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diagrams/data14.xml" ContentType="application/vnd.openxmlformats-officedocument.drawingml.diagramData+xml"/>
  <Override PartName="/word/diagrams/layout14.xml" ContentType="application/vnd.openxmlformats-officedocument.drawingml.diagramLayout+xml"/>
  <Override PartName="/word/diagrams/quickStyle14.xml" ContentType="application/vnd.openxmlformats-officedocument.drawingml.diagramStyle+xml"/>
  <Override PartName="/word/diagrams/colors14.xml" ContentType="application/vnd.openxmlformats-officedocument.drawingml.diagramColors+xml"/>
  <Override PartName="/word/diagrams/drawing14.xml" ContentType="application/vnd.ms-office.drawingml.diagramDrawing+xml"/>
  <Override PartName="/word/header1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diagrams/data15.xml" ContentType="application/vnd.openxmlformats-officedocument.drawingml.diagramData+xml"/>
  <Override PartName="/word/diagrams/layout15.xml" ContentType="application/vnd.openxmlformats-officedocument.drawingml.diagramLayout+xml"/>
  <Override PartName="/word/diagrams/quickStyle15.xml" ContentType="application/vnd.openxmlformats-officedocument.drawingml.diagramStyle+xml"/>
  <Override PartName="/word/diagrams/colors15.xml" ContentType="application/vnd.openxmlformats-officedocument.drawingml.diagramColors+xml"/>
  <Override PartName="/word/diagrams/drawing15.xml" ContentType="application/vnd.ms-office.drawingml.diagramDrawing+xml"/>
  <Override PartName="/word/diagrams/data16.xml" ContentType="application/vnd.openxmlformats-officedocument.drawingml.diagramData+xml"/>
  <Override PartName="/word/diagrams/layout16.xml" ContentType="application/vnd.openxmlformats-officedocument.drawingml.diagramLayout+xml"/>
  <Override PartName="/word/diagrams/quickStyle16.xml" ContentType="application/vnd.openxmlformats-officedocument.drawingml.diagramStyle+xml"/>
  <Override PartName="/word/diagrams/colors16.xml" ContentType="application/vnd.openxmlformats-officedocument.drawingml.diagramColors+xml"/>
  <Override PartName="/word/diagrams/drawing16.xml" ContentType="application/vnd.ms-office.drawingml.diagramDrawing+xml"/>
  <Override PartName="/word/header18.xml" ContentType="application/vnd.openxmlformats-officedocument.wordprocessingml.header+xml"/>
  <Override PartName="/word/footer20.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21.xml" ContentType="application/vnd.openxmlformats-officedocument.wordprocessingml.footer+xml"/>
  <Override PartName="/word/header21.xml" ContentType="application/vnd.openxmlformats-officedocument.wordprocessingml.header+xml"/>
  <Override PartName="/word/footer22.xml" ContentType="application/vnd.openxmlformats-officedocument.wordprocessingml.footer+xml"/>
  <Override PartName="/word/diagrams/data17.xml" ContentType="application/vnd.openxmlformats-officedocument.drawingml.diagramData+xml"/>
  <Override PartName="/word/diagrams/layout17.xml" ContentType="application/vnd.openxmlformats-officedocument.drawingml.diagramLayout+xml"/>
  <Override PartName="/word/diagrams/quickStyle17.xml" ContentType="application/vnd.openxmlformats-officedocument.drawingml.diagramStyle+xml"/>
  <Override PartName="/word/diagrams/colors17.xml" ContentType="application/vnd.openxmlformats-officedocument.drawingml.diagramColors+xml"/>
  <Override PartName="/word/diagrams/drawing17.xml" ContentType="application/vnd.ms-office.drawingml.diagramDrawing+xml"/>
  <Override PartName="/word/diagrams/data18.xml" ContentType="application/vnd.openxmlformats-officedocument.drawingml.diagramData+xml"/>
  <Override PartName="/word/diagrams/layout18.xml" ContentType="application/vnd.openxmlformats-officedocument.drawingml.diagramLayout+xml"/>
  <Override PartName="/word/diagrams/quickStyle18.xml" ContentType="application/vnd.openxmlformats-officedocument.drawingml.diagramStyle+xml"/>
  <Override PartName="/word/diagrams/colors18.xml" ContentType="application/vnd.openxmlformats-officedocument.drawingml.diagramColors+xml"/>
  <Override PartName="/word/diagrams/drawing18.xml" ContentType="application/vnd.ms-office.drawingml.diagramDrawing+xml"/>
  <Override PartName="/word/charts/chart1.xml" ContentType="application/vnd.openxmlformats-officedocument.drawingml.chart+xml"/>
  <Override PartName="/word/diagrams/data19.xml" ContentType="application/vnd.openxmlformats-officedocument.drawingml.diagramData+xml"/>
  <Override PartName="/word/diagrams/layout19.xml" ContentType="application/vnd.openxmlformats-officedocument.drawingml.diagramLayout+xml"/>
  <Override PartName="/word/diagrams/quickStyle19.xml" ContentType="application/vnd.openxmlformats-officedocument.drawingml.diagramStyle+xml"/>
  <Override PartName="/word/diagrams/colors19.xml" ContentType="application/vnd.openxmlformats-officedocument.drawingml.diagramColors+xml"/>
  <Override PartName="/word/diagrams/drawing19.xml" ContentType="application/vnd.ms-office.drawingml.diagramDrawing+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diagrams/data20.xml" ContentType="application/vnd.openxmlformats-officedocument.drawingml.diagramData+xml"/>
  <Override PartName="/word/diagrams/layout20.xml" ContentType="application/vnd.openxmlformats-officedocument.drawingml.diagramLayout+xml"/>
  <Override PartName="/word/diagrams/quickStyle20.xml" ContentType="application/vnd.openxmlformats-officedocument.drawingml.diagramStyle+xml"/>
  <Override PartName="/word/diagrams/colors20.xml" ContentType="application/vnd.openxmlformats-officedocument.drawingml.diagramColors+xml"/>
  <Override PartName="/word/diagrams/drawing20.xml" ContentType="application/vnd.ms-office.drawingml.diagramDrawing+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2.xml" ContentType="application/vnd.openxmlformats-officedocument.wordprocessingml.header+xml"/>
  <Override PartName="/word/footer23.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24.xml" ContentType="application/vnd.openxmlformats-officedocument.wordprocessingml.footer+xml"/>
  <Override PartName="/word/diagrams/data21.xml" ContentType="application/vnd.openxmlformats-officedocument.drawingml.diagramData+xml"/>
  <Override PartName="/word/diagrams/layout21.xml" ContentType="application/vnd.openxmlformats-officedocument.drawingml.diagramLayout+xml"/>
  <Override PartName="/word/diagrams/quickStyle21.xml" ContentType="application/vnd.openxmlformats-officedocument.drawingml.diagramStyle+xml"/>
  <Override PartName="/word/diagrams/colors21.xml" ContentType="application/vnd.openxmlformats-officedocument.drawingml.diagramColors+xml"/>
  <Override PartName="/word/diagrams/drawing21.xml" ContentType="application/vnd.ms-office.drawingml.diagramDrawing+xml"/>
  <Override PartName="/word/charts/chart15.xml" ContentType="application/vnd.openxmlformats-officedocument.drawingml.chart+xml"/>
  <Override PartName="/word/drawings/drawing1.xml" ContentType="application/vnd.openxmlformats-officedocument.drawingml.chartshapes+xml"/>
  <Override PartName="/word/charts/chart16.xml" ContentType="application/vnd.openxmlformats-officedocument.drawingml.chart+xml"/>
  <Override PartName="/word/drawings/drawing2.xml" ContentType="application/vnd.openxmlformats-officedocument.drawingml.chartshapes+xml"/>
  <Override PartName="/word/charts/chart17.xml" ContentType="application/vnd.openxmlformats-officedocument.drawingml.chart+xml"/>
  <Override PartName="/word/drawings/drawing3.xml" ContentType="application/vnd.openxmlformats-officedocument.drawingml.chartshapes+xml"/>
  <Override PartName="/word/charts/chart18.xml" ContentType="application/vnd.openxmlformats-officedocument.drawingml.chart+xml"/>
  <Override PartName="/word/drawings/drawing4.xml" ContentType="application/vnd.openxmlformats-officedocument.drawingml.chartshapes+xml"/>
  <Override PartName="/word/charts/chart19.xml" ContentType="application/vnd.openxmlformats-officedocument.drawingml.chart+xml"/>
  <Override PartName="/word/drawings/drawing5.xml" ContentType="application/vnd.openxmlformats-officedocument.drawingml.chartshapes+xml"/>
  <Override PartName="/word/charts/chart20.xml" ContentType="application/vnd.openxmlformats-officedocument.drawingml.chart+xml"/>
  <Override PartName="/word/drawings/drawing6.xml" ContentType="application/vnd.openxmlformats-officedocument.drawingml.chartshapes+xml"/>
  <Override PartName="/word/charts/chart21.xml" ContentType="application/vnd.openxmlformats-officedocument.drawingml.chart+xml"/>
  <Override PartName="/word/drawings/drawing7.xml" ContentType="application/vnd.openxmlformats-officedocument.drawingml.chartshapes+xml"/>
  <Override PartName="/word/charts/chart22.xml" ContentType="application/vnd.openxmlformats-officedocument.drawingml.chart+xml"/>
  <Override PartName="/word/drawings/drawing8.xml" ContentType="application/vnd.openxmlformats-officedocument.drawingml.chartshapes+xml"/>
  <Override PartName="/word/charts/chart23.xml" ContentType="application/vnd.openxmlformats-officedocument.drawingml.chart+xml"/>
  <Override PartName="/word/drawings/drawing9.xml" ContentType="application/vnd.openxmlformats-officedocument.drawingml.chartshapes+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diagrams/data22.xml" ContentType="application/vnd.openxmlformats-officedocument.drawingml.diagramData+xml"/>
  <Override PartName="/word/diagrams/layout22.xml" ContentType="application/vnd.openxmlformats-officedocument.drawingml.diagramLayout+xml"/>
  <Override PartName="/word/diagrams/quickStyle22.xml" ContentType="application/vnd.openxmlformats-officedocument.drawingml.diagramStyle+xml"/>
  <Override PartName="/word/diagrams/colors22.xml" ContentType="application/vnd.openxmlformats-officedocument.drawingml.diagramColors+xml"/>
  <Override PartName="/word/diagrams/drawing22.xml" ContentType="application/vnd.ms-office.drawingml.diagramDrawing+xml"/>
  <Override PartName="/word/diagrams/data23.xml" ContentType="application/vnd.openxmlformats-officedocument.drawingml.diagramData+xml"/>
  <Override PartName="/word/diagrams/layout23.xml" ContentType="application/vnd.openxmlformats-officedocument.drawingml.diagramLayout+xml"/>
  <Override PartName="/word/diagrams/quickStyle23.xml" ContentType="application/vnd.openxmlformats-officedocument.drawingml.diagramStyle+xml"/>
  <Override PartName="/word/diagrams/colors23.xml" ContentType="application/vnd.openxmlformats-officedocument.drawingml.diagramColors+xml"/>
  <Override PartName="/word/diagrams/drawing23.xml" ContentType="application/vnd.ms-office.drawingml.diagramDrawing+xml"/>
  <Override PartName="/word/header33.xml" ContentType="application/vnd.openxmlformats-officedocument.wordprocessingml.header+xml"/>
  <Override PartName="/word/header34.xml" ContentType="application/vnd.openxmlformats-officedocument.wordprocessingml.header+xml"/>
  <Override PartName="/word/footer3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rFonts w:asciiTheme="majorHAnsi" w:eastAsiaTheme="majorEastAsia" w:hAnsiTheme="majorHAnsi" w:cstheme="majorBidi"/>
          <w:b/>
          <w:bCs/>
          <w:caps/>
          <w:color w:val="365F91" w:themeColor="accent1" w:themeShade="BF"/>
          <w:sz w:val="24"/>
          <w:szCs w:val="24"/>
          <w:rtl/>
          <w:lang w:eastAsia="fr-FR"/>
        </w:rPr>
        <w:id w:val="-1975593498"/>
        <w:docPartObj>
          <w:docPartGallery w:val="Cover Pages"/>
          <w:docPartUnique/>
        </w:docPartObj>
      </w:sdtPr>
      <w:sdtEndPr>
        <w:rPr>
          <w:rFonts w:asciiTheme="minorHAnsi" w:eastAsiaTheme="minorHAnsi" w:hAnsiTheme="minorHAnsi" w:cstheme="minorBidi"/>
          <w:b w:val="0"/>
          <w:bCs w:val="0"/>
          <w:caps w:val="0"/>
          <w:color w:val="auto"/>
          <w:sz w:val="22"/>
          <w:szCs w:val="22"/>
          <w:lang w:eastAsia="en-US" w:bidi="ar-DZ"/>
        </w:rPr>
      </w:sdtEndPr>
      <w:sdtContent>
        <w:tbl>
          <w:tblPr>
            <w:tblW w:w="5000"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0420"/>
          </w:tblGrid>
          <w:tr w:rsidR="005F7175" w:rsidRPr="00B10410" w:rsidTr="00184517">
            <w:trPr>
              <w:trHeight w:val="12959"/>
              <w:jc w:val="center"/>
            </w:trPr>
            <w:tc>
              <w:tcPr>
                <w:tcW w:w="5000" w:type="pct"/>
              </w:tcPr>
              <w:p w:rsidR="00C0278F" w:rsidRPr="00B10410" w:rsidRDefault="00984A95" w:rsidP="00C50D65">
                <w:pPr>
                  <w:autoSpaceDE w:val="0"/>
                  <w:autoSpaceDN w:val="0"/>
                  <w:bidi/>
                  <w:adjustRightInd w:val="0"/>
                  <w:spacing w:after="0" w:line="240" w:lineRule="auto"/>
                  <w:jc w:val="center"/>
                  <w:rPr>
                    <w:rFonts w:asciiTheme="majorHAnsi" w:eastAsiaTheme="majorEastAsia" w:hAnsiTheme="majorHAnsi" w:cstheme="majorBidi"/>
                    <w:caps/>
                    <w:sz w:val="24"/>
                    <w:szCs w:val="24"/>
                    <w:rtl/>
                  </w:rPr>
                </w:pPr>
                <w:r w:rsidRPr="00B10410">
                  <w:rPr>
                    <w:rFonts w:asciiTheme="majorHAnsi" w:eastAsiaTheme="majorEastAsia" w:hAnsiTheme="majorHAnsi" w:cstheme="majorBidi" w:hint="cs"/>
                    <w:caps/>
                    <w:noProof/>
                    <w:sz w:val="24"/>
                    <w:szCs w:val="24"/>
                    <w:rtl/>
                    <w:lang w:eastAsia="fr-FR"/>
                  </w:rPr>
                  <mc:AlternateContent>
                    <mc:Choice Requires="wps">
                      <w:drawing>
                        <wp:anchor distT="0" distB="0" distL="114300" distR="114300" simplePos="0" relativeHeight="251899904" behindDoc="0" locked="0" layoutInCell="1" allowOverlap="1" wp14:anchorId="1E60813B" wp14:editId="774A6F40">
                          <wp:simplePos x="0" y="0"/>
                          <wp:positionH relativeFrom="column">
                            <wp:posOffset>1408166</wp:posOffset>
                          </wp:positionH>
                          <wp:positionV relativeFrom="paragraph">
                            <wp:posOffset>15875</wp:posOffset>
                          </wp:positionV>
                          <wp:extent cx="3394710" cy="596265"/>
                          <wp:effectExtent l="0" t="0" r="0" b="0"/>
                          <wp:wrapNone/>
                          <wp:docPr id="257" name="Rectangle 257"/>
                          <wp:cNvGraphicFramePr/>
                          <a:graphic xmlns:a="http://schemas.openxmlformats.org/drawingml/2006/main">
                            <a:graphicData uri="http://schemas.microsoft.com/office/word/2010/wordprocessingShape">
                              <wps:wsp>
                                <wps:cNvSpPr/>
                                <wps:spPr>
                                  <a:xfrm>
                                    <a:off x="0" y="0"/>
                                    <a:ext cx="3394710" cy="59626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Default="00D13702" w:rsidP="00C84FE2">
                                      <w:pPr>
                                        <w:autoSpaceDE w:val="0"/>
                                        <w:autoSpaceDN w:val="0"/>
                                        <w:bidi/>
                                        <w:adjustRightInd w:val="0"/>
                                        <w:spacing w:after="0" w:line="240" w:lineRule="auto"/>
                                        <w:jc w:val="center"/>
                                        <w:rPr>
                                          <w:rFonts w:ascii="Simplified Arabic" w:hAnsi="Simplified Arabic" w:cs="Simplified Arabic"/>
                                          <w:b/>
                                          <w:bCs/>
                                          <w:color w:val="000000" w:themeColor="text1"/>
                                          <w:sz w:val="28"/>
                                          <w:szCs w:val="28"/>
                                          <w:rtl/>
                                        </w:rPr>
                                      </w:pPr>
                                      <w:r w:rsidRPr="00C0278F">
                                        <w:rPr>
                                          <w:rFonts w:ascii="Simplified Arabic" w:hAnsi="Simplified Arabic" w:cs="Simplified Arabic"/>
                                          <w:b/>
                                          <w:bCs/>
                                          <w:color w:val="000000" w:themeColor="text1"/>
                                          <w:sz w:val="28"/>
                                          <w:szCs w:val="28"/>
                                          <w:rtl/>
                                        </w:rPr>
                                        <w:t>الجمهورية</w:t>
                                      </w:r>
                                      <w:r w:rsidRPr="00C0278F">
                                        <w:rPr>
                                          <w:rFonts w:ascii="Simplified Arabic" w:hAnsi="Simplified Arabic" w:cs="Simplified Arabic"/>
                                          <w:b/>
                                          <w:bCs/>
                                          <w:color w:val="000000" w:themeColor="text1"/>
                                          <w:sz w:val="28"/>
                                          <w:szCs w:val="28"/>
                                        </w:rPr>
                                        <w:t xml:space="preserve"> </w:t>
                                      </w:r>
                                      <w:r w:rsidRPr="00C0278F">
                                        <w:rPr>
                                          <w:rFonts w:ascii="Simplified Arabic" w:hAnsi="Simplified Arabic" w:cs="Simplified Arabic"/>
                                          <w:b/>
                                          <w:bCs/>
                                          <w:color w:val="000000" w:themeColor="text1"/>
                                          <w:sz w:val="28"/>
                                          <w:szCs w:val="28"/>
                                          <w:rtl/>
                                        </w:rPr>
                                        <w:t>الجزائرية</w:t>
                                      </w:r>
                                      <w:r w:rsidRPr="00C0278F">
                                        <w:rPr>
                                          <w:rFonts w:ascii="Simplified Arabic" w:hAnsi="Simplified Arabic" w:cs="Simplified Arabic"/>
                                          <w:b/>
                                          <w:bCs/>
                                          <w:color w:val="000000" w:themeColor="text1"/>
                                          <w:sz w:val="28"/>
                                          <w:szCs w:val="28"/>
                                        </w:rPr>
                                        <w:t xml:space="preserve"> </w:t>
                                      </w:r>
                                      <w:r w:rsidRPr="00C0278F">
                                        <w:rPr>
                                          <w:rFonts w:ascii="Simplified Arabic" w:hAnsi="Simplified Arabic" w:cs="Simplified Arabic"/>
                                          <w:b/>
                                          <w:bCs/>
                                          <w:color w:val="000000" w:themeColor="text1"/>
                                          <w:sz w:val="28"/>
                                          <w:szCs w:val="28"/>
                                          <w:rtl/>
                                        </w:rPr>
                                        <w:t>الديمقراطية</w:t>
                                      </w:r>
                                      <w:r w:rsidRPr="00C0278F">
                                        <w:rPr>
                                          <w:rFonts w:ascii="Simplified Arabic" w:hAnsi="Simplified Arabic" w:cs="Simplified Arabic"/>
                                          <w:b/>
                                          <w:bCs/>
                                          <w:color w:val="000000" w:themeColor="text1"/>
                                          <w:sz w:val="28"/>
                                          <w:szCs w:val="28"/>
                                        </w:rPr>
                                        <w:t xml:space="preserve"> </w:t>
                                      </w:r>
                                      <w:r w:rsidRPr="00C0278F">
                                        <w:rPr>
                                          <w:rFonts w:ascii="Simplified Arabic" w:hAnsi="Simplified Arabic" w:cs="Simplified Arabic"/>
                                          <w:b/>
                                          <w:bCs/>
                                          <w:color w:val="000000" w:themeColor="text1"/>
                                          <w:sz w:val="28"/>
                                          <w:szCs w:val="28"/>
                                          <w:rtl/>
                                        </w:rPr>
                                        <w:t>الشعبية</w:t>
                                      </w:r>
                                    </w:p>
                                    <w:p w:rsidR="00D13702" w:rsidRPr="00984A95" w:rsidRDefault="00D13702" w:rsidP="00C84FE2">
                                      <w:pPr>
                                        <w:autoSpaceDE w:val="0"/>
                                        <w:autoSpaceDN w:val="0"/>
                                        <w:bidi/>
                                        <w:adjustRightInd w:val="0"/>
                                        <w:spacing w:after="0" w:line="240" w:lineRule="auto"/>
                                        <w:jc w:val="center"/>
                                        <w:rPr>
                                          <w:rFonts w:asciiTheme="majorBidi" w:hAnsiTheme="majorBidi" w:cstheme="majorBidi"/>
                                          <w:b/>
                                          <w:bCs/>
                                          <w:color w:val="000000" w:themeColor="text1"/>
                                          <w:sz w:val="32"/>
                                          <w:szCs w:val="32"/>
                                          <w:rtl/>
                                        </w:rPr>
                                      </w:pPr>
                                      <w:r w:rsidRPr="00984A95">
                                        <w:rPr>
                                          <w:rFonts w:asciiTheme="majorBidi" w:hAnsiTheme="majorBidi" w:cstheme="majorBidi"/>
                                          <w:b/>
                                          <w:bCs/>
                                          <w:color w:val="000000" w:themeColor="text1"/>
                                        </w:rPr>
                                        <w:t>République Algérienne Démocratique et Populaire</w:t>
                                      </w:r>
                                    </w:p>
                                    <w:p w:rsidR="00D13702" w:rsidRDefault="00D13702" w:rsidP="00C84FE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7" o:spid="_x0000_s1026" style="position:absolute;left:0;text-align:left;margin-left:110.9pt;margin-top:1.25pt;width:267.3pt;height:46.9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" filled="f" stroked="f" strokeweight="2pt">
                          <v:textbox>
                            <w:txbxContent>
                              <w:p w:rsidR="00D13702" w:rsidRDefault="00D13702" w:rsidP="00C84FE2">
                                <w:pPr>
                                  <w:autoSpaceDE w:val="0"/>
                                  <w:autoSpaceDN w:val="0"/>
                                  <w:bidi/>
                                  <w:adjustRightInd w:val="0"/>
                                  <w:spacing w:after="0" w:line="240" w:lineRule="auto"/>
                                  <w:jc w:val="center"/>
                                  <w:rPr>
                                    <w:rFonts w:ascii="Simplified Arabic" w:hAnsi="Simplified Arabic" w:cs="Simplified Arabic"/>
                                    <w:b/>
                                    <w:bCs/>
                                    <w:color w:val="000000" w:themeColor="text1"/>
                                    <w:sz w:val="28"/>
                                    <w:szCs w:val="28"/>
                                    <w:rtl/>
                                  </w:rPr>
                                </w:pPr>
                                <w:r w:rsidRPr="00C0278F">
                                  <w:rPr>
                                    <w:rFonts w:ascii="Simplified Arabic" w:hAnsi="Simplified Arabic" w:cs="Simplified Arabic"/>
                                    <w:b/>
                                    <w:bCs/>
                                    <w:color w:val="000000" w:themeColor="text1"/>
                                    <w:sz w:val="28"/>
                                    <w:szCs w:val="28"/>
                                    <w:rtl/>
                                  </w:rPr>
                                  <w:t>الجمهورية</w:t>
                                </w:r>
                                <w:r w:rsidRPr="00C0278F">
                                  <w:rPr>
                                    <w:rFonts w:ascii="Simplified Arabic" w:hAnsi="Simplified Arabic" w:cs="Simplified Arabic"/>
                                    <w:b/>
                                    <w:bCs/>
                                    <w:color w:val="000000" w:themeColor="text1"/>
                                    <w:sz w:val="28"/>
                                    <w:szCs w:val="28"/>
                                  </w:rPr>
                                  <w:t xml:space="preserve"> </w:t>
                                </w:r>
                                <w:r w:rsidRPr="00C0278F">
                                  <w:rPr>
                                    <w:rFonts w:ascii="Simplified Arabic" w:hAnsi="Simplified Arabic" w:cs="Simplified Arabic"/>
                                    <w:b/>
                                    <w:bCs/>
                                    <w:color w:val="000000" w:themeColor="text1"/>
                                    <w:sz w:val="28"/>
                                    <w:szCs w:val="28"/>
                                    <w:rtl/>
                                  </w:rPr>
                                  <w:t>الجزائرية</w:t>
                                </w:r>
                                <w:r w:rsidRPr="00C0278F">
                                  <w:rPr>
                                    <w:rFonts w:ascii="Simplified Arabic" w:hAnsi="Simplified Arabic" w:cs="Simplified Arabic"/>
                                    <w:b/>
                                    <w:bCs/>
                                    <w:color w:val="000000" w:themeColor="text1"/>
                                    <w:sz w:val="28"/>
                                    <w:szCs w:val="28"/>
                                  </w:rPr>
                                  <w:t xml:space="preserve"> </w:t>
                                </w:r>
                                <w:r w:rsidRPr="00C0278F">
                                  <w:rPr>
                                    <w:rFonts w:ascii="Simplified Arabic" w:hAnsi="Simplified Arabic" w:cs="Simplified Arabic"/>
                                    <w:b/>
                                    <w:bCs/>
                                    <w:color w:val="000000" w:themeColor="text1"/>
                                    <w:sz w:val="28"/>
                                    <w:szCs w:val="28"/>
                                    <w:rtl/>
                                  </w:rPr>
                                  <w:t>الديمقراطية</w:t>
                                </w:r>
                                <w:r w:rsidRPr="00C0278F">
                                  <w:rPr>
                                    <w:rFonts w:ascii="Simplified Arabic" w:hAnsi="Simplified Arabic" w:cs="Simplified Arabic"/>
                                    <w:b/>
                                    <w:bCs/>
                                    <w:color w:val="000000" w:themeColor="text1"/>
                                    <w:sz w:val="28"/>
                                    <w:szCs w:val="28"/>
                                  </w:rPr>
                                  <w:t xml:space="preserve"> </w:t>
                                </w:r>
                                <w:r w:rsidRPr="00C0278F">
                                  <w:rPr>
                                    <w:rFonts w:ascii="Simplified Arabic" w:hAnsi="Simplified Arabic" w:cs="Simplified Arabic"/>
                                    <w:b/>
                                    <w:bCs/>
                                    <w:color w:val="000000" w:themeColor="text1"/>
                                    <w:sz w:val="28"/>
                                    <w:szCs w:val="28"/>
                                    <w:rtl/>
                                  </w:rPr>
                                  <w:t>الشعبية</w:t>
                                </w:r>
                              </w:p>
                              <w:p w:rsidR="00D13702" w:rsidRPr="00984A95" w:rsidRDefault="00D13702" w:rsidP="00C84FE2">
                                <w:pPr>
                                  <w:autoSpaceDE w:val="0"/>
                                  <w:autoSpaceDN w:val="0"/>
                                  <w:bidi/>
                                  <w:adjustRightInd w:val="0"/>
                                  <w:spacing w:after="0" w:line="240" w:lineRule="auto"/>
                                  <w:jc w:val="center"/>
                                  <w:rPr>
                                    <w:rFonts w:asciiTheme="majorBidi" w:hAnsiTheme="majorBidi" w:cstheme="majorBidi"/>
                                    <w:b/>
                                    <w:bCs/>
                                    <w:color w:val="000000" w:themeColor="text1"/>
                                    <w:sz w:val="32"/>
                                    <w:szCs w:val="32"/>
                                    <w:rtl/>
                                  </w:rPr>
                                </w:pPr>
                                <w:r w:rsidRPr="00984A95">
                                  <w:rPr>
                                    <w:rFonts w:asciiTheme="majorBidi" w:hAnsiTheme="majorBidi" w:cstheme="majorBidi"/>
                                    <w:b/>
                                    <w:bCs/>
                                    <w:color w:val="000000" w:themeColor="text1"/>
                                  </w:rPr>
                                  <w:t>République Algérienne Démocratique et Populaire</w:t>
                                </w:r>
                              </w:p>
                              <w:p w:rsidR="00D13702" w:rsidRDefault="00D13702" w:rsidP="00C84FE2">
                                <w:pPr>
                                  <w:jc w:val="center"/>
                                </w:pPr>
                              </w:p>
                            </w:txbxContent>
                          </v:textbox>
                        </v:rect>
                      </w:pict>
                    </mc:Fallback>
                  </mc:AlternateContent>
                </w:r>
                <w:r w:rsidR="00184517" w:rsidRPr="00B10410">
                  <w:rPr>
                    <w:rFonts w:asciiTheme="minorBidi" w:hAnsiTheme="minorBidi"/>
                    <w:b/>
                    <w:bCs/>
                    <w:noProof/>
                    <w:sz w:val="24"/>
                    <w:szCs w:val="24"/>
                    <w:rtl/>
                    <w:lang w:eastAsia="fr-FR"/>
                  </w:rPr>
                  <mc:AlternateContent>
                    <mc:Choice Requires="wps">
                      <w:drawing>
                        <wp:anchor distT="0" distB="0" distL="114300" distR="114300" simplePos="0" relativeHeight="251804672" behindDoc="0" locked="0" layoutInCell="1" allowOverlap="1" wp14:anchorId="7D9ADAA4" wp14:editId="38C2B11A">
                          <wp:simplePos x="0" y="0"/>
                          <wp:positionH relativeFrom="column">
                            <wp:posOffset>-26035</wp:posOffset>
                          </wp:positionH>
                          <wp:positionV relativeFrom="paragraph">
                            <wp:posOffset>62865</wp:posOffset>
                          </wp:positionV>
                          <wp:extent cx="1304290" cy="1371600"/>
                          <wp:effectExtent l="0" t="0" r="10160" b="19050"/>
                          <wp:wrapNone/>
                          <wp:docPr id="272" name="Zone de texte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4290" cy="1371600"/>
                                  </a:xfrm>
                                  <a:prstGeom prst="rect">
                                    <a:avLst/>
                                  </a:prstGeom>
                                  <a:no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630334">
                                      <w:pPr>
                                        <w:bidi/>
                                        <w:jc w:val="center"/>
                                      </w:pPr>
                                      <w:r>
                                        <w:rPr>
                                          <w:noProof/>
                                          <w:lang w:eastAsia="fr-FR"/>
                                        </w:rPr>
                                        <w:drawing>
                                          <wp:inline distT="0" distB="0" distL="0" distR="0" wp14:anchorId="50897BE7" wp14:editId="4563378A">
                                            <wp:extent cx="1238768" cy="1247775"/>
                                            <wp:effectExtent l="0" t="0" r="0" b="0"/>
                                            <wp:docPr id="279" name="Imag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40613" cy="124963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72" o:spid="_x0000_s1027" type="#_x0000_t202" style="position:absolute;left:0;text-align:left;margin-left:-2.05pt;margin-top:4.95pt;width:102.7pt;height:108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" filled="f" strokecolor="white [3212]" strokeweight=".5pt">
                          <v:path arrowok="t"/>
                          <v:textbox>
                            <w:txbxContent>
                              <w:p w:rsidR="00D13702" w:rsidRDefault="00D13702" w:rsidP="00630334">
                                <w:pPr>
                                  <w:bidi/>
                                  <w:jc w:val="center"/>
                                </w:pPr>
                                <w:r>
                                  <w:rPr>
                                    <w:noProof/>
                                    <w:lang w:eastAsia="fr-FR"/>
                                  </w:rPr>
                                  <w:drawing>
                                    <wp:inline distT="0" distB="0" distL="0" distR="0" wp14:anchorId="50897BE7" wp14:editId="4563378A">
                                      <wp:extent cx="1238768" cy="1247775"/>
                                      <wp:effectExtent l="0" t="0" r="0" b="0"/>
                                      <wp:docPr id="279" name="Imag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40613" cy="1249634"/>
                                              </a:xfrm>
                                              <a:prstGeom prst="rect">
                                                <a:avLst/>
                                              </a:prstGeom>
                                              <a:noFill/>
                                              <a:ln>
                                                <a:noFill/>
                                              </a:ln>
                                            </pic:spPr>
                                          </pic:pic>
                                        </a:graphicData>
                                      </a:graphic>
                                    </wp:inline>
                                  </w:drawing>
                                </w:r>
                              </w:p>
                            </w:txbxContent>
                          </v:textbox>
                        </v:shape>
                      </w:pict>
                    </mc:Fallback>
                  </mc:AlternateContent>
                </w:r>
                <w:r w:rsidR="000F148E" w:rsidRPr="00B10410">
                  <w:rPr>
                    <w:rFonts w:asciiTheme="minorBidi" w:hAnsiTheme="minorBidi"/>
                    <w:b/>
                    <w:bCs/>
                    <w:noProof/>
                    <w:sz w:val="24"/>
                    <w:szCs w:val="24"/>
                    <w:rtl/>
                    <w:lang w:eastAsia="fr-FR"/>
                  </w:rPr>
                  <mc:AlternateContent>
                    <mc:Choice Requires="wps">
                      <w:drawing>
                        <wp:anchor distT="0" distB="0" distL="114300" distR="114300" simplePos="0" relativeHeight="251659264" behindDoc="0" locked="0" layoutInCell="1" allowOverlap="1" wp14:anchorId="2010FF19" wp14:editId="471734F4">
                          <wp:simplePos x="0" y="0"/>
                          <wp:positionH relativeFrom="column">
                            <wp:posOffset>5022215</wp:posOffset>
                          </wp:positionH>
                          <wp:positionV relativeFrom="paragraph">
                            <wp:posOffset>62865</wp:posOffset>
                          </wp:positionV>
                          <wp:extent cx="1476375" cy="1438275"/>
                          <wp:effectExtent l="0" t="0" r="28575" b="28575"/>
                          <wp:wrapNone/>
                          <wp:docPr id="3" name="Zone de text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6375" cy="1438275"/>
                                  </a:xfrm>
                                  <a:prstGeom prst="rect">
                                    <a:avLst/>
                                  </a:prstGeom>
                                  <a:no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977B0D">
                                      <w:pPr>
                                        <w:jc w:val="center"/>
                                      </w:pPr>
                                      <w:r>
                                        <w:rPr>
                                          <w:noProof/>
                                          <w:lang w:eastAsia="fr-FR"/>
                                        </w:rPr>
                                        <w:drawing>
                                          <wp:inline distT="0" distB="0" distL="0" distR="0" wp14:anchorId="1410BAD0" wp14:editId="60DB73BC">
                                            <wp:extent cx="1310307" cy="1319841"/>
                                            <wp:effectExtent l="0" t="0" r="4445" b="0"/>
                                            <wp:docPr id="282" name="Imag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14038" cy="132359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 o:spid="_x0000_s1028" type="#_x0000_t202" style="position:absolute;left:0;text-align:left;margin-left:395.45pt;margin-top:4.95pt;width:116.25pt;height:11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" filled="f" strokecolor="white [3212]" strokeweight=".5pt">
                          <v:path arrowok="t"/>
                          <v:textbox>
                            <w:txbxContent>
                              <w:p w:rsidR="00D13702" w:rsidRDefault="00D13702" w:rsidP="00977B0D">
                                <w:pPr>
                                  <w:jc w:val="center"/>
                                </w:pPr>
                                <w:r>
                                  <w:rPr>
                                    <w:noProof/>
                                    <w:lang w:eastAsia="fr-FR"/>
                                  </w:rPr>
                                  <w:drawing>
                                    <wp:inline distT="0" distB="0" distL="0" distR="0" wp14:anchorId="1410BAD0" wp14:editId="60DB73BC">
                                      <wp:extent cx="1310307" cy="1319841"/>
                                      <wp:effectExtent l="0" t="0" r="4445" b="0"/>
                                      <wp:docPr id="282" name="Imag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14038" cy="1323599"/>
                                              </a:xfrm>
                                              <a:prstGeom prst="rect">
                                                <a:avLst/>
                                              </a:prstGeom>
                                              <a:noFill/>
                                              <a:ln>
                                                <a:noFill/>
                                              </a:ln>
                                            </pic:spPr>
                                          </pic:pic>
                                        </a:graphicData>
                                      </a:graphic>
                                    </wp:inline>
                                  </w:drawing>
                                </w:r>
                              </w:p>
                            </w:txbxContent>
                          </v:textbox>
                        </v:shape>
                      </w:pict>
                    </mc:Fallback>
                  </mc:AlternateContent>
                </w:r>
              </w:p>
              <w:p w:rsidR="00C0278F" w:rsidRPr="00B10410" w:rsidRDefault="00C0278F" w:rsidP="00C0278F">
                <w:pPr>
                  <w:autoSpaceDE w:val="0"/>
                  <w:autoSpaceDN w:val="0"/>
                  <w:bidi/>
                  <w:adjustRightInd w:val="0"/>
                  <w:spacing w:after="0" w:line="240" w:lineRule="auto"/>
                  <w:jc w:val="center"/>
                  <w:rPr>
                    <w:rFonts w:asciiTheme="majorHAnsi" w:eastAsiaTheme="majorEastAsia" w:hAnsiTheme="majorHAnsi" w:cstheme="majorBidi"/>
                    <w:caps/>
                    <w:sz w:val="24"/>
                    <w:szCs w:val="24"/>
                    <w:rtl/>
                  </w:rPr>
                </w:pPr>
              </w:p>
              <w:p w:rsidR="00C0278F" w:rsidRDefault="00C0278F" w:rsidP="00C0278F">
                <w:pPr>
                  <w:autoSpaceDE w:val="0"/>
                  <w:autoSpaceDN w:val="0"/>
                  <w:bidi/>
                  <w:adjustRightInd w:val="0"/>
                  <w:spacing w:after="0" w:line="240" w:lineRule="auto"/>
                  <w:jc w:val="center"/>
                  <w:rPr>
                    <w:rFonts w:ascii="Arabic Typesetting" w:hAnsi="Arabic Typesetting" w:cs="Arabic Typesetting"/>
                    <w:b/>
                    <w:bCs/>
                    <w:sz w:val="24"/>
                    <w:szCs w:val="24"/>
                    <w:rtl/>
                  </w:rPr>
                </w:pPr>
              </w:p>
              <w:p w:rsidR="00C84FE2" w:rsidRPr="00B10410" w:rsidRDefault="00630334" w:rsidP="00C84FE2">
                <w:pPr>
                  <w:autoSpaceDE w:val="0"/>
                  <w:autoSpaceDN w:val="0"/>
                  <w:bidi/>
                  <w:adjustRightInd w:val="0"/>
                  <w:spacing w:after="0" w:line="240" w:lineRule="auto"/>
                  <w:jc w:val="center"/>
                  <w:rPr>
                    <w:rFonts w:ascii="Arabic Typesetting" w:hAnsi="Arabic Typesetting" w:cs="Arabic Typesetting"/>
                    <w:b/>
                    <w:bCs/>
                    <w:sz w:val="24"/>
                    <w:szCs w:val="24"/>
                  </w:rPr>
                </w:pPr>
                <w:r w:rsidRPr="00B10410">
                  <w:rPr>
                    <w:rFonts w:asciiTheme="majorHAnsi" w:eastAsiaTheme="majorEastAsia" w:hAnsiTheme="majorHAnsi" w:cstheme="majorBidi" w:hint="cs"/>
                    <w:caps/>
                    <w:noProof/>
                    <w:sz w:val="24"/>
                    <w:szCs w:val="24"/>
                    <w:rtl/>
                    <w:lang w:eastAsia="fr-FR"/>
                  </w:rPr>
                  <mc:AlternateContent>
                    <mc:Choice Requires="wps">
                      <w:drawing>
                        <wp:anchor distT="0" distB="0" distL="114300" distR="114300" simplePos="0" relativeHeight="251901952" behindDoc="0" locked="0" layoutInCell="1" allowOverlap="1" wp14:anchorId="60574A6F" wp14:editId="0FCF5D58">
                          <wp:simplePos x="0" y="0"/>
                          <wp:positionH relativeFrom="column">
                            <wp:posOffset>992134</wp:posOffset>
                          </wp:positionH>
                          <wp:positionV relativeFrom="paragraph">
                            <wp:posOffset>6350</wp:posOffset>
                          </wp:positionV>
                          <wp:extent cx="4321834" cy="596265"/>
                          <wp:effectExtent l="0" t="0" r="0" b="0"/>
                          <wp:wrapNone/>
                          <wp:docPr id="259" name="Rectangle 259"/>
                          <wp:cNvGraphicFramePr/>
                          <a:graphic xmlns:a="http://schemas.openxmlformats.org/drawingml/2006/main">
                            <a:graphicData uri="http://schemas.microsoft.com/office/word/2010/wordprocessingShape">
                              <wps:wsp>
                                <wps:cNvSpPr/>
                                <wps:spPr>
                                  <a:xfrm>
                                    <a:off x="0" y="0"/>
                                    <a:ext cx="4321834" cy="59626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AF2C8B" w:rsidRDefault="00D13702" w:rsidP="00C84FE2">
                                      <w:pPr>
                                        <w:autoSpaceDE w:val="0"/>
                                        <w:autoSpaceDN w:val="0"/>
                                        <w:bidi/>
                                        <w:adjustRightInd w:val="0"/>
                                        <w:spacing w:after="0" w:line="240" w:lineRule="auto"/>
                                        <w:jc w:val="center"/>
                                        <w:rPr>
                                          <w:rFonts w:ascii="Simplified Arabic" w:hAnsi="Simplified Arabic" w:cs="Simplified Arabic"/>
                                          <w:b/>
                                          <w:bCs/>
                                          <w:color w:val="000000" w:themeColor="text1"/>
                                          <w:sz w:val="28"/>
                                          <w:szCs w:val="28"/>
                                          <w:rtl/>
                                        </w:rPr>
                                      </w:pPr>
                                      <w:r w:rsidRPr="00AF2C8B">
                                        <w:rPr>
                                          <w:rFonts w:ascii="Simplified Arabic" w:hAnsi="Simplified Arabic" w:cs="Simplified Arabic"/>
                                          <w:b/>
                                          <w:bCs/>
                                          <w:color w:val="000000" w:themeColor="text1"/>
                                          <w:sz w:val="28"/>
                                          <w:szCs w:val="28"/>
                                          <w:rtl/>
                                        </w:rPr>
                                        <w:t>وزارة التعليم العالي و البحث العلمي</w:t>
                                      </w:r>
                                    </w:p>
                                    <w:p w:rsidR="00D13702" w:rsidRPr="00984A95" w:rsidRDefault="00D13702" w:rsidP="00C84FE2">
                                      <w:pPr>
                                        <w:autoSpaceDE w:val="0"/>
                                        <w:autoSpaceDN w:val="0"/>
                                        <w:bidi/>
                                        <w:adjustRightInd w:val="0"/>
                                        <w:spacing w:after="0" w:line="240" w:lineRule="auto"/>
                                        <w:jc w:val="center"/>
                                        <w:rPr>
                                          <w:rFonts w:asciiTheme="majorBidi" w:hAnsiTheme="majorBidi" w:cstheme="majorBidi"/>
                                          <w:b/>
                                          <w:bCs/>
                                          <w:color w:val="000000" w:themeColor="text1"/>
                                          <w:sz w:val="32"/>
                                          <w:szCs w:val="32"/>
                                        </w:rPr>
                                      </w:pPr>
                                      <w:r w:rsidRPr="00984A95">
                                        <w:rPr>
                                          <w:rFonts w:asciiTheme="majorBidi" w:hAnsiTheme="majorBidi" w:cstheme="majorBidi"/>
                                          <w:b/>
                                          <w:bCs/>
                                          <w:color w:val="000000" w:themeColor="text1"/>
                                        </w:rPr>
                                        <w:t>Ministère de l’enseignement supérieur et de la recherche scientifique</w:t>
                                      </w:r>
                                    </w:p>
                                    <w:p w:rsidR="00D13702" w:rsidRDefault="00D13702" w:rsidP="00C84FE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59" o:spid="_x0000_s1029" style="position:absolute;left:0;text-align:left;margin-left:78.1pt;margin-top:.5pt;width:340.3pt;height:46.95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" filled="f" stroked="f" strokeweight="2pt">
                          <v:textbox>
                            <w:txbxContent>
                              <w:p w:rsidR="00D13702" w:rsidRPr="00AF2C8B" w:rsidRDefault="00D13702" w:rsidP="00C84FE2">
                                <w:pPr>
                                  <w:autoSpaceDE w:val="0"/>
                                  <w:autoSpaceDN w:val="0"/>
                                  <w:bidi/>
                                  <w:adjustRightInd w:val="0"/>
                                  <w:spacing w:after="0" w:line="240" w:lineRule="auto"/>
                                  <w:jc w:val="center"/>
                                  <w:rPr>
                                    <w:rFonts w:ascii="Simplified Arabic" w:hAnsi="Simplified Arabic" w:cs="Simplified Arabic"/>
                                    <w:b/>
                                    <w:bCs/>
                                    <w:color w:val="000000" w:themeColor="text1"/>
                                    <w:sz w:val="28"/>
                                    <w:szCs w:val="28"/>
                                    <w:rtl/>
                                  </w:rPr>
                                </w:pPr>
                                <w:r w:rsidRPr="00AF2C8B">
                                  <w:rPr>
                                    <w:rFonts w:ascii="Simplified Arabic" w:hAnsi="Simplified Arabic" w:cs="Simplified Arabic"/>
                                    <w:b/>
                                    <w:bCs/>
                                    <w:color w:val="000000" w:themeColor="text1"/>
                                    <w:sz w:val="28"/>
                                    <w:szCs w:val="28"/>
                                    <w:rtl/>
                                  </w:rPr>
                                  <w:t>وزارة التعليم العالي و البحث العلمي</w:t>
                                </w:r>
                              </w:p>
                              <w:p w:rsidR="00D13702" w:rsidRPr="00984A95" w:rsidRDefault="00D13702" w:rsidP="00C84FE2">
                                <w:pPr>
                                  <w:autoSpaceDE w:val="0"/>
                                  <w:autoSpaceDN w:val="0"/>
                                  <w:bidi/>
                                  <w:adjustRightInd w:val="0"/>
                                  <w:spacing w:after="0" w:line="240" w:lineRule="auto"/>
                                  <w:jc w:val="center"/>
                                  <w:rPr>
                                    <w:rFonts w:asciiTheme="majorBidi" w:hAnsiTheme="majorBidi" w:cstheme="majorBidi"/>
                                    <w:b/>
                                    <w:bCs/>
                                    <w:color w:val="000000" w:themeColor="text1"/>
                                    <w:sz w:val="32"/>
                                    <w:szCs w:val="32"/>
                                  </w:rPr>
                                </w:pPr>
                                <w:r w:rsidRPr="00984A95">
                                  <w:rPr>
                                    <w:rFonts w:asciiTheme="majorBidi" w:hAnsiTheme="majorBidi" w:cstheme="majorBidi"/>
                                    <w:b/>
                                    <w:bCs/>
                                    <w:color w:val="000000" w:themeColor="text1"/>
                                  </w:rPr>
                                  <w:t>Ministère de l’enseignement supérieur et de la recherche scientifique</w:t>
                                </w:r>
                              </w:p>
                              <w:p w:rsidR="00D13702" w:rsidRDefault="00D13702" w:rsidP="00C84FE2">
                                <w:pPr>
                                  <w:jc w:val="center"/>
                                </w:pPr>
                              </w:p>
                            </w:txbxContent>
                          </v:textbox>
                        </v:rect>
                      </w:pict>
                    </mc:Fallback>
                  </mc:AlternateContent>
                </w:r>
              </w:p>
              <w:p w:rsidR="00C0278F" w:rsidRPr="00B10410" w:rsidRDefault="00C0278F" w:rsidP="00C0278F">
                <w:pPr>
                  <w:autoSpaceDE w:val="0"/>
                  <w:autoSpaceDN w:val="0"/>
                  <w:bidi/>
                  <w:adjustRightInd w:val="0"/>
                  <w:spacing w:after="0" w:line="240" w:lineRule="auto"/>
                  <w:jc w:val="center"/>
                  <w:rPr>
                    <w:rFonts w:asciiTheme="majorHAnsi" w:eastAsiaTheme="majorEastAsia" w:hAnsiTheme="majorHAnsi" w:cstheme="majorBidi"/>
                    <w:caps/>
                    <w:sz w:val="24"/>
                    <w:szCs w:val="24"/>
                    <w:rtl/>
                  </w:rPr>
                </w:pPr>
              </w:p>
              <w:p w:rsidR="00C0278F" w:rsidRPr="00B10410" w:rsidRDefault="00C84FE2" w:rsidP="00C0278F">
                <w:pPr>
                  <w:autoSpaceDE w:val="0"/>
                  <w:autoSpaceDN w:val="0"/>
                  <w:bidi/>
                  <w:adjustRightInd w:val="0"/>
                  <w:spacing w:after="0" w:line="240" w:lineRule="auto"/>
                  <w:jc w:val="center"/>
                  <w:rPr>
                    <w:rFonts w:asciiTheme="majorHAnsi" w:eastAsiaTheme="majorEastAsia" w:hAnsiTheme="majorHAnsi" w:cstheme="majorBidi"/>
                    <w:caps/>
                    <w:sz w:val="24"/>
                    <w:szCs w:val="24"/>
                    <w:rtl/>
                  </w:rPr>
                </w:pPr>
                <w:r w:rsidRPr="00B10410">
                  <w:rPr>
                    <w:rFonts w:asciiTheme="majorHAnsi" w:eastAsiaTheme="majorEastAsia" w:hAnsiTheme="majorHAnsi" w:cstheme="majorBidi" w:hint="cs"/>
                    <w:caps/>
                    <w:noProof/>
                    <w:sz w:val="24"/>
                    <w:szCs w:val="24"/>
                    <w:rtl/>
                    <w:lang w:eastAsia="fr-FR"/>
                  </w:rPr>
                  <mc:AlternateContent>
                    <mc:Choice Requires="wps">
                      <w:drawing>
                        <wp:anchor distT="0" distB="0" distL="114300" distR="114300" simplePos="0" relativeHeight="251904000" behindDoc="0" locked="0" layoutInCell="1" allowOverlap="1" wp14:anchorId="213CA45B" wp14:editId="2E79F10E">
                          <wp:simplePos x="0" y="0"/>
                          <wp:positionH relativeFrom="column">
                            <wp:posOffset>1539875</wp:posOffset>
                          </wp:positionH>
                          <wp:positionV relativeFrom="paragraph">
                            <wp:posOffset>147320</wp:posOffset>
                          </wp:positionV>
                          <wp:extent cx="3140710" cy="576580"/>
                          <wp:effectExtent l="0" t="0" r="0" b="0"/>
                          <wp:wrapNone/>
                          <wp:docPr id="261" name="Rectangle 261"/>
                          <wp:cNvGraphicFramePr/>
                          <a:graphic xmlns:a="http://schemas.openxmlformats.org/drawingml/2006/main">
                            <a:graphicData uri="http://schemas.microsoft.com/office/word/2010/wordprocessingShape">
                              <wps:wsp>
                                <wps:cNvSpPr/>
                                <wps:spPr>
                                  <a:xfrm>
                                    <a:off x="0" y="0"/>
                                    <a:ext cx="3140710" cy="5765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Default="00D13702" w:rsidP="00C84FE2">
                                      <w:pPr>
                                        <w:bidi/>
                                        <w:spacing w:after="0" w:line="240" w:lineRule="auto"/>
                                        <w:jc w:val="center"/>
                                        <w:rPr>
                                          <w:rFonts w:ascii="Simplified Arabic" w:hAnsi="Simplified Arabic" w:cs="Simplified Arabic"/>
                                          <w:b/>
                                          <w:bCs/>
                                          <w:color w:val="000000" w:themeColor="text1"/>
                                          <w:sz w:val="28"/>
                                          <w:szCs w:val="28"/>
                                          <w:rtl/>
                                        </w:rPr>
                                      </w:pPr>
                                      <w:r w:rsidRPr="00FF4C1D">
                                        <w:rPr>
                                          <w:rFonts w:ascii="Simplified Arabic" w:hAnsi="Simplified Arabic" w:cs="Simplified Arabic"/>
                                          <w:b/>
                                          <w:bCs/>
                                          <w:color w:val="000000" w:themeColor="text1"/>
                                          <w:sz w:val="28"/>
                                          <w:szCs w:val="28"/>
                                          <w:rtl/>
                                        </w:rPr>
                                        <w:t>جامعة محمد بوضياف المسيلة</w:t>
                                      </w:r>
                                    </w:p>
                                    <w:p w:rsidR="00D13702" w:rsidRPr="00984A95" w:rsidRDefault="00D13702" w:rsidP="00C84FE2">
                                      <w:pPr>
                                        <w:bidi/>
                                        <w:spacing w:after="0" w:line="240" w:lineRule="auto"/>
                                        <w:jc w:val="center"/>
                                        <w:rPr>
                                          <w:rFonts w:asciiTheme="majorBidi" w:hAnsiTheme="majorBidi" w:cstheme="majorBidi"/>
                                          <w:b/>
                                          <w:bCs/>
                                          <w:color w:val="000000" w:themeColor="text1"/>
                                        </w:rPr>
                                      </w:pPr>
                                      <w:r w:rsidRPr="00984A95">
                                        <w:rPr>
                                          <w:rFonts w:asciiTheme="majorBidi" w:hAnsiTheme="majorBidi" w:cstheme="majorBidi"/>
                                          <w:b/>
                                          <w:bCs/>
                                          <w:color w:val="000000" w:themeColor="text1"/>
                                        </w:rPr>
                                        <w:t>Université Mohamed Boudiaf – M’SILA</w:t>
                                      </w:r>
                                    </w:p>
                                    <w:p w:rsidR="00D13702" w:rsidRDefault="00D13702" w:rsidP="00C84FE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1" o:spid="_x0000_s1030" style="position:absolute;left:0;text-align:left;margin-left:121.25pt;margin-top:11.6pt;width:247.3pt;height:45.4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" filled="f" stroked="f" strokeweight="2pt">
                          <v:textbox>
                            <w:txbxContent>
                              <w:p w:rsidR="00D13702" w:rsidRDefault="00D13702" w:rsidP="00C84FE2">
                                <w:pPr>
                                  <w:bidi/>
                                  <w:spacing w:after="0" w:line="240" w:lineRule="auto"/>
                                  <w:jc w:val="center"/>
                                  <w:rPr>
                                    <w:rFonts w:ascii="Simplified Arabic" w:hAnsi="Simplified Arabic" w:cs="Simplified Arabic"/>
                                    <w:b/>
                                    <w:bCs/>
                                    <w:color w:val="000000" w:themeColor="text1"/>
                                    <w:sz w:val="28"/>
                                    <w:szCs w:val="28"/>
                                    <w:rtl/>
                                  </w:rPr>
                                </w:pPr>
                                <w:r w:rsidRPr="00FF4C1D">
                                  <w:rPr>
                                    <w:rFonts w:ascii="Simplified Arabic" w:hAnsi="Simplified Arabic" w:cs="Simplified Arabic"/>
                                    <w:b/>
                                    <w:bCs/>
                                    <w:color w:val="000000" w:themeColor="text1"/>
                                    <w:sz w:val="28"/>
                                    <w:szCs w:val="28"/>
                                    <w:rtl/>
                                  </w:rPr>
                                  <w:t>جامعة محمد بوضياف المسيلة</w:t>
                                </w:r>
                              </w:p>
                              <w:p w:rsidR="00D13702" w:rsidRPr="00984A95" w:rsidRDefault="00D13702" w:rsidP="00C84FE2">
                                <w:pPr>
                                  <w:bidi/>
                                  <w:spacing w:after="0" w:line="240" w:lineRule="auto"/>
                                  <w:jc w:val="center"/>
                                  <w:rPr>
                                    <w:rFonts w:asciiTheme="majorBidi" w:hAnsiTheme="majorBidi" w:cstheme="majorBidi"/>
                                    <w:b/>
                                    <w:bCs/>
                                    <w:color w:val="000000" w:themeColor="text1"/>
                                  </w:rPr>
                                </w:pPr>
                                <w:r w:rsidRPr="00984A95">
                                  <w:rPr>
                                    <w:rFonts w:asciiTheme="majorBidi" w:hAnsiTheme="majorBidi" w:cstheme="majorBidi"/>
                                    <w:b/>
                                    <w:bCs/>
                                    <w:color w:val="000000" w:themeColor="text1"/>
                                  </w:rPr>
                                  <w:t>Université Mohamed Boudiaf – M’SILA</w:t>
                                </w:r>
                              </w:p>
                              <w:p w:rsidR="00D13702" w:rsidRDefault="00D13702" w:rsidP="00C84FE2">
                                <w:pPr>
                                  <w:jc w:val="center"/>
                                </w:pPr>
                              </w:p>
                            </w:txbxContent>
                          </v:textbox>
                        </v:rect>
                      </w:pict>
                    </mc:Fallback>
                  </mc:AlternateContent>
                </w:r>
              </w:p>
              <w:p w:rsidR="00FF4C1D" w:rsidRPr="00B10410" w:rsidRDefault="00FF4C1D" w:rsidP="00C50D65">
                <w:pPr>
                  <w:bidi/>
                  <w:spacing w:after="0" w:line="240" w:lineRule="auto"/>
                  <w:jc w:val="center"/>
                  <w:rPr>
                    <w:rFonts w:ascii="Arabic Typesetting" w:hAnsi="Arabic Typesetting" w:cs="Arabic Typesetting"/>
                    <w:b/>
                    <w:bCs/>
                    <w:sz w:val="24"/>
                    <w:szCs w:val="24"/>
                    <w:rtl/>
                  </w:rPr>
                </w:pPr>
              </w:p>
              <w:p w:rsidR="00896AF5" w:rsidRDefault="00896AF5" w:rsidP="00084D2F">
                <w:pPr>
                  <w:autoSpaceDE w:val="0"/>
                  <w:autoSpaceDN w:val="0"/>
                  <w:bidi/>
                  <w:adjustRightInd w:val="0"/>
                  <w:spacing w:after="0" w:line="240" w:lineRule="auto"/>
                  <w:rPr>
                    <w:rFonts w:ascii="Arabic Typesetting" w:hAnsi="Arabic Typesetting" w:cs="Arabic Typesetting"/>
                    <w:b/>
                    <w:bCs/>
                    <w:sz w:val="24"/>
                    <w:szCs w:val="24"/>
                    <w:rtl/>
                  </w:rPr>
                </w:pPr>
              </w:p>
              <w:p w:rsidR="00C84FE2" w:rsidRDefault="00630334" w:rsidP="00C84FE2">
                <w:pPr>
                  <w:autoSpaceDE w:val="0"/>
                  <w:autoSpaceDN w:val="0"/>
                  <w:bidi/>
                  <w:adjustRightInd w:val="0"/>
                  <w:spacing w:after="0" w:line="240" w:lineRule="auto"/>
                  <w:rPr>
                    <w:rFonts w:ascii="Arabic Typesetting" w:hAnsi="Arabic Typesetting" w:cs="Arabic Typesetting"/>
                    <w:b/>
                    <w:bCs/>
                    <w:sz w:val="24"/>
                    <w:szCs w:val="24"/>
                    <w:rtl/>
                  </w:rPr>
                </w:pPr>
                <w:r w:rsidRPr="00B10410">
                  <w:rPr>
                    <w:rFonts w:asciiTheme="majorHAnsi" w:eastAsiaTheme="majorEastAsia" w:hAnsiTheme="majorHAnsi" w:cstheme="majorBidi" w:hint="cs"/>
                    <w:caps/>
                    <w:noProof/>
                    <w:sz w:val="24"/>
                    <w:szCs w:val="24"/>
                    <w:rtl/>
                    <w:lang w:eastAsia="fr-FR"/>
                  </w:rPr>
                  <mc:AlternateContent>
                    <mc:Choice Requires="wps">
                      <w:drawing>
                        <wp:anchor distT="0" distB="0" distL="114300" distR="114300" simplePos="0" relativeHeight="251906048" behindDoc="0" locked="0" layoutInCell="1" allowOverlap="1" wp14:anchorId="17217031" wp14:editId="78D9D3ED">
                          <wp:simplePos x="0" y="0"/>
                          <wp:positionH relativeFrom="column">
                            <wp:posOffset>1519291</wp:posOffset>
                          </wp:positionH>
                          <wp:positionV relativeFrom="paragraph">
                            <wp:posOffset>120015</wp:posOffset>
                          </wp:positionV>
                          <wp:extent cx="3140710" cy="576580"/>
                          <wp:effectExtent l="0" t="0" r="0" b="0"/>
                          <wp:wrapNone/>
                          <wp:docPr id="118" name="Rectangle 118"/>
                          <wp:cNvGraphicFramePr/>
                          <a:graphic xmlns:a="http://schemas.openxmlformats.org/drawingml/2006/main">
                            <a:graphicData uri="http://schemas.microsoft.com/office/word/2010/wordprocessingShape">
                              <wps:wsp>
                                <wps:cNvSpPr/>
                                <wps:spPr>
                                  <a:xfrm>
                                    <a:off x="0" y="0"/>
                                    <a:ext cx="3140710" cy="5765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64593B" w:rsidRDefault="00D13702" w:rsidP="00C84FE2">
                                      <w:pPr>
                                        <w:bidi/>
                                        <w:spacing w:after="0" w:line="240" w:lineRule="auto"/>
                                        <w:jc w:val="center"/>
                                        <w:rPr>
                                          <w:rFonts w:ascii="Simplified Arabic" w:hAnsi="Simplified Arabic" w:cs="Simplified Arabic"/>
                                          <w:b/>
                                          <w:bCs/>
                                          <w:color w:val="000000" w:themeColor="text1"/>
                                          <w:sz w:val="28"/>
                                          <w:szCs w:val="28"/>
                                        </w:rPr>
                                      </w:pPr>
                                      <w:r w:rsidRPr="0064593B">
                                        <w:rPr>
                                          <w:rFonts w:ascii="Simplified Arabic" w:hAnsi="Simplified Arabic" w:cs="Simplified Arabic"/>
                                          <w:b/>
                                          <w:bCs/>
                                          <w:color w:val="000000" w:themeColor="text1"/>
                                          <w:sz w:val="28"/>
                                          <w:szCs w:val="28"/>
                                          <w:rtl/>
                                        </w:rPr>
                                        <w:t>معهد تسيير التقنيات الحضرية</w:t>
                                      </w:r>
                                    </w:p>
                                    <w:p w:rsidR="00D13702" w:rsidRPr="00984A95" w:rsidRDefault="00D13702" w:rsidP="00C84FE2">
                                      <w:pPr>
                                        <w:bidi/>
                                        <w:spacing w:after="0" w:line="240" w:lineRule="auto"/>
                                        <w:jc w:val="center"/>
                                        <w:rPr>
                                          <w:rFonts w:asciiTheme="majorBidi" w:hAnsiTheme="majorBidi" w:cstheme="majorBidi"/>
                                          <w:b/>
                                          <w:bCs/>
                                          <w:color w:val="000000" w:themeColor="text1"/>
                                        </w:rPr>
                                      </w:pPr>
                                      <w:r w:rsidRPr="00984A95">
                                        <w:rPr>
                                          <w:rFonts w:asciiTheme="majorBidi" w:hAnsiTheme="majorBidi" w:cstheme="majorBidi"/>
                                          <w:b/>
                                          <w:bCs/>
                                          <w:color w:val="000000" w:themeColor="text1"/>
                                        </w:rPr>
                                        <w:t>Institut de Gestion des Techniques Urbaines</w:t>
                                      </w:r>
                                    </w:p>
                                    <w:p w:rsidR="00D13702" w:rsidRDefault="00D13702" w:rsidP="00C84FE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8" o:spid="_x0000_s1031" style="position:absolute;left:0;text-align:left;margin-left:119.65pt;margin-top:9.45pt;width:247.3pt;height:45.4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" filled="f" stroked="f" strokeweight="2pt">
                          <v:textbox>
                            <w:txbxContent>
                              <w:p w:rsidR="00D13702" w:rsidRPr="0064593B" w:rsidRDefault="00D13702" w:rsidP="00C84FE2">
                                <w:pPr>
                                  <w:bidi/>
                                  <w:spacing w:after="0" w:line="240" w:lineRule="auto"/>
                                  <w:jc w:val="center"/>
                                  <w:rPr>
                                    <w:rFonts w:ascii="Simplified Arabic" w:hAnsi="Simplified Arabic" w:cs="Simplified Arabic"/>
                                    <w:b/>
                                    <w:bCs/>
                                    <w:color w:val="000000" w:themeColor="text1"/>
                                    <w:sz w:val="28"/>
                                    <w:szCs w:val="28"/>
                                  </w:rPr>
                                </w:pPr>
                                <w:r w:rsidRPr="0064593B">
                                  <w:rPr>
                                    <w:rFonts w:ascii="Simplified Arabic" w:hAnsi="Simplified Arabic" w:cs="Simplified Arabic"/>
                                    <w:b/>
                                    <w:bCs/>
                                    <w:color w:val="000000" w:themeColor="text1"/>
                                    <w:sz w:val="28"/>
                                    <w:szCs w:val="28"/>
                                    <w:rtl/>
                                  </w:rPr>
                                  <w:t>معهد تسيير التقنيات الحضرية</w:t>
                                </w:r>
                              </w:p>
                              <w:p w:rsidR="00D13702" w:rsidRPr="00984A95" w:rsidRDefault="00D13702" w:rsidP="00C84FE2">
                                <w:pPr>
                                  <w:bidi/>
                                  <w:spacing w:after="0" w:line="240" w:lineRule="auto"/>
                                  <w:jc w:val="center"/>
                                  <w:rPr>
                                    <w:rFonts w:asciiTheme="majorBidi" w:hAnsiTheme="majorBidi" w:cstheme="majorBidi"/>
                                    <w:b/>
                                    <w:bCs/>
                                    <w:color w:val="000000" w:themeColor="text1"/>
                                  </w:rPr>
                                </w:pPr>
                                <w:r w:rsidRPr="00984A95">
                                  <w:rPr>
                                    <w:rFonts w:asciiTheme="majorBidi" w:hAnsiTheme="majorBidi" w:cstheme="majorBidi"/>
                                    <w:b/>
                                    <w:bCs/>
                                    <w:color w:val="000000" w:themeColor="text1"/>
                                  </w:rPr>
                                  <w:t>Institut de Gestion des Techniques Urbaines</w:t>
                                </w:r>
                              </w:p>
                              <w:p w:rsidR="00D13702" w:rsidRDefault="00D13702" w:rsidP="00C84FE2">
                                <w:pPr>
                                  <w:jc w:val="center"/>
                                </w:pPr>
                              </w:p>
                            </w:txbxContent>
                          </v:textbox>
                        </v:rect>
                      </w:pict>
                    </mc:Fallback>
                  </mc:AlternateContent>
                </w:r>
              </w:p>
              <w:p w:rsidR="00C84FE2" w:rsidRPr="00B10410" w:rsidRDefault="00C84FE2" w:rsidP="00C84FE2">
                <w:pPr>
                  <w:autoSpaceDE w:val="0"/>
                  <w:autoSpaceDN w:val="0"/>
                  <w:bidi/>
                  <w:adjustRightInd w:val="0"/>
                  <w:spacing w:after="0" w:line="240" w:lineRule="auto"/>
                  <w:rPr>
                    <w:rFonts w:ascii="Arabic Typesetting" w:hAnsi="Arabic Typesetting" w:cs="Arabic Typesetting"/>
                    <w:b/>
                    <w:bCs/>
                    <w:sz w:val="24"/>
                    <w:szCs w:val="24"/>
                    <w:rtl/>
                  </w:rPr>
                </w:pPr>
              </w:p>
              <w:p w:rsidR="00C84FE2" w:rsidRDefault="00C84FE2" w:rsidP="00896AF5">
                <w:pPr>
                  <w:autoSpaceDE w:val="0"/>
                  <w:autoSpaceDN w:val="0"/>
                  <w:bidi/>
                  <w:adjustRightInd w:val="0"/>
                  <w:spacing w:after="0" w:line="240" w:lineRule="auto"/>
                  <w:rPr>
                    <w:rFonts w:ascii="Simplified Arabic" w:hAnsi="Simplified Arabic" w:cs="Simplified Arabic"/>
                    <w:b/>
                    <w:bCs/>
                    <w:sz w:val="24"/>
                    <w:szCs w:val="24"/>
                    <w:rtl/>
                  </w:rPr>
                </w:pPr>
              </w:p>
              <w:p w:rsidR="00C84FE2" w:rsidRDefault="00C84FE2" w:rsidP="00630334">
                <w:pPr>
                  <w:tabs>
                    <w:tab w:val="right" w:pos="4497"/>
                  </w:tabs>
                  <w:autoSpaceDE w:val="0"/>
                  <w:autoSpaceDN w:val="0"/>
                  <w:bidi/>
                  <w:adjustRightInd w:val="0"/>
                  <w:spacing w:after="0" w:line="240" w:lineRule="auto"/>
                  <w:rPr>
                    <w:rFonts w:ascii="Simplified Arabic" w:hAnsi="Simplified Arabic" w:cs="Simplified Arabic"/>
                    <w:b/>
                    <w:bCs/>
                    <w:sz w:val="24"/>
                    <w:szCs w:val="24"/>
                    <w:rtl/>
                  </w:rPr>
                </w:pPr>
              </w:p>
              <w:p w:rsidR="00C84FE2" w:rsidRPr="00B10410" w:rsidRDefault="00C84FE2" w:rsidP="00C84FE2">
                <w:pPr>
                  <w:autoSpaceDE w:val="0"/>
                  <w:autoSpaceDN w:val="0"/>
                  <w:bidi/>
                  <w:adjustRightInd w:val="0"/>
                  <w:spacing w:after="0" w:line="240" w:lineRule="auto"/>
                  <w:rPr>
                    <w:rFonts w:asciiTheme="minorBidi" w:hAnsiTheme="minorBidi"/>
                    <w:sz w:val="24"/>
                    <w:szCs w:val="24"/>
                    <w:rtl/>
                  </w:rPr>
                </w:pPr>
                <w:r w:rsidRPr="00B10410">
                  <w:rPr>
                    <w:rFonts w:ascii="Simplified Arabic" w:hAnsi="Simplified Arabic" w:cs="Simplified Arabic"/>
                    <w:b/>
                    <w:bCs/>
                    <w:sz w:val="24"/>
                    <w:szCs w:val="24"/>
                    <w:rtl/>
                  </w:rPr>
                  <w:t>الرقم التسلسلي:</w:t>
                </w:r>
                <w:r w:rsidRPr="00B10410">
                  <w:rPr>
                    <w:rFonts w:ascii="Arabic Typesetting" w:hAnsi="Arabic Typesetting" w:cs="Arabic Typesetting" w:hint="cs"/>
                    <w:b/>
                    <w:bCs/>
                    <w:sz w:val="24"/>
                    <w:szCs w:val="24"/>
                    <w:rtl/>
                  </w:rPr>
                  <w:t xml:space="preserve"> </w:t>
                </w:r>
                <w:r w:rsidRPr="00917C49">
                  <w:rPr>
                    <w:rFonts w:ascii="Simplified Arabic" w:hAnsi="Simplified Arabic" w:cs="Simplified Arabic"/>
                    <w:b/>
                    <w:bCs/>
                    <w:sz w:val="12"/>
                    <w:szCs w:val="12"/>
                  </w:rPr>
                  <w:t>………………………………………………</w:t>
                </w:r>
                <w:r w:rsidRPr="00917C49">
                  <w:rPr>
                    <w:rFonts w:asciiTheme="minorBidi" w:hAnsiTheme="minorBidi"/>
                    <w:sz w:val="12"/>
                    <w:szCs w:val="12"/>
                    <w:rtl/>
                  </w:rPr>
                  <w:t xml:space="preserve"> </w:t>
                </w:r>
              </w:p>
              <w:p w:rsidR="00C84FE2" w:rsidRPr="00C84FE2" w:rsidRDefault="00C84FE2" w:rsidP="00C84FE2">
                <w:pPr>
                  <w:autoSpaceDE w:val="0"/>
                  <w:autoSpaceDN w:val="0"/>
                  <w:bidi/>
                  <w:adjustRightInd w:val="0"/>
                  <w:spacing w:after="0" w:line="240" w:lineRule="auto"/>
                  <w:rPr>
                    <w:rFonts w:asciiTheme="minorBidi" w:hAnsiTheme="minorBidi"/>
                    <w:sz w:val="24"/>
                    <w:szCs w:val="24"/>
                    <w:rtl/>
                  </w:rPr>
                </w:pPr>
                <w:r w:rsidRPr="00B10410">
                  <w:rPr>
                    <w:rFonts w:ascii="Simplified Arabic" w:hAnsi="Simplified Arabic" w:cs="Simplified Arabic"/>
                    <w:b/>
                    <w:bCs/>
                    <w:sz w:val="24"/>
                    <w:szCs w:val="24"/>
                    <w:rtl/>
                  </w:rPr>
                  <w:t>رقم التسجيل:</w:t>
                </w:r>
                <w:r w:rsidRPr="00B10410">
                  <w:rPr>
                    <w:rFonts w:ascii="Arabic Typesetting" w:hAnsi="Arabic Typesetting" w:cs="Arabic Typesetting" w:hint="cs"/>
                    <w:b/>
                    <w:bCs/>
                    <w:sz w:val="24"/>
                    <w:szCs w:val="24"/>
                    <w:rtl/>
                  </w:rPr>
                  <w:t xml:space="preserve"> </w:t>
                </w:r>
                <w:r w:rsidRPr="00B10410">
                  <w:rPr>
                    <w:rFonts w:asciiTheme="majorBidi" w:hAnsiTheme="majorBidi" w:cstheme="majorBidi"/>
                    <w:b/>
                    <w:bCs/>
                    <w:sz w:val="24"/>
                    <w:szCs w:val="24"/>
                  </w:rPr>
                  <w:t>D.GTU/3C/08/17</w:t>
                </w:r>
                <w:r w:rsidRPr="00B10410">
                  <w:rPr>
                    <w:rFonts w:asciiTheme="minorBidi" w:hAnsiTheme="minorBidi"/>
                    <w:sz w:val="24"/>
                    <w:szCs w:val="24"/>
                    <w:rtl/>
                  </w:rPr>
                  <w:t xml:space="preserve"> </w:t>
                </w:r>
              </w:p>
              <w:p w:rsidR="00C84FE2" w:rsidRPr="000F148E" w:rsidRDefault="00C84FE2" w:rsidP="00C84FE2">
                <w:pPr>
                  <w:autoSpaceDE w:val="0"/>
                  <w:autoSpaceDN w:val="0"/>
                  <w:bidi/>
                  <w:adjustRightInd w:val="0"/>
                  <w:spacing w:after="0" w:line="240" w:lineRule="auto"/>
                  <w:jc w:val="center"/>
                  <w:rPr>
                    <w:rFonts w:ascii="Simplified Arabic" w:hAnsi="Simplified Arabic" w:cs="Simplified Arabic"/>
                    <w:b/>
                    <w:bCs/>
                    <w:sz w:val="52"/>
                    <w:szCs w:val="52"/>
                    <w:rtl/>
                  </w:rPr>
                </w:pPr>
                <w:r w:rsidRPr="000F148E">
                  <w:rPr>
                    <w:rFonts w:ascii="Simplified Arabic" w:hAnsi="Simplified Arabic" w:cs="Simplified Arabic"/>
                    <w:b/>
                    <w:bCs/>
                    <w:sz w:val="52"/>
                    <w:szCs w:val="52"/>
                    <w:rtl/>
                  </w:rPr>
                  <w:t xml:space="preserve">اطروحة </w:t>
                </w:r>
              </w:p>
              <w:p w:rsidR="00C84FE2" w:rsidRPr="0034445F" w:rsidRDefault="00C84FE2" w:rsidP="00C84FE2">
                <w:pPr>
                  <w:bidi/>
                  <w:spacing w:after="0" w:line="240" w:lineRule="auto"/>
                  <w:jc w:val="center"/>
                  <w:rPr>
                    <w:rFonts w:ascii="Simplified Arabic" w:hAnsi="Simplified Arabic" w:cs="Simplified Arabic"/>
                    <w:b/>
                    <w:bCs/>
                    <w:sz w:val="32"/>
                    <w:szCs w:val="32"/>
                  </w:rPr>
                </w:pPr>
                <w:r w:rsidRPr="0034445F">
                  <w:rPr>
                    <w:rFonts w:ascii="Simplified Arabic" w:hAnsi="Simplified Arabic" w:cs="Simplified Arabic"/>
                    <w:b/>
                    <w:bCs/>
                    <w:sz w:val="32"/>
                    <w:szCs w:val="32"/>
                    <w:rtl/>
                  </w:rPr>
                  <w:t>م</w:t>
                </w:r>
                <w:r w:rsidR="00ED083D">
                  <w:rPr>
                    <w:rFonts w:ascii="Simplified Arabic" w:hAnsi="Simplified Arabic" w:cs="Simplified Arabic" w:hint="cs"/>
                    <w:b/>
                    <w:bCs/>
                    <w:sz w:val="32"/>
                    <w:szCs w:val="32"/>
                    <w:rtl/>
                  </w:rPr>
                  <w:t>ُ</w:t>
                </w:r>
                <w:r w:rsidRPr="0034445F">
                  <w:rPr>
                    <w:rFonts w:ascii="Simplified Arabic" w:hAnsi="Simplified Arabic" w:cs="Simplified Arabic"/>
                    <w:b/>
                    <w:bCs/>
                    <w:sz w:val="32"/>
                    <w:szCs w:val="32"/>
                    <w:rtl/>
                  </w:rPr>
                  <w:t>قدّم</w:t>
                </w:r>
                <w:r w:rsidR="00ED083D">
                  <w:rPr>
                    <w:rFonts w:ascii="Simplified Arabic" w:hAnsi="Simplified Arabic" w:cs="Simplified Arabic" w:hint="cs"/>
                    <w:b/>
                    <w:bCs/>
                    <w:sz w:val="32"/>
                    <w:szCs w:val="32"/>
                    <w:rtl/>
                  </w:rPr>
                  <w:t>َ</w:t>
                </w:r>
                <w:r w:rsidRPr="0034445F">
                  <w:rPr>
                    <w:rFonts w:ascii="Simplified Arabic" w:hAnsi="Simplified Arabic" w:cs="Simplified Arabic"/>
                    <w:b/>
                    <w:bCs/>
                    <w:sz w:val="32"/>
                    <w:szCs w:val="32"/>
                    <w:rtl/>
                  </w:rPr>
                  <w:t xml:space="preserve">ة لنيل شهادة دكتوراه الطور الثالث </w:t>
                </w:r>
                <w:r w:rsidRPr="0034445F">
                  <w:rPr>
                    <w:rFonts w:ascii="Simplified Arabic" w:hAnsi="Simplified Arabic" w:cs="Simplified Arabic" w:hint="cs"/>
                    <w:b/>
                    <w:bCs/>
                    <w:sz w:val="32"/>
                    <w:szCs w:val="32"/>
                    <w:rtl/>
                  </w:rPr>
                  <w:t>(</w:t>
                </w:r>
                <w:r w:rsidRPr="0034445F">
                  <w:rPr>
                    <w:rFonts w:asciiTheme="majorBidi" w:hAnsiTheme="majorBidi" w:cstheme="majorBidi"/>
                    <w:b/>
                    <w:bCs/>
                    <w:sz w:val="32"/>
                    <w:szCs w:val="32"/>
                  </w:rPr>
                  <w:t>LMD</w:t>
                </w:r>
                <w:r w:rsidRPr="0034445F">
                  <w:rPr>
                    <w:rFonts w:ascii="Simplified Arabic" w:hAnsi="Simplified Arabic" w:cs="Simplified Arabic" w:hint="cs"/>
                    <w:b/>
                    <w:bCs/>
                    <w:sz w:val="32"/>
                    <w:szCs w:val="32"/>
                    <w:rtl/>
                  </w:rPr>
                  <w:t>)</w:t>
                </w:r>
              </w:p>
              <w:p w:rsidR="00C84FE2" w:rsidRPr="0034445F" w:rsidRDefault="00C84FE2" w:rsidP="0034445F">
                <w:pPr>
                  <w:autoSpaceDE w:val="0"/>
                  <w:autoSpaceDN w:val="0"/>
                  <w:bidi/>
                  <w:adjustRightInd w:val="0"/>
                  <w:spacing w:after="0" w:line="240" w:lineRule="auto"/>
                  <w:jc w:val="center"/>
                  <w:rPr>
                    <w:rFonts w:ascii="Simplified Arabic" w:hAnsi="Simplified Arabic" w:cs="Simplified Arabic"/>
                    <w:b/>
                    <w:bCs/>
                    <w:sz w:val="32"/>
                    <w:szCs w:val="32"/>
                    <w:rtl/>
                  </w:rPr>
                </w:pPr>
                <w:r w:rsidRPr="0034445F">
                  <w:rPr>
                    <w:rFonts w:ascii="Simplified Arabic" w:hAnsi="Simplified Arabic" w:cs="Simplified Arabic"/>
                    <w:b/>
                    <w:bCs/>
                    <w:sz w:val="32"/>
                    <w:szCs w:val="32"/>
                    <w:rtl/>
                  </w:rPr>
                  <w:t xml:space="preserve">في </w:t>
                </w:r>
                <w:r w:rsidRPr="0034445F">
                  <w:rPr>
                    <w:rFonts w:ascii="Simplified Arabic" w:hAnsi="Simplified Arabic" w:cs="Simplified Arabic" w:hint="cs"/>
                    <w:b/>
                    <w:bCs/>
                    <w:sz w:val="32"/>
                    <w:szCs w:val="32"/>
                    <w:rtl/>
                  </w:rPr>
                  <w:t>تسيير التقنيات الحضرية</w:t>
                </w:r>
                <w:r w:rsidRPr="0034445F">
                  <w:rPr>
                    <w:rFonts w:ascii="Simplified Arabic" w:hAnsi="Simplified Arabic" w:cs="Simplified Arabic"/>
                    <w:b/>
                    <w:bCs/>
                    <w:sz w:val="32"/>
                    <w:szCs w:val="32"/>
                    <w:rtl/>
                  </w:rPr>
                  <w:t xml:space="preserve"> </w:t>
                </w:r>
              </w:p>
              <w:p w:rsidR="00C84FE2" w:rsidRPr="0034445F" w:rsidRDefault="00C84FE2" w:rsidP="00C84FE2">
                <w:pPr>
                  <w:autoSpaceDE w:val="0"/>
                  <w:autoSpaceDN w:val="0"/>
                  <w:bidi/>
                  <w:adjustRightInd w:val="0"/>
                  <w:spacing w:after="0" w:line="240" w:lineRule="auto"/>
                  <w:jc w:val="center"/>
                  <w:rPr>
                    <w:rFonts w:ascii="Simplified Arabic" w:hAnsi="Simplified Arabic" w:cs="Simplified Arabic"/>
                    <w:sz w:val="32"/>
                    <w:szCs w:val="32"/>
                    <w:rtl/>
                  </w:rPr>
                </w:pPr>
                <w:r w:rsidRPr="0034445F">
                  <w:rPr>
                    <w:rFonts w:ascii="Simplified Arabic" w:hAnsi="Simplified Arabic" w:cs="Simplified Arabic"/>
                    <w:b/>
                    <w:bCs/>
                    <w:sz w:val="32"/>
                    <w:szCs w:val="32"/>
                    <w:rtl/>
                  </w:rPr>
                  <w:t>تخصص</w:t>
                </w:r>
                <w:r w:rsidRPr="0034445F">
                  <w:rPr>
                    <w:rFonts w:ascii="Simplified Arabic" w:hAnsi="Simplified Arabic" w:cs="Simplified Arabic"/>
                    <w:sz w:val="32"/>
                    <w:szCs w:val="32"/>
                    <w:rtl/>
                  </w:rPr>
                  <w:t xml:space="preserve">: </w:t>
                </w:r>
                <w:r w:rsidRPr="0034445F">
                  <w:rPr>
                    <w:rFonts w:ascii="Simplified Arabic" w:hAnsi="Simplified Arabic" w:cs="Simplified Arabic"/>
                    <w:b/>
                    <w:bCs/>
                    <w:sz w:val="32"/>
                    <w:szCs w:val="32"/>
                    <w:rtl/>
                  </w:rPr>
                  <w:t xml:space="preserve">هندسة </w:t>
                </w:r>
                <w:r w:rsidRPr="0034445F">
                  <w:rPr>
                    <w:rFonts w:ascii="Simplified Arabic" w:hAnsi="Simplified Arabic" w:cs="Simplified Arabic" w:hint="cs"/>
                    <w:b/>
                    <w:bCs/>
                    <w:sz w:val="32"/>
                    <w:szCs w:val="32"/>
                    <w:rtl/>
                  </w:rPr>
                  <w:t>عمرانية</w:t>
                </w:r>
                <w:r w:rsidRPr="0034445F">
                  <w:rPr>
                    <w:rFonts w:ascii="Simplified Arabic" w:hAnsi="Simplified Arabic" w:cs="Simplified Arabic"/>
                    <w:b/>
                    <w:bCs/>
                    <w:sz w:val="32"/>
                    <w:szCs w:val="32"/>
                    <w:rtl/>
                  </w:rPr>
                  <w:t xml:space="preserve"> </w:t>
                </w:r>
                <w:r w:rsidRPr="0034445F">
                  <w:rPr>
                    <w:rFonts w:ascii="Simplified Arabic" w:hAnsi="Simplified Arabic" w:cs="Simplified Arabic" w:hint="cs"/>
                    <w:b/>
                    <w:bCs/>
                    <w:sz w:val="32"/>
                    <w:szCs w:val="32"/>
                    <w:rtl/>
                  </w:rPr>
                  <w:t>(</w:t>
                </w:r>
                <w:r w:rsidRPr="00184517">
                  <w:rPr>
                    <w:rFonts w:ascii="Simplified Arabic" w:hAnsi="Simplified Arabic" w:cs="Simplified Arabic"/>
                    <w:b/>
                    <w:bCs/>
                    <w:sz w:val="32"/>
                    <w:szCs w:val="32"/>
                    <w:rtl/>
                  </w:rPr>
                  <w:t>مدينة</w:t>
                </w:r>
                <w:r w:rsidRPr="00184517">
                  <w:rPr>
                    <w:rFonts w:ascii="Simplified Arabic" w:hAnsi="Simplified Arabic" w:cs="Simplified Arabic" w:hint="cs"/>
                    <w:b/>
                    <w:bCs/>
                    <w:sz w:val="32"/>
                    <w:szCs w:val="32"/>
                    <w:rtl/>
                  </w:rPr>
                  <w:t>، و</w:t>
                </w:r>
                <w:r w:rsidRPr="00184517">
                  <w:rPr>
                    <w:rFonts w:ascii="Simplified Arabic" w:hAnsi="Simplified Arabic" w:cs="Simplified Arabic"/>
                    <w:b/>
                    <w:bCs/>
                    <w:sz w:val="32"/>
                    <w:szCs w:val="32"/>
                    <w:rtl/>
                  </w:rPr>
                  <w:t xml:space="preserve">أخطار </w:t>
                </w:r>
                <w:r w:rsidRPr="00184517">
                  <w:rPr>
                    <w:rFonts w:ascii="Simplified Arabic" w:hAnsi="Simplified Arabic" w:cs="Simplified Arabic" w:hint="cs"/>
                    <w:b/>
                    <w:bCs/>
                    <w:sz w:val="32"/>
                    <w:szCs w:val="32"/>
                    <w:rtl/>
                  </w:rPr>
                  <w:t>حضرية)</w:t>
                </w:r>
                <w:r w:rsidRPr="0034445F">
                  <w:rPr>
                    <w:rFonts w:ascii="Simplified Arabic" w:hAnsi="Simplified Arabic" w:cs="Simplified Arabic"/>
                    <w:sz w:val="32"/>
                    <w:szCs w:val="32"/>
                    <w:rtl/>
                  </w:rPr>
                  <w:t xml:space="preserve"> </w:t>
                </w:r>
              </w:p>
              <w:p w:rsidR="00C84FE2" w:rsidRPr="000F148E" w:rsidRDefault="00C84FE2" w:rsidP="0034445F">
                <w:pPr>
                  <w:bidi/>
                  <w:spacing w:before="240" w:after="0" w:line="240" w:lineRule="auto"/>
                  <w:jc w:val="center"/>
                  <w:rPr>
                    <w:rFonts w:ascii="Simplified Arabic" w:hAnsi="Simplified Arabic" w:cs="Simplified Arabic"/>
                    <w:b/>
                    <w:bCs/>
                    <w:sz w:val="28"/>
                    <w:szCs w:val="28"/>
                    <w:rtl/>
                  </w:rPr>
                </w:pPr>
                <w:r w:rsidRPr="000F148E">
                  <w:rPr>
                    <w:rFonts w:ascii="Simplified Arabic" w:hAnsi="Simplified Arabic" w:cs="Simplified Arabic"/>
                    <w:b/>
                    <w:bCs/>
                    <w:sz w:val="28"/>
                    <w:szCs w:val="28"/>
                    <w:rtl/>
                  </w:rPr>
                  <w:t>بعنوان</w:t>
                </w:r>
                <w:r w:rsidRPr="000F148E">
                  <w:rPr>
                    <w:rFonts w:ascii="Simplified Arabic" w:hAnsi="Simplified Arabic" w:cs="Simplified Arabic"/>
                    <w:sz w:val="28"/>
                    <w:szCs w:val="28"/>
                    <w:rtl/>
                  </w:rPr>
                  <w:t>:</w:t>
                </w:r>
              </w:p>
              <w:p w:rsidR="00C84FE2" w:rsidRPr="00B10410" w:rsidRDefault="00C84FE2" w:rsidP="00C84FE2">
                <w:pPr>
                  <w:bidi/>
                  <w:spacing w:line="360" w:lineRule="auto"/>
                  <w:jc w:val="center"/>
                  <w:rPr>
                    <w:sz w:val="24"/>
                    <w:szCs w:val="24"/>
                    <w:rtl/>
                  </w:rPr>
                </w:pPr>
                <w:r w:rsidRPr="00B10410">
                  <w:rPr>
                    <w:rFonts w:ascii="Simplified Arabic,Bold" w:cs="Simplified Arabic,Bold"/>
                    <w:b/>
                    <w:bCs/>
                    <w:noProof/>
                    <w:sz w:val="24"/>
                    <w:szCs w:val="24"/>
                    <w:rtl/>
                    <w:lang w:eastAsia="fr-FR"/>
                  </w:rPr>
                  <mc:AlternateContent>
                    <mc:Choice Requires="wps">
                      <w:drawing>
                        <wp:anchor distT="0" distB="0" distL="114300" distR="114300" simplePos="0" relativeHeight="251908096" behindDoc="0" locked="0" layoutInCell="1" allowOverlap="1" wp14:anchorId="57A419EA" wp14:editId="4D8318B9">
                          <wp:simplePos x="0" y="0"/>
                          <wp:positionH relativeFrom="column">
                            <wp:posOffset>402589</wp:posOffset>
                          </wp:positionH>
                          <wp:positionV relativeFrom="paragraph">
                            <wp:posOffset>108585</wp:posOffset>
                          </wp:positionV>
                          <wp:extent cx="5648325" cy="1086929"/>
                          <wp:effectExtent l="19050" t="19050" r="28575" b="18415"/>
                          <wp:wrapNone/>
                          <wp:docPr id="8" name="Rectangle 8"/>
                          <wp:cNvGraphicFramePr/>
                          <a:graphic xmlns:a="http://schemas.openxmlformats.org/drawingml/2006/main">
                            <a:graphicData uri="http://schemas.microsoft.com/office/word/2010/wordprocessingShape">
                              <wps:wsp>
                                <wps:cNvSpPr/>
                                <wps:spPr>
                                  <a:xfrm>
                                    <a:off x="0" y="0"/>
                                    <a:ext cx="5648325" cy="1086929"/>
                                  </a:xfrm>
                                  <a:prstGeom prst="rect">
                                    <a:avLst/>
                                  </a:prstGeom>
                                  <a:ln w="31750">
                                    <a:solidFill>
                                      <a:schemeClr val="tx1"/>
                                    </a:solidFill>
                                  </a:ln>
                                </wps:spPr>
                                <wps:style>
                                  <a:lnRef idx="2">
                                    <a:schemeClr val="dk1"/>
                                  </a:lnRef>
                                  <a:fillRef idx="1">
                                    <a:schemeClr val="lt1"/>
                                  </a:fillRef>
                                  <a:effectRef idx="0">
                                    <a:schemeClr val="dk1"/>
                                  </a:effectRef>
                                  <a:fontRef idx="minor">
                                    <a:schemeClr val="dk1"/>
                                  </a:fontRef>
                                </wps:style>
                                <wps:txbx>
                                  <w:txbxContent>
                                    <w:p w:rsidR="00D13702" w:rsidRPr="0034445F" w:rsidRDefault="00D13702" w:rsidP="00C84FE2">
                                      <w:pPr>
                                        <w:bidi/>
                                        <w:spacing w:after="0" w:line="240" w:lineRule="auto"/>
                                        <w:jc w:val="center"/>
                                        <w:rPr>
                                          <w:rFonts w:ascii="Simplified Arabic" w:hAnsi="Simplified Arabic" w:cs="Simplified Arabic"/>
                                          <w:b/>
                                          <w:bCs/>
                                          <w:sz w:val="44"/>
                                          <w:szCs w:val="44"/>
                                          <w:highlight w:val="yellow"/>
                                          <w:rtl/>
                                        </w:rPr>
                                      </w:pPr>
                                      <w:r w:rsidRPr="0034445F">
                                        <w:rPr>
                                          <w:rFonts w:ascii="Simplified Arabic" w:hAnsi="Simplified Arabic" w:cs="Simplified Arabic"/>
                                          <w:b/>
                                          <w:bCs/>
                                          <w:sz w:val="44"/>
                                          <w:szCs w:val="44"/>
                                          <w:rtl/>
                                        </w:rPr>
                                        <w:t>أثر نمط است</w:t>
                                      </w:r>
                                      <w:r w:rsidRPr="0034445F">
                                        <w:rPr>
                                          <w:rFonts w:ascii="Simplified Arabic" w:hAnsi="Simplified Arabic" w:cs="Simplified Arabic" w:hint="cs"/>
                                          <w:b/>
                                          <w:bCs/>
                                          <w:sz w:val="44"/>
                                          <w:szCs w:val="44"/>
                                          <w:rtl/>
                                        </w:rPr>
                                        <w:t>ع</w:t>
                                      </w:r>
                                      <w:r w:rsidRPr="0034445F">
                                        <w:rPr>
                                          <w:rFonts w:ascii="Simplified Arabic" w:hAnsi="Simplified Arabic" w:cs="Simplified Arabic"/>
                                          <w:b/>
                                          <w:bCs/>
                                          <w:sz w:val="44"/>
                                          <w:szCs w:val="44"/>
                                          <w:rtl/>
                                        </w:rPr>
                                        <w:t>م</w:t>
                                      </w:r>
                                      <w:r w:rsidRPr="0034445F">
                                        <w:rPr>
                                          <w:rFonts w:ascii="Simplified Arabic" w:hAnsi="Simplified Arabic" w:cs="Simplified Arabic" w:hint="cs"/>
                                          <w:b/>
                                          <w:bCs/>
                                          <w:sz w:val="44"/>
                                          <w:szCs w:val="44"/>
                                          <w:rtl/>
                                        </w:rPr>
                                        <w:t>الات</w:t>
                                      </w:r>
                                      <w:r w:rsidRPr="0034445F">
                                        <w:rPr>
                                          <w:rFonts w:ascii="Simplified Arabic" w:hAnsi="Simplified Arabic" w:cs="Simplified Arabic"/>
                                          <w:b/>
                                          <w:bCs/>
                                          <w:sz w:val="44"/>
                                          <w:szCs w:val="44"/>
                                          <w:rtl/>
                                        </w:rPr>
                                        <w:t xml:space="preserve"> ال</w:t>
                                      </w:r>
                                      <w:r w:rsidRPr="0034445F">
                                        <w:rPr>
                                          <w:rFonts w:ascii="Simplified Arabic" w:hAnsi="Simplified Arabic" w:cs="Simplified Arabic" w:hint="cs"/>
                                          <w:b/>
                                          <w:bCs/>
                                          <w:sz w:val="44"/>
                                          <w:szCs w:val="44"/>
                                          <w:rtl/>
                                        </w:rPr>
                                        <w:t>أ</w:t>
                                      </w:r>
                                      <w:r w:rsidRPr="0034445F">
                                        <w:rPr>
                                          <w:rFonts w:ascii="Simplified Arabic" w:hAnsi="Simplified Arabic" w:cs="Simplified Arabic"/>
                                          <w:b/>
                                          <w:bCs/>
                                          <w:sz w:val="44"/>
                                          <w:szCs w:val="44"/>
                                          <w:rtl/>
                                        </w:rPr>
                                        <w:t>ر</w:t>
                                      </w:r>
                                      <w:r w:rsidRPr="0034445F">
                                        <w:rPr>
                                          <w:rFonts w:ascii="Simplified Arabic" w:hAnsi="Simplified Arabic" w:cs="Simplified Arabic" w:hint="cs"/>
                                          <w:b/>
                                          <w:bCs/>
                                          <w:sz w:val="44"/>
                                          <w:szCs w:val="44"/>
                                          <w:rtl/>
                                        </w:rPr>
                                        <w:t>ا</w:t>
                                      </w:r>
                                      <w:r w:rsidRPr="0034445F">
                                        <w:rPr>
                                          <w:rFonts w:ascii="Simplified Arabic" w:hAnsi="Simplified Arabic" w:cs="Simplified Arabic"/>
                                          <w:b/>
                                          <w:bCs/>
                                          <w:sz w:val="44"/>
                                          <w:szCs w:val="44"/>
                                          <w:rtl/>
                                        </w:rPr>
                                        <w:t>ض</w:t>
                                      </w:r>
                                      <w:r w:rsidRPr="0034445F">
                                        <w:rPr>
                                          <w:rFonts w:ascii="Simplified Arabic" w:hAnsi="Simplified Arabic" w:cs="Simplified Arabic" w:hint="cs"/>
                                          <w:b/>
                                          <w:bCs/>
                                          <w:sz w:val="44"/>
                                          <w:szCs w:val="44"/>
                                          <w:rtl/>
                                        </w:rPr>
                                        <w:t>ي</w:t>
                                      </w:r>
                                      <w:r w:rsidRPr="0034445F">
                                        <w:rPr>
                                          <w:rFonts w:ascii="Simplified Arabic" w:hAnsi="Simplified Arabic" w:cs="Simplified Arabic"/>
                                          <w:b/>
                                          <w:bCs/>
                                          <w:sz w:val="44"/>
                                          <w:szCs w:val="44"/>
                                          <w:rtl/>
                                        </w:rPr>
                                        <w:t xml:space="preserve"> الحضرية على مرونة ال</w:t>
                                      </w:r>
                                      <w:r w:rsidRPr="0034445F">
                                        <w:rPr>
                                          <w:rFonts w:ascii="Simplified Arabic" w:hAnsi="Simplified Arabic" w:cs="Simplified Arabic" w:hint="cs"/>
                                          <w:b/>
                                          <w:bCs/>
                                          <w:sz w:val="44"/>
                                          <w:szCs w:val="44"/>
                                          <w:rtl/>
                                        </w:rPr>
                                        <w:t>مد</w:t>
                                      </w:r>
                                      <w:r w:rsidRPr="0034445F">
                                        <w:rPr>
                                          <w:rFonts w:ascii="Simplified Arabic" w:hAnsi="Simplified Arabic" w:cs="Simplified Arabic"/>
                                          <w:b/>
                                          <w:bCs/>
                                          <w:sz w:val="44"/>
                                          <w:szCs w:val="44"/>
                                          <w:rtl/>
                                        </w:rPr>
                                        <w:t>ي</w:t>
                                      </w:r>
                                      <w:r w:rsidRPr="0034445F">
                                        <w:rPr>
                                          <w:rFonts w:ascii="Simplified Arabic" w:hAnsi="Simplified Arabic" w:cs="Simplified Arabic" w:hint="cs"/>
                                          <w:b/>
                                          <w:bCs/>
                                          <w:sz w:val="44"/>
                                          <w:szCs w:val="44"/>
                                          <w:rtl/>
                                        </w:rPr>
                                        <w:t>ن</w:t>
                                      </w:r>
                                      <w:r w:rsidRPr="0034445F">
                                        <w:rPr>
                                          <w:rFonts w:ascii="Simplified Arabic" w:hAnsi="Simplified Arabic" w:cs="Simplified Arabic"/>
                                          <w:b/>
                                          <w:bCs/>
                                          <w:sz w:val="44"/>
                                          <w:szCs w:val="44"/>
                                          <w:rtl/>
                                        </w:rPr>
                                        <w:t xml:space="preserve">ة </w:t>
                                      </w:r>
                                    </w:p>
                                    <w:p w:rsidR="00D13702" w:rsidRPr="0034445F" w:rsidRDefault="00D13702" w:rsidP="00C84FE2">
                                      <w:pPr>
                                        <w:bidi/>
                                        <w:spacing w:after="0" w:line="240" w:lineRule="auto"/>
                                        <w:jc w:val="center"/>
                                        <w:rPr>
                                          <w:sz w:val="24"/>
                                          <w:szCs w:val="24"/>
                                        </w:rPr>
                                      </w:pPr>
                                      <w:r w:rsidRPr="0034445F">
                                        <w:rPr>
                                          <w:rFonts w:ascii="Simplified Arabic" w:hAnsi="Simplified Arabic" w:cs="Simplified Arabic" w:hint="cs"/>
                                          <w:b/>
                                          <w:bCs/>
                                          <w:sz w:val="44"/>
                                          <w:szCs w:val="44"/>
                                          <w:rtl/>
                                        </w:rPr>
                                        <w:t xml:space="preserve">- </w:t>
                                      </w:r>
                                      <w:r w:rsidRPr="0034445F">
                                        <w:rPr>
                                          <w:rFonts w:ascii="Simplified Arabic" w:hAnsi="Simplified Arabic" w:cs="Simplified Arabic"/>
                                          <w:b/>
                                          <w:bCs/>
                                          <w:sz w:val="44"/>
                                          <w:szCs w:val="44"/>
                                          <w:rtl/>
                                        </w:rPr>
                                        <w:t>دراسة حالة مدينة بوسعاد</w:t>
                                      </w:r>
                                      <w:r w:rsidRPr="0034445F">
                                        <w:rPr>
                                          <w:rFonts w:ascii="Simplified Arabic" w:hAnsi="Simplified Arabic" w:cs="Simplified Arabic" w:hint="cs"/>
                                          <w:b/>
                                          <w:bCs/>
                                          <w:sz w:val="44"/>
                                          <w:szCs w:val="44"/>
                                          <w:rtl/>
                                        </w:rPr>
                                        <w:t>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32" style="position:absolute;left:0;text-align:left;margin-left:31.7pt;margin-top:8.55pt;width:444.75pt;height:85.6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" fillcolor="white [3201]" strokecolor="black [3213]" strokeweight="2.5pt">
                          <v:textbox>
                            <w:txbxContent>
                              <w:p w:rsidR="00D13702" w:rsidRPr="0034445F" w:rsidRDefault="00D13702" w:rsidP="00C84FE2">
                                <w:pPr>
                                  <w:bidi/>
                                  <w:spacing w:after="0" w:line="240" w:lineRule="auto"/>
                                  <w:jc w:val="center"/>
                                  <w:rPr>
                                    <w:rFonts w:ascii="Simplified Arabic" w:hAnsi="Simplified Arabic" w:cs="Simplified Arabic"/>
                                    <w:b/>
                                    <w:bCs/>
                                    <w:sz w:val="44"/>
                                    <w:szCs w:val="44"/>
                                    <w:highlight w:val="yellow"/>
                                    <w:rtl/>
                                  </w:rPr>
                                </w:pPr>
                                <w:r w:rsidRPr="0034445F">
                                  <w:rPr>
                                    <w:rFonts w:ascii="Simplified Arabic" w:hAnsi="Simplified Arabic" w:cs="Simplified Arabic"/>
                                    <w:b/>
                                    <w:bCs/>
                                    <w:sz w:val="44"/>
                                    <w:szCs w:val="44"/>
                                    <w:rtl/>
                                  </w:rPr>
                                  <w:t>أثر نمط است</w:t>
                                </w:r>
                                <w:r w:rsidRPr="0034445F">
                                  <w:rPr>
                                    <w:rFonts w:ascii="Simplified Arabic" w:hAnsi="Simplified Arabic" w:cs="Simplified Arabic" w:hint="cs"/>
                                    <w:b/>
                                    <w:bCs/>
                                    <w:sz w:val="44"/>
                                    <w:szCs w:val="44"/>
                                    <w:rtl/>
                                  </w:rPr>
                                  <w:t>ع</w:t>
                                </w:r>
                                <w:r w:rsidRPr="0034445F">
                                  <w:rPr>
                                    <w:rFonts w:ascii="Simplified Arabic" w:hAnsi="Simplified Arabic" w:cs="Simplified Arabic"/>
                                    <w:b/>
                                    <w:bCs/>
                                    <w:sz w:val="44"/>
                                    <w:szCs w:val="44"/>
                                    <w:rtl/>
                                  </w:rPr>
                                  <w:t>م</w:t>
                                </w:r>
                                <w:r w:rsidRPr="0034445F">
                                  <w:rPr>
                                    <w:rFonts w:ascii="Simplified Arabic" w:hAnsi="Simplified Arabic" w:cs="Simplified Arabic" w:hint="cs"/>
                                    <w:b/>
                                    <w:bCs/>
                                    <w:sz w:val="44"/>
                                    <w:szCs w:val="44"/>
                                    <w:rtl/>
                                  </w:rPr>
                                  <w:t>الات</w:t>
                                </w:r>
                                <w:r w:rsidRPr="0034445F">
                                  <w:rPr>
                                    <w:rFonts w:ascii="Simplified Arabic" w:hAnsi="Simplified Arabic" w:cs="Simplified Arabic"/>
                                    <w:b/>
                                    <w:bCs/>
                                    <w:sz w:val="44"/>
                                    <w:szCs w:val="44"/>
                                    <w:rtl/>
                                  </w:rPr>
                                  <w:t xml:space="preserve"> ال</w:t>
                                </w:r>
                                <w:r w:rsidRPr="0034445F">
                                  <w:rPr>
                                    <w:rFonts w:ascii="Simplified Arabic" w:hAnsi="Simplified Arabic" w:cs="Simplified Arabic" w:hint="cs"/>
                                    <w:b/>
                                    <w:bCs/>
                                    <w:sz w:val="44"/>
                                    <w:szCs w:val="44"/>
                                    <w:rtl/>
                                  </w:rPr>
                                  <w:t>أ</w:t>
                                </w:r>
                                <w:r w:rsidRPr="0034445F">
                                  <w:rPr>
                                    <w:rFonts w:ascii="Simplified Arabic" w:hAnsi="Simplified Arabic" w:cs="Simplified Arabic"/>
                                    <w:b/>
                                    <w:bCs/>
                                    <w:sz w:val="44"/>
                                    <w:szCs w:val="44"/>
                                    <w:rtl/>
                                  </w:rPr>
                                  <w:t>ر</w:t>
                                </w:r>
                                <w:r w:rsidRPr="0034445F">
                                  <w:rPr>
                                    <w:rFonts w:ascii="Simplified Arabic" w:hAnsi="Simplified Arabic" w:cs="Simplified Arabic" w:hint="cs"/>
                                    <w:b/>
                                    <w:bCs/>
                                    <w:sz w:val="44"/>
                                    <w:szCs w:val="44"/>
                                    <w:rtl/>
                                  </w:rPr>
                                  <w:t>ا</w:t>
                                </w:r>
                                <w:r w:rsidRPr="0034445F">
                                  <w:rPr>
                                    <w:rFonts w:ascii="Simplified Arabic" w:hAnsi="Simplified Arabic" w:cs="Simplified Arabic"/>
                                    <w:b/>
                                    <w:bCs/>
                                    <w:sz w:val="44"/>
                                    <w:szCs w:val="44"/>
                                    <w:rtl/>
                                  </w:rPr>
                                  <w:t>ض</w:t>
                                </w:r>
                                <w:r w:rsidRPr="0034445F">
                                  <w:rPr>
                                    <w:rFonts w:ascii="Simplified Arabic" w:hAnsi="Simplified Arabic" w:cs="Simplified Arabic" w:hint="cs"/>
                                    <w:b/>
                                    <w:bCs/>
                                    <w:sz w:val="44"/>
                                    <w:szCs w:val="44"/>
                                    <w:rtl/>
                                  </w:rPr>
                                  <w:t>ي</w:t>
                                </w:r>
                                <w:r w:rsidRPr="0034445F">
                                  <w:rPr>
                                    <w:rFonts w:ascii="Simplified Arabic" w:hAnsi="Simplified Arabic" w:cs="Simplified Arabic"/>
                                    <w:b/>
                                    <w:bCs/>
                                    <w:sz w:val="44"/>
                                    <w:szCs w:val="44"/>
                                    <w:rtl/>
                                  </w:rPr>
                                  <w:t xml:space="preserve"> الحضرية على مرونة ال</w:t>
                                </w:r>
                                <w:r w:rsidRPr="0034445F">
                                  <w:rPr>
                                    <w:rFonts w:ascii="Simplified Arabic" w:hAnsi="Simplified Arabic" w:cs="Simplified Arabic" w:hint="cs"/>
                                    <w:b/>
                                    <w:bCs/>
                                    <w:sz w:val="44"/>
                                    <w:szCs w:val="44"/>
                                    <w:rtl/>
                                  </w:rPr>
                                  <w:t>مد</w:t>
                                </w:r>
                                <w:r w:rsidRPr="0034445F">
                                  <w:rPr>
                                    <w:rFonts w:ascii="Simplified Arabic" w:hAnsi="Simplified Arabic" w:cs="Simplified Arabic"/>
                                    <w:b/>
                                    <w:bCs/>
                                    <w:sz w:val="44"/>
                                    <w:szCs w:val="44"/>
                                    <w:rtl/>
                                  </w:rPr>
                                  <w:t>ي</w:t>
                                </w:r>
                                <w:r w:rsidRPr="0034445F">
                                  <w:rPr>
                                    <w:rFonts w:ascii="Simplified Arabic" w:hAnsi="Simplified Arabic" w:cs="Simplified Arabic" w:hint="cs"/>
                                    <w:b/>
                                    <w:bCs/>
                                    <w:sz w:val="44"/>
                                    <w:szCs w:val="44"/>
                                    <w:rtl/>
                                  </w:rPr>
                                  <w:t>ن</w:t>
                                </w:r>
                                <w:r w:rsidRPr="0034445F">
                                  <w:rPr>
                                    <w:rFonts w:ascii="Simplified Arabic" w:hAnsi="Simplified Arabic" w:cs="Simplified Arabic"/>
                                    <w:b/>
                                    <w:bCs/>
                                    <w:sz w:val="44"/>
                                    <w:szCs w:val="44"/>
                                    <w:rtl/>
                                  </w:rPr>
                                  <w:t xml:space="preserve">ة </w:t>
                                </w:r>
                              </w:p>
                              <w:p w:rsidR="00D13702" w:rsidRPr="0034445F" w:rsidRDefault="00D13702" w:rsidP="00C84FE2">
                                <w:pPr>
                                  <w:bidi/>
                                  <w:spacing w:after="0" w:line="240" w:lineRule="auto"/>
                                  <w:jc w:val="center"/>
                                  <w:rPr>
                                    <w:sz w:val="24"/>
                                    <w:szCs w:val="24"/>
                                  </w:rPr>
                                </w:pPr>
                                <w:r w:rsidRPr="0034445F">
                                  <w:rPr>
                                    <w:rFonts w:ascii="Simplified Arabic" w:hAnsi="Simplified Arabic" w:cs="Simplified Arabic" w:hint="cs"/>
                                    <w:b/>
                                    <w:bCs/>
                                    <w:sz w:val="44"/>
                                    <w:szCs w:val="44"/>
                                    <w:rtl/>
                                  </w:rPr>
                                  <w:t xml:space="preserve">- </w:t>
                                </w:r>
                                <w:r w:rsidRPr="0034445F">
                                  <w:rPr>
                                    <w:rFonts w:ascii="Simplified Arabic" w:hAnsi="Simplified Arabic" w:cs="Simplified Arabic"/>
                                    <w:b/>
                                    <w:bCs/>
                                    <w:sz w:val="44"/>
                                    <w:szCs w:val="44"/>
                                    <w:rtl/>
                                  </w:rPr>
                                  <w:t>دراسة حالة مدينة بوسعاد</w:t>
                                </w:r>
                                <w:r w:rsidRPr="0034445F">
                                  <w:rPr>
                                    <w:rFonts w:ascii="Simplified Arabic" w:hAnsi="Simplified Arabic" w:cs="Simplified Arabic" w:hint="cs"/>
                                    <w:b/>
                                    <w:bCs/>
                                    <w:sz w:val="44"/>
                                    <w:szCs w:val="44"/>
                                    <w:rtl/>
                                  </w:rPr>
                                  <w:t>ة -</w:t>
                                </w:r>
                              </w:p>
                            </w:txbxContent>
                          </v:textbox>
                        </v:rect>
                      </w:pict>
                    </mc:Fallback>
                  </mc:AlternateContent>
                </w:r>
              </w:p>
              <w:p w:rsidR="00C84FE2" w:rsidRPr="00B10410" w:rsidRDefault="00C84FE2" w:rsidP="00C84FE2">
                <w:pPr>
                  <w:bidi/>
                  <w:spacing w:line="480" w:lineRule="auto"/>
                  <w:jc w:val="center"/>
                  <w:rPr>
                    <w:sz w:val="24"/>
                    <w:szCs w:val="24"/>
                    <w:rtl/>
                  </w:rPr>
                </w:pPr>
              </w:p>
              <w:p w:rsidR="00C84FE2" w:rsidRPr="00B10410" w:rsidRDefault="00C84FE2" w:rsidP="00C84FE2">
                <w:pPr>
                  <w:bidi/>
                  <w:spacing w:line="480" w:lineRule="auto"/>
                  <w:jc w:val="center"/>
                  <w:rPr>
                    <w:sz w:val="24"/>
                    <w:szCs w:val="24"/>
                    <w:rtl/>
                  </w:rPr>
                </w:pPr>
              </w:p>
              <w:p w:rsidR="00C84FE2" w:rsidRDefault="00C84FE2" w:rsidP="00C84FE2">
                <w:pPr>
                  <w:autoSpaceDE w:val="0"/>
                  <w:autoSpaceDN w:val="0"/>
                  <w:bidi/>
                  <w:adjustRightInd w:val="0"/>
                  <w:spacing w:after="0" w:line="240" w:lineRule="auto"/>
                  <w:jc w:val="center"/>
                  <w:rPr>
                    <w:rFonts w:ascii="Simplified Arabic" w:hAnsi="Simplified Arabic" w:cs="Simplified Arabic"/>
                    <w:sz w:val="24"/>
                    <w:szCs w:val="24"/>
                    <w:rtl/>
                  </w:rPr>
                </w:pPr>
                <w:r>
                  <w:rPr>
                    <w:rFonts w:ascii="Simplified Arabic" w:hAnsi="Simplified Arabic" w:cs="Simplified Arabic" w:hint="cs"/>
                    <w:b/>
                    <w:bCs/>
                    <w:sz w:val="24"/>
                    <w:szCs w:val="24"/>
                    <w:rtl/>
                  </w:rPr>
                  <w:t>مقدمة من طرف</w:t>
                </w:r>
                <w:r w:rsidRPr="00B10410">
                  <w:rPr>
                    <w:rFonts w:ascii="Simplified Arabic" w:hAnsi="Simplified Arabic" w:cs="Simplified Arabic"/>
                    <w:sz w:val="24"/>
                    <w:szCs w:val="24"/>
                    <w:rtl/>
                  </w:rPr>
                  <w:t xml:space="preserve">: </w:t>
                </w:r>
              </w:p>
              <w:p w:rsidR="00C84FE2" w:rsidRPr="000F148E" w:rsidRDefault="00C84FE2" w:rsidP="0034445F">
                <w:pPr>
                  <w:autoSpaceDE w:val="0"/>
                  <w:autoSpaceDN w:val="0"/>
                  <w:bidi/>
                  <w:adjustRightInd w:val="0"/>
                  <w:spacing w:line="240" w:lineRule="auto"/>
                  <w:jc w:val="center"/>
                  <w:rPr>
                    <w:rFonts w:ascii="Simplified Arabic" w:hAnsi="Simplified Arabic" w:cs="Simplified Arabic"/>
                    <w:b/>
                    <w:bCs/>
                    <w:sz w:val="36"/>
                    <w:szCs w:val="36"/>
                  </w:rPr>
                </w:pPr>
                <w:r w:rsidRPr="000F148E">
                  <w:rPr>
                    <w:rFonts w:ascii="Simplified Arabic" w:hAnsi="Simplified Arabic" w:cs="Simplified Arabic"/>
                    <w:b/>
                    <w:bCs/>
                    <w:sz w:val="36"/>
                    <w:szCs w:val="36"/>
                    <w:rtl/>
                  </w:rPr>
                  <w:t>معيـــوف زهــــير</w:t>
                </w:r>
              </w:p>
              <w:p w:rsidR="00C84FE2" w:rsidRPr="0034445F" w:rsidRDefault="00C84FE2" w:rsidP="0034445F">
                <w:pPr>
                  <w:tabs>
                    <w:tab w:val="left" w:pos="2208"/>
                  </w:tabs>
                  <w:bidi/>
                  <w:spacing w:after="0" w:line="240" w:lineRule="auto"/>
                  <w:jc w:val="center"/>
                  <w:rPr>
                    <w:rFonts w:ascii="Simplified Arabic" w:hAnsi="Simplified Arabic" w:cs="Simplified Arabic"/>
                    <w:b/>
                    <w:bCs/>
                    <w:sz w:val="28"/>
                    <w:szCs w:val="28"/>
                    <w:rtl/>
                  </w:rPr>
                </w:pPr>
                <w:r w:rsidRPr="0034445F">
                  <w:rPr>
                    <w:rFonts w:ascii="Simplified Arabic" w:hAnsi="Simplified Arabic" w:cs="Simplified Arabic"/>
                    <w:b/>
                    <w:bCs/>
                    <w:sz w:val="28"/>
                    <w:szCs w:val="28"/>
                    <w:rtl/>
                  </w:rPr>
                  <w:t>تمّت المناقشة علن</w:t>
                </w:r>
                <w:r w:rsidRPr="0034445F">
                  <w:rPr>
                    <w:rFonts w:ascii="Simplified Arabic" w:hAnsi="Simplified Arabic" w:cs="Simplified Arabic" w:hint="cs"/>
                    <w:b/>
                    <w:bCs/>
                    <w:sz w:val="28"/>
                    <w:szCs w:val="28"/>
                    <w:rtl/>
                  </w:rPr>
                  <w:t>ً</w:t>
                </w:r>
                <w:r w:rsidRPr="0034445F">
                  <w:rPr>
                    <w:rFonts w:ascii="Simplified Arabic" w:hAnsi="Simplified Arabic" w:cs="Simplified Arabic"/>
                    <w:b/>
                    <w:bCs/>
                    <w:sz w:val="28"/>
                    <w:szCs w:val="28"/>
                    <w:rtl/>
                  </w:rPr>
                  <w:t>ا</w:t>
                </w:r>
                <w:r w:rsidRPr="0034445F">
                  <w:rPr>
                    <w:rFonts w:ascii="Simplified Arabic" w:hAnsi="Simplified Arabic" w:cs="Simplified Arabic" w:hint="cs"/>
                    <w:b/>
                    <w:bCs/>
                    <w:sz w:val="28"/>
                    <w:szCs w:val="28"/>
                    <w:rtl/>
                    <w:lang w:bidi="ar-DZ"/>
                  </w:rPr>
                  <w:t>،</w:t>
                </w:r>
                <w:r w:rsidRPr="0034445F">
                  <w:rPr>
                    <w:rFonts w:ascii="Simplified Arabic" w:hAnsi="Simplified Arabic" w:cs="Simplified Arabic"/>
                    <w:b/>
                    <w:bCs/>
                    <w:sz w:val="28"/>
                    <w:szCs w:val="28"/>
                    <w:rtl/>
                  </w:rPr>
                  <w:t xml:space="preserve"> يوم:</w:t>
                </w:r>
                <w:r w:rsidRPr="0034445F">
                  <w:rPr>
                    <w:rFonts w:ascii="Simplified Arabic" w:hAnsi="Simplified Arabic" w:cs="Simplified Arabic" w:hint="cs"/>
                    <w:b/>
                    <w:bCs/>
                    <w:sz w:val="28"/>
                    <w:szCs w:val="28"/>
                    <w:rtl/>
                  </w:rPr>
                  <w:t xml:space="preserve"> </w:t>
                </w:r>
                <w:r w:rsidRPr="0034445F">
                  <w:rPr>
                    <w:rFonts w:ascii="Simplified Arabic" w:hAnsi="Simplified Arabic" w:cs="Simplified Arabic"/>
                    <w:b/>
                    <w:bCs/>
                    <w:sz w:val="28"/>
                    <w:szCs w:val="28"/>
                  </w:rPr>
                  <w:t>06</w:t>
                </w:r>
                <w:r w:rsidRPr="0034445F">
                  <w:rPr>
                    <w:rFonts w:ascii="Simplified Arabic" w:hAnsi="Simplified Arabic" w:cs="Simplified Arabic"/>
                    <w:b/>
                    <w:bCs/>
                    <w:sz w:val="28"/>
                    <w:szCs w:val="28"/>
                    <w:rtl/>
                  </w:rPr>
                  <w:t>/</w:t>
                </w:r>
                <w:r w:rsidRPr="0034445F">
                  <w:rPr>
                    <w:rFonts w:ascii="Simplified Arabic" w:hAnsi="Simplified Arabic" w:cs="Simplified Arabic" w:hint="cs"/>
                    <w:b/>
                    <w:bCs/>
                    <w:sz w:val="28"/>
                    <w:szCs w:val="28"/>
                    <w:rtl/>
                  </w:rPr>
                  <w:t>06</w:t>
                </w:r>
                <w:r w:rsidRPr="0034445F">
                  <w:rPr>
                    <w:rFonts w:ascii="Simplified Arabic" w:hAnsi="Simplified Arabic" w:cs="Simplified Arabic"/>
                    <w:b/>
                    <w:bCs/>
                    <w:sz w:val="28"/>
                    <w:szCs w:val="28"/>
                    <w:rtl/>
                  </w:rPr>
                  <w:t>/</w:t>
                </w:r>
                <w:r w:rsidRPr="0034445F">
                  <w:rPr>
                    <w:rFonts w:ascii="Simplified Arabic" w:hAnsi="Simplified Arabic" w:cs="Simplified Arabic" w:hint="cs"/>
                    <w:b/>
                    <w:bCs/>
                    <w:sz w:val="28"/>
                    <w:szCs w:val="28"/>
                    <w:rtl/>
                  </w:rPr>
                  <w:t>2024</w:t>
                </w:r>
              </w:p>
              <w:p w:rsidR="00C84FE2" w:rsidRPr="000F148E" w:rsidRDefault="00C84FE2" w:rsidP="0034445F">
                <w:pPr>
                  <w:tabs>
                    <w:tab w:val="left" w:pos="2208"/>
                  </w:tabs>
                  <w:bidi/>
                  <w:spacing w:after="0" w:line="240" w:lineRule="auto"/>
                  <w:jc w:val="center"/>
                  <w:rPr>
                    <w:rFonts w:ascii="Simplified Arabic" w:hAnsi="Simplified Arabic" w:cs="Simplified Arabic"/>
                    <w:b/>
                    <w:bCs/>
                    <w:sz w:val="28"/>
                    <w:szCs w:val="28"/>
                    <w:rtl/>
                  </w:rPr>
                </w:pPr>
                <w:r w:rsidRPr="000F148E">
                  <w:rPr>
                    <w:rFonts w:ascii="Simplified Arabic" w:hAnsi="Simplified Arabic" w:cs="Simplified Arabic"/>
                    <w:b/>
                    <w:bCs/>
                    <w:sz w:val="28"/>
                    <w:szCs w:val="28"/>
                    <w:rtl/>
                  </w:rPr>
                  <w:t>امام اعضاء لجنة المناقشة:</w:t>
                </w:r>
              </w:p>
              <w:tbl>
                <w:tblPr>
                  <w:bidiVisual/>
                  <w:tblW w:w="0" w:type="auto"/>
                  <w:jc w:val="center"/>
                  <w:tblLook w:val="04A0" w:firstRow="1" w:lastRow="0" w:firstColumn="1" w:lastColumn="0" w:noHBand="0" w:noVBand="1"/>
                </w:tblPr>
                <w:tblGrid>
                  <w:gridCol w:w="1632"/>
                  <w:gridCol w:w="2342"/>
                  <w:gridCol w:w="3610"/>
                  <w:gridCol w:w="1700"/>
                </w:tblGrid>
                <w:tr w:rsidR="00C84FE2" w:rsidRPr="00B10410" w:rsidTr="0034445F">
                  <w:trPr>
                    <w:trHeight w:val="535"/>
                    <w:jc w:val="center"/>
                  </w:trPr>
                  <w:tc>
                    <w:tcPr>
                      <w:tcW w:w="163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رجم علي</w:t>
                      </w:r>
                    </w:p>
                  </w:tc>
                  <w:tc>
                    <w:tcPr>
                      <w:tcW w:w="234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 xml:space="preserve">أستاذ التعليم العالي </w:t>
                      </w:r>
                    </w:p>
                  </w:tc>
                  <w:tc>
                    <w:tcPr>
                      <w:tcW w:w="361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 xml:space="preserve">جامعة </w:t>
                      </w:r>
                      <w:r w:rsidRPr="000F148E">
                        <w:rPr>
                          <w:rFonts w:ascii="Simplified Arabic" w:hAnsi="Simplified Arabic" w:cs="Simplified Arabic" w:hint="cs"/>
                          <w:b/>
                          <w:bCs/>
                          <w:sz w:val="28"/>
                          <w:szCs w:val="28"/>
                          <w:rtl/>
                          <w:lang w:bidi="ar-DZ"/>
                        </w:rPr>
                        <w:t xml:space="preserve">محمد بوضياف </w:t>
                      </w:r>
                      <w:r w:rsidRPr="000F148E">
                        <w:rPr>
                          <w:rFonts w:ascii="Simplified Arabic" w:hAnsi="Simplified Arabic" w:cs="Simplified Arabic"/>
                          <w:b/>
                          <w:bCs/>
                          <w:sz w:val="28"/>
                          <w:szCs w:val="28"/>
                          <w:rtl/>
                          <w:lang w:bidi="ar-DZ"/>
                        </w:rPr>
                        <w:t>–</w:t>
                      </w:r>
                      <w:r w:rsidRPr="000F148E">
                        <w:rPr>
                          <w:rFonts w:ascii="Simplified Arabic" w:hAnsi="Simplified Arabic" w:cs="Simplified Arabic" w:hint="cs"/>
                          <w:b/>
                          <w:bCs/>
                          <w:sz w:val="28"/>
                          <w:szCs w:val="28"/>
                          <w:rtl/>
                          <w:lang w:bidi="ar-DZ"/>
                        </w:rPr>
                        <w:t xml:space="preserve"> </w:t>
                      </w:r>
                      <w:r w:rsidRPr="000F148E">
                        <w:rPr>
                          <w:rFonts w:ascii="Simplified Arabic" w:hAnsi="Simplified Arabic" w:cs="Simplified Arabic" w:hint="cs"/>
                          <w:b/>
                          <w:bCs/>
                          <w:sz w:val="28"/>
                          <w:szCs w:val="28"/>
                          <w:rtl/>
                        </w:rPr>
                        <w:t>المسيلة-</w:t>
                      </w:r>
                    </w:p>
                  </w:tc>
                  <w:tc>
                    <w:tcPr>
                      <w:tcW w:w="170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b/>
                          <w:bCs/>
                          <w:sz w:val="28"/>
                          <w:szCs w:val="28"/>
                          <w:rtl/>
                        </w:rPr>
                        <w:t>رئيس</w:t>
                      </w:r>
                      <w:r w:rsidRPr="000F148E">
                        <w:rPr>
                          <w:rFonts w:ascii="Simplified Arabic" w:hAnsi="Simplified Arabic" w:cs="Simplified Arabic" w:hint="cs"/>
                          <w:b/>
                          <w:bCs/>
                          <w:sz w:val="28"/>
                          <w:szCs w:val="28"/>
                          <w:rtl/>
                        </w:rPr>
                        <w:t>ً</w:t>
                      </w:r>
                      <w:r w:rsidRPr="000F148E">
                        <w:rPr>
                          <w:rFonts w:ascii="Simplified Arabic" w:hAnsi="Simplified Arabic" w:cs="Simplified Arabic"/>
                          <w:b/>
                          <w:bCs/>
                          <w:sz w:val="28"/>
                          <w:szCs w:val="28"/>
                          <w:rtl/>
                        </w:rPr>
                        <w:t>ا</w:t>
                      </w:r>
                      <w:r w:rsidRPr="000F148E">
                        <w:rPr>
                          <w:rFonts w:ascii="Simplified Arabic" w:hAnsi="Simplified Arabic" w:cs="Simplified Arabic" w:hint="cs"/>
                          <w:b/>
                          <w:bCs/>
                          <w:sz w:val="28"/>
                          <w:szCs w:val="28"/>
                          <w:rtl/>
                        </w:rPr>
                        <w:t xml:space="preserve"> </w:t>
                      </w:r>
                    </w:p>
                  </w:tc>
                </w:tr>
                <w:tr w:rsidR="00C84FE2" w:rsidRPr="00B10410" w:rsidTr="0034445F">
                  <w:trPr>
                    <w:trHeight w:val="535"/>
                    <w:jc w:val="center"/>
                  </w:trPr>
                  <w:tc>
                    <w:tcPr>
                      <w:tcW w:w="163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b/>
                          <w:bCs/>
                          <w:sz w:val="28"/>
                          <w:szCs w:val="28"/>
                          <w:rtl/>
                        </w:rPr>
                        <w:t xml:space="preserve">إبراهيم نويـبات </w:t>
                      </w:r>
                    </w:p>
                  </w:tc>
                  <w:tc>
                    <w:tcPr>
                      <w:tcW w:w="234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b/>
                          <w:bCs/>
                          <w:sz w:val="28"/>
                          <w:szCs w:val="28"/>
                          <w:rtl/>
                        </w:rPr>
                        <w:t>أسـتاذ التعليم العالي</w:t>
                      </w:r>
                    </w:p>
                  </w:tc>
                  <w:tc>
                    <w:tcPr>
                      <w:tcW w:w="361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 xml:space="preserve">جامعة </w:t>
                      </w:r>
                      <w:r w:rsidRPr="000F148E">
                        <w:rPr>
                          <w:rFonts w:ascii="Simplified Arabic" w:hAnsi="Simplified Arabic" w:cs="Simplified Arabic" w:hint="cs"/>
                          <w:b/>
                          <w:bCs/>
                          <w:sz w:val="28"/>
                          <w:szCs w:val="28"/>
                          <w:rtl/>
                          <w:lang w:bidi="ar-DZ"/>
                        </w:rPr>
                        <w:t xml:space="preserve">محمد بوضياف </w:t>
                      </w:r>
                      <w:r w:rsidRPr="000F148E">
                        <w:rPr>
                          <w:rFonts w:ascii="Simplified Arabic" w:hAnsi="Simplified Arabic" w:cs="Simplified Arabic"/>
                          <w:b/>
                          <w:bCs/>
                          <w:sz w:val="28"/>
                          <w:szCs w:val="28"/>
                          <w:rtl/>
                          <w:lang w:bidi="ar-DZ"/>
                        </w:rPr>
                        <w:t>–</w:t>
                      </w:r>
                      <w:r w:rsidRPr="000F148E">
                        <w:rPr>
                          <w:rFonts w:ascii="Simplified Arabic" w:hAnsi="Simplified Arabic" w:cs="Simplified Arabic" w:hint="cs"/>
                          <w:b/>
                          <w:bCs/>
                          <w:sz w:val="28"/>
                          <w:szCs w:val="28"/>
                          <w:rtl/>
                          <w:lang w:bidi="ar-DZ"/>
                        </w:rPr>
                        <w:t xml:space="preserve"> </w:t>
                      </w:r>
                      <w:r w:rsidRPr="000F148E">
                        <w:rPr>
                          <w:rFonts w:ascii="Simplified Arabic" w:hAnsi="Simplified Arabic" w:cs="Simplified Arabic" w:hint="cs"/>
                          <w:b/>
                          <w:bCs/>
                          <w:sz w:val="28"/>
                          <w:szCs w:val="28"/>
                          <w:rtl/>
                        </w:rPr>
                        <w:t>المسيلة-</w:t>
                      </w:r>
                    </w:p>
                  </w:tc>
                  <w:tc>
                    <w:tcPr>
                      <w:tcW w:w="170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b/>
                          <w:bCs/>
                          <w:sz w:val="28"/>
                          <w:szCs w:val="28"/>
                        </w:rPr>
                        <w:t xml:space="preserve"> </w:t>
                      </w:r>
                      <w:r w:rsidRPr="000F148E">
                        <w:rPr>
                          <w:rFonts w:ascii="Simplified Arabic" w:hAnsi="Simplified Arabic" w:cs="Simplified Arabic" w:hint="cs"/>
                          <w:b/>
                          <w:bCs/>
                          <w:sz w:val="28"/>
                          <w:szCs w:val="28"/>
                          <w:rtl/>
                        </w:rPr>
                        <w:t>مشرفًا و</w:t>
                      </w:r>
                      <w:r w:rsidRPr="000F148E">
                        <w:rPr>
                          <w:rFonts w:ascii="Simplified Arabic" w:hAnsi="Simplified Arabic" w:cs="Simplified Arabic"/>
                          <w:b/>
                          <w:bCs/>
                          <w:sz w:val="28"/>
                          <w:szCs w:val="28"/>
                          <w:rtl/>
                        </w:rPr>
                        <w:t>مقرر</w:t>
                      </w:r>
                      <w:r w:rsidRPr="000F148E">
                        <w:rPr>
                          <w:rFonts w:ascii="Simplified Arabic" w:hAnsi="Simplified Arabic" w:cs="Simplified Arabic" w:hint="cs"/>
                          <w:b/>
                          <w:bCs/>
                          <w:sz w:val="28"/>
                          <w:szCs w:val="28"/>
                          <w:rtl/>
                        </w:rPr>
                        <w:t>ً</w:t>
                      </w:r>
                      <w:r w:rsidRPr="000F148E">
                        <w:rPr>
                          <w:rFonts w:ascii="Simplified Arabic" w:hAnsi="Simplified Arabic" w:cs="Simplified Arabic"/>
                          <w:b/>
                          <w:bCs/>
                          <w:sz w:val="28"/>
                          <w:szCs w:val="28"/>
                          <w:rtl/>
                        </w:rPr>
                        <w:t>ا</w:t>
                      </w:r>
                      <w:r w:rsidRPr="000F148E">
                        <w:rPr>
                          <w:rFonts w:ascii="Simplified Arabic" w:hAnsi="Simplified Arabic" w:cs="Simplified Arabic" w:hint="cs"/>
                          <w:b/>
                          <w:bCs/>
                          <w:sz w:val="28"/>
                          <w:szCs w:val="28"/>
                          <w:rtl/>
                        </w:rPr>
                        <w:t xml:space="preserve"> </w:t>
                      </w:r>
                    </w:p>
                  </w:tc>
                </w:tr>
                <w:tr w:rsidR="00C84FE2" w:rsidRPr="00B10410" w:rsidTr="0034445F">
                  <w:trPr>
                    <w:trHeight w:val="536"/>
                    <w:jc w:val="center"/>
                  </w:trPr>
                  <w:tc>
                    <w:tcPr>
                      <w:tcW w:w="163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حركات نعيم</w:t>
                      </w:r>
                    </w:p>
                  </w:tc>
                  <w:tc>
                    <w:tcPr>
                      <w:tcW w:w="234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أستاذ محاضر قسم "أ"</w:t>
                      </w:r>
                    </w:p>
                  </w:tc>
                  <w:tc>
                    <w:tcPr>
                      <w:tcW w:w="361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جامعة سطيف 1</w:t>
                      </w:r>
                    </w:p>
                  </w:tc>
                  <w:tc>
                    <w:tcPr>
                      <w:tcW w:w="170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b/>
                          <w:bCs/>
                          <w:sz w:val="28"/>
                          <w:szCs w:val="28"/>
                          <w:rtl/>
                        </w:rPr>
                        <w:t>ممتحن</w:t>
                      </w:r>
                      <w:r w:rsidRPr="000F148E">
                        <w:rPr>
                          <w:rFonts w:ascii="Simplified Arabic" w:hAnsi="Simplified Arabic" w:cs="Simplified Arabic" w:hint="cs"/>
                          <w:b/>
                          <w:bCs/>
                          <w:sz w:val="28"/>
                          <w:szCs w:val="28"/>
                          <w:rtl/>
                        </w:rPr>
                        <w:t>ً</w:t>
                      </w:r>
                      <w:r w:rsidRPr="000F148E">
                        <w:rPr>
                          <w:rFonts w:ascii="Simplified Arabic" w:hAnsi="Simplified Arabic" w:cs="Simplified Arabic"/>
                          <w:b/>
                          <w:bCs/>
                          <w:sz w:val="28"/>
                          <w:szCs w:val="28"/>
                          <w:rtl/>
                        </w:rPr>
                        <w:t>ا</w:t>
                      </w:r>
                    </w:p>
                  </w:tc>
                </w:tr>
                <w:tr w:rsidR="00C84FE2" w:rsidRPr="00B10410" w:rsidTr="0034445F">
                  <w:trPr>
                    <w:trHeight w:val="535"/>
                    <w:jc w:val="center"/>
                  </w:trPr>
                  <w:tc>
                    <w:tcPr>
                      <w:tcW w:w="163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 xml:space="preserve">ليفة آسيا </w:t>
                      </w:r>
                    </w:p>
                  </w:tc>
                  <w:tc>
                    <w:tcPr>
                      <w:tcW w:w="234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أستاذ محاضر قسم "أ"</w:t>
                      </w:r>
                    </w:p>
                  </w:tc>
                  <w:tc>
                    <w:tcPr>
                      <w:tcW w:w="361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جامعة قسنطينة 1</w:t>
                      </w:r>
                    </w:p>
                  </w:tc>
                  <w:tc>
                    <w:tcPr>
                      <w:tcW w:w="170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b/>
                          <w:bCs/>
                          <w:sz w:val="28"/>
                          <w:szCs w:val="28"/>
                          <w:rtl/>
                        </w:rPr>
                        <w:t>ممتحن</w:t>
                      </w:r>
                      <w:r w:rsidRPr="000F148E">
                        <w:rPr>
                          <w:rFonts w:ascii="Simplified Arabic" w:hAnsi="Simplified Arabic" w:cs="Simplified Arabic" w:hint="cs"/>
                          <w:b/>
                          <w:bCs/>
                          <w:sz w:val="28"/>
                          <w:szCs w:val="28"/>
                          <w:rtl/>
                        </w:rPr>
                        <w:t>ً</w:t>
                      </w:r>
                      <w:r w:rsidRPr="000F148E">
                        <w:rPr>
                          <w:rFonts w:ascii="Simplified Arabic" w:hAnsi="Simplified Arabic" w:cs="Simplified Arabic"/>
                          <w:b/>
                          <w:bCs/>
                          <w:sz w:val="28"/>
                          <w:szCs w:val="28"/>
                          <w:rtl/>
                        </w:rPr>
                        <w:t>ا</w:t>
                      </w:r>
                    </w:p>
                  </w:tc>
                </w:tr>
                <w:tr w:rsidR="00C84FE2" w:rsidRPr="00B10410" w:rsidTr="0034445F">
                  <w:trPr>
                    <w:trHeight w:val="535"/>
                    <w:jc w:val="center"/>
                  </w:trPr>
                  <w:tc>
                    <w:tcPr>
                      <w:tcW w:w="163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اودينة فاتح</w:t>
                      </w:r>
                    </w:p>
                  </w:tc>
                  <w:tc>
                    <w:tcPr>
                      <w:tcW w:w="2342"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 xml:space="preserve">أستاذ محاضر قسم "أ" </w:t>
                      </w:r>
                    </w:p>
                  </w:tc>
                  <w:tc>
                    <w:tcPr>
                      <w:tcW w:w="361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hint="cs"/>
                          <w:b/>
                          <w:bCs/>
                          <w:sz w:val="28"/>
                          <w:szCs w:val="28"/>
                          <w:rtl/>
                        </w:rPr>
                        <w:t xml:space="preserve">جامعة </w:t>
                      </w:r>
                      <w:r w:rsidRPr="000F148E">
                        <w:rPr>
                          <w:rFonts w:ascii="Simplified Arabic" w:hAnsi="Simplified Arabic" w:cs="Simplified Arabic" w:hint="cs"/>
                          <w:b/>
                          <w:bCs/>
                          <w:sz w:val="28"/>
                          <w:szCs w:val="28"/>
                          <w:rtl/>
                          <w:lang w:bidi="ar-DZ"/>
                        </w:rPr>
                        <w:t xml:space="preserve">محمد بوضياف </w:t>
                      </w:r>
                      <w:r w:rsidRPr="000F148E">
                        <w:rPr>
                          <w:rFonts w:ascii="Simplified Arabic" w:hAnsi="Simplified Arabic" w:cs="Simplified Arabic"/>
                          <w:b/>
                          <w:bCs/>
                          <w:sz w:val="28"/>
                          <w:szCs w:val="28"/>
                          <w:rtl/>
                          <w:lang w:bidi="ar-DZ"/>
                        </w:rPr>
                        <w:t>–</w:t>
                      </w:r>
                      <w:r w:rsidRPr="000F148E">
                        <w:rPr>
                          <w:rFonts w:ascii="Simplified Arabic" w:hAnsi="Simplified Arabic" w:cs="Simplified Arabic" w:hint="cs"/>
                          <w:b/>
                          <w:bCs/>
                          <w:sz w:val="28"/>
                          <w:szCs w:val="28"/>
                          <w:rtl/>
                        </w:rPr>
                        <w:t>المسيلة-</w:t>
                      </w:r>
                    </w:p>
                  </w:tc>
                  <w:tc>
                    <w:tcPr>
                      <w:tcW w:w="1700" w:type="dxa"/>
                      <w:vAlign w:val="center"/>
                    </w:tcPr>
                    <w:p w:rsidR="00C84FE2" w:rsidRPr="000F148E" w:rsidRDefault="00C84FE2" w:rsidP="00C84FE2">
                      <w:pPr>
                        <w:bidi/>
                        <w:spacing w:after="0"/>
                        <w:rPr>
                          <w:rFonts w:ascii="Simplified Arabic" w:hAnsi="Simplified Arabic" w:cs="Simplified Arabic"/>
                          <w:b/>
                          <w:bCs/>
                          <w:sz w:val="28"/>
                          <w:szCs w:val="28"/>
                          <w:rtl/>
                        </w:rPr>
                      </w:pPr>
                      <w:r w:rsidRPr="000F148E">
                        <w:rPr>
                          <w:rFonts w:ascii="Simplified Arabic" w:hAnsi="Simplified Arabic" w:cs="Simplified Arabic"/>
                          <w:b/>
                          <w:bCs/>
                          <w:sz w:val="28"/>
                          <w:szCs w:val="28"/>
                          <w:rtl/>
                        </w:rPr>
                        <w:t>ممتحن</w:t>
                      </w:r>
                      <w:r w:rsidRPr="000F148E">
                        <w:rPr>
                          <w:rFonts w:ascii="Simplified Arabic" w:hAnsi="Simplified Arabic" w:cs="Simplified Arabic" w:hint="cs"/>
                          <w:b/>
                          <w:bCs/>
                          <w:sz w:val="28"/>
                          <w:szCs w:val="28"/>
                          <w:rtl/>
                        </w:rPr>
                        <w:t>ً</w:t>
                      </w:r>
                      <w:r w:rsidRPr="000F148E">
                        <w:rPr>
                          <w:rFonts w:ascii="Simplified Arabic" w:hAnsi="Simplified Arabic" w:cs="Simplified Arabic"/>
                          <w:b/>
                          <w:bCs/>
                          <w:sz w:val="28"/>
                          <w:szCs w:val="28"/>
                          <w:rtl/>
                        </w:rPr>
                        <w:t>ا</w:t>
                      </w:r>
                    </w:p>
                  </w:tc>
                </w:tr>
              </w:tbl>
              <w:p w:rsidR="009E3A96" w:rsidRPr="00B10410" w:rsidRDefault="009E3A96" w:rsidP="009E3A96">
                <w:pPr>
                  <w:pStyle w:val="Sansinterligne"/>
                  <w:rPr>
                    <w:rFonts w:asciiTheme="majorHAnsi" w:eastAsiaTheme="majorEastAsia" w:hAnsiTheme="majorHAnsi" w:cstheme="majorBidi"/>
                    <w:caps/>
                    <w:sz w:val="24"/>
                    <w:szCs w:val="24"/>
                  </w:rPr>
                </w:pPr>
              </w:p>
            </w:tc>
          </w:tr>
        </w:tbl>
        <w:p w:rsidR="00627604" w:rsidRDefault="00766051" w:rsidP="00C84FE2">
          <w:pPr>
            <w:bidi/>
            <w:jc w:val="center"/>
            <w:rPr>
              <w:sz w:val="24"/>
              <w:szCs w:val="24"/>
              <w:rtl/>
            </w:rPr>
          </w:pPr>
          <w:r w:rsidRPr="00B10410">
            <w:rPr>
              <w:sz w:val="24"/>
              <w:szCs w:val="24"/>
            </w:rPr>
            <w:br w:type="page"/>
          </w:r>
        </w:p>
        <w:p w:rsidR="009E3A96" w:rsidRDefault="009E3A96" w:rsidP="00627604">
          <w:pPr>
            <w:bidi/>
            <w:jc w:val="center"/>
            <w:rPr>
              <w:sz w:val="24"/>
              <w:szCs w:val="24"/>
              <w:rtl/>
            </w:rPr>
          </w:pPr>
        </w:p>
        <w:p w:rsidR="009E3A96" w:rsidRPr="00B10410" w:rsidRDefault="009E3A96" w:rsidP="009E3A96">
          <w:pPr>
            <w:bidi/>
            <w:jc w:val="center"/>
            <w:rPr>
              <w:rFonts w:asciiTheme="minorBidi" w:eastAsia="Arial Unicode MS" w:hAnsiTheme="minorBidi"/>
              <w:sz w:val="24"/>
              <w:szCs w:val="24"/>
              <w:rtl/>
              <w:lang w:bidi="ar-DZ"/>
            </w:rPr>
          </w:pPr>
        </w:p>
        <w:p w:rsidR="009E3A96" w:rsidRDefault="009E3A96" w:rsidP="00692A88">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420034" w:rsidP="009E3A96">
          <w:pPr>
            <w:bidi/>
            <w:spacing w:after="0" w:line="240" w:lineRule="auto"/>
            <w:jc w:val="center"/>
            <w:rPr>
              <w:rFonts w:ascii="Simplified Arabic" w:eastAsia="Arial Unicode MS" w:hAnsi="Simplified Arabic" w:cs="Simplified Arabic"/>
              <w:b/>
              <w:bCs/>
              <w:sz w:val="40"/>
              <w:szCs w:val="40"/>
              <w:rtl/>
              <w:lang w:bidi="ar-DZ"/>
            </w:rPr>
          </w:pPr>
          <w:r w:rsidRPr="00B10410">
            <w:rPr>
              <w:rFonts w:hint="cs"/>
              <w:noProof/>
              <w:sz w:val="24"/>
              <w:szCs w:val="24"/>
              <w:rtl/>
              <w:lang w:eastAsia="fr-FR"/>
            </w:rPr>
            <mc:AlternateContent>
              <mc:Choice Requires="wps">
                <w:drawing>
                  <wp:anchor distT="0" distB="0" distL="114300" distR="114300" simplePos="0" relativeHeight="251805696" behindDoc="0" locked="0" layoutInCell="1" allowOverlap="1" wp14:anchorId="39584E92" wp14:editId="0BCAF6F5">
                    <wp:simplePos x="0" y="0"/>
                    <wp:positionH relativeFrom="column">
                      <wp:posOffset>625475</wp:posOffset>
                    </wp:positionH>
                    <wp:positionV relativeFrom="paragraph">
                      <wp:posOffset>229870</wp:posOffset>
                    </wp:positionV>
                    <wp:extent cx="5064760" cy="2389505"/>
                    <wp:effectExtent l="0" t="285750" r="0" b="372745"/>
                    <wp:wrapNone/>
                    <wp:docPr id="313" name="Rectangle à coins arrondis 313"/>
                    <wp:cNvGraphicFramePr/>
                    <a:graphic xmlns:a="http://schemas.openxmlformats.org/drawingml/2006/main">
                      <a:graphicData uri="http://schemas.microsoft.com/office/word/2010/wordprocessingShape">
                        <wps:wsp>
                          <wps:cNvSpPr/>
                          <wps:spPr>
                            <a:xfrm>
                              <a:off x="0" y="0"/>
                              <a:ext cx="5064760" cy="2389505"/>
                            </a:xfrm>
                            <a:prstGeom prst="roundRect">
                              <a:avLst/>
                            </a:prstGeom>
                            <a:noFill/>
                            <a:ln cmpd="dbl">
                              <a:solidFill>
                                <a:srgbClr val="00B0F0"/>
                              </a:solidFill>
                            </a:ln>
                            <a:effectLst>
                              <a:outerShdw blurRad="50800" dist="38100" dir="8100000" algn="tr" rotWithShape="0">
                                <a:prstClr val="black">
                                  <a:alpha val="40000"/>
                                </a:prstClr>
                              </a:outerShdw>
                            </a:effectLst>
                            <a:scene3d>
                              <a:camera prst="isometricOffAxis2Left"/>
                              <a:lightRig rig="threePt" dir="t"/>
                            </a:scene3d>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8607D4" w:rsidRDefault="00D13702" w:rsidP="009E3A96">
                                <w:pPr>
                                  <w:bidi/>
                                  <w:jc w:val="center"/>
                                  <w:rPr>
                                    <w:rFonts w:ascii="Arabic Typesetting" w:hAnsi="Arabic Typesetting" w:cs="Arabic Typesetting"/>
                                    <w:color w:val="00B0F0"/>
                                    <w:sz w:val="96"/>
                                    <w:szCs w:val="96"/>
                                    <w:rtl/>
                                  </w:rPr>
                                </w:pPr>
                                <w:r w:rsidRPr="008607D4">
                                  <w:rPr>
                                    <w:rFonts w:ascii="Arabic Typesetting" w:hAnsi="Arabic Typesetting" w:cs="Arabic Typesetting"/>
                                    <w:color w:val="00B0F0"/>
                                    <w:sz w:val="96"/>
                                    <w:szCs w:val="96"/>
                                    <w:rtl/>
                                  </w:rPr>
                                  <w:t>ب</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س</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م</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Pr>
                                  <w:t xml:space="preserve"> </w:t>
                                </w:r>
                                <w:r w:rsidRPr="008607D4">
                                  <w:rPr>
                                    <w:rFonts w:ascii="Arabic Typesetting" w:hAnsi="Arabic Typesetting" w:cs="Arabic Typesetting"/>
                                    <w:color w:val="00B0F0"/>
                                    <w:sz w:val="96"/>
                                    <w:szCs w:val="96"/>
                                    <w:rtl/>
                                  </w:rPr>
                                  <w:t>الله</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Pr>
                                  <w:t xml:space="preserve"> </w:t>
                                </w:r>
                                <w:r w:rsidRPr="008607D4">
                                  <w:rPr>
                                    <w:rFonts w:ascii="Arabic Typesetting" w:hAnsi="Arabic Typesetting" w:cs="Arabic Typesetting"/>
                                    <w:color w:val="00B0F0"/>
                                    <w:sz w:val="96"/>
                                    <w:szCs w:val="96"/>
                                    <w:rtl/>
                                  </w:rPr>
                                  <w:t>الر</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ح</w:t>
                                </w:r>
                                <w:r w:rsidRPr="008607D4">
                                  <w:rPr>
                                    <w:rFonts w:ascii="Arabic Typesetting" w:hAnsi="Arabic Typesetting" w:cs="Arabic Typesetting" w:hint="cs"/>
                                    <w:color w:val="00B0F0"/>
                                    <w:sz w:val="96"/>
                                    <w:szCs w:val="96"/>
                                    <w:rtl/>
                                  </w:rPr>
                                  <w:t>ْمَ</w:t>
                                </w:r>
                                <w:r w:rsidRPr="008607D4">
                                  <w:rPr>
                                    <w:rFonts w:ascii="Arabic Typesetting" w:hAnsi="Arabic Typesetting" w:cs="Arabic Typesetting"/>
                                    <w:color w:val="00B0F0"/>
                                    <w:sz w:val="96"/>
                                    <w:szCs w:val="96"/>
                                    <w:rtl/>
                                  </w:rPr>
                                  <w:t>ن</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Pr>
                                  <w:t xml:space="preserve"> </w:t>
                                </w:r>
                                <w:r w:rsidRPr="008607D4">
                                  <w:rPr>
                                    <w:rFonts w:ascii="Arabic Typesetting" w:hAnsi="Arabic Typesetting" w:cs="Arabic Typesetting"/>
                                    <w:color w:val="00B0F0"/>
                                    <w:sz w:val="96"/>
                                    <w:szCs w:val="96"/>
                                    <w:rtl/>
                                  </w:rPr>
                                  <w:t>الر</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ح</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يم</w:t>
                                </w:r>
                                <w:r w:rsidRPr="008607D4">
                                  <w:rPr>
                                    <w:rFonts w:ascii="Arabic Typesetting" w:hAnsi="Arabic Typesetting" w:cs="Arabic Typesetting" w:hint="cs"/>
                                    <w:color w:val="00B0F0"/>
                                    <w:sz w:val="96"/>
                                    <w:szCs w:val="96"/>
                                    <w:rtl/>
                                  </w:rPr>
                                  <w:t>ْ</w:t>
                                </w:r>
                              </w:p>
                              <w:p w:rsidR="00D13702" w:rsidRPr="004D575C" w:rsidRDefault="00D13702" w:rsidP="009E3A96">
                                <w:pPr>
                                  <w:bidi/>
                                  <w:spacing w:after="0" w:line="240" w:lineRule="auto"/>
                                  <w:jc w:val="center"/>
                                  <w:rPr>
                                    <w:rFonts w:ascii="Arabic Typesetting" w:hAnsi="Arabic Typesetting" w:cs="Arabic Typesetting"/>
                                    <w:color w:val="000000" w:themeColor="text1"/>
                                    <w:sz w:val="52"/>
                                    <w:szCs w:val="52"/>
                                    <w:vertAlign w:val="superscript"/>
                                    <w:rtl/>
                                  </w:rPr>
                                </w:pPr>
                                <w:r w:rsidRPr="004D575C">
                                  <w:rPr>
                                    <w:rFonts w:ascii="Arabic Typesetting" w:hAnsi="Arabic Typesetting" w:cs="Arabic Typesetting"/>
                                    <w:color w:val="000000" w:themeColor="text1"/>
                                    <w:sz w:val="48"/>
                                    <w:szCs w:val="48"/>
                                    <w:rtl/>
                                  </w:rPr>
                                  <w:t>ول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ئ</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س</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أ</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ت</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خ</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ق</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الس</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و</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ات</w:t>
                                </w:r>
                                <w:r>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و</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ْأَ</w:t>
                                </w:r>
                                <w:r w:rsidRPr="004D575C">
                                  <w:rPr>
                                    <w:rFonts w:ascii="Arabic Typesetting" w:hAnsi="Arabic Typesetting" w:cs="Arabic Typesetting"/>
                                    <w:color w:val="000000" w:themeColor="text1"/>
                                    <w:sz w:val="48"/>
                                    <w:szCs w:val="48"/>
                                    <w:rtl/>
                                  </w:rPr>
                                  <w:t>ر</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ض</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ق</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ول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 xml:space="preserve"> خ</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ق</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ز</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يز</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56"/>
                                    <w:szCs w:val="56"/>
                                    <w:vertAlign w:val="superscript"/>
                                    <w:rtl/>
                                  </w:rPr>
                                  <w:t>(9)</w:t>
                                </w:r>
                                <w:r w:rsidRPr="004D575C">
                                  <w:rPr>
                                    <w:rFonts w:ascii="Arabic Typesetting" w:hAnsi="Arabic Typesetting" w:cs="Arabic Typesetting"/>
                                    <w:color w:val="000000" w:themeColor="text1"/>
                                    <w:sz w:val="48"/>
                                    <w:szCs w:val="48"/>
                                    <w:rtl/>
                                  </w:rPr>
                                  <w:t xml:space="preserve"> 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ذ</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ج</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ك</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 xml:space="preserve"> 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ْأَ</w:t>
                                </w:r>
                                <w:r w:rsidRPr="004D575C">
                                  <w:rPr>
                                    <w:rFonts w:ascii="Arabic Typesetting" w:hAnsi="Arabic Typesetting" w:cs="Arabic Typesetting"/>
                                    <w:color w:val="000000" w:themeColor="text1"/>
                                    <w:sz w:val="48"/>
                                    <w:szCs w:val="48"/>
                                    <w:rtl/>
                                  </w:rPr>
                                  <w:t>ر</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ض</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هد</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و</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ج</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ك</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ف</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س</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ب</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ك</w:t>
                                </w:r>
                                <w:r w:rsidRPr="004D575C">
                                  <w:rPr>
                                    <w:rFonts w:ascii="Arabic Typesetting" w:hAnsi="Arabic Typesetting" w:cs="Arabic Typesetting" w:hint="cs"/>
                                    <w:color w:val="000000" w:themeColor="text1"/>
                                    <w:sz w:val="48"/>
                                    <w:szCs w:val="48"/>
                                    <w:rtl/>
                                  </w:rPr>
                                  <w:t>ُـ</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 xml:space="preserve"> ت</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ت</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د</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ون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56"/>
                                    <w:szCs w:val="56"/>
                                    <w:vertAlign w:val="superscript"/>
                                  </w:rPr>
                                  <w:t>(10)</w:t>
                                </w:r>
                              </w:p>
                              <w:p w:rsidR="00D13702" w:rsidRPr="004D575C" w:rsidRDefault="00D13702" w:rsidP="009E3A96">
                                <w:pPr>
                                  <w:bidi/>
                                  <w:spacing w:after="0" w:line="240" w:lineRule="auto"/>
                                  <w:jc w:val="center"/>
                                  <w:rPr>
                                    <w:rFonts w:ascii="Arabic Typesetting" w:hAnsi="Arabic Typesetting" w:cs="Arabic Typesetting"/>
                                    <w:color w:val="000000" w:themeColor="text1"/>
                                    <w:sz w:val="40"/>
                                    <w:szCs w:val="40"/>
                                  </w:rPr>
                                </w:pPr>
                                <w:r w:rsidRPr="004D575C">
                                  <w:rPr>
                                    <w:rFonts w:ascii="Arabic Typesetting" w:hAnsi="Arabic Typesetting" w:cs="Arabic Typesetting" w:hint="cs"/>
                                    <w:color w:val="000000" w:themeColor="text1"/>
                                    <w:sz w:val="40"/>
                                    <w:szCs w:val="40"/>
                                    <w:rtl/>
                                  </w:rPr>
                                  <w:t>صَدَقَ</w:t>
                                </w:r>
                                <w:r w:rsidRPr="004D575C">
                                  <w:rPr>
                                    <w:rFonts w:ascii="Arabic Typesetting" w:hAnsi="Arabic Typesetting" w:cs="Arabic Typesetting"/>
                                    <w:color w:val="000000" w:themeColor="text1"/>
                                    <w:sz w:val="40"/>
                                    <w:szCs w:val="40"/>
                                  </w:rPr>
                                  <w:t xml:space="preserve"> </w:t>
                                </w:r>
                                <w:r w:rsidRPr="004D575C">
                                  <w:rPr>
                                    <w:rFonts w:ascii="Arabic Typesetting" w:hAnsi="Arabic Typesetting" w:cs="Arabic Typesetting" w:hint="cs"/>
                                    <w:color w:val="000000" w:themeColor="text1"/>
                                    <w:sz w:val="40"/>
                                    <w:szCs w:val="40"/>
                                    <w:rtl/>
                                  </w:rPr>
                                  <w:t>اللهُ</w:t>
                                </w:r>
                                <w:r w:rsidRPr="004D575C">
                                  <w:rPr>
                                    <w:rFonts w:ascii="Arabic Typesetting" w:hAnsi="Arabic Typesetting" w:cs="Arabic Typesetting"/>
                                    <w:color w:val="000000" w:themeColor="text1"/>
                                    <w:sz w:val="40"/>
                                    <w:szCs w:val="40"/>
                                  </w:rPr>
                                  <w:t xml:space="preserve"> </w:t>
                                </w:r>
                                <w:r w:rsidRPr="004D575C">
                                  <w:rPr>
                                    <w:rFonts w:ascii="Arabic Typesetting" w:hAnsi="Arabic Typesetting" w:cs="Arabic Typesetting" w:hint="cs"/>
                                    <w:color w:val="000000" w:themeColor="text1"/>
                                    <w:sz w:val="40"/>
                                    <w:szCs w:val="40"/>
                                    <w:rtl/>
                                  </w:rPr>
                                  <w:t>اَلْعَظِيمْ</w:t>
                                </w:r>
                              </w:p>
                              <w:p w:rsidR="00D13702" w:rsidRPr="004D575C" w:rsidRDefault="00D13702" w:rsidP="009E3A96">
                                <w:pPr>
                                  <w:bidi/>
                                  <w:spacing w:after="0" w:line="240" w:lineRule="auto"/>
                                  <w:jc w:val="center"/>
                                  <w:rPr>
                                    <w:rFonts w:ascii="Arabic Typesetting" w:hAnsi="Arabic Typesetting" w:cs="Arabic Typesetting"/>
                                    <w:color w:val="000000" w:themeColor="text1"/>
                                    <w:sz w:val="40"/>
                                    <w:szCs w:val="40"/>
                                    <w:rtl/>
                                  </w:rPr>
                                </w:pPr>
                                <w:r w:rsidRPr="004D575C">
                                  <w:rPr>
                                    <w:rFonts w:ascii="Arabic Typesetting" w:hAnsi="Arabic Typesetting" w:cs="Arabic Typesetting"/>
                                    <w:color w:val="000000" w:themeColor="text1"/>
                                    <w:sz w:val="40"/>
                                    <w:szCs w:val="40"/>
                                    <w:rtl/>
                                  </w:rPr>
                                  <w:t>س</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ور</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ة</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Pr>
                                  <w:t xml:space="preserve"> </w:t>
                                </w:r>
                                <w:r w:rsidRPr="004D575C">
                                  <w:rPr>
                                    <w:rFonts w:ascii="Arabic Typesetting" w:hAnsi="Arabic Typesetting" w:cs="Arabic Typesetting"/>
                                    <w:color w:val="000000" w:themeColor="text1"/>
                                    <w:sz w:val="40"/>
                                    <w:szCs w:val="40"/>
                                    <w:rtl/>
                                  </w:rPr>
                                  <w:t>الز</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خ</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ر</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ف</w:t>
                                </w:r>
                                <w:r w:rsidRPr="004D575C">
                                  <w:rPr>
                                    <w:rFonts w:ascii="Arabic Typesetting" w:hAnsi="Arabic Typesetting" w:cs="Arabic Typesetting" w:hint="cs"/>
                                    <w:color w:val="000000" w:themeColor="text1"/>
                                    <w:sz w:val="40"/>
                                    <w:szCs w:val="40"/>
                                    <w:rtl/>
                                  </w:rPr>
                                  <w:t>ِ</w:t>
                                </w:r>
                              </w:p>
                              <w:p w:rsidR="00D13702" w:rsidRPr="004D575C" w:rsidRDefault="00D13702" w:rsidP="009E3A96">
                                <w:pPr>
                                  <w:bidi/>
                                  <w:jc w:val="center"/>
                                  <w:rPr>
                                    <w:rFonts w:ascii="Arabic Typesetting" w:hAnsi="Arabic Typesetting" w:cs="Arabic Typesetting"/>
                                    <w:color w:val="000000" w:themeColor="text1"/>
                                    <w:sz w:val="40"/>
                                    <w:szCs w:val="40"/>
                                    <w:rtl/>
                                  </w:rPr>
                                </w:pPr>
                              </w:p>
                              <w:p w:rsidR="00D13702" w:rsidRDefault="00D13702" w:rsidP="009E3A9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13" o:spid="_x0000_s1033" style="position:absolute;left:0;text-align:left;margin-left:49.25pt;margin-top:18.1pt;width:398.8pt;height:188.1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" filled="f" strokecolor="#00b0f0" strokeweight="2pt">
                    <v:stroke linestyle="thinThin"/>
                    <v:shadow on="t" color="black" opacity="26214f" origin=".5,-.5" offset="-.74836mm,.74836mm"/>
                    <v:textbox>
                      <w:txbxContent>
                        <w:p w:rsidR="00D13702" w:rsidRPr="008607D4" w:rsidRDefault="00D13702" w:rsidP="009E3A96">
                          <w:pPr>
                            <w:bidi/>
                            <w:jc w:val="center"/>
                            <w:rPr>
                              <w:rFonts w:ascii="Arabic Typesetting" w:hAnsi="Arabic Typesetting" w:cs="Arabic Typesetting"/>
                              <w:color w:val="00B0F0"/>
                              <w:sz w:val="96"/>
                              <w:szCs w:val="96"/>
                              <w:rtl/>
                            </w:rPr>
                          </w:pPr>
                          <w:r w:rsidRPr="008607D4">
                            <w:rPr>
                              <w:rFonts w:ascii="Arabic Typesetting" w:hAnsi="Arabic Typesetting" w:cs="Arabic Typesetting"/>
                              <w:color w:val="00B0F0"/>
                              <w:sz w:val="96"/>
                              <w:szCs w:val="96"/>
                              <w:rtl/>
                            </w:rPr>
                            <w:t>ب</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س</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م</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Pr>
                            <w:t xml:space="preserve"> </w:t>
                          </w:r>
                          <w:r w:rsidRPr="008607D4">
                            <w:rPr>
                              <w:rFonts w:ascii="Arabic Typesetting" w:hAnsi="Arabic Typesetting" w:cs="Arabic Typesetting"/>
                              <w:color w:val="00B0F0"/>
                              <w:sz w:val="96"/>
                              <w:szCs w:val="96"/>
                              <w:rtl/>
                            </w:rPr>
                            <w:t>الله</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Pr>
                            <w:t xml:space="preserve"> </w:t>
                          </w:r>
                          <w:r w:rsidRPr="008607D4">
                            <w:rPr>
                              <w:rFonts w:ascii="Arabic Typesetting" w:hAnsi="Arabic Typesetting" w:cs="Arabic Typesetting"/>
                              <w:color w:val="00B0F0"/>
                              <w:sz w:val="96"/>
                              <w:szCs w:val="96"/>
                              <w:rtl/>
                            </w:rPr>
                            <w:t>الر</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ح</w:t>
                          </w:r>
                          <w:r w:rsidRPr="008607D4">
                            <w:rPr>
                              <w:rFonts w:ascii="Arabic Typesetting" w:hAnsi="Arabic Typesetting" w:cs="Arabic Typesetting" w:hint="cs"/>
                              <w:color w:val="00B0F0"/>
                              <w:sz w:val="96"/>
                              <w:szCs w:val="96"/>
                              <w:rtl/>
                            </w:rPr>
                            <w:t>ْمَ</w:t>
                          </w:r>
                          <w:r w:rsidRPr="008607D4">
                            <w:rPr>
                              <w:rFonts w:ascii="Arabic Typesetting" w:hAnsi="Arabic Typesetting" w:cs="Arabic Typesetting"/>
                              <w:color w:val="00B0F0"/>
                              <w:sz w:val="96"/>
                              <w:szCs w:val="96"/>
                              <w:rtl/>
                            </w:rPr>
                            <w:t>ن</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Pr>
                            <w:t xml:space="preserve"> </w:t>
                          </w:r>
                          <w:r w:rsidRPr="008607D4">
                            <w:rPr>
                              <w:rFonts w:ascii="Arabic Typesetting" w:hAnsi="Arabic Typesetting" w:cs="Arabic Typesetting"/>
                              <w:color w:val="00B0F0"/>
                              <w:sz w:val="96"/>
                              <w:szCs w:val="96"/>
                              <w:rtl/>
                            </w:rPr>
                            <w:t>الر</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ح</w:t>
                          </w:r>
                          <w:r w:rsidRPr="008607D4">
                            <w:rPr>
                              <w:rFonts w:ascii="Arabic Typesetting" w:hAnsi="Arabic Typesetting" w:cs="Arabic Typesetting" w:hint="cs"/>
                              <w:color w:val="00B0F0"/>
                              <w:sz w:val="96"/>
                              <w:szCs w:val="96"/>
                              <w:rtl/>
                            </w:rPr>
                            <w:t>ِ</w:t>
                          </w:r>
                          <w:r w:rsidRPr="008607D4">
                            <w:rPr>
                              <w:rFonts w:ascii="Arabic Typesetting" w:hAnsi="Arabic Typesetting" w:cs="Arabic Typesetting"/>
                              <w:color w:val="00B0F0"/>
                              <w:sz w:val="96"/>
                              <w:szCs w:val="96"/>
                              <w:rtl/>
                            </w:rPr>
                            <w:t>يم</w:t>
                          </w:r>
                          <w:r w:rsidRPr="008607D4">
                            <w:rPr>
                              <w:rFonts w:ascii="Arabic Typesetting" w:hAnsi="Arabic Typesetting" w:cs="Arabic Typesetting" w:hint="cs"/>
                              <w:color w:val="00B0F0"/>
                              <w:sz w:val="96"/>
                              <w:szCs w:val="96"/>
                              <w:rtl/>
                            </w:rPr>
                            <w:t>ْ</w:t>
                          </w:r>
                        </w:p>
                        <w:p w:rsidR="00D13702" w:rsidRPr="004D575C" w:rsidRDefault="00D13702" w:rsidP="009E3A96">
                          <w:pPr>
                            <w:bidi/>
                            <w:spacing w:after="0" w:line="240" w:lineRule="auto"/>
                            <w:jc w:val="center"/>
                            <w:rPr>
                              <w:rFonts w:ascii="Arabic Typesetting" w:hAnsi="Arabic Typesetting" w:cs="Arabic Typesetting"/>
                              <w:color w:val="000000" w:themeColor="text1"/>
                              <w:sz w:val="52"/>
                              <w:szCs w:val="52"/>
                              <w:vertAlign w:val="superscript"/>
                              <w:rtl/>
                            </w:rPr>
                          </w:pPr>
                          <w:r w:rsidRPr="004D575C">
                            <w:rPr>
                              <w:rFonts w:ascii="Arabic Typesetting" w:hAnsi="Arabic Typesetting" w:cs="Arabic Typesetting"/>
                              <w:color w:val="000000" w:themeColor="text1"/>
                              <w:sz w:val="48"/>
                              <w:szCs w:val="48"/>
                              <w:rtl/>
                            </w:rPr>
                            <w:t>ول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ئ</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س</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أ</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ت</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خ</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ق</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الس</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و</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ات</w:t>
                          </w:r>
                          <w:r>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و</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ْأَ</w:t>
                          </w:r>
                          <w:r w:rsidRPr="004D575C">
                            <w:rPr>
                              <w:rFonts w:ascii="Arabic Typesetting" w:hAnsi="Arabic Typesetting" w:cs="Arabic Typesetting"/>
                              <w:color w:val="000000" w:themeColor="text1"/>
                              <w:sz w:val="48"/>
                              <w:szCs w:val="48"/>
                              <w:rtl/>
                            </w:rPr>
                            <w:t>ر</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ض</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ق</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ول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 xml:space="preserve"> خ</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ق</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ز</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يز</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56"/>
                              <w:szCs w:val="56"/>
                              <w:vertAlign w:val="superscript"/>
                              <w:rtl/>
                            </w:rPr>
                            <w:t>(9)</w:t>
                          </w:r>
                          <w:r w:rsidRPr="004D575C">
                            <w:rPr>
                              <w:rFonts w:ascii="Arabic Typesetting" w:hAnsi="Arabic Typesetting" w:cs="Arabic Typesetting"/>
                              <w:color w:val="000000" w:themeColor="text1"/>
                              <w:sz w:val="48"/>
                              <w:szCs w:val="48"/>
                              <w:rtl/>
                            </w:rPr>
                            <w:t xml:space="preserve"> 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ذ</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ج</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ك</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 xml:space="preserve"> ا</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ْأَ</w:t>
                          </w:r>
                          <w:r w:rsidRPr="004D575C">
                            <w:rPr>
                              <w:rFonts w:ascii="Arabic Typesetting" w:hAnsi="Arabic Typesetting" w:cs="Arabic Typesetting"/>
                              <w:color w:val="000000" w:themeColor="text1"/>
                              <w:sz w:val="48"/>
                              <w:szCs w:val="48"/>
                              <w:rtl/>
                            </w:rPr>
                            <w:t>ر</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ض</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هد</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و</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ج</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ك</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ف</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يه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س</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ب</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ا</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ع</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ل</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ك</w:t>
                          </w:r>
                          <w:r w:rsidRPr="004D575C">
                            <w:rPr>
                              <w:rFonts w:ascii="Arabic Typesetting" w:hAnsi="Arabic Typesetting" w:cs="Arabic Typesetting" w:hint="cs"/>
                              <w:color w:val="000000" w:themeColor="text1"/>
                              <w:sz w:val="48"/>
                              <w:szCs w:val="48"/>
                              <w:rtl/>
                            </w:rPr>
                            <w:t>ُـ</w:t>
                          </w:r>
                          <w:r w:rsidRPr="004D575C">
                            <w:rPr>
                              <w:rFonts w:ascii="Arabic Typesetting" w:hAnsi="Arabic Typesetting" w:cs="Arabic Typesetting"/>
                              <w:color w:val="000000" w:themeColor="text1"/>
                              <w:sz w:val="48"/>
                              <w:szCs w:val="48"/>
                              <w:rtl/>
                            </w:rPr>
                            <w:t>م</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 xml:space="preserve"> ت</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ه</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ت</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د</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tl/>
                            </w:rPr>
                            <w:t>ون</w:t>
                          </w:r>
                          <w:r w:rsidRPr="004D575C">
                            <w:rPr>
                              <w:rFonts w:ascii="Arabic Typesetting" w:hAnsi="Arabic Typesetting" w:cs="Arabic Typesetting" w:hint="cs"/>
                              <w:color w:val="000000" w:themeColor="text1"/>
                              <w:sz w:val="48"/>
                              <w:szCs w:val="48"/>
                              <w:rtl/>
                            </w:rPr>
                            <w:t>َ</w:t>
                          </w:r>
                          <w:r w:rsidRPr="004D575C">
                            <w:rPr>
                              <w:rFonts w:ascii="Arabic Typesetting" w:hAnsi="Arabic Typesetting" w:cs="Arabic Typesetting"/>
                              <w:color w:val="000000" w:themeColor="text1"/>
                              <w:sz w:val="48"/>
                              <w:szCs w:val="48"/>
                            </w:rPr>
                            <w:t xml:space="preserve"> </w:t>
                          </w:r>
                          <w:r w:rsidRPr="004D575C">
                            <w:rPr>
                              <w:rFonts w:ascii="Arabic Typesetting" w:hAnsi="Arabic Typesetting" w:cs="Arabic Typesetting"/>
                              <w:color w:val="000000" w:themeColor="text1"/>
                              <w:sz w:val="56"/>
                              <w:szCs w:val="56"/>
                              <w:vertAlign w:val="superscript"/>
                            </w:rPr>
                            <w:t>(10)</w:t>
                          </w:r>
                        </w:p>
                        <w:p w:rsidR="00D13702" w:rsidRPr="004D575C" w:rsidRDefault="00D13702" w:rsidP="009E3A96">
                          <w:pPr>
                            <w:bidi/>
                            <w:spacing w:after="0" w:line="240" w:lineRule="auto"/>
                            <w:jc w:val="center"/>
                            <w:rPr>
                              <w:rFonts w:ascii="Arabic Typesetting" w:hAnsi="Arabic Typesetting" w:cs="Arabic Typesetting"/>
                              <w:color w:val="000000" w:themeColor="text1"/>
                              <w:sz w:val="40"/>
                              <w:szCs w:val="40"/>
                            </w:rPr>
                          </w:pPr>
                          <w:r w:rsidRPr="004D575C">
                            <w:rPr>
                              <w:rFonts w:ascii="Arabic Typesetting" w:hAnsi="Arabic Typesetting" w:cs="Arabic Typesetting" w:hint="cs"/>
                              <w:color w:val="000000" w:themeColor="text1"/>
                              <w:sz w:val="40"/>
                              <w:szCs w:val="40"/>
                              <w:rtl/>
                            </w:rPr>
                            <w:t>صَدَقَ</w:t>
                          </w:r>
                          <w:r w:rsidRPr="004D575C">
                            <w:rPr>
                              <w:rFonts w:ascii="Arabic Typesetting" w:hAnsi="Arabic Typesetting" w:cs="Arabic Typesetting"/>
                              <w:color w:val="000000" w:themeColor="text1"/>
                              <w:sz w:val="40"/>
                              <w:szCs w:val="40"/>
                            </w:rPr>
                            <w:t xml:space="preserve"> </w:t>
                          </w:r>
                          <w:r w:rsidRPr="004D575C">
                            <w:rPr>
                              <w:rFonts w:ascii="Arabic Typesetting" w:hAnsi="Arabic Typesetting" w:cs="Arabic Typesetting" w:hint="cs"/>
                              <w:color w:val="000000" w:themeColor="text1"/>
                              <w:sz w:val="40"/>
                              <w:szCs w:val="40"/>
                              <w:rtl/>
                            </w:rPr>
                            <w:t>اللهُ</w:t>
                          </w:r>
                          <w:r w:rsidRPr="004D575C">
                            <w:rPr>
                              <w:rFonts w:ascii="Arabic Typesetting" w:hAnsi="Arabic Typesetting" w:cs="Arabic Typesetting"/>
                              <w:color w:val="000000" w:themeColor="text1"/>
                              <w:sz w:val="40"/>
                              <w:szCs w:val="40"/>
                            </w:rPr>
                            <w:t xml:space="preserve"> </w:t>
                          </w:r>
                          <w:r w:rsidRPr="004D575C">
                            <w:rPr>
                              <w:rFonts w:ascii="Arabic Typesetting" w:hAnsi="Arabic Typesetting" w:cs="Arabic Typesetting" w:hint="cs"/>
                              <w:color w:val="000000" w:themeColor="text1"/>
                              <w:sz w:val="40"/>
                              <w:szCs w:val="40"/>
                              <w:rtl/>
                            </w:rPr>
                            <w:t>اَلْعَظِيمْ</w:t>
                          </w:r>
                        </w:p>
                        <w:p w:rsidR="00D13702" w:rsidRPr="004D575C" w:rsidRDefault="00D13702" w:rsidP="009E3A96">
                          <w:pPr>
                            <w:bidi/>
                            <w:spacing w:after="0" w:line="240" w:lineRule="auto"/>
                            <w:jc w:val="center"/>
                            <w:rPr>
                              <w:rFonts w:ascii="Arabic Typesetting" w:hAnsi="Arabic Typesetting" w:cs="Arabic Typesetting"/>
                              <w:color w:val="000000" w:themeColor="text1"/>
                              <w:sz w:val="40"/>
                              <w:szCs w:val="40"/>
                              <w:rtl/>
                            </w:rPr>
                          </w:pPr>
                          <w:r w:rsidRPr="004D575C">
                            <w:rPr>
                              <w:rFonts w:ascii="Arabic Typesetting" w:hAnsi="Arabic Typesetting" w:cs="Arabic Typesetting"/>
                              <w:color w:val="000000" w:themeColor="text1"/>
                              <w:sz w:val="40"/>
                              <w:szCs w:val="40"/>
                              <w:rtl/>
                            </w:rPr>
                            <w:t>س</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ور</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ة</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Pr>
                            <w:t xml:space="preserve"> </w:t>
                          </w:r>
                          <w:r w:rsidRPr="004D575C">
                            <w:rPr>
                              <w:rFonts w:ascii="Arabic Typesetting" w:hAnsi="Arabic Typesetting" w:cs="Arabic Typesetting"/>
                              <w:color w:val="000000" w:themeColor="text1"/>
                              <w:sz w:val="40"/>
                              <w:szCs w:val="40"/>
                              <w:rtl/>
                            </w:rPr>
                            <w:t>الز</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خ</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ر</w:t>
                          </w:r>
                          <w:r w:rsidRPr="004D575C">
                            <w:rPr>
                              <w:rFonts w:ascii="Arabic Typesetting" w:hAnsi="Arabic Typesetting" w:cs="Arabic Typesetting" w:hint="cs"/>
                              <w:color w:val="000000" w:themeColor="text1"/>
                              <w:sz w:val="40"/>
                              <w:szCs w:val="40"/>
                              <w:rtl/>
                            </w:rPr>
                            <w:t>ُ</w:t>
                          </w:r>
                          <w:r w:rsidRPr="004D575C">
                            <w:rPr>
                              <w:rFonts w:ascii="Arabic Typesetting" w:hAnsi="Arabic Typesetting" w:cs="Arabic Typesetting"/>
                              <w:color w:val="000000" w:themeColor="text1"/>
                              <w:sz w:val="40"/>
                              <w:szCs w:val="40"/>
                              <w:rtl/>
                            </w:rPr>
                            <w:t>ف</w:t>
                          </w:r>
                          <w:r w:rsidRPr="004D575C">
                            <w:rPr>
                              <w:rFonts w:ascii="Arabic Typesetting" w:hAnsi="Arabic Typesetting" w:cs="Arabic Typesetting" w:hint="cs"/>
                              <w:color w:val="000000" w:themeColor="text1"/>
                              <w:sz w:val="40"/>
                              <w:szCs w:val="40"/>
                              <w:rtl/>
                            </w:rPr>
                            <w:t>ِ</w:t>
                          </w:r>
                        </w:p>
                        <w:p w:rsidR="00D13702" w:rsidRPr="004D575C" w:rsidRDefault="00D13702" w:rsidP="009E3A96">
                          <w:pPr>
                            <w:bidi/>
                            <w:jc w:val="center"/>
                            <w:rPr>
                              <w:rFonts w:ascii="Arabic Typesetting" w:hAnsi="Arabic Typesetting" w:cs="Arabic Typesetting"/>
                              <w:color w:val="000000" w:themeColor="text1"/>
                              <w:sz w:val="40"/>
                              <w:szCs w:val="40"/>
                              <w:rtl/>
                            </w:rPr>
                          </w:pPr>
                        </w:p>
                        <w:p w:rsidR="00D13702" w:rsidRDefault="00D13702" w:rsidP="009E3A96">
                          <w:pPr>
                            <w:jc w:val="center"/>
                          </w:pPr>
                        </w:p>
                      </w:txbxContent>
                    </v:textbox>
                  </v:roundrect>
                </w:pict>
              </mc:Fallback>
            </mc:AlternateContent>
          </w: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261E72" w:rsidRDefault="00261E72" w:rsidP="00261E72">
          <w:pPr>
            <w:bidi/>
            <w:spacing w:after="0" w:line="240" w:lineRule="auto"/>
            <w:jc w:val="center"/>
            <w:rPr>
              <w:rFonts w:ascii="Simplified Arabic" w:eastAsia="Arial Unicode MS" w:hAnsi="Simplified Arabic" w:cs="Simplified Arabic"/>
              <w:b/>
              <w:bCs/>
              <w:sz w:val="40"/>
              <w:szCs w:val="40"/>
              <w:rtl/>
              <w:lang w:bidi="ar-DZ"/>
            </w:rPr>
          </w:pPr>
        </w:p>
        <w:p w:rsidR="00261E72" w:rsidRDefault="00261E72" w:rsidP="00261E72">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9E3A96" w:rsidRDefault="009E3A96" w:rsidP="009E3A96">
          <w:pPr>
            <w:bidi/>
            <w:spacing w:after="0" w:line="240" w:lineRule="auto"/>
            <w:jc w:val="center"/>
            <w:rPr>
              <w:rFonts w:ascii="Simplified Arabic" w:eastAsia="Arial Unicode MS" w:hAnsi="Simplified Arabic" w:cs="Simplified Arabic"/>
              <w:b/>
              <w:bCs/>
              <w:sz w:val="40"/>
              <w:szCs w:val="40"/>
              <w:rtl/>
              <w:lang w:bidi="ar-DZ"/>
            </w:rPr>
          </w:pPr>
        </w:p>
        <w:p w:rsidR="00627604" w:rsidRDefault="00627604" w:rsidP="009E3A96">
          <w:pPr>
            <w:bidi/>
            <w:spacing w:after="0" w:line="240" w:lineRule="auto"/>
            <w:jc w:val="center"/>
            <w:rPr>
              <w:rFonts w:ascii="Simplified Arabic" w:eastAsia="Arial Unicode MS" w:hAnsi="Simplified Arabic" w:cs="Simplified Arabic"/>
              <w:b/>
              <w:bCs/>
              <w:sz w:val="40"/>
              <w:szCs w:val="40"/>
              <w:rtl/>
              <w:lang w:bidi="ar-DZ"/>
            </w:rPr>
            <w:sectPr w:rsidR="00627604" w:rsidSect="000F148E">
              <w:footerReference w:type="default" r:id="rId11"/>
              <w:type w:val="continuous"/>
              <w:pgSz w:w="11906" w:h="16838"/>
              <w:pgMar w:top="851" w:right="851" w:bottom="851" w:left="851" w:header="709" w:footer="709" w:gutter="0"/>
              <w:pgNumType w:fmt="arabicAlpha" w:start="1"/>
              <w:cols w:space="708"/>
              <w:docGrid w:linePitch="360"/>
            </w:sectPr>
          </w:pPr>
        </w:p>
        <w:bookmarkStart w:id="1" w:name="_Toc171803269"/>
        <w:p w:rsidR="00F63953" w:rsidRPr="00D3308C" w:rsidRDefault="00971AF5" w:rsidP="00F63953">
          <w:pPr>
            <w:bidi/>
            <w:spacing w:after="0" w:line="240" w:lineRule="auto"/>
            <w:jc w:val="center"/>
            <w:outlineLvl w:val="0"/>
            <w:rPr>
              <w:rFonts w:ascii="Simplified Arabic" w:eastAsia="Arial Unicode MS" w:hAnsi="Simplified Arabic" w:cs="Simplified Arabic"/>
              <w:b/>
              <w:bCs/>
              <w:sz w:val="72"/>
              <w:szCs w:val="72"/>
              <w:rtl/>
              <w:lang w:bidi="ar-DZ"/>
            </w:rPr>
          </w:pPr>
          <w:r>
            <w:rPr>
              <w:noProof/>
              <w:lang w:eastAsia="fr-FR"/>
            </w:rPr>
            <w:lastRenderedPageBreak/>
            <mc:AlternateContent>
              <mc:Choice Requires="wps">
                <w:drawing>
                  <wp:anchor distT="0" distB="0" distL="114300" distR="114300" simplePos="0" relativeHeight="251912192" behindDoc="0" locked="0" layoutInCell="1" allowOverlap="1" wp14:anchorId="0470C629" wp14:editId="756ECC5D">
                    <wp:simplePos x="0" y="0"/>
                    <wp:positionH relativeFrom="column">
                      <wp:posOffset>1727835</wp:posOffset>
                    </wp:positionH>
                    <wp:positionV relativeFrom="paragraph">
                      <wp:posOffset>299720</wp:posOffset>
                    </wp:positionV>
                    <wp:extent cx="2219325" cy="676275"/>
                    <wp:effectExtent l="0" t="0" r="0" b="9525"/>
                    <wp:wrapSquare wrapText="bothSides"/>
                    <wp:docPr id="26" name="Zone de texte 26"/>
                    <wp:cNvGraphicFramePr/>
                    <a:graphic xmlns:a="http://schemas.openxmlformats.org/drawingml/2006/main">
                      <a:graphicData uri="http://schemas.microsoft.com/office/word/2010/wordprocessingShape">
                        <wps:wsp>
                          <wps:cNvSpPr txBox="1"/>
                          <wps:spPr>
                            <a:xfrm>
                              <a:off x="0" y="0"/>
                              <a:ext cx="2219325" cy="676275"/>
                            </a:xfrm>
                            <a:prstGeom prst="rect">
                              <a:avLst/>
                            </a:prstGeom>
                            <a:noFill/>
                            <a:ln>
                              <a:noFill/>
                            </a:ln>
                            <a:effectLst/>
                          </wps:spPr>
                          <wps:txbx>
                            <w:txbxContent>
                              <w:p w:rsidR="00D13702" w:rsidRPr="00420034" w:rsidRDefault="00D13702" w:rsidP="00420034">
                                <w:pPr>
                                  <w:bidi/>
                                  <w:spacing w:after="0" w:line="240" w:lineRule="auto"/>
                                  <w:jc w:val="center"/>
                                  <w:outlineLvl w:val="0"/>
                                  <w:rPr>
                                    <w:rFonts w:ascii="Simplified Arabic" w:eastAsia="Arial Unicode MS" w:hAnsi="Simplified Arabic" w:cs="Simplified Arabic"/>
                                    <w:b/>
                                    <w:bCs/>
                                    <w:sz w:val="56"/>
                                    <w:szCs w:val="56"/>
                                    <w:lang w:bidi="ar-DZ"/>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bookmarkStart w:id="2" w:name="_Toc171803268"/>
                                <w:r w:rsidRPr="00420034">
                                  <w:rPr>
                                    <w:rFonts w:ascii="Simplified Arabic" w:eastAsia="Arial Unicode MS" w:hAnsi="Simplified Arabic" w:cs="Simplified Arabic" w:hint="cs"/>
                                    <w:b/>
                                    <w:bCs/>
                                    <w:sz w:val="56"/>
                                    <w:szCs w:val="56"/>
                                    <w:rtl/>
                                    <w:lang w:bidi="ar-DZ"/>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إِهْــــــــدَاء خاص</w:t>
                                </w:r>
                                <w:bookmarkEnd w:id="2"/>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6" o:spid="_x0000_s1034" type="#_x0000_t202" style="position:absolute;left:0;text-align:left;margin-left:136.05pt;margin-top:23.6pt;width:174.75pt;height:53.2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" filled="f" stroked="f">
                    <v:textbox>
                      <w:txbxContent>
                        <w:p w:rsidR="00D13702" w:rsidRPr="00420034" w:rsidRDefault="00D13702" w:rsidP="00420034">
                          <w:pPr>
                            <w:bidi/>
                            <w:spacing w:after="0" w:line="240" w:lineRule="auto"/>
                            <w:jc w:val="center"/>
                            <w:outlineLvl w:val="0"/>
                            <w:rPr>
                              <w:rFonts w:ascii="Simplified Arabic" w:eastAsia="Arial Unicode MS" w:hAnsi="Simplified Arabic" w:cs="Simplified Arabic"/>
                              <w:b/>
                              <w:bCs/>
                              <w:sz w:val="56"/>
                              <w:szCs w:val="56"/>
                              <w:lang w:bidi="ar-DZ"/>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bookmarkStart w:id="2" w:name="_Toc171803268"/>
                          <w:r w:rsidRPr="00420034">
                            <w:rPr>
                              <w:rFonts w:ascii="Simplified Arabic" w:eastAsia="Arial Unicode MS" w:hAnsi="Simplified Arabic" w:cs="Simplified Arabic" w:hint="cs"/>
                              <w:b/>
                              <w:bCs/>
                              <w:sz w:val="56"/>
                              <w:szCs w:val="56"/>
                              <w:rtl/>
                              <w:lang w:bidi="ar-DZ"/>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إِهْــــــــدَاء خاص</w:t>
                          </w:r>
                          <w:bookmarkEnd w:id="2"/>
                        </w:p>
                      </w:txbxContent>
                    </v:textbox>
                    <w10:wrap type="square"/>
                  </v:shape>
                </w:pict>
              </mc:Fallback>
            </mc:AlternateContent>
          </w:r>
          <w:bookmarkEnd w:id="1"/>
        </w:p>
        <w:p w:rsidR="00971AF5" w:rsidRDefault="00971AF5" w:rsidP="00223B9A">
          <w:pPr>
            <w:bidi/>
            <w:spacing w:after="0"/>
            <w:jc w:val="center"/>
            <w:rPr>
              <w:rFonts w:ascii="Simplified Arabic" w:eastAsia="Arial Unicode MS" w:hAnsi="Simplified Arabic" w:cs="Simplified Arabic"/>
              <w:sz w:val="28"/>
              <w:szCs w:val="28"/>
              <w:rtl/>
              <w:lang w:bidi="ar-DZ"/>
            </w:rPr>
          </w:pPr>
        </w:p>
        <w:p w:rsidR="00F63953" w:rsidRPr="00420034" w:rsidRDefault="00F63953" w:rsidP="00971AF5">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الى روح محمّد بن معيوف بن الحاج محمد بن ابو سيف نجل الولي الصالح سيدي سليمان الوزّاني</w:t>
          </w:r>
          <w:r w:rsidR="00223B9A" w:rsidRPr="00420034">
            <w:rPr>
              <w:rFonts w:ascii="Simplified Arabic" w:eastAsia="Arial Unicode MS" w:hAnsi="Simplified Arabic" w:cs="Simplified Arabic"/>
              <w:sz w:val="28"/>
              <w:szCs w:val="28"/>
              <w:rtl/>
              <w:lang w:bidi="ar-DZ"/>
            </w:rPr>
            <w:t xml:space="preserve"> </w:t>
          </w:r>
          <w:r w:rsidRPr="00420034">
            <w:rPr>
              <w:rFonts w:ascii="Simplified Arabic" w:eastAsia="Arial Unicode MS" w:hAnsi="Simplified Arabic" w:cs="Simplified Arabic"/>
              <w:sz w:val="28"/>
              <w:szCs w:val="28"/>
              <w:rtl/>
              <w:lang w:bidi="ar-DZ"/>
            </w:rPr>
            <w:t>رمز المقاومة الشعبية، منفي كالدونيا الجديدة</w:t>
          </w:r>
        </w:p>
        <w:p w:rsidR="005978F5" w:rsidRPr="00420034" w:rsidRDefault="00360D48" w:rsidP="00F63953">
          <w:pPr>
            <w:bidi/>
            <w:spacing w:after="0" w:line="240" w:lineRule="auto"/>
            <w:jc w:val="center"/>
            <w:outlineLvl w:val="0"/>
            <w:rPr>
              <w:rFonts w:ascii="Simplified Arabic" w:eastAsia="Arial Unicode MS" w:hAnsi="Simplified Arabic" w:cs="Simplified Arabic"/>
              <w:b/>
              <w:bCs/>
              <w:sz w:val="56"/>
              <w:szCs w:val="56"/>
              <w:rtl/>
              <w:lang w:bidi="ar-DZ"/>
            </w:rPr>
          </w:pPr>
          <w:bookmarkStart w:id="3" w:name="_Toc171803270"/>
          <w:r w:rsidRPr="00420034">
            <w:rPr>
              <w:rFonts w:ascii="Simplified Arabic" w:eastAsia="Arial Unicode MS" w:hAnsi="Simplified Arabic" w:cs="Simplified Arabic"/>
              <w:b/>
              <w:bCs/>
              <w:sz w:val="56"/>
              <w:szCs w:val="56"/>
              <w:rtl/>
              <w:lang w:bidi="ar-DZ"/>
            </w:rPr>
            <w:t>إ</w:t>
          </w:r>
          <w:r w:rsidR="001822EE" w:rsidRPr="00420034">
            <w:rPr>
              <w:rFonts w:ascii="Simplified Arabic" w:eastAsia="Arial Unicode MS" w:hAnsi="Simplified Arabic" w:cs="Simplified Arabic"/>
              <w:b/>
              <w:bCs/>
              <w:sz w:val="56"/>
              <w:szCs w:val="56"/>
              <w:rtl/>
              <w:lang w:bidi="ar-DZ"/>
            </w:rPr>
            <w:t>ِ</w:t>
          </w:r>
          <w:r w:rsidRPr="00420034">
            <w:rPr>
              <w:rFonts w:ascii="Simplified Arabic" w:eastAsia="Arial Unicode MS" w:hAnsi="Simplified Arabic" w:cs="Simplified Arabic"/>
              <w:b/>
              <w:bCs/>
              <w:sz w:val="56"/>
              <w:szCs w:val="56"/>
              <w:rtl/>
              <w:lang w:bidi="ar-DZ"/>
            </w:rPr>
            <w:t>ه</w:t>
          </w:r>
          <w:r w:rsidR="001822EE" w:rsidRPr="00420034">
            <w:rPr>
              <w:rFonts w:ascii="Simplified Arabic" w:eastAsia="Arial Unicode MS" w:hAnsi="Simplified Arabic" w:cs="Simplified Arabic"/>
              <w:b/>
              <w:bCs/>
              <w:sz w:val="56"/>
              <w:szCs w:val="56"/>
              <w:rtl/>
              <w:lang w:bidi="ar-DZ"/>
            </w:rPr>
            <w:t>ْ</w:t>
          </w:r>
          <w:r w:rsidRPr="00420034">
            <w:rPr>
              <w:rFonts w:ascii="Simplified Arabic" w:eastAsia="Arial Unicode MS" w:hAnsi="Simplified Arabic" w:cs="Simplified Arabic"/>
              <w:b/>
              <w:bCs/>
              <w:sz w:val="56"/>
              <w:szCs w:val="56"/>
              <w:rtl/>
              <w:lang w:bidi="ar-DZ"/>
            </w:rPr>
            <w:t>ــ</w:t>
          </w:r>
          <w:r w:rsidR="006F6F04" w:rsidRPr="00420034">
            <w:rPr>
              <w:rFonts w:ascii="Simplified Arabic" w:eastAsia="Arial Unicode MS" w:hAnsi="Simplified Arabic" w:cs="Simplified Arabic"/>
              <w:b/>
              <w:bCs/>
              <w:sz w:val="56"/>
              <w:szCs w:val="56"/>
              <w:rtl/>
              <w:lang w:bidi="ar-DZ"/>
            </w:rPr>
            <w:t>ــــــ</w:t>
          </w:r>
          <w:r w:rsidRPr="00420034">
            <w:rPr>
              <w:rFonts w:ascii="Simplified Arabic" w:eastAsia="Arial Unicode MS" w:hAnsi="Simplified Arabic" w:cs="Simplified Arabic"/>
              <w:b/>
              <w:bCs/>
              <w:sz w:val="56"/>
              <w:szCs w:val="56"/>
              <w:rtl/>
              <w:lang w:bidi="ar-DZ"/>
            </w:rPr>
            <w:t>ــــد</w:t>
          </w:r>
          <w:r w:rsidR="001822EE" w:rsidRPr="00420034">
            <w:rPr>
              <w:rFonts w:ascii="Simplified Arabic" w:eastAsia="Arial Unicode MS" w:hAnsi="Simplified Arabic" w:cs="Simplified Arabic"/>
              <w:b/>
              <w:bCs/>
              <w:sz w:val="56"/>
              <w:szCs w:val="56"/>
              <w:rtl/>
              <w:lang w:bidi="ar-DZ"/>
            </w:rPr>
            <w:t>َ</w:t>
          </w:r>
          <w:r w:rsidRPr="00420034">
            <w:rPr>
              <w:rFonts w:ascii="Simplified Arabic" w:eastAsia="Arial Unicode MS" w:hAnsi="Simplified Arabic" w:cs="Simplified Arabic"/>
              <w:b/>
              <w:bCs/>
              <w:sz w:val="56"/>
              <w:szCs w:val="56"/>
              <w:rtl/>
              <w:lang w:bidi="ar-DZ"/>
            </w:rPr>
            <w:t>اء</w:t>
          </w:r>
          <w:bookmarkEnd w:id="3"/>
        </w:p>
        <w:p w:rsidR="00BA7880" w:rsidRPr="00420034" w:rsidRDefault="00766051" w:rsidP="00F63953">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 xml:space="preserve">الى </w:t>
          </w:r>
          <w:r w:rsidR="0083556B" w:rsidRPr="00420034">
            <w:rPr>
              <w:rFonts w:ascii="Simplified Arabic" w:eastAsia="Arial Unicode MS" w:hAnsi="Simplified Arabic" w:cs="Simplified Arabic"/>
              <w:sz w:val="28"/>
              <w:szCs w:val="28"/>
              <w:rtl/>
              <w:lang w:bidi="ar-DZ"/>
            </w:rPr>
            <w:t>أبي</w:t>
          </w:r>
          <w:r w:rsidR="00BA7880" w:rsidRPr="00420034">
            <w:rPr>
              <w:rFonts w:ascii="Simplified Arabic" w:eastAsia="Arial Unicode MS" w:hAnsi="Simplified Arabic" w:cs="Simplified Arabic"/>
              <w:sz w:val="28"/>
              <w:szCs w:val="28"/>
              <w:rtl/>
              <w:lang w:bidi="ar-DZ"/>
            </w:rPr>
            <w:t xml:space="preserve"> اِبْرَاهِيمُ </w:t>
          </w:r>
          <w:r w:rsidR="00444E95" w:rsidRPr="00420034">
            <w:rPr>
              <w:rFonts w:ascii="Simplified Arabic" w:eastAsia="Arial Unicode MS" w:hAnsi="Simplified Arabic" w:cs="Simplified Arabic"/>
              <w:sz w:val="28"/>
              <w:szCs w:val="28"/>
              <w:rtl/>
              <w:lang w:bidi="ar-DZ"/>
            </w:rPr>
            <w:t>رمز</w:t>
          </w:r>
          <w:r w:rsidR="00BA7880" w:rsidRPr="00420034">
            <w:rPr>
              <w:rFonts w:ascii="Simplified Arabic" w:eastAsia="Arial Unicode MS" w:hAnsi="Simplified Arabic" w:cs="Simplified Arabic"/>
              <w:sz w:val="28"/>
              <w:szCs w:val="28"/>
              <w:rtl/>
              <w:lang w:bidi="ar-DZ"/>
            </w:rPr>
            <w:t xml:space="preserve"> </w:t>
          </w:r>
          <w:r w:rsidR="00F63953" w:rsidRPr="00420034">
            <w:rPr>
              <w:rFonts w:ascii="Simplified Arabic" w:eastAsia="Arial Unicode MS" w:hAnsi="Simplified Arabic" w:cs="Simplified Arabic"/>
              <w:sz w:val="28"/>
              <w:szCs w:val="28"/>
              <w:rtl/>
              <w:lang w:bidi="ar-DZ"/>
            </w:rPr>
            <w:t>الصدق و</w:t>
          </w:r>
          <w:r w:rsidR="00BA7880" w:rsidRPr="00420034">
            <w:rPr>
              <w:rFonts w:ascii="Simplified Arabic" w:eastAsia="Arial Unicode MS" w:hAnsi="Simplified Arabic" w:cs="Simplified Arabic"/>
              <w:sz w:val="28"/>
              <w:szCs w:val="28"/>
              <w:rtl/>
              <w:lang w:bidi="ar-DZ"/>
            </w:rPr>
            <w:t>الوفاء</w:t>
          </w:r>
          <w:r w:rsidR="00F63953" w:rsidRPr="00420034">
            <w:rPr>
              <w:rFonts w:ascii="Simplified Arabic" w:eastAsia="Arial Unicode MS" w:hAnsi="Simplified Arabic" w:cs="Simplified Arabic"/>
              <w:sz w:val="28"/>
              <w:szCs w:val="28"/>
              <w:rtl/>
              <w:lang w:bidi="ar-DZ"/>
            </w:rPr>
            <w:t xml:space="preserve"> </w:t>
          </w:r>
          <w:r w:rsidR="00BA7880" w:rsidRPr="00420034">
            <w:rPr>
              <w:rFonts w:ascii="Simplified Arabic" w:eastAsia="Arial Unicode MS" w:hAnsi="Simplified Arabic" w:cs="Simplified Arabic"/>
              <w:sz w:val="28"/>
              <w:szCs w:val="28"/>
              <w:rtl/>
              <w:lang w:bidi="ar-DZ"/>
            </w:rPr>
            <w:t>و</w:t>
          </w:r>
          <w:r w:rsidR="0083556B" w:rsidRPr="00420034">
            <w:rPr>
              <w:rFonts w:ascii="Simplified Arabic" w:eastAsia="Arial Unicode MS" w:hAnsi="Simplified Arabic" w:cs="Simplified Arabic"/>
              <w:sz w:val="28"/>
              <w:szCs w:val="28"/>
              <w:rtl/>
              <w:lang w:bidi="ar-DZ"/>
            </w:rPr>
            <w:t xml:space="preserve">أمي </w:t>
          </w:r>
          <w:r w:rsidR="00BA7880" w:rsidRPr="00420034">
            <w:rPr>
              <w:rFonts w:ascii="Simplified Arabic" w:eastAsia="Arial Unicode MS" w:hAnsi="Simplified Arabic" w:cs="Simplified Arabic"/>
              <w:sz w:val="28"/>
              <w:szCs w:val="28"/>
              <w:rtl/>
              <w:lang w:bidi="ar-DZ"/>
            </w:rPr>
            <w:t xml:space="preserve">فَاطِمَةُ </w:t>
          </w:r>
          <w:r w:rsidR="009532CC" w:rsidRPr="00420034">
            <w:rPr>
              <w:rFonts w:ascii="Simplified Arabic" w:eastAsia="Arial Unicode MS" w:hAnsi="Simplified Arabic" w:cs="Simplified Arabic"/>
              <w:sz w:val="28"/>
              <w:szCs w:val="28"/>
              <w:rtl/>
              <w:lang w:bidi="ar-DZ"/>
            </w:rPr>
            <w:t>ينبوع</w:t>
          </w:r>
          <w:r w:rsidR="00360D48" w:rsidRPr="00420034">
            <w:rPr>
              <w:rFonts w:ascii="Simplified Arabic" w:eastAsia="Arial Unicode MS" w:hAnsi="Simplified Arabic" w:cs="Simplified Arabic"/>
              <w:sz w:val="28"/>
              <w:szCs w:val="28"/>
              <w:rtl/>
              <w:lang w:bidi="ar-DZ"/>
            </w:rPr>
            <w:t xml:space="preserve"> المحب</w:t>
          </w:r>
          <w:r w:rsidR="00BA0C13" w:rsidRPr="00420034">
            <w:rPr>
              <w:rFonts w:ascii="Simplified Arabic" w:eastAsia="Arial Unicode MS" w:hAnsi="Simplified Arabic" w:cs="Simplified Arabic"/>
              <w:sz w:val="28"/>
              <w:szCs w:val="28"/>
              <w:rtl/>
              <w:lang w:bidi="ar-DZ"/>
            </w:rPr>
            <w:t>ّ</w:t>
          </w:r>
          <w:r w:rsidR="00360D48" w:rsidRPr="00420034">
            <w:rPr>
              <w:rFonts w:ascii="Simplified Arabic" w:eastAsia="Arial Unicode MS" w:hAnsi="Simplified Arabic" w:cs="Simplified Arabic"/>
              <w:sz w:val="28"/>
              <w:szCs w:val="28"/>
              <w:rtl/>
              <w:lang w:bidi="ar-DZ"/>
            </w:rPr>
            <w:t>ة</w:t>
          </w:r>
        </w:p>
        <w:p w:rsidR="006C4B84" w:rsidRPr="00420034" w:rsidRDefault="006C4B84" w:rsidP="00420034">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 xml:space="preserve">الى روح جدي السعيد وجدتي مسعودة </w:t>
          </w:r>
        </w:p>
        <w:p w:rsidR="00BA7880" w:rsidRPr="00420034" w:rsidRDefault="00BA7880" w:rsidP="00F63953">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الى اخوتي واخواتي، سندي</w:t>
          </w:r>
          <w:r w:rsidR="00F63953" w:rsidRPr="00420034">
            <w:rPr>
              <w:rFonts w:ascii="Simplified Arabic" w:eastAsia="Arial Unicode MS" w:hAnsi="Simplified Arabic" w:cs="Simplified Arabic"/>
              <w:sz w:val="28"/>
              <w:szCs w:val="28"/>
              <w:rtl/>
              <w:lang w:bidi="ar-DZ"/>
            </w:rPr>
            <w:t xml:space="preserve"> في الحياة</w:t>
          </w:r>
        </w:p>
        <w:p w:rsidR="00235651" w:rsidRPr="00420034" w:rsidRDefault="00BA7880" w:rsidP="0083556B">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الى ابنائي</w:t>
          </w:r>
          <w:r w:rsidR="00235651" w:rsidRPr="00420034">
            <w:rPr>
              <w:rFonts w:ascii="Simplified Arabic" w:eastAsia="Arial Unicode MS" w:hAnsi="Simplified Arabic" w:cs="Simplified Arabic"/>
              <w:sz w:val="28"/>
              <w:szCs w:val="28"/>
              <w:rtl/>
              <w:lang w:bidi="ar-DZ"/>
            </w:rPr>
            <w:t xml:space="preserve"> وبن</w:t>
          </w:r>
          <w:r w:rsidR="00ED4EAE" w:rsidRPr="00420034">
            <w:rPr>
              <w:rFonts w:ascii="Simplified Arabic" w:eastAsia="Arial Unicode MS" w:hAnsi="Simplified Arabic" w:cs="Simplified Arabic"/>
              <w:sz w:val="28"/>
              <w:szCs w:val="28"/>
              <w:rtl/>
              <w:lang w:bidi="ar-DZ"/>
            </w:rPr>
            <w:t>ا</w:t>
          </w:r>
          <w:r w:rsidR="00CC190E" w:rsidRPr="00420034">
            <w:rPr>
              <w:rFonts w:ascii="Simplified Arabic" w:eastAsia="Arial Unicode MS" w:hAnsi="Simplified Arabic" w:cs="Simplified Arabic"/>
              <w:sz w:val="28"/>
              <w:szCs w:val="28"/>
              <w:rtl/>
              <w:lang w:bidi="ar-DZ"/>
            </w:rPr>
            <w:t>ت</w:t>
          </w:r>
          <w:r w:rsidR="00235651" w:rsidRPr="00420034">
            <w:rPr>
              <w:rFonts w:ascii="Simplified Arabic" w:eastAsia="Arial Unicode MS" w:hAnsi="Simplified Arabic" w:cs="Simplified Arabic"/>
              <w:sz w:val="28"/>
              <w:szCs w:val="28"/>
              <w:rtl/>
              <w:lang w:bidi="ar-DZ"/>
            </w:rPr>
            <w:t>ي</w:t>
          </w:r>
          <w:r w:rsidR="00D3308C" w:rsidRPr="00420034">
            <w:rPr>
              <w:rFonts w:ascii="Simplified Arabic" w:eastAsia="Arial Unicode MS" w:hAnsi="Simplified Arabic" w:cs="Simplified Arabic"/>
              <w:sz w:val="28"/>
              <w:szCs w:val="28"/>
              <w:rtl/>
              <w:lang w:bidi="ar-DZ"/>
            </w:rPr>
            <w:t>، قرّة عيني (وسام، محمّد، إلياس، مريم، أحمد)</w:t>
          </w:r>
        </w:p>
        <w:p w:rsidR="00F63953" w:rsidRPr="00420034" w:rsidRDefault="00235651" w:rsidP="00F63953">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 xml:space="preserve">الى </w:t>
          </w:r>
          <w:r w:rsidR="00D3308C" w:rsidRPr="00420034">
            <w:rPr>
              <w:rFonts w:ascii="Simplified Arabic" w:eastAsia="Arial Unicode MS" w:hAnsi="Simplified Arabic" w:cs="Simplified Arabic"/>
              <w:sz w:val="28"/>
              <w:szCs w:val="28"/>
              <w:rtl/>
              <w:lang w:bidi="ar-DZ"/>
            </w:rPr>
            <w:t xml:space="preserve">أم اولادي، </w:t>
          </w:r>
          <w:r w:rsidR="00F63953" w:rsidRPr="00420034">
            <w:rPr>
              <w:rFonts w:ascii="Simplified Arabic" w:eastAsia="Arial Unicode MS" w:hAnsi="Simplified Arabic" w:cs="Simplified Arabic"/>
              <w:sz w:val="28"/>
              <w:szCs w:val="28"/>
              <w:rtl/>
              <w:lang w:bidi="ar-DZ"/>
            </w:rPr>
            <w:t xml:space="preserve">التي وفرت لي </w:t>
          </w:r>
          <w:r w:rsidR="0079648F" w:rsidRPr="00420034">
            <w:rPr>
              <w:rFonts w:ascii="Simplified Arabic" w:eastAsia="Arial Unicode MS" w:hAnsi="Simplified Arabic" w:cs="Simplified Arabic"/>
              <w:sz w:val="28"/>
              <w:szCs w:val="28"/>
              <w:rtl/>
              <w:lang w:bidi="ar-DZ"/>
            </w:rPr>
            <w:t xml:space="preserve">كل </w:t>
          </w:r>
          <w:r w:rsidR="00F63953" w:rsidRPr="00420034">
            <w:rPr>
              <w:rFonts w:ascii="Simplified Arabic" w:eastAsia="Arial Unicode MS" w:hAnsi="Simplified Arabic" w:cs="Simplified Arabic"/>
              <w:sz w:val="28"/>
              <w:szCs w:val="28"/>
              <w:rtl/>
              <w:lang w:bidi="ar-DZ"/>
            </w:rPr>
            <w:t xml:space="preserve">الهدوء </w:t>
          </w:r>
          <w:r w:rsidR="008D347B" w:rsidRPr="00420034">
            <w:rPr>
              <w:rFonts w:ascii="Simplified Arabic" w:eastAsia="Arial Unicode MS" w:hAnsi="Simplified Arabic" w:cs="Simplified Arabic" w:hint="cs"/>
              <w:sz w:val="28"/>
              <w:szCs w:val="28"/>
              <w:rtl/>
              <w:lang w:bidi="ar-DZ"/>
            </w:rPr>
            <w:t>لإنجاز</w:t>
          </w:r>
          <w:r w:rsidR="00F63953" w:rsidRPr="00420034">
            <w:rPr>
              <w:rFonts w:ascii="Simplified Arabic" w:eastAsia="Arial Unicode MS" w:hAnsi="Simplified Arabic" w:cs="Simplified Arabic"/>
              <w:sz w:val="28"/>
              <w:szCs w:val="28"/>
              <w:rtl/>
              <w:lang w:bidi="ar-DZ"/>
            </w:rPr>
            <w:t xml:space="preserve"> هذا البحث </w:t>
          </w:r>
        </w:p>
        <w:p w:rsidR="00F63953" w:rsidRPr="00420034" w:rsidRDefault="00F63953" w:rsidP="00420034">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 xml:space="preserve">الى كل عائلة معيوف </w:t>
          </w:r>
        </w:p>
        <w:p w:rsidR="00B10410" w:rsidRPr="00420034" w:rsidRDefault="00B10410" w:rsidP="00FA21B3">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 xml:space="preserve">الى كل </w:t>
          </w:r>
          <w:r w:rsidR="000B607B" w:rsidRPr="00420034">
            <w:rPr>
              <w:rFonts w:ascii="Simplified Arabic" w:eastAsia="Arial Unicode MS" w:hAnsi="Simplified Arabic" w:cs="Simplified Arabic"/>
              <w:sz w:val="28"/>
              <w:szCs w:val="28"/>
              <w:rtl/>
              <w:lang w:bidi="ar-DZ"/>
            </w:rPr>
            <w:t>احفاد الولي الصالح</w:t>
          </w:r>
          <w:r w:rsidRPr="00420034">
            <w:rPr>
              <w:rFonts w:ascii="Simplified Arabic" w:eastAsia="Arial Unicode MS" w:hAnsi="Simplified Arabic" w:cs="Simplified Arabic"/>
              <w:sz w:val="28"/>
              <w:szCs w:val="28"/>
              <w:rtl/>
              <w:lang w:bidi="ar-DZ"/>
            </w:rPr>
            <w:t xml:space="preserve"> سيدي سليمان الوز</w:t>
          </w:r>
          <w:r w:rsidR="00B83545" w:rsidRPr="00420034">
            <w:rPr>
              <w:rFonts w:ascii="Simplified Arabic" w:eastAsia="Arial Unicode MS" w:hAnsi="Simplified Arabic" w:cs="Simplified Arabic"/>
              <w:sz w:val="28"/>
              <w:szCs w:val="28"/>
              <w:rtl/>
              <w:lang w:bidi="ar-DZ"/>
            </w:rPr>
            <w:t>ّ</w:t>
          </w:r>
          <w:r w:rsidRPr="00420034">
            <w:rPr>
              <w:rFonts w:ascii="Simplified Arabic" w:eastAsia="Arial Unicode MS" w:hAnsi="Simplified Arabic" w:cs="Simplified Arabic"/>
              <w:sz w:val="28"/>
              <w:szCs w:val="28"/>
              <w:rtl/>
              <w:lang w:bidi="ar-DZ"/>
            </w:rPr>
            <w:t>اني</w:t>
          </w:r>
          <w:r w:rsidR="000B607B" w:rsidRPr="00420034">
            <w:rPr>
              <w:rFonts w:ascii="Simplified Arabic" w:eastAsia="Arial Unicode MS" w:hAnsi="Simplified Arabic" w:cs="Simplified Arabic"/>
              <w:sz w:val="28"/>
              <w:szCs w:val="28"/>
              <w:rtl/>
              <w:lang w:bidi="ar-DZ"/>
            </w:rPr>
            <w:t xml:space="preserve"> دفين مدينة المسيلة</w:t>
          </w:r>
          <w:r w:rsidR="0083556B" w:rsidRPr="00420034">
            <w:rPr>
              <w:rFonts w:ascii="Simplified Arabic" w:eastAsia="Arial Unicode MS" w:hAnsi="Simplified Arabic" w:cs="Simplified Arabic"/>
              <w:sz w:val="28"/>
              <w:szCs w:val="28"/>
              <w:rtl/>
              <w:lang w:bidi="ar-DZ"/>
            </w:rPr>
            <w:t xml:space="preserve"> </w:t>
          </w:r>
        </w:p>
        <w:p w:rsidR="0083556B" w:rsidRPr="00420034" w:rsidRDefault="0083556B" w:rsidP="00FA21B3">
          <w:pPr>
            <w:bidi/>
            <w:spacing w:after="0"/>
            <w:jc w:val="center"/>
            <w:rPr>
              <w:rFonts w:ascii="Simplified Arabic" w:eastAsia="Arial Unicode MS" w:hAnsi="Simplified Arabic" w:cs="Simplified Arabic"/>
              <w:sz w:val="28"/>
              <w:szCs w:val="28"/>
              <w:rtl/>
              <w:lang w:bidi="ar-DZ"/>
            </w:rPr>
          </w:pPr>
          <w:r w:rsidRPr="00420034">
            <w:rPr>
              <w:rFonts w:ascii="Simplified Arabic" w:eastAsia="Arial Unicode MS" w:hAnsi="Simplified Arabic" w:cs="Simplified Arabic"/>
              <w:sz w:val="28"/>
              <w:szCs w:val="28"/>
              <w:rtl/>
              <w:lang w:bidi="ar-DZ"/>
            </w:rPr>
            <w:t>الى كلّ اهلنا المرابطين بغزة وفلسطين</w:t>
          </w:r>
        </w:p>
        <w:p w:rsidR="00EE5BEE" w:rsidRPr="00420034" w:rsidRDefault="00766051" w:rsidP="00261E72">
          <w:pPr>
            <w:tabs>
              <w:tab w:val="right" w:pos="2124"/>
              <w:tab w:val="right" w:pos="2408"/>
              <w:tab w:val="right" w:pos="2550"/>
              <w:tab w:val="right" w:pos="2975"/>
              <w:tab w:val="right" w:pos="3258"/>
            </w:tabs>
            <w:bidi/>
            <w:spacing w:after="0" w:line="240" w:lineRule="auto"/>
            <w:jc w:val="center"/>
            <w:rPr>
              <w:rFonts w:ascii="Simplified Arabic" w:eastAsia="Arial Unicode MS" w:hAnsi="Simplified Arabic" w:cs="Simplified Arabic"/>
              <w:b/>
              <w:bCs/>
              <w:sz w:val="44"/>
              <w:szCs w:val="44"/>
              <w:rtl/>
              <w:lang w:bidi="ar-DZ"/>
            </w:rPr>
          </w:pPr>
          <w:r w:rsidRPr="00420034">
            <w:rPr>
              <w:rFonts w:ascii="Simplified Arabic" w:eastAsia="Arial Unicode MS" w:hAnsi="Simplified Arabic" w:cs="Simplified Arabic"/>
              <w:b/>
              <w:bCs/>
              <w:sz w:val="32"/>
              <w:szCs w:val="32"/>
              <w:rtl/>
              <w:lang w:bidi="ar-DZ"/>
            </w:rPr>
            <w:t>أُه</w:t>
          </w:r>
          <w:r w:rsidR="00EA7045" w:rsidRPr="00420034">
            <w:rPr>
              <w:rFonts w:ascii="Simplified Arabic" w:eastAsia="Arial Unicode MS" w:hAnsi="Simplified Arabic" w:cs="Simplified Arabic"/>
              <w:b/>
              <w:bCs/>
              <w:sz w:val="32"/>
              <w:szCs w:val="32"/>
              <w:rtl/>
              <w:lang w:bidi="ar-DZ"/>
            </w:rPr>
            <w:t>ـ</w:t>
          </w:r>
          <w:r w:rsidRPr="00420034">
            <w:rPr>
              <w:rFonts w:ascii="Simplified Arabic" w:eastAsia="Arial Unicode MS" w:hAnsi="Simplified Arabic" w:cs="Simplified Arabic"/>
              <w:b/>
              <w:bCs/>
              <w:sz w:val="32"/>
              <w:szCs w:val="32"/>
              <w:rtl/>
              <w:lang w:bidi="ar-DZ"/>
            </w:rPr>
            <w:t>دي ق</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ط</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اف</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 xml:space="preserve"> ه</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ذ</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ا ا</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ل</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ب</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ح</w:t>
          </w:r>
          <w:r w:rsidR="001822EE" w:rsidRPr="00420034">
            <w:rPr>
              <w:rFonts w:ascii="Simplified Arabic" w:eastAsia="Arial Unicode MS" w:hAnsi="Simplified Arabic" w:cs="Simplified Arabic"/>
              <w:b/>
              <w:bCs/>
              <w:sz w:val="32"/>
              <w:szCs w:val="32"/>
              <w:rtl/>
              <w:lang w:bidi="ar-DZ"/>
            </w:rPr>
            <w:t>َ</w:t>
          </w:r>
          <w:r w:rsidRPr="00420034">
            <w:rPr>
              <w:rFonts w:ascii="Simplified Arabic" w:eastAsia="Arial Unicode MS" w:hAnsi="Simplified Arabic" w:cs="Simplified Arabic"/>
              <w:b/>
              <w:bCs/>
              <w:sz w:val="32"/>
              <w:szCs w:val="32"/>
              <w:rtl/>
              <w:lang w:bidi="ar-DZ"/>
            </w:rPr>
            <w:t>ث</w:t>
          </w:r>
          <w:r w:rsidR="001822EE" w:rsidRPr="00420034">
            <w:rPr>
              <w:rFonts w:ascii="Simplified Arabic" w:eastAsia="Arial Unicode MS" w:hAnsi="Simplified Arabic" w:cs="Simplified Arabic"/>
              <w:b/>
              <w:bCs/>
              <w:sz w:val="32"/>
              <w:szCs w:val="32"/>
              <w:rtl/>
              <w:lang w:bidi="ar-DZ"/>
            </w:rPr>
            <w:t>ُ</w:t>
          </w: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EE5BEE" w:rsidRDefault="00EE5BEE" w:rsidP="00EE5BEE">
          <w:pPr>
            <w:bidi/>
            <w:spacing w:after="0" w:line="240" w:lineRule="auto"/>
            <w:jc w:val="center"/>
            <w:rPr>
              <w:rFonts w:ascii="Simplified Arabic" w:eastAsia="Arial Unicode MS" w:hAnsi="Simplified Arabic" w:cs="Simplified Arabic"/>
              <w:b/>
              <w:bCs/>
              <w:sz w:val="40"/>
              <w:szCs w:val="40"/>
              <w:rtl/>
              <w:lang w:bidi="ar-DZ"/>
            </w:rPr>
          </w:pPr>
        </w:p>
        <w:p w:rsidR="005978F5" w:rsidRPr="00D3308C" w:rsidRDefault="001822EE" w:rsidP="007E4A93">
          <w:pPr>
            <w:bidi/>
            <w:spacing w:after="0" w:line="240" w:lineRule="auto"/>
            <w:jc w:val="center"/>
            <w:outlineLvl w:val="0"/>
            <w:rPr>
              <w:rFonts w:ascii="Simplified Arabic" w:eastAsia="Arial Unicode MS" w:hAnsi="Simplified Arabic" w:cs="Simplified Arabic"/>
              <w:b/>
              <w:bCs/>
              <w:sz w:val="72"/>
              <w:szCs w:val="72"/>
              <w:rtl/>
              <w:lang w:bidi="ar-DZ"/>
            </w:rPr>
          </w:pPr>
          <w:bookmarkStart w:id="4" w:name="_Toc171803271"/>
          <w:r w:rsidRPr="00D3308C">
            <w:rPr>
              <w:rFonts w:ascii="Simplified Arabic" w:eastAsia="Arial Unicode MS" w:hAnsi="Simplified Arabic" w:cs="Simplified Arabic" w:hint="cs"/>
              <w:b/>
              <w:bCs/>
              <w:sz w:val="72"/>
              <w:szCs w:val="72"/>
              <w:rtl/>
              <w:lang w:bidi="ar-DZ"/>
            </w:rPr>
            <w:lastRenderedPageBreak/>
            <w:t>ت</w:t>
          </w:r>
          <w:r w:rsidR="00692A88" w:rsidRPr="00D3308C">
            <w:rPr>
              <w:rFonts w:ascii="Simplified Arabic" w:eastAsia="Arial Unicode MS" w:hAnsi="Simplified Arabic" w:cs="Simplified Arabic" w:hint="cs"/>
              <w:b/>
              <w:bCs/>
              <w:sz w:val="72"/>
              <w:szCs w:val="72"/>
              <w:rtl/>
              <w:lang w:bidi="ar-DZ"/>
            </w:rPr>
            <w:t>َ</w:t>
          </w:r>
          <w:r w:rsidRPr="00D3308C">
            <w:rPr>
              <w:rFonts w:ascii="Simplified Arabic" w:eastAsia="Arial Unicode MS" w:hAnsi="Simplified Arabic" w:cs="Simplified Arabic" w:hint="cs"/>
              <w:b/>
              <w:bCs/>
              <w:sz w:val="72"/>
              <w:szCs w:val="72"/>
              <w:rtl/>
              <w:lang w:bidi="ar-DZ"/>
            </w:rPr>
            <w:t>ش</w:t>
          </w:r>
          <w:r w:rsidR="00692A88" w:rsidRPr="00D3308C">
            <w:rPr>
              <w:rFonts w:ascii="Simplified Arabic" w:eastAsia="Arial Unicode MS" w:hAnsi="Simplified Arabic" w:cs="Simplified Arabic" w:hint="cs"/>
              <w:b/>
              <w:bCs/>
              <w:sz w:val="72"/>
              <w:szCs w:val="72"/>
              <w:rtl/>
              <w:lang w:bidi="ar-DZ"/>
            </w:rPr>
            <w:t>َ</w:t>
          </w:r>
          <w:r w:rsidRPr="00D3308C">
            <w:rPr>
              <w:rFonts w:ascii="Simplified Arabic" w:eastAsia="Arial Unicode MS" w:hAnsi="Simplified Arabic" w:cs="Simplified Arabic" w:hint="cs"/>
              <w:b/>
              <w:bCs/>
              <w:sz w:val="72"/>
              <w:szCs w:val="72"/>
              <w:rtl/>
              <w:lang w:bidi="ar-DZ"/>
            </w:rPr>
            <w:t>كّ</w:t>
          </w:r>
          <w:r w:rsidR="00692A88" w:rsidRPr="00D3308C">
            <w:rPr>
              <w:rFonts w:ascii="Simplified Arabic" w:eastAsia="Arial Unicode MS" w:hAnsi="Simplified Arabic" w:cs="Simplified Arabic" w:hint="cs"/>
              <w:b/>
              <w:bCs/>
              <w:sz w:val="72"/>
              <w:szCs w:val="72"/>
              <w:rtl/>
              <w:lang w:bidi="ar-DZ"/>
            </w:rPr>
            <w:t>ُ</w:t>
          </w:r>
          <w:r w:rsidRPr="00D3308C">
            <w:rPr>
              <w:rFonts w:ascii="Simplified Arabic" w:eastAsia="Arial Unicode MS" w:hAnsi="Simplified Arabic" w:cs="Simplified Arabic" w:hint="cs"/>
              <w:b/>
              <w:bCs/>
              <w:sz w:val="72"/>
              <w:szCs w:val="72"/>
              <w:rtl/>
              <w:lang w:bidi="ar-DZ"/>
            </w:rPr>
            <w:t>رات</w:t>
          </w:r>
          <w:bookmarkEnd w:id="4"/>
        </w:p>
        <w:p w:rsidR="005978F5" w:rsidRPr="009540C1" w:rsidRDefault="004750EB" w:rsidP="009540C1">
          <w:pPr>
            <w:bidi/>
            <w:spacing w:after="0" w:line="240" w:lineRule="auto"/>
            <w:jc w:val="both"/>
            <w:rPr>
              <w:rFonts w:ascii="Simplified Arabic" w:eastAsia="Arial Unicode MS" w:hAnsi="Simplified Arabic" w:cs="Simplified Arabic"/>
              <w:sz w:val="32"/>
              <w:szCs w:val="32"/>
              <w:rtl/>
              <w:lang w:bidi="ar-DZ"/>
            </w:rPr>
          </w:pPr>
          <w:r w:rsidRPr="009540C1">
            <w:rPr>
              <w:rFonts w:ascii="Simplified Arabic" w:eastAsia="Arial Unicode MS" w:hAnsi="Simplified Arabic" w:cs="Simplified Arabic"/>
              <w:sz w:val="32"/>
              <w:szCs w:val="32"/>
              <w:rtl/>
              <w:lang w:bidi="ar-DZ"/>
            </w:rPr>
            <w:t xml:space="preserve">الحمد لله وحده على نعمه و فضله </w:t>
          </w:r>
          <w:r w:rsidR="005A58AE" w:rsidRPr="009540C1">
            <w:rPr>
              <w:rFonts w:ascii="Simplified Arabic" w:eastAsia="Arial Unicode MS" w:hAnsi="Simplified Arabic" w:cs="Simplified Arabic" w:hint="cs"/>
              <w:sz w:val="32"/>
              <w:szCs w:val="32"/>
              <w:rtl/>
              <w:lang w:bidi="ar-DZ"/>
            </w:rPr>
            <w:t xml:space="preserve">وكرمه </w:t>
          </w:r>
          <w:r w:rsidRPr="009540C1">
            <w:rPr>
              <w:rFonts w:ascii="Simplified Arabic" w:eastAsia="Arial Unicode MS" w:hAnsi="Simplified Arabic" w:cs="Simplified Arabic"/>
              <w:sz w:val="32"/>
              <w:szCs w:val="32"/>
              <w:rtl/>
              <w:lang w:bidi="ar-DZ"/>
            </w:rPr>
            <w:t>ان</w:t>
          </w:r>
          <w:r w:rsidRPr="009540C1">
            <w:rPr>
              <w:rFonts w:ascii="Simplified Arabic" w:eastAsia="Arial Unicode MS" w:hAnsi="Simplified Arabic" w:cs="Simplified Arabic"/>
              <w:sz w:val="32"/>
              <w:szCs w:val="32"/>
              <w:lang w:bidi="ar-DZ"/>
            </w:rPr>
            <w:t xml:space="preserve"> </w:t>
          </w:r>
          <w:r w:rsidRPr="009540C1">
            <w:rPr>
              <w:rFonts w:ascii="Simplified Arabic" w:eastAsia="Arial Unicode MS" w:hAnsi="Simplified Arabic" w:cs="Simplified Arabic"/>
              <w:sz w:val="32"/>
              <w:szCs w:val="32"/>
              <w:rtl/>
              <w:lang w:bidi="ar-DZ"/>
            </w:rPr>
            <w:t>وفّقني</w:t>
          </w:r>
          <w:r w:rsidRPr="009540C1">
            <w:rPr>
              <w:rFonts w:ascii="Simplified Arabic" w:eastAsia="Arial Unicode MS" w:hAnsi="Simplified Arabic" w:cs="Simplified Arabic"/>
              <w:sz w:val="32"/>
              <w:szCs w:val="32"/>
              <w:lang w:bidi="ar-DZ"/>
            </w:rPr>
            <w:t xml:space="preserve"> </w:t>
          </w:r>
          <w:r w:rsidRPr="009540C1">
            <w:rPr>
              <w:rFonts w:ascii="Simplified Arabic" w:eastAsia="Arial Unicode MS" w:hAnsi="Simplified Arabic" w:cs="Simplified Arabic"/>
              <w:sz w:val="32"/>
              <w:szCs w:val="32"/>
              <w:rtl/>
              <w:lang w:bidi="ar-DZ"/>
            </w:rPr>
            <w:t>على إتمام هذا البحث</w:t>
          </w:r>
          <w:r w:rsidR="00692A88" w:rsidRPr="009540C1">
            <w:rPr>
              <w:rFonts w:ascii="Simplified Arabic" w:eastAsia="Arial Unicode MS" w:hAnsi="Simplified Arabic" w:cs="Simplified Arabic" w:hint="cs"/>
              <w:sz w:val="32"/>
              <w:szCs w:val="32"/>
              <w:rtl/>
              <w:lang w:bidi="ar-DZ"/>
            </w:rPr>
            <w:t>؛</w:t>
          </w:r>
          <w:r w:rsidR="00235651" w:rsidRPr="009540C1">
            <w:rPr>
              <w:rFonts w:ascii="Simplified Arabic" w:eastAsia="Arial Unicode MS" w:hAnsi="Simplified Arabic" w:cs="Simplified Arabic" w:hint="cs"/>
              <w:sz w:val="32"/>
              <w:szCs w:val="32"/>
              <w:rtl/>
              <w:lang w:bidi="ar-DZ"/>
            </w:rPr>
            <w:t xml:space="preserve"> </w:t>
          </w:r>
          <w:r w:rsidR="005978F5" w:rsidRPr="009540C1">
            <w:rPr>
              <w:rFonts w:ascii="Simplified Arabic" w:eastAsia="Arial Unicode MS" w:hAnsi="Simplified Arabic" w:cs="Simplified Arabic" w:hint="cs"/>
              <w:sz w:val="32"/>
              <w:szCs w:val="32"/>
              <w:rtl/>
              <w:lang w:bidi="ar-DZ"/>
            </w:rPr>
            <w:t>اللهم صلّ على النبي محم</w:t>
          </w:r>
          <w:r w:rsidR="000B2A5E" w:rsidRPr="009540C1">
            <w:rPr>
              <w:rFonts w:ascii="Simplified Arabic" w:eastAsia="Arial Unicode MS" w:hAnsi="Simplified Arabic" w:cs="Simplified Arabic" w:hint="cs"/>
              <w:sz w:val="32"/>
              <w:szCs w:val="32"/>
              <w:rtl/>
              <w:lang w:bidi="ar-DZ"/>
            </w:rPr>
            <w:t>ّ</w:t>
          </w:r>
          <w:r w:rsidR="005978F5" w:rsidRPr="009540C1">
            <w:rPr>
              <w:rFonts w:ascii="Simplified Arabic" w:eastAsia="Arial Unicode MS" w:hAnsi="Simplified Arabic" w:cs="Simplified Arabic" w:hint="cs"/>
              <w:sz w:val="32"/>
              <w:szCs w:val="32"/>
              <w:rtl/>
              <w:lang w:bidi="ar-DZ"/>
            </w:rPr>
            <w:t xml:space="preserve">د </w:t>
          </w:r>
          <w:r w:rsidR="00E907C0" w:rsidRPr="009540C1">
            <w:rPr>
              <w:rFonts w:ascii="Simplified Arabic" w:eastAsia="Arial Unicode MS" w:hAnsi="Simplified Arabic" w:cs="Simplified Arabic" w:hint="cs"/>
              <w:sz w:val="32"/>
              <w:szCs w:val="32"/>
              <w:rtl/>
              <w:lang w:bidi="ar-DZ"/>
            </w:rPr>
            <w:t>ال</w:t>
          </w:r>
          <w:r w:rsidR="005978F5" w:rsidRPr="009540C1">
            <w:rPr>
              <w:rFonts w:ascii="Simplified Arabic" w:eastAsia="Arial Unicode MS" w:hAnsi="Simplified Arabic" w:cs="Simplified Arabic" w:hint="cs"/>
              <w:sz w:val="32"/>
              <w:szCs w:val="32"/>
              <w:rtl/>
              <w:lang w:bidi="ar-DZ"/>
            </w:rPr>
            <w:t>مبعوث</w:t>
          </w:r>
          <w:r w:rsidR="00692A88" w:rsidRPr="009540C1">
            <w:rPr>
              <w:rFonts w:ascii="Simplified Arabic" w:eastAsia="Arial Unicode MS" w:hAnsi="Simplified Arabic" w:cs="Simplified Arabic" w:hint="cs"/>
              <w:sz w:val="32"/>
              <w:szCs w:val="32"/>
              <w:rtl/>
              <w:lang w:bidi="ar-DZ"/>
            </w:rPr>
            <w:t xml:space="preserve"> </w:t>
          </w:r>
          <w:r w:rsidR="005978F5" w:rsidRPr="009540C1">
            <w:rPr>
              <w:rFonts w:ascii="Simplified Arabic" w:eastAsia="Arial Unicode MS" w:hAnsi="Simplified Arabic" w:cs="Simplified Arabic" w:hint="cs"/>
              <w:sz w:val="32"/>
              <w:szCs w:val="32"/>
              <w:rtl/>
              <w:lang w:bidi="ar-DZ"/>
            </w:rPr>
            <w:t>رحمة</w:t>
          </w:r>
          <w:r w:rsidR="006F6F04" w:rsidRPr="009540C1">
            <w:rPr>
              <w:rFonts w:ascii="Simplified Arabic" w:eastAsia="Arial Unicode MS" w:hAnsi="Simplified Arabic" w:cs="Simplified Arabic" w:hint="cs"/>
              <w:sz w:val="32"/>
              <w:szCs w:val="32"/>
              <w:rtl/>
              <w:lang w:bidi="ar-DZ"/>
            </w:rPr>
            <w:t>ً</w:t>
          </w:r>
          <w:r w:rsidR="005978F5" w:rsidRPr="009540C1">
            <w:rPr>
              <w:rFonts w:ascii="Simplified Arabic" w:eastAsia="Arial Unicode MS" w:hAnsi="Simplified Arabic" w:cs="Simplified Arabic" w:hint="cs"/>
              <w:sz w:val="32"/>
              <w:szCs w:val="32"/>
              <w:rtl/>
              <w:lang w:bidi="ar-DZ"/>
            </w:rPr>
            <w:t xml:space="preserve"> للعالمين</w:t>
          </w:r>
          <w:r w:rsidR="00692A88" w:rsidRPr="009540C1">
            <w:rPr>
              <w:rFonts w:ascii="Simplified Arabic" w:eastAsia="Arial Unicode MS" w:hAnsi="Simplified Arabic" w:cs="Simplified Arabic" w:hint="cs"/>
              <w:sz w:val="32"/>
              <w:szCs w:val="32"/>
              <w:rtl/>
              <w:lang w:bidi="ar-DZ"/>
            </w:rPr>
            <w:t>؛</w:t>
          </w:r>
        </w:p>
        <w:p w:rsidR="00444E95" w:rsidRPr="00B10410" w:rsidRDefault="004750EB" w:rsidP="009540C1">
          <w:pPr>
            <w:bidi/>
            <w:spacing w:before="240" w:after="0" w:line="240" w:lineRule="auto"/>
            <w:rPr>
              <w:rFonts w:ascii="Simplified Arabic" w:eastAsia="Arial Unicode MS" w:hAnsi="Simplified Arabic" w:cs="Simplified Arabic"/>
              <w:sz w:val="28"/>
              <w:szCs w:val="28"/>
              <w:rtl/>
              <w:lang w:bidi="ar-DZ"/>
            </w:rPr>
          </w:pPr>
          <w:r w:rsidRPr="0006254A">
            <w:rPr>
              <w:rFonts w:ascii="Simplified Arabic" w:eastAsia="Arial Unicode MS" w:hAnsi="Simplified Arabic" w:cs="Simplified Arabic"/>
              <w:b/>
              <w:bCs/>
              <w:sz w:val="28"/>
              <w:szCs w:val="28"/>
              <w:rtl/>
              <w:lang w:bidi="ar-DZ"/>
            </w:rPr>
            <w:t xml:space="preserve">كل عبارات الشكر </w:t>
          </w:r>
          <w:r w:rsidR="00692A88" w:rsidRPr="0006254A">
            <w:rPr>
              <w:rFonts w:ascii="Simplified Arabic" w:eastAsia="Arial Unicode MS" w:hAnsi="Simplified Arabic" w:cs="Simplified Arabic" w:hint="cs"/>
              <w:b/>
              <w:bCs/>
              <w:sz w:val="28"/>
              <w:szCs w:val="28"/>
              <w:rtl/>
              <w:lang w:bidi="ar-DZ"/>
            </w:rPr>
            <w:t xml:space="preserve">والامتنان </w:t>
          </w:r>
          <w:r w:rsidRPr="0006254A">
            <w:rPr>
              <w:rFonts w:ascii="Simplified Arabic" w:eastAsia="Arial Unicode MS" w:hAnsi="Simplified Arabic" w:cs="Simplified Arabic"/>
              <w:b/>
              <w:bCs/>
              <w:sz w:val="28"/>
              <w:szCs w:val="28"/>
              <w:rtl/>
              <w:lang w:bidi="ar-DZ"/>
            </w:rPr>
            <w:t xml:space="preserve">والعرفان </w:t>
          </w:r>
          <w:r w:rsidR="00546958" w:rsidRPr="0006254A">
            <w:rPr>
              <w:rFonts w:ascii="Simplified Arabic" w:eastAsia="Arial Unicode MS" w:hAnsi="Simplified Arabic" w:cs="Simplified Arabic"/>
              <w:b/>
              <w:bCs/>
              <w:sz w:val="28"/>
              <w:szCs w:val="28"/>
              <w:rtl/>
              <w:lang w:bidi="ar-DZ"/>
            </w:rPr>
            <w:t>بالجميل</w:t>
          </w:r>
          <w:r w:rsidR="00444E95" w:rsidRPr="00B10410">
            <w:rPr>
              <w:rFonts w:ascii="Simplified Arabic" w:eastAsia="Arial Unicode MS" w:hAnsi="Simplified Arabic" w:cs="Simplified Arabic" w:hint="cs"/>
              <w:sz w:val="28"/>
              <w:szCs w:val="28"/>
              <w:rtl/>
              <w:lang w:bidi="ar-DZ"/>
            </w:rPr>
            <w:t>:</w:t>
          </w:r>
        </w:p>
        <w:p w:rsidR="004750EB" w:rsidRPr="009540C1" w:rsidRDefault="00431C08" w:rsidP="008D347B">
          <w:pPr>
            <w:pStyle w:val="Paragraphedeliste"/>
            <w:numPr>
              <w:ilvl w:val="0"/>
              <w:numId w:val="69"/>
            </w:numPr>
            <w:tabs>
              <w:tab w:val="right" w:pos="282"/>
            </w:tabs>
            <w:bidi/>
            <w:spacing w:before="240" w:after="0" w:line="240" w:lineRule="auto"/>
            <w:ind w:left="-2" w:firstLine="0"/>
            <w:jc w:val="both"/>
            <w:rPr>
              <w:rFonts w:ascii="Simplified Arabic" w:eastAsia="Arial Unicode MS" w:hAnsi="Simplified Arabic" w:cs="Simplified Arabic"/>
              <w:sz w:val="28"/>
              <w:szCs w:val="28"/>
              <w:rtl/>
              <w:lang w:bidi="ar-DZ"/>
            </w:rPr>
          </w:pPr>
          <w:r w:rsidRPr="009540C1">
            <w:rPr>
              <w:rFonts w:ascii="Simplified Arabic" w:eastAsia="Arial Unicode MS" w:hAnsi="Simplified Arabic" w:cs="Simplified Arabic" w:hint="cs"/>
              <w:sz w:val="28"/>
              <w:szCs w:val="28"/>
              <w:rtl/>
              <w:lang w:bidi="ar-DZ"/>
            </w:rPr>
            <w:t>لمشرف الاطروحة:</w:t>
          </w:r>
          <w:r w:rsidR="009540C1">
            <w:rPr>
              <w:rFonts w:ascii="Simplified Arabic" w:eastAsia="Arial Unicode MS" w:hAnsi="Simplified Arabic" w:cs="Simplified Arabic" w:hint="cs"/>
              <w:sz w:val="28"/>
              <w:szCs w:val="28"/>
              <w:rtl/>
              <w:lang w:bidi="ar-DZ"/>
            </w:rPr>
            <w:t xml:space="preserve"> </w:t>
          </w:r>
          <w:r w:rsidRPr="009540C1">
            <w:rPr>
              <w:rFonts w:ascii="Simplified Arabic" w:eastAsia="Arial Unicode MS" w:hAnsi="Simplified Arabic" w:cs="Simplified Arabic" w:hint="cs"/>
              <w:sz w:val="28"/>
              <w:szCs w:val="28"/>
              <w:rtl/>
              <w:lang w:bidi="ar-DZ"/>
            </w:rPr>
            <w:t>ا</w:t>
          </w:r>
          <w:r w:rsidR="00546958" w:rsidRPr="009540C1">
            <w:rPr>
              <w:rFonts w:ascii="Simplified Arabic" w:eastAsia="Arial Unicode MS" w:hAnsi="Simplified Arabic" w:cs="Simplified Arabic"/>
              <w:sz w:val="28"/>
              <w:szCs w:val="28"/>
              <w:rtl/>
              <w:lang w:bidi="ar-DZ"/>
            </w:rPr>
            <w:t>لأستاذ</w:t>
          </w:r>
          <w:r w:rsidR="0025399D" w:rsidRPr="009540C1">
            <w:rPr>
              <w:rFonts w:ascii="Simplified Arabic" w:eastAsia="Arial Unicode MS" w:hAnsi="Simplified Arabic" w:cs="Simplified Arabic"/>
              <w:sz w:val="28"/>
              <w:szCs w:val="28"/>
              <w:rtl/>
              <w:lang w:bidi="ar-DZ"/>
            </w:rPr>
            <w:t xml:space="preserve"> الدكتور </w:t>
          </w:r>
          <w:r w:rsidR="004750EB" w:rsidRPr="009540C1">
            <w:rPr>
              <w:rFonts w:ascii="Simplified Arabic" w:eastAsia="Arial Unicode MS" w:hAnsi="Simplified Arabic" w:cs="Simplified Arabic"/>
              <w:sz w:val="28"/>
              <w:szCs w:val="28"/>
              <w:rtl/>
              <w:lang w:bidi="ar-DZ"/>
            </w:rPr>
            <w:t>إبراهيم نويبات</w:t>
          </w:r>
          <w:r w:rsidR="00E907C0" w:rsidRPr="009540C1">
            <w:rPr>
              <w:rFonts w:ascii="Simplified Arabic" w:eastAsia="Arial Unicode MS" w:hAnsi="Simplified Arabic" w:cs="Simplified Arabic" w:hint="cs"/>
              <w:sz w:val="28"/>
              <w:szCs w:val="28"/>
              <w:rtl/>
              <w:lang w:bidi="ar-DZ"/>
            </w:rPr>
            <w:t xml:space="preserve"> </w:t>
          </w:r>
          <w:r w:rsidR="004750EB" w:rsidRPr="009540C1">
            <w:rPr>
              <w:rFonts w:ascii="Simplified Arabic" w:eastAsia="Arial Unicode MS" w:hAnsi="Simplified Arabic" w:cs="Simplified Arabic"/>
              <w:sz w:val="28"/>
              <w:szCs w:val="28"/>
              <w:rtl/>
              <w:lang w:bidi="ar-DZ"/>
            </w:rPr>
            <w:t>الذي شرّفني</w:t>
          </w:r>
          <w:r w:rsidR="00C26868" w:rsidRPr="009540C1">
            <w:rPr>
              <w:rFonts w:ascii="Simplified Arabic" w:eastAsia="Arial Unicode MS" w:hAnsi="Simplified Arabic" w:cs="Simplified Arabic" w:hint="cs"/>
              <w:sz w:val="28"/>
              <w:szCs w:val="28"/>
              <w:rtl/>
              <w:lang w:bidi="ar-DZ"/>
            </w:rPr>
            <w:t xml:space="preserve"> </w:t>
          </w:r>
          <w:r w:rsidR="004750EB" w:rsidRPr="009540C1">
            <w:rPr>
              <w:rFonts w:ascii="Simplified Arabic" w:eastAsia="Arial Unicode MS" w:hAnsi="Simplified Arabic" w:cs="Simplified Arabic"/>
              <w:sz w:val="28"/>
              <w:szCs w:val="28"/>
              <w:rtl/>
              <w:lang w:bidi="ar-DZ"/>
            </w:rPr>
            <w:t>قبول إشرافه على</w:t>
          </w:r>
          <w:r w:rsidR="004750EB" w:rsidRPr="009540C1">
            <w:rPr>
              <w:rFonts w:ascii="Simplified Arabic" w:eastAsia="Arial Unicode MS" w:hAnsi="Simplified Arabic" w:cs="Simplified Arabic"/>
              <w:sz w:val="28"/>
              <w:szCs w:val="28"/>
              <w:lang w:bidi="ar-DZ"/>
            </w:rPr>
            <w:t xml:space="preserve"> </w:t>
          </w:r>
          <w:r w:rsidR="00546958" w:rsidRPr="009540C1">
            <w:rPr>
              <w:rFonts w:ascii="Simplified Arabic" w:eastAsia="Arial Unicode MS" w:hAnsi="Simplified Arabic" w:cs="Simplified Arabic" w:hint="cs"/>
              <w:sz w:val="28"/>
              <w:szCs w:val="28"/>
              <w:rtl/>
              <w:lang w:bidi="ar-DZ"/>
            </w:rPr>
            <w:t>الاطروحة</w:t>
          </w:r>
          <w:r w:rsidR="004750EB" w:rsidRPr="009540C1">
            <w:rPr>
              <w:rFonts w:ascii="Simplified Arabic" w:eastAsia="Arial Unicode MS" w:hAnsi="Simplified Arabic" w:cs="Simplified Arabic"/>
              <w:sz w:val="28"/>
              <w:szCs w:val="28"/>
              <w:rtl/>
              <w:lang w:bidi="ar-DZ"/>
            </w:rPr>
            <w:t xml:space="preserve"> ونظير</w:t>
          </w:r>
          <w:r w:rsidR="00E907C0" w:rsidRPr="009540C1">
            <w:rPr>
              <w:rFonts w:ascii="Simplified Arabic" w:eastAsia="Arial Unicode MS" w:hAnsi="Simplified Arabic" w:cs="Simplified Arabic" w:hint="cs"/>
              <w:sz w:val="28"/>
              <w:szCs w:val="28"/>
              <w:rtl/>
              <w:lang w:bidi="ar-DZ"/>
            </w:rPr>
            <w:t xml:space="preserve"> </w:t>
          </w:r>
          <w:r w:rsidR="004750EB" w:rsidRPr="009540C1">
            <w:rPr>
              <w:rFonts w:ascii="Simplified Arabic" w:eastAsia="Arial Unicode MS" w:hAnsi="Simplified Arabic" w:cs="Simplified Arabic"/>
              <w:sz w:val="28"/>
              <w:szCs w:val="28"/>
              <w:rtl/>
              <w:lang w:bidi="ar-DZ"/>
            </w:rPr>
            <w:t xml:space="preserve">توجيهاته وحرصه </w:t>
          </w:r>
          <w:r w:rsidRPr="009540C1">
            <w:rPr>
              <w:rFonts w:ascii="Simplified Arabic" w:eastAsia="Arial Unicode MS" w:hAnsi="Simplified Arabic" w:cs="Simplified Arabic" w:hint="cs"/>
              <w:sz w:val="28"/>
              <w:szCs w:val="28"/>
              <w:rtl/>
              <w:lang w:bidi="ar-DZ"/>
            </w:rPr>
            <w:t>الدائم</w:t>
          </w:r>
          <w:r w:rsidR="004750EB" w:rsidRPr="009540C1">
            <w:rPr>
              <w:rFonts w:ascii="Simplified Arabic" w:eastAsia="Arial Unicode MS" w:hAnsi="Simplified Arabic" w:cs="Simplified Arabic"/>
              <w:sz w:val="28"/>
              <w:szCs w:val="28"/>
              <w:rtl/>
              <w:lang w:bidi="ar-DZ"/>
            </w:rPr>
            <w:t xml:space="preserve"> طيلة مراحل البحث</w:t>
          </w:r>
          <w:r w:rsidR="009540C1">
            <w:rPr>
              <w:rFonts w:ascii="Simplified Arabic" w:eastAsia="Arial Unicode MS" w:hAnsi="Simplified Arabic" w:cs="Simplified Arabic" w:hint="cs"/>
              <w:sz w:val="28"/>
              <w:szCs w:val="28"/>
              <w:rtl/>
              <w:lang w:bidi="ar-DZ"/>
            </w:rPr>
            <w:t>.</w:t>
          </w:r>
        </w:p>
        <w:p w:rsidR="0056671D" w:rsidRPr="009540C1" w:rsidRDefault="00E907C0" w:rsidP="008D347B">
          <w:pPr>
            <w:pStyle w:val="Paragraphedeliste"/>
            <w:numPr>
              <w:ilvl w:val="0"/>
              <w:numId w:val="69"/>
            </w:numPr>
            <w:tabs>
              <w:tab w:val="right" w:pos="282"/>
            </w:tabs>
            <w:autoSpaceDE w:val="0"/>
            <w:autoSpaceDN w:val="0"/>
            <w:bidi/>
            <w:adjustRightInd w:val="0"/>
            <w:spacing w:before="240" w:after="0" w:line="240" w:lineRule="auto"/>
            <w:ind w:left="-2" w:firstLine="0"/>
            <w:jc w:val="both"/>
            <w:rPr>
              <w:rFonts w:ascii="Simplified Arabic" w:eastAsia="Arial Unicode MS" w:hAnsi="Simplified Arabic" w:cs="Simplified Arabic"/>
              <w:sz w:val="28"/>
              <w:szCs w:val="28"/>
              <w:rtl/>
              <w:lang w:bidi="ar-DZ"/>
            </w:rPr>
          </w:pPr>
          <w:r w:rsidRPr="009540C1">
            <w:rPr>
              <w:rFonts w:ascii="Simplified Arabic" w:eastAsia="Arial Unicode MS" w:hAnsi="Simplified Arabic" w:cs="Simplified Arabic" w:hint="cs"/>
              <w:sz w:val="28"/>
              <w:szCs w:val="28"/>
              <w:rtl/>
              <w:lang w:bidi="ar-DZ"/>
            </w:rPr>
            <w:t xml:space="preserve">لأعضاء لجنة التكوين </w:t>
          </w:r>
          <w:r w:rsidR="0056671D" w:rsidRPr="009540C1">
            <w:rPr>
              <w:rFonts w:ascii="Simplified Arabic" w:eastAsia="Arial Unicode MS" w:hAnsi="Simplified Arabic" w:cs="Simplified Arabic" w:hint="cs"/>
              <w:sz w:val="28"/>
              <w:szCs w:val="28"/>
              <w:rtl/>
              <w:lang w:bidi="ar-DZ"/>
            </w:rPr>
            <w:t xml:space="preserve">والمتابعة </w:t>
          </w:r>
          <w:r w:rsidRPr="009540C1">
            <w:rPr>
              <w:rFonts w:ascii="Simplified Arabic" w:eastAsia="Arial Unicode MS" w:hAnsi="Simplified Arabic" w:cs="Simplified Arabic" w:hint="cs"/>
              <w:sz w:val="28"/>
              <w:szCs w:val="28"/>
              <w:rtl/>
              <w:lang w:bidi="ar-DZ"/>
            </w:rPr>
            <w:t>في الدكتوراه</w:t>
          </w:r>
          <w:r w:rsidR="00FC7EC8" w:rsidRPr="009540C1">
            <w:rPr>
              <w:rFonts w:ascii="Simplified Arabic" w:eastAsia="Arial Unicode MS" w:hAnsi="Simplified Arabic" w:cs="Simplified Arabic" w:hint="cs"/>
              <w:sz w:val="28"/>
              <w:szCs w:val="28"/>
              <w:rtl/>
              <w:lang w:bidi="ar-DZ"/>
            </w:rPr>
            <w:t xml:space="preserve">: </w:t>
          </w:r>
          <w:r w:rsidR="00CF773B" w:rsidRPr="009540C1">
            <w:rPr>
              <w:rFonts w:ascii="Simplified Arabic" w:eastAsia="Arial Unicode MS" w:hAnsi="Simplified Arabic" w:cs="Simplified Arabic" w:hint="cs"/>
              <w:sz w:val="28"/>
              <w:szCs w:val="28"/>
              <w:rtl/>
              <w:lang w:bidi="ar-DZ"/>
            </w:rPr>
            <w:t>على رأسهم مسؤول اللجنة</w:t>
          </w:r>
          <w:r w:rsidR="005F287C" w:rsidRPr="009540C1">
            <w:rPr>
              <w:rFonts w:ascii="Simplified Arabic" w:eastAsia="Arial Unicode MS" w:hAnsi="Simplified Arabic" w:cs="Simplified Arabic" w:hint="cs"/>
              <w:sz w:val="28"/>
              <w:szCs w:val="28"/>
              <w:rtl/>
              <w:lang w:bidi="ar-DZ"/>
            </w:rPr>
            <w:t xml:space="preserve"> ا</w:t>
          </w:r>
          <w:r w:rsidR="005F287C" w:rsidRPr="009540C1">
            <w:rPr>
              <w:rFonts w:ascii="Simplified Arabic" w:eastAsia="Arial Unicode MS" w:hAnsi="Simplified Arabic" w:cs="Simplified Arabic"/>
              <w:sz w:val="28"/>
              <w:szCs w:val="28"/>
              <w:rtl/>
              <w:lang w:bidi="ar-DZ"/>
            </w:rPr>
            <w:t>لأستاذ الدكتور إبراهيم نويبات</w:t>
          </w:r>
          <w:r w:rsidR="00C26868" w:rsidRPr="009540C1">
            <w:rPr>
              <w:rFonts w:ascii="Simplified Arabic" w:eastAsia="Arial Unicode MS" w:hAnsi="Simplified Arabic" w:cs="Simplified Arabic" w:hint="cs"/>
              <w:sz w:val="28"/>
              <w:szCs w:val="28"/>
              <w:rtl/>
              <w:lang w:bidi="ar-DZ"/>
            </w:rPr>
            <w:t xml:space="preserve">، </w:t>
          </w:r>
          <w:r w:rsidR="00D622DA" w:rsidRPr="009540C1">
            <w:rPr>
              <w:rFonts w:ascii="Simplified Arabic" w:eastAsia="Arial Unicode MS" w:hAnsi="Simplified Arabic" w:cs="Simplified Arabic" w:hint="cs"/>
              <w:sz w:val="28"/>
              <w:szCs w:val="28"/>
              <w:rtl/>
              <w:lang w:bidi="ar-DZ"/>
            </w:rPr>
            <w:t xml:space="preserve">ولجنة المتابعة </w:t>
          </w:r>
          <w:r w:rsidRPr="009540C1">
            <w:rPr>
              <w:rFonts w:ascii="Simplified Arabic" w:eastAsia="Arial Unicode MS" w:hAnsi="Simplified Arabic" w:cs="Simplified Arabic" w:hint="cs"/>
              <w:sz w:val="28"/>
              <w:szCs w:val="28"/>
              <w:rtl/>
              <w:lang w:bidi="ar-DZ"/>
            </w:rPr>
            <w:t xml:space="preserve">الاستاذ الدكتور </w:t>
          </w:r>
          <w:r w:rsidR="00FC7EC8" w:rsidRPr="009540C1">
            <w:rPr>
              <w:rFonts w:ascii="Simplified Arabic" w:eastAsia="Arial Unicode MS" w:hAnsi="Simplified Arabic" w:cs="Simplified Arabic" w:hint="cs"/>
              <w:sz w:val="28"/>
              <w:szCs w:val="28"/>
              <w:rtl/>
              <w:lang w:bidi="ar-DZ"/>
            </w:rPr>
            <w:t xml:space="preserve">عبد المالك </w:t>
          </w:r>
          <w:r w:rsidRPr="009540C1">
            <w:rPr>
              <w:rFonts w:ascii="Simplified Arabic" w:eastAsia="Arial Unicode MS" w:hAnsi="Simplified Arabic" w:cs="Simplified Arabic" w:hint="cs"/>
              <w:sz w:val="28"/>
              <w:szCs w:val="28"/>
              <w:rtl/>
              <w:lang w:bidi="ar-DZ"/>
            </w:rPr>
            <w:t>تاشريفت</w:t>
          </w:r>
          <w:r w:rsidR="00D622DA" w:rsidRPr="009540C1">
            <w:rPr>
              <w:rFonts w:ascii="Simplified Arabic" w:eastAsia="Arial Unicode MS" w:hAnsi="Simplified Arabic" w:cs="Simplified Arabic" w:hint="cs"/>
              <w:sz w:val="28"/>
              <w:szCs w:val="28"/>
              <w:rtl/>
              <w:lang w:bidi="ar-DZ"/>
            </w:rPr>
            <w:t xml:space="preserve"> </w:t>
          </w:r>
          <w:r w:rsidR="00431C08" w:rsidRPr="009540C1">
            <w:rPr>
              <w:rFonts w:ascii="Simplified Arabic" w:eastAsia="Arial Unicode MS" w:hAnsi="Simplified Arabic" w:cs="Simplified Arabic" w:hint="cs"/>
              <w:sz w:val="28"/>
              <w:szCs w:val="28"/>
              <w:rtl/>
              <w:lang w:bidi="ar-DZ"/>
            </w:rPr>
            <w:t>الاستاذ الدكتور المخلوفي حجاب</w:t>
          </w:r>
          <w:r w:rsidR="00C26868" w:rsidRPr="009540C1">
            <w:rPr>
              <w:rFonts w:ascii="Simplified Arabic" w:eastAsia="Arial Unicode MS" w:hAnsi="Simplified Arabic" w:cs="Simplified Arabic" w:hint="cs"/>
              <w:sz w:val="28"/>
              <w:szCs w:val="28"/>
              <w:rtl/>
              <w:lang w:bidi="ar-DZ"/>
            </w:rPr>
            <w:t>،</w:t>
          </w:r>
          <w:r w:rsidR="00FC7EC8" w:rsidRPr="009540C1">
            <w:rPr>
              <w:rFonts w:ascii="Simplified Arabic" w:eastAsia="Arial Unicode MS" w:hAnsi="Simplified Arabic" w:cs="Simplified Arabic" w:hint="cs"/>
              <w:sz w:val="28"/>
              <w:szCs w:val="28"/>
              <w:rtl/>
              <w:lang w:bidi="ar-DZ"/>
            </w:rPr>
            <w:t xml:space="preserve"> الاستاذ الدكتور علي رجم، الاستاذة الدكتورة هندة بوطبة نظير </w:t>
          </w:r>
          <w:r w:rsidR="00750523" w:rsidRPr="009540C1">
            <w:rPr>
              <w:rFonts w:ascii="Simplified Arabic" w:eastAsia="Arial Unicode MS" w:hAnsi="Simplified Arabic" w:cs="Simplified Arabic" w:hint="cs"/>
              <w:sz w:val="28"/>
              <w:szCs w:val="28"/>
              <w:rtl/>
              <w:lang w:bidi="ar-DZ"/>
            </w:rPr>
            <w:t>تقديم ال</w:t>
          </w:r>
          <w:r w:rsidR="00FC7EC8" w:rsidRPr="009540C1">
            <w:rPr>
              <w:rFonts w:ascii="Simplified Arabic" w:eastAsia="Arial Unicode MS" w:hAnsi="Simplified Arabic" w:cs="Simplified Arabic" w:hint="cs"/>
              <w:sz w:val="28"/>
              <w:szCs w:val="28"/>
              <w:rtl/>
              <w:lang w:bidi="ar-DZ"/>
            </w:rPr>
            <w:t>نصح</w:t>
          </w:r>
          <w:r w:rsidR="00750523" w:rsidRPr="009540C1">
            <w:rPr>
              <w:rFonts w:ascii="Simplified Arabic" w:eastAsia="Arial Unicode MS" w:hAnsi="Simplified Arabic" w:cs="Simplified Arabic" w:hint="cs"/>
              <w:sz w:val="28"/>
              <w:szCs w:val="28"/>
              <w:rtl/>
              <w:lang w:bidi="ar-DZ"/>
            </w:rPr>
            <w:t>،</w:t>
          </w:r>
          <w:r w:rsidR="00FC7EC8" w:rsidRPr="009540C1">
            <w:rPr>
              <w:rFonts w:ascii="Simplified Arabic" w:eastAsia="Arial Unicode MS" w:hAnsi="Simplified Arabic" w:cs="Simplified Arabic" w:hint="cs"/>
              <w:sz w:val="28"/>
              <w:szCs w:val="28"/>
              <w:rtl/>
              <w:lang w:bidi="ar-DZ"/>
            </w:rPr>
            <w:t xml:space="preserve"> </w:t>
          </w:r>
          <w:r w:rsidR="00750523" w:rsidRPr="009540C1">
            <w:rPr>
              <w:rFonts w:ascii="Simplified Arabic" w:eastAsia="Arial Unicode MS" w:hAnsi="Simplified Arabic" w:cs="Simplified Arabic" w:hint="cs"/>
              <w:sz w:val="28"/>
              <w:szCs w:val="28"/>
              <w:rtl/>
              <w:lang w:bidi="ar-DZ"/>
            </w:rPr>
            <w:t xml:space="preserve">التوجيه، الدعم </w:t>
          </w:r>
          <w:r w:rsidR="00FC7EC8" w:rsidRPr="009540C1">
            <w:rPr>
              <w:rFonts w:ascii="Simplified Arabic" w:eastAsia="Arial Unicode MS" w:hAnsi="Simplified Arabic" w:cs="Simplified Arabic" w:hint="cs"/>
              <w:sz w:val="28"/>
              <w:szCs w:val="28"/>
              <w:rtl/>
              <w:lang w:bidi="ar-DZ"/>
            </w:rPr>
            <w:t>و</w:t>
          </w:r>
          <w:r w:rsidR="00750523" w:rsidRPr="009540C1">
            <w:rPr>
              <w:rFonts w:ascii="Simplified Arabic" w:eastAsia="Arial Unicode MS" w:hAnsi="Simplified Arabic" w:cs="Simplified Arabic" w:hint="cs"/>
              <w:sz w:val="28"/>
              <w:szCs w:val="28"/>
              <w:rtl/>
              <w:lang w:bidi="ar-DZ"/>
            </w:rPr>
            <w:t>ال</w:t>
          </w:r>
          <w:r w:rsidR="00FC7EC8" w:rsidRPr="009540C1">
            <w:rPr>
              <w:rFonts w:ascii="Simplified Arabic" w:eastAsia="Arial Unicode MS" w:hAnsi="Simplified Arabic" w:cs="Simplified Arabic" w:hint="cs"/>
              <w:sz w:val="28"/>
              <w:szCs w:val="28"/>
              <w:rtl/>
              <w:lang w:bidi="ar-DZ"/>
            </w:rPr>
            <w:t xml:space="preserve">تشجيع </w:t>
          </w:r>
          <w:r w:rsidR="0056671D" w:rsidRPr="009540C1">
            <w:rPr>
              <w:rFonts w:ascii="Simplified Arabic" w:eastAsia="Arial Unicode MS" w:hAnsi="Simplified Arabic" w:cs="Simplified Arabic" w:hint="cs"/>
              <w:sz w:val="28"/>
              <w:szCs w:val="28"/>
              <w:rtl/>
              <w:lang w:bidi="ar-DZ"/>
            </w:rPr>
            <w:t xml:space="preserve">خلال الايام الدراسية </w:t>
          </w:r>
          <w:r w:rsidR="00016BFE" w:rsidRPr="009540C1">
            <w:rPr>
              <w:rFonts w:ascii="Simplified Arabic" w:eastAsia="Arial Unicode MS" w:hAnsi="Simplified Arabic" w:cs="Simplified Arabic" w:hint="cs"/>
              <w:sz w:val="28"/>
              <w:szCs w:val="28"/>
              <w:rtl/>
              <w:lang w:bidi="ar-DZ"/>
            </w:rPr>
            <w:t xml:space="preserve">السنوية </w:t>
          </w:r>
          <w:r w:rsidR="0056671D" w:rsidRPr="009540C1">
            <w:rPr>
              <w:rFonts w:ascii="Simplified Arabic" w:eastAsia="Arial Unicode MS" w:hAnsi="Simplified Arabic" w:cs="Simplified Arabic" w:hint="cs"/>
              <w:sz w:val="28"/>
              <w:szCs w:val="28"/>
              <w:rtl/>
              <w:lang w:bidi="ar-DZ"/>
            </w:rPr>
            <w:t>لتقييم اعمال طلبة الدكتوراه</w:t>
          </w:r>
          <w:r w:rsidR="009540C1">
            <w:rPr>
              <w:rFonts w:ascii="Simplified Arabic" w:eastAsia="Arial Unicode MS" w:hAnsi="Simplified Arabic" w:cs="Simplified Arabic" w:hint="cs"/>
              <w:sz w:val="28"/>
              <w:szCs w:val="28"/>
              <w:rtl/>
              <w:lang w:bidi="ar-DZ"/>
            </w:rPr>
            <w:t>.</w:t>
          </w:r>
        </w:p>
        <w:p w:rsidR="00766051" w:rsidRPr="009540C1" w:rsidRDefault="00AA00E9" w:rsidP="008D347B">
          <w:pPr>
            <w:pStyle w:val="Paragraphedeliste"/>
            <w:numPr>
              <w:ilvl w:val="0"/>
              <w:numId w:val="69"/>
            </w:numPr>
            <w:tabs>
              <w:tab w:val="right" w:pos="282"/>
            </w:tabs>
            <w:autoSpaceDE w:val="0"/>
            <w:autoSpaceDN w:val="0"/>
            <w:bidi/>
            <w:adjustRightInd w:val="0"/>
            <w:spacing w:before="240" w:after="0" w:line="240" w:lineRule="auto"/>
            <w:ind w:left="-2" w:firstLine="0"/>
            <w:jc w:val="both"/>
            <w:rPr>
              <w:rFonts w:ascii="Simplified Arabic" w:eastAsia="Arial Unicode MS" w:hAnsi="Simplified Arabic" w:cs="Simplified Arabic"/>
              <w:sz w:val="28"/>
              <w:szCs w:val="28"/>
              <w:rtl/>
              <w:lang w:bidi="ar-DZ"/>
            </w:rPr>
          </w:pPr>
          <w:r w:rsidRPr="009540C1">
            <w:rPr>
              <w:rFonts w:ascii="Simplified Arabic" w:eastAsia="Arial Unicode MS" w:hAnsi="Simplified Arabic" w:cs="Simplified Arabic" w:hint="cs"/>
              <w:sz w:val="28"/>
              <w:szCs w:val="28"/>
              <w:rtl/>
              <w:lang w:bidi="ar-DZ"/>
            </w:rPr>
            <w:t>لأعضاء مخبر</w:t>
          </w:r>
          <w:r w:rsidR="00CF773B" w:rsidRPr="009540C1">
            <w:rPr>
              <w:rFonts w:ascii="Simplified Arabic" w:eastAsia="Arial Unicode MS" w:hAnsi="Simplified Arabic" w:cs="Simplified Arabic" w:hint="cs"/>
              <w:sz w:val="28"/>
              <w:szCs w:val="28"/>
              <w:rtl/>
              <w:lang w:bidi="ar-DZ"/>
            </w:rPr>
            <w:t xml:space="preserve">: المدينة، </w:t>
          </w:r>
          <w:r w:rsidRPr="009540C1">
            <w:rPr>
              <w:rFonts w:ascii="Simplified Arabic" w:eastAsia="Arial Unicode MS" w:hAnsi="Simplified Arabic" w:cs="Simplified Arabic" w:hint="cs"/>
              <w:sz w:val="28"/>
              <w:szCs w:val="28"/>
              <w:rtl/>
              <w:lang w:bidi="ar-DZ"/>
            </w:rPr>
            <w:t>البيئ</w:t>
          </w:r>
          <w:r w:rsidR="00CF773B" w:rsidRPr="009540C1">
            <w:rPr>
              <w:rFonts w:ascii="Simplified Arabic" w:eastAsia="Arial Unicode MS" w:hAnsi="Simplified Arabic" w:cs="Simplified Arabic" w:hint="cs"/>
              <w:sz w:val="28"/>
              <w:szCs w:val="28"/>
              <w:rtl/>
              <w:lang w:bidi="ar-DZ"/>
            </w:rPr>
            <w:t xml:space="preserve">ة، </w:t>
          </w:r>
          <w:r w:rsidR="00312245" w:rsidRPr="009540C1">
            <w:rPr>
              <w:rFonts w:ascii="Simplified Arabic" w:eastAsia="Arial Unicode MS" w:hAnsi="Simplified Arabic" w:cs="Simplified Arabic" w:hint="cs"/>
              <w:sz w:val="28"/>
              <w:szCs w:val="28"/>
              <w:rtl/>
              <w:lang w:bidi="ar-DZ"/>
            </w:rPr>
            <w:t>الري</w:t>
          </w:r>
          <w:r w:rsidR="00CF773B" w:rsidRPr="009540C1">
            <w:rPr>
              <w:rFonts w:ascii="Simplified Arabic" w:eastAsia="Arial Unicode MS" w:hAnsi="Simplified Arabic" w:cs="Simplified Arabic" w:hint="cs"/>
              <w:sz w:val="28"/>
              <w:szCs w:val="28"/>
              <w:rtl/>
              <w:lang w:bidi="ar-DZ"/>
            </w:rPr>
            <w:t xml:space="preserve"> والتنمية المستدامة</w:t>
          </w:r>
          <w:r w:rsidRPr="009540C1">
            <w:rPr>
              <w:rFonts w:ascii="Simplified Arabic" w:eastAsia="Arial Unicode MS" w:hAnsi="Simplified Arabic" w:cs="Simplified Arabic" w:hint="cs"/>
              <w:sz w:val="28"/>
              <w:szCs w:val="28"/>
              <w:rtl/>
              <w:lang w:bidi="ar-DZ"/>
            </w:rPr>
            <w:t xml:space="preserve"> </w:t>
          </w:r>
          <w:r w:rsidR="00CF773B" w:rsidRPr="009540C1">
            <w:rPr>
              <w:rFonts w:ascii="Simplified Arabic" w:eastAsia="Arial Unicode MS" w:hAnsi="Simplified Arabic" w:cs="Simplified Arabic" w:hint="cs"/>
              <w:sz w:val="28"/>
              <w:szCs w:val="28"/>
              <w:rtl/>
              <w:lang w:bidi="ar-DZ"/>
            </w:rPr>
            <w:t>على رأسهم مدير المخبر: الاستاذ الدكتور علي رجم</w:t>
          </w:r>
          <w:r w:rsidR="00CC190E" w:rsidRPr="009540C1">
            <w:rPr>
              <w:rFonts w:ascii="Simplified Arabic" w:eastAsia="Arial Unicode MS" w:hAnsi="Simplified Arabic" w:cs="Simplified Arabic" w:hint="cs"/>
              <w:sz w:val="28"/>
              <w:szCs w:val="28"/>
              <w:rtl/>
              <w:lang w:bidi="ar-DZ"/>
            </w:rPr>
            <w:t xml:space="preserve"> </w:t>
          </w:r>
          <w:r w:rsidR="0056671D" w:rsidRPr="009540C1">
            <w:rPr>
              <w:rFonts w:ascii="Simplified Arabic" w:eastAsia="Arial Unicode MS" w:hAnsi="Simplified Arabic" w:cs="Simplified Arabic" w:hint="cs"/>
              <w:sz w:val="28"/>
              <w:szCs w:val="28"/>
              <w:rtl/>
              <w:lang w:bidi="ar-DZ"/>
            </w:rPr>
            <w:t>و</w:t>
          </w:r>
          <w:r w:rsidR="00016BFE" w:rsidRPr="009540C1">
            <w:rPr>
              <w:rFonts w:ascii="Simplified Arabic" w:eastAsia="Arial Unicode MS" w:hAnsi="Simplified Arabic" w:cs="Simplified Arabic" w:hint="cs"/>
              <w:sz w:val="28"/>
              <w:szCs w:val="28"/>
              <w:rtl/>
              <w:lang w:bidi="ar-DZ"/>
            </w:rPr>
            <w:t xml:space="preserve">كل الباحثين من اساتذة وطلبة دكتوراه </w:t>
          </w:r>
          <w:r w:rsidR="0056596E" w:rsidRPr="009540C1">
            <w:rPr>
              <w:rFonts w:ascii="Simplified Arabic" w:eastAsia="Arial Unicode MS" w:hAnsi="Simplified Arabic" w:cs="Simplified Arabic" w:hint="cs"/>
              <w:sz w:val="28"/>
              <w:szCs w:val="28"/>
              <w:rtl/>
              <w:lang w:bidi="ar-DZ"/>
            </w:rPr>
            <w:t>دفعة 2017</w:t>
          </w:r>
          <w:r w:rsidR="0056671D" w:rsidRPr="009540C1">
            <w:rPr>
              <w:rFonts w:ascii="Simplified Arabic" w:eastAsia="Arial Unicode MS" w:hAnsi="Simplified Arabic" w:cs="Simplified Arabic"/>
              <w:sz w:val="28"/>
              <w:szCs w:val="28"/>
              <w:rtl/>
              <w:lang w:bidi="ar-DZ"/>
            </w:rPr>
            <w:t xml:space="preserve"> تخصص: مدينة وأخطار حضرية</w:t>
          </w:r>
          <w:r w:rsidR="0056671D" w:rsidRPr="009540C1">
            <w:rPr>
              <w:rFonts w:ascii="Simplified Arabic" w:eastAsia="Arial Unicode MS" w:hAnsi="Simplified Arabic" w:cs="Simplified Arabic" w:hint="cs"/>
              <w:sz w:val="28"/>
              <w:szCs w:val="28"/>
              <w:rtl/>
              <w:lang w:bidi="ar-DZ"/>
            </w:rPr>
            <w:t>.</w:t>
          </w:r>
        </w:p>
        <w:p w:rsidR="0056596E" w:rsidRPr="0006254A" w:rsidRDefault="0056596E" w:rsidP="008D347B">
          <w:pPr>
            <w:pStyle w:val="Paragraphedeliste"/>
            <w:numPr>
              <w:ilvl w:val="0"/>
              <w:numId w:val="69"/>
            </w:numPr>
            <w:tabs>
              <w:tab w:val="right" w:pos="282"/>
            </w:tabs>
            <w:bidi/>
            <w:spacing w:before="240" w:line="240" w:lineRule="auto"/>
            <w:ind w:left="-2" w:firstLine="0"/>
            <w:jc w:val="both"/>
            <w:rPr>
              <w:rFonts w:ascii="Simplified Arabic" w:eastAsia="Arial Unicode MS" w:hAnsi="Simplified Arabic" w:cs="Simplified Arabic"/>
              <w:sz w:val="28"/>
              <w:szCs w:val="28"/>
              <w:rtl/>
              <w:lang w:bidi="ar-DZ"/>
            </w:rPr>
          </w:pPr>
          <w:r w:rsidRPr="0006254A">
            <w:rPr>
              <w:rFonts w:ascii="Simplified Arabic" w:eastAsia="Arial Unicode MS" w:hAnsi="Simplified Arabic" w:cs="Simplified Arabic" w:hint="cs"/>
              <w:sz w:val="28"/>
              <w:szCs w:val="28"/>
              <w:rtl/>
              <w:lang w:bidi="ar-DZ"/>
            </w:rPr>
            <w:t>لأعضاء الطاقم الاداري</w:t>
          </w:r>
          <w:r w:rsidR="006A0F34" w:rsidRPr="0006254A">
            <w:rPr>
              <w:rFonts w:ascii="Simplified Arabic" w:eastAsia="Arial Unicode MS" w:hAnsi="Simplified Arabic" w:cs="Simplified Arabic" w:hint="cs"/>
              <w:sz w:val="28"/>
              <w:szCs w:val="28"/>
              <w:rtl/>
              <w:lang w:bidi="ar-DZ"/>
            </w:rPr>
            <w:t xml:space="preserve"> </w:t>
          </w:r>
          <w:r w:rsidR="005A58AE" w:rsidRPr="0006254A">
            <w:rPr>
              <w:rFonts w:ascii="Simplified Arabic" w:eastAsia="Arial Unicode MS" w:hAnsi="Simplified Arabic" w:cs="Simplified Arabic" w:hint="cs"/>
              <w:sz w:val="28"/>
              <w:szCs w:val="28"/>
              <w:rtl/>
              <w:lang w:bidi="ar-DZ"/>
            </w:rPr>
            <w:t xml:space="preserve">والبيداغوجي </w:t>
          </w:r>
          <w:r w:rsidRPr="0006254A">
            <w:rPr>
              <w:rFonts w:ascii="Simplified Arabic" w:eastAsia="Arial Unicode MS" w:hAnsi="Simplified Arabic" w:cs="Simplified Arabic" w:hint="cs"/>
              <w:sz w:val="28"/>
              <w:szCs w:val="28"/>
              <w:rtl/>
              <w:lang w:bidi="ar-DZ"/>
            </w:rPr>
            <w:t>لمعهد تسيير التقنيات الحضرية بالمسيلة</w:t>
          </w:r>
          <w:r w:rsidR="0006254A">
            <w:rPr>
              <w:rFonts w:ascii="Simplified Arabic" w:eastAsia="Arial Unicode MS" w:hAnsi="Simplified Arabic" w:cs="Simplified Arabic" w:hint="cs"/>
              <w:sz w:val="28"/>
              <w:szCs w:val="28"/>
              <w:rtl/>
              <w:lang w:bidi="ar-DZ"/>
            </w:rPr>
            <w:t xml:space="preserve"> </w:t>
          </w:r>
          <w:r w:rsidRPr="0006254A">
            <w:rPr>
              <w:rFonts w:ascii="Simplified Arabic" w:eastAsia="Arial Unicode MS" w:hAnsi="Simplified Arabic" w:cs="Simplified Arabic" w:hint="cs"/>
              <w:sz w:val="28"/>
              <w:szCs w:val="28"/>
              <w:rtl/>
              <w:lang w:bidi="ar-DZ"/>
            </w:rPr>
            <w:t xml:space="preserve">على رأسهم مدير المعهد: </w:t>
          </w:r>
          <w:r w:rsidR="009532CC" w:rsidRPr="0006254A">
            <w:rPr>
              <w:rFonts w:ascii="Simplified Arabic" w:eastAsia="Arial Unicode MS" w:hAnsi="Simplified Arabic" w:cs="Simplified Arabic" w:hint="cs"/>
              <w:sz w:val="28"/>
              <w:szCs w:val="28"/>
              <w:rtl/>
              <w:lang w:bidi="ar-DZ"/>
            </w:rPr>
            <w:t>الدكتور محمّد ميلي.</w:t>
          </w:r>
        </w:p>
        <w:p w:rsidR="006A0F34" w:rsidRPr="0006254A" w:rsidRDefault="00066A5E" w:rsidP="008D347B">
          <w:pPr>
            <w:pStyle w:val="Paragraphedeliste"/>
            <w:numPr>
              <w:ilvl w:val="0"/>
              <w:numId w:val="69"/>
            </w:numPr>
            <w:tabs>
              <w:tab w:val="right" w:pos="282"/>
            </w:tabs>
            <w:bidi/>
            <w:spacing w:before="240" w:line="240" w:lineRule="auto"/>
            <w:ind w:left="-2" w:firstLine="0"/>
            <w:jc w:val="both"/>
            <w:rPr>
              <w:rFonts w:ascii="Simplified Arabic" w:eastAsia="Arial Unicode MS" w:hAnsi="Simplified Arabic" w:cs="Simplified Arabic"/>
              <w:sz w:val="28"/>
              <w:szCs w:val="28"/>
              <w:rtl/>
              <w:lang w:bidi="ar-DZ"/>
            </w:rPr>
          </w:pPr>
          <w:r w:rsidRPr="0006254A">
            <w:rPr>
              <w:rFonts w:ascii="Simplified Arabic" w:eastAsia="Arial Unicode MS" w:hAnsi="Simplified Arabic" w:cs="Simplified Arabic" w:hint="cs"/>
              <w:sz w:val="28"/>
              <w:szCs w:val="28"/>
              <w:rtl/>
              <w:lang w:bidi="ar-DZ"/>
            </w:rPr>
            <w:t>ل</w:t>
          </w:r>
          <w:r w:rsidR="006A0F34" w:rsidRPr="0006254A">
            <w:rPr>
              <w:rFonts w:ascii="Simplified Arabic" w:eastAsia="Arial Unicode MS" w:hAnsi="Simplified Arabic" w:cs="Simplified Arabic" w:hint="cs"/>
              <w:sz w:val="28"/>
              <w:szCs w:val="28"/>
              <w:rtl/>
              <w:lang w:bidi="ar-DZ"/>
            </w:rPr>
            <w:t>كل اعضاء لجان التدريس وكل أساتذة معهد</w:t>
          </w:r>
          <w:r w:rsidR="00E722EB" w:rsidRPr="0006254A">
            <w:rPr>
              <w:rFonts w:ascii="Simplified Arabic" w:eastAsia="Arial Unicode MS" w:hAnsi="Simplified Arabic" w:cs="Simplified Arabic" w:hint="cs"/>
              <w:sz w:val="28"/>
              <w:szCs w:val="28"/>
              <w:rtl/>
              <w:lang w:bidi="ar-DZ"/>
            </w:rPr>
            <w:t xml:space="preserve"> تسيير التقنيات الحضرية بالمسيلة</w:t>
          </w:r>
          <w:r w:rsidR="00B74595" w:rsidRPr="0006254A">
            <w:rPr>
              <w:rFonts w:ascii="Simplified Arabic" w:eastAsia="Arial Unicode MS" w:hAnsi="Simplified Arabic" w:cs="Simplified Arabic" w:hint="cs"/>
              <w:sz w:val="28"/>
              <w:szCs w:val="28"/>
              <w:rtl/>
              <w:lang w:bidi="ar-DZ"/>
            </w:rPr>
            <w:t>.</w:t>
          </w:r>
        </w:p>
        <w:p w:rsidR="0006254A" w:rsidRPr="0006254A" w:rsidRDefault="009540C1" w:rsidP="008D347B">
          <w:pPr>
            <w:pStyle w:val="Paragraphedeliste"/>
            <w:numPr>
              <w:ilvl w:val="0"/>
              <w:numId w:val="69"/>
            </w:numPr>
            <w:tabs>
              <w:tab w:val="right" w:pos="282"/>
            </w:tabs>
            <w:bidi/>
            <w:spacing w:before="240" w:line="240" w:lineRule="auto"/>
            <w:ind w:left="-2" w:firstLine="0"/>
            <w:jc w:val="both"/>
            <w:rPr>
              <w:rFonts w:ascii="Simplified Arabic" w:eastAsia="Arial Unicode MS" w:hAnsi="Simplified Arabic" w:cs="Simplified Arabic"/>
              <w:sz w:val="28"/>
              <w:szCs w:val="28"/>
              <w:rtl/>
              <w:lang w:bidi="ar-DZ"/>
            </w:rPr>
          </w:pPr>
          <w:r w:rsidRPr="0006254A">
            <w:rPr>
              <w:rFonts w:ascii="Simplified Arabic" w:eastAsia="Arial Unicode MS" w:hAnsi="Simplified Arabic" w:cs="Simplified Arabic" w:hint="cs"/>
              <w:sz w:val="28"/>
              <w:szCs w:val="28"/>
              <w:rtl/>
              <w:lang w:bidi="ar-DZ"/>
            </w:rPr>
            <w:t>لأعضاء</w:t>
          </w:r>
          <w:r w:rsidR="0006254A" w:rsidRPr="0006254A">
            <w:rPr>
              <w:rFonts w:ascii="Simplified Arabic" w:eastAsia="Arial Unicode MS" w:hAnsi="Simplified Arabic" w:cs="Simplified Arabic" w:hint="cs"/>
              <w:sz w:val="28"/>
              <w:szCs w:val="28"/>
              <w:rtl/>
              <w:lang w:bidi="ar-DZ"/>
            </w:rPr>
            <w:t xml:space="preserve"> لجنة المناقشة</w:t>
          </w:r>
          <w:r w:rsidR="0006254A">
            <w:rPr>
              <w:rFonts w:ascii="Simplified Arabic" w:eastAsia="Arial Unicode MS" w:hAnsi="Simplified Arabic" w:cs="Simplified Arabic" w:hint="cs"/>
              <w:sz w:val="28"/>
              <w:szCs w:val="28"/>
              <w:rtl/>
              <w:lang w:bidi="ar-DZ"/>
            </w:rPr>
            <w:t>:</w:t>
          </w:r>
          <w:r w:rsidR="0006254A" w:rsidRPr="0006254A">
            <w:rPr>
              <w:rFonts w:ascii="Simplified Arabic" w:eastAsia="Arial Unicode MS" w:hAnsi="Simplified Arabic" w:cs="Simplified Arabic" w:hint="cs"/>
              <w:sz w:val="28"/>
              <w:szCs w:val="28"/>
              <w:rtl/>
              <w:lang w:bidi="ar-DZ"/>
            </w:rPr>
            <w:t xml:space="preserve"> الاستاذ الدكتور علي رجم، الاستاذ الدكتور </w:t>
          </w:r>
          <w:r w:rsidR="0006254A" w:rsidRPr="0006254A">
            <w:rPr>
              <w:rFonts w:ascii="Simplified Arabic" w:eastAsia="Arial Unicode MS" w:hAnsi="Simplified Arabic" w:cs="Simplified Arabic"/>
              <w:sz w:val="28"/>
              <w:szCs w:val="28"/>
              <w:rtl/>
              <w:lang w:bidi="ar-DZ"/>
            </w:rPr>
            <w:t>إبراهيم نويبات</w:t>
          </w:r>
          <w:r w:rsidR="0006254A" w:rsidRPr="0006254A">
            <w:rPr>
              <w:rFonts w:ascii="Simplified Arabic" w:eastAsia="Arial Unicode MS" w:hAnsi="Simplified Arabic" w:cs="Simplified Arabic" w:hint="cs"/>
              <w:sz w:val="28"/>
              <w:szCs w:val="28"/>
              <w:rtl/>
              <w:lang w:bidi="ar-DZ"/>
            </w:rPr>
            <w:t xml:space="preserve">، الدكتور نعيم حركات، الدكتورة ليفا آسيا، الدكتور فاتح اودينة الذين اثروا هذا البحث بنقاشهم </w:t>
          </w:r>
          <w:r>
            <w:rPr>
              <w:rFonts w:ascii="Simplified Arabic" w:eastAsia="Arial Unicode MS" w:hAnsi="Simplified Arabic" w:cs="Simplified Arabic" w:hint="cs"/>
              <w:sz w:val="28"/>
              <w:szCs w:val="28"/>
              <w:rtl/>
              <w:lang w:bidi="ar-DZ"/>
            </w:rPr>
            <w:t>الهادف و</w:t>
          </w:r>
          <w:r w:rsidR="0006254A" w:rsidRPr="0006254A">
            <w:rPr>
              <w:rFonts w:ascii="Simplified Arabic" w:eastAsia="Arial Unicode MS" w:hAnsi="Simplified Arabic" w:cs="Simplified Arabic" w:hint="cs"/>
              <w:sz w:val="28"/>
              <w:szCs w:val="28"/>
              <w:rtl/>
              <w:lang w:bidi="ar-DZ"/>
            </w:rPr>
            <w:t>البن</w:t>
          </w:r>
          <w:r>
            <w:rPr>
              <w:rFonts w:ascii="Simplified Arabic" w:eastAsia="Arial Unicode MS" w:hAnsi="Simplified Arabic" w:cs="Simplified Arabic" w:hint="cs"/>
              <w:sz w:val="28"/>
              <w:szCs w:val="28"/>
              <w:rtl/>
              <w:lang w:bidi="ar-DZ"/>
            </w:rPr>
            <w:t>ّ</w:t>
          </w:r>
          <w:r w:rsidR="0006254A" w:rsidRPr="0006254A">
            <w:rPr>
              <w:rFonts w:ascii="Simplified Arabic" w:eastAsia="Arial Unicode MS" w:hAnsi="Simplified Arabic" w:cs="Simplified Arabic" w:hint="cs"/>
              <w:sz w:val="28"/>
              <w:szCs w:val="28"/>
              <w:rtl/>
              <w:lang w:bidi="ar-DZ"/>
            </w:rPr>
            <w:t>اء.</w:t>
          </w:r>
        </w:p>
        <w:p w:rsidR="00766051" w:rsidRDefault="00766051" w:rsidP="00B72F63">
          <w:pPr>
            <w:bidi/>
            <w:rPr>
              <w:rtl/>
              <w:lang w:bidi="ar-DZ"/>
            </w:rPr>
          </w:pPr>
        </w:p>
        <w:p w:rsidR="009540C1" w:rsidRDefault="009540C1" w:rsidP="009540C1">
          <w:pPr>
            <w:bidi/>
            <w:rPr>
              <w:rtl/>
              <w:lang w:bidi="ar-DZ"/>
            </w:rPr>
          </w:pPr>
        </w:p>
        <w:p w:rsidR="00111B6F" w:rsidRDefault="00111B6F" w:rsidP="00B72F63">
          <w:pPr>
            <w:bidi/>
            <w:rPr>
              <w:rtl/>
              <w:lang w:bidi="ar-DZ"/>
            </w:rPr>
          </w:pPr>
        </w:p>
        <w:p w:rsidR="009540C1" w:rsidRDefault="009540C1" w:rsidP="009540C1">
          <w:pPr>
            <w:bidi/>
            <w:rPr>
              <w:rtl/>
              <w:lang w:bidi="ar-DZ"/>
            </w:rPr>
          </w:pPr>
        </w:p>
        <w:p w:rsidR="009540C1" w:rsidRDefault="009540C1" w:rsidP="009540C1">
          <w:pPr>
            <w:bidi/>
            <w:rPr>
              <w:rtl/>
              <w:lang w:bidi="ar-DZ"/>
            </w:rPr>
          </w:pPr>
        </w:p>
        <w:p w:rsidR="009540C1" w:rsidRDefault="009540C1" w:rsidP="009540C1">
          <w:pPr>
            <w:bidi/>
            <w:rPr>
              <w:rtl/>
              <w:lang w:bidi="ar-DZ"/>
            </w:rPr>
          </w:pPr>
        </w:p>
        <w:p w:rsidR="009540C1" w:rsidRDefault="009540C1" w:rsidP="009540C1">
          <w:pPr>
            <w:bidi/>
            <w:rPr>
              <w:lang w:bidi="ar-DZ"/>
            </w:rPr>
          </w:pPr>
        </w:p>
        <w:p w:rsidR="005F7175" w:rsidRDefault="005F7175" w:rsidP="00B72F63">
          <w:pPr>
            <w:bidi/>
          </w:pPr>
        </w:p>
        <w:p w:rsidR="00EE5BEE" w:rsidRDefault="00EE5BEE" w:rsidP="00B72F63">
          <w:pPr>
            <w:bidi/>
            <w:rPr>
              <w:rtl/>
              <w:lang w:bidi="ar-DZ"/>
            </w:rPr>
          </w:pPr>
        </w:p>
        <w:p w:rsidR="003B18D2" w:rsidRPr="00F40AC8" w:rsidRDefault="003B18D2" w:rsidP="00701356">
          <w:pPr>
            <w:bidi/>
            <w:spacing w:line="240" w:lineRule="auto"/>
            <w:outlineLvl w:val="0"/>
            <w:rPr>
              <w:rFonts w:ascii="Simplified Arabic" w:hAnsi="Simplified Arabic" w:cs="Simplified Arabic"/>
              <w:b/>
              <w:bCs/>
              <w:sz w:val="24"/>
              <w:szCs w:val="24"/>
              <w:rtl/>
              <w:lang w:bidi="ar-DZ"/>
            </w:rPr>
          </w:pPr>
          <w:bookmarkStart w:id="5" w:name="_Toc171803272"/>
          <w:r w:rsidRPr="00F40AC8">
            <w:rPr>
              <w:rFonts w:ascii="Simplified Arabic" w:hAnsi="Simplified Arabic" w:cs="Simplified Arabic"/>
              <w:b/>
              <w:bCs/>
              <w:sz w:val="24"/>
              <w:szCs w:val="24"/>
              <w:rtl/>
              <w:lang w:bidi="ar-DZ"/>
            </w:rPr>
            <w:lastRenderedPageBreak/>
            <w:t>الملخص</w:t>
          </w:r>
          <w:bookmarkEnd w:id="5"/>
        </w:p>
        <w:p w:rsidR="00A655D1" w:rsidRDefault="006C4B84" w:rsidP="00223B9A">
          <w:pPr>
            <w:pStyle w:val="Paragraphedeliste"/>
            <w:tabs>
              <w:tab w:val="right" w:pos="425"/>
            </w:tabs>
            <w:bidi/>
            <w:spacing w:before="240" w:line="240" w:lineRule="auto"/>
            <w:ind w:left="-1" w:firstLine="284"/>
            <w:jc w:val="both"/>
            <w:rPr>
              <w:rFonts w:ascii="Simplified Arabic" w:hAnsi="Simplified Arabic" w:cs="Simplified Arabic"/>
              <w:color w:val="000000" w:themeColor="text1"/>
              <w:sz w:val="24"/>
              <w:szCs w:val="24"/>
            </w:rPr>
          </w:pPr>
          <w:r w:rsidRPr="00B9175E">
            <w:rPr>
              <w:rFonts w:ascii="Simplified Arabic" w:hAnsi="Simplified Arabic" w:cs="Simplified Arabic"/>
              <w:sz w:val="24"/>
              <w:szCs w:val="24"/>
              <w:rtl/>
              <w:lang w:bidi="ar-DZ"/>
            </w:rPr>
            <w:t>في ظل</w:t>
          </w:r>
          <w:r w:rsidRPr="00B9175E">
            <w:rPr>
              <w:rFonts w:ascii="Simplified Arabic" w:hAnsi="Simplified Arabic" w:cs="Simplified Arabic" w:hint="cs"/>
              <w:sz w:val="24"/>
              <w:szCs w:val="24"/>
              <w:rtl/>
              <w:lang w:bidi="ar-DZ"/>
            </w:rPr>
            <w:t xml:space="preserve"> </w:t>
          </w:r>
          <w:r w:rsidRPr="00B9175E">
            <w:rPr>
              <w:rFonts w:ascii="Simplified Arabic" w:hAnsi="Simplified Arabic" w:cs="Simplified Arabic" w:hint="cs"/>
              <w:sz w:val="24"/>
              <w:szCs w:val="24"/>
              <w:rtl/>
              <w:lang w:val="en-US" w:bidi="ar-DZ"/>
            </w:rPr>
            <w:t>الوضعيات السلبية لتغيّرات المناخ</w:t>
          </w:r>
          <w:r w:rsidRPr="00B9175E">
            <w:rPr>
              <w:rFonts w:ascii="Simplified Arabic" w:hAnsi="Simplified Arabic" w:cs="Simplified Arabic" w:hint="cs"/>
              <w:sz w:val="24"/>
              <w:szCs w:val="24"/>
              <w:rtl/>
              <w:lang w:bidi="ar-DZ"/>
            </w:rPr>
            <w:t xml:space="preserve"> </w:t>
          </w:r>
          <w:r w:rsidR="00963FFD" w:rsidRPr="00B9175E">
            <w:rPr>
              <w:rFonts w:ascii="Simplified Arabic" w:hAnsi="Simplified Arabic" w:cs="Simplified Arabic" w:hint="cs"/>
              <w:sz w:val="24"/>
              <w:szCs w:val="24"/>
              <w:rtl/>
              <w:lang w:bidi="ar-DZ"/>
            </w:rPr>
            <w:t>حظي</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مفهوم</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المرونة</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باهتمام</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الأكاديميين</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وصانعي</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السياسات</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على</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حد</w:t>
          </w:r>
          <w:r w:rsidR="00963FFD" w:rsidRPr="00B9175E">
            <w:rPr>
              <w:rFonts w:ascii="Simplified Arabic" w:hAnsi="Simplified Arabic" w:cs="Simplified Arabic"/>
              <w:sz w:val="24"/>
              <w:szCs w:val="24"/>
              <w:rtl/>
              <w:lang w:bidi="ar-DZ"/>
            </w:rPr>
            <w:t xml:space="preserve"> </w:t>
          </w:r>
          <w:r w:rsidR="00963FFD" w:rsidRPr="00B9175E">
            <w:rPr>
              <w:rFonts w:ascii="Simplified Arabic" w:hAnsi="Simplified Arabic" w:cs="Simplified Arabic" w:hint="cs"/>
              <w:sz w:val="24"/>
              <w:szCs w:val="24"/>
              <w:rtl/>
              <w:lang w:bidi="ar-DZ"/>
            </w:rPr>
            <w:t xml:space="preserve">سواء </w:t>
          </w:r>
          <w:r w:rsidR="0028087F" w:rsidRPr="00B9175E">
            <w:rPr>
              <w:rFonts w:ascii="Simplified Arabic" w:hAnsi="Simplified Arabic" w:cs="Simplified Arabic"/>
              <w:sz w:val="24"/>
              <w:szCs w:val="24"/>
              <w:rtl/>
              <w:lang w:bidi="ar-DZ"/>
            </w:rPr>
            <w:t>ل</w:t>
          </w:r>
          <w:r w:rsidR="00F62BCC" w:rsidRPr="00B9175E">
            <w:rPr>
              <w:rFonts w:ascii="Simplified Arabic" w:hAnsi="Simplified Arabic" w:cs="Simplified Arabic"/>
              <w:sz w:val="24"/>
              <w:szCs w:val="24"/>
              <w:rtl/>
              <w:lang w:bidi="ar-DZ"/>
            </w:rPr>
            <w:t>تحسين مرونة المدن</w:t>
          </w:r>
          <w:r w:rsidR="001A65F3" w:rsidRPr="00B9175E">
            <w:rPr>
              <w:rFonts w:ascii="Simplified Arabic" w:hAnsi="Simplified Arabic" w:cs="Simplified Arabic"/>
              <w:sz w:val="24"/>
              <w:szCs w:val="24"/>
              <w:rtl/>
              <w:lang w:bidi="ar-DZ"/>
            </w:rPr>
            <w:t>.</w:t>
          </w:r>
          <w:r w:rsidR="0033684E" w:rsidRPr="00B9175E">
            <w:rPr>
              <w:rFonts w:ascii="Simplified Arabic" w:hAnsi="Simplified Arabic" w:cs="Simplified Arabic"/>
              <w:sz w:val="24"/>
              <w:szCs w:val="24"/>
              <w:rtl/>
              <w:lang w:bidi="ar-DZ"/>
            </w:rPr>
            <w:t xml:space="preserve"> </w:t>
          </w:r>
          <w:r w:rsidR="00F371DD" w:rsidRPr="00B9175E">
            <w:rPr>
              <w:rFonts w:ascii="Simplified Arabic" w:hAnsi="Simplified Arabic" w:cs="Simplified Arabic" w:hint="cs"/>
              <w:sz w:val="24"/>
              <w:szCs w:val="24"/>
              <w:rtl/>
              <w:lang w:bidi="ar-DZ"/>
            </w:rPr>
            <w:t>يحاول</w:t>
          </w:r>
          <w:r w:rsidR="00370032" w:rsidRPr="00B9175E">
            <w:rPr>
              <w:rFonts w:ascii="Simplified Arabic" w:hAnsi="Simplified Arabic" w:cs="Simplified Arabic" w:hint="cs"/>
              <w:sz w:val="24"/>
              <w:szCs w:val="24"/>
              <w:rtl/>
              <w:lang w:bidi="ar-DZ"/>
            </w:rPr>
            <w:t xml:space="preserve"> هذا</w:t>
          </w:r>
          <w:r w:rsidR="00F371DD" w:rsidRPr="00B9175E">
            <w:rPr>
              <w:rFonts w:ascii="Simplified Arabic" w:hAnsi="Simplified Arabic" w:cs="Simplified Arabic" w:hint="cs"/>
              <w:sz w:val="24"/>
              <w:szCs w:val="24"/>
              <w:rtl/>
              <w:lang w:bidi="ar-DZ"/>
            </w:rPr>
            <w:t xml:space="preserve"> </w:t>
          </w:r>
          <w:r w:rsidR="00F371DD" w:rsidRPr="00B9175E">
            <w:rPr>
              <w:rFonts w:ascii="Simplified Arabic" w:hAnsi="Simplified Arabic" w:cs="Simplified Arabic" w:hint="cs"/>
              <w:color w:val="000000" w:themeColor="text1"/>
              <w:sz w:val="24"/>
              <w:szCs w:val="24"/>
              <w:rtl/>
            </w:rPr>
            <w:t>البحث الاجابة على التساؤل التالي: الى أيّ مدى يمكن ان يُؤثر نمط التوزيع المكاني ل</w:t>
          </w:r>
          <w:r w:rsidR="00F371DD" w:rsidRPr="00B9175E">
            <w:rPr>
              <w:rFonts w:ascii="Simplified Arabic" w:hAnsi="Simplified Arabic" w:cs="Simplified Arabic" w:hint="cs"/>
              <w:sz w:val="24"/>
              <w:szCs w:val="24"/>
              <w:rtl/>
            </w:rPr>
            <w:t>استعمالات الاراضي الحضرية على</w:t>
          </w:r>
          <w:r w:rsidR="00F371DD" w:rsidRPr="00B9175E">
            <w:rPr>
              <w:rFonts w:ascii="Simplified Arabic" w:hAnsi="Simplified Arabic" w:cs="Simplified Arabic" w:hint="cs"/>
              <w:color w:val="000000" w:themeColor="text1"/>
              <w:sz w:val="24"/>
              <w:szCs w:val="24"/>
              <w:rtl/>
            </w:rPr>
            <w:t xml:space="preserve"> مستويات مرونة </w:t>
          </w:r>
          <w:r w:rsidR="00F371DD" w:rsidRPr="00B9175E">
            <w:rPr>
              <w:rFonts w:ascii="Simplified Arabic" w:hAnsi="Simplified Arabic" w:cs="Simplified Arabic" w:hint="cs"/>
              <w:sz w:val="24"/>
              <w:szCs w:val="24"/>
              <w:rtl/>
            </w:rPr>
            <w:t xml:space="preserve">مدينة </w:t>
          </w:r>
          <w:r w:rsidR="00F371DD" w:rsidRPr="00B9175E">
            <w:rPr>
              <w:rFonts w:ascii="Simplified Arabic" w:hAnsi="Simplified Arabic" w:cs="Simplified Arabic" w:hint="cs"/>
              <w:color w:val="000000" w:themeColor="text1"/>
              <w:sz w:val="24"/>
              <w:szCs w:val="24"/>
              <w:rtl/>
            </w:rPr>
            <w:t>بوسعادة</w:t>
          </w:r>
          <w:r w:rsidR="00F371DD" w:rsidRPr="00B9175E">
            <w:rPr>
              <w:rFonts w:ascii="Simplified Arabic" w:hAnsi="Simplified Arabic" w:cs="Simplified Arabic" w:hint="cs"/>
              <w:sz w:val="24"/>
              <w:szCs w:val="24"/>
              <w:rtl/>
            </w:rPr>
            <w:t xml:space="preserve"> </w:t>
          </w:r>
          <w:r w:rsidR="00F371DD" w:rsidRPr="00B9175E">
            <w:rPr>
              <w:rFonts w:ascii="Simplified Arabic" w:hAnsi="Simplified Arabic" w:cs="Simplified Arabic" w:hint="cs"/>
              <w:color w:val="000000" w:themeColor="text1"/>
              <w:sz w:val="24"/>
              <w:szCs w:val="24"/>
              <w:rtl/>
            </w:rPr>
            <w:t xml:space="preserve">؟. </w:t>
          </w:r>
        </w:p>
        <w:p w:rsidR="00B17BE0" w:rsidRPr="00A655D1" w:rsidRDefault="00370032" w:rsidP="00883165">
          <w:pPr>
            <w:tabs>
              <w:tab w:val="right" w:pos="282"/>
            </w:tabs>
            <w:bidi/>
            <w:spacing w:line="240" w:lineRule="auto"/>
            <w:ind w:firstLine="282"/>
            <w:jc w:val="both"/>
            <w:rPr>
              <w:rFonts w:ascii="Simplified Arabic" w:eastAsia="Times New Roman" w:hAnsi="Simplified Arabic" w:cs="Simplified Arabic"/>
              <w:b/>
              <w:sz w:val="24"/>
              <w:szCs w:val="24"/>
              <w:rtl/>
              <w:lang w:val="en-US" w:eastAsia="fr-FR"/>
            </w:rPr>
          </w:pPr>
          <w:r w:rsidRPr="00A655D1">
            <w:rPr>
              <w:rFonts w:ascii="Simplified Arabic" w:eastAsia="Times New Roman" w:hAnsi="Simplified Arabic" w:cs="Simplified Arabic" w:hint="cs"/>
              <w:b/>
              <w:sz w:val="24"/>
              <w:szCs w:val="24"/>
              <w:rtl/>
              <w:lang w:val="en-US" w:eastAsia="fr-FR"/>
            </w:rPr>
            <w:t>يفترض البحث ان</w:t>
          </w:r>
          <w:r w:rsidR="00A244ED" w:rsidRPr="00A655D1">
            <w:rPr>
              <w:rFonts w:ascii="Simplified Arabic" w:eastAsia="Times New Roman" w:hAnsi="Simplified Arabic" w:cs="Simplified Arabic" w:hint="cs"/>
              <w:b/>
              <w:sz w:val="24"/>
              <w:szCs w:val="24"/>
              <w:rtl/>
              <w:lang w:val="en-US" w:eastAsia="fr-FR"/>
            </w:rPr>
            <w:t xml:space="preserve"> </w:t>
          </w:r>
          <w:r w:rsidR="009B4F7B" w:rsidRPr="00A655D1">
            <w:rPr>
              <w:rFonts w:ascii="Simplified Arabic" w:eastAsia="Times New Roman" w:hAnsi="Simplified Arabic" w:cs="Simplified Arabic"/>
              <w:b/>
              <w:sz w:val="24"/>
              <w:szCs w:val="24"/>
              <w:rtl/>
              <w:lang w:val="en-US" w:eastAsia="fr-FR"/>
            </w:rPr>
            <w:t xml:space="preserve">تقييم </w:t>
          </w:r>
          <w:r w:rsidR="009B4F7B" w:rsidRPr="00A655D1">
            <w:rPr>
              <w:rFonts w:ascii="Simplified Arabic" w:eastAsia="Times New Roman" w:hAnsi="Simplified Arabic" w:cs="Simplified Arabic" w:hint="cs"/>
              <w:b/>
              <w:sz w:val="24"/>
              <w:szCs w:val="24"/>
              <w:rtl/>
              <w:lang w:val="en-US" w:eastAsia="fr-FR"/>
            </w:rPr>
            <w:t xml:space="preserve">مستويات </w:t>
          </w:r>
          <w:r w:rsidR="009B4F7B" w:rsidRPr="00A655D1">
            <w:rPr>
              <w:rFonts w:ascii="Simplified Arabic" w:eastAsia="Times New Roman" w:hAnsi="Simplified Arabic" w:cs="Simplified Arabic"/>
              <w:b/>
              <w:sz w:val="24"/>
              <w:szCs w:val="24"/>
              <w:rtl/>
              <w:lang w:val="en-US" w:eastAsia="fr-FR"/>
            </w:rPr>
            <w:t xml:space="preserve">مرونة </w:t>
          </w:r>
          <w:r w:rsidR="009B4F7B" w:rsidRPr="00A655D1">
            <w:rPr>
              <w:rFonts w:ascii="Simplified Arabic" w:eastAsia="Times New Roman" w:hAnsi="Simplified Arabic" w:cs="Simplified Arabic" w:hint="cs"/>
              <w:b/>
              <w:sz w:val="24"/>
              <w:szCs w:val="24"/>
              <w:rtl/>
              <w:lang w:val="en-US" w:eastAsia="fr-FR"/>
            </w:rPr>
            <w:t>مدينة بوسعادة</w:t>
          </w:r>
          <w:r w:rsidR="009B4F7B" w:rsidRPr="00A655D1">
            <w:rPr>
              <w:rFonts w:ascii="Simplified Arabic" w:eastAsia="Times New Roman" w:hAnsi="Simplified Arabic" w:cs="Simplified Arabic"/>
              <w:b/>
              <w:sz w:val="24"/>
              <w:szCs w:val="24"/>
              <w:rtl/>
              <w:lang w:val="en-US" w:eastAsia="fr-FR"/>
            </w:rPr>
            <w:t xml:space="preserve"> يتضمن فحص مجموعة من </w:t>
          </w:r>
          <w:r w:rsidR="009B4F7B" w:rsidRPr="00A655D1">
            <w:rPr>
              <w:rFonts w:ascii="Simplified Arabic" w:eastAsia="Times New Roman" w:hAnsi="Simplified Arabic" w:cs="Simplified Arabic" w:hint="cs"/>
              <w:b/>
              <w:sz w:val="24"/>
              <w:szCs w:val="24"/>
              <w:rtl/>
              <w:lang w:val="en-US" w:eastAsia="fr-FR"/>
            </w:rPr>
            <w:t xml:space="preserve">المعايير </w:t>
          </w:r>
          <w:r w:rsidR="00B439B7" w:rsidRPr="00A655D1">
            <w:rPr>
              <w:rFonts w:ascii="Simplified Arabic" w:eastAsia="Times New Roman" w:hAnsi="Simplified Arabic" w:cs="Simplified Arabic" w:hint="cs"/>
              <w:b/>
              <w:sz w:val="24"/>
              <w:szCs w:val="24"/>
              <w:rtl/>
              <w:lang w:val="en-US" w:eastAsia="fr-FR"/>
            </w:rPr>
            <w:t>لها</w:t>
          </w:r>
          <w:r w:rsidR="00037B77" w:rsidRPr="00A655D1">
            <w:rPr>
              <w:rFonts w:ascii="Simplified Arabic" w:eastAsia="Times New Roman" w:hAnsi="Simplified Arabic" w:cs="Simplified Arabic" w:hint="cs"/>
              <w:b/>
              <w:sz w:val="24"/>
              <w:szCs w:val="24"/>
              <w:rtl/>
              <w:lang w:val="en-US" w:eastAsia="fr-FR"/>
            </w:rPr>
            <w:t xml:space="preserve"> صلة </w:t>
          </w:r>
          <w:r w:rsidR="00D36A17" w:rsidRPr="00A655D1">
            <w:rPr>
              <w:rFonts w:ascii="Simplified Arabic" w:eastAsia="Times New Roman" w:hAnsi="Simplified Arabic" w:cs="Simplified Arabic" w:hint="cs"/>
              <w:b/>
              <w:sz w:val="24"/>
              <w:szCs w:val="24"/>
              <w:rtl/>
              <w:lang w:val="en-US" w:eastAsia="fr-FR"/>
            </w:rPr>
            <w:t>ب</w:t>
          </w:r>
          <w:r w:rsidR="009B4F7B" w:rsidRPr="00A655D1">
            <w:rPr>
              <w:rFonts w:ascii="Simplified Arabic" w:eastAsia="Times New Roman" w:hAnsi="Simplified Arabic" w:cs="Simplified Arabic"/>
              <w:b/>
              <w:sz w:val="24"/>
              <w:szCs w:val="24"/>
              <w:rtl/>
              <w:lang w:val="en-US" w:eastAsia="fr-FR"/>
            </w:rPr>
            <w:t>ع</w:t>
          </w:r>
          <w:r w:rsidR="009B4F7B" w:rsidRPr="00A655D1">
            <w:rPr>
              <w:rFonts w:ascii="Simplified Arabic" w:eastAsia="Times New Roman" w:hAnsi="Simplified Arabic" w:cs="Simplified Arabic" w:hint="cs"/>
              <w:b/>
              <w:sz w:val="24"/>
              <w:szCs w:val="24"/>
              <w:rtl/>
              <w:lang w:val="en-US" w:eastAsia="fr-FR"/>
            </w:rPr>
            <w:t>ناصر</w:t>
          </w:r>
          <w:r w:rsidR="001E57DB" w:rsidRPr="00A655D1">
            <w:rPr>
              <w:rFonts w:ascii="Simplified Arabic" w:eastAsia="Times New Roman" w:hAnsi="Simplified Arabic" w:cs="Simplified Arabic" w:hint="cs"/>
              <w:b/>
              <w:sz w:val="24"/>
              <w:szCs w:val="24"/>
              <w:rtl/>
              <w:lang w:val="en-US" w:eastAsia="fr-FR"/>
            </w:rPr>
            <w:t xml:space="preserve"> البيئة </w:t>
          </w:r>
          <w:r w:rsidR="009B4F7B" w:rsidRPr="00A655D1">
            <w:rPr>
              <w:rFonts w:ascii="Simplified Arabic" w:eastAsia="Times New Roman" w:hAnsi="Simplified Arabic" w:cs="Simplified Arabic"/>
              <w:b/>
              <w:sz w:val="24"/>
              <w:szCs w:val="24"/>
              <w:rtl/>
              <w:lang w:val="en-US" w:eastAsia="fr-FR"/>
            </w:rPr>
            <w:t>الحضرية</w:t>
          </w:r>
          <w:r w:rsidRPr="00A655D1">
            <w:rPr>
              <w:rFonts w:ascii="Simplified Arabic" w:eastAsia="Times New Roman" w:hAnsi="Simplified Arabic" w:cs="Simplified Arabic" w:hint="cs"/>
              <w:b/>
              <w:sz w:val="24"/>
              <w:szCs w:val="24"/>
              <w:rtl/>
              <w:lang w:val="en-US" w:eastAsia="fr-FR"/>
            </w:rPr>
            <w:t xml:space="preserve"> وان </w:t>
          </w:r>
          <w:r w:rsidR="009B4F7B" w:rsidRPr="00A655D1">
            <w:rPr>
              <w:rFonts w:ascii="Simplified Arabic" w:eastAsia="Times New Roman" w:hAnsi="Simplified Arabic" w:cs="Simplified Arabic" w:hint="cs"/>
              <w:b/>
              <w:sz w:val="24"/>
              <w:szCs w:val="24"/>
              <w:rtl/>
              <w:lang w:val="en-US" w:eastAsia="fr-FR"/>
            </w:rPr>
            <w:t>التحقيق</w:t>
          </w:r>
          <w:r w:rsidR="009B4F7B" w:rsidRPr="00A655D1">
            <w:rPr>
              <w:rFonts w:ascii="Simplified Arabic" w:eastAsia="Times New Roman" w:hAnsi="Simplified Arabic" w:cs="Simplified Arabic"/>
              <w:b/>
              <w:sz w:val="24"/>
              <w:szCs w:val="24"/>
              <w:rtl/>
              <w:lang w:val="en-US" w:eastAsia="fr-FR"/>
            </w:rPr>
            <w:t xml:space="preserve"> </w:t>
          </w:r>
          <w:r w:rsidR="009B4F7B" w:rsidRPr="00A655D1">
            <w:rPr>
              <w:rFonts w:ascii="Simplified Arabic" w:eastAsia="Times New Roman" w:hAnsi="Simplified Arabic" w:cs="Simplified Arabic" w:hint="cs"/>
              <w:b/>
              <w:sz w:val="24"/>
              <w:szCs w:val="24"/>
              <w:rtl/>
              <w:lang w:val="en-US" w:eastAsia="fr-FR"/>
            </w:rPr>
            <w:t>في تصورات</w:t>
          </w:r>
          <w:r w:rsidR="009B4F7B" w:rsidRPr="00A655D1">
            <w:rPr>
              <w:rFonts w:ascii="Simplified Arabic" w:eastAsia="Times New Roman" w:hAnsi="Simplified Arabic" w:cs="Simplified Arabic"/>
              <w:b/>
              <w:sz w:val="24"/>
              <w:szCs w:val="24"/>
              <w:rtl/>
              <w:lang w:val="en-US" w:eastAsia="fr-FR"/>
            </w:rPr>
            <w:t xml:space="preserve"> </w:t>
          </w:r>
          <w:r w:rsidR="009B4F7B" w:rsidRPr="00A655D1">
            <w:rPr>
              <w:rFonts w:ascii="Simplified Arabic" w:eastAsia="Times New Roman" w:hAnsi="Simplified Arabic" w:cs="Simplified Arabic" w:hint="cs"/>
              <w:b/>
              <w:sz w:val="24"/>
              <w:szCs w:val="24"/>
              <w:rtl/>
              <w:lang w:val="en-US" w:eastAsia="fr-FR"/>
            </w:rPr>
            <w:t>السكان المحليين حول اضطرابات الحصول على الخدمة</w:t>
          </w:r>
          <w:r w:rsidR="00BC34C9" w:rsidRPr="00A655D1">
            <w:rPr>
              <w:rFonts w:ascii="Simplified Arabic" w:eastAsia="Times New Roman" w:hAnsi="Simplified Arabic" w:cs="Simplified Arabic" w:hint="cs"/>
              <w:b/>
              <w:sz w:val="24"/>
              <w:szCs w:val="24"/>
              <w:rtl/>
              <w:lang w:val="en-US" w:eastAsia="fr-FR"/>
            </w:rPr>
            <w:t xml:space="preserve"> يسمح برفع مستوى مرونة المدينة</w:t>
          </w:r>
          <w:r w:rsidR="009B4F7B" w:rsidRPr="00A655D1">
            <w:rPr>
              <w:rFonts w:ascii="Simplified Arabic" w:eastAsia="Times New Roman" w:hAnsi="Simplified Arabic" w:cs="Simplified Arabic"/>
              <w:b/>
              <w:sz w:val="24"/>
              <w:szCs w:val="24"/>
              <w:rtl/>
              <w:lang w:val="en-US" w:eastAsia="fr-FR"/>
            </w:rPr>
            <w:t>.</w:t>
          </w:r>
          <w:r w:rsidR="009B4F7B" w:rsidRPr="00A655D1">
            <w:rPr>
              <w:rFonts w:ascii="Simplified Arabic" w:eastAsia="Times New Roman" w:hAnsi="Simplified Arabic" w:cs="Simplified Arabic" w:hint="cs"/>
              <w:b/>
              <w:sz w:val="24"/>
              <w:szCs w:val="24"/>
              <w:rtl/>
              <w:lang w:val="en-US" w:eastAsia="fr-FR"/>
            </w:rPr>
            <w:t xml:space="preserve"> </w:t>
          </w:r>
          <w:r w:rsidRPr="00A655D1">
            <w:rPr>
              <w:rFonts w:ascii="Simplified Arabic" w:eastAsia="Times New Roman" w:hAnsi="Simplified Arabic" w:cs="Simplified Arabic" w:hint="cs"/>
              <w:b/>
              <w:sz w:val="24"/>
              <w:szCs w:val="24"/>
              <w:rtl/>
              <w:lang w:val="en-US" w:eastAsia="fr-FR"/>
            </w:rPr>
            <w:t xml:space="preserve">وانه </w:t>
          </w:r>
          <w:r w:rsidR="00ED5628" w:rsidRPr="00A655D1">
            <w:rPr>
              <w:rFonts w:ascii="Simplified Arabic" w:eastAsia="Times New Roman" w:hAnsi="Simplified Arabic" w:cs="Simplified Arabic" w:hint="cs"/>
              <w:b/>
              <w:sz w:val="24"/>
              <w:szCs w:val="24"/>
              <w:rtl/>
              <w:lang w:val="en-US" w:eastAsia="fr-FR"/>
            </w:rPr>
            <w:t xml:space="preserve">كلما توافرت احياء فئات الانسجة الحضرية </w:t>
          </w:r>
          <w:r w:rsidR="00883165" w:rsidRPr="00B9175E">
            <w:rPr>
              <w:rFonts w:ascii="Simplified Arabic" w:eastAsia="Times New Roman" w:hAnsi="Simplified Arabic" w:cs="Simplified Arabic" w:hint="cs"/>
              <w:b/>
              <w:sz w:val="24"/>
              <w:szCs w:val="24"/>
              <w:rtl/>
              <w:lang w:val="en-US" w:eastAsia="fr-FR"/>
            </w:rPr>
            <w:t xml:space="preserve">(أ، ب، جـ، د) </w:t>
          </w:r>
          <w:r w:rsidR="00ED5628" w:rsidRPr="00A655D1">
            <w:rPr>
              <w:rFonts w:ascii="Simplified Arabic" w:eastAsia="Times New Roman" w:hAnsi="Simplified Arabic" w:cs="Simplified Arabic" w:hint="cs"/>
              <w:b/>
              <w:sz w:val="24"/>
              <w:szCs w:val="24"/>
              <w:rtl/>
              <w:lang w:val="en-US" w:eastAsia="fr-FR"/>
            </w:rPr>
            <w:t>لمدينة بوسعادة على قيم عددية اعلى لسمات المرونة المكانية كلما توفرت قدرة التكيف المكاني</w:t>
          </w:r>
          <w:r w:rsidR="00ED5628" w:rsidRPr="00A655D1">
            <w:rPr>
              <w:rFonts w:ascii="Simplified Arabic" w:eastAsia="Times New Roman" w:hAnsi="Simplified Arabic" w:cs="Simplified Arabic"/>
              <w:b/>
              <w:sz w:val="24"/>
              <w:szCs w:val="24"/>
              <w:rtl/>
              <w:lang w:val="en-US" w:eastAsia="fr-FR"/>
            </w:rPr>
            <w:t xml:space="preserve"> </w:t>
          </w:r>
          <w:r w:rsidR="00883165" w:rsidRPr="00A655D1">
            <w:rPr>
              <w:rFonts w:ascii="Simplified Arabic" w:eastAsia="Times New Roman" w:hAnsi="Simplified Arabic" w:cs="Simplified Arabic" w:hint="cs"/>
              <w:b/>
              <w:sz w:val="24"/>
              <w:szCs w:val="24"/>
              <w:rtl/>
              <w:lang w:val="en-US" w:eastAsia="fr-FR"/>
            </w:rPr>
            <w:t>للأحياء</w:t>
          </w:r>
          <w:r w:rsidR="009B4F7B" w:rsidRPr="00A655D1">
            <w:rPr>
              <w:rFonts w:ascii="Simplified Arabic" w:eastAsia="Times New Roman" w:hAnsi="Simplified Arabic" w:cs="Simplified Arabic"/>
              <w:b/>
              <w:sz w:val="24"/>
              <w:szCs w:val="24"/>
              <w:rtl/>
              <w:lang w:val="en-US" w:eastAsia="fr-FR"/>
            </w:rPr>
            <w:t>.</w:t>
          </w:r>
          <w:r w:rsidR="00B17BE0" w:rsidRPr="00A655D1">
            <w:rPr>
              <w:rFonts w:ascii="Simplified Arabic" w:eastAsia="Times New Roman" w:hAnsi="Simplified Arabic" w:cs="Simplified Arabic" w:hint="cs"/>
              <w:b/>
              <w:sz w:val="24"/>
              <w:szCs w:val="24"/>
              <w:rtl/>
              <w:lang w:val="en-US" w:eastAsia="fr-FR"/>
            </w:rPr>
            <w:t xml:space="preserve"> </w:t>
          </w:r>
          <w:r w:rsidR="00883165">
            <w:rPr>
              <w:rFonts w:ascii="Simplified Arabic" w:eastAsia="Times New Roman" w:hAnsi="Simplified Arabic" w:cs="Simplified Arabic" w:hint="cs"/>
              <w:b/>
              <w:sz w:val="24"/>
              <w:szCs w:val="24"/>
              <w:rtl/>
              <w:lang w:val="en-US" w:eastAsia="fr-FR"/>
            </w:rPr>
            <w:t>اعتم</w:t>
          </w:r>
          <w:r w:rsidRPr="00A655D1">
            <w:rPr>
              <w:rFonts w:ascii="Simplified Arabic" w:eastAsia="Times New Roman" w:hAnsi="Simplified Arabic" w:cs="Simplified Arabic" w:hint="cs"/>
              <w:b/>
              <w:sz w:val="24"/>
              <w:szCs w:val="24"/>
              <w:rtl/>
              <w:lang w:val="en-US" w:eastAsia="fr-FR"/>
            </w:rPr>
            <w:t xml:space="preserve">د على المنهج </w:t>
          </w:r>
          <w:r w:rsidR="003E1B7F" w:rsidRPr="00A655D1">
            <w:rPr>
              <w:rFonts w:ascii="Simplified Arabic" w:eastAsia="Times New Roman" w:hAnsi="Simplified Arabic" w:cs="Simplified Arabic" w:hint="cs"/>
              <w:b/>
              <w:sz w:val="24"/>
              <w:szCs w:val="24"/>
              <w:rtl/>
              <w:lang w:val="en-US" w:eastAsia="fr-FR"/>
            </w:rPr>
            <w:t xml:space="preserve">الاستقرائي والطريقة </w:t>
          </w:r>
          <w:r w:rsidRPr="00A655D1">
            <w:rPr>
              <w:rFonts w:ascii="Simplified Arabic" w:eastAsia="Times New Roman" w:hAnsi="Simplified Arabic" w:cs="Simplified Arabic" w:hint="cs"/>
              <w:b/>
              <w:sz w:val="24"/>
              <w:szCs w:val="24"/>
              <w:rtl/>
              <w:lang w:val="en-US" w:eastAsia="fr-FR"/>
            </w:rPr>
            <w:t>التشاركي</w:t>
          </w:r>
          <w:r w:rsidR="003E1B7F" w:rsidRPr="00A655D1">
            <w:rPr>
              <w:rFonts w:ascii="Simplified Arabic" w:eastAsia="Times New Roman" w:hAnsi="Simplified Arabic" w:cs="Simplified Arabic" w:hint="cs"/>
              <w:b/>
              <w:sz w:val="24"/>
              <w:szCs w:val="24"/>
              <w:rtl/>
              <w:lang w:val="en-US" w:eastAsia="fr-FR"/>
            </w:rPr>
            <w:t>ة للتحقق من الفرضيات.</w:t>
          </w:r>
          <w:r w:rsidRPr="00A655D1">
            <w:rPr>
              <w:rFonts w:ascii="Simplified Arabic" w:eastAsia="Times New Roman" w:hAnsi="Simplified Arabic" w:cs="Simplified Arabic" w:hint="cs"/>
              <w:b/>
              <w:sz w:val="24"/>
              <w:szCs w:val="24"/>
              <w:rtl/>
              <w:lang w:val="en-US" w:eastAsia="fr-FR"/>
            </w:rPr>
            <w:t xml:space="preserve"> </w:t>
          </w:r>
        </w:p>
        <w:p w:rsidR="002021B4" w:rsidRPr="00B9175E" w:rsidRDefault="002B1E96" w:rsidP="00EE383E">
          <w:pPr>
            <w:tabs>
              <w:tab w:val="right" w:pos="282"/>
            </w:tabs>
            <w:bidi/>
            <w:spacing w:line="240" w:lineRule="auto"/>
            <w:ind w:firstLine="282"/>
            <w:jc w:val="both"/>
            <w:rPr>
              <w:rFonts w:ascii="Simplified Arabic" w:eastAsia="Times New Roman" w:hAnsi="Simplified Arabic" w:cs="Simplified Arabic"/>
              <w:b/>
              <w:sz w:val="24"/>
              <w:szCs w:val="24"/>
              <w:lang w:val="en-US" w:eastAsia="fr-FR" w:bidi="ar-DZ"/>
            </w:rPr>
          </w:pPr>
          <w:r w:rsidRPr="00B9175E">
            <w:rPr>
              <w:rFonts w:ascii="Simplified Arabic" w:eastAsia="Times New Roman" w:hAnsi="Simplified Arabic" w:cs="Simplified Arabic"/>
              <w:b/>
              <w:sz w:val="24"/>
              <w:szCs w:val="24"/>
              <w:rtl/>
              <w:lang w:val="en-US" w:eastAsia="fr-FR"/>
            </w:rPr>
            <w:t xml:space="preserve">اظهرت </w:t>
          </w:r>
          <w:r w:rsidR="002D514D" w:rsidRPr="00B9175E">
            <w:rPr>
              <w:rFonts w:ascii="Simplified Arabic" w:eastAsia="Times New Roman" w:hAnsi="Simplified Arabic" w:cs="Simplified Arabic" w:hint="cs"/>
              <w:b/>
              <w:sz w:val="24"/>
              <w:szCs w:val="24"/>
              <w:rtl/>
              <w:lang w:val="en-US" w:eastAsia="fr-FR"/>
            </w:rPr>
            <w:t xml:space="preserve">نتائج </w:t>
          </w:r>
          <w:r w:rsidR="00F62E8C" w:rsidRPr="00B9175E">
            <w:rPr>
              <w:rFonts w:ascii="Simplified Arabic" w:eastAsia="Times New Roman" w:hAnsi="Simplified Arabic" w:cs="Simplified Arabic"/>
              <w:b/>
              <w:sz w:val="24"/>
              <w:szCs w:val="24"/>
              <w:rtl/>
              <w:lang w:val="en-US" w:eastAsia="fr-FR"/>
            </w:rPr>
            <w:t xml:space="preserve">خريطة </w:t>
          </w:r>
          <w:r w:rsidR="00F62E8C" w:rsidRPr="00B9175E">
            <w:rPr>
              <w:rFonts w:ascii="Simplified Arabic" w:eastAsia="Times New Roman" w:hAnsi="Simplified Arabic" w:cs="Simplified Arabic" w:hint="cs"/>
              <w:b/>
              <w:sz w:val="24"/>
              <w:szCs w:val="24"/>
              <w:rtl/>
              <w:lang w:val="en-US" w:eastAsia="fr-FR"/>
            </w:rPr>
            <w:t xml:space="preserve">تقييم مستويات </w:t>
          </w:r>
          <w:r w:rsidR="00F62E8C" w:rsidRPr="00B9175E">
            <w:rPr>
              <w:rFonts w:ascii="Simplified Arabic" w:eastAsia="Times New Roman" w:hAnsi="Simplified Arabic" w:cs="Simplified Arabic"/>
              <w:b/>
              <w:sz w:val="24"/>
              <w:szCs w:val="24"/>
              <w:rtl/>
              <w:lang w:val="en-US" w:eastAsia="fr-FR"/>
            </w:rPr>
            <w:t>مرونة</w:t>
          </w:r>
          <w:r w:rsidR="00F62E8C" w:rsidRPr="00B9175E">
            <w:rPr>
              <w:rFonts w:ascii="Simplified Arabic" w:eastAsia="Times New Roman" w:hAnsi="Simplified Arabic" w:cs="Simplified Arabic" w:hint="cs"/>
              <w:b/>
              <w:sz w:val="24"/>
              <w:szCs w:val="24"/>
              <w:rtl/>
              <w:lang w:val="en-US" w:eastAsia="fr-FR"/>
            </w:rPr>
            <w:t xml:space="preserve"> مدينة بوسعادة </w:t>
          </w:r>
          <w:r w:rsidR="002A4437" w:rsidRPr="00B9175E">
            <w:rPr>
              <w:rFonts w:ascii="Simplified Arabic" w:eastAsia="Times New Roman" w:hAnsi="Simplified Arabic" w:cs="Simplified Arabic" w:hint="cs"/>
              <w:b/>
              <w:sz w:val="24"/>
              <w:szCs w:val="24"/>
              <w:rtl/>
              <w:lang w:val="en-US" w:eastAsia="fr-FR"/>
            </w:rPr>
            <w:t xml:space="preserve">بناء على </w:t>
          </w:r>
          <w:r w:rsidR="002A4437" w:rsidRPr="00B9175E">
            <w:rPr>
              <w:rFonts w:ascii="Simplified Arabic" w:eastAsia="Times New Roman" w:hAnsi="Simplified Arabic" w:cs="Simplified Arabic"/>
              <w:b/>
              <w:sz w:val="24"/>
              <w:szCs w:val="24"/>
              <w:rtl/>
              <w:lang w:val="en-US" w:eastAsia="fr-FR"/>
            </w:rPr>
            <w:t xml:space="preserve">فحص مجموعة من </w:t>
          </w:r>
          <w:r w:rsidR="002A4437" w:rsidRPr="00B9175E">
            <w:rPr>
              <w:rFonts w:ascii="Simplified Arabic" w:eastAsia="Times New Roman" w:hAnsi="Simplified Arabic" w:cs="Simplified Arabic" w:hint="cs"/>
              <w:b/>
              <w:sz w:val="24"/>
              <w:szCs w:val="24"/>
              <w:rtl/>
              <w:lang w:val="en-US" w:eastAsia="fr-FR"/>
            </w:rPr>
            <w:t xml:space="preserve">المعايير </w:t>
          </w:r>
          <w:r w:rsidR="00217B7A" w:rsidRPr="00B9175E">
            <w:rPr>
              <w:rFonts w:ascii="Simplified Arabic" w:eastAsia="Times New Roman" w:hAnsi="Simplified Arabic" w:cs="Simplified Arabic"/>
              <w:b/>
              <w:sz w:val="24"/>
              <w:szCs w:val="24"/>
              <w:rtl/>
              <w:lang w:val="en-US" w:eastAsia="fr-FR"/>
            </w:rPr>
            <w:t>أن</w:t>
          </w:r>
          <w:r w:rsidR="00627D2E" w:rsidRPr="00B9175E">
            <w:rPr>
              <w:rFonts w:ascii="Simplified Arabic" w:eastAsia="Times New Roman" w:hAnsi="Simplified Arabic" w:cs="Simplified Arabic" w:hint="cs"/>
              <w:b/>
              <w:sz w:val="24"/>
              <w:szCs w:val="24"/>
              <w:rtl/>
              <w:lang w:val="en-US" w:eastAsia="fr-FR"/>
            </w:rPr>
            <w:t xml:space="preserve"> </w:t>
          </w:r>
          <w:r w:rsidR="00217B7A" w:rsidRPr="00B9175E">
            <w:rPr>
              <w:rFonts w:ascii="Simplified Arabic" w:eastAsia="Times New Roman" w:hAnsi="Simplified Arabic" w:cs="Simplified Arabic"/>
              <w:b/>
              <w:sz w:val="24"/>
              <w:szCs w:val="24"/>
              <w:rtl/>
              <w:lang w:val="en-US" w:eastAsia="fr-FR"/>
            </w:rPr>
            <w:t xml:space="preserve">الأحياء </w:t>
          </w:r>
          <w:r w:rsidR="001207D9" w:rsidRPr="00B9175E">
            <w:rPr>
              <w:rFonts w:ascii="Simplified Arabic" w:eastAsia="Times New Roman" w:hAnsi="Simplified Arabic" w:cs="Simplified Arabic" w:hint="cs"/>
              <w:b/>
              <w:sz w:val="24"/>
              <w:szCs w:val="24"/>
              <w:rtl/>
              <w:lang w:val="en-US" w:eastAsia="fr-FR"/>
            </w:rPr>
            <w:t>غير</w:t>
          </w:r>
          <w:r w:rsidR="00217B7A" w:rsidRPr="00B9175E">
            <w:rPr>
              <w:rFonts w:ascii="Simplified Arabic" w:eastAsia="Times New Roman" w:hAnsi="Simplified Arabic" w:cs="Simplified Arabic" w:hint="cs"/>
              <w:b/>
              <w:sz w:val="24"/>
              <w:szCs w:val="24"/>
              <w:rtl/>
              <w:lang w:val="en-US" w:eastAsia="fr-FR"/>
            </w:rPr>
            <w:t xml:space="preserve"> </w:t>
          </w:r>
          <w:r w:rsidR="001207D9" w:rsidRPr="00B9175E">
            <w:rPr>
              <w:rFonts w:ascii="Simplified Arabic" w:eastAsia="Times New Roman" w:hAnsi="Simplified Arabic" w:cs="Simplified Arabic" w:hint="cs"/>
              <w:b/>
              <w:sz w:val="24"/>
              <w:szCs w:val="24"/>
              <w:rtl/>
              <w:lang w:val="en-US" w:eastAsia="fr-FR"/>
            </w:rPr>
            <w:t>ال</w:t>
          </w:r>
          <w:r w:rsidR="00217B7A" w:rsidRPr="00B9175E">
            <w:rPr>
              <w:rFonts w:ascii="Simplified Arabic" w:eastAsia="Times New Roman" w:hAnsi="Simplified Arabic" w:cs="Simplified Arabic"/>
              <w:b/>
              <w:sz w:val="24"/>
              <w:szCs w:val="24"/>
              <w:rtl/>
              <w:lang w:val="en-US" w:eastAsia="fr-FR"/>
            </w:rPr>
            <w:t xml:space="preserve">مرنة </w:t>
          </w:r>
          <w:r w:rsidR="00370032" w:rsidRPr="00B9175E">
            <w:rPr>
              <w:rFonts w:ascii="Simplified Arabic" w:eastAsia="Times New Roman" w:hAnsi="Simplified Arabic" w:cs="Simplified Arabic" w:hint="cs"/>
              <w:b/>
              <w:sz w:val="24"/>
              <w:szCs w:val="24"/>
              <w:rtl/>
              <w:lang w:val="en-US" w:eastAsia="fr-FR"/>
            </w:rPr>
            <w:t xml:space="preserve">هي </w:t>
          </w:r>
          <w:r w:rsidR="001207D9" w:rsidRPr="00B9175E">
            <w:rPr>
              <w:rFonts w:ascii="Simplified Arabic" w:eastAsia="Times New Roman" w:hAnsi="Simplified Arabic" w:cs="Simplified Arabic" w:hint="cs"/>
              <w:b/>
              <w:sz w:val="24"/>
              <w:szCs w:val="24"/>
              <w:rtl/>
              <w:lang w:val="en-US" w:eastAsia="fr-FR"/>
            </w:rPr>
            <w:t>(الحمايد، الباطن، سيدي سليمان وميطر)</w:t>
          </w:r>
          <w:r w:rsidR="00370032" w:rsidRPr="00B9175E">
            <w:rPr>
              <w:rFonts w:ascii="Simplified Arabic" w:eastAsia="Times New Roman" w:hAnsi="Simplified Arabic" w:cs="Simplified Arabic" w:hint="cs"/>
              <w:b/>
              <w:sz w:val="24"/>
              <w:szCs w:val="24"/>
              <w:rtl/>
              <w:lang w:val="en-US" w:eastAsia="fr-FR"/>
            </w:rPr>
            <w:t>،</w:t>
          </w:r>
          <w:r w:rsidR="001207D9" w:rsidRPr="00B9175E">
            <w:rPr>
              <w:rFonts w:ascii="Simplified Arabic" w:eastAsia="Times New Roman" w:hAnsi="Simplified Arabic" w:cs="Simplified Arabic" w:hint="cs"/>
              <w:b/>
              <w:sz w:val="24"/>
              <w:szCs w:val="24"/>
              <w:rtl/>
              <w:lang w:val="en-US" w:eastAsia="fr-FR"/>
            </w:rPr>
            <w:t xml:space="preserve"> </w:t>
          </w:r>
          <w:r w:rsidR="00370032" w:rsidRPr="00B9175E">
            <w:rPr>
              <w:rFonts w:ascii="Simplified Arabic" w:eastAsia="Times New Roman" w:hAnsi="Simplified Arabic" w:cs="Simplified Arabic" w:hint="cs"/>
              <w:b/>
              <w:sz w:val="24"/>
              <w:szCs w:val="24"/>
              <w:rtl/>
              <w:lang w:val="en-US" w:eastAsia="fr-FR"/>
            </w:rPr>
            <w:t>تطلب ذلك</w:t>
          </w:r>
          <w:r w:rsidR="00F62E8C" w:rsidRPr="00B9175E">
            <w:rPr>
              <w:rFonts w:ascii="Simplified Arabic" w:eastAsia="Times New Roman" w:hAnsi="Simplified Arabic" w:cs="Simplified Arabic" w:hint="cs"/>
              <w:b/>
              <w:sz w:val="24"/>
              <w:szCs w:val="24"/>
              <w:rtl/>
              <w:lang w:val="en-US" w:eastAsia="fr-FR"/>
            </w:rPr>
            <w:t xml:space="preserve"> ا</w:t>
          </w:r>
          <w:r w:rsidR="00AF521A" w:rsidRPr="00B9175E">
            <w:rPr>
              <w:rFonts w:ascii="Simplified Arabic" w:eastAsia="Times New Roman" w:hAnsi="Simplified Arabic" w:cs="Simplified Arabic" w:hint="cs"/>
              <w:b/>
              <w:sz w:val="24"/>
              <w:szCs w:val="24"/>
              <w:rtl/>
              <w:lang w:val="en-US" w:eastAsia="fr-FR"/>
            </w:rPr>
            <w:t xml:space="preserve">لتحقيق في </w:t>
          </w:r>
          <w:r w:rsidR="00302C7C" w:rsidRPr="00B9175E">
            <w:rPr>
              <w:rFonts w:ascii="Simplified Arabic" w:eastAsia="Times New Roman" w:hAnsi="Simplified Arabic" w:cs="Simplified Arabic" w:hint="cs"/>
              <w:b/>
              <w:sz w:val="24"/>
              <w:szCs w:val="24"/>
              <w:rtl/>
              <w:lang w:val="en-US" w:eastAsia="fr-FR"/>
            </w:rPr>
            <w:t>تصورات</w:t>
          </w:r>
          <w:r w:rsidR="00302C7C" w:rsidRPr="00B9175E">
            <w:rPr>
              <w:rFonts w:ascii="Simplified Arabic" w:eastAsia="Times New Roman" w:hAnsi="Simplified Arabic" w:cs="Simplified Arabic"/>
              <w:b/>
              <w:sz w:val="24"/>
              <w:szCs w:val="24"/>
              <w:rtl/>
              <w:lang w:val="en-US" w:eastAsia="fr-FR"/>
            </w:rPr>
            <w:t xml:space="preserve"> </w:t>
          </w:r>
          <w:r w:rsidR="00302C7C" w:rsidRPr="00B9175E">
            <w:rPr>
              <w:rFonts w:ascii="Simplified Arabic" w:eastAsia="Times New Roman" w:hAnsi="Simplified Arabic" w:cs="Simplified Arabic" w:hint="cs"/>
              <w:b/>
              <w:sz w:val="24"/>
              <w:szCs w:val="24"/>
              <w:rtl/>
              <w:lang w:val="en-US" w:eastAsia="fr-FR"/>
            </w:rPr>
            <w:t xml:space="preserve">السكان المحليين حول اضطرابات الحصول على الخدمة </w:t>
          </w:r>
          <w:r w:rsidR="001E57DB" w:rsidRPr="00B9175E">
            <w:rPr>
              <w:rFonts w:ascii="Simplified Arabic" w:eastAsia="Times New Roman" w:hAnsi="Simplified Arabic" w:cs="Simplified Arabic" w:hint="cs"/>
              <w:b/>
              <w:sz w:val="24"/>
              <w:szCs w:val="24"/>
              <w:rtl/>
              <w:lang w:val="en-US" w:eastAsia="fr-FR"/>
            </w:rPr>
            <w:t>ل</w:t>
          </w:r>
          <w:r w:rsidR="00302C7C" w:rsidRPr="00B9175E">
            <w:rPr>
              <w:rFonts w:ascii="Simplified Arabic" w:eastAsia="Times New Roman" w:hAnsi="Simplified Arabic" w:cs="Simplified Arabic" w:hint="cs"/>
              <w:b/>
              <w:sz w:val="24"/>
              <w:szCs w:val="24"/>
              <w:rtl/>
              <w:lang w:val="en-US" w:eastAsia="fr-FR"/>
            </w:rPr>
            <w:t>لأحياء السكنية</w:t>
          </w:r>
          <w:r w:rsidR="001E57DB" w:rsidRPr="00B9175E">
            <w:rPr>
              <w:rFonts w:ascii="Simplified Arabic" w:eastAsia="Times New Roman" w:hAnsi="Simplified Arabic" w:cs="Simplified Arabic" w:hint="cs"/>
              <w:b/>
              <w:sz w:val="24"/>
              <w:szCs w:val="24"/>
              <w:rtl/>
              <w:lang w:val="en-US" w:eastAsia="fr-FR"/>
            </w:rPr>
            <w:t xml:space="preserve"> </w:t>
          </w:r>
          <w:r w:rsidR="005022E2" w:rsidRPr="00B9175E">
            <w:rPr>
              <w:rFonts w:ascii="Simplified Arabic" w:eastAsia="Times New Roman" w:hAnsi="Simplified Arabic" w:cs="Simplified Arabic" w:hint="cs"/>
              <w:b/>
              <w:sz w:val="24"/>
              <w:szCs w:val="24"/>
              <w:rtl/>
              <w:lang w:val="en-US" w:eastAsia="fr-FR"/>
            </w:rPr>
            <w:t>غير</w:t>
          </w:r>
          <w:r w:rsidR="00302C7C" w:rsidRPr="00B9175E">
            <w:rPr>
              <w:rFonts w:ascii="Simplified Arabic" w:eastAsia="Times New Roman" w:hAnsi="Simplified Arabic" w:cs="Simplified Arabic" w:hint="cs"/>
              <w:b/>
              <w:sz w:val="24"/>
              <w:szCs w:val="24"/>
              <w:rtl/>
              <w:lang w:val="en-US" w:eastAsia="fr-FR"/>
            </w:rPr>
            <w:t xml:space="preserve"> </w:t>
          </w:r>
          <w:r w:rsidR="00370032" w:rsidRPr="00B9175E">
            <w:rPr>
              <w:rFonts w:ascii="Simplified Arabic" w:eastAsia="Times New Roman" w:hAnsi="Simplified Arabic" w:cs="Simplified Arabic" w:hint="cs"/>
              <w:b/>
              <w:sz w:val="24"/>
              <w:szCs w:val="24"/>
              <w:rtl/>
              <w:lang w:val="en-US" w:eastAsia="fr-FR"/>
            </w:rPr>
            <w:t xml:space="preserve">المرنة، حيث بينت نتائج التحقيق </w:t>
          </w:r>
          <w:r w:rsidR="00C40712" w:rsidRPr="00B9175E">
            <w:rPr>
              <w:rFonts w:ascii="Simplified Arabic" w:eastAsia="Times New Roman" w:hAnsi="Simplified Arabic" w:cs="Simplified Arabic" w:hint="cs"/>
              <w:b/>
              <w:sz w:val="24"/>
              <w:szCs w:val="24"/>
              <w:rtl/>
              <w:lang w:val="en-US" w:eastAsia="fr-FR"/>
            </w:rPr>
            <w:t xml:space="preserve">انها </w:t>
          </w:r>
          <w:r w:rsidR="00F62E8C" w:rsidRPr="00B9175E">
            <w:rPr>
              <w:rFonts w:ascii="Simplified Arabic" w:eastAsia="Times New Roman" w:hAnsi="Simplified Arabic" w:cs="Simplified Arabic" w:hint="cs"/>
              <w:b/>
              <w:sz w:val="24"/>
              <w:szCs w:val="24"/>
              <w:rtl/>
              <w:lang w:val="en-US" w:eastAsia="fr-FR"/>
            </w:rPr>
            <w:t xml:space="preserve">تفتقد الى </w:t>
          </w:r>
          <w:r w:rsidR="00792E38" w:rsidRPr="00B9175E">
            <w:rPr>
              <w:rFonts w:ascii="Simplified Arabic" w:eastAsia="Times New Roman" w:hAnsi="Simplified Arabic" w:cs="Simplified Arabic" w:hint="cs"/>
              <w:b/>
              <w:sz w:val="24"/>
              <w:szCs w:val="24"/>
              <w:rtl/>
              <w:lang w:val="en-US" w:eastAsia="fr-FR"/>
            </w:rPr>
            <w:t>مراكز الامن ومراكز التكفل الطبي</w:t>
          </w:r>
          <w:r w:rsidR="0048393C" w:rsidRPr="00B9175E">
            <w:rPr>
              <w:rFonts w:ascii="Simplified Arabic" w:eastAsia="Times New Roman" w:hAnsi="Simplified Arabic" w:cs="Simplified Arabic" w:hint="cs"/>
              <w:b/>
              <w:sz w:val="24"/>
              <w:szCs w:val="24"/>
              <w:rtl/>
              <w:lang w:val="en-US" w:eastAsia="fr-FR"/>
            </w:rPr>
            <w:t xml:space="preserve"> اللذان</w:t>
          </w:r>
          <w:r w:rsidR="00792E38" w:rsidRPr="00B9175E">
            <w:rPr>
              <w:rFonts w:ascii="Simplified Arabic" w:eastAsia="Times New Roman" w:hAnsi="Simplified Arabic" w:cs="Simplified Arabic" w:hint="cs"/>
              <w:b/>
              <w:sz w:val="24"/>
              <w:szCs w:val="24"/>
              <w:rtl/>
              <w:lang w:val="en-US" w:eastAsia="fr-FR"/>
            </w:rPr>
            <w:t xml:space="preserve"> يمثلان في نظر </w:t>
          </w:r>
          <w:r w:rsidR="00FD5C7F" w:rsidRPr="00B9175E">
            <w:rPr>
              <w:rFonts w:ascii="Simplified Arabic" w:eastAsia="Times New Roman" w:hAnsi="Simplified Arabic" w:cs="Simplified Arabic" w:hint="cs"/>
              <w:b/>
              <w:sz w:val="24"/>
              <w:szCs w:val="24"/>
              <w:rtl/>
              <w:lang w:val="en-US" w:eastAsia="fr-FR"/>
            </w:rPr>
            <w:t>خبراء دلفي</w:t>
          </w:r>
          <w:r w:rsidR="00792E38" w:rsidRPr="00B9175E">
            <w:rPr>
              <w:rFonts w:ascii="Simplified Arabic" w:eastAsia="Times New Roman" w:hAnsi="Simplified Arabic" w:cs="Simplified Arabic" w:hint="cs"/>
              <w:b/>
              <w:sz w:val="24"/>
              <w:szCs w:val="24"/>
              <w:rtl/>
              <w:lang w:val="en-US" w:eastAsia="fr-FR"/>
            </w:rPr>
            <w:t xml:space="preserve"> معيارين مهمين في رفع مستوى المرونة</w:t>
          </w:r>
          <w:r w:rsidR="00302C7C" w:rsidRPr="00B9175E">
            <w:rPr>
              <w:rFonts w:ascii="Simplified Arabic" w:eastAsia="Times New Roman" w:hAnsi="Simplified Arabic" w:cs="Simplified Arabic" w:hint="cs"/>
              <w:b/>
              <w:sz w:val="24"/>
              <w:szCs w:val="24"/>
              <w:rtl/>
              <w:lang w:val="en-US" w:eastAsia="fr-FR"/>
            </w:rPr>
            <w:t>، مما يعزز من كفاءة صنع القرار</w:t>
          </w:r>
          <w:r w:rsidR="009307F3" w:rsidRPr="00B9175E">
            <w:rPr>
              <w:rFonts w:ascii="Simplified Arabic" w:eastAsia="Times New Roman" w:hAnsi="Simplified Arabic" w:cs="Simplified Arabic" w:hint="cs"/>
              <w:b/>
              <w:sz w:val="24"/>
              <w:szCs w:val="24"/>
              <w:rtl/>
              <w:lang w:val="en-US" w:eastAsia="fr-FR"/>
            </w:rPr>
            <w:t xml:space="preserve">. </w:t>
          </w:r>
          <w:r w:rsidR="00172F24" w:rsidRPr="00B9175E">
            <w:rPr>
              <w:rFonts w:ascii="Simplified Arabic" w:eastAsia="Times New Roman" w:hAnsi="Simplified Arabic" w:cs="Simplified Arabic" w:hint="cs"/>
              <w:b/>
              <w:sz w:val="24"/>
              <w:szCs w:val="24"/>
              <w:rtl/>
              <w:lang w:val="en-US" w:eastAsia="fr-FR"/>
            </w:rPr>
            <w:t xml:space="preserve">كما </w:t>
          </w:r>
          <w:r w:rsidR="00C40712" w:rsidRPr="00B9175E">
            <w:rPr>
              <w:rFonts w:ascii="Simplified Arabic" w:eastAsia="Times New Roman" w:hAnsi="Simplified Arabic" w:cs="Simplified Arabic" w:hint="cs"/>
              <w:b/>
              <w:sz w:val="24"/>
              <w:szCs w:val="24"/>
              <w:rtl/>
              <w:lang w:val="en-US" w:eastAsia="fr-FR"/>
            </w:rPr>
            <w:t>اظهرت</w:t>
          </w:r>
          <w:r w:rsidR="00EA3173" w:rsidRPr="00B9175E">
            <w:rPr>
              <w:rFonts w:ascii="Simplified Arabic" w:eastAsia="Times New Roman" w:hAnsi="Simplified Arabic" w:cs="Simplified Arabic"/>
              <w:b/>
              <w:sz w:val="24"/>
              <w:szCs w:val="24"/>
              <w:rtl/>
              <w:lang w:val="en-US" w:eastAsia="fr-FR"/>
            </w:rPr>
            <w:t xml:space="preserve"> </w:t>
          </w:r>
          <w:r w:rsidR="00EA3173" w:rsidRPr="00B9175E">
            <w:rPr>
              <w:rFonts w:ascii="Simplified Arabic" w:eastAsia="Times New Roman" w:hAnsi="Simplified Arabic" w:cs="Simplified Arabic" w:hint="cs"/>
              <w:b/>
              <w:sz w:val="24"/>
              <w:szCs w:val="24"/>
              <w:rtl/>
              <w:lang w:val="en-US" w:eastAsia="fr-FR"/>
            </w:rPr>
            <w:t xml:space="preserve">نتائج التحليل </w:t>
          </w:r>
          <w:r w:rsidR="002D514D" w:rsidRPr="00B9175E">
            <w:rPr>
              <w:rFonts w:ascii="Simplified Arabic" w:eastAsia="Times New Roman" w:hAnsi="Simplified Arabic" w:cs="Simplified Arabic" w:hint="cs"/>
              <w:b/>
              <w:sz w:val="24"/>
              <w:szCs w:val="24"/>
              <w:rtl/>
              <w:lang w:val="en-US" w:eastAsia="fr-FR"/>
            </w:rPr>
            <w:t>المكاني ل</w:t>
          </w:r>
          <w:r w:rsidR="002D514D" w:rsidRPr="00B9175E">
            <w:rPr>
              <w:rFonts w:ascii="Simplified Arabic" w:eastAsia="Times New Roman" w:hAnsi="Simplified Arabic" w:cs="Simplified Arabic"/>
              <w:b/>
              <w:sz w:val="24"/>
              <w:szCs w:val="24"/>
              <w:rtl/>
              <w:lang w:val="en-US" w:eastAsia="fr-FR"/>
            </w:rPr>
            <w:t xml:space="preserve">سمات المرونة </w:t>
          </w:r>
          <w:r w:rsidR="00C40712" w:rsidRPr="00B9175E">
            <w:rPr>
              <w:rFonts w:ascii="Simplified Arabic" w:eastAsia="Times New Roman" w:hAnsi="Simplified Arabic" w:cs="Simplified Arabic" w:hint="cs"/>
              <w:b/>
              <w:sz w:val="24"/>
              <w:szCs w:val="24"/>
              <w:rtl/>
              <w:lang w:val="en-US" w:eastAsia="fr-FR"/>
            </w:rPr>
            <w:t xml:space="preserve">المكانية </w:t>
          </w:r>
          <w:r w:rsidR="002021B4" w:rsidRPr="00B1589F">
            <w:rPr>
              <w:rFonts w:ascii="Simplified Arabic" w:eastAsia="Times New Roman" w:hAnsi="Simplified Arabic" w:cs="Simplified Arabic" w:hint="cs"/>
              <w:b/>
              <w:sz w:val="24"/>
              <w:szCs w:val="24"/>
              <w:u w:val="single"/>
              <w:rtl/>
              <w:lang w:val="en-US" w:eastAsia="fr-FR"/>
            </w:rPr>
            <w:t>من</w:t>
          </w:r>
          <w:r w:rsidR="002021B4" w:rsidRPr="00B1589F">
            <w:rPr>
              <w:rFonts w:ascii="Simplified Arabic" w:eastAsia="Times New Roman" w:hAnsi="Simplified Arabic" w:cs="Simplified Arabic"/>
              <w:b/>
              <w:sz w:val="24"/>
              <w:szCs w:val="24"/>
              <w:u w:val="single"/>
              <w:rtl/>
              <w:lang w:val="en-US" w:eastAsia="fr-FR"/>
            </w:rPr>
            <w:t xml:space="preserve"> </w:t>
          </w:r>
          <w:r w:rsidR="002021B4" w:rsidRPr="00B1589F">
            <w:rPr>
              <w:rFonts w:ascii="Simplified Arabic" w:eastAsia="Times New Roman" w:hAnsi="Simplified Arabic" w:cs="Simplified Arabic" w:hint="cs"/>
              <w:b/>
              <w:sz w:val="24"/>
              <w:szCs w:val="24"/>
              <w:u w:val="single"/>
              <w:rtl/>
              <w:lang w:val="en-US" w:eastAsia="fr-FR"/>
            </w:rPr>
            <w:t>حيث</w:t>
          </w:r>
          <w:r w:rsidR="002021B4" w:rsidRPr="00B1589F">
            <w:rPr>
              <w:rFonts w:ascii="Simplified Arabic" w:eastAsia="Times New Roman" w:hAnsi="Simplified Arabic" w:cs="Simplified Arabic"/>
              <w:b/>
              <w:sz w:val="24"/>
              <w:szCs w:val="24"/>
              <w:u w:val="single"/>
              <w:rtl/>
              <w:lang w:val="en-US" w:eastAsia="fr-FR"/>
            </w:rPr>
            <w:t xml:space="preserve"> </w:t>
          </w:r>
          <w:r w:rsidR="002021B4" w:rsidRPr="00B1589F">
            <w:rPr>
              <w:rFonts w:ascii="Simplified Arabic" w:eastAsia="Times New Roman" w:hAnsi="Simplified Arabic" w:cs="Simplified Arabic" w:hint="cs"/>
              <w:b/>
              <w:sz w:val="24"/>
              <w:szCs w:val="24"/>
              <w:u w:val="single"/>
              <w:rtl/>
              <w:lang w:val="en-US" w:eastAsia="fr-FR"/>
            </w:rPr>
            <w:t>الكثافة</w:t>
          </w:r>
          <w:r w:rsidR="002021B4" w:rsidRPr="00B9175E">
            <w:rPr>
              <w:rFonts w:ascii="Simplified Arabic" w:eastAsia="Times New Roman" w:hAnsi="Simplified Arabic" w:cs="Simplified Arabic" w:hint="cs"/>
              <w:b/>
              <w:sz w:val="24"/>
              <w:szCs w:val="24"/>
              <w:rtl/>
              <w:lang w:val="en-US" w:eastAsia="fr-FR"/>
            </w:rPr>
            <w:t>،</w:t>
          </w:r>
          <w:r w:rsidR="002021B4" w:rsidRPr="00B9175E">
            <w:rPr>
              <w:rFonts w:ascii="Simplified Arabic" w:eastAsia="Times New Roman" w:hAnsi="Simplified Arabic" w:cs="Simplified Arabic"/>
              <w:b/>
              <w:sz w:val="24"/>
              <w:szCs w:val="24"/>
              <w:rtl/>
              <w:lang w:val="en-US" w:eastAsia="fr-FR"/>
            </w:rPr>
            <w:t xml:space="preserve"> </w:t>
          </w:r>
          <w:r w:rsidR="00172F24" w:rsidRPr="00B9175E">
            <w:rPr>
              <w:rFonts w:ascii="Simplified Arabic" w:eastAsia="Times New Roman" w:hAnsi="Simplified Arabic" w:cs="Simplified Arabic" w:hint="cs"/>
              <w:b/>
              <w:sz w:val="24"/>
              <w:szCs w:val="24"/>
              <w:rtl/>
              <w:lang w:val="en-US" w:eastAsia="fr-FR"/>
            </w:rPr>
            <w:t>ان</w:t>
          </w:r>
          <w:r w:rsidR="002021B4" w:rsidRPr="00B9175E">
            <w:rPr>
              <w:rFonts w:ascii="Simplified Arabic" w:eastAsia="Times New Roman" w:hAnsi="Simplified Arabic" w:cs="Simplified Arabic" w:hint="cs"/>
              <w:b/>
              <w:sz w:val="24"/>
              <w:szCs w:val="24"/>
              <w:rtl/>
              <w:lang w:val="en-US" w:eastAsia="fr-FR"/>
            </w:rPr>
            <w:t xml:space="preserve"> أحياء فئة النسيج الحضري (ب، جـ، د)</w:t>
          </w:r>
          <w:r w:rsidR="0053190A" w:rsidRPr="00B9175E">
            <w:rPr>
              <w:rFonts w:ascii="Simplified Arabic" w:eastAsia="Times New Roman" w:hAnsi="Simplified Arabic" w:cs="Simplified Arabic" w:hint="cs"/>
              <w:b/>
              <w:sz w:val="24"/>
              <w:szCs w:val="24"/>
              <w:rtl/>
              <w:lang w:val="en-US" w:eastAsia="fr-FR"/>
            </w:rPr>
            <w:t xml:space="preserve"> </w:t>
          </w:r>
          <w:r w:rsidR="00172F24" w:rsidRPr="00B9175E">
            <w:rPr>
              <w:rFonts w:ascii="Simplified Arabic" w:eastAsia="Times New Roman" w:hAnsi="Simplified Arabic" w:cs="Simplified Arabic" w:hint="cs"/>
              <w:b/>
              <w:sz w:val="24"/>
              <w:szCs w:val="24"/>
              <w:rtl/>
              <w:lang w:val="en-US" w:eastAsia="fr-FR"/>
            </w:rPr>
            <w:t>تتوفر على</w:t>
          </w:r>
          <w:r w:rsidR="002021B4" w:rsidRPr="00B9175E">
            <w:rPr>
              <w:rFonts w:ascii="Simplified Arabic" w:eastAsia="Times New Roman" w:hAnsi="Simplified Arabic" w:cs="Simplified Arabic" w:hint="cs"/>
              <w:b/>
              <w:sz w:val="24"/>
              <w:szCs w:val="24"/>
              <w:rtl/>
              <w:lang w:val="en-US" w:eastAsia="fr-FR"/>
            </w:rPr>
            <w:t xml:space="preserve"> قدرة تكيف مكاني افضل</w:t>
          </w:r>
          <w:r w:rsidR="00627D2E" w:rsidRPr="00B9175E">
            <w:rPr>
              <w:rFonts w:ascii="Simplified Arabic" w:eastAsia="Times New Roman" w:hAnsi="Simplified Arabic" w:cs="Simplified Arabic" w:hint="cs"/>
              <w:b/>
              <w:sz w:val="24"/>
              <w:szCs w:val="24"/>
              <w:rtl/>
              <w:lang w:val="en-US" w:eastAsia="fr-FR"/>
            </w:rPr>
            <w:t xml:space="preserve"> من فئة النسيج الحضري (أ)</w:t>
          </w:r>
          <w:r w:rsidR="002021B4" w:rsidRPr="00B9175E">
            <w:rPr>
              <w:rFonts w:ascii="Simplified Arabic" w:eastAsia="Times New Roman" w:hAnsi="Simplified Arabic" w:cs="Simplified Arabic" w:hint="cs"/>
              <w:b/>
              <w:sz w:val="24"/>
              <w:szCs w:val="24"/>
              <w:rtl/>
              <w:lang w:val="en-US" w:eastAsia="fr-FR"/>
            </w:rPr>
            <w:t xml:space="preserve">. </w:t>
          </w:r>
          <w:r w:rsidR="002021B4" w:rsidRPr="00B1589F">
            <w:rPr>
              <w:rFonts w:ascii="Simplified Arabic" w:eastAsia="Times New Roman" w:hAnsi="Simplified Arabic" w:cs="Simplified Arabic" w:hint="cs"/>
              <w:bCs/>
              <w:sz w:val="24"/>
              <w:szCs w:val="24"/>
              <w:u w:val="single"/>
              <w:rtl/>
              <w:lang w:val="en-US" w:eastAsia="fr-FR"/>
            </w:rPr>
            <w:t>من</w:t>
          </w:r>
          <w:r w:rsidR="002021B4" w:rsidRPr="00B1589F">
            <w:rPr>
              <w:rFonts w:ascii="Simplified Arabic" w:eastAsia="Times New Roman" w:hAnsi="Simplified Arabic" w:cs="Simplified Arabic"/>
              <w:bCs/>
              <w:sz w:val="24"/>
              <w:szCs w:val="24"/>
              <w:u w:val="single"/>
              <w:rtl/>
              <w:lang w:val="en-US" w:eastAsia="fr-FR"/>
            </w:rPr>
            <w:t xml:space="preserve"> </w:t>
          </w:r>
          <w:r w:rsidR="002021B4" w:rsidRPr="009B5875">
            <w:rPr>
              <w:rFonts w:ascii="Simplified Arabic" w:eastAsia="Times New Roman" w:hAnsi="Simplified Arabic" w:cs="Simplified Arabic" w:hint="cs"/>
              <w:b/>
              <w:sz w:val="24"/>
              <w:szCs w:val="24"/>
              <w:u w:val="single"/>
              <w:rtl/>
              <w:lang w:val="en-US" w:eastAsia="fr-FR"/>
            </w:rPr>
            <w:t>حيث</w:t>
          </w:r>
          <w:r w:rsidR="002021B4" w:rsidRPr="00B1589F">
            <w:rPr>
              <w:rFonts w:ascii="Simplified Arabic" w:eastAsia="Times New Roman" w:hAnsi="Simplified Arabic" w:cs="Simplified Arabic"/>
              <w:bCs/>
              <w:sz w:val="24"/>
              <w:szCs w:val="24"/>
              <w:u w:val="single"/>
              <w:rtl/>
              <w:lang w:val="en-US" w:eastAsia="fr-FR"/>
            </w:rPr>
            <w:t xml:space="preserve"> </w:t>
          </w:r>
          <w:r w:rsidR="002021B4" w:rsidRPr="009540C1">
            <w:rPr>
              <w:rFonts w:ascii="Simplified Arabic" w:eastAsia="Times New Roman" w:hAnsi="Simplified Arabic" w:cs="Simplified Arabic" w:hint="cs"/>
              <w:b/>
              <w:sz w:val="24"/>
              <w:szCs w:val="24"/>
              <w:u w:val="single"/>
              <w:rtl/>
              <w:lang w:val="en-US" w:eastAsia="fr-FR"/>
            </w:rPr>
            <w:t>التنوع</w:t>
          </w:r>
          <w:r w:rsidR="002021B4" w:rsidRPr="00B9175E">
            <w:rPr>
              <w:rFonts w:ascii="Simplified Arabic" w:eastAsia="Times New Roman" w:hAnsi="Simplified Arabic" w:cs="Simplified Arabic" w:hint="cs"/>
              <w:b/>
              <w:sz w:val="24"/>
              <w:szCs w:val="24"/>
              <w:rtl/>
              <w:lang w:val="en-US" w:eastAsia="fr-FR"/>
            </w:rPr>
            <w:t>،</w:t>
          </w:r>
          <w:r w:rsidR="002021B4" w:rsidRPr="00B9175E">
            <w:rPr>
              <w:rFonts w:ascii="Simplified Arabic" w:eastAsia="Times New Roman" w:hAnsi="Simplified Arabic" w:cs="Simplified Arabic"/>
              <w:b/>
              <w:sz w:val="24"/>
              <w:szCs w:val="24"/>
              <w:rtl/>
              <w:lang w:val="en-US" w:eastAsia="fr-FR"/>
            </w:rPr>
            <w:t xml:space="preserve"> </w:t>
          </w:r>
          <w:r w:rsidR="0053190A" w:rsidRPr="00B9175E">
            <w:rPr>
              <w:rFonts w:ascii="Simplified Arabic" w:eastAsia="Times New Roman" w:hAnsi="Simplified Arabic" w:cs="Simplified Arabic" w:hint="cs"/>
              <w:b/>
              <w:sz w:val="24"/>
              <w:szCs w:val="24"/>
              <w:rtl/>
              <w:lang w:val="en-US" w:eastAsia="fr-FR"/>
            </w:rPr>
            <w:t>حصل</w:t>
          </w:r>
          <w:r w:rsidR="002021B4" w:rsidRPr="00B9175E">
            <w:rPr>
              <w:rFonts w:ascii="Simplified Arabic" w:eastAsia="Times New Roman" w:hAnsi="Simplified Arabic" w:cs="Simplified Arabic" w:hint="cs"/>
              <w:b/>
              <w:sz w:val="24"/>
              <w:szCs w:val="24"/>
              <w:rtl/>
              <w:lang w:val="en-US" w:eastAsia="fr-FR"/>
            </w:rPr>
            <w:t xml:space="preserve"> حي القصر ضمن فئة النسيج الحضري (أ) وحي بلاتو للفئة (ب)</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درجة</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عالية</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من تنوع المرافق،</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منحهما قدرة تكيّف مكاني افضل</w:t>
          </w:r>
          <w:r w:rsidR="00627D2E" w:rsidRPr="00B9175E">
            <w:rPr>
              <w:rFonts w:ascii="Simplified Arabic" w:eastAsia="Times New Roman" w:hAnsi="Simplified Arabic" w:cs="Simplified Arabic" w:hint="cs"/>
              <w:b/>
              <w:sz w:val="24"/>
              <w:szCs w:val="24"/>
              <w:rtl/>
              <w:lang w:val="en-US" w:eastAsia="fr-FR"/>
            </w:rPr>
            <w:t xml:space="preserve"> من فئة النسيج الحضري (جـ، د)</w:t>
          </w:r>
          <w:r w:rsidR="0053190A" w:rsidRPr="00B9175E">
            <w:rPr>
              <w:rFonts w:ascii="Simplified Arabic" w:eastAsia="Times New Roman" w:hAnsi="Simplified Arabic" w:cs="Simplified Arabic" w:hint="cs"/>
              <w:b/>
              <w:sz w:val="24"/>
              <w:szCs w:val="24"/>
              <w:rtl/>
              <w:lang w:val="en-US" w:eastAsia="fr-FR"/>
            </w:rPr>
            <w:t xml:space="preserve">. </w:t>
          </w:r>
          <w:r w:rsidR="002A4437" w:rsidRPr="00B1589F">
            <w:rPr>
              <w:rFonts w:ascii="Simplified Arabic" w:eastAsia="Times New Roman" w:hAnsi="Simplified Arabic" w:cs="Simplified Arabic" w:hint="cs"/>
              <w:b/>
              <w:sz w:val="24"/>
              <w:szCs w:val="24"/>
              <w:u w:val="single"/>
              <w:rtl/>
              <w:lang w:val="en-US" w:eastAsia="fr-FR"/>
            </w:rPr>
            <w:t xml:space="preserve">من حيث </w:t>
          </w:r>
          <w:r w:rsidR="002021B4" w:rsidRPr="00B1589F">
            <w:rPr>
              <w:rFonts w:ascii="Simplified Arabic" w:eastAsia="Times New Roman" w:hAnsi="Simplified Arabic" w:cs="Simplified Arabic" w:hint="cs"/>
              <w:b/>
              <w:sz w:val="24"/>
              <w:szCs w:val="24"/>
              <w:u w:val="single"/>
              <w:rtl/>
              <w:lang w:val="en-US" w:eastAsia="fr-FR"/>
            </w:rPr>
            <w:t>الاتصال</w:t>
          </w:r>
          <w:r w:rsidR="00E43558" w:rsidRPr="00B1589F">
            <w:rPr>
              <w:rFonts w:ascii="Simplified Arabic" w:eastAsia="Times New Roman" w:hAnsi="Simplified Arabic" w:cs="Simplified Arabic" w:hint="cs"/>
              <w:b/>
              <w:sz w:val="24"/>
              <w:szCs w:val="24"/>
              <w:u w:val="single"/>
              <w:rtl/>
              <w:lang w:val="en-US" w:eastAsia="fr-FR"/>
            </w:rPr>
            <w:t>ية</w:t>
          </w:r>
          <w:r w:rsidR="002021B4" w:rsidRPr="00B9175E">
            <w:rPr>
              <w:rFonts w:ascii="Simplified Arabic" w:eastAsia="Times New Roman" w:hAnsi="Simplified Arabic" w:cs="Simplified Arabic" w:hint="cs"/>
              <w:b/>
              <w:sz w:val="24"/>
              <w:szCs w:val="24"/>
              <w:rtl/>
              <w:lang w:val="en-US" w:eastAsia="fr-FR"/>
            </w:rPr>
            <w:t>،</w:t>
          </w:r>
          <w:r w:rsidR="002021B4" w:rsidRPr="00B9175E">
            <w:rPr>
              <w:rFonts w:ascii="Simplified Arabic" w:eastAsia="Times New Roman" w:hAnsi="Simplified Arabic" w:cs="Simplified Arabic"/>
              <w:b/>
              <w:sz w:val="24"/>
              <w:szCs w:val="24"/>
              <w:rtl/>
              <w:lang w:val="en-US" w:eastAsia="fr-FR"/>
            </w:rPr>
            <w:t xml:space="preserve"> </w:t>
          </w:r>
          <w:r w:rsidR="0053190A" w:rsidRPr="00B9175E">
            <w:rPr>
              <w:rFonts w:ascii="Simplified Arabic" w:eastAsia="Times New Roman" w:hAnsi="Simplified Arabic" w:cs="Simplified Arabic" w:hint="cs"/>
              <w:b/>
              <w:sz w:val="24"/>
              <w:szCs w:val="24"/>
              <w:rtl/>
              <w:lang w:val="en-US" w:eastAsia="fr-FR"/>
            </w:rPr>
            <w:t>ا</w:t>
          </w:r>
          <w:r w:rsidR="002021B4" w:rsidRPr="00B9175E">
            <w:rPr>
              <w:rFonts w:ascii="Simplified Arabic" w:eastAsia="Times New Roman" w:hAnsi="Simplified Arabic" w:cs="Simplified Arabic" w:hint="cs"/>
              <w:b/>
              <w:sz w:val="24"/>
              <w:szCs w:val="24"/>
              <w:rtl/>
              <w:lang w:val="en-US" w:eastAsia="fr-FR"/>
            </w:rPr>
            <w:t>ظهر</w:t>
          </w:r>
          <w:r w:rsidR="0053190A" w:rsidRPr="00B9175E">
            <w:rPr>
              <w:rFonts w:ascii="Simplified Arabic" w:eastAsia="Times New Roman" w:hAnsi="Simplified Arabic" w:cs="Simplified Arabic" w:hint="cs"/>
              <w:b/>
              <w:sz w:val="24"/>
              <w:szCs w:val="24"/>
              <w:rtl/>
              <w:lang w:val="en-US" w:eastAsia="fr-FR"/>
            </w:rPr>
            <w:t>ت</w:t>
          </w:r>
          <w:r w:rsidR="002021B4" w:rsidRPr="00B9175E">
            <w:rPr>
              <w:rFonts w:ascii="Simplified Arabic" w:eastAsia="Times New Roman" w:hAnsi="Simplified Arabic" w:cs="Simplified Arabic" w:hint="cs"/>
              <w:b/>
              <w:sz w:val="24"/>
              <w:szCs w:val="24"/>
              <w:rtl/>
              <w:lang w:val="en-US" w:eastAsia="fr-FR"/>
            </w:rPr>
            <w:t xml:space="preserve"> فئة النسيج الحضري (أ، ب)</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قدرة تكيف مكاني افضل</w:t>
          </w:r>
          <w:r w:rsidR="00172F24" w:rsidRPr="00B9175E">
            <w:rPr>
              <w:rFonts w:ascii="Simplified Arabic" w:eastAsia="Times New Roman" w:hAnsi="Simplified Arabic" w:cs="Simplified Arabic" w:hint="cs"/>
              <w:b/>
              <w:sz w:val="24"/>
              <w:szCs w:val="24"/>
              <w:rtl/>
              <w:lang w:val="en-US" w:eastAsia="fr-FR"/>
            </w:rPr>
            <w:t xml:space="preserve"> من</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فئة النسيج الحضري (جـ، د)</w:t>
          </w:r>
          <w:r w:rsidR="002021B4" w:rsidRPr="00B9175E">
            <w:rPr>
              <w:rFonts w:ascii="Simplified Arabic" w:eastAsia="Times New Roman" w:hAnsi="Simplified Arabic" w:cs="Simplified Arabic"/>
              <w:b/>
              <w:sz w:val="24"/>
              <w:szCs w:val="24"/>
              <w:rtl/>
              <w:lang w:val="en-US" w:eastAsia="fr-FR"/>
            </w:rPr>
            <w:t xml:space="preserve">. </w:t>
          </w:r>
          <w:r w:rsidR="002021B4" w:rsidRPr="00B1589F">
            <w:rPr>
              <w:rFonts w:ascii="Simplified Arabic" w:eastAsia="Times New Roman" w:hAnsi="Simplified Arabic" w:cs="Simplified Arabic" w:hint="cs"/>
              <w:b/>
              <w:sz w:val="24"/>
              <w:szCs w:val="24"/>
              <w:u w:val="single"/>
              <w:rtl/>
              <w:lang w:val="en-US" w:eastAsia="fr-FR"/>
            </w:rPr>
            <w:t>من</w:t>
          </w:r>
          <w:r w:rsidR="002021B4" w:rsidRPr="00B1589F">
            <w:rPr>
              <w:rFonts w:ascii="Simplified Arabic" w:eastAsia="Times New Roman" w:hAnsi="Simplified Arabic" w:cs="Simplified Arabic"/>
              <w:b/>
              <w:sz w:val="24"/>
              <w:szCs w:val="24"/>
              <w:u w:val="single"/>
              <w:rtl/>
              <w:lang w:val="en-US" w:eastAsia="fr-FR"/>
            </w:rPr>
            <w:t xml:space="preserve"> </w:t>
          </w:r>
          <w:r w:rsidR="002021B4" w:rsidRPr="00B1589F">
            <w:rPr>
              <w:rFonts w:ascii="Simplified Arabic" w:eastAsia="Times New Roman" w:hAnsi="Simplified Arabic" w:cs="Simplified Arabic" w:hint="cs"/>
              <w:b/>
              <w:sz w:val="24"/>
              <w:szCs w:val="24"/>
              <w:u w:val="single"/>
              <w:rtl/>
              <w:lang w:val="en-US" w:eastAsia="fr-FR"/>
            </w:rPr>
            <w:t>حيث</w:t>
          </w:r>
          <w:r w:rsidR="002021B4" w:rsidRPr="00B1589F">
            <w:rPr>
              <w:rFonts w:ascii="Simplified Arabic" w:eastAsia="Times New Roman" w:hAnsi="Simplified Arabic" w:cs="Simplified Arabic"/>
              <w:b/>
              <w:sz w:val="24"/>
              <w:szCs w:val="24"/>
              <w:u w:val="single"/>
              <w:rtl/>
              <w:lang w:val="en-US" w:eastAsia="fr-FR"/>
            </w:rPr>
            <w:t xml:space="preserve"> </w:t>
          </w:r>
          <w:r w:rsidR="002021B4" w:rsidRPr="00B1589F">
            <w:rPr>
              <w:rFonts w:ascii="Simplified Arabic" w:eastAsia="Times New Roman" w:hAnsi="Simplified Arabic" w:cs="Simplified Arabic" w:hint="cs"/>
              <w:b/>
              <w:sz w:val="24"/>
              <w:szCs w:val="24"/>
              <w:u w:val="single"/>
              <w:rtl/>
              <w:lang w:val="en-US" w:eastAsia="fr-FR"/>
            </w:rPr>
            <w:t>التكرار</w:t>
          </w:r>
          <w:r w:rsidR="00E43558" w:rsidRPr="00B1589F">
            <w:rPr>
              <w:rFonts w:ascii="Simplified Arabic" w:eastAsia="Times New Roman" w:hAnsi="Simplified Arabic" w:cs="Simplified Arabic" w:hint="cs"/>
              <w:b/>
              <w:sz w:val="24"/>
              <w:szCs w:val="24"/>
              <w:u w:val="single"/>
              <w:rtl/>
              <w:lang w:val="en-US" w:eastAsia="fr-FR"/>
            </w:rPr>
            <w:t>ات</w:t>
          </w:r>
          <w:r w:rsidR="002021B4" w:rsidRPr="00B9175E">
            <w:rPr>
              <w:rFonts w:ascii="Simplified Arabic" w:eastAsia="Times New Roman" w:hAnsi="Simplified Arabic" w:cs="Simplified Arabic" w:hint="cs"/>
              <w:b/>
              <w:sz w:val="24"/>
              <w:szCs w:val="24"/>
              <w:rtl/>
              <w:lang w:val="en-US" w:eastAsia="fr-FR"/>
            </w:rPr>
            <w:t>،</w:t>
          </w:r>
          <w:r w:rsidR="002021B4" w:rsidRPr="00B9175E">
            <w:rPr>
              <w:rFonts w:ascii="Simplified Arabic" w:eastAsia="Times New Roman" w:hAnsi="Simplified Arabic" w:cs="Simplified Arabic"/>
              <w:b/>
              <w:sz w:val="24"/>
              <w:szCs w:val="24"/>
              <w:rtl/>
              <w:lang w:val="en-US" w:eastAsia="fr-FR"/>
            </w:rPr>
            <w:t xml:space="preserve"> </w:t>
          </w:r>
          <w:r w:rsidR="002A4437" w:rsidRPr="00B9175E">
            <w:rPr>
              <w:rFonts w:ascii="Simplified Arabic" w:eastAsia="Times New Roman" w:hAnsi="Simplified Arabic" w:cs="Simplified Arabic" w:hint="cs"/>
              <w:b/>
              <w:sz w:val="24"/>
              <w:szCs w:val="24"/>
              <w:rtl/>
              <w:lang w:val="en-US" w:eastAsia="fr-FR"/>
            </w:rPr>
            <w:t>حصلت</w:t>
          </w:r>
          <w:r w:rsidR="009C6725" w:rsidRPr="00B9175E">
            <w:rPr>
              <w:rFonts w:ascii="Simplified Arabic" w:eastAsia="Times New Roman" w:hAnsi="Simplified Arabic" w:cs="Simplified Arabic" w:hint="cs"/>
              <w:b/>
              <w:sz w:val="24"/>
              <w:szCs w:val="24"/>
              <w:rtl/>
              <w:lang w:val="en-US" w:eastAsia="fr-FR"/>
            </w:rPr>
            <w:t xml:space="preserve"> فئة النسيج الحضري (أ)</w:t>
          </w:r>
          <w:r w:rsidR="002021B4" w:rsidRPr="00B9175E">
            <w:rPr>
              <w:rFonts w:ascii="Simplified Arabic" w:eastAsia="Times New Roman" w:hAnsi="Simplified Arabic" w:cs="Simplified Arabic" w:hint="cs"/>
              <w:b/>
              <w:sz w:val="24"/>
              <w:szCs w:val="24"/>
              <w:rtl/>
              <w:lang w:val="en-US" w:eastAsia="fr-FR"/>
            </w:rPr>
            <w:t xml:space="preserve"> </w:t>
          </w:r>
          <w:r w:rsidR="002A4437" w:rsidRPr="00B9175E">
            <w:rPr>
              <w:rFonts w:ascii="Simplified Arabic" w:eastAsia="Times New Roman" w:hAnsi="Simplified Arabic" w:cs="Simplified Arabic" w:hint="cs"/>
              <w:b/>
              <w:sz w:val="24"/>
              <w:szCs w:val="24"/>
              <w:rtl/>
              <w:lang w:val="en-US" w:eastAsia="fr-FR"/>
            </w:rPr>
            <w:t xml:space="preserve">على </w:t>
          </w:r>
          <w:r w:rsidR="002021B4" w:rsidRPr="00B9175E">
            <w:rPr>
              <w:rFonts w:ascii="Simplified Arabic" w:eastAsia="Times New Roman" w:hAnsi="Simplified Arabic" w:cs="Simplified Arabic" w:hint="cs"/>
              <w:b/>
              <w:sz w:val="24"/>
              <w:szCs w:val="24"/>
              <w:rtl/>
              <w:lang w:val="en-US" w:eastAsia="fr-FR"/>
            </w:rPr>
            <w:t xml:space="preserve">قيم </w:t>
          </w:r>
          <w:r w:rsidR="00172F24" w:rsidRPr="00B9175E">
            <w:rPr>
              <w:rFonts w:ascii="Simplified Arabic" w:eastAsia="Times New Roman" w:hAnsi="Simplified Arabic" w:cs="Simplified Arabic" w:hint="cs"/>
              <w:b/>
              <w:sz w:val="24"/>
              <w:szCs w:val="24"/>
              <w:rtl/>
              <w:lang w:val="en-US" w:eastAsia="fr-FR"/>
            </w:rPr>
            <w:t>منخفضة ل</w:t>
          </w:r>
          <w:r w:rsidR="002021B4" w:rsidRPr="00B9175E">
            <w:rPr>
              <w:rFonts w:ascii="Simplified Arabic" w:eastAsia="Times New Roman" w:hAnsi="Simplified Arabic" w:cs="Simplified Arabic" w:hint="cs"/>
              <w:b/>
              <w:sz w:val="24"/>
              <w:szCs w:val="24"/>
              <w:rtl/>
              <w:lang w:val="en-US" w:eastAsia="fr-FR"/>
            </w:rPr>
            <w:t>لمقاييس</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المدروسة: كثافة</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التقاطعات</w:t>
          </w:r>
          <w:r w:rsidR="00B1589F">
            <w:rPr>
              <w:rFonts w:ascii="Simplified Arabic" w:eastAsia="Times New Roman" w:hAnsi="Simplified Arabic" w:cs="Simplified Arabic" w:hint="cs"/>
              <w:b/>
              <w:sz w:val="24"/>
              <w:szCs w:val="24"/>
              <w:rtl/>
              <w:lang w:val="en-US" w:eastAsia="fr-FR"/>
            </w:rPr>
            <w:t xml:space="preserve"> (</w:t>
          </w:r>
          <m:oMath>
            <m:sSub>
              <m:sSubPr>
                <m:ctrlPr>
                  <w:rPr>
                    <w:rFonts w:ascii="Cambria Math" w:hAnsi="Cambria Math" w:cs="Cambria Math"/>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e</m:t>
                </m:r>
              </m:sub>
            </m:sSub>
          </m:oMath>
          <w:r w:rsidR="00B1589F">
            <w:rPr>
              <w:rFonts w:ascii="Simplified Arabic" w:eastAsia="Times New Roman" w:hAnsi="Simplified Arabic" w:cs="Simplified Arabic" w:hint="cs"/>
              <w:b/>
              <w:sz w:val="24"/>
              <w:szCs w:val="24"/>
              <w:rtl/>
              <w:lang w:val="en-US" w:eastAsia="fr-FR"/>
            </w:rPr>
            <w:t xml:space="preserve">)، نسبة </w:t>
          </w:r>
          <w:r w:rsidR="00EE383E">
            <w:rPr>
              <w:rFonts w:ascii="Simplified Arabic" w:eastAsia="Times New Roman" w:hAnsi="Simplified Arabic" w:cs="Simplified Arabic" w:hint="cs"/>
              <w:b/>
              <w:sz w:val="24"/>
              <w:szCs w:val="24"/>
              <w:rtl/>
              <w:lang w:val="en-US" w:eastAsia="fr-FR"/>
            </w:rPr>
            <w:t>ربط</w:t>
          </w:r>
          <w:r w:rsidR="00B1589F">
            <w:rPr>
              <w:rFonts w:ascii="Simplified Arabic" w:eastAsia="Times New Roman" w:hAnsi="Simplified Arabic" w:cs="Simplified Arabic" w:hint="cs"/>
              <w:b/>
              <w:sz w:val="24"/>
              <w:szCs w:val="24"/>
              <w:rtl/>
              <w:lang w:val="en-US" w:eastAsia="fr-FR"/>
            </w:rPr>
            <w:t>-العقد (</w:t>
          </w:r>
          <w:r w:rsidR="00B1589F" w:rsidRPr="00B1589F">
            <w:rPr>
              <w:rFonts w:ascii="Cambria Math" w:hAnsi="Cambria Math" w:cs="Cambria Math"/>
              <w:sz w:val="24"/>
              <w:szCs w:val="24"/>
            </w:rPr>
            <w:t>LNR</w:t>
          </w:r>
          <w:r w:rsidR="00B1589F">
            <w:rPr>
              <w:rFonts w:ascii="Simplified Arabic" w:eastAsia="Times New Roman" w:hAnsi="Simplified Arabic" w:cs="Simplified Arabic" w:hint="cs"/>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ونسبة العقد الموصولة</w:t>
          </w:r>
          <w:r w:rsidR="00B1589F">
            <w:rPr>
              <w:rFonts w:ascii="Simplified Arabic" w:eastAsia="Times New Roman" w:hAnsi="Simplified Arabic" w:cs="Simplified Arabic"/>
              <w:b/>
              <w:sz w:val="24"/>
              <w:szCs w:val="24"/>
              <w:lang w:val="en-US" w:eastAsia="fr-FR"/>
            </w:rPr>
            <w:t xml:space="preserve"> </w:t>
          </w:r>
          <w:r w:rsidR="00B1589F">
            <w:rPr>
              <w:rFonts w:ascii="Simplified Arabic" w:eastAsia="Times New Roman" w:hAnsi="Simplified Arabic" w:cs="Simplified Arabic" w:hint="cs"/>
              <w:b/>
              <w:sz w:val="24"/>
              <w:szCs w:val="24"/>
              <w:rtl/>
              <w:lang w:val="en-US" w:eastAsia="fr-FR"/>
            </w:rPr>
            <w:t>(</w:t>
          </w:r>
          <w:r w:rsidR="00B1589F">
            <w:rPr>
              <w:rFonts w:ascii="Cambria Math" w:hAnsi="Cambria Math" w:cs="Cambria Math"/>
              <w:sz w:val="24"/>
              <w:szCs w:val="24"/>
            </w:rPr>
            <w:t>C</w:t>
          </w:r>
          <w:r w:rsidR="00B1589F" w:rsidRPr="00B1589F">
            <w:rPr>
              <w:rFonts w:ascii="Cambria Math" w:hAnsi="Cambria Math" w:cs="Cambria Math"/>
              <w:sz w:val="24"/>
              <w:szCs w:val="24"/>
            </w:rPr>
            <w:t>NR</w:t>
          </w:r>
          <w:r w:rsidR="00B1589F">
            <w:rPr>
              <w:rFonts w:ascii="Simplified Arabic" w:eastAsia="Times New Roman" w:hAnsi="Simplified Arabic" w:cs="Simplified Arabic" w:hint="cs"/>
              <w:b/>
              <w:sz w:val="24"/>
              <w:szCs w:val="24"/>
              <w:rtl/>
              <w:lang w:val="en-US" w:eastAsia="fr-FR"/>
            </w:rPr>
            <w:t>)</w:t>
          </w:r>
          <w:r w:rsidR="002021B4" w:rsidRPr="00B9175E">
            <w:rPr>
              <w:rFonts w:ascii="Simplified Arabic" w:eastAsia="Times New Roman" w:hAnsi="Simplified Arabic" w:cs="Simplified Arabic" w:hint="cs"/>
              <w:b/>
              <w:sz w:val="24"/>
              <w:szCs w:val="24"/>
              <w:rtl/>
              <w:lang w:val="en-US" w:eastAsia="fr-FR"/>
            </w:rPr>
            <w:t xml:space="preserve">، </w:t>
          </w:r>
          <w:r w:rsidR="009C6725" w:rsidRPr="00B9175E">
            <w:rPr>
              <w:rFonts w:ascii="Simplified Arabic" w:eastAsia="Times New Roman" w:hAnsi="Simplified Arabic" w:cs="Simplified Arabic" w:hint="cs"/>
              <w:b/>
              <w:sz w:val="24"/>
              <w:szCs w:val="24"/>
              <w:rtl/>
              <w:lang w:val="en-US" w:eastAsia="fr-FR"/>
            </w:rPr>
            <w:t>بينما ارتفعت</w:t>
          </w:r>
          <w:r w:rsidR="002021B4" w:rsidRPr="00B9175E">
            <w:rPr>
              <w:rFonts w:ascii="Simplified Arabic" w:eastAsia="Times New Roman" w:hAnsi="Simplified Arabic" w:cs="Simplified Arabic" w:hint="cs"/>
              <w:b/>
              <w:sz w:val="24"/>
              <w:szCs w:val="24"/>
              <w:rtl/>
              <w:lang w:val="en-US" w:eastAsia="fr-FR"/>
            </w:rPr>
            <w:t xml:space="preserve"> بشكل</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كبير</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بفئة النسيج الحضري (ب، جـ، د)،</w:t>
          </w:r>
          <w:r w:rsidR="002021B4" w:rsidRPr="00B9175E">
            <w:rPr>
              <w:rFonts w:ascii="Simplified Arabic" w:eastAsia="Times New Roman" w:hAnsi="Simplified Arabic" w:cs="Simplified Arabic"/>
              <w:b/>
              <w:sz w:val="24"/>
              <w:szCs w:val="24"/>
              <w:rtl/>
              <w:lang w:val="en-US" w:eastAsia="fr-FR"/>
            </w:rPr>
            <w:t xml:space="preserve"> </w:t>
          </w:r>
          <w:r w:rsidR="002021B4" w:rsidRPr="00B9175E">
            <w:rPr>
              <w:rFonts w:ascii="Simplified Arabic" w:eastAsia="Times New Roman" w:hAnsi="Simplified Arabic" w:cs="Simplified Arabic" w:hint="cs"/>
              <w:b/>
              <w:sz w:val="24"/>
              <w:szCs w:val="24"/>
              <w:rtl/>
              <w:lang w:val="en-US" w:eastAsia="fr-FR"/>
            </w:rPr>
            <w:t xml:space="preserve">منحهم ذلك مستويات قدرة تكيف مكاني افضل. </w:t>
          </w:r>
        </w:p>
        <w:p w:rsidR="001207D9" w:rsidRPr="002A4437" w:rsidRDefault="007E1448" w:rsidP="00B9175E">
          <w:pPr>
            <w:tabs>
              <w:tab w:val="right" w:pos="282"/>
            </w:tabs>
            <w:bidi/>
            <w:spacing w:line="240" w:lineRule="auto"/>
            <w:ind w:firstLine="282"/>
            <w:jc w:val="both"/>
            <w:rPr>
              <w:rFonts w:ascii="Simplified Arabic" w:hAnsi="Simplified Arabic" w:cs="Simplified Arabic"/>
              <w:b/>
              <w:sz w:val="24"/>
              <w:szCs w:val="24"/>
              <w:rtl/>
              <w:lang w:val="en-US"/>
            </w:rPr>
          </w:pPr>
          <w:r w:rsidRPr="002F491D">
            <w:rPr>
              <w:rFonts w:ascii="Simplified Arabic" w:eastAsia="Times New Roman" w:hAnsi="Simplified Arabic" w:cs="Simplified Arabic" w:hint="cs"/>
              <w:b/>
              <w:sz w:val="24"/>
              <w:szCs w:val="24"/>
              <w:rtl/>
              <w:lang w:val="en-US" w:eastAsia="fr-FR"/>
            </w:rPr>
            <w:t xml:space="preserve">كانت </w:t>
          </w:r>
          <w:r w:rsidRPr="002F491D">
            <w:rPr>
              <w:rFonts w:ascii="Simplified Arabic" w:hAnsi="Simplified Arabic" w:cs="Simplified Arabic" w:hint="cs"/>
              <w:b/>
              <w:color w:val="000000" w:themeColor="text1"/>
              <w:sz w:val="24"/>
              <w:szCs w:val="24"/>
              <w:rtl/>
              <w:lang w:val="en-US"/>
            </w:rPr>
            <w:t xml:space="preserve">الغاية من </w:t>
          </w:r>
          <w:r w:rsidRPr="002F491D">
            <w:rPr>
              <w:rFonts w:ascii="Simplified Arabic" w:eastAsia="Times New Roman" w:hAnsi="Simplified Arabic" w:cs="Simplified Arabic" w:hint="cs"/>
              <w:b/>
              <w:sz w:val="24"/>
              <w:szCs w:val="24"/>
              <w:rtl/>
              <w:lang w:val="en-US" w:eastAsia="fr-FR"/>
            </w:rPr>
            <w:t>تقييم مستويات المرونة</w:t>
          </w:r>
          <w:r w:rsidR="00627D2E" w:rsidRPr="002F491D">
            <w:rPr>
              <w:rFonts w:ascii="Simplified Arabic" w:eastAsia="Times New Roman" w:hAnsi="Simplified Arabic" w:cs="Simplified Arabic" w:hint="cs"/>
              <w:b/>
              <w:sz w:val="24"/>
              <w:szCs w:val="24"/>
              <w:rtl/>
              <w:lang w:val="en-US" w:eastAsia="fr-FR"/>
            </w:rPr>
            <w:t xml:space="preserve"> كقيمة اجمالية</w:t>
          </w:r>
          <w:r w:rsidRPr="002F491D">
            <w:rPr>
              <w:rFonts w:ascii="Simplified Arabic" w:hAnsi="Simplified Arabic" w:cs="Simplified Arabic" w:hint="cs"/>
              <w:b/>
              <w:color w:val="000000" w:themeColor="text1"/>
              <w:sz w:val="24"/>
              <w:szCs w:val="24"/>
              <w:rtl/>
              <w:lang w:val="en-US"/>
            </w:rPr>
            <w:t xml:space="preserve"> </w:t>
          </w:r>
          <w:r w:rsidR="00627D2E" w:rsidRPr="002F491D">
            <w:rPr>
              <w:rFonts w:ascii="Simplified Arabic" w:hAnsi="Simplified Arabic" w:cs="Simplified Arabic" w:hint="cs"/>
              <w:b/>
              <w:color w:val="000000" w:themeColor="text1"/>
              <w:sz w:val="24"/>
              <w:szCs w:val="24"/>
              <w:rtl/>
              <w:lang w:val="en-US"/>
            </w:rPr>
            <w:t>لإبراز</w:t>
          </w:r>
          <w:r w:rsidRPr="002F491D">
            <w:rPr>
              <w:rFonts w:ascii="Simplified Arabic" w:hAnsi="Simplified Arabic" w:cs="Simplified Arabic"/>
              <w:b/>
              <w:sz w:val="24"/>
              <w:szCs w:val="24"/>
              <w:rtl/>
              <w:lang w:val="en-US"/>
            </w:rPr>
            <w:t xml:space="preserve"> </w:t>
          </w:r>
          <w:r w:rsidRPr="002F491D">
            <w:rPr>
              <w:rFonts w:ascii="Simplified Arabic" w:hAnsi="Simplified Arabic" w:cs="Simplified Arabic" w:hint="cs"/>
              <w:b/>
              <w:sz w:val="24"/>
              <w:szCs w:val="24"/>
              <w:rtl/>
              <w:lang w:val="en-US"/>
            </w:rPr>
            <w:t>قدرة مدينة بوسعادة على الاستجابة اثناء الصدمة</w:t>
          </w:r>
          <w:r w:rsidRPr="002F491D">
            <w:rPr>
              <w:rFonts w:ascii="Simplified Arabic" w:eastAsia="Times New Roman" w:hAnsi="Simplified Arabic" w:cs="Simplified Arabic"/>
              <w:b/>
              <w:sz w:val="24"/>
              <w:szCs w:val="24"/>
              <w:rtl/>
              <w:lang w:val="en-US" w:eastAsia="fr-FR"/>
            </w:rPr>
            <w:t>.</w:t>
          </w:r>
          <w:r w:rsidRPr="002F491D">
            <w:rPr>
              <w:rFonts w:ascii="Simplified Arabic" w:eastAsia="Times New Roman" w:hAnsi="Simplified Arabic" w:cs="Simplified Arabic" w:hint="cs"/>
              <w:b/>
              <w:sz w:val="24"/>
              <w:szCs w:val="24"/>
              <w:rtl/>
              <w:lang w:val="en-US" w:eastAsia="fr-FR"/>
            </w:rPr>
            <w:t xml:space="preserve"> كما ان غاية </w:t>
          </w:r>
          <w:r w:rsidR="00A550A3" w:rsidRPr="002F491D">
            <w:rPr>
              <w:rFonts w:ascii="Simplified Arabic" w:hAnsi="Simplified Arabic" w:cs="Simplified Arabic"/>
              <w:b/>
              <w:sz w:val="24"/>
              <w:szCs w:val="24"/>
              <w:rtl/>
              <w:lang w:val="en-US" w:bidi="ar-DZ"/>
            </w:rPr>
            <w:t xml:space="preserve">كشف توافر </w:t>
          </w:r>
          <w:r w:rsidRPr="002F491D">
            <w:rPr>
              <w:rFonts w:ascii="Simplified Arabic" w:hAnsi="Simplified Arabic" w:cs="Simplified Arabic" w:hint="cs"/>
              <w:b/>
              <w:color w:val="000000" w:themeColor="text1"/>
              <w:sz w:val="24"/>
              <w:szCs w:val="24"/>
              <w:rtl/>
              <w:lang w:val="en-US"/>
            </w:rPr>
            <w:t>السمات</w:t>
          </w:r>
          <w:r w:rsidRPr="002F491D">
            <w:rPr>
              <w:rFonts w:ascii="Simplified Arabic" w:hAnsi="Simplified Arabic" w:cs="Simplified Arabic"/>
              <w:b/>
              <w:color w:val="000000" w:themeColor="text1"/>
              <w:sz w:val="24"/>
              <w:szCs w:val="24"/>
              <w:rtl/>
              <w:lang w:val="en-US"/>
            </w:rPr>
            <w:t xml:space="preserve"> </w:t>
          </w:r>
          <w:r w:rsidRPr="002F491D">
            <w:rPr>
              <w:rFonts w:ascii="Simplified Arabic" w:hAnsi="Simplified Arabic" w:cs="Simplified Arabic" w:hint="cs"/>
              <w:b/>
              <w:color w:val="000000" w:themeColor="text1"/>
              <w:sz w:val="24"/>
              <w:szCs w:val="24"/>
              <w:rtl/>
              <w:lang w:val="en-US"/>
            </w:rPr>
            <w:t>الاربعة</w:t>
          </w:r>
          <w:r w:rsidRPr="002F491D">
            <w:rPr>
              <w:rFonts w:ascii="Simplified Arabic" w:hAnsi="Simplified Arabic" w:cs="Simplified Arabic"/>
              <w:b/>
              <w:color w:val="000000" w:themeColor="text1"/>
              <w:sz w:val="24"/>
              <w:szCs w:val="24"/>
              <w:rtl/>
              <w:lang w:val="en-US"/>
            </w:rPr>
            <w:t xml:space="preserve"> </w:t>
          </w:r>
          <w:r w:rsidRPr="002F491D">
            <w:rPr>
              <w:rFonts w:ascii="Simplified Arabic" w:hAnsi="Simplified Arabic" w:cs="Simplified Arabic" w:hint="cs"/>
              <w:b/>
              <w:color w:val="000000" w:themeColor="text1"/>
              <w:sz w:val="24"/>
              <w:szCs w:val="24"/>
              <w:rtl/>
              <w:lang w:val="en-US"/>
            </w:rPr>
            <w:t>للمرونة المكانية: الكثافة، التنوع،</w:t>
          </w:r>
          <w:r w:rsidRPr="002F491D">
            <w:rPr>
              <w:rFonts w:ascii="Simplified Arabic" w:hAnsi="Simplified Arabic" w:cs="Simplified Arabic"/>
              <w:b/>
              <w:color w:val="000000" w:themeColor="text1"/>
              <w:sz w:val="24"/>
              <w:szCs w:val="24"/>
              <w:rtl/>
              <w:lang w:val="en-US"/>
            </w:rPr>
            <w:t xml:space="preserve"> </w:t>
          </w:r>
          <w:r w:rsidRPr="002F491D">
            <w:rPr>
              <w:rFonts w:ascii="Simplified Arabic" w:hAnsi="Simplified Arabic" w:cs="Simplified Arabic" w:hint="cs"/>
              <w:b/>
              <w:color w:val="000000" w:themeColor="text1"/>
              <w:sz w:val="24"/>
              <w:szCs w:val="24"/>
              <w:rtl/>
              <w:lang w:val="en-US"/>
            </w:rPr>
            <w:t>الاتصال</w:t>
          </w:r>
          <w:r w:rsidR="00E43558" w:rsidRPr="002F491D">
            <w:rPr>
              <w:rFonts w:ascii="Simplified Arabic" w:hAnsi="Simplified Arabic" w:cs="Simplified Arabic" w:hint="cs"/>
              <w:b/>
              <w:color w:val="000000" w:themeColor="text1"/>
              <w:sz w:val="24"/>
              <w:szCs w:val="24"/>
              <w:rtl/>
              <w:lang w:val="en-US"/>
            </w:rPr>
            <w:t>ية</w:t>
          </w:r>
          <w:r w:rsidRPr="002F491D">
            <w:rPr>
              <w:rFonts w:ascii="Simplified Arabic" w:hAnsi="Simplified Arabic" w:cs="Simplified Arabic"/>
              <w:b/>
              <w:color w:val="000000" w:themeColor="text1"/>
              <w:sz w:val="24"/>
              <w:szCs w:val="24"/>
              <w:rtl/>
              <w:lang w:val="en-US"/>
            </w:rPr>
            <w:t xml:space="preserve"> </w:t>
          </w:r>
          <w:r w:rsidRPr="002F491D">
            <w:rPr>
              <w:rFonts w:ascii="Simplified Arabic" w:hAnsi="Simplified Arabic" w:cs="Simplified Arabic" w:hint="cs"/>
              <w:b/>
              <w:color w:val="000000" w:themeColor="text1"/>
              <w:sz w:val="24"/>
              <w:szCs w:val="24"/>
              <w:rtl/>
              <w:lang w:val="en-US"/>
            </w:rPr>
            <w:t xml:space="preserve">والتكرار، </w:t>
          </w:r>
          <w:r w:rsidRPr="002F491D">
            <w:rPr>
              <w:rFonts w:ascii="Simplified Arabic" w:eastAsia="Times New Roman" w:hAnsi="Simplified Arabic" w:cs="Simplified Arabic" w:hint="cs"/>
              <w:b/>
              <w:sz w:val="24"/>
              <w:szCs w:val="24"/>
              <w:rtl/>
              <w:lang w:val="en-US" w:eastAsia="fr-FR"/>
            </w:rPr>
            <w:t xml:space="preserve">هو </w:t>
          </w:r>
          <w:r w:rsidR="001207D9" w:rsidRPr="002F491D">
            <w:rPr>
              <w:rFonts w:ascii="Simplified Arabic" w:hAnsi="Simplified Arabic" w:cs="Simplified Arabic" w:hint="cs"/>
              <w:b/>
              <w:sz w:val="24"/>
              <w:szCs w:val="24"/>
              <w:rtl/>
              <w:lang w:val="en-US"/>
            </w:rPr>
            <w:t>اظهار</w:t>
          </w:r>
          <w:r w:rsidRPr="002F491D">
            <w:rPr>
              <w:rFonts w:ascii="Simplified Arabic" w:hAnsi="Simplified Arabic" w:cs="Simplified Arabic" w:hint="cs"/>
              <w:b/>
              <w:sz w:val="24"/>
              <w:szCs w:val="24"/>
              <w:rtl/>
              <w:lang w:val="en-US"/>
            </w:rPr>
            <w:t xml:space="preserve"> قدرة مدينة بوسعادة على التكيّف </w:t>
          </w:r>
          <w:r w:rsidR="00172F24" w:rsidRPr="002F491D">
            <w:rPr>
              <w:rFonts w:ascii="Simplified Arabic" w:hAnsi="Simplified Arabic" w:cs="Simplified Arabic" w:hint="cs"/>
              <w:b/>
              <w:sz w:val="24"/>
              <w:szCs w:val="24"/>
              <w:rtl/>
              <w:lang w:val="en-US"/>
            </w:rPr>
            <w:t>المكاني عبر مراحل نمو</w:t>
          </w:r>
          <w:r w:rsidR="00B9175E" w:rsidRPr="002F491D">
            <w:rPr>
              <w:rFonts w:ascii="Simplified Arabic" w:hAnsi="Simplified Arabic" w:cs="Simplified Arabic" w:hint="cs"/>
              <w:b/>
              <w:sz w:val="24"/>
              <w:szCs w:val="24"/>
              <w:rtl/>
              <w:lang w:val="en-US"/>
            </w:rPr>
            <w:t>ها الحضري</w:t>
          </w:r>
          <w:r w:rsidRPr="002F491D">
            <w:rPr>
              <w:rFonts w:ascii="Simplified Arabic" w:hAnsi="Simplified Arabic" w:cs="Simplified Arabic" w:hint="cs"/>
              <w:b/>
              <w:sz w:val="24"/>
              <w:szCs w:val="24"/>
              <w:rtl/>
              <w:lang w:val="en-US"/>
            </w:rPr>
            <w:t xml:space="preserve">، من خلال </w:t>
          </w:r>
          <w:r w:rsidR="00F6138C" w:rsidRPr="002F491D">
            <w:rPr>
              <w:rFonts w:ascii="Simplified Arabic" w:hAnsi="Simplified Arabic" w:cs="Simplified Arabic" w:hint="cs"/>
              <w:b/>
              <w:sz w:val="24"/>
              <w:szCs w:val="24"/>
              <w:rtl/>
              <w:lang w:val="en-US"/>
            </w:rPr>
            <w:t>ممارسات</w:t>
          </w:r>
          <w:r w:rsidR="00F6138C" w:rsidRPr="002F491D">
            <w:rPr>
              <w:rFonts w:ascii="Simplified Arabic" w:hAnsi="Simplified Arabic" w:cs="Simplified Arabic"/>
              <w:b/>
              <w:sz w:val="24"/>
              <w:szCs w:val="24"/>
              <w:rtl/>
              <w:lang w:val="en-US"/>
            </w:rPr>
            <w:t xml:space="preserve"> </w:t>
          </w:r>
          <w:r w:rsidRPr="002F491D">
            <w:rPr>
              <w:rFonts w:ascii="Simplified Arabic" w:hAnsi="Simplified Arabic" w:cs="Simplified Arabic" w:hint="cs"/>
              <w:b/>
              <w:sz w:val="24"/>
              <w:szCs w:val="24"/>
              <w:rtl/>
              <w:lang w:val="en-US"/>
            </w:rPr>
            <w:t>التخطيط</w:t>
          </w:r>
          <w:r w:rsidRPr="002F491D">
            <w:rPr>
              <w:rFonts w:ascii="Simplified Arabic" w:hAnsi="Simplified Arabic" w:cs="Simplified Arabic"/>
              <w:b/>
              <w:sz w:val="24"/>
              <w:szCs w:val="24"/>
              <w:rtl/>
              <w:lang w:val="en-US"/>
            </w:rPr>
            <w:t xml:space="preserve"> </w:t>
          </w:r>
          <w:r w:rsidR="00F6138C" w:rsidRPr="002F491D">
            <w:rPr>
              <w:rFonts w:ascii="Simplified Arabic" w:hAnsi="Simplified Arabic" w:cs="Simplified Arabic" w:hint="cs"/>
              <w:b/>
              <w:sz w:val="24"/>
              <w:szCs w:val="24"/>
              <w:rtl/>
              <w:lang w:val="en-US"/>
            </w:rPr>
            <w:t>وتدخلات</w:t>
          </w:r>
          <w:r w:rsidR="00F6138C" w:rsidRPr="002F491D">
            <w:rPr>
              <w:rFonts w:ascii="Simplified Arabic" w:hAnsi="Simplified Arabic" w:cs="Simplified Arabic"/>
              <w:b/>
              <w:sz w:val="24"/>
              <w:szCs w:val="24"/>
              <w:rtl/>
              <w:lang w:val="en-US"/>
            </w:rPr>
            <w:t xml:space="preserve"> </w:t>
          </w:r>
          <w:r w:rsidRPr="002F491D">
            <w:rPr>
              <w:rFonts w:ascii="Simplified Arabic" w:hAnsi="Simplified Arabic" w:cs="Simplified Arabic" w:hint="cs"/>
              <w:b/>
              <w:sz w:val="24"/>
              <w:szCs w:val="24"/>
              <w:rtl/>
              <w:lang w:val="en-US"/>
            </w:rPr>
            <w:t xml:space="preserve">التحسين الحضري على </w:t>
          </w:r>
          <w:r w:rsidRPr="002F491D">
            <w:rPr>
              <w:rFonts w:ascii="Simplified Arabic" w:hAnsi="Simplified Arabic" w:cs="Simplified Arabic" w:hint="cs"/>
              <w:b/>
              <w:sz w:val="24"/>
              <w:szCs w:val="24"/>
              <w:rtl/>
            </w:rPr>
            <w:t>الاحياء السكنية</w:t>
          </w:r>
          <w:r w:rsidRPr="002F491D">
            <w:rPr>
              <w:rFonts w:ascii="Simplified Arabic" w:hAnsi="Simplified Arabic" w:cs="Simplified Arabic" w:hint="cs"/>
              <w:b/>
              <w:sz w:val="24"/>
              <w:szCs w:val="24"/>
              <w:rtl/>
              <w:lang w:val="en-US"/>
            </w:rPr>
            <w:t>.</w:t>
          </w:r>
          <w:r w:rsidR="008134DC" w:rsidRPr="002A4437">
            <w:rPr>
              <w:rFonts w:ascii="Simplified Arabic" w:hAnsi="Simplified Arabic" w:cs="Simplified Arabic" w:hint="cs"/>
              <w:b/>
              <w:sz w:val="24"/>
              <w:szCs w:val="24"/>
              <w:rtl/>
              <w:lang w:val="en-US"/>
            </w:rPr>
            <w:t xml:space="preserve"> </w:t>
          </w:r>
        </w:p>
        <w:p w:rsidR="00C73AFF" w:rsidRPr="00172F24" w:rsidRDefault="00B95808" w:rsidP="001207D9">
          <w:pPr>
            <w:tabs>
              <w:tab w:val="right" w:pos="282"/>
            </w:tabs>
            <w:bidi/>
            <w:spacing w:after="0" w:line="240" w:lineRule="auto"/>
            <w:ind w:firstLine="282"/>
            <w:jc w:val="both"/>
            <w:rPr>
              <w:rFonts w:ascii="Simplified Arabic" w:hAnsi="Simplified Arabic" w:cs="Simplified Arabic"/>
              <w:b/>
              <w:sz w:val="24"/>
              <w:szCs w:val="24"/>
              <w:rtl/>
              <w:lang w:val="en-US" w:bidi="ar-DZ"/>
            </w:rPr>
          </w:pPr>
          <w:r w:rsidRPr="00172F24">
            <w:rPr>
              <w:rFonts w:ascii="Simplified Arabic" w:hAnsi="Simplified Arabic" w:cs="Simplified Arabic" w:hint="cs"/>
              <w:b/>
              <w:sz w:val="24"/>
              <w:szCs w:val="24"/>
              <w:rtl/>
              <w:lang w:val="en-US" w:bidi="ar-DZ"/>
            </w:rPr>
            <w:t>تم</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تلخيص</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نتائج</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هذه</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الدراسة</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في</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مجموعة</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من</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مبادئ</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التصميم</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الحضري</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التي</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يمكن</w:t>
          </w:r>
          <w:r w:rsidRPr="00172F24">
            <w:rPr>
              <w:rFonts w:ascii="Simplified Arabic" w:hAnsi="Simplified Arabic" w:cs="Simplified Arabic"/>
              <w:b/>
              <w:sz w:val="24"/>
              <w:szCs w:val="24"/>
              <w:rtl/>
              <w:lang w:val="en-US" w:bidi="ar-DZ"/>
            </w:rPr>
            <w:t xml:space="preserve"> </w:t>
          </w:r>
          <w:r w:rsidR="009F61DF" w:rsidRPr="00172F24">
            <w:rPr>
              <w:rFonts w:ascii="Simplified Arabic" w:hAnsi="Simplified Arabic" w:cs="Simplified Arabic" w:hint="cs"/>
              <w:b/>
              <w:sz w:val="24"/>
              <w:szCs w:val="24"/>
              <w:rtl/>
              <w:lang w:val="en-US" w:bidi="ar-DZ"/>
            </w:rPr>
            <w:t xml:space="preserve">ان تساعد عمل المصممين والمخططين في </w:t>
          </w:r>
          <w:r w:rsidRPr="00172F24">
            <w:rPr>
              <w:rFonts w:ascii="Simplified Arabic" w:hAnsi="Simplified Arabic" w:cs="Simplified Arabic" w:hint="cs"/>
              <w:b/>
              <w:sz w:val="24"/>
              <w:szCs w:val="24"/>
              <w:rtl/>
              <w:lang w:val="en-US" w:bidi="ar-DZ"/>
            </w:rPr>
            <w:t>توجيه</w:t>
          </w:r>
          <w:r w:rsidRPr="00172F24">
            <w:rPr>
              <w:rFonts w:ascii="Simplified Arabic" w:hAnsi="Simplified Arabic" w:cs="Simplified Arabic"/>
              <w:b/>
              <w:sz w:val="24"/>
              <w:szCs w:val="24"/>
              <w:rtl/>
              <w:lang w:val="en-US" w:bidi="ar-DZ"/>
            </w:rPr>
            <w:t xml:space="preserve"> </w:t>
          </w:r>
          <w:r w:rsidR="00D17CCD" w:rsidRPr="00172F24">
            <w:rPr>
              <w:rFonts w:ascii="Simplified Arabic" w:hAnsi="Simplified Arabic" w:cs="Simplified Arabic" w:hint="cs"/>
              <w:b/>
              <w:sz w:val="24"/>
              <w:szCs w:val="24"/>
              <w:rtl/>
              <w:lang w:val="en-US" w:bidi="ar-DZ"/>
            </w:rPr>
            <w:t>استعمالات الاراضي</w:t>
          </w:r>
          <w:r w:rsidRPr="00172F24">
            <w:rPr>
              <w:rFonts w:ascii="Simplified Arabic" w:hAnsi="Simplified Arabic" w:cs="Simplified Arabic"/>
              <w:b/>
              <w:sz w:val="24"/>
              <w:szCs w:val="24"/>
              <w:rtl/>
              <w:lang w:val="en-US" w:bidi="ar-DZ"/>
            </w:rPr>
            <w:t xml:space="preserve"> </w:t>
          </w:r>
          <w:r w:rsidRPr="00172F24">
            <w:rPr>
              <w:rFonts w:ascii="Simplified Arabic" w:hAnsi="Simplified Arabic" w:cs="Simplified Arabic" w:hint="cs"/>
              <w:b/>
              <w:sz w:val="24"/>
              <w:szCs w:val="24"/>
              <w:rtl/>
              <w:lang w:val="en-US" w:bidi="ar-DZ"/>
            </w:rPr>
            <w:t>الحضرية</w:t>
          </w:r>
          <w:r w:rsidR="00583502" w:rsidRPr="00172F24">
            <w:rPr>
              <w:rFonts w:ascii="Simplified Arabic" w:hAnsi="Simplified Arabic" w:cs="Simplified Arabic" w:hint="cs"/>
              <w:b/>
              <w:sz w:val="24"/>
              <w:szCs w:val="24"/>
              <w:rtl/>
              <w:lang w:val="en-US" w:bidi="ar-DZ"/>
            </w:rPr>
            <w:t xml:space="preserve"> بإ</w:t>
          </w:r>
          <w:r w:rsidR="00C73AFF" w:rsidRPr="00172F24">
            <w:rPr>
              <w:rFonts w:ascii="Simplified Arabic" w:hAnsi="Simplified Arabic" w:cs="Simplified Arabic" w:hint="cs"/>
              <w:b/>
              <w:sz w:val="24"/>
              <w:szCs w:val="24"/>
              <w:rtl/>
              <w:lang w:bidi="ar-DZ"/>
            </w:rPr>
            <w:t xml:space="preserve">ظهار تلك السمات المكانية (الكثافة، التنوع، </w:t>
          </w:r>
          <w:r w:rsidR="00583502" w:rsidRPr="00172F24">
            <w:rPr>
              <w:rFonts w:ascii="Simplified Arabic" w:hAnsi="Simplified Arabic" w:cs="Simplified Arabic" w:hint="cs"/>
              <w:b/>
              <w:sz w:val="24"/>
              <w:szCs w:val="24"/>
              <w:rtl/>
              <w:lang w:bidi="ar-DZ"/>
            </w:rPr>
            <w:t>الاتصال</w:t>
          </w:r>
          <w:r w:rsidR="00E43558">
            <w:rPr>
              <w:rFonts w:ascii="Simplified Arabic" w:hAnsi="Simplified Arabic" w:cs="Simplified Arabic" w:hint="cs"/>
              <w:b/>
              <w:sz w:val="24"/>
              <w:szCs w:val="24"/>
              <w:rtl/>
              <w:lang w:bidi="ar-DZ"/>
            </w:rPr>
            <w:t>ية</w:t>
          </w:r>
          <w:r w:rsidR="00583502" w:rsidRPr="00172F24">
            <w:rPr>
              <w:rFonts w:ascii="Simplified Arabic" w:hAnsi="Simplified Arabic" w:cs="Simplified Arabic" w:hint="cs"/>
              <w:b/>
              <w:sz w:val="24"/>
              <w:szCs w:val="24"/>
              <w:rtl/>
              <w:lang w:bidi="ar-DZ"/>
            </w:rPr>
            <w:t xml:space="preserve"> و</w:t>
          </w:r>
          <w:r w:rsidR="00C73AFF" w:rsidRPr="00172F24">
            <w:rPr>
              <w:rFonts w:ascii="Simplified Arabic" w:hAnsi="Simplified Arabic" w:cs="Simplified Arabic" w:hint="cs"/>
              <w:b/>
              <w:sz w:val="24"/>
              <w:szCs w:val="24"/>
              <w:rtl/>
              <w:lang w:bidi="ar-DZ"/>
            </w:rPr>
            <w:t>التكرار)</w:t>
          </w:r>
          <w:r w:rsidR="001F3126" w:rsidRPr="00172F24">
            <w:rPr>
              <w:rFonts w:ascii="Simplified Arabic" w:hAnsi="Simplified Arabic" w:cs="Simplified Arabic" w:hint="cs"/>
              <w:b/>
              <w:sz w:val="24"/>
              <w:szCs w:val="24"/>
              <w:rtl/>
              <w:lang w:bidi="ar-DZ"/>
            </w:rPr>
            <w:t xml:space="preserve"> </w:t>
          </w:r>
          <w:r w:rsidR="00F6138C" w:rsidRPr="00172F24">
            <w:rPr>
              <w:rFonts w:ascii="Simplified Arabic" w:hAnsi="Simplified Arabic" w:cs="Simplified Arabic" w:hint="cs"/>
              <w:b/>
              <w:sz w:val="24"/>
              <w:szCs w:val="24"/>
              <w:rtl/>
              <w:lang w:val="en-US" w:bidi="ar-DZ"/>
            </w:rPr>
            <w:t>لتكوين</w:t>
          </w:r>
          <w:r w:rsidR="00F6138C" w:rsidRPr="00172F24">
            <w:rPr>
              <w:rFonts w:ascii="Simplified Arabic" w:hAnsi="Simplified Arabic" w:cs="Simplified Arabic"/>
              <w:b/>
              <w:sz w:val="24"/>
              <w:szCs w:val="24"/>
              <w:rtl/>
              <w:lang w:val="en-US" w:bidi="ar-DZ"/>
            </w:rPr>
            <w:t xml:space="preserve"> </w:t>
          </w:r>
          <w:r w:rsidR="00F6138C" w:rsidRPr="00172F24">
            <w:rPr>
              <w:rFonts w:ascii="Simplified Arabic" w:hAnsi="Simplified Arabic" w:cs="Simplified Arabic" w:hint="cs"/>
              <w:b/>
              <w:sz w:val="24"/>
              <w:szCs w:val="24"/>
              <w:rtl/>
              <w:lang w:val="en-US" w:bidi="ar-DZ"/>
            </w:rPr>
            <w:t>اماكن</w:t>
          </w:r>
          <w:r w:rsidR="00583502" w:rsidRPr="00172F24">
            <w:rPr>
              <w:rFonts w:ascii="Simplified Arabic" w:hAnsi="Simplified Arabic" w:cs="Simplified Arabic" w:hint="cs"/>
              <w:b/>
              <w:sz w:val="24"/>
              <w:szCs w:val="24"/>
              <w:rtl/>
              <w:lang w:val="en-US" w:bidi="ar-DZ"/>
            </w:rPr>
            <w:t xml:space="preserve"> بمدينة بوسعادة</w:t>
          </w:r>
          <w:r w:rsidR="00F6138C" w:rsidRPr="00172F24">
            <w:rPr>
              <w:rFonts w:ascii="Simplified Arabic" w:hAnsi="Simplified Arabic" w:cs="Simplified Arabic" w:hint="cs"/>
              <w:b/>
              <w:sz w:val="24"/>
              <w:szCs w:val="24"/>
              <w:rtl/>
              <w:lang w:val="en-US" w:bidi="ar-DZ"/>
            </w:rPr>
            <w:t xml:space="preserve"> أكثر</w:t>
          </w:r>
          <w:r w:rsidR="00F6138C" w:rsidRPr="00172F24">
            <w:rPr>
              <w:rFonts w:ascii="Simplified Arabic" w:hAnsi="Simplified Arabic" w:cs="Simplified Arabic"/>
              <w:b/>
              <w:sz w:val="24"/>
              <w:szCs w:val="24"/>
              <w:rtl/>
              <w:lang w:val="en-US" w:bidi="ar-DZ"/>
            </w:rPr>
            <w:t xml:space="preserve"> </w:t>
          </w:r>
          <w:r w:rsidR="00F6138C" w:rsidRPr="00172F24">
            <w:rPr>
              <w:rFonts w:ascii="Simplified Arabic" w:hAnsi="Simplified Arabic" w:cs="Simplified Arabic" w:hint="cs"/>
              <w:b/>
              <w:sz w:val="24"/>
              <w:szCs w:val="24"/>
              <w:rtl/>
              <w:lang w:val="en-US" w:bidi="ar-DZ"/>
            </w:rPr>
            <w:t>مرونة</w:t>
          </w:r>
          <w:r w:rsidR="00763281" w:rsidRPr="00172F24">
            <w:rPr>
              <w:rFonts w:ascii="Simplified Arabic" w:hAnsi="Simplified Arabic" w:cs="Simplified Arabic" w:hint="cs"/>
              <w:b/>
              <w:sz w:val="24"/>
              <w:szCs w:val="24"/>
              <w:rtl/>
              <w:lang w:val="en-US" w:bidi="ar-DZ"/>
            </w:rPr>
            <w:t xml:space="preserve"> تظهر الكثير من القدرات على الاستجابة والتكيّف اثناء الاضطراب</w:t>
          </w:r>
          <w:r w:rsidR="00F6138C" w:rsidRPr="00172F24">
            <w:rPr>
              <w:rFonts w:ascii="Simplified Arabic" w:hAnsi="Simplified Arabic" w:cs="Simplified Arabic" w:hint="cs"/>
              <w:b/>
              <w:sz w:val="24"/>
              <w:szCs w:val="24"/>
              <w:rtl/>
              <w:lang w:val="en-US" w:bidi="ar-DZ"/>
            </w:rPr>
            <w:t>.</w:t>
          </w:r>
        </w:p>
        <w:p w:rsidR="001355C5" w:rsidRDefault="001355C5" w:rsidP="005D6ACF">
          <w:pPr>
            <w:bidi/>
            <w:spacing w:before="240" w:after="0" w:line="240" w:lineRule="auto"/>
            <w:rPr>
              <w:rFonts w:ascii="Simplified Arabic" w:hAnsi="Simplified Arabic" w:cs="Simplified Arabic"/>
              <w:b/>
              <w:bCs/>
              <w:sz w:val="24"/>
              <w:szCs w:val="24"/>
              <w:lang w:val="en-US"/>
            </w:rPr>
          </w:pPr>
        </w:p>
        <w:p w:rsidR="008F43FA" w:rsidRPr="00630334" w:rsidRDefault="008F43FA" w:rsidP="001355C5">
          <w:pPr>
            <w:bidi/>
            <w:spacing w:before="240" w:after="0" w:line="240" w:lineRule="auto"/>
            <w:rPr>
              <w:rFonts w:ascii="Simplified Arabic" w:hAnsi="Simplified Arabic" w:cs="Simplified Arabic"/>
              <w:sz w:val="24"/>
              <w:szCs w:val="24"/>
              <w:lang w:val="en-US" w:bidi="ar-DZ"/>
            </w:rPr>
          </w:pPr>
          <w:r w:rsidRPr="00630334">
            <w:rPr>
              <w:rFonts w:ascii="Simplified Arabic" w:hAnsi="Simplified Arabic" w:cs="Simplified Arabic"/>
              <w:b/>
              <w:bCs/>
              <w:sz w:val="24"/>
              <w:szCs w:val="24"/>
              <w:rtl/>
              <w:lang w:val="en-US"/>
            </w:rPr>
            <w:t>الكلمات المفتاحية</w:t>
          </w:r>
          <w:r w:rsidRPr="00630334">
            <w:rPr>
              <w:rFonts w:ascii="Simplified Arabic" w:hAnsi="Simplified Arabic" w:cs="Simplified Arabic"/>
              <w:sz w:val="24"/>
              <w:szCs w:val="24"/>
              <w:rtl/>
              <w:lang w:val="en-US"/>
            </w:rPr>
            <w:t xml:space="preserve">: </w:t>
          </w:r>
          <w:r w:rsidR="00AB165A" w:rsidRPr="00630334">
            <w:rPr>
              <w:rFonts w:ascii="Simplified Arabic" w:hAnsi="Simplified Arabic" w:cs="Simplified Arabic" w:hint="cs"/>
              <w:sz w:val="24"/>
              <w:szCs w:val="24"/>
              <w:rtl/>
              <w:lang w:bidi="ar-DZ"/>
            </w:rPr>
            <w:t>ال</w:t>
          </w:r>
          <w:r w:rsidR="00AB165A" w:rsidRPr="00630334">
            <w:rPr>
              <w:rFonts w:ascii="Simplified Arabic" w:hAnsi="Simplified Arabic" w:cs="Simplified Arabic"/>
              <w:sz w:val="24"/>
              <w:szCs w:val="24"/>
              <w:rtl/>
              <w:lang w:val="en-US"/>
            </w:rPr>
            <w:t>مرونة</w:t>
          </w:r>
          <w:r w:rsidR="00AB165A" w:rsidRPr="00630334">
            <w:rPr>
              <w:rFonts w:ascii="Simplified Arabic" w:hAnsi="Simplified Arabic" w:cs="Simplified Arabic" w:hint="cs"/>
              <w:sz w:val="24"/>
              <w:szCs w:val="24"/>
              <w:rtl/>
              <w:lang w:val="en-US"/>
            </w:rPr>
            <w:t>، استعمالات الارض</w:t>
          </w:r>
          <w:r w:rsidR="00DE72CF">
            <w:rPr>
              <w:rFonts w:ascii="Simplified Arabic" w:hAnsi="Simplified Arabic" w:cs="Simplified Arabic" w:hint="cs"/>
              <w:sz w:val="24"/>
              <w:szCs w:val="24"/>
              <w:rtl/>
              <w:lang w:val="en-US" w:bidi="ar-DZ"/>
            </w:rPr>
            <w:t xml:space="preserve"> الحضرية</w:t>
          </w:r>
          <w:r w:rsidR="00AB165A" w:rsidRPr="00630334">
            <w:rPr>
              <w:rFonts w:ascii="Simplified Arabic" w:hAnsi="Simplified Arabic" w:cs="Simplified Arabic" w:hint="cs"/>
              <w:sz w:val="24"/>
              <w:szCs w:val="24"/>
              <w:rtl/>
              <w:lang w:val="en-US"/>
            </w:rPr>
            <w:t>،</w:t>
          </w:r>
          <w:r w:rsidR="00AB165A" w:rsidRPr="00630334">
            <w:rPr>
              <w:rFonts w:ascii="Simplified Arabic" w:hAnsi="Simplified Arabic" w:cs="Simplified Arabic" w:hint="cs"/>
              <w:sz w:val="24"/>
              <w:szCs w:val="24"/>
              <w:rtl/>
              <w:lang w:val="en-US" w:bidi="ar-DZ"/>
            </w:rPr>
            <w:t xml:space="preserve"> </w:t>
          </w:r>
          <w:r w:rsidR="00AB165A" w:rsidRPr="00630334">
            <w:rPr>
              <w:rFonts w:ascii="Simplified Arabic" w:hAnsi="Simplified Arabic" w:cs="Simplified Arabic" w:hint="cs"/>
              <w:sz w:val="24"/>
              <w:szCs w:val="24"/>
              <w:rtl/>
              <w:lang w:val="en-US"/>
            </w:rPr>
            <w:t>النسيج الحضري</w:t>
          </w:r>
          <w:r w:rsidRPr="00630334">
            <w:rPr>
              <w:rFonts w:ascii="Simplified Arabic" w:hAnsi="Simplified Arabic" w:cs="Simplified Arabic" w:hint="cs"/>
              <w:sz w:val="24"/>
              <w:szCs w:val="24"/>
              <w:rtl/>
              <w:lang w:bidi="ar-DZ"/>
            </w:rPr>
            <w:t>،</w:t>
          </w:r>
          <w:r w:rsidRPr="00630334">
            <w:rPr>
              <w:rFonts w:ascii="Simplified Arabic" w:hAnsi="Simplified Arabic" w:cs="Simplified Arabic"/>
              <w:sz w:val="24"/>
              <w:szCs w:val="24"/>
              <w:rtl/>
              <w:lang w:bidi="ar-DZ"/>
            </w:rPr>
            <w:t xml:space="preserve"> </w:t>
          </w:r>
          <w:r w:rsidR="00AB165A" w:rsidRPr="00630334">
            <w:rPr>
              <w:rFonts w:ascii="Simplified Arabic" w:hAnsi="Simplified Arabic" w:cs="Simplified Arabic" w:hint="cs"/>
              <w:sz w:val="24"/>
              <w:szCs w:val="24"/>
              <w:rtl/>
              <w:lang w:val="en-US" w:bidi="ar-DZ"/>
            </w:rPr>
            <w:t>المرونة</w:t>
          </w:r>
          <w:r w:rsidR="005D6ACF">
            <w:rPr>
              <w:rFonts w:ascii="Simplified Arabic" w:hAnsi="Simplified Arabic" w:cs="Simplified Arabic" w:hint="cs"/>
              <w:sz w:val="24"/>
              <w:szCs w:val="24"/>
              <w:rtl/>
              <w:lang w:val="en-US" w:bidi="ar-DZ"/>
            </w:rPr>
            <w:t xml:space="preserve"> المكانية</w:t>
          </w:r>
          <w:r w:rsidRPr="00630334">
            <w:rPr>
              <w:rFonts w:ascii="Simplified Arabic" w:hAnsi="Simplified Arabic" w:cs="Simplified Arabic" w:hint="cs"/>
              <w:sz w:val="24"/>
              <w:szCs w:val="24"/>
              <w:rtl/>
              <w:lang w:val="en-US"/>
            </w:rPr>
            <w:t>،</w:t>
          </w:r>
          <w:r w:rsidRPr="00630334">
            <w:rPr>
              <w:rFonts w:ascii="Simplified Arabic" w:hAnsi="Simplified Arabic" w:cs="Simplified Arabic"/>
              <w:sz w:val="24"/>
              <w:szCs w:val="24"/>
              <w:rtl/>
              <w:lang w:val="en-US"/>
            </w:rPr>
            <w:t xml:space="preserve"> </w:t>
          </w:r>
          <w:r w:rsidR="00281952" w:rsidRPr="00630334">
            <w:rPr>
              <w:rFonts w:ascii="Simplified Arabic" w:hAnsi="Simplified Arabic" w:cs="Simplified Arabic"/>
              <w:sz w:val="24"/>
              <w:szCs w:val="24"/>
              <w:rtl/>
              <w:lang w:val="en-US" w:bidi="ar-DZ"/>
            </w:rPr>
            <w:t>بوسعادة</w:t>
          </w:r>
          <w:r w:rsidR="00281952" w:rsidRPr="00630334">
            <w:rPr>
              <w:rFonts w:ascii="Simplified Arabic" w:hAnsi="Simplified Arabic" w:cs="Simplified Arabic" w:hint="cs"/>
              <w:sz w:val="24"/>
              <w:szCs w:val="24"/>
              <w:rtl/>
              <w:lang w:val="en-US" w:bidi="ar-DZ"/>
            </w:rPr>
            <w:t>.</w:t>
          </w:r>
        </w:p>
        <w:p w:rsidR="00C73AFF" w:rsidRDefault="00C73AFF" w:rsidP="003B18D2">
          <w:pPr>
            <w:bidi/>
            <w:spacing w:after="0"/>
            <w:ind w:firstLine="284"/>
            <w:jc w:val="both"/>
            <w:rPr>
              <w:rFonts w:asciiTheme="majorBidi" w:hAnsiTheme="majorBidi" w:cstheme="majorBidi"/>
              <w:sz w:val="24"/>
              <w:szCs w:val="24"/>
              <w:rtl/>
              <w:lang w:val="en-US" w:bidi="ar-DZ"/>
            </w:rPr>
          </w:pPr>
        </w:p>
        <w:p w:rsidR="001F3126" w:rsidRDefault="001F3126" w:rsidP="001F3126">
          <w:pPr>
            <w:bidi/>
            <w:spacing w:after="0"/>
            <w:ind w:firstLine="284"/>
            <w:jc w:val="both"/>
            <w:rPr>
              <w:rFonts w:asciiTheme="majorBidi" w:hAnsiTheme="majorBidi" w:cstheme="majorBidi"/>
              <w:sz w:val="24"/>
              <w:szCs w:val="24"/>
              <w:lang w:val="en-US" w:bidi="ar-DZ"/>
            </w:rPr>
          </w:pPr>
        </w:p>
        <w:p w:rsidR="00642F89" w:rsidRDefault="00642F89" w:rsidP="00642F89">
          <w:pPr>
            <w:bidi/>
            <w:spacing w:after="0"/>
            <w:ind w:firstLine="284"/>
            <w:jc w:val="both"/>
            <w:rPr>
              <w:rFonts w:asciiTheme="majorBidi" w:hAnsiTheme="majorBidi" w:cstheme="majorBidi"/>
              <w:sz w:val="24"/>
              <w:szCs w:val="24"/>
              <w:lang w:val="en-US" w:bidi="ar-DZ"/>
            </w:rPr>
          </w:pPr>
        </w:p>
        <w:p w:rsidR="00642F89" w:rsidRDefault="00642F89" w:rsidP="00642F89">
          <w:pPr>
            <w:bidi/>
            <w:spacing w:after="0"/>
            <w:ind w:firstLine="284"/>
            <w:jc w:val="both"/>
            <w:rPr>
              <w:rFonts w:asciiTheme="majorBidi" w:hAnsiTheme="majorBidi" w:cstheme="majorBidi"/>
              <w:sz w:val="24"/>
              <w:szCs w:val="24"/>
              <w:rtl/>
              <w:lang w:val="en-US" w:bidi="ar-DZ"/>
            </w:rPr>
          </w:pPr>
        </w:p>
        <w:p w:rsidR="001F3126" w:rsidRDefault="001F3126" w:rsidP="001F3126">
          <w:pPr>
            <w:bidi/>
            <w:spacing w:after="0"/>
            <w:ind w:firstLine="284"/>
            <w:jc w:val="both"/>
            <w:rPr>
              <w:rFonts w:asciiTheme="majorBidi" w:hAnsiTheme="majorBidi" w:cstheme="majorBidi"/>
              <w:sz w:val="24"/>
              <w:szCs w:val="24"/>
              <w:rtl/>
              <w:lang w:val="en-US" w:bidi="ar-DZ"/>
            </w:rPr>
          </w:pPr>
        </w:p>
        <w:p w:rsidR="001F3126" w:rsidRPr="00063AB9" w:rsidRDefault="001F3126" w:rsidP="00701356">
          <w:pPr>
            <w:outlineLvl w:val="0"/>
            <w:rPr>
              <w:rFonts w:asciiTheme="majorBidi" w:eastAsia="Dotum" w:hAnsiTheme="majorBidi" w:cstheme="majorBidi"/>
              <w:b/>
              <w:bCs/>
              <w:sz w:val="28"/>
              <w:szCs w:val="28"/>
              <w:rtl/>
              <w:lang w:val="en-US" w:bidi="ar-DZ"/>
            </w:rPr>
          </w:pPr>
          <w:bookmarkStart w:id="6" w:name="_Toc171803273"/>
          <w:r w:rsidRPr="00063AB9">
            <w:rPr>
              <w:rFonts w:asciiTheme="majorBidi" w:eastAsia="Dotum" w:hAnsiTheme="majorBidi" w:cstheme="majorBidi"/>
              <w:b/>
              <w:bCs/>
              <w:sz w:val="28"/>
              <w:szCs w:val="28"/>
              <w:lang w:val="en-US" w:bidi="ar-DZ"/>
            </w:rPr>
            <w:lastRenderedPageBreak/>
            <w:t>Abstract</w:t>
          </w:r>
          <w:bookmarkEnd w:id="6"/>
        </w:p>
        <w:p w:rsidR="00A655D1" w:rsidRPr="00C002E4" w:rsidRDefault="006C4B84" w:rsidP="00C002E4">
          <w:pPr>
            <w:spacing w:before="240" w:line="240" w:lineRule="auto"/>
            <w:ind w:firstLine="284"/>
            <w:jc w:val="both"/>
            <w:rPr>
              <w:rFonts w:asciiTheme="majorBidi" w:hAnsiTheme="majorBidi" w:cstheme="majorBidi"/>
              <w:sz w:val="24"/>
              <w:szCs w:val="24"/>
              <w:lang w:val="en-US" w:bidi="ar-DZ"/>
            </w:rPr>
          </w:pPr>
          <w:r w:rsidRPr="006C4B84">
            <w:rPr>
              <w:rFonts w:asciiTheme="majorBidi" w:hAnsiTheme="majorBidi" w:cstheme="majorBidi"/>
              <w:sz w:val="24"/>
              <w:szCs w:val="24"/>
              <w:lang w:val="en-US" w:bidi="ar-DZ"/>
            </w:rPr>
            <w:t>In the context of the negative climate change situations, the concept of resilience has received the attention of both academics and policymakers to improve the resilience of cities</w:t>
          </w:r>
          <w:r w:rsidR="005C1DE7" w:rsidRPr="006C4B84">
            <w:rPr>
              <w:rFonts w:asciiTheme="majorBidi" w:hAnsiTheme="majorBidi" w:cstheme="majorBidi"/>
              <w:sz w:val="24"/>
              <w:szCs w:val="24"/>
              <w:lang w:val="en-US" w:bidi="ar-DZ"/>
            </w:rPr>
            <w:t xml:space="preserve">. </w:t>
          </w:r>
          <w:r w:rsidR="00642F89" w:rsidRPr="006C4B84">
            <w:rPr>
              <w:rFonts w:asciiTheme="majorBidi" w:hAnsiTheme="majorBidi" w:cstheme="majorBidi"/>
              <w:sz w:val="24"/>
              <w:szCs w:val="24"/>
              <w:lang w:val="en-US" w:bidi="ar-DZ"/>
            </w:rPr>
            <w:t xml:space="preserve">So this research tries to answer the following question: </w:t>
          </w:r>
          <w:r w:rsidR="00C002E4" w:rsidRPr="00C002E4">
            <w:rPr>
              <w:rFonts w:asciiTheme="majorBidi" w:hAnsiTheme="majorBidi" w:cstheme="majorBidi"/>
              <w:sz w:val="24"/>
              <w:szCs w:val="24"/>
              <w:lang w:val="en-US" w:bidi="ar-DZ"/>
            </w:rPr>
            <w:t xml:space="preserve">To what extent can the spatial distribution pattern of urban land use affect the resilience levels of the city of </w:t>
          </w:r>
          <w:r w:rsidR="00C002E4" w:rsidRPr="006C4B84">
            <w:rPr>
              <w:rFonts w:asciiTheme="majorBidi" w:hAnsiTheme="majorBidi" w:cstheme="majorBidi"/>
              <w:sz w:val="24"/>
              <w:szCs w:val="24"/>
              <w:lang w:val="en-US" w:bidi="ar-DZ"/>
            </w:rPr>
            <w:t>Bou-Saâda</w:t>
          </w:r>
          <w:r w:rsidR="00C002E4" w:rsidRPr="00C002E4">
            <w:rPr>
              <w:rFonts w:asciiTheme="majorBidi" w:hAnsiTheme="majorBidi" w:cstheme="majorBidi"/>
              <w:sz w:val="24"/>
              <w:szCs w:val="24"/>
              <w:lang w:val="en-US" w:bidi="ar-DZ"/>
            </w:rPr>
            <w:t>?</w:t>
          </w:r>
        </w:p>
        <w:p w:rsidR="00C002E4" w:rsidRDefault="00642F89" w:rsidP="00C002E4">
          <w:pPr>
            <w:spacing w:before="240" w:line="240" w:lineRule="auto"/>
            <w:ind w:firstLine="284"/>
            <w:jc w:val="both"/>
            <w:rPr>
              <w:rFonts w:asciiTheme="majorBidi" w:hAnsiTheme="majorBidi" w:cstheme="majorBidi"/>
              <w:sz w:val="24"/>
              <w:szCs w:val="24"/>
              <w:lang w:val="en-US" w:bidi="ar-DZ"/>
            </w:rPr>
          </w:pPr>
          <w:r w:rsidRPr="006C4B84">
            <w:rPr>
              <w:rFonts w:asciiTheme="majorBidi" w:hAnsiTheme="majorBidi" w:cstheme="majorBidi"/>
              <w:sz w:val="24"/>
              <w:szCs w:val="24"/>
              <w:lang w:val="en-US" w:bidi="ar-DZ"/>
            </w:rPr>
            <w:t xml:space="preserve">The research assumes that the assessment of resilience levels is a city of </w:t>
          </w:r>
          <w:r w:rsidR="00A655D1" w:rsidRPr="006C4B84">
            <w:rPr>
              <w:rFonts w:asciiTheme="majorBidi" w:hAnsiTheme="majorBidi" w:cstheme="majorBidi"/>
              <w:sz w:val="24"/>
              <w:szCs w:val="24"/>
              <w:lang w:val="en-US" w:bidi="ar-DZ"/>
            </w:rPr>
            <w:t>Bou-Saâda</w:t>
          </w:r>
          <w:r w:rsidRPr="006C4B84">
            <w:rPr>
              <w:rFonts w:asciiTheme="majorBidi" w:hAnsiTheme="majorBidi" w:cstheme="majorBidi"/>
              <w:sz w:val="24"/>
              <w:szCs w:val="24"/>
              <w:lang w:val="en-US" w:bidi="ar-DZ"/>
            </w:rPr>
            <w:t>, including an examination of a set of criteria relevant to the elements of the urban environment.</w:t>
          </w:r>
          <w:r w:rsidR="00E35AF9" w:rsidRPr="006C4B84">
            <w:rPr>
              <w:rFonts w:asciiTheme="majorBidi" w:hAnsiTheme="majorBidi" w:cstheme="majorBidi"/>
              <w:sz w:val="24"/>
              <w:szCs w:val="24"/>
              <w:lang w:val="en-US" w:bidi="ar-DZ"/>
            </w:rPr>
            <w:t xml:space="preserve"> Investigating the perceptions of the local population about the troubles in accessing the service allows for a higher level of the city's resilience.</w:t>
          </w:r>
          <w:r w:rsidR="00834F52" w:rsidRPr="006C4B84">
            <w:rPr>
              <w:rFonts w:asciiTheme="majorBidi" w:hAnsiTheme="majorBidi" w:cstheme="majorBidi"/>
              <w:sz w:val="24"/>
              <w:szCs w:val="24"/>
              <w:lang w:val="en-US" w:bidi="ar-DZ"/>
            </w:rPr>
            <w:t xml:space="preserve"> The higher the numerical values of the spatial resilience characteristics of the urban tissues of the city of Bou-Saâda, the more spatial adaptation capacity is available for the living.</w:t>
          </w:r>
          <w:r w:rsidR="00C002E4">
            <w:rPr>
              <w:rFonts w:asciiTheme="majorBidi" w:hAnsiTheme="majorBidi" w:cstheme="majorBidi"/>
              <w:sz w:val="24"/>
              <w:szCs w:val="24"/>
              <w:lang w:val="en-US" w:bidi="ar-DZ"/>
            </w:rPr>
            <w:t xml:space="preserve"> </w:t>
          </w:r>
          <w:r w:rsidR="00834F52" w:rsidRPr="006C4B84">
            <w:rPr>
              <w:rFonts w:asciiTheme="majorBidi" w:hAnsiTheme="majorBidi" w:cstheme="majorBidi"/>
              <w:sz w:val="24"/>
              <w:szCs w:val="24"/>
              <w:lang w:val="en-US" w:bidi="ar-DZ"/>
            </w:rPr>
            <w:t xml:space="preserve">In order to verify the hypotheses, </w:t>
          </w:r>
          <w:r w:rsidR="00ED7571" w:rsidRPr="006C4B84">
            <w:rPr>
              <w:rFonts w:asciiTheme="majorBidi" w:hAnsiTheme="majorBidi" w:cstheme="majorBidi"/>
              <w:sz w:val="24"/>
              <w:szCs w:val="24"/>
              <w:lang w:val="en-US" w:bidi="ar-DZ"/>
            </w:rPr>
            <w:t xml:space="preserve">an </w:t>
          </w:r>
          <w:r w:rsidR="00ED7571" w:rsidRPr="00C002E4">
            <w:rPr>
              <w:rFonts w:asciiTheme="majorBidi" w:hAnsiTheme="majorBidi" w:cstheme="majorBidi"/>
              <w:sz w:val="24"/>
              <w:szCs w:val="24"/>
              <w:lang w:val="en-US" w:bidi="ar-DZ"/>
            </w:rPr>
            <w:t xml:space="preserve">inductive </w:t>
          </w:r>
          <w:r w:rsidR="00ED7571" w:rsidRPr="006C4B84">
            <w:rPr>
              <w:rFonts w:asciiTheme="majorBidi" w:hAnsiTheme="majorBidi" w:cstheme="majorBidi"/>
              <w:sz w:val="24"/>
              <w:szCs w:val="24"/>
              <w:lang w:val="en-US" w:bidi="ar-DZ"/>
            </w:rPr>
            <w:t>and participatory method was</w:t>
          </w:r>
          <w:r w:rsidR="00834F52" w:rsidRPr="006C4B84">
            <w:rPr>
              <w:rFonts w:asciiTheme="majorBidi" w:hAnsiTheme="majorBidi" w:cstheme="majorBidi"/>
              <w:sz w:val="24"/>
              <w:szCs w:val="24"/>
              <w:lang w:val="en-US" w:bidi="ar-DZ"/>
            </w:rPr>
            <w:t xml:space="preserve"> used. </w:t>
          </w:r>
        </w:p>
        <w:p w:rsidR="00A665E5" w:rsidRPr="006C4B84" w:rsidRDefault="00834F52" w:rsidP="00C002E4">
          <w:pPr>
            <w:spacing w:before="240" w:line="240" w:lineRule="auto"/>
            <w:ind w:firstLine="284"/>
            <w:jc w:val="both"/>
            <w:rPr>
              <w:rFonts w:asciiTheme="majorBidi" w:hAnsiTheme="majorBidi" w:cstheme="majorBidi"/>
              <w:sz w:val="24"/>
              <w:szCs w:val="24"/>
              <w:lang w:val="en-US" w:bidi="ar-DZ"/>
            </w:rPr>
          </w:pPr>
          <w:r w:rsidRPr="006C4B84">
            <w:rPr>
              <w:rFonts w:asciiTheme="majorBidi" w:hAnsiTheme="majorBidi" w:cstheme="majorBidi"/>
              <w:sz w:val="24"/>
              <w:szCs w:val="24"/>
              <w:lang w:val="en-US" w:bidi="ar-DZ"/>
            </w:rPr>
            <w:t xml:space="preserve">Based on an examination of a set of criteria, the results of the assessment map of the resilience levels of the city of </w:t>
          </w:r>
          <w:r w:rsidR="002C4C23" w:rsidRPr="006C4B84">
            <w:rPr>
              <w:rFonts w:asciiTheme="majorBidi" w:hAnsiTheme="majorBidi" w:cstheme="majorBidi"/>
              <w:sz w:val="24"/>
              <w:szCs w:val="24"/>
              <w:lang w:val="en-US" w:bidi="ar-DZ"/>
            </w:rPr>
            <w:t xml:space="preserve">Bou-Saâda </w:t>
          </w:r>
          <w:r w:rsidRPr="006C4B84">
            <w:rPr>
              <w:rFonts w:asciiTheme="majorBidi" w:hAnsiTheme="majorBidi" w:cstheme="majorBidi"/>
              <w:sz w:val="24"/>
              <w:szCs w:val="24"/>
              <w:lang w:val="en-US" w:bidi="ar-DZ"/>
            </w:rPr>
            <w:t xml:space="preserve">showed </w:t>
          </w:r>
          <w:r w:rsidR="002C4C23" w:rsidRPr="006C4B84">
            <w:rPr>
              <w:rFonts w:asciiTheme="majorBidi" w:hAnsiTheme="majorBidi" w:cstheme="majorBidi"/>
              <w:sz w:val="24"/>
              <w:szCs w:val="24"/>
              <w:lang w:val="en-US" w:bidi="ar-DZ"/>
            </w:rPr>
            <w:t>for non-resilient neighborhoods</w:t>
          </w:r>
          <w:r w:rsidRPr="006C4B84">
            <w:rPr>
              <w:rFonts w:asciiTheme="majorBidi" w:hAnsiTheme="majorBidi" w:cstheme="majorBidi"/>
              <w:sz w:val="24"/>
              <w:szCs w:val="24"/>
              <w:lang w:val="en-US" w:bidi="ar-DZ"/>
            </w:rPr>
            <w:t xml:space="preserve"> is</w:t>
          </w:r>
          <w:r w:rsidR="002C4C23" w:rsidRPr="006C4B84">
            <w:rPr>
              <w:rFonts w:asciiTheme="majorBidi" w:hAnsiTheme="majorBidi" w:cstheme="majorBidi"/>
              <w:sz w:val="24"/>
              <w:szCs w:val="24"/>
              <w:lang w:val="en-US" w:bidi="ar-DZ"/>
            </w:rPr>
            <w:t xml:space="preserve">: (Al-Hameyd, Al-Baten, Sidi Slimane and Maytar). </w:t>
          </w:r>
          <w:r w:rsidR="00D55247" w:rsidRPr="006C4B84">
            <w:rPr>
              <w:rFonts w:asciiTheme="majorBidi" w:hAnsiTheme="majorBidi" w:cstheme="majorBidi"/>
              <w:sz w:val="24"/>
              <w:szCs w:val="24"/>
              <w:lang w:val="en-US" w:bidi="ar-DZ"/>
            </w:rPr>
            <w:t xml:space="preserve">It is important to investigate the perceptions of the local population about the disruption of access to services for non-resistant neighborhoods. </w:t>
          </w:r>
          <w:r w:rsidR="002C4C23" w:rsidRPr="006C4B84">
            <w:rPr>
              <w:rFonts w:asciiTheme="majorBidi" w:hAnsiTheme="majorBidi" w:cstheme="majorBidi"/>
              <w:sz w:val="24"/>
              <w:szCs w:val="24"/>
              <w:lang w:val="en-US" w:bidi="ar-DZ"/>
            </w:rPr>
            <w:t xml:space="preserve">The results of the investigation showed that they lacked the security </w:t>
          </w:r>
          <w:r w:rsidR="00D55247" w:rsidRPr="006C4B84">
            <w:rPr>
              <w:rFonts w:asciiTheme="majorBidi" w:hAnsiTheme="majorBidi" w:cstheme="majorBidi"/>
              <w:sz w:val="24"/>
              <w:szCs w:val="24"/>
              <w:lang w:val="en-US" w:bidi="ar-DZ"/>
            </w:rPr>
            <w:t>centers</w:t>
          </w:r>
          <w:r w:rsidR="002C4C23" w:rsidRPr="006C4B84">
            <w:rPr>
              <w:rFonts w:asciiTheme="majorBidi" w:hAnsiTheme="majorBidi" w:cstheme="majorBidi"/>
              <w:sz w:val="24"/>
              <w:szCs w:val="24"/>
              <w:lang w:val="en-US" w:bidi="ar-DZ"/>
            </w:rPr>
            <w:t xml:space="preserve"> and medical care </w:t>
          </w:r>
          <w:r w:rsidR="00D55247" w:rsidRPr="006C4B84">
            <w:rPr>
              <w:rFonts w:asciiTheme="majorBidi" w:hAnsiTheme="majorBidi" w:cstheme="majorBidi"/>
              <w:sz w:val="24"/>
              <w:szCs w:val="24"/>
              <w:lang w:val="en-US" w:bidi="ar-DZ"/>
            </w:rPr>
            <w:t>centers</w:t>
          </w:r>
          <w:r w:rsidR="002C4C23" w:rsidRPr="006C4B84">
            <w:rPr>
              <w:rFonts w:asciiTheme="majorBidi" w:hAnsiTheme="majorBidi" w:cstheme="majorBidi"/>
              <w:sz w:val="24"/>
              <w:szCs w:val="24"/>
              <w:lang w:val="en-US" w:bidi="ar-DZ"/>
            </w:rPr>
            <w:t xml:space="preserve"> that, in the view of Delphi experts, were important criteria in raising resilience, thus enhancing the efficiency of decision-making.</w:t>
          </w:r>
          <w:r w:rsidR="00FE70A2" w:rsidRPr="006C4B84">
            <w:rPr>
              <w:rFonts w:asciiTheme="majorBidi" w:hAnsiTheme="majorBidi" w:cstheme="majorBidi"/>
              <w:sz w:val="24"/>
              <w:szCs w:val="24"/>
              <w:lang w:val="en-US" w:bidi="ar-DZ"/>
            </w:rPr>
            <w:t xml:space="preserve"> </w:t>
          </w:r>
          <w:r w:rsidR="00A665E5" w:rsidRPr="006C4B84">
            <w:rPr>
              <w:rFonts w:asciiTheme="majorBidi" w:hAnsiTheme="majorBidi" w:cstheme="majorBidi"/>
              <w:sz w:val="24"/>
              <w:szCs w:val="24"/>
              <w:lang w:val="en-US" w:bidi="ar-DZ"/>
            </w:rPr>
            <w:t xml:space="preserve">The results of analysis a spatial resilience characteristics </w:t>
          </w:r>
          <w:r w:rsidR="00A665E5" w:rsidRPr="009540C1">
            <w:rPr>
              <w:rFonts w:asciiTheme="majorBidi" w:hAnsiTheme="majorBidi" w:cstheme="majorBidi"/>
              <w:sz w:val="24"/>
              <w:szCs w:val="24"/>
              <w:u w:val="single"/>
              <w:lang w:val="en-US" w:bidi="ar-DZ"/>
            </w:rPr>
            <w:t>in terms of density</w:t>
          </w:r>
          <w:r w:rsidR="00A665E5" w:rsidRPr="009540C1">
            <w:rPr>
              <w:rFonts w:asciiTheme="majorBidi" w:hAnsiTheme="majorBidi" w:cstheme="majorBidi"/>
              <w:sz w:val="24"/>
              <w:szCs w:val="24"/>
              <w:lang w:val="en-US" w:bidi="ar-DZ"/>
            </w:rPr>
            <w:t>, a residential neighborhoods for the urban tissue category (b, c, d) has a better spatial adaptation capacity than the urban tissue category (a)</w:t>
          </w:r>
          <w:r w:rsidR="00FE70A2" w:rsidRPr="009540C1">
            <w:rPr>
              <w:rFonts w:asciiTheme="majorBidi" w:hAnsiTheme="majorBidi" w:cstheme="majorBidi"/>
              <w:sz w:val="24"/>
              <w:szCs w:val="24"/>
              <w:lang w:val="en-US" w:bidi="ar-DZ"/>
            </w:rPr>
            <w:t xml:space="preserve">, </w:t>
          </w:r>
          <w:r w:rsidR="00A665E5" w:rsidRPr="009540C1">
            <w:rPr>
              <w:rFonts w:asciiTheme="majorBidi" w:hAnsiTheme="majorBidi" w:cstheme="majorBidi"/>
              <w:sz w:val="24"/>
              <w:szCs w:val="24"/>
              <w:u w:val="single"/>
              <w:lang w:val="en-US" w:bidi="ar-DZ"/>
            </w:rPr>
            <w:t>In terms of diversity</w:t>
          </w:r>
          <w:r w:rsidR="00A665E5" w:rsidRPr="009540C1">
            <w:rPr>
              <w:rFonts w:asciiTheme="majorBidi" w:hAnsiTheme="majorBidi" w:cstheme="majorBidi"/>
              <w:sz w:val="24"/>
              <w:szCs w:val="24"/>
              <w:lang w:val="en-US" w:bidi="ar-DZ"/>
            </w:rPr>
            <w:t>, the Al</w:t>
          </w:r>
          <w:r w:rsidR="00FE70A2" w:rsidRPr="009540C1">
            <w:rPr>
              <w:rFonts w:asciiTheme="majorBidi" w:hAnsiTheme="majorBidi" w:cstheme="majorBidi"/>
              <w:sz w:val="24"/>
              <w:szCs w:val="24"/>
              <w:lang w:val="en-US" w:bidi="ar-DZ"/>
            </w:rPr>
            <w:t>-</w:t>
          </w:r>
          <w:r w:rsidR="00A665E5" w:rsidRPr="009540C1">
            <w:rPr>
              <w:rFonts w:asciiTheme="majorBidi" w:hAnsiTheme="majorBidi" w:cstheme="majorBidi"/>
              <w:sz w:val="24"/>
              <w:szCs w:val="24"/>
              <w:lang w:val="en-US" w:bidi="ar-DZ"/>
            </w:rPr>
            <w:t xml:space="preserve">Qasr neighborhood in the urban tissue category (a) and the Plato </w:t>
          </w:r>
          <w:r w:rsidR="00FE70A2" w:rsidRPr="009540C1">
            <w:rPr>
              <w:rFonts w:asciiTheme="majorBidi" w:hAnsiTheme="majorBidi" w:cstheme="majorBidi"/>
              <w:sz w:val="24"/>
              <w:szCs w:val="24"/>
              <w:lang w:val="en-US" w:bidi="ar-DZ"/>
            </w:rPr>
            <w:t xml:space="preserve">neighborhood in the urban tissue category </w:t>
          </w:r>
          <w:r w:rsidR="00A665E5" w:rsidRPr="009540C1">
            <w:rPr>
              <w:rFonts w:asciiTheme="majorBidi" w:hAnsiTheme="majorBidi" w:cstheme="majorBidi"/>
              <w:sz w:val="24"/>
              <w:szCs w:val="24"/>
              <w:lang w:val="en-US" w:bidi="ar-DZ"/>
            </w:rPr>
            <w:t xml:space="preserve">(b) received a high degree of diversity of facilities, giving them a better spatial adaptation capacity than the urban </w:t>
          </w:r>
          <w:r w:rsidR="005D6ACF" w:rsidRPr="009540C1">
            <w:rPr>
              <w:rFonts w:asciiTheme="majorBidi" w:hAnsiTheme="majorBidi" w:cstheme="majorBidi"/>
              <w:sz w:val="24"/>
              <w:szCs w:val="24"/>
              <w:lang w:val="en-US" w:bidi="ar-DZ"/>
            </w:rPr>
            <w:t xml:space="preserve">tissue </w:t>
          </w:r>
          <w:r w:rsidR="00A665E5" w:rsidRPr="009540C1">
            <w:rPr>
              <w:rFonts w:asciiTheme="majorBidi" w:hAnsiTheme="majorBidi" w:cstheme="majorBidi"/>
              <w:sz w:val="24"/>
              <w:szCs w:val="24"/>
              <w:lang w:val="en-US" w:bidi="ar-DZ"/>
            </w:rPr>
            <w:t>category (c, d).</w:t>
          </w:r>
          <w:r w:rsidR="008C162D" w:rsidRPr="009540C1">
            <w:rPr>
              <w:rFonts w:asciiTheme="majorBidi" w:hAnsiTheme="majorBidi" w:cstheme="majorBidi"/>
              <w:sz w:val="24"/>
              <w:szCs w:val="24"/>
              <w:lang w:val="en-US" w:bidi="ar-DZ"/>
            </w:rPr>
            <w:t xml:space="preserve"> </w:t>
          </w:r>
          <w:r w:rsidR="00E43558" w:rsidRPr="009540C1">
            <w:rPr>
              <w:rFonts w:asciiTheme="majorBidi" w:hAnsiTheme="majorBidi" w:cstheme="majorBidi"/>
              <w:sz w:val="24"/>
              <w:szCs w:val="24"/>
              <w:u w:val="single"/>
              <w:lang w:val="en-US" w:bidi="ar-DZ"/>
            </w:rPr>
            <w:t>In terms of connectivity</w:t>
          </w:r>
          <w:r w:rsidR="008C162D" w:rsidRPr="009540C1">
            <w:rPr>
              <w:rFonts w:asciiTheme="majorBidi" w:hAnsiTheme="majorBidi" w:cstheme="majorBidi"/>
              <w:sz w:val="24"/>
              <w:szCs w:val="24"/>
              <w:lang w:val="en-US" w:bidi="ar-DZ"/>
            </w:rPr>
            <w:t xml:space="preserve">, </w:t>
          </w:r>
          <w:r w:rsidR="00E43558" w:rsidRPr="009540C1">
            <w:rPr>
              <w:rFonts w:asciiTheme="majorBidi" w:hAnsiTheme="majorBidi" w:cstheme="majorBidi"/>
              <w:sz w:val="24"/>
              <w:szCs w:val="24"/>
              <w:lang w:val="en-US" w:bidi="ar-DZ"/>
            </w:rPr>
            <w:t>the urban tissue category (a,</w:t>
          </w:r>
          <w:r w:rsidR="008C162D" w:rsidRPr="009540C1">
            <w:rPr>
              <w:rFonts w:asciiTheme="majorBidi" w:hAnsiTheme="majorBidi" w:cstheme="majorBidi"/>
              <w:sz w:val="24"/>
              <w:szCs w:val="24"/>
              <w:lang w:val="en-US" w:bidi="ar-DZ"/>
            </w:rPr>
            <w:t xml:space="preserve"> </w:t>
          </w:r>
          <w:r w:rsidR="00E43558" w:rsidRPr="009540C1">
            <w:rPr>
              <w:rFonts w:asciiTheme="majorBidi" w:hAnsiTheme="majorBidi" w:cstheme="majorBidi"/>
              <w:sz w:val="24"/>
              <w:szCs w:val="24"/>
              <w:lang w:val="en-US" w:bidi="ar-DZ"/>
            </w:rPr>
            <w:t xml:space="preserve">b) showed better </w:t>
          </w:r>
          <w:r w:rsidR="00BB7DA1" w:rsidRPr="009540C1">
            <w:rPr>
              <w:rFonts w:asciiTheme="majorBidi" w:hAnsiTheme="majorBidi" w:cstheme="majorBidi"/>
              <w:sz w:val="24"/>
              <w:szCs w:val="24"/>
              <w:lang w:val="en-US" w:bidi="ar-DZ"/>
            </w:rPr>
            <w:t xml:space="preserve">spatial adaptation capacity </w:t>
          </w:r>
          <w:r w:rsidR="00E43558" w:rsidRPr="009540C1">
            <w:rPr>
              <w:rFonts w:asciiTheme="majorBidi" w:hAnsiTheme="majorBidi" w:cstheme="majorBidi"/>
              <w:sz w:val="24"/>
              <w:szCs w:val="24"/>
              <w:lang w:val="en-US" w:bidi="ar-DZ"/>
            </w:rPr>
            <w:t>than the urban tissue category (c,</w:t>
          </w:r>
          <w:r w:rsidR="008C162D" w:rsidRPr="009540C1">
            <w:rPr>
              <w:rFonts w:asciiTheme="majorBidi" w:hAnsiTheme="majorBidi" w:cstheme="majorBidi"/>
              <w:sz w:val="24"/>
              <w:szCs w:val="24"/>
              <w:lang w:val="en-US" w:bidi="ar-DZ"/>
            </w:rPr>
            <w:t xml:space="preserve"> </w:t>
          </w:r>
          <w:r w:rsidR="006C4B84" w:rsidRPr="009540C1">
            <w:rPr>
              <w:rFonts w:asciiTheme="majorBidi" w:hAnsiTheme="majorBidi" w:cstheme="majorBidi"/>
              <w:sz w:val="24"/>
              <w:szCs w:val="24"/>
              <w:lang w:val="en-US" w:bidi="ar-DZ"/>
            </w:rPr>
            <w:t xml:space="preserve">d), </w:t>
          </w:r>
          <w:r w:rsidR="00E43558" w:rsidRPr="009540C1">
            <w:rPr>
              <w:rFonts w:asciiTheme="majorBidi" w:hAnsiTheme="majorBidi" w:cstheme="majorBidi"/>
              <w:sz w:val="24"/>
              <w:szCs w:val="24"/>
              <w:u w:val="single"/>
              <w:lang w:val="en-US" w:bidi="ar-DZ"/>
            </w:rPr>
            <w:t>In terms of redundancies</w:t>
          </w:r>
          <w:r w:rsidR="00E43558" w:rsidRPr="009540C1">
            <w:rPr>
              <w:rFonts w:asciiTheme="majorBidi" w:hAnsiTheme="majorBidi" w:cstheme="majorBidi"/>
              <w:sz w:val="24"/>
              <w:szCs w:val="24"/>
              <w:lang w:val="en-US" w:bidi="ar-DZ"/>
            </w:rPr>
            <w:t>,</w:t>
          </w:r>
          <w:r w:rsidR="00E43558" w:rsidRPr="006C4B84">
            <w:rPr>
              <w:rFonts w:asciiTheme="majorBidi" w:hAnsiTheme="majorBidi" w:cstheme="majorBidi"/>
              <w:sz w:val="24"/>
              <w:szCs w:val="24"/>
              <w:lang w:val="en-US" w:bidi="ar-DZ"/>
            </w:rPr>
            <w:t xml:space="preserve"> the urban tissue category (a) obtained low values for measurements: </w:t>
          </w:r>
          <w:r w:rsidR="009B5875" w:rsidRPr="006C4B84">
            <w:rPr>
              <w:rFonts w:asciiTheme="majorBidi" w:hAnsiTheme="majorBidi" w:cstheme="majorBidi"/>
              <w:sz w:val="24"/>
              <w:szCs w:val="24"/>
              <w:lang w:val="en-US" w:bidi="ar-DZ"/>
            </w:rPr>
            <w:t xml:space="preserve">Intersection </w:t>
          </w:r>
          <w:r w:rsidR="00E43558" w:rsidRPr="006C4B84">
            <w:rPr>
              <w:rFonts w:asciiTheme="majorBidi" w:hAnsiTheme="majorBidi" w:cstheme="majorBidi"/>
              <w:sz w:val="24"/>
              <w:szCs w:val="24"/>
              <w:lang w:val="en-US" w:bidi="ar-DZ"/>
            </w:rPr>
            <w:t>density</w:t>
          </w:r>
          <w:r w:rsidR="00BB7DA1" w:rsidRPr="006C4B84">
            <w:rPr>
              <w:rFonts w:asciiTheme="majorBidi" w:hAnsiTheme="majorBidi" w:cstheme="majorBidi"/>
              <w:sz w:val="24"/>
              <w:szCs w:val="24"/>
              <w:lang w:val="en-US" w:bidi="ar-DZ"/>
            </w:rPr>
            <w:t xml:space="preserve"> (</w:t>
          </w:r>
          <m:oMath>
            <m:sSub>
              <m:sSubPr>
                <m:ctrlPr>
                  <w:rPr>
                    <w:rFonts w:ascii="Cambria Math" w:hAnsi="Cambria Math" w:cs="Cambria Math"/>
                    <w:sz w:val="28"/>
                    <w:szCs w:val="28"/>
                  </w:rPr>
                </m:ctrlPr>
              </m:sSubPr>
              <m:e>
                <m:r>
                  <m:rPr>
                    <m:sty m:val="p"/>
                  </m:rPr>
                  <w:rPr>
                    <w:rFonts w:ascii="Cambria Math" w:hAnsi="Cambria Math" w:cs="Cambria Math"/>
                    <w:sz w:val="28"/>
                    <w:szCs w:val="28"/>
                    <w:lang w:val="en-US"/>
                  </w:rPr>
                  <m:t>D</m:t>
                </m:r>
              </m:e>
              <m:sub>
                <m:r>
                  <w:rPr>
                    <w:rFonts w:ascii="Cambria Math" w:hAnsi="Cambria Math" w:cs="Cambria Math"/>
                    <w:sz w:val="28"/>
                    <w:szCs w:val="28"/>
                  </w:rPr>
                  <m:t>e</m:t>
                </m:r>
              </m:sub>
            </m:sSub>
          </m:oMath>
          <w:r w:rsidR="00BB7DA1" w:rsidRPr="006C4B84">
            <w:rPr>
              <w:rFonts w:asciiTheme="majorBidi" w:hAnsiTheme="majorBidi" w:cstheme="majorBidi"/>
              <w:sz w:val="24"/>
              <w:szCs w:val="24"/>
              <w:lang w:val="en-US" w:bidi="ar-DZ"/>
            </w:rPr>
            <w:t>)</w:t>
          </w:r>
          <w:r w:rsidR="00E43558" w:rsidRPr="006C4B84">
            <w:rPr>
              <w:rFonts w:asciiTheme="majorBidi" w:hAnsiTheme="majorBidi" w:cstheme="majorBidi"/>
              <w:sz w:val="24"/>
              <w:szCs w:val="24"/>
              <w:lang w:val="en-US" w:bidi="ar-DZ"/>
            </w:rPr>
            <w:t xml:space="preserve">, </w:t>
          </w:r>
          <w:r w:rsidR="00BB7DA1" w:rsidRPr="006C4B84">
            <w:rPr>
              <w:rFonts w:asciiTheme="majorBidi" w:hAnsiTheme="majorBidi" w:cstheme="majorBidi"/>
              <w:sz w:val="24"/>
              <w:szCs w:val="24"/>
              <w:lang w:val="en-US" w:bidi="ar-DZ"/>
            </w:rPr>
            <w:t>L</w:t>
          </w:r>
          <w:r w:rsidR="00E43558" w:rsidRPr="006C4B84">
            <w:rPr>
              <w:rFonts w:asciiTheme="majorBidi" w:hAnsiTheme="majorBidi" w:cstheme="majorBidi"/>
              <w:sz w:val="24"/>
              <w:szCs w:val="24"/>
              <w:lang w:val="en-US" w:bidi="ar-DZ"/>
            </w:rPr>
            <w:t>ink-</w:t>
          </w:r>
          <w:r w:rsidR="00BB7DA1" w:rsidRPr="006C4B84">
            <w:rPr>
              <w:rFonts w:asciiTheme="majorBidi" w:hAnsiTheme="majorBidi" w:cstheme="majorBidi"/>
              <w:sz w:val="24"/>
              <w:szCs w:val="24"/>
              <w:lang w:val="en-US" w:bidi="ar-DZ"/>
            </w:rPr>
            <w:t>Node</w:t>
          </w:r>
          <w:r w:rsidR="00E43558" w:rsidRPr="006C4B84">
            <w:rPr>
              <w:rFonts w:asciiTheme="majorBidi" w:hAnsiTheme="majorBidi" w:cstheme="majorBidi"/>
              <w:sz w:val="24"/>
              <w:szCs w:val="24"/>
              <w:lang w:val="en-US" w:bidi="ar-DZ"/>
            </w:rPr>
            <w:t xml:space="preserve"> </w:t>
          </w:r>
          <w:r w:rsidR="00BB7DA1" w:rsidRPr="006C4B84">
            <w:rPr>
              <w:rFonts w:asciiTheme="majorBidi" w:hAnsiTheme="majorBidi" w:cstheme="majorBidi"/>
              <w:sz w:val="24"/>
              <w:szCs w:val="24"/>
              <w:lang w:val="en-US" w:bidi="ar-DZ"/>
            </w:rPr>
            <w:t>R</w:t>
          </w:r>
          <w:r w:rsidR="00E43558" w:rsidRPr="006C4B84">
            <w:rPr>
              <w:rFonts w:asciiTheme="majorBidi" w:hAnsiTheme="majorBidi" w:cstheme="majorBidi"/>
              <w:sz w:val="24"/>
              <w:szCs w:val="24"/>
              <w:lang w:val="en-US" w:bidi="ar-DZ"/>
            </w:rPr>
            <w:t>atio</w:t>
          </w:r>
          <w:r w:rsidR="00BB7DA1" w:rsidRPr="006C4B84">
            <w:rPr>
              <w:rFonts w:asciiTheme="majorBidi" w:hAnsiTheme="majorBidi" w:cstheme="majorBidi"/>
              <w:sz w:val="24"/>
              <w:szCs w:val="24"/>
              <w:lang w:val="en-US" w:bidi="ar-DZ"/>
            </w:rPr>
            <w:t xml:space="preserve"> (</w:t>
          </w:r>
          <w:r w:rsidR="004B7C45" w:rsidRPr="006C4B84">
            <w:rPr>
              <w:rFonts w:asciiTheme="majorBidi" w:hAnsiTheme="majorBidi" w:cstheme="majorBidi"/>
              <w:sz w:val="24"/>
              <w:szCs w:val="24"/>
              <w:lang w:val="en-US" w:bidi="ar-DZ"/>
            </w:rPr>
            <w:t>L</w:t>
          </w:r>
          <w:r w:rsidR="00BB7DA1" w:rsidRPr="006C4B84">
            <w:rPr>
              <w:rFonts w:asciiTheme="majorBidi" w:hAnsiTheme="majorBidi" w:cstheme="majorBidi"/>
              <w:sz w:val="24"/>
              <w:szCs w:val="24"/>
              <w:lang w:val="en-US" w:bidi="ar-DZ"/>
            </w:rPr>
            <w:t>NR)</w:t>
          </w:r>
          <w:r w:rsidR="00E43558" w:rsidRPr="006C4B84">
            <w:rPr>
              <w:rFonts w:asciiTheme="majorBidi" w:hAnsiTheme="majorBidi" w:cstheme="majorBidi"/>
              <w:sz w:val="24"/>
              <w:szCs w:val="24"/>
              <w:lang w:val="en-US" w:bidi="ar-DZ"/>
            </w:rPr>
            <w:t xml:space="preserve"> and </w:t>
          </w:r>
          <w:r w:rsidR="004B7C45" w:rsidRPr="006C4B84">
            <w:rPr>
              <w:rFonts w:asciiTheme="majorBidi" w:hAnsiTheme="majorBidi" w:cstheme="majorBidi"/>
              <w:sz w:val="24"/>
              <w:szCs w:val="24"/>
              <w:lang w:val="en-US" w:bidi="ar-DZ"/>
            </w:rPr>
            <w:t>Connected Node Ratio (CNR)</w:t>
          </w:r>
          <w:r w:rsidR="00E43558" w:rsidRPr="006C4B84">
            <w:rPr>
              <w:rFonts w:asciiTheme="majorBidi" w:hAnsiTheme="majorBidi" w:cstheme="majorBidi"/>
              <w:sz w:val="24"/>
              <w:szCs w:val="24"/>
              <w:lang w:val="en-US" w:bidi="ar-DZ"/>
            </w:rPr>
            <w:t xml:space="preserve">, while the urban tissue category (b, c, d) increased significantly, giving </w:t>
          </w:r>
          <w:r w:rsidR="00FC6BC6" w:rsidRPr="006C4B84">
            <w:rPr>
              <w:rFonts w:asciiTheme="majorBidi" w:hAnsiTheme="majorBidi" w:cstheme="majorBidi"/>
              <w:sz w:val="24"/>
              <w:szCs w:val="24"/>
              <w:lang w:val="en-US" w:bidi="ar-DZ"/>
            </w:rPr>
            <w:t>those</w:t>
          </w:r>
          <w:r w:rsidR="00E43558" w:rsidRPr="006C4B84">
            <w:rPr>
              <w:rFonts w:asciiTheme="majorBidi" w:hAnsiTheme="majorBidi" w:cstheme="majorBidi"/>
              <w:sz w:val="24"/>
              <w:szCs w:val="24"/>
              <w:lang w:val="en-US" w:bidi="ar-DZ"/>
            </w:rPr>
            <w:t xml:space="preserve"> better spatial adjustment capacity levels. </w:t>
          </w:r>
        </w:p>
        <w:p w:rsidR="005A79EC" w:rsidRPr="006C4B84" w:rsidRDefault="005A79EC" w:rsidP="001355C5">
          <w:pPr>
            <w:spacing w:before="240" w:after="0" w:line="240" w:lineRule="auto"/>
            <w:ind w:firstLine="284"/>
            <w:jc w:val="both"/>
            <w:rPr>
              <w:rFonts w:asciiTheme="majorBidi" w:hAnsiTheme="majorBidi" w:cstheme="majorBidi"/>
              <w:sz w:val="24"/>
              <w:szCs w:val="24"/>
              <w:lang w:val="en-US" w:bidi="ar-DZ"/>
            </w:rPr>
          </w:pPr>
          <w:r w:rsidRPr="006C4B84">
            <w:rPr>
              <w:rFonts w:asciiTheme="majorBidi" w:hAnsiTheme="majorBidi" w:cstheme="majorBidi"/>
              <w:sz w:val="24"/>
              <w:szCs w:val="24"/>
              <w:lang w:val="en-US" w:bidi="ar-DZ"/>
            </w:rPr>
            <w:t>The purpose of assessing the levels of resilience was as a total value to demonstrate the ability of a city to respond during shock.</w:t>
          </w:r>
          <w:r w:rsidR="002F491D" w:rsidRPr="006C4B84">
            <w:rPr>
              <w:rFonts w:asciiTheme="majorBidi" w:hAnsiTheme="majorBidi" w:cstheme="majorBidi"/>
              <w:sz w:val="24"/>
              <w:szCs w:val="24"/>
              <w:lang w:val="en-US" w:bidi="ar-DZ"/>
            </w:rPr>
            <w:t xml:space="preserve"> The purpose of detecting the availability of the four </w:t>
          </w:r>
          <w:r w:rsidR="001355C5" w:rsidRPr="006C4B84">
            <w:rPr>
              <w:rFonts w:asciiTheme="majorBidi" w:hAnsiTheme="majorBidi" w:cstheme="majorBidi"/>
              <w:sz w:val="24"/>
              <w:szCs w:val="24"/>
              <w:lang w:val="en-US" w:bidi="ar-DZ"/>
            </w:rPr>
            <w:t>spatial resilience characteristics</w:t>
          </w:r>
          <w:r w:rsidR="002F491D" w:rsidRPr="006C4B84">
            <w:rPr>
              <w:rFonts w:asciiTheme="majorBidi" w:hAnsiTheme="majorBidi" w:cstheme="majorBidi"/>
              <w:sz w:val="24"/>
              <w:szCs w:val="24"/>
              <w:lang w:val="en-US" w:bidi="ar-DZ"/>
            </w:rPr>
            <w:t xml:space="preserve"> (density, diversity, redundancy and connectivity) is to demonstrate the capacity of the City of Happy to adapt spatially through urban growth, through planning practices and urban improvement interventions on neighborhoods. </w:t>
          </w:r>
        </w:p>
        <w:p w:rsidR="00BF1569" w:rsidRDefault="002F491D" w:rsidP="001355C5">
          <w:pPr>
            <w:spacing w:before="240" w:after="0" w:line="240" w:lineRule="auto"/>
            <w:ind w:firstLine="284"/>
            <w:jc w:val="both"/>
            <w:rPr>
              <w:rFonts w:asciiTheme="majorBidi" w:hAnsiTheme="majorBidi" w:cstheme="majorBidi"/>
              <w:sz w:val="24"/>
              <w:szCs w:val="24"/>
              <w:lang w:val="en-US" w:bidi="ar-DZ"/>
            </w:rPr>
          </w:pPr>
          <w:r w:rsidRPr="006C4B84">
            <w:rPr>
              <w:rFonts w:asciiTheme="majorBidi" w:hAnsiTheme="majorBidi" w:cstheme="majorBidi"/>
              <w:sz w:val="24"/>
              <w:szCs w:val="24"/>
              <w:lang w:val="en-US" w:bidi="ar-DZ"/>
            </w:rPr>
            <w:t xml:space="preserve">The results of this study are summarized in a set of urban design principles. It could help designers and planners to direct urban land uses. Showing these </w:t>
          </w:r>
          <w:r w:rsidR="001355C5" w:rsidRPr="006C4B84">
            <w:rPr>
              <w:rFonts w:asciiTheme="majorBidi" w:hAnsiTheme="majorBidi" w:cstheme="majorBidi"/>
              <w:sz w:val="24"/>
              <w:szCs w:val="24"/>
              <w:lang w:val="en-US" w:bidi="ar-DZ"/>
            </w:rPr>
            <w:t>spatial resilience characteristics (density, diversity, redundancy and connectivity), to create places in a city that can be more resilient, there are many capacities to respond and adapt during a disturbance.</w:t>
          </w:r>
        </w:p>
        <w:p w:rsidR="006C4B84" w:rsidRDefault="006C4B84" w:rsidP="001355C5">
          <w:pPr>
            <w:spacing w:before="240" w:after="0" w:line="240" w:lineRule="auto"/>
            <w:ind w:firstLine="284"/>
            <w:jc w:val="both"/>
            <w:rPr>
              <w:rFonts w:asciiTheme="majorBidi" w:hAnsiTheme="majorBidi" w:cstheme="majorBidi"/>
              <w:sz w:val="24"/>
              <w:szCs w:val="24"/>
              <w:lang w:val="en-US" w:bidi="ar-DZ"/>
            </w:rPr>
          </w:pPr>
        </w:p>
        <w:p w:rsidR="001F3126" w:rsidRPr="006C4B84" w:rsidRDefault="001F3126" w:rsidP="005D6ACF">
          <w:pPr>
            <w:spacing w:before="240"/>
            <w:jc w:val="both"/>
            <w:rPr>
              <w:rFonts w:asciiTheme="majorBidi" w:hAnsiTheme="majorBidi" w:cs="Times New Roman"/>
              <w:lang w:val="en-US" w:bidi="ar-DZ"/>
            </w:rPr>
          </w:pPr>
          <w:r w:rsidRPr="00DE72CF">
            <w:rPr>
              <w:rFonts w:asciiTheme="majorBidi" w:hAnsiTheme="majorBidi" w:cstheme="majorBidi"/>
              <w:b/>
              <w:bCs/>
              <w:sz w:val="24"/>
              <w:szCs w:val="24"/>
              <w:lang w:val="en-US" w:bidi="ar-DZ"/>
            </w:rPr>
            <w:t>Key</w:t>
          </w:r>
          <w:r w:rsidRPr="00DE72CF">
            <w:rPr>
              <w:rFonts w:asciiTheme="majorBidi" w:hAnsiTheme="majorBidi" w:cstheme="majorBidi" w:hint="cs"/>
              <w:b/>
              <w:bCs/>
              <w:sz w:val="24"/>
              <w:szCs w:val="24"/>
              <w:rtl/>
              <w:lang w:val="en-US" w:bidi="ar-DZ"/>
            </w:rPr>
            <w:t xml:space="preserve"> </w:t>
          </w:r>
          <w:r w:rsidRPr="00DE72CF">
            <w:rPr>
              <w:rFonts w:asciiTheme="majorBidi" w:hAnsiTheme="majorBidi" w:cstheme="majorBidi"/>
              <w:b/>
              <w:bCs/>
              <w:sz w:val="24"/>
              <w:szCs w:val="24"/>
              <w:lang w:val="en-US" w:bidi="ar-DZ"/>
            </w:rPr>
            <w:t>words:</w:t>
          </w:r>
          <w:r w:rsidR="005D6ACF" w:rsidRPr="00DE72CF">
            <w:rPr>
              <w:rFonts w:asciiTheme="majorBidi" w:hAnsiTheme="majorBidi" w:cstheme="majorBidi"/>
              <w:b/>
              <w:bCs/>
              <w:sz w:val="24"/>
              <w:szCs w:val="24"/>
              <w:lang w:val="en-US" w:bidi="ar-DZ"/>
            </w:rPr>
            <w:t xml:space="preserve"> </w:t>
          </w:r>
          <w:r w:rsidR="00DE72CF" w:rsidRPr="00DE72CF">
            <w:rPr>
              <w:rFonts w:asciiTheme="majorBidi" w:hAnsiTheme="majorBidi" w:cstheme="majorBidi"/>
              <w:lang w:val="en-US" w:bidi="ar-DZ"/>
            </w:rPr>
            <w:t>R</w:t>
          </w:r>
          <w:r w:rsidRPr="00DE72CF">
            <w:rPr>
              <w:rFonts w:asciiTheme="majorBidi" w:hAnsiTheme="majorBidi" w:cstheme="majorBidi"/>
              <w:lang w:val="en-US" w:bidi="ar-DZ"/>
            </w:rPr>
            <w:t xml:space="preserve">esilience, </w:t>
          </w:r>
          <w:r w:rsidR="00DE72CF" w:rsidRPr="00DE72CF">
            <w:rPr>
              <w:rFonts w:asciiTheme="majorBidi" w:hAnsiTheme="majorBidi" w:cstheme="majorBidi"/>
              <w:lang w:val="en-US" w:bidi="ar-DZ"/>
            </w:rPr>
            <w:t>Urban L</w:t>
          </w:r>
          <w:r w:rsidRPr="00DE72CF">
            <w:rPr>
              <w:rFonts w:asciiTheme="majorBidi" w:hAnsiTheme="majorBidi" w:cstheme="majorBidi"/>
              <w:lang w:val="en-US" w:bidi="ar-DZ"/>
            </w:rPr>
            <w:t xml:space="preserve">and </w:t>
          </w:r>
          <w:r w:rsidR="00DE72CF" w:rsidRPr="00DE72CF">
            <w:rPr>
              <w:rFonts w:asciiTheme="majorBidi" w:hAnsiTheme="majorBidi" w:cstheme="majorBidi"/>
              <w:lang w:val="en-US" w:bidi="ar-DZ"/>
            </w:rPr>
            <w:t>U</w:t>
          </w:r>
          <w:r w:rsidRPr="00DE72CF">
            <w:rPr>
              <w:rFonts w:asciiTheme="majorBidi" w:hAnsiTheme="majorBidi" w:cstheme="majorBidi"/>
              <w:lang w:val="en-US" w:bidi="ar-DZ"/>
            </w:rPr>
            <w:t>se</w:t>
          </w:r>
          <w:r w:rsidR="00701356" w:rsidRPr="00DE72CF">
            <w:rPr>
              <w:rFonts w:asciiTheme="majorBidi" w:hAnsiTheme="majorBidi" w:cstheme="majorBidi"/>
              <w:lang w:val="en-US" w:bidi="ar-DZ"/>
            </w:rPr>
            <w:t>s</w:t>
          </w:r>
          <w:r w:rsidRPr="00DE72CF">
            <w:rPr>
              <w:rFonts w:asciiTheme="majorBidi" w:hAnsiTheme="majorBidi" w:cstheme="majorBidi"/>
              <w:lang w:val="en-US" w:bidi="ar-DZ"/>
            </w:rPr>
            <w:t xml:space="preserve">, </w:t>
          </w:r>
          <w:r w:rsidR="00DE72CF" w:rsidRPr="00DE72CF">
            <w:rPr>
              <w:rFonts w:asciiTheme="majorBidi" w:hAnsiTheme="majorBidi" w:cstheme="majorBidi"/>
              <w:lang w:val="en-US" w:bidi="ar-DZ"/>
            </w:rPr>
            <w:t>U</w:t>
          </w:r>
          <w:r w:rsidR="005D6ACF" w:rsidRPr="00DE72CF">
            <w:rPr>
              <w:rFonts w:asciiTheme="majorBidi" w:hAnsiTheme="majorBidi" w:cstheme="majorBidi"/>
              <w:lang w:val="en-US" w:bidi="ar-DZ"/>
            </w:rPr>
            <w:t xml:space="preserve">rban </w:t>
          </w:r>
          <w:r w:rsidR="00DE72CF" w:rsidRPr="00DE72CF">
            <w:rPr>
              <w:rFonts w:asciiTheme="majorBidi" w:hAnsiTheme="majorBidi" w:cstheme="majorBidi"/>
              <w:lang w:val="en-US" w:bidi="ar-DZ"/>
            </w:rPr>
            <w:t>T</w:t>
          </w:r>
          <w:r w:rsidR="005D6ACF" w:rsidRPr="00DE72CF">
            <w:rPr>
              <w:rFonts w:asciiTheme="majorBidi" w:hAnsiTheme="majorBidi" w:cstheme="majorBidi"/>
              <w:lang w:val="en-US" w:bidi="ar-DZ"/>
            </w:rPr>
            <w:t>issue</w:t>
          </w:r>
          <w:r w:rsidRPr="00DE72CF">
            <w:rPr>
              <w:rFonts w:asciiTheme="majorBidi" w:hAnsiTheme="majorBidi" w:cstheme="majorBidi"/>
              <w:lang w:val="en-US" w:bidi="ar-DZ"/>
            </w:rPr>
            <w:t xml:space="preserve">, </w:t>
          </w:r>
          <w:r w:rsidR="00DE72CF" w:rsidRPr="00DE72CF">
            <w:rPr>
              <w:rFonts w:asciiTheme="majorBidi" w:hAnsiTheme="majorBidi" w:cstheme="majorBidi"/>
              <w:lang w:val="en-US" w:bidi="ar-DZ"/>
            </w:rPr>
            <w:t>S</w:t>
          </w:r>
          <w:r w:rsidRPr="00DE72CF">
            <w:rPr>
              <w:rFonts w:asciiTheme="majorBidi" w:hAnsiTheme="majorBidi" w:cstheme="majorBidi"/>
              <w:lang w:val="en-US" w:bidi="ar-DZ"/>
            </w:rPr>
            <w:t xml:space="preserve">patial </w:t>
          </w:r>
          <w:r w:rsidR="00DE72CF" w:rsidRPr="00DE72CF">
            <w:rPr>
              <w:rFonts w:asciiTheme="majorBidi" w:hAnsiTheme="majorBidi" w:cs="Times New Roman"/>
              <w:lang w:val="en-US" w:bidi="ar-DZ"/>
            </w:rPr>
            <w:t>R</w:t>
          </w:r>
          <w:r w:rsidR="00701356" w:rsidRPr="00DE72CF">
            <w:rPr>
              <w:rFonts w:asciiTheme="majorBidi" w:hAnsiTheme="majorBidi" w:cs="Times New Roman"/>
              <w:lang w:val="en-US" w:bidi="ar-DZ"/>
            </w:rPr>
            <w:t>esilience</w:t>
          </w:r>
          <w:r w:rsidRPr="00DE72CF">
            <w:rPr>
              <w:rFonts w:asciiTheme="majorBidi" w:hAnsiTheme="majorBidi" w:cstheme="majorBidi"/>
              <w:lang w:val="en-US" w:bidi="ar-DZ"/>
            </w:rPr>
            <w:t xml:space="preserve">, </w:t>
          </w:r>
          <w:r w:rsidRPr="00DE72CF">
            <w:rPr>
              <w:rFonts w:asciiTheme="majorBidi" w:hAnsiTheme="majorBidi" w:cstheme="majorBidi"/>
              <w:color w:val="000000" w:themeColor="text1"/>
              <w:lang w:val="en-US"/>
            </w:rPr>
            <w:t>Bou-Saâda</w:t>
          </w:r>
          <w:r w:rsidRPr="00DE72CF">
            <w:rPr>
              <w:rFonts w:asciiTheme="majorBidi" w:hAnsiTheme="majorBidi" w:cs="Times New Roman"/>
              <w:rtl/>
              <w:lang w:bidi="ar-DZ"/>
            </w:rPr>
            <w:t>.</w:t>
          </w:r>
        </w:p>
        <w:p w:rsidR="006C4B84" w:rsidRDefault="006C4B84" w:rsidP="005D6ACF">
          <w:pPr>
            <w:spacing w:before="240"/>
            <w:jc w:val="both"/>
            <w:rPr>
              <w:rFonts w:asciiTheme="majorBidi" w:hAnsiTheme="majorBidi" w:cs="Times New Roman"/>
              <w:lang w:val="en-US" w:bidi="ar-DZ"/>
            </w:rPr>
          </w:pPr>
        </w:p>
        <w:p w:rsidR="002E27F2" w:rsidRDefault="002E27F2" w:rsidP="005D6ACF">
          <w:pPr>
            <w:spacing w:before="240"/>
            <w:jc w:val="both"/>
            <w:rPr>
              <w:rFonts w:asciiTheme="majorBidi" w:hAnsiTheme="majorBidi" w:cs="Times New Roman"/>
              <w:lang w:val="en-US" w:bidi="ar-DZ"/>
            </w:rPr>
          </w:pPr>
        </w:p>
        <w:p w:rsidR="001355C5" w:rsidRPr="00063AB9" w:rsidRDefault="001355C5" w:rsidP="001355C5">
          <w:pPr>
            <w:outlineLvl w:val="0"/>
            <w:rPr>
              <w:rFonts w:asciiTheme="majorBidi" w:eastAsia="Dotum" w:hAnsiTheme="majorBidi" w:cstheme="majorBidi"/>
              <w:b/>
              <w:bCs/>
              <w:sz w:val="28"/>
              <w:szCs w:val="28"/>
              <w:rtl/>
              <w:lang w:val="en-US" w:bidi="ar-DZ"/>
            </w:rPr>
          </w:pPr>
          <w:bookmarkStart w:id="7" w:name="_Toc171803274"/>
          <w:r w:rsidRPr="00223B9A">
            <w:rPr>
              <w:rFonts w:asciiTheme="majorBidi" w:eastAsia="Dotum" w:hAnsiTheme="majorBidi" w:cstheme="majorBidi"/>
              <w:b/>
              <w:bCs/>
              <w:sz w:val="28"/>
              <w:szCs w:val="28"/>
              <w:lang w:bidi="ar-DZ"/>
            </w:rPr>
            <w:lastRenderedPageBreak/>
            <w:t>Résumé</w:t>
          </w:r>
          <w:bookmarkEnd w:id="7"/>
        </w:p>
        <w:p w:rsidR="006E0E8D" w:rsidRDefault="00855B85" w:rsidP="002E27F2">
          <w:pPr>
            <w:spacing w:before="240" w:line="240" w:lineRule="auto"/>
            <w:ind w:firstLine="284"/>
            <w:jc w:val="both"/>
            <w:rPr>
              <w:rFonts w:asciiTheme="majorBidi" w:hAnsiTheme="majorBidi" w:cstheme="majorBidi"/>
              <w:sz w:val="24"/>
              <w:szCs w:val="24"/>
              <w:lang w:bidi="ar-DZ"/>
            </w:rPr>
          </w:pPr>
          <w:r w:rsidRPr="006C4B84">
            <w:rPr>
              <w:rFonts w:asciiTheme="majorBidi" w:hAnsiTheme="majorBidi" w:cstheme="majorBidi"/>
              <w:sz w:val="24"/>
              <w:szCs w:val="24"/>
              <w:lang w:bidi="ar-DZ"/>
            </w:rPr>
            <w:t xml:space="preserve">Dans un contexte de  </w:t>
          </w:r>
          <w:r w:rsidR="00223B9A" w:rsidRPr="006C4B84">
            <w:rPr>
              <w:rFonts w:asciiTheme="majorBidi" w:hAnsiTheme="majorBidi" w:cstheme="majorBidi"/>
              <w:sz w:val="24"/>
              <w:szCs w:val="24"/>
              <w:lang w:bidi="ar-DZ"/>
            </w:rPr>
            <w:t>changement climatique</w:t>
          </w:r>
          <w:r w:rsidR="00223B9A" w:rsidRPr="00223B9A">
            <w:rPr>
              <w:rFonts w:asciiTheme="majorBidi" w:hAnsiTheme="majorBidi" w:cstheme="majorBidi"/>
              <w:sz w:val="24"/>
              <w:szCs w:val="24"/>
              <w:lang w:bidi="ar-DZ"/>
            </w:rPr>
            <w:t xml:space="preserve"> négatif</w:t>
          </w:r>
          <w:r w:rsidRPr="006C4B84">
            <w:rPr>
              <w:rFonts w:asciiTheme="majorBidi" w:hAnsiTheme="majorBidi" w:cstheme="majorBidi"/>
              <w:sz w:val="24"/>
              <w:szCs w:val="24"/>
              <w:lang w:bidi="ar-DZ"/>
            </w:rPr>
            <w:t>, l</w:t>
          </w:r>
          <w:r w:rsidR="001355C5" w:rsidRPr="006C4B84">
            <w:rPr>
              <w:rFonts w:asciiTheme="majorBidi" w:hAnsiTheme="majorBidi" w:cstheme="majorBidi"/>
              <w:sz w:val="24"/>
              <w:szCs w:val="24"/>
              <w:lang w:bidi="ar-DZ"/>
            </w:rPr>
            <w:t xml:space="preserve">e concept de résilience a reçu l'attention des universitaires et des décideurs politiques pour améliorer la résilience des villes. Cette recherche tente donc de répondre à la question suivante: Dans quelle mesure le mode </w:t>
          </w:r>
          <w:r w:rsidR="00C002E4" w:rsidRPr="00C002E4">
            <w:rPr>
              <w:rFonts w:asciiTheme="majorBidi" w:hAnsiTheme="majorBidi" w:cstheme="majorBidi"/>
              <w:sz w:val="24"/>
              <w:szCs w:val="24"/>
              <w:lang w:bidi="ar-DZ"/>
            </w:rPr>
            <w:t xml:space="preserve">de distribution </w:t>
          </w:r>
          <w:r w:rsidR="00C002E4">
            <w:rPr>
              <w:rFonts w:asciiTheme="majorBidi" w:hAnsiTheme="majorBidi" w:cstheme="majorBidi"/>
              <w:sz w:val="24"/>
              <w:szCs w:val="24"/>
              <w:lang w:bidi="ar-DZ"/>
            </w:rPr>
            <w:t>spatial</w:t>
          </w:r>
          <w:r w:rsidR="00C002E4" w:rsidRPr="00C002E4">
            <w:rPr>
              <w:rFonts w:asciiTheme="majorBidi" w:hAnsiTheme="majorBidi" w:cstheme="majorBidi"/>
              <w:sz w:val="24"/>
              <w:szCs w:val="24"/>
              <w:lang w:bidi="ar-DZ"/>
            </w:rPr>
            <w:t xml:space="preserve"> </w:t>
          </w:r>
          <w:r w:rsidR="00C002E4">
            <w:rPr>
              <w:rFonts w:asciiTheme="majorBidi" w:hAnsiTheme="majorBidi" w:cstheme="majorBidi"/>
              <w:sz w:val="24"/>
              <w:szCs w:val="24"/>
              <w:lang w:bidi="ar-DZ"/>
            </w:rPr>
            <w:t>de l</w:t>
          </w:r>
          <w:r w:rsidR="006E0E8D" w:rsidRPr="006C4B84">
            <w:rPr>
              <w:rFonts w:asciiTheme="majorBidi" w:hAnsiTheme="majorBidi" w:cstheme="majorBidi"/>
              <w:sz w:val="24"/>
              <w:szCs w:val="24"/>
              <w:lang w:bidi="ar-DZ"/>
            </w:rPr>
            <w:t>’occupation du sol urbain</w:t>
          </w:r>
          <w:r w:rsidR="001355C5" w:rsidRPr="006C4B84">
            <w:rPr>
              <w:rFonts w:asciiTheme="majorBidi" w:hAnsiTheme="majorBidi" w:cstheme="majorBidi"/>
              <w:sz w:val="24"/>
              <w:szCs w:val="24"/>
              <w:lang w:bidi="ar-DZ"/>
            </w:rPr>
            <w:t xml:space="preserve"> peut-il </w:t>
          </w:r>
          <w:r w:rsidR="00D90BF2" w:rsidRPr="006C4B84">
            <w:rPr>
              <w:rFonts w:asciiTheme="majorBidi" w:hAnsiTheme="majorBidi" w:cstheme="majorBidi"/>
              <w:sz w:val="24"/>
              <w:szCs w:val="24"/>
              <w:lang w:bidi="ar-DZ"/>
            </w:rPr>
            <w:t>impacter</w:t>
          </w:r>
          <w:r w:rsidR="001355C5" w:rsidRPr="006C4B84">
            <w:rPr>
              <w:rFonts w:asciiTheme="majorBidi" w:hAnsiTheme="majorBidi" w:cstheme="majorBidi"/>
              <w:sz w:val="24"/>
              <w:szCs w:val="24"/>
              <w:lang w:bidi="ar-DZ"/>
            </w:rPr>
            <w:t xml:space="preserve"> les niveaux de résilience de la ville</w:t>
          </w:r>
          <w:r w:rsidR="00FC6BC6" w:rsidRPr="006C4B84">
            <w:rPr>
              <w:rFonts w:asciiTheme="majorBidi" w:hAnsiTheme="majorBidi" w:cstheme="majorBidi"/>
              <w:sz w:val="24"/>
              <w:szCs w:val="24"/>
              <w:lang w:bidi="ar-DZ"/>
            </w:rPr>
            <w:t xml:space="preserve"> de Bou-Saâda</w:t>
          </w:r>
          <w:r w:rsidR="001355C5" w:rsidRPr="006C4B84">
            <w:rPr>
              <w:rFonts w:asciiTheme="majorBidi" w:hAnsiTheme="majorBidi" w:cstheme="majorBidi"/>
              <w:sz w:val="24"/>
              <w:szCs w:val="24"/>
              <w:lang w:bidi="ar-DZ"/>
            </w:rPr>
            <w:t xml:space="preserve">? </w:t>
          </w:r>
        </w:p>
        <w:p w:rsidR="001355C5" w:rsidRPr="006C4B84" w:rsidRDefault="001355C5" w:rsidP="004623E5">
          <w:pPr>
            <w:spacing w:before="240" w:line="240" w:lineRule="auto"/>
            <w:ind w:firstLine="284"/>
            <w:jc w:val="both"/>
            <w:rPr>
              <w:rFonts w:asciiTheme="majorBidi" w:hAnsiTheme="majorBidi" w:cstheme="majorBidi"/>
              <w:color w:val="000000" w:themeColor="text1"/>
              <w:sz w:val="24"/>
              <w:szCs w:val="24"/>
              <w:lang w:bidi="ar-DZ"/>
            </w:rPr>
          </w:pPr>
          <w:r w:rsidRPr="006C4B84">
            <w:rPr>
              <w:rFonts w:asciiTheme="majorBidi" w:hAnsiTheme="majorBidi" w:cstheme="majorBidi"/>
              <w:color w:val="000000" w:themeColor="text1"/>
              <w:sz w:val="24"/>
              <w:szCs w:val="24"/>
              <w:lang w:bidi="ar-DZ"/>
            </w:rPr>
            <w:t xml:space="preserve">La recherche suppose que l'évaluation des niveaux de résilience </w:t>
          </w:r>
          <w:r w:rsidR="006E0E8D" w:rsidRPr="006C4B84">
            <w:rPr>
              <w:rFonts w:asciiTheme="majorBidi" w:hAnsiTheme="majorBidi" w:cstheme="majorBidi"/>
              <w:color w:val="000000" w:themeColor="text1"/>
              <w:sz w:val="24"/>
              <w:szCs w:val="24"/>
              <w:lang w:bidi="ar-DZ"/>
            </w:rPr>
            <w:t>doit</w:t>
          </w:r>
          <w:r w:rsidRPr="006C4B84">
            <w:rPr>
              <w:rFonts w:asciiTheme="majorBidi" w:hAnsiTheme="majorBidi" w:cstheme="majorBidi"/>
              <w:color w:val="000000" w:themeColor="text1"/>
              <w:sz w:val="24"/>
              <w:szCs w:val="24"/>
              <w:lang w:bidi="ar-DZ"/>
            </w:rPr>
            <w:t xml:space="preserve"> </w:t>
          </w:r>
          <w:r w:rsidR="006E0E8D" w:rsidRPr="006C4B84">
            <w:rPr>
              <w:rFonts w:asciiTheme="majorBidi" w:hAnsiTheme="majorBidi" w:cstheme="majorBidi"/>
              <w:color w:val="000000" w:themeColor="text1"/>
              <w:sz w:val="24"/>
              <w:szCs w:val="24"/>
              <w:lang w:bidi="ar-DZ"/>
            </w:rPr>
            <w:t>exami</w:t>
          </w:r>
          <w:r w:rsidRPr="006C4B84">
            <w:rPr>
              <w:rFonts w:asciiTheme="majorBidi" w:hAnsiTheme="majorBidi" w:cstheme="majorBidi"/>
              <w:color w:val="000000" w:themeColor="text1"/>
              <w:sz w:val="24"/>
              <w:szCs w:val="24"/>
              <w:lang w:bidi="ar-DZ"/>
            </w:rPr>
            <w:t>n</w:t>
          </w:r>
          <w:r w:rsidR="006E0E8D" w:rsidRPr="006C4B84">
            <w:rPr>
              <w:rFonts w:asciiTheme="majorBidi" w:hAnsiTheme="majorBidi" w:cstheme="majorBidi"/>
              <w:color w:val="000000" w:themeColor="text1"/>
              <w:sz w:val="24"/>
              <w:szCs w:val="24"/>
              <w:lang w:bidi="ar-DZ"/>
            </w:rPr>
            <w:t>er</w:t>
          </w:r>
          <w:r w:rsidRPr="006C4B84">
            <w:rPr>
              <w:rFonts w:asciiTheme="majorBidi" w:hAnsiTheme="majorBidi" w:cstheme="majorBidi"/>
              <w:color w:val="000000" w:themeColor="text1"/>
              <w:sz w:val="24"/>
              <w:szCs w:val="24"/>
              <w:lang w:bidi="ar-DZ"/>
            </w:rPr>
            <w:t xml:space="preserve"> d'un ensemble de critères relatifs aux éléments de l'environnement urbain. Enquêter sur les perceptions de la population locale sur les difficultés d'accès au</w:t>
          </w:r>
          <w:r w:rsidR="00FC6BC6" w:rsidRPr="006C4B84">
            <w:rPr>
              <w:rFonts w:asciiTheme="majorBidi" w:hAnsiTheme="majorBidi" w:cstheme="majorBidi"/>
              <w:color w:val="000000" w:themeColor="text1"/>
              <w:sz w:val="24"/>
              <w:szCs w:val="24"/>
              <w:lang w:bidi="ar-DZ"/>
            </w:rPr>
            <w:t>x</w:t>
          </w:r>
          <w:r w:rsidRPr="006C4B84">
            <w:rPr>
              <w:rFonts w:asciiTheme="majorBidi" w:hAnsiTheme="majorBidi" w:cstheme="majorBidi"/>
              <w:color w:val="000000" w:themeColor="text1"/>
              <w:sz w:val="24"/>
              <w:szCs w:val="24"/>
              <w:lang w:bidi="ar-DZ"/>
            </w:rPr>
            <w:t xml:space="preserve"> service</w:t>
          </w:r>
          <w:r w:rsidR="00FC6BC6" w:rsidRPr="006C4B84">
            <w:rPr>
              <w:rFonts w:asciiTheme="majorBidi" w:hAnsiTheme="majorBidi" w:cstheme="majorBidi"/>
              <w:color w:val="000000" w:themeColor="text1"/>
              <w:sz w:val="24"/>
              <w:szCs w:val="24"/>
              <w:lang w:bidi="ar-DZ"/>
            </w:rPr>
            <w:t>s</w:t>
          </w:r>
          <w:r w:rsidRPr="006C4B84">
            <w:rPr>
              <w:rFonts w:asciiTheme="majorBidi" w:hAnsiTheme="majorBidi" w:cstheme="majorBidi"/>
              <w:color w:val="000000" w:themeColor="text1"/>
              <w:sz w:val="24"/>
              <w:szCs w:val="24"/>
              <w:lang w:bidi="ar-DZ"/>
            </w:rPr>
            <w:t xml:space="preserve"> permet </w:t>
          </w:r>
          <w:r w:rsidR="00D90BF2" w:rsidRPr="006C4B84">
            <w:rPr>
              <w:rFonts w:asciiTheme="majorBidi" w:hAnsiTheme="majorBidi" w:cstheme="majorBidi"/>
              <w:color w:val="000000" w:themeColor="text1"/>
              <w:sz w:val="24"/>
              <w:szCs w:val="24"/>
              <w:lang w:bidi="ar-DZ"/>
            </w:rPr>
            <w:t xml:space="preserve">aussi </w:t>
          </w:r>
          <w:r w:rsidRPr="006C4B84">
            <w:rPr>
              <w:rFonts w:asciiTheme="majorBidi" w:hAnsiTheme="majorBidi" w:cstheme="majorBidi"/>
              <w:color w:val="000000" w:themeColor="text1"/>
              <w:sz w:val="24"/>
              <w:szCs w:val="24"/>
              <w:lang w:bidi="ar-DZ"/>
            </w:rPr>
            <w:t>d'</w:t>
          </w:r>
          <w:r w:rsidR="00FC6BC6" w:rsidRPr="006C4B84">
            <w:rPr>
              <w:rFonts w:asciiTheme="majorBidi" w:hAnsiTheme="majorBidi" w:cstheme="majorBidi"/>
              <w:color w:val="000000" w:themeColor="text1"/>
              <w:sz w:val="24"/>
              <w:szCs w:val="24"/>
              <w:lang w:bidi="ar-DZ"/>
            </w:rPr>
            <w:t>améliorer</w:t>
          </w:r>
          <w:r w:rsidRPr="006C4B84">
            <w:rPr>
              <w:rFonts w:asciiTheme="majorBidi" w:hAnsiTheme="majorBidi" w:cstheme="majorBidi"/>
              <w:color w:val="000000" w:themeColor="text1"/>
              <w:sz w:val="24"/>
              <w:szCs w:val="24"/>
              <w:lang w:bidi="ar-DZ"/>
            </w:rPr>
            <w:t xml:space="preserve"> le niveau de résilience de la ville.</w:t>
          </w:r>
          <w:r w:rsidR="00FC6BC6" w:rsidRPr="006C4B84">
            <w:rPr>
              <w:rFonts w:asciiTheme="majorBidi" w:hAnsiTheme="majorBidi" w:cstheme="majorBidi"/>
              <w:color w:val="000000" w:themeColor="text1"/>
              <w:sz w:val="24"/>
              <w:szCs w:val="24"/>
              <w:lang w:bidi="ar-DZ"/>
            </w:rPr>
            <w:t xml:space="preserve"> Autrement,</w:t>
          </w:r>
          <w:r w:rsidRPr="006C4B84">
            <w:rPr>
              <w:rFonts w:asciiTheme="majorBidi" w:hAnsiTheme="majorBidi" w:cstheme="majorBidi"/>
              <w:color w:val="000000" w:themeColor="text1"/>
              <w:sz w:val="24"/>
              <w:szCs w:val="24"/>
              <w:lang w:bidi="ar-DZ"/>
            </w:rPr>
            <w:t xml:space="preserve"> </w:t>
          </w:r>
          <w:r w:rsidR="00FC6BC6" w:rsidRPr="006C4B84">
            <w:rPr>
              <w:rFonts w:asciiTheme="majorBidi" w:hAnsiTheme="majorBidi" w:cstheme="majorBidi"/>
              <w:color w:val="000000" w:themeColor="text1"/>
              <w:sz w:val="24"/>
              <w:szCs w:val="24"/>
              <w:lang w:bidi="ar-DZ"/>
            </w:rPr>
            <w:t>p</w:t>
          </w:r>
          <w:r w:rsidRPr="006C4B84">
            <w:rPr>
              <w:rFonts w:asciiTheme="majorBidi" w:hAnsiTheme="majorBidi" w:cstheme="majorBidi"/>
              <w:color w:val="000000" w:themeColor="text1"/>
              <w:sz w:val="24"/>
              <w:szCs w:val="24"/>
              <w:lang w:bidi="ar-DZ"/>
            </w:rPr>
            <w:t>lus les valeurs numériques des caractéristiques spatiales de résilience des tissus urbains</w:t>
          </w:r>
          <w:r w:rsidR="00FC6BC6" w:rsidRPr="006C4B84">
            <w:rPr>
              <w:rFonts w:asciiTheme="majorBidi" w:hAnsiTheme="majorBidi" w:cstheme="majorBidi"/>
              <w:color w:val="000000" w:themeColor="text1"/>
              <w:sz w:val="24"/>
              <w:szCs w:val="24"/>
              <w:lang w:bidi="ar-DZ"/>
            </w:rPr>
            <w:t xml:space="preserve"> (a, b, c, d) </w:t>
          </w:r>
          <w:r w:rsidRPr="006C4B84">
            <w:rPr>
              <w:rFonts w:asciiTheme="majorBidi" w:hAnsiTheme="majorBidi" w:cstheme="majorBidi"/>
              <w:color w:val="000000" w:themeColor="text1"/>
              <w:sz w:val="24"/>
              <w:szCs w:val="24"/>
              <w:lang w:bidi="ar-DZ"/>
            </w:rPr>
            <w:t xml:space="preserve"> de la ville de Bou-Saâda sont élevées, plus la capacité d'adaptation spatiale</w:t>
          </w:r>
          <w:r w:rsidR="00FC6BC6" w:rsidRPr="006C4B84">
            <w:rPr>
              <w:rFonts w:asciiTheme="majorBidi" w:hAnsiTheme="majorBidi" w:cstheme="majorBidi"/>
              <w:color w:val="000000" w:themeColor="text1"/>
              <w:sz w:val="24"/>
              <w:szCs w:val="24"/>
              <w:lang w:bidi="ar-DZ"/>
            </w:rPr>
            <w:t xml:space="preserve"> des quartiers</w:t>
          </w:r>
          <w:r w:rsidRPr="006C4B84">
            <w:rPr>
              <w:rFonts w:asciiTheme="majorBidi" w:hAnsiTheme="majorBidi" w:cstheme="majorBidi"/>
              <w:color w:val="000000" w:themeColor="text1"/>
              <w:sz w:val="24"/>
              <w:szCs w:val="24"/>
              <w:lang w:bidi="ar-DZ"/>
            </w:rPr>
            <w:t xml:space="preserve"> est disponible.</w:t>
          </w:r>
          <w:r w:rsidR="00FC6BC6" w:rsidRPr="006C4B84">
            <w:rPr>
              <w:rFonts w:asciiTheme="majorBidi" w:hAnsiTheme="majorBidi" w:cstheme="majorBidi"/>
              <w:color w:val="000000" w:themeColor="text1"/>
              <w:sz w:val="24"/>
              <w:szCs w:val="24"/>
              <w:lang w:bidi="ar-DZ"/>
            </w:rPr>
            <w:t xml:space="preserve"> </w:t>
          </w:r>
          <w:r w:rsidRPr="006C4B84">
            <w:rPr>
              <w:rFonts w:asciiTheme="majorBidi" w:hAnsiTheme="majorBidi" w:cstheme="majorBidi"/>
              <w:color w:val="000000" w:themeColor="text1"/>
              <w:sz w:val="24"/>
              <w:szCs w:val="24"/>
              <w:lang w:bidi="ar-DZ"/>
            </w:rPr>
            <w:t xml:space="preserve">Pour vérifier les hypothèses, une méthode </w:t>
          </w:r>
          <w:r w:rsidR="004623E5" w:rsidRPr="006C4B84">
            <w:rPr>
              <w:rFonts w:asciiTheme="majorBidi" w:hAnsiTheme="majorBidi" w:cstheme="majorBidi"/>
              <w:color w:val="000000" w:themeColor="text1"/>
              <w:sz w:val="24"/>
              <w:szCs w:val="24"/>
              <w:lang w:bidi="ar-DZ"/>
            </w:rPr>
            <w:t>inductive</w:t>
          </w:r>
          <w:r w:rsidRPr="006C4B84">
            <w:rPr>
              <w:rFonts w:asciiTheme="majorBidi" w:hAnsiTheme="majorBidi" w:cstheme="majorBidi"/>
              <w:color w:val="000000" w:themeColor="text1"/>
              <w:sz w:val="24"/>
              <w:szCs w:val="24"/>
              <w:lang w:bidi="ar-DZ"/>
            </w:rPr>
            <w:t xml:space="preserve"> et participative a été utilisée.</w:t>
          </w:r>
        </w:p>
        <w:p w:rsidR="00DE72CF" w:rsidRPr="006C4B84" w:rsidRDefault="00DE72CF" w:rsidP="00687F18">
          <w:pPr>
            <w:spacing w:before="240" w:after="0" w:line="240" w:lineRule="auto"/>
            <w:ind w:firstLine="284"/>
            <w:jc w:val="both"/>
            <w:rPr>
              <w:rFonts w:asciiTheme="majorBidi" w:hAnsiTheme="majorBidi" w:cstheme="majorBidi"/>
              <w:sz w:val="24"/>
              <w:szCs w:val="24"/>
              <w:lang w:bidi="ar-DZ"/>
            </w:rPr>
          </w:pPr>
          <w:r w:rsidRPr="006C4B84">
            <w:rPr>
              <w:rFonts w:asciiTheme="majorBidi" w:hAnsiTheme="majorBidi" w:cstheme="majorBidi"/>
              <w:sz w:val="24"/>
              <w:szCs w:val="24"/>
              <w:lang w:bidi="ar-DZ"/>
            </w:rPr>
            <w:t xml:space="preserve">Sur la base de l'examen d'un ensemble de critères, les résultats de la carte d'évaluation des niveaux de résilience de la ville de Bou-Saâda </w:t>
          </w:r>
          <w:r w:rsidR="004623E5" w:rsidRPr="006C4B84">
            <w:rPr>
              <w:rFonts w:asciiTheme="majorBidi" w:hAnsiTheme="majorBidi" w:cstheme="majorBidi"/>
              <w:sz w:val="24"/>
              <w:szCs w:val="24"/>
              <w:lang w:bidi="ar-DZ"/>
            </w:rPr>
            <w:t xml:space="preserve">a </w:t>
          </w:r>
          <w:r w:rsidRPr="006C4B84">
            <w:rPr>
              <w:rFonts w:asciiTheme="majorBidi" w:hAnsiTheme="majorBidi" w:cstheme="majorBidi"/>
              <w:sz w:val="24"/>
              <w:szCs w:val="24"/>
              <w:lang w:bidi="ar-DZ"/>
            </w:rPr>
            <w:t xml:space="preserve">montré </w:t>
          </w:r>
          <w:r w:rsidR="004623E5" w:rsidRPr="006C4B84">
            <w:rPr>
              <w:rFonts w:asciiTheme="majorBidi" w:hAnsiTheme="majorBidi" w:cstheme="majorBidi"/>
              <w:sz w:val="24"/>
              <w:szCs w:val="24"/>
              <w:lang w:bidi="ar-DZ"/>
            </w:rPr>
            <w:t>que les quartiers non-</w:t>
          </w:r>
          <w:r w:rsidRPr="006C4B84">
            <w:rPr>
              <w:rFonts w:asciiTheme="majorBidi" w:hAnsiTheme="majorBidi" w:cstheme="majorBidi"/>
              <w:sz w:val="24"/>
              <w:szCs w:val="24"/>
              <w:lang w:bidi="ar-DZ"/>
            </w:rPr>
            <w:t>résilients sont les suivants : (Al-Hameyd, Al-Baten, Sidi Slimane and Maytar). Il est important d'étudier les perceptions de la populati</w:t>
          </w:r>
          <w:r w:rsidR="004623E5" w:rsidRPr="006C4B84">
            <w:rPr>
              <w:rFonts w:asciiTheme="majorBidi" w:hAnsiTheme="majorBidi" w:cstheme="majorBidi"/>
              <w:sz w:val="24"/>
              <w:szCs w:val="24"/>
              <w:lang w:bidi="ar-DZ"/>
            </w:rPr>
            <w:t>on locale sur la perturbation d</w:t>
          </w:r>
          <w:r w:rsidRPr="006C4B84">
            <w:rPr>
              <w:rFonts w:asciiTheme="majorBidi" w:hAnsiTheme="majorBidi" w:cstheme="majorBidi"/>
              <w:sz w:val="24"/>
              <w:szCs w:val="24"/>
              <w:lang w:bidi="ar-DZ"/>
            </w:rPr>
            <w:t xml:space="preserve">'accès aux services </w:t>
          </w:r>
          <w:r w:rsidR="004623E5" w:rsidRPr="006C4B84">
            <w:rPr>
              <w:rFonts w:asciiTheme="majorBidi" w:hAnsiTheme="majorBidi" w:cstheme="majorBidi"/>
              <w:sz w:val="24"/>
              <w:szCs w:val="24"/>
              <w:lang w:bidi="ar-DZ"/>
            </w:rPr>
            <w:t>d</w:t>
          </w:r>
          <w:r w:rsidRPr="006C4B84">
            <w:rPr>
              <w:rFonts w:asciiTheme="majorBidi" w:hAnsiTheme="majorBidi" w:cstheme="majorBidi"/>
              <w:sz w:val="24"/>
              <w:szCs w:val="24"/>
              <w:lang w:bidi="ar-DZ"/>
            </w:rPr>
            <w:t>es quartiers non</w:t>
          </w:r>
          <w:r w:rsidR="004623E5" w:rsidRPr="006C4B84">
            <w:rPr>
              <w:rFonts w:asciiTheme="majorBidi" w:hAnsiTheme="majorBidi" w:cstheme="majorBidi"/>
              <w:sz w:val="24"/>
              <w:szCs w:val="24"/>
              <w:lang w:bidi="ar-DZ"/>
            </w:rPr>
            <w:t>-résilients</w:t>
          </w:r>
          <w:r w:rsidRPr="006C4B84">
            <w:rPr>
              <w:rFonts w:asciiTheme="majorBidi" w:hAnsiTheme="majorBidi" w:cstheme="majorBidi"/>
              <w:sz w:val="24"/>
              <w:szCs w:val="24"/>
              <w:lang w:bidi="ar-DZ"/>
            </w:rPr>
            <w:t>. Les résultats de l'enquête ont montré qu'ils manquaient des centres de sécurité et de soins médicaux</w:t>
          </w:r>
          <w:r w:rsidR="004623E5" w:rsidRPr="006C4B84">
            <w:rPr>
              <w:rFonts w:asciiTheme="majorBidi" w:hAnsiTheme="majorBidi" w:cstheme="majorBidi"/>
              <w:sz w:val="24"/>
              <w:szCs w:val="24"/>
              <w:lang w:bidi="ar-DZ"/>
            </w:rPr>
            <w:t>,</w:t>
          </w:r>
          <w:r w:rsidRPr="006C4B84">
            <w:rPr>
              <w:rFonts w:asciiTheme="majorBidi" w:hAnsiTheme="majorBidi" w:cstheme="majorBidi"/>
              <w:sz w:val="24"/>
              <w:szCs w:val="24"/>
              <w:lang w:bidi="ar-DZ"/>
            </w:rPr>
            <w:t xml:space="preserve"> qui selon les experts de Delphi, constituaient des critères importants pour </w:t>
          </w:r>
          <w:r w:rsidR="004623E5" w:rsidRPr="006C4B84">
            <w:rPr>
              <w:rFonts w:asciiTheme="majorBidi" w:hAnsiTheme="majorBidi" w:cstheme="majorBidi"/>
              <w:sz w:val="24"/>
              <w:szCs w:val="24"/>
              <w:lang w:bidi="ar-DZ"/>
            </w:rPr>
            <w:t>améliorer</w:t>
          </w:r>
          <w:r w:rsidRPr="006C4B84">
            <w:rPr>
              <w:rFonts w:asciiTheme="majorBidi" w:hAnsiTheme="majorBidi" w:cstheme="majorBidi"/>
              <w:sz w:val="24"/>
              <w:szCs w:val="24"/>
              <w:lang w:bidi="ar-DZ"/>
            </w:rPr>
            <w:t xml:space="preserve"> la résilience, ainsi l'efficacité de la prise de décisions. Les résultats de l'analyse </w:t>
          </w:r>
          <w:r w:rsidR="004623E5" w:rsidRPr="006C4B84">
            <w:rPr>
              <w:rFonts w:asciiTheme="majorBidi" w:hAnsiTheme="majorBidi" w:cstheme="majorBidi"/>
              <w:sz w:val="24"/>
              <w:szCs w:val="24"/>
              <w:lang w:bidi="ar-DZ"/>
            </w:rPr>
            <w:t>des caractéristiques de la</w:t>
          </w:r>
          <w:r w:rsidRPr="006C4B84">
            <w:rPr>
              <w:rFonts w:asciiTheme="majorBidi" w:hAnsiTheme="majorBidi" w:cstheme="majorBidi"/>
              <w:sz w:val="24"/>
              <w:szCs w:val="24"/>
              <w:lang w:bidi="ar-DZ"/>
            </w:rPr>
            <w:t xml:space="preserve"> résilience spatiale </w:t>
          </w:r>
          <w:r w:rsidRPr="009540C1">
            <w:rPr>
              <w:rFonts w:asciiTheme="majorBidi" w:hAnsiTheme="majorBidi" w:cstheme="majorBidi"/>
              <w:sz w:val="24"/>
              <w:szCs w:val="24"/>
              <w:u w:val="single"/>
              <w:lang w:bidi="ar-DZ"/>
            </w:rPr>
            <w:t>en termes de densité</w:t>
          </w:r>
          <w:r w:rsidRPr="006C4B84">
            <w:rPr>
              <w:rFonts w:asciiTheme="majorBidi" w:hAnsiTheme="majorBidi" w:cstheme="majorBidi"/>
              <w:sz w:val="24"/>
              <w:szCs w:val="24"/>
              <w:lang w:bidi="ar-DZ"/>
            </w:rPr>
            <w:t xml:space="preserve">, </w:t>
          </w:r>
          <w:r w:rsidR="008C162D" w:rsidRPr="006C4B84">
            <w:rPr>
              <w:rFonts w:asciiTheme="majorBidi" w:hAnsiTheme="majorBidi" w:cstheme="majorBidi"/>
              <w:sz w:val="24"/>
              <w:szCs w:val="24"/>
              <w:lang w:bidi="ar-DZ"/>
            </w:rPr>
            <w:t>que les</w:t>
          </w:r>
          <w:r w:rsidRPr="006C4B84">
            <w:rPr>
              <w:rFonts w:asciiTheme="majorBidi" w:hAnsiTheme="majorBidi" w:cstheme="majorBidi"/>
              <w:sz w:val="24"/>
              <w:szCs w:val="24"/>
              <w:lang w:bidi="ar-DZ"/>
            </w:rPr>
            <w:t xml:space="preserve"> quartier</w:t>
          </w:r>
          <w:r w:rsidR="008C162D" w:rsidRPr="006C4B84">
            <w:rPr>
              <w:rFonts w:asciiTheme="majorBidi" w:hAnsiTheme="majorBidi" w:cstheme="majorBidi"/>
              <w:sz w:val="24"/>
              <w:szCs w:val="24"/>
              <w:lang w:bidi="ar-DZ"/>
            </w:rPr>
            <w:t>s</w:t>
          </w:r>
          <w:r w:rsidRPr="006C4B84">
            <w:rPr>
              <w:rFonts w:asciiTheme="majorBidi" w:hAnsiTheme="majorBidi" w:cstheme="majorBidi"/>
              <w:sz w:val="24"/>
              <w:szCs w:val="24"/>
              <w:lang w:bidi="ar-DZ"/>
            </w:rPr>
            <w:t xml:space="preserve"> résidentiel</w:t>
          </w:r>
          <w:r w:rsidR="008C162D" w:rsidRPr="006C4B84">
            <w:rPr>
              <w:rFonts w:asciiTheme="majorBidi" w:hAnsiTheme="majorBidi" w:cstheme="majorBidi"/>
              <w:sz w:val="24"/>
              <w:szCs w:val="24"/>
              <w:lang w:bidi="ar-DZ"/>
            </w:rPr>
            <w:t>s</w:t>
          </w:r>
          <w:r w:rsidRPr="006C4B84">
            <w:rPr>
              <w:rFonts w:asciiTheme="majorBidi" w:hAnsiTheme="majorBidi" w:cstheme="majorBidi"/>
              <w:sz w:val="24"/>
              <w:szCs w:val="24"/>
              <w:lang w:bidi="ar-DZ"/>
            </w:rPr>
            <w:t xml:space="preserve"> </w:t>
          </w:r>
          <w:r w:rsidR="008C162D" w:rsidRPr="006C4B84">
            <w:rPr>
              <w:rFonts w:asciiTheme="majorBidi" w:hAnsiTheme="majorBidi" w:cstheme="majorBidi"/>
              <w:sz w:val="24"/>
              <w:szCs w:val="24"/>
              <w:lang w:bidi="ar-DZ"/>
            </w:rPr>
            <w:t>de</w:t>
          </w:r>
          <w:r w:rsidRPr="006C4B84">
            <w:rPr>
              <w:rFonts w:asciiTheme="majorBidi" w:hAnsiTheme="majorBidi" w:cstheme="majorBidi"/>
              <w:sz w:val="24"/>
              <w:szCs w:val="24"/>
              <w:lang w:bidi="ar-DZ"/>
            </w:rPr>
            <w:t xml:space="preserve"> la catégorie de tissu urbain (b, c, d) a une meilleure capacité d'adaptation spatial que le tissu de la Catégorie urbaine (a), </w:t>
          </w:r>
          <w:r w:rsidRPr="009540C1">
            <w:rPr>
              <w:rFonts w:asciiTheme="majorBidi" w:hAnsiTheme="majorBidi" w:cstheme="majorBidi"/>
              <w:sz w:val="24"/>
              <w:szCs w:val="24"/>
              <w:u w:val="single"/>
              <w:lang w:bidi="ar-DZ"/>
            </w:rPr>
            <w:t>En ce qui concerne la diversité</w:t>
          </w:r>
          <w:r w:rsidRPr="009540C1">
            <w:rPr>
              <w:rFonts w:asciiTheme="majorBidi" w:hAnsiTheme="majorBidi" w:cstheme="majorBidi"/>
              <w:sz w:val="24"/>
              <w:szCs w:val="24"/>
              <w:lang w:bidi="ar-DZ"/>
            </w:rPr>
            <w:t xml:space="preserve">, le quartier Al-Qasr </w:t>
          </w:r>
          <w:r w:rsidR="008C162D" w:rsidRPr="009540C1">
            <w:rPr>
              <w:rFonts w:asciiTheme="majorBidi" w:hAnsiTheme="majorBidi" w:cstheme="majorBidi"/>
              <w:sz w:val="24"/>
              <w:szCs w:val="24"/>
              <w:lang w:bidi="ar-DZ"/>
            </w:rPr>
            <w:t>de</w:t>
          </w:r>
          <w:r w:rsidRPr="009540C1">
            <w:rPr>
              <w:rFonts w:asciiTheme="majorBidi" w:hAnsiTheme="majorBidi" w:cstheme="majorBidi"/>
              <w:sz w:val="24"/>
              <w:szCs w:val="24"/>
              <w:lang w:bidi="ar-DZ"/>
            </w:rPr>
            <w:t xml:space="preserve"> la catégorie des tissus urbains </w:t>
          </w:r>
          <w:r w:rsidR="008C162D" w:rsidRPr="009540C1">
            <w:rPr>
              <w:rFonts w:asciiTheme="majorBidi" w:hAnsiTheme="majorBidi" w:cstheme="majorBidi"/>
              <w:sz w:val="24"/>
              <w:szCs w:val="24"/>
              <w:lang w:bidi="ar-DZ"/>
            </w:rPr>
            <w:t>(</w:t>
          </w:r>
          <w:r w:rsidRPr="009540C1">
            <w:rPr>
              <w:rFonts w:asciiTheme="majorBidi" w:hAnsiTheme="majorBidi" w:cstheme="majorBidi"/>
              <w:sz w:val="24"/>
              <w:szCs w:val="24"/>
              <w:lang w:bidi="ar-DZ"/>
            </w:rPr>
            <w:t>a) et celui d</w:t>
          </w:r>
          <w:r w:rsidR="008C162D" w:rsidRPr="009540C1">
            <w:rPr>
              <w:rFonts w:asciiTheme="majorBidi" w:hAnsiTheme="majorBidi" w:cstheme="majorBidi"/>
              <w:sz w:val="24"/>
              <w:szCs w:val="24"/>
              <w:lang w:bidi="ar-DZ"/>
            </w:rPr>
            <w:t>u quartier</w:t>
          </w:r>
          <w:r w:rsidRPr="009540C1">
            <w:rPr>
              <w:rFonts w:asciiTheme="majorBidi" w:hAnsiTheme="majorBidi" w:cstheme="majorBidi"/>
              <w:sz w:val="24"/>
              <w:szCs w:val="24"/>
              <w:lang w:bidi="ar-DZ"/>
            </w:rPr>
            <w:t xml:space="preserve"> Platon </w:t>
          </w:r>
          <w:r w:rsidR="008C162D" w:rsidRPr="009540C1">
            <w:rPr>
              <w:rFonts w:asciiTheme="majorBidi" w:hAnsiTheme="majorBidi" w:cstheme="majorBidi"/>
              <w:sz w:val="24"/>
              <w:szCs w:val="24"/>
              <w:lang w:bidi="ar-DZ"/>
            </w:rPr>
            <w:t>de</w:t>
          </w:r>
          <w:r w:rsidRPr="009540C1">
            <w:rPr>
              <w:rFonts w:asciiTheme="majorBidi" w:hAnsiTheme="majorBidi" w:cstheme="majorBidi"/>
              <w:sz w:val="24"/>
              <w:szCs w:val="24"/>
              <w:lang w:bidi="ar-DZ"/>
            </w:rPr>
            <w:t xml:space="preserve"> la Catégorie de tissu</w:t>
          </w:r>
          <w:r w:rsidR="008C162D" w:rsidRPr="009540C1">
            <w:rPr>
              <w:rFonts w:asciiTheme="majorBidi" w:hAnsiTheme="majorBidi" w:cstheme="majorBidi"/>
              <w:sz w:val="24"/>
              <w:szCs w:val="24"/>
              <w:lang w:bidi="ar-DZ"/>
            </w:rPr>
            <w:t xml:space="preserve"> urbain</w:t>
          </w:r>
          <w:r w:rsidRPr="009540C1">
            <w:rPr>
              <w:rFonts w:asciiTheme="majorBidi" w:hAnsiTheme="majorBidi" w:cstheme="majorBidi"/>
              <w:sz w:val="24"/>
              <w:szCs w:val="24"/>
              <w:lang w:bidi="ar-DZ"/>
            </w:rPr>
            <w:t xml:space="preserve"> </w:t>
          </w:r>
          <w:r w:rsidR="008C162D" w:rsidRPr="009540C1">
            <w:rPr>
              <w:rFonts w:asciiTheme="majorBidi" w:hAnsiTheme="majorBidi" w:cstheme="majorBidi"/>
              <w:sz w:val="24"/>
              <w:szCs w:val="24"/>
              <w:lang w:bidi="ar-DZ"/>
            </w:rPr>
            <w:t>(</w:t>
          </w:r>
          <w:r w:rsidRPr="009540C1">
            <w:rPr>
              <w:rFonts w:asciiTheme="majorBidi" w:hAnsiTheme="majorBidi" w:cstheme="majorBidi"/>
              <w:sz w:val="24"/>
              <w:szCs w:val="24"/>
              <w:lang w:bidi="ar-DZ"/>
            </w:rPr>
            <w:t xml:space="preserve">b) ont bénéficié d'un degré élevé de diversité des </w:t>
          </w:r>
          <w:r w:rsidR="008C162D" w:rsidRPr="009540C1">
            <w:rPr>
              <w:rFonts w:asciiTheme="majorBidi" w:hAnsiTheme="majorBidi" w:cstheme="majorBidi"/>
              <w:sz w:val="24"/>
              <w:szCs w:val="24"/>
              <w:lang w:bidi="ar-DZ"/>
            </w:rPr>
            <w:t>équipements</w:t>
          </w:r>
          <w:r w:rsidRPr="009540C1">
            <w:rPr>
              <w:rFonts w:asciiTheme="majorBidi" w:hAnsiTheme="majorBidi" w:cstheme="majorBidi"/>
              <w:sz w:val="24"/>
              <w:szCs w:val="24"/>
              <w:lang w:bidi="ar-DZ"/>
            </w:rPr>
            <w:t>, ce qui leur donne</w:t>
          </w:r>
          <w:r w:rsidR="008C162D" w:rsidRPr="009540C1">
            <w:rPr>
              <w:rFonts w:asciiTheme="majorBidi" w:hAnsiTheme="majorBidi" w:cstheme="majorBidi"/>
              <w:sz w:val="24"/>
              <w:szCs w:val="24"/>
              <w:lang w:bidi="ar-DZ"/>
            </w:rPr>
            <w:t>r</w:t>
          </w:r>
          <w:r w:rsidRPr="009540C1">
            <w:rPr>
              <w:rFonts w:asciiTheme="majorBidi" w:hAnsiTheme="majorBidi" w:cstheme="majorBidi"/>
              <w:sz w:val="24"/>
              <w:szCs w:val="24"/>
              <w:lang w:bidi="ar-DZ"/>
            </w:rPr>
            <w:t xml:space="preserve"> une meilleure capacité d'adaptation spa</w:t>
          </w:r>
          <w:r w:rsidR="008C162D" w:rsidRPr="009540C1">
            <w:rPr>
              <w:rFonts w:asciiTheme="majorBidi" w:hAnsiTheme="majorBidi" w:cstheme="majorBidi"/>
              <w:sz w:val="24"/>
              <w:szCs w:val="24"/>
              <w:lang w:bidi="ar-DZ"/>
            </w:rPr>
            <w:t>tiale que celle du tissu urbain</w:t>
          </w:r>
          <w:r w:rsidRPr="009540C1">
            <w:rPr>
              <w:rFonts w:asciiTheme="majorBidi" w:hAnsiTheme="majorBidi" w:cstheme="majorBidi"/>
              <w:sz w:val="24"/>
              <w:szCs w:val="24"/>
              <w:lang w:bidi="ar-DZ"/>
            </w:rPr>
            <w:t xml:space="preserve"> (c, d). </w:t>
          </w:r>
          <w:r w:rsidRPr="009540C1">
            <w:rPr>
              <w:rFonts w:asciiTheme="majorBidi" w:hAnsiTheme="majorBidi" w:cstheme="majorBidi"/>
              <w:sz w:val="24"/>
              <w:szCs w:val="24"/>
              <w:u w:val="single"/>
              <w:lang w:bidi="ar-DZ"/>
            </w:rPr>
            <w:t>En ce qui concerne la connectivité</w:t>
          </w:r>
          <w:r w:rsidRPr="009540C1">
            <w:rPr>
              <w:rFonts w:asciiTheme="majorBidi" w:hAnsiTheme="majorBidi" w:cstheme="majorBidi"/>
              <w:sz w:val="24"/>
              <w:szCs w:val="24"/>
              <w:lang w:bidi="ar-DZ"/>
            </w:rPr>
            <w:t>, la catégorie des tissus urbains (a, b) a montré une meilleure ad</w:t>
          </w:r>
          <w:r w:rsidR="008C162D" w:rsidRPr="009540C1">
            <w:rPr>
              <w:rFonts w:asciiTheme="majorBidi" w:hAnsiTheme="majorBidi" w:cstheme="majorBidi"/>
              <w:sz w:val="24"/>
              <w:szCs w:val="24"/>
              <w:lang w:bidi="ar-DZ"/>
            </w:rPr>
            <w:t>aptabilité spatiale que celle des</w:t>
          </w:r>
          <w:r w:rsidRPr="009540C1">
            <w:rPr>
              <w:rFonts w:asciiTheme="majorBidi" w:hAnsiTheme="majorBidi" w:cstheme="majorBidi"/>
              <w:sz w:val="24"/>
              <w:szCs w:val="24"/>
              <w:lang w:bidi="ar-DZ"/>
            </w:rPr>
            <w:t xml:space="preserve"> tissu</w:t>
          </w:r>
          <w:r w:rsidR="008C162D" w:rsidRPr="009540C1">
            <w:rPr>
              <w:rFonts w:asciiTheme="majorBidi" w:hAnsiTheme="majorBidi" w:cstheme="majorBidi"/>
              <w:sz w:val="24"/>
              <w:szCs w:val="24"/>
              <w:lang w:bidi="ar-DZ"/>
            </w:rPr>
            <w:t>s</w:t>
          </w:r>
          <w:r w:rsidRPr="009540C1">
            <w:rPr>
              <w:rFonts w:asciiTheme="majorBidi" w:hAnsiTheme="majorBidi" w:cstheme="majorBidi"/>
              <w:sz w:val="24"/>
              <w:szCs w:val="24"/>
              <w:lang w:bidi="ar-DZ"/>
            </w:rPr>
            <w:t xml:space="preserve"> urbain</w:t>
          </w:r>
          <w:r w:rsidR="008C162D" w:rsidRPr="009540C1">
            <w:rPr>
              <w:rFonts w:asciiTheme="majorBidi" w:hAnsiTheme="majorBidi" w:cstheme="majorBidi"/>
              <w:sz w:val="24"/>
              <w:szCs w:val="24"/>
              <w:lang w:bidi="ar-DZ"/>
            </w:rPr>
            <w:t xml:space="preserve">s </w:t>
          </w:r>
          <w:r w:rsidRPr="009540C1">
            <w:rPr>
              <w:rFonts w:asciiTheme="majorBidi" w:hAnsiTheme="majorBidi" w:cstheme="majorBidi"/>
              <w:sz w:val="24"/>
              <w:szCs w:val="24"/>
              <w:lang w:bidi="ar-DZ"/>
            </w:rPr>
            <w:t>(c,</w:t>
          </w:r>
          <w:r w:rsidR="008C162D" w:rsidRPr="009540C1">
            <w:rPr>
              <w:rFonts w:asciiTheme="majorBidi" w:hAnsiTheme="majorBidi" w:cstheme="majorBidi"/>
              <w:sz w:val="24"/>
              <w:szCs w:val="24"/>
              <w:lang w:bidi="ar-DZ"/>
            </w:rPr>
            <w:t xml:space="preserve"> </w:t>
          </w:r>
          <w:r w:rsidRPr="009540C1">
            <w:rPr>
              <w:rFonts w:asciiTheme="majorBidi" w:hAnsiTheme="majorBidi" w:cstheme="majorBidi"/>
              <w:sz w:val="24"/>
              <w:szCs w:val="24"/>
              <w:lang w:bidi="ar-DZ"/>
            </w:rPr>
            <w:t xml:space="preserve">d). En ce qui </w:t>
          </w:r>
          <w:r w:rsidRPr="009540C1">
            <w:rPr>
              <w:rFonts w:asciiTheme="majorBidi" w:hAnsiTheme="majorBidi" w:cstheme="majorBidi"/>
              <w:sz w:val="24"/>
              <w:szCs w:val="24"/>
              <w:u w:val="single"/>
              <w:lang w:bidi="ar-DZ"/>
            </w:rPr>
            <w:t xml:space="preserve">concerne </w:t>
          </w:r>
          <w:r w:rsidR="008C162D" w:rsidRPr="009540C1">
            <w:rPr>
              <w:rFonts w:asciiTheme="majorBidi" w:hAnsiTheme="majorBidi" w:cstheme="majorBidi"/>
              <w:sz w:val="24"/>
              <w:szCs w:val="24"/>
              <w:u w:val="single"/>
              <w:lang w:bidi="ar-DZ"/>
            </w:rPr>
            <w:t>la redondance</w:t>
          </w:r>
          <w:r w:rsidRPr="009540C1">
            <w:rPr>
              <w:rFonts w:asciiTheme="majorBidi" w:hAnsiTheme="majorBidi" w:cstheme="majorBidi"/>
              <w:sz w:val="24"/>
              <w:szCs w:val="24"/>
              <w:lang w:bidi="ar-DZ"/>
            </w:rPr>
            <w:t xml:space="preserve">, la </w:t>
          </w:r>
          <w:r w:rsidRPr="006C4B84">
            <w:rPr>
              <w:rFonts w:asciiTheme="majorBidi" w:hAnsiTheme="majorBidi" w:cstheme="majorBidi"/>
              <w:sz w:val="24"/>
              <w:szCs w:val="24"/>
              <w:lang w:bidi="ar-DZ"/>
            </w:rPr>
            <w:t xml:space="preserve">catégorie de tissus urbains (a) a obtenu de </w:t>
          </w:r>
          <w:r w:rsidR="00ED7571" w:rsidRPr="006C4B84">
            <w:rPr>
              <w:rFonts w:asciiTheme="majorBidi" w:hAnsiTheme="majorBidi" w:cstheme="majorBidi"/>
              <w:sz w:val="24"/>
              <w:szCs w:val="24"/>
              <w:lang w:bidi="ar-DZ"/>
            </w:rPr>
            <w:t>basse</w:t>
          </w:r>
          <w:r w:rsidRPr="006C4B84">
            <w:rPr>
              <w:rFonts w:asciiTheme="majorBidi" w:hAnsiTheme="majorBidi" w:cstheme="majorBidi"/>
              <w:sz w:val="24"/>
              <w:szCs w:val="24"/>
              <w:lang w:bidi="ar-DZ"/>
            </w:rPr>
            <w:t xml:space="preserve"> valeurs pour les mesures: densité d'intersection</w:t>
          </w:r>
          <w:r w:rsidR="004B7C45" w:rsidRPr="006C4B84">
            <w:rPr>
              <w:rFonts w:asciiTheme="majorBidi" w:hAnsiTheme="majorBidi" w:cstheme="majorBidi"/>
              <w:sz w:val="24"/>
              <w:szCs w:val="24"/>
              <w:lang w:bidi="ar-DZ"/>
            </w:rPr>
            <w:t xml:space="preserve"> (</w:t>
          </w:r>
          <m:oMath>
            <m:sSub>
              <m:sSubPr>
                <m:ctrlPr>
                  <w:rPr>
                    <w:rFonts w:ascii="Cambria Math" w:hAnsi="Cambria Math" w:cs="Cambria Math"/>
                    <w:sz w:val="28"/>
                    <w:szCs w:val="28"/>
                  </w:rPr>
                </m:ctrlPr>
              </m:sSubPr>
              <m:e>
                <m:r>
                  <m:rPr>
                    <m:sty m:val="p"/>
                  </m:rPr>
                  <w:rPr>
                    <w:rFonts w:ascii="Cambria Math" w:hAnsi="Cambria Math" w:cs="Cambria Math"/>
                    <w:sz w:val="28"/>
                    <w:szCs w:val="28"/>
                  </w:rPr>
                  <m:t>D</m:t>
                </m:r>
              </m:e>
              <m:sub>
                <m:r>
                  <w:rPr>
                    <w:rFonts w:ascii="Cambria Math" w:hAnsi="Cambria Math" w:cs="Cambria Math"/>
                    <w:sz w:val="28"/>
                    <w:szCs w:val="28"/>
                  </w:rPr>
                  <m:t>e</m:t>
                </m:r>
              </m:sub>
            </m:sSub>
          </m:oMath>
          <w:r w:rsidR="004B7C45" w:rsidRPr="006C4B84">
            <w:rPr>
              <w:rFonts w:asciiTheme="majorBidi" w:hAnsiTheme="majorBidi" w:cstheme="majorBidi"/>
              <w:sz w:val="24"/>
              <w:szCs w:val="24"/>
              <w:lang w:bidi="ar-DZ"/>
            </w:rPr>
            <w:t xml:space="preserve">), </w:t>
          </w:r>
          <w:r w:rsidR="00AA7E5E" w:rsidRPr="006C4B84">
            <w:rPr>
              <w:rFonts w:asciiTheme="majorBidi" w:hAnsiTheme="majorBidi" w:cstheme="majorBidi"/>
              <w:sz w:val="24"/>
              <w:szCs w:val="24"/>
              <w:lang w:bidi="ar-DZ"/>
            </w:rPr>
            <w:t xml:space="preserve">Ratio </w:t>
          </w:r>
          <w:r w:rsidR="00687F18" w:rsidRPr="006C4B84">
            <w:rPr>
              <w:rFonts w:asciiTheme="majorBidi" w:hAnsiTheme="majorBidi" w:cstheme="majorBidi"/>
              <w:sz w:val="24"/>
              <w:szCs w:val="24"/>
              <w:lang w:bidi="ar-DZ"/>
            </w:rPr>
            <w:t>Liaison-N</w:t>
          </w:r>
          <w:r w:rsidR="00AA7E5E" w:rsidRPr="006C4B84">
            <w:rPr>
              <w:rFonts w:asciiTheme="majorBidi" w:hAnsiTheme="majorBidi" w:cstheme="majorBidi"/>
              <w:sz w:val="24"/>
              <w:szCs w:val="24"/>
              <w:lang w:bidi="ar-DZ"/>
            </w:rPr>
            <w:t xml:space="preserve">œuds </w:t>
          </w:r>
          <w:r w:rsidR="004B7C45" w:rsidRPr="006C4B84">
            <w:rPr>
              <w:rFonts w:asciiTheme="majorBidi" w:hAnsiTheme="majorBidi" w:cstheme="majorBidi"/>
              <w:sz w:val="24"/>
              <w:szCs w:val="24"/>
              <w:lang w:bidi="ar-DZ"/>
            </w:rPr>
            <w:t xml:space="preserve">(LNR) </w:t>
          </w:r>
          <w:r w:rsidRPr="006C4B84">
            <w:rPr>
              <w:rFonts w:asciiTheme="majorBidi" w:hAnsiTheme="majorBidi" w:cstheme="majorBidi"/>
              <w:sz w:val="24"/>
              <w:szCs w:val="24"/>
              <w:lang w:bidi="ar-DZ"/>
            </w:rPr>
            <w:t xml:space="preserve">et </w:t>
          </w:r>
          <w:r w:rsidR="004B7C45" w:rsidRPr="006C4B84">
            <w:rPr>
              <w:rFonts w:asciiTheme="majorBidi" w:hAnsiTheme="majorBidi" w:cstheme="majorBidi"/>
              <w:sz w:val="24"/>
              <w:szCs w:val="24"/>
              <w:lang w:bidi="ar-DZ"/>
            </w:rPr>
            <w:t xml:space="preserve">Ratio des </w:t>
          </w:r>
          <w:r w:rsidR="00687F18" w:rsidRPr="006C4B84">
            <w:rPr>
              <w:rFonts w:asciiTheme="majorBidi" w:hAnsiTheme="majorBidi" w:cstheme="majorBidi"/>
              <w:sz w:val="24"/>
              <w:szCs w:val="24"/>
              <w:lang w:bidi="ar-DZ"/>
            </w:rPr>
            <w:t>N</w:t>
          </w:r>
          <w:r w:rsidR="00EE383E" w:rsidRPr="006C4B84">
            <w:rPr>
              <w:rFonts w:asciiTheme="majorBidi" w:hAnsiTheme="majorBidi" w:cstheme="majorBidi"/>
              <w:sz w:val="24"/>
              <w:szCs w:val="24"/>
              <w:lang w:bidi="ar-DZ"/>
            </w:rPr>
            <w:t>œuds Connectés</w:t>
          </w:r>
          <w:r w:rsidR="004B7C45" w:rsidRPr="006C4B84">
            <w:rPr>
              <w:rFonts w:asciiTheme="majorBidi" w:hAnsiTheme="majorBidi" w:cstheme="majorBidi"/>
              <w:sz w:val="24"/>
              <w:szCs w:val="24"/>
              <w:lang w:bidi="ar-DZ"/>
            </w:rPr>
            <w:t xml:space="preserve"> (CNR),</w:t>
          </w:r>
          <w:r w:rsidRPr="006C4B84">
            <w:rPr>
              <w:rFonts w:asciiTheme="majorBidi" w:hAnsiTheme="majorBidi" w:cstheme="majorBidi"/>
              <w:sz w:val="24"/>
              <w:szCs w:val="24"/>
              <w:lang w:bidi="ar-DZ"/>
            </w:rPr>
            <w:t xml:space="preserve"> tandis que </w:t>
          </w:r>
          <w:r w:rsidR="00ED7571" w:rsidRPr="006C4B84">
            <w:rPr>
              <w:rFonts w:asciiTheme="majorBidi" w:hAnsiTheme="majorBidi" w:cstheme="majorBidi"/>
              <w:sz w:val="24"/>
              <w:szCs w:val="24"/>
              <w:lang w:bidi="ar-DZ"/>
            </w:rPr>
            <w:t>les catégories des tissus urbains</w:t>
          </w:r>
          <w:r w:rsidRPr="006C4B84">
            <w:rPr>
              <w:rFonts w:asciiTheme="majorBidi" w:hAnsiTheme="majorBidi" w:cstheme="majorBidi"/>
              <w:sz w:val="24"/>
              <w:szCs w:val="24"/>
              <w:lang w:bidi="ar-DZ"/>
            </w:rPr>
            <w:t xml:space="preserve"> (b, c, d) a augmenté de manière significative leur niveaux de capacités </w:t>
          </w:r>
          <w:r w:rsidR="00ED7571" w:rsidRPr="006C4B84">
            <w:rPr>
              <w:rFonts w:asciiTheme="majorBidi" w:hAnsiTheme="majorBidi" w:cstheme="majorBidi"/>
              <w:sz w:val="24"/>
              <w:szCs w:val="24"/>
              <w:lang w:bidi="ar-DZ"/>
            </w:rPr>
            <w:t xml:space="preserve">d'adaptation </w:t>
          </w:r>
          <w:r w:rsidRPr="006C4B84">
            <w:rPr>
              <w:rFonts w:asciiTheme="majorBidi" w:hAnsiTheme="majorBidi" w:cstheme="majorBidi"/>
              <w:sz w:val="24"/>
              <w:szCs w:val="24"/>
              <w:lang w:bidi="ar-DZ"/>
            </w:rPr>
            <w:t xml:space="preserve">spatial. </w:t>
          </w:r>
        </w:p>
        <w:p w:rsidR="00DE72CF" w:rsidRPr="006C4B84" w:rsidRDefault="00DE72CF" w:rsidP="00B27D5B">
          <w:pPr>
            <w:spacing w:before="240" w:after="0" w:line="240" w:lineRule="auto"/>
            <w:ind w:firstLine="284"/>
            <w:jc w:val="both"/>
            <w:rPr>
              <w:rFonts w:asciiTheme="majorBidi" w:hAnsiTheme="majorBidi" w:cstheme="majorBidi"/>
              <w:sz w:val="24"/>
              <w:szCs w:val="24"/>
              <w:lang w:bidi="ar-DZ"/>
            </w:rPr>
          </w:pPr>
          <w:r w:rsidRPr="006C4B84">
            <w:rPr>
              <w:rFonts w:asciiTheme="majorBidi" w:hAnsiTheme="majorBidi" w:cstheme="majorBidi"/>
              <w:sz w:val="24"/>
              <w:szCs w:val="24"/>
              <w:lang w:bidi="ar-DZ"/>
            </w:rPr>
            <w:t xml:space="preserve">Le but de l'évaluation des niveaux de résilience était de démontrer la capacité d'une ville à réagir lors d'un choc. Le but de la détection de la disponibilité des quatre caractéristiques de résilience spatiale (densité, diversité, redondance et connectivité) est de démontrer la capacité de la </w:t>
          </w:r>
          <w:r w:rsidR="00ED7571" w:rsidRPr="006C4B84">
            <w:rPr>
              <w:rFonts w:asciiTheme="majorBidi" w:hAnsiTheme="majorBidi" w:cstheme="majorBidi"/>
              <w:sz w:val="24"/>
              <w:szCs w:val="24"/>
              <w:lang w:bidi="ar-DZ"/>
            </w:rPr>
            <w:t>v</w:t>
          </w:r>
          <w:r w:rsidRPr="006C4B84">
            <w:rPr>
              <w:rFonts w:asciiTheme="majorBidi" w:hAnsiTheme="majorBidi" w:cstheme="majorBidi"/>
              <w:sz w:val="24"/>
              <w:szCs w:val="24"/>
              <w:lang w:bidi="ar-DZ"/>
            </w:rPr>
            <w:t xml:space="preserve">ille de </w:t>
          </w:r>
          <w:r w:rsidR="00ED7571" w:rsidRPr="006C4B84">
            <w:rPr>
              <w:rFonts w:asciiTheme="majorBidi" w:hAnsiTheme="majorBidi" w:cstheme="majorBidi"/>
              <w:sz w:val="24"/>
              <w:szCs w:val="24"/>
              <w:lang w:bidi="ar-DZ"/>
            </w:rPr>
            <w:t xml:space="preserve">Bou-Saâda </w:t>
          </w:r>
          <w:r w:rsidRPr="006C4B84">
            <w:rPr>
              <w:rFonts w:asciiTheme="majorBidi" w:hAnsiTheme="majorBidi" w:cstheme="majorBidi"/>
              <w:sz w:val="24"/>
              <w:szCs w:val="24"/>
              <w:lang w:bidi="ar-DZ"/>
            </w:rPr>
            <w:t xml:space="preserve">à s'adapter spatialement grâce </w:t>
          </w:r>
          <w:r w:rsidR="00ED7571" w:rsidRPr="006C4B84">
            <w:rPr>
              <w:rFonts w:asciiTheme="majorBidi" w:hAnsiTheme="majorBidi" w:cstheme="majorBidi"/>
              <w:sz w:val="24"/>
              <w:szCs w:val="24"/>
              <w:lang w:bidi="ar-DZ"/>
            </w:rPr>
            <w:t>au cours de leur</w:t>
          </w:r>
          <w:r w:rsidRPr="006C4B84">
            <w:rPr>
              <w:rFonts w:asciiTheme="majorBidi" w:hAnsiTheme="majorBidi" w:cstheme="majorBidi"/>
              <w:sz w:val="24"/>
              <w:szCs w:val="24"/>
              <w:lang w:bidi="ar-DZ"/>
            </w:rPr>
            <w:t xml:space="preserve"> croissance urbaine, </w:t>
          </w:r>
          <w:r w:rsidR="00ED7571" w:rsidRPr="006C4B84">
            <w:rPr>
              <w:rFonts w:asciiTheme="majorBidi" w:hAnsiTheme="majorBidi" w:cstheme="majorBidi"/>
              <w:sz w:val="24"/>
              <w:szCs w:val="24"/>
              <w:lang w:bidi="ar-DZ"/>
            </w:rPr>
            <w:t xml:space="preserve">et ce, à travers </w:t>
          </w:r>
          <w:r w:rsidRPr="006C4B84">
            <w:rPr>
              <w:rFonts w:asciiTheme="majorBidi" w:hAnsiTheme="majorBidi" w:cstheme="majorBidi"/>
              <w:sz w:val="24"/>
              <w:szCs w:val="24"/>
              <w:lang w:bidi="ar-DZ"/>
            </w:rPr>
            <w:t>de</w:t>
          </w:r>
          <w:r w:rsidR="00ED7571" w:rsidRPr="006C4B84">
            <w:rPr>
              <w:rFonts w:asciiTheme="majorBidi" w:hAnsiTheme="majorBidi" w:cstheme="majorBidi"/>
              <w:sz w:val="24"/>
              <w:szCs w:val="24"/>
              <w:lang w:bidi="ar-DZ"/>
            </w:rPr>
            <w:t xml:space="preserve"> la</w:t>
          </w:r>
          <w:r w:rsidRPr="006C4B84">
            <w:rPr>
              <w:rFonts w:asciiTheme="majorBidi" w:hAnsiTheme="majorBidi" w:cstheme="majorBidi"/>
              <w:sz w:val="24"/>
              <w:szCs w:val="24"/>
              <w:lang w:bidi="ar-DZ"/>
            </w:rPr>
            <w:t xml:space="preserve"> planification et des interventions d'amélioration urbaines </w:t>
          </w:r>
          <w:r w:rsidR="00B27D5B" w:rsidRPr="006C4B84">
            <w:rPr>
              <w:rFonts w:asciiTheme="majorBidi" w:hAnsiTheme="majorBidi" w:cstheme="majorBidi"/>
              <w:sz w:val="24"/>
              <w:szCs w:val="24"/>
              <w:lang w:bidi="ar-DZ"/>
            </w:rPr>
            <w:t>d</w:t>
          </w:r>
          <w:r w:rsidRPr="006C4B84">
            <w:rPr>
              <w:rFonts w:asciiTheme="majorBidi" w:hAnsiTheme="majorBidi" w:cstheme="majorBidi"/>
              <w:sz w:val="24"/>
              <w:szCs w:val="24"/>
              <w:lang w:bidi="ar-DZ"/>
            </w:rPr>
            <w:t xml:space="preserve">es quartiers. </w:t>
          </w:r>
        </w:p>
        <w:p w:rsidR="00DE72CF" w:rsidRDefault="00DE72CF" w:rsidP="00B27D5B">
          <w:pPr>
            <w:spacing w:before="240" w:after="0" w:line="240" w:lineRule="auto"/>
            <w:ind w:firstLine="284"/>
            <w:jc w:val="both"/>
            <w:rPr>
              <w:rFonts w:asciiTheme="majorBidi" w:hAnsiTheme="majorBidi" w:cstheme="majorBidi"/>
              <w:sz w:val="24"/>
              <w:szCs w:val="24"/>
              <w:lang w:bidi="ar-DZ"/>
            </w:rPr>
          </w:pPr>
          <w:r w:rsidRPr="006C4B84">
            <w:rPr>
              <w:rFonts w:asciiTheme="majorBidi" w:hAnsiTheme="majorBidi" w:cstheme="majorBidi"/>
              <w:sz w:val="24"/>
              <w:szCs w:val="24"/>
              <w:lang w:bidi="ar-DZ"/>
            </w:rPr>
            <w:t xml:space="preserve">Les résultats de cette étude sont résumés dans un ensemble de principes de conception urbaine. Il pourrait aider les concepteurs et les planificateurs </w:t>
          </w:r>
          <w:r w:rsidR="00B27D5B" w:rsidRPr="006C4B84">
            <w:rPr>
              <w:rFonts w:asciiTheme="majorBidi" w:hAnsiTheme="majorBidi" w:cstheme="majorBidi"/>
              <w:sz w:val="24"/>
              <w:szCs w:val="24"/>
              <w:lang w:bidi="ar-DZ"/>
            </w:rPr>
            <w:t>de mieux orienter</w:t>
          </w:r>
          <w:r w:rsidRPr="006C4B84">
            <w:rPr>
              <w:rFonts w:asciiTheme="majorBidi" w:hAnsiTheme="majorBidi" w:cstheme="majorBidi"/>
              <w:sz w:val="24"/>
              <w:szCs w:val="24"/>
              <w:lang w:bidi="ar-DZ"/>
            </w:rPr>
            <w:t xml:space="preserve"> </w:t>
          </w:r>
          <w:r w:rsidR="00B27D5B" w:rsidRPr="006C4B84">
            <w:rPr>
              <w:rFonts w:asciiTheme="majorBidi" w:hAnsiTheme="majorBidi" w:cstheme="majorBidi"/>
              <w:sz w:val="24"/>
              <w:szCs w:val="24"/>
              <w:lang w:bidi="ar-DZ"/>
            </w:rPr>
            <w:t>l’occupation du sol urbain</w:t>
          </w:r>
          <w:r w:rsidRPr="006C4B84">
            <w:rPr>
              <w:rFonts w:asciiTheme="majorBidi" w:hAnsiTheme="majorBidi" w:cstheme="majorBidi"/>
              <w:sz w:val="24"/>
              <w:szCs w:val="24"/>
              <w:lang w:bidi="ar-DZ"/>
            </w:rPr>
            <w:t xml:space="preserve">. </w:t>
          </w:r>
          <w:r w:rsidR="00B27D5B" w:rsidRPr="006C4B84">
            <w:rPr>
              <w:rFonts w:asciiTheme="majorBidi" w:hAnsiTheme="majorBidi" w:cstheme="majorBidi"/>
              <w:sz w:val="24"/>
              <w:szCs w:val="24"/>
              <w:lang w:bidi="ar-DZ"/>
            </w:rPr>
            <w:t>Et ce, e</w:t>
          </w:r>
          <w:r w:rsidRPr="006C4B84">
            <w:rPr>
              <w:rFonts w:asciiTheme="majorBidi" w:hAnsiTheme="majorBidi" w:cstheme="majorBidi"/>
              <w:sz w:val="24"/>
              <w:szCs w:val="24"/>
              <w:lang w:bidi="ar-DZ"/>
            </w:rPr>
            <w:t>n</w:t>
          </w:r>
          <w:r w:rsidR="00B27D5B" w:rsidRPr="006C4B84">
            <w:rPr>
              <w:rFonts w:asciiTheme="majorBidi" w:hAnsiTheme="majorBidi" w:cstheme="majorBidi"/>
              <w:sz w:val="24"/>
              <w:szCs w:val="24"/>
              <w:lang w:bidi="ar-DZ"/>
            </w:rPr>
            <w:t xml:space="preserve"> utilisant</w:t>
          </w:r>
          <w:r w:rsidRPr="006C4B84">
            <w:rPr>
              <w:rFonts w:asciiTheme="majorBidi" w:hAnsiTheme="majorBidi" w:cstheme="majorBidi"/>
              <w:sz w:val="24"/>
              <w:szCs w:val="24"/>
              <w:lang w:bidi="ar-DZ"/>
            </w:rPr>
            <w:t xml:space="preserve"> ces caractéristiques de résilience spatiale (densité, diversité, redondance et connectivité), pour créer des </w:t>
          </w:r>
          <w:r w:rsidR="00B27D5B" w:rsidRPr="006C4B84">
            <w:rPr>
              <w:rFonts w:asciiTheme="majorBidi" w:hAnsiTheme="majorBidi" w:cstheme="majorBidi"/>
              <w:sz w:val="24"/>
              <w:szCs w:val="24"/>
              <w:lang w:bidi="ar-DZ"/>
            </w:rPr>
            <w:t xml:space="preserve">villes a des </w:t>
          </w:r>
          <w:r w:rsidRPr="006C4B84">
            <w:rPr>
              <w:rFonts w:asciiTheme="majorBidi" w:hAnsiTheme="majorBidi" w:cstheme="majorBidi"/>
              <w:sz w:val="24"/>
              <w:szCs w:val="24"/>
              <w:lang w:bidi="ar-DZ"/>
            </w:rPr>
            <w:t xml:space="preserve">endroits plus résilients, </w:t>
          </w:r>
          <w:r w:rsidR="00B27D5B" w:rsidRPr="006C4B84">
            <w:rPr>
              <w:rFonts w:asciiTheme="majorBidi" w:hAnsiTheme="majorBidi" w:cstheme="majorBidi"/>
              <w:sz w:val="24"/>
              <w:szCs w:val="24"/>
              <w:lang w:bidi="ar-DZ"/>
            </w:rPr>
            <w:t>pour montrer</w:t>
          </w:r>
          <w:r w:rsidRPr="006C4B84">
            <w:rPr>
              <w:rFonts w:asciiTheme="majorBidi" w:hAnsiTheme="majorBidi" w:cstheme="majorBidi"/>
              <w:sz w:val="24"/>
              <w:szCs w:val="24"/>
              <w:lang w:bidi="ar-DZ"/>
            </w:rPr>
            <w:t xml:space="preserve"> </w:t>
          </w:r>
          <w:r w:rsidR="00B27D5B" w:rsidRPr="006C4B84">
            <w:rPr>
              <w:rFonts w:asciiTheme="majorBidi" w:hAnsiTheme="majorBidi" w:cstheme="majorBidi"/>
              <w:sz w:val="24"/>
              <w:szCs w:val="24"/>
              <w:lang w:bidi="ar-DZ"/>
            </w:rPr>
            <w:t>leurs</w:t>
          </w:r>
          <w:r w:rsidRPr="006C4B84">
            <w:rPr>
              <w:rFonts w:asciiTheme="majorBidi" w:hAnsiTheme="majorBidi" w:cstheme="majorBidi"/>
              <w:sz w:val="24"/>
              <w:szCs w:val="24"/>
              <w:lang w:bidi="ar-DZ"/>
            </w:rPr>
            <w:t xml:space="preserve"> capacités </w:t>
          </w:r>
          <w:r w:rsidR="00B27D5B" w:rsidRPr="006C4B84">
            <w:rPr>
              <w:rFonts w:asciiTheme="majorBidi" w:hAnsiTheme="majorBidi" w:cstheme="majorBidi"/>
              <w:sz w:val="24"/>
              <w:szCs w:val="24"/>
              <w:lang w:bidi="ar-DZ"/>
            </w:rPr>
            <w:t>de</w:t>
          </w:r>
          <w:r w:rsidRPr="006C4B84">
            <w:rPr>
              <w:rFonts w:asciiTheme="majorBidi" w:hAnsiTheme="majorBidi" w:cstheme="majorBidi"/>
              <w:sz w:val="24"/>
              <w:szCs w:val="24"/>
              <w:lang w:bidi="ar-DZ"/>
            </w:rPr>
            <w:t xml:space="preserve"> réagir et</w:t>
          </w:r>
          <w:r w:rsidR="00B27D5B" w:rsidRPr="006C4B84">
            <w:rPr>
              <w:rFonts w:asciiTheme="majorBidi" w:hAnsiTheme="majorBidi" w:cstheme="majorBidi"/>
              <w:sz w:val="24"/>
              <w:szCs w:val="24"/>
              <w:lang w:bidi="ar-DZ"/>
            </w:rPr>
            <w:t xml:space="preserve"> de</w:t>
          </w:r>
          <w:r w:rsidRPr="006C4B84">
            <w:rPr>
              <w:rFonts w:asciiTheme="majorBidi" w:hAnsiTheme="majorBidi" w:cstheme="majorBidi"/>
              <w:sz w:val="24"/>
              <w:szCs w:val="24"/>
              <w:lang w:bidi="ar-DZ"/>
            </w:rPr>
            <w:t xml:space="preserve"> s’adapter pendant une perturbation.</w:t>
          </w:r>
        </w:p>
        <w:p w:rsidR="006C4B84" w:rsidRPr="006C4B84" w:rsidRDefault="006C4B84" w:rsidP="00B27D5B">
          <w:pPr>
            <w:spacing w:before="240" w:after="0" w:line="240" w:lineRule="auto"/>
            <w:ind w:firstLine="284"/>
            <w:jc w:val="both"/>
            <w:rPr>
              <w:rFonts w:asciiTheme="majorBidi" w:hAnsiTheme="majorBidi" w:cstheme="majorBidi"/>
              <w:sz w:val="24"/>
              <w:szCs w:val="24"/>
              <w:lang w:bidi="ar-DZ"/>
            </w:rPr>
          </w:pPr>
        </w:p>
        <w:p w:rsidR="001355C5" w:rsidRPr="00DE72CF" w:rsidRDefault="00DE72CF" w:rsidP="00DE72CF">
          <w:pPr>
            <w:spacing w:before="240" w:after="0" w:line="240" w:lineRule="auto"/>
            <w:ind w:firstLine="284"/>
            <w:jc w:val="both"/>
            <w:rPr>
              <w:rFonts w:asciiTheme="majorBidi" w:hAnsiTheme="majorBidi" w:cs="Times New Roman"/>
              <w:lang w:bidi="ar-DZ"/>
            </w:rPr>
          </w:pPr>
          <w:r w:rsidRPr="00DE72CF">
            <w:rPr>
              <w:rFonts w:asciiTheme="majorBidi" w:hAnsiTheme="majorBidi" w:cstheme="majorBidi"/>
              <w:b/>
              <w:bCs/>
              <w:sz w:val="24"/>
              <w:szCs w:val="24"/>
              <w:lang w:bidi="ar-DZ"/>
            </w:rPr>
            <w:t>Mots clés :</w:t>
          </w:r>
          <w:r w:rsidRPr="00DE72CF">
            <w:rPr>
              <w:rFonts w:asciiTheme="majorBidi" w:hAnsiTheme="majorBidi" w:cstheme="majorBidi"/>
              <w:sz w:val="24"/>
              <w:szCs w:val="24"/>
              <w:lang w:bidi="ar-DZ"/>
            </w:rPr>
            <w:t xml:space="preserve"> </w:t>
          </w:r>
          <w:r w:rsidRPr="00DE72CF">
            <w:rPr>
              <w:rFonts w:asciiTheme="majorBidi" w:hAnsiTheme="majorBidi" w:cstheme="majorBidi"/>
              <w:lang w:bidi="ar-DZ"/>
            </w:rPr>
            <w:t xml:space="preserve">Résilience, </w:t>
          </w:r>
          <w:r>
            <w:rPr>
              <w:rFonts w:asciiTheme="majorBidi" w:hAnsiTheme="majorBidi" w:cstheme="majorBidi"/>
              <w:lang w:bidi="ar-DZ"/>
            </w:rPr>
            <w:t>Occupation du Sol Urbains</w:t>
          </w:r>
          <w:r w:rsidRPr="00DE72CF">
            <w:rPr>
              <w:rFonts w:asciiTheme="majorBidi" w:hAnsiTheme="majorBidi" w:cstheme="majorBidi"/>
              <w:lang w:bidi="ar-DZ"/>
            </w:rPr>
            <w:t>, Tissu Urbain, Résiliences Spatiales, Bou-Saâda.</w:t>
          </w:r>
          <w:r w:rsidRPr="00DE72CF">
            <w:rPr>
              <w:rFonts w:asciiTheme="majorBidi" w:hAnsiTheme="majorBidi" w:cs="Times New Roman"/>
              <w:lang w:bidi="ar-DZ"/>
            </w:rPr>
            <w:t xml:space="preserve"> </w:t>
          </w:r>
        </w:p>
        <w:bookmarkStart w:id="8" w:name="_Toc171803275" w:displacedByCustomXml="next"/>
        <w:sdt>
          <w:sdtPr>
            <w:rPr>
              <w:rFonts w:ascii="Simplified Arabic" w:eastAsiaTheme="minorHAnsi" w:hAnsi="Simplified Arabic" w:cs="Simplified Arabic"/>
              <w:b w:val="0"/>
              <w:bCs w:val="0"/>
              <w:color w:val="000000" w:themeColor="text1"/>
              <w:sz w:val="22"/>
              <w:szCs w:val="22"/>
              <w:rtl/>
              <w:lang w:eastAsia="en-US"/>
            </w:rPr>
            <w:id w:val="-1259294602"/>
            <w:docPartObj>
              <w:docPartGallery w:val="Table of Contents"/>
              <w:docPartUnique/>
            </w:docPartObj>
          </w:sdtPr>
          <w:sdtEndPr>
            <w:rPr>
              <w:color w:val="auto"/>
            </w:rPr>
          </w:sdtEndPr>
          <w:sdtContent>
            <w:p w:rsidR="004D4613" w:rsidRPr="00701356" w:rsidRDefault="00A24458" w:rsidP="00F4223D">
              <w:pPr>
                <w:pStyle w:val="En-ttedetabledesmatires"/>
                <w:shd w:val="clear" w:color="auto" w:fill="D9D9D9" w:themeFill="background1" w:themeFillShade="D9"/>
                <w:bidi/>
                <w:spacing w:before="0" w:after="240" w:line="240" w:lineRule="auto"/>
                <w:jc w:val="center"/>
                <w:outlineLvl w:val="0"/>
                <w:rPr>
                  <w:rFonts w:ascii="Simplified Arabic" w:hAnsi="Simplified Arabic" w:cs="Simplified Arabic"/>
                  <w:color w:val="000000" w:themeColor="text1"/>
                  <w:sz w:val="22"/>
                  <w:szCs w:val="22"/>
                  <w:lang w:val="en-US"/>
                </w:rPr>
              </w:pPr>
              <w:r w:rsidRPr="00463944">
                <w:rPr>
                  <w:rFonts w:ascii="Simplified Arabic" w:hAnsi="Simplified Arabic" w:cs="Simplified Arabic"/>
                  <w:color w:val="000000" w:themeColor="text1"/>
                  <w:sz w:val="22"/>
                  <w:szCs w:val="22"/>
                  <w:rtl/>
                </w:rPr>
                <w:t>فهرس المحتويات</w:t>
              </w:r>
              <w:bookmarkEnd w:id="8"/>
            </w:p>
            <w:p w:rsidR="00F4223D" w:rsidRDefault="004D4613" w:rsidP="009579D2">
              <w:pPr>
                <w:pStyle w:val="TM1"/>
                <w:rPr>
                  <w:rFonts w:asciiTheme="minorHAnsi" w:hAnsiTheme="minorHAnsi" w:cstheme="minorBidi"/>
                  <w:color w:val="auto"/>
                  <w:lang w:val="fr-FR" w:bidi="ar-SA"/>
                </w:rPr>
              </w:pPr>
              <w:r w:rsidRPr="00463944">
                <w:rPr>
                  <w:rFonts w:eastAsia="Arial Unicode MS"/>
                </w:rPr>
                <w:fldChar w:fldCharType="begin"/>
              </w:r>
              <w:r w:rsidRPr="00463944">
                <w:instrText xml:space="preserve"> TOC \o "1-3" \h \z \u </w:instrText>
              </w:r>
              <w:r w:rsidRPr="00463944">
                <w:rPr>
                  <w:rFonts w:eastAsia="Arial Unicode MS"/>
                </w:rPr>
                <w:fldChar w:fldCharType="separate"/>
              </w:r>
              <w:hyperlink r:id="rId12" w:anchor="_Toc171803268" w:history="1">
                <w:r w:rsidR="00F4223D" w:rsidRPr="008D22A6">
                  <w:rPr>
                    <w:rStyle w:val="Lienhypertexte"/>
                    <w:rFonts w:eastAsia="Arial Unicode MS" w:hint="eastAsia"/>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إِهْــــــــدَاء</w:t>
                </w:r>
                <w:r w:rsidR="00F4223D" w:rsidRPr="008D22A6">
                  <w:rPr>
                    <w:rStyle w:val="Lienhypertexte"/>
                    <w:rFonts w:eastAsia="Arial Unicode MS"/>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r w:rsidR="00F4223D" w:rsidRPr="008D22A6">
                  <w:rPr>
                    <w:rStyle w:val="Lienhypertexte"/>
                    <w:rFonts w:eastAsia="Arial Unicode MS" w:hint="eastAsia"/>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خاص</w:t>
                </w:r>
                <w:r w:rsidR="00F4223D">
                  <w:rPr>
                    <w:webHidden/>
                  </w:rPr>
                  <w:tab/>
                </w:r>
                <w:r w:rsidR="00ED0409" w:rsidRPr="00ED0409">
                  <w:t>……………………</w:t>
                </w:r>
                <w:r w:rsidR="00ED0409">
                  <w:rPr>
                    <w:rFonts w:hint="cs"/>
                    <w:rtl/>
                  </w:rPr>
                  <w:t>...</w:t>
                </w:r>
                <w:r w:rsidR="00ED0409" w:rsidRPr="00ED0409">
                  <w:t>………………………………………………………………………...</w:t>
                </w:r>
                <w:r w:rsidR="00F4223D">
                  <w:rPr>
                    <w:webHidden/>
                  </w:rPr>
                  <w:fldChar w:fldCharType="begin"/>
                </w:r>
                <w:r w:rsidR="00F4223D">
                  <w:rPr>
                    <w:webHidden/>
                  </w:rPr>
                  <w:instrText xml:space="preserve"> PAGEREF _Toc171803268 \h </w:instrText>
                </w:r>
                <w:r w:rsidR="00F4223D">
                  <w:rPr>
                    <w:webHidden/>
                  </w:rPr>
                </w:r>
                <w:r w:rsidR="00F4223D">
                  <w:rPr>
                    <w:webHidden/>
                  </w:rPr>
                  <w:fldChar w:fldCharType="separate"/>
                </w:r>
                <w:r w:rsidR="00B62F86">
                  <w:rPr>
                    <w:rFonts w:hint="eastAsia"/>
                    <w:webHidden/>
                    <w:rtl/>
                    <w:lang w:bidi="ar-SA"/>
                  </w:rPr>
                  <w:t>‌أ</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70" w:history="1">
                <w:r w:rsidR="00F4223D" w:rsidRPr="008D22A6">
                  <w:rPr>
                    <w:rStyle w:val="Lienhypertexte"/>
                    <w:rFonts w:eastAsia="Arial Unicode MS" w:hint="eastAsia"/>
                    <w:rtl/>
                  </w:rPr>
                  <w:t>إِهْــــــــــــدَاء</w:t>
                </w:r>
                <w:r w:rsidR="00ED0409" w:rsidRPr="00ED0409">
                  <w:rPr>
                    <w:rStyle w:val="Lienhypertexte"/>
                    <w:rFonts w:eastAsia="Arial Unicode MS"/>
                    <w:rtl/>
                  </w:rPr>
                  <w:t>……………………………………………………………………………………</w:t>
                </w:r>
                <w:r w:rsidR="00ED0409">
                  <w:rPr>
                    <w:rStyle w:val="Lienhypertexte"/>
                    <w:rFonts w:eastAsia="Arial Unicode MS" w:hint="cs"/>
                    <w:rtl/>
                  </w:rPr>
                  <w:t>..........</w:t>
                </w:r>
                <w:r w:rsidR="00ED0409" w:rsidRPr="00ED0409">
                  <w:rPr>
                    <w:rStyle w:val="Lienhypertexte"/>
                    <w:rFonts w:eastAsia="Arial Unicode MS"/>
                    <w:rtl/>
                  </w:rPr>
                  <w:t>……...</w:t>
                </w:r>
                <w:r w:rsidR="00F4223D">
                  <w:rPr>
                    <w:webHidden/>
                  </w:rPr>
                  <w:fldChar w:fldCharType="begin"/>
                </w:r>
                <w:r w:rsidR="00F4223D">
                  <w:rPr>
                    <w:webHidden/>
                  </w:rPr>
                  <w:instrText xml:space="preserve"> PAGEREF _Toc171803270 \h </w:instrText>
                </w:r>
                <w:r w:rsidR="00F4223D">
                  <w:rPr>
                    <w:webHidden/>
                  </w:rPr>
                </w:r>
                <w:r w:rsidR="00F4223D">
                  <w:rPr>
                    <w:webHidden/>
                  </w:rPr>
                  <w:fldChar w:fldCharType="separate"/>
                </w:r>
                <w:r>
                  <w:rPr>
                    <w:rFonts w:hint="eastAsia"/>
                    <w:webHidden/>
                    <w:rtl/>
                    <w:lang w:bidi="ar-SA"/>
                  </w:rPr>
                  <w:t>‌أ</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71" w:history="1">
                <w:r w:rsidR="00F4223D" w:rsidRPr="008D22A6">
                  <w:rPr>
                    <w:rStyle w:val="Lienhypertexte"/>
                    <w:rFonts w:eastAsia="Arial Unicode MS" w:hint="eastAsia"/>
                    <w:rtl/>
                  </w:rPr>
                  <w:t>تَشَكُّرات</w:t>
                </w:r>
                <w:r w:rsidR="00ED0409" w:rsidRPr="00ED0409">
                  <w:rPr>
                    <w:rStyle w:val="Lienhypertexte"/>
                    <w:rFonts w:eastAsia="Arial Unicode MS"/>
                    <w:rtl/>
                  </w:rPr>
                  <w:t>……………………………………………………………………………………………………...</w:t>
                </w:r>
                <w:r w:rsidR="00F4223D">
                  <w:rPr>
                    <w:webHidden/>
                  </w:rPr>
                  <w:tab/>
                </w:r>
                <w:r w:rsidR="00F4223D">
                  <w:rPr>
                    <w:webHidden/>
                  </w:rPr>
                  <w:fldChar w:fldCharType="begin"/>
                </w:r>
                <w:r w:rsidR="00F4223D">
                  <w:rPr>
                    <w:webHidden/>
                  </w:rPr>
                  <w:instrText xml:space="preserve"> PAGEREF _Toc171803271 \h </w:instrText>
                </w:r>
                <w:r w:rsidR="00F4223D">
                  <w:rPr>
                    <w:webHidden/>
                  </w:rPr>
                </w:r>
                <w:r w:rsidR="00F4223D">
                  <w:rPr>
                    <w:webHidden/>
                  </w:rPr>
                  <w:fldChar w:fldCharType="separate"/>
                </w:r>
                <w:r>
                  <w:rPr>
                    <w:rFonts w:hint="eastAsia"/>
                    <w:webHidden/>
                    <w:rtl/>
                    <w:lang w:bidi="ar-SA"/>
                  </w:rPr>
                  <w:t>‌ب</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72" w:history="1">
                <w:r w:rsidR="00F4223D" w:rsidRPr="008D22A6">
                  <w:rPr>
                    <w:rStyle w:val="Lienhypertexte"/>
                    <w:rFonts w:hint="eastAsia"/>
                    <w:rtl/>
                  </w:rPr>
                  <w:t>الملخص</w:t>
                </w:r>
                <w:r w:rsidR="00ED0409" w:rsidRPr="00ED0409">
                  <w:rPr>
                    <w:rStyle w:val="Lienhypertexte"/>
                    <w:rtl/>
                  </w:rPr>
                  <w:t>……………………………………………………………………………………………………...</w:t>
                </w:r>
                <w:r w:rsidR="00F4223D">
                  <w:rPr>
                    <w:webHidden/>
                  </w:rPr>
                  <w:tab/>
                </w:r>
                <w:r w:rsidR="00F4223D">
                  <w:rPr>
                    <w:webHidden/>
                  </w:rPr>
                  <w:fldChar w:fldCharType="begin"/>
                </w:r>
                <w:r w:rsidR="00F4223D">
                  <w:rPr>
                    <w:webHidden/>
                  </w:rPr>
                  <w:instrText xml:space="preserve"> PAGEREF _Toc171803272 \h </w:instrText>
                </w:r>
                <w:r w:rsidR="00F4223D">
                  <w:rPr>
                    <w:webHidden/>
                  </w:rPr>
                </w:r>
                <w:r w:rsidR="00F4223D">
                  <w:rPr>
                    <w:webHidden/>
                  </w:rPr>
                  <w:fldChar w:fldCharType="separate"/>
                </w:r>
                <w:r>
                  <w:rPr>
                    <w:rFonts w:hint="eastAsia"/>
                    <w:webHidden/>
                    <w:rtl/>
                    <w:lang w:bidi="ar-SA"/>
                  </w:rPr>
                  <w:t>‌ج</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73" w:history="1">
                <w:r w:rsidR="00F4223D" w:rsidRPr="008D22A6">
                  <w:rPr>
                    <w:rStyle w:val="Lienhypertexte"/>
                    <w:rFonts w:asciiTheme="majorBidi" w:eastAsia="Dotum" w:hAnsiTheme="majorBidi" w:cstheme="majorBidi"/>
                  </w:rPr>
                  <w:t>Abstract</w:t>
                </w:r>
                <w:r w:rsidR="00F4223D">
                  <w:rPr>
                    <w:webHidden/>
                  </w:rPr>
                  <w:tab/>
                </w:r>
                <w:r w:rsidR="00ED0409" w:rsidRPr="00ED0409">
                  <w:t>…………………………………………………………………………………………………...</w:t>
                </w:r>
                <w:r w:rsidR="00F4223D">
                  <w:rPr>
                    <w:webHidden/>
                  </w:rPr>
                  <w:fldChar w:fldCharType="begin"/>
                </w:r>
                <w:r w:rsidR="00F4223D">
                  <w:rPr>
                    <w:webHidden/>
                  </w:rPr>
                  <w:instrText xml:space="preserve"> PAGEREF _Toc171803273 \h </w:instrText>
                </w:r>
                <w:r w:rsidR="00F4223D">
                  <w:rPr>
                    <w:webHidden/>
                  </w:rPr>
                </w:r>
                <w:r w:rsidR="00F4223D">
                  <w:rPr>
                    <w:webHidden/>
                  </w:rPr>
                  <w:fldChar w:fldCharType="separate"/>
                </w:r>
                <w:r>
                  <w:rPr>
                    <w:rFonts w:hint="eastAsia"/>
                    <w:webHidden/>
                    <w:rtl/>
                    <w:lang w:bidi="ar-SA"/>
                  </w:rPr>
                  <w:t>‌د</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74" w:history="1">
                <w:r w:rsidR="00F4223D" w:rsidRPr="008D22A6">
                  <w:rPr>
                    <w:rStyle w:val="Lienhypertexte"/>
                    <w:rFonts w:asciiTheme="majorBidi" w:eastAsia="Dotum" w:hAnsiTheme="majorBidi" w:cstheme="majorBidi"/>
                  </w:rPr>
                  <w:t>Résumé</w:t>
                </w:r>
                <w:r w:rsidR="00F4223D">
                  <w:rPr>
                    <w:webHidden/>
                  </w:rPr>
                  <w:tab/>
                </w:r>
                <w:r w:rsidR="00ED0409" w:rsidRPr="00ED0409">
                  <w:t>…………………………………………………………………………………………………...</w:t>
                </w:r>
                <w:r w:rsidR="00F4223D">
                  <w:rPr>
                    <w:webHidden/>
                  </w:rPr>
                  <w:fldChar w:fldCharType="begin"/>
                </w:r>
                <w:r w:rsidR="00F4223D">
                  <w:rPr>
                    <w:webHidden/>
                  </w:rPr>
                  <w:instrText xml:space="preserve"> PAGEREF _Toc171803274 \h </w:instrText>
                </w:r>
                <w:r w:rsidR="00F4223D">
                  <w:rPr>
                    <w:webHidden/>
                  </w:rPr>
                </w:r>
                <w:r w:rsidR="00F4223D">
                  <w:rPr>
                    <w:webHidden/>
                  </w:rPr>
                  <w:fldChar w:fldCharType="separate"/>
                </w:r>
                <w:r>
                  <w:rPr>
                    <w:rFonts w:hint="eastAsia"/>
                    <w:webHidden/>
                    <w:rtl/>
                    <w:lang w:bidi="ar-SA"/>
                  </w:rPr>
                  <w:t>‌ه</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75" w:history="1">
                <w:r w:rsidR="00F4223D" w:rsidRPr="008D22A6">
                  <w:rPr>
                    <w:rStyle w:val="Lienhypertexte"/>
                    <w:rFonts w:hint="eastAsia"/>
                    <w:rtl/>
                  </w:rPr>
                  <w:t>فهرس</w:t>
                </w:r>
                <w:r w:rsidR="00F4223D" w:rsidRPr="008D22A6">
                  <w:rPr>
                    <w:rStyle w:val="Lienhypertexte"/>
                    <w:rtl/>
                  </w:rPr>
                  <w:t xml:space="preserve"> </w:t>
                </w:r>
                <w:r w:rsidR="00F4223D" w:rsidRPr="008D22A6">
                  <w:rPr>
                    <w:rStyle w:val="Lienhypertexte"/>
                    <w:rFonts w:hint="eastAsia"/>
                    <w:rtl/>
                  </w:rPr>
                  <w:t>المحتويات</w:t>
                </w:r>
                <w:r w:rsidR="00F4223D">
                  <w:rPr>
                    <w:webHidden/>
                  </w:rPr>
                  <w:tab/>
                </w:r>
                <w:r w:rsidR="00ED0409" w:rsidRPr="00ED0409">
                  <w:t>……………………………………………………………………………………………...</w:t>
                </w:r>
                <w:r w:rsidR="00F4223D">
                  <w:rPr>
                    <w:webHidden/>
                  </w:rPr>
                  <w:fldChar w:fldCharType="begin"/>
                </w:r>
                <w:r w:rsidR="00F4223D">
                  <w:rPr>
                    <w:webHidden/>
                  </w:rPr>
                  <w:instrText xml:space="preserve"> PAGEREF _Toc171803275 \h </w:instrText>
                </w:r>
                <w:r w:rsidR="00F4223D">
                  <w:rPr>
                    <w:webHidden/>
                  </w:rPr>
                </w:r>
                <w:r w:rsidR="00F4223D">
                  <w:rPr>
                    <w:webHidden/>
                  </w:rPr>
                  <w:fldChar w:fldCharType="separate"/>
                </w:r>
                <w:r>
                  <w:rPr>
                    <w:rFonts w:hint="eastAsia"/>
                    <w:webHidden/>
                    <w:rtl/>
                    <w:lang w:bidi="ar-SA"/>
                  </w:rPr>
                  <w:t>‌و</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76" w:history="1">
                <w:r w:rsidR="00F4223D" w:rsidRPr="008D22A6">
                  <w:rPr>
                    <w:rStyle w:val="Lienhypertexte"/>
                    <w:rFonts w:hint="eastAsia"/>
                    <w:rtl/>
                  </w:rPr>
                  <w:t>قائمة</w:t>
                </w:r>
                <w:r w:rsidR="00F4223D" w:rsidRPr="008D22A6">
                  <w:rPr>
                    <w:rStyle w:val="Lienhypertexte"/>
                    <w:rtl/>
                  </w:rPr>
                  <w:t xml:space="preserve"> </w:t>
                </w:r>
                <w:r w:rsidR="00F4223D" w:rsidRPr="008D22A6">
                  <w:rPr>
                    <w:rStyle w:val="Lienhypertexte"/>
                    <w:rFonts w:hint="eastAsia"/>
                    <w:rtl/>
                  </w:rPr>
                  <w:t>الاشكال</w:t>
                </w:r>
                <w:r w:rsidR="00F4223D">
                  <w:rPr>
                    <w:webHidden/>
                  </w:rPr>
                  <w:tab/>
                </w:r>
                <w:r w:rsidR="00ED0409" w:rsidRPr="00ED0409">
                  <w:rPr>
                    <w:rtl/>
                  </w:rPr>
                  <w:t>………………………………………………………………………………………………...</w:t>
                </w:r>
                <w:r w:rsidR="00881F58">
                  <w:rPr>
                    <w:rFonts w:hint="cs"/>
                    <w:webHidden/>
                    <w:rtl/>
                  </w:rPr>
                  <w:t>س</w:t>
                </w:r>
              </w:hyperlink>
            </w:p>
            <w:p w:rsidR="00F4223D" w:rsidRDefault="00B62F86" w:rsidP="009579D2">
              <w:pPr>
                <w:pStyle w:val="TM1"/>
                <w:rPr>
                  <w:rFonts w:asciiTheme="minorHAnsi" w:hAnsiTheme="minorHAnsi" w:cstheme="minorBidi"/>
                  <w:color w:val="auto"/>
                  <w:lang w:val="fr-FR" w:bidi="ar-SA"/>
                </w:rPr>
              </w:pPr>
              <w:hyperlink w:anchor="_Toc171803277" w:history="1">
                <w:r w:rsidR="00F4223D" w:rsidRPr="008D22A6">
                  <w:rPr>
                    <w:rStyle w:val="Lienhypertexte"/>
                    <w:rFonts w:hint="eastAsia"/>
                    <w:rtl/>
                  </w:rPr>
                  <w:t>قائمة</w:t>
                </w:r>
                <w:r w:rsidR="00F4223D" w:rsidRPr="008D22A6">
                  <w:rPr>
                    <w:rStyle w:val="Lienhypertexte"/>
                    <w:rtl/>
                  </w:rPr>
                  <w:t xml:space="preserve"> </w:t>
                </w:r>
                <w:r w:rsidR="00F4223D" w:rsidRPr="008D22A6">
                  <w:rPr>
                    <w:rStyle w:val="Lienhypertexte"/>
                    <w:rFonts w:hint="eastAsia"/>
                    <w:rtl/>
                  </w:rPr>
                  <w:t>الجداول</w:t>
                </w:r>
                <w:r w:rsidR="00F4223D">
                  <w:rPr>
                    <w:webHidden/>
                  </w:rPr>
                  <w:tab/>
                </w:r>
                <w:r w:rsidR="00ED0409" w:rsidRPr="00ED0409">
                  <w:rPr>
                    <w:rtl/>
                  </w:rPr>
                  <w:t>………………………………………………………………………………………………...</w:t>
                </w:r>
                <w:r w:rsidR="00881F58">
                  <w:rPr>
                    <w:rFonts w:hint="cs"/>
                    <w:webHidden/>
                    <w:rtl/>
                  </w:rPr>
                  <w:t>ق</w:t>
                </w:r>
              </w:hyperlink>
            </w:p>
            <w:p w:rsidR="00F4223D" w:rsidRDefault="00B62F86" w:rsidP="009579D2">
              <w:pPr>
                <w:pStyle w:val="TM1"/>
                <w:rPr>
                  <w:rFonts w:asciiTheme="minorHAnsi" w:hAnsiTheme="minorHAnsi" w:cstheme="minorBidi"/>
                  <w:color w:val="auto"/>
                  <w:lang w:val="fr-FR" w:bidi="ar-SA"/>
                </w:rPr>
              </w:pPr>
              <w:hyperlink w:anchor="_Toc171803278" w:history="1">
                <w:r w:rsidR="00F4223D" w:rsidRPr="008D22A6">
                  <w:rPr>
                    <w:rStyle w:val="Lienhypertexte"/>
                    <w:rFonts w:hint="eastAsia"/>
                    <w:rtl/>
                  </w:rPr>
                  <w:t>قائمة</w:t>
                </w:r>
                <w:r w:rsidR="00F4223D" w:rsidRPr="008D22A6">
                  <w:rPr>
                    <w:rStyle w:val="Lienhypertexte"/>
                    <w:rtl/>
                  </w:rPr>
                  <w:t xml:space="preserve"> </w:t>
                </w:r>
                <w:r w:rsidR="00F4223D" w:rsidRPr="008D22A6">
                  <w:rPr>
                    <w:rStyle w:val="Lienhypertexte"/>
                    <w:rFonts w:hint="eastAsia"/>
                    <w:rtl/>
                  </w:rPr>
                  <w:t>الخرائط</w:t>
                </w:r>
                <w:r w:rsidR="00F4223D">
                  <w:rPr>
                    <w:webHidden/>
                  </w:rPr>
                  <w:tab/>
                </w:r>
                <w:r w:rsidR="00ED0409" w:rsidRPr="00ED0409">
                  <w:rPr>
                    <w:rtl/>
                  </w:rPr>
                  <w:t>………………………………………………………………………………………………...</w:t>
                </w:r>
                <w:r w:rsidR="00881F58">
                  <w:rPr>
                    <w:rFonts w:hint="cs"/>
                    <w:webHidden/>
                    <w:rtl/>
                  </w:rPr>
                  <w:t>ش</w:t>
                </w:r>
              </w:hyperlink>
            </w:p>
            <w:p w:rsidR="00F4223D" w:rsidRDefault="00B62F86" w:rsidP="009579D2">
              <w:pPr>
                <w:pStyle w:val="TM1"/>
                <w:rPr>
                  <w:rFonts w:asciiTheme="minorHAnsi" w:hAnsiTheme="minorHAnsi" w:cstheme="minorBidi"/>
                  <w:color w:val="auto"/>
                  <w:lang w:val="fr-FR" w:bidi="ar-SA"/>
                </w:rPr>
              </w:pPr>
              <w:hyperlink w:anchor="_Toc171803279" w:history="1">
                <w:r w:rsidR="00F4223D" w:rsidRPr="008D22A6">
                  <w:rPr>
                    <w:rStyle w:val="Lienhypertexte"/>
                    <w:rFonts w:hint="eastAsia"/>
                    <w:rtl/>
                  </w:rPr>
                  <w:t>قائمة</w:t>
                </w:r>
                <w:r w:rsidR="00F4223D" w:rsidRPr="008D22A6">
                  <w:rPr>
                    <w:rStyle w:val="Lienhypertexte"/>
                    <w:rtl/>
                  </w:rPr>
                  <w:t xml:space="preserve"> </w:t>
                </w:r>
                <w:r w:rsidR="00F4223D" w:rsidRPr="008D22A6">
                  <w:rPr>
                    <w:rStyle w:val="Lienhypertexte"/>
                    <w:rFonts w:hint="eastAsia"/>
                    <w:rtl/>
                  </w:rPr>
                  <w:t>الصور</w:t>
                </w:r>
                <w:r w:rsidR="00F4223D">
                  <w:rPr>
                    <w:webHidden/>
                  </w:rPr>
                  <w:tab/>
                </w:r>
                <w:r w:rsidR="00ED0409" w:rsidRPr="00ED0409">
                  <w:rPr>
                    <w:rtl/>
                  </w:rPr>
                  <w:t>………………………………………………………………………………………………...</w:t>
                </w:r>
                <w:r w:rsidR="00881F58">
                  <w:rPr>
                    <w:rFonts w:hint="cs"/>
                    <w:webHidden/>
                    <w:rtl/>
                  </w:rPr>
                  <w:t>ث</w:t>
                </w:r>
              </w:hyperlink>
            </w:p>
            <w:p w:rsidR="00F4223D" w:rsidRDefault="00B62F86" w:rsidP="009579D2">
              <w:pPr>
                <w:pStyle w:val="TM1"/>
                <w:rPr>
                  <w:rFonts w:asciiTheme="minorHAnsi" w:hAnsiTheme="minorHAnsi" w:cstheme="minorBidi"/>
                  <w:color w:val="auto"/>
                  <w:lang w:val="fr-FR" w:bidi="ar-SA"/>
                </w:rPr>
              </w:pPr>
              <w:hyperlink w:anchor="_Toc171803280" w:history="1">
                <w:r w:rsidR="00F4223D" w:rsidRPr="008D22A6">
                  <w:rPr>
                    <w:rStyle w:val="Lienhypertexte"/>
                    <w:rFonts w:hint="eastAsia"/>
                    <w:rtl/>
                  </w:rPr>
                  <w:t>قائمة</w:t>
                </w:r>
                <w:r w:rsidR="00F4223D" w:rsidRPr="008D22A6">
                  <w:rPr>
                    <w:rStyle w:val="Lienhypertexte"/>
                    <w:rtl/>
                  </w:rPr>
                  <w:t xml:space="preserve"> </w:t>
                </w:r>
                <w:r w:rsidR="00F4223D" w:rsidRPr="008D22A6">
                  <w:rPr>
                    <w:rStyle w:val="Lienhypertexte"/>
                    <w:rFonts w:hint="eastAsia"/>
                    <w:rtl/>
                  </w:rPr>
                  <w:t>الاختصارات</w:t>
                </w:r>
                <w:r w:rsidR="00F4223D" w:rsidRPr="008D22A6">
                  <w:rPr>
                    <w:rStyle w:val="Lienhypertexte"/>
                    <w:rtl/>
                  </w:rPr>
                  <w:t xml:space="preserve"> </w:t>
                </w:r>
                <w:r w:rsidR="00F4223D" w:rsidRPr="008D22A6">
                  <w:rPr>
                    <w:rStyle w:val="Lienhypertexte"/>
                    <w:rFonts w:hint="eastAsia"/>
                    <w:rtl/>
                  </w:rPr>
                  <w:t>و</w:t>
                </w:r>
                <w:r w:rsidR="00F4223D" w:rsidRPr="008D22A6">
                  <w:rPr>
                    <w:rStyle w:val="Lienhypertexte"/>
                    <w:rtl/>
                  </w:rPr>
                  <w:t xml:space="preserve"> </w:t>
                </w:r>
                <w:r w:rsidR="00F4223D" w:rsidRPr="008D22A6">
                  <w:rPr>
                    <w:rStyle w:val="Lienhypertexte"/>
                    <w:rFonts w:hint="eastAsia"/>
                    <w:rtl/>
                  </w:rPr>
                  <w:t>الرموز</w:t>
                </w:r>
                <w:r w:rsidR="00F4223D">
                  <w:rPr>
                    <w:webHidden/>
                  </w:rPr>
                  <w:tab/>
                </w:r>
                <w:r w:rsidR="00ED0409" w:rsidRPr="00ED0409">
                  <w:rPr>
                    <w:rtl/>
                  </w:rPr>
                  <w:t>…………………………………………………………………………………...</w:t>
                </w:r>
                <w:r w:rsidR="00881F58">
                  <w:rPr>
                    <w:rFonts w:hint="cs"/>
                    <w:webHidden/>
                    <w:rtl/>
                  </w:rPr>
                  <w:t>خ</w:t>
                </w:r>
              </w:hyperlink>
            </w:p>
            <w:p w:rsidR="00F4223D" w:rsidRPr="008B59CF" w:rsidRDefault="00B62F86" w:rsidP="009579D2">
              <w:pPr>
                <w:pStyle w:val="TM1"/>
                <w:rPr>
                  <w:rStyle w:val="Lienhypertexte"/>
                </w:rPr>
              </w:pPr>
              <w:hyperlink w:anchor="_Toc171803281" w:history="1">
                <w:r w:rsidR="00F4223D" w:rsidRPr="008D22A6">
                  <w:rPr>
                    <w:rStyle w:val="Lienhypertexte"/>
                    <w:rFonts w:hint="eastAsia"/>
                    <w:rtl/>
                  </w:rPr>
                  <w:t>الجزء</w:t>
                </w:r>
                <w:r w:rsidR="00F4223D" w:rsidRPr="008D22A6">
                  <w:rPr>
                    <w:rStyle w:val="Lienhypertexte"/>
                    <w:rtl/>
                  </w:rPr>
                  <w:t xml:space="preserve"> </w:t>
                </w:r>
                <w:r w:rsidR="00F4223D" w:rsidRPr="008D22A6">
                  <w:rPr>
                    <w:rStyle w:val="Lienhypertexte"/>
                    <w:rFonts w:hint="eastAsia"/>
                    <w:rtl/>
                  </w:rPr>
                  <w:t>الاول</w:t>
                </w:r>
                <w:r w:rsidR="00F4223D" w:rsidRPr="008D22A6">
                  <w:rPr>
                    <w:rStyle w:val="Lienhypertexte"/>
                    <w:rtl/>
                  </w:rPr>
                  <w:t>:</w:t>
                </w:r>
              </w:hyperlink>
              <w:r w:rsidR="008B59CF">
                <w:rPr>
                  <w:rStyle w:val="Lienhypertexte"/>
                  <w:rFonts w:hint="cs"/>
                  <w:rtl/>
                </w:rPr>
                <w:t xml:space="preserve"> </w:t>
              </w:r>
              <w:hyperlink w:anchor="_Toc171803282" w:history="1">
                <w:r w:rsidR="00F4223D" w:rsidRPr="008D22A6">
                  <w:rPr>
                    <w:rStyle w:val="Lienhypertexte"/>
                    <w:rFonts w:hint="eastAsia"/>
                    <w:rtl/>
                  </w:rPr>
                  <w:t>الاطار</w:t>
                </w:r>
                <w:r w:rsidR="00F4223D" w:rsidRPr="008D22A6">
                  <w:rPr>
                    <w:rStyle w:val="Lienhypertexte"/>
                    <w:rtl/>
                  </w:rPr>
                  <w:t xml:space="preserve"> </w:t>
                </w:r>
                <w:r w:rsidR="00F4223D" w:rsidRPr="008D22A6">
                  <w:rPr>
                    <w:rStyle w:val="Lienhypertexte"/>
                    <w:rFonts w:hint="eastAsia"/>
                    <w:rtl/>
                  </w:rPr>
                  <w:t>العام</w:t>
                </w:r>
                <w:r w:rsidR="00F4223D" w:rsidRPr="008D22A6">
                  <w:rPr>
                    <w:rStyle w:val="Lienhypertexte"/>
                    <w:rtl/>
                  </w:rPr>
                  <w:t xml:space="preserve"> </w:t>
                </w:r>
                <w:r w:rsidR="00F4223D" w:rsidRPr="008D22A6">
                  <w:rPr>
                    <w:rStyle w:val="Lienhypertexte"/>
                    <w:rFonts w:hint="eastAsia"/>
                    <w:rtl/>
                  </w:rPr>
                  <w:t>للبحث</w:t>
                </w:r>
              </w:hyperlink>
            </w:p>
            <w:p w:rsidR="00F4223D" w:rsidRDefault="00B62F86" w:rsidP="009579D2">
              <w:pPr>
                <w:pStyle w:val="TM1"/>
                <w:rPr>
                  <w:rFonts w:asciiTheme="minorHAnsi" w:hAnsiTheme="minorHAnsi" w:cstheme="minorBidi"/>
                  <w:color w:val="auto"/>
                  <w:lang w:val="fr-FR" w:bidi="ar-SA"/>
                </w:rPr>
              </w:pPr>
              <w:hyperlink w:anchor="_Toc171803283" w:history="1">
                <w:r w:rsidR="00F4223D" w:rsidRPr="008D22A6">
                  <w:rPr>
                    <w:rStyle w:val="Lienhypertexte"/>
                    <w:rFonts w:hint="eastAsia"/>
                    <w:rtl/>
                  </w:rPr>
                  <w:t>الفصل</w:t>
                </w:r>
                <w:r w:rsidR="00F4223D" w:rsidRPr="008D22A6">
                  <w:rPr>
                    <w:rStyle w:val="Lienhypertexte"/>
                    <w:rtl/>
                  </w:rPr>
                  <w:t xml:space="preserve"> </w:t>
                </w:r>
                <w:r w:rsidR="00F4223D" w:rsidRPr="008D22A6">
                  <w:rPr>
                    <w:rStyle w:val="Lienhypertexte"/>
                    <w:rFonts w:hint="eastAsia"/>
                    <w:rtl/>
                  </w:rPr>
                  <w:t>التمهيدي</w:t>
                </w:r>
              </w:hyperlink>
            </w:p>
            <w:p w:rsidR="00F4223D" w:rsidRDefault="00B62F86" w:rsidP="009579D2">
              <w:pPr>
                <w:pStyle w:val="TM1"/>
                <w:rPr>
                  <w:rFonts w:asciiTheme="minorHAnsi" w:hAnsiTheme="minorHAnsi" w:cstheme="minorBidi"/>
                  <w:color w:val="auto"/>
                  <w:lang w:val="fr-FR" w:bidi="ar-SA"/>
                </w:rPr>
              </w:pPr>
              <w:hyperlink w:anchor="_Toc171803284" w:history="1">
                <w:r w:rsidR="00F4223D" w:rsidRPr="008D22A6">
                  <w:rPr>
                    <w:rStyle w:val="Lienhypertexte"/>
                  </w:rPr>
                  <w:t>.</w:t>
                </w:r>
                <w:r w:rsidR="00590FA1" w:rsidRPr="00590FA1">
                  <w:rPr>
                    <w:rStyle w:val="Lienhypertexte"/>
                  </w:rPr>
                  <w:t>1</w:t>
                </w:r>
                <w:r w:rsidR="001D4FB7" w:rsidRPr="001D4FB7">
                  <w:rPr>
                    <w:rFonts w:hint="eastAsia"/>
                    <w:rtl/>
                  </w:rPr>
                  <w:t xml:space="preserve"> </w:t>
                </w:r>
                <w:r w:rsidR="001D4FB7" w:rsidRPr="001D4FB7">
                  <w:rPr>
                    <w:rStyle w:val="Lienhypertexte"/>
                    <w:rFonts w:hint="eastAsia"/>
                    <w:rtl/>
                  </w:rPr>
                  <w:t>مقدمة</w:t>
                </w:r>
                <w:r w:rsidR="001D4FB7">
                  <w:rPr>
                    <w:rStyle w:val="Lienhypertexte"/>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_Toc171803284 \h </w:instrText>
                </w:r>
                <w:r w:rsidR="00F4223D">
                  <w:rPr>
                    <w:webHidden/>
                  </w:rPr>
                </w:r>
                <w:r w:rsidR="00F4223D">
                  <w:rPr>
                    <w:webHidden/>
                  </w:rPr>
                  <w:fldChar w:fldCharType="separate"/>
                </w:r>
                <w:r>
                  <w:rPr>
                    <w:webHidden/>
                    <w:rtl/>
                    <w:lang w:bidi="ar-SA"/>
                  </w:rPr>
                  <w:t>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85" w:history="1">
                <w:r w:rsidR="00F4223D" w:rsidRPr="008D22A6">
                  <w:rPr>
                    <w:rStyle w:val="Lienhypertexte"/>
                  </w:rPr>
                  <w:t>.</w:t>
                </w:r>
                <w:r w:rsidR="00590FA1" w:rsidRPr="00590FA1">
                  <w:rPr>
                    <w:rStyle w:val="Lienhypertexte"/>
                  </w:rPr>
                  <w:t>2</w:t>
                </w:r>
                <w:r w:rsidR="001D4FB7" w:rsidRPr="001D4FB7">
                  <w:rPr>
                    <w:rFonts w:hint="eastAsia"/>
                    <w:rtl/>
                  </w:rPr>
                  <w:t xml:space="preserve"> </w:t>
                </w:r>
                <w:r w:rsidR="001D4FB7" w:rsidRPr="001D4FB7">
                  <w:rPr>
                    <w:rStyle w:val="Lienhypertexte"/>
                    <w:rFonts w:hint="eastAsia"/>
                    <w:rtl/>
                  </w:rPr>
                  <w:t>الاشكالية</w:t>
                </w:r>
                <w:r w:rsidR="001D4FB7">
                  <w:rPr>
                    <w:rStyle w:val="Lienhypertexte"/>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_Toc171803285 \h </w:instrText>
                </w:r>
                <w:r w:rsidR="00F4223D">
                  <w:rPr>
                    <w:webHidden/>
                  </w:rPr>
                </w:r>
                <w:r w:rsidR="00F4223D">
                  <w:rPr>
                    <w:webHidden/>
                  </w:rPr>
                  <w:fldChar w:fldCharType="separate"/>
                </w:r>
                <w:r>
                  <w:rPr>
                    <w:webHidden/>
                    <w:rtl/>
                    <w:lang w:bidi="ar-SA"/>
                  </w:rPr>
                  <w:t>3</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86" w:history="1">
                <w:r w:rsidR="00F4223D" w:rsidRPr="008D22A6">
                  <w:rPr>
                    <w:rStyle w:val="Lienhypertexte"/>
                    <w:rtl/>
                  </w:rPr>
                  <w:t>3.</w:t>
                </w:r>
                <w:r w:rsidR="001D4FB7" w:rsidRPr="001D4FB7">
                  <w:rPr>
                    <w:rFonts w:hint="eastAsia"/>
                    <w:rtl/>
                  </w:rPr>
                  <w:t xml:space="preserve"> </w:t>
                </w:r>
                <w:r w:rsidR="001D4FB7" w:rsidRPr="001D4FB7">
                  <w:rPr>
                    <w:rStyle w:val="Lienhypertexte"/>
                    <w:rFonts w:hint="eastAsia"/>
                    <w:rtl/>
                  </w:rPr>
                  <w:t>اهداف</w:t>
                </w:r>
                <w:r w:rsidR="001D4FB7" w:rsidRPr="001D4FB7">
                  <w:rPr>
                    <w:rStyle w:val="Lienhypertexte"/>
                    <w:rtl/>
                  </w:rPr>
                  <w:t xml:space="preserve"> </w:t>
                </w:r>
                <w:r w:rsidR="001D4FB7" w:rsidRPr="001D4FB7">
                  <w:rPr>
                    <w:rStyle w:val="Lienhypertexte"/>
                    <w:rFonts w:hint="eastAsia"/>
                    <w:rtl/>
                  </w:rPr>
                  <w:t>البحث</w:t>
                </w:r>
                <w:r w:rsidR="001D4FB7">
                  <w:rPr>
                    <w:rStyle w:val="Lienhypertexte"/>
                  </w:rPr>
                  <w:t>…………………………………………………………………………………………………..</w:t>
                </w:r>
                <w:r w:rsidR="00F4223D">
                  <w:rPr>
                    <w:webHidden/>
                  </w:rPr>
                  <w:tab/>
                </w:r>
                <w:r w:rsidR="00F4223D">
                  <w:rPr>
                    <w:webHidden/>
                  </w:rPr>
                  <w:fldChar w:fldCharType="begin"/>
                </w:r>
                <w:r w:rsidR="00F4223D">
                  <w:rPr>
                    <w:webHidden/>
                  </w:rPr>
                  <w:instrText xml:space="preserve"> PAGEREF _Toc171803286 \h </w:instrText>
                </w:r>
                <w:r w:rsidR="00F4223D">
                  <w:rPr>
                    <w:webHidden/>
                  </w:rPr>
                </w:r>
                <w:r w:rsidR="00F4223D">
                  <w:rPr>
                    <w:webHidden/>
                  </w:rPr>
                  <w:fldChar w:fldCharType="separate"/>
                </w:r>
                <w:r>
                  <w:rPr>
                    <w:webHidden/>
                    <w:rtl/>
                    <w:lang w:bidi="ar-SA"/>
                  </w:rPr>
                  <w:t>4</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287" w:history="1">
                <w:r w:rsidR="008B59CF" w:rsidRPr="008B59CF">
                  <w:rPr>
                    <w:rStyle w:val="Lienhypertexte"/>
                  </w:rPr>
                  <w:t>.</w:t>
                </w:r>
                <w:r w:rsidR="001D4FB7" w:rsidRPr="001D4FB7">
                  <w:rPr>
                    <w:rStyle w:val="Lienhypertexte"/>
                  </w:rPr>
                  <w:t>1.3</w:t>
                </w:r>
                <w:r w:rsidR="00F4223D">
                  <w:rPr>
                    <w:rFonts w:asciiTheme="minorHAnsi" w:hAnsiTheme="minorHAnsi" w:cstheme="minorBidi"/>
                    <w:lang w:val="fr-FR"/>
                  </w:rPr>
                  <w:tab/>
                </w:r>
                <w:r w:rsidR="00F4223D" w:rsidRPr="008D22A6">
                  <w:rPr>
                    <w:rStyle w:val="Lienhypertexte"/>
                    <w:rFonts w:hint="eastAsia"/>
                    <w:rtl/>
                  </w:rPr>
                  <w:t>الهدف</w:t>
                </w:r>
                <w:r w:rsidR="00F4223D" w:rsidRPr="008D22A6">
                  <w:rPr>
                    <w:rStyle w:val="Lienhypertexte"/>
                    <w:rtl/>
                  </w:rPr>
                  <w:t xml:space="preserve"> </w:t>
                </w:r>
                <w:r w:rsidR="00F4223D" w:rsidRPr="008D22A6">
                  <w:rPr>
                    <w:rStyle w:val="Lienhypertexte"/>
                    <w:rFonts w:hint="eastAsia"/>
                    <w:rtl/>
                  </w:rPr>
                  <w:t>الرئيسي</w:t>
                </w:r>
                <w:r w:rsidR="00F4223D">
                  <w:rPr>
                    <w:webHidden/>
                  </w:rPr>
                  <w:tab/>
                </w:r>
                <w:r w:rsidR="00F4223D">
                  <w:rPr>
                    <w:webHidden/>
                  </w:rPr>
                  <w:fldChar w:fldCharType="begin"/>
                </w:r>
                <w:r w:rsidR="00F4223D">
                  <w:rPr>
                    <w:webHidden/>
                  </w:rPr>
                  <w:instrText xml:space="preserve"> PAGEREF _Toc171803287 \h </w:instrText>
                </w:r>
                <w:r w:rsidR="00F4223D">
                  <w:rPr>
                    <w:webHidden/>
                  </w:rPr>
                </w:r>
                <w:r w:rsidR="00F4223D">
                  <w:rPr>
                    <w:webHidden/>
                  </w:rPr>
                  <w:fldChar w:fldCharType="separate"/>
                </w:r>
                <w:r>
                  <w:rPr>
                    <w:webHidden/>
                    <w:rtl/>
                  </w:rPr>
                  <w:t>4</w:t>
                </w:r>
                <w:r w:rsidR="00F4223D">
                  <w:rPr>
                    <w:webHidden/>
                  </w:rPr>
                  <w:fldChar w:fldCharType="end"/>
                </w:r>
              </w:hyperlink>
            </w:p>
            <w:p w:rsidR="00F4223D" w:rsidRPr="00F4223D" w:rsidRDefault="00B62F86" w:rsidP="001A5014">
              <w:pPr>
                <w:pStyle w:val="TM2"/>
                <w:rPr>
                  <w:rFonts w:asciiTheme="minorHAnsi" w:hAnsiTheme="minorHAnsi" w:cstheme="minorBidi"/>
                  <w:lang w:val="fr-FR"/>
                </w:rPr>
              </w:pPr>
              <w:hyperlink w:anchor="_Toc171803288" w:history="1">
                <w:r w:rsidR="00F4223D" w:rsidRPr="00F4223D">
                  <w:rPr>
                    <w:rStyle w:val="Lienhypertexte"/>
                    <w:rtl/>
                  </w:rPr>
                  <w:t>2.3.</w:t>
                </w:r>
                <w:r w:rsidR="00F4223D" w:rsidRPr="00F4223D">
                  <w:rPr>
                    <w:rFonts w:asciiTheme="minorHAnsi" w:hAnsiTheme="minorHAnsi" w:cstheme="minorBidi"/>
                    <w:lang w:val="fr-FR"/>
                  </w:rPr>
                  <w:tab/>
                </w:r>
                <w:r w:rsidR="00F4223D" w:rsidRPr="00F4223D">
                  <w:rPr>
                    <w:rStyle w:val="Lienhypertexte"/>
                    <w:rFonts w:hint="eastAsia"/>
                    <w:rtl/>
                  </w:rPr>
                  <w:t>الاهداف</w:t>
                </w:r>
                <w:r w:rsidR="00F4223D" w:rsidRPr="00F4223D">
                  <w:rPr>
                    <w:rStyle w:val="Lienhypertexte"/>
                    <w:rtl/>
                  </w:rPr>
                  <w:t xml:space="preserve"> </w:t>
                </w:r>
                <w:r w:rsidR="00F4223D" w:rsidRPr="00F4223D">
                  <w:rPr>
                    <w:rStyle w:val="Lienhypertexte"/>
                    <w:rFonts w:hint="eastAsia"/>
                    <w:rtl/>
                  </w:rPr>
                  <w:t>الثانوية</w:t>
                </w:r>
                <w:r w:rsidR="00F4223D" w:rsidRPr="00F4223D">
                  <w:rPr>
                    <w:webHidden/>
                  </w:rPr>
                  <w:tab/>
                </w:r>
                <w:r w:rsidR="00F4223D" w:rsidRPr="00F4223D">
                  <w:rPr>
                    <w:webHidden/>
                  </w:rPr>
                  <w:fldChar w:fldCharType="begin"/>
                </w:r>
                <w:r w:rsidR="00F4223D" w:rsidRPr="00F4223D">
                  <w:rPr>
                    <w:webHidden/>
                  </w:rPr>
                  <w:instrText xml:space="preserve"> PAGEREF _Toc171803288 \h </w:instrText>
                </w:r>
                <w:r w:rsidR="00F4223D" w:rsidRPr="00F4223D">
                  <w:rPr>
                    <w:webHidden/>
                  </w:rPr>
                </w:r>
                <w:r w:rsidR="00F4223D" w:rsidRPr="00F4223D">
                  <w:rPr>
                    <w:webHidden/>
                  </w:rPr>
                  <w:fldChar w:fldCharType="separate"/>
                </w:r>
                <w:r>
                  <w:rPr>
                    <w:webHidden/>
                    <w:rtl/>
                  </w:rPr>
                  <w:t>5</w:t>
                </w:r>
                <w:r w:rsidR="00F4223D" w:rsidRP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89" w:history="1">
                <w:r w:rsidR="00F4223D" w:rsidRPr="008D22A6">
                  <w:rPr>
                    <w:rStyle w:val="Lienhypertexte"/>
                    <w:rtl/>
                  </w:rPr>
                  <w:t>4.</w:t>
                </w:r>
                <w:r w:rsidR="001D4FB7" w:rsidRPr="001D4FB7">
                  <w:rPr>
                    <w:rFonts w:hint="eastAsia"/>
                    <w:rtl/>
                  </w:rPr>
                  <w:t xml:space="preserve"> </w:t>
                </w:r>
                <w:r w:rsidR="001D4FB7" w:rsidRPr="001D4FB7">
                  <w:rPr>
                    <w:rStyle w:val="Lienhypertexte"/>
                    <w:rFonts w:hint="eastAsia"/>
                    <w:rtl/>
                  </w:rPr>
                  <w:t>فرضيات</w:t>
                </w:r>
                <w:r w:rsidR="001D4FB7" w:rsidRPr="001D4FB7">
                  <w:rPr>
                    <w:rStyle w:val="Lienhypertexte"/>
                    <w:rtl/>
                  </w:rPr>
                  <w:t xml:space="preserve"> </w:t>
                </w:r>
                <w:r w:rsidR="001D4FB7" w:rsidRPr="001D4FB7">
                  <w:rPr>
                    <w:rStyle w:val="Lienhypertexte"/>
                    <w:rFonts w:hint="eastAsia"/>
                    <w:rtl/>
                  </w:rPr>
                  <w:t>البحث</w:t>
                </w:r>
                <w:r w:rsidR="001D4FB7">
                  <w:rPr>
                    <w:rStyle w:val="Lienhypertexte"/>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_Toc171803289 \h </w:instrText>
                </w:r>
                <w:r w:rsidR="00F4223D">
                  <w:rPr>
                    <w:webHidden/>
                  </w:rPr>
                </w:r>
                <w:r w:rsidR="00F4223D">
                  <w:rPr>
                    <w:webHidden/>
                  </w:rPr>
                  <w:fldChar w:fldCharType="separate"/>
                </w:r>
                <w:r>
                  <w:rPr>
                    <w:webHidden/>
                    <w:rtl/>
                    <w:lang w:bidi="ar-SA"/>
                  </w:rPr>
                  <w:t>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90" w:history="1">
                <w:r w:rsidR="00F4223D" w:rsidRPr="008D22A6">
                  <w:rPr>
                    <w:rStyle w:val="Lienhypertexte"/>
                    <w:rtl/>
                  </w:rPr>
                  <w:t>5.</w:t>
                </w:r>
                <w:r w:rsidR="001D4FB7" w:rsidRPr="001D4FB7">
                  <w:rPr>
                    <w:rFonts w:hint="eastAsia"/>
                    <w:rtl/>
                  </w:rPr>
                  <w:t xml:space="preserve"> </w:t>
                </w:r>
                <w:r w:rsidR="001D4FB7" w:rsidRPr="001D4FB7">
                  <w:rPr>
                    <w:rStyle w:val="Lienhypertexte"/>
                    <w:rFonts w:hint="eastAsia"/>
                    <w:rtl/>
                  </w:rPr>
                  <w:t>أهمية</w:t>
                </w:r>
                <w:r w:rsidR="001D4FB7" w:rsidRPr="001D4FB7">
                  <w:rPr>
                    <w:rStyle w:val="Lienhypertexte"/>
                    <w:rtl/>
                  </w:rPr>
                  <w:t xml:space="preserve"> </w:t>
                </w:r>
                <w:r w:rsidR="001D4FB7" w:rsidRPr="001D4FB7">
                  <w:rPr>
                    <w:rStyle w:val="Lienhypertexte"/>
                    <w:rFonts w:hint="eastAsia"/>
                    <w:rtl/>
                  </w:rPr>
                  <w:t>البحث</w:t>
                </w:r>
                <w:r w:rsidR="001D4FB7">
                  <w:rPr>
                    <w:rStyle w:val="Lienhypertexte"/>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_Toc171803290 \h </w:instrText>
                </w:r>
                <w:r w:rsidR="00F4223D">
                  <w:rPr>
                    <w:webHidden/>
                  </w:rPr>
                </w:r>
                <w:r w:rsidR="00F4223D">
                  <w:rPr>
                    <w:webHidden/>
                  </w:rPr>
                  <w:fldChar w:fldCharType="separate"/>
                </w:r>
                <w:r>
                  <w:rPr>
                    <w:webHidden/>
                    <w:rtl/>
                    <w:lang w:bidi="ar-SA"/>
                  </w:rPr>
                  <w:t>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291" w:history="1">
                <w:r w:rsidR="00F4223D" w:rsidRPr="008D22A6">
                  <w:rPr>
                    <w:rStyle w:val="Lienhypertexte"/>
                  </w:rPr>
                  <w:t>.</w:t>
                </w:r>
                <w:r w:rsidR="00F4223D" w:rsidRPr="00F4223D">
                  <w:rPr>
                    <w:rStyle w:val="Lienhypertexte"/>
                  </w:rPr>
                  <w:t>6</w:t>
                </w:r>
                <w:r w:rsidR="001D4FB7" w:rsidRPr="001D4FB7">
                  <w:rPr>
                    <w:rFonts w:hint="eastAsia"/>
                    <w:rtl/>
                  </w:rPr>
                  <w:t xml:space="preserve"> </w:t>
                </w:r>
                <w:r w:rsidR="001D4FB7" w:rsidRPr="001D4FB7">
                  <w:rPr>
                    <w:rStyle w:val="Lienhypertexte"/>
                    <w:rFonts w:hint="eastAsia"/>
                    <w:rtl/>
                  </w:rPr>
                  <w:t>منهجية</w:t>
                </w:r>
                <w:r w:rsidR="001D4FB7" w:rsidRPr="001D4FB7">
                  <w:rPr>
                    <w:rStyle w:val="Lienhypertexte"/>
                    <w:rtl/>
                  </w:rPr>
                  <w:t xml:space="preserve"> </w:t>
                </w:r>
                <w:r w:rsidR="001D4FB7" w:rsidRPr="001D4FB7">
                  <w:rPr>
                    <w:rStyle w:val="Lienhypertexte"/>
                    <w:rFonts w:hint="eastAsia"/>
                    <w:rtl/>
                  </w:rPr>
                  <w:t>البحث</w:t>
                </w:r>
                <w:r w:rsidR="001D4FB7" w:rsidRPr="001D4FB7">
                  <w:rPr>
                    <w:rStyle w:val="Lienhypertexte"/>
                    <w:rtl/>
                  </w:rPr>
                  <w:t xml:space="preserve"> </w:t>
                </w:r>
                <w:r w:rsidR="001D4FB7" w:rsidRPr="001D4FB7">
                  <w:rPr>
                    <w:rStyle w:val="Lienhypertexte"/>
                    <w:rFonts w:hint="eastAsia"/>
                    <w:rtl/>
                  </w:rPr>
                  <w:t>و</w:t>
                </w:r>
                <w:r w:rsidR="001D4FB7" w:rsidRPr="001D4FB7">
                  <w:rPr>
                    <w:rStyle w:val="Lienhypertexte"/>
                    <w:rtl/>
                  </w:rPr>
                  <w:t xml:space="preserve"> </w:t>
                </w:r>
                <w:r w:rsidR="001D4FB7" w:rsidRPr="001D4FB7">
                  <w:rPr>
                    <w:rStyle w:val="Lienhypertexte"/>
                    <w:rFonts w:hint="eastAsia"/>
                    <w:rtl/>
                  </w:rPr>
                  <w:t>الادوات</w:t>
                </w:r>
                <w:r w:rsidR="001D4FB7" w:rsidRPr="001D4FB7">
                  <w:rPr>
                    <w:rStyle w:val="Lienhypertexte"/>
                    <w:rtl/>
                  </w:rPr>
                  <w:t xml:space="preserve"> </w:t>
                </w:r>
                <w:r w:rsidR="001D4FB7" w:rsidRPr="001D4FB7">
                  <w:rPr>
                    <w:rStyle w:val="Lienhypertexte"/>
                    <w:rFonts w:hint="eastAsia"/>
                    <w:rtl/>
                  </w:rPr>
                  <w:t>المستعملة</w:t>
                </w:r>
                <w:r w:rsidR="001D4FB7">
                  <w:rPr>
                    <w:rStyle w:val="Lienhypertexte"/>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_Toc171803291 \h </w:instrText>
                </w:r>
                <w:r w:rsidR="00F4223D">
                  <w:rPr>
                    <w:webHidden/>
                  </w:rPr>
                </w:r>
                <w:r w:rsidR="00F4223D">
                  <w:rPr>
                    <w:webHidden/>
                  </w:rPr>
                  <w:fldChar w:fldCharType="separate"/>
                </w:r>
                <w:r>
                  <w:rPr>
                    <w:webHidden/>
                    <w:rtl/>
                    <w:lang w:bidi="ar-SA"/>
                  </w:rPr>
                  <w:t>5</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292" w:history="1">
                <w:r w:rsidR="00F4223D" w:rsidRPr="008D22A6">
                  <w:rPr>
                    <w:rStyle w:val="Lienhypertexte"/>
                  </w:rPr>
                  <w:t>.</w:t>
                </w:r>
                <w:r w:rsidR="001D4FB7" w:rsidRPr="001D4FB7">
                  <w:rPr>
                    <w:rStyle w:val="Lienhypertexte"/>
                  </w:rPr>
                  <w:t>1.6</w:t>
                </w:r>
                <w:r w:rsidR="00F4223D">
                  <w:rPr>
                    <w:rFonts w:asciiTheme="minorHAnsi" w:hAnsiTheme="minorHAnsi" w:cstheme="minorBidi"/>
                    <w:lang w:val="fr-FR"/>
                  </w:rPr>
                  <w:tab/>
                </w:r>
                <w:r w:rsidR="00F4223D" w:rsidRPr="008D22A6">
                  <w:rPr>
                    <w:rStyle w:val="Lienhypertexte"/>
                    <w:rFonts w:hint="eastAsia"/>
                    <w:rtl/>
                  </w:rPr>
                  <w:t>منهجية</w:t>
                </w:r>
                <w:r w:rsidR="00F4223D" w:rsidRPr="008D22A6">
                  <w:rPr>
                    <w:rStyle w:val="Lienhypertexte"/>
                    <w:rFonts w:asciiTheme="minorBidi" w:hAnsiTheme="minorBidi" w:cs="Arial"/>
                    <w:rtl/>
                  </w:rPr>
                  <w:t xml:space="preserve"> </w:t>
                </w:r>
                <w:r w:rsidR="00F4223D" w:rsidRPr="008D22A6">
                  <w:rPr>
                    <w:rStyle w:val="Lienhypertexte"/>
                    <w:rFonts w:hint="eastAsia"/>
                    <w:rtl/>
                  </w:rPr>
                  <w:t>البحث</w:t>
                </w:r>
                <w:r w:rsidR="00F4223D">
                  <w:rPr>
                    <w:webHidden/>
                  </w:rPr>
                  <w:tab/>
                </w:r>
                <w:r w:rsidR="00F4223D">
                  <w:rPr>
                    <w:webHidden/>
                  </w:rPr>
                  <w:fldChar w:fldCharType="begin"/>
                </w:r>
                <w:r w:rsidR="00F4223D">
                  <w:rPr>
                    <w:webHidden/>
                  </w:rPr>
                  <w:instrText xml:space="preserve"> PAGEREF _Toc171803292 \h </w:instrText>
                </w:r>
                <w:r w:rsidR="00F4223D">
                  <w:rPr>
                    <w:webHidden/>
                  </w:rPr>
                </w:r>
                <w:r w:rsidR="00F4223D">
                  <w:rPr>
                    <w:webHidden/>
                  </w:rPr>
                  <w:fldChar w:fldCharType="separate"/>
                </w:r>
                <w:r>
                  <w:rPr>
                    <w:webHidden/>
                    <w:rtl/>
                  </w:rPr>
                  <w:t>5</w:t>
                </w:r>
                <w:r w:rsidR="00F4223D">
                  <w:rPr>
                    <w:webHidden/>
                  </w:rPr>
                  <w:fldChar w:fldCharType="end"/>
                </w:r>
              </w:hyperlink>
            </w:p>
            <w:p w:rsidR="00F4223D" w:rsidRDefault="00B62F86" w:rsidP="003A089F">
              <w:pPr>
                <w:pStyle w:val="TM3"/>
              </w:pPr>
              <w:hyperlink w:anchor="_Toc171803293" w:history="1">
                <w:r w:rsidR="00F4223D" w:rsidRPr="008D22A6">
                  <w:rPr>
                    <w:rStyle w:val="Lienhypertexte"/>
                  </w:rPr>
                  <w:t>1.1.6</w:t>
                </w:r>
                <w:r w:rsidR="00F4223D">
                  <w:tab/>
                </w:r>
                <w:r w:rsidR="00F4223D" w:rsidRPr="008D22A6">
                  <w:rPr>
                    <w:rStyle w:val="Lienhypertexte"/>
                    <w:rFonts w:hint="eastAsia"/>
                    <w:rtl/>
                  </w:rPr>
                  <w:t>طرق</w:t>
                </w:r>
                <w:r w:rsidR="00F4223D" w:rsidRPr="008D22A6">
                  <w:rPr>
                    <w:rStyle w:val="Lienhypertexte"/>
                    <w:rtl/>
                  </w:rPr>
                  <w:t xml:space="preserve"> </w:t>
                </w:r>
                <w:r w:rsidR="00F4223D" w:rsidRPr="008D22A6">
                  <w:rPr>
                    <w:rStyle w:val="Lienhypertexte"/>
                    <w:rFonts w:hint="eastAsia"/>
                    <w:rtl/>
                  </w:rPr>
                  <w:t>التحليل</w:t>
                </w:r>
                <w:r w:rsidR="00F4223D" w:rsidRPr="008D22A6">
                  <w:rPr>
                    <w:rStyle w:val="Lienhypertexte"/>
                    <w:rtl/>
                  </w:rPr>
                  <w:t xml:space="preserve"> </w:t>
                </w:r>
                <w:r w:rsidR="00F4223D" w:rsidRPr="008D22A6">
                  <w:rPr>
                    <w:rStyle w:val="Lienhypertexte"/>
                    <w:rFonts w:hint="eastAsia"/>
                    <w:rtl/>
                  </w:rPr>
                  <w:t>واسلوب</w:t>
                </w:r>
                <w:r w:rsidR="00F4223D" w:rsidRPr="008D22A6">
                  <w:rPr>
                    <w:rStyle w:val="Lienhypertexte"/>
                    <w:rtl/>
                  </w:rPr>
                  <w:t xml:space="preserve"> </w:t>
                </w:r>
                <w:r w:rsidR="00F4223D" w:rsidRPr="008D22A6">
                  <w:rPr>
                    <w:rStyle w:val="Lienhypertexte"/>
                    <w:rFonts w:hint="eastAsia"/>
                    <w:rtl/>
                  </w:rPr>
                  <w:t>المقارنة</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_Toc171803293 \h </w:instrText>
                </w:r>
                <w:r w:rsidR="00F4223D">
                  <w:rPr>
                    <w:webHidden/>
                  </w:rPr>
                </w:r>
                <w:r w:rsidR="00F4223D">
                  <w:rPr>
                    <w:webHidden/>
                  </w:rPr>
                  <w:fldChar w:fldCharType="separate"/>
                </w:r>
                <w:r>
                  <w:rPr>
                    <w:webHidden/>
                    <w:rtl/>
                    <w:lang w:bidi="ar-SA"/>
                  </w:rPr>
                  <w:t>6</w:t>
                </w:r>
                <w:r w:rsidR="00F4223D">
                  <w:rPr>
                    <w:webHidden/>
                  </w:rPr>
                  <w:fldChar w:fldCharType="end"/>
                </w:r>
              </w:hyperlink>
            </w:p>
            <w:p w:rsidR="00F4223D" w:rsidRDefault="00B62F86" w:rsidP="003A089F">
              <w:pPr>
                <w:pStyle w:val="TM3"/>
              </w:pPr>
              <w:hyperlink w:anchor="_Toc171803294" w:history="1">
                <w:r w:rsidR="00F4223D" w:rsidRPr="008D22A6">
                  <w:rPr>
                    <w:rStyle w:val="Lienhypertexte"/>
                  </w:rPr>
                  <w:t>2.1.6</w:t>
                </w:r>
                <w:r w:rsidR="00F4223D">
                  <w:tab/>
                </w:r>
                <w:r w:rsidR="00F4223D" w:rsidRPr="008D22A6">
                  <w:rPr>
                    <w:rStyle w:val="Lienhypertexte"/>
                    <w:rFonts w:hint="eastAsia"/>
                    <w:rtl/>
                  </w:rPr>
                  <w:t>الطرق</w:t>
                </w:r>
                <w:r w:rsidR="00F4223D" w:rsidRPr="008D22A6">
                  <w:rPr>
                    <w:rStyle w:val="Lienhypertexte"/>
                    <w:rtl/>
                  </w:rPr>
                  <w:t xml:space="preserve"> </w:t>
                </w:r>
                <w:r w:rsidR="00F4223D" w:rsidRPr="008D22A6">
                  <w:rPr>
                    <w:rStyle w:val="Lienhypertexte"/>
                    <w:rFonts w:hint="eastAsia"/>
                    <w:rtl/>
                  </w:rPr>
                  <w:t>الكمية</w:t>
                </w:r>
                <w:r w:rsidR="00F4223D" w:rsidRPr="008D22A6">
                  <w:rPr>
                    <w:rStyle w:val="Lienhypertexte"/>
                    <w:rtl/>
                  </w:rPr>
                  <w:t xml:space="preserve"> </w:t>
                </w:r>
                <w:r w:rsidR="00F4223D" w:rsidRPr="008D22A6">
                  <w:rPr>
                    <w:rStyle w:val="Lienhypertexte"/>
                    <w:rFonts w:hint="eastAsia"/>
                    <w:rtl/>
                  </w:rPr>
                  <w:t>مع</w:t>
                </w:r>
                <w:r w:rsidR="00F4223D" w:rsidRPr="008D22A6">
                  <w:rPr>
                    <w:rStyle w:val="Lienhypertexte"/>
                    <w:rtl/>
                  </w:rPr>
                  <w:t xml:space="preserve"> </w:t>
                </w:r>
                <w:r w:rsidR="00F4223D" w:rsidRPr="008D22A6">
                  <w:rPr>
                    <w:rStyle w:val="Lienhypertexte"/>
                    <w:rFonts w:hint="eastAsia"/>
                    <w:rtl/>
                  </w:rPr>
                  <w:t>اسلوب</w:t>
                </w:r>
                <w:r w:rsidR="00F4223D" w:rsidRPr="008D22A6">
                  <w:rPr>
                    <w:rStyle w:val="Lienhypertexte"/>
                    <w:rtl/>
                  </w:rPr>
                  <w:t xml:space="preserve"> </w:t>
                </w:r>
                <w:r w:rsidR="00F4223D" w:rsidRPr="008D22A6">
                  <w:rPr>
                    <w:rStyle w:val="Lienhypertexte"/>
                    <w:rFonts w:hint="eastAsia"/>
                    <w:rtl/>
                  </w:rPr>
                  <w:t>المقارنة</w:t>
                </w:r>
                <w:r w:rsidR="00F4223D">
                  <w:rPr>
                    <w:webHidden/>
                  </w:rPr>
                  <w:tab/>
                </w:r>
                <w:r w:rsidR="00F4223D">
                  <w:rPr>
                    <w:webHidden/>
                  </w:rPr>
                  <w:fldChar w:fldCharType="begin"/>
                </w:r>
                <w:r w:rsidR="00F4223D">
                  <w:rPr>
                    <w:webHidden/>
                  </w:rPr>
                  <w:instrText xml:space="preserve"> PAGEREF _Toc171803294 \h </w:instrText>
                </w:r>
                <w:r w:rsidR="00F4223D">
                  <w:rPr>
                    <w:webHidden/>
                  </w:rPr>
                </w:r>
                <w:r w:rsidR="00F4223D">
                  <w:rPr>
                    <w:webHidden/>
                  </w:rPr>
                  <w:fldChar w:fldCharType="separate"/>
                </w:r>
                <w:r>
                  <w:rPr>
                    <w:webHidden/>
                    <w:rtl/>
                    <w:lang w:bidi="ar-SA"/>
                  </w:rPr>
                  <w:t>6</w:t>
                </w:r>
                <w:r w:rsidR="00F4223D">
                  <w:rPr>
                    <w:webHidden/>
                  </w:rPr>
                  <w:fldChar w:fldCharType="end"/>
                </w:r>
              </w:hyperlink>
            </w:p>
            <w:p w:rsidR="00F4223D" w:rsidRDefault="00B62F86" w:rsidP="003A089F">
              <w:pPr>
                <w:pStyle w:val="TM3"/>
              </w:pPr>
              <w:hyperlink w:anchor="_Toc171803295" w:history="1">
                <w:r w:rsidR="00F4223D" w:rsidRPr="008D22A6">
                  <w:rPr>
                    <w:rStyle w:val="Lienhypertexte"/>
                    <w:rtl/>
                  </w:rPr>
                  <w:t>3.1.6</w:t>
                </w:r>
                <w:r w:rsidR="00F4223D">
                  <w:tab/>
                </w:r>
                <w:r w:rsidR="00F4223D" w:rsidRPr="008D22A6">
                  <w:rPr>
                    <w:rStyle w:val="Lienhypertexte"/>
                    <w:rFonts w:hint="eastAsia"/>
                    <w:rtl/>
                  </w:rPr>
                  <w:t>الاسلوب</w:t>
                </w:r>
                <w:r w:rsidR="00F4223D" w:rsidRPr="008D22A6">
                  <w:rPr>
                    <w:rStyle w:val="Lienhypertexte"/>
                    <w:rtl/>
                  </w:rPr>
                  <w:t xml:space="preserve"> </w:t>
                </w:r>
                <w:r w:rsidR="00F4223D" w:rsidRPr="008D22A6">
                  <w:rPr>
                    <w:rStyle w:val="Lienhypertexte"/>
                    <w:rFonts w:hint="eastAsia"/>
                    <w:rtl/>
                  </w:rPr>
                  <w:t>الاحصائي</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_Toc171803295 \h </w:instrText>
                </w:r>
                <w:r w:rsidR="00F4223D">
                  <w:rPr>
                    <w:webHidden/>
                  </w:rPr>
                </w:r>
                <w:r w:rsidR="00F4223D">
                  <w:rPr>
                    <w:webHidden/>
                  </w:rPr>
                  <w:fldChar w:fldCharType="separate"/>
                </w:r>
                <w:r>
                  <w:rPr>
                    <w:webHidden/>
                    <w:rtl/>
                    <w:lang w:bidi="ar-SA"/>
                  </w:rPr>
                  <w:t>6</w:t>
                </w:r>
                <w:r w:rsidR="00F4223D">
                  <w:rPr>
                    <w:webHidden/>
                  </w:rPr>
                  <w:fldChar w:fldCharType="end"/>
                </w:r>
              </w:hyperlink>
            </w:p>
            <w:p w:rsidR="00F4223D" w:rsidRDefault="00B62F86" w:rsidP="003A089F">
              <w:pPr>
                <w:pStyle w:val="TM3"/>
              </w:pPr>
              <w:hyperlink w:anchor="_Toc171803296" w:history="1">
                <w:r w:rsidR="00F4223D" w:rsidRPr="008D22A6">
                  <w:rPr>
                    <w:rStyle w:val="Lienhypertexte"/>
                  </w:rPr>
                  <w:t>4.1.6</w:t>
                </w:r>
                <w:r w:rsidR="00F4223D">
                  <w:tab/>
                </w:r>
                <w:r w:rsidR="00F4223D" w:rsidRPr="008D22A6">
                  <w:rPr>
                    <w:rStyle w:val="Lienhypertexte"/>
                    <w:rFonts w:hint="eastAsia"/>
                    <w:rtl/>
                  </w:rPr>
                  <w:t>الطريقة</w:t>
                </w:r>
                <w:r w:rsidR="00F4223D" w:rsidRPr="008D22A6">
                  <w:rPr>
                    <w:rStyle w:val="Lienhypertexte"/>
                    <w:rtl/>
                  </w:rPr>
                  <w:t xml:space="preserve"> </w:t>
                </w:r>
                <w:r w:rsidR="00F4223D" w:rsidRPr="008D22A6">
                  <w:rPr>
                    <w:rStyle w:val="Lienhypertexte"/>
                    <w:rFonts w:hint="eastAsia"/>
                    <w:rtl/>
                  </w:rPr>
                  <w:t>التشاركية</w:t>
                </w:r>
                <w:r w:rsidR="00F4223D">
                  <w:rPr>
                    <w:webHidden/>
                  </w:rPr>
                  <w:tab/>
                </w:r>
                <w:r w:rsidR="00F4223D">
                  <w:rPr>
                    <w:webHidden/>
                  </w:rPr>
                  <w:fldChar w:fldCharType="begin"/>
                </w:r>
                <w:r w:rsidR="00F4223D">
                  <w:rPr>
                    <w:webHidden/>
                  </w:rPr>
                  <w:instrText xml:space="preserve"> PAGEREF _Toc171803296 \h </w:instrText>
                </w:r>
                <w:r w:rsidR="00F4223D">
                  <w:rPr>
                    <w:webHidden/>
                  </w:rPr>
                </w:r>
                <w:r w:rsidR="00F4223D">
                  <w:rPr>
                    <w:webHidden/>
                  </w:rPr>
                  <w:fldChar w:fldCharType="separate"/>
                </w:r>
                <w:r>
                  <w:rPr>
                    <w:webHidden/>
                    <w:rtl/>
                    <w:lang w:bidi="ar-SA"/>
                  </w:rPr>
                  <w:t>6</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297" w:history="1">
                <w:r w:rsidR="00F4223D" w:rsidRPr="008D22A6">
                  <w:rPr>
                    <w:rStyle w:val="Lienhypertexte"/>
                    <w:rtl/>
                  </w:rPr>
                  <w:t>2.6</w:t>
                </w:r>
                <w:r w:rsidR="001D4FB7">
                  <w:rPr>
                    <w:rStyle w:val="Lienhypertexte"/>
                  </w:rPr>
                  <w:t>.</w:t>
                </w:r>
                <w:r w:rsidR="00F4223D">
                  <w:rPr>
                    <w:rFonts w:asciiTheme="minorHAnsi" w:hAnsiTheme="minorHAnsi" w:cstheme="minorBidi"/>
                    <w:lang w:val="fr-FR"/>
                  </w:rPr>
                  <w:tab/>
                </w:r>
                <w:r w:rsidR="00F4223D" w:rsidRPr="008D22A6">
                  <w:rPr>
                    <w:rStyle w:val="Lienhypertexte"/>
                    <w:rFonts w:hint="eastAsia"/>
                    <w:rtl/>
                  </w:rPr>
                  <w:t>الادوات</w:t>
                </w:r>
                <w:r w:rsidR="00F4223D" w:rsidRPr="008D22A6">
                  <w:rPr>
                    <w:rStyle w:val="Lienhypertexte"/>
                    <w:rtl/>
                  </w:rPr>
                  <w:t xml:space="preserve"> </w:t>
                </w:r>
                <w:r w:rsidR="00F4223D" w:rsidRPr="008D22A6">
                  <w:rPr>
                    <w:rStyle w:val="Lienhypertexte"/>
                    <w:rFonts w:hint="eastAsia"/>
                    <w:rtl/>
                  </w:rPr>
                  <w:t>والتقنيات</w:t>
                </w:r>
                <w:r w:rsidR="00F4223D" w:rsidRPr="008D22A6">
                  <w:rPr>
                    <w:rStyle w:val="Lienhypertexte"/>
                    <w:rtl/>
                  </w:rPr>
                  <w:t xml:space="preserve"> </w:t>
                </w:r>
                <w:r w:rsidR="00F4223D" w:rsidRPr="008D22A6">
                  <w:rPr>
                    <w:rStyle w:val="Lienhypertexte"/>
                    <w:rFonts w:hint="eastAsia"/>
                    <w:rtl/>
                  </w:rPr>
                  <w:t>المستعملة</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البحث</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_Toc171803297 \h </w:instrText>
                </w:r>
                <w:r w:rsidR="00F4223D">
                  <w:rPr>
                    <w:webHidden/>
                  </w:rPr>
                </w:r>
                <w:r w:rsidR="00F4223D">
                  <w:rPr>
                    <w:webHidden/>
                  </w:rPr>
                  <w:fldChar w:fldCharType="separate"/>
                </w:r>
                <w:r>
                  <w:rPr>
                    <w:webHidden/>
                    <w:rtl/>
                  </w:rPr>
                  <w:t>6</w:t>
                </w:r>
                <w:r w:rsidR="00F4223D">
                  <w:rPr>
                    <w:webHidden/>
                  </w:rPr>
                  <w:fldChar w:fldCharType="end"/>
                </w:r>
              </w:hyperlink>
            </w:p>
            <w:p w:rsidR="00F4223D" w:rsidRPr="00F4223D" w:rsidRDefault="00B62F86" w:rsidP="003A089F">
              <w:pPr>
                <w:pStyle w:val="TM3"/>
              </w:pPr>
              <w:hyperlink w:anchor="_Toc171803298" w:history="1">
                <w:r w:rsidR="00F4223D" w:rsidRPr="00F4223D">
                  <w:rPr>
                    <w:rStyle w:val="Lienhypertexte"/>
                  </w:rPr>
                  <w:t>1.2.6</w:t>
                </w:r>
                <w:r w:rsidR="00F4223D" w:rsidRPr="00F4223D">
                  <w:tab/>
                </w:r>
                <w:r w:rsidR="00F4223D" w:rsidRPr="00F4223D">
                  <w:rPr>
                    <w:rStyle w:val="Lienhypertexte"/>
                    <w:rFonts w:hint="eastAsia"/>
                    <w:rtl/>
                  </w:rPr>
                  <w:t>تقنية</w:t>
                </w:r>
                <w:r w:rsidR="00F4223D" w:rsidRPr="00F4223D">
                  <w:rPr>
                    <w:rStyle w:val="Lienhypertexte"/>
                    <w:rtl/>
                  </w:rPr>
                  <w:t xml:space="preserve"> </w:t>
                </w:r>
                <w:r w:rsidR="00F4223D" w:rsidRPr="00F4223D">
                  <w:rPr>
                    <w:rStyle w:val="Lienhypertexte"/>
                    <w:rFonts w:hint="eastAsia"/>
                    <w:rtl/>
                  </w:rPr>
                  <w:t>الاستبيان</w:t>
                </w:r>
                <w:r w:rsidR="00F4223D" w:rsidRPr="00F4223D">
                  <w:rPr>
                    <w:rStyle w:val="Lienhypertexte"/>
                    <w:rtl/>
                  </w:rPr>
                  <w:t xml:space="preserve"> </w:t>
                </w:r>
                <w:r w:rsidR="00F4223D" w:rsidRPr="00F4223D">
                  <w:rPr>
                    <w:rStyle w:val="Lienhypertexte"/>
                    <w:rFonts w:hint="eastAsia"/>
                    <w:rtl/>
                  </w:rPr>
                  <w:t>الالكتروني</w:t>
                </w:r>
                <w:r w:rsidR="00F4223D" w:rsidRPr="00F4223D">
                  <w:rPr>
                    <w:webHidden/>
                  </w:rPr>
                  <w:tab/>
                </w:r>
                <w:r w:rsidR="00F4223D" w:rsidRPr="00F4223D">
                  <w:rPr>
                    <w:webHidden/>
                  </w:rPr>
                  <w:fldChar w:fldCharType="begin"/>
                </w:r>
                <w:r w:rsidR="00F4223D" w:rsidRPr="00F4223D">
                  <w:rPr>
                    <w:webHidden/>
                  </w:rPr>
                  <w:instrText xml:space="preserve"> PAGEREF _Toc171803298 \h </w:instrText>
                </w:r>
                <w:r w:rsidR="00F4223D" w:rsidRPr="00F4223D">
                  <w:rPr>
                    <w:webHidden/>
                  </w:rPr>
                </w:r>
                <w:r w:rsidR="00F4223D" w:rsidRPr="00F4223D">
                  <w:rPr>
                    <w:webHidden/>
                  </w:rPr>
                  <w:fldChar w:fldCharType="separate"/>
                </w:r>
                <w:r>
                  <w:rPr>
                    <w:webHidden/>
                    <w:rtl/>
                    <w:lang w:bidi="ar-SA"/>
                  </w:rPr>
                  <w:t>6</w:t>
                </w:r>
                <w:r w:rsidR="00F4223D" w:rsidRPr="00F4223D">
                  <w:rPr>
                    <w:webHidden/>
                  </w:rPr>
                  <w:fldChar w:fldCharType="end"/>
                </w:r>
              </w:hyperlink>
            </w:p>
            <w:p w:rsidR="00F4223D" w:rsidRDefault="00B62F86" w:rsidP="003A089F">
              <w:pPr>
                <w:pStyle w:val="TM3"/>
              </w:pPr>
              <w:hyperlink w:anchor="_Toc171803299" w:history="1">
                <w:r w:rsidR="00F4223D" w:rsidRPr="008D22A6">
                  <w:rPr>
                    <w:rStyle w:val="Lienhypertexte"/>
                  </w:rPr>
                  <w:t>2.2.6</w:t>
                </w:r>
                <w:r w:rsidR="00F4223D">
                  <w:tab/>
                </w:r>
                <w:r w:rsidR="00F4223D" w:rsidRPr="008D22A6">
                  <w:rPr>
                    <w:rStyle w:val="Lienhypertexte"/>
                    <w:rFonts w:hint="eastAsia"/>
                    <w:rtl/>
                  </w:rPr>
                  <w:t>تقنية</w:t>
                </w:r>
                <w:r w:rsidR="00F4223D" w:rsidRPr="008D22A6">
                  <w:rPr>
                    <w:rStyle w:val="Lienhypertexte"/>
                    <w:rtl/>
                  </w:rPr>
                  <w:t xml:space="preserve"> </w:t>
                </w:r>
                <w:r w:rsidR="00F4223D" w:rsidRPr="008D22A6">
                  <w:rPr>
                    <w:rStyle w:val="Lienhypertexte"/>
                    <w:rFonts w:hint="eastAsia"/>
                    <w:rtl/>
                  </w:rPr>
                  <w:t>دلفي</w:t>
                </w:r>
                <w:r w:rsidR="00F4223D">
                  <w:rPr>
                    <w:webHidden/>
                  </w:rPr>
                  <w:tab/>
                </w:r>
                <w:r w:rsidR="00F4223D">
                  <w:rPr>
                    <w:webHidden/>
                  </w:rPr>
                  <w:fldChar w:fldCharType="begin"/>
                </w:r>
                <w:r w:rsidR="00F4223D">
                  <w:rPr>
                    <w:webHidden/>
                  </w:rPr>
                  <w:instrText xml:space="preserve"> PAGEREF _Toc171803299 \h </w:instrText>
                </w:r>
                <w:r w:rsidR="00F4223D">
                  <w:rPr>
                    <w:webHidden/>
                  </w:rPr>
                </w:r>
                <w:r w:rsidR="00F4223D">
                  <w:rPr>
                    <w:webHidden/>
                  </w:rPr>
                  <w:fldChar w:fldCharType="separate"/>
                </w:r>
                <w:r>
                  <w:rPr>
                    <w:webHidden/>
                    <w:rtl/>
                    <w:lang w:bidi="ar-SA"/>
                  </w:rPr>
                  <w:t>7</w:t>
                </w:r>
                <w:r w:rsidR="00F4223D">
                  <w:rPr>
                    <w:webHidden/>
                  </w:rPr>
                  <w:fldChar w:fldCharType="end"/>
                </w:r>
              </w:hyperlink>
            </w:p>
            <w:p w:rsidR="00F4223D" w:rsidRDefault="00B62F86" w:rsidP="003A089F">
              <w:pPr>
                <w:pStyle w:val="TM3"/>
              </w:pPr>
              <w:hyperlink w:anchor="_Toc171803300" w:history="1">
                <w:r w:rsidR="00F4223D" w:rsidRPr="008D22A6">
                  <w:rPr>
                    <w:rStyle w:val="Lienhypertexte"/>
                  </w:rPr>
                  <w:t>3.2.6</w:t>
                </w:r>
                <w:r w:rsidR="00F4223D">
                  <w:tab/>
                </w:r>
                <w:r w:rsidR="00F4223D" w:rsidRPr="008D22A6">
                  <w:rPr>
                    <w:rStyle w:val="Lienhypertexte"/>
                    <w:rFonts w:hint="eastAsia"/>
                    <w:rtl/>
                    <w:lang w:val="en-US"/>
                  </w:rPr>
                  <w:t>تقنية</w:t>
                </w:r>
                <w:r w:rsidR="00F4223D" w:rsidRPr="008D22A6">
                  <w:rPr>
                    <w:rStyle w:val="Lienhypertexte"/>
                    <w:rtl/>
                    <w:lang w:val="en-US"/>
                  </w:rPr>
                  <w:t xml:space="preserve"> </w:t>
                </w:r>
                <w:r w:rsidR="00F4223D" w:rsidRPr="008D22A6">
                  <w:rPr>
                    <w:rStyle w:val="Lienhypertexte"/>
                    <w:rFonts w:hint="eastAsia"/>
                    <w:rtl/>
                    <w:lang w:val="en-US"/>
                  </w:rPr>
                  <w:t>التحليل</w:t>
                </w:r>
                <w:r w:rsidR="00F4223D" w:rsidRPr="008D22A6">
                  <w:rPr>
                    <w:rStyle w:val="Lienhypertexte"/>
                    <w:rtl/>
                    <w:lang w:val="en-US"/>
                  </w:rPr>
                  <w:t xml:space="preserve"> </w:t>
                </w:r>
                <w:r w:rsidR="00F4223D" w:rsidRPr="008D22A6">
                  <w:rPr>
                    <w:rStyle w:val="Lienhypertexte"/>
                    <w:rFonts w:hint="eastAsia"/>
                    <w:rtl/>
                    <w:lang w:val="en-US"/>
                  </w:rPr>
                  <w:t>الهرمي</w:t>
                </w:r>
                <w:r w:rsidR="00F4223D" w:rsidRPr="008D22A6">
                  <w:rPr>
                    <w:rStyle w:val="Lienhypertexte"/>
                    <w:rtl/>
                    <w:lang w:val="en-US"/>
                  </w:rPr>
                  <w:t xml:space="preserve"> </w:t>
                </w:r>
                <w:r w:rsidR="00F4223D" w:rsidRPr="008D22A6">
                  <w:rPr>
                    <w:rStyle w:val="Lienhypertexte"/>
                    <w:rFonts w:hint="eastAsia"/>
                    <w:rtl/>
                    <w:lang w:val="en-US"/>
                  </w:rPr>
                  <w:t>التسلسلي</w:t>
                </w:r>
                <w:r w:rsidR="00F4223D" w:rsidRPr="008D22A6">
                  <w:rPr>
                    <w:rStyle w:val="Lienhypertexte"/>
                    <w:rtl/>
                    <w:lang w:val="en-US"/>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AHP</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_Toc171803300 \h </w:instrText>
                </w:r>
                <w:r w:rsidR="00F4223D">
                  <w:rPr>
                    <w:webHidden/>
                  </w:rPr>
                </w:r>
                <w:r w:rsidR="00F4223D">
                  <w:rPr>
                    <w:webHidden/>
                  </w:rPr>
                  <w:fldChar w:fldCharType="separate"/>
                </w:r>
                <w:r>
                  <w:rPr>
                    <w:webHidden/>
                    <w:rtl/>
                    <w:lang w:bidi="ar-SA"/>
                  </w:rPr>
                  <w:t>7</w:t>
                </w:r>
                <w:r w:rsidR="00F4223D">
                  <w:rPr>
                    <w:webHidden/>
                  </w:rPr>
                  <w:fldChar w:fldCharType="end"/>
                </w:r>
              </w:hyperlink>
            </w:p>
            <w:p w:rsidR="00F4223D" w:rsidRDefault="00B62F86" w:rsidP="003A089F">
              <w:pPr>
                <w:pStyle w:val="TM3"/>
              </w:pPr>
              <w:hyperlink w:anchor="_Toc171803301" w:history="1">
                <w:r w:rsidR="00F4223D" w:rsidRPr="008D22A6">
                  <w:rPr>
                    <w:rStyle w:val="Lienhypertexte"/>
                  </w:rPr>
                  <w:t>4.2.6.</w:t>
                </w:r>
                <w:r w:rsidR="00F4223D">
                  <w:tab/>
                </w:r>
                <w:r w:rsidR="00F4223D" w:rsidRPr="008D22A6">
                  <w:rPr>
                    <w:rStyle w:val="Lienhypertexte"/>
                    <w:rFonts w:hint="eastAsia"/>
                    <w:rtl/>
                    <w:lang w:val="en-US"/>
                  </w:rPr>
                  <w:t>تقنية</w:t>
                </w:r>
                <w:r w:rsidR="00F4223D" w:rsidRPr="008D22A6">
                  <w:rPr>
                    <w:rStyle w:val="Lienhypertexte"/>
                    <w:rtl/>
                    <w:lang w:val="en-US"/>
                  </w:rPr>
                  <w:t xml:space="preserve"> </w:t>
                </w:r>
                <w:r w:rsidR="00F4223D" w:rsidRPr="008D22A6">
                  <w:rPr>
                    <w:rStyle w:val="Lienhypertexte"/>
                    <w:rFonts w:hint="eastAsia"/>
                    <w:rtl/>
                    <w:lang w:val="en-US"/>
                  </w:rPr>
                  <w:t>الملاحظة،</w:t>
                </w:r>
                <w:r w:rsidR="00F4223D" w:rsidRPr="008D22A6">
                  <w:rPr>
                    <w:rStyle w:val="Lienhypertexte"/>
                    <w:rtl/>
                    <w:lang w:val="en-US"/>
                  </w:rPr>
                  <w:t xml:space="preserve"> </w:t>
                </w:r>
                <w:r w:rsidR="00F4223D" w:rsidRPr="008D22A6">
                  <w:rPr>
                    <w:rStyle w:val="Lienhypertexte"/>
                    <w:rFonts w:hint="eastAsia"/>
                    <w:rtl/>
                    <w:lang w:val="en-US"/>
                  </w:rPr>
                  <w:t>الصور</w:t>
                </w:r>
                <w:r w:rsidR="00F4223D" w:rsidRPr="008D22A6">
                  <w:rPr>
                    <w:rStyle w:val="Lienhypertexte"/>
                    <w:rtl/>
                    <w:lang w:val="en-US"/>
                  </w:rPr>
                  <w:t xml:space="preserve"> </w:t>
                </w:r>
                <w:r w:rsidR="00F4223D" w:rsidRPr="008D22A6">
                  <w:rPr>
                    <w:rStyle w:val="Lienhypertexte"/>
                    <w:rFonts w:hint="eastAsia"/>
                    <w:rtl/>
                    <w:lang w:val="en-US"/>
                  </w:rPr>
                  <w:t>الفتوغرافية</w:t>
                </w:r>
                <w:r w:rsidR="00F4223D" w:rsidRPr="008D22A6">
                  <w:rPr>
                    <w:rStyle w:val="Lienhypertexte"/>
                    <w:rtl/>
                    <w:lang w:val="en-US"/>
                  </w:rPr>
                  <w:t xml:space="preserve"> </w:t>
                </w:r>
                <w:r w:rsidR="00F4223D" w:rsidRPr="008D22A6">
                  <w:rPr>
                    <w:rStyle w:val="Lienhypertexte"/>
                    <w:rFonts w:hint="eastAsia"/>
                    <w:rtl/>
                    <w:lang w:val="en-US"/>
                  </w:rPr>
                  <w:t>والجوية،</w:t>
                </w:r>
                <w:r w:rsidR="00F4223D" w:rsidRPr="008D22A6">
                  <w:rPr>
                    <w:rStyle w:val="Lienhypertexte"/>
                    <w:rtl/>
                    <w:lang w:val="en-US"/>
                  </w:rPr>
                  <w:t xml:space="preserve"> </w:t>
                </w:r>
                <w:r w:rsidR="00F4223D" w:rsidRPr="008D22A6">
                  <w:rPr>
                    <w:rStyle w:val="Lienhypertexte"/>
                    <w:rFonts w:hint="eastAsia"/>
                    <w:rtl/>
                    <w:lang w:val="en-US"/>
                  </w:rPr>
                  <w:t>الخرائط</w:t>
                </w:r>
                <w:r w:rsidR="00F4223D" w:rsidRPr="008D22A6">
                  <w:rPr>
                    <w:rStyle w:val="Lienhypertexte"/>
                    <w:rtl/>
                    <w:lang w:val="en-US"/>
                  </w:rPr>
                  <w:t xml:space="preserve"> </w:t>
                </w:r>
                <w:r w:rsidR="00F4223D" w:rsidRPr="008D22A6">
                  <w:rPr>
                    <w:rStyle w:val="Lienhypertexte"/>
                    <w:rFonts w:hint="eastAsia"/>
                    <w:rtl/>
                    <w:lang w:val="en-US"/>
                  </w:rPr>
                  <w:t>والمخططات</w:t>
                </w:r>
                <w:r w:rsidR="00F4223D">
                  <w:rPr>
                    <w:webHidden/>
                  </w:rPr>
                  <w:tab/>
                </w:r>
                <w:r w:rsidR="00F4223D">
                  <w:rPr>
                    <w:webHidden/>
                  </w:rPr>
                  <w:fldChar w:fldCharType="begin"/>
                </w:r>
                <w:r w:rsidR="00F4223D">
                  <w:rPr>
                    <w:webHidden/>
                  </w:rPr>
                  <w:instrText xml:space="preserve"> PAGEREF _Toc171803301 \h </w:instrText>
                </w:r>
                <w:r w:rsidR="00F4223D">
                  <w:rPr>
                    <w:webHidden/>
                  </w:rPr>
                </w:r>
                <w:r w:rsidR="00F4223D">
                  <w:rPr>
                    <w:webHidden/>
                  </w:rPr>
                  <w:fldChar w:fldCharType="separate"/>
                </w:r>
                <w:r>
                  <w:rPr>
                    <w:webHidden/>
                    <w:rtl/>
                    <w:lang w:bidi="ar-SA"/>
                  </w:rPr>
                  <w:t>7</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303" w:history="1">
                <w:r w:rsidR="00F4223D" w:rsidRPr="008D22A6">
                  <w:rPr>
                    <w:rStyle w:val="Lienhypertexte"/>
                  </w:rPr>
                  <w:t>.</w:t>
                </w:r>
                <w:r w:rsidR="008B59CF" w:rsidRPr="008B59CF">
                  <w:rPr>
                    <w:rStyle w:val="Lienhypertexte"/>
                  </w:rPr>
                  <w:t>7</w:t>
                </w:r>
                <w:r w:rsidR="001D4FB7" w:rsidRPr="001D4FB7">
                  <w:rPr>
                    <w:rFonts w:hint="eastAsia"/>
                    <w:rtl/>
                  </w:rPr>
                  <w:t xml:space="preserve"> </w:t>
                </w:r>
                <w:r w:rsidR="001D4FB7">
                  <w:t xml:space="preserve"> </w:t>
                </w:r>
                <w:r w:rsidR="001D4FB7" w:rsidRPr="001D4FB7">
                  <w:rPr>
                    <w:rStyle w:val="Lienhypertexte"/>
                    <w:rFonts w:hint="eastAsia"/>
                    <w:rtl/>
                  </w:rPr>
                  <w:t>تنظيم</w:t>
                </w:r>
                <w:r w:rsidR="001D4FB7" w:rsidRPr="001D4FB7">
                  <w:rPr>
                    <w:rStyle w:val="Lienhypertexte"/>
                    <w:rtl/>
                  </w:rPr>
                  <w:t xml:space="preserve"> </w:t>
                </w:r>
                <w:r w:rsidR="001D4FB7" w:rsidRPr="001D4FB7">
                  <w:rPr>
                    <w:rStyle w:val="Lienhypertexte"/>
                    <w:rFonts w:hint="eastAsia"/>
                    <w:rtl/>
                  </w:rPr>
                  <w:t>الأطروحة</w:t>
                </w:r>
                <w:r w:rsidR="001D4FB7">
                  <w:rPr>
                    <w:rStyle w:val="Lienhypertexte"/>
                  </w:rPr>
                  <w:t>………………………………………………………………………..……………………</w:t>
                </w:r>
                <w:r w:rsidR="001D4FB7">
                  <w:rPr>
                    <w:rFonts w:asciiTheme="minorHAnsi" w:hAnsiTheme="minorHAnsi" w:cstheme="minorBidi"/>
                    <w:color w:val="auto"/>
                    <w:lang w:val="fr-FR" w:bidi="ar-SA"/>
                  </w:rPr>
                  <w:t>…</w:t>
                </w:r>
                <w:r w:rsidR="00F4223D">
                  <w:rPr>
                    <w:webHidden/>
                  </w:rPr>
                  <w:tab/>
                </w:r>
                <w:r w:rsidR="00F4223D">
                  <w:rPr>
                    <w:webHidden/>
                  </w:rPr>
                  <w:fldChar w:fldCharType="begin"/>
                </w:r>
                <w:r w:rsidR="00F4223D">
                  <w:rPr>
                    <w:webHidden/>
                  </w:rPr>
                  <w:instrText xml:space="preserve"> PAGEREF _Toc171803303 \h </w:instrText>
                </w:r>
                <w:r w:rsidR="00F4223D">
                  <w:rPr>
                    <w:webHidden/>
                  </w:rPr>
                </w:r>
                <w:r w:rsidR="00F4223D">
                  <w:rPr>
                    <w:webHidden/>
                  </w:rPr>
                  <w:fldChar w:fldCharType="separate"/>
                </w:r>
                <w:r>
                  <w:rPr>
                    <w:webHidden/>
                    <w:rtl/>
                    <w:lang w:bidi="ar-SA"/>
                  </w:rPr>
                  <w:t>7</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305" w:history="1">
                <w:r w:rsidR="00F4223D" w:rsidRPr="008D22A6">
                  <w:rPr>
                    <w:rStyle w:val="Lienhypertexte"/>
                  </w:rPr>
                  <w:t>.</w:t>
                </w:r>
                <w:r w:rsidR="008B59CF" w:rsidRPr="008B59CF">
                  <w:rPr>
                    <w:rStyle w:val="Lienhypertexte"/>
                  </w:rPr>
                  <w:t>8</w:t>
                </w:r>
                <w:r w:rsidR="00F4223D">
                  <w:rPr>
                    <w:rFonts w:asciiTheme="minorHAnsi" w:hAnsiTheme="minorHAnsi" w:cstheme="minorBidi"/>
                    <w:color w:val="auto"/>
                    <w:lang w:val="fr-FR" w:bidi="ar-SA"/>
                  </w:rPr>
                  <w:tab/>
                </w:r>
                <w:r w:rsidR="008B59CF">
                  <w:rPr>
                    <w:rFonts w:asciiTheme="minorHAnsi" w:hAnsiTheme="minorHAnsi" w:cstheme="minorBidi" w:hint="cs"/>
                    <w:color w:val="auto"/>
                    <w:rtl/>
                    <w:lang w:val="fr-FR" w:bidi="ar-SA"/>
                  </w:rPr>
                  <w:t xml:space="preserve">  </w:t>
                </w:r>
                <w:r w:rsidR="00F4223D" w:rsidRPr="008D22A6">
                  <w:rPr>
                    <w:rStyle w:val="Lienhypertexte"/>
                    <w:rFonts w:hint="eastAsia"/>
                    <w:rtl/>
                  </w:rPr>
                  <w:t>الصعوبات</w:t>
                </w:r>
                <w:r w:rsidR="00F4223D" w:rsidRPr="008D22A6">
                  <w:rPr>
                    <w:rStyle w:val="Lienhypertexte"/>
                    <w:rtl/>
                  </w:rPr>
                  <w:t xml:space="preserve"> </w:t>
                </w:r>
                <w:r w:rsidR="00F4223D" w:rsidRPr="008D22A6">
                  <w:rPr>
                    <w:rStyle w:val="Lienhypertexte"/>
                    <w:rFonts w:hint="eastAsia"/>
                    <w:rtl/>
                  </w:rPr>
                  <w:t>التي</w:t>
                </w:r>
                <w:r w:rsidR="00F4223D" w:rsidRPr="008D22A6">
                  <w:rPr>
                    <w:rStyle w:val="Lienhypertexte"/>
                    <w:rtl/>
                  </w:rPr>
                  <w:t xml:space="preserve"> </w:t>
                </w:r>
                <w:r w:rsidR="00F4223D" w:rsidRPr="008D22A6">
                  <w:rPr>
                    <w:rStyle w:val="Lienhypertexte"/>
                    <w:rFonts w:hint="eastAsia"/>
                    <w:rtl/>
                  </w:rPr>
                  <w:t>اعترضت</w:t>
                </w:r>
                <w:r w:rsidR="00F4223D" w:rsidRPr="008D22A6">
                  <w:rPr>
                    <w:rStyle w:val="Lienhypertexte"/>
                    <w:rtl/>
                  </w:rPr>
                  <w:t xml:space="preserve"> </w:t>
                </w:r>
                <w:r w:rsidR="00F4223D" w:rsidRPr="008D22A6">
                  <w:rPr>
                    <w:rStyle w:val="Lienhypertexte"/>
                    <w:rFonts w:hint="eastAsia"/>
                    <w:rtl/>
                  </w:rPr>
                  <w:t>البحث</w:t>
                </w:r>
                <w:r w:rsidR="008B59CF">
                  <w:rPr>
                    <w:rStyle w:val="Lienhypertexte"/>
                    <w:rFonts w:hint="cs"/>
                    <w:rtl/>
                  </w:rPr>
                  <w:t>...</w:t>
                </w:r>
                <w:r w:rsidR="001D4FB7">
                  <w:rPr>
                    <w:rStyle w:val="Lienhypertexte"/>
                  </w:rPr>
                  <w:t>..</w:t>
                </w:r>
                <w:r w:rsidR="008B59CF">
                  <w:rPr>
                    <w:rStyle w:val="Lienhypertexte"/>
                    <w:rFonts w:hint="cs"/>
                    <w:rtl/>
                  </w:rPr>
                  <w:t>..................................................................................</w:t>
                </w:r>
                <w:r w:rsidR="00F4223D">
                  <w:rPr>
                    <w:webHidden/>
                  </w:rPr>
                  <w:tab/>
                </w:r>
                <w:r w:rsidR="00F4223D">
                  <w:rPr>
                    <w:webHidden/>
                  </w:rPr>
                  <w:fldChar w:fldCharType="begin"/>
                </w:r>
                <w:r w:rsidR="00F4223D">
                  <w:rPr>
                    <w:webHidden/>
                  </w:rPr>
                  <w:instrText xml:space="preserve"> PAGEREF _Toc171803305 \h </w:instrText>
                </w:r>
                <w:r w:rsidR="00F4223D">
                  <w:rPr>
                    <w:webHidden/>
                  </w:rPr>
                </w:r>
                <w:r w:rsidR="00F4223D">
                  <w:rPr>
                    <w:webHidden/>
                  </w:rPr>
                  <w:fldChar w:fldCharType="separate"/>
                </w:r>
                <w:r>
                  <w:rPr>
                    <w:webHidden/>
                    <w:rtl/>
                    <w:lang w:bidi="ar-SA"/>
                  </w:rPr>
                  <w:t>9</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306" w:history="1">
                <w:r w:rsidR="00F4223D" w:rsidRPr="008D22A6">
                  <w:rPr>
                    <w:rStyle w:val="Lienhypertexte"/>
                    <w:rFonts w:hint="eastAsia"/>
                    <w:rtl/>
                  </w:rPr>
                  <w:t>الجزء</w:t>
                </w:r>
                <w:r w:rsidR="00F4223D" w:rsidRPr="008D22A6">
                  <w:rPr>
                    <w:rStyle w:val="Lienhypertexte"/>
                    <w:rtl/>
                  </w:rPr>
                  <w:t xml:space="preserve"> </w:t>
                </w:r>
                <w:r w:rsidR="00F4223D" w:rsidRPr="008D22A6">
                  <w:rPr>
                    <w:rStyle w:val="Lienhypertexte"/>
                    <w:rFonts w:hint="eastAsia"/>
                    <w:rtl/>
                  </w:rPr>
                  <w:t>الثاني</w:t>
                </w:r>
                <w:r w:rsidR="00F4223D" w:rsidRPr="008D22A6">
                  <w:rPr>
                    <w:rStyle w:val="Lienhypertexte"/>
                    <w:rtl/>
                  </w:rPr>
                  <w:t>:</w:t>
                </w:r>
              </w:hyperlink>
              <w:r w:rsidR="009A50FA">
                <w:rPr>
                  <w:rStyle w:val="Lienhypertexte"/>
                </w:rPr>
                <w:t xml:space="preserve"> </w:t>
              </w:r>
              <w:hyperlink w:anchor="_Toc171803307" w:history="1">
                <w:r w:rsidR="00F4223D" w:rsidRPr="008D22A6">
                  <w:rPr>
                    <w:rStyle w:val="Lienhypertexte"/>
                    <w:rFonts w:hint="eastAsia"/>
                    <w:rtl/>
                  </w:rPr>
                  <w:t>الاطار</w:t>
                </w:r>
                <w:r w:rsidR="00F4223D" w:rsidRPr="008D22A6">
                  <w:rPr>
                    <w:rStyle w:val="Lienhypertexte"/>
                    <w:rtl/>
                  </w:rPr>
                  <w:t xml:space="preserve"> </w:t>
                </w:r>
                <w:r w:rsidR="00F4223D" w:rsidRPr="008D22A6">
                  <w:rPr>
                    <w:rStyle w:val="Lienhypertexte"/>
                    <w:rFonts w:hint="eastAsia"/>
                    <w:rtl/>
                  </w:rPr>
                  <w:t>النظري</w:t>
                </w:r>
                <w:r w:rsidR="00F4223D" w:rsidRPr="008D22A6">
                  <w:rPr>
                    <w:rStyle w:val="Lienhypertexte"/>
                    <w:rtl/>
                  </w:rPr>
                  <w:t xml:space="preserve"> </w:t>
                </w:r>
                <w:r w:rsidR="00F4223D" w:rsidRPr="008D22A6">
                  <w:rPr>
                    <w:rStyle w:val="Lienhypertexte"/>
                    <w:rFonts w:hint="eastAsia"/>
                    <w:rtl/>
                  </w:rPr>
                  <w:t>للبحث</w:t>
                </w:r>
              </w:hyperlink>
            </w:p>
            <w:p w:rsidR="00F4223D" w:rsidRDefault="00B62F86" w:rsidP="009579D2">
              <w:pPr>
                <w:pStyle w:val="TM1"/>
                <w:rPr>
                  <w:rFonts w:asciiTheme="minorHAnsi" w:hAnsiTheme="minorHAnsi" w:cstheme="minorBidi"/>
                  <w:color w:val="auto"/>
                  <w:lang w:val="fr-FR" w:bidi="ar-SA"/>
                </w:rPr>
              </w:pPr>
              <w:hyperlink w:anchor="_Toc171803308" w:history="1">
                <w:r w:rsidR="00F4223D" w:rsidRPr="008D22A6">
                  <w:rPr>
                    <w:rStyle w:val="Lienhypertexte"/>
                    <w:rFonts w:hint="eastAsia"/>
                    <w:rtl/>
                  </w:rPr>
                  <w:t>الفصل</w:t>
                </w:r>
                <w:r w:rsidR="00F4223D" w:rsidRPr="008D22A6">
                  <w:rPr>
                    <w:rStyle w:val="Lienhypertexte"/>
                    <w:rtl/>
                  </w:rPr>
                  <w:t xml:space="preserve"> 1: </w:t>
                </w:r>
                <w:r w:rsidR="00F4223D" w:rsidRPr="008D22A6">
                  <w:rPr>
                    <w:rStyle w:val="Lienhypertexte"/>
                    <w:rFonts w:hint="eastAsia"/>
                    <w:rtl/>
                  </w:rPr>
                  <w:t>علاقة</w:t>
                </w:r>
                <w:r w:rsidR="00F4223D" w:rsidRPr="008D22A6">
                  <w:rPr>
                    <w:rStyle w:val="Lienhypertexte"/>
                    <w:rtl/>
                  </w:rPr>
                  <w:t xml:space="preserve"> </w:t>
                </w:r>
                <w:r w:rsidR="00F4223D" w:rsidRPr="008D22A6">
                  <w:rPr>
                    <w:rStyle w:val="Lienhypertexte"/>
                    <w:rFonts w:hint="eastAsia"/>
                    <w:rtl/>
                  </w:rPr>
                  <w:t>استعمالات</w:t>
                </w:r>
                <w:r w:rsidR="00F4223D" w:rsidRPr="008D22A6">
                  <w:rPr>
                    <w:rStyle w:val="Lienhypertexte"/>
                    <w:rtl/>
                  </w:rPr>
                  <w:t xml:space="preserve"> </w:t>
                </w:r>
                <w:r w:rsidR="00F4223D" w:rsidRPr="008D22A6">
                  <w:rPr>
                    <w:rStyle w:val="Lienhypertexte"/>
                    <w:rFonts w:hint="eastAsia"/>
                    <w:rtl/>
                  </w:rPr>
                  <w:t>الاراضي</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بمفهوم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hyperlink>
            </w:p>
            <w:p w:rsidR="00F4223D" w:rsidRDefault="00B62F86" w:rsidP="009579D2">
              <w:pPr>
                <w:pStyle w:val="TM1"/>
                <w:rPr>
                  <w:rFonts w:asciiTheme="minorHAnsi" w:hAnsiTheme="minorHAnsi" w:cstheme="minorBidi"/>
                  <w:color w:val="auto"/>
                  <w:lang w:val="fr-FR" w:bidi="ar-SA"/>
                </w:rPr>
              </w:pPr>
              <w:hyperlink w:anchor="_Toc171803309" w:history="1">
                <w:r w:rsidR="00F4223D" w:rsidRPr="008D22A6">
                  <w:rPr>
                    <w:rStyle w:val="Lienhypertexte"/>
                    <w:rFonts w:hint="eastAsia"/>
                    <w:rtl/>
                  </w:rPr>
                  <w:t>تمهيد</w:t>
                </w:r>
                <w:r w:rsidR="001D4FB7">
                  <w:rPr>
                    <w:rStyle w:val="Lienhypertexte"/>
                  </w:rPr>
                  <w:t>…………………………</w:t>
                </w:r>
                <w:r w:rsidR="00EA3B5B">
                  <w:rPr>
                    <w:rStyle w:val="Lienhypertexte"/>
                  </w:rPr>
                  <w:t>.</w:t>
                </w:r>
                <w:r w:rsidR="001D4FB7">
                  <w:rPr>
                    <w:rStyle w:val="Lienhypertexte"/>
                  </w:rPr>
                  <w:t>………………………………………………</w:t>
                </w:r>
                <w:r w:rsidR="00EA3B5B">
                  <w:rPr>
                    <w:rStyle w:val="Lienhypertexte"/>
                  </w:rPr>
                  <w:t>….</w:t>
                </w:r>
                <w:r w:rsidR="001D4FB7">
                  <w:rPr>
                    <w:rStyle w:val="Lienhypertexte"/>
                  </w:rPr>
                  <w:t>…………………………….</w:t>
                </w:r>
                <w:r w:rsidR="00F4223D">
                  <w:rPr>
                    <w:webHidden/>
                  </w:rPr>
                  <w:tab/>
                </w:r>
                <w:r w:rsidR="00F4223D">
                  <w:rPr>
                    <w:webHidden/>
                  </w:rPr>
                  <w:fldChar w:fldCharType="begin"/>
                </w:r>
                <w:r w:rsidR="00F4223D">
                  <w:rPr>
                    <w:webHidden/>
                  </w:rPr>
                  <w:instrText xml:space="preserve"> PAGEREF _Toc171803309 \h </w:instrText>
                </w:r>
                <w:r w:rsidR="00F4223D">
                  <w:rPr>
                    <w:webHidden/>
                  </w:rPr>
                </w:r>
                <w:r w:rsidR="00F4223D">
                  <w:rPr>
                    <w:webHidden/>
                  </w:rPr>
                  <w:fldChar w:fldCharType="separate"/>
                </w:r>
                <w:r>
                  <w:rPr>
                    <w:webHidden/>
                    <w:rtl/>
                    <w:lang w:bidi="ar-SA"/>
                  </w:rPr>
                  <w:t>11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310" w:history="1">
                <w:r w:rsidR="00F4223D" w:rsidRPr="008D22A6">
                  <w:rPr>
                    <w:rStyle w:val="Lienhypertexte"/>
                    <w:rtl/>
                  </w:rPr>
                  <w:t>1.1.</w:t>
                </w:r>
                <w:r w:rsidR="00EA3B5B" w:rsidRPr="00EA3B5B">
                  <w:rPr>
                    <w:rFonts w:hint="eastAsia"/>
                    <w:rtl/>
                  </w:rPr>
                  <w:t xml:space="preserve"> </w:t>
                </w:r>
                <w:r w:rsidR="00EA3B5B" w:rsidRPr="00EA3B5B">
                  <w:rPr>
                    <w:rStyle w:val="Lienhypertexte"/>
                    <w:rFonts w:hint="eastAsia"/>
                    <w:rtl/>
                  </w:rPr>
                  <w:t>الاطار</w:t>
                </w:r>
                <w:r w:rsidR="00EA3B5B" w:rsidRPr="00EA3B5B">
                  <w:rPr>
                    <w:rStyle w:val="Lienhypertexte"/>
                    <w:rtl/>
                  </w:rPr>
                  <w:t xml:space="preserve"> </w:t>
                </w:r>
                <w:r w:rsidR="00EA3B5B" w:rsidRPr="00EA3B5B">
                  <w:rPr>
                    <w:rStyle w:val="Lienhypertexte"/>
                    <w:rFonts w:hint="eastAsia"/>
                    <w:rtl/>
                  </w:rPr>
                  <w:t>المفاهيمي</w:t>
                </w:r>
                <w:r w:rsidR="00EA3B5B" w:rsidRPr="00EA3B5B">
                  <w:rPr>
                    <w:rStyle w:val="Lienhypertexte"/>
                    <w:rtl/>
                  </w:rPr>
                  <w:t xml:space="preserve"> </w:t>
                </w:r>
                <w:r w:rsidR="00EA3B5B" w:rsidRPr="00EA3B5B">
                  <w:rPr>
                    <w:rStyle w:val="Lienhypertexte"/>
                    <w:rFonts w:hint="eastAsia"/>
                    <w:rtl/>
                  </w:rPr>
                  <w:t>لاستعمالات</w:t>
                </w:r>
                <w:r w:rsidR="00EA3B5B" w:rsidRPr="00EA3B5B">
                  <w:rPr>
                    <w:rStyle w:val="Lienhypertexte"/>
                    <w:rtl/>
                  </w:rPr>
                  <w:t xml:space="preserve"> </w:t>
                </w:r>
                <w:r w:rsidR="00EA3B5B" w:rsidRPr="00EA3B5B">
                  <w:rPr>
                    <w:rStyle w:val="Lienhypertexte"/>
                    <w:rFonts w:hint="eastAsia"/>
                    <w:rtl/>
                  </w:rPr>
                  <w:t>الاراضي</w:t>
                </w:r>
                <w:r w:rsidR="00EA3B5B" w:rsidRPr="00EA3B5B">
                  <w:rPr>
                    <w:rStyle w:val="Lienhypertexte"/>
                    <w:rtl/>
                  </w:rPr>
                  <w:t xml:space="preserve"> </w:t>
                </w:r>
                <w:r w:rsidR="00EA3B5B" w:rsidRPr="00EA3B5B">
                  <w:rPr>
                    <w:rStyle w:val="Lienhypertexte"/>
                    <w:rFonts w:hint="eastAsia"/>
                    <w:rtl/>
                  </w:rPr>
                  <w:t>الحضرية</w:t>
                </w:r>
                <w:r w:rsidR="00EA3B5B">
                  <w:rPr>
                    <w:rStyle w:val="Lienhypertexte"/>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_Toc171803310 \h </w:instrText>
                </w:r>
                <w:r w:rsidR="00F4223D">
                  <w:rPr>
                    <w:webHidden/>
                  </w:rPr>
                </w:r>
                <w:r w:rsidR="00F4223D">
                  <w:rPr>
                    <w:webHidden/>
                  </w:rPr>
                  <w:fldChar w:fldCharType="separate"/>
                </w:r>
                <w:r>
                  <w:rPr>
                    <w:webHidden/>
                    <w:rtl/>
                    <w:lang w:bidi="ar-SA"/>
                  </w:rPr>
                  <w:t>11</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11" w:history="1">
                <w:r w:rsidR="00F4223D" w:rsidRPr="008D22A6">
                  <w:rPr>
                    <w:rStyle w:val="Lienhypertexte"/>
                    <w:rtl/>
                  </w:rPr>
                  <w:t>1.1.1.</w:t>
                </w:r>
                <w:r w:rsidR="00F4223D">
                  <w:rPr>
                    <w:rFonts w:asciiTheme="minorHAnsi" w:hAnsiTheme="minorHAnsi" w:cstheme="minorBidi"/>
                    <w:lang w:val="fr-FR"/>
                  </w:rPr>
                  <w:tab/>
                </w:r>
                <w:r w:rsidR="00F4223D" w:rsidRPr="008D22A6">
                  <w:rPr>
                    <w:rStyle w:val="Lienhypertexte"/>
                    <w:rFonts w:hint="eastAsia"/>
                    <w:rtl/>
                  </w:rPr>
                  <w:t>مفهوم</w:t>
                </w:r>
                <w:r w:rsidR="00F4223D" w:rsidRPr="008D22A6">
                  <w:rPr>
                    <w:rStyle w:val="Lienhypertexte"/>
                    <w:rtl/>
                  </w:rPr>
                  <w:t xml:space="preserve"> </w:t>
                </w:r>
                <w:r w:rsidR="00F4223D" w:rsidRPr="008D22A6">
                  <w:rPr>
                    <w:rStyle w:val="Lienhypertexte"/>
                    <w:rFonts w:hint="eastAsia"/>
                    <w:rtl/>
                  </w:rPr>
                  <w:t>اثر</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Impact</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_Toc171803311 \h </w:instrText>
                </w:r>
                <w:r w:rsidR="00F4223D">
                  <w:rPr>
                    <w:webHidden/>
                  </w:rPr>
                </w:r>
                <w:r w:rsidR="00F4223D">
                  <w:rPr>
                    <w:webHidden/>
                  </w:rPr>
                  <w:fldChar w:fldCharType="separate"/>
                </w:r>
                <w:r>
                  <w:rPr>
                    <w:webHidden/>
                    <w:rtl/>
                  </w:rPr>
                  <w:t>11</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15" w:history="1">
                <w:r w:rsidR="00F4223D" w:rsidRPr="008D22A6">
                  <w:rPr>
                    <w:rStyle w:val="Lienhypertexte"/>
                    <w:rFonts w:asciiTheme="majorBidi" w:hAnsiTheme="majorBidi" w:cstheme="majorBidi"/>
                  </w:rPr>
                  <w:t>2.1.1.</w:t>
                </w:r>
                <w:r w:rsidR="00F4223D">
                  <w:rPr>
                    <w:rFonts w:asciiTheme="minorHAnsi" w:hAnsiTheme="minorHAnsi" w:cstheme="minorBidi"/>
                    <w:lang w:val="fr-FR"/>
                  </w:rPr>
                  <w:tab/>
                </w:r>
                <w:r w:rsidR="00F4223D" w:rsidRPr="008D22A6">
                  <w:rPr>
                    <w:rStyle w:val="Lienhypertexte"/>
                    <w:rFonts w:hint="eastAsia"/>
                    <w:rtl/>
                  </w:rPr>
                  <w:t>مفهوم</w:t>
                </w:r>
                <w:r w:rsidR="00F4223D" w:rsidRPr="008D22A6">
                  <w:rPr>
                    <w:rStyle w:val="Lienhypertexte"/>
                    <w:rtl/>
                  </w:rPr>
                  <w:t xml:space="preserve"> </w:t>
                </w:r>
                <w:r w:rsidR="00F4223D" w:rsidRPr="008D22A6">
                  <w:rPr>
                    <w:rStyle w:val="Lienhypertexte"/>
                    <w:rFonts w:hint="eastAsia"/>
                    <w:rtl/>
                  </w:rPr>
                  <w:t>نمط</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Pr>
                  <w:t>Mode</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_Toc171803315 \h </w:instrText>
                </w:r>
                <w:r w:rsidR="00F4223D">
                  <w:rPr>
                    <w:webHidden/>
                  </w:rPr>
                </w:r>
                <w:r w:rsidR="00F4223D">
                  <w:rPr>
                    <w:webHidden/>
                  </w:rPr>
                  <w:fldChar w:fldCharType="separate"/>
                </w:r>
                <w:r>
                  <w:rPr>
                    <w:webHidden/>
                    <w:rtl/>
                  </w:rPr>
                  <w:t>11</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20" w:history="1">
                <w:r w:rsidR="00F4223D" w:rsidRPr="008D22A6">
                  <w:rPr>
                    <w:rStyle w:val="Lienhypertexte"/>
                  </w:rPr>
                  <w:t>3.1.1.</w:t>
                </w:r>
                <w:r w:rsidR="00F4223D">
                  <w:rPr>
                    <w:rFonts w:asciiTheme="minorHAnsi" w:hAnsiTheme="minorHAnsi" w:cstheme="minorBidi"/>
                    <w:lang w:val="fr-FR"/>
                  </w:rPr>
                  <w:tab/>
                </w:r>
                <w:r w:rsidR="00F4223D" w:rsidRPr="008D22A6">
                  <w:rPr>
                    <w:rStyle w:val="Lienhypertexte"/>
                    <w:rFonts w:hint="eastAsia"/>
                    <w:rtl/>
                  </w:rPr>
                  <w:t>استعمال</w:t>
                </w:r>
                <w:r w:rsidR="00F4223D" w:rsidRPr="008D22A6">
                  <w:rPr>
                    <w:rStyle w:val="Lienhypertexte"/>
                  </w:rPr>
                  <w:t xml:space="preserve"> </w:t>
                </w:r>
                <w:r w:rsidR="00F4223D" w:rsidRPr="008D22A6">
                  <w:rPr>
                    <w:rStyle w:val="Lienhypertexte"/>
                    <w:rFonts w:hint="eastAsia"/>
                    <w:rtl/>
                  </w:rPr>
                  <w:t>الارض</w:t>
                </w:r>
                <w:r w:rsidR="00F4223D" w:rsidRPr="008D22A6">
                  <w:rPr>
                    <w:rStyle w:val="Lienhypertexte"/>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asciiTheme="majorBidi" w:hAnsiTheme="majorBidi" w:cstheme="majorBidi"/>
                    <w:shd w:val="clear" w:color="auto" w:fill="FFFFFF"/>
                    <w:rtl/>
                  </w:rPr>
                  <w:t>(</w:t>
                </w:r>
                <w:r w:rsidR="00F4223D" w:rsidRPr="008D22A6">
                  <w:rPr>
                    <w:rStyle w:val="Lienhypertexte"/>
                    <w:rFonts w:asciiTheme="majorBidi" w:hAnsiTheme="majorBidi" w:cstheme="majorBidi"/>
                    <w:shd w:val="clear" w:color="auto" w:fill="FFFFFF"/>
                  </w:rPr>
                  <w:t>Urban Land Use</w:t>
                </w:r>
                <w:r w:rsidR="00F4223D" w:rsidRPr="008D22A6">
                  <w:rPr>
                    <w:rStyle w:val="Lienhypertexte"/>
                    <w:rFonts w:asciiTheme="majorBidi" w:hAnsiTheme="majorBidi" w:cstheme="majorBidi"/>
                    <w:shd w:val="clear" w:color="auto" w:fill="FFFFFF"/>
                    <w:rtl/>
                  </w:rPr>
                  <w:t>)</w:t>
                </w:r>
                <w:r w:rsidR="00F4223D">
                  <w:rPr>
                    <w:webHidden/>
                  </w:rPr>
                  <w:tab/>
                </w:r>
                <w:r w:rsidR="00F4223D">
                  <w:rPr>
                    <w:webHidden/>
                  </w:rPr>
                  <w:fldChar w:fldCharType="begin"/>
                </w:r>
                <w:r w:rsidR="00F4223D">
                  <w:rPr>
                    <w:webHidden/>
                  </w:rPr>
                  <w:instrText xml:space="preserve"> PAGEREF _Toc171803320 \h </w:instrText>
                </w:r>
                <w:r w:rsidR="00F4223D">
                  <w:rPr>
                    <w:webHidden/>
                  </w:rPr>
                </w:r>
                <w:r w:rsidR="00F4223D">
                  <w:rPr>
                    <w:webHidden/>
                  </w:rPr>
                  <w:fldChar w:fldCharType="separate"/>
                </w:r>
                <w:r>
                  <w:rPr>
                    <w:webHidden/>
                    <w:rtl/>
                  </w:rPr>
                  <w:t>11</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27" w:history="1">
                <w:r w:rsidR="00F4223D" w:rsidRPr="008D22A6">
                  <w:rPr>
                    <w:rStyle w:val="Lienhypertexte"/>
                  </w:rPr>
                  <w:t>4.1.1.</w:t>
                </w:r>
                <w:r w:rsidR="00F4223D">
                  <w:rPr>
                    <w:rFonts w:asciiTheme="minorHAnsi" w:hAnsiTheme="minorHAnsi" w:cstheme="minorBidi"/>
                    <w:lang w:val="fr-FR"/>
                  </w:rPr>
                  <w:tab/>
                </w:r>
                <w:r w:rsidR="00F4223D" w:rsidRPr="008D22A6">
                  <w:rPr>
                    <w:rStyle w:val="Lienhypertexte"/>
                    <w:rFonts w:hint="eastAsia"/>
                    <w:rtl/>
                  </w:rPr>
                  <w:t>نمط</w:t>
                </w:r>
                <w:r w:rsidR="00F4223D" w:rsidRPr="008D22A6">
                  <w:rPr>
                    <w:rStyle w:val="Lienhypertexte"/>
                    <w:rtl/>
                  </w:rPr>
                  <w:t xml:space="preserve"> </w:t>
                </w:r>
                <w:r w:rsidR="00F4223D" w:rsidRPr="008D22A6">
                  <w:rPr>
                    <w:rStyle w:val="Lienhypertexte"/>
                    <w:rFonts w:hint="eastAsia"/>
                    <w:rtl/>
                  </w:rPr>
                  <w:t>استعمالات</w:t>
                </w:r>
                <w:r w:rsidR="00F4223D" w:rsidRPr="008D22A6">
                  <w:rPr>
                    <w:rStyle w:val="Lienhypertexte"/>
                    <w:rtl/>
                  </w:rPr>
                  <w:t xml:space="preserve"> </w:t>
                </w:r>
                <w:r w:rsidR="00F4223D" w:rsidRPr="008D22A6">
                  <w:rPr>
                    <w:rStyle w:val="Lienhypertexte"/>
                    <w:rFonts w:hint="eastAsia"/>
                    <w:rtl/>
                  </w:rPr>
                  <w:t>الارض</w:t>
                </w:r>
                <w:r w:rsidR="00F4223D" w:rsidRPr="008D22A6">
                  <w:rPr>
                    <w:rStyle w:val="Lienhypertexte"/>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asciiTheme="majorBidi" w:hAnsiTheme="majorBidi" w:cstheme="majorBidi"/>
                    <w:shd w:val="clear" w:color="auto" w:fill="FFFFFF"/>
                    <w:rtl/>
                  </w:rPr>
                  <w:t>(</w:t>
                </w:r>
                <w:r w:rsidR="00F4223D" w:rsidRPr="008D22A6">
                  <w:rPr>
                    <w:rStyle w:val="Lienhypertexte"/>
                    <w:rFonts w:asciiTheme="majorBidi" w:hAnsiTheme="majorBidi" w:cstheme="majorBidi"/>
                    <w:shd w:val="clear" w:color="auto" w:fill="FFFFFF"/>
                  </w:rPr>
                  <w:t>Urban Land Use Pattern</w:t>
                </w:r>
                <w:r w:rsidR="00F4223D" w:rsidRPr="008D22A6">
                  <w:rPr>
                    <w:rStyle w:val="Lienhypertexte"/>
                    <w:rFonts w:asciiTheme="majorBidi" w:hAnsiTheme="majorBidi" w:cstheme="majorBidi"/>
                    <w:shd w:val="clear" w:color="auto" w:fill="FFFFFF"/>
                    <w:rtl/>
                  </w:rPr>
                  <w:t>)</w:t>
                </w:r>
                <w:r w:rsidR="00F4223D">
                  <w:rPr>
                    <w:webHidden/>
                  </w:rPr>
                  <w:tab/>
                </w:r>
                <w:r w:rsidR="00F4223D">
                  <w:rPr>
                    <w:webHidden/>
                  </w:rPr>
                  <w:fldChar w:fldCharType="begin"/>
                </w:r>
                <w:r w:rsidR="00F4223D">
                  <w:rPr>
                    <w:webHidden/>
                  </w:rPr>
                  <w:instrText xml:space="preserve"> PAGEREF _Toc171803327 \h </w:instrText>
                </w:r>
                <w:r w:rsidR="00F4223D">
                  <w:rPr>
                    <w:webHidden/>
                  </w:rPr>
                </w:r>
                <w:r w:rsidR="00F4223D">
                  <w:rPr>
                    <w:webHidden/>
                  </w:rPr>
                  <w:fldChar w:fldCharType="separate"/>
                </w:r>
                <w:r>
                  <w:rPr>
                    <w:webHidden/>
                    <w:rtl/>
                  </w:rPr>
                  <w:t>12</w:t>
                </w:r>
                <w:r w:rsidR="00F4223D">
                  <w:rPr>
                    <w:webHidden/>
                  </w:rPr>
                  <w:fldChar w:fldCharType="end"/>
                </w:r>
              </w:hyperlink>
            </w:p>
            <w:p w:rsidR="00F4223D" w:rsidRDefault="00B62F86" w:rsidP="003A089F">
              <w:pPr>
                <w:pStyle w:val="TM3"/>
              </w:pPr>
              <w:hyperlink w:anchor="_Toc171803329" w:history="1">
                <w:r w:rsidR="00F4223D" w:rsidRPr="008D22A6">
                  <w:rPr>
                    <w:rStyle w:val="Lienhypertexte"/>
                    <w:rtl/>
                    <w:lang w:val="en-US"/>
                  </w:rPr>
                  <w:t>1.4.1.1.</w:t>
                </w:r>
                <w:r w:rsidR="00F4223D">
                  <w:tab/>
                </w:r>
                <w:r w:rsidR="00F4223D" w:rsidRPr="008D22A6">
                  <w:rPr>
                    <w:rStyle w:val="Lienhypertexte"/>
                    <w:rFonts w:hint="eastAsia"/>
                    <w:rtl/>
                    <w:lang w:val="en-US"/>
                  </w:rPr>
                  <w:t>ال</w:t>
                </w:r>
                <w:r w:rsidR="00F4223D" w:rsidRPr="008D22A6">
                  <w:rPr>
                    <w:rStyle w:val="Lienhypertexte"/>
                    <w:rFonts w:hint="eastAsia"/>
                    <w:rtl/>
                  </w:rPr>
                  <w:t>استعمال</w:t>
                </w:r>
                <w:r w:rsidR="00F4223D" w:rsidRPr="008D22A6">
                  <w:rPr>
                    <w:rStyle w:val="Lienhypertexte"/>
                    <w:rtl/>
                  </w:rPr>
                  <w:t xml:space="preserve"> </w:t>
                </w:r>
                <w:r w:rsidR="00F4223D" w:rsidRPr="008D22A6">
                  <w:rPr>
                    <w:rStyle w:val="Lienhypertexte"/>
                    <w:rFonts w:hint="eastAsia"/>
                    <w:rtl/>
                    <w:lang w:val="en-US"/>
                  </w:rPr>
                  <w:t>السكني</w:t>
                </w:r>
                <w:r w:rsidR="00F4223D" w:rsidRPr="008D22A6">
                  <w:rPr>
                    <w:rStyle w:val="Lienhypertexte"/>
                    <w:rtl/>
                    <w:lang w:val="en-US"/>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shd w:val="clear" w:color="auto" w:fill="FFFFFF"/>
                    <w:lang w:val="en-US"/>
                  </w:rPr>
                  <w:t>Residential</w:t>
                </w:r>
                <w:r w:rsidR="00F4223D" w:rsidRPr="008D22A6">
                  <w:rPr>
                    <w:rStyle w:val="Lienhypertexte"/>
                    <w:rFonts w:asciiTheme="majorBidi" w:hAnsiTheme="majorBidi" w:cstheme="majorBidi"/>
                    <w:shd w:val="clear" w:color="auto" w:fill="FFFFFF"/>
                  </w:rPr>
                  <w:t xml:space="preserve"> Area</w:t>
                </w:r>
                <w:r w:rsidR="00F4223D" w:rsidRPr="008D22A6">
                  <w:rPr>
                    <w:rStyle w:val="Lienhypertexte"/>
                    <w:rFonts w:asciiTheme="majorBidi" w:hAnsiTheme="majorBidi" w:cstheme="majorBidi"/>
                    <w:shd w:val="clear" w:color="auto" w:fill="FFFFFF"/>
                    <w:rtl/>
                  </w:rPr>
                  <w:t>)</w:t>
                </w:r>
                <w:r w:rsidR="00F4223D">
                  <w:rPr>
                    <w:webHidden/>
                  </w:rPr>
                  <w:tab/>
                </w:r>
                <w:r w:rsidR="00F4223D">
                  <w:rPr>
                    <w:webHidden/>
                  </w:rPr>
                  <w:fldChar w:fldCharType="begin"/>
                </w:r>
                <w:r w:rsidR="00F4223D">
                  <w:rPr>
                    <w:webHidden/>
                  </w:rPr>
                  <w:instrText xml:space="preserve"> PAGEREF _Toc171803329 \h </w:instrText>
                </w:r>
                <w:r w:rsidR="00F4223D">
                  <w:rPr>
                    <w:webHidden/>
                  </w:rPr>
                </w:r>
                <w:r w:rsidR="00F4223D">
                  <w:rPr>
                    <w:webHidden/>
                  </w:rPr>
                  <w:fldChar w:fldCharType="separate"/>
                </w:r>
                <w:r>
                  <w:rPr>
                    <w:webHidden/>
                    <w:rtl/>
                    <w:lang w:bidi="ar-SA"/>
                  </w:rPr>
                  <w:t>13</w:t>
                </w:r>
                <w:r w:rsidR="00F4223D">
                  <w:rPr>
                    <w:webHidden/>
                  </w:rPr>
                  <w:fldChar w:fldCharType="end"/>
                </w:r>
              </w:hyperlink>
            </w:p>
            <w:p w:rsidR="00F4223D" w:rsidRDefault="00B62F86" w:rsidP="003A089F">
              <w:pPr>
                <w:pStyle w:val="TM3"/>
              </w:pPr>
              <w:hyperlink w:anchor="_Toc171803330" w:history="1">
                <w:r w:rsidR="00F4223D" w:rsidRPr="008D22A6">
                  <w:rPr>
                    <w:rStyle w:val="Lienhypertexte"/>
                    <w:rtl/>
                    <w:lang w:val="en-US"/>
                  </w:rPr>
                  <w:t>2.4.1.1.</w:t>
                </w:r>
                <w:r w:rsidR="00F4223D">
                  <w:tab/>
                </w:r>
                <w:r w:rsidR="00F4223D" w:rsidRPr="008D22A6">
                  <w:rPr>
                    <w:rStyle w:val="Lienhypertexte"/>
                    <w:rFonts w:hint="eastAsia"/>
                    <w:rtl/>
                    <w:lang w:val="en-US"/>
                  </w:rPr>
                  <w:t>ال</w:t>
                </w:r>
                <w:r w:rsidR="00F4223D" w:rsidRPr="008D22A6">
                  <w:rPr>
                    <w:rStyle w:val="Lienhypertexte"/>
                    <w:rFonts w:hint="eastAsia"/>
                    <w:rtl/>
                  </w:rPr>
                  <w:t>استعمال</w:t>
                </w:r>
                <w:r w:rsidR="00F4223D" w:rsidRPr="008D22A6">
                  <w:rPr>
                    <w:rStyle w:val="Lienhypertexte"/>
                    <w:rtl/>
                  </w:rPr>
                  <w:t xml:space="preserve"> </w:t>
                </w:r>
                <w:r w:rsidR="00F4223D" w:rsidRPr="008D22A6">
                  <w:rPr>
                    <w:rStyle w:val="Lienhypertexte"/>
                    <w:rFonts w:hint="eastAsia"/>
                    <w:rtl/>
                    <w:lang w:val="en-US"/>
                  </w:rPr>
                  <w:t>التجاري</w:t>
                </w:r>
                <w:r w:rsidR="00F4223D" w:rsidRPr="008D22A6">
                  <w:rPr>
                    <w:rStyle w:val="Lienhypertexte"/>
                    <w:rtl/>
                    <w:lang w:val="en-US"/>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shd w:val="clear" w:color="auto" w:fill="FFFFFF"/>
                  </w:rPr>
                  <w:t>Commercial Area</w:t>
                </w:r>
                <w:r w:rsidR="00F4223D" w:rsidRPr="008D22A6">
                  <w:rPr>
                    <w:rStyle w:val="Lienhypertexte"/>
                    <w:rFonts w:asciiTheme="majorBidi" w:hAnsiTheme="majorBidi" w:cstheme="majorBidi"/>
                    <w:rtl/>
                    <w:lang w:val="en-US"/>
                  </w:rPr>
                  <w:t>)</w:t>
                </w:r>
                <w:r w:rsidR="00F4223D">
                  <w:rPr>
                    <w:webHidden/>
                  </w:rPr>
                  <w:tab/>
                </w:r>
                <w:r w:rsidR="00F4223D">
                  <w:rPr>
                    <w:webHidden/>
                  </w:rPr>
                  <w:fldChar w:fldCharType="begin"/>
                </w:r>
                <w:r w:rsidR="00F4223D">
                  <w:rPr>
                    <w:webHidden/>
                  </w:rPr>
                  <w:instrText xml:space="preserve"> PAGEREF _Toc171803330 \h </w:instrText>
                </w:r>
                <w:r w:rsidR="00F4223D">
                  <w:rPr>
                    <w:webHidden/>
                  </w:rPr>
                </w:r>
                <w:r w:rsidR="00F4223D">
                  <w:rPr>
                    <w:webHidden/>
                  </w:rPr>
                  <w:fldChar w:fldCharType="separate"/>
                </w:r>
                <w:r>
                  <w:rPr>
                    <w:webHidden/>
                    <w:rtl/>
                    <w:lang w:bidi="ar-SA"/>
                  </w:rPr>
                  <w:t>13</w:t>
                </w:r>
                <w:r w:rsidR="00F4223D">
                  <w:rPr>
                    <w:webHidden/>
                  </w:rPr>
                  <w:fldChar w:fldCharType="end"/>
                </w:r>
              </w:hyperlink>
            </w:p>
            <w:p w:rsidR="00F4223D" w:rsidRDefault="00B62F86" w:rsidP="003A089F">
              <w:pPr>
                <w:pStyle w:val="TM3"/>
              </w:pPr>
              <w:hyperlink w:anchor="_Toc171803331" w:history="1">
                <w:r w:rsidR="00F4223D" w:rsidRPr="008D22A6">
                  <w:rPr>
                    <w:rStyle w:val="Lienhypertexte"/>
                    <w:lang w:val="en-US"/>
                  </w:rPr>
                  <w:t>3.4.1.1.</w:t>
                </w:r>
                <w:r w:rsidR="00F4223D">
                  <w:tab/>
                </w:r>
                <w:r w:rsidR="00F4223D" w:rsidRPr="008D22A6">
                  <w:rPr>
                    <w:rStyle w:val="Lienhypertexte"/>
                    <w:rFonts w:hint="eastAsia"/>
                    <w:rtl/>
                    <w:lang w:val="en-US"/>
                  </w:rPr>
                  <w:t>ال</w:t>
                </w:r>
                <w:r w:rsidR="00F4223D" w:rsidRPr="008D22A6">
                  <w:rPr>
                    <w:rStyle w:val="Lienhypertexte"/>
                    <w:rFonts w:hint="eastAsia"/>
                    <w:rtl/>
                  </w:rPr>
                  <w:t>استعمال</w:t>
                </w:r>
                <w:r w:rsidR="00F4223D" w:rsidRPr="008D22A6">
                  <w:rPr>
                    <w:rStyle w:val="Lienhypertexte"/>
                    <w:rtl/>
                  </w:rPr>
                  <w:t xml:space="preserve"> </w:t>
                </w:r>
                <w:r w:rsidR="00F4223D" w:rsidRPr="008D22A6">
                  <w:rPr>
                    <w:rStyle w:val="Lienhypertexte"/>
                    <w:rFonts w:hint="eastAsia"/>
                    <w:rtl/>
                    <w:lang w:val="en-US"/>
                  </w:rPr>
                  <w:t>الصناعي</w:t>
                </w:r>
                <w:r w:rsidR="00F4223D" w:rsidRPr="008D22A6">
                  <w:rPr>
                    <w:rStyle w:val="Lienhypertexte"/>
                    <w:rtl/>
                    <w:lang w:val="en-US"/>
                  </w:rPr>
                  <w:t xml:space="preserve"> </w:t>
                </w:r>
                <w:r w:rsidR="00F4223D" w:rsidRPr="008D22A6">
                  <w:rPr>
                    <w:rStyle w:val="Lienhypertexte"/>
                    <w:rFonts w:asciiTheme="majorBidi" w:hAnsiTheme="majorBidi" w:cstheme="majorBidi"/>
                    <w:shd w:val="clear" w:color="auto" w:fill="FFFFFF"/>
                    <w:rtl/>
                  </w:rPr>
                  <w:t>(</w:t>
                </w:r>
                <w:r w:rsidR="00F4223D" w:rsidRPr="008D22A6">
                  <w:rPr>
                    <w:rStyle w:val="Lienhypertexte"/>
                    <w:rFonts w:asciiTheme="majorBidi" w:hAnsiTheme="majorBidi" w:cstheme="majorBidi"/>
                    <w:shd w:val="clear" w:color="auto" w:fill="FFFFFF"/>
                    <w:lang w:val="en-US"/>
                  </w:rPr>
                  <w:t>Industrial</w:t>
                </w:r>
                <w:r w:rsidR="00F4223D" w:rsidRPr="008D22A6">
                  <w:rPr>
                    <w:rStyle w:val="Lienhypertexte"/>
                    <w:rFonts w:asciiTheme="majorBidi" w:hAnsiTheme="majorBidi" w:cstheme="majorBidi"/>
                    <w:shd w:val="clear" w:color="auto" w:fill="FFFFFF"/>
                  </w:rPr>
                  <w:t xml:space="preserve"> Area</w:t>
                </w:r>
                <w:r w:rsidR="00F4223D" w:rsidRPr="008D22A6">
                  <w:rPr>
                    <w:rStyle w:val="Lienhypertexte"/>
                    <w:rFonts w:asciiTheme="majorBidi" w:hAnsiTheme="majorBidi" w:cstheme="majorBidi"/>
                    <w:shd w:val="clear" w:color="auto" w:fill="FFFFFF"/>
                    <w:rtl/>
                  </w:rPr>
                  <w:t>)</w:t>
                </w:r>
                <w:r w:rsidR="00F4223D">
                  <w:rPr>
                    <w:webHidden/>
                  </w:rPr>
                  <w:tab/>
                </w:r>
                <w:r w:rsidR="00F4223D">
                  <w:rPr>
                    <w:webHidden/>
                  </w:rPr>
                  <w:fldChar w:fldCharType="begin"/>
                </w:r>
                <w:r w:rsidR="00F4223D">
                  <w:rPr>
                    <w:webHidden/>
                  </w:rPr>
                  <w:instrText xml:space="preserve"> PAGEREF _Toc171803331 \h </w:instrText>
                </w:r>
                <w:r w:rsidR="00F4223D">
                  <w:rPr>
                    <w:webHidden/>
                  </w:rPr>
                </w:r>
                <w:r w:rsidR="00F4223D">
                  <w:rPr>
                    <w:webHidden/>
                  </w:rPr>
                  <w:fldChar w:fldCharType="separate"/>
                </w:r>
                <w:r>
                  <w:rPr>
                    <w:webHidden/>
                    <w:rtl/>
                    <w:lang w:bidi="ar-SA"/>
                  </w:rPr>
                  <w:t>13</w:t>
                </w:r>
                <w:r w:rsidR="00F4223D">
                  <w:rPr>
                    <w:webHidden/>
                  </w:rPr>
                  <w:fldChar w:fldCharType="end"/>
                </w:r>
              </w:hyperlink>
            </w:p>
            <w:p w:rsidR="00F4223D" w:rsidRDefault="00B62F86" w:rsidP="003A089F">
              <w:pPr>
                <w:pStyle w:val="TM3"/>
              </w:pPr>
              <w:hyperlink w:anchor="_Toc171803332" w:history="1">
                <w:r w:rsidR="00F4223D" w:rsidRPr="008D22A6">
                  <w:rPr>
                    <w:rStyle w:val="Lienhypertexte"/>
                    <w:lang w:val="en-US"/>
                  </w:rPr>
                  <w:t>4.4.1.1.</w:t>
                </w:r>
                <w:r w:rsidR="00F4223D">
                  <w:tab/>
                </w:r>
                <w:r w:rsidR="00F4223D" w:rsidRPr="008D22A6">
                  <w:rPr>
                    <w:rStyle w:val="Lienhypertexte"/>
                    <w:rFonts w:hint="eastAsia"/>
                    <w:rtl/>
                  </w:rPr>
                  <w:t>استعمال</w:t>
                </w:r>
                <w:r w:rsidR="00F4223D" w:rsidRPr="008D22A6">
                  <w:rPr>
                    <w:rStyle w:val="Lienhypertexte"/>
                    <w:rtl/>
                  </w:rPr>
                  <w:t xml:space="preserve"> </w:t>
                </w:r>
                <w:r w:rsidR="00F4223D" w:rsidRPr="008D22A6">
                  <w:rPr>
                    <w:rStyle w:val="Lienhypertexte"/>
                    <w:rFonts w:hint="eastAsia"/>
                    <w:rtl/>
                    <w:lang w:val="en-US"/>
                  </w:rPr>
                  <w:t>الارض</w:t>
                </w:r>
                <w:r w:rsidR="00F4223D" w:rsidRPr="008D22A6">
                  <w:rPr>
                    <w:rStyle w:val="Lienhypertexte"/>
                    <w:lang w:val="en-US"/>
                  </w:rPr>
                  <w:t xml:space="preserve"> </w:t>
                </w:r>
                <w:r w:rsidR="00F4223D" w:rsidRPr="008D22A6">
                  <w:rPr>
                    <w:rStyle w:val="Lienhypertexte"/>
                    <w:rFonts w:hint="eastAsia"/>
                    <w:rtl/>
                    <w:lang w:val="en-US"/>
                  </w:rPr>
                  <w:t>للخدمات</w:t>
                </w:r>
                <w:r w:rsidR="00F4223D" w:rsidRPr="008D22A6">
                  <w:rPr>
                    <w:rStyle w:val="Lienhypertexte"/>
                    <w:lang w:val="en-US"/>
                  </w:rPr>
                  <w:t xml:space="preserve"> </w:t>
                </w:r>
                <w:r w:rsidR="00F4223D" w:rsidRPr="008D22A6">
                  <w:rPr>
                    <w:rStyle w:val="Lienhypertexte"/>
                    <w:rFonts w:hint="eastAsia"/>
                    <w:rtl/>
                    <w:lang w:val="en-US"/>
                  </w:rPr>
                  <w:t>العمومية</w:t>
                </w:r>
                <w:r w:rsidR="00F4223D" w:rsidRPr="008D22A6">
                  <w:rPr>
                    <w:rStyle w:val="Lienhypertexte"/>
                    <w:rtl/>
                    <w:lang w:val="en-US"/>
                  </w:rPr>
                  <w:t xml:space="preserve"> </w:t>
                </w:r>
                <w:r w:rsidR="00F4223D" w:rsidRPr="008D22A6">
                  <w:rPr>
                    <w:rStyle w:val="Lienhypertexte"/>
                    <w:rFonts w:asciiTheme="majorBidi" w:hAnsiTheme="majorBidi" w:cstheme="majorBidi"/>
                    <w:shd w:val="clear" w:color="auto" w:fill="FFFFFF"/>
                    <w:rtl/>
                    <w:lang w:val="en-US"/>
                  </w:rPr>
                  <w:t>(</w:t>
                </w:r>
                <w:r w:rsidR="00F4223D" w:rsidRPr="008D22A6">
                  <w:rPr>
                    <w:rStyle w:val="Lienhypertexte"/>
                    <w:rFonts w:asciiTheme="majorBidi" w:hAnsiTheme="majorBidi" w:cstheme="majorBidi"/>
                    <w:shd w:val="clear" w:color="auto" w:fill="FFFFFF"/>
                    <w:lang w:val="en-US"/>
                  </w:rPr>
                  <w:t>Service Area</w:t>
                </w:r>
                <w:r w:rsidR="00F4223D" w:rsidRPr="008D22A6">
                  <w:rPr>
                    <w:rStyle w:val="Lienhypertexte"/>
                    <w:rFonts w:asciiTheme="majorBidi" w:hAnsiTheme="majorBidi" w:cstheme="majorBidi"/>
                    <w:shd w:val="clear" w:color="auto" w:fill="FFFFFF"/>
                    <w:rtl/>
                    <w:lang w:val="en-US"/>
                  </w:rPr>
                  <w:t>)</w:t>
                </w:r>
                <w:r w:rsidR="00F4223D">
                  <w:rPr>
                    <w:webHidden/>
                  </w:rPr>
                  <w:tab/>
                </w:r>
                <w:r w:rsidR="00F4223D">
                  <w:rPr>
                    <w:webHidden/>
                  </w:rPr>
                  <w:fldChar w:fldCharType="begin"/>
                </w:r>
                <w:r w:rsidR="00F4223D">
                  <w:rPr>
                    <w:webHidden/>
                  </w:rPr>
                  <w:instrText xml:space="preserve"> PAGEREF _Toc171803332 \h </w:instrText>
                </w:r>
                <w:r w:rsidR="00F4223D">
                  <w:rPr>
                    <w:webHidden/>
                  </w:rPr>
                </w:r>
                <w:r w:rsidR="00F4223D">
                  <w:rPr>
                    <w:webHidden/>
                  </w:rPr>
                  <w:fldChar w:fldCharType="separate"/>
                </w:r>
                <w:r>
                  <w:rPr>
                    <w:webHidden/>
                    <w:rtl/>
                    <w:lang w:bidi="ar-SA"/>
                  </w:rPr>
                  <w:t>13</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34" w:history="1">
                <w:r w:rsidR="00F4223D" w:rsidRPr="008D22A6">
                  <w:rPr>
                    <w:rStyle w:val="Lienhypertexte"/>
                    <w:rtl/>
                  </w:rPr>
                  <w:t>5.1.1.</w:t>
                </w:r>
                <w:r w:rsidR="00F4223D">
                  <w:rPr>
                    <w:rFonts w:asciiTheme="minorHAnsi" w:hAnsiTheme="minorHAnsi" w:cstheme="minorBidi"/>
                    <w:lang w:val="fr-FR"/>
                  </w:rPr>
                  <w:tab/>
                </w:r>
                <w:r w:rsidR="00F4223D" w:rsidRPr="008D22A6">
                  <w:rPr>
                    <w:rStyle w:val="Lienhypertexte"/>
                    <w:rFonts w:hint="eastAsia"/>
                    <w:rtl/>
                  </w:rPr>
                  <w:t>مبادئ</w:t>
                </w:r>
                <w:r w:rsidR="00F4223D" w:rsidRPr="008D22A6">
                  <w:rPr>
                    <w:rStyle w:val="Lienhypertexte"/>
                    <w:rtl/>
                  </w:rPr>
                  <w:t xml:space="preserve"> </w:t>
                </w:r>
                <w:r w:rsidR="00F4223D" w:rsidRPr="008D22A6">
                  <w:rPr>
                    <w:rStyle w:val="Lienhypertexte"/>
                    <w:rFonts w:hint="eastAsia"/>
                    <w:rtl/>
                  </w:rPr>
                  <w:t>تخطيط</w:t>
                </w:r>
                <w:r w:rsidR="00F4223D" w:rsidRPr="008D22A6">
                  <w:rPr>
                    <w:rStyle w:val="Lienhypertexte"/>
                  </w:rPr>
                  <w:t xml:space="preserve"> </w:t>
                </w:r>
                <w:r w:rsidR="00F4223D" w:rsidRPr="008D22A6">
                  <w:rPr>
                    <w:rStyle w:val="Lienhypertexte"/>
                    <w:rFonts w:hint="eastAsia"/>
                    <w:rtl/>
                  </w:rPr>
                  <w:t>استعمال</w:t>
                </w:r>
                <w:r w:rsidR="00F4223D" w:rsidRPr="008D22A6">
                  <w:rPr>
                    <w:rStyle w:val="Lienhypertexte"/>
                    <w:rtl/>
                  </w:rPr>
                  <w:t xml:space="preserve"> </w:t>
                </w:r>
                <w:r w:rsidR="00F4223D" w:rsidRPr="008D22A6">
                  <w:rPr>
                    <w:rStyle w:val="Lienhypertexte"/>
                    <w:rFonts w:hint="eastAsia"/>
                    <w:rtl/>
                  </w:rPr>
                  <w:t>الأرض</w:t>
                </w:r>
                <w:r w:rsidR="00F4223D" w:rsidRPr="008D22A6">
                  <w:rPr>
                    <w:rStyle w:val="Lienhypertexte"/>
                  </w:rPr>
                  <w:t>:</w:t>
                </w:r>
                <w:r w:rsidR="00F4223D">
                  <w:rPr>
                    <w:webHidden/>
                  </w:rPr>
                  <w:tab/>
                </w:r>
                <w:r w:rsidR="00F4223D">
                  <w:rPr>
                    <w:webHidden/>
                  </w:rPr>
                  <w:fldChar w:fldCharType="begin"/>
                </w:r>
                <w:r w:rsidR="00F4223D">
                  <w:rPr>
                    <w:webHidden/>
                  </w:rPr>
                  <w:instrText xml:space="preserve"> PAGEREF _Toc171803334 \h </w:instrText>
                </w:r>
                <w:r w:rsidR="00F4223D">
                  <w:rPr>
                    <w:webHidden/>
                  </w:rPr>
                </w:r>
                <w:r w:rsidR="00F4223D">
                  <w:rPr>
                    <w:webHidden/>
                  </w:rPr>
                  <w:fldChar w:fldCharType="separate"/>
                </w:r>
                <w:r>
                  <w:rPr>
                    <w:webHidden/>
                    <w:rtl/>
                  </w:rPr>
                  <w:t>17</w:t>
                </w:r>
                <w:r w:rsidR="00F4223D">
                  <w:rPr>
                    <w:webHidden/>
                  </w:rPr>
                  <w:fldChar w:fldCharType="end"/>
                </w:r>
              </w:hyperlink>
            </w:p>
            <w:p w:rsidR="00F4223D" w:rsidRDefault="00B62F86" w:rsidP="003A089F">
              <w:pPr>
                <w:pStyle w:val="TM3"/>
              </w:pPr>
              <w:hyperlink w:anchor="_Toc171803335" w:history="1">
                <w:r w:rsidR="00F4223D" w:rsidRPr="008D22A6">
                  <w:rPr>
                    <w:rStyle w:val="Lienhypertexte"/>
                  </w:rPr>
                  <w:t>1.5.1.1.</w:t>
                </w:r>
                <w:r w:rsidR="00F4223D">
                  <w:tab/>
                </w:r>
                <w:r w:rsidR="00F4223D" w:rsidRPr="008D22A6">
                  <w:rPr>
                    <w:rStyle w:val="Lienhypertexte"/>
                    <w:rFonts w:hint="eastAsia"/>
                    <w:rtl/>
                  </w:rPr>
                  <w:t>مبدأ</w:t>
                </w:r>
                <w:r w:rsidR="00F4223D" w:rsidRPr="008D22A6">
                  <w:rPr>
                    <w:rStyle w:val="Lienhypertexte"/>
                    <w:rtl/>
                  </w:rPr>
                  <w:t xml:space="preserve"> </w:t>
                </w:r>
                <w:r w:rsidR="00F4223D" w:rsidRPr="008D22A6">
                  <w:rPr>
                    <w:rStyle w:val="Lienhypertexte"/>
                    <w:rFonts w:hint="eastAsia"/>
                    <w:rtl/>
                  </w:rPr>
                  <w:t>الاستعمال</w:t>
                </w:r>
                <w:r w:rsidR="00F4223D" w:rsidRPr="008D22A6">
                  <w:rPr>
                    <w:rStyle w:val="Lienhypertexte"/>
                    <w:rtl/>
                  </w:rPr>
                  <w:t xml:space="preserve"> </w:t>
                </w:r>
                <w:r w:rsidR="00F4223D" w:rsidRPr="008D22A6">
                  <w:rPr>
                    <w:rStyle w:val="Lienhypertexte"/>
                    <w:rFonts w:hint="eastAsia"/>
                    <w:rtl/>
                  </w:rPr>
                  <w:t>الأمثل</w:t>
                </w:r>
                <w:r w:rsidR="00F4223D">
                  <w:rPr>
                    <w:webHidden/>
                  </w:rPr>
                  <w:tab/>
                </w:r>
                <w:r w:rsidR="00F4223D">
                  <w:rPr>
                    <w:webHidden/>
                  </w:rPr>
                  <w:fldChar w:fldCharType="begin"/>
                </w:r>
                <w:r w:rsidR="00F4223D">
                  <w:rPr>
                    <w:webHidden/>
                  </w:rPr>
                  <w:instrText xml:space="preserve"> PAGEREF _Toc171803335 \h </w:instrText>
                </w:r>
                <w:r w:rsidR="00F4223D">
                  <w:rPr>
                    <w:webHidden/>
                  </w:rPr>
                </w:r>
                <w:r w:rsidR="00F4223D">
                  <w:rPr>
                    <w:webHidden/>
                  </w:rPr>
                  <w:fldChar w:fldCharType="separate"/>
                </w:r>
                <w:r>
                  <w:rPr>
                    <w:webHidden/>
                    <w:rtl/>
                    <w:lang w:bidi="ar-SA"/>
                  </w:rPr>
                  <w:t>17</w:t>
                </w:r>
                <w:r w:rsidR="00F4223D">
                  <w:rPr>
                    <w:webHidden/>
                  </w:rPr>
                  <w:fldChar w:fldCharType="end"/>
                </w:r>
              </w:hyperlink>
            </w:p>
            <w:p w:rsidR="00F4223D" w:rsidRDefault="00B62F86" w:rsidP="003A089F">
              <w:pPr>
                <w:pStyle w:val="TM3"/>
              </w:pPr>
              <w:hyperlink w:anchor="_Toc171803336" w:history="1">
                <w:r w:rsidR="00F4223D" w:rsidRPr="008D22A6">
                  <w:rPr>
                    <w:rStyle w:val="Lienhypertexte"/>
                  </w:rPr>
                  <w:t>2.5.1.1.</w:t>
                </w:r>
                <w:r w:rsidR="00F4223D">
                  <w:tab/>
                </w:r>
                <w:r w:rsidR="00F4223D" w:rsidRPr="008D22A6">
                  <w:rPr>
                    <w:rStyle w:val="Lienhypertexte"/>
                    <w:rFonts w:hint="eastAsia"/>
                    <w:rtl/>
                  </w:rPr>
                  <w:t>مبدأ</w:t>
                </w:r>
                <w:r w:rsidR="00F4223D" w:rsidRPr="008D22A6">
                  <w:rPr>
                    <w:rStyle w:val="Lienhypertexte"/>
                    <w:rtl/>
                  </w:rPr>
                  <w:t xml:space="preserve"> </w:t>
                </w:r>
                <w:r w:rsidR="00F4223D" w:rsidRPr="008D22A6">
                  <w:rPr>
                    <w:rStyle w:val="Lienhypertexte"/>
                    <w:rFonts w:hint="eastAsia"/>
                    <w:rtl/>
                  </w:rPr>
                  <w:t>تعدد</w:t>
                </w:r>
                <w:r w:rsidR="00F4223D" w:rsidRPr="008D22A6">
                  <w:rPr>
                    <w:rStyle w:val="Lienhypertexte"/>
                  </w:rPr>
                  <w:t xml:space="preserve"> </w:t>
                </w:r>
                <w:r w:rsidR="00F4223D" w:rsidRPr="008D22A6">
                  <w:rPr>
                    <w:rStyle w:val="Lienhypertexte"/>
                    <w:rFonts w:hint="eastAsia"/>
                    <w:rtl/>
                  </w:rPr>
                  <w:t>الاستعمالات</w:t>
                </w:r>
                <w:r w:rsidR="00F4223D">
                  <w:rPr>
                    <w:webHidden/>
                  </w:rPr>
                  <w:tab/>
                </w:r>
                <w:r w:rsidR="00F4223D">
                  <w:rPr>
                    <w:webHidden/>
                  </w:rPr>
                  <w:fldChar w:fldCharType="begin"/>
                </w:r>
                <w:r w:rsidR="00F4223D">
                  <w:rPr>
                    <w:webHidden/>
                  </w:rPr>
                  <w:instrText xml:space="preserve"> PAGEREF _Toc171803336 \h </w:instrText>
                </w:r>
                <w:r w:rsidR="00F4223D">
                  <w:rPr>
                    <w:webHidden/>
                  </w:rPr>
                </w:r>
                <w:r w:rsidR="00F4223D">
                  <w:rPr>
                    <w:webHidden/>
                  </w:rPr>
                  <w:fldChar w:fldCharType="separate"/>
                </w:r>
                <w:r>
                  <w:rPr>
                    <w:webHidden/>
                    <w:rtl/>
                    <w:lang w:bidi="ar-SA"/>
                  </w:rPr>
                  <w:t>17</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38" w:history="1">
                <w:r w:rsidR="00F4223D" w:rsidRPr="008D22A6">
                  <w:rPr>
                    <w:rStyle w:val="Lienhypertexte"/>
                    <w:rtl/>
                  </w:rPr>
                  <w:t>6.1.1.</w:t>
                </w:r>
                <w:r w:rsidR="00F4223D">
                  <w:rPr>
                    <w:rFonts w:asciiTheme="minorHAnsi" w:hAnsiTheme="minorHAnsi" w:cstheme="minorBidi"/>
                    <w:lang w:val="fr-FR"/>
                  </w:rPr>
                  <w:tab/>
                </w:r>
                <w:r w:rsidR="00F4223D" w:rsidRPr="008D22A6">
                  <w:rPr>
                    <w:rStyle w:val="Lienhypertexte"/>
                    <w:rFonts w:hint="eastAsia"/>
                    <w:rtl/>
                  </w:rPr>
                  <w:t>العوامل</w:t>
                </w:r>
                <w:r w:rsidR="00F4223D" w:rsidRPr="008D22A6">
                  <w:rPr>
                    <w:rStyle w:val="Lienhypertexte"/>
                  </w:rPr>
                  <w:t xml:space="preserve"> </w:t>
                </w:r>
                <w:r w:rsidR="00F4223D" w:rsidRPr="008D22A6">
                  <w:rPr>
                    <w:rStyle w:val="Lienhypertexte"/>
                    <w:rFonts w:hint="eastAsia"/>
                    <w:rtl/>
                  </w:rPr>
                  <w:t>المؤثرة</w:t>
                </w:r>
                <w:r w:rsidR="00F4223D" w:rsidRPr="008D22A6">
                  <w:rPr>
                    <w:rStyle w:val="Lienhypertexte"/>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استعمالات</w:t>
                </w:r>
                <w:r w:rsidR="00F4223D" w:rsidRPr="008D22A6">
                  <w:rPr>
                    <w:rStyle w:val="Lienhypertexte"/>
                    <w:rtl/>
                  </w:rPr>
                  <w:t xml:space="preserve"> </w:t>
                </w:r>
                <w:r w:rsidR="00F4223D" w:rsidRPr="008D22A6">
                  <w:rPr>
                    <w:rStyle w:val="Lienhypertexte"/>
                    <w:rFonts w:hint="eastAsia"/>
                    <w:rtl/>
                  </w:rPr>
                  <w:t>الأرض</w:t>
                </w:r>
                <w:r w:rsidR="00F4223D">
                  <w:rPr>
                    <w:webHidden/>
                  </w:rPr>
                  <w:tab/>
                </w:r>
                <w:r w:rsidR="00F4223D">
                  <w:rPr>
                    <w:webHidden/>
                  </w:rPr>
                  <w:fldChar w:fldCharType="begin"/>
                </w:r>
                <w:r w:rsidR="00F4223D">
                  <w:rPr>
                    <w:webHidden/>
                  </w:rPr>
                  <w:instrText xml:space="preserve"> PAGEREF _Toc171803338 \h </w:instrText>
                </w:r>
                <w:r w:rsidR="00F4223D">
                  <w:rPr>
                    <w:webHidden/>
                  </w:rPr>
                </w:r>
                <w:r w:rsidR="00F4223D">
                  <w:rPr>
                    <w:webHidden/>
                  </w:rPr>
                  <w:fldChar w:fldCharType="separate"/>
                </w:r>
                <w:r>
                  <w:rPr>
                    <w:webHidden/>
                    <w:rtl/>
                  </w:rPr>
                  <w:t>18</w:t>
                </w:r>
                <w:r w:rsidR="00F4223D">
                  <w:rPr>
                    <w:webHidden/>
                  </w:rPr>
                  <w:fldChar w:fldCharType="end"/>
                </w:r>
              </w:hyperlink>
            </w:p>
            <w:p w:rsidR="00F4223D" w:rsidRDefault="00B62F86" w:rsidP="003A089F">
              <w:pPr>
                <w:pStyle w:val="TM3"/>
              </w:pPr>
              <w:hyperlink w:anchor="_Toc171803339" w:history="1">
                <w:r w:rsidR="00F4223D" w:rsidRPr="008D22A6">
                  <w:rPr>
                    <w:rStyle w:val="Lienhypertexte"/>
                    <w:rtl/>
                  </w:rPr>
                  <w:t>1.6.1.1.</w:t>
                </w:r>
                <w:r w:rsidR="00F4223D">
                  <w:tab/>
                </w:r>
                <w:r w:rsidR="00F4223D" w:rsidRPr="008D22A6">
                  <w:rPr>
                    <w:rStyle w:val="Lienhypertexte"/>
                    <w:rFonts w:hint="eastAsia"/>
                    <w:rtl/>
                  </w:rPr>
                  <w:t>عوامل</w:t>
                </w:r>
                <w:r w:rsidR="00F4223D" w:rsidRPr="008D22A6">
                  <w:rPr>
                    <w:rStyle w:val="Lienhypertexte"/>
                  </w:rPr>
                  <w:t xml:space="preserve"> </w:t>
                </w:r>
                <w:r w:rsidR="00F4223D" w:rsidRPr="008D22A6">
                  <w:rPr>
                    <w:rStyle w:val="Lienhypertexte"/>
                    <w:rFonts w:hint="eastAsia"/>
                    <w:rtl/>
                  </w:rPr>
                  <w:t>طبوغرافية</w:t>
                </w:r>
                <w:r w:rsidR="00F4223D">
                  <w:rPr>
                    <w:webHidden/>
                  </w:rPr>
                  <w:tab/>
                </w:r>
                <w:r w:rsidR="00F4223D">
                  <w:rPr>
                    <w:webHidden/>
                  </w:rPr>
                  <w:fldChar w:fldCharType="begin"/>
                </w:r>
                <w:r w:rsidR="00F4223D">
                  <w:rPr>
                    <w:webHidden/>
                  </w:rPr>
                  <w:instrText xml:space="preserve"> PAGEREF _Toc171803339 \h </w:instrText>
                </w:r>
                <w:r w:rsidR="00F4223D">
                  <w:rPr>
                    <w:webHidden/>
                  </w:rPr>
                </w:r>
                <w:r w:rsidR="00F4223D">
                  <w:rPr>
                    <w:webHidden/>
                  </w:rPr>
                  <w:fldChar w:fldCharType="separate"/>
                </w:r>
                <w:r>
                  <w:rPr>
                    <w:webHidden/>
                    <w:rtl/>
                    <w:lang w:bidi="ar-SA"/>
                  </w:rPr>
                  <w:t>19</w:t>
                </w:r>
                <w:r w:rsidR="00F4223D">
                  <w:rPr>
                    <w:webHidden/>
                  </w:rPr>
                  <w:fldChar w:fldCharType="end"/>
                </w:r>
              </w:hyperlink>
            </w:p>
            <w:p w:rsidR="00F4223D" w:rsidRDefault="00B62F86" w:rsidP="003A089F">
              <w:pPr>
                <w:pStyle w:val="TM3"/>
              </w:pPr>
              <w:hyperlink w:anchor="_Toc171803344" w:history="1">
                <w:r w:rsidR="00F4223D" w:rsidRPr="008D22A6">
                  <w:rPr>
                    <w:rStyle w:val="Lienhypertexte"/>
                  </w:rPr>
                  <w:t>2.6.1.1.</w:t>
                </w:r>
                <w:r w:rsidR="00F4223D">
                  <w:tab/>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النقل</w:t>
                </w:r>
                <w:r w:rsidR="00F4223D" w:rsidRPr="008D22A6">
                  <w:rPr>
                    <w:rStyle w:val="Lienhypertexte"/>
                    <w:rtl/>
                  </w:rPr>
                  <w:t xml:space="preserve"> </w:t>
                </w:r>
                <w:r w:rsidR="00F4223D" w:rsidRPr="008D22A6">
                  <w:rPr>
                    <w:rStyle w:val="Lienhypertexte"/>
                    <w:rFonts w:hint="eastAsia"/>
                    <w:rtl/>
                  </w:rPr>
                  <w:t>والمواصلات</w:t>
                </w:r>
                <w:r w:rsidR="00F4223D">
                  <w:rPr>
                    <w:webHidden/>
                  </w:rPr>
                  <w:tab/>
                </w:r>
                <w:r w:rsidR="00F4223D">
                  <w:rPr>
                    <w:webHidden/>
                  </w:rPr>
                  <w:fldChar w:fldCharType="begin"/>
                </w:r>
                <w:r w:rsidR="00F4223D">
                  <w:rPr>
                    <w:webHidden/>
                  </w:rPr>
                  <w:instrText xml:space="preserve"> PAGEREF _Toc171803344 \h </w:instrText>
                </w:r>
                <w:r w:rsidR="00F4223D">
                  <w:rPr>
                    <w:webHidden/>
                  </w:rPr>
                </w:r>
                <w:r w:rsidR="00F4223D">
                  <w:rPr>
                    <w:webHidden/>
                  </w:rPr>
                  <w:fldChar w:fldCharType="separate"/>
                </w:r>
                <w:r>
                  <w:rPr>
                    <w:webHidden/>
                    <w:rtl/>
                    <w:lang w:bidi="ar-SA"/>
                  </w:rPr>
                  <w:t>19</w:t>
                </w:r>
                <w:r w:rsidR="00F4223D">
                  <w:rPr>
                    <w:webHidden/>
                  </w:rPr>
                  <w:fldChar w:fldCharType="end"/>
                </w:r>
              </w:hyperlink>
            </w:p>
            <w:p w:rsidR="00F4223D" w:rsidRDefault="00B62F86" w:rsidP="003A089F">
              <w:pPr>
                <w:pStyle w:val="TM3"/>
              </w:pPr>
              <w:hyperlink w:anchor="_Toc171803345" w:history="1">
                <w:r w:rsidR="00F4223D" w:rsidRPr="008D22A6">
                  <w:rPr>
                    <w:rStyle w:val="Lienhypertexte"/>
                  </w:rPr>
                  <w:t>3.6.1.1.</w:t>
                </w:r>
                <w:r w:rsidR="00F4223D">
                  <w:tab/>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اقتصادية</w:t>
                </w:r>
                <w:r w:rsidR="00F4223D">
                  <w:rPr>
                    <w:webHidden/>
                  </w:rPr>
                  <w:tab/>
                </w:r>
                <w:r w:rsidR="00F4223D">
                  <w:rPr>
                    <w:webHidden/>
                  </w:rPr>
                  <w:fldChar w:fldCharType="begin"/>
                </w:r>
                <w:r w:rsidR="00F4223D">
                  <w:rPr>
                    <w:webHidden/>
                  </w:rPr>
                  <w:instrText xml:space="preserve"> PAGEREF _Toc171803345 \h </w:instrText>
                </w:r>
                <w:r w:rsidR="00F4223D">
                  <w:rPr>
                    <w:webHidden/>
                  </w:rPr>
                </w:r>
                <w:r w:rsidR="00F4223D">
                  <w:rPr>
                    <w:webHidden/>
                  </w:rPr>
                  <w:fldChar w:fldCharType="separate"/>
                </w:r>
                <w:r>
                  <w:rPr>
                    <w:webHidden/>
                    <w:rtl/>
                    <w:lang w:bidi="ar-SA"/>
                  </w:rPr>
                  <w:t>19</w:t>
                </w:r>
                <w:r w:rsidR="00F4223D">
                  <w:rPr>
                    <w:webHidden/>
                  </w:rPr>
                  <w:fldChar w:fldCharType="end"/>
                </w:r>
              </w:hyperlink>
            </w:p>
            <w:p w:rsidR="00F4223D" w:rsidRDefault="00B62F86" w:rsidP="003A089F">
              <w:pPr>
                <w:pStyle w:val="TM3"/>
              </w:pPr>
              <w:hyperlink w:anchor="_Toc171803347" w:history="1">
                <w:r w:rsidR="00F4223D" w:rsidRPr="008D22A6">
                  <w:rPr>
                    <w:rStyle w:val="Lienhypertexte"/>
                  </w:rPr>
                  <w:t>4.6.1.1.</w:t>
                </w:r>
                <w:r w:rsidR="00F4223D">
                  <w:tab/>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اجتماعية</w:t>
                </w:r>
                <w:r w:rsidR="00F4223D">
                  <w:rPr>
                    <w:webHidden/>
                  </w:rPr>
                  <w:tab/>
                </w:r>
                <w:r w:rsidR="00F4223D">
                  <w:rPr>
                    <w:webHidden/>
                  </w:rPr>
                  <w:fldChar w:fldCharType="begin"/>
                </w:r>
                <w:r w:rsidR="00F4223D">
                  <w:rPr>
                    <w:webHidden/>
                  </w:rPr>
                  <w:instrText xml:space="preserve"> PAGEREF _Toc171803347 \h </w:instrText>
                </w:r>
                <w:r w:rsidR="00F4223D">
                  <w:rPr>
                    <w:webHidden/>
                  </w:rPr>
                </w:r>
                <w:r w:rsidR="00F4223D">
                  <w:rPr>
                    <w:webHidden/>
                  </w:rPr>
                  <w:fldChar w:fldCharType="separate"/>
                </w:r>
                <w:r>
                  <w:rPr>
                    <w:webHidden/>
                    <w:rtl/>
                    <w:lang w:bidi="ar-SA"/>
                  </w:rPr>
                  <w:t>20</w:t>
                </w:r>
                <w:r w:rsidR="00F4223D">
                  <w:rPr>
                    <w:webHidden/>
                  </w:rPr>
                  <w:fldChar w:fldCharType="end"/>
                </w:r>
              </w:hyperlink>
            </w:p>
            <w:p w:rsidR="00F4223D" w:rsidRDefault="00B62F86" w:rsidP="003A089F">
              <w:pPr>
                <w:pStyle w:val="TM3"/>
              </w:pPr>
              <w:hyperlink w:anchor="_Toc171803348" w:history="1">
                <w:r w:rsidR="00F4223D" w:rsidRPr="008D22A6">
                  <w:rPr>
                    <w:rStyle w:val="Lienhypertexte"/>
                  </w:rPr>
                  <w:t>5.6.1.1.</w:t>
                </w:r>
                <w:r w:rsidR="00F4223D">
                  <w:tab/>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عامة</w:t>
                </w:r>
                <w:r w:rsidR="00F4223D">
                  <w:rPr>
                    <w:webHidden/>
                  </w:rPr>
                  <w:tab/>
                </w:r>
                <w:r w:rsidR="00F4223D">
                  <w:rPr>
                    <w:webHidden/>
                  </w:rPr>
                  <w:fldChar w:fldCharType="begin"/>
                </w:r>
                <w:r w:rsidR="00F4223D">
                  <w:rPr>
                    <w:webHidden/>
                  </w:rPr>
                  <w:instrText xml:space="preserve"> PAGEREF _Toc171803348 \h </w:instrText>
                </w:r>
                <w:r w:rsidR="00F4223D">
                  <w:rPr>
                    <w:webHidden/>
                  </w:rPr>
                </w:r>
                <w:r w:rsidR="00F4223D">
                  <w:rPr>
                    <w:webHidden/>
                  </w:rPr>
                  <w:fldChar w:fldCharType="separate"/>
                </w:r>
                <w:r>
                  <w:rPr>
                    <w:webHidden/>
                    <w:rtl/>
                    <w:lang w:bidi="ar-SA"/>
                  </w:rPr>
                  <w:t>20</w:t>
                </w:r>
                <w:r w:rsidR="00F4223D">
                  <w:rPr>
                    <w:webHidden/>
                  </w:rPr>
                  <w:fldChar w:fldCharType="end"/>
                </w:r>
              </w:hyperlink>
            </w:p>
            <w:p w:rsidR="00F4223D" w:rsidRDefault="00B62F86" w:rsidP="003A089F">
              <w:pPr>
                <w:pStyle w:val="TM3"/>
              </w:pPr>
              <w:hyperlink w:anchor="_Toc171803349" w:history="1">
                <w:r w:rsidR="00F4223D" w:rsidRPr="008D22A6">
                  <w:rPr>
                    <w:rStyle w:val="Lienhypertexte"/>
                  </w:rPr>
                  <w:t>6.6.1.1.</w:t>
                </w:r>
                <w:r w:rsidR="00F4223D">
                  <w:tab/>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ثقافية</w:t>
                </w:r>
                <w:r w:rsidR="00F4223D">
                  <w:rPr>
                    <w:webHidden/>
                  </w:rPr>
                  <w:tab/>
                </w:r>
                <w:r w:rsidR="00F4223D">
                  <w:rPr>
                    <w:webHidden/>
                  </w:rPr>
                  <w:fldChar w:fldCharType="begin"/>
                </w:r>
                <w:r w:rsidR="00F4223D">
                  <w:rPr>
                    <w:webHidden/>
                  </w:rPr>
                  <w:instrText xml:space="preserve"> PAGEREF _Toc171803349 \h </w:instrText>
                </w:r>
                <w:r w:rsidR="00F4223D">
                  <w:rPr>
                    <w:webHidden/>
                  </w:rPr>
                </w:r>
                <w:r w:rsidR="00F4223D">
                  <w:rPr>
                    <w:webHidden/>
                  </w:rPr>
                  <w:fldChar w:fldCharType="separate"/>
                </w:r>
                <w:r>
                  <w:rPr>
                    <w:webHidden/>
                    <w:rtl/>
                    <w:lang w:bidi="ar-SA"/>
                  </w:rPr>
                  <w:t>20</w:t>
                </w:r>
                <w:r w:rsidR="00F4223D">
                  <w:rPr>
                    <w:webHidden/>
                  </w:rPr>
                  <w:fldChar w:fldCharType="end"/>
                </w:r>
              </w:hyperlink>
            </w:p>
            <w:p w:rsidR="00F4223D" w:rsidRDefault="00B62F86" w:rsidP="003A089F">
              <w:pPr>
                <w:pStyle w:val="TM3"/>
              </w:pPr>
              <w:hyperlink w:anchor="_Toc171803350" w:history="1">
                <w:r w:rsidR="00F4223D" w:rsidRPr="008D22A6">
                  <w:rPr>
                    <w:rStyle w:val="Lienhypertexte"/>
                  </w:rPr>
                  <w:t>7.6.1.1.</w:t>
                </w:r>
                <w:r w:rsidR="00F4223D">
                  <w:tab/>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تخطيطية</w:t>
                </w:r>
                <w:r w:rsidR="00F4223D">
                  <w:rPr>
                    <w:webHidden/>
                  </w:rPr>
                  <w:tab/>
                </w:r>
                <w:r w:rsidR="00F4223D">
                  <w:rPr>
                    <w:webHidden/>
                  </w:rPr>
                  <w:fldChar w:fldCharType="begin"/>
                </w:r>
                <w:r w:rsidR="00F4223D">
                  <w:rPr>
                    <w:webHidden/>
                  </w:rPr>
                  <w:instrText xml:space="preserve"> PAGEREF _Toc171803350 \h </w:instrText>
                </w:r>
                <w:r w:rsidR="00F4223D">
                  <w:rPr>
                    <w:webHidden/>
                  </w:rPr>
                </w:r>
                <w:r w:rsidR="00F4223D">
                  <w:rPr>
                    <w:webHidden/>
                  </w:rPr>
                  <w:fldChar w:fldCharType="separate"/>
                </w:r>
                <w:r>
                  <w:rPr>
                    <w:webHidden/>
                    <w:rtl/>
                    <w:lang w:bidi="ar-SA"/>
                  </w:rPr>
                  <w:t>20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351" w:history="1">
                <w:r w:rsidR="00F4223D" w:rsidRPr="008D22A6">
                  <w:rPr>
                    <w:rStyle w:val="Lienhypertexte"/>
                    <w:rtl/>
                  </w:rPr>
                  <w:t>2.1.</w:t>
                </w:r>
                <w:r w:rsidR="00EA3B5B" w:rsidRPr="00EA3B5B">
                  <w:rPr>
                    <w:rFonts w:hint="eastAsia"/>
                    <w:rtl/>
                  </w:rPr>
                  <w:t xml:space="preserve"> </w:t>
                </w:r>
                <w:r w:rsidR="00EA3B5B" w:rsidRPr="00EA3B5B">
                  <w:rPr>
                    <w:rStyle w:val="Lienhypertexte"/>
                    <w:rFonts w:hint="eastAsia"/>
                    <w:rtl/>
                  </w:rPr>
                  <w:t>الاطار</w:t>
                </w:r>
                <w:r w:rsidR="00EA3B5B" w:rsidRPr="00EA3B5B">
                  <w:rPr>
                    <w:rStyle w:val="Lienhypertexte"/>
                    <w:rtl/>
                  </w:rPr>
                  <w:t xml:space="preserve"> </w:t>
                </w:r>
                <w:r w:rsidR="00EA3B5B" w:rsidRPr="00EA3B5B">
                  <w:rPr>
                    <w:rStyle w:val="Lienhypertexte"/>
                    <w:rFonts w:hint="eastAsia"/>
                    <w:rtl/>
                  </w:rPr>
                  <w:t>المفاهيمي</w:t>
                </w:r>
                <w:r w:rsidR="00EA3B5B" w:rsidRPr="00EA3B5B">
                  <w:rPr>
                    <w:rStyle w:val="Lienhypertexte"/>
                    <w:rtl/>
                  </w:rPr>
                  <w:t xml:space="preserve"> </w:t>
                </w:r>
                <w:r w:rsidR="00EA3B5B" w:rsidRPr="00EA3B5B">
                  <w:rPr>
                    <w:rStyle w:val="Lienhypertexte"/>
                    <w:rFonts w:hint="eastAsia"/>
                    <w:rtl/>
                  </w:rPr>
                  <w:t>للمرونة</w:t>
                </w:r>
                <w:r w:rsidR="00EA3B5B" w:rsidRPr="00EA3B5B">
                  <w:rPr>
                    <w:rStyle w:val="Lienhypertexte"/>
                    <w:rtl/>
                  </w:rPr>
                  <w:t xml:space="preserve"> </w:t>
                </w:r>
                <w:r w:rsidR="00EA3B5B" w:rsidRPr="00EA3B5B">
                  <w:rPr>
                    <w:rStyle w:val="Lienhypertexte"/>
                    <w:rFonts w:hint="eastAsia"/>
                    <w:rtl/>
                  </w:rPr>
                  <w:t>الحضرية</w:t>
                </w:r>
                <w:r w:rsidR="00EA3B5B">
                  <w:rPr>
                    <w:rStyle w:val="Lienhypertexte"/>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_Toc171803351 \h </w:instrText>
                </w:r>
                <w:r w:rsidR="00F4223D">
                  <w:rPr>
                    <w:webHidden/>
                  </w:rPr>
                </w:r>
                <w:r w:rsidR="00F4223D">
                  <w:rPr>
                    <w:webHidden/>
                  </w:rPr>
                  <w:fldChar w:fldCharType="separate"/>
                </w:r>
                <w:r>
                  <w:rPr>
                    <w:webHidden/>
                    <w:rtl/>
                    <w:lang w:bidi="ar-SA"/>
                  </w:rPr>
                  <w:t>20</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52" w:history="1">
                <w:r w:rsidR="00F4223D" w:rsidRPr="008D22A6">
                  <w:rPr>
                    <w:rStyle w:val="Lienhypertexte"/>
                  </w:rPr>
                  <w:t>1.2.1.</w:t>
                </w:r>
                <w:r w:rsidR="00F4223D">
                  <w:rPr>
                    <w:rFonts w:asciiTheme="minorHAnsi" w:hAnsiTheme="minorHAnsi" w:cstheme="minorBidi"/>
                    <w:lang w:val="fr-FR"/>
                  </w:rPr>
                  <w:tab/>
                </w:r>
                <w:r w:rsidR="00F4223D" w:rsidRPr="008D22A6">
                  <w:rPr>
                    <w:rStyle w:val="Lienhypertexte"/>
                    <w:rFonts w:hint="eastAsia"/>
                    <w:rtl/>
                  </w:rPr>
                  <w:t>مفهوم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asciiTheme="majorBidi" w:hAnsiTheme="majorBidi" w:cstheme="majorBidi"/>
                    <w:rtl/>
                    <w:lang w:bidi="ar-DZ"/>
                  </w:rPr>
                  <w:t>(</w:t>
                </w:r>
                <w:r w:rsidR="00F4223D" w:rsidRPr="008D22A6">
                  <w:rPr>
                    <w:rStyle w:val="Lienhypertexte"/>
                    <w:rFonts w:asciiTheme="majorBidi" w:hAnsiTheme="majorBidi" w:cstheme="majorBidi"/>
                  </w:rPr>
                  <w:t>Concept Resilience</w:t>
                </w:r>
                <w:r w:rsidR="00F4223D" w:rsidRPr="008D22A6">
                  <w:rPr>
                    <w:rStyle w:val="Lienhypertexte"/>
                    <w:rFonts w:asciiTheme="majorBidi" w:hAnsiTheme="majorBidi" w:cstheme="majorBidi"/>
                    <w:rtl/>
                  </w:rPr>
                  <w:t>)</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_Toc171803352 \h </w:instrText>
                </w:r>
                <w:r w:rsidR="00F4223D">
                  <w:rPr>
                    <w:webHidden/>
                  </w:rPr>
                </w:r>
                <w:r w:rsidR="00F4223D">
                  <w:rPr>
                    <w:webHidden/>
                  </w:rPr>
                  <w:fldChar w:fldCharType="separate"/>
                </w:r>
                <w:r>
                  <w:rPr>
                    <w:webHidden/>
                    <w:rtl/>
                  </w:rPr>
                  <w:t>20</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54" w:history="1">
                <w:r w:rsidR="00F4223D" w:rsidRPr="008D22A6">
                  <w:rPr>
                    <w:rStyle w:val="Lienhypertexte"/>
                  </w:rPr>
                  <w:t>2.2.1.</w:t>
                </w:r>
                <w:r w:rsidR="00F4223D">
                  <w:rPr>
                    <w:rFonts w:asciiTheme="minorHAnsi" w:hAnsiTheme="minorHAnsi" w:cstheme="minorBidi"/>
                    <w:lang w:val="fr-FR"/>
                  </w:rPr>
                  <w:tab/>
                </w:r>
                <w:r w:rsidR="00F4223D" w:rsidRPr="008D22A6">
                  <w:rPr>
                    <w:rStyle w:val="Lienhypertexte"/>
                    <w:rFonts w:hint="eastAsia"/>
                    <w:rtl/>
                  </w:rPr>
                  <w:t>الاوجه</w:t>
                </w:r>
                <w:r w:rsidR="00F4223D" w:rsidRPr="008D22A6">
                  <w:rPr>
                    <w:rStyle w:val="Lienhypertexte"/>
                    <w:rtl/>
                  </w:rPr>
                  <w:t xml:space="preserve"> </w:t>
                </w:r>
                <w:r w:rsidR="00F4223D" w:rsidRPr="008D22A6">
                  <w:rPr>
                    <w:rStyle w:val="Lienhypertexte"/>
                    <w:rFonts w:hint="eastAsia"/>
                    <w:rtl/>
                  </w:rPr>
                  <w:t>الثلاثة</w:t>
                </w:r>
                <w:r w:rsidR="00F4223D" w:rsidRPr="008D22A6">
                  <w:rPr>
                    <w:rStyle w:val="Lienhypertexte"/>
                    <w:rtl/>
                  </w:rPr>
                  <w:t xml:space="preserve"> </w:t>
                </w:r>
                <w:r w:rsidR="00F4223D" w:rsidRPr="008D22A6">
                  <w:rPr>
                    <w:rStyle w:val="Lienhypertexte"/>
                    <w:rFonts w:hint="eastAsia"/>
                    <w:rtl/>
                  </w:rPr>
                  <w:t>لتصورات</w:t>
                </w:r>
                <w:r w:rsidR="00F4223D" w:rsidRPr="008D22A6">
                  <w:rPr>
                    <w:rStyle w:val="Lienhypertexte"/>
                    <w:rtl/>
                  </w:rPr>
                  <w:t xml:space="preserve"> </w:t>
                </w:r>
                <w:r w:rsidR="00F4223D" w:rsidRPr="008D22A6">
                  <w:rPr>
                    <w:rStyle w:val="Lienhypertexte"/>
                    <w:rFonts w:hint="eastAsia"/>
                    <w:rtl/>
                  </w:rPr>
                  <w:t>المرونة</w:t>
                </w:r>
                <w:r w:rsidR="00F4223D">
                  <w:rPr>
                    <w:webHidden/>
                  </w:rPr>
                  <w:tab/>
                </w:r>
                <w:r w:rsidR="00F4223D">
                  <w:rPr>
                    <w:webHidden/>
                  </w:rPr>
                  <w:fldChar w:fldCharType="begin"/>
                </w:r>
                <w:r w:rsidR="00F4223D">
                  <w:rPr>
                    <w:webHidden/>
                  </w:rPr>
                  <w:instrText xml:space="preserve"> PAGEREF _Toc171803354 \h </w:instrText>
                </w:r>
                <w:r w:rsidR="00F4223D">
                  <w:rPr>
                    <w:webHidden/>
                  </w:rPr>
                </w:r>
                <w:r w:rsidR="00F4223D">
                  <w:rPr>
                    <w:webHidden/>
                  </w:rPr>
                  <w:fldChar w:fldCharType="separate"/>
                </w:r>
                <w:r>
                  <w:rPr>
                    <w:webHidden/>
                    <w:rtl/>
                  </w:rPr>
                  <w:t>21</w:t>
                </w:r>
                <w:r w:rsidR="00F4223D">
                  <w:rPr>
                    <w:webHidden/>
                  </w:rPr>
                  <w:fldChar w:fldCharType="end"/>
                </w:r>
              </w:hyperlink>
            </w:p>
            <w:p w:rsidR="00F4223D" w:rsidRDefault="00B62F86" w:rsidP="003A089F">
              <w:pPr>
                <w:pStyle w:val="TM3"/>
              </w:pPr>
              <w:hyperlink w:anchor="_Toc171803355" w:history="1">
                <w:r w:rsidR="00F4223D" w:rsidRPr="008D22A6">
                  <w:rPr>
                    <w:rStyle w:val="Lienhypertexte"/>
                    <w:rtl/>
                    <w:lang w:val="en-US"/>
                  </w:rPr>
                  <w:t>1.2.2.1.</w:t>
                </w:r>
                <w:r w:rsidR="00F4223D">
                  <w:tab/>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الهندسية</w:t>
                </w:r>
                <w:r w:rsidR="00F4223D">
                  <w:rPr>
                    <w:webHidden/>
                  </w:rPr>
                  <w:tab/>
                </w:r>
                <w:r w:rsidR="00F4223D">
                  <w:rPr>
                    <w:webHidden/>
                  </w:rPr>
                  <w:fldChar w:fldCharType="begin"/>
                </w:r>
                <w:r w:rsidR="00F4223D">
                  <w:rPr>
                    <w:webHidden/>
                  </w:rPr>
                  <w:instrText xml:space="preserve"> PAGEREF _Toc171803355 \h </w:instrText>
                </w:r>
                <w:r w:rsidR="00F4223D">
                  <w:rPr>
                    <w:webHidden/>
                  </w:rPr>
                </w:r>
                <w:r w:rsidR="00F4223D">
                  <w:rPr>
                    <w:webHidden/>
                  </w:rPr>
                  <w:fldChar w:fldCharType="separate"/>
                </w:r>
                <w:r>
                  <w:rPr>
                    <w:webHidden/>
                    <w:rtl/>
                    <w:lang w:bidi="ar-SA"/>
                  </w:rPr>
                  <w:t>21</w:t>
                </w:r>
                <w:r w:rsidR="00F4223D">
                  <w:rPr>
                    <w:webHidden/>
                  </w:rPr>
                  <w:fldChar w:fldCharType="end"/>
                </w:r>
              </w:hyperlink>
            </w:p>
            <w:p w:rsidR="00F4223D" w:rsidRDefault="00B62F86" w:rsidP="003A089F">
              <w:pPr>
                <w:pStyle w:val="TM3"/>
              </w:pPr>
              <w:hyperlink w:anchor="_Toc171803356" w:history="1">
                <w:r w:rsidR="00F4223D" w:rsidRPr="008D22A6">
                  <w:rPr>
                    <w:rStyle w:val="Lienhypertexte"/>
                    <w:rtl/>
                    <w:lang w:val="en-US"/>
                  </w:rPr>
                  <w:t>2.2.2.1.</w:t>
                </w:r>
                <w:r w:rsidR="00F4223D">
                  <w:tab/>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البيئية</w:t>
                </w:r>
                <w:r w:rsidR="00F4223D">
                  <w:rPr>
                    <w:webHidden/>
                  </w:rPr>
                  <w:tab/>
                </w:r>
                <w:r w:rsidR="00F4223D">
                  <w:rPr>
                    <w:webHidden/>
                  </w:rPr>
                  <w:fldChar w:fldCharType="begin"/>
                </w:r>
                <w:r w:rsidR="00F4223D">
                  <w:rPr>
                    <w:webHidden/>
                  </w:rPr>
                  <w:instrText xml:space="preserve"> PAGEREF _Toc171803356 \h </w:instrText>
                </w:r>
                <w:r w:rsidR="00F4223D">
                  <w:rPr>
                    <w:webHidden/>
                  </w:rPr>
                </w:r>
                <w:r w:rsidR="00F4223D">
                  <w:rPr>
                    <w:webHidden/>
                  </w:rPr>
                  <w:fldChar w:fldCharType="separate"/>
                </w:r>
                <w:r>
                  <w:rPr>
                    <w:webHidden/>
                    <w:rtl/>
                    <w:lang w:bidi="ar-SA"/>
                  </w:rPr>
                  <w:t>21</w:t>
                </w:r>
                <w:r w:rsidR="00F4223D">
                  <w:rPr>
                    <w:webHidden/>
                  </w:rPr>
                  <w:fldChar w:fldCharType="end"/>
                </w:r>
              </w:hyperlink>
            </w:p>
            <w:p w:rsidR="00F4223D" w:rsidRDefault="00B62F86" w:rsidP="003A089F">
              <w:pPr>
                <w:pStyle w:val="TM3"/>
              </w:pPr>
              <w:hyperlink w:anchor="_Toc171803357" w:history="1">
                <w:r w:rsidR="00F4223D" w:rsidRPr="008D22A6">
                  <w:rPr>
                    <w:rStyle w:val="Lienhypertexte"/>
                    <w:lang w:val="en-US"/>
                  </w:rPr>
                  <w:t>3.2.2.1.</w:t>
                </w:r>
                <w:r w:rsidR="00F4223D">
                  <w:tab/>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التطورية</w:t>
                </w:r>
                <w:r w:rsidR="00F4223D">
                  <w:rPr>
                    <w:webHidden/>
                  </w:rPr>
                  <w:tab/>
                </w:r>
                <w:r w:rsidR="00F4223D">
                  <w:rPr>
                    <w:webHidden/>
                  </w:rPr>
                  <w:fldChar w:fldCharType="begin"/>
                </w:r>
                <w:r w:rsidR="00F4223D">
                  <w:rPr>
                    <w:webHidden/>
                  </w:rPr>
                  <w:instrText xml:space="preserve"> PAGEREF _Toc171803357 \h </w:instrText>
                </w:r>
                <w:r w:rsidR="00F4223D">
                  <w:rPr>
                    <w:webHidden/>
                  </w:rPr>
                </w:r>
                <w:r w:rsidR="00F4223D">
                  <w:rPr>
                    <w:webHidden/>
                  </w:rPr>
                  <w:fldChar w:fldCharType="separate"/>
                </w:r>
                <w:r>
                  <w:rPr>
                    <w:webHidden/>
                    <w:rtl/>
                    <w:lang w:bidi="ar-SA"/>
                  </w:rPr>
                  <w:t>21</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58" w:history="1">
                <w:r w:rsidR="00F4223D" w:rsidRPr="008D22A6">
                  <w:rPr>
                    <w:rStyle w:val="Lienhypertexte"/>
                  </w:rPr>
                  <w:t>3.2.1.</w:t>
                </w:r>
                <w:r w:rsidR="00F4223D">
                  <w:rPr>
                    <w:rFonts w:asciiTheme="minorHAnsi" w:hAnsiTheme="minorHAnsi" w:cstheme="minorBidi"/>
                    <w:lang w:val="fr-FR"/>
                  </w:rPr>
                  <w:tab/>
                </w:r>
                <w:r w:rsidR="00F4223D" w:rsidRPr="008D22A6">
                  <w:rPr>
                    <w:rStyle w:val="Lienhypertexte"/>
                    <w:rFonts w:hint="eastAsia"/>
                    <w:rtl/>
                  </w:rPr>
                  <w:t>مستويات</w:t>
                </w:r>
                <w:r w:rsidR="00F4223D" w:rsidRPr="008D22A6">
                  <w:rPr>
                    <w:rStyle w:val="Lienhypertexte"/>
                    <w:rtl/>
                  </w:rPr>
                  <w:t xml:space="preserve"> </w:t>
                </w:r>
                <w:r w:rsidR="00F4223D" w:rsidRPr="008D22A6">
                  <w:rPr>
                    <w:rStyle w:val="Lienhypertexte"/>
                    <w:rFonts w:hint="eastAsia"/>
                    <w:rtl/>
                  </w:rPr>
                  <w:t>قياس</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ضمن</w:t>
                </w:r>
                <w:r w:rsidR="00F4223D" w:rsidRPr="008D22A6">
                  <w:rPr>
                    <w:rStyle w:val="Lienhypertexte"/>
                    <w:rtl/>
                  </w:rPr>
                  <w:t xml:space="preserve"> </w:t>
                </w:r>
                <w:r w:rsidR="00F4223D" w:rsidRPr="008D22A6">
                  <w:rPr>
                    <w:rStyle w:val="Lienhypertexte"/>
                    <w:rFonts w:hint="eastAsia"/>
                    <w:rtl/>
                  </w:rPr>
                  <w:t>التسيير</w:t>
                </w:r>
                <w:r w:rsidR="00F4223D" w:rsidRPr="008D22A6">
                  <w:rPr>
                    <w:rStyle w:val="Lienhypertexte"/>
                    <w:rtl/>
                  </w:rPr>
                  <w:t xml:space="preserve"> </w:t>
                </w:r>
                <w:r w:rsidR="00F4223D" w:rsidRPr="008D22A6">
                  <w:rPr>
                    <w:rStyle w:val="Lienhypertexte"/>
                    <w:rFonts w:hint="eastAsia"/>
                    <w:rtl/>
                  </w:rPr>
                  <w:t>الحضري</w:t>
                </w:r>
                <w:r w:rsidR="00F4223D">
                  <w:rPr>
                    <w:webHidden/>
                  </w:rPr>
                  <w:tab/>
                </w:r>
                <w:r w:rsidR="00F4223D">
                  <w:rPr>
                    <w:webHidden/>
                  </w:rPr>
                  <w:fldChar w:fldCharType="begin"/>
                </w:r>
                <w:r w:rsidR="00F4223D">
                  <w:rPr>
                    <w:webHidden/>
                  </w:rPr>
                  <w:instrText xml:space="preserve"> PAGEREF _Toc171803358 \h </w:instrText>
                </w:r>
                <w:r w:rsidR="00F4223D">
                  <w:rPr>
                    <w:webHidden/>
                  </w:rPr>
                </w:r>
                <w:r w:rsidR="00F4223D">
                  <w:rPr>
                    <w:webHidden/>
                  </w:rPr>
                  <w:fldChar w:fldCharType="separate"/>
                </w:r>
                <w:r>
                  <w:rPr>
                    <w:webHidden/>
                    <w:rtl/>
                  </w:rPr>
                  <w:t>22</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60" w:history="1">
                <w:r w:rsidR="00F4223D" w:rsidRPr="008D22A6">
                  <w:rPr>
                    <w:rStyle w:val="Lienhypertexte"/>
                  </w:rPr>
                  <w:t>4.2.1.</w:t>
                </w:r>
                <w:r w:rsidR="00F4223D">
                  <w:rPr>
                    <w:rFonts w:asciiTheme="minorHAnsi" w:hAnsiTheme="minorHAnsi" w:cstheme="minorBidi"/>
                    <w:lang w:val="fr-FR"/>
                  </w:rPr>
                  <w:tab/>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مفهوم</w:t>
                </w:r>
                <w:r w:rsidR="00F4223D" w:rsidRPr="008D22A6">
                  <w:rPr>
                    <w:rStyle w:val="Lienhypertexte"/>
                    <w:rtl/>
                  </w:rPr>
                  <w:t xml:space="preserve"> </w:t>
                </w:r>
                <w:r w:rsidR="00F4223D" w:rsidRPr="008D22A6">
                  <w:rPr>
                    <w:rStyle w:val="Lienhypertexte"/>
                    <w:rFonts w:hint="eastAsia"/>
                    <w:rtl/>
                  </w:rPr>
                  <w:t>متعدد</w:t>
                </w:r>
                <w:r w:rsidR="00F4223D" w:rsidRPr="008D22A6">
                  <w:rPr>
                    <w:rStyle w:val="Lienhypertexte"/>
                    <w:rtl/>
                  </w:rPr>
                  <w:t xml:space="preserve"> </w:t>
                </w:r>
                <w:r w:rsidR="00F4223D" w:rsidRPr="008D22A6">
                  <w:rPr>
                    <w:rStyle w:val="Lienhypertexte"/>
                    <w:rFonts w:hint="eastAsia"/>
                    <w:rtl/>
                  </w:rPr>
                  <w:t>النشأة</w:t>
                </w:r>
                <w:r w:rsidR="00F4223D">
                  <w:rPr>
                    <w:webHidden/>
                  </w:rPr>
                  <w:tab/>
                </w:r>
                <w:r w:rsidR="00F4223D">
                  <w:rPr>
                    <w:webHidden/>
                  </w:rPr>
                  <w:fldChar w:fldCharType="begin"/>
                </w:r>
                <w:r w:rsidR="00F4223D">
                  <w:rPr>
                    <w:webHidden/>
                  </w:rPr>
                  <w:instrText xml:space="preserve"> PAGEREF _Toc171803360 \h </w:instrText>
                </w:r>
                <w:r w:rsidR="00F4223D">
                  <w:rPr>
                    <w:webHidden/>
                  </w:rPr>
                </w:r>
                <w:r w:rsidR="00F4223D">
                  <w:rPr>
                    <w:webHidden/>
                  </w:rPr>
                  <w:fldChar w:fldCharType="separate"/>
                </w:r>
                <w:r>
                  <w:rPr>
                    <w:webHidden/>
                    <w:rtl/>
                  </w:rPr>
                  <w:t>23</w:t>
                </w:r>
                <w:r w:rsidR="00F4223D">
                  <w:rPr>
                    <w:webHidden/>
                  </w:rPr>
                  <w:fldChar w:fldCharType="end"/>
                </w:r>
              </w:hyperlink>
            </w:p>
            <w:p w:rsidR="00F4223D" w:rsidRDefault="00B62F86" w:rsidP="003A089F">
              <w:pPr>
                <w:pStyle w:val="TM3"/>
              </w:pPr>
              <w:hyperlink w:anchor="_Toc171803361" w:history="1">
                <w:r w:rsidR="00F4223D" w:rsidRPr="008D22A6">
                  <w:rPr>
                    <w:rStyle w:val="Lienhypertexte"/>
                    <w:rtl/>
                    <w:lang w:val="en-US"/>
                  </w:rPr>
                  <w:t>1.4.2.1.</w:t>
                </w:r>
                <w:r w:rsidR="00F4223D">
                  <w:tab/>
                </w:r>
                <w:r w:rsidR="00F4223D" w:rsidRPr="008D22A6">
                  <w:rPr>
                    <w:rStyle w:val="Lienhypertexte"/>
                    <w:rFonts w:hint="eastAsia"/>
                    <w:rtl/>
                    <w:lang w:val="en-US"/>
                  </w:rPr>
                  <w:t>نشأة</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علم</w:t>
                </w:r>
                <w:r w:rsidR="00F4223D" w:rsidRPr="008D22A6">
                  <w:rPr>
                    <w:rStyle w:val="Lienhypertexte"/>
                    <w:rtl/>
                    <w:lang w:val="en-US"/>
                  </w:rPr>
                  <w:t xml:space="preserve"> </w:t>
                </w:r>
                <w:r w:rsidR="00F4223D" w:rsidRPr="008D22A6">
                  <w:rPr>
                    <w:rStyle w:val="Lienhypertexte"/>
                    <w:rFonts w:hint="eastAsia"/>
                    <w:rtl/>
                    <w:lang w:val="en-US"/>
                  </w:rPr>
                  <w:t>النفس</w:t>
                </w:r>
                <w:r w:rsidR="00F4223D">
                  <w:rPr>
                    <w:webHidden/>
                  </w:rPr>
                  <w:tab/>
                </w:r>
                <w:r w:rsidR="00F4223D">
                  <w:rPr>
                    <w:webHidden/>
                  </w:rPr>
                  <w:fldChar w:fldCharType="begin"/>
                </w:r>
                <w:r w:rsidR="00F4223D">
                  <w:rPr>
                    <w:webHidden/>
                  </w:rPr>
                  <w:instrText xml:space="preserve"> PAGEREF _Toc171803361 \h </w:instrText>
                </w:r>
                <w:r w:rsidR="00F4223D">
                  <w:rPr>
                    <w:webHidden/>
                  </w:rPr>
                </w:r>
                <w:r w:rsidR="00F4223D">
                  <w:rPr>
                    <w:webHidden/>
                  </w:rPr>
                  <w:fldChar w:fldCharType="separate"/>
                </w:r>
                <w:r>
                  <w:rPr>
                    <w:webHidden/>
                    <w:rtl/>
                    <w:lang w:bidi="ar-SA"/>
                  </w:rPr>
                  <w:t>24</w:t>
                </w:r>
                <w:r w:rsidR="00F4223D">
                  <w:rPr>
                    <w:webHidden/>
                  </w:rPr>
                  <w:fldChar w:fldCharType="end"/>
                </w:r>
              </w:hyperlink>
            </w:p>
            <w:p w:rsidR="00F4223D" w:rsidRDefault="00B62F86" w:rsidP="003A089F">
              <w:pPr>
                <w:pStyle w:val="TM3"/>
              </w:pPr>
              <w:hyperlink w:anchor="_Toc171803362" w:history="1">
                <w:r w:rsidR="00F4223D" w:rsidRPr="008D22A6">
                  <w:rPr>
                    <w:rStyle w:val="Lienhypertexte"/>
                    <w:rtl/>
                    <w:lang w:val="en-US"/>
                  </w:rPr>
                  <w:t>2.4.2.1.</w:t>
                </w:r>
                <w:r w:rsidR="00F4223D">
                  <w:tab/>
                </w:r>
                <w:r w:rsidR="00F4223D" w:rsidRPr="008D22A6">
                  <w:rPr>
                    <w:rStyle w:val="Lienhypertexte"/>
                    <w:rFonts w:hint="eastAsia"/>
                    <w:rtl/>
                    <w:lang w:val="en-US"/>
                  </w:rPr>
                  <w:t>نشأة</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العلوم</w:t>
                </w:r>
                <w:r w:rsidR="00F4223D" w:rsidRPr="008D22A6">
                  <w:rPr>
                    <w:rStyle w:val="Lienhypertexte"/>
                    <w:rtl/>
                    <w:lang w:val="en-US"/>
                  </w:rPr>
                  <w:t xml:space="preserve"> </w:t>
                </w:r>
                <w:r w:rsidR="00F4223D" w:rsidRPr="008D22A6">
                  <w:rPr>
                    <w:rStyle w:val="Lienhypertexte"/>
                    <w:rFonts w:hint="eastAsia"/>
                    <w:rtl/>
                    <w:lang w:val="en-US"/>
                  </w:rPr>
                  <w:t>الفيزيائية</w:t>
                </w:r>
                <w:r w:rsidR="00F4223D">
                  <w:rPr>
                    <w:webHidden/>
                  </w:rPr>
                  <w:tab/>
                </w:r>
                <w:r w:rsidR="00F4223D">
                  <w:rPr>
                    <w:webHidden/>
                  </w:rPr>
                  <w:fldChar w:fldCharType="begin"/>
                </w:r>
                <w:r w:rsidR="00F4223D">
                  <w:rPr>
                    <w:webHidden/>
                  </w:rPr>
                  <w:instrText xml:space="preserve"> PAGEREF _Toc171803362 \h </w:instrText>
                </w:r>
                <w:r w:rsidR="00F4223D">
                  <w:rPr>
                    <w:webHidden/>
                  </w:rPr>
                </w:r>
                <w:r w:rsidR="00F4223D">
                  <w:rPr>
                    <w:webHidden/>
                  </w:rPr>
                  <w:fldChar w:fldCharType="separate"/>
                </w:r>
                <w:r>
                  <w:rPr>
                    <w:webHidden/>
                    <w:rtl/>
                    <w:lang w:bidi="ar-SA"/>
                  </w:rPr>
                  <w:t>24</w:t>
                </w:r>
                <w:r w:rsidR="00F4223D">
                  <w:rPr>
                    <w:webHidden/>
                  </w:rPr>
                  <w:fldChar w:fldCharType="end"/>
                </w:r>
              </w:hyperlink>
            </w:p>
            <w:p w:rsidR="00F4223D" w:rsidRDefault="00B62F86" w:rsidP="003A089F">
              <w:pPr>
                <w:pStyle w:val="TM3"/>
              </w:pPr>
              <w:hyperlink w:anchor="_Toc171803363" w:history="1">
                <w:r w:rsidR="00F4223D" w:rsidRPr="008D22A6">
                  <w:rPr>
                    <w:rStyle w:val="Lienhypertexte"/>
                    <w:rtl/>
                    <w:lang w:val="en-US"/>
                  </w:rPr>
                  <w:t>3.4.2.1.</w:t>
                </w:r>
                <w:r w:rsidR="00F4223D">
                  <w:tab/>
                </w:r>
                <w:r w:rsidR="00F4223D" w:rsidRPr="008D22A6">
                  <w:rPr>
                    <w:rStyle w:val="Lienhypertexte"/>
                    <w:rFonts w:hint="eastAsia"/>
                    <w:rtl/>
                    <w:lang w:val="en-US"/>
                  </w:rPr>
                  <w:t>نشأة</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علم</w:t>
                </w:r>
                <w:r w:rsidR="00F4223D" w:rsidRPr="008D22A6">
                  <w:rPr>
                    <w:rStyle w:val="Lienhypertexte"/>
                    <w:rtl/>
                    <w:lang w:val="en-US"/>
                  </w:rPr>
                  <w:t xml:space="preserve"> </w:t>
                </w:r>
                <w:r w:rsidR="00F4223D" w:rsidRPr="008D22A6">
                  <w:rPr>
                    <w:rStyle w:val="Lienhypertexte"/>
                    <w:rFonts w:hint="eastAsia"/>
                    <w:rtl/>
                    <w:lang w:val="en-US"/>
                  </w:rPr>
                  <w:t>البيئة</w:t>
                </w:r>
                <w:r w:rsidR="00F4223D">
                  <w:rPr>
                    <w:webHidden/>
                  </w:rPr>
                  <w:tab/>
                </w:r>
                <w:r w:rsidR="00F4223D">
                  <w:rPr>
                    <w:webHidden/>
                  </w:rPr>
                  <w:fldChar w:fldCharType="begin"/>
                </w:r>
                <w:r w:rsidR="00F4223D">
                  <w:rPr>
                    <w:webHidden/>
                  </w:rPr>
                  <w:instrText xml:space="preserve"> PAGEREF _Toc171803363 \h </w:instrText>
                </w:r>
                <w:r w:rsidR="00F4223D">
                  <w:rPr>
                    <w:webHidden/>
                  </w:rPr>
                </w:r>
                <w:r w:rsidR="00F4223D">
                  <w:rPr>
                    <w:webHidden/>
                  </w:rPr>
                  <w:fldChar w:fldCharType="separate"/>
                </w:r>
                <w:r>
                  <w:rPr>
                    <w:webHidden/>
                    <w:rtl/>
                    <w:lang w:bidi="ar-SA"/>
                  </w:rPr>
                  <w:t>24</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67" w:history="1">
                <w:r w:rsidR="00F4223D" w:rsidRPr="008D22A6">
                  <w:rPr>
                    <w:rStyle w:val="Lienhypertexte"/>
                  </w:rPr>
                  <w:t>5.2.1.</w:t>
                </w:r>
                <w:r w:rsidR="00F4223D">
                  <w:rPr>
                    <w:rFonts w:asciiTheme="minorHAnsi" w:hAnsiTheme="minorHAnsi" w:cstheme="minorBidi"/>
                    <w:lang w:val="fr-FR"/>
                  </w:rPr>
                  <w:tab/>
                </w:r>
                <w:r w:rsidR="00F4223D" w:rsidRPr="008D22A6">
                  <w:rPr>
                    <w:rStyle w:val="Lienhypertexte"/>
                    <w:rFonts w:hint="eastAsia"/>
                    <w:rtl/>
                  </w:rPr>
                  <w:t>التوحيد</w:t>
                </w:r>
                <w:r w:rsidR="00F4223D" w:rsidRPr="008D22A6">
                  <w:rPr>
                    <w:rStyle w:val="Lienhypertexte"/>
                    <w:rtl/>
                  </w:rPr>
                  <w:t xml:space="preserve"> </w:t>
                </w:r>
                <w:r w:rsidR="00F4223D" w:rsidRPr="008D22A6">
                  <w:rPr>
                    <w:rStyle w:val="Lienhypertexte"/>
                    <w:rFonts w:hint="eastAsia"/>
                    <w:rtl/>
                  </w:rPr>
                  <w:t>المفاهيمي</w:t>
                </w:r>
                <w:r w:rsidR="00F4223D" w:rsidRPr="008D22A6">
                  <w:rPr>
                    <w:rStyle w:val="Lienhypertexte"/>
                    <w:rtl/>
                  </w:rPr>
                  <w:t xml:space="preserve"> </w:t>
                </w:r>
                <w:r w:rsidR="00F4223D" w:rsidRPr="008D22A6">
                  <w:rPr>
                    <w:rStyle w:val="Lienhypertexte"/>
                    <w:rFonts w:hint="eastAsia"/>
                    <w:rtl/>
                  </w:rPr>
                  <w:t>لمرونة</w:t>
                </w:r>
                <w:r w:rsidR="00F4223D" w:rsidRPr="008D22A6">
                  <w:rPr>
                    <w:rStyle w:val="Lienhypertexte"/>
                    <w:rtl/>
                  </w:rPr>
                  <w:t xml:space="preserve"> </w:t>
                </w:r>
                <w:r w:rsidR="00F4223D" w:rsidRPr="008D22A6">
                  <w:rPr>
                    <w:rStyle w:val="Lienhypertexte"/>
                    <w:rFonts w:hint="eastAsia"/>
                    <w:rtl/>
                  </w:rPr>
                  <w:t>الكوارث</w:t>
                </w:r>
                <w:r w:rsidR="00F4223D">
                  <w:rPr>
                    <w:webHidden/>
                  </w:rPr>
                  <w:tab/>
                </w:r>
                <w:r w:rsidR="00F4223D">
                  <w:rPr>
                    <w:webHidden/>
                  </w:rPr>
                  <w:fldChar w:fldCharType="begin"/>
                </w:r>
                <w:r w:rsidR="00F4223D">
                  <w:rPr>
                    <w:webHidden/>
                  </w:rPr>
                  <w:instrText xml:space="preserve"> PAGEREF _Toc171803367 \h </w:instrText>
                </w:r>
                <w:r w:rsidR="00F4223D">
                  <w:rPr>
                    <w:webHidden/>
                  </w:rPr>
                </w:r>
                <w:r w:rsidR="00F4223D">
                  <w:rPr>
                    <w:webHidden/>
                  </w:rPr>
                  <w:fldChar w:fldCharType="separate"/>
                </w:r>
                <w:r>
                  <w:rPr>
                    <w:webHidden/>
                    <w:rtl/>
                  </w:rPr>
                  <w:t>25</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69" w:history="1">
                <w:r w:rsidR="00F4223D" w:rsidRPr="008D22A6">
                  <w:rPr>
                    <w:rStyle w:val="Lienhypertexte"/>
                    <w:rtl/>
                  </w:rPr>
                  <w:t>6.2.1.</w:t>
                </w:r>
                <w:r w:rsidR="00F4223D">
                  <w:rPr>
                    <w:rFonts w:asciiTheme="minorHAnsi" w:hAnsiTheme="minorHAnsi" w:cstheme="minorBidi"/>
                    <w:lang w:val="fr-FR"/>
                  </w:rPr>
                  <w:tab/>
                </w:r>
                <w:r w:rsidR="00F4223D" w:rsidRPr="008D22A6">
                  <w:rPr>
                    <w:rStyle w:val="Lienhypertexte"/>
                    <w:rFonts w:hint="eastAsia"/>
                    <w:rtl/>
                  </w:rPr>
                  <w:t>تطور</w:t>
                </w:r>
                <w:r w:rsidR="00F4223D" w:rsidRPr="008D22A6">
                  <w:rPr>
                    <w:rStyle w:val="Lienhypertexte"/>
                    <w:rtl/>
                  </w:rPr>
                  <w:t xml:space="preserve"> </w:t>
                </w:r>
                <w:r w:rsidR="00F4223D" w:rsidRPr="008D22A6">
                  <w:rPr>
                    <w:rStyle w:val="Lienhypertexte"/>
                    <w:rFonts w:hint="eastAsia"/>
                    <w:rtl/>
                  </w:rPr>
                  <w:t>تسيير</w:t>
                </w:r>
                <w:r w:rsidR="00F4223D" w:rsidRPr="008D22A6">
                  <w:rPr>
                    <w:rStyle w:val="Lienhypertexte"/>
                    <w:rtl/>
                  </w:rPr>
                  <w:t xml:space="preserve"> </w:t>
                </w:r>
                <w:r w:rsidR="00F4223D" w:rsidRPr="008D22A6">
                  <w:rPr>
                    <w:rStyle w:val="Lienhypertexte"/>
                    <w:rFonts w:hint="eastAsia"/>
                    <w:rtl/>
                  </w:rPr>
                  <w:t>المخاطر</w:t>
                </w:r>
                <w:r w:rsidR="00F4223D">
                  <w:rPr>
                    <w:webHidden/>
                  </w:rPr>
                  <w:tab/>
                </w:r>
                <w:r w:rsidR="00F4223D">
                  <w:rPr>
                    <w:webHidden/>
                  </w:rPr>
                  <w:fldChar w:fldCharType="begin"/>
                </w:r>
                <w:r w:rsidR="00F4223D">
                  <w:rPr>
                    <w:webHidden/>
                  </w:rPr>
                  <w:instrText xml:space="preserve"> PAGEREF _Toc171803369 \h </w:instrText>
                </w:r>
                <w:r w:rsidR="00F4223D">
                  <w:rPr>
                    <w:webHidden/>
                  </w:rPr>
                </w:r>
                <w:r w:rsidR="00F4223D">
                  <w:rPr>
                    <w:webHidden/>
                  </w:rPr>
                  <w:fldChar w:fldCharType="separate"/>
                </w:r>
                <w:r>
                  <w:rPr>
                    <w:webHidden/>
                    <w:rtl/>
                  </w:rPr>
                  <w:t>25</w:t>
                </w:r>
                <w:r w:rsidR="00F4223D">
                  <w:rPr>
                    <w:webHidden/>
                  </w:rPr>
                  <w:fldChar w:fldCharType="end"/>
                </w:r>
              </w:hyperlink>
            </w:p>
            <w:p w:rsidR="00F4223D" w:rsidRDefault="00B62F86" w:rsidP="003A089F">
              <w:pPr>
                <w:pStyle w:val="TM3"/>
              </w:pPr>
              <w:hyperlink w:anchor="_Toc171803371" w:history="1">
                <w:r w:rsidR="00F4223D" w:rsidRPr="008D22A6">
                  <w:rPr>
                    <w:rStyle w:val="Lienhypertexte"/>
                  </w:rPr>
                  <w:t>1.6.2.1.</w:t>
                </w:r>
                <w:r w:rsidR="00F4223D">
                  <w:tab/>
                </w:r>
                <w:r w:rsidR="00F4223D" w:rsidRPr="008D22A6">
                  <w:rPr>
                    <w:rStyle w:val="Lienhypertexte"/>
                    <w:rFonts w:hint="eastAsia"/>
                    <w:rtl/>
                  </w:rPr>
                  <w:t>الظاهرة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Aléa</w:t>
                </w:r>
                <w:r w:rsidR="00F4223D" w:rsidRPr="008D22A6">
                  <w:rPr>
                    <w:rStyle w:val="Lienhypertexte"/>
                    <w:rFonts w:asciiTheme="majorBidi" w:hAnsiTheme="majorBidi" w:cstheme="majorBidi"/>
                    <w:rtl/>
                  </w:rPr>
                  <w:t>)</w:t>
                </w:r>
                <w:r w:rsidR="00F4223D" w:rsidRPr="008D22A6">
                  <w:rPr>
                    <w:rStyle w:val="Lienhypertexte"/>
                    <w:rFonts w:hint="eastAsia"/>
                    <w:rtl/>
                  </w:rPr>
                  <w:t>،</w:t>
                </w:r>
                <w:r w:rsidR="00F4223D" w:rsidRPr="008D22A6">
                  <w:rPr>
                    <w:rStyle w:val="Lienhypertexte"/>
                    <w:rtl/>
                  </w:rPr>
                  <w:t xml:space="preserve"> </w:t>
                </w:r>
                <w:r w:rsidR="00F4223D" w:rsidRPr="008D22A6">
                  <w:rPr>
                    <w:rStyle w:val="Lienhypertexte"/>
                    <w:rFonts w:hint="eastAsia"/>
                    <w:rtl/>
                  </w:rPr>
                  <w:t>لدى</w:t>
                </w:r>
                <w:r w:rsidR="00F4223D" w:rsidRPr="008D22A6">
                  <w:rPr>
                    <w:rStyle w:val="Lienhypertexte"/>
                    <w:rtl/>
                  </w:rPr>
                  <w:t xml:space="preserve"> </w:t>
                </w:r>
                <w:r w:rsidR="00F4223D" w:rsidRPr="008D22A6">
                  <w:rPr>
                    <w:rStyle w:val="Lienhypertexte"/>
                    <w:rFonts w:hint="eastAsia"/>
                    <w:rtl/>
                  </w:rPr>
                  <w:t>الامم</w:t>
                </w:r>
                <w:r w:rsidR="00F4223D" w:rsidRPr="008D22A6">
                  <w:rPr>
                    <w:rStyle w:val="Lienhypertexte"/>
                    <w:rtl/>
                  </w:rPr>
                  <w:t xml:space="preserve"> </w:t>
                </w:r>
                <w:r w:rsidR="00F4223D" w:rsidRPr="008D22A6">
                  <w:rPr>
                    <w:rStyle w:val="Lienhypertexte"/>
                    <w:rFonts w:hint="eastAsia"/>
                    <w:rtl/>
                  </w:rPr>
                  <w:t>السابقة</w:t>
                </w:r>
                <w:r w:rsidR="00F4223D">
                  <w:rPr>
                    <w:webHidden/>
                  </w:rPr>
                  <w:tab/>
                </w:r>
                <w:r w:rsidR="00F4223D">
                  <w:rPr>
                    <w:webHidden/>
                  </w:rPr>
                  <w:fldChar w:fldCharType="begin"/>
                </w:r>
                <w:r w:rsidR="00F4223D">
                  <w:rPr>
                    <w:webHidden/>
                  </w:rPr>
                  <w:instrText xml:space="preserve"> PAGEREF _Toc171803371 \h </w:instrText>
                </w:r>
                <w:r w:rsidR="00F4223D">
                  <w:rPr>
                    <w:webHidden/>
                  </w:rPr>
                </w:r>
                <w:r w:rsidR="00F4223D">
                  <w:rPr>
                    <w:webHidden/>
                  </w:rPr>
                  <w:fldChar w:fldCharType="separate"/>
                </w:r>
                <w:r>
                  <w:rPr>
                    <w:webHidden/>
                    <w:rtl/>
                    <w:lang w:bidi="ar-SA"/>
                  </w:rPr>
                  <w:t>26</w:t>
                </w:r>
                <w:r w:rsidR="00F4223D">
                  <w:rPr>
                    <w:webHidden/>
                  </w:rPr>
                  <w:fldChar w:fldCharType="end"/>
                </w:r>
              </w:hyperlink>
            </w:p>
            <w:p w:rsidR="00F4223D" w:rsidRDefault="00B62F86" w:rsidP="003A089F">
              <w:pPr>
                <w:pStyle w:val="TM3"/>
              </w:pPr>
              <w:hyperlink w:anchor="_Toc171803373" w:history="1">
                <w:r w:rsidR="00F4223D" w:rsidRPr="008D22A6">
                  <w:rPr>
                    <w:rStyle w:val="Lienhypertexte"/>
                  </w:rPr>
                  <w:t>2.6.2.1.</w:t>
                </w:r>
                <w:r w:rsidR="00F4223D">
                  <w:tab/>
                </w:r>
                <w:r w:rsidR="00F4223D" w:rsidRPr="008D22A6">
                  <w:rPr>
                    <w:rStyle w:val="Lienhypertexte"/>
                    <w:rFonts w:hint="eastAsia"/>
                    <w:rtl/>
                  </w:rPr>
                  <w:t>مقاربة</w:t>
                </w:r>
                <w:r w:rsidR="00F4223D" w:rsidRPr="008D22A6">
                  <w:rPr>
                    <w:rStyle w:val="Lienhypertexte"/>
                    <w:rtl/>
                  </w:rPr>
                  <w:t xml:space="preserve"> </w:t>
                </w:r>
                <w:r w:rsidR="00F4223D" w:rsidRPr="008D22A6">
                  <w:rPr>
                    <w:rStyle w:val="Lienhypertexte"/>
                    <w:rFonts w:hint="eastAsia"/>
                    <w:rtl/>
                  </w:rPr>
                  <w:t>الظاهرة</w:t>
                </w:r>
                <w:r w:rsidR="00F4223D" w:rsidRPr="008D22A6">
                  <w:rPr>
                    <w:rStyle w:val="Lienhypertexte"/>
                    <w:rtl/>
                  </w:rPr>
                  <w:t>-</w:t>
                </w:r>
                <w:r w:rsidR="00F4223D" w:rsidRPr="008D22A6">
                  <w:rPr>
                    <w:rStyle w:val="Lienhypertexte"/>
                    <w:rFonts w:hint="eastAsia"/>
                    <w:rtl/>
                  </w:rPr>
                  <w:t>المركزية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Approche aléa-centrée</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_Toc171803373 \h </w:instrText>
                </w:r>
                <w:r w:rsidR="00F4223D">
                  <w:rPr>
                    <w:webHidden/>
                  </w:rPr>
                </w:r>
                <w:r w:rsidR="00F4223D">
                  <w:rPr>
                    <w:webHidden/>
                  </w:rPr>
                  <w:fldChar w:fldCharType="separate"/>
                </w:r>
                <w:r>
                  <w:rPr>
                    <w:webHidden/>
                    <w:rtl/>
                    <w:lang w:bidi="ar-SA"/>
                  </w:rPr>
                  <w:t>27</w:t>
                </w:r>
                <w:r w:rsidR="00F4223D">
                  <w:rPr>
                    <w:webHidden/>
                  </w:rPr>
                  <w:fldChar w:fldCharType="end"/>
                </w:r>
              </w:hyperlink>
            </w:p>
            <w:p w:rsidR="00F4223D" w:rsidRDefault="00B62F86" w:rsidP="003A089F">
              <w:pPr>
                <w:pStyle w:val="TM3"/>
              </w:pPr>
              <w:hyperlink w:anchor="_Toc171803374" w:history="1">
                <w:r w:rsidR="00F4223D" w:rsidRPr="008D22A6">
                  <w:rPr>
                    <w:rStyle w:val="Lienhypertexte"/>
                    <w:lang w:val="en-US"/>
                  </w:rPr>
                  <w:t>3.6.2.1.</w:t>
                </w:r>
                <w:r w:rsidR="00F4223D">
                  <w:tab/>
                </w:r>
                <w:r w:rsidR="00F4223D" w:rsidRPr="008D22A6">
                  <w:rPr>
                    <w:rStyle w:val="Lienhypertexte"/>
                    <w:rFonts w:hint="eastAsia"/>
                    <w:rtl/>
                    <w:lang w:val="en-US"/>
                  </w:rPr>
                  <w:t>مفهوم</w:t>
                </w:r>
                <w:r w:rsidR="00F4223D" w:rsidRPr="008D22A6">
                  <w:rPr>
                    <w:rStyle w:val="Lienhypertexte"/>
                    <w:rtl/>
                    <w:lang w:val="en-US"/>
                  </w:rPr>
                  <w:t xml:space="preserve"> </w:t>
                </w:r>
                <w:r w:rsidR="00F4223D" w:rsidRPr="008D22A6">
                  <w:rPr>
                    <w:rStyle w:val="Lienhypertexte"/>
                    <w:rFonts w:hint="eastAsia"/>
                    <w:rtl/>
                    <w:lang w:val="en-US"/>
                  </w:rPr>
                  <w:t>الضعف</w:t>
                </w:r>
                <w:r w:rsidR="00F4223D" w:rsidRPr="008D22A6">
                  <w:rPr>
                    <w:rStyle w:val="Lienhypertexte"/>
                    <w:rtl/>
                    <w:lang w:val="en-US"/>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concept Vulnérabilité</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_Toc171803374 \h </w:instrText>
                </w:r>
                <w:r w:rsidR="00F4223D">
                  <w:rPr>
                    <w:webHidden/>
                  </w:rPr>
                </w:r>
                <w:r w:rsidR="00F4223D">
                  <w:rPr>
                    <w:webHidden/>
                  </w:rPr>
                  <w:fldChar w:fldCharType="separate"/>
                </w:r>
                <w:r>
                  <w:rPr>
                    <w:webHidden/>
                    <w:rtl/>
                    <w:lang w:bidi="ar-SA"/>
                  </w:rPr>
                  <w:t>27</w:t>
                </w:r>
                <w:r w:rsidR="00F4223D">
                  <w:rPr>
                    <w:webHidden/>
                  </w:rPr>
                  <w:fldChar w:fldCharType="end"/>
                </w:r>
              </w:hyperlink>
            </w:p>
            <w:p w:rsidR="00F4223D" w:rsidRDefault="00B62F86" w:rsidP="003A089F">
              <w:pPr>
                <w:pStyle w:val="TM3"/>
              </w:pPr>
              <w:hyperlink w:anchor="_Toc171803375" w:history="1">
                <w:r w:rsidR="00F4223D" w:rsidRPr="008D22A6">
                  <w:rPr>
                    <w:rStyle w:val="Lienhypertexte"/>
                    <w:rtl/>
                    <w:lang w:val="en-US"/>
                  </w:rPr>
                  <w:t>4.6.2.1.</w:t>
                </w:r>
                <w:r w:rsidR="00F4223D">
                  <w:tab/>
                </w:r>
                <w:r w:rsidR="00F4223D" w:rsidRPr="008D22A6">
                  <w:rPr>
                    <w:rStyle w:val="Lienhypertexte"/>
                    <w:rFonts w:hint="eastAsia"/>
                    <w:rtl/>
                    <w:lang w:val="en-US"/>
                  </w:rPr>
                  <w:t>العلاقة</w:t>
                </w:r>
                <w:r w:rsidR="00F4223D" w:rsidRPr="008D22A6">
                  <w:rPr>
                    <w:rStyle w:val="Lienhypertexte"/>
                    <w:rtl/>
                    <w:lang w:val="en-US"/>
                  </w:rPr>
                  <w:t xml:space="preserve"> </w:t>
                </w:r>
                <w:r w:rsidR="00F4223D" w:rsidRPr="008D22A6">
                  <w:rPr>
                    <w:rStyle w:val="Lienhypertexte"/>
                    <w:rFonts w:hint="eastAsia"/>
                    <w:rtl/>
                    <w:lang w:val="en-US"/>
                  </w:rPr>
                  <w:t>بين</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و</w:t>
                </w:r>
                <w:r w:rsidR="00F4223D" w:rsidRPr="008D22A6">
                  <w:rPr>
                    <w:rStyle w:val="Lienhypertexte"/>
                    <w:rtl/>
                    <w:lang w:val="en-US"/>
                  </w:rPr>
                  <w:t xml:space="preserve"> </w:t>
                </w:r>
                <w:r w:rsidR="00F4223D" w:rsidRPr="008D22A6">
                  <w:rPr>
                    <w:rStyle w:val="Lienhypertexte"/>
                    <w:rFonts w:hint="eastAsia"/>
                    <w:rtl/>
                    <w:lang w:val="en-US"/>
                  </w:rPr>
                  <w:t>الضعف</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مجال</w:t>
                </w:r>
                <w:r w:rsidR="00F4223D" w:rsidRPr="008D22A6">
                  <w:rPr>
                    <w:rStyle w:val="Lienhypertexte"/>
                    <w:rtl/>
                    <w:lang w:val="en-US"/>
                  </w:rPr>
                  <w:t xml:space="preserve"> </w:t>
                </w:r>
                <w:r w:rsidR="00F4223D" w:rsidRPr="008D22A6">
                  <w:rPr>
                    <w:rStyle w:val="Lienhypertexte"/>
                    <w:rFonts w:hint="eastAsia"/>
                    <w:rtl/>
                    <w:lang w:val="en-US"/>
                  </w:rPr>
                  <w:t>تسيير</w:t>
                </w:r>
                <w:r w:rsidR="00F4223D" w:rsidRPr="008D22A6">
                  <w:rPr>
                    <w:rStyle w:val="Lienhypertexte"/>
                    <w:rtl/>
                    <w:lang w:val="en-US"/>
                  </w:rPr>
                  <w:t xml:space="preserve"> </w:t>
                </w:r>
                <w:r w:rsidR="00F4223D" w:rsidRPr="008D22A6">
                  <w:rPr>
                    <w:rStyle w:val="Lienhypertexte"/>
                    <w:rFonts w:hint="eastAsia"/>
                    <w:rtl/>
                    <w:lang w:val="en-US"/>
                  </w:rPr>
                  <w:t>المخاطر</w:t>
                </w:r>
                <w:r w:rsidR="00F4223D">
                  <w:rPr>
                    <w:webHidden/>
                  </w:rPr>
                  <w:tab/>
                </w:r>
                <w:r w:rsidR="00F4223D">
                  <w:rPr>
                    <w:webHidden/>
                  </w:rPr>
                  <w:fldChar w:fldCharType="begin"/>
                </w:r>
                <w:r w:rsidR="00F4223D">
                  <w:rPr>
                    <w:webHidden/>
                  </w:rPr>
                  <w:instrText xml:space="preserve"> PAGEREF _Toc171803375 \h </w:instrText>
                </w:r>
                <w:r w:rsidR="00F4223D">
                  <w:rPr>
                    <w:webHidden/>
                  </w:rPr>
                </w:r>
                <w:r w:rsidR="00F4223D">
                  <w:rPr>
                    <w:webHidden/>
                  </w:rPr>
                  <w:fldChar w:fldCharType="separate"/>
                </w:r>
                <w:r>
                  <w:rPr>
                    <w:webHidden/>
                    <w:rtl/>
                    <w:lang w:bidi="ar-SA"/>
                  </w:rPr>
                  <w:t>27</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79" w:history="1">
                <w:r w:rsidR="00F4223D" w:rsidRPr="008D22A6">
                  <w:rPr>
                    <w:rStyle w:val="Lienhypertexte"/>
                    <w:rtl/>
                  </w:rPr>
                  <w:t>7.2.1.</w:t>
                </w:r>
                <w:r w:rsidR="00F4223D">
                  <w:rPr>
                    <w:rFonts w:asciiTheme="minorHAnsi" w:hAnsiTheme="minorHAnsi" w:cstheme="minorBidi"/>
                    <w:lang w:val="fr-FR"/>
                  </w:rPr>
                  <w:tab/>
                </w:r>
                <w:r w:rsidR="00F4223D" w:rsidRPr="008D22A6">
                  <w:rPr>
                    <w:rStyle w:val="Lienhypertexte"/>
                    <w:rFonts w:hint="eastAsia"/>
                    <w:rtl/>
                  </w:rPr>
                  <w:t>ما</w:t>
                </w:r>
                <w:r w:rsidR="00F4223D" w:rsidRPr="008D22A6">
                  <w:rPr>
                    <w:rStyle w:val="Lienhypertexte"/>
                    <w:rtl/>
                  </w:rPr>
                  <w:t xml:space="preserve"> </w:t>
                </w:r>
                <w:r w:rsidR="00F4223D" w:rsidRPr="008D22A6">
                  <w:rPr>
                    <w:rStyle w:val="Lienhypertexte"/>
                    <w:rFonts w:hint="eastAsia"/>
                    <w:rtl/>
                  </w:rPr>
                  <w:t>هي</w:t>
                </w:r>
                <w:r w:rsidR="00F4223D" w:rsidRPr="008D22A6">
                  <w:rPr>
                    <w:rStyle w:val="Lienhypertexte"/>
                    <w:rtl/>
                  </w:rPr>
                  <w:t xml:space="preserve"> </w:t>
                </w:r>
                <w:r w:rsidR="00F4223D" w:rsidRPr="008D22A6">
                  <w:rPr>
                    <w:rStyle w:val="Lienhypertexte"/>
                    <w:rFonts w:hint="eastAsia"/>
                    <w:rtl/>
                  </w:rPr>
                  <w:t>زمنية</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w:t>
                </w:r>
                <w:r w:rsidR="00F4223D">
                  <w:rPr>
                    <w:webHidden/>
                  </w:rPr>
                  <w:tab/>
                </w:r>
                <w:r w:rsidR="00F4223D">
                  <w:rPr>
                    <w:webHidden/>
                  </w:rPr>
                  <w:fldChar w:fldCharType="begin"/>
                </w:r>
                <w:r w:rsidR="00F4223D">
                  <w:rPr>
                    <w:webHidden/>
                  </w:rPr>
                  <w:instrText xml:space="preserve"> PAGEREF _Toc171803379 \h </w:instrText>
                </w:r>
                <w:r w:rsidR="00F4223D">
                  <w:rPr>
                    <w:webHidden/>
                  </w:rPr>
                </w:r>
                <w:r w:rsidR="00F4223D">
                  <w:rPr>
                    <w:webHidden/>
                  </w:rPr>
                  <w:fldChar w:fldCharType="separate"/>
                </w:r>
                <w:r>
                  <w:rPr>
                    <w:webHidden/>
                    <w:rtl/>
                  </w:rPr>
                  <w:t>29</w:t>
                </w:r>
                <w:r w:rsidR="00F4223D">
                  <w:rPr>
                    <w:webHidden/>
                  </w:rPr>
                  <w:fldChar w:fldCharType="end"/>
                </w:r>
              </w:hyperlink>
            </w:p>
            <w:p w:rsidR="00F4223D" w:rsidRDefault="00B62F86" w:rsidP="003A089F">
              <w:pPr>
                <w:pStyle w:val="TM3"/>
              </w:pPr>
              <w:hyperlink w:anchor="_Toc171803380" w:history="1">
                <w:r w:rsidR="00F4223D" w:rsidRPr="008D22A6">
                  <w:rPr>
                    <w:rStyle w:val="Lienhypertexte"/>
                    <w:rtl/>
                    <w:lang w:val="en-US"/>
                  </w:rPr>
                  <w:t>1.7.2.1.</w:t>
                </w:r>
                <w:r w:rsidR="00F4223D">
                  <w:tab/>
                </w:r>
                <w:r w:rsidR="00F4223D" w:rsidRPr="008D22A6">
                  <w:rPr>
                    <w:rStyle w:val="Lienhypertexte"/>
                    <w:rFonts w:hint="eastAsia"/>
                    <w:rtl/>
                    <w:lang w:val="en-US"/>
                  </w:rPr>
                  <w:t>زمنية</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التخطيط</w:t>
                </w:r>
                <w:r w:rsidR="00F4223D">
                  <w:rPr>
                    <w:webHidden/>
                  </w:rPr>
                  <w:tab/>
                </w:r>
                <w:r w:rsidR="00F4223D">
                  <w:rPr>
                    <w:webHidden/>
                  </w:rPr>
                  <w:fldChar w:fldCharType="begin"/>
                </w:r>
                <w:r w:rsidR="00F4223D">
                  <w:rPr>
                    <w:webHidden/>
                  </w:rPr>
                  <w:instrText xml:space="preserve"> PAGEREF _Toc171803380 \h </w:instrText>
                </w:r>
                <w:r w:rsidR="00F4223D">
                  <w:rPr>
                    <w:webHidden/>
                  </w:rPr>
                </w:r>
                <w:r w:rsidR="00F4223D">
                  <w:rPr>
                    <w:webHidden/>
                  </w:rPr>
                  <w:fldChar w:fldCharType="separate"/>
                </w:r>
                <w:r>
                  <w:rPr>
                    <w:webHidden/>
                    <w:rtl/>
                    <w:lang w:bidi="ar-SA"/>
                  </w:rPr>
                  <w:t>29</w:t>
                </w:r>
                <w:r w:rsidR="00F4223D">
                  <w:rPr>
                    <w:webHidden/>
                  </w:rPr>
                  <w:fldChar w:fldCharType="end"/>
                </w:r>
              </w:hyperlink>
            </w:p>
            <w:p w:rsidR="00F4223D" w:rsidRDefault="00B62F86" w:rsidP="003A089F">
              <w:pPr>
                <w:pStyle w:val="TM3"/>
              </w:pPr>
              <w:hyperlink w:anchor="_Toc171803381" w:history="1">
                <w:r w:rsidR="00F4223D" w:rsidRPr="008D22A6">
                  <w:rPr>
                    <w:rStyle w:val="Lienhypertexte"/>
                    <w:rtl/>
                    <w:lang w:val="en-US"/>
                  </w:rPr>
                  <w:t>2.7.2.1.</w:t>
                </w:r>
                <w:r w:rsidR="00F4223D">
                  <w:tab/>
                </w:r>
                <w:r w:rsidR="00F4223D" w:rsidRPr="008D22A6">
                  <w:rPr>
                    <w:rStyle w:val="Lienhypertexte"/>
                    <w:rFonts w:hint="eastAsia"/>
                    <w:rtl/>
                    <w:lang w:val="en-US"/>
                  </w:rPr>
                  <w:t>زمنية</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sidRPr="008D22A6">
                  <w:rPr>
                    <w:rStyle w:val="Lienhypertexte"/>
                    <w:rtl/>
                    <w:lang w:val="en-US"/>
                  </w:rPr>
                  <w:t xml:space="preserve"> </w:t>
                </w:r>
                <w:r w:rsidR="00F4223D" w:rsidRPr="008D22A6">
                  <w:rPr>
                    <w:rStyle w:val="Lienhypertexte"/>
                    <w:rFonts w:hint="eastAsia"/>
                    <w:rtl/>
                    <w:lang w:val="en-US"/>
                  </w:rPr>
                  <w:t>للتعافي</w:t>
                </w:r>
                <w:r w:rsidR="00F4223D">
                  <w:rPr>
                    <w:webHidden/>
                  </w:rPr>
                  <w:tab/>
                </w:r>
                <w:r w:rsidR="00F4223D">
                  <w:rPr>
                    <w:webHidden/>
                  </w:rPr>
                  <w:fldChar w:fldCharType="begin"/>
                </w:r>
                <w:r w:rsidR="00F4223D">
                  <w:rPr>
                    <w:webHidden/>
                  </w:rPr>
                  <w:instrText xml:space="preserve"> PAGEREF _Toc171803381 \h </w:instrText>
                </w:r>
                <w:r w:rsidR="00F4223D">
                  <w:rPr>
                    <w:webHidden/>
                  </w:rPr>
                </w:r>
                <w:r w:rsidR="00F4223D">
                  <w:rPr>
                    <w:webHidden/>
                  </w:rPr>
                  <w:fldChar w:fldCharType="separate"/>
                </w:r>
                <w:r>
                  <w:rPr>
                    <w:webHidden/>
                    <w:rtl/>
                    <w:lang w:bidi="ar-SA"/>
                  </w:rPr>
                  <w:t>29</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83" w:history="1">
                <w:r w:rsidR="00F4223D" w:rsidRPr="008D22A6">
                  <w:rPr>
                    <w:rStyle w:val="Lienhypertexte"/>
                  </w:rPr>
                  <w:t>8.2.1.</w:t>
                </w:r>
                <w:r w:rsidR="00F4223D">
                  <w:rPr>
                    <w:rFonts w:asciiTheme="minorHAnsi" w:hAnsiTheme="minorHAnsi" w:cstheme="minorBidi"/>
                    <w:lang w:val="fr-FR"/>
                  </w:rPr>
                  <w:tab/>
                </w:r>
                <w:r w:rsidR="00F4223D" w:rsidRPr="008D22A6">
                  <w:rPr>
                    <w:rStyle w:val="Lienhypertexte"/>
                    <w:rFonts w:hint="eastAsia"/>
                    <w:rtl/>
                  </w:rPr>
                  <w:t>سمات</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المكانية</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السياق</w:t>
                </w:r>
                <w:r w:rsidR="00F4223D" w:rsidRPr="008D22A6">
                  <w:rPr>
                    <w:rStyle w:val="Lienhypertexte"/>
                    <w:rtl/>
                  </w:rPr>
                  <w:t xml:space="preserve"> </w:t>
                </w:r>
                <w:r w:rsidR="00F4223D" w:rsidRPr="008D22A6">
                  <w:rPr>
                    <w:rStyle w:val="Lienhypertexte"/>
                    <w:rFonts w:hint="eastAsia"/>
                    <w:rtl/>
                  </w:rPr>
                  <w:t>الحضري</w:t>
                </w:r>
                <w:r w:rsidR="00F4223D">
                  <w:rPr>
                    <w:webHidden/>
                  </w:rPr>
                  <w:tab/>
                </w:r>
                <w:r w:rsidR="00F4223D">
                  <w:rPr>
                    <w:webHidden/>
                  </w:rPr>
                  <w:fldChar w:fldCharType="begin"/>
                </w:r>
                <w:r w:rsidR="00F4223D">
                  <w:rPr>
                    <w:webHidden/>
                  </w:rPr>
                  <w:instrText xml:space="preserve"> PAGEREF _Toc171803383 \h </w:instrText>
                </w:r>
                <w:r w:rsidR="00F4223D">
                  <w:rPr>
                    <w:webHidden/>
                  </w:rPr>
                </w:r>
                <w:r w:rsidR="00F4223D">
                  <w:rPr>
                    <w:webHidden/>
                  </w:rPr>
                  <w:fldChar w:fldCharType="separate"/>
                </w:r>
                <w:r>
                  <w:rPr>
                    <w:webHidden/>
                    <w:rtl/>
                  </w:rPr>
                  <w:t>31</w:t>
                </w:r>
                <w:r w:rsidR="00F4223D">
                  <w:rPr>
                    <w:webHidden/>
                  </w:rPr>
                  <w:fldChar w:fldCharType="end"/>
                </w:r>
              </w:hyperlink>
            </w:p>
            <w:p w:rsidR="00F4223D" w:rsidRDefault="00B62F86" w:rsidP="003A089F">
              <w:pPr>
                <w:pStyle w:val="TM3"/>
              </w:pPr>
              <w:hyperlink w:anchor="_Toc171803386" w:history="1">
                <w:r w:rsidR="00F4223D" w:rsidRPr="008D22A6">
                  <w:rPr>
                    <w:rStyle w:val="Lienhypertexte"/>
                  </w:rPr>
                  <w:t>1.8.2.1.</w:t>
                </w:r>
                <w:r w:rsidR="00F4223D">
                  <w:tab/>
                </w:r>
                <w:r w:rsidR="00F4223D" w:rsidRPr="008D22A6">
                  <w:rPr>
                    <w:rStyle w:val="Lienhypertexte"/>
                    <w:rFonts w:hint="eastAsia"/>
                    <w:rtl/>
                    <w:lang w:val="en-US"/>
                  </w:rPr>
                  <w:t>الكثافة</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lang w:val="en-US"/>
                  </w:rPr>
                  <w:t>Density</w:t>
                </w:r>
                <w:r w:rsidR="00F4223D" w:rsidRPr="008D22A6">
                  <w:rPr>
                    <w:rStyle w:val="Lienhypertexte"/>
                    <w:rFonts w:asciiTheme="majorBidi" w:hAnsiTheme="majorBidi" w:cstheme="majorBidi"/>
                  </w:rPr>
                  <w:t xml:space="preserve"> </w:t>
                </w:r>
                <w:r w:rsidR="00F4223D" w:rsidRPr="008D22A6">
                  <w:rPr>
                    <w:rStyle w:val="Lienhypertexte"/>
                    <w:rFonts w:asciiTheme="majorBidi" w:hAnsiTheme="majorBidi" w:cstheme="majorBidi"/>
                    <w:lang w:val="en-US"/>
                  </w:rPr>
                  <w:t>Urban</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_Toc171803386 \h </w:instrText>
                </w:r>
                <w:r w:rsidR="00F4223D">
                  <w:rPr>
                    <w:webHidden/>
                  </w:rPr>
                </w:r>
                <w:r w:rsidR="00F4223D">
                  <w:rPr>
                    <w:webHidden/>
                  </w:rPr>
                  <w:fldChar w:fldCharType="separate"/>
                </w:r>
                <w:r>
                  <w:rPr>
                    <w:webHidden/>
                    <w:rtl/>
                    <w:lang w:bidi="ar-SA"/>
                  </w:rPr>
                  <w:t>32</w:t>
                </w:r>
                <w:r w:rsidR="00F4223D">
                  <w:rPr>
                    <w:webHidden/>
                  </w:rPr>
                  <w:fldChar w:fldCharType="end"/>
                </w:r>
              </w:hyperlink>
            </w:p>
            <w:p w:rsidR="00F4223D" w:rsidRDefault="00B62F86" w:rsidP="003A089F">
              <w:pPr>
                <w:pStyle w:val="TM3"/>
              </w:pPr>
              <w:hyperlink w:anchor="_Toc171803388" w:history="1">
                <w:r w:rsidR="00F4223D" w:rsidRPr="008D22A6">
                  <w:rPr>
                    <w:rStyle w:val="Lienhypertexte"/>
                    <w:rtl/>
                  </w:rPr>
                  <w:t>2.8.2.1.</w:t>
                </w:r>
                <w:r w:rsidR="00F4223D">
                  <w:tab/>
                </w:r>
                <w:r w:rsidR="00F4223D" w:rsidRPr="008D22A6">
                  <w:rPr>
                    <w:rStyle w:val="Lienhypertexte"/>
                    <w:rFonts w:hint="eastAsia"/>
                    <w:rtl/>
                    <w:lang w:val="en-US"/>
                  </w:rPr>
                  <w:t>التنوع</w:t>
                </w:r>
                <w:r w:rsidR="00F4223D" w:rsidRPr="008D22A6">
                  <w:rPr>
                    <w:rStyle w:val="Lienhypertexte"/>
                    <w:rtl/>
                    <w:lang w:val="en-US"/>
                  </w:rPr>
                  <w:t xml:space="preserve"> </w:t>
                </w:r>
                <w:r w:rsidR="00F4223D" w:rsidRPr="008D22A6">
                  <w:rPr>
                    <w:rStyle w:val="Lienhypertexte"/>
                    <w:rFonts w:asciiTheme="majorBidi" w:hAnsiTheme="majorBidi" w:cstheme="majorBidi"/>
                    <w:shd w:val="clear" w:color="auto" w:fill="FFFFFF"/>
                    <w:rtl/>
                  </w:rPr>
                  <w:t>(</w:t>
                </w:r>
                <w:r w:rsidR="00F4223D" w:rsidRPr="008D22A6">
                  <w:rPr>
                    <w:rStyle w:val="Lienhypertexte"/>
                    <w:rFonts w:asciiTheme="majorBidi" w:hAnsiTheme="majorBidi" w:cstheme="majorBidi"/>
                    <w:shd w:val="clear" w:color="auto" w:fill="FFFFFF"/>
                    <w:lang w:val="en-US"/>
                  </w:rPr>
                  <w:t>Diversity</w:t>
                </w:r>
                <w:r w:rsidR="00F4223D" w:rsidRPr="008D22A6">
                  <w:rPr>
                    <w:rStyle w:val="Lienhypertexte"/>
                    <w:rFonts w:asciiTheme="majorBidi" w:hAnsiTheme="majorBidi" w:cstheme="majorBidi"/>
                    <w:shd w:val="clear" w:color="auto" w:fill="FFFFFF"/>
                    <w:rtl/>
                  </w:rPr>
                  <w:t>)</w:t>
                </w:r>
                <w:r w:rsidR="00F4223D">
                  <w:rPr>
                    <w:webHidden/>
                  </w:rPr>
                  <w:tab/>
                </w:r>
                <w:r w:rsidR="00F4223D">
                  <w:rPr>
                    <w:webHidden/>
                  </w:rPr>
                  <w:fldChar w:fldCharType="begin"/>
                </w:r>
                <w:r w:rsidR="00F4223D">
                  <w:rPr>
                    <w:webHidden/>
                  </w:rPr>
                  <w:instrText xml:space="preserve"> PAGEREF _Toc171803388 \h </w:instrText>
                </w:r>
                <w:r w:rsidR="00F4223D">
                  <w:rPr>
                    <w:webHidden/>
                  </w:rPr>
                </w:r>
                <w:r w:rsidR="00F4223D">
                  <w:rPr>
                    <w:webHidden/>
                  </w:rPr>
                  <w:fldChar w:fldCharType="separate"/>
                </w:r>
                <w:r>
                  <w:rPr>
                    <w:webHidden/>
                    <w:rtl/>
                    <w:lang w:bidi="ar-SA"/>
                  </w:rPr>
                  <w:t>34</w:t>
                </w:r>
                <w:r w:rsidR="00F4223D">
                  <w:rPr>
                    <w:webHidden/>
                  </w:rPr>
                  <w:fldChar w:fldCharType="end"/>
                </w:r>
              </w:hyperlink>
            </w:p>
            <w:p w:rsidR="00F4223D" w:rsidRDefault="00B62F86" w:rsidP="003A089F">
              <w:pPr>
                <w:pStyle w:val="TM3"/>
              </w:pPr>
              <w:hyperlink w:anchor="_Toc171803390" w:history="1">
                <w:r w:rsidR="00F4223D" w:rsidRPr="008D22A6">
                  <w:rPr>
                    <w:rStyle w:val="Lienhypertexte"/>
                    <w:rtl/>
                    <w:lang w:val="en-US"/>
                  </w:rPr>
                  <w:t>3.8.2.1.</w:t>
                </w:r>
                <w:r w:rsidR="00F4223D">
                  <w:tab/>
                </w:r>
                <w:r w:rsidR="00F4223D" w:rsidRPr="008D22A6">
                  <w:rPr>
                    <w:rStyle w:val="Lienhypertexte"/>
                    <w:rFonts w:hint="eastAsia"/>
                    <w:rtl/>
                    <w:lang w:val="en-US"/>
                  </w:rPr>
                  <w:t>التكرار</w:t>
                </w:r>
                <w:r w:rsidR="00F4223D" w:rsidRPr="008D22A6">
                  <w:rPr>
                    <w:rStyle w:val="Lienhypertexte"/>
                    <w:rFonts w:asciiTheme="majorBidi" w:hAnsiTheme="majorBidi" w:cstheme="majorBidi"/>
                    <w:lang w:val="en-US"/>
                  </w:rPr>
                  <w:t>(</w:t>
                </w:r>
                <w:r w:rsidR="00F4223D" w:rsidRPr="008D22A6">
                  <w:rPr>
                    <w:rStyle w:val="Lienhypertexte"/>
                    <w:rFonts w:asciiTheme="majorBidi" w:hAnsiTheme="majorBidi" w:cstheme="majorBidi"/>
                    <w:shd w:val="clear" w:color="auto" w:fill="FFFFFF"/>
                    <w:lang w:val="en-US"/>
                  </w:rPr>
                  <w:t>Redundancy</w:t>
                </w:r>
                <w:r w:rsidR="00F4223D" w:rsidRPr="008D22A6">
                  <w:rPr>
                    <w:rStyle w:val="Lienhypertexte"/>
                    <w:rFonts w:asciiTheme="majorBidi" w:hAnsiTheme="majorBidi" w:cstheme="majorBidi"/>
                    <w:lang w:val="en-US"/>
                  </w:rPr>
                  <w:t>)</w:t>
                </w:r>
                <w:r w:rsidR="00F4223D">
                  <w:rPr>
                    <w:webHidden/>
                  </w:rPr>
                  <w:tab/>
                </w:r>
                <w:r w:rsidR="00F4223D">
                  <w:rPr>
                    <w:webHidden/>
                  </w:rPr>
                  <w:fldChar w:fldCharType="begin"/>
                </w:r>
                <w:r w:rsidR="00F4223D">
                  <w:rPr>
                    <w:webHidden/>
                  </w:rPr>
                  <w:instrText xml:space="preserve"> PAGEREF _Toc171803390 \h </w:instrText>
                </w:r>
                <w:r w:rsidR="00F4223D">
                  <w:rPr>
                    <w:webHidden/>
                  </w:rPr>
                </w:r>
                <w:r w:rsidR="00F4223D">
                  <w:rPr>
                    <w:webHidden/>
                  </w:rPr>
                  <w:fldChar w:fldCharType="separate"/>
                </w:r>
                <w:r>
                  <w:rPr>
                    <w:webHidden/>
                    <w:rtl/>
                    <w:lang w:bidi="ar-SA"/>
                  </w:rPr>
                  <w:t>34</w:t>
                </w:r>
                <w:r w:rsidR="00F4223D">
                  <w:rPr>
                    <w:webHidden/>
                  </w:rPr>
                  <w:fldChar w:fldCharType="end"/>
                </w:r>
              </w:hyperlink>
            </w:p>
            <w:p w:rsidR="00F4223D" w:rsidRDefault="00B62F86" w:rsidP="003A089F">
              <w:pPr>
                <w:pStyle w:val="TM3"/>
              </w:pPr>
              <w:hyperlink w:anchor="_Toc171803393" w:history="1">
                <w:r w:rsidR="00F4223D" w:rsidRPr="008D22A6">
                  <w:rPr>
                    <w:rStyle w:val="Lienhypertexte"/>
                    <w:lang w:val="en-US"/>
                  </w:rPr>
                  <w:t>4.8.2.1.</w:t>
                </w:r>
                <w:r w:rsidR="00F4223D">
                  <w:tab/>
                </w:r>
                <w:r w:rsidR="00F4223D" w:rsidRPr="008D22A6">
                  <w:rPr>
                    <w:rStyle w:val="Lienhypertexte"/>
                    <w:rFonts w:hint="eastAsia"/>
                    <w:rtl/>
                    <w:lang w:val="en-US"/>
                  </w:rPr>
                  <w:t>الاتصالية</w:t>
                </w:r>
                <w:r w:rsidR="00F4223D" w:rsidRPr="008D22A6">
                  <w:rPr>
                    <w:rStyle w:val="Lienhypertexte"/>
                    <w:rtl/>
                    <w:lang w:val="en-US"/>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lang w:val="en-US"/>
                  </w:rPr>
                  <w:t>connectivity</w:t>
                </w:r>
                <w:r w:rsidR="00F4223D" w:rsidRPr="008D22A6">
                  <w:rPr>
                    <w:rStyle w:val="Lienhypertexte"/>
                    <w:rFonts w:asciiTheme="majorBidi" w:hAnsiTheme="majorBidi" w:cstheme="majorBidi"/>
                    <w:rtl/>
                    <w:lang w:val="en-US"/>
                  </w:rPr>
                  <w:t>)</w:t>
                </w:r>
                <w:r w:rsidR="00F4223D">
                  <w:rPr>
                    <w:webHidden/>
                  </w:rPr>
                  <w:tab/>
                </w:r>
                <w:r w:rsidR="00F4223D">
                  <w:rPr>
                    <w:webHidden/>
                  </w:rPr>
                  <w:fldChar w:fldCharType="begin"/>
                </w:r>
                <w:r w:rsidR="00F4223D">
                  <w:rPr>
                    <w:webHidden/>
                  </w:rPr>
                  <w:instrText xml:space="preserve"> PAGEREF _Toc171803393 \h </w:instrText>
                </w:r>
                <w:r w:rsidR="00F4223D">
                  <w:rPr>
                    <w:webHidden/>
                  </w:rPr>
                </w:r>
                <w:r w:rsidR="00F4223D">
                  <w:rPr>
                    <w:webHidden/>
                  </w:rPr>
                  <w:fldChar w:fldCharType="separate"/>
                </w:r>
                <w:r>
                  <w:rPr>
                    <w:webHidden/>
                    <w:rtl/>
                    <w:lang w:bidi="ar-SA"/>
                  </w:rPr>
                  <w:t>36</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395" w:history="1">
                <w:r w:rsidR="00F4223D" w:rsidRPr="008D22A6">
                  <w:rPr>
                    <w:rStyle w:val="Lienhypertexte"/>
                  </w:rPr>
                  <w:t>9.2.1.</w:t>
                </w:r>
                <w:r w:rsidR="00F4223D">
                  <w:rPr>
                    <w:rFonts w:asciiTheme="minorHAnsi" w:hAnsiTheme="minorHAnsi" w:cstheme="minorBidi"/>
                    <w:lang w:val="fr-FR"/>
                  </w:rPr>
                  <w:tab/>
                </w:r>
                <w:r w:rsidR="00F4223D" w:rsidRPr="008D22A6">
                  <w:rPr>
                    <w:rStyle w:val="Lienhypertexte"/>
                    <w:rFonts w:hint="eastAsia"/>
                    <w:rtl/>
                  </w:rPr>
                  <w:t>ابعاد</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_Toc171803395 \h </w:instrText>
                </w:r>
                <w:r w:rsidR="00F4223D">
                  <w:rPr>
                    <w:webHidden/>
                  </w:rPr>
                </w:r>
                <w:r w:rsidR="00F4223D">
                  <w:rPr>
                    <w:webHidden/>
                  </w:rPr>
                  <w:fldChar w:fldCharType="separate"/>
                </w:r>
                <w:r>
                  <w:rPr>
                    <w:webHidden/>
                    <w:rtl/>
                  </w:rPr>
                  <w:t>37</w:t>
                </w:r>
                <w:r w:rsidR="00F4223D">
                  <w:rPr>
                    <w:webHidden/>
                  </w:rPr>
                  <w:fldChar w:fldCharType="end"/>
                </w:r>
              </w:hyperlink>
            </w:p>
            <w:p w:rsidR="00F4223D" w:rsidRDefault="00B62F86" w:rsidP="003A089F">
              <w:pPr>
                <w:pStyle w:val="TM3"/>
              </w:pPr>
              <w:hyperlink w:anchor="_Toc171803397" w:history="1">
                <w:r w:rsidR="00F4223D" w:rsidRPr="008D22A6">
                  <w:rPr>
                    <w:rStyle w:val="Lienhypertexte"/>
                    <w:lang w:val="en-US"/>
                  </w:rPr>
                  <w:t>1.9.2.1.</w:t>
                </w:r>
                <w:r w:rsidR="00F4223D">
                  <w:tab/>
                </w:r>
                <w:r w:rsidR="00F4223D" w:rsidRPr="008D22A6">
                  <w:rPr>
                    <w:rStyle w:val="Lienhypertexte"/>
                    <w:rFonts w:hint="eastAsia"/>
                    <w:rtl/>
                    <w:lang w:val="en-US"/>
                  </w:rPr>
                  <w:t>البعد</w:t>
                </w:r>
                <w:r w:rsidR="00F4223D" w:rsidRPr="008D22A6">
                  <w:rPr>
                    <w:rStyle w:val="Lienhypertexte"/>
                    <w:rtl/>
                    <w:lang w:val="en-US"/>
                  </w:rPr>
                  <w:t xml:space="preserve"> </w:t>
                </w:r>
                <w:r w:rsidR="00F4223D" w:rsidRPr="008D22A6">
                  <w:rPr>
                    <w:rStyle w:val="Lienhypertexte"/>
                    <w:rFonts w:hint="eastAsia"/>
                    <w:rtl/>
                    <w:lang w:val="en-US"/>
                  </w:rPr>
                  <w:t>الاقتصادي</w:t>
                </w:r>
                <w:r w:rsidR="00F4223D">
                  <w:rPr>
                    <w:webHidden/>
                  </w:rPr>
                  <w:tab/>
                </w:r>
                <w:r w:rsidR="00F4223D">
                  <w:rPr>
                    <w:webHidden/>
                  </w:rPr>
                  <w:fldChar w:fldCharType="begin"/>
                </w:r>
                <w:r w:rsidR="00F4223D">
                  <w:rPr>
                    <w:webHidden/>
                  </w:rPr>
                  <w:instrText xml:space="preserve"> PAGEREF _Toc171803397 \h </w:instrText>
                </w:r>
                <w:r w:rsidR="00F4223D">
                  <w:rPr>
                    <w:webHidden/>
                  </w:rPr>
                </w:r>
                <w:r w:rsidR="00F4223D">
                  <w:rPr>
                    <w:webHidden/>
                  </w:rPr>
                  <w:fldChar w:fldCharType="separate"/>
                </w:r>
                <w:r>
                  <w:rPr>
                    <w:webHidden/>
                    <w:rtl/>
                    <w:lang w:bidi="ar-SA"/>
                  </w:rPr>
                  <w:t>37</w:t>
                </w:r>
                <w:r w:rsidR="00F4223D">
                  <w:rPr>
                    <w:webHidden/>
                  </w:rPr>
                  <w:fldChar w:fldCharType="end"/>
                </w:r>
              </w:hyperlink>
            </w:p>
            <w:p w:rsidR="00F4223D" w:rsidRDefault="00B62F86" w:rsidP="003A089F">
              <w:pPr>
                <w:pStyle w:val="TM3"/>
              </w:pPr>
              <w:hyperlink w:anchor="_Toc171803398" w:history="1">
                <w:r w:rsidR="00F4223D" w:rsidRPr="008D22A6">
                  <w:rPr>
                    <w:rStyle w:val="Lienhypertexte"/>
                    <w:rtl/>
                    <w:lang w:val="en-US"/>
                  </w:rPr>
                  <w:t>2.9.2.1.</w:t>
                </w:r>
                <w:r w:rsidR="00F4223D">
                  <w:tab/>
                </w:r>
                <w:r w:rsidR="00F4223D" w:rsidRPr="008D22A6">
                  <w:rPr>
                    <w:rStyle w:val="Lienhypertexte"/>
                    <w:rFonts w:hint="eastAsia"/>
                    <w:rtl/>
                    <w:lang w:val="en-US"/>
                  </w:rPr>
                  <w:t>البعد</w:t>
                </w:r>
                <w:r w:rsidR="00F4223D" w:rsidRPr="008D22A6">
                  <w:rPr>
                    <w:rStyle w:val="Lienhypertexte"/>
                    <w:rtl/>
                    <w:lang w:val="en-US"/>
                  </w:rPr>
                  <w:t xml:space="preserve"> </w:t>
                </w:r>
                <w:r w:rsidR="00F4223D" w:rsidRPr="008D22A6">
                  <w:rPr>
                    <w:rStyle w:val="Lienhypertexte"/>
                    <w:rFonts w:hint="eastAsia"/>
                    <w:rtl/>
                    <w:lang w:val="en-US"/>
                  </w:rPr>
                  <w:t>الاجتماعي</w:t>
                </w:r>
                <w:r w:rsidR="00F4223D">
                  <w:rPr>
                    <w:webHidden/>
                  </w:rPr>
                  <w:tab/>
                </w:r>
                <w:r w:rsidR="00F4223D">
                  <w:rPr>
                    <w:webHidden/>
                  </w:rPr>
                  <w:fldChar w:fldCharType="begin"/>
                </w:r>
                <w:r w:rsidR="00F4223D">
                  <w:rPr>
                    <w:webHidden/>
                  </w:rPr>
                  <w:instrText xml:space="preserve"> PAGEREF _Toc171803398 \h </w:instrText>
                </w:r>
                <w:r w:rsidR="00F4223D">
                  <w:rPr>
                    <w:webHidden/>
                  </w:rPr>
                </w:r>
                <w:r w:rsidR="00F4223D">
                  <w:rPr>
                    <w:webHidden/>
                  </w:rPr>
                  <w:fldChar w:fldCharType="separate"/>
                </w:r>
                <w:r>
                  <w:rPr>
                    <w:webHidden/>
                    <w:rtl/>
                    <w:lang w:bidi="ar-SA"/>
                  </w:rPr>
                  <w:t>38</w:t>
                </w:r>
                <w:r w:rsidR="00F4223D">
                  <w:rPr>
                    <w:webHidden/>
                  </w:rPr>
                  <w:fldChar w:fldCharType="end"/>
                </w:r>
              </w:hyperlink>
            </w:p>
            <w:p w:rsidR="00F4223D" w:rsidRDefault="00B62F86" w:rsidP="003A089F">
              <w:pPr>
                <w:pStyle w:val="TM3"/>
              </w:pPr>
              <w:hyperlink w:anchor="_Toc171803399" w:history="1">
                <w:r w:rsidR="00F4223D" w:rsidRPr="008D22A6">
                  <w:rPr>
                    <w:rStyle w:val="Lienhypertexte"/>
                  </w:rPr>
                  <w:t>3.9.2.1.</w:t>
                </w:r>
                <w:r w:rsidR="00F4223D">
                  <w:tab/>
                </w:r>
                <w:r w:rsidR="00F4223D" w:rsidRPr="008D22A6">
                  <w:rPr>
                    <w:rStyle w:val="Lienhypertexte"/>
                    <w:rFonts w:hint="eastAsia"/>
                    <w:rtl/>
                    <w:lang w:val="en-US"/>
                  </w:rPr>
                  <w:t>البعد</w:t>
                </w:r>
                <w:r w:rsidR="00F4223D" w:rsidRPr="008D22A6">
                  <w:rPr>
                    <w:rStyle w:val="Lienhypertexte"/>
                    <w:rtl/>
                    <w:lang w:val="en-US"/>
                  </w:rPr>
                  <w:t xml:space="preserve"> </w:t>
                </w:r>
                <w:r w:rsidR="00F4223D" w:rsidRPr="008D22A6">
                  <w:rPr>
                    <w:rStyle w:val="Lienhypertexte"/>
                    <w:rFonts w:hint="eastAsia"/>
                    <w:rtl/>
                  </w:rPr>
                  <w:t>البيئي</w:t>
                </w:r>
                <w:r w:rsidR="00F4223D">
                  <w:rPr>
                    <w:webHidden/>
                  </w:rPr>
                  <w:tab/>
                </w:r>
                <w:r w:rsidR="00F4223D">
                  <w:rPr>
                    <w:webHidden/>
                  </w:rPr>
                  <w:fldChar w:fldCharType="begin"/>
                </w:r>
                <w:r w:rsidR="00F4223D">
                  <w:rPr>
                    <w:webHidden/>
                  </w:rPr>
                  <w:instrText xml:space="preserve"> PAGEREF _Toc171803399 \h </w:instrText>
                </w:r>
                <w:r w:rsidR="00F4223D">
                  <w:rPr>
                    <w:webHidden/>
                  </w:rPr>
                </w:r>
                <w:r w:rsidR="00F4223D">
                  <w:rPr>
                    <w:webHidden/>
                  </w:rPr>
                  <w:fldChar w:fldCharType="separate"/>
                </w:r>
                <w:r>
                  <w:rPr>
                    <w:webHidden/>
                    <w:rtl/>
                    <w:lang w:bidi="ar-SA"/>
                  </w:rPr>
                  <w:t>38</w:t>
                </w:r>
                <w:r w:rsidR="00F4223D">
                  <w:rPr>
                    <w:webHidden/>
                  </w:rPr>
                  <w:fldChar w:fldCharType="end"/>
                </w:r>
              </w:hyperlink>
            </w:p>
            <w:p w:rsidR="00F4223D" w:rsidRDefault="00B62F86" w:rsidP="003A089F">
              <w:pPr>
                <w:pStyle w:val="TM3"/>
              </w:pPr>
              <w:hyperlink w:anchor="_Toc171803400" w:history="1">
                <w:r w:rsidR="00F4223D" w:rsidRPr="008D22A6">
                  <w:rPr>
                    <w:rStyle w:val="Lienhypertexte"/>
                  </w:rPr>
                  <w:t>4.9.2.1.</w:t>
                </w:r>
                <w:r w:rsidR="00F4223D">
                  <w:tab/>
                </w:r>
                <w:r w:rsidR="00F4223D" w:rsidRPr="008D22A6">
                  <w:rPr>
                    <w:rStyle w:val="Lienhypertexte"/>
                    <w:rFonts w:hint="eastAsia"/>
                    <w:rtl/>
                    <w:lang w:val="en-US"/>
                  </w:rPr>
                  <w:t>البعد</w:t>
                </w:r>
                <w:r w:rsidR="00F4223D" w:rsidRPr="008D22A6">
                  <w:rPr>
                    <w:rStyle w:val="Lienhypertexte"/>
                    <w:rtl/>
                    <w:lang w:val="en-US"/>
                  </w:rPr>
                  <w:t xml:space="preserve"> </w:t>
                </w:r>
                <w:r w:rsidR="00F4223D" w:rsidRPr="008D22A6">
                  <w:rPr>
                    <w:rStyle w:val="Lienhypertexte"/>
                    <w:rFonts w:hint="eastAsia"/>
                    <w:rtl/>
                  </w:rPr>
                  <w:t>المؤسسي</w:t>
                </w:r>
                <w:r w:rsidR="00F4223D">
                  <w:rPr>
                    <w:webHidden/>
                  </w:rPr>
                  <w:tab/>
                </w:r>
                <w:r w:rsidR="00F4223D">
                  <w:rPr>
                    <w:webHidden/>
                  </w:rPr>
                  <w:fldChar w:fldCharType="begin"/>
                </w:r>
                <w:r w:rsidR="00F4223D">
                  <w:rPr>
                    <w:webHidden/>
                  </w:rPr>
                  <w:instrText xml:space="preserve"> PAGEREF _Toc171803400 \h </w:instrText>
                </w:r>
                <w:r w:rsidR="00F4223D">
                  <w:rPr>
                    <w:webHidden/>
                  </w:rPr>
                </w:r>
                <w:r w:rsidR="00F4223D">
                  <w:rPr>
                    <w:webHidden/>
                  </w:rPr>
                  <w:fldChar w:fldCharType="separate"/>
                </w:r>
                <w:r>
                  <w:rPr>
                    <w:webHidden/>
                    <w:rtl/>
                    <w:lang w:bidi="ar-SA"/>
                  </w:rPr>
                  <w:t>39</w:t>
                </w:r>
                <w:r w:rsidR="00F4223D">
                  <w:rPr>
                    <w:webHidden/>
                  </w:rPr>
                  <w:fldChar w:fldCharType="end"/>
                </w:r>
              </w:hyperlink>
            </w:p>
            <w:p w:rsidR="00F4223D" w:rsidRDefault="00B62F86" w:rsidP="003A089F">
              <w:pPr>
                <w:pStyle w:val="TM3"/>
              </w:pPr>
              <w:hyperlink w:anchor="_Toc171803401" w:history="1">
                <w:r w:rsidR="00F4223D" w:rsidRPr="008D22A6">
                  <w:rPr>
                    <w:rStyle w:val="Lienhypertexte"/>
                  </w:rPr>
                  <w:t>5.9.2.1.</w:t>
                </w:r>
                <w:r w:rsidR="00F4223D">
                  <w:tab/>
                </w:r>
                <w:r w:rsidR="00F4223D" w:rsidRPr="008D22A6">
                  <w:rPr>
                    <w:rStyle w:val="Lienhypertexte"/>
                    <w:rFonts w:hint="eastAsia"/>
                    <w:rtl/>
                    <w:lang w:val="en-US"/>
                  </w:rPr>
                  <w:t>البعد</w:t>
                </w:r>
                <w:r w:rsidR="00F4223D" w:rsidRPr="008D22A6">
                  <w:rPr>
                    <w:rStyle w:val="Lienhypertexte"/>
                    <w:rtl/>
                    <w:lang w:val="en-US"/>
                  </w:rPr>
                  <w:t xml:space="preserve"> </w:t>
                </w:r>
                <w:r w:rsidR="00F4223D" w:rsidRPr="008D22A6">
                  <w:rPr>
                    <w:rStyle w:val="Lienhypertexte"/>
                    <w:rFonts w:hint="eastAsia"/>
                    <w:rtl/>
                  </w:rPr>
                  <w:t>الفيزيائي</w:t>
                </w:r>
                <w:r w:rsidR="00F4223D">
                  <w:rPr>
                    <w:webHidden/>
                  </w:rPr>
                  <w:tab/>
                </w:r>
                <w:r w:rsidR="00F4223D">
                  <w:rPr>
                    <w:webHidden/>
                  </w:rPr>
                  <w:fldChar w:fldCharType="begin"/>
                </w:r>
                <w:r w:rsidR="00F4223D">
                  <w:rPr>
                    <w:webHidden/>
                  </w:rPr>
                  <w:instrText xml:space="preserve"> PAGEREF _Toc171803401 \h </w:instrText>
                </w:r>
                <w:r w:rsidR="00F4223D">
                  <w:rPr>
                    <w:webHidden/>
                  </w:rPr>
                </w:r>
                <w:r w:rsidR="00F4223D">
                  <w:rPr>
                    <w:webHidden/>
                  </w:rPr>
                  <w:fldChar w:fldCharType="separate"/>
                </w:r>
                <w:r>
                  <w:rPr>
                    <w:webHidden/>
                    <w:rtl/>
                    <w:lang w:bidi="ar-SA"/>
                  </w:rPr>
                  <w:t>39</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02" w:history="1">
                <w:r w:rsidR="00F4223D" w:rsidRPr="008D22A6">
                  <w:rPr>
                    <w:rStyle w:val="Lienhypertexte"/>
                  </w:rPr>
                  <w:t>3.1.</w:t>
                </w:r>
                <w:r w:rsidR="00EA3B5B" w:rsidRPr="00EA3B5B">
                  <w:rPr>
                    <w:rFonts w:hint="eastAsia"/>
                    <w:rtl/>
                  </w:rPr>
                  <w:t xml:space="preserve"> </w:t>
                </w:r>
                <w:r w:rsidR="00EA3B5B" w:rsidRPr="00EA3B5B">
                  <w:rPr>
                    <w:rStyle w:val="Lienhypertexte"/>
                    <w:rFonts w:hint="eastAsia"/>
                    <w:rtl/>
                  </w:rPr>
                  <w:t>علاقة</w:t>
                </w:r>
                <w:r w:rsidR="00EA3B5B" w:rsidRPr="00EA3B5B">
                  <w:rPr>
                    <w:rStyle w:val="Lienhypertexte"/>
                    <w:rtl/>
                  </w:rPr>
                  <w:t xml:space="preserve"> </w:t>
                </w:r>
                <w:r w:rsidR="00EA3B5B" w:rsidRPr="00EA3B5B">
                  <w:rPr>
                    <w:rStyle w:val="Lienhypertexte"/>
                    <w:rFonts w:hint="eastAsia"/>
                    <w:rtl/>
                  </w:rPr>
                  <w:t>التمدد</w:t>
                </w:r>
                <w:r w:rsidR="00EA3B5B" w:rsidRPr="00EA3B5B">
                  <w:rPr>
                    <w:rStyle w:val="Lienhypertexte"/>
                    <w:rtl/>
                  </w:rPr>
                  <w:t xml:space="preserve"> </w:t>
                </w:r>
                <w:r w:rsidR="00EA3B5B" w:rsidRPr="00EA3B5B">
                  <w:rPr>
                    <w:rStyle w:val="Lienhypertexte"/>
                    <w:rFonts w:hint="eastAsia"/>
                    <w:rtl/>
                  </w:rPr>
                  <w:t>الحضري</w:t>
                </w:r>
                <w:r w:rsidR="00EA3B5B" w:rsidRPr="00EA3B5B">
                  <w:rPr>
                    <w:rStyle w:val="Lienhypertexte"/>
                    <w:rtl/>
                  </w:rPr>
                  <w:t xml:space="preserve"> </w:t>
                </w:r>
                <w:r w:rsidR="00EA3B5B" w:rsidRPr="00EA3B5B">
                  <w:rPr>
                    <w:rStyle w:val="Lienhypertexte"/>
                    <w:rFonts w:hint="eastAsia"/>
                    <w:rtl/>
                  </w:rPr>
                  <w:t>بالمرونة</w:t>
                </w:r>
                <w:r w:rsidR="00EA3B5B" w:rsidRPr="00EA3B5B">
                  <w:rPr>
                    <w:rStyle w:val="Lienhypertexte"/>
                    <w:rtl/>
                  </w:rPr>
                  <w:t xml:space="preserve"> </w:t>
                </w:r>
                <w:r w:rsidR="00EA3B5B" w:rsidRPr="00EA3B5B">
                  <w:rPr>
                    <w:rStyle w:val="Lienhypertexte"/>
                    <w:rFonts w:hint="eastAsia"/>
                    <w:rtl/>
                  </w:rPr>
                  <w:t>الحضرية</w:t>
                </w:r>
                <w:r w:rsidR="00EA3B5B">
                  <w:rPr>
                    <w:rStyle w:val="Lienhypertexte"/>
                  </w:rPr>
                  <w:t>……………………………………………………………………</w:t>
                </w:r>
                <w:r w:rsidR="00F02D79">
                  <w:rPr>
                    <w:rFonts w:asciiTheme="minorHAnsi" w:hAnsiTheme="minorHAnsi" w:cstheme="minorBidi" w:hint="cs"/>
                    <w:color w:val="auto"/>
                    <w:rtl/>
                    <w:lang w:val="fr-FR" w:bidi="ar-SA"/>
                  </w:rPr>
                  <w:t>..</w:t>
                </w:r>
                <w:r w:rsidR="00F4223D">
                  <w:rPr>
                    <w:webHidden/>
                  </w:rPr>
                  <w:tab/>
                </w:r>
                <w:r w:rsidR="00F4223D">
                  <w:rPr>
                    <w:webHidden/>
                  </w:rPr>
                  <w:fldChar w:fldCharType="begin"/>
                </w:r>
                <w:r w:rsidR="00F4223D">
                  <w:rPr>
                    <w:webHidden/>
                  </w:rPr>
                  <w:instrText xml:space="preserve"> PAGEREF _Toc171803402 \h </w:instrText>
                </w:r>
                <w:r w:rsidR="00F4223D">
                  <w:rPr>
                    <w:webHidden/>
                  </w:rPr>
                </w:r>
                <w:r w:rsidR="00F4223D">
                  <w:rPr>
                    <w:webHidden/>
                  </w:rPr>
                  <w:fldChar w:fldCharType="separate"/>
                </w:r>
                <w:r>
                  <w:rPr>
                    <w:webHidden/>
                    <w:rtl/>
                    <w:lang w:bidi="ar-SA"/>
                  </w:rPr>
                  <w:t>40</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03" w:history="1">
                <w:r w:rsidR="00F4223D" w:rsidRPr="008D22A6">
                  <w:rPr>
                    <w:rStyle w:val="Lienhypertexte"/>
                    <w:lang w:bidi="ar-DZ"/>
                  </w:rPr>
                  <w:t>1.3.1.</w:t>
                </w:r>
                <w:r w:rsidR="00F4223D">
                  <w:rPr>
                    <w:rFonts w:asciiTheme="minorHAnsi" w:hAnsiTheme="minorHAnsi" w:cstheme="minorBidi"/>
                    <w:lang w:val="fr-FR"/>
                  </w:rPr>
                  <w:tab/>
                </w:r>
                <w:r w:rsidR="00F4223D" w:rsidRPr="008D22A6">
                  <w:rPr>
                    <w:rStyle w:val="Lienhypertexte"/>
                    <w:rFonts w:hint="eastAsia"/>
                    <w:rtl/>
                    <w:lang w:bidi="ar-DZ"/>
                  </w:rPr>
                  <w:t>نحو</w:t>
                </w:r>
                <w:r w:rsidR="00F4223D" w:rsidRPr="008D22A6">
                  <w:rPr>
                    <w:rStyle w:val="Lienhypertexte"/>
                    <w:rtl/>
                    <w:lang w:bidi="ar-DZ"/>
                  </w:rPr>
                  <w:t xml:space="preserve"> </w:t>
                </w:r>
                <w:r w:rsidR="00F4223D" w:rsidRPr="008D22A6">
                  <w:rPr>
                    <w:rStyle w:val="Lienhypertexte"/>
                    <w:rFonts w:hint="eastAsia"/>
                    <w:rtl/>
                    <w:lang w:bidi="ar-DZ"/>
                  </w:rPr>
                  <w:t>فهم</w:t>
                </w:r>
                <w:r w:rsidR="00F4223D" w:rsidRPr="008D22A6">
                  <w:rPr>
                    <w:rStyle w:val="Lienhypertexte"/>
                    <w:rtl/>
                    <w:lang w:bidi="ar-DZ"/>
                  </w:rPr>
                  <w:t xml:space="preserve"> </w:t>
                </w:r>
                <w:r w:rsidR="00F4223D" w:rsidRPr="008D22A6">
                  <w:rPr>
                    <w:rStyle w:val="Lienhypertexte"/>
                    <w:rFonts w:hint="eastAsia"/>
                    <w:rtl/>
                    <w:lang w:bidi="ar-DZ"/>
                  </w:rPr>
                  <w:t>مكاني</w:t>
                </w:r>
                <w:r w:rsidR="00F4223D" w:rsidRPr="008D22A6">
                  <w:rPr>
                    <w:rStyle w:val="Lienhypertexte"/>
                    <w:rtl/>
                    <w:lang w:bidi="ar-DZ"/>
                  </w:rPr>
                  <w:t xml:space="preserve"> </w:t>
                </w:r>
                <w:r w:rsidR="00F4223D" w:rsidRPr="008D22A6">
                  <w:rPr>
                    <w:rStyle w:val="Lienhypertexte"/>
                    <w:rFonts w:hint="eastAsia"/>
                    <w:rtl/>
                    <w:lang w:bidi="ar-DZ"/>
                  </w:rPr>
                  <w:t>للمرونة</w:t>
                </w:r>
                <w:r w:rsidR="00F4223D" w:rsidRPr="008D22A6">
                  <w:rPr>
                    <w:rStyle w:val="Lienhypertexte"/>
                    <w:rtl/>
                    <w:lang w:bidi="ar-DZ"/>
                  </w:rPr>
                  <w:t xml:space="preserve"> </w:t>
                </w:r>
                <w:r w:rsidR="00F4223D" w:rsidRPr="008D22A6">
                  <w:rPr>
                    <w:rStyle w:val="Lienhypertexte"/>
                    <w:rFonts w:hint="eastAsia"/>
                    <w:rtl/>
                    <w:lang w:bidi="ar-DZ"/>
                  </w:rPr>
                  <w:t>الحضرية</w:t>
                </w:r>
                <w:r w:rsidR="00F4223D">
                  <w:rPr>
                    <w:webHidden/>
                  </w:rPr>
                  <w:tab/>
                </w:r>
                <w:r w:rsidR="00F4223D">
                  <w:rPr>
                    <w:webHidden/>
                  </w:rPr>
                  <w:fldChar w:fldCharType="begin"/>
                </w:r>
                <w:r w:rsidR="00F4223D">
                  <w:rPr>
                    <w:webHidden/>
                  </w:rPr>
                  <w:instrText xml:space="preserve"> PAGEREF _Toc171803403 \h </w:instrText>
                </w:r>
                <w:r w:rsidR="00F4223D">
                  <w:rPr>
                    <w:webHidden/>
                  </w:rPr>
                </w:r>
                <w:r w:rsidR="00F4223D">
                  <w:rPr>
                    <w:webHidden/>
                  </w:rPr>
                  <w:fldChar w:fldCharType="separate"/>
                </w:r>
                <w:r>
                  <w:rPr>
                    <w:webHidden/>
                    <w:rtl/>
                  </w:rPr>
                  <w:t>41</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04" w:history="1">
                <w:r w:rsidR="00F4223D" w:rsidRPr="008D22A6">
                  <w:rPr>
                    <w:rStyle w:val="Lienhypertexte"/>
                    <w:lang w:bidi="ar-DZ"/>
                  </w:rPr>
                  <w:t>2.3.1.</w:t>
                </w:r>
                <w:r w:rsidR="00F4223D">
                  <w:rPr>
                    <w:rFonts w:asciiTheme="minorHAnsi" w:hAnsiTheme="minorHAnsi" w:cstheme="minorBidi"/>
                    <w:lang w:val="fr-FR"/>
                  </w:rPr>
                  <w:tab/>
                </w:r>
                <w:r w:rsidR="00F4223D" w:rsidRPr="008D22A6">
                  <w:rPr>
                    <w:rStyle w:val="Lienhypertexte"/>
                    <w:rFonts w:hint="eastAsia"/>
                    <w:rtl/>
                    <w:lang w:bidi="ar-DZ"/>
                  </w:rPr>
                  <w:t>المرونة</w:t>
                </w:r>
                <w:r w:rsidR="00F4223D" w:rsidRPr="008D22A6">
                  <w:rPr>
                    <w:rStyle w:val="Lienhypertexte"/>
                    <w:rtl/>
                    <w:lang w:bidi="ar-DZ"/>
                  </w:rPr>
                  <w:t xml:space="preserve"> </w:t>
                </w:r>
                <w:r w:rsidR="00F4223D" w:rsidRPr="008D22A6">
                  <w:rPr>
                    <w:rStyle w:val="Lienhypertexte"/>
                    <w:rFonts w:hint="eastAsia"/>
                    <w:rtl/>
                    <w:lang w:bidi="ar-DZ"/>
                  </w:rPr>
                  <w:t>المكانية</w:t>
                </w:r>
                <w:r w:rsidR="00F4223D" w:rsidRPr="008D22A6">
                  <w:rPr>
                    <w:rStyle w:val="Lienhypertexte"/>
                    <w:rtl/>
                    <w:lang w:bidi="ar-DZ"/>
                  </w:rPr>
                  <w:t xml:space="preserve"> </w:t>
                </w:r>
                <w:r w:rsidR="00F4223D" w:rsidRPr="008D22A6">
                  <w:rPr>
                    <w:rStyle w:val="Lienhypertexte"/>
                    <w:rFonts w:hint="eastAsia"/>
                    <w:rtl/>
                    <w:lang w:bidi="ar-DZ"/>
                  </w:rPr>
                  <w:t>داخل</w:t>
                </w:r>
                <w:r w:rsidR="00F4223D" w:rsidRPr="008D22A6">
                  <w:rPr>
                    <w:rStyle w:val="Lienhypertexte"/>
                    <w:rtl/>
                    <w:lang w:bidi="ar-DZ"/>
                  </w:rPr>
                  <w:t xml:space="preserve"> </w:t>
                </w:r>
                <w:r w:rsidR="00F4223D" w:rsidRPr="008D22A6">
                  <w:rPr>
                    <w:rStyle w:val="Lienhypertexte"/>
                    <w:rFonts w:hint="eastAsia"/>
                    <w:rtl/>
                    <w:lang w:bidi="ar-DZ"/>
                  </w:rPr>
                  <w:t>البيئة</w:t>
                </w:r>
                <w:r w:rsidR="00F4223D" w:rsidRPr="008D22A6">
                  <w:rPr>
                    <w:rStyle w:val="Lienhypertexte"/>
                    <w:rtl/>
                    <w:lang w:bidi="ar-DZ"/>
                  </w:rPr>
                  <w:t xml:space="preserve"> </w:t>
                </w:r>
                <w:r w:rsidR="00F4223D" w:rsidRPr="008D22A6">
                  <w:rPr>
                    <w:rStyle w:val="Lienhypertexte"/>
                    <w:rFonts w:hint="eastAsia"/>
                    <w:rtl/>
                    <w:lang w:bidi="ar-DZ"/>
                  </w:rPr>
                  <w:t>الحضرية</w:t>
                </w:r>
                <w:r w:rsidR="00F4223D">
                  <w:rPr>
                    <w:webHidden/>
                  </w:rPr>
                  <w:tab/>
                </w:r>
                <w:r w:rsidR="00F4223D">
                  <w:rPr>
                    <w:webHidden/>
                  </w:rPr>
                  <w:fldChar w:fldCharType="begin"/>
                </w:r>
                <w:r w:rsidR="00F4223D">
                  <w:rPr>
                    <w:webHidden/>
                  </w:rPr>
                  <w:instrText xml:space="preserve"> PAGEREF _Toc171803404 \h </w:instrText>
                </w:r>
                <w:r w:rsidR="00F4223D">
                  <w:rPr>
                    <w:webHidden/>
                  </w:rPr>
                </w:r>
                <w:r w:rsidR="00F4223D">
                  <w:rPr>
                    <w:webHidden/>
                  </w:rPr>
                  <w:fldChar w:fldCharType="separate"/>
                </w:r>
                <w:r>
                  <w:rPr>
                    <w:webHidden/>
                    <w:rtl/>
                  </w:rPr>
                  <w:t>41</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06" w:history="1">
                <w:r w:rsidR="00F4223D" w:rsidRPr="008D22A6">
                  <w:rPr>
                    <w:rStyle w:val="Lienhypertexte"/>
                    <w:lang w:bidi="ar-DZ"/>
                  </w:rPr>
                  <w:t>3.3.1.</w:t>
                </w:r>
                <w:r w:rsidR="00F4223D">
                  <w:rPr>
                    <w:rFonts w:asciiTheme="minorHAnsi" w:hAnsiTheme="minorHAnsi" w:cstheme="minorBidi"/>
                    <w:lang w:val="fr-FR"/>
                  </w:rPr>
                  <w:tab/>
                </w:r>
                <w:r w:rsidR="00F4223D" w:rsidRPr="008D22A6">
                  <w:rPr>
                    <w:rStyle w:val="Lienhypertexte"/>
                    <w:rFonts w:hint="eastAsia"/>
                    <w:rtl/>
                    <w:lang w:bidi="ar-DZ"/>
                  </w:rPr>
                  <w:t>دور</w:t>
                </w:r>
                <w:r w:rsidR="00F4223D" w:rsidRPr="008D22A6">
                  <w:rPr>
                    <w:rStyle w:val="Lienhypertexte"/>
                    <w:rtl/>
                    <w:lang w:bidi="ar-DZ"/>
                  </w:rPr>
                  <w:t xml:space="preserve"> </w:t>
                </w:r>
                <w:r w:rsidR="00F4223D" w:rsidRPr="008D22A6">
                  <w:rPr>
                    <w:rStyle w:val="Lienhypertexte"/>
                    <w:rFonts w:hint="eastAsia"/>
                    <w:rtl/>
                    <w:lang w:bidi="ar-DZ"/>
                  </w:rPr>
                  <w:t>التوزيع</w:t>
                </w:r>
                <w:r w:rsidR="00F4223D" w:rsidRPr="008D22A6">
                  <w:rPr>
                    <w:rStyle w:val="Lienhypertexte"/>
                    <w:rtl/>
                    <w:lang w:bidi="ar-DZ"/>
                  </w:rPr>
                  <w:t xml:space="preserve"> </w:t>
                </w:r>
                <w:r w:rsidR="00F4223D" w:rsidRPr="008D22A6">
                  <w:rPr>
                    <w:rStyle w:val="Lienhypertexte"/>
                    <w:rFonts w:hint="eastAsia"/>
                    <w:rtl/>
                    <w:lang w:bidi="ar-DZ"/>
                  </w:rPr>
                  <w:t>المكاني</w:t>
                </w:r>
                <w:r w:rsidR="00F4223D" w:rsidRPr="008D22A6">
                  <w:rPr>
                    <w:rStyle w:val="Lienhypertexte"/>
                    <w:rtl/>
                    <w:lang w:bidi="ar-DZ"/>
                  </w:rPr>
                  <w:t xml:space="preserve"> </w:t>
                </w:r>
                <w:r w:rsidR="00F4223D" w:rsidRPr="008D22A6">
                  <w:rPr>
                    <w:rStyle w:val="Lienhypertexte"/>
                    <w:rFonts w:hint="eastAsia"/>
                    <w:rtl/>
                    <w:lang w:bidi="ar-DZ"/>
                  </w:rPr>
                  <w:t>في</w:t>
                </w:r>
                <w:r w:rsidR="00F4223D" w:rsidRPr="008D22A6">
                  <w:rPr>
                    <w:rStyle w:val="Lienhypertexte"/>
                    <w:rtl/>
                    <w:lang w:bidi="ar-DZ"/>
                  </w:rPr>
                  <w:t xml:space="preserve"> </w:t>
                </w:r>
                <w:r w:rsidR="00F4223D" w:rsidRPr="008D22A6">
                  <w:rPr>
                    <w:rStyle w:val="Lienhypertexte"/>
                    <w:rFonts w:hint="eastAsia"/>
                    <w:rtl/>
                    <w:lang w:bidi="ar-DZ"/>
                  </w:rPr>
                  <w:t>خلق</w:t>
                </w:r>
                <w:r w:rsidR="00F4223D" w:rsidRPr="008D22A6">
                  <w:rPr>
                    <w:rStyle w:val="Lienhypertexte"/>
                    <w:rtl/>
                    <w:lang w:bidi="ar-DZ"/>
                  </w:rPr>
                  <w:t xml:space="preserve"> </w:t>
                </w:r>
                <w:r w:rsidR="00F4223D" w:rsidRPr="008D22A6">
                  <w:rPr>
                    <w:rStyle w:val="Lienhypertexte"/>
                    <w:rFonts w:hint="eastAsia"/>
                    <w:rtl/>
                    <w:lang w:bidi="ar-DZ"/>
                  </w:rPr>
                  <w:t>المرونة</w:t>
                </w:r>
                <w:r w:rsidR="00F4223D" w:rsidRPr="008D22A6">
                  <w:rPr>
                    <w:rStyle w:val="Lienhypertexte"/>
                    <w:rtl/>
                    <w:lang w:bidi="ar-DZ"/>
                  </w:rPr>
                  <w:t xml:space="preserve"> </w:t>
                </w:r>
                <w:r w:rsidR="00F4223D" w:rsidRPr="008D22A6">
                  <w:rPr>
                    <w:rStyle w:val="Lienhypertexte"/>
                    <w:rFonts w:hint="eastAsia"/>
                    <w:rtl/>
                    <w:lang w:bidi="ar-DZ"/>
                  </w:rPr>
                  <w:t>الحضرية</w:t>
                </w:r>
                <w:r w:rsidR="00F4223D">
                  <w:rPr>
                    <w:webHidden/>
                  </w:rPr>
                  <w:tab/>
                </w:r>
                <w:r w:rsidR="00F4223D">
                  <w:rPr>
                    <w:webHidden/>
                  </w:rPr>
                  <w:fldChar w:fldCharType="begin"/>
                </w:r>
                <w:r w:rsidR="00F4223D">
                  <w:rPr>
                    <w:webHidden/>
                  </w:rPr>
                  <w:instrText xml:space="preserve"> PAGEREF _Toc171803406 \h </w:instrText>
                </w:r>
                <w:r w:rsidR="00F4223D">
                  <w:rPr>
                    <w:webHidden/>
                  </w:rPr>
                </w:r>
                <w:r w:rsidR="00F4223D">
                  <w:rPr>
                    <w:webHidden/>
                  </w:rPr>
                  <w:fldChar w:fldCharType="separate"/>
                </w:r>
                <w:r>
                  <w:rPr>
                    <w:webHidden/>
                    <w:rtl/>
                  </w:rPr>
                  <w:t>43</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07" w:history="1">
                <w:r w:rsidR="00F4223D" w:rsidRPr="008D22A6">
                  <w:rPr>
                    <w:rStyle w:val="Lienhypertexte"/>
                    <w:lang w:bidi="ar-DZ"/>
                  </w:rPr>
                  <w:t>4.3.1.</w:t>
                </w:r>
                <w:r w:rsidR="00F4223D">
                  <w:rPr>
                    <w:rFonts w:asciiTheme="minorHAnsi" w:hAnsiTheme="minorHAnsi" w:cstheme="minorBidi"/>
                    <w:lang w:val="fr-FR"/>
                  </w:rPr>
                  <w:tab/>
                </w:r>
                <w:r w:rsidR="00F4223D" w:rsidRPr="008D22A6">
                  <w:rPr>
                    <w:rStyle w:val="Lienhypertexte"/>
                    <w:rFonts w:hint="eastAsia"/>
                    <w:rtl/>
                    <w:lang w:bidi="ar-DZ"/>
                  </w:rPr>
                  <w:t>الأبعاد</w:t>
                </w:r>
                <w:r w:rsidR="00F4223D" w:rsidRPr="008D22A6">
                  <w:rPr>
                    <w:rStyle w:val="Lienhypertexte"/>
                    <w:rtl/>
                    <w:lang w:bidi="ar-DZ"/>
                  </w:rPr>
                  <w:t xml:space="preserve"> </w:t>
                </w:r>
                <w:r w:rsidR="00F4223D" w:rsidRPr="008D22A6">
                  <w:rPr>
                    <w:rStyle w:val="Lienhypertexte"/>
                    <w:rFonts w:hint="eastAsia"/>
                    <w:rtl/>
                    <w:lang w:bidi="ar-DZ"/>
                  </w:rPr>
                  <w:t>المكانية</w:t>
                </w:r>
                <w:r w:rsidR="00F4223D" w:rsidRPr="008D22A6">
                  <w:rPr>
                    <w:rStyle w:val="Lienhypertexte"/>
                    <w:rtl/>
                    <w:lang w:bidi="ar-DZ"/>
                  </w:rPr>
                  <w:t xml:space="preserve"> </w:t>
                </w:r>
                <w:r w:rsidR="00F4223D" w:rsidRPr="008D22A6">
                  <w:rPr>
                    <w:rStyle w:val="Lienhypertexte"/>
                    <w:rFonts w:hint="eastAsia"/>
                    <w:rtl/>
                    <w:lang w:bidi="ar-DZ"/>
                  </w:rPr>
                  <w:t>والزمنية</w:t>
                </w:r>
                <w:r w:rsidR="00F4223D" w:rsidRPr="008D22A6">
                  <w:rPr>
                    <w:rStyle w:val="Lienhypertexte"/>
                    <w:rtl/>
                    <w:lang w:bidi="ar-DZ"/>
                  </w:rPr>
                  <w:t xml:space="preserve"> </w:t>
                </w:r>
                <w:r w:rsidR="00F4223D" w:rsidRPr="008D22A6">
                  <w:rPr>
                    <w:rStyle w:val="Lienhypertexte"/>
                    <w:rFonts w:hint="eastAsia"/>
                    <w:rtl/>
                    <w:lang w:bidi="ar-DZ"/>
                  </w:rPr>
                  <w:t>للمرونة</w:t>
                </w:r>
                <w:r w:rsidR="00F4223D">
                  <w:rPr>
                    <w:webHidden/>
                  </w:rPr>
                  <w:tab/>
                </w:r>
                <w:r w:rsidR="00F4223D">
                  <w:rPr>
                    <w:webHidden/>
                  </w:rPr>
                  <w:fldChar w:fldCharType="begin"/>
                </w:r>
                <w:r w:rsidR="00F4223D">
                  <w:rPr>
                    <w:webHidden/>
                  </w:rPr>
                  <w:instrText xml:space="preserve"> PAGEREF _Toc171803407 \h </w:instrText>
                </w:r>
                <w:r w:rsidR="00F4223D">
                  <w:rPr>
                    <w:webHidden/>
                  </w:rPr>
                </w:r>
                <w:r w:rsidR="00F4223D">
                  <w:rPr>
                    <w:webHidden/>
                  </w:rPr>
                  <w:fldChar w:fldCharType="separate"/>
                </w:r>
                <w:r>
                  <w:rPr>
                    <w:webHidden/>
                    <w:rtl/>
                  </w:rPr>
                  <w:t>43</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10" w:history="1">
                <w:r w:rsidR="00F4223D" w:rsidRPr="008D22A6">
                  <w:rPr>
                    <w:rStyle w:val="Lienhypertexte"/>
                    <w:rtl/>
                  </w:rPr>
                  <w:t>4.1.</w:t>
                </w:r>
                <w:r w:rsidR="00EA3B5B" w:rsidRPr="00EA3B5B">
                  <w:rPr>
                    <w:rFonts w:hint="eastAsia"/>
                    <w:rtl/>
                  </w:rPr>
                  <w:t xml:space="preserve"> </w:t>
                </w:r>
                <w:r w:rsidR="00EA3B5B" w:rsidRPr="00EA3B5B">
                  <w:rPr>
                    <w:rStyle w:val="Lienhypertexte"/>
                    <w:rFonts w:hint="eastAsia"/>
                    <w:rtl/>
                  </w:rPr>
                  <w:t>العلاقة</w:t>
                </w:r>
                <w:r w:rsidR="00EA3B5B" w:rsidRPr="00EA3B5B">
                  <w:rPr>
                    <w:rStyle w:val="Lienhypertexte"/>
                    <w:rtl/>
                  </w:rPr>
                  <w:t xml:space="preserve"> </w:t>
                </w:r>
                <w:r w:rsidR="00EA3B5B" w:rsidRPr="00EA3B5B">
                  <w:rPr>
                    <w:rStyle w:val="Lienhypertexte"/>
                    <w:rFonts w:hint="eastAsia"/>
                    <w:rtl/>
                  </w:rPr>
                  <w:t>بين</w:t>
                </w:r>
                <w:r w:rsidR="00EA3B5B" w:rsidRPr="00EA3B5B">
                  <w:rPr>
                    <w:rStyle w:val="Lienhypertexte"/>
                    <w:rtl/>
                  </w:rPr>
                  <w:t xml:space="preserve"> </w:t>
                </w:r>
                <w:r w:rsidR="00EA3B5B" w:rsidRPr="00EA3B5B">
                  <w:rPr>
                    <w:rStyle w:val="Lienhypertexte"/>
                    <w:rFonts w:hint="eastAsia"/>
                    <w:rtl/>
                  </w:rPr>
                  <w:t>استعمال</w:t>
                </w:r>
                <w:r w:rsidR="00EA3B5B" w:rsidRPr="00EA3B5B">
                  <w:rPr>
                    <w:rStyle w:val="Lienhypertexte"/>
                    <w:rtl/>
                  </w:rPr>
                  <w:t xml:space="preserve"> </w:t>
                </w:r>
                <w:r w:rsidR="00EA3B5B" w:rsidRPr="00EA3B5B">
                  <w:rPr>
                    <w:rStyle w:val="Lienhypertexte"/>
                    <w:rFonts w:hint="eastAsia"/>
                    <w:rtl/>
                  </w:rPr>
                  <w:t>الارض</w:t>
                </w:r>
                <w:r w:rsidR="00EA3B5B" w:rsidRPr="00EA3B5B">
                  <w:rPr>
                    <w:rStyle w:val="Lienhypertexte"/>
                    <w:rtl/>
                  </w:rPr>
                  <w:t xml:space="preserve"> </w:t>
                </w:r>
                <w:r w:rsidR="00EA3B5B" w:rsidRPr="00EA3B5B">
                  <w:rPr>
                    <w:rStyle w:val="Lienhypertexte"/>
                    <w:rFonts w:hint="eastAsia"/>
                    <w:rtl/>
                  </w:rPr>
                  <w:t>الحضرية</w:t>
                </w:r>
                <w:r w:rsidR="00EA3B5B" w:rsidRPr="00EA3B5B">
                  <w:rPr>
                    <w:rStyle w:val="Lienhypertexte"/>
                    <w:rtl/>
                  </w:rPr>
                  <w:t xml:space="preserve"> </w:t>
                </w:r>
                <w:r w:rsidR="00EA3B5B" w:rsidRPr="00EA3B5B">
                  <w:rPr>
                    <w:rStyle w:val="Lienhypertexte"/>
                    <w:rFonts w:hint="eastAsia"/>
                    <w:rtl/>
                  </w:rPr>
                  <w:t>و</w:t>
                </w:r>
                <w:r w:rsidR="00EA3B5B" w:rsidRPr="00EA3B5B">
                  <w:rPr>
                    <w:rStyle w:val="Lienhypertexte"/>
                    <w:rtl/>
                  </w:rPr>
                  <w:t xml:space="preserve"> </w:t>
                </w:r>
                <w:r w:rsidR="00EA3B5B" w:rsidRPr="00EA3B5B">
                  <w:rPr>
                    <w:rStyle w:val="Lienhypertexte"/>
                    <w:rFonts w:hint="eastAsia"/>
                    <w:rtl/>
                  </w:rPr>
                  <w:t>المرونة</w:t>
                </w:r>
                <w:r w:rsidR="00EA3B5B" w:rsidRPr="00EA3B5B">
                  <w:rPr>
                    <w:rStyle w:val="Lienhypertexte"/>
                    <w:rtl/>
                  </w:rPr>
                  <w:t xml:space="preserve"> </w:t>
                </w:r>
                <w:r w:rsidR="00EA3B5B" w:rsidRPr="00EA3B5B">
                  <w:rPr>
                    <w:rStyle w:val="Lienhypertexte"/>
                    <w:rFonts w:hint="eastAsia"/>
                    <w:rtl/>
                  </w:rPr>
                  <w:t>الحضرية</w:t>
                </w:r>
                <w:r w:rsidR="00EA3B5B">
                  <w:rPr>
                    <w:rStyle w:val="Lienhypertexte"/>
                  </w:rPr>
                  <w:t>…………</w:t>
                </w:r>
                <w:r w:rsidR="00F02D79">
                  <w:rPr>
                    <w:rStyle w:val="Lienhypertexte"/>
                    <w:rFonts w:hint="cs"/>
                    <w:rtl/>
                  </w:rPr>
                  <w:t>.</w:t>
                </w:r>
                <w:r w:rsidR="00EA3B5B">
                  <w:rPr>
                    <w:rStyle w:val="Lienhypertexte"/>
                  </w:rPr>
                  <w:t>……………………………………….</w:t>
                </w:r>
                <w:r w:rsidR="00F02D79">
                  <w:rPr>
                    <w:rFonts w:asciiTheme="minorHAnsi" w:hAnsiTheme="minorHAnsi" w:cstheme="minorBidi" w:hint="cs"/>
                    <w:color w:val="auto"/>
                    <w:rtl/>
                    <w:lang w:val="fr-FR" w:bidi="ar-SA"/>
                  </w:rPr>
                  <w:t>...</w:t>
                </w:r>
                <w:r w:rsidR="00F4223D">
                  <w:rPr>
                    <w:webHidden/>
                  </w:rPr>
                  <w:tab/>
                </w:r>
                <w:r w:rsidR="00F4223D">
                  <w:rPr>
                    <w:webHidden/>
                  </w:rPr>
                  <w:fldChar w:fldCharType="begin"/>
                </w:r>
                <w:r w:rsidR="00F4223D">
                  <w:rPr>
                    <w:webHidden/>
                  </w:rPr>
                  <w:instrText xml:space="preserve"> PAGEREF _Toc171803410 \h </w:instrText>
                </w:r>
                <w:r w:rsidR="00F4223D">
                  <w:rPr>
                    <w:webHidden/>
                  </w:rPr>
                </w:r>
                <w:r w:rsidR="00F4223D">
                  <w:rPr>
                    <w:webHidden/>
                  </w:rPr>
                  <w:fldChar w:fldCharType="separate"/>
                </w:r>
                <w:r>
                  <w:rPr>
                    <w:webHidden/>
                    <w:rtl/>
                    <w:lang w:bidi="ar-SA"/>
                  </w:rPr>
                  <w:t>45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13" w:history="1">
                <w:r w:rsidR="00F4223D" w:rsidRPr="008D22A6">
                  <w:rPr>
                    <w:rStyle w:val="Lienhypertexte"/>
                    <w:rtl/>
                  </w:rPr>
                  <w:t>5.1.</w:t>
                </w:r>
                <w:r w:rsidR="00F02D79" w:rsidRPr="00F02D79">
                  <w:rPr>
                    <w:rFonts w:hint="eastAsia"/>
                    <w:rtl/>
                  </w:rPr>
                  <w:t xml:space="preserve"> </w:t>
                </w:r>
                <w:r w:rsidR="00F02D79" w:rsidRPr="00F02D79">
                  <w:rPr>
                    <w:rStyle w:val="Lienhypertexte"/>
                    <w:rFonts w:hint="eastAsia"/>
                    <w:rtl/>
                  </w:rPr>
                  <w:t>المدينة</w:t>
                </w:r>
                <w:r w:rsidR="00F02D79" w:rsidRPr="00F02D79">
                  <w:rPr>
                    <w:rStyle w:val="Lienhypertexte"/>
                    <w:rtl/>
                  </w:rPr>
                  <w:t xml:space="preserve"> </w:t>
                </w:r>
                <w:r w:rsidR="00F02D79" w:rsidRPr="00F02D79">
                  <w:rPr>
                    <w:rStyle w:val="Lienhypertexte"/>
                    <w:rFonts w:hint="eastAsia"/>
                    <w:rtl/>
                  </w:rPr>
                  <w:t>كنظام</w:t>
                </w:r>
                <w:r w:rsidR="00F02D79" w:rsidRPr="00F02D79">
                  <w:rPr>
                    <w:rStyle w:val="Lienhypertexte"/>
                    <w:rtl/>
                  </w:rPr>
                  <w:t xml:space="preserve"> </w:t>
                </w:r>
                <w:r w:rsidR="00F02D79" w:rsidRPr="00F02D79">
                  <w:rPr>
                    <w:rStyle w:val="Lienhypertexte"/>
                    <w:rFonts w:hint="eastAsia"/>
                    <w:rtl/>
                  </w:rPr>
                  <w:t>حضري</w:t>
                </w:r>
                <w:r w:rsidR="00F02D79" w:rsidRPr="00F02D79">
                  <w:rPr>
                    <w:rStyle w:val="Lienhypertexte"/>
                    <w:rtl/>
                  </w:rPr>
                  <w:t xml:space="preserve"> </w:t>
                </w:r>
                <w:r w:rsidR="00F02D79" w:rsidRPr="00F02D79">
                  <w:rPr>
                    <w:rStyle w:val="Lienhypertexte"/>
                    <w:rFonts w:hint="eastAsia"/>
                    <w:rtl/>
                  </w:rPr>
                  <w:t>معقد</w:t>
                </w:r>
                <w:r w:rsidR="00F02D79">
                  <w:rPr>
                    <w:rStyle w:val="Lienhypertexte"/>
                    <w:rFonts w:hint="cs"/>
                    <w:rtl/>
                  </w:rPr>
                  <w:t>.......................................................................................</w:t>
                </w:r>
                <w:r w:rsidR="00F02D79">
                  <w:rPr>
                    <w:rFonts w:asciiTheme="minorHAnsi" w:hAnsiTheme="minorHAnsi" w:cstheme="minorBidi" w:hint="cs"/>
                    <w:color w:val="auto"/>
                    <w:rtl/>
                    <w:lang w:val="fr-FR" w:bidi="ar-SA"/>
                  </w:rPr>
                  <w:t>..</w:t>
                </w:r>
                <w:r w:rsidR="00F4223D">
                  <w:rPr>
                    <w:webHidden/>
                  </w:rPr>
                  <w:tab/>
                </w:r>
                <w:r w:rsidR="00F4223D">
                  <w:rPr>
                    <w:webHidden/>
                  </w:rPr>
                  <w:fldChar w:fldCharType="begin"/>
                </w:r>
                <w:r w:rsidR="00F4223D">
                  <w:rPr>
                    <w:webHidden/>
                  </w:rPr>
                  <w:instrText xml:space="preserve"> PAGEREF _Toc171803413 \h </w:instrText>
                </w:r>
                <w:r w:rsidR="00F4223D">
                  <w:rPr>
                    <w:webHidden/>
                  </w:rPr>
                </w:r>
                <w:r w:rsidR="00F4223D">
                  <w:rPr>
                    <w:webHidden/>
                  </w:rPr>
                  <w:fldChar w:fldCharType="separate"/>
                </w:r>
                <w:r>
                  <w:rPr>
                    <w:webHidden/>
                    <w:rtl/>
                    <w:lang w:bidi="ar-SA"/>
                  </w:rPr>
                  <w:t>46</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15" w:history="1">
                <w:r w:rsidR="00F4223D" w:rsidRPr="008D22A6">
                  <w:rPr>
                    <w:rStyle w:val="Lienhypertexte"/>
                    <w:rtl/>
                    <w:lang w:bidi="ar-DZ"/>
                  </w:rPr>
                  <w:t>1.5.1.</w:t>
                </w:r>
                <w:r w:rsidR="00F4223D">
                  <w:rPr>
                    <w:rFonts w:asciiTheme="minorHAnsi" w:hAnsiTheme="minorHAnsi" w:cstheme="minorBidi"/>
                    <w:lang w:val="fr-FR"/>
                  </w:rPr>
                  <w:tab/>
                </w:r>
                <w:r w:rsidR="00F4223D" w:rsidRPr="008D22A6">
                  <w:rPr>
                    <w:rStyle w:val="Lienhypertexte"/>
                    <w:rFonts w:hint="eastAsia"/>
                    <w:rtl/>
                    <w:lang w:bidi="ar-DZ"/>
                  </w:rPr>
                  <w:t>المدينة</w:t>
                </w:r>
                <w:r w:rsidR="00F4223D" w:rsidRPr="008D22A6">
                  <w:rPr>
                    <w:rStyle w:val="Lienhypertexte"/>
                    <w:rtl/>
                    <w:lang w:bidi="ar-DZ"/>
                  </w:rPr>
                  <w:t xml:space="preserve"> </w:t>
                </w:r>
                <w:r w:rsidR="00F4223D" w:rsidRPr="008D22A6">
                  <w:rPr>
                    <w:rStyle w:val="Lienhypertexte"/>
                    <w:rFonts w:hint="eastAsia"/>
                    <w:rtl/>
                    <w:lang w:bidi="ar-DZ"/>
                  </w:rPr>
                  <w:t>المرنة</w:t>
                </w:r>
                <w:r w:rsidR="00F4223D">
                  <w:rPr>
                    <w:webHidden/>
                  </w:rPr>
                  <w:tab/>
                </w:r>
                <w:r w:rsidR="00F4223D">
                  <w:rPr>
                    <w:webHidden/>
                  </w:rPr>
                  <w:fldChar w:fldCharType="begin"/>
                </w:r>
                <w:r w:rsidR="00F4223D">
                  <w:rPr>
                    <w:webHidden/>
                  </w:rPr>
                  <w:instrText xml:space="preserve"> PAGEREF _Toc171803415 \h </w:instrText>
                </w:r>
                <w:r w:rsidR="00F4223D">
                  <w:rPr>
                    <w:webHidden/>
                  </w:rPr>
                </w:r>
                <w:r w:rsidR="00F4223D">
                  <w:rPr>
                    <w:webHidden/>
                  </w:rPr>
                  <w:fldChar w:fldCharType="separate"/>
                </w:r>
                <w:r>
                  <w:rPr>
                    <w:webHidden/>
                    <w:rtl/>
                  </w:rPr>
                  <w:t>47</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16" w:history="1">
                <w:r w:rsidR="00F4223D" w:rsidRPr="008D22A6">
                  <w:rPr>
                    <w:rStyle w:val="Lienhypertexte"/>
                    <w:rtl/>
                    <w:lang w:bidi="ar-DZ"/>
                  </w:rPr>
                  <w:t>2.5.1.</w:t>
                </w:r>
                <w:r w:rsidR="00F4223D">
                  <w:rPr>
                    <w:rFonts w:asciiTheme="minorHAnsi" w:hAnsiTheme="minorHAnsi" w:cstheme="minorBidi"/>
                    <w:lang w:val="fr-FR"/>
                  </w:rPr>
                  <w:tab/>
                </w:r>
                <w:r w:rsidR="00F4223D" w:rsidRPr="008D22A6">
                  <w:rPr>
                    <w:rStyle w:val="Lienhypertexte"/>
                    <w:rFonts w:hint="eastAsia"/>
                    <w:rtl/>
                    <w:lang w:bidi="ar-DZ"/>
                  </w:rPr>
                  <w:t>أمثلة</w:t>
                </w:r>
                <w:r w:rsidR="00F4223D" w:rsidRPr="008D22A6">
                  <w:rPr>
                    <w:rStyle w:val="Lienhypertexte"/>
                    <w:rtl/>
                  </w:rPr>
                  <w:t xml:space="preserve"> </w:t>
                </w:r>
                <w:r w:rsidR="00F4223D" w:rsidRPr="008D22A6">
                  <w:rPr>
                    <w:rStyle w:val="Lienhypertexte"/>
                    <w:rFonts w:hint="eastAsia"/>
                    <w:rtl/>
                    <w:lang w:bidi="ar-DZ"/>
                  </w:rPr>
                  <w:t>على</w:t>
                </w:r>
                <w:r w:rsidR="00F4223D" w:rsidRPr="008D22A6">
                  <w:rPr>
                    <w:rStyle w:val="Lienhypertexte"/>
                    <w:rtl/>
                  </w:rPr>
                  <w:t xml:space="preserve"> </w:t>
                </w:r>
                <w:r w:rsidR="00F4223D" w:rsidRPr="008D22A6">
                  <w:rPr>
                    <w:rStyle w:val="Lienhypertexte"/>
                    <w:rFonts w:hint="eastAsia"/>
                    <w:rtl/>
                    <w:lang w:bidi="ar-DZ"/>
                  </w:rPr>
                  <w:t>مشاريع</w:t>
                </w:r>
                <w:r w:rsidR="00F4223D" w:rsidRPr="008D22A6">
                  <w:rPr>
                    <w:rStyle w:val="Lienhypertexte"/>
                    <w:rtl/>
                  </w:rPr>
                  <w:t xml:space="preserve"> </w:t>
                </w:r>
                <w:r w:rsidR="00F4223D" w:rsidRPr="008D22A6">
                  <w:rPr>
                    <w:rStyle w:val="Lienhypertexte"/>
                    <w:rFonts w:hint="eastAsia"/>
                    <w:rtl/>
                    <w:lang w:bidi="ar-DZ"/>
                  </w:rPr>
                  <w:t>المرونة</w:t>
                </w:r>
                <w:r w:rsidR="00F4223D">
                  <w:rPr>
                    <w:webHidden/>
                  </w:rPr>
                  <w:tab/>
                </w:r>
                <w:r w:rsidR="00F4223D">
                  <w:rPr>
                    <w:webHidden/>
                  </w:rPr>
                  <w:fldChar w:fldCharType="begin"/>
                </w:r>
                <w:r w:rsidR="00F4223D">
                  <w:rPr>
                    <w:webHidden/>
                  </w:rPr>
                  <w:instrText xml:space="preserve"> PAGEREF _Toc171803416 \h </w:instrText>
                </w:r>
                <w:r w:rsidR="00F4223D">
                  <w:rPr>
                    <w:webHidden/>
                  </w:rPr>
                </w:r>
                <w:r w:rsidR="00F4223D">
                  <w:rPr>
                    <w:webHidden/>
                  </w:rPr>
                  <w:fldChar w:fldCharType="separate"/>
                </w:r>
                <w:r>
                  <w:rPr>
                    <w:webHidden/>
                    <w:rtl/>
                  </w:rPr>
                  <w:t>47</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17" w:history="1">
                <w:r w:rsidR="00F4223D" w:rsidRPr="008D22A6">
                  <w:rPr>
                    <w:rStyle w:val="Lienhypertexte"/>
                    <w:rtl/>
                  </w:rPr>
                  <w:t>6.1.</w:t>
                </w:r>
                <w:r w:rsidR="00F02D79" w:rsidRPr="00F02D79">
                  <w:rPr>
                    <w:rFonts w:hint="eastAsia"/>
                    <w:rtl/>
                  </w:rPr>
                  <w:t xml:space="preserve"> </w:t>
                </w:r>
                <w:r w:rsidR="00F02D79" w:rsidRPr="00F02D79">
                  <w:rPr>
                    <w:rStyle w:val="Lienhypertexte"/>
                    <w:rFonts w:hint="eastAsia"/>
                    <w:rtl/>
                  </w:rPr>
                  <w:t>تفسير</w:t>
                </w:r>
                <w:r w:rsidR="00F02D79" w:rsidRPr="00F02D79">
                  <w:rPr>
                    <w:rStyle w:val="Lienhypertexte"/>
                    <w:rtl/>
                  </w:rPr>
                  <w:t xml:space="preserve"> </w:t>
                </w:r>
                <w:r w:rsidR="00F02D79" w:rsidRPr="00F02D79">
                  <w:rPr>
                    <w:rStyle w:val="Lienhypertexte"/>
                    <w:rFonts w:hint="eastAsia"/>
                    <w:rtl/>
                  </w:rPr>
                  <w:t>المرونة</w:t>
                </w:r>
                <w:r w:rsidR="00F02D79" w:rsidRPr="00F02D79">
                  <w:rPr>
                    <w:rStyle w:val="Lienhypertexte"/>
                    <w:rtl/>
                  </w:rPr>
                  <w:t xml:space="preserve"> </w:t>
                </w:r>
                <w:r w:rsidR="00F02D79" w:rsidRPr="00F02D79">
                  <w:rPr>
                    <w:rStyle w:val="Lienhypertexte"/>
                    <w:rFonts w:hint="eastAsia"/>
                    <w:rtl/>
                  </w:rPr>
                  <w:t>الحضرية</w:t>
                </w:r>
                <w:r w:rsidR="00F02D79" w:rsidRPr="00F02D79">
                  <w:rPr>
                    <w:rStyle w:val="Lienhypertexte"/>
                    <w:rtl/>
                  </w:rPr>
                  <w:t xml:space="preserve"> </w:t>
                </w:r>
                <w:r w:rsidR="00F02D79" w:rsidRPr="00F02D79">
                  <w:rPr>
                    <w:rStyle w:val="Lienhypertexte"/>
                    <w:rFonts w:hint="eastAsia"/>
                    <w:rtl/>
                  </w:rPr>
                  <w:t>من</w:t>
                </w:r>
                <w:r w:rsidR="00F02D79" w:rsidRPr="00F02D79">
                  <w:rPr>
                    <w:rStyle w:val="Lienhypertexte"/>
                    <w:rtl/>
                  </w:rPr>
                  <w:t xml:space="preserve"> </w:t>
                </w:r>
                <w:r w:rsidR="00F02D79" w:rsidRPr="00F02D79">
                  <w:rPr>
                    <w:rStyle w:val="Lienhypertexte"/>
                    <w:rFonts w:hint="eastAsia"/>
                    <w:rtl/>
                  </w:rPr>
                  <w:t>خلال</w:t>
                </w:r>
                <w:r w:rsidR="00F02D79" w:rsidRPr="00F02D79">
                  <w:rPr>
                    <w:rStyle w:val="Lienhypertexte"/>
                    <w:rtl/>
                  </w:rPr>
                  <w:t xml:space="preserve"> </w:t>
                </w:r>
                <w:r w:rsidR="00F02D79" w:rsidRPr="00F02D79">
                  <w:rPr>
                    <w:rStyle w:val="Lienhypertexte"/>
                    <w:rFonts w:hint="eastAsia"/>
                    <w:rtl/>
                  </w:rPr>
                  <w:t>تحليل</w:t>
                </w:r>
                <w:r w:rsidR="00F02D79" w:rsidRPr="00F02D79">
                  <w:rPr>
                    <w:rStyle w:val="Lienhypertexte"/>
                    <w:rtl/>
                  </w:rPr>
                  <w:t xml:space="preserve"> </w:t>
                </w:r>
                <w:r w:rsidR="00F02D79" w:rsidRPr="00F02D79">
                  <w:rPr>
                    <w:rStyle w:val="Lienhypertexte"/>
                    <w:rFonts w:hint="eastAsia"/>
                    <w:rtl/>
                  </w:rPr>
                  <w:t>المورفولوجيا</w:t>
                </w:r>
                <w:r w:rsidR="00F02D79" w:rsidRPr="00F02D79">
                  <w:rPr>
                    <w:rStyle w:val="Lienhypertexte"/>
                    <w:rtl/>
                  </w:rPr>
                  <w:t xml:space="preserve"> </w:t>
                </w:r>
                <w:r w:rsidR="00F02D79" w:rsidRPr="00F02D79">
                  <w:rPr>
                    <w:rStyle w:val="Lienhypertexte"/>
                    <w:rFonts w:hint="eastAsia"/>
                    <w:rtl/>
                  </w:rPr>
                  <w:t>والنسيج</w:t>
                </w:r>
                <w:r w:rsidR="00F02D79" w:rsidRPr="00F02D79">
                  <w:rPr>
                    <w:rStyle w:val="Lienhypertexte"/>
                    <w:rtl/>
                  </w:rPr>
                  <w:t xml:space="preserve"> </w:t>
                </w:r>
                <w:r w:rsidR="00F02D79" w:rsidRPr="00F02D79">
                  <w:rPr>
                    <w:rStyle w:val="Lienhypertexte"/>
                    <w:rFonts w:hint="eastAsia"/>
                    <w:rtl/>
                  </w:rPr>
                  <w:t>الحضريين</w:t>
                </w:r>
                <w:r w:rsidR="00F02D79">
                  <w:rPr>
                    <w:rStyle w:val="Lienhypertexte"/>
                    <w:rFonts w:hint="cs"/>
                    <w:rtl/>
                  </w:rPr>
                  <w:t>..........................................</w:t>
                </w:r>
                <w:r w:rsidR="00F4223D">
                  <w:rPr>
                    <w:rFonts w:asciiTheme="minorHAnsi" w:hAnsiTheme="minorHAnsi" w:cstheme="minorBidi"/>
                    <w:color w:val="auto"/>
                    <w:lang w:val="fr-FR" w:bidi="ar-SA"/>
                  </w:rPr>
                  <w:tab/>
                </w:r>
                <w:r w:rsidR="00F4223D">
                  <w:rPr>
                    <w:webHidden/>
                  </w:rPr>
                  <w:fldChar w:fldCharType="begin"/>
                </w:r>
                <w:r w:rsidR="00F4223D">
                  <w:rPr>
                    <w:webHidden/>
                  </w:rPr>
                  <w:instrText xml:space="preserve"> PAGEREF _Toc171803417 \h </w:instrText>
                </w:r>
                <w:r w:rsidR="00F4223D">
                  <w:rPr>
                    <w:webHidden/>
                  </w:rPr>
                </w:r>
                <w:r w:rsidR="00F4223D">
                  <w:rPr>
                    <w:webHidden/>
                  </w:rPr>
                  <w:fldChar w:fldCharType="separate"/>
                </w:r>
                <w:r>
                  <w:rPr>
                    <w:webHidden/>
                    <w:rtl/>
                    <w:lang w:bidi="ar-SA"/>
                  </w:rPr>
                  <w:t>48</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18" w:history="1">
                <w:r w:rsidR="00F4223D" w:rsidRPr="008D22A6">
                  <w:rPr>
                    <w:rStyle w:val="Lienhypertexte"/>
                  </w:rPr>
                  <w:t>1.6.1.</w:t>
                </w:r>
                <w:r w:rsidR="00F4223D">
                  <w:rPr>
                    <w:rFonts w:asciiTheme="minorHAnsi" w:hAnsiTheme="minorHAnsi" w:cstheme="minorBidi"/>
                    <w:lang w:val="fr-FR"/>
                  </w:rPr>
                  <w:tab/>
                </w:r>
                <w:r w:rsidR="00F4223D" w:rsidRPr="008D22A6">
                  <w:rPr>
                    <w:rStyle w:val="Lienhypertexte"/>
                    <w:rFonts w:hint="eastAsia"/>
                    <w:rtl/>
                  </w:rPr>
                  <w:t>تحليل</w:t>
                </w:r>
                <w:r w:rsidR="00F4223D" w:rsidRPr="008D22A6">
                  <w:rPr>
                    <w:rStyle w:val="Lienhypertexte"/>
                    <w:rtl/>
                  </w:rPr>
                  <w:t xml:space="preserve"> </w:t>
                </w:r>
                <w:r w:rsidR="00F4223D" w:rsidRPr="008D22A6">
                  <w:rPr>
                    <w:rStyle w:val="Lienhypertexte"/>
                    <w:rFonts w:hint="eastAsia"/>
                    <w:rtl/>
                  </w:rPr>
                  <w:t>المورفولوجيا</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والطوبولوجيا</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_Toc171803418 \h </w:instrText>
                </w:r>
                <w:r w:rsidR="00F4223D">
                  <w:rPr>
                    <w:webHidden/>
                  </w:rPr>
                </w:r>
                <w:r w:rsidR="00F4223D">
                  <w:rPr>
                    <w:webHidden/>
                  </w:rPr>
                  <w:fldChar w:fldCharType="separate"/>
                </w:r>
                <w:r>
                  <w:rPr>
                    <w:webHidden/>
                    <w:rtl/>
                  </w:rPr>
                  <w:t>49</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19" w:history="1">
                <w:r w:rsidR="00F4223D" w:rsidRPr="008D22A6">
                  <w:rPr>
                    <w:rStyle w:val="Lienhypertexte"/>
                    <w:rtl/>
                  </w:rPr>
                  <w:t>2.6.1.</w:t>
                </w:r>
                <w:r w:rsidR="00F4223D">
                  <w:rPr>
                    <w:rFonts w:asciiTheme="minorHAnsi" w:hAnsiTheme="minorHAnsi" w:cstheme="minorBidi"/>
                    <w:lang w:val="fr-FR"/>
                  </w:rPr>
                  <w:tab/>
                </w:r>
                <w:r w:rsidR="00F4223D" w:rsidRPr="008D22A6">
                  <w:rPr>
                    <w:rStyle w:val="Lienhypertexte"/>
                    <w:rFonts w:hint="eastAsia"/>
                    <w:rtl/>
                  </w:rPr>
                  <w:t>تحليل</w:t>
                </w:r>
                <w:r w:rsidR="00F4223D" w:rsidRPr="008D22A6">
                  <w:rPr>
                    <w:rStyle w:val="Lienhypertexte"/>
                    <w:rtl/>
                  </w:rPr>
                  <w:t xml:space="preserve"> </w:t>
                </w:r>
                <w:r w:rsidR="00F4223D" w:rsidRPr="008D22A6">
                  <w:rPr>
                    <w:rStyle w:val="Lienhypertexte"/>
                    <w:rFonts w:hint="eastAsia"/>
                    <w:rtl/>
                  </w:rPr>
                  <w:t>النسيج</w:t>
                </w:r>
                <w:r w:rsidR="00F4223D" w:rsidRPr="008D22A6">
                  <w:rPr>
                    <w:rStyle w:val="Lienhypertexte"/>
                    <w:rtl/>
                  </w:rPr>
                  <w:t xml:space="preserve"> </w:t>
                </w:r>
                <w:r w:rsidR="00F4223D" w:rsidRPr="008D22A6">
                  <w:rPr>
                    <w:rStyle w:val="Lienhypertexte"/>
                    <w:rFonts w:hint="eastAsia"/>
                    <w:rtl/>
                  </w:rPr>
                  <w:t>الحضري</w:t>
                </w:r>
                <w:r w:rsidR="00F4223D">
                  <w:rPr>
                    <w:webHidden/>
                  </w:rPr>
                  <w:tab/>
                </w:r>
                <w:r w:rsidR="00F4223D">
                  <w:rPr>
                    <w:webHidden/>
                  </w:rPr>
                  <w:fldChar w:fldCharType="begin"/>
                </w:r>
                <w:r w:rsidR="00F4223D">
                  <w:rPr>
                    <w:webHidden/>
                  </w:rPr>
                  <w:instrText xml:space="preserve"> PAGEREF _Toc171803419 \h </w:instrText>
                </w:r>
                <w:r w:rsidR="00F4223D">
                  <w:rPr>
                    <w:webHidden/>
                  </w:rPr>
                </w:r>
                <w:r w:rsidR="00F4223D">
                  <w:rPr>
                    <w:webHidden/>
                  </w:rPr>
                  <w:fldChar w:fldCharType="separate"/>
                </w:r>
                <w:r>
                  <w:rPr>
                    <w:webHidden/>
                    <w:rtl/>
                  </w:rPr>
                  <w:t>49</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27" w:history="1">
                <w:r w:rsidR="00F4223D" w:rsidRPr="008D22A6">
                  <w:rPr>
                    <w:rStyle w:val="Lienhypertexte"/>
                    <w:rFonts w:hint="eastAsia"/>
                    <w:rtl/>
                  </w:rPr>
                  <w:t>الخلاصة</w:t>
                </w:r>
                <w:r w:rsidR="00F02D79">
                  <w:rPr>
                    <w:rStyle w:val="Lienhypertexte"/>
                    <w:rFonts w:hint="cs"/>
                    <w:rtl/>
                  </w:rPr>
                  <w:t>.................................................................................................................</w:t>
                </w:r>
                <w:r w:rsidR="00F4223D">
                  <w:rPr>
                    <w:webHidden/>
                  </w:rPr>
                  <w:tab/>
                </w:r>
                <w:r w:rsidR="00F4223D">
                  <w:rPr>
                    <w:webHidden/>
                  </w:rPr>
                  <w:fldChar w:fldCharType="begin"/>
                </w:r>
                <w:r w:rsidR="00F4223D">
                  <w:rPr>
                    <w:webHidden/>
                  </w:rPr>
                  <w:instrText xml:space="preserve"> PAGEREF _Toc171803427 \h </w:instrText>
                </w:r>
                <w:r w:rsidR="00F4223D">
                  <w:rPr>
                    <w:webHidden/>
                  </w:rPr>
                </w:r>
                <w:r w:rsidR="00F4223D">
                  <w:rPr>
                    <w:webHidden/>
                  </w:rPr>
                  <w:fldChar w:fldCharType="separate"/>
                </w:r>
                <w:r>
                  <w:rPr>
                    <w:webHidden/>
                    <w:rtl/>
                    <w:lang w:bidi="ar-SA"/>
                  </w:rPr>
                  <w:t>54</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28" w:history="1">
                <w:r w:rsidR="00F4223D" w:rsidRPr="008D22A6">
                  <w:rPr>
                    <w:rStyle w:val="Lienhypertexte"/>
                    <w:rFonts w:hint="eastAsia"/>
                    <w:rtl/>
                  </w:rPr>
                  <w:t>الفصل</w:t>
                </w:r>
                <w:r w:rsidR="00F4223D" w:rsidRPr="008D22A6">
                  <w:rPr>
                    <w:rStyle w:val="Lienhypertexte"/>
                    <w:rtl/>
                  </w:rPr>
                  <w:t xml:space="preserve"> 2: </w:t>
                </w:r>
                <w:r w:rsidR="00F4223D" w:rsidRPr="008D22A6">
                  <w:rPr>
                    <w:rStyle w:val="Lienhypertexte"/>
                    <w:rFonts w:hint="eastAsia"/>
                    <w:rtl/>
                  </w:rPr>
                  <w:t>تحليل</w:t>
                </w:r>
                <w:r w:rsidR="00F4223D" w:rsidRPr="008D22A6">
                  <w:rPr>
                    <w:rStyle w:val="Lienhypertexte"/>
                    <w:rtl/>
                  </w:rPr>
                  <w:t xml:space="preserve"> </w:t>
                </w:r>
                <w:r w:rsidR="00F4223D" w:rsidRPr="008D22A6">
                  <w:rPr>
                    <w:rStyle w:val="Lienhypertexte"/>
                    <w:rFonts w:hint="eastAsia"/>
                    <w:rtl/>
                  </w:rPr>
                  <w:t>مناهج</w:t>
                </w:r>
                <w:r w:rsidR="00F4223D" w:rsidRPr="008D22A6">
                  <w:rPr>
                    <w:rStyle w:val="Lienhypertexte"/>
                    <w:rtl/>
                  </w:rPr>
                  <w:t xml:space="preserve"> </w:t>
                </w:r>
                <w:r w:rsidR="00F4223D" w:rsidRPr="008D22A6">
                  <w:rPr>
                    <w:rStyle w:val="Lienhypertexte"/>
                    <w:rFonts w:hint="eastAsia"/>
                    <w:rtl/>
                  </w:rPr>
                  <w:t>واطر</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وتفعيل</w:t>
                </w:r>
                <w:r w:rsidR="00F4223D" w:rsidRPr="008D22A6">
                  <w:rPr>
                    <w:rStyle w:val="Lienhypertexte"/>
                    <w:rtl/>
                  </w:rPr>
                  <w:t xml:space="preserve"> </w:t>
                </w:r>
                <w:r w:rsidR="00F4223D" w:rsidRPr="008D22A6">
                  <w:rPr>
                    <w:rStyle w:val="Lienhypertexte"/>
                    <w:rFonts w:hint="eastAsia"/>
                    <w:rtl/>
                  </w:rPr>
                  <w:t>المرونة</w:t>
                </w:r>
              </w:hyperlink>
            </w:p>
            <w:p w:rsidR="00F4223D" w:rsidRDefault="00B62F86" w:rsidP="009579D2">
              <w:pPr>
                <w:pStyle w:val="TM1"/>
                <w:rPr>
                  <w:rFonts w:asciiTheme="minorHAnsi" w:hAnsiTheme="minorHAnsi" w:cstheme="minorBidi"/>
                  <w:color w:val="auto"/>
                  <w:lang w:val="fr-FR" w:bidi="ar-SA"/>
                </w:rPr>
              </w:pPr>
              <w:hyperlink w:anchor="_Toc171803429" w:history="1">
                <w:r w:rsidR="00F4223D" w:rsidRPr="008D22A6">
                  <w:rPr>
                    <w:rStyle w:val="Lienhypertexte"/>
                    <w:rFonts w:hint="eastAsia"/>
                    <w:rtl/>
                  </w:rPr>
                  <w:t>تمهيد</w:t>
                </w:r>
                <w:r w:rsidR="00F02D79">
                  <w:rPr>
                    <w:rStyle w:val="Lienhypertexte"/>
                    <w:rFonts w:hint="cs"/>
                    <w:rtl/>
                  </w:rPr>
                  <w:t>....................................................................................................................</w:t>
                </w:r>
                <w:r w:rsidR="00F4223D">
                  <w:rPr>
                    <w:webHidden/>
                  </w:rPr>
                  <w:tab/>
                </w:r>
                <w:r w:rsidR="00F4223D">
                  <w:rPr>
                    <w:webHidden/>
                  </w:rPr>
                  <w:fldChar w:fldCharType="begin"/>
                </w:r>
                <w:r w:rsidR="00F4223D">
                  <w:rPr>
                    <w:webHidden/>
                  </w:rPr>
                  <w:instrText xml:space="preserve"> PAGEREF _Toc171803429 \h </w:instrText>
                </w:r>
                <w:r w:rsidR="00F4223D">
                  <w:rPr>
                    <w:webHidden/>
                  </w:rPr>
                </w:r>
                <w:r w:rsidR="00F4223D">
                  <w:rPr>
                    <w:webHidden/>
                  </w:rPr>
                  <w:fldChar w:fldCharType="separate"/>
                </w:r>
                <w:r>
                  <w:rPr>
                    <w:webHidden/>
                    <w:rtl/>
                    <w:lang w:bidi="ar-SA"/>
                  </w:rPr>
                  <w:t>55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30" w:history="1">
                <w:r w:rsidR="00F4223D" w:rsidRPr="008D22A6">
                  <w:rPr>
                    <w:rStyle w:val="Lienhypertexte"/>
                    <w:rtl/>
                  </w:rPr>
                  <w:t>1.2.</w:t>
                </w:r>
                <w:r w:rsidR="00F02D79" w:rsidRPr="00F02D79">
                  <w:rPr>
                    <w:rFonts w:hint="eastAsia"/>
                    <w:rtl/>
                  </w:rPr>
                  <w:t xml:space="preserve"> </w:t>
                </w:r>
                <w:r w:rsidR="00F02D79" w:rsidRPr="00F02D79">
                  <w:rPr>
                    <w:rStyle w:val="Lienhypertexte"/>
                    <w:rFonts w:hint="eastAsia"/>
                    <w:rtl/>
                  </w:rPr>
                  <w:t>مناهج</w:t>
                </w:r>
                <w:r w:rsidR="00F02D79" w:rsidRPr="00F02D79">
                  <w:rPr>
                    <w:rStyle w:val="Lienhypertexte"/>
                    <w:rtl/>
                  </w:rPr>
                  <w:t xml:space="preserve"> </w:t>
                </w:r>
                <w:r w:rsidR="00F02D79" w:rsidRPr="00F02D79">
                  <w:rPr>
                    <w:rStyle w:val="Lienhypertexte"/>
                    <w:rFonts w:hint="eastAsia"/>
                    <w:rtl/>
                  </w:rPr>
                  <w:t>تقييم</w:t>
                </w:r>
                <w:r w:rsidR="00F02D79" w:rsidRPr="00F02D79">
                  <w:rPr>
                    <w:rStyle w:val="Lienhypertexte"/>
                    <w:rtl/>
                  </w:rPr>
                  <w:t xml:space="preserve"> </w:t>
                </w:r>
                <w:r w:rsidR="00F02D79" w:rsidRPr="00F02D79">
                  <w:rPr>
                    <w:rStyle w:val="Lienhypertexte"/>
                    <w:rFonts w:hint="eastAsia"/>
                    <w:rtl/>
                  </w:rPr>
                  <w:t>المرونة</w:t>
                </w:r>
                <w:r w:rsidR="00F02D79">
                  <w:rPr>
                    <w:rStyle w:val="Lienhypertexte"/>
                    <w:rFonts w:hint="cs"/>
                    <w:rtl/>
                  </w:rPr>
                  <w:t>...............................................................................................</w:t>
                </w:r>
                <w:r w:rsidR="00F4223D">
                  <w:rPr>
                    <w:webHidden/>
                  </w:rPr>
                  <w:tab/>
                </w:r>
                <w:r w:rsidR="00F4223D">
                  <w:rPr>
                    <w:webHidden/>
                  </w:rPr>
                  <w:fldChar w:fldCharType="begin"/>
                </w:r>
                <w:r w:rsidR="00F4223D">
                  <w:rPr>
                    <w:webHidden/>
                  </w:rPr>
                  <w:instrText xml:space="preserve"> PAGEREF _Toc171803430 \h </w:instrText>
                </w:r>
                <w:r w:rsidR="00F4223D">
                  <w:rPr>
                    <w:webHidden/>
                  </w:rPr>
                </w:r>
                <w:r w:rsidR="00F4223D">
                  <w:rPr>
                    <w:webHidden/>
                  </w:rPr>
                  <w:fldChar w:fldCharType="separate"/>
                </w:r>
                <w:r>
                  <w:rPr>
                    <w:webHidden/>
                    <w:rtl/>
                    <w:lang w:bidi="ar-SA"/>
                  </w:rPr>
                  <w:t>55</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31" w:history="1">
                <w:r w:rsidR="00F4223D" w:rsidRPr="008D22A6">
                  <w:rPr>
                    <w:rStyle w:val="Lienhypertexte"/>
                    <w:rtl/>
                    <w:lang w:bidi="ar-DZ"/>
                  </w:rPr>
                  <w:t>1.1.2.</w:t>
                </w:r>
                <w:r w:rsidR="00F4223D">
                  <w:rPr>
                    <w:rFonts w:asciiTheme="minorHAnsi" w:hAnsiTheme="minorHAnsi" w:cstheme="minorBidi"/>
                    <w:lang w:val="fr-FR"/>
                  </w:rPr>
                  <w:tab/>
                </w:r>
                <w:r w:rsidR="00F4223D" w:rsidRPr="008D22A6">
                  <w:rPr>
                    <w:rStyle w:val="Lienhypertexte"/>
                    <w:rFonts w:hint="eastAsia"/>
                    <w:rtl/>
                    <w:lang w:bidi="ar-DZ"/>
                  </w:rPr>
                  <w:t>اهم</w:t>
                </w:r>
                <w:r w:rsidR="00F4223D" w:rsidRPr="008D22A6">
                  <w:rPr>
                    <w:rStyle w:val="Lienhypertexte"/>
                    <w:rtl/>
                    <w:lang w:bidi="ar-DZ"/>
                  </w:rPr>
                  <w:t xml:space="preserve"> </w:t>
                </w:r>
                <w:r w:rsidR="00F4223D" w:rsidRPr="008D22A6">
                  <w:rPr>
                    <w:rStyle w:val="Lienhypertexte"/>
                    <w:rFonts w:hint="eastAsia"/>
                    <w:rtl/>
                    <w:lang w:bidi="ar-DZ"/>
                  </w:rPr>
                  <w:t>مناهج</w:t>
                </w:r>
                <w:r w:rsidR="00F4223D" w:rsidRPr="008D22A6">
                  <w:rPr>
                    <w:rStyle w:val="Lienhypertexte"/>
                    <w:rtl/>
                    <w:lang w:bidi="ar-DZ"/>
                  </w:rPr>
                  <w:t xml:space="preserve"> </w:t>
                </w:r>
                <w:r w:rsidR="00F4223D" w:rsidRPr="008D22A6">
                  <w:rPr>
                    <w:rStyle w:val="Lienhypertexte"/>
                    <w:rFonts w:hint="eastAsia"/>
                    <w:rtl/>
                    <w:lang w:bidi="ar-DZ"/>
                  </w:rPr>
                  <w:t>تقييم</w:t>
                </w:r>
                <w:r w:rsidR="00F4223D" w:rsidRPr="008D22A6">
                  <w:rPr>
                    <w:rStyle w:val="Lienhypertexte"/>
                    <w:rtl/>
                    <w:lang w:bidi="ar-DZ"/>
                  </w:rPr>
                  <w:t xml:space="preserve"> </w:t>
                </w:r>
                <w:r w:rsidR="00F4223D" w:rsidRPr="008D22A6">
                  <w:rPr>
                    <w:rStyle w:val="Lienhypertexte"/>
                    <w:rFonts w:hint="eastAsia"/>
                    <w:rtl/>
                    <w:lang w:bidi="ar-DZ"/>
                  </w:rPr>
                  <w:t>المرونة</w:t>
                </w:r>
                <w:r w:rsidR="00F4223D" w:rsidRPr="008D22A6">
                  <w:rPr>
                    <w:rStyle w:val="Lienhypertexte"/>
                    <w:rtl/>
                    <w:lang w:bidi="ar-DZ"/>
                  </w:rPr>
                  <w:t>:</w:t>
                </w:r>
                <w:r w:rsidR="00F4223D">
                  <w:rPr>
                    <w:webHidden/>
                  </w:rPr>
                  <w:tab/>
                </w:r>
                <w:r w:rsidR="00F4223D">
                  <w:rPr>
                    <w:webHidden/>
                  </w:rPr>
                  <w:fldChar w:fldCharType="begin"/>
                </w:r>
                <w:r w:rsidR="00F4223D">
                  <w:rPr>
                    <w:webHidden/>
                  </w:rPr>
                  <w:instrText xml:space="preserve"> PAGEREF _Toc171803431 \h </w:instrText>
                </w:r>
                <w:r w:rsidR="00F4223D">
                  <w:rPr>
                    <w:webHidden/>
                  </w:rPr>
                </w:r>
                <w:r w:rsidR="00F4223D">
                  <w:rPr>
                    <w:webHidden/>
                  </w:rPr>
                  <w:fldChar w:fldCharType="separate"/>
                </w:r>
                <w:r>
                  <w:rPr>
                    <w:webHidden/>
                    <w:rtl/>
                  </w:rPr>
                  <w:t>56</w:t>
                </w:r>
                <w:r w:rsidR="00F4223D">
                  <w:rPr>
                    <w:webHidden/>
                  </w:rPr>
                  <w:fldChar w:fldCharType="end"/>
                </w:r>
              </w:hyperlink>
            </w:p>
            <w:p w:rsidR="00F4223D" w:rsidRDefault="00B62F86" w:rsidP="003A089F">
              <w:pPr>
                <w:pStyle w:val="TM3"/>
              </w:pPr>
              <w:hyperlink w:anchor="_Toc171803432" w:history="1">
                <w:r w:rsidR="00F4223D" w:rsidRPr="008D22A6">
                  <w:rPr>
                    <w:rStyle w:val="Lienhypertexte"/>
                  </w:rPr>
                  <w:t>1.1.1.2.</w:t>
                </w:r>
                <w:r w:rsidR="00F4223D">
                  <w:tab/>
                </w:r>
                <w:r w:rsidR="00F4223D" w:rsidRPr="008D22A6">
                  <w:rPr>
                    <w:rStyle w:val="Lienhypertexte"/>
                    <w:rFonts w:hint="eastAsia"/>
                    <w:rtl/>
                  </w:rPr>
                  <w:t>النهج</w:t>
                </w:r>
                <w:r w:rsidR="00F4223D" w:rsidRPr="008D22A6">
                  <w:rPr>
                    <w:rStyle w:val="Lienhypertexte"/>
                    <w:rtl/>
                  </w:rPr>
                  <w:t xml:space="preserve"> </w:t>
                </w:r>
                <w:r w:rsidR="00F4223D" w:rsidRPr="008D22A6">
                  <w:rPr>
                    <w:rStyle w:val="Lienhypertexte"/>
                    <w:rFonts w:hint="eastAsia"/>
                    <w:rtl/>
                  </w:rPr>
                  <w:t>القائم</w:t>
                </w:r>
                <w:r w:rsidR="00F4223D" w:rsidRPr="008D22A6">
                  <w:rPr>
                    <w:rStyle w:val="Lienhypertexte"/>
                    <w:rtl/>
                  </w:rPr>
                  <w:t xml:space="preserve"> </w:t>
                </w:r>
                <w:r w:rsidR="00F4223D" w:rsidRPr="008D22A6">
                  <w:rPr>
                    <w:rStyle w:val="Lienhypertexte"/>
                    <w:rFonts w:hint="eastAsia"/>
                    <w:rtl/>
                  </w:rPr>
                  <w:t>على</w:t>
                </w:r>
                <w:r w:rsidR="00F4223D" w:rsidRPr="008D22A6">
                  <w:rPr>
                    <w:rStyle w:val="Lienhypertexte"/>
                    <w:rtl/>
                  </w:rPr>
                  <w:t xml:space="preserve"> </w:t>
                </w:r>
                <w:r w:rsidR="00F4223D" w:rsidRPr="008D22A6">
                  <w:rPr>
                    <w:rStyle w:val="Lienhypertexte"/>
                    <w:rFonts w:hint="eastAsia"/>
                    <w:rtl/>
                  </w:rPr>
                  <w:t>رأس</w:t>
                </w:r>
                <w:r w:rsidR="00F4223D" w:rsidRPr="008D22A6">
                  <w:rPr>
                    <w:rStyle w:val="Lienhypertexte"/>
                    <w:rtl/>
                  </w:rPr>
                  <w:t xml:space="preserve"> </w:t>
                </w:r>
                <w:r w:rsidR="00F4223D" w:rsidRPr="008D22A6">
                  <w:rPr>
                    <w:rStyle w:val="Lienhypertexte"/>
                    <w:rFonts w:hint="eastAsia"/>
                    <w:rtl/>
                  </w:rPr>
                  <w:t>المال</w:t>
                </w:r>
                <w:r w:rsidR="00F4223D" w:rsidRPr="008D22A6">
                  <w:rPr>
                    <w:rStyle w:val="Lienhypertexte"/>
                    <w:rFonts w:asciiTheme="minorBidi" w:hAnsiTheme="minorBidi" w:cs="Arial"/>
                    <w:rtl/>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rPr>
                  <w:t>Capital-</w:t>
                </w:r>
                <w:r w:rsidR="00F4223D" w:rsidRPr="008D22A6">
                  <w:rPr>
                    <w:rStyle w:val="Lienhypertexte"/>
                    <w:rFonts w:asciiTheme="majorBidi" w:hAnsiTheme="majorBidi" w:cstheme="majorBidi"/>
                    <w:lang w:val="en-US"/>
                  </w:rPr>
                  <w:t>based</w:t>
                </w:r>
                <w:r w:rsidR="00F4223D" w:rsidRPr="008D22A6">
                  <w:rPr>
                    <w:rStyle w:val="Lienhypertexte"/>
                    <w:rFonts w:asciiTheme="majorBidi" w:hAnsiTheme="majorBidi" w:cstheme="majorBidi"/>
                  </w:rPr>
                  <w:t xml:space="preserve"> </w:t>
                </w:r>
                <w:r w:rsidR="00F4223D" w:rsidRPr="008D22A6">
                  <w:rPr>
                    <w:rStyle w:val="Lienhypertexte"/>
                    <w:rFonts w:asciiTheme="majorBidi" w:hAnsiTheme="majorBidi" w:cstheme="majorBidi"/>
                    <w:lang w:val="en-US"/>
                  </w:rPr>
                  <w:t>Approach</w:t>
                </w:r>
                <w:r w:rsidR="00F4223D" w:rsidRPr="008D22A6">
                  <w:rPr>
                    <w:rStyle w:val="Lienhypertexte"/>
                    <w:rFonts w:asciiTheme="majorBidi" w:hAnsiTheme="majorBidi" w:cstheme="majorBidi"/>
                    <w:rtl/>
                    <w:lang w:val="en-US"/>
                  </w:rPr>
                  <w:t>)</w:t>
                </w:r>
                <w:r w:rsidR="00F4223D">
                  <w:rPr>
                    <w:webHidden/>
                  </w:rPr>
                  <w:tab/>
                </w:r>
                <w:r w:rsidR="00F4223D">
                  <w:rPr>
                    <w:webHidden/>
                  </w:rPr>
                  <w:fldChar w:fldCharType="begin"/>
                </w:r>
                <w:r w:rsidR="00F4223D">
                  <w:rPr>
                    <w:webHidden/>
                  </w:rPr>
                  <w:instrText xml:space="preserve"> PAGEREF _Toc171803432 \h </w:instrText>
                </w:r>
                <w:r w:rsidR="00F4223D">
                  <w:rPr>
                    <w:webHidden/>
                  </w:rPr>
                </w:r>
                <w:r w:rsidR="00F4223D">
                  <w:rPr>
                    <w:webHidden/>
                  </w:rPr>
                  <w:fldChar w:fldCharType="separate"/>
                </w:r>
                <w:r>
                  <w:rPr>
                    <w:webHidden/>
                    <w:rtl/>
                    <w:lang w:bidi="ar-SA"/>
                  </w:rPr>
                  <w:t>56</w:t>
                </w:r>
                <w:r w:rsidR="00F4223D">
                  <w:rPr>
                    <w:webHidden/>
                  </w:rPr>
                  <w:fldChar w:fldCharType="end"/>
                </w:r>
              </w:hyperlink>
            </w:p>
            <w:p w:rsidR="00F4223D" w:rsidRDefault="00B62F86" w:rsidP="003A089F">
              <w:pPr>
                <w:pStyle w:val="TM3"/>
              </w:pPr>
              <w:hyperlink w:anchor="_Toc171803433" w:history="1">
                <w:r w:rsidR="00F4223D" w:rsidRPr="008D22A6">
                  <w:rPr>
                    <w:rStyle w:val="Lienhypertexte"/>
                    <w:rtl/>
                  </w:rPr>
                  <w:t>2.1.1.2.</w:t>
                </w:r>
                <w:r w:rsidR="00F4223D">
                  <w:tab/>
                </w:r>
                <w:r w:rsidR="00F4223D" w:rsidRPr="008D22A6">
                  <w:rPr>
                    <w:rStyle w:val="Lienhypertexte"/>
                    <w:rFonts w:hint="eastAsia"/>
                    <w:rtl/>
                  </w:rPr>
                  <w:t>نهج</w:t>
                </w:r>
                <w:r w:rsidR="00F4223D" w:rsidRPr="008D22A6">
                  <w:rPr>
                    <w:rStyle w:val="Lienhypertexte"/>
                    <w:rtl/>
                  </w:rPr>
                  <w:t xml:space="preserve"> </w:t>
                </w:r>
                <w:r w:rsidR="00F4223D" w:rsidRPr="008D22A6">
                  <w:rPr>
                    <w:rStyle w:val="Lienhypertexte"/>
                    <w:rFonts w:asciiTheme="majorBidi" w:hAnsiTheme="majorBidi" w:cstheme="majorBidi"/>
                  </w:rPr>
                  <w:t>4R’s</w:t>
                </w:r>
                <w:r w:rsidR="00F4223D" w:rsidRPr="008D22A6">
                  <w:rPr>
                    <w:rStyle w:val="Lienhypertexte"/>
                    <w:rtl/>
                  </w:rPr>
                  <w:t xml:space="preserve"> </w:t>
                </w:r>
                <w:r w:rsidR="00F4223D" w:rsidRPr="008D22A6">
                  <w:rPr>
                    <w:rStyle w:val="Lienhypertexte"/>
                    <w:rFonts w:asciiTheme="minorBidi" w:hAnsiTheme="minorBidi" w:cs="Arial"/>
                    <w:rtl/>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rPr>
                  <w:t xml:space="preserve">4R’s </w:t>
                </w:r>
                <w:r w:rsidR="00F4223D" w:rsidRPr="008D22A6">
                  <w:rPr>
                    <w:rStyle w:val="Lienhypertexte"/>
                    <w:rFonts w:asciiTheme="majorBidi" w:hAnsiTheme="majorBidi" w:cstheme="majorBidi"/>
                    <w:lang w:val="en-US"/>
                  </w:rPr>
                  <w:t>Approach</w:t>
                </w:r>
                <w:r w:rsidR="00F4223D" w:rsidRPr="008D22A6">
                  <w:rPr>
                    <w:rStyle w:val="Lienhypertexte"/>
                    <w:rFonts w:asciiTheme="majorBidi" w:hAnsiTheme="majorBidi" w:cstheme="majorBidi"/>
                    <w:rtl/>
                    <w:lang w:val="en-US"/>
                  </w:rPr>
                  <w:t>)</w:t>
                </w:r>
                <w:r w:rsidR="00F4223D">
                  <w:rPr>
                    <w:webHidden/>
                  </w:rPr>
                  <w:tab/>
                </w:r>
                <w:r w:rsidR="00F4223D">
                  <w:rPr>
                    <w:webHidden/>
                  </w:rPr>
                  <w:fldChar w:fldCharType="begin"/>
                </w:r>
                <w:r w:rsidR="00F4223D">
                  <w:rPr>
                    <w:webHidden/>
                  </w:rPr>
                  <w:instrText xml:space="preserve"> PAGEREF _Toc171803433 \h </w:instrText>
                </w:r>
                <w:r w:rsidR="00F4223D">
                  <w:rPr>
                    <w:webHidden/>
                  </w:rPr>
                </w:r>
                <w:r w:rsidR="00F4223D">
                  <w:rPr>
                    <w:webHidden/>
                  </w:rPr>
                  <w:fldChar w:fldCharType="separate"/>
                </w:r>
                <w:r>
                  <w:rPr>
                    <w:webHidden/>
                    <w:rtl/>
                    <w:lang w:bidi="ar-SA"/>
                  </w:rPr>
                  <w:t>56</w:t>
                </w:r>
                <w:r w:rsidR="00F4223D">
                  <w:rPr>
                    <w:webHidden/>
                  </w:rPr>
                  <w:fldChar w:fldCharType="end"/>
                </w:r>
              </w:hyperlink>
            </w:p>
            <w:p w:rsidR="00F4223D" w:rsidRDefault="00B62F86" w:rsidP="003A089F">
              <w:pPr>
                <w:pStyle w:val="TM3"/>
              </w:pPr>
              <w:hyperlink w:anchor="_Toc171803434" w:history="1">
                <w:r w:rsidR="00F4223D" w:rsidRPr="008D22A6">
                  <w:rPr>
                    <w:rStyle w:val="Lienhypertexte"/>
                  </w:rPr>
                  <w:t>3.1.1.2.</w:t>
                </w:r>
                <w:r w:rsidR="00F4223D">
                  <w:tab/>
                </w:r>
                <w:r w:rsidR="00F4223D" w:rsidRPr="008D22A6">
                  <w:rPr>
                    <w:rStyle w:val="Lienhypertexte"/>
                    <w:rFonts w:hint="eastAsia"/>
                    <w:rtl/>
                  </w:rPr>
                  <w:t>نهج</w:t>
                </w:r>
                <w:r w:rsidR="00F4223D" w:rsidRPr="008D22A6">
                  <w:rPr>
                    <w:rStyle w:val="Lienhypertexte"/>
                    <w:rtl/>
                  </w:rPr>
                  <w:t xml:space="preserve"> </w:t>
                </w:r>
                <w:r w:rsidR="00F4223D" w:rsidRPr="008D22A6">
                  <w:rPr>
                    <w:rStyle w:val="Lienhypertexte"/>
                    <w:rFonts w:hint="eastAsia"/>
                    <w:rtl/>
                  </w:rPr>
                  <w:t>الأنظمة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lang w:val="en-US"/>
                  </w:rPr>
                  <w:t>Systems Approach</w:t>
                </w:r>
                <w:r w:rsidR="00F4223D" w:rsidRPr="008D22A6">
                  <w:rPr>
                    <w:rStyle w:val="Lienhypertexte"/>
                    <w:rFonts w:asciiTheme="majorBidi" w:hAnsiTheme="majorBidi" w:cstheme="majorBidi"/>
                    <w:rtl/>
                    <w:lang w:val="en-US"/>
                  </w:rPr>
                  <w:t>)</w:t>
                </w:r>
                <w:r w:rsidR="00F4223D">
                  <w:rPr>
                    <w:webHidden/>
                  </w:rPr>
                  <w:tab/>
                </w:r>
                <w:r w:rsidR="00F4223D">
                  <w:rPr>
                    <w:webHidden/>
                  </w:rPr>
                  <w:fldChar w:fldCharType="begin"/>
                </w:r>
                <w:r w:rsidR="00F4223D">
                  <w:rPr>
                    <w:webHidden/>
                  </w:rPr>
                  <w:instrText xml:space="preserve"> PAGEREF _Toc171803434 \h </w:instrText>
                </w:r>
                <w:r w:rsidR="00F4223D">
                  <w:rPr>
                    <w:webHidden/>
                  </w:rPr>
                </w:r>
                <w:r w:rsidR="00F4223D">
                  <w:rPr>
                    <w:webHidden/>
                  </w:rPr>
                  <w:fldChar w:fldCharType="separate"/>
                </w:r>
                <w:r>
                  <w:rPr>
                    <w:webHidden/>
                    <w:rtl/>
                    <w:lang w:bidi="ar-SA"/>
                  </w:rPr>
                  <w:t>57</w:t>
                </w:r>
                <w:r w:rsidR="00F4223D">
                  <w:rPr>
                    <w:webHidden/>
                  </w:rPr>
                  <w:fldChar w:fldCharType="end"/>
                </w:r>
              </w:hyperlink>
            </w:p>
            <w:p w:rsidR="00F4223D" w:rsidRDefault="00B62F86" w:rsidP="003A089F">
              <w:pPr>
                <w:pStyle w:val="TM3"/>
              </w:pPr>
              <w:hyperlink w:anchor="_Toc171803435" w:history="1">
                <w:r w:rsidR="00F4223D" w:rsidRPr="008D22A6">
                  <w:rPr>
                    <w:rStyle w:val="Lienhypertexte"/>
                  </w:rPr>
                  <w:t>4.1.1.2.</w:t>
                </w:r>
                <w:r w:rsidR="00F4223D">
                  <w:tab/>
                </w:r>
                <w:r w:rsidR="00F4223D" w:rsidRPr="008D22A6">
                  <w:rPr>
                    <w:rStyle w:val="Lienhypertexte"/>
                    <w:rFonts w:hint="eastAsia"/>
                    <w:rtl/>
                  </w:rPr>
                  <w:t>النهج</w:t>
                </w:r>
                <w:r w:rsidR="00F4223D" w:rsidRPr="008D22A6">
                  <w:rPr>
                    <w:rStyle w:val="Lienhypertexte"/>
                    <w:rtl/>
                  </w:rPr>
                  <w:t xml:space="preserve"> </w:t>
                </w:r>
                <w:r w:rsidR="00F4223D" w:rsidRPr="008D22A6">
                  <w:rPr>
                    <w:rStyle w:val="Lienhypertexte"/>
                    <w:rFonts w:hint="eastAsia"/>
                    <w:rtl/>
                  </w:rPr>
                  <w:t>القائم</w:t>
                </w:r>
                <w:r w:rsidR="00F4223D" w:rsidRPr="008D22A6">
                  <w:rPr>
                    <w:rStyle w:val="Lienhypertexte"/>
                    <w:rtl/>
                  </w:rPr>
                  <w:t xml:space="preserve"> </w:t>
                </w:r>
                <w:r w:rsidR="00F4223D" w:rsidRPr="008D22A6">
                  <w:rPr>
                    <w:rStyle w:val="Lienhypertexte"/>
                    <w:rFonts w:hint="eastAsia"/>
                    <w:rtl/>
                  </w:rPr>
                  <w:t>على</w:t>
                </w:r>
                <w:r w:rsidR="00F4223D" w:rsidRPr="008D22A6">
                  <w:rPr>
                    <w:rStyle w:val="Lienhypertexte"/>
                    <w:rtl/>
                  </w:rPr>
                  <w:t xml:space="preserve"> </w:t>
                </w:r>
                <w:r w:rsidR="00F4223D" w:rsidRPr="008D22A6">
                  <w:rPr>
                    <w:rStyle w:val="Lienhypertexte"/>
                    <w:rFonts w:hint="eastAsia"/>
                    <w:rtl/>
                  </w:rPr>
                  <w:t>المكان</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Place-</w:t>
                </w:r>
                <w:r w:rsidR="00F4223D" w:rsidRPr="008D22A6">
                  <w:rPr>
                    <w:rStyle w:val="Lienhypertexte"/>
                    <w:rFonts w:asciiTheme="majorBidi" w:hAnsiTheme="majorBidi" w:cstheme="majorBidi"/>
                    <w:lang w:val="en-US"/>
                  </w:rPr>
                  <w:t>based</w:t>
                </w:r>
                <w:r w:rsidR="00F4223D" w:rsidRPr="008D22A6">
                  <w:rPr>
                    <w:rStyle w:val="Lienhypertexte"/>
                    <w:rFonts w:asciiTheme="majorBidi" w:hAnsiTheme="majorBidi" w:cstheme="majorBidi"/>
                  </w:rPr>
                  <w:t xml:space="preserve"> </w:t>
                </w:r>
                <w:r w:rsidR="00F4223D" w:rsidRPr="008D22A6">
                  <w:rPr>
                    <w:rStyle w:val="Lienhypertexte"/>
                    <w:rFonts w:asciiTheme="majorBidi" w:hAnsiTheme="majorBidi" w:cstheme="majorBidi"/>
                    <w:lang w:val="en-US"/>
                  </w:rPr>
                  <w:t>Approach</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_Toc171803435 \h </w:instrText>
                </w:r>
                <w:r w:rsidR="00F4223D">
                  <w:rPr>
                    <w:webHidden/>
                  </w:rPr>
                </w:r>
                <w:r w:rsidR="00F4223D">
                  <w:rPr>
                    <w:webHidden/>
                  </w:rPr>
                  <w:fldChar w:fldCharType="separate"/>
                </w:r>
                <w:r>
                  <w:rPr>
                    <w:webHidden/>
                    <w:rtl/>
                    <w:lang w:bidi="ar-SA"/>
                  </w:rPr>
                  <w:t>57</w:t>
                </w:r>
                <w:r w:rsidR="00F4223D">
                  <w:rPr>
                    <w:webHidden/>
                  </w:rPr>
                  <w:fldChar w:fldCharType="end"/>
                </w:r>
              </w:hyperlink>
            </w:p>
            <w:p w:rsidR="00F4223D" w:rsidRDefault="00B62F86" w:rsidP="003A089F">
              <w:pPr>
                <w:pStyle w:val="TM3"/>
              </w:pPr>
              <w:hyperlink w:anchor="_Toc171803436" w:history="1">
                <w:r w:rsidR="00F4223D" w:rsidRPr="008D22A6">
                  <w:rPr>
                    <w:rStyle w:val="Lienhypertexte"/>
                    <w:lang w:val="en-US"/>
                  </w:rPr>
                  <w:t>5.1.1.2.</w:t>
                </w:r>
                <w:r w:rsidR="00F4223D">
                  <w:tab/>
                </w:r>
                <w:r w:rsidR="00F4223D" w:rsidRPr="008D22A6">
                  <w:rPr>
                    <w:rStyle w:val="Lienhypertexte"/>
                    <w:rFonts w:hint="eastAsia"/>
                    <w:rtl/>
                  </w:rPr>
                  <w:t>النهج</w:t>
                </w:r>
                <w:r w:rsidR="00F4223D" w:rsidRPr="008D22A6">
                  <w:rPr>
                    <w:rStyle w:val="Lienhypertexte"/>
                    <w:rtl/>
                  </w:rPr>
                  <w:t xml:space="preserve"> </w:t>
                </w:r>
                <w:r w:rsidR="00F4223D" w:rsidRPr="008D22A6">
                  <w:rPr>
                    <w:rStyle w:val="Lienhypertexte"/>
                    <w:rFonts w:hint="eastAsia"/>
                    <w:rtl/>
                  </w:rPr>
                  <w:t>التعاوني،</w:t>
                </w:r>
                <w:r w:rsidR="00F4223D" w:rsidRPr="008D22A6">
                  <w:rPr>
                    <w:rStyle w:val="Lienhypertexte"/>
                    <w:rtl/>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lang w:val="en-US"/>
                  </w:rPr>
                  <w:t>collaborative approaches</w:t>
                </w:r>
                <w:r w:rsidR="00F4223D" w:rsidRPr="008D22A6">
                  <w:rPr>
                    <w:rStyle w:val="Lienhypertexte"/>
                    <w:rFonts w:asciiTheme="majorBidi" w:hAnsiTheme="majorBidi" w:cstheme="majorBidi"/>
                    <w:rtl/>
                    <w:lang w:val="en-US"/>
                  </w:rPr>
                  <w:t>)</w:t>
                </w:r>
                <w:r w:rsidR="00F4223D">
                  <w:rPr>
                    <w:webHidden/>
                  </w:rPr>
                  <w:tab/>
                </w:r>
                <w:r w:rsidR="00F4223D">
                  <w:rPr>
                    <w:webHidden/>
                  </w:rPr>
                  <w:fldChar w:fldCharType="begin"/>
                </w:r>
                <w:r w:rsidR="00F4223D">
                  <w:rPr>
                    <w:webHidden/>
                  </w:rPr>
                  <w:instrText xml:space="preserve"> PAGEREF _Toc171803436 \h </w:instrText>
                </w:r>
                <w:r w:rsidR="00F4223D">
                  <w:rPr>
                    <w:webHidden/>
                  </w:rPr>
                </w:r>
                <w:r w:rsidR="00F4223D">
                  <w:rPr>
                    <w:webHidden/>
                  </w:rPr>
                  <w:fldChar w:fldCharType="separate"/>
                </w:r>
                <w:r>
                  <w:rPr>
                    <w:webHidden/>
                    <w:rtl/>
                    <w:lang w:bidi="ar-SA"/>
                  </w:rPr>
                  <w:t>57</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37" w:history="1">
                <w:r w:rsidR="00F4223D" w:rsidRPr="008D22A6">
                  <w:rPr>
                    <w:rStyle w:val="Lienhypertexte"/>
                  </w:rPr>
                  <w:t>2.2.</w:t>
                </w:r>
                <w:r w:rsidR="0038230A" w:rsidRPr="0038230A">
                  <w:rPr>
                    <w:rFonts w:hint="eastAsia"/>
                    <w:rtl/>
                  </w:rPr>
                  <w:t xml:space="preserve"> </w:t>
                </w:r>
                <w:r w:rsidR="0038230A" w:rsidRPr="0038230A">
                  <w:rPr>
                    <w:rStyle w:val="Lienhypertexte"/>
                    <w:rFonts w:hint="eastAsia"/>
                    <w:rtl/>
                  </w:rPr>
                  <w:t>تحليل</w:t>
                </w:r>
                <w:r w:rsidR="0038230A" w:rsidRPr="0038230A">
                  <w:rPr>
                    <w:rStyle w:val="Lienhypertexte"/>
                    <w:rtl/>
                  </w:rPr>
                  <w:t xml:space="preserve"> </w:t>
                </w:r>
                <w:r w:rsidR="0038230A" w:rsidRPr="0038230A">
                  <w:rPr>
                    <w:rStyle w:val="Lienhypertexte"/>
                    <w:rFonts w:hint="eastAsia"/>
                    <w:rtl/>
                  </w:rPr>
                  <w:t>اطر</w:t>
                </w:r>
                <w:r w:rsidR="0038230A" w:rsidRPr="0038230A">
                  <w:rPr>
                    <w:rStyle w:val="Lienhypertexte"/>
                    <w:rtl/>
                  </w:rPr>
                  <w:t xml:space="preserve"> </w:t>
                </w:r>
                <w:r w:rsidR="0038230A" w:rsidRPr="0038230A">
                  <w:rPr>
                    <w:rStyle w:val="Lienhypertexte"/>
                    <w:rFonts w:hint="eastAsia"/>
                    <w:rtl/>
                  </w:rPr>
                  <w:t>ونماذج</w:t>
                </w:r>
                <w:r w:rsidR="0038230A" w:rsidRPr="0038230A">
                  <w:rPr>
                    <w:rStyle w:val="Lienhypertexte"/>
                    <w:rtl/>
                  </w:rPr>
                  <w:t xml:space="preserve"> </w:t>
                </w:r>
                <w:r w:rsidR="0038230A" w:rsidRPr="0038230A">
                  <w:rPr>
                    <w:rStyle w:val="Lienhypertexte"/>
                    <w:rFonts w:hint="eastAsia"/>
                    <w:rtl/>
                  </w:rPr>
                  <w:t>تقييم</w:t>
                </w:r>
                <w:r w:rsidR="0038230A" w:rsidRPr="0038230A">
                  <w:rPr>
                    <w:rStyle w:val="Lienhypertexte"/>
                    <w:rtl/>
                  </w:rPr>
                  <w:t xml:space="preserve"> </w:t>
                </w:r>
                <w:r w:rsidR="0038230A" w:rsidRPr="0038230A">
                  <w:rPr>
                    <w:rStyle w:val="Lienhypertexte"/>
                    <w:rFonts w:hint="eastAsia"/>
                    <w:rtl/>
                  </w:rPr>
                  <w:t>المرونة</w:t>
                </w:r>
                <w:r w:rsidR="0038230A">
                  <w:rPr>
                    <w:rStyle w:val="Lienhypertexte"/>
                    <w:rFonts w:hint="cs"/>
                    <w:rtl/>
                  </w:rPr>
                  <w:t>....................................................................................</w:t>
                </w:r>
                <w:r w:rsidR="00F4223D">
                  <w:rPr>
                    <w:webHidden/>
                  </w:rPr>
                  <w:tab/>
                </w:r>
                <w:r w:rsidR="00F4223D">
                  <w:rPr>
                    <w:webHidden/>
                  </w:rPr>
                  <w:fldChar w:fldCharType="begin"/>
                </w:r>
                <w:r w:rsidR="00F4223D">
                  <w:rPr>
                    <w:webHidden/>
                  </w:rPr>
                  <w:instrText xml:space="preserve"> PAGEREF _Toc171803437 \h </w:instrText>
                </w:r>
                <w:r w:rsidR="00F4223D">
                  <w:rPr>
                    <w:webHidden/>
                  </w:rPr>
                </w:r>
                <w:r w:rsidR="00F4223D">
                  <w:rPr>
                    <w:webHidden/>
                  </w:rPr>
                  <w:fldChar w:fldCharType="separate"/>
                </w:r>
                <w:r>
                  <w:rPr>
                    <w:webHidden/>
                    <w:rtl/>
                    <w:lang w:bidi="ar-SA"/>
                  </w:rPr>
                  <w:t>58</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38" w:history="1">
                <w:r w:rsidR="00F4223D" w:rsidRPr="008D22A6">
                  <w:rPr>
                    <w:rStyle w:val="Lienhypertexte"/>
                    <w:lang w:bidi="ar-DZ"/>
                  </w:rPr>
                  <w:t>1.2.2.</w:t>
                </w:r>
                <w:r w:rsidR="00F4223D">
                  <w:rPr>
                    <w:rFonts w:asciiTheme="minorHAnsi" w:hAnsiTheme="minorHAnsi" w:cstheme="minorBidi"/>
                    <w:lang w:val="fr-FR"/>
                  </w:rPr>
                  <w:tab/>
                </w:r>
                <w:r w:rsidR="00F4223D" w:rsidRPr="008D22A6">
                  <w:rPr>
                    <w:rStyle w:val="Lienhypertexte"/>
                    <w:rFonts w:hint="eastAsia"/>
                    <w:rtl/>
                    <w:lang w:bidi="ar-DZ"/>
                  </w:rPr>
                  <w:t>مؤشر</w:t>
                </w:r>
                <w:r w:rsidR="00F4223D" w:rsidRPr="008D22A6">
                  <w:rPr>
                    <w:rStyle w:val="Lienhypertexte"/>
                    <w:rtl/>
                    <w:lang w:bidi="ar-DZ"/>
                  </w:rPr>
                  <w:t xml:space="preserve"> </w:t>
                </w:r>
                <w:r w:rsidR="00F4223D" w:rsidRPr="008D22A6">
                  <w:rPr>
                    <w:rStyle w:val="Lienhypertexte"/>
                    <w:rFonts w:hint="eastAsia"/>
                    <w:rtl/>
                    <w:lang w:bidi="ar-DZ"/>
                  </w:rPr>
                  <w:t>مرونة</w:t>
                </w:r>
                <w:r w:rsidR="00F4223D" w:rsidRPr="008D22A6">
                  <w:rPr>
                    <w:rStyle w:val="Lienhypertexte"/>
                    <w:rtl/>
                    <w:lang w:bidi="ar-DZ"/>
                  </w:rPr>
                  <w:t xml:space="preserve"> </w:t>
                </w:r>
                <w:r w:rsidR="00F4223D" w:rsidRPr="008D22A6">
                  <w:rPr>
                    <w:rStyle w:val="Lienhypertexte"/>
                    <w:rFonts w:hint="eastAsia"/>
                    <w:rtl/>
                    <w:lang w:bidi="ar-DZ"/>
                  </w:rPr>
                  <w:t>مواجهة</w:t>
                </w:r>
                <w:r w:rsidR="00F4223D" w:rsidRPr="008D22A6">
                  <w:rPr>
                    <w:rStyle w:val="Lienhypertexte"/>
                    <w:rtl/>
                    <w:lang w:bidi="ar-DZ"/>
                  </w:rPr>
                  <w:t xml:space="preserve"> </w:t>
                </w:r>
                <w:r w:rsidR="00F4223D" w:rsidRPr="008D22A6">
                  <w:rPr>
                    <w:rStyle w:val="Lienhypertexte"/>
                    <w:rFonts w:hint="eastAsia"/>
                    <w:rtl/>
                    <w:lang w:bidi="ar-DZ"/>
                  </w:rPr>
                  <w:t>الكوارث</w:t>
                </w:r>
                <w:r w:rsidR="00F4223D" w:rsidRPr="008D22A6">
                  <w:rPr>
                    <w:rStyle w:val="Lienhypertexte"/>
                    <w:rtl/>
                    <w:lang w:bidi="ar-DZ"/>
                  </w:rPr>
                  <w:t xml:space="preserve"> </w:t>
                </w:r>
                <w:r w:rsidR="00F4223D" w:rsidRPr="008D22A6">
                  <w:rPr>
                    <w:rStyle w:val="Lienhypertexte"/>
                    <w:rFonts w:hint="eastAsia"/>
                    <w:rtl/>
                    <w:lang w:bidi="ar-DZ"/>
                  </w:rPr>
                  <w:t>المناخية</w:t>
                </w:r>
                <w:r w:rsidR="00F4223D" w:rsidRPr="008D22A6">
                  <w:rPr>
                    <w:rStyle w:val="Lienhypertexte"/>
                    <w:rtl/>
                    <w:lang w:bidi="ar-DZ"/>
                  </w:rPr>
                  <w:t xml:space="preserve"> </w:t>
                </w:r>
                <w:r w:rsidR="00F4223D" w:rsidRPr="008D22A6">
                  <w:rPr>
                    <w:rStyle w:val="Lienhypertexte"/>
                    <w:rFonts w:hint="eastAsia"/>
                    <w:rtl/>
                    <w:lang w:bidi="ar-DZ"/>
                  </w:rPr>
                  <w:t>،</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(Shaw, 2009)</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Pr>
                  <w:t>,</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CDRI</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Climate Disaster Resilience Index</w:t>
                </w:r>
                <w:r w:rsidR="00F4223D" w:rsidRPr="008D22A6">
                  <w:rPr>
                    <w:rStyle w:val="Lienhypertexte"/>
                    <w:rFonts w:asciiTheme="majorBidi" w:hAnsiTheme="majorBidi" w:cstheme="majorBidi"/>
                    <w:rtl/>
                  </w:rPr>
                  <w:t>]</w:t>
                </w:r>
                <w:r w:rsidR="001A5014">
                  <w:rPr>
                    <w:rStyle w:val="Lienhypertexte"/>
                    <w:rFonts w:asciiTheme="majorBidi" w:hAnsiTheme="majorBidi" w:cstheme="majorBidi" w:hint="cs"/>
                    <w:rtl/>
                  </w:rPr>
                  <w:t>..............................................................................................................................................</w:t>
                </w:r>
                <w:r w:rsidR="00F4223D">
                  <w:rPr>
                    <w:webHidden/>
                  </w:rPr>
                  <w:tab/>
                </w:r>
                <w:r w:rsidR="00F4223D">
                  <w:rPr>
                    <w:webHidden/>
                  </w:rPr>
                  <w:fldChar w:fldCharType="begin"/>
                </w:r>
                <w:r w:rsidR="00F4223D">
                  <w:rPr>
                    <w:webHidden/>
                  </w:rPr>
                  <w:instrText xml:space="preserve"> PAGEREF _Toc171803438 \h </w:instrText>
                </w:r>
                <w:r w:rsidR="00F4223D">
                  <w:rPr>
                    <w:webHidden/>
                  </w:rPr>
                </w:r>
                <w:r w:rsidR="00F4223D">
                  <w:rPr>
                    <w:webHidden/>
                  </w:rPr>
                  <w:fldChar w:fldCharType="separate"/>
                </w:r>
                <w:r>
                  <w:rPr>
                    <w:webHidden/>
                    <w:rtl/>
                  </w:rPr>
                  <w:t>58</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42" w:history="1">
                <w:r w:rsidR="00F4223D" w:rsidRPr="008D22A6">
                  <w:rPr>
                    <w:rStyle w:val="Lienhypertexte"/>
                    <w:lang w:bidi="ar-DZ"/>
                  </w:rPr>
                  <w:t>2.2.2.</w:t>
                </w:r>
                <w:r w:rsidR="00F4223D">
                  <w:rPr>
                    <w:rFonts w:asciiTheme="minorHAnsi" w:hAnsiTheme="minorHAnsi" w:cstheme="minorBidi"/>
                    <w:lang w:val="fr-FR"/>
                  </w:rPr>
                  <w:tab/>
                </w:r>
                <w:r w:rsidR="00F4223D" w:rsidRPr="008D22A6">
                  <w:rPr>
                    <w:rStyle w:val="Lienhypertexte"/>
                    <w:rFonts w:hint="eastAsia"/>
                    <w:rtl/>
                    <w:lang w:bidi="ar-DZ"/>
                  </w:rPr>
                  <w:t>إطار</w:t>
                </w:r>
                <w:r w:rsidR="00F4223D" w:rsidRPr="008D22A6">
                  <w:rPr>
                    <w:rStyle w:val="Lienhypertexte"/>
                    <w:rtl/>
                    <w:lang w:bidi="ar-DZ"/>
                  </w:rPr>
                  <w:t xml:space="preserve"> </w:t>
                </w:r>
                <w:r w:rsidR="00F4223D" w:rsidRPr="008D22A6">
                  <w:rPr>
                    <w:rStyle w:val="Lienhypertexte"/>
                    <w:rFonts w:hint="eastAsia"/>
                    <w:rtl/>
                    <w:lang w:bidi="ar-DZ"/>
                  </w:rPr>
                  <w:t>عمل</w:t>
                </w:r>
                <w:r w:rsidR="00F4223D" w:rsidRPr="008D22A6">
                  <w:rPr>
                    <w:rStyle w:val="Lienhypertexte"/>
                    <w:rtl/>
                    <w:lang w:bidi="ar-DZ"/>
                  </w:rPr>
                  <w:t xml:space="preserve"> </w:t>
                </w:r>
                <w:r w:rsidR="00F4223D" w:rsidRPr="008D22A6">
                  <w:rPr>
                    <w:rStyle w:val="Lienhypertexte"/>
                    <w:rFonts w:hint="eastAsia"/>
                    <w:rtl/>
                    <w:lang w:bidi="ar-DZ"/>
                  </w:rPr>
                  <w:t>مرونة</w:t>
                </w:r>
                <w:r w:rsidR="00F4223D" w:rsidRPr="008D22A6">
                  <w:rPr>
                    <w:rStyle w:val="Lienhypertexte"/>
                    <w:rtl/>
                    <w:lang w:bidi="ar-DZ"/>
                  </w:rPr>
                  <w:t xml:space="preserve"> </w:t>
                </w:r>
                <w:r w:rsidR="00F4223D" w:rsidRPr="008D22A6">
                  <w:rPr>
                    <w:rStyle w:val="Lienhypertexte"/>
                    <w:rFonts w:hint="eastAsia"/>
                    <w:rtl/>
                    <w:lang w:bidi="ar-DZ"/>
                  </w:rPr>
                  <w:t>المجتمع</w:t>
                </w:r>
                <w:r w:rsidR="00F4223D" w:rsidRPr="008D22A6">
                  <w:rPr>
                    <w:rStyle w:val="Lienhypertexte"/>
                    <w:rtl/>
                    <w:lang w:bidi="ar-DZ"/>
                  </w:rPr>
                  <w:t xml:space="preserve"> </w:t>
                </w:r>
                <w:r w:rsidR="00F4223D" w:rsidRPr="008D22A6">
                  <w:rPr>
                    <w:rStyle w:val="Lienhypertexte"/>
                    <w:rFonts w:hint="eastAsia"/>
                    <w:rtl/>
                    <w:lang w:bidi="ar-DZ"/>
                  </w:rPr>
                  <w:t>لمواجهة</w:t>
                </w:r>
                <w:r w:rsidR="00F4223D" w:rsidRPr="008D22A6">
                  <w:rPr>
                    <w:rStyle w:val="Lienhypertexte"/>
                    <w:rtl/>
                    <w:lang w:bidi="ar-DZ"/>
                  </w:rPr>
                  <w:t xml:space="preserve"> </w:t>
                </w:r>
                <w:r w:rsidR="00F4223D" w:rsidRPr="008D22A6">
                  <w:rPr>
                    <w:rStyle w:val="Lienhypertexte"/>
                    <w:rFonts w:hint="eastAsia"/>
                    <w:rtl/>
                    <w:lang w:bidi="ar-DZ"/>
                  </w:rPr>
                  <w:t>الكوارث،</w:t>
                </w:r>
                <w:r w:rsidR="00F4223D" w:rsidRPr="008D22A6">
                  <w:rPr>
                    <w:rStyle w:val="Lienhypertexte"/>
                    <w:rFonts w:asciiTheme="majorBidi" w:hAnsiTheme="majorBidi" w:cstheme="majorBidi"/>
                    <w:rtl/>
                    <w:lang w:bidi="ar-DZ"/>
                  </w:rPr>
                  <w:t xml:space="preserve"> </w:t>
                </w:r>
                <w:r w:rsidR="00F4223D" w:rsidRPr="00975103">
                  <w:rPr>
                    <w:rStyle w:val="Lienhypertexte"/>
                    <w:rFonts w:asciiTheme="majorBidi" w:hAnsiTheme="majorBidi" w:cstheme="majorBidi"/>
                    <w:sz w:val="20"/>
                    <w:szCs w:val="20"/>
                    <w:rtl/>
                    <w:lang w:bidi="ar-DZ"/>
                  </w:rPr>
                  <w:t>[</w:t>
                </w:r>
                <w:r w:rsidR="00F4223D" w:rsidRPr="00975103">
                  <w:rPr>
                    <w:rStyle w:val="Lienhypertexte"/>
                    <w:rFonts w:asciiTheme="majorBidi" w:hAnsiTheme="majorBidi" w:cstheme="majorBidi"/>
                    <w:sz w:val="20"/>
                    <w:szCs w:val="20"/>
                    <w:rtl/>
                  </w:rPr>
                  <w:t>(2010</w:t>
                </w:r>
                <w:r w:rsidR="00F4223D" w:rsidRPr="00975103">
                  <w:rPr>
                    <w:rStyle w:val="Lienhypertexte"/>
                    <w:rFonts w:asciiTheme="majorBidi" w:hAnsiTheme="majorBidi" w:cstheme="majorBidi" w:hint="eastAsia"/>
                    <w:sz w:val="20"/>
                    <w:szCs w:val="20"/>
                    <w:rtl/>
                  </w:rPr>
                  <w:t>،</w:t>
                </w:r>
                <w:r w:rsidR="00F4223D" w:rsidRPr="00975103">
                  <w:rPr>
                    <w:rStyle w:val="Lienhypertexte"/>
                    <w:rFonts w:asciiTheme="majorBidi" w:hAnsiTheme="majorBidi" w:cstheme="majorBidi"/>
                    <w:sz w:val="20"/>
                    <w:szCs w:val="20"/>
                    <w:rtl/>
                  </w:rPr>
                  <w:t xml:space="preserve"> </w:t>
                </w:r>
                <w:r w:rsidR="00F4223D" w:rsidRPr="00975103">
                  <w:rPr>
                    <w:rStyle w:val="Lienhypertexte"/>
                    <w:rFonts w:asciiTheme="majorBidi" w:hAnsiTheme="majorBidi" w:cstheme="majorBidi"/>
                    <w:sz w:val="20"/>
                    <w:szCs w:val="20"/>
                  </w:rPr>
                  <w:t>Peacock et al</w:t>
                </w:r>
                <w:r w:rsidR="00F4223D" w:rsidRPr="00975103">
                  <w:rPr>
                    <w:rStyle w:val="Lienhypertexte"/>
                    <w:rFonts w:asciiTheme="majorBidi" w:hAnsiTheme="majorBidi" w:cstheme="majorBidi"/>
                    <w:sz w:val="20"/>
                    <w:szCs w:val="20"/>
                    <w:rtl/>
                  </w:rPr>
                  <w:t xml:space="preserve">) </w:t>
                </w:r>
                <w:r w:rsidR="00F4223D" w:rsidRPr="00975103">
                  <w:rPr>
                    <w:rStyle w:val="Lienhypertexte"/>
                    <w:rFonts w:asciiTheme="majorBidi" w:hAnsiTheme="majorBidi" w:cstheme="majorBidi"/>
                    <w:sz w:val="20"/>
                    <w:szCs w:val="20"/>
                  </w:rPr>
                  <w:t>,</w:t>
                </w:r>
                <w:r w:rsidR="00F4223D" w:rsidRPr="00975103">
                  <w:rPr>
                    <w:rStyle w:val="Lienhypertexte"/>
                    <w:rFonts w:asciiTheme="majorBidi" w:hAnsiTheme="majorBidi" w:cstheme="majorBidi"/>
                    <w:sz w:val="20"/>
                    <w:szCs w:val="20"/>
                    <w:rtl/>
                  </w:rPr>
                  <w:t>(</w:t>
                </w:r>
                <w:r w:rsidR="00F4223D" w:rsidRPr="00975103">
                  <w:rPr>
                    <w:rStyle w:val="Lienhypertexte"/>
                    <w:rFonts w:asciiTheme="majorBidi" w:hAnsiTheme="majorBidi" w:cstheme="majorBidi"/>
                    <w:sz w:val="20"/>
                    <w:szCs w:val="20"/>
                  </w:rPr>
                  <w:t>CDRF</w:t>
                </w:r>
                <w:r w:rsidR="00F4223D" w:rsidRPr="00975103">
                  <w:rPr>
                    <w:rStyle w:val="Lienhypertexte"/>
                    <w:rFonts w:asciiTheme="majorBidi" w:hAnsiTheme="majorBidi" w:cstheme="majorBidi"/>
                    <w:sz w:val="20"/>
                    <w:szCs w:val="20"/>
                    <w:rtl/>
                  </w:rPr>
                  <w:t xml:space="preserve">) </w:t>
                </w:r>
                <w:r w:rsidR="00F4223D" w:rsidRPr="00975103">
                  <w:rPr>
                    <w:rStyle w:val="Lienhypertexte"/>
                    <w:rFonts w:asciiTheme="majorBidi" w:hAnsiTheme="majorBidi" w:cstheme="majorBidi"/>
                    <w:sz w:val="20"/>
                    <w:szCs w:val="20"/>
                  </w:rPr>
                  <w:t>Community Disaster Resilience Framework</w:t>
                </w:r>
                <w:r w:rsidR="00F4223D" w:rsidRPr="00975103">
                  <w:rPr>
                    <w:rStyle w:val="Lienhypertexte"/>
                    <w:rFonts w:asciiTheme="majorBidi" w:hAnsiTheme="majorBidi" w:cstheme="majorBidi"/>
                    <w:sz w:val="20"/>
                    <w:szCs w:val="20"/>
                    <w:rtl/>
                  </w:rPr>
                  <w:t>]</w:t>
                </w:r>
                <w:r w:rsidR="00F4223D">
                  <w:rPr>
                    <w:webHidden/>
                  </w:rPr>
                  <w:tab/>
                </w:r>
                <w:r w:rsidR="00F4223D">
                  <w:rPr>
                    <w:webHidden/>
                  </w:rPr>
                  <w:fldChar w:fldCharType="begin"/>
                </w:r>
                <w:r w:rsidR="00F4223D">
                  <w:rPr>
                    <w:webHidden/>
                  </w:rPr>
                  <w:instrText xml:space="preserve"> PAGEREF _Toc171803442 \h </w:instrText>
                </w:r>
                <w:r w:rsidR="00F4223D">
                  <w:rPr>
                    <w:webHidden/>
                  </w:rPr>
                </w:r>
                <w:r w:rsidR="00F4223D">
                  <w:rPr>
                    <w:webHidden/>
                  </w:rPr>
                  <w:fldChar w:fldCharType="separate"/>
                </w:r>
                <w:r>
                  <w:rPr>
                    <w:webHidden/>
                    <w:rtl/>
                  </w:rPr>
                  <w:t>59</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46" w:history="1">
                <w:r w:rsidR="00F4223D" w:rsidRPr="008D22A6">
                  <w:rPr>
                    <w:rStyle w:val="Lienhypertexte"/>
                  </w:rPr>
                  <w:t>3.2.2.</w:t>
                </w:r>
                <w:r w:rsidR="00F4223D">
                  <w:rPr>
                    <w:rFonts w:asciiTheme="minorHAnsi" w:hAnsiTheme="minorHAnsi" w:cstheme="minorBidi"/>
                    <w:lang w:val="fr-FR"/>
                  </w:rPr>
                  <w:tab/>
                </w:r>
                <w:r w:rsidR="00F4223D" w:rsidRPr="008D22A6">
                  <w:rPr>
                    <w:rStyle w:val="Lienhypertexte"/>
                    <w:rFonts w:asciiTheme="minorBidi" w:hAnsiTheme="minorBidi" w:cs="Arial" w:hint="eastAsia"/>
                    <w:rtl/>
                  </w:rPr>
                  <w:t>إطار</w:t>
                </w:r>
                <w:r w:rsidR="00F4223D" w:rsidRPr="008D22A6">
                  <w:rPr>
                    <w:rStyle w:val="Lienhypertexte"/>
                    <w:rFonts w:asciiTheme="minorBidi" w:hAnsiTheme="minorBidi" w:cs="Arial"/>
                    <w:rtl/>
                  </w:rPr>
                  <w:t xml:space="preserve"> </w:t>
                </w:r>
                <w:r w:rsidR="00F4223D" w:rsidRPr="008D22A6">
                  <w:rPr>
                    <w:rStyle w:val="Lienhypertexte"/>
                    <w:rFonts w:asciiTheme="minorBidi" w:hAnsiTheme="minorBidi" w:cs="Arial" w:hint="eastAsia"/>
                    <w:rtl/>
                  </w:rPr>
                  <w:t>عمل</w:t>
                </w:r>
                <w:r w:rsidR="00F4223D" w:rsidRPr="008D22A6">
                  <w:rPr>
                    <w:rStyle w:val="Lienhypertexte"/>
                    <w:rFonts w:asciiTheme="minorBidi" w:hAnsiTheme="minorBidi" w:cs="Arial"/>
                    <w:rtl/>
                  </w:rPr>
                  <w:t xml:space="preserve"> </w:t>
                </w:r>
                <w:r w:rsidR="00F4223D" w:rsidRPr="008D22A6">
                  <w:rPr>
                    <w:rStyle w:val="Lienhypertexte"/>
                    <w:rFonts w:asciiTheme="minorBidi" w:hAnsiTheme="minorBidi" w:cs="Arial" w:hint="eastAsia"/>
                    <w:rtl/>
                  </w:rPr>
                  <w:t>المرونة</w:t>
                </w:r>
                <w:r w:rsidR="00F4223D" w:rsidRPr="008D22A6">
                  <w:rPr>
                    <w:rStyle w:val="Lienhypertexte"/>
                    <w:rFonts w:asciiTheme="minorBidi" w:hAnsiTheme="minorBidi" w:cs="Arial"/>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P.E.O.P.L.E.S</w:t>
                </w:r>
                <w:r w:rsidR="00F4223D" w:rsidRPr="008D22A6">
                  <w:rPr>
                    <w:rStyle w:val="Lienhypertexte"/>
                    <w:rFonts w:asciiTheme="majorBidi" w:hAnsiTheme="majorBidi" w:cstheme="majorBidi"/>
                    <w:rtl/>
                  </w:rPr>
                  <w:t>"</w:t>
                </w:r>
                <w:r w:rsidR="00F4223D" w:rsidRPr="008D22A6">
                  <w:rPr>
                    <w:rStyle w:val="Lienhypertexte"/>
                    <w:rFonts w:hint="eastAsia"/>
                    <w:rtl/>
                  </w:rPr>
                  <w:t>،</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 xml:space="preserve"> P.E.O.P.L.E.S Resilience Framework, (Renschler et al., 2010)</w:t>
                </w:r>
                <w:r w:rsidR="00F4223D" w:rsidRPr="008D22A6">
                  <w:rPr>
                    <w:rStyle w:val="Lienhypertexte"/>
                    <w:rFonts w:asciiTheme="majorBidi" w:hAnsiTheme="majorBidi" w:cstheme="majorBidi"/>
                    <w:rtl/>
                  </w:rPr>
                  <w:t>].</w:t>
                </w:r>
                <w:r w:rsidR="001A5014">
                  <w:rPr>
                    <w:rStyle w:val="Lienhypertexte"/>
                    <w:rFonts w:asciiTheme="majorBidi" w:hAnsiTheme="majorBidi" w:cstheme="majorBidi" w:hint="cs"/>
                    <w:rtl/>
                  </w:rPr>
                  <w:t>........................................................................................................................................</w:t>
                </w:r>
                <w:r w:rsidR="00F4223D">
                  <w:rPr>
                    <w:webHidden/>
                  </w:rPr>
                  <w:tab/>
                </w:r>
                <w:r w:rsidR="00F4223D">
                  <w:rPr>
                    <w:webHidden/>
                  </w:rPr>
                  <w:fldChar w:fldCharType="begin"/>
                </w:r>
                <w:r w:rsidR="00F4223D">
                  <w:rPr>
                    <w:webHidden/>
                  </w:rPr>
                  <w:instrText xml:space="preserve"> PAGEREF _Toc171803446 \h </w:instrText>
                </w:r>
                <w:r w:rsidR="00F4223D">
                  <w:rPr>
                    <w:webHidden/>
                  </w:rPr>
                </w:r>
                <w:r w:rsidR="00F4223D">
                  <w:rPr>
                    <w:webHidden/>
                  </w:rPr>
                  <w:fldChar w:fldCharType="separate"/>
                </w:r>
                <w:r>
                  <w:rPr>
                    <w:webHidden/>
                    <w:rtl/>
                  </w:rPr>
                  <w:t>61</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50" w:history="1">
                <w:r w:rsidR="00F4223D" w:rsidRPr="008D22A6">
                  <w:rPr>
                    <w:rStyle w:val="Lienhypertexte"/>
                    <w:lang w:bidi="ar-DZ"/>
                  </w:rPr>
                  <w:t>4.2.2.</w:t>
                </w:r>
                <w:r w:rsidR="00F4223D">
                  <w:rPr>
                    <w:rFonts w:asciiTheme="minorHAnsi" w:hAnsiTheme="minorHAnsi" w:cstheme="minorBidi"/>
                    <w:lang w:val="fr-FR"/>
                  </w:rPr>
                  <w:tab/>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مرونة</w:t>
                </w:r>
                <w:r w:rsidR="00F4223D" w:rsidRPr="008D22A6">
                  <w:rPr>
                    <w:rStyle w:val="Lienhypertexte"/>
                    <w:rtl/>
                  </w:rPr>
                  <w:t xml:space="preserve"> </w:t>
                </w:r>
                <w:r w:rsidR="00F4223D" w:rsidRPr="008D22A6">
                  <w:rPr>
                    <w:rStyle w:val="Lienhypertexte"/>
                    <w:rFonts w:hint="eastAsia"/>
                    <w:rtl/>
                  </w:rPr>
                  <w:t>البنية</w:t>
                </w:r>
                <w:r w:rsidR="00F4223D" w:rsidRPr="008D22A6">
                  <w:rPr>
                    <w:rStyle w:val="Lienhypertexte"/>
                    <w:rtl/>
                  </w:rPr>
                  <w:t xml:space="preserve"> </w:t>
                </w:r>
                <w:r w:rsidR="00F4223D" w:rsidRPr="008D22A6">
                  <w:rPr>
                    <w:rStyle w:val="Lienhypertexte"/>
                    <w:rFonts w:hint="eastAsia"/>
                    <w:rtl/>
                  </w:rPr>
                  <w:t>التحتية</w:t>
                </w:r>
                <w:r w:rsidR="00F4223D" w:rsidRPr="008D22A6">
                  <w:rPr>
                    <w:rStyle w:val="Lienhypertexte"/>
                    <w:rtl/>
                  </w:rPr>
                  <w:t xml:space="preserve"> </w:t>
                </w:r>
                <w:r w:rsidR="00F4223D" w:rsidRPr="008D22A6">
                  <w:rPr>
                    <w:rStyle w:val="Lienhypertexte"/>
                    <w:rFonts w:hint="eastAsia"/>
                    <w:rtl/>
                  </w:rPr>
                  <w:t>الشبكية،</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tl/>
                    <w:lang w:bidi="ar-DZ"/>
                  </w:rPr>
                  <w:t>[</w:t>
                </w:r>
                <w:r w:rsidR="00F4223D" w:rsidRPr="008D22A6">
                  <w:rPr>
                    <w:rStyle w:val="Lienhypertexte"/>
                    <w:rFonts w:asciiTheme="majorBidi" w:hAnsiTheme="majorBidi" w:cstheme="majorBidi"/>
                  </w:rPr>
                  <w:t>(Mayada, 2011)</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Pr>
                  <w:t>,</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NIRA</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Pr>
                  <w:t>Networked Infrastructure Resilience Assessment</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_Toc171803450 \h </w:instrText>
                </w:r>
                <w:r w:rsidR="00F4223D">
                  <w:rPr>
                    <w:webHidden/>
                  </w:rPr>
                </w:r>
                <w:r w:rsidR="00F4223D">
                  <w:rPr>
                    <w:webHidden/>
                  </w:rPr>
                  <w:fldChar w:fldCharType="separate"/>
                </w:r>
                <w:r>
                  <w:rPr>
                    <w:webHidden/>
                    <w:rtl/>
                  </w:rPr>
                  <w:t>62</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54" w:history="1">
                <w:r w:rsidR="00F4223D" w:rsidRPr="008D22A6">
                  <w:rPr>
                    <w:rStyle w:val="Lienhypertexte"/>
                    <w:lang w:bidi="ar-DZ"/>
                  </w:rPr>
                  <w:t>5.2.2.</w:t>
                </w:r>
                <w:r w:rsidR="00F4223D">
                  <w:rPr>
                    <w:rFonts w:asciiTheme="minorHAnsi" w:hAnsiTheme="minorHAnsi" w:cstheme="minorBidi"/>
                    <w:lang w:val="fr-FR"/>
                  </w:rPr>
                  <w:tab/>
                </w:r>
                <w:r w:rsidR="00F4223D" w:rsidRPr="008D22A6">
                  <w:rPr>
                    <w:rStyle w:val="Lienhypertexte"/>
                    <w:rFonts w:hint="eastAsia"/>
                    <w:rtl/>
                    <w:lang w:bidi="ar-DZ"/>
                  </w:rPr>
                  <w:t>نموذج</w:t>
                </w:r>
                <w:r w:rsidR="00F4223D" w:rsidRPr="008D22A6">
                  <w:rPr>
                    <w:rStyle w:val="Lienhypertexte"/>
                    <w:rtl/>
                    <w:lang w:bidi="ar-DZ"/>
                  </w:rPr>
                  <w:t xml:space="preserve"> </w:t>
                </w:r>
                <w:r w:rsidR="00F4223D" w:rsidRPr="008D22A6">
                  <w:rPr>
                    <w:rStyle w:val="Lienhypertexte"/>
                    <w:rFonts w:hint="eastAsia"/>
                    <w:rtl/>
                    <w:lang w:bidi="ar-DZ"/>
                  </w:rPr>
                  <w:t>مرونة</w:t>
                </w:r>
                <w:r w:rsidR="00F4223D" w:rsidRPr="008D22A6">
                  <w:rPr>
                    <w:rStyle w:val="Lienhypertexte"/>
                    <w:rtl/>
                    <w:lang w:bidi="ar-DZ"/>
                  </w:rPr>
                  <w:t xml:space="preserve"> </w:t>
                </w:r>
                <w:r w:rsidR="00F4223D" w:rsidRPr="008D22A6">
                  <w:rPr>
                    <w:rStyle w:val="Lienhypertexte"/>
                    <w:rFonts w:hint="eastAsia"/>
                    <w:rtl/>
                    <w:lang w:bidi="ar-DZ"/>
                  </w:rPr>
                  <w:t>المكان</w:t>
                </w:r>
                <w:r w:rsidR="00F4223D" w:rsidRPr="008D22A6">
                  <w:rPr>
                    <w:rStyle w:val="Lienhypertexte"/>
                    <w:rtl/>
                    <w:lang w:bidi="ar-DZ"/>
                  </w:rPr>
                  <w:t xml:space="preserve"> </w:t>
                </w:r>
                <w:r w:rsidR="00F4223D" w:rsidRPr="008D22A6">
                  <w:rPr>
                    <w:rStyle w:val="Lienhypertexte"/>
                    <w:rFonts w:hint="eastAsia"/>
                    <w:rtl/>
                    <w:lang w:bidi="ar-DZ"/>
                  </w:rPr>
                  <w:t>لمواجهة</w:t>
                </w:r>
                <w:r w:rsidR="00F4223D" w:rsidRPr="008D22A6">
                  <w:rPr>
                    <w:rStyle w:val="Lienhypertexte"/>
                    <w:rtl/>
                    <w:lang w:bidi="ar-DZ"/>
                  </w:rPr>
                  <w:t xml:space="preserve"> </w:t>
                </w:r>
                <w:r w:rsidR="00F4223D" w:rsidRPr="008D22A6">
                  <w:rPr>
                    <w:rStyle w:val="Lienhypertexte"/>
                    <w:rFonts w:hint="eastAsia"/>
                    <w:rtl/>
                    <w:lang w:bidi="ar-DZ"/>
                  </w:rPr>
                  <w:t>الكوارث</w:t>
                </w:r>
                <w:r w:rsidR="00F4223D" w:rsidRPr="008D22A6">
                  <w:rPr>
                    <w:rStyle w:val="Lienhypertexte"/>
                    <w:rFonts w:asciiTheme="minorBidi" w:hAnsiTheme="minorBidi" w:cs="Arial"/>
                    <w:rtl/>
                    <w:lang w:bidi="ar-DZ"/>
                  </w:rPr>
                  <w:t xml:space="preserve"> </w:t>
                </w:r>
                <w:r w:rsidR="00F4223D" w:rsidRPr="008D22A6">
                  <w:rPr>
                    <w:rStyle w:val="Lienhypertexte"/>
                    <w:rFonts w:hint="eastAsia"/>
                    <w:rtl/>
                    <w:lang w:bidi="ar-DZ"/>
                  </w:rPr>
                  <w:t>،</w:t>
                </w:r>
                <w:r w:rsidR="00F4223D" w:rsidRPr="008D22A6">
                  <w:rPr>
                    <w:rStyle w:val="Lienhypertexte"/>
                    <w:rFonts w:asciiTheme="majorBidi" w:hAnsiTheme="majorBidi" w:cstheme="majorBidi"/>
                    <w:rtl/>
                    <w:lang w:bidi="ar-DZ"/>
                  </w:rPr>
                  <w:t xml:space="preserve"> [</w:t>
                </w:r>
                <w:r w:rsidR="00F4223D" w:rsidRPr="008D22A6">
                  <w:rPr>
                    <w:rStyle w:val="Lienhypertexte"/>
                    <w:rFonts w:asciiTheme="majorBidi" w:hAnsiTheme="majorBidi" w:cstheme="majorBidi"/>
                  </w:rPr>
                  <w:t>(Cutter et al., 2008)</w:t>
                </w:r>
                <w:r w:rsidR="00F4223D" w:rsidRPr="008D22A6">
                  <w:rPr>
                    <w:rStyle w:val="Lienhypertexte"/>
                    <w:rFonts w:asciiTheme="majorBidi" w:hAnsiTheme="majorBidi" w:cstheme="majorBidi"/>
                    <w:rtl/>
                    <w:lang w:bidi="ar-DZ"/>
                  </w:rPr>
                  <w:t xml:space="preserve"> </w:t>
                </w:r>
                <w:r w:rsidR="00F4223D" w:rsidRPr="008D22A6">
                  <w:rPr>
                    <w:rStyle w:val="Lienhypertexte"/>
                    <w:rFonts w:asciiTheme="majorBidi" w:hAnsiTheme="majorBidi" w:cstheme="majorBidi"/>
                    <w:lang w:bidi="ar-DZ"/>
                  </w:rPr>
                  <w:t>,</w:t>
                </w:r>
                <w:r w:rsidR="00F4223D" w:rsidRPr="008D22A6">
                  <w:rPr>
                    <w:rStyle w:val="Lienhypertexte"/>
                    <w:rFonts w:asciiTheme="majorBidi" w:hAnsiTheme="majorBidi" w:cstheme="majorBidi"/>
                    <w:rtl/>
                    <w:lang w:bidi="ar-DZ"/>
                  </w:rPr>
                  <w:t>(</w:t>
                </w:r>
                <w:r w:rsidR="00F4223D" w:rsidRPr="008D22A6">
                  <w:rPr>
                    <w:rStyle w:val="Lienhypertexte"/>
                    <w:rFonts w:asciiTheme="majorBidi" w:hAnsiTheme="majorBidi" w:cstheme="majorBidi"/>
                    <w:lang w:bidi="ar-DZ"/>
                  </w:rPr>
                  <w:t>DROP</w:t>
                </w:r>
                <w:r w:rsidR="00F4223D" w:rsidRPr="008D22A6">
                  <w:rPr>
                    <w:rStyle w:val="Lienhypertexte"/>
                    <w:rFonts w:asciiTheme="majorBidi" w:hAnsiTheme="majorBidi" w:cstheme="majorBidi"/>
                    <w:rtl/>
                    <w:lang w:bidi="ar-DZ"/>
                  </w:rPr>
                  <w:t xml:space="preserve">) </w:t>
                </w:r>
                <w:r w:rsidR="00F4223D" w:rsidRPr="008D22A6">
                  <w:rPr>
                    <w:rStyle w:val="Lienhypertexte"/>
                    <w:rFonts w:asciiTheme="majorBidi" w:hAnsiTheme="majorBidi" w:cstheme="majorBidi"/>
                  </w:rPr>
                  <w:t>Disaster Resilience of Place</w:t>
                </w:r>
                <w:r w:rsidR="00F4223D" w:rsidRPr="008D22A6">
                  <w:rPr>
                    <w:rStyle w:val="Lienhypertexte"/>
                    <w:rFonts w:asciiTheme="majorBidi" w:hAnsiTheme="majorBidi" w:cstheme="majorBidi"/>
                    <w:rtl/>
                  </w:rPr>
                  <w:t>]</w:t>
                </w:r>
                <w:r w:rsidR="001A5014">
                  <w:rPr>
                    <w:rStyle w:val="Lienhypertexte"/>
                    <w:rFonts w:asciiTheme="majorBidi" w:hAnsiTheme="majorBidi" w:cstheme="majorBidi" w:hint="cs"/>
                    <w:rtl/>
                  </w:rPr>
                  <w:t>..............................................................................................................................................</w:t>
                </w:r>
                <w:r w:rsidR="00F4223D">
                  <w:rPr>
                    <w:webHidden/>
                  </w:rPr>
                  <w:tab/>
                </w:r>
                <w:r w:rsidR="00F4223D">
                  <w:rPr>
                    <w:webHidden/>
                  </w:rPr>
                  <w:fldChar w:fldCharType="begin"/>
                </w:r>
                <w:r w:rsidR="00F4223D">
                  <w:rPr>
                    <w:webHidden/>
                  </w:rPr>
                  <w:instrText xml:space="preserve"> PAGEREF _Toc171803454 \h </w:instrText>
                </w:r>
                <w:r w:rsidR="00F4223D">
                  <w:rPr>
                    <w:webHidden/>
                  </w:rPr>
                </w:r>
                <w:r w:rsidR="00F4223D">
                  <w:rPr>
                    <w:webHidden/>
                  </w:rPr>
                  <w:fldChar w:fldCharType="separate"/>
                </w:r>
                <w:r>
                  <w:rPr>
                    <w:webHidden/>
                    <w:rtl/>
                  </w:rPr>
                  <w:t>64</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59" w:history="1">
                <w:r w:rsidR="00F4223D" w:rsidRPr="008D22A6">
                  <w:rPr>
                    <w:rStyle w:val="Lienhypertexte"/>
                    <w:lang w:bidi="ar-DZ"/>
                  </w:rPr>
                  <w:t>6.2.2.</w:t>
                </w:r>
                <w:r w:rsidR="00F4223D">
                  <w:rPr>
                    <w:rFonts w:asciiTheme="minorHAnsi" w:hAnsiTheme="minorHAnsi" w:cstheme="minorBidi"/>
                    <w:lang w:val="fr-FR"/>
                  </w:rPr>
                  <w:tab/>
                </w:r>
                <w:r w:rsidR="00F4223D" w:rsidRPr="008D22A6">
                  <w:rPr>
                    <w:rStyle w:val="Lienhypertexte"/>
                    <w:rFonts w:hint="eastAsia"/>
                    <w:rtl/>
                  </w:rPr>
                  <w:t>المشاركة</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إدارة</w:t>
                </w:r>
                <w:r w:rsidR="00F4223D" w:rsidRPr="008D22A6">
                  <w:rPr>
                    <w:rStyle w:val="Lienhypertexte"/>
                    <w:rtl/>
                  </w:rPr>
                  <w:t xml:space="preserve"> </w:t>
                </w:r>
                <w:r w:rsidR="00F4223D" w:rsidRPr="008D22A6">
                  <w:rPr>
                    <w:rStyle w:val="Lienhypertexte"/>
                    <w:rFonts w:hint="eastAsia"/>
                    <w:rtl/>
                  </w:rPr>
                  <w:t>مخاطر</w:t>
                </w:r>
                <w:r w:rsidR="00F4223D" w:rsidRPr="008D22A6">
                  <w:rPr>
                    <w:rStyle w:val="Lienhypertexte"/>
                    <w:rtl/>
                  </w:rPr>
                  <w:t xml:space="preserve"> </w:t>
                </w:r>
                <w:r w:rsidR="00F4223D" w:rsidRPr="008D22A6">
                  <w:rPr>
                    <w:rStyle w:val="Lienhypertexte"/>
                    <w:rFonts w:hint="eastAsia"/>
                    <w:rtl/>
                  </w:rPr>
                  <w:t>الفيضانات</w:t>
                </w:r>
                <w:r w:rsidR="00F4223D" w:rsidRPr="008D22A6">
                  <w:rPr>
                    <w:rStyle w:val="Lienhypertexte"/>
                    <w:rtl/>
                  </w:rPr>
                  <w:t xml:space="preserve"> </w:t>
                </w:r>
                <w:r w:rsidR="00F4223D" w:rsidRPr="008D22A6">
                  <w:rPr>
                    <w:rStyle w:val="Lienhypertexte"/>
                    <w:rFonts w:hint="eastAsia"/>
                    <w:rtl/>
                  </w:rPr>
                  <w:t>وإمكانات</w:t>
                </w:r>
                <w:r w:rsidR="00F4223D" w:rsidRPr="008D22A6">
                  <w:rPr>
                    <w:rStyle w:val="Lienhypertexte"/>
                    <w:rtl/>
                  </w:rPr>
                  <w:t xml:space="preserve"> </w:t>
                </w:r>
                <w:r w:rsidR="00F4223D" w:rsidRPr="008D22A6">
                  <w:rPr>
                    <w:rStyle w:val="Lienhypertexte"/>
                    <w:rFonts w:hint="eastAsia"/>
                    <w:rtl/>
                  </w:rPr>
                  <w:t>مراصد</w:t>
                </w:r>
                <w:r w:rsidR="00F4223D" w:rsidRPr="008D22A6">
                  <w:rPr>
                    <w:rStyle w:val="Lienhypertexte"/>
                    <w:rtl/>
                  </w:rPr>
                  <w:t xml:space="preserve"> </w:t>
                </w:r>
                <w:r w:rsidR="00F4223D" w:rsidRPr="008D22A6">
                  <w:rPr>
                    <w:rStyle w:val="Lienhypertexte"/>
                    <w:rFonts w:hint="eastAsia"/>
                    <w:rtl/>
                  </w:rPr>
                  <w:t>المواطنين،</w:t>
                </w:r>
                <w:r w:rsidR="00F4223D" w:rsidRPr="008D22A6">
                  <w:rPr>
                    <w:rStyle w:val="Lienhypertexte"/>
                    <w:rtl/>
                  </w:rPr>
                  <w:t xml:space="preserve"> </w:t>
                </w:r>
                <w:r w:rsidR="00F4223D" w:rsidRPr="008D22A6">
                  <w:rPr>
                    <w:rStyle w:val="Lienhypertexte"/>
                    <w:rFonts w:hint="eastAsia"/>
                    <w:rtl/>
                  </w:rPr>
                  <w:t>تحليل</w:t>
                </w:r>
                <w:r w:rsidR="00F4223D" w:rsidRPr="008D22A6">
                  <w:rPr>
                    <w:rStyle w:val="Lienhypertexte"/>
                    <w:rtl/>
                  </w:rPr>
                  <w:t xml:space="preserve"> </w:t>
                </w:r>
                <w:r w:rsidR="00F4223D" w:rsidRPr="008D22A6">
                  <w:rPr>
                    <w:rStyle w:val="Lienhypertexte"/>
                    <w:rFonts w:hint="eastAsia"/>
                    <w:rtl/>
                  </w:rPr>
                  <w:t>الحوكمة</w:t>
                </w:r>
                <w:r w:rsidR="00F4223D">
                  <w:rPr>
                    <w:webHidden/>
                  </w:rPr>
                  <w:tab/>
                </w:r>
                <w:r w:rsidR="00F4223D">
                  <w:rPr>
                    <w:webHidden/>
                  </w:rPr>
                  <w:fldChar w:fldCharType="begin"/>
                </w:r>
                <w:r w:rsidR="00F4223D">
                  <w:rPr>
                    <w:webHidden/>
                  </w:rPr>
                  <w:instrText xml:space="preserve"> PAGEREF _Toc171803459 \h </w:instrText>
                </w:r>
                <w:r w:rsidR="00F4223D">
                  <w:rPr>
                    <w:webHidden/>
                  </w:rPr>
                </w:r>
                <w:r w:rsidR="00F4223D">
                  <w:rPr>
                    <w:webHidden/>
                  </w:rPr>
                  <w:fldChar w:fldCharType="separate"/>
                </w:r>
                <w:r>
                  <w:rPr>
                    <w:webHidden/>
                    <w:rtl/>
                  </w:rPr>
                  <w:t>66</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63" w:history="1">
                <w:r w:rsidR="00F4223D" w:rsidRPr="008D22A6">
                  <w:rPr>
                    <w:rStyle w:val="Lienhypertexte"/>
                  </w:rPr>
                  <w:t>3.2.</w:t>
                </w:r>
                <w:r w:rsidR="001A5014" w:rsidRPr="001A5014">
                  <w:rPr>
                    <w:rStyle w:val="Lienhypertexte"/>
                    <w:rFonts w:hint="eastAsia"/>
                    <w:rtl/>
                  </w:rPr>
                  <w:t xml:space="preserve"> النمذجة</w:t>
                </w:r>
                <w:r w:rsidR="001A5014" w:rsidRPr="001A5014">
                  <w:rPr>
                    <w:rStyle w:val="Lienhypertexte"/>
                    <w:rtl/>
                  </w:rPr>
                  <w:t xml:space="preserve"> </w:t>
                </w:r>
                <w:r w:rsidR="001A5014" w:rsidRPr="001A5014">
                  <w:rPr>
                    <w:rStyle w:val="Lienhypertexte"/>
                    <w:rFonts w:hint="eastAsia"/>
                    <w:rtl/>
                  </w:rPr>
                  <w:t>المكانية</w:t>
                </w:r>
                <w:r w:rsidR="001A5014" w:rsidRPr="001A5014">
                  <w:rPr>
                    <w:rStyle w:val="Lienhypertexte"/>
                    <w:rtl/>
                  </w:rPr>
                  <w:t xml:space="preserve"> </w:t>
                </w:r>
                <w:r w:rsidR="001A5014" w:rsidRPr="001A5014">
                  <w:rPr>
                    <w:rStyle w:val="Lienhypertexte"/>
                    <w:rFonts w:hint="eastAsia"/>
                    <w:rtl/>
                  </w:rPr>
                  <w:t>للمرونة</w:t>
                </w:r>
                <w:r w:rsidR="001A5014">
                  <w:rPr>
                    <w:rStyle w:val="Lienhypertexte"/>
                    <w:rFonts w:hint="cs"/>
                    <w:rtl/>
                  </w:rPr>
                  <w:t>...................................................................................</w:t>
                </w:r>
                <w:r w:rsidR="001A5014" w:rsidRPr="001A5014">
                  <w:rPr>
                    <w:rStyle w:val="Lienhypertexte"/>
                    <w:rFonts w:hint="cs"/>
                    <w:rtl/>
                  </w:rPr>
                  <w:t>........</w:t>
                </w:r>
                <w:r w:rsidR="00F4223D">
                  <w:rPr>
                    <w:webHidden/>
                  </w:rPr>
                  <w:tab/>
                </w:r>
                <w:r w:rsidR="00F4223D">
                  <w:rPr>
                    <w:webHidden/>
                  </w:rPr>
                  <w:fldChar w:fldCharType="begin"/>
                </w:r>
                <w:r w:rsidR="00F4223D">
                  <w:rPr>
                    <w:webHidden/>
                  </w:rPr>
                  <w:instrText xml:space="preserve"> PAGEREF _Toc171803463 \h </w:instrText>
                </w:r>
                <w:r w:rsidR="00F4223D">
                  <w:rPr>
                    <w:webHidden/>
                  </w:rPr>
                </w:r>
                <w:r w:rsidR="00F4223D">
                  <w:rPr>
                    <w:webHidden/>
                  </w:rPr>
                  <w:fldChar w:fldCharType="separate"/>
                </w:r>
                <w:r>
                  <w:rPr>
                    <w:webHidden/>
                    <w:rtl/>
                    <w:lang w:bidi="ar-SA"/>
                  </w:rPr>
                  <w:t>67</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64" w:history="1">
                <w:r w:rsidR="00F4223D" w:rsidRPr="008D22A6">
                  <w:rPr>
                    <w:rStyle w:val="Lienhypertexte"/>
                  </w:rPr>
                  <w:t>1.3.2.</w:t>
                </w:r>
                <w:r w:rsidR="00F4223D">
                  <w:rPr>
                    <w:rFonts w:asciiTheme="minorHAnsi" w:hAnsiTheme="minorHAnsi" w:cstheme="minorBidi"/>
                    <w:lang w:val="fr-FR"/>
                  </w:rPr>
                  <w:tab/>
                </w:r>
                <w:r w:rsidR="00F4223D" w:rsidRPr="008D22A6">
                  <w:rPr>
                    <w:rStyle w:val="Lienhypertexte"/>
                    <w:rFonts w:hint="eastAsia"/>
                    <w:rtl/>
                  </w:rPr>
                  <w:t>فائدة</w:t>
                </w:r>
                <w:r w:rsidR="00F4223D" w:rsidRPr="008D22A6">
                  <w:rPr>
                    <w:rStyle w:val="Lienhypertexte"/>
                    <w:rtl/>
                  </w:rPr>
                  <w:t xml:space="preserve"> </w:t>
                </w:r>
                <w:r w:rsidR="00F4223D" w:rsidRPr="008D22A6">
                  <w:rPr>
                    <w:rStyle w:val="Lienhypertexte"/>
                    <w:rFonts w:hint="eastAsia"/>
                    <w:rtl/>
                  </w:rPr>
                  <w:t>أنظمة</w:t>
                </w:r>
                <w:r w:rsidR="00F4223D" w:rsidRPr="008D22A6">
                  <w:rPr>
                    <w:rStyle w:val="Lienhypertexte"/>
                    <w:rtl/>
                  </w:rPr>
                  <w:t xml:space="preserve"> </w:t>
                </w:r>
                <w:r w:rsidR="00F4223D" w:rsidRPr="008D22A6">
                  <w:rPr>
                    <w:rStyle w:val="Lienhypertexte"/>
                    <w:rFonts w:hint="eastAsia"/>
                    <w:rtl/>
                  </w:rPr>
                  <w:t>دعم</w:t>
                </w:r>
                <w:r w:rsidR="00F4223D" w:rsidRPr="008D22A6">
                  <w:rPr>
                    <w:rStyle w:val="Lienhypertexte"/>
                    <w:rtl/>
                  </w:rPr>
                  <w:t xml:space="preserve"> </w:t>
                </w:r>
                <w:r w:rsidR="00F4223D" w:rsidRPr="008D22A6">
                  <w:rPr>
                    <w:rStyle w:val="Lienhypertexte"/>
                    <w:rFonts w:hint="eastAsia"/>
                    <w:rtl/>
                  </w:rPr>
                  <w:t>القرار</w:t>
                </w:r>
                <w:r w:rsidR="00F4223D" w:rsidRPr="008D22A6">
                  <w:rPr>
                    <w:rStyle w:val="Lienhypertexte"/>
                    <w:rtl/>
                  </w:rPr>
                  <w:t xml:space="preserve"> </w:t>
                </w:r>
                <w:r w:rsidR="00F4223D" w:rsidRPr="008D22A6">
                  <w:rPr>
                    <w:rStyle w:val="Lienhypertexte"/>
                    <w:rFonts w:hint="eastAsia"/>
                    <w:rtl/>
                  </w:rPr>
                  <w:t>المكاني</w:t>
                </w:r>
                <w:r w:rsidR="00F4223D">
                  <w:rPr>
                    <w:webHidden/>
                  </w:rPr>
                  <w:tab/>
                </w:r>
                <w:r w:rsidR="00F4223D">
                  <w:rPr>
                    <w:webHidden/>
                  </w:rPr>
                  <w:fldChar w:fldCharType="begin"/>
                </w:r>
                <w:r w:rsidR="00F4223D">
                  <w:rPr>
                    <w:webHidden/>
                  </w:rPr>
                  <w:instrText xml:space="preserve"> PAGEREF _Toc171803464 \h </w:instrText>
                </w:r>
                <w:r w:rsidR="00F4223D">
                  <w:rPr>
                    <w:webHidden/>
                  </w:rPr>
                </w:r>
                <w:r w:rsidR="00F4223D">
                  <w:rPr>
                    <w:webHidden/>
                  </w:rPr>
                  <w:fldChar w:fldCharType="separate"/>
                </w:r>
                <w:r>
                  <w:rPr>
                    <w:webHidden/>
                    <w:rtl/>
                  </w:rPr>
                  <w:t>67</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65" w:history="1">
                <w:r w:rsidR="00F4223D" w:rsidRPr="008D22A6">
                  <w:rPr>
                    <w:rStyle w:val="Lienhypertexte"/>
                    <w:rtl/>
                  </w:rPr>
                  <w:t>2.3.2.</w:t>
                </w:r>
                <w:r w:rsidR="00F4223D">
                  <w:rPr>
                    <w:rFonts w:asciiTheme="minorHAnsi" w:hAnsiTheme="minorHAnsi" w:cstheme="minorBidi"/>
                    <w:lang w:val="fr-FR"/>
                  </w:rPr>
                  <w:tab/>
                </w:r>
                <w:r w:rsidR="00F4223D" w:rsidRPr="008D22A6">
                  <w:rPr>
                    <w:rStyle w:val="Lienhypertexte"/>
                    <w:rFonts w:hint="eastAsia"/>
                    <w:rtl/>
                  </w:rPr>
                  <w:t>دمج</w:t>
                </w:r>
                <w:r w:rsidR="00F4223D" w:rsidRPr="008D22A6">
                  <w:rPr>
                    <w:rStyle w:val="Lienhypertexte"/>
                    <w:rtl/>
                  </w:rPr>
                  <w:t xml:space="preserve"> </w:t>
                </w:r>
                <w:r w:rsidR="00F4223D" w:rsidRPr="008D22A6">
                  <w:rPr>
                    <w:rStyle w:val="Lienhypertexte"/>
                    <w:rFonts w:hint="eastAsia"/>
                    <w:rtl/>
                  </w:rPr>
                  <w:t>تقنيات</w:t>
                </w:r>
                <w:r w:rsidR="00F4223D" w:rsidRPr="008D22A6">
                  <w:rPr>
                    <w:rStyle w:val="Lienhypertexte"/>
                    <w:rtl/>
                  </w:rPr>
                  <w:t xml:space="preserve"> </w:t>
                </w:r>
                <w:r w:rsidR="00F4223D" w:rsidRPr="008D22A6">
                  <w:rPr>
                    <w:rStyle w:val="Lienhypertexte"/>
                    <w:rFonts w:hint="eastAsia"/>
                    <w:rtl/>
                  </w:rPr>
                  <w:t>نظم</w:t>
                </w:r>
                <w:r w:rsidR="00F4223D" w:rsidRPr="008D22A6">
                  <w:rPr>
                    <w:rStyle w:val="Lienhypertexte"/>
                    <w:rtl/>
                  </w:rPr>
                  <w:t xml:space="preserve"> </w:t>
                </w:r>
                <w:r w:rsidR="00F4223D" w:rsidRPr="008D22A6">
                  <w:rPr>
                    <w:rStyle w:val="Lienhypertexte"/>
                    <w:rFonts w:hint="eastAsia"/>
                    <w:rtl/>
                  </w:rPr>
                  <w:t>المعلومات</w:t>
                </w:r>
                <w:r w:rsidR="00F4223D" w:rsidRPr="008D22A6">
                  <w:rPr>
                    <w:rStyle w:val="Lienhypertexte"/>
                    <w:rtl/>
                  </w:rPr>
                  <w:t xml:space="preserve"> </w:t>
                </w:r>
                <w:r w:rsidR="00F4223D" w:rsidRPr="008D22A6">
                  <w:rPr>
                    <w:rStyle w:val="Lienhypertexte"/>
                    <w:rFonts w:hint="eastAsia"/>
                    <w:rtl/>
                  </w:rPr>
                  <w:t>الجغرافية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GIS</w:t>
                </w:r>
                <w:r w:rsidR="00F4223D" w:rsidRPr="008D22A6">
                  <w:rPr>
                    <w:rStyle w:val="Lienhypertexte"/>
                    <w:rFonts w:asciiTheme="majorBidi" w:hAnsiTheme="majorBidi" w:cstheme="majorBidi"/>
                    <w:rtl/>
                  </w:rPr>
                  <w:t xml:space="preserve">) </w:t>
                </w:r>
                <w:r w:rsidR="00F4223D" w:rsidRPr="008D22A6">
                  <w:rPr>
                    <w:rStyle w:val="Lienhypertexte"/>
                    <w:rFonts w:hint="eastAsia"/>
                    <w:rtl/>
                  </w:rPr>
                  <w:t>مع</w:t>
                </w:r>
                <w:r w:rsidR="00F4223D" w:rsidRPr="008D22A6">
                  <w:rPr>
                    <w:rStyle w:val="Lienhypertexte"/>
                    <w:rtl/>
                  </w:rPr>
                  <w:t xml:space="preserve"> </w:t>
                </w:r>
                <w:r w:rsidR="00F4223D" w:rsidRPr="008D22A6">
                  <w:rPr>
                    <w:rStyle w:val="Lienhypertexte"/>
                    <w:rFonts w:hint="eastAsia"/>
                    <w:rtl/>
                  </w:rPr>
                  <w:t>نماذج</w:t>
                </w:r>
                <w:r w:rsidR="00F4223D" w:rsidRPr="008D22A6">
                  <w:rPr>
                    <w:rStyle w:val="Lienhypertexte"/>
                    <w:rtl/>
                  </w:rPr>
                  <w:t xml:space="preserve"> </w:t>
                </w:r>
                <w:r w:rsidR="00F4223D" w:rsidRPr="008D22A6">
                  <w:rPr>
                    <w:rStyle w:val="Lienhypertexte"/>
                    <w:rFonts w:hint="eastAsia"/>
                    <w:rtl/>
                  </w:rPr>
                  <w:t>صنع</w:t>
                </w:r>
                <w:r w:rsidR="00F4223D" w:rsidRPr="008D22A6">
                  <w:rPr>
                    <w:rStyle w:val="Lienhypertexte"/>
                    <w:rtl/>
                  </w:rPr>
                  <w:t xml:space="preserve"> </w:t>
                </w:r>
                <w:r w:rsidR="00F4223D" w:rsidRPr="008D22A6">
                  <w:rPr>
                    <w:rStyle w:val="Lienhypertexte"/>
                    <w:rFonts w:hint="eastAsia"/>
                    <w:rtl/>
                  </w:rPr>
                  <w:t>القرار</w:t>
                </w:r>
                <w:r w:rsidR="00F4223D" w:rsidRPr="008D22A6">
                  <w:rPr>
                    <w:rStyle w:val="Lienhypertexte"/>
                    <w:rtl/>
                  </w:rPr>
                  <w:t xml:space="preserve"> </w:t>
                </w:r>
                <w:r w:rsidR="00F4223D" w:rsidRPr="008D22A6">
                  <w:rPr>
                    <w:rStyle w:val="Lienhypertexte"/>
                    <w:rFonts w:hint="eastAsia"/>
                    <w:rtl/>
                  </w:rPr>
                  <w:t>متعددة</w:t>
                </w:r>
                <w:r w:rsidR="00F4223D" w:rsidRPr="008D22A6">
                  <w:rPr>
                    <w:rStyle w:val="Lienhypertexte"/>
                    <w:rtl/>
                  </w:rPr>
                  <w:t xml:space="preserve"> </w:t>
                </w:r>
                <w:r w:rsidR="00F4223D" w:rsidRPr="008D22A6">
                  <w:rPr>
                    <w:rStyle w:val="Lienhypertexte"/>
                    <w:rFonts w:hint="eastAsia"/>
                    <w:rtl/>
                  </w:rPr>
                  <w:t>المعايير</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MCDM</w:t>
                </w:r>
                <w:r w:rsidR="00F4223D" w:rsidRPr="008D22A6">
                  <w:rPr>
                    <w:rStyle w:val="Lienhypertexte"/>
                    <w:rFonts w:asciiTheme="majorBidi" w:hAnsiTheme="majorBidi" w:cstheme="majorBidi"/>
                    <w:rtl/>
                  </w:rPr>
                  <w:t>)</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التحليل</w:t>
                </w:r>
                <w:r w:rsidR="00F4223D" w:rsidRPr="008D22A6">
                  <w:rPr>
                    <w:rStyle w:val="Lienhypertexte"/>
                    <w:rtl/>
                  </w:rPr>
                  <w:t xml:space="preserve"> </w:t>
                </w:r>
                <w:r w:rsidR="00F4223D" w:rsidRPr="008D22A6">
                  <w:rPr>
                    <w:rStyle w:val="Lienhypertexte"/>
                    <w:rFonts w:hint="eastAsia"/>
                    <w:rtl/>
                  </w:rPr>
                  <w:t>المكاني</w:t>
                </w:r>
                <w:r w:rsidR="00F4223D" w:rsidRPr="008D22A6">
                  <w:rPr>
                    <w:rStyle w:val="Lienhypertexte"/>
                    <w:rtl/>
                  </w:rPr>
                  <w:t xml:space="preserve"> </w:t>
                </w:r>
                <w:r w:rsidR="00F4223D" w:rsidRPr="008D22A6">
                  <w:rPr>
                    <w:rStyle w:val="Lienhypertexte"/>
                    <w:rFonts w:hint="eastAsia"/>
                    <w:rtl/>
                  </w:rPr>
                  <w:t>للمرونة</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_Toc171803465 \h </w:instrText>
                </w:r>
                <w:r w:rsidR="00F4223D">
                  <w:rPr>
                    <w:webHidden/>
                  </w:rPr>
                </w:r>
                <w:r w:rsidR="00F4223D">
                  <w:rPr>
                    <w:webHidden/>
                  </w:rPr>
                  <w:fldChar w:fldCharType="separate"/>
                </w:r>
                <w:r>
                  <w:rPr>
                    <w:webHidden/>
                    <w:rtl/>
                  </w:rPr>
                  <w:t>68</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66" w:history="1">
                <w:r w:rsidR="00F4223D" w:rsidRPr="008D22A6">
                  <w:rPr>
                    <w:rStyle w:val="Lienhypertexte"/>
                    <w:rtl/>
                  </w:rPr>
                  <w:t>3.3.2.</w:t>
                </w:r>
                <w:r w:rsidR="00F4223D">
                  <w:rPr>
                    <w:rFonts w:asciiTheme="minorHAnsi" w:hAnsiTheme="minorHAnsi" w:cstheme="minorBidi"/>
                    <w:lang w:val="fr-FR"/>
                  </w:rPr>
                  <w:tab/>
                </w:r>
                <w:r w:rsidR="00F4223D" w:rsidRPr="008D22A6">
                  <w:rPr>
                    <w:rStyle w:val="Lienhypertexte"/>
                    <w:rFonts w:hint="eastAsia"/>
                    <w:rtl/>
                  </w:rPr>
                  <w:t>امثلة</w:t>
                </w:r>
                <w:r w:rsidR="00F4223D" w:rsidRPr="008D22A6">
                  <w:rPr>
                    <w:rStyle w:val="Lienhypertexte"/>
                    <w:rtl/>
                  </w:rPr>
                  <w:t xml:space="preserve"> </w:t>
                </w:r>
                <w:r w:rsidR="00F4223D" w:rsidRPr="008D22A6">
                  <w:rPr>
                    <w:rStyle w:val="Lienhypertexte"/>
                    <w:rFonts w:hint="eastAsia"/>
                    <w:rtl/>
                  </w:rPr>
                  <w:t>عن</w:t>
                </w:r>
                <w:r w:rsidR="00F4223D" w:rsidRPr="008D22A6">
                  <w:rPr>
                    <w:rStyle w:val="Lienhypertexte"/>
                    <w:rtl/>
                  </w:rPr>
                  <w:t xml:space="preserve"> </w:t>
                </w:r>
                <w:r w:rsidR="00F4223D" w:rsidRPr="008D22A6">
                  <w:rPr>
                    <w:rStyle w:val="Lienhypertexte"/>
                    <w:rFonts w:hint="eastAsia"/>
                    <w:rtl/>
                  </w:rPr>
                  <w:t>دمج</w:t>
                </w:r>
                <w:r w:rsidR="00F4223D" w:rsidRPr="008D22A6">
                  <w:rPr>
                    <w:rStyle w:val="Lienhypertexte"/>
                    <w:rtl/>
                  </w:rPr>
                  <w:t xml:space="preserve"> </w:t>
                </w:r>
                <w:r w:rsidR="00F4223D" w:rsidRPr="008D22A6">
                  <w:rPr>
                    <w:rStyle w:val="Lienhypertexte"/>
                    <w:rFonts w:hint="eastAsia"/>
                    <w:rtl/>
                  </w:rPr>
                  <w:t>تقنيات</w:t>
                </w:r>
                <w:r w:rsidR="00F4223D" w:rsidRPr="008D22A6">
                  <w:rPr>
                    <w:rStyle w:val="Lienhypertexte"/>
                    <w:rtl/>
                  </w:rPr>
                  <w:t xml:space="preserve"> </w:t>
                </w:r>
                <w:r w:rsidR="00F4223D" w:rsidRPr="008D22A6">
                  <w:rPr>
                    <w:rStyle w:val="Lienhypertexte"/>
                    <w:rFonts w:hint="eastAsia"/>
                    <w:rtl/>
                  </w:rPr>
                  <w:t>نظم</w:t>
                </w:r>
                <w:r w:rsidR="00F4223D" w:rsidRPr="008D22A6">
                  <w:rPr>
                    <w:rStyle w:val="Lienhypertexte"/>
                    <w:rtl/>
                  </w:rPr>
                  <w:t xml:space="preserve"> </w:t>
                </w:r>
                <w:r w:rsidR="00F4223D" w:rsidRPr="008D22A6">
                  <w:rPr>
                    <w:rStyle w:val="Lienhypertexte"/>
                    <w:rFonts w:hint="eastAsia"/>
                    <w:rtl/>
                  </w:rPr>
                  <w:t>المعلومات</w:t>
                </w:r>
                <w:r w:rsidR="00F4223D" w:rsidRPr="008D22A6">
                  <w:rPr>
                    <w:rStyle w:val="Lienhypertexte"/>
                    <w:rtl/>
                  </w:rPr>
                  <w:t xml:space="preserve"> </w:t>
                </w:r>
                <w:r w:rsidR="00F4223D" w:rsidRPr="008D22A6">
                  <w:rPr>
                    <w:rStyle w:val="Lienhypertexte"/>
                    <w:rFonts w:hint="eastAsia"/>
                    <w:rtl/>
                  </w:rPr>
                  <w:t>الجغرافية</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التحليل</w:t>
                </w:r>
                <w:r w:rsidR="00F4223D" w:rsidRPr="008D22A6">
                  <w:rPr>
                    <w:rStyle w:val="Lienhypertexte"/>
                    <w:rtl/>
                  </w:rPr>
                  <w:t xml:space="preserve"> </w:t>
                </w:r>
                <w:r w:rsidR="00F4223D" w:rsidRPr="008D22A6">
                  <w:rPr>
                    <w:rStyle w:val="Lienhypertexte"/>
                    <w:rFonts w:hint="eastAsia"/>
                    <w:rtl/>
                  </w:rPr>
                  <w:t>المكاني</w:t>
                </w:r>
                <w:r w:rsidR="00F4223D" w:rsidRPr="008D22A6">
                  <w:rPr>
                    <w:rStyle w:val="Lienhypertexte"/>
                    <w:rtl/>
                  </w:rPr>
                  <w:t xml:space="preserve"> </w:t>
                </w:r>
                <w:r w:rsidR="00F4223D" w:rsidRPr="008D22A6">
                  <w:rPr>
                    <w:rStyle w:val="Lienhypertexte"/>
                    <w:rFonts w:hint="eastAsia"/>
                    <w:rtl/>
                  </w:rPr>
                  <w:t>للمرونة</w:t>
                </w:r>
                <w:r w:rsidR="00F4223D">
                  <w:rPr>
                    <w:webHidden/>
                  </w:rPr>
                  <w:tab/>
                </w:r>
                <w:r w:rsidR="00F4223D">
                  <w:rPr>
                    <w:webHidden/>
                  </w:rPr>
                  <w:fldChar w:fldCharType="begin"/>
                </w:r>
                <w:r w:rsidR="00F4223D">
                  <w:rPr>
                    <w:webHidden/>
                  </w:rPr>
                  <w:instrText xml:space="preserve"> PAGEREF _Toc171803466 \h </w:instrText>
                </w:r>
                <w:r w:rsidR="00F4223D">
                  <w:rPr>
                    <w:webHidden/>
                  </w:rPr>
                </w:r>
                <w:r w:rsidR="00F4223D">
                  <w:rPr>
                    <w:webHidden/>
                  </w:rPr>
                  <w:fldChar w:fldCharType="separate"/>
                </w:r>
                <w:r>
                  <w:rPr>
                    <w:webHidden/>
                    <w:rtl/>
                  </w:rPr>
                  <w:t>69</w:t>
                </w:r>
                <w:r w:rsidR="00F4223D">
                  <w:rPr>
                    <w:webHidden/>
                  </w:rPr>
                  <w:fldChar w:fldCharType="end"/>
                </w:r>
              </w:hyperlink>
            </w:p>
            <w:p w:rsidR="00F4223D" w:rsidRDefault="00B62F86" w:rsidP="003A089F">
              <w:pPr>
                <w:pStyle w:val="TM3"/>
              </w:pPr>
              <w:hyperlink w:anchor="_Toc171803467" w:history="1">
                <w:r w:rsidR="00F4223D" w:rsidRPr="008D22A6">
                  <w:rPr>
                    <w:rStyle w:val="Lienhypertexte"/>
                    <w:rtl/>
                    <w:lang w:val="en-US"/>
                  </w:rPr>
                  <w:t>1.3.3.2.</w:t>
                </w:r>
                <w:r w:rsidR="00F4223D">
                  <w:tab/>
                </w:r>
                <w:r w:rsidR="00F4223D" w:rsidRPr="008D22A6">
                  <w:rPr>
                    <w:rStyle w:val="Lienhypertexte"/>
                    <w:rFonts w:hint="eastAsia"/>
                    <w:rtl/>
                    <w:lang w:val="en-US"/>
                  </w:rPr>
                  <w:t>تفعيل</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sidRPr="008D22A6">
                  <w:rPr>
                    <w:rStyle w:val="Lienhypertexte"/>
                    <w:rtl/>
                    <w:lang w:val="en-US"/>
                  </w:rPr>
                  <w:t xml:space="preserve"> </w:t>
                </w:r>
                <w:r w:rsidR="00F4223D" w:rsidRPr="008D22A6">
                  <w:rPr>
                    <w:rStyle w:val="Lienhypertexte"/>
                    <w:rFonts w:hint="eastAsia"/>
                    <w:rtl/>
                    <w:lang w:val="en-US"/>
                  </w:rPr>
                  <w:t>للفيضانات</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الأراضي</w:t>
                </w:r>
                <w:r w:rsidR="00F4223D" w:rsidRPr="008D22A6">
                  <w:rPr>
                    <w:rStyle w:val="Lienhypertexte"/>
                    <w:rtl/>
                    <w:lang w:val="en-US"/>
                  </w:rPr>
                  <w:t xml:space="preserve"> </w:t>
                </w:r>
                <w:r w:rsidR="00F4223D" w:rsidRPr="008D22A6">
                  <w:rPr>
                    <w:rStyle w:val="Lienhypertexte"/>
                    <w:rFonts w:hint="eastAsia"/>
                    <w:rtl/>
                    <w:lang w:val="en-US"/>
                  </w:rPr>
                  <w:t>المحصورة</w:t>
                </w:r>
                <w:r w:rsidR="00F4223D" w:rsidRPr="008D22A6">
                  <w:rPr>
                    <w:rStyle w:val="Lienhypertexte"/>
                    <w:rtl/>
                    <w:lang w:val="en-US"/>
                  </w:rPr>
                  <w:t>-</w:t>
                </w:r>
                <w:r w:rsidR="00F4223D" w:rsidRPr="008D22A6">
                  <w:rPr>
                    <w:rStyle w:val="Lienhypertexte"/>
                    <w:rFonts w:hint="eastAsia"/>
                    <w:rtl/>
                    <w:lang w:val="en-US"/>
                  </w:rPr>
                  <w:t>التطبيق</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rPr>
                  <w:t>Avignon</w:t>
                </w:r>
                <w:r w:rsidR="00F4223D" w:rsidRPr="008D22A6">
                  <w:rPr>
                    <w:rStyle w:val="Lienhypertexte"/>
                    <w:rFonts w:asciiTheme="majorBidi" w:hAnsiTheme="majorBidi" w:cstheme="majorBidi"/>
                    <w:rtl/>
                    <w:lang w:val="en-US"/>
                  </w:rPr>
                  <w:t>)</w:t>
                </w:r>
                <w:r w:rsidR="00F4223D" w:rsidRPr="008D22A6">
                  <w:rPr>
                    <w:rStyle w:val="Lienhypertexte"/>
                    <w:rFonts w:hint="eastAsia"/>
                    <w:rtl/>
                    <w:lang w:val="en-US"/>
                  </w:rPr>
                  <w:t>،</w:t>
                </w:r>
                <w:r w:rsidR="00F4223D" w:rsidRPr="008D22A6">
                  <w:rPr>
                    <w:rStyle w:val="Lienhypertexte"/>
                    <w:rtl/>
                    <w:lang w:val="en-US"/>
                  </w:rPr>
                  <w:t xml:space="preserve"> </w:t>
                </w:r>
                <w:r w:rsidR="00F4223D" w:rsidRPr="008D22A6">
                  <w:rPr>
                    <w:rStyle w:val="Lienhypertexte"/>
                    <w:rFonts w:hint="eastAsia"/>
                    <w:rtl/>
                    <w:lang w:val="en-US"/>
                  </w:rPr>
                  <w:t>مقاطعة</w:t>
                </w:r>
                <w:r w:rsidR="00F4223D" w:rsidRPr="008D22A6">
                  <w:rPr>
                    <w:rStyle w:val="Lienhypertexte"/>
                    <w:rtl/>
                    <w:lang w:val="en-US"/>
                  </w:rPr>
                  <w:t xml:space="preserve"> </w:t>
                </w:r>
                <w:r w:rsidR="00F4223D" w:rsidRPr="008D22A6">
                  <w:rPr>
                    <w:rStyle w:val="Lienhypertexte"/>
                    <w:rFonts w:asciiTheme="majorBidi" w:hAnsiTheme="majorBidi" w:cstheme="majorBidi"/>
                    <w:rtl/>
                    <w:lang w:val="en-US"/>
                  </w:rPr>
                  <w:t>(</w:t>
                </w:r>
                <w:r w:rsidR="00F4223D" w:rsidRPr="008D22A6">
                  <w:rPr>
                    <w:rStyle w:val="Lienhypertexte"/>
                    <w:rFonts w:asciiTheme="majorBidi" w:hAnsiTheme="majorBidi" w:cstheme="majorBidi"/>
                  </w:rPr>
                  <w:t>Alpes Côte</w:t>
                </w:r>
                <w:r w:rsidR="00F4223D" w:rsidRPr="008D22A6">
                  <w:rPr>
                    <w:rStyle w:val="Lienhypertexte"/>
                    <w:rFonts w:asciiTheme="majorBidi" w:hAnsiTheme="majorBidi" w:cstheme="majorBidi"/>
                    <w:rtl/>
                    <w:lang w:val="en-US"/>
                  </w:rPr>
                  <w:t xml:space="preserve"> </w:t>
                </w:r>
                <w:r w:rsidR="00F4223D" w:rsidRPr="008D22A6">
                  <w:rPr>
                    <w:rStyle w:val="Lienhypertexte"/>
                    <w:rFonts w:asciiTheme="majorBidi" w:hAnsiTheme="majorBidi" w:cstheme="majorBidi"/>
                  </w:rPr>
                  <w:t>Azur</w:t>
                </w:r>
                <w:r w:rsidR="00F4223D" w:rsidRPr="008D22A6">
                  <w:rPr>
                    <w:rStyle w:val="Lienhypertexte"/>
                    <w:rFonts w:asciiTheme="majorBidi" w:hAnsiTheme="majorBidi" w:cstheme="majorBidi"/>
                    <w:rtl/>
                    <w:lang w:val="en-US"/>
                  </w:rPr>
                  <w:t>)</w:t>
                </w:r>
                <w:r w:rsidR="001A5014">
                  <w:rPr>
                    <w:rStyle w:val="Lienhypertexte"/>
                    <w:rFonts w:asciiTheme="majorBidi" w:hAnsiTheme="majorBidi" w:cstheme="majorBidi" w:hint="cs"/>
                    <w:rtl/>
                    <w:lang w:val="en-US"/>
                  </w:rPr>
                  <w:t>..............................................................................................................................................</w:t>
                </w:r>
                <w:r w:rsidR="00F4223D">
                  <w:rPr>
                    <w:webHidden/>
                  </w:rPr>
                  <w:tab/>
                </w:r>
                <w:r w:rsidR="00F4223D">
                  <w:rPr>
                    <w:webHidden/>
                  </w:rPr>
                  <w:fldChar w:fldCharType="begin"/>
                </w:r>
                <w:r w:rsidR="00F4223D">
                  <w:rPr>
                    <w:webHidden/>
                  </w:rPr>
                  <w:instrText xml:space="preserve"> PAGEREF _Toc171803467 \h </w:instrText>
                </w:r>
                <w:r w:rsidR="00F4223D">
                  <w:rPr>
                    <w:webHidden/>
                  </w:rPr>
                </w:r>
                <w:r w:rsidR="00F4223D">
                  <w:rPr>
                    <w:webHidden/>
                  </w:rPr>
                  <w:fldChar w:fldCharType="separate"/>
                </w:r>
                <w:r>
                  <w:rPr>
                    <w:webHidden/>
                    <w:rtl/>
                    <w:lang w:bidi="ar-SA"/>
                  </w:rPr>
                  <w:t>69</w:t>
                </w:r>
                <w:r w:rsidR="00F4223D">
                  <w:rPr>
                    <w:webHidden/>
                  </w:rPr>
                  <w:fldChar w:fldCharType="end"/>
                </w:r>
              </w:hyperlink>
            </w:p>
            <w:p w:rsidR="00F4223D" w:rsidRDefault="00B62F86" w:rsidP="003A089F">
              <w:pPr>
                <w:pStyle w:val="TM3"/>
              </w:pPr>
              <w:hyperlink w:anchor="_Toc171803471" w:history="1">
                <w:r w:rsidR="00F4223D" w:rsidRPr="008D22A6">
                  <w:rPr>
                    <w:rStyle w:val="Lienhypertexte"/>
                    <w:lang w:val="en-US"/>
                  </w:rPr>
                  <w:t>2.3.3.2.</w:t>
                </w:r>
                <w:r w:rsidR="00F4223D">
                  <w:tab/>
                </w:r>
                <w:r w:rsidR="00F4223D" w:rsidRPr="008D22A6">
                  <w:rPr>
                    <w:rStyle w:val="Lienhypertexte"/>
                    <w:rFonts w:hint="eastAsia"/>
                    <w:rtl/>
                    <w:lang w:val="en-US"/>
                  </w:rPr>
                  <w:t>تحليل</w:t>
                </w:r>
                <w:r w:rsidR="00F4223D" w:rsidRPr="008D22A6">
                  <w:rPr>
                    <w:rStyle w:val="Lienhypertexte"/>
                    <w:rtl/>
                    <w:lang w:val="en-US"/>
                  </w:rPr>
                  <w:t xml:space="preserve"> </w:t>
                </w:r>
                <w:r w:rsidR="00F4223D" w:rsidRPr="008D22A6">
                  <w:rPr>
                    <w:rStyle w:val="Lienhypertexte"/>
                    <w:rFonts w:hint="eastAsia"/>
                    <w:rtl/>
                    <w:lang w:val="en-US"/>
                  </w:rPr>
                  <w:t>مرونة</w:t>
                </w:r>
                <w:r w:rsidR="00F4223D" w:rsidRPr="008D22A6">
                  <w:rPr>
                    <w:rStyle w:val="Lienhypertexte"/>
                    <w:rtl/>
                    <w:lang w:val="en-US"/>
                  </w:rPr>
                  <w:t xml:space="preserve"> </w:t>
                </w:r>
                <w:r w:rsidR="00F4223D" w:rsidRPr="008D22A6">
                  <w:rPr>
                    <w:rStyle w:val="Lienhypertexte"/>
                    <w:rFonts w:hint="eastAsia"/>
                    <w:rtl/>
                    <w:lang w:val="en-US"/>
                  </w:rPr>
                  <w:t>المستوطنات</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sidRPr="008D22A6">
                  <w:rPr>
                    <w:rStyle w:val="Lienhypertexte"/>
                    <w:rtl/>
                    <w:lang w:val="en-US"/>
                  </w:rPr>
                  <w:t xml:space="preserve"> </w:t>
                </w:r>
                <w:r w:rsidR="00F4223D" w:rsidRPr="008D22A6">
                  <w:rPr>
                    <w:rStyle w:val="Lienhypertexte"/>
                    <w:rFonts w:hint="eastAsia"/>
                    <w:rtl/>
                    <w:lang w:val="en-US"/>
                  </w:rPr>
                  <w:t>باستخدام</w:t>
                </w:r>
                <w:r w:rsidR="00F4223D" w:rsidRPr="008D22A6">
                  <w:rPr>
                    <w:rStyle w:val="Lienhypertexte"/>
                    <w:rtl/>
                    <w:lang w:val="en-US"/>
                  </w:rPr>
                  <w:t xml:space="preserve"> </w:t>
                </w:r>
                <w:r w:rsidR="00F4223D" w:rsidRPr="008D22A6">
                  <w:rPr>
                    <w:rStyle w:val="Lienhypertexte"/>
                    <w:rFonts w:hint="eastAsia"/>
                    <w:rtl/>
                    <w:lang w:val="en-US"/>
                  </w:rPr>
                  <w:t>نماذج</w:t>
                </w:r>
                <w:r w:rsidR="00F4223D" w:rsidRPr="008D22A6">
                  <w:rPr>
                    <w:rStyle w:val="Lienhypertexte"/>
                    <w:rtl/>
                    <w:lang w:val="en-US"/>
                  </w:rPr>
                  <w:t xml:space="preserve"> </w:t>
                </w:r>
                <w:r w:rsidR="00F4223D" w:rsidRPr="008D22A6">
                  <w:rPr>
                    <w:rStyle w:val="Lienhypertexte"/>
                    <w:rFonts w:hint="eastAsia"/>
                    <w:rtl/>
                    <w:lang w:val="en-US"/>
                  </w:rPr>
                  <w:t>صنع</w:t>
                </w:r>
                <w:r w:rsidR="00F4223D" w:rsidRPr="008D22A6">
                  <w:rPr>
                    <w:rStyle w:val="Lienhypertexte"/>
                    <w:rtl/>
                    <w:lang w:val="en-US"/>
                  </w:rPr>
                  <w:t xml:space="preserve"> </w:t>
                </w:r>
                <w:r w:rsidR="00F4223D" w:rsidRPr="008D22A6">
                  <w:rPr>
                    <w:rStyle w:val="Lienhypertexte"/>
                    <w:rFonts w:hint="eastAsia"/>
                    <w:rtl/>
                    <w:lang w:val="en-US"/>
                  </w:rPr>
                  <w:t>القرار</w:t>
                </w:r>
                <w:r w:rsidR="00F4223D" w:rsidRPr="008D22A6">
                  <w:rPr>
                    <w:rStyle w:val="Lienhypertexte"/>
                    <w:rtl/>
                    <w:lang w:val="en-US"/>
                  </w:rPr>
                  <w:t xml:space="preserve"> </w:t>
                </w:r>
                <w:r w:rsidR="00F4223D" w:rsidRPr="008D22A6">
                  <w:rPr>
                    <w:rStyle w:val="Lienhypertexte"/>
                    <w:rFonts w:hint="eastAsia"/>
                    <w:rtl/>
                    <w:lang w:val="en-US"/>
                  </w:rPr>
                  <w:t>متعددة</w:t>
                </w:r>
                <w:r w:rsidR="00F4223D" w:rsidRPr="008D22A6">
                  <w:rPr>
                    <w:rStyle w:val="Lienhypertexte"/>
                    <w:rtl/>
                    <w:lang w:val="en-US"/>
                  </w:rPr>
                  <w:t xml:space="preserve"> </w:t>
                </w:r>
                <w:r w:rsidR="00F4223D" w:rsidRPr="008D22A6">
                  <w:rPr>
                    <w:rStyle w:val="Lienhypertexte"/>
                    <w:rFonts w:hint="eastAsia"/>
                    <w:rtl/>
                    <w:lang w:val="en-US"/>
                  </w:rPr>
                  <w:t>المعايير</w:t>
                </w:r>
                <w:r w:rsidR="00F4223D" w:rsidRPr="008D22A6">
                  <w:rPr>
                    <w:rStyle w:val="Lienhypertexte"/>
                    <w:rtl/>
                    <w:lang w:val="en-US"/>
                  </w:rPr>
                  <w:t xml:space="preserve"> (</w:t>
                </w:r>
                <w:r w:rsidR="00F4223D" w:rsidRPr="008D22A6">
                  <w:rPr>
                    <w:rStyle w:val="Lienhypertexte"/>
                    <w:rFonts w:asciiTheme="majorBidi" w:hAnsiTheme="majorBidi" w:cstheme="majorBidi"/>
                    <w:lang w:val="en-US"/>
                  </w:rPr>
                  <w:t>MCDM</w:t>
                </w:r>
                <w:r w:rsidR="00F4223D" w:rsidRPr="008D22A6">
                  <w:rPr>
                    <w:rStyle w:val="Lienhypertexte"/>
                    <w:rtl/>
                    <w:lang w:val="en-US"/>
                  </w:rPr>
                  <w:t>) (</w:t>
                </w:r>
                <w:r w:rsidR="00F4223D" w:rsidRPr="008D22A6">
                  <w:rPr>
                    <w:rStyle w:val="Lienhypertexte"/>
                    <w:rFonts w:hint="eastAsia"/>
                    <w:rtl/>
                    <w:lang w:val="en-US"/>
                  </w:rPr>
                  <w:t>دراسة</w:t>
                </w:r>
                <w:r w:rsidR="00F4223D" w:rsidRPr="008D22A6">
                  <w:rPr>
                    <w:rStyle w:val="Lienhypertexte"/>
                    <w:rtl/>
                    <w:lang w:val="en-US"/>
                  </w:rPr>
                  <w:t xml:space="preserve"> </w:t>
                </w:r>
                <w:r w:rsidR="00F4223D" w:rsidRPr="008D22A6">
                  <w:rPr>
                    <w:rStyle w:val="Lienhypertexte"/>
                    <w:rFonts w:hint="eastAsia"/>
                    <w:rtl/>
                    <w:lang w:val="en-US"/>
                  </w:rPr>
                  <w:t>حالة</w:t>
                </w:r>
                <w:r w:rsidR="00F4223D" w:rsidRPr="008D22A6">
                  <w:rPr>
                    <w:rStyle w:val="Lienhypertexte"/>
                    <w:rtl/>
                    <w:lang w:val="en-US"/>
                  </w:rPr>
                  <w:t xml:space="preserve">: </w:t>
                </w:r>
                <w:r w:rsidR="00F4223D" w:rsidRPr="008D22A6">
                  <w:rPr>
                    <w:rStyle w:val="Lienhypertexte"/>
                    <w:rFonts w:hint="eastAsia"/>
                    <w:rtl/>
                    <w:lang w:val="en-US"/>
                  </w:rPr>
                  <w:t>مدينة</w:t>
                </w:r>
                <w:r w:rsidR="00F4223D" w:rsidRPr="008D22A6">
                  <w:rPr>
                    <w:rStyle w:val="Lienhypertexte"/>
                    <w:rtl/>
                    <w:lang w:val="en-US"/>
                  </w:rPr>
                  <w:t xml:space="preserve"> </w:t>
                </w:r>
                <w:r w:rsidR="00F4223D" w:rsidRPr="008D22A6">
                  <w:rPr>
                    <w:rStyle w:val="Lienhypertexte"/>
                    <w:rFonts w:hint="eastAsia"/>
                    <w:rtl/>
                    <w:lang w:val="en-US"/>
                  </w:rPr>
                  <w:t>ملاير</w:t>
                </w:r>
                <w:r w:rsidR="00F4223D" w:rsidRPr="008D22A6">
                  <w:rPr>
                    <w:rStyle w:val="Lienhypertexte"/>
                    <w:rtl/>
                    <w:lang w:val="en-US"/>
                  </w:rPr>
                  <w:t>)</w:t>
                </w:r>
                <w:r w:rsidR="001A5014">
                  <w:rPr>
                    <w:rStyle w:val="Lienhypertexte"/>
                    <w:rFonts w:hint="cs"/>
                    <w:rtl/>
                    <w:lang w:val="en-US"/>
                  </w:rPr>
                  <w:t>..................</w:t>
                </w:r>
                <w:r w:rsidR="00F4223D">
                  <w:rPr>
                    <w:webHidden/>
                  </w:rPr>
                  <w:tab/>
                </w:r>
                <w:r w:rsidR="00F4223D">
                  <w:rPr>
                    <w:webHidden/>
                  </w:rPr>
                  <w:fldChar w:fldCharType="begin"/>
                </w:r>
                <w:r w:rsidR="00F4223D">
                  <w:rPr>
                    <w:webHidden/>
                  </w:rPr>
                  <w:instrText xml:space="preserve"> PAGEREF _Toc171803471 \h </w:instrText>
                </w:r>
                <w:r w:rsidR="00F4223D">
                  <w:rPr>
                    <w:webHidden/>
                  </w:rPr>
                </w:r>
                <w:r w:rsidR="00F4223D">
                  <w:rPr>
                    <w:webHidden/>
                  </w:rPr>
                  <w:fldChar w:fldCharType="separate"/>
                </w:r>
                <w:r>
                  <w:rPr>
                    <w:webHidden/>
                    <w:rtl/>
                    <w:lang w:bidi="ar-SA"/>
                  </w:rPr>
                  <w:t>71</w:t>
                </w:r>
                <w:r w:rsidR="00F4223D">
                  <w:rPr>
                    <w:webHidden/>
                  </w:rPr>
                  <w:fldChar w:fldCharType="end"/>
                </w:r>
              </w:hyperlink>
            </w:p>
            <w:p w:rsidR="00F4223D" w:rsidRDefault="00B62F86" w:rsidP="00ED0409">
              <w:pPr>
                <w:pStyle w:val="TM3"/>
                <w:tabs>
                  <w:tab w:val="clear" w:pos="1417"/>
                  <w:tab w:val="left" w:pos="1274"/>
                </w:tabs>
              </w:pPr>
              <w:hyperlink w:anchor="_Toc171803475" w:history="1">
                <w:r w:rsidR="00F4223D" w:rsidRPr="008D22A6">
                  <w:rPr>
                    <w:rStyle w:val="Lienhypertexte"/>
                    <w:rtl/>
                    <w:lang w:val="en-US"/>
                  </w:rPr>
                  <w:t>3.3.3.2.</w:t>
                </w:r>
                <w:r w:rsidR="00F4223D">
                  <w:tab/>
                </w:r>
                <w:r w:rsidR="00F4223D" w:rsidRPr="008D22A6">
                  <w:rPr>
                    <w:rStyle w:val="Lienhypertexte"/>
                    <w:rFonts w:hint="eastAsia"/>
                    <w:rtl/>
                    <w:lang w:val="en-US"/>
                  </w:rPr>
                  <w:t>تقييم</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المناطق</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sidRPr="008D22A6">
                  <w:rPr>
                    <w:rStyle w:val="Lienhypertexte"/>
                    <w:rtl/>
                    <w:lang w:val="en-US"/>
                  </w:rPr>
                  <w:t xml:space="preserve"> </w:t>
                </w:r>
                <w:r w:rsidR="00F4223D" w:rsidRPr="008D22A6">
                  <w:rPr>
                    <w:rStyle w:val="Lienhypertexte"/>
                    <w:rFonts w:hint="eastAsia"/>
                    <w:rtl/>
                    <w:lang w:val="en-US"/>
                  </w:rPr>
                  <w:t>التاريخية</w:t>
                </w:r>
                <w:r w:rsidR="00F4223D" w:rsidRPr="008D22A6">
                  <w:rPr>
                    <w:rStyle w:val="Lienhypertexte"/>
                    <w:rtl/>
                    <w:lang w:val="en-US"/>
                  </w:rPr>
                  <w:t xml:space="preserve"> </w:t>
                </w:r>
                <w:r w:rsidR="00F4223D" w:rsidRPr="008D22A6">
                  <w:rPr>
                    <w:rStyle w:val="Lienhypertexte"/>
                    <w:rFonts w:hint="eastAsia"/>
                    <w:rtl/>
                    <w:lang w:val="en-US"/>
                  </w:rPr>
                  <w:t>من</w:t>
                </w:r>
                <w:r w:rsidR="00F4223D" w:rsidRPr="008D22A6">
                  <w:rPr>
                    <w:rStyle w:val="Lienhypertexte"/>
                    <w:rtl/>
                    <w:lang w:val="en-US"/>
                  </w:rPr>
                  <w:t xml:space="preserve"> </w:t>
                </w:r>
                <w:r w:rsidR="00F4223D" w:rsidRPr="008D22A6">
                  <w:rPr>
                    <w:rStyle w:val="Lienhypertexte"/>
                    <w:rFonts w:hint="eastAsia"/>
                    <w:rtl/>
                    <w:lang w:val="en-US"/>
                  </w:rPr>
                  <w:t>خلال</w:t>
                </w:r>
                <w:r w:rsidR="00F4223D" w:rsidRPr="008D22A6">
                  <w:rPr>
                    <w:rStyle w:val="Lienhypertexte"/>
                    <w:rtl/>
                    <w:lang w:val="en-US"/>
                  </w:rPr>
                  <w:t xml:space="preserve"> </w:t>
                </w:r>
                <w:r w:rsidR="00F4223D" w:rsidRPr="008D22A6">
                  <w:rPr>
                    <w:rStyle w:val="Lienhypertexte"/>
                    <w:rFonts w:hint="eastAsia"/>
                    <w:rtl/>
                    <w:lang w:val="en-US"/>
                  </w:rPr>
                  <w:t>الجمع</w:t>
                </w:r>
                <w:r w:rsidR="00F4223D" w:rsidRPr="008D22A6">
                  <w:rPr>
                    <w:rStyle w:val="Lienhypertexte"/>
                    <w:rtl/>
                    <w:lang w:val="en-US"/>
                  </w:rPr>
                  <w:t xml:space="preserve"> </w:t>
                </w:r>
                <w:r w:rsidR="00F4223D" w:rsidRPr="008D22A6">
                  <w:rPr>
                    <w:rStyle w:val="Lienhypertexte"/>
                    <w:rFonts w:hint="eastAsia"/>
                    <w:rtl/>
                    <w:lang w:val="en-US"/>
                  </w:rPr>
                  <w:t>بين</w:t>
                </w:r>
                <w:r w:rsidR="00F4223D" w:rsidRPr="008D22A6">
                  <w:rPr>
                    <w:rStyle w:val="Lienhypertexte"/>
                    <w:rtl/>
                    <w:lang w:val="en-US"/>
                  </w:rPr>
                  <w:t xml:space="preserve"> </w:t>
                </w:r>
                <w:r w:rsidR="00F4223D" w:rsidRPr="008D22A6">
                  <w:rPr>
                    <w:rStyle w:val="Lienhypertexte"/>
                    <w:rFonts w:hint="eastAsia"/>
                    <w:rtl/>
                    <w:lang w:val="en-US"/>
                  </w:rPr>
                  <w:t>نظام</w:t>
                </w:r>
                <w:r w:rsidR="00F4223D" w:rsidRPr="008D22A6">
                  <w:rPr>
                    <w:rStyle w:val="Lienhypertexte"/>
                    <w:rtl/>
                    <w:lang w:val="en-US"/>
                  </w:rPr>
                  <w:t xml:space="preserve"> </w:t>
                </w:r>
                <w:r w:rsidR="00F4223D" w:rsidRPr="008D22A6">
                  <w:rPr>
                    <w:rStyle w:val="Lienhypertexte"/>
                    <w:rFonts w:hint="eastAsia"/>
                    <w:rtl/>
                    <w:lang w:val="en-US"/>
                  </w:rPr>
                  <w:t>اتخاذ</w:t>
                </w:r>
                <w:r w:rsidR="00F4223D" w:rsidRPr="008D22A6">
                  <w:rPr>
                    <w:rStyle w:val="Lienhypertexte"/>
                    <w:rtl/>
                    <w:lang w:val="en-US"/>
                  </w:rPr>
                  <w:t xml:space="preserve"> </w:t>
                </w:r>
                <w:r w:rsidR="00F4223D" w:rsidRPr="008D22A6">
                  <w:rPr>
                    <w:rStyle w:val="Lienhypertexte"/>
                    <w:rFonts w:hint="eastAsia"/>
                    <w:rtl/>
                    <w:lang w:val="en-US"/>
                  </w:rPr>
                  <w:t>القرار</w:t>
                </w:r>
                <w:r w:rsidR="00F4223D" w:rsidRPr="008D22A6">
                  <w:rPr>
                    <w:rStyle w:val="Lienhypertexte"/>
                    <w:rtl/>
                    <w:lang w:val="en-US"/>
                  </w:rPr>
                  <w:t xml:space="preserve"> </w:t>
                </w:r>
                <w:r w:rsidR="00F4223D" w:rsidRPr="008D22A6">
                  <w:rPr>
                    <w:rStyle w:val="Lienhypertexte"/>
                    <w:rFonts w:hint="eastAsia"/>
                    <w:rtl/>
                    <w:lang w:val="en-US"/>
                  </w:rPr>
                  <w:t>متعدد</w:t>
                </w:r>
                <w:r w:rsidR="00F4223D" w:rsidRPr="008D22A6">
                  <w:rPr>
                    <w:rStyle w:val="Lienhypertexte"/>
                    <w:rtl/>
                    <w:lang w:val="en-US"/>
                  </w:rPr>
                  <w:t xml:space="preserve"> </w:t>
                </w:r>
                <w:r w:rsidR="00F4223D" w:rsidRPr="008D22A6">
                  <w:rPr>
                    <w:rStyle w:val="Lienhypertexte"/>
                    <w:rFonts w:hint="eastAsia"/>
                    <w:rtl/>
                    <w:lang w:val="en-US"/>
                  </w:rPr>
                  <w:t>المعايير</w:t>
                </w:r>
                <w:r w:rsidR="00F4223D" w:rsidRPr="008D22A6">
                  <w:rPr>
                    <w:rStyle w:val="Lienhypertexte"/>
                    <w:rtl/>
                    <w:lang w:val="en-US"/>
                  </w:rPr>
                  <w:t xml:space="preserve"> </w:t>
                </w:r>
                <w:r w:rsidR="00F4223D" w:rsidRPr="008D22A6">
                  <w:rPr>
                    <w:rStyle w:val="Lienhypertexte"/>
                    <w:rFonts w:hint="eastAsia"/>
                    <w:rtl/>
                    <w:lang w:val="en-US"/>
                  </w:rPr>
                  <w:t>ونظام</w:t>
                </w:r>
                <w:r w:rsidR="00F4223D" w:rsidRPr="008D22A6">
                  <w:rPr>
                    <w:rStyle w:val="Lienhypertexte"/>
                    <w:rtl/>
                    <w:lang w:val="en-US"/>
                  </w:rPr>
                  <w:t xml:space="preserve"> </w:t>
                </w:r>
                <w:r w:rsidR="00F4223D" w:rsidRPr="008D22A6">
                  <w:rPr>
                    <w:rStyle w:val="Lienhypertexte"/>
                    <w:rFonts w:hint="eastAsia"/>
                    <w:rtl/>
                    <w:lang w:val="en-US"/>
                  </w:rPr>
                  <w:t>المعلومات</w:t>
                </w:r>
                <w:r w:rsidR="00F4223D" w:rsidRPr="008D22A6">
                  <w:rPr>
                    <w:rStyle w:val="Lienhypertexte"/>
                    <w:rtl/>
                    <w:lang w:val="en-US"/>
                  </w:rPr>
                  <w:t xml:space="preserve"> </w:t>
                </w:r>
                <w:r w:rsidR="00F4223D" w:rsidRPr="008D22A6">
                  <w:rPr>
                    <w:rStyle w:val="Lienhypertexte"/>
                    <w:rFonts w:hint="eastAsia"/>
                    <w:rtl/>
                    <w:lang w:val="en-US"/>
                  </w:rPr>
                  <w:t>الجغرافية،</w:t>
                </w:r>
                <w:r w:rsidR="00F4223D" w:rsidRPr="008D22A6">
                  <w:rPr>
                    <w:rStyle w:val="Lienhypertexte"/>
                    <w:rtl/>
                    <w:lang w:val="en-US"/>
                  </w:rPr>
                  <w:t xml:space="preserve"> </w:t>
                </w:r>
                <w:r w:rsidR="00F4223D" w:rsidRPr="008D22A6">
                  <w:rPr>
                    <w:rStyle w:val="Lienhypertexte"/>
                    <w:rFonts w:hint="eastAsia"/>
                    <w:rtl/>
                    <w:lang w:val="en-US"/>
                  </w:rPr>
                  <w:t>مع</w:t>
                </w:r>
                <w:r w:rsidR="00F4223D" w:rsidRPr="008D22A6">
                  <w:rPr>
                    <w:rStyle w:val="Lienhypertexte"/>
                    <w:rtl/>
                    <w:lang w:val="en-US"/>
                  </w:rPr>
                  <w:t xml:space="preserve"> </w:t>
                </w:r>
                <w:r w:rsidR="00F4223D" w:rsidRPr="008D22A6">
                  <w:rPr>
                    <w:rStyle w:val="Lienhypertexte"/>
                    <w:rFonts w:hint="eastAsia"/>
                    <w:rtl/>
                    <w:lang w:val="en-US"/>
                  </w:rPr>
                  <w:t>نهج</w:t>
                </w:r>
                <w:r w:rsidR="00F4223D" w:rsidRPr="008D22A6">
                  <w:rPr>
                    <w:rStyle w:val="Lienhypertexte"/>
                    <w:rtl/>
                    <w:lang w:val="en-US"/>
                  </w:rPr>
                  <w:t xml:space="preserve"> </w:t>
                </w:r>
                <w:r w:rsidR="00F4223D" w:rsidRPr="008D22A6">
                  <w:rPr>
                    <w:rStyle w:val="Lienhypertexte"/>
                    <w:rFonts w:hint="eastAsia"/>
                    <w:rtl/>
                    <w:lang w:val="en-US"/>
                  </w:rPr>
                  <w:t>الاستدامة</w:t>
                </w:r>
                <w:r w:rsidR="00F4223D" w:rsidRPr="008D22A6">
                  <w:rPr>
                    <w:rStyle w:val="Lienhypertexte"/>
                    <w:rtl/>
                    <w:lang w:val="en-US"/>
                  </w:rPr>
                  <w:t xml:space="preserve"> </w:t>
                </w:r>
                <w:r w:rsidR="00F4223D" w:rsidRPr="008D22A6">
                  <w:rPr>
                    <w:rStyle w:val="Lienhypertexte"/>
                    <w:rFonts w:hint="eastAsia"/>
                    <w:rtl/>
                    <w:lang w:val="en-US"/>
                  </w:rPr>
                  <w:t>والتجديد</w:t>
                </w:r>
                <w:r w:rsidR="00F4223D" w:rsidRPr="008D22A6">
                  <w:rPr>
                    <w:rStyle w:val="Lienhypertexte"/>
                    <w:rtl/>
                    <w:lang w:val="en-US"/>
                  </w:rPr>
                  <w:t xml:space="preserve">: </w:t>
                </w:r>
                <w:r w:rsidR="00F4223D" w:rsidRPr="008D22A6">
                  <w:rPr>
                    <w:rStyle w:val="Lienhypertexte"/>
                    <w:rFonts w:hint="eastAsia"/>
                    <w:rtl/>
                    <w:lang w:val="en-US"/>
                  </w:rPr>
                  <w:t>حالة</w:t>
                </w:r>
                <w:r w:rsidR="00F4223D" w:rsidRPr="008D22A6">
                  <w:rPr>
                    <w:rStyle w:val="Lienhypertexte"/>
                    <w:rtl/>
                    <w:lang w:val="en-US"/>
                  </w:rPr>
                  <w:t xml:space="preserve"> </w:t>
                </w:r>
                <w:r w:rsidR="00F4223D" w:rsidRPr="008D22A6">
                  <w:rPr>
                    <w:rStyle w:val="Lienhypertexte"/>
                    <w:rFonts w:hint="eastAsia"/>
                    <w:rtl/>
                    <w:lang w:val="en-US"/>
                  </w:rPr>
                  <w:t>الدراسة</w:t>
                </w:r>
                <w:r w:rsidR="00F4223D" w:rsidRPr="008D22A6">
                  <w:rPr>
                    <w:rStyle w:val="Lienhypertexte"/>
                    <w:rtl/>
                    <w:lang w:val="en-US"/>
                  </w:rPr>
                  <w:t xml:space="preserve"> </w:t>
                </w:r>
                <w:r w:rsidR="00F4223D" w:rsidRPr="008D22A6">
                  <w:rPr>
                    <w:rStyle w:val="Lienhypertexte"/>
                    <w:rFonts w:hint="eastAsia"/>
                    <w:rtl/>
                    <w:lang w:val="en-US"/>
                  </w:rPr>
                  <w:t>طهران</w:t>
                </w:r>
                <w:r w:rsidR="00F4223D" w:rsidRPr="008D22A6">
                  <w:rPr>
                    <w:rStyle w:val="Lienhypertexte"/>
                    <w:rtl/>
                    <w:lang w:val="en-US"/>
                  </w:rPr>
                  <w:t xml:space="preserve"> (</w:t>
                </w:r>
                <w:r w:rsidR="00F4223D" w:rsidRPr="008D22A6">
                  <w:rPr>
                    <w:rStyle w:val="Lienhypertexte"/>
                    <w:rFonts w:hint="eastAsia"/>
                    <w:rtl/>
                    <w:lang w:val="en-US"/>
                  </w:rPr>
                  <w:t>ايران</w:t>
                </w:r>
                <w:r w:rsidR="00F4223D" w:rsidRPr="008D22A6">
                  <w:rPr>
                    <w:rStyle w:val="Lienhypertexte"/>
                    <w:rtl/>
                    <w:lang w:val="en-US"/>
                  </w:rPr>
                  <w:t>).</w:t>
                </w:r>
                <w:r w:rsidR="00F4223D">
                  <w:rPr>
                    <w:webHidden/>
                  </w:rPr>
                  <w:tab/>
                </w:r>
                <w:r w:rsidR="00F4223D">
                  <w:rPr>
                    <w:webHidden/>
                  </w:rPr>
                  <w:fldChar w:fldCharType="begin"/>
                </w:r>
                <w:r w:rsidR="00F4223D">
                  <w:rPr>
                    <w:webHidden/>
                  </w:rPr>
                  <w:instrText xml:space="preserve"> PAGEREF _Toc171803475 \h </w:instrText>
                </w:r>
                <w:r w:rsidR="00F4223D">
                  <w:rPr>
                    <w:webHidden/>
                  </w:rPr>
                </w:r>
                <w:r w:rsidR="00F4223D">
                  <w:rPr>
                    <w:webHidden/>
                  </w:rPr>
                  <w:fldChar w:fldCharType="separate"/>
                </w:r>
                <w:r>
                  <w:rPr>
                    <w:webHidden/>
                    <w:rtl/>
                    <w:lang w:bidi="ar-SA"/>
                  </w:rPr>
                  <w:t>72</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79" w:history="1">
                <w:r w:rsidR="00F4223D" w:rsidRPr="008D22A6">
                  <w:rPr>
                    <w:rStyle w:val="Lienhypertexte"/>
                  </w:rPr>
                  <w:t>4.2.</w:t>
                </w:r>
                <w:r w:rsidR="001A5014" w:rsidRPr="001A5014">
                  <w:rPr>
                    <w:rFonts w:hint="eastAsia"/>
                    <w:rtl/>
                  </w:rPr>
                  <w:t xml:space="preserve"> </w:t>
                </w:r>
                <w:r w:rsidR="001A5014" w:rsidRPr="001A5014">
                  <w:rPr>
                    <w:rStyle w:val="Lienhypertexte"/>
                    <w:rFonts w:hint="eastAsia"/>
                    <w:rtl/>
                  </w:rPr>
                  <w:t>تفعيل</w:t>
                </w:r>
                <w:r w:rsidR="001A5014" w:rsidRPr="001A5014">
                  <w:rPr>
                    <w:rStyle w:val="Lienhypertexte"/>
                    <w:rtl/>
                  </w:rPr>
                  <w:t xml:space="preserve"> </w:t>
                </w:r>
                <w:r w:rsidR="001A5014" w:rsidRPr="001A5014">
                  <w:rPr>
                    <w:rStyle w:val="Lienhypertexte"/>
                    <w:rFonts w:hint="eastAsia"/>
                    <w:rtl/>
                  </w:rPr>
                  <w:t>المرونة</w:t>
                </w:r>
                <w:r w:rsidR="001A5014">
                  <w:rPr>
                    <w:rStyle w:val="Lienhypertexte"/>
                    <w:rFonts w:hint="cs"/>
                    <w:rtl/>
                  </w:rPr>
                  <w:t>.....................................................................................................</w:t>
                </w:r>
                <w:r w:rsidR="001A5014" w:rsidRPr="001A5014">
                  <w:rPr>
                    <w:rStyle w:val="Lienhypertexte"/>
                    <w:rFonts w:hint="cs"/>
                    <w:rtl/>
                  </w:rPr>
                  <w:t>.</w:t>
                </w:r>
                <w:r w:rsidR="00F4223D">
                  <w:rPr>
                    <w:webHidden/>
                  </w:rPr>
                  <w:tab/>
                </w:r>
                <w:r w:rsidR="00F4223D">
                  <w:rPr>
                    <w:webHidden/>
                  </w:rPr>
                  <w:fldChar w:fldCharType="begin"/>
                </w:r>
                <w:r w:rsidR="00F4223D">
                  <w:rPr>
                    <w:webHidden/>
                  </w:rPr>
                  <w:instrText xml:space="preserve"> PAGEREF _Toc171803479 \h </w:instrText>
                </w:r>
                <w:r w:rsidR="00F4223D">
                  <w:rPr>
                    <w:webHidden/>
                  </w:rPr>
                </w:r>
                <w:r w:rsidR="00F4223D">
                  <w:rPr>
                    <w:webHidden/>
                  </w:rPr>
                  <w:fldChar w:fldCharType="separate"/>
                </w:r>
                <w:r>
                  <w:rPr>
                    <w:webHidden/>
                    <w:rtl/>
                    <w:lang w:bidi="ar-SA"/>
                  </w:rPr>
                  <w:t>74</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80" w:history="1">
                <w:r w:rsidR="00F4223D" w:rsidRPr="008D22A6">
                  <w:rPr>
                    <w:rStyle w:val="Lienhypertexte"/>
                    <w:rtl/>
                    <w:lang w:bidi="ar-DZ"/>
                  </w:rPr>
                  <w:t>1.4.2.</w:t>
                </w:r>
                <w:r w:rsidR="00F4223D">
                  <w:rPr>
                    <w:rFonts w:asciiTheme="minorHAnsi" w:hAnsiTheme="minorHAnsi" w:cstheme="minorBidi"/>
                    <w:lang w:val="fr-FR"/>
                  </w:rPr>
                  <w:tab/>
                </w:r>
                <w:r w:rsidR="00F4223D" w:rsidRPr="008D22A6">
                  <w:rPr>
                    <w:rStyle w:val="Lienhypertexte"/>
                    <w:rFonts w:hint="eastAsia"/>
                    <w:rtl/>
                    <w:lang w:bidi="ar-DZ"/>
                  </w:rPr>
                  <w:t>تعريف</w:t>
                </w:r>
                <w:r w:rsidR="00F4223D" w:rsidRPr="008D22A6">
                  <w:rPr>
                    <w:rStyle w:val="Lienhypertexte"/>
                    <w:rtl/>
                    <w:lang w:bidi="ar-DZ"/>
                  </w:rPr>
                  <w:t xml:space="preserve"> </w:t>
                </w:r>
                <w:r w:rsidR="00F4223D" w:rsidRPr="008D22A6">
                  <w:rPr>
                    <w:rStyle w:val="Lienhypertexte"/>
                    <w:rFonts w:hint="eastAsia"/>
                    <w:rtl/>
                    <w:lang w:bidi="ar-DZ"/>
                  </w:rPr>
                  <w:t>المؤشرات</w:t>
                </w:r>
                <w:r w:rsidR="00F4223D" w:rsidRPr="008D22A6">
                  <w:rPr>
                    <w:rStyle w:val="Lienhypertexte"/>
                    <w:rtl/>
                    <w:lang w:bidi="ar-DZ"/>
                  </w:rPr>
                  <w:t>:</w:t>
                </w:r>
                <w:r w:rsidR="00F4223D">
                  <w:rPr>
                    <w:webHidden/>
                  </w:rPr>
                  <w:tab/>
                </w:r>
                <w:r w:rsidR="00F4223D">
                  <w:rPr>
                    <w:webHidden/>
                  </w:rPr>
                  <w:fldChar w:fldCharType="begin"/>
                </w:r>
                <w:r w:rsidR="00F4223D">
                  <w:rPr>
                    <w:webHidden/>
                  </w:rPr>
                  <w:instrText xml:space="preserve"> PAGEREF _Toc171803480 \h </w:instrText>
                </w:r>
                <w:r w:rsidR="00F4223D">
                  <w:rPr>
                    <w:webHidden/>
                  </w:rPr>
                </w:r>
                <w:r w:rsidR="00F4223D">
                  <w:rPr>
                    <w:webHidden/>
                  </w:rPr>
                  <w:fldChar w:fldCharType="separate"/>
                </w:r>
                <w:r>
                  <w:rPr>
                    <w:webHidden/>
                    <w:rtl/>
                  </w:rPr>
                  <w:t>75</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82" w:history="1">
                <w:r w:rsidR="00F4223D" w:rsidRPr="008D22A6">
                  <w:rPr>
                    <w:rStyle w:val="Lienhypertexte"/>
                    <w:rtl/>
                    <w:lang w:bidi="ar-DZ"/>
                  </w:rPr>
                  <w:t>2.4.2.</w:t>
                </w:r>
                <w:r w:rsidR="00F4223D">
                  <w:rPr>
                    <w:rFonts w:asciiTheme="minorHAnsi" w:hAnsiTheme="minorHAnsi" w:cstheme="minorBidi"/>
                    <w:lang w:val="fr-FR"/>
                  </w:rPr>
                  <w:tab/>
                </w:r>
                <w:r w:rsidR="00F4223D" w:rsidRPr="008D22A6">
                  <w:rPr>
                    <w:rStyle w:val="Lienhypertexte"/>
                    <w:rFonts w:hint="eastAsia"/>
                    <w:rtl/>
                    <w:lang w:bidi="ar-DZ"/>
                  </w:rPr>
                  <w:t>دور</w:t>
                </w:r>
                <w:r w:rsidR="00F4223D" w:rsidRPr="008D22A6">
                  <w:rPr>
                    <w:rStyle w:val="Lienhypertexte"/>
                    <w:rtl/>
                    <w:lang w:bidi="ar-DZ"/>
                  </w:rPr>
                  <w:t xml:space="preserve"> </w:t>
                </w:r>
                <w:r w:rsidR="00F4223D" w:rsidRPr="008D22A6">
                  <w:rPr>
                    <w:rStyle w:val="Lienhypertexte"/>
                    <w:rFonts w:hint="eastAsia"/>
                    <w:rtl/>
                    <w:lang w:bidi="ar-DZ"/>
                  </w:rPr>
                  <w:t>المؤشرات</w:t>
                </w:r>
                <w:r w:rsidR="00F4223D" w:rsidRPr="008D22A6">
                  <w:rPr>
                    <w:rStyle w:val="Lienhypertexte"/>
                    <w:rtl/>
                    <w:lang w:bidi="ar-DZ"/>
                  </w:rPr>
                  <w:t xml:space="preserve"> </w:t>
                </w:r>
                <w:r w:rsidR="00F4223D" w:rsidRPr="008D22A6">
                  <w:rPr>
                    <w:rStyle w:val="Lienhypertexte"/>
                    <w:rFonts w:hint="eastAsia"/>
                    <w:rtl/>
                    <w:lang w:bidi="ar-DZ"/>
                  </w:rPr>
                  <w:t>في</w:t>
                </w:r>
                <w:r w:rsidR="00F4223D" w:rsidRPr="008D22A6">
                  <w:rPr>
                    <w:rStyle w:val="Lienhypertexte"/>
                    <w:rtl/>
                    <w:lang w:bidi="ar-DZ"/>
                  </w:rPr>
                  <w:t xml:space="preserve"> </w:t>
                </w:r>
                <w:r w:rsidR="00F4223D" w:rsidRPr="008D22A6">
                  <w:rPr>
                    <w:rStyle w:val="Lienhypertexte"/>
                    <w:rFonts w:hint="eastAsia"/>
                    <w:rtl/>
                    <w:lang w:bidi="ar-DZ"/>
                  </w:rPr>
                  <w:t>بناء</w:t>
                </w:r>
                <w:r w:rsidR="00F4223D" w:rsidRPr="008D22A6">
                  <w:rPr>
                    <w:rStyle w:val="Lienhypertexte"/>
                    <w:rtl/>
                    <w:lang w:bidi="ar-DZ"/>
                  </w:rPr>
                  <w:t xml:space="preserve"> </w:t>
                </w:r>
                <w:r w:rsidR="00F4223D" w:rsidRPr="008D22A6">
                  <w:rPr>
                    <w:rStyle w:val="Lienhypertexte"/>
                    <w:rFonts w:hint="eastAsia"/>
                    <w:rtl/>
                    <w:lang w:bidi="ar-DZ"/>
                  </w:rPr>
                  <w:t>المرونة</w:t>
                </w:r>
                <w:r w:rsidR="00F4223D">
                  <w:rPr>
                    <w:webHidden/>
                  </w:rPr>
                  <w:tab/>
                </w:r>
                <w:r w:rsidR="00F4223D">
                  <w:rPr>
                    <w:webHidden/>
                  </w:rPr>
                  <w:fldChar w:fldCharType="begin"/>
                </w:r>
                <w:r w:rsidR="00F4223D">
                  <w:rPr>
                    <w:webHidden/>
                  </w:rPr>
                  <w:instrText xml:space="preserve"> PAGEREF _Toc171803482 \h </w:instrText>
                </w:r>
                <w:r w:rsidR="00F4223D">
                  <w:rPr>
                    <w:webHidden/>
                  </w:rPr>
                </w:r>
                <w:r w:rsidR="00F4223D">
                  <w:rPr>
                    <w:webHidden/>
                  </w:rPr>
                  <w:fldChar w:fldCharType="separate"/>
                </w:r>
                <w:r>
                  <w:rPr>
                    <w:webHidden/>
                    <w:rtl/>
                  </w:rPr>
                  <w:t>75</w:t>
                </w:r>
                <w:r w:rsidR="00F4223D">
                  <w:rPr>
                    <w:webHidden/>
                  </w:rPr>
                  <w:fldChar w:fldCharType="end"/>
                </w:r>
              </w:hyperlink>
            </w:p>
            <w:p w:rsidR="00F4223D" w:rsidRDefault="00B62F86" w:rsidP="003A089F">
              <w:pPr>
                <w:pStyle w:val="TM3"/>
              </w:pPr>
              <w:hyperlink w:anchor="_Toc171803484" w:history="1">
                <w:r w:rsidR="00F4223D" w:rsidRPr="008D22A6">
                  <w:rPr>
                    <w:rStyle w:val="Lienhypertexte"/>
                  </w:rPr>
                  <w:t>1.2.4.2.</w:t>
                </w:r>
                <w:r w:rsidR="00F4223D">
                  <w:tab/>
                </w:r>
                <w:r w:rsidR="00F4223D" w:rsidRPr="008D22A6">
                  <w:rPr>
                    <w:rStyle w:val="Lienhypertexte"/>
                    <w:rFonts w:hint="eastAsia"/>
                    <w:rtl/>
                  </w:rPr>
                  <w:t>المؤشرات</w:t>
                </w:r>
                <w:r w:rsidR="00F4223D" w:rsidRPr="008D22A6">
                  <w:rPr>
                    <w:rStyle w:val="Lienhypertexte"/>
                    <w:rtl/>
                  </w:rPr>
                  <w:t xml:space="preserve"> </w:t>
                </w:r>
                <w:r w:rsidR="00F4223D" w:rsidRPr="008D22A6">
                  <w:rPr>
                    <w:rStyle w:val="Lienhypertexte"/>
                    <w:rFonts w:hint="eastAsia"/>
                    <w:rtl/>
                  </w:rPr>
                  <w:t>المباشرة</w:t>
                </w:r>
                <w:r w:rsidR="00F4223D" w:rsidRPr="008D22A6">
                  <w:rPr>
                    <w:rStyle w:val="Lienhypertexte"/>
                    <w:rtl/>
                  </w:rPr>
                  <w:t xml:space="preserve"> </w:t>
                </w:r>
                <w:r w:rsidR="00F4223D" w:rsidRPr="008D22A6">
                  <w:rPr>
                    <w:rStyle w:val="Lienhypertexte"/>
                    <w:rFonts w:hint="eastAsia"/>
                    <w:rtl/>
                  </w:rPr>
                  <w:t>للمرونة</w:t>
                </w:r>
                <w:r w:rsidR="00F4223D" w:rsidRPr="008D22A6">
                  <w:rPr>
                    <w:rStyle w:val="Lienhypertexte"/>
                    <w:rtl/>
                  </w:rPr>
                  <w:t xml:space="preserve"> (</w:t>
                </w:r>
                <w:r w:rsidR="00F4223D" w:rsidRPr="008D22A6">
                  <w:rPr>
                    <w:rStyle w:val="Lienhypertexte"/>
                    <w:rFonts w:hint="eastAsia"/>
                    <w:rtl/>
                  </w:rPr>
                  <w:t>قياس</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الماضي</w:t>
                </w:r>
                <w:r w:rsidR="00F4223D" w:rsidRPr="008D22A6">
                  <w:rPr>
                    <w:rStyle w:val="Lienhypertexte"/>
                    <w:rtl/>
                  </w:rPr>
                  <w:t xml:space="preserve"> </w:t>
                </w:r>
                <w:r w:rsidR="00F4223D" w:rsidRPr="008D22A6">
                  <w:rPr>
                    <w:rStyle w:val="Lienhypertexte"/>
                    <w:rFonts w:hint="eastAsia"/>
                    <w:rtl/>
                  </w:rPr>
                  <w:t>وحاليا</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_Toc171803484 \h </w:instrText>
                </w:r>
                <w:r w:rsidR="00F4223D">
                  <w:rPr>
                    <w:webHidden/>
                  </w:rPr>
                </w:r>
                <w:r w:rsidR="00F4223D">
                  <w:rPr>
                    <w:webHidden/>
                  </w:rPr>
                  <w:fldChar w:fldCharType="separate"/>
                </w:r>
                <w:r>
                  <w:rPr>
                    <w:webHidden/>
                    <w:rtl/>
                    <w:lang w:bidi="ar-SA"/>
                  </w:rPr>
                  <w:t>76</w:t>
                </w:r>
                <w:r w:rsidR="00F4223D">
                  <w:rPr>
                    <w:webHidden/>
                  </w:rPr>
                  <w:fldChar w:fldCharType="end"/>
                </w:r>
              </w:hyperlink>
            </w:p>
            <w:p w:rsidR="00F4223D" w:rsidRDefault="00B62F86" w:rsidP="003A089F">
              <w:pPr>
                <w:pStyle w:val="TM3"/>
              </w:pPr>
              <w:hyperlink w:anchor="_Toc171803486" w:history="1">
                <w:r w:rsidR="00F4223D" w:rsidRPr="008D22A6">
                  <w:rPr>
                    <w:rStyle w:val="Lienhypertexte"/>
                  </w:rPr>
                  <w:t>2.2.4.2.</w:t>
                </w:r>
                <w:r w:rsidR="00F4223D">
                  <w:tab/>
                </w:r>
                <w:r w:rsidR="00F4223D" w:rsidRPr="008D22A6">
                  <w:rPr>
                    <w:rStyle w:val="Lienhypertexte"/>
                    <w:rFonts w:hint="eastAsia"/>
                    <w:rtl/>
                  </w:rPr>
                  <w:t>المؤشرات</w:t>
                </w:r>
                <w:r w:rsidR="00F4223D" w:rsidRPr="008D22A6">
                  <w:rPr>
                    <w:rStyle w:val="Lienhypertexte"/>
                    <w:rtl/>
                  </w:rPr>
                  <w:t xml:space="preserve"> </w:t>
                </w:r>
                <w:r w:rsidR="00F4223D" w:rsidRPr="008D22A6">
                  <w:rPr>
                    <w:rStyle w:val="Lienhypertexte"/>
                    <w:rFonts w:hint="eastAsia"/>
                    <w:rtl/>
                  </w:rPr>
                  <w:t>غير</w:t>
                </w:r>
                <w:r w:rsidR="00F4223D" w:rsidRPr="008D22A6">
                  <w:rPr>
                    <w:rStyle w:val="Lienhypertexte"/>
                    <w:rtl/>
                  </w:rPr>
                  <w:t xml:space="preserve"> </w:t>
                </w:r>
                <w:r w:rsidR="00F4223D" w:rsidRPr="008D22A6">
                  <w:rPr>
                    <w:rStyle w:val="Lienhypertexte"/>
                    <w:rFonts w:hint="eastAsia"/>
                    <w:rtl/>
                  </w:rPr>
                  <w:t>المباشرة</w:t>
                </w:r>
                <w:r w:rsidR="00F4223D" w:rsidRPr="008D22A6">
                  <w:rPr>
                    <w:rStyle w:val="Lienhypertexte"/>
                    <w:rtl/>
                  </w:rPr>
                  <w:t xml:space="preserve"> </w:t>
                </w:r>
                <w:r w:rsidR="00F4223D" w:rsidRPr="008D22A6">
                  <w:rPr>
                    <w:rStyle w:val="Lienhypertexte"/>
                    <w:rFonts w:hint="eastAsia"/>
                    <w:rtl/>
                  </w:rPr>
                  <w:t>للمرونة</w:t>
                </w:r>
                <w:r w:rsidR="00F4223D" w:rsidRPr="008D22A6">
                  <w:rPr>
                    <w:rStyle w:val="Lienhypertexte"/>
                    <w:rtl/>
                  </w:rPr>
                  <w:t xml:space="preserve"> (</w:t>
                </w:r>
                <w:r w:rsidR="00F4223D" w:rsidRPr="008D22A6">
                  <w:rPr>
                    <w:rStyle w:val="Lienhypertexte"/>
                    <w:rFonts w:hint="eastAsia"/>
                    <w:rtl/>
                  </w:rPr>
                  <w:t>قياس</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المستقبل</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_Toc171803486 \h </w:instrText>
                </w:r>
                <w:r w:rsidR="00F4223D">
                  <w:rPr>
                    <w:webHidden/>
                  </w:rPr>
                </w:r>
                <w:r w:rsidR="00F4223D">
                  <w:rPr>
                    <w:webHidden/>
                  </w:rPr>
                  <w:fldChar w:fldCharType="separate"/>
                </w:r>
                <w:r>
                  <w:rPr>
                    <w:webHidden/>
                    <w:rtl/>
                    <w:lang w:bidi="ar-SA"/>
                  </w:rPr>
                  <w:t>77</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88" w:history="1">
                <w:r w:rsidR="00F4223D" w:rsidRPr="008D22A6">
                  <w:rPr>
                    <w:rStyle w:val="Lienhypertexte"/>
                    <w:lang w:bidi="ar-DZ"/>
                  </w:rPr>
                  <w:t>3.4.2.</w:t>
                </w:r>
                <w:r w:rsidR="00F4223D">
                  <w:rPr>
                    <w:rFonts w:asciiTheme="minorHAnsi" w:hAnsiTheme="minorHAnsi" w:cstheme="minorBidi"/>
                    <w:lang w:val="fr-FR"/>
                  </w:rPr>
                  <w:tab/>
                </w:r>
                <w:r w:rsidR="00F4223D" w:rsidRPr="008D22A6">
                  <w:rPr>
                    <w:rStyle w:val="Lienhypertexte"/>
                    <w:rFonts w:hint="eastAsia"/>
                    <w:rtl/>
                    <w:lang w:bidi="ar-DZ"/>
                  </w:rPr>
                  <w:t>تحديد</w:t>
                </w:r>
                <w:r w:rsidR="00F4223D" w:rsidRPr="008D22A6">
                  <w:rPr>
                    <w:rStyle w:val="Lienhypertexte"/>
                    <w:rtl/>
                    <w:lang w:bidi="ar-DZ"/>
                  </w:rPr>
                  <w:t xml:space="preserve"> </w:t>
                </w:r>
                <w:r w:rsidR="00F4223D" w:rsidRPr="008D22A6">
                  <w:rPr>
                    <w:rStyle w:val="Lienhypertexte"/>
                    <w:rFonts w:hint="eastAsia"/>
                    <w:rtl/>
                    <w:lang w:bidi="ar-DZ"/>
                  </w:rPr>
                  <w:t>مؤشرات</w:t>
                </w:r>
                <w:r w:rsidR="00F4223D" w:rsidRPr="008D22A6">
                  <w:rPr>
                    <w:rStyle w:val="Lienhypertexte"/>
                    <w:rtl/>
                    <w:lang w:bidi="ar-DZ"/>
                  </w:rPr>
                  <w:t xml:space="preserve"> </w:t>
                </w:r>
                <w:r w:rsidR="00F4223D" w:rsidRPr="008D22A6">
                  <w:rPr>
                    <w:rStyle w:val="Lienhypertexte"/>
                    <w:rFonts w:hint="eastAsia"/>
                    <w:rtl/>
                    <w:lang w:bidi="ar-DZ"/>
                  </w:rPr>
                  <w:t>المرونة</w:t>
                </w:r>
                <w:r w:rsidR="00F4223D" w:rsidRPr="008D22A6">
                  <w:rPr>
                    <w:rStyle w:val="Lienhypertexte"/>
                    <w:rtl/>
                    <w:lang w:bidi="ar-DZ"/>
                  </w:rPr>
                  <w:t xml:space="preserve"> </w:t>
                </w:r>
                <w:r w:rsidR="00F4223D" w:rsidRPr="008D22A6">
                  <w:rPr>
                    <w:rStyle w:val="Lienhypertexte"/>
                    <w:rFonts w:hint="eastAsia"/>
                    <w:rtl/>
                    <w:lang w:bidi="ar-DZ"/>
                  </w:rPr>
                  <w:t>المناسبة</w:t>
                </w:r>
                <w:r w:rsidR="00F4223D" w:rsidRPr="008D22A6">
                  <w:rPr>
                    <w:rStyle w:val="Lienhypertexte"/>
                    <w:rtl/>
                    <w:lang w:bidi="ar-DZ"/>
                  </w:rPr>
                  <w:t xml:space="preserve"> </w:t>
                </w:r>
                <w:r w:rsidR="00F4223D" w:rsidRPr="008D22A6">
                  <w:rPr>
                    <w:rStyle w:val="Lienhypertexte"/>
                    <w:rFonts w:hint="eastAsia"/>
                    <w:rtl/>
                    <w:lang w:bidi="ar-DZ"/>
                  </w:rPr>
                  <w:t>المباشرة</w:t>
                </w:r>
                <w:r w:rsidR="00F4223D" w:rsidRPr="008D22A6">
                  <w:rPr>
                    <w:rStyle w:val="Lienhypertexte"/>
                    <w:rtl/>
                    <w:lang w:bidi="ar-DZ"/>
                  </w:rPr>
                  <w:t xml:space="preserve"> </w:t>
                </w:r>
                <w:r w:rsidR="00F4223D" w:rsidRPr="008D22A6">
                  <w:rPr>
                    <w:rStyle w:val="Lienhypertexte"/>
                    <w:rFonts w:hint="eastAsia"/>
                    <w:rtl/>
                    <w:lang w:bidi="ar-DZ"/>
                  </w:rPr>
                  <w:t>وغير</w:t>
                </w:r>
                <w:r w:rsidR="00F4223D" w:rsidRPr="008D22A6">
                  <w:rPr>
                    <w:rStyle w:val="Lienhypertexte"/>
                    <w:rtl/>
                    <w:lang w:bidi="ar-DZ"/>
                  </w:rPr>
                  <w:t xml:space="preserve"> </w:t>
                </w:r>
                <w:r w:rsidR="00F4223D" w:rsidRPr="008D22A6">
                  <w:rPr>
                    <w:rStyle w:val="Lienhypertexte"/>
                    <w:rFonts w:hint="eastAsia"/>
                    <w:rtl/>
                    <w:lang w:bidi="ar-DZ"/>
                  </w:rPr>
                  <w:t>المباشرة</w:t>
                </w:r>
                <w:r w:rsidR="00F4223D">
                  <w:rPr>
                    <w:webHidden/>
                  </w:rPr>
                  <w:tab/>
                </w:r>
                <w:r w:rsidR="00F4223D">
                  <w:rPr>
                    <w:webHidden/>
                  </w:rPr>
                  <w:fldChar w:fldCharType="begin"/>
                </w:r>
                <w:r w:rsidR="00F4223D">
                  <w:rPr>
                    <w:webHidden/>
                  </w:rPr>
                  <w:instrText xml:space="preserve"> PAGEREF _Toc171803488 \h </w:instrText>
                </w:r>
                <w:r w:rsidR="00F4223D">
                  <w:rPr>
                    <w:webHidden/>
                  </w:rPr>
                </w:r>
                <w:r w:rsidR="00F4223D">
                  <w:rPr>
                    <w:webHidden/>
                  </w:rPr>
                  <w:fldChar w:fldCharType="separate"/>
                </w:r>
                <w:r>
                  <w:rPr>
                    <w:webHidden/>
                    <w:rtl/>
                  </w:rPr>
                  <w:t>78</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489" w:history="1">
                <w:r w:rsidR="00F4223D" w:rsidRPr="008D22A6">
                  <w:rPr>
                    <w:rStyle w:val="Lienhypertexte"/>
                    <w:lang w:bidi="ar-DZ"/>
                  </w:rPr>
                  <w:t>4.4.2.</w:t>
                </w:r>
                <w:r w:rsidR="00F4223D">
                  <w:rPr>
                    <w:rFonts w:asciiTheme="minorHAnsi" w:hAnsiTheme="minorHAnsi" w:cstheme="minorBidi"/>
                    <w:lang w:val="fr-FR"/>
                  </w:rPr>
                  <w:tab/>
                </w:r>
                <w:r w:rsidR="00F4223D" w:rsidRPr="008D22A6">
                  <w:rPr>
                    <w:rStyle w:val="Lienhypertexte"/>
                    <w:rFonts w:hint="eastAsia"/>
                    <w:rtl/>
                    <w:lang w:bidi="ar-DZ"/>
                  </w:rPr>
                  <w:t>المؤشرات</w:t>
                </w:r>
                <w:r w:rsidR="00F4223D" w:rsidRPr="008D22A6">
                  <w:rPr>
                    <w:rStyle w:val="Lienhypertexte"/>
                    <w:rtl/>
                    <w:lang w:bidi="ar-DZ"/>
                  </w:rPr>
                  <w:t xml:space="preserve"> </w:t>
                </w:r>
                <w:r w:rsidR="00F4223D" w:rsidRPr="008D22A6">
                  <w:rPr>
                    <w:rStyle w:val="Lienhypertexte"/>
                    <w:rFonts w:hint="eastAsia"/>
                    <w:rtl/>
                    <w:lang w:bidi="ar-DZ"/>
                  </w:rPr>
                  <w:t>الفيزيائية</w:t>
                </w:r>
                <w:r w:rsidR="00F4223D">
                  <w:rPr>
                    <w:webHidden/>
                  </w:rPr>
                  <w:tab/>
                </w:r>
                <w:r w:rsidR="00F4223D">
                  <w:rPr>
                    <w:webHidden/>
                  </w:rPr>
                  <w:fldChar w:fldCharType="begin"/>
                </w:r>
                <w:r w:rsidR="00F4223D">
                  <w:rPr>
                    <w:webHidden/>
                  </w:rPr>
                  <w:instrText xml:space="preserve"> PAGEREF _Toc171803489 \h </w:instrText>
                </w:r>
                <w:r w:rsidR="00F4223D">
                  <w:rPr>
                    <w:webHidden/>
                  </w:rPr>
                </w:r>
                <w:r w:rsidR="00F4223D">
                  <w:rPr>
                    <w:webHidden/>
                  </w:rPr>
                  <w:fldChar w:fldCharType="separate"/>
                </w:r>
                <w:r>
                  <w:rPr>
                    <w:webHidden/>
                    <w:rtl/>
                  </w:rPr>
                  <w:t>78</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92" w:history="1">
                <w:r w:rsidR="00F4223D" w:rsidRPr="008D22A6">
                  <w:rPr>
                    <w:rStyle w:val="Lienhypertexte"/>
                    <w:rtl/>
                  </w:rPr>
                  <w:t>5.2.</w:t>
                </w:r>
                <w:r w:rsidR="001A5014" w:rsidRPr="001A5014">
                  <w:rPr>
                    <w:rFonts w:hint="eastAsia"/>
                    <w:rtl/>
                  </w:rPr>
                  <w:t xml:space="preserve"> </w:t>
                </w:r>
                <w:r w:rsidR="001A5014" w:rsidRPr="001A5014">
                  <w:rPr>
                    <w:rStyle w:val="Lienhypertexte"/>
                    <w:rFonts w:hint="eastAsia"/>
                    <w:rtl/>
                  </w:rPr>
                  <w:t>تقييم</w:t>
                </w:r>
                <w:r w:rsidR="001A5014" w:rsidRPr="001A5014">
                  <w:rPr>
                    <w:rStyle w:val="Lienhypertexte"/>
                    <w:rtl/>
                  </w:rPr>
                  <w:t xml:space="preserve"> </w:t>
                </w:r>
                <w:r w:rsidR="001A5014" w:rsidRPr="001A5014">
                  <w:rPr>
                    <w:rStyle w:val="Lienhypertexte"/>
                    <w:rFonts w:hint="eastAsia"/>
                    <w:rtl/>
                  </w:rPr>
                  <w:t>النماذج،</w:t>
                </w:r>
                <w:r w:rsidR="001A5014" w:rsidRPr="001A5014">
                  <w:rPr>
                    <w:rStyle w:val="Lienhypertexte"/>
                    <w:rtl/>
                  </w:rPr>
                  <w:t xml:space="preserve"> </w:t>
                </w:r>
                <w:r w:rsidR="001A5014" w:rsidRPr="001A5014">
                  <w:rPr>
                    <w:rStyle w:val="Lienhypertexte"/>
                    <w:rFonts w:hint="eastAsia"/>
                    <w:rtl/>
                  </w:rPr>
                  <w:t>انتقاء</w:t>
                </w:r>
                <w:r w:rsidR="001A5014" w:rsidRPr="001A5014">
                  <w:rPr>
                    <w:rStyle w:val="Lienhypertexte"/>
                    <w:rtl/>
                  </w:rPr>
                  <w:t xml:space="preserve"> </w:t>
                </w:r>
                <w:r w:rsidR="001A5014" w:rsidRPr="001A5014">
                  <w:rPr>
                    <w:rStyle w:val="Lienhypertexte"/>
                    <w:rFonts w:hint="eastAsia"/>
                    <w:rtl/>
                  </w:rPr>
                  <w:t>عوامل</w:t>
                </w:r>
                <w:r w:rsidR="001A5014" w:rsidRPr="001A5014">
                  <w:rPr>
                    <w:rStyle w:val="Lienhypertexte"/>
                    <w:rtl/>
                  </w:rPr>
                  <w:t xml:space="preserve"> </w:t>
                </w:r>
                <w:r w:rsidR="001A5014" w:rsidRPr="001A5014">
                  <w:rPr>
                    <w:rStyle w:val="Lienhypertexte"/>
                    <w:rFonts w:hint="eastAsia"/>
                    <w:rtl/>
                  </w:rPr>
                  <w:t>تقييم</w:t>
                </w:r>
                <w:r w:rsidR="001A5014" w:rsidRPr="001A5014">
                  <w:rPr>
                    <w:rStyle w:val="Lienhypertexte"/>
                    <w:rtl/>
                  </w:rPr>
                  <w:t xml:space="preserve"> </w:t>
                </w:r>
                <w:r w:rsidR="001A5014" w:rsidRPr="001A5014">
                  <w:rPr>
                    <w:rStyle w:val="Lienhypertexte"/>
                    <w:rFonts w:hint="eastAsia"/>
                    <w:rtl/>
                  </w:rPr>
                  <w:t>وتفعيل</w:t>
                </w:r>
                <w:r w:rsidR="001A5014" w:rsidRPr="001A5014">
                  <w:rPr>
                    <w:rStyle w:val="Lienhypertexte"/>
                    <w:rtl/>
                  </w:rPr>
                  <w:t xml:space="preserve"> </w:t>
                </w:r>
                <w:r w:rsidR="001A5014" w:rsidRPr="001A5014">
                  <w:rPr>
                    <w:rStyle w:val="Lienhypertexte"/>
                    <w:rFonts w:hint="eastAsia"/>
                    <w:rtl/>
                  </w:rPr>
                  <w:t>المرونة</w:t>
                </w:r>
                <w:r w:rsidR="001A5014" w:rsidRPr="001A5014">
                  <w:rPr>
                    <w:rStyle w:val="Lienhypertexte"/>
                    <w:rtl/>
                  </w:rPr>
                  <w:t xml:space="preserve"> </w:t>
                </w:r>
                <w:r w:rsidR="001A5014" w:rsidRPr="001A5014">
                  <w:rPr>
                    <w:rStyle w:val="Lienhypertexte"/>
                    <w:rFonts w:hint="eastAsia"/>
                    <w:rtl/>
                  </w:rPr>
                  <w:t>الحضرية</w:t>
                </w:r>
                <w:r w:rsidR="001A5014">
                  <w:rPr>
                    <w:rStyle w:val="Lienhypertexte"/>
                    <w:rFonts w:hint="cs"/>
                    <w:rtl/>
                  </w:rPr>
                  <w:t>.......................................................</w:t>
                </w:r>
                <w:r w:rsidR="001A5014" w:rsidRPr="001A5014">
                  <w:rPr>
                    <w:rStyle w:val="Lienhypertexte"/>
                    <w:rFonts w:hint="cs"/>
                    <w:rtl/>
                  </w:rPr>
                  <w:t>..</w:t>
                </w:r>
                <w:r w:rsidR="00F4223D">
                  <w:rPr>
                    <w:webHidden/>
                  </w:rPr>
                  <w:tab/>
                </w:r>
                <w:r w:rsidR="00F4223D">
                  <w:rPr>
                    <w:webHidden/>
                  </w:rPr>
                  <w:fldChar w:fldCharType="begin"/>
                </w:r>
                <w:r w:rsidR="00F4223D">
                  <w:rPr>
                    <w:webHidden/>
                  </w:rPr>
                  <w:instrText xml:space="preserve"> PAGEREF _Toc171803492 \h </w:instrText>
                </w:r>
                <w:r w:rsidR="00F4223D">
                  <w:rPr>
                    <w:webHidden/>
                  </w:rPr>
                </w:r>
                <w:r w:rsidR="00F4223D">
                  <w:rPr>
                    <w:webHidden/>
                  </w:rPr>
                  <w:fldChar w:fldCharType="separate"/>
                </w:r>
                <w:r>
                  <w:rPr>
                    <w:webHidden/>
                    <w:rtl/>
                    <w:lang w:bidi="ar-SA"/>
                  </w:rPr>
                  <w:t>79</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93" w:history="1">
                <w:r w:rsidR="00F4223D" w:rsidRPr="008D22A6">
                  <w:rPr>
                    <w:rStyle w:val="Lienhypertexte"/>
                    <w:rtl/>
                  </w:rPr>
                  <w:t>1.5.2.</w:t>
                </w:r>
                <w:r w:rsidR="00F4223D">
                  <w:rPr>
                    <w:rFonts w:asciiTheme="minorHAnsi" w:hAnsiTheme="minorHAnsi" w:cstheme="minorBidi"/>
                    <w:lang w:val="fr-FR"/>
                  </w:rPr>
                  <w:tab/>
                </w:r>
                <w:r w:rsidR="00F4223D" w:rsidRPr="008D22A6">
                  <w:rPr>
                    <w:rStyle w:val="Lienhypertexte"/>
                    <w:rFonts w:hint="eastAsia"/>
                    <w:rtl/>
                    <w:lang w:bidi="ar-DZ"/>
                  </w:rPr>
                  <w:t>تقييم</w:t>
                </w:r>
                <w:r w:rsidR="00F4223D" w:rsidRPr="008D22A6">
                  <w:rPr>
                    <w:rStyle w:val="Lienhypertexte"/>
                    <w:rtl/>
                    <w:lang w:bidi="ar-DZ"/>
                  </w:rPr>
                  <w:t xml:space="preserve"> </w:t>
                </w:r>
                <w:r w:rsidR="00F4223D" w:rsidRPr="008D22A6">
                  <w:rPr>
                    <w:rStyle w:val="Lienhypertexte"/>
                    <w:rFonts w:hint="eastAsia"/>
                    <w:rtl/>
                    <w:lang w:bidi="ar-DZ"/>
                  </w:rPr>
                  <w:t>النماذج</w:t>
                </w:r>
                <w:r w:rsidR="00F4223D">
                  <w:rPr>
                    <w:webHidden/>
                  </w:rPr>
                  <w:tab/>
                </w:r>
                <w:r w:rsidR="00F4223D">
                  <w:rPr>
                    <w:webHidden/>
                  </w:rPr>
                  <w:fldChar w:fldCharType="begin"/>
                </w:r>
                <w:r w:rsidR="00F4223D">
                  <w:rPr>
                    <w:webHidden/>
                  </w:rPr>
                  <w:instrText xml:space="preserve"> PAGEREF _Toc171803493 \h </w:instrText>
                </w:r>
                <w:r w:rsidR="00F4223D">
                  <w:rPr>
                    <w:webHidden/>
                  </w:rPr>
                </w:r>
                <w:r w:rsidR="00F4223D">
                  <w:rPr>
                    <w:webHidden/>
                  </w:rPr>
                  <w:fldChar w:fldCharType="separate"/>
                </w:r>
                <w:r>
                  <w:rPr>
                    <w:webHidden/>
                    <w:rtl/>
                  </w:rPr>
                  <w:t>79</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494" w:history="1">
                <w:r w:rsidR="00F4223D" w:rsidRPr="008D22A6">
                  <w:rPr>
                    <w:rStyle w:val="Lienhypertexte"/>
                    <w:rtl/>
                  </w:rPr>
                  <w:t>2.5.2.</w:t>
                </w:r>
                <w:r w:rsidR="00F4223D">
                  <w:rPr>
                    <w:rFonts w:asciiTheme="minorHAnsi" w:hAnsiTheme="minorHAnsi" w:cstheme="minorBidi"/>
                    <w:lang w:val="fr-FR"/>
                  </w:rPr>
                  <w:tab/>
                </w:r>
                <w:r w:rsidR="00F4223D" w:rsidRPr="008D22A6">
                  <w:rPr>
                    <w:rStyle w:val="Lienhypertexte"/>
                    <w:rFonts w:hint="eastAsia"/>
                    <w:rtl/>
                    <w:lang w:bidi="ar-DZ"/>
                  </w:rPr>
                  <w:t>انتقاء</w:t>
                </w:r>
                <w:r w:rsidR="00F4223D" w:rsidRPr="008D22A6">
                  <w:rPr>
                    <w:rStyle w:val="Lienhypertexte"/>
                    <w:rtl/>
                    <w:lang w:bidi="ar-DZ"/>
                  </w:rPr>
                  <w:t xml:space="preserve"> </w:t>
                </w:r>
                <w:r w:rsidR="00F4223D" w:rsidRPr="008D22A6">
                  <w:rPr>
                    <w:rStyle w:val="Lienhypertexte"/>
                    <w:rFonts w:hint="eastAsia"/>
                    <w:rtl/>
                    <w:lang w:bidi="ar-DZ"/>
                  </w:rPr>
                  <w:t>عوامل</w:t>
                </w:r>
                <w:r w:rsidR="00F4223D" w:rsidRPr="008D22A6">
                  <w:rPr>
                    <w:rStyle w:val="Lienhypertexte"/>
                    <w:rtl/>
                    <w:lang w:bidi="ar-DZ"/>
                  </w:rPr>
                  <w:t xml:space="preserve"> </w:t>
                </w:r>
                <w:r w:rsidR="00F4223D" w:rsidRPr="008D22A6">
                  <w:rPr>
                    <w:rStyle w:val="Lienhypertexte"/>
                    <w:rFonts w:hint="eastAsia"/>
                    <w:rtl/>
                    <w:lang w:bidi="ar-DZ"/>
                  </w:rPr>
                  <w:t>تقييم</w:t>
                </w:r>
                <w:r w:rsidR="00F4223D" w:rsidRPr="008D22A6">
                  <w:rPr>
                    <w:rStyle w:val="Lienhypertexte"/>
                    <w:rtl/>
                    <w:lang w:bidi="ar-DZ"/>
                  </w:rPr>
                  <w:t xml:space="preserve"> </w:t>
                </w:r>
                <w:r w:rsidR="00F4223D" w:rsidRPr="008D22A6">
                  <w:rPr>
                    <w:rStyle w:val="Lienhypertexte"/>
                    <w:rFonts w:hint="eastAsia"/>
                    <w:rtl/>
                    <w:lang w:bidi="ar-DZ"/>
                  </w:rPr>
                  <w:t>وتفعيل</w:t>
                </w:r>
                <w:r w:rsidR="00F4223D" w:rsidRPr="008D22A6">
                  <w:rPr>
                    <w:rStyle w:val="Lienhypertexte"/>
                    <w:rtl/>
                    <w:lang w:bidi="ar-DZ"/>
                  </w:rPr>
                  <w:t xml:space="preserve"> </w:t>
                </w:r>
                <w:r w:rsidR="00F4223D" w:rsidRPr="008D22A6">
                  <w:rPr>
                    <w:rStyle w:val="Lienhypertexte"/>
                    <w:rFonts w:hint="eastAsia"/>
                    <w:rtl/>
                    <w:lang w:bidi="ar-DZ"/>
                  </w:rPr>
                  <w:t>المرونة</w:t>
                </w:r>
                <w:r w:rsidR="00F4223D" w:rsidRPr="008D22A6">
                  <w:rPr>
                    <w:rStyle w:val="Lienhypertexte"/>
                    <w:rtl/>
                    <w:lang w:bidi="ar-DZ"/>
                  </w:rPr>
                  <w:t xml:space="preserve"> </w:t>
                </w:r>
                <w:r w:rsidR="00F4223D" w:rsidRPr="008D22A6">
                  <w:rPr>
                    <w:rStyle w:val="Lienhypertexte"/>
                    <w:rFonts w:hint="eastAsia"/>
                    <w:rtl/>
                    <w:lang w:bidi="ar-DZ"/>
                  </w:rPr>
                  <w:t>الحضرية</w:t>
                </w:r>
                <w:r w:rsidR="00F4223D">
                  <w:rPr>
                    <w:webHidden/>
                  </w:rPr>
                  <w:tab/>
                </w:r>
                <w:r w:rsidR="00F4223D">
                  <w:rPr>
                    <w:webHidden/>
                  </w:rPr>
                  <w:fldChar w:fldCharType="begin"/>
                </w:r>
                <w:r w:rsidR="00F4223D">
                  <w:rPr>
                    <w:webHidden/>
                  </w:rPr>
                  <w:instrText xml:space="preserve"> PAGEREF _Toc171803494 \h </w:instrText>
                </w:r>
                <w:r w:rsidR="00F4223D">
                  <w:rPr>
                    <w:webHidden/>
                  </w:rPr>
                </w:r>
                <w:r w:rsidR="00F4223D">
                  <w:rPr>
                    <w:webHidden/>
                  </w:rPr>
                  <w:fldChar w:fldCharType="separate"/>
                </w:r>
                <w:r>
                  <w:rPr>
                    <w:webHidden/>
                    <w:rtl/>
                  </w:rPr>
                  <w:t>80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497" w:history="1">
                <w:r w:rsidR="00F4223D" w:rsidRPr="008D22A6">
                  <w:rPr>
                    <w:rStyle w:val="Lienhypertexte"/>
                    <w:rtl/>
                  </w:rPr>
                  <w:t>6.2.</w:t>
                </w:r>
                <w:r w:rsidR="001A5014" w:rsidRPr="001A5014">
                  <w:rPr>
                    <w:rStyle w:val="Lienhypertexte"/>
                    <w:rFonts w:hint="eastAsia"/>
                    <w:rtl/>
                  </w:rPr>
                  <w:t xml:space="preserve"> ملخص</w:t>
                </w:r>
                <w:r w:rsidR="001A5014" w:rsidRPr="001A5014">
                  <w:rPr>
                    <w:rStyle w:val="Lienhypertexte"/>
                    <w:rtl/>
                  </w:rPr>
                  <w:t xml:space="preserve"> </w:t>
                </w:r>
                <w:r w:rsidR="001A5014" w:rsidRPr="001A5014">
                  <w:rPr>
                    <w:rStyle w:val="Lienhypertexte"/>
                    <w:rFonts w:hint="eastAsia"/>
                    <w:rtl/>
                  </w:rPr>
                  <w:t>الفجوة</w:t>
                </w:r>
                <w:r w:rsidR="001A5014" w:rsidRPr="001A5014">
                  <w:rPr>
                    <w:rStyle w:val="Lienhypertexte"/>
                    <w:rtl/>
                  </w:rPr>
                  <w:t xml:space="preserve"> </w:t>
                </w:r>
                <w:r w:rsidR="001A5014" w:rsidRPr="001A5014">
                  <w:rPr>
                    <w:rStyle w:val="Lienhypertexte"/>
                    <w:rFonts w:hint="eastAsia"/>
                    <w:rtl/>
                  </w:rPr>
                  <w:t>العلمية</w:t>
                </w:r>
                <w:r w:rsidR="001A5014" w:rsidRPr="001A5014">
                  <w:rPr>
                    <w:rStyle w:val="Lienhypertexte"/>
                    <w:rtl/>
                  </w:rPr>
                  <w:t xml:space="preserve"> </w:t>
                </w:r>
                <w:r w:rsidR="001A5014" w:rsidRPr="001A5014">
                  <w:rPr>
                    <w:rStyle w:val="Lienhypertexte"/>
                    <w:rFonts w:hint="eastAsia"/>
                    <w:rtl/>
                  </w:rPr>
                  <w:t>وأسئلة</w:t>
                </w:r>
                <w:r w:rsidR="001A5014" w:rsidRPr="001A5014">
                  <w:rPr>
                    <w:rStyle w:val="Lienhypertexte"/>
                    <w:rtl/>
                  </w:rPr>
                  <w:t xml:space="preserve"> </w:t>
                </w:r>
                <w:r w:rsidR="001A5014" w:rsidRPr="001A5014">
                  <w:rPr>
                    <w:rStyle w:val="Lienhypertexte"/>
                    <w:rFonts w:hint="eastAsia"/>
                    <w:rtl/>
                  </w:rPr>
                  <w:t>البحث</w:t>
                </w:r>
                <w:r w:rsidR="001A5014">
                  <w:rPr>
                    <w:rStyle w:val="Lienhypertexte"/>
                    <w:rFonts w:hint="cs"/>
                    <w:rtl/>
                  </w:rPr>
                  <w:t>..............................................................................</w:t>
                </w:r>
                <w:r w:rsidR="001A5014" w:rsidRPr="001A5014">
                  <w:rPr>
                    <w:rStyle w:val="Lienhypertexte"/>
                    <w:rFonts w:hint="cs"/>
                    <w:rtl/>
                  </w:rPr>
                  <w:t>.</w:t>
                </w:r>
                <w:r w:rsidR="00F4223D">
                  <w:rPr>
                    <w:webHidden/>
                  </w:rPr>
                  <w:tab/>
                </w:r>
                <w:r w:rsidR="00F4223D">
                  <w:rPr>
                    <w:webHidden/>
                  </w:rPr>
                  <w:fldChar w:fldCharType="begin"/>
                </w:r>
                <w:r w:rsidR="00F4223D">
                  <w:rPr>
                    <w:webHidden/>
                  </w:rPr>
                  <w:instrText xml:space="preserve"> PAGEREF _Toc171803497 \h </w:instrText>
                </w:r>
                <w:r w:rsidR="00F4223D">
                  <w:rPr>
                    <w:webHidden/>
                  </w:rPr>
                </w:r>
                <w:r w:rsidR="00F4223D">
                  <w:rPr>
                    <w:webHidden/>
                  </w:rPr>
                  <w:fldChar w:fldCharType="separate"/>
                </w:r>
                <w:r>
                  <w:rPr>
                    <w:webHidden/>
                    <w:rtl/>
                    <w:lang w:bidi="ar-SA"/>
                  </w:rPr>
                  <w:t>80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00" w:history="1">
                <w:r w:rsidR="00F4223D" w:rsidRPr="008D22A6">
                  <w:rPr>
                    <w:rStyle w:val="Lienhypertexte"/>
                    <w:rFonts w:hint="eastAsia"/>
                    <w:rtl/>
                  </w:rPr>
                  <w:t>الخلاصة</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_Toc171803500 \h </w:instrText>
                </w:r>
                <w:r w:rsidR="00F4223D">
                  <w:rPr>
                    <w:webHidden/>
                  </w:rPr>
                </w:r>
                <w:r w:rsidR="00F4223D">
                  <w:rPr>
                    <w:webHidden/>
                  </w:rPr>
                  <w:fldChar w:fldCharType="separate"/>
                </w:r>
                <w:r>
                  <w:rPr>
                    <w:webHidden/>
                    <w:rtl/>
                    <w:lang w:bidi="ar-SA"/>
                  </w:rPr>
                  <w:t>82</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01" w:history="1">
                <w:r w:rsidR="00F4223D" w:rsidRPr="008D22A6">
                  <w:rPr>
                    <w:rStyle w:val="Lienhypertexte"/>
                    <w:rFonts w:hint="eastAsia"/>
                    <w:rtl/>
                  </w:rPr>
                  <w:t>الفصل</w:t>
                </w:r>
                <w:r w:rsidR="00F4223D" w:rsidRPr="008D22A6">
                  <w:rPr>
                    <w:rStyle w:val="Lienhypertexte"/>
                    <w:rtl/>
                  </w:rPr>
                  <w:t xml:space="preserve"> 3: </w:t>
                </w:r>
                <w:r w:rsidR="00F4223D" w:rsidRPr="008D22A6">
                  <w:rPr>
                    <w:rStyle w:val="Lienhypertexte"/>
                    <w:rFonts w:hint="eastAsia"/>
                    <w:rtl/>
                  </w:rPr>
                  <w:t>تطوير</w:t>
                </w:r>
                <w:r w:rsidR="00F4223D" w:rsidRPr="008D22A6">
                  <w:rPr>
                    <w:rStyle w:val="Lienhypertexte"/>
                    <w:rtl/>
                  </w:rPr>
                  <w:t xml:space="preserve"> </w:t>
                </w:r>
                <w:r w:rsidR="00F4223D" w:rsidRPr="008D22A6">
                  <w:rPr>
                    <w:rStyle w:val="Lienhypertexte"/>
                    <w:rFonts w:hint="eastAsia"/>
                    <w:rtl/>
                  </w:rPr>
                  <w:t>اطار</w:t>
                </w:r>
                <w:r w:rsidR="00F4223D" w:rsidRPr="008D22A6">
                  <w:rPr>
                    <w:rStyle w:val="Lienhypertexte"/>
                    <w:rtl/>
                  </w:rPr>
                  <w:t xml:space="preserve"> </w:t>
                </w:r>
                <w:r w:rsidR="00F4223D" w:rsidRPr="008D22A6">
                  <w:rPr>
                    <w:rStyle w:val="Lienhypertexte"/>
                    <w:rFonts w:hint="eastAsia"/>
                    <w:rtl/>
                  </w:rPr>
                  <w:t>عمل</w:t>
                </w:r>
                <w:r w:rsidR="00F4223D" w:rsidRPr="008D22A6">
                  <w:rPr>
                    <w:rStyle w:val="Lienhypertexte"/>
                    <w:rtl/>
                  </w:rPr>
                  <w:t xml:space="preserve"> </w:t>
                </w:r>
                <w:r w:rsidR="00F4223D" w:rsidRPr="008D22A6">
                  <w:rPr>
                    <w:rStyle w:val="Lienhypertexte"/>
                    <w:rFonts w:hint="eastAsia"/>
                    <w:rtl/>
                  </w:rPr>
                  <w:t>لتقييم</w:t>
                </w:r>
                <w:r w:rsidR="00F4223D" w:rsidRPr="008D22A6">
                  <w:rPr>
                    <w:rStyle w:val="Lienhypertexte"/>
                    <w:rtl/>
                  </w:rPr>
                  <w:t xml:space="preserve"> </w:t>
                </w:r>
                <w:r w:rsidR="00F4223D" w:rsidRPr="008D22A6">
                  <w:rPr>
                    <w:rStyle w:val="Lienhypertexte"/>
                    <w:rFonts w:hint="eastAsia"/>
                    <w:rtl/>
                  </w:rPr>
                  <w:t>مستويات</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hyperlink>
            </w:p>
            <w:p w:rsidR="00F4223D" w:rsidRDefault="00B62F86" w:rsidP="009579D2">
              <w:pPr>
                <w:pStyle w:val="TM1"/>
                <w:rPr>
                  <w:rFonts w:asciiTheme="minorHAnsi" w:hAnsiTheme="minorHAnsi" w:cstheme="minorBidi"/>
                  <w:color w:val="auto"/>
                  <w:lang w:val="fr-FR" w:bidi="ar-SA"/>
                </w:rPr>
              </w:pPr>
              <w:hyperlink w:anchor="_Toc171803502" w:history="1">
                <w:r w:rsidR="00F4223D" w:rsidRPr="008D22A6">
                  <w:rPr>
                    <w:rStyle w:val="Lienhypertexte"/>
                    <w:rFonts w:hint="eastAsia"/>
                    <w:rtl/>
                  </w:rPr>
                  <w:t>تمهيد</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_Toc171803502 \h </w:instrText>
                </w:r>
                <w:r w:rsidR="00F4223D">
                  <w:rPr>
                    <w:webHidden/>
                  </w:rPr>
                </w:r>
                <w:r w:rsidR="00F4223D">
                  <w:rPr>
                    <w:webHidden/>
                  </w:rPr>
                  <w:fldChar w:fldCharType="separate"/>
                </w:r>
                <w:r>
                  <w:rPr>
                    <w:webHidden/>
                    <w:rtl/>
                    <w:lang w:bidi="ar-SA"/>
                  </w:rPr>
                  <w:t>83</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03" w:history="1">
                <w:r w:rsidR="00F4223D" w:rsidRPr="008D22A6">
                  <w:rPr>
                    <w:rStyle w:val="Lienhypertexte"/>
                  </w:rPr>
                  <w:t>1.3.</w:t>
                </w:r>
                <w:r w:rsidR="001A5014" w:rsidRPr="001A5014">
                  <w:rPr>
                    <w:rFonts w:hint="eastAsia"/>
                    <w:rtl/>
                  </w:rPr>
                  <w:t xml:space="preserve"> </w:t>
                </w:r>
                <w:r w:rsidR="001A5014" w:rsidRPr="001A5014">
                  <w:rPr>
                    <w:rStyle w:val="Lienhypertexte"/>
                    <w:rFonts w:hint="eastAsia"/>
                    <w:rtl/>
                  </w:rPr>
                  <w:t>المنهجية</w:t>
                </w:r>
                <w:r w:rsidR="001A5014" w:rsidRPr="001A5014">
                  <w:rPr>
                    <w:rStyle w:val="Lienhypertexte"/>
                    <w:rtl/>
                  </w:rPr>
                  <w:t xml:space="preserve"> </w:t>
                </w:r>
                <w:r w:rsidR="001A5014" w:rsidRPr="001A5014">
                  <w:rPr>
                    <w:rStyle w:val="Lienhypertexte"/>
                    <w:rFonts w:hint="eastAsia"/>
                    <w:rtl/>
                  </w:rPr>
                  <w:t>المتبعة</w:t>
                </w:r>
                <w:r w:rsidR="001A5014" w:rsidRPr="001A5014">
                  <w:rPr>
                    <w:rStyle w:val="Lienhypertexte"/>
                    <w:rtl/>
                  </w:rPr>
                  <w:t xml:space="preserve"> </w:t>
                </w:r>
                <w:r w:rsidR="001A5014" w:rsidRPr="001A5014">
                  <w:rPr>
                    <w:rStyle w:val="Lienhypertexte"/>
                    <w:rFonts w:hint="eastAsia"/>
                    <w:rtl/>
                  </w:rPr>
                  <w:t>لاطار</w:t>
                </w:r>
                <w:r w:rsidR="001A5014" w:rsidRPr="001A5014">
                  <w:rPr>
                    <w:rStyle w:val="Lienhypertexte"/>
                    <w:rtl/>
                  </w:rPr>
                  <w:t xml:space="preserve"> </w:t>
                </w:r>
                <w:r w:rsidR="001A5014" w:rsidRPr="001A5014">
                  <w:rPr>
                    <w:rStyle w:val="Lienhypertexte"/>
                    <w:rFonts w:hint="eastAsia"/>
                    <w:rtl/>
                  </w:rPr>
                  <w:t>عمل</w:t>
                </w:r>
                <w:r w:rsidR="001A5014" w:rsidRPr="001A5014">
                  <w:rPr>
                    <w:rStyle w:val="Lienhypertexte"/>
                    <w:rtl/>
                  </w:rPr>
                  <w:t xml:space="preserve"> </w:t>
                </w:r>
                <w:r w:rsidR="001A5014" w:rsidRPr="001A5014">
                  <w:rPr>
                    <w:rStyle w:val="Lienhypertexte"/>
                    <w:rFonts w:hint="eastAsia"/>
                    <w:rtl/>
                  </w:rPr>
                  <w:t>تقييم</w:t>
                </w:r>
                <w:r w:rsidR="001A5014" w:rsidRPr="001A5014">
                  <w:rPr>
                    <w:rStyle w:val="Lienhypertexte"/>
                    <w:rtl/>
                  </w:rPr>
                  <w:t xml:space="preserve"> </w:t>
                </w:r>
                <w:r w:rsidR="001A5014" w:rsidRPr="001A5014">
                  <w:rPr>
                    <w:rStyle w:val="Lienhypertexte"/>
                    <w:rFonts w:hint="eastAsia"/>
                    <w:rtl/>
                  </w:rPr>
                  <w:t>المرونة</w:t>
                </w:r>
                <w:r w:rsidR="001A5014" w:rsidRPr="001A5014">
                  <w:rPr>
                    <w:rStyle w:val="Lienhypertexte"/>
                    <w:rtl/>
                  </w:rPr>
                  <w:t xml:space="preserve"> </w:t>
                </w:r>
                <w:r w:rsidR="001A5014" w:rsidRPr="001A5014">
                  <w:rPr>
                    <w:rStyle w:val="Lienhypertexte"/>
                    <w:rFonts w:hint="eastAsia"/>
                    <w:rtl/>
                  </w:rPr>
                  <w:t>الحضرية</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_Toc171803503 \h </w:instrText>
                </w:r>
                <w:r w:rsidR="00F4223D">
                  <w:rPr>
                    <w:webHidden/>
                  </w:rPr>
                </w:r>
                <w:r w:rsidR="00F4223D">
                  <w:rPr>
                    <w:webHidden/>
                  </w:rPr>
                  <w:fldChar w:fldCharType="separate"/>
                </w:r>
                <w:r>
                  <w:rPr>
                    <w:webHidden/>
                    <w:rtl/>
                    <w:lang w:bidi="ar-SA"/>
                  </w:rPr>
                  <w:t>83</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06" w:history="1">
                <w:r w:rsidR="00F4223D" w:rsidRPr="008D22A6">
                  <w:rPr>
                    <w:rStyle w:val="Lienhypertexte"/>
                    <w:rtl/>
                  </w:rPr>
                  <w:t>2.3.</w:t>
                </w:r>
                <w:r w:rsidR="001A5014" w:rsidRPr="001A5014">
                  <w:rPr>
                    <w:rFonts w:hint="eastAsia"/>
                    <w:rtl/>
                  </w:rPr>
                  <w:t xml:space="preserve"> </w:t>
                </w:r>
                <w:r w:rsidR="001A5014" w:rsidRPr="001A5014">
                  <w:rPr>
                    <w:rStyle w:val="Lienhypertexte"/>
                    <w:rFonts w:hint="eastAsia"/>
                    <w:rtl/>
                  </w:rPr>
                  <w:t>مراحل</w:t>
                </w:r>
                <w:r w:rsidR="001A5014" w:rsidRPr="001A5014">
                  <w:rPr>
                    <w:rStyle w:val="Lienhypertexte"/>
                    <w:rtl/>
                  </w:rPr>
                  <w:t xml:space="preserve"> </w:t>
                </w:r>
                <w:r w:rsidR="001A5014" w:rsidRPr="001A5014">
                  <w:rPr>
                    <w:rStyle w:val="Lienhypertexte"/>
                    <w:rFonts w:hint="eastAsia"/>
                    <w:rtl/>
                  </w:rPr>
                  <w:t>تطوير</w:t>
                </w:r>
                <w:r w:rsidR="001A5014" w:rsidRPr="001A5014">
                  <w:rPr>
                    <w:rStyle w:val="Lienhypertexte"/>
                    <w:rtl/>
                  </w:rPr>
                  <w:t xml:space="preserve"> </w:t>
                </w:r>
                <w:r w:rsidR="001A5014" w:rsidRPr="001A5014">
                  <w:rPr>
                    <w:rStyle w:val="Lienhypertexte"/>
                    <w:rFonts w:hint="eastAsia"/>
                    <w:rtl/>
                  </w:rPr>
                  <w:t>اطار</w:t>
                </w:r>
                <w:r w:rsidR="001A5014" w:rsidRPr="001A5014">
                  <w:rPr>
                    <w:rStyle w:val="Lienhypertexte"/>
                    <w:rtl/>
                  </w:rPr>
                  <w:t xml:space="preserve"> </w:t>
                </w:r>
                <w:r w:rsidR="001A5014" w:rsidRPr="001A5014">
                  <w:rPr>
                    <w:rStyle w:val="Lienhypertexte"/>
                    <w:rFonts w:hint="eastAsia"/>
                    <w:rtl/>
                  </w:rPr>
                  <w:t>عمل</w:t>
                </w:r>
                <w:r w:rsidR="001A5014" w:rsidRPr="001A5014">
                  <w:rPr>
                    <w:rStyle w:val="Lienhypertexte"/>
                    <w:rtl/>
                  </w:rPr>
                  <w:t xml:space="preserve"> </w:t>
                </w:r>
                <w:r w:rsidR="001A5014" w:rsidRPr="001A5014">
                  <w:rPr>
                    <w:rStyle w:val="Lienhypertexte"/>
                    <w:rFonts w:hint="eastAsia"/>
                    <w:rtl/>
                  </w:rPr>
                  <w:t>تقييم</w:t>
                </w:r>
                <w:r w:rsidR="001A5014" w:rsidRPr="001A5014">
                  <w:rPr>
                    <w:rStyle w:val="Lienhypertexte"/>
                    <w:rtl/>
                  </w:rPr>
                  <w:t xml:space="preserve"> </w:t>
                </w:r>
                <w:r w:rsidR="001A5014" w:rsidRPr="001A5014">
                  <w:rPr>
                    <w:rStyle w:val="Lienhypertexte"/>
                    <w:rFonts w:hint="eastAsia"/>
                    <w:rtl/>
                  </w:rPr>
                  <w:t>المرونة</w:t>
                </w:r>
                <w:r w:rsidR="001A5014" w:rsidRPr="001A5014">
                  <w:rPr>
                    <w:rStyle w:val="Lienhypertexte"/>
                    <w:rtl/>
                  </w:rPr>
                  <w:t xml:space="preserve"> </w:t>
                </w:r>
                <w:r w:rsidR="001A5014" w:rsidRPr="001A5014">
                  <w:rPr>
                    <w:rStyle w:val="Lienhypertexte"/>
                    <w:rFonts w:hint="eastAsia"/>
                    <w:rtl/>
                  </w:rPr>
                  <w:t>الحضرية</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_Toc171803506 \h </w:instrText>
                </w:r>
                <w:r w:rsidR="00F4223D">
                  <w:rPr>
                    <w:webHidden/>
                  </w:rPr>
                </w:r>
                <w:r w:rsidR="00F4223D">
                  <w:rPr>
                    <w:webHidden/>
                  </w:rPr>
                  <w:fldChar w:fldCharType="separate"/>
                </w:r>
                <w:r>
                  <w:rPr>
                    <w:webHidden/>
                    <w:rtl/>
                    <w:lang w:bidi="ar-SA"/>
                  </w:rPr>
                  <w:t>84</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507" w:history="1">
                <w:r w:rsidR="00F4223D" w:rsidRPr="008D22A6">
                  <w:rPr>
                    <w:rStyle w:val="Lienhypertexte"/>
                  </w:rPr>
                  <w:t>1.2.3.</w:t>
                </w:r>
                <w:r w:rsidR="00F4223D">
                  <w:rPr>
                    <w:rFonts w:asciiTheme="minorHAnsi" w:hAnsiTheme="minorHAnsi" w:cstheme="minorBidi"/>
                    <w:lang w:val="fr-FR"/>
                  </w:rPr>
                  <w:tab/>
                </w:r>
                <w:r w:rsidR="00F4223D" w:rsidRPr="008D22A6">
                  <w:rPr>
                    <w:rStyle w:val="Lienhypertexte"/>
                    <w:rFonts w:hint="eastAsia"/>
                    <w:rtl/>
                  </w:rPr>
                  <w:t>المرحلة</w:t>
                </w:r>
                <w:r w:rsidR="00F4223D" w:rsidRPr="008D22A6">
                  <w:rPr>
                    <w:rStyle w:val="Lienhypertexte"/>
                    <w:rtl/>
                  </w:rPr>
                  <w:t xml:space="preserve"> </w:t>
                </w:r>
                <w:r w:rsidR="00F4223D" w:rsidRPr="008D22A6">
                  <w:rPr>
                    <w:rStyle w:val="Lienhypertexte"/>
                    <w:rFonts w:hint="eastAsia"/>
                    <w:rtl/>
                  </w:rPr>
                  <w:t>الأولى</w:t>
                </w:r>
                <w:r w:rsidR="00F4223D" w:rsidRPr="008D22A6">
                  <w:rPr>
                    <w:rStyle w:val="Lienhypertexte"/>
                    <w:rtl/>
                  </w:rPr>
                  <w:t xml:space="preserve">: </w:t>
                </w:r>
                <w:r w:rsidR="00F4223D" w:rsidRPr="008D22A6">
                  <w:rPr>
                    <w:rStyle w:val="Lienhypertexte"/>
                    <w:rFonts w:hint="eastAsia"/>
                    <w:rtl/>
                  </w:rPr>
                  <w:t>مقارنة</w:t>
                </w:r>
                <w:r w:rsidR="00F4223D" w:rsidRPr="008D22A6">
                  <w:rPr>
                    <w:rStyle w:val="Lienhypertexte"/>
                    <w:rtl/>
                  </w:rPr>
                  <w:t xml:space="preserve"> </w:t>
                </w:r>
                <w:r w:rsidR="00F4223D" w:rsidRPr="008D22A6">
                  <w:rPr>
                    <w:rStyle w:val="Lienhypertexte"/>
                    <w:rFonts w:hint="eastAsia"/>
                    <w:rtl/>
                  </w:rPr>
                  <w:t>بين</w:t>
                </w:r>
                <w:r w:rsidR="00F4223D" w:rsidRPr="008D22A6">
                  <w:rPr>
                    <w:rStyle w:val="Lienhypertexte"/>
                    <w:rtl/>
                  </w:rPr>
                  <w:t xml:space="preserve"> </w:t>
                </w:r>
                <w:r w:rsidR="00F4223D" w:rsidRPr="008D22A6">
                  <w:rPr>
                    <w:rStyle w:val="Lienhypertexte"/>
                    <w:rFonts w:hint="eastAsia"/>
                    <w:rtl/>
                  </w:rPr>
                  <w:t>اطر</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GURAT</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_Toc171803507 \h </w:instrText>
                </w:r>
                <w:r w:rsidR="00F4223D">
                  <w:rPr>
                    <w:webHidden/>
                  </w:rPr>
                </w:r>
                <w:r w:rsidR="00F4223D">
                  <w:rPr>
                    <w:webHidden/>
                  </w:rPr>
                  <w:fldChar w:fldCharType="separate"/>
                </w:r>
                <w:r>
                  <w:rPr>
                    <w:webHidden/>
                    <w:rtl/>
                  </w:rPr>
                  <w:t>84</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510" w:history="1">
                <w:r w:rsidR="00F4223D" w:rsidRPr="008D22A6">
                  <w:rPr>
                    <w:rStyle w:val="Lienhypertexte"/>
                  </w:rPr>
                  <w:t>2.2.3.</w:t>
                </w:r>
                <w:r w:rsidR="00F4223D">
                  <w:rPr>
                    <w:rFonts w:asciiTheme="minorHAnsi" w:hAnsiTheme="minorHAnsi" w:cstheme="minorBidi"/>
                    <w:lang w:val="fr-FR"/>
                  </w:rPr>
                  <w:tab/>
                </w:r>
                <w:r w:rsidR="00F4223D" w:rsidRPr="008D22A6">
                  <w:rPr>
                    <w:rStyle w:val="Lienhypertexte"/>
                    <w:rFonts w:hint="eastAsia"/>
                    <w:rtl/>
                  </w:rPr>
                  <w:t>المرحلة</w:t>
                </w:r>
                <w:r w:rsidR="00F4223D" w:rsidRPr="008D22A6">
                  <w:rPr>
                    <w:rStyle w:val="Lienhypertexte"/>
                    <w:rtl/>
                  </w:rPr>
                  <w:t xml:space="preserve"> </w:t>
                </w:r>
                <w:r w:rsidR="00F4223D" w:rsidRPr="008D22A6">
                  <w:rPr>
                    <w:rStyle w:val="Lienhypertexte"/>
                    <w:rFonts w:hint="eastAsia"/>
                    <w:rtl/>
                  </w:rPr>
                  <w:t>الثانية</w:t>
                </w:r>
                <w:r w:rsidR="00F4223D" w:rsidRPr="008D22A6">
                  <w:rPr>
                    <w:rStyle w:val="Lienhypertexte"/>
                    <w:rtl/>
                  </w:rPr>
                  <w:t xml:space="preserve">: </w:t>
                </w:r>
                <w:r w:rsidR="00F4223D" w:rsidRPr="008D22A6">
                  <w:rPr>
                    <w:rStyle w:val="Lienhypertexte"/>
                    <w:rFonts w:hint="eastAsia"/>
                    <w:rtl/>
                  </w:rPr>
                  <w:t>تحديد</w:t>
                </w:r>
                <w:r w:rsidR="00F4223D" w:rsidRPr="008D22A6">
                  <w:rPr>
                    <w:rStyle w:val="Lienhypertexte"/>
                    <w:rtl/>
                  </w:rPr>
                  <w:t xml:space="preserve"> </w:t>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_Toc171803510 \h </w:instrText>
                </w:r>
                <w:r w:rsidR="00F4223D">
                  <w:rPr>
                    <w:webHidden/>
                  </w:rPr>
                </w:r>
                <w:r w:rsidR="00F4223D">
                  <w:rPr>
                    <w:webHidden/>
                  </w:rPr>
                  <w:fldChar w:fldCharType="separate"/>
                </w:r>
                <w:r>
                  <w:rPr>
                    <w:webHidden/>
                    <w:rtl/>
                  </w:rPr>
                  <w:t>86</w:t>
                </w:r>
                <w:r w:rsidR="00F4223D">
                  <w:rPr>
                    <w:webHidden/>
                  </w:rPr>
                  <w:fldChar w:fldCharType="end"/>
                </w:r>
              </w:hyperlink>
            </w:p>
            <w:p w:rsidR="00F4223D" w:rsidRDefault="00B62F86" w:rsidP="003A089F">
              <w:pPr>
                <w:pStyle w:val="TM3"/>
              </w:pPr>
              <w:hyperlink w:anchor="_Toc171803513" w:history="1">
                <w:r w:rsidR="00F4223D" w:rsidRPr="008D22A6">
                  <w:rPr>
                    <w:rStyle w:val="Lienhypertexte"/>
                  </w:rPr>
                  <w:t>1.2.2.3.</w:t>
                </w:r>
                <w:r w:rsidR="00F4223D">
                  <w:tab/>
                </w:r>
                <w:r w:rsidR="00F4223D" w:rsidRPr="008D22A6">
                  <w:rPr>
                    <w:rStyle w:val="Lienhypertexte"/>
                    <w:rFonts w:hint="eastAsia"/>
                    <w:rtl/>
                  </w:rPr>
                  <w:t>تقنيات</w:t>
                </w:r>
                <w:r w:rsidR="00F4223D" w:rsidRPr="008D22A6">
                  <w:rPr>
                    <w:rStyle w:val="Lienhypertexte"/>
                    <w:rtl/>
                  </w:rPr>
                  <w:t xml:space="preserve"> </w:t>
                </w:r>
                <w:r w:rsidR="00F4223D" w:rsidRPr="008D22A6">
                  <w:rPr>
                    <w:rStyle w:val="Lienhypertexte"/>
                    <w:rFonts w:hint="eastAsia"/>
                    <w:rtl/>
                  </w:rPr>
                  <w:t>الإجماع</w:t>
                </w:r>
                <w:r w:rsidR="00F4223D">
                  <w:rPr>
                    <w:webHidden/>
                  </w:rPr>
                  <w:tab/>
                </w:r>
                <w:r w:rsidR="00F4223D">
                  <w:rPr>
                    <w:webHidden/>
                  </w:rPr>
                  <w:fldChar w:fldCharType="begin"/>
                </w:r>
                <w:r w:rsidR="00F4223D">
                  <w:rPr>
                    <w:webHidden/>
                  </w:rPr>
                  <w:instrText xml:space="preserve"> PAGEREF _Toc171803513 \h </w:instrText>
                </w:r>
                <w:r w:rsidR="00F4223D">
                  <w:rPr>
                    <w:webHidden/>
                  </w:rPr>
                </w:r>
                <w:r w:rsidR="00F4223D">
                  <w:rPr>
                    <w:webHidden/>
                  </w:rPr>
                  <w:fldChar w:fldCharType="separate"/>
                </w:r>
                <w:r>
                  <w:rPr>
                    <w:webHidden/>
                    <w:rtl/>
                    <w:lang w:bidi="ar-SA"/>
                  </w:rPr>
                  <w:t>86</w:t>
                </w:r>
                <w:r w:rsidR="00F4223D">
                  <w:rPr>
                    <w:webHidden/>
                  </w:rPr>
                  <w:fldChar w:fldCharType="end"/>
                </w:r>
              </w:hyperlink>
            </w:p>
            <w:p w:rsidR="00F4223D" w:rsidRDefault="00B62F86" w:rsidP="003A089F">
              <w:pPr>
                <w:pStyle w:val="TM3"/>
              </w:pPr>
              <w:hyperlink w:anchor="_Toc171803514" w:history="1">
                <w:r w:rsidR="00F4223D" w:rsidRPr="008D22A6">
                  <w:rPr>
                    <w:rStyle w:val="Lienhypertexte"/>
                  </w:rPr>
                  <w:t>2.2.2.3.</w:t>
                </w:r>
                <w:r w:rsidR="00F4223D">
                  <w:tab/>
                </w:r>
                <w:r w:rsidR="00F4223D" w:rsidRPr="008D22A6">
                  <w:rPr>
                    <w:rStyle w:val="Lienhypertexte"/>
                    <w:rFonts w:hint="eastAsia"/>
                    <w:rtl/>
                  </w:rPr>
                  <w:t>نظرة</w:t>
                </w:r>
                <w:r w:rsidR="00F4223D" w:rsidRPr="008D22A6">
                  <w:rPr>
                    <w:rStyle w:val="Lienhypertexte"/>
                    <w:rtl/>
                  </w:rPr>
                  <w:t xml:space="preserve"> </w:t>
                </w:r>
                <w:r w:rsidR="00F4223D" w:rsidRPr="008D22A6">
                  <w:rPr>
                    <w:rStyle w:val="Lienhypertexte"/>
                    <w:rFonts w:hint="eastAsia"/>
                    <w:rtl/>
                  </w:rPr>
                  <w:t>عامة</w:t>
                </w:r>
                <w:r w:rsidR="00F4223D" w:rsidRPr="008D22A6">
                  <w:rPr>
                    <w:rStyle w:val="Lienhypertexte"/>
                    <w:rtl/>
                  </w:rPr>
                  <w:t xml:space="preserve"> </w:t>
                </w:r>
                <w:r w:rsidR="00F4223D" w:rsidRPr="008D22A6">
                  <w:rPr>
                    <w:rStyle w:val="Lienhypertexte"/>
                    <w:rFonts w:hint="eastAsia"/>
                    <w:rtl/>
                  </w:rPr>
                  <w:t>على</w:t>
                </w:r>
                <w:r w:rsidR="00F4223D" w:rsidRPr="008D22A6">
                  <w:rPr>
                    <w:rStyle w:val="Lienhypertexte"/>
                    <w:rtl/>
                  </w:rPr>
                  <w:t xml:space="preserve"> </w:t>
                </w:r>
                <w:r w:rsidR="00F4223D" w:rsidRPr="008D22A6">
                  <w:rPr>
                    <w:rStyle w:val="Lienhypertexte"/>
                    <w:rFonts w:hint="eastAsia"/>
                    <w:rtl/>
                  </w:rPr>
                  <w:t>تقنيات</w:t>
                </w:r>
                <w:r w:rsidR="00F4223D" w:rsidRPr="008D22A6">
                  <w:rPr>
                    <w:rStyle w:val="Lienhypertexte"/>
                    <w:rtl/>
                  </w:rPr>
                  <w:t xml:space="preserve"> </w:t>
                </w:r>
                <w:r w:rsidR="00F4223D" w:rsidRPr="008D22A6">
                  <w:rPr>
                    <w:rStyle w:val="Lienhypertexte"/>
                    <w:rFonts w:hint="eastAsia"/>
                    <w:rtl/>
                  </w:rPr>
                  <w:t>الإجماع</w:t>
                </w:r>
                <w:r w:rsidR="00F4223D">
                  <w:rPr>
                    <w:webHidden/>
                  </w:rPr>
                  <w:tab/>
                </w:r>
                <w:r w:rsidR="00F4223D">
                  <w:rPr>
                    <w:webHidden/>
                  </w:rPr>
                  <w:fldChar w:fldCharType="begin"/>
                </w:r>
                <w:r w:rsidR="00F4223D">
                  <w:rPr>
                    <w:webHidden/>
                  </w:rPr>
                  <w:instrText xml:space="preserve"> PAGEREF _Toc171803514 \h </w:instrText>
                </w:r>
                <w:r w:rsidR="00F4223D">
                  <w:rPr>
                    <w:webHidden/>
                  </w:rPr>
                </w:r>
                <w:r w:rsidR="00F4223D">
                  <w:rPr>
                    <w:webHidden/>
                  </w:rPr>
                  <w:fldChar w:fldCharType="separate"/>
                </w:r>
                <w:r>
                  <w:rPr>
                    <w:webHidden/>
                    <w:rtl/>
                    <w:lang w:bidi="ar-SA"/>
                  </w:rPr>
                  <w:t>87</w:t>
                </w:r>
                <w:r w:rsidR="00F4223D">
                  <w:rPr>
                    <w:webHidden/>
                  </w:rPr>
                  <w:fldChar w:fldCharType="end"/>
                </w:r>
              </w:hyperlink>
            </w:p>
            <w:p w:rsidR="00F4223D" w:rsidRDefault="00B62F86" w:rsidP="003A089F">
              <w:pPr>
                <w:pStyle w:val="TM3"/>
              </w:pPr>
              <w:hyperlink w:anchor="_Toc171803515" w:history="1">
                <w:r w:rsidR="00F4223D" w:rsidRPr="008D22A6">
                  <w:rPr>
                    <w:rStyle w:val="Lienhypertexte"/>
                  </w:rPr>
                  <w:t>3.2.2.3.</w:t>
                </w:r>
                <w:r w:rsidR="00F4223D">
                  <w:tab/>
                </w:r>
                <w:r w:rsidR="00F4223D" w:rsidRPr="008D22A6">
                  <w:rPr>
                    <w:rStyle w:val="Lienhypertexte"/>
                    <w:rFonts w:hint="eastAsia"/>
                    <w:rtl/>
                  </w:rPr>
                  <w:t>مقارنة</w:t>
                </w:r>
                <w:r w:rsidR="00F4223D" w:rsidRPr="008D22A6">
                  <w:rPr>
                    <w:rStyle w:val="Lienhypertexte"/>
                    <w:rtl/>
                  </w:rPr>
                  <w:t xml:space="preserve"> </w:t>
                </w:r>
                <w:r w:rsidR="00F4223D" w:rsidRPr="008D22A6">
                  <w:rPr>
                    <w:rStyle w:val="Lienhypertexte"/>
                    <w:rFonts w:hint="eastAsia"/>
                    <w:rtl/>
                  </w:rPr>
                  <w:t>بين</w:t>
                </w:r>
                <w:r w:rsidR="00F4223D" w:rsidRPr="008D22A6">
                  <w:rPr>
                    <w:rStyle w:val="Lienhypertexte"/>
                    <w:rtl/>
                  </w:rPr>
                  <w:t xml:space="preserve"> </w:t>
                </w:r>
                <w:r w:rsidR="00F4223D" w:rsidRPr="008D22A6">
                  <w:rPr>
                    <w:rStyle w:val="Lienhypertexte"/>
                    <w:rFonts w:hint="eastAsia"/>
                    <w:rtl/>
                  </w:rPr>
                  <w:t>طرق</w:t>
                </w:r>
                <w:r w:rsidR="00F4223D" w:rsidRPr="008D22A6">
                  <w:rPr>
                    <w:rStyle w:val="Lienhypertexte"/>
                    <w:rtl/>
                  </w:rPr>
                  <w:t xml:space="preserve"> </w:t>
                </w:r>
                <w:r w:rsidR="00F4223D" w:rsidRPr="008D22A6">
                  <w:rPr>
                    <w:rStyle w:val="Lienhypertexte"/>
                    <w:rFonts w:hint="eastAsia"/>
                    <w:rtl/>
                  </w:rPr>
                  <w:t>الإجماع</w:t>
                </w:r>
                <w:r w:rsidR="00F4223D">
                  <w:rPr>
                    <w:webHidden/>
                  </w:rPr>
                  <w:tab/>
                </w:r>
                <w:r w:rsidR="00F4223D">
                  <w:rPr>
                    <w:webHidden/>
                  </w:rPr>
                  <w:fldChar w:fldCharType="begin"/>
                </w:r>
                <w:r w:rsidR="00F4223D">
                  <w:rPr>
                    <w:webHidden/>
                  </w:rPr>
                  <w:instrText xml:space="preserve"> PAGEREF _Toc171803515 \h </w:instrText>
                </w:r>
                <w:r w:rsidR="00F4223D">
                  <w:rPr>
                    <w:webHidden/>
                  </w:rPr>
                </w:r>
                <w:r w:rsidR="00F4223D">
                  <w:rPr>
                    <w:webHidden/>
                  </w:rPr>
                  <w:fldChar w:fldCharType="separate"/>
                </w:r>
                <w:r>
                  <w:rPr>
                    <w:webHidden/>
                    <w:rtl/>
                    <w:lang w:bidi="ar-SA"/>
                  </w:rPr>
                  <w:t>89</w:t>
                </w:r>
                <w:r w:rsidR="00F4223D">
                  <w:rPr>
                    <w:webHidden/>
                  </w:rPr>
                  <w:fldChar w:fldCharType="end"/>
                </w:r>
              </w:hyperlink>
            </w:p>
            <w:p w:rsidR="00F4223D" w:rsidRDefault="00B62F86" w:rsidP="003A089F">
              <w:pPr>
                <w:pStyle w:val="TM3"/>
              </w:pPr>
              <w:hyperlink w:anchor="_Toc171803518" w:history="1">
                <w:r w:rsidR="00F4223D" w:rsidRPr="008D22A6">
                  <w:rPr>
                    <w:rStyle w:val="Lienhypertexte"/>
                  </w:rPr>
                  <w:t>4.2.2.3.</w:t>
                </w:r>
                <w:r w:rsidR="00F4223D">
                  <w:tab/>
                </w:r>
                <w:r w:rsidR="00F4223D" w:rsidRPr="008D22A6">
                  <w:rPr>
                    <w:rStyle w:val="Lienhypertexte"/>
                    <w:rFonts w:hint="eastAsia"/>
                    <w:rtl/>
                  </w:rPr>
                  <w:t>مبررات</w:t>
                </w:r>
                <w:r w:rsidR="00F4223D" w:rsidRPr="008D22A6">
                  <w:rPr>
                    <w:rStyle w:val="Lienhypertexte"/>
                    <w:rtl/>
                  </w:rPr>
                  <w:t xml:space="preserve"> </w:t>
                </w:r>
                <w:r w:rsidR="00F4223D" w:rsidRPr="008D22A6">
                  <w:rPr>
                    <w:rStyle w:val="Lienhypertexte"/>
                    <w:rFonts w:hint="eastAsia"/>
                    <w:rtl/>
                  </w:rPr>
                  <w:t>اختيار</w:t>
                </w:r>
                <w:r w:rsidR="00F4223D" w:rsidRPr="008D22A6">
                  <w:rPr>
                    <w:rStyle w:val="Lienhypertexte"/>
                    <w:rtl/>
                  </w:rPr>
                  <w:t xml:space="preserve"> </w:t>
                </w:r>
                <w:r w:rsidR="00F4223D" w:rsidRPr="008D22A6">
                  <w:rPr>
                    <w:rStyle w:val="Lienhypertexte"/>
                    <w:rFonts w:hint="eastAsia"/>
                    <w:rtl/>
                  </w:rPr>
                  <w:t>تقنية</w:t>
                </w:r>
                <w:r w:rsidR="00F4223D" w:rsidRPr="008D22A6">
                  <w:rPr>
                    <w:rStyle w:val="Lienhypertexte"/>
                    <w:rtl/>
                  </w:rPr>
                  <w:t xml:space="preserve"> </w:t>
                </w:r>
                <w:r w:rsidR="00F4223D" w:rsidRPr="008D22A6">
                  <w:rPr>
                    <w:rStyle w:val="Lienhypertexte"/>
                    <w:rFonts w:hint="eastAsia"/>
                    <w:rtl/>
                  </w:rPr>
                  <w:t>دلفي</w:t>
                </w:r>
                <w:r w:rsidR="00F4223D">
                  <w:rPr>
                    <w:webHidden/>
                  </w:rPr>
                  <w:tab/>
                </w:r>
                <w:r w:rsidR="00F4223D">
                  <w:rPr>
                    <w:webHidden/>
                  </w:rPr>
                  <w:fldChar w:fldCharType="begin"/>
                </w:r>
                <w:r w:rsidR="00F4223D">
                  <w:rPr>
                    <w:webHidden/>
                  </w:rPr>
                  <w:instrText xml:space="preserve"> PAGEREF _Toc171803518 \h </w:instrText>
                </w:r>
                <w:r w:rsidR="00F4223D">
                  <w:rPr>
                    <w:webHidden/>
                  </w:rPr>
                </w:r>
                <w:r w:rsidR="00F4223D">
                  <w:rPr>
                    <w:webHidden/>
                  </w:rPr>
                  <w:fldChar w:fldCharType="separate"/>
                </w:r>
                <w:r>
                  <w:rPr>
                    <w:webHidden/>
                    <w:rtl/>
                    <w:lang w:bidi="ar-SA"/>
                  </w:rPr>
                  <w:t>90</w:t>
                </w:r>
                <w:r w:rsidR="00F4223D">
                  <w:rPr>
                    <w:webHidden/>
                  </w:rPr>
                  <w:fldChar w:fldCharType="end"/>
                </w:r>
              </w:hyperlink>
            </w:p>
            <w:p w:rsidR="00F4223D" w:rsidRDefault="00B62F86" w:rsidP="003A089F">
              <w:pPr>
                <w:pStyle w:val="TM3"/>
              </w:pPr>
              <w:hyperlink w:anchor="_Toc171803519" w:history="1">
                <w:r w:rsidR="00F4223D" w:rsidRPr="008D22A6">
                  <w:rPr>
                    <w:rStyle w:val="Lienhypertexte"/>
                  </w:rPr>
                  <w:t>5.2.2.3.</w:t>
                </w:r>
                <w:r w:rsidR="00F4223D">
                  <w:tab/>
                </w:r>
                <w:r w:rsidR="00F4223D" w:rsidRPr="008D22A6">
                  <w:rPr>
                    <w:rStyle w:val="Lienhypertexte"/>
                    <w:rFonts w:hint="eastAsia"/>
                    <w:rtl/>
                  </w:rPr>
                  <w:t>تطبيقات</w:t>
                </w:r>
                <w:r w:rsidR="00F4223D" w:rsidRPr="008D22A6">
                  <w:rPr>
                    <w:rStyle w:val="Lienhypertexte"/>
                    <w:rtl/>
                  </w:rPr>
                  <w:t xml:space="preserve"> </w:t>
                </w:r>
                <w:r w:rsidR="00F4223D" w:rsidRPr="008D22A6">
                  <w:rPr>
                    <w:rStyle w:val="Lienhypertexte"/>
                    <w:rFonts w:hint="eastAsia"/>
                    <w:rtl/>
                  </w:rPr>
                  <w:t>تقنية</w:t>
                </w:r>
                <w:r w:rsidR="00F4223D" w:rsidRPr="008D22A6">
                  <w:rPr>
                    <w:rStyle w:val="Lienhypertexte"/>
                    <w:rtl/>
                  </w:rPr>
                  <w:t xml:space="preserve"> </w:t>
                </w:r>
                <w:r w:rsidR="00F4223D" w:rsidRPr="008D22A6">
                  <w:rPr>
                    <w:rStyle w:val="Lienhypertexte"/>
                    <w:rFonts w:hint="eastAsia"/>
                    <w:rtl/>
                  </w:rPr>
                  <w:t>دلفي</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مجال</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_Toc171803519 \h </w:instrText>
                </w:r>
                <w:r w:rsidR="00F4223D">
                  <w:rPr>
                    <w:webHidden/>
                  </w:rPr>
                </w:r>
                <w:r w:rsidR="00F4223D">
                  <w:rPr>
                    <w:webHidden/>
                  </w:rPr>
                  <w:fldChar w:fldCharType="separate"/>
                </w:r>
                <w:r>
                  <w:rPr>
                    <w:webHidden/>
                    <w:rtl/>
                    <w:lang w:bidi="ar-SA"/>
                  </w:rPr>
                  <w:t>91</w:t>
                </w:r>
                <w:r w:rsidR="00F4223D">
                  <w:rPr>
                    <w:webHidden/>
                  </w:rPr>
                  <w:fldChar w:fldCharType="end"/>
                </w:r>
              </w:hyperlink>
            </w:p>
            <w:p w:rsidR="00F4223D" w:rsidRDefault="00B62F86" w:rsidP="003A089F">
              <w:pPr>
                <w:pStyle w:val="TM3"/>
              </w:pPr>
              <w:hyperlink w:anchor="_Toc171803520" w:history="1">
                <w:r w:rsidR="00F4223D" w:rsidRPr="008D22A6">
                  <w:rPr>
                    <w:rStyle w:val="Lienhypertexte"/>
                  </w:rPr>
                  <w:t>6.2.2.3.</w:t>
                </w:r>
                <w:r w:rsidR="00F4223D">
                  <w:tab/>
                </w:r>
                <w:r w:rsidR="00F4223D" w:rsidRPr="008D22A6">
                  <w:rPr>
                    <w:rStyle w:val="Lienhypertexte"/>
                    <w:rFonts w:hint="eastAsia"/>
                    <w:rtl/>
                  </w:rPr>
                  <w:t>تصميم</w:t>
                </w:r>
                <w:r w:rsidR="00F4223D" w:rsidRPr="008D22A6">
                  <w:rPr>
                    <w:rStyle w:val="Lienhypertexte"/>
                    <w:rtl/>
                  </w:rPr>
                  <w:t xml:space="preserve"> </w:t>
                </w:r>
                <w:r w:rsidR="00F4223D" w:rsidRPr="008D22A6">
                  <w:rPr>
                    <w:rStyle w:val="Lienhypertexte"/>
                    <w:rFonts w:hint="eastAsia"/>
                    <w:rtl/>
                  </w:rPr>
                  <w:t>تقنية</w:t>
                </w:r>
                <w:r w:rsidR="00F4223D" w:rsidRPr="008D22A6">
                  <w:rPr>
                    <w:rStyle w:val="Lienhypertexte"/>
                    <w:rtl/>
                  </w:rPr>
                  <w:t xml:space="preserve"> </w:t>
                </w:r>
                <w:r w:rsidR="00F4223D" w:rsidRPr="008D22A6">
                  <w:rPr>
                    <w:rStyle w:val="Lienhypertexte"/>
                    <w:rFonts w:hint="eastAsia"/>
                    <w:rtl/>
                  </w:rPr>
                  <w:t>دلفي</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هذا</w:t>
                </w:r>
                <w:r w:rsidR="00F4223D" w:rsidRPr="008D22A6">
                  <w:rPr>
                    <w:rStyle w:val="Lienhypertexte"/>
                    <w:rtl/>
                  </w:rPr>
                  <w:t xml:space="preserve"> </w:t>
                </w:r>
                <w:r w:rsidR="00F4223D" w:rsidRPr="008D22A6">
                  <w:rPr>
                    <w:rStyle w:val="Lienhypertexte"/>
                    <w:rFonts w:hint="eastAsia"/>
                    <w:rtl/>
                  </w:rPr>
                  <w:t>البحث</w:t>
                </w:r>
                <w:r w:rsidR="00F4223D">
                  <w:rPr>
                    <w:webHidden/>
                  </w:rPr>
                  <w:tab/>
                </w:r>
                <w:r w:rsidR="00F4223D">
                  <w:rPr>
                    <w:webHidden/>
                  </w:rPr>
                  <w:fldChar w:fldCharType="begin"/>
                </w:r>
                <w:r w:rsidR="00F4223D">
                  <w:rPr>
                    <w:webHidden/>
                  </w:rPr>
                  <w:instrText xml:space="preserve"> PAGEREF _Toc171803520 \h </w:instrText>
                </w:r>
                <w:r w:rsidR="00F4223D">
                  <w:rPr>
                    <w:webHidden/>
                  </w:rPr>
                </w:r>
                <w:r w:rsidR="00F4223D">
                  <w:rPr>
                    <w:webHidden/>
                  </w:rPr>
                  <w:fldChar w:fldCharType="separate"/>
                </w:r>
                <w:r>
                  <w:rPr>
                    <w:webHidden/>
                    <w:rtl/>
                    <w:lang w:bidi="ar-SA"/>
                  </w:rPr>
                  <w:t>92</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523" w:history="1">
                <w:r w:rsidR="00F4223D" w:rsidRPr="008D22A6">
                  <w:rPr>
                    <w:rStyle w:val="Lienhypertexte"/>
                    <w:rtl/>
                  </w:rPr>
                  <w:t>3.2.3.</w:t>
                </w:r>
                <w:r w:rsidR="00F4223D">
                  <w:rPr>
                    <w:rFonts w:asciiTheme="minorHAnsi" w:hAnsiTheme="minorHAnsi" w:cstheme="minorBidi"/>
                    <w:lang w:val="fr-FR"/>
                  </w:rPr>
                  <w:tab/>
                </w:r>
                <w:r w:rsidR="00F4223D" w:rsidRPr="008D22A6">
                  <w:rPr>
                    <w:rStyle w:val="Lienhypertexte"/>
                    <w:rFonts w:hint="eastAsia"/>
                    <w:rtl/>
                  </w:rPr>
                  <w:t>المرحلة</w:t>
                </w:r>
                <w:r w:rsidR="00F4223D" w:rsidRPr="008D22A6">
                  <w:rPr>
                    <w:rStyle w:val="Lienhypertexte"/>
                    <w:rtl/>
                  </w:rPr>
                  <w:t xml:space="preserve"> </w:t>
                </w:r>
                <w:r w:rsidR="00F4223D" w:rsidRPr="008D22A6">
                  <w:rPr>
                    <w:rStyle w:val="Lienhypertexte"/>
                    <w:rFonts w:hint="eastAsia"/>
                    <w:rtl/>
                  </w:rPr>
                  <w:t>الثالثة</w:t>
                </w:r>
                <w:r w:rsidR="00F4223D" w:rsidRPr="008D22A6">
                  <w:rPr>
                    <w:rStyle w:val="Lienhypertexte"/>
                    <w:rtl/>
                  </w:rPr>
                  <w:t xml:space="preserve">: </w:t>
                </w:r>
                <w:r w:rsidR="00F4223D" w:rsidRPr="008D22A6">
                  <w:rPr>
                    <w:rStyle w:val="Lienhypertexte"/>
                    <w:rFonts w:hint="eastAsia"/>
                    <w:rtl/>
                  </w:rPr>
                  <w:t>تحديد</w:t>
                </w:r>
                <w:r w:rsidR="00F4223D" w:rsidRPr="008D22A6">
                  <w:rPr>
                    <w:rStyle w:val="Lienhypertexte"/>
                    <w:rtl/>
                  </w:rPr>
                  <w:t xml:space="preserve"> </w:t>
                </w:r>
                <w:r w:rsidR="00F4223D" w:rsidRPr="008D22A6">
                  <w:rPr>
                    <w:rStyle w:val="Lienhypertexte"/>
                    <w:rFonts w:hint="eastAsia"/>
                    <w:rtl/>
                  </w:rPr>
                  <w:t>أولويات</w:t>
                </w:r>
                <w:r w:rsidR="00F4223D" w:rsidRPr="008D22A6">
                  <w:rPr>
                    <w:rStyle w:val="Lienhypertexte"/>
                    <w:rtl/>
                  </w:rPr>
                  <w:t xml:space="preserve"> </w:t>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_Toc171803523 \h </w:instrText>
                </w:r>
                <w:r w:rsidR="00F4223D">
                  <w:rPr>
                    <w:webHidden/>
                  </w:rPr>
                </w:r>
                <w:r w:rsidR="00F4223D">
                  <w:rPr>
                    <w:webHidden/>
                  </w:rPr>
                  <w:fldChar w:fldCharType="separate"/>
                </w:r>
                <w:r>
                  <w:rPr>
                    <w:webHidden/>
                    <w:rtl/>
                  </w:rPr>
                  <w:t>93</w:t>
                </w:r>
                <w:r w:rsidR="00F4223D">
                  <w:rPr>
                    <w:webHidden/>
                  </w:rPr>
                  <w:fldChar w:fldCharType="end"/>
                </w:r>
              </w:hyperlink>
            </w:p>
            <w:p w:rsidR="00F4223D" w:rsidRDefault="00B62F86" w:rsidP="003A089F">
              <w:pPr>
                <w:pStyle w:val="TM3"/>
              </w:pPr>
              <w:hyperlink w:anchor="_Toc171803526" w:history="1">
                <w:r w:rsidR="00F4223D" w:rsidRPr="008D22A6">
                  <w:rPr>
                    <w:rStyle w:val="Lienhypertexte"/>
                    <w:lang w:bidi="ar"/>
                  </w:rPr>
                  <w:t>1.3.2.3.</w:t>
                </w:r>
                <w:r w:rsidR="00F4223D">
                  <w:tab/>
                </w:r>
                <w:r w:rsidR="00F4223D" w:rsidRPr="008D22A6">
                  <w:rPr>
                    <w:rStyle w:val="Lienhypertexte"/>
                    <w:rFonts w:hint="eastAsia"/>
                    <w:rtl/>
                  </w:rPr>
                  <w:t>تبرير</w:t>
                </w:r>
                <w:r w:rsidR="00F4223D" w:rsidRPr="008D22A6">
                  <w:rPr>
                    <w:rStyle w:val="Lienhypertexte"/>
                    <w:rtl/>
                  </w:rPr>
                  <w:t xml:space="preserve"> </w:t>
                </w:r>
                <w:r w:rsidR="00F4223D" w:rsidRPr="008D22A6">
                  <w:rPr>
                    <w:rStyle w:val="Lienhypertexte"/>
                    <w:rFonts w:hint="eastAsia"/>
                    <w:rtl/>
                  </w:rPr>
                  <w:t>استخدام</w:t>
                </w:r>
                <w:r w:rsidR="00F4223D" w:rsidRPr="008D22A6">
                  <w:rPr>
                    <w:rStyle w:val="Lienhypertexte"/>
                    <w:rtl/>
                  </w:rPr>
                  <w:t xml:space="preserve"> </w:t>
                </w:r>
                <w:r w:rsidR="00F4223D" w:rsidRPr="008D22A6">
                  <w:rPr>
                    <w:rStyle w:val="Lienhypertexte"/>
                    <w:rFonts w:ascii="Times New Roman" w:hAnsi="Times New Roman" w:cs="Times New Roman"/>
                    <w:rtl/>
                  </w:rPr>
                  <w:t>(</w:t>
                </w:r>
                <w:r w:rsidR="00F4223D" w:rsidRPr="008D22A6">
                  <w:rPr>
                    <w:rStyle w:val="Lienhypertexte"/>
                    <w:rFonts w:ascii="Times New Roman" w:hAnsi="Times New Roman" w:cs="Times New Roman"/>
                  </w:rPr>
                  <w:t>AHP</w:t>
                </w:r>
                <w:r w:rsidR="00F4223D" w:rsidRPr="008D22A6">
                  <w:rPr>
                    <w:rStyle w:val="Lienhypertexte"/>
                    <w:rFonts w:ascii="Times New Roman" w:hAnsi="Times New Roman" w:cs="Times New Roman"/>
                    <w:rtl/>
                  </w:rPr>
                  <w:t>)</w:t>
                </w:r>
                <w:r w:rsidR="00F4223D">
                  <w:rPr>
                    <w:webHidden/>
                  </w:rPr>
                  <w:tab/>
                </w:r>
                <w:r w:rsidR="00F4223D">
                  <w:rPr>
                    <w:webHidden/>
                  </w:rPr>
                  <w:fldChar w:fldCharType="begin"/>
                </w:r>
                <w:r w:rsidR="00F4223D">
                  <w:rPr>
                    <w:webHidden/>
                  </w:rPr>
                  <w:instrText xml:space="preserve"> PAGEREF _Toc171803526 \h </w:instrText>
                </w:r>
                <w:r w:rsidR="00F4223D">
                  <w:rPr>
                    <w:webHidden/>
                  </w:rPr>
                </w:r>
                <w:r w:rsidR="00F4223D">
                  <w:rPr>
                    <w:webHidden/>
                  </w:rPr>
                  <w:fldChar w:fldCharType="separate"/>
                </w:r>
                <w:r>
                  <w:rPr>
                    <w:webHidden/>
                    <w:rtl/>
                    <w:lang w:bidi="ar-SA"/>
                  </w:rPr>
                  <w:t>94</w:t>
                </w:r>
                <w:r w:rsidR="00F4223D">
                  <w:rPr>
                    <w:webHidden/>
                  </w:rPr>
                  <w:fldChar w:fldCharType="end"/>
                </w:r>
              </w:hyperlink>
            </w:p>
            <w:p w:rsidR="00F4223D" w:rsidRDefault="00B62F86" w:rsidP="003A089F">
              <w:pPr>
                <w:pStyle w:val="TM3"/>
              </w:pPr>
              <w:hyperlink w:anchor="_Toc171803527" w:history="1">
                <w:r w:rsidR="00F4223D" w:rsidRPr="008D22A6">
                  <w:rPr>
                    <w:rStyle w:val="Lienhypertexte"/>
                  </w:rPr>
                  <w:t>2.3.2.3.</w:t>
                </w:r>
                <w:r w:rsidR="00F4223D">
                  <w:tab/>
                </w:r>
                <w:r w:rsidR="00F4223D" w:rsidRPr="008D22A6">
                  <w:rPr>
                    <w:rStyle w:val="Lienhypertexte"/>
                    <w:rFonts w:hint="eastAsia"/>
                    <w:rtl/>
                  </w:rPr>
                  <w:t>تطبيق</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AHP</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_Toc171803527 \h </w:instrText>
                </w:r>
                <w:r w:rsidR="00F4223D">
                  <w:rPr>
                    <w:webHidden/>
                  </w:rPr>
                </w:r>
                <w:r w:rsidR="00F4223D">
                  <w:rPr>
                    <w:webHidden/>
                  </w:rPr>
                  <w:fldChar w:fldCharType="separate"/>
                </w:r>
                <w:r>
                  <w:rPr>
                    <w:webHidden/>
                    <w:rtl/>
                    <w:lang w:bidi="ar-SA"/>
                  </w:rPr>
                  <w:t>94</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533" w:history="1">
                <w:r w:rsidR="00F4223D" w:rsidRPr="008D22A6">
                  <w:rPr>
                    <w:rStyle w:val="Lienhypertexte"/>
                  </w:rPr>
                  <w:t>4.2.3.</w:t>
                </w:r>
                <w:r w:rsidR="00F4223D">
                  <w:rPr>
                    <w:rFonts w:asciiTheme="minorHAnsi" w:hAnsiTheme="minorHAnsi" w:cstheme="minorBidi"/>
                    <w:lang w:val="fr-FR"/>
                  </w:rPr>
                  <w:tab/>
                </w:r>
                <w:r w:rsidR="00F4223D" w:rsidRPr="008D22A6">
                  <w:rPr>
                    <w:rStyle w:val="Lienhypertexte"/>
                    <w:rFonts w:hint="eastAsia"/>
                    <w:rtl/>
                  </w:rPr>
                  <w:t>المرحلة</w:t>
                </w:r>
                <w:r w:rsidR="00F4223D" w:rsidRPr="008D22A6">
                  <w:rPr>
                    <w:rStyle w:val="Lienhypertexte"/>
                    <w:rtl/>
                  </w:rPr>
                  <w:t xml:space="preserve"> </w:t>
                </w:r>
                <w:r w:rsidR="00F4223D" w:rsidRPr="008D22A6">
                  <w:rPr>
                    <w:rStyle w:val="Lienhypertexte"/>
                    <w:rFonts w:hint="eastAsia"/>
                    <w:rtl/>
                  </w:rPr>
                  <w:t>الرابعة</w:t>
                </w:r>
                <w:r w:rsidR="00F4223D" w:rsidRPr="008D22A6">
                  <w:rPr>
                    <w:rStyle w:val="Lienhypertexte"/>
                    <w:rtl/>
                  </w:rPr>
                  <w:t xml:space="preserve">: </w:t>
                </w:r>
                <w:r w:rsidR="00F4223D" w:rsidRPr="008D22A6">
                  <w:rPr>
                    <w:rStyle w:val="Lienhypertexte"/>
                    <w:rFonts w:hint="eastAsia"/>
                    <w:rtl/>
                  </w:rPr>
                  <w:t>نظم</w:t>
                </w:r>
                <w:r w:rsidR="00F4223D" w:rsidRPr="008D22A6">
                  <w:rPr>
                    <w:rStyle w:val="Lienhypertexte"/>
                    <w:rtl/>
                  </w:rPr>
                  <w:t xml:space="preserve"> </w:t>
                </w:r>
                <w:r w:rsidR="00F4223D" w:rsidRPr="008D22A6">
                  <w:rPr>
                    <w:rStyle w:val="Lienhypertexte"/>
                    <w:rFonts w:hint="eastAsia"/>
                    <w:rtl/>
                  </w:rPr>
                  <w:t>المعلومات</w:t>
                </w:r>
                <w:r w:rsidR="00F4223D" w:rsidRPr="008D22A6">
                  <w:rPr>
                    <w:rStyle w:val="Lienhypertexte"/>
                    <w:rtl/>
                  </w:rPr>
                  <w:t xml:space="preserve"> </w:t>
                </w:r>
                <w:r w:rsidR="00F4223D" w:rsidRPr="008D22A6">
                  <w:rPr>
                    <w:rStyle w:val="Lienhypertexte"/>
                    <w:rFonts w:hint="eastAsia"/>
                    <w:rtl/>
                  </w:rPr>
                  <w:t>الجغرافية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Geographic Information Systems (GIS)</w:t>
                </w:r>
                <w:r w:rsidR="00F4223D" w:rsidRPr="008D22A6">
                  <w:rPr>
                    <w:rStyle w:val="Lienhypertexte"/>
                    <w:rFonts w:asciiTheme="majorBidi" w:hAnsiTheme="majorBidi" w:cstheme="majorBidi"/>
                    <w:rtl/>
                  </w:rPr>
                  <w:t>)</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_Toc171803533 \h </w:instrText>
                </w:r>
                <w:r w:rsidR="00F4223D">
                  <w:rPr>
                    <w:webHidden/>
                  </w:rPr>
                </w:r>
                <w:r w:rsidR="00F4223D">
                  <w:rPr>
                    <w:webHidden/>
                  </w:rPr>
                  <w:fldChar w:fldCharType="separate"/>
                </w:r>
                <w:r>
                  <w:rPr>
                    <w:webHidden/>
                    <w:rtl/>
                  </w:rPr>
                  <w:t>97</w:t>
                </w:r>
                <w:r w:rsidR="00F4223D">
                  <w:rPr>
                    <w:webHidden/>
                  </w:rPr>
                  <w:fldChar w:fldCharType="end"/>
                </w:r>
              </w:hyperlink>
            </w:p>
            <w:p w:rsidR="00F4223D" w:rsidRDefault="00B62F86" w:rsidP="003A089F">
              <w:pPr>
                <w:pStyle w:val="TM3"/>
              </w:pPr>
              <w:hyperlink w:anchor="_Toc171803536" w:history="1">
                <w:r w:rsidR="00F4223D" w:rsidRPr="008D22A6">
                  <w:rPr>
                    <w:rStyle w:val="Lienhypertexte"/>
                    <w:rtl/>
                    <w:lang w:val="en-US"/>
                  </w:rPr>
                  <w:t>1.4.2.3.</w:t>
                </w:r>
                <w:r w:rsidR="00F4223D">
                  <w:tab/>
                </w:r>
                <w:r w:rsidR="00F4223D" w:rsidRPr="008D22A6">
                  <w:rPr>
                    <w:rStyle w:val="Lienhypertexte"/>
                    <w:rFonts w:hint="eastAsia"/>
                    <w:rtl/>
                    <w:lang w:val="en-US"/>
                  </w:rPr>
                  <w:t>تعريف</w:t>
                </w:r>
                <w:r w:rsidR="00F4223D" w:rsidRPr="008D22A6">
                  <w:rPr>
                    <w:rStyle w:val="Lienhypertexte"/>
                    <w:rtl/>
                    <w:lang w:val="en-US"/>
                  </w:rPr>
                  <w:t xml:space="preserve"> </w:t>
                </w:r>
                <w:r w:rsidR="00F4223D" w:rsidRPr="008D22A6">
                  <w:rPr>
                    <w:rStyle w:val="Lienhypertexte"/>
                    <w:rFonts w:hint="eastAsia"/>
                    <w:rtl/>
                    <w:lang w:val="en-US"/>
                  </w:rPr>
                  <w:t>نظم</w:t>
                </w:r>
                <w:r w:rsidR="00F4223D" w:rsidRPr="008D22A6">
                  <w:rPr>
                    <w:rStyle w:val="Lienhypertexte"/>
                    <w:rtl/>
                    <w:lang w:val="en-US"/>
                  </w:rPr>
                  <w:t xml:space="preserve"> </w:t>
                </w:r>
                <w:r w:rsidR="00F4223D" w:rsidRPr="008D22A6">
                  <w:rPr>
                    <w:rStyle w:val="Lienhypertexte"/>
                    <w:rFonts w:hint="eastAsia"/>
                    <w:rtl/>
                    <w:lang w:val="en-US"/>
                  </w:rPr>
                  <w:t>المعلومات</w:t>
                </w:r>
                <w:r w:rsidR="00F4223D" w:rsidRPr="008D22A6">
                  <w:rPr>
                    <w:rStyle w:val="Lienhypertexte"/>
                    <w:rtl/>
                    <w:lang w:val="en-US"/>
                  </w:rPr>
                  <w:t xml:space="preserve"> </w:t>
                </w:r>
                <w:r w:rsidR="00F4223D" w:rsidRPr="008D22A6">
                  <w:rPr>
                    <w:rStyle w:val="Lienhypertexte"/>
                    <w:rFonts w:hint="eastAsia"/>
                    <w:rtl/>
                    <w:lang w:val="en-US"/>
                  </w:rPr>
                  <w:t>الجغرافية</w:t>
                </w:r>
                <w:r w:rsidR="00F4223D" w:rsidRPr="008D22A6">
                  <w:rPr>
                    <w:rStyle w:val="Lienhypertexte"/>
                    <w:rtl/>
                    <w:lang w:val="en-US"/>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GIS</w:t>
                </w:r>
                <w:r w:rsidR="00F4223D" w:rsidRPr="008D22A6">
                  <w:rPr>
                    <w:rStyle w:val="Lienhypertexte"/>
                    <w:rFonts w:asciiTheme="majorBidi" w:hAnsiTheme="majorBidi" w:cstheme="majorBidi"/>
                    <w:rtl/>
                  </w:rPr>
                  <w:t>)</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_Toc171803536 \h </w:instrText>
                </w:r>
                <w:r w:rsidR="00F4223D">
                  <w:rPr>
                    <w:webHidden/>
                  </w:rPr>
                </w:r>
                <w:r w:rsidR="00F4223D">
                  <w:rPr>
                    <w:webHidden/>
                  </w:rPr>
                  <w:fldChar w:fldCharType="separate"/>
                </w:r>
                <w:r>
                  <w:rPr>
                    <w:webHidden/>
                    <w:rtl/>
                    <w:lang w:bidi="ar-SA"/>
                  </w:rPr>
                  <w:t>98</w:t>
                </w:r>
                <w:r w:rsidR="00F4223D">
                  <w:rPr>
                    <w:webHidden/>
                  </w:rPr>
                  <w:fldChar w:fldCharType="end"/>
                </w:r>
              </w:hyperlink>
            </w:p>
            <w:p w:rsidR="00F4223D" w:rsidRDefault="00B62F86" w:rsidP="003A089F">
              <w:pPr>
                <w:pStyle w:val="TM3"/>
              </w:pPr>
              <w:hyperlink w:anchor="_Toc171803537" w:history="1">
                <w:r w:rsidR="00F4223D" w:rsidRPr="008D22A6">
                  <w:rPr>
                    <w:rStyle w:val="Lienhypertexte"/>
                    <w:rtl/>
                    <w:lang w:val="en-US"/>
                  </w:rPr>
                  <w:t>2.4.2.3.</w:t>
                </w:r>
                <w:r w:rsidR="00F4223D">
                  <w:tab/>
                </w:r>
                <w:r w:rsidR="00F4223D" w:rsidRPr="008D22A6">
                  <w:rPr>
                    <w:rStyle w:val="Lienhypertexte"/>
                    <w:rFonts w:hint="eastAsia"/>
                    <w:rtl/>
                    <w:lang w:val="en-US"/>
                  </w:rPr>
                  <w:t>المكونات</w:t>
                </w:r>
                <w:r w:rsidR="00F4223D" w:rsidRPr="008D22A6">
                  <w:rPr>
                    <w:rStyle w:val="Lienhypertexte"/>
                    <w:rtl/>
                    <w:lang w:val="en-US"/>
                  </w:rPr>
                  <w:t xml:space="preserve"> </w:t>
                </w:r>
                <w:r w:rsidR="00F4223D" w:rsidRPr="008D22A6">
                  <w:rPr>
                    <w:rStyle w:val="Lienhypertexte"/>
                    <w:rFonts w:hint="eastAsia"/>
                    <w:rtl/>
                    <w:lang w:val="en-US"/>
                  </w:rPr>
                  <w:t>الاساسية</w:t>
                </w:r>
                <w:r w:rsidR="00F4223D" w:rsidRPr="008D22A6">
                  <w:rPr>
                    <w:rStyle w:val="Lienhypertexte"/>
                    <w:lang w:val="en-US"/>
                  </w:rPr>
                  <w:t xml:space="preserve"> </w:t>
                </w:r>
                <w:r w:rsidR="00F4223D" w:rsidRPr="008D22A6">
                  <w:rPr>
                    <w:rStyle w:val="Lienhypertexte"/>
                    <w:rFonts w:hint="eastAsia"/>
                    <w:rtl/>
                    <w:lang w:val="en-US"/>
                  </w:rPr>
                  <w:t>التي</w:t>
                </w:r>
                <w:r w:rsidR="00F4223D" w:rsidRPr="008D22A6">
                  <w:rPr>
                    <w:rStyle w:val="Lienhypertexte"/>
                    <w:lang w:val="en-US"/>
                  </w:rPr>
                  <w:t xml:space="preserve"> </w:t>
                </w:r>
                <w:r w:rsidR="00F4223D" w:rsidRPr="008D22A6">
                  <w:rPr>
                    <w:rStyle w:val="Lienhypertexte"/>
                    <w:rFonts w:hint="eastAsia"/>
                    <w:rtl/>
                    <w:lang w:val="en-US"/>
                  </w:rPr>
                  <w:t>تقوم</w:t>
                </w:r>
                <w:r w:rsidR="00F4223D" w:rsidRPr="008D22A6">
                  <w:rPr>
                    <w:rStyle w:val="Lienhypertexte"/>
                    <w:rtl/>
                    <w:lang w:val="en-US"/>
                  </w:rPr>
                  <w:t xml:space="preserve"> </w:t>
                </w:r>
                <w:r w:rsidR="00F4223D" w:rsidRPr="008D22A6">
                  <w:rPr>
                    <w:rStyle w:val="Lienhypertexte"/>
                    <w:rFonts w:hint="eastAsia"/>
                    <w:rtl/>
                    <w:lang w:val="en-US"/>
                  </w:rPr>
                  <w:t>عليها</w:t>
                </w:r>
                <w:r w:rsidR="00F4223D" w:rsidRPr="008D22A6">
                  <w:rPr>
                    <w:rStyle w:val="Lienhypertexte"/>
                    <w:rtl/>
                    <w:lang w:val="en-US"/>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GIS</w:t>
                </w:r>
                <w:r w:rsidR="00F4223D" w:rsidRPr="008D22A6">
                  <w:rPr>
                    <w:rStyle w:val="Lienhypertexte"/>
                    <w:rFonts w:asciiTheme="majorBidi" w:hAnsiTheme="majorBidi" w:cstheme="majorBidi"/>
                    <w:rtl/>
                  </w:rPr>
                  <w:t>)</w:t>
                </w:r>
                <w:r w:rsidR="00F4223D" w:rsidRPr="008D22A6">
                  <w:rPr>
                    <w:rStyle w:val="Lienhypertexte"/>
                    <w:rtl/>
                    <w:lang w:val="en-US"/>
                  </w:rPr>
                  <w:t>:</w:t>
                </w:r>
                <w:r w:rsidR="00F4223D">
                  <w:rPr>
                    <w:webHidden/>
                  </w:rPr>
                  <w:tab/>
                </w:r>
                <w:r w:rsidR="00F4223D">
                  <w:rPr>
                    <w:webHidden/>
                  </w:rPr>
                  <w:fldChar w:fldCharType="begin"/>
                </w:r>
                <w:r w:rsidR="00F4223D">
                  <w:rPr>
                    <w:webHidden/>
                  </w:rPr>
                  <w:instrText xml:space="preserve"> PAGEREF _Toc171803537 \h </w:instrText>
                </w:r>
                <w:r w:rsidR="00F4223D">
                  <w:rPr>
                    <w:webHidden/>
                  </w:rPr>
                </w:r>
                <w:r w:rsidR="00F4223D">
                  <w:rPr>
                    <w:webHidden/>
                  </w:rPr>
                  <w:fldChar w:fldCharType="separate"/>
                </w:r>
                <w:r>
                  <w:rPr>
                    <w:webHidden/>
                    <w:rtl/>
                    <w:lang w:bidi="ar-SA"/>
                  </w:rPr>
                  <w:t>98</w:t>
                </w:r>
                <w:r w:rsidR="00F4223D">
                  <w:rPr>
                    <w:webHidden/>
                  </w:rPr>
                  <w:fldChar w:fldCharType="end"/>
                </w:r>
              </w:hyperlink>
            </w:p>
            <w:p w:rsidR="00F4223D" w:rsidRDefault="00B62F86" w:rsidP="003A089F">
              <w:pPr>
                <w:pStyle w:val="TM3"/>
              </w:pPr>
              <w:hyperlink w:anchor="_Toc171803539" w:history="1">
                <w:r w:rsidR="00F4223D" w:rsidRPr="008D22A6">
                  <w:rPr>
                    <w:rStyle w:val="Lienhypertexte"/>
                    <w:rtl/>
                    <w:lang w:val="en-US"/>
                  </w:rPr>
                  <w:t>3.4.2.3.</w:t>
                </w:r>
                <w:r w:rsidR="00F4223D">
                  <w:tab/>
                </w:r>
                <w:r w:rsidR="00F4223D" w:rsidRPr="008D22A6">
                  <w:rPr>
                    <w:rStyle w:val="Lienhypertexte"/>
                    <w:rFonts w:hint="eastAsia"/>
                    <w:rtl/>
                    <w:lang w:val="en-US"/>
                  </w:rPr>
                  <w:t>استخدامات</w:t>
                </w:r>
                <w:r w:rsidR="00F4223D" w:rsidRPr="008D22A6">
                  <w:rPr>
                    <w:rStyle w:val="Lienhypertexte"/>
                    <w:rtl/>
                    <w:lang w:val="en-US"/>
                  </w:rPr>
                  <w:t xml:space="preserve"> </w:t>
                </w:r>
                <w:r w:rsidR="00F4223D" w:rsidRPr="008D22A6">
                  <w:rPr>
                    <w:rStyle w:val="Lienhypertexte"/>
                    <w:rFonts w:hint="eastAsia"/>
                    <w:rtl/>
                    <w:lang w:val="en-US"/>
                  </w:rPr>
                  <w:t>تقنية</w:t>
                </w:r>
                <w:r w:rsidR="00F4223D" w:rsidRPr="008D22A6">
                  <w:rPr>
                    <w:rStyle w:val="Lienhypertexte"/>
                    <w:rtl/>
                    <w:lang w:val="en-US"/>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GIS</w:t>
                </w:r>
                <w:r w:rsidR="00F4223D" w:rsidRPr="008D22A6">
                  <w:rPr>
                    <w:rStyle w:val="Lienhypertexte"/>
                    <w:rFonts w:asciiTheme="majorBidi" w:hAnsiTheme="majorBidi" w:cstheme="majorBidi"/>
                    <w:rtl/>
                  </w:rPr>
                  <w:t xml:space="preserve">) </w:t>
                </w:r>
                <w:r w:rsidR="00F4223D" w:rsidRPr="008D22A6">
                  <w:rPr>
                    <w:rStyle w:val="Lienhypertexte"/>
                    <w:rFonts w:hint="eastAsia"/>
                    <w:rtl/>
                    <w:lang w:val="en-US"/>
                  </w:rPr>
                  <w:t>لتقييم</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Pr>
                    <w:webHidden/>
                  </w:rPr>
                  <w:tab/>
                </w:r>
                <w:r w:rsidR="00F4223D">
                  <w:rPr>
                    <w:webHidden/>
                  </w:rPr>
                  <w:fldChar w:fldCharType="begin"/>
                </w:r>
                <w:r w:rsidR="00F4223D">
                  <w:rPr>
                    <w:webHidden/>
                  </w:rPr>
                  <w:instrText xml:space="preserve"> PAGEREF _Toc171803539 \h </w:instrText>
                </w:r>
                <w:r w:rsidR="00F4223D">
                  <w:rPr>
                    <w:webHidden/>
                  </w:rPr>
                </w:r>
                <w:r w:rsidR="00F4223D">
                  <w:rPr>
                    <w:webHidden/>
                  </w:rPr>
                  <w:fldChar w:fldCharType="separate"/>
                </w:r>
                <w:r>
                  <w:rPr>
                    <w:webHidden/>
                    <w:rtl/>
                    <w:lang w:bidi="ar-SA"/>
                  </w:rPr>
                  <w:t>100</w:t>
                </w:r>
                <w:r w:rsidR="00F4223D">
                  <w:rPr>
                    <w:webHidden/>
                  </w:rPr>
                  <w:fldChar w:fldCharType="end"/>
                </w:r>
              </w:hyperlink>
            </w:p>
            <w:p w:rsidR="00F4223D" w:rsidRDefault="00B62F86" w:rsidP="003A089F">
              <w:pPr>
                <w:pStyle w:val="TM3"/>
              </w:pPr>
              <w:hyperlink w:anchor="_Toc171803540" w:history="1">
                <w:r w:rsidR="00F4223D" w:rsidRPr="008D22A6">
                  <w:rPr>
                    <w:rStyle w:val="Lienhypertexte"/>
                    <w:rtl/>
                    <w:lang w:val="en-US"/>
                  </w:rPr>
                  <w:t>4.4.2.3.</w:t>
                </w:r>
                <w:r w:rsidR="00F4223D">
                  <w:tab/>
                </w:r>
                <w:r w:rsidR="00F4223D" w:rsidRPr="008D22A6">
                  <w:rPr>
                    <w:rStyle w:val="Lienhypertexte"/>
                    <w:rFonts w:hint="eastAsia"/>
                    <w:rtl/>
                    <w:lang w:val="en-US"/>
                  </w:rPr>
                  <w:t>طريقة</w:t>
                </w:r>
                <w:r w:rsidR="00F4223D" w:rsidRPr="008D22A6">
                  <w:rPr>
                    <w:rStyle w:val="Lienhypertexte"/>
                    <w:rtl/>
                    <w:lang w:val="en-US"/>
                  </w:rPr>
                  <w:t xml:space="preserve"> </w:t>
                </w:r>
                <w:r w:rsidR="00F4223D" w:rsidRPr="008D22A6">
                  <w:rPr>
                    <w:rStyle w:val="Lienhypertexte"/>
                    <w:rFonts w:hint="eastAsia"/>
                    <w:rtl/>
                    <w:lang w:val="en-US"/>
                  </w:rPr>
                  <w:t>التحليل</w:t>
                </w:r>
                <w:r w:rsidR="00F4223D" w:rsidRPr="008D22A6">
                  <w:rPr>
                    <w:rStyle w:val="Lienhypertexte"/>
                    <w:rtl/>
                    <w:lang w:val="en-US"/>
                  </w:rPr>
                  <w:t xml:space="preserve"> </w:t>
                </w:r>
                <w:r w:rsidR="00F4223D" w:rsidRPr="008D22A6">
                  <w:rPr>
                    <w:rStyle w:val="Lienhypertexte"/>
                    <w:rFonts w:hint="eastAsia"/>
                    <w:rtl/>
                    <w:lang w:val="en-US"/>
                  </w:rPr>
                  <w:t>المستخدمة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البحث</w:t>
                </w:r>
                <w:r w:rsidR="00F4223D" w:rsidRPr="008D22A6">
                  <w:rPr>
                    <w:rStyle w:val="Lienhypertexte"/>
                    <w:lang w:val="en-US"/>
                  </w:rPr>
                  <w:t>:</w:t>
                </w:r>
                <w:r w:rsidR="00F4223D">
                  <w:rPr>
                    <w:webHidden/>
                  </w:rPr>
                  <w:tab/>
                </w:r>
                <w:r w:rsidR="00F4223D">
                  <w:rPr>
                    <w:webHidden/>
                  </w:rPr>
                  <w:fldChar w:fldCharType="begin"/>
                </w:r>
                <w:r w:rsidR="00F4223D">
                  <w:rPr>
                    <w:webHidden/>
                  </w:rPr>
                  <w:instrText xml:space="preserve"> PAGEREF _Toc171803540 \h </w:instrText>
                </w:r>
                <w:r w:rsidR="00F4223D">
                  <w:rPr>
                    <w:webHidden/>
                  </w:rPr>
                </w:r>
                <w:r w:rsidR="00F4223D">
                  <w:rPr>
                    <w:webHidden/>
                  </w:rPr>
                  <w:fldChar w:fldCharType="separate"/>
                </w:r>
                <w:r>
                  <w:rPr>
                    <w:webHidden/>
                    <w:rtl/>
                    <w:lang w:bidi="ar-SA"/>
                  </w:rPr>
                  <w:t>100</w:t>
                </w:r>
                <w:r w:rsidR="00F4223D">
                  <w:rPr>
                    <w:webHidden/>
                  </w:rPr>
                  <w:fldChar w:fldCharType="end"/>
                </w:r>
              </w:hyperlink>
            </w:p>
            <w:p w:rsidR="00F4223D" w:rsidRDefault="00B62F86" w:rsidP="003A089F">
              <w:pPr>
                <w:pStyle w:val="TM3"/>
              </w:pPr>
              <w:hyperlink w:anchor="_Toc171803543" w:history="1">
                <w:r w:rsidR="00F4223D" w:rsidRPr="008D22A6">
                  <w:rPr>
                    <w:rStyle w:val="Lienhypertexte"/>
                    <w:rtl/>
                    <w:lang w:val="en-US"/>
                  </w:rPr>
                  <w:t>5.4.2.3.</w:t>
                </w:r>
                <w:r w:rsidR="00F4223D">
                  <w:tab/>
                </w:r>
                <w:r w:rsidR="00F4223D" w:rsidRPr="008D22A6">
                  <w:rPr>
                    <w:rStyle w:val="Lienhypertexte"/>
                    <w:rFonts w:hint="eastAsia"/>
                    <w:rtl/>
                    <w:lang w:val="en-US"/>
                  </w:rPr>
                  <w:t>أهم</w:t>
                </w:r>
                <w:r w:rsidR="00F4223D" w:rsidRPr="008D22A6">
                  <w:rPr>
                    <w:rStyle w:val="Lienhypertexte"/>
                    <w:rtl/>
                    <w:lang w:val="en-US"/>
                  </w:rPr>
                  <w:t xml:space="preserve"> </w:t>
                </w:r>
                <w:r w:rsidR="00F4223D" w:rsidRPr="008D22A6">
                  <w:rPr>
                    <w:rStyle w:val="Lienhypertexte"/>
                    <w:rFonts w:hint="eastAsia"/>
                    <w:rtl/>
                    <w:lang w:val="en-US"/>
                  </w:rPr>
                  <w:t>طرق</w:t>
                </w:r>
                <w:r w:rsidR="00F4223D" w:rsidRPr="008D22A6">
                  <w:rPr>
                    <w:rStyle w:val="Lienhypertexte"/>
                    <w:rtl/>
                    <w:lang w:val="en-US"/>
                  </w:rPr>
                  <w:t xml:space="preserve"> </w:t>
                </w:r>
                <w:r w:rsidR="00F4223D" w:rsidRPr="008D22A6">
                  <w:rPr>
                    <w:rStyle w:val="Lienhypertexte"/>
                    <w:rFonts w:hint="eastAsia"/>
                    <w:rtl/>
                    <w:lang w:val="en-US"/>
                  </w:rPr>
                  <w:t>التحليل</w:t>
                </w:r>
                <w:r w:rsidR="00F4223D" w:rsidRPr="008D22A6">
                  <w:rPr>
                    <w:rStyle w:val="Lienhypertexte"/>
                    <w:rtl/>
                    <w:lang w:val="en-US"/>
                  </w:rPr>
                  <w:t xml:space="preserve"> </w:t>
                </w:r>
                <w:r w:rsidR="00F4223D" w:rsidRPr="008D22A6">
                  <w:rPr>
                    <w:rStyle w:val="Lienhypertexte"/>
                    <w:rFonts w:hint="eastAsia"/>
                    <w:rtl/>
                    <w:lang w:val="en-US"/>
                  </w:rPr>
                  <w:t>المستخدمة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برنامج</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lang w:val="en-US"/>
                  </w:rPr>
                  <w:t>ArcGIS</w:t>
                </w:r>
                <w:r w:rsidR="00F4223D" w:rsidRPr="008D22A6">
                  <w:rPr>
                    <w:rStyle w:val="Lienhypertexte"/>
                    <w:rFonts w:asciiTheme="majorBidi" w:hAnsiTheme="majorBidi" w:cstheme="majorBidi"/>
                  </w:rPr>
                  <w:t xml:space="preserve"> 10.3</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_Toc171803543 \h </w:instrText>
                </w:r>
                <w:r w:rsidR="00F4223D">
                  <w:rPr>
                    <w:webHidden/>
                  </w:rPr>
                </w:r>
                <w:r w:rsidR="00F4223D">
                  <w:rPr>
                    <w:webHidden/>
                  </w:rPr>
                  <w:fldChar w:fldCharType="separate"/>
                </w:r>
                <w:r>
                  <w:rPr>
                    <w:webHidden/>
                    <w:rtl/>
                    <w:lang w:bidi="ar-SA"/>
                  </w:rPr>
                  <w:t>102</w:t>
                </w:r>
                <w:r w:rsidR="00F4223D">
                  <w:rPr>
                    <w:webHidden/>
                  </w:rPr>
                  <w:fldChar w:fldCharType="end"/>
                </w:r>
              </w:hyperlink>
            </w:p>
            <w:p w:rsidR="00F4223D" w:rsidRDefault="00B62F86" w:rsidP="003A089F">
              <w:pPr>
                <w:pStyle w:val="TM3"/>
              </w:pPr>
              <w:hyperlink w:anchor="_Toc171803546" w:history="1">
                <w:r w:rsidR="00F4223D" w:rsidRPr="008D22A6">
                  <w:rPr>
                    <w:rStyle w:val="Lienhypertexte"/>
                    <w:rtl/>
                    <w:lang w:val="en-US"/>
                  </w:rPr>
                  <w:t>6.4.2.3.</w:t>
                </w:r>
                <w:r w:rsidR="00F4223D">
                  <w:tab/>
                </w:r>
                <w:r w:rsidR="00F4223D" w:rsidRPr="008D22A6">
                  <w:rPr>
                    <w:rStyle w:val="Lienhypertexte"/>
                    <w:rFonts w:hint="eastAsia"/>
                    <w:rtl/>
                    <w:lang w:val="en-US"/>
                  </w:rPr>
                  <w:t>أهم</w:t>
                </w:r>
                <w:r w:rsidR="00F4223D" w:rsidRPr="008D22A6">
                  <w:rPr>
                    <w:rStyle w:val="Lienhypertexte"/>
                    <w:rtl/>
                    <w:lang w:val="en-US"/>
                  </w:rPr>
                  <w:t xml:space="preserve"> </w:t>
                </w:r>
                <w:r w:rsidR="00F4223D" w:rsidRPr="008D22A6">
                  <w:rPr>
                    <w:rStyle w:val="Lienhypertexte"/>
                    <w:rFonts w:hint="eastAsia"/>
                    <w:rtl/>
                    <w:lang w:val="en-US"/>
                  </w:rPr>
                  <w:t>الادوات</w:t>
                </w:r>
                <w:r w:rsidR="00F4223D" w:rsidRPr="008D22A6">
                  <w:rPr>
                    <w:rStyle w:val="Lienhypertexte"/>
                    <w:rtl/>
                    <w:lang w:val="en-US"/>
                  </w:rPr>
                  <w:t xml:space="preserve"> </w:t>
                </w:r>
                <w:r w:rsidR="00F4223D" w:rsidRPr="008D22A6">
                  <w:rPr>
                    <w:rStyle w:val="Lienhypertexte"/>
                    <w:rFonts w:hint="eastAsia"/>
                    <w:rtl/>
                    <w:lang w:val="en-US"/>
                  </w:rPr>
                  <w:t>المستخدمة</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التحليل</w:t>
                </w:r>
                <w:r w:rsidR="00F4223D">
                  <w:rPr>
                    <w:webHidden/>
                  </w:rPr>
                  <w:tab/>
                </w:r>
                <w:r w:rsidR="00F4223D">
                  <w:rPr>
                    <w:webHidden/>
                  </w:rPr>
                  <w:fldChar w:fldCharType="begin"/>
                </w:r>
                <w:r w:rsidR="00F4223D">
                  <w:rPr>
                    <w:webHidden/>
                  </w:rPr>
                  <w:instrText xml:space="preserve"> PAGEREF _Toc171803546 \h </w:instrText>
                </w:r>
                <w:r w:rsidR="00F4223D">
                  <w:rPr>
                    <w:webHidden/>
                  </w:rPr>
                </w:r>
                <w:r w:rsidR="00F4223D">
                  <w:rPr>
                    <w:webHidden/>
                  </w:rPr>
                  <w:fldChar w:fldCharType="separate"/>
                </w:r>
                <w:r>
                  <w:rPr>
                    <w:webHidden/>
                    <w:rtl/>
                    <w:lang w:bidi="ar-SA"/>
                  </w:rPr>
                  <w:t>103</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552" w:history="1">
                <w:r w:rsidR="00F4223D" w:rsidRPr="008D22A6">
                  <w:rPr>
                    <w:rStyle w:val="Lienhypertexte"/>
                    <w:rtl/>
                  </w:rPr>
                  <w:t>5.2.3.</w:t>
                </w:r>
                <w:r w:rsidR="00F4223D">
                  <w:rPr>
                    <w:rFonts w:asciiTheme="minorHAnsi" w:hAnsiTheme="minorHAnsi" w:cstheme="minorBidi"/>
                    <w:lang w:val="fr-FR"/>
                  </w:rPr>
                  <w:tab/>
                </w:r>
                <w:r w:rsidR="00F4223D" w:rsidRPr="008D22A6">
                  <w:rPr>
                    <w:rStyle w:val="Lienhypertexte"/>
                    <w:rFonts w:hint="eastAsia"/>
                    <w:rtl/>
                  </w:rPr>
                  <w:t>المرحلة</w:t>
                </w:r>
                <w:r w:rsidR="00F4223D" w:rsidRPr="008D22A6">
                  <w:rPr>
                    <w:rStyle w:val="Lienhypertexte"/>
                    <w:rtl/>
                  </w:rPr>
                  <w:t xml:space="preserve"> </w:t>
                </w:r>
                <w:r w:rsidR="00F4223D" w:rsidRPr="008D22A6">
                  <w:rPr>
                    <w:rStyle w:val="Lienhypertexte"/>
                    <w:rFonts w:hint="eastAsia"/>
                    <w:rtl/>
                  </w:rPr>
                  <w:t>الخامسة</w:t>
                </w:r>
                <w:r w:rsidR="00F4223D" w:rsidRPr="008D22A6">
                  <w:rPr>
                    <w:rStyle w:val="Lienhypertexte"/>
                    <w:rtl/>
                  </w:rPr>
                  <w:t xml:space="preserve">: </w:t>
                </w:r>
                <w:r w:rsidR="00F4223D" w:rsidRPr="008D22A6">
                  <w:rPr>
                    <w:rStyle w:val="Lienhypertexte"/>
                    <w:rFonts w:hint="eastAsia"/>
                    <w:rtl/>
                  </w:rPr>
                  <w:t>التحقيق</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تصورات</w:t>
                </w:r>
                <w:r w:rsidR="00F4223D" w:rsidRPr="008D22A6">
                  <w:rPr>
                    <w:rStyle w:val="Lienhypertexte"/>
                    <w:rtl/>
                  </w:rPr>
                  <w:t xml:space="preserve"> </w:t>
                </w:r>
                <w:r w:rsidR="00F4223D" w:rsidRPr="008D22A6">
                  <w:rPr>
                    <w:rStyle w:val="Lienhypertexte"/>
                    <w:rFonts w:hint="eastAsia"/>
                    <w:rtl/>
                  </w:rPr>
                  <w:t>السكان</w:t>
                </w:r>
                <w:r w:rsidR="00F4223D" w:rsidRPr="008D22A6">
                  <w:rPr>
                    <w:rStyle w:val="Lienhypertexte"/>
                    <w:rtl/>
                  </w:rPr>
                  <w:t xml:space="preserve"> </w:t>
                </w:r>
                <w:r w:rsidR="00F4223D" w:rsidRPr="008D22A6">
                  <w:rPr>
                    <w:rStyle w:val="Lienhypertexte"/>
                    <w:rFonts w:hint="eastAsia"/>
                    <w:rtl/>
                  </w:rPr>
                  <w:t>المحليين</w:t>
                </w:r>
                <w:r w:rsidR="00F4223D" w:rsidRPr="008D22A6">
                  <w:rPr>
                    <w:rStyle w:val="Lienhypertexte"/>
                    <w:rtl/>
                  </w:rPr>
                  <w:t xml:space="preserve"> </w:t>
                </w:r>
                <w:r w:rsidR="00F4223D" w:rsidRPr="008D22A6">
                  <w:rPr>
                    <w:rStyle w:val="Lienhypertexte"/>
                    <w:rFonts w:hint="eastAsia"/>
                    <w:rtl/>
                  </w:rPr>
                  <w:t>حول</w:t>
                </w:r>
                <w:r w:rsidR="00F4223D" w:rsidRPr="008D22A6">
                  <w:rPr>
                    <w:rStyle w:val="Lienhypertexte"/>
                    <w:rtl/>
                  </w:rPr>
                  <w:t xml:space="preserve"> </w:t>
                </w:r>
                <w:r w:rsidR="00F4223D" w:rsidRPr="008D22A6">
                  <w:rPr>
                    <w:rStyle w:val="Lienhypertexte"/>
                    <w:rFonts w:hint="eastAsia"/>
                    <w:rtl/>
                  </w:rPr>
                  <w:t>اضطرابات</w:t>
                </w:r>
                <w:r w:rsidR="00F4223D" w:rsidRPr="008D22A6">
                  <w:rPr>
                    <w:rStyle w:val="Lienhypertexte"/>
                    <w:rtl/>
                  </w:rPr>
                  <w:t xml:space="preserve"> </w:t>
                </w:r>
                <w:r w:rsidR="00F4223D" w:rsidRPr="008D22A6">
                  <w:rPr>
                    <w:rStyle w:val="Lienhypertexte"/>
                    <w:rFonts w:hint="eastAsia"/>
                    <w:rtl/>
                  </w:rPr>
                  <w:t>الحصول</w:t>
                </w:r>
                <w:r w:rsidR="00F4223D" w:rsidRPr="008D22A6">
                  <w:rPr>
                    <w:rStyle w:val="Lienhypertexte"/>
                    <w:rtl/>
                  </w:rPr>
                  <w:t xml:space="preserve"> </w:t>
                </w:r>
                <w:r w:rsidR="00F4223D" w:rsidRPr="008D22A6">
                  <w:rPr>
                    <w:rStyle w:val="Lienhypertexte"/>
                    <w:rFonts w:hint="eastAsia"/>
                    <w:rtl/>
                  </w:rPr>
                  <w:t>على</w:t>
                </w:r>
                <w:r w:rsidR="00F4223D" w:rsidRPr="008D22A6">
                  <w:rPr>
                    <w:rStyle w:val="Lienhypertexte"/>
                    <w:rtl/>
                  </w:rPr>
                  <w:t xml:space="preserve"> </w:t>
                </w:r>
                <w:r w:rsidR="00F4223D" w:rsidRPr="008D22A6">
                  <w:rPr>
                    <w:rStyle w:val="Lienhypertexte"/>
                    <w:rFonts w:hint="eastAsia"/>
                    <w:rtl/>
                  </w:rPr>
                  <w:t>الخدمة</w:t>
                </w:r>
                <w:r w:rsidR="00F4223D">
                  <w:rPr>
                    <w:webHidden/>
                  </w:rPr>
                  <w:tab/>
                </w:r>
                <w:r w:rsidR="00F4223D">
                  <w:rPr>
                    <w:webHidden/>
                  </w:rPr>
                  <w:fldChar w:fldCharType="begin"/>
                </w:r>
                <w:r w:rsidR="00F4223D">
                  <w:rPr>
                    <w:webHidden/>
                  </w:rPr>
                  <w:instrText xml:space="preserve"> PAGEREF _Toc171803552 \h </w:instrText>
                </w:r>
                <w:r w:rsidR="00F4223D">
                  <w:rPr>
                    <w:webHidden/>
                  </w:rPr>
                </w:r>
                <w:r w:rsidR="00F4223D">
                  <w:rPr>
                    <w:webHidden/>
                  </w:rPr>
                  <w:fldChar w:fldCharType="separate"/>
                </w:r>
                <w:r>
                  <w:rPr>
                    <w:webHidden/>
                    <w:rtl/>
                  </w:rPr>
                  <w:t>106</w:t>
                </w:r>
                <w:r w:rsidR="00F4223D">
                  <w:rPr>
                    <w:webHidden/>
                  </w:rPr>
                  <w:fldChar w:fldCharType="end"/>
                </w:r>
              </w:hyperlink>
            </w:p>
            <w:p w:rsidR="00F4223D" w:rsidRDefault="00B62F86" w:rsidP="003A089F">
              <w:pPr>
                <w:pStyle w:val="TM3"/>
              </w:pPr>
              <w:hyperlink w:anchor="_Toc171803555" w:history="1">
                <w:r w:rsidR="00F4223D" w:rsidRPr="008D22A6">
                  <w:rPr>
                    <w:rStyle w:val="Lienhypertexte"/>
                    <w:rtl/>
                  </w:rPr>
                  <w:t>1.5.2.3.</w:t>
                </w:r>
                <w:r w:rsidR="00F4223D">
                  <w:tab/>
                </w:r>
                <w:r w:rsidR="00F4223D" w:rsidRPr="008D22A6">
                  <w:rPr>
                    <w:rStyle w:val="Lienhypertexte"/>
                    <w:rFonts w:hint="eastAsia"/>
                    <w:rtl/>
                  </w:rPr>
                  <w:t>خصائص</w:t>
                </w:r>
                <w:r w:rsidR="00F4223D" w:rsidRPr="008D22A6">
                  <w:rPr>
                    <w:rStyle w:val="Lienhypertexte"/>
                    <w:rtl/>
                  </w:rPr>
                  <w:t xml:space="preserve"> </w:t>
                </w:r>
                <w:r w:rsidR="00F4223D" w:rsidRPr="008D22A6">
                  <w:rPr>
                    <w:rStyle w:val="Lienhypertexte"/>
                    <w:rFonts w:hint="eastAsia"/>
                    <w:rtl/>
                  </w:rPr>
                  <w:t>العينة</w:t>
                </w:r>
                <w:r w:rsidR="00F4223D" w:rsidRPr="008D22A6">
                  <w:rPr>
                    <w:rStyle w:val="Lienhypertexte"/>
                    <w:rtl/>
                  </w:rPr>
                  <w:t xml:space="preserve"> </w:t>
                </w:r>
                <w:r w:rsidR="00F4223D" w:rsidRPr="008D22A6">
                  <w:rPr>
                    <w:rStyle w:val="Lienhypertexte"/>
                    <w:rFonts w:hint="eastAsia"/>
                    <w:rtl/>
                  </w:rPr>
                  <w:t>الجيدة</w:t>
                </w:r>
                <w:r w:rsidR="00F4223D">
                  <w:rPr>
                    <w:webHidden/>
                  </w:rPr>
                  <w:tab/>
                </w:r>
                <w:r w:rsidR="00F4223D">
                  <w:rPr>
                    <w:webHidden/>
                  </w:rPr>
                  <w:fldChar w:fldCharType="begin"/>
                </w:r>
                <w:r w:rsidR="00F4223D">
                  <w:rPr>
                    <w:webHidden/>
                  </w:rPr>
                  <w:instrText xml:space="preserve"> PAGEREF _Toc171803555 \h </w:instrText>
                </w:r>
                <w:r w:rsidR="00F4223D">
                  <w:rPr>
                    <w:webHidden/>
                  </w:rPr>
                </w:r>
                <w:r w:rsidR="00F4223D">
                  <w:rPr>
                    <w:webHidden/>
                  </w:rPr>
                  <w:fldChar w:fldCharType="separate"/>
                </w:r>
                <w:r>
                  <w:rPr>
                    <w:webHidden/>
                    <w:rtl/>
                    <w:lang w:bidi="ar-SA"/>
                  </w:rPr>
                  <w:t>107</w:t>
                </w:r>
                <w:r w:rsidR="00F4223D">
                  <w:rPr>
                    <w:webHidden/>
                  </w:rPr>
                  <w:fldChar w:fldCharType="end"/>
                </w:r>
              </w:hyperlink>
            </w:p>
            <w:p w:rsidR="00F4223D" w:rsidRDefault="00B62F86" w:rsidP="003A089F">
              <w:pPr>
                <w:pStyle w:val="TM3"/>
              </w:pPr>
              <w:hyperlink w:anchor="_Toc171803556" w:history="1">
                <w:r w:rsidR="00F4223D" w:rsidRPr="008D22A6">
                  <w:rPr>
                    <w:rStyle w:val="Lienhypertexte"/>
                  </w:rPr>
                  <w:t>2.5.2.3.</w:t>
                </w:r>
                <w:r w:rsidR="00F4223D">
                  <w:tab/>
                </w:r>
                <w:r w:rsidR="00F4223D" w:rsidRPr="008D22A6">
                  <w:rPr>
                    <w:rStyle w:val="Lienhypertexte"/>
                    <w:rFonts w:hint="eastAsia"/>
                    <w:rtl/>
                  </w:rPr>
                  <w:t>تصميم</w:t>
                </w:r>
                <w:r w:rsidR="00F4223D" w:rsidRPr="008D22A6">
                  <w:rPr>
                    <w:rStyle w:val="Lienhypertexte"/>
                    <w:rtl/>
                  </w:rPr>
                  <w:t xml:space="preserve"> </w:t>
                </w:r>
                <w:r w:rsidR="00F4223D" w:rsidRPr="008D22A6">
                  <w:rPr>
                    <w:rStyle w:val="Lienhypertexte"/>
                    <w:rFonts w:hint="eastAsia"/>
                    <w:rtl/>
                  </w:rPr>
                  <w:t>استبيان</w:t>
                </w:r>
                <w:r w:rsidR="00F4223D" w:rsidRPr="008D22A6">
                  <w:rPr>
                    <w:rStyle w:val="Lienhypertexte"/>
                    <w:rtl/>
                  </w:rPr>
                  <w:t xml:space="preserve"> </w:t>
                </w:r>
                <w:r w:rsidR="00F4223D" w:rsidRPr="008D22A6">
                  <w:rPr>
                    <w:rStyle w:val="Lienhypertexte"/>
                    <w:rFonts w:hint="eastAsia"/>
                    <w:rtl/>
                  </w:rPr>
                  <w:t>المستجيبين</w:t>
                </w:r>
                <w:r w:rsidR="00F4223D">
                  <w:rPr>
                    <w:webHidden/>
                  </w:rPr>
                  <w:tab/>
                </w:r>
                <w:r w:rsidR="00F4223D">
                  <w:rPr>
                    <w:webHidden/>
                  </w:rPr>
                  <w:fldChar w:fldCharType="begin"/>
                </w:r>
                <w:r w:rsidR="00F4223D">
                  <w:rPr>
                    <w:webHidden/>
                  </w:rPr>
                  <w:instrText xml:space="preserve"> PAGEREF _Toc171803556 \h </w:instrText>
                </w:r>
                <w:r w:rsidR="00F4223D">
                  <w:rPr>
                    <w:webHidden/>
                  </w:rPr>
                </w:r>
                <w:r w:rsidR="00F4223D">
                  <w:rPr>
                    <w:webHidden/>
                  </w:rPr>
                  <w:fldChar w:fldCharType="separate"/>
                </w:r>
                <w:r>
                  <w:rPr>
                    <w:webHidden/>
                    <w:rtl/>
                    <w:lang w:bidi="ar-SA"/>
                  </w:rPr>
                  <w:t>107</w:t>
                </w:r>
                <w:r w:rsidR="00F4223D">
                  <w:rPr>
                    <w:webHidden/>
                  </w:rPr>
                  <w:fldChar w:fldCharType="end"/>
                </w:r>
              </w:hyperlink>
            </w:p>
            <w:p w:rsidR="00F4223D" w:rsidRDefault="00B62F86" w:rsidP="003A089F">
              <w:pPr>
                <w:pStyle w:val="TM3"/>
              </w:pPr>
              <w:hyperlink w:anchor="_Toc171803559" w:history="1">
                <w:r w:rsidR="00F4223D" w:rsidRPr="008D22A6">
                  <w:rPr>
                    <w:rStyle w:val="Lienhypertexte"/>
                  </w:rPr>
                  <w:t>3.5.2.3.</w:t>
                </w:r>
                <w:r w:rsidR="00F4223D">
                  <w:tab/>
                </w:r>
                <w:r w:rsidR="00F4223D" w:rsidRPr="008D22A6">
                  <w:rPr>
                    <w:rStyle w:val="Lienhypertexte"/>
                    <w:rFonts w:hint="eastAsia"/>
                    <w:rtl/>
                  </w:rPr>
                  <w:t>أنواع</w:t>
                </w:r>
                <w:r w:rsidR="00F4223D" w:rsidRPr="008D22A6">
                  <w:rPr>
                    <w:rStyle w:val="Lienhypertexte"/>
                    <w:rtl/>
                  </w:rPr>
                  <w:t xml:space="preserve"> </w:t>
                </w:r>
                <w:r w:rsidR="00F4223D" w:rsidRPr="008D22A6">
                  <w:rPr>
                    <w:rStyle w:val="Lienhypertexte"/>
                    <w:rFonts w:hint="eastAsia"/>
                    <w:rtl/>
                  </w:rPr>
                  <w:t>الردود</w:t>
                </w:r>
                <w:r w:rsidR="00F4223D">
                  <w:rPr>
                    <w:webHidden/>
                  </w:rPr>
                  <w:tab/>
                </w:r>
                <w:r w:rsidR="00F4223D">
                  <w:rPr>
                    <w:webHidden/>
                  </w:rPr>
                  <w:fldChar w:fldCharType="begin"/>
                </w:r>
                <w:r w:rsidR="00F4223D">
                  <w:rPr>
                    <w:webHidden/>
                  </w:rPr>
                  <w:instrText xml:space="preserve"> PAGEREF _Toc171803559 \h </w:instrText>
                </w:r>
                <w:r w:rsidR="00F4223D">
                  <w:rPr>
                    <w:webHidden/>
                  </w:rPr>
                </w:r>
                <w:r w:rsidR="00F4223D">
                  <w:rPr>
                    <w:webHidden/>
                  </w:rPr>
                  <w:fldChar w:fldCharType="separate"/>
                </w:r>
                <w:r>
                  <w:rPr>
                    <w:webHidden/>
                    <w:rtl/>
                    <w:lang w:bidi="ar-SA"/>
                  </w:rPr>
                  <w:t>108</w:t>
                </w:r>
                <w:r w:rsidR="00F4223D">
                  <w:rPr>
                    <w:webHidden/>
                  </w:rPr>
                  <w:fldChar w:fldCharType="end"/>
                </w:r>
              </w:hyperlink>
            </w:p>
            <w:p w:rsidR="00F4223D" w:rsidRDefault="00B62F86" w:rsidP="003A089F">
              <w:pPr>
                <w:pStyle w:val="TM3"/>
              </w:pPr>
              <w:hyperlink w:anchor="_Toc171803560" w:history="1">
                <w:r w:rsidR="00F4223D" w:rsidRPr="008D22A6">
                  <w:rPr>
                    <w:rStyle w:val="Lienhypertexte"/>
                  </w:rPr>
                  <w:t>4.5.2.3.</w:t>
                </w:r>
                <w:r w:rsidR="00F4223D">
                  <w:tab/>
                </w:r>
                <w:r w:rsidR="00F4223D" w:rsidRPr="008D22A6">
                  <w:rPr>
                    <w:rStyle w:val="Lienhypertexte"/>
                    <w:rFonts w:hint="eastAsia"/>
                    <w:rtl/>
                  </w:rPr>
                  <w:t>إجراء</w:t>
                </w:r>
                <w:r w:rsidR="00F4223D" w:rsidRPr="008D22A6">
                  <w:rPr>
                    <w:rStyle w:val="Lienhypertexte"/>
                    <w:rtl/>
                  </w:rPr>
                  <w:t xml:space="preserve"> </w:t>
                </w:r>
                <w:r w:rsidR="00F4223D" w:rsidRPr="008D22A6">
                  <w:rPr>
                    <w:rStyle w:val="Lienhypertexte"/>
                    <w:rFonts w:hint="eastAsia"/>
                    <w:rtl/>
                  </w:rPr>
                  <w:t>الاستبيان</w:t>
                </w:r>
                <w:r w:rsidR="00F4223D">
                  <w:rPr>
                    <w:webHidden/>
                  </w:rPr>
                  <w:tab/>
                </w:r>
                <w:r w:rsidR="00F4223D">
                  <w:rPr>
                    <w:webHidden/>
                  </w:rPr>
                  <w:fldChar w:fldCharType="begin"/>
                </w:r>
                <w:r w:rsidR="00F4223D">
                  <w:rPr>
                    <w:webHidden/>
                  </w:rPr>
                  <w:instrText xml:space="preserve"> PAGEREF _Toc171803560 \h </w:instrText>
                </w:r>
                <w:r w:rsidR="00F4223D">
                  <w:rPr>
                    <w:webHidden/>
                  </w:rPr>
                </w:r>
                <w:r w:rsidR="00F4223D">
                  <w:rPr>
                    <w:webHidden/>
                  </w:rPr>
                  <w:fldChar w:fldCharType="separate"/>
                </w:r>
                <w:r>
                  <w:rPr>
                    <w:webHidden/>
                    <w:rtl/>
                    <w:lang w:bidi="ar-SA"/>
                  </w:rPr>
                  <w:t>108</w:t>
                </w:r>
                <w:r w:rsidR="00F4223D">
                  <w:rPr>
                    <w:webHidden/>
                  </w:rPr>
                  <w:fldChar w:fldCharType="end"/>
                </w:r>
              </w:hyperlink>
            </w:p>
            <w:p w:rsidR="00F4223D" w:rsidRDefault="00B62F86" w:rsidP="003A089F">
              <w:pPr>
                <w:pStyle w:val="TM3"/>
              </w:pPr>
              <w:hyperlink w:anchor="_Toc171803561" w:history="1">
                <w:r w:rsidR="00F4223D" w:rsidRPr="008D22A6">
                  <w:rPr>
                    <w:rStyle w:val="Lienhypertexte"/>
                  </w:rPr>
                  <w:t>5.5.2.3.</w:t>
                </w:r>
                <w:r w:rsidR="00F4223D">
                  <w:tab/>
                </w:r>
                <w:r w:rsidR="00F4223D" w:rsidRPr="008D22A6">
                  <w:rPr>
                    <w:rStyle w:val="Lienhypertexte"/>
                    <w:rFonts w:hint="eastAsia"/>
                    <w:rtl/>
                  </w:rPr>
                  <w:t>تحليل</w:t>
                </w:r>
                <w:r w:rsidR="00F4223D" w:rsidRPr="008D22A6">
                  <w:rPr>
                    <w:rStyle w:val="Lienhypertexte"/>
                    <w:rtl/>
                  </w:rPr>
                  <w:t xml:space="preserve"> </w:t>
                </w:r>
                <w:r w:rsidR="00F4223D" w:rsidRPr="008D22A6">
                  <w:rPr>
                    <w:rStyle w:val="Lienhypertexte"/>
                    <w:rFonts w:hint="eastAsia"/>
                    <w:rtl/>
                  </w:rPr>
                  <w:t>بيانات</w:t>
                </w:r>
                <w:r w:rsidR="00F4223D" w:rsidRPr="008D22A6">
                  <w:rPr>
                    <w:rStyle w:val="Lienhypertexte"/>
                    <w:rtl/>
                  </w:rPr>
                  <w:t xml:space="preserve"> </w:t>
                </w:r>
                <w:r w:rsidR="00F4223D" w:rsidRPr="008D22A6">
                  <w:rPr>
                    <w:rStyle w:val="Lienhypertexte"/>
                    <w:rFonts w:hint="eastAsia"/>
                    <w:rtl/>
                  </w:rPr>
                  <w:t>الاستبيان</w:t>
                </w:r>
                <w:r w:rsidR="00F4223D">
                  <w:rPr>
                    <w:webHidden/>
                  </w:rPr>
                  <w:tab/>
                </w:r>
                <w:r w:rsidR="00F4223D">
                  <w:rPr>
                    <w:webHidden/>
                  </w:rPr>
                  <w:fldChar w:fldCharType="begin"/>
                </w:r>
                <w:r w:rsidR="00F4223D">
                  <w:rPr>
                    <w:webHidden/>
                  </w:rPr>
                  <w:instrText xml:space="preserve"> PAGEREF _Toc171803561 \h </w:instrText>
                </w:r>
                <w:r w:rsidR="00F4223D">
                  <w:rPr>
                    <w:webHidden/>
                  </w:rPr>
                </w:r>
                <w:r w:rsidR="00F4223D">
                  <w:rPr>
                    <w:webHidden/>
                  </w:rPr>
                  <w:fldChar w:fldCharType="separate"/>
                </w:r>
                <w:r>
                  <w:rPr>
                    <w:webHidden/>
                    <w:rtl/>
                    <w:lang w:bidi="ar-SA"/>
                  </w:rPr>
                  <w:t>109</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62" w:history="1">
                <w:r w:rsidR="00F4223D" w:rsidRPr="008D22A6">
                  <w:rPr>
                    <w:rStyle w:val="Lienhypertexte"/>
                    <w:rFonts w:hint="eastAsia"/>
                    <w:rtl/>
                  </w:rPr>
                  <w:t>الخلاصة</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_Toc171803562 \h </w:instrText>
                </w:r>
                <w:r w:rsidR="00F4223D">
                  <w:rPr>
                    <w:webHidden/>
                  </w:rPr>
                </w:r>
                <w:r w:rsidR="00F4223D">
                  <w:rPr>
                    <w:webHidden/>
                  </w:rPr>
                  <w:fldChar w:fldCharType="separate"/>
                </w:r>
                <w:r>
                  <w:rPr>
                    <w:webHidden/>
                    <w:rtl/>
                    <w:lang w:bidi="ar-SA"/>
                  </w:rPr>
                  <w:t>110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63" w:history="1">
                <w:r w:rsidR="00F4223D" w:rsidRPr="008D22A6">
                  <w:rPr>
                    <w:rStyle w:val="Lienhypertexte"/>
                    <w:rFonts w:hint="eastAsia"/>
                    <w:rtl/>
                  </w:rPr>
                  <w:t>الفصل</w:t>
                </w:r>
                <w:r w:rsidR="00F4223D" w:rsidRPr="008D22A6">
                  <w:rPr>
                    <w:rStyle w:val="Lienhypertexte"/>
                    <w:rtl/>
                  </w:rPr>
                  <w:t xml:space="preserve"> 4: </w:t>
                </w:r>
                <w:r w:rsidR="00F4223D" w:rsidRPr="008D22A6">
                  <w:rPr>
                    <w:rStyle w:val="Lienhypertexte"/>
                    <w:rFonts w:hint="eastAsia"/>
                    <w:rtl/>
                  </w:rPr>
                  <w:t>علاقة</w:t>
                </w:r>
                <w:r w:rsidR="00F4223D" w:rsidRPr="008D22A6">
                  <w:rPr>
                    <w:rStyle w:val="Lienhypertexte"/>
                    <w:rtl/>
                  </w:rPr>
                  <w:t xml:space="preserve"> </w:t>
                </w:r>
                <w:r w:rsidR="00F4223D" w:rsidRPr="008D22A6">
                  <w:rPr>
                    <w:rStyle w:val="Lienhypertexte"/>
                    <w:rFonts w:hint="eastAsia"/>
                    <w:rtl/>
                  </w:rPr>
                  <w:t>استعمالات</w:t>
                </w:r>
                <w:r w:rsidR="00F4223D" w:rsidRPr="008D22A6">
                  <w:rPr>
                    <w:rStyle w:val="Lienhypertexte"/>
                    <w:rtl/>
                  </w:rPr>
                  <w:t xml:space="preserve"> </w:t>
                </w:r>
                <w:r w:rsidR="00F4223D" w:rsidRPr="008D22A6">
                  <w:rPr>
                    <w:rStyle w:val="Lienhypertexte"/>
                    <w:rFonts w:hint="eastAsia"/>
                    <w:rtl/>
                  </w:rPr>
                  <w:t>الاراضي</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مع</w:t>
                </w:r>
                <w:r w:rsidR="00F4223D" w:rsidRPr="008D22A6">
                  <w:rPr>
                    <w:rStyle w:val="Lienhypertexte"/>
                    <w:rtl/>
                  </w:rPr>
                  <w:t xml:space="preserve"> </w:t>
                </w:r>
                <w:r w:rsidR="00F4223D" w:rsidRPr="008D22A6">
                  <w:rPr>
                    <w:rStyle w:val="Lienhypertexte"/>
                    <w:rFonts w:hint="eastAsia"/>
                    <w:rtl/>
                  </w:rPr>
                  <w:t>تكوين</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المكانية</w:t>
                </w:r>
              </w:hyperlink>
            </w:p>
            <w:p w:rsidR="00F4223D" w:rsidRDefault="00B62F86" w:rsidP="009579D2">
              <w:pPr>
                <w:pStyle w:val="TM1"/>
                <w:rPr>
                  <w:rFonts w:asciiTheme="minorHAnsi" w:hAnsiTheme="minorHAnsi" w:cstheme="minorBidi"/>
                  <w:color w:val="auto"/>
                  <w:lang w:val="fr-FR" w:bidi="ar-SA"/>
                </w:rPr>
              </w:pPr>
              <w:hyperlink w:anchor="_Toc171803564" w:history="1">
                <w:r w:rsidR="00F4223D" w:rsidRPr="008D22A6">
                  <w:rPr>
                    <w:rStyle w:val="Lienhypertexte"/>
                    <w:rtl/>
                  </w:rPr>
                  <w:t xml:space="preserve">- </w:t>
                </w:r>
                <w:r w:rsidR="00F4223D" w:rsidRPr="008D22A6">
                  <w:rPr>
                    <w:rStyle w:val="Lienhypertexte"/>
                    <w:rFonts w:hint="eastAsia"/>
                    <w:rtl/>
                  </w:rPr>
                  <w:t>مدينة</w:t>
                </w:r>
                <w:r w:rsidR="00F4223D" w:rsidRPr="008D22A6">
                  <w:rPr>
                    <w:rStyle w:val="Lienhypertexte"/>
                    <w:rtl/>
                  </w:rPr>
                  <w:t xml:space="preserve"> </w:t>
                </w:r>
                <w:r w:rsidR="00F4223D" w:rsidRPr="008D22A6">
                  <w:rPr>
                    <w:rStyle w:val="Lienhypertexte"/>
                    <w:rFonts w:hint="eastAsia"/>
                    <w:rtl/>
                  </w:rPr>
                  <w:t>بوسعادة</w:t>
                </w:r>
                <w:r w:rsidR="00F4223D" w:rsidRPr="008D22A6">
                  <w:rPr>
                    <w:rStyle w:val="Lienhypertexte"/>
                    <w:rtl/>
                  </w:rPr>
                  <w:t xml:space="preserve"> </w:t>
                </w:r>
                <w:r w:rsidR="00F4223D" w:rsidRPr="008D22A6">
                  <w:rPr>
                    <w:rStyle w:val="Lienhypertexte"/>
                    <w:rFonts w:hint="eastAsia"/>
                    <w:rtl/>
                  </w:rPr>
                  <w:t>بين</w:t>
                </w:r>
                <w:r w:rsidR="00F4223D" w:rsidRPr="008D22A6">
                  <w:rPr>
                    <w:rStyle w:val="Lienhypertexte"/>
                    <w:rtl/>
                  </w:rPr>
                  <w:t xml:space="preserve"> </w:t>
                </w:r>
                <w:r w:rsidR="00F4223D" w:rsidRPr="008D22A6">
                  <w:rPr>
                    <w:rStyle w:val="Lienhypertexte"/>
                    <w:rFonts w:hint="eastAsia"/>
                    <w:rtl/>
                  </w:rPr>
                  <w:t>الكثافة،</w:t>
                </w:r>
                <w:r w:rsidR="00F4223D" w:rsidRPr="008D22A6">
                  <w:rPr>
                    <w:rStyle w:val="Lienhypertexte"/>
                    <w:rtl/>
                  </w:rPr>
                  <w:t xml:space="preserve"> </w:t>
                </w:r>
                <w:r w:rsidR="00F4223D" w:rsidRPr="008D22A6">
                  <w:rPr>
                    <w:rStyle w:val="Lienhypertexte"/>
                    <w:rFonts w:hint="eastAsia"/>
                    <w:rtl/>
                  </w:rPr>
                  <w:t>التنوع،</w:t>
                </w:r>
                <w:r w:rsidR="00F4223D" w:rsidRPr="008D22A6">
                  <w:rPr>
                    <w:rStyle w:val="Lienhypertexte"/>
                    <w:rtl/>
                  </w:rPr>
                  <w:t xml:space="preserve"> </w:t>
                </w:r>
                <w:r w:rsidR="00F4223D" w:rsidRPr="008D22A6">
                  <w:rPr>
                    <w:rStyle w:val="Lienhypertexte"/>
                    <w:rFonts w:hint="eastAsia"/>
                    <w:rtl/>
                  </w:rPr>
                  <w:t>والاتصالية</w:t>
                </w:r>
                <w:r w:rsidR="00F4223D" w:rsidRPr="008D22A6">
                  <w:rPr>
                    <w:rStyle w:val="Lienhypertexte"/>
                    <w:rtl/>
                  </w:rPr>
                  <w:t xml:space="preserve"> </w:t>
                </w:r>
                <w:r w:rsidR="00F4223D" w:rsidRPr="008D22A6">
                  <w:rPr>
                    <w:rStyle w:val="Lienhypertexte"/>
                    <w:rFonts w:hint="eastAsia"/>
                    <w:rtl/>
                  </w:rPr>
                  <w:t>والتكرار</w:t>
                </w:r>
                <w:r w:rsidR="00F4223D" w:rsidRPr="008D22A6">
                  <w:rPr>
                    <w:rStyle w:val="Lienhypertexte"/>
                    <w:rtl/>
                  </w:rPr>
                  <w:t>-</w:t>
                </w:r>
              </w:hyperlink>
            </w:p>
            <w:p w:rsidR="00F4223D" w:rsidRDefault="00B62F86" w:rsidP="009579D2">
              <w:pPr>
                <w:pStyle w:val="TM1"/>
                <w:rPr>
                  <w:rFonts w:asciiTheme="minorHAnsi" w:hAnsiTheme="minorHAnsi" w:cstheme="minorBidi"/>
                  <w:color w:val="auto"/>
                  <w:lang w:val="fr-FR" w:bidi="ar-SA"/>
                </w:rPr>
              </w:pPr>
              <w:hyperlink w:anchor="_Toc171803565" w:history="1">
                <w:r w:rsidR="00F4223D" w:rsidRPr="008D22A6">
                  <w:rPr>
                    <w:rStyle w:val="Lienhypertexte"/>
                    <w:rFonts w:hint="eastAsia"/>
                    <w:rtl/>
                  </w:rPr>
                  <w:t>تمهيد</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_Toc171803565 \h </w:instrText>
                </w:r>
                <w:r w:rsidR="00F4223D">
                  <w:rPr>
                    <w:webHidden/>
                  </w:rPr>
                </w:r>
                <w:r w:rsidR="00F4223D">
                  <w:rPr>
                    <w:webHidden/>
                  </w:rPr>
                  <w:fldChar w:fldCharType="separate"/>
                </w:r>
                <w:r>
                  <w:rPr>
                    <w:webHidden/>
                    <w:rtl/>
                    <w:lang w:bidi="ar-SA"/>
                  </w:rPr>
                  <w:t>111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66" w:history="1">
                <w:r w:rsidR="00F4223D" w:rsidRPr="008D22A6">
                  <w:rPr>
                    <w:rStyle w:val="Lienhypertexte"/>
                    <w:rtl/>
                  </w:rPr>
                  <w:t>1.4.</w:t>
                </w:r>
                <w:r w:rsidR="001A5014" w:rsidRPr="001A5014">
                  <w:rPr>
                    <w:rFonts w:hint="eastAsia"/>
                    <w:rtl/>
                  </w:rPr>
                  <w:t xml:space="preserve"> </w:t>
                </w:r>
                <w:r w:rsidR="001A5014" w:rsidRPr="001A5014">
                  <w:rPr>
                    <w:rStyle w:val="Lienhypertexte"/>
                    <w:rFonts w:hint="eastAsia"/>
                    <w:rtl/>
                  </w:rPr>
                  <w:t>تقديم</w:t>
                </w:r>
                <w:r w:rsidR="001A5014" w:rsidRPr="001A5014">
                  <w:rPr>
                    <w:rStyle w:val="Lienhypertexte"/>
                    <w:rtl/>
                  </w:rPr>
                  <w:t xml:space="preserve"> </w:t>
                </w:r>
                <w:r w:rsidR="001A5014" w:rsidRPr="001A5014">
                  <w:rPr>
                    <w:rStyle w:val="Lienhypertexte"/>
                    <w:rFonts w:hint="eastAsia"/>
                    <w:rtl/>
                  </w:rPr>
                  <w:t>حالة</w:t>
                </w:r>
                <w:r w:rsidR="001A5014" w:rsidRPr="001A5014">
                  <w:rPr>
                    <w:rStyle w:val="Lienhypertexte"/>
                    <w:rtl/>
                  </w:rPr>
                  <w:t xml:space="preserve"> </w:t>
                </w:r>
                <w:r w:rsidR="001A5014" w:rsidRPr="001A5014">
                  <w:rPr>
                    <w:rStyle w:val="Lienhypertexte"/>
                    <w:rFonts w:hint="eastAsia"/>
                    <w:rtl/>
                  </w:rPr>
                  <w:t>الدراسة</w:t>
                </w:r>
                <w:r w:rsidR="001A5014">
                  <w:rPr>
                    <w:rStyle w:val="Lienhypertexte"/>
                    <w:rFonts w:hint="cs"/>
                    <w:rtl/>
                  </w:rPr>
                  <w:t>...............................................................................................</w:t>
                </w:r>
                <w:r w:rsidR="00F4223D">
                  <w:rPr>
                    <w:webHidden/>
                  </w:rPr>
                  <w:tab/>
                </w:r>
                <w:r w:rsidR="00F4223D">
                  <w:rPr>
                    <w:webHidden/>
                  </w:rPr>
                  <w:fldChar w:fldCharType="begin"/>
                </w:r>
                <w:r w:rsidR="00F4223D">
                  <w:rPr>
                    <w:webHidden/>
                  </w:rPr>
                  <w:instrText xml:space="preserve"> PAGEREF _Toc171803566 \h </w:instrText>
                </w:r>
                <w:r w:rsidR="00F4223D">
                  <w:rPr>
                    <w:webHidden/>
                  </w:rPr>
                </w:r>
                <w:r w:rsidR="00F4223D">
                  <w:rPr>
                    <w:webHidden/>
                  </w:rPr>
                  <w:fldChar w:fldCharType="separate"/>
                </w:r>
                <w:r>
                  <w:rPr>
                    <w:webHidden/>
                    <w:rtl/>
                    <w:lang w:bidi="ar-SA"/>
                  </w:rPr>
                  <w:t>111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67" w:history="1">
                <w:r w:rsidR="00F4223D" w:rsidRPr="008D22A6">
                  <w:rPr>
                    <w:rStyle w:val="Lienhypertexte"/>
                    <w:rtl/>
                  </w:rPr>
                  <w:t>2.4.</w:t>
                </w:r>
                <w:r w:rsidR="001A5014" w:rsidRPr="001A5014">
                  <w:rPr>
                    <w:rFonts w:hint="eastAsia"/>
                    <w:rtl/>
                  </w:rPr>
                  <w:t xml:space="preserve"> </w:t>
                </w:r>
                <w:r w:rsidR="001A5014" w:rsidRPr="001A5014">
                  <w:rPr>
                    <w:rStyle w:val="Lienhypertexte"/>
                    <w:rFonts w:hint="eastAsia"/>
                    <w:rtl/>
                  </w:rPr>
                  <w:t>خصائص</w:t>
                </w:r>
                <w:r w:rsidR="001A5014" w:rsidRPr="001A5014">
                  <w:rPr>
                    <w:rStyle w:val="Lienhypertexte"/>
                    <w:rtl/>
                  </w:rPr>
                  <w:t xml:space="preserve"> </w:t>
                </w:r>
                <w:r w:rsidR="001A5014" w:rsidRPr="001A5014">
                  <w:rPr>
                    <w:rStyle w:val="Lienhypertexte"/>
                    <w:rFonts w:hint="eastAsia"/>
                    <w:rtl/>
                  </w:rPr>
                  <w:t>الموقع</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_Toc171803567 \h </w:instrText>
                </w:r>
                <w:r w:rsidR="00F4223D">
                  <w:rPr>
                    <w:webHidden/>
                  </w:rPr>
                </w:r>
                <w:r w:rsidR="00F4223D">
                  <w:rPr>
                    <w:webHidden/>
                  </w:rPr>
                  <w:fldChar w:fldCharType="separate"/>
                </w:r>
                <w:r>
                  <w:rPr>
                    <w:webHidden/>
                    <w:rtl/>
                    <w:lang w:bidi="ar-SA"/>
                  </w:rPr>
                  <w:t>111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69" w:history="1">
                <w:r w:rsidR="00F4223D" w:rsidRPr="008D22A6">
                  <w:rPr>
                    <w:rStyle w:val="Lienhypertexte"/>
                    <w:rtl/>
                  </w:rPr>
                  <w:t>3.4.</w:t>
                </w:r>
                <w:r w:rsidR="001A5014" w:rsidRPr="001A5014">
                  <w:rPr>
                    <w:rFonts w:hint="eastAsia"/>
                    <w:rtl/>
                  </w:rPr>
                  <w:t xml:space="preserve"> </w:t>
                </w:r>
                <w:r w:rsidR="001A5014" w:rsidRPr="001A5014">
                  <w:rPr>
                    <w:rStyle w:val="Lienhypertexte"/>
                    <w:rFonts w:hint="eastAsia"/>
                    <w:rtl/>
                  </w:rPr>
                  <w:t>خصائص</w:t>
                </w:r>
                <w:r w:rsidR="001A5014" w:rsidRPr="001A5014">
                  <w:rPr>
                    <w:rStyle w:val="Lienhypertexte"/>
                    <w:rtl/>
                  </w:rPr>
                  <w:t xml:space="preserve"> </w:t>
                </w:r>
                <w:r w:rsidR="001A5014" w:rsidRPr="001A5014">
                  <w:rPr>
                    <w:rStyle w:val="Lienhypertexte"/>
                    <w:rFonts w:hint="eastAsia"/>
                    <w:rtl/>
                  </w:rPr>
                  <w:t>الموضع</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_Toc171803569 \h </w:instrText>
                </w:r>
                <w:r w:rsidR="00F4223D">
                  <w:rPr>
                    <w:webHidden/>
                  </w:rPr>
                </w:r>
                <w:r w:rsidR="00F4223D">
                  <w:rPr>
                    <w:webHidden/>
                  </w:rPr>
                  <w:fldChar w:fldCharType="separate"/>
                </w:r>
                <w:r>
                  <w:rPr>
                    <w:webHidden/>
                    <w:rtl/>
                    <w:lang w:bidi="ar-SA"/>
                  </w:rPr>
                  <w:t>112</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71" w:history="1">
                <w:r w:rsidR="00F4223D" w:rsidRPr="008D22A6">
                  <w:rPr>
                    <w:rStyle w:val="Lienhypertexte"/>
                    <w:rtl/>
                  </w:rPr>
                  <w:t>4.4.</w:t>
                </w:r>
                <w:r w:rsidR="001A5014" w:rsidRPr="001A5014">
                  <w:rPr>
                    <w:rFonts w:hint="eastAsia"/>
                    <w:rtl/>
                  </w:rPr>
                  <w:t xml:space="preserve"> </w:t>
                </w:r>
                <w:r w:rsidR="001A5014" w:rsidRPr="001A5014">
                  <w:rPr>
                    <w:rStyle w:val="Lienhypertexte"/>
                    <w:rFonts w:hint="eastAsia"/>
                    <w:rtl/>
                  </w:rPr>
                  <w:t>الخصائص</w:t>
                </w:r>
                <w:r w:rsidR="001A5014" w:rsidRPr="001A5014">
                  <w:rPr>
                    <w:rStyle w:val="Lienhypertexte"/>
                    <w:rtl/>
                  </w:rPr>
                  <w:t xml:space="preserve"> </w:t>
                </w:r>
                <w:r w:rsidR="001A5014" w:rsidRPr="001A5014">
                  <w:rPr>
                    <w:rStyle w:val="Lienhypertexte"/>
                    <w:rFonts w:hint="eastAsia"/>
                    <w:rtl/>
                  </w:rPr>
                  <w:t>الطبيعية</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_Toc171803571 \h </w:instrText>
                </w:r>
                <w:r w:rsidR="00F4223D">
                  <w:rPr>
                    <w:webHidden/>
                  </w:rPr>
                </w:r>
                <w:r w:rsidR="00F4223D">
                  <w:rPr>
                    <w:webHidden/>
                  </w:rPr>
                  <w:fldChar w:fldCharType="separate"/>
                </w:r>
                <w:r>
                  <w:rPr>
                    <w:webHidden/>
                    <w:rtl/>
                    <w:lang w:bidi="ar-SA"/>
                  </w:rPr>
                  <w:t>113</w:t>
                </w:r>
                <w:r w:rsidR="00F4223D">
                  <w:rPr>
                    <w:webHidden/>
                  </w:rPr>
                  <w:fldChar w:fldCharType="end"/>
                </w:r>
              </w:hyperlink>
            </w:p>
            <w:p w:rsidR="00F4223D" w:rsidRDefault="00B62F86" w:rsidP="001A5014">
              <w:pPr>
                <w:pStyle w:val="TM2"/>
                <w:spacing w:after="0"/>
                <w:rPr>
                  <w:rFonts w:asciiTheme="minorHAnsi" w:hAnsiTheme="minorHAnsi" w:cstheme="minorBidi"/>
                  <w:lang w:val="fr-FR"/>
                </w:rPr>
              </w:pPr>
              <w:hyperlink w:anchor="_Toc171803572" w:history="1">
                <w:r w:rsidR="00F4223D" w:rsidRPr="008D22A6">
                  <w:rPr>
                    <w:rStyle w:val="Lienhypertexte"/>
                    <w:lang w:bidi="ar-DZ"/>
                  </w:rPr>
                  <w:t>1.4.4.</w:t>
                </w:r>
                <w:r w:rsidR="00F4223D">
                  <w:rPr>
                    <w:rFonts w:asciiTheme="minorHAnsi" w:hAnsiTheme="minorHAnsi" w:cstheme="minorBidi"/>
                    <w:lang w:val="fr-FR"/>
                  </w:rPr>
                  <w:tab/>
                </w:r>
                <w:r w:rsidR="00F4223D" w:rsidRPr="008D22A6">
                  <w:rPr>
                    <w:rStyle w:val="Lienhypertexte"/>
                    <w:rFonts w:hint="eastAsia"/>
                    <w:rtl/>
                    <w:lang w:bidi="ar-DZ"/>
                  </w:rPr>
                  <w:t>خصائص</w:t>
                </w:r>
                <w:r w:rsidR="00F4223D" w:rsidRPr="008D22A6">
                  <w:rPr>
                    <w:rStyle w:val="Lienhypertexte"/>
                    <w:rtl/>
                    <w:lang w:bidi="ar-DZ"/>
                  </w:rPr>
                  <w:t xml:space="preserve"> </w:t>
                </w:r>
                <w:r w:rsidR="00F4223D" w:rsidRPr="008D22A6">
                  <w:rPr>
                    <w:rStyle w:val="Lienhypertexte"/>
                    <w:rFonts w:hint="eastAsia"/>
                    <w:rtl/>
                    <w:lang w:bidi="ar-DZ"/>
                  </w:rPr>
                  <w:t>التضاريس</w:t>
                </w:r>
                <w:r w:rsidR="00F4223D">
                  <w:rPr>
                    <w:webHidden/>
                  </w:rPr>
                  <w:tab/>
                </w:r>
                <w:r w:rsidR="00F4223D">
                  <w:rPr>
                    <w:webHidden/>
                  </w:rPr>
                  <w:fldChar w:fldCharType="begin"/>
                </w:r>
                <w:r w:rsidR="00F4223D">
                  <w:rPr>
                    <w:webHidden/>
                  </w:rPr>
                  <w:instrText xml:space="preserve"> PAGEREF _Toc171803572 \h </w:instrText>
                </w:r>
                <w:r w:rsidR="00F4223D">
                  <w:rPr>
                    <w:webHidden/>
                  </w:rPr>
                </w:r>
                <w:r w:rsidR="00F4223D">
                  <w:rPr>
                    <w:webHidden/>
                  </w:rPr>
                  <w:fldChar w:fldCharType="separate"/>
                </w:r>
                <w:r>
                  <w:rPr>
                    <w:webHidden/>
                    <w:rtl/>
                  </w:rPr>
                  <w:t>113</w:t>
                </w:r>
                <w:r w:rsidR="00F4223D">
                  <w:rPr>
                    <w:webHidden/>
                  </w:rPr>
                  <w:fldChar w:fldCharType="end"/>
                </w:r>
              </w:hyperlink>
            </w:p>
            <w:p w:rsidR="00F4223D" w:rsidRDefault="00B62F86" w:rsidP="003A089F">
              <w:pPr>
                <w:pStyle w:val="TM3"/>
              </w:pPr>
              <w:hyperlink w:anchor="_Toc171803573" w:history="1">
                <w:r w:rsidR="00F4223D" w:rsidRPr="008D22A6">
                  <w:rPr>
                    <w:rStyle w:val="Lienhypertexte"/>
                    <w:rtl/>
                    <w:lang w:val="en-US"/>
                  </w:rPr>
                  <w:t>1.1.4.4.</w:t>
                </w:r>
                <w:r w:rsidR="00F4223D">
                  <w:tab/>
                </w:r>
                <w:r w:rsidR="00F4223D" w:rsidRPr="008D22A6">
                  <w:rPr>
                    <w:rStyle w:val="Lienhypertexte"/>
                    <w:rFonts w:hint="eastAsia"/>
                    <w:rtl/>
                    <w:lang w:val="en-US"/>
                  </w:rPr>
                  <w:t>الارتفاعات</w:t>
                </w:r>
                <w:r w:rsidR="00F4223D" w:rsidRPr="008D22A6">
                  <w:rPr>
                    <w:rStyle w:val="Lienhypertexte"/>
                    <w:rtl/>
                    <w:lang w:val="en-US"/>
                  </w:rPr>
                  <w:t xml:space="preserve"> </w:t>
                </w:r>
                <w:r w:rsidR="00F4223D" w:rsidRPr="008D22A6">
                  <w:rPr>
                    <w:rStyle w:val="Lienhypertexte"/>
                    <w:rFonts w:hint="eastAsia"/>
                    <w:rtl/>
                    <w:lang w:val="en-US"/>
                  </w:rPr>
                  <w:t>و</w:t>
                </w:r>
                <w:r w:rsidR="00F4223D" w:rsidRPr="008D22A6">
                  <w:rPr>
                    <w:rStyle w:val="Lienhypertexte"/>
                    <w:rtl/>
                    <w:lang w:val="en-US"/>
                  </w:rPr>
                  <w:t xml:space="preserve"> </w:t>
                </w:r>
                <w:r w:rsidR="00F4223D" w:rsidRPr="008D22A6">
                  <w:rPr>
                    <w:rStyle w:val="Lienhypertexte"/>
                    <w:rFonts w:hint="eastAsia"/>
                    <w:rtl/>
                    <w:lang w:val="en-US"/>
                  </w:rPr>
                  <w:t>الكثبان</w:t>
                </w:r>
                <w:r w:rsidR="00F4223D" w:rsidRPr="008D22A6">
                  <w:rPr>
                    <w:rStyle w:val="Lienhypertexte"/>
                    <w:rtl/>
                    <w:lang w:val="en-US"/>
                  </w:rPr>
                  <w:t xml:space="preserve"> </w:t>
                </w:r>
                <w:r w:rsidR="00F4223D" w:rsidRPr="008D22A6">
                  <w:rPr>
                    <w:rStyle w:val="Lienhypertexte"/>
                    <w:rFonts w:hint="eastAsia"/>
                    <w:rtl/>
                    <w:lang w:val="en-US"/>
                  </w:rPr>
                  <w:t>الرملية</w:t>
                </w:r>
                <w:r w:rsidR="00F4223D">
                  <w:rPr>
                    <w:webHidden/>
                  </w:rPr>
                  <w:tab/>
                </w:r>
                <w:r w:rsidR="00F4223D">
                  <w:rPr>
                    <w:webHidden/>
                  </w:rPr>
                  <w:fldChar w:fldCharType="begin"/>
                </w:r>
                <w:r w:rsidR="00F4223D">
                  <w:rPr>
                    <w:webHidden/>
                  </w:rPr>
                  <w:instrText xml:space="preserve"> PAGEREF _Toc171803573 \h </w:instrText>
                </w:r>
                <w:r w:rsidR="00F4223D">
                  <w:rPr>
                    <w:webHidden/>
                  </w:rPr>
                </w:r>
                <w:r w:rsidR="00F4223D">
                  <w:rPr>
                    <w:webHidden/>
                  </w:rPr>
                  <w:fldChar w:fldCharType="separate"/>
                </w:r>
                <w:r>
                  <w:rPr>
                    <w:webHidden/>
                    <w:rtl/>
                    <w:lang w:bidi="ar-SA"/>
                  </w:rPr>
                  <w:t>113</w:t>
                </w:r>
                <w:r w:rsidR="00F4223D">
                  <w:rPr>
                    <w:webHidden/>
                  </w:rPr>
                  <w:fldChar w:fldCharType="end"/>
                </w:r>
              </w:hyperlink>
            </w:p>
            <w:p w:rsidR="00F4223D" w:rsidRDefault="00B62F86" w:rsidP="003A089F">
              <w:pPr>
                <w:pStyle w:val="TM3"/>
              </w:pPr>
              <w:hyperlink w:anchor="_Toc171803575" w:history="1">
                <w:r w:rsidR="00F4223D" w:rsidRPr="008D22A6">
                  <w:rPr>
                    <w:rStyle w:val="Lienhypertexte"/>
                    <w:lang w:val="en-US"/>
                  </w:rPr>
                  <w:t>2.1.4.4.</w:t>
                </w:r>
                <w:r w:rsidR="00F4223D">
                  <w:tab/>
                </w:r>
                <w:r w:rsidR="00F4223D" w:rsidRPr="008D22A6">
                  <w:rPr>
                    <w:rStyle w:val="Lienhypertexte"/>
                    <w:rFonts w:hint="eastAsia"/>
                    <w:rtl/>
                    <w:lang w:val="en-US"/>
                  </w:rPr>
                  <w:t>المنخفضات</w:t>
                </w:r>
                <w:r w:rsidR="00F4223D" w:rsidRPr="008D22A6">
                  <w:rPr>
                    <w:rStyle w:val="Lienhypertexte"/>
                    <w:rtl/>
                    <w:lang w:val="en-US"/>
                  </w:rPr>
                  <w:t xml:space="preserve"> </w:t>
                </w:r>
                <w:r w:rsidR="00F4223D" w:rsidRPr="008D22A6">
                  <w:rPr>
                    <w:rStyle w:val="Lienhypertexte"/>
                    <w:rFonts w:hint="eastAsia"/>
                    <w:rtl/>
                    <w:lang w:val="en-US"/>
                  </w:rPr>
                  <w:t>و</w:t>
                </w:r>
                <w:r w:rsidR="00F4223D" w:rsidRPr="008D22A6">
                  <w:rPr>
                    <w:rStyle w:val="Lienhypertexte"/>
                    <w:rtl/>
                    <w:lang w:val="en-US"/>
                  </w:rPr>
                  <w:t xml:space="preserve"> </w:t>
                </w:r>
                <w:r w:rsidR="00F4223D" w:rsidRPr="008D22A6">
                  <w:rPr>
                    <w:rStyle w:val="Lienhypertexte"/>
                    <w:rFonts w:hint="eastAsia"/>
                    <w:rtl/>
                    <w:lang w:val="en-US"/>
                  </w:rPr>
                  <w:t>السهول</w:t>
                </w:r>
                <w:r w:rsidR="00F4223D">
                  <w:rPr>
                    <w:webHidden/>
                  </w:rPr>
                  <w:tab/>
                </w:r>
                <w:r w:rsidR="00F4223D">
                  <w:rPr>
                    <w:webHidden/>
                  </w:rPr>
                  <w:fldChar w:fldCharType="begin"/>
                </w:r>
                <w:r w:rsidR="00F4223D">
                  <w:rPr>
                    <w:webHidden/>
                  </w:rPr>
                  <w:instrText xml:space="preserve"> PAGEREF _Toc171803575 \h </w:instrText>
                </w:r>
                <w:r w:rsidR="00F4223D">
                  <w:rPr>
                    <w:webHidden/>
                  </w:rPr>
                </w:r>
                <w:r w:rsidR="00F4223D">
                  <w:rPr>
                    <w:webHidden/>
                  </w:rPr>
                  <w:fldChar w:fldCharType="separate"/>
                </w:r>
                <w:r>
                  <w:rPr>
                    <w:webHidden/>
                    <w:rtl/>
                    <w:lang w:bidi="ar-SA"/>
                  </w:rPr>
                  <w:t>114</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76" w:history="1">
                <w:r w:rsidR="00F4223D" w:rsidRPr="008D22A6">
                  <w:rPr>
                    <w:rStyle w:val="Lienhypertexte"/>
                    <w:rtl/>
                  </w:rPr>
                  <w:t>5.4.</w:t>
                </w:r>
                <w:r w:rsidR="001A5014" w:rsidRPr="001A5014">
                  <w:rPr>
                    <w:rFonts w:hint="eastAsia"/>
                    <w:rtl/>
                  </w:rPr>
                  <w:t xml:space="preserve"> </w:t>
                </w:r>
                <w:r w:rsidR="001A5014" w:rsidRPr="001A5014">
                  <w:rPr>
                    <w:rStyle w:val="Lienhypertexte"/>
                    <w:rFonts w:hint="eastAsia"/>
                    <w:rtl/>
                  </w:rPr>
                  <w:t>الخصائص</w:t>
                </w:r>
                <w:r w:rsidR="001A5014" w:rsidRPr="001A5014">
                  <w:rPr>
                    <w:rStyle w:val="Lienhypertexte"/>
                    <w:rtl/>
                  </w:rPr>
                  <w:t xml:space="preserve"> </w:t>
                </w:r>
                <w:r w:rsidR="001A5014" w:rsidRPr="001A5014">
                  <w:rPr>
                    <w:rStyle w:val="Lienhypertexte"/>
                    <w:rFonts w:hint="eastAsia"/>
                    <w:rtl/>
                  </w:rPr>
                  <w:t>الجيولوجية</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_Toc171803576 \h </w:instrText>
                </w:r>
                <w:r w:rsidR="00F4223D">
                  <w:rPr>
                    <w:webHidden/>
                  </w:rPr>
                </w:r>
                <w:r w:rsidR="00F4223D">
                  <w:rPr>
                    <w:webHidden/>
                  </w:rPr>
                  <w:fldChar w:fldCharType="separate"/>
                </w:r>
                <w:r>
                  <w:rPr>
                    <w:webHidden/>
                    <w:rtl/>
                    <w:lang w:bidi="ar-SA"/>
                  </w:rPr>
                  <w:t>115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78" w:history="1">
                <w:r w:rsidR="00F4223D" w:rsidRPr="008D22A6">
                  <w:rPr>
                    <w:rStyle w:val="Lienhypertexte"/>
                  </w:rPr>
                  <w:t>6.4.</w:t>
                </w:r>
                <w:r w:rsidR="001A5014" w:rsidRPr="001A5014">
                  <w:rPr>
                    <w:rFonts w:hint="eastAsia"/>
                    <w:rtl/>
                  </w:rPr>
                  <w:t xml:space="preserve"> </w:t>
                </w:r>
                <w:r w:rsidR="001A5014" w:rsidRPr="001A5014">
                  <w:rPr>
                    <w:rStyle w:val="Lienhypertexte"/>
                    <w:rFonts w:hint="eastAsia"/>
                    <w:rtl/>
                  </w:rPr>
                  <w:t>خصائص</w:t>
                </w:r>
                <w:r w:rsidR="001A5014" w:rsidRPr="001A5014">
                  <w:rPr>
                    <w:rStyle w:val="Lienhypertexte"/>
                    <w:rtl/>
                  </w:rPr>
                  <w:t xml:space="preserve"> </w:t>
                </w:r>
                <w:r w:rsidR="001A5014" w:rsidRPr="001A5014">
                  <w:rPr>
                    <w:rStyle w:val="Lienhypertexte"/>
                    <w:rFonts w:hint="eastAsia"/>
                    <w:rtl/>
                  </w:rPr>
                  <w:t>الشبكة</w:t>
                </w:r>
                <w:r w:rsidR="001A5014" w:rsidRPr="001A5014">
                  <w:rPr>
                    <w:rStyle w:val="Lienhypertexte"/>
                    <w:rtl/>
                  </w:rPr>
                  <w:t xml:space="preserve"> </w:t>
                </w:r>
                <w:r w:rsidR="001A5014" w:rsidRPr="001A5014">
                  <w:rPr>
                    <w:rStyle w:val="Lienhypertexte"/>
                    <w:rFonts w:hint="eastAsia"/>
                    <w:rtl/>
                  </w:rPr>
                  <w:t>الهيدروغرافية</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_Toc171803578 \h </w:instrText>
                </w:r>
                <w:r w:rsidR="00F4223D">
                  <w:rPr>
                    <w:webHidden/>
                  </w:rPr>
                </w:r>
                <w:r w:rsidR="00F4223D">
                  <w:rPr>
                    <w:webHidden/>
                  </w:rPr>
                  <w:fldChar w:fldCharType="separate"/>
                </w:r>
                <w:r>
                  <w:rPr>
                    <w:webHidden/>
                    <w:rtl/>
                    <w:lang w:bidi="ar-SA"/>
                  </w:rPr>
                  <w:t>116</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81" w:history="1">
                <w:r w:rsidR="00F4223D" w:rsidRPr="008D22A6">
                  <w:rPr>
                    <w:rStyle w:val="Lienhypertexte"/>
                    <w:rtl/>
                  </w:rPr>
                  <w:t>7.4.</w:t>
                </w:r>
                <w:r w:rsidR="001A5014" w:rsidRPr="001A5014">
                  <w:rPr>
                    <w:rFonts w:hint="eastAsia"/>
                    <w:rtl/>
                  </w:rPr>
                  <w:t xml:space="preserve"> </w:t>
                </w:r>
                <w:r w:rsidR="001A5014" w:rsidRPr="001A5014">
                  <w:rPr>
                    <w:rStyle w:val="Lienhypertexte"/>
                    <w:rFonts w:hint="eastAsia"/>
                    <w:rtl/>
                  </w:rPr>
                  <w:t>الخصائص</w:t>
                </w:r>
                <w:r w:rsidR="001A5014" w:rsidRPr="001A5014">
                  <w:rPr>
                    <w:rStyle w:val="Lienhypertexte"/>
                    <w:rtl/>
                  </w:rPr>
                  <w:t xml:space="preserve"> </w:t>
                </w:r>
                <w:r w:rsidR="001A5014" w:rsidRPr="001A5014">
                  <w:rPr>
                    <w:rStyle w:val="Lienhypertexte"/>
                    <w:rFonts w:hint="eastAsia"/>
                    <w:rtl/>
                  </w:rPr>
                  <w:t>المناخية</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_Toc171803581 \h </w:instrText>
                </w:r>
                <w:r w:rsidR="00F4223D">
                  <w:rPr>
                    <w:webHidden/>
                  </w:rPr>
                </w:r>
                <w:r w:rsidR="00F4223D">
                  <w:rPr>
                    <w:webHidden/>
                  </w:rPr>
                  <w:fldChar w:fldCharType="separate"/>
                </w:r>
                <w:r>
                  <w:rPr>
                    <w:webHidden/>
                    <w:rtl/>
                    <w:lang w:bidi="ar-SA"/>
                  </w:rPr>
                  <w:t>116</w:t>
                </w:r>
                <w:r w:rsidR="00F4223D">
                  <w:rPr>
                    <w:webHidden/>
                  </w:rPr>
                  <w:fldChar w:fldCharType="end"/>
                </w:r>
              </w:hyperlink>
            </w:p>
            <w:p w:rsidR="00F4223D" w:rsidRDefault="00B62F86" w:rsidP="001A5014">
              <w:pPr>
                <w:pStyle w:val="TM2"/>
                <w:spacing w:after="0"/>
                <w:rPr>
                  <w:rFonts w:asciiTheme="minorHAnsi" w:hAnsiTheme="minorHAnsi" w:cstheme="minorBidi"/>
                  <w:lang w:val="fr-FR"/>
                </w:rPr>
              </w:pPr>
              <w:hyperlink w:anchor="_Toc171803582" w:history="1">
                <w:r w:rsidR="00F4223D" w:rsidRPr="008D22A6">
                  <w:rPr>
                    <w:rStyle w:val="Lienhypertexte"/>
                    <w:lang w:bidi="ar-DZ"/>
                  </w:rPr>
                  <w:t>1.7.4.</w:t>
                </w:r>
                <w:r w:rsidR="00F4223D">
                  <w:rPr>
                    <w:rFonts w:asciiTheme="minorHAnsi" w:hAnsiTheme="minorHAnsi" w:cstheme="minorBidi"/>
                    <w:lang w:val="fr-FR"/>
                  </w:rPr>
                  <w:tab/>
                </w:r>
                <w:r w:rsidR="00F4223D" w:rsidRPr="008D22A6">
                  <w:rPr>
                    <w:rStyle w:val="Lienhypertexte"/>
                    <w:rFonts w:hint="eastAsia"/>
                    <w:rtl/>
                    <w:lang w:bidi="ar-DZ"/>
                  </w:rPr>
                  <w:t>الرياح</w:t>
                </w:r>
                <w:r w:rsidR="001A5014">
                  <w:rPr>
                    <w:rStyle w:val="Lienhypertexte"/>
                    <w:rFonts w:hint="cs"/>
                    <w:rtl/>
                    <w:lang w:bidi="ar-DZ"/>
                  </w:rPr>
                  <w:t>....</w:t>
                </w:r>
                <w:r w:rsidR="00F4223D">
                  <w:rPr>
                    <w:webHidden/>
                  </w:rPr>
                  <w:tab/>
                </w:r>
                <w:r w:rsidR="00F4223D">
                  <w:rPr>
                    <w:webHidden/>
                  </w:rPr>
                  <w:fldChar w:fldCharType="begin"/>
                </w:r>
                <w:r w:rsidR="00F4223D">
                  <w:rPr>
                    <w:webHidden/>
                  </w:rPr>
                  <w:instrText xml:space="preserve"> PAGEREF _Toc171803582 \h </w:instrText>
                </w:r>
                <w:r w:rsidR="00F4223D">
                  <w:rPr>
                    <w:webHidden/>
                  </w:rPr>
                </w:r>
                <w:r w:rsidR="00F4223D">
                  <w:rPr>
                    <w:webHidden/>
                  </w:rPr>
                  <w:fldChar w:fldCharType="separate"/>
                </w:r>
                <w:r>
                  <w:rPr>
                    <w:webHidden/>
                    <w:rtl/>
                  </w:rPr>
                  <w:t>117</w:t>
                </w:r>
                <w:r w:rsidR="00F4223D">
                  <w:rPr>
                    <w:webHidden/>
                  </w:rPr>
                  <w:fldChar w:fldCharType="end"/>
                </w:r>
              </w:hyperlink>
            </w:p>
            <w:p w:rsidR="00F4223D" w:rsidRDefault="00B62F86" w:rsidP="001A5014">
              <w:pPr>
                <w:pStyle w:val="TM2"/>
                <w:spacing w:after="0"/>
                <w:rPr>
                  <w:rFonts w:asciiTheme="minorHAnsi" w:hAnsiTheme="minorHAnsi" w:cstheme="minorBidi"/>
                  <w:lang w:val="fr-FR"/>
                </w:rPr>
              </w:pPr>
              <w:hyperlink w:anchor="_Toc171803584" w:history="1">
                <w:r w:rsidR="00F4223D" w:rsidRPr="008D22A6">
                  <w:rPr>
                    <w:rStyle w:val="Lienhypertexte"/>
                    <w:lang w:bidi="ar-DZ"/>
                  </w:rPr>
                  <w:t>2.7.4.</w:t>
                </w:r>
                <w:r w:rsidR="00F4223D">
                  <w:rPr>
                    <w:rFonts w:asciiTheme="minorHAnsi" w:hAnsiTheme="minorHAnsi" w:cstheme="minorBidi"/>
                    <w:lang w:val="fr-FR"/>
                  </w:rPr>
                  <w:tab/>
                </w:r>
                <w:r w:rsidR="00F4223D" w:rsidRPr="008D22A6">
                  <w:rPr>
                    <w:rStyle w:val="Lienhypertexte"/>
                    <w:rFonts w:hint="eastAsia"/>
                    <w:rtl/>
                    <w:lang w:bidi="ar-DZ"/>
                  </w:rPr>
                  <w:t>التساقط</w:t>
                </w:r>
                <w:r w:rsidR="001A5014">
                  <w:rPr>
                    <w:rStyle w:val="Lienhypertexte"/>
                    <w:rFonts w:hint="cs"/>
                    <w:rtl/>
                    <w:lang w:bidi="ar-DZ"/>
                  </w:rPr>
                  <w:t>..</w:t>
                </w:r>
                <w:r w:rsidR="00F4223D">
                  <w:rPr>
                    <w:webHidden/>
                  </w:rPr>
                  <w:tab/>
                </w:r>
                <w:r w:rsidR="00F4223D">
                  <w:rPr>
                    <w:webHidden/>
                  </w:rPr>
                  <w:fldChar w:fldCharType="begin"/>
                </w:r>
                <w:r w:rsidR="00F4223D">
                  <w:rPr>
                    <w:webHidden/>
                  </w:rPr>
                  <w:instrText xml:space="preserve"> PAGEREF _Toc171803584 \h </w:instrText>
                </w:r>
                <w:r w:rsidR="00F4223D">
                  <w:rPr>
                    <w:webHidden/>
                  </w:rPr>
                </w:r>
                <w:r w:rsidR="00F4223D">
                  <w:rPr>
                    <w:webHidden/>
                  </w:rPr>
                  <w:fldChar w:fldCharType="separate"/>
                </w:r>
                <w:r>
                  <w:rPr>
                    <w:webHidden/>
                    <w:rtl/>
                  </w:rPr>
                  <w:t>117</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586" w:history="1">
                <w:r w:rsidR="00F4223D" w:rsidRPr="008D22A6">
                  <w:rPr>
                    <w:rStyle w:val="Lienhypertexte"/>
                    <w:rtl/>
                  </w:rPr>
                  <w:t>8.4.</w:t>
                </w:r>
                <w:r w:rsidR="001A5014" w:rsidRPr="001A5014">
                  <w:rPr>
                    <w:rFonts w:hint="eastAsia"/>
                    <w:rtl/>
                  </w:rPr>
                  <w:t xml:space="preserve"> </w:t>
                </w:r>
                <w:r w:rsidR="001A5014" w:rsidRPr="001A5014">
                  <w:rPr>
                    <w:rStyle w:val="Lienhypertexte"/>
                    <w:rFonts w:hint="eastAsia"/>
                    <w:rtl/>
                  </w:rPr>
                  <w:t>الخصائص</w:t>
                </w:r>
                <w:r w:rsidR="001A5014" w:rsidRPr="001A5014">
                  <w:rPr>
                    <w:rStyle w:val="Lienhypertexte"/>
                    <w:rtl/>
                  </w:rPr>
                  <w:t xml:space="preserve"> </w:t>
                </w:r>
                <w:r w:rsidR="001A5014" w:rsidRPr="001A5014">
                  <w:rPr>
                    <w:rStyle w:val="Lienhypertexte"/>
                    <w:rFonts w:hint="eastAsia"/>
                    <w:rtl/>
                  </w:rPr>
                  <w:t>السكانية</w:t>
                </w:r>
                <w:r w:rsidR="001A5014" w:rsidRPr="001A5014">
                  <w:rPr>
                    <w:rStyle w:val="Lienhypertexte"/>
                    <w:rtl/>
                  </w:rPr>
                  <w:t xml:space="preserve"> </w:t>
                </w:r>
                <w:r w:rsidR="001A5014" w:rsidRPr="001A5014">
                  <w:rPr>
                    <w:rStyle w:val="Lienhypertexte"/>
                    <w:rFonts w:hint="eastAsia"/>
                    <w:rtl/>
                  </w:rPr>
                  <w:t>والسوسيو</w:t>
                </w:r>
                <w:r w:rsidR="001A5014" w:rsidRPr="001A5014">
                  <w:rPr>
                    <w:rStyle w:val="Lienhypertexte"/>
                    <w:rtl/>
                  </w:rPr>
                  <w:t>-</w:t>
                </w:r>
                <w:r w:rsidR="001A5014" w:rsidRPr="001A5014">
                  <w:rPr>
                    <w:rStyle w:val="Lienhypertexte"/>
                    <w:rFonts w:hint="eastAsia"/>
                    <w:rtl/>
                  </w:rPr>
                  <w:t>اقتصادية</w:t>
                </w:r>
                <w:r w:rsidR="001A5014" w:rsidRPr="001A5014">
                  <w:rPr>
                    <w:rStyle w:val="Lienhypertexte"/>
                    <w:rtl/>
                  </w:rPr>
                  <w:t xml:space="preserve"> </w:t>
                </w:r>
                <w:r w:rsidR="001A5014" w:rsidRPr="001A5014">
                  <w:rPr>
                    <w:rStyle w:val="Lienhypertexte"/>
                    <w:rFonts w:hint="eastAsia"/>
                    <w:rtl/>
                  </w:rPr>
                  <w:t>و</w:t>
                </w:r>
                <w:r w:rsidR="001A5014" w:rsidRPr="001A5014">
                  <w:rPr>
                    <w:rStyle w:val="Lienhypertexte"/>
                    <w:rtl/>
                  </w:rPr>
                  <w:t xml:space="preserve"> </w:t>
                </w:r>
                <w:r w:rsidR="001A5014" w:rsidRPr="001A5014">
                  <w:rPr>
                    <w:rStyle w:val="Lienhypertexte"/>
                    <w:rFonts w:hint="eastAsia"/>
                    <w:rtl/>
                  </w:rPr>
                  <w:t>نشأة</w:t>
                </w:r>
                <w:r w:rsidR="001A5014" w:rsidRPr="001A5014">
                  <w:rPr>
                    <w:rStyle w:val="Lienhypertexte"/>
                    <w:rtl/>
                  </w:rPr>
                  <w:t xml:space="preserve"> </w:t>
                </w:r>
                <w:r w:rsidR="001A5014" w:rsidRPr="001A5014">
                  <w:rPr>
                    <w:rStyle w:val="Lienhypertexte"/>
                    <w:rFonts w:hint="eastAsia"/>
                    <w:rtl/>
                  </w:rPr>
                  <w:t>الفيضانات</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_Toc171803586 \h </w:instrText>
                </w:r>
                <w:r w:rsidR="00F4223D">
                  <w:rPr>
                    <w:webHidden/>
                  </w:rPr>
                </w:r>
                <w:r w:rsidR="00F4223D">
                  <w:rPr>
                    <w:webHidden/>
                  </w:rPr>
                  <w:fldChar w:fldCharType="separate"/>
                </w:r>
                <w:r>
                  <w:rPr>
                    <w:webHidden/>
                    <w:rtl/>
                    <w:lang w:bidi="ar-SA"/>
                  </w:rPr>
                  <w:t>118</w:t>
                </w:r>
                <w:r w:rsidR="00F4223D">
                  <w:rPr>
                    <w:webHidden/>
                  </w:rPr>
                  <w:fldChar w:fldCharType="end"/>
                </w:r>
              </w:hyperlink>
            </w:p>
            <w:p w:rsidR="00F4223D" w:rsidRDefault="00B62F86" w:rsidP="001A5014">
              <w:pPr>
                <w:pStyle w:val="TM2"/>
                <w:spacing w:after="0"/>
                <w:rPr>
                  <w:rFonts w:asciiTheme="minorHAnsi" w:hAnsiTheme="minorHAnsi" w:cstheme="minorBidi"/>
                  <w:lang w:val="fr-FR"/>
                </w:rPr>
              </w:pPr>
              <w:hyperlink w:anchor="_Toc171803589" w:history="1">
                <w:r w:rsidR="00F4223D" w:rsidRPr="008D22A6">
                  <w:rPr>
                    <w:rStyle w:val="Lienhypertexte"/>
                    <w:rtl/>
                    <w:lang w:bidi="ar-DZ"/>
                  </w:rPr>
                  <w:t>1.8.4.</w:t>
                </w:r>
                <w:r w:rsidR="00F4223D">
                  <w:rPr>
                    <w:rFonts w:asciiTheme="minorHAnsi" w:hAnsiTheme="minorHAnsi" w:cstheme="minorBidi"/>
                    <w:lang w:val="fr-FR"/>
                  </w:rPr>
                  <w:tab/>
                </w:r>
                <w:r w:rsidR="00F4223D" w:rsidRPr="008D22A6">
                  <w:rPr>
                    <w:rStyle w:val="Lienhypertexte"/>
                    <w:rFonts w:hint="eastAsia"/>
                    <w:rtl/>
                    <w:lang w:bidi="ar-DZ"/>
                  </w:rPr>
                  <w:t>دراسة</w:t>
                </w:r>
                <w:r w:rsidR="00F4223D" w:rsidRPr="008D22A6">
                  <w:rPr>
                    <w:rStyle w:val="Lienhypertexte"/>
                    <w:rtl/>
                    <w:lang w:bidi="ar-DZ"/>
                  </w:rPr>
                  <w:t xml:space="preserve"> </w:t>
                </w:r>
                <w:r w:rsidR="00F4223D" w:rsidRPr="008D22A6">
                  <w:rPr>
                    <w:rStyle w:val="Lienhypertexte"/>
                    <w:rFonts w:hint="eastAsia"/>
                    <w:rtl/>
                    <w:lang w:bidi="ar-DZ"/>
                  </w:rPr>
                  <w:t>المعطيات</w:t>
                </w:r>
                <w:r w:rsidR="00F4223D" w:rsidRPr="008D22A6">
                  <w:rPr>
                    <w:rStyle w:val="Lienhypertexte"/>
                    <w:rtl/>
                    <w:lang w:bidi="ar-DZ"/>
                  </w:rPr>
                  <w:t xml:space="preserve"> </w:t>
                </w:r>
                <w:r w:rsidR="00F4223D" w:rsidRPr="008D22A6">
                  <w:rPr>
                    <w:rStyle w:val="Lienhypertexte"/>
                    <w:rFonts w:hint="eastAsia"/>
                    <w:rtl/>
                    <w:lang w:bidi="ar-DZ"/>
                  </w:rPr>
                  <w:t>السكانية</w:t>
                </w:r>
                <w:r w:rsidR="00F4223D">
                  <w:rPr>
                    <w:webHidden/>
                  </w:rPr>
                  <w:tab/>
                </w:r>
                <w:r w:rsidR="00F4223D">
                  <w:rPr>
                    <w:webHidden/>
                  </w:rPr>
                  <w:fldChar w:fldCharType="begin"/>
                </w:r>
                <w:r w:rsidR="00F4223D">
                  <w:rPr>
                    <w:webHidden/>
                  </w:rPr>
                  <w:instrText xml:space="preserve"> PAGEREF _Toc171803589 \h </w:instrText>
                </w:r>
                <w:r w:rsidR="00F4223D">
                  <w:rPr>
                    <w:webHidden/>
                  </w:rPr>
                </w:r>
                <w:r w:rsidR="00F4223D">
                  <w:rPr>
                    <w:webHidden/>
                  </w:rPr>
                  <w:fldChar w:fldCharType="separate"/>
                </w:r>
                <w:r>
                  <w:rPr>
                    <w:webHidden/>
                    <w:rtl/>
                  </w:rPr>
                  <w:t>119</w:t>
                </w:r>
                <w:r w:rsidR="00F4223D">
                  <w:rPr>
                    <w:webHidden/>
                  </w:rPr>
                  <w:fldChar w:fldCharType="end"/>
                </w:r>
              </w:hyperlink>
            </w:p>
            <w:p w:rsidR="00F4223D" w:rsidRDefault="00B62F86" w:rsidP="003A089F">
              <w:pPr>
                <w:pStyle w:val="TM3"/>
              </w:pPr>
              <w:hyperlink w:anchor="_Toc171803591" w:history="1">
                <w:r w:rsidR="00F4223D" w:rsidRPr="008D22A6">
                  <w:rPr>
                    <w:rStyle w:val="Lienhypertexte"/>
                    <w:lang w:val="en-US"/>
                  </w:rPr>
                  <w:t>1.1.8.4.</w:t>
                </w:r>
                <w:r w:rsidR="00F4223D">
                  <w:tab/>
                </w:r>
                <w:r w:rsidR="00F4223D" w:rsidRPr="008D22A6">
                  <w:rPr>
                    <w:rStyle w:val="Lienhypertexte"/>
                    <w:rFonts w:hint="eastAsia"/>
                    <w:rtl/>
                    <w:lang w:val="en-US"/>
                  </w:rPr>
                  <w:t>كثافة</w:t>
                </w:r>
                <w:r w:rsidR="00F4223D" w:rsidRPr="008D22A6">
                  <w:rPr>
                    <w:rStyle w:val="Lienhypertexte"/>
                    <w:rtl/>
                    <w:lang w:val="en-US"/>
                  </w:rPr>
                  <w:t xml:space="preserve"> </w:t>
                </w:r>
                <w:r w:rsidR="00F4223D" w:rsidRPr="008D22A6">
                  <w:rPr>
                    <w:rStyle w:val="Lienhypertexte"/>
                    <w:rFonts w:hint="eastAsia"/>
                    <w:rtl/>
                    <w:lang w:val="en-US"/>
                  </w:rPr>
                  <w:t>التوزيع</w:t>
                </w:r>
                <w:r w:rsidR="00F4223D" w:rsidRPr="008D22A6">
                  <w:rPr>
                    <w:rStyle w:val="Lienhypertexte"/>
                    <w:rtl/>
                    <w:lang w:val="en-US"/>
                  </w:rPr>
                  <w:t xml:space="preserve"> </w:t>
                </w:r>
                <w:r w:rsidR="00F4223D" w:rsidRPr="008D22A6">
                  <w:rPr>
                    <w:rStyle w:val="Lienhypertexte"/>
                    <w:rFonts w:hint="eastAsia"/>
                    <w:rtl/>
                    <w:lang w:val="en-US"/>
                  </w:rPr>
                  <w:t>المكاني</w:t>
                </w:r>
                <w:r w:rsidR="00F4223D" w:rsidRPr="008D22A6">
                  <w:rPr>
                    <w:rStyle w:val="Lienhypertexte"/>
                    <w:rtl/>
                    <w:lang w:val="en-US"/>
                  </w:rPr>
                  <w:t xml:space="preserve"> </w:t>
                </w:r>
                <w:r w:rsidR="00F4223D" w:rsidRPr="008D22A6">
                  <w:rPr>
                    <w:rStyle w:val="Lienhypertexte"/>
                    <w:rFonts w:hint="eastAsia"/>
                    <w:rtl/>
                    <w:lang w:val="en-US"/>
                  </w:rPr>
                  <w:t>للسكن</w:t>
                </w:r>
                <w:r w:rsidR="00F4223D">
                  <w:rPr>
                    <w:webHidden/>
                  </w:rPr>
                  <w:tab/>
                </w:r>
                <w:r w:rsidR="00F4223D">
                  <w:rPr>
                    <w:webHidden/>
                  </w:rPr>
                  <w:fldChar w:fldCharType="begin"/>
                </w:r>
                <w:r w:rsidR="00F4223D">
                  <w:rPr>
                    <w:webHidden/>
                  </w:rPr>
                  <w:instrText xml:space="preserve"> PAGEREF _Toc171803591 \h </w:instrText>
                </w:r>
                <w:r w:rsidR="00F4223D">
                  <w:rPr>
                    <w:webHidden/>
                  </w:rPr>
                </w:r>
                <w:r w:rsidR="00F4223D">
                  <w:rPr>
                    <w:webHidden/>
                  </w:rPr>
                  <w:fldChar w:fldCharType="separate"/>
                </w:r>
                <w:r>
                  <w:rPr>
                    <w:webHidden/>
                    <w:rtl/>
                    <w:lang w:bidi="ar-SA"/>
                  </w:rPr>
                  <w:t>120</w:t>
                </w:r>
                <w:r w:rsidR="00F4223D">
                  <w:rPr>
                    <w:webHidden/>
                  </w:rPr>
                  <w:fldChar w:fldCharType="end"/>
                </w:r>
              </w:hyperlink>
            </w:p>
            <w:p w:rsidR="00F4223D" w:rsidRDefault="00B62F86" w:rsidP="003A089F">
              <w:pPr>
                <w:pStyle w:val="TM3"/>
              </w:pPr>
              <w:hyperlink w:anchor="_Toc171803595" w:history="1">
                <w:r w:rsidR="00F4223D" w:rsidRPr="008D22A6">
                  <w:rPr>
                    <w:rStyle w:val="Lienhypertexte"/>
                    <w:lang w:val="en-US"/>
                  </w:rPr>
                  <w:t>2.1.8.4.</w:t>
                </w:r>
                <w:r w:rsidR="00F4223D">
                  <w:tab/>
                </w:r>
                <w:r w:rsidR="00F4223D" w:rsidRPr="008D22A6">
                  <w:rPr>
                    <w:rStyle w:val="Lienhypertexte"/>
                    <w:rFonts w:hint="eastAsia"/>
                    <w:rtl/>
                    <w:lang w:val="en-US"/>
                  </w:rPr>
                  <w:t>كثافة</w:t>
                </w:r>
                <w:r w:rsidR="00F4223D" w:rsidRPr="008D22A6">
                  <w:rPr>
                    <w:rStyle w:val="Lienhypertexte"/>
                    <w:rtl/>
                    <w:lang w:val="en-US"/>
                  </w:rPr>
                  <w:t xml:space="preserve"> </w:t>
                </w:r>
                <w:r w:rsidR="00F4223D" w:rsidRPr="008D22A6">
                  <w:rPr>
                    <w:rStyle w:val="Lienhypertexte"/>
                    <w:rFonts w:hint="eastAsia"/>
                    <w:rtl/>
                    <w:lang w:val="en-US"/>
                  </w:rPr>
                  <w:t>التوزيع</w:t>
                </w:r>
                <w:r w:rsidR="00F4223D" w:rsidRPr="008D22A6">
                  <w:rPr>
                    <w:rStyle w:val="Lienhypertexte"/>
                    <w:rtl/>
                    <w:lang w:val="en-US"/>
                  </w:rPr>
                  <w:t xml:space="preserve"> </w:t>
                </w:r>
                <w:r w:rsidR="00F4223D" w:rsidRPr="008D22A6">
                  <w:rPr>
                    <w:rStyle w:val="Lienhypertexte"/>
                    <w:rFonts w:hint="eastAsia"/>
                    <w:rtl/>
                    <w:lang w:val="en-US"/>
                  </w:rPr>
                  <w:t>المكاني</w:t>
                </w:r>
                <w:r w:rsidR="00F4223D" w:rsidRPr="008D22A6">
                  <w:rPr>
                    <w:rStyle w:val="Lienhypertexte"/>
                    <w:rtl/>
                    <w:lang w:val="en-US"/>
                  </w:rPr>
                  <w:t xml:space="preserve"> </w:t>
                </w:r>
                <w:r w:rsidR="00F4223D" w:rsidRPr="008D22A6">
                  <w:rPr>
                    <w:rStyle w:val="Lienhypertexte"/>
                    <w:rFonts w:hint="eastAsia"/>
                    <w:rtl/>
                    <w:lang w:val="en-US"/>
                  </w:rPr>
                  <w:t>للسكان</w:t>
                </w:r>
                <w:r w:rsidR="00F4223D">
                  <w:rPr>
                    <w:webHidden/>
                  </w:rPr>
                  <w:tab/>
                </w:r>
                <w:r w:rsidR="00F4223D">
                  <w:rPr>
                    <w:webHidden/>
                  </w:rPr>
                  <w:fldChar w:fldCharType="begin"/>
                </w:r>
                <w:r w:rsidR="00F4223D">
                  <w:rPr>
                    <w:webHidden/>
                  </w:rPr>
                  <w:instrText xml:space="preserve"> PAGEREF _Toc171803595 \h </w:instrText>
                </w:r>
                <w:r w:rsidR="00F4223D">
                  <w:rPr>
                    <w:webHidden/>
                  </w:rPr>
                </w:r>
                <w:r w:rsidR="00F4223D">
                  <w:rPr>
                    <w:webHidden/>
                  </w:rPr>
                  <w:fldChar w:fldCharType="separate"/>
                </w:r>
                <w:r>
                  <w:rPr>
                    <w:webHidden/>
                    <w:rtl/>
                    <w:lang w:bidi="ar-SA"/>
                  </w:rPr>
                  <w:t>122</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599" w:history="1">
                <w:r w:rsidR="00F4223D" w:rsidRPr="008D22A6">
                  <w:rPr>
                    <w:rStyle w:val="Lienhypertexte"/>
                    <w:rtl/>
                    <w:lang w:bidi="ar-DZ"/>
                  </w:rPr>
                  <w:t>2.8.4.</w:t>
                </w:r>
                <w:r w:rsidR="00F4223D">
                  <w:rPr>
                    <w:rFonts w:asciiTheme="minorHAnsi" w:hAnsiTheme="minorHAnsi" w:cstheme="minorBidi"/>
                    <w:lang w:val="fr-FR"/>
                  </w:rPr>
                  <w:tab/>
                </w:r>
                <w:r w:rsidR="00F4223D" w:rsidRPr="008D22A6">
                  <w:rPr>
                    <w:rStyle w:val="Lienhypertexte"/>
                    <w:rFonts w:hint="eastAsia"/>
                    <w:rtl/>
                    <w:lang w:bidi="ar-DZ"/>
                  </w:rPr>
                  <w:t>دراسة</w:t>
                </w:r>
                <w:r w:rsidR="00F4223D" w:rsidRPr="008D22A6">
                  <w:rPr>
                    <w:rStyle w:val="Lienhypertexte"/>
                    <w:rtl/>
                    <w:lang w:bidi="ar-DZ"/>
                  </w:rPr>
                  <w:t xml:space="preserve"> </w:t>
                </w:r>
                <w:r w:rsidR="00F4223D" w:rsidRPr="008D22A6">
                  <w:rPr>
                    <w:rStyle w:val="Lienhypertexte"/>
                    <w:rFonts w:hint="eastAsia"/>
                    <w:rtl/>
                    <w:lang w:bidi="ar-DZ"/>
                  </w:rPr>
                  <w:t>المعطيات</w:t>
                </w:r>
                <w:r w:rsidR="00F4223D" w:rsidRPr="008D22A6">
                  <w:rPr>
                    <w:rStyle w:val="Lienhypertexte"/>
                    <w:rtl/>
                    <w:lang w:bidi="ar-DZ"/>
                  </w:rPr>
                  <w:t xml:space="preserve"> </w:t>
                </w:r>
                <w:r w:rsidR="00F4223D" w:rsidRPr="008D22A6">
                  <w:rPr>
                    <w:rStyle w:val="Lienhypertexte"/>
                    <w:rFonts w:hint="eastAsia"/>
                    <w:rtl/>
                    <w:lang w:bidi="ar-DZ"/>
                  </w:rPr>
                  <w:t>السوسيو</w:t>
                </w:r>
                <w:r w:rsidR="00F4223D" w:rsidRPr="008D22A6">
                  <w:rPr>
                    <w:rStyle w:val="Lienhypertexte"/>
                    <w:rtl/>
                    <w:lang w:bidi="ar-DZ"/>
                  </w:rPr>
                  <w:t>-</w:t>
                </w:r>
                <w:r w:rsidR="00F4223D" w:rsidRPr="008D22A6">
                  <w:rPr>
                    <w:rStyle w:val="Lienhypertexte"/>
                    <w:rFonts w:hint="eastAsia"/>
                    <w:rtl/>
                    <w:lang w:bidi="ar-DZ"/>
                  </w:rPr>
                  <w:t>اقتصادية</w:t>
                </w:r>
                <w:r w:rsidR="00F4223D">
                  <w:rPr>
                    <w:webHidden/>
                  </w:rPr>
                  <w:tab/>
                </w:r>
                <w:r w:rsidR="00F4223D">
                  <w:rPr>
                    <w:webHidden/>
                  </w:rPr>
                  <w:fldChar w:fldCharType="begin"/>
                </w:r>
                <w:r w:rsidR="00F4223D">
                  <w:rPr>
                    <w:webHidden/>
                  </w:rPr>
                  <w:instrText xml:space="preserve"> PAGEREF _Toc171803599 \h </w:instrText>
                </w:r>
                <w:r w:rsidR="00F4223D">
                  <w:rPr>
                    <w:webHidden/>
                  </w:rPr>
                </w:r>
                <w:r w:rsidR="00F4223D">
                  <w:rPr>
                    <w:webHidden/>
                  </w:rPr>
                  <w:fldChar w:fldCharType="separate"/>
                </w:r>
                <w:r>
                  <w:rPr>
                    <w:webHidden/>
                    <w:rtl/>
                  </w:rPr>
                  <w:t>123</w:t>
                </w:r>
                <w:r w:rsidR="00F4223D">
                  <w:rPr>
                    <w:webHidden/>
                  </w:rPr>
                  <w:fldChar w:fldCharType="end"/>
                </w:r>
              </w:hyperlink>
            </w:p>
            <w:p w:rsidR="00F4223D" w:rsidRDefault="00B62F86" w:rsidP="003A089F">
              <w:pPr>
                <w:pStyle w:val="TM3"/>
              </w:pPr>
              <w:hyperlink w:anchor="_Toc171803600" w:history="1">
                <w:r w:rsidR="00F4223D" w:rsidRPr="008D22A6">
                  <w:rPr>
                    <w:rStyle w:val="Lienhypertexte"/>
                    <w:rtl/>
                    <w:lang w:val="en-US"/>
                  </w:rPr>
                  <w:t>1.2.8.4.</w:t>
                </w:r>
                <w:r w:rsidR="00F4223D">
                  <w:tab/>
                </w:r>
                <w:r w:rsidR="00F4223D" w:rsidRPr="008D22A6">
                  <w:rPr>
                    <w:rStyle w:val="Lienhypertexte"/>
                    <w:rFonts w:hint="eastAsia"/>
                    <w:rtl/>
                  </w:rPr>
                  <w:t>المرافق</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مدينة</w:t>
                </w:r>
                <w:r w:rsidR="00F4223D" w:rsidRPr="008D22A6">
                  <w:rPr>
                    <w:rStyle w:val="Lienhypertexte"/>
                    <w:rtl/>
                    <w:lang w:val="en-US"/>
                  </w:rPr>
                  <w:t xml:space="preserve"> </w:t>
                </w:r>
                <w:r w:rsidR="00F4223D" w:rsidRPr="008D22A6">
                  <w:rPr>
                    <w:rStyle w:val="Lienhypertexte"/>
                    <w:rFonts w:hint="eastAsia"/>
                    <w:rtl/>
                    <w:lang w:val="en-US"/>
                  </w:rPr>
                  <w:t>بوسعادة</w:t>
                </w:r>
                <w:r w:rsidR="00F4223D" w:rsidRPr="008D22A6">
                  <w:rPr>
                    <w:rStyle w:val="Lienhypertexte"/>
                    <w:rtl/>
                    <w:lang w:val="en-US"/>
                  </w:rPr>
                  <w:t xml:space="preserve"> </w:t>
                </w:r>
                <w:r w:rsidR="00F4223D" w:rsidRPr="008D22A6">
                  <w:rPr>
                    <w:rStyle w:val="Lienhypertexte"/>
                    <w:rFonts w:hint="eastAsia"/>
                    <w:rtl/>
                    <w:lang w:val="en-US"/>
                  </w:rPr>
                  <w:t>بين</w:t>
                </w:r>
                <w:r w:rsidR="00F4223D" w:rsidRPr="008D22A6">
                  <w:rPr>
                    <w:rStyle w:val="Lienhypertexte"/>
                    <w:rtl/>
                    <w:lang w:val="en-US"/>
                  </w:rPr>
                  <w:t xml:space="preserve"> </w:t>
                </w:r>
                <w:r w:rsidR="00F4223D" w:rsidRPr="008D22A6">
                  <w:rPr>
                    <w:rStyle w:val="Lienhypertexte"/>
                    <w:rFonts w:hint="eastAsia"/>
                    <w:rtl/>
                    <w:lang w:val="en-US"/>
                  </w:rPr>
                  <w:t>التنوع</w:t>
                </w:r>
                <w:r w:rsidR="00F4223D" w:rsidRPr="008D22A6">
                  <w:rPr>
                    <w:rStyle w:val="Lienhypertexte"/>
                    <w:rtl/>
                    <w:lang w:val="en-US"/>
                  </w:rPr>
                  <w:t xml:space="preserve"> </w:t>
                </w:r>
                <w:r w:rsidR="00F4223D" w:rsidRPr="008D22A6">
                  <w:rPr>
                    <w:rStyle w:val="Lienhypertexte"/>
                    <w:rFonts w:hint="eastAsia"/>
                    <w:rtl/>
                    <w:lang w:val="en-US"/>
                  </w:rPr>
                  <w:t>والكثافة</w:t>
                </w:r>
                <w:r w:rsidR="00F4223D">
                  <w:rPr>
                    <w:webHidden/>
                  </w:rPr>
                  <w:tab/>
                </w:r>
                <w:r w:rsidR="00F4223D">
                  <w:rPr>
                    <w:webHidden/>
                  </w:rPr>
                  <w:fldChar w:fldCharType="begin"/>
                </w:r>
                <w:r w:rsidR="00F4223D">
                  <w:rPr>
                    <w:webHidden/>
                  </w:rPr>
                  <w:instrText xml:space="preserve"> PAGEREF _Toc171803600 \h </w:instrText>
                </w:r>
                <w:r w:rsidR="00F4223D">
                  <w:rPr>
                    <w:webHidden/>
                  </w:rPr>
                </w:r>
                <w:r w:rsidR="00F4223D">
                  <w:rPr>
                    <w:webHidden/>
                  </w:rPr>
                  <w:fldChar w:fldCharType="separate"/>
                </w:r>
                <w:r>
                  <w:rPr>
                    <w:webHidden/>
                    <w:rtl/>
                    <w:lang w:bidi="ar-SA"/>
                  </w:rPr>
                  <w:t>123</w:t>
                </w:r>
                <w:r w:rsidR="00F4223D">
                  <w:rPr>
                    <w:webHidden/>
                  </w:rPr>
                  <w:fldChar w:fldCharType="end"/>
                </w:r>
              </w:hyperlink>
            </w:p>
            <w:p w:rsidR="00F4223D" w:rsidRDefault="00B62F86" w:rsidP="003A089F">
              <w:pPr>
                <w:pStyle w:val="TM3"/>
              </w:pPr>
              <w:hyperlink w:anchor="_Toc171803602" w:history="1">
                <w:r w:rsidR="00F4223D" w:rsidRPr="008D22A6">
                  <w:rPr>
                    <w:rStyle w:val="Lienhypertexte"/>
                    <w:rtl/>
                    <w:lang w:val="en-US"/>
                  </w:rPr>
                  <w:t>2.2.8.4.</w:t>
                </w:r>
                <w:r w:rsidR="00F4223D">
                  <w:tab/>
                </w:r>
                <w:r w:rsidR="00F4223D" w:rsidRPr="008D22A6">
                  <w:rPr>
                    <w:rStyle w:val="Lienhypertexte"/>
                    <w:rFonts w:hint="eastAsia"/>
                    <w:rtl/>
                    <w:lang w:val="en-US"/>
                  </w:rPr>
                  <w:t>شبكة</w:t>
                </w:r>
                <w:r w:rsidR="00F4223D" w:rsidRPr="008D22A6">
                  <w:rPr>
                    <w:rStyle w:val="Lienhypertexte"/>
                    <w:rtl/>
                    <w:lang w:val="en-US"/>
                  </w:rPr>
                  <w:t xml:space="preserve"> </w:t>
                </w:r>
                <w:r w:rsidR="00F4223D" w:rsidRPr="008D22A6">
                  <w:rPr>
                    <w:rStyle w:val="Lienhypertexte"/>
                    <w:rFonts w:hint="eastAsia"/>
                    <w:rtl/>
                    <w:lang w:val="en-US"/>
                  </w:rPr>
                  <w:t>طرق</w:t>
                </w:r>
                <w:r w:rsidR="00F4223D" w:rsidRPr="008D22A6">
                  <w:rPr>
                    <w:rStyle w:val="Lienhypertexte"/>
                    <w:rtl/>
                    <w:lang w:val="en-US"/>
                  </w:rPr>
                  <w:t xml:space="preserve"> </w:t>
                </w:r>
                <w:r w:rsidR="00F4223D" w:rsidRPr="008D22A6">
                  <w:rPr>
                    <w:rStyle w:val="Lienhypertexte"/>
                    <w:rFonts w:hint="eastAsia"/>
                    <w:rtl/>
                    <w:lang w:val="en-US"/>
                  </w:rPr>
                  <w:t>مدينة</w:t>
                </w:r>
                <w:r w:rsidR="00F4223D" w:rsidRPr="008D22A6">
                  <w:rPr>
                    <w:rStyle w:val="Lienhypertexte"/>
                    <w:rtl/>
                    <w:lang w:val="en-US"/>
                  </w:rPr>
                  <w:t xml:space="preserve"> </w:t>
                </w:r>
                <w:r w:rsidR="00F4223D" w:rsidRPr="008D22A6">
                  <w:rPr>
                    <w:rStyle w:val="Lienhypertexte"/>
                    <w:rFonts w:hint="eastAsia"/>
                    <w:rtl/>
                    <w:lang w:val="en-US"/>
                  </w:rPr>
                  <w:t>بوسعادة</w:t>
                </w:r>
                <w:r w:rsidR="00F4223D" w:rsidRPr="008D22A6">
                  <w:rPr>
                    <w:rStyle w:val="Lienhypertexte"/>
                    <w:rtl/>
                    <w:lang w:val="en-US"/>
                  </w:rPr>
                  <w:t xml:space="preserve"> </w:t>
                </w:r>
                <w:r w:rsidR="00F4223D" w:rsidRPr="008D22A6">
                  <w:rPr>
                    <w:rStyle w:val="Lienhypertexte"/>
                    <w:rFonts w:hint="eastAsia"/>
                    <w:rtl/>
                    <w:lang w:val="en-US"/>
                  </w:rPr>
                  <w:t>بين</w:t>
                </w:r>
                <w:r w:rsidR="00F4223D" w:rsidRPr="008D22A6">
                  <w:rPr>
                    <w:rStyle w:val="Lienhypertexte"/>
                    <w:rtl/>
                    <w:lang w:val="en-US"/>
                  </w:rPr>
                  <w:t xml:space="preserve"> </w:t>
                </w:r>
                <w:r w:rsidR="00F4223D" w:rsidRPr="008D22A6">
                  <w:rPr>
                    <w:rStyle w:val="Lienhypertexte"/>
                    <w:rFonts w:hint="eastAsia"/>
                    <w:rtl/>
                    <w:lang w:val="en-US"/>
                  </w:rPr>
                  <w:t>التنوع</w:t>
                </w:r>
                <w:r w:rsidR="00F4223D" w:rsidRPr="008D22A6">
                  <w:rPr>
                    <w:rStyle w:val="Lienhypertexte"/>
                    <w:rtl/>
                    <w:lang w:val="en-US"/>
                  </w:rPr>
                  <w:t xml:space="preserve"> </w:t>
                </w:r>
                <w:r w:rsidR="00F4223D" w:rsidRPr="008D22A6">
                  <w:rPr>
                    <w:rStyle w:val="Lienhypertexte"/>
                    <w:rFonts w:hint="eastAsia"/>
                    <w:rtl/>
                    <w:lang w:val="en-US"/>
                  </w:rPr>
                  <w:t>وسهولة</w:t>
                </w:r>
                <w:r w:rsidR="00F4223D" w:rsidRPr="008D22A6">
                  <w:rPr>
                    <w:rStyle w:val="Lienhypertexte"/>
                    <w:rtl/>
                    <w:lang w:val="en-US"/>
                  </w:rPr>
                  <w:t xml:space="preserve"> </w:t>
                </w:r>
                <w:r w:rsidR="00F4223D" w:rsidRPr="008D22A6">
                  <w:rPr>
                    <w:rStyle w:val="Lienhypertexte"/>
                    <w:rFonts w:hint="eastAsia"/>
                    <w:rtl/>
                    <w:lang w:val="en-US"/>
                  </w:rPr>
                  <w:t>الوصول</w:t>
                </w:r>
                <w:r w:rsidR="00F4223D">
                  <w:rPr>
                    <w:webHidden/>
                  </w:rPr>
                  <w:tab/>
                </w:r>
                <w:r w:rsidR="00F4223D">
                  <w:rPr>
                    <w:webHidden/>
                  </w:rPr>
                  <w:fldChar w:fldCharType="begin"/>
                </w:r>
                <w:r w:rsidR="00F4223D">
                  <w:rPr>
                    <w:webHidden/>
                  </w:rPr>
                  <w:instrText xml:space="preserve"> PAGEREF _Toc171803602 \h </w:instrText>
                </w:r>
                <w:r w:rsidR="00F4223D">
                  <w:rPr>
                    <w:webHidden/>
                  </w:rPr>
                </w:r>
                <w:r w:rsidR="00F4223D">
                  <w:rPr>
                    <w:webHidden/>
                  </w:rPr>
                  <w:fldChar w:fldCharType="separate"/>
                </w:r>
                <w:r>
                  <w:rPr>
                    <w:webHidden/>
                    <w:rtl/>
                    <w:lang w:bidi="ar-SA"/>
                  </w:rPr>
                  <w:t>125</w:t>
                </w:r>
                <w:r w:rsidR="00F4223D">
                  <w:rPr>
                    <w:webHidden/>
                  </w:rPr>
                  <w:fldChar w:fldCharType="end"/>
                </w:r>
              </w:hyperlink>
            </w:p>
            <w:p w:rsidR="00F4223D" w:rsidRDefault="00B62F86" w:rsidP="001A5014">
              <w:pPr>
                <w:pStyle w:val="TM2"/>
                <w:spacing w:after="0"/>
                <w:rPr>
                  <w:rFonts w:asciiTheme="minorHAnsi" w:hAnsiTheme="minorHAnsi" w:cstheme="minorBidi"/>
                  <w:lang w:val="fr-FR"/>
                </w:rPr>
              </w:pPr>
              <w:hyperlink w:anchor="_Toc171803607" w:history="1">
                <w:r w:rsidR="00F4223D" w:rsidRPr="008D22A6">
                  <w:rPr>
                    <w:rStyle w:val="Lienhypertexte"/>
                    <w:rtl/>
                    <w:lang w:bidi="ar-DZ"/>
                  </w:rPr>
                  <w:t>3.8.4.</w:t>
                </w:r>
                <w:r w:rsidR="00F4223D">
                  <w:rPr>
                    <w:rFonts w:asciiTheme="minorHAnsi" w:hAnsiTheme="minorHAnsi" w:cstheme="minorBidi"/>
                    <w:lang w:val="fr-FR"/>
                  </w:rPr>
                  <w:tab/>
                </w:r>
                <w:r w:rsidR="00F4223D" w:rsidRPr="008D22A6">
                  <w:rPr>
                    <w:rStyle w:val="Lienhypertexte"/>
                    <w:rFonts w:hint="eastAsia"/>
                    <w:rtl/>
                    <w:lang w:bidi="ar-DZ"/>
                  </w:rPr>
                  <w:t>نشأة</w:t>
                </w:r>
                <w:r w:rsidR="00F4223D" w:rsidRPr="008D22A6">
                  <w:rPr>
                    <w:rStyle w:val="Lienhypertexte"/>
                    <w:rtl/>
                    <w:lang w:bidi="ar-DZ"/>
                  </w:rPr>
                  <w:t xml:space="preserve"> </w:t>
                </w:r>
                <w:r w:rsidR="00F4223D" w:rsidRPr="008D22A6">
                  <w:rPr>
                    <w:rStyle w:val="Lienhypertexte"/>
                    <w:rFonts w:hint="eastAsia"/>
                    <w:rtl/>
                    <w:lang w:bidi="ar-DZ"/>
                  </w:rPr>
                  <w:t>الفيضانات</w:t>
                </w:r>
                <w:r w:rsidR="00F4223D" w:rsidRPr="008D22A6">
                  <w:rPr>
                    <w:rStyle w:val="Lienhypertexte"/>
                    <w:rtl/>
                    <w:lang w:bidi="ar-DZ"/>
                  </w:rPr>
                  <w:t xml:space="preserve"> </w:t>
                </w:r>
                <w:r w:rsidR="00F4223D" w:rsidRPr="008D22A6">
                  <w:rPr>
                    <w:rStyle w:val="Lienhypertexte"/>
                    <w:rFonts w:hint="eastAsia"/>
                    <w:rtl/>
                    <w:lang w:bidi="ar-DZ"/>
                  </w:rPr>
                  <w:t>في</w:t>
                </w:r>
                <w:r w:rsidR="00F4223D" w:rsidRPr="008D22A6">
                  <w:rPr>
                    <w:rStyle w:val="Lienhypertexte"/>
                    <w:rtl/>
                    <w:lang w:bidi="ar-DZ"/>
                  </w:rPr>
                  <w:t xml:space="preserve"> </w:t>
                </w:r>
                <w:r w:rsidR="00F4223D" w:rsidRPr="008D22A6">
                  <w:rPr>
                    <w:rStyle w:val="Lienhypertexte"/>
                    <w:rFonts w:hint="eastAsia"/>
                    <w:rtl/>
                    <w:lang w:bidi="ar-DZ"/>
                  </w:rPr>
                  <w:t>مدينة</w:t>
                </w:r>
                <w:r w:rsidR="00F4223D" w:rsidRPr="008D22A6">
                  <w:rPr>
                    <w:rStyle w:val="Lienhypertexte"/>
                    <w:rtl/>
                    <w:lang w:bidi="ar-DZ"/>
                  </w:rPr>
                  <w:t xml:space="preserve"> </w:t>
                </w:r>
                <w:r w:rsidR="00F4223D" w:rsidRPr="008D22A6">
                  <w:rPr>
                    <w:rStyle w:val="Lienhypertexte"/>
                    <w:rFonts w:hint="eastAsia"/>
                    <w:rtl/>
                    <w:lang w:bidi="ar-DZ"/>
                  </w:rPr>
                  <w:t>بوسعادة</w:t>
                </w:r>
                <w:r w:rsidR="00F4223D" w:rsidRPr="008D22A6">
                  <w:rPr>
                    <w:rStyle w:val="Lienhypertexte"/>
                    <w:rtl/>
                    <w:lang w:bidi="ar-DZ"/>
                  </w:rPr>
                  <w:t>:</w:t>
                </w:r>
                <w:r w:rsidR="00F4223D">
                  <w:rPr>
                    <w:webHidden/>
                  </w:rPr>
                  <w:tab/>
                </w:r>
                <w:r w:rsidR="00F4223D">
                  <w:rPr>
                    <w:webHidden/>
                  </w:rPr>
                  <w:fldChar w:fldCharType="begin"/>
                </w:r>
                <w:r w:rsidR="00F4223D">
                  <w:rPr>
                    <w:webHidden/>
                  </w:rPr>
                  <w:instrText xml:space="preserve"> PAGEREF _Toc171803607 \h </w:instrText>
                </w:r>
                <w:r w:rsidR="00F4223D">
                  <w:rPr>
                    <w:webHidden/>
                  </w:rPr>
                </w:r>
                <w:r w:rsidR="00F4223D">
                  <w:rPr>
                    <w:webHidden/>
                  </w:rPr>
                  <w:fldChar w:fldCharType="separate"/>
                </w:r>
                <w:r>
                  <w:rPr>
                    <w:webHidden/>
                    <w:rtl/>
                  </w:rPr>
                  <w:t>126</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611" w:history="1">
                <w:r w:rsidR="00F4223D" w:rsidRPr="008D22A6">
                  <w:rPr>
                    <w:rStyle w:val="Lienhypertexte"/>
                  </w:rPr>
                  <w:t>9.4.</w:t>
                </w:r>
                <w:r w:rsidR="001A5014" w:rsidRPr="001A5014">
                  <w:rPr>
                    <w:rFonts w:hint="eastAsia"/>
                    <w:rtl/>
                  </w:rPr>
                  <w:t xml:space="preserve"> </w:t>
                </w:r>
                <w:r w:rsidR="001A5014" w:rsidRPr="001A5014">
                  <w:rPr>
                    <w:rStyle w:val="Lienhypertexte"/>
                    <w:rFonts w:hint="eastAsia"/>
                    <w:rtl/>
                  </w:rPr>
                  <w:t>فترات</w:t>
                </w:r>
                <w:r w:rsidR="001A5014" w:rsidRPr="001A5014">
                  <w:rPr>
                    <w:rStyle w:val="Lienhypertexte"/>
                    <w:rtl/>
                  </w:rPr>
                  <w:t xml:space="preserve"> </w:t>
                </w:r>
                <w:r w:rsidR="001A5014" w:rsidRPr="001A5014">
                  <w:rPr>
                    <w:rStyle w:val="Lienhypertexte"/>
                    <w:rFonts w:hint="eastAsia"/>
                    <w:rtl/>
                  </w:rPr>
                  <w:t>تطور</w:t>
                </w:r>
                <w:r w:rsidR="001A5014" w:rsidRPr="001A5014">
                  <w:rPr>
                    <w:rStyle w:val="Lienhypertexte"/>
                    <w:rtl/>
                  </w:rPr>
                  <w:t xml:space="preserve"> </w:t>
                </w:r>
                <w:r w:rsidR="001A5014" w:rsidRPr="001A5014">
                  <w:rPr>
                    <w:rStyle w:val="Lienhypertexte"/>
                    <w:rFonts w:hint="eastAsia"/>
                    <w:rtl/>
                  </w:rPr>
                  <w:t>النمو</w:t>
                </w:r>
                <w:r w:rsidR="001A5014" w:rsidRPr="001A5014">
                  <w:rPr>
                    <w:rStyle w:val="Lienhypertexte"/>
                    <w:rtl/>
                  </w:rPr>
                  <w:t xml:space="preserve"> </w:t>
                </w:r>
                <w:r w:rsidR="001A5014" w:rsidRPr="001A5014">
                  <w:rPr>
                    <w:rStyle w:val="Lienhypertexte"/>
                    <w:rFonts w:hint="eastAsia"/>
                    <w:rtl/>
                  </w:rPr>
                  <w:t>الحضري</w:t>
                </w:r>
                <w:r w:rsidR="001A5014" w:rsidRPr="001A5014">
                  <w:rPr>
                    <w:rStyle w:val="Lienhypertexte"/>
                    <w:rtl/>
                  </w:rPr>
                  <w:t xml:space="preserve"> </w:t>
                </w:r>
                <w:r w:rsidR="001A5014" w:rsidRPr="001A5014">
                  <w:rPr>
                    <w:rStyle w:val="Lienhypertexte"/>
                    <w:rFonts w:hint="eastAsia"/>
                    <w:rtl/>
                  </w:rPr>
                  <w:t>لمدينة</w:t>
                </w:r>
                <w:r w:rsidR="001A5014" w:rsidRPr="001A5014">
                  <w:rPr>
                    <w:rStyle w:val="Lienhypertexte"/>
                    <w:rtl/>
                  </w:rPr>
                  <w:t xml:space="preserve"> </w:t>
                </w:r>
                <w:r w:rsidR="001A5014" w:rsidRPr="001A5014">
                  <w:rPr>
                    <w:rStyle w:val="Lienhypertexte"/>
                    <w:rFonts w:hint="eastAsia"/>
                    <w:rtl/>
                  </w:rPr>
                  <w:t>بوسعادة</w:t>
                </w:r>
                <w:r w:rsidR="001A5014">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_Toc171803611 \h </w:instrText>
                </w:r>
                <w:r w:rsidR="00F4223D">
                  <w:rPr>
                    <w:webHidden/>
                  </w:rPr>
                </w:r>
                <w:r w:rsidR="00F4223D">
                  <w:rPr>
                    <w:webHidden/>
                  </w:rPr>
                  <w:fldChar w:fldCharType="separate"/>
                </w:r>
                <w:r>
                  <w:rPr>
                    <w:webHidden/>
                    <w:rtl/>
                    <w:lang w:bidi="ar-SA"/>
                  </w:rPr>
                  <w:t>128</w:t>
                </w:r>
                <w:r w:rsidR="00F4223D">
                  <w:rPr>
                    <w:webHidden/>
                  </w:rPr>
                  <w:fldChar w:fldCharType="end"/>
                </w:r>
              </w:hyperlink>
            </w:p>
            <w:p w:rsidR="00F4223D" w:rsidRDefault="00B62F86" w:rsidP="003A089F">
              <w:pPr>
                <w:pStyle w:val="TM2"/>
                <w:spacing w:after="0"/>
                <w:rPr>
                  <w:rFonts w:asciiTheme="minorHAnsi" w:hAnsiTheme="minorHAnsi" w:cstheme="minorBidi"/>
                  <w:lang w:val="fr-FR"/>
                </w:rPr>
              </w:pPr>
              <w:hyperlink w:anchor="_Toc171803612" w:history="1">
                <w:r w:rsidR="00F4223D" w:rsidRPr="008D22A6">
                  <w:rPr>
                    <w:rStyle w:val="Lienhypertexte"/>
                    <w:rtl/>
                    <w:lang w:bidi="ar-DZ"/>
                  </w:rPr>
                  <w:t>1.9.4.</w:t>
                </w:r>
                <w:r w:rsidR="00F4223D">
                  <w:rPr>
                    <w:rFonts w:asciiTheme="minorHAnsi" w:hAnsiTheme="minorHAnsi" w:cstheme="minorBidi"/>
                    <w:lang w:val="fr-FR"/>
                  </w:rPr>
                  <w:tab/>
                </w:r>
                <w:r w:rsidR="00F4223D" w:rsidRPr="008D22A6">
                  <w:rPr>
                    <w:rStyle w:val="Lienhypertexte"/>
                    <w:rFonts w:hint="eastAsia"/>
                    <w:rtl/>
                    <w:lang w:bidi="ar-DZ"/>
                  </w:rPr>
                  <w:t>الفترة</w:t>
                </w:r>
                <w:r w:rsidR="00F4223D" w:rsidRPr="008D22A6">
                  <w:rPr>
                    <w:rStyle w:val="Lienhypertexte"/>
                    <w:rtl/>
                    <w:lang w:bidi="ar-DZ"/>
                  </w:rPr>
                  <w:t xml:space="preserve"> </w:t>
                </w:r>
                <w:r w:rsidR="00F4223D" w:rsidRPr="008D22A6">
                  <w:rPr>
                    <w:rStyle w:val="Lienhypertexte"/>
                    <w:rFonts w:hint="eastAsia"/>
                    <w:rtl/>
                    <w:lang w:bidi="ar-DZ"/>
                  </w:rPr>
                  <w:t>الاولى</w:t>
                </w:r>
                <w:r w:rsidR="00F4223D" w:rsidRPr="008D22A6">
                  <w:rPr>
                    <w:rStyle w:val="Lienhypertexte"/>
                    <w:rtl/>
                    <w:lang w:bidi="ar-DZ"/>
                  </w:rPr>
                  <w:t xml:space="preserve">: </w:t>
                </w:r>
                <w:r w:rsidR="00F4223D" w:rsidRPr="008D22A6">
                  <w:rPr>
                    <w:rStyle w:val="Lienhypertexte"/>
                    <w:rFonts w:hint="eastAsia"/>
                    <w:rtl/>
                    <w:lang w:bidi="ar-DZ"/>
                  </w:rPr>
                  <w:t>نشأة</w:t>
                </w:r>
                <w:r w:rsidR="00F4223D" w:rsidRPr="008D22A6">
                  <w:rPr>
                    <w:rStyle w:val="Lienhypertexte"/>
                    <w:rtl/>
                    <w:lang w:bidi="ar-DZ"/>
                  </w:rPr>
                  <w:t xml:space="preserve"> </w:t>
                </w:r>
                <w:r w:rsidR="00F4223D" w:rsidRPr="008D22A6">
                  <w:rPr>
                    <w:rStyle w:val="Lienhypertexte"/>
                    <w:rFonts w:hint="eastAsia"/>
                    <w:rtl/>
                    <w:lang w:bidi="ar-DZ"/>
                  </w:rPr>
                  <w:t>النواة</w:t>
                </w:r>
                <w:r w:rsidR="00F4223D" w:rsidRPr="008D22A6">
                  <w:rPr>
                    <w:rStyle w:val="Lienhypertexte"/>
                    <w:rtl/>
                    <w:lang w:bidi="ar-DZ"/>
                  </w:rPr>
                  <w:t xml:space="preserve"> </w:t>
                </w:r>
                <w:r w:rsidR="00F4223D" w:rsidRPr="008D22A6">
                  <w:rPr>
                    <w:rStyle w:val="Lienhypertexte"/>
                    <w:rFonts w:hint="eastAsia"/>
                    <w:rtl/>
                    <w:lang w:bidi="ar-DZ"/>
                  </w:rPr>
                  <w:t>ما</w:t>
                </w:r>
                <w:r w:rsidR="00F4223D" w:rsidRPr="008D22A6">
                  <w:rPr>
                    <w:rStyle w:val="Lienhypertexte"/>
                    <w:rtl/>
                    <w:lang w:bidi="ar-DZ"/>
                  </w:rPr>
                  <w:t xml:space="preserve"> </w:t>
                </w:r>
                <w:r w:rsidR="00F4223D" w:rsidRPr="008D22A6">
                  <w:rPr>
                    <w:rStyle w:val="Lienhypertexte"/>
                    <w:rFonts w:hint="eastAsia"/>
                    <w:rtl/>
                    <w:lang w:bidi="ar-DZ"/>
                  </w:rPr>
                  <w:t>قبل</w:t>
                </w:r>
                <w:r w:rsidR="00F4223D" w:rsidRPr="008D22A6">
                  <w:rPr>
                    <w:rStyle w:val="Lienhypertexte"/>
                    <w:rtl/>
                    <w:lang w:bidi="ar-DZ"/>
                  </w:rPr>
                  <w:t xml:space="preserve"> 1830.</w:t>
                </w:r>
                <w:r w:rsidR="00F4223D">
                  <w:rPr>
                    <w:webHidden/>
                  </w:rPr>
                  <w:tab/>
                </w:r>
                <w:r w:rsidR="00F4223D">
                  <w:rPr>
                    <w:webHidden/>
                  </w:rPr>
                  <w:fldChar w:fldCharType="begin"/>
                </w:r>
                <w:r w:rsidR="00F4223D">
                  <w:rPr>
                    <w:webHidden/>
                  </w:rPr>
                  <w:instrText xml:space="preserve"> PAGEREF _Toc171803612 \h </w:instrText>
                </w:r>
                <w:r w:rsidR="00F4223D">
                  <w:rPr>
                    <w:webHidden/>
                  </w:rPr>
                </w:r>
                <w:r w:rsidR="00F4223D">
                  <w:rPr>
                    <w:webHidden/>
                  </w:rPr>
                  <w:fldChar w:fldCharType="separate"/>
                </w:r>
                <w:r>
                  <w:rPr>
                    <w:webHidden/>
                    <w:rtl/>
                  </w:rPr>
                  <w:t>128</w:t>
                </w:r>
                <w:r w:rsidR="00F4223D">
                  <w:rPr>
                    <w:webHidden/>
                  </w:rPr>
                  <w:fldChar w:fldCharType="end"/>
                </w:r>
              </w:hyperlink>
            </w:p>
            <w:p w:rsidR="00F4223D" w:rsidRDefault="00B62F86" w:rsidP="003A089F">
              <w:pPr>
                <w:pStyle w:val="TM2"/>
                <w:spacing w:after="0"/>
                <w:rPr>
                  <w:rFonts w:asciiTheme="minorHAnsi" w:hAnsiTheme="minorHAnsi" w:cstheme="minorBidi"/>
                  <w:lang w:val="fr-FR"/>
                </w:rPr>
              </w:pPr>
              <w:hyperlink w:anchor="_Toc171803613" w:history="1">
                <w:r w:rsidR="00F4223D" w:rsidRPr="008D22A6">
                  <w:rPr>
                    <w:rStyle w:val="Lienhypertexte"/>
                    <w:rtl/>
                    <w:lang w:bidi="ar-DZ"/>
                  </w:rPr>
                  <w:t>2.9.4.</w:t>
                </w:r>
                <w:r w:rsidR="00F4223D">
                  <w:rPr>
                    <w:rFonts w:asciiTheme="minorHAnsi" w:hAnsiTheme="minorHAnsi" w:cstheme="minorBidi"/>
                    <w:lang w:val="fr-FR"/>
                  </w:rPr>
                  <w:tab/>
                </w:r>
                <w:r w:rsidR="00F4223D" w:rsidRPr="008D22A6">
                  <w:rPr>
                    <w:rStyle w:val="Lienhypertexte"/>
                    <w:rFonts w:hint="eastAsia"/>
                    <w:rtl/>
                    <w:lang w:bidi="ar-DZ"/>
                  </w:rPr>
                  <w:t>الفترة</w:t>
                </w:r>
                <w:r w:rsidR="00F4223D" w:rsidRPr="008D22A6">
                  <w:rPr>
                    <w:rStyle w:val="Lienhypertexte"/>
                    <w:rtl/>
                    <w:lang w:bidi="ar-DZ"/>
                  </w:rPr>
                  <w:t xml:space="preserve"> </w:t>
                </w:r>
                <w:r w:rsidR="00F4223D" w:rsidRPr="008D22A6">
                  <w:rPr>
                    <w:rStyle w:val="Lienhypertexte"/>
                    <w:rFonts w:hint="eastAsia"/>
                    <w:rtl/>
                    <w:lang w:bidi="ar-DZ"/>
                  </w:rPr>
                  <w:t>الثانية</w:t>
                </w:r>
                <w:r w:rsidR="00F4223D" w:rsidRPr="008D22A6">
                  <w:rPr>
                    <w:rStyle w:val="Lienhypertexte"/>
                    <w:rtl/>
                    <w:lang w:bidi="ar-DZ"/>
                  </w:rPr>
                  <w:t xml:space="preserve">: </w:t>
                </w:r>
                <w:r w:rsidR="00F4223D" w:rsidRPr="008D22A6">
                  <w:rPr>
                    <w:rStyle w:val="Lienhypertexte"/>
                    <w:rFonts w:hint="eastAsia"/>
                    <w:rtl/>
                    <w:lang w:bidi="ar-DZ"/>
                  </w:rPr>
                  <w:t>الهيمنة</w:t>
                </w:r>
                <w:r w:rsidR="00F4223D" w:rsidRPr="008D22A6">
                  <w:rPr>
                    <w:rStyle w:val="Lienhypertexte"/>
                    <w:rtl/>
                    <w:lang w:bidi="ar-DZ"/>
                  </w:rPr>
                  <w:t xml:space="preserve"> </w:t>
                </w:r>
                <w:r w:rsidR="00F4223D" w:rsidRPr="008D22A6">
                  <w:rPr>
                    <w:rStyle w:val="Lienhypertexte"/>
                    <w:rFonts w:hint="eastAsia"/>
                    <w:rtl/>
                    <w:lang w:bidi="ar-DZ"/>
                  </w:rPr>
                  <w:t>الاستعمارية</w:t>
                </w:r>
                <w:r w:rsidR="00F4223D" w:rsidRPr="008D22A6">
                  <w:rPr>
                    <w:rStyle w:val="Lienhypertexte"/>
                    <w:rtl/>
                    <w:lang w:bidi="ar-DZ"/>
                  </w:rPr>
                  <w:t xml:space="preserve"> </w:t>
                </w:r>
                <w:r w:rsidR="00F4223D" w:rsidRPr="008D22A6">
                  <w:rPr>
                    <w:rStyle w:val="Lienhypertexte"/>
                    <w:rFonts w:hint="eastAsia"/>
                    <w:rtl/>
                    <w:lang w:bidi="ar-DZ"/>
                  </w:rPr>
                  <w:t>بين</w:t>
                </w:r>
                <w:r w:rsidR="00F4223D" w:rsidRPr="008D22A6">
                  <w:rPr>
                    <w:rStyle w:val="Lienhypertexte"/>
                    <w:rtl/>
                    <w:lang w:bidi="ar-DZ"/>
                  </w:rPr>
                  <w:t xml:space="preserve"> 1849-1962</w:t>
                </w:r>
                <w:r w:rsidR="00F4223D">
                  <w:rPr>
                    <w:webHidden/>
                  </w:rPr>
                  <w:tab/>
                </w:r>
                <w:r w:rsidR="00F4223D">
                  <w:rPr>
                    <w:webHidden/>
                  </w:rPr>
                  <w:fldChar w:fldCharType="begin"/>
                </w:r>
                <w:r w:rsidR="00F4223D">
                  <w:rPr>
                    <w:webHidden/>
                  </w:rPr>
                  <w:instrText xml:space="preserve"> PAGEREF _Toc171803613 \h </w:instrText>
                </w:r>
                <w:r w:rsidR="00F4223D">
                  <w:rPr>
                    <w:webHidden/>
                  </w:rPr>
                </w:r>
                <w:r w:rsidR="00F4223D">
                  <w:rPr>
                    <w:webHidden/>
                  </w:rPr>
                  <w:fldChar w:fldCharType="separate"/>
                </w:r>
                <w:r>
                  <w:rPr>
                    <w:webHidden/>
                    <w:rtl/>
                  </w:rPr>
                  <w:t>128</w:t>
                </w:r>
                <w:r w:rsidR="00F4223D">
                  <w:rPr>
                    <w:webHidden/>
                  </w:rPr>
                  <w:fldChar w:fldCharType="end"/>
                </w:r>
              </w:hyperlink>
            </w:p>
            <w:p w:rsidR="00F4223D" w:rsidRDefault="00B62F86" w:rsidP="003A089F">
              <w:pPr>
                <w:pStyle w:val="TM2"/>
                <w:spacing w:after="0"/>
                <w:rPr>
                  <w:rFonts w:asciiTheme="minorHAnsi" w:hAnsiTheme="minorHAnsi" w:cstheme="minorBidi"/>
                  <w:lang w:val="fr-FR"/>
                </w:rPr>
              </w:pPr>
              <w:hyperlink w:anchor="_Toc171803616" w:history="1">
                <w:r w:rsidR="00F4223D" w:rsidRPr="008D22A6">
                  <w:rPr>
                    <w:rStyle w:val="Lienhypertexte"/>
                    <w:rtl/>
                    <w:lang w:bidi="ar-DZ"/>
                  </w:rPr>
                  <w:t>3.9.3.</w:t>
                </w:r>
                <w:r w:rsidR="00F4223D">
                  <w:rPr>
                    <w:rFonts w:asciiTheme="minorHAnsi" w:hAnsiTheme="minorHAnsi" w:cstheme="minorBidi"/>
                    <w:lang w:val="fr-FR"/>
                  </w:rPr>
                  <w:tab/>
                </w:r>
                <w:r w:rsidR="00F4223D" w:rsidRPr="008D22A6">
                  <w:rPr>
                    <w:rStyle w:val="Lienhypertexte"/>
                    <w:rFonts w:hint="eastAsia"/>
                    <w:rtl/>
                    <w:lang w:bidi="ar-DZ"/>
                  </w:rPr>
                  <w:t>الفترة</w:t>
                </w:r>
                <w:r w:rsidR="00F4223D" w:rsidRPr="008D22A6">
                  <w:rPr>
                    <w:rStyle w:val="Lienhypertexte"/>
                    <w:rtl/>
                    <w:lang w:bidi="ar-DZ"/>
                  </w:rPr>
                  <w:t xml:space="preserve"> </w:t>
                </w:r>
                <w:r w:rsidR="00F4223D" w:rsidRPr="008D22A6">
                  <w:rPr>
                    <w:rStyle w:val="Lienhypertexte"/>
                    <w:rFonts w:hint="eastAsia"/>
                    <w:rtl/>
                    <w:lang w:bidi="ar-DZ"/>
                  </w:rPr>
                  <w:t>الثالثة</w:t>
                </w:r>
                <w:r w:rsidR="00F4223D" w:rsidRPr="008D22A6">
                  <w:rPr>
                    <w:rStyle w:val="Lienhypertexte"/>
                    <w:rtl/>
                    <w:lang w:bidi="ar-DZ"/>
                  </w:rPr>
                  <w:t xml:space="preserve"> 1962-2012</w:t>
                </w:r>
                <w:r w:rsidR="00F4223D">
                  <w:rPr>
                    <w:webHidden/>
                  </w:rPr>
                  <w:tab/>
                </w:r>
                <w:r w:rsidR="00F4223D">
                  <w:rPr>
                    <w:webHidden/>
                  </w:rPr>
                  <w:fldChar w:fldCharType="begin"/>
                </w:r>
                <w:r w:rsidR="00F4223D">
                  <w:rPr>
                    <w:webHidden/>
                  </w:rPr>
                  <w:instrText xml:space="preserve"> PAGEREF _Toc171803616 \h </w:instrText>
                </w:r>
                <w:r w:rsidR="00F4223D">
                  <w:rPr>
                    <w:webHidden/>
                  </w:rPr>
                </w:r>
                <w:r w:rsidR="00F4223D">
                  <w:rPr>
                    <w:webHidden/>
                  </w:rPr>
                  <w:fldChar w:fldCharType="separate"/>
                </w:r>
                <w:r>
                  <w:rPr>
                    <w:webHidden/>
                    <w:rtl/>
                  </w:rPr>
                  <w:t>130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622" w:history="1">
                <w:r w:rsidR="00F4223D" w:rsidRPr="008D22A6">
                  <w:rPr>
                    <w:rStyle w:val="Lienhypertexte"/>
                  </w:rPr>
                  <w:t>10.4.</w:t>
                </w:r>
                <w:r w:rsidR="003A089F" w:rsidRPr="003A089F">
                  <w:rPr>
                    <w:rFonts w:hint="eastAsia"/>
                    <w:rtl/>
                  </w:rPr>
                  <w:t xml:space="preserve"> </w:t>
                </w:r>
                <w:r w:rsidR="003A089F" w:rsidRPr="003A089F">
                  <w:rPr>
                    <w:rStyle w:val="Lienhypertexte"/>
                    <w:rFonts w:hint="eastAsia"/>
                    <w:rtl/>
                  </w:rPr>
                  <w:t>التحليل</w:t>
                </w:r>
                <w:r w:rsidR="003A089F" w:rsidRPr="003A089F">
                  <w:rPr>
                    <w:rStyle w:val="Lienhypertexte"/>
                    <w:rtl/>
                  </w:rPr>
                  <w:t xml:space="preserve"> </w:t>
                </w:r>
                <w:r w:rsidR="003A089F" w:rsidRPr="003A089F">
                  <w:rPr>
                    <w:rStyle w:val="Lienhypertexte"/>
                    <w:rFonts w:hint="eastAsia"/>
                    <w:rtl/>
                  </w:rPr>
                  <w:t>العمراني</w:t>
                </w:r>
                <w:r w:rsidR="003A089F" w:rsidRPr="003A089F">
                  <w:rPr>
                    <w:rStyle w:val="Lienhypertexte"/>
                    <w:rtl/>
                  </w:rPr>
                  <w:t xml:space="preserve"> </w:t>
                </w:r>
                <w:r w:rsidR="003A089F" w:rsidRPr="003A089F">
                  <w:rPr>
                    <w:rStyle w:val="Lienhypertexte"/>
                    <w:rFonts w:hint="eastAsia"/>
                    <w:rtl/>
                  </w:rPr>
                  <w:t>للمدينة</w:t>
                </w:r>
                <w:r w:rsidR="003A089F">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_Toc171803622 \h </w:instrText>
                </w:r>
                <w:r w:rsidR="00F4223D">
                  <w:rPr>
                    <w:webHidden/>
                  </w:rPr>
                </w:r>
                <w:r w:rsidR="00F4223D">
                  <w:rPr>
                    <w:webHidden/>
                  </w:rPr>
                  <w:fldChar w:fldCharType="separate"/>
                </w:r>
                <w:r>
                  <w:rPr>
                    <w:webHidden/>
                    <w:rtl/>
                    <w:lang w:bidi="ar-SA"/>
                  </w:rPr>
                  <w:t>132</w:t>
                </w:r>
                <w:r w:rsidR="00F4223D">
                  <w:rPr>
                    <w:webHidden/>
                  </w:rPr>
                  <w:fldChar w:fldCharType="end"/>
                </w:r>
              </w:hyperlink>
            </w:p>
            <w:p w:rsidR="00F4223D" w:rsidRDefault="00B62F86" w:rsidP="003A089F">
              <w:pPr>
                <w:pStyle w:val="TM2"/>
                <w:spacing w:after="0"/>
                <w:rPr>
                  <w:rFonts w:asciiTheme="minorHAnsi" w:hAnsiTheme="minorHAnsi" w:cstheme="minorBidi"/>
                  <w:lang w:val="fr-FR"/>
                </w:rPr>
              </w:pPr>
              <w:hyperlink w:anchor="_Toc171803623" w:history="1">
                <w:r w:rsidR="00F4223D" w:rsidRPr="008D22A6">
                  <w:rPr>
                    <w:rStyle w:val="Lienhypertexte"/>
                    <w:lang w:bidi="ar-DZ"/>
                  </w:rPr>
                  <w:t>1.10.4.</w:t>
                </w:r>
                <w:r w:rsidR="00F4223D">
                  <w:rPr>
                    <w:rFonts w:asciiTheme="minorHAnsi" w:hAnsiTheme="minorHAnsi" w:cstheme="minorBidi"/>
                    <w:lang w:val="fr-FR"/>
                  </w:rPr>
                  <w:tab/>
                </w:r>
                <w:r w:rsidR="00F4223D" w:rsidRPr="008D22A6">
                  <w:rPr>
                    <w:rStyle w:val="Lienhypertexte"/>
                    <w:rFonts w:hint="eastAsia"/>
                    <w:rtl/>
                  </w:rPr>
                  <w:t>التحليل</w:t>
                </w:r>
                <w:r w:rsidR="00F4223D" w:rsidRPr="008D22A6">
                  <w:rPr>
                    <w:rStyle w:val="Lienhypertexte"/>
                    <w:rtl/>
                  </w:rPr>
                  <w:t xml:space="preserve"> </w:t>
                </w:r>
                <w:r w:rsidR="00F4223D" w:rsidRPr="008D22A6">
                  <w:rPr>
                    <w:rStyle w:val="Lienhypertexte"/>
                    <w:rFonts w:hint="eastAsia"/>
                    <w:rtl/>
                  </w:rPr>
                  <w:t>العمراني</w:t>
                </w:r>
                <w:r w:rsidR="00F4223D" w:rsidRPr="008D22A6">
                  <w:rPr>
                    <w:rStyle w:val="Lienhypertexte"/>
                    <w:rtl/>
                  </w:rPr>
                  <w:t xml:space="preserve"> </w:t>
                </w:r>
                <w:r w:rsidR="00F4223D" w:rsidRPr="008D22A6">
                  <w:rPr>
                    <w:rStyle w:val="Lienhypertexte"/>
                    <w:rFonts w:hint="eastAsia"/>
                    <w:rtl/>
                  </w:rPr>
                  <w:t>لفئات</w:t>
                </w:r>
                <w:r w:rsidR="00F4223D" w:rsidRPr="008D22A6">
                  <w:rPr>
                    <w:rStyle w:val="Lienhypertexte"/>
                    <w:rtl/>
                  </w:rPr>
                  <w:t xml:space="preserve"> </w:t>
                </w:r>
                <w:r w:rsidR="00F4223D" w:rsidRPr="008D22A6">
                  <w:rPr>
                    <w:rStyle w:val="Lienhypertexte"/>
                    <w:rFonts w:hint="eastAsia"/>
                    <w:rtl/>
                  </w:rPr>
                  <w:t>الانسجة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_Toc171803623 \h </w:instrText>
                </w:r>
                <w:r w:rsidR="00F4223D">
                  <w:rPr>
                    <w:webHidden/>
                  </w:rPr>
                </w:r>
                <w:r w:rsidR="00F4223D">
                  <w:rPr>
                    <w:webHidden/>
                  </w:rPr>
                  <w:fldChar w:fldCharType="separate"/>
                </w:r>
                <w:r>
                  <w:rPr>
                    <w:webHidden/>
                    <w:rtl/>
                  </w:rPr>
                  <w:t>133</w:t>
                </w:r>
                <w:r w:rsidR="00F4223D">
                  <w:rPr>
                    <w:webHidden/>
                  </w:rPr>
                  <w:fldChar w:fldCharType="end"/>
                </w:r>
              </w:hyperlink>
            </w:p>
            <w:p w:rsidR="00F4223D" w:rsidRDefault="00B62F86" w:rsidP="003A089F">
              <w:pPr>
                <w:pStyle w:val="TM3"/>
              </w:pPr>
              <w:hyperlink w:anchor="_Toc171803626" w:history="1">
                <w:r w:rsidR="00F4223D" w:rsidRPr="008D22A6">
                  <w:rPr>
                    <w:rStyle w:val="Lienhypertexte"/>
                    <w:rtl/>
                  </w:rPr>
                  <w:t>1.1.10.4.</w:t>
                </w:r>
                <w:r w:rsidR="00F4223D">
                  <w:tab/>
                </w:r>
                <w:r w:rsidR="00F4223D" w:rsidRPr="008D22A6">
                  <w:rPr>
                    <w:rStyle w:val="Lienhypertexte"/>
                    <w:rFonts w:hint="eastAsia"/>
                    <w:rtl/>
                  </w:rPr>
                  <w:t>فئة</w:t>
                </w:r>
                <w:r w:rsidR="00F4223D" w:rsidRPr="008D22A6">
                  <w:rPr>
                    <w:rStyle w:val="Lienhypertexte"/>
                    <w:rtl/>
                  </w:rPr>
                  <w:t xml:space="preserve"> </w:t>
                </w:r>
                <w:r w:rsidR="00F4223D" w:rsidRPr="008D22A6">
                  <w:rPr>
                    <w:rStyle w:val="Lienhypertexte"/>
                    <w:rFonts w:hint="eastAsia"/>
                    <w:rtl/>
                  </w:rPr>
                  <w:t>النسيج</w:t>
                </w:r>
                <w:r w:rsidR="00F4223D" w:rsidRPr="008D22A6">
                  <w:rPr>
                    <w:rStyle w:val="Lienhypertexte"/>
                    <w:rtl/>
                  </w:rPr>
                  <w:t xml:space="preserve"> </w:t>
                </w:r>
                <w:r w:rsidR="00F4223D" w:rsidRPr="008D22A6">
                  <w:rPr>
                    <w:rStyle w:val="Lienhypertexte"/>
                    <w:rFonts w:hint="eastAsia"/>
                    <w:rtl/>
                  </w:rPr>
                  <w:t>الحضري</w:t>
                </w:r>
                <w:r w:rsidR="00F4223D" w:rsidRPr="008D22A6">
                  <w:rPr>
                    <w:rStyle w:val="Lienhypertexte"/>
                    <w:rtl/>
                  </w:rPr>
                  <w:t xml:space="preserve"> </w:t>
                </w:r>
                <w:r w:rsidR="00F4223D" w:rsidRPr="008D22A6">
                  <w:rPr>
                    <w:rStyle w:val="Lienhypertexte"/>
                    <w:rFonts w:hint="eastAsia"/>
                    <w:rtl/>
                  </w:rPr>
                  <w:t>القديم</w:t>
                </w:r>
                <w:r w:rsidR="00F4223D" w:rsidRPr="008D22A6">
                  <w:rPr>
                    <w:rStyle w:val="Lienhypertexte"/>
                    <w:rtl/>
                  </w:rPr>
                  <w:t xml:space="preserve"> (</w:t>
                </w:r>
                <w:r w:rsidR="00F4223D" w:rsidRPr="008D22A6">
                  <w:rPr>
                    <w:rStyle w:val="Lienhypertexte"/>
                    <w:rFonts w:hint="eastAsia"/>
                    <w:rtl/>
                  </w:rPr>
                  <w:t>أ</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_Toc171803626 \h </w:instrText>
                </w:r>
                <w:r w:rsidR="00F4223D">
                  <w:rPr>
                    <w:webHidden/>
                  </w:rPr>
                </w:r>
                <w:r w:rsidR="00F4223D">
                  <w:rPr>
                    <w:webHidden/>
                  </w:rPr>
                  <w:fldChar w:fldCharType="separate"/>
                </w:r>
                <w:r>
                  <w:rPr>
                    <w:webHidden/>
                    <w:rtl/>
                    <w:lang w:bidi="ar-SA"/>
                  </w:rPr>
                  <w:t>133</w:t>
                </w:r>
                <w:r w:rsidR="00F4223D">
                  <w:rPr>
                    <w:webHidden/>
                  </w:rPr>
                  <w:fldChar w:fldCharType="end"/>
                </w:r>
              </w:hyperlink>
            </w:p>
            <w:p w:rsidR="00F4223D" w:rsidRDefault="00B62F86" w:rsidP="009C7F0A">
              <w:pPr>
                <w:pStyle w:val="TM3"/>
              </w:pPr>
              <w:hyperlink w:anchor="_Toc171803629" w:history="1">
                <w:r w:rsidR="00F4223D" w:rsidRPr="008D22A6">
                  <w:rPr>
                    <w:rStyle w:val="Lienhypertexte"/>
                  </w:rPr>
                  <w:t>.</w:t>
                </w:r>
                <w:r w:rsidR="009C7F0A" w:rsidRPr="009C7F0A">
                  <w:rPr>
                    <w:rStyle w:val="Lienhypertexte"/>
                  </w:rPr>
                  <w:t>2.1.10.4</w:t>
                </w:r>
                <w:r w:rsidR="00F4223D">
                  <w:tab/>
                </w:r>
                <w:r w:rsidR="00F4223D" w:rsidRPr="008D22A6">
                  <w:rPr>
                    <w:rStyle w:val="Lienhypertexte"/>
                    <w:rFonts w:hint="eastAsia"/>
                    <w:rtl/>
                  </w:rPr>
                  <w:t>فئة</w:t>
                </w:r>
                <w:r w:rsidR="00F4223D" w:rsidRPr="008D22A6">
                  <w:rPr>
                    <w:rStyle w:val="Lienhypertexte"/>
                    <w:rtl/>
                  </w:rPr>
                  <w:t xml:space="preserve"> </w:t>
                </w:r>
                <w:r w:rsidR="00F4223D" w:rsidRPr="008D22A6">
                  <w:rPr>
                    <w:rStyle w:val="Lienhypertexte"/>
                    <w:rFonts w:hint="eastAsia"/>
                    <w:rtl/>
                  </w:rPr>
                  <w:t>النسيج</w:t>
                </w:r>
                <w:r w:rsidR="00F4223D" w:rsidRPr="008D22A6">
                  <w:rPr>
                    <w:rStyle w:val="Lienhypertexte"/>
                    <w:rtl/>
                  </w:rPr>
                  <w:t xml:space="preserve"> </w:t>
                </w:r>
                <w:r w:rsidR="00F4223D" w:rsidRPr="008D22A6">
                  <w:rPr>
                    <w:rStyle w:val="Lienhypertexte"/>
                    <w:rFonts w:hint="eastAsia"/>
                    <w:rtl/>
                  </w:rPr>
                  <w:t>الحضري</w:t>
                </w:r>
                <w:r w:rsidR="00F4223D" w:rsidRPr="008D22A6">
                  <w:rPr>
                    <w:rStyle w:val="Lienhypertexte"/>
                    <w:rtl/>
                  </w:rPr>
                  <w:t xml:space="preserve"> </w:t>
                </w:r>
                <w:r w:rsidR="00F4223D" w:rsidRPr="008D22A6">
                  <w:rPr>
                    <w:rStyle w:val="Lienhypertexte"/>
                    <w:rFonts w:hint="eastAsia"/>
                    <w:rtl/>
                  </w:rPr>
                  <w:t>الاستيطاني</w:t>
                </w:r>
                <w:r w:rsidR="00F4223D" w:rsidRPr="008D22A6">
                  <w:rPr>
                    <w:rStyle w:val="Lienhypertexte"/>
                    <w:rtl/>
                  </w:rPr>
                  <w:t xml:space="preserve"> (</w:t>
                </w:r>
                <w:r w:rsidR="00F4223D" w:rsidRPr="008D22A6">
                  <w:rPr>
                    <w:rStyle w:val="Lienhypertexte"/>
                    <w:rFonts w:hint="eastAsia"/>
                    <w:rtl/>
                  </w:rPr>
                  <w:t>ب</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_Toc171803629 \h </w:instrText>
                </w:r>
                <w:r w:rsidR="00F4223D">
                  <w:rPr>
                    <w:webHidden/>
                  </w:rPr>
                </w:r>
                <w:r w:rsidR="00F4223D">
                  <w:rPr>
                    <w:webHidden/>
                  </w:rPr>
                  <w:fldChar w:fldCharType="separate"/>
                </w:r>
                <w:r>
                  <w:rPr>
                    <w:webHidden/>
                    <w:rtl/>
                    <w:lang w:bidi="ar-SA"/>
                  </w:rPr>
                  <w:t>135</w:t>
                </w:r>
                <w:r w:rsidR="00F4223D">
                  <w:rPr>
                    <w:webHidden/>
                  </w:rPr>
                  <w:fldChar w:fldCharType="end"/>
                </w:r>
              </w:hyperlink>
            </w:p>
            <w:p w:rsidR="00F4223D" w:rsidRDefault="00B62F86" w:rsidP="003A089F">
              <w:pPr>
                <w:pStyle w:val="TM3"/>
              </w:pPr>
              <w:hyperlink w:anchor="_Toc171803632" w:history="1">
                <w:r w:rsidR="00F4223D" w:rsidRPr="008D22A6">
                  <w:rPr>
                    <w:rStyle w:val="Lienhypertexte"/>
                    <w:rtl/>
                    <w:lang w:val="en-US"/>
                  </w:rPr>
                  <w:t>3.1.10.4.</w:t>
                </w:r>
                <w:r w:rsidR="00F4223D">
                  <w:tab/>
                </w:r>
                <w:r w:rsidR="00F4223D" w:rsidRPr="008D22A6">
                  <w:rPr>
                    <w:rStyle w:val="Lienhypertexte"/>
                    <w:rFonts w:hint="eastAsia"/>
                    <w:rtl/>
                  </w:rPr>
                  <w:t>فئة</w:t>
                </w:r>
                <w:r w:rsidR="00F4223D" w:rsidRPr="008D22A6">
                  <w:rPr>
                    <w:rStyle w:val="Lienhypertexte"/>
                    <w:rtl/>
                  </w:rPr>
                  <w:t xml:space="preserve"> </w:t>
                </w:r>
                <w:r w:rsidR="00F4223D" w:rsidRPr="008D22A6">
                  <w:rPr>
                    <w:rStyle w:val="Lienhypertexte"/>
                    <w:rFonts w:hint="eastAsia"/>
                    <w:rtl/>
                  </w:rPr>
                  <w:t>النسيج</w:t>
                </w:r>
                <w:r w:rsidR="00F4223D" w:rsidRPr="008D22A6">
                  <w:rPr>
                    <w:rStyle w:val="Lienhypertexte"/>
                    <w:rtl/>
                  </w:rPr>
                  <w:t xml:space="preserve"> </w:t>
                </w:r>
                <w:r w:rsidR="00F4223D" w:rsidRPr="008D22A6">
                  <w:rPr>
                    <w:rStyle w:val="Lienhypertexte"/>
                    <w:rFonts w:hint="eastAsia"/>
                    <w:rtl/>
                  </w:rPr>
                  <w:t>الحضري</w:t>
                </w:r>
                <w:r w:rsidR="00F4223D" w:rsidRPr="008D22A6">
                  <w:rPr>
                    <w:rStyle w:val="Lienhypertexte"/>
                    <w:rtl/>
                  </w:rPr>
                  <w:t xml:space="preserve"> </w:t>
                </w:r>
                <w:r w:rsidR="00F4223D" w:rsidRPr="008D22A6">
                  <w:rPr>
                    <w:rStyle w:val="Lienhypertexte"/>
                    <w:rFonts w:hint="eastAsia"/>
                    <w:rtl/>
                  </w:rPr>
                  <w:t>غير</w:t>
                </w:r>
                <w:r w:rsidR="00F4223D" w:rsidRPr="008D22A6">
                  <w:rPr>
                    <w:rStyle w:val="Lienhypertexte"/>
                    <w:rtl/>
                  </w:rPr>
                  <w:t xml:space="preserve"> </w:t>
                </w:r>
                <w:r w:rsidR="00F4223D" w:rsidRPr="008D22A6">
                  <w:rPr>
                    <w:rStyle w:val="Lienhypertexte"/>
                    <w:rFonts w:hint="eastAsia"/>
                    <w:rtl/>
                  </w:rPr>
                  <w:t>المخطط</w:t>
                </w:r>
                <w:r w:rsidR="00F4223D" w:rsidRPr="008D22A6">
                  <w:rPr>
                    <w:rStyle w:val="Lienhypertexte"/>
                    <w:rtl/>
                  </w:rPr>
                  <w:t xml:space="preserve"> (</w:t>
                </w:r>
                <w:r w:rsidR="00F4223D" w:rsidRPr="008D22A6">
                  <w:rPr>
                    <w:rStyle w:val="Lienhypertexte"/>
                    <w:rFonts w:hint="eastAsia"/>
                    <w:rtl/>
                  </w:rPr>
                  <w:t>جـ</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_Toc171803632 \h </w:instrText>
                </w:r>
                <w:r w:rsidR="00F4223D">
                  <w:rPr>
                    <w:webHidden/>
                  </w:rPr>
                </w:r>
                <w:r w:rsidR="00F4223D">
                  <w:rPr>
                    <w:webHidden/>
                  </w:rPr>
                  <w:fldChar w:fldCharType="separate"/>
                </w:r>
                <w:r>
                  <w:rPr>
                    <w:webHidden/>
                    <w:rtl/>
                    <w:lang w:bidi="ar-SA"/>
                  </w:rPr>
                  <w:t>136</w:t>
                </w:r>
                <w:r w:rsidR="00F4223D">
                  <w:rPr>
                    <w:webHidden/>
                  </w:rPr>
                  <w:fldChar w:fldCharType="end"/>
                </w:r>
              </w:hyperlink>
            </w:p>
            <w:p w:rsidR="00F4223D" w:rsidRDefault="00B62F86" w:rsidP="003A089F">
              <w:pPr>
                <w:pStyle w:val="TM3"/>
              </w:pPr>
              <w:hyperlink w:anchor="_Toc171803635" w:history="1">
                <w:r w:rsidR="00F4223D" w:rsidRPr="008D22A6">
                  <w:rPr>
                    <w:rStyle w:val="Lienhypertexte"/>
                    <w:rtl/>
                    <w:lang w:val="en-US"/>
                  </w:rPr>
                  <w:t>4.1.10.4.</w:t>
                </w:r>
                <w:r w:rsidR="00F4223D">
                  <w:tab/>
                </w:r>
                <w:r w:rsidR="00F4223D" w:rsidRPr="008D22A6">
                  <w:rPr>
                    <w:rStyle w:val="Lienhypertexte"/>
                    <w:rFonts w:hint="eastAsia"/>
                    <w:rtl/>
                  </w:rPr>
                  <w:t>فئة</w:t>
                </w:r>
                <w:r w:rsidR="00F4223D" w:rsidRPr="008D22A6">
                  <w:rPr>
                    <w:rStyle w:val="Lienhypertexte"/>
                    <w:rtl/>
                  </w:rPr>
                  <w:t xml:space="preserve"> </w:t>
                </w:r>
                <w:r w:rsidR="00F4223D" w:rsidRPr="008D22A6">
                  <w:rPr>
                    <w:rStyle w:val="Lienhypertexte"/>
                    <w:rFonts w:hint="eastAsia"/>
                    <w:rtl/>
                  </w:rPr>
                  <w:t>النسيج</w:t>
                </w:r>
                <w:r w:rsidR="00F4223D" w:rsidRPr="008D22A6">
                  <w:rPr>
                    <w:rStyle w:val="Lienhypertexte"/>
                    <w:rtl/>
                  </w:rPr>
                  <w:t xml:space="preserve"> </w:t>
                </w:r>
                <w:r w:rsidR="00F4223D" w:rsidRPr="008D22A6">
                  <w:rPr>
                    <w:rStyle w:val="Lienhypertexte"/>
                    <w:rFonts w:hint="eastAsia"/>
                    <w:rtl/>
                  </w:rPr>
                  <w:t>الحضري</w:t>
                </w:r>
                <w:r w:rsidR="00F4223D" w:rsidRPr="008D22A6">
                  <w:rPr>
                    <w:rStyle w:val="Lienhypertexte"/>
                    <w:rtl/>
                  </w:rPr>
                  <w:t xml:space="preserve"> </w:t>
                </w:r>
                <w:r w:rsidR="00F4223D" w:rsidRPr="008D22A6">
                  <w:rPr>
                    <w:rStyle w:val="Lienhypertexte"/>
                    <w:rFonts w:hint="eastAsia"/>
                    <w:rtl/>
                  </w:rPr>
                  <w:t>المخطط</w:t>
                </w:r>
                <w:r w:rsidR="00F4223D" w:rsidRPr="008D22A6">
                  <w:rPr>
                    <w:rStyle w:val="Lienhypertexte"/>
                    <w:rtl/>
                  </w:rPr>
                  <w:t xml:space="preserve"> (</w:t>
                </w:r>
                <w:r w:rsidR="00F4223D" w:rsidRPr="008D22A6">
                  <w:rPr>
                    <w:rStyle w:val="Lienhypertexte"/>
                    <w:rFonts w:hint="eastAsia"/>
                    <w:rtl/>
                  </w:rPr>
                  <w:t>د</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_Toc171803635 \h </w:instrText>
                </w:r>
                <w:r w:rsidR="00F4223D">
                  <w:rPr>
                    <w:webHidden/>
                  </w:rPr>
                </w:r>
                <w:r w:rsidR="00F4223D">
                  <w:rPr>
                    <w:webHidden/>
                  </w:rPr>
                  <w:fldChar w:fldCharType="separate"/>
                </w:r>
                <w:r>
                  <w:rPr>
                    <w:webHidden/>
                    <w:rtl/>
                    <w:lang w:bidi="ar-SA"/>
                  </w:rPr>
                  <w:t>138</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638" w:history="1">
                <w:r w:rsidR="00F4223D" w:rsidRPr="008D22A6">
                  <w:rPr>
                    <w:rStyle w:val="Lienhypertexte"/>
                    <w:rFonts w:hint="eastAsia"/>
                    <w:rtl/>
                  </w:rPr>
                  <w:t>الخلاصة</w:t>
                </w:r>
                <w:r w:rsidR="009C7F0A">
                  <w:rPr>
                    <w:rStyle w:val="Lienhypertexte"/>
                    <w:rFonts w:hint="cs"/>
                    <w:rtl/>
                  </w:rPr>
                  <w:t>...............................................................................................................</w:t>
                </w:r>
                <w:r w:rsidR="00F4223D">
                  <w:rPr>
                    <w:webHidden/>
                  </w:rPr>
                  <w:tab/>
                </w:r>
                <w:r w:rsidR="00F4223D">
                  <w:rPr>
                    <w:webHidden/>
                  </w:rPr>
                  <w:fldChar w:fldCharType="begin"/>
                </w:r>
                <w:r w:rsidR="00F4223D">
                  <w:rPr>
                    <w:webHidden/>
                  </w:rPr>
                  <w:instrText xml:space="preserve"> PAGEREF _Toc171803638 \h </w:instrText>
                </w:r>
                <w:r w:rsidR="00F4223D">
                  <w:rPr>
                    <w:webHidden/>
                  </w:rPr>
                </w:r>
                <w:r w:rsidR="00F4223D">
                  <w:rPr>
                    <w:webHidden/>
                  </w:rPr>
                  <w:fldChar w:fldCharType="separate"/>
                </w:r>
                <w:r>
                  <w:rPr>
                    <w:webHidden/>
                    <w:rtl/>
                    <w:lang w:bidi="ar-SA"/>
                  </w:rPr>
                  <w:t>140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639" w:history="1">
                <w:r w:rsidR="00F4223D" w:rsidRPr="008D22A6">
                  <w:rPr>
                    <w:rStyle w:val="Lienhypertexte"/>
                    <w:rFonts w:hint="eastAsia"/>
                    <w:rtl/>
                  </w:rPr>
                  <w:t>الفصل</w:t>
                </w:r>
                <w:r w:rsidR="00F4223D" w:rsidRPr="008D22A6">
                  <w:rPr>
                    <w:rStyle w:val="Lienhypertexte"/>
                    <w:rtl/>
                  </w:rPr>
                  <w:t xml:space="preserve"> 5: </w:t>
                </w:r>
                <w:r w:rsidR="00F4223D" w:rsidRPr="008D22A6">
                  <w:rPr>
                    <w:rStyle w:val="Lienhypertexte"/>
                    <w:rFonts w:hint="eastAsia"/>
                    <w:rtl/>
                  </w:rPr>
                  <w:t>تنفيذ</w:t>
                </w:r>
                <w:r w:rsidR="00F4223D" w:rsidRPr="008D22A6">
                  <w:rPr>
                    <w:rStyle w:val="Lienhypertexte"/>
                    <w:rtl/>
                  </w:rPr>
                  <w:t xml:space="preserve"> </w:t>
                </w:r>
                <w:r w:rsidR="00F4223D" w:rsidRPr="008D22A6">
                  <w:rPr>
                    <w:rStyle w:val="Lienhypertexte"/>
                    <w:rFonts w:hint="eastAsia"/>
                    <w:rtl/>
                  </w:rPr>
                  <w:t>اطار</w:t>
                </w:r>
                <w:r w:rsidR="00F4223D" w:rsidRPr="008D22A6">
                  <w:rPr>
                    <w:rStyle w:val="Lienhypertexte"/>
                    <w:rtl/>
                  </w:rPr>
                  <w:t xml:space="preserve"> </w:t>
                </w:r>
                <w:r w:rsidR="00F4223D" w:rsidRPr="008D22A6">
                  <w:rPr>
                    <w:rStyle w:val="Lienhypertexte"/>
                    <w:rFonts w:hint="eastAsia"/>
                    <w:rtl/>
                  </w:rPr>
                  <w:t>عمل</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مرونة</w:t>
                </w:r>
                <w:r w:rsidR="00F4223D" w:rsidRPr="008D22A6">
                  <w:rPr>
                    <w:rStyle w:val="Lienhypertexte"/>
                    <w:rtl/>
                  </w:rPr>
                  <w:t xml:space="preserve"> </w:t>
                </w:r>
                <w:r w:rsidR="00F4223D" w:rsidRPr="008D22A6">
                  <w:rPr>
                    <w:rStyle w:val="Lienhypertexte"/>
                    <w:rFonts w:hint="eastAsia"/>
                    <w:rtl/>
                  </w:rPr>
                  <w:t>مدينة</w:t>
                </w:r>
                <w:r w:rsidR="00F4223D" w:rsidRPr="008D22A6">
                  <w:rPr>
                    <w:rStyle w:val="Lienhypertexte"/>
                    <w:rtl/>
                  </w:rPr>
                  <w:t xml:space="preserve"> </w:t>
                </w:r>
                <w:r w:rsidR="00F4223D" w:rsidRPr="008D22A6">
                  <w:rPr>
                    <w:rStyle w:val="Lienhypertexte"/>
                    <w:rFonts w:hint="eastAsia"/>
                    <w:rtl/>
                  </w:rPr>
                  <w:t>بوسعادة</w:t>
                </w:r>
              </w:hyperlink>
            </w:p>
            <w:p w:rsidR="00F4223D" w:rsidRDefault="00B62F86" w:rsidP="009579D2">
              <w:pPr>
                <w:pStyle w:val="TM1"/>
                <w:rPr>
                  <w:rFonts w:asciiTheme="minorHAnsi" w:hAnsiTheme="minorHAnsi" w:cstheme="minorBidi"/>
                  <w:color w:val="auto"/>
                  <w:lang w:val="fr-FR" w:bidi="ar-SA"/>
                </w:rPr>
              </w:pPr>
              <w:hyperlink w:anchor="_Toc171803640" w:history="1">
                <w:r w:rsidR="00F4223D" w:rsidRPr="008D22A6">
                  <w:rPr>
                    <w:rStyle w:val="Lienhypertexte"/>
                    <w:rFonts w:hint="eastAsia"/>
                    <w:rtl/>
                  </w:rPr>
                  <w:t>تمهيد</w:t>
                </w:r>
                <w:r w:rsidR="009C7F0A">
                  <w:rPr>
                    <w:rStyle w:val="Lienhypertexte"/>
                    <w:rFonts w:hint="cs"/>
                    <w:rtl/>
                  </w:rPr>
                  <w:t>...................................................................................................................</w:t>
                </w:r>
                <w:r w:rsidR="00F4223D">
                  <w:rPr>
                    <w:webHidden/>
                  </w:rPr>
                  <w:tab/>
                </w:r>
                <w:r w:rsidR="00F4223D">
                  <w:rPr>
                    <w:webHidden/>
                  </w:rPr>
                  <w:fldChar w:fldCharType="begin"/>
                </w:r>
                <w:r w:rsidR="00F4223D">
                  <w:rPr>
                    <w:webHidden/>
                  </w:rPr>
                  <w:instrText xml:space="preserve"> PAGEREF _Toc171803640 \h </w:instrText>
                </w:r>
                <w:r w:rsidR="00F4223D">
                  <w:rPr>
                    <w:webHidden/>
                  </w:rPr>
                </w:r>
                <w:r w:rsidR="00F4223D">
                  <w:rPr>
                    <w:webHidden/>
                  </w:rPr>
                  <w:fldChar w:fldCharType="separate"/>
                </w:r>
                <w:r>
                  <w:rPr>
                    <w:webHidden/>
                    <w:rtl/>
                    <w:lang w:bidi="ar-SA"/>
                  </w:rPr>
                  <w:t>141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641" w:history="1">
                <w:r w:rsidR="00F4223D" w:rsidRPr="008D22A6">
                  <w:rPr>
                    <w:rStyle w:val="Lienhypertexte"/>
                    <w:rtl/>
                  </w:rPr>
                  <w:t>1.5.</w:t>
                </w:r>
                <w:r w:rsidR="009C7F0A" w:rsidRPr="009C7F0A">
                  <w:rPr>
                    <w:rFonts w:hint="eastAsia"/>
                    <w:rtl/>
                  </w:rPr>
                  <w:t xml:space="preserve"> </w:t>
                </w:r>
                <w:r w:rsidR="009C7F0A" w:rsidRPr="009C7F0A">
                  <w:rPr>
                    <w:rStyle w:val="Lienhypertexte"/>
                    <w:rFonts w:hint="eastAsia"/>
                    <w:rtl/>
                  </w:rPr>
                  <w:t>مكونات</w:t>
                </w:r>
                <w:r w:rsidR="009C7F0A" w:rsidRPr="009C7F0A">
                  <w:rPr>
                    <w:rStyle w:val="Lienhypertexte"/>
                    <w:rtl/>
                  </w:rPr>
                  <w:t xml:space="preserve"> </w:t>
                </w:r>
                <w:r w:rsidR="009C7F0A" w:rsidRPr="009C7F0A">
                  <w:rPr>
                    <w:rStyle w:val="Lienhypertexte"/>
                    <w:rFonts w:hint="eastAsia"/>
                    <w:rtl/>
                  </w:rPr>
                  <w:t>المرونة</w:t>
                </w:r>
                <w:r w:rsidR="009C7F0A" w:rsidRPr="009C7F0A">
                  <w:rPr>
                    <w:rStyle w:val="Lienhypertexte"/>
                    <w:rtl/>
                  </w:rPr>
                  <w:t xml:space="preserve"> </w:t>
                </w:r>
                <w:r w:rsidR="009C7F0A" w:rsidRPr="009C7F0A">
                  <w:rPr>
                    <w:rStyle w:val="Lienhypertexte"/>
                    <w:rFonts w:hint="eastAsia"/>
                    <w:rtl/>
                  </w:rPr>
                  <w:t>الحضرية</w:t>
                </w:r>
                <w:r w:rsidR="009C7F0A" w:rsidRPr="009C7F0A">
                  <w:rPr>
                    <w:rStyle w:val="Lienhypertexte"/>
                    <w:rtl/>
                  </w:rPr>
                  <w:t xml:space="preserve"> </w:t>
                </w:r>
                <w:r w:rsidR="009C7F0A" w:rsidRPr="009C7F0A">
                  <w:rPr>
                    <w:rStyle w:val="Lienhypertexte"/>
                    <w:rFonts w:hint="eastAsia"/>
                    <w:rtl/>
                  </w:rPr>
                  <w:t>لمدينة</w:t>
                </w:r>
                <w:r w:rsidR="009C7F0A" w:rsidRPr="009C7F0A">
                  <w:rPr>
                    <w:rStyle w:val="Lienhypertexte"/>
                    <w:rtl/>
                  </w:rPr>
                  <w:t xml:space="preserve"> </w:t>
                </w:r>
                <w:r w:rsidR="009C7F0A" w:rsidRPr="009C7F0A">
                  <w:rPr>
                    <w:rStyle w:val="Lienhypertexte"/>
                    <w:rFonts w:hint="eastAsia"/>
                    <w:rtl/>
                  </w:rPr>
                  <w:t>بوسعادة</w:t>
                </w:r>
                <w:r w:rsidR="009C7F0A">
                  <w:rPr>
                    <w:rStyle w:val="Lienhypertexte"/>
                    <w:rFonts w:hint="cs"/>
                    <w:rtl/>
                  </w:rPr>
                  <w:t>........................................................................</w:t>
                </w:r>
                <w:r w:rsidR="00F4223D">
                  <w:rPr>
                    <w:webHidden/>
                  </w:rPr>
                  <w:tab/>
                </w:r>
                <w:r w:rsidR="00F4223D">
                  <w:rPr>
                    <w:webHidden/>
                  </w:rPr>
                  <w:fldChar w:fldCharType="begin"/>
                </w:r>
                <w:r w:rsidR="00F4223D">
                  <w:rPr>
                    <w:webHidden/>
                  </w:rPr>
                  <w:instrText xml:space="preserve"> PAGEREF _Toc171803641 \h </w:instrText>
                </w:r>
                <w:r w:rsidR="00F4223D">
                  <w:rPr>
                    <w:webHidden/>
                  </w:rPr>
                </w:r>
                <w:r w:rsidR="00F4223D">
                  <w:rPr>
                    <w:webHidden/>
                  </w:rPr>
                  <w:fldChar w:fldCharType="separate"/>
                </w:r>
                <w:r>
                  <w:rPr>
                    <w:webHidden/>
                    <w:rtl/>
                    <w:lang w:bidi="ar-SA"/>
                  </w:rPr>
                  <w:t>141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644" w:history="1">
                <w:r w:rsidR="00F4223D" w:rsidRPr="008D22A6">
                  <w:rPr>
                    <w:rStyle w:val="Lienhypertexte"/>
                    <w:rtl/>
                  </w:rPr>
                  <w:t>2.5.</w:t>
                </w:r>
                <w:r w:rsidR="009C7F0A" w:rsidRPr="009C7F0A">
                  <w:rPr>
                    <w:rFonts w:hint="eastAsia"/>
                    <w:rtl/>
                  </w:rPr>
                  <w:t xml:space="preserve"> </w:t>
                </w:r>
                <w:r w:rsidR="009C7F0A" w:rsidRPr="009C7F0A">
                  <w:rPr>
                    <w:rStyle w:val="Lienhypertexte"/>
                    <w:rFonts w:hint="eastAsia"/>
                    <w:rtl/>
                  </w:rPr>
                  <w:t>الاطار</w:t>
                </w:r>
                <w:r w:rsidR="009C7F0A" w:rsidRPr="009C7F0A">
                  <w:rPr>
                    <w:rStyle w:val="Lienhypertexte"/>
                    <w:rtl/>
                  </w:rPr>
                  <w:t xml:space="preserve"> </w:t>
                </w:r>
                <w:r w:rsidR="009C7F0A" w:rsidRPr="009C7F0A">
                  <w:rPr>
                    <w:rStyle w:val="Lienhypertexte"/>
                    <w:rFonts w:hint="eastAsia"/>
                    <w:rtl/>
                  </w:rPr>
                  <w:t>الزمني</w:t>
                </w:r>
                <w:r w:rsidR="009C7F0A" w:rsidRPr="009C7F0A">
                  <w:rPr>
                    <w:rStyle w:val="Lienhypertexte"/>
                    <w:rtl/>
                  </w:rPr>
                  <w:t xml:space="preserve"> </w:t>
                </w:r>
                <w:r w:rsidR="009C7F0A" w:rsidRPr="009C7F0A">
                  <w:rPr>
                    <w:rStyle w:val="Lienhypertexte"/>
                    <w:rFonts w:hint="eastAsia"/>
                    <w:rtl/>
                  </w:rPr>
                  <w:t>لتحليل</w:t>
                </w:r>
                <w:r w:rsidR="009C7F0A" w:rsidRPr="009C7F0A">
                  <w:rPr>
                    <w:rStyle w:val="Lienhypertexte"/>
                    <w:rtl/>
                  </w:rPr>
                  <w:t xml:space="preserve"> </w:t>
                </w:r>
                <w:r w:rsidR="009C7F0A" w:rsidRPr="009C7F0A">
                  <w:rPr>
                    <w:rStyle w:val="Lienhypertexte"/>
                    <w:rFonts w:hint="eastAsia"/>
                    <w:rtl/>
                  </w:rPr>
                  <w:t>المرونة</w:t>
                </w:r>
                <w:r w:rsidR="009C7F0A" w:rsidRPr="009C7F0A">
                  <w:rPr>
                    <w:rStyle w:val="Lienhypertexte"/>
                    <w:rtl/>
                  </w:rPr>
                  <w:t xml:space="preserve"> </w:t>
                </w:r>
                <w:r w:rsidR="009C7F0A" w:rsidRPr="009C7F0A">
                  <w:rPr>
                    <w:rStyle w:val="Lienhypertexte"/>
                    <w:rFonts w:hint="eastAsia"/>
                    <w:rtl/>
                  </w:rPr>
                  <w:t>الحضرية</w:t>
                </w:r>
                <w:r w:rsidR="009C7F0A">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_Toc171803644 \h </w:instrText>
                </w:r>
                <w:r w:rsidR="00F4223D">
                  <w:rPr>
                    <w:webHidden/>
                  </w:rPr>
                </w:r>
                <w:r w:rsidR="00F4223D">
                  <w:rPr>
                    <w:webHidden/>
                  </w:rPr>
                  <w:fldChar w:fldCharType="separate"/>
                </w:r>
                <w:r>
                  <w:rPr>
                    <w:webHidden/>
                    <w:rtl/>
                    <w:lang w:bidi="ar-SA"/>
                  </w:rPr>
                  <w:t>142</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647" w:history="1">
                <w:r w:rsidR="00F4223D" w:rsidRPr="008D22A6">
                  <w:rPr>
                    <w:rStyle w:val="Lienhypertexte"/>
                    <w:rtl/>
                  </w:rPr>
                  <w:t>3.5.</w:t>
                </w:r>
                <w:r w:rsidR="009C7F0A" w:rsidRPr="009C7F0A">
                  <w:rPr>
                    <w:rFonts w:hint="eastAsia"/>
                    <w:rtl/>
                  </w:rPr>
                  <w:t xml:space="preserve"> </w:t>
                </w:r>
                <w:r w:rsidR="009C7F0A" w:rsidRPr="009C7F0A">
                  <w:rPr>
                    <w:rStyle w:val="Lienhypertexte"/>
                    <w:rFonts w:hint="eastAsia"/>
                    <w:rtl/>
                  </w:rPr>
                  <w:t>طريقة</w:t>
                </w:r>
                <w:r w:rsidR="009C7F0A" w:rsidRPr="009C7F0A">
                  <w:rPr>
                    <w:rStyle w:val="Lienhypertexte"/>
                    <w:rtl/>
                  </w:rPr>
                  <w:t xml:space="preserve"> </w:t>
                </w:r>
                <w:r w:rsidR="009C7F0A" w:rsidRPr="009C7F0A">
                  <w:rPr>
                    <w:rStyle w:val="Lienhypertexte"/>
                    <w:rFonts w:hint="eastAsia"/>
                    <w:rtl/>
                  </w:rPr>
                  <w:t>تنفيذ</w:t>
                </w:r>
                <w:r w:rsidR="009C7F0A" w:rsidRPr="009C7F0A">
                  <w:rPr>
                    <w:rStyle w:val="Lienhypertexte"/>
                    <w:rtl/>
                  </w:rPr>
                  <w:t xml:space="preserve"> </w:t>
                </w:r>
                <w:r w:rsidR="009C7F0A" w:rsidRPr="009C7F0A">
                  <w:rPr>
                    <w:rStyle w:val="Lienhypertexte"/>
                    <w:rFonts w:hint="eastAsia"/>
                    <w:rtl/>
                  </w:rPr>
                  <w:t>اطار</w:t>
                </w:r>
                <w:r w:rsidR="009C7F0A" w:rsidRPr="009C7F0A">
                  <w:rPr>
                    <w:rStyle w:val="Lienhypertexte"/>
                    <w:rtl/>
                  </w:rPr>
                  <w:t xml:space="preserve"> </w:t>
                </w:r>
                <w:r w:rsidR="009C7F0A" w:rsidRPr="009C7F0A">
                  <w:rPr>
                    <w:rStyle w:val="Lienhypertexte"/>
                    <w:rFonts w:hint="eastAsia"/>
                    <w:rtl/>
                  </w:rPr>
                  <w:t>عمل</w:t>
                </w:r>
                <w:r w:rsidR="009C7F0A" w:rsidRPr="009C7F0A">
                  <w:rPr>
                    <w:rStyle w:val="Lienhypertexte"/>
                    <w:rtl/>
                  </w:rPr>
                  <w:t xml:space="preserve"> </w:t>
                </w:r>
                <w:r w:rsidR="009C7F0A" w:rsidRPr="009C7F0A">
                  <w:rPr>
                    <w:rStyle w:val="Lienhypertexte"/>
                    <w:rFonts w:hint="eastAsia"/>
                    <w:rtl/>
                  </w:rPr>
                  <w:t>تقييم</w:t>
                </w:r>
                <w:r w:rsidR="009C7F0A" w:rsidRPr="009C7F0A">
                  <w:rPr>
                    <w:rStyle w:val="Lienhypertexte"/>
                    <w:rtl/>
                  </w:rPr>
                  <w:t xml:space="preserve"> </w:t>
                </w:r>
                <w:r w:rsidR="009C7F0A" w:rsidRPr="009C7F0A">
                  <w:rPr>
                    <w:rStyle w:val="Lienhypertexte"/>
                    <w:rFonts w:hint="eastAsia"/>
                    <w:rtl/>
                  </w:rPr>
                  <w:t>المرونة</w:t>
                </w:r>
                <w:r w:rsidR="009C7F0A" w:rsidRPr="009C7F0A">
                  <w:rPr>
                    <w:rStyle w:val="Lienhypertexte"/>
                    <w:rtl/>
                  </w:rPr>
                  <w:t xml:space="preserve"> </w:t>
                </w:r>
                <w:r w:rsidR="009C7F0A" w:rsidRPr="009C7F0A">
                  <w:rPr>
                    <w:rStyle w:val="Lienhypertexte"/>
                    <w:rFonts w:hint="eastAsia"/>
                    <w:rtl/>
                  </w:rPr>
                  <w:t>الحضرية</w:t>
                </w:r>
                <w:r w:rsidR="009C7F0A">
                  <w:rPr>
                    <w:rStyle w:val="Lienhypertexte"/>
                    <w:rFonts w:hint="cs"/>
                    <w:rtl/>
                  </w:rPr>
                  <w:t>...................................................................</w:t>
                </w:r>
                <w:r w:rsidR="00F4223D">
                  <w:rPr>
                    <w:webHidden/>
                  </w:rPr>
                  <w:tab/>
                </w:r>
                <w:r w:rsidR="00F4223D">
                  <w:rPr>
                    <w:webHidden/>
                  </w:rPr>
                  <w:fldChar w:fldCharType="begin"/>
                </w:r>
                <w:r w:rsidR="00F4223D">
                  <w:rPr>
                    <w:webHidden/>
                  </w:rPr>
                  <w:instrText xml:space="preserve"> PAGEREF _Toc171803647 \h </w:instrText>
                </w:r>
                <w:r w:rsidR="00F4223D">
                  <w:rPr>
                    <w:webHidden/>
                  </w:rPr>
                </w:r>
                <w:r w:rsidR="00F4223D">
                  <w:rPr>
                    <w:webHidden/>
                  </w:rPr>
                  <w:fldChar w:fldCharType="separate"/>
                </w:r>
                <w:r>
                  <w:rPr>
                    <w:webHidden/>
                    <w:rtl/>
                    <w:lang w:bidi="ar-SA"/>
                  </w:rPr>
                  <w:t>143</w:t>
                </w:r>
                <w:r w:rsidR="00F4223D">
                  <w:rPr>
                    <w:webHidden/>
                  </w:rPr>
                  <w:fldChar w:fldCharType="end"/>
                </w:r>
              </w:hyperlink>
            </w:p>
            <w:p w:rsidR="00F4223D" w:rsidRDefault="00B62F86" w:rsidP="009C7F0A">
              <w:pPr>
                <w:pStyle w:val="TM2"/>
                <w:spacing w:after="0"/>
                <w:rPr>
                  <w:rFonts w:asciiTheme="minorHAnsi" w:hAnsiTheme="minorHAnsi" w:cstheme="minorBidi"/>
                  <w:lang w:val="fr-FR"/>
                </w:rPr>
              </w:pPr>
              <w:hyperlink w:anchor="_Toc171803650" w:history="1">
                <w:r w:rsidR="00F4223D" w:rsidRPr="008D22A6">
                  <w:rPr>
                    <w:rStyle w:val="Lienhypertexte"/>
                  </w:rPr>
                  <w:t>1.3.5.</w:t>
                </w:r>
                <w:r w:rsidR="00F4223D">
                  <w:rPr>
                    <w:rFonts w:asciiTheme="minorHAnsi" w:hAnsiTheme="minorHAnsi" w:cstheme="minorBidi"/>
                    <w:lang w:val="fr-FR"/>
                  </w:rPr>
                  <w:tab/>
                </w:r>
                <w:r w:rsidR="00F4223D" w:rsidRPr="008D22A6">
                  <w:rPr>
                    <w:rStyle w:val="Lienhypertexte"/>
                    <w:rFonts w:hint="eastAsia"/>
                    <w:rtl/>
                  </w:rPr>
                  <w:t>مقارنة</w:t>
                </w:r>
                <w:r w:rsidR="00F4223D" w:rsidRPr="008D22A6">
                  <w:rPr>
                    <w:rStyle w:val="Lienhypertexte"/>
                    <w:rtl/>
                  </w:rPr>
                  <w:t xml:space="preserve"> </w:t>
                </w:r>
                <w:r w:rsidR="00F4223D" w:rsidRPr="008D22A6">
                  <w:rPr>
                    <w:rStyle w:val="Lienhypertexte"/>
                    <w:rFonts w:hint="eastAsia"/>
                    <w:rtl/>
                  </w:rPr>
                  <w:t>بين</w:t>
                </w:r>
                <w:r w:rsidR="00F4223D" w:rsidRPr="008D22A6">
                  <w:rPr>
                    <w:rStyle w:val="Lienhypertexte"/>
                    <w:rtl/>
                  </w:rPr>
                  <w:t xml:space="preserve"> </w:t>
                </w:r>
                <w:r w:rsidR="00F4223D" w:rsidRPr="008D22A6">
                  <w:rPr>
                    <w:rStyle w:val="Lienhypertexte"/>
                    <w:rFonts w:hint="eastAsia"/>
                    <w:rtl/>
                  </w:rPr>
                  <w:t>ادوات</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الشاملة</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GURAT</w:t>
                </w:r>
                <w:r w:rsidR="00F4223D" w:rsidRPr="008D22A6">
                  <w:rPr>
                    <w:rStyle w:val="Lienhypertexte"/>
                    <w:rFonts w:asciiTheme="majorBidi" w:hAnsiTheme="majorBidi" w:cstheme="majorBidi"/>
                    <w:rtl/>
                  </w:rPr>
                  <w:t>)</w:t>
                </w:r>
                <w:r w:rsidR="00F4223D">
                  <w:rPr>
                    <w:webHidden/>
                  </w:rPr>
                  <w:tab/>
                </w:r>
                <w:r w:rsidR="00F4223D">
                  <w:rPr>
                    <w:webHidden/>
                  </w:rPr>
                  <w:fldChar w:fldCharType="begin"/>
                </w:r>
                <w:r w:rsidR="00F4223D">
                  <w:rPr>
                    <w:webHidden/>
                  </w:rPr>
                  <w:instrText xml:space="preserve"> PAGEREF _Toc171803650 \h </w:instrText>
                </w:r>
                <w:r w:rsidR="00F4223D">
                  <w:rPr>
                    <w:webHidden/>
                  </w:rPr>
                </w:r>
                <w:r w:rsidR="00F4223D">
                  <w:rPr>
                    <w:webHidden/>
                  </w:rPr>
                  <w:fldChar w:fldCharType="separate"/>
                </w:r>
                <w:r>
                  <w:rPr>
                    <w:webHidden/>
                    <w:rtl/>
                  </w:rPr>
                  <w:t>144</w:t>
                </w:r>
                <w:r w:rsidR="00F4223D">
                  <w:rPr>
                    <w:webHidden/>
                  </w:rPr>
                  <w:fldChar w:fldCharType="end"/>
                </w:r>
              </w:hyperlink>
            </w:p>
            <w:p w:rsidR="00F4223D" w:rsidRDefault="00B62F86" w:rsidP="009C7F0A">
              <w:pPr>
                <w:pStyle w:val="TM2"/>
                <w:spacing w:after="0"/>
                <w:rPr>
                  <w:rFonts w:asciiTheme="minorHAnsi" w:hAnsiTheme="minorHAnsi" w:cstheme="minorBidi"/>
                  <w:lang w:val="fr-FR"/>
                </w:rPr>
              </w:pPr>
              <w:hyperlink w:anchor="_Toc171803652" w:history="1">
                <w:r w:rsidR="00F4223D" w:rsidRPr="008D22A6">
                  <w:rPr>
                    <w:rStyle w:val="Lienhypertexte"/>
                  </w:rPr>
                  <w:t>2.3.5.</w:t>
                </w:r>
                <w:r w:rsidR="00F4223D">
                  <w:rPr>
                    <w:rFonts w:asciiTheme="minorHAnsi" w:hAnsiTheme="minorHAnsi" w:cstheme="minorBidi"/>
                    <w:lang w:val="fr-FR"/>
                  </w:rPr>
                  <w:tab/>
                </w:r>
                <w:r w:rsidR="00F4223D" w:rsidRPr="008D22A6">
                  <w:rPr>
                    <w:rStyle w:val="Lienhypertexte"/>
                    <w:rFonts w:hint="eastAsia"/>
                    <w:rtl/>
                  </w:rPr>
                  <w:t>تحديد</w:t>
                </w:r>
                <w:r w:rsidR="00F4223D" w:rsidRPr="008D22A6">
                  <w:rPr>
                    <w:rStyle w:val="Lienhypertexte"/>
                    <w:rtl/>
                  </w:rPr>
                  <w:t xml:space="preserve"> </w:t>
                </w:r>
                <w:r w:rsidR="00F4223D" w:rsidRPr="008D22A6">
                  <w:rPr>
                    <w:rStyle w:val="Lienhypertexte"/>
                    <w:rFonts w:hint="eastAsia"/>
                    <w:rtl/>
                  </w:rPr>
                  <w:t>عوامل</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_Toc171803652 \h </w:instrText>
                </w:r>
                <w:r w:rsidR="00F4223D">
                  <w:rPr>
                    <w:webHidden/>
                  </w:rPr>
                </w:r>
                <w:r w:rsidR="00F4223D">
                  <w:rPr>
                    <w:webHidden/>
                  </w:rPr>
                  <w:fldChar w:fldCharType="separate"/>
                </w:r>
                <w:r>
                  <w:rPr>
                    <w:webHidden/>
                    <w:rtl/>
                  </w:rPr>
                  <w:t>145</w:t>
                </w:r>
                <w:r w:rsidR="00F4223D">
                  <w:rPr>
                    <w:webHidden/>
                  </w:rPr>
                  <w:fldChar w:fldCharType="end"/>
                </w:r>
              </w:hyperlink>
            </w:p>
            <w:p w:rsidR="00F4223D" w:rsidRDefault="00B62F86" w:rsidP="003A089F">
              <w:pPr>
                <w:pStyle w:val="TM3"/>
              </w:pPr>
              <w:hyperlink w:anchor="_Toc171803653" w:history="1">
                <w:r w:rsidR="00F4223D" w:rsidRPr="008D22A6">
                  <w:rPr>
                    <w:rStyle w:val="Lienhypertexte"/>
                    <w:lang w:val="en-US"/>
                  </w:rPr>
                  <w:t>1.2.3.5.</w:t>
                </w:r>
                <w:r w:rsidR="00F4223D">
                  <w:tab/>
                </w:r>
                <w:r w:rsidR="00F4223D" w:rsidRPr="008D22A6">
                  <w:rPr>
                    <w:rStyle w:val="Lienhypertexte"/>
                    <w:rFonts w:hint="eastAsia"/>
                    <w:rtl/>
                    <w:lang w:val="en-US"/>
                  </w:rPr>
                  <w:t>تصميم</w:t>
                </w:r>
                <w:r w:rsidR="00F4223D" w:rsidRPr="008D22A6">
                  <w:rPr>
                    <w:rStyle w:val="Lienhypertexte"/>
                    <w:rtl/>
                    <w:lang w:val="en-US"/>
                  </w:rPr>
                  <w:t xml:space="preserve"> </w:t>
                </w:r>
                <w:r w:rsidR="00F4223D" w:rsidRPr="008D22A6">
                  <w:rPr>
                    <w:rStyle w:val="Lienhypertexte"/>
                    <w:rFonts w:hint="eastAsia"/>
                    <w:rtl/>
                    <w:lang w:val="en-US"/>
                  </w:rPr>
                  <w:t>مسح</w:t>
                </w:r>
                <w:r w:rsidR="00F4223D" w:rsidRPr="008D22A6">
                  <w:rPr>
                    <w:rStyle w:val="Lienhypertexte"/>
                    <w:rtl/>
                    <w:lang w:val="en-US"/>
                  </w:rPr>
                  <w:t xml:space="preserve"> </w:t>
                </w:r>
                <w:r w:rsidR="00F4223D" w:rsidRPr="008D22A6">
                  <w:rPr>
                    <w:rStyle w:val="Lienhypertexte"/>
                    <w:rFonts w:hint="eastAsia"/>
                    <w:rtl/>
                    <w:lang w:val="en-US"/>
                  </w:rPr>
                  <w:t>دلفي</w:t>
                </w:r>
                <w:r w:rsidR="00F4223D">
                  <w:rPr>
                    <w:webHidden/>
                  </w:rPr>
                  <w:tab/>
                </w:r>
                <w:r w:rsidR="00F4223D">
                  <w:rPr>
                    <w:webHidden/>
                  </w:rPr>
                  <w:fldChar w:fldCharType="begin"/>
                </w:r>
                <w:r w:rsidR="00F4223D">
                  <w:rPr>
                    <w:webHidden/>
                  </w:rPr>
                  <w:instrText xml:space="preserve"> PAGEREF _Toc171803653 \h </w:instrText>
                </w:r>
                <w:r w:rsidR="00F4223D">
                  <w:rPr>
                    <w:webHidden/>
                  </w:rPr>
                </w:r>
                <w:r w:rsidR="00F4223D">
                  <w:rPr>
                    <w:webHidden/>
                  </w:rPr>
                  <w:fldChar w:fldCharType="separate"/>
                </w:r>
                <w:r>
                  <w:rPr>
                    <w:webHidden/>
                    <w:rtl/>
                    <w:lang w:bidi="ar-SA"/>
                  </w:rPr>
                  <w:t>145</w:t>
                </w:r>
                <w:r w:rsidR="00F4223D">
                  <w:rPr>
                    <w:webHidden/>
                  </w:rPr>
                  <w:fldChar w:fldCharType="end"/>
                </w:r>
              </w:hyperlink>
            </w:p>
            <w:p w:rsidR="00F4223D" w:rsidRDefault="00B62F86" w:rsidP="003A089F">
              <w:pPr>
                <w:pStyle w:val="TM3"/>
              </w:pPr>
              <w:hyperlink w:anchor="_Toc171803660" w:history="1">
                <w:r w:rsidR="00F4223D" w:rsidRPr="008D22A6">
                  <w:rPr>
                    <w:rStyle w:val="Lienhypertexte"/>
                    <w:lang w:val="en-US"/>
                  </w:rPr>
                  <w:t>2.2.3.5.</w:t>
                </w:r>
                <w:r w:rsidR="00F4223D">
                  <w:tab/>
                </w:r>
                <w:r w:rsidR="00F4223D" w:rsidRPr="008D22A6">
                  <w:rPr>
                    <w:rStyle w:val="Lienhypertexte"/>
                    <w:rFonts w:hint="eastAsia"/>
                    <w:rtl/>
                    <w:lang w:val="en-US"/>
                  </w:rPr>
                  <w:t>المشاركون</w:t>
                </w:r>
                <w:r w:rsidR="00F4223D" w:rsidRPr="008D22A6">
                  <w:rPr>
                    <w:rStyle w:val="Lienhypertexte"/>
                    <w:rtl/>
                    <w:lang w:val="en-US"/>
                  </w:rPr>
                  <w:t xml:space="preserve"> </w:t>
                </w:r>
                <w:r w:rsidR="00F4223D" w:rsidRPr="008D22A6">
                  <w:rPr>
                    <w:rStyle w:val="Lienhypertexte"/>
                    <w:rFonts w:hint="eastAsia"/>
                    <w:rtl/>
                    <w:lang w:val="en-US"/>
                  </w:rPr>
                  <w:t>في</w:t>
                </w:r>
                <w:r w:rsidR="00F4223D" w:rsidRPr="008D22A6">
                  <w:rPr>
                    <w:rStyle w:val="Lienhypertexte"/>
                    <w:rtl/>
                    <w:lang w:val="en-US"/>
                  </w:rPr>
                  <w:t xml:space="preserve"> </w:t>
                </w:r>
                <w:r w:rsidR="00F4223D" w:rsidRPr="008D22A6">
                  <w:rPr>
                    <w:rStyle w:val="Lienhypertexte"/>
                    <w:rFonts w:hint="eastAsia"/>
                    <w:rtl/>
                    <w:lang w:val="en-US"/>
                  </w:rPr>
                  <w:t>مسح</w:t>
                </w:r>
                <w:r w:rsidR="00F4223D" w:rsidRPr="008D22A6">
                  <w:rPr>
                    <w:rStyle w:val="Lienhypertexte"/>
                    <w:rtl/>
                    <w:lang w:val="en-US"/>
                  </w:rPr>
                  <w:t xml:space="preserve"> </w:t>
                </w:r>
                <w:r w:rsidR="00F4223D" w:rsidRPr="008D22A6">
                  <w:rPr>
                    <w:rStyle w:val="Lienhypertexte"/>
                    <w:rFonts w:hint="eastAsia"/>
                    <w:rtl/>
                    <w:lang w:val="en-US"/>
                  </w:rPr>
                  <w:t>دلفي</w:t>
                </w:r>
                <w:r w:rsidR="00F4223D">
                  <w:rPr>
                    <w:webHidden/>
                  </w:rPr>
                  <w:tab/>
                </w:r>
                <w:r w:rsidR="00F4223D">
                  <w:rPr>
                    <w:webHidden/>
                  </w:rPr>
                  <w:fldChar w:fldCharType="begin"/>
                </w:r>
                <w:r w:rsidR="00F4223D">
                  <w:rPr>
                    <w:webHidden/>
                  </w:rPr>
                  <w:instrText xml:space="preserve"> PAGEREF _Toc171803660 \h </w:instrText>
                </w:r>
                <w:r w:rsidR="00F4223D">
                  <w:rPr>
                    <w:webHidden/>
                  </w:rPr>
                </w:r>
                <w:r w:rsidR="00F4223D">
                  <w:rPr>
                    <w:webHidden/>
                  </w:rPr>
                  <w:fldChar w:fldCharType="separate"/>
                </w:r>
                <w:r>
                  <w:rPr>
                    <w:webHidden/>
                    <w:rtl/>
                    <w:lang w:bidi="ar-SA"/>
                  </w:rPr>
                  <w:t>148</w:t>
                </w:r>
                <w:r w:rsidR="00F4223D">
                  <w:rPr>
                    <w:webHidden/>
                  </w:rPr>
                  <w:fldChar w:fldCharType="end"/>
                </w:r>
              </w:hyperlink>
            </w:p>
            <w:p w:rsidR="00F4223D" w:rsidRDefault="00B62F86" w:rsidP="003A089F">
              <w:pPr>
                <w:pStyle w:val="TM3"/>
              </w:pPr>
              <w:hyperlink w:anchor="_Toc171803663" w:history="1">
                <w:r w:rsidR="00F4223D" w:rsidRPr="008D22A6">
                  <w:rPr>
                    <w:rStyle w:val="Lienhypertexte"/>
                    <w:lang w:val="en-US"/>
                  </w:rPr>
                  <w:t>3.2.3.5.</w:t>
                </w:r>
                <w:r w:rsidR="00F4223D">
                  <w:tab/>
                </w:r>
                <w:r w:rsidR="00F4223D" w:rsidRPr="008D22A6">
                  <w:rPr>
                    <w:rStyle w:val="Lienhypertexte"/>
                    <w:rFonts w:hint="eastAsia"/>
                    <w:rtl/>
                    <w:lang w:val="en-US"/>
                  </w:rPr>
                  <w:t>تحليل</w:t>
                </w:r>
                <w:r w:rsidR="00F4223D" w:rsidRPr="008D22A6">
                  <w:rPr>
                    <w:rStyle w:val="Lienhypertexte"/>
                    <w:rtl/>
                    <w:lang w:val="en-US"/>
                  </w:rPr>
                  <w:t xml:space="preserve"> </w:t>
                </w:r>
                <w:r w:rsidR="00F4223D" w:rsidRPr="008D22A6">
                  <w:rPr>
                    <w:rStyle w:val="Lienhypertexte"/>
                    <w:rFonts w:hint="eastAsia"/>
                    <w:rtl/>
                    <w:lang w:val="en-US"/>
                  </w:rPr>
                  <w:t>البيانات</w:t>
                </w:r>
                <w:r w:rsidR="00F4223D">
                  <w:rPr>
                    <w:webHidden/>
                  </w:rPr>
                  <w:tab/>
                </w:r>
                <w:r w:rsidR="00F4223D">
                  <w:rPr>
                    <w:webHidden/>
                  </w:rPr>
                  <w:fldChar w:fldCharType="begin"/>
                </w:r>
                <w:r w:rsidR="00F4223D">
                  <w:rPr>
                    <w:webHidden/>
                  </w:rPr>
                  <w:instrText xml:space="preserve"> PAGEREF _Toc171803663 \h </w:instrText>
                </w:r>
                <w:r w:rsidR="00F4223D">
                  <w:rPr>
                    <w:webHidden/>
                  </w:rPr>
                </w:r>
                <w:r w:rsidR="00F4223D">
                  <w:rPr>
                    <w:webHidden/>
                  </w:rPr>
                  <w:fldChar w:fldCharType="separate"/>
                </w:r>
                <w:r>
                  <w:rPr>
                    <w:webHidden/>
                    <w:rtl/>
                    <w:lang w:bidi="ar-SA"/>
                  </w:rPr>
                  <w:t>148</w:t>
                </w:r>
                <w:r w:rsidR="00F4223D">
                  <w:rPr>
                    <w:webHidden/>
                  </w:rPr>
                  <w:fldChar w:fldCharType="end"/>
                </w:r>
              </w:hyperlink>
            </w:p>
            <w:p w:rsidR="00F4223D" w:rsidRDefault="00B62F86" w:rsidP="003A089F">
              <w:pPr>
                <w:pStyle w:val="TM3"/>
              </w:pPr>
              <w:hyperlink w:anchor="_Toc171803666" w:history="1">
                <w:r w:rsidR="00F4223D" w:rsidRPr="008D22A6">
                  <w:rPr>
                    <w:rStyle w:val="Lienhypertexte"/>
                    <w:lang w:val="en-US"/>
                  </w:rPr>
                  <w:t>4.2.3.5.</w:t>
                </w:r>
                <w:r w:rsidR="00F4223D">
                  <w:tab/>
                </w:r>
                <w:r w:rsidR="00F4223D" w:rsidRPr="008D22A6">
                  <w:rPr>
                    <w:rStyle w:val="Lienhypertexte"/>
                    <w:rFonts w:hint="eastAsia"/>
                    <w:rtl/>
                    <w:lang w:val="en-US"/>
                  </w:rPr>
                  <w:t>تخصيص</w:t>
                </w:r>
                <w:r w:rsidR="00F4223D" w:rsidRPr="008D22A6">
                  <w:rPr>
                    <w:rStyle w:val="Lienhypertexte"/>
                    <w:rtl/>
                    <w:lang w:val="en-US"/>
                  </w:rPr>
                  <w:t xml:space="preserve"> </w:t>
                </w:r>
                <w:r w:rsidR="00F4223D" w:rsidRPr="008D22A6">
                  <w:rPr>
                    <w:rStyle w:val="Lienhypertexte"/>
                    <w:rFonts w:hint="eastAsia"/>
                    <w:rtl/>
                    <w:lang w:val="en-US"/>
                  </w:rPr>
                  <w:t>الاعتمادات</w:t>
                </w:r>
                <w:r w:rsidR="00F4223D">
                  <w:rPr>
                    <w:webHidden/>
                  </w:rPr>
                  <w:tab/>
                </w:r>
                <w:r w:rsidR="00F4223D">
                  <w:rPr>
                    <w:webHidden/>
                  </w:rPr>
                  <w:fldChar w:fldCharType="begin"/>
                </w:r>
                <w:r w:rsidR="00F4223D">
                  <w:rPr>
                    <w:webHidden/>
                  </w:rPr>
                  <w:instrText xml:space="preserve"> PAGEREF _Toc171803666 \h </w:instrText>
                </w:r>
                <w:r w:rsidR="00F4223D">
                  <w:rPr>
                    <w:webHidden/>
                  </w:rPr>
                </w:r>
                <w:r w:rsidR="00F4223D">
                  <w:rPr>
                    <w:webHidden/>
                  </w:rPr>
                  <w:fldChar w:fldCharType="separate"/>
                </w:r>
                <w:r>
                  <w:rPr>
                    <w:webHidden/>
                    <w:rtl/>
                    <w:lang w:bidi="ar-SA"/>
                  </w:rPr>
                  <w:t>149</w:t>
                </w:r>
                <w:r w:rsidR="00F4223D">
                  <w:rPr>
                    <w:webHidden/>
                  </w:rPr>
                  <w:fldChar w:fldCharType="end"/>
                </w:r>
              </w:hyperlink>
            </w:p>
            <w:p w:rsidR="00F4223D" w:rsidRDefault="00B62F86" w:rsidP="003A089F">
              <w:pPr>
                <w:pStyle w:val="TM3"/>
              </w:pPr>
              <w:hyperlink w:anchor="_Toc171803669" w:history="1">
                <w:r w:rsidR="00F4223D" w:rsidRPr="008D22A6">
                  <w:rPr>
                    <w:rStyle w:val="Lienhypertexte"/>
                    <w:lang w:val="en-US"/>
                  </w:rPr>
                  <w:t>5.2.3.5.</w:t>
                </w:r>
                <w:r w:rsidR="00F4223D">
                  <w:tab/>
                </w:r>
                <w:r w:rsidR="00F4223D" w:rsidRPr="008D22A6">
                  <w:rPr>
                    <w:rStyle w:val="Lienhypertexte"/>
                    <w:rFonts w:hint="eastAsia"/>
                    <w:rtl/>
                    <w:lang w:val="en-US"/>
                  </w:rPr>
                  <w:t>الترتيب</w:t>
                </w:r>
                <w:r w:rsidR="00F4223D" w:rsidRPr="008D22A6">
                  <w:rPr>
                    <w:rStyle w:val="Lienhypertexte"/>
                    <w:rtl/>
                    <w:lang w:val="en-US"/>
                  </w:rPr>
                  <w:t xml:space="preserve"> </w:t>
                </w:r>
                <w:r w:rsidR="00F4223D" w:rsidRPr="008D22A6">
                  <w:rPr>
                    <w:rStyle w:val="Lienhypertexte"/>
                    <w:rFonts w:hint="eastAsia"/>
                    <w:rtl/>
                    <w:lang w:val="en-US"/>
                  </w:rPr>
                  <w:t>العام</w:t>
                </w:r>
                <w:r w:rsidR="00F4223D" w:rsidRPr="008D22A6">
                  <w:rPr>
                    <w:rStyle w:val="Lienhypertexte"/>
                    <w:rtl/>
                    <w:lang w:val="en-US"/>
                  </w:rPr>
                  <w:t xml:space="preserve"> </w:t>
                </w:r>
                <w:r w:rsidR="00F4223D" w:rsidRPr="008D22A6">
                  <w:rPr>
                    <w:rStyle w:val="Lienhypertexte"/>
                    <w:rFonts w:hint="eastAsia"/>
                    <w:rtl/>
                    <w:lang w:val="en-US"/>
                  </w:rPr>
                  <w:t>للعوامل</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Pr>
                    <w:webHidden/>
                  </w:rPr>
                  <w:tab/>
                </w:r>
                <w:r w:rsidR="00F4223D">
                  <w:rPr>
                    <w:webHidden/>
                  </w:rPr>
                  <w:fldChar w:fldCharType="begin"/>
                </w:r>
                <w:r w:rsidR="00F4223D">
                  <w:rPr>
                    <w:webHidden/>
                  </w:rPr>
                  <w:instrText xml:space="preserve"> PAGEREF _Toc171803669 \h </w:instrText>
                </w:r>
                <w:r w:rsidR="00F4223D">
                  <w:rPr>
                    <w:webHidden/>
                  </w:rPr>
                </w:r>
                <w:r w:rsidR="00F4223D">
                  <w:rPr>
                    <w:webHidden/>
                  </w:rPr>
                  <w:fldChar w:fldCharType="separate"/>
                </w:r>
                <w:r>
                  <w:rPr>
                    <w:webHidden/>
                    <w:rtl/>
                    <w:lang w:bidi="ar-SA"/>
                  </w:rPr>
                  <w:t>150</w:t>
                </w:r>
                <w:r w:rsidR="00F4223D">
                  <w:rPr>
                    <w:webHidden/>
                  </w:rPr>
                  <w:fldChar w:fldCharType="end"/>
                </w:r>
              </w:hyperlink>
            </w:p>
            <w:p w:rsidR="00F4223D" w:rsidRDefault="00B62F86" w:rsidP="003A089F">
              <w:pPr>
                <w:pStyle w:val="TM3"/>
              </w:pPr>
              <w:hyperlink w:anchor="_Toc171803672" w:history="1">
                <w:r w:rsidR="00F4223D" w:rsidRPr="008D22A6">
                  <w:rPr>
                    <w:rStyle w:val="Lienhypertexte"/>
                    <w:lang w:val="en-US"/>
                  </w:rPr>
                  <w:t>6.2.3.5.</w:t>
                </w:r>
                <w:r w:rsidR="00F4223D">
                  <w:tab/>
                </w:r>
                <w:r w:rsidR="00F4223D" w:rsidRPr="008D22A6">
                  <w:rPr>
                    <w:rStyle w:val="Lienhypertexte"/>
                    <w:rFonts w:hint="eastAsia"/>
                    <w:rtl/>
                    <w:lang w:val="en-US"/>
                  </w:rPr>
                  <w:t>تحويل</w:t>
                </w:r>
                <w:r w:rsidR="00F4223D" w:rsidRPr="008D22A6">
                  <w:rPr>
                    <w:rStyle w:val="Lienhypertexte"/>
                    <w:rtl/>
                    <w:lang w:val="en-US"/>
                  </w:rPr>
                  <w:t xml:space="preserve"> </w:t>
                </w:r>
                <w:r w:rsidR="00F4223D" w:rsidRPr="008D22A6">
                  <w:rPr>
                    <w:rStyle w:val="Lienhypertexte"/>
                    <w:rFonts w:hint="eastAsia"/>
                    <w:rtl/>
                    <w:lang w:val="en-US"/>
                  </w:rPr>
                  <w:t>العوامل</w:t>
                </w:r>
                <w:r w:rsidR="00F4223D" w:rsidRPr="008D22A6">
                  <w:rPr>
                    <w:rStyle w:val="Lienhypertexte"/>
                    <w:rtl/>
                    <w:lang w:val="en-US"/>
                  </w:rPr>
                  <w:t xml:space="preserve"> </w:t>
                </w:r>
                <w:r w:rsidR="00F4223D" w:rsidRPr="008D22A6">
                  <w:rPr>
                    <w:rStyle w:val="Lienhypertexte"/>
                    <w:rFonts w:hint="eastAsia"/>
                    <w:rtl/>
                    <w:lang w:val="en-US"/>
                  </w:rPr>
                  <w:t>الى</w:t>
                </w:r>
                <w:r w:rsidR="00F4223D" w:rsidRPr="008D22A6">
                  <w:rPr>
                    <w:rStyle w:val="Lienhypertexte"/>
                    <w:rtl/>
                    <w:lang w:val="en-US"/>
                  </w:rPr>
                  <w:t xml:space="preserve"> </w:t>
                </w:r>
                <w:r w:rsidR="00F4223D" w:rsidRPr="008D22A6">
                  <w:rPr>
                    <w:rStyle w:val="Lienhypertexte"/>
                    <w:rFonts w:hint="eastAsia"/>
                    <w:rtl/>
                    <w:lang w:val="en-US"/>
                  </w:rPr>
                  <w:t>معايير</w:t>
                </w:r>
                <w:r w:rsidR="00F4223D" w:rsidRPr="008D22A6">
                  <w:rPr>
                    <w:rStyle w:val="Lienhypertexte"/>
                    <w:rtl/>
                    <w:lang w:val="en-US"/>
                  </w:rPr>
                  <w:t xml:space="preserve"> </w:t>
                </w:r>
                <w:r w:rsidR="00F4223D" w:rsidRPr="008D22A6">
                  <w:rPr>
                    <w:rStyle w:val="Lienhypertexte"/>
                    <w:rFonts w:hint="eastAsia"/>
                    <w:rtl/>
                    <w:lang w:val="en-US"/>
                  </w:rPr>
                  <w:t>نهائية</w:t>
                </w:r>
                <w:r w:rsidR="00F4223D" w:rsidRPr="008D22A6">
                  <w:rPr>
                    <w:rStyle w:val="Lienhypertexte"/>
                    <w:rtl/>
                    <w:lang w:val="en-US"/>
                  </w:rPr>
                  <w:t xml:space="preserve"> </w:t>
                </w:r>
                <w:r w:rsidR="00F4223D" w:rsidRPr="008D22A6">
                  <w:rPr>
                    <w:rStyle w:val="Lienhypertexte"/>
                    <w:rFonts w:hint="eastAsia"/>
                    <w:rtl/>
                    <w:lang w:val="en-US"/>
                  </w:rPr>
                  <w:t>لتقييم</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Pr>
                    <w:webHidden/>
                  </w:rPr>
                  <w:tab/>
                </w:r>
                <w:r w:rsidR="00F4223D">
                  <w:rPr>
                    <w:webHidden/>
                  </w:rPr>
                  <w:fldChar w:fldCharType="begin"/>
                </w:r>
                <w:r w:rsidR="00F4223D">
                  <w:rPr>
                    <w:webHidden/>
                  </w:rPr>
                  <w:instrText xml:space="preserve"> PAGEREF _Toc171803672 \h </w:instrText>
                </w:r>
                <w:r w:rsidR="00F4223D">
                  <w:rPr>
                    <w:webHidden/>
                  </w:rPr>
                </w:r>
                <w:r w:rsidR="00F4223D">
                  <w:rPr>
                    <w:webHidden/>
                  </w:rPr>
                  <w:fldChar w:fldCharType="separate"/>
                </w:r>
                <w:r>
                  <w:rPr>
                    <w:webHidden/>
                    <w:rtl/>
                    <w:lang w:bidi="ar-SA"/>
                  </w:rPr>
                  <w:t>150</w:t>
                </w:r>
                <w:r w:rsidR="00F4223D">
                  <w:rPr>
                    <w:webHidden/>
                  </w:rPr>
                  <w:fldChar w:fldCharType="end"/>
                </w:r>
              </w:hyperlink>
            </w:p>
            <w:p w:rsidR="00F4223D" w:rsidRDefault="00B62F86" w:rsidP="003A089F">
              <w:pPr>
                <w:pStyle w:val="TM3"/>
              </w:pPr>
              <w:hyperlink w:anchor="_Toc171803675" w:history="1">
                <w:r w:rsidR="00F4223D" w:rsidRPr="008D22A6">
                  <w:rPr>
                    <w:rStyle w:val="Lienhypertexte"/>
                    <w:lang w:val="en-US"/>
                  </w:rPr>
                  <w:t>7.2.3.5.</w:t>
                </w:r>
                <w:r w:rsidR="00F4223D">
                  <w:tab/>
                </w:r>
                <w:r w:rsidR="00F4223D" w:rsidRPr="008D22A6">
                  <w:rPr>
                    <w:rStyle w:val="Lienhypertexte"/>
                    <w:rFonts w:hint="eastAsia"/>
                    <w:rtl/>
                    <w:lang w:val="en-US"/>
                  </w:rPr>
                  <w:t>عناصر</w:t>
                </w:r>
                <w:r w:rsidR="00F4223D" w:rsidRPr="008D22A6">
                  <w:rPr>
                    <w:rStyle w:val="Lienhypertexte"/>
                    <w:rtl/>
                    <w:lang w:val="en-US"/>
                  </w:rPr>
                  <w:t xml:space="preserve"> </w:t>
                </w:r>
                <w:r w:rsidR="00F4223D" w:rsidRPr="008D22A6">
                  <w:rPr>
                    <w:rStyle w:val="Lienhypertexte"/>
                    <w:rFonts w:hint="eastAsia"/>
                    <w:rtl/>
                    <w:lang w:val="en-US"/>
                  </w:rPr>
                  <w:t>التوزيع</w:t>
                </w:r>
                <w:r w:rsidR="00F4223D" w:rsidRPr="008D22A6">
                  <w:rPr>
                    <w:rStyle w:val="Lienhypertexte"/>
                    <w:rtl/>
                    <w:lang w:val="en-US"/>
                  </w:rPr>
                  <w:t xml:space="preserve"> </w:t>
                </w:r>
                <w:r w:rsidR="00F4223D" w:rsidRPr="008D22A6">
                  <w:rPr>
                    <w:rStyle w:val="Lienhypertexte"/>
                    <w:rFonts w:hint="eastAsia"/>
                    <w:rtl/>
                    <w:lang w:val="en-US"/>
                  </w:rPr>
                  <w:t>المكاني</w:t>
                </w:r>
                <w:r w:rsidR="00F4223D" w:rsidRPr="008D22A6">
                  <w:rPr>
                    <w:rStyle w:val="Lienhypertexte"/>
                    <w:rtl/>
                    <w:lang w:val="en-US"/>
                  </w:rPr>
                  <w:t xml:space="preserve"> </w:t>
                </w:r>
                <w:r w:rsidR="00F4223D" w:rsidRPr="008D22A6">
                  <w:rPr>
                    <w:rStyle w:val="Lienhypertexte"/>
                    <w:rFonts w:hint="eastAsia"/>
                    <w:rtl/>
                    <w:lang w:val="en-US"/>
                  </w:rPr>
                  <w:t>لاستعمالات</w:t>
                </w:r>
                <w:r w:rsidR="00F4223D" w:rsidRPr="008D22A6">
                  <w:rPr>
                    <w:rStyle w:val="Lienhypertexte"/>
                    <w:rtl/>
                    <w:lang w:val="en-US"/>
                  </w:rPr>
                  <w:t xml:space="preserve"> </w:t>
                </w:r>
                <w:r w:rsidR="00F4223D" w:rsidRPr="008D22A6">
                  <w:rPr>
                    <w:rStyle w:val="Lienhypertexte"/>
                    <w:rFonts w:hint="eastAsia"/>
                    <w:rtl/>
                    <w:lang w:val="en-US"/>
                  </w:rPr>
                  <w:t>الارض</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sidRPr="008D22A6">
                  <w:rPr>
                    <w:rStyle w:val="Lienhypertexte"/>
                    <w:rtl/>
                    <w:lang w:val="en-US"/>
                  </w:rPr>
                  <w:t xml:space="preserve"> (</w:t>
                </w:r>
                <w:r w:rsidR="00F4223D" w:rsidRPr="008D22A6">
                  <w:rPr>
                    <w:rStyle w:val="Lienhypertexte"/>
                    <w:rFonts w:hint="eastAsia"/>
                    <w:rtl/>
                    <w:lang w:val="en-US"/>
                  </w:rPr>
                  <w:t>البعد</w:t>
                </w:r>
                <w:r w:rsidR="00F4223D" w:rsidRPr="008D22A6">
                  <w:rPr>
                    <w:rStyle w:val="Lienhypertexte"/>
                    <w:rtl/>
                    <w:lang w:val="en-US"/>
                  </w:rPr>
                  <w:t xml:space="preserve"> </w:t>
                </w:r>
                <w:r w:rsidR="00F4223D" w:rsidRPr="008D22A6">
                  <w:rPr>
                    <w:rStyle w:val="Lienhypertexte"/>
                    <w:rFonts w:hint="eastAsia"/>
                    <w:rtl/>
                    <w:lang w:val="en-US"/>
                  </w:rPr>
                  <w:t>الفيزيائي</w:t>
                </w:r>
                <w:r w:rsidR="00F4223D" w:rsidRPr="008D22A6">
                  <w:rPr>
                    <w:rStyle w:val="Lienhypertexte"/>
                    <w:rtl/>
                    <w:lang w:val="en-US"/>
                  </w:rPr>
                  <w:t>)</w:t>
                </w:r>
                <w:r w:rsidR="00F4223D">
                  <w:rPr>
                    <w:webHidden/>
                  </w:rPr>
                  <w:tab/>
                </w:r>
                <w:r w:rsidR="00F4223D">
                  <w:rPr>
                    <w:webHidden/>
                  </w:rPr>
                  <w:fldChar w:fldCharType="begin"/>
                </w:r>
                <w:r w:rsidR="00F4223D">
                  <w:rPr>
                    <w:webHidden/>
                  </w:rPr>
                  <w:instrText xml:space="preserve"> PAGEREF _Toc171803675 \h </w:instrText>
                </w:r>
                <w:r w:rsidR="00F4223D">
                  <w:rPr>
                    <w:webHidden/>
                  </w:rPr>
                </w:r>
                <w:r w:rsidR="00F4223D">
                  <w:rPr>
                    <w:webHidden/>
                  </w:rPr>
                  <w:fldChar w:fldCharType="separate"/>
                </w:r>
                <w:r>
                  <w:rPr>
                    <w:webHidden/>
                    <w:rtl/>
                    <w:lang w:bidi="ar-SA"/>
                  </w:rPr>
                  <w:t>151</w:t>
                </w:r>
                <w:r w:rsidR="00F4223D">
                  <w:rPr>
                    <w:webHidden/>
                  </w:rPr>
                  <w:fldChar w:fldCharType="end"/>
                </w:r>
              </w:hyperlink>
            </w:p>
            <w:p w:rsidR="00F4223D" w:rsidRDefault="00B62F86" w:rsidP="009C7F0A">
              <w:pPr>
                <w:pStyle w:val="TM2"/>
                <w:spacing w:after="0"/>
                <w:rPr>
                  <w:rFonts w:asciiTheme="minorHAnsi" w:hAnsiTheme="minorHAnsi" w:cstheme="minorBidi"/>
                  <w:lang w:val="fr-FR"/>
                </w:rPr>
              </w:pPr>
              <w:hyperlink w:anchor="_Toc171803677" w:history="1">
                <w:r w:rsidR="00F4223D" w:rsidRPr="008D22A6">
                  <w:rPr>
                    <w:rStyle w:val="Lienhypertexte"/>
                    <w:rtl/>
                  </w:rPr>
                  <w:t>3.3.5.</w:t>
                </w:r>
                <w:r w:rsidR="00F4223D">
                  <w:rPr>
                    <w:rFonts w:asciiTheme="minorHAnsi" w:hAnsiTheme="minorHAnsi" w:cstheme="minorBidi"/>
                    <w:lang w:val="fr-FR"/>
                  </w:rPr>
                  <w:tab/>
                </w:r>
                <w:r w:rsidR="00F4223D" w:rsidRPr="008D22A6">
                  <w:rPr>
                    <w:rStyle w:val="Lienhypertexte"/>
                    <w:rFonts w:hint="eastAsia"/>
                    <w:rtl/>
                  </w:rPr>
                  <w:t>تحديد</w:t>
                </w:r>
                <w:r w:rsidR="00F4223D" w:rsidRPr="008D22A6">
                  <w:rPr>
                    <w:rStyle w:val="Lienhypertexte"/>
                    <w:rtl/>
                  </w:rPr>
                  <w:t xml:space="preserve"> </w:t>
                </w:r>
                <w:r w:rsidR="00F4223D" w:rsidRPr="008D22A6">
                  <w:rPr>
                    <w:rStyle w:val="Lienhypertexte"/>
                    <w:rFonts w:hint="eastAsia"/>
                    <w:rtl/>
                  </w:rPr>
                  <w:t>أولويات</w:t>
                </w:r>
                <w:r w:rsidR="00F4223D" w:rsidRPr="008D22A6">
                  <w:rPr>
                    <w:rStyle w:val="Lienhypertexte"/>
                    <w:rtl/>
                  </w:rPr>
                  <w:t xml:space="preserve"> </w:t>
                </w:r>
                <w:r w:rsidR="00F4223D" w:rsidRPr="008D22A6">
                  <w:rPr>
                    <w:rStyle w:val="Lienhypertexte"/>
                    <w:rFonts w:hint="eastAsia"/>
                    <w:rtl/>
                  </w:rPr>
                  <w:t>المعايير</w:t>
                </w:r>
                <w:r w:rsidR="00F4223D" w:rsidRPr="008D22A6">
                  <w:rPr>
                    <w:rStyle w:val="Lienhypertexte"/>
                    <w:rtl/>
                  </w:rPr>
                  <w:t xml:space="preserve"> (</w:t>
                </w:r>
                <w:r w:rsidR="00F4223D" w:rsidRPr="008D22A6">
                  <w:rPr>
                    <w:rStyle w:val="Lienhypertexte"/>
                    <w:rFonts w:hint="eastAsia"/>
                    <w:rtl/>
                  </w:rPr>
                  <w:t>العوامل</w:t>
                </w:r>
                <w:r w:rsidR="00F4223D" w:rsidRPr="008D22A6">
                  <w:rPr>
                    <w:rStyle w:val="Lienhypertexte"/>
                    <w:rtl/>
                  </w:rPr>
                  <w:t xml:space="preserve">) </w:t>
                </w:r>
                <w:r w:rsidR="00F4223D" w:rsidRPr="008D22A6">
                  <w:rPr>
                    <w:rStyle w:val="Lienhypertexte"/>
                    <w:rFonts w:hint="eastAsia"/>
                    <w:rtl/>
                  </w:rPr>
                  <w:t>لتقييم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_Toc171803677 \h </w:instrText>
                </w:r>
                <w:r w:rsidR="00F4223D">
                  <w:rPr>
                    <w:webHidden/>
                  </w:rPr>
                </w:r>
                <w:r w:rsidR="00F4223D">
                  <w:rPr>
                    <w:webHidden/>
                  </w:rPr>
                  <w:fldChar w:fldCharType="separate"/>
                </w:r>
                <w:r>
                  <w:rPr>
                    <w:webHidden/>
                    <w:rtl/>
                  </w:rPr>
                  <w:t>152</w:t>
                </w:r>
                <w:r w:rsidR="00F4223D">
                  <w:rPr>
                    <w:webHidden/>
                  </w:rPr>
                  <w:fldChar w:fldCharType="end"/>
                </w:r>
              </w:hyperlink>
            </w:p>
            <w:p w:rsidR="00F4223D" w:rsidRDefault="00B62F86" w:rsidP="003A089F">
              <w:pPr>
                <w:pStyle w:val="TM3"/>
              </w:pPr>
              <w:hyperlink w:anchor="_Toc171803678" w:history="1">
                <w:r w:rsidR="00F4223D" w:rsidRPr="008D22A6">
                  <w:rPr>
                    <w:rStyle w:val="Lienhypertexte"/>
                    <w:lang w:val="en-US"/>
                  </w:rPr>
                  <w:t>1.3.3.5.</w:t>
                </w:r>
                <w:r w:rsidR="00F4223D">
                  <w:tab/>
                </w:r>
                <w:r w:rsidR="00F4223D" w:rsidRPr="008D22A6">
                  <w:rPr>
                    <w:rStyle w:val="Lienhypertexte"/>
                    <w:rFonts w:hint="eastAsia"/>
                    <w:rtl/>
                    <w:lang w:val="en-US"/>
                  </w:rPr>
                  <w:t>تطوير</w:t>
                </w:r>
                <w:r w:rsidR="00F4223D" w:rsidRPr="008D22A6">
                  <w:rPr>
                    <w:rStyle w:val="Lienhypertexte"/>
                    <w:rtl/>
                    <w:lang w:val="en-US"/>
                  </w:rPr>
                  <w:t xml:space="preserve"> </w:t>
                </w:r>
                <w:r w:rsidR="00F4223D" w:rsidRPr="008D22A6">
                  <w:rPr>
                    <w:rStyle w:val="Lienhypertexte"/>
                    <w:rFonts w:hint="eastAsia"/>
                    <w:rtl/>
                    <w:lang w:val="en-US"/>
                  </w:rPr>
                  <w:t>نظام</w:t>
                </w:r>
                <w:r w:rsidR="00F4223D" w:rsidRPr="008D22A6">
                  <w:rPr>
                    <w:rStyle w:val="Lienhypertexte"/>
                    <w:rtl/>
                    <w:lang w:val="en-US"/>
                  </w:rPr>
                  <w:t xml:space="preserve"> </w:t>
                </w:r>
                <w:r w:rsidR="00F4223D" w:rsidRPr="008D22A6">
                  <w:rPr>
                    <w:rStyle w:val="Lienhypertexte"/>
                    <w:rFonts w:hint="eastAsia"/>
                    <w:rtl/>
                    <w:lang w:val="en-US"/>
                  </w:rPr>
                  <w:t>الترجيح</w:t>
                </w:r>
                <w:r w:rsidR="00F4223D">
                  <w:rPr>
                    <w:webHidden/>
                  </w:rPr>
                  <w:tab/>
                </w:r>
                <w:r w:rsidR="00F4223D">
                  <w:rPr>
                    <w:webHidden/>
                  </w:rPr>
                  <w:fldChar w:fldCharType="begin"/>
                </w:r>
                <w:r w:rsidR="00F4223D">
                  <w:rPr>
                    <w:webHidden/>
                  </w:rPr>
                  <w:instrText xml:space="preserve"> PAGEREF _Toc171803678 \h </w:instrText>
                </w:r>
                <w:r w:rsidR="00F4223D">
                  <w:rPr>
                    <w:webHidden/>
                  </w:rPr>
                </w:r>
                <w:r w:rsidR="00F4223D">
                  <w:rPr>
                    <w:webHidden/>
                  </w:rPr>
                  <w:fldChar w:fldCharType="separate"/>
                </w:r>
                <w:r>
                  <w:rPr>
                    <w:webHidden/>
                    <w:rtl/>
                    <w:lang w:bidi="ar-SA"/>
                  </w:rPr>
                  <w:t>152</w:t>
                </w:r>
                <w:r w:rsidR="00F4223D">
                  <w:rPr>
                    <w:webHidden/>
                  </w:rPr>
                  <w:fldChar w:fldCharType="end"/>
                </w:r>
              </w:hyperlink>
            </w:p>
            <w:p w:rsidR="00F4223D" w:rsidRDefault="00B62F86" w:rsidP="003A089F">
              <w:pPr>
                <w:pStyle w:val="TM3"/>
              </w:pPr>
              <w:hyperlink w:anchor="_Toc171803679" w:history="1">
                <w:r w:rsidR="00F4223D" w:rsidRPr="008D22A6">
                  <w:rPr>
                    <w:rStyle w:val="Lienhypertexte"/>
                    <w:lang w:val="en-US"/>
                  </w:rPr>
                  <w:t>2.3.3.5.</w:t>
                </w:r>
                <w:r w:rsidR="00F4223D">
                  <w:tab/>
                </w:r>
                <w:r w:rsidR="00F4223D" w:rsidRPr="008D22A6">
                  <w:rPr>
                    <w:rStyle w:val="Lienhypertexte"/>
                    <w:rFonts w:hint="eastAsia"/>
                    <w:rtl/>
                    <w:lang w:val="en-US"/>
                  </w:rPr>
                  <w:t>الهيكل</w:t>
                </w:r>
                <w:r w:rsidR="00F4223D" w:rsidRPr="008D22A6">
                  <w:rPr>
                    <w:rStyle w:val="Lienhypertexte"/>
                    <w:rtl/>
                    <w:lang w:val="en-US"/>
                  </w:rPr>
                  <w:t xml:space="preserve"> </w:t>
                </w:r>
                <w:r w:rsidR="00F4223D" w:rsidRPr="008D22A6">
                  <w:rPr>
                    <w:rStyle w:val="Lienhypertexte"/>
                    <w:rFonts w:hint="eastAsia"/>
                    <w:rtl/>
                    <w:lang w:val="en-US"/>
                  </w:rPr>
                  <w:t>الهرمي</w:t>
                </w:r>
                <w:r w:rsidR="00F4223D">
                  <w:rPr>
                    <w:webHidden/>
                  </w:rPr>
                  <w:tab/>
                </w:r>
                <w:r w:rsidR="00F4223D">
                  <w:rPr>
                    <w:webHidden/>
                  </w:rPr>
                  <w:fldChar w:fldCharType="begin"/>
                </w:r>
                <w:r w:rsidR="00F4223D">
                  <w:rPr>
                    <w:webHidden/>
                  </w:rPr>
                  <w:instrText xml:space="preserve"> PAGEREF _Toc171803679 \h </w:instrText>
                </w:r>
                <w:r w:rsidR="00F4223D">
                  <w:rPr>
                    <w:webHidden/>
                  </w:rPr>
                </w:r>
                <w:r w:rsidR="00F4223D">
                  <w:rPr>
                    <w:webHidden/>
                  </w:rPr>
                  <w:fldChar w:fldCharType="separate"/>
                </w:r>
                <w:r>
                  <w:rPr>
                    <w:webHidden/>
                    <w:rtl/>
                    <w:lang w:bidi="ar-SA"/>
                  </w:rPr>
                  <w:t>152</w:t>
                </w:r>
                <w:r w:rsidR="00F4223D">
                  <w:rPr>
                    <w:webHidden/>
                  </w:rPr>
                  <w:fldChar w:fldCharType="end"/>
                </w:r>
              </w:hyperlink>
            </w:p>
            <w:p w:rsidR="00F4223D" w:rsidRDefault="00B62F86" w:rsidP="003A089F">
              <w:pPr>
                <w:pStyle w:val="TM3"/>
              </w:pPr>
              <w:hyperlink w:anchor="_Toc171803682" w:history="1">
                <w:r w:rsidR="00F4223D" w:rsidRPr="008D22A6">
                  <w:rPr>
                    <w:rStyle w:val="Lienhypertexte"/>
                    <w:lang w:val="en-US"/>
                  </w:rPr>
                  <w:t>3.3.3.5.</w:t>
                </w:r>
                <w:r w:rsidR="00F4223D">
                  <w:tab/>
                </w:r>
                <w:r w:rsidR="00F4223D" w:rsidRPr="008D22A6">
                  <w:rPr>
                    <w:rStyle w:val="Lienhypertexte"/>
                    <w:rFonts w:hint="eastAsia"/>
                    <w:rtl/>
                    <w:lang w:val="en-US"/>
                  </w:rPr>
                  <w:t>اختيار</w:t>
                </w:r>
                <w:r w:rsidR="00F4223D" w:rsidRPr="008D22A6">
                  <w:rPr>
                    <w:rStyle w:val="Lienhypertexte"/>
                    <w:rtl/>
                    <w:lang w:val="en-US"/>
                  </w:rPr>
                  <w:t xml:space="preserve"> </w:t>
                </w:r>
                <w:r w:rsidR="00F4223D" w:rsidRPr="008D22A6">
                  <w:rPr>
                    <w:rStyle w:val="Lienhypertexte"/>
                    <w:rFonts w:hint="eastAsia"/>
                    <w:rtl/>
                    <w:lang w:val="en-US"/>
                  </w:rPr>
                  <w:t>الخبراء</w:t>
                </w:r>
                <w:r w:rsidR="00F4223D">
                  <w:rPr>
                    <w:webHidden/>
                  </w:rPr>
                  <w:tab/>
                </w:r>
                <w:r w:rsidR="00F4223D">
                  <w:rPr>
                    <w:webHidden/>
                  </w:rPr>
                  <w:fldChar w:fldCharType="begin"/>
                </w:r>
                <w:r w:rsidR="00F4223D">
                  <w:rPr>
                    <w:webHidden/>
                  </w:rPr>
                  <w:instrText xml:space="preserve"> PAGEREF _Toc171803682 \h </w:instrText>
                </w:r>
                <w:r w:rsidR="00F4223D">
                  <w:rPr>
                    <w:webHidden/>
                  </w:rPr>
                </w:r>
                <w:r w:rsidR="00F4223D">
                  <w:rPr>
                    <w:webHidden/>
                  </w:rPr>
                  <w:fldChar w:fldCharType="separate"/>
                </w:r>
                <w:r>
                  <w:rPr>
                    <w:webHidden/>
                    <w:rtl/>
                    <w:lang w:bidi="ar-SA"/>
                  </w:rPr>
                  <w:t>152</w:t>
                </w:r>
                <w:r w:rsidR="00F4223D">
                  <w:rPr>
                    <w:webHidden/>
                  </w:rPr>
                  <w:fldChar w:fldCharType="end"/>
                </w:r>
              </w:hyperlink>
            </w:p>
            <w:p w:rsidR="00F4223D" w:rsidRDefault="00B62F86" w:rsidP="003A089F">
              <w:pPr>
                <w:pStyle w:val="TM3"/>
              </w:pPr>
              <w:hyperlink w:anchor="_Toc171803683" w:history="1">
                <w:r w:rsidR="00F4223D" w:rsidRPr="008D22A6">
                  <w:rPr>
                    <w:rStyle w:val="Lienhypertexte"/>
                    <w:lang w:val="en-US"/>
                  </w:rPr>
                  <w:t>4.3.3.5.</w:t>
                </w:r>
                <w:r w:rsidR="00F4223D">
                  <w:tab/>
                </w:r>
                <w:r w:rsidR="00F4223D" w:rsidRPr="008D22A6">
                  <w:rPr>
                    <w:rStyle w:val="Lienhypertexte"/>
                    <w:rFonts w:hint="eastAsia"/>
                    <w:rtl/>
                    <w:lang w:val="en-US"/>
                  </w:rPr>
                  <w:t>المقارنات</w:t>
                </w:r>
                <w:r w:rsidR="00F4223D" w:rsidRPr="008D22A6">
                  <w:rPr>
                    <w:rStyle w:val="Lienhypertexte"/>
                    <w:rtl/>
                    <w:lang w:val="en-US"/>
                  </w:rPr>
                  <w:t xml:space="preserve"> </w:t>
                </w:r>
                <w:r w:rsidR="00F4223D" w:rsidRPr="008D22A6">
                  <w:rPr>
                    <w:rStyle w:val="Lienhypertexte"/>
                    <w:rFonts w:hint="eastAsia"/>
                    <w:rtl/>
                    <w:lang w:val="en-US"/>
                  </w:rPr>
                  <w:t>الزوجية</w:t>
                </w:r>
                <w:r w:rsidR="00F4223D">
                  <w:rPr>
                    <w:webHidden/>
                  </w:rPr>
                  <w:tab/>
                </w:r>
                <w:r w:rsidR="00F4223D">
                  <w:rPr>
                    <w:webHidden/>
                  </w:rPr>
                  <w:fldChar w:fldCharType="begin"/>
                </w:r>
                <w:r w:rsidR="00F4223D">
                  <w:rPr>
                    <w:webHidden/>
                  </w:rPr>
                  <w:instrText xml:space="preserve"> PAGEREF _Toc171803683 \h </w:instrText>
                </w:r>
                <w:r w:rsidR="00F4223D">
                  <w:rPr>
                    <w:webHidden/>
                  </w:rPr>
                </w:r>
                <w:r w:rsidR="00F4223D">
                  <w:rPr>
                    <w:webHidden/>
                  </w:rPr>
                  <w:fldChar w:fldCharType="separate"/>
                </w:r>
                <w:r>
                  <w:rPr>
                    <w:webHidden/>
                    <w:rtl/>
                    <w:lang w:bidi="ar-SA"/>
                  </w:rPr>
                  <w:t>153</w:t>
                </w:r>
                <w:r w:rsidR="00F4223D">
                  <w:rPr>
                    <w:webHidden/>
                  </w:rPr>
                  <w:fldChar w:fldCharType="end"/>
                </w:r>
              </w:hyperlink>
            </w:p>
            <w:p w:rsidR="00F4223D" w:rsidRDefault="00B62F86" w:rsidP="003A089F">
              <w:pPr>
                <w:pStyle w:val="TM3"/>
              </w:pPr>
              <w:hyperlink w:anchor="_Toc171803686" w:history="1">
                <w:r w:rsidR="00F4223D" w:rsidRPr="008D22A6">
                  <w:rPr>
                    <w:rStyle w:val="Lienhypertexte"/>
                    <w:rtl/>
                    <w:lang w:val="en-US"/>
                  </w:rPr>
                  <w:t>5.3.3.5.</w:t>
                </w:r>
                <w:r w:rsidR="00F4223D">
                  <w:tab/>
                </w:r>
                <w:r w:rsidR="00F4223D" w:rsidRPr="008D22A6">
                  <w:rPr>
                    <w:rStyle w:val="Lienhypertexte"/>
                    <w:rFonts w:hint="eastAsia"/>
                    <w:rtl/>
                    <w:lang w:val="en-US"/>
                  </w:rPr>
                  <w:t>توزيع</w:t>
                </w:r>
                <w:r w:rsidR="00F4223D" w:rsidRPr="008D22A6">
                  <w:rPr>
                    <w:rStyle w:val="Lienhypertexte"/>
                    <w:rtl/>
                    <w:lang w:val="en-US"/>
                  </w:rPr>
                  <w:t xml:space="preserve"> </w:t>
                </w:r>
                <w:r w:rsidR="00F4223D" w:rsidRPr="008D22A6">
                  <w:rPr>
                    <w:rStyle w:val="Lienhypertexte"/>
                    <w:rFonts w:hint="eastAsia"/>
                    <w:rtl/>
                    <w:lang w:val="en-US"/>
                  </w:rPr>
                  <w:t>الأوزان</w:t>
                </w:r>
                <w:r w:rsidR="00F4223D">
                  <w:rPr>
                    <w:webHidden/>
                  </w:rPr>
                  <w:tab/>
                </w:r>
                <w:r w:rsidR="00F4223D">
                  <w:rPr>
                    <w:webHidden/>
                  </w:rPr>
                  <w:fldChar w:fldCharType="begin"/>
                </w:r>
                <w:r w:rsidR="00F4223D">
                  <w:rPr>
                    <w:webHidden/>
                  </w:rPr>
                  <w:instrText xml:space="preserve"> PAGEREF _Toc171803686 \h </w:instrText>
                </w:r>
                <w:r w:rsidR="00F4223D">
                  <w:rPr>
                    <w:webHidden/>
                  </w:rPr>
                </w:r>
                <w:r w:rsidR="00F4223D">
                  <w:rPr>
                    <w:webHidden/>
                  </w:rPr>
                  <w:fldChar w:fldCharType="separate"/>
                </w:r>
                <w:r>
                  <w:rPr>
                    <w:webHidden/>
                    <w:rtl/>
                    <w:lang w:bidi="ar-SA"/>
                  </w:rPr>
                  <w:t>153</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701" w:history="1">
                <w:r w:rsidR="00F4223D" w:rsidRPr="008D22A6">
                  <w:rPr>
                    <w:rStyle w:val="Lienhypertexte"/>
                    <w:rtl/>
                  </w:rPr>
                  <w:t>4.3.5.</w:t>
                </w:r>
                <w:r w:rsidR="00F4223D">
                  <w:rPr>
                    <w:rFonts w:asciiTheme="minorHAnsi" w:hAnsiTheme="minorHAnsi" w:cstheme="minorBidi"/>
                    <w:lang w:val="fr-FR"/>
                  </w:rPr>
                  <w:tab/>
                </w:r>
                <w:r w:rsidR="00F4223D" w:rsidRPr="008D22A6">
                  <w:rPr>
                    <w:rStyle w:val="Lienhypertexte"/>
                    <w:rFonts w:hint="eastAsia"/>
                    <w:rtl/>
                  </w:rPr>
                  <w:t>تطبيق</w:t>
                </w:r>
                <w:r w:rsidR="00F4223D" w:rsidRPr="008D22A6">
                  <w:rPr>
                    <w:rStyle w:val="Lienhypertexte"/>
                    <w:rtl/>
                  </w:rPr>
                  <w:t xml:space="preserve"> </w:t>
                </w:r>
                <w:r w:rsidR="00F4223D" w:rsidRPr="008D22A6">
                  <w:rPr>
                    <w:rStyle w:val="Lienhypertexte"/>
                    <w:rFonts w:hint="eastAsia"/>
                    <w:rtl/>
                  </w:rPr>
                  <w:t>نظم</w:t>
                </w:r>
                <w:r w:rsidR="00F4223D" w:rsidRPr="008D22A6">
                  <w:rPr>
                    <w:rStyle w:val="Lienhypertexte"/>
                    <w:rtl/>
                  </w:rPr>
                  <w:t xml:space="preserve"> </w:t>
                </w:r>
                <w:r w:rsidR="00F4223D" w:rsidRPr="008D22A6">
                  <w:rPr>
                    <w:rStyle w:val="Lienhypertexte"/>
                    <w:rFonts w:hint="eastAsia"/>
                    <w:rtl/>
                  </w:rPr>
                  <w:t>المعلومات</w:t>
                </w:r>
                <w:r w:rsidR="00F4223D" w:rsidRPr="008D22A6">
                  <w:rPr>
                    <w:rStyle w:val="Lienhypertexte"/>
                    <w:rtl/>
                  </w:rPr>
                  <w:t xml:space="preserve"> </w:t>
                </w:r>
                <w:r w:rsidR="00F4223D" w:rsidRPr="008D22A6">
                  <w:rPr>
                    <w:rStyle w:val="Lienhypertexte"/>
                    <w:rFonts w:hint="eastAsia"/>
                    <w:rtl/>
                  </w:rPr>
                  <w:t>الجغرافية</w:t>
                </w:r>
                <w:r w:rsidR="00F4223D" w:rsidRPr="008D22A6">
                  <w:rPr>
                    <w:rStyle w:val="Lienhypertexte"/>
                    <w:rtl/>
                  </w:rPr>
                  <w:t xml:space="preserve"> </w:t>
                </w:r>
                <w:r w:rsidR="00F4223D" w:rsidRPr="008D22A6">
                  <w:rPr>
                    <w:rStyle w:val="Lienhypertexte"/>
                    <w:rFonts w:hint="eastAsia"/>
                    <w:rtl/>
                  </w:rPr>
                  <w:t>لتقييم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_Toc171803701 \h </w:instrText>
                </w:r>
                <w:r w:rsidR="00F4223D">
                  <w:rPr>
                    <w:webHidden/>
                  </w:rPr>
                </w:r>
                <w:r w:rsidR="00F4223D">
                  <w:rPr>
                    <w:webHidden/>
                  </w:rPr>
                  <w:fldChar w:fldCharType="separate"/>
                </w:r>
                <w:r>
                  <w:rPr>
                    <w:webHidden/>
                    <w:rtl/>
                  </w:rPr>
                  <w:t>156</w:t>
                </w:r>
                <w:r w:rsidR="00F4223D">
                  <w:rPr>
                    <w:webHidden/>
                  </w:rPr>
                  <w:fldChar w:fldCharType="end"/>
                </w:r>
              </w:hyperlink>
            </w:p>
            <w:p w:rsidR="00F4223D" w:rsidRDefault="00B62F86" w:rsidP="003A089F">
              <w:pPr>
                <w:pStyle w:val="TM3"/>
              </w:pPr>
              <w:hyperlink w:anchor="_Toc171803702" w:history="1">
                <w:r w:rsidR="00F4223D" w:rsidRPr="008D22A6">
                  <w:rPr>
                    <w:rStyle w:val="Lienhypertexte"/>
                    <w:rtl/>
                    <w:lang w:val="en-US"/>
                  </w:rPr>
                  <w:t>1.4.3.5.</w:t>
                </w:r>
                <w:r w:rsidR="00F4223D">
                  <w:tab/>
                </w:r>
                <w:r w:rsidR="00F4223D" w:rsidRPr="008D22A6">
                  <w:rPr>
                    <w:rStyle w:val="Lienhypertexte"/>
                    <w:rFonts w:hint="eastAsia"/>
                    <w:rtl/>
                    <w:lang w:val="en-US"/>
                  </w:rPr>
                  <w:t>مصادر</w:t>
                </w:r>
                <w:r w:rsidR="00F4223D" w:rsidRPr="008D22A6">
                  <w:rPr>
                    <w:rStyle w:val="Lienhypertexte"/>
                    <w:lang w:val="en-US"/>
                  </w:rPr>
                  <w:t xml:space="preserve"> </w:t>
                </w:r>
                <w:r w:rsidR="00F4223D" w:rsidRPr="008D22A6">
                  <w:rPr>
                    <w:rStyle w:val="Lienhypertexte"/>
                    <w:rFonts w:hint="eastAsia"/>
                    <w:rtl/>
                    <w:lang w:val="en-US"/>
                  </w:rPr>
                  <w:t>بيانات</w:t>
                </w:r>
                <w:r w:rsidR="00F4223D" w:rsidRPr="008D22A6">
                  <w:rPr>
                    <w:rStyle w:val="Lienhypertexte"/>
                    <w:lang w:val="en-US"/>
                  </w:rPr>
                  <w:t xml:space="preserve"> </w:t>
                </w:r>
                <w:r w:rsidR="00F4223D" w:rsidRPr="008D22A6">
                  <w:rPr>
                    <w:rStyle w:val="Lienhypertexte"/>
                    <w:rFonts w:hint="eastAsia"/>
                    <w:rtl/>
                    <w:lang w:val="en-US"/>
                  </w:rPr>
                  <w:t>الدراسة</w:t>
                </w:r>
                <w:r w:rsidR="00F4223D">
                  <w:rPr>
                    <w:webHidden/>
                  </w:rPr>
                  <w:tab/>
                </w:r>
                <w:r w:rsidR="00F4223D">
                  <w:rPr>
                    <w:webHidden/>
                  </w:rPr>
                  <w:fldChar w:fldCharType="begin"/>
                </w:r>
                <w:r w:rsidR="00F4223D">
                  <w:rPr>
                    <w:webHidden/>
                  </w:rPr>
                  <w:instrText xml:space="preserve"> PAGEREF _Toc171803702 \h </w:instrText>
                </w:r>
                <w:r w:rsidR="00F4223D">
                  <w:rPr>
                    <w:webHidden/>
                  </w:rPr>
                </w:r>
                <w:r w:rsidR="00F4223D">
                  <w:rPr>
                    <w:webHidden/>
                  </w:rPr>
                  <w:fldChar w:fldCharType="separate"/>
                </w:r>
                <w:r>
                  <w:rPr>
                    <w:webHidden/>
                    <w:rtl/>
                    <w:lang w:bidi="ar-SA"/>
                  </w:rPr>
                  <w:t>156</w:t>
                </w:r>
                <w:r w:rsidR="00F4223D">
                  <w:rPr>
                    <w:webHidden/>
                  </w:rPr>
                  <w:fldChar w:fldCharType="end"/>
                </w:r>
              </w:hyperlink>
            </w:p>
            <w:p w:rsidR="00F4223D" w:rsidRDefault="00B62F86" w:rsidP="003A089F">
              <w:pPr>
                <w:pStyle w:val="TM3"/>
              </w:pPr>
              <w:hyperlink w:anchor="_Toc171803703" w:history="1">
                <w:r w:rsidR="00F4223D" w:rsidRPr="008D22A6">
                  <w:rPr>
                    <w:rStyle w:val="Lienhypertexte"/>
                    <w:lang w:val="en-US"/>
                  </w:rPr>
                  <w:t>2.4.3.5.</w:t>
                </w:r>
                <w:r w:rsidR="00F4223D">
                  <w:tab/>
                </w:r>
                <w:r w:rsidR="00F4223D" w:rsidRPr="008D22A6">
                  <w:rPr>
                    <w:rStyle w:val="Lienhypertexte"/>
                    <w:rFonts w:hint="eastAsia"/>
                    <w:rtl/>
                    <w:lang w:val="en-US"/>
                  </w:rPr>
                  <w:t>رسم</w:t>
                </w:r>
                <w:r w:rsidR="00F4223D" w:rsidRPr="008D22A6">
                  <w:rPr>
                    <w:rStyle w:val="Lienhypertexte"/>
                    <w:rtl/>
                    <w:lang w:val="en-US"/>
                  </w:rPr>
                  <w:t xml:space="preserve"> </w:t>
                </w:r>
                <w:r w:rsidR="00F4223D" w:rsidRPr="008D22A6">
                  <w:rPr>
                    <w:rStyle w:val="Lienhypertexte"/>
                    <w:rFonts w:hint="eastAsia"/>
                    <w:rtl/>
                    <w:lang w:val="en-US"/>
                  </w:rPr>
                  <w:t>الخرائط</w:t>
                </w:r>
                <w:r w:rsidR="00F4223D" w:rsidRPr="008D22A6">
                  <w:rPr>
                    <w:rStyle w:val="Lienhypertexte"/>
                    <w:rtl/>
                    <w:lang w:val="en-US"/>
                  </w:rPr>
                  <w:t xml:space="preserve"> </w:t>
                </w:r>
                <w:r w:rsidR="00F4223D" w:rsidRPr="008D22A6">
                  <w:rPr>
                    <w:rStyle w:val="Lienhypertexte"/>
                    <w:rFonts w:hint="eastAsia"/>
                    <w:rtl/>
                    <w:lang w:val="en-US"/>
                  </w:rPr>
                  <w:t>ومناقشة</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المكانية</w:t>
                </w:r>
                <w:r w:rsidR="00F4223D" w:rsidRPr="008D22A6">
                  <w:rPr>
                    <w:rStyle w:val="Lienhypertexte"/>
                    <w:rtl/>
                    <w:lang w:val="en-US"/>
                  </w:rPr>
                  <w:t xml:space="preserve"> </w:t>
                </w:r>
                <w:r w:rsidR="00F4223D" w:rsidRPr="008D22A6">
                  <w:rPr>
                    <w:rStyle w:val="Lienhypertexte"/>
                    <w:rFonts w:hint="eastAsia"/>
                    <w:rtl/>
                    <w:lang w:val="en-US"/>
                  </w:rPr>
                  <w:t>للمعايير</w:t>
                </w:r>
                <w:r w:rsidR="00F4223D" w:rsidRPr="008D22A6">
                  <w:rPr>
                    <w:rStyle w:val="Lienhypertexte"/>
                    <w:rtl/>
                    <w:lang w:val="en-US"/>
                  </w:rPr>
                  <w:t xml:space="preserve"> </w:t>
                </w:r>
                <w:r w:rsidR="00F4223D" w:rsidRPr="008D22A6">
                  <w:rPr>
                    <w:rStyle w:val="Lienhypertexte"/>
                    <w:rFonts w:hint="eastAsia"/>
                    <w:rtl/>
                    <w:lang w:val="en-US"/>
                  </w:rPr>
                  <w:t>السبعة</w:t>
                </w:r>
                <w:r w:rsidR="00F4223D">
                  <w:rPr>
                    <w:webHidden/>
                  </w:rPr>
                  <w:tab/>
                </w:r>
                <w:r w:rsidR="00F4223D">
                  <w:rPr>
                    <w:webHidden/>
                  </w:rPr>
                  <w:fldChar w:fldCharType="begin"/>
                </w:r>
                <w:r w:rsidR="00F4223D">
                  <w:rPr>
                    <w:webHidden/>
                  </w:rPr>
                  <w:instrText xml:space="preserve"> PAGEREF _Toc171803703 \h </w:instrText>
                </w:r>
                <w:r w:rsidR="00F4223D">
                  <w:rPr>
                    <w:webHidden/>
                  </w:rPr>
                </w:r>
                <w:r w:rsidR="00F4223D">
                  <w:rPr>
                    <w:webHidden/>
                  </w:rPr>
                  <w:fldChar w:fldCharType="separate"/>
                </w:r>
                <w:r>
                  <w:rPr>
                    <w:webHidden/>
                    <w:rtl/>
                    <w:lang w:bidi="ar-SA"/>
                  </w:rPr>
                  <w:t>157</w:t>
                </w:r>
                <w:r w:rsidR="00F4223D">
                  <w:rPr>
                    <w:webHidden/>
                  </w:rPr>
                  <w:fldChar w:fldCharType="end"/>
                </w:r>
              </w:hyperlink>
            </w:p>
            <w:p w:rsidR="00F4223D" w:rsidRDefault="00B62F86" w:rsidP="003A089F">
              <w:pPr>
                <w:pStyle w:val="TM3"/>
              </w:pPr>
              <w:hyperlink w:anchor="_Toc171803718" w:history="1">
                <w:r w:rsidR="00F4223D" w:rsidRPr="008D22A6">
                  <w:rPr>
                    <w:rStyle w:val="Lienhypertexte"/>
                    <w:rtl/>
                    <w:lang w:val="en-US"/>
                  </w:rPr>
                  <w:t>3.4.3.5.</w:t>
                </w:r>
                <w:r w:rsidR="00F4223D">
                  <w:tab/>
                </w:r>
                <w:r w:rsidR="00F4223D" w:rsidRPr="008D22A6">
                  <w:rPr>
                    <w:rStyle w:val="Lienhypertexte"/>
                    <w:rFonts w:hint="eastAsia"/>
                    <w:rtl/>
                    <w:lang w:val="en-US"/>
                  </w:rPr>
                  <w:t>خريطة</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المكانية</w:t>
                </w:r>
                <w:r w:rsidR="00F4223D" w:rsidRPr="008D22A6">
                  <w:rPr>
                    <w:rStyle w:val="Lienhypertexte"/>
                    <w:rtl/>
                    <w:lang w:val="en-US"/>
                  </w:rPr>
                  <w:t xml:space="preserve"> </w:t>
                </w:r>
                <w:r w:rsidR="00F4223D" w:rsidRPr="008D22A6">
                  <w:rPr>
                    <w:rStyle w:val="Lienhypertexte"/>
                    <w:rFonts w:hint="eastAsia"/>
                    <w:rtl/>
                    <w:lang w:val="en-US"/>
                  </w:rPr>
                  <w:t>وترتيب</w:t>
                </w:r>
                <w:r w:rsidR="00F4223D" w:rsidRPr="008D22A6">
                  <w:rPr>
                    <w:rStyle w:val="Lienhypertexte"/>
                    <w:rtl/>
                    <w:lang w:val="en-US"/>
                  </w:rPr>
                  <w:t xml:space="preserve"> </w:t>
                </w:r>
                <w:r w:rsidR="00F4223D" w:rsidRPr="008D22A6">
                  <w:rPr>
                    <w:rStyle w:val="Lienhypertexte"/>
                    <w:rFonts w:hint="eastAsia"/>
                    <w:rtl/>
                    <w:lang w:val="en-US"/>
                  </w:rPr>
                  <w:t>الأحياء</w:t>
                </w:r>
                <w:r w:rsidR="00F4223D">
                  <w:rPr>
                    <w:webHidden/>
                  </w:rPr>
                  <w:tab/>
                </w:r>
                <w:r w:rsidR="00F4223D">
                  <w:rPr>
                    <w:webHidden/>
                  </w:rPr>
                  <w:fldChar w:fldCharType="begin"/>
                </w:r>
                <w:r w:rsidR="00F4223D">
                  <w:rPr>
                    <w:webHidden/>
                  </w:rPr>
                  <w:instrText xml:space="preserve"> PAGEREF _Toc171803718 \h </w:instrText>
                </w:r>
                <w:r w:rsidR="00F4223D">
                  <w:rPr>
                    <w:webHidden/>
                  </w:rPr>
                </w:r>
                <w:r w:rsidR="00F4223D">
                  <w:rPr>
                    <w:webHidden/>
                  </w:rPr>
                  <w:fldChar w:fldCharType="separate"/>
                </w:r>
                <w:r>
                  <w:rPr>
                    <w:webHidden/>
                    <w:rtl/>
                    <w:lang w:bidi="ar-SA"/>
                  </w:rPr>
                  <w:t>164</w:t>
                </w:r>
                <w:r w:rsidR="00F4223D">
                  <w:rPr>
                    <w:webHidden/>
                  </w:rPr>
                  <w:fldChar w:fldCharType="end"/>
                </w:r>
              </w:hyperlink>
            </w:p>
            <w:p w:rsidR="00F4223D" w:rsidRDefault="00B62F86" w:rsidP="003A089F">
              <w:pPr>
                <w:pStyle w:val="TM3"/>
              </w:pPr>
              <w:hyperlink w:anchor="_Toc171803723" w:history="1">
                <w:r w:rsidR="00F4223D" w:rsidRPr="008D22A6">
                  <w:rPr>
                    <w:rStyle w:val="Lienhypertexte"/>
                    <w:rtl/>
                  </w:rPr>
                  <w:t>4.4.3.5.</w:t>
                </w:r>
                <w:r w:rsidR="00F4223D">
                  <w:tab/>
                </w:r>
                <w:r w:rsidR="00F4223D" w:rsidRPr="008D22A6">
                  <w:rPr>
                    <w:rStyle w:val="Lienhypertexte"/>
                    <w:rFonts w:hint="eastAsia"/>
                    <w:rtl/>
                  </w:rPr>
                  <w:t>مناقشة</w:t>
                </w:r>
                <w:r w:rsidR="00F4223D" w:rsidRPr="008D22A6">
                  <w:rPr>
                    <w:rStyle w:val="Lienhypertexte"/>
                    <w:rtl/>
                  </w:rPr>
                  <w:t xml:space="preserve"> </w:t>
                </w:r>
                <w:r w:rsidR="00F4223D" w:rsidRPr="008D22A6">
                  <w:rPr>
                    <w:rStyle w:val="Lienhypertexte"/>
                    <w:rFonts w:hint="eastAsia"/>
                    <w:rtl/>
                  </w:rPr>
                  <w:t>نتائج</w:t>
                </w:r>
                <w:r w:rsidR="00F4223D" w:rsidRPr="008D22A6">
                  <w:rPr>
                    <w:rStyle w:val="Lienhypertexte"/>
                    <w:rtl/>
                  </w:rPr>
                  <w:t xml:space="preserve">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Pr>
                    <w:webHidden/>
                  </w:rPr>
                  <w:tab/>
                </w:r>
                <w:r w:rsidR="00F4223D">
                  <w:rPr>
                    <w:webHidden/>
                  </w:rPr>
                  <w:fldChar w:fldCharType="begin"/>
                </w:r>
                <w:r w:rsidR="00F4223D">
                  <w:rPr>
                    <w:webHidden/>
                  </w:rPr>
                  <w:instrText xml:space="preserve"> PAGEREF _Toc171803723 \h </w:instrText>
                </w:r>
                <w:r w:rsidR="00F4223D">
                  <w:rPr>
                    <w:webHidden/>
                  </w:rPr>
                </w:r>
                <w:r w:rsidR="00F4223D">
                  <w:rPr>
                    <w:webHidden/>
                  </w:rPr>
                  <w:fldChar w:fldCharType="separate"/>
                </w:r>
                <w:r>
                  <w:rPr>
                    <w:webHidden/>
                    <w:rtl/>
                    <w:lang w:bidi="ar-SA"/>
                  </w:rPr>
                  <w:t>166</w:t>
                </w:r>
                <w:r w:rsidR="00F4223D">
                  <w:rPr>
                    <w:webHidden/>
                  </w:rPr>
                  <w:fldChar w:fldCharType="end"/>
                </w:r>
              </w:hyperlink>
            </w:p>
            <w:p w:rsidR="00F4223D" w:rsidRDefault="00B62F86" w:rsidP="0028376D">
              <w:pPr>
                <w:pStyle w:val="TM2"/>
                <w:spacing w:after="0"/>
                <w:rPr>
                  <w:rFonts w:asciiTheme="minorHAnsi" w:hAnsiTheme="minorHAnsi" w:cstheme="minorBidi"/>
                  <w:lang w:val="fr-FR"/>
                </w:rPr>
              </w:pPr>
              <w:hyperlink w:anchor="_Toc171803726" w:history="1">
                <w:r w:rsidR="00F4223D" w:rsidRPr="008D22A6">
                  <w:rPr>
                    <w:rStyle w:val="Lienhypertexte"/>
                    <w:rtl/>
                  </w:rPr>
                  <w:t>5.3.5.</w:t>
                </w:r>
                <w:r w:rsidR="00F4223D">
                  <w:rPr>
                    <w:rFonts w:asciiTheme="minorHAnsi" w:hAnsiTheme="minorHAnsi" w:cstheme="minorBidi"/>
                    <w:lang w:val="fr-FR"/>
                  </w:rPr>
                  <w:tab/>
                </w:r>
                <w:r w:rsidR="00F4223D" w:rsidRPr="008D22A6">
                  <w:rPr>
                    <w:rStyle w:val="Lienhypertexte"/>
                    <w:rFonts w:hint="eastAsia"/>
                    <w:rtl/>
                  </w:rPr>
                  <w:t>التحقيق</w:t>
                </w:r>
                <w:r w:rsidR="00F4223D" w:rsidRPr="008D22A6">
                  <w:rPr>
                    <w:rStyle w:val="Lienhypertexte"/>
                    <w:rtl/>
                  </w:rPr>
                  <w:t xml:space="preserve"> </w:t>
                </w:r>
                <w:r w:rsidR="00F4223D" w:rsidRPr="008D22A6">
                  <w:rPr>
                    <w:rStyle w:val="Lienhypertexte"/>
                    <w:rFonts w:hint="eastAsia"/>
                    <w:rtl/>
                  </w:rPr>
                  <w:t>في</w:t>
                </w:r>
                <w:r w:rsidR="00F4223D" w:rsidRPr="008D22A6">
                  <w:rPr>
                    <w:rStyle w:val="Lienhypertexte"/>
                    <w:rtl/>
                  </w:rPr>
                  <w:t xml:space="preserve"> </w:t>
                </w:r>
                <w:r w:rsidR="00F4223D" w:rsidRPr="008D22A6">
                  <w:rPr>
                    <w:rStyle w:val="Lienhypertexte"/>
                    <w:rFonts w:hint="eastAsia"/>
                    <w:rtl/>
                  </w:rPr>
                  <w:t>تصورات</w:t>
                </w:r>
                <w:r w:rsidR="00F4223D" w:rsidRPr="008D22A6">
                  <w:rPr>
                    <w:rStyle w:val="Lienhypertexte"/>
                    <w:rtl/>
                  </w:rPr>
                  <w:t xml:space="preserve"> </w:t>
                </w:r>
                <w:r w:rsidR="00F4223D" w:rsidRPr="008D22A6">
                  <w:rPr>
                    <w:rStyle w:val="Lienhypertexte"/>
                    <w:rFonts w:hint="eastAsia"/>
                    <w:rtl/>
                  </w:rPr>
                  <w:t>السكان</w:t>
                </w:r>
                <w:r w:rsidR="00F4223D" w:rsidRPr="008D22A6">
                  <w:rPr>
                    <w:rStyle w:val="Lienhypertexte"/>
                    <w:rtl/>
                  </w:rPr>
                  <w:t xml:space="preserve"> </w:t>
                </w:r>
                <w:r w:rsidR="00F4223D" w:rsidRPr="008D22A6">
                  <w:rPr>
                    <w:rStyle w:val="Lienhypertexte"/>
                    <w:rFonts w:hint="eastAsia"/>
                    <w:rtl/>
                  </w:rPr>
                  <w:t>المحليين</w:t>
                </w:r>
                <w:r w:rsidR="00F4223D" w:rsidRPr="008D22A6">
                  <w:rPr>
                    <w:rStyle w:val="Lienhypertexte"/>
                    <w:rtl/>
                  </w:rPr>
                  <w:t xml:space="preserve"> </w:t>
                </w:r>
                <w:r w:rsidR="00F4223D" w:rsidRPr="008D22A6">
                  <w:rPr>
                    <w:rStyle w:val="Lienhypertexte"/>
                    <w:rFonts w:hint="eastAsia"/>
                    <w:rtl/>
                  </w:rPr>
                  <w:t>حول</w:t>
                </w:r>
                <w:r w:rsidR="00F4223D" w:rsidRPr="008D22A6">
                  <w:rPr>
                    <w:rStyle w:val="Lienhypertexte"/>
                    <w:rtl/>
                  </w:rPr>
                  <w:t xml:space="preserve"> </w:t>
                </w:r>
                <w:r w:rsidR="00F4223D" w:rsidRPr="008D22A6">
                  <w:rPr>
                    <w:rStyle w:val="Lienhypertexte"/>
                    <w:rFonts w:hint="eastAsia"/>
                    <w:rtl/>
                  </w:rPr>
                  <w:t>اضطرابات</w:t>
                </w:r>
                <w:r w:rsidR="00F4223D" w:rsidRPr="008D22A6">
                  <w:rPr>
                    <w:rStyle w:val="Lienhypertexte"/>
                    <w:rtl/>
                  </w:rPr>
                  <w:t xml:space="preserve"> </w:t>
                </w:r>
                <w:r w:rsidR="00F4223D" w:rsidRPr="008D22A6">
                  <w:rPr>
                    <w:rStyle w:val="Lienhypertexte"/>
                    <w:rFonts w:hint="eastAsia"/>
                    <w:rtl/>
                  </w:rPr>
                  <w:t>الحصول</w:t>
                </w:r>
                <w:r w:rsidR="00F4223D" w:rsidRPr="008D22A6">
                  <w:rPr>
                    <w:rStyle w:val="Lienhypertexte"/>
                    <w:rtl/>
                  </w:rPr>
                  <w:t xml:space="preserve"> </w:t>
                </w:r>
                <w:r w:rsidR="00F4223D" w:rsidRPr="008D22A6">
                  <w:rPr>
                    <w:rStyle w:val="Lienhypertexte"/>
                    <w:rFonts w:hint="eastAsia"/>
                    <w:rtl/>
                  </w:rPr>
                  <w:t>على</w:t>
                </w:r>
                <w:r w:rsidR="00F4223D" w:rsidRPr="008D22A6">
                  <w:rPr>
                    <w:rStyle w:val="Lienhypertexte"/>
                    <w:rtl/>
                  </w:rPr>
                  <w:t xml:space="preserve"> </w:t>
                </w:r>
                <w:r w:rsidR="00F4223D" w:rsidRPr="008D22A6">
                  <w:rPr>
                    <w:rStyle w:val="Lienhypertexte"/>
                    <w:rFonts w:hint="eastAsia"/>
                    <w:rtl/>
                  </w:rPr>
                  <w:t>الخدمة</w:t>
                </w:r>
                <w:r w:rsidR="00F4223D" w:rsidRPr="008D22A6">
                  <w:rPr>
                    <w:rStyle w:val="Lienhypertexte"/>
                    <w:rtl/>
                  </w:rPr>
                  <w:t xml:space="preserve"> </w:t>
                </w:r>
                <w:r w:rsidR="00F4223D" w:rsidRPr="008D22A6">
                  <w:rPr>
                    <w:rStyle w:val="Lienhypertexte"/>
                    <w:rFonts w:hint="eastAsia"/>
                    <w:rtl/>
                  </w:rPr>
                  <w:t>بمدينة</w:t>
                </w:r>
                <w:r w:rsidR="00F4223D" w:rsidRPr="008D22A6">
                  <w:rPr>
                    <w:rStyle w:val="Lienhypertexte"/>
                    <w:rtl/>
                  </w:rPr>
                  <w:t xml:space="preserve"> </w:t>
                </w:r>
                <w:r w:rsidR="00F4223D" w:rsidRPr="008D22A6">
                  <w:rPr>
                    <w:rStyle w:val="Lienhypertexte"/>
                    <w:rFonts w:hint="eastAsia"/>
                    <w:rtl/>
                  </w:rPr>
                  <w:t>بوسعادة</w:t>
                </w:r>
                <w:r w:rsidR="00F4223D">
                  <w:rPr>
                    <w:webHidden/>
                  </w:rPr>
                  <w:tab/>
                </w:r>
                <w:r w:rsidR="00F4223D">
                  <w:rPr>
                    <w:webHidden/>
                  </w:rPr>
                  <w:fldChar w:fldCharType="begin"/>
                </w:r>
                <w:r w:rsidR="00F4223D">
                  <w:rPr>
                    <w:webHidden/>
                  </w:rPr>
                  <w:instrText xml:space="preserve"> PAGEREF _Toc171803726 \h </w:instrText>
                </w:r>
                <w:r w:rsidR="00F4223D">
                  <w:rPr>
                    <w:webHidden/>
                  </w:rPr>
                </w:r>
                <w:r w:rsidR="00F4223D">
                  <w:rPr>
                    <w:webHidden/>
                  </w:rPr>
                  <w:fldChar w:fldCharType="separate"/>
                </w:r>
                <w:r>
                  <w:rPr>
                    <w:webHidden/>
                    <w:rtl/>
                  </w:rPr>
                  <w:t>166</w:t>
                </w:r>
                <w:r w:rsidR="00F4223D">
                  <w:rPr>
                    <w:webHidden/>
                  </w:rPr>
                  <w:fldChar w:fldCharType="end"/>
                </w:r>
              </w:hyperlink>
            </w:p>
            <w:p w:rsidR="00F4223D" w:rsidRDefault="00B62F86" w:rsidP="003A089F">
              <w:pPr>
                <w:pStyle w:val="TM3"/>
              </w:pPr>
              <w:hyperlink w:anchor="_Toc171803727" w:history="1">
                <w:r w:rsidR="00F4223D" w:rsidRPr="008D22A6">
                  <w:rPr>
                    <w:rStyle w:val="Lienhypertexte"/>
                    <w:lang w:val="en-US"/>
                  </w:rPr>
                  <w:t>1.5.3.5.</w:t>
                </w:r>
                <w:r w:rsidR="00F4223D">
                  <w:tab/>
                </w:r>
                <w:r w:rsidR="00F4223D" w:rsidRPr="008D22A6">
                  <w:rPr>
                    <w:rStyle w:val="Lienhypertexte"/>
                    <w:rFonts w:hint="eastAsia"/>
                    <w:rtl/>
                    <w:lang w:val="en-US"/>
                  </w:rPr>
                  <w:t>تطوير</w:t>
                </w:r>
                <w:r w:rsidR="00F4223D" w:rsidRPr="008D22A6">
                  <w:rPr>
                    <w:rStyle w:val="Lienhypertexte"/>
                    <w:rtl/>
                    <w:lang w:val="en-US"/>
                  </w:rPr>
                  <w:t xml:space="preserve"> </w:t>
                </w:r>
                <w:r w:rsidR="00F4223D" w:rsidRPr="008D22A6">
                  <w:rPr>
                    <w:rStyle w:val="Lienhypertexte"/>
                    <w:rFonts w:hint="eastAsia"/>
                    <w:rtl/>
                    <w:lang w:val="en-US"/>
                  </w:rPr>
                  <w:t>الاستبيان</w:t>
                </w:r>
                <w:r w:rsidR="00F4223D" w:rsidRPr="008D22A6">
                  <w:rPr>
                    <w:rStyle w:val="Lienhypertexte"/>
                    <w:rtl/>
                    <w:lang w:val="en-US"/>
                  </w:rPr>
                  <w:t xml:space="preserve"> </w:t>
                </w:r>
                <w:r w:rsidR="00F4223D" w:rsidRPr="008D22A6">
                  <w:rPr>
                    <w:rStyle w:val="Lienhypertexte"/>
                    <w:rFonts w:hint="eastAsia"/>
                    <w:rtl/>
                    <w:lang w:val="en-US"/>
                  </w:rPr>
                  <w:t>الالكتروني</w:t>
                </w:r>
                <w:r w:rsidR="00F4223D">
                  <w:rPr>
                    <w:webHidden/>
                  </w:rPr>
                  <w:tab/>
                </w:r>
                <w:r w:rsidR="00F4223D">
                  <w:rPr>
                    <w:webHidden/>
                  </w:rPr>
                  <w:fldChar w:fldCharType="begin"/>
                </w:r>
                <w:r w:rsidR="00F4223D">
                  <w:rPr>
                    <w:webHidden/>
                  </w:rPr>
                  <w:instrText xml:space="preserve"> PAGEREF _Toc171803727 \h </w:instrText>
                </w:r>
                <w:r w:rsidR="00F4223D">
                  <w:rPr>
                    <w:webHidden/>
                  </w:rPr>
                </w:r>
                <w:r w:rsidR="00F4223D">
                  <w:rPr>
                    <w:webHidden/>
                  </w:rPr>
                  <w:fldChar w:fldCharType="separate"/>
                </w:r>
                <w:r>
                  <w:rPr>
                    <w:webHidden/>
                    <w:rtl/>
                    <w:lang w:bidi="ar-SA"/>
                  </w:rPr>
                  <w:t>167</w:t>
                </w:r>
                <w:r w:rsidR="00F4223D">
                  <w:rPr>
                    <w:webHidden/>
                  </w:rPr>
                  <w:fldChar w:fldCharType="end"/>
                </w:r>
              </w:hyperlink>
            </w:p>
            <w:p w:rsidR="00F4223D" w:rsidRDefault="00B62F86" w:rsidP="003A089F">
              <w:pPr>
                <w:pStyle w:val="TM3"/>
              </w:pPr>
              <w:hyperlink w:anchor="_Toc171803728" w:history="1">
                <w:r w:rsidR="00F4223D" w:rsidRPr="008D22A6">
                  <w:rPr>
                    <w:rStyle w:val="Lienhypertexte"/>
                    <w:lang w:val="en-US"/>
                  </w:rPr>
                  <w:t>2.5.3.5.</w:t>
                </w:r>
                <w:r w:rsidR="00F4223D">
                  <w:tab/>
                </w:r>
                <w:r w:rsidR="00F4223D" w:rsidRPr="008D22A6">
                  <w:rPr>
                    <w:rStyle w:val="Lienhypertexte"/>
                    <w:rFonts w:hint="eastAsia"/>
                    <w:rtl/>
                    <w:lang w:val="en-US"/>
                  </w:rPr>
                  <w:t>تحديد</w:t>
                </w:r>
                <w:r w:rsidR="00F4223D" w:rsidRPr="008D22A6">
                  <w:rPr>
                    <w:rStyle w:val="Lienhypertexte"/>
                    <w:rtl/>
                    <w:lang w:val="en-US"/>
                  </w:rPr>
                  <w:t xml:space="preserve"> </w:t>
                </w:r>
                <w:r w:rsidR="00F4223D" w:rsidRPr="008D22A6">
                  <w:rPr>
                    <w:rStyle w:val="Lienhypertexte"/>
                    <w:rFonts w:hint="eastAsia"/>
                    <w:rtl/>
                    <w:lang w:val="en-US"/>
                  </w:rPr>
                  <w:t>حجم</w:t>
                </w:r>
                <w:r w:rsidR="00F4223D" w:rsidRPr="008D22A6">
                  <w:rPr>
                    <w:rStyle w:val="Lienhypertexte"/>
                    <w:rtl/>
                    <w:lang w:val="en-US"/>
                  </w:rPr>
                  <w:t xml:space="preserve"> </w:t>
                </w:r>
                <w:r w:rsidR="00F4223D" w:rsidRPr="008D22A6">
                  <w:rPr>
                    <w:rStyle w:val="Lienhypertexte"/>
                    <w:rFonts w:hint="eastAsia"/>
                    <w:rtl/>
                    <w:lang w:val="en-US"/>
                  </w:rPr>
                  <w:t>العينة</w:t>
                </w:r>
                <w:r w:rsidR="00F4223D" w:rsidRPr="008D22A6">
                  <w:rPr>
                    <w:rStyle w:val="Lienhypertexte"/>
                    <w:rtl/>
                    <w:lang w:val="en-US"/>
                  </w:rPr>
                  <w:t>:</w:t>
                </w:r>
                <w:r w:rsidR="00F4223D">
                  <w:rPr>
                    <w:webHidden/>
                  </w:rPr>
                  <w:tab/>
                </w:r>
                <w:r w:rsidR="00F4223D">
                  <w:rPr>
                    <w:webHidden/>
                  </w:rPr>
                  <w:fldChar w:fldCharType="begin"/>
                </w:r>
                <w:r w:rsidR="00F4223D">
                  <w:rPr>
                    <w:webHidden/>
                  </w:rPr>
                  <w:instrText xml:space="preserve"> PAGEREF _Toc171803728 \h </w:instrText>
                </w:r>
                <w:r w:rsidR="00F4223D">
                  <w:rPr>
                    <w:webHidden/>
                  </w:rPr>
                </w:r>
                <w:r w:rsidR="00F4223D">
                  <w:rPr>
                    <w:webHidden/>
                  </w:rPr>
                  <w:fldChar w:fldCharType="separate"/>
                </w:r>
                <w:r>
                  <w:rPr>
                    <w:webHidden/>
                    <w:rtl/>
                    <w:lang w:bidi="ar-SA"/>
                  </w:rPr>
                  <w:t>167</w:t>
                </w:r>
                <w:r w:rsidR="00F4223D">
                  <w:rPr>
                    <w:webHidden/>
                  </w:rPr>
                  <w:fldChar w:fldCharType="end"/>
                </w:r>
              </w:hyperlink>
            </w:p>
            <w:p w:rsidR="00F4223D" w:rsidRDefault="00B62F86" w:rsidP="003A089F">
              <w:pPr>
                <w:pStyle w:val="TM3"/>
              </w:pPr>
              <w:hyperlink w:anchor="_Toc171803730" w:history="1">
                <w:r w:rsidR="00F4223D" w:rsidRPr="008D22A6">
                  <w:rPr>
                    <w:rStyle w:val="Lienhypertexte"/>
                    <w:rtl/>
                    <w:lang w:val="en-US"/>
                  </w:rPr>
                  <w:t>3.5.3.5.</w:t>
                </w:r>
                <w:r w:rsidR="00F4223D">
                  <w:tab/>
                </w:r>
                <w:r w:rsidR="00F4223D" w:rsidRPr="008D22A6">
                  <w:rPr>
                    <w:rStyle w:val="Lienhypertexte"/>
                    <w:rFonts w:hint="eastAsia"/>
                    <w:rtl/>
                    <w:lang w:val="en-US"/>
                  </w:rPr>
                  <w:t>تحليل</w:t>
                </w:r>
                <w:r w:rsidR="00F4223D" w:rsidRPr="008D22A6">
                  <w:rPr>
                    <w:rStyle w:val="Lienhypertexte"/>
                    <w:rtl/>
                    <w:lang w:val="en-US"/>
                  </w:rPr>
                  <w:t xml:space="preserve"> </w:t>
                </w:r>
                <w:r w:rsidR="00F4223D" w:rsidRPr="008D22A6">
                  <w:rPr>
                    <w:rStyle w:val="Lienhypertexte"/>
                    <w:rFonts w:hint="eastAsia"/>
                    <w:rtl/>
                    <w:lang w:val="en-US"/>
                  </w:rPr>
                  <w:t>نتائج</w:t>
                </w:r>
                <w:r w:rsidR="00F4223D" w:rsidRPr="008D22A6">
                  <w:rPr>
                    <w:rStyle w:val="Lienhypertexte"/>
                    <w:rtl/>
                    <w:lang w:val="en-US"/>
                  </w:rPr>
                  <w:t xml:space="preserve"> </w:t>
                </w:r>
                <w:r w:rsidR="00F4223D" w:rsidRPr="008D22A6">
                  <w:rPr>
                    <w:rStyle w:val="Lienhypertexte"/>
                    <w:rFonts w:hint="eastAsia"/>
                    <w:rtl/>
                    <w:lang w:val="en-US"/>
                  </w:rPr>
                  <w:t>الاستبيان</w:t>
                </w:r>
                <w:r w:rsidR="00F4223D">
                  <w:rPr>
                    <w:webHidden/>
                  </w:rPr>
                  <w:tab/>
                </w:r>
                <w:r w:rsidR="00F4223D">
                  <w:rPr>
                    <w:webHidden/>
                  </w:rPr>
                  <w:fldChar w:fldCharType="begin"/>
                </w:r>
                <w:r w:rsidR="00F4223D">
                  <w:rPr>
                    <w:webHidden/>
                  </w:rPr>
                  <w:instrText xml:space="preserve"> PAGEREF _Toc171803730 \h </w:instrText>
                </w:r>
                <w:r w:rsidR="00F4223D">
                  <w:rPr>
                    <w:webHidden/>
                  </w:rPr>
                </w:r>
                <w:r w:rsidR="00F4223D">
                  <w:rPr>
                    <w:webHidden/>
                  </w:rPr>
                  <w:fldChar w:fldCharType="separate"/>
                </w:r>
                <w:r>
                  <w:rPr>
                    <w:webHidden/>
                    <w:rtl/>
                    <w:lang w:bidi="ar-SA"/>
                  </w:rPr>
                  <w:t>169</w:t>
                </w:r>
                <w:r w:rsidR="00F4223D">
                  <w:rPr>
                    <w:webHidden/>
                  </w:rPr>
                  <w:fldChar w:fldCharType="end"/>
                </w:r>
              </w:hyperlink>
            </w:p>
            <w:p w:rsidR="00F4223D" w:rsidRDefault="00B62F86" w:rsidP="003A089F">
              <w:pPr>
                <w:pStyle w:val="TM3"/>
              </w:pPr>
              <w:hyperlink w:anchor="_Toc171803761" w:history="1">
                <w:r w:rsidR="00F4223D" w:rsidRPr="008D22A6">
                  <w:rPr>
                    <w:rStyle w:val="Lienhypertexte"/>
                    <w:rtl/>
                    <w:lang w:val="en-US"/>
                  </w:rPr>
                  <w:t>4.5.3.5.</w:t>
                </w:r>
                <w:r w:rsidR="00F4223D">
                  <w:tab/>
                </w:r>
                <w:r w:rsidR="00F4223D" w:rsidRPr="008D22A6">
                  <w:rPr>
                    <w:rStyle w:val="Lienhypertexte"/>
                    <w:rFonts w:hint="eastAsia"/>
                    <w:rtl/>
                    <w:lang w:val="en-US"/>
                  </w:rPr>
                  <w:t>مقارنة</w:t>
                </w:r>
                <w:r w:rsidR="00F4223D" w:rsidRPr="008D22A6">
                  <w:rPr>
                    <w:rStyle w:val="Lienhypertexte"/>
                    <w:rtl/>
                    <w:lang w:val="en-US"/>
                  </w:rPr>
                  <w:t xml:space="preserve"> </w:t>
                </w:r>
                <w:r w:rsidR="00F4223D" w:rsidRPr="008D22A6">
                  <w:rPr>
                    <w:rStyle w:val="Lienhypertexte"/>
                    <w:rFonts w:hint="eastAsia"/>
                    <w:rtl/>
                    <w:lang w:val="en-US"/>
                  </w:rPr>
                  <w:t>نتائج</w:t>
                </w:r>
                <w:r w:rsidR="00F4223D" w:rsidRPr="008D22A6">
                  <w:rPr>
                    <w:rStyle w:val="Lienhypertexte"/>
                    <w:rtl/>
                    <w:lang w:val="en-US"/>
                  </w:rPr>
                  <w:t xml:space="preserve"> </w:t>
                </w:r>
                <w:r w:rsidR="00F4223D" w:rsidRPr="008D22A6">
                  <w:rPr>
                    <w:rStyle w:val="Lienhypertexte"/>
                    <w:rFonts w:hint="eastAsia"/>
                    <w:rtl/>
                    <w:lang w:val="en-US"/>
                  </w:rPr>
                  <w:t>تحليل</w:t>
                </w:r>
                <w:r w:rsidR="00F4223D" w:rsidRPr="008D22A6">
                  <w:rPr>
                    <w:rStyle w:val="Lienhypertexte"/>
                    <w:rtl/>
                    <w:lang w:val="en-US"/>
                  </w:rPr>
                  <w:t xml:space="preserve"> </w:t>
                </w:r>
                <w:r w:rsidR="00F4223D" w:rsidRPr="008D22A6">
                  <w:rPr>
                    <w:rStyle w:val="Lienhypertexte"/>
                    <w:rFonts w:hint="eastAsia"/>
                    <w:rtl/>
                    <w:lang w:val="en-US"/>
                  </w:rPr>
                  <w:t>الاستبيان</w:t>
                </w:r>
                <w:r w:rsidR="00F4223D" w:rsidRPr="008D22A6">
                  <w:rPr>
                    <w:rStyle w:val="Lienhypertexte"/>
                    <w:rtl/>
                    <w:lang w:val="en-US"/>
                  </w:rPr>
                  <w:t xml:space="preserve"> </w:t>
                </w:r>
                <w:r w:rsidR="00F4223D" w:rsidRPr="008D22A6">
                  <w:rPr>
                    <w:rStyle w:val="Lienhypertexte"/>
                    <w:rFonts w:hint="eastAsia"/>
                    <w:rtl/>
                    <w:lang w:val="en-US"/>
                  </w:rPr>
                  <w:t>المحلي</w:t>
                </w:r>
                <w:r w:rsidR="00F4223D" w:rsidRPr="008D22A6">
                  <w:rPr>
                    <w:rStyle w:val="Lienhypertexte"/>
                    <w:rtl/>
                    <w:lang w:val="en-US"/>
                  </w:rPr>
                  <w:t xml:space="preserve"> </w:t>
                </w:r>
                <w:r w:rsidR="00F4223D" w:rsidRPr="008D22A6">
                  <w:rPr>
                    <w:rStyle w:val="Lienhypertexte"/>
                    <w:rFonts w:hint="eastAsia"/>
                    <w:rtl/>
                    <w:lang w:val="en-US"/>
                  </w:rPr>
                  <w:t>مع</w:t>
                </w:r>
                <w:r w:rsidR="00F4223D" w:rsidRPr="008D22A6">
                  <w:rPr>
                    <w:rStyle w:val="Lienhypertexte"/>
                    <w:rtl/>
                    <w:lang w:val="en-US"/>
                  </w:rPr>
                  <w:t xml:space="preserve"> </w:t>
                </w:r>
                <w:r w:rsidR="00F4223D" w:rsidRPr="008D22A6">
                  <w:rPr>
                    <w:rStyle w:val="Lienhypertexte"/>
                    <w:rFonts w:hint="eastAsia"/>
                    <w:rtl/>
                    <w:lang w:val="en-US"/>
                  </w:rPr>
                  <w:t>نتائج</w:t>
                </w:r>
                <w:r w:rsidR="00F4223D" w:rsidRPr="008D22A6">
                  <w:rPr>
                    <w:rStyle w:val="Lienhypertexte"/>
                    <w:rtl/>
                    <w:lang w:val="en-US"/>
                  </w:rPr>
                  <w:t xml:space="preserve"> </w:t>
                </w:r>
                <w:r w:rsidR="00F4223D" w:rsidRPr="008D22A6">
                  <w:rPr>
                    <w:rStyle w:val="Lienhypertexte"/>
                    <w:rFonts w:hint="eastAsia"/>
                    <w:rtl/>
                    <w:lang w:val="en-US"/>
                  </w:rPr>
                  <w:t>تحليل</w:t>
                </w:r>
                <w:r w:rsidR="00F4223D" w:rsidRPr="008D22A6">
                  <w:rPr>
                    <w:rStyle w:val="Lienhypertexte"/>
                    <w:rtl/>
                    <w:lang w:val="en-US"/>
                  </w:rPr>
                  <w:t xml:space="preserve"> </w:t>
                </w:r>
                <w:r w:rsidR="00F4223D" w:rsidRPr="008D22A6">
                  <w:rPr>
                    <w:rStyle w:val="Lienhypertexte"/>
                    <w:rFonts w:hint="eastAsia"/>
                    <w:rtl/>
                    <w:lang w:val="en-US"/>
                  </w:rPr>
                  <w:t>تصنيفات</w:t>
                </w:r>
                <w:r w:rsidR="00F4223D" w:rsidRPr="008D22A6">
                  <w:rPr>
                    <w:rStyle w:val="Lienhypertexte"/>
                    <w:rtl/>
                    <w:lang w:val="en-US"/>
                  </w:rPr>
                  <w:t xml:space="preserve"> </w:t>
                </w:r>
                <w:r w:rsidR="00F4223D" w:rsidRPr="008D22A6">
                  <w:rPr>
                    <w:rStyle w:val="Lienhypertexte"/>
                    <w:rFonts w:hint="eastAsia"/>
                    <w:rtl/>
                    <w:lang w:val="en-US"/>
                  </w:rPr>
                  <w:t>المرونة</w:t>
                </w:r>
                <w:r w:rsidR="00F4223D" w:rsidRPr="008D22A6">
                  <w:rPr>
                    <w:rStyle w:val="Lienhypertexte"/>
                    <w:rtl/>
                    <w:lang w:val="en-US"/>
                  </w:rPr>
                  <w:t xml:space="preserve"> </w:t>
                </w:r>
                <w:r w:rsidR="00F4223D" w:rsidRPr="008D22A6">
                  <w:rPr>
                    <w:rStyle w:val="Lienhypertexte"/>
                    <w:rFonts w:hint="eastAsia"/>
                    <w:rtl/>
                    <w:lang w:val="en-US"/>
                  </w:rPr>
                  <w:t>الحضرية</w:t>
                </w:r>
                <w:r w:rsidR="00F4223D">
                  <w:rPr>
                    <w:webHidden/>
                  </w:rPr>
                  <w:tab/>
                </w:r>
                <w:r w:rsidR="00F4223D">
                  <w:rPr>
                    <w:webHidden/>
                  </w:rPr>
                  <w:fldChar w:fldCharType="begin"/>
                </w:r>
                <w:r w:rsidR="00F4223D">
                  <w:rPr>
                    <w:webHidden/>
                  </w:rPr>
                  <w:instrText xml:space="preserve"> PAGEREF _Toc171803761 \h </w:instrText>
                </w:r>
                <w:r w:rsidR="00F4223D">
                  <w:rPr>
                    <w:webHidden/>
                  </w:rPr>
                </w:r>
                <w:r w:rsidR="00F4223D">
                  <w:rPr>
                    <w:webHidden/>
                  </w:rPr>
                  <w:fldChar w:fldCharType="separate"/>
                </w:r>
                <w:r>
                  <w:rPr>
                    <w:webHidden/>
                    <w:rtl/>
                    <w:lang w:bidi="ar-SA"/>
                  </w:rPr>
                  <w:t>179</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762" w:history="1">
                <w:r w:rsidR="00F4223D" w:rsidRPr="008D22A6">
                  <w:rPr>
                    <w:rStyle w:val="Lienhypertexte"/>
                    <w:rFonts w:hint="eastAsia"/>
                    <w:rtl/>
                    <w:lang w:bidi="ar"/>
                  </w:rPr>
                  <w:t>الخلاصة</w:t>
                </w:r>
                <w:r w:rsidR="0028376D">
                  <w:rPr>
                    <w:rStyle w:val="Lienhypertexte"/>
                    <w:rFonts w:hint="cs"/>
                    <w:rtl/>
                    <w:lang w:bidi="ar"/>
                  </w:rPr>
                  <w:t>...............................................................................................................</w:t>
                </w:r>
                <w:r w:rsidR="00F4223D">
                  <w:rPr>
                    <w:webHidden/>
                  </w:rPr>
                  <w:tab/>
                </w:r>
                <w:r w:rsidR="00F4223D">
                  <w:rPr>
                    <w:webHidden/>
                  </w:rPr>
                  <w:fldChar w:fldCharType="begin"/>
                </w:r>
                <w:r w:rsidR="00F4223D">
                  <w:rPr>
                    <w:webHidden/>
                  </w:rPr>
                  <w:instrText xml:space="preserve"> PAGEREF _Toc171803762 \h </w:instrText>
                </w:r>
                <w:r w:rsidR="00F4223D">
                  <w:rPr>
                    <w:webHidden/>
                  </w:rPr>
                </w:r>
                <w:r w:rsidR="00F4223D">
                  <w:rPr>
                    <w:webHidden/>
                  </w:rPr>
                  <w:fldChar w:fldCharType="separate"/>
                </w:r>
                <w:r>
                  <w:rPr>
                    <w:webHidden/>
                    <w:rtl/>
                    <w:lang w:bidi="ar-SA"/>
                  </w:rPr>
                  <w:t>181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763" w:history="1">
                <w:r w:rsidR="00F4223D" w:rsidRPr="008D22A6">
                  <w:rPr>
                    <w:rStyle w:val="Lienhypertexte"/>
                    <w:rFonts w:hint="eastAsia"/>
                    <w:rtl/>
                  </w:rPr>
                  <w:t>الفصل</w:t>
                </w:r>
                <w:r w:rsidR="00F4223D" w:rsidRPr="008D22A6">
                  <w:rPr>
                    <w:rStyle w:val="Lienhypertexte"/>
                    <w:rtl/>
                  </w:rPr>
                  <w:t xml:space="preserve"> 6: </w:t>
                </w:r>
                <w:r w:rsidR="00F4223D" w:rsidRPr="008D22A6">
                  <w:rPr>
                    <w:rStyle w:val="Lienhypertexte"/>
                    <w:rFonts w:hint="eastAsia"/>
                    <w:rtl/>
                  </w:rPr>
                  <w:t>تقييم</w:t>
                </w:r>
                <w:r w:rsidR="00F4223D" w:rsidRPr="008D22A6">
                  <w:rPr>
                    <w:rStyle w:val="Lienhypertexte"/>
                    <w:rtl/>
                  </w:rPr>
                  <w:t xml:space="preserve"> </w:t>
                </w:r>
                <w:r w:rsidR="00F4223D" w:rsidRPr="008D22A6">
                  <w:rPr>
                    <w:rStyle w:val="Lienhypertexte"/>
                    <w:rFonts w:hint="eastAsia"/>
                    <w:rtl/>
                  </w:rPr>
                  <w:t>توافر</w:t>
                </w:r>
                <w:r w:rsidR="00F4223D" w:rsidRPr="008D22A6">
                  <w:rPr>
                    <w:rStyle w:val="Lienhypertexte"/>
                    <w:rtl/>
                  </w:rPr>
                  <w:t xml:space="preserve"> </w:t>
                </w:r>
                <w:r w:rsidR="00F4223D" w:rsidRPr="008D22A6">
                  <w:rPr>
                    <w:rStyle w:val="Lienhypertexte"/>
                    <w:rFonts w:hint="eastAsia"/>
                    <w:rtl/>
                  </w:rPr>
                  <w:t>سمات</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المكانية</w:t>
                </w:r>
                <w:r w:rsidR="00F4223D" w:rsidRPr="008D22A6">
                  <w:rPr>
                    <w:rStyle w:val="Lienhypertexte"/>
                    <w:rtl/>
                  </w:rPr>
                  <w:t xml:space="preserve"> </w:t>
                </w:r>
                <w:r w:rsidR="00F4223D" w:rsidRPr="008D22A6">
                  <w:rPr>
                    <w:rStyle w:val="Lienhypertexte"/>
                    <w:rFonts w:hint="eastAsia"/>
                    <w:rtl/>
                  </w:rPr>
                  <w:t>عبر</w:t>
                </w:r>
                <w:r w:rsidR="00F4223D" w:rsidRPr="008D22A6">
                  <w:rPr>
                    <w:rStyle w:val="Lienhypertexte"/>
                    <w:rtl/>
                  </w:rPr>
                  <w:t xml:space="preserve"> </w:t>
                </w:r>
                <w:r w:rsidR="00F4223D" w:rsidRPr="008D22A6">
                  <w:rPr>
                    <w:rStyle w:val="Lienhypertexte"/>
                    <w:rFonts w:hint="eastAsia"/>
                    <w:rtl/>
                  </w:rPr>
                  <w:t>فئات</w:t>
                </w:r>
                <w:r w:rsidR="00F4223D" w:rsidRPr="008D22A6">
                  <w:rPr>
                    <w:rStyle w:val="Lienhypertexte"/>
                    <w:rtl/>
                  </w:rPr>
                  <w:t xml:space="preserve"> </w:t>
                </w:r>
                <w:r w:rsidR="00F4223D" w:rsidRPr="008D22A6">
                  <w:rPr>
                    <w:rStyle w:val="Lienhypertexte"/>
                    <w:rFonts w:hint="eastAsia"/>
                    <w:rtl/>
                  </w:rPr>
                  <w:t>الانسجة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لمدينة</w:t>
                </w:r>
                <w:r w:rsidR="00F4223D" w:rsidRPr="008D22A6">
                  <w:rPr>
                    <w:rStyle w:val="Lienhypertexte"/>
                    <w:rtl/>
                  </w:rPr>
                  <w:t xml:space="preserve"> </w:t>
                </w:r>
                <w:r w:rsidR="00F4223D" w:rsidRPr="008D22A6">
                  <w:rPr>
                    <w:rStyle w:val="Lienhypertexte"/>
                    <w:rFonts w:hint="eastAsia"/>
                    <w:rtl/>
                  </w:rPr>
                  <w:t>بوسعادة</w:t>
                </w:r>
              </w:hyperlink>
            </w:p>
            <w:p w:rsidR="00F4223D" w:rsidRDefault="00B62F86" w:rsidP="009579D2">
              <w:pPr>
                <w:pStyle w:val="TM1"/>
                <w:rPr>
                  <w:rFonts w:asciiTheme="minorHAnsi" w:hAnsiTheme="minorHAnsi" w:cstheme="minorBidi"/>
                  <w:color w:val="auto"/>
                  <w:lang w:val="fr-FR" w:bidi="ar-SA"/>
                </w:rPr>
              </w:pPr>
              <w:hyperlink w:anchor="_Toc171803764" w:history="1">
                <w:r w:rsidR="00F4223D" w:rsidRPr="008D22A6">
                  <w:rPr>
                    <w:rStyle w:val="Lienhypertexte"/>
                    <w:rFonts w:hint="eastAsia"/>
                    <w:rtl/>
                  </w:rPr>
                  <w:t>تمهيد</w:t>
                </w:r>
                <w:r w:rsidR="0028376D">
                  <w:rPr>
                    <w:rStyle w:val="Lienhypertexte"/>
                    <w:rFonts w:hint="cs"/>
                    <w:rtl/>
                  </w:rPr>
                  <w:t>...................................................................................................................</w:t>
                </w:r>
                <w:r w:rsidR="00F4223D">
                  <w:rPr>
                    <w:webHidden/>
                  </w:rPr>
                  <w:tab/>
                </w:r>
                <w:r w:rsidR="00F4223D">
                  <w:rPr>
                    <w:webHidden/>
                  </w:rPr>
                  <w:fldChar w:fldCharType="begin"/>
                </w:r>
                <w:r w:rsidR="00F4223D">
                  <w:rPr>
                    <w:webHidden/>
                  </w:rPr>
                  <w:instrText xml:space="preserve"> PAGEREF _Toc171803764 \h </w:instrText>
                </w:r>
                <w:r w:rsidR="00F4223D">
                  <w:rPr>
                    <w:webHidden/>
                  </w:rPr>
                </w:r>
                <w:r w:rsidR="00F4223D">
                  <w:rPr>
                    <w:webHidden/>
                  </w:rPr>
                  <w:fldChar w:fldCharType="separate"/>
                </w:r>
                <w:r>
                  <w:rPr>
                    <w:webHidden/>
                    <w:rtl/>
                    <w:lang w:bidi="ar-SA"/>
                  </w:rPr>
                  <w:t>182</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765" w:history="1">
                <w:r w:rsidR="00F4223D" w:rsidRPr="008D22A6">
                  <w:rPr>
                    <w:rStyle w:val="Lienhypertexte"/>
                    <w:rtl/>
                  </w:rPr>
                  <w:t>1.6.</w:t>
                </w:r>
                <w:r w:rsidR="0028376D" w:rsidRPr="0028376D">
                  <w:rPr>
                    <w:rFonts w:hint="eastAsia"/>
                    <w:rtl/>
                  </w:rPr>
                  <w:t xml:space="preserve"> </w:t>
                </w:r>
                <w:r w:rsidR="0028376D" w:rsidRPr="0028376D">
                  <w:rPr>
                    <w:rStyle w:val="Lienhypertexte"/>
                    <w:rFonts w:hint="eastAsia"/>
                    <w:rtl/>
                  </w:rPr>
                  <w:t>العلاقة</w:t>
                </w:r>
                <w:r w:rsidR="0028376D" w:rsidRPr="0028376D">
                  <w:rPr>
                    <w:rStyle w:val="Lienhypertexte"/>
                    <w:rtl/>
                  </w:rPr>
                  <w:t xml:space="preserve"> </w:t>
                </w:r>
                <w:r w:rsidR="0028376D" w:rsidRPr="0028376D">
                  <w:rPr>
                    <w:rStyle w:val="Lienhypertexte"/>
                    <w:rFonts w:hint="eastAsia"/>
                    <w:rtl/>
                  </w:rPr>
                  <w:t>المكانية</w:t>
                </w:r>
                <w:r w:rsidR="0028376D" w:rsidRPr="0028376D">
                  <w:rPr>
                    <w:rStyle w:val="Lienhypertexte"/>
                    <w:rtl/>
                  </w:rPr>
                  <w:t xml:space="preserve"> </w:t>
                </w:r>
                <w:r w:rsidR="0028376D" w:rsidRPr="0028376D">
                  <w:rPr>
                    <w:rStyle w:val="Lienhypertexte"/>
                    <w:rFonts w:hint="eastAsia"/>
                    <w:rtl/>
                  </w:rPr>
                  <w:t>والزمنية</w:t>
                </w:r>
                <w:r w:rsidR="0028376D" w:rsidRPr="0028376D">
                  <w:rPr>
                    <w:rStyle w:val="Lienhypertexte"/>
                    <w:rtl/>
                  </w:rPr>
                  <w:t xml:space="preserve"> </w:t>
                </w:r>
                <w:r w:rsidR="0028376D" w:rsidRPr="0028376D">
                  <w:rPr>
                    <w:rStyle w:val="Lienhypertexte"/>
                    <w:rFonts w:hint="eastAsia"/>
                    <w:rtl/>
                  </w:rPr>
                  <w:t>للمكونات</w:t>
                </w:r>
                <w:r w:rsidR="0028376D" w:rsidRPr="0028376D">
                  <w:rPr>
                    <w:rStyle w:val="Lienhypertexte"/>
                    <w:rtl/>
                  </w:rPr>
                  <w:t xml:space="preserve"> </w:t>
                </w:r>
                <w:r w:rsidR="0028376D" w:rsidRPr="0028376D">
                  <w:rPr>
                    <w:rStyle w:val="Lienhypertexte"/>
                    <w:rFonts w:hint="eastAsia"/>
                    <w:rtl/>
                  </w:rPr>
                  <w:t>الحضرية</w:t>
                </w:r>
                <w:r w:rsidR="0028376D">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_Toc171803765 \h </w:instrText>
                </w:r>
                <w:r w:rsidR="00F4223D">
                  <w:rPr>
                    <w:webHidden/>
                  </w:rPr>
                </w:r>
                <w:r w:rsidR="00F4223D">
                  <w:rPr>
                    <w:webHidden/>
                  </w:rPr>
                  <w:fldChar w:fldCharType="separate"/>
                </w:r>
                <w:r>
                  <w:rPr>
                    <w:webHidden/>
                    <w:rtl/>
                    <w:lang w:bidi="ar-SA"/>
                  </w:rPr>
                  <w:t>183</w:t>
                </w:r>
                <w:r w:rsidR="00F4223D">
                  <w:rPr>
                    <w:webHidden/>
                  </w:rPr>
                  <w:fldChar w:fldCharType="end"/>
                </w:r>
              </w:hyperlink>
            </w:p>
            <w:p w:rsidR="00F4223D" w:rsidRPr="0028376D" w:rsidRDefault="00B62F86" w:rsidP="009579D2">
              <w:pPr>
                <w:pStyle w:val="TM1"/>
              </w:pPr>
              <w:hyperlink w:anchor="_Toc171803768" w:history="1">
                <w:r w:rsidR="00F4223D" w:rsidRPr="008D22A6">
                  <w:rPr>
                    <w:rStyle w:val="Lienhypertexte"/>
                    <w:rtl/>
                  </w:rPr>
                  <w:t>2.6.</w:t>
                </w:r>
                <w:r w:rsidR="0028376D" w:rsidRPr="0028376D">
                  <w:rPr>
                    <w:rFonts w:hint="eastAsia"/>
                    <w:rtl/>
                  </w:rPr>
                  <w:t xml:space="preserve"> </w:t>
                </w:r>
                <w:r w:rsidR="0028376D" w:rsidRPr="0028376D">
                  <w:rPr>
                    <w:rStyle w:val="Lienhypertexte"/>
                    <w:rFonts w:hint="eastAsia"/>
                    <w:rtl/>
                  </w:rPr>
                  <w:t>اطار</w:t>
                </w:r>
                <w:r w:rsidR="0028376D" w:rsidRPr="0028376D">
                  <w:rPr>
                    <w:rStyle w:val="Lienhypertexte"/>
                    <w:rtl/>
                  </w:rPr>
                  <w:t xml:space="preserve"> </w:t>
                </w:r>
                <w:r w:rsidR="0028376D" w:rsidRPr="0028376D">
                  <w:rPr>
                    <w:rStyle w:val="Lienhypertexte"/>
                    <w:rFonts w:hint="eastAsia"/>
                    <w:rtl/>
                  </w:rPr>
                  <w:t>مفاهيمي</w:t>
                </w:r>
                <w:r w:rsidR="0028376D" w:rsidRPr="0028376D">
                  <w:rPr>
                    <w:rStyle w:val="Lienhypertexte"/>
                    <w:rtl/>
                  </w:rPr>
                  <w:t xml:space="preserve"> </w:t>
                </w:r>
                <w:r w:rsidR="0028376D" w:rsidRPr="0028376D">
                  <w:rPr>
                    <w:rStyle w:val="Lienhypertexte"/>
                    <w:rFonts w:hint="eastAsia"/>
                    <w:rtl/>
                  </w:rPr>
                  <w:t>لتحليل</w:t>
                </w:r>
                <w:r w:rsidR="0028376D" w:rsidRPr="0028376D">
                  <w:rPr>
                    <w:rStyle w:val="Lienhypertexte"/>
                    <w:rtl/>
                  </w:rPr>
                  <w:t xml:space="preserve"> </w:t>
                </w:r>
                <w:r w:rsidR="0028376D" w:rsidRPr="0028376D">
                  <w:rPr>
                    <w:rStyle w:val="Lienhypertexte"/>
                    <w:rFonts w:hint="eastAsia"/>
                    <w:rtl/>
                  </w:rPr>
                  <w:t>مرونة</w:t>
                </w:r>
                <w:r w:rsidR="0028376D" w:rsidRPr="0028376D">
                  <w:rPr>
                    <w:rStyle w:val="Lienhypertexte"/>
                    <w:rtl/>
                  </w:rPr>
                  <w:t xml:space="preserve"> </w:t>
                </w:r>
                <w:r w:rsidR="0028376D" w:rsidRPr="0028376D">
                  <w:rPr>
                    <w:rStyle w:val="Lienhypertexte"/>
                    <w:rFonts w:hint="eastAsia"/>
                    <w:rtl/>
                  </w:rPr>
                  <w:t>النظم</w:t>
                </w:r>
                <w:r w:rsidR="0028376D" w:rsidRPr="0028376D">
                  <w:rPr>
                    <w:rStyle w:val="Lienhypertexte"/>
                    <w:rtl/>
                  </w:rPr>
                  <w:t xml:space="preserve"> </w:t>
                </w:r>
                <w:r w:rsidR="0028376D" w:rsidRPr="0028376D">
                  <w:rPr>
                    <w:rStyle w:val="Lienhypertexte"/>
                    <w:rFonts w:hint="eastAsia"/>
                    <w:rtl/>
                  </w:rPr>
                  <w:t>الحضرية</w:t>
                </w:r>
                <w:r w:rsidR="0028376D">
                  <w:rPr>
                    <w:rStyle w:val="Lienhypertexte"/>
                    <w:rFonts w:hint="cs"/>
                    <w:rtl/>
                  </w:rPr>
                  <w:t>.....................................................................</w:t>
                </w:r>
                <w:r w:rsidR="0028376D" w:rsidRPr="0028376D">
                  <w:rPr>
                    <w:rStyle w:val="Lienhypertexte"/>
                    <w:webHidden/>
                    <w:rtl/>
                  </w:rPr>
                  <w:tab/>
                </w:r>
                <w:r w:rsidR="0028376D" w:rsidRPr="0028376D">
                  <w:rPr>
                    <w:rStyle w:val="Lienhypertexte"/>
                    <w:webHidden/>
                    <w:rtl/>
                  </w:rPr>
                  <w:fldChar w:fldCharType="begin"/>
                </w:r>
                <w:r w:rsidR="0028376D" w:rsidRPr="0028376D">
                  <w:rPr>
                    <w:rStyle w:val="Lienhypertexte"/>
                    <w:webHidden/>
                    <w:rtl/>
                  </w:rPr>
                  <w:instrText xml:space="preserve"> </w:instrText>
                </w:r>
                <w:r w:rsidR="0028376D" w:rsidRPr="0028376D">
                  <w:rPr>
                    <w:rStyle w:val="Lienhypertexte"/>
                    <w:webHidden/>
                  </w:rPr>
                  <w:instrText xml:space="preserve">PAGEREF _Toc171803768 \h </w:instrText>
                </w:r>
                <w:r w:rsidR="0028376D" w:rsidRPr="0028376D">
                  <w:rPr>
                    <w:rStyle w:val="Lienhypertexte"/>
                    <w:webHidden/>
                    <w:rtl/>
                  </w:rPr>
                </w:r>
                <w:r w:rsidR="0028376D" w:rsidRPr="0028376D">
                  <w:rPr>
                    <w:rStyle w:val="Lienhypertexte"/>
                    <w:webHidden/>
                    <w:rtl/>
                  </w:rPr>
                  <w:fldChar w:fldCharType="separate"/>
                </w:r>
                <w:r>
                  <w:rPr>
                    <w:rStyle w:val="Lienhypertexte"/>
                    <w:webHidden/>
                    <w:rtl/>
                    <w:lang w:bidi="ar-SA"/>
                  </w:rPr>
                  <w:t>184</w:t>
                </w:r>
                <w:r w:rsidR="0028376D" w:rsidRPr="0028376D">
                  <w:rPr>
                    <w:rStyle w:val="Lienhypertexte"/>
                    <w:webHidden/>
                    <w:rtl/>
                  </w:rPr>
                  <w:fldChar w:fldCharType="end"/>
                </w:r>
                <w:r w:rsidR="00F4223D">
                  <w:rPr>
                    <w:rFonts w:asciiTheme="minorHAnsi" w:hAnsiTheme="minorHAnsi" w:cstheme="minorBidi"/>
                    <w:color w:val="auto"/>
                    <w:lang w:val="fr-FR" w:bidi="ar-SA"/>
                  </w:rPr>
                  <w:tab/>
                </w:r>
              </w:hyperlink>
            </w:p>
            <w:p w:rsidR="00F4223D" w:rsidRDefault="00B62F86" w:rsidP="009579D2">
              <w:pPr>
                <w:pStyle w:val="TM1"/>
                <w:rPr>
                  <w:rFonts w:asciiTheme="minorHAnsi" w:hAnsiTheme="minorHAnsi" w:cstheme="minorBidi"/>
                  <w:color w:val="auto"/>
                  <w:lang w:val="fr-FR" w:bidi="ar-SA"/>
                </w:rPr>
              </w:pPr>
              <w:hyperlink w:anchor="_Toc171803770" w:history="1">
                <w:r w:rsidR="00F4223D" w:rsidRPr="008D22A6">
                  <w:rPr>
                    <w:rStyle w:val="Lienhypertexte"/>
                  </w:rPr>
                  <w:t>3.6.</w:t>
                </w:r>
                <w:r w:rsidR="0028376D" w:rsidRPr="0028376D">
                  <w:rPr>
                    <w:rFonts w:hint="eastAsia"/>
                    <w:rtl/>
                  </w:rPr>
                  <w:t xml:space="preserve"> </w:t>
                </w:r>
                <w:r w:rsidR="0028376D" w:rsidRPr="0028376D">
                  <w:rPr>
                    <w:rStyle w:val="Lienhypertexte"/>
                    <w:rFonts w:hint="eastAsia"/>
                    <w:rtl/>
                  </w:rPr>
                  <w:t>قياس</w:t>
                </w:r>
                <w:r w:rsidR="0028376D" w:rsidRPr="0028376D">
                  <w:rPr>
                    <w:rStyle w:val="Lienhypertexte"/>
                    <w:rtl/>
                  </w:rPr>
                  <w:t xml:space="preserve"> </w:t>
                </w:r>
                <w:r w:rsidR="0028376D" w:rsidRPr="0028376D">
                  <w:rPr>
                    <w:rStyle w:val="Lienhypertexte"/>
                    <w:rFonts w:hint="eastAsia"/>
                    <w:rtl/>
                  </w:rPr>
                  <w:t>سمات</w:t>
                </w:r>
                <w:r w:rsidR="0028376D" w:rsidRPr="0028376D">
                  <w:rPr>
                    <w:rStyle w:val="Lienhypertexte"/>
                    <w:rtl/>
                  </w:rPr>
                  <w:t xml:space="preserve"> </w:t>
                </w:r>
                <w:r w:rsidR="0028376D" w:rsidRPr="0028376D">
                  <w:rPr>
                    <w:rStyle w:val="Lienhypertexte"/>
                    <w:rFonts w:hint="eastAsia"/>
                    <w:rtl/>
                  </w:rPr>
                  <w:t>المرونة</w:t>
                </w:r>
                <w:r w:rsidR="0028376D" w:rsidRPr="0028376D">
                  <w:rPr>
                    <w:rStyle w:val="Lienhypertexte"/>
                    <w:rtl/>
                  </w:rPr>
                  <w:t xml:space="preserve"> </w:t>
                </w:r>
                <w:r w:rsidR="0028376D" w:rsidRPr="0028376D">
                  <w:rPr>
                    <w:rStyle w:val="Lienhypertexte"/>
                    <w:rFonts w:hint="eastAsia"/>
                    <w:rtl/>
                  </w:rPr>
                  <w:t>المكانية</w:t>
                </w:r>
                <w:r w:rsidR="0028376D" w:rsidRPr="0028376D">
                  <w:rPr>
                    <w:rStyle w:val="Lienhypertexte"/>
                    <w:rtl/>
                  </w:rPr>
                  <w:t xml:space="preserve"> </w:t>
                </w:r>
                <w:r w:rsidR="0028376D" w:rsidRPr="0028376D">
                  <w:rPr>
                    <w:rStyle w:val="Lienhypertexte"/>
                    <w:rFonts w:hint="eastAsia"/>
                    <w:rtl/>
                  </w:rPr>
                  <w:t>لبحث</w:t>
                </w:r>
                <w:r w:rsidR="0028376D" w:rsidRPr="0028376D">
                  <w:rPr>
                    <w:rStyle w:val="Lienhypertexte"/>
                    <w:rtl/>
                  </w:rPr>
                  <w:t xml:space="preserve"> </w:t>
                </w:r>
                <w:r w:rsidR="0028376D" w:rsidRPr="0028376D">
                  <w:rPr>
                    <w:rStyle w:val="Lienhypertexte"/>
                    <w:rFonts w:hint="eastAsia"/>
                    <w:rtl/>
                  </w:rPr>
                  <w:t>امكانية</w:t>
                </w:r>
                <w:r w:rsidR="0028376D" w:rsidRPr="0028376D">
                  <w:rPr>
                    <w:rStyle w:val="Lienhypertexte"/>
                    <w:rtl/>
                  </w:rPr>
                  <w:t xml:space="preserve"> </w:t>
                </w:r>
                <w:r w:rsidR="0028376D" w:rsidRPr="0028376D">
                  <w:rPr>
                    <w:rStyle w:val="Lienhypertexte"/>
                    <w:rFonts w:hint="eastAsia"/>
                    <w:rtl/>
                  </w:rPr>
                  <w:t>التحول</w:t>
                </w:r>
                <w:r w:rsidR="0028376D" w:rsidRPr="0028376D">
                  <w:rPr>
                    <w:rStyle w:val="Lienhypertexte"/>
                    <w:rtl/>
                  </w:rPr>
                  <w:t xml:space="preserve"> </w:t>
                </w:r>
                <w:r w:rsidR="0028376D" w:rsidRPr="0028376D">
                  <w:rPr>
                    <w:rStyle w:val="Lienhypertexte"/>
                    <w:rFonts w:hint="eastAsia"/>
                    <w:rtl/>
                  </w:rPr>
                  <w:t>المكاني</w:t>
                </w:r>
                <w:r w:rsidR="0028376D" w:rsidRPr="0028376D">
                  <w:rPr>
                    <w:rStyle w:val="Lienhypertexte"/>
                    <w:rtl/>
                  </w:rPr>
                  <w:t xml:space="preserve"> (</w:t>
                </w:r>
                <w:r w:rsidR="0028376D" w:rsidRPr="0028376D">
                  <w:rPr>
                    <w:rStyle w:val="Lienhypertexte"/>
                    <w:rFonts w:hint="eastAsia"/>
                    <w:rtl/>
                  </w:rPr>
                  <w:t>التكيف</w:t>
                </w:r>
                <w:r w:rsidR="0028376D" w:rsidRPr="0028376D">
                  <w:rPr>
                    <w:rStyle w:val="Lienhypertexte"/>
                    <w:rtl/>
                  </w:rPr>
                  <w:t xml:space="preserve">) </w:t>
                </w:r>
                <w:r w:rsidR="0028376D" w:rsidRPr="0028376D">
                  <w:rPr>
                    <w:rStyle w:val="Lienhypertexte"/>
                    <w:rFonts w:hint="eastAsia"/>
                    <w:rtl/>
                  </w:rPr>
                  <w:t>لأحياء</w:t>
                </w:r>
                <w:r w:rsidR="0028376D" w:rsidRPr="0028376D">
                  <w:rPr>
                    <w:rStyle w:val="Lienhypertexte"/>
                    <w:rtl/>
                  </w:rPr>
                  <w:t xml:space="preserve"> </w:t>
                </w:r>
                <w:r w:rsidR="0028376D" w:rsidRPr="0028376D">
                  <w:rPr>
                    <w:rStyle w:val="Lienhypertexte"/>
                    <w:rFonts w:hint="eastAsia"/>
                    <w:rtl/>
                  </w:rPr>
                  <w:t>مدينة</w:t>
                </w:r>
                <w:r w:rsidR="0028376D" w:rsidRPr="0028376D">
                  <w:rPr>
                    <w:rStyle w:val="Lienhypertexte"/>
                    <w:rtl/>
                  </w:rPr>
                  <w:t xml:space="preserve"> </w:t>
                </w:r>
                <w:r w:rsidR="0028376D" w:rsidRPr="0028376D">
                  <w:rPr>
                    <w:rStyle w:val="Lienhypertexte"/>
                    <w:rFonts w:hint="eastAsia"/>
                    <w:rtl/>
                  </w:rPr>
                  <w:t>بوسعادة</w:t>
                </w:r>
                <w:r w:rsidR="0028376D">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_Toc171803770 \h </w:instrText>
                </w:r>
                <w:r w:rsidR="00F4223D">
                  <w:rPr>
                    <w:webHidden/>
                  </w:rPr>
                </w:r>
                <w:r w:rsidR="00F4223D">
                  <w:rPr>
                    <w:webHidden/>
                  </w:rPr>
                  <w:fldChar w:fldCharType="separate"/>
                </w:r>
                <w:r>
                  <w:rPr>
                    <w:webHidden/>
                    <w:rtl/>
                    <w:lang w:bidi="ar-SA"/>
                  </w:rPr>
                  <w:t>185</w:t>
                </w:r>
                <w:r w:rsidR="00F4223D">
                  <w:rPr>
                    <w:webHidden/>
                  </w:rPr>
                  <w:fldChar w:fldCharType="end"/>
                </w:r>
              </w:hyperlink>
            </w:p>
            <w:p w:rsidR="00F4223D" w:rsidRPr="00975103" w:rsidRDefault="00B62F86" w:rsidP="009579D2">
              <w:pPr>
                <w:pStyle w:val="TM1"/>
              </w:pPr>
              <w:hyperlink w:anchor="_Toc171803775" w:history="1">
                <w:r w:rsidR="00F4223D" w:rsidRPr="008D22A6">
                  <w:rPr>
                    <w:rStyle w:val="Lienhypertexte"/>
                  </w:rPr>
                  <w:t>4.6.</w:t>
                </w:r>
                <w:r w:rsidR="0028376D" w:rsidRPr="0028376D">
                  <w:rPr>
                    <w:rFonts w:hint="eastAsia"/>
                    <w:rtl/>
                  </w:rPr>
                  <w:t xml:space="preserve"> </w:t>
                </w:r>
                <w:r w:rsidR="0028376D" w:rsidRPr="0028376D">
                  <w:rPr>
                    <w:rStyle w:val="Lienhypertexte"/>
                    <w:rFonts w:hint="eastAsia"/>
                    <w:rtl/>
                  </w:rPr>
                  <w:t>نموذج</w:t>
                </w:r>
                <w:r w:rsidR="0028376D" w:rsidRPr="0028376D">
                  <w:rPr>
                    <w:rStyle w:val="Lienhypertexte"/>
                    <w:rtl/>
                  </w:rPr>
                  <w:t xml:space="preserve"> </w:t>
                </w:r>
                <w:r w:rsidR="0028376D" w:rsidRPr="0028376D">
                  <w:rPr>
                    <w:rStyle w:val="Lienhypertexte"/>
                    <w:rFonts w:hint="eastAsia"/>
                    <w:rtl/>
                  </w:rPr>
                  <w:t>قياس</w:t>
                </w:r>
                <w:r w:rsidR="0028376D" w:rsidRPr="0028376D">
                  <w:rPr>
                    <w:rStyle w:val="Lienhypertexte"/>
                    <w:rtl/>
                  </w:rPr>
                  <w:t xml:space="preserve"> </w:t>
                </w:r>
                <w:r w:rsidR="0028376D" w:rsidRPr="0028376D">
                  <w:rPr>
                    <w:rStyle w:val="Lienhypertexte"/>
                    <w:rFonts w:hint="eastAsia"/>
                    <w:rtl/>
                  </w:rPr>
                  <w:t>القدرة</w:t>
                </w:r>
                <w:r w:rsidR="0028376D" w:rsidRPr="0028376D">
                  <w:rPr>
                    <w:rStyle w:val="Lienhypertexte"/>
                    <w:rtl/>
                  </w:rPr>
                  <w:t xml:space="preserve"> </w:t>
                </w:r>
                <w:r w:rsidR="0028376D" w:rsidRPr="0028376D">
                  <w:rPr>
                    <w:rStyle w:val="Lienhypertexte"/>
                    <w:rFonts w:hint="eastAsia"/>
                    <w:rtl/>
                  </w:rPr>
                  <w:t>على</w:t>
                </w:r>
                <w:r w:rsidR="0028376D" w:rsidRPr="0028376D">
                  <w:rPr>
                    <w:rStyle w:val="Lienhypertexte"/>
                    <w:rtl/>
                  </w:rPr>
                  <w:t xml:space="preserve"> </w:t>
                </w:r>
                <w:r w:rsidR="0028376D" w:rsidRPr="0028376D">
                  <w:rPr>
                    <w:rStyle w:val="Lienhypertexte"/>
                    <w:rFonts w:hint="eastAsia"/>
                    <w:rtl/>
                  </w:rPr>
                  <w:t>التكيف</w:t>
                </w:r>
                <w:r w:rsidR="0028376D" w:rsidRPr="0028376D">
                  <w:rPr>
                    <w:rStyle w:val="Lienhypertexte"/>
                    <w:rtl/>
                  </w:rPr>
                  <w:t xml:space="preserve"> </w:t>
                </w:r>
                <w:r w:rsidR="0028376D" w:rsidRPr="0028376D">
                  <w:rPr>
                    <w:rStyle w:val="Lienhypertexte"/>
                    <w:rFonts w:hint="eastAsia"/>
                    <w:rtl/>
                  </w:rPr>
                  <w:t>المكاني</w:t>
                </w:r>
                <w:r w:rsidR="0028376D" w:rsidRPr="0028376D">
                  <w:rPr>
                    <w:rStyle w:val="Lienhypertexte"/>
                    <w:rtl/>
                  </w:rPr>
                  <w:t xml:space="preserve"> </w:t>
                </w:r>
                <w:r w:rsidR="0028376D" w:rsidRPr="0028376D">
                  <w:rPr>
                    <w:rStyle w:val="Lienhypertexte"/>
                  </w:rPr>
                  <w:t>Spatial Adaptive Potential Assessment Model)</w:t>
                </w:r>
                <w:r w:rsidR="00975103">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_Toc171803775 \h </w:instrText>
                </w:r>
                <w:r w:rsidR="00F4223D">
                  <w:rPr>
                    <w:webHidden/>
                  </w:rPr>
                </w:r>
                <w:r w:rsidR="00F4223D">
                  <w:rPr>
                    <w:webHidden/>
                  </w:rPr>
                  <w:fldChar w:fldCharType="separate"/>
                </w:r>
                <w:r>
                  <w:rPr>
                    <w:webHidden/>
                    <w:rtl/>
                    <w:lang w:bidi="ar-SA"/>
                  </w:rPr>
                  <w:t>187</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779" w:history="1">
                <w:r w:rsidR="00F4223D" w:rsidRPr="008D22A6">
                  <w:rPr>
                    <w:rStyle w:val="Lienhypertexte"/>
                    <w:lang w:bidi="ar-DZ"/>
                  </w:rPr>
                  <w:t>1.4.6.</w:t>
                </w:r>
                <w:r w:rsidR="00F4223D">
                  <w:rPr>
                    <w:rFonts w:asciiTheme="minorHAnsi" w:hAnsiTheme="minorHAnsi" w:cstheme="minorBidi"/>
                    <w:lang w:val="fr-FR"/>
                  </w:rPr>
                  <w:tab/>
                </w:r>
                <w:r w:rsidR="00F4223D" w:rsidRPr="008D22A6">
                  <w:rPr>
                    <w:rStyle w:val="Lienhypertexte"/>
                    <w:rFonts w:hint="eastAsia"/>
                    <w:rtl/>
                    <w:lang w:bidi="ar-DZ"/>
                  </w:rPr>
                  <w:t>سمة</w:t>
                </w:r>
                <w:r w:rsidR="00F4223D" w:rsidRPr="008D22A6">
                  <w:rPr>
                    <w:rStyle w:val="Lienhypertexte"/>
                    <w:rtl/>
                    <w:lang w:bidi="ar-DZ"/>
                  </w:rPr>
                  <w:t xml:space="preserve"> </w:t>
                </w:r>
                <w:r w:rsidR="00F4223D" w:rsidRPr="008D22A6">
                  <w:rPr>
                    <w:rStyle w:val="Lienhypertexte"/>
                    <w:rFonts w:hint="eastAsia"/>
                    <w:rtl/>
                    <w:lang w:bidi="ar-DZ"/>
                  </w:rPr>
                  <w:t>الكثافة</w:t>
                </w:r>
                <w:r w:rsidR="00F4223D">
                  <w:rPr>
                    <w:webHidden/>
                  </w:rPr>
                  <w:tab/>
                </w:r>
                <w:r w:rsidR="00F4223D">
                  <w:rPr>
                    <w:webHidden/>
                  </w:rPr>
                  <w:fldChar w:fldCharType="begin"/>
                </w:r>
                <w:r w:rsidR="00F4223D">
                  <w:rPr>
                    <w:webHidden/>
                  </w:rPr>
                  <w:instrText xml:space="preserve"> PAGEREF _Toc171803779 \h </w:instrText>
                </w:r>
                <w:r w:rsidR="00F4223D">
                  <w:rPr>
                    <w:webHidden/>
                  </w:rPr>
                </w:r>
                <w:r w:rsidR="00F4223D">
                  <w:rPr>
                    <w:webHidden/>
                  </w:rPr>
                  <w:fldChar w:fldCharType="separate"/>
                </w:r>
                <w:r>
                  <w:rPr>
                    <w:webHidden/>
                    <w:rtl/>
                  </w:rPr>
                  <w:t>187</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782" w:history="1">
                <w:r w:rsidR="00F4223D" w:rsidRPr="008D22A6">
                  <w:rPr>
                    <w:rStyle w:val="Lienhypertexte"/>
                    <w:rtl/>
                    <w:lang w:bidi="ar-DZ"/>
                  </w:rPr>
                  <w:t>2.4.6.</w:t>
                </w:r>
                <w:r w:rsidR="00F4223D">
                  <w:rPr>
                    <w:rFonts w:asciiTheme="minorHAnsi" w:hAnsiTheme="minorHAnsi" w:cstheme="minorBidi"/>
                    <w:lang w:val="fr-FR"/>
                  </w:rPr>
                  <w:tab/>
                </w:r>
                <w:r w:rsidR="00F4223D" w:rsidRPr="008D22A6">
                  <w:rPr>
                    <w:rStyle w:val="Lienhypertexte"/>
                    <w:rFonts w:hint="eastAsia"/>
                    <w:rtl/>
                    <w:lang w:bidi="ar-DZ"/>
                  </w:rPr>
                  <w:t>سمة</w:t>
                </w:r>
                <w:r w:rsidR="00F4223D" w:rsidRPr="008D22A6">
                  <w:rPr>
                    <w:rStyle w:val="Lienhypertexte"/>
                    <w:rtl/>
                    <w:lang w:bidi="ar-DZ"/>
                  </w:rPr>
                  <w:t xml:space="preserve"> </w:t>
                </w:r>
                <w:r w:rsidR="00F4223D" w:rsidRPr="008D22A6">
                  <w:rPr>
                    <w:rStyle w:val="Lienhypertexte"/>
                    <w:rFonts w:hint="eastAsia"/>
                    <w:rtl/>
                    <w:lang w:bidi="ar-DZ"/>
                  </w:rPr>
                  <w:t>التنوع</w:t>
                </w:r>
                <w:r w:rsidR="00F4223D">
                  <w:rPr>
                    <w:webHidden/>
                  </w:rPr>
                  <w:tab/>
                </w:r>
                <w:r w:rsidR="00F4223D">
                  <w:rPr>
                    <w:webHidden/>
                  </w:rPr>
                  <w:fldChar w:fldCharType="begin"/>
                </w:r>
                <w:r w:rsidR="00F4223D">
                  <w:rPr>
                    <w:webHidden/>
                  </w:rPr>
                  <w:instrText xml:space="preserve"> PAGEREF _Toc171803782 \h </w:instrText>
                </w:r>
                <w:r w:rsidR="00F4223D">
                  <w:rPr>
                    <w:webHidden/>
                  </w:rPr>
                </w:r>
                <w:r w:rsidR="00F4223D">
                  <w:rPr>
                    <w:webHidden/>
                  </w:rPr>
                  <w:fldChar w:fldCharType="separate"/>
                </w:r>
                <w:r>
                  <w:rPr>
                    <w:webHidden/>
                    <w:rtl/>
                  </w:rPr>
                  <w:t>189</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783" w:history="1">
                <w:r w:rsidR="00F4223D" w:rsidRPr="008D22A6">
                  <w:rPr>
                    <w:rStyle w:val="Lienhypertexte"/>
                    <w:lang w:bidi="ar-DZ"/>
                  </w:rPr>
                  <w:t>3.4.6.</w:t>
                </w:r>
                <w:r w:rsidR="00F4223D">
                  <w:rPr>
                    <w:rFonts w:asciiTheme="minorHAnsi" w:hAnsiTheme="minorHAnsi" w:cstheme="minorBidi"/>
                    <w:lang w:val="fr-FR"/>
                  </w:rPr>
                  <w:tab/>
                </w:r>
                <w:r w:rsidR="00F4223D" w:rsidRPr="008D22A6">
                  <w:rPr>
                    <w:rStyle w:val="Lienhypertexte"/>
                    <w:rFonts w:hint="eastAsia"/>
                    <w:rtl/>
                    <w:lang w:bidi="ar-DZ"/>
                  </w:rPr>
                  <w:t>الاتصالية</w:t>
                </w:r>
                <w:r w:rsidR="00F4223D" w:rsidRPr="008D22A6">
                  <w:rPr>
                    <w:rStyle w:val="Lienhypertexte"/>
                    <w:rtl/>
                    <w:lang w:bidi="ar-DZ"/>
                  </w:rPr>
                  <w:t>:</w:t>
                </w:r>
                <w:r w:rsidR="00F4223D">
                  <w:rPr>
                    <w:webHidden/>
                  </w:rPr>
                  <w:tab/>
                </w:r>
                <w:r w:rsidR="00F4223D">
                  <w:rPr>
                    <w:webHidden/>
                  </w:rPr>
                  <w:fldChar w:fldCharType="begin"/>
                </w:r>
                <w:r w:rsidR="00F4223D">
                  <w:rPr>
                    <w:webHidden/>
                  </w:rPr>
                  <w:instrText xml:space="preserve"> PAGEREF _Toc171803783 \h </w:instrText>
                </w:r>
                <w:r w:rsidR="00F4223D">
                  <w:rPr>
                    <w:webHidden/>
                  </w:rPr>
                </w:r>
                <w:r w:rsidR="00F4223D">
                  <w:rPr>
                    <w:webHidden/>
                  </w:rPr>
                  <w:fldChar w:fldCharType="separate"/>
                </w:r>
                <w:r>
                  <w:rPr>
                    <w:webHidden/>
                    <w:rtl/>
                  </w:rPr>
                  <w:t>189</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785" w:history="1">
                <w:r w:rsidR="00F4223D" w:rsidRPr="008D22A6">
                  <w:rPr>
                    <w:rStyle w:val="Lienhypertexte"/>
                    <w:rtl/>
                    <w:lang w:bidi="ar-DZ"/>
                  </w:rPr>
                  <w:t>4.4.6.</w:t>
                </w:r>
                <w:r w:rsidR="00F4223D">
                  <w:rPr>
                    <w:rFonts w:asciiTheme="minorHAnsi" w:hAnsiTheme="minorHAnsi" w:cstheme="minorBidi"/>
                    <w:lang w:val="fr-FR"/>
                  </w:rPr>
                  <w:tab/>
                </w:r>
                <w:r w:rsidR="00F4223D" w:rsidRPr="008D22A6">
                  <w:rPr>
                    <w:rStyle w:val="Lienhypertexte"/>
                    <w:rFonts w:hint="eastAsia"/>
                    <w:rtl/>
                    <w:lang w:bidi="ar-DZ"/>
                  </w:rPr>
                  <w:t>سمة</w:t>
                </w:r>
                <w:r w:rsidR="00F4223D" w:rsidRPr="008D22A6">
                  <w:rPr>
                    <w:rStyle w:val="Lienhypertexte"/>
                    <w:rtl/>
                    <w:lang w:bidi="ar-DZ"/>
                  </w:rPr>
                  <w:t xml:space="preserve"> </w:t>
                </w:r>
                <w:r w:rsidR="00F4223D" w:rsidRPr="008D22A6">
                  <w:rPr>
                    <w:rStyle w:val="Lienhypertexte"/>
                    <w:rFonts w:hint="eastAsia"/>
                    <w:rtl/>
                    <w:lang w:bidi="ar-DZ"/>
                  </w:rPr>
                  <w:t>التكرار</w:t>
                </w:r>
                <w:r w:rsidR="00F4223D">
                  <w:rPr>
                    <w:webHidden/>
                  </w:rPr>
                  <w:tab/>
                </w:r>
                <w:r w:rsidR="00F4223D">
                  <w:rPr>
                    <w:webHidden/>
                  </w:rPr>
                  <w:fldChar w:fldCharType="begin"/>
                </w:r>
                <w:r w:rsidR="00F4223D">
                  <w:rPr>
                    <w:webHidden/>
                  </w:rPr>
                  <w:instrText xml:space="preserve"> PAGEREF _Toc171803785 \h </w:instrText>
                </w:r>
                <w:r w:rsidR="00F4223D">
                  <w:rPr>
                    <w:webHidden/>
                  </w:rPr>
                </w:r>
                <w:r w:rsidR="00F4223D">
                  <w:rPr>
                    <w:webHidden/>
                  </w:rPr>
                  <w:fldChar w:fldCharType="separate"/>
                </w:r>
                <w:r>
                  <w:rPr>
                    <w:webHidden/>
                    <w:rtl/>
                  </w:rPr>
                  <w:t>191</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788" w:history="1">
                <w:r w:rsidR="00F4223D" w:rsidRPr="008D22A6">
                  <w:rPr>
                    <w:rStyle w:val="Lienhypertexte"/>
                  </w:rPr>
                  <w:t>5.6.</w:t>
                </w:r>
                <w:r w:rsidR="00975103" w:rsidRPr="00975103">
                  <w:rPr>
                    <w:rFonts w:hint="eastAsia"/>
                    <w:rtl/>
                  </w:rPr>
                  <w:t xml:space="preserve"> </w:t>
                </w:r>
                <w:r w:rsidR="00975103" w:rsidRPr="00975103">
                  <w:rPr>
                    <w:rStyle w:val="Lienhypertexte"/>
                    <w:rFonts w:hint="eastAsia"/>
                    <w:rtl/>
                  </w:rPr>
                  <w:t>التحليل</w:t>
                </w:r>
                <w:r w:rsidR="00975103" w:rsidRPr="00975103">
                  <w:rPr>
                    <w:rStyle w:val="Lienhypertexte"/>
                    <w:rtl/>
                  </w:rPr>
                  <w:t xml:space="preserve"> </w:t>
                </w:r>
                <w:r w:rsidR="00975103" w:rsidRPr="00975103">
                  <w:rPr>
                    <w:rStyle w:val="Lienhypertexte"/>
                    <w:rFonts w:hint="eastAsia"/>
                    <w:rtl/>
                  </w:rPr>
                  <w:t>المكاني</w:t>
                </w:r>
                <w:r w:rsidR="00975103" w:rsidRPr="00975103">
                  <w:rPr>
                    <w:rStyle w:val="Lienhypertexte"/>
                    <w:rtl/>
                  </w:rPr>
                  <w:t xml:space="preserve"> </w:t>
                </w:r>
                <w:r w:rsidR="00975103" w:rsidRPr="00975103">
                  <w:rPr>
                    <w:rStyle w:val="Lienhypertexte"/>
                    <w:rFonts w:hint="eastAsia"/>
                    <w:rtl/>
                  </w:rPr>
                  <w:t>والشبكي</w:t>
                </w:r>
                <w:r w:rsidR="00975103" w:rsidRPr="00975103">
                  <w:rPr>
                    <w:rStyle w:val="Lienhypertexte"/>
                    <w:rtl/>
                  </w:rPr>
                  <w:t xml:space="preserve"> (</w:t>
                </w:r>
                <w:r w:rsidR="00975103" w:rsidRPr="00975103">
                  <w:rPr>
                    <w:rStyle w:val="Lienhypertexte"/>
                    <w:rFonts w:hint="eastAsia"/>
                    <w:rtl/>
                  </w:rPr>
                  <w:t>المعايير</w:t>
                </w:r>
                <w:r w:rsidR="00975103" w:rsidRPr="00975103">
                  <w:rPr>
                    <w:rStyle w:val="Lienhypertexte"/>
                    <w:rtl/>
                  </w:rPr>
                  <w:t>)</w:t>
                </w:r>
                <w:r w:rsidR="00975103">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_Toc171803788 \h </w:instrText>
                </w:r>
                <w:r w:rsidR="00F4223D">
                  <w:rPr>
                    <w:webHidden/>
                  </w:rPr>
                </w:r>
                <w:r w:rsidR="00F4223D">
                  <w:rPr>
                    <w:webHidden/>
                  </w:rPr>
                  <w:fldChar w:fldCharType="separate"/>
                </w:r>
                <w:r>
                  <w:rPr>
                    <w:webHidden/>
                    <w:rtl/>
                    <w:lang w:bidi="ar-SA"/>
                  </w:rPr>
                  <w:t>192</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789" w:history="1">
                <w:r w:rsidR="00F4223D" w:rsidRPr="008D22A6">
                  <w:rPr>
                    <w:rStyle w:val="Lienhypertexte"/>
                  </w:rPr>
                  <w:t>1.5.6.</w:t>
                </w:r>
                <w:r w:rsidR="00F4223D">
                  <w:rPr>
                    <w:rFonts w:asciiTheme="minorHAnsi" w:hAnsiTheme="minorHAnsi" w:cstheme="minorBidi"/>
                    <w:lang w:val="fr-FR"/>
                  </w:rPr>
                  <w:tab/>
                </w:r>
                <w:r w:rsidR="00F4223D" w:rsidRPr="008D22A6">
                  <w:rPr>
                    <w:rStyle w:val="Lienhypertexte"/>
                    <w:rFonts w:hint="eastAsia"/>
                    <w:rtl/>
                  </w:rPr>
                  <w:t>تحديد</w:t>
                </w:r>
                <w:r w:rsidR="00F4223D" w:rsidRPr="008D22A6">
                  <w:rPr>
                    <w:rStyle w:val="Lienhypertexte"/>
                    <w:rtl/>
                  </w:rPr>
                  <w:t xml:space="preserve"> </w:t>
                </w:r>
                <w:r w:rsidR="00F4223D" w:rsidRPr="008D22A6">
                  <w:rPr>
                    <w:rStyle w:val="Lienhypertexte"/>
                    <w:rFonts w:hint="eastAsia"/>
                    <w:rtl/>
                  </w:rPr>
                  <w:t>موقع</w:t>
                </w:r>
                <w:r w:rsidR="00F4223D" w:rsidRPr="008D22A6">
                  <w:rPr>
                    <w:rStyle w:val="Lienhypertexte"/>
                    <w:rtl/>
                  </w:rPr>
                  <w:t xml:space="preserve"> </w:t>
                </w:r>
                <w:r w:rsidR="00F4223D" w:rsidRPr="008D22A6">
                  <w:rPr>
                    <w:rStyle w:val="Lienhypertexte"/>
                    <w:rFonts w:hint="eastAsia"/>
                    <w:rtl/>
                  </w:rPr>
                  <w:t>المباني</w:t>
                </w:r>
                <w:r w:rsidR="00F4223D" w:rsidRPr="008D22A6">
                  <w:rPr>
                    <w:rStyle w:val="Lienhypertexte"/>
                    <w:rtl/>
                  </w:rPr>
                  <w:t xml:space="preserve"> </w:t>
                </w:r>
                <w:r w:rsidR="00F4223D" w:rsidRPr="008D22A6">
                  <w:rPr>
                    <w:rStyle w:val="Lienhypertexte"/>
                    <w:rFonts w:hint="eastAsia"/>
                    <w:rtl/>
                  </w:rPr>
                  <w:t>السكنية</w:t>
                </w:r>
                <w:r w:rsidR="00F4223D" w:rsidRPr="008D22A6">
                  <w:rPr>
                    <w:rStyle w:val="Lienhypertexte"/>
                    <w:rtl/>
                  </w:rPr>
                  <w:t xml:space="preserve"> </w:t>
                </w:r>
                <w:r w:rsidR="00F4223D" w:rsidRPr="008D22A6">
                  <w:rPr>
                    <w:rStyle w:val="Lienhypertexte"/>
                    <w:rFonts w:hint="eastAsia"/>
                    <w:rtl/>
                  </w:rPr>
                  <w:t>للمعيار</w:t>
                </w:r>
                <w:r w:rsidR="00F4223D" w:rsidRPr="008D22A6">
                  <w:rPr>
                    <w:rStyle w:val="Lienhypertexte"/>
                    <w:rFonts w:asciiTheme="majorBidi" w:eastAsia="Times New Roman" w:hAnsiTheme="majorBidi" w:cstheme="majorBidi"/>
                    <w:rtl/>
                  </w:rPr>
                  <w:t xml:space="preserve"> (</w:t>
                </w:r>
                <w:r w:rsidR="00F4223D" w:rsidRPr="008D22A6">
                  <w:rPr>
                    <w:rStyle w:val="Lienhypertexte"/>
                    <w:rFonts w:asciiTheme="majorBidi" w:eastAsia="Times New Roman" w:hAnsiTheme="majorBidi" w:cstheme="majorBidi"/>
                  </w:rPr>
                  <w:t>C6</w:t>
                </w:r>
                <w:r w:rsidR="00F4223D" w:rsidRPr="008D22A6">
                  <w:rPr>
                    <w:rStyle w:val="Lienhypertexte"/>
                    <w:rFonts w:asciiTheme="majorBidi" w:eastAsia="Times New Roman" w:hAnsiTheme="majorBidi" w:cstheme="majorBidi"/>
                    <w:rtl/>
                  </w:rPr>
                  <w:t>)</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_Toc171803789 \h </w:instrText>
                </w:r>
                <w:r w:rsidR="00F4223D">
                  <w:rPr>
                    <w:webHidden/>
                  </w:rPr>
                </w:r>
                <w:r w:rsidR="00F4223D">
                  <w:rPr>
                    <w:webHidden/>
                  </w:rPr>
                  <w:fldChar w:fldCharType="separate"/>
                </w:r>
                <w:r>
                  <w:rPr>
                    <w:webHidden/>
                    <w:rtl/>
                  </w:rPr>
                  <w:t>192</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792" w:history="1">
                <w:r w:rsidR="00F4223D" w:rsidRPr="008D22A6">
                  <w:rPr>
                    <w:rStyle w:val="Lienhypertexte"/>
                  </w:rPr>
                  <w:t>2.5.6.</w:t>
                </w:r>
                <w:r w:rsidR="00F4223D">
                  <w:rPr>
                    <w:rFonts w:asciiTheme="minorHAnsi" w:hAnsiTheme="minorHAnsi" w:cstheme="minorBidi"/>
                    <w:lang w:val="fr-FR"/>
                  </w:rPr>
                  <w:tab/>
                </w:r>
                <w:r w:rsidR="00F4223D" w:rsidRPr="008D22A6">
                  <w:rPr>
                    <w:rStyle w:val="Lienhypertexte"/>
                    <w:rFonts w:hint="eastAsia"/>
                    <w:rtl/>
                  </w:rPr>
                  <w:t>تحديد</w:t>
                </w:r>
                <w:r w:rsidR="00F4223D" w:rsidRPr="008D22A6">
                  <w:rPr>
                    <w:rStyle w:val="Lienhypertexte"/>
                    <w:rtl/>
                  </w:rPr>
                  <w:t xml:space="preserve"> </w:t>
                </w:r>
                <w:r w:rsidR="00F4223D" w:rsidRPr="008D22A6">
                  <w:rPr>
                    <w:rStyle w:val="Lienhypertexte"/>
                    <w:rFonts w:hint="eastAsia"/>
                    <w:rtl/>
                  </w:rPr>
                  <w:t>موقع</w:t>
                </w:r>
                <w:r w:rsidR="00F4223D" w:rsidRPr="008D22A6">
                  <w:rPr>
                    <w:rStyle w:val="Lienhypertexte"/>
                    <w:rtl/>
                  </w:rPr>
                  <w:t xml:space="preserve"> </w:t>
                </w:r>
                <w:r w:rsidR="00F4223D" w:rsidRPr="008D22A6">
                  <w:rPr>
                    <w:rStyle w:val="Lienhypertexte"/>
                    <w:rFonts w:hint="eastAsia"/>
                    <w:rtl/>
                  </w:rPr>
                  <w:t>كل</w:t>
                </w:r>
                <w:r w:rsidR="00F4223D" w:rsidRPr="008D22A6">
                  <w:rPr>
                    <w:rStyle w:val="Lienhypertexte"/>
                    <w:rtl/>
                  </w:rPr>
                  <w:t xml:space="preserve"> </w:t>
                </w:r>
                <w:r w:rsidR="00F4223D" w:rsidRPr="008D22A6">
                  <w:rPr>
                    <w:rStyle w:val="Lienhypertexte"/>
                    <w:rFonts w:hint="eastAsia"/>
                    <w:rtl/>
                  </w:rPr>
                  <w:t>مرفق</w:t>
                </w:r>
                <w:r w:rsidR="00F4223D" w:rsidRPr="008D22A6">
                  <w:rPr>
                    <w:rStyle w:val="Lienhypertexte"/>
                    <w:rtl/>
                  </w:rPr>
                  <w:t xml:space="preserve"> </w:t>
                </w:r>
                <w:r w:rsidR="00F4223D" w:rsidRPr="008D22A6">
                  <w:rPr>
                    <w:rStyle w:val="Lienhypertexte"/>
                    <w:rFonts w:hint="eastAsia"/>
                    <w:rtl/>
                  </w:rPr>
                  <w:t>للمعايير</w:t>
                </w:r>
                <w:r w:rsidR="00F4223D" w:rsidRPr="008D22A6">
                  <w:rPr>
                    <w:rStyle w:val="Lienhypertexte"/>
                    <w:rtl/>
                  </w:rPr>
                  <w:t xml:space="preserve"> (</w:t>
                </w:r>
                <w:r w:rsidR="00F4223D" w:rsidRPr="008D22A6">
                  <w:rPr>
                    <w:rStyle w:val="Lienhypertexte"/>
                    <w:rFonts w:asciiTheme="majorBidi" w:hAnsiTheme="majorBidi" w:cstheme="majorBidi"/>
                  </w:rPr>
                  <w:t>C1</w:t>
                </w:r>
                <w:r w:rsidR="00F4223D" w:rsidRPr="008D22A6">
                  <w:rPr>
                    <w:rStyle w:val="Lienhypertexte"/>
                    <w:rFonts w:asciiTheme="majorBidi" w:hAnsiTheme="majorBidi" w:cstheme="majorBidi" w:hint="eastAsia"/>
                    <w:rtl/>
                  </w:rPr>
                  <w:t>،</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Pr>
                  <w:t>C2</w:t>
                </w:r>
                <w:r w:rsidR="00F4223D" w:rsidRPr="008D22A6">
                  <w:rPr>
                    <w:rStyle w:val="Lienhypertexte"/>
                    <w:rFonts w:asciiTheme="majorBidi" w:hAnsiTheme="majorBidi" w:cstheme="majorBidi" w:hint="eastAsia"/>
                    <w:rtl/>
                  </w:rPr>
                  <w:t>،</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Pr>
                  <w:t>C3</w:t>
                </w:r>
                <w:r w:rsidR="00F4223D" w:rsidRPr="008D22A6">
                  <w:rPr>
                    <w:rStyle w:val="Lienhypertexte"/>
                    <w:rFonts w:asciiTheme="majorBidi" w:hAnsiTheme="majorBidi" w:cstheme="majorBidi" w:hint="eastAsia"/>
                    <w:rtl/>
                  </w:rPr>
                  <w:t>،</w:t>
                </w:r>
                <w:r w:rsidR="00F4223D" w:rsidRPr="008D22A6">
                  <w:rPr>
                    <w:rStyle w:val="Lienhypertexte"/>
                    <w:rFonts w:asciiTheme="majorBidi" w:hAnsiTheme="majorBidi" w:cstheme="majorBidi"/>
                    <w:rtl/>
                  </w:rPr>
                  <w:t xml:space="preserve"> </w:t>
                </w:r>
                <w:r w:rsidR="00F4223D" w:rsidRPr="008D22A6">
                  <w:rPr>
                    <w:rStyle w:val="Lienhypertexte"/>
                    <w:rFonts w:asciiTheme="majorBidi" w:hAnsiTheme="majorBidi" w:cstheme="majorBidi"/>
                  </w:rPr>
                  <w:t xml:space="preserve"> C4</w:t>
                </w:r>
                <w:r w:rsidR="00F4223D" w:rsidRPr="008D22A6">
                  <w:rPr>
                    <w:rStyle w:val="Lienhypertexte"/>
                    <w:rFonts w:asciiTheme="majorBidi" w:hAnsiTheme="majorBidi" w:cstheme="majorBidi" w:hint="eastAsia"/>
                    <w:rtl/>
                  </w:rPr>
                  <w:t>،</w:t>
                </w:r>
                <w:r w:rsidR="00F4223D" w:rsidRPr="008D22A6">
                  <w:rPr>
                    <w:rStyle w:val="Lienhypertexte"/>
                    <w:rFonts w:asciiTheme="majorBidi" w:hAnsiTheme="majorBidi" w:cstheme="majorBidi"/>
                  </w:rPr>
                  <w:t>C5</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_Toc171803792 \h </w:instrText>
                </w:r>
                <w:r w:rsidR="00F4223D">
                  <w:rPr>
                    <w:webHidden/>
                  </w:rPr>
                </w:r>
                <w:r w:rsidR="00F4223D">
                  <w:rPr>
                    <w:webHidden/>
                  </w:rPr>
                  <w:fldChar w:fldCharType="separate"/>
                </w:r>
                <w:r>
                  <w:rPr>
                    <w:webHidden/>
                    <w:rtl/>
                  </w:rPr>
                  <w:t>193</w:t>
                </w:r>
                <w:r w:rsidR="00F4223D">
                  <w:rPr>
                    <w:webHidden/>
                  </w:rPr>
                  <w:fldChar w:fldCharType="end"/>
                </w:r>
              </w:hyperlink>
            </w:p>
            <w:p w:rsidR="00F4223D" w:rsidRDefault="00B62F86" w:rsidP="001A5014">
              <w:pPr>
                <w:pStyle w:val="TM2"/>
                <w:rPr>
                  <w:rFonts w:asciiTheme="minorHAnsi" w:hAnsiTheme="minorHAnsi" w:cstheme="minorBidi"/>
                  <w:lang w:val="fr-FR"/>
                </w:rPr>
              </w:pPr>
              <w:hyperlink w:anchor="_Toc171803795" w:history="1">
                <w:r w:rsidR="00F4223D" w:rsidRPr="008D22A6">
                  <w:rPr>
                    <w:rStyle w:val="Lienhypertexte"/>
                    <w:rtl/>
                  </w:rPr>
                  <w:t>3.5.6.</w:t>
                </w:r>
                <w:r w:rsidR="00F4223D">
                  <w:rPr>
                    <w:rFonts w:asciiTheme="minorHAnsi" w:hAnsiTheme="minorHAnsi" w:cstheme="minorBidi"/>
                    <w:lang w:val="fr-FR"/>
                  </w:rPr>
                  <w:tab/>
                </w:r>
                <w:r w:rsidR="00F4223D" w:rsidRPr="008D22A6">
                  <w:rPr>
                    <w:rStyle w:val="Lienhypertexte"/>
                    <w:rFonts w:hint="eastAsia"/>
                    <w:rtl/>
                  </w:rPr>
                  <w:t>تحديد</w:t>
                </w:r>
                <w:r w:rsidR="00F4223D" w:rsidRPr="008D22A6">
                  <w:rPr>
                    <w:rStyle w:val="Lienhypertexte"/>
                    <w:rtl/>
                  </w:rPr>
                  <w:t xml:space="preserve"> </w:t>
                </w:r>
                <w:r w:rsidR="00F4223D" w:rsidRPr="008D22A6">
                  <w:rPr>
                    <w:rStyle w:val="Lienhypertexte"/>
                    <w:rFonts w:hint="eastAsia"/>
                    <w:rtl/>
                  </w:rPr>
                  <w:t>موقع</w:t>
                </w:r>
                <w:r w:rsidR="00F4223D" w:rsidRPr="008D22A6">
                  <w:rPr>
                    <w:rStyle w:val="Lienhypertexte"/>
                    <w:rtl/>
                  </w:rPr>
                  <w:t xml:space="preserve"> </w:t>
                </w:r>
                <w:r w:rsidR="00F4223D" w:rsidRPr="008D22A6">
                  <w:rPr>
                    <w:rStyle w:val="Lienhypertexte"/>
                    <w:rFonts w:hint="eastAsia"/>
                    <w:rtl/>
                  </w:rPr>
                  <w:t>شبكة</w:t>
                </w:r>
                <w:r w:rsidR="00F4223D" w:rsidRPr="008D22A6">
                  <w:rPr>
                    <w:rStyle w:val="Lienhypertexte"/>
                    <w:rtl/>
                  </w:rPr>
                  <w:t xml:space="preserve"> </w:t>
                </w:r>
                <w:r w:rsidR="00F4223D" w:rsidRPr="008D22A6">
                  <w:rPr>
                    <w:rStyle w:val="Lienhypertexte"/>
                    <w:rFonts w:hint="eastAsia"/>
                    <w:rtl/>
                  </w:rPr>
                  <w:t>الطرق</w:t>
                </w:r>
                <w:r w:rsidR="00F4223D" w:rsidRPr="008D22A6">
                  <w:rPr>
                    <w:rStyle w:val="Lienhypertexte"/>
                    <w:rtl/>
                  </w:rPr>
                  <w:t xml:space="preserve"> </w:t>
                </w:r>
                <w:r w:rsidR="00F4223D" w:rsidRPr="008D22A6">
                  <w:rPr>
                    <w:rStyle w:val="Lienhypertexte"/>
                    <w:rFonts w:hint="eastAsia"/>
                    <w:rtl/>
                  </w:rPr>
                  <w:t>للمعيار</w:t>
                </w:r>
                <w:r w:rsidR="00F4223D" w:rsidRPr="008D22A6">
                  <w:rPr>
                    <w:rStyle w:val="Lienhypertexte"/>
                    <w:rtl/>
                  </w:rPr>
                  <w:t xml:space="preserve"> (</w:t>
                </w:r>
                <w:r w:rsidR="00F4223D" w:rsidRPr="008D22A6">
                  <w:rPr>
                    <w:rStyle w:val="Lienhypertexte"/>
                    <w:rFonts w:asciiTheme="majorBidi" w:hAnsiTheme="majorBidi" w:cstheme="majorBidi"/>
                  </w:rPr>
                  <w:t>C7</w:t>
                </w:r>
                <w:r w:rsidR="00F4223D" w:rsidRPr="008D22A6">
                  <w:rPr>
                    <w:rStyle w:val="Lienhypertexte"/>
                    <w:rtl/>
                  </w:rPr>
                  <w:t xml:space="preserve">): </w:t>
                </w:r>
                <w:r w:rsidR="00F4223D" w:rsidRPr="008D22A6">
                  <w:rPr>
                    <w:rStyle w:val="Lienhypertexte"/>
                    <w:rFonts w:eastAsia="Times New Roman" w:hint="eastAsia"/>
                    <w:rtl/>
                  </w:rPr>
                  <w:t>تم</w:t>
                </w:r>
                <w:r w:rsidR="00F4223D" w:rsidRPr="008D22A6">
                  <w:rPr>
                    <w:rStyle w:val="Lienhypertexte"/>
                    <w:rFonts w:eastAsia="Times New Roman"/>
                    <w:rtl/>
                  </w:rPr>
                  <w:t xml:space="preserve"> </w:t>
                </w:r>
                <w:r w:rsidR="00F4223D" w:rsidRPr="008D22A6">
                  <w:rPr>
                    <w:rStyle w:val="Lienhypertexte"/>
                    <w:rFonts w:eastAsia="Times New Roman" w:hint="eastAsia"/>
                    <w:rtl/>
                  </w:rPr>
                  <w:t>تقسيم</w:t>
                </w:r>
                <w:r w:rsidR="00F4223D" w:rsidRPr="008D22A6">
                  <w:rPr>
                    <w:rStyle w:val="Lienhypertexte"/>
                    <w:rFonts w:eastAsia="Times New Roman"/>
                    <w:rtl/>
                  </w:rPr>
                  <w:t xml:space="preserve"> </w:t>
                </w:r>
                <w:r w:rsidR="00F4223D" w:rsidRPr="008D22A6">
                  <w:rPr>
                    <w:rStyle w:val="Lienhypertexte"/>
                    <w:rFonts w:eastAsia="Times New Roman" w:hint="eastAsia"/>
                    <w:rtl/>
                  </w:rPr>
                  <w:t>مكون</w:t>
                </w:r>
                <w:r w:rsidR="00F4223D" w:rsidRPr="008D22A6">
                  <w:rPr>
                    <w:rStyle w:val="Lienhypertexte"/>
                    <w:rFonts w:eastAsia="Times New Roman"/>
                    <w:rtl/>
                  </w:rPr>
                  <w:t xml:space="preserve"> </w:t>
                </w:r>
                <w:r w:rsidR="00F4223D" w:rsidRPr="008D22A6">
                  <w:rPr>
                    <w:rStyle w:val="Lienhypertexte"/>
                    <w:rFonts w:eastAsia="Times New Roman" w:hint="eastAsia"/>
                    <w:rtl/>
                  </w:rPr>
                  <w:t>شبكة</w:t>
                </w:r>
                <w:r w:rsidR="00F4223D" w:rsidRPr="008D22A6">
                  <w:rPr>
                    <w:rStyle w:val="Lienhypertexte"/>
                    <w:rFonts w:eastAsia="Times New Roman"/>
                    <w:rtl/>
                  </w:rPr>
                  <w:t xml:space="preserve"> </w:t>
                </w:r>
                <w:r w:rsidR="00F4223D" w:rsidRPr="008D22A6">
                  <w:rPr>
                    <w:rStyle w:val="Lienhypertexte"/>
                    <w:rFonts w:eastAsia="Times New Roman" w:hint="eastAsia"/>
                    <w:rtl/>
                  </w:rPr>
                  <w:t>الطرق</w:t>
                </w:r>
                <w:r w:rsidR="00F4223D" w:rsidRPr="008D22A6">
                  <w:rPr>
                    <w:rStyle w:val="Lienhypertexte"/>
                    <w:rFonts w:eastAsia="Times New Roman"/>
                    <w:rtl/>
                  </w:rPr>
                  <w:t xml:space="preserve"> </w:t>
                </w:r>
                <w:r w:rsidR="00F4223D" w:rsidRPr="008D22A6">
                  <w:rPr>
                    <w:rStyle w:val="Lienhypertexte"/>
                    <w:rFonts w:eastAsia="Times New Roman" w:hint="eastAsia"/>
                    <w:rtl/>
                  </w:rPr>
                  <w:t>الى</w:t>
                </w:r>
                <w:r w:rsidR="00F4223D" w:rsidRPr="008D22A6">
                  <w:rPr>
                    <w:rStyle w:val="Lienhypertexte"/>
                    <w:rFonts w:eastAsia="Times New Roman"/>
                    <w:rtl/>
                  </w:rPr>
                  <w:t xml:space="preserve"> </w:t>
                </w:r>
                <w:r w:rsidR="00F4223D" w:rsidRPr="008D22A6">
                  <w:rPr>
                    <w:rStyle w:val="Lienhypertexte"/>
                    <w:rFonts w:eastAsia="Times New Roman" w:hint="eastAsia"/>
                    <w:rtl/>
                  </w:rPr>
                  <w:t>قسمين</w:t>
                </w:r>
                <w:r w:rsidR="00F4223D" w:rsidRPr="008D22A6">
                  <w:rPr>
                    <w:rStyle w:val="Lienhypertexte"/>
                    <w:rFonts w:eastAsia="Times New Roman"/>
                    <w:rtl/>
                  </w:rPr>
                  <w:t>:</w:t>
                </w:r>
                <w:r w:rsidR="00F4223D">
                  <w:rPr>
                    <w:webHidden/>
                  </w:rPr>
                  <w:tab/>
                </w:r>
                <w:r w:rsidR="00F4223D">
                  <w:rPr>
                    <w:webHidden/>
                  </w:rPr>
                  <w:fldChar w:fldCharType="begin"/>
                </w:r>
                <w:r w:rsidR="00F4223D">
                  <w:rPr>
                    <w:webHidden/>
                  </w:rPr>
                  <w:instrText xml:space="preserve"> PAGEREF _Toc171803795 \h </w:instrText>
                </w:r>
                <w:r w:rsidR="00F4223D">
                  <w:rPr>
                    <w:webHidden/>
                  </w:rPr>
                </w:r>
                <w:r w:rsidR="00F4223D">
                  <w:rPr>
                    <w:webHidden/>
                  </w:rPr>
                  <w:fldChar w:fldCharType="separate"/>
                </w:r>
                <w:r>
                  <w:rPr>
                    <w:webHidden/>
                    <w:rtl/>
                  </w:rPr>
                  <w:t>194</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802" w:history="1">
                <w:r w:rsidR="00F4223D" w:rsidRPr="008D22A6">
                  <w:rPr>
                    <w:rStyle w:val="Lienhypertexte"/>
                    <w:rtl/>
                  </w:rPr>
                  <w:t>6.6.</w:t>
                </w:r>
                <w:r w:rsidR="00975103" w:rsidRPr="00975103">
                  <w:rPr>
                    <w:rFonts w:hint="eastAsia"/>
                    <w:rtl/>
                  </w:rPr>
                  <w:t xml:space="preserve"> </w:t>
                </w:r>
                <w:r w:rsidR="00975103" w:rsidRPr="00975103">
                  <w:rPr>
                    <w:rStyle w:val="Lienhypertexte"/>
                    <w:rFonts w:hint="eastAsia"/>
                    <w:rtl/>
                  </w:rPr>
                  <w:t>مناقشة</w:t>
                </w:r>
                <w:r w:rsidR="00975103" w:rsidRPr="00975103">
                  <w:rPr>
                    <w:rStyle w:val="Lienhypertexte"/>
                    <w:rtl/>
                  </w:rPr>
                  <w:t xml:space="preserve"> </w:t>
                </w:r>
                <w:r w:rsidR="00975103" w:rsidRPr="00975103">
                  <w:rPr>
                    <w:rStyle w:val="Lienhypertexte"/>
                    <w:rFonts w:hint="eastAsia"/>
                    <w:rtl/>
                  </w:rPr>
                  <w:t>نتائج</w:t>
                </w:r>
                <w:r w:rsidR="00975103" w:rsidRPr="00975103">
                  <w:rPr>
                    <w:rStyle w:val="Lienhypertexte"/>
                    <w:rtl/>
                  </w:rPr>
                  <w:t xml:space="preserve"> </w:t>
                </w:r>
                <w:r w:rsidR="00975103" w:rsidRPr="00975103">
                  <w:rPr>
                    <w:rStyle w:val="Lienhypertexte"/>
                    <w:rFonts w:hint="eastAsia"/>
                    <w:rtl/>
                  </w:rPr>
                  <w:t>الكشف</w:t>
                </w:r>
                <w:r w:rsidR="00975103" w:rsidRPr="00975103">
                  <w:rPr>
                    <w:rStyle w:val="Lienhypertexte"/>
                    <w:rtl/>
                  </w:rPr>
                  <w:t xml:space="preserve"> </w:t>
                </w:r>
                <w:r w:rsidR="00975103" w:rsidRPr="00975103">
                  <w:rPr>
                    <w:rStyle w:val="Lienhypertexte"/>
                    <w:rFonts w:hint="eastAsia"/>
                    <w:rtl/>
                  </w:rPr>
                  <w:t>عن</w:t>
                </w:r>
                <w:r w:rsidR="00975103" w:rsidRPr="00975103">
                  <w:rPr>
                    <w:rStyle w:val="Lienhypertexte"/>
                    <w:rtl/>
                  </w:rPr>
                  <w:t xml:space="preserve"> </w:t>
                </w:r>
                <w:r w:rsidR="00975103" w:rsidRPr="00975103">
                  <w:rPr>
                    <w:rStyle w:val="Lienhypertexte"/>
                    <w:rFonts w:hint="eastAsia"/>
                    <w:rtl/>
                  </w:rPr>
                  <w:t>توافر</w:t>
                </w:r>
                <w:r w:rsidR="00975103" w:rsidRPr="00975103">
                  <w:rPr>
                    <w:rStyle w:val="Lienhypertexte"/>
                    <w:rtl/>
                  </w:rPr>
                  <w:t xml:space="preserve"> </w:t>
                </w:r>
                <w:r w:rsidR="00975103" w:rsidRPr="00975103">
                  <w:rPr>
                    <w:rStyle w:val="Lienhypertexte"/>
                    <w:rFonts w:hint="eastAsia"/>
                    <w:rtl/>
                  </w:rPr>
                  <w:t>سمات</w:t>
                </w:r>
                <w:r w:rsidR="00975103" w:rsidRPr="00975103">
                  <w:rPr>
                    <w:rStyle w:val="Lienhypertexte"/>
                    <w:rtl/>
                  </w:rPr>
                  <w:t xml:space="preserve"> </w:t>
                </w:r>
                <w:r w:rsidR="00975103" w:rsidRPr="00975103">
                  <w:rPr>
                    <w:rStyle w:val="Lienhypertexte"/>
                    <w:rFonts w:hint="eastAsia"/>
                    <w:rtl/>
                  </w:rPr>
                  <w:t>المرونة</w:t>
                </w:r>
                <w:r w:rsidR="00975103" w:rsidRPr="00975103">
                  <w:rPr>
                    <w:rStyle w:val="Lienhypertexte"/>
                    <w:rtl/>
                  </w:rPr>
                  <w:t xml:space="preserve"> </w:t>
                </w:r>
                <w:r w:rsidR="00975103" w:rsidRPr="00975103">
                  <w:rPr>
                    <w:rStyle w:val="Lienhypertexte"/>
                    <w:rFonts w:hint="eastAsia"/>
                    <w:rtl/>
                  </w:rPr>
                  <w:t>المكانية</w:t>
                </w:r>
                <w:r w:rsidR="00975103">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_Toc171803802 \h </w:instrText>
                </w:r>
                <w:r w:rsidR="00F4223D">
                  <w:rPr>
                    <w:webHidden/>
                  </w:rPr>
                </w:r>
                <w:r w:rsidR="00F4223D">
                  <w:rPr>
                    <w:webHidden/>
                  </w:rPr>
                  <w:fldChar w:fldCharType="separate"/>
                </w:r>
                <w:r>
                  <w:rPr>
                    <w:webHidden/>
                    <w:rtl/>
                    <w:lang w:bidi="ar-SA"/>
                  </w:rPr>
                  <w:t>196</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803" w:history="1">
                <w:r w:rsidR="00F4223D" w:rsidRPr="008D22A6">
                  <w:rPr>
                    <w:rStyle w:val="Lienhypertexte"/>
                    <w:rtl/>
                    <w:lang w:bidi="ar-DZ"/>
                  </w:rPr>
                  <w:t>1.6.6.</w:t>
                </w:r>
                <w:r w:rsidR="00F4223D">
                  <w:rPr>
                    <w:rFonts w:asciiTheme="minorHAnsi" w:hAnsiTheme="minorHAnsi" w:cstheme="minorBidi"/>
                    <w:lang w:val="fr-FR"/>
                  </w:rPr>
                  <w:tab/>
                </w:r>
                <w:r w:rsidR="00F4223D" w:rsidRPr="008D22A6">
                  <w:rPr>
                    <w:rStyle w:val="Lienhypertexte"/>
                    <w:rFonts w:hint="eastAsia"/>
                    <w:rtl/>
                    <w:lang w:bidi="ar-DZ"/>
                  </w:rPr>
                  <w:t>سمة</w:t>
                </w:r>
                <w:r w:rsidR="00F4223D" w:rsidRPr="008D22A6">
                  <w:rPr>
                    <w:rStyle w:val="Lienhypertexte"/>
                    <w:rtl/>
                    <w:lang w:bidi="ar-DZ"/>
                  </w:rPr>
                  <w:t xml:space="preserve"> </w:t>
                </w:r>
                <w:r w:rsidR="00F4223D" w:rsidRPr="008D22A6">
                  <w:rPr>
                    <w:rStyle w:val="Lienhypertexte"/>
                    <w:rFonts w:hint="eastAsia"/>
                    <w:rtl/>
                    <w:lang w:bidi="ar-DZ"/>
                  </w:rPr>
                  <w:t>الكثافة</w:t>
                </w:r>
                <w:r w:rsidR="00F4223D">
                  <w:rPr>
                    <w:webHidden/>
                  </w:rPr>
                  <w:tab/>
                </w:r>
                <w:r w:rsidR="00F4223D">
                  <w:rPr>
                    <w:webHidden/>
                  </w:rPr>
                  <w:fldChar w:fldCharType="begin"/>
                </w:r>
                <w:r w:rsidR="00F4223D">
                  <w:rPr>
                    <w:webHidden/>
                  </w:rPr>
                  <w:instrText xml:space="preserve"> PAGEREF _Toc171803803 \h </w:instrText>
                </w:r>
                <w:r w:rsidR="00F4223D">
                  <w:rPr>
                    <w:webHidden/>
                  </w:rPr>
                </w:r>
                <w:r w:rsidR="00F4223D">
                  <w:rPr>
                    <w:webHidden/>
                  </w:rPr>
                  <w:fldChar w:fldCharType="separate"/>
                </w:r>
                <w:r>
                  <w:rPr>
                    <w:webHidden/>
                    <w:rtl/>
                  </w:rPr>
                  <w:t>196</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825" w:history="1">
                <w:r w:rsidR="00F4223D" w:rsidRPr="008D22A6">
                  <w:rPr>
                    <w:rStyle w:val="Lienhypertexte"/>
                    <w:lang w:bidi="ar-DZ"/>
                  </w:rPr>
                  <w:t>2.6.6.</w:t>
                </w:r>
                <w:r w:rsidR="00F4223D">
                  <w:rPr>
                    <w:rFonts w:asciiTheme="minorHAnsi" w:hAnsiTheme="minorHAnsi" w:cstheme="minorBidi"/>
                    <w:lang w:val="fr-FR"/>
                  </w:rPr>
                  <w:tab/>
                </w:r>
                <w:r w:rsidR="00F4223D" w:rsidRPr="008D22A6">
                  <w:rPr>
                    <w:rStyle w:val="Lienhypertexte"/>
                    <w:rFonts w:hint="eastAsia"/>
                    <w:rtl/>
                    <w:lang w:bidi="ar-DZ"/>
                  </w:rPr>
                  <w:t>سمة</w:t>
                </w:r>
                <w:r w:rsidR="00F4223D" w:rsidRPr="008D22A6">
                  <w:rPr>
                    <w:rStyle w:val="Lienhypertexte"/>
                    <w:rtl/>
                    <w:lang w:bidi="ar-DZ"/>
                  </w:rPr>
                  <w:t xml:space="preserve"> </w:t>
                </w:r>
                <w:r w:rsidR="00F4223D" w:rsidRPr="008D22A6">
                  <w:rPr>
                    <w:rStyle w:val="Lienhypertexte"/>
                    <w:rFonts w:hint="eastAsia"/>
                    <w:rtl/>
                    <w:lang w:bidi="ar-DZ"/>
                  </w:rPr>
                  <w:t>التنوع</w:t>
                </w:r>
                <w:r w:rsidR="00F4223D">
                  <w:rPr>
                    <w:webHidden/>
                  </w:rPr>
                  <w:tab/>
                </w:r>
                <w:r w:rsidR="00F4223D">
                  <w:rPr>
                    <w:webHidden/>
                  </w:rPr>
                  <w:fldChar w:fldCharType="begin"/>
                </w:r>
                <w:r w:rsidR="00F4223D">
                  <w:rPr>
                    <w:webHidden/>
                  </w:rPr>
                  <w:instrText xml:space="preserve"> PAGEREF _Toc171803825 \h </w:instrText>
                </w:r>
                <w:r w:rsidR="00F4223D">
                  <w:rPr>
                    <w:webHidden/>
                  </w:rPr>
                </w:r>
                <w:r w:rsidR="00F4223D">
                  <w:rPr>
                    <w:webHidden/>
                  </w:rPr>
                  <w:fldChar w:fldCharType="separate"/>
                </w:r>
                <w:r>
                  <w:rPr>
                    <w:webHidden/>
                    <w:rtl/>
                  </w:rPr>
                  <w:t>204</w:t>
                </w:r>
                <w:r w:rsidR="00F4223D">
                  <w:rPr>
                    <w:webHidden/>
                  </w:rPr>
                  <w:fldChar w:fldCharType="end"/>
                </w:r>
              </w:hyperlink>
            </w:p>
            <w:p w:rsidR="00F4223D" w:rsidRDefault="00B62F86" w:rsidP="003A089F">
              <w:pPr>
                <w:pStyle w:val="TM3"/>
              </w:pPr>
              <w:hyperlink w:anchor="_Toc171803826" w:history="1">
                <w:r w:rsidR="00F4223D" w:rsidRPr="008D22A6">
                  <w:rPr>
                    <w:rStyle w:val="Lienhypertexte"/>
                    <w:rtl/>
                  </w:rPr>
                  <w:t>1.2.6.6.</w:t>
                </w:r>
                <w:r w:rsidR="00F4223D">
                  <w:tab/>
                </w:r>
                <w:r w:rsidR="00F4223D" w:rsidRPr="008D22A6">
                  <w:rPr>
                    <w:rStyle w:val="Lienhypertexte"/>
                    <w:rFonts w:hint="eastAsia"/>
                    <w:rtl/>
                  </w:rPr>
                  <w:t>تحليل</w:t>
                </w:r>
                <w:r w:rsidR="00F4223D" w:rsidRPr="008D22A6">
                  <w:rPr>
                    <w:rStyle w:val="Lienhypertexte"/>
                    <w:rtl/>
                  </w:rPr>
                  <w:t xml:space="preserve"> </w:t>
                </w:r>
                <w:r w:rsidR="00F4223D" w:rsidRPr="008D22A6">
                  <w:rPr>
                    <w:rStyle w:val="Lienhypertexte"/>
                    <w:rFonts w:hint="eastAsia"/>
                    <w:rtl/>
                  </w:rPr>
                  <w:t>الجار</w:t>
                </w:r>
                <w:r w:rsidR="00F4223D" w:rsidRPr="008D22A6">
                  <w:rPr>
                    <w:rStyle w:val="Lienhypertexte"/>
                    <w:rtl/>
                  </w:rPr>
                  <w:t xml:space="preserve"> </w:t>
                </w:r>
                <w:r w:rsidR="00F4223D" w:rsidRPr="008D22A6">
                  <w:rPr>
                    <w:rStyle w:val="Lienhypertexte"/>
                    <w:rFonts w:hint="eastAsia"/>
                    <w:rtl/>
                  </w:rPr>
                  <w:t>الاقرب</w:t>
                </w:r>
                <w:r w:rsidR="00F4223D">
                  <w:rPr>
                    <w:webHidden/>
                  </w:rPr>
                  <w:tab/>
                </w:r>
                <w:r w:rsidR="00F4223D">
                  <w:rPr>
                    <w:webHidden/>
                  </w:rPr>
                  <w:fldChar w:fldCharType="begin"/>
                </w:r>
                <w:r w:rsidR="00F4223D">
                  <w:rPr>
                    <w:webHidden/>
                  </w:rPr>
                  <w:instrText xml:space="preserve"> PAGEREF _Toc171803826 \h </w:instrText>
                </w:r>
                <w:r w:rsidR="00F4223D">
                  <w:rPr>
                    <w:webHidden/>
                  </w:rPr>
                </w:r>
                <w:r w:rsidR="00F4223D">
                  <w:rPr>
                    <w:webHidden/>
                  </w:rPr>
                  <w:fldChar w:fldCharType="separate"/>
                </w:r>
                <w:r>
                  <w:rPr>
                    <w:webHidden/>
                    <w:rtl/>
                    <w:lang w:bidi="ar-SA"/>
                  </w:rPr>
                  <w:t>204</w:t>
                </w:r>
                <w:r w:rsidR="00F4223D">
                  <w:rPr>
                    <w:webHidden/>
                  </w:rPr>
                  <w:fldChar w:fldCharType="end"/>
                </w:r>
              </w:hyperlink>
            </w:p>
            <w:p w:rsidR="00F4223D" w:rsidRDefault="00B62F86" w:rsidP="003A089F">
              <w:pPr>
                <w:pStyle w:val="TM3"/>
              </w:pPr>
              <w:hyperlink w:anchor="_Toc171803854" w:history="1">
                <w:r w:rsidR="00F4223D" w:rsidRPr="008D22A6">
                  <w:rPr>
                    <w:rStyle w:val="Lienhypertexte"/>
                    <w:rtl/>
                  </w:rPr>
                  <w:t>2.2.6.6.</w:t>
                </w:r>
                <w:r w:rsidR="00F4223D">
                  <w:tab/>
                </w:r>
                <w:r w:rsidR="00F4223D" w:rsidRPr="008D22A6">
                  <w:rPr>
                    <w:rStyle w:val="Lienhypertexte"/>
                    <w:rFonts w:hint="eastAsia"/>
                    <w:rtl/>
                  </w:rPr>
                  <w:t>استخراج</w:t>
                </w:r>
                <w:r w:rsidR="00F4223D" w:rsidRPr="008D22A6">
                  <w:rPr>
                    <w:rStyle w:val="Lienhypertexte"/>
                    <w:rtl/>
                  </w:rPr>
                  <w:t xml:space="preserve"> </w:t>
                </w:r>
                <w:r w:rsidR="00F4223D" w:rsidRPr="008D22A6">
                  <w:rPr>
                    <w:rStyle w:val="Lienhypertexte"/>
                    <w:rFonts w:hint="eastAsia"/>
                    <w:rtl/>
                  </w:rPr>
                  <w:t>خريطة</w:t>
                </w:r>
                <w:r w:rsidR="00F4223D" w:rsidRPr="008D22A6">
                  <w:rPr>
                    <w:rStyle w:val="Lienhypertexte"/>
                    <w:rtl/>
                  </w:rPr>
                  <w:t xml:space="preserve"> </w:t>
                </w:r>
                <w:r w:rsidR="00F4223D" w:rsidRPr="008D22A6">
                  <w:rPr>
                    <w:rStyle w:val="Lienhypertexte"/>
                    <w:rFonts w:hint="eastAsia"/>
                    <w:rtl/>
                  </w:rPr>
                  <w:t>سمة</w:t>
                </w:r>
                <w:r w:rsidR="00F4223D" w:rsidRPr="008D22A6">
                  <w:rPr>
                    <w:rStyle w:val="Lienhypertexte"/>
                    <w:rtl/>
                  </w:rPr>
                  <w:t xml:space="preserve"> </w:t>
                </w:r>
                <w:r w:rsidR="00F4223D" w:rsidRPr="008D22A6">
                  <w:rPr>
                    <w:rStyle w:val="Lienhypertexte"/>
                    <w:rFonts w:hint="eastAsia"/>
                    <w:rtl/>
                  </w:rPr>
                  <w:t>التنوع</w:t>
                </w:r>
                <w:r w:rsidR="00F4223D" w:rsidRPr="008D22A6">
                  <w:rPr>
                    <w:rStyle w:val="Lienhypertexte"/>
                    <w:rtl/>
                  </w:rPr>
                  <w:t xml:space="preserve"> </w:t>
                </w:r>
                <w:r w:rsidR="00F4223D" w:rsidRPr="008D22A6">
                  <w:rPr>
                    <w:rStyle w:val="Lienhypertexte"/>
                    <w:rFonts w:hint="eastAsia"/>
                    <w:rtl/>
                  </w:rPr>
                  <w:t>لأحياء</w:t>
                </w:r>
                <w:r w:rsidR="00F4223D" w:rsidRPr="008D22A6">
                  <w:rPr>
                    <w:rStyle w:val="Lienhypertexte"/>
                    <w:rtl/>
                  </w:rPr>
                  <w:t xml:space="preserve"> </w:t>
                </w:r>
                <w:r w:rsidR="00F4223D" w:rsidRPr="008D22A6">
                  <w:rPr>
                    <w:rStyle w:val="Lienhypertexte"/>
                    <w:rFonts w:hint="eastAsia"/>
                    <w:rtl/>
                  </w:rPr>
                  <w:t>فئات</w:t>
                </w:r>
                <w:r w:rsidR="00F4223D" w:rsidRPr="008D22A6">
                  <w:rPr>
                    <w:rStyle w:val="Lienhypertexte"/>
                    <w:rtl/>
                  </w:rPr>
                  <w:t xml:space="preserve"> </w:t>
                </w:r>
                <w:r w:rsidR="00F4223D" w:rsidRPr="008D22A6">
                  <w:rPr>
                    <w:rStyle w:val="Lienhypertexte"/>
                    <w:rFonts w:hint="eastAsia"/>
                    <w:rtl/>
                  </w:rPr>
                  <w:t>الانسجة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الاربعة</w:t>
                </w:r>
                <w:r w:rsidR="00F4223D">
                  <w:rPr>
                    <w:webHidden/>
                  </w:rPr>
                  <w:tab/>
                </w:r>
                <w:r w:rsidR="00F4223D">
                  <w:rPr>
                    <w:webHidden/>
                  </w:rPr>
                  <w:fldChar w:fldCharType="begin"/>
                </w:r>
                <w:r w:rsidR="00F4223D">
                  <w:rPr>
                    <w:webHidden/>
                  </w:rPr>
                  <w:instrText xml:space="preserve"> PAGEREF _Toc171803854 \h </w:instrText>
                </w:r>
                <w:r w:rsidR="00F4223D">
                  <w:rPr>
                    <w:webHidden/>
                  </w:rPr>
                </w:r>
                <w:r w:rsidR="00F4223D">
                  <w:rPr>
                    <w:webHidden/>
                  </w:rPr>
                  <w:fldChar w:fldCharType="separate"/>
                </w:r>
                <w:r>
                  <w:rPr>
                    <w:webHidden/>
                    <w:rtl/>
                    <w:lang w:bidi="ar-SA"/>
                  </w:rPr>
                  <w:t>210</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874" w:history="1">
                <w:r w:rsidR="00F4223D" w:rsidRPr="008D22A6">
                  <w:rPr>
                    <w:rStyle w:val="Lienhypertexte"/>
                    <w:rtl/>
                    <w:lang w:bidi="ar-DZ"/>
                  </w:rPr>
                  <w:t>3.6.6.</w:t>
                </w:r>
                <w:r w:rsidR="00F4223D">
                  <w:rPr>
                    <w:rFonts w:asciiTheme="minorHAnsi" w:hAnsiTheme="minorHAnsi" w:cstheme="minorBidi"/>
                    <w:lang w:val="fr-FR"/>
                  </w:rPr>
                  <w:tab/>
                </w:r>
                <w:r w:rsidR="00F4223D" w:rsidRPr="008D22A6">
                  <w:rPr>
                    <w:rStyle w:val="Lienhypertexte"/>
                    <w:rFonts w:hint="eastAsia"/>
                    <w:rtl/>
                    <w:lang w:bidi="ar-DZ"/>
                  </w:rPr>
                  <w:t>سمة</w:t>
                </w:r>
                <w:r w:rsidR="00F4223D" w:rsidRPr="008D22A6">
                  <w:rPr>
                    <w:rStyle w:val="Lienhypertexte"/>
                    <w:rtl/>
                    <w:lang w:bidi="ar-DZ"/>
                  </w:rPr>
                  <w:t xml:space="preserve"> </w:t>
                </w:r>
                <w:r w:rsidR="00F4223D" w:rsidRPr="008D22A6">
                  <w:rPr>
                    <w:rStyle w:val="Lienhypertexte"/>
                    <w:rFonts w:hint="eastAsia"/>
                    <w:rtl/>
                    <w:lang w:bidi="ar-DZ"/>
                  </w:rPr>
                  <w:t>الاتصالية</w:t>
                </w:r>
                <w:r w:rsidR="00F4223D">
                  <w:rPr>
                    <w:webHidden/>
                  </w:rPr>
                  <w:tab/>
                </w:r>
                <w:r w:rsidR="00F4223D">
                  <w:rPr>
                    <w:webHidden/>
                  </w:rPr>
                  <w:fldChar w:fldCharType="begin"/>
                </w:r>
                <w:r w:rsidR="00F4223D">
                  <w:rPr>
                    <w:webHidden/>
                  </w:rPr>
                  <w:instrText xml:space="preserve"> PAGEREF _Toc171803874 \h </w:instrText>
                </w:r>
                <w:r w:rsidR="00F4223D">
                  <w:rPr>
                    <w:webHidden/>
                  </w:rPr>
                </w:r>
                <w:r w:rsidR="00F4223D">
                  <w:rPr>
                    <w:webHidden/>
                  </w:rPr>
                  <w:fldChar w:fldCharType="separate"/>
                </w:r>
                <w:r>
                  <w:rPr>
                    <w:webHidden/>
                    <w:rtl/>
                  </w:rPr>
                  <w:t>215</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887" w:history="1">
                <w:r w:rsidR="00F4223D" w:rsidRPr="008D22A6">
                  <w:rPr>
                    <w:rStyle w:val="Lienhypertexte"/>
                    <w:rtl/>
                    <w:lang w:bidi="ar-DZ"/>
                  </w:rPr>
                  <w:t>4.6.6.</w:t>
                </w:r>
                <w:r w:rsidR="00F4223D">
                  <w:rPr>
                    <w:rFonts w:asciiTheme="minorHAnsi" w:hAnsiTheme="minorHAnsi" w:cstheme="minorBidi"/>
                    <w:lang w:val="fr-FR"/>
                  </w:rPr>
                  <w:tab/>
                </w:r>
                <w:r w:rsidR="00F4223D" w:rsidRPr="008D22A6">
                  <w:rPr>
                    <w:rStyle w:val="Lienhypertexte"/>
                    <w:rFonts w:hint="eastAsia"/>
                    <w:rtl/>
                    <w:lang w:bidi="ar-DZ"/>
                  </w:rPr>
                  <w:t>سمة</w:t>
                </w:r>
                <w:r w:rsidR="00F4223D" w:rsidRPr="008D22A6">
                  <w:rPr>
                    <w:rStyle w:val="Lienhypertexte"/>
                    <w:rtl/>
                    <w:lang w:bidi="ar-DZ"/>
                  </w:rPr>
                  <w:t xml:space="preserve"> </w:t>
                </w:r>
                <w:r w:rsidR="00F4223D" w:rsidRPr="008D22A6">
                  <w:rPr>
                    <w:rStyle w:val="Lienhypertexte"/>
                    <w:rFonts w:hint="eastAsia"/>
                    <w:rtl/>
                    <w:lang w:bidi="ar-DZ"/>
                  </w:rPr>
                  <w:t>التكرار</w:t>
                </w:r>
                <w:r w:rsidR="00F4223D">
                  <w:rPr>
                    <w:webHidden/>
                  </w:rPr>
                  <w:tab/>
                </w:r>
                <w:r w:rsidR="00F4223D">
                  <w:rPr>
                    <w:webHidden/>
                  </w:rPr>
                  <w:fldChar w:fldCharType="begin"/>
                </w:r>
                <w:r w:rsidR="00F4223D">
                  <w:rPr>
                    <w:webHidden/>
                  </w:rPr>
                  <w:instrText xml:space="preserve"> PAGEREF _Toc171803887 \h </w:instrText>
                </w:r>
                <w:r w:rsidR="00F4223D">
                  <w:rPr>
                    <w:webHidden/>
                  </w:rPr>
                </w:r>
                <w:r w:rsidR="00F4223D">
                  <w:rPr>
                    <w:webHidden/>
                  </w:rPr>
                  <w:fldChar w:fldCharType="separate"/>
                </w:r>
                <w:r>
                  <w:rPr>
                    <w:webHidden/>
                    <w:rtl/>
                  </w:rPr>
                  <w:t>220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00" w:history="1">
                <w:r w:rsidR="00F4223D" w:rsidRPr="008D22A6">
                  <w:rPr>
                    <w:rStyle w:val="Lienhypertexte"/>
                    <w:rFonts w:hint="eastAsia"/>
                    <w:rtl/>
                  </w:rPr>
                  <w:t>الخلاصة</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_Toc171803900 \h </w:instrText>
                </w:r>
                <w:r w:rsidR="00F4223D">
                  <w:rPr>
                    <w:webHidden/>
                  </w:rPr>
                </w:r>
                <w:r w:rsidR="00F4223D">
                  <w:rPr>
                    <w:webHidden/>
                  </w:rPr>
                  <w:fldChar w:fldCharType="separate"/>
                </w:r>
                <w:r>
                  <w:rPr>
                    <w:webHidden/>
                    <w:rtl/>
                    <w:lang w:bidi="ar-SA"/>
                  </w:rPr>
                  <w:t>226</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01" w:history="1">
                <w:r w:rsidR="00F4223D" w:rsidRPr="008D22A6">
                  <w:rPr>
                    <w:rStyle w:val="Lienhypertexte"/>
                    <w:rFonts w:hint="eastAsia"/>
                    <w:rtl/>
                  </w:rPr>
                  <w:t>الخلاصة</w:t>
                </w:r>
                <w:r w:rsidR="00F4223D" w:rsidRPr="008D22A6">
                  <w:rPr>
                    <w:rStyle w:val="Lienhypertexte"/>
                    <w:rtl/>
                  </w:rPr>
                  <w:t xml:space="preserve"> </w:t>
                </w:r>
                <w:r w:rsidR="00F4223D" w:rsidRPr="008D22A6">
                  <w:rPr>
                    <w:rStyle w:val="Lienhypertexte"/>
                    <w:rFonts w:hint="eastAsia"/>
                    <w:rtl/>
                  </w:rPr>
                  <w:t>العامة</w:t>
                </w:r>
                <w:r w:rsidR="00F4223D" w:rsidRPr="008D22A6">
                  <w:rPr>
                    <w:rStyle w:val="Lienhypertexte"/>
                    <w:rtl/>
                  </w:rPr>
                  <w:t xml:space="preserve">: </w:t>
                </w:r>
                <w:r w:rsidR="00F4223D" w:rsidRPr="008D22A6">
                  <w:rPr>
                    <w:rStyle w:val="Lienhypertexte"/>
                    <w:rFonts w:hint="eastAsia"/>
                    <w:rtl/>
                  </w:rPr>
                  <w:t>نتائج</w:t>
                </w:r>
                <w:r w:rsidR="00F4223D" w:rsidRPr="008D22A6">
                  <w:rPr>
                    <w:rStyle w:val="Lienhypertexte"/>
                    <w:rtl/>
                  </w:rPr>
                  <w:t xml:space="preserve"> </w:t>
                </w:r>
                <w:r w:rsidR="00F4223D" w:rsidRPr="008D22A6">
                  <w:rPr>
                    <w:rStyle w:val="Lienhypertexte"/>
                    <w:rFonts w:hint="eastAsia"/>
                    <w:rtl/>
                  </w:rPr>
                  <w:t>البحث،</w:t>
                </w:r>
                <w:r w:rsidR="00F4223D" w:rsidRPr="008D22A6">
                  <w:rPr>
                    <w:rStyle w:val="Lienhypertexte"/>
                    <w:rtl/>
                  </w:rPr>
                  <w:t xml:space="preserve"> </w:t>
                </w:r>
                <w:r w:rsidR="00F4223D" w:rsidRPr="008D22A6">
                  <w:rPr>
                    <w:rStyle w:val="Lienhypertexte"/>
                    <w:rFonts w:hint="eastAsia"/>
                    <w:rtl/>
                  </w:rPr>
                  <w:t>مبادئ</w:t>
                </w:r>
                <w:r w:rsidR="00F4223D" w:rsidRPr="008D22A6">
                  <w:rPr>
                    <w:rStyle w:val="Lienhypertexte"/>
                    <w:rtl/>
                  </w:rPr>
                  <w:t xml:space="preserve"> </w:t>
                </w:r>
                <w:r w:rsidR="00F4223D" w:rsidRPr="008D22A6">
                  <w:rPr>
                    <w:rStyle w:val="Lienhypertexte"/>
                    <w:rFonts w:hint="eastAsia"/>
                    <w:rtl/>
                  </w:rPr>
                  <w:t>التصميم</w:t>
                </w:r>
                <w:r w:rsidR="00F4223D" w:rsidRPr="008D22A6">
                  <w:rPr>
                    <w:rStyle w:val="Lienhypertexte"/>
                    <w:rtl/>
                  </w:rPr>
                  <w:t xml:space="preserve"> </w:t>
                </w:r>
                <w:r w:rsidR="00F4223D" w:rsidRPr="008D22A6">
                  <w:rPr>
                    <w:rStyle w:val="Lienhypertexte"/>
                    <w:rFonts w:hint="eastAsia"/>
                    <w:rtl/>
                  </w:rPr>
                  <w:t>والتوصيات،</w:t>
                </w:r>
                <w:r w:rsidR="00F4223D" w:rsidRPr="008D22A6">
                  <w:rPr>
                    <w:rStyle w:val="Lienhypertexte"/>
                    <w:rtl/>
                  </w:rPr>
                  <w:t xml:space="preserve"> </w:t>
                </w:r>
                <w:r w:rsidR="00F4223D" w:rsidRPr="008D22A6">
                  <w:rPr>
                    <w:rStyle w:val="Lienhypertexte"/>
                    <w:rFonts w:hint="eastAsia"/>
                    <w:rtl/>
                  </w:rPr>
                  <w:t>خاتمة</w:t>
                </w:r>
                <w:r w:rsidR="00F4223D" w:rsidRPr="008D22A6">
                  <w:rPr>
                    <w:rStyle w:val="Lienhypertexte"/>
                    <w:rtl/>
                  </w:rPr>
                  <w:t xml:space="preserve"> </w:t>
                </w:r>
                <w:r w:rsidR="00F4223D" w:rsidRPr="008D22A6">
                  <w:rPr>
                    <w:rStyle w:val="Lienhypertexte"/>
                    <w:rFonts w:hint="eastAsia"/>
                    <w:rtl/>
                  </w:rPr>
                  <w:t>البحث</w:t>
                </w:r>
              </w:hyperlink>
            </w:p>
            <w:p w:rsidR="00F4223D" w:rsidRDefault="00B62F86" w:rsidP="009579D2">
              <w:pPr>
                <w:pStyle w:val="TM1"/>
                <w:rPr>
                  <w:rFonts w:asciiTheme="minorHAnsi" w:hAnsiTheme="minorHAnsi" w:cstheme="minorBidi"/>
                  <w:color w:val="auto"/>
                  <w:lang w:val="fr-FR" w:bidi="ar-SA"/>
                </w:rPr>
              </w:pPr>
              <w:hyperlink w:anchor="_Toc171803902" w:history="1">
                <w:r w:rsidR="00F4223D" w:rsidRPr="008D22A6">
                  <w:rPr>
                    <w:rStyle w:val="Lienhypertexte"/>
                  </w:rPr>
                  <w:t>.</w:t>
                </w:r>
                <w:r w:rsidR="00975103" w:rsidRPr="00975103">
                  <w:rPr>
                    <w:rStyle w:val="Lienhypertexte"/>
                  </w:rPr>
                  <w:t>1</w:t>
                </w:r>
                <w:r w:rsidR="00975103" w:rsidRPr="00975103">
                  <w:rPr>
                    <w:rFonts w:hint="eastAsia"/>
                    <w:rtl/>
                  </w:rPr>
                  <w:t xml:space="preserve"> </w:t>
                </w:r>
                <w:r w:rsidR="00975103" w:rsidRPr="00975103">
                  <w:rPr>
                    <w:rStyle w:val="Lienhypertexte"/>
                    <w:rFonts w:hint="eastAsia"/>
                    <w:rtl/>
                  </w:rPr>
                  <w:t>نتائج</w:t>
                </w:r>
                <w:r w:rsidR="00975103" w:rsidRPr="00975103">
                  <w:rPr>
                    <w:rStyle w:val="Lienhypertexte"/>
                    <w:rtl/>
                  </w:rPr>
                  <w:t xml:space="preserve"> </w:t>
                </w:r>
                <w:r w:rsidR="00975103" w:rsidRPr="00975103">
                  <w:rPr>
                    <w:rStyle w:val="Lienhypertexte"/>
                    <w:rFonts w:hint="eastAsia"/>
                    <w:rtl/>
                  </w:rPr>
                  <w:t>البحث</w:t>
                </w:r>
                <w:r w:rsidR="00975103">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_Toc171803902 \h </w:instrText>
                </w:r>
                <w:r w:rsidR="00F4223D">
                  <w:rPr>
                    <w:webHidden/>
                  </w:rPr>
                </w:r>
                <w:r w:rsidR="00F4223D">
                  <w:rPr>
                    <w:webHidden/>
                  </w:rPr>
                  <w:fldChar w:fldCharType="separate"/>
                </w:r>
                <w:r>
                  <w:rPr>
                    <w:webHidden/>
                    <w:rtl/>
                    <w:lang w:bidi="ar-SA"/>
                  </w:rPr>
                  <w:t>228</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903" w:history="1">
                <w:r w:rsidR="00F4223D" w:rsidRPr="008D22A6">
                  <w:rPr>
                    <w:rStyle w:val="Lienhypertexte"/>
                    <w:lang w:bidi="ar-DZ"/>
                  </w:rPr>
                  <w:t>1.1.</w:t>
                </w:r>
                <w:r w:rsidR="00F4223D">
                  <w:rPr>
                    <w:rFonts w:asciiTheme="minorHAnsi" w:hAnsiTheme="minorHAnsi" w:cstheme="minorBidi"/>
                    <w:lang w:val="fr-FR"/>
                  </w:rPr>
                  <w:tab/>
                </w:r>
                <w:r w:rsidR="00F4223D" w:rsidRPr="008D22A6">
                  <w:rPr>
                    <w:rStyle w:val="Lienhypertexte"/>
                    <w:rFonts w:hint="eastAsia"/>
                    <w:rtl/>
                    <w:lang w:bidi="ar-DZ"/>
                  </w:rPr>
                  <w:t>نتائج</w:t>
                </w:r>
                <w:r w:rsidR="00F4223D" w:rsidRPr="008D22A6">
                  <w:rPr>
                    <w:rStyle w:val="Lienhypertexte"/>
                    <w:rtl/>
                    <w:lang w:bidi="ar-DZ"/>
                  </w:rPr>
                  <w:t xml:space="preserve"> </w:t>
                </w:r>
                <w:r w:rsidR="00F4223D" w:rsidRPr="008D22A6">
                  <w:rPr>
                    <w:rStyle w:val="Lienhypertexte"/>
                    <w:rFonts w:hint="eastAsia"/>
                    <w:rtl/>
                    <w:lang w:bidi="ar-DZ"/>
                  </w:rPr>
                  <w:t>تطوير</w:t>
                </w:r>
                <w:r w:rsidR="00F4223D" w:rsidRPr="008D22A6">
                  <w:rPr>
                    <w:rStyle w:val="Lienhypertexte"/>
                    <w:rtl/>
                    <w:lang w:bidi="ar-DZ"/>
                  </w:rPr>
                  <w:t xml:space="preserve"> </w:t>
                </w:r>
                <w:r w:rsidR="00F4223D" w:rsidRPr="008D22A6">
                  <w:rPr>
                    <w:rStyle w:val="Lienhypertexte"/>
                    <w:rFonts w:hint="eastAsia"/>
                    <w:rtl/>
                    <w:lang w:bidi="ar-DZ"/>
                  </w:rPr>
                  <w:t>إطار</w:t>
                </w:r>
                <w:r w:rsidR="00F4223D" w:rsidRPr="008D22A6">
                  <w:rPr>
                    <w:rStyle w:val="Lienhypertexte"/>
                    <w:rtl/>
                    <w:lang w:bidi="ar-DZ"/>
                  </w:rPr>
                  <w:t xml:space="preserve"> </w:t>
                </w:r>
                <w:r w:rsidR="00F4223D" w:rsidRPr="008D22A6">
                  <w:rPr>
                    <w:rStyle w:val="Lienhypertexte"/>
                    <w:rFonts w:hint="eastAsia"/>
                    <w:rtl/>
                    <w:lang w:bidi="ar-DZ"/>
                  </w:rPr>
                  <w:t>عمل</w:t>
                </w:r>
                <w:r w:rsidR="00F4223D" w:rsidRPr="008D22A6">
                  <w:rPr>
                    <w:rStyle w:val="Lienhypertexte"/>
                    <w:rtl/>
                    <w:lang w:bidi="ar-DZ"/>
                  </w:rPr>
                  <w:t xml:space="preserve"> </w:t>
                </w:r>
                <w:r w:rsidR="00F4223D" w:rsidRPr="008D22A6">
                  <w:rPr>
                    <w:rStyle w:val="Lienhypertexte"/>
                    <w:rFonts w:hint="eastAsia"/>
                    <w:rtl/>
                    <w:lang w:bidi="ar-DZ"/>
                  </w:rPr>
                  <w:t>الذي</w:t>
                </w:r>
                <w:r w:rsidR="00F4223D" w:rsidRPr="008D22A6">
                  <w:rPr>
                    <w:rStyle w:val="Lienhypertexte"/>
                    <w:rtl/>
                    <w:lang w:bidi="ar-DZ"/>
                  </w:rPr>
                  <w:t xml:space="preserve"> </w:t>
                </w:r>
                <w:r w:rsidR="00F4223D" w:rsidRPr="008D22A6">
                  <w:rPr>
                    <w:rStyle w:val="Lienhypertexte"/>
                    <w:rFonts w:hint="eastAsia"/>
                    <w:rtl/>
                    <w:lang w:bidi="ar-DZ"/>
                  </w:rPr>
                  <w:t>يسمح</w:t>
                </w:r>
                <w:r w:rsidR="00F4223D" w:rsidRPr="008D22A6">
                  <w:rPr>
                    <w:rStyle w:val="Lienhypertexte"/>
                    <w:rtl/>
                    <w:lang w:bidi="ar-DZ"/>
                  </w:rPr>
                  <w:t xml:space="preserve"> </w:t>
                </w:r>
                <w:r w:rsidR="00F4223D" w:rsidRPr="008D22A6">
                  <w:rPr>
                    <w:rStyle w:val="Lienhypertexte"/>
                    <w:rFonts w:hint="eastAsia"/>
                    <w:rtl/>
                    <w:lang w:bidi="ar-DZ"/>
                  </w:rPr>
                  <w:t>بتقييم</w:t>
                </w:r>
                <w:r w:rsidR="00F4223D" w:rsidRPr="008D22A6">
                  <w:rPr>
                    <w:rStyle w:val="Lienhypertexte"/>
                    <w:rtl/>
                    <w:lang w:bidi="ar-DZ"/>
                  </w:rPr>
                  <w:t xml:space="preserve"> </w:t>
                </w:r>
                <w:r w:rsidR="00F4223D" w:rsidRPr="008D22A6">
                  <w:rPr>
                    <w:rStyle w:val="Lienhypertexte"/>
                    <w:rFonts w:hint="eastAsia"/>
                    <w:rtl/>
                    <w:lang w:bidi="ar-DZ"/>
                  </w:rPr>
                  <w:t>مستويات</w:t>
                </w:r>
                <w:r w:rsidR="00F4223D" w:rsidRPr="008D22A6">
                  <w:rPr>
                    <w:rStyle w:val="Lienhypertexte"/>
                    <w:rtl/>
                    <w:lang w:bidi="ar-DZ"/>
                  </w:rPr>
                  <w:t xml:space="preserve"> </w:t>
                </w:r>
                <w:r w:rsidR="00F4223D" w:rsidRPr="008D22A6">
                  <w:rPr>
                    <w:rStyle w:val="Lienhypertexte"/>
                    <w:rFonts w:hint="eastAsia"/>
                    <w:rtl/>
                    <w:lang w:bidi="ar-DZ"/>
                  </w:rPr>
                  <w:t>المرونة</w:t>
                </w:r>
                <w:r w:rsidR="00F4223D" w:rsidRPr="008D22A6">
                  <w:rPr>
                    <w:rStyle w:val="Lienhypertexte"/>
                    <w:rtl/>
                    <w:lang w:bidi="ar-DZ"/>
                  </w:rPr>
                  <w:t xml:space="preserve"> </w:t>
                </w:r>
                <w:r w:rsidR="00F4223D" w:rsidRPr="008D22A6">
                  <w:rPr>
                    <w:rStyle w:val="Lienhypertexte"/>
                    <w:rFonts w:hint="eastAsia"/>
                    <w:rtl/>
                    <w:lang w:bidi="ar-DZ"/>
                  </w:rPr>
                  <w:t>الحضرية</w:t>
                </w:r>
                <w:r w:rsidR="00F4223D" w:rsidRPr="008D22A6">
                  <w:rPr>
                    <w:rStyle w:val="Lienhypertexte"/>
                    <w:rtl/>
                    <w:lang w:bidi="ar-DZ"/>
                  </w:rPr>
                  <w:t>:</w:t>
                </w:r>
                <w:r w:rsidR="00F4223D">
                  <w:rPr>
                    <w:webHidden/>
                  </w:rPr>
                  <w:tab/>
                </w:r>
                <w:r w:rsidR="00F4223D">
                  <w:rPr>
                    <w:webHidden/>
                  </w:rPr>
                  <w:fldChar w:fldCharType="begin"/>
                </w:r>
                <w:r w:rsidR="00F4223D">
                  <w:rPr>
                    <w:webHidden/>
                  </w:rPr>
                  <w:instrText xml:space="preserve"> PAGEREF _Toc171803903 \h </w:instrText>
                </w:r>
                <w:r w:rsidR="00F4223D">
                  <w:rPr>
                    <w:webHidden/>
                  </w:rPr>
                </w:r>
                <w:r w:rsidR="00F4223D">
                  <w:rPr>
                    <w:webHidden/>
                  </w:rPr>
                  <w:fldChar w:fldCharType="separate"/>
                </w:r>
                <w:r>
                  <w:rPr>
                    <w:webHidden/>
                    <w:rtl/>
                  </w:rPr>
                  <w:t>228</w:t>
                </w:r>
                <w:r w:rsidR="00F4223D">
                  <w:rPr>
                    <w:webHidden/>
                  </w:rPr>
                  <w:fldChar w:fldCharType="end"/>
                </w:r>
              </w:hyperlink>
            </w:p>
            <w:p w:rsidR="00F4223D" w:rsidRDefault="00B62F86" w:rsidP="00975103">
              <w:pPr>
                <w:pStyle w:val="TM2"/>
                <w:spacing w:after="0"/>
                <w:rPr>
                  <w:rFonts w:asciiTheme="minorHAnsi" w:hAnsiTheme="minorHAnsi" w:cstheme="minorBidi"/>
                  <w:lang w:val="fr-FR"/>
                </w:rPr>
              </w:pPr>
              <w:hyperlink w:anchor="_Toc171803904" w:history="1">
                <w:r w:rsidR="00F4223D" w:rsidRPr="008D22A6">
                  <w:rPr>
                    <w:rStyle w:val="Lienhypertexte"/>
                  </w:rPr>
                  <w:t>2.1.</w:t>
                </w:r>
                <w:r w:rsidR="00F4223D">
                  <w:rPr>
                    <w:rFonts w:asciiTheme="minorHAnsi" w:hAnsiTheme="minorHAnsi" w:cstheme="minorBidi"/>
                    <w:lang w:val="fr-FR"/>
                  </w:rPr>
                  <w:tab/>
                </w:r>
                <w:r w:rsidR="00F4223D" w:rsidRPr="008D22A6">
                  <w:rPr>
                    <w:rStyle w:val="Lienhypertexte"/>
                    <w:rFonts w:hint="eastAsia"/>
                    <w:rtl/>
                    <w:lang w:bidi="ar-DZ"/>
                  </w:rPr>
                  <w:t>نتائج</w:t>
                </w:r>
                <w:r w:rsidR="00F4223D" w:rsidRPr="008D22A6">
                  <w:rPr>
                    <w:rStyle w:val="Lienhypertexte"/>
                    <w:rtl/>
                    <w:lang w:bidi="ar-DZ"/>
                  </w:rPr>
                  <w:t xml:space="preserve"> </w:t>
                </w:r>
                <w:r w:rsidR="00F4223D" w:rsidRPr="008D22A6">
                  <w:rPr>
                    <w:rStyle w:val="Lienhypertexte"/>
                    <w:rFonts w:hint="eastAsia"/>
                    <w:rtl/>
                    <w:lang w:bidi="ar-DZ"/>
                  </w:rPr>
                  <w:t>تحديد</w:t>
                </w:r>
                <w:r w:rsidR="00F4223D" w:rsidRPr="008D22A6">
                  <w:rPr>
                    <w:rStyle w:val="Lienhypertexte"/>
                    <w:rtl/>
                    <w:lang w:bidi="ar-DZ"/>
                  </w:rPr>
                  <w:t xml:space="preserve"> </w:t>
                </w:r>
                <w:r w:rsidR="00F4223D" w:rsidRPr="008D22A6">
                  <w:rPr>
                    <w:rStyle w:val="Lienhypertexte"/>
                    <w:rFonts w:hint="eastAsia"/>
                    <w:rtl/>
                  </w:rPr>
                  <w:t>تصورات</w:t>
                </w:r>
                <w:r w:rsidR="00F4223D" w:rsidRPr="008D22A6">
                  <w:rPr>
                    <w:rStyle w:val="Lienhypertexte"/>
                    <w:rtl/>
                  </w:rPr>
                  <w:t xml:space="preserve"> </w:t>
                </w:r>
                <w:r w:rsidR="00F4223D" w:rsidRPr="008D22A6">
                  <w:rPr>
                    <w:rStyle w:val="Lienhypertexte"/>
                    <w:rFonts w:hint="eastAsia"/>
                    <w:rtl/>
                  </w:rPr>
                  <w:t>السكان</w:t>
                </w:r>
                <w:r w:rsidR="00F4223D" w:rsidRPr="008D22A6">
                  <w:rPr>
                    <w:rStyle w:val="Lienhypertexte"/>
                    <w:rtl/>
                  </w:rPr>
                  <w:t xml:space="preserve"> </w:t>
                </w:r>
                <w:r w:rsidR="00F4223D" w:rsidRPr="008D22A6">
                  <w:rPr>
                    <w:rStyle w:val="Lienhypertexte"/>
                    <w:rFonts w:hint="eastAsia"/>
                    <w:rtl/>
                  </w:rPr>
                  <w:t>المحليين</w:t>
                </w:r>
                <w:r w:rsidR="00F4223D" w:rsidRPr="008D22A6">
                  <w:rPr>
                    <w:rStyle w:val="Lienhypertexte"/>
                    <w:rtl/>
                  </w:rPr>
                  <w:t xml:space="preserve"> </w:t>
                </w:r>
                <w:r w:rsidR="00F4223D" w:rsidRPr="008D22A6">
                  <w:rPr>
                    <w:rStyle w:val="Lienhypertexte"/>
                    <w:rFonts w:hint="eastAsia"/>
                    <w:rtl/>
                  </w:rPr>
                  <w:t>حول</w:t>
                </w:r>
                <w:r w:rsidR="00F4223D" w:rsidRPr="008D22A6">
                  <w:rPr>
                    <w:rStyle w:val="Lienhypertexte"/>
                    <w:rtl/>
                  </w:rPr>
                  <w:t xml:space="preserve"> </w:t>
                </w:r>
                <w:r w:rsidR="00F4223D" w:rsidRPr="008D22A6">
                  <w:rPr>
                    <w:rStyle w:val="Lienhypertexte"/>
                    <w:rFonts w:hint="eastAsia"/>
                    <w:rtl/>
                  </w:rPr>
                  <w:t>اضطرابات</w:t>
                </w:r>
                <w:r w:rsidR="00F4223D" w:rsidRPr="008D22A6">
                  <w:rPr>
                    <w:rStyle w:val="Lienhypertexte"/>
                    <w:rtl/>
                  </w:rPr>
                  <w:t xml:space="preserve"> </w:t>
                </w:r>
                <w:r w:rsidR="00F4223D" w:rsidRPr="008D22A6">
                  <w:rPr>
                    <w:rStyle w:val="Lienhypertexte"/>
                    <w:rFonts w:hint="eastAsia"/>
                    <w:rtl/>
                  </w:rPr>
                  <w:t>الحصول</w:t>
                </w:r>
                <w:r w:rsidR="00F4223D" w:rsidRPr="008D22A6">
                  <w:rPr>
                    <w:rStyle w:val="Lienhypertexte"/>
                    <w:rtl/>
                  </w:rPr>
                  <w:t xml:space="preserve"> </w:t>
                </w:r>
                <w:r w:rsidR="00F4223D" w:rsidRPr="008D22A6">
                  <w:rPr>
                    <w:rStyle w:val="Lienhypertexte"/>
                    <w:rFonts w:hint="eastAsia"/>
                    <w:rtl/>
                  </w:rPr>
                  <w:t>على</w:t>
                </w:r>
                <w:r w:rsidR="00F4223D" w:rsidRPr="008D22A6">
                  <w:rPr>
                    <w:rStyle w:val="Lienhypertexte"/>
                    <w:rtl/>
                  </w:rPr>
                  <w:t xml:space="preserve"> </w:t>
                </w:r>
                <w:r w:rsidR="00F4223D" w:rsidRPr="008D22A6">
                  <w:rPr>
                    <w:rStyle w:val="Lienhypertexte"/>
                    <w:rFonts w:hint="eastAsia"/>
                    <w:rtl/>
                  </w:rPr>
                  <w:t>الخدمة</w:t>
                </w:r>
                <w:r w:rsidR="00F4223D" w:rsidRPr="008D22A6">
                  <w:rPr>
                    <w:rStyle w:val="Lienhypertexte"/>
                    <w:rtl/>
                  </w:rPr>
                  <w:t xml:space="preserve"> </w:t>
                </w:r>
                <w:r w:rsidR="00F4223D" w:rsidRPr="008D22A6">
                  <w:rPr>
                    <w:rStyle w:val="Lienhypertexte"/>
                    <w:rFonts w:hint="eastAsia"/>
                    <w:rtl/>
                  </w:rPr>
                  <w:t>لرفع</w:t>
                </w:r>
                <w:r w:rsidR="00F4223D" w:rsidRPr="008D22A6">
                  <w:rPr>
                    <w:rStyle w:val="Lienhypertexte"/>
                    <w:rtl/>
                  </w:rPr>
                  <w:t xml:space="preserve"> </w:t>
                </w:r>
                <w:r w:rsidR="00F4223D" w:rsidRPr="008D22A6">
                  <w:rPr>
                    <w:rStyle w:val="Lienhypertexte"/>
                    <w:rFonts w:hint="eastAsia"/>
                    <w:rtl/>
                  </w:rPr>
                  <w:t>مستوى</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_Toc171803904 \h </w:instrText>
                </w:r>
                <w:r w:rsidR="00F4223D">
                  <w:rPr>
                    <w:webHidden/>
                  </w:rPr>
                </w:r>
                <w:r w:rsidR="00F4223D">
                  <w:rPr>
                    <w:webHidden/>
                  </w:rPr>
                  <w:fldChar w:fldCharType="separate"/>
                </w:r>
                <w:r>
                  <w:rPr>
                    <w:webHidden/>
                    <w:rtl/>
                  </w:rPr>
                  <w:t>228</w:t>
                </w:r>
                <w:r w:rsidR="00F4223D">
                  <w:rPr>
                    <w:webHidden/>
                  </w:rPr>
                  <w:fldChar w:fldCharType="end"/>
                </w:r>
              </w:hyperlink>
            </w:p>
            <w:p w:rsidR="00F4223D" w:rsidRDefault="00B62F86" w:rsidP="00F73746">
              <w:pPr>
                <w:pStyle w:val="TM2"/>
                <w:spacing w:after="0"/>
                <w:rPr>
                  <w:rFonts w:asciiTheme="minorHAnsi" w:hAnsiTheme="minorHAnsi" w:cstheme="minorBidi"/>
                  <w:lang w:val="fr-FR"/>
                </w:rPr>
              </w:pPr>
              <w:hyperlink w:anchor="_Toc171803905" w:history="1">
                <w:r w:rsidR="00F4223D" w:rsidRPr="008D22A6">
                  <w:rPr>
                    <w:rStyle w:val="Lienhypertexte"/>
                  </w:rPr>
                  <w:t>3.1.</w:t>
                </w:r>
                <w:r w:rsidR="00F4223D">
                  <w:rPr>
                    <w:rFonts w:asciiTheme="minorHAnsi" w:hAnsiTheme="minorHAnsi" w:cstheme="minorBidi"/>
                    <w:lang w:val="fr-FR"/>
                  </w:rPr>
                  <w:tab/>
                </w:r>
                <w:r w:rsidR="00F4223D" w:rsidRPr="008D22A6">
                  <w:rPr>
                    <w:rStyle w:val="Lienhypertexte"/>
                    <w:rFonts w:hint="eastAsia"/>
                    <w:rtl/>
                  </w:rPr>
                  <w:t>نتائج</w:t>
                </w:r>
                <w:r w:rsidR="00F4223D" w:rsidRPr="008D22A6">
                  <w:rPr>
                    <w:rStyle w:val="Lienhypertexte"/>
                    <w:rtl/>
                  </w:rPr>
                  <w:t xml:space="preserve"> </w:t>
                </w:r>
                <w:r w:rsidR="00F4223D" w:rsidRPr="008D22A6">
                  <w:rPr>
                    <w:rStyle w:val="Lienhypertexte"/>
                    <w:rFonts w:hint="eastAsia"/>
                    <w:rtl/>
                  </w:rPr>
                  <w:t>الكشف</w:t>
                </w:r>
                <w:r w:rsidR="00F4223D" w:rsidRPr="008D22A6">
                  <w:rPr>
                    <w:rStyle w:val="Lienhypertexte"/>
                    <w:rtl/>
                  </w:rPr>
                  <w:t xml:space="preserve"> </w:t>
                </w:r>
                <w:r w:rsidR="00F4223D" w:rsidRPr="008D22A6">
                  <w:rPr>
                    <w:rStyle w:val="Lienhypertexte"/>
                    <w:rFonts w:hint="eastAsia"/>
                    <w:rtl/>
                  </w:rPr>
                  <w:t>عن</w:t>
                </w:r>
                <w:r w:rsidR="00F4223D" w:rsidRPr="008D22A6">
                  <w:rPr>
                    <w:rStyle w:val="Lienhypertexte"/>
                    <w:rtl/>
                  </w:rPr>
                  <w:t xml:space="preserve"> </w:t>
                </w:r>
                <w:r w:rsidR="00F4223D" w:rsidRPr="008D22A6">
                  <w:rPr>
                    <w:rStyle w:val="Lienhypertexte"/>
                    <w:rFonts w:hint="eastAsia"/>
                    <w:rtl/>
                  </w:rPr>
                  <w:t>توافر</w:t>
                </w:r>
                <w:r w:rsidR="00F4223D" w:rsidRPr="008D22A6">
                  <w:rPr>
                    <w:rStyle w:val="Lienhypertexte"/>
                    <w:rtl/>
                  </w:rPr>
                  <w:t xml:space="preserve"> </w:t>
                </w:r>
                <w:r w:rsidR="00F4223D" w:rsidRPr="008D22A6">
                  <w:rPr>
                    <w:rStyle w:val="Lienhypertexte"/>
                    <w:rFonts w:hint="eastAsia"/>
                    <w:rtl/>
                  </w:rPr>
                  <w:t>سمات</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المكانية</w:t>
                </w:r>
                <w:r w:rsidR="00F4223D" w:rsidRPr="008D22A6">
                  <w:rPr>
                    <w:rStyle w:val="Lienhypertexte"/>
                    <w:rtl/>
                  </w:rPr>
                  <w:t xml:space="preserve"> </w:t>
                </w:r>
                <w:r w:rsidR="00F4223D" w:rsidRPr="008D22A6">
                  <w:rPr>
                    <w:rStyle w:val="Lienhypertexte"/>
                    <w:rFonts w:hint="eastAsia"/>
                    <w:rtl/>
                  </w:rPr>
                  <w:t>لأحياء</w:t>
                </w:r>
                <w:r w:rsidR="00F4223D" w:rsidRPr="008D22A6">
                  <w:rPr>
                    <w:rStyle w:val="Lienhypertexte"/>
                    <w:rtl/>
                  </w:rPr>
                  <w:t xml:space="preserve"> </w:t>
                </w:r>
                <w:r w:rsidR="00F4223D" w:rsidRPr="008D22A6">
                  <w:rPr>
                    <w:rStyle w:val="Lienhypertexte"/>
                    <w:rFonts w:hint="eastAsia"/>
                    <w:rtl/>
                  </w:rPr>
                  <w:t>فئات</w:t>
                </w:r>
                <w:r w:rsidR="00F4223D" w:rsidRPr="008D22A6">
                  <w:rPr>
                    <w:rStyle w:val="Lienhypertexte"/>
                    <w:rtl/>
                  </w:rPr>
                  <w:t xml:space="preserve"> </w:t>
                </w:r>
                <w:r w:rsidR="00F4223D" w:rsidRPr="008D22A6">
                  <w:rPr>
                    <w:rStyle w:val="Lienhypertexte"/>
                    <w:rFonts w:hint="eastAsia"/>
                    <w:rtl/>
                  </w:rPr>
                  <w:t>الانسجة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لمدينة</w:t>
                </w:r>
                <w:r w:rsidR="00F4223D" w:rsidRPr="008D22A6">
                  <w:rPr>
                    <w:rStyle w:val="Lienhypertexte"/>
                    <w:rtl/>
                  </w:rPr>
                  <w:t xml:space="preserve"> </w:t>
                </w:r>
                <w:r w:rsidR="00F4223D" w:rsidRPr="008D22A6">
                  <w:rPr>
                    <w:rStyle w:val="Lienhypertexte"/>
                    <w:rFonts w:hint="eastAsia"/>
                    <w:rtl/>
                  </w:rPr>
                  <w:t>بوسعادة</w:t>
                </w:r>
                <w:r w:rsidR="00F4223D" w:rsidRPr="008D22A6">
                  <w:rPr>
                    <w:rStyle w:val="Lienhypertexte"/>
                    <w:rtl/>
                  </w:rPr>
                  <w:t>.</w:t>
                </w:r>
                <w:r w:rsidR="00F4223D">
                  <w:rPr>
                    <w:webHidden/>
                  </w:rPr>
                  <w:tab/>
                </w:r>
                <w:r w:rsidR="00F4223D">
                  <w:rPr>
                    <w:webHidden/>
                  </w:rPr>
                  <w:fldChar w:fldCharType="begin"/>
                </w:r>
                <w:r w:rsidR="00F4223D">
                  <w:rPr>
                    <w:webHidden/>
                  </w:rPr>
                  <w:instrText xml:space="preserve"> PAGEREF _Toc171803905 \h </w:instrText>
                </w:r>
                <w:r w:rsidR="00F4223D">
                  <w:rPr>
                    <w:webHidden/>
                  </w:rPr>
                </w:r>
                <w:r w:rsidR="00F4223D">
                  <w:rPr>
                    <w:webHidden/>
                  </w:rPr>
                  <w:fldChar w:fldCharType="separate"/>
                </w:r>
                <w:r>
                  <w:rPr>
                    <w:webHidden/>
                    <w:rtl/>
                  </w:rPr>
                  <w:t>229</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06" w:history="1">
                <w:r w:rsidR="00F4223D" w:rsidRPr="008D22A6">
                  <w:rPr>
                    <w:rStyle w:val="Lienhypertexte"/>
                  </w:rPr>
                  <w:t>.</w:t>
                </w:r>
                <w:r w:rsidR="00975103" w:rsidRPr="00975103">
                  <w:rPr>
                    <w:rStyle w:val="Lienhypertexte"/>
                  </w:rPr>
                  <w:t>2</w:t>
                </w:r>
                <w:r w:rsidR="00975103" w:rsidRPr="00975103">
                  <w:rPr>
                    <w:rFonts w:hint="eastAsia"/>
                    <w:rtl/>
                  </w:rPr>
                  <w:t xml:space="preserve"> </w:t>
                </w:r>
                <w:r w:rsidR="00975103" w:rsidRPr="00975103">
                  <w:rPr>
                    <w:rStyle w:val="Lienhypertexte"/>
                    <w:rFonts w:hint="eastAsia"/>
                    <w:rtl/>
                  </w:rPr>
                  <w:t>مبادئ</w:t>
                </w:r>
                <w:r w:rsidR="00975103" w:rsidRPr="00975103">
                  <w:rPr>
                    <w:rStyle w:val="Lienhypertexte"/>
                    <w:rtl/>
                  </w:rPr>
                  <w:t xml:space="preserve"> </w:t>
                </w:r>
                <w:r w:rsidR="00975103" w:rsidRPr="00975103">
                  <w:rPr>
                    <w:rStyle w:val="Lienhypertexte"/>
                    <w:rFonts w:hint="eastAsia"/>
                    <w:rtl/>
                  </w:rPr>
                  <w:t>التصميم</w:t>
                </w:r>
                <w:r w:rsidR="00975103" w:rsidRPr="00975103">
                  <w:rPr>
                    <w:rStyle w:val="Lienhypertexte"/>
                    <w:rtl/>
                  </w:rPr>
                  <w:t xml:space="preserve"> </w:t>
                </w:r>
                <w:r w:rsidR="00975103" w:rsidRPr="00975103">
                  <w:rPr>
                    <w:rStyle w:val="Lienhypertexte"/>
                    <w:rFonts w:hint="eastAsia"/>
                    <w:rtl/>
                  </w:rPr>
                  <w:t>والتوصيات</w:t>
                </w:r>
                <w:r w:rsidR="00975103">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_Toc171803906 \h </w:instrText>
                </w:r>
                <w:r w:rsidR="00F4223D">
                  <w:rPr>
                    <w:webHidden/>
                  </w:rPr>
                </w:r>
                <w:r w:rsidR="00F4223D">
                  <w:rPr>
                    <w:webHidden/>
                  </w:rPr>
                  <w:fldChar w:fldCharType="separate"/>
                </w:r>
                <w:r>
                  <w:rPr>
                    <w:webHidden/>
                    <w:rtl/>
                    <w:lang w:bidi="ar-SA"/>
                  </w:rPr>
                  <w:t>230</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07" w:history="1">
                <w:r w:rsidR="00F4223D" w:rsidRPr="008D22A6">
                  <w:rPr>
                    <w:rStyle w:val="Lienhypertexte"/>
                    <w:rtl/>
                  </w:rPr>
                  <w:t>3.</w:t>
                </w:r>
                <w:r w:rsidR="00975103" w:rsidRPr="00975103">
                  <w:rPr>
                    <w:rFonts w:hint="eastAsia"/>
                    <w:rtl/>
                  </w:rPr>
                  <w:t xml:space="preserve"> </w:t>
                </w:r>
                <w:r w:rsidR="00975103" w:rsidRPr="00975103">
                  <w:rPr>
                    <w:rStyle w:val="Lienhypertexte"/>
                    <w:rFonts w:hint="eastAsia"/>
                    <w:rtl/>
                  </w:rPr>
                  <w:t>خاتمة</w:t>
                </w:r>
                <w:r w:rsidR="00975103" w:rsidRPr="00975103">
                  <w:rPr>
                    <w:rStyle w:val="Lienhypertexte"/>
                    <w:rtl/>
                  </w:rPr>
                  <w:t xml:space="preserve"> </w:t>
                </w:r>
                <w:r w:rsidR="00975103" w:rsidRPr="00975103">
                  <w:rPr>
                    <w:rStyle w:val="Lienhypertexte"/>
                    <w:rFonts w:hint="eastAsia"/>
                    <w:rtl/>
                  </w:rPr>
                  <w:t>البحث</w:t>
                </w:r>
                <w:r w:rsidR="00975103">
                  <w:rPr>
                    <w:rStyle w:val="Lienhypertexte"/>
                    <w:rFonts w:hint="cs"/>
                    <w:rtl/>
                  </w:rPr>
                  <w:t>......................................................................................................</w:t>
                </w:r>
                <w:r w:rsidR="00F4223D">
                  <w:rPr>
                    <w:rFonts w:asciiTheme="minorHAnsi" w:hAnsiTheme="minorHAnsi" w:cstheme="minorBidi"/>
                    <w:color w:val="auto"/>
                    <w:lang w:val="fr-FR" w:bidi="ar-SA"/>
                  </w:rPr>
                  <w:tab/>
                </w:r>
                <w:r w:rsidR="00F4223D">
                  <w:rPr>
                    <w:webHidden/>
                  </w:rPr>
                  <w:tab/>
                </w:r>
                <w:r w:rsidR="00F4223D">
                  <w:rPr>
                    <w:webHidden/>
                  </w:rPr>
                  <w:fldChar w:fldCharType="begin"/>
                </w:r>
                <w:r w:rsidR="00F4223D">
                  <w:rPr>
                    <w:webHidden/>
                  </w:rPr>
                  <w:instrText xml:space="preserve"> PAGEREF _Toc171803907 \h </w:instrText>
                </w:r>
                <w:r w:rsidR="00F4223D">
                  <w:rPr>
                    <w:webHidden/>
                  </w:rPr>
                </w:r>
                <w:r w:rsidR="00F4223D">
                  <w:rPr>
                    <w:webHidden/>
                  </w:rPr>
                  <w:fldChar w:fldCharType="separate"/>
                </w:r>
                <w:r>
                  <w:rPr>
                    <w:webHidden/>
                    <w:rtl/>
                    <w:lang w:bidi="ar-SA"/>
                  </w:rPr>
                  <w:t>232</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08" w:history="1">
                <w:r w:rsidR="00F4223D" w:rsidRPr="008D22A6">
                  <w:rPr>
                    <w:rStyle w:val="Lienhypertexte"/>
                    <w:rFonts w:hint="eastAsia"/>
                    <w:rtl/>
                  </w:rPr>
                  <w:t>اولا</w:t>
                </w:r>
                <w:r w:rsidR="00F4223D" w:rsidRPr="008D22A6">
                  <w:rPr>
                    <w:rStyle w:val="Lienhypertexte"/>
                    <w:rtl/>
                  </w:rPr>
                  <w:t xml:space="preserve">: </w:t>
                </w:r>
                <w:r w:rsidR="00F4223D" w:rsidRPr="008D22A6">
                  <w:rPr>
                    <w:rStyle w:val="Lienhypertexte"/>
                    <w:rFonts w:hint="eastAsia"/>
                    <w:rtl/>
                  </w:rPr>
                  <w:t>قائمة</w:t>
                </w:r>
                <w:r w:rsidR="00F4223D" w:rsidRPr="008D22A6">
                  <w:rPr>
                    <w:rStyle w:val="Lienhypertexte"/>
                    <w:rtl/>
                  </w:rPr>
                  <w:t xml:space="preserve"> </w:t>
                </w:r>
                <w:r w:rsidR="00F4223D" w:rsidRPr="008D22A6">
                  <w:rPr>
                    <w:rStyle w:val="Lienhypertexte"/>
                    <w:rFonts w:hint="eastAsia"/>
                    <w:rtl/>
                  </w:rPr>
                  <w:t>المراجع</w:t>
                </w:r>
                <w:r w:rsidR="00F4223D" w:rsidRPr="008D22A6">
                  <w:rPr>
                    <w:rStyle w:val="Lienhypertexte"/>
                    <w:rtl/>
                  </w:rPr>
                  <w:t xml:space="preserve"> </w:t>
                </w:r>
                <w:r w:rsidR="00F4223D" w:rsidRPr="008D22A6">
                  <w:rPr>
                    <w:rStyle w:val="Lienhypertexte"/>
                    <w:rFonts w:hint="eastAsia"/>
                    <w:rtl/>
                  </w:rPr>
                  <w:t>باللعة</w:t>
                </w:r>
                <w:r w:rsidR="00F4223D" w:rsidRPr="008D22A6">
                  <w:rPr>
                    <w:rStyle w:val="Lienhypertexte"/>
                    <w:rtl/>
                  </w:rPr>
                  <w:t xml:space="preserve"> </w:t>
                </w:r>
                <w:r w:rsidR="00F4223D" w:rsidRPr="008D22A6">
                  <w:rPr>
                    <w:rStyle w:val="Lienhypertexte"/>
                    <w:rFonts w:hint="eastAsia"/>
                    <w:rtl/>
                  </w:rPr>
                  <w:t>العربية</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_Toc171803908 \h </w:instrText>
                </w:r>
                <w:r w:rsidR="00F4223D">
                  <w:rPr>
                    <w:webHidden/>
                  </w:rPr>
                </w:r>
                <w:r w:rsidR="00F4223D">
                  <w:rPr>
                    <w:webHidden/>
                  </w:rPr>
                  <w:fldChar w:fldCharType="separate"/>
                </w:r>
                <w:r>
                  <w:rPr>
                    <w:webHidden/>
                    <w:rtl/>
                    <w:lang w:bidi="ar-SA"/>
                  </w:rPr>
                  <w:t>233</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09" w:history="1">
                <w:r w:rsidR="00F4223D" w:rsidRPr="008D22A6">
                  <w:rPr>
                    <w:rStyle w:val="Lienhypertexte"/>
                    <w:rFonts w:hint="eastAsia"/>
                    <w:rtl/>
                  </w:rPr>
                  <w:t>ثانيا</w:t>
                </w:r>
                <w:r w:rsidR="00F4223D" w:rsidRPr="008D22A6">
                  <w:rPr>
                    <w:rStyle w:val="Lienhypertexte"/>
                    <w:rtl/>
                  </w:rPr>
                  <w:t xml:space="preserve">: </w:t>
                </w:r>
                <w:r w:rsidR="00F4223D" w:rsidRPr="008D22A6">
                  <w:rPr>
                    <w:rStyle w:val="Lienhypertexte"/>
                    <w:rFonts w:hint="eastAsia"/>
                    <w:rtl/>
                  </w:rPr>
                  <w:t>قائمة</w:t>
                </w:r>
                <w:r w:rsidR="00F4223D" w:rsidRPr="008D22A6">
                  <w:rPr>
                    <w:rStyle w:val="Lienhypertexte"/>
                    <w:rtl/>
                  </w:rPr>
                  <w:t xml:space="preserve"> </w:t>
                </w:r>
                <w:r w:rsidR="00F4223D" w:rsidRPr="008D22A6">
                  <w:rPr>
                    <w:rStyle w:val="Lienhypertexte"/>
                    <w:rFonts w:hint="eastAsia"/>
                    <w:rtl/>
                  </w:rPr>
                  <w:t>المراجع</w:t>
                </w:r>
                <w:r w:rsidR="00F4223D" w:rsidRPr="008D22A6">
                  <w:rPr>
                    <w:rStyle w:val="Lienhypertexte"/>
                    <w:rtl/>
                  </w:rPr>
                  <w:t xml:space="preserve"> </w:t>
                </w:r>
                <w:r w:rsidR="00F4223D" w:rsidRPr="008D22A6">
                  <w:rPr>
                    <w:rStyle w:val="Lienhypertexte"/>
                    <w:rFonts w:hint="eastAsia"/>
                    <w:rtl/>
                  </w:rPr>
                  <w:t>باللغة</w:t>
                </w:r>
                <w:r w:rsidR="00F4223D" w:rsidRPr="008D22A6">
                  <w:rPr>
                    <w:rStyle w:val="Lienhypertexte"/>
                    <w:rtl/>
                  </w:rPr>
                  <w:t xml:space="preserve"> </w:t>
                </w:r>
                <w:r w:rsidR="00F4223D" w:rsidRPr="008D22A6">
                  <w:rPr>
                    <w:rStyle w:val="Lienhypertexte"/>
                    <w:rFonts w:hint="eastAsia"/>
                    <w:rtl/>
                  </w:rPr>
                  <w:t>الاجنبية</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_Toc171803909 \h </w:instrText>
                </w:r>
                <w:r w:rsidR="00F4223D">
                  <w:rPr>
                    <w:webHidden/>
                  </w:rPr>
                </w:r>
                <w:r w:rsidR="00F4223D">
                  <w:rPr>
                    <w:webHidden/>
                  </w:rPr>
                  <w:fldChar w:fldCharType="separate"/>
                </w:r>
                <w:r>
                  <w:rPr>
                    <w:webHidden/>
                    <w:rtl/>
                    <w:lang w:bidi="ar-SA"/>
                  </w:rPr>
                  <w:t>235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0" w:history="1">
                <w:r w:rsidR="00F4223D" w:rsidRPr="008D22A6">
                  <w:rPr>
                    <w:rStyle w:val="Lienhypertexte"/>
                    <w:rFonts w:hint="eastAsia"/>
                    <w:rtl/>
                  </w:rPr>
                  <w:t>ثالثا</w:t>
                </w:r>
                <w:r w:rsidR="00F4223D" w:rsidRPr="008D22A6">
                  <w:rPr>
                    <w:rStyle w:val="Lienhypertexte"/>
                    <w:rtl/>
                  </w:rPr>
                  <w:t xml:space="preserve">: </w:t>
                </w:r>
                <w:r w:rsidR="00F4223D" w:rsidRPr="008D22A6">
                  <w:rPr>
                    <w:rStyle w:val="Lienhypertexte"/>
                    <w:rFonts w:hint="eastAsia"/>
                    <w:rtl/>
                  </w:rPr>
                  <w:t>وثائق</w:t>
                </w:r>
                <w:r w:rsidR="00F4223D" w:rsidRPr="008D22A6">
                  <w:rPr>
                    <w:rStyle w:val="Lienhypertexte"/>
                    <w:rtl/>
                  </w:rPr>
                  <w:t xml:space="preserve"> </w:t>
                </w:r>
                <w:r w:rsidR="00F4223D" w:rsidRPr="008D22A6">
                  <w:rPr>
                    <w:rStyle w:val="Lienhypertexte"/>
                    <w:rFonts w:hint="eastAsia"/>
                    <w:rtl/>
                  </w:rPr>
                  <w:t>ادارية</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_Toc171803910 \h </w:instrText>
                </w:r>
                <w:r w:rsidR="00F4223D">
                  <w:rPr>
                    <w:webHidden/>
                  </w:rPr>
                </w:r>
                <w:r w:rsidR="00F4223D">
                  <w:rPr>
                    <w:webHidden/>
                  </w:rPr>
                  <w:fldChar w:fldCharType="separate"/>
                </w:r>
                <w:r>
                  <w:rPr>
                    <w:webHidden/>
                    <w:rtl/>
                    <w:lang w:bidi="ar-SA"/>
                  </w:rPr>
                  <w:t>255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1" w:history="1">
                <w:r w:rsidR="00F4223D" w:rsidRPr="008D22A6">
                  <w:rPr>
                    <w:rStyle w:val="Lienhypertexte"/>
                    <w:rFonts w:hint="eastAsia"/>
                    <w:rtl/>
                  </w:rPr>
                  <w:t>رابعا</w:t>
                </w:r>
                <w:r w:rsidR="00F4223D" w:rsidRPr="008D22A6">
                  <w:rPr>
                    <w:rStyle w:val="Lienhypertexte"/>
                    <w:rtl/>
                  </w:rPr>
                  <w:t xml:space="preserve">: </w:t>
                </w:r>
                <w:r w:rsidR="00F4223D" w:rsidRPr="008D22A6">
                  <w:rPr>
                    <w:rStyle w:val="Lienhypertexte"/>
                    <w:rFonts w:hint="eastAsia"/>
                    <w:rtl/>
                  </w:rPr>
                  <w:t>مواقع</w:t>
                </w:r>
                <w:r w:rsidR="00F4223D" w:rsidRPr="008D22A6">
                  <w:rPr>
                    <w:rStyle w:val="Lienhypertexte"/>
                    <w:rtl/>
                  </w:rPr>
                  <w:t xml:space="preserve"> </w:t>
                </w:r>
                <w:r w:rsidR="00F4223D" w:rsidRPr="008D22A6">
                  <w:rPr>
                    <w:rStyle w:val="Lienhypertexte"/>
                    <w:rFonts w:hint="eastAsia"/>
                    <w:rtl/>
                  </w:rPr>
                  <w:t>الواب</w:t>
                </w:r>
                <w:r w:rsidR="00F4223D" w:rsidRPr="008D22A6">
                  <w:rPr>
                    <w:rStyle w:val="Lienhypertexte"/>
                    <w:rtl/>
                  </w:rPr>
                  <w:t>:</w:t>
                </w:r>
                <w:r w:rsidR="00F4223D" w:rsidRPr="008D22A6">
                  <w:rPr>
                    <w:rStyle w:val="Lienhypertexte"/>
                    <w:rFonts w:ascii="Times New Roman" w:hAnsi="Times New Roman" w:cs="Times New Roman"/>
                    <w:rtl/>
                  </w:rPr>
                  <w:t xml:space="preserve"> (</w:t>
                </w:r>
                <w:r w:rsidR="00F4223D" w:rsidRPr="008D22A6">
                  <w:rPr>
                    <w:rStyle w:val="Lienhypertexte"/>
                    <w:rFonts w:ascii="Times New Roman" w:hAnsi="Times New Roman" w:cs="Times New Roman"/>
                  </w:rPr>
                  <w:t>Sites WEB</w:t>
                </w:r>
                <w:r w:rsidR="00F4223D" w:rsidRPr="008D22A6">
                  <w:rPr>
                    <w:rStyle w:val="Lienhypertexte"/>
                    <w:rFonts w:ascii="Times New Roman" w:hAnsi="Times New Roman" w:cs="Times New Roman"/>
                    <w:rtl/>
                  </w:rPr>
                  <w:t>)</w:t>
                </w:r>
                <w:r w:rsidR="00975103">
                  <w:rPr>
                    <w:rStyle w:val="Lienhypertexte"/>
                    <w:rFonts w:ascii="Times New Roman" w:hAnsi="Times New Roman" w:cs="Times New Roman" w:hint="cs"/>
                    <w:rtl/>
                  </w:rPr>
                  <w:t>............................................................................................................</w:t>
                </w:r>
                <w:r w:rsidR="00F4223D">
                  <w:rPr>
                    <w:webHidden/>
                  </w:rPr>
                  <w:tab/>
                </w:r>
                <w:r w:rsidR="00F4223D">
                  <w:rPr>
                    <w:webHidden/>
                  </w:rPr>
                  <w:fldChar w:fldCharType="begin"/>
                </w:r>
                <w:r w:rsidR="00F4223D">
                  <w:rPr>
                    <w:webHidden/>
                  </w:rPr>
                  <w:instrText xml:space="preserve"> PAGEREF _Toc171803911 \h </w:instrText>
                </w:r>
                <w:r w:rsidR="00F4223D">
                  <w:rPr>
                    <w:webHidden/>
                  </w:rPr>
                </w:r>
                <w:r w:rsidR="00F4223D">
                  <w:rPr>
                    <w:webHidden/>
                  </w:rPr>
                  <w:fldChar w:fldCharType="separate"/>
                </w:r>
                <w:r>
                  <w:rPr>
                    <w:webHidden/>
                    <w:rtl/>
                    <w:lang w:bidi="ar-SA"/>
                  </w:rPr>
                  <w:t>255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2" w:history="1">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https://fr.surveymonkey.com</w:t>
                </w:r>
                <w:r w:rsidR="00F4223D" w:rsidRPr="008D22A6">
                  <w:rPr>
                    <w:rStyle w:val="Lienhypertexte"/>
                    <w:rFonts w:asciiTheme="majorBidi" w:hAnsiTheme="majorBidi" w:cstheme="majorBidi"/>
                    <w:rtl/>
                  </w:rPr>
                  <w:t>)</w:t>
                </w:r>
                <w:r w:rsidR="00975103">
                  <w:rPr>
                    <w:rStyle w:val="Lienhypertexte"/>
                    <w:rFonts w:asciiTheme="majorBidi" w:hAnsiTheme="majorBidi" w:cstheme="majorBidi" w:hint="cs"/>
                    <w:rtl/>
                  </w:rPr>
                  <w:t>.....................................................................................................</w:t>
                </w:r>
                <w:r w:rsidR="00F4223D">
                  <w:rPr>
                    <w:webHidden/>
                  </w:rPr>
                  <w:tab/>
                </w:r>
                <w:r w:rsidR="00F4223D">
                  <w:rPr>
                    <w:webHidden/>
                  </w:rPr>
                  <w:fldChar w:fldCharType="begin"/>
                </w:r>
                <w:r w:rsidR="00F4223D">
                  <w:rPr>
                    <w:webHidden/>
                  </w:rPr>
                  <w:instrText xml:space="preserve"> PAGEREF _Toc171803912 \h </w:instrText>
                </w:r>
                <w:r w:rsidR="00F4223D">
                  <w:rPr>
                    <w:webHidden/>
                  </w:rPr>
                </w:r>
                <w:r w:rsidR="00F4223D">
                  <w:rPr>
                    <w:webHidden/>
                  </w:rPr>
                  <w:fldChar w:fldCharType="separate"/>
                </w:r>
                <w:r>
                  <w:rPr>
                    <w:webHidden/>
                    <w:rtl/>
                    <w:lang w:bidi="ar-SA"/>
                  </w:rPr>
                  <w:t>255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3" w:history="1">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https://questionnaire-pro.fr</w:t>
                </w:r>
                <w:r w:rsidR="00F4223D" w:rsidRPr="008D22A6">
                  <w:rPr>
                    <w:rStyle w:val="Lienhypertexte"/>
                    <w:rFonts w:asciiTheme="majorBidi" w:hAnsiTheme="majorBidi" w:cstheme="majorBidi"/>
                    <w:rtl/>
                  </w:rPr>
                  <w:t>)</w:t>
                </w:r>
                <w:r w:rsidR="00975103">
                  <w:rPr>
                    <w:rStyle w:val="Lienhypertexte"/>
                    <w:rFonts w:asciiTheme="majorBidi" w:hAnsiTheme="majorBidi" w:cstheme="majorBidi" w:hint="cs"/>
                    <w:rtl/>
                  </w:rPr>
                  <w:t>.......................................................................................................</w:t>
                </w:r>
                <w:r w:rsidR="00F4223D">
                  <w:rPr>
                    <w:webHidden/>
                  </w:rPr>
                  <w:tab/>
                </w:r>
                <w:r w:rsidR="00F4223D">
                  <w:rPr>
                    <w:webHidden/>
                  </w:rPr>
                  <w:fldChar w:fldCharType="begin"/>
                </w:r>
                <w:r w:rsidR="00F4223D">
                  <w:rPr>
                    <w:webHidden/>
                  </w:rPr>
                  <w:instrText xml:space="preserve"> PAGEREF _Toc171803913 \h </w:instrText>
                </w:r>
                <w:r w:rsidR="00F4223D">
                  <w:rPr>
                    <w:webHidden/>
                  </w:rPr>
                </w:r>
                <w:r w:rsidR="00F4223D">
                  <w:rPr>
                    <w:webHidden/>
                  </w:rPr>
                  <w:fldChar w:fldCharType="separate"/>
                </w:r>
                <w:r>
                  <w:rPr>
                    <w:webHidden/>
                    <w:rtl/>
                    <w:lang w:bidi="ar-SA"/>
                  </w:rPr>
                  <w:t>255</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4" w:history="1">
                <w:r w:rsidR="00F4223D" w:rsidRPr="008D22A6">
                  <w:rPr>
                    <w:rStyle w:val="Lienhypertexte"/>
                    <w:rFonts w:hint="eastAsia"/>
                    <w:rtl/>
                  </w:rPr>
                  <w:t>الملاحق</w:t>
                </w:r>
              </w:hyperlink>
            </w:p>
            <w:p w:rsidR="00F4223D" w:rsidRDefault="00B62F86" w:rsidP="009579D2">
              <w:pPr>
                <w:pStyle w:val="TM1"/>
                <w:rPr>
                  <w:rFonts w:asciiTheme="minorHAnsi" w:hAnsiTheme="minorHAnsi" w:cstheme="minorBidi"/>
                  <w:color w:val="auto"/>
                  <w:lang w:val="fr-FR" w:bidi="ar-SA"/>
                </w:rPr>
              </w:pPr>
              <w:hyperlink w:anchor="_Toc171803915" w:history="1">
                <w:r w:rsidR="00F4223D" w:rsidRPr="008D22A6">
                  <w:rPr>
                    <w:rStyle w:val="Lienhypertexte"/>
                    <w:rFonts w:hint="eastAsia"/>
                    <w:rtl/>
                  </w:rPr>
                  <w:t>الملحق</w:t>
                </w:r>
                <w:r w:rsidR="00F4223D" w:rsidRPr="008D22A6">
                  <w:rPr>
                    <w:rStyle w:val="Lienhypertexte"/>
                    <w:rtl/>
                  </w:rPr>
                  <w:t xml:space="preserve"> 1: </w:t>
                </w:r>
                <w:r w:rsidR="00F4223D" w:rsidRPr="008D22A6">
                  <w:rPr>
                    <w:rStyle w:val="Lienhypertexte"/>
                    <w:rFonts w:hint="eastAsia"/>
                    <w:rtl/>
                  </w:rPr>
                  <w:t>مبادرة</w:t>
                </w:r>
                <w:r w:rsidR="00F4223D" w:rsidRPr="008D22A6">
                  <w:rPr>
                    <w:rStyle w:val="Lienhypertexte"/>
                    <w:rtl/>
                  </w:rPr>
                  <w:t xml:space="preserve"> </w:t>
                </w:r>
                <w:r w:rsidR="00F4223D" w:rsidRPr="008D22A6">
                  <w:rPr>
                    <w:rStyle w:val="Lienhypertexte"/>
                    <w:rFonts w:hint="eastAsia"/>
                    <w:rtl/>
                  </w:rPr>
                  <w:t>الجماعات</w:t>
                </w:r>
                <w:r w:rsidR="00F4223D" w:rsidRPr="008D22A6">
                  <w:rPr>
                    <w:rStyle w:val="Lienhypertexte"/>
                    <w:rtl/>
                  </w:rPr>
                  <w:t xml:space="preserve"> </w:t>
                </w:r>
                <w:r w:rsidR="00F4223D" w:rsidRPr="008D22A6">
                  <w:rPr>
                    <w:rStyle w:val="Lienhypertexte"/>
                    <w:rFonts w:hint="eastAsia"/>
                    <w:rtl/>
                  </w:rPr>
                  <w:t>المحلية</w:t>
                </w:r>
                <w:r w:rsidR="00F4223D" w:rsidRPr="008D22A6">
                  <w:rPr>
                    <w:rStyle w:val="Lienhypertexte"/>
                    <w:rtl/>
                  </w:rPr>
                  <w:t xml:space="preserve"> </w:t>
                </w:r>
                <w:r w:rsidR="00F4223D" w:rsidRPr="008D22A6">
                  <w:rPr>
                    <w:rStyle w:val="Lienhypertexte"/>
                    <w:rFonts w:hint="eastAsia"/>
                    <w:rtl/>
                  </w:rPr>
                  <w:t>لولاية</w:t>
                </w:r>
                <w:r w:rsidR="00F4223D" w:rsidRPr="008D22A6">
                  <w:rPr>
                    <w:rStyle w:val="Lienhypertexte"/>
                    <w:rtl/>
                  </w:rPr>
                  <w:t xml:space="preserve"> </w:t>
                </w:r>
                <w:r w:rsidR="00F4223D" w:rsidRPr="008D22A6">
                  <w:rPr>
                    <w:rStyle w:val="Lienhypertexte"/>
                    <w:rFonts w:hint="eastAsia"/>
                    <w:rtl/>
                  </w:rPr>
                  <w:t>الجزائر</w:t>
                </w:r>
                <w:r w:rsidR="00F4223D" w:rsidRPr="008D22A6">
                  <w:rPr>
                    <w:rStyle w:val="Lienhypertexte"/>
                    <w:rtl/>
                  </w:rPr>
                  <w:t xml:space="preserve"> </w:t>
                </w:r>
                <w:r w:rsidR="00F4223D" w:rsidRPr="008D22A6">
                  <w:rPr>
                    <w:rStyle w:val="Lienhypertexte"/>
                    <w:rFonts w:hint="eastAsia"/>
                    <w:rtl/>
                  </w:rPr>
                  <w:t>بإعداد</w:t>
                </w:r>
                <w:r w:rsidR="00F4223D" w:rsidRPr="008D22A6">
                  <w:rPr>
                    <w:rStyle w:val="Lienhypertexte"/>
                    <w:rtl/>
                  </w:rPr>
                  <w:t xml:space="preserve"> </w:t>
                </w:r>
                <w:r w:rsidR="00F4223D" w:rsidRPr="008D22A6">
                  <w:rPr>
                    <w:rStyle w:val="Lienhypertexte"/>
                    <w:rFonts w:hint="eastAsia"/>
                    <w:rtl/>
                  </w:rPr>
                  <w:t>المخطط</w:t>
                </w:r>
                <w:r w:rsidR="00F4223D" w:rsidRPr="008D22A6">
                  <w:rPr>
                    <w:rStyle w:val="Lienhypertexte"/>
                    <w:rtl/>
                  </w:rPr>
                  <w:t xml:space="preserve"> </w:t>
                </w:r>
                <w:r w:rsidR="00F4223D" w:rsidRPr="008D22A6">
                  <w:rPr>
                    <w:rStyle w:val="Lienhypertexte"/>
                    <w:rFonts w:hint="eastAsia"/>
                    <w:rtl/>
                  </w:rPr>
                  <w:t>التوجيهي</w:t>
                </w:r>
                <w:r w:rsidR="00F4223D" w:rsidRPr="008D22A6">
                  <w:rPr>
                    <w:rStyle w:val="Lienhypertexte"/>
                    <w:rtl/>
                  </w:rPr>
                  <w:t xml:space="preserve"> </w:t>
                </w:r>
                <w:r w:rsidR="00F4223D" w:rsidRPr="008D22A6">
                  <w:rPr>
                    <w:rStyle w:val="Lienhypertexte"/>
                    <w:rFonts w:hint="eastAsia"/>
                    <w:rtl/>
                  </w:rPr>
                  <w:t>للمرونة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لولاية</w:t>
                </w:r>
                <w:r w:rsidR="00F4223D" w:rsidRPr="008D22A6">
                  <w:rPr>
                    <w:rStyle w:val="Lienhypertexte"/>
                    <w:rtl/>
                  </w:rPr>
                  <w:t xml:space="preserve"> </w:t>
                </w:r>
                <w:r w:rsidR="00F4223D" w:rsidRPr="008D22A6">
                  <w:rPr>
                    <w:rStyle w:val="Lienhypertexte"/>
                    <w:rFonts w:hint="eastAsia"/>
                    <w:rtl/>
                  </w:rPr>
                  <w:t>الجزائر</w:t>
                </w:r>
                <w:r w:rsidR="00F4223D" w:rsidRPr="008D22A6">
                  <w:rPr>
                    <w:rStyle w:val="Lienhypertexte"/>
                    <w:rtl/>
                  </w:rPr>
                  <w:t>.</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_Toc171803915 \h </w:instrText>
                </w:r>
                <w:r w:rsidR="00F4223D">
                  <w:rPr>
                    <w:webHidden/>
                  </w:rPr>
                </w:r>
                <w:r w:rsidR="00F4223D">
                  <w:rPr>
                    <w:webHidden/>
                  </w:rPr>
                  <w:fldChar w:fldCharType="separate"/>
                </w:r>
                <w:r>
                  <w:rPr>
                    <w:webHidden/>
                    <w:rtl/>
                    <w:lang w:bidi="ar-SA"/>
                  </w:rPr>
                  <w:t>256</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6" w:history="1">
                <w:r w:rsidR="00F4223D" w:rsidRPr="008D22A6">
                  <w:rPr>
                    <w:rStyle w:val="Lienhypertexte"/>
                    <w:rFonts w:hint="eastAsia"/>
                    <w:rtl/>
                  </w:rPr>
                  <w:t>الملحق</w:t>
                </w:r>
                <w:r w:rsidR="00F4223D" w:rsidRPr="008D22A6">
                  <w:rPr>
                    <w:rStyle w:val="Lienhypertexte"/>
                    <w:rtl/>
                  </w:rPr>
                  <w:t xml:space="preserve"> 2: </w:t>
                </w:r>
                <w:r w:rsidR="00F4223D" w:rsidRPr="008D22A6">
                  <w:rPr>
                    <w:rStyle w:val="Lienhypertexte"/>
                    <w:rFonts w:hint="eastAsia"/>
                    <w:rtl/>
                  </w:rPr>
                  <w:t>امثلة</w:t>
                </w:r>
                <w:r w:rsidR="00F4223D" w:rsidRPr="008D22A6">
                  <w:rPr>
                    <w:rStyle w:val="Lienhypertexte"/>
                    <w:rtl/>
                  </w:rPr>
                  <w:t xml:space="preserve"> </w:t>
                </w:r>
                <w:r w:rsidR="00F4223D" w:rsidRPr="008D22A6">
                  <w:rPr>
                    <w:rStyle w:val="Lienhypertexte"/>
                    <w:rFonts w:hint="eastAsia"/>
                    <w:rtl/>
                  </w:rPr>
                  <w:t>من</w:t>
                </w:r>
                <w:r w:rsidR="00F4223D" w:rsidRPr="008D22A6">
                  <w:rPr>
                    <w:rStyle w:val="Lienhypertexte"/>
                    <w:rtl/>
                  </w:rPr>
                  <w:t xml:space="preserve"> </w:t>
                </w:r>
                <w:r w:rsidR="00F4223D" w:rsidRPr="008D22A6">
                  <w:rPr>
                    <w:rStyle w:val="Lienhypertexte"/>
                    <w:rFonts w:hint="eastAsia"/>
                    <w:rtl/>
                  </w:rPr>
                  <w:t>الواقع</w:t>
                </w:r>
                <w:r w:rsidR="00F4223D" w:rsidRPr="008D22A6">
                  <w:rPr>
                    <w:rStyle w:val="Lienhypertexte"/>
                    <w:rtl/>
                  </w:rPr>
                  <w:t xml:space="preserve"> </w:t>
                </w:r>
                <w:r w:rsidR="00F4223D" w:rsidRPr="008D22A6">
                  <w:rPr>
                    <w:rStyle w:val="Lienhypertexte"/>
                    <w:rFonts w:hint="eastAsia"/>
                    <w:rtl/>
                  </w:rPr>
                  <w:t>حول</w:t>
                </w:r>
                <w:r w:rsidR="00F4223D" w:rsidRPr="008D22A6">
                  <w:rPr>
                    <w:rStyle w:val="Lienhypertexte"/>
                    <w:rtl/>
                  </w:rPr>
                  <w:t xml:space="preserve"> </w:t>
                </w:r>
                <w:r w:rsidR="00F4223D" w:rsidRPr="008D22A6">
                  <w:rPr>
                    <w:rStyle w:val="Lienhypertexte"/>
                    <w:rFonts w:hint="eastAsia"/>
                    <w:rtl/>
                  </w:rPr>
                  <w:t>الفئات</w:t>
                </w:r>
                <w:r w:rsidR="00F4223D" w:rsidRPr="008D22A6">
                  <w:rPr>
                    <w:rStyle w:val="Lienhypertexte"/>
                    <w:rtl/>
                  </w:rPr>
                  <w:t xml:space="preserve"> </w:t>
                </w:r>
                <w:r w:rsidR="00F4223D" w:rsidRPr="008D22A6">
                  <w:rPr>
                    <w:rStyle w:val="Lienhypertexte"/>
                    <w:rFonts w:hint="eastAsia"/>
                    <w:rtl/>
                  </w:rPr>
                  <w:t>الأربعة</w:t>
                </w:r>
                <w:r w:rsidR="00F4223D" w:rsidRPr="008D22A6">
                  <w:rPr>
                    <w:rStyle w:val="Lienhypertexte"/>
                    <w:rtl/>
                  </w:rPr>
                  <w:t xml:space="preserve"> </w:t>
                </w:r>
                <w:r w:rsidR="00F4223D" w:rsidRPr="008D22A6">
                  <w:rPr>
                    <w:rStyle w:val="Lienhypertexte"/>
                    <w:rFonts w:hint="eastAsia"/>
                    <w:rtl/>
                  </w:rPr>
                  <w:t>للأنسجة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بمدينة</w:t>
                </w:r>
                <w:r w:rsidR="00F4223D" w:rsidRPr="008D22A6">
                  <w:rPr>
                    <w:rStyle w:val="Lienhypertexte"/>
                    <w:rtl/>
                  </w:rPr>
                  <w:t xml:space="preserve"> </w:t>
                </w:r>
                <w:r w:rsidR="00F4223D" w:rsidRPr="008D22A6">
                  <w:rPr>
                    <w:rStyle w:val="Lienhypertexte"/>
                    <w:rFonts w:hint="eastAsia"/>
                    <w:rtl/>
                  </w:rPr>
                  <w:t>بوسعادة</w:t>
                </w:r>
                <w:r w:rsidR="00F4223D" w:rsidRPr="008D22A6">
                  <w:rPr>
                    <w:rStyle w:val="Lienhypertexte"/>
                    <w:rtl/>
                  </w:rPr>
                  <w:t>.</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_Toc171803916 \h </w:instrText>
                </w:r>
                <w:r w:rsidR="00F4223D">
                  <w:rPr>
                    <w:webHidden/>
                  </w:rPr>
                </w:r>
                <w:r w:rsidR="00F4223D">
                  <w:rPr>
                    <w:webHidden/>
                  </w:rPr>
                  <w:fldChar w:fldCharType="separate"/>
                </w:r>
                <w:r>
                  <w:rPr>
                    <w:webHidden/>
                    <w:rtl/>
                    <w:lang w:bidi="ar-SA"/>
                  </w:rPr>
                  <w:t>257</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7" w:history="1">
                <w:r w:rsidR="00F4223D" w:rsidRPr="008D22A6">
                  <w:rPr>
                    <w:rStyle w:val="Lienhypertexte"/>
                    <w:rFonts w:hint="eastAsia"/>
                    <w:rtl/>
                  </w:rPr>
                  <w:t>الملحق</w:t>
                </w:r>
                <w:r w:rsidR="00F4223D" w:rsidRPr="008D22A6">
                  <w:rPr>
                    <w:rStyle w:val="Lienhypertexte"/>
                    <w:rtl/>
                  </w:rPr>
                  <w:t xml:space="preserve"> 3: </w:t>
                </w:r>
                <w:r w:rsidR="00F4223D" w:rsidRPr="008D22A6">
                  <w:rPr>
                    <w:rStyle w:val="Lienhypertexte"/>
                    <w:rFonts w:hint="eastAsia"/>
                    <w:rtl/>
                  </w:rPr>
                  <w:t>معلومات</w:t>
                </w:r>
                <w:r w:rsidR="00F4223D" w:rsidRPr="008D22A6">
                  <w:rPr>
                    <w:rStyle w:val="Lienhypertexte"/>
                    <w:rtl/>
                  </w:rPr>
                  <w:t xml:space="preserve"> </w:t>
                </w:r>
                <w:r w:rsidR="00F4223D" w:rsidRPr="008D22A6">
                  <w:rPr>
                    <w:rStyle w:val="Lienhypertexte"/>
                    <w:rFonts w:hint="eastAsia"/>
                    <w:rtl/>
                  </w:rPr>
                  <w:t>مفصلة</w:t>
                </w:r>
                <w:r w:rsidR="00F4223D" w:rsidRPr="008D22A6">
                  <w:rPr>
                    <w:rStyle w:val="Lienhypertexte"/>
                    <w:rtl/>
                  </w:rPr>
                  <w:t xml:space="preserve"> </w:t>
                </w:r>
                <w:r w:rsidR="00F4223D" w:rsidRPr="008D22A6">
                  <w:rPr>
                    <w:rStyle w:val="Lienhypertexte"/>
                    <w:rFonts w:hint="eastAsia"/>
                    <w:rtl/>
                  </w:rPr>
                  <w:t>حول</w:t>
                </w:r>
                <w:r w:rsidR="00F4223D" w:rsidRPr="008D22A6">
                  <w:rPr>
                    <w:rStyle w:val="Lienhypertexte"/>
                    <w:rtl/>
                  </w:rPr>
                  <w:t xml:space="preserve"> </w:t>
                </w:r>
                <w:r w:rsidR="00F4223D" w:rsidRPr="008D22A6">
                  <w:rPr>
                    <w:rStyle w:val="Lienhypertexte"/>
                    <w:rFonts w:hint="eastAsia"/>
                    <w:rtl/>
                  </w:rPr>
                  <w:t>المقارنة</w:t>
                </w:r>
                <w:r w:rsidR="00F4223D" w:rsidRPr="008D22A6">
                  <w:rPr>
                    <w:rStyle w:val="Lienhypertexte"/>
                    <w:rtl/>
                  </w:rPr>
                  <w:t xml:space="preserve"> </w:t>
                </w:r>
                <w:r w:rsidR="00F4223D" w:rsidRPr="008D22A6">
                  <w:rPr>
                    <w:rStyle w:val="Lienhypertexte"/>
                    <w:rFonts w:hint="eastAsia"/>
                    <w:rtl/>
                  </w:rPr>
                  <w:t>الزوجية</w:t>
                </w:r>
                <w:r w:rsidR="00F4223D" w:rsidRPr="008D22A6">
                  <w:rPr>
                    <w:rStyle w:val="Lienhypertexte"/>
                    <w:rtl/>
                  </w:rPr>
                  <w:t xml:space="preserve"> </w:t>
                </w:r>
                <w:r w:rsidR="00F4223D" w:rsidRPr="008D22A6">
                  <w:rPr>
                    <w:rStyle w:val="Lienhypertexte"/>
                    <w:rFonts w:hint="eastAsia"/>
                    <w:rtl/>
                  </w:rPr>
                  <w:t>من</w:t>
                </w:r>
                <w:r w:rsidR="00F4223D" w:rsidRPr="008D22A6">
                  <w:rPr>
                    <w:rStyle w:val="Lienhypertexte"/>
                    <w:rtl/>
                  </w:rPr>
                  <w:t xml:space="preserve"> </w:t>
                </w:r>
                <w:r w:rsidR="00F4223D" w:rsidRPr="008D22A6">
                  <w:rPr>
                    <w:rStyle w:val="Lienhypertexte"/>
                    <w:rFonts w:hint="eastAsia"/>
                    <w:rtl/>
                  </w:rPr>
                  <w:t>خلال</w:t>
                </w:r>
                <w:r w:rsidR="00F4223D" w:rsidRPr="008D22A6">
                  <w:rPr>
                    <w:rStyle w:val="Lienhypertexte"/>
                    <w:rtl/>
                  </w:rPr>
                  <w:t xml:space="preserve"> </w:t>
                </w:r>
                <w:r w:rsidR="00F4223D" w:rsidRPr="008D22A6">
                  <w:rPr>
                    <w:rStyle w:val="Lienhypertexte"/>
                    <w:rFonts w:hint="eastAsia"/>
                    <w:rtl/>
                  </w:rPr>
                  <w:t>عملية</w:t>
                </w:r>
                <w:r w:rsidR="00F4223D" w:rsidRPr="008D22A6">
                  <w:rPr>
                    <w:rStyle w:val="Lienhypertexte"/>
                    <w:rtl/>
                  </w:rPr>
                  <w:t xml:space="preserve"> </w:t>
                </w:r>
                <w:r w:rsidR="00F4223D" w:rsidRPr="008D22A6">
                  <w:rPr>
                    <w:rStyle w:val="Lienhypertexte"/>
                    <w:rFonts w:hint="eastAsia"/>
                    <w:rtl/>
                  </w:rPr>
                  <w:t>التسلسل</w:t>
                </w:r>
                <w:r w:rsidR="00F4223D" w:rsidRPr="008D22A6">
                  <w:rPr>
                    <w:rStyle w:val="Lienhypertexte"/>
                    <w:rtl/>
                  </w:rPr>
                  <w:t xml:space="preserve"> </w:t>
                </w:r>
                <w:r w:rsidR="00F4223D" w:rsidRPr="008D22A6">
                  <w:rPr>
                    <w:rStyle w:val="Lienhypertexte"/>
                    <w:rFonts w:hint="eastAsia"/>
                    <w:rtl/>
                  </w:rPr>
                  <w:t>الهرمي</w:t>
                </w:r>
                <w:r w:rsidR="00F4223D" w:rsidRPr="008D22A6">
                  <w:rPr>
                    <w:rStyle w:val="Lienhypertexte"/>
                    <w:rtl/>
                  </w:rPr>
                  <w:t xml:space="preserve"> </w:t>
                </w:r>
                <w:r w:rsidR="00F4223D" w:rsidRPr="008D22A6">
                  <w:rPr>
                    <w:rStyle w:val="Lienhypertexte"/>
                    <w:rFonts w:hint="eastAsia"/>
                    <w:rtl/>
                  </w:rPr>
                  <w:t>التحليلي</w:t>
                </w:r>
                <w:r w:rsidR="00F4223D" w:rsidRPr="008D22A6">
                  <w:rPr>
                    <w:rStyle w:val="Lienhypertexte"/>
                    <w:rtl/>
                  </w:rPr>
                  <w:t xml:space="preserve"> </w:t>
                </w:r>
                <w:r w:rsidR="00F4223D" w:rsidRPr="008D22A6">
                  <w:rPr>
                    <w:rStyle w:val="Lienhypertexte"/>
                    <w:rFonts w:asciiTheme="majorBidi" w:hAnsiTheme="majorBidi" w:cstheme="majorBidi"/>
                    <w:rtl/>
                  </w:rPr>
                  <w:t>(</w:t>
                </w:r>
                <w:r w:rsidR="00F4223D" w:rsidRPr="008D22A6">
                  <w:rPr>
                    <w:rStyle w:val="Lienhypertexte"/>
                    <w:rFonts w:asciiTheme="majorBidi" w:hAnsiTheme="majorBidi" w:cstheme="majorBidi"/>
                  </w:rPr>
                  <w:t>AHP</w:t>
                </w:r>
                <w:r w:rsidR="00F4223D" w:rsidRPr="008D22A6">
                  <w:rPr>
                    <w:rStyle w:val="Lienhypertexte"/>
                    <w:rFonts w:asciiTheme="majorBidi" w:hAnsiTheme="majorBidi" w:cstheme="majorBidi"/>
                    <w:rtl/>
                  </w:rPr>
                  <w:t>).</w:t>
                </w:r>
                <w:r w:rsidR="00975103">
                  <w:rPr>
                    <w:rStyle w:val="Lienhypertexte"/>
                    <w:rFonts w:asciiTheme="majorBidi" w:hAnsiTheme="majorBidi" w:cstheme="majorBidi" w:hint="cs"/>
                    <w:rtl/>
                  </w:rPr>
                  <w:t>.....................</w:t>
                </w:r>
                <w:r w:rsidR="00F4223D">
                  <w:rPr>
                    <w:webHidden/>
                  </w:rPr>
                  <w:tab/>
                </w:r>
                <w:r w:rsidR="00F4223D">
                  <w:rPr>
                    <w:webHidden/>
                  </w:rPr>
                  <w:fldChar w:fldCharType="begin"/>
                </w:r>
                <w:r w:rsidR="00F4223D">
                  <w:rPr>
                    <w:webHidden/>
                  </w:rPr>
                  <w:instrText xml:space="preserve"> PAGEREF _Toc171803917 \h </w:instrText>
                </w:r>
                <w:r w:rsidR="00F4223D">
                  <w:rPr>
                    <w:webHidden/>
                  </w:rPr>
                </w:r>
                <w:r w:rsidR="00F4223D">
                  <w:rPr>
                    <w:webHidden/>
                  </w:rPr>
                  <w:fldChar w:fldCharType="separate"/>
                </w:r>
                <w:r>
                  <w:rPr>
                    <w:webHidden/>
                    <w:rtl/>
                    <w:lang w:bidi="ar-SA"/>
                  </w:rPr>
                  <w:t>258</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8" w:history="1">
                <w:r w:rsidR="00F4223D" w:rsidRPr="008D22A6">
                  <w:rPr>
                    <w:rStyle w:val="Lienhypertexte"/>
                    <w:rFonts w:hint="eastAsia"/>
                    <w:rtl/>
                  </w:rPr>
                  <w:t>الملحق</w:t>
                </w:r>
                <w:r w:rsidR="00F4223D" w:rsidRPr="008D22A6">
                  <w:rPr>
                    <w:rStyle w:val="Lienhypertexte"/>
                    <w:rtl/>
                  </w:rPr>
                  <w:t xml:space="preserve"> 4: </w:t>
                </w:r>
                <w:r w:rsidR="00F4223D" w:rsidRPr="008D22A6">
                  <w:rPr>
                    <w:rStyle w:val="Lienhypertexte"/>
                    <w:rFonts w:hint="eastAsia"/>
                    <w:rtl/>
                  </w:rPr>
                  <w:t>استبيان</w:t>
                </w:r>
                <w:r w:rsidR="00F4223D" w:rsidRPr="008D22A6">
                  <w:rPr>
                    <w:rStyle w:val="Lienhypertexte"/>
                    <w:rtl/>
                  </w:rPr>
                  <w:t xml:space="preserve"> </w:t>
                </w:r>
                <w:r w:rsidR="00F4223D" w:rsidRPr="008D22A6">
                  <w:rPr>
                    <w:rStyle w:val="Lienhypertexte"/>
                    <w:rFonts w:hint="eastAsia"/>
                    <w:rtl/>
                  </w:rPr>
                  <w:t>للسكان</w:t>
                </w:r>
                <w:r w:rsidR="00F4223D" w:rsidRPr="008D22A6">
                  <w:rPr>
                    <w:rStyle w:val="Lienhypertexte"/>
                    <w:rtl/>
                  </w:rPr>
                  <w:t xml:space="preserve"> </w:t>
                </w:r>
                <w:r w:rsidR="00F4223D" w:rsidRPr="008D22A6">
                  <w:rPr>
                    <w:rStyle w:val="Lienhypertexte"/>
                    <w:rFonts w:hint="eastAsia"/>
                    <w:rtl/>
                  </w:rPr>
                  <w:t>المحليين</w:t>
                </w:r>
                <w:r w:rsidR="00F4223D" w:rsidRPr="008D22A6">
                  <w:rPr>
                    <w:rStyle w:val="Lienhypertexte"/>
                    <w:rtl/>
                  </w:rPr>
                  <w:t xml:space="preserve"> </w:t>
                </w:r>
                <w:r w:rsidR="00F4223D" w:rsidRPr="008D22A6">
                  <w:rPr>
                    <w:rStyle w:val="Lienhypertexte"/>
                    <w:rFonts w:hint="eastAsia"/>
                    <w:rtl/>
                  </w:rPr>
                  <w:t>حول</w:t>
                </w:r>
                <w:r w:rsidR="00F4223D" w:rsidRPr="008D22A6">
                  <w:rPr>
                    <w:rStyle w:val="Lienhypertexte"/>
                    <w:rtl/>
                  </w:rPr>
                  <w:t xml:space="preserve"> </w:t>
                </w:r>
                <w:r w:rsidR="00F4223D" w:rsidRPr="008D22A6">
                  <w:rPr>
                    <w:rStyle w:val="Lienhypertexte"/>
                    <w:rFonts w:hint="eastAsia"/>
                    <w:rtl/>
                  </w:rPr>
                  <w:t>تحسين</w:t>
                </w:r>
                <w:r w:rsidR="00F4223D" w:rsidRPr="008D22A6">
                  <w:rPr>
                    <w:rStyle w:val="Lienhypertexte"/>
                    <w:rtl/>
                  </w:rPr>
                  <w:t xml:space="preserve"> </w:t>
                </w:r>
                <w:r w:rsidR="00F4223D" w:rsidRPr="008D22A6">
                  <w:rPr>
                    <w:rStyle w:val="Lienhypertexte"/>
                    <w:rFonts w:hint="eastAsia"/>
                    <w:rtl/>
                  </w:rPr>
                  <w:t>المرونة</w:t>
                </w:r>
                <w:r w:rsidR="00F4223D" w:rsidRPr="008D22A6">
                  <w:rPr>
                    <w:rStyle w:val="Lienhypertexte"/>
                    <w:rtl/>
                  </w:rPr>
                  <w:t xml:space="preserve"> </w:t>
                </w:r>
                <w:r w:rsidR="00F4223D" w:rsidRPr="008D22A6">
                  <w:rPr>
                    <w:rStyle w:val="Lienhypertexte"/>
                    <w:rFonts w:hint="eastAsia"/>
                    <w:rtl/>
                  </w:rPr>
                  <w:t>الحضرية</w:t>
                </w:r>
                <w:r w:rsidR="00F4223D" w:rsidRPr="008D22A6">
                  <w:rPr>
                    <w:rStyle w:val="Lienhypertexte"/>
                    <w:rtl/>
                  </w:rPr>
                  <w:t xml:space="preserve"> </w:t>
                </w:r>
                <w:r w:rsidR="00F4223D" w:rsidRPr="008D22A6">
                  <w:rPr>
                    <w:rStyle w:val="Lienhypertexte"/>
                    <w:rFonts w:hint="eastAsia"/>
                    <w:rtl/>
                  </w:rPr>
                  <w:t>لمدينة</w:t>
                </w:r>
                <w:r w:rsidR="00F4223D" w:rsidRPr="008D22A6">
                  <w:rPr>
                    <w:rStyle w:val="Lienhypertexte"/>
                    <w:rtl/>
                  </w:rPr>
                  <w:t xml:space="preserve"> </w:t>
                </w:r>
                <w:r w:rsidR="00F4223D" w:rsidRPr="008D22A6">
                  <w:rPr>
                    <w:rStyle w:val="Lienhypertexte"/>
                    <w:rFonts w:hint="eastAsia"/>
                    <w:rtl/>
                  </w:rPr>
                  <w:t>بوسعادة</w:t>
                </w:r>
                <w:r w:rsidR="00F4223D" w:rsidRPr="008D22A6">
                  <w:rPr>
                    <w:rStyle w:val="Lienhypertexte"/>
                    <w:rtl/>
                  </w:rPr>
                  <w:t>.</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_Toc171803918 \h </w:instrText>
                </w:r>
                <w:r w:rsidR="00F4223D">
                  <w:rPr>
                    <w:webHidden/>
                  </w:rPr>
                </w:r>
                <w:r w:rsidR="00F4223D">
                  <w:rPr>
                    <w:webHidden/>
                  </w:rPr>
                  <w:fldChar w:fldCharType="separate"/>
                </w:r>
                <w:r>
                  <w:rPr>
                    <w:webHidden/>
                    <w:rtl/>
                    <w:lang w:bidi="ar-SA"/>
                  </w:rPr>
                  <w:t>264</w:t>
                </w:r>
                <w:r w:rsidR="00F4223D">
                  <w:rPr>
                    <w:webHidden/>
                  </w:rPr>
                  <w:fldChar w:fldCharType="end"/>
                </w:r>
              </w:hyperlink>
            </w:p>
            <w:p w:rsidR="00F4223D" w:rsidRDefault="00B62F86" w:rsidP="009579D2">
              <w:pPr>
                <w:pStyle w:val="TM1"/>
                <w:rPr>
                  <w:rFonts w:asciiTheme="minorHAnsi" w:hAnsiTheme="minorHAnsi" w:cstheme="minorBidi"/>
                  <w:color w:val="auto"/>
                  <w:lang w:val="fr-FR" w:bidi="ar-SA"/>
                </w:rPr>
              </w:pPr>
              <w:hyperlink w:anchor="_Toc171803919" w:history="1">
                <w:r w:rsidR="00F4223D" w:rsidRPr="008D22A6">
                  <w:rPr>
                    <w:rStyle w:val="Lienhypertexte"/>
                    <w:rFonts w:hint="eastAsia"/>
                    <w:rtl/>
                  </w:rPr>
                  <w:t>الملحق</w:t>
                </w:r>
                <w:r w:rsidR="00F4223D" w:rsidRPr="008D22A6">
                  <w:rPr>
                    <w:rStyle w:val="Lienhypertexte"/>
                    <w:rtl/>
                  </w:rPr>
                  <w:t xml:space="preserve"> 5: </w:t>
                </w:r>
                <w:r w:rsidR="00F4223D" w:rsidRPr="008D22A6">
                  <w:rPr>
                    <w:rStyle w:val="Lienhypertexte"/>
                    <w:rFonts w:hint="eastAsia"/>
                    <w:rtl/>
                  </w:rPr>
                  <w:t>تصنيفات</w:t>
                </w:r>
                <w:r w:rsidR="00F4223D" w:rsidRPr="008D22A6">
                  <w:rPr>
                    <w:rStyle w:val="Lienhypertexte"/>
                    <w:rtl/>
                  </w:rPr>
                  <w:t xml:space="preserve"> </w:t>
                </w:r>
                <w:r w:rsidR="00F4223D" w:rsidRPr="008D22A6">
                  <w:rPr>
                    <w:rStyle w:val="Lienhypertexte"/>
                    <w:rFonts w:hint="eastAsia"/>
                    <w:rtl/>
                  </w:rPr>
                  <w:t>قيم</w:t>
                </w:r>
                <w:r w:rsidR="00F4223D" w:rsidRPr="008D22A6">
                  <w:rPr>
                    <w:rStyle w:val="Lienhypertexte"/>
                    <w:rtl/>
                  </w:rPr>
                  <w:t xml:space="preserve"> </w:t>
                </w:r>
                <w:r w:rsidR="00F4223D" w:rsidRPr="008D22A6">
                  <w:rPr>
                    <w:rStyle w:val="Lienhypertexte"/>
                    <w:rFonts w:hint="eastAsia"/>
                    <w:rtl/>
                  </w:rPr>
                  <w:t>التنوع</w:t>
                </w:r>
                <w:r w:rsidR="00F4223D" w:rsidRPr="008D22A6">
                  <w:rPr>
                    <w:rStyle w:val="Lienhypertexte"/>
                    <w:rtl/>
                  </w:rPr>
                  <w:t xml:space="preserve"> </w:t>
                </w:r>
                <w:r w:rsidR="00F4223D" w:rsidRPr="008D22A6">
                  <w:rPr>
                    <w:rStyle w:val="Lienhypertexte"/>
                    <w:rFonts w:hint="eastAsia"/>
                    <w:rtl/>
                  </w:rPr>
                  <w:t>وفق</w:t>
                </w:r>
                <w:r w:rsidR="00F4223D" w:rsidRPr="008D22A6">
                  <w:rPr>
                    <w:rStyle w:val="Lienhypertexte"/>
                    <w:rtl/>
                  </w:rPr>
                  <w:t xml:space="preserve"> </w:t>
                </w:r>
                <w:r w:rsidR="00F4223D" w:rsidRPr="008D22A6">
                  <w:rPr>
                    <w:rStyle w:val="Lienhypertexte"/>
                    <w:rFonts w:hint="eastAsia"/>
                    <w:rtl/>
                  </w:rPr>
                  <w:t>حالة</w:t>
                </w:r>
                <w:r w:rsidR="00F4223D" w:rsidRPr="008D22A6">
                  <w:rPr>
                    <w:rStyle w:val="Lienhypertexte"/>
                    <w:rtl/>
                  </w:rPr>
                  <w:t xml:space="preserve"> </w:t>
                </w:r>
                <w:r w:rsidR="00F4223D" w:rsidRPr="008D22A6">
                  <w:rPr>
                    <w:rStyle w:val="Lienhypertexte"/>
                    <w:rFonts w:hint="eastAsia"/>
                    <w:rtl/>
                  </w:rPr>
                  <w:t>الدراسة</w:t>
                </w:r>
                <w:r w:rsidR="00F4223D" w:rsidRPr="008D22A6">
                  <w:rPr>
                    <w:rStyle w:val="Lienhypertexte"/>
                    <w:rtl/>
                  </w:rPr>
                  <w:t>.</w:t>
                </w:r>
                <w:r w:rsidR="00975103">
                  <w:rPr>
                    <w:rStyle w:val="Lienhypertexte"/>
                    <w:rFonts w:hint="cs"/>
                    <w:rtl/>
                  </w:rPr>
                  <w:t>......................................................................</w:t>
                </w:r>
                <w:r w:rsidR="00F4223D">
                  <w:rPr>
                    <w:webHidden/>
                  </w:rPr>
                  <w:tab/>
                </w:r>
                <w:r w:rsidR="00F4223D">
                  <w:rPr>
                    <w:webHidden/>
                  </w:rPr>
                  <w:fldChar w:fldCharType="begin"/>
                </w:r>
                <w:r w:rsidR="00F4223D">
                  <w:rPr>
                    <w:webHidden/>
                  </w:rPr>
                  <w:instrText xml:space="preserve"> PAGEREF _Toc171803919 \h </w:instrText>
                </w:r>
                <w:r w:rsidR="00F4223D">
                  <w:rPr>
                    <w:webHidden/>
                  </w:rPr>
                </w:r>
                <w:r w:rsidR="00F4223D">
                  <w:rPr>
                    <w:webHidden/>
                  </w:rPr>
                  <w:fldChar w:fldCharType="separate"/>
                </w:r>
                <w:r>
                  <w:rPr>
                    <w:webHidden/>
                    <w:rtl/>
                    <w:lang w:bidi="ar-SA"/>
                  </w:rPr>
                  <w:t>267</w:t>
                </w:r>
                <w:r w:rsidR="00F4223D">
                  <w:rPr>
                    <w:webHidden/>
                  </w:rPr>
                  <w:fldChar w:fldCharType="end"/>
                </w:r>
              </w:hyperlink>
            </w:p>
            <w:p w:rsidR="003D0608" w:rsidRDefault="004D4613" w:rsidP="00F4223D">
              <w:pPr>
                <w:bidi/>
                <w:spacing w:after="0" w:line="240" w:lineRule="auto"/>
                <w:rPr>
                  <w:rFonts w:ascii="Simplified Arabic" w:hAnsi="Simplified Arabic" w:cs="Simplified Arabic"/>
                  <w:b/>
                  <w:bCs/>
                  <w:rtl/>
                </w:rPr>
              </w:pPr>
              <w:r w:rsidRPr="00463944">
                <w:rPr>
                  <w:rFonts w:ascii="Simplified Arabic" w:hAnsi="Simplified Arabic" w:cs="Simplified Arabic"/>
                  <w:b/>
                  <w:bCs/>
                </w:rPr>
                <w:fldChar w:fldCharType="end"/>
              </w:r>
            </w:p>
            <w:p w:rsidR="00EF4D4E" w:rsidRDefault="00EF4D4E" w:rsidP="00F4223D">
              <w:pPr>
                <w:bidi/>
                <w:spacing w:after="0" w:line="240" w:lineRule="auto"/>
                <w:rPr>
                  <w:rtl/>
                </w:rPr>
              </w:pPr>
            </w:p>
            <w:p w:rsidR="00EF4D4E" w:rsidRDefault="00EF4D4E" w:rsidP="00F4223D">
              <w:pPr>
                <w:bidi/>
                <w:spacing w:after="0" w:line="240" w:lineRule="auto"/>
                <w:rPr>
                  <w:rtl/>
                </w:rPr>
              </w:pPr>
            </w:p>
            <w:p w:rsidR="00EF4D4E" w:rsidRDefault="00EF4D4E" w:rsidP="00F4223D">
              <w:pPr>
                <w:bidi/>
                <w:spacing w:after="0" w:line="240" w:lineRule="auto"/>
                <w:rPr>
                  <w:rtl/>
                </w:rPr>
              </w:pPr>
            </w:p>
            <w:p w:rsidR="00463944" w:rsidRDefault="00B62F86" w:rsidP="00F4223D">
              <w:pPr>
                <w:bidi/>
                <w:spacing w:after="0" w:line="240" w:lineRule="auto"/>
                <w:rPr>
                  <w:rtl/>
                </w:rPr>
              </w:pPr>
            </w:p>
          </w:sdtContent>
        </w:sdt>
        <w:p w:rsidR="008677EB" w:rsidRDefault="008677EB" w:rsidP="009340AD">
          <w:pPr>
            <w:bidi/>
            <w:rPr>
              <w:rtl/>
              <w:lang w:eastAsia="fr-FR" w:bidi="ar-DZ"/>
            </w:rPr>
          </w:pPr>
        </w:p>
        <w:p w:rsidR="002E27F2" w:rsidRDefault="002E27F2" w:rsidP="008677EB">
          <w:pPr>
            <w:bidi/>
            <w:rPr>
              <w:lang w:eastAsia="fr-FR" w:bidi="ar-DZ"/>
            </w:rPr>
          </w:pPr>
        </w:p>
        <w:p w:rsidR="002E27F2" w:rsidRDefault="002E27F2" w:rsidP="002E27F2">
          <w:pPr>
            <w:bidi/>
            <w:rPr>
              <w:rtl/>
              <w:lang w:eastAsia="fr-FR" w:bidi="ar-DZ"/>
            </w:rPr>
          </w:pPr>
        </w:p>
        <w:p w:rsidR="00975103" w:rsidRDefault="00975103" w:rsidP="00975103">
          <w:pPr>
            <w:bidi/>
            <w:rPr>
              <w:rtl/>
              <w:lang w:eastAsia="fr-FR" w:bidi="ar-DZ"/>
            </w:rPr>
          </w:pPr>
        </w:p>
        <w:p w:rsidR="00975103" w:rsidRDefault="00975103" w:rsidP="00975103">
          <w:pPr>
            <w:bidi/>
            <w:rPr>
              <w:rtl/>
              <w:lang w:eastAsia="fr-FR" w:bidi="ar-DZ"/>
            </w:rPr>
          </w:pPr>
        </w:p>
        <w:p w:rsidR="00975103" w:rsidRDefault="00975103" w:rsidP="00975103">
          <w:pPr>
            <w:bidi/>
            <w:rPr>
              <w:rtl/>
              <w:lang w:eastAsia="fr-FR" w:bidi="ar-DZ"/>
            </w:rPr>
          </w:pPr>
        </w:p>
        <w:p w:rsidR="00975103" w:rsidRDefault="00975103" w:rsidP="00975103">
          <w:pPr>
            <w:bidi/>
            <w:rPr>
              <w:rtl/>
              <w:lang w:eastAsia="fr-FR" w:bidi="ar-DZ"/>
            </w:rPr>
          </w:pPr>
        </w:p>
        <w:p w:rsidR="00975103" w:rsidRDefault="00975103" w:rsidP="00975103">
          <w:pPr>
            <w:bidi/>
            <w:rPr>
              <w:lang w:eastAsia="fr-FR" w:bidi="ar-DZ"/>
            </w:rPr>
          </w:pPr>
        </w:p>
        <w:p w:rsidR="002E27F2" w:rsidRDefault="002E27F2" w:rsidP="002E27F2">
          <w:pPr>
            <w:bidi/>
            <w:rPr>
              <w:rtl/>
              <w:lang w:eastAsia="fr-FR" w:bidi="ar-DZ"/>
            </w:rPr>
          </w:pPr>
        </w:p>
        <w:p w:rsidR="00F73746" w:rsidRDefault="00F73746" w:rsidP="00F73746">
          <w:pPr>
            <w:bidi/>
            <w:rPr>
              <w:rtl/>
              <w:lang w:eastAsia="fr-FR" w:bidi="ar-DZ"/>
            </w:rPr>
          </w:pPr>
        </w:p>
        <w:p w:rsidR="00F73746" w:rsidRDefault="00F73746" w:rsidP="00F73746">
          <w:pPr>
            <w:bidi/>
            <w:rPr>
              <w:rtl/>
              <w:lang w:eastAsia="fr-FR" w:bidi="ar-DZ"/>
            </w:rPr>
          </w:pPr>
        </w:p>
        <w:p w:rsidR="00F73746" w:rsidRDefault="00F73746" w:rsidP="00F73746">
          <w:pPr>
            <w:bidi/>
            <w:rPr>
              <w:rtl/>
              <w:lang w:eastAsia="fr-FR" w:bidi="ar-DZ"/>
            </w:rPr>
          </w:pPr>
        </w:p>
        <w:p w:rsidR="00F73746" w:rsidRDefault="00F73746" w:rsidP="00F73746">
          <w:pPr>
            <w:bidi/>
            <w:rPr>
              <w:lang w:eastAsia="fr-FR" w:bidi="ar-DZ"/>
            </w:rPr>
          </w:pPr>
        </w:p>
        <w:p w:rsidR="00463944" w:rsidRDefault="00B62F86" w:rsidP="002E27F2">
          <w:pPr>
            <w:bidi/>
            <w:rPr>
              <w:rtl/>
              <w:lang w:eastAsia="fr-FR" w:bidi="ar-DZ"/>
            </w:rPr>
          </w:pPr>
        </w:p>
      </w:sdtContent>
    </w:sdt>
    <w:sdt>
      <w:sdtPr>
        <w:rPr>
          <w:rFonts w:ascii="Simplified Arabic" w:eastAsiaTheme="minorHAnsi" w:hAnsi="Simplified Arabic" w:cs="Simplified Arabic"/>
          <w:b w:val="0"/>
          <w:bCs w:val="0"/>
          <w:noProof/>
          <w:color w:val="000000" w:themeColor="text1"/>
          <w:sz w:val="22"/>
          <w:szCs w:val="22"/>
          <w:rtl/>
          <w:lang w:val="en-US" w:eastAsia="en-US" w:bidi="ar-DZ"/>
        </w:rPr>
        <w:id w:val="1268355955"/>
        <w:docPartObj>
          <w:docPartGallery w:val="Table of Contents"/>
          <w:docPartUnique/>
        </w:docPartObj>
      </w:sdtPr>
      <w:sdtEndPr>
        <w:rPr>
          <w:rFonts w:eastAsiaTheme="minorEastAsia"/>
          <w:b/>
          <w:bCs/>
          <w:lang w:eastAsia="fr-FR"/>
        </w:rPr>
      </w:sdtEndPr>
      <w:sdtContent>
        <w:p w:rsidR="00E12AF7" w:rsidRDefault="00E12AF7" w:rsidP="00E12AF7">
          <w:pPr>
            <w:pStyle w:val="En-ttedetabledesmatires"/>
            <w:shd w:val="clear" w:color="auto" w:fill="D9D9D9" w:themeFill="background1" w:themeFillShade="D9"/>
            <w:bidi/>
            <w:spacing w:before="0" w:after="240" w:line="240" w:lineRule="auto"/>
            <w:jc w:val="center"/>
            <w:outlineLvl w:val="0"/>
            <w:rPr>
              <w:rFonts w:asciiTheme="minorHAnsi" w:hAnsiTheme="minorHAnsi" w:cstheme="minorBidi"/>
              <w:b w:val="0"/>
              <w:bCs w:val="0"/>
              <w:color w:val="auto"/>
            </w:rPr>
          </w:pPr>
          <w:r w:rsidRPr="00705A9D">
            <w:rPr>
              <w:rFonts w:ascii="Simplified Arabic" w:hAnsi="Simplified Arabic" w:cs="Simplified Arabic" w:hint="eastAsia"/>
              <w:color w:val="000000" w:themeColor="text1"/>
              <w:sz w:val="22"/>
              <w:szCs w:val="22"/>
              <w:rtl/>
            </w:rPr>
            <w:t>قائمة</w:t>
          </w:r>
          <w:r w:rsidRPr="00705A9D">
            <w:rPr>
              <w:rFonts w:ascii="Simplified Arabic" w:hAnsi="Simplified Arabic" w:cs="Simplified Arabic"/>
              <w:color w:val="000000" w:themeColor="text1"/>
              <w:sz w:val="22"/>
              <w:szCs w:val="22"/>
              <w:rtl/>
            </w:rPr>
            <w:t xml:space="preserve"> </w:t>
          </w:r>
          <w:r w:rsidRPr="00705A9D">
            <w:rPr>
              <w:rFonts w:ascii="Simplified Arabic" w:hAnsi="Simplified Arabic" w:cs="Simplified Arabic" w:hint="eastAsia"/>
              <w:color w:val="000000" w:themeColor="text1"/>
              <w:sz w:val="22"/>
              <w:szCs w:val="22"/>
              <w:rtl/>
            </w:rPr>
            <w:t>الاشكال</w:t>
          </w:r>
          <w:r w:rsidRPr="00463944">
            <w:rPr>
              <w:rFonts w:eastAsia="Arial Unicode MS"/>
              <w:noProof/>
              <w:color w:val="000000" w:themeColor="text1"/>
              <w:lang w:val="en-US" w:bidi="ar-DZ"/>
            </w:rPr>
            <w:fldChar w:fldCharType="begin"/>
          </w:r>
          <w:r w:rsidRPr="00463944">
            <w:instrText xml:space="preserve"> TOC \o "1-3" \h \z \u </w:instrText>
          </w:r>
          <w:r w:rsidRPr="00463944">
            <w:rPr>
              <w:rFonts w:eastAsia="Arial Unicode MS"/>
              <w:noProof/>
              <w:color w:val="000000" w:themeColor="text1"/>
              <w:lang w:val="en-US" w:bidi="ar-DZ"/>
            </w:rPr>
            <w:fldChar w:fldCharType="separate"/>
          </w:r>
          <w:hyperlink w:anchor="_Toc171803269" w:history="1">
            <w:r>
              <w:rPr>
                <w:webHidden/>
              </w:rPr>
              <w:tab/>
            </w:r>
          </w:hyperlink>
        </w:p>
        <w:p w:rsidR="00E12AF7" w:rsidRDefault="00B62F86" w:rsidP="009579D2">
          <w:pPr>
            <w:pStyle w:val="TM1"/>
            <w:rPr>
              <w:rFonts w:asciiTheme="minorHAnsi" w:hAnsiTheme="minorHAnsi" w:cstheme="minorBidi"/>
              <w:color w:val="auto"/>
              <w:lang w:val="fr-FR" w:bidi="ar-SA"/>
            </w:rPr>
          </w:pPr>
          <w:hyperlink w:anchor="_Toc171803281" w:history="1">
            <w:r w:rsidR="00E12AF7" w:rsidRPr="008D22A6">
              <w:rPr>
                <w:rStyle w:val="Lienhypertexte"/>
                <w:rFonts w:hint="eastAsia"/>
                <w:rtl/>
              </w:rPr>
              <w:t>الجزء</w:t>
            </w:r>
            <w:r w:rsidR="00E12AF7" w:rsidRPr="008D22A6">
              <w:rPr>
                <w:rStyle w:val="Lienhypertexte"/>
                <w:rtl/>
              </w:rPr>
              <w:t xml:space="preserve"> </w:t>
            </w:r>
            <w:r w:rsidR="00E12AF7" w:rsidRPr="008D22A6">
              <w:rPr>
                <w:rStyle w:val="Lienhypertexte"/>
                <w:rFonts w:hint="eastAsia"/>
                <w:rtl/>
              </w:rPr>
              <w:t>الاول</w:t>
            </w:r>
            <w:r w:rsidR="00E12AF7" w:rsidRPr="008D22A6">
              <w:rPr>
                <w:rStyle w:val="Lienhypertexte"/>
                <w:rtl/>
              </w:rPr>
              <w:t>:</w:t>
            </w:r>
          </w:hyperlink>
          <w:r w:rsidR="00E12AF7">
            <w:rPr>
              <w:rFonts w:hint="cs"/>
              <w:rtl/>
            </w:rPr>
            <w:t xml:space="preserve"> </w:t>
          </w:r>
          <w:hyperlink w:anchor="_Toc171803282" w:history="1">
            <w:r w:rsidR="00E12AF7" w:rsidRPr="008D22A6">
              <w:rPr>
                <w:rStyle w:val="Lienhypertexte"/>
                <w:rFonts w:hint="eastAsia"/>
                <w:rtl/>
              </w:rPr>
              <w:t>الاطار</w:t>
            </w:r>
            <w:r w:rsidR="00E12AF7" w:rsidRPr="008D22A6">
              <w:rPr>
                <w:rStyle w:val="Lienhypertexte"/>
                <w:rtl/>
              </w:rPr>
              <w:t xml:space="preserve"> </w:t>
            </w:r>
            <w:r w:rsidR="00E12AF7" w:rsidRPr="008D22A6">
              <w:rPr>
                <w:rStyle w:val="Lienhypertexte"/>
                <w:rFonts w:hint="eastAsia"/>
                <w:rtl/>
              </w:rPr>
              <w:t>العام</w:t>
            </w:r>
            <w:r w:rsidR="00E12AF7" w:rsidRPr="008D22A6">
              <w:rPr>
                <w:rStyle w:val="Lienhypertexte"/>
                <w:rtl/>
              </w:rPr>
              <w:t xml:space="preserve"> </w:t>
            </w:r>
            <w:r w:rsidR="00E12AF7" w:rsidRPr="008D22A6">
              <w:rPr>
                <w:rStyle w:val="Lienhypertexte"/>
                <w:rFonts w:hint="eastAsia"/>
                <w:rtl/>
              </w:rPr>
              <w:t>للبحث</w:t>
            </w:r>
          </w:hyperlink>
        </w:p>
        <w:p w:rsidR="00E12AF7" w:rsidRDefault="00B62F86" w:rsidP="009579D2">
          <w:pPr>
            <w:pStyle w:val="TM1"/>
            <w:rPr>
              <w:rFonts w:asciiTheme="minorHAnsi" w:hAnsiTheme="minorHAnsi" w:cstheme="minorBidi"/>
              <w:color w:val="auto"/>
              <w:lang w:val="fr-FR" w:bidi="ar-SA"/>
            </w:rPr>
          </w:pPr>
          <w:hyperlink w:anchor="_Toc171803283" w:history="1">
            <w:r w:rsidR="00E12AF7" w:rsidRPr="008D22A6">
              <w:rPr>
                <w:rStyle w:val="Lienhypertexte"/>
                <w:rFonts w:hint="eastAsia"/>
                <w:rtl/>
              </w:rPr>
              <w:t>الفصل</w:t>
            </w:r>
            <w:r w:rsidR="00E12AF7" w:rsidRPr="008D22A6">
              <w:rPr>
                <w:rStyle w:val="Lienhypertexte"/>
                <w:rtl/>
              </w:rPr>
              <w:t xml:space="preserve"> </w:t>
            </w:r>
            <w:r w:rsidR="00E12AF7" w:rsidRPr="008D22A6">
              <w:rPr>
                <w:rStyle w:val="Lienhypertexte"/>
                <w:rFonts w:hint="eastAsia"/>
                <w:rtl/>
              </w:rPr>
              <w:t>التمهيدي</w:t>
            </w:r>
          </w:hyperlink>
        </w:p>
        <w:p w:rsidR="00E12AF7" w:rsidRDefault="00B62F86" w:rsidP="009579D2">
          <w:pPr>
            <w:pStyle w:val="TM1"/>
            <w:rPr>
              <w:rFonts w:asciiTheme="minorHAnsi" w:hAnsiTheme="minorHAnsi" w:cstheme="minorBidi"/>
              <w:color w:val="auto"/>
              <w:lang w:val="fr-FR" w:bidi="ar-SA"/>
            </w:rPr>
          </w:pPr>
          <w:hyperlink w:anchor="_Toc171803304" w:history="1">
            <w:r w:rsidR="00E12AF7" w:rsidRPr="008D22A6">
              <w:rPr>
                <w:rStyle w:val="Lienhypertexte"/>
                <w:rFonts w:hint="eastAsia"/>
                <w:rtl/>
              </w:rPr>
              <w:t>الشكل</w:t>
            </w:r>
            <w:r w:rsidR="00E12AF7" w:rsidRPr="008D22A6">
              <w:rPr>
                <w:rStyle w:val="Lienhypertexte"/>
                <w:rtl/>
              </w:rPr>
              <w:t xml:space="preserve"> (1-0): </w:t>
            </w:r>
            <w:r w:rsidR="00E12AF7" w:rsidRPr="008D22A6">
              <w:rPr>
                <w:rStyle w:val="Lienhypertexte"/>
                <w:rFonts w:hint="eastAsia"/>
                <w:rtl/>
              </w:rPr>
              <w:t>الهيكل</w:t>
            </w:r>
            <w:r w:rsidR="00E12AF7" w:rsidRPr="008D22A6">
              <w:rPr>
                <w:rStyle w:val="Lienhypertexte"/>
                <w:rtl/>
              </w:rPr>
              <w:t xml:space="preserve"> </w:t>
            </w:r>
            <w:r w:rsidR="00E12AF7" w:rsidRPr="008D22A6">
              <w:rPr>
                <w:rStyle w:val="Lienhypertexte"/>
                <w:rFonts w:hint="eastAsia"/>
                <w:rtl/>
              </w:rPr>
              <w:t>العام</w:t>
            </w:r>
            <w:r w:rsidR="00E12AF7" w:rsidRPr="008D22A6">
              <w:rPr>
                <w:rStyle w:val="Lienhypertexte"/>
                <w:rtl/>
              </w:rPr>
              <w:t xml:space="preserve"> </w:t>
            </w:r>
            <w:r w:rsidR="00E12AF7" w:rsidRPr="008D22A6">
              <w:rPr>
                <w:rStyle w:val="Lienhypertexte"/>
                <w:rFonts w:hint="eastAsia"/>
                <w:rtl/>
              </w:rPr>
              <w:t>للأطروحة</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_Toc171803304 \h </w:instrText>
            </w:r>
            <w:r w:rsidR="00E12AF7">
              <w:rPr>
                <w:webHidden/>
              </w:rPr>
            </w:r>
            <w:r w:rsidR="00E12AF7">
              <w:rPr>
                <w:webHidden/>
              </w:rPr>
              <w:fldChar w:fldCharType="separate"/>
            </w:r>
            <w:r>
              <w:rPr>
                <w:webHidden/>
                <w:rtl/>
                <w:lang w:bidi="ar-SA"/>
              </w:rPr>
              <w:t>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06" w:history="1">
            <w:r w:rsidR="00E12AF7" w:rsidRPr="008D22A6">
              <w:rPr>
                <w:rStyle w:val="Lienhypertexte"/>
                <w:rFonts w:hint="eastAsia"/>
                <w:rtl/>
              </w:rPr>
              <w:t>الجزء</w:t>
            </w:r>
            <w:r w:rsidR="00E12AF7" w:rsidRPr="008D22A6">
              <w:rPr>
                <w:rStyle w:val="Lienhypertexte"/>
                <w:rtl/>
              </w:rPr>
              <w:t xml:space="preserve"> </w:t>
            </w:r>
            <w:r w:rsidR="00E12AF7" w:rsidRPr="008D22A6">
              <w:rPr>
                <w:rStyle w:val="Lienhypertexte"/>
                <w:rFonts w:hint="eastAsia"/>
                <w:rtl/>
              </w:rPr>
              <w:t>الثاني</w:t>
            </w:r>
            <w:r w:rsidR="00E12AF7" w:rsidRPr="008D22A6">
              <w:rPr>
                <w:rStyle w:val="Lienhypertexte"/>
                <w:rtl/>
              </w:rPr>
              <w:t>:</w:t>
            </w:r>
          </w:hyperlink>
          <w:r w:rsidR="00E12AF7">
            <w:rPr>
              <w:rFonts w:hint="cs"/>
              <w:rtl/>
            </w:rPr>
            <w:t xml:space="preserve"> </w:t>
          </w:r>
          <w:hyperlink w:anchor="_Toc171803307" w:history="1">
            <w:r w:rsidR="00E12AF7" w:rsidRPr="008D22A6">
              <w:rPr>
                <w:rStyle w:val="Lienhypertexte"/>
                <w:rFonts w:hint="eastAsia"/>
                <w:rtl/>
              </w:rPr>
              <w:t>الاطار</w:t>
            </w:r>
            <w:r w:rsidR="00E12AF7" w:rsidRPr="008D22A6">
              <w:rPr>
                <w:rStyle w:val="Lienhypertexte"/>
                <w:rtl/>
              </w:rPr>
              <w:t xml:space="preserve"> </w:t>
            </w:r>
            <w:r w:rsidR="00E12AF7" w:rsidRPr="008D22A6">
              <w:rPr>
                <w:rStyle w:val="Lienhypertexte"/>
                <w:rFonts w:hint="eastAsia"/>
                <w:rtl/>
              </w:rPr>
              <w:t>النظري</w:t>
            </w:r>
            <w:r w:rsidR="00E12AF7" w:rsidRPr="008D22A6">
              <w:rPr>
                <w:rStyle w:val="Lienhypertexte"/>
                <w:rtl/>
              </w:rPr>
              <w:t xml:space="preserve"> </w:t>
            </w:r>
            <w:r w:rsidR="00E12AF7" w:rsidRPr="008D22A6">
              <w:rPr>
                <w:rStyle w:val="Lienhypertexte"/>
                <w:rFonts w:hint="eastAsia"/>
                <w:rtl/>
              </w:rPr>
              <w:t>للبحث</w:t>
            </w:r>
          </w:hyperlink>
        </w:p>
        <w:p w:rsidR="00E12AF7" w:rsidRDefault="00B62F86" w:rsidP="009579D2">
          <w:pPr>
            <w:pStyle w:val="TM1"/>
            <w:rPr>
              <w:rFonts w:asciiTheme="minorHAnsi" w:hAnsiTheme="minorHAnsi" w:cstheme="minorBidi"/>
              <w:color w:val="auto"/>
              <w:lang w:val="fr-FR" w:bidi="ar-SA"/>
            </w:rPr>
          </w:pPr>
          <w:hyperlink w:anchor="_Toc171803308" w:history="1">
            <w:r w:rsidR="00E12AF7" w:rsidRPr="008D22A6">
              <w:rPr>
                <w:rStyle w:val="Lienhypertexte"/>
                <w:rFonts w:hint="eastAsia"/>
                <w:rtl/>
              </w:rPr>
              <w:t>الفصل</w:t>
            </w:r>
            <w:r w:rsidR="00E12AF7" w:rsidRPr="008D22A6">
              <w:rPr>
                <w:rStyle w:val="Lienhypertexte"/>
                <w:rtl/>
              </w:rPr>
              <w:t xml:space="preserve"> 1: </w:t>
            </w:r>
            <w:r w:rsidR="00E12AF7" w:rsidRPr="008D22A6">
              <w:rPr>
                <w:rStyle w:val="Lienhypertexte"/>
                <w:rFonts w:hint="eastAsia"/>
                <w:rtl/>
              </w:rPr>
              <w:t>علاقة</w:t>
            </w:r>
            <w:r w:rsidR="00E12AF7" w:rsidRPr="008D22A6">
              <w:rPr>
                <w:rStyle w:val="Lienhypertexte"/>
                <w:rtl/>
              </w:rPr>
              <w:t xml:space="preserve"> </w:t>
            </w:r>
            <w:r w:rsidR="00E12AF7" w:rsidRPr="008D22A6">
              <w:rPr>
                <w:rStyle w:val="Lienhypertexte"/>
                <w:rFonts w:hint="eastAsia"/>
                <w:rtl/>
              </w:rPr>
              <w:t>استعمالات</w:t>
            </w:r>
            <w:r w:rsidR="00E12AF7" w:rsidRPr="008D22A6">
              <w:rPr>
                <w:rStyle w:val="Lienhypertexte"/>
                <w:rtl/>
              </w:rPr>
              <w:t xml:space="preserve"> </w:t>
            </w:r>
            <w:r w:rsidR="00E12AF7" w:rsidRPr="008D22A6">
              <w:rPr>
                <w:rStyle w:val="Lienhypertexte"/>
                <w:rFonts w:hint="eastAsia"/>
                <w:rtl/>
              </w:rPr>
              <w:t>الاراضي</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بمفهوم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hyperlink>
        </w:p>
        <w:p w:rsidR="00E12AF7" w:rsidRDefault="00B62F86" w:rsidP="009579D2">
          <w:pPr>
            <w:pStyle w:val="TM1"/>
            <w:rPr>
              <w:rFonts w:asciiTheme="minorHAnsi" w:hAnsiTheme="minorHAnsi" w:cstheme="minorBidi"/>
              <w:color w:val="auto"/>
              <w:lang w:val="fr-FR" w:bidi="ar-SA"/>
            </w:rPr>
          </w:pPr>
          <w:hyperlink w:anchor="_Toc171803321" w:history="1">
            <w:r w:rsidR="00E12AF7" w:rsidRPr="008D22A6">
              <w:rPr>
                <w:rStyle w:val="Lienhypertexte"/>
                <w:rFonts w:hint="eastAsia"/>
                <w:rtl/>
              </w:rPr>
              <w:t>الشكل</w:t>
            </w:r>
            <w:r w:rsidR="00E12AF7" w:rsidRPr="008D22A6">
              <w:rPr>
                <w:rStyle w:val="Lienhypertexte"/>
                <w:rtl/>
              </w:rPr>
              <w:t xml:space="preserve"> (1-1): </w:t>
            </w:r>
            <w:r w:rsidR="00E12AF7" w:rsidRPr="008D22A6">
              <w:rPr>
                <w:rStyle w:val="Lienhypertexte"/>
                <w:rFonts w:hint="eastAsia"/>
                <w:rtl/>
              </w:rPr>
              <w:t>مفهوم</w:t>
            </w:r>
            <w:r w:rsidR="00E12AF7" w:rsidRPr="008D22A6">
              <w:rPr>
                <w:rStyle w:val="Lienhypertexte"/>
                <w:rtl/>
              </w:rPr>
              <w:t xml:space="preserve"> </w:t>
            </w:r>
            <w:r w:rsidR="00E12AF7" w:rsidRPr="008D22A6">
              <w:rPr>
                <w:rStyle w:val="Lienhypertexte"/>
                <w:rFonts w:hint="eastAsia"/>
                <w:rtl/>
              </w:rPr>
              <w:t>استعمالات</w:t>
            </w:r>
            <w:r w:rsidR="00E12AF7" w:rsidRPr="008D22A6">
              <w:rPr>
                <w:rStyle w:val="Lienhypertexte"/>
                <w:rtl/>
              </w:rPr>
              <w:t xml:space="preserve"> </w:t>
            </w:r>
            <w:r w:rsidR="00E12AF7" w:rsidRPr="008D22A6">
              <w:rPr>
                <w:rStyle w:val="Lienhypertexte"/>
                <w:rFonts w:hint="eastAsia"/>
                <w:rtl/>
              </w:rPr>
              <w:t>الأرض</w:t>
            </w:r>
            <w:r w:rsidR="00E12AF7" w:rsidRPr="008D22A6">
              <w:rPr>
                <w:rStyle w:val="Lienhypertexte"/>
                <w:rtl/>
              </w:rPr>
              <w:t xml:space="preserve"> </w:t>
            </w:r>
            <w:r w:rsidR="00E12AF7" w:rsidRPr="008D22A6">
              <w:rPr>
                <w:rStyle w:val="Lienhypertexte"/>
                <w:rFonts w:hint="eastAsia"/>
                <w:rtl/>
              </w:rPr>
              <w:t>في</w:t>
            </w:r>
            <w:r w:rsidR="00E12AF7" w:rsidRPr="008D22A6">
              <w:rPr>
                <w:rStyle w:val="Lienhypertexte"/>
                <w:rtl/>
              </w:rPr>
              <w:t xml:space="preserve"> </w:t>
            </w:r>
            <w:r w:rsidR="00E12AF7" w:rsidRPr="008D22A6">
              <w:rPr>
                <w:rStyle w:val="Lienhypertexte"/>
                <w:rFonts w:hint="eastAsia"/>
                <w:rtl/>
              </w:rPr>
              <w:t>التخطيط</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الحديث</w:t>
            </w:r>
            <w:r w:rsidR="00E12AF7" w:rsidRPr="008D22A6">
              <w:rPr>
                <w:rStyle w:val="Lienhypertexte"/>
                <w:rtl/>
              </w:rPr>
              <w:t>.</w:t>
            </w:r>
            <w:r w:rsidR="00ED0409" w:rsidRPr="00ED0409">
              <w:t xml:space="preserve"> </w:t>
            </w:r>
            <w:r w:rsidR="00ED0409" w:rsidRPr="00ED0409">
              <w:rPr>
                <w:rStyle w:val="Lienhypertexte"/>
              </w:rPr>
              <w:t>…………………………………………...</w:t>
            </w:r>
            <w:r w:rsidR="00E12AF7">
              <w:rPr>
                <w:webHidden/>
              </w:rPr>
              <w:tab/>
            </w:r>
            <w:r w:rsidR="00E12AF7">
              <w:rPr>
                <w:webHidden/>
              </w:rPr>
              <w:fldChar w:fldCharType="begin"/>
            </w:r>
            <w:r w:rsidR="00E12AF7">
              <w:rPr>
                <w:webHidden/>
              </w:rPr>
              <w:instrText xml:space="preserve"> PAGEREF _Toc171803321 \h </w:instrText>
            </w:r>
            <w:r w:rsidR="00E12AF7">
              <w:rPr>
                <w:webHidden/>
              </w:rPr>
            </w:r>
            <w:r w:rsidR="00E12AF7">
              <w:rPr>
                <w:webHidden/>
              </w:rPr>
              <w:fldChar w:fldCharType="separate"/>
            </w:r>
            <w:r>
              <w:rPr>
                <w:webHidden/>
                <w:rtl/>
                <w:lang w:bidi="ar-SA"/>
              </w:rPr>
              <w:t>12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33" w:history="1">
            <w:r w:rsidR="00E12AF7" w:rsidRPr="008D22A6">
              <w:rPr>
                <w:rStyle w:val="Lienhypertexte"/>
                <w:rFonts w:hint="eastAsia"/>
                <w:rtl/>
              </w:rPr>
              <w:t>الشكل</w:t>
            </w:r>
            <w:r w:rsidR="00E12AF7" w:rsidRPr="008D22A6">
              <w:rPr>
                <w:rStyle w:val="Lienhypertexte"/>
                <w:rtl/>
              </w:rPr>
              <w:t xml:space="preserve"> (1-2): </w:t>
            </w:r>
            <w:r w:rsidR="00E12AF7" w:rsidRPr="008D22A6">
              <w:rPr>
                <w:rStyle w:val="Lienhypertexte"/>
                <w:rFonts w:hint="eastAsia"/>
                <w:rtl/>
              </w:rPr>
              <w:t>اهمية</w:t>
            </w:r>
            <w:r w:rsidR="00E12AF7" w:rsidRPr="008D22A6">
              <w:rPr>
                <w:rStyle w:val="Lienhypertexte"/>
                <w:rtl/>
              </w:rPr>
              <w:t xml:space="preserve"> </w:t>
            </w:r>
            <w:r w:rsidR="00E12AF7" w:rsidRPr="008D22A6">
              <w:rPr>
                <w:rStyle w:val="Lienhypertexte"/>
                <w:rFonts w:hint="eastAsia"/>
                <w:rtl/>
              </w:rPr>
              <w:t>المساحات</w:t>
            </w:r>
            <w:r w:rsidR="00E12AF7" w:rsidRPr="008D22A6">
              <w:rPr>
                <w:rStyle w:val="Lienhypertexte"/>
                <w:rtl/>
              </w:rPr>
              <w:t xml:space="preserve"> </w:t>
            </w:r>
            <w:r w:rsidR="00E12AF7" w:rsidRPr="008D22A6">
              <w:rPr>
                <w:rStyle w:val="Lienhypertexte"/>
                <w:rFonts w:hint="eastAsia"/>
                <w:rtl/>
              </w:rPr>
              <w:t>المفتوحة</w:t>
            </w:r>
            <w:r w:rsidR="00E12AF7" w:rsidRPr="008D22A6">
              <w:rPr>
                <w:rStyle w:val="Lienhypertexte"/>
                <w:rtl/>
              </w:rPr>
              <w:t xml:space="preserve"> </w:t>
            </w:r>
            <w:r w:rsidR="00E12AF7" w:rsidRPr="008D22A6">
              <w:rPr>
                <w:rStyle w:val="Lienhypertexte"/>
                <w:rFonts w:hint="eastAsia"/>
                <w:rtl/>
              </w:rPr>
              <w:t>في</w:t>
            </w:r>
            <w:r w:rsidR="00E12AF7" w:rsidRPr="008D22A6">
              <w:rPr>
                <w:rStyle w:val="Lienhypertexte"/>
                <w:rtl/>
              </w:rPr>
              <w:t xml:space="preserve"> </w:t>
            </w:r>
            <w:r w:rsidR="00E12AF7" w:rsidRPr="008D22A6">
              <w:rPr>
                <w:rStyle w:val="Lienhypertexte"/>
                <w:rFonts w:hint="eastAsia"/>
                <w:rtl/>
              </w:rPr>
              <w:t>تسهيل</w:t>
            </w:r>
            <w:r w:rsidR="00E12AF7" w:rsidRPr="008D22A6">
              <w:rPr>
                <w:rStyle w:val="Lienhypertexte"/>
                <w:rtl/>
              </w:rPr>
              <w:t xml:space="preserve"> </w:t>
            </w:r>
            <w:r w:rsidR="00E12AF7" w:rsidRPr="008D22A6">
              <w:rPr>
                <w:rStyle w:val="Lienhypertexte"/>
                <w:rFonts w:hint="eastAsia"/>
                <w:rtl/>
              </w:rPr>
              <w:t>الوصول</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_Toc171803333 \h </w:instrText>
            </w:r>
            <w:r w:rsidR="00E12AF7">
              <w:rPr>
                <w:webHidden/>
              </w:rPr>
            </w:r>
            <w:r w:rsidR="00E12AF7">
              <w:rPr>
                <w:webHidden/>
              </w:rPr>
              <w:fldChar w:fldCharType="separate"/>
            </w:r>
            <w:r>
              <w:rPr>
                <w:webHidden/>
                <w:rtl/>
                <w:lang w:bidi="ar-SA"/>
              </w:rPr>
              <w:t>16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37" w:history="1">
            <w:r w:rsidR="00E12AF7" w:rsidRPr="008D22A6">
              <w:rPr>
                <w:rStyle w:val="Lienhypertexte"/>
                <w:rFonts w:hint="eastAsia"/>
                <w:rtl/>
              </w:rPr>
              <w:t>الشكل</w:t>
            </w:r>
            <w:r w:rsidR="00E12AF7" w:rsidRPr="008D22A6">
              <w:rPr>
                <w:rStyle w:val="Lienhypertexte"/>
                <w:rtl/>
              </w:rPr>
              <w:t xml:space="preserve"> (1-3): </w:t>
            </w:r>
            <w:r w:rsidR="00E12AF7" w:rsidRPr="008D22A6">
              <w:rPr>
                <w:rStyle w:val="Lienhypertexte"/>
                <w:rFonts w:hint="eastAsia"/>
                <w:rtl/>
              </w:rPr>
              <w:t>مختلف</w:t>
            </w:r>
            <w:r w:rsidR="00E12AF7" w:rsidRPr="008D22A6">
              <w:rPr>
                <w:rStyle w:val="Lienhypertexte"/>
                <w:rtl/>
              </w:rPr>
              <w:t xml:space="preserve"> </w:t>
            </w:r>
            <w:r w:rsidR="00E12AF7" w:rsidRPr="008D22A6">
              <w:rPr>
                <w:rStyle w:val="Lienhypertexte"/>
                <w:rFonts w:hint="eastAsia"/>
                <w:rtl/>
              </w:rPr>
              <w:t>ابعاد</w:t>
            </w:r>
            <w:r w:rsidR="00E12AF7" w:rsidRPr="008D22A6">
              <w:rPr>
                <w:rStyle w:val="Lienhypertexte"/>
                <w:rtl/>
              </w:rPr>
              <w:t xml:space="preserve"> </w:t>
            </w:r>
            <w:r w:rsidR="00E12AF7" w:rsidRPr="008D22A6">
              <w:rPr>
                <w:rStyle w:val="Lienhypertexte"/>
                <w:rFonts w:hint="eastAsia"/>
                <w:rtl/>
              </w:rPr>
              <w:t>تعدد</w:t>
            </w:r>
            <w:r w:rsidR="00E12AF7" w:rsidRPr="008D22A6">
              <w:rPr>
                <w:rStyle w:val="Lienhypertexte"/>
                <w:rtl/>
              </w:rPr>
              <w:t xml:space="preserve"> </w:t>
            </w:r>
            <w:r w:rsidR="00E12AF7" w:rsidRPr="008D22A6">
              <w:rPr>
                <w:rStyle w:val="Lienhypertexte"/>
                <w:rFonts w:hint="eastAsia"/>
                <w:rtl/>
              </w:rPr>
              <w:t>استعمال</w:t>
            </w:r>
            <w:r w:rsidR="00E12AF7" w:rsidRPr="008D22A6">
              <w:rPr>
                <w:rStyle w:val="Lienhypertexte"/>
                <w:rtl/>
              </w:rPr>
              <w:t xml:space="preserve"> </w:t>
            </w:r>
            <w:r w:rsidR="00E12AF7" w:rsidRPr="008D22A6">
              <w:rPr>
                <w:rStyle w:val="Lienhypertexte"/>
                <w:rFonts w:hint="eastAsia"/>
                <w:rtl/>
              </w:rPr>
              <w:t>الارض</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_Toc171803337 \h </w:instrText>
            </w:r>
            <w:r w:rsidR="00E12AF7">
              <w:rPr>
                <w:webHidden/>
              </w:rPr>
            </w:r>
            <w:r w:rsidR="00E12AF7">
              <w:rPr>
                <w:webHidden/>
              </w:rPr>
              <w:fldChar w:fldCharType="separate"/>
            </w:r>
            <w:r>
              <w:rPr>
                <w:webHidden/>
                <w:rtl/>
                <w:lang w:bidi="ar-SA"/>
              </w:rPr>
              <w:t>18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46" w:history="1">
            <w:r w:rsidR="00E12AF7" w:rsidRPr="008D22A6">
              <w:rPr>
                <w:rStyle w:val="Lienhypertexte"/>
                <w:rFonts w:hint="eastAsia"/>
                <w:rtl/>
              </w:rPr>
              <w:t>الشكل</w:t>
            </w:r>
            <w:r w:rsidR="00E12AF7" w:rsidRPr="008D22A6">
              <w:rPr>
                <w:rStyle w:val="Lienhypertexte"/>
                <w:rtl/>
              </w:rPr>
              <w:t xml:space="preserve"> (1</w:t>
            </w:r>
            <w:r w:rsidR="00E12AF7" w:rsidRPr="008D22A6">
              <w:rPr>
                <w:rStyle w:val="Lienhypertexte"/>
              </w:rPr>
              <w:t>-</w:t>
            </w:r>
            <w:r w:rsidR="00E12AF7" w:rsidRPr="008D22A6">
              <w:rPr>
                <w:rStyle w:val="Lienhypertexte"/>
                <w:rtl/>
              </w:rPr>
              <w:t xml:space="preserve">4): </w:t>
            </w:r>
            <w:r w:rsidR="00E12AF7" w:rsidRPr="008D22A6">
              <w:rPr>
                <w:rStyle w:val="Lienhypertexte"/>
                <w:rFonts w:hint="eastAsia"/>
                <w:rtl/>
              </w:rPr>
              <w:t>العوامل</w:t>
            </w:r>
            <w:r w:rsidR="00E12AF7" w:rsidRPr="008D22A6">
              <w:rPr>
                <w:rStyle w:val="Lienhypertexte"/>
              </w:rPr>
              <w:t xml:space="preserve"> </w:t>
            </w:r>
            <w:r w:rsidR="00E12AF7" w:rsidRPr="008D22A6">
              <w:rPr>
                <w:rStyle w:val="Lienhypertexte"/>
                <w:rFonts w:hint="eastAsia"/>
                <w:rtl/>
              </w:rPr>
              <w:t>المؤثرة</w:t>
            </w:r>
            <w:r w:rsidR="00E12AF7" w:rsidRPr="008D22A6">
              <w:rPr>
                <w:rStyle w:val="Lienhypertexte"/>
              </w:rPr>
              <w:t xml:space="preserve"> </w:t>
            </w:r>
            <w:r w:rsidR="00E12AF7" w:rsidRPr="008D22A6">
              <w:rPr>
                <w:rStyle w:val="Lienhypertexte"/>
                <w:rFonts w:hint="eastAsia"/>
                <w:rtl/>
              </w:rPr>
              <w:t>في</w:t>
            </w:r>
            <w:r w:rsidR="00E12AF7" w:rsidRPr="008D22A6">
              <w:rPr>
                <w:rStyle w:val="Lienhypertexte"/>
                <w:rtl/>
              </w:rPr>
              <w:t xml:space="preserve"> </w:t>
            </w:r>
            <w:r w:rsidR="00E12AF7" w:rsidRPr="008D22A6">
              <w:rPr>
                <w:rStyle w:val="Lienhypertexte"/>
                <w:rFonts w:hint="eastAsia"/>
                <w:rtl/>
              </w:rPr>
              <w:t>استعمالات</w:t>
            </w:r>
            <w:r w:rsidR="00E12AF7" w:rsidRPr="008D22A6">
              <w:rPr>
                <w:rStyle w:val="Lienhypertexte"/>
                <w:rtl/>
              </w:rPr>
              <w:t xml:space="preserve"> </w:t>
            </w:r>
            <w:r w:rsidR="00E12AF7" w:rsidRPr="008D22A6">
              <w:rPr>
                <w:rStyle w:val="Lienhypertexte"/>
                <w:rFonts w:hint="eastAsia"/>
                <w:rtl/>
              </w:rPr>
              <w:t>الأرض</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_Toc171803346 \h </w:instrText>
            </w:r>
            <w:r w:rsidR="00E12AF7">
              <w:rPr>
                <w:webHidden/>
              </w:rPr>
            </w:r>
            <w:r w:rsidR="00E12AF7">
              <w:rPr>
                <w:webHidden/>
              </w:rPr>
              <w:fldChar w:fldCharType="separate"/>
            </w:r>
            <w:r>
              <w:rPr>
                <w:webHidden/>
                <w:rtl/>
                <w:lang w:bidi="ar-SA"/>
              </w:rPr>
              <w:t>19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53" w:history="1">
            <w:r w:rsidR="00E12AF7" w:rsidRPr="008D22A6">
              <w:rPr>
                <w:rStyle w:val="Lienhypertexte"/>
                <w:rFonts w:hint="eastAsia"/>
                <w:rtl/>
              </w:rPr>
              <w:t>الشكل</w:t>
            </w:r>
            <w:r w:rsidR="00E12AF7" w:rsidRPr="008D22A6">
              <w:rPr>
                <w:rStyle w:val="Lienhypertexte"/>
                <w:rtl/>
              </w:rPr>
              <w:t xml:space="preserve"> (1-5): </w:t>
            </w:r>
            <w:r w:rsidR="00E12AF7" w:rsidRPr="008D22A6">
              <w:rPr>
                <w:rStyle w:val="Lienhypertexte"/>
                <w:rFonts w:hint="eastAsia"/>
                <w:rtl/>
              </w:rPr>
              <w:t>تعدد</w:t>
            </w:r>
            <w:r w:rsidR="00E12AF7" w:rsidRPr="008D22A6">
              <w:rPr>
                <w:rStyle w:val="Lienhypertexte"/>
                <w:rtl/>
              </w:rPr>
              <w:t xml:space="preserve"> </w:t>
            </w:r>
            <w:r w:rsidR="00E12AF7" w:rsidRPr="008D22A6">
              <w:rPr>
                <w:rStyle w:val="Lienhypertexte"/>
                <w:rFonts w:hint="eastAsia"/>
                <w:rtl/>
              </w:rPr>
              <w:t>التخصصات</w:t>
            </w:r>
            <w:r w:rsidR="00E12AF7" w:rsidRPr="008D22A6">
              <w:rPr>
                <w:rStyle w:val="Lienhypertexte"/>
                <w:rtl/>
              </w:rPr>
              <w:t xml:space="preserve"> </w:t>
            </w:r>
            <w:r w:rsidR="00E12AF7" w:rsidRPr="008D22A6">
              <w:rPr>
                <w:rStyle w:val="Lienhypertexte"/>
                <w:rFonts w:hint="eastAsia"/>
                <w:rtl/>
              </w:rPr>
              <w:t>التي</w:t>
            </w:r>
            <w:r w:rsidR="00E12AF7" w:rsidRPr="008D22A6">
              <w:rPr>
                <w:rStyle w:val="Lienhypertexte"/>
                <w:rtl/>
              </w:rPr>
              <w:t xml:space="preserve"> </w:t>
            </w:r>
            <w:r w:rsidR="00E12AF7" w:rsidRPr="008D22A6">
              <w:rPr>
                <w:rStyle w:val="Lienhypertexte"/>
                <w:rFonts w:hint="eastAsia"/>
                <w:rtl/>
              </w:rPr>
              <w:t>تستخدم</w:t>
            </w:r>
            <w:r w:rsidR="00E12AF7" w:rsidRPr="008D22A6">
              <w:rPr>
                <w:rStyle w:val="Lienhypertexte"/>
                <w:rtl/>
              </w:rPr>
              <w:t xml:space="preserve"> </w:t>
            </w:r>
            <w:r w:rsidR="00E12AF7" w:rsidRPr="008D22A6">
              <w:rPr>
                <w:rStyle w:val="Lienhypertexte"/>
                <w:rFonts w:hint="eastAsia"/>
                <w:rtl/>
              </w:rPr>
              <w:t>مفهوم</w:t>
            </w:r>
            <w:r w:rsidR="00E12AF7" w:rsidRPr="008D22A6">
              <w:rPr>
                <w:rStyle w:val="Lienhypertexte"/>
                <w:rtl/>
              </w:rPr>
              <w:t xml:space="preserve"> </w:t>
            </w:r>
            <w:r w:rsidR="00E12AF7" w:rsidRPr="008D22A6">
              <w:rPr>
                <w:rStyle w:val="Lienhypertexte"/>
                <w:rFonts w:hint="eastAsia"/>
                <w:rtl/>
              </w:rPr>
              <w:t>المرونة</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_Toc171803353 \h </w:instrText>
            </w:r>
            <w:r w:rsidR="00E12AF7">
              <w:rPr>
                <w:webHidden/>
              </w:rPr>
            </w:r>
            <w:r w:rsidR="00E12AF7">
              <w:rPr>
                <w:webHidden/>
              </w:rPr>
              <w:fldChar w:fldCharType="separate"/>
            </w:r>
            <w:r>
              <w:rPr>
                <w:webHidden/>
                <w:rtl/>
                <w:lang w:bidi="ar-SA"/>
              </w:rPr>
              <w:t>21</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59" w:history="1">
            <w:r w:rsidR="00E12AF7" w:rsidRPr="008D22A6">
              <w:rPr>
                <w:rStyle w:val="Lienhypertexte"/>
                <w:rFonts w:hint="eastAsia"/>
                <w:rtl/>
              </w:rPr>
              <w:t>الشكل</w:t>
            </w:r>
            <w:r w:rsidR="00E12AF7" w:rsidRPr="008D22A6">
              <w:rPr>
                <w:rStyle w:val="Lienhypertexte"/>
                <w:rtl/>
              </w:rPr>
              <w:t xml:space="preserve"> (1-6): </w:t>
            </w:r>
            <w:r w:rsidR="00E12AF7" w:rsidRPr="008D22A6">
              <w:rPr>
                <w:rStyle w:val="Lienhypertexte"/>
                <w:rFonts w:hint="eastAsia"/>
                <w:rtl/>
              </w:rPr>
              <w:t>يوضح</w:t>
            </w:r>
            <w:r w:rsidR="00E12AF7" w:rsidRPr="008D22A6">
              <w:rPr>
                <w:rStyle w:val="Lienhypertexte"/>
              </w:rPr>
              <w:t xml:space="preserve"> </w:t>
            </w:r>
            <w:r w:rsidR="00E12AF7" w:rsidRPr="008D22A6">
              <w:rPr>
                <w:rStyle w:val="Lienhypertexte"/>
                <w:rFonts w:hint="eastAsia"/>
                <w:rtl/>
              </w:rPr>
              <w:t>مفهوم</w:t>
            </w:r>
            <w:r w:rsidR="00E12AF7" w:rsidRPr="008D22A6">
              <w:rPr>
                <w:rStyle w:val="Lienhypertexte"/>
              </w:rPr>
              <w:t xml:space="preserve"> </w:t>
            </w:r>
            <w:r w:rsidR="00E12AF7" w:rsidRPr="008D22A6">
              <w:rPr>
                <w:rStyle w:val="Lienhypertexte"/>
                <w:rFonts w:hint="eastAsia"/>
                <w:rtl/>
              </w:rPr>
              <w:t>المرونة</w:t>
            </w:r>
            <w:r w:rsidR="00E12AF7" w:rsidRPr="008D22A6">
              <w:rPr>
                <w:rStyle w:val="Lienhypertexte"/>
              </w:rPr>
              <w:t xml:space="preserve"> </w:t>
            </w:r>
            <w:r w:rsidR="00E12AF7" w:rsidRPr="008D22A6">
              <w:rPr>
                <w:rStyle w:val="Lienhypertexte"/>
                <w:rFonts w:hint="eastAsia"/>
                <w:rtl/>
              </w:rPr>
              <w:t>ومستويات</w:t>
            </w:r>
            <w:r w:rsidR="00E12AF7" w:rsidRPr="008D22A6">
              <w:rPr>
                <w:rStyle w:val="Lienhypertexte"/>
              </w:rPr>
              <w:t xml:space="preserve"> </w:t>
            </w:r>
            <w:r w:rsidR="00E12AF7" w:rsidRPr="008D22A6">
              <w:rPr>
                <w:rStyle w:val="Lienhypertexte"/>
                <w:rFonts w:hint="eastAsia"/>
                <w:rtl/>
              </w:rPr>
              <w:t>قياسها</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_Toc171803359 \h </w:instrText>
            </w:r>
            <w:r w:rsidR="00E12AF7">
              <w:rPr>
                <w:webHidden/>
              </w:rPr>
            </w:r>
            <w:r w:rsidR="00E12AF7">
              <w:rPr>
                <w:webHidden/>
              </w:rPr>
              <w:fldChar w:fldCharType="separate"/>
            </w:r>
            <w:r>
              <w:rPr>
                <w:webHidden/>
                <w:rtl/>
                <w:lang w:bidi="ar-SA"/>
              </w:rPr>
              <w:t>23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70" w:history="1">
            <w:r w:rsidR="00E12AF7" w:rsidRPr="008D22A6">
              <w:rPr>
                <w:rStyle w:val="Lienhypertexte"/>
                <w:rFonts w:hint="eastAsia"/>
                <w:rtl/>
              </w:rPr>
              <w:t>الشكل</w:t>
            </w:r>
            <w:r w:rsidR="00E12AF7" w:rsidRPr="008D22A6">
              <w:rPr>
                <w:rStyle w:val="Lienhypertexte"/>
                <w:rtl/>
              </w:rPr>
              <w:t xml:space="preserve"> (1-7): </w:t>
            </w:r>
            <w:r w:rsidR="00E12AF7" w:rsidRPr="008D22A6">
              <w:rPr>
                <w:rStyle w:val="Lienhypertexte"/>
                <w:rFonts w:hint="eastAsia"/>
                <w:rtl/>
              </w:rPr>
              <w:t>تطور</w:t>
            </w:r>
            <w:r w:rsidR="00E12AF7" w:rsidRPr="008D22A6">
              <w:rPr>
                <w:rStyle w:val="Lienhypertexte"/>
                <w:rtl/>
              </w:rPr>
              <w:t xml:space="preserve"> </w:t>
            </w:r>
            <w:r w:rsidR="00E12AF7" w:rsidRPr="008D22A6">
              <w:rPr>
                <w:rStyle w:val="Lienhypertexte"/>
                <w:rFonts w:hint="eastAsia"/>
                <w:rtl/>
              </w:rPr>
              <w:t>مفهوم</w:t>
            </w:r>
            <w:r w:rsidR="00E12AF7" w:rsidRPr="008D22A6">
              <w:rPr>
                <w:rStyle w:val="Lienhypertexte"/>
                <w:rtl/>
              </w:rPr>
              <w:t xml:space="preserve"> </w:t>
            </w:r>
            <w:r w:rsidR="00E12AF7" w:rsidRPr="008D22A6">
              <w:rPr>
                <w:rStyle w:val="Lienhypertexte"/>
                <w:rFonts w:hint="eastAsia"/>
                <w:rtl/>
              </w:rPr>
              <w:t>تسيير</w:t>
            </w:r>
            <w:r w:rsidR="00E12AF7" w:rsidRPr="008D22A6">
              <w:rPr>
                <w:rStyle w:val="Lienhypertexte"/>
                <w:rtl/>
              </w:rPr>
              <w:t xml:space="preserve"> </w:t>
            </w:r>
            <w:r w:rsidR="00E12AF7" w:rsidRPr="008D22A6">
              <w:rPr>
                <w:rStyle w:val="Lienhypertexte"/>
                <w:rFonts w:hint="eastAsia"/>
                <w:rtl/>
              </w:rPr>
              <w:t>المخاطر</w:t>
            </w:r>
            <w:r w:rsidR="00ED0409" w:rsidRPr="00ED0409">
              <w:rPr>
                <w:rStyle w:val="Lienhypertexte"/>
                <w:rtl/>
              </w:rPr>
              <w:t>………………………………………………………………</w:t>
            </w:r>
            <w:r w:rsidR="008246D9">
              <w:rPr>
                <w:rStyle w:val="Lienhypertexte"/>
                <w:rFonts w:hint="cs"/>
                <w:rtl/>
              </w:rPr>
              <w:t>.</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_Toc171803370 \h </w:instrText>
            </w:r>
            <w:r w:rsidR="00E12AF7">
              <w:rPr>
                <w:webHidden/>
              </w:rPr>
            </w:r>
            <w:r w:rsidR="00E12AF7">
              <w:rPr>
                <w:webHidden/>
              </w:rPr>
              <w:fldChar w:fldCharType="separate"/>
            </w:r>
            <w:r>
              <w:rPr>
                <w:webHidden/>
                <w:rtl/>
                <w:lang w:bidi="ar-SA"/>
              </w:rPr>
              <w:t>26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76" w:history="1">
            <w:r w:rsidR="00E12AF7" w:rsidRPr="008D22A6">
              <w:rPr>
                <w:rStyle w:val="Lienhypertexte"/>
                <w:rFonts w:hint="eastAsia"/>
                <w:rtl/>
              </w:rPr>
              <w:t>الشكل</w:t>
            </w:r>
            <w:r w:rsidR="00E12AF7" w:rsidRPr="008D22A6">
              <w:rPr>
                <w:rStyle w:val="Lienhypertexte"/>
                <w:rtl/>
              </w:rPr>
              <w:t xml:space="preserve"> (1-8): </w:t>
            </w:r>
            <w:r w:rsidR="00E12AF7" w:rsidRPr="008D22A6">
              <w:rPr>
                <w:rStyle w:val="Lienhypertexte"/>
                <w:rFonts w:hint="eastAsia"/>
                <w:rtl/>
              </w:rPr>
              <w:t>المقبولات</w:t>
            </w:r>
            <w:r w:rsidR="00E12AF7" w:rsidRPr="008D22A6">
              <w:rPr>
                <w:rStyle w:val="Lienhypertexte"/>
                <w:rtl/>
              </w:rPr>
              <w:t xml:space="preserve"> </w:t>
            </w:r>
            <w:r w:rsidR="00E12AF7" w:rsidRPr="008D22A6">
              <w:rPr>
                <w:rStyle w:val="Lienhypertexte"/>
                <w:rFonts w:hint="eastAsia"/>
                <w:rtl/>
              </w:rPr>
              <w:t>المختلفة</w:t>
            </w:r>
            <w:r w:rsidR="00E12AF7" w:rsidRPr="008D22A6">
              <w:rPr>
                <w:rStyle w:val="Lienhypertexte"/>
                <w:rtl/>
              </w:rPr>
              <w:t xml:space="preserve"> </w:t>
            </w:r>
            <w:r w:rsidR="00E12AF7" w:rsidRPr="008D22A6">
              <w:rPr>
                <w:rStyle w:val="Lienhypertexte"/>
                <w:rFonts w:hint="eastAsia"/>
                <w:rtl/>
              </w:rPr>
              <w:t>لعلاقة</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بالضعف</w:t>
            </w:r>
            <w:r w:rsidR="00E12AF7" w:rsidRPr="008D22A6">
              <w:rPr>
                <w:rStyle w:val="Lienhypertexte"/>
                <w:rtl/>
              </w:rPr>
              <w:t xml:space="preserve"> </w:t>
            </w:r>
            <w:r w:rsidR="00E12AF7" w:rsidRPr="008D22A6">
              <w:rPr>
                <w:rStyle w:val="Lienhypertexte"/>
                <w:rFonts w:hint="eastAsia"/>
                <w:rtl/>
              </w:rPr>
              <w:t>وبقدرة</w:t>
            </w:r>
            <w:r w:rsidR="00E12AF7" w:rsidRPr="008D22A6">
              <w:rPr>
                <w:rStyle w:val="Lienhypertexte"/>
                <w:rtl/>
              </w:rPr>
              <w:t xml:space="preserve"> </w:t>
            </w:r>
            <w:r w:rsidR="00E12AF7" w:rsidRPr="008D22A6">
              <w:rPr>
                <w:rStyle w:val="Lienhypertexte"/>
                <w:rFonts w:hint="eastAsia"/>
                <w:rtl/>
              </w:rPr>
              <w:t>التكيف</w:t>
            </w:r>
            <w:r w:rsidR="00ED0409" w:rsidRPr="00ED0409">
              <w:rPr>
                <w:rStyle w:val="Lienhypertexte"/>
                <w:rtl/>
              </w:rPr>
              <w:t>……………………………………</w:t>
            </w:r>
            <w:r w:rsidR="008246D9">
              <w:rPr>
                <w:rStyle w:val="Lienhypertexte"/>
                <w:rFonts w:hint="cs"/>
                <w:rtl/>
              </w:rPr>
              <w:t>.</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_Toc171803376 \h </w:instrText>
            </w:r>
            <w:r w:rsidR="00E12AF7">
              <w:rPr>
                <w:webHidden/>
              </w:rPr>
            </w:r>
            <w:r w:rsidR="00E12AF7">
              <w:rPr>
                <w:webHidden/>
              </w:rPr>
              <w:fldChar w:fldCharType="separate"/>
            </w:r>
            <w:r>
              <w:rPr>
                <w:webHidden/>
                <w:rtl/>
                <w:lang w:bidi="ar-SA"/>
              </w:rPr>
              <w:t>28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77" w:history="1">
            <w:r w:rsidR="00E12AF7" w:rsidRPr="008D22A6">
              <w:rPr>
                <w:rStyle w:val="Lienhypertexte"/>
                <w:rFonts w:hint="eastAsia"/>
                <w:rtl/>
              </w:rPr>
              <w:t>الشكل</w:t>
            </w:r>
            <w:r w:rsidR="00E12AF7" w:rsidRPr="008D22A6">
              <w:rPr>
                <w:rStyle w:val="Lienhypertexte"/>
                <w:rtl/>
              </w:rPr>
              <w:t xml:space="preserve"> (1-9): </w:t>
            </w:r>
            <w:r w:rsidR="00E12AF7" w:rsidRPr="008D22A6">
              <w:rPr>
                <w:rStyle w:val="Lienhypertexte"/>
                <w:rFonts w:hint="eastAsia"/>
                <w:rtl/>
              </w:rPr>
              <w:t>المفهوم</w:t>
            </w:r>
            <w:r w:rsidR="00E12AF7" w:rsidRPr="008D22A6">
              <w:rPr>
                <w:rStyle w:val="Lienhypertexte"/>
                <w:rtl/>
              </w:rPr>
              <w:t xml:space="preserve"> </w:t>
            </w:r>
            <w:r w:rsidR="00E12AF7" w:rsidRPr="008D22A6">
              <w:rPr>
                <w:rStyle w:val="Lienhypertexte"/>
                <w:rFonts w:hint="eastAsia"/>
                <w:rtl/>
              </w:rPr>
              <w:t>الأساسي</w:t>
            </w:r>
            <w:r w:rsidR="00E12AF7" w:rsidRPr="008D22A6">
              <w:rPr>
                <w:rStyle w:val="Lienhypertexte"/>
                <w:rtl/>
              </w:rPr>
              <w:t xml:space="preserve"> </w:t>
            </w:r>
            <w:r w:rsidR="00E12AF7" w:rsidRPr="008D22A6">
              <w:rPr>
                <w:rStyle w:val="Lienhypertexte"/>
                <w:rFonts w:hint="eastAsia"/>
                <w:rtl/>
              </w:rPr>
              <w:t>للضعف</w:t>
            </w:r>
            <w:r w:rsidR="00E12AF7" w:rsidRPr="008D22A6">
              <w:rPr>
                <w:rStyle w:val="Lienhypertexte"/>
                <w:rtl/>
              </w:rPr>
              <w:t xml:space="preserve"> </w:t>
            </w:r>
            <w:r w:rsidR="00E12AF7" w:rsidRPr="008D22A6">
              <w:rPr>
                <w:rStyle w:val="Lienhypertexte"/>
                <w:rFonts w:hint="eastAsia"/>
                <w:rtl/>
              </w:rPr>
              <w:t>والمرونة</w:t>
            </w:r>
            <w:r w:rsidR="00ED0409" w:rsidRPr="00ED0409">
              <w:rPr>
                <w:rStyle w:val="Lienhypertexte"/>
                <w:rtl/>
              </w:rPr>
              <w:t>………………………………………………</w:t>
            </w:r>
            <w:r w:rsidR="00ED0409">
              <w:rPr>
                <w:rStyle w:val="Lienhypertexte"/>
                <w:rFonts w:hint="cs"/>
                <w:rtl/>
              </w:rPr>
              <w:t>.</w:t>
            </w:r>
            <w:r w:rsidR="00ED0409" w:rsidRPr="00ED0409">
              <w:rPr>
                <w:rStyle w:val="Lienhypertexte"/>
                <w:rtl/>
              </w:rPr>
              <w:t>…………</w:t>
            </w:r>
            <w:r w:rsidR="008246D9">
              <w:rPr>
                <w:rStyle w:val="Lienhypertexte"/>
                <w:rFonts w:hint="cs"/>
                <w:rtl/>
              </w:rPr>
              <w:t>..</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_Toc171803377 \h </w:instrText>
            </w:r>
            <w:r w:rsidR="00E12AF7">
              <w:rPr>
                <w:webHidden/>
              </w:rPr>
            </w:r>
            <w:r w:rsidR="00E12AF7">
              <w:rPr>
                <w:webHidden/>
              </w:rPr>
              <w:fldChar w:fldCharType="separate"/>
            </w:r>
            <w:r>
              <w:rPr>
                <w:webHidden/>
                <w:rtl/>
                <w:lang w:bidi="ar-SA"/>
              </w:rPr>
              <w:t>28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78" w:history="1">
            <w:r w:rsidR="00E12AF7" w:rsidRPr="008D22A6">
              <w:rPr>
                <w:rStyle w:val="Lienhypertexte"/>
                <w:rFonts w:hint="eastAsia"/>
                <w:rtl/>
              </w:rPr>
              <w:t>الشكل</w:t>
            </w:r>
            <w:r w:rsidR="00E12AF7" w:rsidRPr="008D22A6">
              <w:rPr>
                <w:rStyle w:val="Lienhypertexte"/>
                <w:rtl/>
              </w:rPr>
              <w:t xml:space="preserve"> (1-10). </w:t>
            </w:r>
            <w:r w:rsidR="00E12AF7" w:rsidRPr="008D22A6">
              <w:rPr>
                <w:rStyle w:val="Lienhypertexte"/>
                <w:rFonts w:hint="eastAsia"/>
                <w:rtl/>
              </w:rPr>
              <w:t>العلاقة</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مفهوم</w:t>
            </w:r>
            <w:r w:rsidR="00E12AF7" w:rsidRPr="008D22A6">
              <w:rPr>
                <w:rStyle w:val="Lienhypertexte"/>
                <w:rtl/>
              </w:rPr>
              <w:t xml:space="preserve"> </w:t>
            </w:r>
            <w:r w:rsidR="00E12AF7" w:rsidRPr="008D22A6">
              <w:rPr>
                <w:rStyle w:val="Lienhypertexte"/>
                <w:rFonts w:hint="eastAsia"/>
                <w:rtl/>
              </w:rPr>
              <w:t>الضعف</w:t>
            </w:r>
            <w:r w:rsidR="00E12AF7" w:rsidRPr="008D22A6">
              <w:rPr>
                <w:rStyle w:val="Lienhypertexte"/>
                <w:rtl/>
              </w:rPr>
              <w:t xml:space="preserve"> </w:t>
            </w:r>
            <w:r w:rsidR="00E12AF7" w:rsidRPr="008D22A6">
              <w:rPr>
                <w:rStyle w:val="Lienhypertexte"/>
                <w:rFonts w:hint="eastAsia"/>
                <w:rtl/>
              </w:rPr>
              <w:t>والمرونة</w:t>
            </w:r>
            <w:r w:rsidR="00E12AF7" w:rsidRPr="008D22A6">
              <w:rPr>
                <w:rStyle w:val="Lienhypertexte"/>
                <w:rtl/>
              </w:rPr>
              <w:t xml:space="preserve"> </w:t>
            </w:r>
            <w:r w:rsidR="00E12AF7" w:rsidRPr="008D22A6">
              <w:rPr>
                <w:rStyle w:val="Lienhypertexte"/>
                <w:rFonts w:hint="eastAsia"/>
                <w:rtl/>
              </w:rPr>
              <w:t>والقدرة</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الاستجابة</w:t>
            </w:r>
            <w:r w:rsidR="00E12AF7" w:rsidRPr="008D22A6">
              <w:rPr>
                <w:rStyle w:val="Lienhypertexte"/>
                <w:rtl/>
              </w:rPr>
              <w:t xml:space="preserve"> </w:t>
            </w:r>
            <w:r w:rsidR="00E12AF7" w:rsidRPr="008D22A6">
              <w:rPr>
                <w:rStyle w:val="Lienhypertexte"/>
                <w:rFonts w:hint="eastAsia"/>
                <w:rtl/>
              </w:rPr>
              <w:t>من</w:t>
            </w:r>
            <w:r w:rsidR="00E12AF7" w:rsidRPr="008D22A6">
              <w:rPr>
                <w:rStyle w:val="Lienhypertexte"/>
                <w:rtl/>
              </w:rPr>
              <w:t xml:space="preserve"> </w:t>
            </w:r>
            <w:r w:rsidR="00E12AF7" w:rsidRPr="008D22A6">
              <w:rPr>
                <w:rStyle w:val="Lienhypertexte"/>
                <w:rFonts w:hint="eastAsia"/>
                <w:rtl/>
              </w:rPr>
              <w:t>وجهة</w:t>
            </w:r>
            <w:r w:rsidR="00E12AF7" w:rsidRPr="008D22A6">
              <w:rPr>
                <w:rStyle w:val="Lienhypertexte"/>
                <w:rtl/>
              </w:rPr>
              <w:t xml:space="preserve"> </w:t>
            </w:r>
            <w:r w:rsidR="00E12AF7" w:rsidRPr="008D22A6">
              <w:rPr>
                <w:rStyle w:val="Lienhypertexte"/>
                <w:rFonts w:hint="eastAsia"/>
                <w:rtl/>
              </w:rPr>
              <w:t>نظر</w:t>
            </w:r>
            <w:r w:rsidR="00E12AF7" w:rsidRPr="008D22A6">
              <w:rPr>
                <w:rStyle w:val="Lienhypertexte"/>
                <w:rtl/>
              </w:rPr>
              <w:t xml:space="preserve"> </w:t>
            </w:r>
            <w:r w:rsidR="00E12AF7" w:rsidRPr="008D22A6">
              <w:rPr>
                <w:rStyle w:val="Lienhypertexte"/>
                <w:rFonts w:hint="eastAsia"/>
                <w:rtl/>
              </w:rPr>
              <w:t>البحث</w:t>
            </w:r>
            <w:r w:rsidR="00E12AF7" w:rsidRPr="008D22A6">
              <w:rPr>
                <w:rStyle w:val="Lienhypertexte"/>
                <w:rtl/>
              </w:rPr>
              <w:t>.</w:t>
            </w:r>
            <w:r w:rsidR="00ED0409" w:rsidRPr="00ED0409">
              <w:t xml:space="preserve"> </w:t>
            </w:r>
            <w:r w:rsidR="00ED0409" w:rsidRPr="00ED0409">
              <w:rPr>
                <w:rStyle w:val="Lienhypertexte"/>
              </w:rPr>
              <w:t>……</w:t>
            </w:r>
            <w:r w:rsidR="008246D9">
              <w:rPr>
                <w:rStyle w:val="Lienhypertexte"/>
                <w:rFonts w:hint="cs"/>
                <w:rtl/>
              </w:rPr>
              <w:t>..</w:t>
            </w:r>
            <w:r w:rsidR="00ED0409" w:rsidRPr="00ED0409">
              <w:rPr>
                <w:rStyle w:val="Lienhypertexte"/>
              </w:rPr>
              <w:t>……………</w:t>
            </w:r>
            <w:r w:rsidR="00E12AF7">
              <w:rPr>
                <w:webHidden/>
              </w:rPr>
              <w:tab/>
            </w:r>
            <w:r w:rsidR="00E12AF7">
              <w:rPr>
                <w:webHidden/>
              </w:rPr>
              <w:fldChar w:fldCharType="begin"/>
            </w:r>
            <w:r w:rsidR="00E12AF7">
              <w:rPr>
                <w:webHidden/>
              </w:rPr>
              <w:instrText xml:space="preserve"> PAGEREF _Toc171803378 \h </w:instrText>
            </w:r>
            <w:r w:rsidR="00E12AF7">
              <w:rPr>
                <w:webHidden/>
              </w:rPr>
            </w:r>
            <w:r w:rsidR="00E12AF7">
              <w:rPr>
                <w:webHidden/>
              </w:rPr>
              <w:fldChar w:fldCharType="separate"/>
            </w:r>
            <w:r>
              <w:rPr>
                <w:webHidden/>
                <w:rtl/>
                <w:lang w:bidi="ar-SA"/>
              </w:rPr>
              <w:t>29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82" w:history="1">
            <w:r w:rsidR="00E12AF7" w:rsidRPr="008D22A6">
              <w:rPr>
                <w:rStyle w:val="Lienhypertexte"/>
                <w:rFonts w:hint="eastAsia"/>
                <w:rtl/>
              </w:rPr>
              <w:t>الشكل</w:t>
            </w:r>
            <w:r w:rsidR="00E12AF7" w:rsidRPr="008D22A6">
              <w:rPr>
                <w:rStyle w:val="Lienhypertexte"/>
                <w:rtl/>
              </w:rPr>
              <w:t xml:space="preserve"> (1-11): </w:t>
            </w:r>
            <w:r w:rsidR="00E12AF7" w:rsidRPr="008D22A6">
              <w:rPr>
                <w:rStyle w:val="Lienhypertexte"/>
                <w:rFonts w:hint="eastAsia"/>
                <w:rtl/>
              </w:rPr>
              <w:t>قدرات</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المختلفة</w:t>
            </w:r>
            <w:r w:rsidR="00E12AF7" w:rsidRPr="008D22A6">
              <w:rPr>
                <w:rStyle w:val="Lienhypertexte"/>
                <w:rtl/>
              </w:rPr>
              <w:t xml:space="preserve"> </w:t>
            </w:r>
            <w:r w:rsidR="00E12AF7" w:rsidRPr="008D22A6">
              <w:rPr>
                <w:rStyle w:val="Lienhypertexte"/>
                <w:rFonts w:hint="eastAsia"/>
                <w:rtl/>
              </w:rPr>
              <w:t>عبر</w:t>
            </w:r>
            <w:r w:rsidR="00E12AF7" w:rsidRPr="008D22A6">
              <w:rPr>
                <w:rStyle w:val="Lienhypertexte"/>
                <w:rtl/>
              </w:rPr>
              <w:t xml:space="preserve"> </w:t>
            </w:r>
            <w:r w:rsidR="00E12AF7" w:rsidRPr="008D22A6">
              <w:rPr>
                <w:rStyle w:val="Lienhypertexte"/>
                <w:rFonts w:hint="eastAsia"/>
                <w:rtl/>
              </w:rPr>
              <w:t>الزمن</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_Toc171803382 \h </w:instrText>
            </w:r>
            <w:r w:rsidR="00E12AF7">
              <w:rPr>
                <w:webHidden/>
              </w:rPr>
            </w:r>
            <w:r w:rsidR="00E12AF7">
              <w:rPr>
                <w:webHidden/>
              </w:rPr>
              <w:fldChar w:fldCharType="separate"/>
            </w:r>
            <w:r>
              <w:rPr>
                <w:webHidden/>
                <w:rtl/>
                <w:lang w:bidi="ar-SA"/>
              </w:rPr>
              <w:t>30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84" w:history="1">
            <w:r w:rsidR="00E12AF7" w:rsidRPr="008D22A6">
              <w:rPr>
                <w:rStyle w:val="Lienhypertexte"/>
                <w:rFonts w:hint="eastAsia"/>
                <w:rtl/>
              </w:rPr>
              <w:t>الشكل</w:t>
            </w:r>
            <w:r w:rsidR="00E12AF7" w:rsidRPr="008D22A6">
              <w:rPr>
                <w:rStyle w:val="Lienhypertexte"/>
                <w:rtl/>
              </w:rPr>
              <w:t xml:space="preserve"> (1-12). </w:t>
            </w:r>
            <w:r w:rsidR="00E12AF7" w:rsidRPr="008D22A6">
              <w:rPr>
                <w:rStyle w:val="Lienhypertexte"/>
                <w:rFonts w:hint="eastAsia"/>
                <w:rtl/>
              </w:rPr>
              <w:t>نسب</w:t>
            </w:r>
            <w:r w:rsidR="00E12AF7" w:rsidRPr="008D22A6">
              <w:rPr>
                <w:rStyle w:val="Lienhypertexte"/>
                <w:rtl/>
              </w:rPr>
              <w:t xml:space="preserve"> </w:t>
            </w:r>
            <w:r w:rsidR="00E12AF7" w:rsidRPr="008D22A6">
              <w:rPr>
                <w:rStyle w:val="Lienhypertexte"/>
                <w:rFonts w:hint="eastAsia"/>
                <w:rtl/>
              </w:rPr>
              <w:t>مئوية</w:t>
            </w:r>
            <w:r w:rsidR="00E12AF7" w:rsidRPr="008D22A6">
              <w:rPr>
                <w:rStyle w:val="Lienhypertexte"/>
                <w:rtl/>
              </w:rPr>
              <w:t xml:space="preserve"> </w:t>
            </w:r>
            <w:r w:rsidR="00E12AF7" w:rsidRPr="008D22A6">
              <w:rPr>
                <w:rStyle w:val="Lienhypertexte"/>
                <w:rFonts w:hint="eastAsia"/>
                <w:rtl/>
              </w:rPr>
              <w:t>لأهم</w:t>
            </w:r>
            <w:r w:rsidR="00E12AF7" w:rsidRPr="008D22A6">
              <w:rPr>
                <w:rStyle w:val="Lienhypertexte"/>
                <w:rtl/>
              </w:rPr>
              <w:t xml:space="preserve"> 24 </w:t>
            </w:r>
            <w:r w:rsidR="00E12AF7" w:rsidRPr="008D22A6">
              <w:rPr>
                <w:rStyle w:val="Lienhypertexte"/>
                <w:rFonts w:hint="eastAsia"/>
                <w:rtl/>
              </w:rPr>
              <w:t>سمة</w:t>
            </w:r>
            <w:r w:rsidR="00E12AF7" w:rsidRPr="008D22A6">
              <w:rPr>
                <w:rStyle w:val="Lienhypertexte"/>
                <w:rtl/>
              </w:rPr>
              <w:t xml:space="preserve"> (</w:t>
            </w:r>
            <w:r w:rsidR="00E12AF7" w:rsidRPr="008D22A6">
              <w:rPr>
                <w:rStyle w:val="Lienhypertexte"/>
                <w:rFonts w:hint="eastAsia"/>
                <w:rtl/>
              </w:rPr>
              <w:t>مبدأ</w:t>
            </w:r>
            <w:r w:rsidR="00E12AF7" w:rsidRPr="008D22A6">
              <w:rPr>
                <w:rStyle w:val="Lienhypertexte"/>
                <w:rtl/>
              </w:rPr>
              <w:t xml:space="preserve">) </w:t>
            </w:r>
            <w:r w:rsidR="00E12AF7" w:rsidRPr="008D22A6">
              <w:rPr>
                <w:rStyle w:val="Lienhypertexte"/>
                <w:rFonts w:hint="eastAsia"/>
                <w:rtl/>
              </w:rPr>
              <w:t>مرونة</w:t>
            </w:r>
            <w:r w:rsidR="00E12AF7" w:rsidRPr="008D22A6">
              <w:rPr>
                <w:rStyle w:val="Lienhypertexte"/>
                <w:rtl/>
              </w:rPr>
              <w:t xml:space="preserve"> </w:t>
            </w:r>
            <w:r w:rsidR="00E12AF7" w:rsidRPr="008D22A6">
              <w:rPr>
                <w:rStyle w:val="Lienhypertexte"/>
                <w:rFonts w:hint="eastAsia"/>
                <w:rtl/>
              </w:rPr>
              <w:t>من</w:t>
            </w:r>
            <w:r w:rsidR="00E12AF7" w:rsidRPr="008D22A6">
              <w:rPr>
                <w:rStyle w:val="Lienhypertexte"/>
                <w:rtl/>
              </w:rPr>
              <w:t xml:space="preserve"> </w:t>
            </w:r>
            <w:r w:rsidR="00E12AF7" w:rsidRPr="008D22A6">
              <w:rPr>
                <w:rStyle w:val="Lienhypertexte"/>
                <w:rFonts w:hint="eastAsia"/>
                <w:rtl/>
              </w:rPr>
              <w:t>إجمالي</w:t>
            </w:r>
            <w:r w:rsidR="00E12AF7" w:rsidRPr="008D22A6">
              <w:rPr>
                <w:rStyle w:val="Lienhypertexte"/>
                <w:rtl/>
              </w:rPr>
              <w:t xml:space="preserve"> </w:t>
            </w:r>
            <w:r w:rsidR="00E12AF7" w:rsidRPr="008D22A6">
              <w:rPr>
                <w:rStyle w:val="Lienhypertexte"/>
                <w:rFonts w:hint="eastAsia"/>
                <w:rtl/>
              </w:rPr>
              <w:t>المنشورات</w:t>
            </w:r>
            <w:r w:rsidR="00ED0409" w:rsidRPr="00ED0409">
              <w:rPr>
                <w:rStyle w:val="Lienhypertexte"/>
                <w:rtl/>
              </w:rPr>
              <w:t>………………………</w:t>
            </w:r>
            <w:r w:rsidR="008246D9">
              <w:rPr>
                <w:rStyle w:val="Lienhypertexte"/>
                <w:rFonts w:hint="cs"/>
                <w:rtl/>
              </w:rPr>
              <w:t>.</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_Toc171803384 \h </w:instrText>
            </w:r>
            <w:r w:rsidR="00E12AF7">
              <w:rPr>
                <w:webHidden/>
              </w:rPr>
            </w:r>
            <w:r w:rsidR="00E12AF7">
              <w:rPr>
                <w:webHidden/>
              </w:rPr>
              <w:fldChar w:fldCharType="separate"/>
            </w:r>
            <w:r>
              <w:rPr>
                <w:webHidden/>
                <w:rtl/>
                <w:lang w:bidi="ar-SA"/>
              </w:rPr>
              <w:t>31</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85" w:history="1">
            <w:r w:rsidR="00E12AF7" w:rsidRPr="008D22A6">
              <w:rPr>
                <w:rStyle w:val="Lienhypertexte"/>
                <w:rFonts w:hint="eastAsia"/>
                <w:rtl/>
              </w:rPr>
              <w:t>الشكل</w:t>
            </w:r>
            <w:r w:rsidR="00E12AF7" w:rsidRPr="008D22A6">
              <w:rPr>
                <w:rStyle w:val="Lienhypertexte"/>
                <w:rtl/>
              </w:rPr>
              <w:t xml:space="preserve"> (1-13): </w:t>
            </w:r>
            <w:r w:rsidR="00E12AF7" w:rsidRPr="008D22A6">
              <w:rPr>
                <w:rStyle w:val="Lienhypertexte"/>
                <w:rFonts w:hint="eastAsia"/>
                <w:rtl/>
              </w:rPr>
              <w:t>سمات</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المكانية</w:t>
            </w:r>
            <w:r w:rsidR="00E12AF7" w:rsidRPr="008D22A6">
              <w:rPr>
                <w:rStyle w:val="Lienhypertexte"/>
                <w:rtl/>
              </w:rPr>
              <w:t xml:space="preserve"> </w:t>
            </w:r>
            <w:r w:rsidR="00E12AF7" w:rsidRPr="008D22A6">
              <w:rPr>
                <w:rStyle w:val="Lienhypertexte"/>
                <w:rFonts w:hint="eastAsia"/>
                <w:rtl/>
              </w:rPr>
              <w:t>وفق</w:t>
            </w:r>
            <w:r w:rsidR="00E12AF7" w:rsidRPr="008D22A6">
              <w:rPr>
                <w:rStyle w:val="Lienhypertexte"/>
                <w:rtl/>
              </w:rPr>
              <w:t xml:space="preserve"> </w:t>
            </w:r>
            <w:r w:rsidR="00E12AF7" w:rsidRPr="008D22A6">
              <w:rPr>
                <w:rStyle w:val="Lienhypertexte"/>
                <w:rFonts w:hint="eastAsia"/>
                <w:rtl/>
              </w:rPr>
              <w:t>مطالعة</w:t>
            </w:r>
            <w:r w:rsidR="00E12AF7" w:rsidRPr="008D22A6">
              <w:rPr>
                <w:rStyle w:val="Lienhypertexte"/>
                <w:rtl/>
              </w:rPr>
              <w:t xml:space="preserve"> </w:t>
            </w:r>
            <w:r w:rsidR="00E12AF7" w:rsidRPr="008D22A6">
              <w:rPr>
                <w:rStyle w:val="Lienhypertexte"/>
                <w:rFonts w:hint="eastAsia"/>
                <w:rtl/>
              </w:rPr>
              <w:t>الابحاث</w:t>
            </w:r>
            <w:r w:rsidR="00ED0409" w:rsidRPr="00ED0409">
              <w:rPr>
                <w:rStyle w:val="Lienhypertexte"/>
                <w:rtl/>
              </w:rPr>
              <w:t>………………………………………</w:t>
            </w:r>
            <w:r w:rsidR="008246D9">
              <w:rPr>
                <w:rStyle w:val="Lienhypertexte"/>
                <w:rFonts w:hint="cs"/>
                <w:rtl/>
              </w:rPr>
              <w:t>...</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_Toc171803385 \h </w:instrText>
            </w:r>
            <w:r w:rsidR="00E12AF7">
              <w:rPr>
                <w:webHidden/>
              </w:rPr>
            </w:r>
            <w:r w:rsidR="00E12AF7">
              <w:rPr>
                <w:webHidden/>
              </w:rPr>
              <w:fldChar w:fldCharType="separate"/>
            </w:r>
            <w:r>
              <w:rPr>
                <w:webHidden/>
                <w:rtl/>
                <w:lang w:bidi="ar-SA"/>
              </w:rPr>
              <w:t>32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87" w:history="1">
            <w:r w:rsidR="00E12AF7" w:rsidRPr="008D22A6">
              <w:rPr>
                <w:rStyle w:val="Lienhypertexte"/>
                <w:rFonts w:hint="eastAsia"/>
                <w:rtl/>
              </w:rPr>
              <w:t>الشكل</w:t>
            </w:r>
            <w:r w:rsidR="00E12AF7" w:rsidRPr="008D22A6">
              <w:rPr>
                <w:rStyle w:val="Lienhypertexte"/>
                <w:rtl/>
              </w:rPr>
              <w:t xml:space="preserve"> (1-14): </w:t>
            </w:r>
            <w:r w:rsidR="00E12AF7" w:rsidRPr="008D22A6">
              <w:rPr>
                <w:rStyle w:val="Lienhypertexte"/>
                <w:rFonts w:hint="eastAsia"/>
                <w:rtl/>
              </w:rPr>
              <w:t>اهمية</w:t>
            </w:r>
            <w:r w:rsidR="00E12AF7" w:rsidRPr="008D22A6">
              <w:rPr>
                <w:rStyle w:val="Lienhypertexte"/>
                <w:rtl/>
              </w:rPr>
              <w:t xml:space="preserve"> </w:t>
            </w:r>
            <w:r w:rsidR="00E12AF7" w:rsidRPr="008D22A6">
              <w:rPr>
                <w:rStyle w:val="Lienhypertexte"/>
                <w:rFonts w:hint="eastAsia"/>
                <w:rtl/>
              </w:rPr>
              <w:t>كثافة</w:t>
            </w:r>
            <w:r w:rsidR="00E12AF7" w:rsidRPr="008D22A6">
              <w:rPr>
                <w:rStyle w:val="Lienhypertexte"/>
                <w:rtl/>
              </w:rPr>
              <w:t xml:space="preserve"> </w:t>
            </w:r>
            <w:r w:rsidR="00E12AF7" w:rsidRPr="008D22A6">
              <w:rPr>
                <w:rStyle w:val="Lienhypertexte"/>
                <w:rFonts w:hint="eastAsia"/>
                <w:rtl/>
              </w:rPr>
              <w:t>البناء</w:t>
            </w:r>
            <w:r w:rsidR="00E12AF7" w:rsidRPr="008D22A6">
              <w:rPr>
                <w:rStyle w:val="Lienhypertexte"/>
                <w:rtl/>
              </w:rPr>
              <w:t xml:space="preserve"> </w:t>
            </w:r>
            <w:r w:rsidR="00E12AF7" w:rsidRPr="008D22A6">
              <w:rPr>
                <w:rStyle w:val="Lienhypertexte"/>
                <w:rFonts w:hint="eastAsia"/>
                <w:rtl/>
              </w:rPr>
              <w:t>في</w:t>
            </w:r>
            <w:r w:rsidR="00E12AF7" w:rsidRPr="008D22A6">
              <w:rPr>
                <w:rStyle w:val="Lienhypertexte"/>
                <w:rtl/>
              </w:rPr>
              <w:t xml:space="preserve"> </w:t>
            </w:r>
            <w:r w:rsidR="00E12AF7" w:rsidRPr="008D22A6">
              <w:rPr>
                <w:rStyle w:val="Lienhypertexte"/>
                <w:rFonts w:hint="eastAsia"/>
                <w:rtl/>
              </w:rPr>
              <w:t>تحديد</w:t>
            </w:r>
            <w:r w:rsidR="00E12AF7" w:rsidRPr="008D22A6">
              <w:rPr>
                <w:rStyle w:val="Lienhypertexte"/>
                <w:rtl/>
              </w:rPr>
              <w:t xml:space="preserve"> </w:t>
            </w:r>
            <w:r w:rsidR="00E12AF7" w:rsidRPr="008D22A6">
              <w:rPr>
                <w:rStyle w:val="Lienhypertexte"/>
                <w:rFonts w:hint="eastAsia"/>
                <w:rtl/>
              </w:rPr>
              <w:t>مستويات</w:t>
            </w:r>
            <w:r w:rsidR="00E12AF7" w:rsidRPr="008D22A6">
              <w:rPr>
                <w:rStyle w:val="Lienhypertexte"/>
                <w:rtl/>
              </w:rPr>
              <w:t xml:space="preserve"> </w:t>
            </w:r>
            <w:r w:rsidR="00E12AF7" w:rsidRPr="008D22A6">
              <w:rPr>
                <w:rStyle w:val="Lienhypertexte"/>
                <w:rFonts w:hint="eastAsia"/>
                <w:rtl/>
              </w:rPr>
              <w:t>المرونة</w:t>
            </w:r>
            <w:r w:rsidR="00ED0409" w:rsidRPr="00ED0409">
              <w:rPr>
                <w:rStyle w:val="Lienhypertexte"/>
                <w:rtl/>
              </w:rPr>
              <w:t>………………………………………</w:t>
            </w:r>
            <w:r w:rsidR="008246D9">
              <w:rPr>
                <w:rStyle w:val="Lienhypertexte"/>
                <w:rFonts w:hint="cs"/>
                <w:rtl/>
              </w:rPr>
              <w:t>....</w:t>
            </w:r>
            <w:r w:rsidR="00ED0409" w:rsidRPr="00ED0409">
              <w:rPr>
                <w:rStyle w:val="Lienhypertexte"/>
                <w:rtl/>
              </w:rPr>
              <w:t>………...</w:t>
            </w:r>
            <w:r w:rsidR="00E12AF7">
              <w:rPr>
                <w:webHidden/>
              </w:rPr>
              <w:tab/>
            </w:r>
            <w:r w:rsidR="00E12AF7">
              <w:rPr>
                <w:webHidden/>
              </w:rPr>
              <w:fldChar w:fldCharType="begin"/>
            </w:r>
            <w:r w:rsidR="00E12AF7">
              <w:rPr>
                <w:webHidden/>
              </w:rPr>
              <w:instrText xml:space="preserve"> PAGEREF _Toc171803387 \h </w:instrText>
            </w:r>
            <w:r w:rsidR="00E12AF7">
              <w:rPr>
                <w:webHidden/>
              </w:rPr>
            </w:r>
            <w:r w:rsidR="00E12AF7">
              <w:rPr>
                <w:webHidden/>
              </w:rPr>
              <w:fldChar w:fldCharType="separate"/>
            </w:r>
            <w:r>
              <w:rPr>
                <w:webHidden/>
                <w:rtl/>
                <w:lang w:bidi="ar-SA"/>
              </w:rPr>
              <w:t>33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89" w:history="1">
            <w:r w:rsidR="00E12AF7" w:rsidRPr="008D22A6">
              <w:rPr>
                <w:rStyle w:val="Lienhypertexte"/>
                <w:rFonts w:hint="eastAsia"/>
                <w:rtl/>
              </w:rPr>
              <w:t>الشكل</w:t>
            </w:r>
            <w:r w:rsidR="00E12AF7" w:rsidRPr="008D22A6">
              <w:rPr>
                <w:rStyle w:val="Lienhypertexte"/>
                <w:rtl/>
              </w:rPr>
              <w:t xml:space="preserve"> (1-15): </w:t>
            </w:r>
            <w:r w:rsidR="00E12AF7" w:rsidRPr="008D22A6">
              <w:rPr>
                <w:rStyle w:val="Lienhypertexte"/>
                <w:rFonts w:hint="eastAsia"/>
                <w:rtl/>
              </w:rPr>
              <w:t>تنوع</w:t>
            </w:r>
            <w:r w:rsidR="00E12AF7" w:rsidRPr="008D22A6">
              <w:rPr>
                <w:rStyle w:val="Lienhypertexte"/>
                <w:rtl/>
              </w:rPr>
              <w:t xml:space="preserve"> </w:t>
            </w:r>
            <w:r w:rsidR="00E12AF7" w:rsidRPr="008D22A6">
              <w:rPr>
                <w:rStyle w:val="Lienhypertexte"/>
                <w:rFonts w:hint="eastAsia"/>
                <w:rtl/>
              </w:rPr>
              <w:t>استعمالات</w:t>
            </w:r>
            <w:r w:rsidR="00E12AF7" w:rsidRPr="008D22A6">
              <w:rPr>
                <w:rStyle w:val="Lienhypertexte"/>
              </w:rPr>
              <w:t xml:space="preserve"> </w:t>
            </w:r>
            <w:r w:rsidR="00E12AF7" w:rsidRPr="008D22A6">
              <w:rPr>
                <w:rStyle w:val="Lienhypertexte"/>
                <w:rFonts w:hint="eastAsia"/>
                <w:rtl/>
              </w:rPr>
              <w:t>الأرض</w:t>
            </w:r>
            <w:r w:rsidR="00E12AF7" w:rsidRPr="008D22A6">
              <w:rPr>
                <w:rStyle w:val="Lienhypertexte"/>
                <w:rtl/>
              </w:rPr>
              <w:t xml:space="preserve"> </w:t>
            </w:r>
            <w:r w:rsidR="00E12AF7" w:rsidRPr="008D22A6">
              <w:rPr>
                <w:rStyle w:val="Lienhypertexte"/>
                <w:rFonts w:hint="eastAsia"/>
                <w:rtl/>
              </w:rPr>
              <w:t>بمدينة</w:t>
            </w:r>
            <w:r w:rsidR="00E12AF7" w:rsidRPr="008D22A6">
              <w:rPr>
                <w:rStyle w:val="Lienhypertexte"/>
                <w:rtl/>
              </w:rPr>
              <w:t xml:space="preserve"> </w:t>
            </w:r>
            <w:r w:rsidR="00E12AF7" w:rsidRPr="008D22A6">
              <w:rPr>
                <w:rStyle w:val="Lienhypertexte"/>
                <w:rFonts w:hint="eastAsia"/>
                <w:rtl/>
              </w:rPr>
              <w:t>السماوة</w:t>
            </w:r>
            <w:r w:rsidR="00E12AF7" w:rsidRPr="008D22A6">
              <w:rPr>
                <w:rStyle w:val="Lienhypertexte"/>
                <w:rtl/>
              </w:rPr>
              <w:t xml:space="preserve"> </w:t>
            </w:r>
            <w:r w:rsidR="00E12AF7" w:rsidRPr="008D22A6">
              <w:rPr>
                <w:rStyle w:val="Lienhypertexte"/>
                <w:rFonts w:hint="eastAsia"/>
                <w:rtl/>
              </w:rPr>
              <w:t>حسب</w:t>
            </w:r>
            <w:r w:rsidR="00E12AF7" w:rsidRPr="008D22A6">
              <w:rPr>
                <w:rStyle w:val="Lienhypertexte"/>
                <w:rtl/>
              </w:rPr>
              <w:t xml:space="preserve"> </w:t>
            </w:r>
            <w:r w:rsidR="00E12AF7" w:rsidRPr="008D22A6">
              <w:rPr>
                <w:rStyle w:val="Lienhypertexte"/>
                <w:rFonts w:hint="eastAsia"/>
                <w:rtl/>
              </w:rPr>
              <w:t>المخطط</w:t>
            </w:r>
            <w:r w:rsidR="00E12AF7" w:rsidRPr="008D22A6">
              <w:rPr>
                <w:rStyle w:val="Lienhypertexte"/>
                <w:rtl/>
              </w:rPr>
              <w:t xml:space="preserve"> </w:t>
            </w:r>
            <w:r w:rsidR="00E12AF7" w:rsidRPr="008D22A6">
              <w:rPr>
                <w:rStyle w:val="Lienhypertexte"/>
                <w:rFonts w:hint="eastAsia"/>
                <w:rtl/>
              </w:rPr>
              <w:t>الاساس</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_Toc171803389 \h </w:instrText>
            </w:r>
            <w:r w:rsidR="00E12AF7">
              <w:rPr>
                <w:webHidden/>
              </w:rPr>
            </w:r>
            <w:r w:rsidR="00E12AF7">
              <w:rPr>
                <w:webHidden/>
              </w:rPr>
              <w:fldChar w:fldCharType="separate"/>
            </w:r>
            <w:r>
              <w:rPr>
                <w:webHidden/>
                <w:rtl/>
                <w:lang w:bidi="ar-SA"/>
              </w:rPr>
              <w:t>34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91" w:history="1">
            <w:r w:rsidR="00E12AF7" w:rsidRPr="008D22A6">
              <w:rPr>
                <w:rStyle w:val="Lienhypertexte"/>
                <w:rFonts w:hint="eastAsia"/>
                <w:rtl/>
              </w:rPr>
              <w:t>الشكل</w:t>
            </w:r>
            <w:r w:rsidR="00E12AF7" w:rsidRPr="008D22A6">
              <w:rPr>
                <w:rStyle w:val="Lienhypertexte"/>
                <w:rtl/>
              </w:rPr>
              <w:t xml:space="preserve"> (1-16): </w:t>
            </w:r>
            <w:r w:rsidR="00E12AF7" w:rsidRPr="008D22A6">
              <w:rPr>
                <w:rStyle w:val="Lienhypertexte"/>
                <w:rFonts w:hint="eastAsia"/>
                <w:rtl/>
              </w:rPr>
              <w:t>التوزيع</w:t>
            </w:r>
            <w:r w:rsidR="00E12AF7" w:rsidRPr="008D22A6">
              <w:rPr>
                <w:rStyle w:val="Lienhypertexte"/>
                <w:rtl/>
              </w:rPr>
              <w:t xml:space="preserve"> </w:t>
            </w:r>
            <w:r w:rsidR="00E12AF7" w:rsidRPr="008D22A6">
              <w:rPr>
                <w:rStyle w:val="Lienhypertexte"/>
                <w:rFonts w:hint="eastAsia"/>
                <w:rtl/>
              </w:rPr>
              <w:t>المكاني</w:t>
            </w:r>
            <w:r w:rsidR="00E12AF7" w:rsidRPr="008D22A6">
              <w:rPr>
                <w:rStyle w:val="Lienhypertexte"/>
                <w:rtl/>
              </w:rPr>
              <w:t xml:space="preserve"> </w:t>
            </w:r>
            <w:r w:rsidR="00E12AF7" w:rsidRPr="008D22A6">
              <w:rPr>
                <w:rStyle w:val="Lienhypertexte"/>
                <w:rFonts w:hint="eastAsia"/>
                <w:rtl/>
              </w:rPr>
              <w:t>لسمة</w:t>
            </w:r>
            <w:r w:rsidR="00E12AF7" w:rsidRPr="008D22A6">
              <w:rPr>
                <w:rStyle w:val="Lienhypertexte"/>
                <w:rtl/>
              </w:rPr>
              <w:t xml:space="preserve"> </w:t>
            </w:r>
            <w:r w:rsidR="00E12AF7" w:rsidRPr="008D22A6">
              <w:rPr>
                <w:rStyle w:val="Lienhypertexte"/>
                <w:rFonts w:hint="eastAsia"/>
                <w:rtl/>
              </w:rPr>
              <w:t>التكرار</w:t>
            </w:r>
            <w:r w:rsidR="00E12AF7" w:rsidRPr="008D22A6">
              <w:rPr>
                <w:rStyle w:val="Lienhypertexte"/>
                <w:rtl/>
              </w:rPr>
              <w:t xml:space="preserve"> </w:t>
            </w:r>
            <w:r w:rsidR="00E12AF7" w:rsidRPr="008D22A6">
              <w:rPr>
                <w:rStyle w:val="Lienhypertexte"/>
                <w:rFonts w:hint="eastAsia"/>
                <w:rtl/>
              </w:rPr>
              <w:t>الهيكلي</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_Toc171803391 \h </w:instrText>
            </w:r>
            <w:r w:rsidR="00E12AF7">
              <w:rPr>
                <w:webHidden/>
              </w:rPr>
            </w:r>
            <w:r w:rsidR="00E12AF7">
              <w:rPr>
                <w:webHidden/>
              </w:rPr>
              <w:fldChar w:fldCharType="separate"/>
            </w:r>
            <w:r>
              <w:rPr>
                <w:webHidden/>
                <w:rtl/>
                <w:lang w:bidi="ar-SA"/>
              </w:rPr>
              <w:t>35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92" w:history="1">
            <w:r w:rsidR="00E12AF7" w:rsidRPr="008D22A6">
              <w:rPr>
                <w:rStyle w:val="Lienhypertexte"/>
                <w:rFonts w:hint="eastAsia"/>
                <w:rtl/>
              </w:rPr>
              <w:t>الشكل</w:t>
            </w:r>
            <w:r w:rsidR="00E12AF7" w:rsidRPr="008D22A6">
              <w:rPr>
                <w:rStyle w:val="Lienhypertexte"/>
                <w:rtl/>
              </w:rPr>
              <w:t xml:space="preserve"> (1-17): </w:t>
            </w:r>
            <w:r w:rsidR="00E12AF7" w:rsidRPr="008D22A6">
              <w:rPr>
                <w:rStyle w:val="Lienhypertexte"/>
                <w:rFonts w:hint="eastAsia"/>
                <w:rtl/>
              </w:rPr>
              <w:t>التوزيع</w:t>
            </w:r>
            <w:r w:rsidR="00E12AF7" w:rsidRPr="008D22A6">
              <w:rPr>
                <w:rStyle w:val="Lienhypertexte"/>
                <w:rtl/>
              </w:rPr>
              <w:t xml:space="preserve"> </w:t>
            </w:r>
            <w:r w:rsidR="00E12AF7" w:rsidRPr="008D22A6">
              <w:rPr>
                <w:rStyle w:val="Lienhypertexte"/>
                <w:rFonts w:hint="eastAsia"/>
                <w:rtl/>
              </w:rPr>
              <w:t>المكاني</w:t>
            </w:r>
            <w:r w:rsidR="00E12AF7" w:rsidRPr="008D22A6">
              <w:rPr>
                <w:rStyle w:val="Lienhypertexte"/>
                <w:rtl/>
              </w:rPr>
              <w:t xml:space="preserve"> </w:t>
            </w:r>
            <w:r w:rsidR="00E12AF7" w:rsidRPr="008D22A6">
              <w:rPr>
                <w:rStyle w:val="Lienhypertexte"/>
                <w:rFonts w:hint="eastAsia"/>
                <w:rtl/>
              </w:rPr>
              <w:t>لنقاط</w:t>
            </w:r>
            <w:r w:rsidR="00E12AF7" w:rsidRPr="008D22A6">
              <w:rPr>
                <w:rStyle w:val="Lienhypertexte"/>
                <w:rtl/>
              </w:rPr>
              <w:t xml:space="preserve"> </w:t>
            </w:r>
            <w:r w:rsidR="00E12AF7" w:rsidRPr="008D22A6">
              <w:rPr>
                <w:rStyle w:val="Lienhypertexte"/>
                <w:rFonts w:hint="eastAsia"/>
                <w:rtl/>
              </w:rPr>
              <w:t>تقاطع</w:t>
            </w:r>
            <w:r w:rsidR="00E12AF7" w:rsidRPr="008D22A6">
              <w:rPr>
                <w:rStyle w:val="Lienhypertexte"/>
                <w:rtl/>
              </w:rPr>
              <w:t xml:space="preserve"> </w:t>
            </w:r>
            <w:r w:rsidR="00E12AF7" w:rsidRPr="008D22A6">
              <w:rPr>
                <w:rStyle w:val="Lienhypertexte"/>
                <w:rFonts w:hint="eastAsia"/>
                <w:rtl/>
              </w:rPr>
              <w:t>شبكة</w:t>
            </w:r>
            <w:r w:rsidR="00E12AF7" w:rsidRPr="008D22A6">
              <w:rPr>
                <w:rStyle w:val="Lienhypertexte"/>
                <w:rtl/>
              </w:rPr>
              <w:t xml:space="preserve"> </w:t>
            </w:r>
            <w:r w:rsidR="00E12AF7" w:rsidRPr="008D22A6">
              <w:rPr>
                <w:rStyle w:val="Lienhypertexte"/>
                <w:rFonts w:hint="eastAsia"/>
                <w:rtl/>
              </w:rPr>
              <w:t>الطرق</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_Toc171803392 \h </w:instrText>
            </w:r>
            <w:r w:rsidR="00E12AF7">
              <w:rPr>
                <w:webHidden/>
              </w:rPr>
            </w:r>
            <w:r w:rsidR="00E12AF7">
              <w:rPr>
                <w:webHidden/>
              </w:rPr>
              <w:fldChar w:fldCharType="separate"/>
            </w:r>
            <w:r>
              <w:rPr>
                <w:webHidden/>
                <w:rtl/>
                <w:lang w:bidi="ar-SA"/>
              </w:rPr>
              <w:t>35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94" w:history="1">
            <w:r w:rsidR="00E12AF7" w:rsidRPr="008D22A6">
              <w:rPr>
                <w:rStyle w:val="Lienhypertexte"/>
                <w:rFonts w:hint="eastAsia"/>
                <w:rtl/>
              </w:rPr>
              <w:t>الشكل</w:t>
            </w:r>
            <w:r w:rsidR="00E12AF7" w:rsidRPr="008D22A6">
              <w:rPr>
                <w:rStyle w:val="Lienhypertexte"/>
                <w:rtl/>
              </w:rPr>
              <w:t xml:space="preserve"> (1-18): </w:t>
            </w:r>
            <w:r w:rsidR="00E12AF7" w:rsidRPr="008D22A6">
              <w:rPr>
                <w:rStyle w:val="Lienhypertexte"/>
                <w:rFonts w:hint="eastAsia"/>
                <w:rtl/>
              </w:rPr>
              <w:t>التوزيع</w:t>
            </w:r>
            <w:r w:rsidR="00E12AF7" w:rsidRPr="008D22A6">
              <w:rPr>
                <w:rStyle w:val="Lienhypertexte"/>
                <w:rtl/>
              </w:rPr>
              <w:t xml:space="preserve"> </w:t>
            </w:r>
            <w:r w:rsidR="00E12AF7" w:rsidRPr="008D22A6">
              <w:rPr>
                <w:rStyle w:val="Lienhypertexte"/>
                <w:rFonts w:hint="eastAsia"/>
                <w:rtl/>
              </w:rPr>
              <w:t>المكاني</w:t>
            </w:r>
            <w:r w:rsidR="00E12AF7" w:rsidRPr="008D22A6">
              <w:rPr>
                <w:rStyle w:val="Lienhypertexte"/>
                <w:rtl/>
              </w:rPr>
              <w:t xml:space="preserve"> </w:t>
            </w:r>
            <w:r w:rsidR="00E12AF7" w:rsidRPr="008D22A6">
              <w:rPr>
                <w:rStyle w:val="Lienhypertexte"/>
                <w:rFonts w:hint="eastAsia"/>
                <w:rtl/>
              </w:rPr>
              <w:t>لعمق</w:t>
            </w:r>
            <w:r w:rsidR="00E12AF7" w:rsidRPr="008D22A6">
              <w:rPr>
                <w:rStyle w:val="Lienhypertexte"/>
                <w:rtl/>
              </w:rPr>
              <w:t xml:space="preserve"> </w:t>
            </w:r>
            <w:r w:rsidR="00E12AF7" w:rsidRPr="008D22A6">
              <w:rPr>
                <w:rStyle w:val="Lienhypertexte"/>
                <w:rFonts w:hint="eastAsia"/>
                <w:rtl/>
              </w:rPr>
              <w:t>الطرق</w:t>
            </w:r>
            <w:r w:rsidR="00E12AF7" w:rsidRPr="008D22A6">
              <w:rPr>
                <w:rStyle w:val="Lienhypertexte"/>
                <w:rtl/>
              </w:rPr>
              <w:t xml:space="preserve"> </w:t>
            </w:r>
            <w:r w:rsidR="00E12AF7" w:rsidRPr="008D22A6">
              <w:rPr>
                <w:rStyle w:val="Lienhypertexte"/>
                <w:rFonts w:hint="eastAsia"/>
                <w:rtl/>
              </w:rPr>
              <w:t>الشريانية</w:t>
            </w:r>
            <w:r w:rsidR="00E12AF7" w:rsidRPr="008D22A6">
              <w:rPr>
                <w:rStyle w:val="Lienhypertexte"/>
                <w:rtl/>
              </w:rPr>
              <w:t xml:space="preserve"> (</w:t>
            </w:r>
            <w:r w:rsidR="00E12AF7" w:rsidRPr="008D22A6">
              <w:rPr>
                <w:rStyle w:val="Lienhypertexte"/>
                <w:rFonts w:hint="eastAsia"/>
                <w:rtl/>
              </w:rPr>
              <w:t>الرئيسية</w:t>
            </w:r>
            <w:r w:rsidR="00E12AF7" w:rsidRPr="008D22A6">
              <w:rPr>
                <w:rStyle w:val="Lienhypertexte"/>
                <w:rtl/>
              </w:rPr>
              <w:t xml:space="preserve"> </w:t>
            </w:r>
            <w:r w:rsidR="00E12AF7" w:rsidRPr="008D22A6">
              <w:rPr>
                <w:rStyle w:val="Lienhypertexte"/>
                <w:rFonts w:hint="eastAsia"/>
                <w:rtl/>
              </w:rPr>
              <w:t>والثانوية</w:t>
            </w:r>
            <w:r w:rsidR="00E12AF7" w:rsidRPr="008D22A6">
              <w:rPr>
                <w:rStyle w:val="Lienhypertexte"/>
                <w:rtl/>
              </w:rPr>
              <w:t>)</w:t>
            </w:r>
            <w:r w:rsidR="008246D9" w:rsidRPr="008246D9">
              <w:rPr>
                <w:rtl/>
              </w:rPr>
              <w:t xml:space="preserve"> </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_Toc171803394 \h </w:instrText>
            </w:r>
            <w:r w:rsidR="00E12AF7">
              <w:rPr>
                <w:webHidden/>
              </w:rPr>
            </w:r>
            <w:r w:rsidR="00E12AF7">
              <w:rPr>
                <w:webHidden/>
              </w:rPr>
              <w:fldChar w:fldCharType="separate"/>
            </w:r>
            <w:r>
              <w:rPr>
                <w:webHidden/>
                <w:rtl/>
                <w:lang w:bidi="ar-SA"/>
              </w:rPr>
              <w:t>36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396" w:history="1">
            <w:r w:rsidR="00E12AF7" w:rsidRPr="008D22A6">
              <w:rPr>
                <w:rStyle w:val="Lienhypertexte"/>
                <w:rFonts w:hint="eastAsia"/>
                <w:rtl/>
              </w:rPr>
              <w:t>الشكل</w:t>
            </w:r>
            <w:r w:rsidR="00E12AF7" w:rsidRPr="008D22A6">
              <w:rPr>
                <w:rStyle w:val="Lienhypertexte"/>
                <w:rtl/>
              </w:rPr>
              <w:t xml:space="preserve"> (1-19): </w:t>
            </w:r>
            <w:r w:rsidR="00E12AF7" w:rsidRPr="008D22A6">
              <w:rPr>
                <w:rStyle w:val="Lienhypertexte"/>
                <w:rFonts w:hint="eastAsia"/>
                <w:rtl/>
              </w:rPr>
              <w:t>ابعاد</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تجاه</w:t>
            </w:r>
            <w:r w:rsidR="00E12AF7" w:rsidRPr="008D22A6">
              <w:rPr>
                <w:rStyle w:val="Lienhypertexte"/>
                <w:rtl/>
              </w:rPr>
              <w:t xml:space="preserve"> </w:t>
            </w:r>
            <w:r w:rsidR="00E12AF7" w:rsidRPr="008D22A6">
              <w:rPr>
                <w:rStyle w:val="Lienhypertexte"/>
                <w:rFonts w:hint="eastAsia"/>
                <w:rtl/>
              </w:rPr>
              <w:t>الكوارث</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_Toc171803396 \h </w:instrText>
            </w:r>
            <w:r w:rsidR="00E12AF7">
              <w:rPr>
                <w:webHidden/>
              </w:rPr>
            </w:r>
            <w:r w:rsidR="00E12AF7">
              <w:rPr>
                <w:webHidden/>
              </w:rPr>
              <w:fldChar w:fldCharType="separate"/>
            </w:r>
            <w:r>
              <w:rPr>
                <w:webHidden/>
                <w:rtl/>
                <w:lang w:bidi="ar-SA"/>
              </w:rPr>
              <w:t>37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05" w:history="1">
            <w:r w:rsidR="00E12AF7" w:rsidRPr="008D22A6">
              <w:rPr>
                <w:rStyle w:val="Lienhypertexte"/>
                <w:rFonts w:hint="eastAsia"/>
                <w:rtl/>
              </w:rPr>
              <w:t>الشكل</w:t>
            </w:r>
            <w:r w:rsidR="00E12AF7" w:rsidRPr="008D22A6">
              <w:rPr>
                <w:rStyle w:val="Lienhypertexte"/>
                <w:rtl/>
              </w:rPr>
              <w:t xml:space="preserve"> (1-20):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الخدمات</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مستوى</w:t>
            </w:r>
            <w:r w:rsidR="00E12AF7" w:rsidRPr="008D22A6">
              <w:rPr>
                <w:rStyle w:val="Lienhypertexte"/>
                <w:rtl/>
              </w:rPr>
              <w:t xml:space="preserve"> </w:t>
            </w:r>
            <w:r w:rsidR="00E12AF7" w:rsidRPr="008D22A6">
              <w:rPr>
                <w:rStyle w:val="Lienhypertexte"/>
                <w:rFonts w:hint="eastAsia"/>
                <w:rtl/>
              </w:rPr>
              <w:t>كل</w:t>
            </w:r>
            <w:r w:rsidR="00E12AF7" w:rsidRPr="008D22A6">
              <w:rPr>
                <w:rStyle w:val="Lienhypertexte"/>
                <w:rtl/>
              </w:rPr>
              <w:t xml:space="preserve"> </w:t>
            </w:r>
            <w:r w:rsidR="00E12AF7" w:rsidRPr="008D22A6">
              <w:rPr>
                <w:rStyle w:val="Lienhypertexte"/>
                <w:rFonts w:hint="eastAsia"/>
                <w:rtl/>
              </w:rPr>
              <w:t>وحدة</w:t>
            </w:r>
            <w:r w:rsidR="00E12AF7" w:rsidRPr="008D22A6">
              <w:rPr>
                <w:rStyle w:val="Lienhypertexte"/>
                <w:rtl/>
              </w:rPr>
              <w:t xml:space="preserve"> </w:t>
            </w:r>
            <w:r w:rsidR="00E12AF7" w:rsidRPr="008D22A6">
              <w:rPr>
                <w:rStyle w:val="Lienhypertexte"/>
                <w:rFonts w:hint="eastAsia"/>
                <w:rtl/>
              </w:rPr>
              <w:t>تخطيطية</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_Toc171803405 \h </w:instrText>
            </w:r>
            <w:r w:rsidR="00E12AF7">
              <w:rPr>
                <w:webHidden/>
              </w:rPr>
            </w:r>
            <w:r w:rsidR="00E12AF7">
              <w:rPr>
                <w:webHidden/>
              </w:rPr>
              <w:fldChar w:fldCharType="separate"/>
            </w:r>
            <w:r>
              <w:rPr>
                <w:webHidden/>
                <w:rtl/>
                <w:lang w:bidi="ar-SA"/>
              </w:rPr>
              <w:t>42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08" w:history="1">
            <w:r w:rsidR="00E12AF7" w:rsidRPr="008D22A6">
              <w:rPr>
                <w:rStyle w:val="Lienhypertexte"/>
                <w:rFonts w:hint="eastAsia"/>
                <w:rtl/>
              </w:rPr>
              <w:t>الشكل</w:t>
            </w:r>
            <w:r w:rsidR="00E12AF7" w:rsidRPr="008D22A6">
              <w:rPr>
                <w:rStyle w:val="Lienhypertexte"/>
                <w:rtl/>
              </w:rPr>
              <w:t xml:space="preserve"> (1-21): </w:t>
            </w:r>
            <w:r w:rsidR="00E12AF7" w:rsidRPr="008D22A6">
              <w:rPr>
                <w:rStyle w:val="Lienhypertexte"/>
                <w:rFonts w:hint="eastAsia"/>
                <w:rtl/>
              </w:rPr>
              <w:t>التطور</w:t>
            </w:r>
            <w:r w:rsidR="00E12AF7" w:rsidRPr="008D22A6">
              <w:rPr>
                <w:rStyle w:val="Lienhypertexte"/>
                <w:rtl/>
              </w:rPr>
              <w:t xml:space="preserve"> </w:t>
            </w:r>
            <w:r w:rsidR="00E12AF7" w:rsidRPr="008D22A6">
              <w:rPr>
                <w:rStyle w:val="Lienhypertexte"/>
                <w:rFonts w:hint="eastAsia"/>
                <w:rtl/>
              </w:rPr>
              <w:t>الزمني</w:t>
            </w:r>
            <w:r w:rsidR="00E12AF7" w:rsidRPr="008D22A6">
              <w:rPr>
                <w:rStyle w:val="Lienhypertexte"/>
                <w:rtl/>
              </w:rPr>
              <w:t xml:space="preserve"> </w:t>
            </w:r>
            <w:r w:rsidR="00E12AF7" w:rsidRPr="008D22A6">
              <w:rPr>
                <w:rStyle w:val="Lienhypertexte"/>
                <w:rFonts w:hint="eastAsia"/>
                <w:rtl/>
              </w:rPr>
              <w:t>لأداء</w:t>
            </w:r>
            <w:r w:rsidR="00E12AF7" w:rsidRPr="008D22A6">
              <w:rPr>
                <w:rStyle w:val="Lienhypertexte"/>
                <w:rtl/>
              </w:rPr>
              <w:t xml:space="preserve"> </w:t>
            </w:r>
            <w:r w:rsidR="00E12AF7" w:rsidRPr="008D22A6">
              <w:rPr>
                <w:rStyle w:val="Lienhypertexte"/>
                <w:rFonts w:hint="eastAsia"/>
                <w:rtl/>
              </w:rPr>
              <w:t>مكونات</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عقب</w:t>
            </w:r>
            <w:r w:rsidR="00E12AF7" w:rsidRPr="008D22A6">
              <w:rPr>
                <w:rStyle w:val="Lienhypertexte"/>
                <w:rtl/>
              </w:rPr>
              <w:t xml:space="preserve"> </w:t>
            </w:r>
            <w:r w:rsidR="00E12AF7" w:rsidRPr="008D22A6">
              <w:rPr>
                <w:rStyle w:val="Lienhypertexte"/>
                <w:rFonts w:hint="eastAsia"/>
                <w:rtl/>
              </w:rPr>
              <w:t>كارثة</w:t>
            </w:r>
            <w:r w:rsidR="00E12AF7" w:rsidRPr="008D22A6">
              <w:rPr>
                <w:rStyle w:val="Lienhypertexte"/>
                <w:rtl/>
              </w:rPr>
              <w:t xml:space="preserve"> </w:t>
            </w:r>
            <w:r w:rsidR="00E12AF7" w:rsidRPr="008D22A6">
              <w:rPr>
                <w:rStyle w:val="Lienhypertexte"/>
                <w:rFonts w:hint="eastAsia"/>
                <w:rtl/>
              </w:rPr>
              <w:t>من</w:t>
            </w:r>
            <w:r w:rsidR="00E12AF7" w:rsidRPr="008D22A6">
              <w:rPr>
                <w:rStyle w:val="Lienhypertexte"/>
                <w:rtl/>
              </w:rPr>
              <w:t xml:space="preserve"> </w:t>
            </w:r>
            <w:r w:rsidR="00E12AF7" w:rsidRPr="008D22A6">
              <w:rPr>
                <w:rStyle w:val="Lienhypertexte"/>
                <w:rFonts w:hint="eastAsia"/>
                <w:rtl/>
              </w:rPr>
              <w:t>خلال</w:t>
            </w:r>
            <w:r w:rsidR="00E12AF7" w:rsidRPr="008D22A6">
              <w:rPr>
                <w:rStyle w:val="Lienhypertexte"/>
                <w:rtl/>
              </w:rPr>
              <w:t xml:space="preserve"> </w:t>
            </w:r>
            <w:r w:rsidR="00E12AF7" w:rsidRPr="008D22A6">
              <w:rPr>
                <w:rStyle w:val="Lienhypertexte"/>
                <w:rFonts w:hint="eastAsia"/>
                <w:rtl/>
              </w:rPr>
              <w:t>المطالعة</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الابحاث</w:t>
            </w:r>
            <w:r w:rsidR="008246D9" w:rsidRPr="008246D9">
              <w:rPr>
                <w:rStyle w:val="Lienhypertexte"/>
                <w:rFonts w:hint="cs"/>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_Toc171803408 \h </w:instrText>
            </w:r>
            <w:r w:rsidR="00E12AF7">
              <w:rPr>
                <w:webHidden/>
              </w:rPr>
            </w:r>
            <w:r w:rsidR="00E12AF7">
              <w:rPr>
                <w:webHidden/>
              </w:rPr>
              <w:fldChar w:fldCharType="separate"/>
            </w:r>
            <w:r>
              <w:rPr>
                <w:webHidden/>
                <w:rtl/>
                <w:lang w:bidi="ar-SA"/>
              </w:rPr>
              <w:t>44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11" w:history="1">
            <w:r w:rsidR="00E12AF7" w:rsidRPr="008D22A6">
              <w:rPr>
                <w:rStyle w:val="Lienhypertexte"/>
                <w:rFonts w:hint="eastAsia"/>
                <w:rtl/>
              </w:rPr>
              <w:t>الشكل</w:t>
            </w:r>
            <w:r w:rsidR="00E12AF7" w:rsidRPr="008D22A6">
              <w:rPr>
                <w:rStyle w:val="Lienhypertexte"/>
                <w:rtl/>
              </w:rPr>
              <w:t xml:space="preserve"> (1-22). </w:t>
            </w:r>
            <w:r w:rsidR="00E12AF7" w:rsidRPr="008D22A6">
              <w:rPr>
                <w:rStyle w:val="Lienhypertexte"/>
                <w:rFonts w:hint="eastAsia"/>
                <w:rtl/>
              </w:rPr>
              <w:t>العلاقة</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استعمال</w:t>
            </w:r>
            <w:r w:rsidR="00E12AF7" w:rsidRPr="008D22A6">
              <w:rPr>
                <w:rStyle w:val="Lienhypertexte"/>
                <w:rtl/>
              </w:rPr>
              <w:t xml:space="preserve"> </w:t>
            </w:r>
            <w:r w:rsidR="00E12AF7" w:rsidRPr="008D22A6">
              <w:rPr>
                <w:rStyle w:val="Lienhypertexte"/>
                <w:rFonts w:hint="eastAsia"/>
                <w:rtl/>
              </w:rPr>
              <w:t>الارض</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والمرونة</w:t>
            </w:r>
            <w:r w:rsidR="00E12AF7" w:rsidRPr="008D22A6">
              <w:rPr>
                <w:rStyle w:val="Lienhypertexte"/>
                <w:rtl/>
              </w:rPr>
              <w:t xml:space="preserve"> </w:t>
            </w:r>
            <w:r w:rsidR="00E12AF7" w:rsidRPr="008D22A6">
              <w:rPr>
                <w:rStyle w:val="Lienhypertexte"/>
                <w:rFonts w:hint="eastAsia"/>
                <w:rtl/>
              </w:rPr>
              <w:t>الحضرية</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_Toc171803411 \h </w:instrText>
            </w:r>
            <w:r w:rsidR="00E12AF7">
              <w:rPr>
                <w:webHidden/>
              </w:rPr>
            </w:r>
            <w:r w:rsidR="00E12AF7">
              <w:rPr>
                <w:webHidden/>
              </w:rPr>
              <w:fldChar w:fldCharType="separate"/>
            </w:r>
            <w:r>
              <w:rPr>
                <w:webHidden/>
                <w:rtl/>
                <w:lang w:bidi="ar-SA"/>
              </w:rPr>
              <w:t>45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14" w:history="1">
            <w:r w:rsidR="00E12AF7" w:rsidRPr="008D22A6">
              <w:rPr>
                <w:rStyle w:val="Lienhypertexte"/>
                <w:rFonts w:hint="eastAsia"/>
                <w:rtl/>
              </w:rPr>
              <w:t>الشكل</w:t>
            </w:r>
            <w:r w:rsidR="00E12AF7" w:rsidRPr="008D22A6">
              <w:rPr>
                <w:rStyle w:val="Lienhypertexte"/>
                <w:rtl/>
              </w:rPr>
              <w:t xml:space="preserve"> (1-23): </w:t>
            </w:r>
            <w:r w:rsidR="00E12AF7" w:rsidRPr="008D22A6">
              <w:rPr>
                <w:rStyle w:val="Lienhypertexte"/>
                <w:rFonts w:hint="eastAsia"/>
                <w:rtl/>
              </w:rPr>
              <w:t>تعيين</w:t>
            </w:r>
            <w:r w:rsidR="00E12AF7" w:rsidRPr="008D22A6">
              <w:rPr>
                <w:rStyle w:val="Lienhypertexte"/>
                <w:rtl/>
              </w:rPr>
              <w:t xml:space="preserve"> </w:t>
            </w:r>
            <w:r w:rsidR="00E12AF7" w:rsidRPr="008D22A6">
              <w:rPr>
                <w:rStyle w:val="Lienhypertexte"/>
                <w:rFonts w:hint="eastAsia"/>
                <w:rtl/>
              </w:rPr>
              <w:t>الوظائف</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وخدمات</w:t>
            </w:r>
            <w:r w:rsidR="00E12AF7" w:rsidRPr="008D22A6">
              <w:rPr>
                <w:rStyle w:val="Lienhypertexte"/>
                <w:rtl/>
              </w:rPr>
              <w:t xml:space="preserve"> </w:t>
            </w:r>
            <w:r w:rsidR="00E12AF7" w:rsidRPr="008D22A6">
              <w:rPr>
                <w:rStyle w:val="Lienhypertexte"/>
                <w:rFonts w:hint="eastAsia"/>
                <w:rtl/>
              </w:rPr>
              <w:t>المدينة</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_Toc171803414 \h </w:instrText>
            </w:r>
            <w:r w:rsidR="00E12AF7">
              <w:rPr>
                <w:webHidden/>
              </w:rPr>
            </w:r>
            <w:r w:rsidR="00E12AF7">
              <w:rPr>
                <w:webHidden/>
              </w:rPr>
              <w:fldChar w:fldCharType="separate"/>
            </w:r>
            <w:r>
              <w:rPr>
                <w:webHidden/>
                <w:rtl/>
                <w:lang w:bidi="ar-SA"/>
              </w:rPr>
              <w:t>46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25" w:history="1">
            <w:r w:rsidR="00E12AF7" w:rsidRPr="008D22A6">
              <w:rPr>
                <w:rStyle w:val="Lienhypertexte"/>
                <w:rFonts w:hint="eastAsia"/>
                <w:rtl/>
              </w:rPr>
              <w:t>الشكل</w:t>
            </w:r>
            <w:r w:rsidR="00E12AF7" w:rsidRPr="008D22A6">
              <w:rPr>
                <w:rStyle w:val="Lienhypertexte"/>
                <w:rtl/>
              </w:rPr>
              <w:t xml:space="preserve"> (1-24): </w:t>
            </w:r>
            <w:r w:rsidR="00E12AF7" w:rsidRPr="008D22A6">
              <w:rPr>
                <w:rStyle w:val="Lienhypertexte"/>
                <w:rFonts w:hint="eastAsia"/>
                <w:rtl/>
              </w:rPr>
              <w:t>نسيج</w:t>
            </w:r>
            <w:r w:rsidR="00E12AF7" w:rsidRPr="008D22A6">
              <w:rPr>
                <w:rStyle w:val="Lienhypertexte"/>
                <w:rtl/>
              </w:rPr>
              <w:t xml:space="preserve"> </w:t>
            </w:r>
            <w:r w:rsidR="00E12AF7" w:rsidRPr="008D22A6">
              <w:rPr>
                <w:rStyle w:val="Lienhypertexte"/>
                <w:rFonts w:hint="eastAsia"/>
                <w:rtl/>
              </w:rPr>
              <w:t>البناء</w:t>
            </w:r>
            <w:r w:rsidR="00E12AF7" w:rsidRPr="008D22A6">
              <w:rPr>
                <w:rStyle w:val="Lienhypertexte"/>
                <w:rtl/>
              </w:rPr>
              <w:t xml:space="preserve"> </w:t>
            </w:r>
            <w:r w:rsidR="00E12AF7" w:rsidRPr="008D22A6">
              <w:rPr>
                <w:rStyle w:val="Lienhypertexte"/>
                <w:rFonts w:hint="eastAsia"/>
                <w:rtl/>
              </w:rPr>
              <w:t>الناتج</w:t>
            </w:r>
            <w:r w:rsidR="00E12AF7" w:rsidRPr="008D22A6">
              <w:rPr>
                <w:rStyle w:val="Lienhypertexte"/>
                <w:rtl/>
              </w:rPr>
              <w:t xml:space="preserve"> </w:t>
            </w:r>
            <w:r w:rsidR="00E12AF7" w:rsidRPr="008D22A6">
              <w:rPr>
                <w:rStyle w:val="Lienhypertexte"/>
                <w:rFonts w:hint="eastAsia"/>
                <w:rtl/>
              </w:rPr>
              <w:t>عن</w:t>
            </w:r>
            <w:r w:rsidR="00E12AF7" w:rsidRPr="008D22A6">
              <w:rPr>
                <w:rStyle w:val="Lienhypertexte"/>
                <w:rtl/>
              </w:rPr>
              <w:t xml:space="preserve"> </w:t>
            </w:r>
            <w:r w:rsidR="00E12AF7" w:rsidRPr="008D22A6">
              <w:rPr>
                <w:rStyle w:val="Lienhypertexte"/>
                <w:rFonts w:hint="eastAsia"/>
                <w:rtl/>
              </w:rPr>
              <w:t>التقسيمات</w:t>
            </w:r>
            <w:r w:rsidR="00E12AF7" w:rsidRPr="008D22A6">
              <w:rPr>
                <w:rStyle w:val="Lienhypertexte"/>
                <w:rtl/>
              </w:rPr>
              <w:t xml:space="preserve"> </w:t>
            </w:r>
            <w:r w:rsidR="00E12AF7" w:rsidRPr="008D22A6">
              <w:rPr>
                <w:rStyle w:val="Lienhypertexte"/>
                <w:rFonts w:hint="eastAsia"/>
                <w:rtl/>
              </w:rPr>
              <w:t>الفرعية</w:t>
            </w:r>
            <w:r w:rsidR="00E12AF7" w:rsidRPr="008D22A6">
              <w:rPr>
                <w:rStyle w:val="Lienhypertexte"/>
                <w:rtl/>
              </w:rPr>
              <w:t xml:space="preserve"> </w:t>
            </w:r>
            <w:r w:rsidR="00E12AF7" w:rsidRPr="008D22A6">
              <w:rPr>
                <w:rStyle w:val="Lienhypertexte"/>
                <w:rFonts w:hint="eastAsia"/>
                <w:rtl/>
              </w:rPr>
              <w:t>للمساكن</w:t>
            </w:r>
            <w:r w:rsidR="00E12AF7" w:rsidRPr="008D22A6">
              <w:rPr>
                <w:rStyle w:val="Lienhypertexte"/>
                <w:rtl/>
              </w:rPr>
              <w:t xml:space="preserve"> </w:t>
            </w:r>
            <w:r w:rsidR="00E12AF7" w:rsidRPr="008D22A6">
              <w:rPr>
                <w:rStyle w:val="Lienhypertexte"/>
                <w:rFonts w:hint="eastAsia"/>
                <w:rtl/>
              </w:rPr>
              <w:t>الفردية</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_Toc171803425 \h </w:instrText>
            </w:r>
            <w:r w:rsidR="00E12AF7">
              <w:rPr>
                <w:webHidden/>
              </w:rPr>
            </w:r>
            <w:r w:rsidR="00E12AF7">
              <w:rPr>
                <w:webHidden/>
              </w:rPr>
              <w:fldChar w:fldCharType="separate"/>
            </w:r>
            <w:r>
              <w:rPr>
                <w:webHidden/>
                <w:rtl/>
                <w:lang w:bidi="ar-SA"/>
              </w:rPr>
              <w:t>53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28" w:history="1">
            <w:r w:rsidR="00E12AF7" w:rsidRPr="008D22A6">
              <w:rPr>
                <w:rStyle w:val="Lienhypertexte"/>
                <w:rFonts w:hint="eastAsia"/>
                <w:rtl/>
              </w:rPr>
              <w:t>الفصل</w:t>
            </w:r>
            <w:r w:rsidR="00E12AF7" w:rsidRPr="008D22A6">
              <w:rPr>
                <w:rStyle w:val="Lienhypertexte"/>
                <w:rtl/>
              </w:rPr>
              <w:t xml:space="preserve"> 2: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مناهج</w:t>
            </w:r>
            <w:r w:rsidR="00E12AF7" w:rsidRPr="008D22A6">
              <w:rPr>
                <w:rStyle w:val="Lienhypertexte"/>
                <w:rtl/>
              </w:rPr>
              <w:t xml:space="preserve"> </w:t>
            </w:r>
            <w:r w:rsidR="00E12AF7" w:rsidRPr="008D22A6">
              <w:rPr>
                <w:rStyle w:val="Lienhypertexte"/>
                <w:rFonts w:hint="eastAsia"/>
                <w:rtl/>
              </w:rPr>
              <w:t>واطر</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وتفعيل</w:t>
            </w:r>
            <w:r w:rsidR="00E12AF7" w:rsidRPr="008D22A6">
              <w:rPr>
                <w:rStyle w:val="Lienhypertexte"/>
                <w:rtl/>
              </w:rPr>
              <w:t xml:space="preserve"> </w:t>
            </w:r>
            <w:r w:rsidR="00E12AF7" w:rsidRPr="008D22A6">
              <w:rPr>
                <w:rStyle w:val="Lienhypertexte"/>
                <w:rFonts w:hint="eastAsia"/>
                <w:rtl/>
              </w:rPr>
              <w:t>المرونة</w:t>
            </w:r>
          </w:hyperlink>
        </w:p>
        <w:p w:rsidR="00E12AF7" w:rsidRDefault="00B62F86" w:rsidP="009579D2">
          <w:pPr>
            <w:pStyle w:val="TM1"/>
            <w:rPr>
              <w:rFonts w:asciiTheme="minorHAnsi" w:hAnsiTheme="minorHAnsi" w:cstheme="minorBidi"/>
              <w:color w:val="auto"/>
              <w:lang w:val="fr-FR" w:bidi="ar-SA"/>
            </w:rPr>
          </w:pPr>
          <w:hyperlink w:anchor="_Toc171803439" w:history="1">
            <w:r w:rsidR="00E12AF7" w:rsidRPr="008D22A6">
              <w:rPr>
                <w:rStyle w:val="Lienhypertexte"/>
                <w:rFonts w:hint="eastAsia"/>
                <w:rtl/>
              </w:rPr>
              <w:t>الشكل</w:t>
            </w:r>
            <w:r w:rsidR="00E12AF7" w:rsidRPr="008D22A6">
              <w:rPr>
                <w:rStyle w:val="Lienhypertexte"/>
                <w:rtl/>
              </w:rPr>
              <w:t xml:space="preserve"> (2-1) </w:t>
            </w:r>
            <w:r w:rsidR="00E12AF7" w:rsidRPr="008D22A6">
              <w:rPr>
                <w:rStyle w:val="Lienhypertexte"/>
                <w:rFonts w:hint="eastAsia"/>
                <w:rtl/>
              </w:rPr>
              <w:t>رسم</w:t>
            </w:r>
            <w:r w:rsidR="00E12AF7" w:rsidRPr="008D22A6">
              <w:rPr>
                <w:rStyle w:val="Lienhypertexte"/>
                <w:rtl/>
              </w:rPr>
              <w:t xml:space="preserve"> </w:t>
            </w:r>
            <w:r w:rsidR="00E12AF7" w:rsidRPr="008D22A6">
              <w:rPr>
                <w:rStyle w:val="Lienhypertexte"/>
                <w:rFonts w:hint="eastAsia"/>
                <w:rtl/>
              </w:rPr>
              <w:t>خرائط</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الشاملة</w:t>
            </w:r>
            <w:r w:rsidR="00E12AF7" w:rsidRPr="008D22A6">
              <w:rPr>
                <w:rStyle w:val="Lienhypertexte"/>
                <w:rtl/>
              </w:rPr>
              <w:t xml:space="preserve"> </w:t>
            </w:r>
            <w:r w:rsidR="00E12AF7" w:rsidRPr="008D22A6">
              <w:rPr>
                <w:rStyle w:val="Lienhypertexte"/>
                <w:rFonts w:hint="eastAsia"/>
                <w:rtl/>
              </w:rPr>
              <w:t>للمدن</w:t>
            </w:r>
            <w:r w:rsidR="00E12AF7" w:rsidRPr="008D22A6">
              <w:rPr>
                <w:rStyle w:val="Lienhypertexte"/>
                <w:rtl/>
              </w:rPr>
              <w:t xml:space="preserve"> </w:t>
            </w:r>
            <w:r w:rsidR="00E12AF7" w:rsidRPr="008D22A6">
              <w:rPr>
                <w:rStyle w:val="Lienhypertexte"/>
                <w:rFonts w:asciiTheme="majorBidi" w:hAnsiTheme="majorBidi" w:cstheme="majorBidi"/>
                <w:rtl/>
              </w:rPr>
              <w:t>(</w:t>
            </w:r>
            <w:r w:rsidR="00E12AF7" w:rsidRPr="008D22A6">
              <w:rPr>
                <w:rStyle w:val="Lienhypertexte"/>
                <w:rFonts w:asciiTheme="majorBidi" w:hAnsiTheme="majorBidi" w:cstheme="majorBidi"/>
              </w:rPr>
              <w:t>CDRI</w:t>
            </w:r>
            <w:r w:rsidR="00E12AF7" w:rsidRPr="008D22A6">
              <w:rPr>
                <w:rStyle w:val="Lienhypertexte"/>
                <w:rFonts w:asciiTheme="majorBidi" w:hAnsiTheme="majorBidi" w:cstheme="majorBidi"/>
                <w:rtl/>
              </w:rPr>
              <w:t>)</w:t>
            </w:r>
            <w:r w:rsidR="008246D9" w:rsidRPr="008246D9">
              <w:rPr>
                <w:rtl/>
              </w:rPr>
              <w:t xml:space="preserve"> </w:t>
            </w:r>
            <w:r w:rsidR="008246D9" w:rsidRPr="008246D9">
              <w:rPr>
                <w:rStyle w:val="Lienhypertexte"/>
                <w:rtl/>
              </w:rPr>
              <w:t>……………………………</w:t>
            </w:r>
            <w:r w:rsidR="008246D9">
              <w:rPr>
                <w:rStyle w:val="Lienhypertexte"/>
                <w:rFonts w:hint="cs"/>
                <w:rtl/>
              </w:rPr>
              <w:t>...</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_Toc171803439 \h </w:instrText>
            </w:r>
            <w:r w:rsidR="00E12AF7">
              <w:rPr>
                <w:webHidden/>
              </w:rPr>
            </w:r>
            <w:r w:rsidR="00E12AF7">
              <w:rPr>
                <w:webHidden/>
              </w:rPr>
              <w:fldChar w:fldCharType="separate"/>
            </w:r>
            <w:r>
              <w:rPr>
                <w:webHidden/>
                <w:rtl/>
                <w:lang w:bidi="ar-SA"/>
              </w:rPr>
              <w:t>59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43" w:history="1">
            <w:r w:rsidR="00E12AF7" w:rsidRPr="008D22A6">
              <w:rPr>
                <w:rStyle w:val="Lienhypertexte"/>
                <w:rFonts w:hint="eastAsia"/>
                <w:rtl/>
              </w:rPr>
              <w:t>الشكل</w:t>
            </w:r>
            <w:r w:rsidR="00E12AF7" w:rsidRPr="008D22A6">
              <w:rPr>
                <w:rStyle w:val="Lienhypertexte"/>
                <w:rtl/>
              </w:rPr>
              <w:t xml:space="preserve"> (2-2) </w:t>
            </w:r>
            <w:r w:rsidR="00E12AF7" w:rsidRPr="008D22A6">
              <w:rPr>
                <w:rStyle w:val="Lienhypertexte"/>
                <w:rFonts w:hint="eastAsia"/>
                <w:rtl/>
              </w:rPr>
              <w:t>إطار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مرونة</w:t>
            </w:r>
            <w:r w:rsidR="00E12AF7" w:rsidRPr="008D22A6">
              <w:rPr>
                <w:rStyle w:val="Lienhypertexte"/>
                <w:rtl/>
              </w:rPr>
              <w:t xml:space="preserve"> </w:t>
            </w:r>
            <w:r w:rsidR="00E12AF7" w:rsidRPr="008D22A6">
              <w:rPr>
                <w:rStyle w:val="Lienhypertexte"/>
                <w:rFonts w:hint="eastAsia"/>
                <w:rtl/>
              </w:rPr>
              <w:t>المجتمع</w:t>
            </w:r>
            <w:r w:rsidR="00E12AF7" w:rsidRPr="008D22A6">
              <w:rPr>
                <w:rStyle w:val="Lienhypertexte"/>
                <w:rtl/>
              </w:rPr>
              <w:t xml:space="preserve"> </w:t>
            </w:r>
            <w:r w:rsidR="00E12AF7" w:rsidRPr="008D22A6">
              <w:rPr>
                <w:rStyle w:val="Lienhypertexte"/>
                <w:rFonts w:hint="eastAsia"/>
                <w:rtl/>
              </w:rPr>
              <w:t>لمواجهة</w:t>
            </w:r>
            <w:r w:rsidR="00E12AF7" w:rsidRPr="008D22A6">
              <w:rPr>
                <w:rStyle w:val="Lienhypertexte"/>
                <w:rtl/>
              </w:rPr>
              <w:t xml:space="preserve"> </w:t>
            </w:r>
            <w:r w:rsidR="00E12AF7" w:rsidRPr="008D22A6">
              <w:rPr>
                <w:rStyle w:val="Lienhypertexte"/>
                <w:rFonts w:hint="eastAsia"/>
                <w:rtl/>
              </w:rPr>
              <w:t>الكوارث</w:t>
            </w:r>
            <w:r w:rsidR="00E12AF7" w:rsidRPr="008D22A6">
              <w:rPr>
                <w:rStyle w:val="Lienhypertexte"/>
                <w:rtl/>
              </w:rPr>
              <w:t xml:space="preserve"> </w:t>
            </w:r>
            <w:r w:rsidR="00E12AF7" w:rsidRPr="008D22A6">
              <w:rPr>
                <w:rStyle w:val="Lienhypertexte"/>
                <w:rFonts w:asciiTheme="majorBidi" w:hAnsiTheme="majorBidi" w:cstheme="majorBidi"/>
                <w:rtl/>
              </w:rPr>
              <w:t>(</w:t>
            </w:r>
            <w:r w:rsidR="00E12AF7" w:rsidRPr="008D22A6">
              <w:rPr>
                <w:rStyle w:val="Lienhypertexte"/>
                <w:rFonts w:asciiTheme="majorBidi" w:hAnsiTheme="majorBidi" w:cstheme="majorBidi"/>
              </w:rPr>
              <w:t>CDRF</w:t>
            </w:r>
            <w:r w:rsidR="00E12AF7" w:rsidRPr="008D22A6">
              <w:rPr>
                <w:rStyle w:val="Lienhypertexte"/>
                <w:rFonts w:asciiTheme="majorBidi" w:hAnsiTheme="majorBidi" w:cstheme="majorBidi"/>
                <w:rtl/>
              </w:rPr>
              <w:t>)</w:t>
            </w:r>
            <w:r w:rsidR="008246D9" w:rsidRPr="008246D9">
              <w:rPr>
                <w:rtl/>
              </w:rPr>
              <w:t xml:space="preserve"> </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_Toc171803443 \h </w:instrText>
            </w:r>
            <w:r w:rsidR="00E12AF7">
              <w:rPr>
                <w:webHidden/>
              </w:rPr>
            </w:r>
            <w:r w:rsidR="00E12AF7">
              <w:rPr>
                <w:webHidden/>
              </w:rPr>
              <w:fldChar w:fldCharType="separate"/>
            </w:r>
            <w:r>
              <w:rPr>
                <w:webHidden/>
                <w:rtl/>
                <w:lang w:bidi="ar-SA"/>
              </w:rPr>
              <w:t>60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47" w:history="1">
            <w:r w:rsidR="00E12AF7" w:rsidRPr="008D22A6">
              <w:rPr>
                <w:rStyle w:val="Lienhypertexte"/>
                <w:rFonts w:hint="eastAsia"/>
                <w:rtl/>
              </w:rPr>
              <w:t>الشكل</w:t>
            </w:r>
            <w:r w:rsidR="00E12AF7" w:rsidRPr="008D22A6">
              <w:rPr>
                <w:rStyle w:val="Lienhypertexte"/>
                <w:rtl/>
              </w:rPr>
              <w:t xml:space="preserve"> (2-3): </w:t>
            </w:r>
            <w:r w:rsidR="00E12AF7" w:rsidRPr="008D22A6">
              <w:rPr>
                <w:rStyle w:val="Lienhypertexte"/>
                <w:rFonts w:hint="eastAsia"/>
                <w:rtl/>
              </w:rPr>
              <w:t>إطار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asciiTheme="minorBidi" w:hAnsiTheme="minorBidi" w:cs="Arial"/>
                <w:rtl/>
              </w:rPr>
              <w:t>"</w:t>
            </w:r>
            <w:r w:rsidR="00E12AF7" w:rsidRPr="008D22A6">
              <w:rPr>
                <w:rStyle w:val="Lienhypertexte"/>
                <w:rFonts w:asciiTheme="majorBidi" w:hAnsiTheme="majorBidi" w:cstheme="majorBidi"/>
              </w:rPr>
              <w:t>PEOPLES</w:t>
            </w:r>
            <w:r w:rsidR="00E12AF7" w:rsidRPr="008D22A6">
              <w:rPr>
                <w:rStyle w:val="Lienhypertexte"/>
                <w:rFonts w:asciiTheme="minorBidi" w:hAnsiTheme="minorBidi" w:cs="Arial"/>
                <w:rtl/>
              </w:rPr>
              <w:t>"</w:t>
            </w:r>
            <w:r w:rsidR="00E12AF7" w:rsidRPr="008D22A6">
              <w:rPr>
                <w:rStyle w:val="Lienhypertexte"/>
              </w:rPr>
              <w:t xml:space="preserve"> </w:t>
            </w:r>
            <w:r w:rsidR="00E12AF7" w:rsidRPr="008D22A6">
              <w:rPr>
                <w:rStyle w:val="Lienhypertexte"/>
                <w:rFonts w:hint="eastAsia"/>
                <w:rtl/>
              </w:rPr>
              <w:t>والمقاييس</w:t>
            </w:r>
            <w:r w:rsidR="00E12AF7" w:rsidRPr="008D22A6">
              <w:rPr>
                <w:rStyle w:val="Lienhypertexte"/>
                <w:rtl/>
              </w:rPr>
              <w:t xml:space="preserve"> </w:t>
            </w:r>
            <w:r w:rsidR="00E12AF7" w:rsidRPr="008D22A6">
              <w:rPr>
                <w:rStyle w:val="Lienhypertexte"/>
                <w:rFonts w:hint="eastAsia"/>
                <w:rtl/>
              </w:rPr>
              <w:t>الجغرافية</w:t>
            </w:r>
            <w:r w:rsidR="00E12AF7" w:rsidRPr="008D22A6">
              <w:rPr>
                <w:rStyle w:val="Lienhypertexte"/>
                <w:rtl/>
              </w:rPr>
              <w:t xml:space="preserve"> </w:t>
            </w:r>
            <w:r w:rsidR="00E12AF7" w:rsidRPr="008D22A6">
              <w:rPr>
                <w:rStyle w:val="Lienhypertexte"/>
                <w:rFonts w:hint="eastAsia"/>
                <w:rtl/>
              </w:rPr>
              <w:t>المرتبطة</w:t>
            </w:r>
            <w:r w:rsidR="00E12AF7" w:rsidRPr="008D22A6">
              <w:rPr>
                <w:rStyle w:val="Lienhypertexte"/>
                <w:rtl/>
              </w:rPr>
              <w:t xml:space="preserve"> </w:t>
            </w:r>
            <w:r w:rsidR="00E12AF7" w:rsidRPr="008D22A6">
              <w:rPr>
                <w:rStyle w:val="Lienhypertexte"/>
                <w:rFonts w:hint="eastAsia"/>
                <w:rtl/>
              </w:rPr>
              <w:t>به</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_Toc171803447 \h </w:instrText>
            </w:r>
            <w:r w:rsidR="00E12AF7">
              <w:rPr>
                <w:webHidden/>
              </w:rPr>
            </w:r>
            <w:r w:rsidR="00E12AF7">
              <w:rPr>
                <w:webHidden/>
              </w:rPr>
              <w:fldChar w:fldCharType="separate"/>
            </w:r>
            <w:r>
              <w:rPr>
                <w:webHidden/>
                <w:rtl/>
                <w:lang w:bidi="ar-SA"/>
              </w:rPr>
              <w:t>62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51" w:history="1">
            <w:r w:rsidR="00E12AF7" w:rsidRPr="008D22A6">
              <w:rPr>
                <w:rStyle w:val="Lienhypertexte"/>
                <w:rFonts w:hint="eastAsia"/>
                <w:rtl/>
              </w:rPr>
              <w:t>الشكل</w:t>
            </w:r>
            <w:r w:rsidR="00E12AF7" w:rsidRPr="008D22A6">
              <w:rPr>
                <w:rStyle w:val="Lienhypertexte"/>
                <w:rtl/>
              </w:rPr>
              <w:t xml:space="preserve"> (2-4):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مرونة</w:t>
            </w:r>
            <w:r w:rsidR="00E12AF7" w:rsidRPr="008D22A6">
              <w:rPr>
                <w:rStyle w:val="Lienhypertexte"/>
                <w:rtl/>
              </w:rPr>
              <w:t xml:space="preserve"> </w:t>
            </w:r>
            <w:r w:rsidR="00E12AF7" w:rsidRPr="008D22A6">
              <w:rPr>
                <w:rStyle w:val="Lienhypertexte"/>
                <w:rFonts w:hint="eastAsia"/>
                <w:rtl/>
              </w:rPr>
              <w:t>البنية</w:t>
            </w:r>
            <w:r w:rsidR="00E12AF7" w:rsidRPr="008D22A6">
              <w:rPr>
                <w:rStyle w:val="Lienhypertexte"/>
                <w:rtl/>
              </w:rPr>
              <w:t xml:space="preserve"> </w:t>
            </w:r>
            <w:r w:rsidR="00E12AF7" w:rsidRPr="008D22A6">
              <w:rPr>
                <w:rStyle w:val="Lienhypertexte"/>
                <w:rFonts w:hint="eastAsia"/>
                <w:rtl/>
              </w:rPr>
              <w:t>التحتية</w:t>
            </w:r>
            <w:r w:rsidR="00E12AF7" w:rsidRPr="008D22A6">
              <w:rPr>
                <w:rStyle w:val="Lienhypertexte"/>
                <w:rtl/>
              </w:rPr>
              <w:t xml:space="preserve"> </w:t>
            </w:r>
            <w:r w:rsidR="00E12AF7" w:rsidRPr="008D22A6">
              <w:rPr>
                <w:rStyle w:val="Lienhypertexte"/>
                <w:rFonts w:hint="eastAsia"/>
                <w:rtl/>
              </w:rPr>
              <w:t>الشبكية</w:t>
            </w:r>
            <w:r w:rsidR="00E12AF7" w:rsidRPr="008D22A6">
              <w:rPr>
                <w:rStyle w:val="Lienhypertexte"/>
                <w:rFonts w:asciiTheme="majorBidi" w:hAnsiTheme="majorBidi" w:cstheme="majorBidi"/>
                <w:rtl/>
              </w:rPr>
              <w:t xml:space="preserve"> (</w:t>
            </w:r>
            <w:r w:rsidR="00E12AF7" w:rsidRPr="008D22A6">
              <w:rPr>
                <w:rStyle w:val="Lienhypertexte"/>
                <w:rFonts w:asciiTheme="majorBidi" w:hAnsiTheme="majorBidi" w:cstheme="majorBidi"/>
              </w:rPr>
              <w:t>NIRA</w:t>
            </w:r>
            <w:r w:rsidR="00E12AF7" w:rsidRPr="008D22A6">
              <w:rPr>
                <w:rStyle w:val="Lienhypertexte"/>
                <w:rFonts w:asciiTheme="majorBidi" w:hAnsiTheme="majorBidi" w:cstheme="majorBidi"/>
                <w:rtl/>
              </w:rPr>
              <w:t>)</w:t>
            </w:r>
            <w:r w:rsidR="008246D9" w:rsidRPr="008246D9">
              <w:rPr>
                <w:rtl/>
              </w:rPr>
              <w:t xml:space="preserve"> </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_Toc171803451 \h </w:instrText>
            </w:r>
            <w:r w:rsidR="00E12AF7">
              <w:rPr>
                <w:webHidden/>
              </w:rPr>
            </w:r>
            <w:r w:rsidR="00E12AF7">
              <w:rPr>
                <w:webHidden/>
              </w:rPr>
              <w:fldChar w:fldCharType="separate"/>
            </w:r>
            <w:r>
              <w:rPr>
                <w:webHidden/>
                <w:rtl/>
                <w:lang w:bidi="ar-SA"/>
              </w:rPr>
              <w:t>63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55" w:history="1">
            <w:r w:rsidR="00E12AF7" w:rsidRPr="008D22A6">
              <w:rPr>
                <w:rStyle w:val="Lienhypertexte"/>
                <w:rFonts w:hint="eastAsia"/>
                <w:rtl/>
              </w:rPr>
              <w:t>الشكل</w:t>
            </w:r>
            <w:r w:rsidR="00E12AF7" w:rsidRPr="008D22A6">
              <w:rPr>
                <w:rStyle w:val="Lienhypertexte"/>
                <w:rtl/>
              </w:rPr>
              <w:t xml:space="preserve"> (2-5):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مرونة</w:t>
            </w:r>
            <w:r w:rsidR="00E12AF7" w:rsidRPr="008D22A6">
              <w:rPr>
                <w:rStyle w:val="Lienhypertexte"/>
                <w:rtl/>
              </w:rPr>
              <w:t xml:space="preserve"> </w:t>
            </w:r>
            <w:r w:rsidR="00E12AF7" w:rsidRPr="008D22A6">
              <w:rPr>
                <w:rStyle w:val="Lienhypertexte"/>
                <w:rFonts w:hint="eastAsia"/>
                <w:rtl/>
              </w:rPr>
              <w:t>كوارث</w:t>
            </w:r>
            <w:r w:rsidR="00E12AF7" w:rsidRPr="008D22A6">
              <w:rPr>
                <w:rStyle w:val="Lienhypertexte"/>
                <w:rtl/>
              </w:rPr>
              <w:t xml:space="preserve"> </w:t>
            </w:r>
            <w:r w:rsidR="00E12AF7" w:rsidRPr="008D22A6">
              <w:rPr>
                <w:rStyle w:val="Lienhypertexte"/>
                <w:rFonts w:hint="eastAsia"/>
                <w:rtl/>
              </w:rPr>
              <w:t>المكان</w:t>
            </w:r>
            <w:r w:rsidR="00E12AF7" w:rsidRPr="008D22A6">
              <w:rPr>
                <w:rStyle w:val="Lienhypertexte"/>
                <w:rtl/>
              </w:rPr>
              <w:t xml:space="preserve"> </w:t>
            </w:r>
            <w:r w:rsidR="00E12AF7" w:rsidRPr="008D22A6">
              <w:rPr>
                <w:rStyle w:val="Lienhypertexte"/>
                <w:rFonts w:asciiTheme="majorBidi" w:hAnsiTheme="majorBidi" w:cstheme="majorBidi"/>
                <w:rtl/>
              </w:rPr>
              <w:t>(</w:t>
            </w:r>
            <w:r w:rsidR="00E12AF7" w:rsidRPr="008D22A6">
              <w:rPr>
                <w:rStyle w:val="Lienhypertexte"/>
                <w:rFonts w:asciiTheme="majorBidi" w:hAnsiTheme="majorBidi" w:cstheme="majorBidi"/>
              </w:rPr>
              <w:t>DROP</w:t>
            </w:r>
            <w:r w:rsidR="00E12AF7" w:rsidRPr="008D22A6">
              <w:rPr>
                <w:rStyle w:val="Lienhypertexte"/>
                <w:rFonts w:asciiTheme="majorBidi" w:hAnsiTheme="majorBidi" w:cstheme="majorBidi"/>
                <w:rtl/>
              </w:rPr>
              <w:t>)</w:t>
            </w:r>
            <w:r w:rsidR="008246D9" w:rsidRPr="008246D9">
              <w:rPr>
                <w:rtl/>
              </w:rPr>
              <w:t xml:space="preserve"> </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_Toc171803455 \h </w:instrText>
            </w:r>
            <w:r w:rsidR="00E12AF7">
              <w:rPr>
                <w:webHidden/>
              </w:rPr>
            </w:r>
            <w:r w:rsidR="00E12AF7">
              <w:rPr>
                <w:webHidden/>
              </w:rPr>
              <w:fldChar w:fldCharType="separate"/>
            </w:r>
            <w:r>
              <w:rPr>
                <w:webHidden/>
                <w:rtl/>
                <w:lang w:bidi="ar-SA"/>
              </w:rPr>
              <w:t>64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56" w:history="1">
            <w:r w:rsidR="00E12AF7" w:rsidRPr="008D22A6">
              <w:rPr>
                <w:rStyle w:val="Lienhypertexte"/>
                <w:rFonts w:hint="eastAsia"/>
                <w:rtl/>
              </w:rPr>
              <w:t>الشكل</w:t>
            </w:r>
            <w:r w:rsidR="00E12AF7" w:rsidRPr="008D22A6">
              <w:rPr>
                <w:rStyle w:val="Lienhypertexte"/>
                <w:rtl/>
              </w:rPr>
              <w:t xml:space="preserve"> (2-6): </w:t>
            </w:r>
            <w:r w:rsidR="00E12AF7" w:rsidRPr="008D22A6">
              <w:rPr>
                <w:rStyle w:val="Lienhypertexte"/>
                <w:rFonts w:hint="eastAsia"/>
                <w:rtl/>
              </w:rPr>
              <w:t>حاصل</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مستوى</w:t>
            </w:r>
            <w:r w:rsidR="00E12AF7" w:rsidRPr="008D22A6">
              <w:rPr>
                <w:rStyle w:val="Lienhypertexte"/>
                <w:rtl/>
              </w:rPr>
              <w:t xml:space="preserve"> </w:t>
            </w:r>
            <w:r w:rsidR="00E12AF7" w:rsidRPr="008D22A6">
              <w:rPr>
                <w:rStyle w:val="Lienhypertexte"/>
                <w:rFonts w:hint="eastAsia"/>
                <w:rtl/>
              </w:rPr>
              <w:t>الولايات</w:t>
            </w:r>
            <w:r w:rsidR="00E12AF7" w:rsidRPr="008D22A6">
              <w:rPr>
                <w:rStyle w:val="Lienhypertexte"/>
                <w:rtl/>
              </w:rPr>
              <w:t xml:space="preserve"> </w:t>
            </w:r>
            <w:r w:rsidR="00E12AF7" w:rsidRPr="008D22A6">
              <w:rPr>
                <w:rStyle w:val="Lienhypertexte"/>
                <w:rFonts w:hint="eastAsia"/>
                <w:rtl/>
              </w:rPr>
              <w:t>المتحدة</w:t>
            </w:r>
            <w:r w:rsidR="00E12AF7" w:rsidRPr="008D22A6">
              <w:rPr>
                <w:rStyle w:val="Lienhypertexte"/>
                <w:rtl/>
              </w:rPr>
              <w:t xml:space="preserve"> </w:t>
            </w:r>
            <w:r w:rsidR="00E12AF7" w:rsidRPr="008D22A6">
              <w:rPr>
                <w:rStyle w:val="Lienhypertexte"/>
                <w:rFonts w:hint="eastAsia"/>
                <w:rtl/>
              </w:rPr>
              <w:t>لكل</w:t>
            </w:r>
            <w:r w:rsidR="00E12AF7" w:rsidRPr="008D22A6">
              <w:rPr>
                <w:rStyle w:val="Lienhypertexte"/>
                <w:rtl/>
              </w:rPr>
              <w:t xml:space="preserve"> </w:t>
            </w:r>
            <w:r w:rsidR="00E12AF7" w:rsidRPr="008D22A6">
              <w:rPr>
                <w:rStyle w:val="Lienhypertexte"/>
                <w:rFonts w:hint="eastAsia"/>
                <w:rtl/>
              </w:rPr>
              <w:t>الابعاد</w:t>
            </w:r>
            <w:r w:rsidR="00E12AF7" w:rsidRPr="008D22A6">
              <w:rPr>
                <w:rStyle w:val="Lienhypertexte"/>
                <w:rtl/>
              </w:rPr>
              <w:t xml:space="preserve"> </w:t>
            </w:r>
            <w:r w:rsidR="00E12AF7" w:rsidRPr="008D22A6">
              <w:rPr>
                <w:rStyle w:val="Lienhypertexte"/>
                <w:rFonts w:asciiTheme="minorBidi" w:hAnsiTheme="minorBidi" w:cs="Arial"/>
                <w:rtl/>
              </w:rPr>
              <w:t>(</w:t>
            </w:r>
            <w:r w:rsidR="00E12AF7" w:rsidRPr="008D22A6">
              <w:rPr>
                <w:rStyle w:val="Lienhypertexte"/>
                <w:rFonts w:asciiTheme="majorBidi" w:hAnsiTheme="majorBidi" w:cstheme="majorBidi"/>
              </w:rPr>
              <w:t>BRIC</w:t>
            </w:r>
            <w:r w:rsidR="00E12AF7" w:rsidRPr="008D22A6">
              <w:rPr>
                <w:rStyle w:val="Lienhypertexte"/>
                <w:rFonts w:asciiTheme="minorBidi" w:hAnsiTheme="minorBidi" w:cs="Arial"/>
                <w:rtl/>
              </w:rPr>
              <w:t>)</w:t>
            </w:r>
            <w:r w:rsidR="008246D9" w:rsidRPr="008246D9">
              <w:rPr>
                <w:rtl/>
              </w:rPr>
              <w:t xml:space="preserve"> </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_Toc171803456 \h </w:instrText>
            </w:r>
            <w:r w:rsidR="00E12AF7">
              <w:rPr>
                <w:webHidden/>
              </w:rPr>
            </w:r>
            <w:r w:rsidR="00E12AF7">
              <w:rPr>
                <w:webHidden/>
              </w:rPr>
              <w:fldChar w:fldCharType="separate"/>
            </w:r>
            <w:r>
              <w:rPr>
                <w:webHidden/>
                <w:rtl/>
                <w:lang w:bidi="ar-SA"/>
              </w:rPr>
              <w:t>65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60" w:history="1">
            <w:r w:rsidR="00E12AF7" w:rsidRPr="008D22A6">
              <w:rPr>
                <w:rStyle w:val="Lienhypertexte"/>
                <w:rFonts w:hint="eastAsia"/>
                <w:rtl/>
              </w:rPr>
              <w:t>الشكل</w:t>
            </w:r>
            <w:r w:rsidR="00E12AF7" w:rsidRPr="008D22A6">
              <w:rPr>
                <w:rStyle w:val="Lienhypertexte"/>
                <w:rtl/>
              </w:rPr>
              <w:t xml:space="preserve"> (2-7): </w:t>
            </w:r>
            <w:r w:rsidR="00E12AF7" w:rsidRPr="008D22A6">
              <w:rPr>
                <w:rStyle w:val="Lienhypertexte"/>
                <w:rFonts w:hint="eastAsia"/>
                <w:rtl/>
              </w:rPr>
              <w:t>مشاركة</w:t>
            </w:r>
            <w:r w:rsidR="00E12AF7" w:rsidRPr="008D22A6">
              <w:rPr>
                <w:rStyle w:val="Lienhypertexte"/>
                <w:rtl/>
              </w:rPr>
              <w:t xml:space="preserve"> </w:t>
            </w:r>
            <w:r w:rsidR="00E12AF7" w:rsidRPr="008D22A6">
              <w:rPr>
                <w:rStyle w:val="Lienhypertexte"/>
                <w:rFonts w:hint="eastAsia"/>
                <w:rtl/>
              </w:rPr>
              <w:t>المواطنين</w:t>
            </w:r>
            <w:r w:rsidR="00E12AF7" w:rsidRPr="008D22A6">
              <w:rPr>
                <w:rStyle w:val="Lienhypertexte"/>
                <w:rtl/>
              </w:rPr>
              <w:t xml:space="preserve"> </w:t>
            </w:r>
            <w:r w:rsidR="00E12AF7" w:rsidRPr="008D22A6">
              <w:rPr>
                <w:rStyle w:val="Lienhypertexte"/>
                <w:rFonts w:hint="eastAsia"/>
                <w:rtl/>
              </w:rPr>
              <w:t>من</w:t>
            </w:r>
            <w:r w:rsidR="00E12AF7" w:rsidRPr="008D22A6">
              <w:rPr>
                <w:rStyle w:val="Lienhypertexte"/>
                <w:rtl/>
              </w:rPr>
              <w:t xml:space="preserve"> </w:t>
            </w:r>
            <w:r w:rsidR="00E12AF7" w:rsidRPr="008D22A6">
              <w:rPr>
                <w:rStyle w:val="Lienhypertexte"/>
                <w:rFonts w:hint="eastAsia"/>
                <w:rtl/>
              </w:rPr>
              <w:t>خلال</w:t>
            </w:r>
            <w:r w:rsidR="00E12AF7" w:rsidRPr="008D22A6">
              <w:rPr>
                <w:rStyle w:val="Lienhypertexte"/>
                <w:rtl/>
              </w:rPr>
              <w:t xml:space="preserve"> </w:t>
            </w:r>
            <w:r w:rsidR="00E12AF7" w:rsidRPr="008D22A6">
              <w:rPr>
                <w:rStyle w:val="Lienhypertexte"/>
                <w:rFonts w:hint="eastAsia"/>
                <w:rtl/>
              </w:rPr>
              <w:t>المراصد</w:t>
            </w:r>
            <w:r w:rsidR="00E12AF7" w:rsidRPr="008D22A6">
              <w:rPr>
                <w:rStyle w:val="Lienhypertexte"/>
                <w:rtl/>
              </w:rPr>
              <w:t xml:space="preserve"> </w:t>
            </w:r>
            <w:r w:rsidR="00E12AF7" w:rsidRPr="008D22A6">
              <w:rPr>
                <w:rStyle w:val="Lienhypertexte"/>
                <w:rFonts w:hint="eastAsia"/>
                <w:rtl/>
              </w:rPr>
              <w:t>القائمة</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تكنولوجيا</w:t>
            </w:r>
            <w:r w:rsidR="00E12AF7" w:rsidRPr="008D22A6">
              <w:rPr>
                <w:rStyle w:val="Lienhypertexte"/>
                <w:rtl/>
              </w:rPr>
              <w:t xml:space="preserve"> </w:t>
            </w:r>
            <w:r w:rsidR="00E12AF7" w:rsidRPr="008D22A6">
              <w:rPr>
                <w:rStyle w:val="Lienhypertexte"/>
                <w:rFonts w:hint="eastAsia"/>
                <w:rtl/>
              </w:rPr>
              <w:t>المعلومات</w:t>
            </w:r>
            <w:r w:rsidR="00E12AF7" w:rsidRPr="008D22A6">
              <w:rPr>
                <w:rStyle w:val="Lienhypertexte"/>
                <w:rtl/>
              </w:rPr>
              <w:t xml:space="preserve"> </w:t>
            </w:r>
            <w:r w:rsidR="00E12AF7" w:rsidRPr="008D22A6">
              <w:rPr>
                <w:rStyle w:val="Lienhypertexte"/>
                <w:rFonts w:hint="eastAsia"/>
                <w:rtl/>
              </w:rPr>
              <w:t>والاتصالات</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_Toc171803460 \h </w:instrText>
            </w:r>
            <w:r w:rsidR="00E12AF7">
              <w:rPr>
                <w:webHidden/>
              </w:rPr>
            </w:r>
            <w:r w:rsidR="00E12AF7">
              <w:rPr>
                <w:webHidden/>
              </w:rPr>
              <w:fldChar w:fldCharType="separate"/>
            </w:r>
            <w:r>
              <w:rPr>
                <w:webHidden/>
                <w:rtl/>
                <w:lang w:bidi="ar-SA"/>
              </w:rPr>
              <w:t>67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68" w:history="1">
            <w:r w:rsidR="00E12AF7" w:rsidRPr="008D22A6">
              <w:rPr>
                <w:rStyle w:val="Lienhypertexte"/>
                <w:rFonts w:hint="eastAsia"/>
                <w:rtl/>
              </w:rPr>
              <w:t>الشكل</w:t>
            </w:r>
            <w:r w:rsidR="00E12AF7" w:rsidRPr="008D22A6">
              <w:rPr>
                <w:rStyle w:val="Lienhypertexte"/>
                <w:rtl/>
              </w:rPr>
              <w:t xml:space="preserve"> (2-8): </w:t>
            </w:r>
            <w:r w:rsidR="00E12AF7" w:rsidRPr="008D22A6">
              <w:rPr>
                <w:rStyle w:val="Lienhypertexte"/>
                <w:rFonts w:hint="eastAsia"/>
                <w:rtl/>
              </w:rPr>
              <w:t>مؤشر</w:t>
            </w:r>
            <w:r w:rsidR="00E12AF7" w:rsidRPr="008D22A6">
              <w:rPr>
                <w:rStyle w:val="Lienhypertexte"/>
                <w:rtl/>
              </w:rPr>
              <w:t xml:space="preserve"> </w:t>
            </w:r>
            <w:r w:rsidR="00E12AF7" w:rsidRPr="008D22A6">
              <w:rPr>
                <w:rStyle w:val="Lienhypertexte"/>
                <w:rFonts w:hint="eastAsia"/>
                <w:rtl/>
              </w:rPr>
              <w:t>هرمي</w:t>
            </w:r>
            <w:r w:rsidR="00E12AF7" w:rsidRPr="008D22A6">
              <w:rPr>
                <w:rStyle w:val="Lienhypertexte"/>
                <w:rtl/>
              </w:rPr>
              <w:t xml:space="preserve"> </w:t>
            </w:r>
            <w:r w:rsidR="00E12AF7" w:rsidRPr="008D22A6">
              <w:rPr>
                <w:rStyle w:val="Lienhypertexte"/>
                <w:rFonts w:hint="eastAsia"/>
                <w:rtl/>
              </w:rPr>
              <w:t>للمرونة</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_Toc171803468 \h </w:instrText>
            </w:r>
            <w:r w:rsidR="00E12AF7">
              <w:rPr>
                <w:webHidden/>
              </w:rPr>
            </w:r>
            <w:r w:rsidR="00E12AF7">
              <w:rPr>
                <w:webHidden/>
              </w:rPr>
              <w:fldChar w:fldCharType="separate"/>
            </w:r>
            <w:r>
              <w:rPr>
                <w:webHidden/>
                <w:rtl/>
                <w:lang w:bidi="ar-SA"/>
              </w:rPr>
              <w:t>70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72" w:history="1">
            <w:r w:rsidR="00E12AF7" w:rsidRPr="008D22A6">
              <w:rPr>
                <w:rStyle w:val="Lienhypertexte"/>
                <w:rFonts w:hint="eastAsia"/>
                <w:rtl/>
              </w:rPr>
              <w:t>الشكل</w:t>
            </w:r>
            <w:r w:rsidR="00E12AF7" w:rsidRPr="008D22A6">
              <w:rPr>
                <w:rStyle w:val="Lienhypertexte"/>
                <w:rtl/>
              </w:rPr>
              <w:t xml:space="preserve"> (2-9): </w:t>
            </w:r>
            <w:r w:rsidR="00E12AF7" w:rsidRPr="008D22A6">
              <w:rPr>
                <w:rStyle w:val="Lienhypertexte"/>
                <w:rFonts w:hint="eastAsia"/>
                <w:rtl/>
              </w:rPr>
              <w:t>رسم</w:t>
            </w:r>
            <w:r w:rsidR="00E12AF7" w:rsidRPr="008D22A6">
              <w:rPr>
                <w:rStyle w:val="Lienhypertexte"/>
                <w:rtl/>
              </w:rPr>
              <w:t xml:space="preserve"> </w:t>
            </w:r>
            <w:r w:rsidR="00E12AF7" w:rsidRPr="008D22A6">
              <w:rPr>
                <w:rStyle w:val="Lienhypertexte"/>
                <w:rFonts w:hint="eastAsia"/>
                <w:rtl/>
              </w:rPr>
              <w:t>بياني</w:t>
            </w:r>
            <w:r w:rsidR="00E12AF7" w:rsidRPr="008D22A6">
              <w:rPr>
                <w:rStyle w:val="Lienhypertexte"/>
                <w:rtl/>
              </w:rPr>
              <w:t xml:space="preserve"> </w:t>
            </w:r>
            <w:r w:rsidR="00E12AF7" w:rsidRPr="008D22A6">
              <w:rPr>
                <w:rStyle w:val="Lienhypertexte"/>
                <w:rFonts w:hint="eastAsia"/>
                <w:rtl/>
              </w:rPr>
              <w:t>تخطيطي</w:t>
            </w:r>
            <w:r w:rsidR="00E12AF7" w:rsidRPr="008D22A6">
              <w:rPr>
                <w:rStyle w:val="Lienhypertexte"/>
                <w:rtl/>
              </w:rPr>
              <w:t xml:space="preserve"> </w:t>
            </w:r>
            <w:r w:rsidR="00E12AF7" w:rsidRPr="008D22A6">
              <w:rPr>
                <w:rStyle w:val="Lienhypertexte"/>
                <w:rFonts w:hint="eastAsia"/>
                <w:rtl/>
              </w:rPr>
              <w:t>لنمذجة</w:t>
            </w:r>
            <w:r w:rsidR="00E12AF7" w:rsidRPr="008D22A6">
              <w:rPr>
                <w:rStyle w:val="Lienhypertexte"/>
                <w:rtl/>
              </w:rPr>
              <w:t xml:space="preserve"> </w:t>
            </w:r>
            <w:r w:rsidR="00E12AF7" w:rsidRPr="008D22A6">
              <w:rPr>
                <w:rStyle w:val="Lienhypertexte"/>
                <w:rFonts w:hint="eastAsia"/>
                <w:rtl/>
              </w:rPr>
              <w:t>معدل</w:t>
            </w:r>
            <w:r w:rsidR="00E12AF7" w:rsidRPr="008D22A6">
              <w:rPr>
                <w:rStyle w:val="Lienhypertexte"/>
                <w:rtl/>
              </w:rPr>
              <w:t xml:space="preserve"> </w:t>
            </w:r>
            <w:r w:rsidR="00E12AF7" w:rsidRPr="008D22A6">
              <w:rPr>
                <w:rStyle w:val="Lienhypertexte"/>
                <w:rFonts w:hint="eastAsia"/>
                <w:rtl/>
              </w:rPr>
              <w:t>المرونة</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_Toc171803472 \h </w:instrText>
            </w:r>
            <w:r w:rsidR="00E12AF7">
              <w:rPr>
                <w:webHidden/>
              </w:rPr>
            </w:r>
            <w:r w:rsidR="00E12AF7">
              <w:rPr>
                <w:webHidden/>
              </w:rPr>
              <w:fldChar w:fldCharType="separate"/>
            </w:r>
            <w:r>
              <w:rPr>
                <w:webHidden/>
                <w:rtl/>
                <w:lang w:bidi="ar-SA"/>
              </w:rPr>
              <w:t>71</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76" w:history="1">
            <w:r w:rsidR="00E12AF7" w:rsidRPr="008D22A6">
              <w:rPr>
                <w:rStyle w:val="Lienhypertexte"/>
                <w:rFonts w:hint="eastAsia"/>
                <w:rtl/>
              </w:rPr>
              <w:t>الشكل</w:t>
            </w:r>
            <w:r w:rsidR="00E12AF7" w:rsidRPr="008D22A6">
              <w:rPr>
                <w:rStyle w:val="Lienhypertexte"/>
                <w:rtl/>
              </w:rPr>
              <w:t xml:space="preserve"> (2-10): </w:t>
            </w:r>
            <w:r w:rsidR="00E12AF7" w:rsidRPr="008D22A6">
              <w:rPr>
                <w:rStyle w:val="Lienhypertexte"/>
                <w:rFonts w:hint="eastAsia"/>
                <w:rtl/>
              </w:rPr>
              <w:t>رسم</w:t>
            </w:r>
            <w:r w:rsidR="00E12AF7" w:rsidRPr="008D22A6">
              <w:rPr>
                <w:rStyle w:val="Lienhypertexte"/>
                <w:rtl/>
              </w:rPr>
              <w:t xml:space="preserve"> </w:t>
            </w:r>
            <w:r w:rsidR="00E12AF7" w:rsidRPr="008D22A6">
              <w:rPr>
                <w:rStyle w:val="Lienhypertexte"/>
                <w:rFonts w:hint="eastAsia"/>
                <w:rtl/>
              </w:rPr>
              <w:t>بياني</w:t>
            </w:r>
            <w:r w:rsidR="00E12AF7" w:rsidRPr="008D22A6">
              <w:rPr>
                <w:rStyle w:val="Lienhypertexte"/>
                <w:rtl/>
              </w:rPr>
              <w:t xml:space="preserve"> </w:t>
            </w:r>
            <w:r w:rsidR="00E12AF7" w:rsidRPr="008D22A6">
              <w:rPr>
                <w:rStyle w:val="Lienhypertexte"/>
                <w:rFonts w:hint="eastAsia"/>
                <w:rtl/>
              </w:rPr>
              <w:t>تخطيطي</w:t>
            </w:r>
            <w:r w:rsidR="00E12AF7" w:rsidRPr="008D22A6">
              <w:rPr>
                <w:rStyle w:val="Lienhypertexte"/>
                <w:rtl/>
              </w:rPr>
              <w:t xml:space="preserve"> </w:t>
            </w:r>
            <w:r w:rsidR="00E12AF7" w:rsidRPr="008D22A6">
              <w:rPr>
                <w:rStyle w:val="Lienhypertexte"/>
                <w:rFonts w:hint="eastAsia"/>
                <w:rtl/>
              </w:rPr>
              <w:t>لنمذجة</w:t>
            </w:r>
            <w:r w:rsidR="00E12AF7" w:rsidRPr="008D22A6">
              <w:rPr>
                <w:rStyle w:val="Lienhypertexte"/>
                <w:rtl/>
              </w:rPr>
              <w:t xml:space="preserve"> </w:t>
            </w:r>
            <w:r w:rsidR="00E12AF7" w:rsidRPr="008D22A6">
              <w:rPr>
                <w:rStyle w:val="Lienhypertexte"/>
                <w:rFonts w:hint="eastAsia"/>
                <w:rtl/>
              </w:rPr>
              <w:t>معدل</w:t>
            </w:r>
            <w:r w:rsidR="00E12AF7" w:rsidRPr="008D22A6">
              <w:rPr>
                <w:rStyle w:val="Lienhypertexte"/>
                <w:rtl/>
              </w:rPr>
              <w:t xml:space="preserve"> </w:t>
            </w:r>
            <w:r w:rsidR="00E12AF7" w:rsidRPr="008D22A6">
              <w:rPr>
                <w:rStyle w:val="Lienhypertexte"/>
                <w:rFonts w:hint="eastAsia"/>
                <w:rtl/>
              </w:rPr>
              <w:t>المرونة</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_Toc171803476 \h </w:instrText>
            </w:r>
            <w:r w:rsidR="00E12AF7">
              <w:rPr>
                <w:webHidden/>
              </w:rPr>
            </w:r>
            <w:r w:rsidR="00E12AF7">
              <w:rPr>
                <w:webHidden/>
              </w:rPr>
              <w:fldChar w:fldCharType="separate"/>
            </w:r>
            <w:r>
              <w:rPr>
                <w:webHidden/>
                <w:rtl/>
                <w:lang w:bidi="ar-SA"/>
              </w:rPr>
              <w:t>73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81" w:history="1">
            <w:r w:rsidR="00E12AF7" w:rsidRPr="008D22A6">
              <w:rPr>
                <w:rStyle w:val="Lienhypertexte"/>
                <w:rFonts w:hint="eastAsia"/>
                <w:rtl/>
              </w:rPr>
              <w:t>الشكل</w:t>
            </w:r>
            <w:r w:rsidR="00E12AF7" w:rsidRPr="008D22A6">
              <w:rPr>
                <w:rStyle w:val="Lienhypertexte"/>
                <w:rtl/>
              </w:rPr>
              <w:t xml:space="preserve"> (2-11): </w:t>
            </w:r>
            <w:r w:rsidR="00E12AF7" w:rsidRPr="008D22A6">
              <w:rPr>
                <w:rStyle w:val="Lienhypertexte"/>
                <w:rFonts w:hint="eastAsia"/>
                <w:rtl/>
              </w:rPr>
              <w:t>تمثيل</w:t>
            </w:r>
            <w:r w:rsidR="00E12AF7" w:rsidRPr="008D22A6">
              <w:rPr>
                <w:rStyle w:val="Lienhypertexte"/>
                <w:rtl/>
              </w:rPr>
              <w:t xml:space="preserve"> </w:t>
            </w:r>
            <w:r w:rsidR="00E12AF7" w:rsidRPr="008D22A6">
              <w:rPr>
                <w:rStyle w:val="Lienhypertexte"/>
                <w:rFonts w:hint="eastAsia"/>
                <w:rtl/>
              </w:rPr>
              <w:t>بياني</w:t>
            </w:r>
            <w:r w:rsidR="00E12AF7" w:rsidRPr="008D22A6">
              <w:rPr>
                <w:rStyle w:val="Lienhypertexte"/>
                <w:rtl/>
              </w:rPr>
              <w:t xml:space="preserve"> </w:t>
            </w:r>
            <w:r w:rsidR="00E12AF7" w:rsidRPr="008D22A6">
              <w:rPr>
                <w:rStyle w:val="Lienhypertexte"/>
                <w:rFonts w:hint="eastAsia"/>
                <w:rtl/>
              </w:rPr>
              <w:t>لبناء</w:t>
            </w:r>
            <w:r w:rsidR="00E12AF7" w:rsidRPr="008D22A6">
              <w:rPr>
                <w:rStyle w:val="Lienhypertexte"/>
                <w:rtl/>
              </w:rPr>
              <w:t xml:space="preserve"> </w:t>
            </w:r>
            <w:r w:rsidR="00E12AF7" w:rsidRPr="008D22A6">
              <w:rPr>
                <w:rStyle w:val="Lienhypertexte"/>
                <w:rFonts w:hint="eastAsia"/>
                <w:rtl/>
              </w:rPr>
              <w:t>مؤشرات</w:t>
            </w:r>
            <w:r w:rsidR="00E12AF7" w:rsidRPr="008D22A6">
              <w:rPr>
                <w:rStyle w:val="Lienhypertexte"/>
                <w:rtl/>
              </w:rPr>
              <w:t xml:space="preserve"> </w:t>
            </w:r>
            <w:r w:rsidR="00E12AF7" w:rsidRPr="008D22A6">
              <w:rPr>
                <w:rStyle w:val="Lienhypertexte"/>
                <w:rFonts w:hint="eastAsia"/>
                <w:rtl/>
              </w:rPr>
              <w:t>للمرونة</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_Toc171803481 \h </w:instrText>
            </w:r>
            <w:r w:rsidR="00E12AF7">
              <w:rPr>
                <w:webHidden/>
              </w:rPr>
            </w:r>
            <w:r w:rsidR="00E12AF7">
              <w:rPr>
                <w:webHidden/>
              </w:rPr>
              <w:fldChar w:fldCharType="separate"/>
            </w:r>
            <w:r>
              <w:rPr>
                <w:webHidden/>
                <w:rtl/>
                <w:lang w:bidi="ar-SA"/>
              </w:rPr>
              <w:t>75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83" w:history="1">
            <w:r w:rsidR="00E12AF7" w:rsidRPr="008D22A6">
              <w:rPr>
                <w:rStyle w:val="Lienhypertexte"/>
                <w:rFonts w:hint="eastAsia"/>
                <w:rtl/>
              </w:rPr>
              <w:t>الشكل</w:t>
            </w:r>
            <w:r w:rsidR="00E12AF7" w:rsidRPr="008D22A6">
              <w:rPr>
                <w:rStyle w:val="Lienhypertexte"/>
                <w:rtl/>
              </w:rPr>
              <w:t xml:space="preserve"> (2-12): </w:t>
            </w:r>
            <w:r w:rsidR="00E12AF7" w:rsidRPr="008D22A6">
              <w:rPr>
                <w:rStyle w:val="Lienhypertexte"/>
                <w:rFonts w:hint="eastAsia"/>
                <w:rtl/>
              </w:rPr>
              <w:t>العلاقات</w:t>
            </w:r>
            <w:r w:rsidR="00E12AF7" w:rsidRPr="008D22A6">
              <w:rPr>
                <w:rStyle w:val="Lienhypertexte"/>
                <w:rtl/>
              </w:rPr>
              <w:t xml:space="preserve"> </w:t>
            </w:r>
            <w:r w:rsidR="00E12AF7" w:rsidRPr="008D22A6">
              <w:rPr>
                <w:rStyle w:val="Lienhypertexte"/>
                <w:rFonts w:hint="eastAsia"/>
                <w:rtl/>
              </w:rPr>
              <w:t>المتبادلة</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المؤشرات</w:t>
            </w:r>
            <w:r w:rsidR="00E12AF7" w:rsidRPr="008D22A6">
              <w:rPr>
                <w:rStyle w:val="Lienhypertexte"/>
                <w:rtl/>
              </w:rPr>
              <w:t xml:space="preserve"> </w:t>
            </w:r>
            <w:r w:rsidR="00E12AF7" w:rsidRPr="008D22A6">
              <w:rPr>
                <w:rStyle w:val="Lienhypertexte"/>
                <w:rFonts w:hint="eastAsia"/>
                <w:rtl/>
              </w:rPr>
              <w:t>والبيانات</w:t>
            </w:r>
            <w:r w:rsidR="00E12AF7" w:rsidRPr="008D22A6">
              <w:rPr>
                <w:rStyle w:val="Lienhypertexte"/>
                <w:rtl/>
              </w:rPr>
              <w:t xml:space="preserve"> </w:t>
            </w:r>
            <w:r w:rsidR="00E12AF7" w:rsidRPr="008D22A6">
              <w:rPr>
                <w:rStyle w:val="Lienhypertexte"/>
                <w:rFonts w:hint="eastAsia"/>
                <w:rtl/>
              </w:rPr>
              <w:t>والأهداف</w:t>
            </w:r>
            <w:r w:rsidR="00E12AF7" w:rsidRPr="008D22A6">
              <w:rPr>
                <w:rStyle w:val="Lienhypertexte"/>
                <w:rtl/>
              </w:rPr>
              <w:t xml:space="preserve"> </w:t>
            </w:r>
            <w:r w:rsidR="00E12AF7" w:rsidRPr="008D22A6">
              <w:rPr>
                <w:rStyle w:val="Lienhypertexte"/>
                <w:rFonts w:hint="eastAsia"/>
                <w:rtl/>
              </w:rPr>
              <w:t>النهائية</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_Toc171803483 \h </w:instrText>
            </w:r>
            <w:r w:rsidR="00E12AF7">
              <w:rPr>
                <w:webHidden/>
              </w:rPr>
            </w:r>
            <w:r w:rsidR="00E12AF7">
              <w:rPr>
                <w:webHidden/>
              </w:rPr>
              <w:fldChar w:fldCharType="separate"/>
            </w:r>
            <w:r>
              <w:rPr>
                <w:webHidden/>
                <w:rtl/>
                <w:lang w:bidi="ar-SA"/>
              </w:rPr>
              <w:t>76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85" w:history="1">
            <w:r w:rsidR="00E12AF7" w:rsidRPr="008D22A6">
              <w:rPr>
                <w:rStyle w:val="Lienhypertexte"/>
                <w:rFonts w:hint="eastAsia"/>
                <w:rtl/>
              </w:rPr>
              <w:t>الشكل</w:t>
            </w:r>
            <w:r w:rsidR="00E12AF7" w:rsidRPr="008D22A6">
              <w:rPr>
                <w:rStyle w:val="Lienhypertexte"/>
                <w:rtl/>
              </w:rPr>
              <w:t xml:space="preserve"> (2-13): </w:t>
            </w:r>
            <w:r w:rsidR="00E12AF7" w:rsidRPr="008D22A6">
              <w:rPr>
                <w:rStyle w:val="Lienhypertexte"/>
                <w:rFonts w:hint="eastAsia"/>
                <w:rtl/>
              </w:rPr>
              <w:t>امثلة</w:t>
            </w:r>
            <w:r w:rsidR="00E12AF7" w:rsidRPr="008D22A6">
              <w:rPr>
                <w:rStyle w:val="Lienhypertexte"/>
                <w:rtl/>
              </w:rPr>
              <w:t xml:space="preserve"> </w:t>
            </w:r>
            <w:r w:rsidR="00E12AF7" w:rsidRPr="008D22A6">
              <w:rPr>
                <w:rStyle w:val="Lienhypertexte"/>
                <w:rFonts w:hint="eastAsia"/>
                <w:rtl/>
              </w:rPr>
              <w:t>عن</w:t>
            </w:r>
            <w:r w:rsidR="00E12AF7" w:rsidRPr="008D22A6">
              <w:rPr>
                <w:rStyle w:val="Lienhypertexte"/>
                <w:rtl/>
              </w:rPr>
              <w:t xml:space="preserve"> </w:t>
            </w:r>
            <w:r w:rsidR="00E12AF7" w:rsidRPr="008D22A6">
              <w:rPr>
                <w:rStyle w:val="Lienhypertexte"/>
                <w:rFonts w:hint="eastAsia"/>
                <w:rtl/>
              </w:rPr>
              <w:t>قياس</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المباشرة</w:t>
            </w:r>
            <w:r w:rsidR="008246D9" w:rsidRPr="008246D9">
              <w:rPr>
                <w:rStyle w:val="Lienhypertexte"/>
                <w:rtl/>
              </w:rPr>
              <w:t>………………</w:t>
            </w:r>
            <w:r w:rsidR="008246D9">
              <w:rPr>
                <w:rStyle w:val="Lienhypertexte"/>
                <w:rFonts w:hint="cs"/>
                <w:rtl/>
              </w:rPr>
              <w:t>....</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_Toc171803485 \h </w:instrText>
            </w:r>
            <w:r w:rsidR="00E12AF7">
              <w:rPr>
                <w:webHidden/>
              </w:rPr>
            </w:r>
            <w:r w:rsidR="00E12AF7">
              <w:rPr>
                <w:webHidden/>
              </w:rPr>
              <w:fldChar w:fldCharType="separate"/>
            </w:r>
            <w:r>
              <w:rPr>
                <w:webHidden/>
                <w:rtl/>
                <w:lang w:bidi="ar-SA"/>
              </w:rPr>
              <w:t>77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87" w:history="1">
            <w:r w:rsidR="00E12AF7" w:rsidRPr="008D22A6">
              <w:rPr>
                <w:rStyle w:val="Lienhypertexte"/>
                <w:rFonts w:hint="eastAsia"/>
                <w:rtl/>
              </w:rPr>
              <w:t>الشكل</w:t>
            </w:r>
            <w:r w:rsidR="00E12AF7" w:rsidRPr="008D22A6">
              <w:rPr>
                <w:rStyle w:val="Lienhypertexte"/>
                <w:rtl/>
              </w:rPr>
              <w:t xml:space="preserve"> (2-14): </w:t>
            </w:r>
            <w:r w:rsidR="00E12AF7" w:rsidRPr="008D22A6">
              <w:rPr>
                <w:rStyle w:val="Lienhypertexte"/>
                <w:rFonts w:hint="eastAsia"/>
                <w:rtl/>
              </w:rPr>
              <w:t>امثلة</w:t>
            </w:r>
            <w:r w:rsidR="00E12AF7" w:rsidRPr="008D22A6">
              <w:rPr>
                <w:rStyle w:val="Lienhypertexte"/>
                <w:rtl/>
              </w:rPr>
              <w:t xml:space="preserve"> </w:t>
            </w:r>
            <w:r w:rsidR="00E12AF7" w:rsidRPr="008D22A6">
              <w:rPr>
                <w:rStyle w:val="Lienhypertexte"/>
                <w:rFonts w:hint="eastAsia"/>
                <w:rtl/>
              </w:rPr>
              <w:t>عن</w:t>
            </w:r>
            <w:r w:rsidR="00E12AF7" w:rsidRPr="008D22A6">
              <w:rPr>
                <w:rStyle w:val="Lienhypertexte"/>
                <w:rtl/>
              </w:rPr>
              <w:t xml:space="preserve"> </w:t>
            </w:r>
            <w:r w:rsidR="00E12AF7" w:rsidRPr="008D22A6">
              <w:rPr>
                <w:rStyle w:val="Lienhypertexte"/>
                <w:rFonts w:hint="eastAsia"/>
                <w:rtl/>
              </w:rPr>
              <w:t>قياس</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غير</w:t>
            </w:r>
            <w:r w:rsidR="00E12AF7" w:rsidRPr="008D22A6">
              <w:rPr>
                <w:rStyle w:val="Lienhypertexte"/>
                <w:rtl/>
              </w:rPr>
              <w:t xml:space="preserve"> </w:t>
            </w:r>
            <w:r w:rsidR="00E12AF7" w:rsidRPr="008D22A6">
              <w:rPr>
                <w:rStyle w:val="Lienhypertexte"/>
                <w:rFonts w:hint="eastAsia"/>
                <w:rtl/>
              </w:rPr>
              <w:t>المباشرة</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_Toc171803487 \h </w:instrText>
            </w:r>
            <w:r w:rsidR="00E12AF7">
              <w:rPr>
                <w:webHidden/>
              </w:rPr>
            </w:r>
            <w:r w:rsidR="00E12AF7">
              <w:rPr>
                <w:webHidden/>
              </w:rPr>
              <w:fldChar w:fldCharType="separate"/>
            </w:r>
            <w:r>
              <w:rPr>
                <w:webHidden/>
                <w:rtl/>
                <w:lang w:bidi="ar-SA"/>
              </w:rPr>
              <w:t>77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90" w:history="1">
            <w:r w:rsidR="00E12AF7" w:rsidRPr="008D22A6">
              <w:rPr>
                <w:rStyle w:val="Lienhypertexte"/>
                <w:rFonts w:hint="eastAsia"/>
                <w:rtl/>
              </w:rPr>
              <w:t>الشكل</w:t>
            </w:r>
            <w:r w:rsidR="00E12AF7" w:rsidRPr="008D22A6">
              <w:rPr>
                <w:rStyle w:val="Lienhypertexte"/>
                <w:rtl/>
              </w:rPr>
              <w:t xml:space="preserve"> (2-15): </w:t>
            </w:r>
            <w:r w:rsidR="00E12AF7" w:rsidRPr="008D22A6">
              <w:rPr>
                <w:rStyle w:val="Lienhypertexte"/>
                <w:rFonts w:hint="eastAsia"/>
                <w:rtl/>
              </w:rPr>
              <w:t>اطار</w:t>
            </w:r>
            <w:r w:rsidR="00E12AF7" w:rsidRPr="008D22A6">
              <w:rPr>
                <w:rStyle w:val="Lienhypertexte"/>
                <w:rtl/>
              </w:rPr>
              <w:t xml:space="preserve"> </w:t>
            </w:r>
            <w:r w:rsidR="00E12AF7" w:rsidRPr="008D22A6">
              <w:rPr>
                <w:rStyle w:val="Lienhypertexte"/>
                <w:rFonts w:hint="eastAsia"/>
                <w:rtl/>
              </w:rPr>
              <w:t>مفاهيمي</w:t>
            </w:r>
            <w:r w:rsidR="00E12AF7" w:rsidRPr="008D22A6">
              <w:rPr>
                <w:rStyle w:val="Lienhypertexte"/>
                <w:rtl/>
              </w:rPr>
              <w:t xml:space="preserve"> </w:t>
            </w:r>
            <w:r w:rsidR="00E12AF7" w:rsidRPr="008D22A6">
              <w:rPr>
                <w:rStyle w:val="Lienhypertexte"/>
                <w:rFonts w:hint="eastAsia"/>
                <w:rtl/>
              </w:rPr>
              <w:t>لمرونة</w:t>
            </w:r>
            <w:r w:rsidR="00E12AF7" w:rsidRPr="008D22A6">
              <w:rPr>
                <w:rStyle w:val="Lienhypertexte"/>
                <w:rtl/>
              </w:rPr>
              <w:t xml:space="preserve"> </w:t>
            </w:r>
            <w:r w:rsidR="00E12AF7" w:rsidRPr="008D22A6">
              <w:rPr>
                <w:rStyle w:val="Lienhypertexte"/>
                <w:rFonts w:hint="eastAsia"/>
                <w:rtl/>
              </w:rPr>
              <w:t>البيئة</w:t>
            </w:r>
            <w:r w:rsidR="00E12AF7" w:rsidRPr="008D22A6">
              <w:rPr>
                <w:rStyle w:val="Lienhypertexte"/>
                <w:rtl/>
              </w:rPr>
              <w:t xml:space="preserve"> </w:t>
            </w:r>
            <w:r w:rsidR="00E12AF7" w:rsidRPr="008D22A6">
              <w:rPr>
                <w:rStyle w:val="Lienhypertexte"/>
                <w:rFonts w:hint="eastAsia"/>
                <w:rtl/>
              </w:rPr>
              <w:t>الحضرية</w:t>
            </w:r>
            <w:r w:rsidR="008246D9" w:rsidRPr="008246D9">
              <w:rPr>
                <w:rStyle w:val="Lienhypertexte"/>
                <w:rtl/>
              </w:rPr>
              <w:t>…</w:t>
            </w:r>
            <w:r w:rsidR="008246D9">
              <w:rPr>
                <w:rStyle w:val="Lienhypertexte"/>
                <w:rFonts w:hint="cs"/>
                <w:rtl/>
              </w:rPr>
              <w:t>.</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_Toc171803490 \h </w:instrText>
            </w:r>
            <w:r w:rsidR="00E12AF7">
              <w:rPr>
                <w:webHidden/>
              </w:rPr>
            </w:r>
            <w:r w:rsidR="00E12AF7">
              <w:rPr>
                <w:webHidden/>
              </w:rPr>
              <w:fldChar w:fldCharType="separate"/>
            </w:r>
            <w:r>
              <w:rPr>
                <w:webHidden/>
                <w:rtl/>
                <w:lang w:bidi="ar-SA"/>
              </w:rPr>
              <w:t>79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498" w:history="1">
            <w:r w:rsidR="00E12AF7" w:rsidRPr="008D22A6">
              <w:rPr>
                <w:rStyle w:val="Lienhypertexte"/>
                <w:rFonts w:hint="eastAsia"/>
                <w:rtl/>
              </w:rPr>
              <w:t>الشكل</w:t>
            </w:r>
            <w:r w:rsidR="00E12AF7" w:rsidRPr="008D22A6">
              <w:rPr>
                <w:rStyle w:val="Lienhypertexte"/>
                <w:rtl/>
              </w:rPr>
              <w:t xml:space="preserve">(2-16): </w:t>
            </w:r>
            <w:r w:rsidR="00E12AF7" w:rsidRPr="008D22A6">
              <w:rPr>
                <w:rStyle w:val="Lienhypertexte"/>
                <w:rFonts w:hint="eastAsia"/>
                <w:rtl/>
              </w:rPr>
              <w:t>نظرة</w:t>
            </w:r>
            <w:r w:rsidR="00E12AF7" w:rsidRPr="008D22A6">
              <w:rPr>
                <w:rStyle w:val="Lienhypertexte"/>
                <w:rtl/>
              </w:rPr>
              <w:t xml:space="preserve"> </w:t>
            </w:r>
            <w:r w:rsidR="00E12AF7" w:rsidRPr="008D22A6">
              <w:rPr>
                <w:rStyle w:val="Lienhypertexte"/>
                <w:rFonts w:hint="eastAsia"/>
                <w:rtl/>
              </w:rPr>
              <w:t>عامة</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الفجوات</w:t>
            </w:r>
            <w:r w:rsidR="00E12AF7" w:rsidRPr="008D22A6">
              <w:rPr>
                <w:rStyle w:val="Lienhypertexte"/>
                <w:rtl/>
              </w:rPr>
              <w:t xml:space="preserve"> </w:t>
            </w:r>
            <w:r w:rsidR="00E12AF7" w:rsidRPr="008D22A6">
              <w:rPr>
                <w:rStyle w:val="Lienhypertexte"/>
                <w:rFonts w:hint="eastAsia"/>
                <w:rtl/>
              </w:rPr>
              <w:t>وأسئلة</w:t>
            </w:r>
            <w:r w:rsidR="00E12AF7" w:rsidRPr="008D22A6">
              <w:rPr>
                <w:rStyle w:val="Lienhypertexte"/>
                <w:rtl/>
              </w:rPr>
              <w:t xml:space="preserve"> </w:t>
            </w:r>
            <w:r w:rsidR="00E12AF7" w:rsidRPr="008D22A6">
              <w:rPr>
                <w:rStyle w:val="Lienhypertexte"/>
                <w:rFonts w:hint="eastAsia"/>
                <w:rtl/>
              </w:rPr>
              <w:t>البحث</w:t>
            </w:r>
            <w:r w:rsidR="008246D9" w:rsidRPr="008246D9">
              <w:rPr>
                <w:rStyle w:val="Lienhypertexte"/>
                <w:rtl/>
              </w:rPr>
              <w:t>…………</w:t>
            </w:r>
            <w:r w:rsidR="008246D9">
              <w:rPr>
                <w:rStyle w:val="Lienhypertexte"/>
                <w:rFonts w:hint="cs"/>
                <w:rtl/>
              </w:rPr>
              <w:t>.</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_Toc171803498 \h </w:instrText>
            </w:r>
            <w:r w:rsidR="00E12AF7">
              <w:rPr>
                <w:webHidden/>
              </w:rPr>
            </w:r>
            <w:r w:rsidR="00E12AF7">
              <w:rPr>
                <w:webHidden/>
              </w:rPr>
              <w:fldChar w:fldCharType="separate"/>
            </w:r>
            <w:r>
              <w:rPr>
                <w:webHidden/>
                <w:rtl/>
                <w:lang w:bidi="ar-SA"/>
              </w:rPr>
              <w:t>81</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01" w:history="1">
            <w:r w:rsidR="00E12AF7" w:rsidRPr="008D22A6">
              <w:rPr>
                <w:rStyle w:val="Lienhypertexte"/>
                <w:rFonts w:hint="eastAsia"/>
                <w:rtl/>
              </w:rPr>
              <w:t>الفصل</w:t>
            </w:r>
            <w:r w:rsidR="00E12AF7" w:rsidRPr="008D22A6">
              <w:rPr>
                <w:rStyle w:val="Lienhypertexte"/>
                <w:rtl/>
              </w:rPr>
              <w:t xml:space="preserve"> 3: </w:t>
            </w:r>
            <w:r w:rsidR="00E12AF7" w:rsidRPr="008D22A6">
              <w:rPr>
                <w:rStyle w:val="Lienhypertexte"/>
                <w:rFonts w:hint="eastAsia"/>
                <w:rtl/>
              </w:rPr>
              <w:t>تطوير</w:t>
            </w:r>
            <w:r w:rsidR="00E12AF7" w:rsidRPr="008D22A6">
              <w:rPr>
                <w:rStyle w:val="Lienhypertexte"/>
                <w:rtl/>
              </w:rPr>
              <w:t xml:space="preserve"> </w:t>
            </w:r>
            <w:r w:rsidR="00E12AF7" w:rsidRPr="008D22A6">
              <w:rPr>
                <w:rStyle w:val="Lienhypertexte"/>
                <w:rFonts w:hint="eastAsia"/>
                <w:rtl/>
              </w:rPr>
              <w:t>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لتقييم</w:t>
            </w:r>
            <w:r w:rsidR="00E12AF7" w:rsidRPr="008D22A6">
              <w:rPr>
                <w:rStyle w:val="Lienhypertexte"/>
                <w:rtl/>
              </w:rPr>
              <w:t xml:space="preserve"> </w:t>
            </w:r>
            <w:r w:rsidR="00E12AF7" w:rsidRPr="008D22A6">
              <w:rPr>
                <w:rStyle w:val="Lienhypertexte"/>
                <w:rFonts w:hint="eastAsia"/>
                <w:rtl/>
              </w:rPr>
              <w:t>مستويات</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hyperlink>
        </w:p>
        <w:p w:rsidR="00E12AF7" w:rsidRDefault="00B62F86" w:rsidP="009579D2">
          <w:pPr>
            <w:pStyle w:val="TM1"/>
            <w:rPr>
              <w:rFonts w:asciiTheme="minorHAnsi" w:hAnsiTheme="minorHAnsi" w:cstheme="minorBidi"/>
              <w:color w:val="auto"/>
              <w:lang w:val="fr-FR" w:bidi="ar-SA"/>
            </w:rPr>
          </w:pPr>
          <w:hyperlink w:anchor="_Toc171803504" w:history="1">
            <w:r w:rsidR="00E12AF7" w:rsidRPr="008D22A6">
              <w:rPr>
                <w:rStyle w:val="Lienhypertexte"/>
                <w:rFonts w:hint="eastAsia"/>
                <w:rtl/>
              </w:rPr>
              <w:t>الشكل</w:t>
            </w:r>
            <w:r w:rsidR="00E12AF7" w:rsidRPr="008D22A6">
              <w:rPr>
                <w:rStyle w:val="Lienhypertexte"/>
                <w:rtl/>
              </w:rPr>
              <w:t xml:space="preserve"> (3-1): </w:t>
            </w:r>
            <w:r w:rsidR="00E12AF7" w:rsidRPr="008D22A6">
              <w:rPr>
                <w:rStyle w:val="Lienhypertexte"/>
                <w:rFonts w:hint="eastAsia"/>
                <w:rtl/>
              </w:rPr>
              <w:t>المنهجية</w:t>
            </w:r>
            <w:r w:rsidR="00E12AF7" w:rsidRPr="008D22A6">
              <w:rPr>
                <w:rStyle w:val="Lienhypertexte"/>
                <w:rtl/>
              </w:rPr>
              <w:t xml:space="preserve"> </w:t>
            </w:r>
            <w:r w:rsidR="00E12AF7" w:rsidRPr="008D22A6">
              <w:rPr>
                <w:rStyle w:val="Lienhypertexte"/>
                <w:rFonts w:hint="eastAsia"/>
                <w:rtl/>
              </w:rPr>
              <w:t>المتبعة</w:t>
            </w:r>
            <w:r w:rsidR="00E12AF7" w:rsidRPr="008D22A6">
              <w:rPr>
                <w:rStyle w:val="Lienhypertexte"/>
                <w:rtl/>
              </w:rPr>
              <w:t xml:space="preserve"> </w:t>
            </w:r>
            <w:r w:rsidR="00E12AF7" w:rsidRPr="008D22A6">
              <w:rPr>
                <w:rStyle w:val="Lienhypertexte"/>
                <w:rFonts w:hint="eastAsia"/>
                <w:rtl/>
              </w:rPr>
              <w:t>لاطار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_Toc171803504 \h </w:instrText>
            </w:r>
            <w:r w:rsidR="00E12AF7">
              <w:rPr>
                <w:webHidden/>
              </w:rPr>
            </w:r>
            <w:r w:rsidR="00E12AF7">
              <w:rPr>
                <w:webHidden/>
              </w:rPr>
              <w:fldChar w:fldCharType="separate"/>
            </w:r>
            <w:r>
              <w:rPr>
                <w:webHidden/>
                <w:rtl/>
                <w:lang w:bidi="ar-SA"/>
              </w:rPr>
              <w:t>84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08" w:history="1">
            <w:r w:rsidR="00E12AF7" w:rsidRPr="008D22A6">
              <w:rPr>
                <w:rStyle w:val="Lienhypertexte"/>
                <w:rFonts w:hint="eastAsia"/>
                <w:rtl/>
              </w:rPr>
              <w:t>الشكل</w:t>
            </w:r>
            <w:r w:rsidR="00E12AF7" w:rsidRPr="008D22A6">
              <w:rPr>
                <w:rStyle w:val="Lienhypertexte"/>
                <w:rtl/>
              </w:rPr>
              <w:t xml:space="preserve"> (3-2): </w:t>
            </w:r>
            <w:r w:rsidR="00E12AF7" w:rsidRPr="008D22A6">
              <w:rPr>
                <w:rStyle w:val="Lienhypertexte"/>
                <w:rFonts w:hint="eastAsia"/>
                <w:rtl/>
              </w:rPr>
              <w:t>المنهجية</w:t>
            </w:r>
            <w:r w:rsidR="00E12AF7" w:rsidRPr="008D22A6">
              <w:rPr>
                <w:rStyle w:val="Lienhypertexte"/>
                <w:rtl/>
              </w:rPr>
              <w:t xml:space="preserve"> </w:t>
            </w:r>
            <w:r w:rsidR="00E12AF7" w:rsidRPr="008D22A6">
              <w:rPr>
                <w:rStyle w:val="Lienhypertexte"/>
                <w:rFonts w:hint="eastAsia"/>
                <w:rtl/>
              </w:rPr>
              <w:t>المتبعة</w:t>
            </w:r>
            <w:r w:rsidR="00E12AF7" w:rsidRPr="008D22A6">
              <w:rPr>
                <w:rStyle w:val="Lienhypertexte"/>
                <w:rtl/>
              </w:rPr>
              <w:t xml:space="preserve"> </w:t>
            </w:r>
            <w:r w:rsidR="00E12AF7" w:rsidRPr="008D22A6">
              <w:rPr>
                <w:rStyle w:val="Lienhypertexte"/>
                <w:rFonts w:hint="eastAsia"/>
                <w:rtl/>
              </w:rPr>
              <w:t>لاطار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المرحلة</w:t>
            </w:r>
            <w:r w:rsidR="00E12AF7" w:rsidRPr="008D22A6">
              <w:rPr>
                <w:rStyle w:val="Lienhypertexte"/>
                <w:rtl/>
              </w:rPr>
              <w:t xml:space="preserve"> </w:t>
            </w:r>
            <w:r w:rsidR="00E12AF7" w:rsidRPr="008D22A6">
              <w:rPr>
                <w:rStyle w:val="Lienhypertexte"/>
                <w:rFonts w:hint="eastAsia"/>
                <w:rtl/>
              </w:rPr>
              <w:t>الاولى</w:t>
            </w:r>
            <w:r w:rsidR="00E12AF7" w:rsidRPr="008D22A6">
              <w:rPr>
                <w:rStyle w:val="Lienhypertexte"/>
                <w:rtl/>
              </w:rPr>
              <w:t>)</w:t>
            </w:r>
            <w:r w:rsidR="008246D9" w:rsidRPr="008246D9">
              <w:rPr>
                <w:rtl/>
              </w:rPr>
              <w:t xml:space="preserve"> </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_Toc171803508 \h </w:instrText>
            </w:r>
            <w:r w:rsidR="00E12AF7">
              <w:rPr>
                <w:webHidden/>
              </w:rPr>
            </w:r>
            <w:r w:rsidR="00E12AF7">
              <w:rPr>
                <w:webHidden/>
              </w:rPr>
              <w:fldChar w:fldCharType="separate"/>
            </w:r>
            <w:r>
              <w:rPr>
                <w:webHidden/>
                <w:rtl/>
                <w:lang w:bidi="ar-SA"/>
              </w:rPr>
              <w:t>85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11" w:history="1">
            <w:r w:rsidR="00E12AF7" w:rsidRPr="008D22A6">
              <w:rPr>
                <w:rStyle w:val="Lienhypertexte"/>
                <w:rFonts w:hint="eastAsia"/>
                <w:rtl/>
              </w:rPr>
              <w:t>الشكل</w:t>
            </w:r>
            <w:r w:rsidR="00E12AF7" w:rsidRPr="008D22A6">
              <w:rPr>
                <w:rStyle w:val="Lienhypertexte"/>
                <w:rtl/>
              </w:rPr>
              <w:t xml:space="preserve"> (3-3): </w:t>
            </w:r>
            <w:r w:rsidR="00E12AF7" w:rsidRPr="008D22A6">
              <w:rPr>
                <w:rStyle w:val="Lienhypertexte"/>
                <w:rFonts w:hint="eastAsia"/>
                <w:rtl/>
              </w:rPr>
              <w:t>المنهجية</w:t>
            </w:r>
            <w:r w:rsidR="00E12AF7" w:rsidRPr="008D22A6">
              <w:rPr>
                <w:rStyle w:val="Lienhypertexte"/>
                <w:rtl/>
              </w:rPr>
              <w:t xml:space="preserve"> </w:t>
            </w:r>
            <w:r w:rsidR="00E12AF7" w:rsidRPr="008D22A6">
              <w:rPr>
                <w:rStyle w:val="Lienhypertexte"/>
                <w:rFonts w:hint="eastAsia"/>
                <w:rtl/>
              </w:rPr>
              <w:t>المتبعة</w:t>
            </w:r>
            <w:r w:rsidR="00E12AF7" w:rsidRPr="008D22A6">
              <w:rPr>
                <w:rStyle w:val="Lienhypertexte"/>
                <w:rtl/>
              </w:rPr>
              <w:t xml:space="preserve"> </w:t>
            </w:r>
            <w:r w:rsidR="00E12AF7" w:rsidRPr="008D22A6">
              <w:rPr>
                <w:rStyle w:val="Lienhypertexte"/>
                <w:rFonts w:hint="eastAsia"/>
                <w:rtl/>
              </w:rPr>
              <w:t>لاطار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المرحلة</w:t>
            </w:r>
            <w:r w:rsidR="00E12AF7" w:rsidRPr="008D22A6">
              <w:rPr>
                <w:rStyle w:val="Lienhypertexte"/>
                <w:rtl/>
              </w:rPr>
              <w:t xml:space="preserve"> </w:t>
            </w:r>
            <w:r w:rsidR="00E12AF7" w:rsidRPr="008D22A6">
              <w:rPr>
                <w:rStyle w:val="Lienhypertexte"/>
                <w:rFonts w:hint="eastAsia"/>
                <w:rtl/>
              </w:rPr>
              <w:t>الثانية</w:t>
            </w:r>
            <w:r w:rsidR="00E12AF7" w:rsidRPr="008D22A6">
              <w:rPr>
                <w:rStyle w:val="Lienhypertexte"/>
                <w:rtl/>
              </w:rPr>
              <w:t>)</w:t>
            </w:r>
            <w:r w:rsidR="008246D9" w:rsidRPr="008246D9">
              <w:rPr>
                <w:rStyle w:val="Lienhypertexte"/>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_Toc171803511 \h </w:instrText>
            </w:r>
            <w:r w:rsidR="00E12AF7">
              <w:rPr>
                <w:webHidden/>
              </w:rPr>
            </w:r>
            <w:r w:rsidR="00E12AF7">
              <w:rPr>
                <w:webHidden/>
              </w:rPr>
              <w:fldChar w:fldCharType="separate"/>
            </w:r>
            <w:r>
              <w:rPr>
                <w:webHidden/>
                <w:rtl/>
                <w:lang w:bidi="ar-SA"/>
              </w:rPr>
              <w:t>86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21" w:history="1">
            <w:r w:rsidR="00E12AF7" w:rsidRPr="008D22A6">
              <w:rPr>
                <w:rStyle w:val="Lienhypertexte"/>
                <w:rFonts w:hint="eastAsia"/>
                <w:rtl/>
              </w:rPr>
              <w:t>الشكل</w:t>
            </w:r>
            <w:r w:rsidR="00E12AF7" w:rsidRPr="008D22A6">
              <w:rPr>
                <w:rStyle w:val="Lienhypertexte"/>
                <w:rtl/>
              </w:rPr>
              <w:t xml:space="preserve"> (3-4): </w:t>
            </w:r>
            <w:r w:rsidR="00E12AF7" w:rsidRPr="008D22A6">
              <w:rPr>
                <w:rStyle w:val="Lienhypertexte"/>
                <w:rFonts w:hint="eastAsia"/>
                <w:rtl/>
              </w:rPr>
              <w:t>مراحل</w:t>
            </w:r>
            <w:r w:rsidR="00E12AF7" w:rsidRPr="008D22A6">
              <w:rPr>
                <w:rStyle w:val="Lienhypertexte"/>
                <w:rtl/>
              </w:rPr>
              <w:t xml:space="preserve"> </w:t>
            </w:r>
            <w:r w:rsidR="00E12AF7" w:rsidRPr="008D22A6">
              <w:rPr>
                <w:rStyle w:val="Lienhypertexte"/>
                <w:rFonts w:hint="eastAsia"/>
                <w:rtl/>
              </w:rPr>
              <w:t>تطوير</w:t>
            </w:r>
            <w:r w:rsidR="00E12AF7" w:rsidRPr="008D22A6">
              <w:rPr>
                <w:rStyle w:val="Lienhypertexte"/>
                <w:rtl/>
              </w:rPr>
              <w:t xml:space="preserve"> </w:t>
            </w:r>
            <w:r w:rsidR="00E12AF7" w:rsidRPr="008D22A6">
              <w:rPr>
                <w:rStyle w:val="Lienhypertexte"/>
                <w:rFonts w:hint="eastAsia"/>
                <w:rtl/>
              </w:rPr>
              <w:t>مسح</w:t>
            </w:r>
            <w:r w:rsidR="00E12AF7" w:rsidRPr="008D22A6">
              <w:rPr>
                <w:rStyle w:val="Lienhypertexte"/>
                <w:rtl/>
              </w:rPr>
              <w:t xml:space="preserve"> </w:t>
            </w:r>
            <w:r w:rsidR="00E12AF7" w:rsidRPr="008D22A6">
              <w:rPr>
                <w:rStyle w:val="Lienhypertexte"/>
                <w:rFonts w:hint="eastAsia"/>
                <w:rtl/>
              </w:rPr>
              <w:t>دلفي</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_Toc171803521 \h </w:instrText>
            </w:r>
            <w:r w:rsidR="00E12AF7">
              <w:rPr>
                <w:webHidden/>
              </w:rPr>
            </w:r>
            <w:r w:rsidR="00E12AF7">
              <w:rPr>
                <w:webHidden/>
              </w:rPr>
              <w:fldChar w:fldCharType="separate"/>
            </w:r>
            <w:r>
              <w:rPr>
                <w:webHidden/>
                <w:rtl/>
                <w:lang w:bidi="ar-SA"/>
              </w:rPr>
              <w:t>92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24" w:history="1">
            <w:r w:rsidR="00E12AF7" w:rsidRPr="008D22A6">
              <w:rPr>
                <w:rStyle w:val="Lienhypertexte"/>
                <w:rFonts w:hint="eastAsia"/>
                <w:rtl/>
              </w:rPr>
              <w:t>الشكل</w:t>
            </w:r>
            <w:r w:rsidR="00E12AF7" w:rsidRPr="008D22A6">
              <w:rPr>
                <w:rStyle w:val="Lienhypertexte"/>
                <w:rtl/>
              </w:rPr>
              <w:t xml:space="preserve"> (3-5): </w:t>
            </w:r>
            <w:r w:rsidR="00E12AF7" w:rsidRPr="008D22A6">
              <w:rPr>
                <w:rStyle w:val="Lienhypertexte"/>
                <w:rFonts w:hint="eastAsia"/>
                <w:rtl/>
              </w:rPr>
              <w:t>المنهجية</w:t>
            </w:r>
            <w:r w:rsidR="00E12AF7" w:rsidRPr="008D22A6">
              <w:rPr>
                <w:rStyle w:val="Lienhypertexte"/>
                <w:rtl/>
              </w:rPr>
              <w:t xml:space="preserve"> </w:t>
            </w:r>
            <w:r w:rsidR="00E12AF7" w:rsidRPr="008D22A6">
              <w:rPr>
                <w:rStyle w:val="Lienhypertexte"/>
                <w:rFonts w:hint="eastAsia"/>
                <w:rtl/>
              </w:rPr>
              <w:t>المتبعة</w:t>
            </w:r>
            <w:r w:rsidR="00E12AF7" w:rsidRPr="008D22A6">
              <w:rPr>
                <w:rStyle w:val="Lienhypertexte"/>
                <w:rtl/>
              </w:rPr>
              <w:t xml:space="preserve"> </w:t>
            </w:r>
            <w:r w:rsidR="00E12AF7" w:rsidRPr="008D22A6">
              <w:rPr>
                <w:rStyle w:val="Lienhypertexte"/>
                <w:rFonts w:hint="eastAsia"/>
                <w:rtl/>
              </w:rPr>
              <w:t>لاطار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المرحلة</w:t>
            </w:r>
            <w:r w:rsidR="00E12AF7" w:rsidRPr="008D22A6">
              <w:rPr>
                <w:rStyle w:val="Lienhypertexte"/>
                <w:rtl/>
              </w:rPr>
              <w:t xml:space="preserve"> </w:t>
            </w:r>
            <w:r w:rsidR="00E12AF7" w:rsidRPr="008D22A6">
              <w:rPr>
                <w:rStyle w:val="Lienhypertexte"/>
                <w:rFonts w:hint="eastAsia"/>
                <w:rtl/>
              </w:rPr>
              <w:t>الثالثة</w:t>
            </w:r>
            <w:r w:rsidR="00E12AF7" w:rsidRPr="008D22A6">
              <w:rPr>
                <w:rStyle w:val="Lienhypertexte"/>
                <w:rtl/>
              </w:rPr>
              <w:t>)</w:t>
            </w:r>
            <w:r w:rsidR="008246D9" w:rsidRPr="008246D9">
              <w:rPr>
                <w:rtl/>
              </w:rPr>
              <w:t xml:space="preserve"> </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_Toc171803524 \h </w:instrText>
            </w:r>
            <w:r w:rsidR="00E12AF7">
              <w:rPr>
                <w:webHidden/>
              </w:rPr>
            </w:r>
            <w:r w:rsidR="00E12AF7">
              <w:rPr>
                <w:webHidden/>
              </w:rPr>
              <w:fldChar w:fldCharType="separate"/>
            </w:r>
            <w:r>
              <w:rPr>
                <w:webHidden/>
                <w:rtl/>
                <w:lang w:bidi="ar-SA"/>
              </w:rPr>
              <w:t>93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28" w:history="1">
            <w:r w:rsidR="00E12AF7" w:rsidRPr="008D22A6">
              <w:rPr>
                <w:rStyle w:val="Lienhypertexte"/>
                <w:rFonts w:hint="eastAsia"/>
                <w:rtl/>
              </w:rPr>
              <w:t>الشكل</w:t>
            </w:r>
            <w:r w:rsidR="00E12AF7" w:rsidRPr="008D22A6">
              <w:rPr>
                <w:rStyle w:val="Lienhypertexte"/>
                <w:rtl/>
              </w:rPr>
              <w:t xml:space="preserve"> (3-6): </w:t>
            </w:r>
            <w:r w:rsidR="00E12AF7" w:rsidRPr="008D22A6">
              <w:rPr>
                <w:rStyle w:val="Lienhypertexte"/>
                <w:rFonts w:hint="eastAsia"/>
                <w:rtl/>
              </w:rPr>
              <w:t>خطوات</w:t>
            </w:r>
            <w:r w:rsidR="00E12AF7" w:rsidRPr="008D22A6">
              <w:rPr>
                <w:rStyle w:val="Lienhypertexte"/>
                <w:rtl/>
              </w:rPr>
              <w:t xml:space="preserve"> </w:t>
            </w:r>
            <w:r w:rsidR="00E12AF7" w:rsidRPr="008D22A6">
              <w:rPr>
                <w:rStyle w:val="Lienhypertexte"/>
                <w:rFonts w:eastAsia="Times New Roman" w:hint="eastAsia"/>
                <w:rtl/>
                <w:lang w:bidi="ar"/>
              </w:rPr>
              <w:t>العملية</w:t>
            </w:r>
            <w:r w:rsidR="00E12AF7" w:rsidRPr="008D22A6">
              <w:rPr>
                <w:rStyle w:val="Lienhypertexte"/>
                <w:rFonts w:eastAsia="Times New Roman"/>
                <w:rtl/>
                <w:lang w:bidi="ar"/>
              </w:rPr>
              <w:t xml:space="preserve"> </w:t>
            </w:r>
            <w:r w:rsidR="00E12AF7" w:rsidRPr="008D22A6">
              <w:rPr>
                <w:rStyle w:val="Lienhypertexte"/>
                <w:rFonts w:eastAsia="Times New Roman" w:hint="eastAsia"/>
                <w:rtl/>
                <w:lang w:bidi="ar"/>
              </w:rPr>
              <w:t>التشغيلية</w:t>
            </w:r>
            <w:r w:rsidR="00E12AF7" w:rsidRPr="008D22A6">
              <w:rPr>
                <w:rStyle w:val="Lienhypertexte"/>
                <w:rFonts w:eastAsia="Times New Roman"/>
                <w:rtl/>
                <w:lang w:bidi="ar"/>
              </w:rPr>
              <w:t xml:space="preserve"> </w:t>
            </w:r>
            <w:r w:rsidR="00E12AF7" w:rsidRPr="008D22A6">
              <w:rPr>
                <w:rStyle w:val="Lienhypertexte"/>
                <w:rFonts w:eastAsia="Times New Roman" w:hint="eastAsia"/>
                <w:rtl/>
                <w:lang w:bidi="ar"/>
              </w:rPr>
              <w:t>لبرنامج</w:t>
            </w:r>
            <w:r w:rsidR="00E12AF7" w:rsidRPr="008D22A6">
              <w:rPr>
                <w:rStyle w:val="Lienhypertexte"/>
                <w:rFonts w:eastAsia="Times New Roman"/>
                <w:lang w:bidi="ar"/>
              </w:rPr>
              <w:t xml:space="preserve"> </w:t>
            </w:r>
            <w:r w:rsidR="00E12AF7" w:rsidRPr="008D22A6">
              <w:rPr>
                <w:rStyle w:val="Lienhypertexte"/>
                <w:rtl/>
              </w:rPr>
              <w:t>(</w:t>
            </w:r>
            <w:r w:rsidR="00E12AF7" w:rsidRPr="008D22A6">
              <w:rPr>
                <w:rStyle w:val="Lienhypertexte"/>
                <w:rFonts w:asciiTheme="majorBidi" w:hAnsiTheme="majorBidi" w:cstheme="majorBidi"/>
              </w:rPr>
              <w:t>AHP</w:t>
            </w:r>
            <w:r w:rsidR="00E12AF7" w:rsidRPr="008D22A6">
              <w:rPr>
                <w:rStyle w:val="Lienhypertexte"/>
                <w:rtl/>
              </w:rPr>
              <w:t>)</w:t>
            </w:r>
            <w:r w:rsidR="008246D9" w:rsidRPr="008246D9">
              <w:rPr>
                <w:rtl/>
              </w:rPr>
              <w:t xml:space="preserve"> </w:t>
            </w:r>
            <w:r w:rsidR="008246D9" w:rsidRPr="008246D9">
              <w:rPr>
                <w:rStyle w:val="Lienhypertexte"/>
                <w:rtl/>
              </w:rPr>
              <w:t>……………………………………</w:t>
            </w:r>
            <w:r w:rsidR="008246D9" w:rsidRPr="008246D9">
              <w:rPr>
                <w:rStyle w:val="Lienhypertexte"/>
                <w:rFonts w:hint="cs"/>
                <w:rtl/>
              </w:rPr>
              <w:t>.............</w:t>
            </w:r>
            <w:r w:rsid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_Toc171803528 \h </w:instrText>
            </w:r>
            <w:r w:rsidR="00E12AF7">
              <w:rPr>
                <w:webHidden/>
              </w:rPr>
            </w:r>
            <w:r w:rsidR="00E12AF7">
              <w:rPr>
                <w:webHidden/>
              </w:rPr>
              <w:fldChar w:fldCharType="separate"/>
            </w:r>
            <w:r>
              <w:rPr>
                <w:webHidden/>
                <w:rtl/>
                <w:lang w:bidi="ar-SA"/>
              </w:rPr>
              <w:t>94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30" w:history="1">
            <w:r w:rsidR="00E12AF7" w:rsidRPr="008D22A6">
              <w:rPr>
                <w:rStyle w:val="Lienhypertexte"/>
                <w:rFonts w:hint="eastAsia"/>
                <w:rtl/>
              </w:rPr>
              <w:t>الشكل</w:t>
            </w:r>
            <w:r w:rsidR="00E12AF7" w:rsidRPr="008D22A6">
              <w:rPr>
                <w:rStyle w:val="Lienhypertexte"/>
                <w:rtl/>
              </w:rPr>
              <w:t xml:space="preserve"> (3-7):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لبناء</w:t>
            </w:r>
            <w:r w:rsidR="00E12AF7" w:rsidRPr="008D22A6">
              <w:rPr>
                <w:rStyle w:val="Lienhypertexte"/>
                <w:rtl/>
              </w:rPr>
              <w:t xml:space="preserve"> </w:t>
            </w:r>
            <w:r w:rsidR="00E12AF7" w:rsidRPr="008D22A6">
              <w:rPr>
                <w:rStyle w:val="Lienhypertexte"/>
                <w:rFonts w:hint="eastAsia"/>
                <w:rtl/>
              </w:rPr>
              <w:t>الهيكل</w:t>
            </w:r>
            <w:r w:rsidR="00E12AF7" w:rsidRPr="008D22A6">
              <w:rPr>
                <w:rStyle w:val="Lienhypertexte"/>
                <w:rtl/>
              </w:rPr>
              <w:t xml:space="preserve"> </w:t>
            </w:r>
            <w:r w:rsidR="00E12AF7" w:rsidRPr="008D22A6">
              <w:rPr>
                <w:rStyle w:val="Lienhypertexte"/>
                <w:rFonts w:hint="eastAsia"/>
                <w:rtl/>
              </w:rPr>
              <w:t>الهرمي</w:t>
            </w:r>
            <w:r w:rsidR="00E12AF7" w:rsidRPr="008D22A6">
              <w:rPr>
                <w:rStyle w:val="Lienhypertexte"/>
                <w:rtl/>
              </w:rPr>
              <w:t xml:space="preserve"> </w:t>
            </w:r>
            <w:r w:rsidR="00E12AF7" w:rsidRPr="008D22A6">
              <w:rPr>
                <w:rStyle w:val="Lienhypertexte"/>
                <w:rFonts w:hint="eastAsia"/>
                <w:rtl/>
              </w:rPr>
              <w:t>لمشكلة</w:t>
            </w:r>
            <w:r w:rsidR="00E12AF7" w:rsidRPr="008D22A6">
              <w:rPr>
                <w:rStyle w:val="Lienhypertexte"/>
                <w:rtl/>
              </w:rPr>
              <w:t xml:space="preserve"> </w:t>
            </w:r>
            <w:r w:rsidR="00E12AF7" w:rsidRPr="008D22A6">
              <w:rPr>
                <w:rStyle w:val="Lienhypertexte"/>
                <w:rFonts w:hint="eastAsia"/>
                <w:rtl/>
              </w:rPr>
              <w:t>البحث</w:t>
            </w:r>
            <w:r w:rsidR="008246D9" w:rsidRPr="008246D9">
              <w:rPr>
                <w:rStyle w:val="Lienhypertexte"/>
                <w:rtl/>
              </w:rPr>
              <w:t>…………</w:t>
            </w:r>
            <w:r w:rsidR="008246D9">
              <w:rPr>
                <w:rStyle w:val="Lienhypertexte"/>
                <w:rFonts w:hint="cs"/>
                <w:rtl/>
              </w:rPr>
              <w:t>.</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E12AF7">
              <w:rPr>
                <w:webHidden/>
              </w:rPr>
              <w:tab/>
            </w:r>
            <w:r w:rsidR="00E12AF7">
              <w:rPr>
                <w:webHidden/>
              </w:rPr>
              <w:fldChar w:fldCharType="begin"/>
            </w:r>
            <w:r w:rsidR="00E12AF7">
              <w:rPr>
                <w:webHidden/>
              </w:rPr>
              <w:instrText xml:space="preserve"> PAGEREF _Toc171803530 \h </w:instrText>
            </w:r>
            <w:r w:rsidR="00E12AF7">
              <w:rPr>
                <w:webHidden/>
              </w:rPr>
            </w:r>
            <w:r w:rsidR="00E12AF7">
              <w:rPr>
                <w:webHidden/>
              </w:rPr>
              <w:fldChar w:fldCharType="separate"/>
            </w:r>
            <w:r>
              <w:rPr>
                <w:webHidden/>
                <w:rtl/>
                <w:lang w:bidi="ar-SA"/>
              </w:rPr>
              <w:t>95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34" w:history="1">
            <w:r w:rsidR="00E12AF7" w:rsidRPr="008D22A6">
              <w:rPr>
                <w:rStyle w:val="Lienhypertexte"/>
                <w:rFonts w:hint="eastAsia"/>
                <w:rtl/>
              </w:rPr>
              <w:t>الشكل</w:t>
            </w:r>
            <w:r w:rsidR="00E12AF7" w:rsidRPr="008D22A6">
              <w:rPr>
                <w:rStyle w:val="Lienhypertexte"/>
                <w:rtl/>
              </w:rPr>
              <w:t xml:space="preserve"> (3-8): </w:t>
            </w:r>
            <w:r w:rsidR="00E12AF7" w:rsidRPr="008D22A6">
              <w:rPr>
                <w:rStyle w:val="Lienhypertexte"/>
                <w:rFonts w:hint="eastAsia"/>
                <w:rtl/>
              </w:rPr>
              <w:t>المنهجية</w:t>
            </w:r>
            <w:r w:rsidR="00E12AF7" w:rsidRPr="008D22A6">
              <w:rPr>
                <w:rStyle w:val="Lienhypertexte"/>
                <w:rtl/>
              </w:rPr>
              <w:t xml:space="preserve"> </w:t>
            </w:r>
            <w:r w:rsidR="00E12AF7" w:rsidRPr="008D22A6">
              <w:rPr>
                <w:rStyle w:val="Lienhypertexte"/>
                <w:rFonts w:hint="eastAsia"/>
                <w:rtl/>
              </w:rPr>
              <w:t>المتبعة</w:t>
            </w:r>
            <w:r w:rsidR="00E12AF7" w:rsidRPr="008D22A6">
              <w:rPr>
                <w:rStyle w:val="Lienhypertexte"/>
                <w:rtl/>
              </w:rPr>
              <w:t xml:space="preserve"> </w:t>
            </w:r>
            <w:r w:rsidR="00E12AF7" w:rsidRPr="008D22A6">
              <w:rPr>
                <w:rStyle w:val="Lienhypertexte"/>
                <w:rFonts w:hint="eastAsia"/>
                <w:rtl/>
              </w:rPr>
              <w:t>لاطار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المرحلة</w:t>
            </w:r>
            <w:r w:rsidR="00E12AF7" w:rsidRPr="008D22A6">
              <w:rPr>
                <w:rStyle w:val="Lienhypertexte"/>
                <w:rtl/>
              </w:rPr>
              <w:t xml:space="preserve"> </w:t>
            </w:r>
            <w:r w:rsidR="00E12AF7" w:rsidRPr="008D22A6">
              <w:rPr>
                <w:rStyle w:val="Lienhypertexte"/>
                <w:rFonts w:hint="eastAsia"/>
                <w:rtl/>
              </w:rPr>
              <w:t>الرابعة</w:t>
            </w:r>
            <w:r w:rsidR="00E12AF7" w:rsidRPr="008D22A6">
              <w:rPr>
                <w:rStyle w:val="Lienhypertexte"/>
                <w:rtl/>
              </w:rPr>
              <w:t>)</w:t>
            </w:r>
            <w:r w:rsidR="008246D9" w:rsidRPr="008246D9">
              <w:rPr>
                <w:rtl/>
              </w:rPr>
              <w:t xml:space="preserve"> </w:t>
            </w:r>
            <w:r w:rsidR="008246D9" w:rsidRPr="008246D9">
              <w:rPr>
                <w:rStyle w:val="Lienhypertexte"/>
                <w:rtl/>
              </w:rPr>
              <w:t>…………………………</w:t>
            </w:r>
            <w:r w:rsidR="008246D9" w:rsidRPr="008246D9">
              <w:rPr>
                <w:rStyle w:val="Lienhypertexte"/>
                <w:rFonts w:hint="cs"/>
                <w:rtl/>
              </w:rPr>
              <w:t>.......</w:t>
            </w:r>
            <w:r w:rsidR="00E12AF7">
              <w:rPr>
                <w:webHidden/>
              </w:rPr>
              <w:tab/>
            </w:r>
            <w:r w:rsidR="00E12AF7">
              <w:rPr>
                <w:webHidden/>
              </w:rPr>
              <w:fldChar w:fldCharType="begin"/>
            </w:r>
            <w:r w:rsidR="00E12AF7">
              <w:rPr>
                <w:webHidden/>
              </w:rPr>
              <w:instrText xml:space="preserve"> PAGEREF _Toc171803534 \h </w:instrText>
            </w:r>
            <w:r w:rsidR="00E12AF7">
              <w:rPr>
                <w:webHidden/>
              </w:rPr>
            </w:r>
            <w:r w:rsidR="00E12AF7">
              <w:rPr>
                <w:webHidden/>
              </w:rPr>
              <w:fldChar w:fldCharType="separate"/>
            </w:r>
            <w:r>
              <w:rPr>
                <w:webHidden/>
                <w:rtl/>
                <w:lang w:bidi="ar-SA"/>
              </w:rPr>
              <w:t>97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38" w:history="1">
            <w:r w:rsidR="00E12AF7" w:rsidRPr="008D22A6">
              <w:rPr>
                <w:rStyle w:val="Lienhypertexte"/>
                <w:rFonts w:hint="eastAsia"/>
                <w:rtl/>
              </w:rPr>
              <w:t>الشكل</w:t>
            </w:r>
            <w:r w:rsidR="00E12AF7" w:rsidRPr="008D22A6">
              <w:rPr>
                <w:rStyle w:val="Lienhypertexte"/>
                <w:rtl/>
              </w:rPr>
              <w:t xml:space="preserve"> (3-9): </w:t>
            </w:r>
            <w:r w:rsidR="00E12AF7" w:rsidRPr="008D22A6">
              <w:rPr>
                <w:rStyle w:val="Lienhypertexte"/>
                <w:rFonts w:hint="eastAsia"/>
                <w:rtl/>
              </w:rPr>
              <w:t>المكونات</w:t>
            </w:r>
            <w:r w:rsidR="00E12AF7" w:rsidRPr="008D22A6">
              <w:rPr>
                <w:rStyle w:val="Lienhypertexte"/>
              </w:rPr>
              <w:t xml:space="preserve"> </w:t>
            </w:r>
            <w:r w:rsidR="00E12AF7" w:rsidRPr="008D22A6">
              <w:rPr>
                <w:rStyle w:val="Lienhypertexte"/>
                <w:rFonts w:hint="eastAsia"/>
                <w:rtl/>
              </w:rPr>
              <w:t>التي</w:t>
            </w:r>
            <w:r w:rsidR="00E12AF7" w:rsidRPr="008D22A6">
              <w:rPr>
                <w:rStyle w:val="Lienhypertexte"/>
              </w:rPr>
              <w:t xml:space="preserve"> </w:t>
            </w:r>
            <w:r w:rsidR="00E12AF7" w:rsidRPr="008D22A6">
              <w:rPr>
                <w:rStyle w:val="Lienhypertexte"/>
                <w:rFonts w:hint="eastAsia"/>
                <w:rtl/>
              </w:rPr>
              <w:t>تقوم</w:t>
            </w:r>
            <w:r w:rsidR="00E12AF7" w:rsidRPr="008D22A6">
              <w:rPr>
                <w:rStyle w:val="Lienhypertexte"/>
              </w:rPr>
              <w:t xml:space="preserve"> </w:t>
            </w:r>
            <w:r w:rsidR="00E12AF7" w:rsidRPr="008D22A6">
              <w:rPr>
                <w:rStyle w:val="Lienhypertexte"/>
                <w:rFonts w:hint="eastAsia"/>
                <w:rtl/>
              </w:rPr>
              <w:t>عليها</w:t>
            </w:r>
            <w:r w:rsidR="00E12AF7" w:rsidRPr="008D22A6">
              <w:rPr>
                <w:rStyle w:val="Lienhypertexte"/>
              </w:rPr>
              <w:t xml:space="preserve"> </w:t>
            </w:r>
            <w:r w:rsidR="00E12AF7" w:rsidRPr="008D22A6">
              <w:rPr>
                <w:rStyle w:val="Lienhypertexte"/>
                <w:rFonts w:hint="eastAsia"/>
                <w:rtl/>
              </w:rPr>
              <w:t>نظم</w:t>
            </w:r>
            <w:r w:rsidR="00E12AF7" w:rsidRPr="008D22A6">
              <w:rPr>
                <w:rStyle w:val="Lienhypertexte"/>
              </w:rPr>
              <w:t xml:space="preserve"> </w:t>
            </w:r>
            <w:r w:rsidR="00E12AF7" w:rsidRPr="008D22A6">
              <w:rPr>
                <w:rStyle w:val="Lienhypertexte"/>
                <w:rFonts w:hint="eastAsia"/>
                <w:rtl/>
              </w:rPr>
              <w:t>المعلومات</w:t>
            </w:r>
            <w:r w:rsidR="00E12AF7" w:rsidRPr="008D22A6">
              <w:rPr>
                <w:rStyle w:val="Lienhypertexte"/>
              </w:rPr>
              <w:t xml:space="preserve"> </w:t>
            </w:r>
            <w:r w:rsidR="00E12AF7" w:rsidRPr="008D22A6">
              <w:rPr>
                <w:rStyle w:val="Lienhypertexte"/>
                <w:rFonts w:hint="eastAsia"/>
                <w:rtl/>
              </w:rPr>
              <w:t>الجغرافية</w:t>
            </w:r>
            <w:r w:rsidR="008246D9" w:rsidRP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_Toc171803538 \h </w:instrText>
            </w:r>
            <w:r w:rsidR="00E12AF7">
              <w:rPr>
                <w:webHidden/>
              </w:rPr>
            </w:r>
            <w:r w:rsidR="00E12AF7">
              <w:rPr>
                <w:webHidden/>
              </w:rPr>
              <w:fldChar w:fldCharType="separate"/>
            </w:r>
            <w:r>
              <w:rPr>
                <w:webHidden/>
                <w:rtl/>
                <w:lang w:bidi="ar-SA"/>
              </w:rPr>
              <w:t>98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41" w:history="1">
            <w:r w:rsidR="00E12AF7" w:rsidRPr="008D22A6">
              <w:rPr>
                <w:rStyle w:val="Lienhypertexte"/>
                <w:rFonts w:hint="eastAsia"/>
                <w:rtl/>
              </w:rPr>
              <w:t>الشكل</w:t>
            </w:r>
            <w:r w:rsidR="00E12AF7" w:rsidRPr="008D22A6">
              <w:rPr>
                <w:rStyle w:val="Lienhypertexte"/>
                <w:rtl/>
              </w:rPr>
              <w:t xml:space="preserve"> (3-10): </w:t>
            </w:r>
            <w:r w:rsidR="00E12AF7" w:rsidRPr="008D22A6">
              <w:rPr>
                <w:rStyle w:val="Lienhypertexte"/>
                <w:rFonts w:hint="eastAsia"/>
                <w:rtl/>
              </w:rPr>
              <w:t>الخطوات</w:t>
            </w:r>
            <w:r w:rsidR="00E12AF7" w:rsidRPr="008D22A6">
              <w:rPr>
                <w:rStyle w:val="Lienhypertexte"/>
                <w:rtl/>
              </w:rPr>
              <w:t xml:space="preserve"> </w:t>
            </w:r>
            <w:r w:rsidR="00E12AF7" w:rsidRPr="008D22A6">
              <w:rPr>
                <w:rStyle w:val="Lienhypertexte"/>
                <w:rFonts w:hint="eastAsia"/>
                <w:rtl/>
              </w:rPr>
              <w:t>ال</w:t>
            </w:r>
            <w:r w:rsidR="00E12AF7" w:rsidRPr="008D22A6">
              <w:rPr>
                <w:rStyle w:val="Lienhypertexte"/>
                <w:rFonts w:eastAsia="Times New Roman" w:hint="eastAsia"/>
                <w:rtl/>
                <w:lang w:bidi="ar"/>
              </w:rPr>
              <w:t>عملية</w:t>
            </w:r>
            <w:r w:rsidR="00E12AF7" w:rsidRPr="008D22A6">
              <w:rPr>
                <w:rStyle w:val="Lienhypertexte"/>
                <w:rFonts w:eastAsia="Times New Roman"/>
                <w:rtl/>
                <w:lang w:bidi="ar"/>
              </w:rPr>
              <w:t xml:space="preserve"> </w:t>
            </w:r>
            <w:r w:rsidR="00E12AF7" w:rsidRPr="008D22A6">
              <w:rPr>
                <w:rStyle w:val="Lienhypertexte"/>
                <w:rFonts w:eastAsia="Times New Roman" w:hint="eastAsia"/>
                <w:rtl/>
                <w:lang w:bidi="ar"/>
              </w:rPr>
              <w:t>التشغيلية</w:t>
            </w:r>
            <w:r w:rsidR="00E12AF7" w:rsidRPr="008D22A6">
              <w:rPr>
                <w:rStyle w:val="Lienhypertexte"/>
                <w:rFonts w:eastAsia="Times New Roman"/>
                <w:rtl/>
                <w:lang w:bidi="ar"/>
              </w:rPr>
              <w:t xml:space="preserve"> </w:t>
            </w:r>
            <w:r w:rsidR="00E12AF7" w:rsidRPr="008D22A6">
              <w:rPr>
                <w:rStyle w:val="Lienhypertexte"/>
                <w:rFonts w:eastAsia="Times New Roman" w:hint="eastAsia"/>
                <w:rtl/>
                <w:lang w:bidi="ar"/>
              </w:rPr>
              <w:t>ضمن</w:t>
            </w:r>
            <w:r w:rsidR="00E12AF7" w:rsidRPr="008D22A6">
              <w:rPr>
                <w:rStyle w:val="Lienhypertexte"/>
                <w:rFonts w:eastAsia="Times New Roman"/>
                <w:rtl/>
                <w:lang w:bidi="ar"/>
              </w:rPr>
              <w:t xml:space="preserve"> </w:t>
            </w:r>
            <w:r w:rsidR="00E12AF7" w:rsidRPr="008D22A6">
              <w:rPr>
                <w:rStyle w:val="Lienhypertexte"/>
                <w:rFonts w:eastAsia="Times New Roman" w:hint="eastAsia"/>
                <w:rtl/>
                <w:lang w:bidi="ar"/>
              </w:rPr>
              <w:t>برنامج</w:t>
            </w:r>
            <w:r w:rsidR="00E12AF7" w:rsidRPr="008D22A6">
              <w:rPr>
                <w:rStyle w:val="Lienhypertexte"/>
                <w:rFonts w:eastAsia="Times New Roman"/>
                <w:lang w:bidi="ar"/>
              </w:rPr>
              <w:t xml:space="preserve"> </w:t>
            </w:r>
            <w:r w:rsidR="00E12AF7" w:rsidRPr="008D22A6">
              <w:rPr>
                <w:rStyle w:val="Lienhypertexte"/>
                <w:rtl/>
              </w:rPr>
              <w:t>(</w:t>
            </w:r>
            <w:r w:rsidR="00E12AF7" w:rsidRPr="008D22A6">
              <w:rPr>
                <w:rStyle w:val="Lienhypertexte"/>
                <w:rFonts w:asciiTheme="majorBidi" w:hAnsiTheme="majorBidi" w:cstheme="majorBidi"/>
              </w:rPr>
              <w:t>ArcGIS</w:t>
            </w:r>
            <w:r w:rsidR="00E12AF7" w:rsidRPr="008D22A6">
              <w:rPr>
                <w:rStyle w:val="Lienhypertexte"/>
                <w:rtl/>
              </w:rPr>
              <w:t>)</w:t>
            </w:r>
            <w:r w:rsidR="008246D9" w:rsidRPr="008246D9">
              <w:rPr>
                <w:rtl/>
              </w:rPr>
              <w:t xml:space="preserve"> </w:t>
            </w:r>
            <w:r w:rsidR="008246D9" w:rsidRP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_Toc171803541 \h </w:instrText>
            </w:r>
            <w:r w:rsidR="00E12AF7">
              <w:rPr>
                <w:webHidden/>
              </w:rPr>
            </w:r>
            <w:r w:rsidR="00E12AF7">
              <w:rPr>
                <w:webHidden/>
              </w:rPr>
              <w:fldChar w:fldCharType="separate"/>
            </w:r>
            <w:r>
              <w:rPr>
                <w:webHidden/>
                <w:rtl/>
                <w:lang w:bidi="ar-SA"/>
              </w:rPr>
              <w:t>101</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47" w:history="1">
            <w:r w:rsidR="00E12AF7" w:rsidRPr="008D22A6">
              <w:rPr>
                <w:rStyle w:val="Lienhypertexte"/>
                <w:rFonts w:hint="eastAsia"/>
                <w:rtl/>
              </w:rPr>
              <w:t>الشكل</w:t>
            </w:r>
            <w:r w:rsidR="00E12AF7" w:rsidRPr="008D22A6">
              <w:rPr>
                <w:rStyle w:val="Lienhypertexte"/>
                <w:rtl/>
              </w:rPr>
              <w:t xml:space="preserve"> (3-11): </w:t>
            </w:r>
            <w:r w:rsidR="00E12AF7" w:rsidRPr="008D22A6">
              <w:rPr>
                <w:rStyle w:val="Lienhypertexte"/>
                <w:rFonts w:hint="eastAsia"/>
                <w:rtl/>
              </w:rPr>
              <w:t>شكل</w:t>
            </w:r>
            <w:r w:rsidR="00E12AF7" w:rsidRPr="008D22A6">
              <w:rPr>
                <w:rStyle w:val="Lienhypertexte"/>
                <w:rtl/>
              </w:rPr>
              <w:t xml:space="preserve"> </w:t>
            </w:r>
            <w:r w:rsidR="00E12AF7" w:rsidRPr="008D22A6">
              <w:rPr>
                <w:rStyle w:val="Lienhypertexte"/>
                <w:rFonts w:hint="eastAsia"/>
                <w:rtl/>
              </w:rPr>
              <w:t>ناتج</w:t>
            </w:r>
            <w:r w:rsidR="00E12AF7" w:rsidRPr="008D22A6">
              <w:rPr>
                <w:rStyle w:val="Lienhypertexte"/>
                <w:rtl/>
              </w:rPr>
              <w:t xml:space="preserve"> </w:t>
            </w:r>
            <w:r w:rsidR="00E12AF7" w:rsidRPr="008D22A6">
              <w:rPr>
                <w:rStyle w:val="Lienhypertexte"/>
                <w:rFonts w:hint="eastAsia"/>
                <w:rtl/>
              </w:rPr>
              <w:t>عن</w:t>
            </w:r>
            <w:r w:rsidR="00E12AF7" w:rsidRPr="008D22A6">
              <w:rPr>
                <w:rStyle w:val="Lienhypertexte"/>
                <w:rtl/>
              </w:rPr>
              <w:t xml:space="preserve"> </w:t>
            </w:r>
            <w:r w:rsidR="00E12AF7" w:rsidRPr="008D22A6">
              <w:rPr>
                <w:rStyle w:val="Lienhypertexte"/>
                <w:rFonts w:hint="eastAsia"/>
                <w:rtl/>
              </w:rPr>
              <w:t>استخدام</w:t>
            </w:r>
            <w:r w:rsidR="00E12AF7" w:rsidRPr="008D22A6">
              <w:rPr>
                <w:rStyle w:val="Lienhypertexte"/>
                <w:rtl/>
              </w:rPr>
              <w:t xml:space="preserve"> </w:t>
            </w:r>
            <w:r w:rsidR="00E12AF7" w:rsidRPr="008D22A6">
              <w:rPr>
                <w:rStyle w:val="Lienhypertexte"/>
                <w:rFonts w:hint="eastAsia"/>
                <w:rtl/>
              </w:rPr>
              <w:t>اداة</w:t>
            </w:r>
            <w:r w:rsidR="00E12AF7" w:rsidRPr="008D22A6">
              <w:rPr>
                <w:rStyle w:val="Lienhypertexte"/>
                <w:rtl/>
              </w:rPr>
              <w:t xml:space="preserve"> </w:t>
            </w:r>
            <w:r w:rsidR="00E12AF7" w:rsidRPr="008D22A6">
              <w:rPr>
                <w:rStyle w:val="Lienhypertexte"/>
                <w:rFonts w:hint="eastAsia"/>
                <w:rtl/>
              </w:rPr>
              <w:t>إنشاء</w:t>
            </w:r>
            <w:r w:rsidR="00E12AF7" w:rsidRPr="008D22A6">
              <w:rPr>
                <w:rStyle w:val="Lienhypertexte"/>
                <w:rtl/>
              </w:rPr>
              <w:t xml:space="preserve"> </w:t>
            </w:r>
            <w:r w:rsidR="00E12AF7" w:rsidRPr="008D22A6">
              <w:rPr>
                <w:rStyle w:val="Lienhypertexte"/>
                <w:rFonts w:hint="eastAsia"/>
                <w:rtl/>
              </w:rPr>
              <w:t>مضلعات</w:t>
            </w:r>
            <w:r w:rsidR="00E12AF7" w:rsidRPr="008D22A6">
              <w:rPr>
                <w:rStyle w:val="Lienhypertexte"/>
                <w:rtl/>
              </w:rPr>
              <w:t xml:space="preserve"> </w:t>
            </w:r>
            <w:r w:rsidR="00E12AF7" w:rsidRPr="008D22A6">
              <w:rPr>
                <w:rStyle w:val="Lienhypertexte"/>
                <w:rFonts w:hint="eastAsia"/>
                <w:rtl/>
              </w:rPr>
              <w:t>ثيسون</w:t>
            </w:r>
            <w:r w:rsidR="008246D9" w:rsidRP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_Toc171803547 \h </w:instrText>
            </w:r>
            <w:r w:rsidR="00E12AF7">
              <w:rPr>
                <w:webHidden/>
              </w:rPr>
            </w:r>
            <w:r w:rsidR="00E12AF7">
              <w:rPr>
                <w:webHidden/>
              </w:rPr>
              <w:fldChar w:fldCharType="separate"/>
            </w:r>
            <w:r>
              <w:rPr>
                <w:webHidden/>
                <w:rtl/>
                <w:lang w:bidi="ar-SA"/>
              </w:rPr>
              <w:t>103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48" w:history="1">
            <w:r w:rsidR="00E12AF7" w:rsidRPr="008D22A6">
              <w:rPr>
                <w:rStyle w:val="Lienhypertexte"/>
                <w:rFonts w:hint="eastAsia"/>
                <w:rtl/>
              </w:rPr>
              <w:t>الشكل</w:t>
            </w:r>
            <w:r w:rsidR="00E12AF7" w:rsidRPr="008D22A6">
              <w:rPr>
                <w:rStyle w:val="Lienhypertexte"/>
                <w:rtl/>
              </w:rPr>
              <w:t xml:space="preserve"> (3-12): </w:t>
            </w:r>
            <w:r w:rsidR="00E12AF7" w:rsidRPr="008D22A6">
              <w:rPr>
                <w:rStyle w:val="Lienhypertexte"/>
                <w:rFonts w:hint="eastAsia"/>
                <w:rtl/>
              </w:rPr>
              <w:t>شكل</w:t>
            </w:r>
            <w:r w:rsidR="00E12AF7" w:rsidRPr="008D22A6">
              <w:rPr>
                <w:rStyle w:val="Lienhypertexte"/>
                <w:rtl/>
              </w:rPr>
              <w:t xml:space="preserve"> </w:t>
            </w:r>
            <w:r w:rsidR="00E12AF7" w:rsidRPr="008D22A6">
              <w:rPr>
                <w:rStyle w:val="Lienhypertexte"/>
                <w:rFonts w:hint="eastAsia"/>
                <w:rtl/>
              </w:rPr>
              <w:t>ناتج</w:t>
            </w:r>
            <w:r w:rsidR="00E12AF7" w:rsidRPr="008D22A6">
              <w:rPr>
                <w:rStyle w:val="Lienhypertexte"/>
                <w:rtl/>
              </w:rPr>
              <w:t xml:space="preserve"> </w:t>
            </w:r>
            <w:r w:rsidR="00E12AF7" w:rsidRPr="008D22A6">
              <w:rPr>
                <w:rStyle w:val="Lienhypertexte"/>
                <w:rFonts w:hint="eastAsia"/>
                <w:rtl/>
              </w:rPr>
              <w:t>عن</w:t>
            </w:r>
            <w:r w:rsidR="00E12AF7" w:rsidRPr="008D22A6">
              <w:rPr>
                <w:rStyle w:val="Lienhypertexte"/>
                <w:rtl/>
              </w:rPr>
              <w:t xml:space="preserve"> </w:t>
            </w:r>
            <w:r w:rsidR="00E12AF7" w:rsidRPr="008D22A6">
              <w:rPr>
                <w:rStyle w:val="Lienhypertexte"/>
                <w:rFonts w:hint="eastAsia"/>
                <w:rtl/>
              </w:rPr>
              <w:t>استخدام</w:t>
            </w:r>
            <w:r w:rsidR="00E12AF7" w:rsidRPr="008D22A6">
              <w:rPr>
                <w:rStyle w:val="Lienhypertexte"/>
                <w:rtl/>
              </w:rPr>
              <w:t xml:space="preserve"> </w:t>
            </w:r>
            <w:r w:rsidR="00E12AF7" w:rsidRPr="008D22A6">
              <w:rPr>
                <w:rStyle w:val="Lienhypertexte"/>
                <w:rFonts w:hint="eastAsia"/>
                <w:rtl/>
              </w:rPr>
              <w:t>اداة</w:t>
            </w:r>
            <w:r w:rsidR="00E12AF7" w:rsidRPr="008D22A6">
              <w:rPr>
                <w:rStyle w:val="Lienhypertexte"/>
                <w:rtl/>
              </w:rPr>
              <w:t xml:space="preserve"> </w:t>
            </w:r>
            <w:r w:rsidR="00E12AF7" w:rsidRPr="008D22A6">
              <w:rPr>
                <w:rStyle w:val="Lienhypertexte"/>
                <w:rFonts w:hint="eastAsia"/>
                <w:rtl/>
              </w:rPr>
              <w:t>المتوسط</w:t>
            </w:r>
            <w:r w:rsidR="00E12AF7" w:rsidRPr="008D22A6">
              <w:rPr>
                <w:rStyle w:val="Lienhypertexte"/>
                <w:rtl/>
              </w:rPr>
              <w:t xml:space="preserve"> </w:t>
            </w:r>
            <w:r w:rsidR="00E12AF7" w:rsidRPr="008D22A6">
              <w:rPr>
                <w:rStyle w:val="Lienhypertexte"/>
                <w:rFonts w:hint="eastAsia"/>
                <w:rtl/>
              </w:rPr>
              <w:t>المكاني</w:t>
            </w:r>
            <w:r w:rsidR="008246D9" w:rsidRP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_Toc171803548 \h </w:instrText>
            </w:r>
            <w:r w:rsidR="00E12AF7">
              <w:rPr>
                <w:webHidden/>
              </w:rPr>
            </w:r>
            <w:r w:rsidR="00E12AF7">
              <w:rPr>
                <w:webHidden/>
              </w:rPr>
              <w:fldChar w:fldCharType="separate"/>
            </w:r>
            <w:r>
              <w:rPr>
                <w:webHidden/>
                <w:rtl/>
                <w:lang w:bidi="ar-SA"/>
              </w:rPr>
              <w:t>104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49" w:history="1">
            <w:r w:rsidR="00E12AF7" w:rsidRPr="008D22A6">
              <w:rPr>
                <w:rStyle w:val="Lienhypertexte"/>
                <w:rFonts w:hint="eastAsia"/>
                <w:rtl/>
              </w:rPr>
              <w:t>الشكل</w:t>
            </w:r>
            <w:r w:rsidR="00E12AF7" w:rsidRPr="008D22A6">
              <w:rPr>
                <w:rStyle w:val="Lienhypertexte"/>
                <w:rtl/>
              </w:rPr>
              <w:t xml:space="preserve"> (3-13): </w:t>
            </w:r>
            <w:r w:rsidR="00E12AF7" w:rsidRPr="008D22A6">
              <w:rPr>
                <w:rStyle w:val="Lienhypertexte"/>
                <w:rFonts w:hint="eastAsia"/>
                <w:rtl/>
              </w:rPr>
              <w:t>شكل</w:t>
            </w:r>
            <w:r w:rsidR="00E12AF7" w:rsidRPr="008D22A6">
              <w:rPr>
                <w:rStyle w:val="Lienhypertexte"/>
                <w:rtl/>
              </w:rPr>
              <w:t xml:space="preserve"> </w:t>
            </w:r>
            <w:r w:rsidR="00E12AF7" w:rsidRPr="008D22A6">
              <w:rPr>
                <w:rStyle w:val="Lienhypertexte"/>
                <w:rFonts w:hint="eastAsia"/>
                <w:rtl/>
              </w:rPr>
              <w:t>ناتج</w:t>
            </w:r>
            <w:r w:rsidR="00E12AF7" w:rsidRPr="008D22A6">
              <w:rPr>
                <w:rStyle w:val="Lienhypertexte"/>
                <w:rtl/>
              </w:rPr>
              <w:t xml:space="preserve"> </w:t>
            </w:r>
            <w:r w:rsidR="00E12AF7" w:rsidRPr="008D22A6">
              <w:rPr>
                <w:rStyle w:val="Lienhypertexte"/>
                <w:rFonts w:hint="eastAsia"/>
                <w:rtl/>
              </w:rPr>
              <w:t>عن</w:t>
            </w:r>
            <w:r w:rsidR="00E12AF7" w:rsidRPr="008D22A6">
              <w:rPr>
                <w:rStyle w:val="Lienhypertexte"/>
                <w:rtl/>
              </w:rPr>
              <w:t xml:space="preserve"> </w:t>
            </w:r>
            <w:r w:rsidR="00E12AF7" w:rsidRPr="008D22A6">
              <w:rPr>
                <w:rStyle w:val="Lienhypertexte"/>
                <w:rFonts w:hint="eastAsia"/>
                <w:rtl/>
              </w:rPr>
              <w:t>استخدام</w:t>
            </w:r>
            <w:r w:rsidR="00E12AF7" w:rsidRPr="008D22A6">
              <w:rPr>
                <w:rStyle w:val="Lienhypertexte"/>
                <w:rtl/>
              </w:rPr>
              <w:t xml:space="preserve"> </w:t>
            </w:r>
            <w:r w:rsidR="00E12AF7" w:rsidRPr="008D22A6">
              <w:rPr>
                <w:rStyle w:val="Lienhypertexte"/>
                <w:rFonts w:hint="eastAsia"/>
                <w:rtl/>
              </w:rPr>
              <w:t>اداة</w:t>
            </w:r>
            <w:r w:rsidR="00E12AF7" w:rsidRPr="008D22A6">
              <w:rPr>
                <w:rStyle w:val="Lienhypertexte"/>
                <w:rtl/>
              </w:rPr>
              <w:t xml:space="preserve"> </w:t>
            </w:r>
            <w:r w:rsidR="00E12AF7" w:rsidRPr="008D22A6">
              <w:rPr>
                <w:rStyle w:val="Lienhypertexte"/>
                <w:rFonts w:hint="eastAsia"/>
                <w:rtl/>
              </w:rPr>
              <w:t>المسافة</w:t>
            </w:r>
            <w:r w:rsidR="00E12AF7" w:rsidRPr="008D22A6">
              <w:rPr>
                <w:rStyle w:val="Lienhypertexte"/>
                <w:rtl/>
              </w:rPr>
              <w:t xml:space="preserve"> </w:t>
            </w:r>
            <w:r w:rsidR="00E12AF7" w:rsidRPr="008D22A6">
              <w:rPr>
                <w:rStyle w:val="Lienhypertexte"/>
                <w:rFonts w:hint="eastAsia"/>
                <w:rtl/>
              </w:rPr>
              <w:t>المعيارية</w:t>
            </w:r>
            <w:r w:rsidR="008246D9" w:rsidRP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_Toc171803549 \h </w:instrText>
            </w:r>
            <w:r w:rsidR="00E12AF7">
              <w:rPr>
                <w:webHidden/>
              </w:rPr>
            </w:r>
            <w:r w:rsidR="00E12AF7">
              <w:rPr>
                <w:webHidden/>
              </w:rPr>
              <w:fldChar w:fldCharType="separate"/>
            </w:r>
            <w:r>
              <w:rPr>
                <w:webHidden/>
                <w:rtl/>
                <w:lang w:bidi="ar-SA"/>
              </w:rPr>
              <w:t>104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50" w:history="1">
            <w:r w:rsidR="00E12AF7" w:rsidRPr="008D22A6">
              <w:rPr>
                <w:rStyle w:val="Lienhypertexte"/>
                <w:rFonts w:hint="eastAsia"/>
                <w:rtl/>
              </w:rPr>
              <w:t>الشكل</w:t>
            </w:r>
            <w:r w:rsidR="00E12AF7" w:rsidRPr="008D22A6">
              <w:rPr>
                <w:rStyle w:val="Lienhypertexte"/>
                <w:rtl/>
              </w:rPr>
              <w:t xml:space="preserve"> (3-14): </w:t>
            </w:r>
            <w:r w:rsidR="00E12AF7" w:rsidRPr="008D22A6">
              <w:rPr>
                <w:rStyle w:val="Lienhypertexte"/>
                <w:rFonts w:hint="eastAsia"/>
                <w:rtl/>
              </w:rPr>
              <w:t>شكل</w:t>
            </w:r>
            <w:r w:rsidR="00E12AF7" w:rsidRPr="008D22A6">
              <w:rPr>
                <w:rStyle w:val="Lienhypertexte"/>
                <w:rtl/>
              </w:rPr>
              <w:t xml:space="preserve"> </w:t>
            </w:r>
            <w:r w:rsidR="00E12AF7" w:rsidRPr="008D22A6">
              <w:rPr>
                <w:rStyle w:val="Lienhypertexte"/>
                <w:rFonts w:hint="eastAsia"/>
                <w:rtl/>
              </w:rPr>
              <w:t>ناتج</w:t>
            </w:r>
            <w:r w:rsidR="00E12AF7" w:rsidRPr="008D22A6">
              <w:rPr>
                <w:rStyle w:val="Lienhypertexte"/>
                <w:rtl/>
              </w:rPr>
              <w:t xml:space="preserve"> </w:t>
            </w:r>
            <w:r w:rsidR="00E12AF7" w:rsidRPr="008D22A6">
              <w:rPr>
                <w:rStyle w:val="Lienhypertexte"/>
                <w:rFonts w:hint="eastAsia"/>
                <w:rtl/>
              </w:rPr>
              <w:t>عن</w:t>
            </w:r>
            <w:r w:rsidR="00E12AF7" w:rsidRPr="008D22A6">
              <w:rPr>
                <w:rStyle w:val="Lienhypertexte"/>
                <w:rtl/>
              </w:rPr>
              <w:t xml:space="preserve"> </w:t>
            </w:r>
            <w:r w:rsidR="00E12AF7" w:rsidRPr="008D22A6">
              <w:rPr>
                <w:rStyle w:val="Lienhypertexte"/>
                <w:rFonts w:hint="eastAsia"/>
                <w:rtl/>
              </w:rPr>
              <w:t>استخدام</w:t>
            </w:r>
            <w:r w:rsidR="00E12AF7" w:rsidRPr="008D22A6">
              <w:rPr>
                <w:rStyle w:val="Lienhypertexte"/>
                <w:rtl/>
              </w:rPr>
              <w:t xml:space="preserve"> </w:t>
            </w:r>
            <w:r w:rsidR="00E12AF7" w:rsidRPr="008D22A6">
              <w:rPr>
                <w:rStyle w:val="Lienhypertexte"/>
                <w:rFonts w:hint="eastAsia"/>
                <w:rtl/>
              </w:rPr>
              <w:t>اداة</w:t>
            </w:r>
            <w:r w:rsidR="00E12AF7" w:rsidRPr="008D22A6">
              <w:rPr>
                <w:rStyle w:val="Lienhypertexte"/>
                <w:rtl/>
              </w:rPr>
              <w:t xml:space="preserve"> </w:t>
            </w:r>
            <w:r w:rsidR="00E12AF7" w:rsidRPr="008D22A6">
              <w:rPr>
                <w:rStyle w:val="Lienhypertexte"/>
                <w:rFonts w:hint="eastAsia"/>
                <w:rtl/>
              </w:rPr>
              <w:t>تحليل</w:t>
            </w:r>
            <w:r w:rsidR="00E12AF7" w:rsidRPr="008D22A6">
              <w:rPr>
                <w:rStyle w:val="Lienhypertexte"/>
              </w:rPr>
              <w:t xml:space="preserve"> </w:t>
            </w:r>
            <w:r w:rsidR="00E12AF7" w:rsidRPr="008D22A6">
              <w:rPr>
                <w:rStyle w:val="Lienhypertexte"/>
                <w:rFonts w:hint="eastAsia"/>
                <w:rtl/>
              </w:rPr>
              <w:t>الجار</w:t>
            </w:r>
            <w:r w:rsidR="00E12AF7" w:rsidRPr="008D22A6">
              <w:rPr>
                <w:rStyle w:val="Lienhypertexte"/>
              </w:rPr>
              <w:t xml:space="preserve"> </w:t>
            </w:r>
            <w:r w:rsidR="00E12AF7" w:rsidRPr="008D22A6">
              <w:rPr>
                <w:rStyle w:val="Lienhypertexte"/>
                <w:rFonts w:hint="eastAsia"/>
                <w:rtl/>
              </w:rPr>
              <w:t>الأقرب</w:t>
            </w:r>
            <w:r w:rsidR="008246D9" w:rsidRP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_Toc171803550 \h </w:instrText>
            </w:r>
            <w:r w:rsidR="00E12AF7">
              <w:rPr>
                <w:webHidden/>
              </w:rPr>
            </w:r>
            <w:r w:rsidR="00E12AF7">
              <w:rPr>
                <w:webHidden/>
              </w:rPr>
              <w:fldChar w:fldCharType="separate"/>
            </w:r>
            <w:r>
              <w:rPr>
                <w:webHidden/>
                <w:rtl/>
                <w:lang w:bidi="ar-SA"/>
              </w:rPr>
              <w:t>105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53" w:history="1">
            <w:r w:rsidR="00E12AF7" w:rsidRPr="008D22A6">
              <w:rPr>
                <w:rStyle w:val="Lienhypertexte"/>
                <w:rFonts w:hint="eastAsia"/>
                <w:rtl/>
              </w:rPr>
              <w:t>الشكل</w:t>
            </w:r>
            <w:r w:rsidR="00E12AF7" w:rsidRPr="008D22A6">
              <w:rPr>
                <w:rStyle w:val="Lienhypertexte"/>
                <w:rtl/>
              </w:rPr>
              <w:t xml:space="preserve"> (3-15): </w:t>
            </w:r>
            <w:r w:rsidR="00E12AF7" w:rsidRPr="008D22A6">
              <w:rPr>
                <w:rStyle w:val="Lienhypertexte"/>
                <w:rFonts w:hint="eastAsia"/>
                <w:rtl/>
              </w:rPr>
              <w:t>المنهجية</w:t>
            </w:r>
            <w:r w:rsidR="00E12AF7" w:rsidRPr="008D22A6">
              <w:rPr>
                <w:rStyle w:val="Lienhypertexte"/>
                <w:rtl/>
              </w:rPr>
              <w:t xml:space="preserve"> </w:t>
            </w:r>
            <w:r w:rsidR="00E12AF7" w:rsidRPr="008D22A6">
              <w:rPr>
                <w:rStyle w:val="Lienhypertexte"/>
                <w:rFonts w:hint="eastAsia"/>
                <w:rtl/>
              </w:rPr>
              <w:t>المتبعة</w:t>
            </w:r>
            <w:r w:rsidR="00E12AF7" w:rsidRPr="008D22A6">
              <w:rPr>
                <w:rStyle w:val="Lienhypertexte"/>
                <w:rtl/>
              </w:rPr>
              <w:t xml:space="preserve"> </w:t>
            </w:r>
            <w:r w:rsidR="00E12AF7" w:rsidRPr="008D22A6">
              <w:rPr>
                <w:rStyle w:val="Lienhypertexte"/>
                <w:rFonts w:hint="eastAsia"/>
                <w:rtl/>
              </w:rPr>
              <w:t>لاطار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المرحلة</w:t>
            </w:r>
            <w:r w:rsidR="00E12AF7" w:rsidRPr="008D22A6">
              <w:rPr>
                <w:rStyle w:val="Lienhypertexte"/>
                <w:rtl/>
              </w:rPr>
              <w:t xml:space="preserve"> </w:t>
            </w:r>
            <w:r w:rsidR="00E12AF7" w:rsidRPr="008D22A6">
              <w:rPr>
                <w:rStyle w:val="Lienhypertexte"/>
                <w:rFonts w:hint="eastAsia"/>
                <w:rtl/>
              </w:rPr>
              <w:t>الخامسة</w:t>
            </w:r>
            <w:r w:rsidR="00E12AF7" w:rsidRPr="008D22A6">
              <w:rPr>
                <w:rStyle w:val="Lienhypertexte"/>
                <w:rtl/>
              </w:rPr>
              <w:t>)</w:t>
            </w:r>
            <w:r w:rsidR="008246D9" w:rsidRPr="008246D9">
              <w:rPr>
                <w:rtl/>
              </w:rPr>
              <w:t xml:space="preserve"> </w:t>
            </w:r>
            <w:r w:rsid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_Toc171803553 \h </w:instrText>
            </w:r>
            <w:r w:rsidR="00E12AF7">
              <w:rPr>
                <w:webHidden/>
              </w:rPr>
            </w:r>
            <w:r w:rsidR="00E12AF7">
              <w:rPr>
                <w:webHidden/>
              </w:rPr>
              <w:fldChar w:fldCharType="separate"/>
            </w:r>
            <w:r>
              <w:rPr>
                <w:webHidden/>
                <w:rtl/>
                <w:lang w:bidi="ar-SA"/>
              </w:rPr>
              <w:t>106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57" w:history="1">
            <w:r w:rsidR="00E12AF7" w:rsidRPr="008D22A6">
              <w:rPr>
                <w:rStyle w:val="Lienhypertexte"/>
                <w:rFonts w:hint="eastAsia"/>
                <w:rtl/>
              </w:rPr>
              <w:t>الشكل</w:t>
            </w:r>
            <w:r w:rsidR="00E12AF7" w:rsidRPr="008D22A6">
              <w:rPr>
                <w:rStyle w:val="Lienhypertexte"/>
                <w:rtl/>
              </w:rPr>
              <w:t xml:space="preserve"> (3-16): </w:t>
            </w:r>
            <w:r w:rsidR="00E12AF7" w:rsidRPr="008D22A6">
              <w:rPr>
                <w:rStyle w:val="Lienhypertexte"/>
                <w:rFonts w:hint="eastAsia"/>
                <w:rtl/>
              </w:rPr>
              <w:t>خطوات</w:t>
            </w:r>
            <w:r w:rsidR="00E12AF7" w:rsidRPr="008D22A6">
              <w:rPr>
                <w:rStyle w:val="Lienhypertexte"/>
                <w:rtl/>
              </w:rPr>
              <w:t xml:space="preserve"> </w:t>
            </w:r>
            <w:r w:rsidR="00E12AF7" w:rsidRPr="008D22A6">
              <w:rPr>
                <w:rStyle w:val="Lienhypertexte"/>
                <w:rFonts w:hint="eastAsia"/>
                <w:rtl/>
              </w:rPr>
              <w:t>تطوير</w:t>
            </w:r>
            <w:r w:rsidR="00E12AF7" w:rsidRPr="008D22A6">
              <w:rPr>
                <w:rStyle w:val="Lienhypertexte"/>
                <w:rtl/>
              </w:rPr>
              <w:t xml:space="preserve"> </w:t>
            </w:r>
            <w:r w:rsidR="00E12AF7" w:rsidRPr="008D22A6">
              <w:rPr>
                <w:rStyle w:val="Lienhypertexte"/>
                <w:rFonts w:hint="eastAsia"/>
                <w:rtl/>
              </w:rPr>
              <w:t>الاستبيان</w:t>
            </w:r>
            <w:r w:rsidR="008246D9" w:rsidRPr="008246D9">
              <w:rPr>
                <w:rStyle w:val="Lienhypertexte"/>
                <w:rtl/>
              </w:rPr>
              <w:t>……………………………………</w:t>
            </w:r>
            <w:r w:rsidR="008246D9" w:rsidRPr="008246D9">
              <w:rPr>
                <w:rStyle w:val="Lienhypertexte"/>
                <w:rFonts w:hint="cs"/>
                <w:rtl/>
              </w:rPr>
              <w:t>.......................</w:t>
            </w:r>
            <w:r w:rsidR="008246D9" w:rsidRPr="008246D9">
              <w:rPr>
                <w:rStyle w:val="Lienhypertexte"/>
                <w:rtl/>
              </w:rPr>
              <w:t>…</w:t>
            </w:r>
            <w:r w:rsidR="008246D9">
              <w:rPr>
                <w:rStyle w:val="Lienhypertexte"/>
                <w:rtl/>
              </w:rPr>
              <w:t>…………</w:t>
            </w:r>
            <w:r w:rsidR="008246D9">
              <w:rPr>
                <w:rStyle w:val="Lienhypertexte"/>
                <w:rFonts w:hint="cs"/>
                <w:rtl/>
              </w:rPr>
              <w:t>.</w:t>
            </w:r>
            <w:r w:rsidR="00E12AF7">
              <w:rPr>
                <w:webHidden/>
              </w:rPr>
              <w:tab/>
            </w:r>
            <w:r w:rsidR="00E12AF7">
              <w:rPr>
                <w:webHidden/>
              </w:rPr>
              <w:fldChar w:fldCharType="begin"/>
            </w:r>
            <w:r w:rsidR="00E12AF7">
              <w:rPr>
                <w:webHidden/>
              </w:rPr>
              <w:instrText xml:space="preserve"> PAGEREF _Toc171803557 \h </w:instrText>
            </w:r>
            <w:r w:rsidR="00E12AF7">
              <w:rPr>
                <w:webHidden/>
              </w:rPr>
            </w:r>
            <w:r w:rsidR="00E12AF7">
              <w:rPr>
                <w:webHidden/>
              </w:rPr>
              <w:fldChar w:fldCharType="separate"/>
            </w:r>
            <w:r>
              <w:rPr>
                <w:webHidden/>
                <w:rtl/>
                <w:lang w:bidi="ar-SA"/>
              </w:rPr>
              <w:t>108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63" w:history="1">
            <w:r w:rsidR="00E12AF7" w:rsidRPr="008D22A6">
              <w:rPr>
                <w:rStyle w:val="Lienhypertexte"/>
                <w:rFonts w:hint="eastAsia"/>
                <w:rtl/>
              </w:rPr>
              <w:t>الفصل</w:t>
            </w:r>
            <w:r w:rsidR="00E12AF7" w:rsidRPr="008D22A6">
              <w:rPr>
                <w:rStyle w:val="Lienhypertexte"/>
                <w:rtl/>
              </w:rPr>
              <w:t xml:space="preserve"> 4: </w:t>
            </w:r>
            <w:r w:rsidR="00E12AF7" w:rsidRPr="008D22A6">
              <w:rPr>
                <w:rStyle w:val="Lienhypertexte"/>
                <w:rFonts w:hint="eastAsia"/>
                <w:rtl/>
              </w:rPr>
              <w:t>علاقة</w:t>
            </w:r>
            <w:r w:rsidR="00E12AF7" w:rsidRPr="008D22A6">
              <w:rPr>
                <w:rStyle w:val="Lienhypertexte"/>
                <w:rtl/>
              </w:rPr>
              <w:t xml:space="preserve"> </w:t>
            </w:r>
            <w:r w:rsidR="00E12AF7" w:rsidRPr="008D22A6">
              <w:rPr>
                <w:rStyle w:val="Lienhypertexte"/>
                <w:rFonts w:hint="eastAsia"/>
                <w:rtl/>
              </w:rPr>
              <w:t>استعمالات</w:t>
            </w:r>
            <w:r w:rsidR="00E12AF7" w:rsidRPr="008D22A6">
              <w:rPr>
                <w:rStyle w:val="Lienhypertexte"/>
                <w:rtl/>
              </w:rPr>
              <w:t xml:space="preserve"> </w:t>
            </w:r>
            <w:r w:rsidR="00E12AF7" w:rsidRPr="008D22A6">
              <w:rPr>
                <w:rStyle w:val="Lienhypertexte"/>
                <w:rFonts w:hint="eastAsia"/>
                <w:rtl/>
              </w:rPr>
              <w:t>الاراضي</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مع</w:t>
            </w:r>
            <w:r w:rsidR="00E12AF7" w:rsidRPr="008D22A6">
              <w:rPr>
                <w:rStyle w:val="Lienhypertexte"/>
                <w:rtl/>
              </w:rPr>
              <w:t xml:space="preserve"> </w:t>
            </w:r>
            <w:r w:rsidR="00E12AF7" w:rsidRPr="008D22A6">
              <w:rPr>
                <w:rStyle w:val="Lienhypertexte"/>
                <w:rFonts w:hint="eastAsia"/>
                <w:rtl/>
              </w:rPr>
              <w:t>تكوين</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المكانية</w:t>
            </w:r>
          </w:hyperlink>
        </w:p>
        <w:p w:rsidR="00E12AF7" w:rsidRDefault="00B62F86" w:rsidP="009579D2">
          <w:pPr>
            <w:pStyle w:val="TM1"/>
            <w:rPr>
              <w:rFonts w:asciiTheme="minorHAnsi" w:hAnsiTheme="minorHAnsi" w:cstheme="minorBidi"/>
              <w:color w:val="auto"/>
              <w:lang w:val="fr-FR" w:bidi="ar-SA"/>
            </w:rPr>
          </w:pPr>
          <w:hyperlink w:anchor="_Toc171803583" w:history="1">
            <w:r w:rsidR="00E12AF7" w:rsidRPr="008D22A6">
              <w:rPr>
                <w:rStyle w:val="Lienhypertexte"/>
                <w:rFonts w:hint="eastAsia"/>
                <w:rtl/>
              </w:rPr>
              <w:t>الشكل</w:t>
            </w:r>
            <w:r w:rsidR="00E12AF7" w:rsidRPr="008D22A6">
              <w:rPr>
                <w:rStyle w:val="Lienhypertexte"/>
                <w:rtl/>
              </w:rPr>
              <w:t xml:space="preserve"> (4-1): </w:t>
            </w:r>
            <w:r w:rsidR="00E12AF7" w:rsidRPr="008D22A6">
              <w:rPr>
                <w:rStyle w:val="Lienhypertexte"/>
                <w:rFonts w:hint="eastAsia"/>
                <w:rtl/>
              </w:rPr>
              <w:t>اتجاهات</w:t>
            </w:r>
            <w:r w:rsidR="00E12AF7" w:rsidRPr="008D22A6">
              <w:rPr>
                <w:rStyle w:val="Lienhypertexte"/>
                <w:rtl/>
              </w:rPr>
              <w:t xml:space="preserve"> </w:t>
            </w:r>
            <w:r w:rsidR="00E12AF7" w:rsidRPr="008D22A6">
              <w:rPr>
                <w:rStyle w:val="Lienhypertexte"/>
                <w:rFonts w:hint="eastAsia"/>
                <w:rtl/>
              </w:rPr>
              <w:t>الرياح</w:t>
            </w:r>
            <w:r w:rsidR="00E12AF7" w:rsidRPr="008D22A6">
              <w:rPr>
                <w:rStyle w:val="Lienhypertexte"/>
                <w:rtl/>
              </w:rPr>
              <w:t xml:space="preserve"> </w:t>
            </w:r>
            <w:r w:rsidR="00E12AF7" w:rsidRPr="008D22A6">
              <w:rPr>
                <w:rStyle w:val="Lienhypertexte"/>
                <w:rFonts w:hint="eastAsia"/>
                <w:rtl/>
              </w:rPr>
              <w:t>السائدة</w:t>
            </w:r>
            <w:r w:rsidR="00E12AF7" w:rsidRPr="008D22A6">
              <w:rPr>
                <w:rStyle w:val="Lienhypertexte"/>
                <w:rtl/>
              </w:rPr>
              <w:t xml:space="preserve"> </w:t>
            </w:r>
            <w:r w:rsidR="00E12AF7" w:rsidRPr="008D22A6">
              <w:rPr>
                <w:rStyle w:val="Lienhypertexte"/>
                <w:rFonts w:hint="eastAsia"/>
                <w:rtl/>
              </w:rPr>
              <w:t>في</w:t>
            </w:r>
            <w:r w:rsidR="00E12AF7" w:rsidRPr="008D22A6">
              <w:rPr>
                <w:rStyle w:val="Lienhypertexte"/>
                <w:rtl/>
              </w:rPr>
              <w:t xml:space="preserve"> </w:t>
            </w:r>
            <w:r w:rsidR="00E12AF7" w:rsidRPr="008D22A6">
              <w:rPr>
                <w:rStyle w:val="Lienhypertexte"/>
                <w:rFonts w:hint="eastAsia"/>
                <w:rtl/>
              </w:rPr>
              <w:t>منطقة</w:t>
            </w:r>
            <w:r w:rsidR="00E12AF7" w:rsidRPr="008D22A6">
              <w:rPr>
                <w:rStyle w:val="Lienhypertexte"/>
                <w:rtl/>
              </w:rPr>
              <w:t xml:space="preserve"> </w:t>
            </w:r>
            <w:r w:rsidR="00E12AF7" w:rsidRPr="008D22A6">
              <w:rPr>
                <w:rStyle w:val="Lienhypertexte"/>
                <w:rFonts w:hint="eastAsia"/>
                <w:rtl/>
              </w:rPr>
              <w:t>بوسعادة</w:t>
            </w:r>
            <w:r w:rsidR="00172786" w:rsidRPr="00172786">
              <w:rPr>
                <w:rStyle w:val="Lienhypertexte"/>
                <w:rtl/>
              </w:rPr>
              <w:t>……………………………………</w:t>
            </w:r>
            <w:r w:rsidR="00172786" w:rsidRPr="00172786">
              <w:rPr>
                <w:rStyle w:val="Lienhypertexte"/>
                <w:rFonts w:hint="cs"/>
                <w:rtl/>
              </w:rPr>
              <w:t>......................</w:t>
            </w:r>
            <w:r w:rsidR="00E12AF7">
              <w:rPr>
                <w:webHidden/>
              </w:rPr>
              <w:tab/>
            </w:r>
            <w:r w:rsidR="00E12AF7">
              <w:rPr>
                <w:webHidden/>
              </w:rPr>
              <w:fldChar w:fldCharType="begin"/>
            </w:r>
            <w:r w:rsidR="00E12AF7">
              <w:rPr>
                <w:webHidden/>
              </w:rPr>
              <w:instrText xml:space="preserve"> PAGEREF _Toc171803583 \h </w:instrText>
            </w:r>
            <w:r w:rsidR="00E12AF7">
              <w:rPr>
                <w:webHidden/>
              </w:rPr>
            </w:r>
            <w:r w:rsidR="00E12AF7">
              <w:rPr>
                <w:webHidden/>
              </w:rPr>
              <w:fldChar w:fldCharType="separate"/>
            </w:r>
            <w:r>
              <w:rPr>
                <w:webHidden/>
                <w:rtl/>
                <w:lang w:bidi="ar-SA"/>
              </w:rPr>
              <w:t>117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587" w:history="1">
            <w:r w:rsidR="00E12AF7" w:rsidRPr="008D22A6">
              <w:rPr>
                <w:rStyle w:val="Lienhypertexte"/>
                <w:rFonts w:hint="eastAsia"/>
                <w:rtl/>
              </w:rPr>
              <w:t>الشكل</w:t>
            </w:r>
            <w:r w:rsidR="00E12AF7" w:rsidRPr="008D22A6">
              <w:rPr>
                <w:rStyle w:val="Lienhypertexte"/>
                <w:rtl/>
              </w:rPr>
              <w:t xml:space="preserve"> (4-2): </w:t>
            </w:r>
            <w:r w:rsidR="00E12AF7" w:rsidRPr="008D22A6">
              <w:rPr>
                <w:rStyle w:val="Lienhypertexte"/>
                <w:rFonts w:hint="eastAsia"/>
                <w:rtl/>
              </w:rPr>
              <w:t>المكونات</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لمدينة</w:t>
            </w:r>
            <w:r w:rsidR="00E12AF7" w:rsidRPr="008D22A6">
              <w:rPr>
                <w:rStyle w:val="Lienhypertexte"/>
                <w:rtl/>
              </w:rPr>
              <w:t xml:space="preserve"> </w:t>
            </w:r>
            <w:r w:rsidR="00E12AF7" w:rsidRPr="008D22A6">
              <w:rPr>
                <w:rStyle w:val="Lienhypertexte"/>
                <w:rFonts w:hint="eastAsia"/>
                <w:rtl/>
              </w:rPr>
              <w:t>بوسعادة</w:t>
            </w:r>
            <w:r w:rsidR="00172786" w:rsidRPr="00172786">
              <w:rPr>
                <w:rStyle w:val="Lienhypertexte"/>
                <w:rtl/>
              </w:rPr>
              <w:t>…………………………</w:t>
            </w:r>
            <w:r w:rsidR="00172786">
              <w:rPr>
                <w:rStyle w:val="Lienhypertexte"/>
                <w:rFonts w:hint="cs"/>
                <w:rtl/>
              </w:rPr>
              <w:t>.</w:t>
            </w:r>
            <w:r w:rsidR="00172786" w:rsidRPr="00172786">
              <w:rPr>
                <w:rStyle w:val="Lienhypertexte"/>
                <w:rtl/>
              </w:rPr>
              <w:t>…………</w:t>
            </w:r>
            <w:r w:rsidR="00172786" w:rsidRPr="00172786">
              <w:rPr>
                <w:rStyle w:val="Lienhypertexte"/>
                <w:rFonts w:hint="cs"/>
                <w:rtl/>
              </w:rPr>
              <w:t>.......................</w:t>
            </w:r>
            <w:r w:rsidR="00172786" w:rsidRPr="00172786">
              <w:rPr>
                <w:rStyle w:val="Lienhypertexte"/>
                <w:rtl/>
              </w:rPr>
              <w:t>…</w:t>
            </w:r>
            <w:r w:rsidR="00172786">
              <w:rPr>
                <w:rStyle w:val="Lienhypertexte"/>
                <w:rtl/>
              </w:rPr>
              <w:t>…</w:t>
            </w:r>
            <w:r w:rsidR="00E12AF7">
              <w:rPr>
                <w:webHidden/>
              </w:rPr>
              <w:tab/>
            </w:r>
            <w:r w:rsidR="00E12AF7">
              <w:rPr>
                <w:webHidden/>
              </w:rPr>
              <w:fldChar w:fldCharType="begin"/>
            </w:r>
            <w:r w:rsidR="00E12AF7">
              <w:rPr>
                <w:webHidden/>
              </w:rPr>
              <w:instrText xml:space="preserve"> PAGEREF _Toc171803587 \h </w:instrText>
            </w:r>
            <w:r w:rsidR="00E12AF7">
              <w:rPr>
                <w:webHidden/>
              </w:rPr>
            </w:r>
            <w:r w:rsidR="00E12AF7">
              <w:rPr>
                <w:webHidden/>
              </w:rPr>
              <w:fldChar w:fldCharType="separate"/>
            </w:r>
            <w:r>
              <w:rPr>
                <w:webHidden/>
                <w:rtl/>
                <w:lang w:bidi="ar-SA"/>
              </w:rPr>
              <w:t>119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10" w:history="1">
            <w:r w:rsidR="00E12AF7" w:rsidRPr="008D22A6">
              <w:rPr>
                <w:rStyle w:val="Lienhypertexte"/>
                <w:rFonts w:hint="eastAsia"/>
                <w:rtl/>
              </w:rPr>
              <w:t>الشكل</w:t>
            </w:r>
            <w:r w:rsidR="00E12AF7" w:rsidRPr="008D22A6">
              <w:rPr>
                <w:rStyle w:val="Lienhypertexte"/>
                <w:rtl/>
              </w:rPr>
              <w:t xml:space="preserve"> (4-3): </w:t>
            </w:r>
            <w:r w:rsidR="00E12AF7" w:rsidRPr="008D22A6">
              <w:rPr>
                <w:rStyle w:val="Lienhypertexte"/>
                <w:rFonts w:hint="eastAsia"/>
                <w:rtl/>
              </w:rPr>
              <w:t>نسبة</w:t>
            </w:r>
            <w:r w:rsidR="00E12AF7" w:rsidRPr="008D22A6">
              <w:rPr>
                <w:rStyle w:val="Lienhypertexte"/>
                <w:rtl/>
              </w:rPr>
              <w:t xml:space="preserve"> </w:t>
            </w:r>
            <w:r w:rsidR="00E12AF7" w:rsidRPr="008D22A6">
              <w:rPr>
                <w:rStyle w:val="Lienhypertexte"/>
                <w:rFonts w:hint="eastAsia"/>
                <w:rtl/>
              </w:rPr>
              <w:t>تعرض</w:t>
            </w:r>
            <w:r w:rsidR="00E12AF7" w:rsidRPr="008D22A6">
              <w:rPr>
                <w:rStyle w:val="Lienhypertexte"/>
                <w:rtl/>
              </w:rPr>
              <w:t xml:space="preserve"> </w:t>
            </w:r>
            <w:r w:rsidR="00E12AF7" w:rsidRPr="008D22A6">
              <w:rPr>
                <w:rStyle w:val="Lienhypertexte"/>
                <w:rFonts w:hint="eastAsia"/>
                <w:rtl/>
              </w:rPr>
              <w:t>الاحياء</w:t>
            </w:r>
            <w:r w:rsidR="00E12AF7" w:rsidRPr="008D22A6">
              <w:rPr>
                <w:rStyle w:val="Lienhypertexte"/>
                <w:rtl/>
              </w:rPr>
              <w:t xml:space="preserve"> </w:t>
            </w:r>
            <w:r w:rsidR="00E12AF7" w:rsidRPr="008D22A6">
              <w:rPr>
                <w:rStyle w:val="Lienhypertexte"/>
                <w:rFonts w:hint="eastAsia"/>
                <w:rtl/>
              </w:rPr>
              <w:t>لخطر</w:t>
            </w:r>
            <w:r w:rsidR="00E12AF7" w:rsidRPr="008D22A6">
              <w:rPr>
                <w:rStyle w:val="Lienhypertexte"/>
                <w:rtl/>
              </w:rPr>
              <w:t xml:space="preserve"> </w:t>
            </w:r>
            <w:r w:rsidR="00E12AF7" w:rsidRPr="008D22A6">
              <w:rPr>
                <w:rStyle w:val="Lienhypertexte"/>
                <w:rFonts w:hint="eastAsia"/>
                <w:rtl/>
              </w:rPr>
              <w:t>الفيضانات</w:t>
            </w:r>
            <w:r w:rsidR="00172786" w:rsidRPr="00172786">
              <w:rPr>
                <w:rStyle w:val="Lienhypertexte"/>
                <w:rtl/>
              </w:rPr>
              <w:t>……………………………………</w:t>
            </w:r>
            <w:r w:rsidR="00172786" w:rsidRPr="00172786">
              <w:rPr>
                <w:rStyle w:val="Lienhypertexte"/>
                <w:rFonts w:hint="cs"/>
                <w:rtl/>
              </w:rPr>
              <w:t>.....</w:t>
            </w:r>
            <w:r w:rsidR="00172786">
              <w:rPr>
                <w:rStyle w:val="Lienhypertexte"/>
                <w:rFonts w:hint="cs"/>
                <w:rtl/>
              </w:rPr>
              <w:t>.</w:t>
            </w:r>
            <w:r w:rsidR="00172786" w:rsidRPr="00172786">
              <w:rPr>
                <w:rStyle w:val="Lienhypertexte"/>
                <w:rFonts w:hint="cs"/>
                <w:rtl/>
              </w:rPr>
              <w:t>..................</w:t>
            </w:r>
            <w:r w:rsidR="00172786" w:rsidRPr="00172786">
              <w:rPr>
                <w:rStyle w:val="Lienhypertexte"/>
                <w:rtl/>
              </w:rPr>
              <w:t>…</w:t>
            </w:r>
            <w:r w:rsidR="00E12AF7">
              <w:rPr>
                <w:webHidden/>
              </w:rPr>
              <w:tab/>
            </w:r>
            <w:r w:rsidR="00E12AF7">
              <w:rPr>
                <w:webHidden/>
              </w:rPr>
              <w:fldChar w:fldCharType="begin"/>
            </w:r>
            <w:r w:rsidR="00E12AF7">
              <w:rPr>
                <w:webHidden/>
              </w:rPr>
              <w:instrText xml:space="preserve"> PAGEREF _Toc171803610 \h </w:instrText>
            </w:r>
            <w:r w:rsidR="00E12AF7">
              <w:rPr>
                <w:webHidden/>
              </w:rPr>
            </w:r>
            <w:r w:rsidR="00E12AF7">
              <w:rPr>
                <w:webHidden/>
              </w:rPr>
              <w:fldChar w:fldCharType="separate"/>
            </w:r>
            <w:r>
              <w:rPr>
                <w:webHidden/>
                <w:rtl/>
                <w:lang w:bidi="ar-SA"/>
              </w:rPr>
              <w:t>128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24" w:history="1">
            <w:r w:rsidR="00E12AF7" w:rsidRPr="008D22A6">
              <w:rPr>
                <w:rStyle w:val="Lienhypertexte"/>
                <w:rFonts w:hint="eastAsia"/>
                <w:rtl/>
              </w:rPr>
              <w:t>الشكل</w:t>
            </w:r>
            <w:r w:rsidR="00E12AF7" w:rsidRPr="008D22A6">
              <w:rPr>
                <w:rStyle w:val="Lienhypertexte"/>
                <w:rtl/>
              </w:rPr>
              <w:t xml:space="preserve"> (4-4): </w:t>
            </w:r>
            <w:r w:rsidR="00E12AF7" w:rsidRPr="008D22A6">
              <w:rPr>
                <w:rStyle w:val="Lienhypertexte"/>
                <w:rFonts w:hint="eastAsia"/>
                <w:rtl/>
              </w:rPr>
              <w:t>فئات</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لمدينة</w:t>
            </w:r>
            <w:r w:rsidR="00E12AF7" w:rsidRPr="008D22A6">
              <w:rPr>
                <w:rStyle w:val="Lienhypertexte"/>
                <w:rtl/>
              </w:rPr>
              <w:t xml:space="preserve"> </w:t>
            </w:r>
            <w:r w:rsidR="00E12AF7" w:rsidRPr="008D22A6">
              <w:rPr>
                <w:rStyle w:val="Lienhypertexte"/>
                <w:rFonts w:hint="eastAsia"/>
                <w:rtl/>
              </w:rPr>
              <w:t>بوسعادة</w:t>
            </w:r>
            <w:r w:rsidR="00172786" w:rsidRPr="00172786">
              <w:rPr>
                <w:rStyle w:val="Lienhypertexte"/>
                <w:rtl/>
              </w:rPr>
              <w:t>……………………………………</w:t>
            </w:r>
            <w:r w:rsidR="00172786" w:rsidRPr="00172786">
              <w:rPr>
                <w:rStyle w:val="Lienhypertexte"/>
                <w:rFonts w:hint="cs"/>
                <w:rtl/>
              </w:rPr>
              <w:t>..........</w:t>
            </w:r>
            <w:r w:rsidR="00172786">
              <w:rPr>
                <w:rStyle w:val="Lienhypertexte"/>
                <w:rFonts w:hint="cs"/>
                <w:rtl/>
              </w:rPr>
              <w:t>.</w:t>
            </w:r>
            <w:r w:rsidR="00172786" w:rsidRPr="00172786">
              <w:rPr>
                <w:rStyle w:val="Lienhypertexte"/>
                <w:rFonts w:hint="cs"/>
                <w:rtl/>
              </w:rPr>
              <w:t>.............</w:t>
            </w:r>
            <w:r w:rsidR="00172786" w:rsidRPr="00172786">
              <w:rPr>
                <w:rStyle w:val="Lienhypertexte"/>
                <w:rtl/>
              </w:rPr>
              <w:t>…</w:t>
            </w:r>
            <w:r w:rsidR="00E12AF7">
              <w:rPr>
                <w:webHidden/>
              </w:rPr>
              <w:tab/>
            </w:r>
            <w:r w:rsidR="00E12AF7">
              <w:rPr>
                <w:webHidden/>
              </w:rPr>
              <w:fldChar w:fldCharType="begin"/>
            </w:r>
            <w:r w:rsidR="00E12AF7">
              <w:rPr>
                <w:webHidden/>
              </w:rPr>
              <w:instrText xml:space="preserve"> PAGEREF _Toc171803624 \h </w:instrText>
            </w:r>
            <w:r w:rsidR="00E12AF7">
              <w:rPr>
                <w:webHidden/>
              </w:rPr>
            </w:r>
            <w:r w:rsidR="00E12AF7">
              <w:rPr>
                <w:webHidden/>
              </w:rPr>
              <w:fldChar w:fldCharType="separate"/>
            </w:r>
            <w:r>
              <w:rPr>
                <w:webHidden/>
                <w:rtl/>
                <w:lang w:bidi="ar-SA"/>
              </w:rPr>
              <w:t>133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27" w:history="1">
            <w:r w:rsidR="00E12AF7" w:rsidRPr="008D22A6">
              <w:rPr>
                <w:rStyle w:val="Lienhypertexte"/>
                <w:rFonts w:hint="eastAsia"/>
                <w:rtl/>
              </w:rPr>
              <w:t>الشكل</w:t>
            </w:r>
            <w:r w:rsidR="00E12AF7" w:rsidRPr="008D22A6">
              <w:rPr>
                <w:rStyle w:val="Lienhypertexte"/>
                <w:rtl/>
              </w:rPr>
              <w:t xml:space="preserve"> (4-5): </w:t>
            </w:r>
            <w:r w:rsidR="00E12AF7" w:rsidRPr="008D22A6">
              <w:rPr>
                <w:rStyle w:val="Lienhypertexte"/>
                <w:rFonts w:hint="eastAsia"/>
                <w:rtl/>
              </w:rPr>
              <w:t>فئة</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القديم</w:t>
            </w:r>
            <w:r w:rsidR="00E12AF7" w:rsidRPr="008D22A6">
              <w:rPr>
                <w:rStyle w:val="Lienhypertexte"/>
                <w:rtl/>
              </w:rPr>
              <w:t xml:space="preserve"> (</w:t>
            </w:r>
            <w:r w:rsidR="00E12AF7" w:rsidRPr="008D22A6">
              <w:rPr>
                <w:rStyle w:val="Lienhypertexte"/>
                <w:rFonts w:hint="eastAsia"/>
                <w:rtl/>
              </w:rPr>
              <w:t>أ</w:t>
            </w:r>
            <w:r w:rsidR="00E12AF7" w:rsidRPr="008D22A6">
              <w:rPr>
                <w:rStyle w:val="Lienhypertexte"/>
                <w:rtl/>
              </w:rPr>
              <w:t>) (</w:t>
            </w:r>
            <w:r w:rsidR="00E12AF7" w:rsidRPr="008D22A6">
              <w:rPr>
                <w:rStyle w:val="Lienhypertexte"/>
                <w:rFonts w:hint="eastAsia"/>
                <w:rtl/>
              </w:rPr>
              <w:t>قصر</w:t>
            </w:r>
            <w:r w:rsidR="00E12AF7" w:rsidRPr="008D22A6">
              <w:rPr>
                <w:rStyle w:val="Lienhypertexte"/>
                <w:rtl/>
              </w:rPr>
              <w:t xml:space="preserve"> </w:t>
            </w:r>
            <w:r w:rsidR="00E12AF7" w:rsidRPr="008D22A6">
              <w:rPr>
                <w:rStyle w:val="Lienhypertexte"/>
                <w:rFonts w:hint="eastAsia"/>
                <w:rtl/>
              </w:rPr>
              <w:t>بوسعادة</w:t>
            </w:r>
            <w:r w:rsidR="00E12AF7" w:rsidRPr="008D22A6">
              <w:rPr>
                <w:rStyle w:val="Lienhypertexte"/>
                <w:rtl/>
              </w:rPr>
              <w:t>)</w:t>
            </w:r>
            <w:r w:rsidR="00172786" w:rsidRPr="00172786">
              <w:rPr>
                <w:rtl/>
              </w:rPr>
              <w:t xml:space="preserve"> </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_Toc171803627 \h </w:instrText>
            </w:r>
            <w:r w:rsidR="00E12AF7">
              <w:rPr>
                <w:webHidden/>
              </w:rPr>
            </w:r>
            <w:r w:rsidR="00E12AF7">
              <w:rPr>
                <w:webHidden/>
              </w:rPr>
              <w:fldChar w:fldCharType="separate"/>
            </w:r>
            <w:r>
              <w:rPr>
                <w:webHidden/>
                <w:rtl/>
                <w:lang w:bidi="ar-SA"/>
              </w:rPr>
              <w:t>134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30" w:history="1">
            <w:r w:rsidR="00E12AF7" w:rsidRPr="008D22A6">
              <w:rPr>
                <w:rStyle w:val="Lienhypertexte"/>
                <w:rFonts w:hint="eastAsia"/>
                <w:rtl/>
              </w:rPr>
              <w:t>الشكل</w:t>
            </w:r>
            <w:r w:rsidR="00E12AF7" w:rsidRPr="008D22A6">
              <w:rPr>
                <w:rStyle w:val="Lienhypertexte"/>
                <w:rtl/>
              </w:rPr>
              <w:t xml:space="preserve"> (4-6): </w:t>
            </w:r>
            <w:r w:rsidR="00E12AF7" w:rsidRPr="008D22A6">
              <w:rPr>
                <w:rStyle w:val="Lienhypertexte"/>
                <w:rFonts w:hint="eastAsia"/>
                <w:rtl/>
              </w:rPr>
              <w:t>فئة</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الاستيطاني</w:t>
            </w:r>
            <w:r w:rsidR="00E12AF7" w:rsidRPr="008D22A6">
              <w:rPr>
                <w:rStyle w:val="Lienhypertexte"/>
                <w:rtl/>
              </w:rPr>
              <w:t xml:space="preserve"> (</w:t>
            </w:r>
            <w:r w:rsidR="00E12AF7" w:rsidRPr="008D22A6">
              <w:rPr>
                <w:rStyle w:val="Lienhypertexte"/>
                <w:rFonts w:hint="eastAsia"/>
                <w:rtl/>
              </w:rPr>
              <w:t>ب</w:t>
            </w:r>
            <w:r w:rsidR="00E12AF7" w:rsidRPr="008D22A6">
              <w:rPr>
                <w:rStyle w:val="Lienhypertexte"/>
                <w:rtl/>
              </w:rPr>
              <w:t>) (</w:t>
            </w:r>
            <w:r w:rsidR="00E12AF7" w:rsidRPr="008D22A6">
              <w:rPr>
                <w:rStyle w:val="Lienhypertexte"/>
                <w:rFonts w:hint="eastAsia"/>
                <w:rtl/>
              </w:rPr>
              <w:t>حي</w:t>
            </w:r>
            <w:r w:rsidR="00E12AF7" w:rsidRPr="008D22A6">
              <w:rPr>
                <w:rStyle w:val="Lienhypertexte"/>
                <w:rtl/>
              </w:rPr>
              <w:t xml:space="preserve"> </w:t>
            </w:r>
            <w:r w:rsidR="00E12AF7" w:rsidRPr="008D22A6">
              <w:rPr>
                <w:rStyle w:val="Lienhypertexte"/>
                <w:rFonts w:hint="eastAsia"/>
                <w:rtl/>
              </w:rPr>
              <w:t>بلاتو</w:t>
            </w:r>
            <w:r w:rsidR="00E12AF7" w:rsidRPr="008D22A6">
              <w:rPr>
                <w:rStyle w:val="Lienhypertexte"/>
                <w:rtl/>
              </w:rPr>
              <w:t>)</w:t>
            </w:r>
            <w:r w:rsidR="00172786" w:rsidRPr="00172786">
              <w:rPr>
                <w:rtl/>
              </w:rPr>
              <w:t xml:space="preserve"> </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_Toc171803630 \h </w:instrText>
            </w:r>
            <w:r w:rsidR="00E12AF7">
              <w:rPr>
                <w:webHidden/>
              </w:rPr>
            </w:r>
            <w:r w:rsidR="00E12AF7">
              <w:rPr>
                <w:webHidden/>
              </w:rPr>
              <w:fldChar w:fldCharType="separate"/>
            </w:r>
            <w:r>
              <w:rPr>
                <w:webHidden/>
                <w:rtl/>
                <w:lang w:bidi="ar-SA"/>
              </w:rPr>
              <w:t>136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33" w:history="1">
            <w:r w:rsidR="00E12AF7" w:rsidRPr="008D22A6">
              <w:rPr>
                <w:rStyle w:val="Lienhypertexte"/>
                <w:rFonts w:hint="eastAsia"/>
                <w:rtl/>
              </w:rPr>
              <w:t>الشكل</w:t>
            </w:r>
            <w:r w:rsidR="00E12AF7" w:rsidRPr="008D22A6">
              <w:rPr>
                <w:rStyle w:val="Lienhypertexte"/>
                <w:rtl/>
              </w:rPr>
              <w:t xml:space="preserve"> (4-7): </w:t>
            </w:r>
            <w:r w:rsidR="00E12AF7" w:rsidRPr="008D22A6">
              <w:rPr>
                <w:rStyle w:val="Lienhypertexte"/>
                <w:rFonts w:hint="eastAsia"/>
                <w:rtl/>
              </w:rPr>
              <w:t>فئة</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غير</w:t>
            </w:r>
            <w:r w:rsidR="00E12AF7" w:rsidRPr="008D22A6">
              <w:rPr>
                <w:rStyle w:val="Lienhypertexte"/>
                <w:rtl/>
              </w:rPr>
              <w:t xml:space="preserve"> </w:t>
            </w:r>
            <w:r w:rsidR="00E12AF7" w:rsidRPr="008D22A6">
              <w:rPr>
                <w:rStyle w:val="Lienhypertexte"/>
                <w:rFonts w:hint="eastAsia"/>
                <w:rtl/>
              </w:rPr>
              <w:t>المخطط</w:t>
            </w:r>
            <w:r w:rsidR="00E12AF7" w:rsidRPr="008D22A6">
              <w:rPr>
                <w:rStyle w:val="Lienhypertexte"/>
                <w:rtl/>
              </w:rPr>
              <w:t xml:space="preserve"> (</w:t>
            </w:r>
            <w:r w:rsidR="00E12AF7" w:rsidRPr="008D22A6">
              <w:rPr>
                <w:rStyle w:val="Lienhypertexte"/>
                <w:rFonts w:hint="eastAsia"/>
                <w:rtl/>
              </w:rPr>
              <w:t>جـ</w:t>
            </w:r>
            <w:r w:rsidR="00E12AF7" w:rsidRPr="008D22A6">
              <w:rPr>
                <w:rStyle w:val="Lienhypertexte"/>
                <w:rtl/>
              </w:rPr>
              <w:t>)</w:t>
            </w:r>
            <w:r w:rsidR="00172786" w:rsidRPr="00172786">
              <w:rPr>
                <w:rtl/>
              </w:rPr>
              <w:t xml:space="preserve"> </w:t>
            </w:r>
            <w:r w:rsidR="00172786" w:rsidRPr="00172786">
              <w:rPr>
                <w:rStyle w:val="Lienhypertexte"/>
                <w:rtl/>
              </w:rPr>
              <w:t>……………………………………</w:t>
            </w:r>
            <w:r w:rsidR="00172786" w:rsidRPr="00172786">
              <w:rPr>
                <w:rStyle w:val="Lienhypertexte"/>
                <w:rFonts w:hint="cs"/>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_Toc171803633 \h </w:instrText>
            </w:r>
            <w:r w:rsidR="00E12AF7">
              <w:rPr>
                <w:webHidden/>
              </w:rPr>
            </w:r>
            <w:r w:rsidR="00E12AF7">
              <w:rPr>
                <w:webHidden/>
              </w:rPr>
              <w:fldChar w:fldCharType="separate"/>
            </w:r>
            <w:r>
              <w:rPr>
                <w:webHidden/>
                <w:rtl/>
                <w:lang w:bidi="ar-SA"/>
              </w:rPr>
              <w:t>138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36" w:history="1">
            <w:r w:rsidR="00E12AF7" w:rsidRPr="008D22A6">
              <w:rPr>
                <w:rStyle w:val="Lienhypertexte"/>
                <w:rFonts w:hint="eastAsia"/>
                <w:rtl/>
              </w:rPr>
              <w:t>الشكل</w:t>
            </w:r>
            <w:r w:rsidR="00E12AF7" w:rsidRPr="008D22A6">
              <w:rPr>
                <w:rStyle w:val="Lienhypertexte"/>
                <w:rtl/>
              </w:rPr>
              <w:t xml:space="preserve"> (4-8): </w:t>
            </w:r>
            <w:r w:rsidR="00E12AF7" w:rsidRPr="008D22A6">
              <w:rPr>
                <w:rStyle w:val="Lienhypertexte"/>
                <w:rFonts w:hint="eastAsia"/>
                <w:rtl/>
              </w:rPr>
              <w:t>فئة</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المخطط</w:t>
            </w:r>
            <w:r w:rsidR="00E12AF7" w:rsidRPr="008D22A6">
              <w:rPr>
                <w:rStyle w:val="Lienhypertexte"/>
                <w:rtl/>
              </w:rPr>
              <w:t xml:space="preserve"> (</w:t>
            </w:r>
            <w:r w:rsidR="00E12AF7" w:rsidRPr="008D22A6">
              <w:rPr>
                <w:rStyle w:val="Lienhypertexte"/>
                <w:rFonts w:hint="eastAsia"/>
                <w:rtl/>
              </w:rPr>
              <w:t>د</w:t>
            </w:r>
            <w:r w:rsidR="00E12AF7" w:rsidRPr="008D22A6">
              <w:rPr>
                <w:rStyle w:val="Lienhypertexte"/>
                <w:rtl/>
              </w:rPr>
              <w:t>)</w:t>
            </w:r>
            <w:r w:rsidR="00172786" w:rsidRPr="00172786">
              <w:rPr>
                <w:rtl/>
              </w:rPr>
              <w:t xml:space="preserve"> </w:t>
            </w:r>
            <w:r w:rsidR="00172786" w:rsidRPr="00172786">
              <w:rPr>
                <w:rStyle w:val="Lienhypertexte"/>
                <w:rtl/>
              </w:rPr>
              <w:t>……………………………………</w:t>
            </w:r>
            <w:r w:rsidR="00172786" w:rsidRPr="00172786">
              <w:rPr>
                <w:rStyle w:val="Lienhypertexte"/>
                <w:rFonts w:hint="cs"/>
                <w:rtl/>
              </w:rPr>
              <w:t>.......................</w:t>
            </w:r>
            <w:r w:rsidR="00172786" w:rsidRPr="00172786">
              <w:rPr>
                <w:rStyle w:val="Lienhypertexte"/>
                <w:rtl/>
              </w:rPr>
              <w:t>…</w:t>
            </w:r>
            <w:r w:rsid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_Toc171803636 \h </w:instrText>
            </w:r>
            <w:r w:rsidR="00E12AF7">
              <w:rPr>
                <w:webHidden/>
              </w:rPr>
            </w:r>
            <w:r w:rsidR="00E12AF7">
              <w:rPr>
                <w:webHidden/>
              </w:rPr>
              <w:fldChar w:fldCharType="separate"/>
            </w:r>
            <w:r>
              <w:rPr>
                <w:webHidden/>
                <w:rtl/>
                <w:lang w:bidi="ar-SA"/>
              </w:rPr>
              <w:t>139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39" w:history="1">
            <w:r w:rsidR="00E12AF7" w:rsidRPr="008D22A6">
              <w:rPr>
                <w:rStyle w:val="Lienhypertexte"/>
                <w:rFonts w:hint="eastAsia"/>
                <w:rtl/>
              </w:rPr>
              <w:t>الفصل</w:t>
            </w:r>
            <w:r w:rsidR="00E12AF7" w:rsidRPr="008D22A6">
              <w:rPr>
                <w:rStyle w:val="Lienhypertexte"/>
                <w:rtl/>
              </w:rPr>
              <w:t xml:space="preserve"> 5: </w:t>
            </w:r>
            <w:r w:rsidR="00E12AF7" w:rsidRPr="008D22A6">
              <w:rPr>
                <w:rStyle w:val="Lienhypertexte"/>
                <w:rFonts w:hint="eastAsia"/>
                <w:rtl/>
              </w:rPr>
              <w:t>تنفيذ</w:t>
            </w:r>
            <w:r w:rsidR="00E12AF7" w:rsidRPr="008D22A6">
              <w:rPr>
                <w:rStyle w:val="Lienhypertexte"/>
                <w:rtl/>
              </w:rPr>
              <w:t xml:space="preserve"> </w:t>
            </w:r>
            <w:r w:rsidR="00E12AF7" w:rsidRPr="008D22A6">
              <w:rPr>
                <w:rStyle w:val="Lienhypertexte"/>
                <w:rFonts w:hint="eastAsia"/>
                <w:rtl/>
              </w:rPr>
              <w:t>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مرونة</w:t>
            </w:r>
            <w:r w:rsidR="00E12AF7" w:rsidRPr="008D22A6">
              <w:rPr>
                <w:rStyle w:val="Lienhypertexte"/>
                <w:rtl/>
              </w:rPr>
              <w:t xml:space="preserve"> </w:t>
            </w:r>
            <w:r w:rsidR="00E12AF7" w:rsidRPr="008D22A6">
              <w:rPr>
                <w:rStyle w:val="Lienhypertexte"/>
                <w:rFonts w:hint="eastAsia"/>
                <w:rtl/>
              </w:rPr>
              <w:t>مدينة</w:t>
            </w:r>
            <w:r w:rsidR="00E12AF7" w:rsidRPr="008D22A6">
              <w:rPr>
                <w:rStyle w:val="Lienhypertexte"/>
                <w:rtl/>
              </w:rPr>
              <w:t xml:space="preserve"> </w:t>
            </w:r>
            <w:r w:rsidR="00E12AF7" w:rsidRPr="008D22A6">
              <w:rPr>
                <w:rStyle w:val="Lienhypertexte"/>
                <w:rFonts w:hint="eastAsia"/>
                <w:rtl/>
              </w:rPr>
              <w:t>بوسعادة</w:t>
            </w:r>
          </w:hyperlink>
        </w:p>
        <w:p w:rsidR="00E12AF7" w:rsidRDefault="00B62F86" w:rsidP="009579D2">
          <w:pPr>
            <w:pStyle w:val="TM1"/>
            <w:rPr>
              <w:rFonts w:asciiTheme="minorHAnsi" w:hAnsiTheme="minorHAnsi" w:cstheme="minorBidi"/>
              <w:color w:val="auto"/>
              <w:lang w:val="fr-FR" w:bidi="ar-SA"/>
            </w:rPr>
          </w:pPr>
          <w:hyperlink w:anchor="_Toc171803642" w:history="1">
            <w:r w:rsidR="00E12AF7" w:rsidRPr="008D22A6">
              <w:rPr>
                <w:rStyle w:val="Lienhypertexte"/>
                <w:rFonts w:hint="eastAsia"/>
                <w:rtl/>
              </w:rPr>
              <w:t>الشكل</w:t>
            </w:r>
            <w:r w:rsidR="00E12AF7" w:rsidRPr="008D22A6">
              <w:rPr>
                <w:rStyle w:val="Lienhypertexte"/>
                <w:rtl/>
              </w:rPr>
              <w:t xml:space="preserve"> (5-1): </w:t>
            </w:r>
            <w:r w:rsidR="00E12AF7" w:rsidRPr="008D22A6">
              <w:rPr>
                <w:rStyle w:val="Lienhypertexte"/>
                <w:rFonts w:hint="eastAsia"/>
                <w:rtl/>
              </w:rPr>
              <w:t>دراسة</w:t>
            </w:r>
            <w:r w:rsidR="00E12AF7" w:rsidRPr="008D22A6">
              <w:rPr>
                <w:rStyle w:val="Lienhypertexte"/>
                <w:rtl/>
              </w:rPr>
              <w:t xml:space="preserve"> </w:t>
            </w:r>
            <w:r w:rsidR="00E12AF7" w:rsidRPr="008D22A6">
              <w:rPr>
                <w:rStyle w:val="Lienhypertexte"/>
                <w:rFonts w:hint="eastAsia"/>
                <w:rtl/>
              </w:rPr>
              <w:t>مرونة</w:t>
            </w:r>
            <w:r w:rsidR="00E12AF7" w:rsidRPr="008D22A6">
              <w:rPr>
                <w:rStyle w:val="Lienhypertexte"/>
                <w:rtl/>
              </w:rPr>
              <w:t xml:space="preserve"> </w:t>
            </w:r>
            <w:r w:rsidR="00E12AF7" w:rsidRPr="008D22A6">
              <w:rPr>
                <w:rStyle w:val="Lienhypertexte"/>
                <w:rFonts w:hint="eastAsia"/>
                <w:rtl/>
              </w:rPr>
              <w:t>المكون</w:t>
            </w:r>
            <w:r w:rsidR="00E12AF7" w:rsidRPr="008D22A6">
              <w:rPr>
                <w:rStyle w:val="Lienhypertexte"/>
                <w:rtl/>
              </w:rPr>
              <w:t xml:space="preserve"> </w:t>
            </w:r>
            <w:r w:rsidR="00E12AF7" w:rsidRPr="008D22A6">
              <w:rPr>
                <w:rStyle w:val="Lienhypertexte"/>
                <w:rFonts w:hint="eastAsia"/>
                <w:rtl/>
              </w:rPr>
              <w:t>الفيزيائي</w:t>
            </w:r>
            <w:r w:rsidR="00E12AF7" w:rsidRPr="008D22A6">
              <w:rPr>
                <w:rStyle w:val="Lienhypertexte"/>
                <w:rtl/>
              </w:rPr>
              <w:t xml:space="preserve"> </w:t>
            </w:r>
            <w:r w:rsidR="00E12AF7" w:rsidRPr="008D22A6">
              <w:rPr>
                <w:rStyle w:val="Lienhypertexte"/>
                <w:rFonts w:hint="eastAsia"/>
                <w:rtl/>
              </w:rPr>
              <w:t>لمدينة</w:t>
            </w:r>
            <w:r w:rsidR="00E12AF7" w:rsidRPr="008D22A6">
              <w:rPr>
                <w:rStyle w:val="Lienhypertexte"/>
                <w:rtl/>
              </w:rPr>
              <w:t xml:space="preserve"> </w:t>
            </w:r>
            <w:r w:rsidR="00E12AF7" w:rsidRPr="008D22A6">
              <w:rPr>
                <w:rStyle w:val="Lienhypertexte"/>
                <w:rFonts w:hint="eastAsia"/>
                <w:rtl/>
              </w:rPr>
              <w:t>بوسعادة</w:t>
            </w:r>
            <w:r w:rsidR="00172786" w:rsidRPr="00172786">
              <w:rPr>
                <w:rStyle w:val="Lienhypertexte"/>
                <w:rtl/>
              </w:rPr>
              <w:t>…………………………………</w:t>
            </w:r>
            <w:r w:rsidR="00172786">
              <w:rPr>
                <w:rStyle w:val="Lienhypertexte"/>
                <w:rFonts w:hint="cs"/>
                <w:rtl/>
              </w:rPr>
              <w:t>.</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_Toc171803642 \h </w:instrText>
            </w:r>
            <w:r w:rsidR="00E12AF7">
              <w:rPr>
                <w:webHidden/>
              </w:rPr>
            </w:r>
            <w:r w:rsidR="00E12AF7">
              <w:rPr>
                <w:webHidden/>
              </w:rPr>
              <w:fldChar w:fldCharType="separate"/>
            </w:r>
            <w:r>
              <w:rPr>
                <w:webHidden/>
                <w:rtl/>
                <w:lang w:bidi="ar-SA"/>
              </w:rPr>
              <w:t>142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45" w:history="1">
            <w:r w:rsidR="00E12AF7" w:rsidRPr="008D22A6">
              <w:rPr>
                <w:rStyle w:val="Lienhypertexte"/>
                <w:rFonts w:hint="eastAsia"/>
                <w:rtl/>
              </w:rPr>
              <w:t>الشكل</w:t>
            </w:r>
            <w:r w:rsidR="00E12AF7" w:rsidRPr="008D22A6">
              <w:rPr>
                <w:rStyle w:val="Lienhypertexte"/>
                <w:rtl/>
              </w:rPr>
              <w:t xml:space="preserve"> (5-2): </w:t>
            </w:r>
            <w:r w:rsidR="00E12AF7" w:rsidRPr="008D22A6">
              <w:rPr>
                <w:rStyle w:val="Lienhypertexte"/>
                <w:rFonts w:hint="eastAsia"/>
                <w:rtl/>
              </w:rPr>
              <w:t>دراسة</w:t>
            </w:r>
            <w:r w:rsidR="00E12AF7" w:rsidRPr="008D22A6">
              <w:rPr>
                <w:rStyle w:val="Lienhypertexte"/>
                <w:rtl/>
              </w:rPr>
              <w:t xml:space="preserve"> </w:t>
            </w:r>
            <w:r w:rsidR="00E12AF7" w:rsidRPr="008D22A6">
              <w:rPr>
                <w:rStyle w:val="Lienhypertexte"/>
                <w:rFonts w:hint="eastAsia"/>
                <w:rtl/>
              </w:rPr>
              <w:t>زمنية</w:t>
            </w:r>
            <w:r w:rsidR="00E12AF7" w:rsidRPr="008D22A6">
              <w:rPr>
                <w:rStyle w:val="Lienhypertexte"/>
                <w:rtl/>
              </w:rPr>
              <w:t xml:space="preserve"> </w:t>
            </w:r>
            <w:r w:rsidR="00E12AF7" w:rsidRPr="008D22A6">
              <w:rPr>
                <w:rStyle w:val="Lienhypertexte"/>
                <w:rFonts w:hint="eastAsia"/>
                <w:rtl/>
              </w:rPr>
              <w:t>لمرونة</w:t>
            </w:r>
            <w:r w:rsidR="00E12AF7" w:rsidRPr="008D22A6">
              <w:rPr>
                <w:rStyle w:val="Lienhypertexte"/>
                <w:rtl/>
              </w:rPr>
              <w:t xml:space="preserve"> </w:t>
            </w:r>
            <w:r w:rsidR="00E12AF7" w:rsidRPr="008D22A6">
              <w:rPr>
                <w:rStyle w:val="Lienhypertexte"/>
                <w:rFonts w:hint="eastAsia"/>
                <w:rtl/>
              </w:rPr>
              <w:t>المكون</w:t>
            </w:r>
            <w:r w:rsidR="00E12AF7" w:rsidRPr="008D22A6">
              <w:rPr>
                <w:rStyle w:val="Lienhypertexte"/>
                <w:rtl/>
              </w:rPr>
              <w:t xml:space="preserve"> </w:t>
            </w:r>
            <w:r w:rsidR="00E12AF7" w:rsidRPr="008D22A6">
              <w:rPr>
                <w:rStyle w:val="Lienhypertexte"/>
                <w:rFonts w:hint="eastAsia"/>
                <w:rtl/>
              </w:rPr>
              <w:t>الفيزيائي</w:t>
            </w:r>
            <w:r w:rsidR="00E12AF7" w:rsidRPr="008D22A6">
              <w:rPr>
                <w:rStyle w:val="Lienhypertexte"/>
                <w:rtl/>
              </w:rPr>
              <w:t xml:space="preserve"> </w:t>
            </w:r>
            <w:r w:rsidR="00E12AF7" w:rsidRPr="008D22A6">
              <w:rPr>
                <w:rStyle w:val="Lienhypertexte"/>
                <w:rFonts w:hint="eastAsia"/>
                <w:rtl/>
              </w:rPr>
              <w:t>لمدينة</w:t>
            </w:r>
            <w:r w:rsidR="00E12AF7" w:rsidRPr="008D22A6">
              <w:rPr>
                <w:rStyle w:val="Lienhypertexte"/>
                <w:rtl/>
              </w:rPr>
              <w:t xml:space="preserve"> </w:t>
            </w:r>
            <w:r w:rsidR="00E12AF7" w:rsidRPr="008D22A6">
              <w:rPr>
                <w:rStyle w:val="Lienhypertexte"/>
                <w:rFonts w:hint="eastAsia"/>
                <w:rtl/>
              </w:rPr>
              <w:t>بوسعادة</w:t>
            </w:r>
            <w:r w:rsidR="00172786" w:rsidRPr="00172786">
              <w:rPr>
                <w:rStyle w:val="Lienhypertexte"/>
                <w:rtl/>
              </w:rPr>
              <w:t>…………………………</w:t>
            </w:r>
            <w:r w:rsidR="00172786">
              <w:rPr>
                <w:rStyle w:val="Lienhypertexte"/>
                <w:rFonts w:hint="cs"/>
                <w:rtl/>
              </w:rPr>
              <w:t>.</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_Toc171803645 \h </w:instrText>
            </w:r>
            <w:r w:rsidR="00E12AF7">
              <w:rPr>
                <w:webHidden/>
              </w:rPr>
            </w:r>
            <w:r w:rsidR="00E12AF7">
              <w:rPr>
                <w:webHidden/>
              </w:rPr>
              <w:fldChar w:fldCharType="separate"/>
            </w:r>
            <w:r>
              <w:rPr>
                <w:webHidden/>
                <w:rtl/>
                <w:lang w:bidi="ar-SA"/>
              </w:rPr>
              <w:t>143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48" w:history="1">
            <w:r w:rsidR="00E12AF7" w:rsidRPr="008D22A6">
              <w:rPr>
                <w:rStyle w:val="Lienhypertexte"/>
                <w:rFonts w:hint="eastAsia"/>
                <w:rtl/>
              </w:rPr>
              <w:t>الشكل</w:t>
            </w:r>
            <w:r w:rsidR="00E12AF7" w:rsidRPr="008D22A6">
              <w:rPr>
                <w:rStyle w:val="Lienhypertexte"/>
                <w:rtl/>
              </w:rPr>
              <w:t xml:space="preserve"> (5-3): </w:t>
            </w:r>
            <w:r w:rsidR="00E12AF7" w:rsidRPr="008D22A6">
              <w:rPr>
                <w:rStyle w:val="Lienhypertexte"/>
                <w:rFonts w:hint="eastAsia"/>
                <w:rtl/>
              </w:rPr>
              <w:t>مراحل</w:t>
            </w:r>
            <w:r w:rsidR="00E12AF7" w:rsidRPr="008D22A6">
              <w:rPr>
                <w:rStyle w:val="Lienhypertexte"/>
                <w:rtl/>
              </w:rPr>
              <w:t xml:space="preserve"> </w:t>
            </w:r>
            <w:r w:rsidR="00E12AF7" w:rsidRPr="008D22A6">
              <w:rPr>
                <w:rStyle w:val="Lienhypertexte"/>
                <w:rFonts w:hint="eastAsia"/>
                <w:rtl/>
              </w:rPr>
              <w:t>تنفيذ</w:t>
            </w:r>
            <w:r w:rsidR="00E12AF7" w:rsidRPr="008D22A6">
              <w:rPr>
                <w:rStyle w:val="Lienhypertexte"/>
                <w:rtl/>
              </w:rPr>
              <w:t xml:space="preserve"> </w:t>
            </w:r>
            <w:r w:rsidR="00E12AF7" w:rsidRPr="008D22A6">
              <w:rPr>
                <w:rStyle w:val="Lienhypertexte"/>
                <w:rFonts w:hint="eastAsia"/>
                <w:rtl/>
              </w:rPr>
              <w:t>اطار</w:t>
            </w:r>
            <w:r w:rsidR="00E12AF7" w:rsidRPr="008D22A6">
              <w:rPr>
                <w:rStyle w:val="Lienhypertexte"/>
                <w:rtl/>
              </w:rPr>
              <w:t xml:space="preserve"> </w:t>
            </w:r>
            <w:r w:rsidR="00E12AF7" w:rsidRPr="008D22A6">
              <w:rPr>
                <w:rStyle w:val="Lienhypertexte"/>
                <w:rFonts w:hint="eastAsia"/>
                <w:rtl/>
              </w:rPr>
              <w:t>عمل</w:t>
            </w:r>
            <w:r w:rsidR="00E12AF7" w:rsidRPr="008D22A6">
              <w:rPr>
                <w:rStyle w:val="Lienhypertexte"/>
                <w:rtl/>
              </w:rPr>
              <w:t xml:space="preserve">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_Toc171803648 \h </w:instrText>
            </w:r>
            <w:r w:rsidR="00E12AF7">
              <w:rPr>
                <w:webHidden/>
              </w:rPr>
            </w:r>
            <w:r w:rsidR="00E12AF7">
              <w:rPr>
                <w:webHidden/>
              </w:rPr>
              <w:fldChar w:fldCharType="separate"/>
            </w:r>
            <w:r>
              <w:rPr>
                <w:webHidden/>
                <w:rtl/>
                <w:lang w:bidi="ar-SA"/>
              </w:rPr>
              <w:t>144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70" w:history="1">
            <w:r w:rsidR="00E12AF7" w:rsidRPr="008D22A6">
              <w:rPr>
                <w:rStyle w:val="Lienhypertexte"/>
                <w:rFonts w:hint="eastAsia"/>
                <w:rtl/>
              </w:rPr>
              <w:t>الشكل</w:t>
            </w:r>
            <w:r w:rsidR="00E12AF7" w:rsidRPr="008D22A6">
              <w:rPr>
                <w:rStyle w:val="Lienhypertexte"/>
                <w:rtl/>
              </w:rPr>
              <w:t xml:space="preserve"> (5-4): </w:t>
            </w:r>
            <w:r w:rsidR="00E12AF7" w:rsidRPr="008D22A6">
              <w:rPr>
                <w:rStyle w:val="Lienhypertexte"/>
                <w:rFonts w:hint="eastAsia"/>
                <w:rtl/>
              </w:rPr>
              <w:t>مستوى</w:t>
            </w:r>
            <w:r w:rsidR="00E12AF7" w:rsidRPr="008D22A6">
              <w:rPr>
                <w:rStyle w:val="Lienhypertexte"/>
                <w:rtl/>
              </w:rPr>
              <w:t xml:space="preserve"> </w:t>
            </w:r>
            <w:r w:rsidR="00E12AF7" w:rsidRPr="008D22A6">
              <w:rPr>
                <w:rStyle w:val="Lienhypertexte"/>
                <w:rFonts w:hint="eastAsia"/>
                <w:rtl/>
              </w:rPr>
              <w:t>أهمية</w:t>
            </w:r>
            <w:r w:rsidR="00E12AF7" w:rsidRPr="008D22A6">
              <w:rPr>
                <w:rStyle w:val="Lienhypertexte"/>
                <w:rtl/>
              </w:rPr>
              <w:t xml:space="preserve"> </w:t>
            </w:r>
            <w:r w:rsidR="00E12AF7" w:rsidRPr="008D22A6">
              <w:rPr>
                <w:rStyle w:val="Lienhypertexte"/>
                <w:rFonts w:hint="eastAsia"/>
                <w:rtl/>
              </w:rPr>
              <w:t>العوامل</w:t>
            </w:r>
            <w:r w:rsidR="00E12AF7" w:rsidRPr="008D22A6">
              <w:rPr>
                <w:rStyle w:val="Lienhypertexte"/>
                <w:rtl/>
              </w:rPr>
              <w:t xml:space="preserve"> </w:t>
            </w:r>
            <w:r w:rsidR="00E12AF7" w:rsidRPr="008D22A6">
              <w:rPr>
                <w:rStyle w:val="Lienhypertexte"/>
                <w:rFonts w:hint="eastAsia"/>
                <w:rtl/>
              </w:rPr>
              <w:t>النهائية</w:t>
            </w:r>
            <w:r w:rsidR="00E12AF7" w:rsidRPr="008D22A6">
              <w:rPr>
                <w:rStyle w:val="Lienhypertexte"/>
                <w:rtl/>
              </w:rPr>
              <w:t xml:space="preserve"> </w:t>
            </w:r>
            <w:r w:rsidR="00E12AF7" w:rsidRPr="008D22A6">
              <w:rPr>
                <w:rStyle w:val="Lienhypertexte"/>
                <w:rFonts w:hint="eastAsia"/>
                <w:rtl/>
              </w:rPr>
              <w:t>لتقييم</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_Toc171803670 \h </w:instrText>
            </w:r>
            <w:r w:rsidR="00E12AF7">
              <w:rPr>
                <w:webHidden/>
              </w:rPr>
            </w:r>
            <w:r w:rsidR="00E12AF7">
              <w:rPr>
                <w:webHidden/>
              </w:rPr>
              <w:fldChar w:fldCharType="separate"/>
            </w:r>
            <w:r>
              <w:rPr>
                <w:webHidden/>
                <w:rtl/>
                <w:lang w:bidi="ar-SA"/>
              </w:rPr>
              <w:t>150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80" w:history="1">
            <w:r w:rsidR="00E12AF7" w:rsidRPr="008D22A6">
              <w:rPr>
                <w:rStyle w:val="Lienhypertexte"/>
                <w:rFonts w:hint="eastAsia"/>
                <w:rtl/>
              </w:rPr>
              <w:t>الشكل</w:t>
            </w:r>
            <w:r w:rsidR="00E12AF7" w:rsidRPr="008D22A6">
              <w:rPr>
                <w:rStyle w:val="Lienhypertexte"/>
                <w:rtl/>
              </w:rPr>
              <w:t xml:space="preserve"> (5-5): </w:t>
            </w:r>
            <w:r w:rsidR="00E12AF7" w:rsidRPr="008D22A6">
              <w:rPr>
                <w:rStyle w:val="Lienhypertexte"/>
                <w:rFonts w:hint="eastAsia"/>
                <w:rtl/>
              </w:rPr>
              <w:t>بناء</w:t>
            </w:r>
            <w:r w:rsidR="00E12AF7" w:rsidRPr="008D22A6">
              <w:rPr>
                <w:rStyle w:val="Lienhypertexte"/>
                <w:rtl/>
              </w:rPr>
              <w:t xml:space="preserve"> </w:t>
            </w:r>
            <w:r w:rsidR="00E12AF7" w:rsidRPr="008D22A6">
              <w:rPr>
                <w:rStyle w:val="Lienhypertexte"/>
                <w:rFonts w:hint="eastAsia"/>
                <w:rtl/>
              </w:rPr>
              <w:t>الهيكل</w:t>
            </w:r>
            <w:r w:rsidR="00E12AF7" w:rsidRPr="008D22A6">
              <w:rPr>
                <w:rStyle w:val="Lienhypertexte"/>
                <w:rtl/>
              </w:rPr>
              <w:t xml:space="preserve"> </w:t>
            </w:r>
            <w:r w:rsidR="00E12AF7" w:rsidRPr="008D22A6">
              <w:rPr>
                <w:rStyle w:val="Lienhypertexte"/>
                <w:rFonts w:hint="eastAsia"/>
                <w:rtl/>
              </w:rPr>
              <w:t>الهرمي</w:t>
            </w:r>
            <w:r w:rsidR="00E12AF7" w:rsidRPr="008D22A6">
              <w:rPr>
                <w:rStyle w:val="Lienhypertexte"/>
                <w:rtl/>
              </w:rPr>
              <w:t xml:space="preserve"> </w:t>
            </w:r>
            <w:r w:rsidR="00E12AF7" w:rsidRPr="008D22A6">
              <w:rPr>
                <w:rStyle w:val="Lienhypertexte"/>
                <w:rFonts w:hint="eastAsia"/>
                <w:rtl/>
              </w:rPr>
              <w:t>لمشكلة</w:t>
            </w:r>
            <w:r w:rsidR="00E12AF7" w:rsidRPr="008D22A6">
              <w:rPr>
                <w:rStyle w:val="Lienhypertexte"/>
                <w:rtl/>
              </w:rPr>
              <w:t xml:space="preserve"> </w:t>
            </w:r>
            <w:r w:rsidR="00E12AF7" w:rsidRPr="008D22A6">
              <w:rPr>
                <w:rStyle w:val="Lienhypertexte"/>
                <w:rFonts w:hint="eastAsia"/>
                <w:rtl/>
              </w:rPr>
              <w:t>البحث</w:t>
            </w:r>
            <w:r w:rsidR="00172786" w:rsidRPr="00172786">
              <w:rPr>
                <w:rStyle w:val="Lienhypertexte"/>
                <w:rtl/>
              </w:rPr>
              <w:t>……………………………………</w:t>
            </w:r>
            <w:r w:rsidR="00172786" w:rsidRPr="00172786">
              <w:rPr>
                <w:rStyle w:val="Lienhypertexte"/>
                <w:rFonts w:hint="cs"/>
                <w:rtl/>
              </w:rPr>
              <w:t>.......................</w:t>
            </w:r>
            <w:r w:rsidR="00172786" w:rsidRPr="00172786">
              <w:rPr>
                <w:rStyle w:val="Lienhypertexte"/>
                <w:rtl/>
              </w:rPr>
              <w:t>…</w:t>
            </w:r>
            <w:r w:rsid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_Toc171803680 \h </w:instrText>
            </w:r>
            <w:r w:rsidR="00E12AF7">
              <w:rPr>
                <w:webHidden/>
              </w:rPr>
            </w:r>
            <w:r w:rsidR="00E12AF7">
              <w:rPr>
                <w:webHidden/>
              </w:rPr>
              <w:fldChar w:fldCharType="separate"/>
            </w:r>
            <w:r>
              <w:rPr>
                <w:webHidden/>
                <w:rtl/>
                <w:lang w:bidi="ar-SA"/>
              </w:rPr>
              <w:t>152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91" w:history="1">
            <w:r w:rsidR="00E12AF7" w:rsidRPr="008D22A6">
              <w:rPr>
                <w:rStyle w:val="Lienhypertexte"/>
                <w:rFonts w:hint="eastAsia"/>
                <w:rtl/>
              </w:rPr>
              <w:t>الشكل</w:t>
            </w:r>
            <w:r w:rsidR="00E12AF7" w:rsidRPr="008D22A6">
              <w:rPr>
                <w:rStyle w:val="Lienhypertexte"/>
                <w:rtl/>
              </w:rPr>
              <w:t xml:space="preserve"> (5-6): </w:t>
            </w:r>
            <w:r w:rsidR="00E12AF7" w:rsidRPr="008D22A6">
              <w:rPr>
                <w:rStyle w:val="Lienhypertexte"/>
                <w:rFonts w:hint="eastAsia"/>
                <w:rtl/>
              </w:rPr>
              <w:t>أولوية</w:t>
            </w:r>
            <w:r w:rsidR="00E12AF7" w:rsidRPr="008D22A6">
              <w:rPr>
                <w:rStyle w:val="Lienhypertexte"/>
                <w:rtl/>
              </w:rPr>
              <w:t xml:space="preserve"> </w:t>
            </w:r>
            <w:r w:rsidR="00E12AF7" w:rsidRPr="008D22A6">
              <w:rPr>
                <w:rStyle w:val="Lienhypertexte"/>
                <w:rFonts w:hint="eastAsia"/>
                <w:rtl/>
              </w:rPr>
              <w:t>المعايير</w:t>
            </w:r>
            <w:r w:rsidR="00E12AF7" w:rsidRPr="008D22A6">
              <w:rPr>
                <w:rStyle w:val="Lienhypertexte"/>
                <w:rtl/>
              </w:rPr>
              <w:t xml:space="preserve"> </w:t>
            </w:r>
            <w:r w:rsidR="00E12AF7" w:rsidRPr="008D22A6">
              <w:rPr>
                <w:rStyle w:val="Lienhypertexte"/>
                <w:rFonts w:hint="eastAsia"/>
                <w:rtl/>
              </w:rPr>
              <w:t>المستمدة</w:t>
            </w:r>
            <w:r w:rsidR="00E12AF7" w:rsidRPr="008D22A6">
              <w:rPr>
                <w:rStyle w:val="Lienhypertexte"/>
                <w:rtl/>
              </w:rPr>
              <w:t xml:space="preserve"> </w:t>
            </w:r>
            <w:r w:rsidR="00E12AF7" w:rsidRPr="008D22A6">
              <w:rPr>
                <w:rStyle w:val="Lienhypertexte"/>
                <w:rFonts w:hint="eastAsia"/>
                <w:rtl/>
              </w:rPr>
              <w:t>من</w:t>
            </w:r>
            <w:r w:rsidR="00E12AF7" w:rsidRPr="008D22A6">
              <w:rPr>
                <w:rStyle w:val="Lienhypertexte"/>
                <w:rtl/>
              </w:rPr>
              <w:t xml:space="preserve"> </w:t>
            </w:r>
            <w:r w:rsidR="00E12AF7" w:rsidRPr="008D22A6">
              <w:rPr>
                <w:rStyle w:val="Lienhypertexte"/>
                <w:rFonts w:hint="eastAsia"/>
                <w:rtl/>
              </w:rPr>
              <w:t>المقارنات</w:t>
            </w:r>
            <w:r w:rsidR="00E12AF7" w:rsidRPr="008D22A6">
              <w:rPr>
                <w:rStyle w:val="Lienhypertexte"/>
                <w:rtl/>
              </w:rPr>
              <w:t xml:space="preserve"> </w:t>
            </w:r>
            <w:r w:rsidR="00E12AF7" w:rsidRPr="008D22A6">
              <w:rPr>
                <w:rStyle w:val="Lienhypertexte"/>
                <w:rFonts w:hint="eastAsia"/>
                <w:rtl/>
              </w:rPr>
              <w:t>الزوجية</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_Toc171803691 \h </w:instrText>
            </w:r>
            <w:r w:rsidR="00E12AF7">
              <w:rPr>
                <w:webHidden/>
              </w:rPr>
            </w:r>
            <w:r w:rsidR="00E12AF7">
              <w:rPr>
                <w:webHidden/>
              </w:rPr>
              <w:fldChar w:fldCharType="separate"/>
            </w:r>
            <w:r>
              <w:rPr>
                <w:webHidden/>
                <w:rtl/>
                <w:lang w:bidi="ar-SA"/>
              </w:rPr>
              <w:t>154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697" w:history="1">
            <w:r w:rsidR="00E12AF7" w:rsidRPr="008D22A6">
              <w:rPr>
                <w:rStyle w:val="Lienhypertexte"/>
                <w:rFonts w:hint="eastAsia"/>
                <w:rtl/>
              </w:rPr>
              <w:t>الشكل</w:t>
            </w:r>
            <w:r w:rsidR="00E12AF7" w:rsidRPr="008D22A6">
              <w:rPr>
                <w:rStyle w:val="Lienhypertexte"/>
                <w:rtl/>
              </w:rPr>
              <w:t xml:space="preserve"> (5-7): </w:t>
            </w:r>
            <w:r w:rsidR="00E12AF7" w:rsidRPr="008D22A6">
              <w:rPr>
                <w:rStyle w:val="Lienhypertexte"/>
                <w:rFonts w:hint="eastAsia"/>
                <w:rtl/>
              </w:rPr>
              <w:t>مثال</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أولوية</w:t>
            </w:r>
            <w:r w:rsidR="00E12AF7" w:rsidRPr="008D22A6">
              <w:rPr>
                <w:rStyle w:val="Lienhypertexte"/>
                <w:rtl/>
              </w:rPr>
              <w:t xml:space="preserve"> </w:t>
            </w:r>
            <w:r w:rsidR="00E12AF7" w:rsidRPr="008D22A6">
              <w:rPr>
                <w:rStyle w:val="Lienhypertexte"/>
                <w:rFonts w:hint="eastAsia"/>
                <w:rtl/>
              </w:rPr>
              <w:t>المعايير</w:t>
            </w:r>
            <w:r w:rsidR="00E12AF7" w:rsidRPr="008D22A6">
              <w:rPr>
                <w:rStyle w:val="Lienhypertexte"/>
                <w:rtl/>
              </w:rPr>
              <w:t xml:space="preserve"> </w:t>
            </w:r>
            <w:r w:rsidR="00E12AF7" w:rsidRPr="008D22A6">
              <w:rPr>
                <w:rStyle w:val="Lienhypertexte"/>
                <w:rFonts w:hint="eastAsia"/>
                <w:rtl/>
              </w:rPr>
              <w:t>الفرعية</w:t>
            </w:r>
            <w:r w:rsidR="00E12AF7" w:rsidRPr="008D22A6">
              <w:rPr>
                <w:rStyle w:val="Lienhypertexte"/>
                <w:rtl/>
              </w:rPr>
              <w:t xml:space="preserve"> </w:t>
            </w:r>
            <w:r w:rsidR="00E12AF7" w:rsidRPr="008D22A6">
              <w:rPr>
                <w:rStyle w:val="Lienhypertexte"/>
                <w:rFonts w:hint="eastAsia"/>
                <w:rtl/>
              </w:rPr>
              <w:t>المستمدة</w:t>
            </w:r>
            <w:r w:rsidR="00E12AF7" w:rsidRPr="008D22A6">
              <w:rPr>
                <w:rStyle w:val="Lienhypertexte"/>
                <w:rtl/>
              </w:rPr>
              <w:t xml:space="preserve"> </w:t>
            </w:r>
            <w:r w:rsidR="00E12AF7" w:rsidRPr="008D22A6">
              <w:rPr>
                <w:rStyle w:val="Lienhypertexte"/>
                <w:rFonts w:hint="eastAsia"/>
                <w:rtl/>
              </w:rPr>
              <w:t>من</w:t>
            </w:r>
            <w:r w:rsidR="00E12AF7" w:rsidRPr="008D22A6">
              <w:rPr>
                <w:rStyle w:val="Lienhypertexte"/>
                <w:rtl/>
              </w:rPr>
              <w:t xml:space="preserve"> </w:t>
            </w:r>
            <w:r w:rsidR="00E12AF7" w:rsidRPr="008D22A6">
              <w:rPr>
                <w:rStyle w:val="Lienhypertexte"/>
                <w:rFonts w:hint="eastAsia"/>
                <w:rtl/>
              </w:rPr>
              <w:t>المقارنات</w:t>
            </w:r>
            <w:r w:rsidR="00E12AF7" w:rsidRPr="008D22A6">
              <w:rPr>
                <w:rStyle w:val="Lienhypertexte"/>
                <w:rtl/>
              </w:rPr>
              <w:t xml:space="preserve"> </w:t>
            </w:r>
            <w:r w:rsidR="00E12AF7" w:rsidRPr="008D22A6">
              <w:rPr>
                <w:rStyle w:val="Lienhypertexte"/>
                <w:rFonts w:hint="eastAsia"/>
                <w:rtl/>
              </w:rPr>
              <w:t>الزوجية</w:t>
            </w:r>
            <w:r w:rsidR="00E12AF7" w:rsidRPr="008D22A6">
              <w:rPr>
                <w:rStyle w:val="Lienhypertexte"/>
                <w:rtl/>
              </w:rPr>
              <w:t xml:space="preserve"> </w:t>
            </w:r>
            <w:r w:rsidR="00E12AF7" w:rsidRPr="008D22A6">
              <w:rPr>
                <w:rStyle w:val="Lienhypertexte"/>
                <w:rFonts w:hint="eastAsia"/>
                <w:rtl/>
              </w:rPr>
              <w:t>تحت</w:t>
            </w:r>
            <w:r w:rsidR="00E12AF7" w:rsidRPr="008D22A6">
              <w:rPr>
                <w:rStyle w:val="Lienhypertexte"/>
                <w:rtl/>
              </w:rPr>
              <w:t xml:space="preserve"> </w:t>
            </w:r>
            <w:r w:rsidR="00E12AF7" w:rsidRPr="008D22A6">
              <w:rPr>
                <w:rStyle w:val="Lienhypertexte"/>
                <w:rFonts w:hint="eastAsia"/>
                <w:rtl/>
              </w:rPr>
              <w:t>المعيار</w:t>
            </w:r>
            <w:r w:rsidR="00E12AF7" w:rsidRPr="008D22A6">
              <w:rPr>
                <w:rStyle w:val="Lienhypertexte"/>
                <w:rtl/>
              </w:rPr>
              <w:t xml:space="preserve"> </w:t>
            </w:r>
            <w:r w:rsidR="00E12AF7" w:rsidRPr="008D22A6">
              <w:rPr>
                <w:rStyle w:val="Lienhypertexte"/>
                <w:rFonts w:asciiTheme="majorBidi" w:hAnsiTheme="majorBidi" w:cstheme="majorBidi"/>
                <w:rtl/>
              </w:rPr>
              <w:t>(</w:t>
            </w:r>
            <w:r w:rsidR="00E12AF7" w:rsidRPr="008D22A6">
              <w:rPr>
                <w:rStyle w:val="Lienhypertexte"/>
                <w:rFonts w:asciiTheme="majorBidi" w:eastAsia="Times New Roman" w:hAnsiTheme="majorBidi" w:cstheme="majorBidi"/>
              </w:rPr>
              <w:t>C1</w:t>
            </w:r>
            <w:r w:rsidR="00E12AF7" w:rsidRPr="008D22A6">
              <w:rPr>
                <w:rStyle w:val="Lienhypertexte"/>
                <w:rFonts w:asciiTheme="majorBidi" w:hAnsiTheme="majorBidi" w:cstheme="majorBidi"/>
                <w:rtl/>
              </w:rPr>
              <w:t>)</w:t>
            </w:r>
            <w:r w:rsidR="00172786" w:rsidRPr="00172786">
              <w:rPr>
                <w:rtl/>
              </w:rPr>
              <w:t xml:space="preserve"> </w:t>
            </w:r>
            <w:r w:rsidR="00172786">
              <w:rPr>
                <w:rStyle w:val="Lienhypertexte"/>
                <w:rFonts w:asciiTheme="majorBidi" w:hAnsiTheme="majorBidi" w:cs="Times New Roman"/>
                <w:rtl/>
              </w:rPr>
              <w:t>……………</w:t>
            </w:r>
            <w:r w:rsidR="00172786">
              <w:rPr>
                <w:rStyle w:val="Lienhypertexte"/>
                <w:rFonts w:asciiTheme="majorBidi" w:hAnsiTheme="majorBidi" w:cs="Times New Roman" w:hint="cs"/>
                <w:rtl/>
              </w:rPr>
              <w:t>...</w:t>
            </w:r>
            <w:r w:rsidR="00E12AF7">
              <w:rPr>
                <w:webHidden/>
              </w:rPr>
              <w:tab/>
            </w:r>
            <w:r w:rsidR="00E12AF7">
              <w:rPr>
                <w:webHidden/>
              </w:rPr>
              <w:fldChar w:fldCharType="begin"/>
            </w:r>
            <w:r w:rsidR="00E12AF7">
              <w:rPr>
                <w:webHidden/>
              </w:rPr>
              <w:instrText xml:space="preserve"> PAGEREF _Toc171803697 \h </w:instrText>
            </w:r>
            <w:r w:rsidR="00E12AF7">
              <w:rPr>
                <w:webHidden/>
              </w:rPr>
            </w:r>
            <w:r w:rsidR="00E12AF7">
              <w:rPr>
                <w:webHidden/>
              </w:rPr>
              <w:fldChar w:fldCharType="separate"/>
            </w:r>
            <w:r>
              <w:rPr>
                <w:webHidden/>
                <w:rtl/>
                <w:lang w:bidi="ar-SA"/>
              </w:rPr>
              <w:t>155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21" w:history="1">
            <w:r w:rsidR="00E12AF7" w:rsidRPr="008D22A6">
              <w:rPr>
                <w:rStyle w:val="Lienhypertexte"/>
                <w:rFonts w:hint="eastAsia"/>
                <w:rtl/>
              </w:rPr>
              <w:t>الشكل</w:t>
            </w:r>
            <w:r w:rsidR="00E12AF7" w:rsidRPr="008D22A6">
              <w:rPr>
                <w:rStyle w:val="Lienhypertexte"/>
                <w:rtl/>
              </w:rPr>
              <w:t xml:space="preserve"> (5-8):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ادوات</w:t>
            </w:r>
            <w:r w:rsidR="00E12AF7" w:rsidRPr="008D22A6">
              <w:rPr>
                <w:rStyle w:val="Lienhypertexte"/>
                <w:rtl/>
              </w:rPr>
              <w:t xml:space="preserve"> </w:t>
            </w:r>
            <w:r w:rsidR="00E12AF7" w:rsidRPr="008D22A6">
              <w:rPr>
                <w:rStyle w:val="Lienhypertexte"/>
                <w:rFonts w:hint="eastAsia"/>
                <w:rtl/>
              </w:rPr>
              <w:t>التحليل</w:t>
            </w:r>
            <w:r w:rsidR="00E12AF7" w:rsidRPr="008D22A6">
              <w:rPr>
                <w:rStyle w:val="Lienhypertexte"/>
                <w:rtl/>
              </w:rPr>
              <w:t xml:space="preserve"> </w:t>
            </w:r>
            <w:r w:rsidR="00E12AF7" w:rsidRPr="008D22A6">
              <w:rPr>
                <w:rStyle w:val="Lienhypertexte"/>
                <w:rFonts w:hint="eastAsia"/>
                <w:rtl/>
              </w:rPr>
              <w:t>المكاني</w:t>
            </w:r>
            <w:r w:rsidR="00E12AF7" w:rsidRPr="008D22A6">
              <w:rPr>
                <w:rStyle w:val="Lienhypertexte"/>
                <w:rtl/>
              </w:rPr>
              <w:t xml:space="preserve"> </w:t>
            </w:r>
            <w:r w:rsidR="00E12AF7" w:rsidRPr="008D22A6">
              <w:rPr>
                <w:rStyle w:val="Lienhypertexte"/>
                <w:rFonts w:hint="eastAsia"/>
                <w:rtl/>
              </w:rPr>
              <w:t>لخريطة</w:t>
            </w:r>
            <w:r w:rsidR="00E12AF7" w:rsidRPr="008D22A6">
              <w:rPr>
                <w:rStyle w:val="Lienhypertexte"/>
                <w:rtl/>
              </w:rPr>
              <w:t xml:space="preserve"> </w:t>
            </w:r>
            <w:r w:rsidR="00E12AF7" w:rsidRPr="008D22A6">
              <w:rPr>
                <w:rStyle w:val="Lienhypertexte"/>
                <w:rFonts w:hint="eastAsia"/>
                <w:rtl/>
              </w:rPr>
              <w:t>تصنيفات</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لمدينة</w:t>
            </w:r>
            <w:r w:rsidR="00E12AF7" w:rsidRPr="008D22A6">
              <w:rPr>
                <w:rStyle w:val="Lienhypertexte"/>
                <w:rtl/>
              </w:rPr>
              <w:t xml:space="preserve"> </w:t>
            </w:r>
            <w:r w:rsidR="00E12AF7" w:rsidRPr="008D22A6">
              <w:rPr>
                <w:rStyle w:val="Lienhypertexte"/>
                <w:rFonts w:hint="eastAsia"/>
                <w:rtl/>
              </w:rPr>
              <w:t>بوسعادة</w:t>
            </w:r>
            <w:r w:rsidR="00172786">
              <w:rPr>
                <w:rStyle w:val="Lienhypertexte"/>
                <w:rtl/>
              </w:rPr>
              <w:t>……………………</w:t>
            </w:r>
            <w:r w:rsidR="00E12AF7">
              <w:rPr>
                <w:webHidden/>
              </w:rPr>
              <w:tab/>
            </w:r>
            <w:r w:rsidR="00E12AF7">
              <w:rPr>
                <w:webHidden/>
              </w:rPr>
              <w:fldChar w:fldCharType="begin"/>
            </w:r>
            <w:r w:rsidR="00E12AF7">
              <w:rPr>
                <w:webHidden/>
              </w:rPr>
              <w:instrText xml:space="preserve"> PAGEREF _Toc171803721 \h </w:instrText>
            </w:r>
            <w:r w:rsidR="00E12AF7">
              <w:rPr>
                <w:webHidden/>
              </w:rPr>
            </w:r>
            <w:r w:rsidR="00E12AF7">
              <w:rPr>
                <w:webHidden/>
              </w:rPr>
              <w:fldChar w:fldCharType="separate"/>
            </w:r>
            <w:r>
              <w:rPr>
                <w:webHidden/>
                <w:rtl/>
                <w:lang w:bidi="ar-SA"/>
              </w:rPr>
              <w:t>165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31" w:history="1">
            <w:r w:rsidR="00E12AF7" w:rsidRPr="008D22A6">
              <w:rPr>
                <w:rStyle w:val="Lienhypertexte"/>
                <w:rFonts w:hint="eastAsia"/>
                <w:rtl/>
              </w:rPr>
              <w:t>الشكل</w:t>
            </w:r>
            <w:r w:rsidR="00E12AF7" w:rsidRPr="008D22A6">
              <w:rPr>
                <w:rStyle w:val="Lienhypertexte"/>
                <w:rtl/>
              </w:rPr>
              <w:t xml:space="preserve"> (5-9):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افراد</w:t>
            </w:r>
            <w:r w:rsidR="00E12AF7" w:rsidRPr="008D22A6">
              <w:rPr>
                <w:rStyle w:val="Lienhypertexte"/>
                <w:rtl/>
              </w:rPr>
              <w:t xml:space="preserve"> </w:t>
            </w:r>
            <w:r w:rsidR="00E12AF7" w:rsidRPr="008D22A6">
              <w:rPr>
                <w:rStyle w:val="Lienhypertexte"/>
                <w:rFonts w:hint="eastAsia"/>
                <w:rtl/>
              </w:rPr>
              <w:t>العيّنة</w:t>
            </w:r>
            <w:r w:rsidR="00E12AF7" w:rsidRPr="008D22A6">
              <w:rPr>
                <w:rStyle w:val="Lienhypertexte"/>
                <w:rtl/>
              </w:rPr>
              <w:t xml:space="preserve"> </w:t>
            </w:r>
            <w:r w:rsidR="00E12AF7" w:rsidRPr="008D22A6">
              <w:rPr>
                <w:rStyle w:val="Lienhypertexte"/>
                <w:rFonts w:hint="eastAsia"/>
                <w:rtl/>
              </w:rPr>
              <w:t>حسب</w:t>
            </w:r>
            <w:r w:rsidR="00E12AF7" w:rsidRPr="008D22A6">
              <w:rPr>
                <w:rStyle w:val="Lienhypertexte"/>
                <w:rtl/>
              </w:rPr>
              <w:t xml:space="preserve"> </w:t>
            </w:r>
            <w:r w:rsidR="00E12AF7" w:rsidRPr="008D22A6">
              <w:rPr>
                <w:rStyle w:val="Lienhypertexte"/>
                <w:rFonts w:hint="eastAsia"/>
                <w:rtl/>
              </w:rPr>
              <w:t>النوع</w:t>
            </w:r>
            <w:r w:rsidR="00172786" w:rsidRPr="00172786">
              <w:rPr>
                <w:rStyle w:val="Lienhypertexte"/>
                <w:rtl/>
              </w:rPr>
              <w:t>……………………………………</w:t>
            </w:r>
            <w:r w:rsidR="00172786" w:rsidRPr="00172786">
              <w:rPr>
                <w:rStyle w:val="Lienhypertexte"/>
                <w:rFonts w:hint="cs"/>
                <w:rtl/>
              </w:rPr>
              <w:t>.......................</w:t>
            </w:r>
            <w:r w:rsidR="00172786" w:rsidRPr="00172786">
              <w:rPr>
                <w:rStyle w:val="Lienhypertexte"/>
                <w:rtl/>
              </w:rPr>
              <w:t>…</w:t>
            </w:r>
            <w:r w:rsidR="00172786">
              <w:rPr>
                <w:rStyle w:val="Lienhypertexte"/>
                <w:rtl/>
              </w:rPr>
              <w:t>………</w:t>
            </w:r>
            <w:r w:rsidR="00E12AF7">
              <w:rPr>
                <w:webHidden/>
              </w:rPr>
              <w:tab/>
            </w:r>
            <w:r w:rsidR="00E12AF7">
              <w:rPr>
                <w:webHidden/>
              </w:rPr>
              <w:fldChar w:fldCharType="begin"/>
            </w:r>
            <w:r w:rsidR="00E12AF7">
              <w:rPr>
                <w:webHidden/>
              </w:rPr>
              <w:instrText xml:space="preserve"> PAGEREF _Toc171803731 \h </w:instrText>
            </w:r>
            <w:r w:rsidR="00E12AF7">
              <w:rPr>
                <w:webHidden/>
              </w:rPr>
            </w:r>
            <w:r w:rsidR="00E12AF7">
              <w:rPr>
                <w:webHidden/>
              </w:rPr>
              <w:fldChar w:fldCharType="separate"/>
            </w:r>
            <w:r>
              <w:rPr>
                <w:webHidden/>
                <w:rtl/>
                <w:lang w:bidi="ar-SA"/>
              </w:rPr>
              <w:t>170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34" w:history="1">
            <w:r w:rsidR="00E12AF7" w:rsidRPr="008D22A6">
              <w:rPr>
                <w:rStyle w:val="Lienhypertexte"/>
                <w:rFonts w:hint="eastAsia"/>
                <w:rtl/>
              </w:rPr>
              <w:t>الشكل</w:t>
            </w:r>
            <w:r w:rsidR="00E12AF7" w:rsidRPr="008D22A6">
              <w:rPr>
                <w:rStyle w:val="Lienhypertexte"/>
                <w:rtl/>
              </w:rPr>
              <w:t xml:space="preserve"> (5-10):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افراد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العاملين</w:t>
            </w:r>
            <w:r w:rsidR="00172786" w:rsidRPr="00172786">
              <w:rPr>
                <w:rStyle w:val="Lienhypertexte"/>
                <w:rtl/>
              </w:rPr>
              <w:t>……………………………………</w:t>
            </w:r>
            <w:r w:rsidR="00172786" w:rsidRPr="00172786">
              <w:rPr>
                <w:rStyle w:val="Lienhypertexte"/>
                <w:rFonts w:hint="cs"/>
                <w:rtl/>
              </w:rPr>
              <w:t>.......................</w:t>
            </w:r>
            <w:r w:rsidR="00172786" w:rsidRPr="00172786">
              <w:rPr>
                <w:rStyle w:val="Lienhypertexte"/>
                <w:rtl/>
              </w:rPr>
              <w:t>…</w:t>
            </w:r>
            <w:r w:rsidR="00172786">
              <w:rPr>
                <w:rStyle w:val="Lienhypertexte"/>
                <w:rtl/>
              </w:rPr>
              <w:t>…………</w:t>
            </w:r>
            <w:r w:rsidR="00E12AF7">
              <w:rPr>
                <w:webHidden/>
              </w:rPr>
              <w:tab/>
            </w:r>
            <w:r w:rsidR="00E12AF7">
              <w:rPr>
                <w:webHidden/>
              </w:rPr>
              <w:fldChar w:fldCharType="begin"/>
            </w:r>
            <w:r w:rsidR="00E12AF7">
              <w:rPr>
                <w:webHidden/>
              </w:rPr>
              <w:instrText xml:space="preserve"> PAGEREF _Toc171803734 \h </w:instrText>
            </w:r>
            <w:r w:rsidR="00E12AF7">
              <w:rPr>
                <w:webHidden/>
              </w:rPr>
            </w:r>
            <w:r w:rsidR="00E12AF7">
              <w:rPr>
                <w:webHidden/>
              </w:rPr>
              <w:fldChar w:fldCharType="separate"/>
            </w:r>
            <w:r>
              <w:rPr>
                <w:webHidden/>
                <w:rtl/>
                <w:lang w:bidi="ar-SA"/>
              </w:rPr>
              <w:t>170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36" w:history="1">
            <w:r w:rsidR="00E12AF7" w:rsidRPr="008D22A6">
              <w:rPr>
                <w:rStyle w:val="Lienhypertexte"/>
                <w:rFonts w:hint="eastAsia"/>
                <w:rtl/>
              </w:rPr>
              <w:t>الشكل</w:t>
            </w:r>
            <w:r w:rsidR="00E12AF7" w:rsidRPr="008D22A6">
              <w:rPr>
                <w:rStyle w:val="Lienhypertexte"/>
                <w:rtl/>
              </w:rPr>
              <w:t xml:space="preserve"> (5-11):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افراد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الفئات</w:t>
            </w:r>
            <w:r w:rsidR="00E12AF7" w:rsidRPr="008D22A6">
              <w:rPr>
                <w:rStyle w:val="Lienhypertexte"/>
                <w:rtl/>
              </w:rPr>
              <w:t xml:space="preserve"> </w:t>
            </w:r>
            <w:r w:rsidR="00E12AF7" w:rsidRPr="008D22A6">
              <w:rPr>
                <w:rStyle w:val="Lienhypertexte"/>
                <w:rFonts w:hint="eastAsia"/>
                <w:rtl/>
              </w:rPr>
              <w:t>العمرية</w:t>
            </w:r>
            <w:r w:rsidR="00172786" w:rsidRPr="00172786">
              <w:rPr>
                <w:rStyle w:val="Lienhypertexte"/>
                <w:rtl/>
              </w:rPr>
              <w:t>……………………………………</w:t>
            </w:r>
            <w:r w:rsidR="00172786" w:rsidRPr="00172786">
              <w:rPr>
                <w:rStyle w:val="Lienhypertexte"/>
                <w:rFonts w:hint="cs"/>
                <w:rtl/>
              </w:rPr>
              <w:t>..</w:t>
            </w:r>
            <w:r w:rsidR="00172786">
              <w:rPr>
                <w:rStyle w:val="Lienhypertexte"/>
                <w:rFonts w:hint="cs"/>
                <w:rtl/>
              </w:rPr>
              <w:t>..</w:t>
            </w:r>
            <w:r w:rsidR="00172786" w:rsidRPr="00172786">
              <w:rPr>
                <w:rStyle w:val="Lienhypertexte"/>
                <w:rFonts w:hint="cs"/>
                <w:rtl/>
              </w:rPr>
              <w:t>.....................</w:t>
            </w:r>
            <w:r w:rsidR="00172786" w:rsidRPr="00172786">
              <w:rPr>
                <w:rStyle w:val="Lienhypertexte"/>
                <w:rtl/>
              </w:rPr>
              <w:t>…</w:t>
            </w:r>
            <w:r w:rsidR="00172786">
              <w:rPr>
                <w:rStyle w:val="Lienhypertexte"/>
                <w:rtl/>
              </w:rPr>
              <w:t>…</w:t>
            </w:r>
            <w:r w:rsidR="00E12AF7">
              <w:rPr>
                <w:webHidden/>
              </w:rPr>
              <w:tab/>
            </w:r>
            <w:r w:rsidR="00E12AF7">
              <w:rPr>
                <w:webHidden/>
              </w:rPr>
              <w:fldChar w:fldCharType="begin"/>
            </w:r>
            <w:r w:rsidR="00E12AF7">
              <w:rPr>
                <w:webHidden/>
              </w:rPr>
              <w:instrText xml:space="preserve"> PAGEREF _Toc171803736 \h </w:instrText>
            </w:r>
            <w:r w:rsidR="00E12AF7">
              <w:rPr>
                <w:webHidden/>
              </w:rPr>
            </w:r>
            <w:r w:rsidR="00E12AF7">
              <w:rPr>
                <w:webHidden/>
              </w:rPr>
              <w:fldChar w:fldCharType="separate"/>
            </w:r>
            <w:r>
              <w:rPr>
                <w:webHidden/>
                <w:rtl/>
                <w:lang w:bidi="ar-SA"/>
              </w:rPr>
              <w:t>171</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38" w:history="1">
            <w:r w:rsidR="00E12AF7" w:rsidRPr="008D22A6">
              <w:rPr>
                <w:rStyle w:val="Lienhypertexte"/>
                <w:rFonts w:hint="eastAsia"/>
                <w:rtl/>
              </w:rPr>
              <w:t>الشكل</w:t>
            </w:r>
            <w:r w:rsidR="00E12AF7" w:rsidRPr="008D22A6">
              <w:rPr>
                <w:rStyle w:val="Lienhypertexte"/>
                <w:rtl/>
              </w:rPr>
              <w:t xml:space="preserve"> (5-12):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افراد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المستوى</w:t>
            </w:r>
            <w:r w:rsidR="00E12AF7" w:rsidRPr="008D22A6">
              <w:rPr>
                <w:rStyle w:val="Lienhypertexte"/>
                <w:rtl/>
              </w:rPr>
              <w:t xml:space="preserve"> </w:t>
            </w:r>
            <w:r w:rsidR="00E12AF7" w:rsidRPr="008D22A6">
              <w:rPr>
                <w:rStyle w:val="Lienhypertexte"/>
                <w:rFonts w:hint="eastAsia"/>
                <w:rtl/>
              </w:rPr>
              <w:t>العلمي</w:t>
            </w:r>
            <w:r w:rsidR="00172786" w:rsidRPr="00172786">
              <w:rPr>
                <w:rStyle w:val="Lienhypertexte"/>
                <w:rtl/>
              </w:rPr>
              <w:t>……………………………………</w:t>
            </w:r>
            <w:r w:rsidR="00172786" w:rsidRPr="00172786">
              <w:rPr>
                <w:rStyle w:val="Lienhypertexte"/>
                <w:rFonts w:hint="cs"/>
                <w:rtl/>
              </w:rPr>
              <w:t>.......................</w:t>
            </w:r>
            <w:r w:rsidR="00172786" w:rsidRPr="00172786">
              <w:rPr>
                <w:rStyle w:val="Lienhypertexte"/>
                <w:rtl/>
              </w:rPr>
              <w:t>…</w:t>
            </w:r>
            <w:r w:rsidR="00172786">
              <w:rPr>
                <w:rStyle w:val="Lienhypertexte"/>
                <w:rtl/>
              </w:rPr>
              <w:t>…</w:t>
            </w:r>
            <w:r w:rsidR="00E12AF7">
              <w:rPr>
                <w:webHidden/>
              </w:rPr>
              <w:tab/>
            </w:r>
            <w:r w:rsidR="00E12AF7">
              <w:rPr>
                <w:webHidden/>
              </w:rPr>
              <w:fldChar w:fldCharType="begin"/>
            </w:r>
            <w:r w:rsidR="00E12AF7">
              <w:rPr>
                <w:webHidden/>
              </w:rPr>
              <w:instrText xml:space="preserve"> PAGEREF _Toc171803738 \h </w:instrText>
            </w:r>
            <w:r w:rsidR="00E12AF7">
              <w:rPr>
                <w:webHidden/>
              </w:rPr>
            </w:r>
            <w:r w:rsidR="00E12AF7">
              <w:rPr>
                <w:webHidden/>
              </w:rPr>
              <w:fldChar w:fldCharType="separate"/>
            </w:r>
            <w:r>
              <w:rPr>
                <w:webHidden/>
                <w:rtl/>
                <w:lang w:bidi="ar-SA"/>
              </w:rPr>
              <w:t>171</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40" w:history="1">
            <w:r w:rsidR="00E12AF7" w:rsidRPr="008D22A6">
              <w:rPr>
                <w:rStyle w:val="Lienhypertexte"/>
                <w:rFonts w:hint="eastAsia"/>
                <w:rtl/>
              </w:rPr>
              <w:t>الشكل</w:t>
            </w:r>
            <w:r w:rsidR="00E12AF7" w:rsidRPr="008D22A6">
              <w:rPr>
                <w:rStyle w:val="Lienhypertexte"/>
                <w:rtl/>
              </w:rPr>
              <w:t xml:space="preserve"> (5-13):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أفراد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ادراك</w:t>
            </w:r>
            <w:r w:rsidR="00E12AF7" w:rsidRPr="008D22A6">
              <w:rPr>
                <w:rStyle w:val="Lienhypertexte"/>
                <w:rtl/>
              </w:rPr>
              <w:t xml:space="preserve"> </w:t>
            </w:r>
            <w:r w:rsidR="00E12AF7" w:rsidRPr="008D22A6">
              <w:rPr>
                <w:rStyle w:val="Lienhypertexte"/>
                <w:rFonts w:hint="eastAsia"/>
                <w:rtl/>
              </w:rPr>
              <w:t>حدوث</w:t>
            </w:r>
            <w:r w:rsidR="00E12AF7" w:rsidRPr="008D22A6">
              <w:rPr>
                <w:rStyle w:val="Lienhypertexte"/>
                <w:rtl/>
              </w:rPr>
              <w:t xml:space="preserve"> </w:t>
            </w:r>
            <w:r w:rsidR="00E12AF7" w:rsidRPr="008D22A6">
              <w:rPr>
                <w:rStyle w:val="Lienhypertexte"/>
                <w:rFonts w:hint="eastAsia"/>
                <w:rtl/>
              </w:rPr>
              <w:t>مخاطر</w:t>
            </w:r>
            <w:r w:rsidR="00E12AF7" w:rsidRPr="008D22A6">
              <w:rPr>
                <w:rStyle w:val="Lienhypertexte"/>
                <w:rtl/>
              </w:rPr>
              <w:t xml:space="preserve"> </w:t>
            </w:r>
            <w:r w:rsidR="00E12AF7" w:rsidRPr="008D22A6">
              <w:rPr>
                <w:rStyle w:val="Lienhypertexte"/>
                <w:rFonts w:hint="eastAsia"/>
                <w:rtl/>
              </w:rPr>
              <w:t>طبيعية</w:t>
            </w:r>
            <w:r w:rsidR="00E12AF7" w:rsidRPr="008D22A6">
              <w:rPr>
                <w:rStyle w:val="Lienhypertexte"/>
                <w:rtl/>
              </w:rPr>
              <w:t xml:space="preserve"> </w:t>
            </w:r>
            <w:r w:rsidR="00E12AF7" w:rsidRPr="008D22A6">
              <w:rPr>
                <w:rStyle w:val="Lienhypertexte"/>
                <w:rFonts w:hint="eastAsia"/>
                <w:rtl/>
              </w:rPr>
              <w:t>بمدينة</w:t>
            </w:r>
            <w:r w:rsidR="00E12AF7" w:rsidRPr="008D22A6">
              <w:rPr>
                <w:rStyle w:val="Lienhypertexte"/>
                <w:rtl/>
              </w:rPr>
              <w:t xml:space="preserve"> </w:t>
            </w:r>
            <w:r w:rsidR="00E12AF7" w:rsidRPr="008D22A6">
              <w:rPr>
                <w:rStyle w:val="Lienhypertexte"/>
                <w:rFonts w:hint="eastAsia"/>
                <w:rtl/>
              </w:rPr>
              <w:t>بوسعادة</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_Toc171803740 \h </w:instrText>
            </w:r>
            <w:r w:rsidR="00E12AF7">
              <w:rPr>
                <w:webHidden/>
              </w:rPr>
            </w:r>
            <w:r w:rsidR="00E12AF7">
              <w:rPr>
                <w:webHidden/>
              </w:rPr>
              <w:fldChar w:fldCharType="separate"/>
            </w:r>
            <w:r>
              <w:rPr>
                <w:webHidden/>
                <w:rtl/>
                <w:lang w:bidi="ar-SA"/>
              </w:rPr>
              <w:t>172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42" w:history="1">
            <w:r w:rsidR="00E12AF7" w:rsidRPr="008D22A6">
              <w:rPr>
                <w:rStyle w:val="Lienhypertexte"/>
                <w:rFonts w:hint="eastAsia"/>
                <w:rtl/>
              </w:rPr>
              <w:t>الشكل</w:t>
            </w:r>
            <w:r w:rsidR="00E12AF7" w:rsidRPr="008D22A6">
              <w:rPr>
                <w:rStyle w:val="Lienhypertexte"/>
                <w:rtl/>
              </w:rPr>
              <w:t xml:space="preserve"> (5-14):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أفراد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الادراك</w:t>
            </w:r>
            <w:r w:rsidR="00E12AF7" w:rsidRPr="008D22A6">
              <w:rPr>
                <w:rStyle w:val="Lienhypertexte"/>
                <w:rtl/>
              </w:rPr>
              <w:t xml:space="preserve"> </w:t>
            </w:r>
            <w:r w:rsidR="00E12AF7" w:rsidRPr="008D22A6">
              <w:rPr>
                <w:rStyle w:val="Lienhypertexte"/>
                <w:rFonts w:hint="eastAsia"/>
                <w:rtl/>
              </w:rPr>
              <w:t>بتكرار</w:t>
            </w:r>
            <w:r w:rsidR="00E12AF7" w:rsidRPr="008D22A6">
              <w:rPr>
                <w:rStyle w:val="Lienhypertexte"/>
                <w:rtl/>
              </w:rPr>
              <w:t xml:space="preserve"> </w:t>
            </w:r>
            <w:r w:rsidR="00E12AF7" w:rsidRPr="008D22A6">
              <w:rPr>
                <w:rStyle w:val="Lienhypertexte"/>
                <w:rFonts w:hint="eastAsia"/>
                <w:rtl/>
              </w:rPr>
              <w:t>حدوث</w:t>
            </w:r>
            <w:r w:rsidR="00E12AF7" w:rsidRPr="008D22A6">
              <w:rPr>
                <w:rStyle w:val="Lienhypertexte"/>
                <w:rtl/>
              </w:rPr>
              <w:t xml:space="preserve"> </w:t>
            </w:r>
            <w:r w:rsidR="00E12AF7" w:rsidRPr="008D22A6">
              <w:rPr>
                <w:rStyle w:val="Lienhypertexte"/>
                <w:rFonts w:hint="eastAsia"/>
                <w:rtl/>
              </w:rPr>
              <w:t>المخاطر</w:t>
            </w:r>
            <w:r w:rsidR="00E12AF7" w:rsidRPr="008D22A6">
              <w:rPr>
                <w:rStyle w:val="Lienhypertexte"/>
                <w:rtl/>
              </w:rPr>
              <w:t xml:space="preserve"> </w:t>
            </w:r>
            <w:r w:rsidR="00E12AF7" w:rsidRPr="008D22A6">
              <w:rPr>
                <w:rStyle w:val="Lienhypertexte"/>
                <w:rFonts w:hint="eastAsia"/>
                <w:rtl/>
              </w:rPr>
              <w:t>الطبيعية</w:t>
            </w:r>
            <w:r w:rsidR="00E12AF7" w:rsidRPr="008D22A6">
              <w:rPr>
                <w:rStyle w:val="Lienhypertexte"/>
                <w:rtl/>
              </w:rPr>
              <w:t xml:space="preserve"> </w:t>
            </w:r>
            <w:r w:rsidR="00E12AF7" w:rsidRPr="008D22A6">
              <w:rPr>
                <w:rStyle w:val="Lienhypertexte"/>
                <w:rFonts w:hint="eastAsia"/>
                <w:rtl/>
              </w:rPr>
              <w:t>خلال</w:t>
            </w:r>
            <w:r w:rsidR="00E12AF7" w:rsidRPr="008D22A6">
              <w:rPr>
                <w:rStyle w:val="Lienhypertexte"/>
                <w:rtl/>
              </w:rPr>
              <w:t xml:space="preserve"> </w:t>
            </w:r>
            <w:r w:rsidR="00E12AF7" w:rsidRPr="008D22A6">
              <w:rPr>
                <w:rStyle w:val="Lienhypertexte"/>
                <w:rFonts w:hint="eastAsia"/>
                <w:rtl/>
              </w:rPr>
              <w:t>السنة</w:t>
            </w:r>
            <w:r w:rsidR="00172786">
              <w:rPr>
                <w:rStyle w:val="Lienhypertexte"/>
                <w:rtl/>
              </w:rPr>
              <w:t>…</w:t>
            </w:r>
            <w:r w:rsidR="00172786">
              <w:rPr>
                <w:rStyle w:val="Lienhypertexte"/>
                <w:rFonts w:hint="cs"/>
                <w:rtl/>
              </w:rPr>
              <w:t>....</w:t>
            </w:r>
            <w:r w:rsidR="00172786">
              <w:rPr>
                <w:rStyle w:val="Lienhypertexte"/>
                <w:rtl/>
              </w:rPr>
              <w:t>…………………………</w:t>
            </w:r>
            <w:r w:rsidR="00E12AF7">
              <w:rPr>
                <w:webHidden/>
              </w:rPr>
              <w:tab/>
            </w:r>
            <w:r w:rsidR="00E12AF7">
              <w:rPr>
                <w:webHidden/>
              </w:rPr>
              <w:fldChar w:fldCharType="begin"/>
            </w:r>
            <w:r w:rsidR="00E12AF7">
              <w:rPr>
                <w:webHidden/>
              </w:rPr>
              <w:instrText xml:space="preserve"> PAGEREF _Toc171803742 \h </w:instrText>
            </w:r>
            <w:r w:rsidR="00E12AF7">
              <w:rPr>
                <w:webHidden/>
              </w:rPr>
            </w:r>
            <w:r w:rsidR="00E12AF7">
              <w:rPr>
                <w:webHidden/>
              </w:rPr>
              <w:fldChar w:fldCharType="separate"/>
            </w:r>
            <w:r>
              <w:rPr>
                <w:webHidden/>
                <w:rtl/>
                <w:lang w:bidi="ar-SA"/>
              </w:rPr>
              <w:t>173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46" w:history="1">
            <w:r w:rsidR="00E12AF7" w:rsidRPr="008D22A6">
              <w:rPr>
                <w:rStyle w:val="Lienhypertexte"/>
                <w:rFonts w:hint="eastAsia"/>
                <w:rtl/>
              </w:rPr>
              <w:t>الشكل</w:t>
            </w:r>
            <w:r w:rsidR="00E12AF7" w:rsidRPr="008D22A6">
              <w:rPr>
                <w:rStyle w:val="Lienhypertexte"/>
                <w:rtl/>
              </w:rPr>
              <w:t xml:space="preserve"> (5-15):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أفراد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عمليات</w:t>
            </w:r>
            <w:r w:rsidR="00E12AF7" w:rsidRPr="008D22A6">
              <w:rPr>
                <w:rStyle w:val="Lienhypertexte"/>
                <w:rtl/>
              </w:rPr>
              <w:t xml:space="preserve"> </w:t>
            </w:r>
            <w:r w:rsidR="00E12AF7" w:rsidRPr="008D22A6">
              <w:rPr>
                <w:rStyle w:val="Lienhypertexte"/>
                <w:rFonts w:hint="eastAsia"/>
                <w:rtl/>
              </w:rPr>
              <w:t>الحماية</w:t>
            </w:r>
            <w:r w:rsidR="00E12AF7" w:rsidRPr="008D22A6">
              <w:rPr>
                <w:rStyle w:val="Lienhypertexte"/>
                <w:rtl/>
              </w:rPr>
              <w:t xml:space="preserve"> </w:t>
            </w:r>
            <w:r w:rsidR="00E12AF7" w:rsidRPr="008D22A6">
              <w:rPr>
                <w:rStyle w:val="Lienhypertexte"/>
                <w:rFonts w:hint="eastAsia"/>
                <w:rtl/>
              </w:rPr>
              <w:t>ضد</w:t>
            </w:r>
            <w:r w:rsidR="00E12AF7" w:rsidRPr="008D22A6">
              <w:rPr>
                <w:rStyle w:val="Lienhypertexte"/>
                <w:rtl/>
              </w:rPr>
              <w:t xml:space="preserve"> </w:t>
            </w:r>
            <w:r w:rsidR="00E12AF7" w:rsidRPr="008D22A6">
              <w:rPr>
                <w:rStyle w:val="Lienhypertexte"/>
                <w:rFonts w:hint="eastAsia"/>
                <w:rtl/>
              </w:rPr>
              <w:t>مخاطر</w:t>
            </w:r>
            <w:r w:rsidR="00E12AF7" w:rsidRPr="008D22A6">
              <w:rPr>
                <w:rStyle w:val="Lienhypertexte"/>
                <w:rtl/>
              </w:rPr>
              <w:t xml:space="preserve"> </w:t>
            </w:r>
            <w:r w:rsidR="00E12AF7" w:rsidRPr="008D22A6">
              <w:rPr>
                <w:rStyle w:val="Lienhypertexte"/>
                <w:rFonts w:hint="eastAsia"/>
                <w:rtl/>
              </w:rPr>
              <w:t>الفيضانات</w:t>
            </w:r>
            <w:r w:rsidR="00E12AF7" w:rsidRPr="008D22A6">
              <w:rPr>
                <w:rStyle w:val="Lienhypertexte"/>
                <w:rtl/>
              </w:rPr>
              <w:t xml:space="preserve"> </w:t>
            </w:r>
            <w:r w:rsidR="00E12AF7" w:rsidRPr="008D22A6">
              <w:rPr>
                <w:rStyle w:val="Lienhypertexte"/>
                <w:rFonts w:hint="eastAsia"/>
                <w:rtl/>
              </w:rPr>
              <w:t>بحي</w:t>
            </w:r>
            <w:r w:rsidR="00E12AF7" w:rsidRPr="008D22A6">
              <w:rPr>
                <w:rStyle w:val="Lienhypertexte"/>
                <w:rtl/>
              </w:rPr>
              <w:t xml:space="preserve"> </w:t>
            </w:r>
            <w:r w:rsidR="00E12AF7" w:rsidRPr="008D22A6">
              <w:rPr>
                <w:rStyle w:val="Lienhypertexte"/>
                <w:rFonts w:hint="eastAsia"/>
                <w:rtl/>
              </w:rPr>
              <w:t>الباطن</w:t>
            </w:r>
            <w:r w:rsidR="00172786">
              <w:rPr>
                <w:rStyle w:val="Lienhypertexte"/>
                <w:rtl/>
              </w:rPr>
              <w:t>………………………………</w:t>
            </w:r>
            <w:r w:rsidR="00E12AF7">
              <w:rPr>
                <w:webHidden/>
              </w:rPr>
              <w:tab/>
            </w:r>
            <w:r w:rsidR="00E12AF7">
              <w:rPr>
                <w:webHidden/>
              </w:rPr>
              <w:fldChar w:fldCharType="begin"/>
            </w:r>
            <w:r w:rsidR="00E12AF7">
              <w:rPr>
                <w:webHidden/>
              </w:rPr>
              <w:instrText xml:space="preserve"> PAGEREF _Toc171803746 \h </w:instrText>
            </w:r>
            <w:r w:rsidR="00E12AF7">
              <w:rPr>
                <w:webHidden/>
              </w:rPr>
            </w:r>
            <w:r w:rsidR="00E12AF7">
              <w:rPr>
                <w:webHidden/>
              </w:rPr>
              <w:fldChar w:fldCharType="separate"/>
            </w:r>
            <w:r>
              <w:rPr>
                <w:webHidden/>
                <w:rtl/>
                <w:lang w:bidi="ar-SA"/>
              </w:rPr>
              <w:t>174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48" w:history="1">
            <w:r w:rsidR="00E12AF7" w:rsidRPr="008D22A6">
              <w:rPr>
                <w:rStyle w:val="Lienhypertexte"/>
                <w:rFonts w:hint="eastAsia"/>
                <w:rtl/>
              </w:rPr>
              <w:t>الشكل</w:t>
            </w:r>
            <w:r w:rsidR="00E12AF7" w:rsidRPr="008D22A6">
              <w:rPr>
                <w:rStyle w:val="Lienhypertexte"/>
                <w:rtl/>
              </w:rPr>
              <w:t xml:space="preserve"> (5-16):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أفراد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عدد</w:t>
            </w:r>
            <w:r w:rsidR="00E12AF7" w:rsidRPr="008D22A6">
              <w:rPr>
                <w:rStyle w:val="Lienhypertexte"/>
                <w:rtl/>
              </w:rPr>
              <w:t xml:space="preserve"> </w:t>
            </w:r>
            <w:r w:rsidR="00E12AF7" w:rsidRPr="008D22A6">
              <w:rPr>
                <w:rStyle w:val="Lienhypertexte"/>
                <w:rFonts w:hint="eastAsia"/>
                <w:rtl/>
              </w:rPr>
              <w:t>طوابق</w:t>
            </w:r>
            <w:r w:rsidR="00E12AF7" w:rsidRPr="008D22A6">
              <w:rPr>
                <w:rStyle w:val="Lienhypertexte"/>
                <w:rtl/>
              </w:rPr>
              <w:t xml:space="preserve"> </w:t>
            </w:r>
            <w:r w:rsidR="00E12AF7" w:rsidRPr="008D22A6">
              <w:rPr>
                <w:rStyle w:val="Lienhypertexte"/>
                <w:rFonts w:hint="eastAsia"/>
                <w:rtl/>
              </w:rPr>
              <w:t>البناية</w:t>
            </w:r>
            <w:r w:rsidR="00172786" w:rsidRPr="00172786">
              <w:rPr>
                <w:rStyle w:val="Lienhypertexte"/>
                <w:rtl/>
              </w:rPr>
              <w:t>…………</w:t>
            </w:r>
            <w:r w:rsidR="00172786">
              <w:rPr>
                <w:rStyle w:val="Lienhypertexte"/>
                <w:rFonts w:hint="cs"/>
                <w:rtl/>
              </w:rPr>
              <w:t>.</w:t>
            </w:r>
            <w:r w:rsidR="00172786" w:rsidRPr="00172786">
              <w:rPr>
                <w:rStyle w:val="Lienhypertexte"/>
                <w:rtl/>
              </w:rPr>
              <w:t>…………………………</w:t>
            </w:r>
            <w:r w:rsidR="00172786" w:rsidRPr="00172786">
              <w:rPr>
                <w:rStyle w:val="Lienhypertexte"/>
                <w:rFonts w:hint="cs"/>
                <w:rtl/>
              </w:rPr>
              <w:t>...................</w:t>
            </w:r>
            <w:r w:rsidR="00172786">
              <w:rPr>
                <w:rStyle w:val="Lienhypertexte"/>
                <w:rFonts w:hint="cs"/>
                <w:rtl/>
              </w:rPr>
              <w:t>.</w:t>
            </w:r>
            <w:r w:rsidR="00172786" w:rsidRPr="00172786">
              <w:rPr>
                <w:rStyle w:val="Lienhypertexte"/>
                <w:rFonts w:hint="cs"/>
                <w:rtl/>
              </w:rPr>
              <w:t>....</w:t>
            </w:r>
            <w:r w:rsidR="00172786" w:rsidRPr="00172786">
              <w:rPr>
                <w:rStyle w:val="Lienhypertexte"/>
                <w:rtl/>
              </w:rPr>
              <w:t>…</w:t>
            </w:r>
            <w:r w:rsidR="00E12AF7">
              <w:rPr>
                <w:webHidden/>
              </w:rPr>
              <w:tab/>
            </w:r>
            <w:r w:rsidR="00E12AF7">
              <w:rPr>
                <w:webHidden/>
              </w:rPr>
              <w:fldChar w:fldCharType="begin"/>
            </w:r>
            <w:r w:rsidR="00E12AF7">
              <w:rPr>
                <w:webHidden/>
              </w:rPr>
              <w:instrText xml:space="preserve"> PAGEREF _Toc171803748 \h </w:instrText>
            </w:r>
            <w:r w:rsidR="00E12AF7">
              <w:rPr>
                <w:webHidden/>
              </w:rPr>
            </w:r>
            <w:r w:rsidR="00E12AF7">
              <w:rPr>
                <w:webHidden/>
              </w:rPr>
              <w:fldChar w:fldCharType="separate"/>
            </w:r>
            <w:r>
              <w:rPr>
                <w:webHidden/>
                <w:rtl/>
                <w:lang w:bidi="ar-SA"/>
              </w:rPr>
              <w:t>175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50" w:history="1">
            <w:r w:rsidR="00E12AF7" w:rsidRPr="008D22A6">
              <w:rPr>
                <w:rStyle w:val="Lienhypertexte"/>
                <w:rFonts w:hint="eastAsia"/>
                <w:rtl/>
              </w:rPr>
              <w:t>الشكل</w:t>
            </w:r>
            <w:r w:rsidR="00E12AF7" w:rsidRPr="008D22A6">
              <w:rPr>
                <w:rStyle w:val="Lienhypertexte"/>
                <w:rtl/>
              </w:rPr>
              <w:t xml:space="preserve"> (5-17):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أفراد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تعرض</w:t>
            </w:r>
            <w:r w:rsidR="00E12AF7" w:rsidRPr="008D22A6">
              <w:rPr>
                <w:rStyle w:val="Lienhypertexte"/>
                <w:rtl/>
              </w:rPr>
              <w:t xml:space="preserve"> </w:t>
            </w:r>
            <w:r w:rsidR="00E12AF7" w:rsidRPr="008D22A6">
              <w:rPr>
                <w:rStyle w:val="Lienhypertexte"/>
                <w:rFonts w:hint="eastAsia"/>
                <w:rtl/>
              </w:rPr>
              <w:t>شبكة</w:t>
            </w:r>
            <w:r w:rsidR="00E12AF7" w:rsidRPr="008D22A6">
              <w:rPr>
                <w:rStyle w:val="Lienhypertexte"/>
                <w:rtl/>
              </w:rPr>
              <w:t xml:space="preserve"> </w:t>
            </w:r>
            <w:r w:rsidR="00E12AF7" w:rsidRPr="008D22A6">
              <w:rPr>
                <w:rStyle w:val="Lienhypertexte"/>
                <w:rFonts w:hint="eastAsia"/>
                <w:rtl/>
              </w:rPr>
              <w:t>الطرق</w:t>
            </w:r>
            <w:r w:rsidR="00E12AF7" w:rsidRPr="008D22A6">
              <w:rPr>
                <w:rStyle w:val="Lienhypertexte"/>
                <w:rtl/>
              </w:rPr>
              <w:t xml:space="preserve"> </w:t>
            </w:r>
            <w:r w:rsidR="00E12AF7" w:rsidRPr="008D22A6">
              <w:rPr>
                <w:rStyle w:val="Lienhypertexte"/>
                <w:rFonts w:hint="eastAsia"/>
                <w:rtl/>
              </w:rPr>
              <w:t>للغمر</w:t>
            </w:r>
            <w:r w:rsidR="00E12AF7" w:rsidRPr="008D22A6">
              <w:rPr>
                <w:rStyle w:val="Lienhypertexte"/>
                <w:rtl/>
              </w:rPr>
              <w:t xml:space="preserve"> </w:t>
            </w:r>
            <w:r w:rsidR="00E12AF7" w:rsidRPr="008D22A6">
              <w:rPr>
                <w:rStyle w:val="Lienhypertexte"/>
                <w:rFonts w:hint="eastAsia"/>
                <w:rtl/>
              </w:rPr>
              <w:t>بمياه</w:t>
            </w:r>
            <w:r w:rsidR="00E12AF7" w:rsidRPr="008D22A6">
              <w:rPr>
                <w:rStyle w:val="Lienhypertexte"/>
                <w:rtl/>
              </w:rPr>
              <w:t xml:space="preserve"> </w:t>
            </w:r>
            <w:r w:rsidR="00E12AF7" w:rsidRPr="008D22A6">
              <w:rPr>
                <w:rStyle w:val="Lienhypertexte"/>
                <w:rFonts w:hint="eastAsia"/>
                <w:rtl/>
              </w:rPr>
              <w:t>الفيضانات</w:t>
            </w:r>
            <w:r w:rsidR="00E12AF7" w:rsidRPr="008D22A6">
              <w:rPr>
                <w:rStyle w:val="Lienhypertexte"/>
                <w:rtl/>
              </w:rPr>
              <w:t xml:space="preserve"> </w:t>
            </w:r>
            <w:r w:rsidR="00E12AF7" w:rsidRPr="008D22A6">
              <w:rPr>
                <w:rStyle w:val="Lienhypertexte"/>
                <w:rFonts w:hint="eastAsia"/>
                <w:rtl/>
              </w:rPr>
              <w:t>الحضرية</w:t>
            </w:r>
            <w:r w:rsidR="00172786" w:rsidRPr="00172786">
              <w:rPr>
                <w:rStyle w:val="Lienhypertexte"/>
                <w:rtl/>
              </w:rPr>
              <w:t>………………</w:t>
            </w:r>
            <w:r w:rsidR="00172786">
              <w:rPr>
                <w:rStyle w:val="Lienhypertexte"/>
                <w:rFonts w:hint="cs"/>
                <w:rtl/>
              </w:rPr>
              <w:t>.</w:t>
            </w:r>
            <w:r w:rsidR="00172786" w:rsidRPr="00172786">
              <w:rPr>
                <w:rStyle w:val="Lienhypertexte"/>
                <w:rtl/>
              </w:rPr>
              <w:t>……………</w:t>
            </w:r>
            <w:r w:rsidR="00E12AF7">
              <w:rPr>
                <w:webHidden/>
              </w:rPr>
              <w:tab/>
            </w:r>
            <w:r w:rsidR="00E12AF7">
              <w:rPr>
                <w:webHidden/>
              </w:rPr>
              <w:fldChar w:fldCharType="begin"/>
            </w:r>
            <w:r w:rsidR="00E12AF7">
              <w:rPr>
                <w:webHidden/>
              </w:rPr>
              <w:instrText xml:space="preserve"> PAGEREF _Toc171803750 \h </w:instrText>
            </w:r>
            <w:r w:rsidR="00E12AF7">
              <w:rPr>
                <w:webHidden/>
              </w:rPr>
            </w:r>
            <w:r w:rsidR="00E12AF7">
              <w:rPr>
                <w:webHidden/>
              </w:rPr>
              <w:fldChar w:fldCharType="separate"/>
            </w:r>
            <w:r>
              <w:rPr>
                <w:webHidden/>
                <w:rtl/>
                <w:lang w:bidi="ar-SA"/>
              </w:rPr>
              <w:t>175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53" w:history="1">
            <w:r w:rsidR="00E12AF7" w:rsidRPr="008D22A6">
              <w:rPr>
                <w:rStyle w:val="Lienhypertexte"/>
                <w:rFonts w:hint="eastAsia"/>
                <w:rtl/>
              </w:rPr>
              <w:t>الشكل</w:t>
            </w:r>
            <w:r w:rsidR="00E12AF7" w:rsidRPr="008D22A6">
              <w:rPr>
                <w:rStyle w:val="Lienhypertexte"/>
                <w:rtl/>
              </w:rPr>
              <w:t xml:space="preserve"> (5-18):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أفراد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كفاية</w:t>
            </w:r>
            <w:r w:rsidR="00E12AF7" w:rsidRPr="008D22A6">
              <w:rPr>
                <w:rStyle w:val="Lienhypertexte"/>
                <w:rtl/>
              </w:rPr>
              <w:t xml:space="preserve"> </w:t>
            </w:r>
            <w:r w:rsidR="00E12AF7" w:rsidRPr="008D22A6">
              <w:rPr>
                <w:rStyle w:val="Lienhypertexte"/>
                <w:rFonts w:hint="eastAsia"/>
                <w:rtl/>
              </w:rPr>
              <w:t>المرافق</w:t>
            </w:r>
            <w:r w:rsidR="00E12AF7" w:rsidRPr="008D22A6">
              <w:rPr>
                <w:rStyle w:val="Lienhypertexte"/>
                <w:rtl/>
              </w:rPr>
              <w:t xml:space="preserve"> </w:t>
            </w:r>
            <w:r w:rsidR="00E12AF7" w:rsidRPr="008D22A6">
              <w:rPr>
                <w:rStyle w:val="Lienhypertexte"/>
                <w:rFonts w:hint="eastAsia"/>
                <w:rtl/>
              </w:rPr>
              <w:t>اثناء</w:t>
            </w:r>
            <w:r w:rsidR="00E12AF7" w:rsidRPr="008D22A6">
              <w:rPr>
                <w:rStyle w:val="Lienhypertexte"/>
                <w:rtl/>
              </w:rPr>
              <w:t xml:space="preserve"> </w:t>
            </w:r>
            <w:r w:rsidR="00E12AF7" w:rsidRPr="008D22A6">
              <w:rPr>
                <w:rStyle w:val="Lienhypertexte"/>
                <w:rFonts w:hint="eastAsia"/>
                <w:rtl/>
              </w:rPr>
              <w:t>حدوث</w:t>
            </w:r>
            <w:r w:rsidR="00E12AF7" w:rsidRPr="008D22A6">
              <w:rPr>
                <w:rStyle w:val="Lienhypertexte"/>
                <w:rtl/>
              </w:rPr>
              <w:t xml:space="preserve"> </w:t>
            </w:r>
            <w:r w:rsidR="00E12AF7" w:rsidRPr="008D22A6">
              <w:rPr>
                <w:rStyle w:val="Lienhypertexte"/>
                <w:rFonts w:hint="eastAsia"/>
                <w:rtl/>
              </w:rPr>
              <w:t>الفيضانات</w:t>
            </w:r>
            <w:r w:rsidR="00172786" w:rsidRPr="00172786">
              <w:rPr>
                <w:rStyle w:val="Lienhypertexte"/>
                <w:rtl/>
              </w:rPr>
              <w:t>……………………</w:t>
            </w:r>
            <w:r w:rsidR="00172786">
              <w:rPr>
                <w:rStyle w:val="Lienhypertexte"/>
                <w:rFonts w:hint="cs"/>
                <w:rtl/>
              </w:rPr>
              <w:t>..</w:t>
            </w:r>
            <w:r w:rsidR="00172786" w:rsidRPr="00172786">
              <w:rPr>
                <w:rStyle w:val="Lienhypertexte"/>
                <w:rtl/>
              </w:rPr>
              <w:t>……………...</w:t>
            </w:r>
            <w:r w:rsidR="00E12AF7">
              <w:rPr>
                <w:webHidden/>
              </w:rPr>
              <w:tab/>
            </w:r>
            <w:r w:rsidR="00E12AF7">
              <w:rPr>
                <w:webHidden/>
              </w:rPr>
              <w:fldChar w:fldCharType="begin"/>
            </w:r>
            <w:r w:rsidR="00E12AF7">
              <w:rPr>
                <w:webHidden/>
              </w:rPr>
              <w:instrText xml:space="preserve"> PAGEREF _Toc171803753 \h </w:instrText>
            </w:r>
            <w:r w:rsidR="00E12AF7">
              <w:rPr>
                <w:webHidden/>
              </w:rPr>
            </w:r>
            <w:r w:rsidR="00E12AF7">
              <w:rPr>
                <w:webHidden/>
              </w:rPr>
              <w:fldChar w:fldCharType="separate"/>
            </w:r>
            <w:r>
              <w:rPr>
                <w:webHidden/>
                <w:rtl/>
                <w:lang w:bidi="ar-SA"/>
              </w:rPr>
              <w:t>177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55" w:history="1">
            <w:r w:rsidR="00E12AF7" w:rsidRPr="008D22A6">
              <w:rPr>
                <w:rStyle w:val="Lienhypertexte"/>
                <w:rFonts w:hint="eastAsia"/>
                <w:rtl/>
              </w:rPr>
              <w:t>الشكل</w:t>
            </w:r>
            <w:r w:rsidR="00E12AF7" w:rsidRPr="008D22A6">
              <w:rPr>
                <w:rStyle w:val="Lienhypertexte"/>
                <w:rtl/>
              </w:rPr>
              <w:t xml:space="preserve"> (5-19): </w:t>
            </w:r>
            <w:r w:rsidR="00E12AF7" w:rsidRPr="00172786">
              <w:rPr>
                <w:rStyle w:val="Lienhypertexte"/>
                <w:rFonts w:hint="eastAsia"/>
                <w:sz w:val="20"/>
                <w:szCs w:val="20"/>
                <w:rtl/>
              </w:rPr>
              <w:t>تحليل</w:t>
            </w:r>
            <w:r w:rsidR="00E12AF7" w:rsidRPr="00172786">
              <w:rPr>
                <w:rStyle w:val="Lienhypertexte"/>
                <w:sz w:val="20"/>
                <w:szCs w:val="20"/>
                <w:rtl/>
              </w:rPr>
              <w:t xml:space="preserve"> </w:t>
            </w:r>
            <w:r w:rsidR="00E12AF7" w:rsidRPr="00172786">
              <w:rPr>
                <w:rStyle w:val="Lienhypertexte"/>
                <w:rFonts w:hint="eastAsia"/>
                <w:sz w:val="20"/>
                <w:szCs w:val="20"/>
                <w:rtl/>
              </w:rPr>
              <w:t>توزيع</w:t>
            </w:r>
            <w:r w:rsidR="00E12AF7" w:rsidRPr="00172786">
              <w:rPr>
                <w:rStyle w:val="Lienhypertexte"/>
                <w:sz w:val="20"/>
                <w:szCs w:val="20"/>
                <w:rtl/>
              </w:rPr>
              <w:t xml:space="preserve"> </w:t>
            </w:r>
            <w:r w:rsidR="00E12AF7" w:rsidRPr="00172786">
              <w:rPr>
                <w:rStyle w:val="Lienhypertexte"/>
                <w:rFonts w:hint="eastAsia"/>
                <w:sz w:val="20"/>
                <w:szCs w:val="20"/>
                <w:rtl/>
              </w:rPr>
              <w:t>أفراد</w:t>
            </w:r>
            <w:r w:rsidR="00E12AF7" w:rsidRPr="00172786">
              <w:rPr>
                <w:rStyle w:val="Lienhypertexte"/>
                <w:sz w:val="20"/>
                <w:szCs w:val="20"/>
                <w:rtl/>
              </w:rPr>
              <w:t xml:space="preserve"> </w:t>
            </w:r>
            <w:r w:rsidR="00E12AF7" w:rsidRPr="00172786">
              <w:rPr>
                <w:rStyle w:val="Lienhypertexte"/>
                <w:rFonts w:hint="eastAsia"/>
                <w:sz w:val="20"/>
                <w:szCs w:val="20"/>
                <w:rtl/>
              </w:rPr>
              <w:t>عيّنة</w:t>
            </w:r>
            <w:r w:rsidR="00E12AF7" w:rsidRPr="00172786">
              <w:rPr>
                <w:rStyle w:val="Lienhypertexte"/>
                <w:sz w:val="20"/>
                <w:szCs w:val="20"/>
                <w:rtl/>
              </w:rPr>
              <w:t xml:space="preserve"> </w:t>
            </w:r>
            <w:r w:rsidR="00E12AF7" w:rsidRPr="00172786">
              <w:rPr>
                <w:rStyle w:val="Lienhypertexte"/>
                <w:rFonts w:hint="eastAsia"/>
                <w:sz w:val="20"/>
                <w:szCs w:val="20"/>
                <w:rtl/>
              </w:rPr>
              <w:t>عدد</w:t>
            </w:r>
            <w:r w:rsidR="00E12AF7" w:rsidRPr="00172786">
              <w:rPr>
                <w:rStyle w:val="Lienhypertexte"/>
                <w:sz w:val="20"/>
                <w:szCs w:val="20"/>
                <w:rtl/>
              </w:rPr>
              <w:t xml:space="preserve"> </w:t>
            </w:r>
            <w:r w:rsidR="00E12AF7" w:rsidRPr="00172786">
              <w:rPr>
                <w:rStyle w:val="Lienhypertexte"/>
                <w:rFonts w:hint="eastAsia"/>
                <w:sz w:val="20"/>
                <w:szCs w:val="20"/>
                <w:rtl/>
              </w:rPr>
              <w:t>تقاطعات</w:t>
            </w:r>
            <w:r w:rsidR="00E12AF7" w:rsidRPr="00172786">
              <w:rPr>
                <w:rStyle w:val="Lienhypertexte"/>
                <w:sz w:val="20"/>
                <w:szCs w:val="20"/>
                <w:rtl/>
              </w:rPr>
              <w:t xml:space="preserve"> </w:t>
            </w:r>
            <w:r w:rsidR="00E12AF7" w:rsidRPr="00172786">
              <w:rPr>
                <w:rStyle w:val="Lienhypertexte"/>
                <w:rFonts w:hint="eastAsia"/>
                <w:sz w:val="20"/>
                <w:szCs w:val="20"/>
                <w:rtl/>
              </w:rPr>
              <w:t>الطرق</w:t>
            </w:r>
            <w:r w:rsidR="00E12AF7" w:rsidRPr="00172786">
              <w:rPr>
                <w:rStyle w:val="Lienhypertexte"/>
                <w:sz w:val="20"/>
                <w:szCs w:val="20"/>
                <w:rtl/>
              </w:rPr>
              <w:t xml:space="preserve"> </w:t>
            </w:r>
            <w:r w:rsidR="00E12AF7" w:rsidRPr="00172786">
              <w:rPr>
                <w:rStyle w:val="Lienhypertexte"/>
                <w:rFonts w:hint="eastAsia"/>
                <w:sz w:val="20"/>
                <w:szCs w:val="20"/>
                <w:rtl/>
              </w:rPr>
              <w:t>واحساس</w:t>
            </w:r>
            <w:r w:rsidR="00E12AF7" w:rsidRPr="00172786">
              <w:rPr>
                <w:rStyle w:val="Lienhypertexte"/>
                <w:sz w:val="20"/>
                <w:szCs w:val="20"/>
                <w:rtl/>
              </w:rPr>
              <w:t xml:space="preserve"> </w:t>
            </w:r>
            <w:r w:rsidR="00E12AF7" w:rsidRPr="00172786">
              <w:rPr>
                <w:rStyle w:val="Lienhypertexte"/>
                <w:rFonts w:hint="eastAsia"/>
                <w:sz w:val="20"/>
                <w:szCs w:val="20"/>
                <w:rtl/>
              </w:rPr>
              <w:t>راحة</w:t>
            </w:r>
            <w:r w:rsidR="00E12AF7" w:rsidRPr="00172786">
              <w:rPr>
                <w:rStyle w:val="Lienhypertexte"/>
                <w:sz w:val="20"/>
                <w:szCs w:val="20"/>
                <w:rtl/>
              </w:rPr>
              <w:t xml:space="preserve"> </w:t>
            </w:r>
            <w:r w:rsidR="00E12AF7" w:rsidRPr="00172786">
              <w:rPr>
                <w:rStyle w:val="Lienhypertexte"/>
                <w:rFonts w:hint="eastAsia"/>
                <w:sz w:val="20"/>
                <w:szCs w:val="20"/>
                <w:rtl/>
              </w:rPr>
              <w:t>التنقل</w:t>
            </w:r>
            <w:r w:rsidR="00E12AF7" w:rsidRPr="00172786">
              <w:rPr>
                <w:rStyle w:val="Lienhypertexte"/>
                <w:sz w:val="20"/>
                <w:szCs w:val="20"/>
                <w:rtl/>
              </w:rPr>
              <w:t xml:space="preserve"> </w:t>
            </w:r>
            <w:r w:rsidR="00E12AF7" w:rsidRPr="00172786">
              <w:rPr>
                <w:rStyle w:val="Lienhypertexte"/>
                <w:rFonts w:hint="eastAsia"/>
                <w:sz w:val="20"/>
                <w:szCs w:val="20"/>
                <w:rtl/>
              </w:rPr>
              <w:t>مشيا</w:t>
            </w:r>
            <w:r w:rsidR="00E12AF7" w:rsidRPr="00172786">
              <w:rPr>
                <w:rStyle w:val="Lienhypertexte"/>
                <w:sz w:val="20"/>
                <w:szCs w:val="20"/>
                <w:rtl/>
              </w:rPr>
              <w:t xml:space="preserve"> </w:t>
            </w:r>
            <w:r w:rsidR="00E12AF7" w:rsidRPr="00172786">
              <w:rPr>
                <w:rStyle w:val="Lienhypertexte"/>
                <w:rFonts w:hint="eastAsia"/>
                <w:sz w:val="20"/>
                <w:szCs w:val="20"/>
                <w:rtl/>
              </w:rPr>
              <w:t>الى</w:t>
            </w:r>
            <w:r w:rsidR="00E12AF7" w:rsidRPr="00172786">
              <w:rPr>
                <w:rStyle w:val="Lienhypertexte"/>
                <w:sz w:val="20"/>
                <w:szCs w:val="20"/>
                <w:rtl/>
              </w:rPr>
              <w:t xml:space="preserve"> </w:t>
            </w:r>
            <w:r w:rsidR="00E12AF7" w:rsidRPr="00172786">
              <w:rPr>
                <w:rStyle w:val="Lienhypertexte"/>
                <w:rFonts w:hint="eastAsia"/>
                <w:sz w:val="20"/>
                <w:szCs w:val="20"/>
                <w:rtl/>
              </w:rPr>
              <w:t>المرافق</w:t>
            </w:r>
            <w:r w:rsidR="00E12AF7" w:rsidRPr="00172786">
              <w:rPr>
                <w:rStyle w:val="Lienhypertexte"/>
                <w:sz w:val="20"/>
                <w:szCs w:val="20"/>
                <w:rtl/>
              </w:rPr>
              <w:t xml:space="preserve"> </w:t>
            </w:r>
            <w:r w:rsidR="00E12AF7" w:rsidRPr="00172786">
              <w:rPr>
                <w:rStyle w:val="Lienhypertexte"/>
                <w:rFonts w:hint="eastAsia"/>
                <w:sz w:val="20"/>
                <w:szCs w:val="20"/>
                <w:rtl/>
              </w:rPr>
              <w:t>للحصول</w:t>
            </w:r>
            <w:r w:rsidR="00E12AF7" w:rsidRPr="00172786">
              <w:rPr>
                <w:rStyle w:val="Lienhypertexte"/>
                <w:sz w:val="20"/>
                <w:szCs w:val="20"/>
                <w:rtl/>
              </w:rPr>
              <w:t xml:space="preserve"> </w:t>
            </w:r>
            <w:r w:rsidR="00E12AF7" w:rsidRPr="00172786">
              <w:rPr>
                <w:rStyle w:val="Lienhypertexte"/>
                <w:rFonts w:hint="eastAsia"/>
                <w:sz w:val="20"/>
                <w:szCs w:val="20"/>
                <w:rtl/>
              </w:rPr>
              <w:t>على</w:t>
            </w:r>
            <w:r w:rsidR="00E12AF7" w:rsidRPr="00172786">
              <w:rPr>
                <w:rStyle w:val="Lienhypertexte"/>
                <w:sz w:val="20"/>
                <w:szCs w:val="20"/>
                <w:rtl/>
              </w:rPr>
              <w:t xml:space="preserve"> </w:t>
            </w:r>
            <w:r w:rsidR="00E12AF7" w:rsidRPr="00172786">
              <w:rPr>
                <w:rStyle w:val="Lienhypertexte"/>
                <w:rFonts w:hint="eastAsia"/>
                <w:sz w:val="20"/>
                <w:szCs w:val="20"/>
                <w:rtl/>
              </w:rPr>
              <w:t>الخدمة</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_Toc171803755 \h </w:instrText>
            </w:r>
            <w:r w:rsidR="00E12AF7">
              <w:rPr>
                <w:webHidden/>
              </w:rPr>
            </w:r>
            <w:r w:rsidR="00E12AF7">
              <w:rPr>
                <w:webHidden/>
              </w:rPr>
              <w:fldChar w:fldCharType="separate"/>
            </w:r>
            <w:r>
              <w:rPr>
                <w:webHidden/>
                <w:rtl/>
                <w:lang w:bidi="ar-SA"/>
              </w:rPr>
              <w:t>178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59" w:history="1">
            <w:r w:rsidR="00E12AF7" w:rsidRPr="008D22A6">
              <w:rPr>
                <w:rStyle w:val="Lienhypertexte"/>
                <w:rFonts w:hint="eastAsia"/>
                <w:rtl/>
              </w:rPr>
              <w:t>الشكل</w:t>
            </w:r>
            <w:r w:rsidR="00E12AF7" w:rsidRPr="008D22A6">
              <w:rPr>
                <w:rStyle w:val="Lienhypertexte"/>
                <w:rtl/>
              </w:rPr>
              <w:t xml:space="preserve"> (5-20):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توزيع</w:t>
            </w:r>
            <w:r w:rsidR="00E12AF7" w:rsidRPr="008D22A6">
              <w:rPr>
                <w:rStyle w:val="Lienhypertexte"/>
                <w:rtl/>
              </w:rPr>
              <w:t xml:space="preserve"> </w:t>
            </w:r>
            <w:r w:rsidR="00E12AF7" w:rsidRPr="008D22A6">
              <w:rPr>
                <w:rStyle w:val="Lienhypertexte"/>
                <w:rFonts w:hint="eastAsia"/>
                <w:rtl/>
              </w:rPr>
              <w:t>أفراد</w:t>
            </w:r>
            <w:r w:rsidR="00E12AF7" w:rsidRPr="008D22A6">
              <w:rPr>
                <w:rStyle w:val="Lienhypertexte"/>
                <w:rtl/>
              </w:rPr>
              <w:t xml:space="preserve"> </w:t>
            </w:r>
            <w:r w:rsidR="00E12AF7" w:rsidRPr="008D22A6">
              <w:rPr>
                <w:rStyle w:val="Lienhypertexte"/>
                <w:rFonts w:hint="eastAsia"/>
                <w:rtl/>
              </w:rPr>
              <w:t>عيّنة</w:t>
            </w:r>
            <w:r w:rsidR="00E12AF7" w:rsidRPr="008D22A6">
              <w:rPr>
                <w:rStyle w:val="Lienhypertexte"/>
                <w:rtl/>
              </w:rPr>
              <w:t xml:space="preserve"> </w:t>
            </w:r>
            <w:r w:rsidR="00E12AF7" w:rsidRPr="008D22A6">
              <w:rPr>
                <w:rStyle w:val="Lienhypertexte"/>
                <w:rFonts w:hint="eastAsia"/>
                <w:rtl/>
              </w:rPr>
              <w:t>المسافة</w:t>
            </w:r>
            <w:r w:rsidR="00E12AF7" w:rsidRPr="008D22A6">
              <w:rPr>
                <w:rStyle w:val="Lienhypertexte"/>
                <w:rtl/>
              </w:rPr>
              <w:t xml:space="preserve"> </w:t>
            </w:r>
            <w:r w:rsidR="00E12AF7" w:rsidRPr="008D22A6">
              <w:rPr>
                <w:rStyle w:val="Lienhypertexte"/>
                <w:rFonts w:hint="eastAsia"/>
                <w:rtl/>
              </w:rPr>
              <w:t>الملائمة</w:t>
            </w:r>
            <w:r w:rsidR="00E12AF7" w:rsidRPr="008D22A6">
              <w:rPr>
                <w:rStyle w:val="Lienhypertexte"/>
                <w:rtl/>
              </w:rPr>
              <w:t xml:space="preserve"> </w:t>
            </w:r>
            <w:r w:rsidR="00E12AF7" w:rsidRPr="008D22A6">
              <w:rPr>
                <w:rStyle w:val="Lienhypertexte"/>
                <w:rFonts w:hint="eastAsia"/>
                <w:rtl/>
              </w:rPr>
              <w:t>للسير</w:t>
            </w:r>
            <w:r w:rsidR="00E12AF7" w:rsidRPr="008D22A6">
              <w:rPr>
                <w:rStyle w:val="Lienhypertexte"/>
                <w:rtl/>
              </w:rPr>
              <w:t xml:space="preserve"> </w:t>
            </w:r>
            <w:r w:rsidR="00E12AF7" w:rsidRPr="008D22A6">
              <w:rPr>
                <w:rStyle w:val="Lienhypertexte"/>
                <w:rFonts w:hint="eastAsia"/>
                <w:rtl/>
              </w:rPr>
              <w:t>مشيا</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المرافق</w:t>
            </w:r>
            <w:r w:rsidR="00E12AF7" w:rsidRPr="008D22A6">
              <w:rPr>
                <w:rStyle w:val="Lienhypertexte"/>
                <w:rtl/>
              </w:rPr>
              <w:t xml:space="preserve"> </w:t>
            </w:r>
            <w:r w:rsidR="00E12AF7" w:rsidRPr="008D22A6">
              <w:rPr>
                <w:rStyle w:val="Lienhypertexte"/>
                <w:rFonts w:hint="eastAsia"/>
                <w:rtl/>
              </w:rPr>
              <w:t>والمسكن</w:t>
            </w:r>
            <w:r w:rsidR="00172786">
              <w:rPr>
                <w:rStyle w:val="Lienhypertexte"/>
                <w:rtl/>
              </w:rPr>
              <w:t>…………………………</w:t>
            </w:r>
            <w:r w:rsidR="00E12AF7">
              <w:rPr>
                <w:webHidden/>
              </w:rPr>
              <w:tab/>
            </w:r>
            <w:r w:rsidR="00E12AF7">
              <w:rPr>
                <w:webHidden/>
              </w:rPr>
              <w:fldChar w:fldCharType="begin"/>
            </w:r>
            <w:r w:rsidR="00E12AF7">
              <w:rPr>
                <w:webHidden/>
              </w:rPr>
              <w:instrText xml:space="preserve"> PAGEREF _Toc171803759 \h </w:instrText>
            </w:r>
            <w:r w:rsidR="00E12AF7">
              <w:rPr>
                <w:webHidden/>
              </w:rPr>
            </w:r>
            <w:r w:rsidR="00E12AF7">
              <w:rPr>
                <w:webHidden/>
              </w:rPr>
              <w:fldChar w:fldCharType="separate"/>
            </w:r>
            <w:r>
              <w:rPr>
                <w:webHidden/>
                <w:rtl/>
                <w:lang w:bidi="ar-SA"/>
              </w:rPr>
              <w:t>179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63" w:history="1">
            <w:r w:rsidR="00E12AF7" w:rsidRPr="008D22A6">
              <w:rPr>
                <w:rStyle w:val="Lienhypertexte"/>
                <w:rFonts w:hint="eastAsia"/>
                <w:rtl/>
              </w:rPr>
              <w:t>الفصل</w:t>
            </w:r>
            <w:r w:rsidR="00E12AF7" w:rsidRPr="008D22A6">
              <w:rPr>
                <w:rStyle w:val="Lienhypertexte"/>
                <w:rtl/>
              </w:rPr>
              <w:t xml:space="preserve"> 6: </w:t>
            </w:r>
            <w:r w:rsidR="00E12AF7" w:rsidRPr="008D22A6">
              <w:rPr>
                <w:rStyle w:val="Lienhypertexte"/>
                <w:rFonts w:hint="eastAsia"/>
                <w:rtl/>
              </w:rPr>
              <w:t>تقييم</w:t>
            </w:r>
            <w:r w:rsidR="00E12AF7" w:rsidRPr="008D22A6">
              <w:rPr>
                <w:rStyle w:val="Lienhypertexte"/>
                <w:rtl/>
              </w:rPr>
              <w:t xml:space="preserve"> </w:t>
            </w:r>
            <w:r w:rsidR="00E12AF7" w:rsidRPr="008D22A6">
              <w:rPr>
                <w:rStyle w:val="Lienhypertexte"/>
                <w:rFonts w:hint="eastAsia"/>
                <w:rtl/>
              </w:rPr>
              <w:t>توافر</w:t>
            </w:r>
            <w:r w:rsidR="00E12AF7" w:rsidRPr="008D22A6">
              <w:rPr>
                <w:rStyle w:val="Lienhypertexte"/>
                <w:rtl/>
              </w:rPr>
              <w:t xml:space="preserve"> </w:t>
            </w:r>
            <w:r w:rsidR="00E12AF7" w:rsidRPr="008D22A6">
              <w:rPr>
                <w:rStyle w:val="Lienhypertexte"/>
                <w:rFonts w:hint="eastAsia"/>
                <w:rtl/>
              </w:rPr>
              <w:t>سمات</w:t>
            </w:r>
            <w:r w:rsidR="00E12AF7" w:rsidRPr="008D22A6">
              <w:rPr>
                <w:rStyle w:val="Lienhypertexte"/>
                <w:rtl/>
              </w:rPr>
              <w:t xml:space="preserve"> </w:t>
            </w:r>
            <w:r w:rsidR="00E12AF7" w:rsidRPr="008D22A6">
              <w:rPr>
                <w:rStyle w:val="Lienhypertexte"/>
                <w:rFonts w:hint="eastAsia"/>
                <w:rtl/>
              </w:rPr>
              <w:t>المرونة</w:t>
            </w:r>
            <w:r w:rsidR="00E12AF7" w:rsidRPr="008D22A6">
              <w:rPr>
                <w:rStyle w:val="Lienhypertexte"/>
                <w:rtl/>
              </w:rPr>
              <w:t xml:space="preserve"> </w:t>
            </w:r>
            <w:r w:rsidR="00E12AF7" w:rsidRPr="008D22A6">
              <w:rPr>
                <w:rStyle w:val="Lienhypertexte"/>
                <w:rFonts w:hint="eastAsia"/>
                <w:rtl/>
              </w:rPr>
              <w:t>المكانية</w:t>
            </w:r>
            <w:r w:rsidR="00E12AF7" w:rsidRPr="008D22A6">
              <w:rPr>
                <w:rStyle w:val="Lienhypertexte"/>
                <w:rtl/>
              </w:rPr>
              <w:t xml:space="preserve"> </w:t>
            </w:r>
            <w:r w:rsidR="00E12AF7" w:rsidRPr="008D22A6">
              <w:rPr>
                <w:rStyle w:val="Lienhypertexte"/>
                <w:rFonts w:hint="eastAsia"/>
                <w:rtl/>
              </w:rPr>
              <w:t>عبر</w:t>
            </w:r>
            <w:r w:rsidR="00E12AF7" w:rsidRPr="008D22A6">
              <w:rPr>
                <w:rStyle w:val="Lienhypertexte"/>
                <w:rtl/>
              </w:rPr>
              <w:t xml:space="preserve"> </w:t>
            </w:r>
            <w:r w:rsidR="00E12AF7" w:rsidRPr="008D22A6">
              <w:rPr>
                <w:rStyle w:val="Lienhypertexte"/>
                <w:rFonts w:hint="eastAsia"/>
                <w:rtl/>
              </w:rPr>
              <w:t>فئات</w:t>
            </w:r>
            <w:r w:rsidR="00E12AF7" w:rsidRPr="008D22A6">
              <w:rPr>
                <w:rStyle w:val="Lienhypertexte"/>
                <w:rtl/>
              </w:rPr>
              <w:t xml:space="preserve"> </w:t>
            </w:r>
            <w:r w:rsidR="00E12AF7" w:rsidRPr="008D22A6">
              <w:rPr>
                <w:rStyle w:val="Lienhypertexte"/>
                <w:rFonts w:hint="eastAsia"/>
                <w:rtl/>
              </w:rPr>
              <w:t>الانسجة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لمدينة</w:t>
            </w:r>
            <w:r w:rsidR="00E12AF7" w:rsidRPr="008D22A6">
              <w:rPr>
                <w:rStyle w:val="Lienhypertexte"/>
                <w:rtl/>
              </w:rPr>
              <w:t xml:space="preserve"> </w:t>
            </w:r>
            <w:r w:rsidR="00E12AF7" w:rsidRPr="008D22A6">
              <w:rPr>
                <w:rStyle w:val="Lienhypertexte"/>
                <w:rFonts w:hint="eastAsia"/>
                <w:rtl/>
              </w:rPr>
              <w:t>بوسعادة</w:t>
            </w:r>
          </w:hyperlink>
        </w:p>
        <w:p w:rsidR="00E12AF7" w:rsidRDefault="00B62F86" w:rsidP="009579D2">
          <w:pPr>
            <w:pStyle w:val="TM1"/>
            <w:rPr>
              <w:rFonts w:asciiTheme="minorHAnsi" w:hAnsiTheme="minorHAnsi" w:cstheme="minorBidi"/>
              <w:color w:val="auto"/>
              <w:lang w:val="fr-FR" w:bidi="ar-SA"/>
            </w:rPr>
          </w:pPr>
          <w:hyperlink w:anchor="_Toc171803766" w:history="1">
            <w:r w:rsidR="00E12AF7" w:rsidRPr="008D22A6">
              <w:rPr>
                <w:rStyle w:val="Lienhypertexte"/>
                <w:rFonts w:hint="eastAsia"/>
                <w:rtl/>
              </w:rPr>
              <w:t>الشكل</w:t>
            </w:r>
            <w:r w:rsidR="00E12AF7" w:rsidRPr="008D22A6">
              <w:rPr>
                <w:rStyle w:val="Lienhypertexte"/>
                <w:rtl/>
              </w:rPr>
              <w:t xml:space="preserve"> (6-1):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هيكلي</w:t>
            </w:r>
            <w:r w:rsidR="00E12AF7" w:rsidRPr="008D22A6">
              <w:rPr>
                <w:rStyle w:val="Lienhypertexte"/>
                <w:rtl/>
              </w:rPr>
              <w:t xml:space="preserve"> </w:t>
            </w:r>
            <w:r w:rsidR="00E12AF7" w:rsidRPr="008D22A6">
              <w:rPr>
                <w:rStyle w:val="Lienhypertexte"/>
                <w:rFonts w:hint="eastAsia"/>
                <w:rtl/>
              </w:rPr>
              <w:t>لعناصر</w:t>
            </w:r>
            <w:r w:rsidR="00E12AF7" w:rsidRPr="008D22A6">
              <w:rPr>
                <w:rStyle w:val="Lienhypertexte"/>
                <w:rtl/>
              </w:rPr>
              <w:t xml:space="preserve"> </w:t>
            </w:r>
            <w:r w:rsidR="00E12AF7" w:rsidRPr="008D22A6">
              <w:rPr>
                <w:rStyle w:val="Lienhypertexte"/>
                <w:rFonts w:hint="eastAsia"/>
                <w:rtl/>
              </w:rPr>
              <w:t>البيئة</w:t>
            </w:r>
            <w:r w:rsidR="00E12AF7" w:rsidRPr="008D22A6">
              <w:rPr>
                <w:rStyle w:val="Lienhypertexte"/>
                <w:rtl/>
              </w:rPr>
              <w:t xml:space="preserve"> </w:t>
            </w:r>
            <w:r w:rsidR="00E12AF7" w:rsidRPr="008D22A6">
              <w:rPr>
                <w:rStyle w:val="Lienhypertexte"/>
                <w:rFonts w:hint="eastAsia"/>
                <w:rtl/>
              </w:rPr>
              <w:t>الحضرية</w:t>
            </w:r>
            <w:r w:rsidR="00172786" w:rsidRPr="00172786">
              <w:rPr>
                <w:rStyle w:val="Lienhypertexte"/>
                <w:rtl/>
              </w:rPr>
              <w:t>……………………………………</w:t>
            </w:r>
            <w:r w:rsidR="00172786">
              <w:rPr>
                <w:rStyle w:val="Lienhypertexte"/>
                <w:rFonts w:hint="cs"/>
                <w:rtl/>
              </w:rPr>
              <w:t>.</w:t>
            </w:r>
            <w:r w:rsidR="00172786" w:rsidRPr="00172786">
              <w:rPr>
                <w:rStyle w:val="Lienhypertexte"/>
                <w:rFonts w:hint="cs"/>
                <w:rtl/>
              </w:rPr>
              <w:t>.......................</w:t>
            </w:r>
            <w:r w:rsidR="00172786" w:rsidRPr="00172786">
              <w:rPr>
                <w:rStyle w:val="Lienhypertexte"/>
                <w:rtl/>
              </w:rPr>
              <w:t>…</w:t>
            </w:r>
            <w:r w:rsidR="00E12AF7">
              <w:rPr>
                <w:webHidden/>
              </w:rPr>
              <w:tab/>
            </w:r>
            <w:r w:rsidR="00E12AF7">
              <w:rPr>
                <w:webHidden/>
              </w:rPr>
              <w:fldChar w:fldCharType="begin"/>
            </w:r>
            <w:r w:rsidR="00E12AF7">
              <w:rPr>
                <w:webHidden/>
              </w:rPr>
              <w:instrText xml:space="preserve"> PAGEREF _Toc171803766 \h </w:instrText>
            </w:r>
            <w:r w:rsidR="00E12AF7">
              <w:rPr>
                <w:webHidden/>
              </w:rPr>
            </w:r>
            <w:r w:rsidR="00E12AF7">
              <w:rPr>
                <w:webHidden/>
              </w:rPr>
              <w:fldChar w:fldCharType="separate"/>
            </w:r>
            <w:r>
              <w:rPr>
                <w:webHidden/>
                <w:rtl/>
                <w:lang w:bidi="ar-SA"/>
              </w:rPr>
              <w:t>183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69" w:history="1">
            <w:r w:rsidR="00E12AF7" w:rsidRPr="008D22A6">
              <w:rPr>
                <w:rStyle w:val="Lienhypertexte"/>
                <w:rFonts w:hint="eastAsia"/>
                <w:rtl/>
              </w:rPr>
              <w:t>الشكل</w:t>
            </w:r>
            <w:r w:rsidR="00E12AF7" w:rsidRPr="008D22A6">
              <w:rPr>
                <w:rStyle w:val="Lienhypertexte"/>
                <w:rtl/>
              </w:rPr>
              <w:t xml:space="preserve"> (6-2): </w:t>
            </w:r>
            <w:r w:rsidR="00E12AF7" w:rsidRPr="008D22A6">
              <w:rPr>
                <w:rStyle w:val="Lienhypertexte"/>
                <w:rFonts w:hint="eastAsia"/>
                <w:rtl/>
              </w:rPr>
              <w:t>اطار</w:t>
            </w:r>
            <w:r w:rsidR="00E12AF7" w:rsidRPr="008D22A6">
              <w:rPr>
                <w:rStyle w:val="Lienhypertexte"/>
                <w:rtl/>
              </w:rPr>
              <w:t xml:space="preserve"> </w:t>
            </w:r>
            <w:r w:rsidR="00E12AF7" w:rsidRPr="008D22A6">
              <w:rPr>
                <w:rStyle w:val="Lienhypertexte"/>
                <w:rFonts w:hint="eastAsia"/>
                <w:rtl/>
              </w:rPr>
              <w:t>مفاهيمي</w:t>
            </w:r>
            <w:r w:rsidR="00E12AF7" w:rsidRPr="008D22A6">
              <w:rPr>
                <w:rStyle w:val="Lienhypertexte"/>
                <w:rtl/>
              </w:rPr>
              <w:t xml:space="preserve"> </w:t>
            </w:r>
            <w:r w:rsidR="00E12AF7" w:rsidRPr="008D22A6">
              <w:rPr>
                <w:rStyle w:val="Lienhypertexte"/>
                <w:rFonts w:hint="eastAsia"/>
                <w:rtl/>
              </w:rPr>
              <w:t>لتحليل</w:t>
            </w:r>
            <w:r w:rsidR="00E12AF7" w:rsidRPr="008D22A6">
              <w:rPr>
                <w:rStyle w:val="Lienhypertexte"/>
                <w:rtl/>
              </w:rPr>
              <w:t xml:space="preserve"> </w:t>
            </w:r>
            <w:r w:rsidR="00E12AF7" w:rsidRPr="008D22A6">
              <w:rPr>
                <w:rStyle w:val="Lienhypertexte"/>
                <w:rFonts w:hint="eastAsia"/>
                <w:rtl/>
              </w:rPr>
              <w:t>مرونة</w:t>
            </w:r>
            <w:r w:rsidR="00E12AF7" w:rsidRPr="008D22A6">
              <w:rPr>
                <w:rStyle w:val="Lienhypertexte"/>
                <w:rtl/>
              </w:rPr>
              <w:t xml:space="preserve"> </w:t>
            </w:r>
            <w:r w:rsidR="00E12AF7" w:rsidRPr="008D22A6">
              <w:rPr>
                <w:rStyle w:val="Lienhypertexte"/>
                <w:rFonts w:hint="eastAsia"/>
                <w:rtl/>
              </w:rPr>
              <w:t>النظم</w:t>
            </w:r>
            <w:r w:rsidR="00E12AF7" w:rsidRPr="008D22A6">
              <w:rPr>
                <w:rStyle w:val="Lienhypertexte"/>
                <w:rtl/>
              </w:rPr>
              <w:t xml:space="preserve"> </w:t>
            </w:r>
            <w:r w:rsidR="00E12AF7" w:rsidRPr="008D22A6">
              <w:rPr>
                <w:rStyle w:val="Lienhypertexte"/>
                <w:rFonts w:hint="eastAsia"/>
                <w:rtl/>
              </w:rPr>
              <w:t>الحضرية</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_Toc171803769 \h </w:instrText>
            </w:r>
            <w:r w:rsidR="00E12AF7">
              <w:rPr>
                <w:webHidden/>
              </w:rPr>
            </w:r>
            <w:r w:rsidR="00E12AF7">
              <w:rPr>
                <w:webHidden/>
              </w:rPr>
              <w:fldChar w:fldCharType="separate"/>
            </w:r>
            <w:r>
              <w:rPr>
                <w:webHidden/>
                <w:rtl/>
                <w:lang w:bidi="ar-SA"/>
              </w:rPr>
              <w:t>184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71" w:history="1">
            <w:r w:rsidR="00E12AF7" w:rsidRPr="008D22A6">
              <w:rPr>
                <w:rStyle w:val="Lienhypertexte"/>
                <w:rFonts w:hint="eastAsia"/>
                <w:rtl/>
              </w:rPr>
              <w:t>الشكل</w:t>
            </w:r>
            <w:r w:rsidR="00E12AF7" w:rsidRPr="008D22A6">
              <w:rPr>
                <w:rStyle w:val="Lienhypertexte"/>
                <w:rtl/>
              </w:rPr>
              <w:t xml:space="preserve"> (6-3): </w:t>
            </w:r>
            <w:r w:rsidR="00E12AF7" w:rsidRPr="008D22A6">
              <w:rPr>
                <w:rStyle w:val="Lienhypertexte"/>
                <w:rFonts w:hint="eastAsia"/>
                <w:rtl/>
              </w:rPr>
              <w:t>توضيح</w:t>
            </w:r>
            <w:r w:rsidR="00E12AF7" w:rsidRPr="008D22A6">
              <w:rPr>
                <w:rStyle w:val="Lienhypertexte"/>
                <w:rtl/>
              </w:rPr>
              <w:t xml:space="preserve"> </w:t>
            </w:r>
            <w:r w:rsidR="00E12AF7" w:rsidRPr="008D22A6">
              <w:rPr>
                <w:rStyle w:val="Lienhypertexte"/>
                <w:rFonts w:hint="eastAsia"/>
                <w:rtl/>
              </w:rPr>
              <w:t>السمات</w:t>
            </w:r>
            <w:r w:rsidR="00E12AF7" w:rsidRPr="008D22A6">
              <w:rPr>
                <w:rStyle w:val="Lienhypertexte"/>
                <w:rtl/>
              </w:rPr>
              <w:t xml:space="preserve"> </w:t>
            </w:r>
            <w:r w:rsidR="00E12AF7" w:rsidRPr="008D22A6">
              <w:rPr>
                <w:rStyle w:val="Lienhypertexte"/>
                <w:rFonts w:hint="eastAsia"/>
                <w:rtl/>
              </w:rPr>
              <w:t>الاربعة</w:t>
            </w:r>
            <w:r w:rsidR="00E12AF7" w:rsidRPr="008D22A6">
              <w:rPr>
                <w:rStyle w:val="Lienhypertexte"/>
                <w:rtl/>
              </w:rPr>
              <w:t xml:space="preserve"> </w:t>
            </w:r>
            <w:r w:rsidR="00E12AF7" w:rsidRPr="008D22A6">
              <w:rPr>
                <w:rStyle w:val="Lienhypertexte"/>
                <w:rFonts w:hint="eastAsia"/>
                <w:rtl/>
              </w:rPr>
              <w:t>للمرونة</w:t>
            </w:r>
            <w:r w:rsidR="00E12AF7" w:rsidRPr="008D22A6">
              <w:rPr>
                <w:rStyle w:val="Lienhypertexte"/>
                <w:rtl/>
              </w:rPr>
              <w:t xml:space="preserve"> </w:t>
            </w:r>
            <w:r w:rsidR="00E12AF7" w:rsidRPr="008D22A6">
              <w:rPr>
                <w:rStyle w:val="Lienhypertexte"/>
                <w:rFonts w:hint="eastAsia"/>
                <w:rtl/>
              </w:rPr>
              <w:t>المكانية</w:t>
            </w:r>
            <w:r w:rsidR="00172786" w:rsidRPr="00172786">
              <w:rPr>
                <w:rStyle w:val="Lienhypertexte"/>
                <w:rtl/>
              </w:rPr>
              <w:t>……………………………………</w:t>
            </w:r>
            <w:r w:rsidR="00172786" w:rsidRPr="00172786">
              <w:rPr>
                <w:rStyle w:val="Lienhypertexte"/>
                <w:rFonts w:hint="cs"/>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_Toc171803771 \h </w:instrText>
            </w:r>
            <w:r w:rsidR="00E12AF7">
              <w:rPr>
                <w:webHidden/>
              </w:rPr>
            </w:r>
            <w:r w:rsidR="00E12AF7">
              <w:rPr>
                <w:webHidden/>
              </w:rPr>
              <w:fldChar w:fldCharType="separate"/>
            </w:r>
            <w:r>
              <w:rPr>
                <w:webHidden/>
                <w:rtl/>
                <w:lang w:bidi="ar-SA"/>
              </w:rPr>
              <w:t>186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76" w:history="1">
            <w:r w:rsidR="00E12AF7" w:rsidRPr="008D22A6">
              <w:rPr>
                <w:rStyle w:val="Lienhypertexte"/>
                <w:rFonts w:hint="eastAsia"/>
                <w:rtl/>
              </w:rPr>
              <w:t>الشكل</w:t>
            </w:r>
            <w:r w:rsidR="00E12AF7" w:rsidRPr="008D22A6">
              <w:rPr>
                <w:rStyle w:val="Lienhypertexte"/>
                <w:rtl/>
              </w:rPr>
              <w:t xml:space="preserve"> (6-</w:t>
            </w:r>
            <w:r w:rsidR="00E12AF7" w:rsidRPr="008D22A6">
              <w:rPr>
                <w:rStyle w:val="Lienhypertexte"/>
              </w:rPr>
              <w:t>4</w:t>
            </w:r>
            <w:r w:rsidR="00E12AF7" w:rsidRPr="008D22A6">
              <w:rPr>
                <w:rStyle w:val="Lienhypertexte"/>
                <w:rtl/>
              </w:rPr>
              <w:t xml:space="preserve">):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قياس</w:t>
            </w:r>
            <w:r w:rsidR="00E12AF7" w:rsidRPr="008D22A6">
              <w:rPr>
                <w:rStyle w:val="Lienhypertexte"/>
                <w:rtl/>
              </w:rPr>
              <w:t xml:space="preserve"> </w:t>
            </w:r>
            <w:r w:rsidR="00E12AF7" w:rsidRPr="008D22A6">
              <w:rPr>
                <w:rStyle w:val="Lienhypertexte"/>
                <w:rFonts w:hint="eastAsia"/>
                <w:rtl/>
              </w:rPr>
              <w:t>القدرة</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التكيف</w:t>
            </w:r>
            <w:r w:rsidR="00E12AF7" w:rsidRPr="008D22A6">
              <w:rPr>
                <w:rStyle w:val="Lienhypertexte"/>
                <w:rtl/>
              </w:rPr>
              <w:t xml:space="preserve"> </w:t>
            </w:r>
            <w:r w:rsidR="00E12AF7" w:rsidRPr="008D22A6">
              <w:rPr>
                <w:rStyle w:val="Lienhypertexte"/>
                <w:rFonts w:hint="eastAsia"/>
                <w:rtl/>
              </w:rPr>
              <w:t>المكاني</w:t>
            </w:r>
            <w:r w:rsidR="00172786" w:rsidRPr="00172786">
              <w:rPr>
                <w:rStyle w:val="Lienhypertexte"/>
                <w:rtl/>
              </w:rPr>
              <w:t>……………………………………</w:t>
            </w:r>
            <w:r w:rsidR="00172786" w:rsidRPr="00172786">
              <w:rPr>
                <w:rStyle w:val="Lienhypertexte"/>
                <w:rFonts w:hint="cs"/>
                <w:rtl/>
              </w:rPr>
              <w:t>...</w:t>
            </w:r>
            <w:r w:rsidR="00172786" w:rsidRPr="00172786">
              <w:rPr>
                <w:rStyle w:val="Lienhypertexte"/>
                <w:rtl/>
              </w:rPr>
              <w:t>…………………...</w:t>
            </w:r>
            <w:r w:rsidR="00E12AF7">
              <w:rPr>
                <w:webHidden/>
              </w:rPr>
              <w:tab/>
            </w:r>
            <w:r w:rsidR="00E12AF7">
              <w:rPr>
                <w:webHidden/>
              </w:rPr>
              <w:fldChar w:fldCharType="begin"/>
            </w:r>
            <w:r w:rsidR="00E12AF7">
              <w:rPr>
                <w:webHidden/>
              </w:rPr>
              <w:instrText xml:space="preserve"> PAGEREF _Toc171803776 \h </w:instrText>
            </w:r>
            <w:r w:rsidR="00E12AF7">
              <w:rPr>
                <w:webHidden/>
              </w:rPr>
            </w:r>
            <w:r w:rsidR="00E12AF7">
              <w:rPr>
                <w:webHidden/>
              </w:rPr>
              <w:fldChar w:fldCharType="separate"/>
            </w:r>
            <w:r>
              <w:rPr>
                <w:webHidden/>
                <w:rtl/>
                <w:lang w:bidi="ar-SA"/>
              </w:rPr>
              <w:t>187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80" w:history="1">
            <w:r w:rsidR="00E12AF7" w:rsidRPr="008D22A6">
              <w:rPr>
                <w:rStyle w:val="Lienhypertexte"/>
                <w:rFonts w:hint="eastAsia"/>
                <w:rtl/>
              </w:rPr>
              <w:t>الشكل</w:t>
            </w:r>
            <w:r w:rsidR="00E12AF7" w:rsidRPr="008D22A6">
              <w:rPr>
                <w:rStyle w:val="Lienhypertexte"/>
                <w:rtl/>
              </w:rPr>
              <w:t xml:space="preserve"> (6-5): </w:t>
            </w:r>
            <w:r w:rsidR="00E12AF7" w:rsidRPr="008D22A6">
              <w:rPr>
                <w:rStyle w:val="Lienhypertexte"/>
                <w:rFonts w:hint="eastAsia"/>
                <w:rtl/>
              </w:rPr>
              <w:t>تباين</w:t>
            </w:r>
            <w:r w:rsidR="00E12AF7" w:rsidRPr="008D22A6">
              <w:rPr>
                <w:rStyle w:val="Lienhypertexte"/>
                <w:rtl/>
              </w:rPr>
              <w:t xml:space="preserve"> </w:t>
            </w:r>
            <w:r w:rsidR="00E12AF7" w:rsidRPr="008D22A6">
              <w:rPr>
                <w:rStyle w:val="Lienhypertexte"/>
                <w:rFonts w:hint="eastAsia"/>
                <w:rtl/>
              </w:rPr>
              <w:t>مستويات</w:t>
            </w:r>
            <w:r w:rsidR="00E12AF7" w:rsidRPr="008D22A6">
              <w:rPr>
                <w:rStyle w:val="Lienhypertexte"/>
                <w:rtl/>
              </w:rPr>
              <w:t xml:space="preserve"> </w:t>
            </w:r>
            <w:r w:rsidR="00E12AF7" w:rsidRPr="008D22A6">
              <w:rPr>
                <w:rStyle w:val="Lienhypertexte"/>
                <w:rFonts w:hint="eastAsia"/>
                <w:rtl/>
              </w:rPr>
              <w:t>كثافة</w:t>
            </w:r>
            <w:r w:rsidR="00E12AF7" w:rsidRPr="008D22A6">
              <w:rPr>
                <w:rStyle w:val="Lienhypertexte"/>
                <w:rtl/>
              </w:rPr>
              <w:t xml:space="preserve"> </w:t>
            </w:r>
            <w:r w:rsidR="00E12AF7" w:rsidRPr="008D22A6">
              <w:rPr>
                <w:rStyle w:val="Lienhypertexte"/>
                <w:rFonts w:hint="eastAsia"/>
                <w:rtl/>
              </w:rPr>
              <w:t>البناء</w:t>
            </w:r>
            <w:r w:rsidR="00E12AF7" w:rsidRPr="008D22A6">
              <w:rPr>
                <w:rStyle w:val="Lienhypertexte"/>
                <w:rtl/>
              </w:rPr>
              <w:t xml:space="preserve"> </w:t>
            </w:r>
            <w:r w:rsidR="00E12AF7" w:rsidRPr="008D22A6">
              <w:rPr>
                <w:rStyle w:val="Lienhypertexte"/>
                <w:rFonts w:hint="eastAsia"/>
                <w:rtl/>
              </w:rPr>
              <w:t>ومستويات</w:t>
            </w:r>
            <w:r w:rsidR="00E12AF7" w:rsidRPr="008D22A6">
              <w:rPr>
                <w:rStyle w:val="Lienhypertexte"/>
                <w:rtl/>
              </w:rPr>
              <w:t xml:space="preserve"> </w:t>
            </w:r>
            <w:r w:rsidR="00E12AF7" w:rsidRPr="008D22A6">
              <w:rPr>
                <w:rStyle w:val="Lienhypertexte"/>
                <w:rFonts w:hint="eastAsia"/>
                <w:rtl/>
              </w:rPr>
              <w:t>المرونة</w:t>
            </w:r>
            <w:r w:rsidR="00172786" w:rsidRPr="00172786">
              <w:rPr>
                <w:rStyle w:val="Lienhypertexte"/>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_Toc171803780 \h </w:instrText>
            </w:r>
            <w:r w:rsidR="00E12AF7">
              <w:rPr>
                <w:webHidden/>
              </w:rPr>
            </w:r>
            <w:r w:rsidR="00E12AF7">
              <w:rPr>
                <w:webHidden/>
              </w:rPr>
              <w:fldChar w:fldCharType="separate"/>
            </w:r>
            <w:r>
              <w:rPr>
                <w:webHidden/>
                <w:rtl/>
                <w:lang w:bidi="ar-SA"/>
              </w:rPr>
              <w:t>188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81" w:history="1">
            <w:r w:rsidR="00E12AF7" w:rsidRPr="008D22A6">
              <w:rPr>
                <w:rStyle w:val="Lienhypertexte"/>
                <w:rFonts w:hint="eastAsia"/>
                <w:rtl/>
              </w:rPr>
              <w:t>الشكل</w:t>
            </w:r>
            <w:r w:rsidR="00E12AF7" w:rsidRPr="008D22A6">
              <w:rPr>
                <w:rStyle w:val="Lienhypertexte"/>
                <w:rtl/>
              </w:rPr>
              <w:t xml:space="preserve"> (6-</w:t>
            </w:r>
            <w:r w:rsidR="00E12AF7" w:rsidRPr="008D22A6">
              <w:rPr>
                <w:rStyle w:val="Lienhypertexte"/>
              </w:rPr>
              <w:t>6</w:t>
            </w:r>
            <w:r w:rsidR="00E12AF7" w:rsidRPr="008D22A6">
              <w:rPr>
                <w:rStyle w:val="Lienhypertexte"/>
                <w:rtl/>
              </w:rPr>
              <w:t xml:space="preserve">): </w:t>
            </w:r>
            <w:r w:rsidR="00E12AF7" w:rsidRPr="008D22A6">
              <w:rPr>
                <w:rStyle w:val="Lienhypertexte"/>
                <w:rFonts w:hint="eastAsia"/>
                <w:rtl/>
              </w:rPr>
              <w:t>الفرق</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المباني</w:t>
            </w:r>
            <w:r w:rsidR="00E12AF7" w:rsidRPr="008D22A6">
              <w:rPr>
                <w:rStyle w:val="Lienhypertexte"/>
                <w:rtl/>
              </w:rPr>
              <w:t xml:space="preserve"> </w:t>
            </w:r>
            <w:r w:rsidR="00E12AF7" w:rsidRPr="008D22A6">
              <w:rPr>
                <w:rStyle w:val="Lienhypertexte"/>
                <w:rFonts w:hint="eastAsia"/>
                <w:rtl/>
              </w:rPr>
              <w:t>التي</w:t>
            </w:r>
            <w:r w:rsidR="00E12AF7" w:rsidRPr="008D22A6">
              <w:rPr>
                <w:rStyle w:val="Lienhypertexte"/>
                <w:rtl/>
              </w:rPr>
              <w:t xml:space="preserve"> </w:t>
            </w:r>
            <w:r w:rsidR="00E12AF7" w:rsidRPr="008D22A6">
              <w:rPr>
                <w:rStyle w:val="Lienhypertexte"/>
                <w:rFonts w:hint="eastAsia"/>
                <w:rtl/>
              </w:rPr>
              <w:t>يمكن</w:t>
            </w:r>
            <w:r w:rsidR="00E12AF7" w:rsidRPr="008D22A6">
              <w:rPr>
                <w:rStyle w:val="Lienhypertexte"/>
                <w:rtl/>
              </w:rPr>
              <w:t xml:space="preserve"> </w:t>
            </w:r>
            <w:r w:rsidR="00E12AF7" w:rsidRPr="008D22A6">
              <w:rPr>
                <w:rStyle w:val="Lienhypertexte"/>
                <w:rFonts w:hint="eastAsia"/>
                <w:rtl/>
              </w:rPr>
              <w:t>الوصول</w:t>
            </w:r>
            <w:r w:rsidR="00E12AF7" w:rsidRPr="008D22A6">
              <w:rPr>
                <w:rStyle w:val="Lienhypertexte"/>
                <w:rtl/>
              </w:rPr>
              <w:t xml:space="preserve"> </w:t>
            </w:r>
            <w:r w:rsidR="00E12AF7" w:rsidRPr="008D22A6">
              <w:rPr>
                <w:rStyle w:val="Lienhypertexte"/>
                <w:rFonts w:hint="eastAsia"/>
                <w:rtl/>
              </w:rPr>
              <w:t>إليها</w:t>
            </w:r>
            <w:r w:rsidR="00E12AF7" w:rsidRPr="008D22A6">
              <w:rPr>
                <w:rStyle w:val="Lienhypertexte"/>
                <w:rtl/>
              </w:rPr>
              <w:t xml:space="preserve"> </w:t>
            </w:r>
            <w:r w:rsidR="00E12AF7" w:rsidRPr="008D22A6">
              <w:rPr>
                <w:rStyle w:val="Lienhypertexte"/>
                <w:rFonts w:hint="eastAsia"/>
                <w:rtl/>
              </w:rPr>
              <w:t>عند</w:t>
            </w:r>
            <w:r w:rsidR="00E12AF7" w:rsidRPr="008D22A6">
              <w:rPr>
                <w:rStyle w:val="Lienhypertexte"/>
                <w:rtl/>
              </w:rPr>
              <w:t xml:space="preserve"> </w:t>
            </w:r>
            <w:r w:rsidR="00E12AF7" w:rsidRPr="008D22A6">
              <w:rPr>
                <w:rStyle w:val="Lienhypertexte"/>
                <w:rFonts w:hint="eastAsia"/>
                <w:rtl/>
              </w:rPr>
              <w:t>حسابها</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مسافة</w:t>
            </w:r>
            <w:r w:rsidR="00E12AF7" w:rsidRPr="008D22A6">
              <w:rPr>
                <w:rStyle w:val="Lienhypertexte"/>
                <w:rtl/>
              </w:rPr>
              <w:t xml:space="preserve"> </w:t>
            </w:r>
            <w:r w:rsidR="00E12AF7" w:rsidRPr="008D22A6">
              <w:rPr>
                <w:rStyle w:val="Lienhypertexte"/>
                <w:rFonts w:hint="eastAsia"/>
                <w:rtl/>
              </w:rPr>
              <w:t>شبكة</w:t>
            </w:r>
            <w:r w:rsidR="00E12AF7" w:rsidRPr="008D22A6">
              <w:rPr>
                <w:rStyle w:val="Lienhypertexte"/>
                <w:rtl/>
              </w:rPr>
              <w:t xml:space="preserve"> </w:t>
            </w:r>
            <w:r w:rsidR="00E12AF7" w:rsidRPr="008D22A6">
              <w:rPr>
                <w:rStyle w:val="Lienhypertexte"/>
                <w:rFonts w:hint="eastAsia"/>
                <w:rtl/>
              </w:rPr>
              <w:t>الشوارع</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اليمين</w:t>
            </w:r>
            <w:r w:rsidR="00E12AF7" w:rsidRPr="008D22A6">
              <w:rPr>
                <w:rStyle w:val="Lienhypertexte"/>
                <w:rtl/>
              </w:rPr>
              <w:t xml:space="preserve">) </w:t>
            </w:r>
            <w:r w:rsidR="00E12AF7" w:rsidRPr="008D22A6">
              <w:rPr>
                <w:rStyle w:val="Lienhypertexte"/>
                <w:rFonts w:hint="eastAsia"/>
                <w:rtl/>
              </w:rPr>
              <w:t>والمباني</w:t>
            </w:r>
            <w:r w:rsidR="00E12AF7" w:rsidRPr="008D22A6">
              <w:rPr>
                <w:rStyle w:val="Lienhypertexte"/>
                <w:rtl/>
              </w:rPr>
              <w:t xml:space="preserve"> </w:t>
            </w:r>
            <w:r w:rsidR="00E12AF7" w:rsidRPr="008D22A6">
              <w:rPr>
                <w:rStyle w:val="Lienhypertexte"/>
                <w:rFonts w:hint="eastAsia"/>
                <w:rtl/>
              </w:rPr>
              <w:t>التي</w:t>
            </w:r>
            <w:r w:rsidR="00E12AF7" w:rsidRPr="008D22A6">
              <w:rPr>
                <w:rStyle w:val="Lienhypertexte"/>
                <w:rtl/>
              </w:rPr>
              <w:t xml:space="preserve"> </w:t>
            </w:r>
            <w:r w:rsidR="00E12AF7" w:rsidRPr="008D22A6">
              <w:rPr>
                <w:rStyle w:val="Lienhypertexte"/>
                <w:rFonts w:hint="eastAsia"/>
                <w:rtl/>
              </w:rPr>
              <w:t>يمكن</w:t>
            </w:r>
            <w:r w:rsidR="00E12AF7" w:rsidRPr="008D22A6">
              <w:rPr>
                <w:rStyle w:val="Lienhypertexte"/>
                <w:rtl/>
              </w:rPr>
              <w:t xml:space="preserve"> </w:t>
            </w:r>
            <w:r w:rsidR="00E12AF7" w:rsidRPr="008D22A6">
              <w:rPr>
                <w:rStyle w:val="Lienhypertexte"/>
                <w:rFonts w:hint="eastAsia"/>
                <w:rtl/>
              </w:rPr>
              <w:t>الوصول</w:t>
            </w:r>
            <w:r w:rsidR="00E12AF7" w:rsidRPr="008D22A6">
              <w:rPr>
                <w:rStyle w:val="Lienhypertexte"/>
                <w:rtl/>
              </w:rPr>
              <w:t xml:space="preserve"> </w:t>
            </w:r>
            <w:r w:rsidR="00E12AF7" w:rsidRPr="008D22A6">
              <w:rPr>
                <w:rStyle w:val="Lienhypertexte"/>
                <w:rFonts w:hint="eastAsia"/>
                <w:rtl/>
              </w:rPr>
              <w:t>إليها</w:t>
            </w:r>
            <w:r w:rsidR="00E12AF7" w:rsidRPr="008D22A6">
              <w:rPr>
                <w:rStyle w:val="Lienhypertexte"/>
                <w:rtl/>
              </w:rPr>
              <w:t xml:space="preserve"> </w:t>
            </w:r>
            <w:r w:rsidR="00E12AF7" w:rsidRPr="008D22A6">
              <w:rPr>
                <w:rStyle w:val="Lienhypertexte"/>
                <w:rFonts w:hint="eastAsia"/>
                <w:rtl/>
              </w:rPr>
              <w:t>عند</w:t>
            </w:r>
            <w:r w:rsidR="00E12AF7" w:rsidRPr="008D22A6">
              <w:rPr>
                <w:rStyle w:val="Lienhypertexte"/>
                <w:rtl/>
              </w:rPr>
              <w:t xml:space="preserve"> </w:t>
            </w:r>
            <w:r w:rsidR="00E12AF7" w:rsidRPr="008D22A6">
              <w:rPr>
                <w:rStyle w:val="Lienhypertexte"/>
                <w:rFonts w:hint="eastAsia"/>
                <w:rtl/>
              </w:rPr>
              <w:t>حسابها</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نصف</w:t>
            </w:r>
            <w:r w:rsidR="00E12AF7" w:rsidRPr="008D22A6">
              <w:rPr>
                <w:rStyle w:val="Lienhypertexte"/>
                <w:rtl/>
              </w:rPr>
              <w:t xml:space="preserve"> </w:t>
            </w:r>
            <w:r w:rsidR="00E12AF7" w:rsidRPr="008D22A6">
              <w:rPr>
                <w:rStyle w:val="Lienhypertexte"/>
                <w:rFonts w:hint="eastAsia"/>
                <w:rtl/>
              </w:rPr>
              <w:t>قطر</w:t>
            </w:r>
            <w:r w:rsidR="00E12AF7" w:rsidRPr="008D22A6">
              <w:rPr>
                <w:rStyle w:val="Lienhypertexte"/>
                <w:rtl/>
              </w:rPr>
              <w:t xml:space="preserve"> </w:t>
            </w:r>
            <w:r w:rsidR="00E12AF7" w:rsidRPr="008D22A6">
              <w:rPr>
                <w:rStyle w:val="Lienhypertexte"/>
                <w:rFonts w:hint="eastAsia"/>
                <w:rtl/>
              </w:rPr>
              <w:t>المسافة</w:t>
            </w:r>
            <w:r w:rsidR="00E12AF7" w:rsidRPr="008D22A6">
              <w:rPr>
                <w:rStyle w:val="Lienhypertexte"/>
                <w:rtl/>
              </w:rPr>
              <w:t xml:space="preserve"> </w:t>
            </w:r>
            <w:r w:rsidR="00E12AF7" w:rsidRPr="008D22A6">
              <w:rPr>
                <w:rStyle w:val="Lienhypertexte"/>
                <w:rFonts w:hint="eastAsia"/>
                <w:rtl/>
              </w:rPr>
              <w:t>الإقليدية</w:t>
            </w:r>
            <w:r w:rsidR="00E12AF7" w:rsidRPr="008D22A6">
              <w:rPr>
                <w:rStyle w:val="Lienhypertexte"/>
                <w:rtl/>
              </w:rPr>
              <w:t xml:space="preserve"> (</w:t>
            </w:r>
            <w:r w:rsidR="00E12AF7" w:rsidRPr="008D22A6">
              <w:rPr>
                <w:rStyle w:val="Lienhypertexte"/>
                <w:rFonts w:hint="eastAsia"/>
                <w:rtl/>
              </w:rPr>
              <w:t>على</w:t>
            </w:r>
            <w:r w:rsidR="00E12AF7" w:rsidRPr="008D22A6">
              <w:rPr>
                <w:rStyle w:val="Lienhypertexte"/>
                <w:rtl/>
              </w:rPr>
              <w:t xml:space="preserve"> </w:t>
            </w:r>
            <w:r w:rsidR="00E12AF7" w:rsidRPr="008D22A6">
              <w:rPr>
                <w:rStyle w:val="Lienhypertexte"/>
                <w:rFonts w:hint="eastAsia"/>
                <w:rtl/>
              </w:rPr>
              <w:t>اليسار</w:t>
            </w:r>
            <w:r w:rsidR="00E12AF7" w:rsidRPr="008D22A6">
              <w:rPr>
                <w:rStyle w:val="Lienhypertexte"/>
                <w:rtl/>
              </w:rPr>
              <w:t>)</w:t>
            </w:r>
            <w:r w:rsidR="00172786" w:rsidRPr="00172786">
              <w:rPr>
                <w:rStyle w:val="Lienhypertexte"/>
                <w:rtl/>
              </w:rPr>
              <w:t>…………………………………</w:t>
            </w:r>
            <w:r w:rsidR="009E09C4">
              <w:rPr>
                <w:rStyle w:val="Lienhypertexte"/>
                <w:rFonts w:hint="cs"/>
                <w:rtl/>
              </w:rPr>
              <w:t>..</w:t>
            </w:r>
            <w:r w:rsidR="00172786">
              <w:rPr>
                <w:rStyle w:val="Lienhypertexte"/>
                <w:rFonts w:hint="cs"/>
                <w:rtl/>
              </w:rPr>
              <w:t>.</w:t>
            </w:r>
            <w:r w:rsidR="00E12AF7">
              <w:rPr>
                <w:webHidden/>
              </w:rPr>
              <w:tab/>
            </w:r>
            <w:r w:rsidR="00E12AF7">
              <w:rPr>
                <w:webHidden/>
              </w:rPr>
              <w:fldChar w:fldCharType="begin"/>
            </w:r>
            <w:r w:rsidR="00E12AF7">
              <w:rPr>
                <w:webHidden/>
              </w:rPr>
              <w:instrText xml:space="preserve"> PAGEREF _Toc171803781 \h </w:instrText>
            </w:r>
            <w:r w:rsidR="00E12AF7">
              <w:rPr>
                <w:webHidden/>
              </w:rPr>
            </w:r>
            <w:r w:rsidR="00E12AF7">
              <w:rPr>
                <w:webHidden/>
              </w:rPr>
              <w:fldChar w:fldCharType="separate"/>
            </w:r>
            <w:r>
              <w:rPr>
                <w:webHidden/>
                <w:rtl/>
                <w:lang w:bidi="ar-SA"/>
              </w:rPr>
              <w:t>188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84" w:history="1">
            <w:r w:rsidR="00E12AF7" w:rsidRPr="008D22A6">
              <w:rPr>
                <w:rStyle w:val="Lienhypertexte"/>
                <w:rFonts w:hint="eastAsia"/>
                <w:rtl/>
              </w:rPr>
              <w:t>الشكل</w:t>
            </w:r>
            <w:r w:rsidR="00E12AF7" w:rsidRPr="008D22A6">
              <w:rPr>
                <w:rStyle w:val="Lienhypertexte"/>
                <w:rtl/>
              </w:rPr>
              <w:t xml:space="preserve"> (6-7): </w:t>
            </w:r>
            <w:r w:rsidR="00E12AF7" w:rsidRPr="008D22A6">
              <w:rPr>
                <w:rStyle w:val="Lienhypertexte"/>
                <w:rFonts w:hint="eastAsia"/>
                <w:rtl/>
              </w:rPr>
              <w:t>مسافة</w:t>
            </w:r>
            <w:r w:rsidR="00E12AF7" w:rsidRPr="008D22A6">
              <w:rPr>
                <w:rStyle w:val="Lienhypertexte"/>
                <w:rtl/>
              </w:rPr>
              <w:t xml:space="preserve"> </w:t>
            </w:r>
            <w:r w:rsidR="00E12AF7" w:rsidRPr="008D22A6">
              <w:rPr>
                <w:rStyle w:val="Lienhypertexte"/>
                <w:rFonts w:hint="eastAsia"/>
                <w:rtl/>
              </w:rPr>
              <w:t>الطرق</w:t>
            </w:r>
            <w:r w:rsidR="00E12AF7" w:rsidRPr="008D22A6">
              <w:rPr>
                <w:rStyle w:val="Lienhypertexte"/>
                <w:rtl/>
              </w:rPr>
              <w:t xml:space="preserve"> </w:t>
            </w:r>
            <w:r w:rsidR="00E12AF7" w:rsidRPr="008D22A6">
              <w:rPr>
                <w:rStyle w:val="Lienhypertexte"/>
                <w:rFonts w:hint="eastAsia"/>
                <w:rtl/>
              </w:rPr>
              <w:t>الرئيسية</w:t>
            </w:r>
            <w:r w:rsidR="00E12AF7" w:rsidRPr="008D22A6">
              <w:rPr>
                <w:rStyle w:val="Lienhypertexte"/>
                <w:rtl/>
              </w:rPr>
              <w:t xml:space="preserve"> </w:t>
            </w:r>
            <w:r w:rsidR="00E12AF7" w:rsidRPr="008D22A6">
              <w:rPr>
                <w:rStyle w:val="Lienhypertexte"/>
                <w:rFonts w:hint="eastAsia"/>
                <w:rtl/>
              </w:rPr>
              <w:t>لأربع</w:t>
            </w:r>
            <w:r w:rsidR="00E12AF7" w:rsidRPr="008D22A6">
              <w:rPr>
                <w:rStyle w:val="Lienhypertexte"/>
                <w:rtl/>
              </w:rPr>
              <w:t xml:space="preserve"> </w:t>
            </w:r>
            <w:r w:rsidR="00E12AF7" w:rsidRPr="008D22A6">
              <w:rPr>
                <w:rStyle w:val="Lienhypertexte"/>
                <w:rFonts w:hint="eastAsia"/>
                <w:rtl/>
              </w:rPr>
              <w:t>مدن</w:t>
            </w:r>
            <w:r w:rsidR="00E12AF7" w:rsidRPr="008D22A6">
              <w:rPr>
                <w:rStyle w:val="Lienhypertexte"/>
                <w:rtl/>
              </w:rPr>
              <w:t xml:space="preserve"> </w:t>
            </w:r>
            <w:r w:rsidR="00E12AF7" w:rsidRPr="008D22A6">
              <w:rPr>
                <w:rStyle w:val="Lienhypertexte"/>
                <w:rFonts w:hint="eastAsia"/>
                <w:rtl/>
              </w:rPr>
              <w:t>مختلفة</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المدينة</w:t>
            </w:r>
            <w:r w:rsidR="00E12AF7" w:rsidRPr="008D22A6">
              <w:rPr>
                <w:rStyle w:val="Lienhypertexte"/>
                <w:rtl/>
              </w:rPr>
              <w:t xml:space="preserve"> </w:t>
            </w:r>
            <w:r w:rsidR="00E12AF7" w:rsidRPr="008D22A6">
              <w:rPr>
                <w:rStyle w:val="Lienhypertexte"/>
                <w:rFonts w:hint="eastAsia"/>
                <w:rtl/>
              </w:rPr>
              <w:t>التاريخية</w:t>
            </w:r>
            <w:r w:rsidR="00E12AF7" w:rsidRPr="008D22A6">
              <w:rPr>
                <w:rStyle w:val="Lienhypertexte"/>
                <w:rtl/>
              </w:rPr>
              <w:t xml:space="preserve"> (</w:t>
            </w:r>
            <w:r w:rsidR="00E12AF7" w:rsidRPr="008D22A6">
              <w:rPr>
                <w:rStyle w:val="Lienhypertexte"/>
                <w:rFonts w:hint="eastAsia"/>
                <w:rtl/>
              </w:rPr>
              <w:t>أعلى</w:t>
            </w:r>
            <w:r w:rsidR="00E12AF7" w:rsidRPr="008D22A6">
              <w:rPr>
                <w:rStyle w:val="Lienhypertexte"/>
                <w:rtl/>
              </w:rPr>
              <w:t xml:space="preserve"> </w:t>
            </w:r>
            <w:r w:rsidR="00E12AF7" w:rsidRPr="008D22A6">
              <w:rPr>
                <w:rStyle w:val="Lienhypertexte"/>
                <w:rFonts w:hint="eastAsia"/>
                <w:rtl/>
              </w:rPr>
              <w:t>اليسار</w:t>
            </w:r>
            <w:r w:rsidR="00E12AF7" w:rsidRPr="008D22A6">
              <w:rPr>
                <w:rStyle w:val="Lienhypertexte"/>
                <w:rtl/>
              </w:rPr>
              <w:t>)</w:t>
            </w:r>
            <w:r w:rsidR="00E12AF7" w:rsidRPr="008D22A6">
              <w:rPr>
                <w:rStyle w:val="Lienhypertexte"/>
                <w:rFonts w:hint="eastAsia"/>
                <w:rtl/>
              </w:rPr>
              <w:t>،</w:t>
            </w:r>
            <w:r w:rsidR="00E12AF7" w:rsidRPr="008D22A6">
              <w:rPr>
                <w:rStyle w:val="Lienhypertexte"/>
                <w:rtl/>
              </w:rPr>
              <w:t xml:space="preserve"> </w:t>
            </w:r>
            <w:r w:rsidR="00E12AF7" w:rsidRPr="008D22A6">
              <w:rPr>
                <w:rStyle w:val="Lienhypertexte"/>
                <w:rFonts w:hint="eastAsia"/>
                <w:rtl/>
              </w:rPr>
              <w:t>المدينة</w:t>
            </w:r>
            <w:r w:rsidR="00E12AF7" w:rsidRPr="008D22A6">
              <w:rPr>
                <w:rStyle w:val="Lienhypertexte"/>
                <w:rtl/>
              </w:rPr>
              <w:t xml:space="preserve"> </w:t>
            </w:r>
            <w:r w:rsidR="00E12AF7" w:rsidRPr="008D22A6">
              <w:rPr>
                <w:rStyle w:val="Lienhypertexte"/>
                <w:rFonts w:hint="eastAsia"/>
                <w:rtl/>
              </w:rPr>
              <w:t>غير</w:t>
            </w:r>
            <w:r w:rsidR="00E12AF7" w:rsidRPr="008D22A6">
              <w:rPr>
                <w:rStyle w:val="Lienhypertexte"/>
                <w:rtl/>
              </w:rPr>
              <w:t xml:space="preserve"> </w:t>
            </w:r>
            <w:r w:rsidR="00E12AF7" w:rsidRPr="008D22A6">
              <w:rPr>
                <w:rStyle w:val="Lienhypertexte"/>
                <w:rFonts w:hint="eastAsia"/>
                <w:rtl/>
              </w:rPr>
              <w:t>المخططة</w:t>
            </w:r>
            <w:r w:rsidR="00E12AF7" w:rsidRPr="008D22A6">
              <w:rPr>
                <w:rStyle w:val="Lienhypertexte"/>
                <w:rtl/>
              </w:rPr>
              <w:t xml:space="preserve"> (</w:t>
            </w:r>
            <w:r w:rsidR="00E12AF7" w:rsidRPr="008D22A6">
              <w:rPr>
                <w:rStyle w:val="Lienhypertexte"/>
                <w:rFonts w:hint="eastAsia"/>
                <w:rtl/>
              </w:rPr>
              <w:t>أعلى</w:t>
            </w:r>
            <w:r w:rsidR="00E12AF7" w:rsidRPr="008D22A6">
              <w:rPr>
                <w:rStyle w:val="Lienhypertexte"/>
                <w:rtl/>
              </w:rPr>
              <w:t xml:space="preserve"> </w:t>
            </w:r>
            <w:r w:rsidR="00E12AF7" w:rsidRPr="008D22A6">
              <w:rPr>
                <w:rStyle w:val="Lienhypertexte"/>
                <w:rFonts w:hint="eastAsia"/>
                <w:rtl/>
              </w:rPr>
              <w:t>اليمين</w:t>
            </w:r>
            <w:r w:rsidR="00E12AF7" w:rsidRPr="008D22A6">
              <w:rPr>
                <w:rStyle w:val="Lienhypertexte"/>
                <w:rtl/>
              </w:rPr>
              <w:t xml:space="preserve">) </w:t>
            </w:r>
            <w:r w:rsidR="00E12AF7" w:rsidRPr="008D22A6">
              <w:rPr>
                <w:rStyle w:val="Lienhypertexte"/>
                <w:rFonts w:hint="eastAsia"/>
                <w:rtl/>
              </w:rPr>
              <w:t>ومثالين</w:t>
            </w:r>
            <w:r w:rsidR="00E12AF7" w:rsidRPr="008D22A6">
              <w:rPr>
                <w:rStyle w:val="Lienhypertexte"/>
                <w:rtl/>
              </w:rPr>
              <w:t xml:space="preserve"> </w:t>
            </w:r>
            <w:r w:rsidR="00E12AF7" w:rsidRPr="008D22A6">
              <w:rPr>
                <w:rStyle w:val="Lienhypertexte"/>
                <w:rFonts w:hint="eastAsia"/>
                <w:rtl/>
              </w:rPr>
              <w:t>للمدن</w:t>
            </w:r>
            <w:r w:rsidR="00E12AF7" w:rsidRPr="008D22A6">
              <w:rPr>
                <w:rStyle w:val="Lienhypertexte"/>
                <w:rtl/>
              </w:rPr>
              <w:t xml:space="preserve"> </w:t>
            </w:r>
            <w:r w:rsidR="00E12AF7" w:rsidRPr="008D22A6">
              <w:rPr>
                <w:rStyle w:val="Lienhypertexte"/>
                <w:rFonts w:hint="eastAsia"/>
                <w:rtl/>
              </w:rPr>
              <w:t>المعاصرة</w:t>
            </w:r>
            <w:r w:rsidR="00E12AF7" w:rsidRPr="008D22A6">
              <w:rPr>
                <w:rStyle w:val="Lienhypertexte"/>
                <w:rtl/>
              </w:rPr>
              <w:t xml:space="preserve"> </w:t>
            </w:r>
            <w:r w:rsidR="00E12AF7" w:rsidRPr="008D22A6">
              <w:rPr>
                <w:rStyle w:val="Lienhypertexte"/>
                <w:rFonts w:hint="eastAsia"/>
                <w:rtl/>
              </w:rPr>
              <w:t>المخططة،</w:t>
            </w:r>
            <w:r w:rsidR="00E12AF7" w:rsidRPr="008D22A6">
              <w:rPr>
                <w:rStyle w:val="Lienhypertexte"/>
                <w:rtl/>
              </w:rPr>
              <w:t xml:space="preserve"> </w:t>
            </w:r>
            <w:r w:rsidR="00E12AF7" w:rsidRPr="008D22A6">
              <w:rPr>
                <w:rStyle w:val="Lienhypertexte"/>
                <w:rFonts w:hint="eastAsia"/>
                <w:rtl/>
              </w:rPr>
              <w:t>مدينة</w:t>
            </w:r>
            <w:r w:rsidR="00E12AF7" w:rsidRPr="008D22A6">
              <w:rPr>
                <w:rStyle w:val="Lienhypertexte"/>
                <w:rtl/>
              </w:rPr>
              <w:t xml:space="preserve"> </w:t>
            </w:r>
            <w:r w:rsidR="00E12AF7" w:rsidRPr="008D22A6">
              <w:rPr>
                <w:rStyle w:val="Lienhypertexte"/>
                <w:rFonts w:hint="eastAsia"/>
                <w:rtl/>
              </w:rPr>
              <w:t>الحدائق</w:t>
            </w:r>
            <w:r w:rsidR="00E12AF7" w:rsidRPr="008D22A6">
              <w:rPr>
                <w:rStyle w:val="Lienhypertexte"/>
                <w:rtl/>
              </w:rPr>
              <w:t xml:space="preserve"> ( </w:t>
            </w:r>
            <w:r w:rsidR="00E12AF7" w:rsidRPr="008D22A6">
              <w:rPr>
                <w:rStyle w:val="Lienhypertexte"/>
                <w:rFonts w:hint="eastAsia"/>
                <w:rtl/>
              </w:rPr>
              <w:t>أسفل</w:t>
            </w:r>
            <w:r w:rsidR="00E12AF7" w:rsidRPr="008D22A6">
              <w:rPr>
                <w:rStyle w:val="Lienhypertexte"/>
                <w:rtl/>
              </w:rPr>
              <w:t xml:space="preserve"> </w:t>
            </w:r>
            <w:r w:rsidR="00E12AF7" w:rsidRPr="008D22A6">
              <w:rPr>
                <w:rStyle w:val="Lienhypertexte"/>
                <w:rFonts w:hint="eastAsia"/>
                <w:rtl/>
              </w:rPr>
              <w:t>اليسار</w:t>
            </w:r>
            <w:r w:rsidR="00E12AF7" w:rsidRPr="008D22A6">
              <w:rPr>
                <w:rStyle w:val="Lienhypertexte"/>
                <w:rtl/>
              </w:rPr>
              <w:t xml:space="preserve">) </w:t>
            </w:r>
            <w:r w:rsidR="00E12AF7" w:rsidRPr="008D22A6">
              <w:rPr>
                <w:rStyle w:val="Lienhypertexte"/>
                <w:rFonts w:hint="eastAsia"/>
                <w:rtl/>
              </w:rPr>
              <w:t>والمدينة</w:t>
            </w:r>
            <w:r w:rsidR="00E12AF7" w:rsidRPr="008D22A6">
              <w:rPr>
                <w:rStyle w:val="Lienhypertexte"/>
                <w:rtl/>
              </w:rPr>
              <w:t xml:space="preserve"> </w:t>
            </w:r>
            <w:r w:rsidR="00E12AF7" w:rsidRPr="008D22A6">
              <w:rPr>
                <w:rStyle w:val="Lienhypertexte"/>
                <w:rFonts w:hint="eastAsia"/>
                <w:rtl/>
              </w:rPr>
              <w:t>المشعة</w:t>
            </w:r>
            <w:r w:rsidR="00E12AF7" w:rsidRPr="008D22A6">
              <w:rPr>
                <w:rStyle w:val="Lienhypertexte"/>
                <w:rtl/>
              </w:rPr>
              <w:t xml:space="preserve"> (</w:t>
            </w:r>
            <w:r w:rsidR="00E12AF7" w:rsidRPr="008D22A6">
              <w:rPr>
                <w:rStyle w:val="Lienhypertexte"/>
                <w:rFonts w:hint="eastAsia"/>
                <w:rtl/>
              </w:rPr>
              <w:t>أسفل</w:t>
            </w:r>
            <w:r w:rsidR="00E12AF7" w:rsidRPr="008D22A6">
              <w:rPr>
                <w:rStyle w:val="Lienhypertexte"/>
                <w:rtl/>
              </w:rPr>
              <w:t xml:space="preserve"> </w:t>
            </w:r>
            <w:r w:rsidR="00E12AF7" w:rsidRPr="008D22A6">
              <w:rPr>
                <w:rStyle w:val="Lienhypertexte"/>
                <w:rFonts w:hint="eastAsia"/>
                <w:rtl/>
              </w:rPr>
              <w:t>اليمين</w:t>
            </w:r>
            <w:r w:rsidR="009E09C4">
              <w:rPr>
                <w:rStyle w:val="Lienhypertexte"/>
                <w:rtl/>
              </w:rPr>
              <w:t>)……………</w:t>
            </w:r>
            <w:r w:rsidR="009E09C4" w:rsidRPr="009E09C4">
              <w:rPr>
                <w:rStyle w:val="Lienhypertexte"/>
                <w:rtl/>
              </w:rPr>
              <w:t>.</w:t>
            </w:r>
            <w:r w:rsidR="00E12AF7">
              <w:rPr>
                <w:webHidden/>
              </w:rPr>
              <w:tab/>
            </w:r>
            <w:r w:rsidR="00E12AF7">
              <w:rPr>
                <w:webHidden/>
              </w:rPr>
              <w:fldChar w:fldCharType="begin"/>
            </w:r>
            <w:r w:rsidR="00E12AF7">
              <w:rPr>
                <w:webHidden/>
              </w:rPr>
              <w:instrText xml:space="preserve"> PAGEREF _Toc171803784 \h </w:instrText>
            </w:r>
            <w:r w:rsidR="00E12AF7">
              <w:rPr>
                <w:webHidden/>
              </w:rPr>
            </w:r>
            <w:r w:rsidR="00E12AF7">
              <w:rPr>
                <w:webHidden/>
              </w:rPr>
              <w:fldChar w:fldCharType="separate"/>
            </w:r>
            <w:r>
              <w:rPr>
                <w:webHidden/>
                <w:rtl/>
                <w:lang w:bidi="ar-SA"/>
              </w:rPr>
              <w:t>190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90" w:history="1">
            <w:r w:rsidR="00E12AF7" w:rsidRPr="008D22A6">
              <w:rPr>
                <w:rStyle w:val="Lienhypertexte"/>
                <w:rFonts w:hint="eastAsia"/>
                <w:rtl/>
              </w:rPr>
              <w:t>الشكل</w:t>
            </w:r>
            <w:r w:rsidR="00E12AF7" w:rsidRPr="008D22A6">
              <w:rPr>
                <w:rStyle w:val="Lienhypertexte"/>
                <w:rtl/>
              </w:rPr>
              <w:t xml:space="preserve"> (6-8) </w:t>
            </w:r>
            <w:r w:rsidR="00E12AF7" w:rsidRPr="008D22A6">
              <w:rPr>
                <w:rStyle w:val="Lienhypertexte"/>
                <w:rFonts w:hint="eastAsia"/>
                <w:rtl/>
              </w:rPr>
              <w:t>مراحل</w:t>
            </w:r>
            <w:r w:rsidR="00E12AF7" w:rsidRPr="008D22A6">
              <w:rPr>
                <w:rStyle w:val="Lienhypertexte"/>
                <w:rtl/>
              </w:rPr>
              <w:t xml:space="preserve"> </w:t>
            </w:r>
            <w:r w:rsidR="00E12AF7" w:rsidRPr="008D22A6">
              <w:rPr>
                <w:rStyle w:val="Lienhypertexte"/>
                <w:rFonts w:hint="eastAsia"/>
                <w:rtl/>
              </w:rPr>
              <w:t>بناء</w:t>
            </w:r>
            <w:r w:rsidR="00E12AF7" w:rsidRPr="008D22A6">
              <w:rPr>
                <w:rStyle w:val="Lienhypertexte"/>
                <w:rtl/>
              </w:rPr>
              <w:t xml:space="preserve">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مقترح</w:t>
            </w:r>
            <w:r w:rsidR="00E12AF7" w:rsidRPr="008D22A6">
              <w:rPr>
                <w:rStyle w:val="Lienhypertexte"/>
                <w:rtl/>
              </w:rPr>
              <w:t xml:space="preserve"> </w:t>
            </w:r>
            <w:r w:rsidR="00E12AF7" w:rsidRPr="008D22A6">
              <w:rPr>
                <w:rStyle w:val="Lienhypertexte"/>
                <w:rFonts w:hint="eastAsia"/>
                <w:rtl/>
              </w:rPr>
              <w:t>لكشف</w:t>
            </w:r>
            <w:r w:rsidR="00E12AF7" w:rsidRPr="008D22A6">
              <w:rPr>
                <w:rStyle w:val="Lienhypertexte"/>
                <w:rtl/>
              </w:rPr>
              <w:t xml:space="preserve"> </w:t>
            </w:r>
            <w:r w:rsidR="00E12AF7" w:rsidRPr="008D22A6">
              <w:rPr>
                <w:rStyle w:val="Lienhypertexte"/>
                <w:rFonts w:hint="eastAsia"/>
                <w:rtl/>
              </w:rPr>
              <w:t>سمة</w:t>
            </w:r>
            <w:r w:rsidR="00E12AF7" w:rsidRPr="008D22A6">
              <w:rPr>
                <w:rStyle w:val="Lienhypertexte"/>
                <w:rtl/>
              </w:rPr>
              <w:t xml:space="preserve"> </w:t>
            </w:r>
            <w:r w:rsidR="00E12AF7" w:rsidRPr="008D22A6">
              <w:rPr>
                <w:rStyle w:val="Lienhypertexte"/>
                <w:rFonts w:hint="eastAsia"/>
                <w:rtl/>
              </w:rPr>
              <w:t>الكثافة</w:t>
            </w:r>
            <w:r w:rsidR="009E09C4" w:rsidRPr="009E09C4">
              <w:rPr>
                <w:rStyle w:val="Lienhypertexte"/>
                <w:rtl/>
              </w:rPr>
              <w:t>……………………………………</w:t>
            </w:r>
            <w:r w:rsidR="009E09C4" w:rsidRPr="009E09C4">
              <w:rPr>
                <w:rStyle w:val="Lienhypertexte"/>
                <w:rFonts w:hint="cs"/>
                <w:rtl/>
              </w:rPr>
              <w:t>......................</w:t>
            </w:r>
            <w:r w:rsidR="00E12AF7">
              <w:rPr>
                <w:webHidden/>
              </w:rPr>
              <w:tab/>
            </w:r>
            <w:r w:rsidR="00E12AF7">
              <w:rPr>
                <w:webHidden/>
              </w:rPr>
              <w:fldChar w:fldCharType="begin"/>
            </w:r>
            <w:r w:rsidR="00E12AF7">
              <w:rPr>
                <w:webHidden/>
              </w:rPr>
              <w:instrText xml:space="preserve"> PAGEREF _Toc171803790 \h </w:instrText>
            </w:r>
            <w:r w:rsidR="00E12AF7">
              <w:rPr>
                <w:webHidden/>
              </w:rPr>
            </w:r>
            <w:r w:rsidR="00E12AF7">
              <w:rPr>
                <w:webHidden/>
              </w:rPr>
              <w:fldChar w:fldCharType="separate"/>
            </w:r>
            <w:r>
              <w:rPr>
                <w:webHidden/>
                <w:rtl/>
                <w:lang w:bidi="ar-SA"/>
              </w:rPr>
              <w:t>192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93" w:history="1">
            <w:r w:rsidR="00E12AF7" w:rsidRPr="008D22A6">
              <w:rPr>
                <w:rStyle w:val="Lienhypertexte"/>
                <w:rFonts w:hint="eastAsia"/>
                <w:rtl/>
              </w:rPr>
              <w:t>الشكل</w:t>
            </w:r>
            <w:r w:rsidR="00E12AF7" w:rsidRPr="008D22A6">
              <w:rPr>
                <w:rStyle w:val="Lienhypertexte"/>
                <w:rtl/>
              </w:rPr>
              <w:t xml:space="preserve"> (6-9) </w:t>
            </w:r>
            <w:r w:rsidR="00E12AF7" w:rsidRPr="008D22A6">
              <w:rPr>
                <w:rStyle w:val="Lienhypertexte"/>
                <w:rFonts w:hint="eastAsia"/>
                <w:rtl/>
              </w:rPr>
              <w:t>مراحل</w:t>
            </w:r>
            <w:r w:rsidR="00E12AF7" w:rsidRPr="008D22A6">
              <w:rPr>
                <w:rStyle w:val="Lienhypertexte"/>
                <w:rtl/>
              </w:rPr>
              <w:t xml:space="preserve"> </w:t>
            </w:r>
            <w:r w:rsidR="00E12AF7" w:rsidRPr="008D22A6">
              <w:rPr>
                <w:rStyle w:val="Lienhypertexte"/>
                <w:rFonts w:hint="eastAsia"/>
                <w:rtl/>
              </w:rPr>
              <w:t>بناء</w:t>
            </w:r>
            <w:r w:rsidR="00E12AF7" w:rsidRPr="008D22A6">
              <w:rPr>
                <w:rStyle w:val="Lienhypertexte"/>
                <w:rtl/>
              </w:rPr>
              <w:t xml:space="preserve">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مقترح</w:t>
            </w:r>
            <w:r w:rsidR="00E12AF7" w:rsidRPr="008D22A6">
              <w:rPr>
                <w:rStyle w:val="Lienhypertexte"/>
                <w:rtl/>
              </w:rPr>
              <w:t xml:space="preserve"> </w:t>
            </w:r>
            <w:r w:rsidR="00E12AF7" w:rsidRPr="008D22A6">
              <w:rPr>
                <w:rStyle w:val="Lienhypertexte"/>
                <w:rFonts w:hint="eastAsia"/>
                <w:rtl/>
              </w:rPr>
              <w:t>لكشف</w:t>
            </w:r>
            <w:r w:rsidR="00E12AF7" w:rsidRPr="008D22A6">
              <w:rPr>
                <w:rStyle w:val="Lienhypertexte"/>
                <w:rtl/>
              </w:rPr>
              <w:t xml:space="preserve"> </w:t>
            </w:r>
            <w:r w:rsidR="00E12AF7" w:rsidRPr="008D22A6">
              <w:rPr>
                <w:rStyle w:val="Lienhypertexte"/>
                <w:rFonts w:hint="eastAsia"/>
                <w:rtl/>
              </w:rPr>
              <w:t>سمة</w:t>
            </w:r>
            <w:r w:rsidR="00E12AF7" w:rsidRPr="008D22A6">
              <w:rPr>
                <w:rStyle w:val="Lienhypertexte"/>
                <w:rtl/>
              </w:rPr>
              <w:t xml:space="preserve"> </w:t>
            </w:r>
            <w:r w:rsidR="00E12AF7" w:rsidRPr="008D22A6">
              <w:rPr>
                <w:rStyle w:val="Lienhypertexte"/>
                <w:rFonts w:hint="eastAsia"/>
                <w:rtl/>
              </w:rPr>
              <w:t>التنوع</w:t>
            </w:r>
            <w:r w:rsidR="009E09C4" w:rsidRPr="009E09C4">
              <w:rPr>
                <w:rStyle w:val="Lienhypertexte"/>
                <w:rtl/>
              </w:rPr>
              <w:t>……………………………………</w:t>
            </w:r>
            <w:r w:rsidR="009E09C4" w:rsidRPr="009E09C4">
              <w:rPr>
                <w:rStyle w:val="Lienhypertexte"/>
                <w:rFonts w:hint="cs"/>
                <w:rtl/>
              </w:rPr>
              <w:t>.......................</w:t>
            </w:r>
            <w:r w:rsidR="00E12AF7">
              <w:rPr>
                <w:webHidden/>
              </w:rPr>
              <w:tab/>
            </w:r>
            <w:r w:rsidR="00E12AF7">
              <w:rPr>
                <w:webHidden/>
              </w:rPr>
              <w:fldChar w:fldCharType="begin"/>
            </w:r>
            <w:r w:rsidR="00E12AF7">
              <w:rPr>
                <w:webHidden/>
              </w:rPr>
              <w:instrText xml:space="preserve"> PAGEREF _Toc171803793 \h </w:instrText>
            </w:r>
            <w:r w:rsidR="00E12AF7">
              <w:rPr>
                <w:webHidden/>
              </w:rPr>
            </w:r>
            <w:r w:rsidR="00E12AF7">
              <w:rPr>
                <w:webHidden/>
              </w:rPr>
              <w:fldChar w:fldCharType="separate"/>
            </w:r>
            <w:r>
              <w:rPr>
                <w:webHidden/>
                <w:rtl/>
                <w:lang w:bidi="ar-SA"/>
              </w:rPr>
              <w:t>193</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96" w:history="1">
            <w:r w:rsidR="00E12AF7" w:rsidRPr="008D22A6">
              <w:rPr>
                <w:rStyle w:val="Lienhypertexte"/>
                <w:rFonts w:hint="eastAsia"/>
                <w:rtl/>
              </w:rPr>
              <w:t>الشكل</w:t>
            </w:r>
            <w:r w:rsidR="00E12AF7" w:rsidRPr="008D22A6">
              <w:rPr>
                <w:rStyle w:val="Lienhypertexte"/>
                <w:rtl/>
              </w:rPr>
              <w:t xml:space="preserve"> (6-10) </w:t>
            </w:r>
            <w:r w:rsidR="00E12AF7" w:rsidRPr="008D22A6">
              <w:rPr>
                <w:rStyle w:val="Lienhypertexte"/>
                <w:rFonts w:hint="eastAsia"/>
                <w:rtl/>
              </w:rPr>
              <w:t>مراحل</w:t>
            </w:r>
            <w:r w:rsidR="00E12AF7" w:rsidRPr="008D22A6">
              <w:rPr>
                <w:rStyle w:val="Lienhypertexte"/>
                <w:rtl/>
              </w:rPr>
              <w:t xml:space="preserve"> </w:t>
            </w:r>
            <w:r w:rsidR="00E12AF7" w:rsidRPr="008D22A6">
              <w:rPr>
                <w:rStyle w:val="Lienhypertexte"/>
                <w:rFonts w:hint="eastAsia"/>
                <w:rtl/>
              </w:rPr>
              <w:t>بناء</w:t>
            </w:r>
            <w:r w:rsidR="00E12AF7" w:rsidRPr="008D22A6">
              <w:rPr>
                <w:rStyle w:val="Lienhypertexte"/>
                <w:rtl/>
              </w:rPr>
              <w:t xml:space="preserve"> </w:t>
            </w:r>
            <w:r w:rsidR="00E12AF7" w:rsidRPr="008D22A6">
              <w:rPr>
                <w:rStyle w:val="Lienhypertexte"/>
                <w:rFonts w:hint="eastAsia"/>
                <w:rtl/>
              </w:rPr>
              <w:t>نموذج</w:t>
            </w:r>
            <w:r w:rsidR="00E12AF7" w:rsidRPr="008D22A6">
              <w:rPr>
                <w:rStyle w:val="Lienhypertexte"/>
                <w:rtl/>
              </w:rPr>
              <w:t xml:space="preserve"> </w:t>
            </w:r>
            <w:r w:rsidR="00E12AF7" w:rsidRPr="008D22A6">
              <w:rPr>
                <w:rStyle w:val="Lienhypertexte"/>
                <w:rFonts w:hint="eastAsia"/>
                <w:rtl/>
              </w:rPr>
              <w:t>مقترح</w:t>
            </w:r>
            <w:r w:rsidR="00E12AF7" w:rsidRPr="008D22A6">
              <w:rPr>
                <w:rStyle w:val="Lienhypertexte"/>
                <w:rtl/>
              </w:rPr>
              <w:t xml:space="preserve"> </w:t>
            </w:r>
            <w:r w:rsidR="00E12AF7" w:rsidRPr="008D22A6">
              <w:rPr>
                <w:rStyle w:val="Lienhypertexte"/>
                <w:rFonts w:hint="eastAsia"/>
                <w:rtl/>
              </w:rPr>
              <w:t>لكشف</w:t>
            </w:r>
            <w:r w:rsidR="00E12AF7" w:rsidRPr="008D22A6">
              <w:rPr>
                <w:rStyle w:val="Lienhypertexte"/>
                <w:rtl/>
              </w:rPr>
              <w:t xml:space="preserve"> </w:t>
            </w:r>
            <w:r w:rsidR="00E12AF7" w:rsidRPr="008D22A6">
              <w:rPr>
                <w:rStyle w:val="Lienhypertexte"/>
                <w:rFonts w:hint="eastAsia"/>
                <w:rtl/>
              </w:rPr>
              <w:t>سمة</w:t>
            </w:r>
            <w:r w:rsidR="00E12AF7" w:rsidRPr="008D22A6">
              <w:rPr>
                <w:rStyle w:val="Lienhypertexte"/>
                <w:rtl/>
              </w:rPr>
              <w:t xml:space="preserve"> </w:t>
            </w:r>
            <w:r w:rsidR="00E12AF7" w:rsidRPr="008D22A6">
              <w:rPr>
                <w:rStyle w:val="Lienhypertexte"/>
                <w:rFonts w:hint="eastAsia"/>
                <w:rtl/>
              </w:rPr>
              <w:t>الاتصالية</w:t>
            </w:r>
            <w:r w:rsidR="009E09C4" w:rsidRPr="009E09C4">
              <w:rPr>
                <w:rStyle w:val="Lienhypertexte"/>
                <w:rtl/>
              </w:rPr>
              <w:t>……………………………………</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_Toc171803796 \h </w:instrText>
            </w:r>
            <w:r w:rsidR="00E12AF7">
              <w:rPr>
                <w:webHidden/>
              </w:rPr>
            </w:r>
            <w:r w:rsidR="00E12AF7">
              <w:rPr>
                <w:webHidden/>
              </w:rPr>
              <w:fldChar w:fldCharType="separate"/>
            </w:r>
            <w:r>
              <w:rPr>
                <w:webHidden/>
                <w:rtl/>
                <w:lang w:bidi="ar-SA"/>
              </w:rPr>
              <w:t>194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798" w:history="1">
            <w:r w:rsidR="00E12AF7" w:rsidRPr="008D22A6">
              <w:rPr>
                <w:rStyle w:val="Lienhypertexte"/>
                <w:rFonts w:hint="eastAsia"/>
                <w:rtl/>
              </w:rPr>
              <w:t>الشكل</w:t>
            </w:r>
            <w:r w:rsidR="00E12AF7" w:rsidRPr="008D22A6">
              <w:rPr>
                <w:rStyle w:val="Lienhypertexte"/>
                <w:rtl/>
              </w:rPr>
              <w:t xml:space="preserve"> (6-11): </w:t>
            </w:r>
            <w:r w:rsidR="00E12AF7" w:rsidRPr="008D22A6">
              <w:rPr>
                <w:rStyle w:val="Lienhypertexte"/>
                <w:rFonts w:hint="eastAsia"/>
                <w:rtl/>
              </w:rPr>
              <w:t>مخطط</w:t>
            </w:r>
            <w:r w:rsidR="00E12AF7" w:rsidRPr="008D22A6">
              <w:rPr>
                <w:rStyle w:val="Lienhypertexte"/>
                <w:rtl/>
              </w:rPr>
              <w:t xml:space="preserve"> </w:t>
            </w:r>
            <w:r w:rsidR="00E12AF7" w:rsidRPr="008D22A6">
              <w:rPr>
                <w:rStyle w:val="Lienhypertexte"/>
                <w:rFonts w:hint="eastAsia"/>
                <w:rtl/>
              </w:rPr>
              <w:t>انسيابي</w:t>
            </w:r>
            <w:r w:rsidR="00E12AF7" w:rsidRPr="008D22A6">
              <w:rPr>
                <w:rStyle w:val="Lienhypertexte"/>
                <w:rtl/>
              </w:rPr>
              <w:t xml:space="preserve"> </w:t>
            </w:r>
            <w:r w:rsidR="00E12AF7" w:rsidRPr="008D22A6">
              <w:rPr>
                <w:rStyle w:val="Lienhypertexte"/>
                <w:rFonts w:hint="eastAsia"/>
                <w:rtl/>
              </w:rPr>
              <w:t>مقترح</w:t>
            </w:r>
            <w:r w:rsidR="00E12AF7" w:rsidRPr="008D22A6">
              <w:rPr>
                <w:rStyle w:val="Lienhypertexte"/>
                <w:rtl/>
              </w:rPr>
              <w:t xml:space="preserve"> </w:t>
            </w:r>
            <w:r w:rsidR="00E12AF7" w:rsidRPr="008D22A6">
              <w:rPr>
                <w:rStyle w:val="Lienhypertexte"/>
                <w:rFonts w:hint="eastAsia"/>
                <w:rtl/>
              </w:rPr>
              <w:t>لكشف</w:t>
            </w:r>
            <w:r w:rsidR="00E12AF7" w:rsidRPr="008D22A6">
              <w:rPr>
                <w:rStyle w:val="Lienhypertexte"/>
                <w:rtl/>
              </w:rPr>
              <w:t xml:space="preserve"> </w:t>
            </w:r>
            <w:r w:rsidR="00E12AF7" w:rsidRPr="008D22A6">
              <w:rPr>
                <w:rStyle w:val="Lienhypertexte"/>
                <w:rFonts w:hint="eastAsia"/>
                <w:rtl/>
              </w:rPr>
              <w:t>سمة</w:t>
            </w:r>
            <w:r w:rsidR="00E12AF7" w:rsidRPr="008D22A6">
              <w:rPr>
                <w:rStyle w:val="Lienhypertexte"/>
                <w:rtl/>
              </w:rPr>
              <w:t xml:space="preserve"> </w:t>
            </w:r>
            <w:r w:rsidR="00E12AF7" w:rsidRPr="008D22A6">
              <w:rPr>
                <w:rStyle w:val="Lienhypertexte"/>
                <w:rFonts w:hint="eastAsia"/>
                <w:rtl/>
              </w:rPr>
              <w:t>التكرار</w:t>
            </w:r>
            <w:r w:rsidR="009E09C4" w:rsidRPr="009E09C4">
              <w:rPr>
                <w:rStyle w:val="Lienhypertexte"/>
                <w:rtl/>
              </w:rPr>
              <w:t>……………………………………</w:t>
            </w:r>
            <w:r w:rsidR="009E09C4" w:rsidRPr="009E09C4">
              <w:rPr>
                <w:rStyle w:val="Lienhypertexte"/>
                <w:rFonts w:hint="cs"/>
                <w:rtl/>
              </w:rPr>
              <w:t>......................</w:t>
            </w:r>
            <w:r w:rsidR="00E12AF7">
              <w:rPr>
                <w:webHidden/>
              </w:rPr>
              <w:tab/>
            </w:r>
            <w:r w:rsidR="00E12AF7">
              <w:rPr>
                <w:webHidden/>
              </w:rPr>
              <w:fldChar w:fldCharType="begin"/>
            </w:r>
            <w:r w:rsidR="00E12AF7">
              <w:rPr>
                <w:webHidden/>
              </w:rPr>
              <w:instrText xml:space="preserve"> PAGEREF _Toc171803798 \h </w:instrText>
            </w:r>
            <w:r w:rsidR="00E12AF7">
              <w:rPr>
                <w:webHidden/>
              </w:rPr>
            </w:r>
            <w:r w:rsidR="00E12AF7">
              <w:rPr>
                <w:webHidden/>
              </w:rPr>
              <w:fldChar w:fldCharType="separate"/>
            </w:r>
            <w:r>
              <w:rPr>
                <w:webHidden/>
                <w:rtl/>
                <w:lang w:bidi="ar-SA"/>
              </w:rPr>
              <w:t>195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57608363" w:history="1">
            <w:r w:rsidR="00E12AF7" w:rsidRPr="00AE3F7B">
              <w:rPr>
                <w:rStyle w:val="Lienhypertexte"/>
                <w:rFonts w:hint="eastAsia"/>
                <w:rtl/>
              </w:rPr>
              <w:t>الشكل</w:t>
            </w:r>
            <w:r w:rsidR="00E12AF7" w:rsidRPr="00AE3F7B">
              <w:rPr>
                <w:rStyle w:val="Lienhypertexte"/>
                <w:rtl/>
              </w:rPr>
              <w:t xml:space="preserve"> (6-12) </w:t>
            </w:r>
            <w:r w:rsidR="00E12AF7" w:rsidRPr="00AE3F7B">
              <w:rPr>
                <w:rStyle w:val="Lienhypertexte"/>
                <w:rFonts w:hint="eastAsia"/>
                <w:rtl/>
              </w:rPr>
              <w:t>لتوزيع</w:t>
            </w:r>
            <w:r w:rsidR="00E12AF7" w:rsidRPr="00AE3F7B">
              <w:rPr>
                <w:rStyle w:val="Lienhypertexte"/>
                <w:rtl/>
              </w:rPr>
              <w:t xml:space="preserve"> </w:t>
            </w:r>
            <w:r w:rsidR="00E12AF7" w:rsidRPr="00AE3F7B">
              <w:rPr>
                <w:rStyle w:val="Lienhypertexte"/>
                <w:rFonts w:hint="eastAsia"/>
                <w:rtl/>
              </w:rPr>
              <w:t>النسب</w:t>
            </w:r>
            <w:r w:rsidR="00E12AF7" w:rsidRPr="00AE3F7B">
              <w:rPr>
                <w:rStyle w:val="Lienhypertexte"/>
                <w:rtl/>
              </w:rPr>
              <w:t xml:space="preserve"> </w:t>
            </w:r>
            <w:r w:rsidR="00E12AF7" w:rsidRPr="00AE3F7B">
              <w:rPr>
                <w:rStyle w:val="Lienhypertexte"/>
                <w:rFonts w:hint="eastAsia"/>
                <w:rtl/>
              </w:rPr>
              <w:t>بين</w:t>
            </w:r>
            <w:r w:rsidR="00E12AF7" w:rsidRPr="00AE3F7B">
              <w:rPr>
                <w:rStyle w:val="Lienhypertexte"/>
                <w:rtl/>
              </w:rPr>
              <w:t xml:space="preserve"> </w:t>
            </w:r>
            <w:r w:rsidR="00E12AF7" w:rsidRPr="00AE3F7B">
              <w:rPr>
                <w:rStyle w:val="Lienhypertexte"/>
                <w:rFonts w:hint="eastAsia"/>
                <w:rtl/>
              </w:rPr>
              <w:t>مسافة</w:t>
            </w:r>
            <w:r w:rsidR="00E12AF7" w:rsidRPr="00AE3F7B">
              <w:rPr>
                <w:rStyle w:val="Lienhypertexte"/>
                <w:rtl/>
              </w:rPr>
              <w:t xml:space="preserve"> </w:t>
            </w:r>
            <w:r w:rsidR="00E12AF7" w:rsidRPr="00AE3F7B">
              <w:rPr>
                <w:rStyle w:val="Lienhypertexte"/>
                <w:rFonts w:hint="eastAsia"/>
                <w:rtl/>
              </w:rPr>
              <w:t>شبكة</w:t>
            </w:r>
            <w:r w:rsidR="00E12AF7" w:rsidRPr="00AE3F7B">
              <w:rPr>
                <w:rStyle w:val="Lienhypertexte"/>
                <w:rtl/>
              </w:rPr>
              <w:t xml:space="preserve"> </w:t>
            </w:r>
            <w:r w:rsidR="00E12AF7" w:rsidRPr="00AE3F7B">
              <w:rPr>
                <w:rStyle w:val="Lienhypertexte"/>
                <w:rFonts w:hint="eastAsia"/>
                <w:rtl/>
              </w:rPr>
              <w:t>الشوارع</w:t>
            </w:r>
            <w:r w:rsidR="00E12AF7" w:rsidRPr="00AE3F7B">
              <w:rPr>
                <w:rStyle w:val="Lienhypertexte"/>
                <w:rtl/>
              </w:rPr>
              <w:t xml:space="preserve"> </w:t>
            </w:r>
            <w:r w:rsidR="00E12AF7" w:rsidRPr="00AE3F7B">
              <w:rPr>
                <w:rStyle w:val="Lienhypertexte"/>
                <w:rFonts w:hint="eastAsia"/>
                <w:rtl/>
              </w:rPr>
              <w:t>والمسافة</w:t>
            </w:r>
            <w:r w:rsidR="00E12AF7" w:rsidRPr="00AE3F7B">
              <w:rPr>
                <w:rStyle w:val="Lienhypertexte"/>
                <w:rtl/>
              </w:rPr>
              <w:t xml:space="preserve"> </w:t>
            </w:r>
            <w:r w:rsidR="00E12AF7" w:rsidRPr="00AE3F7B">
              <w:rPr>
                <w:rStyle w:val="Lienhypertexte"/>
                <w:rFonts w:hint="eastAsia"/>
                <w:rtl/>
              </w:rPr>
              <w:t>الإقليدية</w:t>
            </w:r>
            <w:r w:rsidR="00E12AF7" w:rsidRPr="00AE3F7B">
              <w:rPr>
                <w:rStyle w:val="Lienhypertexte"/>
                <w:rtl/>
              </w:rPr>
              <w:t xml:space="preserve"> </w:t>
            </w:r>
            <w:r w:rsidR="00E12AF7" w:rsidRPr="00AE3F7B">
              <w:rPr>
                <w:rStyle w:val="Lienhypertexte"/>
                <w:rFonts w:hint="eastAsia"/>
                <w:rtl/>
              </w:rPr>
              <w:t>لفئة</w:t>
            </w:r>
            <w:r w:rsidR="00E12AF7" w:rsidRPr="00AE3F7B">
              <w:rPr>
                <w:rStyle w:val="Lienhypertexte"/>
                <w:rtl/>
              </w:rPr>
              <w:t xml:space="preserve"> </w:t>
            </w:r>
            <w:r w:rsidR="00E12AF7" w:rsidRPr="00AE3F7B">
              <w:rPr>
                <w:rStyle w:val="Lienhypertexte"/>
                <w:rFonts w:hint="eastAsia"/>
                <w:rtl/>
              </w:rPr>
              <w:t>النسيج</w:t>
            </w:r>
            <w:r w:rsidR="00E12AF7" w:rsidRPr="00AE3F7B">
              <w:rPr>
                <w:rStyle w:val="Lienhypertexte"/>
                <w:rtl/>
              </w:rPr>
              <w:t xml:space="preserve"> </w:t>
            </w:r>
            <w:r w:rsidR="00E12AF7" w:rsidRPr="00AE3F7B">
              <w:rPr>
                <w:rStyle w:val="Lienhypertexte"/>
                <w:rFonts w:hint="eastAsia"/>
                <w:rtl/>
              </w:rPr>
              <w:t>الحضري</w:t>
            </w:r>
            <w:r w:rsidR="00E12AF7" w:rsidRPr="00AE3F7B">
              <w:rPr>
                <w:rStyle w:val="Lienhypertexte"/>
                <w:rtl/>
              </w:rPr>
              <w:t xml:space="preserve"> (</w:t>
            </w:r>
            <w:r w:rsidR="00E12AF7" w:rsidRPr="00AE3F7B">
              <w:rPr>
                <w:rStyle w:val="Lienhypertexte"/>
                <w:rFonts w:hint="eastAsia"/>
                <w:rtl/>
              </w:rPr>
              <w:t>أ</w:t>
            </w:r>
            <w:r w:rsidR="00E12AF7" w:rsidRPr="00AE3F7B">
              <w:rPr>
                <w:rStyle w:val="Lienhypertexte"/>
                <w:rtl/>
              </w:rPr>
              <w:t>)</w:t>
            </w:r>
            <w:r w:rsidR="00E12AF7" w:rsidRPr="00AE3F7B">
              <w:rPr>
                <w:rStyle w:val="Lienhypertexte"/>
                <w:rFonts w:hint="eastAsia"/>
                <w:rtl/>
              </w:rPr>
              <w:t>،</w:t>
            </w:r>
            <w:r w:rsidR="00E12AF7" w:rsidRPr="00AE3F7B">
              <w:rPr>
                <w:rStyle w:val="Lienhypertexte"/>
                <w:rtl/>
              </w:rPr>
              <w:t xml:space="preserve"> </w:t>
            </w:r>
            <w:r w:rsidR="00E12AF7" w:rsidRPr="00AE3F7B">
              <w:rPr>
                <w:rStyle w:val="Lienhypertexte"/>
                <w:rFonts w:hint="eastAsia"/>
                <w:rtl/>
              </w:rPr>
              <w:t>حي</w:t>
            </w:r>
            <w:r w:rsidR="00E12AF7" w:rsidRPr="00AE3F7B">
              <w:rPr>
                <w:rStyle w:val="Lienhypertexte"/>
                <w:rtl/>
              </w:rPr>
              <w:t xml:space="preserve"> </w:t>
            </w:r>
            <w:r w:rsidR="00E12AF7" w:rsidRPr="00AE3F7B">
              <w:rPr>
                <w:rStyle w:val="Lienhypertexte"/>
                <w:rFonts w:hint="eastAsia"/>
                <w:rtl/>
              </w:rPr>
              <w:t>القصر</w:t>
            </w:r>
            <w:r w:rsidR="009E09C4">
              <w:rPr>
                <w:rStyle w:val="Lienhypertexte"/>
                <w:rFonts w:hint="cs"/>
                <w:rtl/>
              </w:rPr>
              <w:t>........</w:t>
            </w:r>
            <w:r w:rsidR="009E09C4" w:rsidRPr="009E09C4">
              <w:rPr>
                <w:rFonts w:hint="cs"/>
                <w:webHidden/>
                <w:rtl/>
              </w:rPr>
              <w:t>196</w:t>
            </w:r>
          </w:hyperlink>
        </w:p>
        <w:p w:rsidR="00E12AF7" w:rsidRDefault="00B62F86" w:rsidP="009579D2">
          <w:pPr>
            <w:pStyle w:val="TM1"/>
            <w:rPr>
              <w:rFonts w:asciiTheme="minorHAnsi" w:hAnsiTheme="minorHAnsi" w:cstheme="minorBidi"/>
              <w:color w:val="auto"/>
              <w:lang w:val="fr-FR" w:bidi="ar-SA"/>
            </w:rPr>
          </w:pPr>
          <w:hyperlink w:anchor="_Toc171803808" w:history="1">
            <w:r w:rsidR="00E12AF7" w:rsidRPr="008D22A6">
              <w:rPr>
                <w:rStyle w:val="Lienhypertexte"/>
                <w:rFonts w:hint="eastAsia"/>
                <w:rtl/>
              </w:rPr>
              <w:t>الشكل</w:t>
            </w:r>
            <w:r w:rsidR="00E12AF7" w:rsidRPr="008D22A6">
              <w:rPr>
                <w:rStyle w:val="Lienhypertexte"/>
                <w:rtl/>
              </w:rPr>
              <w:t xml:space="preserve"> (6-13) </w:t>
            </w:r>
            <w:r w:rsidR="00E12AF7" w:rsidRPr="008D22A6">
              <w:rPr>
                <w:rStyle w:val="Lienhypertexte"/>
                <w:rFonts w:hint="eastAsia"/>
                <w:rtl/>
              </w:rPr>
              <w:t>لتوزيع</w:t>
            </w:r>
            <w:r w:rsidR="00E12AF7" w:rsidRPr="008D22A6">
              <w:rPr>
                <w:rStyle w:val="Lienhypertexte"/>
                <w:rtl/>
              </w:rPr>
              <w:t xml:space="preserve"> </w:t>
            </w:r>
            <w:r w:rsidR="00E12AF7" w:rsidRPr="008D22A6">
              <w:rPr>
                <w:rStyle w:val="Lienhypertexte"/>
                <w:rFonts w:hint="eastAsia"/>
                <w:rtl/>
              </w:rPr>
              <w:t>النسب</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مسافة</w:t>
            </w:r>
            <w:r w:rsidR="00E12AF7" w:rsidRPr="008D22A6">
              <w:rPr>
                <w:rStyle w:val="Lienhypertexte"/>
                <w:rtl/>
              </w:rPr>
              <w:t xml:space="preserve"> </w:t>
            </w:r>
            <w:r w:rsidR="00E12AF7" w:rsidRPr="008D22A6">
              <w:rPr>
                <w:rStyle w:val="Lienhypertexte"/>
                <w:rFonts w:hint="eastAsia"/>
                <w:rtl/>
              </w:rPr>
              <w:t>شبكة</w:t>
            </w:r>
            <w:r w:rsidR="00E12AF7" w:rsidRPr="008D22A6">
              <w:rPr>
                <w:rStyle w:val="Lienhypertexte"/>
                <w:rtl/>
              </w:rPr>
              <w:t xml:space="preserve"> </w:t>
            </w:r>
            <w:r w:rsidR="00E12AF7" w:rsidRPr="008D22A6">
              <w:rPr>
                <w:rStyle w:val="Lienhypertexte"/>
                <w:rFonts w:hint="eastAsia"/>
                <w:rtl/>
              </w:rPr>
              <w:t>الشوارع</w:t>
            </w:r>
            <w:r w:rsidR="00E12AF7" w:rsidRPr="008D22A6">
              <w:rPr>
                <w:rStyle w:val="Lienhypertexte"/>
                <w:rtl/>
              </w:rPr>
              <w:t xml:space="preserve"> </w:t>
            </w:r>
            <w:r w:rsidR="00E12AF7" w:rsidRPr="008D22A6">
              <w:rPr>
                <w:rStyle w:val="Lienhypertexte"/>
                <w:rFonts w:hint="eastAsia"/>
                <w:rtl/>
              </w:rPr>
              <w:t>والمسافة</w:t>
            </w:r>
            <w:r w:rsidR="00E12AF7" w:rsidRPr="008D22A6">
              <w:rPr>
                <w:rStyle w:val="Lienhypertexte"/>
                <w:rtl/>
              </w:rPr>
              <w:t xml:space="preserve"> </w:t>
            </w:r>
            <w:r w:rsidR="00E12AF7" w:rsidRPr="008D22A6">
              <w:rPr>
                <w:rStyle w:val="Lienhypertexte"/>
                <w:rFonts w:hint="eastAsia"/>
                <w:rtl/>
              </w:rPr>
              <w:t>الإقليدية</w:t>
            </w:r>
            <w:r w:rsidR="00E12AF7" w:rsidRPr="008D22A6">
              <w:rPr>
                <w:rStyle w:val="Lienhypertexte"/>
                <w:rtl/>
              </w:rPr>
              <w:t xml:space="preserve"> </w:t>
            </w:r>
            <w:r w:rsidR="00E12AF7" w:rsidRPr="008D22A6">
              <w:rPr>
                <w:rStyle w:val="Lienhypertexte"/>
                <w:rFonts w:hint="eastAsia"/>
                <w:rtl/>
              </w:rPr>
              <w:t>لفئة</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ب</w:t>
            </w:r>
            <w:r w:rsidR="00E12AF7" w:rsidRPr="008D22A6">
              <w:rPr>
                <w:rStyle w:val="Lienhypertexte"/>
                <w:rtl/>
              </w:rPr>
              <w:t>)</w:t>
            </w:r>
            <w:r w:rsidR="00E12AF7" w:rsidRPr="008D22A6">
              <w:rPr>
                <w:rStyle w:val="Lienhypertexte"/>
                <w:rFonts w:hint="eastAsia"/>
                <w:rtl/>
              </w:rPr>
              <w:t>،</w:t>
            </w:r>
            <w:r w:rsidR="00E12AF7" w:rsidRPr="008D22A6">
              <w:rPr>
                <w:rStyle w:val="Lienhypertexte"/>
                <w:rtl/>
              </w:rPr>
              <w:t xml:space="preserve"> </w:t>
            </w:r>
            <w:r w:rsidR="00E12AF7" w:rsidRPr="008D22A6">
              <w:rPr>
                <w:rStyle w:val="Lienhypertexte"/>
                <w:rFonts w:hint="eastAsia"/>
                <w:rtl/>
              </w:rPr>
              <w:t>حي</w:t>
            </w:r>
            <w:r w:rsidR="00E12AF7" w:rsidRPr="008D22A6">
              <w:rPr>
                <w:rStyle w:val="Lienhypertexte"/>
                <w:rtl/>
              </w:rPr>
              <w:t xml:space="preserve"> </w:t>
            </w:r>
            <w:r w:rsidR="00E12AF7" w:rsidRPr="008D22A6">
              <w:rPr>
                <w:rStyle w:val="Lienhypertexte"/>
                <w:rFonts w:hint="eastAsia"/>
                <w:rtl/>
              </w:rPr>
              <w:t>بلاتو</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_Toc171803808 \h </w:instrText>
            </w:r>
            <w:r w:rsidR="00E12AF7">
              <w:rPr>
                <w:webHidden/>
              </w:rPr>
            </w:r>
            <w:r w:rsidR="00E12AF7">
              <w:rPr>
                <w:webHidden/>
              </w:rPr>
              <w:fldChar w:fldCharType="separate"/>
            </w:r>
            <w:r>
              <w:rPr>
                <w:webHidden/>
                <w:rtl/>
                <w:lang w:bidi="ar-SA"/>
              </w:rPr>
              <w:t>198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812" w:history="1">
            <w:r w:rsidR="00E12AF7" w:rsidRPr="008D22A6">
              <w:rPr>
                <w:rStyle w:val="Lienhypertexte"/>
                <w:rFonts w:hint="eastAsia"/>
                <w:rtl/>
              </w:rPr>
              <w:t>الشكل</w:t>
            </w:r>
            <w:r w:rsidR="00E12AF7" w:rsidRPr="008D22A6">
              <w:rPr>
                <w:rStyle w:val="Lienhypertexte"/>
                <w:rtl/>
              </w:rPr>
              <w:t xml:space="preserve"> (6-14) </w:t>
            </w:r>
            <w:r w:rsidR="00E12AF7" w:rsidRPr="009E09C4">
              <w:rPr>
                <w:rStyle w:val="Lienhypertexte"/>
                <w:rFonts w:hint="eastAsia"/>
                <w:sz w:val="20"/>
                <w:szCs w:val="20"/>
                <w:rtl/>
              </w:rPr>
              <w:t>لتوزيع</w:t>
            </w:r>
            <w:r w:rsidR="00E12AF7" w:rsidRPr="009E09C4">
              <w:rPr>
                <w:rStyle w:val="Lienhypertexte"/>
                <w:sz w:val="20"/>
                <w:szCs w:val="20"/>
                <w:rtl/>
              </w:rPr>
              <w:t xml:space="preserve"> </w:t>
            </w:r>
            <w:r w:rsidR="00E12AF7" w:rsidRPr="009E09C4">
              <w:rPr>
                <w:rStyle w:val="Lienhypertexte"/>
                <w:rFonts w:hint="eastAsia"/>
                <w:sz w:val="20"/>
                <w:szCs w:val="20"/>
                <w:rtl/>
              </w:rPr>
              <w:t>النسب</w:t>
            </w:r>
            <w:r w:rsidR="00E12AF7" w:rsidRPr="009E09C4">
              <w:rPr>
                <w:rStyle w:val="Lienhypertexte"/>
                <w:sz w:val="20"/>
                <w:szCs w:val="20"/>
                <w:rtl/>
              </w:rPr>
              <w:t xml:space="preserve"> </w:t>
            </w:r>
            <w:r w:rsidR="00E12AF7" w:rsidRPr="009E09C4">
              <w:rPr>
                <w:rStyle w:val="Lienhypertexte"/>
                <w:rFonts w:hint="eastAsia"/>
                <w:sz w:val="20"/>
                <w:szCs w:val="20"/>
                <w:rtl/>
              </w:rPr>
              <w:t>بين</w:t>
            </w:r>
            <w:r w:rsidR="00E12AF7" w:rsidRPr="009E09C4">
              <w:rPr>
                <w:rStyle w:val="Lienhypertexte"/>
                <w:sz w:val="20"/>
                <w:szCs w:val="20"/>
                <w:rtl/>
              </w:rPr>
              <w:t xml:space="preserve"> </w:t>
            </w:r>
            <w:r w:rsidR="00E12AF7" w:rsidRPr="009E09C4">
              <w:rPr>
                <w:rStyle w:val="Lienhypertexte"/>
                <w:rFonts w:hint="eastAsia"/>
                <w:sz w:val="20"/>
                <w:szCs w:val="20"/>
                <w:rtl/>
              </w:rPr>
              <w:t>مسافة</w:t>
            </w:r>
            <w:r w:rsidR="00E12AF7" w:rsidRPr="009E09C4">
              <w:rPr>
                <w:rStyle w:val="Lienhypertexte"/>
                <w:sz w:val="20"/>
                <w:szCs w:val="20"/>
                <w:rtl/>
              </w:rPr>
              <w:t xml:space="preserve"> </w:t>
            </w:r>
            <w:r w:rsidR="00E12AF7" w:rsidRPr="009E09C4">
              <w:rPr>
                <w:rStyle w:val="Lienhypertexte"/>
                <w:rFonts w:hint="eastAsia"/>
                <w:sz w:val="20"/>
                <w:szCs w:val="20"/>
                <w:rtl/>
              </w:rPr>
              <w:t>شبكة</w:t>
            </w:r>
            <w:r w:rsidR="00E12AF7" w:rsidRPr="009E09C4">
              <w:rPr>
                <w:rStyle w:val="Lienhypertexte"/>
                <w:sz w:val="20"/>
                <w:szCs w:val="20"/>
                <w:rtl/>
              </w:rPr>
              <w:t xml:space="preserve"> </w:t>
            </w:r>
            <w:r w:rsidR="00E12AF7" w:rsidRPr="009E09C4">
              <w:rPr>
                <w:rStyle w:val="Lienhypertexte"/>
                <w:rFonts w:hint="eastAsia"/>
                <w:sz w:val="20"/>
                <w:szCs w:val="20"/>
                <w:rtl/>
              </w:rPr>
              <w:t>الشوارع</w:t>
            </w:r>
            <w:r w:rsidR="00E12AF7" w:rsidRPr="009E09C4">
              <w:rPr>
                <w:rStyle w:val="Lienhypertexte"/>
                <w:sz w:val="20"/>
                <w:szCs w:val="20"/>
                <w:rtl/>
              </w:rPr>
              <w:t xml:space="preserve"> </w:t>
            </w:r>
            <w:r w:rsidR="00E12AF7" w:rsidRPr="009E09C4">
              <w:rPr>
                <w:rStyle w:val="Lienhypertexte"/>
                <w:rFonts w:hint="eastAsia"/>
                <w:sz w:val="20"/>
                <w:szCs w:val="20"/>
                <w:rtl/>
              </w:rPr>
              <w:t>والمسافة</w:t>
            </w:r>
            <w:r w:rsidR="00E12AF7" w:rsidRPr="009E09C4">
              <w:rPr>
                <w:rStyle w:val="Lienhypertexte"/>
                <w:sz w:val="20"/>
                <w:szCs w:val="20"/>
                <w:rtl/>
              </w:rPr>
              <w:t xml:space="preserve"> </w:t>
            </w:r>
            <w:r w:rsidR="00E12AF7" w:rsidRPr="009E09C4">
              <w:rPr>
                <w:rStyle w:val="Lienhypertexte"/>
                <w:rFonts w:hint="eastAsia"/>
                <w:sz w:val="20"/>
                <w:szCs w:val="20"/>
                <w:rtl/>
              </w:rPr>
              <w:t>الإقليدية</w:t>
            </w:r>
            <w:r w:rsidR="00E12AF7" w:rsidRPr="009E09C4">
              <w:rPr>
                <w:rStyle w:val="Lienhypertexte"/>
                <w:sz w:val="20"/>
                <w:szCs w:val="20"/>
                <w:rtl/>
              </w:rPr>
              <w:t xml:space="preserve"> </w:t>
            </w:r>
            <w:r w:rsidR="00E12AF7" w:rsidRPr="009E09C4">
              <w:rPr>
                <w:rStyle w:val="Lienhypertexte"/>
                <w:rFonts w:hint="eastAsia"/>
                <w:sz w:val="20"/>
                <w:szCs w:val="20"/>
                <w:rtl/>
              </w:rPr>
              <w:t>لفئة</w:t>
            </w:r>
            <w:r w:rsidR="00E12AF7" w:rsidRPr="009E09C4">
              <w:rPr>
                <w:rStyle w:val="Lienhypertexte"/>
                <w:sz w:val="20"/>
                <w:szCs w:val="20"/>
                <w:rtl/>
              </w:rPr>
              <w:t xml:space="preserve"> </w:t>
            </w:r>
            <w:r w:rsidR="00E12AF7" w:rsidRPr="009E09C4">
              <w:rPr>
                <w:rStyle w:val="Lienhypertexte"/>
                <w:rFonts w:hint="eastAsia"/>
                <w:sz w:val="20"/>
                <w:szCs w:val="20"/>
                <w:rtl/>
              </w:rPr>
              <w:t>النسيج</w:t>
            </w:r>
            <w:r w:rsidR="00E12AF7" w:rsidRPr="009E09C4">
              <w:rPr>
                <w:rStyle w:val="Lienhypertexte"/>
                <w:sz w:val="20"/>
                <w:szCs w:val="20"/>
                <w:rtl/>
              </w:rPr>
              <w:t xml:space="preserve"> </w:t>
            </w:r>
            <w:r w:rsidR="00E12AF7" w:rsidRPr="009E09C4">
              <w:rPr>
                <w:rStyle w:val="Lienhypertexte"/>
                <w:rFonts w:hint="eastAsia"/>
                <w:sz w:val="20"/>
                <w:szCs w:val="20"/>
                <w:rtl/>
              </w:rPr>
              <w:t>الحضري</w:t>
            </w:r>
            <w:r w:rsidR="00E12AF7" w:rsidRPr="009E09C4">
              <w:rPr>
                <w:rStyle w:val="Lienhypertexte"/>
                <w:sz w:val="20"/>
                <w:szCs w:val="20"/>
                <w:rtl/>
              </w:rPr>
              <w:t xml:space="preserve"> (</w:t>
            </w:r>
            <w:r w:rsidR="00E12AF7" w:rsidRPr="009E09C4">
              <w:rPr>
                <w:rStyle w:val="Lienhypertexte"/>
                <w:rFonts w:hint="eastAsia"/>
                <w:sz w:val="20"/>
                <w:szCs w:val="20"/>
                <w:rtl/>
              </w:rPr>
              <w:t>جـ</w:t>
            </w:r>
            <w:r w:rsidR="00E12AF7" w:rsidRPr="009E09C4">
              <w:rPr>
                <w:rStyle w:val="Lienhypertexte"/>
                <w:sz w:val="20"/>
                <w:szCs w:val="20"/>
                <w:rtl/>
              </w:rPr>
              <w:t>)</w:t>
            </w:r>
            <w:r w:rsidR="00E12AF7" w:rsidRPr="009E09C4">
              <w:rPr>
                <w:rStyle w:val="Lienhypertexte"/>
                <w:rFonts w:hint="eastAsia"/>
                <w:sz w:val="20"/>
                <w:szCs w:val="20"/>
                <w:rtl/>
              </w:rPr>
              <w:t>،</w:t>
            </w:r>
            <w:r w:rsidR="00E12AF7" w:rsidRPr="009E09C4">
              <w:rPr>
                <w:rStyle w:val="Lienhypertexte"/>
                <w:sz w:val="20"/>
                <w:szCs w:val="20"/>
                <w:rtl/>
              </w:rPr>
              <w:t xml:space="preserve"> </w:t>
            </w:r>
            <w:r w:rsidR="00E12AF7" w:rsidRPr="009E09C4">
              <w:rPr>
                <w:rStyle w:val="Lienhypertexte"/>
                <w:rFonts w:hint="eastAsia"/>
                <w:sz w:val="20"/>
                <w:szCs w:val="20"/>
                <w:rtl/>
              </w:rPr>
              <w:t>حي</w:t>
            </w:r>
            <w:r w:rsidR="00E12AF7" w:rsidRPr="009E09C4">
              <w:rPr>
                <w:rStyle w:val="Lienhypertexte"/>
                <w:sz w:val="20"/>
                <w:szCs w:val="20"/>
                <w:rtl/>
              </w:rPr>
              <w:t xml:space="preserve"> </w:t>
            </w:r>
            <w:r w:rsidR="00E12AF7" w:rsidRPr="009E09C4">
              <w:rPr>
                <w:rStyle w:val="Lienhypertexte"/>
                <w:rFonts w:hint="eastAsia"/>
                <w:sz w:val="20"/>
                <w:szCs w:val="20"/>
                <w:rtl/>
              </w:rPr>
              <w:t>سيدي</w:t>
            </w:r>
            <w:r w:rsidR="00E12AF7" w:rsidRPr="009E09C4">
              <w:rPr>
                <w:rStyle w:val="Lienhypertexte"/>
                <w:sz w:val="20"/>
                <w:szCs w:val="20"/>
                <w:rtl/>
              </w:rPr>
              <w:t xml:space="preserve"> </w:t>
            </w:r>
            <w:r w:rsidR="00E12AF7" w:rsidRPr="009E09C4">
              <w:rPr>
                <w:rStyle w:val="Lienhypertexte"/>
                <w:rFonts w:hint="eastAsia"/>
                <w:sz w:val="20"/>
                <w:szCs w:val="20"/>
                <w:rtl/>
              </w:rPr>
              <w:t>سليمان</w:t>
            </w:r>
            <w:r w:rsidR="00E12AF7">
              <w:rPr>
                <w:webHidden/>
              </w:rPr>
              <w:tab/>
            </w:r>
            <w:r w:rsidR="009E09C4">
              <w:rPr>
                <w:rFonts w:hint="cs"/>
                <w:webHidden/>
                <w:rtl/>
              </w:rPr>
              <w:t>........</w:t>
            </w:r>
            <w:r w:rsidR="00E12AF7">
              <w:rPr>
                <w:webHidden/>
              </w:rPr>
              <w:fldChar w:fldCharType="begin"/>
            </w:r>
            <w:r w:rsidR="00E12AF7">
              <w:rPr>
                <w:webHidden/>
              </w:rPr>
              <w:instrText xml:space="preserve"> PAGEREF _Toc171803812 \h </w:instrText>
            </w:r>
            <w:r w:rsidR="00E12AF7">
              <w:rPr>
                <w:webHidden/>
              </w:rPr>
            </w:r>
            <w:r w:rsidR="00E12AF7">
              <w:rPr>
                <w:webHidden/>
              </w:rPr>
              <w:fldChar w:fldCharType="separate"/>
            </w:r>
            <w:r>
              <w:rPr>
                <w:webHidden/>
                <w:rtl/>
                <w:lang w:bidi="ar-SA"/>
              </w:rPr>
              <w:t>200</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817" w:history="1">
            <w:r w:rsidR="00E12AF7" w:rsidRPr="008D22A6">
              <w:rPr>
                <w:rStyle w:val="Lienhypertexte"/>
                <w:rFonts w:hint="eastAsia"/>
                <w:rtl/>
              </w:rPr>
              <w:t>الشكل</w:t>
            </w:r>
            <w:r w:rsidR="00E12AF7" w:rsidRPr="008D22A6">
              <w:rPr>
                <w:rStyle w:val="Lienhypertexte"/>
                <w:rtl/>
              </w:rPr>
              <w:t xml:space="preserve"> (6-15) </w:t>
            </w:r>
            <w:r w:rsidR="00E12AF7" w:rsidRPr="008D22A6">
              <w:rPr>
                <w:rStyle w:val="Lienhypertexte"/>
                <w:rFonts w:hint="eastAsia"/>
                <w:rtl/>
              </w:rPr>
              <w:t>لتوزيع</w:t>
            </w:r>
            <w:r w:rsidR="00E12AF7" w:rsidRPr="008D22A6">
              <w:rPr>
                <w:rStyle w:val="Lienhypertexte"/>
                <w:rtl/>
              </w:rPr>
              <w:t xml:space="preserve"> </w:t>
            </w:r>
            <w:r w:rsidR="00E12AF7" w:rsidRPr="008D22A6">
              <w:rPr>
                <w:rStyle w:val="Lienhypertexte"/>
                <w:rFonts w:hint="eastAsia"/>
                <w:rtl/>
              </w:rPr>
              <w:t>النسب</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مسافة</w:t>
            </w:r>
            <w:r w:rsidR="00E12AF7" w:rsidRPr="008D22A6">
              <w:rPr>
                <w:rStyle w:val="Lienhypertexte"/>
                <w:rtl/>
              </w:rPr>
              <w:t xml:space="preserve"> </w:t>
            </w:r>
            <w:r w:rsidR="00E12AF7" w:rsidRPr="008D22A6">
              <w:rPr>
                <w:rStyle w:val="Lienhypertexte"/>
                <w:rFonts w:hint="eastAsia"/>
                <w:rtl/>
              </w:rPr>
              <w:t>شبكة</w:t>
            </w:r>
            <w:r w:rsidR="00E12AF7" w:rsidRPr="008D22A6">
              <w:rPr>
                <w:rStyle w:val="Lienhypertexte"/>
                <w:rtl/>
              </w:rPr>
              <w:t xml:space="preserve"> </w:t>
            </w:r>
            <w:r w:rsidR="00E12AF7" w:rsidRPr="008D22A6">
              <w:rPr>
                <w:rStyle w:val="Lienhypertexte"/>
                <w:rFonts w:hint="eastAsia"/>
                <w:rtl/>
              </w:rPr>
              <w:t>الشوارع</w:t>
            </w:r>
            <w:r w:rsidR="00E12AF7" w:rsidRPr="008D22A6">
              <w:rPr>
                <w:rStyle w:val="Lienhypertexte"/>
                <w:rtl/>
              </w:rPr>
              <w:t xml:space="preserve"> </w:t>
            </w:r>
            <w:r w:rsidR="00E12AF7" w:rsidRPr="008D22A6">
              <w:rPr>
                <w:rStyle w:val="Lienhypertexte"/>
                <w:rFonts w:hint="eastAsia"/>
                <w:rtl/>
              </w:rPr>
              <w:t>والمسافة</w:t>
            </w:r>
            <w:r w:rsidR="00E12AF7" w:rsidRPr="008D22A6">
              <w:rPr>
                <w:rStyle w:val="Lienhypertexte"/>
                <w:rtl/>
              </w:rPr>
              <w:t xml:space="preserve"> </w:t>
            </w:r>
            <w:r w:rsidR="00E12AF7" w:rsidRPr="008D22A6">
              <w:rPr>
                <w:rStyle w:val="Lienhypertexte"/>
                <w:rFonts w:hint="eastAsia"/>
                <w:rtl/>
              </w:rPr>
              <w:t>الإقليدية</w:t>
            </w:r>
            <w:r w:rsidR="00E12AF7" w:rsidRPr="008D22A6">
              <w:rPr>
                <w:rStyle w:val="Lienhypertexte"/>
                <w:rtl/>
              </w:rPr>
              <w:t xml:space="preserve"> </w:t>
            </w:r>
            <w:r w:rsidR="00E12AF7" w:rsidRPr="008D22A6">
              <w:rPr>
                <w:rStyle w:val="Lienhypertexte"/>
                <w:rFonts w:hint="eastAsia"/>
                <w:rtl/>
              </w:rPr>
              <w:t>لفئة</w:t>
            </w:r>
            <w:r w:rsidR="00E12AF7" w:rsidRPr="008D22A6">
              <w:rPr>
                <w:rStyle w:val="Lienhypertexte"/>
                <w:rtl/>
              </w:rPr>
              <w:t xml:space="preserve"> </w:t>
            </w:r>
            <w:r w:rsidR="00E12AF7" w:rsidRPr="008D22A6">
              <w:rPr>
                <w:rStyle w:val="Lienhypertexte"/>
                <w:rFonts w:hint="eastAsia"/>
                <w:rtl/>
              </w:rPr>
              <w:t>النسيج</w:t>
            </w:r>
            <w:r w:rsidR="00E12AF7" w:rsidRPr="008D22A6">
              <w:rPr>
                <w:rStyle w:val="Lienhypertexte"/>
                <w:rtl/>
              </w:rPr>
              <w:t xml:space="preserve"> </w:t>
            </w:r>
            <w:r w:rsidR="00E12AF7" w:rsidRPr="008D22A6">
              <w:rPr>
                <w:rStyle w:val="Lienhypertexte"/>
                <w:rFonts w:hint="eastAsia"/>
                <w:rtl/>
              </w:rPr>
              <w:t>الحضري</w:t>
            </w:r>
            <w:r w:rsidR="00E12AF7" w:rsidRPr="008D22A6">
              <w:rPr>
                <w:rStyle w:val="Lienhypertexte"/>
                <w:rtl/>
              </w:rPr>
              <w:t xml:space="preserve"> (</w:t>
            </w:r>
            <w:r w:rsidR="00E12AF7" w:rsidRPr="008D22A6">
              <w:rPr>
                <w:rStyle w:val="Lienhypertexte"/>
                <w:rFonts w:hint="eastAsia"/>
                <w:rtl/>
              </w:rPr>
              <w:t>د</w:t>
            </w:r>
            <w:r w:rsidR="00E12AF7" w:rsidRPr="008D22A6">
              <w:rPr>
                <w:rStyle w:val="Lienhypertexte"/>
                <w:rtl/>
              </w:rPr>
              <w:t>)</w:t>
            </w:r>
            <w:r w:rsidR="00E12AF7" w:rsidRPr="008D22A6">
              <w:rPr>
                <w:rStyle w:val="Lienhypertexte"/>
                <w:rFonts w:hint="eastAsia"/>
                <w:rtl/>
              </w:rPr>
              <w:t>،</w:t>
            </w:r>
            <w:r w:rsidR="00E12AF7" w:rsidRPr="008D22A6">
              <w:rPr>
                <w:rStyle w:val="Lienhypertexte"/>
                <w:rtl/>
              </w:rPr>
              <w:t xml:space="preserve"> </w:t>
            </w:r>
            <w:r w:rsidR="00E12AF7" w:rsidRPr="008D22A6">
              <w:rPr>
                <w:rStyle w:val="Lienhypertexte"/>
                <w:rFonts w:hint="eastAsia"/>
                <w:rtl/>
              </w:rPr>
              <w:t>حي</w:t>
            </w:r>
            <w:r w:rsidR="00E12AF7" w:rsidRPr="008D22A6">
              <w:rPr>
                <w:rStyle w:val="Lienhypertexte"/>
                <w:rtl/>
              </w:rPr>
              <w:t xml:space="preserve"> </w:t>
            </w:r>
            <w:r w:rsidR="00E12AF7" w:rsidRPr="008D22A6">
              <w:rPr>
                <w:rStyle w:val="Lienhypertexte"/>
                <w:rFonts w:hint="eastAsia"/>
                <w:rtl/>
              </w:rPr>
              <w:t>الحمايد</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_Toc171803817 \h </w:instrText>
            </w:r>
            <w:r w:rsidR="00E12AF7">
              <w:rPr>
                <w:webHidden/>
              </w:rPr>
            </w:r>
            <w:r w:rsidR="00E12AF7">
              <w:rPr>
                <w:webHidden/>
              </w:rPr>
              <w:fldChar w:fldCharType="separate"/>
            </w:r>
            <w:r>
              <w:rPr>
                <w:webHidden/>
                <w:rtl/>
                <w:lang w:bidi="ar-SA"/>
              </w:rPr>
              <w:t>202</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822" w:history="1">
            <w:r w:rsidR="00E12AF7" w:rsidRPr="008D22A6">
              <w:rPr>
                <w:rStyle w:val="Lienhypertexte"/>
                <w:rFonts w:hint="eastAsia"/>
                <w:rtl/>
              </w:rPr>
              <w:t>الشكل</w:t>
            </w:r>
            <w:r w:rsidR="00E12AF7" w:rsidRPr="008D22A6">
              <w:rPr>
                <w:rStyle w:val="Lienhypertexte"/>
                <w:rtl/>
              </w:rPr>
              <w:t xml:space="preserve"> (6-16) </w:t>
            </w:r>
            <w:r w:rsidR="00E12AF7" w:rsidRPr="008D22A6">
              <w:rPr>
                <w:rStyle w:val="Lienhypertexte"/>
                <w:rFonts w:hint="eastAsia"/>
                <w:rtl/>
              </w:rPr>
              <w:t>لتوزيع</w:t>
            </w:r>
            <w:r w:rsidR="00E12AF7" w:rsidRPr="008D22A6">
              <w:rPr>
                <w:rStyle w:val="Lienhypertexte"/>
                <w:rtl/>
              </w:rPr>
              <w:t xml:space="preserve"> </w:t>
            </w:r>
            <w:r w:rsidR="00E12AF7" w:rsidRPr="008D22A6">
              <w:rPr>
                <w:rStyle w:val="Lienhypertexte"/>
                <w:rFonts w:hint="eastAsia"/>
                <w:rtl/>
              </w:rPr>
              <w:t>النسب</w:t>
            </w:r>
            <w:r w:rsidR="00E12AF7" w:rsidRPr="008D22A6">
              <w:rPr>
                <w:rStyle w:val="Lienhypertexte"/>
                <w:rtl/>
              </w:rPr>
              <w:t xml:space="preserve"> </w:t>
            </w:r>
            <w:r w:rsidR="00E12AF7" w:rsidRPr="008D22A6">
              <w:rPr>
                <w:rStyle w:val="Lienhypertexte"/>
                <w:rFonts w:hint="eastAsia"/>
                <w:rtl/>
              </w:rPr>
              <w:t>بين</w:t>
            </w:r>
            <w:r w:rsidR="00E12AF7" w:rsidRPr="008D22A6">
              <w:rPr>
                <w:rStyle w:val="Lienhypertexte"/>
                <w:rtl/>
              </w:rPr>
              <w:t xml:space="preserve"> </w:t>
            </w:r>
            <w:r w:rsidR="00E12AF7" w:rsidRPr="008D22A6">
              <w:rPr>
                <w:rStyle w:val="Lienhypertexte"/>
                <w:rFonts w:hint="eastAsia"/>
                <w:rtl/>
              </w:rPr>
              <w:t>مسافة</w:t>
            </w:r>
            <w:r w:rsidR="00E12AF7" w:rsidRPr="008D22A6">
              <w:rPr>
                <w:rStyle w:val="Lienhypertexte"/>
                <w:rtl/>
              </w:rPr>
              <w:t xml:space="preserve"> </w:t>
            </w:r>
            <w:r w:rsidR="00E12AF7" w:rsidRPr="008D22A6">
              <w:rPr>
                <w:rStyle w:val="Lienhypertexte"/>
                <w:rFonts w:hint="eastAsia"/>
                <w:rtl/>
              </w:rPr>
              <w:t>شبكة</w:t>
            </w:r>
            <w:r w:rsidR="00E12AF7" w:rsidRPr="008D22A6">
              <w:rPr>
                <w:rStyle w:val="Lienhypertexte"/>
                <w:rtl/>
              </w:rPr>
              <w:t xml:space="preserve"> </w:t>
            </w:r>
            <w:r w:rsidR="00E12AF7" w:rsidRPr="008D22A6">
              <w:rPr>
                <w:rStyle w:val="Lienhypertexte"/>
                <w:rFonts w:hint="eastAsia"/>
                <w:rtl/>
              </w:rPr>
              <w:t>الشوارع</w:t>
            </w:r>
            <w:r w:rsidR="00E12AF7" w:rsidRPr="008D22A6">
              <w:rPr>
                <w:rStyle w:val="Lienhypertexte"/>
                <w:rtl/>
              </w:rPr>
              <w:t xml:space="preserve"> </w:t>
            </w:r>
            <w:r w:rsidR="00E12AF7" w:rsidRPr="008D22A6">
              <w:rPr>
                <w:rStyle w:val="Lienhypertexte"/>
                <w:rFonts w:hint="eastAsia"/>
                <w:rtl/>
              </w:rPr>
              <w:t>والمسافة</w:t>
            </w:r>
            <w:r w:rsidR="00E12AF7" w:rsidRPr="008D22A6">
              <w:rPr>
                <w:rStyle w:val="Lienhypertexte"/>
                <w:rtl/>
              </w:rPr>
              <w:t xml:space="preserve"> </w:t>
            </w:r>
            <w:r w:rsidR="00E12AF7" w:rsidRPr="008D22A6">
              <w:rPr>
                <w:rStyle w:val="Lienhypertexte"/>
                <w:rFonts w:hint="eastAsia"/>
                <w:rtl/>
              </w:rPr>
              <w:t>الإقليدية</w:t>
            </w:r>
            <w:r w:rsidR="00E12AF7" w:rsidRPr="008D22A6">
              <w:rPr>
                <w:rStyle w:val="Lienhypertexte"/>
                <w:rtl/>
              </w:rPr>
              <w:t xml:space="preserve"> </w:t>
            </w:r>
            <w:r w:rsidR="00E12AF7" w:rsidRPr="008D22A6">
              <w:rPr>
                <w:rStyle w:val="Lienhypertexte"/>
                <w:rFonts w:hint="eastAsia"/>
                <w:rtl/>
              </w:rPr>
              <w:t>لأحياء</w:t>
            </w:r>
            <w:r w:rsidR="00E12AF7" w:rsidRPr="008D22A6">
              <w:rPr>
                <w:rStyle w:val="Lienhypertexte"/>
                <w:rtl/>
              </w:rPr>
              <w:t xml:space="preserve"> </w:t>
            </w:r>
            <w:r w:rsidR="00E12AF7" w:rsidRPr="008D22A6">
              <w:rPr>
                <w:rStyle w:val="Lienhypertexte"/>
                <w:rFonts w:hint="eastAsia"/>
                <w:rtl/>
              </w:rPr>
              <w:t>فئات</w:t>
            </w:r>
            <w:r w:rsidR="00E12AF7" w:rsidRPr="008D22A6">
              <w:rPr>
                <w:rStyle w:val="Lienhypertexte"/>
                <w:rtl/>
              </w:rPr>
              <w:t xml:space="preserve"> </w:t>
            </w:r>
            <w:r w:rsidR="00E12AF7" w:rsidRPr="008D22A6">
              <w:rPr>
                <w:rStyle w:val="Lienhypertexte"/>
                <w:rFonts w:hint="eastAsia"/>
                <w:rtl/>
              </w:rPr>
              <w:t>الانسجة</w:t>
            </w:r>
            <w:r w:rsidR="00E12AF7" w:rsidRPr="008D22A6">
              <w:rPr>
                <w:rStyle w:val="Lienhypertexte"/>
                <w:rtl/>
              </w:rPr>
              <w:t xml:space="preserve"> </w:t>
            </w:r>
            <w:r w:rsidR="00E12AF7" w:rsidRPr="008D22A6">
              <w:rPr>
                <w:rStyle w:val="Lienhypertexte"/>
                <w:rFonts w:hint="eastAsia"/>
                <w:rtl/>
              </w:rPr>
              <w:t>الاربعة</w:t>
            </w:r>
            <w:r w:rsidR="00E12AF7" w:rsidRPr="008D22A6">
              <w:rPr>
                <w:rStyle w:val="Lienhypertexte"/>
                <w:rtl/>
              </w:rPr>
              <w:t xml:space="preserve"> (</w:t>
            </w:r>
            <w:r w:rsidR="00E12AF7" w:rsidRPr="008D22A6">
              <w:rPr>
                <w:rStyle w:val="Lienhypertexte"/>
                <w:rFonts w:hint="eastAsia"/>
                <w:rtl/>
              </w:rPr>
              <w:t>أ،</w:t>
            </w:r>
            <w:r w:rsidR="00E12AF7" w:rsidRPr="008D22A6">
              <w:rPr>
                <w:rStyle w:val="Lienhypertexte"/>
                <w:rtl/>
              </w:rPr>
              <w:t xml:space="preserve"> </w:t>
            </w:r>
            <w:r w:rsidR="00E12AF7" w:rsidRPr="008D22A6">
              <w:rPr>
                <w:rStyle w:val="Lienhypertexte"/>
                <w:rFonts w:hint="eastAsia"/>
                <w:rtl/>
              </w:rPr>
              <w:t>ب،</w:t>
            </w:r>
            <w:r w:rsidR="00E12AF7" w:rsidRPr="008D22A6">
              <w:rPr>
                <w:rStyle w:val="Lienhypertexte"/>
                <w:rtl/>
              </w:rPr>
              <w:t xml:space="preserve"> </w:t>
            </w:r>
            <w:r w:rsidR="00E12AF7" w:rsidRPr="008D22A6">
              <w:rPr>
                <w:rStyle w:val="Lienhypertexte"/>
                <w:rFonts w:hint="eastAsia"/>
                <w:rtl/>
              </w:rPr>
              <w:t>جـ،</w:t>
            </w:r>
            <w:r w:rsidR="00E12AF7" w:rsidRPr="008D22A6">
              <w:rPr>
                <w:rStyle w:val="Lienhypertexte"/>
                <w:rtl/>
              </w:rPr>
              <w:t xml:space="preserve"> </w:t>
            </w:r>
            <w:r w:rsidR="00E12AF7" w:rsidRPr="008D22A6">
              <w:rPr>
                <w:rStyle w:val="Lienhypertexte"/>
                <w:rFonts w:hint="eastAsia"/>
                <w:rtl/>
              </w:rPr>
              <w:t>د</w:t>
            </w:r>
            <w:r w:rsidR="00E12AF7" w:rsidRPr="008D22A6">
              <w:rPr>
                <w:rStyle w:val="Lienhypertexte"/>
                <w:rtl/>
              </w:rPr>
              <w:t>).</w:t>
            </w:r>
            <w:r w:rsidR="00E12AF7">
              <w:rPr>
                <w:webHidden/>
              </w:rPr>
              <w:tab/>
            </w:r>
            <w:r w:rsidR="00E12AF7">
              <w:rPr>
                <w:webHidden/>
              </w:rPr>
              <w:fldChar w:fldCharType="begin"/>
            </w:r>
            <w:r w:rsidR="00E12AF7">
              <w:rPr>
                <w:webHidden/>
              </w:rPr>
              <w:instrText xml:space="preserve"> PAGEREF _Toc171803822 \h </w:instrText>
            </w:r>
            <w:r w:rsidR="00E12AF7">
              <w:rPr>
                <w:webHidden/>
              </w:rPr>
            </w:r>
            <w:r w:rsidR="00E12AF7">
              <w:rPr>
                <w:webHidden/>
              </w:rPr>
              <w:fldChar w:fldCharType="separate"/>
            </w:r>
            <w:r>
              <w:rPr>
                <w:webHidden/>
                <w:rtl/>
                <w:lang w:bidi="ar-SA"/>
              </w:rPr>
              <w:t>204</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r:id="rId13" w:anchor="_Toc171803829" w:history="1">
            <w:r w:rsidR="00E12AF7" w:rsidRPr="008D22A6">
              <w:rPr>
                <w:rStyle w:val="Lienhypertexte"/>
                <w:rFonts w:hint="eastAsia"/>
                <w:rtl/>
              </w:rPr>
              <w:t>الشكل</w:t>
            </w:r>
            <w:r w:rsidR="00E12AF7" w:rsidRPr="008D22A6">
              <w:rPr>
                <w:rStyle w:val="Lienhypertexte"/>
                <w:rtl/>
              </w:rPr>
              <w:t xml:space="preserve"> (6-17)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الجار</w:t>
            </w:r>
            <w:r w:rsidR="00E12AF7" w:rsidRPr="008D22A6">
              <w:rPr>
                <w:rStyle w:val="Lienhypertexte"/>
                <w:rtl/>
              </w:rPr>
              <w:t xml:space="preserve"> </w:t>
            </w:r>
            <w:r w:rsidR="00E12AF7" w:rsidRPr="008D22A6">
              <w:rPr>
                <w:rStyle w:val="Lienhypertexte"/>
                <w:rFonts w:hint="eastAsia"/>
                <w:rtl/>
              </w:rPr>
              <w:t>الاقرب</w:t>
            </w:r>
            <w:r w:rsidR="00E12AF7" w:rsidRPr="002D722F">
              <w:rPr>
                <w:rFonts w:hint="eastAsia"/>
                <w:rtl/>
              </w:rPr>
              <w:t xml:space="preserve"> </w:t>
            </w:r>
            <w:r w:rsidR="00E12AF7" w:rsidRPr="002D722F">
              <w:rPr>
                <w:rStyle w:val="Lienhypertexte"/>
                <w:rFonts w:hint="eastAsia"/>
                <w:rtl/>
              </w:rPr>
              <w:t>لمعيار</w:t>
            </w:r>
            <w:r w:rsidR="00E12AF7" w:rsidRPr="002D722F">
              <w:rPr>
                <w:rStyle w:val="Lienhypertexte"/>
                <w:rtl/>
              </w:rPr>
              <w:t xml:space="preserve"> </w:t>
            </w:r>
            <w:r w:rsidR="00E12AF7" w:rsidRPr="002D722F">
              <w:rPr>
                <w:rStyle w:val="Lienhypertexte"/>
                <w:rFonts w:hint="eastAsia"/>
                <w:rtl/>
              </w:rPr>
              <w:t>التكفل</w:t>
            </w:r>
            <w:r w:rsidR="00E12AF7" w:rsidRPr="002D722F">
              <w:rPr>
                <w:rStyle w:val="Lienhypertexte"/>
                <w:rtl/>
              </w:rPr>
              <w:t xml:space="preserve"> </w:t>
            </w:r>
            <w:r w:rsidR="00E12AF7" w:rsidRPr="002D722F">
              <w:rPr>
                <w:rStyle w:val="Lienhypertexte"/>
                <w:rFonts w:hint="eastAsia"/>
                <w:rtl/>
              </w:rPr>
              <w:t>الطبي</w:t>
            </w:r>
            <w:r w:rsidR="009E09C4">
              <w:rPr>
                <w:rStyle w:val="Lienhypertexte"/>
                <w:rFonts w:hint="cs"/>
                <w:rtl/>
              </w:rPr>
              <w:t xml:space="preserve"> </w:t>
            </w:r>
            <w:r w:rsidR="00E12AF7" w:rsidRPr="002D722F">
              <w:rPr>
                <w:rStyle w:val="Lienhypertexte"/>
              </w:rPr>
              <w:t>C1</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_Toc171803829 \h </w:instrText>
            </w:r>
            <w:r w:rsidR="00E12AF7">
              <w:rPr>
                <w:webHidden/>
              </w:rPr>
            </w:r>
            <w:r w:rsidR="00E12AF7">
              <w:rPr>
                <w:webHidden/>
              </w:rPr>
              <w:fldChar w:fldCharType="separate"/>
            </w:r>
            <w:r>
              <w:rPr>
                <w:webHidden/>
                <w:rtl/>
                <w:lang w:bidi="ar-SA"/>
              </w:rPr>
              <w:t>205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r:id="rId14" w:anchor="_Toc171803834" w:history="1">
            <w:r w:rsidR="00E12AF7" w:rsidRPr="008D22A6">
              <w:rPr>
                <w:rStyle w:val="Lienhypertexte"/>
                <w:rFonts w:hint="eastAsia"/>
                <w:rtl/>
              </w:rPr>
              <w:t>الشكل</w:t>
            </w:r>
            <w:r w:rsidR="00E12AF7" w:rsidRPr="008D22A6">
              <w:rPr>
                <w:rStyle w:val="Lienhypertexte"/>
                <w:rtl/>
              </w:rPr>
              <w:t xml:space="preserve"> (6-18)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الجار</w:t>
            </w:r>
            <w:r w:rsidR="00E12AF7" w:rsidRPr="008D22A6">
              <w:rPr>
                <w:rStyle w:val="Lienhypertexte"/>
                <w:rtl/>
              </w:rPr>
              <w:t xml:space="preserve"> </w:t>
            </w:r>
            <w:r w:rsidR="00E12AF7" w:rsidRPr="008D22A6">
              <w:rPr>
                <w:rStyle w:val="Lienhypertexte"/>
                <w:rFonts w:hint="eastAsia"/>
                <w:rtl/>
              </w:rPr>
              <w:t>الاقرب</w:t>
            </w:r>
            <w:r w:rsidR="00E12AF7" w:rsidRPr="002D722F">
              <w:rPr>
                <w:rFonts w:hint="eastAsia"/>
                <w:rtl/>
              </w:rPr>
              <w:t xml:space="preserve"> </w:t>
            </w:r>
            <w:r w:rsidR="00E12AF7" w:rsidRPr="002D722F">
              <w:rPr>
                <w:rStyle w:val="Lienhypertexte"/>
                <w:rFonts w:hint="eastAsia"/>
                <w:rtl/>
              </w:rPr>
              <w:t>لمعيار</w:t>
            </w:r>
            <w:r w:rsidR="00E12AF7" w:rsidRPr="002D722F">
              <w:rPr>
                <w:rStyle w:val="Lienhypertexte"/>
                <w:rtl/>
              </w:rPr>
              <w:t xml:space="preserve"> </w:t>
            </w:r>
            <w:r w:rsidR="00E12AF7" w:rsidRPr="002D722F">
              <w:rPr>
                <w:rStyle w:val="Lienhypertexte"/>
                <w:rFonts w:hint="eastAsia"/>
                <w:rtl/>
              </w:rPr>
              <w:t>الإنقاذ</w:t>
            </w:r>
            <w:r w:rsidR="00E12AF7" w:rsidRPr="002D722F">
              <w:rPr>
                <w:rStyle w:val="Lienhypertexte"/>
                <w:rtl/>
              </w:rPr>
              <w:t xml:space="preserve"> </w:t>
            </w:r>
            <w:r w:rsidR="00E12AF7" w:rsidRPr="002D722F">
              <w:rPr>
                <w:rStyle w:val="Lienhypertexte"/>
                <w:rFonts w:hint="eastAsia"/>
                <w:rtl/>
              </w:rPr>
              <w:t>والإجلاء</w:t>
            </w:r>
            <w:r w:rsidR="00E12AF7" w:rsidRPr="002D722F">
              <w:rPr>
                <w:rStyle w:val="Lienhypertexte"/>
                <w:rtl/>
              </w:rPr>
              <w:t xml:space="preserve"> </w:t>
            </w:r>
            <w:r w:rsidR="00E12AF7" w:rsidRPr="002D722F">
              <w:rPr>
                <w:rStyle w:val="Lienhypertexte"/>
              </w:rPr>
              <w:t>C2</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_Toc171803834 \h </w:instrText>
            </w:r>
            <w:r w:rsidR="00E12AF7">
              <w:rPr>
                <w:webHidden/>
              </w:rPr>
            </w:r>
            <w:r w:rsidR="00E12AF7">
              <w:rPr>
                <w:webHidden/>
              </w:rPr>
              <w:fldChar w:fldCharType="separate"/>
            </w:r>
            <w:r>
              <w:rPr>
                <w:webHidden/>
                <w:rtl/>
                <w:lang w:bidi="ar-SA"/>
              </w:rPr>
              <w:t>206</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r:id="rId15" w:anchor="_Toc171803839" w:history="1">
            <w:r w:rsidR="00E12AF7" w:rsidRPr="008D22A6">
              <w:rPr>
                <w:rStyle w:val="Lienhypertexte"/>
                <w:rFonts w:hint="eastAsia"/>
                <w:rtl/>
              </w:rPr>
              <w:t>الشكل</w:t>
            </w:r>
            <w:r w:rsidR="00E12AF7" w:rsidRPr="008D22A6">
              <w:rPr>
                <w:rStyle w:val="Lienhypertexte"/>
                <w:rtl/>
              </w:rPr>
              <w:t xml:space="preserve"> (6-19)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الجار</w:t>
            </w:r>
            <w:r w:rsidR="00E12AF7" w:rsidRPr="008D22A6">
              <w:rPr>
                <w:rStyle w:val="Lienhypertexte"/>
                <w:rtl/>
              </w:rPr>
              <w:t xml:space="preserve"> </w:t>
            </w:r>
            <w:r w:rsidR="00E12AF7" w:rsidRPr="008D22A6">
              <w:rPr>
                <w:rStyle w:val="Lienhypertexte"/>
                <w:rFonts w:hint="eastAsia"/>
                <w:rtl/>
              </w:rPr>
              <w:t>الاقرب</w:t>
            </w:r>
            <w:r w:rsidR="00E12AF7" w:rsidRPr="002D722F">
              <w:rPr>
                <w:rFonts w:hint="eastAsia"/>
                <w:rtl/>
              </w:rPr>
              <w:t xml:space="preserve"> </w:t>
            </w:r>
            <w:r w:rsidR="00E12AF7" w:rsidRPr="002D722F">
              <w:rPr>
                <w:rStyle w:val="Lienhypertexte"/>
                <w:rFonts w:hint="eastAsia"/>
                <w:rtl/>
              </w:rPr>
              <w:t>لمعيار</w:t>
            </w:r>
            <w:r w:rsidR="00E12AF7" w:rsidRPr="002D722F">
              <w:rPr>
                <w:rStyle w:val="Lienhypertexte"/>
                <w:rtl/>
              </w:rPr>
              <w:t xml:space="preserve"> </w:t>
            </w:r>
            <w:r w:rsidR="00E12AF7" w:rsidRPr="002D722F">
              <w:rPr>
                <w:rStyle w:val="Lienhypertexte"/>
                <w:rFonts w:hint="eastAsia"/>
                <w:rtl/>
              </w:rPr>
              <w:t>الأمن</w:t>
            </w:r>
            <w:r w:rsidR="00E12AF7" w:rsidRPr="002D722F">
              <w:rPr>
                <w:rStyle w:val="Lienhypertexte"/>
                <w:rtl/>
              </w:rPr>
              <w:t xml:space="preserve"> </w:t>
            </w:r>
            <w:r w:rsidR="00E12AF7" w:rsidRPr="002D722F">
              <w:rPr>
                <w:rStyle w:val="Lienhypertexte"/>
              </w:rPr>
              <w:t>C3</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_Toc171803839 \h </w:instrText>
            </w:r>
            <w:r w:rsidR="00E12AF7">
              <w:rPr>
                <w:webHidden/>
              </w:rPr>
            </w:r>
            <w:r w:rsidR="00E12AF7">
              <w:rPr>
                <w:webHidden/>
              </w:rPr>
              <w:fldChar w:fldCharType="separate"/>
            </w:r>
            <w:r>
              <w:rPr>
                <w:webHidden/>
                <w:rtl/>
                <w:lang w:bidi="ar-SA"/>
              </w:rPr>
              <w:t>207</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r:id="rId16" w:anchor="_Toc171803842" w:history="1">
            <w:r w:rsidR="00E12AF7" w:rsidRPr="008D22A6">
              <w:rPr>
                <w:rStyle w:val="Lienhypertexte"/>
                <w:rFonts w:hint="eastAsia"/>
                <w:rtl/>
              </w:rPr>
              <w:t>الشكل</w:t>
            </w:r>
            <w:r w:rsidR="00E12AF7" w:rsidRPr="008D22A6">
              <w:rPr>
                <w:rStyle w:val="Lienhypertexte"/>
                <w:rtl/>
              </w:rPr>
              <w:t xml:space="preserve"> (6-20)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الجار</w:t>
            </w:r>
            <w:r w:rsidR="00E12AF7" w:rsidRPr="008D22A6">
              <w:rPr>
                <w:rStyle w:val="Lienhypertexte"/>
                <w:rtl/>
              </w:rPr>
              <w:t xml:space="preserve"> </w:t>
            </w:r>
            <w:r w:rsidR="00E12AF7" w:rsidRPr="008D22A6">
              <w:rPr>
                <w:rStyle w:val="Lienhypertexte"/>
                <w:rFonts w:hint="eastAsia"/>
                <w:rtl/>
              </w:rPr>
              <w:t>الاقرب</w:t>
            </w:r>
            <w:r w:rsidR="00E12AF7" w:rsidRPr="002D722F">
              <w:rPr>
                <w:rFonts w:hint="eastAsia"/>
                <w:rtl/>
              </w:rPr>
              <w:t xml:space="preserve"> </w:t>
            </w:r>
            <w:r w:rsidR="00E12AF7" w:rsidRPr="002D722F">
              <w:rPr>
                <w:rStyle w:val="Lienhypertexte"/>
                <w:rFonts w:hint="eastAsia"/>
                <w:rtl/>
              </w:rPr>
              <w:t>لمعيار</w:t>
            </w:r>
            <w:r w:rsidR="00E12AF7" w:rsidRPr="002D722F">
              <w:rPr>
                <w:rStyle w:val="Lienhypertexte"/>
                <w:rtl/>
              </w:rPr>
              <w:t xml:space="preserve"> </w:t>
            </w:r>
            <w:r w:rsidR="00E12AF7" w:rsidRPr="002D722F">
              <w:rPr>
                <w:rStyle w:val="Lienhypertexte"/>
                <w:rFonts w:hint="eastAsia"/>
                <w:rtl/>
              </w:rPr>
              <w:t>الايواء</w:t>
            </w:r>
            <w:r w:rsidR="00E12AF7" w:rsidRPr="002D722F">
              <w:rPr>
                <w:rStyle w:val="Lienhypertexte"/>
                <w:rtl/>
              </w:rPr>
              <w:t xml:space="preserve"> </w:t>
            </w:r>
            <w:r w:rsidR="00E12AF7" w:rsidRPr="002D722F">
              <w:rPr>
                <w:rStyle w:val="Lienhypertexte"/>
                <w:rFonts w:hint="eastAsia"/>
                <w:rtl/>
              </w:rPr>
              <w:t>المؤقت</w:t>
            </w:r>
            <w:r w:rsidR="00E12AF7" w:rsidRPr="002D722F">
              <w:rPr>
                <w:rStyle w:val="Lienhypertexte"/>
                <w:rtl/>
              </w:rPr>
              <w:t xml:space="preserve">  </w:t>
            </w:r>
            <w:r w:rsidR="00E12AF7" w:rsidRPr="002D722F">
              <w:rPr>
                <w:rStyle w:val="Lienhypertexte"/>
              </w:rPr>
              <w:t>C4</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_Toc171803842 \h </w:instrText>
            </w:r>
            <w:r w:rsidR="00E12AF7">
              <w:rPr>
                <w:webHidden/>
              </w:rPr>
            </w:r>
            <w:r w:rsidR="00E12AF7">
              <w:rPr>
                <w:webHidden/>
              </w:rPr>
              <w:fldChar w:fldCharType="separate"/>
            </w:r>
            <w:r>
              <w:rPr>
                <w:webHidden/>
                <w:rtl/>
                <w:lang w:bidi="ar-SA"/>
              </w:rPr>
              <w:t>208</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r:id="rId17" w:anchor="_Toc171803849" w:history="1">
            <w:r w:rsidR="00E12AF7" w:rsidRPr="008D22A6">
              <w:rPr>
                <w:rStyle w:val="Lienhypertexte"/>
                <w:rFonts w:hint="eastAsia"/>
                <w:rtl/>
              </w:rPr>
              <w:t>الشكل</w:t>
            </w:r>
            <w:r w:rsidR="00E12AF7" w:rsidRPr="008D22A6">
              <w:rPr>
                <w:rStyle w:val="Lienhypertexte"/>
                <w:rtl/>
              </w:rPr>
              <w:t xml:space="preserve"> (6-21) </w:t>
            </w:r>
            <w:r w:rsidR="00E12AF7" w:rsidRPr="008D22A6">
              <w:rPr>
                <w:rStyle w:val="Lienhypertexte"/>
                <w:rFonts w:hint="eastAsia"/>
                <w:rtl/>
              </w:rPr>
              <w:t>تحليل</w:t>
            </w:r>
            <w:r w:rsidR="00E12AF7" w:rsidRPr="008D22A6">
              <w:rPr>
                <w:rStyle w:val="Lienhypertexte"/>
                <w:rtl/>
              </w:rPr>
              <w:t xml:space="preserve"> </w:t>
            </w:r>
            <w:r w:rsidR="00E12AF7" w:rsidRPr="008D22A6">
              <w:rPr>
                <w:rStyle w:val="Lienhypertexte"/>
                <w:rFonts w:hint="eastAsia"/>
                <w:rtl/>
              </w:rPr>
              <w:t>الجار</w:t>
            </w:r>
            <w:r w:rsidR="00E12AF7" w:rsidRPr="008D22A6">
              <w:rPr>
                <w:rStyle w:val="Lienhypertexte"/>
                <w:rtl/>
              </w:rPr>
              <w:t xml:space="preserve"> </w:t>
            </w:r>
            <w:r w:rsidR="00E12AF7" w:rsidRPr="008D22A6">
              <w:rPr>
                <w:rStyle w:val="Lienhypertexte"/>
                <w:rFonts w:hint="eastAsia"/>
                <w:rtl/>
              </w:rPr>
              <w:t>الاقرب</w:t>
            </w:r>
            <w:r w:rsidR="00E12AF7" w:rsidRPr="002D722F">
              <w:rPr>
                <w:rFonts w:hint="eastAsia"/>
                <w:rtl/>
              </w:rPr>
              <w:t xml:space="preserve"> </w:t>
            </w:r>
            <w:r w:rsidR="00E12AF7" w:rsidRPr="002D722F">
              <w:rPr>
                <w:rStyle w:val="Lienhypertexte"/>
                <w:rFonts w:hint="eastAsia"/>
                <w:rtl/>
              </w:rPr>
              <w:t>لمعيار</w:t>
            </w:r>
            <w:r w:rsidR="00E12AF7" w:rsidRPr="002D722F">
              <w:rPr>
                <w:rStyle w:val="Lienhypertexte"/>
                <w:rtl/>
              </w:rPr>
              <w:t xml:space="preserve"> </w:t>
            </w:r>
            <w:r w:rsidR="00E12AF7" w:rsidRPr="002D722F">
              <w:rPr>
                <w:rStyle w:val="Lienhypertexte"/>
                <w:rFonts w:hint="eastAsia"/>
                <w:rtl/>
              </w:rPr>
              <w:t>التضامن</w:t>
            </w:r>
            <w:r w:rsidR="00E12AF7" w:rsidRPr="002D722F">
              <w:rPr>
                <w:rStyle w:val="Lienhypertexte"/>
                <w:rtl/>
              </w:rPr>
              <w:t xml:space="preserve"> </w:t>
            </w:r>
            <w:r w:rsidR="00E12AF7" w:rsidRPr="002D722F">
              <w:rPr>
                <w:rStyle w:val="Lienhypertexte"/>
                <w:rFonts w:hint="eastAsia"/>
                <w:rtl/>
              </w:rPr>
              <w:t>والتموين</w:t>
            </w:r>
            <w:r w:rsidR="00E12AF7" w:rsidRPr="002D722F">
              <w:rPr>
                <w:rStyle w:val="Lienhypertexte"/>
                <w:rtl/>
              </w:rPr>
              <w:t xml:space="preserve"> </w:t>
            </w:r>
            <w:r w:rsidR="00E12AF7" w:rsidRPr="002D722F">
              <w:rPr>
                <w:rStyle w:val="Lienhypertexte"/>
              </w:rPr>
              <w:t>C5</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_Toc171803849 \h </w:instrText>
            </w:r>
            <w:r w:rsidR="00E12AF7">
              <w:rPr>
                <w:webHidden/>
              </w:rPr>
            </w:r>
            <w:r w:rsidR="00E12AF7">
              <w:rPr>
                <w:webHidden/>
              </w:rPr>
              <w:fldChar w:fldCharType="separate"/>
            </w:r>
            <w:r>
              <w:rPr>
                <w:webHidden/>
                <w:rtl/>
                <w:lang w:bidi="ar-SA"/>
              </w:rPr>
              <w:t>209</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871" w:history="1">
            <w:r w:rsidR="00E12AF7" w:rsidRPr="008D22A6">
              <w:rPr>
                <w:rStyle w:val="Lienhypertexte"/>
                <w:rFonts w:hint="eastAsia"/>
                <w:rtl/>
              </w:rPr>
              <w:t>الشكل</w:t>
            </w:r>
            <w:r w:rsidR="00E12AF7" w:rsidRPr="008D22A6">
              <w:rPr>
                <w:rStyle w:val="Lienhypertexte"/>
                <w:rtl/>
              </w:rPr>
              <w:t xml:space="preserve"> (6-22): </w:t>
            </w:r>
            <w:r w:rsidR="00E12AF7" w:rsidRPr="008D22A6">
              <w:rPr>
                <w:rStyle w:val="Lienhypertexte"/>
                <w:rFonts w:hint="eastAsia"/>
                <w:rtl/>
              </w:rPr>
              <w:t>مساحة</w:t>
            </w:r>
            <w:r w:rsidR="00E12AF7" w:rsidRPr="008D22A6">
              <w:rPr>
                <w:rStyle w:val="Lienhypertexte"/>
                <w:rtl/>
              </w:rPr>
              <w:t xml:space="preserve"> </w:t>
            </w:r>
            <w:r w:rsidR="00E12AF7" w:rsidRPr="008D22A6">
              <w:rPr>
                <w:rStyle w:val="Lienhypertexte"/>
                <w:rFonts w:hint="eastAsia"/>
                <w:rtl/>
              </w:rPr>
              <w:t>التغطية</w:t>
            </w:r>
            <w:r w:rsidR="00E12AF7" w:rsidRPr="008D22A6">
              <w:rPr>
                <w:rStyle w:val="Lienhypertexte"/>
                <w:rtl/>
              </w:rPr>
              <w:t xml:space="preserve"> </w:t>
            </w:r>
            <w:r w:rsidR="00E12AF7" w:rsidRPr="008D22A6">
              <w:rPr>
                <w:rStyle w:val="Lienhypertexte"/>
                <w:rFonts w:hint="eastAsia"/>
                <w:rtl/>
              </w:rPr>
              <w:t>بالخدمة</w:t>
            </w:r>
            <w:r w:rsidR="00E12AF7" w:rsidRPr="008D22A6">
              <w:rPr>
                <w:rStyle w:val="Lienhypertexte"/>
                <w:rtl/>
              </w:rPr>
              <w:t xml:space="preserve"> </w:t>
            </w:r>
            <w:r w:rsidR="00E12AF7" w:rsidRPr="008D22A6">
              <w:rPr>
                <w:rStyle w:val="Lienhypertexte"/>
                <w:rFonts w:hint="eastAsia"/>
                <w:rtl/>
              </w:rPr>
              <w:t>وقيم</w:t>
            </w:r>
            <w:r w:rsidR="00E12AF7" w:rsidRPr="008D22A6">
              <w:rPr>
                <w:rStyle w:val="Lienhypertexte"/>
                <w:rtl/>
              </w:rPr>
              <w:t xml:space="preserve"> </w:t>
            </w:r>
            <w:r w:rsidR="00E12AF7" w:rsidRPr="008D22A6">
              <w:rPr>
                <w:rStyle w:val="Lienhypertexte"/>
                <w:rFonts w:hint="eastAsia"/>
                <w:rtl/>
              </w:rPr>
              <w:t>تنوع</w:t>
            </w:r>
            <w:r w:rsidR="00E12AF7" w:rsidRPr="008D22A6">
              <w:rPr>
                <w:rStyle w:val="Lienhypertexte"/>
                <w:rtl/>
              </w:rPr>
              <w:t xml:space="preserve"> </w:t>
            </w:r>
            <w:r w:rsidR="00E12AF7" w:rsidRPr="008D22A6">
              <w:rPr>
                <w:rStyle w:val="Lienhypertexte"/>
                <w:rFonts w:hint="eastAsia"/>
                <w:rtl/>
              </w:rPr>
              <w:t>المرافق</w:t>
            </w:r>
            <w:r w:rsidR="00E12AF7" w:rsidRPr="008D22A6">
              <w:rPr>
                <w:rStyle w:val="Lienhypertexte"/>
                <w:rtl/>
              </w:rPr>
              <w:t xml:space="preserve"> </w:t>
            </w:r>
            <w:r w:rsidR="00E12AF7" w:rsidRPr="008D22A6">
              <w:rPr>
                <w:rStyle w:val="Lienhypertexte"/>
                <w:rFonts w:hint="eastAsia"/>
                <w:rtl/>
              </w:rPr>
              <w:t>عبر</w:t>
            </w:r>
            <w:r w:rsidR="00E12AF7" w:rsidRPr="008D22A6">
              <w:rPr>
                <w:rStyle w:val="Lienhypertexte"/>
                <w:rtl/>
              </w:rPr>
              <w:t xml:space="preserve"> </w:t>
            </w:r>
            <w:r w:rsidR="00E12AF7" w:rsidRPr="008D22A6">
              <w:rPr>
                <w:rStyle w:val="Lienhypertexte"/>
                <w:rFonts w:hint="eastAsia"/>
                <w:rtl/>
              </w:rPr>
              <w:t>أحياء</w:t>
            </w:r>
            <w:r w:rsidR="00E12AF7" w:rsidRPr="008D22A6">
              <w:rPr>
                <w:rStyle w:val="Lienhypertexte"/>
                <w:rtl/>
              </w:rPr>
              <w:t xml:space="preserve"> </w:t>
            </w:r>
            <w:r w:rsidR="00E12AF7" w:rsidRPr="008D22A6">
              <w:rPr>
                <w:rStyle w:val="Lienhypertexte"/>
                <w:rFonts w:hint="eastAsia"/>
                <w:rtl/>
              </w:rPr>
              <w:t>فئات</w:t>
            </w:r>
            <w:r w:rsidR="00E12AF7" w:rsidRPr="008D22A6">
              <w:rPr>
                <w:rStyle w:val="Lienhypertexte"/>
                <w:rtl/>
              </w:rPr>
              <w:t xml:space="preserve"> </w:t>
            </w:r>
            <w:r w:rsidR="00E12AF7" w:rsidRPr="008D22A6">
              <w:rPr>
                <w:rStyle w:val="Lienhypertexte"/>
                <w:rFonts w:hint="eastAsia"/>
                <w:rtl/>
              </w:rPr>
              <w:t>الانسجة</w:t>
            </w:r>
            <w:r w:rsidR="00E12AF7" w:rsidRPr="008D22A6">
              <w:rPr>
                <w:rStyle w:val="Lienhypertexte"/>
                <w:rtl/>
              </w:rPr>
              <w:t xml:space="preserve"> </w:t>
            </w:r>
            <w:r w:rsidR="00E12AF7" w:rsidRPr="008D22A6">
              <w:rPr>
                <w:rStyle w:val="Lienhypertexte"/>
                <w:rFonts w:hint="eastAsia"/>
                <w:rtl/>
              </w:rPr>
              <w:t>الحضرية</w:t>
            </w:r>
            <w:r w:rsidR="00E12AF7" w:rsidRPr="008D22A6">
              <w:rPr>
                <w:rStyle w:val="Lienhypertexte"/>
                <w:rtl/>
              </w:rPr>
              <w:t xml:space="preserve"> </w:t>
            </w:r>
            <w:r w:rsidR="00E12AF7" w:rsidRPr="008D22A6">
              <w:rPr>
                <w:rStyle w:val="Lienhypertexte"/>
                <w:rFonts w:hint="eastAsia"/>
                <w:rtl/>
              </w:rPr>
              <w:t>الاربعة</w:t>
            </w:r>
            <w:r w:rsidR="009E09C4">
              <w:rPr>
                <w:rStyle w:val="Lienhypertexte"/>
                <w:rtl/>
              </w:rPr>
              <w:t>………</w:t>
            </w:r>
            <w:r w:rsidR="009E09C4">
              <w:rPr>
                <w:rStyle w:val="Lienhypertexte"/>
                <w:rFonts w:hint="cs"/>
                <w:rtl/>
              </w:rPr>
              <w:t>.</w:t>
            </w:r>
            <w:r w:rsidR="009E09C4">
              <w:rPr>
                <w:rStyle w:val="Lienhypertexte"/>
                <w:rtl/>
              </w:rPr>
              <w:t>……</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_Toc171803871 \h </w:instrText>
            </w:r>
            <w:r w:rsidR="00E12AF7">
              <w:rPr>
                <w:webHidden/>
              </w:rPr>
            </w:r>
            <w:r w:rsidR="00E12AF7">
              <w:rPr>
                <w:webHidden/>
              </w:rPr>
              <w:fldChar w:fldCharType="separate"/>
            </w:r>
            <w:r>
              <w:rPr>
                <w:webHidden/>
                <w:rtl/>
                <w:lang w:bidi="ar-SA"/>
              </w:rPr>
              <w:t>215</w:t>
            </w:r>
            <w:r w:rsidR="00E12AF7">
              <w:rPr>
                <w:webHidden/>
              </w:rPr>
              <w:fldChar w:fldCharType="end"/>
            </w:r>
          </w:hyperlink>
        </w:p>
        <w:p w:rsidR="00E12AF7" w:rsidRDefault="00B62F86" w:rsidP="009579D2">
          <w:pPr>
            <w:pStyle w:val="TM1"/>
            <w:rPr>
              <w:rFonts w:asciiTheme="minorHAnsi" w:hAnsiTheme="minorHAnsi" w:cstheme="minorBidi"/>
              <w:color w:val="auto"/>
              <w:lang w:val="fr-FR" w:bidi="ar-SA"/>
            </w:rPr>
          </w:pPr>
          <w:hyperlink w:anchor="_Toc171803885" w:history="1">
            <w:r w:rsidR="00E12AF7" w:rsidRPr="008D22A6">
              <w:rPr>
                <w:rStyle w:val="Lienhypertexte"/>
                <w:rFonts w:hint="eastAsia"/>
                <w:rtl/>
              </w:rPr>
              <w:t>الشكل</w:t>
            </w:r>
            <w:r w:rsidR="00E12AF7" w:rsidRPr="008D22A6">
              <w:rPr>
                <w:rStyle w:val="Lienhypertexte"/>
                <w:rtl/>
              </w:rPr>
              <w:t xml:space="preserve"> (6-23): </w:t>
            </w:r>
            <w:r w:rsidR="00E12AF7" w:rsidRPr="008D22A6">
              <w:rPr>
                <w:rStyle w:val="Lienhypertexte"/>
                <w:rFonts w:hint="eastAsia"/>
                <w:rtl/>
              </w:rPr>
              <w:t>مقارنة</w:t>
            </w:r>
            <w:r w:rsidR="00E12AF7" w:rsidRPr="008D22A6">
              <w:rPr>
                <w:rStyle w:val="Lienhypertexte"/>
                <w:rtl/>
              </w:rPr>
              <w:t xml:space="preserve"> </w:t>
            </w:r>
            <w:r w:rsidR="00E12AF7" w:rsidRPr="008D22A6">
              <w:rPr>
                <w:rStyle w:val="Lienhypertexte"/>
                <w:rFonts w:hint="eastAsia"/>
                <w:rtl/>
              </w:rPr>
              <w:t>متوسط</w:t>
            </w:r>
            <w:r w:rsidR="00E12AF7" w:rsidRPr="008D22A6">
              <w:rPr>
                <w:rStyle w:val="Lienhypertexte"/>
                <w:rtl/>
              </w:rPr>
              <w:t xml:space="preserve"> </w:t>
            </w:r>
            <w:r w:rsidR="00E12AF7" w:rsidRPr="008D22A6">
              <w:rPr>
                <w:rStyle w:val="Lienhypertexte"/>
                <w:rFonts w:hint="eastAsia"/>
                <w:rtl/>
              </w:rPr>
              <w:t>عمق</w:t>
            </w:r>
            <w:r w:rsidR="00E12AF7" w:rsidRPr="008D22A6">
              <w:rPr>
                <w:rStyle w:val="Lienhypertexte"/>
                <w:rtl/>
              </w:rPr>
              <w:t xml:space="preserve"> </w:t>
            </w:r>
            <w:r w:rsidR="00E12AF7" w:rsidRPr="008D22A6">
              <w:rPr>
                <w:rStyle w:val="Lienhypertexte"/>
                <w:rFonts w:hint="eastAsia"/>
                <w:rtl/>
              </w:rPr>
              <w:t>الطرق</w:t>
            </w:r>
            <w:r w:rsidR="00E12AF7" w:rsidRPr="008D22A6">
              <w:rPr>
                <w:rStyle w:val="Lienhypertexte"/>
                <w:rtl/>
              </w:rPr>
              <w:t xml:space="preserve"> </w:t>
            </w:r>
            <w:r w:rsidR="00E12AF7" w:rsidRPr="008D22A6">
              <w:rPr>
                <w:rStyle w:val="Lienhypertexte"/>
                <w:rFonts w:hint="eastAsia"/>
                <w:rtl/>
              </w:rPr>
              <w:t>الرئيسية</w:t>
            </w:r>
            <w:r w:rsidR="00E12AF7" w:rsidRPr="008D22A6">
              <w:rPr>
                <w:rStyle w:val="Lienhypertexte"/>
                <w:rtl/>
              </w:rPr>
              <w:t xml:space="preserve"> </w:t>
            </w:r>
            <w:r w:rsidR="00E12AF7" w:rsidRPr="008D22A6">
              <w:rPr>
                <w:rStyle w:val="Lienhypertexte"/>
                <w:rFonts w:hint="eastAsia"/>
                <w:rtl/>
              </w:rPr>
              <w:t>والثانوية</w:t>
            </w:r>
            <w:r w:rsidR="00E12AF7" w:rsidRPr="008D22A6">
              <w:rPr>
                <w:rStyle w:val="Lienhypertexte"/>
                <w:rtl/>
              </w:rPr>
              <w:t xml:space="preserve"> </w:t>
            </w:r>
            <w:r w:rsidR="00E12AF7" w:rsidRPr="008D22A6">
              <w:rPr>
                <w:rStyle w:val="Lienhypertexte"/>
                <w:rFonts w:hint="eastAsia"/>
                <w:rtl/>
              </w:rPr>
              <w:t>عبر</w:t>
            </w:r>
            <w:r w:rsidR="00E12AF7" w:rsidRPr="008D22A6">
              <w:rPr>
                <w:rStyle w:val="Lienhypertexte"/>
                <w:rtl/>
              </w:rPr>
              <w:t xml:space="preserve"> </w:t>
            </w:r>
            <w:r w:rsidR="00E12AF7" w:rsidRPr="008D22A6">
              <w:rPr>
                <w:rStyle w:val="Lienhypertexte"/>
                <w:rFonts w:hint="eastAsia"/>
                <w:rtl/>
              </w:rPr>
              <w:t>حي</w:t>
            </w:r>
            <w:r w:rsidR="00E12AF7" w:rsidRPr="008D22A6">
              <w:rPr>
                <w:rStyle w:val="Lienhypertexte"/>
                <w:rtl/>
              </w:rPr>
              <w:t xml:space="preserve"> </w:t>
            </w:r>
            <w:r w:rsidR="00E12AF7" w:rsidRPr="008D22A6">
              <w:rPr>
                <w:rStyle w:val="Lienhypertexte"/>
                <w:rFonts w:hint="eastAsia"/>
                <w:rtl/>
              </w:rPr>
              <w:t>القصر،</w:t>
            </w:r>
            <w:r w:rsidR="00E12AF7" w:rsidRPr="008D22A6">
              <w:rPr>
                <w:rStyle w:val="Lienhypertexte"/>
                <w:rtl/>
              </w:rPr>
              <w:t xml:space="preserve"> </w:t>
            </w:r>
            <w:r w:rsidR="00E12AF7" w:rsidRPr="008D22A6">
              <w:rPr>
                <w:rStyle w:val="Lienhypertexte"/>
                <w:rFonts w:hint="eastAsia"/>
                <w:rtl/>
              </w:rPr>
              <w:t>بلاتو،</w:t>
            </w:r>
            <w:r w:rsidR="00E12AF7" w:rsidRPr="008D22A6">
              <w:rPr>
                <w:rStyle w:val="Lienhypertexte"/>
                <w:rtl/>
              </w:rPr>
              <w:t xml:space="preserve"> </w:t>
            </w:r>
            <w:r w:rsidR="00E12AF7" w:rsidRPr="008D22A6">
              <w:rPr>
                <w:rStyle w:val="Lienhypertexte"/>
                <w:rFonts w:hint="eastAsia"/>
                <w:rtl/>
              </w:rPr>
              <w:t>سيدي</w:t>
            </w:r>
            <w:r w:rsidR="00E12AF7" w:rsidRPr="008D22A6">
              <w:rPr>
                <w:rStyle w:val="Lienhypertexte"/>
                <w:rtl/>
              </w:rPr>
              <w:t xml:space="preserve"> </w:t>
            </w:r>
            <w:r w:rsidR="00E12AF7" w:rsidRPr="008D22A6">
              <w:rPr>
                <w:rStyle w:val="Lienhypertexte"/>
                <w:rFonts w:hint="eastAsia"/>
                <w:rtl/>
              </w:rPr>
              <w:t>سليمان</w:t>
            </w:r>
            <w:r w:rsidR="00E12AF7" w:rsidRPr="008D22A6">
              <w:rPr>
                <w:rStyle w:val="Lienhypertexte"/>
                <w:rtl/>
              </w:rPr>
              <w:t xml:space="preserve"> </w:t>
            </w:r>
            <w:r w:rsidR="00E12AF7" w:rsidRPr="008D22A6">
              <w:rPr>
                <w:rStyle w:val="Lienhypertexte"/>
                <w:rFonts w:hint="eastAsia"/>
                <w:rtl/>
              </w:rPr>
              <w:t>والحمايد</w:t>
            </w:r>
            <w:r w:rsidR="009E09C4">
              <w:rPr>
                <w:rStyle w:val="Lienhypertexte"/>
                <w:rFonts w:hint="cs"/>
                <w:rtl/>
              </w:rPr>
              <w:t>........</w:t>
            </w:r>
            <w:r w:rsidR="00E12AF7">
              <w:rPr>
                <w:webHidden/>
              </w:rPr>
              <w:tab/>
            </w:r>
            <w:r w:rsidR="00E12AF7">
              <w:rPr>
                <w:webHidden/>
              </w:rPr>
              <w:fldChar w:fldCharType="begin"/>
            </w:r>
            <w:r w:rsidR="00E12AF7">
              <w:rPr>
                <w:webHidden/>
              </w:rPr>
              <w:instrText xml:space="preserve"> PAGEREF _Toc171803885 \h </w:instrText>
            </w:r>
            <w:r w:rsidR="00E12AF7">
              <w:rPr>
                <w:webHidden/>
              </w:rPr>
            </w:r>
            <w:r w:rsidR="00E12AF7">
              <w:rPr>
                <w:webHidden/>
              </w:rPr>
              <w:fldChar w:fldCharType="separate"/>
            </w:r>
            <w:r>
              <w:rPr>
                <w:webHidden/>
                <w:rtl/>
                <w:lang w:bidi="ar-SA"/>
              </w:rPr>
              <w:t>220</w:t>
            </w:r>
            <w:r w:rsidR="00E12AF7">
              <w:rPr>
                <w:webHidden/>
              </w:rPr>
              <w:fldChar w:fldCharType="end"/>
            </w:r>
          </w:hyperlink>
        </w:p>
        <w:p w:rsidR="00E12AF7" w:rsidRDefault="00B62F86" w:rsidP="009579D2">
          <w:pPr>
            <w:pStyle w:val="TM1"/>
            <w:rPr>
              <w:rFonts w:eastAsiaTheme="minorHAnsi"/>
              <w:noProof w:val="0"/>
              <w:color w:val="auto"/>
              <w:lang w:val="fr-FR" w:eastAsia="en-US" w:bidi="ar-SA"/>
            </w:rPr>
          </w:pPr>
          <w:hyperlink w:anchor="_Toc171803898" w:history="1">
            <w:r w:rsidR="00E12AF7" w:rsidRPr="008D22A6">
              <w:rPr>
                <w:rStyle w:val="Lienhypertexte"/>
                <w:rFonts w:hint="eastAsia"/>
                <w:rtl/>
              </w:rPr>
              <w:t>الشكل</w:t>
            </w:r>
            <w:r w:rsidR="00E12AF7" w:rsidRPr="008D22A6">
              <w:rPr>
                <w:rStyle w:val="Lienhypertexte"/>
                <w:rtl/>
              </w:rPr>
              <w:t xml:space="preserve"> </w:t>
            </w:r>
            <w:r w:rsidR="00E12AF7" w:rsidRPr="008D22A6">
              <w:rPr>
                <w:rStyle w:val="Lienhypertexte"/>
                <w:rFonts w:hint="eastAsia"/>
                <w:rtl/>
              </w:rPr>
              <w:t>رقم</w:t>
            </w:r>
            <w:r w:rsidR="00E12AF7" w:rsidRPr="008D22A6">
              <w:rPr>
                <w:rStyle w:val="Lienhypertexte"/>
                <w:rtl/>
              </w:rPr>
              <w:t xml:space="preserve"> (6-24) </w:t>
            </w:r>
            <w:r w:rsidR="00E12AF7" w:rsidRPr="008D22A6">
              <w:rPr>
                <w:rStyle w:val="Lienhypertexte"/>
                <w:rFonts w:hint="eastAsia"/>
                <w:rtl/>
              </w:rPr>
              <w:t>الأعمدة</w:t>
            </w:r>
            <w:r w:rsidR="00E12AF7" w:rsidRPr="008D22A6">
              <w:rPr>
                <w:rStyle w:val="Lienhypertexte"/>
                <w:rtl/>
              </w:rPr>
              <w:t xml:space="preserve"> </w:t>
            </w:r>
            <w:r w:rsidR="00E12AF7" w:rsidRPr="008D22A6">
              <w:rPr>
                <w:rStyle w:val="Lienhypertexte"/>
                <w:rFonts w:hint="eastAsia"/>
                <w:rtl/>
              </w:rPr>
              <w:t>المشتركة</w:t>
            </w:r>
            <w:r w:rsidR="00E12AF7" w:rsidRPr="008D22A6">
              <w:rPr>
                <w:rStyle w:val="Lienhypertexte"/>
                <w:rtl/>
              </w:rPr>
              <w:t xml:space="preserve">: </w:t>
            </w:r>
            <w:r w:rsidR="00E12AF7" w:rsidRPr="008D22A6">
              <w:rPr>
                <w:rStyle w:val="Lienhypertexte"/>
                <w:rFonts w:hint="eastAsia"/>
                <w:rtl/>
              </w:rPr>
              <w:t>كثافة</w:t>
            </w:r>
            <w:r w:rsidR="00E12AF7" w:rsidRPr="008D22A6">
              <w:rPr>
                <w:rStyle w:val="Lienhypertexte"/>
                <w:rtl/>
              </w:rPr>
              <w:t xml:space="preserve"> </w:t>
            </w:r>
            <w:r w:rsidR="00E12AF7" w:rsidRPr="008D22A6">
              <w:rPr>
                <w:rStyle w:val="Lienhypertexte"/>
                <w:rFonts w:hint="eastAsia"/>
                <w:rtl/>
              </w:rPr>
              <w:t>شبكة</w:t>
            </w:r>
            <w:r w:rsidR="00E12AF7" w:rsidRPr="008D22A6">
              <w:rPr>
                <w:rStyle w:val="Lienhypertexte"/>
                <w:rtl/>
              </w:rPr>
              <w:t xml:space="preserve"> </w:t>
            </w:r>
            <w:r w:rsidR="00E12AF7" w:rsidRPr="008D22A6">
              <w:rPr>
                <w:rStyle w:val="Lienhypertexte"/>
                <w:rFonts w:hint="eastAsia"/>
                <w:rtl/>
              </w:rPr>
              <w:t>الشوارع،</w:t>
            </w:r>
            <w:r w:rsidR="00E12AF7" w:rsidRPr="008D22A6">
              <w:rPr>
                <w:rStyle w:val="Lienhypertexte"/>
                <w:rtl/>
              </w:rPr>
              <w:t xml:space="preserve"> </w:t>
            </w:r>
            <w:r w:rsidR="00E12AF7" w:rsidRPr="008D22A6">
              <w:rPr>
                <w:rStyle w:val="Lienhypertexte"/>
                <w:rFonts w:hint="eastAsia"/>
                <w:rtl/>
              </w:rPr>
              <w:t>نسبة</w:t>
            </w:r>
            <w:r w:rsidR="00E12AF7" w:rsidRPr="008D22A6">
              <w:rPr>
                <w:rStyle w:val="Lienhypertexte"/>
                <w:rtl/>
              </w:rPr>
              <w:t xml:space="preserve"> </w:t>
            </w:r>
            <w:r w:rsidR="00E12AF7" w:rsidRPr="008D22A6">
              <w:rPr>
                <w:rStyle w:val="Lienhypertexte"/>
                <w:rFonts w:hint="eastAsia"/>
                <w:rtl/>
              </w:rPr>
              <w:t>العقد</w:t>
            </w:r>
            <w:r w:rsidR="00E12AF7" w:rsidRPr="008D22A6">
              <w:rPr>
                <w:rStyle w:val="Lienhypertexte"/>
                <w:rtl/>
              </w:rPr>
              <w:t xml:space="preserve"> </w:t>
            </w:r>
            <w:r w:rsidR="00E12AF7" w:rsidRPr="008D22A6">
              <w:rPr>
                <w:rStyle w:val="Lienhypertexte"/>
                <w:rFonts w:hint="eastAsia"/>
                <w:rtl/>
              </w:rPr>
              <w:t>الموصولة،</w:t>
            </w:r>
            <w:r w:rsidR="00E12AF7" w:rsidRPr="008D22A6">
              <w:rPr>
                <w:rStyle w:val="Lienhypertexte"/>
                <w:rtl/>
              </w:rPr>
              <w:t xml:space="preserve"> </w:t>
            </w:r>
            <w:r w:rsidR="00E12AF7" w:rsidRPr="008D22A6">
              <w:rPr>
                <w:rStyle w:val="Lienhypertexte"/>
                <w:rFonts w:hint="eastAsia"/>
                <w:rtl/>
              </w:rPr>
              <w:t>نسبة</w:t>
            </w:r>
            <w:r w:rsidR="00E12AF7" w:rsidRPr="008D22A6">
              <w:rPr>
                <w:rStyle w:val="Lienhypertexte"/>
                <w:rtl/>
              </w:rPr>
              <w:t xml:space="preserve"> </w:t>
            </w:r>
            <w:r w:rsidR="00E12AF7" w:rsidRPr="008D22A6">
              <w:rPr>
                <w:rStyle w:val="Lienhypertexte"/>
                <w:rFonts w:hint="eastAsia"/>
                <w:rtl/>
              </w:rPr>
              <w:t>ربط</w:t>
            </w:r>
            <w:r w:rsidR="00E12AF7" w:rsidRPr="008D22A6">
              <w:rPr>
                <w:rStyle w:val="Lienhypertexte"/>
                <w:rtl/>
              </w:rPr>
              <w:t>-</w:t>
            </w:r>
            <w:r w:rsidR="00E12AF7" w:rsidRPr="008D22A6">
              <w:rPr>
                <w:rStyle w:val="Lienhypertexte"/>
                <w:rFonts w:hint="eastAsia"/>
                <w:rtl/>
              </w:rPr>
              <w:t>العقد</w:t>
            </w:r>
            <w:r w:rsidR="00E12AF7" w:rsidRPr="008D22A6">
              <w:rPr>
                <w:rStyle w:val="Lienhypertexte"/>
                <w:rtl/>
              </w:rPr>
              <w:t xml:space="preserve"> </w:t>
            </w:r>
            <w:r w:rsidR="00E12AF7" w:rsidRPr="008D22A6">
              <w:rPr>
                <w:rStyle w:val="Lienhypertexte"/>
                <w:rFonts w:hint="eastAsia"/>
                <w:rtl/>
              </w:rPr>
              <w:t>لكل</w:t>
            </w:r>
            <w:r w:rsidR="00E12AF7" w:rsidRPr="008D22A6">
              <w:rPr>
                <w:rStyle w:val="Lienhypertexte"/>
                <w:rtl/>
              </w:rPr>
              <w:t xml:space="preserve"> </w:t>
            </w:r>
            <w:r w:rsidR="00E12AF7" w:rsidRPr="008D22A6">
              <w:rPr>
                <w:rStyle w:val="Lienhypertexte"/>
                <w:rFonts w:eastAsia="Times New Roman" w:hint="eastAsia"/>
                <w:rtl/>
              </w:rPr>
              <w:t>فئة</w:t>
            </w:r>
            <w:r w:rsidR="009E09C4">
              <w:rPr>
                <w:rStyle w:val="Lienhypertexte"/>
                <w:rFonts w:eastAsia="Times New Roman" w:hint="cs"/>
                <w:rtl/>
              </w:rPr>
              <w:t>...........</w:t>
            </w:r>
            <w:r w:rsidR="00E12AF7">
              <w:rPr>
                <w:webHidden/>
              </w:rPr>
              <w:tab/>
            </w:r>
            <w:r w:rsidR="00E12AF7">
              <w:rPr>
                <w:webHidden/>
              </w:rPr>
              <w:fldChar w:fldCharType="begin"/>
            </w:r>
            <w:r w:rsidR="00E12AF7">
              <w:rPr>
                <w:webHidden/>
              </w:rPr>
              <w:instrText xml:space="preserve"> PAGEREF _Toc171803898 \h </w:instrText>
            </w:r>
            <w:r w:rsidR="00E12AF7">
              <w:rPr>
                <w:webHidden/>
              </w:rPr>
            </w:r>
            <w:r w:rsidR="00E12AF7">
              <w:rPr>
                <w:webHidden/>
              </w:rPr>
              <w:fldChar w:fldCharType="separate"/>
            </w:r>
            <w:r>
              <w:rPr>
                <w:webHidden/>
                <w:rtl/>
                <w:lang w:bidi="ar-SA"/>
              </w:rPr>
              <w:t>225</w:t>
            </w:r>
            <w:r w:rsidR="00E12AF7">
              <w:rPr>
                <w:webHidden/>
              </w:rPr>
              <w:fldChar w:fldCharType="end"/>
            </w:r>
          </w:hyperlink>
          <w:r w:rsidR="00E12AF7" w:rsidRPr="00463944">
            <w:fldChar w:fldCharType="end"/>
          </w:r>
        </w:p>
      </w:sdtContent>
    </w:sdt>
    <w:p w:rsidR="00261E72" w:rsidRDefault="00261E72" w:rsidP="009579D2">
      <w:pPr>
        <w:pStyle w:val="TM1"/>
      </w:pPr>
    </w:p>
    <w:p w:rsidR="00971AF5" w:rsidRDefault="00971AF5" w:rsidP="00971AF5">
      <w:pPr>
        <w:rPr>
          <w:rtl/>
          <w:lang w:val="en-US" w:eastAsia="fr-FR" w:bidi="ar-DZ"/>
        </w:rPr>
      </w:pPr>
    </w:p>
    <w:p w:rsidR="00FD69D1" w:rsidRDefault="00FD69D1" w:rsidP="00971AF5">
      <w:pPr>
        <w:rPr>
          <w:rtl/>
          <w:lang w:val="en-US" w:eastAsia="fr-FR" w:bidi="ar-DZ"/>
        </w:rPr>
      </w:pPr>
    </w:p>
    <w:p w:rsidR="00FD69D1" w:rsidRDefault="00FD69D1" w:rsidP="00971AF5">
      <w:pPr>
        <w:rPr>
          <w:rtl/>
          <w:lang w:val="en-US" w:eastAsia="fr-FR" w:bidi="ar-DZ"/>
        </w:rPr>
      </w:pPr>
    </w:p>
    <w:p w:rsidR="00FD69D1" w:rsidRDefault="00FD69D1" w:rsidP="00971AF5">
      <w:pPr>
        <w:rPr>
          <w:rtl/>
          <w:lang w:val="en-US" w:eastAsia="fr-FR" w:bidi="ar-DZ"/>
        </w:rPr>
      </w:pPr>
    </w:p>
    <w:p w:rsidR="00FD69D1" w:rsidRDefault="00FD69D1" w:rsidP="00971AF5">
      <w:pPr>
        <w:rPr>
          <w:rtl/>
          <w:lang w:val="en-US" w:eastAsia="fr-FR" w:bidi="ar-DZ"/>
        </w:rPr>
      </w:pPr>
    </w:p>
    <w:p w:rsidR="00FD69D1" w:rsidRDefault="00FD69D1" w:rsidP="00971AF5">
      <w:pPr>
        <w:rPr>
          <w:rtl/>
          <w:lang w:val="en-US" w:eastAsia="fr-FR" w:bidi="ar-DZ"/>
        </w:rPr>
      </w:pPr>
    </w:p>
    <w:p w:rsidR="00FD69D1" w:rsidRPr="00971AF5" w:rsidRDefault="00FD69D1" w:rsidP="00971AF5">
      <w:pPr>
        <w:rPr>
          <w:rtl/>
          <w:lang w:val="en-US" w:eastAsia="fr-FR" w:bidi="ar-DZ"/>
        </w:rPr>
      </w:pPr>
    </w:p>
    <w:sdt>
      <w:sdtPr>
        <w:rPr>
          <w:rFonts w:ascii="Simplified Arabic" w:eastAsiaTheme="minorHAnsi" w:hAnsi="Simplified Arabic" w:cs="Simplified Arabic"/>
          <w:b w:val="0"/>
          <w:bCs w:val="0"/>
          <w:noProof/>
          <w:color w:val="000000" w:themeColor="text1"/>
          <w:sz w:val="22"/>
          <w:szCs w:val="22"/>
          <w:rtl/>
          <w:lang w:val="en-US" w:eastAsia="en-US" w:bidi="ar-DZ"/>
        </w:rPr>
        <w:id w:val="930241176"/>
        <w:docPartObj>
          <w:docPartGallery w:val="Table of Contents"/>
          <w:docPartUnique/>
        </w:docPartObj>
      </w:sdtPr>
      <w:sdtEndPr>
        <w:rPr>
          <w:rFonts w:eastAsiaTheme="minorEastAsia"/>
          <w:b/>
          <w:bCs/>
          <w:lang w:eastAsia="fr-FR"/>
        </w:rPr>
      </w:sdtEndPr>
      <w:sdtContent>
        <w:p w:rsidR="00AD4A00" w:rsidRDefault="00AD4A00" w:rsidP="00AD4A00">
          <w:pPr>
            <w:pStyle w:val="En-ttedetabledesmatires"/>
            <w:shd w:val="clear" w:color="auto" w:fill="D9D9D9" w:themeFill="background1" w:themeFillShade="D9"/>
            <w:bidi/>
            <w:spacing w:before="0" w:after="240" w:line="240" w:lineRule="auto"/>
            <w:jc w:val="center"/>
            <w:outlineLvl w:val="0"/>
            <w:rPr>
              <w:rFonts w:asciiTheme="minorHAnsi" w:hAnsiTheme="minorHAnsi" w:cstheme="minorBidi"/>
              <w:b w:val="0"/>
              <w:bCs w:val="0"/>
              <w:color w:val="auto"/>
            </w:rPr>
          </w:pPr>
          <w:r w:rsidRPr="00F52899">
            <w:rPr>
              <w:rFonts w:ascii="Simplified Arabic" w:hAnsi="Simplified Arabic" w:cs="Simplified Arabic" w:hint="eastAsia"/>
              <w:color w:val="000000" w:themeColor="text1"/>
              <w:sz w:val="22"/>
              <w:szCs w:val="22"/>
              <w:rtl/>
            </w:rPr>
            <w:t>قائمة</w:t>
          </w:r>
          <w:r w:rsidRPr="00F52899">
            <w:rPr>
              <w:rFonts w:ascii="Simplified Arabic" w:hAnsi="Simplified Arabic" w:cs="Simplified Arabic"/>
              <w:color w:val="000000" w:themeColor="text1"/>
              <w:sz w:val="22"/>
              <w:szCs w:val="22"/>
              <w:rtl/>
            </w:rPr>
            <w:t xml:space="preserve"> </w:t>
          </w:r>
          <w:r w:rsidRPr="00F52899">
            <w:rPr>
              <w:rFonts w:ascii="Simplified Arabic" w:hAnsi="Simplified Arabic" w:cs="Simplified Arabic" w:hint="eastAsia"/>
              <w:color w:val="000000" w:themeColor="text1"/>
              <w:sz w:val="22"/>
              <w:szCs w:val="22"/>
              <w:rtl/>
            </w:rPr>
            <w:t>الجداول</w:t>
          </w:r>
          <w:r w:rsidRPr="00463944">
            <w:rPr>
              <w:rFonts w:eastAsia="Arial Unicode MS"/>
              <w:noProof/>
              <w:color w:val="000000" w:themeColor="text1"/>
              <w:lang w:val="en-US" w:bidi="ar-DZ"/>
            </w:rPr>
            <w:fldChar w:fldCharType="begin"/>
          </w:r>
          <w:r w:rsidRPr="00463944">
            <w:instrText xml:space="preserve"> TOC \o "1-3" \h \z \u </w:instrText>
          </w:r>
          <w:r w:rsidRPr="00463944">
            <w:rPr>
              <w:rFonts w:eastAsia="Arial Unicode MS"/>
              <w:noProof/>
              <w:color w:val="000000" w:themeColor="text1"/>
              <w:lang w:val="en-US" w:bidi="ar-DZ"/>
            </w:rPr>
            <w:fldChar w:fldCharType="separate"/>
          </w:r>
          <w:hyperlink r:id="rId18" w:anchor="_Toc171803268" w:history="1">
            <w:r>
              <w:rPr>
                <w:webHidden/>
              </w:rPr>
              <w:fldChar w:fldCharType="begin"/>
            </w:r>
            <w:r>
              <w:rPr>
                <w:webHidden/>
              </w:rPr>
              <w:instrText xml:space="preserve"> PAGEREF _Toc171803268 \h </w:instrText>
            </w:r>
            <w:r>
              <w:rPr>
                <w:webHidden/>
              </w:rPr>
            </w:r>
            <w:r>
              <w:rPr>
                <w:webHidden/>
              </w:rPr>
              <w:fldChar w:fldCharType="separate"/>
            </w:r>
            <w:r w:rsidR="00B62F86">
              <w:rPr>
                <w:rFonts w:hint="eastAsia"/>
                <w:noProof/>
                <w:webHidden/>
                <w:rtl/>
              </w:rPr>
              <w:t>‌أ</w:t>
            </w:r>
            <w:r>
              <w:rPr>
                <w:webHidden/>
              </w:rPr>
              <w:fldChar w:fldCharType="end"/>
            </w:r>
          </w:hyperlink>
        </w:p>
        <w:p w:rsidR="00AD4A00" w:rsidRPr="00B93CC4" w:rsidRDefault="00B62F86" w:rsidP="009579D2">
          <w:pPr>
            <w:pStyle w:val="TM1"/>
            <w:rPr>
              <w:color w:val="auto"/>
              <w:lang w:val="fr-FR" w:bidi="ar-SA"/>
            </w:rPr>
          </w:pPr>
          <w:hyperlink w:anchor="_Toc157612960" w:history="1">
            <w:r w:rsidR="00AD4A00" w:rsidRPr="00B93CC4">
              <w:rPr>
                <w:rStyle w:val="Lienhypertexte"/>
                <w:sz w:val="24"/>
                <w:szCs w:val="24"/>
                <w:rtl/>
              </w:rPr>
              <w:t>الجزء الثاني:</w:t>
            </w:r>
          </w:hyperlink>
          <w:r w:rsidR="00AD4A00" w:rsidRPr="00B93CC4">
            <w:rPr>
              <w:rStyle w:val="Lienhypertexte"/>
              <w:sz w:val="24"/>
              <w:szCs w:val="24"/>
              <w:rtl/>
            </w:rPr>
            <w:t xml:space="preserve"> </w:t>
          </w:r>
          <w:hyperlink w:anchor="_Toc157612961" w:history="1">
            <w:r w:rsidR="00AD4A00" w:rsidRPr="00B93CC4">
              <w:rPr>
                <w:rStyle w:val="Lienhypertexte"/>
                <w:sz w:val="24"/>
                <w:szCs w:val="24"/>
                <w:rtl/>
              </w:rPr>
              <w:t>الاطار النظري للبحث</w:t>
            </w:r>
            <w:r w:rsidR="00AD4A00" w:rsidRPr="00B93CC4">
              <w:rPr>
                <w:webHidden/>
              </w:rPr>
              <w:t xml:space="preserve"> </w:t>
            </w:r>
          </w:hyperlink>
        </w:p>
        <w:p w:rsidR="00AD4A00" w:rsidRDefault="00B62F86" w:rsidP="009579D2">
          <w:pPr>
            <w:pStyle w:val="TM1"/>
            <w:rPr>
              <w:rtl/>
            </w:rPr>
          </w:pPr>
          <w:hyperlink w:anchor="_Toc157612962" w:history="1">
            <w:r w:rsidR="00AD4A00" w:rsidRPr="00B93CC4">
              <w:rPr>
                <w:rStyle w:val="Lienhypertexte"/>
                <w:sz w:val="24"/>
                <w:szCs w:val="24"/>
                <w:rtl/>
              </w:rPr>
              <w:t>الفصل 1: علاقة استعمالات الاراضي الحضرية بمفهوم المرونة الحضرية</w:t>
            </w:r>
            <w:r w:rsidR="00AD4A00" w:rsidRPr="00B93CC4">
              <w:rPr>
                <w:webHidden/>
              </w:rPr>
              <w:t xml:space="preserve"> </w:t>
            </w:r>
          </w:hyperlink>
        </w:p>
        <w:p w:rsidR="00AD4A00" w:rsidRDefault="00B62F86" w:rsidP="009579D2">
          <w:pPr>
            <w:pStyle w:val="TM1"/>
            <w:rPr>
              <w:rFonts w:asciiTheme="minorHAnsi" w:hAnsiTheme="minorHAnsi" w:cstheme="minorBidi"/>
              <w:color w:val="auto"/>
              <w:lang w:val="fr-FR" w:bidi="ar-SA"/>
            </w:rPr>
          </w:pPr>
          <w:hyperlink w:anchor="_Toc171803368" w:history="1">
            <w:r w:rsidR="00AD4A00" w:rsidRPr="008D22A6">
              <w:rPr>
                <w:rStyle w:val="Lienhypertexte"/>
                <w:rFonts w:hint="eastAsia"/>
                <w:rtl/>
              </w:rPr>
              <w:t>الجدول</w:t>
            </w:r>
            <w:r w:rsidR="00AD4A00" w:rsidRPr="008D22A6">
              <w:rPr>
                <w:rStyle w:val="Lienhypertexte"/>
                <w:rtl/>
              </w:rPr>
              <w:t xml:space="preserve"> (1-1): </w:t>
            </w:r>
            <w:r w:rsidR="00AD4A00" w:rsidRPr="008D22A6">
              <w:rPr>
                <w:rStyle w:val="Lienhypertexte"/>
                <w:rFonts w:hint="eastAsia"/>
                <w:rtl/>
              </w:rPr>
              <w:t>تعاريف</w:t>
            </w:r>
            <w:r w:rsidR="00AD4A00" w:rsidRPr="008D22A6">
              <w:rPr>
                <w:rStyle w:val="Lienhypertexte"/>
                <w:rtl/>
              </w:rPr>
              <w:t xml:space="preserve"> </w:t>
            </w:r>
            <w:r w:rsidR="00AD4A00" w:rsidRPr="008D22A6">
              <w:rPr>
                <w:rStyle w:val="Lienhypertexte"/>
                <w:rFonts w:hint="eastAsia"/>
                <w:rtl/>
              </w:rPr>
              <w:t>مختارة</w:t>
            </w:r>
            <w:r w:rsidR="00AD4A00" w:rsidRPr="008D22A6">
              <w:rPr>
                <w:rStyle w:val="Lienhypertexte"/>
                <w:rtl/>
              </w:rPr>
              <w:t xml:space="preserve"> </w:t>
            </w:r>
            <w:r w:rsidR="00AD4A00" w:rsidRPr="008D22A6">
              <w:rPr>
                <w:rStyle w:val="Lienhypertexte"/>
                <w:rFonts w:hint="eastAsia"/>
                <w:rtl/>
              </w:rPr>
              <w:t>للمرونة</w:t>
            </w:r>
            <w:r w:rsidR="00AD4A00" w:rsidRPr="008D22A6">
              <w:rPr>
                <w:rStyle w:val="Lienhypertexte"/>
                <w:rtl/>
              </w:rPr>
              <w:t xml:space="preserve"> </w:t>
            </w:r>
            <w:r w:rsidR="00AD4A00" w:rsidRPr="008D22A6">
              <w:rPr>
                <w:rStyle w:val="Lienhypertexte"/>
                <w:rFonts w:hint="eastAsia"/>
                <w:rtl/>
              </w:rPr>
              <w:t>في</w:t>
            </w:r>
            <w:r w:rsidR="00AD4A00" w:rsidRPr="008D22A6">
              <w:rPr>
                <w:rStyle w:val="Lienhypertexte"/>
                <w:rtl/>
              </w:rPr>
              <w:t xml:space="preserve"> </w:t>
            </w:r>
            <w:r w:rsidR="00AD4A00" w:rsidRPr="008D22A6">
              <w:rPr>
                <w:rStyle w:val="Lienhypertexte"/>
                <w:rFonts w:hint="eastAsia"/>
                <w:rtl/>
              </w:rPr>
              <w:t>مجال</w:t>
            </w:r>
            <w:r w:rsidR="00AD4A00" w:rsidRPr="008D22A6">
              <w:rPr>
                <w:rStyle w:val="Lienhypertexte"/>
                <w:rtl/>
              </w:rPr>
              <w:t xml:space="preserve"> </w:t>
            </w:r>
            <w:r w:rsidR="00AD4A00" w:rsidRPr="008D22A6">
              <w:rPr>
                <w:rStyle w:val="Lienhypertexte"/>
                <w:rFonts w:hint="eastAsia"/>
                <w:rtl/>
              </w:rPr>
              <w:t>الكوارث</w:t>
            </w:r>
            <w:r w:rsidR="00AD4A00" w:rsidRPr="008D22A6">
              <w:rPr>
                <w:rStyle w:val="Lienhypertexte"/>
                <w:rtl/>
              </w:rPr>
              <w:t xml:space="preserve"> </w:t>
            </w:r>
            <w:r w:rsidR="00AD4A00" w:rsidRPr="008D22A6">
              <w:rPr>
                <w:rStyle w:val="Lienhypertexte"/>
                <w:rFonts w:hint="eastAsia"/>
                <w:rtl/>
              </w:rPr>
              <w:t>والأخطار</w:t>
            </w:r>
            <w:r w:rsidR="009E09C4" w:rsidRPr="009E09C4">
              <w:rPr>
                <w:rStyle w:val="Lienhypertexte"/>
                <w:rtl/>
              </w:rPr>
              <w:t>……………………………………</w:t>
            </w:r>
            <w:r w:rsidR="009E09C4">
              <w:rPr>
                <w:rStyle w:val="Lienhypertexte"/>
                <w:rFonts w:hint="cs"/>
                <w:rtl/>
              </w:rPr>
              <w:t>...............</w:t>
            </w:r>
            <w:r w:rsidR="00AD4A00">
              <w:rPr>
                <w:webHidden/>
              </w:rPr>
              <w:tab/>
            </w:r>
            <w:r w:rsidR="00AD4A00">
              <w:rPr>
                <w:webHidden/>
              </w:rPr>
              <w:fldChar w:fldCharType="begin"/>
            </w:r>
            <w:r w:rsidR="00AD4A00">
              <w:rPr>
                <w:webHidden/>
              </w:rPr>
              <w:instrText xml:space="preserve"> PAGEREF _Toc171803368 \h </w:instrText>
            </w:r>
            <w:r w:rsidR="00AD4A00">
              <w:rPr>
                <w:webHidden/>
              </w:rPr>
            </w:r>
            <w:r w:rsidR="00AD4A00">
              <w:rPr>
                <w:webHidden/>
              </w:rPr>
              <w:fldChar w:fldCharType="separate"/>
            </w:r>
            <w:r>
              <w:rPr>
                <w:webHidden/>
                <w:rtl/>
                <w:lang w:bidi="ar-SA"/>
              </w:rPr>
              <w:t>25</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28" w:history="1">
            <w:r w:rsidR="00AD4A00" w:rsidRPr="008D22A6">
              <w:rPr>
                <w:rStyle w:val="Lienhypertexte"/>
                <w:rFonts w:hint="eastAsia"/>
                <w:rtl/>
              </w:rPr>
              <w:t>الفصل</w:t>
            </w:r>
            <w:r w:rsidR="00AD4A00" w:rsidRPr="008D22A6">
              <w:rPr>
                <w:rStyle w:val="Lienhypertexte"/>
                <w:rtl/>
              </w:rPr>
              <w:t xml:space="preserve"> 2: </w:t>
            </w:r>
            <w:r w:rsidR="00AD4A00" w:rsidRPr="008D22A6">
              <w:rPr>
                <w:rStyle w:val="Lienhypertexte"/>
                <w:rFonts w:hint="eastAsia"/>
                <w:rtl/>
              </w:rPr>
              <w:t>تحليل</w:t>
            </w:r>
            <w:r w:rsidR="00AD4A00" w:rsidRPr="008D22A6">
              <w:rPr>
                <w:rStyle w:val="Lienhypertexte"/>
                <w:rtl/>
              </w:rPr>
              <w:t xml:space="preserve"> </w:t>
            </w:r>
            <w:r w:rsidR="00AD4A00" w:rsidRPr="008D22A6">
              <w:rPr>
                <w:rStyle w:val="Lienhypertexte"/>
                <w:rFonts w:hint="eastAsia"/>
                <w:rtl/>
              </w:rPr>
              <w:t>مناهج</w:t>
            </w:r>
            <w:r w:rsidR="00AD4A00" w:rsidRPr="008D22A6">
              <w:rPr>
                <w:rStyle w:val="Lienhypertexte"/>
                <w:rtl/>
              </w:rPr>
              <w:t xml:space="preserve"> </w:t>
            </w:r>
            <w:r w:rsidR="00AD4A00" w:rsidRPr="008D22A6">
              <w:rPr>
                <w:rStyle w:val="Lienhypertexte"/>
                <w:rFonts w:hint="eastAsia"/>
                <w:rtl/>
              </w:rPr>
              <w:t>واطر</w:t>
            </w:r>
            <w:r w:rsidR="00AD4A00" w:rsidRPr="008D22A6">
              <w:rPr>
                <w:rStyle w:val="Lienhypertexte"/>
                <w:rtl/>
              </w:rPr>
              <w:t xml:space="preserve"> </w:t>
            </w:r>
            <w:r w:rsidR="00AD4A00" w:rsidRPr="008D22A6">
              <w:rPr>
                <w:rStyle w:val="Lienhypertexte"/>
                <w:rFonts w:hint="eastAsia"/>
                <w:rtl/>
              </w:rPr>
              <w:t>تقييم</w:t>
            </w:r>
            <w:r w:rsidR="00AD4A00" w:rsidRPr="008D22A6">
              <w:rPr>
                <w:rStyle w:val="Lienhypertexte"/>
                <w:rtl/>
              </w:rPr>
              <w:t xml:space="preserve"> </w:t>
            </w:r>
            <w:r w:rsidR="00AD4A00" w:rsidRPr="008D22A6">
              <w:rPr>
                <w:rStyle w:val="Lienhypertexte"/>
                <w:rFonts w:hint="eastAsia"/>
                <w:rtl/>
              </w:rPr>
              <w:t>وتفعيل</w:t>
            </w:r>
            <w:r w:rsidR="00AD4A00" w:rsidRPr="008D22A6">
              <w:rPr>
                <w:rStyle w:val="Lienhypertexte"/>
                <w:rtl/>
              </w:rPr>
              <w:t xml:space="preserve"> </w:t>
            </w:r>
            <w:r w:rsidR="00AD4A00" w:rsidRPr="008D22A6">
              <w:rPr>
                <w:rStyle w:val="Lienhypertexte"/>
                <w:rFonts w:hint="eastAsia"/>
                <w:rtl/>
              </w:rPr>
              <w:t>المرونة</w:t>
            </w:r>
          </w:hyperlink>
        </w:p>
        <w:p w:rsidR="00AD4A00" w:rsidRDefault="00B62F86" w:rsidP="009579D2">
          <w:pPr>
            <w:pStyle w:val="TM1"/>
            <w:rPr>
              <w:rFonts w:asciiTheme="minorHAnsi" w:hAnsiTheme="minorHAnsi" w:cstheme="minorBidi"/>
              <w:color w:val="auto"/>
              <w:lang w:val="fr-FR" w:bidi="ar-SA"/>
            </w:rPr>
          </w:pPr>
          <w:hyperlink w:anchor="_Toc171803440" w:history="1">
            <w:r w:rsidR="00AD4A00" w:rsidRPr="008D22A6">
              <w:rPr>
                <w:rStyle w:val="Lienhypertexte"/>
                <w:rFonts w:hint="eastAsia"/>
                <w:rtl/>
              </w:rPr>
              <w:t>الجدول</w:t>
            </w:r>
            <w:r w:rsidR="00AD4A00" w:rsidRPr="008D22A6">
              <w:rPr>
                <w:rStyle w:val="Lienhypertexte"/>
                <w:rtl/>
              </w:rPr>
              <w:t xml:space="preserve"> (2-1):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hint="eastAsia"/>
                <w:rtl/>
              </w:rPr>
              <w:t>مؤشر</w:t>
            </w:r>
            <w:r w:rsidR="00AD4A00" w:rsidRPr="008D22A6">
              <w:rPr>
                <w:rStyle w:val="Lienhypertexte"/>
                <w:rtl/>
              </w:rPr>
              <w:t xml:space="preserve"> </w:t>
            </w:r>
            <w:r w:rsidR="00AD4A00" w:rsidRPr="008D22A6">
              <w:rPr>
                <w:rStyle w:val="Lienhypertexte"/>
                <w:rFonts w:hint="eastAsia"/>
                <w:rtl/>
              </w:rPr>
              <w:t>مرونة</w:t>
            </w:r>
            <w:r w:rsidR="00AD4A00" w:rsidRPr="008D22A6">
              <w:rPr>
                <w:rStyle w:val="Lienhypertexte"/>
                <w:rtl/>
              </w:rPr>
              <w:t xml:space="preserve"> </w:t>
            </w:r>
            <w:r w:rsidR="00AD4A00" w:rsidRPr="008D22A6">
              <w:rPr>
                <w:rStyle w:val="Lienhypertexte"/>
                <w:rFonts w:hint="eastAsia"/>
                <w:rtl/>
              </w:rPr>
              <w:t>مواجهة</w:t>
            </w:r>
            <w:r w:rsidR="00AD4A00" w:rsidRPr="008D22A6">
              <w:rPr>
                <w:rStyle w:val="Lienhypertexte"/>
                <w:rtl/>
              </w:rPr>
              <w:t xml:space="preserve"> </w:t>
            </w:r>
            <w:r w:rsidR="00AD4A00" w:rsidRPr="008D22A6">
              <w:rPr>
                <w:rStyle w:val="Lienhypertexte"/>
                <w:rFonts w:hint="eastAsia"/>
                <w:rtl/>
              </w:rPr>
              <w:t>الكوارث</w:t>
            </w:r>
            <w:r w:rsidR="00AD4A00" w:rsidRPr="008D22A6">
              <w:rPr>
                <w:rStyle w:val="Lienhypertexte"/>
                <w:rtl/>
              </w:rPr>
              <w:t xml:space="preserve"> </w:t>
            </w:r>
            <w:r w:rsidR="00AD4A00" w:rsidRPr="008D22A6">
              <w:rPr>
                <w:rStyle w:val="Lienhypertexte"/>
                <w:rFonts w:hint="eastAsia"/>
                <w:rtl/>
              </w:rPr>
              <w:t>المناخية،</w:t>
            </w:r>
            <w:r w:rsidR="00AD4A00" w:rsidRPr="008D22A6">
              <w:rPr>
                <w:rStyle w:val="Lienhypertexte"/>
                <w:rtl/>
              </w:rPr>
              <w:t xml:space="preserve"> </w:t>
            </w:r>
            <w:r w:rsidR="00AD4A00" w:rsidRPr="008D22A6">
              <w:rPr>
                <w:rStyle w:val="Lienhypertexte"/>
                <w:rFonts w:asciiTheme="majorBidi" w:hAnsiTheme="majorBidi" w:cstheme="majorBidi"/>
                <w:rtl/>
              </w:rPr>
              <w:t>(</w:t>
            </w:r>
            <w:r w:rsidR="00AD4A00" w:rsidRPr="008D22A6">
              <w:rPr>
                <w:rStyle w:val="Lienhypertexte"/>
                <w:rFonts w:asciiTheme="majorBidi" w:hAnsiTheme="majorBidi" w:cstheme="majorBidi"/>
              </w:rPr>
              <w:t>CDRI</w:t>
            </w:r>
            <w:r w:rsidR="00AD4A00" w:rsidRPr="008D22A6">
              <w:rPr>
                <w:rStyle w:val="Lienhypertexte"/>
                <w:rFonts w:asciiTheme="majorBidi" w:hAnsiTheme="majorBidi" w:cstheme="majorBidi"/>
                <w:rtl/>
              </w:rPr>
              <w:t>)</w:t>
            </w:r>
            <w:r w:rsidR="009579D2">
              <w:rPr>
                <w:rStyle w:val="Lienhypertexte"/>
                <w:rFonts w:asciiTheme="majorBidi" w:hAnsiTheme="majorBidi" w:cstheme="majorBidi" w:hint="cs"/>
                <w:rtl/>
              </w:rPr>
              <w:t>.</w:t>
            </w:r>
            <w:r w:rsidR="009E09C4">
              <w:rPr>
                <w:rStyle w:val="Lienhypertexte"/>
                <w:rFonts w:asciiTheme="majorBidi" w:hAnsiTheme="majorBidi" w:cs="Times New Roman"/>
                <w:rtl/>
              </w:rPr>
              <w:t>……………………………</w:t>
            </w:r>
            <w:r w:rsidR="009E09C4">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_Toc171803440 \h </w:instrText>
            </w:r>
            <w:r w:rsidR="00AD4A00">
              <w:rPr>
                <w:webHidden/>
              </w:rPr>
            </w:r>
            <w:r w:rsidR="00AD4A00">
              <w:rPr>
                <w:webHidden/>
              </w:rPr>
              <w:fldChar w:fldCharType="separate"/>
            </w:r>
            <w:r>
              <w:rPr>
                <w:webHidden/>
                <w:rtl/>
                <w:lang w:bidi="ar-SA"/>
              </w:rPr>
              <w:t>59</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44" w:history="1">
            <w:r w:rsidR="00AD4A00" w:rsidRPr="008D22A6">
              <w:rPr>
                <w:rStyle w:val="Lienhypertexte"/>
                <w:rFonts w:hint="eastAsia"/>
                <w:rtl/>
              </w:rPr>
              <w:t>الجدول</w:t>
            </w:r>
            <w:r w:rsidR="00AD4A00" w:rsidRPr="008D22A6">
              <w:rPr>
                <w:rStyle w:val="Lienhypertexte"/>
                <w:rtl/>
              </w:rPr>
              <w:t xml:space="preserve"> (2-2):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hint="eastAsia"/>
                <w:rtl/>
              </w:rPr>
              <w:t>إطار</w:t>
            </w:r>
            <w:r w:rsidR="00AD4A00" w:rsidRPr="008D22A6">
              <w:rPr>
                <w:rStyle w:val="Lienhypertexte"/>
                <w:rtl/>
              </w:rPr>
              <w:t xml:space="preserve"> </w:t>
            </w:r>
            <w:r w:rsidR="00AD4A00" w:rsidRPr="008D22A6">
              <w:rPr>
                <w:rStyle w:val="Lienhypertexte"/>
                <w:rFonts w:hint="eastAsia"/>
                <w:rtl/>
              </w:rPr>
              <w:t>عمل</w:t>
            </w:r>
            <w:r w:rsidR="00AD4A00" w:rsidRPr="008D22A6">
              <w:rPr>
                <w:rStyle w:val="Lienhypertexte"/>
                <w:rtl/>
              </w:rPr>
              <w:t xml:space="preserve"> </w:t>
            </w:r>
            <w:r w:rsidR="00AD4A00" w:rsidRPr="008D22A6">
              <w:rPr>
                <w:rStyle w:val="Lienhypertexte"/>
                <w:rFonts w:hint="eastAsia"/>
                <w:rtl/>
              </w:rPr>
              <w:t>مرونة</w:t>
            </w:r>
            <w:r w:rsidR="00AD4A00" w:rsidRPr="008D22A6">
              <w:rPr>
                <w:rStyle w:val="Lienhypertexte"/>
                <w:rtl/>
              </w:rPr>
              <w:t xml:space="preserve"> </w:t>
            </w:r>
            <w:r w:rsidR="00AD4A00" w:rsidRPr="008D22A6">
              <w:rPr>
                <w:rStyle w:val="Lienhypertexte"/>
                <w:rFonts w:hint="eastAsia"/>
                <w:rtl/>
              </w:rPr>
              <w:t>المجتمع</w:t>
            </w:r>
            <w:r w:rsidR="00AD4A00" w:rsidRPr="008D22A6">
              <w:rPr>
                <w:rStyle w:val="Lienhypertexte"/>
                <w:rtl/>
              </w:rPr>
              <w:t xml:space="preserve"> </w:t>
            </w:r>
            <w:r w:rsidR="00AD4A00" w:rsidRPr="008D22A6">
              <w:rPr>
                <w:rStyle w:val="Lienhypertexte"/>
                <w:rFonts w:hint="eastAsia"/>
                <w:rtl/>
              </w:rPr>
              <w:t>لمواجهة</w:t>
            </w:r>
            <w:r w:rsidR="00AD4A00" w:rsidRPr="008D22A6">
              <w:rPr>
                <w:rStyle w:val="Lienhypertexte"/>
                <w:rtl/>
              </w:rPr>
              <w:t xml:space="preserve"> </w:t>
            </w:r>
            <w:r w:rsidR="00AD4A00" w:rsidRPr="008D22A6">
              <w:rPr>
                <w:rStyle w:val="Lienhypertexte"/>
                <w:rFonts w:hint="eastAsia"/>
                <w:rtl/>
              </w:rPr>
              <w:t>الكوارث،</w:t>
            </w:r>
            <w:r w:rsidR="00AD4A00" w:rsidRPr="008D22A6">
              <w:rPr>
                <w:rStyle w:val="Lienhypertexte"/>
                <w:rtl/>
              </w:rPr>
              <w:t xml:space="preserve"> </w:t>
            </w:r>
            <w:r w:rsidR="00AD4A00" w:rsidRPr="008D22A6">
              <w:rPr>
                <w:rStyle w:val="Lienhypertexte"/>
                <w:rFonts w:asciiTheme="majorBidi" w:hAnsiTheme="majorBidi" w:cstheme="majorBidi"/>
                <w:rtl/>
              </w:rPr>
              <w:t>(</w:t>
            </w:r>
            <w:r w:rsidR="00AD4A00" w:rsidRPr="008D22A6">
              <w:rPr>
                <w:rStyle w:val="Lienhypertexte"/>
                <w:rFonts w:asciiTheme="majorBidi" w:hAnsiTheme="majorBidi" w:cstheme="majorBidi"/>
              </w:rPr>
              <w:t>CDRF</w:t>
            </w:r>
            <w:r w:rsidR="00AD4A00" w:rsidRPr="008D22A6">
              <w:rPr>
                <w:rStyle w:val="Lienhypertexte"/>
                <w:rFonts w:asciiTheme="majorBidi" w:hAnsiTheme="majorBidi" w:cstheme="majorBidi"/>
                <w:rtl/>
              </w:rPr>
              <w:t>)</w:t>
            </w:r>
            <w:r w:rsidR="009579D2">
              <w:rPr>
                <w:rFonts w:hint="cs"/>
                <w:rtl/>
              </w:rPr>
              <w:t>.</w:t>
            </w:r>
            <w:r w:rsidR="009E09C4">
              <w:rPr>
                <w:rStyle w:val="Lienhypertexte"/>
                <w:rFonts w:asciiTheme="majorBidi" w:hAnsiTheme="majorBidi" w:cs="Times New Roman"/>
                <w:rtl/>
              </w:rPr>
              <w:t>………………………</w:t>
            </w:r>
            <w:r w:rsidR="009E09C4">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_Toc171803444 \h </w:instrText>
            </w:r>
            <w:r w:rsidR="00AD4A00">
              <w:rPr>
                <w:webHidden/>
              </w:rPr>
            </w:r>
            <w:r w:rsidR="00AD4A00">
              <w:rPr>
                <w:webHidden/>
              </w:rPr>
              <w:fldChar w:fldCharType="separate"/>
            </w:r>
            <w:r>
              <w:rPr>
                <w:webHidden/>
                <w:rtl/>
                <w:lang w:bidi="ar-SA"/>
              </w:rPr>
              <w:t>60</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48" w:history="1">
            <w:r w:rsidR="00AD4A00" w:rsidRPr="008D22A6">
              <w:rPr>
                <w:rStyle w:val="Lienhypertexte"/>
                <w:rFonts w:hint="eastAsia"/>
                <w:rtl/>
              </w:rPr>
              <w:t>الجدول</w:t>
            </w:r>
            <w:r w:rsidR="00AD4A00" w:rsidRPr="008D22A6">
              <w:rPr>
                <w:rStyle w:val="Lienhypertexte"/>
                <w:rtl/>
              </w:rPr>
              <w:t xml:space="preserve"> (2-3):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hint="eastAsia"/>
                <w:rtl/>
              </w:rPr>
              <w:t>إطار</w:t>
            </w:r>
            <w:r w:rsidR="00AD4A00" w:rsidRPr="008D22A6">
              <w:rPr>
                <w:rStyle w:val="Lienhypertexte"/>
                <w:rtl/>
              </w:rPr>
              <w:t xml:space="preserve"> </w:t>
            </w:r>
            <w:r w:rsidR="00AD4A00" w:rsidRPr="008D22A6">
              <w:rPr>
                <w:rStyle w:val="Lienhypertexte"/>
                <w:rFonts w:hint="eastAsia"/>
                <w:rtl/>
              </w:rPr>
              <w:t>عمل</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asciiTheme="majorBidi" w:hAnsiTheme="majorBidi" w:cstheme="majorBidi"/>
                <w:rtl/>
              </w:rPr>
              <w:t>(</w:t>
            </w:r>
            <w:r w:rsidR="00AD4A00" w:rsidRPr="008D22A6">
              <w:rPr>
                <w:rStyle w:val="Lienhypertexte"/>
                <w:rFonts w:asciiTheme="majorBidi" w:hAnsiTheme="majorBidi" w:cstheme="majorBidi"/>
              </w:rPr>
              <w:t>PEOPLES</w:t>
            </w:r>
            <w:r w:rsidR="00AD4A00" w:rsidRPr="008D22A6">
              <w:rPr>
                <w:rStyle w:val="Lienhypertexte"/>
                <w:rFonts w:asciiTheme="majorBidi" w:hAnsiTheme="majorBidi" w:cstheme="majorBidi"/>
                <w:rtl/>
              </w:rPr>
              <w:t>)</w:t>
            </w:r>
            <w:r w:rsidR="009579D2">
              <w:rPr>
                <w:rStyle w:val="Lienhypertexte"/>
                <w:rFonts w:asciiTheme="majorBidi" w:hAnsiTheme="majorBidi" w:cstheme="majorBidi" w:hint="cs"/>
                <w:rtl/>
              </w:rPr>
              <w:t>.</w:t>
            </w:r>
            <w:r w:rsidR="009E09C4" w:rsidRPr="009E09C4">
              <w:rPr>
                <w:rStyle w:val="Lienhypertexte"/>
                <w:rFonts w:asciiTheme="majorBidi" w:hAnsiTheme="majorBidi" w:cs="Times New Roman"/>
                <w:rtl/>
              </w:rPr>
              <w:t>……………………………………</w:t>
            </w:r>
            <w:r w:rsidR="009E09C4">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_Toc171803448 \h </w:instrText>
            </w:r>
            <w:r w:rsidR="00AD4A00">
              <w:rPr>
                <w:webHidden/>
              </w:rPr>
            </w:r>
            <w:r w:rsidR="00AD4A00">
              <w:rPr>
                <w:webHidden/>
              </w:rPr>
              <w:fldChar w:fldCharType="separate"/>
            </w:r>
            <w:r>
              <w:rPr>
                <w:webHidden/>
                <w:rtl/>
                <w:lang w:bidi="ar-SA"/>
              </w:rPr>
              <w:t>62</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52" w:history="1">
            <w:r w:rsidR="00AD4A00" w:rsidRPr="008D22A6">
              <w:rPr>
                <w:rStyle w:val="Lienhypertexte"/>
                <w:rFonts w:hint="eastAsia"/>
                <w:rtl/>
              </w:rPr>
              <w:t>الجدول</w:t>
            </w:r>
            <w:r w:rsidR="00AD4A00" w:rsidRPr="008D22A6">
              <w:rPr>
                <w:rStyle w:val="Lienhypertexte"/>
                <w:rtl/>
              </w:rPr>
              <w:t xml:space="preserve"> (2-4):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hint="eastAsia"/>
                <w:rtl/>
              </w:rPr>
              <w:t>تقييم</w:t>
            </w:r>
            <w:r w:rsidR="00AD4A00" w:rsidRPr="008D22A6">
              <w:rPr>
                <w:rStyle w:val="Lienhypertexte"/>
                <w:rtl/>
              </w:rPr>
              <w:t xml:space="preserve"> </w:t>
            </w:r>
            <w:r w:rsidR="00AD4A00" w:rsidRPr="008D22A6">
              <w:rPr>
                <w:rStyle w:val="Lienhypertexte"/>
                <w:rFonts w:hint="eastAsia"/>
                <w:rtl/>
              </w:rPr>
              <w:t>مرونة</w:t>
            </w:r>
            <w:r w:rsidR="00AD4A00" w:rsidRPr="008D22A6">
              <w:rPr>
                <w:rStyle w:val="Lienhypertexte"/>
                <w:rtl/>
              </w:rPr>
              <w:t xml:space="preserve"> </w:t>
            </w:r>
            <w:r w:rsidR="00AD4A00" w:rsidRPr="008D22A6">
              <w:rPr>
                <w:rStyle w:val="Lienhypertexte"/>
                <w:rFonts w:hint="eastAsia"/>
                <w:rtl/>
              </w:rPr>
              <w:t>البنية</w:t>
            </w:r>
            <w:r w:rsidR="00AD4A00" w:rsidRPr="008D22A6">
              <w:rPr>
                <w:rStyle w:val="Lienhypertexte"/>
                <w:rtl/>
              </w:rPr>
              <w:t xml:space="preserve"> </w:t>
            </w:r>
            <w:r w:rsidR="00AD4A00" w:rsidRPr="008D22A6">
              <w:rPr>
                <w:rStyle w:val="Lienhypertexte"/>
                <w:rFonts w:hint="eastAsia"/>
                <w:rtl/>
              </w:rPr>
              <w:t>التحتية</w:t>
            </w:r>
            <w:r w:rsidR="00AD4A00" w:rsidRPr="008D22A6">
              <w:rPr>
                <w:rStyle w:val="Lienhypertexte"/>
                <w:rtl/>
              </w:rPr>
              <w:t xml:space="preserve"> </w:t>
            </w:r>
            <w:r w:rsidR="00AD4A00" w:rsidRPr="008D22A6">
              <w:rPr>
                <w:rStyle w:val="Lienhypertexte"/>
                <w:rFonts w:hint="eastAsia"/>
                <w:rtl/>
              </w:rPr>
              <w:t>الشبكية</w:t>
            </w:r>
            <w:r w:rsidR="00AD4A00" w:rsidRPr="008D22A6">
              <w:rPr>
                <w:rStyle w:val="Lienhypertexte"/>
                <w:rFonts w:asciiTheme="majorBidi" w:hAnsiTheme="majorBidi" w:cstheme="majorBidi"/>
                <w:rtl/>
              </w:rPr>
              <w:t xml:space="preserve"> (</w:t>
            </w:r>
            <w:r w:rsidR="00AD4A00" w:rsidRPr="008D22A6">
              <w:rPr>
                <w:rStyle w:val="Lienhypertexte"/>
                <w:rFonts w:asciiTheme="majorBidi" w:hAnsiTheme="majorBidi" w:cstheme="majorBidi"/>
              </w:rPr>
              <w:t>NIRA</w:t>
            </w:r>
            <w:r w:rsidR="00AD4A00" w:rsidRPr="008D22A6">
              <w:rPr>
                <w:rStyle w:val="Lienhypertexte"/>
                <w:rFonts w:asciiTheme="majorBidi" w:hAnsiTheme="majorBidi" w:cstheme="majorBidi"/>
                <w:rtl/>
              </w:rPr>
              <w:t>)</w:t>
            </w:r>
            <w:r w:rsidR="009579D2">
              <w:rPr>
                <w:rStyle w:val="Lienhypertexte"/>
                <w:rFonts w:asciiTheme="majorBidi" w:hAnsiTheme="majorBidi" w:cstheme="majorBidi" w:hint="cs"/>
                <w:rtl/>
              </w:rPr>
              <w:t>.</w:t>
            </w:r>
            <w:r w:rsidR="009E09C4">
              <w:rPr>
                <w:rStyle w:val="Lienhypertexte"/>
                <w:rFonts w:asciiTheme="majorBidi" w:hAnsiTheme="majorBidi" w:cs="Times New Roman"/>
                <w:rtl/>
              </w:rPr>
              <w:t>………………………………</w:t>
            </w:r>
            <w:r w:rsidR="009E09C4">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_Toc171803452 \h </w:instrText>
            </w:r>
            <w:r w:rsidR="00AD4A00">
              <w:rPr>
                <w:webHidden/>
              </w:rPr>
            </w:r>
            <w:r w:rsidR="00AD4A00">
              <w:rPr>
                <w:webHidden/>
              </w:rPr>
              <w:fldChar w:fldCharType="separate"/>
            </w:r>
            <w:r>
              <w:rPr>
                <w:webHidden/>
                <w:rtl/>
                <w:lang w:bidi="ar-SA"/>
              </w:rPr>
              <w:t>63</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57" w:history="1">
            <w:r w:rsidR="00AD4A00" w:rsidRPr="008D22A6">
              <w:rPr>
                <w:rStyle w:val="Lienhypertexte"/>
                <w:rFonts w:hint="eastAsia"/>
                <w:rtl/>
              </w:rPr>
              <w:t>الجدول</w:t>
            </w:r>
            <w:r w:rsidR="00AD4A00" w:rsidRPr="008D22A6">
              <w:rPr>
                <w:rStyle w:val="Lienhypertexte"/>
                <w:rtl/>
              </w:rPr>
              <w:t xml:space="preserve"> (2-5):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hint="eastAsia"/>
                <w:rtl/>
              </w:rPr>
              <w:t>مؤشرات</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hint="eastAsia"/>
                <w:rtl/>
              </w:rPr>
              <w:t>الأساسية</w:t>
            </w:r>
            <w:r w:rsidR="00AD4A00" w:rsidRPr="008D22A6">
              <w:rPr>
                <w:rStyle w:val="Lienhypertexte"/>
                <w:rtl/>
              </w:rPr>
              <w:t xml:space="preserve"> </w:t>
            </w:r>
            <w:r w:rsidR="00AD4A00" w:rsidRPr="008D22A6">
              <w:rPr>
                <w:rStyle w:val="Lienhypertexte"/>
                <w:rFonts w:hint="eastAsia"/>
                <w:rtl/>
              </w:rPr>
              <w:t>للمجتمعات</w:t>
            </w:r>
            <w:r w:rsidR="00AD4A00" w:rsidRPr="008D22A6">
              <w:rPr>
                <w:rStyle w:val="Lienhypertexte"/>
                <w:rtl/>
              </w:rPr>
              <w:t xml:space="preserve"> </w:t>
            </w:r>
            <w:r w:rsidR="00AD4A00" w:rsidRPr="008D22A6">
              <w:rPr>
                <w:rStyle w:val="Lienhypertexte"/>
                <w:rFonts w:asciiTheme="majorBidi" w:hAnsiTheme="majorBidi" w:cstheme="majorBidi"/>
              </w:rPr>
              <w:t>(BRIC)</w:t>
            </w:r>
            <w:r w:rsidR="009579D2">
              <w:rPr>
                <w:rStyle w:val="Lienhypertexte"/>
                <w:rFonts w:asciiTheme="majorBidi" w:hAnsiTheme="majorBidi" w:cstheme="majorBidi" w:hint="cs"/>
                <w:rtl/>
              </w:rPr>
              <w:t>.</w:t>
            </w:r>
            <w:r w:rsidR="009E09C4">
              <w:rPr>
                <w:rStyle w:val="Lienhypertexte"/>
                <w:rFonts w:asciiTheme="majorBidi" w:hAnsiTheme="majorBidi" w:cs="Times New Roman"/>
                <w:rtl/>
              </w:rPr>
              <w:t>……………………………</w:t>
            </w:r>
            <w:r w:rsidR="009E09C4">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_Toc171803457 \h </w:instrText>
            </w:r>
            <w:r w:rsidR="00AD4A00">
              <w:rPr>
                <w:webHidden/>
              </w:rPr>
            </w:r>
            <w:r w:rsidR="00AD4A00">
              <w:rPr>
                <w:webHidden/>
              </w:rPr>
              <w:fldChar w:fldCharType="separate"/>
            </w:r>
            <w:r>
              <w:rPr>
                <w:webHidden/>
                <w:rtl/>
                <w:lang w:bidi="ar-SA"/>
              </w:rPr>
              <w:t>66</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61" w:history="1">
            <w:r w:rsidR="00AD4A00" w:rsidRPr="008D22A6">
              <w:rPr>
                <w:rStyle w:val="Lienhypertexte"/>
                <w:rFonts w:hint="eastAsia"/>
                <w:rtl/>
              </w:rPr>
              <w:t>الجدول</w:t>
            </w:r>
            <w:r w:rsidR="00AD4A00" w:rsidRPr="008D22A6">
              <w:rPr>
                <w:rStyle w:val="Lienhypertexte"/>
                <w:rtl/>
              </w:rPr>
              <w:t xml:space="preserve"> (2-6):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hint="eastAsia"/>
                <w:rtl/>
              </w:rPr>
              <w:t>المشاركة</w:t>
            </w:r>
            <w:r w:rsidR="00AD4A00" w:rsidRPr="008D22A6">
              <w:rPr>
                <w:rStyle w:val="Lienhypertexte"/>
                <w:rtl/>
              </w:rPr>
              <w:t xml:space="preserve"> </w:t>
            </w:r>
            <w:r w:rsidR="00AD4A00" w:rsidRPr="008D22A6">
              <w:rPr>
                <w:rStyle w:val="Lienhypertexte"/>
                <w:rFonts w:hint="eastAsia"/>
                <w:rtl/>
              </w:rPr>
              <w:t>في</w:t>
            </w:r>
            <w:r w:rsidR="00AD4A00" w:rsidRPr="008D22A6">
              <w:rPr>
                <w:rStyle w:val="Lienhypertexte"/>
                <w:rtl/>
              </w:rPr>
              <w:t xml:space="preserve"> </w:t>
            </w:r>
            <w:r w:rsidR="00AD4A00" w:rsidRPr="008D22A6">
              <w:rPr>
                <w:rStyle w:val="Lienhypertexte"/>
                <w:rFonts w:hint="eastAsia"/>
                <w:rtl/>
              </w:rPr>
              <w:t>إدارة</w:t>
            </w:r>
            <w:r w:rsidR="00AD4A00" w:rsidRPr="008D22A6">
              <w:rPr>
                <w:rStyle w:val="Lienhypertexte"/>
                <w:rtl/>
              </w:rPr>
              <w:t xml:space="preserve"> </w:t>
            </w:r>
            <w:r w:rsidR="00AD4A00" w:rsidRPr="008D22A6">
              <w:rPr>
                <w:rStyle w:val="Lienhypertexte"/>
                <w:rFonts w:hint="eastAsia"/>
                <w:rtl/>
              </w:rPr>
              <w:t>مخاطر</w:t>
            </w:r>
            <w:r w:rsidR="00AD4A00" w:rsidRPr="008D22A6">
              <w:rPr>
                <w:rStyle w:val="Lienhypertexte"/>
                <w:rtl/>
              </w:rPr>
              <w:t xml:space="preserve"> </w:t>
            </w:r>
            <w:r w:rsidR="00AD4A00" w:rsidRPr="008D22A6">
              <w:rPr>
                <w:rStyle w:val="Lienhypertexte"/>
                <w:rFonts w:hint="eastAsia"/>
                <w:rtl/>
              </w:rPr>
              <w:t>الفيضانات</w:t>
            </w:r>
            <w:r w:rsidR="00AD4A00" w:rsidRPr="008D22A6">
              <w:rPr>
                <w:rStyle w:val="Lienhypertexte"/>
                <w:rtl/>
              </w:rPr>
              <w:t xml:space="preserve"> </w:t>
            </w:r>
            <w:r w:rsidR="00AD4A00" w:rsidRPr="008D22A6">
              <w:rPr>
                <w:rStyle w:val="Lienhypertexte"/>
                <w:rFonts w:hint="eastAsia"/>
                <w:rtl/>
              </w:rPr>
              <w:t>وإمكانات</w:t>
            </w:r>
            <w:r w:rsidR="00AD4A00" w:rsidRPr="008D22A6">
              <w:rPr>
                <w:rStyle w:val="Lienhypertexte"/>
                <w:rtl/>
              </w:rPr>
              <w:t xml:space="preserve"> </w:t>
            </w:r>
            <w:r w:rsidR="00AD4A00" w:rsidRPr="008D22A6">
              <w:rPr>
                <w:rStyle w:val="Lienhypertexte"/>
                <w:rFonts w:hint="eastAsia"/>
                <w:rtl/>
              </w:rPr>
              <w:t>مراصد</w:t>
            </w:r>
            <w:r w:rsidR="00AD4A00" w:rsidRPr="008D22A6">
              <w:rPr>
                <w:rStyle w:val="Lienhypertexte"/>
                <w:rtl/>
              </w:rPr>
              <w:t xml:space="preserve"> </w:t>
            </w:r>
            <w:r w:rsidR="00AD4A00" w:rsidRPr="008D22A6">
              <w:rPr>
                <w:rStyle w:val="Lienhypertexte"/>
                <w:rFonts w:hint="eastAsia"/>
                <w:rtl/>
              </w:rPr>
              <w:t>المواطنين</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_Toc171803461 \h </w:instrText>
            </w:r>
            <w:r w:rsidR="00AD4A00">
              <w:rPr>
                <w:webHidden/>
              </w:rPr>
            </w:r>
            <w:r w:rsidR="00AD4A00">
              <w:rPr>
                <w:webHidden/>
              </w:rPr>
              <w:fldChar w:fldCharType="separate"/>
            </w:r>
            <w:r>
              <w:rPr>
                <w:webHidden/>
                <w:rtl/>
                <w:lang w:bidi="ar-SA"/>
              </w:rPr>
              <w:t>67</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69" w:history="1">
            <w:r w:rsidR="00AD4A00" w:rsidRPr="008D22A6">
              <w:rPr>
                <w:rStyle w:val="Lienhypertexte"/>
                <w:rFonts w:hint="eastAsia"/>
                <w:rtl/>
              </w:rPr>
              <w:t>الجدول</w:t>
            </w:r>
            <w:r w:rsidR="00AD4A00" w:rsidRPr="008D22A6">
              <w:rPr>
                <w:rStyle w:val="Lienhypertexte"/>
                <w:rtl/>
              </w:rPr>
              <w:t xml:space="preserve"> (2-7):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w:t>
            </w:r>
            <w:r w:rsidR="009E09C4">
              <w:rPr>
                <w:rStyle w:val="Lienhypertexte"/>
                <w:rFonts w:hint="cs"/>
                <w:rtl/>
              </w:rPr>
              <w:t xml:space="preserve">ات </w:t>
            </w:r>
            <w:r w:rsidR="00AD4A00" w:rsidRPr="008D22A6">
              <w:rPr>
                <w:rStyle w:val="Lienhypertexte"/>
                <w:rFonts w:eastAsia="Times New Roman" w:hint="eastAsia"/>
                <w:rtl/>
              </w:rPr>
              <w:t>مؤشر</w:t>
            </w:r>
            <w:r w:rsidR="00AD4A00" w:rsidRPr="008D22A6">
              <w:rPr>
                <w:rStyle w:val="Lienhypertexte"/>
                <w:rFonts w:eastAsia="Times New Roman"/>
                <w:rtl/>
              </w:rPr>
              <w:t xml:space="preserve"> </w:t>
            </w:r>
            <w:r w:rsidR="00AD4A00" w:rsidRPr="008D22A6">
              <w:rPr>
                <w:rStyle w:val="Lienhypertexte"/>
                <w:rFonts w:eastAsia="Times New Roman" w:hint="eastAsia"/>
                <w:rtl/>
              </w:rPr>
              <w:t>هرمي</w:t>
            </w:r>
            <w:r w:rsidR="00AD4A00" w:rsidRPr="008D22A6">
              <w:rPr>
                <w:rStyle w:val="Lienhypertexte"/>
                <w:rFonts w:eastAsia="Times New Roman"/>
                <w:rtl/>
              </w:rPr>
              <w:t xml:space="preserve"> </w:t>
            </w:r>
            <w:r w:rsidR="00AD4A00" w:rsidRPr="008D22A6">
              <w:rPr>
                <w:rStyle w:val="Lienhypertexte"/>
                <w:rFonts w:eastAsia="Times New Roman" w:hint="eastAsia"/>
                <w:rtl/>
              </w:rPr>
              <w:t>للمرونة</w:t>
            </w:r>
            <w:r w:rsidR="00AD4A00" w:rsidRPr="008D22A6">
              <w:rPr>
                <w:rStyle w:val="Lienhypertexte"/>
                <w:rFonts w:eastAsia="Times New Roman"/>
                <w:rtl/>
              </w:rPr>
              <w:t xml:space="preserve"> </w:t>
            </w:r>
            <w:r w:rsidR="00AD4A00" w:rsidRPr="008D22A6">
              <w:rPr>
                <w:rStyle w:val="Lienhypertexte"/>
                <w:rFonts w:asciiTheme="majorBidi" w:hAnsiTheme="majorBidi" w:cstheme="majorBidi"/>
              </w:rPr>
              <w:t>Heinzlef et al., 2019)</w:t>
            </w:r>
            <w:r w:rsidR="00AD4A00" w:rsidRPr="008D22A6">
              <w:rPr>
                <w:rStyle w:val="Lienhypertexte"/>
                <w:rFonts w:asciiTheme="majorBidi" w:hAnsiTheme="majorBidi" w:cstheme="majorBidi"/>
                <w:rtl/>
              </w:rPr>
              <w:t>)</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_Toc171803469 \h </w:instrText>
            </w:r>
            <w:r w:rsidR="00AD4A00">
              <w:rPr>
                <w:webHidden/>
              </w:rPr>
            </w:r>
            <w:r w:rsidR="00AD4A00">
              <w:rPr>
                <w:webHidden/>
              </w:rPr>
              <w:fldChar w:fldCharType="separate"/>
            </w:r>
            <w:r>
              <w:rPr>
                <w:webHidden/>
                <w:rtl/>
                <w:lang w:bidi="ar-SA"/>
              </w:rPr>
              <w:t>70</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73" w:history="1">
            <w:r w:rsidR="00AD4A00" w:rsidRPr="008D22A6">
              <w:rPr>
                <w:rStyle w:val="Lienhypertexte"/>
                <w:rFonts w:hint="eastAsia"/>
                <w:rtl/>
              </w:rPr>
              <w:t>الجدول</w:t>
            </w:r>
            <w:r w:rsidR="00AD4A00" w:rsidRPr="008D22A6">
              <w:rPr>
                <w:rStyle w:val="Lienhypertexte"/>
                <w:rtl/>
              </w:rPr>
              <w:t xml:space="preserve"> (2-8):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eastAsia="Times New Roman" w:hint="eastAsia"/>
                <w:rtl/>
              </w:rPr>
              <w:t>نمذجة</w:t>
            </w:r>
            <w:r w:rsidR="00AD4A00" w:rsidRPr="008D22A6">
              <w:rPr>
                <w:rStyle w:val="Lienhypertexte"/>
                <w:rFonts w:eastAsia="Times New Roman"/>
                <w:rtl/>
              </w:rPr>
              <w:t xml:space="preserve"> </w:t>
            </w:r>
            <w:r w:rsidR="00AD4A00" w:rsidRPr="008D22A6">
              <w:rPr>
                <w:rStyle w:val="Lienhypertexte"/>
                <w:rFonts w:eastAsia="Times New Roman" w:hint="eastAsia"/>
                <w:rtl/>
              </w:rPr>
              <w:t>معدل</w:t>
            </w:r>
            <w:r w:rsidR="00AD4A00" w:rsidRPr="008D22A6">
              <w:rPr>
                <w:rStyle w:val="Lienhypertexte"/>
                <w:rFonts w:eastAsia="Times New Roman"/>
                <w:rtl/>
              </w:rPr>
              <w:t xml:space="preserve"> </w:t>
            </w:r>
            <w:r w:rsidR="00AD4A00" w:rsidRPr="008D22A6">
              <w:rPr>
                <w:rStyle w:val="Lienhypertexte"/>
                <w:rFonts w:eastAsia="Times New Roman" w:hint="eastAsia"/>
                <w:rtl/>
              </w:rPr>
              <w:t>المرونة</w:t>
            </w:r>
            <w:r w:rsidR="00AD4A00" w:rsidRPr="008D22A6">
              <w:rPr>
                <w:rStyle w:val="Lienhypertexte"/>
                <w:rFonts w:eastAsia="Times New Roman"/>
                <w:rtl/>
              </w:rPr>
              <w:t xml:space="preserve"> </w:t>
            </w:r>
            <w:r w:rsidR="00AD4A00" w:rsidRPr="008D22A6">
              <w:rPr>
                <w:rStyle w:val="Lienhypertexte"/>
                <w:rFonts w:asciiTheme="majorBidi" w:hAnsiTheme="majorBidi" w:cstheme="majorBidi"/>
              </w:rPr>
              <w:t>(Javari et al., 2021)</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_Toc171803473 \h </w:instrText>
            </w:r>
            <w:r w:rsidR="00AD4A00">
              <w:rPr>
                <w:webHidden/>
              </w:rPr>
            </w:r>
            <w:r w:rsidR="00AD4A00">
              <w:rPr>
                <w:webHidden/>
              </w:rPr>
              <w:fldChar w:fldCharType="separate"/>
            </w:r>
            <w:r>
              <w:rPr>
                <w:webHidden/>
                <w:rtl/>
                <w:lang w:bidi="ar-SA"/>
              </w:rPr>
              <w:t>72</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77" w:history="1">
            <w:r w:rsidR="00AD4A00" w:rsidRPr="008D22A6">
              <w:rPr>
                <w:rStyle w:val="Lienhypertexte"/>
                <w:rFonts w:hint="eastAsia"/>
                <w:rtl/>
              </w:rPr>
              <w:t>الجدول</w:t>
            </w:r>
            <w:r w:rsidR="00AD4A00" w:rsidRPr="008D22A6">
              <w:rPr>
                <w:rStyle w:val="Lienhypertexte"/>
                <w:rtl/>
              </w:rPr>
              <w:t xml:space="preserve"> (2-9): </w:t>
            </w:r>
            <w:r w:rsidR="00AD4A00" w:rsidRPr="008D22A6">
              <w:rPr>
                <w:rStyle w:val="Lienhypertexte"/>
                <w:rFonts w:hint="eastAsia"/>
                <w:rtl/>
              </w:rPr>
              <w:t>ايجابيات</w:t>
            </w:r>
            <w:r w:rsidR="00AD4A00" w:rsidRPr="008D22A6">
              <w:rPr>
                <w:rStyle w:val="Lienhypertexte"/>
                <w:rtl/>
              </w:rPr>
              <w:t xml:space="preserve"> </w:t>
            </w:r>
            <w:r w:rsidR="00AD4A00" w:rsidRPr="008D22A6">
              <w:rPr>
                <w:rStyle w:val="Lienhypertexte"/>
                <w:rFonts w:hint="eastAsia"/>
                <w:rtl/>
              </w:rPr>
              <w:t>وسلبيات</w:t>
            </w:r>
            <w:r w:rsidR="00AD4A00" w:rsidRPr="008D22A6">
              <w:rPr>
                <w:rStyle w:val="Lienhypertexte"/>
                <w:rtl/>
              </w:rPr>
              <w:t xml:space="preserve"> </w:t>
            </w:r>
            <w:r w:rsidR="00AD4A00" w:rsidRPr="008D22A6">
              <w:rPr>
                <w:rStyle w:val="Lienhypertexte"/>
                <w:rFonts w:eastAsia="Times New Roman" w:hint="eastAsia"/>
                <w:rtl/>
              </w:rPr>
              <w:t>نمذجة</w:t>
            </w:r>
            <w:r w:rsidR="00AD4A00" w:rsidRPr="008D22A6">
              <w:rPr>
                <w:rStyle w:val="Lienhypertexte"/>
                <w:rFonts w:eastAsia="Times New Roman"/>
                <w:rtl/>
              </w:rPr>
              <w:t xml:space="preserve"> </w:t>
            </w:r>
            <w:r w:rsidR="00AD4A00" w:rsidRPr="008D22A6">
              <w:rPr>
                <w:rStyle w:val="Lienhypertexte"/>
                <w:rFonts w:eastAsia="Times New Roman" w:hint="eastAsia"/>
                <w:rtl/>
              </w:rPr>
              <w:t>معدل</w:t>
            </w:r>
            <w:r w:rsidR="00AD4A00" w:rsidRPr="008D22A6">
              <w:rPr>
                <w:rStyle w:val="Lienhypertexte"/>
                <w:rFonts w:eastAsia="Times New Roman"/>
                <w:rtl/>
              </w:rPr>
              <w:t xml:space="preserve"> </w:t>
            </w:r>
            <w:r w:rsidR="00AD4A00" w:rsidRPr="008D22A6">
              <w:rPr>
                <w:rStyle w:val="Lienhypertexte"/>
                <w:rFonts w:eastAsia="Times New Roman" w:hint="eastAsia"/>
                <w:rtl/>
              </w:rPr>
              <w:t>المرونة</w:t>
            </w:r>
            <w:r w:rsidR="00AD4A00" w:rsidRPr="008D22A6">
              <w:rPr>
                <w:rStyle w:val="Lienhypertexte"/>
                <w:rFonts w:eastAsia="Times New Roman"/>
                <w:rtl/>
              </w:rPr>
              <w:t xml:space="preserve"> </w:t>
            </w:r>
            <w:r w:rsidR="00AD4A00" w:rsidRPr="008D22A6">
              <w:rPr>
                <w:rStyle w:val="Lienhypertexte"/>
                <w:rFonts w:asciiTheme="majorBidi" w:hAnsiTheme="majorBidi" w:cstheme="majorBidi"/>
              </w:rPr>
              <w:t>(Javari et al., 2021)</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AD4A00">
              <w:rPr>
                <w:webHidden/>
              </w:rPr>
              <w:tab/>
            </w:r>
            <w:r w:rsidR="00AD4A00">
              <w:rPr>
                <w:webHidden/>
              </w:rPr>
              <w:fldChar w:fldCharType="begin"/>
            </w:r>
            <w:r w:rsidR="00AD4A00">
              <w:rPr>
                <w:webHidden/>
              </w:rPr>
              <w:instrText xml:space="preserve"> PAGEREF _Toc171803477 \h </w:instrText>
            </w:r>
            <w:r w:rsidR="00AD4A00">
              <w:rPr>
                <w:webHidden/>
              </w:rPr>
            </w:r>
            <w:r w:rsidR="00AD4A00">
              <w:rPr>
                <w:webHidden/>
              </w:rPr>
              <w:fldChar w:fldCharType="separate"/>
            </w:r>
            <w:r>
              <w:rPr>
                <w:webHidden/>
                <w:rtl/>
                <w:lang w:bidi="ar-SA"/>
              </w:rPr>
              <w:t>73</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495" w:history="1">
            <w:r w:rsidR="00AD4A00" w:rsidRPr="008D22A6">
              <w:rPr>
                <w:rStyle w:val="Lienhypertexte"/>
                <w:rFonts w:hint="eastAsia"/>
                <w:rtl/>
              </w:rPr>
              <w:t>الجدول</w:t>
            </w:r>
            <w:r w:rsidR="00AD4A00" w:rsidRPr="008D22A6">
              <w:rPr>
                <w:rStyle w:val="Lienhypertexte"/>
                <w:rtl/>
              </w:rPr>
              <w:t xml:space="preserve"> (2-10): </w:t>
            </w:r>
            <w:r w:rsidR="00AD4A00" w:rsidRPr="008D22A6">
              <w:rPr>
                <w:rStyle w:val="Lienhypertexte"/>
                <w:rFonts w:hint="eastAsia"/>
                <w:rtl/>
              </w:rPr>
              <w:t>جدول</w:t>
            </w:r>
            <w:r w:rsidR="00AD4A00" w:rsidRPr="008D22A6">
              <w:rPr>
                <w:rStyle w:val="Lienhypertexte"/>
                <w:rtl/>
              </w:rPr>
              <w:t xml:space="preserve"> </w:t>
            </w:r>
            <w:r w:rsidR="00AD4A00" w:rsidRPr="008D22A6">
              <w:rPr>
                <w:rStyle w:val="Lienhypertexte"/>
                <w:rFonts w:hint="eastAsia"/>
                <w:rtl/>
              </w:rPr>
              <w:t>تحديد</w:t>
            </w:r>
            <w:r w:rsidR="00AD4A00" w:rsidRPr="008D22A6">
              <w:rPr>
                <w:rStyle w:val="Lienhypertexte"/>
                <w:rtl/>
              </w:rPr>
              <w:t xml:space="preserve"> </w:t>
            </w:r>
            <w:r w:rsidR="00AD4A00" w:rsidRPr="008D22A6">
              <w:rPr>
                <w:rStyle w:val="Lienhypertexte"/>
                <w:rFonts w:hint="eastAsia"/>
                <w:rtl/>
              </w:rPr>
              <w:t>العوامل</w:t>
            </w:r>
            <w:r w:rsidR="00AD4A00" w:rsidRPr="008D22A6">
              <w:rPr>
                <w:rStyle w:val="Lienhypertexte"/>
                <w:rtl/>
              </w:rPr>
              <w:t xml:space="preserve"> </w:t>
            </w:r>
            <w:r w:rsidR="00AD4A00" w:rsidRPr="008D22A6">
              <w:rPr>
                <w:rStyle w:val="Lienhypertexte"/>
                <w:rFonts w:hint="eastAsia"/>
                <w:rtl/>
              </w:rPr>
              <w:t>الاولية</w:t>
            </w:r>
            <w:r w:rsidR="00AD4A00" w:rsidRPr="008D22A6">
              <w:rPr>
                <w:rStyle w:val="Lienhypertexte"/>
                <w:rtl/>
              </w:rPr>
              <w:t xml:space="preserve"> </w:t>
            </w:r>
            <w:r w:rsidR="00AD4A00" w:rsidRPr="008D22A6">
              <w:rPr>
                <w:rStyle w:val="Lienhypertexte"/>
                <w:rFonts w:hint="eastAsia"/>
                <w:rtl/>
              </w:rPr>
              <w:t>المؤثرة</w:t>
            </w:r>
            <w:r w:rsidR="00AD4A00" w:rsidRPr="008D22A6">
              <w:rPr>
                <w:rStyle w:val="Lienhypertexte"/>
                <w:rtl/>
              </w:rPr>
              <w:t xml:space="preserve"> </w:t>
            </w:r>
            <w:r w:rsidR="00AD4A00" w:rsidRPr="008D22A6">
              <w:rPr>
                <w:rStyle w:val="Lienhypertexte"/>
                <w:rFonts w:hint="eastAsia"/>
                <w:rtl/>
              </w:rPr>
              <w:t>على</w:t>
            </w:r>
            <w:r w:rsidR="00AD4A00" w:rsidRPr="008D22A6">
              <w:rPr>
                <w:rStyle w:val="Lienhypertexte"/>
                <w:rtl/>
              </w:rPr>
              <w:t xml:space="preserve"> </w:t>
            </w:r>
            <w:r w:rsidR="00AD4A00" w:rsidRPr="008D22A6">
              <w:rPr>
                <w:rStyle w:val="Lienhypertexte"/>
                <w:rFonts w:hint="eastAsia"/>
                <w:rtl/>
              </w:rPr>
              <w:t>المرونة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_Toc171803495 \h </w:instrText>
            </w:r>
            <w:r w:rsidR="00AD4A00">
              <w:rPr>
                <w:webHidden/>
              </w:rPr>
            </w:r>
            <w:r w:rsidR="00AD4A00">
              <w:rPr>
                <w:webHidden/>
              </w:rPr>
              <w:fldChar w:fldCharType="separate"/>
            </w:r>
            <w:r>
              <w:rPr>
                <w:webHidden/>
                <w:rtl/>
                <w:lang w:bidi="ar-SA"/>
              </w:rPr>
              <w:t>80</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501" w:history="1">
            <w:r w:rsidR="00AD4A00" w:rsidRPr="008D22A6">
              <w:rPr>
                <w:rStyle w:val="Lienhypertexte"/>
                <w:rFonts w:hint="eastAsia"/>
                <w:rtl/>
              </w:rPr>
              <w:t>الفصل</w:t>
            </w:r>
            <w:r w:rsidR="00AD4A00" w:rsidRPr="008D22A6">
              <w:rPr>
                <w:rStyle w:val="Lienhypertexte"/>
                <w:rtl/>
              </w:rPr>
              <w:t xml:space="preserve"> 3: </w:t>
            </w:r>
            <w:r w:rsidR="00AD4A00" w:rsidRPr="008D22A6">
              <w:rPr>
                <w:rStyle w:val="Lienhypertexte"/>
                <w:rFonts w:hint="eastAsia"/>
                <w:rtl/>
              </w:rPr>
              <w:t>تطوير</w:t>
            </w:r>
            <w:r w:rsidR="00AD4A00" w:rsidRPr="008D22A6">
              <w:rPr>
                <w:rStyle w:val="Lienhypertexte"/>
                <w:rtl/>
              </w:rPr>
              <w:t xml:space="preserve"> </w:t>
            </w:r>
            <w:r w:rsidR="00AD4A00" w:rsidRPr="008D22A6">
              <w:rPr>
                <w:rStyle w:val="Lienhypertexte"/>
                <w:rFonts w:hint="eastAsia"/>
                <w:rtl/>
              </w:rPr>
              <w:t>اطار</w:t>
            </w:r>
            <w:r w:rsidR="00AD4A00" w:rsidRPr="008D22A6">
              <w:rPr>
                <w:rStyle w:val="Lienhypertexte"/>
                <w:rtl/>
              </w:rPr>
              <w:t xml:space="preserve"> </w:t>
            </w:r>
            <w:r w:rsidR="00AD4A00" w:rsidRPr="008D22A6">
              <w:rPr>
                <w:rStyle w:val="Lienhypertexte"/>
                <w:rFonts w:hint="eastAsia"/>
                <w:rtl/>
              </w:rPr>
              <w:t>عمل</w:t>
            </w:r>
            <w:r w:rsidR="00AD4A00" w:rsidRPr="008D22A6">
              <w:rPr>
                <w:rStyle w:val="Lienhypertexte"/>
                <w:rtl/>
              </w:rPr>
              <w:t xml:space="preserve"> </w:t>
            </w:r>
            <w:r w:rsidR="00AD4A00" w:rsidRPr="008D22A6">
              <w:rPr>
                <w:rStyle w:val="Lienhypertexte"/>
                <w:rFonts w:hint="eastAsia"/>
                <w:rtl/>
              </w:rPr>
              <w:t>لتقييم</w:t>
            </w:r>
            <w:r w:rsidR="00AD4A00" w:rsidRPr="008D22A6">
              <w:rPr>
                <w:rStyle w:val="Lienhypertexte"/>
                <w:rtl/>
              </w:rPr>
              <w:t xml:space="preserve"> </w:t>
            </w:r>
            <w:r w:rsidR="00AD4A00" w:rsidRPr="008D22A6">
              <w:rPr>
                <w:rStyle w:val="Lienhypertexte"/>
                <w:rFonts w:hint="eastAsia"/>
                <w:rtl/>
              </w:rPr>
              <w:t>مستويات</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hint="eastAsia"/>
                <w:rtl/>
              </w:rPr>
              <w:t>الحضرية</w:t>
            </w:r>
          </w:hyperlink>
        </w:p>
        <w:p w:rsidR="00AD4A00" w:rsidRDefault="00B62F86" w:rsidP="009579D2">
          <w:pPr>
            <w:pStyle w:val="TM1"/>
            <w:rPr>
              <w:rFonts w:asciiTheme="minorHAnsi" w:hAnsiTheme="minorHAnsi" w:cstheme="minorBidi"/>
              <w:color w:val="auto"/>
              <w:lang w:val="fr-FR" w:bidi="ar-SA"/>
            </w:rPr>
          </w:pPr>
          <w:hyperlink w:anchor="_Toc171803516" w:history="1">
            <w:r w:rsidR="00AD4A00" w:rsidRPr="008D22A6">
              <w:rPr>
                <w:rStyle w:val="Lienhypertexte"/>
                <w:rFonts w:hint="eastAsia"/>
                <w:rtl/>
              </w:rPr>
              <w:t>الجدول</w:t>
            </w:r>
            <w:r w:rsidR="00AD4A00" w:rsidRPr="008D22A6">
              <w:rPr>
                <w:rStyle w:val="Lienhypertexte"/>
                <w:rtl/>
              </w:rPr>
              <w:t xml:space="preserve"> (3-1): </w:t>
            </w:r>
            <w:r w:rsidR="00AD4A00" w:rsidRPr="008D22A6">
              <w:rPr>
                <w:rStyle w:val="Lienhypertexte"/>
                <w:rFonts w:hint="eastAsia"/>
                <w:rtl/>
              </w:rPr>
              <w:t>مقارنة</w:t>
            </w:r>
            <w:r w:rsidR="00AD4A00" w:rsidRPr="008D22A6">
              <w:rPr>
                <w:rStyle w:val="Lienhypertexte"/>
                <w:rtl/>
              </w:rPr>
              <w:t xml:space="preserve"> </w:t>
            </w:r>
            <w:r w:rsidR="00AD4A00" w:rsidRPr="008D22A6">
              <w:rPr>
                <w:rStyle w:val="Lienhypertexte"/>
                <w:rFonts w:hint="eastAsia"/>
                <w:rtl/>
              </w:rPr>
              <w:t>بين</w:t>
            </w:r>
            <w:r w:rsidR="00AD4A00" w:rsidRPr="008D22A6">
              <w:rPr>
                <w:rStyle w:val="Lienhypertexte"/>
                <w:rtl/>
              </w:rPr>
              <w:t xml:space="preserve"> </w:t>
            </w:r>
            <w:r w:rsidR="00AD4A00" w:rsidRPr="008D22A6">
              <w:rPr>
                <w:rStyle w:val="Lienhypertexte"/>
                <w:rFonts w:hint="eastAsia"/>
                <w:rtl/>
              </w:rPr>
              <w:t>خصائص</w:t>
            </w:r>
            <w:r w:rsidR="00AD4A00" w:rsidRPr="008D22A6">
              <w:rPr>
                <w:rStyle w:val="Lienhypertexte"/>
                <w:rtl/>
              </w:rPr>
              <w:t xml:space="preserve"> </w:t>
            </w:r>
            <w:r w:rsidR="00AD4A00" w:rsidRPr="008D22A6">
              <w:rPr>
                <w:rStyle w:val="Lienhypertexte"/>
                <w:rFonts w:hint="eastAsia"/>
                <w:rtl/>
              </w:rPr>
              <w:t>تقنيات</w:t>
            </w:r>
            <w:r w:rsidR="00AD4A00" w:rsidRPr="008D22A6">
              <w:rPr>
                <w:rStyle w:val="Lienhypertexte"/>
                <w:rtl/>
              </w:rPr>
              <w:t xml:space="preserve"> </w:t>
            </w:r>
            <w:r w:rsidR="00AD4A00" w:rsidRPr="008D22A6">
              <w:rPr>
                <w:rStyle w:val="Lienhypertexte"/>
                <w:rFonts w:hint="eastAsia"/>
                <w:rtl/>
              </w:rPr>
              <w:t>الإجماع</w:t>
            </w:r>
            <w:r w:rsidR="00AD4A00" w:rsidRPr="008D22A6">
              <w:rPr>
                <w:rStyle w:val="Lienhypertexte"/>
                <w:rtl/>
              </w:rPr>
              <w:t xml:space="preserve"> </w:t>
            </w:r>
            <w:r w:rsidR="00AD4A00" w:rsidRPr="008D22A6">
              <w:rPr>
                <w:rStyle w:val="Lienhypertexte"/>
                <w:rFonts w:hint="eastAsia"/>
                <w:rtl/>
              </w:rPr>
              <w:t>الرسمي</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_Toc171803516 \h </w:instrText>
            </w:r>
            <w:r w:rsidR="00AD4A00">
              <w:rPr>
                <w:webHidden/>
              </w:rPr>
            </w:r>
            <w:r w:rsidR="00AD4A00">
              <w:rPr>
                <w:webHidden/>
              </w:rPr>
              <w:fldChar w:fldCharType="separate"/>
            </w:r>
            <w:r>
              <w:rPr>
                <w:webHidden/>
                <w:rtl/>
                <w:lang w:bidi="ar-SA"/>
              </w:rPr>
              <w:t>90</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531" w:history="1">
            <w:r w:rsidR="00AD4A00" w:rsidRPr="008D22A6">
              <w:rPr>
                <w:rStyle w:val="Lienhypertexte"/>
                <w:rFonts w:hint="eastAsia"/>
                <w:rtl/>
              </w:rPr>
              <w:t>الجدول</w:t>
            </w:r>
            <w:r w:rsidR="00AD4A00" w:rsidRPr="008D22A6">
              <w:rPr>
                <w:rStyle w:val="Lienhypertexte"/>
                <w:rtl/>
              </w:rPr>
              <w:t xml:space="preserve"> (3-2) </w:t>
            </w:r>
            <w:r w:rsidR="00AD4A00" w:rsidRPr="008D22A6">
              <w:rPr>
                <w:rStyle w:val="Lienhypertexte"/>
                <w:rFonts w:hint="eastAsia"/>
                <w:rtl/>
              </w:rPr>
              <w:t>الأهمية</w:t>
            </w:r>
            <w:r w:rsidR="00AD4A00" w:rsidRPr="008D22A6">
              <w:rPr>
                <w:rStyle w:val="Lienhypertexte"/>
                <w:rtl/>
              </w:rPr>
              <w:t xml:space="preserve"> </w:t>
            </w:r>
            <w:r w:rsidR="00AD4A00" w:rsidRPr="008D22A6">
              <w:rPr>
                <w:rStyle w:val="Lienhypertexte"/>
                <w:rFonts w:hint="eastAsia"/>
                <w:rtl/>
              </w:rPr>
              <w:t>النسبية</w:t>
            </w:r>
            <w:r w:rsidR="00AD4A00" w:rsidRPr="008D22A6">
              <w:rPr>
                <w:rStyle w:val="Lienhypertexte"/>
                <w:rtl/>
              </w:rPr>
              <w:t xml:space="preserve"> </w:t>
            </w:r>
            <w:r w:rsidR="00AD4A00" w:rsidRPr="008D22A6">
              <w:rPr>
                <w:rStyle w:val="Lienhypertexte"/>
                <w:rFonts w:hint="eastAsia"/>
                <w:rtl/>
              </w:rPr>
              <w:t>للتصنيف</w:t>
            </w:r>
            <w:r w:rsidR="009579D2" w:rsidRPr="009579D2">
              <w:rPr>
                <w:rStyle w:val="Lienhypertexte"/>
                <w:rFonts w:hint="cs"/>
                <w:rtl/>
              </w:rPr>
              <w:t>...................</w:t>
            </w:r>
            <w:r w:rsidR="009579D2">
              <w:rPr>
                <w:rStyle w:val="Lienhypertexte"/>
                <w:rFonts w:hint="cs"/>
                <w:rtl/>
              </w:rPr>
              <w:t>........</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_Toc171803531 \h </w:instrText>
            </w:r>
            <w:r w:rsidR="00AD4A00">
              <w:rPr>
                <w:webHidden/>
              </w:rPr>
            </w:r>
            <w:r w:rsidR="00AD4A00">
              <w:rPr>
                <w:webHidden/>
              </w:rPr>
              <w:fldChar w:fldCharType="separate"/>
            </w:r>
            <w:r>
              <w:rPr>
                <w:webHidden/>
                <w:rtl/>
                <w:lang w:bidi="ar-SA"/>
              </w:rPr>
              <w:t>95</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532" w:history="1">
            <w:r w:rsidR="00AD4A00" w:rsidRPr="008D22A6">
              <w:rPr>
                <w:rStyle w:val="Lienhypertexte"/>
                <w:rFonts w:eastAsia="Times New Roman" w:hint="eastAsia"/>
                <w:rtl/>
                <w:lang w:bidi="ar"/>
              </w:rPr>
              <w:t>الجدول</w:t>
            </w:r>
            <w:r w:rsidR="00AD4A00" w:rsidRPr="008D22A6">
              <w:rPr>
                <w:rStyle w:val="Lienhypertexte"/>
                <w:rFonts w:eastAsia="Times New Roman"/>
                <w:rtl/>
                <w:lang w:bidi="ar"/>
              </w:rPr>
              <w:t xml:space="preserve"> (3-3): </w:t>
            </w:r>
            <w:r w:rsidR="00AD4A00" w:rsidRPr="008D22A6">
              <w:rPr>
                <w:rStyle w:val="Lienhypertexte"/>
                <w:rFonts w:eastAsia="Times New Roman" w:hint="eastAsia"/>
                <w:rtl/>
                <w:lang w:bidi="ar"/>
              </w:rPr>
              <w:t>مؤشر</w:t>
            </w:r>
            <w:r w:rsidR="00AD4A00" w:rsidRPr="008D22A6">
              <w:rPr>
                <w:rStyle w:val="Lienhypertexte"/>
                <w:rFonts w:eastAsia="Times New Roman"/>
                <w:rtl/>
                <w:lang w:bidi="ar"/>
              </w:rPr>
              <w:t xml:space="preserve"> </w:t>
            </w:r>
            <w:r w:rsidR="00AD4A00" w:rsidRPr="008D22A6">
              <w:rPr>
                <w:rStyle w:val="Lienhypertexte"/>
                <w:rFonts w:eastAsia="Times New Roman" w:hint="eastAsia"/>
                <w:rtl/>
                <w:lang w:bidi="ar"/>
              </w:rPr>
              <w:t>الاتساق</w:t>
            </w:r>
            <w:r w:rsidR="00AD4A00" w:rsidRPr="008D22A6">
              <w:rPr>
                <w:rStyle w:val="Lienhypertexte"/>
                <w:rFonts w:eastAsia="Times New Roman"/>
                <w:rtl/>
                <w:lang w:bidi="ar"/>
              </w:rPr>
              <w:t xml:space="preserve"> </w:t>
            </w:r>
            <w:r w:rsidR="00AD4A00" w:rsidRPr="008D22A6">
              <w:rPr>
                <w:rStyle w:val="Lienhypertexte"/>
                <w:rFonts w:eastAsia="Times New Roman" w:hint="eastAsia"/>
                <w:rtl/>
                <w:lang w:bidi="ar"/>
              </w:rPr>
              <w:t>العشوائي</w:t>
            </w:r>
            <w:r w:rsidR="00AD4A00" w:rsidRPr="008D22A6">
              <w:rPr>
                <w:rStyle w:val="Lienhypertexte"/>
                <w:rFonts w:eastAsia="Times New Roman"/>
                <w:rtl/>
                <w:lang w:bidi="ar"/>
              </w:rPr>
              <w:t xml:space="preserve"> </w:t>
            </w:r>
            <w:r w:rsidR="00AD4A00" w:rsidRPr="008D22A6">
              <w:rPr>
                <w:rStyle w:val="Lienhypertexte"/>
                <w:rFonts w:eastAsia="Times New Roman" w:hint="eastAsia"/>
                <w:rtl/>
                <w:lang w:bidi="ar"/>
              </w:rPr>
              <w:t>لمختلف</w:t>
            </w:r>
            <w:r w:rsidR="00AD4A00" w:rsidRPr="008D22A6">
              <w:rPr>
                <w:rStyle w:val="Lienhypertexte"/>
                <w:rFonts w:eastAsia="Times New Roman"/>
                <w:rtl/>
                <w:lang w:bidi="ar"/>
              </w:rPr>
              <w:t xml:space="preserve"> </w:t>
            </w:r>
            <w:r w:rsidR="00AD4A00" w:rsidRPr="008D22A6">
              <w:rPr>
                <w:rStyle w:val="Lienhypertexte"/>
                <w:rFonts w:eastAsia="Times New Roman" w:hint="eastAsia"/>
                <w:rtl/>
                <w:lang w:bidi="ar"/>
              </w:rPr>
              <w:t>قيم</w:t>
            </w:r>
            <w:r w:rsidR="00AD4A00" w:rsidRPr="008D22A6">
              <w:rPr>
                <w:rStyle w:val="Lienhypertexte"/>
                <w:rFonts w:eastAsia="Times New Roman"/>
                <w:rtl/>
                <w:lang w:bidi="ar"/>
              </w:rPr>
              <w:t xml:space="preserve"> </w:t>
            </w:r>
            <w:r w:rsidR="00AD4A00" w:rsidRPr="008D22A6">
              <w:rPr>
                <w:rStyle w:val="Lienhypertexte"/>
                <w:rFonts w:ascii="Times New Roman" w:hAnsi="Times New Roman" w:cs="Times New Roman"/>
              </w:rPr>
              <w:t>n</w:t>
            </w:r>
            <w:r w:rsidR="00AD4A00" w:rsidRPr="008D22A6">
              <w:rPr>
                <w:rStyle w:val="Lienhypertexte"/>
                <w:rtl/>
              </w:rPr>
              <w:t xml:space="preserve"> (</w:t>
            </w:r>
            <w:r w:rsidR="00AD4A00" w:rsidRPr="008D22A6">
              <w:rPr>
                <w:rStyle w:val="Lienhypertexte"/>
                <w:rFonts w:ascii="Times New Roman" w:hAnsi="Times New Roman" w:cs="Times New Roman"/>
              </w:rPr>
              <w:t>n</w:t>
            </w:r>
            <w:r w:rsidR="00AD4A00" w:rsidRPr="008D22A6">
              <w:rPr>
                <w:rStyle w:val="Lienhypertexte"/>
                <w:rtl/>
              </w:rPr>
              <w:t xml:space="preserve"> </w:t>
            </w:r>
            <w:r w:rsidR="00AD4A00" w:rsidRPr="008D22A6">
              <w:rPr>
                <w:rStyle w:val="Lienhypertexte"/>
                <w:rFonts w:hint="eastAsia"/>
                <w:rtl/>
              </w:rPr>
              <w:t>هي</w:t>
            </w:r>
            <w:r w:rsidR="00AD4A00" w:rsidRPr="008D22A6">
              <w:rPr>
                <w:rStyle w:val="Lienhypertexte"/>
                <w:rtl/>
              </w:rPr>
              <w:t xml:space="preserve"> </w:t>
            </w:r>
            <w:r w:rsidR="00AD4A00" w:rsidRPr="008D22A6">
              <w:rPr>
                <w:rStyle w:val="Lienhypertexte"/>
                <w:rFonts w:hint="eastAsia"/>
                <w:rtl/>
              </w:rPr>
              <w:t>عدد</w:t>
            </w:r>
            <w:r w:rsidR="00AD4A00" w:rsidRPr="008D22A6">
              <w:rPr>
                <w:rStyle w:val="Lienhypertexte"/>
                <w:rtl/>
              </w:rPr>
              <w:t xml:space="preserve"> </w:t>
            </w:r>
            <w:r w:rsidR="00AD4A00" w:rsidRPr="008D22A6">
              <w:rPr>
                <w:rStyle w:val="Lienhypertexte"/>
                <w:rFonts w:hint="eastAsia"/>
                <w:rtl/>
              </w:rPr>
              <w:t>المعايير</w:t>
            </w:r>
            <w:r w:rsidR="00AD4A00" w:rsidRPr="008D22A6">
              <w:rPr>
                <w:rStyle w:val="Lienhypertexte"/>
                <w:rtl/>
              </w:rPr>
              <w:t>)</w:t>
            </w:r>
            <w:r w:rsidR="009579D2">
              <w:rPr>
                <w:rStyle w:val="Lienhypertexte"/>
                <w:rFonts w:hint="cs"/>
                <w:rtl/>
              </w:rPr>
              <w:t>.</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_Toc171803532 \h </w:instrText>
            </w:r>
            <w:r w:rsidR="00AD4A00">
              <w:rPr>
                <w:webHidden/>
              </w:rPr>
            </w:r>
            <w:r w:rsidR="00AD4A00">
              <w:rPr>
                <w:webHidden/>
              </w:rPr>
              <w:fldChar w:fldCharType="separate"/>
            </w:r>
            <w:r>
              <w:rPr>
                <w:webHidden/>
                <w:rtl/>
                <w:lang w:bidi="ar-SA"/>
              </w:rPr>
              <w:t>96</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563" w:history="1">
            <w:r w:rsidR="00AD4A00" w:rsidRPr="008D22A6">
              <w:rPr>
                <w:rStyle w:val="Lienhypertexte"/>
                <w:rFonts w:hint="eastAsia"/>
                <w:rtl/>
              </w:rPr>
              <w:t>الفصل</w:t>
            </w:r>
            <w:r w:rsidR="00AD4A00" w:rsidRPr="008D22A6">
              <w:rPr>
                <w:rStyle w:val="Lienhypertexte"/>
                <w:rtl/>
              </w:rPr>
              <w:t xml:space="preserve"> 4: </w:t>
            </w:r>
            <w:r w:rsidR="00AD4A00" w:rsidRPr="008D22A6">
              <w:rPr>
                <w:rStyle w:val="Lienhypertexte"/>
                <w:rFonts w:hint="eastAsia"/>
                <w:rtl/>
              </w:rPr>
              <w:t>علاقة</w:t>
            </w:r>
            <w:r w:rsidR="00AD4A00" w:rsidRPr="008D22A6">
              <w:rPr>
                <w:rStyle w:val="Lienhypertexte"/>
                <w:rtl/>
              </w:rPr>
              <w:t xml:space="preserve"> </w:t>
            </w:r>
            <w:r w:rsidR="00AD4A00" w:rsidRPr="008D22A6">
              <w:rPr>
                <w:rStyle w:val="Lienhypertexte"/>
                <w:rFonts w:hint="eastAsia"/>
                <w:rtl/>
              </w:rPr>
              <w:t>استعمالات</w:t>
            </w:r>
            <w:r w:rsidR="00AD4A00" w:rsidRPr="008D22A6">
              <w:rPr>
                <w:rStyle w:val="Lienhypertexte"/>
                <w:rtl/>
              </w:rPr>
              <w:t xml:space="preserve"> </w:t>
            </w:r>
            <w:r w:rsidR="00AD4A00" w:rsidRPr="008D22A6">
              <w:rPr>
                <w:rStyle w:val="Lienhypertexte"/>
                <w:rFonts w:hint="eastAsia"/>
                <w:rtl/>
              </w:rPr>
              <w:t>الاراضي</w:t>
            </w:r>
            <w:r w:rsidR="00AD4A00" w:rsidRPr="008D22A6">
              <w:rPr>
                <w:rStyle w:val="Lienhypertexte"/>
                <w:rtl/>
              </w:rPr>
              <w:t xml:space="preserve"> </w:t>
            </w:r>
            <w:r w:rsidR="00AD4A00" w:rsidRPr="008D22A6">
              <w:rPr>
                <w:rStyle w:val="Lienhypertexte"/>
                <w:rFonts w:hint="eastAsia"/>
                <w:rtl/>
              </w:rPr>
              <w:t>الحضرية</w:t>
            </w:r>
            <w:r w:rsidR="00AD4A00" w:rsidRPr="008D22A6">
              <w:rPr>
                <w:rStyle w:val="Lienhypertexte"/>
                <w:rtl/>
              </w:rPr>
              <w:t xml:space="preserve"> </w:t>
            </w:r>
            <w:r w:rsidR="00AD4A00" w:rsidRPr="008D22A6">
              <w:rPr>
                <w:rStyle w:val="Lienhypertexte"/>
                <w:rFonts w:hint="eastAsia"/>
                <w:rtl/>
              </w:rPr>
              <w:t>مع</w:t>
            </w:r>
            <w:r w:rsidR="00AD4A00" w:rsidRPr="008D22A6">
              <w:rPr>
                <w:rStyle w:val="Lienhypertexte"/>
                <w:rtl/>
              </w:rPr>
              <w:t xml:space="preserve"> </w:t>
            </w:r>
            <w:r w:rsidR="00AD4A00" w:rsidRPr="008D22A6">
              <w:rPr>
                <w:rStyle w:val="Lienhypertexte"/>
                <w:rFonts w:hint="eastAsia"/>
                <w:rtl/>
              </w:rPr>
              <w:t>تكوين</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hint="eastAsia"/>
                <w:rtl/>
              </w:rPr>
              <w:t>المكانية</w:t>
            </w:r>
          </w:hyperlink>
        </w:p>
        <w:p w:rsidR="00AD4A00" w:rsidRDefault="00AD4A00" w:rsidP="009579D2">
          <w:pPr>
            <w:pStyle w:val="TM1"/>
            <w:rPr>
              <w:rFonts w:asciiTheme="minorHAnsi" w:hAnsiTheme="minorHAnsi" w:cstheme="minorBidi"/>
              <w:color w:val="auto"/>
              <w:lang w:val="fr-FR" w:bidi="ar-SA"/>
            </w:rPr>
          </w:pPr>
          <w:r>
            <w:tab/>
          </w:r>
          <w:hyperlink w:anchor="_Toc171803585" w:history="1">
            <w:r w:rsidRPr="008D22A6">
              <w:rPr>
                <w:rStyle w:val="Lienhypertexte"/>
                <w:rFonts w:hint="eastAsia"/>
                <w:rtl/>
              </w:rPr>
              <w:t>الجدول</w:t>
            </w:r>
            <w:r w:rsidRPr="008D22A6">
              <w:rPr>
                <w:rStyle w:val="Lienhypertexte"/>
                <w:rtl/>
              </w:rPr>
              <w:t xml:space="preserve"> (4-1): </w:t>
            </w:r>
            <w:r w:rsidRPr="008D22A6">
              <w:rPr>
                <w:rStyle w:val="Lienhypertexte"/>
                <w:rFonts w:hint="eastAsia"/>
                <w:rtl/>
              </w:rPr>
              <w:t>كمية</w:t>
            </w:r>
            <w:r w:rsidRPr="008D22A6">
              <w:rPr>
                <w:rStyle w:val="Lienhypertexte"/>
                <w:rtl/>
              </w:rPr>
              <w:t xml:space="preserve"> </w:t>
            </w:r>
            <w:r w:rsidRPr="008D22A6">
              <w:rPr>
                <w:rStyle w:val="Lienhypertexte"/>
                <w:rFonts w:hint="eastAsia"/>
                <w:rtl/>
              </w:rPr>
              <w:t>التساقط</w:t>
            </w:r>
            <w:r w:rsidRPr="008D22A6">
              <w:rPr>
                <w:rStyle w:val="Lienhypertexte"/>
                <w:rtl/>
              </w:rPr>
              <w:t xml:space="preserve"> </w:t>
            </w:r>
            <w:r w:rsidRPr="008D22A6">
              <w:rPr>
                <w:rStyle w:val="Lienhypertexte"/>
                <w:rFonts w:hint="eastAsia"/>
                <w:rtl/>
              </w:rPr>
              <w:t>المتوسطة</w:t>
            </w:r>
            <w:r w:rsidRPr="008D22A6">
              <w:rPr>
                <w:rStyle w:val="Lienhypertexte"/>
                <w:rtl/>
              </w:rPr>
              <w:t xml:space="preserve"> </w:t>
            </w:r>
            <w:r w:rsidRPr="008D22A6">
              <w:rPr>
                <w:rStyle w:val="Lienhypertexte"/>
                <w:rFonts w:hint="eastAsia"/>
                <w:rtl/>
              </w:rPr>
              <w:t>في</w:t>
            </w:r>
            <w:r w:rsidRPr="008D22A6">
              <w:rPr>
                <w:rStyle w:val="Lienhypertexte"/>
                <w:rtl/>
              </w:rPr>
              <w:t xml:space="preserve"> </w:t>
            </w:r>
            <w:r w:rsidRPr="008D22A6">
              <w:rPr>
                <w:rStyle w:val="Lienhypertexte"/>
                <w:rFonts w:hint="eastAsia"/>
                <w:rtl/>
              </w:rPr>
              <w:t>الفترة</w:t>
            </w:r>
            <w:r w:rsidRPr="008D22A6">
              <w:rPr>
                <w:rStyle w:val="Lienhypertexte"/>
                <w:rtl/>
              </w:rPr>
              <w:t xml:space="preserve"> (1971</w:t>
            </w:r>
            <w:r w:rsidRPr="008D22A6">
              <w:rPr>
                <w:rStyle w:val="Lienhypertexte"/>
                <w:rFonts w:hint="eastAsia"/>
                <w:rtl/>
              </w:rPr>
              <w:t>،</w:t>
            </w:r>
            <w:r w:rsidRPr="008D22A6">
              <w:rPr>
                <w:rStyle w:val="Lienhypertexte"/>
                <w:rtl/>
              </w:rPr>
              <w:t xml:space="preserve"> 2016)</w:t>
            </w:r>
            <w:r w:rsidR="009579D2">
              <w:rPr>
                <w:rStyle w:val="Lienhypertexte"/>
                <w:rFonts w:hint="cs"/>
                <w:rtl/>
              </w:rPr>
              <w:t>.</w:t>
            </w:r>
            <w:r w:rsidR="009579D2" w:rsidRPr="009579D2">
              <w:rPr>
                <w:rStyle w:val="Lienhypertexte"/>
                <w:rFonts w:hint="cs"/>
                <w:rtl/>
              </w:rPr>
              <w:t>..................................</w:t>
            </w:r>
            <w:r w:rsidR="009579D2">
              <w:rPr>
                <w:rStyle w:val="Lienhypertexte"/>
                <w:rFonts w:hint="cs"/>
                <w:rtl/>
              </w:rPr>
              <w:t>................</w:t>
            </w:r>
            <w:r>
              <w:rPr>
                <w:webHidden/>
              </w:rPr>
              <w:tab/>
            </w:r>
            <w:r>
              <w:rPr>
                <w:webHidden/>
              </w:rPr>
              <w:fldChar w:fldCharType="begin"/>
            </w:r>
            <w:r>
              <w:rPr>
                <w:webHidden/>
              </w:rPr>
              <w:instrText xml:space="preserve"> PAGEREF _Toc171803585 \h </w:instrText>
            </w:r>
            <w:r>
              <w:rPr>
                <w:webHidden/>
              </w:rPr>
            </w:r>
            <w:r>
              <w:rPr>
                <w:webHidden/>
              </w:rPr>
              <w:fldChar w:fldCharType="separate"/>
            </w:r>
            <w:r w:rsidR="00B62F86">
              <w:rPr>
                <w:webHidden/>
                <w:rtl/>
                <w:lang w:bidi="ar-SA"/>
              </w:rPr>
              <w:t>118</w:t>
            </w:r>
            <w:r>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590" w:history="1">
            <w:r w:rsidR="00AD4A00" w:rsidRPr="008D22A6">
              <w:rPr>
                <w:rStyle w:val="Lienhypertexte"/>
                <w:rFonts w:hint="eastAsia"/>
                <w:rtl/>
              </w:rPr>
              <w:t>الجدول</w:t>
            </w:r>
            <w:r w:rsidR="00AD4A00" w:rsidRPr="008D22A6">
              <w:rPr>
                <w:rStyle w:val="Lienhypertexte"/>
                <w:rtl/>
              </w:rPr>
              <w:t xml:space="preserve"> (4-2): </w:t>
            </w:r>
            <w:r w:rsidR="00AD4A00" w:rsidRPr="008D22A6">
              <w:rPr>
                <w:rStyle w:val="Lienhypertexte"/>
                <w:rFonts w:hint="eastAsia"/>
                <w:rtl/>
              </w:rPr>
              <w:t>التطور</w:t>
            </w:r>
            <w:r w:rsidR="00AD4A00" w:rsidRPr="008D22A6">
              <w:rPr>
                <w:rStyle w:val="Lienhypertexte"/>
                <w:rtl/>
              </w:rPr>
              <w:t xml:space="preserve"> </w:t>
            </w:r>
            <w:r w:rsidR="00AD4A00" w:rsidRPr="008D22A6">
              <w:rPr>
                <w:rStyle w:val="Lienhypertexte"/>
                <w:rFonts w:hint="eastAsia"/>
                <w:rtl/>
              </w:rPr>
              <w:t>السكاني</w:t>
            </w:r>
            <w:r w:rsidR="00AD4A00" w:rsidRPr="008D22A6">
              <w:rPr>
                <w:rStyle w:val="Lienhypertexte"/>
                <w:rtl/>
              </w:rPr>
              <w:t xml:space="preserve"> </w:t>
            </w:r>
            <w:r w:rsidR="00AD4A00" w:rsidRPr="008D22A6">
              <w:rPr>
                <w:rStyle w:val="Lienhypertexte"/>
                <w:rFonts w:hint="eastAsia"/>
                <w:rtl/>
              </w:rPr>
              <w:t>لمدينة</w:t>
            </w:r>
            <w:r w:rsidR="00AD4A00" w:rsidRPr="008D22A6">
              <w:rPr>
                <w:rStyle w:val="Lienhypertexte"/>
                <w:rtl/>
              </w:rPr>
              <w:t xml:space="preserve"> </w:t>
            </w:r>
            <w:r w:rsidR="00AD4A00"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_Toc171803590 \h </w:instrText>
            </w:r>
            <w:r w:rsidR="00AD4A00">
              <w:rPr>
                <w:webHidden/>
              </w:rPr>
            </w:r>
            <w:r w:rsidR="00AD4A00">
              <w:rPr>
                <w:webHidden/>
              </w:rPr>
              <w:fldChar w:fldCharType="separate"/>
            </w:r>
            <w:r>
              <w:rPr>
                <w:webHidden/>
                <w:rtl/>
                <w:lang w:bidi="ar-SA"/>
              </w:rPr>
              <w:t>120</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592" w:history="1">
            <w:r w:rsidR="00AD4A00" w:rsidRPr="008D22A6">
              <w:rPr>
                <w:rStyle w:val="Lienhypertexte"/>
                <w:rFonts w:hint="eastAsia"/>
                <w:rtl/>
              </w:rPr>
              <w:t>الجدول</w:t>
            </w:r>
            <w:r w:rsidR="00AD4A00" w:rsidRPr="008D22A6">
              <w:rPr>
                <w:rStyle w:val="Lienhypertexte"/>
                <w:rtl/>
              </w:rPr>
              <w:t xml:space="preserve"> (4-3): </w:t>
            </w:r>
            <w:r w:rsidR="00AD4A00" w:rsidRPr="008D22A6">
              <w:rPr>
                <w:rStyle w:val="Lienhypertexte"/>
                <w:rFonts w:hint="eastAsia"/>
                <w:rtl/>
              </w:rPr>
              <w:t>الكثافة</w:t>
            </w:r>
            <w:r w:rsidR="00AD4A00" w:rsidRPr="008D22A6">
              <w:rPr>
                <w:rStyle w:val="Lienhypertexte"/>
                <w:rtl/>
              </w:rPr>
              <w:t xml:space="preserve"> </w:t>
            </w:r>
            <w:r w:rsidR="00AD4A00" w:rsidRPr="008D22A6">
              <w:rPr>
                <w:rStyle w:val="Lienhypertexte"/>
                <w:rFonts w:hint="eastAsia"/>
                <w:rtl/>
              </w:rPr>
              <w:t>السكنية</w:t>
            </w:r>
            <w:r w:rsidR="00AD4A00" w:rsidRPr="008D22A6">
              <w:rPr>
                <w:rStyle w:val="Lienhypertexte"/>
                <w:rtl/>
              </w:rPr>
              <w:t xml:space="preserve"> </w:t>
            </w:r>
            <w:r w:rsidR="00AD4A00" w:rsidRPr="008D22A6">
              <w:rPr>
                <w:rStyle w:val="Lienhypertexte"/>
                <w:rFonts w:hint="eastAsia"/>
                <w:rtl/>
              </w:rPr>
              <w:t>لأحياء</w:t>
            </w:r>
            <w:r w:rsidR="00AD4A00" w:rsidRPr="008D22A6">
              <w:rPr>
                <w:rStyle w:val="Lienhypertexte"/>
                <w:rtl/>
              </w:rPr>
              <w:t xml:space="preserve"> </w:t>
            </w:r>
            <w:r w:rsidR="00AD4A00" w:rsidRPr="008D22A6">
              <w:rPr>
                <w:rStyle w:val="Lienhypertexte"/>
                <w:rFonts w:hint="eastAsia"/>
                <w:rtl/>
              </w:rPr>
              <w:t>مدينة</w:t>
            </w:r>
            <w:r w:rsidR="00AD4A00" w:rsidRPr="008D22A6">
              <w:rPr>
                <w:rStyle w:val="Lienhypertexte"/>
                <w:rtl/>
              </w:rPr>
              <w:t xml:space="preserve"> </w:t>
            </w:r>
            <w:r w:rsidR="00AD4A00" w:rsidRPr="008D22A6">
              <w:rPr>
                <w:rStyle w:val="Lienhypertexte"/>
                <w:rFonts w:hint="eastAsia"/>
                <w:rtl/>
              </w:rPr>
              <w:t>بوسعادة</w:t>
            </w:r>
            <w:r w:rsidR="009579D2" w:rsidRPr="009579D2">
              <w:rPr>
                <w:rStyle w:val="Lienhypertexte"/>
                <w:rFonts w:hint="cs"/>
                <w:rtl/>
              </w:rPr>
              <w:t>..................................................................</w:t>
            </w:r>
            <w:r w:rsidR="00AD4A00">
              <w:rPr>
                <w:webHidden/>
              </w:rPr>
              <w:tab/>
            </w:r>
            <w:r w:rsidR="00AD4A00">
              <w:rPr>
                <w:webHidden/>
              </w:rPr>
              <w:fldChar w:fldCharType="begin"/>
            </w:r>
            <w:r w:rsidR="00AD4A00">
              <w:rPr>
                <w:webHidden/>
              </w:rPr>
              <w:instrText xml:space="preserve"> PAGEREF _Toc171803592 \h </w:instrText>
            </w:r>
            <w:r w:rsidR="00AD4A00">
              <w:rPr>
                <w:webHidden/>
              </w:rPr>
            </w:r>
            <w:r w:rsidR="00AD4A00">
              <w:rPr>
                <w:webHidden/>
              </w:rPr>
              <w:fldChar w:fldCharType="separate"/>
            </w:r>
            <w:r>
              <w:rPr>
                <w:webHidden/>
                <w:rtl/>
                <w:lang w:bidi="ar-SA"/>
              </w:rPr>
              <w:t>121</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596" w:history="1">
            <w:r w:rsidR="00AD4A00" w:rsidRPr="008D22A6">
              <w:rPr>
                <w:rStyle w:val="Lienhypertexte"/>
                <w:rFonts w:hint="eastAsia"/>
                <w:rtl/>
              </w:rPr>
              <w:t>الجدول</w:t>
            </w:r>
            <w:r w:rsidR="00AD4A00" w:rsidRPr="008D22A6">
              <w:rPr>
                <w:rStyle w:val="Lienhypertexte"/>
                <w:rtl/>
              </w:rPr>
              <w:t xml:space="preserve"> (4-4): </w:t>
            </w:r>
            <w:r w:rsidR="00AD4A00" w:rsidRPr="008D22A6">
              <w:rPr>
                <w:rStyle w:val="Lienhypertexte"/>
                <w:rFonts w:hint="eastAsia"/>
                <w:rtl/>
              </w:rPr>
              <w:t>الكثافة</w:t>
            </w:r>
            <w:r w:rsidR="00AD4A00" w:rsidRPr="008D22A6">
              <w:rPr>
                <w:rStyle w:val="Lienhypertexte"/>
                <w:rtl/>
              </w:rPr>
              <w:t xml:space="preserve"> </w:t>
            </w:r>
            <w:r w:rsidR="00AD4A00" w:rsidRPr="008D22A6">
              <w:rPr>
                <w:rStyle w:val="Lienhypertexte"/>
                <w:rFonts w:hint="eastAsia"/>
                <w:rtl/>
              </w:rPr>
              <w:t>لسكانية</w:t>
            </w:r>
            <w:r w:rsidR="00AD4A00" w:rsidRPr="008D22A6">
              <w:rPr>
                <w:rStyle w:val="Lienhypertexte"/>
                <w:rtl/>
              </w:rPr>
              <w:t xml:space="preserve"> </w:t>
            </w:r>
            <w:r w:rsidR="00AD4A00" w:rsidRPr="008D22A6">
              <w:rPr>
                <w:rStyle w:val="Lienhypertexte"/>
                <w:rFonts w:hint="eastAsia"/>
                <w:rtl/>
              </w:rPr>
              <w:t>لأحياء</w:t>
            </w:r>
            <w:r w:rsidR="00AD4A00" w:rsidRPr="008D22A6">
              <w:rPr>
                <w:rStyle w:val="Lienhypertexte"/>
                <w:rtl/>
              </w:rPr>
              <w:t xml:space="preserve"> </w:t>
            </w:r>
            <w:r w:rsidR="00AD4A00" w:rsidRPr="008D22A6">
              <w:rPr>
                <w:rStyle w:val="Lienhypertexte"/>
                <w:rFonts w:hint="eastAsia"/>
                <w:rtl/>
              </w:rPr>
              <w:t>مدينة</w:t>
            </w:r>
            <w:r w:rsidR="00AD4A00" w:rsidRPr="008D22A6">
              <w:rPr>
                <w:rStyle w:val="Lienhypertexte"/>
                <w:rtl/>
              </w:rPr>
              <w:t xml:space="preserve"> </w:t>
            </w:r>
            <w:r w:rsidR="00AD4A00" w:rsidRPr="008D22A6">
              <w:rPr>
                <w:rStyle w:val="Lienhypertexte"/>
                <w:rFonts w:hint="eastAsia"/>
                <w:rtl/>
              </w:rPr>
              <w:t>بوسعادة</w:t>
            </w:r>
            <w:r w:rsidR="009579D2" w:rsidRPr="009579D2">
              <w:rPr>
                <w:rStyle w:val="Lienhypertexte"/>
                <w:rFonts w:hint="cs"/>
                <w:rtl/>
              </w:rPr>
              <w:t>..................................................................</w:t>
            </w:r>
            <w:r w:rsidR="00AD4A00">
              <w:rPr>
                <w:webHidden/>
              </w:rPr>
              <w:tab/>
            </w:r>
            <w:r w:rsidR="00AD4A00">
              <w:rPr>
                <w:webHidden/>
              </w:rPr>
              <w:fldChar w:fldCharType="begin"/>
            </w:r>
            <w:r w:rsidR="00AD4A00">
              <w:rPr>
                <w:webHidden/>
              </w:rPr>
              <w:instrText xml:space="preserve"> PAGEREF _Toc171803596 \h </w:instrText>
            </w:r>
            <w:r w:rsidR="00AD4A00">
              <w:rPr>
                <w:webHidden/>
              </w:rPr>
            </w:r>
            <w:r w:rsidR="00AD4A00">
              <w:rPr>
                <w:webHidden/>
              </w:rPr>
              <w:fldChar w:fldCharType="separate"/>
            </w:r>
            <w:r>
              <w:rPr>
                <w:webHidden/>
                <w:rtl/>
                <w:lang w:bidi="ar-SA"/>
              </w:rPr>
              <w:t>122</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01" w:history="1">
            <w:r w:rsidR="00AD4A00" w:rsidRPr="008D22A6">
              <w:rPr>
                <w:rStyle w:val="Lienhypertexte"/>
                <w:rFonts w:hint="eastAsia"/>
                <w:rtl/>
              </w:rPr>
              <w:t>الجدول</w:t>
            </w:r>
            <w:r w:rsidR="00AD4A00" w:rsidRPr="008D22A6">
              <w:rPr>
                <w:rStyle w:val="Lienhypertexte"/>
                <w:rtl/>
              </w:rPr>
              <w:t xml:space="preserve"> (4-5): </w:t>
            </w:r>
            <w:r w:rsidR="00AD4A00" w:rsidRPr="008D22A6">
              <w:rPr>
                <w:rStyle w:val="Lienhypertexte"/>
                <w:rFonts w:hint="eastAsia"/>
                <w:rtl/>
              </w:rPr>
              <w:t>المرافق</w:t>
            </w:r>
            <w:r w:rsidR="00AD4A00" w:rsidRPr="008D22A6">
              <w:rPr>
                <w:rStyle w:val="Lienhypertexte"/>
                <w:rtl/>
              </w:rPr>
              <w:t xml:space="preserve"> </w:t>
            </w:r>
            <w:r w:rsidR="00AD4A00" w:rsidRPr="008D22A6">
              <w:rPr>
                <w:rStyle w:val="Lienhypertexte"/>
                <w:rFonts w:hint="eastAsia"/>
                <w:rtl/>
              </w:rPr>
              <w:t>التعليمة</w:t>
            </w:r>
            <w:r w:rsidR="00AD4A00" w:rsidRPr="008D22A6">
              <w:rPr>
                <w:rStyle w:val="Lienhypertexte"/>
                <w:rtl/>
              </w:rPr>
              <w:t xml:space="preserve"> </w:t>
            </w:r>
            <w:r w:rsidR="00AD4A00" w:rsidRPr="008D22A6">
              <w:rPr>
                <w:rStyle w:val="Lienhypertexte"/>
                <w:rFonts w:hint="eastAsia"/>
                <w:rtl/>
              </w:rPr>
              <w:t>بمدينة</w:t>
            </w:r>
            <w:r w:rsidR="00AD4A00" w:rsidRPr="008D22A6">
              <w:rPr>
                <w:rStyle w:val="Lienhypertexte"/>
                <w:rtl/>
              </w:rPr>
              <w:t xml:space="preserve"> </w:t>
            </w:r>
            <w:r w:rsidR="00AD4A00"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_Toc171803601 \h </w:instrText>
            </w:r>
            <w:r w:rsidR="00AD4A00">
              <w:rPr>
                <w:webHidden/>
              </w:rPr>
            </w:r>
            <w:r w:rsidR="00AD4A00">
              <w:rPr>
                <w:webHidden/>
              </w:rPr>
              <w:fldChar w:fldCharType="separate"/>
            </w:r>
            <w:r>
              <w:rPr>
                <w:webHidden/>
                <w:rtl/>
                <w:lang w:bidi="ar-SA"/>
              </w:rPr>
              <w:t>124</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08" w:history="1">
            <w:r w:rsidR="00AD4A00" w:rsidRPr="008D22A6">
              <w:rPr>
                <w:rStyle w:val="Lienhypertexte"/>
                <w:rFonts w:hint="eastAsia"/>
                <w:rtl/>
              </w:rPr>
              <w:t>الجدول</w:t>
            </w:r>
            <w:r w:rsidR="00AD4A00" w:rsidRPr="008D22A6">
              <w:rPr>
                <w:rStyle w:val="Lienhypertexte"/>
                <w:rtl/>
              </w:rPr>
              <w:t xml:space="preserve"> (4-6): </w:t>
            </w:r>
            <w:r w:rsidR="00AD4A00" w:rsidRPr="008D22A6">
              <w:rPr>
                <w:rStyle w:val="Lienhypertexte"/>
                <w:rFonts w:hint="eastAsia"/>
                <w:rtl/>
              </w:rPr>
              <w:t>توزيع</w:t>
            </w:r>
            <w:r w:rsidR="00AD4A00" w:rsidRPr="008D22A6">
              <w:rPr>
                <w:rStyle w:val="Lienhypertexte"/>
                <w:rtl/>
              </w:rPr>
              <w:t xml:space="preserve"> </w:t>
            </w:r>
            <w:r w:rsidR="00AD4A00" w:rsidRPr="008D22A6">
              <w:rPr>
                <w:rStyle w:val="Lienhypertexte"/>
                <w:rFonts w:hint="eastAsia"/>
                <w:rtl/>
              </w:rPr>
              <w:t>عدد</w:t>
            </w:r>
            <w:r w:rsidR="00AD4A00" w:rsidRPr="008D22A6">
              <w:rPr>
                <w:rStyle w:val="Lienhypertexte"/>
                <w:rtl/>
              </w:rPr>
              <w:t xml:space="preserve"> </w:t>
            </w:r>
            <w:r w:rsidR="00AD4A00" w:rsidRPr="008D22A6">
              <w:rPr>
                <w:rStyle w:val="Lienhypertexte"/>
                <w:rFonts w:hint="eastAsia"/>
                <w:rtl/>
              </w:rPr>
              <w:t>تدخلات</w:t>
            </w:r>
            <w:r w:rsidR="00AD4A00" w:rsidRPr="008D22A6">
              <w:rPr>
                <w:rStyle w:val="Lienhypertexte"/>
                <w:rtl/>
              </w:rPr>
              <w:t xml:space="preserve"> </w:t>
            </w:r>
            <w:r w:rsidR="00AD4A00" w:rsidRPr="008D22A6">
              <w:rPr>
                <w:rStyle w:val="Lienhypertexte"/>
                <w:rFonts w:hint="eastAsia"/>
                <w:rtl/>
              </w:rPr>
              <w:t>الحماية</w:t>
            </w:r>
            <w:r w:rsidR="00AD4A00" w:rsidRPr="008D22A6">
              <w:rPr>
                <w:rStyle w:val="Lienhypertexte"/>
                <w:rtl/>
              </w:rPr>
              <w:t xml:space="preserve"> </w:t>
            </w:r>
            <w:r w:rsidR="00AD4A00" w:rsidRPr="008D22A6">
              <w:rPr>
                <w:rStyle w:val="Lienhypertexte"/>
                <w:rFonts w:hint="eastAsia"/>
                <w:rtl/>
              </w:rPr>
              <w:t>المدنية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_Toc171803608 \h </w:instrText>
            </w:r>
            <w:r w:rsidR="00AD4A00">
              <w:rPr>
                <w:webHidden/>
              </w:rPr>
            </w:r>
            <w:r w:rsidR="00AD4A00">
              <w:rPr>
                <w:webHidden/>
              </w:rPr>
              <w:fldChar w:fldCharType="separate"/>
            </w:r>
            <w:r>
              <w:rPr>
                <w:webHidden/>
                <w:rtl/>
                <w:lang w:bidi="ar-SA"/>
              </w:rPr>
              <w:t>127</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19" w:history="1">
            <w:r w:rsidR="00AD4A00" w:rsidRPr="008D22A6">
              <w:rPr>
                <w:rStyle w:val="Lienhypertexte"/>
                <w:rFonts w:hint="eastAsia"/>
                <w:rtl/>
              </w:rPr>
              <w:t>الجدول</w:t>
            </w:r>
            <w:r w:rsidR="00AD4A00" w:rsidRPr="008D22A6">
              <w:rPr>
                <w:rStyle w:val="Lienhypertexte"/>
                <w:rtl/>
              </w:rPr>
              <w:t xml:space="preserve"> (4-7): </w:t>
            </w:r>
            <w:r w:rsidR="00AD4A00" w:rsidRPr="008D22A6">
              <w:rPr>
                <w:rStyle w:val="Lienhypertexte"/>
                <w:rFonts w:hint="eastAsia"/>
                <w:rtl/>
              </w:rPr>
              <w:t>تطور</w:t>
            </w:r>
            <w:r w:rsidR="00AD4A00" w:rsidRPr="008D22A6">
              <w:rPr>
                <w:rStyle w:val="Lienhypertexte"/>
                <w:rtl/>
              </w:rPr>
              <w:t xml:space="preserve"> </w:t>
            </w:r>
            <w:r w:rsidR="00AD4A00" w:rsidRPr="008D22A6">
              <w:rPr>
                <w:rStyle w:val="Lienhypertexte"/>
                <w:rFonts w:hint="eastAsia"/>
                <w:rtl/>
              </w:rPr>
              <w:t>المساحة</w:t>
            </w:r>
            <w:r w:rsidR="00AD4A00" w:rsidRPr="008D22A6">
              <w:rPr>
                <w:rStyle w:val="Lienhypertexte"/>
                <w:rtl/>
              </w:rPr>
              <w:t xml:space="preserve"> </w:t>
            </w:r>
            <w:r w:rsidR="00AD4A00" w:rsidRPr="008D22A6">
              <w:rPr>
                <w:rStyle w:val="Lienhypertexte"/>
                <w:rFonts w:hint="eastAsia"/>
                <w:rtl/>
              </w:rPr>
              <w:t>المبنية</w:t>
            </w:r>
            <w:r w:rsidR="00AD4A00" w:rsidRPr="008D22A6">
              <w:rPr>
                <w:rStyle w:val="Lienhypertexte"/>
                <w:rtl/>
              </w:rPr>
              <w:t xml:space="preserve"> </w:t>
            </w:r>
            <w:r w:rsidR="00AD4A00" w:rsidRPr="008D22A6">
              <w:rPr>
                <w:rStyle w:val="Lienhypertexte"/>
                <w:rFonts w:hint="eastAsia"/>
                <w:rtl/>
              </w:rPr>
              <w:t>لبوسعادة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_Toc171803619 \h </w:instrText>
            </w:r>
            <w:r w:rsidR="00AD4A00">
              <w:rPr>
                <w:webHidden/>
              </w:rPr>
            </w:r>
            <w:r w:rsidR="00AD4A00">
              <w:rPr>
                <w:webHidden/>
              </w:rPr>
              <w:fldChar w:fldCharType="separate"/>
            </w:r>
            <w:r>
              <w:rPr>
                <w:webHidden/>
                <w:rtl/>
                <w:lang w:bidi="ar-SA"/>
              </w:rPr>
              <w:t>131</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39" w:history="1">
            <w:r w:rsidR="00AD4A00" w:rsidRPr="008D22A6">
              <w:rPr>
                <w:rStyle w:val="Lienhypertexte"/>
                <w:rFonts w:hint="eastAsia"/>
                <w:rtl/>
              </w:rPr>
              <w:t>الفصل</w:t>
            </w:r>
            <w:r w:rsidR="00AD4A00" w:rsidRPr="008D22A6">
              <w:rPr>
                <w:rStyle w:val="Lienhypertexte"/>
                <w:rtl/>
              </w:rPr>
              <w:t xml:space="preserve"> 5: </w:t>
            </w:r>
            <w:r w:rsidR="00AD4A00" w:rsidRPr="008D22A6">
              <w:rPr>
                <w:rStyle w:val="Lienhypertexte"/>
                <w:rFonts w:hint="eastAsia"/>
                <w:rtl/>
              </w:rPr>
              <w:t>تنفيذ</w:t>
            </w:r>
            <w:r w:rsidR="00AD4A00" w:rsidRPr="008D22A6">
              <w:rPr>
                <w:rStyle w:val="Lienhypertexte"/>
                <w:rtl/>
              </w:rPr>
              <w:t xml:space="preserve"> </w:t>
            </w:r>
            <w:r w:rsidR="00AD4A00" w:rsidRPr="008D22A6">
              <w:rPr>
                <w:rStyle w:val="Lienhypertexte"/>
                <w:rFonts w:hint="eastAsia"/>
                <w:rtl/>
              </w:rPr>
              <w:t>اطار</w:t>
            </w:r>
            <w:r w:rsidR="00AD4A00" w:rsidRPr="008D22A6">
              <w:rPr>
                <w:rStyle w:val="Lienhypertexte"/>
                <w:rtl/>
              </w:rPr>
              <w:t xml:space="preserve"> </w:t>
            </w:r>
            <w:r w:rsidR="00AD4A00" w:rsidRPr="008D22A6">
              <w:rPr>
                <w:rStyle w:val="Lienhypertexte"/>
                <w:rFonts w:hint="eastAsia"/>
                <w:rtl/>
              </w:rPr>
              <w:t>عمل</w:t>
            </w:r>
            <w:r w:rsidR="00AD4A00" w:rsidRPr="008D22A6">
              <w:rPr>
                <w:rStyle w:val="Lienhypertexte"/>
                <w:rtl/>
              </w:rPr>
              <w:t xml:space="preserve"> </w:t>
            </w:r>
            <w:r w:rsidR="00AD4A00" w:rsidRPr="008D22A6">
              <w:rPr>
                <w:rStyle w:val="Lienhypertexte"/>
                <w:rFonts w:hint="eastAsia"/>
                <w:rtl/>
              </w:rPr>
              <w:t>تقييم</w:t>
            </w:r>
            <w:r w:rsidR="00AD4A00" w:rsidRPr="008D22A6">
              <w:rPr>
                <w:rStyle w:val="Lienhypertexte"/>
                <w:rtl/>
              </w:rPr>
              <w:t xml:space="preserve"> </w:t>
            </w:r>
            <w:r w:rsidR="00AD4A00" w:rsidRPr="008D22A6">
              <w:rPr>
                <w:rStyle w:val="Lienhypertexte"/>
                <w:rFonts w:hint="eastAsia"/>
                <w:rtl/>
              </w:rPr>
              <w:t>مرونة</w:t>
            </w:r>
            <w:r w:rsidR="00AD4A00" w:rsidRPr="008D22A6">
              <w:rPr>
                <w:rStyle w:val="Lienhypertexte"/>
                <w:rtl/>
              </w:rPr>
              <w:t xml:space="preserve"> </w:t>
            </w:r>
            <w:r w:rsidR="00AD4A00" w:rsidRPr="008D22A6">
              <w:rPr>
                <w:rStyle w:val="Lienhypertexte"/>
                <w:rFonts w:hint="eastAsia"/>
                <w:rtl/>
              </w:rPr>
              <w:t>مدينة</w:t>
            </w:r>
            <w:r w:rsidR="00AD4A00" w:rsidRPr="008D22A6">
              <w:rPr>
                <w:rStyle w:val="Lienhypertexte"/>
                <w:rtl/>
              </w:rPr>
              <w:t xml:space="preserve"> </w:t>
            </w:r>
            <w:r w:rsidR="00AD4A00" w:rsidRPr="008D22A6">
              <w:rPr>
                <w:rStyle w:val="Lienhypertexte"/>
                <w:rFonts w:hint="eastAsia"/>
                <w:rtl/>
              </w:rPr>
              <w:t>بوسعادة</w:t>
            </w:r>
          </w:hyperlink>
        </w:p>
        <w:p w:rsidR="00AD4A00" w:rsidRDefault="00B62F86" w:rsidP="009579D2">
          <w:pPr>
            <w:pStyle w:val="TM1"/>
            <w:rPr>
              <w:rFonts w:asciiTheme="minorHAnsi" w:hAnsiTheme="minorHAnsi" w:cstheme="minorBidi"/>
              <w:color w:val="auto"/>
              <w:lang w:val="fr-FR" w:bidi="ar-SA"/>
            </w:rPr>
          </w:pPr>
          <w:hyperlink w:anchor="_Toc171803654"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w:t>
            </w:r>
            <w:r w:rsidR="00AD4A00" w:rsidRPr="008D22A6">
              <w:rPr>
                <w:rStyle w:val="Lienhypertexte"/>
                <w:rtl/>
              </w:rPr>
              <w:t xml:space="preserve">: </w:t>
            </w:r>
            <w:r w:rsidR="00AD4A00" w:rsidRPr="008D22A6">
              <w:rPr>
                <w:rStyle w:val="Lienhypertexte"/>
                <w:rFonts w:hint="eastAsia"/>
                <w:rtl/>
              </w:rPr>
              <w:t>التحليل</w:t>
            </w:r>
            <w:r w:rsidR="00AD4A00" w:rsidRPr="008D22A6">
              <w:rPr>
                <w:rStyle w:val="Lienhypertexte"/>
                <w:rtl/>
              </w:rPr>
              <w:t xml:space="preserve"> </w:t>
            </w:r>
            <w:r w:rsidR="00AD4A00" w:rsidRPr="008D22A6">
              <w:rPr>
                <w:rStyle w:val="Lienhypertexte"/>
                <w:rFonts w:hint="eastAsia"/>
                <w:rtl/>
              </w:rPr>
              <w:t>الإحصائي</w:t>
            </w:r>
            <w:r w:rsidR="00AD4A00" w:rsidRPr="008D22A6">
              <w:rPr>
                <w:rStyle w:val="Lienhypertexte"/>
                <w:rtl/>
              </w:rPr>
              <w:t xml:space="preserve"> </w:t>
            </w:r>
            <w:r w:rsidR="00AD4A00" w:rsidRPr="008D22A6">
              <w:rPr>
                <w:rStyle w:val="Lienhypertexte"/>
                <w:rFonts w:hint="eastAsia"/>
                <w:rtl/>
              </w:rPr>
              <w:t>لإجابات</w:t>
            </w:r>
            <w:r w:rsidR="00AD4A00" w:rsidRPr="008D22A6">
              <w:rPr>
                <w:rStyle w:val="Lienhypertexte"/>
                <w:rtl/>
              </w:rPr>
              <w:t xml:space="preserve"> </w:t>
            </w:r>
            <w:r w:rsidR="00AD4A00" w:rsidRPr="008D22A6">
              <w:rPr>
                <w:rStyle w:val="Lienhypertexte"/>
                <w:rFonts w:hint="eastAsia"/>
                <w:rtl/>
              </w:rPr>
              <w:t>مسح</w:t>
            </w:r>
            <w:r w:rsidR="00AD4A00" w:rsidRPr="008D22A6">
              <w:rPr>
                <w:rStyle w:val="Lienhypertexte"/>
                <w:rtl/>
              </w:rPr>
              <w:t xml:space="preserve"> </w:t>
            </w:r>
            <w:r w:rsidR="00AD4A00" w:rsidRPr="008D22A6">
              <w:rPr>
                <w:rStyle w:val="Lienhypertexte"/>
                <w:rFonts w:hint="eastAsia"/>
                <w:rtl/>
              </w:rPr>
              <w:t>الجولة</w:t>
            </w:r>
            <w:r w:rsidR="00AD4A00" w:rsidRPr="008D22A6">
              <w:rPr>
                <w:rStyle w:val="Lienhypertexte"/>
                <w:rtl/>
              </w:rPr>
              <w:t xml:space="preserve"> </w:t>
            </w:r>
            <w:r w:rsidR="00AD4A00" w:rsidRPr="008D22A6">
              <w:rPr>
                <w:rStyle w:val="Lienhypertexte"/>
                <w:rFonts w:hint="eastAsia"/>
                <w:rtl/>
              </w:rPr>
              <w:t>الاولى</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_Toc171803654 \h </w:instrText>
            </w:r>
            <w:r w:rsidR="00AD4A00">
              <w:rPr>
                <w:webHidden/>
              </w:rPr>
            </w:r>
            <w:r w:rsidR="00AD4A00">
              <w:rPr>
                <w:webHidden/>
              </w:rPr>
              <w:fldChar w:fldCharType="separate"/>
            </w:r>
            <w:r>
              <w:rPr>
                <w:webHidden/>
                <w:rtl/>
                <w:lang w:bidi="ar-SA"/>
              </w:rPr>
              <w:t>146</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56"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(5-2)</w:t>
            </w:r>
            <w:r w:rsidR="00AD4A00" w:rsidRPr="008D22A6">
              <w:rPr>
                <w:rStyle w:val="Lienhypertexte"/>
                <w:rtl/>
              </w:rPr>
              <w:t xml:space="preserve">: </w:t>
            </w:r>
            <w:r w:rsidR="00AD4A00" w:rsidRPr="008D22A6">
              <w:rPr>
                <w:rStyle w:val="Lienhypertexte"/>
                <w:rFonts w:hint="eastAsia"/>
                <w:rtl/>
              </w:rPr>
              <w:t>التحليل</w:t>
            </w:r>
            <w:r w:rsidR="00AD4A00" w:rsidRPr="008D22A6">
              <w:rPr>
                <w:rStyle w:val="Lienhypertexte"/>
                <w:rtl/>
              </w:rPr>
              <w:t xml:space="preserve"> </w:t>
            </w:r>
            <w:r w:rsidR="00AD4A00" w:rsidRPr="008D22A6">
              <w:rPr>
                <w:rStyle w:val="Lienhypertexte"/>
                <w:rFonts w:hint="eastAsia"/>
                <w:rtl/>
              </w:rPr>
              <w:t>الإحصائي</w:t>
            </w:r>
            <w:r w:rsidR="00AD4A00" w:rsidRPr="008D22A6">
              <w:rPr>
                <w:rStyle w:val="Lienhypertexte"/>
                <w:rtl/>
              </w:rPr>
              <w:t xml:space="preserve"> </w:t>
            </w:r>
            <w:r w:rsidR="00AD4A00" w:rsidRPr="008D22A6">
              <w:rPr>
                <w:rStyle w:val="Lienhypertexte"/>
                <w:rFonts w:hint="eastAsia"/>
                <w:rtl/>
              </w:rPr>
              <w:t>لإجابات</w:t>
            </w:r>
            <w:r w:rsidR="00AD4A00" w:rsidRPr="008D22A6">
              <w:rPr>
                <w:rStyle w:val="Lienhypertexte"/>
                <w:rtl/>
              </w:rPr>
              <w:t xml:space="preserve"> </w:t>
            </w:r>
            <w:r w:rsidR="00AD4A00" w:rsidRPr="008D22A6">
              <w:rPr>
                <w:rStyle w:val="Lienhypertexte"/>
                <w:rFonts w:hint="eastAsia"/>
                <w:rtl/>
              </w:rPr>
              <w:t>مسح</w:t>
            </w:r>
            <w:r w:rsidR="00AD4A00" w:rsidRPr="008D22A6">
              <w:rPr>
                <w:rStyle w:val="Lienhypertexte"/>
                <w:rtl/>
              </w:rPr>
              <w:t xml:space="preserve"> </w:t>
            </w:r>
            <w:r w:rsidR="00AD4A00" w:rsidRPr="008D22A6">
              <w:rPr>
                <w:rStyle w:val="Lienhypertexte"/>
                <w:rFonts w:hint="eastAsia"/>
                <w:rtl/>
              </w:rPr>
              <w:t>الجولة</w:t>
            </w:r>
            <w:r w:rsidR="00AD4A00" w:rsidRPr="008D22A6">
              <w:rPr>
                <w:rStyle w:val="Lienhypertexte"/>
                <w:rtl/>
              </w:rPr>
              <w:t xml:space="preserve"> </w:t>
            </w:r>
            <w:r w:rsidR="00AD4A00" w:rsidRPr="008D22A6">
              <w:rPr>
                <w:rStyle w:val="Lienhypertexte"/>
                <w:rFonts w:hint="eastAsia"/>
                <w:rtl/>
              </w:rPr>
              <w:t>الثانية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_Toc171803656 \h </w:instrText>
            </w:r>
            <w:r w:rsidR="00AD4A00">
              <w:rPr>
                <w:webHidden/>
              </w:rPr>
            </w:r>
            <w:r w:rsidR="00AD4A00">
              <w:rPr>
                <w:webHidden/>
              </w:rPr>
              <w:fldChar w:fldCharType="separate"/>
            </w:r>
            <w:r>
              <w:rPr>
                <w:webHidden/>
                <w:rtl/>
                <w:lang w:bidi="ar-SA"/>
              </w:rPr>
              <w:t>146</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58"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(5-3)</w:t>
            </w:r>
            <w:r w:rsidR="00AD4A00" w:rsidRPr="008D22A6">
              <w:rPr>
                <w:rStyle w:val="Lienhypertexte"/>
                <w:rtl/>
              </w:rPr>
              <w:t xml:space="preserve">: </w:t>
            </w:r>
            <w:r w:rsidR="00AD4A00" w:rsidRPr="008D22A6">
              <w:rPr>
                <w:rStyle w:val="Lienhypertexte"/>
                <w:rFonts w:hint="eastAsia"/>
                <w:rtl/>
              </w:rPr>
              <w:t>التحليل</w:t>
            </w:r>
            <w:r w:rsidR="00AD4A00" w:rsidRPr="008D22A6">
              <w:rPr>
                <w:rStyle w:val="Lienhypertexte"/>
                <w:rtl/>
              </w:rPr>
              <w:t xml:space="preserve"> </w:t>
            </w:r>
            <w:r w:rsidR="00AD4A00" w:rsidRPr="008D22A6">
              <w:rPr>
                <w:rStyle w:val="Lienhypertexte"/>
                <w:rFonts w:hint="eastAsia"/>
                <w:rtl/>
              </w:rPr>
              <w:t>الإحصائي</w:t>
            </w:r>
            <w:r w:rsidR="00AD4A00" w:rsidRPr="008D22A6">
              <w:rPr>
                <w:rStyle w:val="Lienhypertexte"/>
                <w:rtl/>
              </w:rPr>
              <w:t xml:space="preserve"> </w:t>
            </w:r>
            <w:r w:rsidR="00AD4A00" w:rsidRPr="008D22A6">
              <w:rPr>
                <w:rStyle w:val="Lienhypertexte"/>
                <w:rFonts w:hint="eastAsia"/>
                <w:rtl/>
              </w:rPr>
              <w:t>لإجابات</w:t>
            </w:r>
            <w:r w:rsidR="00AD4A00" w:rsidRPr="008D22A6">
              <w:rPr>
                <w:rStyle w:val="Lienhypertexte"/>
                <w:rtl/>
              </w:rPr>
              <w:t xml:space="preserve"> </w:t>
            </w:r>
            <w:r w:rsidR="00AD4A00" w:rsidRPr="008D22A6">
              <w:rPr>
                <w:rStyle w:val="Lienhypertexte"/>
                <w:rFonts w:hint="eastAsia"/>
                <w:rtl/>
              </w:rPr>
              <w:t>مسح</w:t>
            </w:r>
            <w:r w:rsidR="00AD4A00" w:rsidRPr="008D22A6">
              <w:rPr>
                <w:rStyle w:val="Lienhypertexte"/>
                <w:rtl/>
              </w:rPr>
              <w:t xml:space="preserve"> </w:t>
            </w:r>
            <w:r w:rsidR="00AD4A00" w:rsidRPr="008D22A6">
              <w:rPr>
                <w:rStyle w:val="Lienhypertexte"/>
                <w:rFonts w:hint="eastAsia"/>
                <w:rtl/>
              </w:rPr>
              <w:t>الجولة</w:t>
            </w:r>
            <w:r w:rsidR="00AD4A00" w:rsidRPr="008D22A6">
              <w:rPr>
                <w:rStyle w:val="Lienhypertexte"/>
                <w:rtl/>
              </w:rPr>
              <w:t xml:space="preserve"> </w:t>
            </w:r>
            <w:r w:rsidR="00AD4A00" w:rsidRPr="008D22A6">
              <w:rPr>
                <w:rStyle w:val="Lienhypertexte"/>
                <w:rFonts w:hint="eastAsia"/>
                <w:rtl/>
              </w:rPr>
              <w:t>الثالثة</w:t>
            </w:r>
            <w:r w:rsidR="00AD4A00" w:rsidRPr="008D22A6">
              <w:rPr>
                <w:rStyle w:val="Lienhypertexte"/>
                <w:rtl/>
              </w:rPr>
              <w:t xml:space="preserve"> </w:t>
            </w:r>
            <w:r w:rsidR="00AD4A00" w:rsidRPr="008D22A6">
              <w:rPr>
                <w:rStyle w:val="Lienhypertexte"/>
                <w:rFonts w:hint="eastAsia"/>
                <w:rtl/>
              </w:rPr>
              <w:t>والاخيرة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_Toc171803658 \h </w:instrText>
            </w:r>
            <w:r w:rsidR="00AD4A00">
              <w:rPr>
                <w:webHidden/>
              </w:rPr>
            </w:r>
            <w:r w:rsidR="00AD4A00">
              <w:rPr>
                <w:webHidden/>
              </w:rPr>
              <w:fldChar w:fldCharType="separate"/>
            </w:r>
            <w:r>
              <w:rPr>
                <w:webHidden/>
                <w:rtl/>
                <w:lang w:bidi="ar-SA"/>
              </w:rPr>
              <w:t>147</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61"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(5-4)</w:t>
            </w:r>
            <w:r w:rsidR="00AD4A00" w:rsidRPr="008D22A6">
              <w:rPr>
                <w:rStyle w:val="Lienhypertexte"/>
                <w:rtl/>
              </w:rPr>
              <w:t xml:space="preserve">: </w:t>
            </w:r>
            <w:r w:rsidR="00AD4A00" w:rsidRPr="008D22A6">
              <w:rPr>
                <w:rStyle w:val="Lienhypertexte"/>
                <w:rFonts w:hint="eastAsia"/>
                <w:rtl/>
              </w:rPr>
              <w:t>اعضاء</w:t>
            </w:r>
            <w:r w:rsidR="00AD4A00" w:rsidRPr="008D22A6">
              <w:rPr>
                <w:rStyle w:val="Lienhypertexte"/>
                <w:rtl/>
              </w:rPr>
              <w:t xml:space="preserve"> </w:t>
            </w:r>
            <w:r w:rsidR="00AD4A00" w:rsidRPr="008D22A6">
              <w:rPr>
                <w:rStyle w:val="Lienhypertexte"/>
                <w:rFonts w:hint="eastAsia"/>
                <w:rtl/>
              </w:rPr>
              <w:t>فريق</w:t>
            </w:r>
            <w:r w:rsidR="00AD4A00" w:rsidRPr="008D22A6">
              <w:rPr>
                <w:rStyle w:val="Lienhypertexte"/>
                <w:rtl/>
              </w:rPr>
              <w:t xml:space="preserve"> </w:t>
            </w:r>
            <w:r w:rsidR="00AD4A00" w:rsidRPr="008D22A6">
              <w:rPr>
                <w:rStyle w:val="Lienhypertexte"/>
                <w:rFonts w:hint="eastAsia"/>
                <w:rtl/>
              </w:rPr>
              <w:t>مسح</w:t>
            </w:r>
            <w:r w:rsidR="00AD4A00" w:rsidRPr="008D22A6">
              <w:rPr>
                <w:rStyle w:val="Lienhypertexte"/>
                <w:rtl/>
              </w:rPr>
              <w:t xml:space="preserve"> </w:t>
            </w:r>
            <w:r w:rsidR="00AD4A00" w:rsidRPr="008D22A6">
              <w:rPr>
                <w:rStyle w:val="Lienhypertexte"/>
                <w:rFonts w:hint="eastAsia"/>
                <w:rtl/>
              </w:rPr>
              <w:t>دلفي،</w:t>
            </w:r>
            <w:r w:rsidR="00AD4A00" w:rsidRPr="008D22A6">
              <w:rPr>
                <w:rStyle w:val="Lienhypertexte"/>
                <w:rtl/>
              </w:rPr>
              <w:t xml:space="preserve"> (</w:t>
            </w:r>
            <w:r w:rsidR="00AD4A00" w:rsidRPr="008D22A6">
              <w:rPr>
                <w:rStyle w:val="Lienhypertexte"/>
                <w:rFonts w:hint="eastAsia"/>
                <w:rtl/>
              </w:rPr>
              <w:t>الجولة</w:t>
            </w:r>
            <w:r w:rsidR="00AD4A00" w:rsidRPr="008D22A6">
              <w:rPr>
                <w:rStyle w:val="Lienhypertexte"/>
                <w:rtl/>
              </w:rPr>
              <w:t xml:space="preserve"> </w:t>
            </w:r>
            <w:r w:rsidR="00AD4A00" w:rsidRPr="008D22A6">
              <w:rPr>
                <w:rStyle w:val="Lienhypertexte"/>
                <w:rFonts w:hint="eastAsia"/>
                <w:rtl/>
              </w:rPr>
              <w:t>الثالثة</w:t>
            </w:r>
            <w:r w:rsidR="00AD4A00" w:rsidRPr="008D22A6">
              <w:rPr>
                <w:rStyle w:val="Lienhypertexte"/>
                <w:rtl/>
              </w:rPr>
              <w:t>)</w:t>
            </w:r>
            <w:r w:rsidR="009579D2" w:rsidRPr="009579D2">
              <w:rPr>
                <w:rFonts w:hint="cs"/>
                <w:rtl/>
              </w:rPr>
              <w:t xml:space="preserve"> </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_Toc171803661 \h </w:instrText>
            </w:r>
            <w:r w:rsidR="00AD4A00">
              <w:rPr>
                <w:webHidden/>
              </w:rPr>
            </w:r>
            <w:r w:rsidR="00AD4A00">
              <w:rPr>
                <w:webHidden/>
              </w:rPr>
              <w:fldChar w:fldCharType="separate"/>
            </w:r>
            <w:r>
              <w:rPr>
                <w:webHidden/>
                <w:rtl/>
                <w:lang w:bidi="ar-SA"/>
              </w:rPr>
              <w:t>148</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64"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(5-5)</w:t>
            </w:r>
            <w:r w:rsidR="00AD4A00" w:rsidRPr="008D22A6">
              <w:rPr>
                <w:rStyle w:val="Lienhypertexte"/>
                <w:rtl/>
              </w:rPr>
              <w:t xml:space="preserve">: </w:t>
            </w:r>
            <w:r w:rsidR="00AD4A00" w:rsidRPr="008D22A6">
              <w:rPr>
                <w:rStyle w:val="Lienhypertexte"/>
                <w:rFonts w:hint="eastAsia"/>
                <w:rtl/>
              </w:rPr>
              <w:t>التحليل</w:t>
            </w:r>
            <w:r w:rsidR="00AD4A00" w:rsidRPr="008D22A6">
              <w:rPr>
                <w:rStyle w:val="Lienhypertexte"/>
                <w:rtl/>
              </w:rPr>
              <w:t xml:space="preserve"> </w:t>
            </w:r>
            <w:r w:rsidR="00AD4A00" w:rsidRPr="008D22A6">
              <w:rPr>
                <w:rStyle w:val="Lienhypertexte"/>
                <w:rFonts w:hint="eastAsia"/>
                <w:rtl/>
              </w:rPr>
              <w:t>الإحصائي</w:t>
            </w:r>
            <w:r w:rsidR="00AD4A00" w:rsidRPr="008D22A6">
              <w:rPr>
                <w:rStyle w:val="Lienhypertexte"/>
                <w:rtl/>
              </w:rPr>
              <w:t xml:space="preserve"> </w:t>
            </w:r>
            <w:r w:rsidR="00AD4A00" w:rsidRPr="008D22A6">
              <w:rPr>
                <w:rStyle w:val="Lienhypertexte"/>
                <w:rFonts w:hint="eastAsia"/>
                <w:rtl/>
              </w:rPr>
              <w:t>لإجابات</w:t>
            </w:r>
            <w:r w:rsidR="00AD4A00" w:rsidRPr="008D22A6">
              <w:rPr>
                <w:rStyle w:val="Lienhypertexte"/>
                <w:rtl/>
              </w:rPr>
              <w:t xml:space="preserve"> </w:t>
            </w:r>
            <w:r w:rsidR="00AD4A00" w:rsidRPr="008D22A6">
              <w:rPr>
                <w:rStyle w:val="Lienhypertexte"/>
                <w:rFonts w:hint="eastAsia"/>
                <w:rtl/>
              </w:rPr>
              <w:t>المسح</w:t>
            </w:r>
            <w:r w:rsidR="00AD4A00" w:rsidRPr="008D22A6">
              <w:rPr>
                <w:rStyle w:val="Lienhypertexte"/>
                <w:rtl/>
              </w:rPr>
              <w:t xml:space="preserve"> </w:t>
            </w:r>
            <w:r w:rsidR="00AD4A00" w:rsidRPr="008D22A6">
              <w:rPr>
                <w:rStyle w:val="Lienhypertexte"/>
                <w:rFonts w:hint="eastAsia"/>
                <w:rtl/>
              </w:rPr>
              <w:t>حسب</w:t>
            </w:r>
            <w:r w:rsidR="00AD4A00" w:rsidRPr="008D22A6">
              <w:rPr>
                <w:rStyle w:val="Lienhypertexte"/>
                <w:rtl/>
              </w:rPr>
              <w:t xml:space="preserve"> </w:t>
            </w:r>
            <w:r w:rsidR="00AD4A00" w:rsidRPr="008D22A6">
              <w:rPr>
                <w:rStyle w:val="Lienhypertexte"/>
                <w:rFonts w:hint="eastAsia"/>
                <w:rtl/>
              </w:rPr>
              <w:t>الجولة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_Toc171803664 \h </w:instrText>
            </w:r>
            <w:r w:rsidR="00AD4A00">
              <w:rPr>
                <w:webHidden/>
              </w:rPr>
            </w:r>
            <w:r w:rsidR="00AD4A00">
              <w:rPr>
                <w:webHidden/>
              </w:rPr>
              <w:fldChar w:fldCharType="separate"/>
            </w:r>
            <w:r>
              <w:rPr>
                <w:webHidden/>
                <w:rtl/>
                <w:lang w:bidi="ar-SA"/>
              </w:rPr>
              <w:t>149</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67"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(5-6)</w:t>
            </w:r>
            <w:r w:rsidR="00AD4A00" w:rsidRPr="008D22A6">
              <w:rPr>
                <w:rStyle w:val="Lienhypertexte"/>
                <w:rtl/>
              </w:rPr>
              <w:t xml:space="preserve">: </w:t>
            </w:r>
            <w:r w:rsidR="00AD4A00" w:rsidRPr="008D22A6">
              <w:rPr>
                <w:rStyle w:val="Lienhypertexte"/>
                <w:rFonts w:hint="eastAsia"/>
                <w:rtl/>
              </w:rPr>
              <w:t>التحليل</w:t>
            </w:r>
            <w:r w:rsidR="00AD4A00" w:rsidRPr="008D22A6">
              <w:rPr>
                <w:rStyle w:val="Lienhypertexte"/>
                <w:rtl/>
              </w:rPr>
              <w:t xml:space="preserve"> </w:t>
            </w:r>
            <w:r w:rsidR="00AD4A00" w:rsidRPr="008D22A6">
              <w:rPr>
                <w:rStyle w:val="Lienhypertexte"/>
                <w:rFonts w:hint="eastAsia"/>
                <w:rtl/>
              </w:rPr>
              <w:t>الإحصائي</w:t>
            </w:r>
            <w:r w:rsidR="00AD4A00" w:rsidRPr="008D22A6">
              <w:rPr>
                <w:rStyle w:val="Lienhypertexte"/>
                <w:rtl/>
              </w:rPr>
              <w:t xml:space="preserve"> </w:t>
            </w:r>
            <w:r w:rsidR="00AD4A00" w:rsidRPr="008D22A6">
              <w:rPr>
                <w:rStyle w:val="Lienhypertexte"/>
                <w:rFonts w:hint="eastAsia"/>
                <w:rtl/>
              </w:rPr>
              <w:t>لإجابات</w:t>
            </w:r>
            <w:r w:rsidR="00AD4A00" w:rsidRPr="008D22A6">
              <w:rPr>
                <w:rStyle w:val="Lienhypertexte"/>
                <w:rtl/>
              </w:rPr>
              <w:t xml:space="preserve"> </w:t>
            </w:r>
            <w:r w:rsidR="00AD4A00" w:rsidRPr="008D22A6">
              <w:rPr>
                <w:rStyle w:val="Lienhypertexte"/>
                <w:rFonts w:hint="eastAsia"/>
                <w:rtl/>
              </w:rPr>
              <w:t>المسح</w:t>
            </w:r>
            <w:r w:rsidR="00AD4A00" w:rsidRPr="008D22A6">
              <w:rPr>
                <w:rStyle w:val="Lienhypertexte"/>
                <w:rtl/>
              </w:rPr>
              <w:t xml:space="preserve"> </w:t>
            </w:r>
            <w:r w:rsidR="00AD4A00" w:rsidRPr="008D22A6">
              <w:rPr>
                <w:rStyle w:val="Lienhypertexte"/>
                <w:rFonts w:hint="eastAsia"/>
                <w:rtl/>
              </w:rPr>
              <w:t>حسب</w:t>
            </w:r>
            <w:r w:rsidR="00AD4A00" w:rsidRPr="008D22A6">
              <w:rPr>
                <w:rStyle w:val="Lienhypertexte"/>
                <w:rtl/>
              </w:rPr>
              <w:t xml:space="preserve"> </w:t>
            </w:r>
            <w:r w:rsidR="00AD4A00" w:rsidRPr="008D22A6">
              <w:rPr>
                <w:rStyle w:val="Lienhypertexte"/>
                <w:rFonts w:hint="eastAsia"/>
                <w:rtl/>
              </w:rPr>
              <w:t>الجولة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_Toc171803667 \h </w:instrText>
            </w:r>
            <w:r w:rsidR="00AD4A00">
              <w:rPr>
                <w:webHidden/>
              </w:rPr>
            </w:r>
            <w:r w:rsidR="00AD4A00">
              <w:rPr>
                <w:webHidden/>
              </w:rPr>
              <w:fldChar w:fldCharType="separate"/>
            </w:r>
            <w:r>
              <w:rPr>
                <w:webHidden/>
                <w:rtl/>
                <w:lang w:bidi="ar-SA"/>
              </w:rPr>
              <w:t>149</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73" w:history="1">
            <w:r w:rsidR="00AD4A00" w:rsidRPr="008D22A6">
              <w:rPr>
                <w:rStyle w:val="Lienhypertexte"/>
                <w:rFonts w:hint="eastAsia"/>
                <w:rtl/>
              </w:rPr>
              <w:t>الجدول</w:t>
            </w:r>
            <w:r w:rsidR="00AD4A00" w:rsidRPr="008D22A6">
              <w:rPr>
                <w:rStyle w:val="Lienhypertexte"/>
                <w:rtl/>
              </w:rPr>
              <w:t xml:space="preserve"> (5-7): </w:t>
            </w:r>
            <w:r w:rsidR="00AD4A00" w:rsidRPr="008D22A6">
              <w:rPr>
                <w:rStyle w:val="Lienhypertexte"/>
                <w:rFonts w:hint="eastAsia"/>
                <w:rtl/>
              </w:rPr>
              <w:t>تحويل</w:t>
            </w:r>
            <w:r w:rsidR="00AD4A00" w:rsidRPr="008D22A6">
              <w:rPr>
                <w:rStyle w:val="Lienhypertexte"/>
                <w:rtl/>
              </w:rPr>
              <w:t xml:space="preserve"> </w:t>
            </w:r>
            <w:r w:rsidR="00AD4A00" w:rsidRPr="008D22A6">
              <w:rPr>
                <w:rStyle w:val="Lienhypertexte"/>
                <w:rFonts w:hint="eastAsia"/>
                <w:rtl/>
              </w:rPr>
              <w:t>العوامل</w:t>
            </w:r>
            <w:r w:rsidR="00AD4A00" w:rsidRPr="008D22A6">
              <w:rPr>
                <w:rStyle w:val="Lienhypertexte"/>
                <w:rtl/>
              </w:rPr>
              <w:t xml:space="preserve"> </w:t>
            </w:r>
            <w:r w:rsidR="00AD4A00" w:rsidRPr="008D22A6">
              <w:rPr>
                <w:rStyle w:val="Lienhypertexte"/>
                <w:rFonts w:hint="eastAsia"/>
                <w:rtl/>
              </w:rPr>
              <w:t>الى</w:t>
            </w:r>
            <w:r w:rsidR="00AD4A00" w:rsidRPr="008D22A6">
              <w:rPr>
                <w:rStyle w:val="Lienhypertexte"/>
                <w:rtl/>
              </w:rPr>
              <w:t xml:space="preserve"> </w:t>
            </w:r>
            <w:r w:rsidR="00AD4A00" w:rsidRPr="008D22A6">
              <w:rPr>
                <w:rStyle w:val="Lienhypertexte"/>
                <w:rFonts w:hint="eastAsia"/>
                <w:rtl/>
              </w:rPr>
              <w:t>معايير</w:t>
            </w:r>
            <w:r w:rsidR="00AD4A00" w:rsidRPr="008D22A6">
              <w:rPr>
                <w:rStyle w:val="Lienhypertexte"/>
                <w:rtl/>
              </w:rPr>
              <w:t xml:space="preserve"> </w:t>
            </w:r>
            <w:r w:rsidR="00AD4A00" w:rsidRPr="008D22A6">
              <w:rPr>
                <w:rStyle w:val="Lienhypertexte"/>
                <w:rFonts w:hint="eastAsia"/>
                <w:rtl/>
              </w:rPr>
              <w:t>نهائية</w:t>
            </w:r>
            <w:r w:rsidR="00AD4A00" w:rsidRPr="008D22A6">
              <w:rPr>
                <w:rStyle w:val="Lienhypertexte"/>
                <w:rtl/>
              </w:rPr>
              <w:t xml:space="preserve"> </w:t>
            </w:r>
            <w:r w:rsidR="00AD4A00" w:rsidRPr="008D22A6">
              <w:rPr>
                <w:rStyle w:val="Lienhypertexte"/>
                <w:rFonts w:hint="eastAsia"/>
                <w:rtl/>
              </w:rPr>
              <w:t>لتقييم</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hint="eastAsia"/>
                <w:rtl/>
              </w:rPr>
              <w:t>الحضرية</w:t>
            </w:r>
            <w:r w:rsidR="00AD4A00" w:rsidRPr="008D22A6">
              <w:rPr>
                <w:rStyle w:val="Lienhypertexte"/>
                <w:rtl/>
              </w:rPr>
              <w:t xml:space="preserve"> </w:t>
            </w:r>
            <w:r w:rsidR="00AD4A00" w:rsidRPr="008D22A6">
              <w:rPr>
                <w:rStyle w:val="Lienhypertexte"/>
                <w:rFonts w:hint="eastAsia"/>
                <w:rtl/>
              </w:rPr>
              <w:t>وفق</w:t>
            </w:r>
            <w:r w:rsidR="00AD4A00" w:rsidRPr="008D22A6">
              <w:rPr>
                <w:rStyle w:val="Lienhypertexte"/>
                <w:rtl/>
              </w:rPr>
              <w:t xml:space="preserve"> </w:t>
            </w:r>
            <w:r w:rsidR="00AD4A00" w:rsidRPr="008D22A6">
              <w:rPr>
                <w:rStyle w:val="Lienhypertexte"/>
                <w:rFonts w:hint="eastAsia"/>
                <w:rtl/>
              </w:rPr>
              <w:t>الجولة</w:t>
            </w:r>
            <w:r w:rsidR="00AD4A00" w:rsidRPr="008D22A6">
              <w:rPr>
                <w:rStyle w:val="Lienhypertexte"/>
                <w:rtl/>
              </w:rPr>
              <w:t xml:space="preserve"> </w:t>
            </w:r>
            <w:r w:rsidR="00AD4A00" w:rsidRPr="008D22A6">
              <w:rPr>
                <w:rStyle w:val="Lienhypertexte"/>
                <w:rFonts w:hint="eastAsia"/>
                <w:rtl/>
              </w:rPr>
              <w:t>الاخيرة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_Toc171803673 \h </w:instrText>
            </w:r>
            <w:r w:rsidR="00AD4A00">
              <w:rPr>
                <w:webHidden/>
              </w:rPr>
            </w:r>
            <w:r w:rsidR="00AD4A00">
              <w:rPr>
                <w:webHidden/>
              </w:rPr>
              <w:fldChar w:fldCharType="separate"/>
            </w:r>
            <w:r>
              <w:rPr>
                <w:webHidden/>
                <w:rtl/>
                <w:lang w:bidi="ar-SA"/>
              </w:rPr>
              <w:t>151</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76"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(5-8)</w:t>
            </w:r>
            <w:r w:rsidR="00AD4A00" w:rsidRPr="008D22A6">
              <w:rPr>
                <w:rStyle w:val="Lienhypertexte"/>
                <w:rtl/>
              </w:rPr>
              <w:t xml:space="preserve">: </w:t>
            </w:r>
            <w:r w:rsidR="00AD4A00" w:rsidRPr="008D22A6">
              <w:rPr>
                <w:rStyle w:val="Lienhypertexte"/>
                <w:rFonts w:hint="eastAsia"/>
                <w:rtl/>
              </w:rPr>
              <w:t>المسافة</w:t>
            </w:r>
            <w:r w:rsidR="00AD4A00" w:rsidRPr="008D22A6">
              <w:rPr>
                <w:rStyle w:val="Lienhypertexte"/>
                <w:rtl/>
              </w:rPr>
              <w:t xml:space="preserve"> </w:t>
            </w:r>
            <w:r w:rsidR="00AD4A00" w:rsidRPr="008D22A6">
              <w:rPr>
                <w:rStyle w:val="Lienhypertexte"/>
                <w:rFonts w:hint="eastAsia"/>
                <w:rtl/>
              </w:rPr>
              <w:t>المطلوب</w:t>
            </w:r>
            <w:r w:rsidR="00AD4A00" w:rsidRPr="008D22A6">
              <w:rPr>
                <w:rStyle w:val="Lienhypertexte"/>
                <w:rtl/>
              </w:rPr>
              <w:t xml:space="preserve"> </w:t>
            </w:r>
            <w:r w:rsidR="00AD4A00" w:rsidRPr="008D22A6">
              <w:rPr>
                <w:rStyle w:val="Lienhypertexte"/>
                <w:rFonts w:hint="eastAsia"/>
                <w:rtl/>
              </w:rPr>
              <w:t>قطعها</w:t>
            </w:r>
            <w:r w:rsidR="00AD4A00" w:rsidRPr="008D22A6">
              <w:rPr>
                <w:rStyle w:val="Lienhypertexte"/>
                <w:rtl/>
              </w:rPr>
              <w:t xml:space="preserve"> </w:t>
            </w:r>
            <w:r w:rsidR="00AD4A00" w:rsidRPr="008D22A6">
              <w:rPr>
                <w:rStyle w:val="Lienhypertexte"/>
                <w:rFonts w:hint="eastAsia"/>
                <w:rtl/>
              </w:rPr>
              <w:t>مشيًا</w:t>
            </w:r>
            <w:r w:rsidR="00AD4A00" w:rsidRPr="008D22A6">
              <w:rPr>
                <w:rStyle w:val="Lienhypertexte"/>
                <w:rtl/>
              </w:rPr>
              <w:t xml:space="preserve"> </w:t>
            </w:r>
            <w:r w:rsidR="00AD4A00" w:rsidRPr="008D22A6">
              <w:rPr>
                <w:rStyle w:val="Lienhypertexte"/>
                <w:rFonts w:hint="eastAsia"/>
                <w:rtl/>
              </w:rPr>
              <w:t>على</w:t>
            </w:r>
            <w:r w:rsidR="00AD4A00" w:rsidRPr="008D22A6">
              <w:rPr>
                <w:rStyle w:val="Lienhypertexte"/>
                <w:rtl/>
              </w:rPr>
              <w:t xml:space="preserve"> </w:t>
            </w:r>
            <w:r w:rsidR="00AD4A00" w:rsidRPr="008D22A6">
              <w:rPr>
                <w:rStyle w:val="Lienhypertexte"/>
                <w:rFonts w:hint="eastAsia"/>
                <w:rtl/>
              </w:rPr>
              <w:t>الأقدام</w:t>
            </w:r>
            <w:r w:rsidR="00AD4A00" w:rsidRPr="008D22A6">
              <w:rPr>
                <w:rStyle w:val="Lienhypertexte"/>
                <w:rtl/>
              </w:rPr>
              <w:t xml:space="preserve"> </w:t>
            </w:r>
            <w:r w:rsidR="00AD4A00" w:rsidRPr="008D22A6">
              <w:rPr>
                <w:rStyle w:val="Lienhypertexte"/>
                <w:rFonts w:hint="eastAsia"/>
                <w:rtl/>
              </w:rPr>
              <w:t>من</w:t>
            </w:r>
            <w:r w:rsidR="00AD4A00" w:rsidRPr="008D22A6">
              <w:rPr>
                <w:rStyle w:val="Lienhypertexte"/>
                <w:rtl/>
              </w:rPr>
              <w:t xml:space="preserve"> </w:t>
            </w:r>
            <w:r w:rsidR="00AD4A00" w:rsidRPr="008D22A6">
              <w:rPr>
                <w:rStyle w:val="Lienhypertexte"/>
                <w:rFonts w:hint="eastAsia"/>
                <w:rtl/>
              </w:rPr>
              <w:t>أماكن</w:t>
            </w:r>
            <w:r w:rsidR="00AD4A00" w:rsidRPr="008D22A6">
              <w:rPr>
                <w:rStyle w:val="Lienhypertexte"/>
                <w:rtl/>
              </w:rPr>
              <w:t xml:space="preserve"> </w:t>
            </w:r>
            <w:r w:rsidR="00AD4A00" w:rsidRPr="008D22A6">
              <w:rPr>
                <w:rStyle w:val="Lienhypertexte"/>
                <w:rFonts w:hint="eastAsia"/>
                <w:rtl/>
              </w:rPr>
              <w:t>السكن</w:t>
            </w:r>
            <w:r w:rsidR="00AD4A00" w:rsidRPr="008D22A6">
              <w:rPr>
                <w:rStyle w:val="Lienhypertexte"/>
                <w:rtl/>
              </w:rPr>
              <w:t xml:space="preserve"> </w:t>
            </w:r>
            <w:r w:rsidR="00AD4A00" w:rsidRPr="008D22A6">
              <w:rPr>
                <w:rStyle w:val="Lienhypertexte"/>
                <w:rFonts w:hint="eastAsia"/>
                <w:rtl/>
              </w:rPr>
              <w:t>إلى</w:t>
            </w:r>
            <w:r w:rsidR="00AD4A00" w:rsidRPr="008D22A6">
              <w:rPr>
                <w:rStyle w:val="Lienhypertexte"/>
                <w:rtl/>
              </w:rPr>
              <w:t xml:space="preserve"> </w:t>
            </w:r>
            <w:r w:rsidR="00AD4A00" w:rsidRPr="008D22A6">
              <w:rPr>
                <w:rStyle w:val="Lienhypertexte"/>
                <w:rFonts w:hint="eastAsia"/>
                <w:rtl/>
              </w:rPr>
              <w:t>المرافق</w:t>
            </w:r>
            <w:r w:rsidR="00AD4A00" w:rsidRPr="008D22A6">
              <w:rPr>
                <w:rStyle w:val="Lienhypertexte"/>
                <w:rtl/>
              </w:rPr>
              <w:t xml:space="preserve"> </w:t>
            </w:r>
            <w:r w:rsidR="00AD4A00" w:rsidRPr="008D22A6">
              <w:rPr>
                <w:rStyle w:val="Lienhypertexte"/>
                <w:rFonts w:hint="eastAsia"/>
                <w:rtl/>
              </w:rPr>
              <w:t>العامة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_Toc171803676 \h </w:instrText>
            </w:r>
            <w:r w:rsidR="00AD4A00">
              <w:rPr>
                <w:webHidden/>
              </w:rPr>
            </w:r>
            <w:r w:rsidR="00AD4A00">
              <w:rPr>
                <w:webHidden/>
              </w:rPr>
              <w:fldChar w:fldCharType="separate"/>
            </w:r>
            <w:r>
              <w:rPr>
                <w:webHidden/>
                <w:rtl/>
                <w:lang w:bidi="ar-SA"/>
              </w:rPr>
              <w:t>151</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84"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(5-9)</w:t>
            </w:r>
            <w:r w:rsidR="00AD4A00" w:rsidRPr="008D22A6">
              <w:rPr>
                <w:rStyle w:val="Lienhypertexte"/>
                <w:rtl/>
              </w:rPr>
              <w:t xml:space="preserve">: </w:t>
            </w:r>
            <w:r w:rsidR="00AD4A00" w:rsidRPr="008D22A6">
              <w:rPr>
                <w:rStyle w:val="Lienhypertexte"/>
                <w:rFonts w:hint="eastAsia"/>
                <w:rtl/>
              </w:rPr>
              <w:t>مثال</w:t>
            </w:r>
            <w:r w:rsidR="00AD4A00" w:rsidRPr="008D22A6">
              <w:rPr>
                <w:rStyle w:val="Lienhypertexte"/>
                <w:rtl/>
              </w:rPr>
              <w:t xml:space="preserve"> </w:t>
            </w:r>
            <w:r w:rsidR="00AD4A00" w:rsidRPr="008D22A6">
              <w:rPr>
                <w:rStyle w:val="Lienhypertexte"/>
                <w:rFonts w:hint="eastAsia"/>
                <w:rtl/>
              </w:rPr>
              <w:t>على</w:t>
            </w:r>
            <w:r w:rsidR="00AD4A00" w:rsidRPr="008D22A6">
              <w:rPr>
                <w:rStyle w:val="Lienhypertexte"/>
                <w:rtl/>
              </w:rPr>
              <w:t xml:space="preserve"> </w:t>
            </w:r>
            <w:r w:rsidR="00AD4A00" w:rsidRPr="008D22A6">
              <w:rPr>
                <w:rStyle w:val="Lienhypertexte"/>
                <w:rFonts w:hint="eastAsia"/>
                <w:rtl/>
              </w:rPr>
              <w:t>المقارنة</w:t>
            </w:r>
            <w:r w:rsidR="00AD4A00" w:rsidRPr="008D22A6">
              <w:rPr>
                <w:rStyle w:val="Lienhypertexte"/>
                <w:rtl/>
              </w:rPr>
              <w:t xml:space="preserve"> </w:t>
            </w:r>
            <w:r w:rsidR="00AD4A00" w:rsidRPr="008D22A6">
              <w:rPr>
                <w:rStyle w:val="Lienhypertexte"/>
                <w:rFonts w:hint="eastAsia"/>
                <w:rtl/>
              </w:rPr>
              <w:t>الزوجية</w:t>
            </w:r>
            <w:r w:rsidR="00AD4A00" w:rsidRPr="008D22A6">
              <w:rPr>
                <w:rStyle w:val="Lienhypertexte"/>
                <w:rtl/>
              </w:rPr>
              <w:t xml:space="preserve"> </w:t>
            </w:r>
            <w:r w:rsidR="00AD4A00" w:rsidRPr="008D22A6">
              <w:rPr>
                <w:rStyle w:val="Lienhypertexte"/>
                <w:rFonts w:hint="eastAsia"/>
                <w:rtl/>
              </w:rPr>
              <w:t>للمعايير</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_Toc171803684 \h </w:instrText>
            </w:r>
            <w:r w:rsidR="00AD4A00">
              <w:rPr>
                <w:webHidden/>
              </w:rPr>
            </w:r>
            <w:r w:rsidR="00AD4A00">
              <w:rPr>
                <w:webHidden/>
              </w:rPr>
              <w:fldChar w:fldCharType="separate"/>
            </w:r>
            <w:r>
              <w:rPr>
                <w:webHidden/>
                <w:rtl/>
                <w:lang w:bidi="ar-SA"/>
              </w:rPr>
              <w:t>153</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87"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(5-10)</w:t>
            </w:r>
            <w:r w:rsidR="00AD4A00" w:rsidRPr="008D22A6">
              <w:rPr>
                <w:rStyle w:val="Lienhypertexte"/>
                <w:rtl/>
              </w:rPr>
              <w:t xml:space="preserve">: </w:t>
            </w:r>
            <w:r w:rsidR="00AD4A00" w:rsidRPr="008D22A6">
              <w:rPr>
                <w:rStyle w:val="Lienhypertexte"/>
                <w:rFonts w:hint="eastAsia"/>
                <w:rtl/>
              </w:rPr>
              <w:t>مصفوفة</w:t>
            </w:r>
            <w:r w:rsidR="00AD4A00" w:rsidRPr="008D22A6">
              <w:rPr>
                <w:rStyle w:val="Lienhypertexte"/>
                <w:rtl/>
              </w:rPr>
              <w:t xml:space="preserve"> </w:t>
            </w:r>
            <w:r w:rsidR="00AD4A00" w:rsidRPr="008D22A6">
              <w:rPr>
                <w:rStyle w:val="Lienhypertexte"/>
                <w:rFonts w:hint="eastAsia"/>
                <w:rtl/>
              </w:rPr>
              <w:t>المقارنة</w:t>
            </w:r>
            <w:r w:rsidR="00AD4A00" w:rsidRPr="008D22A6">
              <w:rPr>
                <w:rStyle w:val="Lienhypertexte"/>
                <w:rtl/>
              </w:rPr>
              <w:t xml:space="preserve"> </w:t>
            </w:r>
            <w:r w:rsidR="00AD4A00" w:rsidRPr="008D22A6">
              <w:rPr>
                <w:rStyle w:val="Lienhypertexte"/>
                <w:rFonts w:hint="eastAsia"/>
                <w:rtl/>
              </w:rPr>
              <w:t>الزوجية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_Toc171803687 \h </w:instrText>
            </w:r>
            <w:r w:rsidR="00AD4A00">
              <w:rPr>
                <w:webHidden/>
              </w:rPr>
            </w:r>
            <w:r w:rsidR="00AD4A00">
              <w:rPr>
                <w:webHidden/>
              </w:rPr>
              <w:fldChar w:fldCharType="separate"/>
            </w:r>
            <w:r>
              <w:rPr>
                <w:webHidden/>
                <w:rtl/>
                <w:lang w:bidi="ar-SA"/>
              </w:rPr>
              <w:t>154</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89"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(5-11)</w:t>
            </w:r>
            <w:r w:rsidR="00AD4A00" w:rsidRPr="008D22A6">
              <w:rPr>
                <w:rStyle w:val="Lienhypertexte"/>
                <w:rtl/>
              </w:rPr>
              <w:t xml:space="preserve">: </w:t>
            </w:r>
            <w:r w:rsidR="00AD4A00" w:rsidRPr="008D22A6">
              <w:rPr>
                <w:rStyle w:val="Lienhypertexte"/>
                <w:rFonts w:hint="eastAsia"/>
                <w:rtl/>
              </w:rPr>
              <w:t>نتائج</w:t>
            </w:r>
            <w:r w:rsidR="00AD4A00" w:rsidRPr="008D22A6">
              <w:rPr>
                <w:rStyle w:val="Lienhypertexte"/>
                <w:rtl/>
              </w:rPr>
              <w:t xml:space="preserve"> </w:t>
            </w:r>
            <w:r w:rsidR="00AD4A00" w:rsidRPr="008D22A6">
              <w:rPr>
                <w:rStyle w:val="Lienhypertexte"/>
                <w:rFonts w:hint="eastAsia"/>
                <w:rtl/>
              </w:rPr>
              <w:t>فحص</w:t>
            </w:r>
            <w:r w:rsidR="00AD4A00" w:rsidRPr="008D22A6">
              <w:rPr>
                <w:rStyle w:val="Lienhypertexte"/>
                <w:rtl/>
              </w:rPr>
              <w:t xml:space="preserve"> </w:t>
            </w:r>
            <w:r w:rsidR="00AD4A00" w:rsidRPr="008D22A6">
              <w:rPr>
                <w:rStyle w:val="Lienhypertexte"/>
                <w:rFonts w:hint="eastAsia"/>
                <w:rtl/>
              </w:rPr>
              <w:t>قيم</w:t>
            </w:r>
            <w:r w:rsidR="00AD4A00" w:rsidRPr="008D22A6">
              <w:rPr>
                <w:rStyle w:val="Lienhypertexte"/>
                <w:rtl/>
              </w:rPr>
              <w:t xml:space="preserve"> </w:t>
            </w:r>
            <w:r w:rsidR="00AD4A00" w:rsidRPr="008D22A6">
              <w:rPr>
                <w:rStyle w:val="Lienhypertexte"/>
                <w:rFonts w:hint="eastAsia"/>
                <w:rtl/>
              </w:rPr>
              <w:t>الاتساق</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_Toc171803689 \h </w:instrText>
            </w:r>
            <w:r w:rsidR="00AD4A00">
              <w:rPr>
                <w:webHidden/>
              </w:rPr>
            </w:r>
            <w:r w:rsidR="00AD4A00">
              <w:rPr>
                <w:webHidden/>
              </w:rPr>
              <w:fldChar w:fldCharType="separate"/>
            </w:r>
            <w:r>
              <w:rPr>
                <w:webHidden/>
                <w:rtl/>
                <w:lang w:bidi="ar-SA"/>
              </w:rPr>
              <w:t>154</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93"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(5-12)</w:t>
            </w:r>
            <w:r w:rsidR="00AD4A00" w:rsidRPr="008D22A6">
              <w:rPr>
                <w:rStyle w:val="Lienhypertexte"/>
                <w:rtl/>
              </w:rPr>
              <w:t xml:space="preserve">: </w:t>
            </w:r>
            <w:r w:rsidR="00AD4A00" w:rsidRPr="008D22A6">
              <w:rPr>
                <w:rStyle w:val="Lienhypertexte"/>
                <w:rFonts w:hint="eastAsia"/>
                <w:rtl/>
              </w:rPr>
              <w:t>مثال</w:t>
            </w:r>
            <w:r w:rsidR="00AD4A00" w:rsidRPr="008D22A6">
              <w:rPr>
                <w:rStyle w:val="Lienhypertexte"/>
                <w:rtl/>
              </w:rPr>
              <w:t xml:space="preserve"> </w:t>
            </w:r>
            <w:r w:rsidR="00AD4A00" w:rsidRPr="008D22A6">
              <w:rPr>
                <w:rStyle w:val="Lienhypertexte"/>
                <w:rFonts w:hint="eastAsia"/>
                <w:rtl/>
              </w:rPr>
              <w:t>على</w:t>
            </w:r>
            <w:r w:rsidR="00AD4A00" w:rsidRPr="008D22A6">
              <w:rPr>
                <w:rStyle w:val="Lienhypertexte"/>
                <w:rtl/>
              </w:rPr>
              <w:t xml:space="preserve"> </w:t>
            </w:r>
            <w:r w:rsidR="00AD4A00" w:rsidRPr="008D22A6">
              <w:rPr>
                <w:rStyle w:val="Lienhypertexte"/>
                <w:rFonts w:hint="eastAsia"/>
                <w:rtl/>
              </w:rPr>
              <w:t>مصفوفة</w:t>
            </w:r>
            <w:r w:rsidR="00AD4A00" w:rsidRPr="008D22A6">
              <w:rPr>
                <w:rStyle w:val="Lienhypertexte"/>
                <w:rtl/>
              </w:rPr>
              <w:t xml:space="preserve"> </w:t>
            </w:r>
            <w:r w:rsidR="00AD4A00" w:rsidRPr="008D22A6">
              <w:rPr>
                <w:rStyle w:val="Lienhypertexte"/>
                <w:rFonts w:hint="eastAsia"/>
                <w:rtl/>
              </w:rPr>
              <w:t>المقارنة</w:t>
            </w:r>
            <w:r w:rsidR="00AD4A00" w:rsidRPr="008D22A6">
              <w:rPr>
                <w:rStyle w:val="Lienhypertexte"/>
                <w:rtl/>
              </w:rPr>
              <w:t xml:space="preserve"> </w:t>
            </w:r>
            <w:r w:rsidR="00AD4A00" w:rsidRPr="008D22A6">
              <w:rPr>
                <w:rStyle w:val="Lienhypertexte"/>
                <w:rFonts w:hint="eastAsia"/>
                <w:rtl/>
              </w:rPr>
              <w:t>الزوجية</w:t>
            </w:r>
            <w:r w:rsidR="00AD4A00" w:rsidRPr="008D22A6">
              <w:rPr>
                <w:rStyle w:val="Lienhypertexte"/>
                <w:rtl/>
              </w:rPr>
              <w:t xml:space="preserve"> </w:t>
            </w:r>
            <w:r w:rsidR="00AD4A00" w:rsidRPr="008D22A6">
              <w:rPr>
                <w:rStyle w:val="Lienhypertexte"/>
                <w:rFonts w:hint="eastAsia"/>
                <w:rtl/>
              </w:rPr>
              <w:t>للمعايير</w:t>
            </w:r>
            <w:r w:rsidR="00AD4A00" w:rsidRPr="008D22A6">
              <w:rPr>
                <w:rStyle w:val="Lienhypertexte"/>
                <w:rtl/>
              </w:rPr>
              <w:t xml:space="preserve"> </w:t>
            </w:r>
            <w:r w:rsidR="00AD4A00" w:rsidRPr="008D22A6">
              <w:rPr>
                <w:rStyle w:val="Lienhypertexte"/>
                <w:rFonts w:hint="eastAsia"/>
                <w:rtl/>
              </w:rPr>
              <w:t>الفرعية</w:t>
            </w:r>
            <w:r w:rsidR="00AD4A00" w:rsidRPr="008D22A6">
              <w:rPr>
                <w:rStyle w:val="Lienhypertexte"/>
                <w:rtl/>
              </w:rPr>
              <w:t xml:space="preserve"> </w:t>
            </w:r>
            <w:r w:rsidR="00AD4A00" w:rsidRPr="008D22A6">
              <w:rPr>
                <w:rStyle w:val="Lienhypertexte"/>
                <w:rFonts w:hint="eastAsia"/>
                <w:rtl/>
              </w:rPr>
              <w:t>تحت</w:t>
            </w:r>
            <w:r w:rsidR="00AD4A00" w:rsidRPr="008D22A6">
              <w:rPr>
                <w:rStyle w:val="Lienhypertexte"/>
                <w:rtl/>
              </w:rPr>
              <w:t xml:space="preserve"> </w:t>
            </w:r>
            <w:r w:rsidR="00AD4A00" w:rsidRPr="008D22A6">
              <w:rPr>
                <w:rStyle w:val="Lienhypertexte"/>
                <w:rFonts w:hint="eastAsia"/>
                <w:rtl/>
              </w:rPr>
              <w:t>المعيار</w:t>
            </w:r>
            <w:r w:rsidR="00AD4A00" w:rsidRPr="008D22A6">
              <w:rPr>
                <w:rStyle w:val="Lienhypertexte"/>
                <w:rtl/>
              </w:rPr>
              <w:t xml:space="preserve"> (</w:t>
            </w:r>
            <w:r w:rsidR="00AD4A00" w:rsidRPr="008D22A6">
              <w:rPr>
                <w:rStyle w:val="Lienhypertexte"/>
                <w:rFonts w:asciiTheme="majorBidi" w:eastAsia="Times New Roman" w:hAnsiTheme="majorBidi" w:cstheme="majorBidi"/>
              </w:rPr>
              <w:t>C1</w:t>
            </w:r>
            <w:r w:rsidR="00AD4A00" w:rsidRPr="008D22A6">
              <w:rPr>
                <w:rStyle w:val="Lienhypertexte"/>
                <w:rtl/>
              </w:rPr>
              <w:t>)</w:t>
            </w:r>
            <w:r w:rsidR="009579D2" w:rsidRPr="009579D2">
              <w:rPr>
                <w:rFonts w:hint="cs"/>
                <w:rtl/>
              </w:rPr>
              <w:t xml:space="preserve"> </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_Toc171803693 \h </w:instrText>
            </w:r>
            <w:r w:rsidR="00AD4A00">
              <w:rPr>
                <w:webHidden/>
              </w:rPr>
            </w:r>
            <w:r w:rsidR="00AD4A00">
              <w:rPr>
                <w:webHidden/>
              </w:rPr>
              <w:fldChar w:fldCharType="separate"/>
            </w:r>
            <w:r>
              <w:rPr>
                <w:webHidden/>
                <w:rtl/>
                <w:lang w:bidi="ar-SA"/>
              </w:rPr>
              <w:t>155</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95"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(5-13)</w:t>
            </w:r>
            <w:r w:rsidR="00AD4A00" w:rsidRPr="008D22A6">
              <w:rPr>
                <w:rStyle w:val="Lienhypertexte"/>
                <w:rtl/>
              </w:rPr>
              <w:t xml:space="preserve">: </w:t>
            </w:r>
            <w:r w:rsidR="00AD4A00" w:rsidRPr="008D22A6">
              <w:rPr>
                <w:rStyle w:val="Lienhypertexte"/>
                <w:rFonts w:hint="eastAsia"/>
                <w:rtl/>
              </w:rPr>
              <w:t>نتائج</w:t>
            </w:r>
            <w:r w:rsidR="00AD4A00" w:rsidRPr="008D22A6">
              <w:rPr>
                <w:rStyle w:val="Lienhypertexte"/>
                <w:rtl/>
              </w:rPr>
              <w:t xml:space="preserve"> </w:t>
            </w:r>
            <w:r w:rsidR="00AD4A00" w:rsidRPr="008D22A6">
              <w:rPr>
                <w:rStyle w:val="Lienhypertexte"/>
                <w:rFonts w:hint="eastAsia"/>
                <w:rtl/>
              </w:rPr>
              <w:t>فحص</w:t>
            </w:r>
            <w:r w:rsidR="00AD4A00" w:rsidRPr="008D22A6">
              <w:rPr>
                <w:rStyle w:val="Lienhypertexte"/>
                <w:rtl/>
              </w:rPr>
              <w:t xml:space="preserve"> </w:t>
            </w:r>
            <w:r w:rsidR="00AD4A00" w:rsidRPr="008D22A6">
              <w:rPr>
                <w:rStyle w:val="Lienhypertexte"/>
                <w:rFonts w:hint="eastAsia"/>
                <w:rtl/>
              </w:rPr>
              <w:t>قيم</w:t>
            </w:r>
            <w:r w:rsidR="00AD4A00" w:rsidRPr="008D22A6">
              <w:rPr>
                <w:rStyle w:val="Lienhypertexte"/>
                <w:rtl/>
              </w:rPr>
              <w:t xml:space="preserve"> </w:t>
            </w:r>
            <w:r w:rsidR="00AD4A00" w:rsidRPr="008D22A6">
              <w:rPr>
                <w:rStyle w:val="Lienhypertexte"/>
                <w:rFonts w:hint="eastAsia"/>
                <w:rtl/>
              </w:rPr>
              <w:t>الاتساق</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_Toc171803695 \h </w:instrText>
            </w:r>
            <w:r w:rsidR="00AD4A00">
              <w:rPr>
                <w:webHidden/>
              </w:rPr>
            </w:r>
            <w:r w:rsidR="00AD4A00">
              <w:rPr>
                <w:webHidden/>
              </w:rPr>
              <w:fldChar w:fldCharType="separate"/>
            </w:r>
            <w:r>
              <w:rPr>
                <w:webHidden/>
                <w:rtl/>
                <w:lang w:bidi="ar-SA"/>
              </w:rPr>
              <w:t>155</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699"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(5-14)</w:t>
            </w:r>
            <w:r w:rsidR="00AD4A00" w:rsidRPr="008D22A6">
              <w:rPr>
                <w:rStyle w:val="Lienhypertexte"/>
                <w:rtl/>
              </w:rPr>
              <w:t xml:space="preserve">: </w:t>
            </w:r>
            <w:r w:rsidR="00AD4A00" w:rsidRPr="008D22A6">
              <w:rPr>
                <w:rStyle w:val="Lienhypertexte"/>
                <w:rFonts w:hint="eastAsia"/>
                <w:rtl/>
              </w:rPr>
              <w:t>نتائج</w:t>
            </w:r>
            <w:r w:rsidR="00AD4A00" w:rsidRPr="008D22A6">
              <w:rPr>
                <w:rStyle w:val="Lienhypertexte"/>
                <w:rtl/>
              </w:rPr>
              <w:t xml:space="preserve"> </w:t>
            </w:r>
            <w:r w:rsidR="00AD4A00" w:rsidRPr="008D22A6">
              <w:rPr>
                <w:rStyle w:val="Lienhypertexte"/>
                <w:rFonts w:hint="eastAsia"/>
                <w:rtl/>
              </w:rPr>
              <w:t>تقييمات</w:t>
            </w:r>
            <w:r w:rsidR="00AD4A00" w:rsidRPr="008D22A6">
              <w:rPr>
                <w:rStyle w:val="Lienhypertexte"/>
              </w:rPr>
              <w:t xml:space="preserve"> </w:t>
            </w:r>
            <w:r w:rsidR="00AD4A00" w:rsidRPr="008D22A6">
              <w:rPr>
                <w:rStyle w:val="Lienhypertexte"/>
                <w:rFonts w:ascii="Times New Roman" w:eastAsia="Times New Roman" w:hAnsi="Times New Roman" w:cs="Times New Roman"/>
              </w:rPr>
              <w:t>AHP</w:t>
            </w:r>
            <w:r w:rsidR="00AD4A00" w:rsidRPr="008D22A6">
              <w:rPr>
                <w:rStyle w:val="Lienhypertexte"/>
              </w:rPr>
              <w:t xml:space="preserve"> </w:t>
            </w:r>
            <w:r w:rsidR="00AD4A00" w:rsidRPr="008D22A6">
              <w:rPr>
                <w:rStyle w:val="Lienhypertexte"/>
                <w:rFonts w:hint="eastAsia"/>
                <w:rtl/>
              </w:rPr>
              <w:t>للمعايير</w:t>
            </w:r>
            <w:r w:rsidR="00AD4A00" w:rsidRPr="008D22A6">
              <w:rPr>
                <w:rStyle w:val="Lienhypertexte"/>
                <w:rtl/>
              </w:rPr>
              <w:t xml:space="preserve"> </w:t>
            </w:r>
            <w:r w:rsidR="00AD4A00" w:rsidRPr="008D22A6">
              <w:rPr>
                <w:rStyle w:val="Lienhypertexte"/>
                <w:rFonts w:hint="eastAsia"/>
                <w:rtl/>
              </w:rPr>
              <w:t>والمعايير</w:t>
            </w:r>
            <w:r w:rsidR="00AD4A00" w:rsidRPr="008D22A6">
              <w:rPr>
                <w:rStyle w:val="Lienhypertexte"/>
                <w:rtl/>
              </w:rPr>
              <w:t xml:space="preserve"> </w:t>
            </w:r>
            <w:r w:rsidR="00AD4A00" w:rsidRPr="008D22A6">
              <w:rPr>
                <w:rStyle w:val="Lienhypertexte"/>
                <w:rFonts w:hint="eastAsia"/>
                <w:rtl/>
              </w:rPr>
              <w:t>الفرعية</w:t>
            </w:r>
            <w:r w:rsidR="00AD4A00" w:rsidRPr="008D22A6">
              <w:rPr>
                <w:rStyle w:val="Lienhypertexte"/>
                <w:rtl/>
              </w:rPr>
              <w:t xml:space="preserve"> </w:t>
            </w:r>
            <w:r w:rsidR="00AD4A00" w:rsidRPr="008D22A6">
              <w:rPr>
                <w:rStyle w:val="Lienhypertexte"/>
                <w:rFonts w:hint="eastAsia"/>
                <w:rtl/>
              </w:rPr>
              <w:t>لقياس</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hint="eastAsia"/>
                <w:rtl/>
              </w:rPr>
              <w:t>الحضرية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_Toc171803699 \h </w:instrText>
            </w:r>
            <w:r w:rsidR="00AD4A00">
              <w:rPr>
                <w:webHidden/>
              </w:rPr>
            </w:r>
            <w:r w:rsidR="00AD4A00">
              <w:rPr>
                <w:webHidden/>
              </w:rPr>
              <w:fldChar w:fldCharType="separate"/>
            </w:r>
            <w:r>
              <w:rPr>
                <w:webHidden/>
                <w:rtl/>
                <w:lang w:bidi="ar-SA"/>
              </w:rPr>
              <w:t>156</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724"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(5-15)</w:t>
            </w:r>
            <w:r w:rsidR="00AD4A00" w:rsidRPr="008D22A6">
              <w:rPr>
                <w:rStyle w:val="Lienhypertexte"/>
                <w:rtl/>
              </w:rPr>
              <w:t xml:space="preserve">. </w:t>
            </w:r>
            <w:r w:rsidR="00AD4A00" w:rsidRPr="008D22A6">
              <w:rPr>
                <w:rStyle w:val="Lienhypertexte"/>
                <w:rFonts w:hint="eastAsia"/>
                <w:rtl/>
              </w:rPr>
              <w:t>المساحة</w:t>
            </w:r>
            <w:r w:rsidR="00AD4A00" w:rsidRPr="008D22A6">
              <w:rPr>
                <w:rStyle w:val="Lienhypertexte"/>
                <w:rtl/>
              </w:rPr>
              <w:t xml:space="preserve"> </w:t>
            </w:r>
            <w:r w:rsidR="00AD4A00" w:rsidRPr="008D22A6">
              <w:rPr>
                <w:rStyle w:val="Lienhypertexte"/>
                <w:rFonts w:hint="eastAsia"/>
                <w:rtl/>
              </w:rPr>
              <w:t>والنسبة</w:t>
            </w:r>
            <w:r w:rsidR="00AD4A00" w:rsidRPr="008D22A6">
              <w:rPr>
                <w:rStyle w:val="Lienhypertexte"/>
                <w:rtl/>
              </w:rPr>
              <w:t xml:space="preserve"> </w:t>
            </w:r>
            <w:r w:rsidR="00AD4A00" w:rsidRPr="008D22A6">
              <w:rPr>
                <w:rStyle w:val="Lienhypertexte"/>
                <w:rFonts w:hint="eastAsia"/>
                <w:rtl/>
              </w:rPr>
              <w:t>المئوية</w:t>
            </w:r>
            <w:r w:rsidR="00AD4A00" w:rsidRPr="008D22A6">
              <w:rPr>
                <w:rStyle w:val="Lienhypertexte"/>
                <w:rtl/>
              </w:rPr>
              <w:t xml:space="preserve"> </w:t>
            </w:r>
            <w:r w:rsidR="00AD4A00" w:rsidRPr="008D22A6">
              <w:rPr>
                <w:rStyle w:val="Lienhypertexte"/>
                <w:rFonts w:hint="eastAsia"/>
                <w:rtl/>
              </w:rPr>
              <w:t>لمقياس</w:t>
            </w:r>
            <w:r w:rsidR="00AD4A00" w:rsidRPr="008D22A6">
              <w:rPr>
                <w:rStyle w:val="Lienhypertexte"/>
                <w:rtl/>
              </w:rPr>
              <w:t xml:space="preserve"> </w:t>
            </w:r>
            <w:r w:rsidR="00AD4A00" w:rsidRPr="008D22A6">
              <w:rPr>
                <w:rStyle w:val="Lienhypertexte"/>
                <w:rFonts w:hint="eastAsia"/>
                <w:rtl/>
              </w:rPr>
              <w:t>عملية</w:t>
            </w:r>
            <w:r w:rsidR="00AD4A00" w:rsidRPr="008D22A6">
              <w:rPr>
                <w:rStyle w:val="Lienhypertexte"/>
                <w:rtl/>
              </w:rPr>
              <w:t xml:space="preserve"> </w:t>
            </w:r>
            <w:r w:rsidR="00AD4A00" w:rsidRPr="008D22A6">
              <w:rPr>
                <w:rStyle w:val="Lienhypertexte"/>
                <w:rFonts w:hint="eastAsia"/>
                <w:rtl/>
              </w:rPr>
              <w:t>التحليل</w:t>
            </w:r>
            <w:r w:rsidR="00AD4A00" w:rsidRPr="008D22A6">
              <w:rPr>
                <w:rStyle w:val="Lienhypertexte"/>
                <w:rtl/>
              </w:rPr>
              <w:t xml:space="preserve"> </w:t>
            </w:r>
            <w:r w:rsidR="00AD4A00" w:rsidRPr="008D22A6">
              <w:rPr>
                <w:rStyle w:val="Lienhypertexte"/>
                <w:rFonts w:hint="eastAsia"/>
                <w:rtl/>
              </w:rPr>
              <w:t>الهرمي</w:t>
            </w:r>
            <w:r w:rsidR="00AD4A00" w:rsidRPr="008D22A6">
              <w:rPr>
                <w:rStyle w:val="Lienhypertexte"/>
                <w:rtl/>
              </w:rPr>
              <w:t xml:space="preserve"> </w:t>
            </w:r>
            <w:r w:rsidR="00AD4A00" w:rsidRPr="008D22A6">
              <w:rPr>
                <w:rStyle w:val="Lienhypertexte"/>
                <w:rFonts w:hint="eastAsia"/>
                <w:rtl/>
              </w:rPr>
              <w:t>لمرونة</w:t>
            </w:r>
            <w:r w:rsidR="00AD4A00" w:rsidRPr="008D22A6">
              <w:rPr>
                <w:rStyle w:val="Lienhypertexte"/>
                <w:rtl/>
              </w:rPr>
              <w:t xml:space="preserve"> </w:t>
            </w:r>
            <w:r w:rsidR="00AD4A00" w:rsidRPr="008D22A6">
              <w:rPr>
                <w:rStyle w:val="Lienhypertexte"/>
                <w:rFonts w:hint="eastAsia"/>
                <w:rtl/>
              </w:rPr>
              <w:t>مدينة</w:t>
            </w:r>
            <w:r w:rsidR="00AD4A00" w:rsidRPr="008D22A6">
              <w:rPr>
                <w:rStyle w:val="Lienhypertexte"/>
                <w:rtl/>
              </w:rPr>
              <w:t xml:space="preserve"> </w:t>
            </w:r>
            <w:r w:rsidR="00AD4A00" w:rsidRPr="008D22A6">
              <w:rPr>
                <w:rStyle w:val="Lienhypertexte"/>
                <w:rFonts w:hint="eastAsia"/>
                <w:rtl/>
              </w:rPr>
              <w:t>بوسعادة</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_Toc171803724 \h </w:instrText>
            </w:r>
            <w:r w:rsidR="00AD4A00">
              <w:rPr>
                <w:webHidden/>
              </w:rPr>
            </w:r>
            <w:r w:rsidR="00AD4A00">
              <w:rPr>
                <w:webHidden/>
              </w:rPr>
              <w:fldChar w:fldCharType="separate"/>
            </w:r>
            <w:r>
              <w:rPr>
                <w:webHidden/>
                <w:rtl/>
                <w:lang w:bidi="ar-SA"/>
              </w:rPr>
              <w:t>166</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729" w:history="1">
            <w:r w:rsidR="00AD4A00" w:rsidRPr="008D22A6">
              <w:rPr>
                <w:rStyle w:val="Lienhypertexte"/>
                <w:rFonts w:hint="eastAsia"/>
                <w:rtl/>
              </w:rPr>
              <w:t>الجدول</w:t>
            </w:r>
            <w:r w:rsidR="00AD4A00" w:rsidRPr="008D22A6">
              <w:rPr>
                <w:rStyle w:val="Lienhypertexte"/>
                <w:rtl/>
              </w:rPr>
              <w:t xml:space="preserve"> </w:t>
            </w:r>
            <w:r w:rsidR="00AD4A00" w:rsidRPr="008D22A6">
              <w:rPr>
                <w:rStyle w:val="Lienhypertexte"/>
                <w:rFonts w:eastAsia="Times New Roman"/>
                <w:rtl/>
              </w:rPr>
              <w:t>(5-16)</w:t>
            </w:r>
            <w:r w:rsidR="00AD4A00" w:rsidRPr="008D22A6">
              <w:rPr>
                <w:rStyle w:val="Lienhypertexte"/>
                <w:rtl/>
              </w:rPr>
              <w:t xml:space="preserve"> </w:t>
            </w:r>
            <w:r w:rsidR="00AD4A00" w:rsidRPr="008D22A6">
              <w:rPr>
                <w:rStyle w:val="Lienhypertexte"/>
                <w:rFonts w:hint="eastAsia"/>
                <w:rtl/>
              </w:rPr>
              <w:t>حجم</w:t>
            </w:r>
            <w:r w:rsidR="00AD4A00" w:rsidRPr="008D22A6">
              <w:rPr>
                <w:rStyle w:val="Lienhypertexte"/>
                <w:rtl/>
              </w:rPr>
              <w:t xml:space="preserve"> </w:t>
            </w:r>
            <w:r w:rsidR="00AD4A00" w:rsidRPr="008D22A6">
              <w:rPr>
                <w:rStyle w:val="Lienhypertexte"/>
                <w:rFonts w:hint="eastAsia"/>
                <w:rtl/>
              </w:rPr>
              <w:t>العينة</w:t>
            </w:r>
            <w:r w:rsidR="00AD4A00" w:rsidRPr="008D22A6">
              <w:rPr>
                <w:rStyle w:val="Lienhypertexte"/>
                <w:rtl/>
              </w:rPr>
              <w:t xml:space="preserve"> </w:t>
            </w:r>
            <w:r w:rsidR="00AD4A00" w:rsidRPr="008D22A6">
              <w:rPr>
                <w:rStyle w:val="Lienhypertexte"/>
                <w:rFonts w:hint="eastAsia"/>
                <w:rtl/>
              </w:rPr>
              <w:t>المطلوب</w:t>
            </w:r>
            <w:r w:rsidR="00AD4A00" w:rsidRPr="008D22A6">
              <w:rPr>
                <w:rStyle w:val="Lienhypertexte"/>
                <w:rtl/>
              </w:rPr>
              <w:t xml:space="preserve"> </w:t>
            </w:r>
            <w:r w:rsidR="00AD4A00" w:rsidRPr="008D22A6">
              <w:rPr>
                <w:rStyle w:val="Lienhypertexte"/>
                <w:rFonts w:hint="eastAsia"/>
                <w:rtl/>
              </w:rPr>
              <w:t>بمستوى</w:t>
            </w:r>
            <w:r w:rsidR="00AD4A00" w:rsidRPr="008D22A6">
              <w:rPr>
                <w:rStyle w:val="Lienhypertexte"/>
                <w:rtl/>
              </w:rPr>
              <w:t xml:space="preserve"> </w:t>
            </w:r>
            <w:r w:rsidR="00AD4A00" w:rsidRPr="008D22A6">
              <w:rPr>
                <w:rStyle w:val="Lienhypertexte"/>
                <w:rFonts w:hint="eastAsia"/>
                <w:rtl/>
              </w:rPr>
              <w:t>دلالة</w:t>
            </w:r>
            <w:r w:rsidR="00AD4A00" w:rsidRPr="008D22A6">
              <w:rPr>
                <w:rStyle w:val="Lienhypertexte"/>
                <w:rtl/>
              </w:rPr>
              <w:t xml:space="preserve"> (0.95) </w:t>
            </w:r>
            <w:r w:rsidR="00AD4A00" w:rsidRPr="008D22A6">
              <w:rPr>
                <w:rStyle w:val="Lienhypertexte"/>
                <w:rFonts w:hint="eastAsia"/>
                <w:rtl/>
              </w:rPr>
              <w:t>ونسبة</w:t>
            </w:r>
            <w:r w:rsidR="00AD4A00" w:rsidRPr="008D22A6">
              <w:rPr>
                <w:rStyle w:val="Lienhypertexte"/>
                <w:rtl/>
              </w:rPr>
              <w:t xml:space="preserve"> </w:t>
            </w:r>
            <w:r w:rsidR="00AD4A00" w:rsidRPr="008D22A6">
              <w:rPr>
                <w:rStyle w:val="Lienhypertexte"/>
                <w:rFonts w:hint="eastAsia"/>
                <w:rtl/>
              </w:rPr>
              <w:t>خطا</w:t>
            </w:r>
            <w:r w:rsidR="00AD4A00" w:rsidRPr="008D22A6">
              <w:rPr>
                <w:rStyle w:val="Lienhypertexte"/>
                <w:rtl/>
              </w:rPr>
              <w:t xml:space="preserve"> (0.05)</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_Toc171803729 \h </w:instrText>
            </w:r>
            <w:r w:rsidR="00AD4A00">
              <w:rPr>
                <w:webHidden/>
              </w:rPr>
            </w:r>
            <w:r w:rsidR="00AD4A00">
              <w:rPr>
                <w:webHidden/>
              </w:rPr>
              <w:fldChar w:fldCharType="separate"/>
            </w:r>
            <w:r>
              <w:rPr>
                <w:webHidden/>
                <w:rtl/>
                <w:lang w:bidi="ar-SA"/>
              </w:rPr>
              <w:t>168</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744" w:history="1">
            <w:r w:rsidR="00AD4A00" w:rsidRPr="008D22A6">
              <w:rPr>
                <w:rStyle w:val="Lienhypertexte"/>
                <w:rFonts w:hint="eastAsia"/>
                <w:rtl/>
              </w:rPr>
              <w:t>الجدول</w:t>
            </w:r>
            <w:r w:rsidR="00AD4A00" w:rsidRPr="008D22A6">
              <w:rPr>
                <w:rStyle w:val="Lienhypertexte"/>
                <w:rtl/>
              </w:rPr>
              <w:t xml:space="preserve"> (5-17): </w:t>
            </w:r>
            <w:r w:rsidR="00AD4A00" w:rsidRPr="008D22A6">
              <w:rPr>
                <w:rStyle w:val="Lienhypertexte"/>
                <w:rFonts w:hint="eastAsia"/>
                <w:rtl/>
              </w:rPr>
              <w:t>توزيع</w:t>
            </w:r>
            <w:r w:rsidR="00AD4A00" w:rsidRPr="008D22A6">
              <w:rPr>
                <w:rStyle w:val="Lienhypertexte"/>
                <w:rtl/>
              </w:rPr>
              <w:t xml:space="preserve"> </w:t>
            </w:r>
            <w:r w:rsidR="00AD4A00" w:rsidRPr="008D22A6">
              <w:rPr>
                <w:rStyle w:val="Lienhypertexte"/>
                <w:rFonts w:hint="eastAsia"/>
                <w:rtl/>
              </w:rPr>
              <w:t>أفراد</w:t>
            </w:r>
            <w:r w:rsidR="00AD4A00" w:rsidRPr="008D22A6">
              <w:rPr>
                <w:rStyle w:val="Lienhypertexte"/>
                <w:rtl/>
              </w:rPr>
              <w:t xml:space="preserve"> </w:t>
            </w:r>
            <w:r w:rsidR="00AD4A00" w:rsidRPr="008D22A6">
              <w:rPr>
                <w:rStyle w:val="Lienhypertexte"/>
                <w:rFonts w:hint="eastAsia"/>
                <w:rtl/>
              </w:rPr>
              <w:t>عيّنة</w:t>
            </w:r>
            <w:r w:rsidR="00AD4A00" w:rsidRPr="008D22A6">
              <w:rPr>
                <w:rStyle w:val="Lienhypertexte"/>
                <w:rtl/>
              </w:rPr>
              <w:t xml:space="preserve"> </w:t>
            </w:r>
            <w:r w:rsidR="00AD4A00" w:rsidRPr="008D22A6">
              <w:rPr>
                <w:rStyle w:val="Lienhypertexte"/>
                <w:rFonts w:hint="eastAsia"/>
                <w:rtl/>
              </w:rPr>
              <w:t>الادراك</w:t>
            </w:r>
            <w:r w:rsidR="00AD4A00" w:rsidRPr="008D22A6">
              <w:rPr>
                <w:rStyle w:val="Lienhypertexte"/>
                <w:rtl/>
              </w:rPr>
              <w:t xml:space="preserve"> </w:t>
            </w:r>
            <w:r w:rsidR="00AD4A00" w:rsidRPr="008D22A6">
              <w:rPr>
                <w:rStyle w:val="Lienhypertexte"/>
                <w:rFonts w:hint="eastAsia"/>
                <w:rtl/>
              </w:rPr>
              <w:t>بتكرار</w:t>
            </w:r>
            <w:r w:rsidR="00AD4A00" w:rsidRPr="008D22A6">
              <w:rPr>
                <w:rStyle w:val="Lienhypertexte"/>
                <w:rtl/>
              </w:rPr>
              <w:t xml:space="preserve"> </w:t>
            </w:r>
            <w:r w:rsidR="00AD4A00" w:rsidRPr="008D22A6">
              <w:rPr>
                <w:rStyle w:val="Lienhypertexte"/>
                <w:rFonts w:hint="eastAsia"/>
                <w:rtl/>
              </w:rPr>
              <w:t>حدوث</w:t>
            </w:r>
            <w:r w:rsidR="00AD4A00" w:rsidRPr="008D22A6">
              <w:rPr>
                <w:rStyle w:val="Lienhypertexte"/>
                <w:rtl/>
              </w:rPr>
              <w:t xml:space="preserve"> </w:t>
            </w:r>
            <w:r w:rsidR="00AD4A00" w:rsidRPr="008D22A6">
              <w:rPr>
                <w:rStyle w:val="Lienhypertexte"/>
                <w:rFonts w:hint="eastAsia"/>
                <w:rtl/>
              </w:rPr>
              <w:t>المخاطر</w:t>
            </w:r>
            <w:r w:rsidR="00AD4A00" w:rsidRPr="008D22A6">
              <w:rPr>
                <w:rStyle w:val="Lienhypertexte"/>
                <w:rtl/>
              </w:rPr>
              <w:t xml:space="preserve"> </w:t>
            </w:r>
            <w:r w:rsidR="00AD4A00" w:rsidRPr="008D22A6">
              <w:rPr>
                <w:rStyle w:val="Lienhypertexte"/>
                <w:rFonts w:hint="eastAsia"/>
                <w:rtl/>
              </w:rPr>
              <w:t>الطبيعية</w:t>
            </w:r>
            <w:r w:rsidR="00AD4A00" w:rsidRPr="008D22A6">
              <w:rPr>
                <w:rStyle w:val="Lienhypertexte"/>
                <w:rtl/>
              </w:rPr>
              <w:t xml:space="preserve"> </w:t>
            </w:r>
            <w:r w:rsidR="00AD4A00" w:rsidRPr="008D22A6">
              <w:rPr>
                <w:rStyle w:val="Lienhypertexte"/>
                <w:rFonts w:hint="eastAsia"/>
                <w:rtl/>
              </w:rPr>
              <w:t>خلال</w:t>
            </w:r>
            <w:r w:rsidR="00AD4A00" w:rsidRPr="008D22A6">
              <w:rPr>
                <w:rStyle w:val="Lienhypertexte"/>
                <w:rtl/>
              </w:rPr>
              <w:t xml:space="preserve"> </w:t>
            </w:r>
            <w:r w:rsidR="00AD4A00" w:rsidRPr="008D22A6">
              <w:rPr>
                <w:rStyle w:val="Lienhypertexte"/>
                <w:rFonts w:hint="eastAsia"/>
                <w:rtl/>
              </w:rPr>
              <w:t>السنة</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_Toc171803744 \h </w:instrText>
            </w:r>
            <w:r w:rsidR="00AD4A00">
              <w:rPr>
                <w:webHidden/>
              </w:rPr>
            </w:r>
            <w:r w:rsidR="00AD4A00">
              <w:rPr>
                <w:webHidden/>
              </w:rPr>
              <w:fldChar w:fldCharType="separate"/>
            </w:r>
            <w:r>
              <w:rPr>
                <w:webHidden/>
                <w:rtl/>
                <w:lang w:bidi="ar-SA"/>
              </w:rPr>
              <w:t>173</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757" w:history="1">
            <w:r w:rsidR="00AD4A00" w:rsidRPr="008D22A6">
              <w:rPr>
                <w:rStyle w:val="Lienhypertexte"/>
                <w:rFonts w:hint="eastAsia"/>
                <w:rtl/>
              </w:rPr>
              <w:t>الجدول</w:t>
            </w:r>
            <w:r w:rsidR="00AD4A00" w:rsidRPr="008D22A6">
              <w:rPr>
                <w:rStyle w:val="Lienhypertexte"/>
                <w:rtl/>
              </w:rPr>
              <w:t xml:space="preserve"> (5-18): </w:t>
            </w:r>
            <w:r w:rsidR="00AD4A00" w:rsidRPr="008D22A6">
              <w:rPr>
                <w:rStyle w:val="Lienhypertexte"/>
                <w:rFonts w:hint="eastAsia"/>
                <w:rtl/>
              </w:rPr>
              <w:t>تحليل</w:t>
            </w:r>
            <w:r w:rsidR="00AD4A00" w:rsidRPr="008D22A6">
              <w:rPr>
                <w:rStyle w:val="Lienhypertexte"/>
                <w:rtl/>
              </w:rPr>
              <w:t xml:space="preserve"> </w:t>
            </w:r>
            <w:r w:rsidR="00AD4A00" w:rsidRPr="008D22A6">
              <w:rPr>
                <w:rStyle w:val="Lienhypertexte"/>
                <w:rFonts w:hint="eastAsia"/>
                <w:rtl/>
              </w:rPr>
              <w:t>توزيع</w:t>
            </w:r>
            <w:r w:rsidR="00AD4A00" w:rsidRPr="008D22A6">
              <w:rPr>
                <w:rStyle w:val="Lienhypertexte"/>
                <w:rtl/>
              </w:rPr>
              <w:t xml:space="preserve"> </w:t>
            </w:r>
            <w:r w:rsidR="00AD4A00" w:rsidRPr="008D22A6">
              <w:rPr>
                <w:rStyle w:val="Lienhypertexte"/>
                <w:rFonts w:hint="eastAsia"/>
                <w:rtl/>
              </w:rPr>
              <w:t>أفراد</w:t>
            </w:r>
            <w:r w:rsidR="00AD4A00" w:rsidRPr="008D22A6">
              <w:rPr>
                <w:rStyle w:val="Lienhypertexte"/>
                <w:rtl/>
              </w:rPr>
              <w:t xml:space="preserve"> </w:t>
            </w:r>
            <w:r w:rsidR="00AD4A00" w:rsidRPr="008D22A6">
              <w:rPr>
                <w:rStyle w:val="Lienhypertexte"/>
                <w:rFonts w:hint="eastAsia"/>
                <w:rtl/>
              </w:rPr>
              <w:t>عيّنة</w:t>
            </w:r>
            <w:r w:rsidR="00AD4A00" w:rsidRPr="008D22A6">
              <w:rPr>
                <w:rStyle w:val="Lienhypertexte"/>
                <w:rtl/>
              </w:rPr>
              <w:t xml:space="preserve"> </w:t>
            </w:r>
            <w:r w:rsidR="00AD4A00" w:rsidRPr="008D22A6">
              <w:rPr>
                <w:rStyle w:val="Lienhypertexte"/>
                <w:rFonts w:hint="eastAsia"/>
                <w:rtl/>
              </w:rPr>
              <w:t>المسافة</w:t>
            </w:r>
            <w:r w:rsidR="00AD4A00" w:rsidRPr="008D22A6">
              <w:rPr>
                <w:rStyle w:val="Lienhypertexte"/>
                <w:rtl/>
              </w:rPr>
              <w:t xml:space="preserve"> </w:t>
            </w:r>
            <w:r w:rsidR="00AD4A00" w:rsidRPr="008D22A6">
              <w:rPr>
                <w:rStyle w:val="Lienhypertexte"/>
                <w:rFonts w:hint="eastAsia"/>
                <w:rtl/>
              </w:rPr>
              <w:t>الملائمة</w:t>
            </w:r>
            <w:r w:rsidR="00AD4A00" w:rsidRPr="008D22A6">
              <w:rPr>
                <w:rStyle w:val="Lienhypertexte"/>
                <w:rtl/>
              </w:rPr>
              <w:t xml:space="preserve"> </w:t>
            </w:r>
            <w:r w:rsidR="00AD4A00" w:rsidRPr="008D22A6">
              <w:rPr>
                <w:rStyle w:val="Lienhypertexte"/>
                <w:rFonts w:hint="eastAsia"/>
                <w:rtl/>
              </w:rPr>
              <w:t>للسير</w:t>
            </w:r>
            <w:r w:rsidR="00AD4A00" w:rsidRPr="008D22A6">
              <w:rPr>
                <w:rStyle w:val="Lienhypertexte"/>
                <w:rtl/>
              </w:rPr>
              <w:t xml:space="preserve"> </w:t>
            </w:r>
            <w:r w:rsidR="00AD4A00" w:rsidRPr="008D22A6">
              <w:rPr>
                <w:rStyle w:val="Lienhypertexte"/>
                <w:rFonts w:hint="eastAsia"/>
                <w:rtl/>
              </w:rPr>
              <w:t>مشيا</w:t>
            </w:r>
            <w:r w:rsidR="00AD4A00" w:rsidRPr="008D22A6">
              <w:rPr>
                <w:rStyle w:val="Lienhypertexte"/>
                <w:rtl/>
              </w:rPr>
              <w:t xml:space="preserve"> </w:t>
            </w:r>
            <w:r w:rsidR="00AD4A00" w:rsidRPr="008D22A6">
              <w:rPr>
                <w:rStyle w:val="Lienhypertexte"/>
                <w:rFonts w:hint="eastAsia"/>
                <w:rtl/>
              </w:rPr>
              <w:t>بين</w:t>
            </w:r>
            <w:r w:rsidR="00AD4A00" w:rsidRPr="008D22A6">
              <w:rPr>
                <w:rStyle w:val="Lienhypertexte"/>
                <w:rtl/>
              </w:rPr>
              <w:t xml:space="preserve"> </w:t>
            </w:r>
            <w:r w:rsidR="00AD4A00" w:rsidRPr="008D22A6">
              <w:rPr>
                <w:rStyle w:val="Lienhypertexte"/>
                <w:rFonts w:hint="eastAsia"/>
                <w:rtl/>
              </w:rPr>
              <w:t>المرافق</w:t>
            </w:r>
            <w:r w:rsidR="00AD4A00" w:rsidRPr="008D22A6">
              <w:rPr>
                <w:rStyle w:val="Lienhypertexte"/>
                <w:rtl/>
              </w:rPr>
              <w:t xml:space="preserve"> </w:t>
            </w:r>
            <w:r w:rsidR="00AD4A00" w:rsidRPr="008D22A6">
              <w:rPr>
                <w:rStyle w:val="Lienhypertexte"/>
                <w:rFonts w:hint="eastAsia"/>
                <w:rtl/>
              </w:rPr>
              <w:t>والمسكن</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_Toc171803757 \h </w:instrText>
            </w:r>
            <w:r w:rsidR="00AD4A00">
              <w:rPr>
                <w:webHidden/>
              </w:rPr>
            </w:r>
            <w:r w:rsidR="00AD4A00">
              <w:rPr>
                <w:webHidden/>
              </w:rPr>
              <w:fldChar w:fldCharType="separate"/>
            </w:r>
            <w:r>
              <w:rPr>
                <w:webHidden/>
                <w:rtl/>
                <w:lang w:bidi="ar-SA"/>
              </w:rPr>
              <w:t>179</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763" w:history="1">
            <w:r w:rsidR="00AD4A00" w:rsidRPr="008D22A6">
              <w:rPr>
                <w:rStyle w:val="Lienhypertexte"/>
                <w:rFonts w:hint="eastAsia"/>
                <w:rtl/>
              </w:rPr>
              <w:t>الفصل</w:t>
            </w:r>
            <w:r w:rsidR="00AD4A00" w:rsidRPr="008D22A6">
              <w:rPr>
                <w:rStyle w:val="Lienhypertexte"/>
                <w:rtl/>
              </w:rPr>
              <w:t xml:space="preserve"> 6: </w:t>
            </w:r>
            <w:r w:rsidR="00AD4A00" w:rsidRPr="008D22A6">
              <w:rPr>
                <w:rStyle w:val="Lienhypertexte"/>
                <w:rFonts w:hint="eastAsia"/>
                <w:rtl/>
              </w:rPr>
              <w:t>تقييم</w:t>
            </w:r>
            <w:r w:rsidR="00AD4A00" w:rsidRPr="008D22A6">
              <w:rPr>
                <w:rStyle w:val="Lienhypertexte"/>
                <w:rtl/>
              </w:rPr>
              <w:t xml:space="preserve"> </w:t>
            </w:r>
            <w:r w:rsidR="00AD4A00" w:rsidRPr="008D22A6">
              <w:rPr>
                <w:rStyle w:val="Lienhypertexte"/>
                <w:rFonts w:hint="eastAsia"/>
                <w:rtl/>
              </w:rPr>
              <w:t>توافر</w:t>
            </w:r>
            <w:r w:rsidR="00AD4A00" w:rsidRPr="008D22A6">
              <w:rPr>
                <w:rStyle w:val="Lienhypertexte"/>
                <w:rtl/>
              </w:rPr>
              <w:t xml:space="preserve"> </w:t>
            </w:r>
            <w:r w:rsidR="00AD4A00" w:rsidRPr="008D22A6">
              <w:rPr>
                <w:rStyle w:val="Lienhypertexte"/>
                <w:rFonts w:hint="eastAsia"/>
                <w:rtl/>
              </w:rPr>
              <w:t>سمات</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hint="eastAsia"/>
                <w:rtl/>
              </w:rPr>
              <w:t>المكانية</w:t>
            </w:r>
            <w:r w:rsidR="00AD4A00" w:rsidRPr="008D22A6">
              <w:rPr>
                <w:rStyle w:val="Lienhypertexte"/>
                <w:rtl/>
              </w:rPr>
              <w:t xml:space="preserve"> </w:t>
            </w:r>
            <w:r w:rsidR="00AD4A00" w:rsidRPr="008D22A6">
              <w:rPr>
                <w:rStyle w:val="Lienhypertexte"/>
                <w:rFonts w:hint="eastAsia"/>
                <w:rtl/>
              </w:rPr>
              <w:t>عبر</w:t>
            </w:r>
            <w:r w:rsidR="00AD4A00" w:rsidRPr="008D22A6">
              <w:rPr>
                <w:rStyle w:val="Lienhypertexte"/>
                <w:rtl/>
              </w:rPr>
              <w:t xml:space="preserve"> </w:t>
            </w:r>
            <w:r w:rsidR="00AD4A00" w:rsidRPr="008D22A6">
              <w:rPr>
                <w:rStyle w:val="Lienhypertexte"/>
                <w:rFonts w:hint="eastAsia"/>
                <w:rtl/>
              </w:rPr>
              <w:t>فئات</w:t>
            </w:r>
            <w:r w:rsidR="00AD4A00" w:rsidRPr="008D22A6">
              <w:rPr>
                <w:rStyle w:val="Lienhypertexte"/>
                <w:rtl/>
              </w:rPr>
              <w:t xml:space="preserve"> </w:t>
            </w:r>
            <w:r w:rsidR="00AD4A00" w:rsidRPr="008D22A6">
              <w:rPr>
                <w:rStyle w:val="Lienhypertexte"/>
                <w:rFonts w:hint="eastAsia"/>
                <w:rtl/>
              </w:rPr>
              <w:t>الانسجة</w:t>
            </w:r>
            <w:r w:rsidR="00AD4A00" w:rsidRPr="008D22A6">
              <w:rPr>
                <w:rStyle w:val="Lienhypertexte"/>
                <w:rtl/>
              </w:rPr>
              <w:t xml:space="preserve"> </w:t>
            </w:r>
            <w:r w:rsidR="00AD4A00" w:rsidRPr="008D22A6">
              <w:rPr>
                <w:rStyle w:val="Lienhypertexte"/>
                <w:rFonts w:hint="eastAsia"/>
                <w:rtl/>
              </w:rPr>
              <w:t>الحضرية</w:t>
            </w:r>
            <w:r w:rsidR="00AD4A00" w:rsidRPr="008D22A6">
              <w:rPr>
                <w:rStyle w:val="Lienhypertexte"/>
                <w:rtl/>
              </w:rPr>
              <w:t xml:space="preserve"> </w:t>
            </w:r>
            <w:r w:rsidR="00AD4A00" w:rsidRPr="008D22A6">
              <w:rPr>
                <w:rStyle w:val="Lienhypertexte"/>
                <w:rFonts w:hint="eastAsia"/>
                <w:rtl/>
              </w:rPr>
              <w:t>لمدينة</w:t>
            </w:r>
            <w:r w:rsidR="00AD4A00" w:rsidRPr="008D22A6">
              <w:rPr>
                <w:rStyle w:val="Lienhypertexte"/>
                <w:rtl/>
              </w:rPr>
              <w:t xml:space="preserve"> </w:t>
            </w:r>
            <w:r w:rsidR="00AD4A00" w:rsidRPr="008D22A6">
              <w:rPr>
                <w:rStyle w:val="Lienhypertexte"/>
                <w:rFonts w:hint="eastAsia"/>
                <w:rtl/>
              </w:rPr>
              <w:t>بوسعادة</w:t>
            </w:r>
          </w:hyperlink>
        </w:p>
        <w:p w:rsidR="00AD4A00" w:rsidRDefault="00B62F86" w:rsidP="009579D2">
          <w:pPr>
            <w:pStyle w:val="TM1"/>
            <w:rPr>
              <w:rFonts w:asciiTheme="minorHAnsi" w:hAnsiTheme="minorHAnsi" w:cstheme="minorBidi"/>
              <w:color w:val="auto"/>
              <w:lang w:val="fr-FR" w:bidi="ar-SA"/>
            </w:rPr>
          </w:pPr>
          <w:hyperlink w:anchor="_Toc171803773" w:history="1">
            <w:r w:rsidR="00AD4A00" w:rsidRPr="008D22A6">
              <w:rPr>
                <w:rStyle w:val="Lienhypertexte"/>
                <w:rFonts w:hint="eastAsia"/>
                <w:rtl/>
              </w:rPr>
              <w:t>الجدول</w:t>
            </w:r>
            <w:r w:rsidR="00AD4A00" w:rsidRPr="008D22A6">
              <w:rPr>
                <w:rStyle w:val="Lienhypertexte"/>
                <w:rtl/>
              </w:rPr>
              <w:t xml:space="preserve"> (6-</w:t>
            </w:r>
            <w:r w:rsidR="00AD4A00" w:rsidRPr="008D22A6">
              <w:rPr>
                <w:rStyle w:val="Lienhypertexte"/>
              </w:rPr>
              <w:t>1</w:t>
            </w:r>
            <w:r w:rsidR="00AD4A00" w:rsidRPr="008D22A6">
              <w:rPr>
                <w:rStyle w:val="Lienhypertexte"/>
                <w:rtl/>
              </w:rPr>
              <w:t xml:space="preserve">): </w:t>
            </w:r>
            <w:r w:rsidR="00AD4A00" w:rsidRPr="008D22A6">
              <w:rPr>
                <w:rStyle w:val="Lienhypertexte"/>
                <w:rFonts w:hint="eastAsia"/>
                <w:rtl/>
              </w:rPr>
              <w:t>تفيئة</w:t>
            </w:r>
            <w:r w:rsidR="00AD4A00" w:rsidRPr="008D22A6">
              <w:rPr>
                <w:rStyle w:val="Lienhypertexte"/>
                <w:rtl/>
              </w:rPr>
              <w:t xml:space="preserve"> </w:t>
            </w:r>
            <w:r w:rsidR="00AD4A00" w:rsidRPr="008D22A6">
              <w:rPr>
                <w:rStyle w:val="Lienhypertexte"/>
                <w:rFonts w:hint="eastAsia"/>
                <w:rtl/>
              </w:rPr>
              <w:t>وتصنيف</w:t>
            </w:r>
            <w:r w:rsidR="00AD4A00" w:rsidRPr="008D22A6">
              <w:rPr>
                <w:rStyle w:val="Lienhypertexte"/>
                <w:rtl/>
              </w:rPr>
              <w:t xml:space="preserve"> </w:t>
            </w:r>
            <w:r w:rsidR="00AD4A00" w:rsidRPr="008D22A6">
              <w:rPr>
                <w:rStyle w:val="Lienhypertexte"/>
                <w:rFonts w:hint="eastAsia"/>
                <w:rtl/>
              </w:rPr>
              <w:t>الاحياء</w:t>
            </w:r>
            <w:r w:rsidR="00AD4A00" w:rsidRPr="008D22A6">
              <w:rPr>
                <w:rStyle w:val="Lienhypertexte"/>
                <w:rtl/>
              </w:rPr>
              <w:t xml:space="preserve"> </w:t>
            </w:r>
            <w:r w:rsidR="00AD4A00" w:rsidRPr="008D22A6">
              <w:rPr>
                <w:rStyle w:val="Lienhypertexte"/>
                <w:rFonts w:hint="eastAsia"/>
                <w:rtl/>
              </w:rPr>
              <w:t>السكنية</w:t>
            </w:r>
            <w:r w:rsidR="00AD4A00" w:rsidRPr="008D22A6">
              <w:rPr>
                <w:rStyle w:val="Lienhypertexte"/>
                <w:rtl/>
              </w:rPr>
              <w:t xml:space="preserve"> </w:t>
            </w:r>
            <w:r w:rsidR="00AD4A00" w:rsidRPr="008D22A6">
              <w:rPr>
                <w:rStyle w:val="Lienhypertexte"/>
                <w:rFonts w:hint="eastAsia"/>
                <w:rtl/>
              </w:rPr>
              <w:t>حسب</w:t>
            </w:r>
            <w:r w:rsidR="00AD4A00" w:rsidRPr="008D22A6">
              <w:rPr>
                <w:rStyle w:val="Lienhypertexte"/>
                <w:rtl/>
              </w:rPr>
              <w:t xml:space="preserve"> </w:t>
            </w:r>
            <w:r w:rsidR="00AD4A00" w:rsidRPr="008D22A6">
              <w:rPr>
                <w:rStyle w:val="Lienhypertexte"/>
                <w:rFonts w:hint="eastAsia"/>
                <w:rtl/>
              </w:rPr>
              <w:t>نوع</w:t>
            </w:r>
            <w:r w:rsidR="00AD4A00" w:rsidRPr="008D22A6">
              <w:rPr>
                <w:rStyle w:val="Lienhypertexte"/>
                <w:rtl/>
              </w:rPr>
              <w:t xml:space="preserve"> </w:t>
            </w:r>
            <w:r w:rsidR="00AD4A00" w:rsidRPr="008D22A6">
              <w:rPr>
                <w:rStyle w:val="Lienhypertexte"/>
                <w:rFonts w:hint="eastAsia"/>
                <w:rtl/>
              </w:rPr>
              <w:t>النسيج</w:t>
            </w:r>
            <w:r w:rsidR="00AD4A00" w:rsidRPr="008D22A6">
              <w:rPr>
                <w:rStyle w:val="Lienhypertexte"/>
                <w:rtl/>
              </w:rPr>
              <w:t xml:space="preserve"> </w:t>
            </w:r>
            <w:r w:rsidR="00AD4A00" w:rsidRPr="008D22A6">
              <w:rPr>
                <w:rStyle w:val="Lienhypertexte"/>
                <w:rFonts w:hint="eastAsia"/>
                <w:rtl/>
              </w:rPr>
              <w:t>الحضري</w:t>
            </w:r>
            <w:r w:rsidR="00AD4A00" w:rsidRPr="008D22A6">
              <w:rPr>
                <w:rStyle w:val="Lienhypertexte"/>
                <w:rtl/>
              </w:rPr>
              <w:t xml:space="preserve"> </w:t>
            </w:r>
            <w:r w:rsidR="00AD4A00" w:rsidRPr="008D22A6">
              <w:rPr>
                <w:rStyle w:val="Lienhypertexte"/>
                <w:rFonts w:hint="eastAsia"/>
                <w:rtl/>
              </w:rPr>
              <w:t>ومستوى</w:t>
            </w:r>
            <w:r w:rsidR="00AD4A00" w:rsidRPr="008D22A6">
              <w:rPr>
                <w:rStyle w:val="Lienhypertexte"/>
                <w:rtl/>
              </w:rPr>
              <w:t xml:space="preserve"> </w:t>
            </w:r>
            <w:r w:rsidR="00AD4A00" w:rsidRPr="008D22A6">
              <w:rPr>
                <w:rStyle w:val="Lienhypertexte"/>
                <w:rFonts w:hint="eastAsia"/>
                <w:rtl/>
              </w:rPr>
              <w:t>المرونة</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_Toc171803773 \h </w:instrText>
            </w:r>
            <w:r w:rsidR="00AD4A00">
              <w:rPr>
                <w:webHidden/>
              </w:rPr>
            </w:r>
            <w:r w:rsidR="00AD4A00">
              <w:rPr>
                <w:webHidden/>
              </w:rPr>
              <w:fldChar w:fldCharType="separate"/>
            </w:r>
            <w:r>
              <w:rPr>
                <w:webHidden/>
                <w:rtl/>
                <w:lang w:bidi="ar-SA"/>
              </w:rPr>
              <w:t>186</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786" w:history="1">
            <w:r w:rsidR="00AD4A00" w:rsidRPr="008D22A6">
              <w:rPr>
                <w:rStyle w:val="Lienhypertexte"/>
                <w:rFonts w:hint="eastAsia"/>
                <w:rtl/>
              </w:rPr>
              <w:t>الجدول</w:t>
            </w:r>
            <w:r w:rsidR="00AD4A00" w:rsidRPr="008D22A6">
              <w:rPr>
                <w:rStyle w:val="Lienhypertexte"/>
                <w:rtl/>
              </w:rPr>
              <w:t xml:space="preserve"> (6-</w:t>
            </w:r>
            <w:r w:rsidR="00AD4A00" w:rsidRPr="008D22A6">
              <w:rPr>
                <w:rStyle w:val="Lienhypertexte"/>
              </w:rPr>
              <w:t>2</w:t>
            </w:r>
            <w:r w:rsidR="00AD4A00" w:rsidRPr="008D22A6">
              <w:rPr>
                <w:rStyle w:val="Lienhypertexte"/>
                <w:rtl/>
              </w:rPr>
              <w:t xml:space="preserve">): </w:t>
            </w:r>
            <w:r w:rsidR="00AD4A00" w:rsidRPr="008D22A6">
              <w:rPr>
                <w:rStyle w:val="Lienhypertexte"/>
                <w:rFonts w:hint="eastAsia"/>
                <w:rtl/>
              </w:rPr>
              <w:t>ملخص</w:t>
            </w:r>
            <w:r w:rsidR="00AD4A00" w:rsidRPr="008D22A6">
              <w:rPr>
                <w:rStyle w:val="Lienhypertexte"/>
                <w:rtl/>
              </w:rPr>
              <w:t xml:space="preserve"> </w:t>
            </w:r>
            <w:r w:rsidR="00AD4A00" w:rsidRPr="008D22A6">
              <w:rPr>
                <w:rStyle w:val="Lienhypertexte"/>
                <w:rFonts w:hint="eastAsia"/>
                <w:rtl/>
              </w:rPr>
              <w:t>قياس</w:t>
            </w:r>
            <w:r w:rsidR="00AD4A00" w:rsidRPr="008D22A6">
              <w:rPr>
                <w:rStyle w:val="Lienhypertexte"/>
                <w:rtl/>
              </w:rPr>
              <w:t xml:space="preserve"> </w:t>
            </w:r>
            <w:r w:rsidR="00AD4A00" w:rsidRPr="008D22A6">
              <w:rPr>
                <w:rStyle w:val="Lienhypertexte"/>
                <w:rFonts w:hint="eastAsia"/>
                <w:rtl/>
              </w:rPr>
              <w:t>الخصائص</w:t>
            </w:r>
            <w:r w:rsidR="00AD4A00" w:rsidRPr="008D22A6">
              <w:rPr>
                <w:rStyle w:val="Lienhypertexte"/>
                <w:rtl/>
              </w:rPr>
              <w:t xml:space="preserve"> </w:t>
            </w:r>
            <w:r w:rsidR="00AD4A00" w:rsidRPr="008D22A6">
              <w:rPr>
                <w:rStyle w:val="Lienhypertexte"/>
                <w:rFonts w:hint="eastAsia"/>
                <w:rtl/>
              </w:rPr>
              <w:t>المترية</w:t>
            </w:r>
            <w:r w:rsidR="00AD4A00" w:rsidRPr="008D22A6">
              <w:rPr>
                <w:rStyle w:val="Lienhypertexte"/>
                <w:rtl/>
              </w:rPr>
              <w:t xml:space="preserve"> </w:t>
            </w:r>
            <w:r w:rsidR="00AD4A00" w:rsidRPr="008D22A6">
              <w:rPr>
                <w:rStyle w:val="Lienhypertexte"/>
                <w:rFonts w:hint="eastAsia"/>
                <w:rtl/>
              </w:rPr>
              <w:t>والطوبولوجية</w:t>
            </w:r>
            <w:r w:rsidR="00AD4A00" w:rsidRPr="008D22A6">
              <w:rPr>
                <w:rStyle w:val="Lienhypertexte"/>
                <w:rtl/>
              </w:rPr>
              <w:t xml:space="preserve"> </w:t>
            </w:r>
            <w:r w:rsidR="00AD4A00" w:rsidRPr="008D22A6">
              <w:rPr>
                <w:rStyle w:val="Lienhypertexte"/>
                <w:rFonts w:hint="eastAsia"/>
                <w:rtl/>
              </w:rPr>
              <w:t>لاتصال</w:t>
            </w:r>
            <w:r w:rsidR="00AD4A00" w:rsidRPr="008D22A6">
              <w:rPr>
                <w:rStyle w:val="Lienhypertexte"/>
                <w:rtl/>
              </w:rPr>
              <w:t xml:space="preserve"> </w:t>
            </w:r>
            <w:r w:rsidR="00AD4A00" w:rsidRPr="008D22A6">
              <w:rPr>
                <w:rStyle w:val="Lienhypertexte"/>
                <w:rFonts w:hint="eastAsia"/>
                <w:rtl/>
              </w:rPr>
              <w:t>الطرق</w:t>
            </w:r>
            <w:r w:rsidR="00AD4A00" w:rsidRPr="008D22A6">
              <w:rPr>
                <w:rStyle w:val="Lienhypertexte"/>
                <w:rtl/>
              </w:rPr>
              <w:t xml:space="preserve"> </w:t>
            </w:r>
            <w:r w:rsidR="00AD4A00" w:rsidRPr="008D22A6">
              <w:rPr>
                <w:rStyle w:val="Lienhypertexte"/>
                <w:rFonts w:hint="eastAsia"/>
                <w:rtl/>
              </w:rPr>
              <w:t>الشوارع</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_Toc171803786 \h </w:instrText>
            </w:r>
            <w:r w:rsidR="00AD4A00">
              <w:rPr>
                <w:webHidden/>
              </w:rPr>
            </w:r>
            <w:r w:rsidR="00AD4A00">
              <w:rPr>
                <w:webHidden/>
              </w:rPr>
              <w:fldChar w:fldCharType="separate"/>
            </w:r>
            <w:r>
              <w:rPr>
                <w:webHidden/>
                <w:rtl/>
                <w:lang w:bidi="ar-SA"/>
              </w:rPr>
              <w:t>191</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800" w:history="1">
            <w:r w:rsidR="00AD4A00" w:rsidRPr="008D22A6">
              <w:rPr>
                <w:rStyle w:val="Lienhypertexte"/>
                <w:rFonts w:hint="eastAsia"/>
                <w:rtl/>
              </w:rPr>
              <w:t>الجدول</w:t>
            </w:r>
            <w:r w:rsidR="00AD4A00" w:rsidRPr="008D22A6">
              <w:rPr>
                <w:rStyle w:val="Lienhypertexte"/>
                <w:rtl/>
              </w:rPr>
              <w:t xml:space="preserve"> (6-</w:t>
            </w:r>
            <w:r w:rsidR="00AD4A00" w:rsidRPr="008D22A6">
              <w:rPr>
                <w:rStyle w:val="Lienhypertexte"/>
              </w:rPr>
              <w:t>3</w:t>
            </w:r>
            <w:r w:rsidR="00AD4A00" w:rsidRPr="008D22A6">
              <w:rPr>
                <w:rStyle w:val="Lienhypertexte"/>
                <w:rtl/>
              </w:rPr>
              <w:t xml:space="preserve">): </w:t>
            </w:r>
            <w:r w:rsidR="00AD4A00" w:rsidRPr="008D22A6">
              <w:rPr>
                <w:rStyle w:val="Lienhypertexte"/>
                <w:rFonts w:hint="eastAsia"/>
                <w:rtl/>
              </w:rPr>
              <w:t>قياس</w:t>
            </w:r>
            <w:r w:rsidR="00AD4A00" w:rsidRPr="008D22A6">
              <w:rPr>
                <w:rStyle w:val="Lienhypertexte"/>
                <w:rtl/>
              </w:rPr>
              <w:t xml:space="preserve"> </w:t>
            </w:r>
            <w:r w:rsidR="00AD4A00" w:rsidRPr="008D22A6">
              <w:rPr>
                <w:rStyle w:val="Lienhypertexte"/>
                <w:rFonts w:hint="eastAsia"/>
                <w:rtl/>
              </w:rPr>
              <w:t>سمات</w:t>
            </w:r>
            <w:r w:rsidR="00AD4A00" w:rsidRPr="008D22A6">
              <w:rPr>
                <w:rStyle w:val="Lienhypertexte"/>
                <w:rtl/>
              </w:rPr>
              <w:t xml:space="preserve"> </w:t>
            </w:r>
            <w:r w:rsidR="00AD4A00" w:rsidRPr="008D22A6">
              <w:rPr>
                <w:rStyle w:val="Lienhypertexte"/>
                <w:rFonts w:hint="eastAsia"/>
                <w:rtl/>
              </w:rPr>
              <w:t>المرونة</w:t>
            </w:r>
            <w:r w:rsidR="00AD4A00" w:rsidRPr="008D22A6">
              <w:rPr>
                <w:rStyle w:val="Lienhypertexte"/>
                <w:rtl/>
              </w:rPr>
              <w:t xml:space="preserve"> </w:t>
            </w:r>
            <w:r w:rsidR="00AD4A00" w:rsidRPr="008D22A6">
              <w:rPr>
                <w:rStyle w:val="Lienhypertexte"/>
                <w:rFonts w:hint="eastAsia"/>
                <w:rtl/>
              </w:rPr>
              <w:t>المكانية</w:t>
            </w:r>
            <w:r w:rsidR="00AD4A00" w:rsidRPr="008D22A6">
              <w:rPr>
                <w:rStyle w:val="Lienhypertexte"/>
                <w:rtl/>
              </w:rPr>
              <w:t xml:space="preserve"> </w:t>
            </w:r>
            <w:r w:rsidR="00AD4A00" w:rsidRPr="008D22A6">
              <w:rPr>
                <w:rStyle w:val="Lienhypertexte"/>
                <w:rFonts w:hint="eastAsia"/>
                <w:rtl/>
              </w:rPr>
              <w:t>ووحدة</w:t>
            </w:r>
            <w:r w:rsidR="00AD4A00" w:rsidRPr="008D22A6">
              <w:rPr>
                <w:rStyle w:val="Lienhypertexte"/>
                <w:rtl/>
              </w:rPr>
              <w:t xml:space="preserve"> </w:t>
            </w:r>
            <w:r w:rsidR="00AD4A00" w:rsidRPr="008D22A6">
              <w:rPr>
                <w:rStyle w:val="Lienhypertexte"/>
                <w:rFonts w:hint="eastAsia"/>
                <w:rtl/>
              </w:rPr>
              <w:t>القياس</w:t>
            </w:r>
            <w:r w:rsidR="00AD4A00" w:rsidRPr="008D22A6">
              <w:rPr>
                <w:rStyle w:val="Lienhypertexte"/>
                <w:rtl/>
              </w:rPr>
              <w:t xml:space="preserve"> </w:t>
            </w:r>
            <w:r w:rsidR="00AD4A00" w:rsidRPr="008D22A6">
              <w:rPr>
                <w:rStyle w:val="Lienhypertexte"/>
                <w:rFonts w:hint="eastAsia"/>
                <w:rtl/>
              </w:rPr>
              <w:t>لكل</w:t>
            </w:r>
            <w:r w:rsidR="00AD4A00" w:rsidRPr="008D22A6">
              <w:rPr>
                <w:rStyle w:val="Lienhypertexte"/>
                <w:rtl/>
              </w:rPr>
              <w:t xml:space="preserve"> </w:t>
            </w:r>
            <w:r w:rsidR="00AD4A00" w:rsidRPr="008D22A6">
              <w:rPr>
                <w:rStyle w:val="Lienhypertexte"/>
                <w:rFonts w:hint="eastAsia"/>
                <w:rtl/>
              </w:rPr>
              <w:t>حي</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_Toc171803800 \h </w:instrText>
            </w:r>
            <w:r w:rsidR="00AD4A00">
              <w:rPr>
                <w:webHidden/>
              </w:rPr>
            </w:r>
            <w:r w:rsidR="00AD4A00">
              <w:rPr>
                <w:webHidden/>
              </w:rPr>
              <w:fldChar w:fldCharType="separate"/>
            </w:r>
            <w:r>
              <w:rPr>
                <w:webHidden/>
                <w:rtl/>
                <w:lang w:bidi="ar-SA"/>
              </w:rPr>
              <w:t>195</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852" w:history="1">
            <w:r w:rsidR="00AD4A00" w:rsidRPr="008D22A6">
              <w:rPr>
                <w:rStyle w:val="Lienhypertexte"/>
                <w:rFonts w:hint="eastAsia"/>
                <w:rtl/>
              </w:rPr>
              <w:t>الجدول</w:t>
            </w:r>
            <w:r w:rsidR="00AD4A00" w:rsidRPr="008D22A6">
              <w:rPr>
                <w:rStyle w:val="Lienhypertexte"/>
                <w:rtl/>
              </w:rPr>
              <w:t xml:space="preserve"> (6-4): </w:t>
            </w:r>
            <w:r w:rsidR="00AD4A00" w:rsidRPr="008D22A6">
              <w:rPr>
                <w:rStyle w:val="Lienhypertexte"/>
                <w:rFonts w:hint="eastAsia"/>
                <w:rtl/>
              </w:rPr>
              <w:t>نتائج</w:t>
            </w:r>
            <w:r w:rsidR="00AD4A00" w:rsidRPr="008D22A6">
              <w:rPr>
                <w:rStyle w:val="Lienhypertexte"/>
                <w:rtl/>
              </w:rPr>
              <w:t xml:space="preserve"> </w:t>
            </w:r>
            <w:r w:rsidR="00AD4A00" w:rsidRPr="008D22A6">
              <w:rPr>
                <w:rStyle w:val="Lienhypertexte"/>
                <w:rFonts w:hint="eastAsia"/>
                <w:rtl/>
              </w:rPr>
              <w:t>تحليل</w:t>
            </w:r>
            <w:r w:rsidR="00AD4A00" w:rsidRPr="008D22A6">
              <w:rPr>
                <w:rStyle w:val="Lienhypertexte"/>
                <w:rtl/>
              </w:rPr>
              <w:t xml:space="preserve"> </w:t>
            </w:r>
            <w:r w:rsidR="00AD4A00" w:rsidRPr="008D22A6">
              <w:rPr>
                <w:rStyle w:val="Lienhypertexte"/>
                <w:rFonts w:hint="eastAsia"/>
                <w:rtl/>
              </w:rPr>
              <w:t>صلة</w:t>
            </w:r>
            <w:r w:rsidR="00AD4A00" w:rsidRPr="008D22A6">
              <w:rPr>
                <w:rStyle w:val="Lienhypertexte"/>
                <w:rtl/>
              </w:rPr>
              <w:t xml:space="preserve"> </w:t>
            </w:r>
            <w:r w:rsidR="00AD4A00" w:rsidRPr="008D22A6">
              <w:rPr>
                <w:rStyle w:val="Lienhypertexte"/>
                <w:rFonts w:hint="eastAsia"/>
                <w:rtl/>
              </w:rPr>
              <w:t>الجار</w:t>
            </w:r>
            <w:r w:rsidR="00AD4A00" w:rsidRPr="008D22A6">
              <w:rPr>
                <w:rStyle w:val="Lienhypertexte"/>
                <w:rtl/>
              </w:rPr>
              <w:t xml:space="preserve"> </w:t>
            </w:r>
            <w:r w:rsidR="00AD4A00" w:rsidRPr="008D22A6">
              <w:rPr>
                <w:rStyle w:val="Lienhypertexte"/>
                <w:rFonts w:hint="eastAsia"/>
                <w:rtl/>
              </w:rPr>
              <w:t>الاقرب</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_Toc171803852 \h </w:instrText>
            </w:r>
            <w:r w:rsidR="00AD4A00">
              <w:rPr>
                <w:webHidden/>
              </w:rPr>
            </w:r>
            <w:r w:rsidR="00AD4A00">
              <w:rPr>
                <w:webHidden/>
              </w:rPr>
              <w:fldChar w:fldCharType="separate"/>
            </w:r>
            <w:r>
              <w:rPr>
                <w:webHidden/>
                <w:rtl/>
                <w:lang w:bidi="ar-SA"/>
              </w:rPr>
              <w:t>210</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857" w:history="1">
            <w:r w:rsidR="00AD4A00" w:rsidRPr="008D22A6">
              <w:rPr>
                <w:rStyle w:val="Lienhypertexte"/>
                <w:rFonts w:hint="eastAsia"/>
                <w:rtl/>
              </w:rPr>
              <w:t>الجدول</w:t>
            </w:r>
            <w:r w:rsidR="00AD4A00" w:rsidRPr="008D22A6">
              <w:rPr>
                <w:rStyle w:val="Lienhypertexte"/>
                <w:rtl/>
              </w:rPr>
              <w:t xml:space="preserve"> (6-5): </w:t>
            </w:r>
            <w:r w:rsidR="00AD4A00" w:rsidRPr="008D22A6">
              <w:rPr>
                <w:rStyle w:val="Lienhypertexte"/>
                <w:rFonts w:hint="eastAsia"/>
                <w:rtl/>
              </w:rPr>
              <w:t>تصنيف</w:t>
            </w:r>
            <w:r w:rsidR="00AD4A00" w:rsidRPr="008D22A6">
              <w:rPr>
                <w:rStyle w:val="Lienhypertexte"/>
                <w:rtl/>
              </w:rPr>
              <w:t xml:space="preserve"> </w:t>
            </w:r>
            <w:r w:rsidR="00AD4A00" w:rsidRPr="008D22A6">
              <w:rPr>
                <w:rStyle w:val="Lienhypertexte"/>
                <w:rFonts w:hint="eastAsia"/>
                <w:rtl/>
              </w:rPr>
              <w:t>تنوع</w:t>
            </w:r>
            <w:r w:rsidR="00AD4A00" w:rsidRPr="008D22A6">
              <w:rPr>
                <w:rStyle w:val="Lienhypertexte"/>
                <w:rtl/>
              </w:rPr>
              <w:t xml:space="preserve"> </w:t>
            </w:r>
            <w:r w:rsidR="00AD4A00" w:rsidRPr="008D22A6">
              <w:rPr>
                <w:rStyle w:val="Lienhypertexte"/>
                <w:rFonts w:eastAsia="Times New Roman" w:hint="eastAsia"/>
                <w:rtl/>
              </w:rPr>
              <w:t>المرافق</w:t>
            </w:r>
            <w:r w:rsidR="00AD4A00" w:rsidRPr="008D22A6">
              <w:rPr>
                <w:rStyle w:val="Lienhypertexte"/>
                <w:rFonts w:eastAsia="Times New Roman"/>
                <w:rtl/>
              </w:rPr>
              <w:t xml:space="preserve"> </w:t>
            </w:r>
            <w:r w:rsidR="00AD4A00" w:rsidRPr="008D22A6">
              <w:rPr>
                <w:rStyle w:val="Lienhypertexte"/>
                <w:rFonts w:eastAsia="Times New Roman" w:hint="eastAsia"/>
                <w:rtl/>
              </w:rPr>
              <w:t>ب</w:t>
            </w:r>
            <w:r w:rsidR="00AD4A00" w:rsidRPr="008D22A6">
              <w:rPr>
                <w:rStyle w:val="Lienhypertexte"/>
                <w:rFonts w:hint="eastAsia"/>
                <w:rtl/>
              </w:rPr>
              <w:t>حي</w:t>
            </w:r>
            <w:r w:rsidR="00AD4A00" w:rsidRPr="008D22A6">
              <w:rPr>
                <w:rStyle w:val="Lienhypertexte"/>
                <w:rtl/>
              </w:rPr>
              <w:t xml:space="preserve"> </w:t>
            </w:r>
            <w:r w:rsidR="00AD4A00" w:rsidRPr="008D22A6">
              <w:rPr>
                <w:rStyle w:val="Lienhypertexte"/>
                <w:rFonts w:hint="eastAsia"/>
                <w:rtl/>
              </w:rPr>
              <w:t>القصر</w:t>
            </w:r>
            <w:r w:rsidR="009579D2" w:rsidRPr="009579D2">
              <w:rPr>
                <w:rStyle w:val="Lienhypertexte"/>
                <w:rFonts w:hint="cs"/>
                <w:rtl/>
              </w:rPr>
              <w:t>...........................</w:t>
            </w:r>
            <w:r w:rsidR="009579D2">
              <w:rPr>
                <w:rStyle w:val="Lienhypertexte"/>
                <w:rFonts w:hint="cs"/>
                <w:rtl/>
              </w:rPr>
              <w:t>...............................</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_Toc171803857 \h </w:instrText>
            </w:r>
            <w:r w:rsidR="00AD4A00">
              <w:rPr>
                <w:webHidden/>
              </w:rPr>
            </w:r>
            <w:r w:rsidR="00AD4A00">
              <w:rPr>
                <w:webHidden/>
              </w:rPr>
              <w:fldChar w:fldCharType="separate"/>
            </w:r>
            <w:r>
              <w:rPr>
                <w:webHidden/>
                <w:rtl/>
                <w:lang w:bidi="ar-SA"/>
              </w:rPr>
              <w:t>211</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861" w:history="1">
            <w:r w:rsidR="00AD4A00" w:rsidRPr="008D22A6">
              <w:rPr>
                <w:rStyle w:val="Lienhypertexte"/>
                <w:rFonts w:hint="eastAsia"/>
                <w:rtl/>
              </w:rPr>
              <w:t>الجدول</w:t>
            </w:r>
            <w:r w:rsidR="00AD4A00" w:rsidRPr="008D22A6">
              <w:rPr>
                <w:rStyle w:val="Lienhypertexte"/>
                <w:rtl/>
              </w:rPr>
              <w:t xml:space="preserve"> (6-6): </w:t>
            </w:r>
            <w:r w:rsidR="00AD4A00" w:rsidRPr="008D22A6">
              <w:rPr>
                <w:rStyle w:val="Lienhypertexte"/>
                <w:rFonts w:hint="eastAsia"/>
                <w:rtl/>
              </w:rPr>
              <w:t>تصنيف</w:t>
            </w:r>
            <w:r w:rsidR="00AD4A00" w:rsidRPr="008D22A6">
              <w:rPr>
                <w:rStyle w:val="Lienhypertexte"/>
                <w:rtl/>
              </w:rPr>
              <w:t xml:space="preserve"> </w:t>
            </w:r>
            <w:r w:rsidR="00AD4A00" w:rsidRPr="008D22A6">
              <w:rPr>
                <w:rStyle w:val="Lienhypertexte"/>
                <w:rFonts w:hint="eastAsia"/>
                <w:rtl/>
              </w:rPr>
              <w:t>تنوع</w:t>
            </w:r>
            <w:r w:rsidR="00AD4A00" w:rsidRPr="008D22A6">
              <w:rPr>
                <w:rStyle w:val="Lienhypertexte"/>
                <w:rtl/>
              </w:rPr>
              <w:t xml:space="preserve"> </w:t>
            </w:r>
            <w:r w:rsidR="00AD4A00" w:rsidRPr="008D22A6">
              <w:rPr>
                <w:rStyle w:val="Lienhypertexte"/>
                <w:rFonts w:eastAsia="Times New Roman" w:hint="eastAsia"/>
                <w:rtl/>
              </w:rPr>
              <w:t>المرافق</w:t>
            </w:r>
            <w:r w:rsidR="00AD4A00" w:rsidRPr="008D22A6">
              <w:rPr>
                <w:rStyle w:val="Lienhypertexte"/>
                <w:rFonts w:eastAsia="Times New Roman"/>
                <w:rtl/>
              </w:rPr>
              <w:t xml:space="preserve"> </w:t>
            </w:r>
            <w:r w:rsidR="00AD4A00" w:rsidRPr="008D22A6">
              <w:rPr>
                <w:rStyle w:val="Lienhypertexte"/>
                <w:rFonts w:eastAsia="Times New Roman" w:hint="eastAsia"/>
                <w:rtl/>
              </w:rPr>
              <w:t>ب</w:t>
            </w:r>
            <w:r w:rsidR="00AD4A00" w:rsidRPr="008D22A6">
              <w:rPr>
                <w:rStyle w:val="Lienhypertexte"/>
                <w:rFonts w:hint="eastAsia"/>
                <w:rtl/>
              </w:rPr>
              <w:t>حي</w:t>
            </w:r>
            <w:r w:rsidR="00AD4A00" w:rsidRPr="008D22A6">
              <w:rPr>
                <w:rStyle w:val="Lienhypertexte"/>
                <w:rtl/>
              </w:rPr>
              <w:t xml:space="preserve"> </w:t>
            </w:r>
            <w:r w:rsidR="00AD4A00" w:rsidRPr="008D22A6">
              <w:rPr>
                <w:rStyle w:val="Lienhypertexte"/>
                <w:rFonts w:eastAsia="Times New Roman" w:hint="eastAsia"/>
                <w:rtl/>
              </w:rPr>
              <w:t>بلاتو</w:t>
            </w:r>
            <w:r w:rsidR="009579D2" w:rsidRPr="009579D2">
              <w:rPr>
                <w:rStyle w:val="Lienhypertexte"/>
                <w:rFonts w:eastAsia="Times New Roman" w:hint="cs"/>
                <w:rtl/>
              </w:rPr>
              <w:t>..................................................................</w:t>
            </w:r>
            <w:r w:rsidR="009579D2">
              <w:rPr>
                <w:rStyle w:val="Lienhypertexte"/>
                <w:rFonts w:eastAsia="Times New Roman" w:hint="cs"/>
                <w:rtl/>
              </w:rPr>
              <w:t>......</w:t>
            </w:r>
            <w:r w:rsidR="00AD4A00">
              <w:rPr>
                <w:webHidden/>
              </w:rPr>
              <w:tab/>
            </w:r>
            <w:r w:rsidR="00AD4A00">
              <w:rPr>
                <w:webHidden/>
              </w:rPr>
              <w:fldChar w:fldCharType="begin"/>
            </w:r>
            <w:r w:rsidR="00AD4A00">
              <w:rPr>
                <w:webHidden/>
              </w:rPr>
              <w:instrText xml:space="preserve"> PAGEREF _Toc171803861 \h </w:instrText>
            </w:r>
            <w:r w:rsidR="00AD4A00">
              <w:rPr>
                <w:webHidden/>
              </w:rPr>
            </w:r>
            <w:r w:rsidR="00AD4A00">
              <w:rPr>
                <w:webHidden/>
              </w:rPr>
              <w:fldChar w:fldCharType="separate"/>
            </w:r>
            <w:r>
              <w:rPr>
                <w:webHidden/>
                <w:rtl/>
                <w:lang w:bidi="ar-SA"/>
              </w:rPr>
              <w:t>212</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865" w:history="1">
            <w:r w:rsidR="00AD4A00" w:rsidRPr="008D22A6">
              <w:rPr>
                <w:rStyle w:val="Lienhypertexte"/>
                <w:rFonts w:hint="eastAsia"/>
                <w:rtl/>
              </w:rPr>
              <w:t>الجدول</w:t>
            </w:r>
            <w:r w:rsidR="00AD4A00" w:rsidRPr="008D22A6">
              <w:rPr>
                <w:rStyle w:val="Lienhypertexte"/>
                <w:rtl/>
              </w:rPr>
              <w:t xml:space="preserve"> (6-7): </w:t>
            </w:r>
            <w:r w:rsidR="00AD4A00" w:rsidRPr="008D22A6">
              <w:rPr>
                <w:rStyle w:val="Lienhypertexte"/>
                <w:rFonts w:hint="eastAsia"/>
                <w:rtl/>
              </w:rPr>
              <w:t>تصنيف</w:t>
            </w:r>
            <w:r w:rsidR="00AD4A00" w:rsidRPr="008D22A6">
              <w:rPr>
                <w:rStyle w:val="Lienhypertexte"/>
                <w:rtl/>
              </w:rPr>
              <w:t xml:space="preserve"> </w:t>
            </w:r>
            <w:r w:rsidR="00AD4A00" w:rsidRPr="008D22A6">
              <w:rPr>
                <w:rStyle w:val="Lienhypertexte"/>
                <w:rFonts w:hint="eastAsia"/>
                <w:rtl/>
              </w:rPr>
              <w:t>تنوع</w:t>
            </w:r>
            <w:r w:rsidR="00AD4A00" w:rsidRPr="008D22A6">
              <w:rPr>
                <w:rStyle w:val="Lienhypertexte"/>
                <w:rtl/>
              </w:rPr>
              <w:t xml:space="preserve"> </w:t>
            </w:r>
            <w:r w:rsidR="00AD4A00" w:rsidRPr="008D22A6">
              <w:rPr>
                <w:rStyle w:val="Lienhypertexte"/>
                <w:rFonts w:eastAsia="Times New Roman" w:hint="eastAsia"/>
                <w:rtl/>
              </w:rPr>
              <w:t>المرافق</w:t>
            </w:r>
            <w:r w:rsidR="00AD4A00" w:rsidRPr="008D22A6">
              <w:rPr>
                <w:rStyle w:val="Lienhypertexte"/>
                <w:rFonts w:eastAsia="Times New Roman"/>
                <w:rtl/>
              </w:rPr>
              <w:t xml:space="preserve"> </w:t>
            </w:r>
            <w:r w:rsidR="00AD4A00" w:rsidRPr="008D22A6">
              <w:rPr>
                <w:rStyle w:val="Lienhypertexte"/>
                <w:rFonts w:eastAsia="Times New Roman" w:hint="eastAsia"/>
                <w:rtl/>
              </w:rPr>
              <w:t>ب</w:t>
            </w:r>
            <w:r w:rsidR="00AD4A00" w:rsidRPr="008D22A6">
              <w:rPr>
                <w:rStyle w:val="Lienhypertexte"/>
                <w:rFonts w:hint="eastAsia"/>
                <w:rtl/>
              </w:rPr>
              <w:t>حي</w:t>
            </w:r>
            <w:r w:rsidR="00AD4A00" w:rsidRPr="008D22A6">
              <w:rPr>
                <w:rStyle w:val="Lienhypertexte"/>
                <w:rtl/>
              </w:rPr>
              <w:t xml:space="preserve"> </w:t>
            </w:r>
            <w:r w:rsidR="00AD4A00" w:rsidRPr="008D22A6">
              <w:rPr>
                <w:rStyle w:val="Lienhypertexte"/>
                <w:rFonts w:hint="eastAsia"/>
                <w:rtl/>
              </w:rPr>
              <w:t>سيدي</w:t>
            </w:r>
            <w:r w:rsidR="00AD4A00" w:rsidRPr="008D22A6">
              <w:rPr>
                <w:rStyle w:val="Lienhypertexte"/>
                <w:rtl/>
              </w:rPr>
              <w:t xml:space="preserve"> </w:t>
            </w:r>
            <w:r w:rsidR="00AD4A00" w:rsidRPr="008D22A6">
              <w:rPr>
                <w:rStyle w:val="Lienhypertexte"/>
                <w:rFonts w:hint="eastAsia"/>
                <w:rtl/>
              </w:rPr>
              <w:t>سليمان</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_Toc171803865 \h </w:instrText>
            </w:r>
            <w:r w:rsidR="00AD4A00">
              <w:rPr>
                <w:webHidden/>
              </w:rPr>
            </w:r>
            <w:r w:rsidR="00AD4A00">
              <w:rPr>
                <w:webHidden/>
              </w:rPr>
              <w:fldChar w:fldCharType="separate"/>
            </w:r>
            <w:r>
              <w:rPr>
                <w:webHidden/>
                <w:rtl/>
                <w:lang w:bidi="ar-SA"/>
              </w:rPr>
              <w:t>213</w:t>
            </w:r>
            <w:r w:rsidR="00AD4A00">
              <w:rPr>
                <w:webHidden/>
              </w:rPr>
              <w:fldChar w:fldCharType="end"/>
            </w:r>
          </w:hyperlink>
        </w:p>
        <w:p w:rsidR="00AD4A00" w:rsidRDefault="00B62F86" w:rsidP="009579D2">
          <w:pPr>
            <w:pStyle w:val="TM1"/>
            <w:rPr>
              <w:rFonts w:asciiTheme="minorHAnsi" w:hAnsiTheme="minorHAnsi" w:cstheme="minorBidi"/>
              <w:color w:val="auto"/>
              <w:lang w:val="fr-FR" w:bidi="ar-SA"/>
            </w:rPr>
          </w:pPr>
          <w:hyperlink w:anchor="_Toc171803869" w:history="1">
            <w:r w:rsidR="00AD4A00" w:rsidRPr="008D22A6">
              <w:rPr>
                <w:rStyle w:val="Lienhypertexte"/>
                <w:rFonts w:hint="eastAsia"/>
                <w:rtl/>
              </w:rPr>
              <w:t>الجدول</w:t>
            </w:r>
            <w:r w:rsidR="00AD4A00" w:rsidRPr="008D22A6">
              <w:rPr>
                <w:rStyle w:val="Lienhypertexte"/>
                <w:rtl/>
              </w:rPr>
              <w:t xml:space="preserve"> (6-8): </w:t>
            </w:r>
            <w:r w:rsidR="00AD4A00" w:rsidRPr="008D22A6">
              <w:rPr>
                <w:rStyle w:val="Lienhypertexte"/>
                <w:rFonts w:hint="eastAsia"/>
                <w:rtl/>
              </w:rPr>
              <w:t>تصنيف</w:t>
            </w:r>
            <w:r w:rsidR="00AD4A00" w:rsidRPr="008D22A6">
              <w:rPr>
                <w:rStyle w:val="Lienhypertexte"/>
                <w:rtl/>
              </w:rPr>
              <w:t xml:space="preserve"> </w:t>
            </w:r>
            <w:r w:rsidR="00AD4A00" w:rsidRPr="008D22A6">
              <w:rPr>
                <w:rStyle w:val="Lienhypertexte"/>
                <w:rFonts w:hint="eastAsia"/>
                <w:rtl/>
              </w:rPr>
              <w:t>تنوع</w:t>
            </w:r>
            <w:r w:rsidR="00AD4A00" w:rsidRPr="008D22A6">
              <w:rPr>
                <w:rStyle w:val="Lienhypertexte"/>
                <w:rtl/>
              </w:rPr>
              <w:t xml:space="preserve"> </w:t>
            </w:r>
            <w:r w:rsidR="00AD4A00" w:rsidRPr="008D22A6">
              <w:rPr>
                <w:rStyle w:val="Lienhypertexte"/>
                <w:rFonts w:eastAsia="Times New Roman" w:hint="eastAsia"/>
                <w:rtl/>
              </w:rPr>
              <w:t>المرافق</w:t>
            </w:r>
            <w:r w:rsidR="00AD4A00" w:rsidRPr="008D22A6">
              <w:rPr>
                <w:rStyle w:val="Lienhypertexte"/>
                <w:rFonts w:eastAsia="Times New Roman"/>
                <w:rtl/>
              </w:rPr>
              <w:t xml:space="preserve"> </w:t>
            </w:r>
            <w:r w:rsidR="00AD4A00" w:rsidRPr="008D22A6">
              <w:rPr>
                <w:rStyle w:val="Lienhypertexte"/>
                <w:rFonts w:eastAsia="Times New Roman" w:hint="eastAsia"/>
                <w:rtl/>
              </w:rPr>
              <w:t>ب</w:t>
            </w:r>
            <w:r w:rsidR="00AD4A00" w:rsidRPr="008D22A6">
              <w:rPr>
                <w:rStyle w:val="Lienhypertexte"/>
                <w:rFonts w:hint="eastAsia"/>
                <w:rtl/>
              </w:rPr>
              <w:t>حي</w:t>
            </w:r>
            <w:r w:rsidR="00AD4A00" w:rsidRPr="008D22A6">
              <w:rPr>
                <w:rStyle w:val="Lienhypertexte"/>
                <w:rtl/>
              </w:rPr>
              <w:t xml:space="preserve"> </w:t>
            </w:r>
            <w:r w:rsidR="00AD4A00" w:rsidRPr="008D22A6">
              <w:rPr>
                <w:rStyle w:val="Lienhypertexte"/>
                <w:rFonts w:eastAsia="Times New Roman" w:hint="eastAsia"/>
                <w:rtl/>
              </w:rPr>
              <w:t>الحمايد</w:t>
            </w:r>
            <w:r w:rsidR="009579D2" w:rsidRPr="009579D2">
              <w:rPr>
                <w:rStyle w:val="Lienhypertexte"/>
                <w:rFonts w:eastAsia="Times New Roman" w:hint="cs"/>
                <w:rtl/>
              </w:rPr>
              <w:t>..................................................................</w:t>
            </w:r>
            <w:r w:rsidR="009579D2">
              <w:rPr>
                <w:rStyle w:val="Lienhypertexte"/>
                <w:rFonts w:eastAsia="Times New Roman" w:hint="cs"/>
                <w:rtl/>
              </w:rPr>
              <w:t>....</w:t>
            </w:r>
            <w:r w:rsidR="00AD4A00">
              <w:rPr>
                <w:webHidden/>
              </w:rPr>
              <w:tab/>
            </w:r>
            <w:r w:rsidR="00AD4A00">
              <w:rPr>
                <w:webHidden/>
              </w:rPr>
              <w:fldChar w:fldCharType="begin"/>
            </w:r>
            <w:r w:rsidR="00AD4A00">
              <w:rPr>
                <w:webHidden/>
              </w:rPr>
              <w:instrText xml:space="preserve"> PAGEREF _Toc171803869 \h </w:instrText>
            </w:r>
            <w:r w:rsidR="00AD4A00">
              <w:rPr>
                <w:webHidden/>
              </w:rPr>
            </w:r>
            <w:r w:rsidR="00AD4A00">
              <w:rPr>
                <w:webHidden/>
              </w:rPr>
              <w:fldChar w:fldCharType="separate"/>
            </w:r>
            <w:r>
              <w:rPr>
                <w:webHidden/>
                <w:rtl/>
                <w:lang w:bidi="ar-SA"/>
              </w:rPr>
              <w:t>214</w:t>
            </w:r>
            <w:r w:rsidR="00AD4A00">
              <w:rPr>
                <w:webHidden/>
              </w:rPr>
              <w:fldChar w:fldCharType="end"/>
            </w:r>
          </w:hyperlink>
        </w:p>
        <w:p w:rsidR="00AD4A00" w:rsidRDefault="00AD4A00" w:rsidP="009579D2">
          <w:pPr>
            <w:pStyle w:val="TM1"/>
            <w:rPr>
              <w:rFonts w:asciiTheme="minorHAnsi" w:hAnsiTheme="minorHAnsi" w:cstheme="minorBidi"/>
              <w:color w:val="auto"/>
              <w:lang w:val="fr-FR" w:bidi="ar-SA"/>
            </w:rPr>
          </w:pPr>
          <w:r>
            <w:rPr>
              <w:rFonts w:hint="cs"/>
              <w:rtl/>
            </w:rPr>
            <w:t>ال</w:t>
          </w:r>
          <w:hyperlink w:anchor="_Toc171803883" w:history="1">
            <w:r w:rsidRPr="008D22A6">
              <w:rPr>
                <w:rStyle w:val="Lienhypertexte"/>
                <w:rFonts w:hint="eastAsia"/>
                <w:rtl/>
              </w:rPr>
              <w:t>جدول</w:t>
            </w:r>
            <w:r w:rsidRPr="008D22A6">
              <w:rPr>
                <w:rStyle w:val="Lienhypertexte"/>
                <w:rtl/>
              </w:rPr>
              <w:t xml:space="preserve"> </w:t>
            </w:r>
            <w:r w:rsidRPr="008D22A6">
              <w:rPr>
                <w:rStyle w:val="Lienhypertexte"/>
                <w:rFonts w:hint="eastAsia"/>
                <w:rtl/>
              </w:rPr>
              <w:t>رقم</w:t>
            </w:r>
            <w:r w:rsidRPr="008D22A6">
              <w:rPr>
                <w:rStyle w:val="Lienhypertexte"/>
                <w:rtl/>
              </w:rPr>
              <w:t xml:space="preserve"> (6-9): </w:t>
            </w:r>
            <w:r w:rsidRPr="008D22A6">
              <w:rPr>
                <w:rStyle w:val="Lienhypertexte"/>
                <w:rFonts w:hint="eastAsia"/>
                <w:rtl/>
              </w:rPr>
              <w:t>يلخص</w:t>
            </w:r>
            <w:r w:rsidRPr="008D22A6">
              <w:rPr>
                <w:rStyle w:val="Lienhypertexte"/>
                <w:rtl/>
              </w:rPr>
              <w:t xml:space="preserve"> </w:t>
            </w:r>
            <w:r w:rsidRPr="008D22A6">
              <w:rPr>
                <w:rStyle w:val="Lienhypertexte"/>
                <w:rFonts w:hint="eastAsia"/>
                <w:rtl/>
              </w:rPr>
              <w:t>عمق</w:t>
            </w:r>
            <w:r w:rsidRPr="008D22A6">
              <w:rPr>
                <w:rStyle w:val="Lienhypertexte"/>
                <w:rtl/>
              </w:rPr>
              <w:t xml:space="preserve"> </w:t>
            </w:r>
            <w:r w:rsidRPr="008D22A6">
              <w:rPr>
                <w:rStyle w:val="Lienhypertexte"/>
                <w:rFonts w:hint="eastAsia"/>
                <w:rtl/>
              </w:rPr>
              <w:t>الطرق</w:t>
            </w:r>
            <w:r w:rsidRPr="008D22A6">
              <w:rPr>
                <w:rStyle w:val="Lienhypertexte"/>
                <w:rtl/>
              </w:rPr>
              <w:t xml:space="preserve"> </w:t>
            </w:r>
            <w:r w:rsidRPr="008D22A6">
              <w:rPr>
                <w:rStyle w:val="Lienhypertexte"/>
                <w:rFonts w:hint="eastAsia"/>
                <w:rtl/>
              </w:rPr>
              <w:t>الرئيسية</w:t>
            </w:r>
            <w:r w:rsidRPr="008D22A6">
              <w:rPr>
                <w:rStyle w:val="Lienhypertexte"/>
                <w:rtl/>
              </w:rPr>
              <w:t xml:space="preserve"> </w:t>
            </w:r>
            <w:r w:rsidRPr="008D22A6">
              <w:rPr>
                <w:rStyle w:val="Lienhypertexte"/>
                <w:rFonts w:hint="eastAsia"/>
                <w:rtl/>
              </w:rPr>
              <w:t>والثانوية</w:t>
            </w:r>
            <w:r w:rsidRPr="008D22A6">
              <w:rPr>
                <w:rStyle w:val="Lienhypertexte"/>
                <w:rtl/>
              </w:rPr>
              <w:t xml:space="preserve"> </w:t>
            </w:r>
            <w:r w:rsidRPr="008D22A6">
              <w:rPr>
                <w:rStyle w:val="Lienhypertexte"/>
                <w:rFonts w:hint="eastAsia"/>
                <w:rtl/>
              </w:rPr>
              <w:t>الحضرية</w:t>
            </w:r>
            <w:r w:rsidRPr="008D22A6">
              <w:rPr>
                <w:rStyle w:val="Lienhypertexte"/>
                <w:rtl/>
              </w:rPr>
              <w:t xml:space="preserve"> </w:t>
            </w:r>
            <w:r w:rsidRPr="008D22A6">
              <w:rPr>
                <w:rStyle w:val="Lienhypertexte"/>
                <w:rFonts w:hint="eastAsia"/>
                <w:rtl/>
              </w:rPr>
              <w:t>عبر</w:t>
            </w:r>
            <w:r w:rsidRPr="008D22A6">
              <w:rPr>
                <w:rStyle w:val="Lienhypertexte"/>
                <w:rtl/>
              </w:rPr>
              <w:t xml:space="preserve"> </w:t>
            </w:r>
            <w:r w:rsidRPr="008D22A6">
              <w:rPr>
                <w:rStyle w:val="Lienhypertexte"/>
                <w:rFonts w:hint="eastAsia"/>
                <w:rtl/>
              </w:rPr>
              <w:t>حي</w:t>
            </w:r>
            <w:r w:rsidRPr="008D22A6">
              <w:rPr>
                <w:rStyle w:val="Lienhypertexte"/>
                <w:rtl/>
              </w:rPr>
              <w:t xml:space="preserve"> </w:t>
            </w:r>
            <w:r w:rsidRPr="008D22A6">
              <w:rPr>
                <w:rStyle w:val="Lienhypertexte"/>
                <w:rFonts w:hint="eastAsia"/>
                <w:rtl/>
              </w:rPr>
              <w:t>القصر،</w:t>
            </w:r>
            <w:r w:rsidRPr="008D22A6">
              <w:rPr>
                <w:rStyle w:val="Lienhypertexte"/>
                <w:rtl/>
              </w:rPr>
              <w:t xml:space="preserve"> </w:t>
            </w:r>
            <w:r w:rsidRPr="008D22A6">
              <w:rPr>
                <w:rStyle w:val="Lienhypertexte"/>
                <w:rFonts w:hint="eastAsia"/>
                <w:rtl/>
              </w:rPr>
              <w:t>بلاتو،</w:t>
            </w:r>
            <w:r w:rsidRPr="008D22A6">
              <w:rPr>
                <w:rStyle w:val="Lienhypertexte"/>
                <w:rtl/>
              </w:rPr>
              <w:t xml:space="preserve"> </w:t>
            </w:r>
            <w:r w:rsidRPr="008D22A6">
              <w:rPr>
                <w:rStyle w:val="Lienhypertexte"/>
                <w:rFonts w:hint="eastAsia"/>
                <w:rtl/>
              </w:rPr>
              <w:t>سيدي</w:t>
            </w:r>
            <w:r w:rsidRPr="008D22A6">
              <w:rPr>
                <w:rStyle w:val="Lienhypertexte"/>
                <w:rtl/>
              </w:rPr>
              <w:t xml:space="preserve"> </w:t>
            </w:r>
            <w:r w:rsidRPr="008D22A6">
              <w:rPr>
                <w:rStyle w:val="Lienhypertexte"/>
                <w:rFonts w:hint="eastAsia"/>
                <w:rtl/>
              </w:rPr>
              <w:t>سليمان</w:t>
            </w:r>
            <w:r w:rsidRPr="008D22A6">
              <w:rPr>
                <w:rStyle w:val="Lienhypertexte"/>
                <w:rtl/>
              </w:rPr>
              <w:t xml:space="preserve"> </w:t>
            </w:r>
            <w:r w:rsidRPr="008D22A6">
              <w:rPr>
                <w:rStyle w:val="Lienhypertexte"/>
                <w:rFonts w:hint="eastAsia"/>
                <w:rtl/>
              </w:rPr>
              <w:t>والحمايد</w:t>
            </w:r>
            <w:r w:rsidR="009579D2">
              <w:rPr>
                <w:rStyle w:val="Lienhypertexte"/>
                <w:rFonts w:hint="cs"/>
                <w:rtl/>
              </w:rPr>
              <w:t>...</w:t>
            </w:r>
            <w:r>
              <w:rPr>
                <w:webHidden/>
              </w:rPr>
              <w:tab/>
            </w:r>
            <w:r>
              <w:rPr>
                <w:webHidden/>
              </w:rPr>
              <w:fldChar w:fldCharType="begin"/>
            </w:r>
            <w:r>
              <w:rPr>
                <w:webHidden/>
              </w:rPr>
              <w:instrText xml:space="preserve"> PAGEREF _Toc171803883 \h </w:instrText>
            </w:r>
            <w:r>
              <w:rPr>
                <w:webHidden/>
              </w:rPr>
            </w:r>
            <w:r>
              <w:rPr>
                <w:webHidden/>
              </w:rPr>
              <w:fldChar w:fldCharType="separate"/>
            </w:r>
            <w:r w:rsidR="00B62F86">
              <w:rPr>
                <w:webHidden/>
                <w:rtl/>
                <w:lang w:bidi="ar-SA"/>
              </w:rPr>
              <w:t>220</w:t>
            </w:r>
            <w:r>
              <w:rPr>
                <w:webHidden/>
              </w:rPr>
              <w:fldChar w:fldCharType="end"/>
            </w:r>
          </w:hyperlink>
        </w:p>
        <w:p w:rsidR="00AD4A00" w:rsidRDefault="00B62F86" w:rsidP="009579D2">
          <w:pPr>
            <w:pStyle w:val="TM1"/>
            <w:rPr>
              <w:rFonts w:eastAsiaTheme="minorHAnsi"/>
              <w:lang w:eastAsia="en-US"/>
            </w:rPr>
          </w:pPr>
          <w:hyperlink w:anchor="_Toc171803896" w:history="1">
            <w:r w:rsidR="00AD4A00" w:rsidRPr="008D22A6">
              <w:rPr>
                <w:rStyle w:val="Lienhypertexte"/>
                <w:rFonts w:hint="eastAsia"/>
                <w:rtl/>
              </w:rPr>
              <w:t>الجدول</w:t>
            </w:r>
            <w:r w:rsidR="00AD4A00" w:rsidRPr="008D22A6">
              <w:rPr>
                <w:rStyle w:val="Lienhypertexte"/>
                <w:rtl/>
              </w:rPr>
              <w:t xml:space="preserve"> (6-10): </w:t>
            </w:r>
            <w:r w:rsidR="00AD4A00" w:rsidRPr="008D22A6">
              <w:rPr>
                <w:rStyle w:val="Lienhypertexte"/>
                <w:rFonts w:hint="eastAsia"/>
                <w:rtl/>
              </w:rPr>
              <w:t>توزيع</w:t>
            </w:r>
            <w:r w:rsidR="00AD4A00" w:rsidRPr="008D22A6">
              <w:rPr>
                <w:rStyle w:val="Lienhypertexte"/>
                <w:rtl/>
              </w:rPr>
              <w:t xml:space="preserve"> </w:t>
            </w:r>
            <w:r w:rsidR="00AD4A00" w:rsidRPr="008D22A6">
              <w:rPr>
                <w:rStyle w:val="Lienhypertexte"/>
                <w:rFonts w:hint="eastAsia"/>
                <w:rtl/>
              </w:rPr>
              <w:t>تقاطع</w:t>
            </w:r>
            <w:r w:rsidR="00AD4A00" w:rsidRPr="008D22A6">
              <w:rPr>
                <w:rStyle w:val="Lienhypertexte"/>
                <w:rtl/>
              </w:rPr>
              <w:t xml:space="preserve"> </w:t>
            </w:r>
            <w:r w:rsidR="00AD4A00" w:rsidRPr="008D22A6">
              <w:rPr>
                <w:rStyle w:val="Lienhypertexte"/>
                <w:rFonts w:hint="eastAsia"/>
                <w:rtl/>
              </w:rPr>
              <w:t>الطرق</w:t>
            </w:r>
            <w:r w:rsidR="00AD4A00" w:rsidRPr="008D22A6">
              <w:rPr>
                <w:rStyle w:val="Lienhypertexte"/>
                <w:rtl/>
              </w:rPr>
              <w:t xml:space="preserve"> </w:t>
            </w:r>
            <w:r w:rsidR="00AD4A00" w:rsidRPr="008D22A6">
              <w:rPr>
                <w:rStyle w:val="Lienhypertexte"/>
                <w:rFonts w:hint="eastAsia"/>
                <w:rtl/>
              </w:rPr>
              <w:t>الشريانية</w:t>
            </w:r>
            <w:r w:rsidR="00AD4A00" w:rsidRPr="008D22A6">
              <w:rPr>
                <w:rStyle w:val="Lienhypertexte"/>
                <w:rtl/>
              </w:rPr>
              <w:t xml:space="preserve"> </w:t>
            </w:r>
            <w:r w:rsidR="00AD4A00" w:rsidRPr="008D22A6">
              <w:rPr>
                <w:rStyle w:val="Lienhypertexte"/>
                <w:rFonts w:hint="eastAsia"/>
                <w:rtl/>
              </w:rPr>
              <w:t>والداخلية</w:t>
            </w:r>
            <w:r w:rsidR="00AD4A00" w:rsidRPr="008D22A6">
              <w:rPr>
                <w:rStyle w:val="Lienhypertexte"/>
                <w:rtl/>
              </w:rPr>
              <w:t xml:space="preserve"> </w:t>
            </w:r>
            <w:r w:rsidR="00AD4A00" w:rsidRPr="008D22A6">
              <w:rPr>
                <w:rStyle w:val="Lienhypertexte"/>
                <w:rFonts w:hint="eastAsia"/>
                <w:rtl/>
              </w:rPr>
              <w:t>عبر</w:t>
            </w:r>
            <w:r w:rsidR="00AD4A00" w:rsidRPr="008D22A6">
              <w:rPr>
                <w:rStyle w:val="Lienhypertexte"/>
                <w:rtl/>
              </w:rPr>
              <w:t xml:space="preserve"> </w:t>
            </w:r>
            <w:r w:rsidR="00AD4A00" w:rsidRPr="008D22A6">
              <w:rPr>
                <w:rStyle w:val="Lienhypertexte"/>
                <w:rFonts w:hint="eastAsia"/>
                <w:rtl/>
              </w:rPr>
              <w:t>الاحياء</w:t>
            </w:r>
            <w:r w:rsidR="00AD4A00" w:rsidRPr="008D22A6">
              <w:rPr>
                <w:rStyle w:val="Lienhypertexte"/>
                <w:rtl/>
              </w:rPr>
              <w:t xml:space="preserve"> </w:t>
            </w:r>
            <w:r w:rsidR="00AD4A00" w:rsidRPr="008D22A6">
              <w:rPr>
                <w:rStyle w:val="Lienhypertexte"/>
                <w:rFonts w:hint="eastAsia"/>
                <w:rtl/>
              </w:rPr>
              <w:t>السكنية</w:t>
            </w:r>
            <w:r w:rsidR="009579D2" w:rsidRPr="009579D2">
              <w:rPr>
                <w:rStyle w:val="Lienhypertexte"/>
                <w:rFonts w:hint="cs"/>
                <w:rtl/>
              </w:rPr>
              <w:t>..................................</w:t>
            </w:r>
            <w:r w:rsidR="009579D2">
              <w:rPr>
                <w:rStyle w:val="Lienhypertexte"/>
                <w:rFonts w:hint="cs"/>
                <w:rtl/>
              </w:rPr>
              <w:t>.......</w:t>
            </w:r>
            <w:r w:rsidR="00AD4A00">
              <w:rPr>
                <w:webHidden/>
              </w:rPr>
              <w:tab/>
            </w:r>
            <w:r w:rsidR="00AD4A00">
              <w:rPr>
                <w:webHidden/>
              </w:rPr>
              <w:fldChar w:fldCharType="begin"/>
            </w:r>
            <w:r w:rsidR="00AD4A00">
              <w:rPr>
                <w:webHidden/>
              </w:rPr>
              <w:instrText xml:space="preserve"> PAGEREF _Toc171803896 \h </w:instrText>
            </w:r>
            <w:r w:rsidR="00AD4A00">
              <w:rPr>
                <w:webHidden/>
              </w:rPr>
            </w:r>
            <w:r w:rsidR="00AD4A00">
              <w:rPr>
                <w:webHidden/>
              </w:rPr>
              <w:fldChar w:fldCharType="separate"/>
            </w:r>
            <w:r>
              <w:rPr>
                <w:webHidden/>
                <w:rtl/>
                <w:lang w:bidi="ar-SA"/>
              </w:rPr>
              <w:t>225</w:t>
            </w:r>
            <w:r w:rsidR="00AD4A00">
              <w:rPr>
                <w:webHidden/>
              </w:rPr>
              <w:fldChar w:fldCharType="end"/>
            </w:r>
          </w:hyperlink>
          <w:r w:rsidR="00AD4A00" w:rsidRPr="00463944">
            <w:fldChar w:fldCharType="end"/>
          </w:r>
        </w:p>
      </w:sdtContent>
    </w:sdt>
    <w:p w:rsidR="0035223D" w:rsidRDefault="0035223D" w:rsidP="009579D2">
      <w:pPr>
        <w:pStyle w:val="TM1"/>
        <w:rPr>
          <w:rFonts w:eastAsiaTheme="minorHAnsi"/>
          <w:rtl/>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sdt>
      <w:sdtPr>
        <w:rPr>
          <w:rFonts w:ascii="Simplified Arabic" w:eastAsiaTheme="minorHAnsi" w:hAnsi="Simplified Arabic" w:cs="Simplified Arabic"/>
          <w:b w:val="0"/>
          <w:bCs w:val="0"/>
          <w:noProof/>
          <w:color w:val="000000" w:themeColor="text1"/>
          <w:sz w:val="22"/>
          <w:szCs w:val="22"/>
          <w:rtl/>
          <w:lang w:val="en-US" w:eastAsia="en-US" w:bidi="ar-DZ"/>
        </w:rPr>
        <w:id w:val="1667595819"/>
        <w:docPartObj>
          <w:docPartGallery w:val="Table of Contents"/>
          <w:docPartUnique/>
        </w:docPartObj>
      </w:sdtPr>
      <w:sdtEndPr>
        <w:rPr>
          <w:rFonts w:eastAsiaTheme="minorEastAsia"/>
          <w:b/>
          <w:bCs/>
          <w:lang w:eastAsia="fr-FR"/>
        </w:rPr>
      </w:sdtEndPr>
      <w:sdtContent>
        <w:p w:rsidR="00FD69D1" w:rsidRDefault="00FD69D1" w:rsidP="00FD69D1">
          <w:pPr>
            <w:pStyle w:val="En-ttedetabledesmatires"/>
            <w:shd w:val="clear" w:color="auto" w:fill="D9D9D9" w:themeFill="background1" w:themeFillShade="D9"/>
            <w:bidi/>
            <w:spacing w:before="0" w:after="240" w:line="240" w:lineRule="auto"/>
            <w:jc w:val="center"/>
            <w:outlineLvl w:val="0"/>
            <w:rPr>
              <w:rFonts w:asciiTheme="minorHAnsi" w:hAnsiTheme="minorHAnsi" w:cstheme="minorBidi"/>
              <w:b w:val="0"/>
              <w:bCs w:val="0"/>
              <w:color w:val="auto"/>
            </w:rPr>
          </w:pPr>
          <w:r w:rsidRPr="00462031">
            <w:rPr>
              <w:rFonts w:ascii="Simplified Arabic" w:hAnsi="Simplified Arabic" w:cs="Simplified Arabic" w:hint="eastAsia"/>
              <w:color w:val="000000" w:themeColor="text1"/>
              <w:sz w:val="22"/>
              <w:szCs w:val="22"/>
              <w:rtl/>
            </w:rPr>
            <w:t>قائمة</w:t>
          </w:r>
          <w:r w:rsidRPr="00462031">
            <w:rPr>
              <w:rFonts w:ascii="Simplified Arabic" w:hAnsi="Simplified Arabic" w:cs="Simplified Arabic"/>
              <w:color w:val="000000" w:themeColor="text1"/>
              <w:sz w:val="22"/>
              <w:szCs w:val="22"/>
              <w:rtl/>
            </w:rPr>
            <w:t xml:space="preserve"> </w:t>
          </w:r>
          <w:r w:rsidRPr="00462031">
            <w:rPr>
              <w:rFonts w:ascii="Simplified Arabic" w:hAnsi="Simplified Arabic" w:cs="Simplified Arabic" w:hint="eastAsia"/>
              <w:color w:val="000000" w:themeColor="text1"/>
              <w:sz w:val="22"/>
              <w:szCs w:val="22"/>
              <w:rtl/>
            </w:rPr>
            <w:t>الخرائط</w:t>
          </w:r>
          <w:r w:rsidRPr="00463944">
            <w:rPr>
              <w:rFonts w:eastAsia="Arial Unicode MS"/>
              <w:noProof/>
              <w:color w:val="000000" w:themeColor="text1"/>
              <w:lang w:val="en-US" w:bidi="ar-DZ"/>
            </w:rPr>
            <w:fldChar w:fldCharType="begin"/>
          </w:r>
          <w:r w:rsidRPr="00463944">
            <w:instrText xml:space="preserve"> TOC \o "1-3" \h \z \u </w:instrText>
          </w:r>
          <w:r w:rsidRPr="00463944">
            <w:rPr>
              <w:rFonts w:eastAsia="Arial Unicode MS"/>
              <w:noProof/>
              <w:color w:val="000000" w:themeColor="text1"/>
              <w:lang w:val="en-US" w:bidi="ar-DZ"/>
            </w:rPr>
            <w:fldChar w:fldCharType="separate"/>
          </w:r>
          <w:hyperlink w:anchor="_Toc171803269" w:history="1"/>
        </w:p>
        <w:p w:rsidR="00FD69D1" w:rsidRDefault="00B62F86" w:rsidP="009579D2">
          <w:pPr>
            <w:pStyle w:val="TM1"/>
            <w:rPr>
              <w:rFonts w:asciiTheme="minorHAnsi" w:hAnsiTheme="minorHAnsi" w:cstheme="minorBidi"/>
              <w:color w:val="auto"/>
              <w:lang w:val="fr-FR" w:bidi="ar-SA"/>
            </w:rPr>
          </w:pPr>
          <w:hyperlink w:anchor="_Toc171803306" w:history="1">
            <w:r w:rsidR="00FD69D1" w:rsidRPr="008D22A6">
              <w:rPr>
                <w:rStyle w:val="Lienhypertexte"/>
                <w:rFonts w:hint="eastAsia"/>
                <w:rtl/>
              </w:rPr>
              <w:t>الجزء</w:t>
            </w:r>
            <w:r w:rsidR="00FD69D1" w:rsidRPr="008D22A6">
              <w:rPr>
                <w:rStyle w:val="Lienhypertexte"/>
                <w:rtl/>
              </w:rPr>
              <w:t xml:space="preserve"> </w:t>
            </w:r>
            <w:r w:rsidR="00FD69D1" w:rsidRPr="008D22A6">
              <w:rPr>
                <w:rStyle w:val="Lienhypertexte"/>
                <w:rFonts w:hint="eastAsia"/>
                <w:rtl/>
              </w:rPr>
              <w:t>الثاني</w:t>
            </w:r>
          </w:hyperlink>
          <w:r w:rsidR="00FD69D1">
            <w:rPr>
              <w:rFonts w:hint="cs"/>
              <w:rtl/>
            </w:rPr>
            <w:t xml:space="preserve"> </w:t>
          </w:r>
          <w:hyperlink w:anchor="_Toc171803307" w:history="1">
            <w:r w:rsidR="00FD69D1" w:rsidRPr="008D22A6">
              <w:rPr>
                <w:rStyle w:val="Lienhypertexte"/>
                <w:rFonts w:hint="eastAsia"/>
                <w:rtl/>
              </w:rPr>
              <w:t>الاطار</w:t>
            </w:r>
            <w:r w:rsidR="00FD69D1" w:rsidRPr="008D22A6">
              <w:rPr>
                <w:rStyle w:val="Lienhypertexte"/>
                <w:rtl/>
              </w:rPr>
              <w:t xml:space="preserve"> </w:t>
            </w:r>
            <w:r w:rsidR="00FD69D1" w:rsidRPr="008D22A6">
              <w:rPr>
                <w:rStyle w:val="Lienhypertexte"/>
                <w:rFonts w:hint="eastAsia"/>
                <w:rtl/>
              </w:rPr>
              <w:t>النظري</w:t>
            </w:r>
            <w:r w:rsidR="00FD69D1" w:rsidRPr="008D22A6">
              <w:rPr>
                <w:rStyle w:val="Lienhypertexte"/>
                <w:rtl/>
              </w:rPr>
              <w:t xml:space="preserve"> </w:t>
            </w:r>
            <w:r w:rsidR="00FD69D1" w:rsidRPr="008D22A6">
              <w:rPr>
                <w:rStyle w:val="Lienhypertexte"/>
                <w:rFonts w:hint="eastAsia"/>
                <w:rtl/>
              </w:rPr>
              <w:t>للبحث</w:t>
            </w:r>
          </w:hyperlink>
        </w:p>
        <w:p w:rsidR="00FD69D1" w:rsidRDefault="00B62F86" w:rsidP="009579D2">
          <w:pPr>
            <w:pStyle w:val="TM1"/>
            <w:rPr>
              <w:rFonts w:asciiTheme="minorHAnsi" w:hAnsiTheme="minorHAnsi" w:cstheme="minorBidi"/>
              <w:color w:val="auto"/>
              <w:lang w:val="fr-FR" w:bidi="ar-SA"/>
            </w:rPr>
          </w:pPr>
          <w:hyperlink w:anchor="_Toc171803308" w:history="1">
            <w:r w:rsidR="00FD69D1" w:rsidRPr="008D22A6">
              <w:rPr>
                <w:rStyle w:val="Lienhypertexte"/>
                <w:rFonts w:hint="eastAsia"/>
                <w:rtl/>
              </w:rPr>
              <w:t>الفصل</w:t>
            </w:r>
            <w:r w:rsidR="00FD69D1" w:rsidRPr="008D22A6">
              <w:rPr>
                <w:rStyle w:val="Lienhypertexte"/>
                <w:rtl/>
              </w:rPr>
              <w:t xml:space="preserve"> 1: </w:t>
            </w:r>
            <w:r w:rsidR="00FD69D1" w:rsidRPr="008D22A6">
              <w:rPr>
                <w:rStyle w:val="Lienhypertexte"/>
                <w:rFonts w:hint="eastAsia"/>
                <w:rtl/>
              </w:rPr>
              <w:t>علاقة</w:t>
            </w:r>
            <w:r w:rsidR="00FD69D1" w:rsidRPr="008D22A6">
              <w:rPr>
                <w:rStyle w:val="Lienhypertexte"/>
                <w:rtl/>
              </w:rPr>
              <w:t xml:space="preserve"> </w:t>
            </w:r>
            <w:r w:rsidR="00FD69D1" w:rsidRPr="008D22A6">
              <w:rPr>
                <w:rStyle w:val="Lienhypertexte"/>
                <w:rFonts w:hint="eastAsia"/>
                <w:rtl/>
              </w:rPr>
              <w:t>استعمالات</w:t>
            </w:r>
            <w:r w:rsidR="00FD69D1" w:rsidRPr="008D22A6">
              <w:rPr>
                <w:rStyle w:val="Lienhypertexte"/>
                <w:rtl/>
              </w:rPr>
              <w:t xml:space="preserve"> </w:t>
            </w:r>
            <w:r w:rsidR="00FD69D1" w:rsidRPr="008D22A6">
              <w:rPr>
                <w:rStyle w:val="Lienhypertexte"/>
                <w:rFonts w:hint="eastAsia"/>
                <w:rtl/>
              </w:rPr>
              <w:t>الاراضي</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بمفهوم</w:t>
            </w:r>
            <w:r w:rsidR="00FD69D1" w:rsidRPr="008D22A6">
              <w:rPr>
                <w:rStyle w:val="Lienhypertexte"/>
                <w:rtl/>
              </w:rPr>
              <w:t xml:space="preserve"> </w:t>
            </w:r>
            <w:r w:rsidR="00FD69D1" w:rsidRPr="008D22A6">
              <w:rPr>
                <w:rStyle w:val="Lienhypertexte"/>
                <w:rFonts w:hint="eastAsia"/>
                <w:rtl/>
              </w:rPr>
              <w:t>المرونة</w:t>
            </w:r>
            <w:r w:rsidR="00FD69D1" w:rsidRPr="008D22A6">
              <w:rPr>
                <w:rStyle w:val="Lienhypertexte"/>
                <w:rtl/>
              </w:rPr>
              <w:t xml:space="preserve"> </w:t>
            </w:r>
            <w:r w:rsidR="00FD69D1" w:rsidRPr="008D22A6">
              <w:rPr>
                <w:rStyle w:val="Lienhypertexte"/>
                <w:rFonts w:hint="eastAsia"/>
                <w:rtl/>
              </w:rPr>
              <w:t>الحضرية</w:t>
            </w:r>
          </w:hyperlink>
        </w:p>
        <w:p w:rsidR="00FD69D1" w:rsidRDefault="00B62F86" w:rsidP="009579D2">
          <w:pPr>
            <w:pStyle w:val="TM1"/>
            <w:rPr>
              <w:rFonts w:asciiTheme="minorHAnsi" w:hAnsiTheme="minorHAnsi" w:cstheme="minorBidi"/>
              <w:color w:val="auto"/>
              <w:lang w:val="fr-FR" w:bidi="ar-SA"/>
            </w:rPr>
          </w:pPr>
          <w:hyperlink w:anchor="_Toc171803328" w:history="1">
            <w:r w:rsidR="00FD69D1" w:rsidRPr="008D22A6">
              <w:rPr>
                <w:rStyle w:val="Lienhypertexte"/>
                <w:rFonts w:hint="eastAsia"/>
                <w:rtl/>
              </w:rPr>
              <w:t>الخريطة</w:t>
            </w:r>
            <w:r w:rsidR="00FD69D1" w:rsidRPr="008D22A6">
              <w:rPr>
                <w:rStyle w:val="Lienhypertexte"/>
                <w:rtl/>
              </w:rPr>
              <w:t xml:space="preserve"> (1-1): </w:t>
            </w:r>
            <w:r w:rsidR="00FD69D1" w:rsidRPr="008D22A6">
              <w:rPr>
                <w:rStyle w:val="Lienhypertexte"/>
                <w:rFonts w:hint="eastAsia"/>
                <w:rtl/>
              </w:rPr>
              <w:t>استعمالات</w:t>
            </w:r>
            <w:r w:rsidR="00FD69D1" w:rsidRPr="008D22A6">
              <w:rPr>
                <w:rStyle w:val="Lienhypertexte"/>
                <w:rtl/>
              </w:rPr>
              <w:t xml:space="preserve"> </w:t>
            </w:r>
            <w:r w:rsidR="00FD69D1" w:rsidRPr="008D22A6">
              <w:rPr>
                <w:rStyle w:val="Lienhypertexte"/>
                <w:rFonts w:hint="eastAsia"/>
                <w:rtl/>
              </w:rPr>
              <w:t>الأرض</w:t>
            </w:r>
            <w:r w:rsidR="00FD69D1" w:rsidRPr="008D22A6">
              <w:rPr>
                <w:rStyle w:val="Lienhypertexte"/>
                <w:rtl/>
              </w:rPr>
              <w:t xml:space="preserve"> </w:t>
            </w:r>
            <w:r w:rsidR="00FD69D1" w:rsidRPr="008D22A6">
              <w:rPr>
                <w:rStyle w:val="Lienhypertexte"/>
                <w:rFonts w:hint="eastAsia"/>
                <w:rtl/>
              </w:rPr>
              <w:t>بمدينة</w:t>
            </w:r>
            <w:r w:rsidR="00FD69D1" w:rsidRPr="008D22A6">
              <w:rPr>
                <w:rStyle w:val="Lienhypertexte"/>
                <w:rtl/>
              </w:rPr>
              <w:t xml:space="preserve"> </w:t>
            </w:r>
            <w:r w:rsidR="00FD69D1" w:rsidRPr="008D22A6">
              <w:rPr>
                <w:rStyle w:val="Lienhypertexte"/>
                <w:rFonts w:hint="eastAsia"/>
                <w:rtl/>
              </w:rPr>
              <w:t>نيس</w:t>
            </w:r>
            <w:r w:rsidR="00FD69D1" w:rsidRPr="008D22A6">
              <w:rPr>
                <w:rStyle w:val="Lienhypertexte"/>
                <w:rtl/>
              </w:rPr>
              <w:t xml:space="preserve"> -</w:t>
            </w:r>
            <w:r w:rsidR="00FD69D1" w:rsidRPr="008D22A6">
              <w:rPr>
                <w:rStyle w:val="Lienhypertexte"/>
                <w:rFonts w:hint="eastAsia"/>
                <w:rtl/>
              </w:rPr>
              <w:t>فرنسا</w:t>
            </w:r>
            <w:r w:rsidR="009579D2" w:rsidRPr="009579D2">
              <w:rPr>
                <w:rStyle w:val="Lienhypertexte"/>
                <w:rFonts w:hint="cs"/>
                <w:rtl/>
              </w:rPr>
              <w:t>..................................................................</w:t>
            </w:r>
            <w:r w:rsidR="00FD69D1">
              <w:rPr>
                <w:webHidden/>
              </w:rPr>
              <w:tab/>
            </w:r>
            <w:r w:rsidR="00FD69D1">
              <w:rPr>
                <w:webHidden/>
              </w:rPr>
              <w:fldChar w:fldCharType="begin"/>
            </w:r>
            <w:r w:rsidR="00FD69D1">
              <w:rPr>
                <w:webHidden/>
              </w:rPr>
              <w:instrText xml:space="preserve"> PAGEREF _Toc171803328 \h </w:instrText>
            </w:r>
            <w:r w:rsidR="00FD69D1">
              <w:rPr>
                <w:webHidden/>
              </w:rPr>
            </w:r>
            <w:r w:rsidR="00FD69D1">
              <w:rPr>
                <w:webHidden/>
              </w:rPr>
              <w:fldChar w:fldCharType="separate"/>
            </w:r>
            <w:r>
              <w:rPr>
                <w:webHidden/>
                <w:rtl/>
                <w:lang w:bidi="ar-SA"/>
              </w:rPr>
              <w:t>12</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421" w:history="1">
            <w:r w:rsidR="00FD69D1" w:rsidRPr="008D22A6">
              <w:rPr>
                <w:rStyle w:val="Lienhypertexte"/>
                <w:rFonts w:hint="eastAsia"/>
                <w:rtl/>
              </w:rPr>
              <w:t>الخريطة</w:t>
            </w:r>
            <w:r w:rsidR="00FD69D1" w:rsidRPr="008D22A6">
              <w:rPr>
                <w:rStyle w:val="Lienhypertexte"/>
                <w:rtl/>
              </w:rPr>
              <w:t xml:space="preserve"> (1-2): </w:t>
            </w:r>
            <w:r w:rsidR="00FD69D1" w:rsidRPr="008D22A6">
              <w:rPr>
                <w:rStyle w:val="Lienhypertexte"/>
                <w:rFonts w:hint="eastAsia"/>
                <w:rtl/>
              </w:rPr>
              <w:t>نسيج</w:t>
            </w:r>
            <w:r w:rsidR="00FD69D1" w:rsidRPr="008D22A6">
              <w:rPr>
                <w:rStyle w:val="Lienhypertexte"/>
                <w:rtl/>
              </w:rPr>
              <w:t xml:space="preserve"> </w:t>
            </w:r>
            <w:r w:rsidR="00FD69D1" w:rsidRPr="008D22A6">
              <w:rPr>
                <w:rStyle w:val="Lienhypertexte"/>
                <w:rFonts w:hint="eastAsia"/>
                <w:rtl/>
              </w:rPr>
              <w:t>حضري</w:t>
            </w:r>
            <w:r w:rsidR="00FD69D1" w:rsidRPr="008D22A6">
              <w:rPr>
                <w:rStyle w:val="Lienhypertexte"/>
                <w:rtl/>
              </w:rPr>
              <w:t xml:space="preserve"> </w:t>
            </w:r>
            <w:r w:rsidR="00FD69D1" w:rsidRPr="008D22A6">
              <w:rPr>
                <w:rStyle w:val="Lienhypertexte"/>
                <w:rFonts w:hint="eastAsia"/>
                <w:rtl/>
              </w:rPr>
              <w:t>تقليدي</w:t>
            </w:r>
            <w:r w:rsidR="00FD69D1" w:rsidRPr="008D22A6">
              <w:rPr>
                <w:rStyle w:val="Lienhypertexte"/>
                <w:rtl/>
              </w:rPr>
              <w:t xml:space="preserve"> ''</w:t>
            </w:r>
            <w:r w:rsidR="00FD69D1" w:rsidRPr="008D22A6">
              <w:rPr>
                <w:rStyle w:val="Lienhypertexte"/>
                <w:rFonts w:hint="eastAsia"/>
                <w:rtl/>
              </w:rPr>
              <w:t>قصر</w:t>
            </w:r>
            <w:r w:rsidR="00FD69D1" w:rsidRPr="008D22A6">
              <w:rPr>
                <w:rStyle w:val="Lienhypertexte"/>
                <w:rtl/>
              </w:rPr>
              <w:t xml:space="preserve"> </w:t>
            </w:r>
            <w:r w:rsidR="00FD69D1" w:rsidRPr="008D22A6">
              <w:rPr>
                <w:rStyle w:val="Lienhypertexte"/>
                <w:rFonts w:hint="eastAsia"/>
                <w:rtl/>
              </w:rPr>
              <w:t>بوسعادة</w:t>
            </w:r>
            <w:r w:rsidR="00FD69D1" w:rsidRPr="008D22A6">
              <w:rPr>
                <w:rStyle w:val="Lienhypertexte"/>
                <w:rtl/>
              </w:rPr>
              <w:t xml:space="preserve"> '' </w:t>
            </w:r>
            <w:r w:rsidR="00FD69D1" w:rsidRPr="008D22A6">
              <w:rPr>
                <w:rStyle w:val="Lienhypertexte"/>
                <w:rFonts w:hint="eastAsia"/>
                <w:rtl/>
              </w:rPr>
              <w:t>المدينة</w:t>
            </w:r>
            <w:r w:rsidR="00FD69D1" w:rsidRPr="008D22A6">
              <w:rPr>
                <w:rStyle w:val="Lienhypertexte"/>
                <w:rtl/>
              </w:rPr>
              <w:t xml:space="preserve"> </w:t>
            </w:r>
            <w:r w:rsidR="00FD69D1" w:rsidRPr="008D22A6">
              <w:rPr>
                <w:rStyle w:val="Lienhypertexte"/>
                <w:rFonts w:hint="eastAsia"/>
                <w:rtl/>
              </w:rPr>
              <w:t>القديمة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_Toc171803421 \h </w:instrText>
            </w:r>
            <w:r w:rsidR="00FD69D1">
              <w:rPr>
                <w:webHidden/>
              </w:rPr>
            </w:r>
            <w:r w:rsidR="00FD69D1">
              <w:rPr>
                <w:webHidden/>
              </w:rPr>
              <w:fldChar w:fldCharType="separate"/>
            </w:r>
            <w:r>
              <w:rPr>
                <w:webHidden/>
                <w:rtl/>
                <w:lang w:bidi="ar-SA"/>
              </w:rPr>
              <w:t>50</w:t>
            </w:r>
            <w:r w:rsidR="00FD69D1">
              <w:rPr>
                <w:webHidden/>
              </w:rPr>
              <w:fldChar w:fldCharType="end"/>
            </w:r>
          </w:hyperlink>
        </w:p>
        <w:p w:rsidR="00FD69D1" w:rsidRPr="0035223D" w:rsidRDefault="00B62F86" w:rsidP="009579D2">
          <w:pPr>
            <w:pStyle w:val="TM1"/>
            <w:rPr>
              <w:rFonts w:asciiTheme="minorHAnsi" w:hAnsiTheme="minorHAnsi" w:cstheme="minorBidi"/>
              <w:color w:val="auto"/>
              <w:lang w:val="fr-FR" w:bidi="ar-SA"/>
            </w:rPr>
          </w:pPr>
          <w:hyperlink w:anchor="_Toc171803501" w:history="1">
            <w:r w:rsidR="00FD69D1" w:rsidRPr="0035223D">
              <w:rPr>
                <w:rStyle w:val="Lienhypertexte"/>
                <w:rFonts w:hint="eastAsia"/>
                <w:sz w:val="24"/>
                <w:szCs w:val="24"/>
                <w:rtl/>
              </w:rPr>
              <w:t>الفصل</w:t>
            </w:r>
            <w:r w:rsidR="00FD69D1" w:rsidRPr="0035223D">
              <w:rPr>
                <w:rStyle w:val="Lienhypertexte"/>
                <w:sz w:val="24"/>
                <w:szCs w:val="24"/>
                <w:rtl/>
              </w:rPr>
              <w:t xml:space="preserve"> 3: </w:t>
            </w:r>
            <w:r w:rsidR="00FD69D1" w:rsidRPr="0035223D">
              <w:rPr>
                <w:rStyle w:val="Lienhypertexte"/>
                <w:rFonts w:hint="eastAsia"/>
                <w:sz w:val="24"/>
                <w:szCs w:val="24"/>
                <w:rtl/>
              </w:rPr>
              <w:t>تطوير</w:t>
            </w:r>
            <w:r w:rsidR="00FD69D1" w:rsidRPr="0035223D">
              <w:rPr>
                <w:rStyle w:val="Lienhypertexte"/>
                <w:sz w:val="24"/>
                <w:szCs w:val="24"/>
                <w:rtl/>
              </w:rPr>
              <w:t xml:space="preserve"> </w:t>
            </w:r>
            <w:r w:rsidR="00FD69D1" w:rsidRPr="0035223D">
              <w:rPr>
                <w:rStyle w:val="Lienhypertexte"/>
                <w:rFonts w:hint="eastAsia"/>
                <w:sz w:val="24"/>
                <w:szCs w:val="24"/>
                <w:rtl/>
              </w:rPr>
              <w:t>اطار</w:t>
            </w:r>
            <w:r w:rsidR="00FD69D1" w:rsidRPr="0035223D">
              <w:rPr>
                <w:rStyle w:val="Lienhypertexte"/>
                <w:sz w:val="24"/>
                <w:szCs w:val="24"/>
                <w:rtl/>
              </w:rPr>
              <w:t xml:space="preserve"> </w:t>
            </w:r>
            <w:r w:rsidR="00FD69D1" w:rsidRPr="0035223D">
              <w:rPr>
                <w:rStyle w:val="Lienhypertexte"/>
                <w:rFonts w:hint="eastAsia"/>
                <w:sz w:val="24"/>
                <w:szCs w:val="24"/>
                <w:rtl/>
              </w:rPr>
              <w:t>عمل</w:t>
            </w:r>
            <w:r w:rsidR="00FD69D1" w:rsidRPr="0035223D">
              <w:rPr>
                <w:rStyle w:val="Lienhypertexte"/>
                <w:sz w:val="24"/>
                <w:szCs w:val="24"/>
                <w:rtl/>
              </w:rPr>
              <w:t xml:space="preserve"> </w:t>
            </w:r>
            <w:r w:rsidR="00FD69D1" w:rsidRPr="0035223D">
              <w:rPr>
                <w:rStyle w:val="Lienhypertexte"/>
                <w:rFonts w:hint="eastAsia"/>
                <w:sz w:val="24"/>
                <w:szCs w:val="24"/>
                <w:rtl/>
              </w:rPr>
              <w:t>لتقييم</w:t>
            </w:r>
            <w:r w:rsidR="00FD69D1" w:rsidRPr="0035223D">
              <w:rPr>
                <w:rStyle w:val="Lienhypertexte"/>
                <w:sz w:val="24"/>
                <w:szCs w:val="24"/>
                <w:rtl/>
              </w:rPr>
              <w:t xml:space="preserve"> </w:t>
            </w:r>
            <w:r w:rsidR="00FD69D1" w:rsidRPr="0035223D">
              <w:rPr>
                <w:rStyle w:val="Lienhypertexte"/>
                <w:rFonts w:hint="eastAsia"/>
                <w:sz w:val="24"/>
                <w:szCs w:val="24"/>
                <w:rtl/>
              </w:rPr>
              <w:t>مستويات</w:t>
            </w:r>
            <w:r w:rsidR="00FD69D1" w:rsidRPr="0035223D">
              <w:rPr>
                <w:rStyle w:val="Lienhypertexte"/>
                <w:sz w:val="24"/>
                <w:szCs w:val="24"/>
                <w:rtl/>
              </w:rPr>
              <w:t xml:space="preserve"> </w:t>
            </w:r>
            <w:r w:rsidR="00FD69D1" w:rsidRPr="0035223D">
              <w:rPr>
                <w:rStyle w:val="Lienhypertexte"/>
                <w:rFonts w:hint="eastAsia"/>
                <w:sz w:val="24"/>
                <w:szCs w:val="24"/>
                <w:rtl/>
              </w:rPr>
              <w:t>المرونة</w:t>
            </w:r>
            <w:r w:rsidR="00FD69D1" w:rsidRPr="0035223D">
              <w:rPr>
                <w:rStyle w:val="Lienhypertexte"/>
                <w:sz w:val="24"/>
                <w:szCs w:val="24"/>
                <w:rtl/>
              </w:rPr>
              <w:t xml:space="preserve"> </w:t>
            </w:r>
            <w:r w:rsidR="00FD69D1" w:rsidRPr="0035223D">
              <w:rPr>
                <w:rStyle w:val="Lienhypertexte"/>
                <w:rFonts w:hint="eastAsia"/>
                <w:sz w:val="24"/>
                <w:szCs w:val="24"/>
                <w:rtl/>
              </w:rPr>
              <w:t>الحضرية</w:t>
            </w:r>
          </w:hyperlink>
        </w:p>
        <w:p w:rsidR="00FD69D1" w:rsidRDefault="00B62F86" w:rsidP="009579D2">
          <w:pPr>
            <w:pStyle w:val="TM1"/>
            <w:rPr>
              <w:rFonts w:asciiTheme="minorHAnsi" w:hAnsiTheme="minorHAnsi" w:cstheme="minorBidi"/>
              <w:color w:val="auto"/>
              <w:lang w:val="fr-FR" w:bidi="ar-SA"/>
            </w:rPr>
          </w:pPr>
          <w:hyperlink w:anchor="_Toc171803544" w:history="1">
            <w:r w:rsidR="00FD69D1" w:rsidRPr="008D22A6">
              <w:rPr>
                <w:rStyle w:val="Lienhypertexte"/>
                <w:rFonts w:hint="eastAsia"/>
                <w:rtl/>
              </w:rPr>
              <w:t>الخريطة</w:t>
            </w:r>
            <w:r w:rsidR="00FD69D1" w:rsidRPr="008D22A6">
              <w:rPr>
                <w:rStyle w:val="Lienhypertexte"/>
                <w:rtl/>
              </w:rPr>
              <w:t xml:space="preserve"> (3-1): </w:t>
            </w:r>
            <w:r w:rsidR="00FD69D1" w:rsidRPr="008D22A6">
              <w:rPr>
                <w:rStyle w:val="Lienhypertexte"/>
                <w:rFonts w:hint="eastAsia"/>
                <w:rtl/>
              </w:rPr>
              <w:t>تصنيف</w:t>
            </w:r>
            <w:r w:rsidR="00FD69D1" w:rsidRPr="008D22A6">
              <w:rPr>
                <w:rStyle w:val="Lienhypertexte"/>
                <w:rtl/>
              </w:rPr>
              <w:t xml:space="preserve"> </w:t>
            </w:r>
            <w:r w:rsidR="00FD69D1" w:rsidRPr="008D22A6">
              <w:rPr>
                <w:rStyle w:val="Lienhypertexte"/>
                <w:rFonts w:hint="eastAsia"/>
                <w:rtl/>
              </w:rPr>
              <w:t>الشوارع</w:t>
            </w:r>
            <w:r w:rsidR="00FD69D1" w:rsidRPr="008D22A6">
              <w:rPr>
                <w:rStyle w:val="Lienhypertexte"/>
                <w:rtl/>
              </w:rPr>
              <w:t xml:space="preserve"> </w:t>
            </w:r>
            <w:r w:rsidR="00FD69D1" w:rsidRPr="008D22A6">
              <w:rPr>
                <w:rStyle w:val="Lienhypertexte"/>
                <w:rFonts w:hint="eastAsia"/>
                <w:rtl/>
              </w:rPr>
              <w:t>الى</w:t>
            </w:r>
            <w:r w:rsidR="00FD69D1" w:rsidRPr="008D22A6">
              <w:rPr>
                <w:rStyle w:val="Lienhypertexte"/>
                <w:rtl/>
              </w:rPr>
              <w:t xml:space="preserve"> </w:t>
            </w:r>
            <w:r w:rsidR="00FD69D1" w:rsidRPr="008D22A6">
              <w:rPr>
                <w:rStyle w:val="Lienhypertexte"/>
                <w:rFonts w:hint="eastAsia"/>
                <w:rtl/>
              </w:rPr>
              <w:t>طرق</w:t>
            </w:r>
            <w:r w:rsidR="00FD69D1" w:rsidRPr="008D22A6">
              <w:rPr>
                <w:rStyle w:val="Lienhypertexte"/>
                <w:rtl/>
              </w:rPr>
              <w:t xml:space="preserve"> </w:t>
            </w:r>
            <w:r w:rsidR="00FD69D1" w:rsidRPr="008D22A6">
              <w:rPr>
                <w:rStyle w:val="Lienhypertexte"/>
                <w:rFonts w:hint="eastAsia"/>
                <w:rtl/>
              </w:rPr>
              <w:t>رئيسية،</w:t>
            </w:r>
            <w:r w:rsidR="00FD69D1" w:rsidRPr="008D22A6">
              <w:rPr>
                <w:rStyle w:val="Lienhypertexte"/>
                <w:rtl/>
              </w:rPr>
              <w:t xml:space="preserve"> </w:t>
            </w:r>
            <w:r w:rsidR="00FD69D1" w:rsidRPr="008D22A6">
              <w:rPr>
                <w:rStyle w:val="Lienhypertexte"/>
                <w:rFonts w:hint="eastAsia"/>
                <w:rtl/>
              </w:rPr>
              <w:t>طرق</w:t>
            </w:r>
            <w:r w:rsidR="00FD69D1" w:rsidRPr="008D22A6">
              <w:rPr>
                <w:rStyle w:val="Lienhypertexte"/>
                <w:rtl/>
              </w:rPr>
              <w:t xml:space="preserve"> </w:t>
            </w:r>
            <w:r w:rsidR="00FD69D1" w:rsidRPr="008D22A6">
              <w:rPr>
                <w:rStyle w:val="Lienhypertexte"/>
                <w:rFonts w:hint="eastAsia"/>
                <w:rtl/>
              </w:rPr>
              <w:t>ثانوية</w:t>
            </w:r>
            <w:r w:rsidR="00FD69D1" w:rsidRPr="008D22A6">
              <w:rPr>
                <w:rStyle w:val="Lienhypertexte"/>
                <w:rtl/>
              </w:rPr>
              <w:t xml:space="preserve"> (</w:t>
            </w:r>
            <w:r w:rsidR="00FD69D1" w:rsidRPr="008D22A6">
              <w:rPr>
                <w:rStyle w:val="Lienhypertexte"/>
                <w:rFonts w:hint="eastAsia"/>
                <w:rtl/>
              </w:rPr>
              <w:t>برنامج</w:t>
            </w:r>
            <w:r w:rsidR="00FD69D1" w:rsidRPr="008D22A6">
              <w:rPr>
                <w:rStyle w:val="Lienhypertexte"/>
                <w:rtl/>
              </w:rPr>
              <w:t xml:space="preserve"> </w:t>
            </w:r>
            <w:r w:rsidR="00FD69D1" w:rsidRPr="008D22A6">
              <w:rPr>
                <w:rStyle w:val="Lienhypertexte"/>
              </w:rPr>
              <w:t xml:space="preserve"> </w:t>
            </w:r>
            <w:r w:rsidR="00FD69D1" w:rsidRPr="008D22A6">
              <w:rPr>
                <w:rStyle w:val="Lienhypertexte"/>
                <w:rFonts w:asciiTheme="majorBidi" w:hAnsiTheme="majorBidi" w:cstheme="majorBidi"/>
              </w:rPr>
              <w:t>ArcGIS 10.3</w:t>
            </w:r>
            <w:r w:rsidR="00FD69D1" w:rsidRPr="008D22A6">
              <w:rPr>
                <w:rStyle w:val="Lienhypertexte"/>
                <w:rFonts w:asciiTheme="majorBidi" w:hAnsiTheme="majorBidi" w:cstheme="majorBidi"/>
                <w:rtl/>
              </w:rPr>
              <w:t>)</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FD69D1">
              <w:rPr>
                <w:webHidden/>
              </w:rPr>
              <w:tab/>
            </w:r>
            <w:r w:rsidR="00FD69D1">
              <w:rPr>
                <w:webHidden/>
              </w:rPr>
              <w:fldChar w:fldCharType="begin"/>
            </w:r>
            <w:r w:rsidR="00FD69D1">
              <w:rPr>
                <w:webHidden/>
              </w:rPr>
              <w:instrText xml:space="preserve"> PAGEREF _Toc171803544 \h </w:instrText>
            </w:r>
            <w:r w:rsidR="00FD69D1">
              <w:rPr>
                <w:webHidden/>
              </w:rPr>
            </w:r>
            <w:r w:rsidR="00FD69D1">
              <w:rPr>
                <w:webHidden/>
              </w:rPr>
              <w:fldChar w:fldCharType="separate"/>
            </w:r>
            <w:r>
              <w:rPr>
                <w:webHidden/>
                <w:rtl/>
                <w:lang w:bidi="ar-SA"/>
              </w:rPr>
              <w:t>102</w:t>
            </w:r>
            <w:r w:rsidR="00FD69D1">
              <w:rPr>
                <w:webHidden/>
              </w:rPr>
              <w:fldChar w:fldCharType="end"/>
            </w:r>
          </w:hyperlink>
        </w:p>
        <w:p w:rsidR="00FD69D1" w:rsidRPr="00A54C33" w:rsidRDefault="00B62F86" w:rsidP="009579D2">
          <w:pPr>
            <w:pStyle w:val="TM1"/>
            <w:rPr>
              <w:color w:val="auto"/>
              <w:sz w:val="24"/>
              <w:szCs w:val="24"/>
              <w:lang w:val="fr-FR" w:bidi="ar-SA"/>
            </w:rPr>
          </w:pPr>
          <w:hyperlink w:anchor="_Toc157616584" w:history="1">
            <w:r w:rsidR="00FD69D1" w:rsidRPr="00A54C33">
              <w:rPr>
                <w:rStyle w:val="Lienhypertexte"/>
                <w:sz w:val="24"/>
                <w:szCs w:val="24"/>
                <w:rtl/>
              </w:rPr>
              <w:t>الجزء الثالث:</w:t>
            </w:r>
            <w:r w:rsidR="00FD69D1" w:rsidRPr="00A54C33">
              <w:rPr>
                <w:webHidden/>
                <w:sz w:val="24"/>
                <w:szCs w:val="24"/>
              </w:rPr>
              <w:t xml:space="preserve"> </w:t>
            </w:r>
          </w:hyperlink>
          <w:hyperlink w:anchor="_Toc157616585" w:history="1">
            <w:r w:rsidR="00FD69D1" w:rsidRPr="00A54C33">
              <w:rPr>
                <w:rStyle w:val="Lienhypertexte"/>
                <w:sz w:val="24"/>
                <w:szCs w:val="24"/>
                <w:rtl/>
              </w:rPr>
              <w:t>الاطار التطبيقي للبحث</w:t>
            </w:r>
            <w:r w:rsidR="00FD69D1" w:rsidRPr="00A54C33">
              <w:rPr>
                <w:webHidden/>
                <w:sz w:val="24"/>
                <w:szCs w:val="24"/>
              </w:rPr>
              <w:t xml:space="preserve"> </w:t>
            </w:r>
          </w:hyperlink>
        </w:p>
        <w:p w:rsidR="00FD69D1" w:rsidRDefault="00B62F86" w:rsidP="009579D2">
          <w:pPr>
            <w:pStyle w:val="TM1"/>
            <w:rPr>
              <w:rFonts w:asciiTheme="minorHAnsi" w:hAnsiTheme="minorHAnsi" w:cstheme="minorBidi"/>
              <w:color w:val="auto"/>
              <w:lang w:val="fr-FR" w:bidi="ar-SA"/>
            </w:rPr>
          </w:pPr>
          <w:hyperlink w:anchor="_Toc171803563" w:history="1">
            <w:r w:rsidR="00FD69D1" w:rsidRPr="008D22A6">
              <w:rPr>
                <w:rStyle w:val="Lienhypertexte"/>
                <w:rFonts w:hint="eastAsia"/>
                <w:rtl/>
              </w:rPr>
              <w:t>الفصل</w:t>
            </w:r>
            <w:r w:rsidR="00FD69D1" w:rsidRPr="008D22A6">
              <w:rPr>
                <w:rStyle w:val="Lienhypertexte"/>
                <w:rtl/>
              </w:rPr>
              <w:t xml:space="preserve"> 4: </w:t>
            </w:r>
            <w:r w:rsidR="00FD69D1" w:rsidRPr="008D22A6">
              <w:rPr>
                <w:rStyle w:val="Lienhypertexte"/>
                <w:rFonts w:hint="eastAsia"/>
                <w:rtl/>
              </w:rPr>
              <w:t>علاقة</w:t>
            </w:r>
            <w:r w:rsidR="00FD69D1" w:rsidRPr="008D22A6">
              <w:rPr>
                <w:rStyle w:val="Lienhypertexte"/>
                <w:rtl/>
              </w:rPr>
              <w:t xml:space="preserve"> </w:t>
            </w:r>
            <w:r w:rsidR="00FD69D1" w:rsidRPr="008D22A6">
              <w:rPr>
                <w:rStyle w:val="Lienhypertexte"/>
                <w:rFonts w:hint="eastAsia"/>
                <w:rtl/>
              </w:rPr>
              <w:t>استعمالات</w:t>
            </w:r>
            <w:r w:rsidR="00FD69D1" w:rsidRPr="008D22A6">
              <w:rPr>
                <w:rStyle w:val="Lienhypertexte"/>
                <w:rtl/>
              </w:rPr>
              <w:t xml:space="preserve"> </w:t>
            </w:r>
            <w:r w:rsidR="00FD69D1" w:rsidRPr="008D22A6">
              <w:rPr>
                <w:rStyle w:val="Lienhypertexte"/>
                <w:rFonts w:hint="eastAsia"/>
                <w:rtl/>
              </w:rPr>
              <w:t>الاراضي</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مع</w:t>
            </w:r>
            <w:r w:rsidR="00FD69D1" w:rsidRPr="008D22A6">
              <w:rPr>
                <w:rStyle w:val="Lienhypertexte"/>
                <w:rtl/>
              </w:rPr>
              <w:t xml:space="preserve"> </w:t>
            </w:r>
            <w:r w:rsidR="00FD69D1" w:rsidRPr="008D22A6">
              <w:rPr>
                <w:rStyle w:val="Lienhypertexte"/>
                <w:rFonts w:hint="eastAsia"/>
                <w:rtl/>
              </w:rPr>
              <w:t>تكوين</w:t>
            </w:r>
            <w:r w:rsidR="00FD69D1" w:rsidRPr="008D22A6">
              <w:rPr>
                <w:rStyle w:val="Lienhypertexte"/>
                <w:rtl/>
              </w:rPr>
              <w:t xml:space="preserve"> </w:t>
            </w:r>
            <w:r w:rsidR="00FD69D1" w:rsidRPr="008D22A6">
              <w:rPr>
                <w:rStyle w:val="Lienhypertexte"/>
                <w:rFonts w:hint="eastAsia"/>
                <w:rtl/>
              </w:rPr>
              <w:t>المرونة</w:t>
            </w:r>
            <w:r w:rsidR="00FD69D1" w:rsidRPr="008D22A6">
              <w:rPr>
                <w:rStyle w:val="Lienhypertexte"/>
                <w:rtl/>
              </w:rPr>
              <w:t xml:space="preserve"> </w:t>
            </w:r>
            <w:r w:rsidR="00FD69D1" w:rsidRPr="008D22A6">
              <w:rPr>
                <w:rStyle w:val="Lienhypertexte"/>
                <w:rFonts w:hint="eastAsia"/>
                <w:rtl/>
              </w:rPr>
              <w:t>المكانية</w:t>
            </w:r>
          </w:hyperlink>
        </w:p>
        <w:p w:rsidR="00FD69D1" w:rsidRDefault="00B62F86" w:rsidP="009579D2">
          <w:pPr>
            <w:pStyle w:val="TM1"/>
            <w:rPr>
              <w:rFonts w:asciiTheme="minorHAnsi" w:hAnsiTheme="minorHAnsi" w:cstheme="minorBidi"/>
              <w:color w:val="auto"/>
              <w:lang w:val="fr-FR" w:bidi="ar-SA"/>
            </w:rPr>
          </w:pPr>
          <w:hyperlink w:anchor="_Toc171803568" w:history="1">
            <w:r w:rsidR="00FD69D1" w:rsidRPr="008D22A6">
              <w:rPr>
                <w:rStyle w:val="Lienhypertexte"/>
                <w:rFonts w:hint="eastAsia"/>
                <w:rtl/>
              </w:rPr>
              <w:t>الخريطة</w:t>
            </w:r>
            <w:r w:rsidR="00FD69D1" w:rsidRPr="008D22A6">
              <w:rPr>
                <w:rStyle w:val="Lienhypertexte"/>
                <w:rtl/>
              </w:rPr>
              <w:t xml:space="preserve"> (4-1): </w:t>
            </w:r>
            <w:r w:rsidR="00FD69D1" w:rsidRPr="008D22A6">
              <w:rPr>
                <w:rStyle w:val="Lienhypertexte"/>
                <w:rFonts w:hint="eastAsia"/>
                <w:rtl/>
              </w:rPr>
              <w:t>الموقع</w:t>
            </w:r>
            <w:r w:rsidR="00FD69D1" w:rsidRPr="008D22A6">
              <w:rPr>
                <w:rStyle w:val="Lienhypertexte"/>
                <w:rtl/>
              </w:rPr>
              <w:t xml:space="preserve"> </w:t>
            </w:r>
            <w:r w:rsidR="00FD69D1" w:rsidRPr="008D22A6">
              <w:rPr>
                <w:rStyle w:val="Lienhypertexte"/>
                <w:rFonts w:hint="eastAsia"/>
                <w:rtl/>
              </w:rPr>
              <w:t>والحدود</w:t>
            </w:r>
            <w:r w:rsidR="00FD69D1" w:rsidRPr="008D22A6">
              <w:rPr>
                <w:rStyle w:val="Lienhypertexte"/>
                <w:rtl/>
              </w:rPr>
              <w:t xml:space="preserve"> </w:t>
            </w:r>
            <w:r w:rsidR="00FD69D1" w:rsidRPr="008D22A6">
              <w:rPr>
                <w:rStyle w:val="Lienhypertexte"/>
                <w:rFonts w:hint="eastAsia"/>
                <w:rtl/>
              </w:rPr>
              <w:t>الادارية</w:t>
            </w:r>
            <w:r w:rsidR="00FD69D1" w:rsidRPr="008D22A6">
              <w:rPr>
                <w:rStyle w:val="Lienhypertexte"/>
                <w:rtl/>
              </w:rPr>
              <w:t xml:space="preserve"> </w:t>
            </w:r>
            <w:r w:rsidR="00FD69D1" w:rsidRPr="008D22A6">
              <w:rPr>
                <w:rStyle w:val="Lienhypertexte"/>
                <w:rFonts w:hint="eastAsia"/>
                <w:rtl/>
              </w:rPr>
              <w:t>لبلدية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_Toc171803568 \h </w:instrText>
            </w:r>
            <w:r w:rsidR="00FD69D1">
              <w:rPr>
                <w:webHidden/>
              </w:rPr>
            </w:r>
            <w:r w:rsidR="00FD69D1">
              <w:rPr>
                <w:webHidden/>
              </w:rPr>
              <w:fldChar w:fldCharType="separate"/>
            </w:r>
            <w:r>
              <w:rPr>
                <w:webHidden/>
                <w:rtl/>
                <w:lang w:bidi="ar-SA"/>
              </w:rPr>
              <w:t>112</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570" w:history="1">
            <w:r w:rsidR="00FD69D1" w:rsidRPr="008D22A6">
              <w:rPr>
                <w:rStyle w:val="Lienhypertexte"/>
                <w:rFonts w:hint="eastAsia"/>
                <w:rtl/>
              </w:rPr>
              <w:t>الخريطة</w:t>
            </w:r>
            <w:r w:rsidR="00FD69D1" w:rsidRPr="008D22A6">
              <w:rPr>
                <w:rStyle w:val="Lienhypertexte"/>
                <w:rtl/>
              </w:rPr>
              <w:t xml:space="preserve"> (4-2): </w:t>
            </w:r>
            <w:r w:rsidR="00FD69D1" w:rsidRPr="008D22A6">
              <w:rPr>
                <w:rStyle w:val="Lienhypertexte"/>
                <w:rFonts w:hint="eastAsia"/>
                <w:rtl/>
              </w:rPr>
              <w:t>خصائص</w:t>
            </w:r>
            <w:r w:rsidR="00FD69D1" w:rsidRPr="008D22A6">
              <w:rPr>
                <w:rStyle w:val="Lienhypertexte"/>
                <w:rtl/>
              </w:rPr>
              <w:t xml:space="preserve"> </w:t>
            </w:r>
            <w:r w:rsidR="00FD69D1" w:rsidRPr="008D22A6">
              <w:rPr>
                <w:rStyle w:val="Lienhypertexte"/>
                <w:rFonts w:hint="eastAsia"/>
                <w:rtl/>
              </w:rPr>
              <w:t>الموضع</w:t>
            </w:r>
            <w:r w:rsidR="00FD69D1" w:rsidRPr="008D22A6">
              <w:rPr>
                <w:rStyle w:val="Lienhypertexte"/>
                <w:rtl/>
              </w:rPr>
              <w:t xml:space="preserve"> </w:t>
            </w:r>
            <w:r w:rsidR="00FD69D1" w:rsidRPr="008D22A6">
              <w:rPr>
                <w:rStyle w:val="Lienhypertexte"/>
                <w:rFonts w:hint="eastAsia"/>
                <w:rtl/>
              </w:rPr>
              <w:t>لمدينة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_Toc171803570 \h </w:instrText>
            </w:r>
            <w:r w:rsidR="00FD69D1">
              <w:rPr>
                <w:webHidden/>
              </w:rPr>
            </w:r>
            <w:r w:rsidR="00FD69D1">
              <w:rPr>
                <w:webHidden/>
              </w:rPr>
              <w:fldChar w:fldCharType="separate"/>
            </w:r>
            <w:r>
              <w:rPr>
                <w:webHidden/>
                <w:rtl/>
                <w:lang w:bidi="ar-SA"/>
              </w:rPr>
              <w:t>113</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574" w:history="1">
            <w:r w:rsidR="00FD69D1" w:rsidRPr="008D22A6">
              <w:rPr>
                <w:rStyle w:val="Lienhypertexte"/>
                <w:rFonts w:hint="eastAsia"/>
                <w:rtl/>
              </w:rPr>
              <w:t>الخريطة</w:t>
            </w:r>
            <w:r w:rsidR="00FD69D1" w:rsidRPr="008D22A6">
              <w:rPr>
                <w:rStyle w:val="Lienhypertexte"/>
                <w:rtl/>
              </w:rPr>
              <w:t xml:space="preserve"> (4-3): </w:t>
            </w:r>
            <w:r w:rsidR="00FD69D1" w:rsidRPr="008D22A6">
              <w:rPr>
                <w:rStyle w:val="Lienhypertexte"/>
                <w:rFonts w:hint="eastAsia"/>
                <w:rtl/>
              </w:rPr>
              <w:t>مقياس</w:t>
            </w:r>
            <w:r w:rsidR="00FD69D1" w:rsidRPr="008D22A6">
              <w:rPr>
                <w:rStyle w:val="Lienhypertexte"/>
                <w:rtl/>
              </w:rPr>
              <w:t xml:space="preserve"> </w:t>
            </w:r>
            <w:r w:rsidR="00FD69D1" w:rsidRPr="008D22A6">
              <w:rPr>
                <w:rStyle w:val="Lienhypertexte"/>
                <w:rFonts w:hint="eastAsia"/>
                <w:rtl/>
              </w:rPr>
              <w:t>الارتفاع</w:t>
            </w:r>
            <w:r w:rsidR="00FD69D1" w:rsidRPr="008D22A6">
              <w:rPr>
                <w:rStyle w:val="Lienhypertexte"/>
                <w:rtl/>
              </w:rPr>
              <w:t xml:space="preserve"> </w:t>
            </w:r>
            <w:r w:rsidR="00FD69D1" w:rsidRPr="008D22A6">
              <w:rPr>
                <w:rStyle w:val="Lienhypertexte"/>
                <w:rFonts w:hint="eastAsia"/>
                <w:rtl/>
              </w:rPr>
              <w:t>لمحيط</w:t>
            </w:r>
            <w:r w:rsidR="00FD69D1" w:rsidRPr="008D22A6">
              <w:rPr>
                <w:rStyle w:val="Lienhypertexte"/>
                <w:rtl/>
              </w:rPr>
              <w:t xml:space="preserve"> </w:t>
            </w:r>
            <w:r w:rsidR="00FD69D1" w:rsidRPr="008D22A6">
              <w:rPr>
                <w:rStyle w:val="Lienhypertexte"/>
                <w:rFonts w:hint="eastAsia"/>
                <w:rtl/>
              </w:rPr>
              <w:t>مدينة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_Toc171803574 \h </w:instrText>
            </w:r>
            <w:r w:rsidR="00FD69D1">
              <w:rPr>
                <w:webHidden/>
              </w:rPr>
            </w:r>
            <w:r w:rsidR="00FD69D1">
              <w:rPr>
                <w:webHidden/>
              </w:rPr>
              <w:fldChar w:fldCharType="separate"/>
            </w:r>
            <w:r>
              <w:rPr>
                <w:webHidden/>
                <w:rtl/>
                <w:lang w:bidi="ar-SA"/>
              </w:rPr>
              <w:t>114</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577" w:history="1">
            <w:r w:rsidR="00FD69D1" w:rsidRPr="008D22A6">
              <w:rPr>
                <w:rStyle w:val="Lienhypertexte"/>
                <w:rFonts w:hint="eastAsia"/>
                <w:rtl/>
              </w:rPr>
              <w:t>الخريطة</w:t>
            </w:r>
            <w:r w:rsidR="00FD69D1" w:rsidRPr="008D22A6">
              <w:rPr>
                <w:rStyle w:val="Lienhypertexte"/>
                <w:rtl/>
              </w:rPr>
              <w:t xml:space="preserve"> (4-4): </w:t>
            </w:r>
            <w:r w:rsidR="00FD69D1" w:rsidRPr="008D22A6">
              <w:rPr>
                <w:rStyle w:val="Lienhypertexte"/>
                <w:rFonts w:hint="eastAsia"/>
                <w:rtl/>
              </w:rPr>
              <w:t>جيولوجيا</w:t>
            </w:r>
            <w:r w:rsidR="00FD69D1" w:rsidRPr="008D22A6">
              <w:rPr>
                <w:rStyle w:val="Lienhypertexte"/>
                <w:rtl/>
              </w:rPr>
              <w:t xml:space="preserve"> </w:t>
            </w:r>
            <w:r w:rsidR="00FD69D1" w:rsidRPr="008D22A6">
              <w:rPr>
                <w:rStyle w:val="Lienhypertexte"/>
                <w:rFonts w:hint="eastAsia"/>
                <w:rtl/>
              </w:rPr>
              <w:t>منطقة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_Toc171803577 \h </w:instrText>
            </w:r>
            <w:r w:rsidR="00FD69D1">
              <w:rPr>
                <w:webHidden/>
              </w:rPr>
            </w:r>
            <w:r w:rsidR="00FD69D1">
              <w:rPr>
                <w:webHidden/>
              </w:rPr>
              <w:fldChar w:fldCharType="separate"/>
            </w:r>
            <w:r>
              <w:rPr>
                <w:webHidden/>
                <w:rtl/>
                <w:lang w:bidi="ar-SA"/>
              </w:rPr>
              <w:t>115</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579" w:history="1">
            <w:r w:rsidR="00FD69D1" w:rsidRPr="008D22A6">
              <w:rPr>
                <w:rStyle w:val="Lienhypertexte"/>
                <w:rFonts w:hint="eastAsia"/>
                <w:rtl/>
              </w:rPr>
              <w:t>الخريطة</w:t>
            </w:r>
            <w:r w:rsidR="00FD69D1" w:rsidRPr="008D22A6">
              <w:rPr>
                <w:rStyle w:val="Lienhypertexte"/>
                <w:rtl/>
              </w:rPr>
              <w:t xml:space="preserve"> (4-5): </w:t>
            </w:r>
            <w:r w:rsidR="00FD69D1" w:rsidRPr="008D22A6">
              <w:rPr>
                <w:rStyle w:val="Lienhypertexte"/>
                <w:rFonts w:hint="eastAsia"/>
                <w:rtl/>
              </w:rPr>
              <w:t>الشبكة</w:t>
            </w:r>
            <w:r w:rsidR="00FD69D1" w:rsidRPr="008D22A6">
              <w:rPr>
                <w:rStyle w:val="Lienhypertexte"/>
                <w:rtl/>
              </w:rPr>
              <w:t xml:space="preserve"> </w:t>
            </w:r>
            <w:r w:rsidR="00FD69D1" w:rsidRPr="008D22A6">
              <w:rPr>
                <w:rStyle w:val="Lienhypertexte"/>
                <w:rFonts w:hint="eastAsia"/>
                <w:rtl/>
              </w:rPr>
              <w:t>الهيدروغرافية</w:t>
            </w:r>
            <w:r w:rsidR="00FD69D1" w:rsidRPr="008D22A6">
              <w:rPr>
                <w:rStyle w:val="Lienhypertexte"/>
                <w:rtl/>
              </w:rPr>
              <w:t xml:space="preserve"> </w:t>
            </w:r>
            <w:r w:rsidR="00FD69D1" w:rsidRPr="008D22A6">
              <w:rPr>
                <w:rStyle w:val="Lienhypertexte"/>
                <w:rFonts w:hint="eastAsia"/>
                <w:rtl/>
              </w:rPr>
              <w:t>التي</w:t>
            </w:r>
            <w:r w:rsidR="00FD69D1" w:rsidRPr="008D22A6">
              <w:rPr>
                <w:rStyle w:val="Lienhypertexte"/>
                <w:rtl/>
              </w:rPr>
              <w:t xml:space="preserve"> </w:t>
            </w:r>
            <w:r w:rsidR="00FD69D1" w:rsidRPr="008D22A6">
              <w:rPr>
                <w:rStyle w:val="Lienhypertexte"/>
                <w:rFonts w:hint="eastAsia"/>
                <w:rtl/>
              </w:rPr>
              <w:t>تمر</w:t>
            </w:r>
            <w:r w:rsidR="00FD69D1" w:rsidRPr="008D22A6">
              <w:rPr>
                <w:rStyle w:val="Lienhypertexte"/>
                <w:rtl/>
              </w:rPr>
              <w:t xml:space="preserve"> </w:t>
            </w:r>
            <w:r w:rsidR="00FD69D1" w:rsidRPr="008D22A6">
              <w:rPr>
                <w:rStyle w:val="Lienhypertexte"/>
                <w:rFonts w:hint="eastAsia"/>
                <w:rtl/>
              </w:rPr>
              <w:t>عبر</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لمدينة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_Toc171803579 \h </w:instrText>
            </w:r>
            <w:r w:rsidR="00FD69D1">
              <w:rPr>
                <w:webHidden/>
              </w:rPr>
            </w:r>
            <w:r w:rsidR="00FD69D1">
              <w:rPr>
                <w:webHidden/>
              </w:rPr>
              <w:fldChar w:fldCharType="separate"/>
            </w:r>
            <w:r>
              <w:rPr>
                <w:webHidden/>
                <w:rtl/>
                <w:lang w:bidi="ar-SA"/>
              </w:rPr>
              <w:t>116</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593" w:history="1">
            <w:r w:rsidR="00FD69D1" w:rsidRPr="008D22A6">
              <w:rPr>
                <w:rStyle w:val="Lienhypertexte"/>
                <w:rFonts w:hint="eastAsia"/>
                <w:rtl/>
              </w:rPr>
              <w:t>الخريطة</w:t>
            </w:r>
            <w:r w:rsidR="00FD69D1" w:rsidRPr="008D22A6">
              <w:rPr>
                <w:rStyle w:val="Lienhypertexte"/>
                <w:rtl/>
              </w:rPr>
              <w:t xml:space="preserve"> (4-6): </w:t>
            </w:r>
            <w:r w:rsidR="00FD69D1" w:rsidRPr="008D22A6">
              <w:rPr>
                <w:rStyle w:val="Lienhypertexte"/>
                <w:rFonts w:hint="eastAsia"/>
                <w:rtl/>
              </w:rPr>
              <w:t>الكثافة</w:t>
            </w:r>
            <w:r w:rsidR="00FD69D1" w:rsidRPr="008D22A6">
              <w:rPr>
                <w:rStyle w:val="Lienhypertexte"/>
                <w:rtl/>
              </w:rPr>
              <w:t xml:space="preserve"> </w:t>
            </w:r>
            <w:r w:rsidR="00FD69D1" w:rsidRPr="008D22A6">
              <w:rPr>
                <w:rStyle w:val="Lienhypertexte"/>
                <w:rFonts w:hint="eastAsia"/>
                <w:rtl/>
              </w:rPr>
              <w:t>السكنية</w:t>
            </w:r>
            <w:r w:rsidR="00FD69D1" w:rsidRPr="008D22A6">
              <w:rPr>
                <w:rStyle w:val="Lienhypertexte"/>
                <w:rtl/>
              </w:rPr>
              <w:t xml:space="preserve"> </w:t>
            </w:r>
            <w:r w:rsidR="00FD69D1" w:rsidRPr="008D22A6">
              <w:rPr>
                <w:rStyle w:val="Lienhypertexte"/>
                <w:rFonts w:hint="eastAsia"/>
                <w:rtl/>
              </w:rPr>
              <w:t>لأحياء</w:t>
            </w:r>
            <w:r w:rsidR="00FD69D1" w:rsidRPr="008D22A6">
              <w:rPr>
                <w:rStyle w:val="Lienhypertexte"/>
                <w:rtl/>
              </w:rPr>
              <w:t xml:space="preserve"> </w:t>
            </w:r>
            <w:r w:rsidR="00FD69D1" w:rsidRPr="008D22A6">
              <w:rPr>
                <w:rStyle w:val="Lienhypertexte"/>
                <w:rFonts w:hint="eastAsia"/>
                <w:rtl/>
              </w:rPr>
              <w:t>مدينة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_Toc171803593 \h </w:instrText>
            </w:r>
            <w:r w:rsidR="00FD69D1">
              <w:rPr>
                <w:webHidden/>
              </w:rPr>
            </w:r>
            <w:r w:rsidR="00FD69D1">
              <w:rPr>
                <w:webHidden/>
              </w:rPr>
              <w:fldChar w:fldCharType="separate"/>
            </w:r>
            <w:r>
              <w:rPr>
                <w:webHidden/>
                <w:rtl/>
                <w:lang w:bidi="ar-SA"/>
              </w:rPr>
              <w:t>121</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597" w:history="1">
            <w:r w:rsidR="00FD69D1" w:rsidRPr="008D22A6">
              <w:rPr>
                <w:rStyle w:val="Lienhypertexte"/>
                <w:rFonts w:hint="eastAsia"/>
                <w:rtl/>
              </w:rPr>
              <w:t>الخريطة</w:t>
            </w:r>
            <w:r w:rsidR="00FD69D1" w:rsidRPr="008D22A6">
              <w:rPr>
                <w:rStyle w:val="Lienhypertexte"/>
                <w:rtl/>
              </w:rPr>
              <w:t xml:space="preserve"> (4-7): </w:t>
            </w:r>
            <w:r w:rsidR="00FD69D1" w:rsidRPr="008D22A6">
              <w:rPr>
                <w:rStyle w:val="Lienhypertexte"/>
                <w:rFonts w:hint="eastAsia"/>
                <w:rtl/>
              </w:rPr>
              <w:t>الكثافة</w:t>
            </w:r>
            <w:r w:rsidR="00FD69D1" w:rsidRPr="008D22A6">
              <w:rPr>
                <w:rStyle w:val="Lienhypertexte"/>
                <w:rtl/>
              </w:rPr>
              <w:t xml:space="preserve"> </w:t>
            </w:r>
            <w:r w:rsidR="00FD69D1" w:rsidRPr="008D22A6">
              <w:rPr>
                <w:rStyle w:val="Lienhypertexte"/>
                <w:rFonts w:hint="eastAsia"/>
                <w:rtl/>
              </w:rPr>
              <w:t>السكانية</w:t>
            </w:r>
            <w:r w:rsidR="00FD69D1" w:rsidRPr="008D22A6">
              <w:rPr>
                <w:rStyle w:val="Lienhypertexte"/>
                <w:rtl/>
              </w:rPr>
              <w:t xml:space="preserve"> </w:t>
            </w:r>
            <w:r w:rsidR="00FD69D1" w:rsidRPr="008D22A6">
              <w:rPr>
                <w:rStyle w:val="Lienhypertexte"/>
                <w:rFonts w:hint="eastAsia"/>
                <w:rtl/>
              </w:rPr>
              <w:t>لأحياء</w:t>
            </w:r>
            <w:r w:rsidR="00FD69D1" w:rsidRPr="008D22A6">
              <w:rPr>
                <w:rStyle w:val="Lienhypertexte"/>
                <w:rtl/>
              </w:rPr>
              <w:t xml:space="preserve"> </w:t>
            </w:r>
            <w:r w:rsidR="00FD69D1" w:rsidRPr="008D22A6">
              <w:rPr>
                <w:rStyle w:val="Lienhypertexte"/>
                <w:rFonts w:hint="eastAsia"/>
                <w:rtl/>
              </w:rPr>
              <w:t>مدينة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_Toc171803597 \h </w:instrText>
            </w:r>
            <w:r w:rsidR="00FD69D1">
              <w:rPr>
                <w:webHidden/>
              </w:rPr>
            </w:r>
            <w:r w:rsidR="00FD69D1">
              <w:rPr>
                <w:webHidden/>
              </w:rPr>
              <w:fldChar w:fldCharType="separate"/>
            </w:r>
            <w:r>
              <w:rPr>
                <w:webHidden/>
                <w:rtl/>
                <w:lang w:bidi="ar-SA"/>
              </w:rPr>
              <w:t>123</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605" w:history="1">
            <w:r w:rsidR="00FD69D1" w:rsidRPr="008D22A6">
              <w:rPr>
                <w:rStyle w:val="Lienhypertexte"/>
                <w:rFonts w:hint="eastAsia"/>
                <w:rtl/>
              </w:rPr>
              <w:t>الخريطة</w:t>
            </w:r>
            <w:r w:rsidR="00FD69D1" w:rsidRPr="008D22A6">
              <w:rPr>
                <w:rStyle w:val="Lienhypertexte"/>
                <w:rtl/>
              </w:rPr>
              <w:t xml:space="preserve"> (4-8): </w:t>
            </w:r>
            <w:r w:rsidR="00FD69D1" w:rsidRPr="008D22A6">
              <w:rPr>
                <w:rStyle w:val="Lienhypertexte"/>
                <w:rFonts w:hint="eastAsia"/>
                <w:rtl/>
              </w:rPr>
              <w:t>شبكة</w:t>
            </w:r>
            <w:r w:rsidR="00FD69D1" w:rsidRPr="008D22A6">
              <w:rPr>
                <w:rStyle w:val="Lienhypertexte"/>
                <w:rtl/>
              </w:rPr>
              <w:t xml:space="preserve"> </w:t>
            </w:r>
            <w:r w:rsidR="00FD69D1" w:rsidRPr="008D22A6">
              <w:rPr>
                <w:rStyle w:val="Lienhypertexte"/>
                <w:rFonts w:hint="eastAsia"/>
                <w:rtl/>
              </w:rPr>
              <w:t>الطرق</w:t>
            </w:r>
            <w:r w:rsidR="00FD69D1" w:rsidRPr="008D22A6">
              <w:rPr>
                <w:rStyle w:val="Lienhypertexte"/>
                <w:rtl/>
              </w:rPr>
              <w:t xml:space="preserve"> </w:t>
            </w:r>
            <w:r w:rsidR="00FD69D1" w:rsidRPr="008D22A6">
              <w:rPr>
                <w:rStyle w:val="Lienhypertexte"/>
                <w:rFonts w:hint="eastAsia"/>
                <w:rtl/>
              </w:rPr>
              <w:t>الرئيسية</w:t>
            </w:r>
            <w:r w:rsidR="00FD69D1" w:rsidRPr="008D22A6">
              <w:rPr>
                <w:rStyle w:val="Lienhypertexte"/>
                <w:rtl/>
              </w:rPr>
              <w:t xml:space="preserve"> </w:t>
            </w:r>
            <w:r w:rsidR="00FD69D1" w:rsidRPr="008D22A6">
              <w:rPr>
                <w:rStyle w:val="Lienhypertexte"/>
                <w:rFonts w:hint="eastAsia"/>
                <w:rtl/>
              </w:rPr>
              <w:t>والثانوية</w:t>
            </w:r>
            <w:r w:rsidR="00FD69D1" w:rsidRPr="008D22A6">
              <w:rPr>
                <w:rStyle w:val="Lienhypertexte"/>
                <w:rtl/>
              </w:rPr>
              <w:t xml:space="preserve"> </w:t>
            </w:r>
            <w:r w:rsidR="00FD69D1" w:rsidRPr="008D22A6">
              <w:rPr>
                <w:rStyle w:val="Lienhypertexte"/>
                <w:rFonts w:hint="eastAsia"/>
                <w:rtl/>
              </w:rPr>
              <w:t>والداخلية</w:t>
            </w:r>
            <w:r w:rsidR="00FD69D1" w:rsidRPr="008D22A6">
              <w:rPr>
                <w:rStyle w:val="Lienhypertexte"/>
                <w:rtl/>
              </w:rPr>
              <w:t xml:space="preserve"> </w:t>
            </w:r>
            <w:r w:rsidR="00FD69D1" w:rsidRPr="008D22A6">
              <w:rPr>
                <w:rStyle w:val="Lienhypertexte"/>
                <w:rFonts w:hint="eastAsia"/>
                <w:rtl/>
              </w:rPr>
              <w:t>عبر</w:t>
            </w:r>
            <w:r w:rsidR="00FD69D1" w:rsidRPr="008D22A6">
              <w:rPr>
                <w:rStyle w:val="Lienhypertexte"/>
                <w:rtl/>
              </w:rPr>
              <w:t xml:space="preserve"> </w:t>
            </w:r>
            <w:r w:rsidR="00FD69D1" w:rsidRPr="008D22A6">
              <w:rPr>
                <w:rStyle w:val="Lienhypertexte"/>
                <w:rFonts w:hint="eastAsia"/>
                <w:rtl/>
              </w:rPr>
              <w:t>احياء</w:t>
            </w:r>
            <w:r w:rsidR="00FD69D1" w:rsidRPr="008D22A6">
              <w:rPr>
                <w:rStyle w:val="Lienhypertexte"/>
                <w:rtl/>
              </w:rPr>
              <w:t xml:space="preserve"> </w:t>
            </w:r>
            <w:r w:rsidR="00FD69D1" w:rsidRPr="008D22A6">
              <w:rPr>
                <w:rStyle w:val="Lienhypertexte"/>
                <w:rFonts w:hint="eastAsia"/>
                <w:rtl/>
              </w:rPr>
              <w:t>مدينة</w:t>
            </w:r>
            <w:r w:rsidR="00FD69D1" w:rsidRPr="008D22A6">
              <w:rPr>
                <w:rStyle w:val="Lienhypertexte"/>
                <w:rtl/>
              </w:rPr>
              <w:t xml:space="preserve"> </w:t>
            </w:r>
            <w:r w:rsidR="00FD69D1" w:rsidRPr="008D22A6">
              <w:rPr>
                <w:rStyle w:val="Lienhypertexte"/>
                <w:rFonts w:hint="eastAsia"/>
                <w:rtl/>
              </w:rPr>
              <w:t>بوسعادة</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_Toc171803605 \h </w:instrText>
            </w:r>
            <w:r w:rsidR="00FD69D1">
              <w:rPr>
                <w:webHidden/>
              </w:rPr>
            </w:r>
            <w:r w:rsidR="00FD69D1">
              <w:rPr>
                <w:webHidden/>
              </w:rPr>
              <w:fldChar w:fldCharType="separate"/>
            </w:r>
            <w:r>
              <w:rPr>
                <w:webHidden/>
                <w:rtl/>
                <w:lang w:bidi="ar-SA"/>
              </w:rPr>
              <w:t>126</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r:id="rId19" w:anchor="_Toc171803615" w:history="1">
            <w:r w:rsidR="00FD69D1" w:rsidRPr="008D22A6">
              <w:rPr>
                <w:rStyle w:val="Lienhypertexte"/>
                <w:rFonts w:hint="eastAsia"/>
                <w:rtl/>
              </w:rPr>
              <w:t>الخريطة</w:t>
            </w:r>
            <w:r w:rsidR="00FD69D1" w:rsidRPr="008D22A6">
              <w:rPr>
                <w:rStyle w:val="Lienhypertexte"/>
                <w:rtl/>
              </w:rPr>
              <w:t xml:space="preserve"> (4-9): </w:t>
            </w:r>
            <w:r w:rsidR="00FD69D1" w:rsidRPr="008D22A6">
              <w:rPr>
                <w:rStyle w:val="Lienhypertexte"/>
                <w:rFonts w:hint="eastAsia"/>
                <w:rtl/>
              </w:rPr>
              <w:t>تطور</w:t>
            </w:r>
            <w:r w:rsidR="00FD69D1" w:rsidRPr="008D22A6">
              <w:rPr>
                <w:rStyle w:val="Lienhypertexte"/>
                <w:rtl/>
              </w:rPr>
              <w:t xml:space="preserve"> </w:t>
            </w:r>
            <w:r w:rsidR="00FD69D1" w:rsidRPr="008D22A6">
              <w:rPr>
                <w:rStyle w:val="Lienhypertexte"/>
                <w:rFonts w:hint="eastAsia"/>
                <w:rtl/>
              </w:rPr>
              <w:t>التمدد</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لمدينة</w:t>
            </w:r>
            <w:r w:rsidR="00FD69D1" w:rsidRPr="008D22A6">
              <w:rPr>
                <w:rStyle w:val="Lienhypertexte"/>
                <w:rtl/>
              </w:rPr>
              <w:t xml:space="preserve"> </w:t>
            </w:r>
            <w:r w:rsidR="00FD69D1" w:rsidRPr="008D22A6">
              <w:rPr>
                <w:rStyle w:val="Lienhypertexte"/>
                <w:rFonts w:hint="eastAsia"/>
                <w:rtl/>
              </w:rPr>
              <w:t>بوسعادة</w:t>
            </w:r>
            <w:r w:rsidR="00FD69D1" w:rsidRPr="008D22A6">
              <w:rPr>
                <w:rStyle w:val="Lienhypertexte"/>
                <w:rtl/>
              </w:rPr>
              <w:t xml:space="preserve"> </w:t>
            </w:r>
            <w:r w:rsidR="00FD69D1" w:rsidRPr="008D22A6">
              <w:rPr>
                <w:rStyle w:val="Lienhypertexte"/>
                <w:rFonts w:hint="eastAsia"/>
                <w:rtl/>
              </w:rPr>
              <w:t>الى</w:t>
            </w:r>
            <w:r w:rsidR="00FD69D1" w:rsidRPr="008D22A6">
              <w:rPr>
                <w:rStyle w:val="Lienhypertexte"/>
                <w:rtl/>
              </w:rPr>
              <w:t xml:space="preserve"> </w:t>
            </w:r>
            <w:r w:rsidR="00FD69D1" w:rsidRPr="008D22A6">
              <w:rPr>
                <w:rStyle w:val="Lienhypertexte"/>
                <w:rFonts w:hint="eastAsia"/>
                <w:rtl/>
              </w:rPr>
              <w:t>غاية</w:t>
            </w:r>
            <w:r w:rsidR="00FD69D1" w:rsidRPr="008D22A6">
              <w:rPr>
                <w:rStyle w:val="Lienhypertexte"/>
                <w:rtl/>
              </w:rPr>
              <w:t xml:space="preserve"> </w:t>
            </w:r>
            <w:r w:rsidR="00FD69D1" w:rsidRPr="008D22A6">
              <w:rPr>
                <w:rStyle w:val="Lienhypertexte"/>
                <w:rFonts w:hint="eastAsia"/>
                <w:rtl/>
              </w:rPr>
              <w:t>سنة</w:t>
            </w:r>
            <w:r w:rsidR="00FD69D1" w:rsidRPr="008D22A6">
              <w:rPr>
                <w:rStyle w:val="Lienhypertexte"/>
                <w:rtl/>
              </w:rPr>
              <w:t xml:space="preserve"> 1942</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_Toc171803615 \h </w:instrText>
            </w:r>
            <w:r w:rsidR="00FD69D1">
              <w:rPr>
                <w:webHidden/>
              </w:rPr>
            </w:r>
            <w:r w:rsidR="00FD69D1">
              <w:rPr>
                <w:webHidden/>
              </w:rPr>
              <w:fldChar w:fldCharType="separate"/>
            </w:r>
            <w:r>
              <w:rPr>
                <w:webHidden/>
                <w:rtl/>
                <w:lang w:bidi="ar-SA"/>
              </w:rPr>
              <w:t>129</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r:id="rId20" w:anchor="_Toc171803614" w:history="1">
            <w:r w:rsidR="00FD69D1" w:rsidRPr="008D22A6">
              <w:rPr>
                <w:rStyle w:val="Lienhypertexte"/>
                <w:rFonts w:hint="eastAsia"/>
                <w:rtl/>
              </w:rPr>
              <w:t>الخريطة</w:t>
            </w:r>
            <w:r w:rsidR="00FD69D1" w:rsidRPr="008D22A6">
              <w:rPr>
                <w:rStyle w:val="Lienhypertexte"/>
                <w:rtl/>
              </w:rPr>
              <w:t xml:space="preserve"> (4-10): </w:t>
            </w:r>
            <w:r w:rsidR="00FD69D1" w:rsidRPr="008D22A6">
              <w:rPr>
                <w:rStyle w:val="Lienhypertexte"/>
                <w:rFonts w:hint="eastAsia"/>
                <w:rtl/>
              </w:rPr>
              <w:t>تطور</w:t>
            </w:r>
            <w:r w:rsidR="00FD69D1" w:rsidRPr="008D22A6">
              <w:rPr>
                <w:rStyle w:val="Lienhypertexte"/>
                <w:rtl/>
              </w:rPr>
              <w:t xml:space="preserve"> </w:t>
            </w:r>
            <w:r w:rsidR="00FD69D1" w:rsidRPr="008D22A6">
              <w:rPr>
                <w:rStyle w:val="Lienhypertexte"/>
                <w:rFonts w:hint="eastAsia"/>
                <w:rtl/>
              </w:rPr>
              <w:t>التمدد</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لمدينة</w:t>
            </w:r>
            <w:r w:rsidR="00FD69D1" w:rsidRPr="008D22A6">
              <w:rPr>
                <w:rStyle w:val="Lienhypertexte"/>
                <w:rtl/>
              </w:rPr>
              <w:t xml:space="preserve"> </w:t>
            </w:r>
            <w:r w:rsidR="00FD69D1" w:rsidRPr="008D22A6">
              <w:rPr>
                <w:rStyle w:val="Lienhypertexte"/>
                <w:rFonts w:hint="eastAsia"/>
                <w:rtl/>
              </w:rPr>
              <w:t>بوسعادة</w:t>
            </w:r>
            <w:r w:rsidR="00FD69D1" w:rsidRPr="008D22A6">
              <w:rPr>
                <w:rStyle w:val="Lienhypertexte"/>
                <w:rtl/>
              </w:rPr>
              <w:t xml:space="preserve"> </w:t>
            </w:r>
            <w:r w:rsidR="00FD69D1" w:rsidRPr="008D22A6">
              <w:rPr>
                <w:rStyle w:val="Lienhypertexte"/>
                <w:rFonts w:hint="eastAsia"/>
                <w:rtl/>
              </w:rPr>
              <w:t>الى</w:t>
            </w:r>
            <w:r w:rsidR="00FD69D1" w:rsidRPr="008D22A6">
              <w:rPr>
                <w:rStyle w:val="Lienhypertexte"/>
                <w:rtl/>
              </w:rPr>
              <w:t xml:space="preserve"> </w:t>
            </w:r>
            <w:r w:rsidR="00FD69D1" w:rsidRPr="008D22A6">
              <w:rPr>
                <w:rStyle w:val="Lienhypertexte"/>
                <w:rFonts w:hint="eastAsia"/>
                <w:rtl/>
              </w:rPr>
              <w:t>غاية</w:t>
            </w:r>
            <w:r w:rsidR="00FD69D1" w:rsidRPr="008D22A6">
              <w:rPr>
                <w:rStyle w:val="Lienhypertexte"/>
                <w:rtl/>
              </w:rPr>
              <w:t xml:space="preserve"> </w:t>
            </w:r>
            <w:r w:rsidR="00FD69D1" w:rsidRPr="008D22A6">
              <w:rPr>
                <w:rStyle w:val="Lienhypertexte"/>
                <w:rFonts w:hint="eastAsia"/>
                <w:rtl/>
              </w:rPr>
              <w:t>سنة</w:t>
            </w:r>
            <w:r w:rsidR="00FD69D1" w:rsidRPr="008D22A6">
              <w:rPr>
                <w:rStyle w:val="Lienhypertexte"/>
                <w:rtl/>
              </w:rPr>
              <w:t xml:space="preserve"> 1962</w:t>
            </w:r>
            <w:r w:rsidR="009579D2" w:rsidRPr="009579D2">
              <w:rPr>
                <w:rStyle w:val="Lienhypertexte"/>
                <w:rFonts w:hint="cs"/>
                <w:rtl/>
              </w:rPr>
              <w:t>..................................</w:t>
            </w:r>
            <w:r w:rsidR="009579D2">
              <w:rPr>
                <w:rStyle w:val="Lienhypertexte"/>
                <w:rFonts w:hint="cs"/>
                <w:rtl/>
              </w:rPr>
              <w:t>.......</w:t>
            </w:r>
            <w:r w:rsidR="00FD69D1">
              <w:rPr>
                <w:webHidden/>
              </w:rPr>
              <w:tab/>
            </w:r>
            <w:r w:rsidR="00FD69D1">
              <w:rPr>
                <w:webHidden/>
              </w:rPr>
              <w:fldChar w:fldCharType="begin"/>
            </w:r>
            <w:r w:rsidR="00FD69D1">
              <w:rPr>
                <w:webHidden/>
              </w:rPr>
              <w:instrText xml:space="preserve"> PAGEREF _Toc171803614 \h </w:instrText>
            </w:r>
            <w:r w:rsidR="00FD69D1">
              <w:rPr>
                <w:webHidden/>
              </w:rPr>
            </w:r>
            <w:r w:rsidR="00FD69D1">
              <w:rPr>
                <w:webHidden/>
              </w:rPr>
              <w:fldChar w:fldCharType="separate"/>
            </w:r>
            <w:r>
              <w:rPr>
                <w:webHidden/>
                <w:rtl/>
                <w:lang w:bidi="ar-SA"/>
              </w:rPr>
              <w:t>129</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621" w:history="1">
            <w:r w:rsidR="00FD69D1" w:rsidRPr="008D22A6">
              <w:rPr>
                <w:rStyle w:val="Lienhypertexte"/>
                <w:rFonts w:hint="eastAsia"/>
                <w:rtl/>
              </w:rPr>
              <w:t>الخريطة</w:t>
            </w:r>
            <w:r w:rsidR="00FD69D1" w:rsidRPr="008D22A6">
              <w:rPr>
                <w:rStyle w:val="Lienhypertexte"/>
                <w:rtl/>
              </w:rPr>
              <w:t xml:space="preserve"> (4-11): </w:t>
            </w:r>
            <w:r w:rsidR="00FD69D1" w:rsidRPr="008D22A6">
              <w:rPr>
                <w:rStyle w:val="Lienhypertexte"/>
                <w:rFonts w:hint="eastAsia"/>
                <w:rtl/>
              </w:rPr>
              <w:t>تطور</w:t>
            </w:r>
            <w:r w:rsidR="00FD69D1" w:rsidRPr="008D22A6">
              <w:rPr>
                <w:rStyle w:val="Lienhypertexte"/>
                <w:rtl/>
              </w:rPr>
              <w:t xml:space="preserve"> </w:t>
            </w:r>
            <w:r w:rsidR="00FD69D1" w:rsidRPr="008D22A6">
              <w:rPr>
                <w:rStyle w:val="Lienhypertexte"/>
                <w:rFonts w:hint="eastAsia"/>
                <w:rtl/>
              </w:rPr>
              <w:t>التمدد</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لمدينة</w:t>
            </w:r>
            <w:r w:rsidR="00FD69D1" w:rsidRPr="008D22A6">
              <w:rPr>
                <w:rStyle w:val="Lienhypertexte"/>
                <w:rtl/>
              </w:rPr>
              <w:t xml:space="preserve"> </w:t>
            </w:r>
            <w:r w:rsidR="00FD69D1" w:rsidRPr="008D22A6">
              <w:rPr>
                <w:rStyle w:val="Lienhypertexte"/>
                <w:rFonts w:hint="eastAsia"/>
                <w:rtl/>
              </w:rPr>
              <w:t>بوسعادة</w:t>
            </w:r>
            <w:r w:rsidR="00FD69D1" w:rsidRPr="008D22A6">
              <w:rPr>
                <w:rStyle w:val="Lienhypertexte"/>
                <w:rtl/>
              </w:rPr>
              <w:t xml:space="preserve"> </w:t>
            </w:r>
            <w:r w:rsidR="00FD69D1" w:rsidRPr="008D22A6">
              <w:rPr>
                <w:rStyle w:val="Lienhypertexte"/>
                <w:rFonts w:hint="eastAsia"/>
                <w:rtl/>
              </w:rPr>
              <w:t>بين</w:t>
            </w:r>
            <w:r w:rsidR="00FD69D1" w:rsidRPr="008D22A6">
              <w:rPr>
                <w:rStyle w:val="Lienhypertexte"/>
                <w:rtl/>
              </w:rPr>
              <w:t xml:space="preserve"> </w:t>
            </w:r>
            <w:r w:rsidR="00FD69D1" w:rsidRPr="008D22A6">
              <w:rPr>
                <w:rStyle w:val="Lienhypertexte"/>
                <w:rFonts w:hint="eastAsia"/>
                <w:rtl/>
              </w:rPr>
              <w:t>عامي</w:t>
            </w:r>
            <w:r w:rsidR="00FD69D1" w:rsidRPr="008D22A6">
              <w:rPr>
                <w:rStyle w:val="Lienhypertexte"/>
                <w:rtl/>
              </w:rPr>
              <w:t xml:space="preserve"> 1972 </w:t>
            </w:r>
            <w:r w:rsidR="00FD69D1" w:rsidRPr="008D22A6">
              <w:rPr>
                <w:rStyle w:val="Lienhypertexte"/>
                <w:rFonts w:hint="eastAsia"/>
                <w:rtl/>
              </w:rPr>
              <w:t>و</w:t>
            </w:r>
            <w:r w:rsidR="009579D2">
              <w:rPr>
                <w:rStyle w:val="Lienhypertexte"/>
                <w:rtl/>
              </w:rPr>
              <w:t xml:space="preserve"> 2006</w:t>
            </w:r>
            <w:r w:rsidR="009579D2" w:rsidRPr="009579D2">
              <w:rPr>
                <w:rStyle w:val="Lienhypertexte"/>
                <w:rFonts w:hint="cs"/>
                <w:rtl/>
              </w:rPr>
              <w:t>..................................</w:t>
            </w:r>
            <w:r w:rsidR="00FD69D1">
              <w:rPr>
                <w:webHidden/>
              </w:rPr>
              <w:tab/>
            </w:r>
            <w:r w:rsidR="00FD69D1">
              <w:rPr>
                <w:webHidden/>
              </w:rPr>
              <w:fldChar w:fldCharType="begin"/>
            </w:r>
            <w:r w:rsidR="00FD69D1">
              <w:rPr>
                <w:webHidden/>
              </w:rPr>
              <w:instrText xml:space="preserve"> PAGEREF _Toc171803621 \h </w:instrText>
            </w:r>
            <w:r w:rsidR="00FD69D1">
              <w:rPr>
                <w:webHidden/>
              </w:rPr>
            </w:r>
            <w:r w:rsidR="00FD69D1">
              <w:rPr>
                <w:webHidden/>
              </w:rPr>
              <w:fldChar w:fldCharType="separate"/>
            </w:r>
            <w:r>
              <w:rPr>
                <w:webHidden/>
                <w:rtl/>
                <w:lang w:bidi="ar-SA"/>
              </w:rPr>
              <w:t>132</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639" w:history="1">
            <w:r w:rsidR="00FD69D1" w:rsidRPr="008D22A6">
              <w:rPr>
                <w:rStyle w:val="Lienhypertexte"/>
                <w:rFonts w:hint="eastAsia"/>
                <w:rtl/>
              </w:rPr>
              <w:t>الفصل</w:t>
            </w:r>
            <w:r w:rsidR="00FD69D1" w:rsidRPr="008D22A6">
              <w:rPr>
                <w:rStyle w:val="Lienhypertexte"/>
                <w:rtl/>
              </w:rPr>
              <w:t xml:space="preserve"> 5: </w:t>
            </w:r>
            <w:r w:rsidR="00FD69D1" w:rsidRPr="008D22A6">
              <w:rPr>
                <w:rStyle w:val="Lienhypertexte"/>
                <w:rFonts w:hint="eastAsia"/>
                <w:rtl/>
              </w:rPr>
              <w:t>تنفيذ</w:t>
            </w:r>
            <w:r w:rsidR="00FD69D1" w:rsidRPr="008D22A6">
              <w:rPr>
                <w:rStyle w:val="Lienhypertexte"/>
                <w:rtl/>
              </w:rPr>
              <w:t xml:space="preserve"> </w:t>
            </w:r>
            <w:r w:rsidR="00FD69D1" w:rsidRPr="008D22A6">
              <w:rPr>
                <w:rStyle w:val="Lienhypertexte"/>
                <w:rFonts w:hint="eastAsia"/>
                <w:rtl/>
              </w:rPr>
              <w:t>اطار</w:t>
            </w:r>
            <w:r w:rsidR="00FD69D1" w:rsidRPr="008D22A6">
              <w:rPr>
                <w:rStyle w:val="Lienhypertexte"/>
                <w:rtl/>
              </w:rPr>
              <w:t xml:space="preserve"> </w:t>
            </w:r>
            <w:r w:rsidR="00FD69D1" w:rsidRPr="008D22A6">
              <w:rPr>
                <w:rStyle w:val="Lienhypertexte"/>
                <w:rFonts w:hint="eastAsia"/>
                <w:rtl/>
              </w:rPr>
              <w:t>عمل</w:t>
            </w:r>
            <w:r w:rsidR="00FD69D1" w:rsidRPr="008D22A6">
              <w:rPr>
                <w:rStyle w:val="Lienhypertexte"/>
                <w:rtl/>
              </w:rPr>
              <w:t xml:space="preserve"> </w:t>
            </w:r>
            <w:r w:rsidR="00FD69D1" w:rsidRPr="008D22A6">
              <w:rPr>
                <w:rStyle w:val="Lienhypertexte"/>
                <w:rFonts w:hint="eastAsia"/>
                <w:rtl/>
              </w:rPr>
              <w:t>تقييم</w:t>
            </w:r>
            <w:r w:rsidR="00FD69D1" w:rsidRPr="008D22A6">
              <w:rPr>
                <w:rStyle w:val="Lienhypertexte"/>
                <w:rtl/>
              </w:rPr>
              <w:t xml:space="preserve"> </w:t>
            </w:r>
            <w:r w:rsidR="00FD69D1" w:rsidRPr="008D22A6">
              <w:rPr>
                <w:rStyle w:val="Lienhypertexte"/>
                <w:rFonts w:hint="eastAsia"/>
                <w:rtl/>
              </w:rPr>
              <w:t>مرونة</w:t>
            </w:r>
            <w:r w:rsidR="00FD69D1" w:rsidRPr="008D22A6">
              <w:rPr>
                <w:rStyle w:val="Lienhypertexte"/>
                <w:rtl/>
              </w:rPr>
              <w:t xml:space="preserve"> </w:t>
            </w:r>
            <w:r w:rsidR="00FD69D1" w:rsidRPr="008D22A6">
              <w:rPr>
                <w:rStyle w:val="Lienhypertexte"/>
                <w:rFonts w:hint="eastAsia"/>
                <w:rtl/>
              </w:rPr>
              <w:t>مدينة</w:t>
            </w:r>
            <w:r w:rsidR="00FD69D1" w:rsidRPr="008D22A6">
              <w:rPr>
                <w:rStyle w:val="Lienhypertexte"/>
                <w:rtl/>
              </w:rPr>
              <w:t xml:space="preserve"> </w:t>
            </w:r>
            <w:r w:rsidR="00FD69D1" w:rsidRPr="008D22A6">
              <w:rPr>
                <w:rStyle w:val="Lienhypertexte"/>
                <w:rFonts w:hint="eastAsia"/>
                <w:rtl/>
              </w:rPr>
              <w:t>بوسعادة</w:t>
            </w:r>
          </w:hyperlink>
        </w:p>
        <w:p w:rsidR="00FD69D1" w:rsidRDefault="00B62F86" w:rsidP="009579D2">
          <w:pPr>
            <w:pStyle w:val="TM1"/>
            <w:rPr>
              <w:rFonts w:asciiTheme="minorHAnsi" w:hAnsiTheme="minorHAnsi" w:cstheme="minorBidi"/>
              <w:color w:val="auto"/>
              <w:lang w:val="fr-FR" w:bidi="ar-SA"/>
            </w:rPr>
          </w:pPr>
          <w:hyperlink w:anchor="_Toc171803704" w:history="1">
            <w:r w:rsidR="00FD69D1" w:rsidRPr="008D22A6">
              <w:rPr>
                <w:rStyle w:val="Lienhypertexte"/>
                <w:rFonts w:hint="eastAsia"/>
                <w:rtl/>
              </w:rPr>
              <w:t>الخريطة</w:t>
            </w:r>
            <w:r w:rsidR="00FD69D1" w:rsidRPr="008D22A6">
              <w:rPr>
                <w:rStyle w:val="Lienhypertexte"/>
                <w:rtl/>
              </w:rPr>
              <w:t xml:space="preserve"> (5-1): </w:t>
            </w:r>
            <w:r w:rsidR="00FD69D1" w:rsidRPr="008D22A6">
              <w:rPr>
                <w:rStyle w:val="Lienhypertexte"/>
                <w:rFonts w:hint="eastAsia"/>
                <w:rtl/>
              </w:rPr>
              <w:t>نطاق</w:t>
            </w:r>
            <w:r w:rsidR="00FD69D1" w:rsidRPr="008D22A6">
              <w:rPr>
                <w:rStyle w:val="Lienhypertexte"/>
                <w:rtl/>
              </w:rPr>
              <w:t xml:space="preserve"> </w:t>
            </w:r>
            <w:r w:rsidR="00FD69D1" w:rsidRPr="008D22A6">
              <w:rPr>
                <w:rStyle w:val="Lienhypertexte"/>
                <w:rFonts w:hint="eastAsia"/>
                <w:rtl/>
              </w:rPr>
              <w:t>التغطية</w:t>
            </w:r>
            <w:r w:rsidR="00FD69D1" w:rsidRPr="008D22A6">
              <w:rPr>
                <w:rStyle w:val="Lienhypertexte"/>
                <w:rtl/>
              </w:rPr>
              <w:t xml:space="preserve"> </w:t>
            </w:r>
            <w:r w:rsidR="00FD69D1" w:rsidRPr="008D22A6">
              <w:rPr>
                <w:rStyle w:val="Lienhypertexte"/>
                <w:rFonts w:hint="eastAsia"/>
                <w:rtl/>
              </w:rPr>
              <w:t>بالخدمة</w:t>
            </w:r>
            <w:r w:rsidR="00FD69D1" w:rsidRPr="008D22A6">
              <w:rPr>
                <w:rStyle w:val="Lienhypertexte"/>
                <w:rtl/>
              </w:rPr>
              <w:t xml:space="preserve"> </w:t>
            </w:r>
            <w:r w:rsidR="00FD69D1" w:rsidRPr="008D22A6">
              <w:rPr>
                <w:rStyle w:val="Lienhypertexte"/>
                <w:rFonts w:hint="eastAsia"/>
                <w:rtl/>
              </w:rPr>
              <w:t>لمعيار</w:t>
            </w:r>
            <w:r w:rsidR="00FD69D1" w:rsidRPr="008D22A6">
              <w:rPr>
                <w:rStyle w:val="Lienhypertexte"/>
                <w:rtl/>
              </w:rPr>
              <w:t xml:space="preserve"> </w:t>
            </w:r>
            <w:r w:rsidR="00FD69D1" w:rsidRPr="008D22A6">
              <w:rPr>
                <w:rStyle w:val="Lienhypertexte"/>
                <w:rFonts w:hint="eastAsia"/>
                <w:rtl/>
              </w:rPr>
              <w:t>التكفل</w:t>
            </w:r>
            <w:r w:rsidR="00FD69D1" w:rsidRPr="008D22A6">
              <w:rPr>
                <w:rStyle w:val="Lienhypertexte"/>
                <w:rtl/>
              </w:rPr>
              <w:t xml:space="preserve"> </w:t>
            </w:r>
            <w:r w:rsidR="00FD69D1" w:rsidRPr="008D22A6">
              <w:rPr>
                <w:rStyle w:val="Lienhypertexte"/>
                <w:rFonts w:hint="eastAsia"/>
                <w:rtl/>
              </w:rPr>
              <w:t>الطبي</w:t>
            </w:r>
            <w:r w:rsidR="00FD69D1" w:rsidRPr="008D22A6">
              <w:rPr>
                <w:rStyle w:val="Lienhypertexte"/>
                <w:rtl/>
              </w:rPr>
              <w:t xml:space="preserve"> </w:t>
            </w:r>
            <w:r w:rsidR="00FD69D1" w:rsidRPr="008D22A6">
              <w:rPr>
                <w:rStyle w:val="Lienhypertexte"/>
                <w:rFonts w:asciiTheme="majorBidi" w:hAnsiTheme="majorBidi" w:cstheme="majorBidi"/>
              </w:rPr>
              <w:t>(C1)</w:t>
            </w:r>
            <w:r w:rsidR="009579D2" w:rsidRPr="009579D2">
              <w:rPr>
                <w:rFonts w:hint="cs"/>
                <w:rtl/>
              </w:rPr>
              <w:t xml:space="preserve"> </w:t>
            </w:r>
            <w:r w:rsidR="009579D2" w:rsidRPr="009579D2">
              <w:rPr>
                <w:rStyle w:val="Lienhypertexte"/>
                <w:rFonts w:asciiTheme="majorBidi" w:hAnsiTheme="majorBidi" w:cs="Times New Roman" w:hint="cs"/>
                <w:rtl/>
              </w:rPr>
              <w:t>..................................................................</w:t>
            </w:r>
            <w:r w:rsidR="00FD69D1">
              <w:rPr>
                <w:webHidden/>
              </w:rPr>
              <w:tab/>
            </w:r>
            <w:r w:rsidR="00FD69D1">
              <w:rPr>
                <w:webHidden/>
              </w:rPr>
              <w:fldChar w:fldCharType="begin"/>
            </w:r>
            <w:r w:rsidR="00FD69D1">
              <w:rPr>
                <w:webHidden/>
              </w:rPr>
              <w:instrText xml:space="preserve"> PAGEREF _Toc171803704 \h </w:instrText>
            </w:r>
            <w:r w:rsidR="00FD69D1">
              <w:rPr>
                <w:webHidden/>
              </w:rPr>
            </w:r>
            <w:r w:rsidR="00FD69D1">
              <w:rPr>
                <w:webHidden/>
              </w:rPr>
              <w:fldChar w:fldCharType="separate"/>
            </w:r>
            <w:r>
              <w:rPr>
                <w:webHidden/>
                <w:rtl/>
                <w:lang w:bidi="ar-SA"/>
              </w:rPr>
              <w:t>158</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06" w:history="1">
            <w:r w:rsidR="00FD69D1" w:rsidRPr="008D22A6">
              <w:rPr>
                <w:rStyle w:val="Lienhypertexte"/>
                <w:rFonts w:hint="eastAsia"/>
                <w:rtl/>
              </w:rPr>
              <w:t>الخريطة</w:t>
            </w:r>
            <w:r w:rsidR="00FD69D1" w:rsidRPr="008D22A6">
              <w:rPr>
                <w:rStyle w:val="Lienhypertexte"/>
                <w:rtl/>
              </w:rPr>
              <w:t xml:space="preserve"> </w:t>
            </w:r>
            <w:r w:rsidR="00FD69D1" w:rsidRPr="008D22A6">
              <w:rPr>
                <w:rStyle w:val="Lienhypertexte"/>
                <w:rFonts w:eastAsia="Times New Roman"/>
                <w:rtl/>
              </w:rPr>
              <w:t xml:space="preserve">(5-2): </w:t>
            </w:r>
            <w:r w:rsidR="00FD69D1" w:rsidRPr="008D22A6">
              <w:rPr>
                <w:rStyle w:val="Lienhypertexte"/>
                <w:rFonts w:eastAsia="Times New Roman" w:hint="eastAsia"/>
                <w:rtl/>
              </w:rPr>
              <w:t>نطاق</w:t>
            </w:r>
            <w:r w:rsidR="00FD69D1" w:rsidRPr="008D22A6">
              <w:rPr>
                <w:rStyle w:val="Lienhypertexte"/>
                <w:rFonts w:eastAsia="Times New Roman"/>
                <w:rtl/>
              </w:rPr>
              <w:t xml:space="preserve"> </w:t>
            </w:r>
            <w:r w:rsidR="00FD69D1" w:rsidRPr="008D22A6">
              <w:rPr>
                <w:rStyle w:val="Lienhypertexte"/>
                <w:rFonts w:eastAsia="Times New Roman" w:hint="eastAsia"/>
                <w:rtl/>
              </w:rPr>
              <w:t>التغطية</w:t>
            </w:r>
            <w:r w:rsidR="00FD69D1" w:rsidRPr="008D22A6">
              <w:rPr>
                <w:rStyle w:val="Lienhypertexte"/>
                <w:rFonts w:eastAsia="Times New Roman"/>
                <w:rtl/>
              </w:rPr>
              <w:t xml:space="preserve"> </w:t>
            </w:r>
            <w:r w:rsidR="00FD69D1" w:rsidRPr="008D22A6">
              <w:rPr>
                <w:rStyle w:val="Lienhypertexte"/>
                <w:rFonts w:eastAsia="Times New Roman" w:hint="eastAsia"/>
                <w:rtl/>
              </w:rPr>
              <w:t>بالخدمة</w:t>
            </w:r>
            <w:r w:rsidR="00FD69D1" w:rsidRPr="008D22A6">
              <w:rPr>
                <w:rStyle w:val="Lienhypertexte"/>
                <w:rFonts w:eastAsia="Times New Roman"/>
                <w:rtl/>
              </w:rPr>
              <w:t xml:space="preserve"> </w:t>
            </w:r>
            <w:r w:rsidR="00FD69D1" w:rsidRPr="008D22A6">
              <w:rPr>
                <w:rStyle w:val="Lienhypertexte"/>
                <w:rFonts w:eastAsia="Times New Roman" w:hint="eastAsia"/>
                <w:rtl/>
              </w:rPr>
              <w:t>ل</w:t>
            </w:r>
            <w:r w:rsidR="00FD69D1" w:rsidRPr="008D22A6">
              <w:rPr>
                <w:rStyle w:val="Lienhypertexte"/>
                <w:rFonts w:hint="eastAsia"/>
                <w:rtl/>
              </w:rPr>
              <w:t>معيار</w:t>
            </w:r>
            <w:r w:rsidR="00FD69D1" w:rsidRPr="008D22A6">
              <w:rPr>
                <w:rStyle w:val="Lienhypertexte"/>
                <w:rtl/>
              </w:rPr>
              <w:t xml:space="preserve"> </w:t>
            </w:r>
            <w:r w:rsidR="00FD69D1" w:rsidRPr="008D22A6">
              <w:rPr>
                <w:rStyle w:val="Lienhypertexte"/>
                <w:rFonts w:hint="eastAsia"/>
                <w:rtl/>
              </w:rPr>
              <w:t>الانقاذ</w:t>
            </w:r>
            <w:r w:rsidR="00FD69D1" w:rsidRPr="008D22A6">
              <w:rPr>
                <w:rStyle w:val="Lienhypertexte"/>
                <w:rtl/>
              </w:rPr>
              <w:t xml:space="preserve"> </w:t>
            </w:r>
            <w:r w:rsidR="00FD69D1" w:rsidRPr="008D22A6">
              <w:rPr>
                <w:rStyle w:val="Lienhypertexte"/>
                <w:rFonts w:hint="eastAsia"/>
                <w:rtl/>
              </w:rPr>
              <w:t>والاجلاء</w:t>
            </w:r>
            <w:r w:rsidR="00FD69D1" w:rsidRPr="008D22A6">
              <w:rPr>
                <w:rStyle w:val="Lienhypertexte"/>
                <w:rFonts w:eastAsia="Times New Roman"/>
                <w:rtl/>
              </w:rPr>
              <w:t xml:space="preserve"> </w:t>
            </w:r>
            <w:r w:rsidR="00FD69D1" w:rsidRPr="008D22A6">
              <w:rPr>
                <w:rStyle w:val="Lienhypertexte"/>
                <w:rFonts w:asciiTheme="majorBidi" w:hAnsiTheme="majorBidi" w:cstheme="majorBidi"/>
              </w:rPr>
              <w:t>(C2)</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FD69D1">
              <w:rPr>
                <w:webHidden/>
              </w:rPr>
              <w:tab/>
            </w:r>
            <w:r w:rsidR="00FD69D1">
              <w:rPr>
                <w:webHidden/>
              </w:rPr>
              <w:fldChar w:fldCharType="begin"/>
            </w:r>
            <w:r w:rsidR="00FD69D1">
              <w:rPr>
                <w:webHidden/>
              </w:rPr>
              <w:instrText xml:space="preserve"> PAGEREF _Toc171803706 \h </w:instrText>
            </w:r>
            <w:r w:rsidR="00FD69D1">
              <w:rPr>
                <w:webHidden/>
              </w:rPr>
            </w:r>
            <w:r w:rsidR="00FD69D1">
              <w:rPr>
                <w:webHidden/>
              </w:rPr>
              <w:fldChar w:fldCharType="separate"/>
            </w:r>
            <w:r>
              <w:rPr>
                <w:webHidden/>
                <w:rtl/>
                <w:lang w:bidi="ar-SA"/>
              </w:rPr>
              <w:t>159</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08" w:history="1">
            <w:r w:rsidR="00FD69D1" w:rsidRPr="008D22A6">
              <w:rPr>
                <w:rStyle w:val="Lienhypertexte"/>
                <w:rFonts w:hint="eastAsia"/>
                <w:rtl/>
              </w:rPr>
              <w:t>الخريطة</w:t>
            </w:r>
            <w:r w:rsidR="00FD69D1" w:rsidRPr="008D22A6">
              <w:rPr>
                <w:rStyle w:val="Lienhypertexte"/>
                <w:rtl/>
              </w:rPr>
              <w:t xml:space="preserve"> (5-3): </w:t>
            </w:r>
            <w:r w:rsidR="00FD69D1" w:rsidRPr="008D22A6">
              <w:rPr>
                <w:rStyle w:val="Lienhypertexte"/>
                <w:rFonts w:hint="eastAsia"/>
                <w:rtl/>
              </w:rPr>
              <w:t>نطاق</w:t>
            </w:r>
            <w:r w:rsidR="00FD69D1" w:rsidRPr="008D22A6">
              <w:rPr>
                <w:rStyle w:val="Lienhypertexte"/>
                <w:rtl/>
              </w:rPr>
              <w:t xml:space="preserve"> </w:t>
            </w:r>
            <w:r w:rsidR="00FD69D1" w:rsidRPr="008D22A6">
              <w:rPr>
                <w:rStyle w:val="Lienhypertexte"/>
                <w:rFonts w:hint="eastAsia"/>
                <w:rtl/>
              </w:rPr>
              <w:t>التغطية</w:t>
            </w:r>
            <w:r w:rsidR="00FD69D1" w:rsidRPr="008D22A6">
              <w:rPr>
                <w:rStyle w:val="Lienhypertexte"/>
                <w:rtl/>
              </w:rPr>
              <w:t xml:space="preserve"> </w:t>
            </w:r>
            <w:r w:rsidR="00FD69D1" w:rsidRPr="008D22A6">
              <w:rPr>
                <w:rStyle w:val="Lienhypertexte"/>
                <w:rFonts w:hint="eastAsia"/>
                <w:rtl/>
              </w:rPr>
              <w:t>بالخدمة</w:t>
            </w:r>
            <w:r w:rsidR="00FD69D1" w:rsidRPr="008D22A6">
              <w:rPr>
                <w:rStyle w:val="Lienhypertexte"/>
                <w:rtl/>
              </w:rPr>
              <w:t xml:space="preserve"> </w:t>
            </w:r>
            <w:r w:rsidR="00FD69D1" w:rsidRPr="008D22A6">
              <w:rPr>
                <w:rStyle w:val="Lienhypertexte"/>
                <w:rFonts w:hint="eastAsia"/>
                <w:rtl/>
              </w:rPr>
              <w:t>لمعيار</w:t>
            </w:r>
            <w:r w:rsidR="00FD69D1" w:rsidRPr="008D22A6">
              <w:rPr>
                <w:rStyle w:val="Lienhypertexte"/>
                <w:rtl/>
              </w:rPr>
              <w:t xml:space="preserve"> </w:t>
            </w:r>
            <w:r w:rsidR="00FD69D1" w:rsidRPr="008D22A6">
              <w:rPr>
                <w:rStyle w:val="Lienhypertexte"/>
                <w:rFonts w:hint="eastAsia"/>
                <w:rtl/>
              </w:rPr>
              <w:t>الامن</w:t>
            </w:r>
            <w:r w:rsidR="00FD69D1" w:rsidRPr="008D22A6">
              <w:rPr>
                <w:rStyle w:val="Lienhypertexte"/>
                <w:rtl/>
              </w:rPr>
              <w:t xml:space="preserve"> </w:t>
            </w:r>
            <w:r w:rsidR="00FD69D1" w:rsidRPr="008D22A6">
              <w:rPr>
                <w:rStyle w:val="Lienhypertexte"/>
                <w:rFonts w:asciiTheme="majorBidi" w:hAnsiTheme="majorBidi" w:cstheme="majorBidi"/>
              </w:rPr>
              <w:t xml:space="preserve"> (C3)</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FD69D1">
              <w:rPr>
                <w:webHidden/>
              </w:rPr>
              <w:tab/>
            </w:r>
            <w:r w:rsidR="00FD69D1">
              <w:rPr>
                <w:webHidden/>
              </w:rPr>
              <w:fldChar w:fldCharType="begin"/>
            </w:r>
            <w:r w:rsidR="00FD69D1">
              <w:rPr>
                <w:webHidden/>
              </w:rPr>
              <w:instrText xml:space="preserve"> PAGEREF _Toc171803708 \h </w:instrText>
            </w:r>
            <w:r w:rsidR="00FD69D1">
              <w:rPr>
                <w:webHidden/>
              </w:rPr>
            </w:r>
            <w:r w:rsidR="00FD69D1">
              <w:rPr>
                <w:webHidden/>
              </w:rPr>
              <w:fldChar w:fldCharType="separate"/>
            </w:r>
            <w:r>
              <w:rPr>
                <w:webHidden/>
                <w:rtl/>
                <w:lang w:bidi="ar-SA"/>
              </w:rPr>
              <w:t>160</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10" w:history="1">
            <w:r w:rsidR="00FD69D1" w:rsidRPr="008D22A6">
              <w:rPr>
                <w:rStyle w:val="Lienhypertexte"/>
                <w:rFonts w:hint="eastAsia"/>
                <w:rtl/>
              </w:rPr>
              <w:t>الخريطة</w:t>
            </w:r>
            <w:r w:rsidR="00FD69D1" w:rsidRPr="008D22A6">
              <w:rPr>
                <w:rStyle w:val="Lienhypertexte"/>
                <w:rtl/>
              </w:rPr>
              <w:t xml:space="preserve"> </w:t>
            </w:r>
            <w:r w:rsidR="00FD69D1" w:rsidRPr="008D22A6">
              <w:rPr>
                <w:rStyle w:val="Lienhypertexte"/>
                <w:rFonts w:eastAsia="Times New Roman"/>
                <w:rtl/>
              </w:rPr>
              <w:t xml:space="preserve">(5-4): </w:t>
            </w:r>
            <w:r w:rsidR="00FD69D1" w:rsidRPr="008D22A6">
              <w:rPr>
                <w:rStyle w:val="Lienhypertexte"/>
                <w:rFonts w:eastAsia="Times New Roman" w:hint="eastAsia"/>
                <w:rtl/>
              </w:rPr>
              <w:t>نطاق</w:t>
            </w:r>
            <w:r w:rsidR="00FD69D1" w:rsidRPr="008D22A6">
              <w:rPr>
                <w:rStyle w:val="Lienhypertexte"/>
                <w:rFonts w:eastAsia="Times New Roman"/>
                <w:rtl/>
              </w:rPr>
              <w:t xml:space="preserve"> </w:t>
            </w:r>
            <w:r w:rsidR="00FD69D1" w:rsidRPr="008D22A6">
              <w:rPr>
                <w:rStyle w:val="Lienhypertexte"/>
                <w:rFonts w:eastAsia="Times New Roman" w:hint="eastAsia"/>
                <w:rtl/>
              </w:rPr>
              <w:t>التغطية</w:t>
            </w:r>
            <w:r w:rsidR="00FD69D1" w:rsidRPr="008D22A6">
              <w:rPr>
                <w:rStyle w:val="Lienhypertexte"/>
                <w:rFonts w:eastAsia="Times New Roman"/>
                <w:rtl/>
              </w:rPr>
              <w:t xml:space="preserve"> </w:t>
            </w:r>
            <w:r w:rsidR="00FD69D1" w:rsidRPr="008D22A6">
              <w:rPr>
                <w:rStyle w:val="Lienhypertexte"/>
                <w:rFonts w:eastAsia="Times New Roman" w:hint="eastAsia"/>
                <w:rtl/>
              </w:rPr>
              <w:t>بالخدمة</w:t>
            </w:r>
            <w:r w:rsidR="00FD69D1" w:rsidRPr="008D22A6">
              <w:rPr>
                <w:rStyle w:val="Lienhypertexte"/>
                <w:rFonts w:eastAsia="Times New Roman"/>
                <w:rtl/>
              </w:rPr>
              <w:t xml:space="preserve"> </w:t>
            </w:r>
            <w:r w:rsidR="00FD69D1" w:rsidRPr="008D22A6">
              <w:rPr>
                <w:rStyle w:val="Lienhypertexte"/>
                <w:rFonts w:eastAsia="Times New Roman" w:hint="eastAsia"/>
                <w:rtl/>
              </w:rPr>
              <w:t>ل</w:t>
            </w:r>
            <w:r w:rsidR="00FD69D1" w:rsidRPr="008D22A6">
              <w:rPr>
                <w:rStyle w:val="Lienhypertexte"/>
                <w:rFonts w:hint="eastAsia"/>
                <w:rtl/>
              </w:rPr>
              <w:t>معيار</w:t>
            </w:r>
            <w:r w:rsidR="00FD69D1" w:rsidRPr="008D22A6">
              <w:rPr>
                <w:rStyle w:val="Lienhypertexte"/>
                <w:rtl/>
              </w:rPr>
              <w:t xml:space="preserve"> </w:t>
            </w:r>
            <w:r w:rsidR="00FD69D1" w:rsidRPr="008D22A6">
              <w:rPr>
                <w:rStyle w:val="Lienhypertexte"/>
                <w:rFonts w:hint="eastAsia"/>
                <w:rtl/>
              </w:rPr>
              <w:t>الإيواء</w:t>
            </w:r>
            <w:r w:rsidR="00FD69D1" w:rsidRPr="008D22A6">
              <w:rPr>
                <w:rStyle w:val="Lienhypertexte"/>
                <w:rtl/>
              </w:rPr>
              <w:t xml:space="preserve"> </w:t>
            </w:r>
            <w:r w:rsidR="00FD69D1" w:rsidRPr="008D22A6">
              <w:rPr>
                <w:rStyle w:val="Lienhypertexte"/>
                <w:rFonts w:hint="eastAsia"/>
                <w:rtl/>
              </w:rPr>
              <w:t>المؤقت</w:t>
            </w:r>
            <w:r w:rsidR="00FD69D1" w:rsidRPr="008D22A6">
              <w:rPr>
                <w:rStyle w:val="Lienhypertexte"/>
                <w:rtl/>
              </w:rPr>
              <w:t xml:space="preserve"> </w:t>
            </w:r>
            <w:r w:rsidR="00FD69D1" w:rsidRPr="008D22A6">
              <w:rPr>
                <w:rStyle w:val="Lienhypertexte"/>
                <w:rFonts w:asciiTheme="majorBidi" w:hAnsiTheme="majorBidi" w:cstheme="majorBidi"/>
              </w:rPr>
              <w:t>(C4)</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FD69D1">
              <w:rPr>
                <w:webHidden/>
              </w:rPr>
              <w:tab/>
            </w:r>
            <w:r w:rsidR="00FD69D1">
              <w:rPr>
                <w:webHidden/>
              </w:rPr>
              <w:fldChar w:fldCharType="begin"/>
            </w:r>
            <w:r w:rsidR="00FD69D1">
              <w:rPr>
                <w:webHidden/>
              </w:rPr>
              <w:instrText xml:space="preserve"> PAGEREF _Toc171803710 \h </w:instrText>
            </w:r>
            <w:r w:rsidR="00FD69D1">
              <w:rPr>
                <w:webHidden/>
              </w:rPr>
            </w:r>
            <w:r w:rsidR="00FD69D1">
              <w:rPr>
                <w:webHidden/>
              </w:rPr>
              <w:fldChar w:fldCharType="separate"/>
            </w:r>
            <w:r>
              <w:rPr>
                <w:webHidden/>
                <w:rtl/>
                <w:lang w:bidi="ar-SA"/>
              </w:rPr>
              <w:t>161</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12" w:history="1">
            <w:r w:rsidR="00FD69D1" w:rsidRPr="008D22A6">
              <w:rPr>
                <w:rStyle w:val="Lienhypertexte"/>
                <w:rFonts w:hint="eastAsia"/>
                <w:rtl/>
              </w:rPr>
              <w:t>الخريطة</w:t>
            </w:r>
            <w:r w:rsidR="00FD69D1" w:rsidRPr="008D22A6">
              <w:rPr>
                <w:rStyle w:val="Lienhypertexte"/>
                <w:rtl/>
              </w:rPr>
              <w:t xml:space="preserve"> </w:t>
            </w:r>
            <w:r w:rsidR="00FD69D1" w:rsidRPr="008D22A6">
              <w:rPr>
                <w:rStyle w:val="Lienhypertexte"/>
                <w:rFonts w:eastAsia="Times New Roman"/>
                <w:rtl/>
              </w:rPr>
              <w:t xml:space="preserve">(5-5): </w:t>
            </w:r>
            <w:r w:rsidR="00FD69D1" w:rsidRPr="008D22A6">
              <w:rPr>
                <w:rStyle w:val="Lienhypertexte"/>
                <w:rFonts w:eastAsia="Times New Roman" w:hint="eastAsia"/>
                <w:rtl/>
              </w:rPr>
              <w:t>نطاق</w:t>
            </w:r>
            <w:r w:rsidR="00FD69D1" w:rsidRPr="008D22A6">
              <w:rPr>
                <w:rStyle w:val="Lienhypertexte"/>
                <w:rFonts w:eastAsia="Times New Roman"/>
                <w:rtl/>
              </w:rPr>
              <w:t xml:space="preserve"> </w:t>
            </w:r>
            <w:r w:rsidR="00FD69D1" w:rsidRPr="008D22A6">
              <w:rPr>
                <w:rStyle w:val="Lienhypertexte"/>
                <w:rFonts w:eastAsia="Times New Roman" w:hint="eastAsia"/>
                <w:rtl/>
              </w:rPr>
              <w:t>التغطية</w:t>
            </w:r>
            <w:r w:rsidR="00FD69D1" w:rsidRPr="008D22A6">
              <w:rPr>
                <w:rStyle w:val="Lienhypertexte"/>
                <w:rFonts w:eastAsia="Times New Roman"/>
                <w:rtl/>
              </w:rPr>
              <w:t xml:space="preserve"> </w:t>
            </w:r>
            <w:r w:rsidR="00FD69D1" w:rsidRPr="008D22A6">
              <w:rPr>
                <w:rStyle w:val="Lienhypertexte"/>
                <w:rFonts w:eastAsia="Times New Roman" w:hint="eastAsia"/>
                <w:rtl/>
              </w:rPr>
              <w:t>بالخدمة</w:t>
            </w:r>
            <w:r w:rsidR="00FD69D1" w:rsidRPr="008D22A6">
              <w:rPr>
                <w:rStyle w:val="Lienhypertexte"/>
                <w:rFonts w:eastAsia="Times New Roman"/>
                <w:rtl/>
              </w:rPr>
              <w:t xml:space="preserve"> </w:t>
            </w:r>
            <w:r w:rsidR="00FD69D1" w:rsidRPr="008D22A6">
              <w:rPr>
                <w:rStyle w:val="Lienhypertexte"/>
                <w:rFonts w:eastAsia="Times New Roman" w:hint="eastAsia"/>
                <w:rtl/>
              </w:rPr>
              <w:t>ل</w:t>
            </w:r>
            <w:r w:rsidR="00FD69D1" w:rsidRPr="008D22A6">
              <w:rPr>
                <w:rStyle w:val="Lienhypertexte"/>
                <w:rFonts w:hint="eastAsia"/>
                <w:rtl/>
              </w:rPr>
              <w:t>معيار</w:t>
            </w:r>
            <w:r w:rsidR="00FD69D1" w:rsidRPr="008D22A6">
              <w:rPr>
                <w:rStyle w:val="Lienhypertexte"/>
                <w:rtl/>
              </w:rPr>
              <w:t xml:space="preserve"> </w:t>
            </w:r>
            <w:r w:rsidR="00FD69D1" w:rsidRPr="008D22A6">
              <w:rPr>
                <w:rStyle w:val="Lienhypertexte"/>
                <w:rFonts w:hint="eastAsia"/>
                <w:rtl/>
              </w:rPr>
              <w:t>التضامن</w:t>
            </w:r>
            <w:r w:rsidR="00FD69D1" w:rsidRPr="008D22A6">
              <w:rPr>
                <w:rStyle w:val="Lienhypertexte"/>
                <w:rtl/>
              </w:rPr>
              <w:t xml:space="preserve"> </w:t>
            </w:r>
            <w:r w:rsidR="00FD69D1" w:rsidRPr="008D22A6">
              <w:rPr>
                <w:rStyle w:val="Lienhypertexte"/>
                <w:rFonts w:hint="eastAsia"/>
                <w:rtl/>
              </w:rPr>
              <w:t>والتموين</w:t>
            </w:r>
            <w:r w:rsidR="00FD69D1" w:rsidRPr="008D22A6">
              <w:rPr>
                <w:rStyle w:val="Lienhypertexte"/>
                <w:rtl/>
              </w:rPr>
              <w:t xml:space="preserve"> </w:t>
            </w:r>
            <w:r w:rsidR="00FD69D1" w:rsidRPr="008D22A6">
              <w:rPr>
                <w:rStyle w:val="Lienhypertexte"/>
                <w:rFonts w:asciiTheme="majorBidi" w:hAnsiTheme="majorBidi" w:cstheme="majorBidi"/>
              </w:rPr>
              <w:t xml:space="preserve"> (C5)</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FD69D1">
              <w:rPr>
                <w:webHidden/>
              </w:rPr>
              <w:tab/>
            </w:r>
            <w:r w:rsidR="00FD69D1">
              <w:rPr>
                <w:webHidden/>
              </w:rPr>
              <w:fldChar w:fldCharType="begin"/>
            </w:r>
            <w:r w:rsidR="00FD69D1">
              <w:rPr>
                <w:webHidden/>
              </w:rPr>
              <w:instrText xml:space="preserve"> PAGEREF _Toc171803712 \h </w:instrText>
            </w:r>
            <w:r w:rsidR="00FD69D1">
              <w:rPr>
                <w:webHidden/>
              </w:rPr>
            </w:r>
            <w:r w:rsidR="00FD69D1">
              <w:rPr>
                <w:webHidden/>
              </w:rPr>
              <w:fldChar w:fldCharType="separate"/>
            </w:r>
            <w:r>
              <w:rPr>
                <w:webHidden/>
                <w:rtl/>
                <w:lang w:bidi="ar-SA"/>
              </w:rPr>
              <w:t>162</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14" w:history="1">
            <w:r w:rsidR="00FD69D1" w:rsidRPr="008D22A6">
              <w:rPr>
                <w:rStyle w:val="Lienhypertexte"/>
                <w:rFonts w:hint="eastAsia"/>
                <w:rtl/>
              </w:rPr>
              <w:t>الخريطة</w:t>
            </w:r>
            <w:r w:rsidR="00FD69D1" w:rsidRPr="008D22A6">
              <w:rPr>
                <w:rStyle w:val="Lienhypertexte"/>
                <w:rtl/>
              </w:rPr>
              <w:t xml:space="preserve"> </w:t>
            </w:r>
            <w:r w:rsidR="00FD69D1" w:rsidRPr="008D22A6">
              <w:rPr>
                <w:rStyle w:val="Lienhypertexte"/>
                <w:rFonts w:eastAsia="Times New Roman"/>
                <w:rtl/>
              </w:rPr>
              <w:t xml:space="preserve">(5-6): </w:t>
            </w:r>
            <w:r w:rsidR="00FD69D1" w:rsidRPr="008D22A6">
              <w:rPr>
                <w:rStyle w:val="Lienhypertexte"/>
                <w:rFonts w:hint="eastAsia"/>
                <w:rtl/>
              </w:rPr>
              <w:t>معيار</w:t>
            </w:r>
            <w:r w:rsidR="00FD69D1" w:rsidRPr="008D22A6">
              <w:rPr>
                <w:rStyle w:val="Lienhypertexte"/>
                <w:rtl/>
              </w:rPr>
              <w:t xml:space="preserve"> </w:t>
            </w:r>
            <w:r w:rsidR="00FD69D1" w:rsidRPr="008D22A6">
              <w:rPr>
                <w:rStyle w:val="Lienhypertexte"/>
                <w:rFonts w:hint="eastAsia"/>
                <w:rtl/>
              </w:rPr>
              <w:t>كثافة</w:t>
            </w:r>
            <w:r w:rsidR="00FD69D1" w:rsidRPr="008D22A6">
              <w:rPr>
                <w:rStyle w:val="Lienhypertexte"/>
                <w:rtl/>
              </w:rPr>
              <w:t xml:space="preserve"> </w:t>
            </w:r>
            <w:r w:rsidR="00FD69D1" w:rsidRPr="008D22A6">
              <w:rPr>
                <w:rStyle w:val="Lienhypertexte"/>
                <w:rFonts w:hint="eastAsia"/>
                <w:rtl/>
              </w:rPr>
              <w:t>البناء</w:t>
            </w:r>
            <w:r w:rsidR="00FD69D1" w:rsidRPr="008D22A6">
              <w:rPr>
                <w:rStyle w:val="Lienhypertexte"/>
                <w:rtl/>
              </w:rPr>
              <w:t xml:space="preserve"> </w:t>
            </w:r>
            <w:r w:rsidR="00FD69D1" w:rsidRPr="008D22A6">
              <w:rPr>
                <w:rStyle w:val="Lienhypertexte"/>
                <w:rFonts w:asciiTheme="majorBidi" w:hAnsiTheme="majorBidi" w:cstheme="majorBidi"/>
              </w:rPr>
              <w:t>(C6)</w:t>
            </w:r>
            <w:r w:rsidR="009579D2" w:rsidRPr="009579D2">
              <w:rPr>
                <w:rFonts w:hint="cs"/>
                <w:rtl/>
              </w:rPr>
              <w:t xml:space="preserve"> </w:t>
            </w:r>
            <w:r w:rsidR="009579D2" w:rsidRPr="009579D2">
              <w:rPr>
                <w:rStyle w:val="Lienhypertexte"/>
                <w:rFonts w:asciiTheme="majorBidi" w:hAnsiTheme="majorBidi" w:cs="Times New Roman" w:hint="cs"/>
                <w:rtl/>
              </w:rPr>
              <w:t>..................................................................</w:t>
            </w:r>
            <w:r w:rsidR="009579D2">
              <w:rPr>
                <w:rStyle w:val="Lienhypertexte"/>
                <w:rFonts w:asciiTheme="majorBidi" w:hAnsiTheme="majorBidi" w:cs="Times New Roman" w:hint="cs"/>
                <w:rtl/>
              </w:rPr>
              <w:t>................................</w:t>
            </w:r>
            <w:r w:rsidR="00FD69D1">
              <w:rPr>
                <w:webHidden/>
              </w:rPr>
              <w:tab/>
            </w:r>
            <w:r w:rsidR="00FD69D1">
              <w:rPr>
                <w:webHidden/>
              </w:rPr>
              <w:fldChar w:fldCharType="begin"/>
            </w:r>
            <w:r w:rsidR="00FD69D1">
              <w:rPr>
                <w:webHidden/>
              </w:rPr>
              <w:instrText xml:space="preserve"> PAGEREF _Toc171803714 \h </w:instrText>
            </w:r>
            <w:r w:rsidR="00FD69D1">
              <w:rPr>
                <w:webHidden/>
              </w:rPr>
            </w:r>
            <w:r w:rsidR="00FD69D1">
              <w:rPr>
                <w:webHidden/>
              </w:rPr>
              <w:fldChar w:fldCharType="separate"/>
            </w:r>
            <w:r>
              <w:rPr>
                <w:webHidden/>
                <w:rtl/>
                <w:lang w:bidi="ar-SA"/>
              </w:rPr>
              <w:t>163</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16" w:history="1">
            <w:r w:rsidR="00FD69D1" w:rsidRPr="008D22A6">
              <w:rPr>
                <w:rStyle w:val="Lienhypertexte"/>
                <w:rFonts w:hint="eastAsia"/>
                <w:rtl/>
              </w:rPr>
              <w:t>الخريطة</w:t>
            </w:r>
            <w:r w:rsidR="00FD69D1" w:rsidRPr="008D22A6">
              <w:rPr>
                <w:rStyle w:val="Lienhypertexte"/>
                <w:rtl/>
              </w:rPr>
              <w:t xml:space="preserve"> </w:t>
            </w:r>
            <w:r w:rsidR="00FD69D1" w:rsidRPr="008D22A6">
              <w:rPr>
                <w:rStyle w:val="Lienhypertexte"/>
                <w:rFonts w:eastAsia="Times New Roman"/>
                <w:rtl/>
              </w:rPr>
              <w:t xml:space="preserve">(5-7)- </w:t>
            </w:r>
            <w:r w:rsidR="00FD69D1" w:rsidRPr="008D22A6">
              <w:rPr>
                <w:rStyle w:val="Lienhypertexte"/>
                <w:rFonts w:hint="eastAsia"/>
                <w:rtl/>
              </w:rPr>
              <w:t>معيار</w:t>
            </w:r>
            <w:r w:rsidR="00FD69D1" w:rsidRPr="008D22A6">
              <w:rPr>
                <w:rStyle w:val="Lienhypertexte"/>
                <w:rtl/>
              </w:rPr>
              <w:t xml:space="preserve"> </w:t>
            </w:r>
            <w:r w:rsidR="00FD69D1" w:rsidRPr="008D22A6">
              <w:rPr>
                <w:rStyle w:val="Lienhypertexte"/>
                <w:rFonts w:hint="eastAsia"/>
                <w:rtl/>
              </w:rPr>
              <w:t>عمق</w:t>
            </w:r>
            <w:r w:rsidR="00FD69D1" w:rsidRPr="008D22A6">
              <w:rPr>
                <w:rStyle w:val="Lienhypertexte"/>
                <w:rtl/>
              </w:rPr>
              <w:t xml:space="preserve"> </w:t>
            </w:r>
            <w:r w:rsidR="00FD69D1" w:rsidRPr="008D22A6">
              <w:rPr>
                <w:rStyle w:val="Lienhypertexte"/>
                <w:rFonts w:hint="eastAsia"/>
                <w:rtl/>
              </w:rPr>
              <w:t>الطرق</w:t>
            </w:r>
            <w:r w:rsidR="00FD69D1" w:rsidRPr="008D22A6">
              <w:rPr>
                <w:rStyle w:val="Lienhypertexte"/>
                <w:rtl/>
              </w:rPr>
              <w:t xml:space="preserve"> </w:t>
            </w:r>
            <w:r w:rsidR="00FD69D1" w:rsidRPr="008D22A6">
              <w:rPr>
                <w:rStyle w:val="Lienhypertexte"/>
                <w:rFonts w:hint="eastAsia"/>
                <w:rtl/>
              </w:rPr>
              <w:t>الشريانية</w:t>
            </w:r>
            <w:r w:rsidR="00FD69D1" w:rsidRPr="008D22A6">
              <w:rPr>
                <w:rStyle w:val="Lienhypertexte"/>
                <w:rtl/>
              </w:rPr>
              <w:t xml:space="preserve"> (</w:t>
            </w:r>
            <w:r w:rsidR="00FD69D1" w:rsidRPr="008D22A6">
              <w:rPr>
                <w:rStyle w:val="Lienhypertexte"/>
                <w:rFonts w:eastAsia="Times New Roman" w:hint="eastAsia"/>
                <w:rtl/>
              </w:rPr>
              <w:t>الرئيسية</w:t>
            </w:r>
            <w:r w:rsidR="00FD69D1" w:rsidRPr="008D22A6">
              <w:rPr>
                <w:rStyle w:val="Lienhypertexte"/>
                <w:rFonts w:eastAsia="Times New Roman"/>
                <w:rtl/>
              </w:rPr>
              <w:t xml:space="preserve"> </w:t>
            </w:r>
            <w:r w:rsidR="00FD69D1" w:rsidRPr="008D22A6">
              <w:rPr>
                <w:rStyle w:val="Lienhypertexte"/>
                <w:rFonts w:eastAsia="Times New Roman" w:hint="eastAsia"/>
                <w:rtl/>
              </w:rPr>
              <w:t>والثانوية</w:t>
            </w:r>
            <w:r w:rsidR="00FD69D1" w:rsidRPr="008D22A6">
              <w:rPr>
                <w:rStyle w:val="Lienhypertexte"/>
                <w:rFonts w:eastAsia="Times New Roman"/>
                <w:rtl/>
              </w:rPr>
              <w:t>)</w:t>
            </w:r>
            <w:r w:rsidR="009B7C4F" w:rsidRPr="009B7C4F">
              <w:rPr>
                <w:rFonts w:hint="cs"/>
                <w:rtl/>
              </w:rPr>
              <w:t xml:space="preserve"> </w:t>
            </w:r>
            <w:r w:rsidR="009B7C4F" w:rsidRPr="009B7C4F">
              <w:rPr>
                <w:rStyle w:val="Lienhypertexte"/>
                <w:rFonts w:eastAsia="Times New Roman" w:hint="cs"/>
                <w:rtl/>
              </w:rPr>
              <w:t>..................................</w:t>
            </w:r>
            <w:r w:rsidR="009B7C4F">
              <w:rPr>
                <w:rStyle w:val="Lienhypertexte"/>
                <w:rFonts w:eastAsia="Times New Roman" w:hint="cs"/>
                <w:rtl/>
              </w:rPr>
              <w:t>..................</w:t>
            </w:r>
            <w:r w:rsidR="00FD69D1">
              <w:rPr>
                <w:webHidden/>
              </w:rPr>
              <w:tab/>
            </w:r>
            <w:r w:rsidR="00FD69D1">
              <w:rPr>
                <w:webHidden/>
              </w:rPr>
              <w:fldChar w:fldCharType="begin"/>
            </w:r>
            <w:r w:rsidR="00FD69D1">
              <w:rPr>
                <w:webHidden/>
              </w:rPr>
              <w:instrText xml:space="preserve"> PAGEREF _Toc171803716 \h </w:instrText>
            </w:r>
            <w:r w:rsidR="00FD69D1">
              <w:rPr>
                <w:webHidden/>
              </w:rPr>
            </w:r>
            <w:r w:rsidR="00FD69D1">
              <w:rPr>
                <w:webHidden/>
              </w:rPr>
              <w:fldChar w:fldCharType="separate"/>
            </w:r>
            <w:r>
              <w:rPr>
                <w:webHidden/>
                <w:rtl/>
                <w:lang w:bidi="ar-SA"/>
              </w:rPr>
              <w:t>164</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19" w:history="1">
            <w:r w:rsidR="00FD69D1" w:rsidRPr="008D22A6">
              <w:rPr>
                <w:rStyle w:val="Lienhypertexte"/>
                <w:rFonts w:hint="eastAsia"/>
                <w:rtl/>
              </w:rPr>
              <w:t>الخريطة</w:t>
            </w:r>
            <w:r w:rsidR="00FD69D1" w:rsidRPr="008D22A6">
              <w:rPr>
                <w:rStyle w:val="Lienhypertexte"/>
                <w:rtl/>
              </w:rPr>
              <w:t xml:space="preserve"> (5-8): </w:t>
            </w:r>
            <w:r w:rsidR="00FD69D1" w:rsidRPr="008D22A6">
              <w:rPr>
                <w:rStyle w:val="Lienhypertexte"/>
                <w:rFonts w:hint="eastAsia"/>
                <w:rtl/>
              </w:rPr>
              <w:t>تصنيف</w:t>
            </w:r>
            <w:r w:rsidR="00FD69D1" w:rsidRPr="008D22A6">
              <w:rPr>
                <w:rStyle w:val="Lienhypertexte"/>
                <w:rtl/>
              </w:rPr>
              <w:t xml:space="preserve"> </w:t>
            </w:r>
            <w:r w:rsidR="00FD69D1" w:rsidRPr="008D22A6">
              <w:rPr>
                <w:rStyle w:val="Lienhypertexte"/>
                <w:rFonts w:hint="eastAsia"/>
                <w:rtl/>
              </w:rPr>
              <w:t>المرونة</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لاحياء</w:t>
            </w:r>
            <w:r w:rsidR="00FD69D1" w:rsidRPr="008D22A6">
              <w:rPr>
                <w:rStyle w:val="Lienhypertexte"/>
                <w:rtl/>
              </w:rPr>
              <w:t xml:space="preserve"> </w:t>
            </w:r>
            <w:r w:rsidR="00FD69D1" w:rsidRPr="008D22A6">
              <w:rPr>
                <w:rStyle w:val="Lienhypertexte"/>
                <w:rFonts w:hint="eastAsia"/>
                <w:rtl/>
              </w:rPr>
              <w:t>مدينة</w:t>
            </w:r>
            <w:r w:rsidR="00FD69D1" w:rsidRPr="008D22A6">
              <w:rPr>
                <w:rStyle w:val="Lienhypertexte"/>
                <w:rtl/>
              </w:rPr>
              <w:t xml:space="preserve"> </w:t>
            </w:r>
            <w:r w:rsidR="00FD69D1" w:rsidRPr="008D22A6">
              <w:rPr>
                <w:rStyle w:val="Lienhypertexte"/>
                <w:rFonts w:hint="eastAsia"/>
                <w:rtl/>
              </w:rPr>
              <w:t>بوسعادة</w:t>
            </w:r>
            <w:r w:rsidR="009B7C4F" w:rsidRPr="009B7C4F">
              <w:rPr>
                <w:rStyle w:val="Lienhypertexte"/>
                <w:rFonts w:hint="cs"/>
                <w:rtl/>
              </w:rPr>
              <w:t>..................................</w:t>
            </w:r>
            <w:r w:rsidR="009B7C4F">
              <w:rPr>
                <w:rStyle w:val="Lienhypertexte"/>
                <w:rFonts w:hint="cs"/>
                <w:rtl/>
              </w:rPr>
              <w:t>.....................</w:t>
            </w:r>
            <w:r w:rsidR="00FD69D1">
              <w:rPr>
                <w:webHidden/>
              </w:rPr>
              <w:tab/>
            </w:r>
            <w:r w:rsidR="00FD69D1">
              <w:rPr>
                <w:webHidden/>
              </w:rPr>
              <w:fldChar w:fldCharType="begin"/>
            </w:r>
            <w:r w:rsidR="00FD69D1">
              <w:rPr>
                <w:webHidden/>
              </w:rPr>
              <w:instrText xml:space="preserve"> PAGEREF _Toc171803719 \h </w:instrText>
            </w:r>
            <w:r w:rsidR="00FD69D1">
              <w:rPr>
                <w:webHidden/>
              </w:rPr>
            </w:r>
            <w:r w:rsidR="00FD69D1">
              <w:rPr>
                <w:webHidden/>
              </w:rPr>
              <w:fldChar w:fldCharType="separate"/>
            </w:r>
            <w:r>
              <w:rPr>
                <w:webHidden/>
                <w:rtl/>
                <w:lang w:bidi="ar-SA"/>
              </w:rPr>
              <w:t>165</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763" w:history="1">
            <w:r w:rsidR="00FD69D1" w:rsidRPr="008D22A6">
              <w:rPr>
                <w:rStyle w:val="Lienhypertexte"/>
                <w:rFonts w:hint="eastAsia"/>
                <w:rtl/>
              </w:rPr>
              <w:t>الفصل</w:t>
            </w:r>
            <w:r w:rsidR="00FD69D1" w:rsidRPr="008D22A6">
              <w:rPr>
                <w:rStyle w:val="Lienhypertexte"/>
                <w:rtl/>
              </w:rPr>
              <w:t xml:space="preserve"> 6: </w:t>
            </w:r>
            <w:r w:rsidR="00FD69D1" w:rsidRPr="008D22A6">
              <w:rPr>
                <w:rStyle w:val="Lienhypertexte"/>
                <w:rFonts w:hint="eastAsia"/>
                <w:rtl/>
              </w:rPr>
              <w:t>تقييم</w:t>
            </w:r>
            <w:r w:rsidR="00FD69D1" w:rsidRPr="008D22A6">
              <w:rPr>
                <w:rStyle w:val="Lienhypertexte"/>
                <w:rtl/>
              </w:rPr>
              <w:t xml:space="preserve"> </w:t>
            </w:r>
            <w:r w:rsidR="00FD69D1" w:rsidRPr="008D22A6">
              <w:rPr>
                <w:rStyle w:val="Lienhypertexte"/>
                <w:rFonts w:hint="eastAsia"/>
                <w:rtl/>
              </w:rPr>
              <w:t>توافر</w:t>
            </w:r>
            <w:r w:rsidR="00FD69D1" w:rsidRPr="008D22A6">
              <w:rPr>
                <w:rStyle w:val="Lienhypertexte"/>
                <w:rtl/>
              </w:rPr>
              <w:t xml:space="preserve"> </w:t>
            </w:r>
            <w:r w:rsidR="00FD69D1" w:rsidRPr="008D22A6">
              <w:rPr>
                <w:rStyle w:val="Lienhypertexte"/>
                <w:rFonts w:hint="eastAsia"/>
                <w:rtl/>
              </w:rPr>
              <w:t>سمات</w:t>
            </w:r>
            <w:r w:rsidR="00FD69D1" w:rsidRPr="008D22A6">
              <w:rPr>
                <w:rStyle w:val="Lienhypertexte"/>
                <w:rtl/>
              </w:rPr>
              <w:t xml:space="preserve"> </w:t>
            </w:r>
            <w:r w:rsidR="00FD69D1" w:rsidRPr="008D22A6">
              <w:rPr>
                <w:rStyle w:val="Lienhypertexte"/>
                <w:rFonts w:hint="eastAsia"/>
                <w:rtl/>
              </w:rPr>
              <w:t>المرونة</w:t>
            </w:r>
            <w:r w:rsidR="00FD69D1" w:rsidRPr="008D22A6">
              <w:rPr>
                <w:rStyle w:val="Lienhypertexte"/>
                <w:rtl/>
              </w:rPr>
              <w:t xml:space="preserve"> </w:t>
            </w:r>
            <w:r w:rsidR="00FD69D1" w:rsidRPr="008D22A6">
              <w:rPr>
                <w:rStyle w:val="Lienhypertexte"/>
                <w:rFonts w:hint="eastAsia"/>
                <w:rtl/>
              </w:rPr>
              <w:t>المكانية</w:t>
            </w:r>
            <w:r w:rsidR="00FD69D1" w:rsidRPr="008D22A6">
              <w:rPr>
                <w:rStyle w:val="Lienhypertexte"/>
                <w:rtl/>
              </w:rPr>
              <w:t xml:space="preserve"> </w:t>
            </w:r>
            <w:r w:rsidR="00FD69D1" w:rsidRPr="008D22A6">
              <w:rPr>
                <w:rStyle w:val="Lienhypertexte"/>
                <w:rFonts w:hint="eastAsia"/>
                <w:rtl/>
              </w:rPr>
              <w:t>عبر</w:t>
            </w:r>
            <w:r w:rsidR="00FD69D1" w:rsidRPr="008D22A6">
              <w:rPr>
                <w:rStyle w:val="Lienhypertexte"/>
                <w:rtl/>
              </w:rPr>
              <w:t xml:space="preserve"> </w:t>
            </w:r>
            <w:r w:rsidR="00FD69D1" w:rsidRPr="008D22A6">
              <w:rPr>
                <w:rStyle w:val="Lienhypertexte"/>
                <w:rFonts w:hint="eastAsia"/>
                <w:rtl/>
              </w:rPr>
              <w:t>فئات</w:t>
            </w:r>
            <w:r w:rsidR="00FD69D1" w:rsidRPr="008D22A6">
              <w:rPr>
                <w:rStyle w:val="Lienhypertexte"/>
                <w:rtl/>
              </w:rPr>
              <w:t xml:space="preserve"> </w:t>
            </w:r>
            <w:r w:rsidR="00FD69D1" w:rsidRPr="008D22A6">
              <w:rPr>
                <w:rStyle w:val="Lienhypertexte"/>
                <w:rFonts w:hint="eastAsia"/>
                <w:rtl/>
              </w:rPr>
              <w:t>الانسجة</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لمدينة</w:t>
            </w:r>
            <w:r w:rsidR="00FD69D1" w:rsidRPr="008D22A6">
              <w:rPr>
                <w:rStyle w:val="Lienhypertexte"/>
                <w:rtl/>
              </w:rPr>
              <w:t xml:space="preserve"> </w:t>
            </w:r>
            <w:r w:rsidR="00FD69D1" w:rsidRPr="008D22A6">
              <w:rPr>
                <w:rStyle w:val="Lienhypertexte"/>
                <w:rFonts w:hint="eastAsia"/>
                <w:rtl/>
              </w:rPr>
              <w:t>بوسعادة</w:t>
            </w:r>
          </w:hyperlink>
        </w:p>
        <w:p w:rsidR="00FD69D1" w:rsidRDefault="00B62F86" w:rsidP="00072323">
          <w:pPr>
            <w:pStyle w:val="TM1"/>
            <w:rPr>
              <w:rFonts w:asciiTheme="minorHAnsi" w:hAnsiTheme="minorHAnsi" w:cstheme="minorBidi"/>
              <w:color w:val="auto"/>
              <w:lang w:val="fr-FR" w:bidi="ar-SA"/>
            </w:rPr>
          </w:pPr>
          <w:hyperlink w:anchor="_Toc171803806" w:history="1">
            <w:r w:rsidR="00FD69D1" w:rsidRPr="008D22A6">
              <w:rPr>
                <w:rStyle w:val="Lienhypertexte"/>
                <w:rFonts w:hint="eastAsia"/>
                <w:rtl/>
              </w:rPr>
              <w:t>الخريطة</w:t>
            </w:r>
            <w:r w:rsidR="00FD69D1" w:rsidRPr="008D22A6">
              <w:rPr>
                <w:rStyle w:val="Lienhypertexte"/>
                <w:rtl/>
              </w:rPr>
              <w:t xml:space="preserve"> (6-1) </w:t>
            </w:r>
            <w:r w:rsidR="00FD69D1" w:rsidRPr="008D22A6">
              <w:rPr>
                <w:rStyle w:val="Lienhypertexte"/>
                <w:rFonts w:hint="eastAsia"/>
                <w:rtl/>
              </w:rPr>
              <w:t>تباين</w:t>
            </w:r>
            <w:r w:rsidR="00FD69D1" w:rsidRPr="008D22A6">
              <w:rPr>
                <w:rStyle w:val="Lienhypertexte"/>
                <w:rtl/>
              </w:rPr>
              <w:t xml:space="preserve">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لكثافة</w:t>
            </w:r>
            <w:r w:rsidR="00FD69D1" w:rsidRPr="008D22A6">
              <w:rPr>
                <w:rStyle w:val="Lienhypertexte"/>
                <w:rtl/>
              </w:rPr>
              <w:t xml:space="preserve"> </w:t>
            </w:r>
            <w:r w:rsidR="00FD69D1" w:rsidRPr="008D22A6">
              <w:rPr>
                <w:rStyle w:val="Lienhypertexte"/>
                <w:rFonts w:hint="eastAsia"/>
                <w:rtl/>
              </w:rPr>
              <w:t>البناء،</w:t>
            </w:r>
            <w:r w:rsidR="00FD69D1" w:rsidRPr="008D22A6">
              <w:rPr>
                <w:rStyle w:val="Lienhypertexte"/>
                <w:rtl/>
              </w:rPr>
              <w:t xml:space="preserve"> </w:t>
            </w:r>
            <w:r w:rsidR="00FD69D1" w:rsidRPr="008D22A6">
              <w:rPr>
                <w:rStyle w:val="Lienhypertexte"/>
                <w:rFonts w:hint="eastAsia"/>
                <w:rtl/>
              </w:rPr>
              <w:t>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أ</w:t>
            </w:r>
            <w:r w:rsidR="00FD69D1" w:rsidRPr="008D22A6">
              <w:rPr>
                <w:rStyle w:val="Lienhypertexte"/>
                <w:rtl/>
              </w:rPr>
              <w:t>)</w:t>
            </w:r>
            <w:r w:rsidR="00FD69D1" w:rsidRPr="008D22A6">
              <w:rPr>
                <w:rStyle w:val="Lienhypertexte"/>
                <w:rFonts w:hint="eastAsia"/>
                <w:rtl/>
              </w:rPr>
              <w:t>،</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القصر</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_Toc171803806 \h </w:instrText>
            </w:r>
            <w:r w:rsidR="00FD69D1">
              <w:rPr>
                <w:webHidden/>
              </w:rPr>
            </w:r>
            <w:r w:rsidR="00FD69D1">
              <w:rPr>
                <w:webHidden/>
              </w:rPr>
              <w:fldChar w:fldCharType="separate"/>
            </w:r>
            <w:r>
              <w:rPr>
                <w:webHidden/>
                <w:rtl/>
                <w:lang w:bidi="ar-SA"/>
              </w:rPr>
              <w:t>197</w:t>
            </w:r>
            <w:r w:rsidR="00FD69D1">
              <w:rPr>
                <w:webHidden/>
              </w:rPr>
              <w:fldChar w:fldCharType="end"/>
            </w:r>
          </w:hyperlink>
        </w:p>
        <w:p w:rsidR="00FD69D1" w:rsidRDefault="00B62F86" w:rsidP="003034C2">
          <w:pPr>
            <w:pStyle w:val="TM1"/>
            <w:rPr>
              <w:rFonts w:asciiTheme="minorHAnsi" w:hAnsiTheme="minorHAnsi" w:cstheme="minorBidi"/>
              <w:color w:val="auto"/>
              <w:lang w:val="fr-FR" w:bidi="ar-SA"/>
            </w:rPr>
          </w:pPr>
          <w:hyperlink w:anchor="_Toc171803810" w:history="1">
            <w:r w:rsidR="00FD69D1" w:rsidRPr="008D22A6">
              <w:rPr>
                <w:rStyle w:val="Lienhypertexte"/>
                <w:rFonts w:hint="eastAsia"/>
                <w:rtl/>
              </w:rPr>
              <w:t>الخريطة</w:t>
            </w:r>
            <w:r w:rsidR="00FD69D1" w:rsidRPr="008D22A6">
              <w:rPr>
                <w:rStyle w:val="Lienhypertexte"/>
                <w:rtl/>
              </w:rPr>
              <w:t xml:space="preserve"> (6-2) </w:t>
            </w:r>
            <w:r w:rsidR="00FD69D1" w:rsidRPr="008D22A6">
              <w:rPr>
                <w:rStyle w:val="Lienhypertexte"/>
                <w:rFonts w:hint="eastAsia"/>
                <w:rtl/>
              </w:rPr>
              <w:t>تباين</w:t>
            </w:r>
            <w:r w:rsidR="00FD69D1" w:rsidRPr="008D22A6">
              <w:rPr>
                <w:rStyle w:val="Lienhypertexte"/>
                <w:rtl/>
              </w:rPr>
              <w:t xml:space="preserve">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لكثافة</w:t>
            </w:r>
            <w:r w:rsidR="00FD69D1" w:rsidRPr="008D22A6">
              <w:rPr>
                <w:rStyle w:val="Lienhypertexte"/>
                <w:rtl/>
              </w:rPr>
              <w:t xml:space="preserve"> </w:t>
            </w:r>
            <w:r w:rsidR="00FD69D1" w:rsidRPr="008D22A6">
              <w:rPr>
                <w:rStyle w:val="Lienhypertexte"/>
                <w:rFonts w:hint="eastAsia"/>
                <w:rtl/>
              </w:rPr>
              <w:t>البناء</w:t>
            </w:r>
            <w:r w:rsidR="00FD69D1" w:rsidRPr="008D22A6">
              <w:rPr>
                <w:rStyle w:val="Lienhypertexte"/>
                <w:rtl/>
              </w:rPr>
              <w:t xml:space="preserve"> </w:t>
            </w:r>
            <w:r w:rsidR="00FD69D1" w:rsidRPr="008D22A6">
              <w:rPr>
                <w:rStyle w:val="Lienhypertexte"/>
                <w:rFonts w:hint="eastAsia"/>
                <w:rtl/>
              </w:rPr>
              <w:t>لفئة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ب</w:t>
            </w:r>
            <w:r w:rsidR="00FD69D1" w:rsidRPr="008D22A6">
              <w:rPr>
                <w:rStyle w:val="Lienhypertexte"/>
                <w:rtl/>
              </w:rPr>
              <w:t>)</w:t>
            </w:r>
            <w:r w:rsidR="00FD69D1" w:rsidRPr="008D22A6">
              <w:rPr>
                <w:rStyle w:val="Lienhypertexte"/>
                <w:rFonts w:hint="eastAsia"/>
                <w:rtl/>
              </w:rPr>
              <w:t>،</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بلاتو</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_Toc171803810 \h </w:instrText>
            </w:r>
            <w:r w:rsidR="00FD69D1">
              <w:rPr>
                <w:webHidden/>
              </w:rPr>
            </w:r>
            <w:r w:rsidR="00FD69D1">
              <w:rPr>
                <w:webHidden/>
              </w:rPr>
              <w:fldChar w:fldCharType="separate"/>
            </w:r>
            <w:r>
              <w:rPr>
                <w:webHidden/>
                <w:rtl/>
                <w:lang w:bidi="ar-SA"/>
              </w:rPr>
              <w:t>199</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15" w:history="1">
            <w:r w:rsidR="00FD69D1" w:rsidRPr="008D22A6">
              <w:rPr>
                <w:rStyle w:val="Lienhypertexte"/>
                <w:rFonts w:hint="eastAsia"/>
                <w:rtl/>
              </w:rPr>
              <w:t>الخريطة</w:t>
            </w:r>
            <w:r w:rsidR="00FD69D1" w:rsidRPr="008D22A6">
              <w:rPr>
                <w:rStyle w:val="Lienhypertexte"/>
                <w:rtl/>
              </w:rPr>
              <w:t xml:space="preserve"> (6-3) </w:t>
            </w:r>
            <w:r w:rsidR="00FD69D1" w:rsidRPr="008D22A6">
              <w:rPr>
                <w:rStyle w:val="Lienhypertexte"/>
                <w:rFonts w:hint="eastAsia"/>
                <w:rtl/>
              </w:rPr>
              <w:t>تباين</w:t>
            </w:r>
            <w:r w:rsidR="00FD69D1" w:rsidRPr="008D22A6">
              <w:rPr>
                <w:rStyle w:val="Lienhypertexte"/>
                <w:rtl/>
              </w:rPr>
              <w:t xml:space="preserve">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لكثافة</w:t>
            </w:r>
            <w:r w:rsidR="00FD69D1" w:rsidRPr="008D22A6">
              <w:rPr>
                <w:rStyle w:val="Lienhypertexte"/>
                <w:rtl/>
              </w:rPr>
              <w:t xml:space="preserve"> </w:t>
            </w:r>
            <w:r w:rsidR="00FD69D1" w:rsidRPr="008D22A6">
              <w:rPr>
                <w:rStyle w:val="Lienhypertexte"/>
                <w:rFonts w:hint="eastAsia"/>
                <w:rtl/>
              </w:rPr>
              <w:t>البناء</w:t>
            </w:r>
            <w:r w:rsidR="00FD69D1" w:rsidRPr="008D22A6">
              <w:rPr>
                <w:rStyle w:val="Lienhypertexte"/>
                <w:rtl/>
              </w:rPr>
              <w:t xml:space="preserve"> </w:t>
            </w:r>
            <w:r w:rsidR="00FD69D1" w:rsidRPr="008D22A6">
              <w:rPr>
                <w:rStyle w:val="Lienhypertexte"/>
                <w:rFonts w:hint="eastAsia"/>
                <w:rtl/>
              </w:rPr>
              <w:t>لفئة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جـ</w:t>
            </w:r>
            <w:r w:rsidR="00FD69D1" w:rsidRPr="008D22A6">
              <w:rPr>
                <w:rStyle w:val="Lienhypertexte"/>
                <w:rtl/>
              </w:rPr>
              <w:t>)</w:t>
            </w:r>
            <w:r w:rsidR="00FD69D1" w:rsidRPr="008D22A6">
              <w:rPr>
                <w:rStyle w:val="Lienhypertexte"/>
                <w:rFonts w:hint="eastAsia"/>
                <w:rtl/>
              </w:rPr>
              <w:t>،</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سيدي</w:t>
            </w:r>
            <w:r w:rsidR="00FD69D1" w:rsidRPr="008D22A6">
              <w:rPr>
                <w:rStyle w:val="Lienhypertexte"/>
                <w:rtl/>
              </w:rPr>
              <w:t xml:space="preserve"> </w:t>
            </w:r>
            <w:r w:rsidR="00FD69D1" w:rsidRPr="008D22A6">
              <w:rPr>
                <w:rStyle w:val="Lienhypertexte"/>
                <w:rFonts w:hint="eastAsia"/>
                <w:rtl/>
              </w:rPr>
              <w:t>سليمان</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_Toc171803815 \h </w:instrText>
            </w:r>
            <w:r w:rsidR="00FD69D1">
              <w:rPr>
                <w:webHidden/>
              </w:rPr>
            </w:r>
            <w:r w:rsidR="00FD69D1">
              <w:rPr>
                <w:webHidden/>
              </w:rPr>
              <w:fldChar w:fldCharType="separate"/>
            </w:r>
            <w:r>
              <w:rPr>
                <w:webHidden/>
                <w:rtl/>
                <w:lang w:bidi="ar-SA"/>
              </w:rPr>
              <w:t>201</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20" w:history="1">
            <w:r w:rsidR="00FD69D1" w:rsidRPr="008D22A6">
              <w:rPr>
                <w:rStyle w:val="Lienhypertexte"/>
                <w:rFonts w:hint="eastAsia"/>
                <w:rtl/>
              </w:rPr>
              <w:t>الخريطة</w:t>
            </w:r>
            <w:r w:rsidR="00FD69D1" w:rsidRPr="008D22A6">
              <w:rPr>
                <w:rStyle w:val="Lienhypertexte"/>
                <w:rtl/>
              </w:rPr>
              <w:t xml:space="preserve"> (6-4) </w:t>
            </w:r>
            <w:r w:rsidR="00FD69D1" w:rsidRPr="008D22A6">
              <w:rPr>
                <w:rStyle w:val="Lienhypertexte"/>
                <w:rFonts w:hint="eastAsia"/>
                <w:rtl/>
              </w:rPr>
              <w:t>تباين</w:t>
            </w:r>
            <w:r w:rsidR="00FD69D1" w:rsidRPr="008D22A6">
              <w:rPr>
                <w:rStyle w:val="Lienhypertexte"/>
                <w:rtl/>
              </w:rPr>
              <w:t xml:space="preserve">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لكثافة</w:t>
            </w:r>
            <w:r w:rsidR="00FD69D1" w:rsidRPr="008D22A6">
              <w:rPr>
                <w:rStyle w:val="Lienhypertexte"/>
                <w:rtl/>
              </w:rPr>
              <w:t xml:space="preserve"> </w:t>
            </w:r>
            <w:r w:rsidR="00FD69D1" w:rsidRPr="008D22A6">
              <w:rPr>
                <w:rStyle w:val="Lienhypertexte"/>
                <w:rFonts w:hint="eastAsia"/>
                <w:rtl/>
              </w:rPr>
              <w:t>البناء</w:t>
            </w:r>
            <w:r w:rsidR="00FD69D1" w:rsidRPr="008D22A6">
              <w:rPr>
                <w:rStyle w:val="Lienhypertexte"/>
                <w:rtl/>
              </w:rPr>
              <w:t xml:space="preserve"> </w:t>
            </w:r>
            <w:r w:rsidR="00FD69D1" w:rsidRPr="008D22A6">
              <w:rPr>
                <w:rStyle w:val="Lienhypertexte"/>
                <w:rFonts w:hint="eastAsia"/>
                <w:rtl/>
              </w:rPr>
              <w:t>لفئة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د</w:t>
            </w:r>
            <w:r w:rsidR="00FD69D1" w:rsidRPr="008D22A6">
              <w:rPr>
                <w:rStyle w:val="Lienhypertexte"/>
                <w:rtl/>
              </w:rPr>
              <w:t>)</w:t>
            </w:r>
            <w:r w:rsidR="00FD69D1" w:rsidRPr="008D22A6">
              <w:rPr>
                <w:rStyle w:val="Lienhypertexte"/>
                <w:rFonts w:hint="eastAsia"/>
                <w:rtl/>
              </w:rPr>
              <w:t>،</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الحمايد</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_Toc171803820 \h </w:instrText>
            </w:r>
            <w:r w:rsidR="00FD69D1">
              <w:rPr>
                <w:webHidden/>
              </w:rPr>
            </w:r>
            <w:r w:rsidR="00FD69D1">
              <w:rPr>
                <w:webHidden/>
              </w:rPr>
              <w:fldChar w:fldCharType="separate"/>
            </w:r>
            <w:r>
              <w:rPr>
                <w:webHidden/>
                <w:rtl/>
                <w:lang w:bidi="ar-SA"/>
              </w:rPr>
              <w:t>203</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r:id="rId21" w:anchor="_Toc171803827" w:history="1">
            <w:r w:rsidR="00FD69D1" w:rsidRPr="008D22A6">
              <w:rPr>
                <w:rStyle w:val="Lienhypertexte"/>
                <w:rFonts w:hint="eastAsia"/>
                <w:rtl/>
              </w:rPr>
              <w:t>الخريطة</w:t>
            </w:r>
            <w:r w:rsidR="00FD69D1" w:rsidRPr="008D22A6">
              <w:rPr>
                <w:rStyle w:val="Lienhypertexte"/>
                <w:rtl/>
              </w:rPr>
              <w:t xml:space="preserve"> (6-5) </w:t>
            </w:r>
            <w:r w:rsidR="00FD69D1" w:rsidRPr="008D22A6">
              <w:rPr>
                <w:rStyle w:val="Lienhypertexte"/>
                <w:rFonts w:hint="eastAsia"/>
                <w:rtl/>
              </w:rPr>
              <w:t>مساحة</w:t>
            </w:r>
            <w:r w:rsidR="00FD69D1" w:rsidRPr="008D22A6">
              <w:rPr>
                <w:rStyle w:val="Lienhypertexte"/>
                <w:rtl/>
              </w:rPr>
              <w:t xml:space="preserve"> </w:t>
            </w:r>
            <w:r w:rsidR="00FD69D1" w:rsidRPr="008D22A6">
              <w:rPr>
                <w:rStyle w:val="Lienhypertexte"/>
                <w:rFonts w:hint="eastAsia"/>
                <w:rtl/>
              </w:rPr>
              <w:t>التغطية</w:t>
            </w:r>
            <w:r w:rsidR="00FD69D1" w:rsidRPr="008D22A6">
              <w:rPr>
                <w:rStyle w:val="Lienhypertexte"/>
                <w:rtl/>
              </w:rPr>
              <w:t xml:space="preserve"> </w:t>
            </w:r>
            <w:r w:rsidR="00FD69D1" w:rsidRPr="008D22A6">
              <w:rPr>
                <w:rStyle w:val="Lienhypertexte"/>
                <w:rFonts w:hint="eastAsia"/>
                <w:rtl/>
              </w:rPr>
              <w:t>بالخدمة</w:t>
            </w:r>
            <w:r w:rsidR="00FD69D1" w:rsidRPr="008D22A6">
              <w:rPr>
                <w:rStyle w:val="Lienhypertexte"/>
                <w:rtl/>
              </w:rPr>
              <w:t xml:space="preserve"> </w:t>
            </w:r>
            <w:r w:rsidR="00FD69D1" w:rsidRPr="008D22A6">
              <w:rPr>
                <w:rStyle w:val="Lienhypertexte"/>
                <w:rFonts w:hint="eastAsia"/>
                <w:rtl/>
              </w:rPr>
              <w:t>الصحية</w:t>
            </w:r>
            <w:r w:rsidR="00072323" w:rsidRPr="00072323">
              <w:rPr>
                <w:rStyle w:val="Lienhypertexte"/>
                <w:rFonts w:hint="cs"/>
                <w:rtl/>
              </w:rPr>
              <w:t>........................................................</w:t>
            </w:r>
            <w:r w:rsidR="00072323">
              <w:rPr>
                <w:rStyle w:val="Lienhypertexte"/>
                <w:rFonts w:hint="cs"/>
                <w:rtl/>
              </w:rPr>
              <w:t>.</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_Toc171803827 \h </w:instrText>
            </w:r>
            <w:r w:rsidR="00FD69D1">
              <w:rPr>
                <w:webHidden/>
              </w:rPr>
            </w:r>
            <w:r w:rsidR="00FD69D1">
              <w:rPr>
                <w:webHidden/>
              </w:rPr>
              <w:fldChar w:fldCharType="separate"/>
            </w:r>
            <w:r>
              <w:rPr>
                <w:webHidden/>
                <w:rtl/>
                <w:lang w:bidi="ar-SA"/>
              </w:rPr>
              <w:t>205</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r:id="rId22" w:anchor="_Toc171803832" w:history="1">
            <w:r w:rsidR="00FD69D1" w:rsidRPr="008D22A6">
              <w:rPr>
                <w:rStyle w:val="Lienhypertexte"/>
                <w:rFonts w:hint="eastAsia"/>
                <w:rtl/>
              </w:rPr>
              <w:t>الخريطة</w:t>
            </w:r>
            <w:r w:rsidR="00FD69D1" w:rsidRPr="008D22A6">
              <w:rPr>
                <w:rStyle w:val="Lienhypertexte"/>
                <w:rtl/>
              </w:rPr>
              <w:t xml:space="preserve"> (6-6) </w:t>
            </w:r>
            <w:r w:rsidR="00FD69D1" w:rsidRPr="008D22A6">
              <w:rPr>
                <w:rStyle w:val="Lienhypertexte"/>
                <w:rFonts w:hint="eastAsia"/>
                <w:rtl/>
              </w:rPr>
              <w:t>مساحة</w:t>
            </w:r>
            <w:r w:rsidR="00FD69D1" w:rsidRPr="008D22A6">
              <w:rPr>
                <w:rStyle w:val="Lienhypertexte"/>
                <w:rtl/>
              </w:rPr>
              <w:t xml:space="preserve"> </w:t>
            </w:r>
            <w:r w:rsidR="00FD69D1" w:rsidRPr="008D22A6">
              <w:rPr>
                <w:rStyle w:val="Lienhypertexte"/>
                <w:rFonts w:hint="eastAsia"/>
                <w:rtl/>
              </w:rPr>
              <w:t>التغطية</w:t>
            </w:r>
            <w:r w:rsidR="00FD69D1" w:rsidRPr="008D22A6">
              <w:rPr>
                <w:rStyle w:val="Lienhypertexte"/>
                <w:rtl/>
              </w:rPr>
              <w:t xml:space="preserve"> </w:t>
            </w:r>
            <w:r w:rsidR="00FD69D1" w:rsidRPr="008D22A6">
              <w:rPr>
                <w:rStyle w:val="Lienhypertexte"/>
                <w:rFonts w:hint="eastAsia"/>
                <w:rtl/>
              </w:rPr>
              <w:t>بخدمة</w:t>
            </w:r>
            <w:r w:rsidR="00FD69D1" w:rsidRPr="008D22A6">
              <w:rPr>
                <w:rStyle w:val="Lienhypertexte"/>
                <w:rtl/>
              </w:rPr>
              <w:t xml:space="preserve"> </w:t>
            </w:r>
            <w:r w:rsidR="00FD69D1" w:rsidRPr="008D22A6">
              <w:rPr>
                <w:rStyle w:val="Lienhypertexte"/>
                <w:rFonts w:hint="eastAsia"/>
                <w:rtl/>
              </w:rPr>
              <w:t>الإنقاذ</w:t>
            </w:r>
            <w:r w:rsidR="00FD69D1" w:rsidRPr="008D22A6">
              <w:rPr>
                <w:rStyle w:val="Lienhypertexte"/>
                <w:rtl/>
              </w:rPr>
              <w:t xml:space="preserve"> </w:t>
            </w:r>
            <w:r w:rsidR="00FD69D1" w:rsidRPr="008D22A6">
              <w:rPr>
                <w:rStyle w:val="Lienhypertexte"/>
                <w:rFonts w:hint="eastAsia"/>
                <w:rtl/>
              </w:rPr>
              <w:t>والإجلاء</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_Toc171803832 \h </w:instrText>
            </w:r>
            <w:r w:rsidR="00FD69D1">
              <w:rPr>
                <w:webHidden/>
              </w:rPr>
            </w:r>
            <w:r w:rsidR="00FD69D1">
              <w:rPr>
                <w:webHidden/>
              </w:rPr>
              <w:fldChar w:fldCharType="separate"/>
            </w:r>
            <w:r>
              <w:rPr>
                <w:webHidden/>
                <w:rtl/>
                <w:lang w:bidi="ar-SA"/>
              </w:rPr>
              <w:t>206</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r:id="rId23" w:anchor="_Toc171803837" w:history="1">
            <w:r w:rsidR="00FD69D1" w:rsidRPr="008D22A6">
              <w:rPr>
                <w:rStyle w:val="Lienhypertexte"/>
                <w:rFonts w:hint="eastAsia"/>
                <w:rtl/>
              </w:rPr>
              <w:t>الخريطة</w:t>
            </w:r>
            <w:r w:rsidR="00FD69D1" w:rsidRPr="008D22A6">
              <w:rPr>
                <w:rStyle w:val="Lienhypertexte"/>
                <w:rtl/>
              </w:rPr>
              <w:t xml:space="preserve"> (6-7) </w:t>
            </w:r>
            <w:r w:rsidR="00FD69D1" w:rsidRPr="008D22A6">
              <w:rPr>
                <w:rStyle w:val="Lienhypertexte"/>
                <w:rFonts w:hint="eastAsia"/>
                <w:rtl/>
              </w:rPr>
              <w:t>مساحة</w:t>
            </w:r>
            <w:r w:rsidR="00FD69D1" w:rsidRPr="008D22A6">
              <w:rPr>
                <w:rStyle w:val="Lienhypertexte"/>
                <w:rtl/>
              </w:rPr>
              <w:t xml:space="preserve"> </w:t>
            </w:r>
            <w:r w:rsidR="00FD69D1" w:rsidRPr="008D22A6">
              <w:rPr>
                <w:rStyle w:val="Lienhypertexte"/>
                <w:rFonts w:hint="eastAsia"/>
                <w:rtl/>
              </w:rPr>
              <w:t>التغطية</w:t>
            </w:r>
            <w:r w:rsidR="00FD69D1" w:rsidRPr="008D22A6">
              <w:rPr>
                <w:rStyle w:val="Lienhypertexte"/>
                <w:rtl/>
              </w:rPr>
              <w:t xml:space="preserve"> </w:t>
            </w:r>
            <w:r w:rsidR="00FD69D1" w:rsidRPr="008D22A6">
              <w:rPr>
                <w:rStyle w:val="Lienhypertexte"/>
                <w:rFonts w:hint="eastAsia"/>
                <w:rtl/>
              </w:rPr>
              <w:t>بخدمة</w:t>
            </w:r>
            <w:r w:rsidR="00FD69D1" w:rsidRPr="008D22A6">
              <w:rPr>
                <w:rStyle w:val="Lienhypertexte"/>
                <w:rtl/>
              </w:rPr>
              <w:t xml:space="preserve"> </w:t>
            </w:r>
            <w:r w:rsidR="00FD69D1" w:rsidRPr="008D22A6">
              <w:rPr>
                <w:rStyle w:val="Lienhypertexte"/>
                <w:rFonts w:hint="eastAsia"/>
                <w:rtl/>
              </w:rPr>
              <w:t>الامن</w:t>
            </w:r>
            <w:r w:rsidR="00072323" w:rsidRPr="00072323">
              <w:rPr>
                <w:rStyle w:val="Lienhypertexte"/>
                <w:rFonts w:hint="cs"/>
                <w:rtl/>
              </w:rPr>
              <w:t>....................................................</w:t>
            </w:r>
            <w:r w:rsidR="00072323">
              <w:rPr>
                <w:rStyle w:val="Lienhypertexte"/>
                <w:rFonts w:hint="cs"/>
                <w:rtl/>
              </w:rPr>
              <w:t>.</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_Toc171803837 \h </w:instrText>
            </w:r>
            <w:r w:rsidR="00FD69D1">
              <w:rPr>
                <w:webHidden/>
              </w:rPr>
            </w:r>
            <w:r w:rsidR="00FD69D1">
              <w:rPr>
                <w:webHidden/>
              </w:rPr>
              <w:fldChar w:fldCharType="separate"/>
            </w:r>
            <w:r>
              <w:rPr>
                <w:webHidden/>
                <w:rtl/>
                <w:lang w:bidi="ar-SA"/>
              </w:rPr>
              <w:t>207</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r:id="rId24" w:anchor="_Toc171803845" w:history="1">
            <w:r w:rsidR="00FD69D1" w:rsidRPr="008D22A6">
              <w:rPr>
                <w:rStyle w:val="Lienhypertexte"/>
                <w:rFonts w:hint="eastAsia"/>
                <w:rtl/>
              </w:rPr>
              <w:t>الخريطة</w:t>
            </w:r>
            <w:r w:rsidR="00FD69D1" w:rsidRPr="008D22A6">
              <w:rPr>
                <w:rStyle w:val="Lienhypertexte"/>
                <w:rtl/>
              </w:rPr>
              <w:t xml:space="preserve"> (6-8) </w:t>
            </w:r>
            <w:r w:rsidR="00FD69D1" w:rsidRPr="008D22A6">
              <w:rPr>
                <w:rStyle w:val="Lienhypertexte"/>
                <w:rFonts w:hint="eastAsia"/>
                <w:rtl/>
              </w:rPr>
              <w:t>مساحة</w:t>
            </w:r>
            <w:r w:rsidR="00FD69D1" w:rsidRPr="008D22A6">
              <w:rPr>
                <w:rStyle w:val="Lienhypertexte"/>
                <w:rtl/>
              </w:rPr>
              <w:t xml:space="preserve"> </w:t>
            </w:r>
            <w:r w:rsidR="00FD69D1" w:rsidRPr="008D22A6">
              <w:rPr>
                <w:rStyle w:val="Lienhypertexte"/>
                <w:rFonts w:hint="eastAsia"/>
                <w:rtl/>
              </w:rPr>
              <w:t>التغطية</w:t>
            </w:r>
            <w:r w:rsidR="00FD69D1" w:rsidRPr="008D22A6">
              <w:rPr>
                <w:rStyle w:val="Lienhypertexte"/>
                <w:rtl/>
              </w:rPr>
              <w:t xml:space="preserve"> </w:t>
            </w:r>
            <w:r w:rsidR="00FD69D1" w:rsidRPr="008D22A6">
              <w:rPr>
                <w:rStyle w:val="Lienhypertexte"/>
                <w:rFonts w:hint="eastAsia"/>
                <w:rtl/>
              </w:rPr>
              <w:t>بخدمة</w:t>
            </w:r>
            <w:r w:rsidR="00FD69D1" w:rsidRPr="008D22A6">
              <w:rPr>
                <w:rStyle w:val="Lienhypertexte"/>
                <w:rtl/>
              </w:rPr>
              <w:t xml:space="preserve"> </w:t>
            </w:r>
            <w:r w:rsidR="00FD69D1" w:rsidRPr="008D22A6">
              <w:rPr>
                <w:rStyle w:val="Lienhypertexte"/>
                <w:rFonts w:hint="eastAsia"/>
                <w:rtl/>
              </w:rPr>
              <w:t>التعليم</w:t>
            </w:r>
            <w:r w:rsidR="00FD69D1" w:rsidRPr="008D22A6">
              <w:rPr>
                <w:rStyle w:val="Lienhypertexte"/>
                <w:rtl/>
              </w:rPr>
              <w:t xml:space="preserve"> </w:t>
            </w:r>
            <w:r w:rsidR="00FD69D1" w:rsidRPr="008D22A6">
              <w:rPr>
                <w:rStyle w:val="Lienhypertexte"/>
                <w:rFonts w:hint="eastAsia"/>
                <w:rtl/>
              </w:rPr>
              <w:t>الابتدائي</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_Toc171803845 \h </w:instrText>
            </w:r>
            <w:r w:rsidR="00FD69D1">
              <w:rPr>
                <w:webHidden/>
              </w:rPr>
            </w:r>
            <w:r w:rsidR="00FD69D1">
              <w:rPr>
                <w:webHidden/>
              </w:rPr>
              <w:fldChar w:fldCharType="separate"/>
            </w:r>
            <w:r>
              <w:rPr>
                <w:webHidden/>
                <w:rtl/>
                <w:lang w:bidi="ar-SA"/>
              </w:rPr>
              <w:t>208</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r:id="rId25" w:anchor="_Toc171803847" w:history="1">
            <w:r w:rsidR="00FD69D1" w:rsidRPr="008D22A6">
              <w:rPr>
                <w:rStyle w:val="Lienhypertexte"/>
                <w:rFonts w:hint="eastAsia"/>
                <w:rtl/>
              </w:rPr>
              <w:t>الخريطة</w:t>
            </w:r>
            <w:r w:rsidR="00FD69D1" w:rsidRPr="008D22A6">
              <w:rPr>
                <w:rStyle w:val="Lienhypertexte"/>
                <w:rtl/>
              </w:rPr>
              <w:t xml:space="preserve"> (6-9) </w:t>
            </w:r>
            <w:r w:rsidR="00FD69D1" w:rsidRPr="008D22A6">
              <w:rPr>
                <w:rStyle w:val="Lienhypertexte"/>
                <w:rFonts w:hint="eastAsia"/>
                <w:rtl/>
              </w:rPr>
              <w:t>مساحة</w:t>
            </w:r>
            <w:r w:rsidR="00FD69D1" w:rsidRPr="008D22A6">
              <w:rPr>
                <w:rStyle w:val="Lienhypertexte"/>
                <w:rtl/>
              </w:rPr>
              <w:t xml:space="preserve"> </w:t>
            </w:r>
            <w:r w:rsidR="00FD69D1" w:rsidRPr="008D22A6">
              <w:rPr>
                <w:rStyle w:val="Lienhypertexte"/>
                <w:rFonts w:hint="eastAsia"/>
                <w:rtl/>
              </w:rPr>
              <w:t>التغطية</w:t>
            </w:r>
            <w:r w:rsidR="00FD69D1" w:rsidRPr="008D22A6">
              <w:rPr>
                <w:rStyle w:val="Lienhypertexte"/>
                <w:rtl/>
              </w:rPr>
              <w:t xml:space="preserve"> </w:t>
            </w:r>
            <w:r w:rsidR="00FD69D1" w:rsidRPr="008D22A6">
              <w:rPr>
                <w:rStyle w:val="Lienhypertexte"/>
                <w:rFonts w:hint="eastAsia"/>
                <w:rtl/>
              </w:rPr>
              <w:t>بالخدمة</w:t>
            </w:r>
            <w:r w:rsidR="00FD69D1" w:rsidRPr="008D22A6">
              <w:rPr>
                <w:rStyle w:val="Lienhypertexte"/>
                <w:rtl/>
              </w:rPr>
              <w:t xml:space="preserve"> </w:t>
            </w:r>
            <w:r w:rsidR="00FD69D1" w:rsidRPr="008D22A6">
              <w:rPr>
                <w:rStyle w:val="Lienhypertexte"/>
                <w:rFonts w:hint="eastAsia"/>
                <w:rtl/>
              </w:rPr>
              <w:t>الدينية</w:t>
            </w:r>
            <w:r w:rsidR="00FD69D1" w:rsidRPr="008D22A6">
              <w:rPr>
                <w:rStyle w:val="Lienhypertexte"/>
                <w:rtl/>
              </w:rPr>
              <w:t>/</w:t>
            </w:r>
            <w:r w:rsidR="00FD69D1" w:rsidRPr="008D22A6">
              <w:rPr>
                <w:rStyle w:val="Lienhypertexte"/>
                <w:rFonts w:hint="eastAsia"/>
                <w:rtl/>
              </w:rPr>
              <w:t>الثقافية</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_Toc171803847 \h </w:instrText>
            </w:r>
            <w:r w:rsidR="00FD69D1">
              <w:rPr>
                <w:webHidden/>
              </w:rPr>
            </w:r>
            <w:r w:rsidR="00FD69D1">
              <w:rPr>
                <w:webHidden/>
              </w:rPr>
              <w:fldChar w:fldCharType="separate"/>
            </w:r>
            <w:r>
              <w:rPr>
                <w:webHidden/>
                <w:rtl/>
                <w:lang w:bidi="ar-SA"/>
              </w:rPr>
              <w:t>209</w:t>
            </w:r>
            <w:r w:rsidR="00FD69D1">
              <w:rPr>
                <w:webHidden/>
              </w:rPr>
              <w:fldChar w:fldCharType="end"/>
            </w:r>
          </w:hyperlink>
        </w:p>
        <w:p w:rsidR="00FD69D1" w:rsidRDefault="00B62F86" w:rsidP="009579D2">
          <w:pPr>
            <w:pStyle w:val="TM1"/>
            <w:rPr>
              <w:rFonts w:asciiTheme="minorHAnsi" w:hAnsiTheme="minorHAnsi" w:cstheme="minorBidi"/>
              <w:color w:val="auto"/>
              <w:lang w:val="fr-FR" w:bidi="ar-SA"/>
            </w:rPr>
          </w:pPr>
          <w:hyperlink w:anchor="_Toc171803855" w:history="1">
            <w:r w:rsidR="00FD69D1" w:rsidRPr="008D22A6">
              <w:rPr>
                <w:rStyle w:val="Lienhypertexte"/>
                <w:rFonts w:hint="eastAsia"/>
                <w:rtl/>
              </w:rPr>
              <w:t>الخريطة</w:t>
            </w:r>
            <w:r w:rsidR="00FD69D1" w:rsidRPr="008D22A6">
              <w:rPr>
                <w:rStyle w:val="Lienhypertexte"/>
                <w:rtl/>
              </w:rPr>
              <w:t xml:space="preserve"> (6-10) </w:t>
            </w:r>
            <w:r w:rsidR="00FD69D1" w:rsidRPr="008D22A6">
              <w:rPr>
                <w:rStyle w:val="Lienhypertexte"/>
                <w:rFonts w:hint="eastAsia"/>
                <w:rtl/>
              </w:rPr>
              <w:t>تنوع</w:t>
            </w:r>
            <w:r w:rsidR="00FD69D1" w:rsidRPr="008D22A6">
              <w:rPr>
                <w:rStyle w:val="Lienhypertexte"/>
                <w:rtl/>
              </w:rPr>
              <w:t xml:space="preserve"> </w:t>
            </w:r>
            <w:r w:rsidR="00FD69D1" w:rsidRPr="008D22A6">
              <w:rPr>
                <w:rStyle w:val="Lienhypertexte"/>
                <w:rFonts w:hint="eastAsia"/>
                <w:rtl/>
              </w:rPr>
              <w:t>المرافق</w:t>
            </w:r>
            <w:r w:rsidR="00FD69D1" w:rsidRPr="008D22A6">
              <w:rPr>
                <w:rStyle w:val="Lienhypertexte"/>
                <w:rtl/>
              </w:rPr>
              <w:t xml:space="preserve"> </w:t>
            </w:r>
            <w:r w:rsidR="00FD69D1" w:rsidRPr="008D22A6">
              <w:rPr>
                <w:rStyle w:val="Lienhypertexte"/>
                <w:rFonts w:hint="eastAsia"/>
                <w:rtl/>
              </w:rPr>
              <w:t>على</w:t>
            </w:r>
            <w:r w:rsidR="00FD69D1" w:rsidRPr="008D22A6">
              <w:rPr>
                <w:rStyle w:val="Lienhypertexte"/>
                <w:rtl/>
              </w:rPr>
              <w:t xml:space="preserve"> </w:t>
            </w:r>
            <w:r w:rsidR="00FD69D1" w:rsidRPr="008D22A6">
              <w:rPr>
                <w:rStyle w:val="Lienhypertexte"/>
                <w:rFonts w:hint="eastAsia"/>
                <w:rtl/>
              </w:rPr>
              <w:t>مستوى</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القصر</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_Toc171803855 \h </w:instrText>
            </w:r>
            <w:r w:rsidR="00FD69D1">
              <w:rPr>
                <w:webHidden/>
              </w:rPr>
            </w:r>
            <w:r w:rsidR="00FD69D1">
              <w:rPr>
                <w:webHidden/>
              </w:rPr>
              <w:fldChar w:fldCharType="separate"/>
            </w:r>
            <w:r>
              <w:rPr>
                <w:webHidden/>
                <w:rtl/>
                <w:lang w:bidi="ar-SA"/>
              </w:rPr>
              <w:t>211</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59" w:history="1">
            <w:r w:rsidR="00FD69D1" w:rsidRPr="008D22A6">
              <w:rPr>
                <w:rStyle w:val="Lienhypertexte"/>
                <w:rFonts w:hint="eastAsia"/>
                <w:rtl/>
              </w:rPr>
              <w:t>الخريطة</w:t>
            </w:r>
            <w:r w:rsidR="00FD69D1" w:rsidRPr="008D22A6">
              <w:rPr>
                <w:rStyle w:val="Lienhypertexte"/>
                <w:rtl/>
              </w:rPr>
              <w:t xml:space="preserve"> (6-11) </w:t>
            </w:r>
            <w:r w:rsidR="00FD69D1" w:rsidRPr="008D22A6">
              <w:rPr>
                <w:rStyle w:val="Lienhypertexte"/>
                <w:rFonts w:hint="eastAsia"/>
                <w:rtl/>
              </w:rPr>
              <w:t>تنوع</w:t>
            </w:r>
            <w:r w:rsidR="00FD69D1" w:rsidRPr="008D22A6">
              <w:rPr>
                <w:rStyle w:val="Lienhypertexte"/>
                <w:rtl/>
              </w:rPr>
              <w:t xml:space="preserve"> </w:t>
            </w:r>
            <w:r w:rsidR="00FD69D1" w:rsidRPr="008D22A6">
              <w:rPr>
                <w:rStyle w:val="Lienhypertexte"/>
                <w:rFonts w:hint="eastAsia"/>
                <w:rtl/>
              </w:rPr>
              <w:t>المرافق</w:t>
            </w:r>
            <w:r w:rsidR="00FD69D1" w:rsidRPr="008D22A6">
              <w:rPr>
                <w:rStyle w:val="Lienhypertexte"/>
                <w:rtl/>
              </w:rPr>
              <w:t xml:space="preserve"> </w:t>
            </w:r>
            <w:r w:rsidR="00FD69D1" w:rsidRPr="008D22A6">
              <w:rPr>
                <w:rStyle w:val="Lienhypertexte"/>
                <w:rFonts w:hint="eastAsia"/>
                <w:rtl/>
              </w:rPr>
              <w:t>على</w:t>
            </w:r>
            <w:r w:rsidR="00FD69D1" w:rsidRPr="008D22A6">
              <w:rPr>
                <w:rStyle w:val="Lienhypertexte"/>
                <w:rtl/>
              </w:rPr>
              <w:t xml:space="preserve"> </w:t>
            </w:r>
            <w:r w:rsidR="00FD69D1" w:rsidRPr="008D22A6">
              <w:rPr>
                <w:rStyle w:val="Lienhypertexte"/>
                <w:rFonts w:hint="eastAsia"/>
                <w:rtl/>
              </w:rPr>
              <w:t>مستوى</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بلاتو</w:t>
            </w:r>
            <w:r w:rsidR="00072323" w:rsidRPr="00072323">
              <w:rPr>
                <w:rStyle w:val="Lienhypertexte"/>
                <w:rFonts w:hint="cs"/>
                <w:rtl/>
              </w:rPr>
              <w:t>..................................................................</w:t>
            </w:r>
            <w:r w:rsidR="00FD69D1">
              <w:rPr>
                <w:webHidden/>
              </w:rPr>
              <w:tab/>
            </w:r>
            <w:r w:rsidR="00FD69D1">
              <w:rPr>
                <w:webHidden/>
              </w:rPr>
              <w:fldChar w:fldCharType="begin"/>
            </w:r>
            <w:r w:rsidR="00FD69D1">
              <w:rPr>
                <w:webHidden/>
              </w:rPr>
              <w:instrText xml:space="preserve"> PAGEREF _Toc171803859 \h </w:instrText>
            </w:r>
            <w:r w:rsidR="00FD69D1">
              <w:rPr>
                <w:webHidden/>
              </w:rPr>
            </w:r>
            <w:r w:rsidR="00FD69D1">
              <w:rPr>
                <w:webHidden/>
              </w:rPr>
              <w:fldChar w:fldCharType="separate"/>
            </w:r>
            <w:r>
              <w:rPr>
                <w:webHidden/>
                <w:rtl/>
                <w:lang w:bidi="ar-SA"/>
              </w:rPr>
              <w:t>212</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63" w:history="1">
            <w:r w:rsidR="00FD69D1" w:rsidRPr="008D22A6">
              <w:rPr>
                <w:rStyle w:val="Lienhypertexte"/>
                <w:rFonts w:hint="eastAsia"/>
                <w:rtl/>
              </w:rPr>
              <w:t>الخريطة</w:t>
            </w:r>
            <w:r w:rsidR="00FD69D1" w:rsidRPr="008D22A6">
              <w:rPr>
                <w:rStyle w:val="Lienhypertexte"/>
                <w:rtl/>
              </w:rPr>
              <w:t xml:space="preserve"> (6-12) </w:t>
            </w:r>
            <w:r w:rsidR="00FD69D1" w:rsidRPr="008D22A6">
              <w:rPr>
                <w:rStyle w:val="Lienhypertexte"/>
                <w:rFonts w:hint="eastAsia"/>
                <w:rtl/>
              </w:rPr>
              <w:t>تنوع</w:t>
            </w:r>
            <w:r w:rsidR="00FD69D1" w:rsidRPr="008D22A6">
              <w:rPr>
                <w:rStyle w:val="Lienhypertexte"/>
                <w:rtl/>
              </w:rPr>
              <w:t xml:space="preserve"> </w:t>
            </w:r>
            <w:r w:rsidR="00FD69D1" w:rsidRPr="008D22A6">
              <w:rPr>
                <w:rStyle w:val="Lienhypertexte"/>
                <w:rFonts w:hint="eastAsia"/>
                <w:rtl/>
              </w:rPr>
              <w:t>المرافق</w:t>
            </w:r>
            <w:r w:rsidR="00FD69D1" w:rsidRPr="008D22A6">
              <w:rPr>
                <w:rStyle w:val="Lienhypertexte"/>
                <w:rtl/>
              </w:rPr>
              <w:t xml:space="preserve"> </w:t>
            </w:r>
            <w:r w:rsidR="00FD69D1" w:rsidRPr="008D22A6">
              <w:rPr>
                <w:rStyle w:val="Lienhypertexte"/>
                <w:rFonts w:hint="eastAsia"/>
                <w:rtl/>
              </w:rPr>
              <w:t>على</w:t>
            </w:r>
            <w:r w:rsidR="00FD69D1" w:rsidRPr="008D22A6">
              <w:rPr>
                <w:rStyle w:val="Lienhypertexte"/>
                <w:rtl/>
              </w:rPr>
              <w:t xml:space="preserve"> </w:t>
            </w:r>
            <w:r w:rsidR="00FD69D1" w:rsidRPr="008D22A6">
              <w:rPr>
                <w:rStyle w:val="Lienhypertexte"/>
                <w:rFonts w:hint="eastAsia"/>
                <w:rtl/>
              </w:rPr>
              <w:t>مستوى</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سيدي</w:t>
            </w:r>
            <w:r w:rsidR="00FD69D1" w:rsidRPr="008D22A6">
              <w:rPr>
                <w:rStyle w:val="Lienhypertexte"/>
                <w:rtl/>
              </w:rPr>
              <w:t xml:space="preserve"> </w:t>
            </w:r>
            <w:r w:rsidR="00FD69D1" w:rsidRPr="008D22A6">
              <w:rPr>
                <w:rStyle w:val="Lienhypertexte"/>
                <w:rFonts w:hint="eastAsia"/>
                <w:rtl/>
              </w:rPr>
              <w:t>سليمان</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_Toc171803863 \h </w:instrText>
            </w:r>
            <w:r w:rsidR="00FD69D1">
              <w:rPr>
                <w:webHidden/>
              </w:rPr>
            </w:r>
            <w:r w:rsidR="00FD69D1">
              <w:rPr>
                <w:webHidden/>
              </w:rPr>
              <w:fldChar w:fldCharType="separate"/>
            </w:r>
            <w:r>
              <w:rPr>
                <w:webHidden/>
                <w:rtl/>
                <w:lang w:bidi="ar-SA"/>
              </w:rPr>
              <w:t>213</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67" w:history="1">
            <w:r w:rsidR="00FD69D1" w:rsidRPr="008D22A6">
              <w:rPr>
                <w:rStyle w:val="Lienhypertexte"/>
                <w:rFonts w:hint="eastAsia"/>
                <w:rtl/>
              </w:rPr>
              <w:t>الخريطة</w:t>
            </w:r>
            <w:r w:rsidR="00FD69D1" w:rsidRPr="008D22A6">
              <w:rPr>
                <w:rStyle w:val="Lienhypertexte"/>
                <w:rtl/>
              </w:rPr>
              <w:t xml:space="preserve"> (6-13) </w:t>
            </w:r>
            <w:r w:rsidR="00FD69D1" w:rsidRPr="008D22A6">
              <w:rPr>
                <w:rStyle w:val="Lienhypertexte"/>
                <w:rFonts w:hint="eastAsia"/>
                <w:rtl/>
              </w:rPr>
              <w:t>تنوع</w:t>
            </w:r>
            <w:r w:rsidR="00FD69D1" w:rsidRPr="008D22A6">
              <w:rPr>
                <w:rStyle w:val="Lienhypertexte"/>
                <w:rtl/>
              </w:rPr>
              <w:t xml:space="preserve"> </w:t>
            </w:r>
            <w:r w:rsidR="00FD69D1" w:rsidRPr="008D22A6">
              <w:rPr>
                <w:rStyle w:val="Lienhypertexte"/>
                <w:rFonts w:hint="eastAsia"/>
                <w:rtl/>
              </w:rPr>
              <w:t>المرافق</w:t>
            </w:r>
            <w:r w:rsidR="00FD69D1" w:rsidRPr="008D22A6">
              <w:rPr>
                <w:rStyle w:val="Lienhypertexte"/>
                <w:rtl/>
              </w:rPr>
              <w:t xml:space="preserve"> </w:t>
            </w:r>
            <w:r w:rsidR="00FD69D1" w:rsidRPr="008D22A6">
              <w:rPr>
                <w:rStyle w:val="Lienhypertexte"/>
                <w:rFonts w:hint="eastAsia"/>
                <w:rtl/>
              </w:rPr>
              <w:t>على</w:t>
            </w:r>
            <w:r w:rsidR="00FD69D1" w:rsidRPr="008D22A6">
              <w:rPr>
                <w:rStyle w:val="Lienhypertexte"/>
                <w:rtl/>
              </w:rPr>
              <w:t xml:space="preserve"> </w:t>
            </w:r>
            <w:r w:rsidR="00FD69D1" w:rsidRPr="008D22A6">
              <w:rPr>
                <w:rStyle w:val="Lienhypertexte"/>
                <w:rFonts w:hint="eastAsia"/>
                <w:rtl/>
              </w:rPr>
              <w:t>مستوى</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الحمايد</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_Toc171803867 \h </w:instrText>
            </w:r>
            <w:r w:rsidR="00FD69D1">
              <w:rPr>
                <w:webHidden/>
              </w:rPr>
            </w:r>
            <w:r w:rsidR="00FD69D1">
              <w:rPr>
                <w:webHidden/>
              </w:rPr>
              <w:fldChar w:fldCharType="separate"/>
            </w:r>
            <w:r>
              <w:rPr>
                <w:webHidden/>
                <w:rtl/>
                <w:lang w:bidi="ar-SA"/>
              </w:rPr>
              <w:t>214</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75" w:history="1">
            <w:r w:rsidR="00FD69D1" w:rsidRPr="008D22A6">
              <w:rPr>
                <w:rStyle w:val="Lienhypertexte"/>
                <w:rFonts w:hint="eastAsia"/>
                <w:rtl/>
              </w:rPr>
              <w:t>الخريطة</w:t>
            </w:r>
            <w:r w:rsidR="00FD69D1" w:rsidRPr="008D22A6">
              <w:rPr>
                <w:rStyle w:val="Lienhypertexte"/>
                <w:rtl/>
              </w:rPr>
              <w:t xml:space="preserve"> (6-14): </w:t>
            </w:r>
            <w:r w:rsidR="00FD69D1" w:rsidRPr="008D22A6">
              <w:rPr>
                <w:rStyle w:val="Lienhypertexte"/>
                <w:rFonts w:hint="eastAsia"/>
                <w:rtl/>
              </w:rPr>
              <w:t>كثافة</w:t>
            </w:r>
            <w:r w:rsidR="00FD69D1" w:rsidRPr="008D22A6">
              <w:rPr>
                <w:rStyle w:val="Lienhypertexte"/>
                <w:rtl/>
              </w:rPr>
              <w:t xml:space="preserve"> </w:t>
            </w:r>
            <w:r w:rsidR="00FD69D1" w:rsidRPr="008D22A6">
              <w:rPr>
                <w:rStyle w:val="Lienhypertexte"/>
                <w:rFonts w:hint="eastAsia"/>
                <w:rtl/>
              </w:rPr>
              <w:t>وعمق</w:t>
            </w:r>
            <w:r w:rsidR="00FD69D1" w:rsidRPr="008D22A6">
              <w:rPr>
                <w:rStyle w:val="Lienhypertexte"/>
                <w:rtl/>
              </w:rPr>
              <w:t xml:space="preserve"> </w:t>
            </w:r>
            <w:r w:rsidR="00FD69D1" w:rsidRPr="008D22A6">
              <w:rPr>
                <w:rStyle w:val="Lienhypertexte"/>
                <w:rFonts w:hint="eastAsia"/>
                <w:rtl/>
              </w:rPr>
              <w:t>الطرق</w:t>
            </w:r>
            <w:r w:rsidR="00FD69D1" w:rsidRPr="008D22A6">
              <w:rPr>
                <w:rStyle w:val="Lienhypertexte"/>
                <w:rtl/>
              </w:rPr>
              <w:t xml:space="preserve"> </w:t>
            </w:r>
            <w:r w:rsidR="00FD69D1" w:rsidRPr="008D22A6">
              <w:rPr>
                <w:rStyle w:val="Lienhypertexte"/>
                <w:rFonts w:hint="eastAsia"/>
                <w:rtl/>
              </w:rPr>
              <w:t>الرئيسية</w:t>
            </w:r>
            <w:r w:rsidR="00FD69D1" w:rsidRPr="008D22A6">
              <w:rPr>
                <w:rStyle w:val="Lienhypertexte"/>
                <w:rtl/>
              </w:rPr>
              <w:t xml:space="preserve"> </w:t>
            </w:r>
            <w:r w:rsidR="00FD69D1" w:rsidRPr="008D22A6">
              <w:rPr>
                <w:rStyle w:val="Lienhypertexte"/>
                <w:rFonts w:hint="eastAsia"/>
                <w:rtl/>
              </w:rPr>
              <w:t>والثانوية</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عبر</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القصر</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_Toc171803875 \h </w:instrText>
            </w:r>
            <w:r w:rsidR="00FD69D1">
              <w:rPr>
                <w:webHidden/>
              </w:rPr>
            </w:r>
            <w:r w:rsidR="00FD69D1">
              <w:rPr>
                <w:webHidden/>
              </w:rPr>
              <w:fldChar w:fldCharType="separate"/>
            </w:r>
            <w:r>
              <w:rPr>
                <w:webHidden/>
                <w:rtl/>
                <w:lang w:bidi="ar-SA"/>
              </w:rPr>
              <w:t>216</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77" w:history="1">
            <w:r w:rsidR="00FD69D1" w:rsidRPr="008D22A6">
              <w:rPr>
                <w:rStyle w:val="Lienhypertexte"/>
                <w:rFonts w:hint="eastAsia"/>
                <w:rtl/>
              </w:rPr>
              <w:t>الخريطة</w:t>
            </w:r>
            <w:r w:rsidR="00FD69D1" w:rsidRPr="008D22A6">
              <w:rPr>
                <w:rStyle w:val="Lienhypertexte"/>
                <w:rtl/>
              </w:rPr>
              <w:t xml:space="preserve"> (6-15): </w:t>
            </w:r>
            <w:r w:rsidR="00FD69D1" w:rsidRPr="008D22A6">
              <w:rPr>
                <w:rStyle w:val="Lienhypertexte"/>
                <w:rFonts w:hint="eastAsia"/>
                <w:rtl/>
              </w:rPr>
              <w:t>كثافة</w:t>
            </w:r>
            <w:r w:rsidR="00FD69D1" w:rsidRPr="008D22A6">
              <w:rPr>
                <w:rStyle w:val="Lienhypertexte"/>
                <w:rtl/>
              </w:rPr>
              <w:t xml:space="preserve"> </w:t>
            </w:r>
            <w:r w:rsidR="00FD69D1" w:rsidRPr="008D22A6">
              <w:rPr>
                <w:rStyle w:val="Lienhypertexte"/>
                <w:rFonts w:hint="eastAsia"/>
                <w:rtl/>
              </w:rPr>
              <w:t>وعمق</w:t>
            </w:r>
            <w:r w:rsidR="00FD69D1" w:rsidRPr="008D22A6">
              <w:rPr>
                <w:rStyle w:val="Lienhypertexte"/>
                <w:rtl/>
              </w:rPr>
              <w:t xml:space="preserve"> </w:t>
            </w:r>
            <w:r w:rsidR="00FD69D1" w:rsidRPr="008D22A6">
              <w:rPr>
                <w:rStyle w:val="Lienhypertexte"/>
                <w:rFonts w:hint="eastAsia"/>
                <w:rtl/>
              </w:rPr>
              <w:t>الطرق</w:t>
            </w:r>
            <w:r w:rsidR="00FD69D1" w:rsidRPr="008D22A6">
              <w:rPr>
                <w:rStyle w:val="Lienhypertexte"/>
                <w:rtl/>
              </w:rPr>
              <w:t xml:space="preserve"> </w:t>
            </w:r>
            <w:r w:rsidR="00FD69D1" w:rsidRPr="008D22A6">
              <w:rPr>
                <w:rStyle w:val="Lienhypertexte"/>
                <w:rFonts w:hint="eastAsia"/>
                <w:rtl/>
              </w:rPr>
              <w:t>الرئيسية</w:t>
            </w:r>
            <w:r w:rsidR="00FD69D1" w:rsidRPr="008D22A6">
              <w:rPr>
                <w:rStyle w:val="Lienhypertexte"/>
                <w:rtl/>
              </w:rPr>
              <w:t xml:space="preserve"> </w:t>
            </w:r>
            <w:r w:rsidR="00FD69D1" w:rsidRPr="008D22A6">
              <w:rPr>
                <w:rStyle w:val="Lienhypertexte"/>
                <w:rFonts w:hint="eastAsia"/>
                <w:rtl/>
              </w:rPr>
              <w:t>والثانوية</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عبر</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بلاتو</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_Toc171803877 \h </w:instrText>
            </w:r>
            <w:r w:rsidR="00FD69D1">
              <w:rPr>
                <w:webHidden/>
              </w:rPr>
            </w:r>
            <w:r w:rsidR="00FD69D1">
              <w:rPr>
                <w:webHidden/>
              </w:rPr>
              <w:fldChar w:fldCharType="separate"/>
            </w:r>
            <w:r>
              <w:rPr>
                <w:webHidden/>
                <w:rtl/>
                <w:lang w:bidi="ar-SA"/>
              </w:rPr>
              <w:t>217</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79" w:history="1">
            <w:r w:rsidR="00FD69D1" w:rsidRPr="008D22A6">
              <w:rPr>
                <w:rStyle w:val="Lienhypertexte"/>
                <w:rFonts w:hint="eastAsia"/>
                <w:rtl/>
              </w:rPr>
              <w:t>الخريطة</w:t>
            </w:r>
            <w:r w:rsidR="00FD69D1" w:rsidRPr="008D22A6">
              <w:rPr>
                <w:rStyle w:val="Lienhypertexte"/>
                <w:rtl/>
              </w:rPr>
              <w:t xml:space="preserve"> (6-16): </w:t>
            </w:r>
            <w:r w:rsidR="00FD69D1" w:rsidRPr="008D22A6">
              <w:rPr>
                <w:rStyle w:val="Lienhypertexte"/>
                <w:rFonts w:hint="eastAsia"/>
                <w:rtl/>
              </w:rPr>
              <w:t>كثافة</w:t>
            </w:r>
            <w:r w:rsidR="00FD69D1" w:rsidRPr="008D22A6">
              <w:rPr>
                <w:rStyle w:val="Lienhypertexte"/>
                <w:rtl/>
              </w:rPr>
              <w:t xml:space="preserve"> </w:t>
            </w:r>
            <w:r w:rsidR="00FD69D1" w:rsidRPr="008D22A6">
              <w:rPr>
                <w:rStyle w:val="Lienhypertexte"/>
                <w:rFonts w:hint="eastAsia"/>
                <w:rtl/>
              </w:rPr>
              <w:t>وعمق</w:t>
            </w:r>
            <w:r w:rsidR="00FD69D1" w:rsidRPr="008D22A6">
              <w:rPr>
                <w:rStyle w:val="Lienhypertexte"/>
                <w:rtl/>
              </w:rPr>
              <w:t xml:space="preserve"> </w:t>
            </w:r>
            <w:r w:rsidR="00FD69D1" w:rsidRPr="008D22A6">
              <w:rPr>
                <w:rStyle w:val="Lienhypertexte"/>
                <w:rFonts w:hint="eastAsia"/>
                <w:rtl/>
              </w:rPr>
              <w:t>الطرق</w:t>
            </w:r>
            <w:r w:rsidR="00FD69D1" w:rsidRPr="008D22A6">
              <w:rPr>
                <w:rStyle w:val="Lienhypertexte"/>
                <w:rtl/>
              </w:rPr>
              <w:t xml:space="preserve"> </w:t>
            </w:r>
            <w:r w:rsidR="00FD69D1" w:rsidRPr="008D22A6">
              <w:rPr>
                <w:rStyle w:val="Lienhypertexte"/>
                <w:rFonts w:hint="eastAsia"/>
                <w:rtl/>
              </w:rPr>
              <w:t>الرئيسية</w:t>
            </w:r>
            <w:r w:rsidR="00FD69D1" w:rsidRPr="008D22A6">
              <w:rPr>
                <w:rStyle w:val="Lienhypertexte"/>
                <w:rtl/>
              </w:rPr>
              <w:t xml:space="preserve"> </w:t>
            </w:r>
            <w:r w:rsidR="00FD69D1" w:rsidRPr="008D22A6">
              <w:rPr>
                <w:rStyle w:val="Lienhypertexte"/>
                <w:rFonts w:hint="eastAsia"/>
                <w:rtl/>
              </w:rPr>
              <w:t>والثانوية</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عبر</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سيدي</w:t>
            </w:r>
            <w:r w:rsidR="00FD69D1" w:rsidRPr="008D22A6">
              <w:rPr>
                <w:rStyle w:val="Lienhypertexte"/>
                <w:rtl/>
              </w:rPr>
              <w:t xml:space="preserve"> </w:t>
            </w:r>
            <w:r w:rsidR="00FD69D1" w:rsidRPr="008D22A6">
              <w:rPr>
                <w:rStyle w:val="Lienhypertexte"/>
                <w:rFonts w:hint="eastAsia"/>
                <w:rtl/>
              </w:rPr>
              <w:t>سليمان</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_Toc171803879 \h </w:instrText>
            </w:r>
            <w:r w:rsidR="00FD69D1">
              <w:rPr>
                <w:webHidden/>
              </w:rPr>
            </w:r>
            <w:r w:rsidR="00FD69D1">
              <w:rPr>
                <w:webHidden/>
              </w:rPr>
              <w:fldChar w:fldCharType="separate"/>
            </w:r>
            <w:r>
              <w:rPr>
                <w:webHidden/>
                <w:rtl/>
                <w:lang w:bidi="ar-SA"/>
              </w:rPr>
              <w:t>218</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81" w:history="1">
            <w:r w:rsidR="00FD69D1" w:rsidRPr="008D22A6">
              <w:rPr>
                <w:rStyle w:val="Lienhypertexte"/>
                <w:rFonts w:hint="eastAsia"/>
                <w:rtl/>
              </w:rPr>
              <w:t>الخريطة</w:t>
            </w:r>
            <w:r w:rsidR="00FD69D1" w:rsidRPr="008D22A6">
              <w:rPr>
                <w:rStyle w:val="Lienhypertexte"/>
                <w:rtl/>
              </w:rPr>
              <w:t xml:space="preserve"> (6-17): </w:t>
            </w:r>
            <w:r w:rsidR="00FD69D1" w:rsidRPr="008D22A6">
              <w:rPr>
                <w:rStyle w:val="Lienhypertexte"/>
                <w:rFonts w:hint="eastAsia"/>
                <w:rtl/>
              </w:rPr>
              <w:t>كثافة</w:t>
            </w:r>
            <w:r w:rsidR="00FD69D1" w:rsidRPr="008D22A6">
              <w:rPr>
                <w:rStyle w:val="Lienhypertexte"/>
                <w:rtl/>
              </w:rPr>
              <w:t xml:space="preserve"> </w:t>
            </w:r>
            <w:r w:rsidR="00FD69D1" w:rsidRPr="008D22A6">
              <w:rPr>
                <w:rStyle w:val="Lienhypertexte"/>
                <w:rFonts w:hint="eastAsia"/>
                <w:rtl/>
              </w:rPr>
              <w:t>وعمق</w:t>
            </w:r>
            <w:r w:rsidR="00FD69D1" w:rsidRPr="008D22A6">
              <w:rPr>
                <w:rStyle w:val="Lienhypertexte"/>
                <w:rtl/>
              </w:rPr>
              <w:t xml:space="preserve"> </w:t>
            </w:r>
            <w:r w:rsidR="00FD69D1" w:rsidRPr="008D22A6">
              <w:rPr>
                <w:rStyle w:val="Lienhypertexte"/>
                <w:rFonts w:hint="eastAsia"/>
                <w:rtl/>
              </w:rPr>
              <w:t>الطرق</w:t>
            </w:r>
            <w:r w:rsidR="00FD69D1" w:rsidRPr="008D22A6">
              <w:rPr>
                <w:rStyle w:val="Lienhypertexte"/>
                <w:rtl/>
              </w:rPr>
              <w:t xml:space="preserve"> </w:t>
            </w:r>
            <w:r w:rsidR="00FD69D1" w:rsidRPr="008D22A6">
              <w:rPr>
                <w:rStyle w:val="Lienhypertexte"/>
                <w:rFonts w:hint="eastAsia"/>
                <w:rtl/>
              </w:rPr>
              <w:t>الرئيسية</w:t>
            </w:r>
            <w:r w:rsidR="00FD69D1" w:rsidRPr="008D22A6">
              <w:rPr>
                <w:rStyle w:val="Lienhypertexte"/>
                <w:rtl/>
              </w:rPr>
              <w:t xml:space="preserve"> </w:t>
            </w:r>
            <w:r w:rsidR="00FD69D1" w:rsidRPr="008D22A6">
              <w:rPr>
                <w:rStyle w:val="Lienhypertexte"/>
                <w:rFonts w:hint="eastAsia"/>
                <w:rtl/>
              </w:rPr>
              <w:t>والثانوية</w:t>
            </w:r>
            <w:r w:rsidR="00FD69D1" w:rsidRPr="008D22A6">
              <w:rPr>
                <w:rStyle w:val="Lienhypertexte"/>
                <w:rtl/>
              </w:rPr>
              <w:t xml:space="preserve"> </w:t>
            </w:r>
            <w:r w:rsidR="00FD69D1" w:rsidRPr="008D22A6">
              <w:rPr>
                <w:rStyle w:val="Lienhypertexte"/>
                <w:rFonts w:hint="eastAsia"/>
                <w:rtl/>
              </w:rPr>
              <w:t>الحضرية</w:t>
            </w:r>
            <w:r w:rsidR="00FD69D1" w:rsidRPr="008D22A6">
              <w:rPr>
                <w:rStyle w:val="Lienhypertexte"/>
                <w:rtl/>
              </w:rPr>
              <w:t xml:space="preserve"> </w:t>
            </w:r>
            <w:r w:rsidR="00FD69D1" w:rsidRPr="008D22A6">
              <w:rPr>
                <w:rStyle w:val="Lienhypertexte"/>
                <w:rFonts w:hint="eastAsia"/>
                <w:rtl/>
              </w:rPr>
              <w:t>عبر</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الحمايد</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_Toc171803881 \h </w:instrText>
            </w:r>
            <w:r w:rsidR="00FD69D1">
              <w:rPr>
                <w:webHidden/>
              </w:rPr>
            </w:r>
            <w:r w:rsidR="00FD69D1">
              <w:rPr>
                <w:webHidden/>
              </w:rPr>
              <w:fldChar w:fldCharType="separate"/>
            </w:r>
            <w:r>
              <w:rPr>
                <w:webHidden/>
                <w:rtl/>
                <w:lang w:bidi="ar-SA"/>
              </w:rPr>
              <w:t>219</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88" w:history="1">
            <w:r w:rsidR="00FD69D1" w:rsidRPr="008D22A6">
              <w:rPr>
                <w:rStyle w:val="Lienhypertexte"/>
                <w:rFonts w:hint="eastAsia"/>
                <w:rtl/>
              </w:rPr>
              <w:t>الخريطة</w:t>
            </w:r>
            <w:r w:rsidR="00FD69D1" w:rsidRPr="008D22A6">
              <w:rPr>
                <w:rStyle w:val="Lienhypertexte"/>
                <w:rtl/>
              </w:rPr>
              <w:t xml:space="preserve"> (6-18).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لدرجة</w:t>
            </w:r>
            <w:r w:rsidR="00FD69D1" w:rsidRPr="008D22A6">
              <w:rPr>
                <w:rStyle w:val="Lienhypertexte"/>
                <w:rtl/>
              </w:rPr>
              <w:t xml:space="preserve"> </w:t>
            </w:r>
            <w:r w:rsidR="00FD69D1" w:rsidRPr="008D22A6">
              <w:rPr>
                <w:rStyle w:val="Lienhypertexte"/>
                <w:rFonts w:hint="eastAsia"/>
                <w:rtl/>
              </w:rPr>
              <w:t>العقدة،</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القصر،</w:t>
            </w:r>
            <w:r w:rsidR="00FD69D1" w:rsidRPr="008D22A6">
              <w:rPr>
                <w:rStyle w:val="Lienhypertexte"/>
                <w:rtl/>
              </w:rPr>
              <w:t xml:space="preserve"> </w:t>
            </w:r>
            <w:r w:rsidR="00FD69D1" w:rsidRPr="008D22A6">
              <w:rPr>
                <w:rStyle w:val="Lienhypertexte"/>
                <w:rFonts w:hint="eastAsia"/>
                <w:rtl/>
              </w:rPr>
              <w:t>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أ</w:t>
            </w:r>
            <w:r w:rsidR="00FD69D1" w:rsidRPr="008D22A6">
              <w:rPr>
                <w:rStyle w:val="Lienhypertexte"/>
                <w:rtl/>
              </w:rPr>
              <w:t>)</w:t>
            </w:r>
            <w:r w:rsidR="00072323">
              <w:rPr>
                <w:rStyle w:val="Lienhypertexte"/>
                <w:rFonts w:hint="cs"/>
                <w:rtl/>
              </w:rPr>
              <w:t>.</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_Toc171803888 \h </w:instrText>
            </w:r>
            <w:r w:rsidR="00FD69D1">
              <w:rPr>
                <w:webHidden/>
              </w:rPr>
            </w:r>
            <w:r w:rsidR="00FD69D1">
              <w:rPr>
                <w:webHidden/>
              </w:rPr>
              <w:fldChar w:fldCharType="separate"/>
            </w:r>
            <w:r>
              <w:rPr>
                <w:webHidden/>
                <w:rtl/>
                <w:lang w:bidi="ar-SA"/>
              </w:rPr>
              <w:t>221</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90" w:history="1">
            <w:r w:rsidR="00FD69D1" w:rsidRPr="008D22A6">
              <w:rPr>
                <w:rStyle w:val="Lienhypertexte"/>
                <w:rFonts w:hint="eastAsia"/>
                <w:rtl/>
              </w:rPr>
              <w:t>الخريطة</w:t>
            </w:r>
            <w:r w:rsidR="00FD69D1" w:rsidRPr="008D22A6">
              <w:rPr>
                <w:rStyle w:val="Lienhypertexte"/>
                <w:rtl/>
              </w:rPr>
              <w:t xml:space="preserve"> (6-19).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لدرجة</w:t>
            </w:r>
            <w:r w:rsidR="00FD69D1" w:rsidRPr="008D22A6">
              <w:rPr>
                <w:rStyle w:val="Lienhypertexte"/>
                <w:rtl/>
              </w:rPr>
              <w:t xml:space="preserve"> </w:t>
            </w:r>
            <w:r w:rsidR="00FD69D1" w:rsidRPr="008D22A6">
              <w:rPr>
                <w:rStyle w:val="Lienhypertexte"/>
                <w:rFonts w:hint="eastAsia"/>
                <w:rtl/>
              </w:rPr>
              <w:t>العقدة،</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بلاتو،</w:t>
            </w:r>
            <w:r w:rsidR="00FD69D1" w:rsidRPr="008D22A6">
              <w:rPr>
                <w:rStyle w:val="Lienhypertexte"/>
                <w:rtl/>
              </w:rPr>
              <w:t xml:space="preserve"> </w:t>
            </w:r>
            <w:r w:rsidR="00FD69D1" w:rsidRPr="008D22A6">
              <w:rPr>
                <w:rStyle w:val="Lienhypertexte"/>
                <w:rFonts w:hint="eastAsia"/>
                <w:rtl/>
              </w:rPr>
              <w:t>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ب</w:t>
            </w:r>
            <w:r w:rsidR="00FD69D1" w:rsidRPr="008D22A6">
              <w:rPr>
                <w:rStyle w:val="Lienhypertexte"/>
                <w:rtl/>
              </w:rPr>
              <w:t>)</w:t>
            </w:r>
            <w:r w:rsidR="00072323">
              <w:rPr>
                <w:rStyle w:val="Lienhypertexte"/>
                <w:rFonts w:hint="cs"/>
                <w:rtl/>
              </w:rPr>
              <w:t>..</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_Toc171803890 \h </w:instrText>
            </w:r>
            <w:r w:rsidR="00FD69D1">
              <w:rPr>
                <w:webHidden/>
              </w:rPr>
            </w:r>
            <w:r w:rsidR="00FD69D1">
              <w:rPr>
                <w:webHidden/>
              </w:rPr>
              <w:fldChar w:fldCharType="separate"/>
            </w:r>
            <w:r>
              <w:rPr>
                <w:webHidden/>
                <w:rtl/>
                <w:lang w:bidi="ar-SA"/>
              </w:rPr>
              <w:t>222</w:t>
            </w:r>
            <w:r w:rsidR="00FD69D1">
              <w:rPr>
                <w:webHidden/>
              </w:rPr>
              <w:fldChar w:fldCharType="end"/>
            </w:r>
          </w:hyperlink>
        </w:p>
        <w:p w:rsidR="00FD69D1" w:rsidRDefault="00B62F86" w:rsidP="00072323">
          <w:pPr>
            <w:pStyle w:val="TM1"/>
            <w:rPr>
              <w:rFonts w:asciiTheme="minorHAnsi" w:hAnsiTheme="minorHAnsi" w:cstheme="minorBidi"/>
              <w:color w:val="auto"/>
              <w:lang w:val="fr-FR" w:bidi="ar-SA"/>
            </w:rPr>
          </w:pPr>
          <w:hyperlink w:anchor="_Toc171803892" w:history="1">
            <w:r w:rsidR="00FD69D1" w:rsidRPr="008D22A6">
              <w:rPr>
                <w:rStyle w:val="Lienhypertexte"/>
                <w:rFonts w:hint="eastAsia"/>
                <w:rtl/>
              </w:rPr>
              <w:t>الخريطة</w:t>
            </w:r>
            <w:r w:rsidR="00FD69D1" w:rsidRPr="008D22A6">
              <w:rPr>
                <w:rStyle w:val="Lienhypertexte"/>
                <w:rtl/>
              </w:rPr>
              <w:t xml:space="preserve"> (6-20).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لدرجة</w:t>
            </w:r>
            <w:r w:rsidR="00FD69D1" w:rsidRPr="008D22A6">
              <w:rPr>
                <w:rStyle w:val="Lienhypertexte"/>
                <w:rtl/>
              </w:rPr>
              <w:t xml:space="preserve"> </w:t>
            </w:r>
            <w:r w:rsidR="00FD69D1" w:rsidRPr="008D22A6">
              <w:rPr>
                <w:rStyle w:val="Lienhypertexte"/>
                <w:rFonts w:hint="eastAsia"/>
                <w:rtl/>
              </w:rPr>
              <w:t>العقدة،</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سيدي</w:t>
            </w:r>
            <w:r w:rsidR="00FD69D1" w:rsidRPr="008D22A6">
              <w:rPr>
                <w:rStyle w:val="Lienhypertexte"/>
                <w:rtl/>
              </w:rPr>
              <w:t xml:space="preserve"> </w:t>
            </w:r>
            <w:r w:rsidR="00FD69D1" w:rsidRPr="008D22A6">
              <w:rPr>
                <w:rStyle w:val="Lienhypertexte"/>
                <w:rFonts w:hint="eastAsia"/>
                <w:rtl/>
              </w:rPr>
              <w:t>سليمان،</w:t>
            </w:r>
            <w:r w:rsidR="00FD69D1" w:rsidRPr="008D22A6">
              <w:rPr>
                <w:rStyle w:val="Lienhypertexte"/>
                <w:rtl/>
              </w:rPr>
              <w:t xml:space="preserve"> </w:t>
            </w:r>
            <w:r w:rsidR="00FD69D1" w:rsidRPr="008D22A6">
              <w:rPr>
                <w:rStyle w:val="Lienhypertexte"/>
                <w:rFonts w:hint="eastAsia"/>
                <w:rtl/>
              </w:rPr>
              <w:t>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جـ</w:t>
            </w:r>
            <w:r w:rsidR="00FD69D1" w:rsidRPr="008D22A6">
              <w:rPr>
                <w:rStyle w:val="Lienhypertexte"/>
                <w:rtl/>
              </w:rPr>
              <w:t>)</w:t>
            </w:r>
            <w:r w:rsidR="00072323" w:rsidRPr="00072323">
              <w:rPr>
                <w:rFonts w:hint="cs"/>
                <w:rtl/>
              </w:rPr>
              <w:t xml:space="preserve"> </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_Toc171803892 \h </w:instrText>
            </w:r>
            <w:r w:rsidR="00FD69D1">
              <w:rPr>
                <w:webHidden/>
              </w:rPr>
            </w:r>
            <w:r w:rsidR="00FD69D1">
              <w:rPr>
                <w:webHidden/>
              </w:rPr>
              <w:fldChar w:fldCharType="separate"/>
            </w:r>
            <w:r>
              <w:rPr>
                <w:webHidden/>
                <w:rtl/>
                <w:lang w:bidi="ar-SA"/>
              </w:rPr>
              <w:t>223</w:t>
            </w:r>
            <w:r w:rsidR="00FD69D1">
              <w:rPr>
                <w:webHidden/>
              </w:rPr>
              <w:fldChar w:fldCharType="end"/>
            </w:r>
          </w:hyperlink>
        </w:p>
        <w:p w:rsidR="00FD69D1" w:rsidRDefault="00B62F86" w:rsidP="009579D2">
          <w:pPr>
            <w:pStyle w:val="TM1"/>
          </w:pPr>
          <w:hyperlink w:anchor="_Toc171803894" w:history="1">
            <w:r w:rsidR="00FD69D1" w:rsidRPr="008D22A6">
              <w:rPr>
                <w:rStyle w:val="Lienhypertexte"/>
                <w:rFonts w:hint="eastAsia"/>
                <w:rtl/>
              </w:rPr>
              <w:t>الخريطة</w:t>
            </w:r>
            <w:r w:rsidR="00FD69D1" w:rsidRPr="008D22A6">
              <w:rPr>
                <w:rStyle w:val="Lienhypertexte"/>
                <w:rtl/>
              </w:rPr>
              <w:t xml:space="preserve"> (6-21). </w:t>
            </w:r>
            <w:r w:rsidR="00FD69D1" w:rsidRPr="008D22A6">
              <w:rPr>
                <w:rStyle w:val="Lienhypertexte"/>
                <w:rFonts w:hint="eastAsia"/>
                <w:rtl/>
              </w:rPr>
              <w:t>التوزيع</w:t>
            </w:r>
            <w:r w:rsidR="00FD69D1" w:rsidRPr="008D22A6">
              <w:rPr>
                <w:rStyle w:val="Lienhypertexte"/>
                <w:rtl/>
              </w:rPr>
              <w:t xml:space="preserve"> </w:t>
            </w:r>
            <w:r w:rsidR="00FD69D1" w:rsidRPr="008D22A6">
              <w:rPr>
                <w:rStyle w:val="Lienhypertexte"/>
                <w:rFonts w:hint="eastAsia"/>
                <w:rtl/>
              </w:rPr>
              <w:t>المكاني</w:t>
            </w:r>
            <w:r w:rsidR="00FD69D1" w:rsidRPr="008D22A6">
              <w:rPr>
                <w:rStyle w:val="Lienhypertexte"/>
                <w:rtl/>
              </w:rPr>
              <w:t xml:space="preserve"> </w:t>
            </w:r>
            <w:r w:rsidR="00FD69D1" w:rsidRPr="008D22A6">
              <w:rPr>
                <w:rStyle w:val="Lienhypertexte"/>
                <w:rFonts w:hint="eastAsia"/>
                <w:rtl/>
              </w:rPr>
              <w:t>لدرجة</w:t>
            </w:r>
            <w:r w:rsidR="00FD69D1" w:rsidRPr="008D22A6">
              <w:rPr>
                <w:rStyle w:val="Lienhypertexte"/>
                <w:rtl/>
              </w:rPr>
              <w:t xml:space="preserve"> </w:t>
            </w:r>
            <w:r w:rsidR="00FD69D1" w:rsidRPr="008D22A6">
              <w:rPr>
                <w:rStyle w:val="Lienhypertexte"/>
                <w:rFonts w:hint="eastAsia"/>
                <w:rtl/>
              </w:rPr>
              <w:t>العقدة،</w:t>
            </w:r>
            <w:r w:rsidR="00FD69D1" w:rsidRPr="008D22A6">
              <w:rPr>
                <w:rStyle w:val="Lienhypertexte"/>
                <w:rtl/>
              </w:rPr>
              <w:t xml:space="preserve"> </w:t>
            </w:r>
            <w:r w:rsidR="00FD69D1" w:rsidRPr="008D22A6">
              <w:rPr>
                <w:rStyle w:val="Lienhypertexte"/>
                <w:rFonts w:hint="eastAsia"/>
                <w:rtl/>
              </w:rPr>
              <w:t>حي</w:t>
            </w:r>
            <w:r w:rsidR="00FD69D1" w:rsidRPr="008D22A6">
              <w:rPr>
                <w:rStyle w:val="Lienhypertexte"/>
                <w:rtl/>
              </w:rPr>
              <w:t xml:space="preserve"> </w:t>
            </w:r>
            <w:r w:rsidR="00FD69D1" w:rsidRPr="008D22A6">
              <w:rPr>
                <w:rStyle w:val="Lienhypertexte"/>
                <w:rFonts w:hint="eastAsia"/>
                <w:rtl/>
              </w:rPr>
              <w:t>الحمايد،</w:t>
            </w:r>
            <w:r w:rsidR="00FD69D1" w:rsidRPr="008D22A6">
              <w:rPr>
                <w:rStyle w:val="Lienhypertexte"/>
                <w:rtl/>
              </w:rPr>
              <w:t xml:space="preserve"> </w:t>
            </w:r>
            <w:r w:rsidR="00FD69D1" w:rsidRPr="008D22A6">
              <w:rPr>
                <w:rStyle w:val="Lienhypertexte"/>
                <w:rFonts w:hint="eastAsia"/>
                <w:rtl/>
              </w:rPr>
              <w:t>فئة</w:t>
            </w:r>
            <w:r w:rsidR="00FD69D1" w:rsidRPr="008D22A6">
              <w:rPr>
                <w:rStyle w:val="Lienhypertexte"/>
                <w:rtl/>
              </w:rPr>
              <w:t xml:space="preserve"> </w:t>
            </w:r>
            <w:r w:rsidR="00FD69D1" w:rsidRPr="008D22A6">
              <w:rPr>
                <w:rStyle w:val="Lienhypertexte"/>
                <w:rFonts w:hint="eastAsia"/>
                <w:rtl/>
              </w:rPr>
              <w:t>النسيج</w:t>
            </w:r>
            <w:r w:rsidR="00FD69D1" w:rsidRPr="008D22A6">
              <w:rPr>
                <w:rStyle w:val="Lienhypertexte"/>
                <w:rtl/>
              </w:rPr>
              <w:t xml:space="preserve"> </w:t>
            </w:r>
            <w:r w:rsidR="00FD69D1" w:rsidRPr="008D22A6">
              <w:rPr>
                <w:rStyle w:val="Lienhypertexte"/>
                <w:rFonts w:hint="eastAsia"/>
                <w:rtl/>
              </w:rPr>
              <w:t>الحضري</w:t>
            </w:r>
            <w:r w:rsidR="00FD69D1" w:rsidRPr="008D22A6">
              <w:rPr>
                <w:rStyle w:val="Lienhypertexte"/>
                <w:rtl/>
              </w:rPr>
              <w:t xml:space="preserve"> (</w:t>
            </w:r>
            <w:r w:rsidR="00FD69D1" w:rsidRPr="008D22A6">
              <w:rPr>
                <w:rStyle w:val="Lienhypertexte"/>
                <w:rFonts w:hint="eastAsia"/>
                <w:rtl/>
              </w:rPr>
              <w:t>د</w:t>
            </w:r>
            <w:r w:rsidR="00FD69D1" w:rsidRPr="008D22A6">
              <w:rPr>
                <w:rStyle w:val="Lienhypertexte"/>
                <w:rtl/>
              </w:rPr>
              <w:t>)</w:t>
            </w:r>
            <w:r w:rsidR="00072323" w:rsidRPr="00072323">
              <w:rPr>
                <w:rFonts w:hint="cs"/>
                <w:rtl/>
              </w:rPr>
              <w:t xml:space="preserve"> </w:t>
            </w:r>
            <w:r w:rsidR="00072323" w:rsidRPr="00072323">
              <w:rPr>
                <w:rStyle w:val="Lienhypertexte"/>
                <w:rFonts w:hint="cs"/>
                <w:rtl/>
              </w:rPr>
              <w:t>..</w:t>
            </w:r>
            <w:r w:rsidR="00072323">
              <w:rPr>
                <w:rStyle w:val="Lienhypertexte"/>
                <w:rFonts w:hint="cs"/>
                <w:rtl/>
              </w:rPr>
              <w:t>.............................</w:t>
            </w:r>
            <w:r w:rsidR="00FD69D1">
              <w:rPr>
                <w:webHidden/>
              </w:rPr>
              <w:tab/>
            </w:r>
            <w:r w:rsidR="00FD69D1">
              <w:rPr>
                <w:webHidden/>
              </w:rPr>
              <w:fldChar w:fldCharType="begin"/>
            </w:r>
            <w:r w:rsidR="00FD69D1">
              <w:rPr>
                <w:webHidden/>
              </w:rPr>
              <w:instrText xml:space="preserve"> PAGEREF _Toc171803894 \h </w:instrText>
            </w:r>
            <w:r w:rsidR="00FD69D1">
              <w:rPr>
                <w:webHidden/>
              </w:rPr>
            </w:r>
            <w:r w:rsidR="00FD69D1">
              <w:rPr>
                <w:webHidden/>
              </w:rPr>
              <w:fldChar w:fldCharType="separate"/>
            </w:r>
            <w:r>
              <w:rPr>
                <w:webHidden/>
                <w:rtl/>
                <w:lang w:bidi="ar-SA"/>
              </w:rPr>
              <w:t>224</w:t>
            </w:r>
            <w:r w:rsidR="00FD69D1">
              <w:rPr>
                <w:webHidden/>
              </w:rPr>
              <w:fldChar w:fldCharType="end"/>
            </w:r>
          </w:hyperlink>
          <w:r w:rsidR="00FD69D1" w:rsidRPr="00463944">
            <w:fldChar w:fldCharType="end"/>
          </w:r>
        </w:p>
      </w:sdtContent>
    </w:sdt>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Default="00FD69D1" w:rsidP="00FD69D1">
      <w:pPr>
        <w:bidi/>
        <w:rPr>
          <w:rtl/>
          <w:lang w:eastAsia="fr-FR"/>
        </w:rPr>
      </w:pPr>
    </w:p>
    <w:p w:rsidR="00FD69D1" w:rsidRPr="00FD69D1" w:rsidRDefault="00FD69D1" w:rsidP="00FD69D1">
      <w:pPr>
        <w:bidi/>
        <w:rPr>
          <w:rtl/>
          <w:lang w:eastAsia="fr-FR"/>
        </w:rPr>
      </w:pPr>
    </w:p>
    <w:sdt>
      <w:sdtPr>
        <w:rPr>
          <w:rFonts w:ascii="Simplified Arabic" w:eastAsiaTheme="minorHAnsi" w:hAnsi="Simplified Arabic" w:cs="Simplified Arabic"/>
          <w:b w:val="0"/>
          <w:bCs w:val="0"/>
          <w:noProof/>
          <w:color w:val="000000" w:themeColor="text1"/>
          <w:sz w:val="22"/>
          <w:szCs w:val="22"/>
          <w:rtl/>
          <w:lang w:val="en-US" w:eastAsia="en-US" w:bidi="ar-DZ"/>
        </w:rPr>
        <w:id w:val="1109396834"/>
        <w:docPartObj>
          <w:docPartGallery w:val="Table of Contents"/>
          <w:docPartUnique/>
        </w:docPartObj>
      </w:sdtPr>
      <w:sdtEndPr>
        <w:rPr>
          <w:rFonts w:eastAsiaTheme="minorEastAsia"/>
          <w:b/>
          <w:bCs/>
          <w:lang w:eastAsia="fr-FR"/>
        </w:rPr>
      </w:sdtEndPr>
      <w:sdtContent>
        <w:p w:rsidR="0083667F" w:rsidRDefault="0083667F" w:rsidP="0083667F">
          <w:pPr>
            <w:pStyle w:val="En-ttedetabledesmatires"/>
            <w:shd w:val="clear" w:color="auto" w:fill="D9D9D9" w:themeFill="background1" w:themeFillShade="D9"/>
            <w:bidi/>
            <w:spacing w:before="0" w:after="240" w:line="240" w:lineRule="auto"/>
            <w:jc w:val="center"/>
            <w:outlineLvl w:val="0"/>
            <w:rPr>
              <w:noProof/>
            </w:rPr>
          </w:pPr>
          <w:r w:rsidRPr="007F732C">
            <w:rPr>
              <w:rFonts w:ascii="Simplified Arabic" w:hAnsi="Simplified Arabic" w:cs="Simplified Arabic" w:hint="eastAsia"/>
              <w:color w:val="000000" w:themeColor="text1"/>
              <w:sz w:val="22"/>
              <w:szCs w:val="22"/>
              <w:rtl/>
            </w:rPr>
            <w:t>قائمة</w:t>
          </w:r>
          <w:r w:rsidRPr="007F732C">
            <w:rPr>
              <w:rFonts w:ascii="Simplified Arabic" w:hAnsi="Simplified Arabic" w:cs="Simplified Arabic"/>
              <w:color w:val="000000" w:themeColor="text1"/>
              <w:sz w:val="22"/>
              <w:szCs w:val="22"/>
              <w:rtl/>
            </w:rPr>
            <w:t xml:space="preserve"> </w:t>
          </w:r>
          <w:r w:rsidRPr="007F732C">
            <w:rPr>
              <w:rFonts w:ascii="Simplified Arabic" w:hAnsi="Simplified Arabic" w:cs="Simplified Arabic" w:hint="eastAsia"/>
              <w:color w:val="000000" w:themeColor="text1"/>
              <w:sz w:val="22"/>
              <w:szCs w:val="22"/>
              <w:rtl/>
            </w:rPr>
            <w:t>الصور</w:t>
          </w:r>
          <w:r w:rsidRPr="00463944">
            <w:rPr>
              <w:rFonts w:eastAsia="Arial Unicode MS"/>
              <w:noProof/>
              <w:color w:val="000000" w:themeColor="text1"/>
              <w:lang w:val="en-US" w:bidi="ar-DZ"/>
            </w:rPr>
            <w:fldChar w:fldCharType="begin"/>
          </w:r>
          <w:r w:rsidRPr="00463944">
            <w:instrText xml:space="preserve"> TOC \o "1-3" \h \z \u </w:instrText>
          </w:r>
          <w:r w:rsidRPr="00463944">
            <w:rPr>
              <w:rFonts w:eastAsia="Arial Unicode MS"/>
              <w:noProof/>
              <w:color w:val="000000" w:themeColor="text1"/>
              <w:lang w:val="en-US" w:bidi="ar-DZ"/>
            </w:rPr>
            <w:fldChar w:fldCharType="separate"/>
          </w:r>
        </w:p>
        <w:p w:rsidR="0083667F" w:rsidRPr="005E681C" w:rsidRDefault="00B62F86" w:rsidP="009579D2">
          <w:pPr>
            <w:pStyle w:val="TM1"/>
            <w:rPr>
              <w:color w:val="auto"/>
              <w:sz w:val="24"/>
              <w:szCs w:val="24"/>
              <w:lang w:val="fr-FR" w:bidi="ar-SA"/>
            </w:rPr>
          </w:pPr>
          <w:hyperlink w:anchor="_Toc157618631" w:history="1">
            <w:r w:rsidR="0083667F" w:rsidRPr="005E681C">
              <w:rPr>
                <w:rStyle w:val="Lienhypertexte"/>
                <w:sz w:val="24"/>
                <w:szCs w:val="24"/>
                <w:rtl/>
              </w:rPr>
              <w:t>الجزء الثاني:</w:t>
            </w:r>
            <w:r w:rsidR="0083667F" w:rsidRPr="005E681C">
              <w:rPr>
                <w:webHidden/>
                <w:sz w:val="24"/>
                <w:szCs w:val="24"/>
              </w:rPr>
              <w:t xml:space="preserve"> </w:t>
            </w:r>
          </w:hyperlink>
          <w:hyperlink w:anchor="_Toc157618632" w:history="1">
            <w:r w:rsidR="0083667F" w:rsidRPr="005E681C">
              <w:rPr>
                <w:rStyle w:val="Lienhypertexte"/>
                <w:sz w:val="24"/>
                <w:szCs w:val="24"/>
                <w:rtl/>
              </w:rPr>
              <w:t>الاطار النظري للبحث</w:t>
            </w:r>
            <w:r w:rsidR="0083667F" w:rsidRPr="005E681C">
              <w:rPr>
                <w:webHidden/>
                <w:sz w:val="24"/>
                <w:szCs w:val="24"/>
              </w:rPr>
              <w:t xml:space="preserve"> </w:t>
            </w:r>
          </w:hyperlink>
        </w:p>
        <w:p w:rsidR="0083667F" w:rsidRPr="005E681C" w:rsidRDefault="00B62F86" w:rsidP="009579D2">
          <w:pPr>
            <w:pStyle w:val="TM1"/>
            <w:rPr>
              <w:color w:val="auto"/>
              <w:lang w:val="fr-FR" w:bidi="ar-SA"/>
            </w:rPr>
          </w:pPr>
          <w:hyperlink w:anchor="_Toc157618633" w:history="1">
            <w:r w:rsidR="0083667F" w:rsidRPr="005E681C">
              <w:rPr>
                <w:rStyle w:val="Lienhypertexte"/>
                <w:sz w:val="24"/>
                <w:szCs w:val="24"/>
                <w:rtl/>
              </w:rPr>
              <w:t>الفصل 1: علاقة استعمالات الاراضي الحضرية بمفهوم المرونة الحضرية</w:t>
            </w:r>
            <w:r w:rsidR="0083667F" w:rsidRPr="005E681C">
              <w:rPr>
                <w:webHidden/>
              </w:rPr>
              <w:t xml:space="preserve"> </w:t>
            </w:r>
          </w:hyperlink>
        </w:p>
        <w:p w:rsidR="0083667F" w:rsidRDefault="00B62F86" w:rsidP="003034C2">
          <w:pPr>
            <w:pStyle w:val="TM1"/>
            <w:rPr>
              <w:rFonts w:asciiTheme="minorHAnsi" w:hAnsiTheme="minorHAnsi" w:cstheme="minorBidi"/>
              <w:color w:val="auto"/>
              <w:lang w:val="fr-FR" w:bidi="ar-SA"/>
            </w:rPr>
          </w:pPr>
          <w:hyperlink w:anchor="_Toc171803372" w:history="1">
            <w:r w:rsidR="0083667F" w:rsidRPr="008D22A6">
              <w:rPr>
                <w:rStyle w:val="Lienhypertexte"/>
                <w:rFonts w:hint="eastAsia"/>
                <w:rtl/>
              </w:rPr>
              <w:t>الصورة</w:t>
            </w:r>
            <w:r w:rsidR="0083667F" w:rsidRPr="008D22A6">
              <w:rPr>
                <w:rStyle w:val="Lienhypertexte"/>
                <w:rtl/>
              </w:rPr>
              <w:t xml:space="preserve"> (1-1): </w:t>
            </w:r>
            <w:r w:rsidR="0083667F" w:rsidRPr="008D22A6">
              <w:rPr>
                <w:rStyle w:val="Lienhypertexte"/>
                <w:rFonts w:hint="eastAsia"/>
                <w:rtl/>
              </w:rPr>
              <w:t>زلزال</w:t>
            </w:r>
            <w:r w:rsidR="0083667F" w:rsidRPr="008D22A6">
              <w:rPr>
                <w:rStyle w:val="Lienhypertexte"/>
                <w:rtl/>
              </w:rPr>
              <w:t xml:space="preserve"> </w:t>
            </w:r>
            <w:r w:rsidR="0083667F" w:rsidRPr="008D22A6">
              <w:rPr>
                <w:rStyle w:val="Lienhypertexte"/>
                <w:rFonts w:hint="eastAsia"/>
                <w:rtl/>
              </w:rPr>
              <w:t>لشبونة</w:t>
            </w:r>
            <w:r w:rsidR="0083667F" w:rsidRPr="008D22A6">
              <w:rPr>
                <w:rStyle w:val="Lienhypertexte"/>
                <w:rtl/>
              </w:rPr>
              <w:t xml:space="preserve"> </w:t>
            </w:r>
            <w:r w:rsidR="0083667F" w:rsidRPr="008D22A6">
              <w:rPr>
                <w:rStyle w:val="Lienhypertexte"/>
                <w:rFonts w:hint="eastAsia"/>
                <w:rtl/>
              </w:rPr>
              <w:t>سنة</w:t>
            </w:r>
            <w:r w:rsidR="0083667F" w:rsidRPr="008D22A6">
              <w:rPr>
                <w:rStyle w:val="Lienhypertexte"/>
                <w:rtl/>
              </w:rPr>
              <w:t xml:space="preserve"> 1755</w:t>
            </w:r>
            <w:r w:rsidR="0083667F" w:rsidRPr="008D22A6">
              <w:rPr>
                <w:rStyle w:val="Lienhypertexte"/>
                <w:rFonts w:hint="eastAsia"/>
                <w:rtl/>
              </w:rPr>
              <w:t>،</w:t>
            </w:r>
            <w:r w:rsidR="0083667F" w:rsidRPr="008D22A6">
              <w:rPr>
                <w:rStyle w:val="Lienhypertexte"/>
                <w:rtl/>
              </w:rPr>
              <w:t xml:space="preserve"> </w:t>
            </w:r>
            <w:r w:rsidR="0083667F" w:rsidRPr="008D22A6">
              <w:rPr>
                <w:rStyle w:val="Lienhypertexte"/>
                <w:rFonts w:hint="eastAsia"/>
                <w:rtl/>
              </w:rPr>
              <w:t>المصدر</w:t>
            </w:r>
            <w:r w:rsidR="0083667F" w:rsidRPr="008D22A6">
              <w:rPr>
                <w:rStyle w:val="Lienhypertexte"/>
                <w:rtl/>
              </w:rPr>
              <w:t>:</w:t>
            </w:r>
            <w:r w:rsidR="0083667F" w:rsidRPr="008D22A6">
              <w:rPr>
                <w:rStyle w:val="Lienhypertexte"/>
                <w:rFonts w:cs="Arial"/>
                <w:rtl/>
              </w:rPr>
              <w:t xml:space="preserve"> </w:t>
            </w:r>
            <w:r w:rsidR="0083667F" w:rsidRPr="008D22A6">
              <w:rPr>
                <w:rStyle w:val="Lienhypertexte"/>
                <w:rFonts w:asciiTheme="majorBidi" w:hAnsiTheme="majorBidi" w:cstheme="majorBidi"/>
              </w:rPr>
              <w:t>(Gisclard, 2017)</w:t>
            </w:r>
            <w:r w:rsidR="0083667F">
              <w:rPr>
                <w:rStyle w:val="Lienhypertexte"/>
                <w:rFonts w:asciiTheme="majorBidi" w:hAnsiTheme="majorBidi" w:cstheme="majorBidi" w:hint="cs"/>
                <w:rtl/>
              </w:rPr>
              <w:t>...................................</w:t>
            </w:r>
            <w:r w:rsidR="003034C2">
              <w:rPr>
                <w:rStyle w:val="Lienhypertexte"/>
                <w:rFonts w:asciiTheme="majorBidi" w:hAnsiTheme="majorBidi" w:cstheme="majorBidi" w:hint="cs"/>
                <w:rtl/>
              </w:rPr>
              <w:t>.........</w:t>
            </w:r>
            <w:r w:rsidR="0083667F">
              <w:rPr>
                <w:rStyle w:val="Lienhypertexte"/>
                <w:rFonts w:asciiTheme="majorBidi" w:hAnsiTheme="majorBidi" w:cstheme="majorBidi" w:hint="cs"/>
                <w:rtl/>
              </w:rPr>
              <w:t>................</w:t>
            </w:r>
            <w:r w:rsidR="0083667F">
              <w:rPr>
                <w:webHidden/>
              </w:rPr>
              <w:tab/>
            </w:r>
            <w:r w:rsidR="0083667F">
              <w:rPr>
                <w:webHidden/>
              </w:rPr>
              <w:fldChar w:fldCharType="begin"/>
            </w:r>
            <w:r w:rsidR="0083667F">
              <w:rPr>
                <w:webHidden/>
              </w:rPr>
              <w:instrText xml:space="preserve"> PAGEREF _Toc171803372 \h </w:instrText>
            </w:r>
            <w:r w:rsidR="0083667F">
              <w:rPr>
                <w:webHidden/>
              </w:rPr>
            </w:r>
            <w:r w:rsidR="0083667F">
              <w:rPr>
                <w:webHidden/>
              </w:rPr>
              <w:fldChar w:fldCharType="separate"/>
            </w:r>
            <w:r>
              <w:rPr>
                <w:webHidden/>
                <w:rtl/>
                <w:lang w:bidi="ar-SA"/>
              </w:rPr>
              <w:t>26</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420" w:history="1">
            <w:r w:rsidR="0083667F" w:rsidRPr="008D22A6">
              <w:rPr>
                <w:rStyle w:val="Lienhypertexte"/>
                <w:rFonts w:hint="eastAsia"/>
                <w:rtl/>
              </w:rPr>
              <w:t>الصورة</w:t>
            </w:r>
            <w:r w:rsidR="0083667F" w:rsidRPr="008D22A6">
              <w:rPr>
                <w:rStyle w:val="Lienhypertexte"/>
                <w:rtl/>
              </w:rPr>
              <w:t xml:space="preserve"> (1-2): </w:t>
            </w:r>
            <w:r w:rsidR="0083667F" w:rsidRPr="008D22A6">
              <w:rPr>
                <w:rStyle w:val="Lienhypertexte"/>
                <w:rFonts w:hint="eastAsia"/>
                <w:rtl/>
              </w:rPr>
              <w:t>نسيج</w:t>
            </w:r>
            <w:r w:rsidR="0083667F" w:rsidRPr="008D22A6">
              <w:rPr>
                <w:rStyle w:val="Lienhypertexte"/>
                <w:rtl/>
              </w:rPr>
              <w:t xml:space="preserve"> </w:t>
            </w:r>
            <w:r w:rsidR="0083667F" w:rsidRPr="008D22A6">
              <w:rPr>
                <w:rStyle w:val="Lienhypertexte"/>
                <w:rFonts w:hint="eastAsia"/>
                <w:rtl/>
              </w:rPr>
              <w:t>حضري</w:t>
            </w:r>
            <w:r w:rsidR="0083667F" w:rsidRPr="008D22A6">
              <w:rPr>
                <w:rStyle w:val="Lienhypertexte"/>
                <w:rtl/>
              </w:rPr>
              <w:t xml:space="preserve"> </w:t>
            </w:r>
            <w:r w:rsidR="0083667F" w:rsidRPr="008D22A6">
              <w:rPr>
                <w:rStyle w:val="Lienhypertexte"/>
                <w:rFonts w:hint="eastAsia"/>
                <w:rtl/>
              </w:rPr>
              <w:t>حلزوني</w:t>
            </w:r>
            <w:r w:rsidR="0083667F" w:rsidRPr="008D22A6">
              <w:rPr>
                <w:rStyle w:val="Lienhypertexte"/>
                <w:rtl/>
              </w:rPr>
              <w:t xml:space="preserve"> ''</w:t>
            </w:r>
            <w:r w:rsidR="0083667F" w:rsidRPr="008D22A6">
              <w:rPr>
                <w:rStyle w:val="Lienhypertexte"/>
                <w:rFonts w:hint="eastAsia"/>
                <w:rtl/>
              </w:rPr>
              <w:t>تجزئة</w:t>
            </w:r>
            <w:r w:rsidR="0083667F" w:rsidRPr="008D22A6">
              <w:rPr>
                <w:rStyle w:val="Lienhypertexte"/>
                <w:rtl/>
              </w:rPr>
              <w:t xml:space="preserve"> </w:t>
            </w:r>
            <w:r w:rsidR="0083667F" w:rsidRPr="008D22A6">
              <w:rPr>
                <w:rStyle w:val="Lienhypertexte"/>
                <w:rFonts w:hint="eastAsia"/>
                <w:rtl/>
              </w:rPr>
              <w:t>ترابية</w:t>
            </w:r>
            <w:r w:rsidR="0083667F" w:rsidRPr="008D22A6">
              <w:rPr>
                <w:rStyle w:val="Lienhypertexte"/>
                <w:rtl/>
              </w:rPr>
              <w:t xml:space="preserve">'' </w:t>
            </w:r>
            <w:r w:rsidR="0083667F" w:rsidRPr="008D22A6">
              <w:rPr>
                <w:rStyle w:val="Lienhypertexte"/>
                <w:rFonts w:hint="eastAsia"/>
                <w:rtl/>
              </w:rPr>
              <w:t>في</w:t>
            </w:r>
            <w:r w:rsidR="0083667F" w:rsidRPr="008D22A6">
              <w:rPr>
                <w:rStyle w:val="Lienhypertexte"/>
                <w:rtl/>
              </w:rPr>
              <w:t xml:space="preserve"> </w:t>
            </w:r>
            <w:r w:rsidR="0083667F" w:rsidRPr="008D22A6">
              <w:rPr>
                <w:rStyle w:val="Lienhypertexte"/>
                <w:rFonts w:hint="eastAsia"/>
                <w:rtl/>
              </w:rPr>
              <w:t>مدينة</w:t>
            </w:r>
            <w:r w:rsidR="0083667F" w:rsidRPr="008D22A6">
              <w:rPr>
                <w:rStyle w:val="Lienhypertexte"/>
                <w:rtl/>
              </w:rPr>
              <w:t xml:space="preserve"> </w:t>
            </w:r>
            <w:r w:rsidR="0083667F" w:rsidRPr="008D22A6">
              <w:rPr>
                <w:rStyle w:val="Lienhypertexte"/>
                <w:rFonts w:asciiTheme="majorBidi" w:hAnsiTheme="majorBidi" w:cstheme="majorBidi"/>
                <w:rtl/>
              </w:rPr>
              <w:t>(</w:t>
            </w:r>
            <w:r w:rsidR="0083667F" w:rsidRPr="008D22A6">
              <w:rPr>
                <w:rStyle w:val="Lienhypertexte"/>
                <w:rFonts w:asciiTheme="majorBidi" w:hAnsiTheme="majorBidi" w:cstheme="majorBidi"/>
              </w:rPr>
              <w:t>Rennes</w:t>
            </w:r>
            <w:r w:rsidR="0083667F" w:rsidRPr="008D22A6">
              <w:rPr>
                <w:rStyle w:val="Lienhypertexte"/>
                <w:rFonts w:asciiTheme="majorBidi" w:hAnsiTheme="majorBidi" w:cstheme="majorBidi"/>
                <w:rtl/>
              </w:rPr>
              <w:t>)</w:t>
            </w:r>
            <w:r w:rsidR="0083667F">
              <w:rPr>
                <w:rStyle w:val="Lienhypertexte"/>
                <w:rFonts w:asciiTheme="majorBidi" w:hAnsiTheme="majorBidi" w:cstheme="majorBidi" w:hint="cs"/>
                <w:rtl/>
              </w:rPr>
              <w:t>...................................</w:t>
            </w:r>
            <w:r w:rsidR="003034C2">
              <w:rPr>
                <w:rStyle w:val="Lienhypertexte"/>
                <w:rFonts w:asciiTheme="majorBidi" w:hAnsiTheme="majorBidi" w:cstheme="majorBidi" w:hint="cs"/>
                <w:rtl/>
              </w:rPr>
              <w:t>.........</w:t>
            </w:r>
            <w:r w:rsidR="0083667F">
              <w:rPr>
                <w:rStyle w:val="Lienhypertexte"/>
                <w:rFonts w:asciiTheme="majorBidi" w:hAnsiTheme="majorBidi" w:cstheme="majorBidi" w:hint="cs"/>
                <w:rtl/>
              </w:rPr>
              <w:t>..............</w:t>
            </w:r>
            <w:r w:rsidR="0083667F">
              <w:rPr>
                <w:webHidden/>
              </w:rPr>
              <w:tab/>
            </w:r>
            <w:r w:rsidR="0083667F">
              <w:rPr>
                <w:webHidden/>
              </w:rPr>
              <w:fldChar w:fldCharType="begin"/>
            </w:r>
            <w:r w:rsidR="0083667F">
              <w:rPr>
                <w:webHidden/>
              </w:rPr>
              <w:instrText xml:space="preserve"> PAGEREF _Toc171803420 \h </w:instrText>
            </w:r>
            <w:r w:rsidR="0083667F">
              <w:rPr>
                <w:webHidden/>
              </w:rPr>
            </w:r>
            <w:r w:rsidR="0083667F">
              <w:rPr>
                <w:webHidden/>
              </w:rPr>
              <w:fldChar w:fldCharType="separate"/>
            </w:r>
            <w:r>
              <w:rPr>
                <w:webHidden/>
                <w:rtl/>
                <w:lang w:bidi="ar-SA"/>
              </w:rPr>
              <w:t>50</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422" w:history="1">
            <w:r w:rsidR="0083667F" w:rsidRPr="008D22A6">
              <w:rPr>
                <w:rStyle w:val="Lienhypertexte"/>
                <w:rFonts w:hint="eastAsia"/>
                <w:rtl/>
              </w:rPr>
              <w:t>الصورة</w:t>
            </w:r>
            <w:r w:rsidR="0083667F" w:rsidRPr="008D22A6">
              <w:rPr>
                <w:rStyle w:val="Lienhypertexte"/>
                <w:rtl/>
              </w:rPr>
              <w:t xml:space="preserve"> (1-3): </w:t>
            </w:r>
            <w:r w:rsidR="0083667F" w:rsidRPr="008D22A6">
              <w:rPr>
                <w:rStyle w:val="Lienhypertexte"/>
                <w:rFonts w:hint="eastAsia"/>
                <w:rtl/>
              </w:rPr>
              <w:t>طرق</w:t>
            </w:r>
            <w:r w:rsidR="0083667F" w:rsidRPr="008D22A6">
              <w:rPr>
                <w:rStyle w:val="Lienhypertexte"/>
                <w:rtl/>
              </w:rPr>
              <w:t xml:space="preserve"> </w:t>
            </w:r>
            <w:r w:rsidR="0083667F" w:rsidRPr="008D22A6">
              <w:rPr>
                <w:rStyle w:val="Lienhypertexte"/>
                <w:rFonts w:hint="eastAsia"/>
                <w:rtl/>
              </w:rPr>
              <w:t>عميقة</w:t>
            </w:r>
            <w:r w:rsidR="0083667F" w:rsidRPr="008D22A6">
              <w:rPr>
                <w:rStyle w:val="Lienhypertexte"/>
                <w:rtl/>
              </w:rPr>
              <w:t xml:space="preserve"> </w:t>
            </w:r>
            <w:r w:rsidR="0083667F" w:rsidRPr="008D22A6">
              <w:rPr>
                <w:rStyle w:val="Lienhypertexte"/>
                <w:rFonts w:hint="eastAsia"/>
                <w:rtl/>
              </w:rPr>
              <w:t>ومتعرجة</w:t>
            </w:r>
            <w:r w:rsidR="0083667F" w:rsidRPr="008D22A6">
              <w:rPr>
                <w:rStyle w:val="Lienhypertexte"/>
                <w:rtl/>
              </w:rPr>
              <w:t xml:space="preserve"> </w:t>
            </w:r>
            <w:r w:rsidR="0083667F" w:rsidRPr="008D22A6">
              <w:rPr>
                <w:rStyle w:val="Lienhypertexte"/>
                <w:rFonts w:hint="eastAsia"/>
                <w:rtl/>
              </w:rPr>
              <w:t>و</w:t>
            </w:r>
            <w:r w:rsidR="0083667F" w:rsidRPr="008D22A6">
              <w:rPr>
                <w:rStyle w:val="Lienhypertexte"/>
                <w:rtl/>
              </w:rPr>
              <w:t xml:space="preserve"> </w:t>
            </w:r>
            <w:r w:rsidR="0083667F" w:rsidRPr="008D22A6">
              <w:rPr>
                <w:rStyle w:val="Lienhypertexte"/>
                <w:rFonts w:hint="eastAsia"/>
                <w:rtl/>
              </w:rPr>
              <w:t>ضيقة</w:t>
            </w:r>
            <w:r w:rsidR="0083667F" w:rsidRPr="008D22A6">
              <w:rPr>
                <w:rStyle w:val="Lienhypertexte"/>
                <w:rtl/>
              </w:rPr>
              <w:t xml:space="preserve"> </w:t>
            </w:r>
            <w:r w:rsidR="0083667F" w:rsidRPr="008D22A6">
              <w:rPr>
                <w:rStyle w:val="Lienhypertexte"/>
                <w:rFonts w:hint="eastAsia"/>
                <w:rtl/>
              </w:rPr>
              <w:t>لقصر</w:t>
            </w:r>
            <w:r w:rsidR="0083667F" w:rsidRPr="008D22A6">
              <w:rPr>
                <w:rStyle w:val="Lienhypertexte"/>
                <w:rtl/>
              </w:rPr>
              <w:t xml:space="preserve"> </w:t>
            </w:r>
            <w:r w:rsidR="0083667F" w:rsidRPr="008D22A6">
              <w:rPr>
                <w:rStyle w:val="Lienhypertexte"/>
                <w:rFonts w:hint="eastAsia"/>
                <w:rtl/>
              </w:rPr>
              <w:t>مدينة</w:t>
            </w:r>
            <w:r w:rsidR="0083667F" w:rsidRPr="008D22A6">
              <w:rPr>
                <w:rStyle w:val="Lienhypertexte"/>
                <w:rtl/>
              </w:rPr>
              <w:t xml:space="preserve"> </w:t>
            </w:r>
            <w:r w:rsidR="0083667F" w:rsidRPr="008D22A6">
              <w:rPr>
                <w:rStyle w:val="Lienhypertexte"/>
                <w:rFonts w:hint="eastAsia"/>
                <w:rtl/>
              </w:rPr>
              <w:t>بوسعادة</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_Toc171803422 \h </w:instrText>
            </w:r>
            <w:r w:rsidR="0083667F">
              <w:rPr>
                <w:webHidden/>
              </w:rPr>
            </w:r>
            <w:r w:rsidR="0083667F">
              <w:rPr>
                <w:webHidden/>
              </w:rPr>
              <w:fldChar w:fldCharType="separate"/>
            </w:r>
            <w:r>
              <w:rPr>
                <w:webHidden/>
                <w:rtl/>
                <w:lang w:bidi="ar-SA"/>
              </w:rPr>
              <w:t>51</w:t>
            </w:r>
            <w:r w:rsidR="0083667F">
              <w:rPr>
                <w:webHidden/>
              </w:rPr>
              <w:fldChar w:fldCharType="end"/>
            </w:r>
          </w:hyperlink>
        </w:p>
        <w:p w:rsidR="0083667F" w:rsidRDefault="00B62F86" w:rsidP="009579D2">
          <w:pPr>
            <w:pStyle w:val="TM1"/>
            <w:rPr>
              <w:rFonts w:asciiTheme="minorHAnsi" w:hAnsiTheme="minorHAnsi" w:cstheme="minorBidi"/>
              <w:color w:val="auto"/>
              <w:lang w:val="fr-FR" w:bidi="ar-SA"/>
            </w:rPr>
          </w:pPr>
          <w:hyperlink w:anchor="_Toc171803423" w:history="1">
            <w:r w:rsidR="0083667F" w:rsidRPr="008D22A6">
              <w:rPr>
                <w:rStyle w:val="Lienhypertexte"/>
                <w:rFonts w:hint="eastAsia"/>
                <w:rtl/>
              </w:rPr>
              <w:t>الصورة</w:t>
            </w:r>
            <w:r w:rsidR="0083667F" w:rsidRPr="008D22A6">
              <w:rPr>
                <w:rStyle w:val="Lienhypertexte"/>
                <w:rtl/>
              </w:rPr>
              <w:t xml:space="preserve"> (1-4): </w:t>
            </w:r>
            <w:r w:rsidR="0083667F" w:rsidRPr="008D22A6">
              <w:rPr>
                <w:rStyle w:val="Lienhypertexte"/>
                <w:rFonts w:hint="eastAsia"/>
                <w:rtl/>
              </w:rPr>
              <w:t>نسيج</w:t>
            </w:r>
            <w:r w:rsidR="0083667F" w:rsidRPr="008D22A6">
              <w:rPr>
                <w:rStyle w:val="Lienhypertexte"/>
                <w:rtl/>
              </w:rPr>
              <w:t xml:space="preserve"> </w:t>
            </w:r>
            <w:r w:rsidR="0083667F" w:rsidRPr="008D22A6">
              <w:rPr>
                <w:rStyle w:val="Lienhypertexte"/>
                <w:rFonts w:hint="eastAsia"/>
                <w:rtl/>
              </w:rPr>
              <w:t>البناء</w:t>
            </w:r>
            <w:r w:rsidR="0083667F" w:rsidRPr="008D22A6">
              <w:rPr>
                <w:rStyle w:val="Lienhypertexte"/>
                <w:rtl/>
              </w:rPr>
              <w:t xml:space="preserve"> </w:t>
            </w:r>
            <w:r w:rsidR="0083667F" w:rsidRPr="008D22A6">
              <w:rPr>
                <w:rStyle w:val="Lienhypertexte"/>
                <w:rFonts w:hint="eastAsia"/>
                <w:rtl/>
              </w:rPr>
              <w:t>المنعزل</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_Toc171803423 \h </w:instrText>
            </w:r>
            <w:r w:rsidR="0083667F">
              <w:rPr>
                <w:webHidden/>
              </w:rPr>
            </w:r>
            <w:r w:rsidR="0083667F">
              <w:rPr>
                <w:webHidden/>
              </w:rPr>
              <w:fldChar w:fldCharType="separate"/>
            </w:r>
            <w:r>
              <w:rPr>
                <w:webHidden/>
                <w:rtl/>
                <w:lang w:bidi="ar-SA"/>
              </w:rPr>
              <w:t>51</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424" w:history="1">
            <w:r w:rsidR="0083667F" w:rsidRPr="008D22A6">
              <w:rPr>
                <w:rStyle w:val="Lienhypertexte"/>
                <w:rFonts w:hint="eastAsia"/>
                <w:rtl/>
              </w:rPr>
              <w:t>الصورة</w:t>
            </w:r>
            <w:r w:rsidR="0083667F" w:rsidRPr="008D22A6">
              <w:rPr>
                <w:rStyle w:val="Lienhypertexte"/>
                <w:rtl/>
              </w:rPr>
              <w:t xml:space="preserve"> (1-5): </w:t>
            </w:r>
            <w:r w:rsidR="0083667F" w:rsidRPr="008D22A6">
              <w:rPr>
                <w:rStyle w:val="Lienhypertexte"/>
                <w:rFonts w:hint="eastAsia"/>
                <w:rtl/>
              </w:rPr>
              <w:t>نسيج</w:t>
            </w:r>
            <w:r w:rsidR="0083667F" w:rsidRPr="008D22A6">
              <w:rPr>
                <w:rStyle w:val="Lienhypertexte"/>
                <w:rtl/>
              </w:rPr>
              <w:t xml:space="preserve"> </w:t>
            </w:r>
            <w:r w:rsidR="0083667F" w:rsidRPr="008D22A6">
              <w:rPr>
                <w:rStyle w:val="Lienhypertexte"/>
                <w:rFonts w:hint="eastAsia"/>
                <w:rtl/>
              </w:rPr>
              <w:t>البناء</w:t>
            </w:r>
            <w:r w:rsidR="0083667F" w:rsidRPr="008D22A6">
              <w:rPr>
                <w:rStyle w:val="Lienhypertexte"/>
                <w:rtl/>
              </w:rPr>
              <w:t xml:space="preserve"> </w:t>
            </w:r>
            <w:r w:rsidR="0083667F" w:rsidRPr="008D22A6">
              <w:rPr>
                <w:rStyle w:val="Lienhypertexte"/>
                <w:rFonts w:hint="eastAsia"/>
                <w:rtl/>
              </w:rPr>
              <w:t>المتراص</w:t>
            </w:r>
            <w:r w:rsidR="0083667F" w:rsidRPr="008D22A6">
              <w:rPr>
                <w:rStyle w:val="Lienhypertexte"/>
                <w:rtl/>
              </w:rPr>
              <w:t xml:space="preserve"> </w:t>
            </w:r>
            <w:r w:rsidR="0083667F" w:rsidRPr="008D22A6">
              <w:rPr>
                <w:rStyle w:val="Lienhypertexte"/>
                <w:rFonts w:hint="eastAsia"/>
                <w:rtl/>
              </w:rPr>
              <w:t>لمدينة</w:t>
            </w:r>
            <w:r w:rsidR="0083667F" w:rsidRPr="008D22A6">
              <w:rPr>
                <w:rStyle w:val="Lienhypertexte"/>
                <w:rtl/>
              </w:rPr>
              <w:t xml:space="preserve"> </w:t>
            </w:r>
            <w:r w:rsidR="0083667F" w:rsidRPr="008D22A6">
              <w:rPr>
                <w:rStyle w:val="Lienhypertexte"/>
                <w:rFonts w:hint="eastAsia"/>
                <w:rtl/>
              </w:rPr>
              <w:t>بوسعادة</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_Toc171803424 \h </w:instrText>
            </w:r>
            <w:r w:rsidR="0083667F">
              <w:rPr>
                <w:webHidden/>
              </w:rPr>
            </w:r>
            <w:r w:rsidR="0083667F">
              <w:rPr>
                <w:webHidden/>
              </w:rPr>
              <w:fldChar w:fldCharType="separate"/>
            </w:r>
            <w:r>
              <w:rPr>
                <w:webHidden/>
                <w:rtl/>
                <w:lang w:bidi="ar-SA"/>
              </w:rPr>
              <w:t>52</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426" w:history="1">
            <w:r w:rsidR="0083667F" w:rsidRPr="008D22A6">
              <w:rPr>
                <w:rStyle w:val="Lienhypertexte"/>
                <w:rFonts w:hint="eastAsia"/>
                <w:rtl/>
              </w:rPr>
              <w:t>الصورة</w:t>
            </w:r>
            <w:r w:rsidR="0083667F" w:rsidRPr="008D22A6">
              <w:rPr>
                <w:rStyle w:val="Lienhypertexte"/>
                <w:rtl/>
              </w:rPr>
              <w:t xml:space="preserve"> (1-6): </w:t>
            </w:r>
            <w:r w:rsidR="0083667F" w:rsidRPr="008D22A6">
              <w:rPr>
                <w:rStyle w:val="Lienhypertexte"/>
                <w:rFonts w:hint="eastAsia"/>
                <w:rtl/>
              </w:rPr>
              <w:t>نسيج</w:t>
            </w:r>
            <w:r w:rsidR="0083667F" w:rsidRPr="008D22A6">
              <w:rPr>
                <w:rStyle w:val="Lienhypertexte"/>
                <w:rtl/>
              </w:rPr>
              <w:t xml:space="preserve"> </w:t>
            </w:r>
            <w:r w:rsidR="0083667F" w:rsidRPr="008D22A6">
              <w:rPr>
                <w:rStyle w:val="Lienhypertexte"/>
                <w:rFonts w:hint="eastAsia"/>
                <w:rtl/>
              </w:rPr>
              <w:t>البناء</w:t>
            </w:r>
            <w:r w:rsidR="0083667F" w:rsidRPr="008D22A6">
              <w:rPr>
                <w:rStyle w:val="Lienhypertexte"/>
                <w:rtl/>
              </w:rPr>
              <w:t xml:space="preserve"> </w:t>
            </w:r>
            <w:r w:rsidR="0083667F" w:rsidRPr="008D22A6">
              <w:rPr>
                <w:rStyle w:val="Lienhypertexte"/>
                <w:rFonts w:hint="eastAsia"/>
                <w:rtl/>
              </w:rPr>
              <w:t>الناتج</w:t>
            </w:r>
            <w:r w:rsidR="0083667F" w:rsidRPr="008D22A6">
              <w:rPr>
                <w:rStyle w:val="Lienhypertexte"/>
                <w:rtl/>
              </w:rPr>
              <w:t xml:space="preserve"> </w:t>
            </w:r>
            <w:r w:rsidR="0083667F" w:rsidRPr="008D22A6">
              <w:rPr>
                <w:rStyle w:val="Lienhypertexte"/>
                <w:rFonts w:hint="eastAsia"/>
                <w:rtl/>
              </w:rPr>
              <w:t>عن</w:t>
            </w:r>
            <w:r w:rsidR="0083667F" w:rsidRPr="008D22A6">
              <w:rPr>
                <w:rStyle w:val="Lienhypertexte"/>
                <w:rtl/>
              </w:rPr>
              <w:t xml:space="preserve"> </w:t>
            </w:r>
            <w:r w:rsidR="0083667F" w:rsidRPr="008D22A6">
              <w:rPr>
                <w:rStyle w:val="Lienhypertexte"/>
                <w:rFonts w:hint="eastAsia"/>
                <w:rtl/>
              </w:rPr>
              <w:t>التقسيمات</w:t>
            </w:r>
            <w:r w:rsidR="0083667F" w:rsidRPr="008D22A6">
              <w:rPr>
                <w:rStyle w:val="Lienhypertexte"/>
                <w:rtl/>
              </w:rPr>
              <w:t xml:space="preserve"> </w:t>
            </w:r>
            <w:r w:rsidR="0083667F" w:rsidRPr="008D22A6">
              <w:rPr>
                <w:rStyle w:val="Lienhypertexte"/>
                <w:rFonts w:hint="eastAsia"/>
                <w:rtl/>
              </w:rPr>
              <w:t>الفرعية</w:t>
            </w:r>
            <w:r w:rsidR="0083667F" w:rsidRPr="008D22A6">
              <w:rPr>
                <w:rStyle w:val="Lienhypertexte"/>
                <w:rtl/>
              </w:rPr>
              <w:t xml:space="preserve"> </w:t>
            </w:r>
            <w:r w:rsidR="0083667F" w:rsidRPr="008D22A6">
              <w:rPr>
                <w:rStyle w:val="Lienhypertexte"/>
                <w:rFonts w:hint="eastAsia"/>
                <w:rtl/>
              </w:rPr>
              <w:t>للمجمعات</w:t>
            </w:r>
            <w:r w:rsidR="0083667F" w:rsidRPr="008D22A6">
              <w:rPr>
                <w:rStyle w:val="Lienhypertexte"/>
                <w:rtl/>
              </w:rPr>
              <w:t xml:space="preserve"> </w:t>
            </w:r>
            <w:r w:rsidR="0083667F" w:rsidRPr="008D22A6">
              <w:rPr>
                <w:rStyle w:val="Lienhypertexte"/>
                <w:rFonts w:hint="eastAsia"/>
                <w:rtl/>
              </w:rPr>
              <w:t>الكبيرة</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_Toc171803426 \h </w:instrText>
            </w:r>
            <w:r w:rsidR="0083667F">
              <w:rPr>
                <w:webHidden/>
              </w:rPr>
            </w:r>
            <w:r w:rsidR="0083667F">
              <w:rPr>
                <w:webHidden/>
              </w:rPr>
              <w:fldChar w:fldCharType="separate"/>
            </w:r>
            <w:r>
              <w:rPr>
                <w:webHidden/>
                <w:rtl/>
                <w:lang w:bidi="ar-SA"/>
              </w:rPr>
              <w:t>53</w:t>
            </w:r>
            <w:r w:rsidR="0083667F">
              <w:rPr>
                <w:webHidden/>
              </w:rPr>
              <w:fldChar w:fldCharType="end"/>
            </w:r>
          </w:hyperlink>
        </w:p>
        <w:p w:rsidR="0083667F" w:rsidRPr="007F732C" w:rsidRDefault="00B62F86" w:rsidP="009579D2">
          <w:pPr>
            <w:pStyle w:val="TM1"/>
            <w:rPr>
              <w:rStyle w:val="Lienhypertexte"/>
              <w:sz w:val="24"/>
              <w:szCs w:val="24"/>
            </w:rPr>
          </w:pPr>
          <w:hyperlink w:anchor="_Toc171803563" w:history="1">
            <w:r w:rsidR="0083667F" w:rsidRPr="007F732C">
              <w:rPr>
                <w:rStyle w:val="Lienhypertexte"/>
                <w:rFonts w:hint="eastAsia"/>
                <w:sz w:val="24"/>
                <w:szCs w:val="24"/>
                <w:rtl/>
              </w:rPr>
              <w:t>الفصل</w:t>
            </w:r>
            <w:r w:rsidR="0083667F" w:rsidRPr="007F732C">
              <w:rPr>
                <w:rStyle w:val="Lienhypertexte"/>
                <w:sz w:val="24"/>
                <w:szCs w:val="24"/>
                <w:rtl/>
              </w:rPr>
              <w:t xml:space="preserve"> 4: </w:t>
            </w:r>
            <w:r w:rsidR="0083667F" w:rsidRPr="007F732C">
              <w:rPr>
                <w:rStyle w:val="Lienhypertexte"/>
                <w:rFonts w:hint="eastAsia"/>
                <w:sz w:val="24"/>
                <w:szCs w:val="24"/>
                <w:rtl/>
              </w:rPr>
              <w:t>علاقة</w:t>
            </w:r>
            <w:r w:rsidR="0083667F" w:rsidRPr="007F732C">
              <w:rPr>
                <w:rStyle w:val="Lienhypertexte"/>
                <w:sz w:val="24"/>
                <w:szCs w:val="24"/>
                <w:rtl/>
              </w:rPr>
              <w:t xml:space="preserve"> </w:t>
            </w:r>
            <w:r w:rsidR="0083667F" w:rsidRPr="007F732C">
              <w:rPr>
                <w:rStyle w:val="Lienhypertexte"/>
                <w:rFonts w:hint="eastAsia"/>
                <w:sz w:val="24"/>
                <w:szCs w:val="24"/>
                <w:rtl/>
              </w:rPr>
              <w:t>استعمالات</w:t>
            </w:r>
            <w:r w:rsidR="0083667F" w:rsidRPr="007F732C">
              <w:rPr>
                <w:rStyle w:val="Lienhypertexte"/>
                <w:sz w:val="24"/>
                <w:szCs w:val="24"/>
                <w:rtl/>
              </w:rPr>
              <w:t xml:space="preserve"> </w:t>
            </w:r>
            <w:r w:rsidR="0083667F" w:rsidRPr="007F732C">
              <w:rPr>
                <w:rStyle w:val="Lienhypertexte"/>
                <w:rFonts w:hint="eastAsia"/>
                <w:sz w:val="24"/>
                <w:szCs w:val="24"/>
                <w:rtl/>
              </w:rPr>
              <w:t>الاراضي</w:t>
            </w:r>
            <w:r w:rsidR="0083667F" w:rsidRPr="007F732C">
              <w:rPr>
                <w:rStyle w:val="Lienhypertexte"/>
                <w:sz w:val="24"/>
                <w:szCs w:val="24"/>
                <w:rtl/>
              </w:rPr>
              <w:t xml:space="preserve"> </w:t>
            </w:r>
            <w:r w:rsidR="0083667F" w:rsidRPr="007F732C">
              <w:rPr>
                <w:rStyle w:val="Lienhypertexte"/>
                <w:rFonts w:hint="eastAsia"/>
                <w:sz w:val="24"/>
                <w:szCs w:val="24"/>
                <w:rtl/>
              </w:rPr>
              <w:t>الحضرية</w:t>
            </w:r>
            <w:r w:rsidR="0083667F" w:rsidRPr="007F732C">
              <w:rPr>
                <w:rStyle w:val="Lienhypertexte"/>
                <w:sz w:val="24"/>
                <w:szCs w:val="24"/>
                <w:rtl/>
              </w:rPr>
              <w:t xml:space="preserve"> </w:t>
            </w:r>
            <w:r w:rsidR="0083667F" w:rsidRPr="007F732C">
              <w:rPr>
                <w:rStyle w:val="Lienhypertexte"/>
                <w:rFonts w:hint="eastAsia"/>
                <w:sz w:val="24"/>
                <w:szCs w:val="24"/>
                <w:rtl/>
              </w:rPr>
              <w:t>مع</w:t>
            </w:r>
            <w:r w:rsidR="0083667F" w:rsidRPr="007F732C">
              <w:rPr>
                <w:rStyle w:val="Lienhypertexte"/>
                <w:sz w:val="24"/>
                <w:szCs w:val="24"/>
                <w:rtl/>
              </w:rPr>
              <w:t xml:space="preserve"> </w:t>
            </w:r>
            <w:r w:rsidR="0083667F" w:rsidRPr="007F732C">
              <w:rPr>
                <w:rStyle w:val="Lienhypertexte"/>
                <w:rFonts w:hint="eastAsia"/>
                <w:sz w:val="24"/>
                <w:szCs w:val="24"/>
                <w:rtl/>
              </w:rPr>
              <w:t>تكوين</w:t>
            </w:r>
            <w:r w:rsidR="0083667F" w:rsidRPr="007F732C">
              <w:rPr>
                <w:rStyle w:val="Lienhypertexte"/>
                <w:sz w:val="24"/>
                <w:szCs w:val="24"/>
                <w:rtl/>
              </w:rPr>
              <w:t xml:space="preserve"> </w:t>
            </w:r>
            <w:r w:rsidR="0083667F" w:rsidRPr="007F732C">
              <w:rPr>
                <w:rStyle w:val="Lienhypertexte"/>
                <w:rFonts w:hint="eastAsia"/>
                <w:sz w:val="24"/>
                <w:szCs w:val="24"/>
                <w:rtl/>
              </w:rPr>
              <w:t>المرونة</w:t>
            </w:r>
            <w:r w:rsidR="0083667F" w:rsidRPr="007F732C">
              <w:rPr>
                <w:rStyle w:val="Lienhypertexte"/>
                <w:sz w:val="24"/>
                <w:szCs w:val="24"/>
                <w:rtl/>
              </w:rPr>
              <w:t xml:space="preserve"> </w:t>
            </w:r>
            <w:r w:rsidR="0083667F" w:rsidRPr="007F732C">
              <w:rPr>
                <w:rStyle w:val="Lienhypertexte"/>
                <w:rFonts w:hint="eastAsia"/>
                <w:sz w:val="24"/>
                <w:szCs w:val="24"/>
                <w:rtl/>
              </w:rPr>
              <w:t>المكانية</w:t>
            </w:r>
          </w:hyperlink>
        </w:p>
        <w:p w:rsidR="0083667F" w:rsidRDefault="00B62F86" w:rsidP="003034C2">
          <w:pPr>
            <w:pStyle w:val="TM1"/>
            <w:rPr>
              <w:rFonts w:asciiTheme="minorHAnsi" w:hAnsiTheme="minorHAnsi" w:cstheme="minorBidi"/>
              <w:color w:val="auto"/>
              <w:lang w:val="fr-FR" w:bidi="ar-SA"/>
            </w:rPr>
          </w:pPr>
          <w:hyperlink w:anchor="_Toc171803603" w:history="1">
            <w:r w:rsidR="0083667F" w:rsidRPr="008D22A6">
              <w:rPr>
                <w:rStyle w:val="Lienhypertexte"/>
                <w:rFonts w:hint="eastAsia"/>
                <w:rtl/>
              </w:rPr>
              <w:t>الصورة</w:t>
            </w:r>
            <w:r w:rsidR="0083667F" w:rsidRPr="008D22A6">
              <w:rPr>
                <w:rStyle w:val="Lienhypertexte"/>
                <w:rtl/>
              </w:rPr>
              <w:t xml:space="preserve"> (4-1): </w:t>
            </w:r>
            <w:r w:rsidR="0083667F" w:rsidRPr="008D22A6">
              <w:rPr>
                <w:rStyle w:val="Lienhypertexte"/>
                <w:rFonts w:hint="eastAsia"/>
                <w:rtl/>
              </w:rPr>
              <w:t>شوارع</w:t>
            </w:r>
            <w:r w:rsidR="0083667F" w:rsidRPr="008D22A6">
              <w:rPr>
                <w:rStyle w:val="Lienhypertexte"/>
                <w:rtl/>
              </w:rPr>
              <w:t xml:space="preserve"> </w:t>
            </w:r>
            <w:r w:rsidR="0083667F" w:rsidRPr="008D22A6">
              <w:rPr>
                <w:rStyle w:val="Lienhypertexte"/>
                <w:rFonts w:hint="eastAsia"/>
                <w:rtl/>
              </w:rPr>
              <w:t>الربط</w:t>
            </w:r>
            <w:r w:rsidR="0083667F" w:rsidRPr="008D22A6">
              <w:rPr>
                <w:rStyle w:val="Lienhypertexte"/>
                <w:rtl/>
              </w:rPr>
              <w:t xml:space="preserve"> </w:t>
            </w:r>
            <w:r w:rsidR="0083667F" w:rsidRPr="008D22A6">
              <w:rPr>
                <w:rStyle w:val="Lienhypertexte"/>
                <w:rFonts w:hint="eastAsia"/>
                <w:rtl/>
              </w:rPr>
              <w:t>بين</w:t>
            </w:r>
            <w:r w:rsidR="0083667F" w:rsidRPr="008D22A6">
              <w:rPr>
                <w:rStyle w:val="Lienhypertexte"/>
                <w:rtl/>
              </w:rPr>
              <w:t xml:space="preserve"> </w:t>
            </w:r>
            <w:r w:rsidR="0083667F" w:rsidRPr="008D22A6">
              <w:rPr>
                <w:rStyle w:val="Lienhypertexte"/>
                <w:rFonts w:hint="eastAsia"/>
                <w:rtl/>
              </w:rPr>
              <w:t>الرحبة</w:t>
            </w:r>
            <w:r w:rsidR="0083667F" w:rsidRPr="008D22A6">
              <w:rPr>
                <w:rStyle w:val="Lienhypertexte"/>
                <w:rtl/>
              </w:rPr>
              <w:t xml:space="preserve"> </w:t>
            </w:r>
            <w:r w:rsidR="0083667F" w:rsidRPr="008D22A6">
              <w:rPr>
                <w:rStyle w:val="Lienhypertexte"/>
                <w:rFonts w:hint="eastAsia"/>
                <w:rtl/>
              </w:rPr>
              <w:t>و</w:t>
            </w:r>
            <w:r w:rsidR="0083667F" w:rsidRPr="008D22A6">
              <w:rPr>
                <w:rStyle w:val="Lienhypertexte"/>
                <w:rtl/>
              </w:rPr>
              <w:t xml:space="preserve"> </w:t>
            </w:r>
            <w:r w:rsidR="0083667F" w:rsidRPr="008D22A6">
              <w:rPr>
                <w:rStyle w:val="Lienhypertexte"/>
                <w:rFonts w:hint="eastAsia"/>
                <w:rtl/>
              </w:rPr>
              <w:t>الاماكن</w:t>
            </w:r>
            <w:r w:rsidR="0083667F" w:rsidRPr="008D22A6">
              <w:rPr>
                <w:rStyle w:val="Lienhypertexte"/>
                <w:rtl/>
              </w:rPr>
              <w:t xml:space="preserve"> </w:t>
            </w:r>
            <w:r w:rsidR="0083667F" w:rsidRPr="008D22A6">
              <w:rPr>
                <w:rStyle w:val="Lienhypertexte"/>
                <w:rFonts w:hint="eastAsia"/>
                <w:rtl/>
              </w:rPr>
              <w:t>العمومية</w:t>
            </w:r>
            <w:r w:rsidR="0083667F" w:rsidRPr="008D22A6">
              <w:rPr>
                <w:rStyle w:val="Lienhypertexte"/>
                <w:rtl/>
              </w:rPr>
              <w:t xml:space="preserve"> </w:t>
            </w:r>
            <w:r w:rsidR="0083667F" w:rsidRPr="008D22A6">
              <w:rPr>
                <w:rStyle w:val="Lienhypertexte"/>
                <w:rFonts w:hint="eastAsia"/>
                <w:rtl/>
              </w:rPr>
              <w:t>بقصر</w:t>
            </w:r>
            <w:r w:rsidR="0083667F" w:rsidRPr="008D22A6">
              <w:rPr>
                <w:rStyle w:val="Lienhypertexte"/>
                <w:rtl/>
              </w:rPr>
              <w:t xml:space="preserve"> </w:t>
            </w:r>
            <w:r w:rsidR="0083667F" w:rsidRPr="008D22A6">
              <w:rPr>
                <w:rStyle w:val="Lienhypertexte"/>
                <w:rFonts w:hint="eastAsia"/>
                <w:rtl/>
              </w:rPr>
              <w:t>بوسعادة</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_Toc171803603 \h </w:instrText>
            </w:r>
            <w:r w:rsidR="0083667F">
              <w:rPr>
                <w:webHidden/>
              </w:rPr>
            </w:r>
            <w:r w:rsidR="0083667F">
              <w:rPr>
                <w:webHidden/>
              </w:rPr>
              <w:fldChar w:fldCharType="separate"/>
            </w:r>
            <w:r>
              <w:rPr>
                <w:webHidden/>
                <w:rtl/>
                <w:lang w:bidi="ar-SA"/>
              </w:rPr>
              <w:t>125</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604" w:history="1">
            <w:r w:rsidR="0083667F" w:rsidRPr="008D22A6">
              <w:rPr>
                <w:rStyle w:val="Lienhypertexte"/>
                <w:rFonts w:hint="eastAsia"/>
                <w:rtl/>
              </w:rPr>
              <w:t>الصورة</w:t>
            </w:r>
            <w:r w:rsidR="0083667F" w:rsidRPr="008D22A6">
              <w:rPr>
                <w:rStyle w:val="Lienhypertexte"/>
                <w:rtl/>
              </w:rPr>
              <w:t xml:space="preserve"> (4-2): </w:t>
            </w:r>
            <w:r w:rsidR="0083667F" w:rsidRPr="008D22A6">
              <w:rPr>
                <w:rStyle w:val="Lienhypertexte"/>
                <w:rFonts w:hint="eastAsia"/>
                <w:rtl/>
              </w:rPr>
              <w:t>ازقة</w:t>
            </w:r>
            <w:r w:rsidR="0083667F" w:rsidRPr="008D22A6">
              <w:rPr>
                <w:rStyle w:val="Lienhypertexte"/>
                <w:rtl/>
              </w:rPr>
              <w:t xml:space="preserve"> </w:t>
            </w:r>
            <w:r w:rsidR="0083667F" w:rsidRPr="008D22A6">
              <w:rPr>
                <w:rStyle w:val="Lienhypertexte"/>
                <w:rFonts w:hint="eastAsia"/>
                <w:rtl/>
              </w:rPr>
              <w:t>الربط</w:t>
            </w:r>
            <w:r w:rsidR="0083667F" w:rsidRPr="008D22A6">
              <w:rPr>
                <w:rStyle w:val="Lienhypertexte"/>
                <w:rtl/>
              </w:rPr>
              <w:t xml:space="preserve"> </w:t>
            </w:r>
            <w:r w:rsidR="0083667F" w:rsidRPr="008D22A6">
              <w:rPr>
                <w:rStyle w:val="Lienhypertexte"/>
                <w:rFonts w:hint="eastAsia"/>
                <w:rtl/>
              </w:rPr>
              <w:t>بالوحدات</w:t>
            </w:r>
            <w:r w:rsidR="0083667F" w:rsidRPr="008D22A6">
              <w:rPr>
                <w:rStyle w:val="Lienhypertexte"/>
                <w:rtl/>
              </w:rPr>
              <w:t xml:space="preserve"> </w:t>
            </w:r>
            <w:r w:rsidR="0083667F" w:rsidRPr="008D22A6">
              <w:rPr>
                <w:rStyle w:val="Lienhypertexte"/>
                <w:rFonts w:hint="eastAsia"/>
                <w:rtl/>
              </w:rPr>
              <w:t>السكنية</w:t>
            </w:r>
            <w:r w:rsidR="0083667F" w:rsidRPr="008D22A6">
              <w:rPr>
                <w:rStyle w:val="Lienhypertexte"/>
                <w:rtl/>
              </w:rPr>
              <w:t xml:space="preserve"> </w:t>
            </w:r>
            <w:r w:rsidR="0083667F" w:rsidRPr="008D22A6">
              <w:rPr>
                <w:rStyle w:val="Lienhypertexte"/>
                <w:rFonts w:hint="eastAsia"/>
                <w:rtl/>
              </w:rPr>
              <w:t>والشوارع</w:t>
            </w:r>
            <w:r w:rsidR="0083667F" w:rsidRPr="008D22A6">
              <w:rPr>
                <w:rStyle w:val="Lienhypertexte"/>
                <w:rtl/>
              </w:rPr>
              <w:t xml:space="preserve"> </w:t>
            </w:r>
            <w:r w:rsidR="0083667F" w:rsidRPr="008D22A6">
              <w:rPr>
                <w:rStyle w:val="Lienhypertexte"/>
                <w:rFonts w:hint="eastAsia"/>
                <w:rtl/>
              </w:rPr>
              <w:t>الرئيسية</w:t>
            </w:r>
            <w:r w:rsidR="0083667F" w:rsidRPr="008D22A6">
              <w:rPr>
                <w:rStyle w:val="Lienhypertexte"/>
                <w:rtl/>
              </w:rPr>
              <w:t xml:space="preserve"> </w:t>
            </w:r>
            <w:r w:rsidR="0083667F" w:rsidRPr="008D22A6">
              <w:rPr>
                <w:rStyle w:val="Lienhypertexte"/>
                <w:rFonts w:hint="eastAsia"/>
                <w:rtl/>
              </w:rPr>
              <w:t>بقصر</w:t>
            </w:r>
            <w:r w:rsidR="0083667F" w:rsidRPr="008D22A6">
              <w:rPr>
                <w:rStyle w:val="Lienhypertexte"/>
                <w:rtl/>
              </w:rPr>
              <w:t xml:space="preserve"> </w:t>
            </w:r>
            <w:r w:rsidR="0083667F" w:rsidRPr="008D22A6">
              <w:rPr>
                <w:rStyle w:val="Lienhypertexte"/>
                <w:rFonts w:hint="eastAsia"/>
                <w:rtl/>
              </w:rPr>
              <w:t>بوسعادة</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_Toc171803604 \h </w:instrText>
            </w:r>
            <w:r w:rsidR="0083667F">
              <w:rPr>
                <w:webHidden/>
              </w:rPr>
            </w:r>
            <w:r w:rsidR="0083667F">
              <w:rPr>
                <w:webHidden/>
              </w:rPr>
              <w:fldChar w:fldCharType="separate"/>
            </w:r>
            <w:r>
              <w:rPr>
                <w:webHidden/>
                <w:rtl/>
                <w:lang w:bidi="ar-SA"/>
              </w:rPr>
              <w:t>125</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609" w:history="1">
            <w:r w:rsidR="0083667F" w:rsidRPr="008D22A6">
              <w:rPr>
                <w:rStyle w:val="Lienhypertexte"/>
                <w:rFonts w:hint="eastAsia"/>
                <w:rtl/>
              </w:rPr>
              <w:t>الصورة</w:t>
            </w:r>
            <w:r w:rsidR="0083667F" w:rsidRPr="008D22A6">
              <w:rPr>
                <w:rStyle w:val="Lienhypertexte"/>
                <w:rtl/>
              </w:rPr>
              <w:t xml:space="preserve"> (4-3)</w:t>
            </w:r>
            <w:r w:rsidR="0083667F" w:rsidRPr="008D22A6">
              <w:rPr>
                <w:rStyle w:val="Lienhypertexte"/>
                <w:rFonts w:hint="eastAsia"/>
                <w:rtl/>
              </w:rPr>
              <w:t>،</w:t>
            </w:r>
            <w:r w:rsidR="0083667F" w:rsidRPr="008D22A6">
              <w:rPr>
                <w:rStyle w:val="Lienhypertexte"/>
                <w:rtl/>
              </w:rPr>
              <w:t xml:space="preserve"> (</w:t>
            </w:r>
            <w:r w:rsidR="0083667F" w:rsidRPr="008D22A6">
              <w:rPr>
                <w:rStyle w:val="Lienhypertexte"/>
                <w:rFonts w:hint="eastAsia"/>
                <w:rtl/>
              </w:rPr>
              <w:t>أ،</w:t>
            </w:r>
            <w:r w:rsidR="0083667F" w:rsidRPr="008D22A6">
              <w:rPr>
                <w:rStyle w:val="Lienhypertexte"/>
                <w:rtl/>
              </w:rPr>
              <w:t xml:space="preserve"> </w:t>
            </w:r>
            <w:r w:rsidR="0083667F" w:rsidRPr="008D22A6">
              <w:rPr>
                <w:rStyle w:val="Lienhypertexte"/>
                <w:rFonts w:hint="eastAsia"/>
                <w:rtl/>
              </w:rPr>
              <w:t>ب</w:t>
            </w:r>
            <w:r w:rsidR="0083667F" w:rsidRPr="008D22A6">
              <w:rPr>
                <w:rStyle w:val="Lienhypertexte"/>
                <w:rtl/>
              </w:rPr>
              <w:t xml:space="preserve">): </w:t>
            </w:r>
            <w:r w:rsidR="0083667F" w:rsidRPr="008D22A6">
              <w:rPr>
                <w:rStyle w:val="Lienhypertexte"/>
                <w:rFonts w:hint="eastAsia"/>
                <w:rtl/>
              </w:rPr>
              <w:t>فيضانات</w:t>
            </w:r>
            <w:r w:rsidR="0083667F" w:rsidRPr="008D22A6">
              <w:rPr>
                <w:rStyle w:val="Lienhypertexte"/>
                <w:rtl/>
              </w:rPr>
              <w:t xml:space="preserve"> </w:t>
            </w:r>
            <w:r w:rsidR="0083667F" w:rsidRPr="008D22A6">
              <w:rPr>
                <w:rStyle w:val="Lienhypertexte"/>
                <w:rFonts w:hint="eastAsia"/>
                <w:rtl/>
              </w:rPr>
              <w:t>بوسعادة</w:t>
            </w:r>
            <w:r w:rsidR="0083667F" w:rsidRPr="008D22A6">
              <w:rPr>
                <w:rStyle w:val="Lienhypertexte"/>
                <w:rtl/>
              </w:rPr>
              <w:t xml:space="preserve"> </w:t>
            </w:r>
            <w:r w:rsidR="0083667F" w:rsidRPr="008D22A6">
              <w:rPr>
                <w:rStyle w:val="Lienhypertexte"/>
                <w:rFonts w:hint="eastAsia"/>
                <w:rtl/>
              </w:rPr>
              <w:t>عام</w:t>
            </w:r>
            <w:r w:rsidR="0083667F" w:rsidRPr="008D22A6">
              <w:rPr>
                <w:rStyle w:val="Lienhypertexte"/>
                <w:rtl/>
              </w:rPr>
              <w:t xml:space="preserve"> 2021. </w:t>
            </w:r>
            <w:r w:rsidR="0083667F" w:rsidRPr="008D22A6">
              <w:rPr>
                <w:rStyle w:val="Lienhypertexte"/>
                <w:rFonts w:hint="eastAsia"/>
                <w:rtl/>
              </w:rPr>
              <w:t>صورة</w:t>
            </w:r>
            <w:r w:rsidR="0083667F" w:rsidRPr="008D22A6">
              <w:rPr>
                <w:rStyle w:val="Lienhypertexte"/>
                <w:rtl/>
              </w:rPr>
              <w:t xml:space="preserve"> </w:t>
            </w:r>
            <w:r w:rsidR="0083667F" w:rsidRPr="008D22A6">
              <w:rPr>
                <w:rStyle w:val="Lienhypertexte"/>
                <w:rFonts w:hint="eastAsia"/>
                <w:rtl/>
              </w:rPr>
              <w:t>مأخوذة</w:t>
            </w:r>
            <w:r w:rsidR="0083667F" w:rsidRPr="008D22A6">
              <w:rPr>
                <w:rStyle w:val="Lienhypertexte"/>
                <w:rtl/>
              </w:rPr>
              <w:t xml:space="preserve"> </w:t>
            </w:r>
            <w:r w:rsidR="0083667F" w:rsidRPr="008D22A6">
              <w:rPr>
                <w:rStyle w:val="Lienhypertexte"/>
                <w:rFonts w:hint="eastAsia"/>
                <w:rtl/>
              </w:rPr>
              <w:t>من</w:t>
            </w:r>
            <w:r w:rsidR="0083667F" w:rsidRPr="008D22A6">
              <w:rPr>
                <w:rStyle w:val="Lienhypertexte"/>
                <w:rtl/>
              </w:rPr>
              <w:t xml:space="preserve"> </w:t>
            </w:r>
            <w:r w:rsidR="0083667F" w:rsidRPr="008D22A6">
              <w:rPr>
                <w:rStyle w:val="Lienhypertexte"/>
                <w:rFonts w:hint="eastAsia"/>
                <w:rtl/>
              </w:rPr>
              <w:t>الفيديو</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_Toc171803609 \h </w:instrText>
            </w:r>
            <w:r w:rsidR="0083667F">
              <w:rPr>
                <w:webHidden/>
              </w:rPr>
            </w:r>
            <w:r w:rsidR="0083667F">
              <w:rPr>
                <w:webHidden/>
              </w:rPr>
              <w:fldChar w:fldCharType="separate"/>
            </w:r>
            <w:r>
              <w:rPr>
                <w:webHidden/>
                <w:rtl/>
                <w:lang w:bidi="ar-SA"/>
              </w:rPr>
              <w:t>127</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617" w:history="1">
            <w:r w:rsidR="0083667F" w:rsidRPr="008D22A6">
              <w:rPr>
                <w:rStyle w:val="Lienhypertexte"/>
                <w:rFonts w:hint="eastAsia"/>
                <w:rtl/>
              </w:rPr>
              <w:t>الصورة</w:t>
            </w:r>
            <w:r w:rsidR="0083667F" w:rsidRPr="008D22A6">
              <w:rPr>
                <w:rStyle w:val="Lienhypertexte"/>
                <w:rtl/>
              </w:rPr>
              <w:t xml:space="preserve"> (4-4): </w:t>
            </w:r>
            <w:r w:rsidR="0083667F" w:rsidRPr="008D22A6">
              <w:rPr>
                <w:rStyle w:val="Lienhypertexte"/>
                <w:rFonts w:hint="eastAsia"/>
                <w:rtl/>
              </w:rPr>
              <w:t>صورة</w:t>
            </w:r>
            <w:r w:rsidR="0083667F" w:rsidRPr="008D22A6">
              <w:rPr>
                <w:rStyle w:val="Lienhypertexte"/>
                <w:rtl/>
              </w:rPr>
              <w:t xml:space="preserve"> </w:t>
            </w:r>
            <w:r w:rsidR="0083667F" w:rsidRPr="008D22A6">
              <w:rPr>
                <w:rStyle w:val="Lienhypertexte"/>
                <w:rFonts w:hint="eastAsia"/>
                <w:rtl/>
              </w:rPr>
              <w:t>جوية</w:t>
            </w:r>
            <w:r w:rsidR="0083667F" w:rsidRPr="008D22A6">
              <w:rPr>
                <w:rStyle w:val="Lienhypertexte"/>
                <w:rtl/>
              </w:rPr>
              <w:t xml:space="preserve"> </w:t>
            </w:r>
            <w:r w:rsidR="0083667F" w:rsidRPr="008D22A6">
              <w:rPr>
                <w:rStyle w:val="Lienhypertexte"/>
                <w:rFonts w:hint="eastAsia"/>
                <w:rtl/>
              </w:rPr>
              <w:t>لمدينة</w:t>
            </w:r>
            <w:r w:rsidR="0083667F" w:rsidRPr="008D22A6">
              <w:rPr>
                <w:rStyle w:val="Lienhypertexte"/>
                <w:rtl/>
              </w:rPr>
              <w:t xml:space="preserve"> </w:t>
            </w:r>
            <w:r w:rsidR="0083667F" w:rsidRPr="008D22A6">
              <w:rPr>
                <w:rStyle w:val="Lienhypertexte"/>
                <w:rFonts w:hint="eastAsia"/>
                <w:rtl/>
              </w:rPr>
              <w:t>بوسعادة</w:t>
            </w:r>
            <w:r w:rsidR="0083667F" w:rsidRPr="008D22A6">
              <w:rPr>
                <w:rStyle w:val="Lienhypertexte"/>
                <w:rtl/>
              </w:rPr>
              <w:t xml:space="preserve"> (1972)</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_Toc171803617 \h </w:instrText>
            </w:r>
            <w:r w:rsidR="0083667F">
              <w:rPr>
                <w:webHidden/>
              </w:rPr>
            </w:r>
            <w:r w:rsidR="0083667F">
              <w:rPr>
                <w:webHidden/>
              </w:rPr>
              <w:fldChar w:fldCharType="separate"/>
            </w:r>
            <w:r>
              <w:rPr>
                <w:webHidden/>
                <w:rtl/>
                <w:lang w:bidi="ar-SA"/>
              </w:rPr>
              <w:t>130</w:t>
            </w:r>
            <w:r w:rsidR="0083667F">
              <w:rPr>
                <w:webHidden/>
              </w:rPr>
              <w:fldChar w:fldCharType="end"/>
            </w:r>
          </w:hyperlink>
        </w:p>
        <w:p w:rsidR="0083667F" w:rsidRDefault="00B62F86" w:rsidP="003034C2">
          <w:pPr>
            <w:pStyle w:val="TM1"/>
            <w:rPr>
              <w:rFonts w:asciiTheme="minorHAnsi" w:hAnsiTheme="minorHAnsi" w:cstheme="minorBidi"/>
              <w:color w:val="auto"/>
              <w:lang w:val="fr-FR" w:bidi="ar-SA"/>
            </w:rPr>
          </w:pPr>
          <w:hyperlink w:anchor="_Toc171803618" w:history="1">
            <w:r w:rsidR="0083667F" w:rsidRPr="008D22A6">
              <w:rPr>
                <w:rStyle w:val="Lienhypertexte"/>
                <w:rFonts w:hint="eastAsia"/>
                <w:rtl/>
              </w:rPr>
              <w:t>الصورة</w:t>
            </w:r>
            <w:r w:rsidR="0083667F" w:rsidRPr="008D22A6">
              <w:rPr>
                <w:rStyle w:val="Lienhypertexte"/>
                <w:rtl/>
              </w:rPr>
              <w:t xml:space="preserve"> (4-5): </w:t>
            </w:r>
            <w:r w:rsidR="0083667F" w:rsidRPr="008D22A6">
              <w:rPr>
                <w:rStyle w:val="Lienhypertexte"/>
                <w:rFonts w:hint="eastAsia"/>
                <w:rtl/>
              </w:rPr>
              <w:t>صورة</w:t>
            </w:r>
            <w:r w:rsidR="0083667F" w:rsidRPr="008D22A6">
              <w:rPr>
                <w:rStyle w:val="Lienhypertexte"/>
                <w:rtl/>
              </w:rPr>
              <w:t xml:space="preserve"> </w:t>
            </w:r>
            <w:r w:rsidR="0083667F" w:rsidRPr="008D22A6">
              <w:rPr>
                <w:rStyle w:val="Lienhypertexte"/>
                <w:rFonts w:hint="eastAsia"/>
                <w:rtl/>
              </w:rPr>
              <w:t>جوية</w:t>
            </w:r>
            <w:r w:rsidR="0083667F" w:rsidRPr="008D22A6">
              <w:rPr>
                <w:rStyle w:val="Lienhypertexte"/>
                <w:rtl/>
              </w:rPr>
              <w:t xml:space="preserve"> </w:t>
            </w:r>
            <w:r w:rsidR="0083667F" w:rsidRPr="008D22A6">
              <w:rPr>
                <w:rStyle w:val="Lienhypertexte"/>
                <w:rFonts w:hint="eastAsia"/>
                <w:rtl/>
              </w:rPr>
              <w:t>لمدينة</w:t>
            </w:r>
            <w:r w:rsidR="0083667F" w:rsidRPr="008D22A6">
              <w:rPr>
                <w:rStyle w:val="Lienhypertexte"/>
                <w:rtl/>
              </w:rPr>
              <w:t xml:space="preserve"> </w:t>
            </w:r>
            <w:r w:rsidR="0083667F" w:rsidRPr="008D22A6">
              <w:rPr>
                <w:rStyle w:val="Lienhypertexte"/>
                <w:rFonts w:hint="eastAsia"/>
                <w:rtl/>
              </w:rPr>
              <w:t>بوسعادة</w:t>
            </w:r>
            <w:r w:rsidR="0083667F" w:rsidRPr="008D22A6">
              <w:rPr>
                <w:rStyle w:val="Lienhypertexte"/>
                <w:rtl/>
              </w:rPr>
              <w:t xml:space="preserve"> (2001)</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_Toc171803618 \h </w:instrText>
            </w:r>
            <w:r w:rsidR="0083667F">
              <w:rPr>
                <w:webHidden/>
              </w:rPr>
            </w:r>
            <w:r w:rsidR="0083667F">
              <w:rPr>
                <w:webHidden/>
              </w:rPr>
              <w:fldChar w:fldCharType="separate"/>
            </w:r>
            <w:r>
              <w:rPr>
                <w:webHidden/>
                <w:rtl/>
                <w:lang w:bidi="ar-SA"/>
              </w:rPr>
              <w:t>131</w:t>
            </w:r>
            <w:r w:rsidR="0083667F">
              <w:rPr>
                <w:webHidden/>
              </w:rPr>
              <w:fldChar w:fldCharType="end"/>
            </w:r>
          </w:hyperlink>
        </w:p>
        <w:p w:rsidR="0083667F" w:rsidRDefault="00B62F86" w:rsidP="009579D2">
          <w:pPr>
            <w:pStyle w:val="TM1"/>
            <w:rPr>
              <w:rFonts w:asciiTheme="minorHAnsi" w:hAnsiTheme="minorHAnsi" w:cstheme="minorBidi"/>
              <w:color w:val="auto"/>
              <w:lang w:val="fr-FR" w:bidi="ar-SA"/>
            </w:rPr>
          </w:pPr>
          <w:hyperlink w:anchor="_Toc171803639" w:history="1">
            <w:r w:rsidR="0083667F" w:rsidRPr="008D22A6">
              <w:rPr>
                <w:rStyle w:val="Lienhypertexte"/>
                <w:rFonts w:hint="eastAsia"/>
                <w:rtl/>
              </w:rPr>
              <w:t>الفصل</w:t>
            </w:r>
            <w:r w:rsidR="0083667F" w:rsidRPr="008D22A6">
              <w:rPr>
                <w:rStyle w:val="Lienhypertexte"/>
                <w:rtl/>
              </w:rPr>
              <w:t xml:space="preserve"> 5: </w:t>
            </w:r>
            <w:r w:rsidR="0083667F" w:rsidRPr="008D22A6">
              <w:rPr>
                <w:rStyle w:val="Lienhypertexte"/>
                <w:rFonts w:hint="eastAsia"/>
                <w:rtl/>
              </w:rPr>
              <w:t>تنفيذ</w:t>
            </w:r>
            <w:r w:rsidR="0083667F" w:rsidRPr="008D22A6">
              <w:rPr>
                <w:rStyle w:val="Lienhypertexte"/>
                <w:rtl/>
              </w:rPr>
              <w:t xml:space="preserve"> </w:t>
            </w:r>
            <w:r w:rsidR="0083667F" w:rsidRPr="008D22A6">
              <w:rPr>
                <w:rStyle w:val="Lienhypertexte"/>
                <w:rFonts w:hint="eastAsia"/>
                <w:rtl/>
              </w:rPr>
              <w:t>اطار</w:t>
            </w:r>
            <w:r w:rsidR="0083667F" w:rsidRPr="008D22A6">
              <w:rPr>
                <w:rStyle w:val="Lienhypertexte"/>
                <w:rtl/>
              </w:rPr>
              <w:t xml:space="preserve"> </w:t>
            </w:r>
            <w:r w:rsidR="0083667F" w:rsidRPr="008D22A6">
              <w:rPr>
                <w:rStyle w:val="Lienhypertexte"/>
                <w:rFonts w:hint="eastAsia"/>
                <w:rtl/>
              </w:rPr>
              <w:t>عمل</w:t>
            </w:r>
            <w:r w:rsidR="0083667F" w:rsidRPr="008D22A6">
              <w:rPr>
                <w:rStyle w:val="Lienhypertexte"/>
                <w:rtl/>
              </w:rPr>
              <w:t xml:space="preserve"> </w:t>
            </w:r>
            <w:r w:rsidR="0083667F" w:rsidRPr="008D22A6">
              <w:rPr>
                <w:rStyle w:val="Lienhypertexte"/>
                <w:rFonts w:hint="eastAsia"/>
                <w:rtl/>
              </w:rPr>
              <w:t>تقييم</w:t>
            </w:r>
            <w:r w:rsidR="0083667F" w:rsidRPr="008D22A6">
              <w:rPr>
                <w:rStyle w:val="Lienhypertexte"/>
                <w:rtl/>
              </w:rPr>
              <w:t xml:space="preserve"> </w:t>
            </w:r>
            <w:r w:rsidR="0083667F" w:rsidRPr="008D22A6">
              <w:rPr>
                <w:rStyle w:val="Lienhypertexte"/>
                <w:rFonts w:hint="eastAsia"/>
                <w:rtl/>
              </w:rPr>
              <w:t>مرونة</w:t>
            </w:r>
            <w:r w:rsidR="0083667F" w:rsidRPr="008D22A6">
              <w:rPr>
                <w:rStyle w:val="Lienhypertexte"/>
                <w:rtl/>
              </w:rPr>
              <w:t xml:space="preserve"> </w:t>
            </w:r>
            <w:r w:rsidR="0083667F" w:rsidRPr="008D22A6">
              <w:rPr>
                <w:rStyle w:val="Lienhypertexte"/>
                <w:rFonts w:hint="eastAsia"/>
                <w:rtl/>
              </w:rPr>
              <w:t>مدينة</w:t>
            </w:r>
            <w:r w:rsidR="0083667F" w:rsidRPr="008D22A6">
              <w:rPr>
                <w:rStyle w:val="Lienhypertexte"/>
                <w:rtl/>
              </w:rPr>
              <w:t xml:space="preserve"> </w:t>
            </w:r>
            <w:r w:rsidR="0083667F" w:rsidRPr="008D22A6">
              <w:rPr>
                <w:rStyle w:val="Lienhypertexte"/>
                <w:rFonts w:hint="eastAsia"/>
                <w:rtl/>
              </w:rPr>
              <w:t>بوسعادة</w:t>
            </w:r>
          </w:hyperlink>
        </w:p>
        <w:p w:rsidR="0083667F" w:rsidRDefault="00B62F86" w:rsidP="003034C2">
          <w:pPr>
            <w:pStyle w:val="TM1"/>
            <w:rPr>
              <w:rFonts w:eastAsiaTheme="minorHAnsi"/>
              <w:lang w:eastAsia="en-US"/>
            </w:rPr>
          </w:pPr>
          <w:hyperlink w:anchor="_Toc171803752" w:history="1">
            <w:r w:rsidR="0083667F" w:rsidRPr="008D22A6">
              <w:rPr>
                <w:rStyle w:val="Lienhypertexte"/>
                <w:rFonts w:hint="eastAsia"/>
                <w:rtl/>
              </w:rPr>
              <w:t>الصورة</w:t>
            </w:r>
            <w:r w:rsidR="0083667F" w:rsidRPr="008D22A6">
              <w:rPr>
                <w:rStyle w:val="Lienhypertexte"/>
                <w:rtl/>
              </w:rPr>
              <w:t xml:space="preserve"> (5-1): </w:t>
            </w:r>
            <w:r w:rsidR="0083667F" w:rsidRPr="008D22A6">
              <w:rPr>
                <w:rStyle w:val="Lienhypertexte"/>
                <w:rFonts w:hint="eastAsia"/>
                <w:rtl/>
              </w:rPr>
              <w:t>غمر</w:t>
            </w:r>
            <w:r w:rsidR="0083667F" w:rsidRPr="008D22A6">
              <w:rPr>
                <w:rStyle w:val="Lienhypertexte"/>
                <w:rtl/>
              </w:rPr>
              <w:t xml:space="preserve"> </w:t>
            </w:r>
            <w:r w:rsidR="0083667F" w:rsidRPr="008D22A6">
              <w:rPr>
                <w:rStyle w:val="Lienhypertexte"/>
                <w:rFonts w:hint="eastAsia"/>
                <w:rtl/>
              </w:rPr>
              <w:t>طرق</w:t>
            </w:r>
            <w:r w:rsidR="0083667F" w:rsidRPr="008D22A6">
              <w:rPr>
                <w:rStyle w:val="Lienhypertexte"/>
                <w:rtl/>
              </w:rPr>
              <w:t xml:space="preserve"> </w:t>
            </w:r>
            <w:r w:rsidR="0083667F" w:rsidRPr="008D22A6">
              <w:rPr>
                <w:rStyle w:val="Lienhypertexte"/>
                <w:rFonts w:hint="eastAsia"/>
                <w:rtl/>
              </w:rPr>
              <w:t>احياء</w:t>
            </w:r>
            <w:r w:rsidR="0083667F" w:rsidRPr="008D22A6">
              <w:rPr>
                <w:rStyle w:val="Lienhypertexte"/>
                <w:rtl/>
              </w:rPr>
              <w:t xml:space="preserve"> </w:t>
            </w:r>
            <w:r w:rsidR="0083667F" w:rsidRPr="008D22A6">
              <w:rPr>
                <w:rStyle w:val="Lienhypertexte"/>
                <w:rFonts w:hint="eastAsia"/>
                <w:rtl/>
              </w:rPr>
              <w:t>بوسعادة</w:t>
            </w:r>
            <w:r w:rsidR="0083667F" w:rsidRPr="008D22A6">
              <w:rPr>
                <w:rStyle w:val="Lienhypertexte"/>
                <w:rtl/>
              </w:rPr>
              <w:t xml:space="preserve"> </w:t>
            </w:r>
            <w:r w:rsidR="0083667F" w:rsidRPr="008D22A6">
              <w:rPr>
                <w:rStyle w:val="Lienhypertexte"/>
                <w:rFonts w:hint="eastAsia"/>
                <w:rtl/>
              </w:rPr>
              <w:t>عام</w:t>
            </w:r>
            <w:r w:rsidR="0083667F" w:rsidRPr="008D22A6">
              <w:rPr>
                <w:rStyle w:val="Lienhypertexte"/>
                <w:rtl/>
              </w:rPr>
              <w:t xml:space="preserve"> 2021.</w:t>
            </w:r>
            <w:r w:rsidR="0083667F">
              <w:rPr>
                <w:rStyle w:val="Lienhypertexte"/>
                <w:rFonts w:hint="cs"/>
                <w:rtl/>
              </w:rPr>
              <w:t>........................................</w:t>
            </w:r>
            <w:r w:rsidR="003034C2">
              <w:rPr>
                <w:rStyle w:val="Lienhypertexte"/>
                <w:rFonts w:hint="cs"/>
                <w:rtl/>
              </w:rPr>
              <w:t>.......</w:t>
            </w:r>
            <w:r w:rsidR="0083667F">
              <w:rPr>
                <w:rStyle w:val="Lienhypertexte"/>
                <w:rFonts w:hint="cs"/>
                <w:rtl/>
              </w:rPr>
              <w:t>..................</w:t>
            </w:r>
            <w:r w:rsidR="0083667F">
              <w:rPr>
                <w:webHidden/>
              </w:rPr>
              <w:tab/>
            </w:r>
            <w:r w:rsidR="0083667F">
              <w:rPr>
                <w:webHidden/>
              </w:rPr>
              <w:fldChar w:fldCharType="begin"/>
            </w:r>
            <w:r w:rsidR="0083667F">
              <w:rPr>
                <w:webHidden/>
              </w:rPr>
              <w:instrText xml:space="preserve"> PAGEREF _Toc171803752 \h </w:instrText>
            </w:r>
            <w:r w:rsidR="0083667F">
              <w:rPr>
                <w:webHidden/>
              </w:rPr>
            </w:r>
            <w:r w:rsidR="0083667F">
              <w:rPr>
                <w:webHidden/>
              </w:rPr>
              <w:fldChar w:fldCharType="separate"/>
            </w:r>
            <w:r>
              <w:rPr>
                <w:webHidden/>
                <w:rtl/>
                <w:lang w:bidi="ar-SA"/>
              </w:rPr>
              <w:t>176</w:t>
            </w:r>
            <w:r w:rsidR="0083667F">
              <w:rPr>
                <w:webHidden/>
              </w:rPr>
              <w:fldChar w:fldCharType="end"/>
            </w:r>
          </w:hyperlink>
          <w:r w:rsidR="0083667F" w:rsidRPr="00463944">
            <w:fldChar w:fldCharType="end"/>
          </w:r>
        </w:p>
      </w:sdtContent>
    </w:sdt>
    <w:p w:rsidR="003154E7" w:rsidRDefault="003154E7"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EF5226" w:rsidRDefault="00EF5226" w:rsidP="00852778">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Default="00FD69D1" w:rsidP="00FD69D1">
      <w:pPr>
        <w:bidi/>
        <w:spacing w:after="0" w:line="240" w:lineRule="auto"/>
        <w:rPr>
          <w:rFonts w:ascii="Simplified Arabic" w:hAnsi="Simplified Arabic" w:cs="Simplified Arabic"/>
          <w:b/>
          <w:bCs/>
          <w:sz w:val="24"/>
          <w:szCs w:val="24"/>
          <w:rtl/>
        </w:rPr>
      </w:pPr>
    </w:p>
    <w:p w:rsidR="00FD69D1" w:rsidRPr="00B93CC4" w:rsidRDefault="00FD69D1" w:rsidP="00FD69D1">
      <w:pPr>
        <w:shd w:val="clear" w:color="auto" w:fill="D9D9D9" w:themeFill="background1" w:themeFillShade="D9"/>
        <w:tabs>
          <w:tab w:val="left" w:pos="3128"/>
        </w:tabs>
        <w:bidi/>
        <w:spacing w:before="240" w:line="240" w:lineRule="auto"/>
        <w:jc w:val="center"/>
        <w:outlineLvl w:val="0"/>
        <w:rPr>
          <w:rFonts w:ascii="Simplified Arabic" w:hAnsi="Simplified Arabic" w:cs="Simplified Arabic"/>
          <w:b/>
          <w:bCs/>
          <w:sz w:val="24"/>
          <w:szCs w:val="24"/>
          <w:rtl/>
        </w:rPr>
      </w:pPr>
      <w:bookmarkStart w:id="9" w:name="_Toc171803280"/>
      <w:r w:rsidRPr="00F177E5">
        <w:rPr>
          <w:rFonts w:ascii="Simplified Arabic" w:hAnsi="Simplified Arabic" w:cs="Simplified Arabic"/>
          <w:b/>
          <w:bCs/>
          <w:sz w:val="24"/>
          <w:szCs w:val="24"/>
          <w:rtl/>
        </w:rPr>
        <w:lastRenderedPageBreak/>
        <w:t>قائمة الاختصارات و الرموز</w:t>
      </w:r>
      <w:bookmarkEnd w:id="9"/>
    </w:p>
    <w:tbl>
      <w:tblPr>
        <w:bidiVisual/>
        <w:tblW w:w="0" w:type="auto"/>
        <w:jc w:val="center"/>
        <w:tblInd w:w="-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2"/>
        <w:gridCol w:w="1260"/>
        <w:gridCol w:w="4102"/>
      </w:tblGrid>
      <w:tr w:rsidR="00FD69D1" w:rsidRPr="009E1D9B" w:rsidTr="008246D9">
        <w:trPr>
          <w:trHeight w:val="60"/>
          <w:jc w:val="center"/>
        </w:trPr>
        <w:tc>
          <w:tcPr>
            <w:tcW w:w="3692" w:type="dxa"/>
            <w:vAlign w:val="center"/>
          </w:tcPr>
          <w:p w:rsidR="00FD69D1" w:rsidRPr="009E1D9B" w:rsidRDefault="00FD69D1" w:rsidP="008246D9">
            <w:pPr>
              <w:bidi/>
              <w:spacing w:after="0"/>
              <w:jc w:val="center"/>
              <w:rPr>
                <w:rFonts w:ascii="Simplified Arabic" w:hAnsi="Simplified Arabic" w:cs="Simplified Arabic"/>
                <w:b/>
                <w:bCs/>
                <w:sz w:val="24"/>
                <w:szCs w:val="24"/>
              </w:rPr>
            </w:pPr>
            <w:r w:rsidRPr="009E1D9B">
              <w:rPr>
                <w:rFonts w:ascii="Simplified Arabic" w:hAnsi="Simplified Arabic" w:cs="Simplified Arabic"/>
                <w:b/>
                <w:bCs/>
                <w:sz w:val="24"/>
                <w:szCs w:val="24"/>
                <w:rtl/>
              </w:rPr>
              <w:t>المصطلح باللغة العربية</w:t>
            </w:r>
          </w:p>
        </w:tc>
        <w:tc>
          <w:tcPr>
            <w:tcW w:w="1260" w:type="dxa"/>
            <w:vAlign w:val="center"/>
          </w:tcPr>
          <w:p w:rsidR="00FD69D1" w:rsidRPr="009E1D9B" w:rsidRDefault="00FD69D1" w:rsidP="008246D9">
            <w:pPr>
              <w:bidi/>
              <w:spacing w:after="0"/>
              <w:jc w:val="center"/>
              <w:rPr>
                <w:rFonts w:ascii="Simplified Arabic" w:hAnsi="Simplified Arabic" w:cs="Simplified Arabic"/>
                <w:b/>
                <w:bCs/>
                <w:sz w:val="24"/>
                <w:szCs w:val="24"/>
              </w:rPr>
            </w:pPr>
            <w:r w:rsidRPr="009E1D9B">
              <w:rPr>
                <w:rFonts w:ascii="Simplified Arabic" w:hAnsi="Simplified Arabic" w:cs="Simplified Arabic"/>
                <w:b/>
                <w:bCs/>
                <w:sz w:val="24"/>
                <w:szCs w:val="24"/>
                <w:rtl/>
              </w:rPr>
              <w:t>الاختصار</w:t>
            </w:r>
          </w:p>
        </w:tc>
        <w:tc>
          <w:tcPr>
            <w:tcW w:w="4102" w:type="dxa"/>
            <w:vAlign w:val="center"/>
          </w:tcPr>
          <w:p w:rsidR="00FD69D1" w:rsidRPr="009E1D9B" w:rsidRDefault="00FD69D1" w:rsidP="008246D9">
            <w:pPr>
              <w:bidi/>
              <w:spacing w:after="0"/>
              <w:jc w:val="center"/>
              <w:rPr>
                <w:rFonts w:ascii="Simplified Arabic" w:hAnsi="Simplified Arabic" w:cs="Simplified Arabic"/>
                <w:b/>
                <w:bCs/>
                <w:sz w:val="24"/>
                <w:szCs w:val="24"/>
              </w:rPr>
            </w:pPr>
            <w:r w:rsidRPr="009E1D9B">
              <w:rPr>
                <w:rFonts w:ascii="Simplified Arabic" w:hAnsi="Simplified Arabic" w:cs="Simplified Arabic"/>
                <w:b/>
                <w:bCs/>
                <w:sz w:val="24"/>
                <w:szCs w:val="24"/>
                <w:rtl/>
              </w:rPr>
              <w:t xml:space="preserve">المصطلح باللغة </w:t>
            </w:r>
            <w:r w:rsidRPr="009E1D9B">
              <w:rPr>
                <w:rFonts w:ascii="Simplified Arabic" w:hAnsi="Simplified Arabic" w:cs="Simplified Arabic" w:hint="cs"/>
                <w:b/>
                <w:bCs/>
                <w:sz w:val="24"/>
                <w:szCs w:val="24"/>
                <w:rtl/>
              </w:rPr>
              <w:t>الانجليزية</w:t>
            </w:r>
          </w:p>
        </w:tc>
      </w:tr>
      <w:tr w:rsidR="00FD69D1" w:rsidRPr="009E1D9B" w:rsidTr="008246D9">
        <w:trPr>
          <w:trHeight w:val="60"/>
          <w:jc w:val="center"/>
        </w:trPr>
        <w:tc>
          <w:tcPr>
            <w:tcW w:w="3692" w:type="dxa"/>
            <w:vAlign w:val="center"/>
          </w:tcPr>
          <w:p w:rsidR="00FD69D1" w:rsidRPr="009E1D9B" w:rsidRDefault="00FD69D1" w:rsidP="008246D9">
            <w:pPr>
              <w:bidi/>
              <w:spacing w:after="0"/>
              <w:jc w:val="center"/>
              <w:rPr>
                <w:rFonts w:ascii="Simplified Arabic" w:hAnsi="Simplified Arabic" w:cs="Simplified Arabic"/>
                <w:rtl/>
              </w:rPr>
            </w:pPr>
            <w:r w:rsidRPr="009E1D9B">
              <w:rPr>
                <w:rFonts w:ascii="Simplified Arabic" w:hAnsi="Simplified Arabic" w:cs="Simplified Arabic" w:hint="cs"/>
                <w:rtl/>
                <w:lang w:bidi="ar-DZ"/>
              </w:rPr>
              <w:t>نسبة</w:t>
            </w:r>
            <w:r w:rsidRPr="009E1D9B">
              <w:rPr>
                <w:rFonts w:ascii="Simplified Arabic" w:hAnsi="Simplified Arabic" w:cs="Simplified Arabic"/>
                <w:rtl/>
                <w:lang w:bidi="ar-DZ"/>
              </w:rPr>
              <w:t xml:space="preserve"> </w:t>
            </w:r>
            <w:r w:rsidRPr="009E1D9B">
              <w:rPr>
                <w:rFonts w:ascii="Simplified Arabic" w:hAnsi="Simplified Arabic" w:cs="Simplified Arabic" w:hint="cs"/>
                <w:rtl/>
                <w:lang w:bidi="ar-DZ"/>
              </w:rPr>
              <w:t>كثافة</w:t>
            </w:r>
            <w:r w:rsidRPr="009E1D9B">
              <w:rPr>
                <w:rFonts w:ascii="Simplified Arabic" w:hAnsi="Simplified Arabic" w:cs="Simplified Arabic"/>
                <w:rtl/>
                <w:lang w:bidi="ar-DZ"/>
              </w:rPr>
              <w:t xml:space="preserve"> </w:t>
            </w:r>
            <w:r w:rsidRPr="009E1D9B">
              <w:rPr>
                <w:rFonts w:ascii="Simplified Arabic" w:hAnsi="Simplified Arabic" w:cs="Simplified Arabic" w:hint="cs"/>
                <w:rtl/>
                <w:lang w:bidi="ar-DZ"/>
              </w:rPr>
              <w:t>الموقع</w:t>
            </w:r>
            <w:r w:rsidRPr="009E1D9B">
              <w:rPr>
                <w:rFonts w:ascii="Simplified Arabic" w:hAnsi="Simplified Arabic" w:cs="Simplified Arabic"/>
                <w:rtl/>
                <w:lang w:bidi="ar-DZ"/>
              </w:rPr>
              <w:t xml:space="preserve"> </w:t>
            </w:r>
            <w:r w:rsidRPr="009E1D9B">
              <w:rPr>
                <w:rFonts w:ascii="Simplified Arabic" w:hAnsi="Simplified Arabic" w:cs="Simplified Arabic" w:hint="cs"/>
                <w:rtl/>
                <w:lang w:bidi="ar-DZ"/>
              </w:rPr>
              <w:t>الذي</w:t>
            </w:r>
            <w:r w:rsidRPr="009E1D9B">
              <w:rPr>
                <w:rFonts w:ascii="Simplified Arabic" w:hAnsi="Simplified Arabic" w:cs="Simplified Arabic"/>
                <w:rtl/>
                <w:lang w:bidi="ar-DZ"/>
              </w:rPr>
              <w:t xml:space="preserve"> </w:t>
            </w:r>
            <w:r w:rsidRPr="009E1D9B">
              <w:rPr>
                <w:rFonts w:ascii="Simplified Arabic" w:hAnsi="Simplified Arabic" w:cs="Simplified Arabic" w:hint="cs"/>
                <w:rtl/>
                <w:lang w:bidi="ar-DZ"/>
              </w:rPr>
              <w:t>يمكن</w:t>
            </w:r>
            <w:r w:rsidRPr="009E1D9B">
              <w:rPr>
                <w:rFonts w:ascii="Simplified Arabic" w:hAnsi="Simplified Arabic" w:cs="Simplified Arabic"/>
                <w:rtl/>
                <w:lang w:bidi="ar-DZ"/>
              </w:rPr>
              <w:t xml:space="preserve"> </w:t>
            </w:r>
            <w:r w:rsidRPr="009E1D9B">
              <w:rPr>
                <w:rFonts w:ascii="Simplified Arabic" w:hAnsi="Simplified Arabic" w:cs="Simplified Arabic" w:hint="cs"/>
                <w:rtl/>
                <w:lang w:bidi="ar-DZ"/>
              </w:rPr>
              <w:t>الوصول</w:t>
            </w:r>
            <w:r w:rsidRPr="009E1D9B">
              <w:rPr>
                <w:rFonts w:ascii="Simplified Arabic" w:hAnsi="Simplified Arabic" w:cs="Simplified Arabic"/>
                <w:rtl/>
                <w:lang w:bidi="ar-DZ"/>
              </w:rPr>
              <w:t xml:space="preserve"> </w:t>
            </w:r>
            <w:r w:rsidRPr="009E1D9B">
              <w:rPr>
                <w:rFonts w:ascii="Simplified Arabic" w:hAnsi="Simplified Arabic" w:cs="Simplified Arabic" w:hint="cs"/>
                <w:rtl/>
                <w:lang w:bidi="ar-DZ"/>
              </w:rPr>
              <w:t>إليه</w:t>
            </w:r>
          </w:p>
        </w:tc>
        <w:tc>
          <w:tcPr>
            <w:tcW w:w="1260" w:type="dxa"/>
            <w:vAlign w:val="center"/>
          </w:tcPr>
          <w:p w:rsidR="00FD69D1" w:rsidRPr="009E1D9B" w:rsidRDefault="00FD69D1" w:rsidP="008246D9">
            <w:pPr>
              <w:bidi/>
              <w:spacing w:after="0"/>
              <w:jc w:val="center"/>
              <w:rPr>
                <w:rFonts w:ascii="Simplified Arabic" w:hAnsi="Simplified Arabic" w:cs="Simplified Arabic"/>
                <w:rtl/>
              </w:rPr>
            </w:pPr>
            <w:r w:rsidRPr="009E1D9B">
              <w:rPr>
                <w:rFonts w:asciiTheme="majorBidi" w:hAnsiTheme="majorBidi" w:cstheme="majorBidi"/>
                <w:rtl/>
                <w:lang w:bidi="ar-DZ"/>
              </w:rPr>
              <w:t>(</w:t>
            </w:r>
            <w:r w:rsidRPr="009E1D9B">
              <w:rPr>
                <w:rFonts w:asciiTheme="majorBidi" w:hAnsiTheme="majorBidi" w:cstheme="majorBidi"/>
                <w:lang w:val="en-US" w:bidi="ar-DZ"/>
              </w:rPr>
              <w:t>ALDR</w:t>
            </w:r>
            <w:r w:rsidRPr="009E1D9B">
              <w:rPr>
                <w:rFonts w:asciiTheme="majorBidi" w:hAnsiTheme="majorBidi" w:cstheme="majorBidi"/>
                <w:rtl/>
                <w:lang w:bidi="ar-DZ"/>
              </w:rPr>
              <w:t>)</w:t>
            </w:r>
          </w:p>
        </w:tc>
        <w:tc>
          <w:tcPr>
            <w:tcW w:w="4102" w:type="dxa"/>
            <w:vAlign w:val="center"/>
          </w:tcPr>
          <w:p w:rsidR="00FD69D1" w:rsidRPr="009E1D9B" w:rsidRDefault="00FD69D1" w:rsidP="008246D9">
            <w:pPr>
              <w:spacing w:after="0"/>
              <w:rPr>
                <w:rFonts w:ascii="Simplified Arabic" w:hAnsi="Simplified Arabic" w:cs="Simplified Arabic"/>
                <w:rtl/>
              </w:rPr>
            </w:pPr>
            <w:r w:rsidRPr="009E1D9B">
              <w:rPr>
                <w:rFonts w:asciiTheme="majorBidi" w:hAnsiTheme="majorBidi" w:cstheme="majorBidi"/>
                <w:color w:val="0D0D0D"/>
                <w:lang w:val="en-US"/>
              </w:rPr>
              <w:t>Accessible Location Density Ratio</w:t>
            </w:r>
          </w:p>
        </w:tc>
      </w:tr>
      <w:tr w:rsidR="00FD69D1" w:rsidRPr="00B62F86"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lang w:val="en-US"/>
              </w:rPr>
            </w:pPr>
            <w:r w:rsidRPr="009E1D9B">
              <w:rPr>
                <w:rFonts w:ascii="Simplified Arabic" w:hAnsi="Simplified Arabic" w:cs="Simplified Arabic" w:hint="cs"/>
                <w:rtl/>
                <w:lang w:val="en-US"/>
              </w:rPr>
              <w:t>الأنظمة</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المكانية لنظام</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دعم</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القرار</w:t>
            </w:r>
            <w:r w:rsidRPr="009E1D9B">
              <w:rPr>
                <w:rFonts w:ascii="Simplified Arabic" w:hAnsi="Simplified Arabic" w:cs="Simplified Arabic"/>
                <w:rtl/>
                <w:lang w:val="en-US"/>
              </w:rPr>
              <w:t xml:space="preserve"> </w:t>
            </w:r>
          </w:p>
        </w:tc>
        <w:tc>
          <w:tcPr>
            <w:tcW w:w="1260" w:type="dxa"/>
            <w:vAlign w:val="center"/>
          </w:tcPr>
          <w:p w:rsidR="00FD69D1" w:rsidRPr="009E1D9B" w:rsidRDefault="00FD69D1" w:rsidP="008246D9">
            <w:pPr>
              <w:spacing w:after="0"/>
              <w:jc w:val="center"/>
              <w:rPr>
                <w:rFonts w:asciiTheme="majorBidi" w:hAnsiTheme="majorBidi" w:cstheme="majorBidi"/>
                <w:color w:val="000000"/>
                <w:rtl/>
                <w:lang w:val="en-US"/>
              </w:rPr>
            </w:pPr>
            <w:r w:rsidRPr="009E1D9B">
              <w:rPr>
                <w:rFonts w:asciiTheme="majorBidi" w:hAnsiTheme="majorBidi" w:cstheme="majorBidi"/>
                <w:color w:val="000000"/>
                <w:lang w:val="en-US"/>
              </w:rPr>
              <w:t>SSDS</w:t>
            </w:r>
          </w:p>
        </w:tc>
        <w:tc>
          <w:tcPr>
            <w:tcW w:w="4102" w:type="dxa"/>
            <w:vAlign w:val="center"/>
          </w:tcPr>
          <w:p w:rsidR="00FD69D1" w:rsidRPr="009E1D9B" w:rsidRDefault="00FD69D1" w:rsidP="008246D9">
            <w:pPr>
              <w:spacing w:after="0"/>
              <w:rPr>
                <w:rFonts w:asciiTheme="majorBidi" w:hAnsiTheme="majorBidi" w:cstheme="majorBidi"/>
                <w:rtl/>
                <w:lang w:val="en-US" w:bidi="ar-DZ"/>
              </w:rPr>
            </w:pPr>
            <w:r w:rsidRPr="009E1D9B">
              <w:rPr>
                <w:rFonts w:asciiTheme="majorBidi" w:hAnsiTheme="majorBidi" w:cstheme="majorBidi"/>
                <w:lang w:val="en-US" w:bidi="ar-DZ"/>
              </w:rPr>
              <w:t>Spatial systems for decision support system</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lang w:val="en-US"/>
              </w:rPr>
            </w:pPr>
            <w:r w:rsidRPr="009E1D9B">
              <w:rPr>
                <w:rFonts w:ascii="Simplified Arabic" w:hAnsi="Simplified Arabic" w:cs="Simplified Arabic" w:hint="cs"/>
                <w:rtl/>
                <w:lang w:val="en-US"/>
              </w:rPr>
              <w:t>حساب</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مؤشر</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المتوسط</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المرجح</w:t>
            </w:r>
          </w:p>
        </w:tc>
        <w:tc>
          <w:tcPr>
            <w:tcW w:w="1260" w:type="dxa"/>
            <w:vAlign w:val="center"/>
          </w:tcPr>
          <w:p w:rsidR="00FD69D1" w:rsidRPr="009E1D9B" w:rsidRDefault="00FD69D1" w:rsidP="008246D9">
            <w:pPr>
              <w:spacing w:after="0"/>
              <w:jc w:val="center"/>
              <w:rPr>
                <w:rFonts w:asciiTheme="majorBidi" w:hAnsiTheme="majorBidi" w:cstheme="majorBidi"/>
                <w:color w:val="000000"/>
                <w:rtl/>
                <w:lang w:val="en-US"/>
              </w:rPr>
            </w:pPr>
            <w:r w:rsidRPr="009E1D9B">
              <w:rPr>
                <w:rFonts w:asciiTheme="majorBidi" w:hAnsiTheme="majorBidi" w:cstheme="majorBidi"/>
                <w:color w:val="000000"/>
                <w:lang w:val="en-US"/>
              </w:rPr>
              <w:t>AWMI</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color w:val="000000"/>
                <w:rtl/>
                <w:lang w:val="en-US"/>
              </w:rPr>
            </w:pPr>
            <w:r w:rsidRPr="009E1D9B">
              <w:rPr>
                <w:rFonts w:asciiTheme="majorBidi" w:hAnsiTheme="majorBidi" w:cstheme="majorBidi"/>
                <w:color w:val="000000"/>
                <w:lang w:val="en-US"/>
              </w:rPr>
              <w:t xml:space="preserve">Aggregate Weighted Mean Index </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lang w:val="en-US"/>
              </w:rPr>
            </w:pPr>
            <w:r w:rsidRPr="009E1D9B">
              <w:rPr>
                <w:rFonts w:ascii="Simplified Arabic" w:hAnsi="Simplified Arabic" w:cs="Simplified Arabic" w:hint="cs"/>
                <w:rtl/>
                <w:lang w:val="en-US"/>
              </w:rPr>
              <w:t>مؤشر</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المتوسط</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المرجح</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WMI</w:t>
            </w:r>
          </w:p>
        </w:tc>
        <w:tc>
          <w:tcPr>
            <w:tcW w:w="4102" w:type="dxa"/>
            <w:vAlign w:val="center"/>
          </w:tcPr>
          <w:p w:rsidR="00FD69D1" w:rsidRPr="009E1D9B" w:rsidRDefault="00FD69D1" w:rsidP="008246D9">
            <w:pPr>
              <w:spacing w:after="0"/>
              <w:rPr>
                <w:rFonts w:asciiTheme="majorBidi" w:hAnsiTheme="majorBidi" w:cstheme="majorBidi"/>
                <w:color w:val="000000"/>
                <w:lang w:val="en-US"/>
              </w:rPr>
            </w:pPr>
            <w:r w:rsidRPr="009E1D9B">
              <w:rPr>
                <w:rFonts w:asciiTheme="majorBidi" w:hAnsiTheme="majorBidi" w:cstheme="majorBidi"/>
                <w:color w:val="000000"/>
                <w:lang w:val="en-US"/>
              </w:rPr>
              <w:t xml:space="preserve">Weighted Mean Index </w:t>
            </w:r>
          </w:p>
        </w:tc>
      </w:tr>
      <w:tr w:rsidR="00FD69D1" w:rsidRPr="00B62F86"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lang w:val="en-US"/>
              </w:rPr>
            </w:pPr>
            <w:r w:rsidRPr="009E1D9B">
              <w:rPr>
                <w:rFonts w:ascii="Simplified Arabic" w:hAnsi="Simplified Arabic" w:cs="Simplified Arabic" w:hint="cs"/>
                <w:rtl/>
                <w:lang w:val="en-US"/>
              </w:rPr>
              <w:t>ادوات تقييم المرونة الحضرية الشاملة</w:t>
            </w:r>
          </w:p>
        </w:tc>
        <w:tc>
          <w:tcPr>
            <w:tcW w:w="1260" w:type="dxa"/>
            <w:vAlign w:val="center"/>
          </w:tcPr>
          <w:p w:rsidR="00FD69D1" w:rsidRPr="009E1D9B" w:rsidRDefault="00FD69D1" w:rsidP="008246D9">
            <w:pPr>
              <w:spacing w:after="0"/>
              <w:jc w:val="center"/>
              <w:rPr>
                <w:rFonts w:ascii="Simplified Arabic" w:hAnsi="Simplified Arabic" w:cs="Simplified Arabic"/>
                <w:rtl/>
              </w:rPr>
            </w:pPr>
            <w:r w:rsidRPr="009E1D9B">
              <w:rPr>
                <w:rFonts w:asciiTheme="majorBidi" w:hAnsiTheme="majorBidi" w:cstheme="majorBidi"/>
                <w:color w:val="000000"/>
                <w:lang w:val="en-US"/>
              </w:rPr>
              <w:t>GURAT</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color w:val="000000"/>
                <w:rtl/>
                <w:lang w:val="en-US"/>
              </w:rPr>
            </w:pPr>
            <w:r w:rsidRPr="009E1D9B">
              <w:rPr>
                <w:rFonts w:asciiTheme="majorBidi" w:hAnsiTheme="majorBidi" w:cstheme="majorBidi"/>
                <w:color w:val="000000"/>
                <w:lang w:val="en-US"/>
              </w:rPr>
              <w:t xml:space="preserve">Global Urban Resilience Assessment Tools </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lang w:val="en-US"/>
              </w:rPr>
            </w:pPr>
            <w:r w:rsidRPr="009E1D9B">
              <w:rPr>
                <w:rFonts w:ascii="Simplified Arabic" w:hAnsi="Simplified Arabic" w:cs="Simplified Arabic" w:hint="cs"/>
                <w:rtl/>
                <w:lang w:val="en-US"/>
              </w:rPr>
              <w:t>نظام المعلومات الجغرافي</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GIS</w:t>
            </w:r>
          </w:p>
        </w:tc>
        <w:tc>
          <w:tcPr>
            <w:tcW w:w="4102" w:type="dxa"/>
            <w:vAlign w:val="center"/>
          </w:tcPr>
          <w:p w:rsidR="00FD69D1" w:rsidRPr="009E1D9B" w:rsidRDefault="00FD69D1" w:rsidP="008246D9">
            <w:pPr>
              <w:spacing w:after="0"/>
              <w:rPr>
                <w:rFonts w:asciiTheme="majorBidi" w:hAnsiTheme="majorBidi" w:cstheme="majorBidi"/>
                <w:color w:val="000000"/>
                <w:lang w:val="en-US"/>
              </w:rPr>
            </w:pPr>
            <w:r w:rsidRPr="009E1D9B">
              <w:rPr>
                <w:rFonts w:asciiTheme="majorBidi" w:hAnsiTheme="majorBidi" w:cstheme="majorBidi"/>
                <w:color w:val="000000"/>
                <w:lang w:val="en-US"/>
              </w:rPr>
              <w:t>Geographic Information System</w:t>
            </w:r>
          </w:p>
        </w:tc>
      </w:tr>
      <w:tr w:rsidR="00FD69D1" w:rsidRPr="00B62F86"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lang w:val="en-US"/>
              </w:rPr>
            </w:pPr>
            <w:r w:rsidRPr="009E1D9B">
              <w:rPr>
                <w:rFonts w:ascii="Simplified Arabic" w:hAnsi="Simplified Arabic" w:cs="Simplified Arabic"/>
                <w:rtl/>
                <w:lang w:bidi="ar-DZ"/>
              </w:rPr>
              <w:t>الهيئة الحكومية الدولية المعنية بتغير المناخ</w:t>
            </w:r>
          </w:p>
        </w:tc>
        <w:tc>
          <w:tcPr>
            <w:tcW w:w="1260" w:type="dxa"/>
            <w:vAlign w:val="center"/>
          </w:tcPr>
          <w:p w:rsidR="00FD69D1" w:rsidRPr="009E1D9B" w:rsidRDefault="00FD69D1" w:rsidP="008246D9">
            <w:pPr>
              <w:spacing w:after="0"/>
              <w:jc w:val="center"/>
              <w:rPr>
                <w:rFonts w:asciiTheme="majorBidi" w:hAnsiTheme="majorBidi" w:cstheme="majorBidi"/>
                <w:color w:val="000000"/>
                <w:rtl/>
                <w:lang w:val="en-US"/>
              </w:rPr>
            </w:pPr>
            <w:r w:rsidRPr="009E1D9B">
              <w:rPr>
                <w:rFonts w:asciiTheme="majorBidi" w:hAnsiTheme="majorBidi" w:cstheme="majorBidi"/>
                <w:color w:val="000000"/>
                <w:lang w:val="en-US"/>
              </w:rPr>
              <w:t>IPCC</w:t>
            </w:r>
          </w:p>
        </w:tc>
        <w:tc>
          <w:tcPr>
            <w:tcW w:w="4102" w:type="dxa"/>
            <w:vAlign w:val="center"/>
          </w:tcPr>
          <w:p w:rsidR="00FD69D1" w:rsidRPr="009E1D9B" w:rsidRDefault="00FD69D1" w:rsidP="008246D9">
            <w:pPr>
              <w:spacing w:after="0"/>
              <w:rPr>
                <w:rFonts w:asciiTheme="majorBidi" w:hAnsiTheme="majorBidi" w:cstheme="majorBidi"/>
                <w:rtl/>
                <w:lang w:bidi="ar-DZ"/>
              </w:rPr>
            </w:pPr>
            <w:r w:rsidRPr="009E1D9B">
              <w:rPr>
                <w:rFonts w:asciiTheme="majorBidi" w:hAnsiTheme="majorBidi" w:cstheme="majorBidi"/>
                <w:color w:val="000000"/>
                <w:lang w:val="en-US"/>
              </w:rPr>
              <w:t>Intergovernmental Panel on Climate Change</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rPr>
            </w:pPr>
            <w:r w:rsidRPr="009E1D9B">
              <w:rPr>
                <w:rFonts w:ascii="Simplified Arabic" w:hAnsi="Simplified Arabic" w:cs="Simplified Arabic" w:hint="cs"/>
                <w:rtl/>
              </w:rPr>
              <w:t>السرعة</w:t>
            </w:r>
            <w:r w:rsidRPr="009E1D9B">
              <w:rPr>
                <w:rFonts w:ascii="Simplified Arabic" w:hAnsi="Simplified Arabic" w:cs="Simplified Arabic"/>
                <w:rtl/>
              </w:rPr>
              <w:t xml:space="preserve"> - </w:t>
            </w:r>
            <w:r w:rsidRPr="009E1D9B">
              <w:rPr>
                <w:rFonts w:ascii="Simplified Arabic" w:hAnsi="Simplified Arabic" w:cs="Simplified Arabic" w:hint="cs"/>
                <w:rtl/>
              </w:rPr>
              <w:t>المتانة</w:t>
            </w:r>
            <w:r w:rsidRPr="009E1D9B">
              <w:rPr>
                <w:rFonts w:ascii="Simplified Arabic" w:hAnsi="Simplified Arabic" w:cs="Simplified Arabic"/>
                <w:rtl/>
              </w:rPr>
              <w:t xml:space="preserve"> - </w:t>
            </w:r>
            <w:r w:rsidRPr="009E1D9B">
              <w:rPr>
                <w:rFonts w:ascii="Simplified Arabic" w:hAnsi="Simplified Arabic" w:cs="Simplified Arabic" w:hint="cs"/>
                <w:rtl/>
              </w:rPr>
              <w:t>التكرار</w:t>
            </w:r>
            <w:r w:rsidRPr="009E1D9B">
              <w:rPr>
                <w:rFonts w:ascii="Simplified Arabic" w:hAnsi="Simplified Arabic" w:cs="Simplified Arabic"/>
                <w:rtl/>
              </w:rPr>
              <w:t xml:space="preserve"> - </w:t>
            </w:r>
            <w:r w:rsidRPr="009E1D9B">
              <w:rPr>
                <w:rFonts w:ascii="Simplified Arabic" w:hAnsi="Simplified Arabic" w:cs="Simplified Arabic" w:hint="cs"/>
                <w:rtl/>
              </w:rPr>
              <w:t>الحيلة</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4R’s</w:t>
            </w:r>
          </w:p>
        </w:tc>
        <w:tc>
          <w:tcPr>
            <w:tcW w:w="4102" w:type="dxa"/>
            <w:vAlign w:val="center"/>
          </w:tcPr>
          <w:p w:rsidR="00FD69D1" w:rsidRPr="009E1D9B" w:rsidRDefault="00FD69D1" w:rsidP="008246D9">
            <w:pPr>
              <w:autoSpaceDE w:val="0"/>
              <w:autoSpaceDN w:val="0"/>
              <w:adjustRightInd w:val="0"/>
              <w:spacing w:after="0"/>
              <w:rPr>
                <w:rFonts w:ascii="Simplified Arabic" w:hAnsi="Simplified Arabic" w:cs="Simplified Arabic"/>
                <w:lang w:val="en-US"/>
              </w:rPr>
            </w:pPr>
            <w:r w:rsidRPr="009E1D9B">
              <w:rPr>
                <w:rFonts w:asciiTheme="majorBidi" w:hAnsiTheme="majorBidi" w:cstheme="majorBidi"/>
                <w:lang w:val="en-US"/>
              </w:rPr>
              <w:t>Rapidity</w:t>
            </w:r>
            <w:r w:rsidRPr="009E1D9B">
              <w:rPr>
                <w:rFonts w:asciiTheme="majorBidi" w:hAnsiTheme="majorBidi" w:cstheme="majorBidi" w:hint="cs"/>
                <w:rtl/>
                <w:lang w:val="en-US"/>
              </w:rPr>
              <w:t>-</w:t>
            </w:r>
            <w:r w:rsidRPr="009E1D9B">
              <w:rPr>
                <w:rFonts w:asciiTheme="majorBidi" w:hAnsiTheme="majorBidi" w:cstheme="majorBidi"/>
                <w:lang w:val="en-US"/>
              </w:rPr>
              <w:t xml:space="preserve"> Robustness </w:t>
            </w:r>
            <w:r w:rsidRPr="009E1D9B">
              <w:rPr>
                <w:rFonts w:asciiTheme="majorBidi" w:hAnsiTheme="majorBidi" w:cstheme="majorBidi" w:hint="cs"/>
                <w:rtl/>
                <w:lang w:val="en-US"/>
              </w:rPr>
              <w:t>-</w:t>
            </w:r>
            <w:r w:rsidRPr="009E1D9B">
              <w:rPr>
                <w:rFonts w:asciiTheme="majorBidi" w:hAnsiTheme="majorBidi" w:cstheme="majorBidi"/>
                <w:lang w:val="en-US"/>
              </w:rPr>
              <w:t xml:space="preserve"> Redundancy </w:t>
            </w:r>
            <w:r w:rsidRPr="009E1D9B">
              <w:rPr>
                <w:rFonts w:asciiTheme="majorBidi" w:hAnsiTheme="majorBidi" w:cstheme="majorBidi" w:hint="cs"/>
                <w:rtl/>
                <w:lang w:val="en-US"/>
              </w:rPr>
              <w:t>-</w:t>
            </w:r>
            <w:r w:rsidRPr="009E1D9B">
              <w:rPr>
                <w:rFonts w:asciiTheme="majorBidi" w:hAnsiTheme="majorBidi" w:cstheme="majorBidi"/>
                <w:lang w:val="en-US"/>
              </w:rPr>
              <w:t xml:space="preserve">Resourcefulness </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rPr>
            </w:pPr>
            <w:r w:rsidRPr="009E1D9B">
              <w:rPr>
                <w:rFonts w:ascii="Simplified Arabic" w:hAnsi="Simplified Arabic" w:cs="Simplified Arabic" w:hint="cs"/>
                <w:rtl/>
              </w:rPr>
              <w:t>تحليل</w:t>
            </w:r>
            <w:r w:rsidRPr="009E1D9B">
              <w:rPr>
                <w:rFonts w:ascii="Simplified Arabic" w:hAnsi="Simplified Arabic" w:cs="Simplified Arabic"/>
                <w:rtl/>
              </w:rPr>
              <w:t xml:space="preserve"> </w:t>
            </w:r>
            <w:r w:rsidRPr="009E1D9B">
              <w:rPr>
                <w:rFonts w:ascii="Simplified Arabic" w:hAnsi="Simplified Arabic" w:cs="Simplified Arabic" w:hint="cs"/>
                <w:rtl/>
              </w:rPr>
              <w:t>القرار</w:t>
            </w:r>
            <w:r w:rsidRPr="009E1D9B">
              <w:rPr>
                <w:rFonts w:ascii="Simplified Arabic" w:hAnsi="Simplified Arabic" w:cs="Simplified Arabic"/>
                <w:rtl/>
              </w:rPr>
              <w:t xml:space="preserve"> </w:t>
            </w:r>
            <w:r w:rsidRPr="009E1D9B">
              <w:rPr>
                <w:rFonts w:ascii="Simplified Arabic" w:hAnsi="Simplified Arabic" w:cs="Simplified Arabic" w:hint="cs"/>
                <w:rtl/>
              </w:rPr>
              <w:t>متعدد</w:t>
            </w:r>
            <w:r w:rsidRPr="009E1D9B">
              <w:rPr>
                <w:rFonts w:ascii="Simplified Arabic" w:hAnsi="Simplified Arabic" w:cs="Simplified Arabic"/>
                <w:rtl/>
              </w:rPr>
              <w:t xml:space="preserve"> </w:t>
            </w:r>
            <w:r w:rsidRPr="009E1D9B">
              <w:rPr>
                <w:rFonts w:ascii="Simplified Arabic" w:hAnsi="Simplified Arabic" w:cs="Simplified Arabic" w:hint="cs"/>
                <w:rtl/>
              </w:rPr>
              <w:t>المعايير</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MCDA</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rPr>
            </w:pPr>
            <w:r w:rsidRPr="009E1D9B">
              <w:rPr>
                <w:rFonts w:asciiTheme="majorBidi" w:hAnsiTheme="majorBidi" w:cstheme="majorBidi"/>
              </w:rPr>
              <w:t>Multi-</w:t>
            </w:r>
            <w:r w:rsidRPr="009E1D9B">
              <w:rPr>
                <w:rFonts w:asciiTheme="majorBidi" w:hAnsiTheme="majorBidi" w:cstheme="majorBidi"/>
                <w:lang w:val="en-US"/>
              </w:rPr>
              <w:t>Criteria</w:t>
            </w:r>
            <w:r w:rsidRPr="009E1D9B">
              <w:rPr>
                <w:rFonts w:asciiTheme="majorBidi" w:hAnsiTheme="majorBidi" w:cstheme="majorBidi"/>
              </w:rPr>
              <w:t xml:space="preserve"> </w:t>
            </w:r>
            <w:r w:rsidRPr="009E1D9B">
              <w:rPr>
                <w:rFonts w:asciiTheme="majorBidi" w:hAnsiTheme="majorBidi" w:cstheme="majorBidi"/>
                <w:lang w:val="en-US"/>
              </w:rPr>
              <w:t>Decision</w:t>
            </w:r>
            <w:r w:rsidRPr="009E1D9B">
              <w:rPr>
                <w:rFonts w:asciiTheme="majorBidi" w:hAnsiTheme="majorBidi" w:cstheme="majorBidi"/>
              </w:rPr>
              <w:t xml:space="preserve"> </w:t>
            </w:r>
            <w:r w:rsidRPr="009E1D9B">
              <w:rPr>
                <w:rFonts w:asciiTheme="majorBidi" w:hAnsiTheme="majorBidi" w:cstheme="majorBidi"/>
                <w:lang w:val="en-US"/>
              </w:rPr>
              <w:t>Analysis</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rPr>
            </w:pPr>
            <w:r w:rsidRPr="009E1D9B">
              <w:rPr>
                <w:rFonts w:ascii="Simplified Arabic" w:hAnsi="Simplified Arabic" w:cs="Simplified Arabic" w:hint="cs"/>
                <w:rtl/>
              </w:rPr>
              <w:t>عملية</w:t>
            </w:r>
            <w:r w:rsidRPr="009E1D9B">
              <w:rPr>
                <w:rFonts w:ascii="Simplified Arabic" w:hAnsi="Simplified Arabic" w:cs="Simplified Arabic"/>
                <w:rtl/>
              </w:rPr>
              <w:t xml:space="preserve"> التسلسل الهرمي التحليلي</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AHP</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lang w:val="en-US"/>
              </w:rPr>
            </w:pPr>
            <w:r w:rsidRPr="009E1D9B">
              <w:rPr>
                <w:rFonts w:asciiTheme="majorBidi" w:hAnsiTheme="majorBidi" w:cstheme="majorBidi"/>
                <w:lang w:val="en-US"/>
              </w:rPr>
              <w:t xml:space="preserve">Analytic Hierarchy Process </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rPr>
            </w:pPr>
            <w:r w:rsidRPr="009E1D9B">
              <w:rPr>
                <w:rFonts w:ascii="Simplified Arabic" w:hAnsi="Simplified Arabic" w:cs="Simplified Arabic" w:hint="cs"/>
                <w:rtl/>
              </w:rPr>
              <w:t>تقنية</w:t>
            </w:r>
            <w:r w:rsidRPr="009E1D9B">
              <w:rPr>
                <w:rFonts w:ascii="Simplified Arabic" w:hAnsi="Simplified Arabic" w:cs="Simplified Arabic"/>
                <w:rtl/>
              </w:rPr>
              <w:t xml:space="preserve"> </w:t>
            </w:r>
            <w:r w:rsidRPr="009E1D9B">
              <w:rPr>
                <w:rFonts w:ascii="Simplified Arabic" w:hAnsi="Simplified Arabic" w:cs="Simplified Arabic" w:hint="cs"/>
                <w:rtl/>
              </w:rPr>
              <w:t>المجموعة</w:t>
            </w:r>
            <w:r w:rsidRPr="009E1D9B">
              <w:rPr>
                <w:rFonts w:ascii="Simplified Arabic" w:hAnsi="Simplified Arabic" w:cs="Simplified Arabic"/>
                <w:rtl/>
              </w:rPr>
              <w:t xml:space="preserve"> </w:t>
            </w:r>
            <w:r w:rsidRPr="009E1D9B">
              <w:rPr>
                <w:rFonts w:ascii="Simplified Arabic" w:hAnsi="Simplified Arabic" w:cs="Simplified Arabic" w:hint="cs"/>
                <w:rtl/>
              </w:rPr>
              <w:t>الاسمية</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NGT</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lang w:val="en-US"/>
              </w:rPr>
            </w:pPr>
            <w:r w:rsidRPr="009E1D9B">
              <w:rPr>
                <w:rFonts w:asciiTheme="majorBidi" w:hAnsiTheme="majorBidi" w:cstheme="majorBidi"/>
                <w:lang w:val="en-US"/>
              </w:rPr>
              <w:t xml:space="preserve">Nominal Group Technique </w:t>
            </w:r>
          </w:p>
        </w:tc>
      </w:tr>
      <w:tr w:rsidR="00FD69D1" w:rsidRPr="00B62F86"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rPr>
            </w:pPr>
            <w:r w:rsidRPr="009E1D9B">
              <w:rPr>
                <w:rFonts w:ascii="Simplified Arabic" w:hAnsi="Simplified Arabic" w:cs="Simplified Arabic" w:hint="cs"/>
                <w:rtl/>
              </w:rPr>
              <w:t>جامعة كاليفورنيا- لوس انجلس</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 xml:space="preserve"> UCLA</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lang w:val="en-US"/>
              </w:rPr>
            </w:pPr>
            <w:r w:rsidRPr="009E1D9B">
              <w:rPr>
                <w:rFonts w:asciiTheme="majorBidi" w:hAnsiTheme="majorBidi" w:cstheme="majorBidi"/>
                <w:lang w:val="en-US"/>
              </w:rPr>
              <w:t>University of California-Los Angeles</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rPr>
            </w:pPr>
            <w:r w:rsidRPr="009E1D9B">
              <w:rPr>
                <w:rFonts w:ascii="Simplified Arabic" w:hAnsi="Simplified Arabic" w:cs="Simplified Arabic" w:hint="cs"/>
                <w:rtl/>
              </w:rPr>
              <w:t>الديوان الوطني للإحصاء</w:t>
            </w:r>
          </w:p>
        </w:tc>
        <w:tc>
          <w:tcPr>
            <w:tcW w:w="1260" w:type="dxa"/>
            <w:vAlign w:val="center"/>
          </w:tcPr>
          <w:p w:rsidR="00FD69D1" w:rsidRPr="009E1D9B" w:rsidRDefault="00FD69D1" w:rsidP="008246D9">
            <w:pPr>
              <w:autoSpaceDE w:val="0"/>
              <w:autoSpaceDN w:val="0"/>
              <w:bidi/>
              <w:adjustRightInd w:val="0"/>
              <w:spacing w:after="0"/>
              <w:jc w:val="center"/>
              <w:rPr>
                <w:rFonts w:ascii="Simplified Arabic" w:hAnsi="Simplified Arabic" w:cs="Simplified Arabic"/>
                <w:lang w:val="en-US"/>
              </w:rPr>
            </w:pPr>
            <w:r w:rsidRPr="009E1D9B">
              <w:rPr>
                <w:rFonts w:asciiTheme="majorBidi" w:hAnsiTheme="majorBidi" w:cstheme="majorBidi"/>
              </w:rPr>
              <w:t>NSO</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rPr>
            </w:pPr>
            <w:r w:rsidRPr="009E1D9B">
              <w:rPr>
                <w:rFonts w:asciiTheme="majorBidi" w:hAnsiTheme="majorBidi" w:cstheme="majorBidi"/>
              </w:rPr>
              <w:t xml:space="preserve">National </w:t>
            </w:r>
            <w:r w:rsidRPr="009E1D9B">
              <w:rPr>
                <w:rFonts w:asciiTheme="majorBidi" w:hAnsiTheme="majorBidi" w:cstheme="majorBidi"/>
                <w:lang w:val="en-US"/>
              </w:rPr>
              <w:t>Statistics</w:t>
            </w:r>
            <w:r w:rsidRPr="009E1D9B">
              <w:rPr>
                <w:rFonts w:asciiTheme="majorBidi" w:hAnsiTheme="majorBidi" w:cstheme="majorBidi"/>
              </w:rPr>
              <w:t xml:space="preserve"> Office</w:t>
            </w:r>
          </w:p>
        </w:tc>
      </w:tr>
      <w:tr w:rsidR="00FD69D1" w:rsidRPr="00B62F86"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rPr>
            </w:pPr>
            <w:r w:rsidRPr="009E1D9B">
              <w:rPr>
                <w:rFonts w:ascii="Simplified Arabic" w:hAnsi="Simplified Arabic" w:cs="Simplified Arabic" w:hint="cs"/>
                <w:rtl/>
              </w:rPr>
              <w:t>منظمة</w:t>
            </w:r>
            <w:r w:rsidRPr="009E1D9B">
              <w:rPr>
                <w:rFonts w:ascii="Simplified Arabic" w:hAnsi="Simplified Arabic" w:cs="Simplified Arabic"/>
                <w:rtl/>
              </w:rPr>
              <w:t xml:space="preserve"> </w:t>
            </w:r>
            <w:r w:rsidRPr="009E1D9B">
              <w:rPr>
                <w:rFonts w:ascii="Simplified Arabic" w:hAnsi="Simplified Arabic" w:cs="Simplified Arabic" w:hint="cs"/>
                <w:rtl/>
              </w:rPr>
              <w:t>التعاون</w:t>
            </w:r>
            <w:r w:rsidRPr="009E1D9B">
              <w:rPr>
                <w:rFonts w:ascii="Simplified Arabic" w:hAnsi="Simplified Arabic" w:cs="Simplified Arabic"/>
                <w:rtl/>
              </w:rPr>
              <w:t xml:space="preserve"> </w:t>
            </w:r>
            <w:r w:rsidRPr="009E1D9B">
              <w:rPr>
                <w:rFonts w:ascii="Simplified Arabic" w:hAnsi="Simplified Arabic" w:cs="Simplified Arabic" w:hint="cs"/>
                <w:rtl/>
              </w:rPr>
              <w:t>الاقتصادي</w:t>
            </w:r>
            <w:r w:rsidRPr="009E1D9B">
              <w:rPr>
                <w:rFonts w:ascii="Simplified Arabic" w:hAnsi="Simplified Arabic" w:cs="Simplified Arabic"/>
                <w:rtl/>
              </w:rPr>
              <w:t xml:space="preserve"> </w:t>
            </w:r>
            <w:r w:rsidRPr="009E1D9B">
              <w:rPr>
                <w:rFonts w:ascii="Simplified Arabic" w:hAnsi="Simplified Arabic" w:cs="Simplified Arabic" w:hint="cs"/>
                <w:rtl/>
              </w:rPr>
              <w:t>والتنمية</w:t>
            </w:r>
          </w:p>
        </w:tc>
        <w:tc>
          <w:tcPr>
            <w:tcW w:w="1260" w:type="dxa"/>
            <w:vAlign w:val="center"/>
          </w:tcPr>
          <w:p w:rsidR="00FD69D1" w:rsidRPr="009E1D9B" w:rsidRDefault="00FD69D1" w:rsidP="008246D9">
            <w:pPr>
              <w:autoSpaceDE w:val="0"/>
              <w:autoSpaceDN w:val="0"/>
              <w:bidi/>
              <w:adjustRightInd w:val="0"/>
              <w:spacing w:after="0"/>
              <w:jc w:val="center"/>
              <w:rPr>
                <w:rFonts w:asciiTheme="majorBidi" w:hAnsiTheme="majorBidi" w:cstheme="majorBidi"/>
              </w:rPr>
            </w:pPr>
            <w:r w:rsidRPr="009E1D9B">
              <w:rPr>
                <w:rFonts w:asciiTheme="majorBidi" w:hAnsiTheme="majorBidi" w:cstheme="majorBidi"/>
              </w:rPr>
              <w:t>OECD</w:t>
            </w:r>
          </w:p>
        </w:tc>
        <w:tc>
          <w:tcPr>
            <w:tcW w:w="4102" w:type="dxa"/>
            <w:vAlign w:val="center"/>
          </w:tcPr>
          <w:p w:rsidR="00FD69D1" w:rsidRPr="009E1D9B" w:rsidRDefault="00FD69D1" w:rsidP="008246D9">
            <w:pPr>
              <w:autoSpaceDE w:val="0"/>
              <w:autoSpaceDN w:val="0"/>
              <w:adjustRightInd w:val="0"/>
              <w:spacing w:after="0"/>
              <w:rPr>
                <w:rFonts w:asciiTheme="majorBidi" w:hAnsiTheme="majorBidi" w:cstheme="majorBidi"/>
                <w:lang w:val="en-US"/>
              </w:rPr>
            </w:pPr>
            <w:r w:rsidRPr="009E1D9B">
              <w:rPr>
                <w:rFonts w:asciiTheme="majorBidi" w:hAnsiTheme="majorBidi" w:cstheme="majorBidi"/>
                <w:lang w:val="en-US"/>
              </w:rPr>
              <w:t>Organization for Economic Co-operation and Development</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lang w:val="en-US"/>
              </w:rPr>
            </w:pPr>
            <w:r w:rsidRPr="009E1D9B">
              <w:rPr>
                <w:rFonts w:ascii="Simplified Arabic" w:hAnsi="Simplified Arabic" w:cs="Simplified Arabic" w:hint="cs"/>
                <w:rtl/>
                <w:lang w:val="en-US"/>
              </w:rPr>
              <w:t>ميزان الهجرة</w:t>
            </w:r>
          </w:p>
        </w:tc>
        <w:tc>
          <w:tcPr>
            <w:tcW w:w="1260" w:type="dxa"/>
            <w:vAlign w:val="center"/>
          </w:tcPr>
          <w:p w:rsidR="00FD69D1" w:rsidRPr="009E1D9B" w:rsidRDefault="00FD69D1" w:rsidP="008246D9">
            <w:pPr>
              <w:autoSpaceDE w:val="0"/>
              <w:autoSpaceDN w:val="0"/>
              <w:bidi/>
              <w:adjustRightInd w:val="0"/>
              <w:spacing w:after="0"/>
              <w:jc w:val="center"/>
              <w:rPr>
                <w:rFonts w:ascii="Simplified Arabic" w:eastAsia="Wingdings-Regular" w:hAnsi="Simplified Arabic" w:cs="Simplified Arabic"/>
              </w:rPr>
            </w:pPr>
            <w:r w:rsidRPr="009E1D9B">
              <w:rPr>
                <w:rFonts w:asciiTheme="majorBidi" w:hAnsiTheme="majorBidi" w:cstheme="majorBidi"/>
              </w:rPr>
              <w:t>MB</w:t>
            </w:r>
          </w:p>
        </w:tc>
        <w:tc>
          <w:tcPr>
            <w:tcW w:w="4102" w:type="dxa"/>
            <w:vAlign w:val="center"/>
          </w:tcPr>
          <w:p w:rsidR="00FD69D1" w:rsidRPr="009E1D9B" w:rsidRDefault="00FD69D1" w:rsidP="008246D9">
            <w:pPr>
              <w:spacing w:after="0"/>
              <w:rPr>
                <w:rFonts w:asciiTheme="majorBidi" w:hAnsiTheme="majorBidi" w:cstheme="majorBidi"/>
                <w:color w:val="000000"/>
                <w:lang w:val="en-US"/>
              </w:rPr>
            </w:pPr>
            <w:r w:rsidRPr="009E1D9B">
              <w:rPr>
                <w:rFonts w:asciiTheme="majorBidi" w:hAnsiTheme="majorBidi" w:cstheme="majorBidi"/>
                <w:color w:val="000000"/>
                <w:lang w:val="en-US"/>
              </w:rPr>
              <w:t>Migratory Balance</w:t>
            </w:r>
          </w:p>
        </w:tc>
      </w:tr>
      <w:tr w:rsidR="00FD69D1" w:rsidRPr="00B62F86"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lang w:val="en-US"/>
              </w:rPr>
            </w:pPr>
            <w:r w:rsidRPr="009E1D9B">
              <w:rPr>
                <w:rFonts w:ascii="Simplified Arabic" w:hAnsi="Simplified Arabic" w:cs="Simplified Arabic" w:hint="cs"/>
                <w:rtl/>
                <w:lang w:val="en-US"/>
              </w:rPr>
              <w:t>استراتيجية</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الأمم</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المتحدة</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الدولية</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للحد</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من</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مخاطر</w:t>
            </w:r>
            <w:r w:rsidRPr="009E1D9B">
              <w:rPr>
                <w:rFonts w:ascii="Simplified Arabic" w:hAnsi="Simplified Arabic" w:cs="Simplified Arabic"/>
                <w:rtl/>
                <w:lang w:val="en-US"/>
              </w:rPr>
              <w:t xml:space="preserve"> </w:t>
            </w:r>
            <w:r w:rsidRPr="009E1D9B">
              <w:rPr>
                <w:rFonts w:ascii="Simplified Arabic" w:hAnsi="Simplified Arabic" w:cs="Simplified Arabic" w:hint="cs"/>
                <w:rtl/>
                <w:lang w:val="en-US"/>
              </w:rPr>
              <w:t>الكوارث</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UNISDR</w:t>
            </w:r>
          </w:p>
        </w:tc>
        <w:tc>
          <w:tcPr>
            <w:tcW w:w="4102" w:type="dxa"/>
            <w:vAlign w:val="center"/>
          </w:tcPr>
          <w:p w:rsidR="00FD69D1" w:rsidRPr="009E1D9B" w:rsidRDefault="00FD69D1" w:rsidP="008246D9">
            <w:pPr>
              <w:spacing w:after="0"/>
              <w:rPr>
                <w:rFonts w:asciiTheme="majorBidi" w:hAnsiTheme="majorBidi" w:cstheme="majorBidi"/>
                <w:color w:val="000000"/>
                <w:lang w:val="en-US"/>
              </w:rPr>
            </w:pPr>
            <w:r w:rsidRPr="009E1D9B">
              <w:rPr>
                <w:rFonts w:asciiTheme="majorBidi" w:hAnsiTheme="majorBidi" w:cstheme="majorBidi"/>
                <w:color w:val="000000"/>
                <w:lang w:val="en-US"/>
              </w:rPr>
              <w:t>United Nations International Strategy for Disaster Risk Reduction</w:t>
            </w:r>
          </w:p>
        </w:tc>
      </w:tr>
      <w:tr w:rsidR="00FD69D1" w:rsidRPr="009E1D9B" w:rsidTr="008246D9">
        <w:trPr>
          <w:jc w:val="center"/>
        </w:trPr>
        <w:tc>
          <w:tcPr>
            <w:tcW w:w="3692" w:type="dxa"/>
            <w:vAlign w:val="center"/>
          </w:tcPr>
          <w:p w:rsidR="00FD69D1" w:rsidRPr="009E1D9B" w:rsidRDefault="00FD69D1" w:rsidP="008246D9">
            <w:pPr>
              <w:bidi/>
              <w:spacing w:after="0"/>
              <w:rPr>
                <w:rFonts w:ascii="Simplified Arabic" w:hAnsi="Simplified Arabic" w:cs="Simplified Arabic"/>
                <w:rtl/>
                <w:lang w:val="en-US"/>
              </w:rPr>
            </w:pPr>
            <w:r w:rsidRPr="009E1D9B">
              <w:rPr>
                <w:rFonts w:cs="Arial" w:hint="cs"/>
                <w:rtl/>
                <w:lang w:val="en-US"/>
              </w:rPr>
              <w:t>تكنولوجيا</w:t>
            </w:r>
            <w:r w:rsidRPr="009E1D9B">
              <w:rPr>
                <w:rFonts w:cs="Arial"/>
                <w:rtl/>
                <w:lang w:val="en-US"/>
              </w:rPr>
              <w:t xml:space="preserve"> </w:t>
            </w:r>
            <w:r w:rsidRPr="009E1D9B">
              <w:rPr>
                <w:rFonts w:cs="Arial" w:hint="cs"/>
                <w:rtl/>
                <w:lang w:val="en-US"/>
              </w:rPr>
              <w:t>المعلومات</w:t>
            </w:r>
            <w:r w:rsidRPr="009E1D9B">
              <w:rPr>
                <w:rFonts w:cs="Arial"/>
                <w:rtl/>
                <w:lang w:val="en-US"/>
              </w:rPr>
              <w:t xml:space="preserve"> </w:t>
            </w:r>
            <w:r w:rsidRPr="009E1D9B">
              <w:rPr>
                <w:rFonts w:cs="Arial" w:hint="cs"/>
                <w:rtl/>
                <w:lang w:val="en-US"/>
              </w:rPr>
              <w:t>والاتصالات</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ICT</w:t>
            </w:r>
          </w:p>
        </w:tc>
        <w:tc>
          <w:tcPr>
            <w:tcW w:w="4102" w:type="dxa"/>
            <w:vAlign w:val="center"/>
          </w:tcPr>
          <w:p w:rsidR="00FD69D1" w:rsidRPr="009E1D9B" w:rsidRDefault="00FD69D1" w:rsidP="008246D9">
            <w:pPr>
              <w:spacing w:after="0"/>
              <w:rPr>
                <w:rFonts w:asciiTheme="majorBidi" w:hAnsiTheme="majorBidi" w:cstheme="majorBidi"/>
                <w:color w:val="000000"/>
                <w:lang w:val="en-US"/>
              </w:rPr>
            </w:pPr>
            <w:r w:rsidRPr="009E1D9B">
              <w:rPr>
                <w:rFonts w:asciiTheme="majorBidi" w:hAnsiTheme="majorBidi" w:cstheme="majorBidi"/>
                <w:color w:val="000000"/>
                <w:lang w:val="en-US"/>
              </w:rPr>
              <w:t xml:space="preserve">Information and Communication Technologies </w:t>
            </w:r>
          </w:p>
        </w:tc>
      </w:tr>
      <w:tr w:rsidR="00FD69D1" w:rsidRPr="009E1D9B" w:rsidTr="008246D9">
        <w:trPr>
          <w:jc w:val="center"/>
        </w:trPr>
        <w:tc>
          <w:tcPr>
            <w:tcW w:w="3692" w:type="dxa"/>
            <w:vAlign w:val="center"/>
          </w:tcPr>
          <w:p w:rsidR="00FD69D1" w:rsidRPr="009E1D9B" w:rsidRDefault="00FD69D1" w:rsidP="008246D9">
            <w:pPr>
              <w:bidi/>
              <w:spacing w:after="0"/>
              <w:rPr>
                <w:rFonts w:cs="Arial"/>
                <w:rtl/>
                <w:lang w:val="en-US"/>
              </w:rPr>
            </w:pP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FEMA</w:t>
            </w:r>
          </w:p>
        </w:tc>
        <w:tc>
          <w:tcPr>
            <w:tcW w:w="4102" w:type="dxa"/>
            <w:vAlign w:val="center"/>
          </w:tcPr>
          <w:p w:rsidR="00FD69D1" w:rsidRPr="009E1D9B" w:rsidRDefault="00FD69D1" w:rsidP="008246D9">
            <w:pPr>
              <w:spacing w:after="0"/>
              <w:rPr>
                <w:rFonts w:asciiTheme="majorBidi" w:hAnsiTheme="majorBidi" w:cstheme="majorBidi"/>
                <w:color w:val="000000"/>
                <w:lang w:val="en-US"/>
              </w:rPr>
            </w:pPr>
            <w:r w:rsidRPr="009E1D9B">
              <w:rPr>
                <w:rFonts w:asciiTheme="majorBidi" w:hAnsiTheme="majorBidi" w:cstheme="majorBidi"/>
                <w:color w:val="000000"/>
                <w:lang w:val="en-US"/>
              </w:rPr>
              <w:t xml:space="preserve">Federal Emergency Management Agency’s </w:t>
            </w:r>
          </w:p>
        </w:tc>
      </w:tr>
      <w:tr w:rsidR="00FD69D1" w:rsidRPr="009E1D9B" w:rsidTr="008246D9">
        <w:trPr>
          <w:jc w:val="center"/>
        </w:trPr>
        <w:tc>
          <w:tcPr>
            <w:tcW w:w="3692" w:type="dxa"/>
            <w:vAlign w:val="center"/>
          </w:tcPr>
          <w:p w:rsidR="00FD69D1" w:rsidRPr="009E1D9B" w:rsidRDefault="00FD69D1" w:rsidP="008246D9">
            <w:pPr>
              <w:bidi/>
              <w:spacing w:after="0"/>
              <w:rPr>
                <w:rFonts w:cs="Arial"/>
                <w:rtl/>
                <w:lang w:val="en-US"/>
              </w:rPr>
            </w:pPr>
            <w:r w:rsidRPr="009E1D9B">
              <w:rPr>
                <w:rFonts w:cs="Arial" w:hint="cs"/>
                <w:rtl/>
                <w:lang w:val="en-US"/>
              </w:rPr>
              <w:t>المناطق السكنية الحضرية الجديدة</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color w:val="000000"/>
                <w:lang w:val="en-US"/>
              </w:rPr>
              <w:t>ZHUN</w:t>
            </w:r>
          </w:p>
        </w:tc>
        <w:tc>
          <w:tcPr>
            <w:tcW w:w="4102" w:type="dxa"/>
            <w:vAlign w:val="center"/>
          </w:tcPr>
          <w:p w:rsidR="00FD69D1" w:rsidRPr="009E1D9B" w:rsidRDefault="00FD69D1" w:rsidP="008246D9">
            <w:pPr>
              <w:spacing w:after="0"/>
              <w:rPr>
                <w:rFonts w:asciiTheme="majorBidi" w:hAnsiTheme="majorBidi" w:cstheme="majorBidi"/>
                <w:color w:val="000000"/>
              </w:rPr>
            </w:pPr>
            <w:r w:rsidRPr="009E1D9B">
              <w:rPr>
                <w:rFonts w:asciiTheme="majorBidi" w:hAnsiTheme="majorBidi" w:cstheme="majorBidi"/>
                <w:color w:val="000000"/>
              </w:rPr>
              <w:t>Zones d’Habitations Urbaines Nouvelles</w:t>
            </w:r>
          </w:p>
        </w:tc>
      </w:tr>
      <w:tr w:rsidR="00FD69D1" w:rsidRPr="009E1D9B" w:rsidTr="008246D9">
        <w:trPr>
          <w:jc w:val="center"/>
        </w:trPr>
        <w:tc>
          <w:tcPr>
            <w:tcW w:w="3692" w:type="dxa"/>
            <w:vAlign w:val="center"/>
          </w:tcPr>
          <w:p w:rsidR="00FD69D1" w:rsidRPr="009E1D9B" w:rsidRDefault="00FD69D1" w:rsidP="008246D9">
            <w:pPr>
              <w:bidi/>
              <w:spacing w:after="0"/>
              <w:rPr>
                <w:rFonts w:cs="Arial"/>
                <w:rtl/>
                <w:lang w:val="en-US"/>
              </w:rPr>
            </w:pPr>
            <w:r w:rsidRPr="009E1D9B">
              <w:rPr>
                <w:rFonts w:cs="Arial" w:hint="cs"/>
                <w:rtl/>
                <w:lang w:val="en-US"/>
              </w:rPr>
              <w:t>المخطط التوجيهي للتعمير</w:t>
            </w:r>
          </w:p>
        </w:tc>
        <w:tc>
          <w:tcPr>
            <w:tcW w:w="1260" w:type="dxa"/>
            <w:vAlign w:val="center"/>
          </w:tcPr>
          <w:p w:rsidR="00FD69D1" w:rsidRPr="009E1D9B" w:rsidRDefault="00FD69D1" w:rsidP="008246D9">
            <w:pPr>
              <w:spacing w:after="0"/>
              <w:jc w:val="center"/>
              <w:rPr>
                <w:rFonts w:asciiTheme="majorBidi" w:hAnsiTheme="majorBidi" w:cstheme="majorBidi"/>
                <w:color w:val="000000"/>
                <w:lang w:val="en-US"/>
              </w:rPr>
            </w:pPr>
            <w:r w:rsidRPr="009E1D9B">
              <w:rPr>
                <w:rFonts w:asciiTheme="majorBidi" w:hAnsiTheme="majorBidi" w:cstheme="majorBidi"/>
              </w:rPr>
              <w:t>P.U.D</w:t>
            </w:r>
          </w:p>
        </w:tc>
        <w:tc>
          <w:tcPr>
            <w:tcW w:w="4102" w:type="dxa"/>
            <w:vAlign w:val="center"/>
          </w:tcPr>
          <w:p w:rsidR="00FD69D1" w:rsidRPr="009E1D9B" w:rsidRDefault="00FD69D1" w:rsidP="008246D9">
            <w:pPr>
              <w:spacing w:after="0"/>
              <w:rPr>
                <w:rFonts w:asciiTheme="majorBidi" w:hAnsiTheme="majorBidi" w:cstheme="majorBidi"/>
                <w:color w:val="000000"/>
              </w:rPr>
            </w:pPr>
            <w:r w:rsidRPr="009E1D9B">
              <w:rPr>
                <w:rFonts w:asciiTheme="majorBidi" w:hAnsiTheme="majorBidi" w:cstheme="majorBidi"/>
                <w:color w:val="000000"/>
              </w:rPr>
              <w:t>Plan Directeur d’Urbanisme</w:t>
            </w:r>
          </w:p>
        </w:tc>
      </w:tr>
      <w:tr w:rsidR="00FD69D1" w:rsidRPr="009E1D9B" w:rsidTr="008246D9">
        <w:trPr>
          <w:jc w:val="center"/>
        </w:trPr>
        <w:tc>
          <w:tcPr>
            <w:tcW w:w="3692" w:type="dxa"/>
            <w:vAlign w:val="center"/>
          </w:tcPr>
          <w:p w:rsidR="00FD69D1" w:rsidRPr="009E1D9B" w:rsidRDefault="00FD69D1" w:rsidP="008246D9">
            <w:pPr>
              <w:bidi/>
              <w:spacing w:after="0"/>
              <w:rPr>
                <w:rFonts w:cs="Arial"/>
                <w:rtl/>
                <w:lang w:val="en-US"/>
              </w:rPr>
            </w:pPr>
            <w:r w:rsidRPr="009E1D9B">
              <w:rPr>
                <w:rFonts w:cs="Arial" w:hint="cs"/>
                <w:rtl/>
                <w:lang w:val="en-US"/>
              </w:rPr>
              <w:t>المخطط التوجيهي للتهيئة والتعمير</w:t>
            </w:r>
          </w:p>
        </w:tc>
        <w:tc>
          <w:tcPr>
            <w:tcW w:w="1260" w:type="dxa"/>
            <w:vAlign w:val="center"/>
          </w:tcPr>
          <w:p w:rsidR="00FD69D1" w:rsidRPr="009E1D9B" w:rsidRDefault="00FD69D1" w:rsidP="008246D9">
            <w:pPr>
              <w:spacing w:after="0"/>
              <w:jc w:val="center"/>
              <w:rPr>
                <w:rFonts w:asciiTheme="majorBidi" w:hAnsiTheme="majorBidi" w:cstheme="majorBidi"/>
              </w:rPr>
            </w:pPr>
            <w:r w:rsidRPr="009E1D9B">
              <w:rPr>
                <w:rFonts w:asciiTheme="majorBidi" w:hAnsiTheme="majorBidi" w:cstheme="majorBidi"/>
              </w:rPr>
              <w:t>P.D.A.U</w:t>
            </w:r>
          </w:p>
        </w:tc>
        <w:tc>
          <w:tcPr>
            <w:tcW w:w="4102" w:type="dxa"/>
            <w:vAlign w:val="center"/>
          </w:tcPr>
          <w:p w:rsidR="00FD69D1" w:rsidRPr="009E1D9B" w:rsidRDefault="00FD69D1" w:rsidP="008246D9">
            <w:pPr>
              <w:spacing w:after="0"/>
              <w:rPr>
                <w:rFonts w:asciiTheme="majorBidi" w:hAnsiTheme="majorBidi" w:cstheme="majorBidi"/>
                <w:color w:val="000000"/>
              </w:rPr>
            </w:pPr>
            <w:r w:rsidRPr="009E1D9B">
              <w:rPr>
                <w:rFonts w:asciiTheme="majorBidi" w:hAnsiTheme="majorBidi" w:cstheme="majorBidi"/>
                <w:color w:val="000000"/>
              </w:rPr>
              <w:t xml:space="preserve">Plan Directeur </w:t>
            </w:r>
            <w:r>
              <w:rPr>
                <w:rFonts w:asciiTheme="majorBidi" w:hAnsiTheme="majorBidi" w:cstheme="majorBidi"/>
                <w:color w:val="000000"/>
              </w:rPr>
              <w:t xml:space="preserve">d’Aménagement et </w:t>
            </w:r>
            <w:r w:rsidRPr="009E1D9B">
              <w:rPr>
                <w:rFonts w:asciiTheme="majorBidi" w:hAnsiTheme="majorBidi" w:cstheme="majorBidi"/>
                <w:color w:val="000000"/>
              </w:rPr>
              <w:t xml:space="preserve"> d’Urbanisme</w:t>
            </w:r>
          </w:p>
        </w:tc>
      </w:tr>
      <w:tr w:rsidR="00FD69D1" w:rsidRPr="009E1D9B" w:rsidTr="008246D9">
        <w:trPr>
          <w:jc w:val="center"/>
        </w:trPr>
        <w:tc>
          <w:tcPr>
            <w:tcW w:w="3692" w:type="dxa"/>
            <w:vAlign w:val="center"/>
          </w:tcPr>
          <w:p w:rsidR="00FD69D1" w:rsidRPr="009E1D9B" w:rsidRDefault="00FD69D1" w:rsidP="008246D9">
            <w:pPr>
              <w:bidi/>
              <w:spacing w:after="0"/>
              <w:rPr>
                <w:rFonts w:cs="Arial"/>
                <w:rtl/>
                <w:lang w:val="en-US"/>
              </w:rPr>
            </w:pPr>
            <w:r>
              <w:rPr>
                <w:rFonts w:cs="Arial" w:hint="cs"/>
                <w:rtl/>
                <w:lang w:val="en-US"/>
              </w:rPr>
              <w:t>مخطط شغل الاراضي</w:t>
            </w:r>
          </w:p>
        </w:tc>
        <w:tc>
          <w:tcPr>
            <w:tcW w:w="1260" w:type="dxa"/>
            <w:vAlign w:val="center"/>
          </w:tcPr>
          <w:p w:rsidR="00FD69D1" w:rsidRPr="009E1D9B" w:rsidRDefault="00FD69D1" w:rsidP="008246D9">
            <w:pPr>
              <w:spacing w:after="0"/>
              <w:jc w:val="center"/>
              <w:rPr>
                <w:rFonts w:asciiTheme="majorBidi" w:hAnsiTheme="majorBidi" w:cstheme="majorBidi"/>
              </w:rPr>
            </w:pPr>
            <w:r w:rsidRPr="009E1D9B">
              <w:rPr>
                <w:rFonts w:asciiTheme="majorBidi" w:hAnsiTheme="majorBidi" w:cstheme="majorBidi"/>
              </w:rPr>
              <w:t>POS</w:t>
            </w:r>
          </w:p>
        </w:tc>
        <w:tc>
          <w:tcPr>
            <w:tcW w:w="4102" w:type="dxa"/>
            <w:vAlign w:val="center"/>
          </w:tcPr>
          <w:p w:rsidR="00FD69D1" w:rsidRPr="009E1D9B" w:rsidRDefault="00FD69D1" w:rsidP="008246D9">
            <w:pPr>
              <w:spacing w:after="0"/>
              <w:rPr>
                <w:rFonts w:asciiTheme="majorBidi" w:hAnsiTheme="majorBidi" w:cstheme="majorBidi"/>
                <w:color w:val="000000"/>
              </w:rPr>
            </w:pPr>
            <w:r w:rsidRPr="009E1D9B">
              <w:rPr>
                <w:rFonts w:asciiTheme="majorBidi" w:hAnsiTheme="majorBidi" w:cstheme="majorBidi"/>
                <w:color w:val="000000"/>
              </w:rPr>
              <w:t>Plan D</w:t>
            </w:r>
            <w:r>
              <w:rPr>
                <w:rFonts w:asciiTheme="majorBidi" w:hAnsiTheme="majorBidi" w:cstheme="majorBidi"/>
                <w:color w:val="000000"/>
              </w:rPr>
              <w:t xml:space="preserve">’occupation des sols </w:t>
            </w:r>
            <w:r w:rsidRPr="009E1D9B">
              <w:rPr>
                <w:rFonts w:asciiTheme="majorBidi" w:hAnsiTheme="majorBidi" w:cstheme="majorBidi"/>
                <w:color w:val="000000"/>
              </w:rPr>
              <w:t xml:space="preserve"> </w:t>
            </w:r>
          </w:p>
        </w:tc>
      </w:tr>
      <w:tr w:rsidR="00FD69D1" w:rsidRPr="009E1D9B" w:rsidTr="008246D9">
        <w:trPr>
          <w:jc w:val="center"/>
        </w:trPr>
        <w:tc>
          <w:tcPr>
            <w:tcW w:w="3692" w:type="dxa"/>
            <w:vAlign w:val="center"/>
          </w:tcPr>
          <w:p w:rsidR="00FD69D1" w:rsidRPr="009E1D9B" w:rsidRDefault="00FD69D1" w:rsidP="008246D9">
            <w:pPr>
              <w:bidi/>
              <w:spacing w:after="0"/>
              <w:rPr>
                <w:rFonts w:cs="Arial"/>
                <w:rtl/>
                <w:lang w:val="en-US"/>
              </w:rPr>
            </w:pPr>
            <w:r w:rsidRPr="009E1D9B">
              <w:rPr>
                <w:rFonts w:ascii="Simplified Arabic" w:hAnsi="Simplified Arabic" w:cs="Simplified Arabic" w:hint="cs"/>
                <w:color w:val="000000" w:themeColor="text1"/>
                <w:rtl/>
              </w:rPr>
              <w:t>نموذج</w:t>
            </w:r>
            <w:r w:rsidRPr="009E1D9B">
              <w:rPr>
                <w:rFonts w:ascii="Simplified Arabic" w:hAnsi="Simplified Arabic" w:cs="Simplified Arabic"/>
                <w:color w:val="000000" w:themeColor="text1"/>
                <w:rtl/>
              </w:rPr>
              <w:t xml:space="preserve"> </w:t>
            </w:r>
            <w:r w:rsidRPr="009E1D9B">
              <w:rPr>
                <w:rFonts w:ascii="Simplified Arabic" w:hAnsi="Simplified Arabic" w:cs="Simplified Arabic" w:hint="cs"/>
                <w:color w:val="000000" w:themeColor="text1"/>
                <w:rtl/>
              </w:rPr>
              <w:t>تقييم</w:t>
            </w:r>
            <w:r w:rsidRPr="009E1D9B">
              <w:rPr>
                <w:rFonts w:ascii="Simplified Arabic" w:hAnsi="Simplified Arabic" w:cs="Simplified Arabic"/>
                <w:color w:val="000000" w:themeColor="text1"/>
                <w:rtl/>
              </w:rPr>
              <w:t xml:space="preserve"> </w:t>
            </w:r>
            <w:r w:rsidRPr="009E1D9B">
              <w:rPr>
                <w:rFonts w:ascii="Simplified Arabic" w:hAnsi="Simplified Arabic" w:cs="Simplified Arabic" w:hint="cs"/>
                <w:color w:val="000000" w:themeColor="text1"/>
                <w:rtl/>
              </w:rPr>
              <w:t>المرونة</w:t>
            </w:r>
            <w:r w:rsidRPr="009E1D9B">
              <w:rPr>
                <w:rFonts w:ascii="Simplified Arabic" w:hAnsi="Simplified Arabic" w:cs="Simplified Arabic"/>
                <w:color w:val="000000" w:themeColor="text1"/>
                <w:rtl/>
              </w:rPr>
              <w:t xml:space="preserve"> </w:t>
            </w:r>
            <w:r w:rsidRPr="009E1D9B">
              <w:rPr>
                <w:rFonts w:ascii="Simplified Arabic" w:hAnsi="Simplified Arabic" w:cs="Simplified Arabic" w:hint="cs"/>
                <w:color w:val="000000" w:themeColor="text1"/>
                <w:rtl/>
              </w:rPr>
              <w:t>الحضرية</w:t>
            </w:r>
          </w:p>
        </w:tc>
        <w:tc>
          <w:tcPr>
            <w:tcW w:w="1260" w:type="dxa"/>
            <w:vAlign w:val="center"/>
          </w:tcPr>
          <w:p w:rsidR="00FD69D1" w:rsidRPr="009E1D9B" w:rsidRDefault="00FD69D1" w:rsidP="008246D9">
            <w:pPr>
              <w:spacing w:after="0"/>
              <w:jc w:val="center"/>
              <w:rPr>
                <w:rFonts w:asciiTheme="majorBidi" w:hAnsiTheme="majorBidi" w:cstheme="majorBidi"/>
              </w:rPr>
            </w:pPr>
            <w:r w:rsidRPr="009E1D9B">
              <w:rPr>
                <w:rFonts w:asciiTheme="majorBidi" w:hAnsiTheme="majorBidi" w:cstheme="majorBidi"/>
              </w:rPr>
              <w:t>URAM</w:t>
            </w:r>
          </w:p>
        </w:tc>
        <w:tc>
          <w:tcPr>
            <w:tcW w:w="4102" w:type="dxa"/>
            <w:vAlign w:val="center"/>
          </w:tcPr>
          <w:p w:rsidR="00FD69D1" w:rsidRPr="009E1D9B" w:rsidRDefault="00FD69D1" w:rsidP="008246D9">
            <w:pPr>
              <w:spacing w:after="0"/>
              <w:rPr>
                <w:rFonts w:asciiTheme="majorBidi" w:hAnsiTheme="majorBidi" w:cstheme="majorBidi"/>
                <w:color w:val="000000"/>
              </w:rPr>
            </w:pPr>
            <w:r>
              <w:rPr>
                <w:rFonts w:asciiTheme="majorBidi" w:hAnsiTheme="majorBidi" w:cstheme="majorBidi"/>
                <w:color w:val="000000"/>
                <w:lang w:val="en-US"/>
              </w:rPr>
              <w:t xml:space="preserve">Urban Resilience </w:t>
            </w:r>
            <w:r w:rsidRPr="009E1D9B">
              <w:rPr>
                <w:rFonts w:asciiTheme="majorBidi" w:hAnsiTheme="majorBidi" w:cstheme="majorBidi"/>
                <w:color w:val="000000"/>
                <w:lang w:val="en-US"/>
              </w:rPr>
              <w:t>Assessment</w:t>
            </w:r>
            <w:r>
              <w:rPr>
                <w:rFonts w:asciiTheme="majorBidi" w:hAnsiTheme="majorBidi" w:cstheme="majorBidi"/>
                <w:color w:val="000000"/>
              </w:rPr>
              <w:t xml:space="preserve"> Model</w:t>
            </w:r>
          </w:p>
        </w:tc>
      </w:tr>
    </w:tbl>
    <w:p w:rsidR="00FD69D1" w:rsidRDefault="00FD69D1" w:rsidP="00FD69D1">
      <w:pPr>
        <w:bidi/>
        <w:spacing w:after="0" w:line="240" w:lineRule="auto"/>
        <w:rPr>
          <w:rFonts w:ascii="Simplified Arabic" w:hAnsi="Simplified Arabic" w:cs="Simplified Arabic"/>
          <w:b/>
          <w:bCs/>
          <w:sz w:val="24"/>
          <w:szCs w:val="24"/>
          <w:rtl/>
        </w:rPr>
        <w:sectPr w:rsidR="00FD69D1" w:rsidSect="00642F89">
          <w:headerReference w:type="even" r:id="rId26"/>
          <w:headerReference w:type="default" r:id="rId27"/>
          <w:footerReference w:type="even" r:id="rId28"/>
          <w:footerReference w:type="default" r:id="rId29"/>
          <w:headerReference w:type="first" r:id="rId30"/>
          <w:footerReference w:type="first" r:id="rId31"/>
          <w:pgSz w:w="11906" w:h="16838"/>
          <w:pgMar w:top="1418" w:right="1418" w:bottom="1418" w:left="1134" w:header="709" w:footer="709" w:gutter="0"/>
          <w:pgNumType w:fmt="arabicAbjad" w:start="1"/>
          <w:cols w:space="708"/>
          <w:titlePg/>
          <w:docGrid w:linePitch="360"/>
        </w:sectPr>
      </w:pPr>
    </w:p>
    <w:p w:rsidR="00852778" w:rsidRDefault="00852778" w:rsidP="00852778">
      <w:pPr>
        <w:bidi/>
        <w:spacing w:after="0" w:line="240" w:lineRule="auto"/>
        <w:rPr>
          <w:rFonts w:ascii="Simplified Arabic" w:hAnsi="Simplified Arabic" w:cs="Simplified Arabic"/>
          <w:b/>
          <w:bCs/>
          <w:sz w:val="24"/>
          <w:szCs w:val="24"/>
          <w:rtl/>
        </w:rPr>
      </w:pPr>
    </w:p>
    <w:p w:rsidR="00EF5226" w:rsidRDefault="00EF5226" w:rsidP="00EF5226">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Default="00852778" w:rsidP="00852778">
      <w:pPr>
        <w:bidi/>
        <w:spacing w:after="0" w:line="240" w:lineRule="auto"/>
        <w:rPr>
          <w:rFonts w:ascii="Simplified Arabic" w:hAnsi="Simplified Arabic" w:cs="Simplified Arabic"/>
          <w:b/>
          <w:bCs/>
          <w:sz w:val="24"/>
          <w:szCs w:val="24"/>
          <w:rtl/>
        </w:rPr>
      </w:pPr>
    </w:p>
    <w:p w:rsidR="00852778" w:rsidRPr="00852778" w:rsidRDefault="00852778" w:rsidP="00852778">
      <w:pPr>
        <w:bidi/>
        <w:spacing w:after="0" w:line="240" w:lineRule="auto"/>
        <w:rPr>
          <w:rFonts w:ascii="Simplified Arabic" w:hAnsi="Simplified Arabic" w:cs="Simplified Arabic"/>
          <w:b/>
          <w:bCs/>
          <w:sz w:val="24"/>
          <w:szCs w:val="24"/>
          <w:rtl/>
        </w:rPr>
      </w:pPr>
    </w:p>
    <w:p w:rsidR="00431544" w:rsidRPr="0027101B" w:rsidRDefault="007937CD" w:rsidP="00654AB3">
      <w:pPr>
        <w:pStyle w:val="fegure"/>
        <w:rPr>
          <w:b/>
          <w:sz w:val="16"/>
          <w:szCs w:val="40"/>
        </w:rPr>
      </w:pPr>
      <w:bookmarkStart w:id="10" w:name="_Toc157561426"/>
      <w:bookmarkStart w:id="11" w:name="_Toc157562759"/>
      <w:bookmarkStart w:id="12" w:name="_Toc157608255"/>
      <w:bookmarkStart w:id="13" w:name="_Toc171803281"/>
      <w:r w:rsidRPr="0027101B">
        <w:rPr>
          <w:b/>
          <w:sz w:val="16"/>
          <w:szCs w:val="40"/>
          <w:rtl/>
        </w:rPr>
        <w:t>الجزء الاول:</w:t>
      </w:r>
      <w:bookmarkEnd w:id="10"/>
      <w:bookmarkEnd w:id="11"/>
      <w:bookmarkEnd w:id="12"/>
      <w:bookmarkEnd w:id="13"/>
      <w:r w:rsidRPr="0027101B">
        <w:rPr>
          <w:b/>
          <w:sz w:val="16"/>
          <w:szCs w:val="40"/>
          <w:rtl/>
        </w:rPr>
        <w:t xml:space="preserve"> </w:t>
      </w:r>
    </w:p>
    <w:p w:rsidR="007937CD" w:rsidRPr="0027101B" w:rsidRDefault="007937CD" w:rsidP="00654AB3">
      <w:pPr>
        <w:pStyle w:val="fegure"/>
        <w:rPr>
          <w:b/>
          <w:sz w:val="16"/>
          <w:szCs w:val="40"/>
          <w:rtl/>
          <w:lang w:bidi="ar-DZ"/>
        </w:rPr>
      </w:pPr>
      <w:bookmarkStart w:id="14" w:name="_Toc157561427"/>
      <w:bookmarkStart w:id="15" w:name="_Toc157562760"/>
      <w:bookmarkStart w:id="16" w:name="_Toc157608256"/>
      <w:bookmarkStart w:id="17" w:name="_Toc171803282"/>
      <w:r w:rsidRPr="0027101B">
        <w:rPr>
          <w:b/>
          <w:sz w:val="16"/>
          <w:szCs w:val="40"/>
          <w:rtl/>
        </w:rPr>
        <w:t xml:space="preserve">الاطار العام </w:t>
      </w:r>
      <w:r w:rsidR="00284D5A" w:rsidRPr="0027101B">
        <w:rPr>
          <w:rFonts w:hint="cs"/>
          <w:b/>
          <w:sz w:val="16"/>
          <w:szCs w:val="40"/>
          <w:rtl/>
        </w:rPr>
        <w:t>للبحث</w:t>
      </w:r>
      <w:bookmarkEnd w:id="14"/>
      <w:bookmarkEnd w:id="15"/>
      <w:bookmarkEnd w:id="16"/>
      <w:bookmarkEnd w:id="17"/>
    </w:p>
    <w:p w:rsidR="007937CD" w:rsidRDefault="007937CD" w:rsidP="007937CD">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954293" w:rsidRDefault="00954293" w:rsidP="00954293">
      <w:pPr>
        <w:bidi/>
        <w:rPr>
          <w:rtl/>
          <w:lang w:bidi="ar-DZ"/>
        </w:rPr>
      </w:pPr>
    </w:p>
    <w:p w:rsidR="00D236B9" w:rsidRDefault="00D236B9" w:rsidP="00D236B9">
      <w:pPr>
        <w:bidi/>
        <w:rPr>
          <w:rtl/>
          <w:lang w:bidi="ar-DZ"/>
        </w:rPr>
      </w:pPr>
    </w:p>
    <w:p w:rsidR="00E34DFC" w:rsidRDefault="008217A7" w:rsidP="000B64DE">
      <w:pPr>
        <w:bidi/>
        <w:rPr>
          <w:rtl/>
          <w:lang w:bidi="ar-DZ"/>
        </w:rPr>
      </w:pPr>
      <w:r>
        <w:rPr>
          <w:noProof/>
          <w:rtl/>
          <w:lang w:eastAsia="fr-FR"/>
        </w:rPr>
        <mc:AlternateContent>
          <mc:Choice Requires="wps">
            <w:drawing>
              <wp:anchor distT="0" distB="0" distL="114300" distR="114300" simplePos="0" relativeHeight="251872256" behindDoc="0" locked="0" layoutInCell="1" allowOverlap="1" wp14:anchorId="02253734" wp14:editId="68C37551">
                <wp:simplePos x="0" y="0"/>
                <wp:positionH relativeFrom="column">
                  <wp:posOffset>2619011</wp:posOffset>
                </wp:positionH>
                <wp:positionV relativeFrom="paragraph">
                  <wp:posOffset>288547</wp:posOffset>
                </wp:positionV>
                <wp:extent cx="513708" cy="226031"/>
                <wp:effectExtent l="0" t="0" r="1270" b="3175"/>
                <wp:wrapNone/>
                <wp:docPr id="145" name="Rectangle 145"/>
                <wp:cNvGraphicFramePr/>
                <a:graphic xmlns:a="http://schemas.openxmlformats.org/drawingml/2006/main">
                  <a:graphicData uri="http://schemas.microsoft.com/office/word/2010/wordprocessingShape">
                    <wps:wsp>
                      <wps:cNvSpPr/>
                      <wps:spPr>
                        <a:xfrm>
                          <a:off x="0" y="0"/>
                          <a:ext cx="513708" cy="2260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45" o:spid="_x0000_s1026" style="position:absolute;margin-left:206.2pt;margin-top:22.7pt;width:40.45pt;height:17.8pt;z-index:251872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" fillcolor="white [3212]" stroked="f" strokeweight="2pt"/>
            </w:pict>
          </mc:Fallback>
        </mc:AlternateContent>
      </w:r>
    </w:p>
    <w:p w:rsidR="00E34DFC" w:rsidRDefault="00E34DFC" w:rsidP="00E34DFC">
      <w:pPr>
        <w:bidi/>
        <w:spacing w:before="240"/>
        <w:rPr>
          <w:rFonts w:ascii="Simplified Arabic" w:hAnsi="Simplified Arabic" w:cs="Simplified Arabic"/>
          <w:b/>
          <w:bCs/>
          <w:sz w:val="28"/>
          <w:szCs w:val="28"/>
          <w:rtl/>
          <w:lang w:bidi="ar-DZ"/>
        </w:rPr>
      </w:pPr>
    </w:p>
    <w:p w:rsidR="00E34DFC" w:rsidRDefault="00E34DFC" w:rsidP="00E34DFC">
      <w:pPr>
        <w:bidi/>
        <w:spacing w:before="240"/>
        <w:rPr>
          <w:rFonts w:ascii="Simplified Arabic" w:hAnsi="Simplified Arabic" w:cs="Simplified Arabic"/>
          <w:b/>
          <w:bCs/>
          <w:sz w:val="28"/>
          <w:szCs w:val="28"/>
          <w:rtl/>
          <w:lang w:bidi="ar-DZ"/>
        </w:rPr>
      </w:pPr>
    </w:p>
    <w:p w:rsidR="00E34DFC" w:rsidRDefault="00E34DFC" w:rsidP="00E34DFC">
      <w:pPr>
        <w:bidi/>
        <w:spacing w:before="240"/>
        <w:rPr>
          <w:rFonts w:ascii="Simplified Arabic" w:hAnsi="Simplified Arabic" w:cs="Simplified Arabic"/>
          <w:b/>
          <w:bCs/>
          <w:sz w:val="28"/>
          <w:szCs w:val="28"/>
          <w:rtl/>
          <w:lang w:bidi="ar-DZ"/>
        </w:rPr>
      </w:pPr>
    </w:p>
    <w:p w:rsidR="00E34DFC" w:rsidRDefault="00E34DFC" w:rsidP="00E34DFC">
      <w:pPr>
        <w:bidi/>
        <w:spacing w:before="240"/>
        <w:rPr>
          <w:rFonts w:ascii="Simplified Arabic" w:hAnsi="Simplified Arabic" w:cs="Simplified Arabic"/>
          <w:b/>
          <w:bCs/>
          <w:sz w:val="28"/>
          <w:szCs w:val="28"/>
          <w:rtl/>
          <w:lang w:bidi="ar-DZ"/>
        </w:rPr>
      </w:pPr>
    </w:p>
    <w:p w:rsidR="002C4151" w:rsidRDefault="002C4151" w:rsidP="002C4151">
      <w:pPr>
        <w:bidi/>
        <w:spacing w:before="240"/>
        <w:rPr>
          <w:rFonts w:ascii="Simplified Arabic" w:hAnsi="Simplified Arabic" w:cs="Simplified Arabic"/>
          <w:b/>
          <w:bCs/>
          <w:sz w:val="28"/>
          <w:szCs w:val="28"/>
          <w:rtl/>
          <w:lang w:bidi="ar-DZ"/>
        </w:rPr>
      </w:pPr>
    </w:p>
    <w:p w:rsidR="00E34DFC" w:rsidRDefault="00E34DFC" w:rsidP="00E34DFC">
      <w:pPr>
        <w:bidi/>
        <w:spacing w:before="240"/>
        <w:rPr>
          <w:rFonts w:ascii="Simplified Arabic" w:hAnsi="Simplified Arabic" w:cs="Simplified Arabic"/>
          <w:b/>
          <w:bCs/>
          <w:sz w:val="28"/>
          <w:szCs w:val="28"/>
          <w:lang w:bidi="ar-DZ"/>
        </w:rPr>
      </w:pPr>
    </w:p>
    <w:p w:rsidR="00E34DFC" w:rsidRDefault="00E34DFC" w:rsidP="00E34DFC">
      <w:pPr>
        <w:bidi/>
        <w:spacing w:before="240"/>
        <w:rPr>
          <w:rFonts w:ascii="Simplified Arabic" w:hAnsi="Simplified Arabic" w:cs="Simplified Arabic"/>
          <w:b/>
          <w:bCs/>
          <w:sz w:val="28"/>
          <w:szCs w:val="28"/>
          <w:rtl/>
          <w:lang w:bidi="ar-DZ"/>
        </w:rPr>
      </w:pPr>
    </w:p>
    <w:p w:rsidR="00E34DFC" w:rsidRPr="00420034" w:rsidRDefault="00E34DFC" w:rsidP="00654AB3">
      <w:pPr>
        <w:pStyle w:val="fegure"/>
        <w:rPr>
          <w:sz w:val="14"/>
          <w:szCs w:val="36"/>
          <w:rtl/>
          <w:lang w:bidi="ar-DZ"/>
        </w:rPr>
      </w:pPr>
      <w:bookmarkStart w:id="18" w:name="_Toc157561428"/>
      <w:bookmarkStart w:id="19" w:name="_Toc157562761"/>
      <w:bookmarkStart w:id="20" w:name="_Toc157608257"/>
      <w:bookmarkStart w:id="21" w:name="_Toc171803283"/>
      <w:r w:rsidRPr="00420034">
        <w:rPr>
          <w:sz w:val="14"/>
          <w:szCs w:val="36"/>
          <w:rtl/>
          <w:lang w:bidi="ar-DZ"/>
        </w:rPr>
        <w:t>الفصل التمهيدي</w:t>
      </w:r>
      <w:bookmarkEnd w:id="18"/>
      <w:bookmarkEnd w:id="19"/>
      <w:bookmarkEnd w:id="20"/>
      <w:bookmarkEnd w:id="21"/>
    </w:p>
    <w:p w:rsidR="00E34DFC" w:rsidRDefault="00E34DFC" w:rsidP="000B64DE">
      <w:pPr>
        <w:bidi/>
        <w:rPr>
          <w:rFonts w:ascii="Simplified Arabic" w:hAnsi="Simplified Arabic" w:cs="Simplified Arabic"/>
          <w:b/>
          <w:bCs/>
          <w:sz w:val="28"/>
          <w:szCs w:val="28"/>
          <w:rtl/>
          <w:lang w:bidi="ar-DZ"/>
        </w:rPr>
      </w:pPr>
    </w:p>
    <w:p w:rsidR="00E34DFC" w:rsidRPr="00EF4D4E" w:rsidRDefault="00E34DFC" w:rsidP="000B64DE">
      <w:pPr>
        <w:bidi/>
        <w:rPr>
          <w:rFonts w:ascii="Simplified Arabic" w:hAnsi="Simplified Arabic" w:cs="Simplified Arabic"/>
          <w:b/>
          <w:bCs/>
          <w:sz w:val="28"/>
          <w:szCs w:val="28"/>
          <w:rtl/>
          <w:lang w:bidi="ar-DZ"/>
        </w:rPr>
      </w:pPr>
    </w:p>
    <w:p w:rsidR="00E34DFC" w:rsidRDefault="00E34DFC" w:rsidP="000B64DE">
      <w:pPr>
        <w:bidi/>
        <w:rPr>
          <w:rFonts w:ascii="Simplified Arabic" w:hAnsi="Simplified Arabic" w:cs="Simplified Arabic"/>
          <w:b/>
          <w:bCs/>
          <w:sz w:val="28"/>
          <w:szCs w:val="28"/>
          <w:rtl/>
          <w:lang w:bidi="ar-DZ"/>
        </w:rPr>
      </w:pPr>
    </w:p>
    <w:p w:rsidR="00E34DFC" w:rsidRDefault="00E34DFC" w:rsidP="000B64DE">
      <w:pPr>
        <w:bidi/>
        <w:rPr>
          <w:rFonts w:ascii="Simplified Arabic" w:hAnsi="Simplified Arabic" w:cs="Simplified Arabic"/>
          <w:b/>
          <w:bCs/>
          <w:sz w:val="28"/>
          <w:szCs w:val="28"/>
          <w:rtl/>
          <w:lang w:bidi="ar-DZ"/>
        </w:rPr>
      </w:pPr>
    </w:p>
    <w:p w:rsidR="00337414" w:rsidRDefault="00337414" w:rsidP="000B64DE">
      <w:pPr>
        <w:bidi/>
        <w:rPr>
          <w:rFonts w:ascii="Simplified Arabic" w:hAnsi="Simplified Arabic" w:cs="Simplified Arabic"/>
          <w:b/>
          <w:bCs/>
          <w:sz w:val="28"/>
          <w:szCs w:val="28"/>
          <w:rtl/>
          <w:lang w:bidi="ar-DZ"/>
        </w:rPr>
      </w:pPr>
    </w:p>
    <w:p w:rsidR="00EF5226" w:rsidRDefault="00EF5226" w:rsidP="000B64DE">
      <w:pPr>
        <w:bidi/>
        <w:rPr>
          <w:rFonts w:ascii="Simplified Arabic" w:hAnsi="Simplified Arabic" w:cs="Simplified Arabic"/>
          <w:b/>
          <w:bCs/>
          <w:sz w:val="28"/>
          <w:szCs w:val="28"/>
          <w:rtl/>
          <w:lang w:bidi="ar-DZ"/>
        </w:rPr>
      </w:pPr>
    </w:p>
    <w:p w:rsidR="000B64DE" w:rsidRDefault="000B64DE" w:rsidP="000B64DE">
      <w:pPr>
        <w:bidi/>
        <w:rPr>
          <w:rFonts w:ascii="Simplified Arabic" w:hAnsi="Simplified Arabic" w:cs="Simplified Arabic"/>
          <w:b/>
          <w:bCs/>
          <w:sz w:val="28"/>
          <w:szCs w:val="28"/>
          <w:rtl/>
          <w:lang w:bidi="ar-DZ"/>
        </w:rPr>
      </w:pPr>
    </w:p>
    <w:p w:rsidR="000B64DE" w:rsidRDefault="000B64DE" w:rsidP="000B64DE">
      <w:pPr>
        <w:bidi/>
        <w:rPr>
          <w:rFonts w:ascii="Simplified Arabic" w:hAnsi="Simplified Arabic" w:cs="Simplified Arabic"/>
          <w:b/>
          <w:bCs/>
          <w:sz w:val="28"/>
          <w:szCs w:val="28"/>
          <w:rtl/>
          <w:lang w:bidi="ar-DZ"/>
        </w:rPr>
      </w:pPr>
    </w:p>
    <w:p w:rsidR="00F06308" w:rsidRDefault="00F06308" w:rsidP="00F06308">
      <w:pPr>
        <w:bidi/>
        <w:rPr>
          <w:rFonts w:ascii="Simplified Arabic" w:hAnsi="Simplified Arabic" w:cs="Simplified Arabic"/>
          <w:b/>
          <w:bCs/>
          <w:sz w:val="28"/>
          <w:szCs w:val="28"/>
          <w:rtl/>
          <w:lang w:bidi="ar-DZ"/>
        </w:rPr>
      </w:pPr>
    </w:p>
    <w:p w:rsidR="00F06308" w:rsidRDefault="00F06308" w:rsidP="00F06308">
      <w:pPr>
        <w:bidi/>
        <w:rPr>
          <w:rFonts w:ascii="Simplified Arabic" w:hAnsi="Simplified Arabic" w:cs="Simplified Arabic"/>
          <w:b/>
          <w:bCs/>
          <w:sz w:val="28"/>
          <w:szCs w:val="28"/>
          <w:rtl/>
          <w:lang w:bidi="ar-DZ"/>
        </w:rPr>
      </w:pPr>
    </w:p>
    <w:p w:rsidR="000B64DE" w:rsidRDefault="000B64DE" w:rsidP="000B64DE">
      <w:pPr>
        <w:bidi/>
        <w:rPr>
          <w:rFonts w:ascii="Simplified Arabic" w:hAnsi="Simplified Arabic" w:cs="Simplified Arabic"/>
          <w:b/>
          <w:bCs/>
          <w:sz w:val="28"/>
          <w:szCs w:val="28"/>
          <w:rtl/>
          <w:lang w:bidi="ar-DZ"/>
        </w:rPr>
      </w:pPr>
    </w:p>
    <w:p w:rsidR="008217A7" w:rsidRDefault="00FB494E">
      <w:pPr>
        <w:rPr>
          <w:rFonts w:ascii="Simplified Arabic" w:hAnsi="Simplified Arabic" w:cs="Simplified Arabic"/>
          <w:b/>
          <w:bCs/>
          <w:sz w:val="28"/>
          <w:szCs w:val="28"/>
          <w:lang w:bidi="ar-DZ"/>
        </w:rPr>
        <w:sectPr w:rsidR="008217A7" w:rsidSect="00EF5226">
          <w:headerReference w:type="default" r:id="rId32"/>
          <w:footerReference w:type="default" r:id="rId33"/>
          <w:pgSz w:w="11906" w:h="16838"/>
          <w:pgMar w:top="1418" w:right="1700" w:bottom="1418" w:left="1134" w:header="709" w:footer="709" w:gutter="0"/>
          <w:pgNumType w:fmt="arabicAbjad" w:start="1"/>
          <w:cols w:space="708"/>
          <w:docGrid w:linePitch="360"/>
        </w:sectPr>
      </w:pPr>
      <w:r>
        <w:rPr>
          <w:noProof/>
          <w:rtl/>
          <w:lang w:eastAsia="fr-FR"/>
        </w:rPr>
        <mc:AlternateContent>
          <mc:Choice Requires="wps">
            <w:drawing>
              <wp:anchor distT="0" distB="0" distL="114300" distR="114300" simplePos="0" relativeHeight="251879424" behindDoc="0" locked="0" layoutInCell="1" allowOverlap="1" wp14:anchorId="2D78A3CF" wp14:editId="0830FE97">
                <wp:simplePos x="0" y="0"/>
                <wp:positionH relativeFrom="column">
                  <wp:posOffset>2656840</wp:posOffset>
                </wp:positionH>
                <wp:positionV relativeFrom="paragraph">
                  <wp:posOffset>2120265</wp:posOffset>
                </wp:positionV>
                <wp:extent cx="513708" cy="226031"/>
                <wp:effectExtent l="0" t="0" r="1270" b="3175"/>
                <wp:wrapNone/>
                <wp:docPr id="16" name="Rectangle 16"/>
                <wp:cNvGraphicFramePr/>
                <a:graphic xmlns:a="http://schemas.openxmlformats.org/drawingml/2006/main">
                  <a:graphicData uri="http://schemas.microsoft.com/office/word/2010/wordprocessingShape">
                    <wps:wsp>
                      <wps:cNvSpPr/>
                      <wps:spPr>
                        <a:xfrm>
                          <a:off x="0" y="0"/>
                          <a:ext cx="513708" cy="2260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6" o:spid="_x0000_s1026" style="position:absolute;margin-left:209.2pt;margin-top:166.95pt;width:40.45pt;height:17.8pt;z-index:251879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" fillcolor="white [3212]" stroked="f" strokeweight="2pt"/>
            </w:pict>
          </mc:Fallback>
        </mc:AlternateContent>
      </w:r>
    </w:p>
    <w:p w:rsidR="00337414" w:rsidRPr="0062340E" w:rsidRDefault="0022082E" w:rsidP="0006264F">
      <w:pPr>
        <w:pStyle w:val="Paragraphedeliste"/>
        <w:numPr>
          <w:ilvl w:val="0"/>
          <w:numId w:val="85"/>
        </w:numPr>
        <w:tabs>
          <w:tab w:val="right" w:pos="567"/>
        </w:tabs>
        <w:bidi/>
        <w:ind w:left="0" w:firstLine="0"/>
        <w:outlineLvl w:val="0"/>
        <w:rPr>
          <w:rFonts w:cs="Arial"/>
          <w:sz w:val="24"/>
          <w:szCs w:val="24"/>
          <w:lang w:bidi="ar-DZ"/>
        </w:rPr>
      </w:pPr>
      <w:bookmarkStart w:id="22" w:name="_Toc171803284"/>
      <w:bookmarkStart w:id="23" w:name="_Toc156966837"/>
      <w:r w:rsidRPr="0062340E">
        <w:rPr>
          <w:rFonts w:ascii="Simplified Arabic" w:hAnsi="Simplified Arabic" w:cs="Simplified Arabic"/>
          <w:b/>
          <w:bCs/>
          <w:sz w:val="24"/>
          <w:szCs w:val="24"/>
          <w:rtl/>
          <w:lang w:val="en-US"/>
        </w:rPr>
        <w:lastRenderedPageBreak/>
        <w:t>مقدمة</w:t>
      </w:r>
      <w:bookmarkEnd w:id="22"/>
      <w:r w:rsidRPr="0062340E">
        <w:rPr>
          <w:rFonts w:ascii="Simplified Arabic" w:hAnsi="Simplified Arabic" w:cs="Simplified Arabic"/>
          <w:b/>
          <w:bCs/>
          <w:sz w:val="24"/>
          <w:szCs w:val="24"/>
          <w:rtl/>
          <w:lang w:val="en-US"/>
        </w:rPr>
        <w:t xml:space="preserve"> </w:t>
      </w:r>
      <w:bookmarkEnd w:id="23"/>
    </w:p>
    <w:p w:rsidR="00B74595" w:rsidRPr="0062340E" w:rsidRDefault="0022082E" w:rsidP="00C7683B">
      <w:pPr>
        <w:pStyle w:val="Paragraphedeliste"/>
        <w:tabs>
          <w:tab w:val="right" w:pos="567"/>
        </w:tabs>
        <w:bidi/>
        <w:spacing w:before="240"/>
        <w:ind w:left="0" w:firstLine="283"/>
        <w:jc w:val="both"/>
        <w:rPr>
          <w:rFonts w:cs="Arial"/>
          <w:sz w:val="24"/>
          <w:szCs w:val="24"/>
          <w:rtl/>
          <w:lang w:bidi="ar-DZ"/>
        </w:rPr>
      </w:pPr>
      <w:r w:rsidRPr="0062340E">
        <w:rPr>
          <w:rFonts w:ascii="Simplified Arabic" w:hAnsi="Simplified Arabic" w:cs="Simplified Arabic" w:hint="cs"/>
          <w:sz w:val="24"/>
          <w:szCs w:val="24"/>
          <w:rtl/>
          <w:lang w:val="en-US" w:bidi="ar-DZ"/>
        </w:rPr>
        <w:t>كانت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الر</w:t>
      </w:r>
      <w:r w:rsidR="00F50EB5" w:rsidRPr="0062340E">
        <w:rPr>
          <w:rFonts w:ascii="Simplified Arabic" w:hAnsi="Simplified Arabic" w:cs="Simplified Arabic" w:hint="cs"/>
          <w:sz w:val="24"/>
          <w:szCs w:val="24"/>
          <w:rtl/>
          <w:lang w:val="en-US" w:bidi="ar-DZ"/>
        </w:rPr>
        <w:t>ّ</w:t>
      </w:r>
      <w:r w:rsidRPr="0062340E">
        <w:rPr>
          <w:rFonts w:ascii="Simplified Arabic" w:hAnsi="Simplified Arabic" w:cs="Simplified Arabic" w:hint="cs"/>
          <w:sz w:val="24"/>
          <w:szCs w:val="24"/>
          <w:rtl/>
          <w:lang w:val="en-US" w:bidi="ar-DZ"/>
        </w:rPr>
        <w:t>غبة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 العمران الحداثي تحويل</w:t>
      </w:r>
      <w:r w:rsidRPr="0062340E">
        <w:rPr>
          <w:rFonts w:ascii="Simplified Arabic" w:hAnsi="Simplified Arabic" w:cs="Simplified Arabic"/>
          <w:sz w:val="24"/>
          <w:szCs w:val="24"/>
          <w:rtl/>
          <w:lang w:val="en-US" w:bidi="ar-DZ"/>
        </w:rPr>
        <w:t xml:space="preserve"> المدن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أسس</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هندسية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ووظيفية، بموجب البيان الذي طرحه ميثاق أثينا سنة 1933</w:t>
      </w:r>
      <w:r w:rsidRPr="0062340E">
        <w:rPr>
          <w:rFonts w:ascii="Simplified Arabic" w:hAnsi="Simplified Arabic" w:cs="Simplified Arabic"/>
          <w:sz w:val="24"/>
          <w:szCs w:val="24"/>
          <w:rtl/>
          <w:lang w:val="en-US" w:bidi="ar-DZ"/>
        </w:rPr>
        <w:t xml:space="preserve">، أي تلك التي يكون فيها </w:t>
      </w:r>
      <w:r w:rsidR="00EC1622" w:rsidRPr="0062340E">
        <w:rPr>
          <w:rFonts w:ascii="Simplified Arabic" w:hAnsi="Simplified Arabic" w:cs="Simplified Arabic" w:hint="cs"/>
          <w:sz w:val="24"/>
          <w:szCs w:val="24"/>
          <w:rtl/>
          <w:lang w:val="en-US" w:bidi="ar-DZ"/>
        </w:rPr>
        <w:t>استعمال</w:t>
      </w:r>
      <w:r w:rsidRPr="0062340E">
        <w:rPr>
          <w:rFonts w:ascii="Simplified Arabic" w:hAnsi="Simplified Arabic" w:cs="Simplified Arabic"/>
          <w:sz w:val="24"/>
          <w:szCs w:val="24"/>
          <w:rtl/>
          <w:lang w:val="en-US" w:bidi="ar-DZ"/>
        </w:rPr>
        <w:t xml:space="preserve"> الأرض قائمًا على المناطق الوظيفية</w:t>
      </w:r>
      <w:r w:rsidRPr="0062340E">
        <w:rPr>
          <w:rFonts w:ascii="Simplified Arabic" w:hAnsi="Simplified Arabic" w:cs="Simplified Arabic" w:hint="cs"/>
          <w:sz w:val="24"/>
          <w:szCs w:val="24"/>
          <w:rtl/>
          <w:lang w:val="en-US" w:bidi="ar-DZ"/>
        </w:rPr>
        <w:t xml:space="preserve"> ويعكس</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حالة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التوازن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في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جميع</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الوظائف</w:t>
      </w:r>
      <w:r w:rsidRPr="0062340E">
        <w:rPr>
          <w:rFonts w:asciiTheme="majorBidi" w:hAnsiTheme="majorBidi" w:cstheme="majorBidi"/>
          <w:color w:val="0D0D0D"/>
          <w:sz w:val="24"/>
          <w:szCs w:val="24"/>
          <w:rtl/>
        </w:rPr>
        <w:t xml:space="preserve"> (</w:t>
      </w:r>
      <w:r w:rsidRPr="0062340E">
        <w:rPr>
          <w:rFonts w:asciiTheme="majorBidi" w:hAnsiTheme="majorBidi" w:cstheme="majorBidi"/>
          <w:color w:val="0D0D0D"/>
          <w:sz w:val="24"/>
          <w:szCs w:val="24"/>
        </w:rPr>
        <w:t>CIAM, 1933, no pp</w:t>
      </w:r>
      <w:r w:rsidRPr="0062340E">
        <w:rPr>
          <w:rFonts w:asciiTheme="majorBidi" w:hAnsiTheme="majorBidi" w:cstheme="majorBidi"/>
          <w:color w:val="0D0D0D"/>
          <w:sz w:val="24"/>
          <w:szCs w:val="24"/>
          <w:rtl/>
        </w:rPr>
        <w:t>)</w:t>
      </w:r>
      <w:r w:rsidRPr="0062340E">
        <w:rPr>
          <w:rFonts w:ascii="Simplified Arabic" w:hAnsi="Simplified Arabic" w:cs="Simplified Arabic" w:hint="cs"/>
          <w:sz w:val="24"/>
          <w:szCs w:val="24"/>
          <w:rtl/>
          <w:lang w:val="en-US" w:bidi="ar-DZ"/>
        </w:rPr>
        <w:t>.</w:t>
      </w:r>
      <w:r w:rsidRPr="0062340E">
        <w:rPr>
          <w:rFonts w:cs="Arial" w:hint="cs"/>
          <w:sz w:val="24"/>
          <w:szCs w:val="24"/>
          <w:rtl/>
          <w:lang w:bidi="ar-DZ"/>
        </w:rPr>
        <w:t xml:space="preserve"> </w:t>
      </w:r>
    </w:p>
    <w:p w:rsidR="00B74595" w:rsidRPr="0062340E" w:rsidRDefault="0022082E" w:rsidP="0006264F">
      <w:pPr>
        <w:tabs>
          <w:tab w:val="right" w:pos="281"/>
        </w:tabs>
        <w:bidi/>
        <w:spacing w:before="240" w:after="0"/>
        <w:ind w:firstLine="282"/>
        <w:jc w:val="both"/>
        <w:rPr>
          <w:rFonts w:ascii="Simplified Arabic" w:hAnsi="Simplified Arabic" w:cs="Simplified Arabic"/>
          <w:color w:val="0D0D0D"/>
          <w:sz w:val="24"/>
          <w:szCs w:val="24"/>
          <w:rtl/>
        </w:rPr>
      </w:pPr>
      <w:r w:rsidRPr="0062340E">
        <w:rPr>
          <w:rFonts w:ascii="Simplified Arabic" w:hAnsi="Simplified Arabic" w:cs="Simplified Arabic" w:hint="cs"/>
          <w:sz w:val="24"/>
          <w:szCs w:val="24"/>
          <w:rtl/>
          <w:lang w:val="en-US" w:bidi="ar-DZ"/>
        </w:rPr>
        <w:t>حاليا، نادرا ما يولي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المخططين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أخذ</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السلامة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والأمن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الحضريين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بعين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الاعتبار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في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تخطيط</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المناطق</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الحضرية.</w:t>
      </w:r>
      <w:r w:rsidRPr="0062340E">
        <w:rPr>
          <w:rFonts w:cs="Arial"/>
          <w:sz w:val="24"/>
          <w:szCs w:val="24"/>
          <w:rtl/>
          <w:lang w:bidi="ar-DZ"/>
        </w:rPr>
        <w:t xml:space="preserve"> </w:t>
      </w:r>
      <w:r w:rsidRPr="0062340E">
        <w:rPr>
          <w:rFonts w:ascii="Simplified Arabic" w:hAnsi="Simplified Arabic" w:cs="Simplified Arabic" w:hint="cs"/>
          <w:sz w:val="24"/>
          <w:szCs w:val="24"/>
          <w:rtl/>
          <w:lang w:val="en-US" w:bidi="ar-DZ"/>
        </w:rPr>
        <w:t xml:space="preserve">حتى انه مازال يُعتمد في تخطيط </w:t>
      </w:r>
      <w:r w:rsidR="00EC1622" w:rsidRPr="0062340E">
        <w:rPr>
          <w:rFonts w:ascii="Simplified Arabic" w:hAnsi="Simplified Arabic" w:cs="Simplified Arabic" w:hint="cs"/>
          <w:sz w:val="24"/>
          <w:szCs w:val="24"/>
          <w:rtl/>
          <w:lang w:val="en-US" w:bidi="ar-DZ"/>
        </w:rPr>
        <w:t>استعمال</w:t>
      </w:r>
      <w:r w:rsidR="006249D2" w:rsidRPr="0062340E">
        <w:rPr>
          <w:rFonts w:ascii="Simplified Arabic" w:hAnsi="Simplified Arabic" w:cs="Simplified Arabic"/>
          <w:sz w:val="24"/>
          <w:szCs w:val="24"/>
          <w:rtl/>
          <w:lang w:val="en-US" w:bidi="ar-DZ"/>
        </w:rPr>
        <w:t xml:space="preserve"> الأرض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النظريات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والأساليب</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التي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تطويرها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 قبل مُنظّري القرن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الماضي</w:t>
      </w:r>
      <w:r w:rsidRPr="0062340E">
        <w:rPr>
          <w:rFonts w:asciiTheme="minorBidi" w:hAnsiTheme="minorBidi" w:cs="Arial" w:hint="cs"/>
          <w:sz w:val="24"/>
          <w:szCs w:val="24"/>
          <w:rtl/>
          <w:lang w:val="en-US" w:bidi="ar-DZ"/>
        </w:rPr>
        <w:t xml:space="preserve"> </w:t>
      </w:r>
      <w:r w:rsidRPr="0062340E">
        <w:rPr>
          <w:rFonts w:asciiTheme="majorBidi" w:hAnsiTheme="majorBidi" w:cstheme="majorBidi" w:hint="cs"/>
          <w:color w:val="0D0D0D"/>
          <w:sz w:val="24"/>
          <w:szCs w:val="24"/>
          <w:rtl/>
        </w:rPr>
        <w:t>(</w:t>
      </w:r>
      <w:r w:rsidRPr="0062340E">
        <w:rPr>
          <w:rFonts w:asciiTheme="majorBidi" w:hAnsiTheme="majorBidi" w:cstheme="majorBidi"/>
          <w:color w:val="0D0D0D"/>
          <w:sz w:val="24"/>
          <w:szCs w:val="24"/>
        </w:rPr>
        <w:t>2016</w:t>
      </w:r>
      <w:r w:rsidRPr="0062340E">
        <w:rPr>
          <w:rFonts w:asciiTheme="minorBidi" w:hAnsiTheme="minorBidi" w:cs="Arial"/>
          <w:sz w:val="24"/>
          <w:szCs w:val="24"/>
          <w:rtl/>
          <w:lang w:val="en-US" w:bidi="ar-DZ"/>
        </w:rPr>
        <w:t xml:space="preserve"> </w:t>
      </w:r>
      <w:r w:rsidRPr="0062340E">
        <w:rPr>
          <w:rFonts w:asciiTheme="majorBidi" w:hAnsiTheme="majorBidi" w:cstheme="majorBidi"/>
          <w:color w:val="0D0D0D"/>
          <w:sz w:val="24"/>
          <w:szCs w:val="24"/>
        </w:rPr>
        <w:t>Coaffee and Lee</w:t>
      </w:r>
      <w:r w:rsidRPr="0062340E">
        <w:rPr>
          <w:rFonts w:asciiTheme="majorBidi" w:hAnsiTheme="majorBidi" w:cstheme="majorBidi"/>
          <w:sz w:val="24"/>
          <w:szCs w:val="24"/>
          <w:lang w:val="en-US"/>
        </w:rPr>
        <w:t>,</w:t>
      </w:r>
      <w:r w:rsidRPr="0062340E">
        <w:rPr>
          <w:rFonts w:asciiTheme="majorBidi" w:hAnsiTheme="majorBidi" w:cstheme="majorBidi"/>
          <w:color w:val="0D0D0D"/>
          <w:sz w:val="24"/>
          <w:szCs w:val="24"/>
          <w:rtl/>
        </w:rPr>
        <w:t>)</w:t>
      </w:r>
      <w:r w:rsidRPr="0062340E">
        <w:rPr>
          <w:rFonts w:ascii="Simplified Arabic" w:hAnsi="Simplified Arabic" w:cs="Simplified Arabic" w:hint="cs"/>
          <w:sz w:val="24"/>
          <w:szCs w:val="24"/>
          <w:rtl/>
          <w:lang w:val="en-US" w:bidi="ar-DZ"/>
        </w:rPr>
        <w:t>،</w:t>
      </w:r>
      <w:r w:rsidRPr="0062340E">
        <w:rPr>
          <w:rFonts w:asciiTheme="majorBidi" w:hAnsiTheme="majorBidi" w:cstheme="majorBidi" w:hint="cs"/>
          <w:color w:val="0D0D0D"/>
          <w:sz w:val="24"/>
          <w:szCs w:val="24"/>
          <w:rtl/>
        </w:rPr>
        <w:t xml:space="preserve"> </w:t>
      </w:r>
      <w:r w:rsidRPr="0062340E">
        <w:rPr>
          <w:rFonts w:ascii="Simplified Arabic" w:hAnsi="Simplified Arabic" w:cs="Simplified Arabic" w:hint="cs"/>
          <w:sz w:val="24"/>
          <w:szCs w:val="24"/>
          <w:rtl/>
          <w:lang w:val="en-US" w:bidi="ar-DZ"/>
        </w:rPr>
        <w:t>التي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أعطت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الأولوية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لتعزيز</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وتحسين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وظيفة او خدمة معينة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حساب الوظائف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والخدمات الأخرى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للمدينة</w:t>
      </w:r>
      <w:r w:rsidRPr="0062340E">
        <w:rPr>
          <w:rFonts w:asciiTheme="minorBidi" w:hAnsiTheme="minorBidi" w:cs="Arial"/>
          <w:sz w:val="24"/>
          <w:szCs w:val="24"/>
          <w:rtl/>
          <w:lang w:val="en-US" w:bidi="ar-DZ"/>
        </w:rPr>
        <w:t xml:space="preserve"> </w:t>
      </w:r>
      <w:r w:rsidRPr="0062340E">
        <w:rPr>
          <w:rFonts w:asciiTheme="majorBidi" w:hAnsiTheme="majorBidi" w:cstheme="majorBidi"/>
          <w:color w:val="0D0D0D"/>
          <w:sz w:val="24"/>
          <w:szCs w:val="24"/>
        </w:rPr>
        <w:t>(Salat, 2011)</w:t>
      </w:r>
      <w:r w:rsidRPr="0062340E">
        <w:rPr>
          <w:rFonts w:ascii="Simplified Arabic" w:hAnsi="Simplified Arabic" w:cs="Simplified Arabic"/>
          <w:sz w:val="24"/>
          <w:szCs w:val="24"/>
          <w:rtl/>
          <w:lang w:val="en-US" w:bidi="ar-DZ"/>
        </w:rPr>
        <w:t>.</w:t>
      </w:r>
      <w:r w:rsidR="00A33DCA" w:rsidRPr="0062340E">
        <w:rPr>
          <w:rFonts w:ascii="Simplified Arabic" w:hAnsi="Simplified Arabic" w:cs="Simplified Arabic" w:hint="cs"/>
          <w:sz w:val="24"/>
          <w:szCs w:val="24"/>
          <w:rtl/>
          <w:lang w:val="en-US" w:bidi="ar-DZ"/>
        </w:rPr>
        <w:t xml:space="preserve"> </w:t>
      </w:r>
      <w:r w:rsidRPr="0062340E">
        <w:rPr>
          <w:rFonts w:ascii="Simplified Arabic" w:hAnsi="Simplified Arabic" w:cs="Simplified Arabic" w:hint="cs"/>
          <w:sz w:val="24"/>
          <w:szCs w:val="24"/>
          <w:rtl/>
          <w:lang w:val="en-US" w:bidi="ar-DZ"/>
        </w:rPr>
        <w:t xml:space="preserve">نتيجة لذلك، لم تعد البيئة </w:t>
      </w:r>
      <w:r w:rsidR="008E533E" w:rsidRPr="0062340E">
        <w:rPr>
          <w:rFonts w:ascii="Simplified Arabic" w:hAnsi="Simplified Arabic" w:cs="Simplified Arabic" w:hint="cs"/>
          <w:sz w:val="24"/>
          <w:szCs w:val="24"/>
          <w:rtl/>
          <w:lang w:val="en-US"/>
        </w:rPr>
        <w:t>الحضرية</w:t>
      </w:r>
      <w:r w:rsidR="008E533E" w:rsidRPr="0062340E">
        <w:rPr>
          <w:rFonts w:ascii="Simplified Arabic" w:hAnsi="Simplified Arabic" w:cs="Simplified Arabic" w:hint="cs"/>
          <w:sz w:val="24"/>
          <w:szCs w:val="24"/>
          <w:rtl/>
          <w:lang w:val="en-US" w:bidi="ar-DZ"/>
        </w:rPr>
        <w:t xml:space="preserve"> </w:t>
      </w:r>
      <w:r w:rsidRPr="0062340E">
        <w:rPr>
          <w:rFonts w:ascii="Simplified Arabic" w:hAnsi="Simplified Arabic" w:cs="Simplified Arabic" w:hint="cs"/>
          <w:sz w:val="24"/>
          <w:szCs w:val="24"/>
          <w:rtl/>
          <w:lang w:val="en-US" w:bidi="ar-DZ"/>
        </w:rPr>
        <w:t>التي تم انشاؤها في القرن الماضي قادرة على مواجهة</w:t>
      </w:r>
      <w:r w:rsidR="00A33DCA" w:rsidRPr="0062340E">
        <w:rPr>
          <w:rFonts w:ascii="Simplified Arabic" w:hAnsi="Simplified Arabic" w:cs="Simplified Arabic" w:hint="cs"/>
          <w:sz w:val="24"/>
          <w:szCs w:val="24"/>
          <w:rtl/>
          <w:lang w:val="en-US" w:bidi="ar-DZ"/>
        </w:rPr>
        <w:t xml:space="preserve"> اضطرابات و</w:t>
      </w:r>
      <w:r w:rsidRPr="0062340E">
        <w:rPr>
          <w:rFonts w:ascii="Simplified Arabic" w:hAnsi="Simplified Arabic" w:cs="Simplified Arabic" w:hint="cs"/>
          <w:sz w:val="24"/>
          <w:szCs w:val="24"/>
          <w:rtl/>
          <w:lang w:val="en-US" w:bidi="ar-DZ"/>
        </w:rPr>
        <w:t xml:space="preserve">تعقيدات مدن القرن الواحد والعشرون </w:t>
      </w:r>
      <w:r w:rsidRPr="0062340E">
        <w:rPr>
          <w:rFonts w:asciiTheme="majorBidi" w:hAnsiTheme="majorBidi" w:cstheme="majorBidi"/>
          <w:color w:val="0D0D0D"/>
          <w:sz w:val="24"/>
          <w:szCs w:val="24"/>
        </w:rPr>
        <w:t>2016)</w:t>
      </w:r>
      <w:r w:rsidRPr="0062340E">
        <w:rPr>
          <w:rFonts w:asciiTheme="majorBidi" w:hAnsiTheme="majorBidi" w:cstheme="majorBidi"/>
          <w:sz w:val="24"/>
          <w:szCs w:val="24"/>
          <w:rtl/>
          <w:lang w:bidi="ar-DZ"/>
        </w:rPr>
        <w:t xml:space="preserve"> </w:t>
      </w:r>
      <w:r w:rsidRPr="0062340E">
        <w:rPr>
          <w:rFonts w:asciiTheme="majorBidi" w:hAnsiTheme="majorBidi" w:cstheme="majorBidi"/>
          <w:color w:val="0D0D0D"/>
          <w:sz w:val="24"/>
          <w:szCs w:val="24"/>
        </w:rPr>
        <w:t>(Feliciotti et al.,</w:t>
      </w:r>
      <w:r w:rsidRPr="0062340E">
        <w:rPr>
          <w:rFonts w:ascii="Simplified Arabic" w:hAnsi="Simplified Arabic" w:cs="Simplified Arabic" w:hint="cs"/>
          <w:sz w:val="24"/>
          <w:szCs w:val="24"/>
          <w:rtl/>
          <w:lang w:val="en-US" w:bidi="ar-DZ"/>
        </w:rPr>
        <w:t>.</w:t>
      </w:r>
      <w:r w:rsidRPr="0062340E">
        <w:rPr>
          <w:rFonts w:ascii="Simplified Arabic" w:hAnsi="Simplified Arabic" w:cs="Simplified Arabic"/>
          <w:color w:val="0D0D0D"/>
          <w:sz w:val="24"/>
          <w:szCs w:val="24"/>
          <w:rtl/>
        </w:rPr>
        <w:t xml:space="preserve"> </w:t>
      </w:r>
    </w:p>
    <w:p w:rsidR="006E1BF5" w:rsidRPr="0062340E" w:rsidRDefault="00952DA4" w:rsidP="0062340E">
      <w:pPr>
        <w:tabs>
          <w:tab w:val="right" w:pos="281"/>
        </w:tabs>
        <w:bidi/>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 xml:space="preserve">حسب الاحصائيات فان </w:t>
      </w:r>
      <w:r w:rsidR="006E1BF5" w:rsidRPr="0062340E">
        <w:rPr>
          <w:rFonts w:ascii="Simplified Arabic" w:hAnsi="Simplified Arabic" w:cs="Simplified Arabic" w:hint="cs"/>
          <w:sz w:val="24"/>
          <w:szCs w:val="24"/>
          <w:rtl/>
          <w:lang w:val="en-US" w:bidi="ar-DZ"/>
        </w:rPr>
        <w:t>الوتيرة المتسارعة للنمو</w:t>
      </w:r>
      <w:r w:rsidR="006E1BF5" w:rsidRPr="0062340E">
        <w:rPr>
          <w:rFonts w:ascii="Simplified Arabic" w:hAnsi="Simplified Arabic" w:cs="Simplified Arabic"/>
          <w:sz w:val="24"/>
          <w:szCs w:val="24"/>
          <w:rtl/>
          <w:lang w:val="en-US" w:bidi="ar-DZ"/>
        </w:rPr>
        <w:t xml:space="preserve"> </w:t>
      </w:r>
      <w:r w:rsidR="006E1BF5" w:rsidRPr="0062340E">
        <w:rPr>
          <w:rFonts w:ascii="Simplified Arabic" w:hAnsi="Simplified Arabic" w:cs="Simplified Arabic" w:hint="cs"/>
          <w:sz w:val="24"/>
          <w:szCs w:val="24"/>
          <w:rtl/>
          <w:lang w:val="en-US" w:bidi="ar-DZ"/>
        </w:rPr>
        <w:t xml:space="preserve">الحضري </w:t>
      </w:r>
      <w:r w:rsidR="0022082E" w:rsidRPr="0062340E">
        <w:rPr>
          <w:rFonts w:ascii="Simplified Arabic" w:hAnsi="Simplified Arabic" w:cs="Simplified Arabic" w:hint="cs"/>
          <w:sz w:val="24"/>
          <w:szCs w:val="24"/>
          <w:rtl/>
          <w:lang w:val="en-US" w:bidi="ar-DZ"/>
        </w:rPr>
        <w:t xml:space="preserve">التي </w:t>
      </w:r>
      <w:r w:rsidR="0006264F" w:rsidRPr="0062340E">
        <w:rPr>
          <w:rFonts w:ascii="Simplified Arabic" w:hAnsi="Simplified Arabic" w:cs="Simplified Arabic" w:hint="cs"/>
          <w:sz w:val="24"/>
          <w:szCs w:val="24"/>
          <w:rtl/>
          <w:lang w:val="en-US" w:bidi="ar-DZ"/>
        </w:rPr>
        <w:t>ت</w:t>
      </w:r>
      <w:r w:rsidR="0022082E" w:rsidRPr="0062340E">
        <w:rPr>
          <w:rFonts w:ascii="Simplified Arabic" w:hAnsi="Simplified Arabic" w:cs="Simplified Arabic" w:hint="cs"/>
          <w:sz w:val="24"/>
          <w:szCs w:val="24"/>
          <w:rtl/>
          <w:lang w:val="en-US" w:bidi="ar-DZ"/>
        </w:rPr>
        <w:t xml:space="preserve">شهدها </w:t>
      </w:r>
      <w:r w:rsidR="0006264F" w:rsidRPr="0062340E">
        <w:rPr>
          <w:rFonts w:ascii="Simplified Arabic" w:hAnsi="Simplified Arabic" w:cs="Simplified Arabic" w:hint="cs"/>
          <w:sz w:val="24"/>
          <w:szCs w:val="24"/>
          <w:rtl/>
          <w:lang w:val="en-US" w:bidi="ar-DZ"/>
        </w:rPr>
        <w:t xml:space="preserve">مدن </w:t>
      </w:r>
      <w:r w:rsidR="0022082E" w:rsidRPr="0062340E">
        <w:rPr>
          <w:rFonts w:ascii="Simplified Arabic" w:hAnsi="Simplified Arabic" w:cs="Simplified Arabic" w:hint="cs"/>
          <w:sz w:val="24"/>
          <w:szCs w:val="24"/>
          <w:rtl/>
          <w:lang w:val="en-US" w:bidi="ar-DZ"/>
        </w:rPr>
        <w:t>العالم، من</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شأنه ان</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يُضاعف</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حجم المناطق</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الحضرية</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ثلاث</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مرات حجمها الحالي بحلول</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عام</w:t>
      </w:r>
      <w:r w:rsidR="0022082E" w:rsidRPr="0062340E">
        <w:rPr>
          <w:rFonts w:ascii="Simplified Arabic" w:hAnsi="Simplified Arabic" w:cs="Simplified Arabic"/>
          <w:sz w:val="24"/>
          <w:szCs w:val="24"/>
          <w:rtl/>
          <w:lang w:val="en-US" w:bidi="ar-DZ"/>
        </w:rPr>
        <w:t xml:space="preserve"> 2030</w:t>
      </w:r>
      <w:r w:rsidR="0022082E" w:rsidRPr="0062340E">
        <w:rPr>
          <w:rFonts w:asciiTheme="majorBidi" w:hAnsiTheme="majorBidi" w:cstheme="majorBidi" w:hint="cs"/>
          <w:sz w:val="24"/>
          <w:szCs w:val="24"/>
          <w:rtl/>
          <w:lang w:val="en-US"/>
        </w:rPr>
        <w:t xml:space="preserve"> </w:t>
      </w:r>
      <w:r w:rsidR="0022082E" w:rsidRPr="0062340E">
        <w:rPr>
          <w:rFonts w:asciiTheme="majorBidi" w:hAnsiTheme="majorBidi" w:cstheme="majorBidi"/>
          <w:sz w:val="24"/>
          <w:szCs w:val="24"/>
        </w:rPr>
        <w:t>UN-Habitat, 2016b</w:t>
      </w:r>
      <w:r w:rsidR="0022082E" w:rsidRPr="0062340E">
        <w:rPr>
          <w:rFonts w:asciiTheme="majorBidi" w:hAnsiTheme="majorBidi" w:cstheme="majorBidi"/>
          <w:color w:val="0D0D0D"/>
          <w:sz w:val="24"/>
          <w:szCs w:val="24"/>
        </w:rPr>
        <w:t>)</w:t>
      </w:r>
      <w:r w:rsidR="0022082E" w:rsidRPr="0062340E">
        <w:rPr>
          <w:rFonts w:asciiTheme="majorBidi" w:hAnsiTheme="majorBidi" w:cstheme="majorBidi"/>
          <w:sz w:val="24"/>
          <w:szCs w:val="24"/>
          <w:rtl/>
        </w:rPr>
        <w:t>)</w:t>
      </w:r>
      <w:r w:rsidR="0022082E" w:rsidRPr="0062340E">
        <w:rPr>
          <w:rFonts w:ascii="Simplified Arabic" w:hAnsi="Simplified Arabic" w:cs="Simplified Arabic" w:hint="cs"/>
          <w:sz w:val="24"/>
          <w:szCs w:val="24"/>
          <w:rtl/>
          <w:lang w:val="en-US" w:bidi="ar-DZ"/>
        </w:rPr>
        <w:t>،</w:t>
      </w:r>
      <w:r w:rsidR="0022082E" w:rsidRPr="0062340E">
        <w:rPr>
          <w:rFonts w:asciiTheme="minorBidi" w:hAnsiTheme="minorBidi" w:cs="Arial" w:hint="cs"/>
          <w:sz w:val="24"/>
          <w:szCs w:val="24"/>
          <w:rtl/>
          <w:lang w:bidi="ar-DZ"/>
        </w:rPr>
        <w:t xml:space="preserve"> </w:t>
      </w:r>
      <w:r w:rsidR="0022082E" w:rsidRPr="0062340E">
        <w:rPr>
          <w:rFonts w:ascii="Simplified Arabic" w:hAnsi="Simplified Arabic" w:cs="Simplified Arabic" w:hint="cs"/>
          <w:sz w:val="24"/>
          <w:szCs w:val="24"/>
          <w:rtl/>
          <w:lang w:val="en-US" w:bidi="ar-DZ"/>
        </w:rPr>
        <w:t>بينما يعيش أكثر</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من</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60</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من</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سكان</w:t>
      </w:r>
      <w:r w:rsidR="0022082E" w:rsidRPr="0062340E">
        <w:rPr>
          <w:rFonts w:ascii="Simplified Arabic" w:hAnsi="Simplified Arabic" w:cs="Simplified Arabic"/>
          <w:sz w:val="24"/>
          <w:szCs w:val="24"/>
          <w:rtl/>
          <w:lang w:val="en-US" w:bidi="ar-DZ"/>
        </w:rPr>
        <w:t xml:space="preserve"> </w:t>
      </w:r>
      <w:r w:rsidR="00FB19FB" w:rsidRPr="0062340E">
        <w:rPr>
          <w:rFonts w:ascii="Simplified Arabic" w:hAnsi="Simplified Arabic" w:cs="Simplified Arabic" w:hint="cs"/>
          <w:sz w:val="24"/>
          <w:szCs w:val="24"/>
          <w:rtl/>
          <w:lang w:val="en-US" w:bidi="ar-DZ"/>
        </w:rPr>
        <w:t xml:space="preserve">العالم </w:t>
      </w:r>
      <w:r w:rsidR="0022082E" w:rsidRPr="0062340E">
        <w:rPr>
          <w:rFonts w:ascii="Simplified Arabic" w:hAnsi="Simplified Arabic" w:cs="Simplified Arabic" w:hint="cs"/>
          <w:sz w:val="24"/>
          <w:szCs w:val="24"/>
          <w:rtl/>
          <w:lang w:val="en-US" w:bidi="ar-DZ"/>
        </w:rPr>
        <w:t>في</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المناطق الحضرية</w:t>
      </w:r>
      <w:r w:rsidR="0022082E" w:rsidRPr="0062340E">
        <w:rPr>
          <w:rFonts w:ascii="Simplified Arabic" w:hAnsi="Simplified Arabic" w:cs="Simplified Arabic"/>
          <w:sz w:val="24"/>
          <w:szCs w:val="24"/>
          <w:rtl/>
          <w:lang w:val="en-US" w:bidi="ar-DZ"/>
        </w:rPr>
        <w:t xml:space="preserve"> </w:t>
      </w:r>
      <w:r w:rsidR="0022082E" w:rsidRPr="0062340E">
        <w:rPr>
          <w:rFonts w:asciiTheme="majorBidi" w:hAnsiTheme="majorBidi" w:cstheme="majorBidi"/>
          <w:sz w:val="24"/>
          <w:szCs w:val="24"/>
          <w:rtl/>
        </w:rPr>
        <w:t>(</w:t>
      </w:r>
      <w:r w:rsidR="0022082E" w:rsidRPr="0062340E">
        <w:rPr>
          <w:rFonts w:asciiTheme="majorBidi" w:hAnsiTheme="majorBidi" w:cstheme="majorBidi"/>
          <w:sz w:val="24"/>
          <w:szCs w:val="24"/>
        </w:rPr>
        <w:t>UN, 2014</w:t>
      </w:r>
      <w:r w:rsidR="0022082E" w:rsidRPr="0062340E">
        <w:rPr>
          <w:rFonts w:asciiTheme="majorBidi" w:hAnsiTheme="majorBidi" w:cstheme="majorBidi"/>
          <w:sz w:val="24"/>
          <w:szCs w:val="24"/>
          <w:rtl/>
        </w:rPr>
        <w:t>)</w:t>
      </w:r>
      <w:r w:rsidR="0022082E" w:rsidRPr="0062340E">
        <w:rPr>
          <w:rFonts w:ascii="Simplified Arabic" w:hAnsi="Simplified Arabic" w:cs="Simplified Arabic" w:hint="cs"/>
          <w:sz w:val="24"/>
          <w:szCs w:val="24"/>
          <w:rtl/>
          <w:lang w:val="en-US" w:bidi="ar-DZ"/>
        </w:rPr>
        <w:t>،</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يُنتظر</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أن</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يقفز</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هذا</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الرقم</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إلى</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حوالي</w:t>
      </w:r>
      <w:r w:rsidR="0022082E" w:rsidRPr="0062340E">
        <w:rPr>
          <w:rFonts w:ascii="Simplified Arabic" w:hAnsi="Simplified Arabic" w:cs="Simplified Arabic"/>
          <w:sz w:val="24"/>
          <w:szCs w:val="24"/>
          <w:rtl/>
          <w:lang w:val="en-US" w:bidi="ar-DZ"/>
        </w:rPr>
        <w:t xml:space="preserve"> 70٪ </w:t>
      </w:r>
      <w:r w:rsidR="0022082E" w:rsidRPr="0062340E">
        <w:rPr>
          <w:rFonts w:ascii="Simplified Arabic" w:hAnsi="Simplified Arabic" w:cs="Simplified Arabic" w:hint="cs"/>
          <w:sz w:val="24"/>
          <w:szCs w:val="24"/>
          <w:rtl/>
          <w:lang w:val="en-US" w:bidi="ar-DZ"/>
        </w:rPr>
        <w:t>بحلول</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عام</w:t>
      </w:r>
      <w:r w:rsidR="0022082E" w:rsidRPr="0062340E">
        <w:rPr>
          <w:rFonts w:ascii="Simplified Arabic" w:hAnsi="Simplified Arabic" w:cs="Simplified Arabic"/>
          <w:sz w:val="24"/>
          <w:szCs w:val="24"/>
          <w:rtl/>
          <w:lang w:val="en-US" w:bidi="ar-DZ"/>
        </w:rPr>
        <w:t xml:space="preserve"> 2050</w:t>
      </w:r>
      <w:r w:rsidR="0022082E" w:rsidRPr="0062340E">
        <w:rPr>
          <w:rFonts w:asciiTheme="majorBidi" w:hAnsiTheme="majorBidi" w:cstheme="majorBidi"/>
          <w:sz w:val="24"/>
          <w:szCs w:val="24"/>
          <w:rtl/>
          <w:lang w:val="en-US"/>
        </w:rPr>
        <w:t xml:space="preserve"> (</w:t>
      </w:r>
      <w:r w:rsidR="0022082E" w:rsidRPr="0062340E">
        <w:rPr>
          <w:rFonts w:asciiTheme="majorBidi" w:hAnsiTheme="majorBidi" w:cstheme="majorBidi"/>
          <w:sz w:val="24"/>
          <w:szCs w:val="24"/>
        </w:rPr>
        <w:t>Komeily</w:t>
      </w:r>
      <w:r w:rsidR="0022082E" w:rsidRPr="0062340E">
        <w:rPr>
          <w:rFonts w:asciiTheme="majorBidi" w:hAnsiTheme="majorBidi" w:cstheme="majorBidi"/>
          <w:sz w:val="24"/>
          <w:szCs w:val="24"/>
          <w:lang w:val="en-US"/>
        </w:rPr>
        <w:t xml:space="preserve"> and Srinivasan</w:t>
      </w:r>
      <w:r w:rsidR="000C7020" w:rsidRPr="0062340E">
        <w:rPr>
          <w:rFonts w:asciiTheme="majorBidi" w:hAnsiTheme="majorBidi" w:cstheme="majorBidi"/>
          <w:sz w:val="24"/>
          <w:szCs w:val="24"/>
          <w:lang w:val="en-US"/>
        </w:rPr>
        <w:t>,</w:t>
      </w:r>
      <w:r w:rsidR="0022082E" w:rsidRPr="0062340E">
        <w:rPr>
          <w:rFonts w:asciiTheme="majorBidi" w:hAnsiTheme="majorBidi" w:cstheme="majorBidi"/>
          <w:sz w:val="24"/>
          <w:szCs w:val="24"/>
          <w:lang w:val="en-US"/>
        </w:rPr>
        <w:t xml:space="preserve"> 2015</w:t>
      </w:r>
      <w:r w:rsidR="0022082E" w:rsidRPr="0062340E">
        <w:rPr>
          <w:rFonts w:asciiTheme="majorBidi" w:hAnsiTheme="majorBidi" w:cstheme="majorBidi"/>
          <w:sz w:val="24"/>
          <w:szCs w:val="24"/>
          <w:rtl/>
          <w:lang w:val="en-US"/>
        </w:rPr>
        <w:t>)</w:t>
      </w:r>
      <w:r w:rsidR="0022082E" w:rsidRPr="0062340E">
        <w:rPr>
          <w:rFonts w:ascii="Simplified Arabic" w:hAnsi="Simplified Arabic" w:cs="Simplified Arabic" w:hint="cs"/>
          <w:sz w:val="24"/>
          <w:szCs w:val="24"/>
          <w:rtl/>
          <w:lang w:val="en-US" w:bidi="ar-DZ"/>
        </w:rPr>
        <w:t>.</w:t>
      </w:r>
      <w:r w:rsidR="00A52C1D" w:rsidRPr="0062340E">
        <w:rPr>
          <w:rFonts w:ascii="Simplified Arabic" w:hAnsi="Simplified Arabic" w:cs="Simplified Arabic" w:hint="cs"/>
          <w:sz w:val="24"/>
          <w:szCs w:val="24"/>
          <w:rtl/>
          <w:lang w:val="en-US" w:bidi="ar-DZ"/>
        </w:rPr>
        <w:t xml:space="preserve"> </w:t>
      </w:r>
      <w:r w:rsidR="00A33DCA" w:rsidRPr="0062340E">
        <w:rPr>
          <w:rFonts w:ascii="Simplified Arabic" w:hAnsi="Simplified Arabic" w:cs="Simplified Arabic" w:hint="cs"/>
          <w:sz w:val="24"/>
          <w:szCs w:val="24"/>
          <w:rtl/>
          <w:lang w:val="en-US" w:bidi="ar-DZ"/>
        </w:rPr>
        <w:t xml:space="preserve">ادت </w:t>
      </w:r>
      <w:r w:rsidR="006E1BF5" w:rsidRPr="0062340E">
        <w:rPr>
          <w:rFonts w:ascii="Simplified Arabic" w:hAnsi="Simplified Arabic" w:cs="Simplified Arabic" w:hint="cs"/>
          <w:sz w:val="24"/>
          <w:szCs w:val="24"/>
          <w:rtl/>
          <w:lang w:val="en-US" w:bidi="ar-DZ"/>
        </w:rPr>
        <w:t xml:space="preserve">هذه </w:t>
      </w:r>
      <w:r w:rsidR="00A33DCA" w:rsidRPr="0062340E">
        <w:rPr>
          <w:rFonts w:ascii="Simplified Arabic" w:hAnsi="Simplified Arabic" w:cs="Simplified Arabic" w:hint="cs"/>
          <w:sz w:val="24"/>
          <w:szCs w:val="24"/>
          <w:rtl/>
          <w:lang w:val="en-US" w:bidi="ar-DZ"/>
        </w:rPr>
        <w:t xml:space="preserve">الوتيرة المتسارعة </w:t>
      </w:r>
      <w:r w:rsidR="00C66A42" w:rsidRPr="0062340E">
        <w:rPr>
          <w:rFonts w:ascii="Simplified Arabic" w:hAnsi="Simplified Arabic" w:cs="Simplified Arabic" w:hint="cs"/>
          <w:sz w:val="24"/>
          <w:szCs w:val="24"/>
          <w:rtl/>
          <w:lang w:val="en-US" w:bidi="ar-DZ"/>
        </w:rPr>
        <w:t xml:space="preserve">الى تراكم جملة من المشاكل التي تعاني منها معظم </w:t>
      </w:r>
      <w:r w:rsidRPr="0062340E">
        <w:rPr>
          <w:rFonts w:ascii="Simplified Arabic" w:hAnsi="Simplified Arabic" w:cs="Simplified Arabic" w:hint="cs"/>
          <w:sz w:val="24"/>
          <w:szCs w:val="24"/>
          <w:rtl/>
          <w:lang w:val="en-US" w:bidi="ar-DZ"/>
        </w:rPr>
        <w:t>مدن العالم عامة والجزائر خاصة</w:t>
      </w:r>
      <w:r w:rsidR="00C66A42" w:rsidRPr="0062340E">
        <w:rPr>
          <w:rFonts w:ascii="Simplified Arabic" w:hAnsi="Simplified Arabic" w:cs="Simplified Arabic" w:hint="cs"/>
          <w:sz w:val="24"/>
          <w:szCs w:val="24"/>
          <w:rtl/>
          <w:lang w:val="en-US" w:bidi="ar-DZ"/>
        </w:rPr>
        <w:t xml:space="preserve">، من بينها </w:t>
      </w:r>
      <w:r w:rsidR="00655025" w:rsidRPr="0062340E">
        <w:rPr>
          <w:rFonts w:ascii="Simplified Arabic" w:hAnsi="Simplified Arabic" w:cs="Simplified Arabic" w:hint="cs"/>
          <w:sz w:val="24"/>
          <w:szCs w:val="24"/>
          <w:rtl/>
          <w:lang w:val="en-US" w:bidi="ar-DZ"/>
        </w:rPr>
        <w:t>الاضطرابات</w:t>
      </w:r>
      <w:r w:rsidR="00655025" w:rsidRPr="0062340E">
        <w:rPr>
          <w:rFonts w:ascii="Simplified Arabic" w:hAnsi="Simplified Arabic" w:cs="Simplified Arabic"/>
          <w:sz w:val="24"/>
          <w:szCs w:val="24"/>
          <w:rtl/>
          <w:lang w:val="en-US" w:bidi="ar-DZ"/>
        </w:rPr>
        <w:t xml:space="preserve"> </w:t>
      </w:r>
      <w:r w:rsidR="00655025" w:rsidRPr="0062340E">
        <w:rPr>
          <w:rFonts w:ascii="Simplified Arabic" w:hAnsi="Simplified Arabic" w:cs="Simplified Arabic" w:hint="cs"/>
          <w:sz w:val="24"/>
          <w:szCs w:val="24"/>
          <w:rtl/>
          <w:lang w:val="en-US" w:bidi="ar-DZ"/>
        </w:rPr>
        <w:t>المحتملة</w:t>
      </w:r>
      <w:r w:rsidR="00655025" w:rsidRPr="0062340E">
        <w:rPr>
          <w:rFonts w:ascii="Simplified Arabic" w:hAnsi="Simplified Arabic" w:cs="Simplified Arabic"/>
          <w:sz w:val="24"/>
          <w:szCs w:val="24"/>
          <w:rtl/>
          <w:lang w:val="en-US" w:bidi="ar-DZ"/>
        </w:rPr>
        <w:t xml:space="preserve"> </w:t>
      </w:r>
      <w:r w:rsidR="00655025" w:rsidRPr="0062340E">
        <w:rPr>
          <w:rFonts w:ascii="Simplified Arabic" w:hAnsi="Simplified Arabic" w:cs="Simplified Arabic" w:hint="cs"/>
          <w:sz w:val="24"/>
          <w:szCs w:val="24"/>
          <w:rtl/>
          <w:lang w:val="en-US" w:bidi="ar-DZ"/>
        </w:rPr>
        <w:t>للنظم</w:t>
      </w:r>
      <w:r w:rsidR="00655025" w:rsidRPr="0062340E">
        <w:rPr>
          <w:rFonts w:ascii="Simplified Arabic" w:hAnsi="Simplified Arabic" w:cs="Simplified Arabic"/>
          <w:sz w:val="24"/>
          <w:szCs w:val="24"/>
          <w:rtl/>
          <w:lang w:val="en-US" w:bidi="ar-DZ"/>
        </w:rPr>
        <w:t xml:space="preserve"> </w:t>
      </w:r>
      <w:r w:rsidR="00655025" w:rsidRPr="0062340E">
        <w:rPr>
          <w:rFonts w:ascii="Simplified Arabic" w:hAnsi="Simplified Arabic" w:cs="Simplified Arabic" w:hint="cs"/>
          <w:sz w:val="24"/>
          <w:szCs w:val="24"/>
          <w:rtl/>
          <w:lang w:val="en-US" w:bidi="ar-DZ"/>
        </w:rPr>
        <w:t>الحضرية</w:t>
      </w:r>
      <w:r w:rsidR="009C1C85" w:rsidRPr="0062340E">
        <w:rPr>
          <w:rFonts w:ascii="Simplified Arabic" w:hAnsi="Simplified Arabic" w:cs="Simplified Arabic" w:hint="cs"/>
          <w:sz w:val="24"/>
          <w:szCs w:val="24"/>
          <w:rtl/>
          <w:lang w:val="en-US" w:bidi="ar-DZ"/>
        </w:rPr>
        <w:t>.</w:t>
      </w:r>
      <w:r w:rsidR="00C03B00" w:rsidRPr="0062340E">
        <w:rPr>
          <w:rFonts w:ascii="Simplified Arabic" w:hAnsi="Simplified Arabic" w:cs="Simplified Arabic" w:hint="cs"/>
          <w:sz w:val="24"/>
          <w:szCs w:val="24"/>
          <w:rtl/>
          <w:lang w:val="en-US" w:bidi="ar-DZ"/>
        </w:rPr>
        <w:t xml:space="preserve"> </w:t>
      </w:r>
    </w:p>
    <w:p w:rsidR="00577622" w:rsidRPr="0062340E" w:rsidRDefault="00A52C1D" w:rsidP="0062340E">
      <w:pPr>
        <w:tabs>
          <w:tab w:val="right" w:pos="281"/>
        </w:tabs>
        <w:bidi/>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ترتبط</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هذه</w:t>
      </w:r>
      <w:r w:rsidRPr="0062340E">
        <w:rPr>
          <w:rFonts w:ascii="Simplified Arabic" w:hAnsi="Simplified Arabic" w:cs="Simplified Arabic"/>
          <w:sz w:val="24"/>
          <w:szCs w:val="24"/>
          <w:rtl/>
          <w:lang w:val="en-US" w:bidi="ar-DZ"/>
        </w:rPr>
        <w:t xml:space="preserve"> </w:t>
      </w:r>
      <w:r w:rsidR="00655025" w:rsidRPr="0062340E">
        <w:rPr>
          <w:rFonts w:ascii="Simplified Arabic" w:hAnsi="Simplified Arabic" w:cs="Simplified Arabic" w:hint="cs"/>
          <w:sz w:val="24"/>
          <w:szCs w:val="24"/>
          <w:rtl/>
          <w:lang w:val="en-US" w:bidi="ar-DZ"/>
        </w:rPr>
        <w:t>الاضطرابات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في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كثير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الأحيان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بممارسات</w:t>
      </w:r>
      <w:r w:rsidRPr="0062340E">
        <w:rPr>
          <w:rFonts w:ascii="Simplified Arabic" w:hAnsi="Simplified Arabic" w:cs="Simplified Arabic"/>
          <w:sz w:val="24"/>
          <w:szCs w:val="24"/>
          <w:rtl/>
          <w:lang w:val="en-US" w:bidi="ar-DZ"/>
        </w:rPr>
        <w:t xml:space="preserve"> </w:t>
      </w:r>
      <w:r w:rsidR="00601146" w:rsidRPr="0062340E">
        <w:rPr>
          <w:rFonts w:ascii="Simplified Arabic" w:hAnsi="Simplified Arabic" w:cs="Simplified Arabic" w:hint="cs"/>
          <w:sz w:val="24"/>
          <w:szCs w:val="24"/>
          <w:rtl/>
          <w:lang w:val="en-US" w:bidi="ar-DZ"/>
        </w:rPr>
        <w:t>استعمال</w:t>
      </w:r>
      <w:r w:rsidR="00540199" w:rsidRPr="0062340E">
        <w:rPr>
          <w:rFonts w:ascii="Simplified Arabic" w:hAnsi="Simplified Arabic" w:cs="Simplified Arabic" w:hint="cs"/>
          <w:sz w:val="24"/>
          <w:szCs w:val="24"/>
          <w:rtl/>
          <w:lang w:val="en-US" w:bidi="ar-DZ"/>
        </w:rPr>
        <w:t xml:space="preserve"> الارض الحضرية </w:t>
      </w:r>
      <w:r w:rsidRPr="0062340E">
        <w:rPr>
          <w:rFonts w:ascii="Simplified Arabic" w:hAnsi="Simplified Arabic" w:cs="Simplified Arabic" w:hint="cs"/>
          <w:sz w:val="24"/>
          <w:szCs w:val="24"/>
          <w:rtl/>
          <w:lang w:val="en-US" w:bidi="ar-DZ"/>
        </w:rPr>
        <w:t>غير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الملائمة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التي</w:t>
      </w:r>
      <w:r w:rsidRPr="0062340E">
        <w:rPr>
          <w:rFonts w:ascii="Simplified Arabic" w:hAnsi="Simplified Arabic" w:cs="Simplified Arabic"/>
          <w:sz w:val="24"/>
          <w:szCs w:val="24"/>
          <w:rtl/>
          <w:lang w:val="en-US" w:bidi="ar-DZ"/>
        </w:rPr>
        <w:t xml:space="preserve"> </w:t>
      </w:r>
      <w:r w:rsidR="0006264F" w:rsidRPr="0062340E">
        <w:rPr>
          <w:rFonts w:ascii="Simplified Arabic" w:hAnsi="Simplified Arabic" w:cs="Simplified Arabic" w:hint="cs"/>
          <w:sz w:val="24"/>
          <w:szCs w:val="24"/>
          <w:rtl/>
          <w:lang w:val="en-US" w:bidi="ar-DZ"/>
        </w:rPr>
        <w:t>انشأت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بيئات</w:t>
      </w:r>
      <w:r w:rsidRPr="0062340E">
        <w:rPr>
          <w:rFonts w:ascii="Simplified Arabic" w:hAnsi="Simplified Arabic" w:cs="Simplified Arabic"/>
          <w:sz w:val="24"/>
          <w:szCs w:val="24"/>
          <w:rtl/>
          <w:lang w:val="en-US" w:bidi="ar-DZ"/>
        </w:rPr>
        <w:t xml:space="preserve"> </w:t>
      </w:r>
      <w:r w:rsidR="006E1BF5" w:rsidRPr="0062340E">
        <w:rPr>
          <w:rFonts w:ascii="Simplified Arabic" w:hAnsi="Simplified Arabic" w:cs="Simplified Arabic" w:hint="cs"/>
          <w:sz w:val="24"/>
          <w:szCs w:val="24"/>
          <w:rtl/>
          <w:lang w:val="en-US" w:bidi="ar-DZ"/>
        </w:rPr>
        <w:t>حضرية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معرضة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بشكل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متزايد</w:t>
      </w:r>
      <w:r w:rsidR="00BA6458" w:rsidRPr="0062340E">
        <w:rPr>
          <w:rFonts w:ascii="Simplified Arabic" w:hAnsi="Simplified Arabic" w:cs="Simplified Arabic" w:hint="cs"/>
          <w:sz w:val="24"/>
          <w:szCs w:val="24"/>
          <w:rtl/>
          <w:lang w:val="en-US" w:bidi="ar-DZ"/>
        </w:rPr>
        <w:t xml:space="preserve"> </w:t>
      </w:r>
      <w:r w:rsidRPr="0062340E">
        <w:rPr>
          <w:rFonts w:ascii="Simplified Arabic" w:hAnsi="Simplified Arabic" w:cs="Simplified Arabic" w:hint="cs"/>
          <w:sz w:val="24"/>
          <w:szCs w:val="24"/>
          <w:rtl/>
          <w:lang w:val="en-US" w:bidi="ar-DZ"/>
        </w:rPr>
        <w:t>إلى</w:t>
      </w:r>
      <w:r w:rsidRPr="0062340E">
        <w:rPr>
          <w:rFonts w:ascii="Simplified Arabic" w:hAnsi="Simplified Arabic" w:cs="Simplified Arabic"/>
          <w:sz w:val="24"/>
          <w:szCs w:val="24"/>
          <w:rtl/>
          <w:lang w:val="en-US" w:bidi="ar-DZ"/>
        </w:rPr>
        <w:t xml:space="preserve"> </w:t>
      </w:r>
      <w:r w:rsidR="00DB245E" w:rsidRPr="0062340E">
        <w:rPr>
          <w:rFonts w:ascii="Simplified Arabic" w:hAnsi="Simplified Arabic" w:cs="Simplified Arabic" w:hint="cs"/>
          <w:sz w:val="24"/>
          <w:szCs w:val="24"/>
          <w:rtl/>
          <w:lang w:val="en-US" w:bidi="ar-DZ"/>
        </w:rPr>
        <w:t>مختلف انواع ال</w:t>
      </w:r>
      <w:r w:rsidRPr="0062340E">
        <w:rPr>
          <w:rFonts w:ascii="Simplified Arabic" w:hAnsi="Simplified Arabic" w:cs="Simplified Arabic" w:hint="cs"/>
          <w:sz w:val="24"/>
          <w:szCs w:val="24"/>
          <w:rtl/>
          <w:lang w:val="en-US" w:bidi="ar-DZ"/>
        </w:rPr>
        <w:t>مخاطر</w:t>
      </w:r>
      <w:r w:rsidRPr="0062340E">
        <w:rPr>
          <w:rFonts w:ascii="Simplified Arabic" w:hAnsi="Simplified Arabic" w:cs="Simplified Arabic"/>
          <w:sz w:val="24"/>
          <w:szCs w:val="24"/>
          <w:rtl/>
          <w:lang w:val="en-US" w:bidi="ar-DZ"/>
        </w:rPr>
        <w:t xml:space="preserve"> </w:t>
      </w:r>
      <w:r w:rsidR="00DB245E" w:rsidRPr="0062340E">
        <w:rPr>
          <w:rFonts w:ascii="Simplified Arabic" w:hAnsi="Simplified Arabic" w:cs="Simplified Arabic" w:hint="cs"/>
          <w:sz w:val="24"/>
          <w:szCs w:val="24"/>
          <w:rtl/>
          <w:lang w:val="en-US" w:bidi="ar-DZ"/>
        </w:rPr>
        <w:t>الطبيعية</w:t>
      </w:r>
      <w:r w:rsidRPr="0062340E">
        <w:rPr>
          <w:rFonts w:ascii="Simplified Arabic" w:hAnsi="Simplified Arabic" w:cs="Simplified Arabic"/>
          <w:sz w:val="24"/>
          <w:szCs w:val="24"/>
          <w:rtl/>
          <w:lang w:val="en-US" w:bidi="ar-DZ"/>
        </w:rPr>
        <w:t>.</w:t>
      </w:r>
      <w:r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يرى (</w:t>
      </w:r>
      <w:r w:rsidR="00EB517D" w:rsidRPr="0062340E">
        <w:rPr>
          <w:rFonts w:ascii="Simplified Arabic" w:eastAsia="Times New Roman" w:hAnsi="Simplified Arabic" w:cs="Simplified Arabic" w:hint="cs"/>
          <w:color w:val="000000"/>
          <w:sz w:val="24"/>
          <w:szCs w:val="24"/>
          <w:rtl/>
          <w:lang w:eastAsia="fr-FR"/>
        </w:rPr>
        <w:t>الدليمي خلف حسين</w:t>
      </w:r>
      <w:r w:rsidR="00B74595" w:rsidRPr="0062340E">
        <w:rPr>
          <w:rFonts w:ascii="Simplified Arabic" w:eastAsia="Times New Roman" w:hAnsi="Simplified Arabic" w:cs="Simplified Arabic" w:hint="cs"/>
          <w:color w:val="000000"/>
          <w:sz w:val="24"/>
          <w:szCs w:val="24"/>
          <w:rtl/>
          <w:lang w:eastAsia="fr-FR"/>
        </w:rPr>
        <w:t xml:space="preserve"> </w:t>
      </w:r>
      <w:r w:rsidR="00EB517D" w:rsidRPr="0062340E">
        <w:rPr>
          <w:rFonts w:ascii="Simplified Arabic" w:eastAsia="Times New Roman" w:hAnsi="Simplified Arabic" w:cs="Simplified Arabic" w:hint="cs"/>
          <w:color w:val="000000"/>
          <w:sz w:val="24"/>
          <w:szCs w:val="24"/>
          <w:rtl/>
          <w:lang w:eastAsia="fr-FR"/>
        </w:rPr>
        <w:t>علي</w:t>
      </w:r>
      <w:r w:rsidR="00655025" w:rsidRPr="0062340E">
        <w:rPr>
          <w:rFonts w:ascii="Simplified Arabic" w:hAnsi="Simplified Arabic" w:cs="Simplified Arabic" w:hint="cs"/>
          <w:sz w:val="24"/>
          <w:szCs w:val="24"/>
          <w:rtl/>
          <w:lang w:val="en-US" w:bidi="ar-DZ"/>
        </w:rPr>
        <w:t>، 2015) ان سبب</w:t>
      </w:r>
      <w:r w:rsidR="00B74595" w:rsidRPr="0062340E">
        <w:rPr>
          <w:rFonts w:ascii="Simplified Arabic" w:hAnsi="Simplified Arabic" w:cs="Simplified Arabic" w:hint="cs"/>
          <w:sz w:val="24"/>
          <w:szCs w:val="24"/>
          <w:rtl/>
          <w:lang w:val="en-US" w:bidi="ar-DZ"/>
        </w:rPr>
        <w:t xml:space="preserve"> </w:t>
      </w:r>
      <w:r w:rsidR="00DB245E" w:rsidRPr="0062340E">
        <w:rPr>
          <w:rFonts w:ascii="Simplified Arabic" w:hAnsi="Simplified Arabic" w:cs="Simplified Arabic" w:hint="cs"/>
          <w:sz w:val="24"/>
          <w:szCs w:val="24"/>
          <w:rtl/>
          <w:lang w:val="en-US" w:bidi="ar-DZ"/>
        </w:rPr>
        <w:t>الاضطرابات</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تعود</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الى</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ممارس</w:t>
      </w:r>
      <w:r w:rsidR="006E1BF5" w:rsidRPr="0062340E">
        <w:rPr>
          <w:rFonts w:ascii="Simplified Arabic" w:hAnsi="Simplified Arabic" w:cs="Simplified Arabic" w:hint="cs"/>
          <w:sz w:val="24"/>
          <w:szCs w:val="24"/>
          <w:rtl/>
          <w:lang w:val="en-US" w:bidi="ar-DZ"/>
        </w:rPr>
        <w:t>ة تخطيط استعمال الارض الحضرية</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من</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قبل</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أشخاص</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محدودي</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الخبرة</w:t>
      </w:r>
      <w:r w:rsidR="00B74595" w:rsidRPr="0062340E">
        <w:rPr>
          <w:rFonts w:ascii="Simplified Arabic" w:hAnsi="Simplified Arabic" w:cs="Simplified Arabic" w:hint="cs"/>
          <w:sz w:val="24"/>
          <w:szCs w:val="24"/>
          <w:rtl/>
          <w:lang w:val="en-US" w:bidi="ar-DZ"/>
        </w:rPr>
        <w:t xml:space="preserve"> </w:t>
      </w:r>
      <w:r w:rsidR="00655025" w:rsidRPr="0062340E">
        <w:rPr>
          <w:rFonts w:ascii="Simplified Arabic" w:hAnsi="Simplified Arabic" w:cs="Simplified Arabic" w:hint="cs"/>
          <w:sz w:val="24"/>
          <w:szCs w:val="24"/>
          <w:rtl/>
          <w:lang w:val="en-US" w:bidi="ar-DZ"/>
        </w:rPr>
        <w:t>والكفاءة</w:t>
      </w:r>
      <w:r w:rsidR="006039EE" w:rsidRPr="0062340E">
        <w:rPr>
          <w:rFonts w:ascii="Simplified Arabic" w:hAnsi="Simplified Arabic" w:cs="Simplified Arabic" w:hint="cs"/>
          <w:sz w:val="24"/>
          <w:szCs w:val="24"/>
          <w:rtl/>
          <w:lang w:val="en-US" w:bidi="ar-DZ"/>
        </w:rPr>
        <w:t xml:space="preserve"> و</w:t>
      </w:r>
      <w:r w:rsidR="00DE50D1" w:rsidRPr="0062340E">
        <w:rPr>
          <w:rFonts w:ascii="Simplified Arabic" w:hAnsi="Simplified Arabic" w:cs="Simplified Arabic" w:hint="cs"/>
          <w:sz w:val="24"/>
          <w:szCs w:val="24"/>
          <w:rtl/>
          <w:lang w:val="en-US" w:bidi="ar-DZ"/>
        </w:rPr>
        <w:t>في بعض الاحيان</w:t>
      </w:r>
      <w:r w:rsidR="009C1C85" w:rsidRPr="0062340E">
        <w:rPr>
          <w:rFonts w:ascii="Simplified Arabic" w:hAnsi="Simplified Arabic" w:cs="Simplified Arabic" w:hint="cs"/>
          <w:sz w:val="24"/>
          <w:szCs w:val="24"/>
          <w:rtl/>
          <w:lang w:val="en-US" w:bidi="ar-DZ"/>
        </w:rPr>
        <w:t xml:space="preserve">، تعود </w:t>
      </w:r>
      <w:r w:rsidR="00C03B00" w:rsidRPr="0062340E">
        <w:rPr>
          <w:rFonts w:ascii="Simplified Arabic" w:hAnsi="Simplified Arabic" w:cs="Simplified Arabic" w:hint="cs"/>
          <w:sz w:val="24"/>
          <w:szCs w:val="24"/>
          <w:rtl/>
          <w:lang w:val="en-US" w:bidi="ar-DZ"/>
        </w:rPr>
        <w:t xml:space="preserve">الى التوسعات العشوائية غير المخططة. </w:t>
      </w:r>
    </w:p>
    <w:p w:rsidR="0022082E" w:rsidRPr="0062340E" w:rsidRDefault="0022082E" w:rsidP="00A71AB0">
      <w:pPr>
        <w:tabs>
          <w:tab w:val="right" w:pos="281"/>
        </w:tabs>
        <w:bidi/>
        <w:spacing w:before="240" w:after="0"/>
        <w:ind w:firstLine="282"/>
        <w:jc w:val="both"/>
        <w:rPr>
          <w:rFonts w:asciiTheme="minorBidi" w:hAnsiTheme="minorBidi"/>
          <w:sz w:val="24"/>
          <w:szCs w:val="24"/>
          <w:rtl/>
          <w:lang w:bidi="ar-DZ"/>
        </w:rPr>
      </w:pPr>
      <w:r w:rsidRPr="0062340E">
        <w:rPr>
          <w:rFonts w:ascii="Simplified Arabic" w:hAnsi="Simplified Arabic" w:cs="Simplified Arabic"/>
          <w:sz w:val="24"/>
          <w:szCs w:val="24"/>
          <w:rtl/>
          <w:lang w:val="en-US" w:bidi="ar-DZ"/>
        </w:rPr>
        <w:t>لقد</w:t>
      </w:r>
      <w:r w:rsidRPr="0062340E">
        <w:rPr>
          <w:rFonts w:ascii="Simplified Arabic" w:hAnsi="Simplified Arabic" w:cs="Simplified Arabic"/>
          <w:sz w:val="24"/>
          <w:szCs w:val="24"/>
          <w:rtl/>
          <w:lang w:bidi="ar-DZ"/>
        </w:rPr>
        <w:t xml:space="preserve"> شهد تسيير المخاطر </w:t>
      </w:r>
      <w:r w:rsidR="006E1BF5" w:rsidRPr="0062340E">
        <w:rPr>
          <w:rFonts w:ascii="Simplified Arabic" w:hAnsi="Simplified Arabic" w:cs="Simplified Arabic" w:hint="cs"/>
          <w:sz w:val="24"/>
          <w:szCs w:val="24"/>
          <w:rtl/>
          <w:lang w:bidi="ar-DZ"/>
        </w:rPr>
        <w:t xml:space="preserve">الطبيعية </w:t>
      </w:r>
      <w:r w:rsidRPr="0062340E">
        <w:rPr>
          <w:rFonts w:ascii="Simplified Arabic" w:hAnsi="Simplified Arabic" w:cs="Simplified Arabic"/>
          <w:sz w:val="24"/>
          <w:szCs w:val="24"/>
          <w:rtl/>
          <w:lang w:bidi="ar-DZ"/>
        </w:rPr>
        <w:t>تحولات مرحلية، مع تبني عدة مفاهيم واستراتيجيات. رغم ذلك، فإن فوائد هذه التحولات ظهرت غير كافية، حيث ثبت أن الحماية والتقليل من ال</w:t>
      </w:r>
      <w:r w:rsidR="004619D0" w:rsidRPr="0062340E">
        <w:rPr>
          <w:rFonts w:ascii="Simplified Arabic" w:hAnsi="Simplified Arabic" w:cs="Simplified Arabic" w:hint="cs"/>
          <w:sz w:val="24"/>
          <w:szCs w:val="24"/>
          <w:rtl/>
          <w:lang w:bidi="ar-DZ"/>
        </w:rPr>
        <w:t>ضعف</w:t>
      </w:r>
      <w:r w:rsidRPr="0062340E">
        <w:rPr>
          <w:rFonts w:ascii="Simplified Arabic" w:hAnsi="Simplified Arabic" w:cs="Simplified Arabic"/>
          <w:sz w:val="24"/>
          <w:szCs w:val="24"/>
          <w:rtl/>
          <w:lang w:bidi="ar-DZ"/>
        </w:rPr>
        <w:t xml:space="preserve"> </w:t>
      </w:r>
      <w:r w:rsidR="009F0FE8" w:rsidRPr="0062340E">
        <w:rPr>
          <w:rFonts w:asciiTheme="majorBidi" w:hAnsiTheme="majorBidi" w:cstheme="majorBidi"/>
          <w:sz w:val="24"/>
          <w:szCs w:val="24"/>
          <w:lang w:bidi="ar-DZ"/>
        </w:rPr>
        <w:t>(</w:t>
      </w:r>
      <w:r w:rsidR="009F0FE8" w:rsidRPr="0062340E">
        <w:rPr>
          <w:rFonts w:asciiTheme="majorBidi" w:hAnsiTheme="majorBidi" w:cstheme="majorBidi"/>
          <w:sz w:val="24"/>
          <w:szCs w:val="24"/>
          <w:lang w:val="en-US" w:bidi="ar-DZ"/>
        </w:rPr>
        <w:t>Vulnerability</w:t>
      </w:r>
      <w:r w:rsidR="009F0FE8" w:rsidRPr="0062340E">
        <w:rPr>
          <w:rFonts w:asciiTheme="majorBidi" w:hAnsiTheme="majorBidi" w:cstheme="majorBidi"/>
          <w:sz w:val="24"/>
          <w:szCs w:val="24"/>
          <w:lang w:bidi="ar-DZ"/>
        </w:rPr>
        <w:t>)</w:t>
      </w:r>
      <w:r w:rsidR="009F0FE8"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sz w:val="24"/>
          <w:szCs w:val="24"/>
          <w:rtl/>
          <w:lang w:bidi="ar-DZ"/>
        </w:rPr>
        <w:t>تفتقد الى الفعالية، كما انها ليست ممكنة تقنيًا ولا هي مجدية اقتصاديًا</w:t>
      </w:r>
      <w:r w:rsidRPr="0062340E">
        <w:rPr>
          <w:rFonts w:asciiTheme="minorBidi" w:hAnsiTheme="minorBidi"/>
          <w:sz w:val="24"/>
          <w:szCs w:val="24"/>
          <w:rtl/>
          <w:lang w:bidi="ar-DZ"/>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lang w:val="en-US"/>
        </w:rPr>
        <w:t>Godschalk</w:t>
      </w:r>
      <w:r w:rsidRPr="0062340E">
        <w:rPr>
          <w:rFonts w:asciiTheme="majorBidi" w:hAnsiTheme="majorBidi" w:cstheme="majorBidi"/>
          <w:sz w:val="24"/>
          <w:szCs w:val="24"/>
        </w:rPr>
        <w:t>, 2003</w:t>
      </w:r>
      <w:r w:rsidRPr="0062340E">
        <w:rPr>
          <w:rFonts w:asciiTheme="majorBidi" w:hAnsiTheme="majorBidi" w:cstheme="majorBidi"/>
          <w:sz w:val="24"/>
          <w:szCs w:val="24"/>
          <w:rtl/>
        </w:rPr>
        <w:t>)</w:t>
      </w:r>
      <w:r w:rsidRPr="0062340E">
        <w:rPr>
          <w:rFonts w:ascii="Simplified Arabic" w:hAnsi="Simplified Arabic" w:cs="Simplified Arabic"/>
          <w:sz w:val="24"/>
          <w:szCs w:val="24"/>
          <w:rtl/>
          <w:lang w:val="en-US" w:bidi="ar-DZ"/>
        </w:rPr>
        <w:t>.</w:t>
      </w:r>
      <w:r w:rsidR="007A2CFC" w:rsidRPr="0062340E">
        <w:rPr>
          <w:rFonts w:ascii="Simplified Arabic" w:hAnsi="Simplified Arabic" w:cs="Simplified Arabic" w:hint="cs"/>
          <w:sz w:val="24"/>
          <w:szCs w:val="24"/>
          <w:rtl/>
          <w:lang w:bidi="ar-DZ"/>
        </w:rPr>
        <w:t xml:space="preserve"> </w:t>
      </w:r>
      <w:r w:rsidR="006249D2" w:rsidRPr="0062340E">
        <w:rPr>
          <w:rFonts w:ascii="Simplified Arabic" w:hAnsi="Simplified Arabic" w:cs="Simplified Arabic" w:hint="cs"/>
          <w:sz w:val="24"/>
          <w:szCs w:val="24"/>
          <w:rtl/>
          <w:lang w:val="en-US" w:bidi="ar-DZ"/>
        </w:rPr>
        <w:t xml:space="preserve">مما </w:t>
      </w:r>
      <w:r w:rsidRPr="0062340E">
        <w:rPr>
          <w:rFonts w:ascii="Simplified Arabic" w:hAnsi="Simplified Arabic" w:cs="Simplified Arabic" w:hint="cs"/>
          <w:sz w:val="24"/>
          <w:szCs w:val="24"/>
          <w:rtl/>
          <w:lang w:val="en-US" w:bidi="ar-DZ"/>
        </w:rPr>
        <w:t>ولّد</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إدراكًا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متزايدًا</w:t>
      </w:r>
      <w:r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لدى</w:t>
      </w:r>
      <w:r w:rsidR="008C134B" w:rsidRPr="0062340E">
        <w:rPr>
          <w:rFonts w:ascii="Simplified Arabic" w:hAnsi="Simplified Arabic" w:cs="Simplified Arabic"/>
          <w:sz w:val="24"/>
          <w:szCs w:val="24"/>
          <w:rtl/>
          <w:lang w:val="en-US" w:bidi="ar-DZ"/>
        </w:rPr>
        <w:t xml:space="preserve"> </w:t>
      </w:r>
      <w:r w:rsidR="007A2CFC" w:rsidRPr="0062340E">
        <w:rPr>
          <w:rFonts w:ascii="Simplified Arabic" w:hAnsi="Simplified Arabic" w:cs="Simplified Arabic" w:hint="cs"/>
          <w:sz w:val="24"/>
          <w:szCs w:val="24"/>
          <w:rtl/>
          <w:lang w:val="en-US" w:bidi="ar-DZ"/>
        </w:rPr>
        <w:t>الاكاديميين و</w:t>
      </w:r>
      <w:r w:rsidR="008C134B" w:rsidRPr="0062340E">
        <w:rPr>
          <w:rFonts w:ascii="Simplified Arabic" w:hAnsi="Simplified Arabic" w:cs="Simplified Arabic" w:hint="cs"/>
          <w:sz w:val="24"/>
          <w:szCs w:val="24"/>
          <w:rtl/>
          <w:lang w:val="en-US" w:bidi="ar-DZ"/>
        </w:rPr>
        <w:t>المخطط</w:t>
      </w:r>
      <w:r w:rsidR="00577622" w:rsidRPr="0062340E">
        <w:rPr>
          <w:rFonts w:ascii="Simplified Arabic" w:hAnsi="Simplified Arabic" w:cs="Simplified Arabic" w:hint="cs"/>
          <w:sz w:val="24"/>
          <w:szCs w:val="24"/>
          <w:rtl/>
          <w:lang w:val="en-US" w:bidi="ar-DZ"/>
        </w:rPr>
        <w:t>ي</w:t>
      </w:r>
      <w:r w:rsidR="008C134B" w:rsidRPr="0062340E">
        <w:rPr>
          <w:rFonts w:ascii="Simplified Arabic" w:hAnsi="Simplified Arabic" w:cs="Simplified Arabic" w:hint="cs"/>
          <w:sz w:val="24"/>
          <w:szCs w:val="24"/>
          <w:rtl/>
          <w:lang w:val="en-US" w:bidi="ar-DZ"/>
        </w:rPr>
        <w:t>ن</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والمصمم</w:t>
      </w:r>
      <w:r w:rsidR="006249D2" w:rsidRPr="0062340E">
        <w:rPr>
          <w:rFonts w:ascii="Simplified Arabic" w:hAnsi="Simplified Arabic" w:cs="Simplified Arabic" w:hint="cs"/>
          <w:sz w:val="24"/>
          <w:szCs w:val="24"/>
          <w:rtl/>
          <w:lang w:val="en-US" w:bidi="ar-DZ"/>
        </w:rPr>
        <w:t>ي</w:t>
      </w:r>
      <w:r w:rsidR="008C134B" w:rsidRPr="0062340E">
        <w:rPr>
          <w:rFonts w:ascii="Simplified Arabic" w:hAnsi="Simplified Arabic" w:cs="Simplified Arabic" w:hint="cs"/>
          <w:sz w:val="24"/>
          <w:szCs w:val="24"/>
          <w:rtl/>
          <w:lang w:val="en-US" w:bidi="ar-DZ"/>
        </w:rPr>
        <w:t>ن</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الحضري</w:t>
      </w:r>
      <w:r w:rsidR="00155A54" w:rsidRPr="0062340E">
        <w:rPr>
          <w:rFonts w:ascii="Simplified Arabic" w:hAnsi="Simplified Arabic" w:cs="Simplified Arabic" w:hint="cs"/>
          <w:sz w:val="24"/>
          <w:szCs w:val="24"/>
          <w:rtl/>
          <w:lang w:val="en-US" w:bidi="ar-DZ"/>
        </w:rPr>
        <w:t>ي</w:t>
      </w:r>
      <w:r w:rsidR="008C134B" w:rsidRPr="0062340E">
        <w:rPr>
          <w:rFonts w:ascii="Simplified Arabic" w:hAnsi="Simplified Arabic" w:cs="Simplified Arabic" w:hint="cs"/>
          <w:sz w:val="24"/>
          <w:szCs w:val="24"/>
          <w:rtl/>
          <w:lang w:val="en-US" w:bidi="ar-DZ"/>
        </w:rPr>
        <w:t>ن</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أن</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أساليب</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التخطيط</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والتصميم</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الحالية</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غالبًا</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ما</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تكون</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غير</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كافية</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للتعامل</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مع</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بيئات</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سريعة</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التغي</w:t>
      </w:r>
      <w:r w:rsidR="001B1A99" w:rsidRPr="0062340E">
        <w:rPr>
          <w:rFonts w:ascii="Simplified Arabic" w:hAnsi="Simplified Arabic" w:cs="Simplified Arabic" w:hint="cs"/>
          <w:sz w:val="24"/>
          <w:szCs w:val="24"/>
          <w:rtl/>
          <w:lang w:val="en-US" w:bidi="ar-DZ"/>
        </w:rPr>
        <w:t>ّ</w:t>
      </w:r>
      <w:r w:rsidR="008C134B" w:rsidRPr="0062340E">
        <w:rPr>
          <w:rFonts w:ascii="Simplified Arabic" w:hAnsi="Simplified Arabic" w:cs="Simplified Arabic" w:hint="cs"/>
          <w:sz w:val="24"/>
          <w:szCs w:val="24"/>
          <w:rtl/>
          <w:lang w:val="en-US" w:bidi="ar-DZ"/>
        </w:rPr>
        <w:t>ر</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والمعق</w:t>
      </w:r>
      <w:r w:rsidR="001B1A99" w:rsidRPr="0062340E">
        <w:rPr>
          <w:rFonts w:ascii="Simplified Arabic" w:hAnsi="Simplified Arabic" w:cs="Simplified Arabic" w:hint="cs"/>
          <w:sz w:val="24"/>
          <w:szCs w:val="24"/>
          <w:rtl/>
          <w:lang w:val="en-US" w:bidi="ar-DZ"/>
        </w:rPr>
        <w:t>ّ</w:t>
      </w:r>
      <w:r w:rsidR="008C134B" w:rsidRPr="0062340E">
        <w:rPr>
          <w:rFonts w:ascii="Simplified Arabic" w:hAnsi="Simplified Arabic" w:cs="Simplified Arabic" w:hint="cs"/>
          <w:sz w:val="24"/>
          <w:szCs w:val="24"/>
          <w:rtl/>
          <w:lang w:val="en-US" w:bidi="ar-DZ"/>
        </w:rPr>
        <w:t>دة</w:t>
      </w:r>
      <w:r w:rsidR="008C134B" w:rsidRPr="0062340E">
        <w:rPr>
          <w:rFonts w:ascii="Simplified Arabic" w:hAnsi="Simplified Arabic" w:cs="Simplified Arabic"/>
          <w:sz w:val="24"/>
          <w:szCs w:val="24"/>
          <w:rtl/>
          <w:lang w:val="en-US" w:bidi="ar-DZ"/>
        </w:rPr>
        <w:t xml:space="preserve"> </w:t>
      </w:r>
      <w:r w:rsidR="008C134B" w:rsidRPr="0062340E">
        <w:rPr>
          <w:rFonts w:ascii="Simplified Arabic" w:hAnsi="Simplified Arabic" w:cs="Simplified Arabic" w:hint="cs"/>
          <w:sz w:val="24"/>
          <w:szCs w:val="24"/>
          <w:rtl/>
          <w:lang w:val="en-US" w:bidi="ar-DZ"/>
        </w:rPr>
        <w:t>بشكل</w:t>
      </w:r>
      <w:r w:rsidR="001B1A99" w:rsidRPr="0062340E">
        <w:rPr>
          <w:rFonts w:ascii="Simplified Arabic" w:hAnsi="Simplified Arabic" w:cs="Simplified Arabic" w:hint="cs"/>
          <w:sz w:val="24"/>
          <w:szCs w:val="24"/>
          <w:rtl/>
          <w:lang w:val="en-US" w:bidi="ar-DZ"/>
        </w:rPr>
        <w:t xml:space="preserve"> </w:t>
      </w:r>
      <w:r w:rsidR="008C134B" w:rsidRPr="0062340E">
        <w:rPr>
          <w:rFonts w:ascii="Simplified Arabic" w:hAnsi="Simplified Arabic" w:cs="Simplified Arabic" w:hint="cs"/>
          <w:sz w:val="24"/>
          <w:szCs w:val="24"/>
          <w:rtl/>
          <w:lang w:val="en-US" w:bidi="ar-DZ"/>
        </w:rPr>
        <w:t>متزايد</w:t>
      </w:r>
      <w:r w:rsidR="00C1764F" w:rsidRPr="0062340E">
        <w:rPr>
          <w:rFonts w:ascii="Simplified Arabic" w:hAnsi="Simplified Arabic" w:cs="Simplified Arabic" w:hint="cs"/>
          <w:sz w:val="24"/>
          <w:szCs w:val="24"/>
          <w:rtl/>
          <w:lang w:val="en-US" w:bidi="ar-DZ"/>
        </w:rPr>
        <w:t>،</w:t>
      </w:r>
      <w:r w:rsidRPr="0062340E">
        <w:rPr>
          <w:rFonts w:ascii="Simplified Arabic" w:hAnsi="Simplified Arabic" w:cs="Simplified Arabic"/>
          <w:sz w:val="24"/>
          <w:szCs w:val="24"/>
          <w:rtl/>
          <w:lang w:val="en-US" w:bidi="ar-DZ"/>
        </w:rPr>
        <w:t xml:space="preserve"> بالتالي، فإن</w:t>
      </w:r>
      <w:r w:rsidRPr="0062340E">
        <w:rPr>
          <w:rFonts w:ascii="Simplified Arabic" w:hAnsi="Simplified Arabic" w:cs="Simplified Arabic" w:hint="cs"/>
          <w:sz w:val="24"/>
          <w:szCs w:val="24"/>
          <w:rtl/>
          <w:lang w:val="en-US" w:bidi="ar-DZ"/>
        </w:rPr>
        <w:t xml:space="preserve"> عملية دمج مفهوم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الحضرية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ضمن استراتيجيات التسيير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والتخطيط الحضريين </w:t>
      </w:r>
      <w:r w:rsidRPr="0062340E">
        <w:rPr>
          <w:rFonts w:ascii="Simplified Arabic" w:hAnsi="Simplified Arabic" w:cs="Simplified Arabic"/>
          <w:sz w:val="24"/>
          <w:szCs w:val="24"/>
          <w:rtl/>
          <w:lang w:val="en-US" w:bidi="ar-DZ"/>
        </w:rPr>
        <w:t>أمر</w:t>
      </w:r>
      <w:r w:rsidRPr="0062340E">
        <w:rPr>
          <w:rFonts w:ascii="Simplified Arabic" w:hAnsi="Simplified Arabic" w:cs="Simplified Arabic" w:hint="cs"/>
          <w:sz w:val="24"/>
          <w:szCs w:val="24"/>
          <w:rtl/>
          <w:lang w:val="en-US" w:bidi="ar-DZ"/>
        </w:rPr>
        <w:t>ا</w:t>
      </w:r>
      <w:r w:rsidRPr="0062340E">
        <w:rPr>
          <w:rFonts w:ascii="Simplified Arabic" w:hAnsi="Simplified Arabic" w:cs="Simplified Arabic"/>
          <w:sz w:val="24"/>
          <w:szCs w:val="24"/>
          <w:rtl/>
          <w:lang w:val="en-US" w:bidi="ar-DZ"/>
        </w:rPr>
        <w:t xml:space="preserve"> بالغ الأهمية.</w:t>
      </w:r>
      <w:r w:rsidR="00F4360A" w:rsidRPr="0062340E">
        <w:rPr>
          <w:rFonts w:asciiTheme="minorBidi" w:hAnsiTheme="minorBidi"/>
          <w:sz w:val="24"/>
          <w:szCs w:val="24"/>
          <w:rtl/>
          <w:lang w:bidi="ar-DZ"/>
        </w:rPr>
        <w:t xml:space="preserve"> </w:t>
      </w:r>
    </w:p>
    <w:p w:rsidR="003A5E65" w:rsidRPr="0062340E" w:rsidRDefault="003536EF" w:rsidP="00C7683B">
      <w:pPr>
        <w:autoSpaceDE w:val="0"/>
        <w:autoSpaceDN w:val="0"/>
        <w:bidi/>
        <w:adjustRightInd w:val="0"/>
        <w:spacing w:before="240"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lang w:val="en-US" w:bidi="ar-DZ"/>
        </w:rPr>
        <w:t>منذ</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مؤتمر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سينداي</w:t>
      </w:r>
      <w:r w:rsidR="00337414" w:rsidRPr="0062340E">
        <w:rPr>
          <w:rFonts w:ascii="Simplified Arabic" w:hAnsi="Simplified Arabic" w:cs="Simplified Arabic" w:hint="cs"/>
          <w:sz w:val="24"/>
          <w:szCs w:val="24"/>
          <w:rtl/>
          <w:lang w:val="en-US" w:bidi="ar-DZ"/>
        </w:rPr>
        <w:t xml:space="preserve"> </w:t>
      </w:r>
      <w:r w:rsidRPr="0062340E">
        <w:rPr>
          <w:rFonts w:ascii="Simplified Arabic" w:hAnsi="Simplified Arabic" w:cs="Simplified Arabic" w:hint="cs"/>
          <w:sz w:val="24"/>
          <w:szCs w:val="24"/>
          <w:rtl/>
          <w:lang w:val="en-US" w:bidi="ar-DZ"/>
        </w:rPr>
        <w:t>للأمم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المتحدة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في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عام</w:t>
      </w:r>
      <w:r w:rsidRPr="0062340E">
        <w:rPr>
          <w:rFonts w:ascii="Simplified Arabic" w:hAnsi="Simplified Arabic" w:cs="Simplified Arabic"/>
          <w:sz w:val="24"/>
          <w:szCs w:val="24"/>
          <w:rtl/>
          <w:lang w:val="en-US" w:bidi="ar-DZ"/>
        </w:rPr>
        <w:t xml:space="preserve"> 2015</w:t>
      </w:r>
      <w:r w:rsidR="00836946" w:rsidRPr="0062340E">
        <w:rPr>
          <w:rFonts w:ascii="Simplified Arabic" w:hAnsi="Simplified Arabic" w:cs="Simplified Arabic" w:hint="cs"/>
          <w:sz w:val="24"/>
          <w:szCs w:val="24"/>
          <w:rtl/>
          <w:lang w:val="en-US" w:bidi="ar-DZ"/>
        </w:rPr>
        <w:t xml:space="preserve"> </w:t>
      </w:r>
      <w:r w:rsidR="00836946" w:rsidRPr="0062340E">
        <w:rPr>
          <w:rFonts w:asciiTheme="majorBidi" w:hAnsiTheme="majorBidi" w:cstheme="majorBidi"/>
          <w:sz w:val="24"/>
          <w:szCs w:val="24"/>
          <w:rtl/>
          <w:lang w:val="en-US" w:bidi="ar-DZ"/>
        </w:rPr>
        <w:t>(</w:t>
      </w:r>
      <w:r w:rsidR="00836946" w:rsidRPr="0062340E">
        <w:rPr>
          <w:rFonts w:asciiTheme="majorBidi" w:hAnsiTheme="majorBidi" w:cstheme="majorBidi"/>
          <w:sz w:val="24"/>
          <w:szCs w:val="24"/>
        </w:rPr>
        <w:t>UNISDR, 2015</w:t>
      </w:r>
      <w:r w:rsidR="00836946" w:rsidRPr="0062340E">
        <w:rPr>
          <w:rFonts w:asciiTheme="majorBidi" w:hAnsiTheme="majorBidi" w:cstheme="majorBidi"/>
          <w:sz w:val="24"/>
          <w:szCs w:val="24"/>
          <w:rtl/>
          <w:lang w:val="en-US" w:bidi="ar-DZ"/>
        </w:rPr>
        <w:t>)</w:t>
      </w:r>
      <w:r w:rsidRPr="0062340E">
        <w:rPr>
          <w:rFonts w:ascii="Simplified Arabic" w:hAnsi="Simplified Arabic" w:cs="Simplified Arabic" w:hint="cs"/>
          <w:sz w:val="24"/>
          <w:szCs w:val="24"/>
          <w:rtl/>
          <w:lang w:val="en-US" w:bidi="ar-DZ"/>
        </w:rPr>
        <w:t>،</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الذي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راجع</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النهج</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السابق</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لإطار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عمل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هيوغو</w:t>
      </w:r>
      <w:r w:rsidRPr="0062340E">
        <w:rPr>
          <w:rFonts w:ascii="Simplified Arabic" w:hAnsi="Simplified Arabic" w:cs="Simplified Arabic"/>
          <w:sz w:val="24"/>
          <w:szCs w:val="24"/>
          <w:rtl/>
          <w:lang w:val="en-US" w:bidi="ar-DZ"/>
        </w:rPr>
        <w:t xml:space="preserve"> </w:t>
      </w:r>
      <w:r w:rsidRPr="0062340E">
        <w:rPr>
          <w:rFonts w:asciiTheme="majorBidi" w:hAnsiTheme="majorBidi" w:cstheme="majorBidi"/>
          <w:sz w:val="24"/>
          <w:szCs w:val="24"/>
        </w:rPr>
        <w:t>(UNISDR, 2005)</w:t>
      </w:r>
      <w:r w:rsidRPr="0062340E">
        <w:rPr>
          <w:rFonts w:ascii="Calibri" w:hAnsi="Calibri" w:cs="Calibri" w:hint="cs"/>
          <w:sz w:val="24"/>
          <w:szCs w:val="24"/>
          <w:rtl/>
        </w:rPr>
        <w:t xml:space="preserve"> </w:t>
      </w:r>
      <w:r w:rsidRPr="0062340E">
        <w:rPr>
          <w:rFonts w:ascii="Simplified Arabic" w:hAnsi="Simplified Arabic" w:cs="Simplified Arabic" w:hint="cs"/>
          <w:sz w:val="24"/>
          <w:szCs w:val="24"/>
          <w:rtl/>
          <w:lang w:val="en-US" w:bidi="ar-DZ"/>
        </w:rPr>
        <w:t>بشأن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بناء مرونة المجتمع تجاه الكوارث،</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يعطي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إطار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سينداي </w:t>
      </w:r>
      <w:r w:rsidRPr="0062340E">
        <w:rPr>
          <w:rFonts w:asciiTheme="majorBidi" w:hAnsiTheme="majorBidi" w:cstheme="majorBidi"/>
          <w:sz w:val="24"/>
          <w:szCs w:val="24"/>
          <w:rtl/>
          <w:lang w:val="en-US" w:bidi="ar-DZ"/>
        </w:rPr>
        <w:t>(</w:t>
      </w:r>
      <w:r w:rsidR="00A2673B" w:rsidRPr="0062340E">
        <w:rPr>
          <w:rFonts w:asciiTheme="majorBidi" w:hAnsiTheme="majorBidi" w:cstheme="majorBidi"/>
          <w:sz w:val="24"/>
          <w:szCs w:val="24"/>
        </w:rPr>
        <w:t>UNISDR</w:t>
      </w:r>
      <w:r w:rsidRPr="0062340E">
        <w:rPr>
          <w:rFonts w:asciiTheme="majorBidi" w:hAnsiTheme="majorBidi" w:cstheme="majorBidi"/>
          <w:sz w:val="24"/>
          <w:szCs w:val="24"/>
        </w:rPr>
        <w:t>, 2015</w:t>
      </w:r>
      <w:r w:rsidRPr="0062340E">
        <w:rPr>
          <w:rFonts w:asciiTheme="majorBidi" w:hAnsiTheme="majorBidi" w:cstheme="majorBidi"/>
          <w:sz w:val="24"/>
          <w:szCs w:val="24"/>
          <w:rtl/>
          <w:lang w:val="en-US" w:bidi="ar-DZ"/>
        </w:rPr>
        <w:t>)</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الأولوية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للحد</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lastRenderedPageBreak/>
        <w:t>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مخاطر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الكوارث</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خلال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تفعيل مفهوم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w:t>
      </w:r>
      <w:r w:rsidRPr="0062340E">
        <w:rPr>
          <w:rFonts w:ascii="Simplified Arabic" w:hAnsi="Simplified Arabic" w:cs="Simplified Arabic" w:hint="cs"/>
          <w:sz w:val="24"/>
          <w:szCs w:val="24"/>
          <w:rtl/>
          <w:lang w:val="en-US" w:bidi="ar-DZ"/>
        </w:rPr>
        <w:t xml:space="preserve"> </w:t>
      </w:r>
      <w:r w:rsidR="009E76E4" w:rsidRPr="0062340E">
        <w:rPr>
          <w:rFonts w:ascii="Simplified Arabic" w:hAnsi="Simplified Arabic" w:cs="Simplified Arabic" w:hint="cs"/>
          <w:sz w:val="24"/>
          <w:szCs w:val="24"/>
          <w:rtl/>
        </w:rPr>
        <w:t>بالتالي،</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تخطيط</w:t>
      </w:r>
      <w:r w:rsidR="009E76E4" w:rsidRPr="0062340E">
        <w:rPr>
          <w:rFonts w:ascii="Simplified Arabic" w:hAnsi="Simplified Arabic" w:cs="Simplified Arabic"/>
          <w:sz w:val="24"/>
          <w:szCs w:val="24"/>
          <w:rtl/>
        </w:rPr>
        <w:t xml:space="preserve"> </w:t>
      </w:r>
      <w:r w:rsidR="00601146" w:rsidRPr="0062340E">
        <w:rPr>
          <w:rFonts w:ascii="Simplified Arabic" w:hAnsi="Simplified Arabic" w:cs="Simplified Arabic" w:hint="cs"/>
          <w:sz w:val="24"/>
          <w:szCs w:val="24"/>
          <w:rtl/>
          <w:lang w:val="en-US" w:bidi="ar-DZ"/>
        </w:rPr>
        <w:t>استعمال</w:t>
      </w:r>
      <w:r w:rsidR="00601146" w:rsidRPr="0062340E">
        <w:rPr>
          <w:rFonts w:ascii="Simplified Arabic" w:hAnsi="Simplified Arabic" w:cs="Simplified Arabic"/>
          <w:sz w:val="24"/>
          <w:szCs w:val="24"/>
          <w:rtl/>
          <w:lang w:val="en-US" w:bidi="ar-DZ"/>
        </w:rPr>
        <w:t xml:space="preserve"> </w:t>
      </w:r>
      <w:r w:rsidR="00540199" w:rsidRPr="0062340E">
        <w:rPr>
          <w:rFonts w:ascii="Simplified Arabic" w:hAnsi="Simplified Arabic" w:cs="Simplified Arabic" w:hint="cs"/>
          <w:sz w:val="24"/>
          <w:szCs w:val="24"/>
          <w:rtl/>
        </w:rPr>
        <w:t xml:space="preserve">الارض </w:t>
      </w:r>
      <w:r w:rsidR="009E76E4" w:rsidRPr="0062340E">
        <w:rPr>
          <w:rFonts w:ascii="Simplified Arabic" w:hAnsi="Simplified Arabic" w:cs="Simplified Arabic" w:hint="cs"/>
          <w:sz w:val="24"/>
          <w:szCs w:val="24"/>
          <w:rtl/>
        </w:rPr>
        <w:t>من</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أجل</w:t>
      </w:r>
      <w:r w:rsidR="009E76E4" w:rsidRPr="0062340E">
        <w:rPr>
          <w:rFonts w:ascii="Simplified Arabic" w:hAnsi="Simplified Arabic" w:cs="Simplified Arabic"/>
          <w:sz w:val="24"/>
          <w:szCs w:val="24"/>
          <w:rtl/>
        </w:rPr>
        <w:t xml:space="preserve"> </w:t>
      </w:r>
      <w:r w:rsidR="009649B6" w:rsidRPr="0062340E">
        <w:rPr>
          <w:rFonts w:ascii="Simplified Arabic" w:hAnsi="Simplified Arabic" w:cs="Simplified Arabic" w:hint="cs"/>
          <w:sz w:val="24"/>
          <w:szCs w:val="24"/>
          <w:rtl/>
        </w:rPr>
        <w:t>المرونة</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هو</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موضوع</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ناشئ</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يكمل</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بشكل</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حاسم</w:t>
      </w:r>
      <w:r w:rsidR="009E76E4" w:rsidRPr="0062340E">
        <w:rPr>
          <w:rFonts w:ascii="Simplified Arabic" w:hAnsi="Simplified Arabic" w:cs="Simplified Arabic"/>
          <w:sz w:val="24"/>
          <w:szCs w:val="24"/>
          <w:rtl/>
        </w:rPr>
        <w:t xml:space="preserve"> </w:t>
      </w:r>
      <w:r w:rsidR="006B26A5" w:rsidRPr="0062340E">
        <w:rPr>
          <w:rFonts w:ascii="Simplified Arabic" w:hAnsi="Simplified Arabic" w:cs="Simplified Arabic" w:hint="cs"/>
          <w:sz w:val="24"/>
          <w:szCs w:val="24"/>
          <w:rtl/>
        </w:rPr>
        <w:t xml:space="preserve">موضوع </w:t>
      </w:r>
      <w:r w:rsidR="009E76E4" w:rsidRPr="0062340E">
        <w:rPr>
          <w:rFonts w:ascii="Simplified Arabic" w:hAnsi="Simplified Arabic" w:cs="Simplified Arabic" w:hint="cs"/>
          <w:sz w:val="24"/>
          <w:szCs w:val="24"/>
          <w:rtl/>
        </w:rPr>
        <w:t>التنمية</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الحضرية</w:t>
      </w:r>
      <w:r w:rsidR="009E76E4" w:rsidRPr="0062340E">
        <w:rPr>
          <w:rFonts w:ascii="Simplified Arabic" w:hAnsi="Simplified Arabic" w:cs="Simplified Arabic"/>
          <w:sz w:val="24"/>
          <w:szCs w:val="24"/>
          <w:rtl/>
        </w:rPr>
        <w:t xml:space="preserve"> </w:t>
      </w:r>
      <w:r w:rsidR="009E76E4" w:rsidRPr="0062340E">
        <w:rPr>
          <w:rFonts w:ascii="Simplified Arabic" w:hAnsi="Simplified Arabic" w:cs="Simplified Arabic" w:hint="cs"/>
          <w:sz w:val="24"/>
          <w:szCs w:val="24"/>
          <w:rtl/>
        </w:rPr>
        <w:t>المستدامة</w:t>
      </w:r>
      <w:r w:rsidR="009E76E4" w:rsidRPr="0062340E">
        <w:rPr>
          <w:rFonts w:ascii="Simplified Arabic" w:hAnsi="Simplified Arabic" w:cs="Simplified Arabic"/>
          <w:sz w:val="24"/>
          <w:szCs w:val="24"/>
          <w:rtl/>
        </w:rPr>
        <w:t>.</w:t>
      </w:r>
      <w:r w:rsidR="009C284A" w:rsidRPr="0062340E">
        <w:rPr>
          <w:rFonts w:ascii="Simplified Arabic" w:hAnsi="Simplified Arabic" w:cs="Simplified Arabic" w:hint="cs"/>
          <w:sz w:val="24"/>
          <w:szCs w:val="24"/>
          <w:rtl/>
        </w:rPr>
        <w:t xml:space="preserve"> </w:t>
      </w:r>
    </w:p>
    <w:p w:rsidR="00B04D3B" w:rsidRPr="0062340E" w:rsidRDefault="0022082E" w:rsidP="0062340E">
      <w:pPr>
        <w:autoSpaceDE w:val="0"/>
        <w:autoSpaceDN w:val="0"/>
        <w:bidi/>
        <w:adjustRightInd w:val="0"/>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على مدى العقدين الاوليين من القرن الواحد و العشرون، حظي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مفهوم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الحضرية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باهتمام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الأكاديميين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وصانعي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السياسات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حد</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سواء</w:t>
      </w:r>
      <w:r w:rsidRPr="0062340E">
        <w:rPr>
          <w:rFonts w:asciiTheme="majorBidi" w:hAnsiTheme="majorBidi" w:cstheme="majorBidi" w:hint="cs"/>
          <w:color w:val="0D0D0D"/>
          <w:sz w:val="24"/>
          <w:szCs w:val="24"/>
          <w:rtl/>
        </w:rPr>
        <w:t xml:space="preserve"> </w:t>
      </w:r>
      <w:r w:rsidRPr="0062340E">
        <w:rPr>
          <w:rFonts w:asciiTheme="majorBidi" w:hAnsiTheme="majorBidi" w:cstheme="majorBidi"/>
          <w:sz w:val="24"/>
          <w:szCs w:val="24"/>
        </w:rPr>
        <w:t>(Winderl, 2014</w:t>
      </w:r>
      <w:r w:rsidRPr="0062340E">
        <w:rPr>
          <w:rFonts w:asciiTheme="majorBidi" w:hAnsiTheme="majorBidi" w:cstheme="majorBidi"/>
          <w:color w:val="0D0D0D"/>
          <w:sz w:val="24"/>
          <w:szCs w:val="24"/>
        </w:rPr>
        <w:t>; Sharifi et al., 2021</w:t>
      </w:r>
      <w:r w:rsidRPr="0062340E">
        <w:rPr>
          <w:rFonts w:asciiTheme="majorBidi" w:hAnsiTheme="majorBidi" w:cstheme="majorBidi"/>
          <w:color w:val="0D0D0D"/>
          <w:sz w:val="24"/>
          <w:szCs w:val="24"/>
          <w:lang w:val="en-US"/>
        </w:rPr>
        <w:t>)</w:t>
      </w:r>
      <w:r w:rsidRPr="0062340E">
        <w:rPr>
          <w:rFonts w:ascii="Simplified Arabic" w:hAnsi="Simplified Arabic" w:cs="Simplified Arabic" w:hint="cs"/>
          <w:sz w:val="24"/>
          <w:szCs w:val="24"/>
          <w:rtl/>
          <w:lang w:val="en-US" w:bidi="ar-DZ"/>
        </w:rPr>
        <w:t>.</w:t>
      </w:r>
      <w:r w:rsidR="00B04D3B" w:rsidRPr="0062340E">
        <w:rPr>
          <w:rFonts w:ascii="Simplified Arabic" w:hAnsi="Simplified Arabic" w:cs="Simplified Arabic" w:hint="cs"/>
          <w:sz w:val="24"/>
          <w:szCs w:val="24"/>
          <w:rtl/>
          <w:lang w:val="en-US" w:bidi="ar-DZ"/>
        </w:rPr>
        <w:t xml:space="preserve"> يعتبر </w:t>
      </w:r>
      <w:r w:rsidR="006B3F4D" w:rsidRPr="0062340E">
        <w:rPr>
          <w:rFonts w:ascii="Simplified Arabic" w:hAnsi="Simplified Arabic" w:cs="Simplified Arabic" w:hint="cs"/>
          <w:sz w:val="24"/>
          <w:szCs w:val="24"/>
          <w:rtl/>
          <w:lang w:val="en-US" w:bidi="ar-DZ"/>
        </w:rPr>
        <w:t xml:space="preserve">اعتماد </w:t>
      </w:r>
      <w:r w:rsidR="00DE48A9" w:rsidRPr="0062340E">
        <w:rPr>
          <w:rFonts w:ascii="Simplified Arabic" w:hAnsi="Simplified Arabic" w:cs="Simplified Arabic" w:hint="cs"/>
          <w:sz w:val="24"/>
          <w:szCs w:val="24"/>
          <w:rtl/>
          <w:lang w:val="en-US" w:bidi="ar-DZ"/>
        </w:rPr>
        <w:t>جدول</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الأعمال</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الحضري</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الجديد من</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قبل</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الأمم</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المتحدة</w:t>
      </w:r>
      <w:r w:rsidR="006B3F4D" w:rsidRPr="0062340E">
        <w:rPr>
          <w:rFonts w:ascii="Simplified Arabic" w:hAnsi="Simplified Arabic" w:cs="Simplified Arabic" w:hint="cs"/>
          <w:sz w:val="24"/>
          <w:szCs w:val="24"/>
          <w:rtl/>
          <w:lang w:val="en-US" w:bidi="ar-DZ"/>
        </w:rPr>
        <w:t xml:space="preserve"> </w:t>
      </w:r>
      <w:r w:rsidR="00B04D3B" w:rsidRPr="0062340E">
        <w:rPr>
          <w:rFonts w:asciiTheme="majorBidi" w:hAnsiTheme="majorBidi" w:cstheme="majorBidi"/>
          <w:sz w:val="24"/>
          <w:szCs w:val="24"/>
          <w:rtl/>
          <w:lang w:val="en-US" w:bidi="ar-DZ"/>
        </w:rPr>
        <w:t>(</w:t>
      </w:r>
      <w:r w:rsidR="006B3F4D" w:rsidRPr="0062340E">
        <w:rPr>
          <w:rFonts w:asciiTheme="majorBidi" w:hAnsiTheme="majorBidi" w:cstheme="majorBidi"/>
          <w:color w:val="0D0D0D"/>
          <w:sz w:val="24"/>
          <w:szCs w:val="24"/>
        </w:rPr>
        <w:t>(UN</w:t>
      </w:r>
      <w:r w:rsidR="00D7495E" w:rsidRPr="0062340E">
        <w:rPr>
          <w:rFonts w:asciiTheme="majorBidi" w:hAnsiTheme="majorBidi" w:cstheme="majorBidi"/>
          <w:color w:val="0D0D0D"/>
          <w:sz w:val="24"/>
          <w:szCs w:val="24"/>
        </w:rPr>
        <w:t>-</w:t>
      </w:r>
      <w:r w:rsidR="006B3F4D" w:rsidRPr="0062340E">
        <w:rPr>
          <w:rFonts w:asciiTheme="majorBidi" w:hAnsiTheme="majorBidi" w:cstheme="majorBidi"/>
          <w:color w:val="0D0D0D"/>
          <w:sz w:val="24"/>
          <w:szCs w:val="24"/>
        </w:rPr>
        <w:t>Habitat, 2016a</w:t>
      </w:r>
      <w:r w:rsidR="00DE48A9" w:rsidRPr="0062340E">
        <w:rPr>
          <w:rFonts w:ascii="Simplified Arabic" w:hAnsi="Simplified Arabic" w:cs="Simplified Arabic"/>
          <w:sz w:val="24"/>
          <w:szCs w:val="24"/>
          <w:rtl/>
          <w:lang w:val="en-US" w:bidi="ar-DZ"/>
        </w:rPr>
        <w:t xml:space="preserve"> </w:t>
      </w:r>
      <w:r w:rsidR="006B3F4D" w:rsidRPr="0062340E">
        <w:rPr>
          <w:rFonts w:ascii="Simplified Arabic" w:hAnsi="Simplified Arabic" w:cs="Simplified Arabic" w:hint="cs"/>
          <w:sz w:val="24"/>
          <w:szCs w:val="24"/>
          <w:rtl/>
          <w:lang w:val="en-US" w:bidi="ar-DZ"/>
        </w:rPr>
        <w:t>مسعى</w:t>
      </w:r>
      <w:r w:rsidR="00DE48A9" w:rsidRPr="0062340E">
        <w:rPr>
          <w:rFonts w:ascii="Simplified Arabic" w:hAnsi="Simplified Arabic" w:cs="Simplified Arabic"/>
          <w:sz w:val="24"/>
          <w:szCs w:val="24"/>
          <w:rtl/>
          <w:lang w:val="en-US" w:bidi="ar-DZ"/>
        </w:rPr>
        <w:t xml:space="preserve"> </w:t>
      </w:r>
      <w:r w:rsidR="006B3F4D" w:rsidRPr="0062340E">
        <w:rPr>
          <w:rFonts w:ascii="Simplified Arabic" w:hAnsi="Simplified Arabic" w:cs="Simplified Arabic" w:hint="cs"/>
          <w:sz w:val="24"/>
          <w:szCs w:val="24"/>
          <w:rtl/>
          <w:lang w:val="en-US" w:bidi="ar-DZ"/>
        </w:rPr>
        <w:t>سياسي يضع</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المرونة</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عامل</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رئيسي</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للتوسع</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الحضري</w:t>
      </w:r>
      <w:r w:rsidR="00DE48A9" w:rsidRPr="0062340E">
        <w:rPr>
          <w:rFonts w:ascii="Simplified Arabic" w:hAnsi="Simplified Arabic" w:cs="Simplified Arabic"/>
          <w:sz w:val="24"/>
          <w:szCs w:val="24"/>
          <w:rtl/>
          <w:lang w:val="en-US" w:bidi="ar-DZ"/>
        </w:rPr>
        <w:t xml:space="preserve"> </w:t>
      </w:r>
      <w:r w:rsidR="00DE48A9" w:rsidRPr="0062340E">
        <w:rPr>
          <w:rFonts w:ascii="Simplified Arabic" w:hAnsi="Simplified Arabic" w:cs="Simplified Arabic" w:hint="cs"/>
          <w:sz w:val="24"/>
          <w:szCs w:val="24"/>
          <w:rtl/>
          <w:lang w:val="en-US" w:bidi="ar-DZ"/>
        </w:rPr>
        <w:t>المستدام</w:t>
      </w:r>
      <w:r w:rsidR="00DE48A9" w:rsidRPr="0062340E">
        <w:rPr>
          <w:rFonts w:ascii="Simplified Arabic" w:hAnsi="Simplified Arabic" w:cs="Simplified Arabic"/>
          <w:sz w:val="24"/>
          <w:szCs w:val="24"/>
          <w:rtl/>
          <w:lang w:val="en-US" w:bidi="ar-DZ"/>
        </w:rPr>
        <w:t>.</w:t>
      </w:r>
      <w:r w:rsidRPr="0062340E">
        <w:rPr>
          <w:rFonts w:ascii="Simplified Arabic" w:hAnsi="Simplified Arabic" w:cs="Simplified Arabic"/>
          <w:sz w:val="24"/>
          <w:szCs w:val="24"/>
          <w:rtl/>
          <w:lang w:val="en-US" w:bidi="ar-DZ"/>
        </w:rPr>
        <w:t xml:space="preserve"> </w:t>
      </w:r>
    </w:p>
    <w:p w:rsidR="00770CA1" w:rsidRPr="0062340E" w:rsidRDefault="00770CA1" w:rsidP="00770CA1">
      <w:pPr>
        <w:bidi/>
        <w:spacing w:before="240"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يرى </w:t>
      </w:r>
      <w:r w:rsidRPr="0062340E">
        <w:rPr>
          <w:rFonts w:asciiTheme="majorBidi" w:hAnsiTheme="majorBidi" w:cstheme="majorBidi"/>
          <w:color w:val="000000" w:themeColor="text1"/>
          <w:sz w:val="24"/>
          <w:szCs w:val="24"/>
        </w:rPr>
        <w:t>Cumming, 2011)</w:t>
      </w:r>
      <w:r w:rsidRPr="0062340E">
        <w:rPr>
          <w:rFonts w:asciiTheme="majorBidi" w:hAnsiTheme="majorBidi" w:cstheme="majorBidi"/>
          <w:color w:val="000000" w:themeColor="text1"/>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ان مجال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يهتم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بفهم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توزيع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عناصر المدينة عبر نطاقات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مكانية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وزمنية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متعددة تسمح بتقييم القدرة على استجابة عناصر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المختلفة على المدى القصير</w:t>
      </w:r>
      <w:r w:rsidRPr="0062340E">
        <w:rPr>
          <w:rFonts w:ascii="Simplified Arabic" w:hAnsi="Simplified Arabic" w:cs="Simplified Arabic"/>
          <w:sz w:val="24"/>
          <w:szCs w:val="24"/>
          <w:rtl/>
        </w:rPr>
        <w:t>.</w:t>
      </w:r>
      <w:r w:rsidRPr="0062340E">
        <w:rPr>
          <w:rFonts w:ascii="Simplified Arabic" w:hAnsi="Simplified Arabic" w:cs="Simplified Arabic" w:hint="cs"/>
          <w:color w:val="000000" w:themeColor="text1"/>
          <w:sz w:val="24"/>
          <w:szCs w:val="24"/>
          <w:rtl/>
          <w:lang w:bidi="ar-DZ"/>
        </w:rPr>
        <w:t xml:space="preserve"> مع ذلك، قدم </w:t>
      </w:r>
      <w:r w:rsidRPr="0062340E">
        <w:rPr>
          <w:rFonts w:asciiTheme="majorBidi" w:hAnsiTheme="majorBidi" w:cs="Times New Roman" w:hint="cs"/>
          <w:color w:val="0D0D0D"/>
          <w:sz w:val="24"/>
          <w:szCs w:val="24"/>
          <w:rtl/>
        </w:rPr>
        <w:t>(</w:t>
      </w:r>
      <w:r w:rsidRPr="0062340E">
        <w:rPr>
          <w:rFonts w:asciiTheme="majorBidi" w:hAnsiTheme="majorBidi" w:cstheme="majorBidi"/>
          <w:sz w:val="24"/>
          <w:szCs w:val="24"/>
          <w:lang w:bidi="ar-DZ"/>
        </w:rPr>
        <w:t>Shafiei Dastjerdi</w:t>
      </w:r>
      <w:r w:rsidRPr="0062340E">
        <w:rPr>
          <w:rFonts w:asciiTheme="majorBidi" w:hAnsiTheme="majorBidi" w:cs="Times New Roman"/>
          <w:color w:val="0D0D0D"/>
          <w:sz w:val="24"/>
          <w:szCs w:val="24"/>
        </w:rPr>
        <w:t xml:space="preserve"> et al., 2021</w:t>
      </w:r>
      <w:r w:rsidRPr="0062340E">
        <w:rPr>
          <w:rFonts w:asciiTheme="majorBidi" w:hAnsiTheme="majorBidi" w:cs="Times New Roman" w:hint="cs"/>
          <w:color w:val="0D0D0D"/>
          <w:sz w:val="24"/>
          <w:szCs w:val="24"/>
          <w:rtl/>
        </w:rPr>
        <w:t>)</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القليل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الادلة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بشأن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دور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وعلاقة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التوزيع المكاني ل</w:t>
      </w:r>
      <w:r w:rsidRPr="0062340E">
        <w:rPr>
          <w:rFonts w:ascii="Simplified Arabic" w:hAnsi="Simplified Arabic" w:cs="Simplified Arabic" w:hint="cs"/>
          <w:sz w:val="24"/>
          <w:szCs w:val="24"/>
          <w:rtl/>
          <w:lang w:val="en-US" w:bidi="ar-DZ"/>
        </w:rPr>
        <w:t>استعمال</w:t>
      </w:r>
      <w:r w:rsidRPr="0062340E">
        <w:rPr>
          <w:rFonts w:ascii="Simplified Arabic" w:hAnsi="Simplified Arabic" w:cs="Simplified Arabic" w:hint="cs"/>
          <w:color w:val="000000" w:themeColor="text1"/>
          <w:sz w:val="24"/>
          <w:szCs w:val="24"/>
          <w:rtl/>
          <w:lang w:bidi="ar-DZ"/>
        </w:rPr>
        <w:t xml:space="preserve"> الارض</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خلق</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وكذلك</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كيف</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يمكن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تقييم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أو</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إنشاء</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الظروف</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لتحسين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القدرة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على استجابة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المدينة،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 xml:space="preserve">حيث </w:t>
      </w:r>
      <w:r w:rsidRPr="0062340E">
        <w:rPr>
          <w:rFonts w:ascii="Simplified Arabic" w:hAnsi="Simplified Arabic" w:cs="Simplified Arabic"/>
          <w:color w:val="000000" w:themeColor="text1"/>
          <w:sz w:val="24"/>
          <w:szCs w:val="24"/>
          <w:rtl/>
        </w:rPr>
        <w:t xml:space="preserve">يمكن </w:t>
      </w:r>
      <w:r w:rsidRPr="0062340E">
        <w:rPr>
          <w:rFonts w:ascii="Simplified Arabic" w:hAnsi="Simplified Arabic" w:cs="Simplified Arabic" w:hint="cs"/>
          <w:color w:val="000000" w:themeColor="text1"/>
          <w:sz w:val="24"/>
          <w:szCs w:val="24"/>
          <w:rtl/>
        </w:rPr>
        <w:t xml:space="preserve">ذلك من خلال </w:t>
      </w:r>
      <w:r w:rsidRPr="0062340E">
        <w:rPr>
          <w:rFonts w:ascii="Simplified Arabic" w:hAnsi="Simplified Arabic" w:cs="Simplified Arabic"/>
          <w:color w:val="000000" w:themeColor="text1"/>
          <w:sz w:val="24"/>
          <w:szCs w:val="24"/>
          <w:rtl/>
        </w:rPr>
        <w:t xml:space="preserve">تجميع عوامل </w:t>
      </w:r>
      <w:r w:rsidRPr="0062340E">
        <w:rPr>
          <w:rFonts w:ascii="Simplified Arabic" w:hAnsi="Simplified Arabic" w:cs="Simplified Arabic" w:hint="cs"/>
          <w:color w:val="000000" w:themeColor="text1"/>
          <w:sz w:val="24"/>
          <w:szCs w:val="24"/>
          <w:rtl/>
        </w:rPr>
        <w:t>المرونة الحضرية</w:t>
      </w:r>
      <w:r w:rsidRPr="0062340E">
        <w:rPr>
          <w:rFonts w:ascii="Simplified Arabic" w:hAnsi="Simplified Arabic" w:cs="Simplified Arabic"/>
          <w:color w:val="000000" w:themeColor="text1"/>
          <w:sz w:val="24"/>
          <w:szCs w:val="24"/>
          <w:rtl/>
        </w:rPr>
        <w:t xml:space="preserve"> القائمة على العوامل الفيزيائية </w:t>
      </w:r>
      <w:r w:rsidRPr="0062340E">
        <w:rPr>
          <w:rFonts w:asciiTheme="majorBidi" w:hAnsiTheme="majorBidi" w:cstheme="majorBidi"/>
          <w:sz w:val="24"/>
          <w:szCs w:val="24"/>
          <w:rtl/>
        </w:rPr>
        <w:t>(</w:t>
      </w:r>
      <w:r w:rsidRPr="0062340E">
        <w:rPr>
          <w:rFonts w:asciiTheme="majorBidi" w:hAnsiTheme="majorBidi" w:cstheme="majorBidi"/>
          <w:sz w:val="24"/>
          <w:szCs w:val="24"/>
        </w:rPr>
        <w:t>Mayouf and Nouibat, 2022</w:t>
      </w:r>
      <w:r w:rsidRPr="0062340E">
        <w:rPr>
          <w:rFonts w:asciiTheme="majorBidi" w:hAnsiTheme="majorBidi" w:cstheme="majorBidi"/>
          <w:sz w:val="24"/>
          <w:szCs w:val="24"/>
          <w:rtl/>
        </w:rPr>
        <w:t>)</w:t>
      </w:r>
    </w:p>
    <w:p w:rsidR="008B24FF" w:rsidRPr="0062340E" w:rsidRDefault="00197919" w:rsidP="00A71AB0">
      <w:pPr>
        <w:autoSpaceDE w:val="0"/>
        <w:autoSpaceDN w:val="0"/>
        <w:bidi/>
        <w:adjustRightInd w:val="0"/>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ناقش الاكاديميين</w:t>
      </w:r>
      <w:r w:rsidR="0022082E"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والممارسين </w:t>
      </w:r>
      <w:r w:rsidR="0022082E" w:rsidRPr="0062340E">
        <w:rPr>
          <w:rFonts w:ascii="Simplified Arabic" w:hAnsi="Simplified Arabic" w:cs="Simplified Arabic" w:hint="cs"/>
          <w:sz w:val="24"/>
          <w:szCs w:val="24"/>
          <w:rtl/>
          <w:lang w:val="en-US" w:bidi="ar-DZ"/>
        </w:rPr>
        <w:t>مختلف</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القضايا</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والمفاهيم</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المتعلقة</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بالتخطيط</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والتصميم</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الحضريين، افضى إلى</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حقيقة</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أن</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تفكير</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المرونة</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يوفر</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إطارًا</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يسعى</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إلى</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تقليل</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المخاط</w:t>
      </w:r>
      <w:r w:rsidR="0022082E" w:rsidRPr="0062340E">
        <w:rPr>
          <w:rFonts w:ascii="Simplified Arabic" w:hAnsi="Simplified Arabic" w:cs="Simplified Arabic"/>
          <w:sz w:val="24"/>
          <w:szCs w:val="24"/>
          <w:rtl/>
          <w:lang w:val="en-US" w:bidi="ar-DZ"/>
        </w:rPr>
        <w:t xml:space="preserve">ر </w:t>
      </w:r>
      <w:r w:rsidR="0022082E" w:rsidRPr="0062340E">
        <w:rPr>
          <w:rFonts w:asciiTheme="majorBidi" w:hAnsiTheme="majorBidi" w:cstheme="majorBidi"/>
          <w:color w:val="0D0D0D"/>
          <w:sz w:val="24"/>
          <w:szCs w:val="24"/>
          <w:lang w:val="en-US"/>
        </w:rPr>
        <w:t>(</w:t>
      </w:r>
      <w:r w:rsidR="0022082E" w:rsidRPr="0062340E">
        <w:rPr>
          <w:rFonts w:asciiTheme="majorBidi" w:hAnsiTheme="majorBidi" w:cstheme="majorBidi"/>
          <w:sz w:val="24"/>
          <w:szCs w:val="24"/>
          <w:lang w:val="en-US"/>
        </w:rPr>
        <w:t>Serre and Heinzlef</w:t>
      </w:r>
      <w:r w:rsidR="0022082E" w:rsidRPr="0062340E">
        <w:rPr>
          <w:rFonts w:asciiTheme="majorBidi" w:hAnsiTheme="majorBidi" w:cstheme="majorBidi"/>
          <w:color w:val="0D0D0D"/>
          <w:sz w:val="24"/>
          <w:szCs w:val="24"/>
          <w:lang w:val="en-US"/>
        </w:rPr>
        <w:t>, 2018</w:t>
      </w:r>
      <w:r w:rsidR="0022082E" w:rsidRPr="0062340E">
        <w:rPr>
          <w:rFonts w:asciiTheme="majorBidi" w:hAnsiTheme="majorBidi" w:cstheme="majorBidi"/>
          <w:sz w:val="24"/>
          <w:szCs w:val="24"/>
          <w:lang w:val="en-US"/>
        </w:rPr>
        <w:t>;</w:t>
      </w:r>
      <w:r w:rsidR="0022082E" w:rsidRPr="0062340E">
        <w:rPr>
          <w:rFonts w:asciiTheme="majorBidi" w:hAnsiTheme="majorBidi" w:cstheme="majorBidi"/>
          <w:color w:val="0D0D0D"/>
          <w:sz w:val="24"/>
          <w:szCs w:val="24"/>
          <w:lang w:val="en-US"/>
        </w:rPr>
        <w:t xml:space="preserve"> Coaffee and Lee, 2016)</w:t>
      </w:r>
      <w:r w:rsidR="0022082E" w:rsidRPr="0062340E">
        <w:rPr>
          <w:rFonts w:ascii="Simplified Arabic" w:hAnsi="Simplified Arabic" w:cs="Simplified Arabic" w:hint="cs"/>
          <w:sz w:val="24"/>
          <w:szCs w:val="24"/>
          <w:rtl/>
          <w:lang w:val="en-US" w:bidi="ar-DZ"/>
        </w:rPr>
        <w:t>،</w:t>
      </w:r>
      <w:r w:rsidR="0022082E" w:rsidRPr="0062340E">
        <w:rPr>
          <w:rFonts w:asciiTheme="minorBidi" w:hAnsiTheme="minorBidi" w:cs="Arial" w:hint="cs"/>
          <w:sz w:val="24"/>
          <w:szCs w:val="24"/>
          <w:rtl/>
          <w:lang w:val="en-US"/>
        </w:rPr>
        <w:t xml:space="preserve"> </w:t>
      </w:r>
      <w:r w:rsidR="0022082E" w:rsidRPr="0062340E">
        <w:rPr>
          <w:rFonts w:ascii="Simplified Arabic" w:hAnsi="Simplified Arabic" w:cs="Simplified Arabic" w:hint="cs"/>
          <w:sz w:val="24"/>
          <w:szCs w:val="24"/>
          <w:rtl/>
          <w:lang w:val="en-US" w:bidi="ar-DZ"/>
        </w:rPr>
        <w:t>كما انها تساهم في الاقتصاد</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 xml:space="preserve">الحضري </w:t>
      </w:r>
      <w:r w:rsidR="0022082E" w:rsidRPr="0062340E">
        <w:rPr>
          <w:rFonts w:asciiTheme="majorBidi" w:hAnsiTheme="majorBidi" w:cstheme="majorBidi"/>
          <w:color w:val="0D0D0D"/>
          <w:sz w:val="24"/>
          <w:szCs w:val="24"/>
          <w:lang w:val="en-US"/>
        </w:rPr>
        <w:t>(Benito del Pozo and López-González, 2019)</w:t>
      </w:r>
      <w:r w:rsidR="0022082E" w:rsidRPr="0062340E">
        <w:rPr>
          <w:rFonts w:ascii="Simplified Arabic" w:hAnsi="Simplified Arabic" w:cs="Simplified Arabic" w:hint="cs"/>
          <w:sz w:val="24"/>
          <w:szCs w:val="24"/>
          <w:rtl/>
          <w:lang w:val="en-US" w:bidi="ar-DZ"/>
        </w:rPr>
        <w:t xml:space="preserve"> وتوفر طرقاً جديدة</w:t>
      </w:r>
      <w:r w:rsidR="00E418A5" w:rsidRPr="0062340E">
        <w:rPr>
          <w:rFonts w:ascii="Simplified Arabic" w:hAnsi="Simplified Arabic" w:cs="Simplified Arabic" w:hint="cs"/>
          <w:sz w:val="24"/>
          <w:szCs w:val="24"/>
          <w:rtl/>
          <w:lang w:val="en-US" w:bidi="ar-DZ"/>
        </w:rPr>
        <w:t>ً</w:t>
      </w:r>
      <w:r w:rsidR="0022082E" w:rsidRPr="0062340E">
        <w:rPr>
          <w:rFonts w:ascii="Simplified Arabic" w:hAnsi="Simplified Arabic" w:cs="Simplified Arabic" w:hint="cs"/>
          <w:sz w:val="24"/>
          <w:szCs w:val="24"/>
          <w:rtl/>
          <w:lang w:val="en-US" w:bidi="ar-DZ"/>
        </w:rPr>
        <w:t xml:space="preserve"> في التخطيط</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hint="cs"/>
          <w:sz w:val="24"/>
          <w:szCs w:val="24"/>
          <w:rtl/>
          <w:lang w:val="en-US" w:bidi="ar-DZ"/>
        </w:rPr>
        <w:t>الحضر</w:t>
      </w:r>
      <w:r w:rsidR="0022082E" w:rsidRPr="0062340E">
        <w:rPr>
          <w:rFonts w:ascii="Simplified Arabic" w:hAnsi="Simplified Arabic" w:cs="Simplified Arabic"/>
          <w:sz w:val="24"/>
          <w:szCs w:val="24"/>
          <w:rtl/>
          <w:lang w:val="en-US" w:bidi="ar-DZ"/>
        </w:rPr>
        <w:t>ي</w:t>
      </w:r>
      <w:r w:rsidR="0022082E" w:rsidRPr="0062340E">
        <w:rPr>
          <w:rFonts w:ascii="Simplified Arabic" w:eastAsia="Times New Roman" w:hAnsi="Simplified Arabic" w:cs="Simplified Arabic"/>
          <w:b/>
          <w:sz w:val="24"/>
          <w:szCs w:val="24"/>
          <w:rtl/>
          <w:lang w:val="en-US" w:eastAsia="fr-FR"/>
        </w:rPr>
        <w:t xml:space="preserve"> </w:t>
      </w:r>
      <w:r w:rsidR="0022082E" w:rsidRPr="0062340E">
        <w:rPr>
          <w:rFonts w:asciiTheme="majorBidi" w:hAnsiTheme="majorBidi" w:cstheme="majorBidi"/>
          <w:color w:val="0D0D0D"/>
          <w:sz w:val="24"/>
          <w:szCs w:val="24"/>
          <w:rtl/>
          <w:lang w:val="en-US"/>
        </w:rPr>
        <w:t>(</w:t>
      </w:r>
      <w:r w:rsidR="0022082E" w:rsidRPr="0062340E">
        <w:rPr>
          <w:rFonts w:asciiTheme="majorBidi" w:hAnsiTheme="majorBidi" w:cstheme="majorBidi"/>
          <w:color w:val="0D0D0D"/>
          <w:sz w:val="24"/>
          <w:szCs w:val="24"/>
          <w:lang w:val="en-US"/>
        </w:rPr>
        <w:t>2019</w:t>
      </w:r>
      <w:r w:rsidR="0022082E" w:rsidRPr="0062340E">
        <w:rPr>
          <w:rFonts w:asciiTheme="majorBidi" w:hAnsiTheme="majorBidi" w:cstheme="majorBidi" w:hint="cs"/>
          <w:color w:val="0D0D0D"/>
          <w:sz w:val="24"/>
          <w:szCs w:val="24"/>
          <w:rtl/>
          <w:lang w:val="en-US"/>
        </w:rPr>
        <w:t xml:space="preserve"> </w:t>
      </w:r>
      <w:r w:rsidR="009426E2" w:rsidRPr="0062340E">
        <w:rPr>
          <w:rFonts w:asciiTheme="majorBidi" w:hAnsiTheme="majorBidi" w:cstheme="majorBidi"/>
          <w:color w:val="0D0D0D"/>
          <w:sz w:val="24"/>
          <w:szCs w:val="24"/>
          <w:lang w:val="en-US"/>
        </w:rPr>
        <w:t>Bertilsson,</w:t>
      </w:r>
      <w:r w:rsidR="0022082E" w:rsidRPr="0062340E">
        <w:rPr>
          <w:rFonts w:asciiTheme="majorBidi" w:hAnsiTheme="majorBidi" w:cstheme="majorBidi"/>
          <w:color w:val="0D0D0D"/>
          <w:sz w:val="24"/>
          <w:szCs w:val="24"/>
          <w:rtl/>
          <w:lang w:val="en-US"/>
        </w:rPr>
        <w:t>)</w:t>
      </w:r>
      <w:r w:rsidR="0022082E" w:rsidRPr="0062340E">
        <w:rPr>
          <w:rFonts w:ascii="Simplified Arabic" w:hAnsi="Simplified Arabic" w:cs="Simplified Arabic"/>
          <w:sz w:val="24"/>
          <w:szCs w:val="24"/>
          <w:rtl/>
          <w:lang w:val="en-US" w:bidi="ar-DZ"/>
        </w:rPr>
        <w:t>.</w:t>
      </w:r>
      <w:r w:rsidR="009F0FE8" w:rsidRPr="0062340E">
        <w:rPr>
          <w:rFonts w:ascii="Simplified Arabic" w:hAnsi="Simplified Arabic" w:cs="Simplified Arabic" w:hint="cs"/>
          <w:sz w:val="24"/>
          <w:szCs w:val="24"/>
          <w:rtl/>
          <w:lang w:val="en-US" w:bidi="ar-DZ"/>
        </w:rPr>
        <w:t xml:space="preserve"> </w:t>
      </w:r>
    </w:p>
    <w:p w:rsidR="009121C9" w:rsidRPr="0062340E" w:rsidRDefault="00F450E1" w:rsidP="00A71AB0">
      <w:pPr>
        <w:autoSpaceDE w:val="0"/>
        <w:autoSpaceDN w:val="0"/>
        <w:bidi/>
        <w:adjustRightInd w:val="0"/>
        <w:spacing w:before="240"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lang w:val="en-US" w:bidi="ar-DZ"/>
        </w:rPr>
        <w:t>لا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يزال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هناك</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نقص</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في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البحث حول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الحضرية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للمدن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الجزائرية</w:t>
      </w:r>
      <w:r w:rsidR="008B24FF" w:rsidRPr="0062340E">
        <w:rPr>
          <w:rFonts w:ascii="Simplified Arabic" w:hAnsi="Simplified Arabic" w:cs="Simplified Arabic" w:hint="cs"/>
          <w:sz w:val="24"/>
          <w:szCs w:val="24"/>
          <w:rtl/>
          <w:lang w:val="en-US" w:bidi="ar-DZ"/>
        </w:rPr>
        <w:t>،</w:t>
      </w:r>
      <w:r w:rsidR="006C0BF6" w:rsidRPr="0062340E">
        <w:rPr>
          <w:rFonts w:ascii="Simplified Arabic" w:hAnsi="Simplified Arabic" w:cs="Simplified Arabic" w:hint="cs"/>
          <w:sz w:val="24"/>
          <w:szCs w:val="24"/>
          <w:rtl/>
          <w:lang w:val="en-US" w:bidi="ar-DZ"/>
        </w:rPr>
        <w:t xml:space="preserve"> </w:t>
      </w:r>
      <w:r w:rsidR="008B24FF" w:rsidRPr="0062340E">
        <w:rPr>
          <w:rFonts w:ascii="Simplified Arabic" w:hAnsi="Simplified Arabic" w:cs="Simplified Arabic" w:hint="cs"/>
          <w:sz w:val="24"/>
          <w:szCs w:val="24"/>
          <w:rtl/>
          <w:lang w:val="en-US" w:bidi="ar-DZ"/>
        </w:rPr>
        <w:t xml:space="preserve">حيث </w:t>
      </w:r>
      <w:r w:rsidR="008B24FF" w:rsidRPr="0062340E">
        <w:rPr>
          <w:rFonts w:ascii="Simplified Arabic" w:hAnsi="Simplified Arabic" w:cs="Simplified Arabic" w:hint="cs"/>
          <w:sz w:val="24"/>
          <w:szCs w:val="24"/>
          <w:rtl/>
        </w:rPr>
        <w:t>تشهد مدينة بوسعادة حاليا، على غرار مدن العالم، مواجهة</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مستمرة وبوتيرة</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متسارعة</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للكوارث</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 xml:space="preserve">الحضرية </w:t>
      </w:r>
      <w:r w:rsidR="008B24FF" w:rsidRPr="0062340E">
        <w:rPr>
          <w:rFonts w:asciiTheme="majorBidi" w:hAnsiTheme="majorBidi" w:cstheme="majorBidi"/>
          <w:sz w:val="24"/>
          <w:szCs w:val="24"/>
          <w:rtl/>
        </w:rPr>
        <w:t>(</w:t>
      </w:r>
      <w:r w:rsidR="008B24FF" w:rsidRPr="0062340E">
        <w:rPr>
          <w:rFonts w:asciiTheme="majorBidi" w:hAnsiTheme="majorBidi" w:cstheme="majorBidi"/>
          <w:sz w:val="24"/>
          <w:szCs w:val="24"/>
        </w:rPr>
        <w:t xml:space="preserve">Godschalk, </w:t>
      </w:r>
      <w:r w:rsidR="00A71AB0" w:rsidRPr="0062340E">
        <w:rPr>
          <w:rFonts w:asciiTheme="majorBidi" w:hAnsiTheme="majorBidi" w:cstheme="majorBidi" w:hint="cs"/>
          <w:sz w:val="24"/>
          <w:szCs w:val="24"/>
          <w:rtl/>
        </w:rPr>
        <w:t>2003</w:t>
      </w:r>
      <w:r w:rsidR="008B24FF" w:rsidRPr="0062340E">
        <w:rPr>
          <w:rFonts w:asciiTheme="majorBidi" w:hAnsiTheme="majorBidi" w:cstheme="majorBidi"/>
          <w:sz w:val="24"/>
          <w:szCs w:val="24"/>
          <w:rtl/>
        </w:rPr>
        <w:t>)</w:t>
      </w:r>
      <w:r w:rsidR="008B24FF" w:rsidRPr="0062340E">
        <w:rPr>
          <w:rFonts w:ascii="Simplified Arabic" w:hAnsi="Simplified Arabic" w:cs="Simplified Arabic" w:hint="cs"/>
          <w:sz w:val="24"/>
          <w:szCs w:val="24"/>
          <w:rtl/>
        </w:rPr>
        <w:t>،</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لذا تدعو</w:t>
      </w:r>
      <w:r w:rsidR="008B24FF"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الابحاث</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إلى</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استكشاف</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استراتيجيات</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الوقاية</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من</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الكوارث</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وإدماج</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مفهوم</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المرونة</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ضمن</w:t>
      </w:r>
      <w:r w:rsidR="008B24FF" w:rsidRPr="0062340E">
        <w:rPr>
          <w:rFonts w:ascii="Simplified Arabic" w:hAnsi="Simplified Arabic" w:cs="Simplified Arabic"/>
          <w:sz w:val="24"/>
          <w:szCs w:val="24"/>
          <w:rtl/>
        </w:rPr>
        <w:t xml:space="preserve"> </w:t>
      </w:r>
      <w:r w:rsidR="008B24FF" w:rsidRPr="0062340E">
        <w:rPr>
          <w:rFonts w:ascii="Simplified Arabic" w:hAnsi="Simplified Arabic" w:cs="Simplified Arabic" w:hint="cs"/>
          <w:sz w:val="24"/>
          <w:szCs w:val="24"/>
          <w:rtl/>
        </w:rPr>
        <w:t>استراتيجيات التسيير</w:t>
      </w:r>
      <w:r w:rsidR="008B24FF" w:rsidRPr="0062340E">
        <w:rPr>
          <w:rFonts w:ascii="Simplified Arabic" w:hAnsi="Simplified Arabic" w:cs="Simplified Arabic" w:hint="cs"/>
          <w:sz w:val="24"/>
          <w:szCs w:val="24"/>
          <w:rtl/>
          <w:lang w:val="en-US" w:bidi="ar-DZ"/>
        </w:rPr>
        <w:t xml:space="preserve"> والتخطيط</w:t>
      </w:r>
      <w:r w:rsidR="008B24FF" w:rsidRPr="0062340E">
        <w:rPr>
          <w:rFonts w:ascii="Simplified Arabic" w:hAnsi="Simplified Arabic" w:cs="Simplified Arabic"/>
          <w:sz w:val="24"/>
          <w:szCs w:val="24"/>
          <w:rtl/>
          <w:lang w:val="en-US" w:bidi="ar-DZ"/>
        </w:rPr>
        <w:t xml:space="preserve"> </w:t>
      </w:r>
      <w:r w:rsidR="008B24FF" w:rsidRPr="0062340E">
        <w:rPr>
          <w:rFonts w:ascii="Simplified Arabic" w:hAnsi="Simplified Arabic" w:cs="Simplified Arabic" w:hint="cs"/>
          <w:sz w:val="24"/>
          <w:szCs w:val="24"/>
          <w:rtl/>
          <w:lang w:val="en-US" w:bidi="ar-DZ"/>
        </w:rPr>
        <w:t>الحضر</w:t>
      </w:r>
      <w:r w:rsidR="008B24FF" w:rsidRPr="0062340E">
        <w:rPr>
          <w:rFonts w:ascii="Simplified Arabic" w:hAnsi="Simplified Arabic" w:cs="Simplified Arabic"/>
          <w:sz w:val="24"/>
          <w:szCs w:val="24"/>
          <w:rtl/>
          <w:lang w:val="en-US" w:bidi="ar-DZ"/>
        </w:rPr>
        <w:t>ي</w:t>
      </w:r>
      <w:r w:rsidR="008B24FF" w:rsidRPr="0062340E">
        <w:rPr>
          <w:rFonts w:ascii="Simplified Arabic" w:hAnsi="Simplified Arabic" w:cs="Simplified Arabic" w:hint="cs"/>
          <w:sz w:val="24"/>
          <w:szCs w:val="24"/>
          <w:rtl/>
          <w:lang w:val="en-US" w:bidi="ar-DZ"/>
        </w:rPr>
        <w:t>ين</w:t>
      </w:r>
      <w:r w:rsidR="008B24FF" w:rsidRPr="0062340E">
        <w:rPr>
          <w:rFonts w:ascii="Simplified Arabic" w:hAnsi="Simplified Arabic" w:cs="Simplified Arabic" w:hint="cs"/>
          <w:sz w:val="24"/>
          <w:szCs w:val="24"/>
          <w:rtl/>
        </w:rPr>
        <w:t>.</w:t>
      </w:r>
      <w:r w:rsidR="00197919" w:rsidRPr="0062340E">
        <w:rPr>
          <w:rFonts w:ascii="Simplified Arabic" w:hAnsi="Simplified Arabic" w:cs="Simplified Arabic" w:hint="cs"/>
          <w:sz w:val="24"/>
          <w:szCs w:val="24"/>
          <w:rtl/>
        </w:rPr>
        <w:t xml:space="preserve"> </w:t>
      </w:r>
      <w:r w:rsidR="006C0BF6" w:rsidRPr="0062340E">
        <w:rPr>
          <w:rFonts w:ascii="Simplified Arabic" w:hAnsi="Simplified Arabic" w:cs="Simplified Arabic" w:hint="cs"/>
          <w:sz w:val="24"/>
          <w:szCs w:val="24"/>
          <w:rtl/>
          <w:lang w:val="en-US" w:bidi="ar-DZ"/>
        </w:rPr>
        <w:t>تم</w:t>
      </w:r>
      <w:r w:rsidR="006C0BF6" w:rsidRPr="0062340E">
        <w:rPr>
          <w:rFonts w:ascii="Simplified Arabic" w:hAnsi="Simplified Arabic" w:cs="Simplified Arabic"/>
          <w:sz w:val="24"/>
          <w:szCs w:val="24"/>
          <w:rtl/>
          <w:lang w:val="en-US" w:bidi="ar-DZ"/>
        </w:rPr>
        <w:t xml:space="preserve"> </w:t>
      </w:r>
      <w:r w:rsidR="006C0BF6" w:rsidRPr="0062340E">
        <w:rPr>
          <w:rFonts w:ascii="Simplified Arabic" w:hAnsi="Simplified Arabic" w:cs="Simplified Arabic" w:hint="cs"/>
          <w:sz w:val="24"/>
          <w:szCs w:val="24"/>
          <w:rtl/>
          <w:lang w:val="en-US" w:bidi="ar-DZ"/>
        </w:rPr>
        <w:t>إيلاء</w:t>
      </w:r>
      <w:r w:rsidR="006C0BF6" w:rsidRPr="0062340E">
        <w:rPr>
          <w:rFonts w:ascii="Simplified Arabic" w:hAnsi="Simplified Arabic" w:cs="Simplified Arabic"/>
          <w:sz w:val="24"/>
          <w:szCs w:val="24"/>
          <w:rtl/>
          <w:lang w:val="en-US" w:bidi="ar-DZ"/>
        </w:rPr>
        <w:t xml:space="preserve"> </w:t>
      </w:r>
      <w:r w:rsidR="006C0BF6" w:rsidRPr="0062340E">
        <w:rPr>
          <w:rFonts w:ascii="Simplified Arabic" w:hAnsi="Simplified Arabic" w:cs="Simplified Arabic" w:hint="cs"/>
          <w:sz w:val="24"/>
          <w:szCs w:val="24"/>
          <w:rtl/>
          <w:lang w:val="en-US" w:bidi="ar-DZ"/>
        </w:rPr>
        <w:t>اهتمام</w:t>
      </w:r>
      <w:r w:rsidR="006C0BF6" w:rsidRPr="0062340E">
        <w:rPr>
          <w:rFonts w:ascii="Simplified Arabic" w:hAnsi="Simplified Arabic" w:cs="Simplified Arabic"/>
          <w:sz w:val="24"/>
          <w:szCs w:val="24"/>
          <w:rtl/>
          <w:lang w:val="en-US" w:bidi="ar-DZ"/>
        </w:rPr>
        <w:t xml:space="preserve"> </w:t>
      </w:r>
      <w:r w:rsidR="006C0BF6" w:rsidRPr="0062340E">
        <w:rPr>
          <w:rFonts w:ascii="Simplified Arabic" w:hAnsi="Simplified Arabic" w:cs="Simplified Arabic" w:hint="cs"/>
          <w:sz w:val="24"/>
          <w:szCs w:val="24"/>
          <w:rtl/>
          <w:lang w:val="en-US" w:bidi="ar-DZ"/>
        </w:rPr>
        <w:t>خاص</w:t>
      </w:r>
      <w:r w:rsidR="006C0BF6" w:rsidRPr="0062340E">
        <w:rPr>
          <w:rFonts w:ascii="Simplified Arabic" w:hAnsi="Simplified Arabic" w:cs="Simplified Arabic"/>
          <w:sz w:val="24"/>
          <w:szCs w:val="24"/>
          <w:rtl/>
          <w:lang w:val="en-US" w:bidi="ar-DZ"/>
        </w:rPr>
        <w:t xml:space="preserve"> </w:t>
      </w:r>
      <w:r w:rsidR="006C0BF6" w:rsidRPr="0062340E">
        <w:rPr>
          <w:rFonts w:ascii="Simplified Arabic" w:hAnsi="Simplified Arabic" w:cs="Simplified Arabic" w:hint="cs"/>
          <w:sz w:val="24"/>
          <w:szCs w:val="24"/>
          <w:rtl/>
          <w:lang w:val="en-US" w:bidi="ar-DZ"/>
        </w:rPr>
        <w:t>في</w:t>
      </w:r>
      <w:r w:rsidR="006C0BF6" w:rsidRPr="0062340E">
        <w:rPr>
          <w:rFonts w:ascii="Simplified Arabic" w:hAnsi="Simplified Arabic" w:cs="Simplified Arabic"/>
          <w:sz w:val="24"/>
          <w:szCs w:val="24"/>
          <w:rtl/>
          <w:lang w:val="en-US" w:bidi="ar-DZ"/>
        </w:rPr>
        <w:t xml:space="preserve"> </w:t>
      </w:r>
      <w:r w:rsidR="006C0BF6" w:rsidRPr="0062340E">
        <w:rPr>
          <w:rFonts w:ascii="Simplified Arabic" w:hAnsi="Simplified Arabic" w:cs="Simplified Arabic" w:hint="cs"/>
          <w:sz w:val="24"/>
          <w:szCs w:val="24"/>
          <w:rtl/>
          <w:lang w:val="en-US" w:bidi="ar-DZ"/>
        </w:rPr>
        <w:t>هذ</w:t>
      </w:r>
      <w:r w:rsidR="004A046D" w:rsidRPr="0062340E">
        <w:rPr>
          <w:rFonts w:ascii="Simplified Arabic" w:hAnsi="Simplified Arabic" w:cs="Simplified Arabic" w:hint="cs"/>
          <w:sz w:val="24"/>
          <w:szCs w:val="24"/>
          <w:rtl/>
          <w:lang w:val="en-US" w:bidi="ar-DZ"/>
        </w:rPr>
        <w:t>ا</w:t>
      </w:r>
      <w:r w:rsidR="006C0BF6" w:rsidRPr="0062340E">
        <w:rPr>
          <w:rFonts w:ascii="Simplified Arabic" w:hAnsi="Simplified Arabic" w:cs="Simplified Arabic"/>
          <w:sz w:val="24"/>
          <w:szCs w:val="24"/>
          <w:rtl/>
          <w:lang w:val="en-US" w:bidi="ar-DZ"/>
        </w:rPr>
        <w:t xml:space="preserve"> </w:t>
      </w:r>
      <w:r w:rsidR="004A046D" w:rsidRPr="0062340E">
        <w:rPr>
          <w:rFonts w:ascii="Simplified Arabic" w:hAnsi="Simplified Arabic" w:cs="Simplified Arabic" w:hint="cs"/>
          <w:sz w:val="24"/>
          <w:szCs w:val="24"/>
          <w:rtl/>
          <w:lang w:val="en-US" w:bidi="ar-DZ"/>
        </w:rPr>
        <w:t>البحث</w:t>
      </w:r>
      <w:r w:rsidR="006C0BF6" w:rsidRPr="0062340E">
        <w:rPr>
          <w:rFonts w:ascii="Simplified Arabic" w:hAnsi="Simplified Arabic" w:cs="Simplified Arabic"/>
          <w:sz w:val="24"/>
          <w:szCs w:val="24"/>
          <w:rtl/>
          <w:lang w:val="en-US" w:bidi="ar-DZ"/>
        </w:rPr>
        <w:t xml:space="preserve"> </w:t>
      </w:r>
      <w:r w:rsidR="00C16655" w:rsidRPr="0062340E">
        <w:rPr>
          <w:rFonts w:ascii="Simplified Arabic" w:hAnsi="Simplified Arabic" w:cs="Simplified Arabic" w:hint="cs"/>
          <w:sz w:val="24"/>
          <w:szCs w:val="24"/>
          <w:rtl/>
          <w:lang w:val="en-US" w:bidi="ar-DZ"/>
        </w:rPr>
        <w:t>لتطوير منهجي</w:t>
      </w:r>
      <w:r w:rsidR="006C0BF6" w:rsidRPr="0062340E">
        <w:rPr>
          <w:rFonts w:ascii="Simplified Arabic" w:hAnsi="Simplified Arabic" w:cs="Simplified Arabic" w:hint="cs"/>
          <w:sz w:val="24"/>
          <w:szCs w:val="24"/>
          <w:rtl/>
          <w:lang w:val="en-US" w:bidi="ar-DZ"/>
        </w:rPr>
        <w:t>ة</w:t>
      </w:r>
      <w:r w:rsidR="006C0BF6" w:rsidRPr="0062340E">
        <w:rPr>
          <w:rFonts w:ascii="Simplified Arabic" w:hAnsi="Simplified Arabic" w:cs="Simplified Arabic"/>
          <w:sz w:val="24"/>
          <w:szCs w:val="24"/>
          <w:rtl/>
          <w:lang w:val="en-US" w:bidi="ar-DZ"/>
        </w:rPr>
        <w:t xml:space="preserve"> </w:t>
      </w:r>
      <w:r w:rsidR="008B24FF" w:rsidRPr="0062340E">
        <w:rPr>
          <w:rFonts w:ascii="Simplified Arabic" w:hAnsi="Simplified Arabic" w:cs="Simplified Arabic" w:hint="cs"/>
          <w:sz w:val="24"/>
          <w:szCs w:val="24"/>
          <w:rtl/>
          <w:lang w:val="en-US" w:bidi="ar-DZ"/>
        </w:rPr>
        <w:t>للكشف عن</w:t>
      </w:r>
      <w:r w:rsidR="009121C9" w:rsidRPr="0062340E">
        <w:rPr>
          <w:rFonts w:ascii="Simplified Arabic" w:hAnsi="Simplified Arabic" w:cs="Simplified Arabic"/>
          <w:sz w:val="24"/>
          <w:szCs w:val="24"/>
          <w:rtl/>
        </w:rPr>
        <w:t xml:space="preserve"> العلاقة بين </w:t>
      </w:r>
      <w:r w:rsidR="008B24FF" w:rsidRPr="0062340E">
        <w:rPr>
          <w:rFonts w:ascii="Simplified Arabic" w:hAnsi="Simplified Arabic" w:cs="Simplified Arabic" w:hint="cs"/>
          <w:sz w:val="24"/>
          <w:szCs w:val="24"/>
          <w:rtl/>
        </w:rPr>
        <w:t xml:space="preserve">نمط </w:t>
      </w:r>
      <w:r w:rsidR="00601146" w:rsidRPr="0062340E">
        <w:rPr>
          <w:rFonts w:ascii="Simplified Arabic" w:hAnsi="Simplified Arabic" w:cs="Simplified Arabic" w:hint="cs"/>
          <w:sz w:val="24"/>
          <w:szCs w:val="24"/>
          <w:rtl/>
          <w:lang w:val="en-US" w:bidi="ar-DZ"/>
        </w:rPr>
        <w:t>استعمال</w:t>
      </w:r>
      <w:r w:rsidR="00601146"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rPr>
        <w:t>الارض الحضرية</w:t>
      </w:r>
      <w:r w:rsidR="009121C9" w:rsidRPr="0062340E">
        <w:rPr>
          <w:rFonts w:ascii="Simplified Arabic" w:hAnsi="Simplified Arabic" w:cs="Simplified Arabic"/>
          <w:sz w:val="24"/>
          <w:szCs w:val="24"/>
          <w:rtl/>
        </w:rPr>
        <w:t xml:space="preserve"> ومرونة </w:t>
      </w:r>
      <w:r w:rsidR="009121C9" w:rsidRPr="0062340E">
        <w:rPr>
          <w:rFonts w:ascii="Simplified Arabic" w:hAnsi="Simplified Arabic" w:cs="Simplified Arabic" w:hint="cs"/>
          <w:sz w:val="24"/>
          <w:szCs w:val="24"/>
          <w:rtl/>
        </w:rPr>
        <w:t xml:space="preserve">مدينة بوسعادة، </w:t>
      </w:r>
      <w:r w:rsidR="009121C9" w:rsidRPr="0062340E">
        <w:rPr>
          <w:rFonts w:ascii="Simplified Arabic" w:hAnsi="Simplified Arabic" w:cs="Simplified Arabic"/>
          <w:sz w:val="24"/>
          <w:szCs w:val="24"/>
          <w:rtl/>
        </w:rPr>
        <w:t>لمعرفة ما إذا كان</w:t>
      </w:r>
      <w:r w:rsidR="009121C9" w:rsidRPr="0062340E">
        <w:rPr>
          <w:rFonts w:ascii="Simplified Arabic" w:hAnsi="Simplified Arabic" w:cs="Simplified Arabic" w:hint="cs"/>
          <w:sz w:val="24"/>
          <w:szCs w:val="24"/>
          <w:rtl/>
        </w:rPr>
        <w:t xml:space="preserve"> </w:t>
      </w:r>
      <w:r w:rsidR="009121C9" w:rsidRPr="0062340E">
        <w:rPr>
          <w:rFonts w:ascii="Simplified Arabic" w:hAnsi="Simplified Arabic" w:cs="Simplified Arabic"/>
          <w:sz w:val="24"/>
          <w:szCs w:val="24"/>
          <w:rtl/>
        </w:rPr>
        <w:t xml:space="preserve">يمكن أن تتأثر مرونة </w:t>
      </w:r>
      <w:r w:rsidR="009121C9" w:rsidRPr="0062340E">
        <w:rPr>
          <w:rFonts w:ascii="Simplified Arabic" w:hAnsi="Simplified Arabic" w:cs="Simplified Arabic" w:hint="cs"/>
          <w:sz w:val="24"/>
          <w:szCs w:val="24"/>
          <w:rtl/>
        </w:rPr>
        <w:t>ال</w:t>
      </w:r>
      <w:r w:rsidR="0028087F" w:rsidRPr="0062340E">
        <w:rPr>
          <w:rFonts w:ascii="Simplified Arabic" w:hAnsi="Simplified Arabic" w:cs="Simplified Arabic" w:hint="cs"/>
          <w:sz w:val="24"/>
          <w:szCs w:val="24"/>
          <w:rtl/>
        </w:rPr>
        <w:t>مدن</w:t>
      </w:r>
      <w:r w:rsidR="009121C9" w:rsidRPr="0062340E">
        <w:rPr>
          <w:rFonts w:ascii="Simplified Arabic" w:hAnsi="Simplified Arabic" w:cs="Simplified Arabic" w:hint="cs"/>
          <w:sz w:val="24"/>
          <w:szCs w:val="24"/>
          <w:rtl/>
        </w:rPr>
        <w:t xml:space="preserve"> </w:t>
      </w:r>
      <w:r w:rsidR="009121C9" w:rsidRPr="0062340E">
        <w:rPr>
          <w:rFonts w:ascii="Simplified Arabic" w:hAnsi="Simplified Arabic" w:cs="Simplified Arabic"/>
          <w:sz w:val="24"/>
          <w:szCs w:val="24"/>
          <w:rtl/>
        </w:rPr>
        <w:t>ب</w:t>
      </w:r>
      <w:r w:rsidR="009121C9" w:rsidRPr="0062340E">
        <w:rPr>
          <w:rFonts w:ascii="Simplified Arabic" w:hAnsi="Simplified Arabic" w:cs="Simplified Arabic" w:hint="cs"/>
          <w:sz w:val="24"/>
          <w:szCs w:val="24"/>
          <w:rtl/>
        </w:rPr>
        <w:t xml:space="preserve">خصائص </w:t>
      </w:r>
      <w:r w:rsidR="00601146" w:rsidRPr="0062340E">
        <w:rPr>
          <w:rFonts w:ascii="Simplified Arabic" w:hAnsi="Simplified Arabic" w:cs="Simplified Arabic" w:hint="cs"/>
          <w:sz w:val="24"/>
          <w:szCs w:val="24"/>
          <w:rtl/>
          <w:lang w:val="en-US" w:bidi="ar-DZ"/>
        </w:rPr>
        <w:t>استعمال</w:t>
      </w:r>
      <w:r w:rsidR="00601146"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rPr>
        <w:t xml:space="preserve">الارض الحضرية. </w:t>
      </w:r>
    </w:p>
    <w:p w:rsidR="006C0BF6" w:rsidRPr="0062340E" w:rsidRDefault="006C0BF6" w:rsidP="009435DE">
      <w:pPr>
        <w:autoSpaceDE w:val="0"/>
        <w:autoSpaceDN w:val="0"/>
        <w:bidi/>
        <w:adjustRightInd w:val="0"/>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الهدف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الرئيسي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البحث</w:t>
      </w:r>
      <w:r w:rsidR="00DF20A8" w:rsidRPr="0062340E">
        <w:rPr>
          <w:rFonts w:ascii="Simplified Arabic" w:hAnsi="Simplified Arabic" w:cs="Simplified Arabic" w:hint="cs"/>
          <w:sz w:val="24"/>
          <w:szCs w:val="24"/>
          <w:rtl/>
          <w:lang w:val="en-US" w:bidi="ar-DZ"/>
        </w:rPr>
        <w:t>،</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هو</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تقييم </w:t>
      </w:r>
      <w:r w:rsidR="00DB4514" w:rsidRPr="0062340E">
        <w:rPr>
          <w:rFonts w:ascii="Simplified Arabic" w:hAnsi="Simplified Arabic" w:cs="Simplified Arabic" w:hint="cs"/>
          <w:sz w:val="24"/>
          <w:szCs w:val="24"/>
          <w:rtl/>
          <w:lang w:val="en-US" w:bidi="ar-DZ"/>
        </w:rPr>
        <w:t xml:space="preserve">مستويات </w:t>
      </w:r>
      <w:r w:rsidR="004A046D" w:rsidRPr="0062340E">
        <w:rPr>
          <w:rFonts w:ascii="Simplified Arabic" w:hAnsi="Simplified Arabic" w:cs="Simplified Arabic" w:hint="cs"/>
          <w:sz w:val="24"/>
          <w:szCs w:val="24"/>
          <w:rtl/>
          <w:lang w:val="en-US" w:bidi="ar-DZ"/>
        </w:rPr>
        <w:t>ال</w:t>
      </w:r>
      <w:r w:rsidRPr="0062340E">
        <w:rPr>
          <w:rFonts w:ascii="Simplified Arabic" w:hAnsi="Simplified Arabic" w:cs="Simplified Arabic" w:hint="cs"/>
          <w:sz w:val="24"/>
          <w:szCs w:val="24"/>
          <w:rtl/>
          <w:lang w:val="en-US" w:bidi="ar-DZ"/>
        </w:rPr>
        <w:t xml:space="preserve">مرونة </w:t>
      </w:r>
      <w:r w:rsidR="004A046D" w:rsidRPr="0062340E">
        <w:rPr>
          <w:rFonts w:ascii="Simplified Arabic" w:hAnsi="Simplified Arabic" w:cs="Simplified Arabic" w:hint="cs"/>
          <w:sz w:val="24"/>
          <w:szCs w:val="24"/>
          <w:rtl/>
          <w:lang w:val="en-US" w:bidi="ar-DZ"/>
        </w:rPr>
        <w:t>الحضرية ل</w:t>
      </w:r>
      <w:r w:rsidRPr="0062340E">
        <w:rPr>
          <w:rFonts w:ascii="Simplified Arabic" w:hAnsi="Simplified Arabic" w:cs="Simplified Arabic" w:hint="cs"/>
          <w:sz w:val="24"/>
          <w:szCs w:val="24"/>
          <w:rtl/>
          <w:lang w:val="en-US" w:bidi="ar-DZ"/>
        </w:rPr>
        <w:t>مدينة بوسعادة</w:t>
      </w:r>
      <w:r w:rsidR="004A046D" w:rsidRPr="0062340E">
        <w:rPr>
          <w:rFonts w:ascii="Simplified Arabic" w:hAnsi="Simplified Arabic" w:cs="Simplified Arabic" w:hint="cs"/>
          <w:sz w:val="24"/>
          <w:szCs w:val="24"/>
          <w:rtl/>
          <w:lang w:val="en-US" w:bidi="ar-DZ"/>
        </w:rPr>
        <w:t xml:space="preserve"> استنادًا الى استكشاف وتحليل </w:t>
      </w:r>
      <w:r w:rsidR="007B1CC6" w:rsidRPr="0062340E">
        <w:rPr>
          <w:rFonts w:ascii="Simplified Arabic" w:hAnsi="Simplified Arabic" w:cs="Simplified Arabic" w:hint="cs"/>
          <w:sz w:val="24"/>
          <w:szCs w:val="24"/>
          <w:rtl/>
          <w:lang w:val="en-US" w:bidi="ar-DZ"/>
        </w:rPr>
        <w:t xml:space="preserve">مختلف انماط </w:t>
      </w:r>
      <w:r w:rsidR="00601146" w:rsidRPr="0062340E">
        <w:rPr>
          <w:rFonts w:ascii="Simplified Arabic" w:hAnsi="Simplified Arabic" w:cs="Simplified Arabic" w:hint="cs"/>
          <w:sz w:val="24"/>
          <w:szCs w:val="24"/>
          <w:rtl/>
          <w:lang w:val="en-US" w:bidi="ar-DZ"/>
        </w:rPr>
        <w:t>استعمالات</w:t>
      </w:r>
      <w:r w:rsidR="00601146" w:rsidRPr="0062340E">
        <w:rPr>
          <w:rFonts w:ascii="Simplified Arabic" w:hAnsi="Simplified Arabic" w:cs="Simplified Arabic"/>
          <w:sz w:val="24"/>
          <w:szCs w:val="24"/>
          <w:rtl/>
          <w:lang w:val="en-US" w:bidi="ar-DZ"/>
        </w:rPr>
        <w:t xml:space="preserve"> </w:t>
      </w:r>
      <w:r w:rsidR="004A046D" w:rsidRPr="0062340E">
        <w:rPr>
          <w:rFonts w:ascii="Simplified Arabic" w:hAnsi="Simplified Arabic" w:cs="Simplified Arabic" w:hint="cs"/>
          <w:sz w:val="24"/>
          <w:szCs w:val="24"/>
          <w:rtl/>
          <w:lang w:val="en-US" w:bidi="ar-DZ"/>
        </w:rPr>
        <w:t>الار</w:t>
      </w:r>
      <w:r w:rsidR="00601146" w:rsidRPr="0062340E">
        <w:rPr>
          <w:rFonts w:ascii="Simplified Arabic" w:hAnsi="Simplified Arabic" w:cs="Simplified Arabic" w:hint="cs"/>
          <w:sz w:val="24"/>
          <w:szCs w:val="24"/>
          <w:rtl/>
          <w:lang w:val="en-US" w:bidi="ar-DZ"/>
        </w:rPr>
        <w:t>ا</w:t>
      </w:r>
      <w:r w:rsidR="004A046D" w:rsidRPr="0062340E">
        <w:rPr>
          <w:rFonts w:ascii="Simplified Arabic" w:hAnsi="Simplified Arabic" w:cs="Simplified Arabic" w:hint="cs"/>
          <w:sz w:val="24"/>
          <w:szCs w:val="24"/>
          <w:rtl/>
          <w:lang w:val="en-US" w:bidi="ar-DZ"/>
        </w:rPr>
        <w:t>ض</w:t>
      </w:r>
      <w:r w:rsidR="00601146" w:rsidRPr="0062340E">
        <w:rPr>
          <w:rFonts w:ascii="Simplified Arabic" w:hAnsi="Simplified Arabic" w:cs="Simplified Arabic" w:hint="cs"/>
          <w:sz w:val="24"/>
          <w:szCs w:val="24"/>
          <w:rtl/>
          <w:lang w:val="en-US" w:bidi="ar-DZ"/>
        </w:rPr>
        <w:t>ي</w:t>
      </w:r>
      <w:r w:rsidR="004A046D" w:rsidRPr="0062340E">
        <w:rPr>
          <w:rFonts w:ascii="Simplified Arabic" w:hAnsi="Simplified Arabic" w:cs="Simplified Arabic" w:hint="cs"/>
          <w:sz w:val="24"/>
          <w:szCs w:val="24"/>
          <w:rtl/>
          <w:lang w:val="en-US" w:bidi="ar-DZ"/>
        </w:rPr>
        <w:t xml:space="preserve"> الحضرية</w:t>
      </w:r>
      <w:r w:rsidR="00197919" w:rsidRPr="0062340E">
        <w:rPr>
          <w:rFonts w:ascii="Simplified Arabic" w:hAnsi="Simplified Arabic" w:cs="Simplified Arabic" w:hint="cs"/>
          <w:sz w:val="24"/>
          <w:szCs w:val="24"/>
          <w:rtl/>
          <w:lang w:val="en-US" w:bidi="ar-DZ"/>
        </w:rPr>
        <w:t xml:space="preserve"> ضمن بيئة نظم المعلومات الجغرافية </w:t>
      </w:r>
      <w:r w:rsidR="00197919" w:rsidRPr="0062340E">
        <w:rPr>
          <w:rFonts w:ascii="Times New Roman" w:eastAsia="Times New Roman" w:hAnsi="Times New Roman" w:cs="Times New Roman"/>
          <w:b/>
          <w:sz w:val="24"/>
          <w:szCs w:val="24"/>
          <w:rtl/>
          <w:lang w:eastAsia="fr-FR"/>
        </w:rPr>
        <w:t>(</w:t>
      </w:r>
      <w:r w:rsidR="00197919" w:rsidRPr="0062340E">
        <w:rPr>
          <w:rFonts w:ascii="Times New Roman" w:eastAsia="Times New Roman" w:hAnsi="Times New Roman" w:cs="Times New Roman"/>
          <w:b/>
          <w:sz w:val="24"/>
          <w:szCs w:val="24"/>
          <w:lang w:eastAsia="fr-FR"/>
        </w:rPr>
        <w:t>GIS</w:t>
      </w:r>
      <w:r w:rsidR="00197919" w:rsidRPr="0062340E">
        <w:rPr>
          <w:rFonts w:ascii="Times New Roman" w:eastAsia="Times New Roman" w:hAnsi="Times New Roman" w:cs="Times New Roman"/>
          <w:b/>
          <w:sz w:val="24"/>
          <w:szCs w:val="24"/>
          <w:rtl/>
          <w:lang w:eastAsia="fr-FR"/>
        </w:rPr>
        <w:t>)</w:t>
      </w:r>
      <w:r w:rsidRPr="0062340E">
        <w:rPr>
          <w:rFonts w:ascii="Simplified Arabic" w:hAnsi="Simplified Arabic" w:cs="Simplified Arabic" w:hint="cs"/>
          <w:sz w:val="24"/>
          <w:szCs w:val="24"/>
          <w:rtl/>
          <w:lang w:val="en-US" w:bidi="ar-DZ"/>
        </w:rPr>
        <w:t xml:space="preserve">، </w:t>
      </w:r>
      <w:r w:rsidR="00197919" w:rsidRPr="0062340E">
        <w:rPr>
          <w:rFonts w:ascii="Simplified Arabic" w:hAnsi="Simplified Arabic" w:cs="Simplified Arabic" w:hint="cs"/>
          <w:sz w:val="24"/>
          <w:szCs w:val="24"/>
          <w:rtl/>
          <w:lang w:val="en-US" w:bidi="ar-DZ"/>
        </w:rPr>
        <w:t>و</w:t>
      </w:r>
      <w:r w:rsidR="007B1CC6" w:rsidRPr="0062340E">
        <w:rPr>
          <w:rFonts w:ascii="Simplified Arabic" w:hAnsi="Simplified Arabic" w:cs="Simplified Arabic" w:hint="cs"/>
          <w:sz w:val="24"/>
          <w:szCs w:val="24"/>
          <w:rtl/>
          <w:lang w:val="en-US" w:bidi="ar-DZ"/>
        </w:rPr>
        <w:t xml:space="preserve">معرفة </w:t>
      </w:r>
      <w:r w:rsidR="00197919" w:rsidRPr="0062340E">
        <w:rPr>
          <w:rFonts w:ascii="Simplified Arabic" w:hAnsi="Simplified Arabic" w:cs="Simplified Arabic" w:hint="cs"/>
          <w:sz w:val="24"/>
          <w:szCs w:val="24"/>
          <w:rtl/>
          <w:lang w:val="en-US" w:bidi="ar-DZ"/>
        </w:rPr>
        <w:t>اهم العوامل (المعايير) التي يمكن ان تؤثر على مستويات م</w:t>
      </w:r>
      <w:r w:rsidR="00601146" w:rsidRPr="0062340E">
        <w:rPr>
          <w:rFonts w:ascii="Simplified Arabic" w:hAnsi="Simplified Arabic" w:cs="Simplified Arabic" w:hint="cs"/>
          <w:sz w:val="24"/>
          <w:szCs w:val="24"/>
          <w:rtl/>
          <w:lang w:val="en-US" w:bidi="ar-DZ"/>
        </w:rPr>
        <w:t>ر</w:t>
      </w:r>
      <w:r w:rsidR="00197919" w:rsidRPr="0062340E">
        <w:rPr>
          <w:rFonts w:ascii="Simplified Arabic" w:hAnsi="Simplified Arabic" w:cs="Simplified Arabic" w:hint="cs"/>
          <w:sz w:val="24"/>
          <w:szCs w:val="24"/>
          <w:rtl/>
          <w:lang w:val="en-US" w:bidi="ar-DZ"/>
        </w:rPr>
        <w:t>ونة ال</w:t>
      </w:r>
      <w:r w:rsidR="00601146" w:rsidRPr="0062340E">
        <w:rPr>
          <w:rFonts w:ascii="Simplified Arabic" w:hAnsi="Simplified Arabic" w:cs="Simplified Arabic" w:hint="cs"/>
          <w:sz w:val="24"/>
          <w:szCs w:val="24"/>
          <w:rtl/>
          <w:lang w:val="en-US" w:bidi="ar-DZ"/>
        </w:rPr>
        <w:t>مدين</w:t>
      </w:r>
      <w:r w:rsidR="00197919" w:rsidRPr="0062340E">
        <w:rPr>
          <w:rFonts w:ascii="Simplified Arabic" w:hAnsi="Simplified Arabic" w:cs="Simplified Arabic" w:hint="cs"/>
          <w:sz w:val="24"/>
          <w:szCs w:val="24"/>
          <w:rtl/>
          <w:lang w:val="en-US" w:bidi="ar-DZ"/>
        </w:rPr>
        <w:t xml:space="preserve">ة، </w:t>
      </w:r>
      <w:r w:rsidRPr="0062340E">
        <w:rPr>
          <w:rFonts w:ascii="Simplified Arabic" w:hAnsi="Simplified Arabic" w:cs="Simplified Arabic" w:hint="cs"/>
          <w:sz w:val="24"/>
          <w:szCs w:val="24"/>
          <w:rtl/>
          <w:lang w:val="en-US" w:bidi="ar-DZ"/>
        </w:rPr>
        <w:t>باستخدام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الطرق و التقنيات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الحديثة</w:t>
      </w:r>
      <w:r w:rsidR="00DF20A8" w:rsidRPr="0062340E">
        <w:rPr>
          <w:rFonts w:ascii="Simplified Arabic" w:hAnsi="Simplified Arabic" w:cs="Simplified Arabic" w:hint="cs"/>
          <w:sz w:val="24"/>
          <w:szCs w:val="24"/>
          <w:rtl/>
          <w:lang w:val="en-US" w:bidi="ar-DZ"/>
        </w:rPr>
        <w:t>،</w:t>
      </w:r>
      <w:r w:rsidRPr="0062340E">
        <w:rPr>
          <w:rFonts w:ascii="Simplified Arabic" w:hAnsi="Simplified Arabic" w:cs="Simplified Arabic"/>
          <w:sz w:val="24"/>
          <w:szCs w:val="24"/>
          <w:rtl/>
          <w:lang w:val="en-US" w:bidi="ar-DZ"/>
        </w:rPr>
        <w:t xml:space="preserve"> </w:t>
      </w:r>
      <w:r w:rsidR="00DF20A8" w:rsidRPr="0062340E">
        <w:rPr>
          <w:rFonts w:ascii="Simplified Arabic" w:hAnsi="Simplified Arabic" w:cs="Simplified Arabic" w:hint="cs"/>
          <w:sz w:val="24"/>
          <w:szCs w:val="24"/>
          <w:rtl/>
          <w:lang w:val="en-US" w:bidi="ar-DZ"/>
        </w:rPr>
        <w:t>بما</w:t>
      </w:r>
      <w:r w:rsidRPr="0062340E">
        <w:rPr>
          <w:rFonts w:ascii="Simplified Arabic" w:hAnsi="Simplified Arabic" w:cs="Simplified Arabic" w:hint="cs"/>
          <w:sz w:val="24"/>
          <w:szCs w:val="24"/>
          <w:rtl/>
          <w:lang w:val="en-US" w:bidi="ar-DZ"/>
        </w:rPr>
        <w:t xml:space="preserve"> في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ذلك </w:t>
      </w:r>
      <w:r w:rsidR="00C57CFC" w:rsidRPr="0062340E">
        <w:rPr>
          <w:rFonts w:ascii="Simplified Arabic" w:hAnsi="Simplified Arabic" w:cs="Simplified Arabic" w:hint="cs"/>
          <w:sz w:val="24"/>
          <w:szCs w:val="24"/>
          <w:rtl/>
          <w:lang w:val="en-US" w:bidi="ar-DZ"/>
        </w:rPr>
        <w:t>تقنية دلفي</w:t>
      </w:r>
      <w:r w:rsidRPr="0062340E">
        <w:rPr>
          <w:rFonts w:ascii="Simplified Arabic" w:hAnsi="Simplified Arabic" w:cs="Simplified Arabic" w:hint="cs"/>
          <w:sz w:val="24"/>
          <w:szCs w:val="24"/>
          <w:rtl/>
          <w:lang w:val="en-US" w:bidi="ar-DZ"/>
        </w:rPr>
        <w:t xml:space="preserve"> </w:t>
      </w:r>
      <w:r w:rsidR="00C16655" w:rsidRPr="0062340E">
        <w:rPr>
          <w:rFonts w:asciiTheme="majorBidi" w:hAnsiTheme="majorBidi" w:cstheme="majorBidi"/>
          <w:sz w:val="24"/>
          <w:szCs w:val="24"/>
          <w:rtl/>
          <w:lang w:val="en-US" w:bidi="ar-DZ"/>
        </w:rPr>
        <w:t>(</w:t>
      </w:r>
      <w:r w:rsidR="00C16655" w:rsidRPr="0062340E">
        <w:rPr>
          <w:rFonts w:asciiTheme="majorBidi" w:hAnsiTheme="majorBidi" w:cstheme="majorBidi"/>
          <w:sz w:val="24"/>
          <w:szCs w:val="24"/>
          <w:lang w:bidi="ar-DZ"/>
        </w:rPr>
        <w:t>Delphi</w:t>
      </w:r>
      <w:r w:rsidR="00C16655" w:rsidRPr="0062340E">
        <w:rPr>
          <w:rFonts w:asciiTheme="majorBidi" w:hAnsiTheme="majorBidi" w:cstheme="majorBidi"/>
          <w:sz w:val="24"/>
          <w:szCs w:val="24"/>
          <w:rtl/>
          <w:lang w:val="en-US" w:bidi="ar-DZ"/>
        </w:rPr>
        <w:t>)</w:t>
      </w:r>
      <w:r w:rsidR="00C16655" w:rsidRPr="0062340E">
        <w:rPr>
          <w:rFonts w:ascii="Simplified Arabic" w:hAnsi="Simplified Arabic" w:cs="Simplified Arabic" w:hint="cs"/>
          <w:sz w:val="24"/>
          <w:szCs w:val="24"/>
          <w:rtl/>
          <w:lang w:val="en-US" w:bidi="ar-DZ"/>
        </w:rPr>
        <w:t xml:space="preserve"> </w:t>
      </w:r>
      <w:r w:rsidR="00C57CFC" w:rsidRPr="0062340E">
        <w:rPr>
          <w:rFonts w:ascii="Simplified Arabic" w:hAnsi="Simplified Arabic" w:cs="Simplified Arabic" w:hint="cs"/>
          <w:sz w:val="24"/>
          <w:szCs w:val="24"/>
          <w:rtl/>
          <w:lang w:val="en-US" w:bidi="ar-DZ"/>
        </w:rPr>
        <w:t xml:space="preserve">وعملية التحليل التسلسلي </w:t>
      </w:r>
      <w:r w:rsidRPr="0062340E">
        <w:rPr>
          <w:rFonts w:ascii="Times New Roman" w:eastAsia="Times New Roman" w:hAnsi="Times New Roman" w:cs="Times New Roman"/>
          <w:b/>
          <w:sz w:val="24"/>
          <w:szCs w:val="24"/>
          <w:rtl/>
          <w:lang w:eastAsia="fr-FR"/>
        </w:rPr>
        <w:t>(</w:t>
      </w:r>
      <w:r w:rsidRPr="0062340E">
        <w:rPr>
          <w:rFonts w:ascii="Times New Roman" w:eastAsia="Times New Roman" w:hAnsi="Times New Roman" w:cs="Times New Roman"/>
          <w:b/>
          <w:sz w:val="24"/>
          <w:szCs w:val="24"/>
          <w:lang w:eastAsia="fr-FR"/>
        </w:rPr>
        <w:t>AHP</w:t>
      </w:r>
      <w:r w:rsidRPr="0062340E">
        <w:rPr>
          <w:rFonts w:ascii="Times New Roman" w:eastAsia="Times New Roman" w:hAnsi="Times New Roman" w:cs="Times New Roman"/>
          <w:b/>
          <w:sz w:val="24"/>
          <w:szCs w:val="24"/>
          <w:rtl/>
          <w:lang w:eastAsia="fr-FR"/>
        </w:rPr>
        <w:t>)</w:t>
      </w:r>
      <w:r w:rsidRPr="0062340E">
        <w:rPr>
          <w:rFonts w:ascii="Simplified Arabic" w:hAnsi="Simplified Arabic" w:cs="Simplified Arabic"/>
          <w:sz w:val="24"/>
          <w:szCs w:val="24"/>
          <w:rtl/>
          <w:lang w:val="en-US" w:bidi="ar-DZ"/>
        </w:rPr>
        <w:t>.</w:t>
      </w:r>
    </w:p>
    <w:p w:rsidR="009121C9" w:rsidRPr="0062340E" w:rsidRDefault="00042DF3" w:rsidP="0062340E">
      <w:pPr>
        <w:autoSpaceDE w:val="0"/>
        <w:autoSpaceDN w:val="0"/>
        <w:bidi/>
        <w:adjustRightInd w:val="0"/>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وطنيا</w:t>
      </w:r>
      <w:r w:rsidR="009121C9" w:rsidRPr="0062340E">
        <w:rPr>
          <w:rFonts w:ascii="Simplified Arabic" w:hAnsi="Simplified Arabic" w:cs="Simplified Arabic" w:hint="cs"/>
          <w:sz w:val="24"/>
          <w:szCs w:val="24"/>
          <w:rtl/>
          <w:lang w:val="en-US" w:bidi="ar-DZ"/>
        </w:rPr>
        <w:t>،</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بدأت</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الجماعات المحلية لولاية</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الجزائر بدمج</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المفهوم</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في</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وثائق</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سياسات</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و</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تطوير</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استراتيجيات</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كاملة</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مخصصة</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لتحسين</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المرونة (الملحق 1)</w:t>
      </w:r>
      <w:r w:rsidR="009121C9" w:rsidRPr="0062340E">
        <w:rPr>
          <w:rFonts w:ascii="Simplified Arabic" w:hAnsi="Simplified Arabic" w:cs="Simplified Arabic"/>
          <w:sz w:val="24"/>
          <w:szCs w:val="24"/>
          <w:rtl/>
          <w:lang w:val="en-US" w:bidi="ar-DZ"/>
        </w:rPr>
        <w:t xml:space="preserve">. </w:t>
      </w:r>
      <w:r w:rsidR="009121C9" w:rsidRPr="0062340E">
        <w:rPr>
          <w:rFonts w:ascii="Simplified Arabic" w:hAnsi="Simplified Arabic" w:cs="Simplified Arabic" w:hint="cs"/>
          <w:sz w:val="24"/>
          <w:szCs w:val="24"/>
          <w:rtl/>
          <w:lang w:val="en-US" w:bidi="ar-DZ"/>
        </w:rPr>
        <w:t xml:space="preserve">مبادرة الجماعات المحلية لولاية الجزائر بإعداد المخطط التوجيهي للمرونة الحضرية لولاية الجزائر كان بمثابة اولى الخطوات لسلك و دمج مفهوم المرونة. </w:t>
      </w:r>
    </w:p>
    <w:p w:rsidR="0022082E" w:rsidRPr="0062340E" w:rsidRDefault="0022082E" w:rsidP="001D0548">
      <w:pPr>
        <w:pStyle w:val="Paragraphedeliste"/>
        <w:numPr>
          <w:ilvl w:val="0"/>
          <w:numId w:val="85"/>
        </w:numPr>
        <w:tabs>
          <w:tab w:val="right" w:pos="567"/>
        </w:tabs>
        <w:bidi/>
        <w:spacing w:before="240" w:after="0"/>
        <w:ind w:left="0" w:firstLine="0"/>
        <w:outlineLvl w:val="0"/>
        <w:rPr>
          <w:rFonts w:ascii="Simplified Arabic" w:hAnsi="Simplified Arabic" w:cs="Simplified Arabic"/>
          <w:b/>
          <w:bCs/>
          <w:sz w:val="24"/>
          <w:szCs w:val="24"/>
          <w:lang w:val="en-US"/>
        </w:rPr>
      </w:pPr>
      <w:bookmarkStart w:id="24" w:name="_Toc156966838"/>
      <w:bookmarkStart w:id="25" w:name="_Toc171803285"/>
      <w:r w:rsidRPr="0062340E">
        <w:rPr>
          <w:rFonts w:ascii="Simplified Arabic" w:hAnsi="Simplified Arabic" w:cs="Simplified Arabic"/>
          <w:b/>
          <w:bCs/>
          <w:sz w:val="24"/>
          <w:szCs w:val="24"/>
          <w:rtl/>
          <w:lang w:val="en-US"/>
        </w:rPr>
        <w:lastRenderedPageBreak/>
        <w:t>الاشكالية</w:t>
      </w:r>
      <w:r w:rsidRPr="0062340E">
        <w:rPr>
          <w:rFonts w:ascii="Simplified Arabic" w:hAnsi="Simplified Arabic" w:cs="Simplified Arabic" w:hint="cs"/>
          <w:b/>
          <w:bCs/>
          <w:sz w:val="24"/>
          <w:szCs w:val="24"/>
          <w:rtl/>
          <w:lang w:val="en-US"/>
        </w:rPr>
        <w:t>:</w:t>
      </w:r>
      <w:bookmarkEnd w:id="24"/>
      <w:bookmarkEnd w:id="25"/>
    </w:p>
    <w:p w:rsidR="008A17DE" w:rsidRPr="0062340E" w:rsidRDefault="0022082E" w:rsidP="009435DE">
      <w:pPr>
        <w:tabs>
          <w:tab w:val="right" w:pos="281"/>
          <w:tab w:val="left" w:pos="4305"/>
        </w:tabs>
        <w:bidi/>
        <w:spacing w:before="240" w:after="0"/>
        <w:ind w:firstLine="282"/>
        <w:jc w:val="both"/>
        <w:rPr>
          <w:rFonts w:ascii="Arial" w:eastAsia="Times New Roman" w:hAnsi="Arial"/>
          <w:color w:val="000000" w:themeColor="text1"/>
          <w:sz w:val="24"/>
          <w:szCs w:val="24"/>
          <w:lang w:eastAsia="fr-FR"/>
        </w:rPr>
      </w:pPr>
      <w:r w:rsidRPr="0062340E">
        <w:rPr>
          <w:rFonts w:ascii="Simplified Arabic" w:hAnsi="Simplified Arabic" w:cs="Simplified Arabic" w:hint="cs"/>
          <w:color w:val="000000" w:themeColor="text1"/>
          <w:sz w:val="24"/>
          <w:szCs w:val="24"/>
          <w:rtl/>
        </w:rPr>
        <w:t>تؤدي الاحداث الطبيعية المتكررة التي تصيب البيئة الحضرية كالفيضانات الى التدخل في ظروف السفر التي تشهدها المدن بصفة مستمرة</w:t>
      </w:r>
      <w:r w:rsidRPr="0062340E">
        <w:rPr>
          <w:rFonts w:asciiTheme="minorBidi" w:hAnsiTheme="minorBidi" w:cs="Arial" w:hint="cs"/>
          <w:color w:val="000000" w:themeColor="text1"/>
          <w:sz w:val="24"/>
          <w:szCs w:val="24"/>
          <w:rtl/>
          <w:lang w:val="en-US" w:bidi="ar-DZ"/>
        </w:rPr>
        <w:t xml:space="preserve"> </w:t>
      </w:r>
      <w:r w:rsidRPr="0062340E">
        <w:rPr>
          <w:rFonts w:asciiTheme="majorBidi" w:hAnsiTheme="majorBidi" w:cstheme="majorBidi"/>
          <w:color w:val="000000" w:themeColor="text1"/>
          <w:sz w:val="24"/>
          <w:szCs w:val="24"/>
        </w:rPr>
        <w:t>2019)</w:t>
      </w:r>
      <w:r w:rsidRPr="0062340E">
        <w:rPr>
          <w:rFonts w:asciiTheme="majorBidi" w:hAnsiTheme="majorBidi" w:cstheme="majorBidi"/>
          <w:color w:val="000000" w:themeColor="text1"/>
          <w:sz w:val="24"/>
          <w:szCs w:val="24"/>
          <w:rtl/>
          <w:lang w:bidi="ar-DZ"/>
        </w:rPr>
        <w:t xml:space="preserve"> </w:t>
      </w:r>
      <w:r w:rsidRPr="0062340E">
        <w:rPr>
          <w:rFonts w:asciiTheme="majorBidi" w:hAnsiTheme="majorBidi" w:cstheme="majorBidi"/>
          <w:color w:val="000000" w:themeColor="text1"/>
          <w:sz w:val="24"/>
          <w:szCs w:val="24"/>
        </w:rPr>
        <w:t>(Leobons et al.,</w:t>
      </w:r>
      <w:r w:rsidRPr="0062340E">
        <w:rPr>
          <w:rFonts w:asciiTheme="minorBidi" w:hAnsiTheme="minorBidi" w:cs="Arial" w:hint="cs"/>
          <w:color w:val="000000" w:themeColor="text1"/>
          <w:sz w:val="24"/>
          <w:szCs w:val="24"/>
          <w:rtl/>
          <w:lang w:val="en-US" w:bidi="ar-DZ"/>
        </w:rPr>
        <w:t xml:space="preserve"> </w:t>
      </w:r>
      <w:r w:rsidRPr="0062340E">
        <w:rPr>
          <w:rFonts w:ascii="Simplified Arabic" w:hAnsi="Simplified Arabic" w:cs="Simplified Arabic" w:hint="cs"/>
          <w:color w:val="000000" w:themeColor="text1"/>
          <w:sz w:val="24"/>
          <w:szCs w:val="24"/>
          <w:rtl/>
        </w:rPr>
        <w:t xml:space="preserve">والى </w:t>
      </w:r>
      <w:r w:rsidR="007B1CC6" w:rsidRPr="0062340E">
        <w:rPr>
          <w:rFonts w:ascii="Simplified Arabic" w:hAnsi="Simplified Arabic" w:cs="Simplified Arabic" w:hint="cs"/>
          <w:color w:val="000000" w:themeColor="text1"/>
          <w:sz w:val="24"/>
          <w:szCs w:val="24"/>
          <w:rtl/>
        </w:rPr>
        <w:t xml:space="preserve">إحداث </w:t>
      </w:r>
      <w:r w:rsidRPr="0062340E">
        <w:rPr>
          <w:rFonts w:ascii="Simplified Arabic" w:hAnsi="Simplified Arabic" w:cs="Simplified Arabic"/>
          <w:color w:val="000000" w:themeColor="text1"/>
          <w:sz w:val="24"/>
          <w:szCs w:val="24"/>
          <w:rtl/>
        </w:rPr>
        <w:t>اضطراب</w:t>
      </w:r>
      <w:r w:rsidR="007B1CC6" w:rsidRPr="0062340E">
        <w:rPr>
          <w:rFonts w:ascii="Simplified Arabic" w:hAnsi="Simplified Arabic" w:cs="Simplified Arabic" w:hint="cs"/>
          <w:color w:val="000000" w:themeColor="text1"/>
          <w:sz w:val="24"/>
          <w:szCs w:val="24"/>
          <w:rtl/>
        </w:rPr>
        <w:t>ات</w:t>
      </w:r>
      <w:r w:rsidRPr="0062340E">
        <w:rPr>
          <w:rFonts w:ascii="Simplified Arabic" w:hAnsi="Simplified Arabic" w:cs="Simplified Arabic"/>
          <w:color w:val="000000" w:themeColor="text1"/>
          <w:sz w:val="24"/>
          <w:szCs w:val="24"/>
          <w:rtl/>
        </w:rPr>
        <w:t xml:space="preserve"> حاد</w:t>
      </w:r>
      <w:r w:rsidR="007B1CC6" w:rsidRPr="0062340E">
        <w:rPr>
          <w:rFonts w:ascii="Simplified Arabic" w:hAnsi="Simplified Arabic" w:cs="Simplified Arabic" w:hint="cs"/>
          <w:color w:val="000000" w:themeColor="text1"/>
          <w:sz w:val="24"/>
          <w:szCs w:val="24"/>
          <w:rtl/>
        </w:rPr>
        <w:t>ة</w:t>
      </w:r>
      <w:r w:rsidRPr="0062340E">
        <w:rPr>
          <w:rFonts w:ascii="Simplified Arabic" w:hAnsi="Simplified Arabic" w:cs="Simplified Arabic"/>
          <w:color w:val="000000" w:themeColor="text1"/>
          <w:sz w:val="24"/>
          <w:szCs w:val="24"/>
          <w:rtl/>
        </w:rPr>
        <w:t xml:space="preserve"> ب</w:t>
      </w:r>
      <w:r w:rsidR="007B1CC6" w:rsidRPr="0062340E">
        <w:rPr>
          <w:rFonts w:ascii="Simplified Arabic" w:hAnsi="Simplified Arabic" w:cs="Simplified Arabic" w:hint="cs"/>
          <w:color w:val="000000" w:themeColor="text1"/>
          <w:sz w:val="24"/>
          <w:szCs w:val="24"/>
          <w:rtl/>
        </w:rPr>
        <w:t>المرافق العمومية و</w:t>
      </w:r>
      <w:r w:rsidRPr="0062340E">
        <w:rPr>
          <w:rFonts w:ascii="Simplified Arabic" w:hAnsi="Simplified Arabic" w:cs="Simplified Arabic"/>
          <w:color w:val="000000" w:themeColor="text1"/>
          <w:sz w:val="24"/>
          <w:szCs w:val="24"/>
          <w:rtl/>
        </w:rPr>
        <w:t xml:space="preserve">الخدمات اثناء وبعد </w:t>
      </w:r>
      <w:r w:rsidR="00342228" w:rsidRPr="0062340E">
        <w:rPr>
          <w:rFonts w:ascii="Simplified Arabic" w:hAnsi="Simplified Arabic" w:cs="Simplified Arabic" w:hint="cs"/>
          <w:color w:val="000000" w:themeColor="text1"/>
          <w:sz w:val="24"/>
          <w:szCs w:val="24"/>
          <w:rtl/>
        </w:rPr>
        <w:t>الك</w:t>
      </w:r>
      <w:r w:rsidR="00431226" w:rsidRPr="0062340E">
        <w:rPr>
          <w:rFonts w:ascii="Simplified Arabic" w:hAnsi="Simplified Arabic" w:cs="Simplified Arabic" w:hint="cs"/>
          <w:color w:val="000000" w:themeColor="text1"/>
          <w:sz w:val="24"/>
          <w:szCs w:val="24"/>
          <w:rtl/>
        </w:rPr>
        <w:t>و</w:t>
      </w:r>
      <w:r w:rsidR="00342228" w:rsidRPr="0062340E">
        <w:rPr>
          <w:rFonts w:ascii="Simplified Arabic" w:hAnsi="Simplified Arabic" w:cs="Simplified Arabic" w:hint="cs"/>
          <w:color w:val="000000" w:themeColor="text1"/>
          <w:sz w:val="24"/>
          <w:szCs w:val="24"/>
          <w:rtl/>
        </w:rPr>
        <w:t>ارث</w:t>
      </w:r>
      <w:r w:rsidR="007B1CC6"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hint="cs"/>
          <w:color w:val="000000" w:themeColor="text1"/>
          <w:sz w:val="24"/>
          <w:szCs w:val="24"/>
          <w:rtl/>
        </w:rPr>
        <w:t xml:space="preserve"> جعل القائمين على تسيير الشأن الحضري في مواجهة حقيقية امام تحديات حضرية جديدة</w:t>
      </w:r>
      <w:r w:rsidR="001F0653"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r w:rsidR="009D6CB8" w:rsidRPr="0062340E">
        <w:rPr>
          <w:rFonts w:ascii="Simplified Arabic" w:hAnsi="Simplified Arabic" w:cs="Simplified Arabic" w:hint="cs"/>
          <w:color w:val="000000" w:themeColor="text1"/>
          <w:sz w:val="24"/>
          <w:szCs w:val="24"/>
          <w:rtl/>
        </w:rPr>
        <w:t>م</w:t>
      </w:r>
      <w:r w:rsidRPr="0062340E">
        <w:rPr>
          <w:rFonts w:ascii="Simplified Arabic" w:hAnsi="Simplified Arabic" w:cs="Simplified Arabic" w:hint="cs"/>
          <w:color w:val="000000" w:themeColor="text1"/>
          <w:sz w:val="24"/>
          <w:szCs w:val="24"/>
          <w:rtl/>
        </w:rPr>
        <w:t>رتبط</w:t>
      </w:r>
      <w:r w:rsidR="009D6CB8" w:rsidRPr="0062340E">
        <w:rPr>
          <w:rFonts w:ascii="Simplified Arabic" w:hAnsi="Simplified Arabic" w:cs="Simplified Arabic" w:hint="cs"/>
          <w:color w:val="000000" w:themeColor="text1"/>
          <w:sz w:val="24"/>
          <w:szCs w:val="24"/>
          <w:rtl/>
        </w:rPr>
        <w:t>ة</w:t>
      </w:r>
      <w:r w:rsidRPr="0062340E">
        <w:rPr>
          <w:rFonts w:ascii="Simplified Arabic" w:hAnsi="Simplified Arabic" w:cs="Simplified Arabic" w:hint="cs"/>
          <w:color w:val="000000" w:themeColor="text1"/>
          <w:sz w:val="24"/>
          <w:szCs w:val="24"/>
          <w:rtl/>
        </w:rPr>
        <w:t xml:space="preserve"> بتغيُّرات المناخ وتطور</w:t>
      </w:r>
      <w:r w:rsidR="00431226" w:rsidRPr="0062340E">
        <w:rPr>
          <w:rFonts w:ascii="Simplified Arabic" w:hAnsi="Simplified Arabic" w:cs="Simplified Arabic" w:hint="cs"/>
          <w:color w:val="000000" w:themeColor="text1"/>
          <w:sz w:val="24"/>
          <w:szCs w:val="24"/>
          <w:rtl/>
        </w:rPr>
        <w:t xml:space="preserve"> آثاره السيئة</w:t>
      </w:r>
      <w:r w:rsidRPr="0062340E">
        <w:rPr>
          <w:rFonts w:ascii="Simplified Arabic" w:hAnsi="Simplified Arabic" w:cs="Simplified Arabic" w:hint="cs"/>
          <w:color w:val="000000" w:themeColor="text1"/>
          <w:sz w:val="24"/>
          <w:szCs w:val="24"/>
          <w:rtl/>
        </w:rPr>
        <w:t>. فمدن اليوم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اكثر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عرضةً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لتهديد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المخاطر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الطبيعية</w:t>
      </w:r>
      <w:r w:rsidRPr="0062340E">
        <w:rPr>
          <w:rFonts w:asciiTheme="minorBidi" w:hAnsiTheme="minorBidi" w:cs="Arial" w:hint="cs"/>
          <w:color w:val="000000" w:themeColor="text1"/>
          <w:sz w:val="24"/>
          <w:szCs w:val="24"/>
          <w:rtl/>
          <w:lang w:val="en-US" w:bidi="ar-DZ"/>
        </w:rPr>
        <w:t xml:space="preserve"> </w:t>
      </w:r>
      <w:r w:rsidRPr="0062340E">
        <w:rPr>
          <w:rFonts w:asciiTheme="majorBidi" w:hAnsiTheme="majorBidi" w:cstheme="majorBidi" w:hint="cs"/>
          <w:color w:val="000000" w:themeColor="text1"/>
          <w:sz w:val="24"/>
          <w:szCs w:val="24"/>
          <w:rtl/>
          <w:lang w:val="en-US"/>
        </w:rPr>
        <w:t>(</w:t>
      </w:r>
      <w:r w:rsidRPr="0062340E">
        <w:rPr>
          <w:rFonts w:asciiTheme="majorBidi" w:hAnsiTheme="majorBidi" w:cstheme="majorBidi"/>
          <w:color w:val="000000" w:themeColor="text1"/>
          <w:sz w:val="24"/>
          <w:szCs w:val="24"/>
          <w:lang w:val="en-US"/>
        </w:rPr>
        <w:t>Lhomme, 2012</w:t>
      </w:r>
      <w:r w:rsidRPr="0062340E">
        <w:rPr>
          <w:rFonts w:asciiTheme="majorBidi" w:hAnsiTheme="majorBidi" w:cstheme="majorBidi"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bidi="ar-DZ"/>
        </w:rPr>
        <w:t xml:space="preserve">. </w:t>
      </w:r>
      <w:r w:rsidR="00431226" w:rsidRPr="0062340E">
        <w:rPr>
          <w:rFonts w:ascii="Simplified Arabic" w:hAnsi="Simplified Arabic" w:cs="Simplified Arabic" w:hint="cs"/>
          <w:color w:val="000000" w:themeColor="text1"/>
          <w:sz w:val="24"/>
          <w:szCs w:val="24"/>
          <w:rtl/>
        </w:rPr>
        <w:t>الى جانب</w:t>
      </w:r>
      <w:r w:rsidR="001F0653" w:rsidRPr="0062340E">
        <w:rPr>
          <w:rFonts w:ascii="Simplified Arabic" w:hAnsi="Simplified Arabic" w:cs="Simplified Arabic" w:hint="cs"/>
          <w:color w:val="000000" w:themeColor="text1"/>
          <w:sz w:val="24"/>
          <w:szCs w:val="24"/>
          <w:rtl/>
        </w:rPr>
        <w:t xml:space="preserve"> </w:t>
      </w:r>
      <w:r w:rsidR="00431226" w:rsidRPr="0062340E">
        <w:rPr>
          <w:rFonts w:ascii="Simplified Arabic" w:hAnsi="Simplified Arabic" w:cs="Simplified Arabic" w:hint="cs"/>
          <w:color w:val="000000" w:themeColor="text1"/>
          <w:sz w:val="24"/>
          <w:szCs w:val="24"/>
          <w:rtl/>
        </w:rPr>
        <w:t>التحديات</w:t>
      </w:r>
      <w:r w:rsidR="00A31551" w:rsidRPr="0062340E">
        <w:rPr>
          <w:rFonts w:ascii="Simplified Arabic" w:hAnsi="Simplified Arabic" w:cs="Simplified Arabic" w:hint="cs"/>
          <w:color w:val="000000" w:themeColor="text1"/>
          <w:sz w:val="24"/>
          <w:szCs w:val="24"/>
          <w:rtl/>
        </w:rPr>
        <w:t xml:space="preserve"> </w:t>
      </w:r>
      <w:r w:rsidR="00431226" w:rsidRPr="0062340E">
        <w:rPr>
          <w:rFonts w:ascii="Simplified Arabic" w:hAnsi="Simplified Arabic" w:cs="Simplified Arabic" w:hint="cs"/>
          <w:color w:val="000000" w:themeColor="text1"/>
          <w:sz w:val="24"/>
          <w:szCs w:val="24"/>
          <w:rtl/>
        </w:rPr>
        <w:t>الم</w:t>
      </w:r>
      <w:r w:rsidRPr="0062340E">
        <w:rPr>
          <w:rFonts w:ascii="Simplified Arabic" w:hAnsi="Simplified Arabic" w:cs="Simplified Arabic" w:hint="cs"/>
          <w:color w:val="000000" w:themeColor="text1"/>
          <w:sz w:val="24"/>
          <w:szCs w:val="24"/>
          <w:rtl/>
        </w:rPr>
        <w:t>رتبط</w:t>
      </w:r>
      <w:r w:rsidR="00431226" w:rsidRPr="0062340E">
        <w:rPr>
          <w:rFonts w:ascii="Simplified Arabic" w:hAnsi="Simplified Arabic" w:cs="Simplified Arabic" w:hint="cs"/>
          <w:color w:val="000000" w:themeColor="text1"/>
          <w:sz w:val="24"/>
          <w:szCs w:val="24"/>
          <w:rtl/>
        </w:rPr>
        <w:t>ة</w:t>
      </w:r>
      <w:r w:rsidRPr="0062340E">
        <w:rPr>
          <w:rFonts w:ascii="Simplified Arabic" w:hAnsi="Simplified Arabic" w:cs="Simplified Arabic" w:hint="cs"/>
          <w:color w:val="000000" w:themeColor="text1"/>
          <w:sz w:val="24"/>
          <w:szCs w:val="24"/>
          <w:rtl/>
        </w:rPr>
        <w:t xml:space="preserve"> بالوتيرة المتسارعة للنمو الحضري</w:t>
      </w:r>
      <w:r w:rsidRPr="0062340E">
        <w:rPr>
          <w:rFonts w:asciiTheme="minorBidi" w:hAnsiTheme="minorBidi" w:cs="Arial" w:hint="cs"/>
          <w:color w:val="000000" w:themeColor="text1"/>
          <w:sz w:val="24"/>
          <w:szCs w:val="24"/>
          <w:rtl/>
          <w:lang w:val="en-US" w:bidi="ar-DZ"/>
        </w:rPr>
        <w:t xml:space="preserve"> </w:t>
      </w:r>
      <w:r w:rsidRPr="0062340E">
        <w:rPr>
          <w:rFonts w:asciiTheme="majorBidi" w:hAnsiTheme="majorBidi" w:cstheme="majorBidi"/>
          <w:color w:val="000000" w:themeColor="text1"/>
          <w:sz w:val="24"/>
          <w:szCs w:val="24"/>
          <w:lang w:val="en-US"/>
        </w:rPr>
        <w:t>(Skrimizea et al., 2018)</w:t>
      </w:r>
      <w:r w:rsidRPr="0062340E">
        <w:rPr>
          <w:rFonts w:asciiTheme="minorBidi" w:hAnsiTheme="minorBidi" w:cs="Arial" w:hint="cs"/>
          <w:color w:val="000000" w:themeColor="text1"/>
          <w:sz w:val="24"/>
          <w:szCs w:val="24"/>
          <w:rtl/>
          <w:lang w:val="en-US" w:bidi="ar-DZ"/>
        </w:rPr>
        <w:t>.</w:t>
      </w:r>
      <w:r w:rsidRPr="0062340E">
        <w:rPr>
          <w:rFonts w:ascii="Arial" w:eastAsia="Times New Roman" w:hAnsi="Arial" w:hint="cs"/>
          <w:color w:val="000000" w:themeColor="text1"/>
          <w:sz w:val="24"/>
          <w:szCs w:val="24"/>
          <w:rtl/>
          <w:lang w:eastAsia="fr-FR"/>
        </w:rPr>
        <w:t xml:space="preserve"> </w:t>
      </w:r>
    </w:p>
    <w:p w:rsidR="00C04CB5" w:rsidRPr="0062340E" w:rsidRDefault="0022082E" w:rsidP="00770CA1">
      <w:pPr>
        <w:tabs>
          <w:tab w:val="right" w:pos="281"/>
          <w:tab w:val="left" w:pos="4305"/>
        </w:tabs>
        <w:bidi/>
        <w:spacing w:before="240" w:after="0"/>
        <w:ind w:firstLine="282"/>
        <w:jc w:val="both"/>
        <w:rPr>
          <w:rFonts w:asciiTheme="majorBidi" w:hAnsiTheme="majorBidi" w:cstheme="majorBidi"/>
          <w:sz w:val="24"/>
          <w:szCs w:val="24"/>
          <w:rtl/>
        </w:rPr>
      </w:pPr>
      <w:r w:rsidRPr="0062340E">
        <w:rPr>
          <w:rFonts w:ascii="Simplified Arabic" w:hAnsi="Simplified Arabic" w:cs="Simplified Arabic" w:hint="cs"/>
          <w:color w:val="000000" w:themeColor="text1"/>
          <w:sz w:val="24"/>
          <w:szCs w:val="24"/>
          <w:rtl/>
        </w:rPr>
        <w:t xml:space="preserve">غالبا ما يكون النمو الحضري </w:t>
      </w:r>
      <w:r w:rsidR="00CA4E7F" w:rsidRPr="0062340E">
        <w:rPr>
          <w:rFonts w:ascii="Simplified Arabic" w:hAnsi="Simplified Arabic" w:cs="Simplified Arabic" w:hint="cs"/>
          <w:color w:val="000000" w:themeColor="text1"/>
          <w:sz w:val="24"/>
          <w:szCs w:val="24"/>
          <w:rtl/>
        </w:rPr>
        <w:t xml:space="preserve">المتسارع </w:t>
      </w:r>
      <w:r w:rsidR="00431226" w:rsidRPr="0062340E">
        <w:rPr>
          <w:rFonts w:ascii="Simplified Arabic" w:hAnsi="Simplified Arabic" w:cs="Simplified Arabic" w:hint="cs"/>
          <w:color w:val="000000" w:themeColor="text1"/>
          <w:sz w:val="24"/>
          <w:szCs w:val="24"/>
          <w:rtl/>
        </w:rPr>
        <w:t xml:space="preserve">للمدن </w:t>
      </w:r>
      <w:r w:rsidRPr="0062340E">
        <w:rPr>
          <w:rFonts w:ascii="Simplified Arabic" w:hAnsi="Simplified Arabic" w:cs="Simplified Arabic" w:hint="cs"/>
          <w:color w:val="000000" w:themeColor="text1"/>
          <w:sz w:val="24"/>
          <w:szCs w:val="24"/>
          <w:rtl/>
        </w:rPr>
        <w:t>من يولد المخاطر</w:t>
      </w:r>
      <w:r w:rsidRPr="0062340E">
        <w:rPr>
          <w:rFonts w:ascii="Arial" w:eastAsia="Times New Roman" w:hAnsi="Arial" w:hint="cs"/>
          <w:color w:val="000000" w:themeColor="text1"/>
          <w:sz w:val="24"/>
          <w:szCs w:val="24"/>
          <w:rtl/>
          <w:lang w:eastAsia="fr-FR"/>
        </w:rPr>
        <w:t xml:space="preserve"> </w:t>
      </w:r>
      <w:r w:rsidRPr="0062340E">
        <w:rPr>
          <w:rFonts w:asciiTheme="majorBidi" w:hAnsiTheme="majorBidi" w:cstheme="majorBidi"/>
          <w:color w:val="000000" w:themeColor="text1"/>
          <w:sz w:val="24"/>
          <w:szCs w:val="24"/>
        </w:rPr>
        <w:t>2014)</w:t>
      </w:r>
      <w:r w:rsidRPr="0062340E">
        <w:rPr>
          <w:rFonts w:asciiTheme="majorBidi" w:hAnsiTheme="majorBidi" w:cstheme="majorBidi"/>
          <w:color w:val="000000" w:themeColor="text1"/>
          <w:sz w:val="24"/>
          <w:szCs w:val="24"/>
          <w:rtl/>
          <w:lang w:bidi="ar-DZ"/>
        </w:rPr>
        <w:t xml:space="preserve"> </w:t>
      </w:r>
      <w:r w:rsidRPr="0062340E">
        <w:rPr>
          <w:rFonts w:asciiTheme="majorBidi" w:hAnsiTheme="majorBidi" w:cstheme="majorBidi"/>
          <w:color w:val="000000" w:themeColor="text1"/>
          <w:sz w:val="24"/>
          <w:szCs w:val="24"/>
        </w:rPr>
        <w:t>(</w:t>
      </w:r>
      <w:r w:rsidRPr="0062340E">
        <w:rPr>
          <w:rFonts w:asciiTheme="majorBidi" w:hAnsiTheme="majorBidi" w:cstheme="majorBidi"/>
          <w:color w:val="000000" w:themeColor="text1"/>
          <w:sz w:val="24"/>
          <w:szCs w:val="24"/>
          <w:lang w:val="en-US"/>
        </w:rPr>
        <w:t>Diakakis</w:t>
      </w:r>
      <w:r w:rsidRPr="0062340E">
        <w:rPr>
          <w:rFonts w:asciiTheme="majorBidi" w:hAnsiTheme="majorBidi" w:cstheme="majorBidi"/>
          <w:color w:val="000000" w:themeColor="text1"/>
          <w:sz w:val="24"/>
          <w:szCs w:val="24"/>
        </w:rPr>
        <w:t xml:space="preserve"> et al.,</w:t>
      </w:r>
      <w:r w:rsidRPr="0062340E">
        <w:rPr>
          <w:rFonts w:ascii="Simplified Arabic" w:hAnsi="Simplified Arabic" w:cs="Simplified Arabic"/>
          <w:color w:val="000000" w:themeColor="text1"/>
          <w:sz w:val="24"/>
          <w:szCs w:val="24"/>
          <w:rtl/>
        </w:rPr>
        <w:t xml:space="preserve">، </w:t>
      </w:r>
      <w:r w:rsidR="00973B10" w:rsidRPr="0062340E">
        <w:rPr>
          <w:rFonts w:ascii="Simplified Arabic" w:hAnsi="Simplified Arabic" w:cs="Simplified Arabic" w:hint="cs"/>
          <w:color w:val="000000" w:themeColor="text1"/>
          <w:sz w:val="24"/>
          <w:szCs w:val="24"/>
          <w:rtl/>
        </w:rPr>
        <w:t>خصوصا،</w:t>
      </w:r>
      <w:r w:rsidRPr="0062340E">
        <w:rPr>
          <w:rFonts w:ascii="Simplified Arabic" w:hAnsi="Simplified Arabic" w:cs="Simplified Arabic" w:hint="cs"/>
          <w:color w:val="000000" w:themeColor="text1"/>
          <w:sz w:val="24"/>
          <w:szCs w:val="24"/>
          <w:rtl/>
        </w:rPr>
        <w:t xml:space="preserve"> </w:t>
      </w:r>
      <w:r w:rsidR="003E424F" w:rsidRPr="0062340E">
        <w:rPr>
          <w:rFonts w:ascii="Simplified Arabic" w:hAnsi="Simplified Arabic" w:cs="Simplified Arabic" w:hint="cs"/>
          <w:color w:val="000000" w:themeColor="text1"/>
          <w:sz w:val="24"/>
          <w:szCs w:val="24"/>
          <w:rtl/>
        </w:rPr>
        <w:t xml:space="preserve">حينما يكون </w:t>
      </w:r>
      <w:r w:rsidR="00601146" w:rsidRPr="0062340E">
        <w:rPr>
          <w:rFonts w:ascii="Simplified Arabic" w:hAnsi="Simplified Arabic" w:cs="Simplified Arabic" w:hint="cs"/>
          <w:sz w:val="24"/>
          <w:szCs w:val="24"/>
          <w:rtl/>
          <w:lang w:val="en-US" w:bidi="ar-DZ"/>
        </w:rPr>
        <w:t>استعمال</w:t>
      </w:r>
      <w:r w:rsidR="003E424F" w:rsidRPr="0062340E">
        <w:rPr>
          <w:rFonts w:ascii="Simplified Arabic" w:hAnsi="Simplified Arabic" w:cs="Simplified Arabic" w:hint="cs"/>
          <w:color w:val="000000" w:themeColor="text1"/>
          <w:sz w:val="24"/>
          <w:szCs w:val="24"/>
          <w:rtl/>
        </w:rPr>
        <w:t xml:space="preserve"> الارض</w:t>
      </w:r>
      <w:r w:rsidR="00A31551" w:rsidRPr="0062340E">
        <w:rPr>
          <w:rFonts w:ascii="Simplified Arabic" w:hAnsi="Simplified Arabic" w:cs="Simplified Arabic" w:hint="cs"/>
          <w:color w:val="000000" w:themeColor="text1"/>
          <w:sz w:val="24"/>
          <w:szCs w:val="24"/>
          <w:rtl/>
        </w:rPr>
        <w:t xml:space="preserve"> عشوائي</w:t>
      </w:r>
      <w:r w:rsidR="003E424F" w:rsidRPr="0062340E">
        <w:rPr>
          <w:rFonts w:ascii="Simplified Arabic" w:hAnsi="Simplified Arabic" w:cs="Simplified Arabic" w:hint="cs"/>
          <w:color w:val="000000" w:themeColor="text1"/>
          <w:sz w:val="24"/>
          <w:szCs w:val="24"/>
          <w:rtl/>
        </w:rPr>
        <w:t xml:space="preserve"> </w:t>
      </w:r>
      <w:r w:rsidR="00A31551" w:rsidRPr="0062340E">
        <w:rPr>
          <w:rFonts w:ascii="Simplified Arabic" w:hAnsi="Simplified Arabic" w:cs="Simplified Arabic" w:hint="cs"/>
          <w:color w:val="000000" w:themeColor="text1"/>
          <w:sz w:val="24"/>
          <w:szCs w:val="24"/>
          <w:rtl/>
        </w:rPr>
        <w:t>و</w:t>
      </w:r>
      <w:r w:rsidR="003E424F" w:rsidRPr="0062340E">
        <w:rPr>
          <w:rFonts w:ascii="Simplified Arabic" w:hAnsi="Simplified Arabic" w:cs="Simplified Arabic" w:hint="cs"/>
          <w:color w:val="000000" w:themeColor="text1"/>
          <w:sz w:val="24"/>
          <w:szCs w:val="24"/>
          <w:rtl/>
        </w:rPr>
        <w:t xml:space="preserve">غير </w:t>
      </w:r>
      <w:r w:rsidRPr="0062340E">
        <w:rPr>
          <w:rFonts w:ascii="Simplified Arabic" w:hAnsi="Simplified Arabic" w:cs="Simplified Arabic" w:hint="cs"/>
          <w:color w:val="000000" w:themeColor="text1"/>
          <w:sz w:val="24"/>
          <w:szCs w:val="24"/>
          <w:rtl/>
        </w:rPr>
        <w:t>منظم</w:t>
      </w:r>
      <w:r w:rsidR="00A31551"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hint="cs"/>
          <w:color w:val="000000" w:themeColor="text1"/>
          <w:sz w:val="24"/>
          <w:szCs w:val="24"/>
          <w:rtl/>
        </w:rPr>
        <w:t xml:space="preserve"> لأن</w:t>
      </w:r>
      <w:r w:rsidR="00A31551" w:rsidRPr="0062340E">
        <w:rPr>
          <w:rFonts w:ascii="Simplified Arabic" w:hAnsi="Simplified Arabic" w:cs="Simplified Arabic" w:hint="cs"/>
          <w:color w:val="000000" w:themeColor="text1"/>
          <w:sz w:val="24"/>
          <w:szCs w:val="24"/>
          <w:rtl/>
        </w:rPr>
        <w:t xml:space="preserve"> ذلك</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يؤدي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بناء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مدن</w:t>
      </w:r>
      <w:r w:rsidRPr="0062340E">
        <w:rPr>
          <w:rFonts w:ascii="Simplified Arabic" w:hAnsi="Simplified Arabic" w:cs="Simplified Arabic"/>
          <w:color w:val="000000" w:themeColor="text1"/>
          <w:sz w:val="24"/>
          <w:szCs w:val="24"/>
          <w:rtl/>
        </w:rPr>
        <w:t xml:space="preserve"> </w:t>
      </w:r>
      <w:r w:rsidR="00A31551" w:rsidRPr="0062340E">
        <w:rPr>
          <w:rFonts w:ascii="Simplified Arabic" w:hAnsi="Simplified Arabic" w:cs="Simplified Arabic" w:hint="cs"/>
          <w:color w:val="000000" w:themeColor="text1"/>
          <w:sz w:val="24"/>
          <w:szCs w:val="24"/>
          <w:rtl/>
        </w:rPr>
        <w:t>على حساب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المناطق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تكون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المخاطر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بقوة</w:t>
      </w:r>
      <w:r w:rsidR="003E424F" w:rsidRPr="0062340E">
        <w:rPr>
          <w:rFonts w:ascii="Simplified Arabic" w:hAnsi="Simplified Arabic" w:cs="Simplified Arabic" w:hint="cs"/>
          <w:color w:val="000000" w:themeColor="text1"/>
          <w:sz w:val="24"/>
          <w:szCs w:val="24"/>
          <w:rtl/>
        </w:rPr>
        <w:t xml:space="preserve"> </w:t>
      </w:r>
      <w:r w:rsidR="003E424F" w:rsidRPr="0062340E">
        <w:rPr>
          <w:rFonts w:asciiTheme="majorBidi" w:hAnsiTheme="majorBidi" w:cstheme="majorBidi"/>
          <w:color w:val="000000" w:themeColor="text1"/>
          <w:sz w:val="24"/>
          <w:szCs w:val="24"/>
        </w:rPr>
        <w:t>(Serre, 2015)</w:t>
      </w:r>
      <w:r w:rsidR="00032C5E" w:rsidRPr="0062340E">
        <w:rPr>
          <w:rFonts w:ascii="Simplified Arabic" w:hAnsi="Simplified Arabic" w:cs="Simplified Arabic"/>
          <w:color w:val="000000" w:themeColor="text1"/>
          <w:sz w:val="24"/>
          <w:szCs w:val="24"/>
          <w:rtl/>
        </w:rPr>
        <w:t>،</w:t>
      </w:r>
      <w:r w:rsidR="00EA6174" w:rsidRPr="0062340E">
        <w:rPr>
          <w:rFonts w:ascii="Simplified Arabic" w:hAnsi="Simplified Arabic" w:cs="Simplified Arabic"/>
          <w:color w:val="000000" w:themeColor="text1"/>
          <w:sz w:val="24"/>
          <w:szCs w:val="24"/>
          <w:rtl/>
        </w:rPr>
        <w:t xml:space="preserve"> </w:t>
      </w:r>
      <w:r w:rsidR="00EA6174" w:rsidRPr="0062340E">
        <w:rPr>
          <w:rFonts w:ascii="Simplified Arabic" w:hAnsi="Simplified Arabic" w:cs="Simplified Arabic" w:hint="cs"/>
          <w:color w:val="000000" w:themeColor="text1"/>
          <w:sz w:val="24"/>
          <w:szCs w:val="24"/>
          <w:rtl/>
        </w:rPr>
        <w:t>هذا</w:t>
      </w:r>
      <w:r w:rsidRPr="0062340E">
        <w:rPr>
          <w:rFonts w:ascii="Arial" w:eastAsia="Times New Roman" w:hAnsi="Arial" w:hint="cs"/>
          <w:color w:val="000000" w:themeColor="text1"/>
          <w:sz w:val="24"/>
          <w:szCs w:val="24"/>
          <w:rtl/>
          <w:lang w:eastAsia="fr-FR"/>
        </w:rPr>
        <w:t xml:space="preserve"> </w:t>
      </w:r>
      <w:r w:rsidR="00EA6174" w:rsidRPr="0062340E">
        <w:rPr>
          <w:rFonts w:ascii="Simplified Arabic" w:hAnsi="Simplified Arabic" w:cs="Simplified Arabic" w:hint="cs"/>
          <w:color w:val="000000" w:themeColor="text1"/>
          <w:sz w:val="24"/>
          <w:szCs w:val="24"/>
          <w:rtl/>
        </w:rPr>
        <w:t>من</w:t>
      </w:r>
      <w:r w:rsidR="00EA6174" w:rsidRPr="0062340E">
        <w:rPr>
          <w:rFonts w:ascii="Simplified Arabic" w:hAnsi="Simplified Arabic" w:cs="Simplified Arabic"/>
          <w:color w:val="000000" w:themeColor="text1"/>
          <w:sz w:val="24"/>
          <w:szCs w:val="24"/>
          <w:rtl/>
        </w:rPr>
        <w:t xml:space="preserve"> </w:t>
      </w:r>
      <w:r w:rsidR="00FB3124" w:rsidRPr="0062340E">
        <w:rPr>
          <w:rFonts w:ascii="Simplified Arabic" w:hAnsi="Simplified Arabic" w:cs="Simplified Arabic" w:hint="cs"/>
          <w:color w:val="000000" w:themeColor="text1"/>
          <w:sz w:val="24"/>
          <w:szCs w:val="24"/>
          <w:rtl/>
        </w:rPr>
        <w:t>جهة</w:t>
      </w:r>
      <w:r w:rsidR="00EA6174" w:rsidRPr="0062340E">
        <w:rPr>
          <w:rFonts w:ascii="Simplified Arabic" w:hAnsi="Simplified Arabic" w:cs="Simplified Arabic"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من </w:t>
      </w:r>
      <w:r w:rsidR="00FB3124" w:rsidRPr="0062340E">
        <w:rPr>
          <w:rFonts w:ascii="Simplified Arabic" w:hAnsi="Simplified Arabic" w:cs="Simplified Arabic" w:hint="cs"/>
          <w:color w:val="000000" w:themeColor="text1"/>
          <w:sz w:val="24"/>
          <w:szCs w:val="24"/>
          <w:rtl/>
        </w:rPr>
        <w:t>جهة</w:t>
      </w:r>
      <w:r w:rsidRPr="0062340E">
        <w:rPr>
          <w:rFonts w:ascii="Simplified Arabic" w:hAnsi="Simplified Arabic" w:cs="Simplified Arabic" w:hint="cs"/>
          <w:color w:val="000000" w:themeColor="text1"/>
          <w:sz w:val="24"/>
          <w:szCs w:val="24"/>
          <w:rtl/>
        </w:rPr>
        <w:t xml:space="preserve"> اخرى</w:t>
      </w:r>
      <w:r w:rsidR="00973B10"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hint="cs"/>
          <w:color w:val="000000" w:themeColor="text1"/>
          <w:sz w:val="24"/>
          <w:szCs w:val="24"/>
          <w:rtl/>
        </w:rPr>
        <w:t xml:space="preserve"> تباين </w:t>
      </w:r>
      <w:r w:rsidR="00601146" w:rsidRPr="0062340E">
        <w:rPr>
          <w:rFonts w:ascii="Simplified Arabic" w:hAnsi="Simplified Arabic" w:cs="Simplified Arabic" w:hint="cs"/>
          <w:sz w:val="24"/>
          <w:szCs w:val="24"/>
          <w:rtl/>
          <w:lang w:val="en-US" w:bidi="ar-DZ"/>
        </w:rPr>
        <w:t>استعمالات</w:t>
      </w:r>
      <w:r w:rsidR="00FB5F07" w:rsidRPr="0062340E">
        <w:rPr>
          <w:rFonts w:ascii="Simplified Arabic" w:hAnsi="Simplified Arabic" w:cs="Simplified Arabic" w:hint="cs"/>
          <w:color w:val="000000" w:themeColor="text1"/>
          <w:sz w:val="24"/>
          <w:szCs w:val="24"/>
          <w:rtl/>
        </w:rPr>
        <w:t xml:space="preserve"> الار</w:t>
      </w:r>
      <w:r w:rsidR="00601146" w:rsidRPr="0062340E">
        <w:rPr>
          <w:rFonts w:ascii="Simplified Arabic" w:hAnsi="Simplified Arabic" w:cs="Simplified Arabic" w:hint="cs"/>
          <w:color w:val="000000" w:themeColor="text1"/>
          <w:sz w:val="24"/>
          <w:szCs w:val="24"/>
          <w:rtl/>
        </w:rPr>
        <w:t>ا</w:t>
      </w:r>
      <w:r w:rsidR="00FB5F07" w:rsidRPr="0062340E">
        <w:rPr>
          <w:rFonts w:ascii="Simplified Arabic" w:hAnsi="Simplified Arabic" w:cs="Simplified Arabic" w:hint="cs"/>
          <w:color w:val="000000" w:themeColor="text1"/>
          <w:sz w:val="24"/>
          <w:szCs w:val="24"/>
          <w:rtl/>
        </w:rPr>
        <w:t>ض</w:t>
      </w:r>
      <w:r w:rsidR="00601146" w:rsidRPr="0062340E">
        <w:rPr>
          <w:rFonts w:ascii="Simplified Arabic" w:hAnsi="Simplified Arabic" w:cs="Simplified Arabic" w:hint="cs"/>
          <w:color w:val="000000" w:themeColor="text1"/>
          <w:sz w:val="24"/>
          <w:szCs w:val="24"/>
          <w:rtl/>
        </w:rPr>
        <w:t>ي</w:t>
      </w:r>
      <w:r w:rsidR="00FB5F07" w:rsidRPr="0062340E">
        <w:rPr>
          <w:rFonts w:ascii="Simplified Arabic" w:hAnsi="Simplified Arabic" w:cs="Simplified Arabic" w:hint="cs"/>
          <w:color w:val="000000" w:themeColor="text1"/>
          <w:sz w:val="24"/>
          <w:szCs w:val="24"/>
          <w:rtl/>
        </w:rPr>
        <w:t xml:space="preserve"> </w:t>
      </w:r>
      <w:r w:rsidR="004670E8" w:rsidRPr="0062340E">
        <w:rPr>
          <w:rFonts w:ascii="Simplified Arabic" w:hAnsi="Simplified Arabic" w:cs="Simplified Arabic" w:hint="cs"/>
          <w:color w:val="000000" w:themeColor="text1"/>
          <w:sz w:val="24"/>
          <w:szCs w:val="24"/>
          <w:rtl/>
        </w:rPr>
        <w:t xml:space="preserve">في حد ذاته </w:t>
      </w:r>
      <w:r w:rsidR="001F0653" w:rsidRPr="0062340E">
        <w:rPr>
          <w:rFonts w:ascii="Simplified Arabic" w:hAnsi="Simplified Arabic" w:cs="Simplified Arabic" w:hint="cs"/>
          <w:color w:val="000000" w:themeColor="text1"/>
          <w:sz w:val="24"/>
          <w:szCs w:val="24"/>
          <w:rtl/>
        </w:rPr>
        <w:t xml:space="preserve">من </w:t>
      </w:r>
      <w:r w:rsidR="00642373" w:rsidRPr="0062340E">
        <w:rPr>
          <w:rFonts w:ascii="Simplified Arabic" w:hAnsi="Simplified Arabic" w:cs="Simplified Arabic" w:hint="cs"/>
          <w:color w:val="000000" w:themeColor="text1"/>
          <w:sz w:val="24"/>
          <w:szCs w:val="24"/>
          <w:rtl/>
        </w:rPr>
        <w:t>يؤدي</w:t>
      </w:r>
      <w:r w:rsidR="00B3018E" w:rsidRPr="0062340E">
        <w:rPr>
          <w:rFonts w:ascii="Simplified Arabic" w:hAnsi="Simplified Arabic" w:cs="Simplified Arabic" w:hint="cs"/>
          <w:color w:val="000000" w:themeColor="text1"/>
          <w:sz w:val="24"/>
          <w:szCs w:val="24"/>
          <w:rtl/>
        </w:rPr>
        <w:t xml:space="preserve"> الى اختلال </w:t>
      </w:r>
      <w:r w:rsidR="000627E9" w:rsidRPr="0062340E">
        <w:rPr>
          <w:rFonts w:ascii="Simplified Arabic" w:hAnsi="Simplified Arabic" w:cs="Simplified Arabic" w:hint="cs"/>
          <w:color w:val="000000" w:themeColor="text1"/>
          <w:sz w:val="24"/>
          <w:szCs w:val="24"/>
          <w:rtl/>
        </w:rPr>
        <w:t>مستو</w:t>
      </w:r>
      <w:r w:rsidR="00B3018E" w:rsidRPr="0062340E">
        <w:rPr>
          <w:rFonts w:ascii="Simplified Arabic" w:hAnsi="Simplified Arabic" w:cs="Simplified Arabic" w:hint="cs"/>
          <w:color w:val="000000" w:themeColor="text1"/>
          <w:sz w:val="24"/>
          <w:szCs w:val="24"/>
          <w:rtl/>
        </w:rPr>
        <w:t>ى</w:t>
      </w:r>
      <w:r w:rsidR="000627E9" w:rsidRPr="0062340E">
        <w:rPr>
          <w:rFonts w:ascii="Simplified Arabic" w:hAnsi="Simplified Arabic" w:cs="Simplified Arabic" w:hint="cs"/>
          <w:color w:val="000000" w:themeColor="text1"/>
          <w:sz w:val="24"/>
          <w:szCs w:val="24"/>
          <w:rtl/>
        </w:rPr>
        <w:t xml:space="preserve"> </w:t>
      </w:r>
      <w:r w:rsidR="00B3018E" w:rsidRPr="0062340E">
        <w:rPr>
          <w:rFonts w:ascii="Simplified Arabic" w:hAnsi="Simplified Arabic" w:cs="Simplified Arabic" w:hint="cs"/>
          <w:color w:val="000000" w:themeColor="text1"/>
          <w:sz w:val="24"/>
          <w:szCs w:val="24"/>
          <w:rtl/>
        </w:rPr>
        <w:t>أداء</w:t>
      </w:r>
      <w:r w:rsidR="000627E9" w:rsidRPr="0062340E">
        <w:rPr>
          <w:rFonts w:ascii="Simplified Arabic" w:hAnsi="Simplified Arabic" w:cs="Simplified Arabic" w:hint="cs"/>
          <w:color w:val="000000" w:themeColor="text1"/>
          <w:sz w:val="24"/>
          <w:szCs w:val="24"/>
          <w:rtl/>
        </w:rPr>
        <w:t xml:space="preserve"> المدن </w:t>
      </w:r>
      <w:r w:rsidR="00F177E5" w:rsidRPr="0062340E">
        <w:rPr>
          <w:rFonts w:ascii="Simplified Arabic" w:hAnsi="Simplified Arabic" w:cs="Simplified Arabic" w:hint="cs"/>
          <w:color w:val="000000" w:themeColor="text1"/>
          <w:sz w:val="24"/>
          <w:szCs w:val="24"/>
          <w:rtl/>
        </w:rPr>
        <w:t xml:space="preserve">ويقلل من القدرة </w:t>
      </w:r>
      <w:r w:rsidR="005166FF" w:rsidRPr="0062340E">
        <w:rPr>
          <w:rFonts w:ascii="Simplified Arabic" w:hAnsi="Simplified Arabic" w:cs="Simplified Arabic" w:hint="cs"/>
          <w:color w:val="000000" w:themeColor="text1"/>
          <w:sz w:val="24"/>
          <w:szCs w:val="24"/>
          <w:rtl/>
        </w:rPr>
        <w:t>على</w:t>
      </w:r>
      <w:r w:rsidR="000627E9" w:rsidRPr="0062340E">
        <w:rPr>
          <w:rFonts w:ascii="Simplified Arabic" w:hAnsi="Simplified Arabic" w:cs="Simplified Arabic"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استجابة </w:t>
      </w:r>
      <w:r w:rsidR="00B3018E" w:rsidRPr="0062340E">
        <w:rPr>
          <w:rFonts w:ascii="Simplified Arabic" w:hAnsi="Simplified Arabic" w:cs="Simplified Arabic" w:hint="cs"/>
          <w:color w:val="000000" w:themeColor="text1"/>
          <w:sz w:val="24"/>
          <w:szCs w:val="24"/>
          <w:rtl/>
        </w:rPr>
        <w:t>انظمتها</w:t>
      </w:r>
      <w:r w:rsidR="008A17DE" w:rsidRPr="0062340E">
        <w:rPr>
          <w:rFonts w:ascii="Simplified Arabic" w:hAnsi="Simplified Arabic" w:cs="Simplified Arabic" w:hint="cs"/>
          <w:color w:val="000000" w:themeColor="text1"/>
          <w:sz w:val="24"/>
          <w:szCs w:val="24"/>
          <w:rtl/>
          <w:lang w:bidi="ar-DZ"/>
        </w:rPr>
        <w:t xml:space="preserve"> الحضري</w:t>
      </w:r>
      <w:r w:rsidR="00B3018E" w:rsidRPr="0062340E">
        <w:rPr>
          <w:rFonts w:ascii="Simplified Arabic" w:hAnsi="Simplified Arabic" w:cs="Simplified Arabic" w:hint="cs"/>
          <w:color w:val="000000" w:themeColor="text1"/>
          <w:sz w:val="24"/>
          <w:szCs w:val="24"/>
          <w:rtl/>
          <w:lang w:bidi="ar-DZ"/>
        </w:rPr>
        <w:t>ة</w:t>
      </w:r>
      <w:r w:rsidR="008A17DE" w:rsidRPr="0062340E">
        <w:rPr>
          <w:rFonts w:ascii="Simplified Arabic" w:hAnsi="Simplified Arabic" w:cs="Simplified Arabic" w:hint="cs"/>
          <w:color w:val="000000" w:themeColor="text1"/>
          <w:sz w:val="24"/>
          <w:szCs w:val="24"/>
          <w:rtl/>
          <w:lang w:bidi="ar-DZ"/>
        </w:rPr>
        <w:t xml:space="preserve"> </w:t>
      </w:r>
      <w:r w:rsidR="009D6CB8" w:rsidRPr="0062340E">
        <w:rPr>
          <w:rFonts w:ascii="Simplified Arabic" w:hAnsi="Simplified Arabic" w:cs="Simplified Arabic" w:hint="cs"/>
          <w:color w:val="000000" w:themeColor="text1"/>
          <w:sz w:val="24"/>
          <w:szCs w:val="24"/>
          <w:rtl/>
        </w:rPr>
        <w:t xml:space="preserve">اثناء </w:t>
      </w:r>
      <w:r w:rsidR="000627E9" w:rsidRPr="0062340E">
        <w:rPr>
          <w:rFonts w:ascii="Simplified Arabic" w:hAnsi="Simplified Arabic" w:cs="Simplified Arabic" w:hint="cs"/>
          <w:color w:val="000000" w:themeColor="text1"/>
          <w:sz w:val="24"/>
          <w:szCs w:val="24"/>
          <w:rtl/>
        </w:rPr>
        <w:t>مجاب</w:t>
      </w:r>
      <w:r w:rsidR="008A1614" w:rsidRPr="0062340E">
        <w:rPr>
          <w:rFonts w:ascii="Simplified Arabic" w:hAnsi="Simplified Arabic" w:cs="Simplified Arabic" w:hint="cs"/>
          <w:color w:val="000000" w:themeColor="text1"/>
          <w:sz w:val="24"/>
          <w:szCs w:val="24"/>
          <w:rtl/>
        </w:rPr>
        <w:t>هة</w:t>
      </w:r>
      <w:r w:rsidR="000627E9" w:rsidRPr="0062340E">
        <w:rPr>
          <w:rFonts w:ascii="Simplified Arabic" w:hAnsi="Simplified Arabic" w:cs="Simplified Arabic" w:hint="cs"/>
          <w:color w:val="000000" w:themeColor="text1"/>
          <w:sz w:val="24"/>
          <w:szCs w:val="24"/>
          <w:rtl/>
        </w:rPr>
        <w:t xml:space="preserve"> </w:t>
      </w:r>
      <w:r w:rsidR="008A1614" w:rsidRPr="0062340E">
        <w:rPr>
          <w:rFonts w:ascii="Simplified Arabic" w:hAnsi="Simplified Arabic" w:cs="Simplified Arabic" w:hint="cs"/>
          <w:color w:val="000000" w:themeColor="text1"/>
          <w:sz w:val="24"/>
          <w:szCs w:val="24"/>
          <w:rtl/>
        </w:rPr>
        <w:t>ا</w:t>
      </w:r>
      <w:r w:rsidR="00FB5F07" w:rsidRPr="0062340E">
        <w:rPr>
          <w:rFonts w:ascii="Simplified Arabic" w:hAnsi="Simplified Arabic" w:cs="Simplified Arabic" w:hint="cs"/>
          <w:color w:val="000000" w:themeColor="text1"/>
          <w:sz w:val="24"/>
          <w:szCs w:val="24"/>
          <w:rtl/>
        </w:rPr>
        <w:t>لاضطرابات</w:t>
      </w:r>
      <w:r w:rsidR="00552A45" w:rsidRPr="0062340E">
        <w:rPr>
          <w:rFonts w:ascii="Simplified Arabic" w:hAnsi="Simplified Arabic" w:cs="Simplified Arabic" w:hint="cs"/>
          <w:color w:val="000000" w:themeColor="text1"/>
          <w:sz w:val="24"/>
          <w:szCs w:val="24"/>
          <w:rtl/>
        </w:rPr>
        <w:t xml:space="preserve"> </w:t>
      </w:r>
      <w:r w:rsidR="00FB3124" w:rsidRPr="0062340E">
        <w:rPr>
          <w:rFonts w:ascii="Simplified Arabic" w:hAnsi="Simplified Arabic" w:cs="Simplified Arabic" w:hint="cs"/>
          <w:color w:val="000000" w:themeColor="text1"/>
          <w:sz w:val="24"/>
          <w:szCs w:val="24"/>
          <w:rtl/>
        </w:rPr>
        <w:t xml:space="preserve">التي يمكن ان تحدثها المخاطر الطبيعية </w:t>
      </w:r>
      <w:r w:rsidR="00552A45" w:rsidRPr="0062340E">
        <w:rPr>
          <w:rFonts w:ascii="Simplified Arabic" w:hAnsi="Simplified Arabic" w:cs="Simplified Arabic" w:hint="cs"/>
          <w:color w:val="000000" w:themeColor="text1"/>
          <w:sz w:val="24"/>
          <w:szCs w:val="24"/>
          <w:rtl/>
        </w:rPr>
        <w:t>(</w:t>
      </w:r>
      <w:r w:rsidR="00F63431" w:rsidRPr="0062340E">
        <w:rPr>
          <w:rFonts w:ascii="Simplified Arabic" w:hAnsi="Simplified Arabic" w:cs="Simplified Arabic" w:hint="cs"/>
          <w:color w:val="000000" w:themeColor="text1"/>
          <w:sz w:val="24"/>
          <w:szCs w:val="24"/>
          <w:rtl/>
        </w:rPr>
        <w:t xml:space="preserve">اثناء الصدمة، </w:t>
      </w:r>
      <w:r w:rsidR="00552A45" w:rsidRPr="0062340E">
        <w:rPr>
          <w:rFonts w:ascii="Simplified Arabic" w:hAnsi="Simplified Arabic" w:cs="Simplified Arabic" w:hint="cs"/>
          <w:color w:val="000000" w:themeColor="text1"/>
          <w:sz w:val="24"/>
          <w:szCs w:val="24"/>
          <w:rtl/>
        </w:rPr>
        <w:t>على المدى القصير)</w:t>
      </w:r>
      <w:r w:rsidRPr="0062340E">
        <w:rPr>
          <w:rFonts w:ascii="Simplified Arabic" w:hAnsi="Simplified Arabic" w:cs="Simplified Arabic" w:hint="cs"/>
          <w:color w:val="000000" w:themeColor="text1"/>
          <w:sz w:val="24"/>
          <w:szCs w:val="24"/>
          <w:rtl/>
        </w:rPr>
        <w:t xml:space="preserve">. </w:t>
      </w:r>
      <w:r w:rsidR="00C04CB5" w:rsidRPr="0062340E">
        <w:rPr>
          <w:rFonts w:ascii="Simplified Arabic" w:hAnsi="Simplified Arabic" w:cs="Simplified Arabic" w:hint="cs"/>
          <w:sz w:val="24"/>
          <w:szCs w:val="24"/>
          <w:rtl/>
          <w:lang w:val="en-US" w:bidi="ar-DZ"/>
        </w:rPr>
        <w:t>اشار (</w:t>
      </w:r>
      <w:r w:rsidR="00EB517D" w:rsidRPr="0062340E">
        <w:rPr>
          <w:rFonts w:ascii="Simplified Arabic" w:eastAsia="Times New Roman" w:hAnsi="Simplified Arabic" w:cs="Simplified Arabic" w:hint="cs"/>
          <w:color w:val="000000"/>
          <w:sz w:val="24"/>
          <w:szCs w:val="24"/>
          <w:rtl/>
          <w:lang w:eastAsia="fr-FR"/>
        </w:rPr>
        <w:t>الدليمي خلف حسين علي</w:t>
      </w:r>
      <w:r w:rsidR="00C04CB5" w:rsidRPr="0062340E">
        <w:rPr>
          <w:rFonts w:ascii="Simplified Arabic" w:hAnsi="Simplified Arabic" w:cs="Simplified Arabic" w:hint="cs"/>
          <w:sz w:val="24"/>
          <w:szCs w:val="24"/>
          <w:rtl/>
          <w:lang w:val="en-US" w:bidi="ar-DZ"/>
        </w:rPr>
        <w:t xml:space="preserve">، 2015) الى ان </w:t>
      </w:r>
      <w:r w:rsidR="001B66CC" w:rsidRPr="0062340E">
        <w:rPr>
          <w:rFonts w:ascii="Simplified Arabic" w:hAnsi="Simplified Arabic" w:cs="Simplified Arabic" w:hint="cs"/>
          <w:sz w:val="24"/>
          <w:szCs w:val="24"/>
          <w:rtl/>
          <w:lang w:val="en-US" w:bidi="ar-DZ"/>
        </w:rPr>
        <w:t>تباين</w:t>
      </w:r>
      <w:r w:rsidR="00C04CB5" w:rsidRPr="0062340E">
        <w:rPr>
          <w:rFonts w:ascii="Simplified Arabic" w:hAnsi="Simplified Arabic" w:cs="Simplified Arabic" w:hint="cs"/>
          <w:sz w:val="24"/>
          <w:szCs w:val="24"/>
          <w:rtl/>
          <w:lang w:val="en-US" w:bidi="ar-DZ"/>
        </w:rPr>
        <w:t xml:space="preserve"> </w:t>
      </w:r>
      <w:r w:rsidR="00601146" w:rsidRPr="0062340E">
        <w:rPr>
          <w:rFonts w:ascii="Simplified Arabic" w:hAnsi="Simplified Arabic" w:cs="Simplified Arabic" w:hint="cs"/>
          <w:sz w:val="24"/>
          <w:szCs w:val="24"/>
          <w:rtl/>
          <w:lang w:val="en-US" w:bidi="ar-DZ"/>
        </w:rPr>
        <w:t>استعمال</w:t>
      </w:r>
      <w:r w:rsidR="00C04CB5" w:rsidRPr="0062340E">
        <w:rPr>
          <w:rFonts w:ascii="Simplified Arabic" w:hAnsi="Simplified Arabic" w:cs="Simplified Arabic" w:hint="cs"/>
          <w:sz w:val="24"/>
          <w:szCs w:val="24"/>
          <w:rtl/>
          <w:lang w:val="en-US" w:bidi="ar-DZ"/>
        </w:rPr>
        <w:t xml:space="preserve"> الارض انعكس على اداء</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وظائف المدينة، اذ</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يواجه</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الإنسان</w:t>
      </w:r>
      <w:r w:rsidR="00361390" w:rsidRPr="0062340E">
        <w:rPr>
          <w:rFonts w:ascii="Simplified Arabic" w:hAnsi="Simplified Arabic" w:cs="Simplified Arabic" w:hint="cs"/>
          <w:sz w:val="24"/>
          <w:szCs w:val="24"/>
          <w:rtl/>
          <w:lang w:val="en-US" w:bidi="ar-DZ"/>
        </w:rPr>
        <w:t xml:space="preserve"> في الحالات العادية </w:t>
      </w:r>
      <w:r w:rsidR="00E0577E" w:rsidRPr="0062340E">
        <w:rPr>
          <w:rFonts w:ascii="Simplified Arabic" w:hAnsi="Simplified Arabic" w:cs="Simplified Arabic" w:hint="cs"/>
          <w:sz w:val="24"/>
          <w:szCs w:val="24"/>
          <w:rtl/>
          <w:lang w:val="en-US" w:bidi="ar-DZ"/>
        </w:rPr>
        <w:t>اضطرابات</w:t>
      </w:r>
      <w:r w:rsidR="00FA0885" w:rsidRPr="0062340E">
        <w:rPr>
          <w:rFonts w:ascii="Simplified Arabic" w:hAnsi="Simplified Arabic" w:cs="Simplified Arabic" w:hint="cs"/>
          <w:sz w:val="24"/>
          <w:szCs w:val="24"/>
          <w:rtl/>
          <w:lang w:val="en-US" w:bidi="ar-DZ"/>
        </w:rPr>
        <w:t xml:space="preserve"> الوصول </w:t>
      </w:r>
      <w:r w:rsidR="00770CA1" w:rsidRPr="0062340E">
        <w:rPr>
          <w:rFonts w:ascii="Simplified Arabic" w:hAnsi="Simplified Arabic" w:cs="Simplified Arabic" w:hint="cs"/>
          <w:sz w:val="24"/>
          <w:szCs w:val="24"/>
          <w:rtl/>
          <w:lang w:val="en-US" w:bidi="ar-DZ"/>
        </w:rPr>
        <w:t>ا</w:t>
      </w:r>
      <w:r w:rsidR="00FA0885" w:rsidRPr="0062340E">
        <w:rPr>
          <w:rFonts w:ascii="Simplified Arabic" w:hAnsi="Simplified Arabic" w:cs="Simplified Arabic" w:hint="cs"/>
          <w:sz w:val="24"/>
          <w:szCs w:val="24"/>
          <w:rtl/>
          <w:lang w:val="en-US" w:bidi="ar-DZ"/>
        </w:rPr>
        <w:t xml:space="preserve">لى الخدمات المجتمعية </w:t>
      </w:r>
      <w:r w:rsidR="00C04CB5" w:rsidRPr="0062340E">
        <w:rPr>
          <w:rFonts w:ascii="Simplified Arabic" w:hAnsi="Simplified Arabic" w:cs="Simplified Arabic" w:hint="cs"/>
          <w:sz w:val="24"/>
          <w:szCs w:val="24"/>
          <w:rtl/>
          <w:lang w:val="en-US" w:bidi="ar-DZ"/>
        </w:rPr>
        <w:t>وفق</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المعايير</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المعتمدة</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محليا</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او</w:t>
      </w:r>
      <w:r w:rsidR="00C04CB5" w:rsidRPr="0062340E">
        <w:rPr>
          <w:rFonts w:ascii="Simplified Arabic" w:hAnsi="Simplified Arabic" w:cs="Simplified Arabic"/>
          <w:sz w:val="24"/>
          <w:szCs w:val="24"/>
          <w:lang w:val="en-US" w:bidi="ar-DZ"/>
        </w:rPr>
        <w:t xml:space="preserve"> </w:t>
      </w:r>
      <w:r w:rsidR="00C04CB5" w:rsidRPr="0062340E">
        <w:rPr>
          <w:rFonts w:ascii="Simplified Arabic" w:hAnsi="Simplified Arabic" w:cs="Simplified Arabic" w:hint="cs"/>
          <w:sz w:val="24"/>
          <w:szCs w:val="24"/>
          <w:rtl/>
          <w:lang w:val="en-US" w:bidi="ar-DZ"/>
        </w:rPr>
        <w:t xml:space="preserve">عالميا. </w:t>
      </w:r>
      <w:r w:rsidR="00FA0885" w:rsidRPr="0062340E">
        <w:rPr>
          <w:rFonts w:ascii="Simplified Arabic" w:hAnsi="Simplified Arabic" w:cs="Simplified Arabic" w:hint="cs"/>
          <w:sz w:val="24"/>
          <w:szCs w:val="24"/>
          <w:rtl/>
          <w:lang w:val="en-US" w:bidi="ar-DZ"/>
        </w:rPr>
        <w:t xml:space="preserve">غير </w:t>
      </w:r>
      <w:r w:rsidR="00056084" w:rsidRPr="0062340E">
        <w:rPr>
          <w:rFonts w:ascii="Simplified Arabic" w:hAnsi="Simplified Arabic" w:cs="Simplified Arabic" w:hint="cs"/>
          <w:sz w:val="24"/>
          <w:szCs w:val="24"/>
          <w:rtl/>
          <w:lang w:val="en-US" w:bidi="ar-DZ"/>
        </w:rPr>
        <w:t>ان هذه ال</w:t>
      </w:r>
      <w:r w:rsidR="00E0577E" w:rsidRPr="0062340E">
        <w:rPr>
          <w:rFonts w:ascii="Simplified Arabic" w:hAnsi="Simplified Arabic" w:cs="Simplified Arabic" w:hint="cs"/>
          <w:sz w:val="24"/>
          <w:szCs w:val="24"/>
          <w:rtl/>
          <w:lang w:val="en-US" w:bidi="ar-DZ"/>
        </w:rPr>
        <w:t xml:space="preserve">اضطرابات قد </w:t>
      </w:r>
      <w:r w:rsidR="003343A3" w:rsidRPr="0062340E">
        <w:rPr>
          <w:rFonts w:ascii="Simplified Arabic" w:hAnsi="Simplified Arabic" w:cs="Simplified Arabic" w:hint="cs"/>
          <w:sz w:val="24"/>
          <w:szCs w:val="24"/>
          <w:rtl/>
          <w:lang w:val="en-US" w:bidi="ar-DZ"/>
        </w:rPr>
        <w:t>ت</w:t>
      </w:r>
      <w:r w:rsidR="00FA0885" w:rsidRPr="0062340E">
        <w:rPr>
          <w:rFonts w:ascii="Simplified Arabic" w:hAnsi="Simplified Arabic" w:cs="Simplified Arabic" w:hint="cs"/>
          <w:sz w:val="24"/>
          <w:szCs w:val="24"/>
          <w:rtl/>
          <w:lang w:val="en-US" w:bidi="ar-DZ"/>
        </w:rPr>
        <w:t>ضاعفت حد</w:t>
      </w:r>
      <w:r w:rsidR="00056084" w:rsidRPr="0062340E">
        <w:rPr>
          <w:rFonts w:ascii="Simplified Arabic" w:hAnsi="Simplified Arabic" w:cs="Simplified Arabic" w:hint="cs"/>
          <w:sz w:val="24"/>
          <w:szCs w:val="24"/>
          <w:rtl/>
          <w:lang w:val="en-US" w:bidi="ar-DZ"/>
        </w:rPr>
        <w:t>ت</w:t>
      </w:r>
      <w:r w:rsidR="00FA0885" w:rsidRPr="0062340E">
        <w:rPr>
          <w:rFonts w:ascii="Simplified Arabic" w:hAnsi="Simplified Arabic" w:cs="Simplified Arabic" w:hint="cs"/>
          <w:sz w:val="24"/>
          <w:szCs w:val="24"/>
          <w:rtl/>
          <w:lang w:val="en-US" w:bidi="ar-DZ"/>
        </w:rPr>
        <w:t>ه</w:t>
      </w:r>
      <w:r w:rsidR="00056084" w:rsidRPr="0062340E">
        <w:rPr>
          <w:rFonts w:ascii="Simplified Arabic" w:hAnsi="Simplified Arabic" w:cs="Simplified Arabic" w:hint="cs"/>
          <w:sz w:val="24"/>
          <w:szCs w:val="24"/>
          <w:rtl/>
          <w:lang w:val="en-US" w:bidi="ar-DZ"/>
        </w:rPr>
        <w:t>ا</w:t>
      </w:r>
      <w:r w:rsidR="00F63431" w:rsidRPr="0062340E">
        <w:rPr>
          <w:rFonts w:ascii="Simplified Arabic" w:hAnsi="Simplified Arabic" w:cs="Simplified Arabic" w:hint="cs"/>
          <w:sz w:val="24"/>
          <w:szCs w:val="24"/>
          <w:rtl/>
          <w:lang w:val="en-US" w:bidi="ar-DZ"/>
        </w:rPr>
        <w:t>،</w:t>
      </w:r>
      <w:r w:rsidR="00FA0885" w:rsidRPr="0062340E">
        <w:rPr>
          <w:rFonts w:ascii="Simplified Arabic" w:hAnsi="Simplified Arabic" w:cs="Simplified Arabic" w:hint="cs"/>
          <w:sz w:val="24"/>
          <w:szCs w:val="24"/>
          <w:rtl/>
          <w:lang w:val="en-US" w:bidi="ar-DZ"/>
        </w:rPr>
        <w:t xml:space="preserve"> </w:t>
      </w:r>
      <w:r w:rsidR="00056084" w:rsidRPr="0062340E">
        <w:rPr>
          <w:rFonts w:ascii="Simplified Arabic" w:hAnsi="Simplified Arabic" w:cs="Simplified Arabic" w:hint="cs"/>
          <w:sz w:val="24"/>
          <w:szCs w:val="24"/>
          <w:rtl/>
          <w:lang w:val="en-US" w:bidi="ar-DZ"/>
        </w:rPr>
        <w:t>في</w:t>
      </w:r>
      <w:r w:rsidR="00FA0885" w:rsidRPr="0062340E">
        <w:rPr>
          <w:rFonts w:ascii="Simplified Arabic" w:hAnsi="Simplified Arabic" w:cs="Simplified Arabic" w:hint="cs"/>
          <w:sz w:val="24"/>
          <w:szCs w:val="24"/>
          <w:rtl/>
          <w:lang w:val="en-US" w:bidi="ar-DZ"/>
        </w:rPr>
        <w:t xml:space="preserve"> </w:t>
      </w:r>
      <w:r w:rsidR="00361390" w:rsidRPr="0062340E">
        <w:rPr>
          <w:rFonts w:ascii="Simplified Arabic" w:hAnsi="Simplified Arabic" w:cs="Simplified Arabic" w:hint="cs"/>
          <w:sz w:val="24"/>
          <w:szCs w:val="24"/>
          <w:rtl/>
          <w:lang w:val="en-US" w:bidi="ar-DZ"/>
        </w:rPr>
        <w:t>الوقت</w:t>
      </w:r>
      <w:r w:rsidR="00361390" w:rsidRPr="0062340E">
        <w:rPr>
          <w:rFonts w:ascii="Simplified Arabic" w:hAnsi="Simplified Arabic" w:cs="Simplified Arabic"/>
          <w:sz w:val="24"/>
          <w:szCs w:val="24"/>
          <w:rtl/>
          <w:lang w:val="en-US" w:bidi="ar-DZ"/>
        </w:rPr>
        <w:t xml:space="preserve"> </w:t>
      </w:r>
      <w:r w:rsidR="00361390" w:rsidRPr="0062340E">
        <w:rPr>
          <w:rFonts w:ascii="Simplified Arabic" w:hAnsi="Simplified Arabic" w:cs="Simplified Arabic" w:hint="cs"/>
          <w:sz w:val="24"/>
          <w:szCs w:val="24"/>
          <w:rtl/>
          <w:lang w:val="en-US" w:bidi="ar-DZ"/>
        </w:rPr>
        <w:t>الذي زاد فيه تواتر</w:t>
      </w:r>
      <w:r w:rsidR="00361390" w:rsidRPr="0062340E">
        <w:rPr>
          <w:rFonts w:ascii="Simplified Arabic" w:hAnsi="Simplified Arabic" w:cs="Simplified Arabic"/>
          <w:sz w:val="24"/>
          <w:szCs w:val="24"/>
          <w:rtl/>
          <w:lang w:val="en-US" w:bidi="ar-DZ"/>
        </w:rPr>
        <w:t xml:space="preserve"> </w:t>
      </w:r>
      <w:r w:rsidR="00361390" w:rsidRPr="0062340E">
        <w:rPr>
          <w:rFonts w:ascii="Simplified Arabic" w:hAnsi="Simplified Arabic" w:cs="Simplified Arabic" w:hint="cs"/>
          <w:sz w:val="24"/>
          <w:szCs w:val="24"/>
          <w:rtl/>
          <w:lang w:val="en-US" w:bidi="ar-DZ"/>
        </w:rPr>
        <w:t>وشدة</w:t>
      </w:r>
      <w:r w:rsidR="00361390" w:rsidRPr="0062340E">
        <w:rPr>
          <w:rFonts w:ascii="Simplified Arabic" w:hAnsi="Simplified Arabic" w:cs="Simplified Arabic"/>
          <w:sz w:val="24"/>
          <w:szCs w:val="24"/>
          <w:rtl/>
          <w:lang w:val="en-US" w:bidi="ar-DZ"/>
        </w:rPr>
        <w:t xml:space="preserve"> </w:t>
      </w:r>
      <w:r w:rsidR="00361390" w:rsidRPr="0062340E">
        <w:rPr>
          <w:rFonts w:ascii="Simplified Arabic" w:hAnsi="Simplified Arabic" w:cs="Simplified Arabic" w:hint="cs"/>
          <w:sz w:val="24"/>
          <w:szCs w:val="24"/>
          <w:rtl/>
          <w:lang w:val="en-US" w:bidi="ar-DZ"/>
        </w:rPr>
        <w:t>المخاطر</w:t>
      </w:r>
      <w:r w:rsidR="00361390" w:rsidRPr="0062340E">
        <w:rPr>
          <w:rFonts w:ascii="Simplified Arabic" w:hAnsi="Simplified Arabic" w:cs="Simplified Arabic"/>
          <w:sz w:val="24"/>
          <w:szCs w:val="24"/>
          <w:rtl/>
          <w:lang w:val="en-US" w:bidi="ar-DZ"/>
        </w:rPr>
        <w:t xml:space="preserve"> </w:t>
      </w:r>
      <w:r w:rsidR="00361390" w:rsidRPr="0062340E">
        <w:rPr>
          <w:rFonts w:ascii="Simplified Arabic" w:hAnsi="Simplified Arabic" w:cs="Simplified Arabic" w:hint="cs"/>
          <w:sz w:val="24"/>
          <w:szCs w:val="24"/>
          <w:rtl/>
          <w:lang w:val="en-US" w:bidi="ar-DZ"/>
        </w:rPr>
        <w:t>الطبيعية في</w:t>
      </w:r>
      <w:r w:rsidR="00361390" w:rsidRPr="0062340E">
        <w:rPr>
          <w:rFonts w:ascii="Simplified Arabic" w:hAnsi="Simplified Arabic" w:cs="Simplified Arabic"/>
          <w:sz w:val="24"/>
          <w:szCs w:val="24"/>
          <w:rtl/>
          <w:lang w:val="en-US" w:bidi="ar-DZ"/>
        </w:rPr>
        <w:t xml:space="preserve"> </w:t>
      </w:r>
      <w:r w:rsidR="00361390" w:rsidRPr="0062340E">
        <w:rPr>
          <w:rFonts w:ascii="Simplified Arabic" w:hAnsi="Simplified Arabic" w:cs="Simplified Arabic" w:hint="cs"/>
          <w:sz w:val="24"/>
          <w:szCs w:val="24"/>
          <w:rtl/>
          <w:lang w:val="en-US" w:bidi="ar-DZ"/>
        </w:rPr>
        <w:t>العقود</w:t>
      </w:r>
      <w:r w:rsidR="00361390" w:rsidRPr="0062340E">
        <w:rPr>
          <w:rFonts w:ascii="Simplified Arabic" w:hAnsi="Simplified Arabic" w:cs="Simplified Arabic"/>
          <w:sz w:val="24"/>
          <w:szCs w:val="24"/>
          <w:rtl/>
          <w:lang w:val="en-US" w:bidi="ar-DZ"/>
        </w:rPr>
        <w:t xml:space="preserve"> </w:t>
      </w:r>
      <w:r w:rsidR="00361390" w:rsidRPr="0062340E">
        <w:rPr>
          <w:rFonts w:ascii="Simplified Arabic" w:hAnsi="Simplified Arabic" w:cs="Simplified Arabic" w:hint="cs"/>
          <w:sz w:val="24"/>
          <w:szCs w:val="24"/>
          <w:rtl/>
          <w:lang w:val="en-US" w:bidi="ar-DZ"/>
        </w:rPr>
        <w:t>القليلة</w:t>
      </w:r>
      <w:r w:rsidR="00361390" w:rsidRPr="0062340E">
        <w:rPr>
          <w:rFonts w:ascii="Simplified Arabic" w:hAnsi="Simplified Arabic" w:cs="Simplified Arabic"/>
          <w:sz w:val="24"/>
          <w:szCs w:val="24"/>
          <w:rtl/>
          <w:lang w:val="en-US" w:bidi="ar-DZ"/>
        </w:rPr>
        <w:t xml:space="preserve"> </w:t>
      </w:r>
      <w:r w:rsidR="00361390" w:rsidRPr="0062340E">
        <w:rPr>
          <w:rFonts w:ascii="Simplified Arabic" w:hAnsi="Simplified Arabic" w:cs="Simplified Arabic" w:hint="cs"/>
          <w:sz w:val="24"/>
          <w:szCs w:val="24"/>
          <w:rtl/>
          <w:lang w:val="en-US" w:bidi="ar-DZ"/>
        </w:rPr>
        <w:t>الماضية</w:t>
      </w:r>
      <w:r w:rsidR="00361390" w:rsidRPr="0062340E">
        <w:rPr>
          <w:rFonts w:asciiTheme="minorBidi" w:hAnsiTheme="minorBidi" w:cs="Arial" w:hint="cs"/>
          <w:sz w:val="24"/>
          <w:szCs w:val="24"/>
          <w:rtl/>
          <w:lang w:val="en-US" w:bidi="ar-DZ"/>
        </w:rPr>
        <w:t xml:space="preserve"> </w:t>
      </w:r>
      <w:r w:rsidR="00361390" w:rsidRPr="0062340E">
        <w:rPr>
          <w:rFonts w:asciiTheme="majorBidi" w:hAnsiTheme="majorBidi" w:cstheme="majorBidi"/>
          <w:sz w:val="24"/>
          <w:szCs w:val="24"/>
        </w:rPr>
        <w:t>(Solomon, 2007)</w:t>
      </w:r>
      <w:r w:rsidR="00361390" w:rsidRPr="0062340E">
        <w:rPr>
          <w:rFonts w:ascii="Simplified Arabic" w:hAnsi="Simplified Arabic" w:cs="Simplified Arabic" w:hint="cs"/>
          <w:sz w:val="24"/>
          <w:szCs w:val="24"/>
          <w:rtl/>
          <w:lang w:val="en-US" w:bidi="ar-DZ"/>
        </w:rPr>
        <w:t>.</w:t>
      </w:r>
      <w:r w:rsidR="00361390" w:rsidRPr="0062340E">
        <w:rPr>
          <w:rFonts w:asciiTheme="majorBidi" w:hAnsiTheme="majorBidi" w:cstheme="majorBidi" w:hint="cs"/>
          <w:sz w:val="24"/>
          <w:szCs w:val="24"/>
          <w:rtl/>
        </w:rPr>
        <w:t xml:space="preserve"> </w:t>
      </w:r>
    </w:p>
    <w:p w:rsidR="00255763" w:rsidRPr="0062340E" w:rsidRDefault="00A31551" w:rsidP="009435DE">
      <w:pPr>
        <w:bidi/>
        <w:spacing w:before="240" w:after="0"/>
        <w:ind w:firstLine="282"/>
        <w:jc w:val="both"/>
        <w:rPr>
          <w:rFonts w:ascii="Simplified Arabic" w:hAnsi="Simplified Arabic" w:cs="Simplified Arabic"/>
          <w:sz w:val="24"/>
          <w:szCs w:val="24"/>
        </w:rPr>
      </w:pPr>
      <w:r w:rsidRPr="0062340E">
        <w:rPr>
          <w:rFonts w:ascii="Simplified Arabic" w:hAnsi="Simplified Arabic" w:cs="Simplified Arabic" w:hint="cs"/>
          <w:sz w:val="24"/>
          <w:szCs w:val="24"/>
          <w:rtl/>
        </w:rPr>
        <w:t>الكثير من</w:t>
      </w:r>
      <w:r w:rsidRPr="0062340E">
        <w:rPr>
          <w:rFonts w:ascii="Simplified Arabic" w:hAnsi="Simplified Arabic" w:cs="Simplified Arabic"/>
          <w:sz w:val="24"/>
          <w:szCs w:val="24"/>
          <w:rtl/>
        </w:rPr>
        <w:t xml:space="preserve"> </w:t>
      </w:r>
      <w:r w:rsidR="00294ADA" w:rsidRPr="0062340E">
        <w:rPr>
          <w:rFonts w:ascii="Simplified Arabic" w:hAnsi="Simplified Arabic" w:cs="Simplified Arabic" w:hint="cs"/>
          <w:sz w:val="24"/>
          <w:szCs w:val="24"/>
          <w:rtl/>
        </w:rPr>
        <w:t>الابحاث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الموجودة تستفسر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وتحلل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مكانيًا</w:t>
      </w:r>
      <w:r w:rsidRPr="0062340E">
        <w:rPr>
          <w:rFonts w:ascii="Simplified Arabic" w:hAnsi="Simplified Arabic" w:cs="Simplified Arabic"/>
          <w:sz w:val="24"/>
          <w:szCs w:val="24"/>
          <w:rtl/>
        </w:rPr>
        <w:t xml:space="preserve"> </w:t>
      </w:r>
      <w:r w:rsidR="00601146" w:rsidRPr="0062340E">
        <w:rPr>
          <w:rFonts w:ascii="Simplified Arabic" w:hAnsi="Simplified Arabic" w:cs="Simplified Arabic" w:hint="cs"/>
          <w:sz w:val="24"/>
          <w:szCs w:val="24"/>
          <w:rtl/>
          <w:lang w:val="en-US" w:bidi="ar-DZ"/>
        </w:rPr>
        <w:t>استعمال</w:t>
      </w:r>
      <w:r w:rsidRPr="0062340E">
        <w:rPr>
          <w:rFonts w:ascii="Simplified Arabic" w:hAnsi="Simplified Arabic" w:cs="Simplified Arabic" w:hint="cs"/>
          <w:sz w:val="24"/>
          <w:szCs w:val="24"/>
          <w:rtl/>
        </w:rPr>
        <w:t xml:space="preserve"> الارض الحضرية من منظور الشكل الهندسي و الوظيفي للأنسجة الحضرية</w:t>
      </w:r>
      <w:r w:rsidR="000627E9" w:rsidRPr="0062340E">
        <w:rPr>
          <w:rFonts w:ascii="Simplified Arabic" w:hAnsi="Simplified Arabic" w:cs="Simplified Arabic" w:hint="cs"/>
          <w:sz w:val="24"/>
          <w:szCs w:val="24"/>
          <w:rtl/>
        </w:rPr>
        <w:t>.</w:t>
      </w:r>
      <w:r w:rsidRPr="0062340E">
        <w:rPr>
          <w:rFonts w:ascii="Simplified Arabic" w:hAnsi="Simplified Arabic" w:cs="Simplified Arabic" w:hint="cs"/>
          <w:sz w:val="24"/>
          <w:szCs w:val="24"/>
          <w:rtl/>
        </w:rPr>
        <w:t xml:space="preserve"> هناك </w:t>
      </w:r>
      <w:r w:rsidR="00EA6174" w:rsidRPr="0062340E">
        <w:rPr>
          <w:rFonts w:ascii="Simplified Arabic" w:hAnsi="Simplified Arabic" w:cs="Simplified Arabic" w:hint="cs"/>
          <w:sz w:val="24"/>
          <w:szCs w:val="24"/>
          <w:rtl/>
        </w:rPr>
        <w:t>من</w:t>
      </w:r>
      <w:r w:rsidRPr="0062340E">
        <w:rPr>
          <w:rFonts w:ascii="Simplified Arabic" w:hAnsi="Simplified Arabic" w:cs="Simplified Arabic" w:hint="cs"/>
          <w:sz w:val="24"/>
          <w:szCs w:val="24"/>
          <w:rtl/>
        </w:rPr>
        <w:t xml:space="preserve"> ربط  بين </w:t>
      </w:r>
      <w:r w:rsidR="00725010"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rPr>
        <w:t xml:space="preserve"> الارض والاقتصاد في الطاقة</w:t>
      </w:r>
      <w:r w:rsidRPr="0062340E">
        <w:rPr>
          <w:rFonts w:asciiTheme="minorBidi" w:hAnsiTheme="minorBidi" w:cs="Arial" w:hint="cs"/>
          <w:sz w:val="24"/>
          <w:szCs w:val="24"/>
          <w:rtl/>
          <w:lang w:val="en-US" w:bidi="ar-DZ"/>
        </w:rPr>
        <w:t xml:space="preserve"> </w:t>
      </w:r>
      <w:r w:rsidRPr="0062340E">
        <w:rPr>
          <w:rFonts w:asciiTheme="majorBidi" w:hAnsiTheme="majorBidi" w:cstheme="majorBidi"/>
          <w:sz w:val="24"/>
          <w:szCs w:val="24"/>
          <w:rtl/>
          <w:lang w:val="en-US" w:bidi="ar-DZ"/>
        </w:rPr>
        <w:t>(</w:t>
      </w:r>
      <w:r w:rsidRPr="0062340E">
        <w:rPr>
          <w:rFonts w:asciiTheme="majorBidi" w:hAnsiTheme="majorBidi" w:cstheme="majorBidi"/>
          <w:sz w:val="24"/>
          <w:szCs w:val="24"/>
        </w:rPr>
        <w:t>Nouibat, 2007</w:t>
      </w:r>
      <w:r w:rsidRPr="0062340E">
        <w:rPr>
          <w:rFonts w:asciiTheme="majorBidi" w:hAnsiTheme="majorBidi" w:cstheme="majorBidi"/>
          <w:sz w:val="24"/>
          <w:szCs w:val="24"/>
          <w:rtl/>
        </w:rPr>
        <w:t>)</w:t>
      </w:r>
      <w:r w:rsidRPr="0062340E">
        <w:rPr>
          <w:rFonts w:ascii="Simplified Arabic" w:hAnsi="Simplified Arabic" w:cs="Simplified Arabic" w:hint="cs"/>
          <w:sz w:val="24"/>
          <w:szCs w:val="24"/>
          <w:rtl/>
        </w:rPr>
        <w:t>،</w:t>
      </w:r>
      <w:r w:rsidRPr="0062340E">
        <w:rPr>
          <w:rFonts w:asciiTheme="majorBidi" w:hAnsiTheme="majorBidi" w:cstheme="majorBidi" w:hint="cs"/>
          <w:sz w:val="24"/>
          <w:szCs w:val="24"/>
          <w:rtl/>
        </w:rPr>
        <w:t xml:space="preserve"> </w:t>
      </w:r>
      <w:r w:rsidRPr="0062340E">
        <w:rPr>
          <w:rFonts w:ascii="Simplified Arabic" w:hAnsi="Simplified Arabic" w:cs="Simplified Arabic" w:hint="cs"/>
          <w:sz w:val="24"/>
          <w:szCs w:val="24"/>
          <w:rtl/>
        </w:rPr>
        <w:t xml:space="preserve">منها </w:t>
      </w:r>
      <w:r w:rsidR="00EA6174" w:rsidRPr="0062340E">
        <w:rPr>
          <w:rFonts w:ascii="Simplified Arabic" w:hAnsi="Simplified Arabic" w:cs="Simplified Arabic" w:hint="cs"/>
          <w:sz w:val="24"/>
          <w:szCs w:val="24"/>
          <w:rtl/>
        </w:rPr>
        <w:t>من</w:t>
      </w:r>
      <w:r w:rsidRPr="0062340E">
        <w:rPr>
          <w:rFonts w:ascii="Simplified Arabic" w:hAnsi="Simplified Arabic" w:cs="Simplified Arabic" w:hint="cs"/>
          <w:sz w:val="24"/>
          <w:szCs w:val="24"/>
          <w:rtl/>
        </w:rPr>
        <w:t xml:space="preserve"> استفسر عن العلاقة بين </w:t>
      </w:r>
      <w:r w:rsidR="00725010" w:rsidRPr="0062340E">
        <w:rPr>
          <w:rFonts w:ascii="Simplified Arabic" w:hAnsi="Simplified Arabic" w:cs="Simplified Arabic" w:hint="cs"/>
          <w:sz w:val="24"/>
          <w:szCs w:val="24"/>
          <w:rtl/>
        </w:rPr>
        <w:t xml:space="preserve">استعمال </w:t>
      </w:r>
      <w:r w:rsidRPr="0062340E">
        <w:rPr>
          <w:rFonts w:ascii="Simplified Arabic" w:hAnsi="Simplified Arabic" w:cs="Simplified Arabic" w:hint="cs"/>
          <w:sz w:val="24"/>
          <w:szCs w:val="24"/>
          <w:rtl/>
        </w:rPr>
        <w:t>الارض والسفر سيرا على الاقدام</w:t>
      </w:r>
      <w:r w:rsidRPr="0062340E">
        <w:rPr>
          <w:rFonts w:asciiTheme="majorBidi" w:hAnsiTheme="majorBidi" w:cstheme="majorBidi" w:hint="cs"/>
          <w:sz w:val="24"/>
          <w:szCs w:val="24"/>
          <w:rtl/>
        </w:rPr>
        <w:t xml:space="preserve"> </w:t>
      </w:r>
      <w:r w:rsidRPr="0062340E">
        <w:rPr>
          <w:rFonts w:asciiTheme="majorBidi" w:hAnsiTheme="majorBidi" w:cstheme="majorBidi"/>
          <w:color w:val="0D0D0D"/>
          <w:sz w:val="24"/>
          <w:szCs w:val="24"/>
        </w:rPr>
        <w:t>(Inbakaran and Howes, 2011; Boarnet et al.,2011)</w:t>
      </w:r>
      <w:r w:rsidRPr="0062340E">
        <w:rPr>
          <w:rFonts w:ascii="Simplified Arabic" w:hAnsi="Simplified Arabic" w:cs="Simplified Arabic" w:hint="cs"/>
          <w:sz w:val="24"/>
          <w:szCs w:val="24"/>
          <w:rtl/>
        </w:rPr>
        <w:t xml:space="preserve"> </w:t>
      </w:r>
      <w:r w:rsidRPr="0062340E">
        <w:rPr>
          <w:rFonts w:asciiTheme="majorBidi" w:hAnsiTheme="majorBidi" w:cstheme="majorBidi" w:hint="cs"/>
          <w:color w:val="0D0D0D"/>
          <w:sz w:val="24"/>
          <w:szCs w:val="24"/>
          <w:rtl/>
        </w:rPr>
        <w:t>و</w:t>
      </w:r>
      <w:r w:rsidRPr="0062340E">
        <w:rPr>
          <w:rFonts w:ascii="Simplified Arabic" w:hAnsi="Simplified Arabic" w:cs="Simplified Arabic" w:hint="cs"/>
          <w:sz w:val="24"/>
          <w:szCs w:val="24"/>
          <w:rtl/>
        </w:rPr>
        <w:t>بين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التوزيع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المكاني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w:t>
      </w:r>
      <w:r w:rsidR="00725010" w:rsidRPr="0062340E">
        <w:rPr>
          <w:rFonts w:ascii="Simplified Arabic" w:hAnsi="Simplified Arabic" w:cs="Simplified Arabic" w:hint="cs"/>
          <w:sz w:val="24"/>
          <w:szCs w:val="24"/>
          <w:rtl/>
        </w:rPr>
        <w:t>استعمال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وكثافة البناء</w:t>
      </w:r>
      <w:r w:rsidRPr="0062340E">
        <w:rPr>
          <w:rFonts w:asciiTheme="majorBidi" w:hAnsiTheme="majorBidi" w:cs="Times New Roman"/>
          <w:color w:val="0D0D0D"/>
          <w:sz w:val="24"/>
          <w:szCs w:val="24"/>
          <w:rtl/>
        </w:rPr>
        <w:t xml:space="preserve"> </w:t>
      </w:r>
      <w:r w:rsidRPr="0062340E">
        <w:rPr>
          <w:rFonts w:asciiTheme="majorBidi" w:hAnsiTheme="majorBidi" w:cstheme="majorBidi"/>
          <w:color w:val="0D0D0D"/>
          <w:sz w:val="24"/>
          <w:szCs w:val="24"/>
        </w:rPr>
        <w:t>(</w:t>
      </w:r>
      <w:r w:rsidRPr="0062340E">
        <w:rPr>
          <w:rFonts w:asciiTheme="majorBidi" w:hAnsiTheme="majorBidi" w:cstheme="majorBidi"/>
          <w:color w:val="000000"/>
          <w:sz w:val="24"/>
          <w:szCs w:val="24"/>
          <w:lang w:val="en-US" w:eastAsia="fr-FR"/>
        </w:rPr>
        <w:t>Berghauser and Haupt</w:t>
      </w:r>
      <w:r w:rsidRPr="0062340E">
        <w:rPr>
          <w:rFonts w:asciiTheme="majorBidi" w:hAnsiTheme="majorBidi" w:cstheme="majorBidi"/>
          <w:color w:val="0D0D0D"/>
          <w:sz w:val="24"/>
          <w:szCs w:val="24"/>
        </w:rPr>
        <w:t>, 2007)</w:t>
      </w:r>
      <w:r w:rsidRPr="0062340E">
        <w:rPr>
          <w:rFonts w:ascii="Simplified Arabic" w:hAnsi="Simplified Arabic" w:cs="Simplified Arabic" w:hint="cs"/>
          <w:sz w:val="24"/>
          <w:szCs w:val="24"/>
          <w:rtl/>
        </w:rPr>
        <w:t xml:space="preserve">. </w:t>
      </w:r>
      <w:r w:rsidR="006D26EE" w:rsidRPr="0062340E">
        <w:rPr>
          <w:rFonts w:ascii="Simplified Arabic" w:hAnsi="Simplified Arabic" w:cs="Simplified Arabic" w:hint="cs"/>
          <w:sz w:val="24"/>
          <w:szCs w:val="24"/>
          <w:rtl/>
        </w:rPr>
        <w:t>يستفسر البحث الحالي عن العلاقة القائمة بين</w:t>
      </w:r>
      <w:r w:rsidR="006D26EE" w:rsidRPr="0062340E">
        <w:rPr>
          <w:rFonts w:ascii="Simplified Arabic" w:hAnsi="Simplified Arabic" w:cs="Simplified Arabic"/>
          <w:sz w:val="24"/>
          <w:szCs w:val="24"/>
          <w:rtl/>
        </w:rPr>
        <w:t xml:space="preserve"> </w:t>
      </w:r>
      <w:r w:rsidR="00601146" w:rsidRPr="0062340E">
        <w:rPr>
          <w:rFonts w:ascii="Simplified Arabic" w:hAnsi="Simplified Arabic" w:cs="Simplified Arabic" w:hint="cs"/>
          <w:sz w:val="24"/>
          <w:szCs w:val="24"/>
          <w:rtl/>
          <w:lang w:val="en-US" w:bidi="ar-DZ"/>
        </w:rPr>
        <w:t>استعمال</w:t>
      </w:r>
      <w:r w:rsidR="00601146" w:rsidRPr="0062340E">
        <w:rPr>
          <w:rFonts w:ascii="Simplified Arabic" w:hAnsi="Simplified Arabic" w:cs="Simplified Arabic"/>
          <w:sz w:val="24"/>
          <w:szCs w:val="24"/>
          <w:rtl/>
          <w:lang w:val="en-US" w:bidi="ar-DZ"/>
        </w:rPr>
        <w:t xml:space="preserve"> </w:t>
      </w:r>
      <w:r w:rsidR="006D26EE" w:rsidRPr="0062340E">
        <w:rPr>
          <w:rFonts w:ascii="Simplified Arabic" w:hAnsi="Simplified Arabic" w:cs="Simplified Arabic" w:hint="cs"/>
          <w:sz w:val="24"/>
          <w:szCs w:val="24"/>
          <w:rtl/>
        </w:rPr>
        <w:t>الارض الحضرية</w:t>
      </w:r>
      <w:r w:rsidR="006D26EE" w:rsidRPr="0062340E">
        <w:rPr>
          <w:rFonts w:ascii="Simplified Arabic" w:hAnsi="Simplified Arabic" w:cs="Simplified Arabic"/>
          <w:sz w:val="24"/>
          <w:szCs w:val="24"/>
          <w:rtl/>
        </w:rPr>
        <w:t xml:space="preserve"> </w:t>
      </w:r>
      <w:r w:rsidR="006D26EE" w:rsidRPr="0062340E">
        <w:rPr>
          <w:rFonts w:ascii="Simplified Arabic" w:hAnsi="Simplified Arabic" w:cs="Simplified Arabic" w:hint="cs"/>
          <w:sz w:val="24"/>
          <w:szCs w:val="24"/>
          <w:rtl/>
        </w:rPr>
        <w:t>ومرونة</w:t>
      </w:r>
      <w:r w:rsidR="006D26EE" w:rsidRPr="0062340E">
        <w:rPr>
          <w:rFonts w:ascii="Simplified Arabic" w:hAnsi="Simplified Arabic" w:cs="Simplified Arabic"/>
          <w:sz w:val="24"/>
          <w:szCs w:val="24"/>
          <w:rtl/>
        </w:rPr>
        <w:t xml:space="preserve"> </w:t>
      </w:r>
      <w:r w:rsidR="006D26EE" w:rsidRPr="0062340E">
        <w:rPr>
          <w:rFonts w:ascii="Simplified Arabic" w:hAnsi="Simplified Arabic" w:cs="Simplified Arabic" w:hint="cs"/>
          <w:sz w:val="24"/>
          <w:szCs w:val="24"/>
          <w:rtl/>
        </w:rPr>
        <w:t>ال</w:t>
      </w:r>
      <w:r w:rsidR="00601146" w:rsidRPr="0062340E">
        <w:rPr>
          <w:rFonts w:ascii="Simplified Arabic" w:hAnsi="Simplified Arabic" w:cs="Simplified Arabic" w:hint="cs"/>
          <w:sz w:val="24"/>
          <w:szCs w:val="24"/>
          <w:rtl/>
        </w:rPr>
        <w:t>مدين</w:t>
      </w:r>
      <w:r w:rsidR="006D26EE" w:rsidRPr="0062340E">
        <w:rPr>
          <w:rFonts w:ascii="Simplified Arabic" w:hAnsi="Simplified Arabic" w:cs="Simplified Arabic" w:hint="cs"/>
          <w:sz w:val="24"/>
          <w:szCs w:val="24"/>
          <w:rtl/>
        </w:rPr>
        <w:t>ة</w:t>
      </w:r>
      <w:r w:rsidR="003E1A0D" w:rsidRPr="0062340E">
        <w:rPr>
          <w:rFonts w:ascii="Simplified Arabic" w:hAnsi="Simplified Arabic" w:cs="Simplified Arabic" w:hint="cs"/>
          <w:sz w:val="24"/>
          <w:szCs w:val="24"/>
          <w:rtl/>
        </w:rPr>
        <w:t>،</w:t>
      </w:r>
      <w:r w:rsidR="006D26EE" w:rsidRPr="0062340E">
        <w:rPr>
          <w:rFonts w:ascii="Simplified Arabic" w:hAnsi="Simplified Arabic" w:cs="Simplified Arabic" w:hint="cs"/>
          <w:sz w:val="24"/>
          <w:szCs w:val="24"/>
          <w:rtl/>
        </w:rPr>
        <w:t xml:space="preserve"> </w:t>
      </w:r>
      <w:r w:rsidR="003E1A0D" w:rsidRPr="0062340E">
        <w:rPr>
          <w:rFonts w:ascii="Simplified Arabic" w:hAnsi="Simplified Arabic" w:cs="Simplified Arabic" w:hint="cs"/>
          <w:sz w:val="24"/>
          <w:szCs w:val="24"/>
          <w:rtl/>
        </w:rPr>
        <w:t xml:space="preserve">حيث </w:t>
      </w:r>
      <w:r w:rsidRPr="0062340E">
        <w:rPr>
          <w:rFonts w:ascii="Simplified Arabic" w:hAnsi="Simplified Arabic" w:cs="Simplified Arabic" w:hint="cs"/>
          <w:sz w:val="24"/>
          <w:szCs w:val="24"/>
          <w:rtl/>
        </w:rPr>
        <w:t xml:space="preserve">ظهر </w:t>
      </w:r>
      <w:r w:rsidR="00184FDC" w:rsidRPr="0062340E">
        <w:rPr>
          <w:rFonts w:ascii="Simplified Arabic" w:hAnsi="Simplified Arabic" w:cs="Simplified Arabic" w:hint="cs"/>
          <w:sz w:val="24"/>
          <w:szCs w:val="24"/>
          <w:rtl/>
        </w:rPr>
        <w:t xml:space="preserve">مؤخرًا </w:t>
      </w:r>
      <w:r w:rsidRPr="0062340E">
        <w:rPr>
          <w:rFonts w:ascii="Simplified Arabic" w:hAnsi="Simplified Arabic" w:cs="Simplified Arabic" w:hint="cs"/>
          <w:sz w:val="24"/>
          <w:szCs w:val="24"/>
          <w:rtl/>
        </w:rPr>
        <w:t>اهتمامًا</w:t>
      </w:r>
      <w:r w:rsidRPr="0062340E">
        <w:rPr>
          <w:rFonts w:ascii="Simplified Arabic" w:hAnsi="Simplified Arabic" w:cs="Simplified Arabic"/>
          <w:sz w:val="24"/>
          <w:szCs w:val="24"/>
          <w:rtl/>
        </w:rPr>
        <w:t xml:space="preserve"> </w:t>
      </w:r>
      <w:r w:rsidR="00C36B56" w:rsidRPr="0062340E">
        <w:rPr>
          <w:rFonts w:ascii="Simplified Arabic" w:hAnsi="Simplified Arabic" w:cs="Simplified Arabic" w:hint="cs"/>
          <w:sz w:val="24"/>
          <w:szCs w:val="24"/>
          <w:rtl/>
        </w:rPr>
        <w:t>متزايدًا</w:t>
      </w:r>
      <w:r w:rsidR="00C36B56" w:rsidRPr="0062340E">
        <w:rPr>
          <w:rFonts w:ascii="Simplified Arabic" w:hAnsi="Simplified Arabic" w:cs="Simplified Arabic"/>
          <w:sz w:val="24"/>
          <w:szCs w:val="24"/>
          <w:rtl/>
        </w:rPr>
        <w:t xml:space="preserve"> </w:t>
      </w:r>
      <w:r w:rsidR="00BE133D" w:rsidRPr="0062340E">
        <w:rPr>
          <w:rFonts w:ascii="Simplified Arabic" w:hAnsi="Simplified Arabic" w:cs="Simplified Arabic" w:hint="cs"/>
          <w:sz w:val="24"/>
          <w:szCs w:val="24"/>
          <w:rtl/>
        </w:rPr>
        <w:t>من طرف</w:t>
      </w:r>
      <w:r w:rsidR="00C36B56" w:rsidRPr="0062340E">
        <w:rPr>
          <w:rFonts w:ascii="Simplified Arabic" w:hAnsi="Simplified Arabic" w:cs="Simplified Arabic"/>
          <w:sz w:val="24"/>
          <w:szCs w:val="24"/>
          <w:rtl/>
        </w:rPr>
        <w:t xml:space="preserve"> </w:t>
      </w:r>
      <w:r w:rsidR="00E93BE8" w:rsidRPr="0062340E">
        <w:rPr>
          <w:rFonts w:ascii="Simplified Arabic" w:hAnsi="Simplified Arabic" w:cs="Simplified Arabic" w:hint="cs"/>
          <w:sz w:val="24"/>
          <w:szCs w:val="24"/>
          <w:rtl/>
        </w:rPr>
        <w:t>الباحثين</w:t>
      </w:r>
      <w:r w:rsidR="00BE133D" w:rsidRPr="0062340E">
        <w:rPr>
          <w:rFonts w:ascii="Simplified Arabic" w:hAnsi="Simplified Arabic" w:cs="Simplified Arabic" w:hint="cs"/>
          <w:sz w:val="24"/>
          <w:szCs w:val="24"/>
          <w:rtl/>
        </w:rPr>
        <w:t xml:space="preserve"> </w:t>
      </w:r>
      <w:r w:rsidRPr="0062340E">
        <w:rPr>
          <w:rFonts w:ascii="Simplified Arabic" w:hAnsi="Simplified Arabic" w:cs="Simplified Arabic" w:hint="cs"/>
          <w:sz w:val="24"/>
          <w:szCs w:val="24"/>
          <w:rtl/>
        </w:rPr>
        <w:t>ب</w:t>
      </w:r>
      <w:r w:rsidR="00D54BE5" w:rsidRPr="0062340E">
        <w:rPr>
          <w:rFonts w:ascii="Simplified Arabic" w:hAnsi="Simplified Arabic" w:cs="Simplified Arabic" w:hint="cs"/>
          <w:sz w:val="24"/>
          <w:szCs w:val="24"/>
          <w:rtl/>
        </w:rPr>
        <w:t xml:space="preserve">موضوع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الحضرية </w:t>
      </w:r>
      <w:r w:rsidRPr="0062340E">
        <w:rPr>
          <w:rFonts w:asciiTheme="majorBidi" w:hAnsiTheme="majorBidi" w:cs="Times New Roman" w:hint="cs"/>
          <w:color w:val="0D0D0D"/>
          <w:sz w:val="24"/>
          <w:szCs w:val="24"/>
          <w:rtl/>
        </w:rPr>
        <w:t>(</w:t>
      </w:r>
      <w:r w:rsidRPr="0062340E">
        <w:rPr>
          <w:rFonts w:asciiTheme="majorBidi" w:hAnsiTheme="majorBidi" w:cs="Times New Roman"/>
          <w:color w:val="0D0D0D"/>
          <w:sz w:val="24"/>
          <w:szCs w:val="24"/>
        </w:rPr>
        <w:t>Meerow et al., 201</w:t>
      </w:r>
      <w:r w:rsidRPr="0062340E">
        <w:rPr>
          <w:rFonts w:asciiTheme="majorBidi" w:hAnsiTheme="majorBidi" w:cstheme="majorBidi"/>
          <w:color w:val="0D0D0D"/>
          <w:sz w:val="24"/>
          <w:szCs w:val="24"/>
        </w:rPr>
        <w:t>6</w:t>
      </w:r>
      <w:r w:rsidRPr="0062340E">
        <w:rPr>
          <w:rFonts w:asciiTheme="majorBidi" w:hAnsiTheme="majorBidi" w:cs="Times New Roman" w:hint="cs"/>
          <w:color w:val="0D0D0D"/>
          <w:sz w:val="24"/>
          <w:szCs w:val="24"/>
          <w:rtl/>
        </w:rPr>
        <w:t>)</w:t>
      </w:r>
      <w:r w:rsidR="00255763" w:rsidRPr="0062340E">
        <w:rPr>
          <w:rFonts w:ascii="Simplified Arabic" w:hAnsi="Simplified Arabic" w:cs="Simplified Arabic" w:hint="cs"/>
          <w:sz w:val="24"/>
          <w:szCs w:val="24"/>
          <w:rtl/>
        </w:rPr>
        <w:t>.</w:t>
      </w:r>
    </w:p>
    <w:p w:rsidR="004443BF" w:rsidRPr="0062340E" w:rsidRDefault="00F4360A" w:rsidP="009435DE">
      <w:pPr>
        <w:tabs>
          <w:tab w:val="right" w:pos="281"/>
          <w:tab w:val="left" w:pos="4305"/>
        </w:tabs>
        <w:bidi/>
        <w:spacing w:before="240"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تحليل الدراسات</w:t>
      </w:r>
      <w:r w:rsidR="006F19CB" w:rsidRPr="0062340E">
        <w:rPr>
          <w:rFonts w:ascii="Simplified Arabic" w:hAnsi="Simplified Arabic" w:cs="Simplified Arabic"/>
          <w:sz w:val="24"/>
          <w:szCs w:val="24"/>
          <w:rtl/>
        </w:rPr>
        <w:t xml:space="preserve"> (الفصل </w:t>
      </w:r>
      <w:r w:rsidR="006F19CB" w:rsidRPr="0062340E">
        <w:rPr>
          <w:rFonts w:ascii="Simplified Arabic" w:hAnsi="Simplified Arabic" w:cs="Simplified Arabic" w:hint="cs"/>
          <w:sz w:val="24"/>
          <w:szCs w:val="24"/>
          <w:rtl/>
        </w:rPr>
        <w:t>2</w:t>
      </w:r>
      <w:r w:rsidR="006F19CB" w:rsidRPr="0062340E">
        <w:rPr>
          <w:rFonts w:ascii="Simplified Arabic" w:hAnsi="Simplified Arabic" w:cs="Simplified Arabic"/>
          <w:sz w:val="24"/>
          <w:szCs w:val="24"/>
          <w:rtl/>
        </w:rPr>
        <w:t>)</w:t>
      </w:r>
      <w:r w:rsidR="006F19CB" w:rsidRPr="0062340E">
        <w:rPr>
          <w:rFonts w:ascii="Simplified Arabic" w:hAnsi="Simplified Arabic" w:cs="Simplified Arabic" w:hint="cs"/>
          <w:sz w:val="24"/>
          <w:szCs w:val="24"/>
          <w:rtl/>
        </w:rPr>
        <w:t>،</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افضت الى ان</w:t>
      </w:r>
      <w:r w:rsidR="00FB2920" w:rsidRPr="0062340E">
        <w:rPr>
          <w:rFonts w:ascii="Simplified Arabic" w:hAnsi="Simplified Arabic" w:cs="Simplified Arabic" w:hint="cs"/>
          <w:sz w:val="24"/>
          <w:szCs w:val="24"/>
          <w:rtl/>
        </w:rPr>
        <w:t xml:space="preserve"> </w:t>
      </w:r>
      <w:r w:rsidR="0082025E" w:rsidRPr="0062340E">
        <w:rPr>
          <w:rFonts w:ascii="Simplified Arabic" w:hAnsi="Simplified Arabic" w:cs="Simplified Arabic" w:hint="cs"/>
          <w:sz w:val="24"/>
          <w:szCs w:val="24"/>
          <w:rtl/>
        </w:rPr>
        <w:t>ال</w:t>
      </w:r>
      <w:r w:rsidR="006F19CB" w:rsidRPr="0062340E">
        <w:rPr>
          <w:rFonts w:ascii="Simplified Arabic" w:hAnsi="Simplified Arabic" w:cs="Simplified Arabic" w:hint="cs"/>
          <w:sz w:val="24"/>
          <w:szCs w:val="24"/>
          <w:rtl/>
        </w:rPr>
        <w:t>أطر و</w:t>
      </w:r>
      <w:r w:rsidR="0082025E" w:rsidRPr="0062340E">
        <w:rPr>
          <w:rFonts w:ascii="Simplified Arabic" w:hAnsi="Simplified Arabic" w:cs="Simplified Arabic" w:hint="cs"/>
          <w:sz w:val="24"/>
          <w:szCs w:val="24"/>
          <w:rtl/>
        </w:rPr>
        <w:t>ال</w:t>
      </w:r>
      <w:r w:rsidR="006F19CB" w:rsidRPr="0062340E">
        <w:rPr>
          <w:rFonts w:ascii="Simplified Arabic" w:hAnsi="Simplified Arabic" w:cs="Simplified Arabic"/>
          <w:sz w:val="24"/>
          <w:szCs w:val="24"/>
          <w:rtl/>
        </w:rPr>
        <w:t xml:space="preserve">نماذج </w:t>
      </w:r>
      <w:r w:rsidR="00444B8E" w:rsidRPr="0062340E">
        <w:rPr>
          <w:rFonts w:ascii="Simplified Arabic" w:hAnsi="Simplified Arabic" w:cs="Simplified Arabic" w:hint="cs"/>
          <w:sz w:val="24"/>
          <w:szCs w:val="24"/>
          <w:rtl/>
        </w:rPr>
        <w:t>السابقة و</w:t>
      </w:r>
      <w:r w:rsidR="00444B8E" w:rsidRPr="0062340E">
        <w:rPr>
          <w:rFonts w:ascii="Simplified Arabic" w:hAnsi="Simplified Arabic" w:cs="Simplified Arabic"/>
          <w:sz w:val="24"/>
          <w:szCs w:val="24"/>
          <w:rtl/>
        </w:rPr>
        <w:t xml:space="preserve">الحالية </w:t>
      </w:r>
      <w:r w:rsidR="0082025E" w:rsidRPr="0062340E">
        <w:rPr>
          <w:rFonts w:ascii="Simplified Arabic" w:hAnsi="Simplified Arabic" w:cs="Simplified Arabic" w:hint="cs"/>
          <w:sz w:val="24"/>
          <w:szCs w:val="24"/>
          <w:rtl/>
        </w:rPr>
        <w:t>ل</w:t>
      </w:r>
      <w:r w:rsidR="004376A7" w:rsidRPr="0062340E">
        <w:rPr>
          <w:rFonts w:ascii="Simplified Arabic" w:hAnsi="Simplified Arabic" w:cs="Simplified Arabic" w:hint="cs"/>
          <w:sz w:val="24"/>
          <w:szCs w:val="24"/>
          <w:rtl/>
        </w:rPr>
        <w:t xml:space="preserve">تقييم </w:t>
      </w:r>
      <w:r w:rsidR="00D54BE5" w:rsidRPr="0062340E">
        <w:rPr>
          <w:rFonts w:ascii="Simplified Arabic" w:hAnsi="Simplified Arabic" w:cs="Simplified Arabic" w:hint="cs"/>
          <w:sz w:val="24"/>
          <w:szCs w:val="24"/>
          <w:rtl/>
        </w:rPr>
        <w:t>ال</w:t>
      </w:r>
      <w:r w:rsidR="004376A7" w:rsidRPr="0062340E">
        <w:rPr>
          <w:rFonts w:ascii="Simplified Arabic" w:hAnsi="Simplified Arabic" w:cs="Simplified Arabic" w:hint="cs"/>
          <w:sz w:val="24"/>
          <w:szCs w:val="24"/>
          <w:rtl/>
        </w:rPr>
        <w:t xml:space="preserve">مرونة </w:t>
      </w:r>
      <w:r w:rsidR="006F19CB" w:rsidRPr="0062340E">
        <w:rPr>
          <w:rFonts w:ascii="Simplified Arabic" w:hAnsi="Simplified Arabic" w:cs="Simplified Arabic"/>
          <w:sz w:val="24"/>
          <w:szCs w:val="24"/>
          <w:rtl/>
        </w:rPr>
        <w:t>ت</w:t>
      </w:r>
      <w:r w:rsidR="006F19CB" w:rsidRPr="0062340E">
        <w:rPr>
          <w:rFonts w:ascii="Simplified Arabic" w:hAnsi="Simplified Arabic" w:cs="Simplified Arabic" w:hint="cs"/>
          <w:sz w:val="24"/>
          <w:szCs w:val="24"/>
          <w:rtl/>
        </w:rPr>
        <w:t>ُ</w:t>
      </w:r>
      <w:r w:rsidR="006F19CB" w:rsidRPr="0062340E">
        <w:rPr>
          <w:rFonts w:ascii="Simplified Arabic" w:hAnsi="Simplified Arabic" w:cs="Simplified Arabic"/>
          <w:sz w:val="24"/>
          <w:szCs w:val="24"/>
          <w:rtl/>
        </w:rPr>
        <w:t>رك</w:t>
      </w:r>
      <w:r w:rsidR="006F19CB" w:rsidRPr="0062340E">
        <w:rPr>
          <w:rFonts w:ascii="Simplified Arabic" w:hAnsi="Simplified Arabic" w:cs="Simplified Arabic" w:hint="cs"/>
          <w:sz w:val="24"/>
          <w:szCs w:val="24"/>
          <w:rtl/>
        </w:rPr>
        <w:t>ّ</w:t>
      </w:r>
      <w:r w:rsidR="006F19CB" w:rsidRPr="0062340E">
        <w:rPr>
          <w:rFonts w:ascii="Simplified Arabic" w:hAnsi="Simplified Arabic" w:cs="Simplified Arabic"/>
          <w:sz w:val="24"/>
          <w:szCs w:val="24"/>
          <w:rtl/>
        </w:rPr>
        <w:t xml:space="preserve">ز على </w:t>
      </w:r>
      <w:r w:rsidR="006F19CB" w:rsidRPr="0062340E">
        <w:rPr>
          <w:rFonts w:ascii="Simplified Arabic" w:hAnsi="Simplified Arabic" w:cs="Simplified Arabic" w:hint="cs"/>
          <w:sz w:val="24"/>
          <w:szCs w:val="24"/>
          <w:rtl/>
        </w:rPr>
        <w:t>نطاق</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واسع</w:t>
      </w:r>
      <w:r w:rsidR="009405E2" w:rsidRPr="0062340E">
        <w:rPr>
          <w:rFonts w:ascii="Simplified Arabic" w:hAnsi="Simplified Arabic" w:cs="Simplified Arabic" w:hint="cs"/>
          <w:sz w:val="24"/>
          <w:szCs w:val="24"/>
          <w:rtl/>
        </w:rPr>
        <w:t xml:space="preserve"> وفي سياق شامل</w:t>
      </w:r>
      <w:r w:rsidR="006F19CB" w:rsidRPr="0062340E">
        <w:rPr>
          <w:rFonts w:ascii="Simplified Arabic" w:hAnsi="Simplified Arabic" w:cs="Simplified Arabic" w:hint="cs"/>
          <w:sz w:val="24"/>
          <w:szCs w:val="24"/>
          <w:rtl/>
        </w:rPr>
        <w:t xml:space="preserve">، </w:t>
      </w:r>
      <w:r w:rsidR="006F19CB" w:rsidRPr="0062340E">
        <w:rPr>
          <w:rFonts w:ascii="Simplified Arabic" w:hAnsi="Simplified Arabic" w:cs="Simplified Arabic"/>
          <w:sz w:val="24"/>
          <w:szCs w:val="24"/>
          <w:rtl/>
        </w:rPr>
        <w:t xml:space="preserve">لا تلبي </w:t>
      </w:r>
      <w:r w:rsidR="006F19CB" w:rsidRPr="0062340E">
        <w:rPr>
          <w:rFonts w:ascii="Simplified Arabic" w:hAnsi="Simplified Arabic" w:cs="Simplified Arabic" w:hint="cs"/>
          <w:sz w:val="24"/>
          <w:szCs w:val="24"/>
          <w:rtl/>
        </w:rPr>
        <w:t>ل</w:t>
      </w:r>
      <w:r w:rsidR="006F19CB" w:rsidRPr="0062340E">
        <w:rPr>
          <w:rFonts w:ascii="Simplified Arabic" w:hAnsi="Simplified Arabic" w:cs="Simplified Arabic"/>
          <w:sz w:val="24"/>
          <w:szCs w:val="24"/>
          <w:rtl/>
        </w:rPr>
        <w:t xml:space="preserve">لمخططين </w:t>
      </w:r>
      <w:r w:rsidR="006F19CB" w:rsidRPr="0062340E">
        <w:rPr>
          <w:rFonts w:ascii="Simplified Arabic" w:hAnsi="Simplified Arabic" w:cs="Simplified Arabic" w:hint="cs"/>
          <w:sz w:val="24"/>
          <w:szCs w:val="24"/>
          <w:rtl/>
        </w:rPr>
        <w:t>وا</w:t>
      </w:r>
      <w:r w:rsidR="006F19CB" w:rsidRPr="0062340E">
        <w:rPr>
          <w:rFonts w:ascii="Simplified Arabic" w:hAnsi="Simplified Arabic" w:cs="Simplified Arabic"/>
          <w:sz w:val="24"/>
          <w:szCs w:val="24"/>
          <w:rtl/>
        </w:rPr>
        <w:t>لمصممين</w:t>
      </w:r>
      <w:r w:rsidR="006F19CB" w:rsidRPr="0062340E">
        <w:rPr>
          <w:rFonts w:ascii="Simplified Arabic" w:hAnsi="Simplified Arabic" w:cs="Simplified Arabic" w:hint="cs"/>
          <w:sz w:val="24"/>
          <w:szCs w:val="24"/>
          <w:rtl/>
        </w:rPr>
        <w:t xml:space="preserve"> </w:t>
      </w:r>
      <w:r w:rsidR="006F19CB" w:rsidRPr="0062340E">
        <w:rPr>
          <w:rFonts w:ascii="Simplified Arabic" w:hAnsi="Simplified Arabic" w:cs="Simplified Arabic"/>
          <w:sz w:val="24"/>
          <w:szCs w:val="24"/>
          <w:rtl/>
        </w:rPr>
        <w:t>الحضريين</w:t>
      </w:r>
      <w:r w:rsidR="004670E8" w:rsidRPr="0062340E">
        <w:rPr>
          <w:rFonts w:ascii="Simplified Arabic" w:hAnsi="Simplified Arabic" w:cs="Simplified Arabic" w:hint="cs"/>
          <w:sz w:val="24"/>
          <w:szCs w:val="24"/>
          <w:rtl/>
        </w:rPr>
        <w:t xml:space="preserve"> </w:t>
      </w:r>
      <w:r w:rsidR="004670E8" w:rsidRPr="0062340E">
        <w:rPr>
          <w:rFonts w:ascii="Simplified Arabic" w:hAnsi="Simplified Arabic" w:cs="Simplified Arabic"/>
          <w:sz w:val="24"/>
          <w:szCs w:val="24"/>
          <w:rtl/>
        </w:rPr>
        <w:t>الاحتياجات المحلية</w:t>
      </w:r>
      <w:r w:rsidR="004670E8" w:rsidRPr="0062340E">
        <w:rPr>
          <w:rFonts w:ascii="Simplified Arabic" w:hAnsi="Simplified Arabic" w:cs="Simplified Arabic" w:hint="cs"/>
          <w:sz w:val="24"/>
          <w:szCs w:val="24"/>
          <w:rtl/>
        </w:rPr>
        <w:t xml:space="preserve"> المتعلقة بمبادئ </w:t>
      </w:r>
      <w:r w:rsidR="00601146" w:rsidRPr="0062340E">
        <w:rPr>
          <w:rFonts w:ascii="Simplified Arabic" w:hAnsi="Simplified Arabic" w:cs="Simplified Arabic" w:hint="cs"/>
          <w:sz w:val="24"/>
          <w:szCs w:val="24"/>
          <w:rtl/>
          <w:lang w:val="en-US" w:bidi="ar-DZ"/>
        </w:rPr>
        <w:t>استعمال</w:t>
      </w:r>
      <w:r w:rsidR="00601146" w:rsidRPr="0062340E">
        <w:rPr>
          <w:rFonts w:ascii="Simplified Arabic" w:hAnsi="Simplified Arabic" w:cs="Simplified Arabic"/>
          <w:sz w:val="24"/>
          <w:szCs w:val="24"/>
          <w:rtl/>
          <w:lang w:val="en-US" w:bidi="ar-DZ"/>
        </w:rPr>
        <w:t xml:space="preserve"> </w:t>
      </w:r>
      <w:r w:rsidR="004670E8" w:rsidRPr="0062340E">
        <w:rPr>
          <w:rFonts w:ascii="Simplified Arabic" w:hAnsi="Simplified Arabic" w:cs="Simplified Arabic" w:hint="cs"/>
          <w:sz w:val="24"/>
          <w:szCs w:val="24"/>
          <w:rtl/>
        </w:rPr>
        <w:t>الارض الحضرية</w:t>
      </w:r>
      <w:r w:rsidR="00CA4E7F" w:rsidRPr="0062340E">
        <w:rPr>
          <w:rFonts w:ascii="Simplified Arabic" w:hAnsi="Simplified Arabic" w:cs="Simplified Arabic" w:hint="cs"/>
          <w:sz w:val="24"/>
          <w:szCs w:val="24"/>
          <w:rtl/>
        </w:rPr>
        <w:t>،</w:t>
      </w:r>
      <w:r w:rsidR="00FB2920" w:rsidRPr="0062340E">
        <w:rPr>
          <w:rFonts w:ascii="Simplified Arabic" w:hAnsi="Simplified Arabic" w:cs="Simplified Arabic" w:hint="cs"/>
          <w:sz w:val="24"/>
          <w:szCs w:val="24"/>
          <w:rtl/>
        </w:rPr>
        <w:t xml:space="preserve"> </w:t>
      </w:r>
      <w:r w:rsidR="00805EBA" w:rsidRPr="0062340E">
        <w:rPr>
          <w:rFonts w:ascii="Simplified Arabic" w:hAnsi="Simplified Arabic" w:cs="Simplified Arabic" w:hint="cs"/>
          <w:sz w:val="24"/>
          <w:szCs w:val="24"/>
          <w:rtl/>
        </w:rPr>
        <w:t>كما انها لم تُ</w:t>
      </w:r>
      <w:r w:rsidR="00805EBA" w:rsidRPr="0062340E">
        <w:rPr>
          <w:rFonts w:ascii="Simplified Arabic" w:hAnsi="Simplified Arabic" w:cs="Simplified Arabic"/>
          <w:sz w:val="24"/>
          <w:szCs w:val="24"/>
          <w:rtl/>
        </w:rPr>
        <w:t>ركّز</w:t>
      </w:r>
      <w:r w:rsidR="00805EBA" w:rsidRPr="0062340E">
        <w:rPr>
          <w:rFonts w:ascii="Simplified Arabic" w:hAnsi="Simplified Arabic" w:cs="Simplified Arabic" w:hint="cs"/>
          <w:sz w:val="24"/>
          <w:szCs w:val="24"/>
          <w:rtl/>
        </w:rPr>
        <w:t xml:space="preserve"> </w:t>
      </w:r>
      <w:r w:rsidR="00805EBA" w:rsidRPr="0062340E">
        <w:rPr>
          <w:rFonts w:ascii="Simplified Arabic" w:hAnsi="Simplified Arabic" w:cs="Simplified Arabic"/>
          <w:sz w:val="24"/>
          <w:szCs w:val="24"/>
          <w:rtl/>
        </w:rPr>
        <w:t xml:space="preserve">على آراء الخبراء </w:t>
      </w:r>
      <w:r w:rsidR="00805EBA" w:rsidRPr="0062340E">
        <w:rPr>
          <w:rFonts w:ascii="Simplified Arabic" w:hAnsi="Simplified Arabic" w:cs="Simplified Arabic" w:hint="cs"/>
          <w:sz w:val="24"/>
          <w:szCs w:val="24"/>
          <w:rtl/>
        </w:rPr>
        <w:t>و</w:t>
      </w:r>
      <w:r w:rsidR="00805EBA" w:rsidRPr="0062340E">
        <w:rPr>
          <w:rFonts w:ascii="Simplified Arabic" w:hAnsi="Simplified Arabic" w:cs="Simplified Arabic"/>
          <w:sz w:val="24"/>
          <w:szCs w:val="24"/>
          <w:rtl/>
        </w:rPr>
        <w:t>أفراد الجمهور</w:t>
      </w:r>
      <w:r w:rsidR="00805EBA" w:rsidRPr="0062340E">
        <w:rPr>
          <w:rFonts w:ascii="Simplified Arabic" w:hAnsi="Simplified Arabic" w:cs="Simplified Arabic" w:hint="cs"/>
          <w:sz w:val="24"/>
          <w:szCs w:val="24"/>
          <w:rtl/>
        </w:rPr>
        <w:t xml:space="preserve">، </w:t>
      </w:r>
      <w:r w:rsidR="00E93BE8" w:rsidRPr="0062340E">
        <w:rPr>
          <w:rFonts w:ascii="Simplified Arabic" w:hAnsi="Simplified Arabic" w:cs="Simplified Arabic" w:hint="cs"/>
          <w:sz w:val="24"/>
          <w:szCs w:val="24"/>
          <w:rtl/>
        </w:rPr>
        <w:t xml:space="preserve">اذ </w:t>
      </w:r>
      <w:r w:rsidR="006F19CB" w:rsidRPr="0062340E">
        <w:rPr>
          <w:rFonts w:ascii="Simplified Arabic" w:hAnsi="Simplified Arabic" w:cs="Simplified Arabic" w:hint="cs"/>
          <w:sz w:val="24"/>
          <w:szCs w:val="24"/>
          <w:rtl/>
        </w:rPr>
        <w:t>لا</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يزال</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هناك</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نقص في</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البحث</w:t>
      </w:r>
      <w:r w:rsidR="006F19CB" w:rsidRPr="0062340E">
        <w:rPr>
          <w:rFonts w:ascii="Simplified Arabic" w:hAnsi="Simplified Arabic" w:cs="Simplified Arabic"/>
          <w:sz w:val="24"/>
          <w:szCs w:val="24"/>
          <w:rtl/>
        </w:rPr>
        <w:t xml:space="preserve"> </w:t>
      </w:r>
      <w:r w:rsidR="009405E2" w:rsidRPr="0062340E">
        <w:rPr>
          <w:rFonts w:ascii="Simplified Arabic" w:hAnsi="Simplified Arabic" w:cs="Simplified Arabic" w:hint="cs"/>
          <w:sz w:val="24"/>
          <w:szCs w:val="24"/>
          <w:rtl/>
        </w:rPr>
        <w:t>على</w:t>
      </w:r>
      <w:r w:rsidR="009405E2" w:rsidRPr="0062340E">
        <w:rPr>
          <w:rFonts w:ascii="Simplified Arabic" w:hAnsi="Simplified Arabic" w:cs="Simplified Arabic"/>
          <w:sz w:val="24"/>
          <w:szCs w:val="24"/>
          <w:rtl/>
        </w:rPr>
        <w:t xml:space="preserve"> </w:t>
      </w:r>
      <w:r w:rsidR="00392716" w:rsidRPr="0062340E">
        <w:rPr>
          <w:rFonts w:ascii="Simplified Arabic" w:hAnsi="Simplified Arabic" w:cs="Simplified Arabic" w:hint="cs"/>
          <w:sz w:val="24"/>
          <w:szCs w:val="24"/>
          <w:rtl/>
        </w:rPr>
        <w:t>نطاق</w:t>
      </w:r>
      <w:r w:rsidR="009405E2" w:rsidRPr="0062340E">
        <w:rPr>
          <w:rFonts w:ascii="Simplified Arabic" w:hAnsi="Simplified Arabic" w:cs="Simplified Arabic"/>
          <w:sz w:val="24"/>
          <w:szCs w:val="24"/>
          <w:rtl/>
        </w:rPr>
        <w:t xml:space="preserve"> </w:t>
      </w:r>
      <w:r w:rsidR="009405E2" w:rsidRPr="0062340E">
        <w:rPr>
          <w:rFonts w:ascii="Simplified Arabic" w:hAnsi="Simplified Arabic" w:cs="Simplified Arabic" w:hint="cs"/>
          <w:sz w:val="24"/>
          <w:szCs w:val="24"/>
          <w:rtl/>
        </w:rPr>
        <w:t>محلي</w:t>
      </w:r>
      <w:r w:rsidR="009405E2"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الذي</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 xml:space="preserve">يستكشف </w:t>
      </w:r>
      <w:r w:rsidR="00805EBA" w:rsidRPr="0062340E">
        <w:rPr>
          <w:rFonts w:ascii="Simplified Arabic" w:hAnsi="Simplified Arabic" w:cs="Simplified Arabic" w:hint="cs"/>
          <w:sz w:val="24"/>
          <w:szCs w:val="24"/>
          <w:rtl/>
        </w:rPr>
        <w:t>اثر</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 xml:space="preserve">نمط </w:t>
      </w:r>
      <w:r w:rsidR="00601146" w:rsidRPr="0062340E">
        <w:rPr>
          <w:rFonts w:ascii="Simplified Arabic" w:hAnsi="Simplified Arabic" w:cs="Simplified Arabic" w:hint="cs"/>
          <w:sz w:val="24"/>
          <w:szCs w:val="24"/>
          <w:rtl/>
          <w:lang w:val="en-US" w:bidi="ar-DZ"/>
        </w:rPr>
        <w:t>استعمالات</w:t>
      </w:r>
      <w:r w:rsidR="006F19CB" w:rsidRPr="0062340E">
        <w:rPr>
          <w:rFonts w:ascii="Simplified Arabic" w:hAnsi="Simplified Arabic" w:cs="Simplified Arabic" w:hint="cs"/>
          <w:sz w:val="24"/>
          <w:szCs w:val="24"/>
          <w:rtl/>
        </w:rPr>
        <w:t xml:space="preserve"> الارض</w:t>
      </w:r>
      <w:r w:rsidR="00601146" w:rsidRPr="0062340E">
        <w:rPr>
          <w:rFonts w:ascii="Simplified Arabic" w:hAnsi="Simplified Arabic" w:cs="Simplified Arabic" w:hint="cs"/>
          <w:sz w:val="24"/>
          <w:szCs w:val="24"/>
          <w:rtl/>
        </w:rPr>
        <w:t>ي</w:t>
      </w:r>
      <w:r w:rsidR="006F19CB" w:rsidRPr="0062340E">
        <w:rPr>
          <w:rFonts w:ascii="Simplified Arabic" w:hAnsi="Simplified Arabic" w:cs="Simplified Arabic" w:hint="cs"/>
          <w:sz w:val="24"/>
          <w:szCs w:val="24"/>
          <w:rtl/>
        </w:rPr>
        <w:t xml:space="preserve"> الحضرية</w:t>
      </w:r>
      <w:r w:rsidR="006F19CB" w:rsidRPr="0062340E">
        <w:rPr>
          <w:rFonts w:ascii="Simplified Arabic" w:hAnsi="Simplified Arabic" w:cs="Simplified Arabic"/>
          <w:sz w:val="24"/>
          <w:szCs w:val="24"/>
          <w:rtl/>
        </w:rPr>
        <w:t xml:space="preserve"> </w:t>
      </w:r>
      <w:r w:rsidR="00805EBA" w:rsidRPr="0062340E">
        <w:rPr>
          <w:rFonts w:ascii="Simplified Arabic" w:hAnsi="Simplified Arabic" w:cs="Simplified Arabic" w:hint="cs"/>
          <w:sz w:val="24"/>
          <w:szCs w:val="24"/>
          <w:rtl/>
        </w:rPr>
        <w:t xml:space="preserve">على </w:t>
      </w:r>
      <w:r w:rsidR="006F19CB" w:rsidRPr="0062340E">
        <w:rPr>
          <w:rFonts w:ascii="Simplified Arabic" w:hAnsi="Simplified Arabic" w:cs="Simplified Arabic" w:hint="cs"/>
          <w:sz w:val="24"/>
          <w:szCs w:val="24"/>
          <w:rtl/>
        </w:rPr>
        <w:t>مرونة</w:t>
      </w:r>
      <w:r w:rsidR="006F19CB" w:rsidRPr="0062340E">
        <w:rPr>
          <w:rFonts w:ascii="Simplified Arabic" w:hAnsi="Simplified Arabic" w:cs="Simplified Arabic"/>
          <w:sz w:val="24"/>
          <w:szCs w:val="24"/>
          <w:rtl/>
        </w:rPr>
        <w:t xml:space="preserve"> </w:t>
      </w:r>
      <w:r w:rsidR="006F19CB" w:rsidRPr="0062340E">
        <w:rPr>
          <w:rFonts w:ascii="Simplified Arabic" w:hAnsi="Simplified Arabic" w:cs="Simplified Arabic" w:hint="cs"/>
          <w:sz w:val="24"/>
          <w:szCs w:val="24"/>
          <w:rtl/>
        </w:rPr>
        <w:t>ال</w:t>
      </w:r>
      <w:r w:rsidR="00601146" w:rsidRPr="0062340E">
        <w:rPr>
          <w:rFonts w:ascii="Simplified Arabic" w:hAnsi="Simplified Arabic" w:cs="Simplified Arabic" w:hint="cs"/>
          <w:sz w:val="24"/>
          <w:szCs w:val="24"/>
          <w:rtl/>
        </w:rPr>
        <w:t>مدين</w:t>
      </w:r>
      <w:r w:rsidR="006F19CB" w:rsidRPr="0062340E">
        <w:rPr>
          <w:rFonts w:ascii="Simplified Arabic" w:hAnsi="Simplified Arabic" w:cs="Simplified Arabic" w:hint="cs"/>
          <w:sz w:val="24"/>
          <w:szCs w:val="24"/>
          <w:rtl/>
        </w:rPr>
        <w:t>ة</w:t>
      </w:r>
      <w:r w:rsidR="00BC50B4" w:rsidRPr="0062340E">
        <w:rPr>
          <w:rFonts w:ascii="Simplified Arabic" w:hAnsi="Simplified Arabic" w:cs="Simplified Arabic"/>
          <w:sz w:val="24"/>
          <w:szCs w:val="24"/>
          <w:rtl/>
        </w:rPr>
        <w:t>،</w:t>
      </w:r>
      <w:r w:rsidR="00BC50B4" w:rsidRPr="0062340E">
        <w:rPr>
          <w:rFonts w:ascii="Simplified Arabic" w:hAnsi="Simplified Arabic" w:cs="Simplified Arabic" w:hint="cs"/>
          <w:sz w:val="24"/>
          <w:szCs w:val="24"/>
          <w:rtl/>
        </w:rPr>
        <w:t xml:space="preserve"> </w:t>
      </w:r>
      <w:r w:rsidR="003343A3" w:rsidRPr="0062340E">
        <w:rPr>
          <w:rFonts w:ascii="Simplified Arabic" w:hAnsi="Simplified Arabic" w:cs="Simplified Arabic" w:hint="cs"/>
          <w:sz w:val="24"/>
          <w:szCs w:val="24"/>
          <w:rtl/>
        </w:rPr>
        <w:t xml:space="preserve">وغياب </w:t>
      </w:r>
      <w:r w:rsidR="00067003" w:rsidRPr="0062340E">
        <w:rPr>
          <w:rFonts w:ascii="Simplified Arabic" w:hAnsi="Simplified Arabic" w:cs="Simplified Arabic" w:hint="cs"/>
          <w:sz w:val="24"/>
          <w:szCs w:val="24"/>
          <w:rtl/>
        </w:rPr>
        <w:t>مقاربة تسمح بمش</w:t>
      </w:r>
      <w:r w:rsidR="005623FB" w:rsidRPr="0062340E">
        <w:rPr>
          <w:rFonts w:ascii="Simplified Arabic" w:hAnsi="Simplified Arabic" w:cs="Simplified Arabic" w:hint="cs"/>
          <w:sz w:val="24"/>
          <w:szCs w:val="24"/>
          <w:rtl/>
        </w:rPr>
        <w:t>ا</w:t>
      </w:r>
      <w:r w:rsidR="00067003" w:rsidRPr="0062340E">
        <w:rPr>
          <w:rFonts w:ascii="Simplified Arabic" w:hAnsi="Simplified Arabic" w:cs="Simplified Arabic" w:hint="cs"/>
          <w:sz w:val="24"/>
          <w:szCs w:val="24"/>
          <w:rtl/>
        </w:rPr>
        <w:t xml:space="preserve">ركة </w:t>
      </w:r>
      <w:r w:rsidR="00067003" w:rsidRPr="0062340E">
        <w:rPr>
          <w:rFonts w:ascii="Simplified Arabic" w:hAnsi="Simplified Arabic" w:cs="Simplified Arabic"/>
          <w:sz w:val="24"/>
          <w:szCs w:val="24"/>
          <w:rtl/>
        </w:rPr>
        <w:t xml:space="preserve">الخبراء </w:t>
      </w:r>
      <w:r w:rsidR="00067003" w:rsidRPr="0062340E">
        <w:rPr>
          <w:rFonts w:ascii="Simplified Arabic" w:hAnsi="Simplified Arabic" w:cs="Simplified Arabic" w:hint="cs"/>
          <w:sz w:val="24"/>
          <w:szCs w:val="24"/>
          <w:rtl/>
        </w:rPr>
        <w:t>و</w:t>
      </w:r>
      <w:r w:rsidR="00067003" w:rsidRPr="0062340E">
        <w:rPr>
          <w:rFonts w:ascii="Simplified Arabic" w:hAnsi="Simplified Arabic" w:cs="Simplified Arabic"/>
          <w:sz w:val="24"/>
          <w:szCs w:val="24"/>
          <w:rtl/>
        </w:rPr>
        <w:t>أفراد الجمهور</w:t>
      </w:r>
      <w:r w:rsidR="00067003" w:rsidRPr="0062340E">
        <w:rPr>
          <w:rFonts w:ascii="Simplified Arabic" w:hAnsi="Simplified Arabic" w:cs="Simplified Arabic" w:hint="cs"/>
          <w:sz w:val="24"/>
          <w:szCs w:val="24"/>
          <w:rtl/>
        </w:rPr>
        <w:t xml:space="preserve"> </w:t>
      </w:r>
      <w:r w:rsidR="005623FB" w:rsidRPr="0062340E">
        <w:rPr>
          <w:rFonts w:ascii="Simplified Arabic" w:hAnsi="Simplified Arabic" w:cs="Simplified Arabic" w:hint="cs"/>
          <w:sz w:val="24"/>
          <w:szCs w:val="24"/>
          <w:rtl/>
        </w:rPr>
        <w:t>في بناء</w:t>
      </w:r>
      <w:r w:rsidR="00337414" w:rsidRPr="0062340E">
        <w:rPr>
          <w:rFonts w:ascii="Simplified Arabic" w:hAnsi="Simplified Arabic" w:cs="Simplified Arabic" w:hint="cs"/>
          <w:sz w:val="24"/>
          <w:szCs w:val="24"/>
          <w:rtl/>
        </w:rPr>
        <w:t xml:space="preserve"> </w:t>
      </w:r>
      <w:r w:rsidR="005623FB" w:rsidRPr="0062340E">
        <w:rPr>
          <w:rFonts w:ascii="Simplified Arabic" w:hAnsi="Simplified Arabic" w:cs="Simplified Arabic" w:hint="cs"/>
          <w:sz w:val="24"/>
          <w:szCs w:val="24"/>
          <w:rtl/>
        </w:rPr>
        <w:t>المدن</w:t>
      </w:r>
      <w:r w:rsidR="00F63431" w:rsidRPr="0062340E">
        <w:rPr>
          <w:rFonts w:ascii="Simplified Arabic" w:hAnsi="Simplified Arabic" w:cs="Simplified Arabic" w:hint="cs"/>
          <w:sz w:val="24"/>
          <w:szCs w:val="24"/>
          <w:rtl/>
        </w:rPr>
        <w:t>،</w:t>
      </w:r>
      <w:r w:rsidR="005623FB" w:rsidRPr="0062340E">
        <w:rPr>
          <w:rFonts w:ascii="Simplified Arabic" w:hAnsi="Simplified Arabic" w:cs="Simplified Arabic" w:hint="cs"/>
          <w:sz w:val="24"/>
          <w:szCs w:val="24"/>
          <w:rtl/>
        </w:rPr>
        <w:t xml:space="preserve"> </w:t>
      </w:r>
      <w:r w:rsidR="00BC50B4" w:rsidRPr="0062340E">
        <w:rPr>
          <w:rFonts w:ascii="Simplified Arabic" w:hAnsi="Simplified Arabic" w:cs="Simplified Arabic" w:hint="cs"/>
          <w:sz w:val="24"/>
          <w:szCs w:val="24"/>
          <w:rtl/>
        </w:rPr>
        <w:t>باعتبار ان</w:t>
      </w:r>
      <w:r w:rsidR="00BC50B4" w:rsidRPr="0062340E">
        <w:rPr>
          <w:rFonts w:ascii="Simplified Arabic" w:hAnsi="Simplified Arabic" w:cs="Simplified Arabic"/>
          <w:sz w:val="24"/>
          <w:szCs w:val="24"/>
          <w:rtl/>
        </w:rPr>
        <w:t xml:space="preserve"> </w:t>
      </w:r>
      <w:r w:rsidR="00BC50B4" w:rsidRPr="0062340E">
        <w:rPr>
          <w:rFonts w:ascii="Simplified Arabic" w:hAnsi="Simplified Arabic" w:cs="Simplified Arabic" w:hint="cs"/>
          <w:sz w:val="24"/>
          <w:szCs w:val="24"/>
          <w:rtl/>
        </w:rPr>
        <w:t>المدن</w:t>
      </w:r>
      <w:r w:rsidR="00BC50B4" w:rsidRPr="0062340E">
        <w:rPr>
          <w:rFonts w:ascii="Simplified Arabic" w:hAnsi="Simplified Arabic" w:cs="Simplified Arabic"/>
          <w:sz w:val="24"/>
          <w:szCs w:val="24"/>
          <w:rtl/>
        </w:rPr>
        <w:t xml:space="preserve"> </w:t>
      </w:r>
      <w:r w:rsidR="00BC50B4" w:rsidRPr="0062340E">
        <w:rPr>
          <w:rFonts w:ascii="Simplified Arabic" w:hAnsi="Simplified Arabic" w:cs="Simplified Arabic" w:hint="cs"/>
          <w:sz w:val="24"/>
          <w:szCs w:val="24"/>
          <w:rtl/>
        </w:rPr>
        <w:t>هي</w:t>
      </w:r>
      <w:r w:rsidR="00BC50B4" w:rsidRPr="0062340E">
        <w:rPr>
          <w:rFonts w:ascii="Simplified Arabic" w:hAnsi="Simplified Arabic" w:cs="Simplified Arabic"/>
          <w:sz w:val="24"/>
          <w:szCs w:val="24"/>
          <w:rtl/>
        </w:rPr>
        <w:t xml:space="preserve"> </w:t>
      </w:r>
      <w:r w:rsidR="00BC50B4" w:rsidRPr="0062340E">
        <w:rPr>
          <w:rFonts w:ascii="Simplified Arabic" w:hAnsi="Simplified Arabic" w:cs="Simplified Arabic" w:hint="cs"/>
          <w:sz w:val="24"/>
          <w:szCs w:val="24"/>
          <w:rtl/>
        </w:rPr>
        <w:t>محور</w:t>
      </w:r>
      <w:r w:rsidR="00BC50B4" w:rsidRPr="0062340E">
        <w:rPr>
          <w:rFonts w:ascii="Simplified Arabic" w:hAnsi="Simplified Arabic" w:cs="Simplified Arabic"/>
          <w:sz w:val="24"/>
          <w:szCs w:val="24"/>
          <w:rtl/>
        </w:rPr>
        <w:t xml:space="preserve"> </w:t>
      </w:r>
      <w:r w:rsidR="00BC50B4" w:rsidRPr="0062340E">
        <w:rPr>
          <w:rFonts w:ascii="Simplified Arabic" w:hAnsi="Simplified Arabic" w:cs="Simplified Arabic" w:hint="cs"/>
          <w:sz w:val="24"/>
          <w:szCs w:val="24"/>
          <w:rtl/>
        </w:rPr>
        <w:t>التأهب</w:t>
      </w:r>
      <w:r w:rsidR="00BC50B4" w:rsidRPr="0062340E">
        <w:rPr>
          <w:rFonts w:ascii="Simplified Arabic" w:hAnsi="Simplified Arabic" w:cs="Simplified Arabic"/>
          <w:sz w:val="24"/>
          <w:szCs w:val="24"/>
          <w:rtl/>
        </w:rPr>
        <w:t xml:space="preserve"> </w:t>
      </w:r>
      <w:r w:rsidR="00BC50B4" w:rsidRPr="0062340E">
        <w:rPr>
          <w:rFonts w:ascii="Simplified Arabic" w:hAnsi="Simplified Arabic" w:cs="Simplified Arabic" w:hint="cs"/>
          <w:sz w:val="24"/>
          <w:szCs w:val="24"/>
          <w:rtl/>
        </w:rPr>
        <w:t>والاستجابة</w:t>
      </w:r>
      <w:r w:rsidR="00BC50B4" w:rsidRPr="0062340E">
        <w:rPr>
          <w:rFonts w:ascii="Simplified Arabic" w:hAnsi="Simplified Arabic" w:cs="Simplified Arabic"/>
          <w:sz w:val="24"/>
          <w:szCs w:val="24"/>
          <w:rtl/>
        </w:rPr>
        <w:t xml:space="preserve"> </w:t>
      </w:r>
      <w:r w:rsidR="00BC50B4" w:rsidRPr="0062340E">
        <w:rPr>
          <w:rFonts w:ascii="Simplified Arabic" w:hAnsi="Simplified Arabic" w:cs="Simplified Arabic" w:hint="cs"/>
          <w:sz w:val="24"/>
          <w:szCs w:val="24"/>
          <w:rtl/>
        </w:rPr>
        <w:t>للكوارث</w:t>
      </w:r>
      <w:r w:rsidR="006F19CB" w:rsidRPr="0062340E">
        <w:rPr>
          <w:rFonts w:ascii="Simplified Arabic" w:hAnsi="Simplified Arabic" w:cs="Simplified Arabic" w:hint="cs"/>
          <w:sz w:val="24"/>
          <w:szCs w:val="24"/>
          <w:rtl/>
        </w:rPr>
        <w:t xml:space="preserve">. </w:t>
      </w:r>
      <w:r w:rsidR="004376A7" w:rsidRPr="0062340E">
        <w:rPr>
          <w:rFonts w:ascii="Simplified Arabic" w:hAnsi="Simplified Arabic" w:cs="Simplified Arabic" w:hint="cs"/>
          <w:sz w:val="24"/>
          <w:szCs w:val="24"/>
          <w:rtl/>
        </w:rPr>
        <w:t>إن</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سد</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هذه</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الفجوة</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في</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نمذجة</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المرونة</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على</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نطاق</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أصغر</w:t>
      </w:r>
      <w:r w:rsidR="005623FB" w:rsidRPr="0062340E">
        <w:rPr>
          <w:rFonts w:ascii="Simplified Arabic" w:hAnsi="Simplified Arabic" w:cs="Simplified Arabic" w:hint="cs"/>
          <w:sz w:val="24"/>
          <w:szCs w:val="24"/>
          <w:rtl/>
        </w:rPr>
        <w:t xml:space="preserve"> (</w:t>
      </w:r>
      <w:r w:rsidR="00B51EE2" w:rsidRPr="0062340E">
        <w:rPr>
          <w:rFonts w:ascii="Simplified Arabic" w:hAnsi="Simplified Arabic" w:cs="Simplified Arabic" w:hint="cs"/>
          <w:sz w:val="24"/>
          <w:szCs w:val="24"/>
          <w:rtl/>
        </w:rPr>
        <w:t>المدينة، الحي</w:t>
      </w:r>
      <w:r w:rsidR="005623FB" w:rsidRPr="0062340E">
        <w:rPr>
          <w:rFonts w:ascii="Simplified Arabic" w:hAnsi="Simplified Arabic" w:cs="Simplified Arabic" w:hint="cs"/>
          <w:sz w:val="24"/>
          <w:szCs w:val="24"/>
          <w:rtl/>
        </w:rPr>
        <w:t>)</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من</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شأنه</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أن</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يوفر</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صورة</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أفضل</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لكيفية</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أداء</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المدينة</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فيما</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يتعلق</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بالمرونة</w:t>
      </w:r>
      <w:r w:rsidR="004376A7" w:rsidRPr="0062340E">
        <w:rPr>
          <w:rFonts w:ascii="Simplified Arabic" w:hAnsi="Simplified Arabic" w:cs="Simplified Arabic"/>
          <w:sz w:val="24"/>
          <w:szCs w:val="24"/>
          <w:rtl/>
        </w:rPr>
        <w:t xml:space="preserve">. </w:t>
      </w:r>
    </w:p>
    <w:p w:rsidR="00032C5E" w:rsidRPr="0062340E" w:rsidRDefault="009405E2" w:rsidP="00E90A03">
      <w:pPr>
        <w:tabs>
          <w:tab w:val="right" w:pos="281"/>
          <w:tab w:val="left" w:pos="4305"/>
        </w:tabs>
        <w:bidi/>
        <w:spacing w:before="240"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lastRenderedPageBreak/>
        <w:t xml:space="preserve">يرى البحث ان </w:t>
      </w:r>
      <w:r w:rsidR="004376A7" w:rsidRPr="0062340E">
        <w:rPr>
          <w:rFonts w:ascii="Simplified Arabic" w:hAnsi="Simplified Arabic" w:cs="Simplified Arabic" w:hint="cs"/>
          <w:sz w:val="24"/>
          <w:szCs w:val="24"/>
          <w:rtl/>
        </w:rPr>
        <w:t>الدافع</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الأساسي</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لتقليص</w:t>
      </w:r>
      <w:r w:rsidR="004376A7" w:rsidRPr="0062340E">
        <w:rPr>
          <w:rFonts w:ascii="Simplified Arabic" w:hAnsi="Simplified Arabic" w:cs="Simplified Arabic"/>
          <w:sz w:val="24"/>
          <w:szCs w:val="24"/>
          <w:rtl/>
        </w:rPr>
        <w:t xml:space="preserve"> </w:t>
      </w:r>
      <w:r w:rsidR="00AD724B" w:rsidRPr="0062340E">
        <w:rPr>
          <w:rFonts w:ascii="Simplified Arabic" w:hAnsi="Simplified Arabic" w:cs="Simplified Arabic" w:hint="cs"/>
          <w:sz w:val="24"/>
          <w:szCs w:val="24"/>
          <w:rtl/>
        </w:rPr>
        <w:t xml:space="preserve">نطاق </w:t>
      </w:r>
      <w:r w:rsidR="004376A7" w:rsidRPr="0062340E">
        <w:rPr>
          <w:rFonts w:ascii="Simplified Arabic" w:hAnsi="Simplified Arabic" w:cs="Simplified Arabic" w:hint="cs"/>
          <w:sz w:val="24"/>
          <w:szCs w:val="24"/>
          <w:rtl/>
        </w:rPr>
        <w:t>تقييم</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المرونة</w:t>
      </w:r>
      <w:r w:rsidR="004376A7" w:rsidRPr="0062340E">
        <w:rPr>
          <w:rFonts w:ascii="Simplified Arabic" w:hAnsi="Simplified Arabic" w:cs="Simplified Arabic"/>
          <w:sz w:val="24"/>
          <w:szCs w:val="24"/>
          <w:rtl/>
        </w:rPr>
        <w:t xml:space="preserve"> </w:t>
      </w:r>
      <w:r w:rsidR="00B51EE2" w:rsidRPr="0062340E">
        <w:rPr>
          <w:rFonts w:ascii="Simplified Arabic" w:hAnsi="Simplified Arabic" w:cs="Simplified Arabic" w:hint="cs"/>
          <w:sz w:val="24"/>
          <w:szCs w:val="24"/>
          <w:rtl/>
        </w:rPr>
        <w:t>على مستوى (المدينة، الحي)</w:t>
      </w:r>
      <w:r w:rsidR="00B51EE2"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يأتي</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من</w:t>
      </w:r>
      <w:r w:rsidR="004376A7" w:rsidRPr="0062340E">
        <w:rPr>
          <w:rFonts w:ascii="Simplified Arabic" w:hAnsi="Simplified Arabic" w:cs="Simplified Arabic"/>
          <w:sz w:val="24"/>
          <w:szCs w:val="24"/>
          <w:rtl/>
        </w:rPr>
        <w:t xml:space="preserve"> </w:t>
      </w:r>
      <w:r w:rsidR="00BE4A64" w:rsidRPr="0062340E">
        <w:rPr>
          <w:rFonts w:ascii="Simplified Arabic" w:hAnsi="Simplified Arabic" w:cs="Simplified Arabic" w:hint="cs"/>
          <w:sz w:val="24"/>
          <w:szCs w:val="24"/>
          <w:rtl/>
        </w:rPr>
        <w:t>منطلق</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أن</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كل</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حي</w:t>
      </w:r>
      <w:r w:rsidR="006A4424" w:rsidRPr="0062340E">
        <w:rPr>
          <w:rFonts w:ascii="Simplified Arabic" w:hAnsi="Simplified Arabic" w:cs="Simplified Arabic" w:hint="cs"/>
          <w:sz w:val="24"/>
          <w:szCs w:val="24"/>
          <w:rtl/>
        </w:rPr>
        <w:t xml:space="preserve"> سكني</w:t>
      </w:r>
      <w:r w:rsidR="004376A7" w:rsidRPr="0062340E">
        <w:rPr>
          <w:rFonts w:ascii="Simplified Arabic" w:hAnsi="Simplified Arabic" w:cs="Simplified Arabic"/>
          <w:sz w:val="24"/>
          <w:szCs w:val="24"/>
          <w:rtl/>
        </w:rPr>
        <w:t xml:space="preserve"> </w:t>
      </w:r>
      <w:r w:rsidR="004376A7" w:rsidRPr="0062340E">
        <w:rPr>
          <w:rFonts w:ascii="Simplified Arabic" w:hAnsi="Simplified Arabic" w:cs="Simplified Arabic" w:hint="cs"/>
          <w:sz w:val="24"/>
          <w:szCs w:val="24"/>
          <w:rtl/>
        </w:rPr>
        <w:t>له</w:t>
      </w:r>
      <w:r w:rsidR="004376A7" w:rsidRPr="0062340E">
        <w:rPr>
          <w:rFonts w:ascii="Simplified Arabic" w:hAnsi="Simplified Arabic" w:cs="Simplified Arabic"/>
          <w:sz w:val="24"/>
          <w:szCs w:val="24"/>
          <w:rtl/>
        </w:rPr>
        <w:t xml:space="preserve"> </w:t>
      </w:r>
      <w:r w:rsidR="00793543" w:rsidRPr="0062340E">
        <w:rPr>
          <w:rFonts w:ascii="Simplified Arabic" w:hAnsi="Simplified Arabic" w:cs="Simplified Arabic" w:hint="cs"/>
          <w:sz w:val="24"/>
          <w:szCs w:val="24"/>
          <w:rtl/>
        </w:rPr>
        <w:t>خصائص</w:t>
      </w:r>
      <w:r w:rsidR="00E460AB" w:rsidRPr="0062340E">
        <w:rPr>
          <w:rFonts w:ascii="Simplified Arabic" w:hAnsi="Simplified Arabic" w:cs="Simplified Arabic" w:hint="cs"/>
          <w:sz w:val="24"/>
          <w:szCs w:val="24"/>
          <w:rtl/>
        </w:rPr>
        <w:t xml:space="preserve"> </w:t>
      </w:r>
      <w:r w:rsidR="00601146" w:rsidRPr="0062340E">
        <w:rPr>
          <w:rFonts w:ascii="Simplified Arabic" w:hAnsi="Simplified Arabic" w:cs="Simplified Arabic" w:hint="cs"/>
          <w:sz w:val="24"/>
          <w:szCs w:val="24"/>
          <w:rtl/>
          <w:lang w:val="en-US" w:bidi="ar-DZ"/>
        </w:rPr>
        <w:t>استعمال</w:t>
      </w:r>
      <w:r w:rsidR="00601146" w:rsidRPr="0062340E">
        <w:rPr>
          <w:rFonts w:ascii="Simplified Arabic" w:hAnsi="Simplified Arabic" w:cs="Simplified Arabic"/>
          <w:sz w:val="24"/>
          <w:szCs w:val="24"/>
          <w:rtl/>
          <w:lang w:val="en-US" w:bidi="ar-DZ"/>
        </w:rPr>
        <w:t xml:space="preserve"> </w:t>
      </w:r>
      <w:r w:rsidR="00571F1B" w:rsidRPr="0062340E">
        <w:rPr>
          <w:rFonts w:ascii="Simplified Arabic" w:hAnsi="Simplified Arabic" w:cs="Simplified Arabic" w:hint="cs"/>
          <w:sz w:val="24"/>
          <w:szCs w:val="24"/>
          <w:rtl/>
        </w:rPr>
        <w:t xml:space="preserve">ارض </w:t>
      </w:r>
      <w:r w:rsidR="00C36B56" w:rsidRPr="0062340E">
        <w:rPr>
          <w:rFonts w:ascii="Simplified Arabic" w:hAnsi="Simplified Arabic" w:cs="Simplified Arabic" w:hint="cs"/>
          <w:sz w:val="24"/>
          <w:szCs w:val="24"/>
          <w:rtl/>
        </w:rPr>
        <w:t>فريدة</w:t>
      </w:r>
      <w:r w:rsidR="00571F1B" w:rsidRPr="0062340E">
        <w:rPr>
          <w:rFonts w:ascii="Simplified Arabic" w:hAnsi="Simplified Arabic" w:cs="Simplified Arabic" w:hint="cs"/>
          <w:sz w:val="24"/>
          <w:szCs w:val="24"/>
          <w:rtl/>
        </w:rPr>
        <w:t xml:space="preserve"> من نوعها</w:t>
      </w:r>
      <w:r w:rsidR="00536EA1" w:rsidRPr="0062340E">
        <w:rPr>
          <w:rFonts w:ascii="Simplified Arabic" w:hAnsi="Simplified Arabic" w:cs="Simplified Arabic" w:hint="cs"/>
          <w:sz w:val="24"/>
          <w:szCs w:val="24"/>
          <w:rtl/>
        </w:rPr>
        <w:t xml:space="preserve"> </w:t>
      </w:r>
      <w:r w:rsidR="007940DA" w:rsidRPr="0062340E">
        <w:rPr>
          <w:rFonts w:ascii="Simplified Arabic" w:hAnsi="Simplified Arabic" w:cs="Simplified Arabic" w:hint="cs"/>
          <w:sz w:val="24"/>
          <w:szCs w:val="24"/>
          <w:rtl/>
        </w:rPr>
        <w:t xml:space="preserve">تميّزه عن غيره، </w:t>
      </w:r>
      <w:r w:rsidR="00E90A03" w:rsidRPr="0062340E">
        <w:rPr>
          <w:rFonts w:ascii="Simplified Arabic" w:hAnsi="Simplified Arabic" w:cs="Simplified Arabic" w:hint="cs"/>
          <w:sz w:val="24"/>
          <w:szCs w:val="24"/>
          <w:rtl/>
        </w:rPr>
        <w:t>ادى ذلك</w:t>
      </w:r>
      <w:r w:rsidR="00E3248B" w:rsidRPr="0062340E">
        <w:rPr>
          <w:rFonts w:ascii="Simplified Arabic" w:hAnsi="Simplified Arabic" w:cs="Simplified Arabic" w:hint="cs"/>
          <w:sz w:val="24"/>
          <w:szCs w:val="24"/>
          <w:rtl/>
        </w:rPr>
        <w:t xml:space="preserve"> الى تفاوت</w:t>
      </w:r>
      <w:r w:rsidR="00536EA1" w:rsidRPr="0062340E">
        <w:rPr>
          <w:rFonts w:ascii="Simplified Arabic" w:hAnsi="Simplified Arabic" w:cs="Simplified Arabic" w:hint="cs"/>
          <w:sz w:val="24"/>
          <w:szCs w:val="24"/>
          <w:rtl/>
        </w:rPr>
        <w:t xml:space="preserve"> مستو</w:t>
      </w:r>
      <w:r w:rsidR="00E3248B" w:rsidRPr="0062340E">
        <w:rPr>
          <w:rFonts w:ascii="Simplified Arabic" w:hAnsi="Simplified Arabic" w:cs="Simplified Arabic" w:hint="cs"/>
          <w:sz w:val="24"/>
          <w:szCs w:val="24"/>
          <w:rtl/>
        </w:rPr>
        <w:t>يات</w:t>
      </w:r>
      <w:r w:rsidR="00536EA1" w:rsidRPr="0062340E">
        <w:rPr>
          <w:rFonts w:ascii="Simplified Arabic" w:hAnsi="Simplified Arabic" w:cs="Simplified Arabic" w:hint="cs"/>
          <w:sz w:val="24"/>
          <w:szCs w:val="24"/>
          <w:rtl/>
        </w:rPr>
        <w:t xml:space="preserve"> مرونة </w:t>
      </w:r>
      <w:r w:rsidR="00601146" w:rsidRPr="0062340E">
        <w:rPr>
          <w:rFonts w:ascii="Simplified Arabic" w:hAnsi="Simplified Arabic" w:cs="Simplified Arabic" w:hint="cs"/>
          <w:sz w:val="24"/>
          <w:szCs w:val="24"/>
          <w:rtl/>
        </w:rPr>
        <w:t>المدينة</w:t>
      </w:r>
      <w:r w:rsidR="00C36B56" w:rsidRPr="0062340E">
        <w:rPr>
          <w:rFonts w:ascii="Simplified Arabic" w:hAnsi="Simplified Arabic" w:cs="Simplified Arabic" w:hint="cs"/>
          <w:sz w:val="24"/>
          <w:szCs w:val="24"/>
          <w:rtl/>
        </w:rPr>
        <w:t>.</w:t>
      </w:r>
      <w:r w:rsidR="00536EA1" w:rsidRPr="0062340E">
        <w:rPr>
          <w:rFonts w:ascii="Simplified Arabic" w:hAnsi="Simplified Arabic" w:cs="Simplified Arabic" w:hint="cs"/>
          <w:sz w:val="24"/>
          <w:szCs w:val="24"/>
          <w:rtl/>
        </w:rPr>
        <w:t xml:space="preserve"> </w:t>
      </w:r>
    </w:p>
    <w:p w:rsidR="00747A54" w:rsidRPr="0062340E" w:rsidRDefault="00E3248B" w:rsidP="00E90A03">
      <w:pPr>
        <w:tabs>
          <w:tab w:val="right" w:pos="281"/>
          <w:tab w:val="left" w:pos="4305"/>
        </w:tabs>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هذا التفاوت نلمسه في </w:t>
      </w:r>
      <w:r w:rsidR="0022082E" w:rsidRPr="0062340E">
        <w:rPr>
          <w:rFonts w:ascii="Simplified Arabic" w:hAnsi="Simplified Arabic" w:cs="Simplified Arabic"/>
          <w:sz w:val="24"/>
          <w:szCs w:val="24"/>
          <w:rtl/>
        </w:rPr>
        <w:t>مدينة بوسعادة</w:t>
      </w:r>
      <w:r w:rsidRPr="0062340E">
        <w:rPr>
          <w:rFonts w:ascii="Simplified Arabic" w:hAnsi="Simplified Arabic" w:cs="Simplified Arabic" w:hint="cs"/>
          <w:sz w:val="24"/>
          <w:szCs w:val="24"/>
          <w:rtl/>
        </w:rPr>
        <w:t xml:space="preserve"> التي </w:t>
      </w:r>
      <w:r w:rsidR="0022082E" w:rsidRPr="0062340E">
        <w:rPr>
          <w:rFonts w:ascii="Simplified Arabic" w:hAnsi="Simplified Arabic" w:cs="Simplified Arabic"/>
          <w:sz w:val="24"/>
          <w:szCs w:val="24"/>
          <w:rtl/>
        </w:rPr>
        <w:t xml:space="preserve">عرفت فترات نمو حضري عبر ازمنة مختلفة، </w:t>
      </w:r>
      <w:r w:rsidR="0038754B" w:rsidRPr="0062340E">
        <w:rPr>
          <w:rFonts w:ascii="Simplified Arabic" w:hAnsi="Simplified Arabic" w:cs="Simplified Arabic" w:hint="cs"/>
          <w:sz w:val="24"/>
          <w:szCs w:val="24"/>
          <w:rtl/>
        </w:rPr>
        <w:t xml:space="preserve">كانت </w:t>
      </w:r>
      <w:r w:rsidR="00A637CB" w:rsidRPr="0062340E">
        <w:rPr>
          <w:rFonts w:ascii="Simplified Arabic" w:hAnsi="Simplified Arabic" w:cs="Simplified Arabic" w:hint="cs"/>
          <w:sz w:val="24"/>
          <w:szCs w:val="24"/>
          <w:rtl/>
        </w:rPr>
        <w:t xml:space="preserve">اهمها فترة </w:t>
      </w:r>
      <w:r w:rsidR="00A637C5" w:rsidRPr="0062340E">
        <w:rPr>
          <w:rFonts w:ascii="Simplified Arabic" w:hAnsi="Simplified Arabic" w:cs="Simplified Arabic" w:hint="cs"/>
          <w:sz w:val="24"/>
          <w:szCs w:val="24"/>
          <w:rtl/>
        </w:rPr>
        <w:t xml:space="preserve">ستينات </w:t>
      </w:r>
      <w:r w:rsidR="00D62FDD" w:rsidRPr="0062340E">
        <w:rPr>
          <w:rFonts w:ascii="Simplified Arabic" w:hAnsi="Simplified Arabic" w:cs="Simplified Arabic" w:hint="cs"/>
          <w:sz w:val="24"/>
          <w:szCs w:val="24"/>
          <w:rtl/>
        </w:rPr>
        <w:t xml:space="preserve">القرن الماضي </w:t>
      </w:r>
      <w:r w:rsidR="00A637CB" w:rsidRPr="0062340E">
        <w:rPr>
          <w:rFonts w:ascii="Simplified Arabic" w:hAnsi="Simplified Arabic" w:cs="Simplified Arabic" w:hint="cs"/>
          <w:sz w:val="24"/>
          <w:szCs w:val="24"/>
          <w:rtl/>
        </w:rPr>
        <w:t xml:space="preserve">التي شهدت </w:t>
      </w:r>
      <w:r w:rsidR="00A637C5" w:rsidRPr="0062340E">
        <w:rPr>
          <w:rFonts w:ascii="Simplified Arabic" w:hAnsi="Simplified Arabic" w:cs="Simplified Arabic" w:hint="cs"/>
          <w:sz w:val="24"/>
          <w:szCs w:val="24"/>
          <w:rtl/>
        </w:rPr>
        <w:t>عملية تحضر متسارعة</w:t>
      </w:r>
      <w:r w:rsidR="00D62FDD" w:rsidRPr="0062340E">
        <w:rPr>
          <w:rFonts w:ascii="Simplified Arabic" w:hAnsi="Simplified Arabic" w:cs="Simplified Arabic" w:hint="cs"/>
          <w:sz w:val="24"/>
          <w:szCs w:val="24"/>
          <w:rtl/>
        </w:rPr>
        <w:t>،</w:t>
      </w:r>
      <w:r w:rsidR="00A637C5" w:rsidRPr="0062340E">
        <w:rPr>
          <w:rFonts w:ascii="Simplified Arabic" w:hAnsi="Simplified Arabic" w:cs="Simplified Arabic" w:hint="cs"/>
          <w:sz w:val="24"/>
          <w:szCs w:val="24"/>
          <w:rtl/>
        </w:rPr>
        <w:t xml:space="preserve"> </w:t>
      </w:r>
      <w:r w:rsidR="00D62FDD" w:rsidRPr="0062340E">
        <w:rPr>
          <w:rFonts w:ascii="Simplified Arabic" w:hAnsi="Simplified Arabic" w:cs="Simplified Arabic" w:hint="cs"/>
          <w:sz w:val="24"/>
          <w:szCs w:val="24"/>
          <w:rtl/>
        </w:rPr>
        <w:t>حينما</w:t>
      </w:r>
      <w:r w:rsidR="00A637C5" w:rsidRPr="0062340E">
        <w:rPr>
          <w:rFonts w:ascii="Simplified Arabic" w:hAnsi="Simplified Arabic" w:cs="Simplified Arabic" w:hint="cs"/>
          <w:sz w:val="24"/>
          <w:szCs w:val="24"/>
          <w:rtl/>
        </w:rPr>
        <w:t xml:space="preserve"> بد</w:t>
      </w:r>
      <w:r w:rsidR="003859B3" w:rsidRPr="0062340E">
        <w:rPr>
          <w:rFonts w:ascii="Simplified Arabic" w:hAnsi="Simplified Arabic" w:cs="Simplified Arabic" w:hint="cs"/>
          <w:sz w:val="24"/>
          <w:szCs w:val="24"/>
          <w:rtl/>
        </w:rPr>
        <w:t>أ</w:t>
      </w:r>
      <w:r w:rsidR="00A637C5" w:rsidRPr="0062340E">
        <w:rPr>
          <w:rFonts w:ascii="Simplified Arabic" w:hAnsi="Simplified Arabic" w:cs="Simplified Arabic" w:hint="cs"/>
          <w:sz w:val="24"/>
          <w:szCs w:val="24"/>
          <w:rtl/>
        </w:rPr>
        <w:t xml:space="preserve"> عدد كبير من السكان في الهجرة من الارياف نحو </w:t>
      </w:r>
      <w:r w:rsidR="00D62FDD" w:rsidRPr="0062340E">
        <w:rPr>
          <w:rFonts w:ascii="Simplified Arabic" w:hAnsi="Simplified Arabic" w:cs="Simplified Arabic" w:hint="cs"/>
          <w:sz w:val="24"/>
          <w:szCs w:val="24"/>
          <w:rtl/>
        </w:rPr>
        <w:t xml:space="preserve">مركز </w:t>
      </w:r>
      <w:r w:rsidR="00A637C5" w:rsidRPr="0062340E">
        <w:rPr>
          <w:rFonts w:ascii="Simplified Arabic" w:hAnsi="Simplified Arabic" w:cs="Simplified Arabic" w:hint="cs"/>
          <w:sz w:val="24"/>
          <w:szCs w:val="24"/>
          <w:rtl/>
        </w:rPr>
        <w:t>ال</w:t>
      </w:r>
      <w:r w:rsidR="00E90A03" w:rsidRPr="0062340E">
        <w:rPr>
          <w:rFonts w:ascii="Simplified Arabic" w:hAnsi="Simplified Arabic" w:cs="Simplified Arabic"/>
          <w:sz w:val="24"/>
          <w:szCs w:val="24"/>
          <w:rtl/>
        </w:rPr>
        <w:t>مدينة</w:t>
      </w:r>
      <w:r w:rsidR="00923B9F" w:rsidRPr="0062340E">
        <w:rPr>
          <w:rFonts w:ascii="Simplified Arabic" w:hAnsi="Simplified Arabic" w:cs="Simplified Arabic" w:hint="cs"/>
          <w:sz w:val="24"/>
          <w:szCs w:val="24"/>
          <w:rtl/>
        </w:rPr>
        <w:t xml:space="preserve"> من اجل العمل</w:t>
      </w:r>
      <w:r w:rsidR="00BB4A38" w:rsidRPr="0062340E">
        <w:rPr>
          <w:rFonts w:ascii="Simplified Arabic" w:hAnsi="Simplified Arabic" w:cs="Simplified Arabic" w:hint="cs"/>
          <w:sz w:val="24"/>
          <w:szCs w:val="24"/>
          <w:rtl/>
        </w:rPr>
        <w:t>.</w:t>
      </w:r>
      <w:r w:rsidR="00A637C5" w:rsidRPr="0062340E">
        <w:rPr>
          <w:rFonts w:ascii="Simplified Arabic" w:hAnsi="Simplified Arabic" w:cs="Simplified Arabic" w:hint="cs"/>
          <w:sz w:val="24"/>
          <w:szCs w:val="24"/>
          <w:rtl/>
        </w:rPr>
        <w:t xml:space="preserve"> </w:t>
      </w:r>
      <w:r w:rsidR="00923B9F" w:rsidRPr="0062340E">
        <w:rPr>
          <w:rFonts w:ascii="Simplified Arabic" w:hAnsi="Simplified Arabic" w:cs="Simplified Arabic" w:hint="cs"/>
          <w:sz w:val="24"/>
          <w:szCs w:val="24"/>
          <w:rtl/>
        </w:rPr>
        <w:t>ادت</w:t>
      </w:r>
      <w:r w:rsidR="00A637CB" w:rsidRPr="0062340E">
        <w:rPr>
          <w:rFonts w:ascii="Simplified Arabic" w:hAnsi="Simplified Arabic" w:cs="Simplified Arabic" w:hint="cs"/>
          <w:sz w:val="24"/>
          <w:szCs w:val="24"/>
          <w:rtl/>
        </w:rPr>
        <w:t xml:space="preserve"> </w:t>
      </w:r>
      <w:r w:rsidR="00923B9F" w:rsidRPr="0062340E">
        <w:rPr>
          <w:rFonts w:ascii="Simplified Arabic" w:hAnsi="Simplified Arabic" w:cs="Simplified Arabic" w:hint="cs"/>
          <w:sz w:val="24"/>
          <w:szCs w:val="24"/>
          <w:rtl/>
        </w:rPr>
        <w:t>حقيقة</w:t>
      </w:r>
      <w:r w:rsidR="007A528A" w:rsidRPr="0062340E">
        <w:rPr>
          <w:rFonts w:ascii="Simplified Arabic" w:hAnsi="Simplified Arabic" w:cs="Simplified Arabic" w:hint="cs"/>
          <w:sz w:val="24"/>
          <w:szCs w:val="24"/>
          <w:rtl/>
        </w:rPr>
        <w:t xml:space="preserve"> </w:t>
      </w:r>
      <w:r w:rsidR="00BB4A38" w:rsidRPr="0062340E">
        <w:rPr>
          <w:rFonts w:ascii="Simplified Arabic" w:hAnsi="Simplified Arabic" w:cs="Simplified Arabic" w:hint="cs"/>
          <w:sz w:val="24"/>
          <w:szCs w:val="24"/>
          <w:rtl/>
        </w:rPr>
        <w:t xml:space="preserve">التحضر المتسارعة </w:t>
      </w:r>
      <w:r w:rsidR="007B1D02" w:rsidRPr="0062340E">
        <w:rPr>
          <w:rFonts w:ascii="Simplified Arabic" w:hAnsi="Simplified Arabic" w:cs="Simplified Arabic" w:hint="cs"/>
          <w:sz w:val="24"/>
          <w:szCs w:val="24"/>
          <w:rtl/>
        </w:rPr>
        <w:t xml:space="preserve">للمدينة </w:t>
      </w:r>
      <w:r w:rsidR="007A528A" w:rsidRPr="0062340E">
        <w:rPr>
          <w:rFonts w:ascii="Simplified Arabic" w:hAnsi="Simplified Arabic" w:cs="Simplified Arabic" w:hint="cs"/>
          <w:sz w:val="24"/>
          <w:szCs w:val="24"/>
          <w:rtl/>
        </w:rPr>
        <w:t>الى</w:t>
      </w:r>
      <w:r w:rsidR="00067003" w:rsidRPr="0062340E">
        <w:rPr>
          <w:rFonts w:ascii="Simplified Arabic" w:hAnsi="Simplified Arabic" w:cs="Simplified Arabic" w:hint="cs"/>
          <w:sz w:val="24"/>
          <w:szCs w:val="24"/>
          <w:rtl/>
        </w:rPr>
        <w:t xml:space="preserve"> </w:t>
      </w:r>
      <w:r w:rsidR="00E46713" w:rsidRPr="0062340E">
        <w:rPr>
          <w:rFonts w:ascii="Simplified Arabic" w:hAnsi="Simplified Arabic" w:cs="Simplified Arabic" w:hint="cs"/>
          <w:sz w:val="24"/>
          <w:szCs w:val="24"/>
          <w:rtl/>
        </w:rPr>
        <w:t xml:space="preserve">ظهور </w:t>
      </w:r>
      <w:r w:rsidR="00A637CB" w:rsidRPr="0062340E">
        <w:rPr>
          <w:rFonts w:ascii="Simplified Arabic" w:hAnsi="Simplified Arabic" w:cs="Simplified Arabic" w:hint="cs"/>
          <w:sz w:val="24"/>
          <w:szCs w:val="24"/>
          <w:rtl/>
        </w:rPr>
        <w:t xml:space="preserve">فئات انسجة حضرية </w:t>
      </w:r>
      <w:r w:rsidR="007B1D02" w:rsidRPr="0062340E">
        <w:rPr>
          <w:rFonts w:ascii="Simplified Arabic" w:hAnsi="Simplified Arabic" w:cs="Simplified Arabic" w:hint="cs"/>
          <w:sz w:val="24"/>
          <w:szCs w:val="24"/>
          <w:rtl/>
        </w:rPr>
        <w:t>مفككة</w:t>
      </w:r>
      <w:r w:rsidR="009F7544" w:rsidRPr="0062340E">
        <w:rPr>
          <w:rFonts w:ascii="Simplified Arabic" w:hAnsi="Simplified Arabic" w:cs="Simplified Arabic" w:hint="cs"/>
          <w:sz w:val="24"/>
          <w:szCs w:val="24"/>
          <w:rtl/>
        </w:rPr>
        <w:t xml:space="preserve"> </w:t>
      </w:r>
      <w:r w:rsidR="00BB4A38" w:rsidRPr="0062340E">
        <w:rPr>
          <w:rFonts w:ascii="Simplified Arabic" w:hAnsi="Simplified Arabic" w:cs="Simplified Arabic" w:hint="cs"/>
          <w:sz w:val="24"/>
          <w:szCs w:val="24"/>
          <w:rtl/>
        </w:rPr>
        <w:t xml:space="preserve">والى </w:t>
      </w:r>
      <w:r w:rsidR="00A637CB" w:rsidRPr="0062340E">
        <w:rPr>
          <w:rFonts w:ascii="Simplified Arabic" w:hAnsi="Simplified Arabic" w:cs="Simplified Arabic" w:hint="cs"/>
          <w:sz w:val="24"/>
          <w:szCs w:val="24"/>
          <w:rtl/>
        </w:rPr>
        <w:t xml:space="preserve">تباين انماط </w:t>
      </w:r>
      <w:r w:rsidR="00725010" w:rsidRPr="0062340E">
        <w:rPr>
          <w:rFonts w:ascii="Simplified Arabic" w:hAnsi="Simplified Arabic" w:cs="Simplified Arabic" w:hint="cs"/>
          <w:sz w:val="24"/>
          <w:szCs w:val="24"/>
          <w:rtl/>
        </w:rPr>
        <w:t xml:space="preserve">استعمالات </w:t>
      </w:r>
      <w:r w:rsidR="00A637CB" w:rsidRPr="0062340E">
        <w:rPr>
          <w:rFonts w:ascii="Simplified Arabic" w:hAnsi="Simplified Arabic" w:cs="Simplified Arabic" w:hint="cs"/>
          <w:sz w:val="24"/>
          <w:szCs w:val="24"/>
          <w:rtl/>
        </w:rPr>
        <w:t>الار</w:t>
      </w:r>
      <w:r w:rsidR="00725010" w:rsidRPr="0062340E">
        <w:rPr>
          <w:rFonts w:ascii="Simplified Arabic" w:hAnsi="Simplified Arabic" w:cs="Simplified Arabic" w:hint="cs"/>
          <w:sz w:val="24"/>
          <w:szCs w:val="24"/>
          <w:rtl/>
        </w:rPr>
        <w:t>ا</w:t>
      </w:r>
      <w:r w:rsidR="00A637CB" w:rsidRPr="0062340E">
        <w:rPr>
          <w:rFonts w:ascii="Simplified Arabic" w:hAnsi="Simplified Arabic" w:cs="Simplified Arabic" w:hint="cs"/>
          <w:sz w:val="24"/>
          <w:szCs w:val="24"/>
          <w:rtl/>
        </w:rPr>
        <w:t>ض</w:t>
      </w:r>
      <w:r w:rsidR="00725010" w:rsidRPr="0062340E">
        <w:rPr>
          <w:rFonts w:ascii="Simplified Arabic" w:hAnsi="Simplified Arabic" w:cs="Simplified Arabic" w:hint="cs"/>
          <w:sz w:val="24"/>
          <w:szCs w:val="24"/>
          <w:rtl/>
        </w:rPr>
        <w:t>ي</w:t>
      </w:r>
      <w:r w:rsidR="00A637CB" w:rsidRPr="0062340E">
        <w:rPr>
          <w:rFonts w:ascii="Simplified Arabic" w:hAnsi="Simplified Arabic" w:cs="Simplified Arabic" w:hint="cs"/>
          <w:sz w:val="24"/>
          <w:szCs w:val="24"/>
          <w:rtl/>
        </w:rPr>
        <w:t xml:space="preserve"> </w:t>
      </w:r>
      <w:r w:rsidR="007B1D02" w:rsidRPr="0062340E">
        <w:rPr>
          <w:rFonts w:ascii="Simplified Arabic" w:hAnsi="Simplified Arabic" w:cs="Simplified Arabic" w:hint="cs"/>
          <w:sz w:val="24"/>
          <w:szCs w:val="24"/>
          <w:rtl/>
        </w:rPr>
        <w:t xml:space="preserve">على مستوى </w:t>
      </w:r>
      <w:r w:rsidR="00D20065" w:rsidRPr="0062340E">
        <w:rPr>
          <w:rFonts w:ascii="Simplified Arabic" w:hAnsi="Simplified Arabic" w:cs="Simplified Arabic" w:hint="cs"/>
          <w:sz w:val="24"/>
          <w:szCs w:val="24"/>
          <w:rtl/>
        </w:rPr>
        <w:t>هذه الانسجة</w:t>
      </w:r>
      <w:r w:rsidR="00067003" w:rsidRPr="0062340E">
        <w:rPr>
          <w:rFonts w:ascii="Simplified Arabic" w:hAnsi="Simplified Arabic" w:cs="Simplified Arabic" w:hint="cs"/>
          <w:sz w:val="24"/>
          <w:szCs w:val="24"/>
          <w:rtl/>
        </w:rPr>
        <w:t>.</w:t>
      </w:r>
    </w:p>
    <w:p w:rsidR="004C5E34" w:rsidRPr="0062340E" w:rsidRDefault="009F3BED" w:rsidP="009435DE">
      <w:pPr>
        <w:tabs>
          <w:tab w:val="right" w:pos="282"/>
        </w:tabs>
        <w:bidi/>
        <w:spacing w:before="240"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احداث </w:t>
      </w:r>
      <w:r w:rsidR="0022082E" w:rsidRPr="0062340E">
        <w:rPr>
          <w:rFonts w:ascii="Simplified Arabic" w:hAnsi="Simplified Arabic" w:cs="Simplified Arabic" w:hint="cs"/>
          <w:sz w:val="24"/>
          <w:szCs w:val="24"/>
          <w:rtl/>
        </w:rPr>
        <w:t xml:space="preserve">الفيضانات الحضرية </w:t>
      </w:r>
      <w:r w:rsidRPr="0062340E">
        <w:rPr>
          <w:rFonts w:ascii="Simplified Arabic" w:hAnsi="Simplified Arabic" w:cs="Simplified Arabic" w:hint="cs"/>
          <w:sz w:val="24"/>
          <w:szCs w:val="24"/>
          <w:rtl/>
        </w:rPr>
        <w:t>ال</w:t>
      </w:r>
      <w:r w:rsidR="004920A9" w:rsidRPr="0062340E">
        <w:rPr>
          <w:rFonts w:ascii="Simplified Arabic" w:hAnsi="Simplified Arabic" w:cs="Simplified Arabic" w:hint="cs"/>
          <w:sz w:val="24"/>
          <w:szCs w:val="24"/>
          <w:rtl/>
        </w:rPr>
        <w:t>شديد</w:t>
      </w:r>
      <w:r w:rsidRPr="0062340E">
        <w:rPr>
          <w:rFonts w:ascii="Simplified Arabic" w:hAnsi="Simplified Arabic" w:cs="Simplified Arabic" w:hint="cs"/>
          <w:sz w:val="24"/>
          <w:szCs w:val="24"/>
          <w:rtl/>
        </w:rPr>
        <w:t>ة</w:t>
      </w:r>
      <w:r w:rsidR="004920A9" w:rsidRPr="0062340E">
        <w:rPr>
          <w:rFonts w:ascii="Simplified Arabic" w:hAnsi="Simplified Arabic" w:cs="Simplified Arabic" w:hint="cs"/>
          <w:sz w:val="24"/>
          <w:szCs w:val="24"/>
          <w:rtl/>
        </w:rPr>
        <w:t xml:space="preserve"> و</w:t>
      </w:r>
      <w:r w:rsidRPr="0062340E">
        <w:rPr>
          <w:rFonts w:ascii="Simplified Arabic" w:hAnsi="Simplified Arabic" w:cs="Simplified Arabic" w:hint="cs"/>
          <w:sz w:val="24"/>
          <w:szCs w:val="24"/>
          <w:rtl/>
        </w:rPr>
        <w:t>ال</w:t>
      </w:r>
      <w:r w:rsidR="004920A9" w:rsidRPr="0062340E">
        <w:rPr>
          <w:rFonts w:ascii="Simplified Arabic" w:hAnsi="Simplified Arabic" w:cs="Simplified Arabic" w:hint="cs"/>
          <w:sz w:val="24"/>
          <w:szCs w:val="24"/>
          <w:rtl/>
        </w:rPr>
        <w:t>متواتر</w:t>
      </w:r>
      <w:r w:rsidRPr="0062340E">
        <w:rPr>
          <w:rFonts w:ascii="Simplified Arabic" w:hAnsi="Simplified Arabic" w:cs="Simplified Arabic" w:hint="cs"/>
          <w:sz w:val="24"/>
          <w:szCs w:val="24"/>
          <w:rtl/>
        </w:rPr>
        <w:t>ة</w:t>
      </w:r>
      <w:r w:rsidR="004920A9" w:rsidRPr="0062340E">
        <w:rPr>
          <w:rFonts w:ascii="Simplified Arabic" w:hAnsi="Simplified Arabic" w:cs="Simplified Arabic" w:hint="cs"/>
          <w:sz w:val="24"/>
          <w:szCs w:val="24"/>
          <w:rtl/>
        </w:rPr>
        <w:t xml:space="preserve"> </w:t>
      </w:r>
      <w:r w:rsidR="00934612" w:rsidRPr="0062340E">
        <w:rPr>
          <w:rFonts w:ascii="Simplified Arabic" w:hAnsi="Simplified Arabic" w:cs="Simplified Arabic" w:hint="cs"/>
          <w:sz w:val="24"/>
          <w:szCs w:val="24"/>
          <w:rtl/>
        </w:rPr>
        <w:t>ب</w:t>
      </w:r>
      <w:r w:rsidR="00DA45D2" w:rsidRPr="0062340E">
        <w:rPr>
          <w:rFonts w:ascii="Simplified Arabic" w:hAnsi="Simplified Arabic" w:cs="Simplified Arabic" w:hint="cs"/>
          <w:sz w:val="24"/>
          <w:szCs w:val="24"/>
          <w:rtl/>
        </w:rPr>
        <w:t xml:space="preserve">مدينة بوسعادة </w:t>
      </w:r>
      <w:r w:rsidR="003859B3" w:rsidRPr="0062340E">
        <w:rPr>
          <w:rFonts w:ascii="Simplified Arabic" w:hAnsi="Simplified Arabic" w:cs="Simplified Arabic" w:hint="cs"/>
          <w:sz w:val="24"/>
          <w:szCs w:val="24"/>
          <w:rtl/>
        </w:rPr>
        <w:t>منذ مطلع القرن الحالي</w:t>
      </w:r>
      <w:r w:rsidR="003057D7" w:rsidRPr="0062340E">
        <w:rPr>
          <w:rFonts w:ascii="Simplified Arabic" w:hAnsi="Simplified Arabic" w:cs="Simplified Arabic" w:hint="cs"/>
          <w:sz w:val="24"/>
          <w:szCs w:val="24"/>
          <w:rtl/>
        </w:rPr>
        <w:t xml:space="preserve">، </w:t>
      </w:r>
      <w:r w:rsidR="003916A7" w:rsidRPr="0062340E">
        <w:rPr>
          <w:rFonts w:ascii="Simplified Arabic" w:hAnsi="Simplified Arabic" w:cs="Simplified Arabic" w:hint="cs"/>
          <w:sz w:val="24"/>
          <w:szCs w:val="24"/>
          <w:rtl/>
        </w:rPr>
        <w:t>مثل</w:t>
      </w:r>
      <w:r w:rsidR="00A25425" w:rsidRPr="0062340E">
        <w:rPr>
          <w:rFonts w:ascii="Simplified Arabic" w:hAnsi="Simplified Arabic" w:cs="Simplified Arabic" w:hint="cs"/>
          <w:sz w:val="24"/>
          <w:szCs w:val="24"/>
          <w:rtl/>
        </w:rPr>
        <w:t xml:space="preserve"> التي </w:t>
      </w:r>
      <w:r w:rsidR="007F3B7E" w:rsidRPr="0062340E">
        <w:rPr>
          <w:rFonts w:ascii="Simplified Arabic" w:hAnsi="Simplified Arabic" w:cs="Simplified Arabic" w:hint="cs"/>
          <w:sz w:val="24"/>
          <w:szCs w:val="24"/>
          <w:rtl/>
        </w:rPr>
        <w:t>وقعت</w:t>
      </w:r>
      <w:r w:rsidR="00A25425" w:rsidRPr="0062340E">
        <w:rPr>
          <w:rFonts w:ascii="Simplified Arabic" w:hAnsi="Simplified Arabic" w:cs="Simplified Arabic" w:hint="cs"/>
          <w:sz w:val="24"/>
          <w:szCs w:val="24"/>
          <w:rtl/>
        </w:rPr>
        <w:t xml:space="preserve"> سنة</w:t>
      </w:r>
      <w:r w:rsidR="0038754B" w:rsidRPr="0062340E">
        <w:rPr>
          <w:rFonts w:ascii="Simplified Arabic" w:hAnsi="Simplified Arabic" w:cs="Simplified Arabic" w:hint="cs"/>
          <w:sz w:val="24"/>
          <w:szCs w:val="24"/>
          <w:rtl/>
        </w:rPr>
        <w:t xml:space="preserve"> 2007</w:t>
      </w:r>
      <w:r w:rsidR="00A25425" w:rsidRPr="0062340E">
        <w:rPr>
          <w:rFonts w:ascii="Simplified Arabic" w:hAnsi="Simplified Arabic" w:cs="Simplified Arabic" w:hint="cs"/>
          <w:sz w:val="24"/>
          <w:szCs w:val="24"/>
          <w:rtl/>
        </w:rPr>
        <w:t xml:space="preserve"> </w:t>
      </w:r>
      <w:r w:rsidR="0038754B" w:rsidRPr="0062340E">
        <w:rPr>
          <w:rFonts w:ascii="Simplified Arabic" w:hAnsi="Simplified Arabic" w:cs="Simplified Arabic" w:hint="cs"/>
          <w:sz w:val="24"/>
          <w:szCs w:val="24"/>
          <w:rtl/>
        </w:rPr>
        <w:t>و</w:t>
      </w:r>
      <w:r w:rsidR="00A25425" w:rsidRPr="0062340E">
        <w:rPr>
          <w:rFonts w:ascii="Simplified Arabic" w:hAnsi="Simplified Arabic" w:cs="Simplified Arabic" w:hint="cs"/>
          <w:sz w:val="24"/>
          <w:szCs w:val="24"/>
          <w:rtl/>
        </w:rPr>
        <w:t>2021</w:t>
      </w:r>
      <w:r w:rsidR="003916A7" w:rsidRPr="0062340E">
        <w:rPr>
          <w:rFonts w:ascii="Simplified Arabic" w:hAnsi="Simplified Arabic" w:cs="Simplified Arabic" w:hint="cs"/>
          <w:sz w:val="24"/>
          <w:szCs w:val="24"/>
          <w:rtl/>
        </w:rPr>
        <w:t>،</w:t>
      </w:r>
      <w:r w:rsidR="00A25425" w:rsidRPr="0062340E">
        <w:rPr>
          <w:rFonts w:ascii="Simplified Arabic" w:hAnsi="Simplified Arabic" w:cs="Simplified Arabic" w:hint="cs"/>
          <w:sz w:val="24"/>
          <w:szCs w:val="24"/>
          <w:rtl/>
        </w:rPr>
        <w:t xml:space="preserve"> </w:t>
      </w:r>
      <w:r w:rsidR="007F3B7E" w:rsidRPr="0062340E">
        <w:rPr>
          <w:rFonts w:ascii="Simplified Arabic" w:hAnsi="Simplified Arabic" w:cs="Simplified Arabic" w:hint="cs"/>
          <w:sz w:val="24"/>
          <w:szCs w:val="24"/>
          <w:rtl/>
        </w:rPr>
        <w:t>اظهرت</w:t>
      </w:r>
      <w:r w:rsidR="008E6F30" w:rsidRPr="0062340E">
        <w:rPr>
          <w:rFonts w:ascii="Simplified Arabic" w:hAnsi="Simplified Arabic" w:cs="Simplified Arabic" w:hint="cs"/>
          <w:sz w:val="24"/>
          <w:szCs w:val="24"/>
          <w:rtl/>
        </w:rPr>
        <w:t xml:space="preserve"> </w:t>
      </w:r>
      <w:r w:rsidR="00E3248B" w:rsidRPr="0062340E">
        <w:rPr>
          <w:rFonts w:ascii="Simplified Arabic" w:hAnsi="Simplified Arabic" w:cs="Simplified Arabic" w:hint="cs"/>
          <w:sz w:val="24"/>
          <w:szCs w:val="24"/>
          <w:rtl/>
        </w:rPr>
        <w:t>تفاوت</w:t>
      </w:r>
      <w:r w:rsidR="00EC7E25" w:rsidRPr="0062340E">
        <w:rPr>
          <w:rFonts w:ascii="Simplified Arabic" w:hAnsi="Simplified Arabic" w:cs="Simplified Arabic" w:hint="cs"/>
          <w:sz w:val="24"/>
          <w:szCs w:val="24"/>
          <w:rtl/>
        </w:rPr>
        <w:t>ًا</w:t>
      </w:r>
      <w:r w:rsidR="007F3B7E" w:rsidRPr="0062340E">
        <w:rPr>
          <w:rFonts w:ascii="Simplified Arabic" w:hAnsi="Simplified Arabic" w:cs="Simplified Arabic" w:hint="cs"/>
          <w:sz w:val="24"/>
          <w:szCs w:val="24"/>
          <w:rtl/>
        </w:rPr>
        <w:t xml:space="preserve"> في مستويات </w:t>
      </w:r>
      <w:r w:rsidR="00E3248B" w:rsidRPr="0062340E">
        <w:rPr>
          <w:rFonts w:ascii="Simplified Arabic" w:hAnsi="Simplified Arabic" w:cs="Simplified Arabic" w:hint="cs"/>
          <w:sz w:val="24"/>
          <w:szCs w:val="24"/>
          <w:rtl/>
        </w:rPr>
        <w:t>أداء</w:t>
      </w:r>
      <w:r w:rsidR="00E3248B" w:rsidRPr="0062340E">
        <w:rPr>
          <w:rFonts w:ascii="Simplified Arabic" w:hAnsi="Simplified Arabic" w:cs="Simplified Arabic"/>
          <w:sz w:val="24"/>
          <w:szCs w:val="24"/>
          <w:rtl/>
        </w:rPr>
        <w:t xml:space="preserve"> </w:t>
      </w:r>
      <w:r w:rsidR="00E3248B" w:rsidRPr="0062340E">
        <w:rPr>
          <w:rFonts w:ascii="Simplified Arabic" w:hAnsi="Simplified Arabic" w:cs="Simplified Arabic" w:hint="cs"/>
          <w:sz w:val="24"/>
          <w:szCs w:val="24"/>
          <w:rtl/>
        </w:rPr>
        <w:t>المدينة</w:t>
      </w:r>
      <w:r w:rsidR="00E3248B" w:rsidRPr="0062340E">
        <w:rPr>
          <w:rFonts w:ascii="Simplified Arabic" w:hAnsi="Simplified Arabic" w:cs="Simplified Arabic"/>
          <w:sz w:val="24"/>
          <w:szCs w:val="24"/>
          <w:rtl/>
        </w:rPr>
        <w:t xml:space="preserve"> </w:t>
      </w:r>
      <w:r w:rsidR="00E3248B" w:rsidRPr="0062340E">
        <w:rPr>
          <w:rFonts w:ascii="Simplified Arabic" w:hAnsi="Simplified Arabic" w:cs="Simplified Arabic" w:hint="cs"/>
          <w:sz w:val="24"/>
          <w:szCs w:val="24"/>
          <w:rtl/>
        </w:rPr>
        <w:t>فيما</w:t>
      </w:r>
      <w:r w:rsidR="00E3248B" w:rsidRPr="0062340E">
        <w:rPr>
          <w:rFonts w:ascii="Simplified Arabic" w:hAnsi="Simplified Arabic" w:cs="Simplified Arabic"/>
          <w:sz w:val="24"/>
          <w:szCs w:val="24"/>
          <w:rtl/>
        </w:rPr>
        <w:t xml:space="preserve"> </w:t>
      </w:r>
      <w:r w:rsidR="00E3248B" w:rsidRPr="0062340E">
        <w:rPr>
          <w:rFonts w:ascii="Simplified Arabic" w:hAnsi="Simplified Arabic" w:cs="Simplified Arabic" w:hint="cs"/>
          <w:sz w:val="24"/>
          <w:szCs w:val="24"/>
          <w:rtl/>
        </w:rPr>
        <w:t>يتعلق</w:t>
      </w:r>
      <w:r w:rsidR="00E3248B" w:rsidRPr="0062340E">
        <w:rPr>
          <w:rFonts w:ascii="Simplified Arabic" w:hAnsi="Simplified Arabic" w:cs="Simplified Arabic"/>
          <w:sz w:val="24"/>
          <w:szCs w:val="24"/>
          <w:rtl/>
        </w:rPr>
        <w:t xml:space="preserve"> </w:t>
      </w:r>
      <w:r w:rsidR="00E3248B" w:rsidRPr="0062340E">
        <w:rPr>
          <w:rFonts w:ascii="Simplified Arabic" w:hAnsi="Simplified Arabic" w:cs="Simplified Arabic" w:hint="cs"/>
          <w:sz w:val="24"/>
          <w:szCs w:val="24"/>
          <w:rtl/>
        </w:rPr>
        <w:t>ب</w:t>
      </w:r>
      <w:r w:rsidR="007F3B7E" w:rsidRPr="0062340E">
        <w:rPr>
          <w:rFonts w:ascii="Simplified Arabic" w:hAnsi="Simplified Arabic" w:cs="Simplified Arabic" w:hint="cs"/>
          <w:sz w:val="24"/>
          <w:szCs w:val="24"/>
          <w:rtl/>
        </w:rPr>
        <w:t>مرون</w:t>
      </w:r>
      <w:r w:rsidR="00D20065" w:rsidRPr="0062340E">
        <w:rPr>
          <w:rFonts w:ascii="Simplified Arabic" w:hAnsi="Simplified Arabic" w:cs="Simplified Arabic" w:hint="cs"/>
          <w:sz w:val="24"/>
          <w:szCs w:val="24"/>
          <w:rtl/>
        </w:rPr>
        <w:t>تها</w:t>
      </w:r>
      <w:r w:rsidR="007F3B7E" w:rsidRPr="0062340E">
        <w:rPr>
          <w:rFonts w:ascii="Simplified Arabic" w:hAnsi="Simplified Arabic" w:cs="Simplified Arabic" w:hint="cs"/>
          <w:sz w:val="24"/>
          <w:szCs w:val="24"/>
          <w:rtl/>
        </w:rPr>
        <w:t xml:space="preserve"> الحضرية بسبب</w:t>
      </w:r>
      <w:r w:rsidR="0038754B" w:rsidRPr="0062340E">
        <w:rPr>
          <w:rFonts w:ascii="Simplified Arabic" w:hAnsi="Simplified Arabic" w:cs="Simplified Arabic" w:hint="cs"/>
          <w:sz w:val="24"/>
          <w:szCs w:val="24"/>
          <w:rtl/>
        </w:rPr>
        <w:t xml:space="preserve"> ان</w:t>
      </w:r>
      <w:r w:rsidR="004C5E34" w:rsidRPr="0062340E">
        <w:rPr>
          <w:rFonts w:ascii="Simplified Arabic" w:hAnsi="Simplified Arabic" w:cs="Simplified Arabic" w:hint="cs"/>
          <w:sz w:val="24"/>
          <w:szCs w:val="24"/>
          <w:rtl/>
        </w:rPr>
        <w:t>:</w:t>
      </w:r>
    </w:p>
    <w:p w:rsidR="004C5E34" w:rsidRPr="0062340E" w:rsidRDefault="008F2978" w:rsidP="001D0548">
      <w:pPr>
        <w:pStyle w:val="Paragraphedeliste"/>
        <w:numPr>
          <w:ilvl w:val="0"/>
          <w:numId w:val="189"/>
        </w:numPr>
        <w:tabs>
          <w:tab w:val="left" w:pos="283"/>
        </w:tabs>
        <w:bidi/>
        <w:spacing w:after="0"/>
        <w:ind w:left="0" w:firstLine="0"/>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فئات </w:t>
      </w:r>
      <w:r w:rsidR="007F3B7E" w:rsidRPr="0062340E">
        <w:rPr>
          <w:rFonts w:ascii="Simplified Arabic" w:hAnsi="Simplified Arabic" w:cs="Simplified Arabic" w:hint="cs"/>
          <w:sz w:val="24"/>
          <w:szCs w:val="24"/>
          <w:rtl/>
        </w:rPr>
        <w:t>ال</w:t>
      </w:r>
      <w:r w:rsidRPr="0062340E">
        <w:rPr>
          <w:rFonts w:ascii="Simplified Arabic" w:hAnsi="Simplified Arabic" w:cs="Simplified Arabic" w:hint="cs"/>
          <w:sz w:val="24"/>
          <w:szCs w:val="24"/>
          <w:rtl/>
        </w:rPr>
        <w:t xml:space="preserve">انسجة </w:t>
      </w:r>
      <w:r w:rsidR="007F3B7E" w:rsidRPr="0062340E">
        <w:rPr>
          <w:rFonts w:ascii="Simplified Arabic" w:hAnsi="Simplified Arabic" w:cs="Simplified Arabic" w:hint="cs"/>
          <w:sz w:val="24"/>
          <w:szCs w:val="24"/>
          <w:rtl/>
        </w:rPr>
        <w:t>ال</w:t>
      </w:r>
      <w:r w:rsidRPr="0062340E">
        <w:rPr>
          <w:rFonts w:ascii="Simplified Arabic" w:hAnsi="Simplified Arabic" w:cs="Simplified Arabic" w:hint="cs"/>
          <w:sz w:val="24"/>
          <w:szCs w:val="24"/>
          <w:rtl/>
        </w:rPr>
        <w:t>حضرية</w:t>
      </w:r>
      <w:r w:rsidRPr="0062340E">
        <w:rPr>
          <w:rFonts w:ascii="Simplified Arabic" w:hAnsi="Simplified Arabic" w:cs="Simplified Arabic"/>
          <w:sz w:val="24"/>
          <w:szCs w:val="24"/>
          <w:rtl/>
        </w:rPr>
        <w:t xml:space="preserve"> </w:t>
      </w:r>
      <w:r w:rsidR="00A25425" w:rsidRPr="0062340E">
        <w:rPr>
          <w:rFonts w:ascii="Simplified Arabic" w:eastAsia="Times New Roman" w:hAnsi="Simplified Arabic" w:cs="Simplified Arabic" w:hint="cs"/>
          <w:b/>
          <w:color w:val="000000" w:themeColor="text1"/>
          <w:sz w:val="24"/>
          <w:szCs w:val="24"/>
          <w:rtl/>
          <w:lang w:eastAsia="fr-FR"/>
        </w:rPr>
        <w:t xml:space="preserve">غير المخططة او حتى مسبقة التخطيط </w:t>
      </w:r>
      <w:r w:rsidR="00E05A47" w:rsidRPr="0062340E">
        <w:rPr>
          <w:rFonts w:ascii="Simplified Arabic" w:eastAsia="Times New Roman" w:hAnsi="Simplified Arabic" w:cs="Simplified Arabic" w:hint="cs"/>
          <w:b/>
          <w:color w:val="000000" w:themeColor="text1"/>
          <w:sz w:val="24"/>
          <w:szCs w:val="24"/>
          <w:rtl/>
          <w:lang w:eastAsia="fr-FR"/>
        </w:rPr>
        <w:t>لا</w:t>
      </w:r>
      <w:r w:rsidR="00E05A47" w:rsidRPr="0062340E">
        <w:rPr>
          <w:rFonts w:ascii="Simplified Arabic" w:eastAsia="Times New Roman" w:hAnsi="Simplified Arabic" w:cs="Simplified Arabic"/>
          <w:b/>
          <w:color w:val="000000" w:themeColor="text1"/>
          <w:sz w:val="24"/>
          <w:szCs w:val="24"/>
          <w:rtl/>
          <w:lang w:eastAsia="fr-FR"/>
        </w:rPr>
        <w:t xml:space="preserve"> </w:t>
      </w:r>
      <w:r w:rsidR="00E05A47" w:rsidRPr="0062340E">
        <w:rPr>
          <w:rFonts w:ascii="Simplified Arabic" w:eastAsia="Times New Roman" w:hAnsi="Simplified Arabic" w:cs="Simplified Arabic" w:hint="cs"/>
          <w:b/>
          <w:color w:val="000000" w:themeColor="text1"/>
          <w:sz w:val="24"/>
          <w:szCs w:val="24"/>
          <w:rtl/>
          <w:lang w:eastAsia="fr-FR"/>
        </w:rPr>
        <w:t>تستفيد</w:t>
      </w:r>
      <w:r w:rsidR="00E05A47" w:rsidRPr="0062340E">
        <w:rPr>
          <w:rFonts w:ascii="Simplified Arabic" w:eastAsia="Times New Roman" w:hAnsi="Simplified Arabic" w:cs="Simplified Arabic"/>
          <w:b/>
          <w:color w:val="000000" w:themeColor="text1"/>
          <w:sz w:val="24"/>
          <w:szCs w:val="24"/>
          <w:rtl/>
          <w:lang w:eastAsia="fr-FR"/>
        </w:rPr>
        <w:t xml:space="preserve"> </w:t>
      </w:r>
      <w:r w:rsidR="00E05A47" w:rsidRPr="0062340E">
        <w:rPr>
          <w:rFonts w:ascii="Simplified Arabic" w:eastAsia="Times New Roman" w:hAnsi="Simplified Arabic" w:cs="Simplified Arabic" w:hint="cs"/>
          <w:b/>
          <w:color w:val="000000" w:themeColor="text1"/>
          <w:sz w:val="24"/>
          <w:szCs w:val="24"/>
          <w:rtl/>
          <w:lang w:eastAsia="fr-FR"/>
        </w:rPr>
        <w:t>من</w:t>
      </w:r>
      <w:r w:rsidR="00E05A47" w:rsidRPr="0062340E">
        <w:rPr>
          <w:rFonts w:ascii="Simplified Arabic" w:eastAsia="Times New Roman" w:hAnsi="Simplified Arabic" w:cs="Simplified Arabic"/>
          <w:b/>
          <w:color w:val="000000" w:themeColor="text1"/>
          <w:sz w:val="24"/>
          <w:szCs w:val="24"/>
          <w:rtl/>
          <w:lang w:eastAsia="fr-FR"/>
        </w:rPr>
        <w:t xml:space="preserve"> </w:t>
      </w:r>
      <w:r w:rsidR="00DD1AA9" w:rsidRPr="0062340E">
        <w:rPr>
          <w:rFonts w:ascii="Simplified Arabic" w:eastAsia="Times New Roman" w:hAnsi="Simplified Arabic" w:cs="Simplified Arabic" w:hint="cs"/>
          <w:b/>
          <w:color w:val="000000" w:themeColor="text1"/>
          <w:sz w:val="24"/>
          <w:szCs w:val="24"/>
          <w:rtl/>
          <w:lang w:eastAsia="fr-FR"/>
        </w:rPr>
        <w:t xml:space="preserve">خدمات </w:t>
      </w:r>
      <w:r w:rsidR="00E05A47" w:rsidRPr="0062340E">
        <w:rPr>
          <w:rFonts w:ascii="Simplified Arabic" w:hAnsi="Simplified Arabic" w:cs="Simplified Arabic" w:hint="cs"/>
          <w:color w:val="000000"/>
          <w:sz w:val="24"/>
          <w:szCs w:val="24"/>
          <w:rtl/>
        </w:rPr>
        <w:t>المرافق</w:t>
      </w:r>
      <w:r w:rsidR="00E05A47" w:rsidRPr="0062340E">
        <w:rPr>
          <w:rFonts w:ascii="Simplified Arabic" w:eastAsia="Times New Roman" w:hAnsi="Simplified Arabic" w:cs="Simplified Arabic" w:hint="cs"/>
          <w:b/>
          <w:color w:val="000000" w:themeColor="text1"/>
          <w:sz w:val="24"/>
          <w:szCs w:val="24"/>
          <w:rtl/>
          <w:lang w:eastAsia="fr-FR"/>
        </w:rPr>
        <w:t xml:space="preserve"> الأساسية</w:t>
      </w:r>
      <w:r w:rsidR="00E05A47" w:rsidRPr="0062340E">
        <w:rPr>
          <w:rFonts w:ascii="Simplified Arabic" w:eastAsia="Times New Roman" w:hAnsi="Simplified Arabic" w:cs="Simplified Arabic"/>
          <w:b/>
          <w:color w:val="000000" w:themeColor="text1"/>
          <w:sz w:val="24"/>
          <w:szCs w:val="24"/>
          <w:rtl/>
          <w:lang w:eastAsia="fr-FR"/>
        </w:rPr>
        <w:t xml:space="preserve"> </w:t>
      </w:r>
      <w:r w:rsidR="00E05A47" w:rsidRPr="0062340E">
        <w:rPr>
          <w:rFonts w:ascii="Simplified Arabic" w:eastAsia="Times New Roman" w:hAnsi="Simplified Arabic" w:cs="Simplified Arabic" w:hint="cs"/>
          <w:b/>
          <w:color w:val="000000" w:themeColor="text1"/>
          <w:sz w:val="24"/>
          <w:szCs w:val="24"/>
          <w:rtl/>
          <w:lang w:eastAsia="fr-FR"/>
        </w:rPr>
        <w:t>الكافية</w:t>
      </w:r>
      <w:r w:rsidR="00A25425" w:rsidRPr="0062340E">
        <w:rPr>
          <w:rFonts w:ascii="Simplified Arabic" w:eastAsia="Times New Roman" w:hAnsi="Simplified Arabic" w:cs="Simplified Arabic" w:hint="cs"/>
          <w:b/>
          <w:color w:val="000000" w:themeColor="text1"/>
          <w:sz w:val="24"/>
          <w:szCs w:val="24"/>
          <w:rtl/>
          <w:lang w:eastAsia="fr-FR"/>
        </w:rPr>
        <w:t xml:space="preserve"> </w:t>
      </w:r>
      <w:r w:rsidR="003916A7" w:rsidRPr="0062340E">
        <w:rPr>
          <w:rFonts w:ascii="Simplified Arabic" w:eastAsia="Times New Roman" w:hAnsi="Simplified Arabic" w:cs="Simplified Arabic" w:hint="cs"/>
          <w:b/>
          <w:color w:val="000000" w:themeColor="text1"/>
          <w:sz w:val="24"/>
          <w:szCs w:val="24"/>
          <w:rtl/>
          <w:lang w:eastAsia="fr-FR"/>
        </w:rPr>
        <w:t xml:space="preserve">للتكفل بالأشخاص المتضررين من الفيضانات، </w:t>
      </w:r>
      <w:r w:rsidR="00A25425" w:rsidRPr="0062340E">
        <w:rPr>
          <w:rFonts w:ascii="Simplified Arabic" w:eastAsia="Times New Roman" w:hAnsi="Simplified Arabic" w:cs="Simplified Arabic" w:hint="cs"/>
          <w:b/>
          <w:color w:val="000000" w:themeColor="text1"/>
          <w:sz w:val="24"/>
          <w:szCs w:val="24"/>
          <w:rtl/>
          <w:lang w:eastAsia="fr-FR"/>
        </w:rPr>
        <w:t xml:space="preserve">مثل مراكز الصحة والامن والاجلاء والانقاذ </w:t>
      </w:r>
      <w:r w:rsidR="003916A7" w:rsidRPr="0062340E">
        <w:rPr>
          <w:rFonts w:ascii="Simplified Arabic" w:eastAsia="Times New Roman" w:hAnsi="Simplified Arabic" w:cs="Simplified Arabic" w:hint="cs"/>
          <w:b/>
          <w:color w:val="000000" w:themeColor="text1"/>
          <w:sz w:val="24"/>
          <w:szCs w:val="24"/>
          <w:rtl/>
          <w:lang w:eastAsia="fr-FR"/>
        </w:rPr>
        <w:t>والايواء</w:t>
      </w:r>
      <w:r w:rsidR="00A25425" w:rsidRPr="0062340E">
        <w:rPr>
          <w:rFonts w:ascii="Simplified Arabic" w:eastAsia="Times New Roman" w:hAnsi="Simplified Arabic" w:cs="Simplified Arabic" w:hint="cs"/>
          <w:b/>
          <w:color w:val="000000" w:themeColor="text1"/>
          <w:sz w:val="24"/>
          <w:szCs w:val="24"/>
          <w:rtl/>
          <w:lang w:eastAsia="fr-FR"/>
        </w:rPr>
        <w:t>.</w:t>
      </w:r>
    </w:p>
    <w:p w:rsidR="009C3CC0" w:rsidRPr="0062340E" w:rsidRDefault="008E6F30" w:rsidP="001D0548">
      <w:pPr>
        <w:pStyle w:val="Paragraphedeliste"/>
        <w:numPr>
          <w:ilvl w:val="0"/>
          <w:numId w:val="189"/>
        </w:numPr>
        <w:tabs>
          <w:tab w:val="right" w:pos="283"/>
        </w:tabs>
        <w:bidi/>
        <w:spacing w:after="0"/>
        <w:ind w:left="0" w:firstLine="0"/>
        <w:jc w:val="both"/>
        <w:rPr>
          <w:rFonts w:ascii="Simplified Arabic" w:hAnsi="Simplified Arabic" w:cs="Simplified Arabic"/>
          <w:sz w:val="24"/>
          <w:szCs w:val="24"/>
          <w:lang w:val="en-US"/>
        </w:rPr>
      </w:pPr>
      <w:r w:rsidRPr="0062340E">
        <w:rPr>
          <w:rFonts w:ascii="Simplified Arabic" w:hAnsi="Simplified Arabic" w:cs="Simplified Arabic" w:hint="cs"/>
          <w:sz w:val="24"/>
          <w:szCs w:val="24"/>
          <w:rtl/>
        </w:rPr>
        <w:t xml:space="preserve">هناك </w:t>
      </w:r>
      <w:r w:rsidR="008F2978" w:rsidRPr="0062340E">
        <w:rPr>
          <w:rFonts w:ascii="Simplified Arabic" w:hAnsi="Simplified Arabic" w:cs="Simplified Arabic" w:hint="cs"/>
          <w:sz w:val="24"/>
          <w:szCs w:val="24"/>
          <w:rtl/>
        </w:rPr>
        <w:t>فئات انسجة حضرية</w:t>
      </w:r>
      <w:r w:rsidR="008F2978" w:rsidRPr="0062340E">
        <w:rPr>
          <w:rFonts w:ascii="Simplified Arabic" w:hAnsi="Simplified Arabic" w:cs="Simplified Arabic"/>
          <w:sz w:val="24"/>
          <w:szCs w:val="24"/>
          <w:rtl/>
        </w:rPr>
        <w:t xml:space="preserve"> </w:t>
      </w:r>
      <w:r w:rsidR="008F2978" w:rsidRPr="0062340E">
        <w:rPr>
          <w:rFonts w:ascii="Simplified Arabic" w:hAnsi="Simplified Arabic" w:cs="Simplified Arabic" w:hint="cs"/>
          <w:sz w:val="24"/>
          <w:szCs w:val="24"/>
          <w:rtl/>
        </w:rPr>
        <w:t xml:space="preserve">هيكلها </w:t>
      </w:r>
      <w:r w:rsidRPr="0062340E">
        <w:rPr>
          <w:rFonts w:ascii="Simplified Arabic" w:hAnsi="Simplified Arabic" w:cs="Simplified Arabic" w:hint="cs"/>
          <w:sz w:val="24"/>
          <w:szCs w:val="24"/>
          <w:rtl/>
          <w:lang w:val="en-US"/>
        </w:rPr>
        <w:t>غير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منتظم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تخدمه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شبكة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الطرق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الشوارع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والأزقة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والطرق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المسدودة</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w:t>
      </w:r>
      <w:r w:rsidRPr="0062340E">
        <w:rPr>
          <w:rFonts w:ascii="Simplified Arabic" w:hAnsi="Simplified Arabic" w:cs="Simplified Arabic" w:hint="cs"/>
          <w:sz w:val="24"/>
          <w:szCs w:val="24"/>
          <w:rtl/>
        </w:rPr>
        <w:t xml:space="preserve">لا تمنح سهولة وصول بالقدر الكافي، بسبب ضيق </w:t>
      </w:r>
      <w:r w:rsidRPr="0062340E">
        <w:rPr>
          <w:rFonts w:ascii="Simplified Arabic" w:hAnsi="Simplified Arabic" w:cs="Simplified Arabic" w:hint="cs"/>
          <w:sz w:val="24"/>
          <w:szCs w:val="24"/>
          <w:rtl/>
          <w:lang w:val="en-US"/>
        </w:rPr>
        <w:t>شبكة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الطرق </w:t>
      </w:r>
      <w:r w:rsidRPr="0062340E">
        <w:rPr>
          <w:rFonts w:ascii="Simplified Arabic" w:hAnsi="Simplified Arabic" w:cs="Simplified Arabic" w:hint="cs"/>
          <w:sz w:val="24"/>
          <w:szCs w:val="24"/>
          <w:rtl/>
        </w:rPr>
        <w:t>ومحدودية استيعابها</w:t>
      </w:r>
      <w:r w:rsidR="00294ADA" w:rsidRPr="0062340E">
        <w:rPr>
          <w:rFonts w:ascii="Simplified Arabic" w:hAnsi="Simplified Arabic" w:cs="Simplified Arabic" w:hint="cs"/>
          <w:sz w:val="24"/>
          <w:szCs w:val="24"/>
          <w:rtl/>
        </w:rPr>
        <w:t xml:space="preserve"> وقلة تقاطعات الطرق</w:t>
      </w:r>
      <w:r w:rsidRPr="0062340E">
        <w:rPr>
          <w:rFonts w:ascii="Simplified Arabic" w:hAnsi="Simplified Arabic" w:cs="Simplified Arabic" w:hint="cs"/>
          <w:sz w:val="24"/>
          <w:szCs w:val="24"/>
          <w:rtl/>
        </w:rPr>
        <w:t>،</w:t>
      </w:r>
      <w:r w:rsidRPr="0062340E">
        <w:rPr>
          <w:rFonts w:ascii="Simplified Arabic" w:hAnsi="Simplified Arabic" w:cs="Simplified Arabic" w:hint="cs"/>
          <w:sz w:val="24"/>
          <w:szCs w:val="24"/>
          <w:rtl/>
          <w:lang w:val="en-US"/>
        </w:rPr>
        <w:t xml:space="preserve"> مما ي</w:t>
      </w:r>
      <w:r w:rsidRPr="0062340E">
        <w:rPr>
          <w:rFonts w:ascii="Simplified Arabic" w:hAnsi="Simplified Arabic" w:cs="Simplified Arabic" w:hint="cs"/>
          <w:sz w:val="24"/>
          <w:szCs w:val="24"/>
          <w:rtl/>
        </w:rPr>
        <w:t>قلل من امكانية الوصول الى مختلف الوجهات و</w:t>
      </w:r>
      <w:r w:rsidR="00294ADA" w:rsidRPr="0062340E">
        <w:rPr>
          <w:rFonts w:ascii="Simplified Arabic" w:hAnsi="Simplified Arabic" w:cs="Simplified Arabic" w:hint="cs"/>
          <w:sz w:val="24"/>
          <w:szCs w:val="24"/>
          <w:rtl/>
        </w:rPr>
        <w:t>ي</w:t>
      </w:r>
      <w:r w:rsidRPr="0062340E">
        <w:rPr>
          <w:rFonts w:ascii="Simplified Arabic" w:hAnsi="Simplified Arabic" w:cs="Simplified Arabic" w:hint="cs"/>
          <w:sz w:val="24"/>
          <w:szCs w:val="24"/>
          <w:rtl/>
        </w:rPr>
        <w:t>ضعف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عملية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الاجلاء والانقاذ حتى أثناء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الحالات العادية.</w:t>
      </w:r>
      <w:r w:rsidR="00DD1AA9" w:rsidRPr="0062340E">
        <w:rPr>
          <w:rFonts w:ascii="Simplified Arabic" w:hAnsi="Simplified Arabic" w:cs="Simplified Arabic" w:hint="cs"/>
          <w:sz w:val="24"/>
          <w:szCs w:val="24"/>
          <w:rtl/>
        </w:rPr>
        <w:t xml:space="preserve"> </w:t>
      </w:r>
    </w:p>
    <w:p w:rsidR="00735CBB" w:rsidRPr="0062340E" w:rsidRDefault="008E6F30" w:rsidP="001D0548">
      <w:pPr>
        <w:pStyle w:val="Paragraphedeliste"/>
        <w:widowControl w:val="0"/>
        <w:numPr>
          <w:ilvl w:val="0"/>
          <w:numId w:val="189"/>
        </w:numPr>
        <w:tabs>
          <w:tab w:val="right" w:pos="283"/>
        </w:tabs>
        <w:autoSpaceDE w:val="0"/>
        <w:autoSpaceDN w:val="0"/>
        <w:bidi/>
        <w:adjustRightInd w:val="0"/>
        <w:spacing w:after="0"/>
        <w:ind w:left="-1" w:firstLine="1"/>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التوزيع المكاني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لكثافة البناء العالية </w:t>
      </w:r>
      <w:r w:rsidR="008F2978" w:rsidRPr="0062340E">
        <w:rPr>
          <w:rFonts w:ascii="Simplified Arabic" w:hAnsi="Simplified Arabic" w:cs="Simplified Arabic" w:hint="cs"/>
          <w:color w:val="000000" w:themeColor="text1"/>
          <w:sz w:val="24"/>
          <w:szCs w:val="24"/>
          <w:rtl/>
          <w:lang w:bidi="ar-DZ"/>
        </w:rPr>
        <w:t xml:space="preserve">(الاطار المبني وغير المبني) </w:t>
      </w:r>
      <w:r w:rsidRPr="0062340E">
        <w:rPr>
          <w:rFonts w:ascii="Simplified Arabic" w:hAnsi="Simplified Arabic" w:cs="Simplified Arabic" w:hint="cs"/>
          <w:sz w:val="24"/>
          <w:szCs w:val="24"/>
          <w:rtl/>
        </w:rPr>
        <w:t>عبر فئ</w:t>
      </w:r>
      <w:r w:rsidR="008F2978" w:rsidRPr="0062340E">
        <w:rPr>
          <w:rFonts w:ascii="Simplified Arabic" w:hAnsi="Simplified Arabic" w:cs="Simplified Arabic" w:hint="cs"/>
          <w:sz w:val="24"/>
          <w:szCs w:val="24"/>
          <w:rtl/>
        </w:rPr>
        <w:t>ات</w:t>
      </w:r>
      <w:r w:rsidRPr="0062340E">
        <w:rPr>
          <w:rFonts w:ascii="Simplified Arabic" w:hAnsi="Simplified Arabic" w:cs="Simplified Arabic" w:hint="cs"/>
          <w:sz w:val="24"/>
          <w:szCs w:val="24"/>
          <w:rtl/>
        </w:rPr>
        <w:t xml:space="preserve"> الانسجة الحضرية، </w:t>
      </w:r>
      <w:r w:rsidR="00CA388B" w:rsidRPr="0062340E">
        <w:rPr>
          <w:rFonts w:ascii="Simplified Arabic" w:hAnsi="Simplified Arabic" w:cs="Simplified Arabic" w:hint="cs"/>
          <w:sz w:val="24"/>
          <w:szCs w:val="24"/>
          <w:rtl/>
        </w:rPr>
        <w:t>ادت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تعقيد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خدمات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w:t>
      </w:r>
      <w:r w:rsidRPr="0062340E">
        <w:rPr>
          <w:rFonts w:ascii="Simplified Arabic" w:hAnsi="Simplified Arabic" w:cs="Simplified Arabic" w:hint="cs"/>
          <w:color w:val="000000" w:themeColor="text1"/>
          <w:sz w:val="24"/>
          <w:szCs w:val="24"/>
          <w:rtl/>
          <w:lang w:bidi="ar-DZ"/>
        </w:rPr>
        <w:t xml:space="preserve">جلاء وانقاذ المصابين </w:t>
      </w:r>
      <w:r w:rsidR="009F3BED" w:rsidRPr="0062340E">
        <w:rPr>
          <w:rFonts w:ascii="Simplified Arabic" w:hAnsi="Simplified Arabic" w:cs="Simplified Arabic"/>
          <w:sz w:val="24"/>
          <w:szCs w:val="24"/>
          <w:rtl/>
        </w:rPr>
        <w:t xml:space="preserve">في حالة </w:t>
      </w:r>
      <w:r w:rsidR="009F3BED" w:rsidRPr="0062340E">
        <w:rPr>
          <w:rFonts w:ascii="Simplified Arabic" w:hAnsi="Simplified Arabic" w:cs="Simplified Arabic" w:hint="cs"/>
          <w:color w:val="000000" w:themeColor="text1"/>
          <w:sz w:val="24"/>
          <w:szCs w:val="24"/>
          <w:rtl/>
          <w:lang w:bidi="ar-DZ"/>
        </w:rPr>
        <w:t>وقوع</w:t>
      </w:r>
      <w:r w:rsidR="009F3BED" w:rsidRPr="0062340E">
        <w:rPr>
          <w:rFonts w:ascii="Simplified Arabic" w:hAnsi="Simplified Arabic" w:cs="Simplified Arabic"/>
          <w:color w:val="000000" w:themeColor="text1"/>
          <w:sz w:val="24"/>
          <w:szCs w:val="24"/>
          <w:rtl/>
          <w:lang w:bidi="ar-DZ"/>
        </w:rPr>
        <w:t xml:space="preserve"> </w:t>
      </w:r>
      <w:r w:rsidR="009F3BED" w:rsidRPr="0062340E">
        <w:rPr>
          <w:rFonts w:ascii="Simplified Arabic" w:hAnsi="Simplified Arabic" w:cs="Simplified Arabic"/>
          <w:sz w:val="24"/>
          <w:szCs w:val="24"/>
          <w:rtl/>
        </w:rPr>
        <w:t>الفيضانات</w:t>
      </w:r>
      <w:r w:rsidR="009F3BED" w:rsidRPr="0062340E">
        <w:rPr>
          <w:rFonts w:ascii="Simplified Arabic" w:hAnsi="Simplified Arabic" w:cs="Simplified Arabic" w:hint="cs"/>
          <w:sz w:val="24"/>
          <w:szCs w:val="24"/>
          <w:rtl/>
        </w:rPr>
        <w:t xml:space="preserve"> </w:t>
      </w:r>
      <w:r w:rsidRPr="0062340E">
        <w:rPr>
          <w:rFonts w:ascii="Simplified Arabic" w:hAnsi="Simplified Arabic" w:cs="Simplified Arabic" w:hint="cs"/>
          <w:sz w:val="24"/>
          <w:szCs w:val="24"/>
          <w:rtl/>
        </w:rPr>
        <w:t>بسبب</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احتلال</w:t>
      </w:r>
      <w:r w:rsidRPr="0062340E">
        <w:rPr>
          <w:rFonts w:ascii="Simplified Arabic" w:hAnsi="Simplified Arabic" w:cs="Simplified Arabic"/>
          <w:sz w:val="24"/>
          <w:szCs w:val="24"/>
          <w:rtl/>
        </w:rPr>
        <w:t xml:space="preserve"> </w:t>
      </w:r>
      <w:r w:rsidR="00CA388B" w:rsidRPr="0062340E">
        <w:rPr>
          <w:rFonts w:ascii="Simplified Arabic" w:hAnsi="Simplified Arabic" w:cs="Simplified Arabic" w:hint="cs"/>
          <w:sz w:val="24"/>
          <w:szCs w:val="24"/>
          <w:rtl/>
        </w:rPr>
        <w:t xml:space="preserve">البناء </w:t>
      </w:r>
      <w:r w:rsidRPr="0062340E">
        <w:rPr>
          <w:rFonts w:ascii="Simplified Arabic" w:hAnsi="Simplified Arabic" w:cs="Simplified Arabic" w:hint="cs"/>
          <w:sz w:val="24"/>
          <w:szCs w:val="24"/>
          <w:rtl/>
        </w:rPr>
        <w:t>المفرط</w:t>
      </w:r>
      <w:r w:rsidRPr="0062340E">
        <w:rPr>
          <w:rFonts w:ascii="Simplified Arabic" w:hAnsi="Simplified Arabic" w:cs="Simplified Arabic"/>
          <w:sz w:val="24"/>
          <w:szCs w:val="24"/>
          <w:rtl/>
        </w:rPr>
        <w:t xml:space="preserve"> </w:t>
      </w:r>
      <w:r w:rsidR="00CA388B" w:rsidRPr="0062340E">
        <w:rPr>
          <w:rFonts w:ascii="Simplified Arabic" w:hAnsi="Simplified Arabic" w:cs="Simplified Arabic" w:hint="cs"/>
          <w:sz w:val="24"/>
          <w:szCs w:val="24"/>
          <w:rtl/>
        </w:rPr>
        <w:t>للاماكن</w:t>
      </w:r>
      <w:r w:rsidRPr="0062340E">
        <w:rPr>
          <w:rFonts w:ascii="Simplified Arabic" w:hAnsi="Simplified Arabic" w:cs="Simplified Arabic" w:hint="cs"/>
          <w:sz w:val="24"/>
          <w:szCs w:val="24"/>
          <w:rtl/>
        </w:rPr>
        <w:t>.</w:t>
      </w:r>
      <w:r w:rsidR="008F2978" w:rsidRPr="0062340E">
        <w:rPr>
          <w:rFonts w:ascii="Simplified Arabic" w:hAnsi="Simplified Arabic" w:cs="Simplified Arabic" w:hint="cs"/>
          <w:sz w:val="24"/>
          <w:szCs w:val="24"/>
          <w:rtl/>
        </w:rPr>
        <w:t xml:space="preserve"> </w:t>
      </w:r>
    </w:p>
    <w:p w:rsidR="00111B6F" w:rsidRPr="0062340E" w:rsidRDefault="004C5E34" w:rsidP="00370032">
      <w:pPr>
        <w:tabs>
          <w:tab w:val="right" w:pos="281"/>
          <w:tab w:val="left" w:pos="4305"/>
        </w:tabs>
        <w:bidi/>
        <w:spacing w:before="240"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يكمن المشكل الرئيسي في </w:t>
      </w:r>
      <w:r w:rsidR="008F2978" w:rsidRPr="0062340E">
        <w:rPr>
          <w:rFonts w:ascii="Simplified Arabic" w:hAnsi="Simplified Arabic" w:cs="Simplified Arabic" w:hint="cs"/>
          <w:sz w:val="24"/>
          <w:szCs w:val="24"/>
          <w:rtl/>
        </w:rPr>
        <w:t xml:space="preserve">ان </w:t>
      </w:r>
      <w:r w:rsidR="002E733A" w:rsidRPr="0062340E">
        <w:rPr>
          <w:rFonts w:ascii="Simplified Arabic" w:hAnsi="Simplified Arabic" w:cs="Simplified Arabic" w:hint="cs"/>
          <w:sz w:val="24"/>
          <w:szCs w:val="24"/>
          <w:rtl/>
        </w:rPr>
        <w:t>تفاوت</w:t>
      </w:r>
      <w:r w:rsidR="008F2978" w:rsidRPr="0062340E">
        <w:rPr>
          <w:rFonts w:ascii="Simplified Arabic" w:hAnsi="Simplified Arabic" w:cs="Simplified Arabic" w:hint="cs"/>
          <w:sz w:val="24"/>
          <w:szCs w:val="24"/>
          <w:rtl/>
        </w:rPr>
        <w:t xml:space="preserve"> مستويات </w:t>
      </w:r>
      <w:r w:rsidR="00C6592B" w:rsidRPr="0062340E">
        <w:rPr>
          <w:rFonts w:ascii="Simplified Arabic" w:hAnsi="Simplified Arabic" w:cs="Simplified Arabic" w:hint="cs"/>
          <w:sz w:val="24"/>
          <w:szCs w:val="24"/>
          <w:rtl/>
        </w:rPr>
        <w:t xml:space="preserve">اداء </w:t>
      </w:r>
      <w:r w:rsidR="00556EF1" w:rsidRPr="0062340E">
        <w:rPr>
          <w:rFonts w:ascii="Simplified Arabic" w:hAnsi="Simplified Arabic" w:cs="Simplified Arabic" w:hint="cs"/>
          <w:sz w:val="24"/>
          <w:szCs w:val="24"/>
          <w:rtl/>
        </w:rPr>
        <w:t>مدينة بوسعادة</w:t>
      </w:r>
      <w:r w:rsidR="00C6592B" w:rsidRPr="0062340E">
        <w:rPr>
          <w:rFonts w:ascii="Simplified Arabic" w:hAnsi="Simplified Arabic" w:cs="Simplified Arabic" w:hint="cs"/>
          <w:sz w:val="24"/>
          <w:szCs w:val="24"/>
          <w:rtl/>
          <w:lang w:bidi="ar-DZ"/>
        </w:rPr>
        <w:t xml:space="preserve"> المرتبط</w:t>
      </w:r>
      <w:r w:rsidR="00C6592B" w:rsidRPr="0062340E">
        <w:rPr>
          <w:rFonts w:ascii="Simplified Arabic" w:hAnsi="Simplified Arabic" w:cs="Simplified Arabic"/>
          <w:sz w:val="24"/>
          <w:szCs w:val="24"/>
          <w:rtl/>
          <w:lang w:bidi="ar-DZ"/>
        </w:rPr>
        <w:t xml:space="preserve"> </w:t>
      </w:r>
      <w:r w:rsidR="00C6592B" w:rsidRPr="0062340E">
        <w:rPr>
          <w:rFonts w:ascii="Simplified Arabic" w:hAnsi="Simplified Arabic" w:cs="Simplified Arabic" w:hint="cs"/>
          <w:sz w:val="24"/>
          <w:szCs w:val="24"/>
          <w:rtl/>
          <w:lang w:bidi="ar-DZ"/>
        </w:rPr>
        <w:t>بالمرونة</w:t>
      </w:r>
      <w:r w:rsidR="00556EF1" w:rsidRPr="0062340E">
        <w:rPr>
          <w:rFonts w:ascii="Simplified Arabic" w:hAnsi="Simplified Arabic" w:cs="Simplified Arabic" w:hint="cs"/>
          <w:sz w:val="24"/>
          <w:szCs w:val="24"/>
          <w:rtl/>
        </w:rPr>
        <w:t xml:space="preserve"> </w:t>
      </w:r>
      <w:r w:rsidR="009F3BED" w:rsidRPr="0062340E">
        <w:rPr>
          <w:rFonts w:ascii="Simplified Arabic" w:hAnsi="Simplified Arabic" w:cs="Simplified Arabic" w:hint="cs"/>
          <w:sz w:val="24"/>
          <w:szCs w:val="24"/>
          <w:rtl/>
        </w:rPr>
        <w:t xml:space="preserve">تجاه خطر الفيضانات </w:t>
      </w:r>
      <w:r w:rsidR="0038754B" w:rsidRPr="0062340E">
        <w:rPr>
          <w:rFonts w:ascii="Simplified Arabic" w:hAnsi="Simplified Arabic" w:cs="Simplified Arabic" w:hint="cs"/>
          <w:sz w:val="24"/>
          <w:szCs w:val="24"/>
          <w:rtl/>
        </w:rPr>
        <w:t xml:space="preserve">سببه </w:t>
      </w:r>
      <w:r w:rsidR="00AB0F83" w:rsidRPr="0062340E">
        <w:rPr>
          <w:rFonts w:ascii="Simplified Arabic" w:hAnsi="Simplified Arabic" w:cs="Simplified Arabic" w:hint="cs"/>
          <w:sz w:val="24"/>
          <w:szCs w:val="24"/>
          <w:rtl/>
        </w:rPr>
        <w:t>تباين</w:t>
      </w:r>
      <w:r w:rsidR="00B0072A" w:rsidRPr="0062340E">
        <w:rPr>
          <w:rFonts w:ascii="Simplified Arabic" w:hAnsi="Simplified Arabic" w:cs="Simplified Arabic" w:hint="cs"/>
          <w:sz w:val="24"/>
          <w:szCs w:val="24"/>
          <w:rtl/>
        </w:rPr>
        <w:t xml:space="preserve"> التوزيع المكاني</w:t>
      </w:r>
      <w:r w:rsidR="00AB0F83" w:rsidRPr="0062340E">
        <w:rPr>
          <w:rFonts w:ascii="Simplified Arabic" w:hAnsi="Simplified Arabic" w:cs="Simplified Arabic" w:hint="cs"/>
          <w:sz w:val="24"/>
          <w:szCs w:val="24"/>
          <w:rtl/>
        </w:rPr>
        <w:t xml:space="preserve"> </w:t>
      </w:r>
      <w:r w:rsidR="00B0072A" w:rsidRPr="0062340E">
        <w:rPr>
          <w:rFonts w:ascii="Simplified Arabic" w:hAnsi="Simplified Arabic" w:cs="Simplified Arabic" w:hint="cs"/>
          <w:sz w:val="24"/>
          <w:szCs w:val="24"/>
          <w:rtl/>
        </w:rPr>
        <w:t>ل</w:t>
      </w:r>
      <w:r w:rsidRPr="0062340E">
        <w:rPr>
          <w:rFonts w:ascii="Simplified Arabic" w:hAnsi="Simplified Arabic" w:cs="Simplified Arabic" w:hint="cs"/>
          <w:sz w:val="24"/>
          <w:szCs w:val="24"/>
          <w:rtl/>
        </w:rPr>
        <w:t>است</w:t>
      </w:r>
      <w:r w:rsidR="002338FD" w:rsidRPr="0062340E">
        <w:rPr>
          <w:rFonts w:ascii="Simplified Arabic" w:hAnsi="Simplified Arabic" w:cs="Simplified Arabic" w:hint="cs"/>
          <w:sz w:val="24"/>
          <w:szCs w:val="24"/>
          <w:rtl/>
        </w:rPr>
        <w:t>عمالات</w:t>
      </w:r>
      <w:r w:rsidRPr="0062340E">
        <w:rPr>
          <w:rFonts w:ascii="Simplified Arabic" w:hAnsi="Simplified Arabic" w:cs="Simplified Arabic" w:hint="cs"/>
          <w:sz w:val="24"/>
          <w:szCs w:val="24"/>
          <w:rtl/>
        </w:rPr>
        <w:t xml:space="preserve"> الار</w:t>
      </w:r>
      <w:r w:rsidR="00556EF1" w:rsidRPr="0062340E">
        <w:rPr>
          <w:rFonts w:ascii="Simplified Arabic" w:hAnsi="Simplified Arabic" w:cs="Simplified Arabic" w:hint="cs"/>
          <w:sz w:val="24"/>
          <w:szCs w:val="24"/>
          <w:rtl/>
        </w:rPr>
        <w:t>ا</w:t>
      </w:r>
      <w:r w:rsidRPr="0062340E">
        <w:rPr>
          <w:rFonts w:ascii="Simplified Arabic" w:hAnsi="Simplified Arabic" w:cs="Simplified Arabic" w:hint="cs"/>
          <w:sz w:val="24"/>
          <w:szCs w:val="24"/>
          <w:rtl/>
        </w:rPr>
        <w:t>ض</w:t>
      </w:r>
      <w:r w:rsidR="00556EF1" w:rsidRPr="0062340E">
        <w:rPr>
          <w:rFonts w:ascii="Simplified Arabic" w:hAnsi="Simplified Arabic" w:cs="Simplified Arabic" w:hint="cs"/>
          <w:sz w:val="24"/>
          <w:szCs w:val="24"/>
          <w:rtl/>
        </w:rPr>
        <w:t xml:space="preserve">ي الحضرية عبر مختلف </w:t>
      </w:r>
      <w:r w:rsidR="00B0072A" w:rsidRPr="0062340E">
        <w:rPr>
          <w:rFonts w:ascii="Simplified Arabic" w:hAnsi="Simplified Arabic" w:cs="Simplified Arabic" w:hint="cs"/>
          <w:sz w:val="24"/>
          <w:szCs w:val="24"/>
          <w:rtl/>
        </w:rPr>
        <w:t xml:space="preserve">احياء </w:t>
      </w:r>
      <w:r w:rsidR="00556EF1" w:rsidRPr="0062340E">
        <w:rPr>
          <w:rFonts w:ascii="Simplified Arabic" w:hAnsi="Simplified Arabic" w:cs="Simplified Arabic" w:hint="cs"/>
          <w:sz w:val="24"/>
          <w:szCs w:val="24"/>
          <w:rtl/>
        </w:rPr>
        <w:t>فئات الانسجة الحضرية.</w:t>
      </w:r>
      <w:r w:rsidR="00AE1861" w:rsidRPr="0062340E">
        <w:rPr>
          <w:rFonts w:ascii="Simplified Arabic" w:hAnsi="Simplified Arabic" w:cs="Simplified Arabic" w:hint="cs"/>
          <w:sz w:val="24"/>
          <w:szCs w:val="24"/>
          <w:rtl/>
        </w:rPr>
        <w:t xml:space="preserve"> </w:t>
      </w:r>
      <w:r w:rsidR="00052B7F" w:rsidRPr="0062340E">
        <w:rPr>
          <w:rFonts w:ascii="Simplified Arabic" w:hAnsi="Simplified Arabic" w:cs="Simplified Arabic" w:hint="cs"/>
          <w:color w:val="000000" w:themeColor="text1"/>
          <w:sz w:val="24"/>
          <w:szCs w:val="24"/>
          <w:rtl/>
        </w:rPr>
        <w:t xml:space="preserve">يقود </w:t>
      </w:r>
      <w:r w:rsidR="00313DB0" w:rsidRPr="0062340E">
        <w:rPr>
          <w:rFonts w:ascii="Simplified Arabic" w:hAnsi="Simplified Arabic" w:cs="Simplified Arabic" w:hint="cs"/>
          <w:color w:val="000000" w:themeColor="text1"/>
          <w:sz w:val="24"/>
          <w:szCs w:val="24"/>
          <w:rtl/>
        </w:rPr>
        <w:t>تقييم مستو</w:t>
      </w:r>
      <w:r w:rsidR="00C7578F" w:rsidRPr="0062340E">
        <w:rPr>
          <w:rFonts w:ascii="Simplified Arabic" w:hAnsi="Simplified Arabic" w:cs="Simplified Arabic" w:hint="cs"/>
          <w:color w:val="000000" w:themeColor="text1"/>
          <w:sz w:val="24"/>
          <w:szCs w:val="24"/>
          <w:rtl/>
        </w:rPr>
        <w:t>يات</w:t>
      </w:r>
      <w:r w:rsidR="00313DB0" w:rsidRPr="0062340E">
        <w:rPr>
          <w:rFonts w:ascii="Simplified Arabic" w:hAnsi="Simplified Arabic" w:cs="Simplified Arabic" w:hint="cs"/>
          <w:color w:val="000000" w:themeColor="text1"/>
          <w:sz w:val="24"/>
          <w:szCs w:val="24"/>
          <w:rtl/>
        </w:rPr>
        <w:t xml:space="preserve"> مرونة </w:t>
      </w:r>
      <w:r w:rsidR="003E11A3" w:rsidRPr="0062340E">
        <w:rPr>
          <w:rFonts w:ascii="Simplified Arabic" w:hAnsi="Simplified Arabic" w:cs="Simplified Arabic" w:hint="cs"/>
          <w:color w:val="000000" w:themeColor="text1"/>
          <w:sz w:val="24"/>
          <w:szCs w:val="24"/>
          <w:rtl/>
        </w:rPr>
        <w:t>ال</w:t>
      </w:r>
      <w:r w:rsidR="00B0072A" w:rsidRPr="0062340E">
        <w:rPr>
          <w:rFonts w:ascii="Simplified Arabic" w:hAnsi="Simplified Arabic" w:cs="Simplified Arabic" w:hint="cs"/>
          <w:color w:val="000000" w:themeColor="text1"/>
          <w:sz w:val="24"/>
          <w:szCs w:val="24"/>
          <w:rtl/>
        </w:rPr>
        <w:t xml:space="preserve">مدينة </w:t>
      </w:r>
      <w:r w:rsidR="00052B7F" w:rsidRPr="0062340E">
        <w:rPr>
          <w:rFonts w:ascii="Simplified Arabic" w:hAnsi="Simplified Arabic" w:cs="Simplified Arabic" w:hint="cs"/>
          <w:color w:val="000000" w:themeColor="text1"/>
          <w:sz w:val="24"/>
          <w:szCs w:val="24"/>
          <w:rtl/>
        </w:rPr>
        <w:t>الى طرح التساؤل الرئيسي للبحث:</w:t>
      </w:r>
      <w:r w:rsidR="00313DB0" w:rsidRPr="0062340E">
        <w:rPr>
          <w:rFonts w:ascii="Simplified Arabic" w:hAnsi="Simplified Arabic" w:cs="Simplified Arabic" w:hint="cs"/>
          <w:color w:val="000000" w:themeColor="text1"/>
          <w:sz w:val="24"/>
          <w:szCs w:val="24"/>
          <w:rtl/>
        </w:rPr>
        <w:t xml:space="preserve"> </w:t>
      </w:r>
      <w:r w:rsidR="00F371DD">
        <w:rPr>
          <w:rFonts w:ascii="Simplified Arabic" w:hAnsi="Simplified Arabic" w:cs="Simplified Arabic" w:hint="cs"/>
          <w:color w:val="000000" w:themeColor="text1"/>
          <w:sz w:val="24"/>
          <w:szCs w:val="24"/>
          <w:rtl/>
        </w:rPr>
        <w:t>الى أيّ مدى يمكن ان</w:t>
      </w:r>
      <w:r w:rsidR="005D346E" w:rsidRPr="0062340E">
        <w:rPr>
          <w:rFonts w:ascii="Simplified Arabic" w:hAnsi="Simplified Arabic" w:cs="Simplified Arabic" w:hint="cs"/>
          <w:color w:val="000000" w:themeColor="text1"/>
          <w:sz w:val="24"/>
          <w:szCs w:val="24"/>
          <w:rtl/>
        </w:rPr>
        <w:t xml:space="preserve"> </w:t>
      </w:r>
      <w:r w:rsidR="00D40CBC" w:rsidRPr="0062340E">
        <w:rPr>
          <w:rFonts w:ascii="Simplified Arabic" w:hAnsi="Simplified Arabic" w:cs="Simplified Arabic" w:hint="cs"/>
          <w:color w:val="000000" w:themeColor="text1"/>
          <w:sz w:val="24"/>
          <w:szCs w:val="24"/>
          <w:rtl/>
        </w:rPr>
        <w:t>يُؤث</w:t>
      </w:r>
      <w:r w:rsidR="005D346E" w:rsidRPr="0062340E">
        <w:rPr>
          <w:rFonts w:ascii="Simplified Arabic" w:hAnsi="Simplified Arabic" w:cs="Simplified Arabic" w:hint="cs"/>
          <w:color w:val="000000" w:themeColor="text1"/>
          <w:sz w:val="24"/>
          <w:szCs w:val="24"/>
          <w:rtl/>
        </w:rPr>
        <w:t xml:space="preserve">ر </w:t>
      </w:r>
      <w:r w:rsidR="00370032">
        <w:rPr>
          <w:rFonts w:ascii="Simplified Arabic" w:hAnsi="Simplified Arabic" w:cs="Simplified Arabic" w:hint="cs"/>
          <w:color w:val="000000" w:themeColor="text1"/>
          <w:sz w:val="24"/>
          <w:szCs w:val="24"/>
          <w:rtl/>
        </w:rPr>
        <w:t>نمط</w:t>
      </w:r>
      <w:r w:rsidR="00192570" w:rsidRPr="0062340E">
        <w:rPr>
          <w:rFonts w:ascii="Simplified Arabic" w:hAnsi="Simplified Arabic" w:cs="Simplified Arabic" w:hint="cs"/>
          <w:color w:val="000000" w:themeColor="text1"/>
          <w:sz w:val="24"/>
          <w:szCs w:val="24"/>
          <w:rtl/>
        </w:rPr>
        <w:t xml:space="preserve"> </w:t>
      </w:r>
      <w:r w:rsidR="00B0072A" w:rsidRPr="0062340E">
        <w:rPr>
          <w:rFonts w:ascii="Simplified Arabic" w:hAnsi="Simplified Arabic" w:cs="Simplified Arabic" w:hint="cs"/>
          <w:color w:val="000000" w:themeColor="text1"/>
          <w:sz w:val="24"/>
          <w:szCs w:val="24"/>
          <w:rtl/>
        </w:rPr>
        <w:t>التوزيع المكاني ل</w:t>
      </w:r>
      <w:r w:rsidR="00D40CBC" w:rsidRPr="0062340E">
        <w:rPr>
          <w:rFonts w:ascii="Simplified Arabic" w:hAnsi="Simplified Arabic" w:cs="Simplified Arabic" w:hint="cs"/>
          <w:sz w:val="24"/>
          <w:szCs w:val="24"/>
          <w:rtl/>
        </w:rPr>
        <w:t>است</w:t>
      </w:r>
      <w:r w:rsidR="00556EF1" w:rsidRPr="0062340E">
        <w:rPr>
          <w:rFonts w:ascii="Simplified Arabic" w:hAnsi="Simplified Arabic" w:cs="Simplified Arabic" w:hint="cs"/>
          <w:sz w:val="24"/>
          <w:szCs w:val="24"/>
          <w:rtl/>
        </w:rPr>
        <w:t>عمالات</w:t>
      </w:r>
      <w:r w:rsidR="00D40CBC" w:rsidRPr="0062340E">
        <w:rPr>
          <w:rFonts w:ascii="Simplified Arabic" w:hAnsi="Simplified Arabic" w:cs="Simplified Arabic" w:hint="cs"/>
          <w:sz w:val="24"/>
          <w:szCs w:val="24"/>
          <w:rtl/>
        </w:rPr>
        <w:t xml:space="preserve"> الار</w:t>
      </w:r>
      <w:r w:rsidR="00556EF1" w:rsidRPr="0062340E">
        <w:rPr>
          <w:rFonts w:ascii="Simplified Arabic" w:hAnsi="Simplified Arabic" w:cs="Simplified Arabic" w:hint="cs"/>
          <w:sz w:val="24"/>
          <w:szCs w:val="24"/>
          <w:rtl/>
        </w:rPr>
        <w:t>ا</w:t>
      </w:r>
      <w:r w:rsidR="00D40CBC" w:rsidRPr="0062340E">
        <w:rPr>
          <w:rFonts w:ascii="Simplified Arabic" w:hAnsi="Simplified Arabic" w:cs="Simplified Arabic" w:hint="cs"/>
          <w:sz w:val="24"/>
          <w:szCs w:val="24"/>
          <w:rtl/>
        </w:rPr>
        <w:t>ض</w:t>
      </w:r>
      <w:r w:rsidR="00556EF1" w:rsidRPr="0062340E">
        <w:rPr>
          <w:rFonts w:ascii="Simplified Arabic" w:hAnsi="Simplified Arabic" w:cs="Simplified Arabic" w:hint="cs"/>
          <w:sz w:val="24"/>
          <w:szCs w:val="24"/>
          <w:rtl/>
        </w:rPr>
        <w:t>ي</w:t>
      </w:r>
      <w:r w:rsidR="00D40CBC" w:rsidRPr="0062340E">
        <w:rPr>
          <w:rFonts w:ascii="Simplified Arabic" w:hAnsi="Simplified Arabic" w:cs="Simplified Arabic" w:hint="cs"/>
          <w:sz w:val="24"/>
          <w:szCs w:val="24"/>
          <w:rtl/>
        </w:rPr>
        <w:t xml:space="preserve"> الحضرية </w:t>
      </w:r>
      <w:r w:rsidR="00583402" w:rsidRPr="0062340E">
        <w:rPr>
          <w:rFonts w:ascii="Simplified Arabic" w:hAnsi="Simplified Arabic" w:cs="Simplified Arabic" w:hint="cs"/>
          <w:sz w:val="24"/>
          <w:szCs w:val="24"/>
          <w:rtl/>
        </w:rPr>
        <w:t>على</w:t>
      </w:r>
      <w:r w:rsidR="00583402" w:rsidRPr="0062340E">
        <w:rPr>
          <w:rFonts w:ascii="Simplified Arabic" w:hAnsi="Simplified Arabic" w:cs="Simplified Arabic" w:hint="cs"/>
          <w:color w:val="000000" w:themeColor="text1"/>
          <w:sz w:val="24"/>
          <w:szCs w:val="24"/>
          <w:rtl/>
        </w:rPr>
        <w:t xml:space="preserve"> مستويات مرونة </w:t>
      </w:r>
      <w:r w:rsidR="00D40CBC" w:rsidRPr="0062340E">
        <w:rPr>
          <w:rFonts w:ascii="Simplified Arabic" w:hAnsi="Simplified Arabic" w:cs="Simplified Arabic" w:hint="cs"/>
          <w:sz w:val="24"/>
          <w:szCs w:val="24"/>
          <w:rtl/>
        </w:rPr>
        <w:t xml:space="preserve">مدينة </w:t>
      </w:r>
      <w:r w:rsidR="00D40CBC" w:rsidRPr="0062340E">
        <w:rPr>
          <w:rFonts w:ascii="Simplified Arabic" w:hAnsi="Simplified Arabic" w:cs="Simplified Arabic" w:hint="cs"/>
          <w:color w:val="000000" w:themeColor="text1"/>
          <w:sz w:val="24"/>
          <w:szCs w:val="24"/>
          <w:rtl/>
        </w:rPr>
        <w:t>بوسعادة</w:t>
      </w:r>
      <w:r w:rsidR="00D40CBC" w:rsidRPr="0062340E">
        <w:rPr>
          <w:rFonts w:ascii="Simplified Arabic" w:hAnsi="Simplified Arabic" w:cs="Simplified Arabic" w:hint="cs"/>
          <w:sz w:val="24"/>
          <w:szCs w:val="24"/>
          <w:rtl/>
        </w:rPr>
        <w:t xml:space="preserve"> </w:t>
      </w:r>
      <w:r w:rsidR="00052B7F" w:rsidRPr="0062340E">
        <w:rPr>
          <w:rFonts w:ascii="Simplified Arabic" w:hAnsi="Simplified Arabic" w:cs="Simplified Arabic" w:hint="cs"/>
          <w:color w:val="000000" w:themeColor="text1"/>
          <w:sz w:val="24"/>
          <w:szCs w:val="24"/>
          <w:rtl/>
        </w:rPr>
        <w:t>؟</w:t>
      </w:r>
      <w:r w:rsidR="00313DB0" w:rsidRPr="0062340E">
        <w:rPr>
          <w:rFonts w:ascii="Simplified Arabic" w:hAnsi="Simplified Arabic" w:cs="Simplified Arabic" w:hint="cs"/>
          <w:color w:val="000000" w:themeColor="text1"/>
          <w:sz w:val="24"/>
          <w:szCs w:val="24"/>
          <w:rtl/>
        </w:rPr>
        <w:t xml:space="preserve"> </w:t>
      </w:r>
      <w:r w:rsidR="00F371DD">
        <w:rPr>
          <w:rFonts w:ascii="Simplified Arabic" w:hAnsi="Simplified Arabic" w:cs="Simplified Arabic" w:hint="cs"/>
          <w:color w:val="000000" w:themeColor="text1"/>
          <w:sz w:val="24"/>
          <w:szCs w:val="24"/>
          <w:rtl/>
        </w:rPr>
        <w:t>و</w:t>
      </w:r>
      <w:r w:rsidR="00F371DD" w:rsidRPr="00F371DD">
        <w:rPr>
          <w:rFonts w:ascii="Simplified Arabic" w:hAnsi="Simplified Arabic" w:cs="Simplified Arabic" w:hint="cs"/>
          <w:color w:val="000000" w:themeColor="text1"/>
          <w:sz w:val="24"/>
          <w:szCs w:val="24"/>
          <w:rtl/>
        </w:rPr>
        <w:t xml:space="preserve"> </w:t>
      </w:r>
      <w:r w:rsidR="00F371DD" w:rsidRPr="0062340E">
        <w:rPr>
          <w:rFonts w:ascii="Simplified Arabic" w:hAnsi="Simplified Arabic" w:cs="Simplified Arabic" w:hint="cs"/>
          <w:color w:val="000000" w:themeColor="text1"/>
          <w:sz w:val="24"/>
          <w:szCs w:val="24"/>
          <w:rtl/>
        </w:rPr>
        <w:t xml:space="preserve">كيف يمكن </w:t>
      </w:r>
      <w:r w:rsidR="003E1B7F">
        <w:rPr>
          <w:rFonts w:ascii="Simplified Arabic" w:hAnsi="Simplified Arabic" w:cs="Simplified Arabic" w:hint="cs"/>
          <w:color w:val="000000" w:themeColor="text1"/>
          <w:sz w:val="24"/>
          <w:szCs w:val="24"/>
          <w:rtl/>
        </w:rPr>
        <w:t xml:space="preserve">تحقيق </w:t>
      </w:r>
      <w:r w:rsidR="00F371DD">
        <w:rPr>
          <w:rFonts w:ascii="Simplified Arabic" w:hAnsi="Simplified Arabic" w:cs="Simplified Arabic" w:hint="cs"/>
          <w:color w:val="000000" w:themeColor="text1"/>
          <w:sz w:val="24"/>
          <w:szCs w:val="24"/>
          <w:rtl/>
        </w:rPr>
        <w:t>ذلك</w:t>
      </w:r>
      <w:r w:rsidR="00F371DD" w:rsidRPr="0062340E">
        <w:rPr>
          <w:rFonts w:ascii="Simplified Arabic" w:hAnsi="Simplified Arabic" w:cs="Simplified Arabic" w:hint="cs"/>
          <w:color w:val="000000" w:themeColor="text1"/>
          <w:sz w:val="24"/>
          <w:szCs w:val="24"/>
          <w:rtl/>
        </w:rPr>
        <w:t>؟</w:t>
      </w:r>
      <w:r w:rsidR="00F371DD">
        <w:rPr>
          <w:rFonts w:ascii="Simplified Arabic" w:hAnsi="Simplified Arabic" w:cs="Simplified Arabic" w:hint="cs"/>
          <w:color w:val="000000" w:themeColor="text1"/>
          <w:sz w:val="24"/>
          <w:szCs w:val="24"/>
          <w:rtl/>
        </w:rPr>
        <w:t xml:space="preserve">. </w:t>
      </w:r>
      <w:r w:rsidR="00EC1766" w:rsidRPr="0062340E">
        <w:rPr>
          <w:rFonts w:ascii="Simplified Arabic" w:hAnsi="Simplified Arabic" w:cs="Simplified Arabic" w:hint="cs"/>
          <w:sz w:val="24"/>
          <w:szCs w:val="24"/>
          <w:rtl/>
        </w:rPr>
        <w:t>يتفرع عن</w:t>
      </w:r>
      <w:r w:rsidR="0022082E" w:rsidRPr="0062340E">
        <w:rPr>
          <w:rFonts w:ascii="Simplified Arabic" w:hAnsi="Simplified Arabic" w:cs="Simplified Arabic" w:hint="cs"/>
          <w:sz w:val="24"/>
          <w:szCs w:val="24"/>
          <w:rtl/>
        </w:rPr>
        <w:t xml:space="preserve"> </w:t>
      </w:r>
      <w:r w:rsidR="009F376B" w:rsidRPr="0062340E">
        <w:rPr>
          <w:rFonts w:ascii="Simplified Arabic" w:hAnsi="Simplified Arabic" w:cs="Simplified Arabic" w:hint="cs"/>
          <w:sz w:val="24"/>
          <w:szCs w:val="24"/>
          <w:rtl/>
        </w:rPr>
        <w:t xml:space="preserve">التساؤل الرئيسي للبحث </w:t>
      </w:r>
      <w:r w:rsidR="0022082E" w:rsidRPr="0062340E">
        <w:rPr>
          <w:rFonts w:ascii="Simplified Arabic" w:hAnsi="Simplified Arabic" w:cs="Simplified Arabic" w:hint="cs"/>
          <w:sz w:val="24"/>
          <w:szCs w:val="24"/>
          <w:rtl/>
        </w:rPr>
        <w:t>السؤ</w:t>
      </w:r>
      <w:r w:rsidR="000501F9" w:rsidRPr="0062340E">
        <w:rPr>
          <w:rFonts w:ascii="Simplified Arabic" w:hAnsi="Simplified Arabic" w:cs="Simplified Arabic" w:hint="cs"/>
          <w:sz w:val="24"/>
          <w:szCs w:val="24"/>
          <w:rtl/>
        </w:rPr>
        <w:t>ا</w:t>
      </w:r>
      <w:r w:rsidR="0022082E" w:rsidRPr="0062340E">
        <w:rPr>
          <w:rFonts w:ascii="Simplified Arabic" w:hAnsi="Simplified Arabic" w:cs="Simplified Arabic" w:hint="cs"/>
          <w:sz w:val="24"/>
          <w:szCs w:val="24"/>
          <w:rtl/>
        </w:rPr>
        <w:t>لين</w:t>
      </w:r>
      <w:r w:rsidR="006F4675" w:rsidRPr="0062340E">
        <w:rPr>
          <w:rFonts w:ascii="Simplified Arabic" w:hAnsi="Simplified Arabic" w:cs="Simplified Arabic" w:hint="cs"/>
          <w:sz w:val="24"/>
          <w:szCs w:val="24"/>
          <w:rtl/>
        </w:rPr>
        <w:t xml:space="preserve"> </w:t>
      </w:r>
      <w:r w:rsidR="0022082E" w:rsidRPr="0062340E">
        <w:rPr>
          <w:rFonts w:ascii="Simplified Arabic" w:hAnsi="Simplified Arabic" w:cs="Simplified Arabic" w:hint="cs"/>
          <w:sz w:val="24"/>
          <w:szCs w:val="24"/>
          <w:rtl/>
        </w:rPr>
        <w:t>التاليين:</w:t>
      </w:r>
    </w:p>
    <w:p w:rsidR="00887C46" w:rsidRPr="0062340E" w:rsidRDefault="00C55A3C" w:rsidP="00FB1966">
      <w:pPr>
        <w:pStyle w:val="Paragraphedeliste"/>
        <w:numPr>
          <w:ilvl w:val="0"/>
          <w:numId w:val="57"/>
        </w:numPr>
        <w:tabs>
          <w:tab w:val="right" w:pos="567"/>
        </w:tabs>
        <w:bidi/>
        <w:spacing w:after="0"/>
        <w:ind w:left="0" w:firstLine="0"/>
        <w:jc w:val="both"/>
        <w:rPr>
          <w:rFonts w:ascii="Simplified Arabic" w:hAnsi="Simplified Arabic" w:cs="Simplified Arabic"/>
          <w:color w:val="000000" w:themeColor="text1"/>
          <w:sz w:val="24"/>
          <w:szCs w:val="24"/>
        </w:rPr>
      </w:pPr>
      <w:r w:rsidRPr="0062340E">
        <w:rPr>
          <w:rFonts w:ascii="Simplified Arabic" w:hAnsi="Simplified Arabic" w:cs="Simplified Arabic" w:hint="cs"/>
          <w:sz w:val="24"/>
          <w:szCs w:val="24"/>
          <w:rtl/>
        </w:rPr>
        <w:t>ما</w:t>
      </w:r>
      <w:r w:rsidR="00BA42A0" w:rsidRPr="0062340E">
        <w:rPr>
          <w:rFonts w:ascii="Simplified Arabic" w:hAnsi="Simplified Arabic" w:cs="Simplified Arabic" w:hint="cs"/>
          <w:sz w:val="24"/>
          <w:szCs w:val="24"/>
          <w:rtl/>
        </w:rPr>
        <w:t xml:space="preserve"> </w:t>
      </w:r>
      <w:r w:rsidRPr="0062340E">
        <w:rPr>
          <w:rFonts w:ascii="Simplified Arabic" w:hAnsi="Simplified Arabic" w:cs="Simplified Arabic" w:hint="cs"/>
          <w:sz w:val="24"/>
          <w:szCs w:val="24"/>
          <w:rtl/>
        </w:rPr>
        <w:t>ه</w:t>
      </w:r>
      <w:r w:rsidR="003343A3" w:rsidRPr="0062340E">
        <w:rPr>
          <w:rFonts w:ascii="Simplified Arabic" w:hAnsi="Simplified Arabic" w:cs="Simplified Arabic" w:hint="cs"/>
          <w:sz w:val="24"/>
          <w:szCs w:val="24"/>
          <w:rtl/>
        </w:rPr>
        <w:t>ي</w:t>
      </w:r>
      <w:r w:rsidR="00BA42A0" w:rsidRPr="0062340E">
        <w:rPr>
          <w:rFonts w:ascii="Simplified Arabic" w:hAnsi="Simplified Arabic" w:cs="Simplified Arabic" w:hint="cs"/>
          <w:sz w:val="24"/>
          <w:szCs w:val="24"/>
          <w:rtl/>
        </w:rPr>
        <w:t xml:space="preserve"> </w:t>
      </w:r>
      <w:r w:rsidR="0014085F" w:rsidRPr="0062340E">
        <w:rPr>
          <w:rFonts w:ascii="Simplified Arabic" w:hAnsi="Simplified Arabic" w:cs="Simplified Arabic" w:hint="cs"/>
          <w:sz w:val="24"/>
          <w:szCs w:val="24"/>
          <w:rtl/>
        </w:rPr>
        <w:t xml:space="preserve">المعايير التي تسمح بتقييم مستويات </w:t>
      </w:r>
      <w:r w:rsidRPr="0062340E">
        <w:rPr>
          <w:rFonts w:ascii="Simplified Arabic" w:hAnsi="Simplified Arabic" w:cs="Simplified Arabic" w:hint="cs"/>
          <w:sz w:val="24"/>
          <w:szCs w:val="24"/>
          <w:rtl/>
        </w:rPr>
        <w:t xml:space="preserve">مرونة </w:t>
      </w:r>
      <w:r w:rsidR="009B4DC5" w:rsidRPr="0062340E">
        <w:rPr>
          <w:rFonts w:ascii="Simplified Arabic" w:hAnsi="Simplified Arabic" w:cs="Simplified Arabic" w:hint="cs"/>
          <w:sz w:val="24"/>
          <w:szCs w:val="24"/>
          <w:rtl/>
        </w:rPr>
        <w:t xml:space="preserve">مدينة </w:t>
      </w:r>
      <w:r w:rsidR="0014085F" w:rsidRPr="0062340E">
        <w:rPr>
          <w:rFonts w:ascii="Simplified Arabic" w:hAnsi="Simplified Arabic" w:cs="Simplified Arabic" w:hint="cs"/>
          <w:sz w:val="24"/>
          <w:szCs w:val="24"/>
          <w:rtl/>
        </w:rPr>
        <w:t>بوسعادة</w:t>
      </w:r>
      <w:r w:rsidR="00A670D4" w:rsidRPr="0062340E">
        <w:rPr>
          <w:rFonts w:ascii="Simplified Arabic" w:hAnsi="Simplified Arabic" w:cs="Simplified Arabic" w:hint="cs"/>
          <w:color w:val="000000" w:themeColor="text1"/>
          <w:sz w:val="24"/>
          <w:szCs w:val="24"/>
          <w:rtl/>
        </w:rPr>
        <w:t>. هل</w:t>
      </w:r>
      <w:r w:rsidRPr="0062340E">
        <w:rPr>
          <w:rFonts w:ascii="Simplified Arabic" w:hAnsi="Simplified Arabic" w:cs="Simplified Arabic" w:hint="cs"/>
          <w:color w:val="000000" w:themeColor="text1"/>
          <w:sz w:val="24"/>
          <w:szCs w:val="24"/>
          <w:rtl/>
        </w:rPr>
        <w:t xml:space="preserve"> </w:t>
      </w:r>
      <w:r w:rsidR="00A670D4" w:rsidRPr="0062340E">
        <w:rPr>
          <w:rFonts w:ascii="Simplified Arabic" w:hAnsi="Simplified Arabic" w:cs="Simplified Arabic" w:hint="cs"/>
          <w:color w:val="000000" w:themeColor="text1"/>
          <w:sz w:val="24"/>
          <w:szCs w:val="24"/>
          <w:rtl/>
        </w:rPr>
        <w:t>التحقيق</w:t>
      </w:r>
      <w:r w:rsidR="00A670D4" w:rsidRPr="0062340E">
        <w:rPr>
          <w:rFonts w:ascii="Simplified Arabic" w:hAnsi="Simplified Arabic" w:cs="Simplified Arabic"/>
          <w:color w:val="000000" w:themeColor="text1"/>
          <w:sz w:val="24"/>
          <w:szCs w:val="24"/>
          <w:rtl/>
        </w:rPr>
        <w:t xml:space="preserve"> </w:t>
      </w:r>
      <w:r w:rsidR="00A670D4" w:rsidRPr="0062340E">
        <w:rPr>
          <w:rFonts w:ascii="Simplified Arabic" w:hAnsi="Simplified Arabic" w:cs="Simplified Arabic" w:hint="cs"/>
          <w:color w:val="000000" w:themeColor="text1"/>
          <w:sz w:val="24"/>
          <w:szCs w:val="24"/>
          <w:rtl/>
        </w:rPr>
        <w:t>في</w:t>
      </w:r>
      <w:r w:rsidR="00A670D4" w:rsidRPr="0062340E">
        <w:rPr>
          <w:rFonts w:ascii="Simplified Arabic" w:hAnsi="Simplified Arabic" w:cs="Simplified Arabic"/>
          <w:color w:val="000000" w:themeColor="text1"/>
          <w:sz w:val="24"/>
          <w:szCs w:val="24"/>
          <w:rtl/>
        </w:rPr>
        <w:t xml:space="preserve"> </w:t>
      </w:r>
      <w:r w:rsidR="00A670D4" w:rsidRPr="0062340E">
        <w:rPr>
          <w:rFonts w:ascii="Simplified Arabic" w:hAnsi="Simplified Arabic" w:cs="Simplified Arabic" w:hint="cs"/>
          <w:color w:val="000000" w:themeColor="text1"/>
          <w:sz w:val="24"/>
          <w:szCs w:val="24"/>
          <w:rtl/>
        </w:rPr>
        <w:t>تصورات</w:t>
      </w:r>
      <w:r w:rsidR="00A670D4" w:rsidRPr="0062340E">
        <w:rPr>
          <w:rFonts w:ascii="Simplified Arabic" w:hAnsi="Simplified Arabic" w:cs="Simplified Arabic"/>
          <w:color w:val="000000" w:themeColor="text1"/>
          <w:sz w:val="24"/>
          <w:szCs w:val="24"/>
          <w:rtl/>
        </w:rPr>
        <w:t xml:space="preserve"> </w:t>
      </w:r>
      <w:r w:rsidR="00A670D4" w:rsidRPr="0062340E">
        <w:rPr>
          <w:rFonts w:ascii="Simplified Arabic" w:hAnsi="Simplified Arabic" w:cs="Simplified Arabic" w:hint="cs"/>
          <w:color w:val="000000" w:themeColor="text1"/>
          <w:sz w:val="24"/>
          <w:szCs w:val="24"/>
          <w:rtl/>
        </w:rPr>
        <w:t xml:space="preserve">السكان المحليين </w:t>
      </w:r>
      <w:r w:rsidR="00CA777B" w:rsidRPr="0062340E">
        <w:rPr>
          <w:rFonts w:ascii="Simplified Arabic" w:hAnsi="Simplified Arabic" w:cs="Simplified Arabic" w:hint="cs"/>
          <w:color w:val="000000" w:themeColor="text1"/>
          <w:sz w:val="24"/>
          <w:szCs w:val="24"/>
          <w:rtl/>
        </w:rPr>
        <w:t>يسمح</w:t>
      </w:r>
      <w:r w:rsidR="00A670D4" w:rsidRPr="0062340E">
        <w:rPr>
          <w:rFonts w:ascii="Simplified Arabic" w:hAnsi="Simplified Arabic" w:cs="Simplified Arabic" w:hint="cs"/>
          <w:color w:val="000000" w:themeColor="text1"/>
          <w:sz w:val="24"/>
          <w:szCs w:val="24"/>
          <w:rtl/>
        </w:rPr>
        <w:t xml:space="preserve"> </w:t>
      </w:r>
      <w:r w:rsidR="00CA777B" w:rsidRPr="0062340E">
        <w:rPr>
          <w:rFonts w:ascii="Simplified Arabic" w:hAnsi="Simplified Arabic" w:cs="Simplified Arabic" w:hint="cs"/>
          <w:color w:val="000000" w:themeColor="text1"/>
          <w:sz w:val="24"/>
          <w:szCs w:val="24"/>
          <w:rtl/>
        </w:rPr>
        <w:t>ب</w:t>
      </w:r>
      <w:r w:rsidR="00A670D4" w:rsidRPr="0062340E">
        <w:rPr>
          <w:rFonts w:ascii="Simplified Arabic" w:hAnsi="Simplified Arabic" w:cs="Simplified Arabic" w:hint="cs"/>
          <w:color w:val="000000" w:themeColor="text1"/>
          <w:sz w:val="24"/>
          <w:szCs w:val="24"/>
          <w:rtl/>
        </w:rPr>
        <w:t>رفع مستوى مرونة</w:t>
      </w:r>
      <w:r w:rsidR="00A7482B" w:rsidRPr="0062340E">
        <w:rPr>
          <w:rFonts w:ascii="Simplified Arabic" w:hAnsi="Simplified Arabic" w:cs="Simplified Arabic" w:hint="cs"/>
          <w:color w:val="000000" w:themeColor="text1"/>
          <w:sz w:val="24"/>
          <w:szCs w:val="24"/>
          <w:rtl/>
        </w:rPr>
        <w:t xml:space="preserve"> المدينة</w:t>
      </w:r>
      <w:r w:rsidRPr="0062340E">
        <w:rPr>
          <w:rFonts w:ascii="Simplified Arabic" w:hAnsi="Simplified Arabic" w:cs="Simplified Arabic" w:hint="cs"/>
          <w:color w:val="000000" w:themeColor="text1"/>
          <w:sz w:val="24"/>
          <w:szCs w:val="24"/>
          <w:rtl/>
        </w:rPr>
        <w:t>؟</w:t>
      </w:r>
    </w:p>
    <w:p w:rsidR="00887C46" w:rsidRDefault="00C55A3C" w:rsidP="00FB1966">
      <w:pPr>
        <w:pStyle w:val="Paragraphedeliste"/>
        <w:numPr>
          <w:ilvl w:val="0"/>
          <w:numId w:val="57"/>
        </w:numPr>
        <w:tabs>
          <w:tab w:val="right" w:pos="425"/>
        </w:tabs>
        <w:bidi/>
        <w:spacing w:before="240"/>
        <w:ind w:left="-1" w:firstLine="1"/>
        <w:jc w:val="both"/>
        <w:rPr>
          <w:rFonts w:ascii="Simplified Arabic" w:hAnsi="Simplified Arabic" w:cs="Simplified Arabic"/>
          <w:sz w:val="24"/>
          <w:szCs w:val="24"/>
        </w:rPr>
      </w:pPr>
      <w:r w:rsidRPr="0062340E">
        <w:rPr>
          <w:rFonts w:ascii="Simplified Arabic" w:hAnsi="Simplified Arabic" w:cs="Simplified Arabic" w:hint="cs"/>
          <w:sz w:val="24"/>
          <w:szCs w:val="24"/>
          <w:rtl/>
        </w:rPr>
        <w:t>ماهي درجة توافر سمات</w:t>
      </w:r>
      <w:r w:rsidR="00CA777B" w:rsidRPr="0062340E">
        <w:rPr>
          <w:rFonts w:ascii="Simplified Arabic" w:hAnsi="Simplified Arabic" w:cs="Simplified Arabic" w:hint="cs"/>
          <w:sz w:val="24"/>
          <w:szCs w:val="24"/>
          <w:rtl/>
        </w:rPr>
        <w:t xml:space="preserve"> المرونة المكانية</w:t>
      </w:r>
      <w:r w:rsidRPr="0062340E">
        <w:rPr>
          <w:rFonts w:ascii="Simplified Arabic" w:hAnsi="Simplified Arabic" w:cs="Simplified Arabic"/>
          <w:sz w:val="24"/>
          <w:szCs w:val="24"/>
          <w:rtl/>
        </w:rPr>
        <w:t xml:space="preserve"> </w:t>
      </w:r>
      <w:r w:rsidR="006C3E60" w:rsidRPr="0062340E">
        <w:rPr>
          <w:rFonts w:ascii="Simplified Arabic" w:hAnsi="Simplified Arabic" w:cs="Simplified Arabic" w:hint="cs"/>
          <w:color w:val="000000" w:themeColor="text1"/>
          <w:sz w:val="24"/>
          <w:szCs w:val="24"/>
          <w:rtl/>
        </w:rPr>
        <w:t>التي تسمح بتكوين قدرة التكيف المكاني</w:t>
      </w:r>
      <w:r w:rsidR="000571E2" w:rsidRPr="0062340E">
        <w:rPr>
          <w:rFonts w:ascii="Simplified Arabic" w:hAnsi="Simplified Arabic" w:cs="Simplified Arabic" w:hint="cs"/>
          <w:sz w:val="24"/>
          <w:szCs w:val="24"/>
          <w:rtl/>
        </w:rPr>
        <w:t xml:space="preserve"> </w:t>
      </w:r>
      <w:r w:rsidR="00845256" w:rsidRPr="0062340E">
        <w:rPr>
          <w:rFonts w:ascii="Simplified Arabic" w:hAnsi="Simplified Arabic" w:cs="Simplified Arabic" w:hint="cs"/>
          <w:sz w:val="24"/>
          <w:szCs w:val="24"/>
          <w:rtl/>
        </w:rPr>
        <w:t>لأحياء</w:t>
      </w:r>
      <w:r w:rsidR="000571E2" w:rsidRPr="0062340E">
        <w:rPr>
          <w:rFonts w:ascii="Simplified Arabic" w:hAnsi="Simplified Arabic" w:cs="Simplified Arabic" w:hint="cs"/>
          <w:sz w:val="24"/>
          <w:szCs w:val="24"/>
          <w:rtl/>
        </w:rPr>
        <w:t xml:space="preserve"> فئات الانسجة </w:t>
      </w:r>
      <w:r w:rsidR="000571E2" w:rsidRPr="0062340E">
        <w:rPr>
          <w:rFonts w:ascii="Simplified Arabic" w:hAnsi="Simplified Arabic" w:cs="Simplified Arabic" w:hint="cs"/>
          <w:color w:val="000000" w:themeColor="text1"/>
          <w:sz w:val="24"/>
          <w:szCs w:val="24"/>
          <w:rtl/>
        </w:rPr>
        <w:t>الحضرية ل</w:t>
      </w:r>
      <w:r w:rsidR="000571E2" w:rsidRPr="0062340E">
        <w:rPr>
          <w:rFonts w:ascii="Simplified Arabic" w:hAnsi="Simplified Arabic" w:cs="Simplified Arabic" w:hint="cs"/>
          <w:sz w:val="24"/>
          <w:szCs w:val="24"/>
          <w:rtl/>
        </w:rPr>
        <w:t xml:space="preserve">مدينة </w:t>
      </w:r>
      <w:r w:rsidR="000571E2" w:rsidRPr="0062340E">
        <w:rPr>
          <w:rFonts w:ascii="Simplified Arabic" w:hAnsi="Simplified Arabic" w:cs="Simplified Arabic" w:hint="cs"/>
          <w:color w:val="000000" w:themeColor="text1"/>
          <w:sz w:val="24"/>
          <w:szCs w:val="24"/>
          <w:rtl/>
        </w:rPr>
        <w:t xml:space="preserve">بوسعادة </w:t>
      </w:r>
      <w:r w:rsidRPr="0062340E">
        <w:rPr>
          <w:rFonts w:ascii="Simplified Arabic" w:hAnsi="Simplified Arabic" w:cs="Simplified Arabic" w:hint="cs"/>
          <w:sz w:val="24"/>
          <w:szCs w:val="24"/>
          <w:rtl/>
        </w:rPr>
        <w:t>؟</w:t>
      </w:r>
      <w:r w:rsidR="000050DD" w:rsidRPr="0062340E">
        <w:rPr>
          <w:rFonts w:ascii="Simplified Arabic" w:hAnsi="Simplified Arabic" w:cs="Simplified Arabic" w:hint="cs"/>
          <w:sz w:val="24"/>
          <w:szCs w:val="24"/>
          <w:rtl/>
        </w:rPr>
        <w:t>.</w:t>
      </w:r>
    </w:p>
    <w:p w:rsidR="0022082E" w:rsidRPr="0062340E" w:rsidRDefault="00E2157F" w:rsidP="001D0548">
      <w:pPr>
        <w:pStyle w:val="Paragraphedeliste"/>
        <w:numPr>
          <w:ilvl w:val="0"/>
          <w:numId w:val="85"/>
        </w:numPr>
        <w:tabs>
          <w:tab w:val="right" w:pos="567"/>
        </w:tabs>
        <w:bidi/>
        <w:spacing w:before="240" w:after="0"/>
        <w:ind w:left="0" w:firstLine="0"/>
        <w:outlineLvl w:val="0"/>
        <w:rPr>
          <w:rFonts w:ascii="Simplified Arabic" w:hAnsi="Simplified Arabic" w:cs="Simplified Arabic"/>
          <w:b/>
          <w:bCs/>
          <w:sz w:val="24"/>
          <w:szCs w:val="24"/>
          <w:rtl/>
          <w:lang w:val="en-US"/>
        </w:rPr>
      </w:pPr>
      <w:bookmarkStart w:id="26" w:name="_Toc156966839"/>
      <w:bookmarkStart w:id="27" w:name="_Toc171803286"/>
      <w:r w:rsidRPr="0062340E">
        <w:rPr>
          <w:rFonts w:ascii="Simplified Arabic" w:hAnsi="Simplified Arabic" w:cs="Simplified Arabic" w:hint="cs"/>
          <w:b/>
          <w:bCs/>
          <w:sz w:val="24"/>
          <w:szCs w:val="24"/>
          <w:rtl/>
          <w:lang w:val="en-US"/>
        </w:rPr>
        <w:t>اهداف</w:t>
      </w:r>
      <w:r w:rsidRPr="0062340E">
        <w:rPr>
          <w:rFonts w:ascii="Simplified Arabic" w:hAnsi="Simplified Arabic" w:cs="Simplified Arabic"/>
          <w:b/>
          <w:bCs/>
          <w:sz w:val="24"/>
          <w:szCs w:val="24"/>
          <w:rtl/>
          <w:lang w:val="en-US"/>
        </w:rPr>
        <w:t xml:space="preserve"> البحث:</w:t>
      </w:r>
      <w:bookmarkEnd w:id="26"/>
      <w:bookmarkEnd w:id="27"/>
      <w:r w:rsidRPr="0062340E">
        <w:rPr>
          <w:rFonts w:ascii="Simplified Arabic" w:hAnsi="Simplified Arabic" w:cs="Simplified Arabic" w:hint="cs"/>
          <w:b/>
          <w:bCs/>
          <w:sz w:val="24"/>
          <w:szCs w:val="24"/>
          <w:rtl/>
          <w:lang w:val="en-US"/>
        </w:rPr>
        <w:t xml:space="preserve"> </w:t>
      </w:r>
    </w:p>
    <w:p w:rsidR="00E2157F" w:rsidRPr="0062340E" w:rsidRDefault="00E2157F" w:rsidP="008B59CF">
      <w:pPr>
        <w:pStyle w:val="Paragraphedeliste"/>
        <w:numPr>
          <w:ilvl w:val="1"/>
          <w:numId w:val="77"/>
        </w:numPr>
        <w:tabs>
          <w:tab w:val="right" w:pos="567"/>
        </w:tabs>
        <w:bidi/>
        <w:spacing w:before="240"/>
        <w:ind w:left="0" w:firstLine="0"/>
        <w:outlineLvl w:val="1"/>
        <w:rPr>
          <w:rFonts w:ascii="Simplified Arabic" w:hAnsi="Simplified Arabic" w:cs="Simplified Arabic"/>
          <w:b/>
          <w:bCs/>
          <w:sz w:val="24"/>
          <w:szCs w:val="24"/>
          <w:lang w:val="en-US"/>
        </w:rPr>
      </w:pPr>
      <w:bookmarkStart w:id="28" w:name="_Toc156966840"/>
      <w:bookmarkStart w:id="29" w:name="_Toc171803287"/>
      <w:r w:rsidRPr="0062340E">
        <w:rPr>
          <w:rFonts w:ascii="Simplified Arabic" w:hAnsi="Simplified Arabic" w:cs="Simplified Arabic" w:hint="cs"/>
          <w:b/>
          <w:bCs/>
          <w:sz w:val="24"/>
          <w:szCs w:val="24"/>
          <w:rtl/>
          <w:lang w:val="en-US"/>
        </w:rPr>
        <w:t>الهدف الرئيسي</w:t>
      </w:r>
      <w:bookmarkEnd w:id="28"/>
      <w:bookmarkEnd w:id="29"/>
      <w:r w:rsidRPr="0062340E">
        <w:rPr>
          <w:rFonts w:ascii="Simplified Arabic" w:hAnsi="Simplified Arabic" w:cs="Simplified Arabic" w:hint="cs"/>
          <w:b/>
          <w:bCs/>
          <w:sz w:val="24"/>
          <w:szCs w:val="24"/>
          <w:rtl/>
          <w:lang w:val="en-US"/>
        </w:rPr>
        <w:t xml:space="preserve"> </w:t>
      </w:r>
    </w:p>
    <w:p w:rsidR="00E2157F" w:rsidRPr="0062340E" w:rsidRDefault="00E2157F" w:rsidP="0062340E">
      <w:pPr>
        <w:pStyle w:val="Paragraphedeliste"/>
        <w:tabs>
          <w:tab w:val="right" w:pos="424"/>
        </w:tabs>
        <w:bidi/>
        <w:spacing w:before="240"/>
        <w:ind w:left="-1" w:firstLine="283"/>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rPr>
        <w:t xml:space="preserve">الهدف الرئيسي من البحث هو </w:t>
      </w:r>
      <w:r w:rsidRPr="0062340E">
        <w:rPr>
          <w:rFonts w:ascii="Simplified Arabic" w:hAnsi="Simplified Arabic" w:cs="Simplified Arabic"/>
          <w:sz w:val="24"/>
          <w:szCs w:val="24"/>
          <w:rtl/>
        </w:rPr>
        <w:t>استكشاف ا</w:t>
      </w:r>
      <w:r w:rsidRPr="0062340E">
        <w:rPr>
          <w:rFonts w:ascii="Simplified Arabic" w:hAnsi="Simplified Arabic" w:cs="Simplified Arabic"/>
          <w:sz w:val="24"/>
          <w:szCs w:val="24"/>
          <w:rtl/>
          <w:lang w:val="en-US" w:bidi="ar-DZ"/>
        </w:rPr>
        <w:t>لعلاقة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القائمة </w:t>
      </w:r>
      <w:r w:rsidRPr="0062340E">
        <w:rPr>
          <w:rFonts w:ascii="Simplified Arabic" w:hAnsi="Simplified Arabic" w:cs="Simplified Arabic"/>
          <w:sz w:val="24"/>
          <w:szCs w:val="24"/>
          <w:rtl/>
        </w:rPr>
        <w:t xml:space="preserve">بين </w:t>
      </w:r>
      <w:r w:rsidR="00A7482B" w:rsidRPr="0062340E">
        <w:rPr>
          <w:rFonts w:ascii="Simplified Arabic" w:hAnsi="Simplified Arabic" w:cs="Simplified Arabic" w:hint="cs"/>
          <w:sz w:val="24"/>
          <w:szCs w:val="24"/>
          <w:rtl/>
        </w:rPr>
        <w:t xml:space="preserve">تباين </w:t>
      </w:r>
      <w:r w:rsidR="009B4DC5" w:rsidRPr="0062340E">
        <w:rPr>
          <w:rFonts w:ascii="Simplified Arabic" w:hAnsi="Simplified Arabic" w:cs="Simplified Arabic" w:hint="cs"/>
          <w:sz w:val="24"/>
          <w:szCs w:val="24"/>
          <w:rtl/>
        </w:rPr>
        <w:t>نمط</w:t>
      </w:r>
      <w:r w:rsidRPr="0062340E">
        <w:rPr>
          <w:rFonts w:ascii="Simplified Arabic" w:hAnsi="Simplified Arabic" w:cs="Simplified Arabic" w:hint="cs"/>
          <w:sz w:val="24"/>
          <w:szCs w:val="24"/>
          <w:rtl/>
        </w:rPr>
        <w:t xml:space="preserve"> اس</w:t>
      </w:r>
      <w:r w:rsidR="00A7482B" w:rsidRPr="0062340E">
        <w:rPr>
          <w:rFonts w:ascii="Simplified Arabic" w:hAnsi="Simplified Arabic" w:cs="Simplified Arabic" w:hint="cs"/>
          <w:sz w:val="24"/>
          <w:szCs w:val="24"/>
          <w:rtl/>
        </w:rPr>
        <w:t>تعمالات</w:t>
      </w:r>
      <w:r w:rsidRPr="0062340E">
        <w:rPr>
          <w:rFonts w:ascii="Simplified Arabic" w:hAnsi="Simplified Arabic" w:cs="Simplified Arabic" w:hint="cs"/>
          <w:sz w:val="24"/>
          <w:szCs w:val="24"/>
          <w:rtl/>
        </w:rPr>
        <w:t xml:space="preserve"> الار</w:t>
      </w:r>
      <w:r w:rsidR="00192570" w:rsidRPr="0062340E">
        <w:rPr>
          <w:rFonts w:ascii="Simplified Arabic" w:hAnsi="Simplified Arabic" w:cs="Simplified Arabic" w:hint="cs"/>
          <w:sz w:val="24"/>
          <w:szCs w:val="24"/>
          <w:rtl/>
        </w:rPr>
        <w:t>ا</w:t>
      </w:r>
      <w:r w:rsidRPr="0062340E">
        <w:rPr>
          <w:rFonts w:ascii="Simplified Arabic" w:hAnsi="Simplified Arabic" w:cs="Simplified Arabic" w:hint="cs"/>
          <w:sz w:val="24"/>
          <w:szCs w:val="24"/>
          <w:rtl/>
        </w:rPr>
        <w:t>ض</w:t>
      </w:r>
      <w:r w:rsidR="00192570" w:rsidRPr="0062340E">
        <w:rPr>
          <w:rFonts w:ascii="Simplified Arabic" w:hAnsi="Simplified Arabic" w:cs="Simplified Arabic" w:hint="cs"/>
          <w:sz w:val="24"/>
          <w:szCs w:val="24"/>
          <w:rtl/>
        </w:rPr>
        <w:t>ي</w:t>
      </w:r>
      <w:r w:rsidRPr="0062340E">
        <w:rPr>
          <w:rFonts w:ascii="Simplified Arabic" w:hAnsi="Simplified Arabic" w:cs="Simplified Arabic" w:hint="cs"/>
          <w:sz w:val="24"/>
          <w:szCs w:val="24"/>
          <w:rtl/>
        </w:rPr>
        <w:t xml:space="preserve"> الحضرية </w:t>
      </w:r>
      <w:r w:rsidRPr="0062340E">
        <w:rPr>
          <w:rFonts w:ascii="Simplified Arabic" w:hAnsi="Simplified Arabic" w:cs="Simplified Arabic"/>
          <w:sz w:val="24"/>
          <w:szCs w:val="24"/>
          <w:rtl/>
        </w:rPr>
        <w:t>و</w:t>
      </w:r>
      <w:r w:rsidRPr="0062340E">
        <w:rPr>
          <w:rFonts w:ascii="Simplified Arabic" w:hAnsi="Simplified Arabic" w:cs="Simplified Arabic" w:hint="cs"/>
          <w:sz w:val="24"/>
          <w:szCs w:val="24"/>
          <w:rtl/>
        </w:rPr>
        <w:t xml:space="preserve">مستويات </w:t>
      </w:r>
      <w:r w:rsidR="00B0072A" w:rsidRPr="0062340E">
        <w:rPr>
          <w:rFonts w:ascii="Simplified Arabic" w:hAnsi="Simplified Arabic" w:cs="Simplified Arabic" w:hint="cs"/>
          <w:sz w:val="24"/>
          <w:szCs w:val="24"/>
          <w:rtl/>
        </w:rPr>
        <w:t xml:space="preserve">مرونة </w:t>
      </w:r>
      <w:r w:rsidR="009B4DC5" w:rsidRPr="0062340E">
        <w:rPr>
          <w:rFonts w:ascii="Simplified Arabic" w:hAnsi="Simplified Arabic" w:cs="Simplified Arabic" w:hint="cs"/>
          <w:sz w:val="24"/>
          <w:szCs w:val="24"/>
          <w:rtl/>
        </w:rPr>
        <w:t xml:space="preserve">مدينة </w:t>
      </w:r>
      <w:r w:rsidR="009B4DC5" w:rsidRPr="0062340E">
        <w:rPr>
          <w:rFonts w:ascii="Simplified Arabic" w:hAnsi="Simplified Arabic" w:cs="Simplified Arabic" w:hint="cs"/>
          <w:color w:val="000000" w:themeColor="text1"/>
          <w:sz w:val="24"/>
          <w:szCs w:val="24"/>
          <w:rtl/>
        </w:rPr>
        <w:t>بوسعادة</w:t>
      </w:r>
      <w:r w:rsidRPr="0062340E">
        <w:rPr>
          <w:rFonts w:ascii="Simplified Arabic" w:hAnsi="Simplified Arabic" w:cs="Simplified Arabic" w:hint="cs"/>
          <w:sz w:val="24"/>
          <w:szCs w:val="24"/>
          <w:rtl/>
          <w:lang w:val="en-US"/>
        </w:rPr>
        <w:t>.</w:t>
      </w:r>
    </w:p>
    <w:p w:rsidR="00E2157F" w:rsidRPr="0062340E" w:rsidRDefault="00E2157F" w:rsidP="001D0548">
      <w:pPr>
        <w:pStyle w:val="Paragraphedeliste"/>
        <w:numPr>
          <w:ilvl w:val="1"/>
          <w:numId w:val="86"/>
        </w:numPr>
        <w:tabs>
          <w:tab w:val="right" w:pos="567"/>
        </w:tabs>
        <w:bidi/>
        <w:spacing w:before="240" w:after="0"/>
        <w:ind w:left="0" w:firstLine="0"/>
        <w:outlineLvl w:val="1"/>
        <w:rPr>
          <w:rFonts w:ascii="Simplified Arabic" w:hAnsi="Simplified Arabic" w:cs="Simplified Arabic"/>
          <w:b/>
          <w:bCs/>
          <w:sz w:val="24"/>
          <w:szCs w:val="24"/>
          <w:rtl/>
          <w:lang w:val="en-US"/>
        </w:rPr>
      </w:pPr>
      <w:bookmarkStart w:id="30" w:name="_Toc156966841"/>
      <w:bookmarkStart w:id="31" w:name="_Toc171803288"/>
      <w:r w:rsidRPr="0062340E">
        <w:rPr>
          <w:rFonts w:ascii="Simplified Arabic" w:hAnsi="Simplified Arabic" w:cs="Simplified Arabic" w:hint="cs"/>
          <w:b/>
          <w:bCs/>
          <w:sz w:val="24"/>
          <w:szCs w:val="24"/>
          <w:rtl/>
          <w:lang w:val="en-US"/>
        </w:rPr>
        <w:lastRenderedPageBreak/>
        <w:t>الاهداف الثانوية</w:t>
      </w:r>
      <w:bookmarkEnd w:id="30"/>
      <w:bookmarkEnd w:id="31"/>
    </w:p>
    <w:p w:rsidR="00E2157F" w:rsidRPr="0062340E" w:rsidRDefault="00EF14A9" w:rsidP="00770CA1">
      <w:pPr>
        <w:pStyle w:val="Paragraphedeliste"/>
        <w:numPr>
          <w:ilvl w:val="0"/>
          <w:numId w:val="56"/>
        </w:numPr>
        <w:tabs>
          <w:tab w:val="right" w:pos="424"/>
        </w:tabs>
        <w:bidi/>
        <w:spacing w:before="240" w:after="0"/>
        <w:ind w:left="-1" w:firstLine="1"/>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val="en-US"/>
        </w:rPr>
        <w:t xml:space="preserve">تطوير اطار عمل </w:t>
      </w:r>
      <w:r w:rsidR="00663EEC" w:rsidRPr="0062340E">
        <w:rPr>
          <w:rFonts w:ascii="Simplified Arabic" w:hAnsi="Simplified Arabic" w:cs="Simplified Arabic" w:hint="cs"/>
          <w:sz w:val="24"/>
          <w:szCs w:val="24"/>
          <w:rtl/>
          <w:lang w:val="en-US"/>
        </w:rPr>
        <w:t>ي</w:t>
      </w:r>
      <w:r w:rsidR="0039775D" w:rsidRPr="0062340E">
        <w:rPr>
          <w:rFonts w:ascii="Simplified Arabic" w:hAnsi="Simplified Arabic" w:cs="Simplified Arabic" w:hint="cs"/>
          <w:sz w:val="24"/>
          <w:szCs w:val="24"/>
          <w:rtl/>
          <w:lang w:val="en-US"/>
        </w:rPr>
        <w:t>سمح ب</w:t>
      </w:r>
      <w:r w:rsidR="00257022" w:rsidRPr="0062340E">
        <w:rPr>
          <w:rFonts w:ascii="Simplified Arabic" w:hAnsi="Simplified Arabic" w:cs="Simplified Arabic" w:hint="cs"/>
          <w:sz w:val="24"/>
          <w:szCs w:val="24"/>
          <w:rtl/>
          <w:lang w:val="en-US"/>
        </w:rPr>
        <w:t xml:space="preserve">تحديد معايير </w:t>
      </w:r>
      <w:r w:rsidR="00BA3C04" w:rsidRPr="0062340E">
        <w:rPr>
          <w:rFonts w:ascii="Simplified Arabic" w:hAnsi="Simplified Arabic" w:cs="Simplified Arabic" w:hint="cs"/>
          <w:sz w:val="24"/>
          <w:szCs w:val="24"/>
          <w:rtl/>
          <w:lang w:val="en-US"/>
        </w:rPr>
        <w:t>تقييم</w:t>
      </w:r>
      <w:r w:rsidR="00162103" w:rsidRPr="0062340E">
        <w:rPr>
          <w:rFonts w:ascii="Simplified Arabic" w:hAnsi="Simplified Arabic" w:cs="Simplified Arabic"/>
          <w:sz w:val="24"/>
          <w:szCs w:val="24"/>
          <w:rtl/>
          <w:lang w:val="en-US"/>
        </w:rPr>
        <w:t xml:space="preserve"> </w:t>
      </w:r>
      <w:r w:rsidR="00BA3C04" w:rsidRPr="0062340E">
        <w:rPr>
          <w:rFonts w:ascii="Simplified Arabic" w:hAnsi="Simplified Arabic" w:cs="Simplified Arabic" w:hint="cs"/>
          <w:sz w:val="24"/>
          <w:szCs w:val="24"/>
          <w:rtl/>
          <w:lang w:val="en-US"/>
        </w:rPr>
        <w:t>مستويات</w:t>
      </w:r>
      <w:r w:rsidR="00162103" w:rsidRPr="0062340E">
        <w:rPr>
          <w:rFonts w:ascii="Simplified Arabic" w:hAnsi="Simplified Arabic" w:cs="Simplified Arabic"/>
          <w:sz w:val="24"/>
          <w:szCs w:val="24"/>
          <w:rtl/>
          <w:lang w:val="en-US"/>
        </w:rPr>
        <w:t xml:space="preserve"> </w:t>
      </w:r>
      <w:r w:rsidR="00162103" w:rsidRPr="0062340E">
        <w:rPr>
          <w:rFonts w:ascii="Simplified Arabic" w:hAnsi="Simplified Arabic" w:cs="Simplified Arabic" w:hint="cs"/>
          <w:sz w:val="24"/>
          <w:szCs w:val="24"/>
          <w:rtl/>
          <w:lang w:val="en-US"/>
        </w:rPr>
        <w:t xml:space="preserve">مرونة </w:t>
      </w:r>
      <w:r w:rsidR="00E2157F" w:rsidRPr="0062340E">
        <w:rPr>
          <w:rFonts w:ascii="Simplified Arabic" w:hAnsi="Simplified Arabic" w:cs="Simplified Arabic" w:hint="cs"/>
          <w:sz w:val="24"/>
          <w:szCs w:val="24"/>
          <w:rtl/>
        </w:rPr>
        <w:t xml:space="preserve">مدينة </w:t>
      </w:r>
      <w:r w:rsidR="00E2157F" w:rsidRPr="0062340E">
        <w:rPr>
          <w:rFonts w:ascii="Simplified Arabic" w:hAnsi="Simplified Arabic" w:cs="Simplified Arabic" w:hint="cs"/>
          <w:color w:val="000000" w:themeColor="text1"/>
          <w:sz w:val="24"/>
          <w:szCs w:val="24"/>
          <w:rtl/>
        </w:rPr>
        <w:t>بوسعادة</w:t>
      </w:r>
      <w:r w:rsidR="00A30733" w:rsidRPr="0062340E">
        <w:rPr>
          <w:rFonts w:ascii="Simplified Arabic" w:hAnsi="Simplified Arabic" w:cs="Simplified Arabic" w:hint="cs"/>
          <w:sz w:val="24"/>
          <w:szCs w:val="24"/>
          <w:rtl/>
          <w:lang w:val="en-US" w:bidi="ar-DZ"/>
        </w:rPr>
        <w:t>.</w:t>
      </w:r>
      <w:r w:rsidR="00E2157F" w:rsidRPr="0062340E">
        <w:rPr>
          <w:rFonts w:ascii="Simplified Arabic" w:hAnsi="Simplified Arabic" w:cs="Simplified Arabic"/>
          <w:sz w:val="24"/>
          <w:szCs w:val="24"/>
          <w:rtl/>
          <w:lang w:val="en-US" w:bidi="ar-DZ"/>
        </w:rPr>
        <w:t xml:space="preserve"> </w:t>
      </w:r>
      <w:r w:rsidR="007344B2" w:rsidRPr="0062340E">
        <w:rPr>
          <w:rFonts w:ascii="Simplified Arabic" w:hAnsi="Simplified Arabic" w:cs="Simplified Arabic"/>
          <w:sz w:val="24"/>
          <w:szCs w:val="24"/>
          <w:rtl/>
          <w:lang w:val="en-US" w:bidi="ar-DZ"/>
        </w:rPr>
        <w:t>–</w:t>
      </w:r>
      <w:r w:rsidR="00A30733" w:rsidRPr="0062340E">
        <w:rPr>
          <w:rFonts w:ascii="Simplified Arabic" w:hAnsi="Simplified Arabic" w:cs="Simplified Arabic" w:hint="cs"/>
          <w:sz w:val="24"/>
          <w:szCs w:val="24"/>
          <w:rtl/>
          <w:lang w:val="en-US" w:bidi="ar-DZ"/>
        </w:rPr>
        <w:t xml:space="preserve"> </w:t>
      </w:r>
      <w:r w:rsidR="007344B2" w:rsidRPr="0062340E">
        <w:rPr>
          <w:rFonts w:ascii="Simplified Arabic" w:hAnsi="Simplified Arabic" w:cs="Simplified Arabic" w:hint="cs"/>
          <w:sz w:val="24"/>
          <w:szCs w:val="24"/>
          <w:rtl/>
          <w:lang w:val="en-US" w:bidi="ar-DZ"/>
        </w:rPr>
        <w:t xml:space="preserve">تحديد </w:t>
      </w:r>
      <w:r w:rsidR="00A30733" w:rsidRPr="0062340E">
        <w:rPr>
          <w:rFonts w:ascii="Simplified Arabic" w:hAnsi="Simplified Arabic" w:cs="Simplified Arabic" w:hint="cs"/>
          <w:color w:val="000000" w:themeColor="text1"/>
          <w:sz w:val="24"/>
          <w:szCs w:val="24"/>
          <w:rtl/>
        </w:rPr>
        <w:t>تصورات</w:t>
      </w:r>
      <w:r w:rsidR="00A30733" w:rsidRPr="0062340E">
        <w:rPr>
          <w:rFonts w:ascii="Simplified Arabic" w:hAnsi="Simplified Arabic" w:cs="Simplified Arabic"/>
          <w:color w:val="000000" w:themeColor="text1"/>
          <w:sz w:val="24"/>
          <w:szCs w:val="24"/>
          <w:rtl/>
        </w:rPr>
        <w:t xml:space="preserve"> </w:t>
      </w:r>
      <w:r w:rsidR="00A30733" w:rsidRPr="0062340E">
        <w:rPr>
          <w:rFonts w:ascii="Simplified Arabic" w:hAnsi="Simplified Arabic" w:cs="Simplified Arabic" w:hint="cs"/>
          <w:color w:val="000000" w:themeColor="text1"/>
          <w:sz w:val="24"/>
          <w:szCs w:val="24"/>
          <w:rtl/>
        </w:rPr>
        <w:t>السكان المحليين حول اضطرابات الحصول على الخدمة</w:t>
      </w:r>
      <w:r w:rsidR="007344B2" w:rsidRPr="0062340E">
        <w:rPr>
          <w:rFonts w:ascii="Simplified Arabic" w:hAnsi="Simplified Arabic" w:cs="Simplified Arabic" w:hint="cs"/>
          <w:color w:val="000000" w:themeColor="text1"/>
          <w:sz w:val="24"/>
          <w:szCs w:val="24"/>
          <w:rtl/>
        </w:rPr>
        <w:t xml:space="preserve"> لرفع مستوى المرونة الحضرية</w:t>
      </w:r>
      <w:r w:rsidR="00A30733" w:rsidRPr="0062340E">
        <w:rPr>
          <w:rFonts w:ascii="Simplified Arabic" w:hAnsi="Simplified Arabic" w:cs="Simplified Arabic" w:hint="cs"/>
          <w:color w:val="000000" w:themeColor="text1"/>
          <w:sz w:val="24"/>
          <w:szCs w:val="24"/>
          <w:rtl/>
        </w:rPr>
        <w:t>.</w:t>
      </w:r>
    </w:p>
    <w:p w:rsidR="00E2157F" w:rsidRPr="0062340E" w:rsidRDefault="00E2157F" w:rsidP="006D22A4">
      <w:pPr>
        <w:pStyle w:val="Paragraphedeliste"/>
        <w:numPr>
          <w:ilvl w:val="0"/>
          <w:numId w:val="56"/>
        </w:numPr>
        <w:tabs>
          <w:tab w:val="right" w:pos="424"/>
        </w:tabs>
        <w:bidi/>
        <w:spacing w:after="0"/>
        <w:ind w:left="-1" w:firstLine="1"/>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bidi="ar-DZ"/>
        </w:rPr>
        <w:t>تنفيذ</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sz w:val="24"/>
          <w:szCs w:val="24"/>
          <w:rtl/>
          <w:lang w:val="en-US"/>
        </w:rPr>
        <w:t>نم</w:t>
      </w:r>
      <w:r w:rsidRPr="0062340E">
        <w:rPr>
          <w:rFonts w:ascii="Simplified Arabic" w:hAnsi="Simplified Arabic" w:cs="Simplified Arabic" w:hint="cs"/>
          <w:sz w:val="24"/>
          <w:szCs w:val="24"/>
          <w:rtl/>
          <w:lang w:val="en-US"/>
        </w:rPr>
        <w:t>و</w:t>
      </w:r>
      <w:r w:rsidRPr="0062340E">
        <w:rPr>
          <w:rFonts w:ascii="Simplified Arabic" w:hAnsi="Simplified Arabic" w:cs="Simplified Arabic"/>
          <w:sz w:val="24"/>
          <w:szCs w:val="24"/>
          <w:rtl/>
          <w:lang w:val="en-US"/>
        </w:rPr>
        <w:t xml:space="preserve">ذج </w:t>
      </w:r>
      <w:r w:rsidRPr="0062340E">
        <w:rPr>
          <w:rFonts w:ascii="Simplified Arabic" w:hAnsi="Simplified Arabic" w:cs="Simplified Arabic" w:hint="cs"/>
          <w:sz w:val="24"/>
          <w:szCs w:val="24"/>
          <w:rtl/>
          <w:lang w:bidi="ar-DZ"/>
        </w:rPr>
        <w:t>يسمح ب</w:t>
      </w:r>
      <w:r w:rsidRPr="0062340E">
        <w:rPr>
          <w:rFonts w:ascii="Simplified Arabic" w:hAnsi="Simplified Arabic" w:cs="Simplified Arabic" w:hint="cs"/>
          <w:color w:val="000000" w:themeColor="text1"/>
          <w:sz w:val="24"/>
          <w:szCs w:val="24"/>
          <w:rtl/>
        </w:rPr>
        <w:t xml:space="preserve">كشف توافر </w:t>
      </w:r>
      <w:r w:rsidRPr="0062340E">
        <w:rPr>
          <w:rFonts w:ascii="Simplified Arabic" w:hAnsi="Simplified Arabic" w:cs="Simplified Arabic" w:hint="cs"/>
          <w:sz w:val="24"/>
          <w:szCs w:val="24"/>
          <w:rtl/>
        </w:rPr>
        <w:t>سمات</w:t>
      </w:r>
      <w:r w:rsidRPr="0062340E">
        <w:rPr>
          <w:rFonts w:ascii="Simplified Arabic" w:hAnsi="Simplified Arabic" w:cs="Simplified Arabic"/>
          <w:sz w:val="24"/>
          <w:szCs w:val="24"/>
          <w:rtl/>
        </w:rPr>
        <w:t xml:space="preserve"> </w:t>
      </w:r>
      <w:r w:rsidR="007301EE" w:rsidRPr="0062340E">
        <w:rPr>
          <w:rFonts w:ascii="Simplified Arabic" w:hAnsi="Simplified Arabic" w:cs="Simplified Arabic" w:hint="cs"/>
          <w:sz w:val="24"/>
          <w:szCs w:val="24"/>
          <w:rtl/>
        </w:rPr>
        <w:t xml:space="preserve">المرونة المكانية </w:t>
      </w:r>
      <w:r w:rsidR="00F94B7D" w:rsidRPr="0062340E">
        <w:rPr>
          <w:rFonts w:ascii="Simplified Arabic" w:hAnsi="Simplified Arabic" w:cs="Simplified Arabic" w:hint="cs"/>
          <w:sz w:val="24"/>
          <w:szCs w:val="24"/>
          <w:rtl/>
        </w:rPr>
        <w:t xml:space="preserve">عبر مختلف </w:t>
      </w:r>
      <w:r w:rsidR="00257022" w:rsidRPr="0062340E">
        <w:rPr>
          <w:rFonts w:ascii="Simplified Arabic" w:hAnsi="Simplified Arabic" w:cs="Simplified Arabic" w:hint="cs"/>
          <w:sz w:val="24"/>
          <w:szCs w:val="24"/>
          <w:rtl/>
        </w:rPr>
        <w:t xml:space="preserve">احياء </w:t>
      </w:r>
      <w:r w:rsidR="00F94B7D" w:rsidRPr="0062340E">
        <w:rPr>
          <w:rFonts w:ascii="Simplified Arabic" w:hAnsi="Simplified Arabic" w:cs="Simplified Arabic" w:hint="cs"/>
          <w:sz w:val="24"/>
          <w:szCs w:val="24"/>
          <w:rtl/>
        </w:rPr>
        <w:t xml:space="preserve">فئات الانسجة </w:t>
      </w:r>
      <w:r w:rsidR="00F94B7D" w:rsidRPr="0062340E">
        <w:rPr>
          <w:rFonts w:ascii="Simplified Arabic" w:hAnsi="Simplified Arabic" w:cs="Simplified Arabic" w:hint="cs"/>
          <w:color w:val="000000" w:themeColor="text1"/>
          <w:sz w:val="24"/>
          <w:szCs w:val="24"/>
          <w:rtl/>
        </w:rPr>
        <w:t>الحضرية ل</w:t>
      </w:r>
      <w:r w:rsidR="00F94B7D" w:rsidRPr="0062340E">
        <w:rPr>
          <w:rFonts w:ascii="Simplified Arabic" w:hAnsi="Simplified Arabic" w:cs="Simplified Arabic" w:hint="cs"/>
          <w:sz w:val="24"/>
          <w:szCs w:val="24"/>
          <w:rtl/>
        </w:rPr>
        <w:t xml:space="preserve">مدينة </w:t>
      </w:r>
      <w:r w:rsidR="00F94B7D" w:rsidRPr="0062340E">
        <w:rPr>
          <w:rFonts w:ascii="Simplified Arabic" w:hAnsi="Simplified Arabic" w:cs="Simplified Arabic" w:hint="cs"/>
          <w:color w:val="000000" w:themeColor="text1"/>
          <w:sz w:val="24"/>
          <w:szCs w:val="24"/>
          <w:rtl/>
        </w:rPr>
        <w:t>بوسعادة</w:t>
      </w:r>
      <w:r w:rsidR="00F94B7D" w:rsidRPr="0062340E">
        <w:rPr>
          <w:rFonts w:ascii="Simplified Arabic" w:hAnsi="Simplified Arabic" w:cs="Simplified Arabic" w:hint="cs"/>
          <w:sz w:val="24"/>
          <w:szCs w:val="24"/>
          <w:rtl/>
        </w:rPr>
        <w:t xml:space="preserve"> </w:t>
      </w:r>
      <w:r w:rsidR="007301EE" w:rsidRPr="0062340E">
        <w:rPr>
          <w:rFonts w:ascii="Simplified Arabic" w:hAnsi="Simplified Arabic" w:cs="Simplified Arabic" w:hint="cs"/>
          <w:sz w:val="24"/>
          <w:szCs w:val="24"/>
          <w:rtl/>
        </w:rPr>
        <w:t xml:space="preserve">من خلال </w:t>
      </w:r>
      <w:r w:rsidR="00312268" w:rsidRPr="0062340E">
        <w:rPr>
          <w:rFonts w:ascii="Simplified Arabic" w:hAnsi="Simplified Arabic" w:cs="Simplified Arabic" w:hint="cs"/>
          <w:sz w:val="24"/>
          <w:szCs w:val="24"/>
          <w:rtl/>
        </w:rPr>
        <w:t>تحليل خصائص</w:t>
      </w:r>
      <w:r w:rsidR="007301EE" w:rsidRPr="0062340E">
        <w:rPr>
          <w:rFonts w:ascii="Simplified Arabic" w:hAnsi="Simplified Arabic" w:cs="Simplified Arabic" w:hint="cs"/>
          <w:sz w:val="24"/>
          <w:szCs w:val="24"/>
          <w:rtl/>
        </w:rPr>
        <w:t xml:space="preserve"> </w:t>
      </w:r>
      <w:r w:rsidR="00257022" w:rsidRPr="0062340E">
        <w:rPr>
          <w:rFonts w:ascii="Simplified Arabic" w:hAnsi="Simplified Arabic" w:cs="Simplified Arabic" w:hint="cs"/>
          <w:sz w:val="24"/>
          <w:szCs w:val="24"/>
          <w:rtl/>
        </w:rPr>
        <w:t xml:space="preserve">التوزيع المكاني لاستعمالات </w:t>
      </w:r>
      <w:r w:rsidR="009B4DC5" w:rsidRPr="0062340E">
        <w:rPr>
          <w:rFonts w:ascii="Simplified Arabic" w:hAnsi="Simplified Arabic" w:cs="Simplified Arabic" w:hint="cs"/>
          <w:sz w:val="24"/>
          <w:szCs w:val="24"/>
          <w:rtl/>
        </w:rPr>
        <w:t>الارض الحضرية</w:t>
      </w:r>
      <w:r w:rsidRPr="0062340E">
        <w:rPr>
          <w:rFonts w:ascii="Simplified Arabic" w:hAnsi="Simplified Arabic" w:cs="Simplified Arabic"/>
          <w:sz w:val="24"/>
          <w:szCs w:val="24"/>
          <w:rtl/>
          <w:lang w:val="en-US"/>
        </w:rPr>
        <w:t>.</w:t>
      </w:r>
    </w:p>
    <w:p w:rsidR="0022082E" w:rsidRPr="0062340E" w:rsidRDefault="00E2157F" w:rsidP="001D0548">
      <w:pPr>
        <w:pStyle w:val="Paragraphedeliste"/>
        <w:numPr>
          <w:ilvl w:val="0"/>
          <w:numId w:val="85"/>
        </w:numPr>
        <w:bidi/>
        <w:spacing w:before="240" w:after="0"/>
        <w:ind w:left="142" w:firstLine="0"/>
        <w:outlineLvl w:val="0"/>
        <w:rPr>
          <w:rFonts w:ascii="Simplified Arabic" w:hAnsi="Simplified Arabic" w:cs="Simplified Arabic"/>
          <w:b/>
          <w:bCs/>
          <w:sz w:val="24"/>
          <w:szCs w:val="24"/>
          <w:rtl/>
          <w:lang w:val="en-US"/>
        </w:rPr>
      </w:pPr>
      <w:bookmarkStart w:id="32" w:name="_Toc171803289"/>
      <w:r w:rsidRPr="0062340E">
        <w:rPr>
          <w:rFonts w:ascii="Simplified Arabic" w:hAnsi="Simplified Arabic" w:cs="Simplified Arabic"/>
          <w:b/>
          <w:bCs/>
          <w:sz w:val="24"/>
          <w:szCs w:val="24"/>
          <w:rtl/>
          <w:lang w:val="en-US"/>
        </w:rPr>
        <w:t>فرضي</w:t>
      </w:r>
      <w:r w:rsidRPr="0062340E">
        <w:rPr>
          <w:rFonts w:ascii="Simplified Arabic" w:hAnsi="Simplified Arabic" w:cs="Simplified Arabic" w:hint="cs"/>
          <w:b/>
          <w:bCs/>
          <w:sz w:val="24"/>
          <w:szCs w:val="24"/>
          <w:rtl/>
          <w:lang w:val="en-US"/>
        </w:rPr>
        <w:t>ات</w:t>
      </w:r>
      <w:r w:rsidRPr="0062340E">
        <w:rPr>
          <w:rFonts w:ascii="Simplified Arabic" w:hAnsi="Simplified Arabic" w:cs="Simplified Arabic"/>
          <w:b/>
          <w:bCs/>
          <w:sz w:val="24"/>
          <w:szCs w:val="24"/>
          <w:rtl/>
          <w:lang w:val="en-US"/>
        </w:rPr>
        <w:t xml:space="preserve"> البحث:</w:t>
      </w:r>
      <w:bookmarkEnd w:id="32"/>
      <w:r w:rsidRPr="0062340E">
        <w:rPr>
          <w:rFonts w:ascii="Simplified Arabic" w:hAnsi="Simplified Arabic" w:cs="Simplified Arabic"/>
          <w:b/>
          <w:bCs/>
          <w:sz w:val="24"/>
          <w:szCs w:val="24"/>
          <w:rtl/>
          <w:lang w:val="en-US"/>
        </w:rPr>
        <w:t xml:space="preserve"> </w:t>
      </w:r>
    </w:p>
    <w:p w:rsidR="00EB51C2" w:rsidRPr="0062340E" w:rsidRDefault="00EB51C2" w:rsidP="006D22A4">
      <w:pPr>
        <w:pStyle w:val="Paragraphedeliste"/>
        <w:numPr>
          <w:ilvl w:val="0"/>
          <w:numId w:val="58"/>
        </w:numPr>
        <w:tabs>
          <w:tab w:val="right" w:pos="425"/>
        </w:tabs>
        <w:bidi/>
        <w:spacing w:before="240" w:after="0"/>
        <w:ind w:left="0" w:firstLine="0"/>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val="en-US"/>
        </w:rPr>
        <w:t xml:space="preserve">تقييم </w:t>
      </w:r>
      <w:r w:rsidR="005E0AEE" w:rsidRPr="0062340E">
        <w:rPr>
          <w:rFonts w:ascii="Simplified Arabic" w:hAnsi="Simplified Arabic" w:cs="Simplified Arabic" w:hint="cs"/>
          <w:sz w:val="24"/>
          <w:szCs w:val="24"/>
          <w:rtl/>
          <w:lang w:val="en-US"/>
        </w:rPr>
        <w:t xml:space="preserve">مستويات </w:t>
      </w:r>
      <w:r w:rsidRPr="0062340E">
        <w:rPr>
          <w:rFonts w:ascii="Simplified Arabic" w:hAnsi="Simplified Arabic" w:cs="Simplified Arabic"/>
          <w:sz w:val="24"/>
          <w:szCs w:val="24"/>
          <w:rtl/>
          <w:lang w:val="en-US"/>
        </w:rPr>
        <w:t xml:space="preserve">مرونة </w:t>
      </w:r>
      <w:r w:rsidRPr="0062340E">
        <w:rPr>
          <w:rFonts w:ascii="Simplified Arabic" w:hAnsi="Simplified Arabic" w:cs="Simplified Arabic" w:hint="cs"/>
          <w:sz w:val="24"/>
          <w:szCs w:val="24"/>
          <w:rtl/>
          <w:lang w:val="en-US"/>
        </w:rPr>
        <w:t>مدينة بوسعادة</w:t>
      </w:r>
      <w:r w:rsidR="004E52D9" w:rsidRPr="0062340E">
        <w:rPr>
          <w:rFonts w:ascii="Simplified Arabic" w:hAnsi="Simplified Arabic" w:cs="Simplified Arabic" w:hint="cs"/>
          <w:sz w:val="24"/>
          <w:szCs w:val="24"/>
          <w:rtl/>
          <w:lang w:val="en-US"/>
        </w:rPr>
        <w:t>،</w:t>
      </w:r>
      <w:r w:rsidRPr="0062340E">
        <w:rPr>
          <w:rFonts w:ascii="Simplified Arabic" w:hAnsi="Simplified Arabic" w:cs="Simplified Arabic"/>
          <w:sz w:val="24"/>
          <w:szCs w:val="24"/>
          <w:rtl/>
          <w:lang w:val="en-US"/>
        </w:rPr>
        <w:t xml:space="preserve"> </w:t>
      </w:r>
      <w:r w:rsidR="004E52D9" w:rsidRPr="0062340E">
        <w:rPr>
          <w:rFonts w:ascii="Simplified Arabic" w:hAnsi="Simplified Arabic" w:cs="Simplified Arabic"/>
          <w:sz w:val="24"/>
          <w:szCs w:val="24"/>
          <w:rtl/>
          <w:lang w:val="en-US"/>
        </w:rPr>
        <w:t xml:space="preserve">يتضمن </w:t>
      </w:r>
      <w:r w:rsidRPr="0062340E">
        <w:rPr>
          <w:rFonts w:ascii="Simplified Arabic" w:hAnsi="Simplified Arabic" w:cs="Simplified Arabic"/>
          <w:sz w:val="24"/>
          <w:szCs w:val="24"/>
          <w:rtl/>
          <w:lang w:val="en-US"/>
        </w:rPr>
        <w:t xml:space="preserve">فحص مجموعة من </w:t>
      </w:r>
      <w:r w:rsidRPr="0062340E">
        <w:rPr>
          <w:rFonts w:ascii="Simplified Arabic" w:hAnsi="Simplified Arabic" w:cs="Simplified Arabic" w:hint="cs"/>
          <w:sz w:val="24"/>
          <w:szCs w:val="24"/>
          <w:rtl/>
          <w:lang w:val="en-US"/>
        </w:rPr>
        <w:t>المعايير (</w:t>
      </w:r>
      <w:r w:rsidRPr="0062340E">
        <w:rPr>
          <w:rFonts w:ascii="Simplified Arabic" w:hAnsi="Simplified Arabic" w:cs="Simplified Arabic"/>
          <w:sz w:val="24"/>
          <w:szCs w:val="24"/>
          <w:rtl/>
          <w:lang w:val="en-US"/>
        </w:rPr>
        <w:t>الع</w:t>
      </w:r>
      <w:r w:rsidRPr="0062340E">
        <w:rPr>
          <w:rFonts w:ascii="Simplified Arabic" w:hAnsi="Simplified Arabic" w:cs="Simplified Arabic" w:hint="cs"/>
          <w:sz w:val="24"/>
          <w:szCs w:val="24"/>
          <w:rtl/>
          <w:lang w:val="en-US"/>
        </w:rPr>
        <w:t>ناصر</w:t>
      </w:r>
      <w:r w:rsidRPr="0062340E">
        <w:rPr>
          <w:rFonts w:ascii="Simplified Arabic" w:hAnsi="Simplified Arabic" w:cs="Simplified Arabic"/>
          <w:sz w:val="24"/>
          <w:szCs w:val="24"/>
          <w:rtl/>
          <w:lang w:val="en-US"/>
        </w:rPr>
        <w:t xml:space="preserve"> الحضرية</w:t>
      </w:r>
      <w:r w:rsidRPr="0062340E">
        <w:rPr>
          <w:rFonts w:ascii="Simplified Arabic" w:hAnsi="Simplified Arabic" w:cs="Simplified Arabic" w:hint="cs"/>
          <w:sz w:val="24"/>
          <w:szCs w:val="24"/>
          <w:rtl/>
          <w:lang w:val="en-US"/>
        </w:rPr>
        <w:t xml:space="preserve">) المرتبطة بالتوزيع المكاني لاستعمالات الاراضي الحضرية. - </w:t>
      </w:r>
      <w:r w:rsidRPr="0062340E">
        <w:rPr>
          <w:rFonts w:ascii="Simplified Arabic" w:hAnsi="Simplified Arabic" w:cs="Simplified Arabic" w:hint="cs"/>
          <w:color w:val="000000" w:themeColor="text1"/>
          <w:sz w:val="24"/>
          <w:szCs w:val="24"/>
          <w:rtl/>
        </w:rPr>
        <w:t xml:space="preserve">يمكن الرفع من مستوى مرونة </w:t>
      </w:r>
      <w:r w:rsidR="0080393A" w:rsidRPr="0062340E">
        <w:rPr>
          <w:rFonts w:ascii="Simplified Arabic" w:hAnsi="Simplified Arabic" w:cs="Simplified Arabic" w:hint="cs"/>
          <w:sz w:val="24"/>
          <w:szCs w:val="24"/>
          <w:rtl/>
          <w:lang w:val="en-US"/>
        </w:rPr>
        <w:t>مدينة بوسعادة</w:t>
      </w:r>
      <w:r w:rsidR="0080393A" w:rsidRPr="0062340E">
        <w:rPr>
          <w:rFonts w:ascii="Simplified Arabic" w:hAnsi="Simplified Arabic" w:cs="Simplified Arabic"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 خلال التحقيق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تصورات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السكان المحليين حول اضطرابات الحصول على الخدمة</w:t>
      </w:r>
      <w:r w:rsidRPr="0062340E">
        <w:rPr>
          <w:rFonts w:ascii="Simplified Arabic" w:hAnsi="Simplified Arabic" w:cs="Simplified Arabic"/>
          <w:sz w:val="24"/>
          <w:szCs w:val="24"/>
          <w:rtl/>
          <w:lang w:bidi="ar-DZ"/>
        </w:rPr>
        <w:t>.</w:t>
      </w:r>
    </w:p>
    <w:p w:rsidR="00E2157F" w:rsidRDefault="00B61C41" w:rsidP="00B61C41">
      <w:pPr>
        <w:pStyle w:val="Paragraphedeliste"/>
        <w:numPr>
          <w:ilvl w:val="0"/>
          <w:numId w:val="58"/>
        </w:numPr>
        <w:tabs>
          <w:tab w:val="right" w:pos="425"/>
        </w:tabs>
        <w:bidi/>
        <w:spacing w:after="0"/>
        <w:ind w:left="0" w:firstLine="0"/>
        <w:jc w:val="both"/>
        <w:rPr>
          <w:rFonts w:ascii="Simplified Arabic" w:hAnsi="Simplified Arabic" w:cs="Simplified Arabic"/>
          <w:sz w:val="24"/>
          <w:szCs w:val="24"/>
          <w:lang w:bidi="ar-DZ"/>
        </w:rPr>
      </w:pPr>
      <w:r w:rsidRPr="00370032">
        <w:rPr>
          <w:rFonts w:ascii="Simplified Arabic" w:hAnsi="Simplified Arabic" w:cs="Simplified Arabic" w:hint="cs"/>
          <w:sz w:val="24"/>
          <w:szCs w:val="24"/>
          <w:rtl/>
          <w:lang w:bidi="ar-DZ"/>
        </w:rPr>
        <w:t xml:space="preserve">كلما </w:t>
      </w:r>
      <w:r w:rsidRPr="00370032">
        <w:rPr>
          <w:rFonts w:ascii="Simplified Arabic" w:hAnsi="Simplified Arabic" w:cs="Simplified Arabic" w:hint="cs"/>
          <w:color w:val="000000" w:themeColor="text1"/>
          <w:sz w:val="24"/>
          <w:szCs w:val="24"/>
          <w:rtl/>
        </w:rPr>
        <w:t xml:space="preserve">توافرت احياء </w:t>
      </w:r>
      <w:r w:rsidRPr="00370032">
        <w:rPr>
          <w:rFonts w:ascii="Simplified Arabic" w:hAnsi="Simplified Arabic" w:cs="Simplified Arabic" w:hint="cs"/>
          <w:sz w:val="24"/>
          <w:szCs w:val="24"/>
          <w:rtl/>
        </w:rPr>
        <w:t xml:space="preserve">فئات الانسجة </w:t>
      </w:r>
      <w:r w:rsidRPr="00370032">
        <w:rPr>
          <w:rFonts w:ascii="Simplified Arabic" w:hAnsi="Simplified Arabic" w:cs="Simplified Arabic" w:hint="cs"/>
          <w:color w:val="000000" w:themeColor="text1"/>
          <w:sz w:val="24"/>
          <w:szCs w:val="24"/>
          <w:rtl/>
        </w:rPr>
        <w:t>الحضرية ل</w:t>
      </w:r>
      <w:r w:rsidRPr="00370032">
        <w:rPr>
          <w:rFonts w:ascii="Simplified Arabic" w:hAnsi="Simplified Arabic" w:cs="Simplified Arabic" w:hint="cs"/>
          <w:sz w:val="24"/>
          <w:szCs w:val="24"/>
          <w:rtl/>
        </w:rPr>
        <w:t xml:space="preserve">مدينة </w:t>
      </w:r>
      <w:r w:rsidRPr="00370032">
        <w:rPr>
          <w:rFonts w:ascii="Simplified Arabic" w:hAnsi="Simplified Arabic" w:cs="Simplified Arabic" w:hint="cs"/>
          <w:color w:val="000000" w:themeColor="text1"/>
          <w:sz w:val="24"/>
          <w:szCs w:val="24"/>
          <w:rtl/>
        </w:rPr>
        <w:t>بوسعادة</w:t>
      </w:r>
      <w:r w:rsidRPr="00370032">
        <w:rPr>
          <w:rFonts w:ascii="Simplified Arabic" w:hAnsi="Simplified Arabic" w:cs="Simplified Arabic" w:hint="cs"/>
          <w:sz w:val="24"/>
          <w:szCs w:val="24"/>
          <w:rtl/>
          <w:lang w:bidi="ar-DZ"/>
        </w:rPr>
        <w:t xml:space="preserve"> على قيم عددية اعلى ل</w:t>
      </w:r>
      <w:r w:rsidRPr="00370032">
        <w:rPr>
          <w:rFonts w:ascii="Simplified Arabic" w:hAnsi="Simplified Arabic" w:cs="Simplified Arabic" w:hint="cs"/>
          <w:color w:val="000000" w:themeColor="text1"/>
          <w:sz w:val="24"/>
          <w:szCs w:val="24"/>
          <w:rtl/>
        </w:rPr>
        <w:t xml:space="preserve">سمات المرونة المكانية </w:t>
      </w:r>
      <w:r>
        <w:rPr>
          <w:rFonts w:ascii="Simplified Arabic" w:hAnsi="Simplified Arabic" w:cs="Simplified Arabic" w:hint="cs"/>
          <w:sz w:val="24"/>
          <w:szCs w:val="24"/>
          <w:rtl/>
          <w:lang w:bidi="ar-DZ"/>
        </w:rPr>
        <w:t xml:space="preserve">كلما توفرت </w:t>
      </w:r>
      <w:r w:rsidRPr="00370032">
        <w:rPr>
          <w:rFonts w:ascii="Simplified Arabic" w:hAnsi="Simplified Arabic" w:cs="Simplified Arabic" w:hint="cs"/>
          <w:sz w:val="24"/>
          <w:szCs w:val="24"/>
          <w:rtl/>
          <w:lang w:bidi="ar-DZ"/>
        </w:rPr>
        <w:t xml:space="preserve">قدرة </w:t>
      </w:r>
      <w:r w:rsidRPr="00370032">
        <w:rPr>
          <w:rFonts w:ascii="Simplified Arabic" w:hAnsi="Simplified Arabic" w:cs="Simplified Arabic" w:hint="cs"/>
          <w:sz w:val="24"/>
          <w:szCs w:val="24"/>
          <w:rtl/>
          <w:lang w:val="en-US" w:bidi="ar-DZ"/>
        </w:rPr>
        <w:t>التكيف المكاني</w:t>
      </w:r>
      <w:r w:rsidRPr="00370032">
        <w:rPr>
          <w:rFonts w:ascii="Simplified Arabic" w:hAnsi="Simplified Arabic" w:cs="Simplified Arabic"/>
          <w:sz w:val="24"/>
          <w:szCs w:val="24"/>
          <w:rtl/>
          <w:lang w:val="en-US" w:bidi="ar-DZ"/>
        </w:rPr>
        <w:t xml:space="preserve"> </w:t>
      </w:r>
      <w:r w:rsidRPr="00370032">
        <w:rPr>
          <w:rFonts w:ascii="Simplified Arabic" w:hAnsi="Simplified Arabic" w:cs="Simplified Arabic" w:hint="cs"/>
          <w:sz w:val="24"/>
          <w:szCs w:val="24"/>
          <w:rtl/>
          <w:lang w:val="en-US" w:bidi="ar-DZ"/>
        </w:rPr>
        <w:t>لل</w:t>
      </w:r>
      <w:r w:rsidRPr="00370032">
        <w:rPr>
          <w:rFonts w:ascii="Simplified Arabic" w:hAnsi="Simplified Arabic" w:cs="Simplified Arabic" w:hint="cs"/>
          <w:color w:val="000000" w:themeColor="text1"/>
          <w:sz w:val="24"/>
          <w:szCs w:val="24"/>
          <w:rtl/>
        </w:rPr>
        <w:t>احياء</w:t>
      </w:r>
      <w:r w:rsidR="00E2157F" w:rsidRPr="0062340E">
        <w:rPr>
          <w:rFonts w:ascii="Simplified Arabic" w:hAnsi="Simplified Arabic" w:cs="Simplified Arabic"/>
          <w:sz w:val="24"/>
          <w:szCs w:val="24"/>
          <w:rtl/>
          <w:lang w:bidi="ar-DZ"/>
        </w:rPr>
        <w:t>.</w:t>
      </w:r>
    </w:p>
    <w:p w:rsidR="006F4675" w:rsidRPr="0062340E" w:rsidRDefault="00DC2E44" w:rsidP="001D0548">
      <w:pPr>
        <w:pStyle w:val="Paragraphedeliste"/>
        <w:numPr>
          <w:ilvl w:val="0"/>
          <w:numId w:val="85"/>
        </w:numPr>
        <w:bidi/>
        <w:spacing w:before="240" w:after="0"/>
        <w:ind w:left="142" w:firstLine="0"/>
        <w:outlineLvl w:val="0"/>
        <w:rPr>
          <w:rFonts w:ascii="Simplified Arabic" w:hAnsi="Simplified Arabic" w:cs="Simplified Arabic"/>
          <w:b/>
          <w:bCs/>
          <w:sz w:val="24"/>
          <w:szCs w:val="24"/>
          <w:rtl/>
          <w:lang w:val="en-US"/>
        </w:rPr>
      </w:pPr>
      <w:bookmarkStart w:id="33" w:name="_Toc171803290"/>
      <w:r w:rsidRPr="0062340E">
        <w:rPr>
          <w:rFonts w:ascii="Simplified Arabic" w:hAnsi="Simplified Arabic" w:cs="Simplified Arabic"/>
          <w:b/>
          <w:bCs/>
          <w:sz w:val="24"/>
          <w:szCs w:val="24"/>
          <w:rtl/>
          <w:lang w:val="en-US"/>
        </w:rPr>
        <w:t>أهمية البحث</w:t>
      </w:r>
      <w:bookmarkEnd w:id="33"/>
    </w:p>
    <w:p w:rsidR="0091721B" w:rsidRPr="0062340E" w:rsidRDefault="006F4675" w:rsidP="007E4A93">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يعتبر البحث الحالي موضوع حديث ومن الدراسات القليلة التي تناولت مفهوم المرونة الحضرية وعلاقتها باست</w:t>
      </w:r>
      <w:r w:rsidR="007E4A93" w:rsidRPr="0062340E">
        <w:rPr>
          <w:rFonts w:ascii="Simplified Arabic" w:hAnsi="Simplified Arabic" w:cs="Simplified Arabic" w:hint="cs"/>
          <w:sz w:val="24"/>
          <w:szCs w:val="24"/>
          <w:rtl/>
          <w:lang w:bidi="ar-DZ"/>
        </w:rPr>
        <w:t>عمالات</w:t>
      </w:r>
      <w:r w:rsidRPr="0062340E">
        <w:rPr>
          <w:rFonts w:ascii="Simplified Arabic" w:hAnsi="Simplified Arabic" w:cs="Simplified Arabic" w:hint="cs"/>
          <w:sz w:val="24"/>
          <w:szCs w:val="24"/>
          <w:rtl/>
          <w:lang w:bidi="ar-DZ"/>
        </w:rPr>
        <w:t xml:space="preserve"> الار</w:t>
      </w:r>
      <w:r w:rsidR="007E4A93" w:rsidRPr="0062340E">
        <w:rPr>
          <w:rFonts w:ascii="Simplified Arabic" w:hAnsi="Simplified Arabic" w:cs="Simplified Arabic" w:hint="cs"/>
          <w:sz w:val="24"/>
          <w:szCs w:val="24"/>
          <w:rtl/>
          <w:lang w:bidi="ar-DZ"/>
        </w:rPr>
        <w:t>ا</w:t>
      </w:r>
      <w:r w:rsidRPr="0062340E">
        <w:rPr>
          <w:rFonts w:ascii="Simplified Arabic" w:hAnsi="Simplified Arabic" w:cs="Simplified Arabic" w:hint="cs"/>
          <w:sz w:val="24"/>
          <w:szCs w:val="24"/>
          <w:rtl/>
          <w:lang w:bidi="ar-DZ"/>
        </w:rPr>
        <w:t>ض</w:t>
      </w:r>
      <w:r w:rsidR="007E4A93" w:rsidRPr="0062340E">
        <w:rPr>
          <w:rFonts w:ascii="Simplified Arabic" w:hAnsi="Simplified Arabic" w:cs="Simplified Arabic" w:hint="cs"/>
          <w:sz w:val="24"/>
          <w:szCs w:val="24"/>
          <w:rtl/>
          <w:lang w:bidi="ar-DZ"/>
        </w:rPr>
        <w:t>ي</w:t>
      </w:r>
      <w:r w:rsidRPr="0062340E">
        <w:rPr>
          <w:rFonts w:ascii="Simplified Arabic" w:hAnsi="Simplified Arabic" w:cs="Simplified Arabic" w:hint="cs"/>
          <w:sz w:val="24"/>
          <w:szCs w:val="24"/>
          <w:rtl/>
          <w:lang w:bidi="ar-DZ"/>
        </w:rPr>
        <w:t xml:space="preserve"> الحضرية بالجزائر، ا</w:t>
      </w:r>
      <w:r w:rsidRPr="0062340E">
        <w:rPr>
          <w:rFonts w:ascii="Simplified Arabic" w:hAnsi="Simplified Arabic" w:cs="Simplified Arabic"/>
          <w:sz w:val="24"/>
          <w:szCs w:val="24"/>
          <w:rtl/>
          <w:lang w:bidi="ar-DZ"/>
        </w:rPr>
        <w:t xml:space="preserve">لدوائر الأكاديمية </w:t>
      </w:r>
      <w:r w:rsidRPr="0062340E">
        <w:rPr>
          <w:rFonts w:ascii="Simplified Arabic" w:hAnsi="Simplified Arabic" w:cs="Simplified Arabic" w:hint="cs"/>
          <w:sz w:val="24"/>
          <w:szCs w:val="24"/>
          <w:rtl/>
          <w:lang w:bidi="ar-DZ"/>
        </w:rPr>
        <w:t>ال</w:t>
      </w:r>
      <w:r w:rsidRPr="0062340E">
        <w:rPr>
          <w:rFonts w:ascii="Simplified Arabic" w:hAnsi="Simplified Arabic" w:cs="Simplified Arabic"/>
          <w:sz w:val="24"/>
          <w:szCs w:val="24"/>
          <w:rtl/>
          <w:lang w:bidi="ar-DZ"/>
        </w:rPr>
        <w:t>دولية</w:t>
      </w:r>
      <w:r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sz w:val="24"/>
          <w:szCs w:val="24"/>
          <w:rtl/>
          <w:lang w:bidi="ar-DZ"/>
        </w:rPr>
        <w:t>والسياس</w:t>
      </w:r>
      <w:r w:rsidRPr="0062340E">
        <w:rPr>
          <w:rFonts w:ascii="Simplified Arabic" w:hAnsi="Simplified Arabic" w:cs="Simplified Arabic" w:hint="cs"/>
          <w:sz w:val="24"/>
          <w:szCs w:val="24"/>
          <w:rtl/>
          <w:lang w:bidi="ar-DZ"/>
        </w:rPr>
        <w:t>ي</w:t>
      </w:r>
      <w:r w:rsidRPr="0062340E">
        <w:rPr>
          <w:rFonts w:ascii="Simplified Arabic" w:hAnsi="Simplified Arabic" w:cs="Simplified Arabic"/>
          <w:sz w:val="24"/>
          <w:szCs w:val="24"/>
          <w:rtl/>
          <w:lang w:bidi="ar-DZ"/>
        </w:rPr>
        <w:t>ة قد أقرت بالحاجة</w:t>
      </w:r>
      <w:r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sz w:val="24"/>
          <w:szCs w:val="24"/>
          <w:rtl/>
          <w:lang w:bidi="ar-DZ"/>
        </w:rPr>
        <w:t>إلى</w:t>
      </w:r>
      <w:r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sz w:val="24"/>
          <w:szCs w:val="24"/>
          <w:rtl/>
          <w:lang w:bidi="ar-DZ"/>
        </w:rPr>
        <w:t xml:space="preserve">تقوية مرونة </w:t>
      </w:r>
      <w:r w:rsidRPr="0062340E">
        <w:rPr>
          <w:rFonts w:ascii="Simplified Arabic" w:hAnsi="Simplified Arabic" w:cs="Simplified Arabic" w:hint="cs"/>
          <w:sz w:val="24"/>
          <w:szCs w:val="24"/>
          <w:rtl/>
          <w:lang w:bidi="ar-DZ"/>
        </w:rPr>
        <w:t>المدن</w:t>
      </w:r>
      <w:r w:rsidRPr="0062340E">
        <w:rPr>
          <w:rFonts w:ascii="Arial" w:hAnsi="Arial" w:hint="cs"/>
          <w:sz w:val="24"/>
          <w:szCs w:val="24"/>
          <w:rtl/>
          <w:lang w:val="en-US"/>
        </w:rPr>
        <w:t xml:space="preserve"> </w:t>
      </w:r>
      <w:r w:rsidRPr="0062340E">
        <w:rPr>
          <w:rFonts w:asciiTheme="majorBidi" w:hAnsiTheme="majorBidi" w:cstheme="majorBidi"/>
          <w:sz w:val="24"/>
          <w:szCs w:val="24"/>
        </w:rPr>
        <w:t>(UNISDR, 2005)</w:t>
      </w:r>
      <w:r w:rsidRPr="0062340E">
        <w:rPr>
          <w:rFonts w:ascii="Simplified Arabic" w:hAnsi="Simplified Arabic" w:cs="Simplified Arabic" w:hint="cs"/>
          <w:sz w:val="24"/>
          <w:szCs w:val="24"/>
          <w:rtl/>
          <w:lang w:bidi="ar-DZ"/>
        </w:rPr>
        <w:t>،</w:t>
      </w:r>
      <w:r w:rsidRPr="0062340E">
        <w:rPr>
          <w:rFonts w:ascii="Arial" w:hAnsi="Arial" w:hint="cs"/>
          <w:sz w:val="24"/>
          <w:szCs w:val="24"/>
          <w:rtl/>
          <w:lang w:val="en-US"/>
        </w:rPr>
        <w:t xml:space="preserve"> </w:t>
      </w:r>
      <w:r w:rsidRPr="0062340E">
        <w:rPr>
          <w:rFonts w:ascii="Simplified Arabic" w:hAnsi="Simplified Arabic" w:cs="Simplified Arabic" w:hint="cs"/>
          <w:sz w:val="24"/>
          <w:szCs w:val="24"/>
          <w:rtl/>
          <w:lang w:bidi="ar-DZ"/>
        </w:rPr>
        <w:t>وبالتالي فان اهمية دراسة وتقييم</w:t>
      </w:r>
      <w:r w:rsidRPr="0062340E">
        <w:rPr>
          <w:rFonts w:ascii="Simplified Arabic" w:hAnsi="Simplified Arabic" w:cs="Simplified Arabic"/>
          <w:sz w:val="24"/>
          <w:szCs w:val="24"/>
          <w:rtl/>
          <w:lang w:bidi="ar-DZ"/>
        </w:rPr>
        <w:t xml:space="preserve"> المرونة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جانب </w:t>
      </w:r>
      <w:r w:rsidRPr="0062340E">
        <w:rPr>
          <w:rFonts w:ascii="Simplified Arabic" w:hAnsi="Simplified Arabic" w:cs="Simplified Arabic" w:hint="cs"/>
          <w:sz w:val="24"/>
          <w:szCs w:val="24"/>
          <w:rtl/>
          <w:lang w:bidi="ar-DZ"/>
        </w:rPr>
        <w:t>مهم و</w:t>
      </w:r>
      <w:r w:rsidRPr="0062340E">
        <w:rPr>
          <w:rFonts w:ascii="Simplified Arabic" w:hAnsi="Simplified Arabic" w:cs="Simplified Arabic"/>
          <w:sz w:val="24"/>
          <w:szCs w:val="24"/>
          <w:rtl/>
          <w:lang w:bidi="ar-DZ"/>
        </w:rPr>
        <w:t xml:space="preserve">أساسي من جوانب </w:t>
      </w:r>
      <w:r w:rsidRPr="0062340E">
        <w:rPr>
          <w:rFonts w:ascii="Simplified Arabic" w:hAnsi="Simplified Arabic" w:cs="Simplified Arabic" w:hint="cs"/>
          <w:sz w:val="24"/>
          <w:szCs w:val="24"/>
          <w:rtl/>
          <w:lang w:bidi="ar-DZ"/>
        </w:rPr>
        <w:t>التسيير و</w:t>
      </w:r>
      <w:r w:rsidRPr="0062340E">
        <w:rPr>
          <w:rFonts w:ascii="Simplified Arabic" w:hAnsi="Simplified Arabic" w:cs="Simplified Arabic"/>
          <w:sz w:val="24"/>
          <w:szCs w:val="24"/>
          <w:rtl/>
          <w:lang w:bidi="ar-DZ"/>
        </w:rPr>
        <w:t>التخطيط الحضري</w:t>
      </w:r>
      <w:r w:rsidRPr="0062340E">
        <w:rPr>
          <w:rFonts w:ascii="Simplified Arabic" w:hAnsi="Simplified Arabic" w:cs="Simplified Arabic" w:hint="cs"/>
          <w:sz w:val="24"/>
          <w:szCs w:val="24"/>
          <w:rtl/>
          <w:lang w:bidi="ar-DZ"/>
        </w:rPr>
        <w:t xml:space="preserve">ين. </w:t>
      </w:r>
    </w:p>
    <w:p w:rsidR="006F4675" w:rsidRPr="0062340E" w:rsidRDefault="006F4675" w:rsidP="00B859B4">
      <w:pPr>
        <w:bidi/>
        <w:spacing w:before="24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يسعى البحث الى ابراز اهمية استخدام طرق منهجية لتقييم المرونة الحضرية كالمزج بين طريقة دلفي، تقنية تحليل القرار متعدد المعايير</w:t>
      </w:r>
      <w:r w:rsidRPr="0062340E">
        <w:rPr>
          <w:rFonts w:asciiTheme="minorBidi" w:hAnsiTheme="minorBidi" w:hint="cs"/>
          <w:sz w:val="24"/>
          <w:szCs w:val="24"/>
          <w:rtl/>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MCDA</w:t>
      </w:r>
      <w:r w:rsidRPr="0062340E">
        <w:rPr>
          <w:rFonts w:asciiTheme="majorBidi" w:hAnsiTheme="majorBidi" w:cstheme="majorBidi"/>
          <w:sz w:val="24"/>
          <w:szCs w:val="24"/>
          <w:rtl/>
        </w:rPr>
        <w:t>)</w:t>
      </w:r>
      <w:r w:rsidRPr="0062340E">
        <w:rPr>
          <w:rFonts w:ascii="Simplified Arabic" w:hAnsi="Simplified Arabic" w:cs="Simplified Arabic" w:hint="cs"/>
          <w:sz w:val="24"/>
          <w:szCs w:val="24"/>
          <w:rtl/>
          <w:lang w:bidi="ar-DZ"/>
        </w:rPr>
        <w:t>،</w:t>
      </w:r>
      <w:r w:rsidRPr="0062340E">
        <w:rPr>
          <w:rFonts w:asciiTheme="minorBidi" w:hAnsiTheme="minorBidi" w:hint="cs"/>
          <w:sz w:val="24"/>
          <w:szCs w:val="24"/>
          <w:rtl/>
        </w:rPr>
        <w:t xml:space="preserve"> </w:t>
      </w:r>
      <w:r w:rsidRPr="0062340E">
        <w:rPr>
          <w:rFonts w:ascii="Simplified Arabic" w:hAnsi="Simplified Arabic" w:cs="Simplified Arabic" w:hint="cs"/>
          <w:sz w:val="24"/>
          <w:szCs w:val="24"/>
          <w:rtl/>
          <w:lang w:bidi="ar-DZ"/>
        </w:rPr>
        <w:t>والطريقة التشاركية التي تستخدم تقنية الاستبيان الالكتروني عبر شبكات التواصل الاجتماعي من خلال اشراك الخبراء ووجهات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نظر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وتصورات السكان المحليين</w:t>
      </w:r>
      <w:r w:rsidR="0091721B" w:rsidRPr="0062340E">
        <w:rPr>
          <w:rFonts w:ascii="Simplified Arabic" w:hAnsi="Simplified Arabic" w:cs="Simplified Arabic" w:hint="cs"/>
          <w:sz w:val="24"/>
          <w:szCs w:val="24"/>
          <w:rtl/>
          <w:lang w:bidi="ar-DZ"/>
        </w:rPr>
        <w:t xml:space="preserve"> حول التنمية المحلية </w:t>
      </w:r>
      <w:r w:rsidRPr="0062340E">
        <w:rPr>
          <w:rFonts w:ascii="Simplified Arabic" w:hAnsi="Simplified Arabic" w:cs="Simplified Arabic" w:hint="cs"/>
          <w:sz w:val="24"/>
          <w:szCs w:val="24"/>
          <w:rtl/>
          <w:lang w:bidi="ar-DZ"/>
        </w:rPr>
        <w:t xml:space="preserve">واستخدام وسائل وتقنيات </w:t>
      </w:r>
      <w:r w:rsidR="00E06927" w:rsidRPr="0062340E">
        <w:rPr>
          <w:rFonts w:ascii="Simplified Arabic" w:hAnsi="Simplified Arabic" w:cs="Simplified Arabic" w:hint="cs"/>
          <w:sz w:val="24"/>
          <w:szCs w:val="24"/>
          <w:rtl/>
          <w:lang w:bidi="ar-DZ"/>
        </w:rPr>
        <w:t xml:space="preserve">تحليل </w:t>
      </w:r>
      <w:r w:rsidR="00725010" w:rsidRPr="0062340E">
        <w:rPr>
          <w:rFonts w:ascii="Simplified Arabic" w:hAnsi="Simplified Arabic" w:cs="Simplified Arabic" w:hint="cs"/>
          <w:sz w:val="24"/>
          <w:szCs w:val="24"/>
          <w:rtl/>
        </w:rPr>
        <w:t xml:space="preserve">استعمالات </w:t>
      </w:r>
      <w:r w:rsidR="00E06927" w:rsidRPr="0062340E">
        <w:rPr>
          <w:rFonts w:ascii="Simplified Arabic" w:hAnsi="Simplified Arabic" w:cs="Simplified Arabic" w:hint="cs"/>
          <w:sz w:val="24"/>
          <w:szCs w:val="24"/>
          <w:rtl/>
          <w:lang w:bidi="ar-DZ"/>
        </w:rPr>
        <w:t>الار</w:t>
      </w:r>
      <w:r w:rsidR="00725010" w:rsidRPr="0062340E">
        <w:rPr>
          <w:rFonts w:ascii="Simplified Arabic" w:hAnsi="Simplified Arabic" w:cs="Simplified Arabic" w:hint="cs"/>
          <w:sz w:val="24"/>
          <w:szCs w:val="24"/>
          <w:rtl/>
          <w:lang w:bidi="ar-DZ"/>
        </w:rPr>
        <w:t>ا</w:t>
      </w:r>
      <w:r w:rsidR="00E06927" w:rsidRPr="0062340E">
        <w:rPr>
          <w:rFonts w:ascii="Simplified Arabic" w:hAnsi="Simplified Arabic" w:cs="Simplified Arabic" w:hint="cs"/>
          <w:sz w:val="24"/>
          <w:szCs w:val="24"/>
          <w:rtl/>
          <w:lang w:bidi="ar-DZ"/>
        </w:rPr>
        <w:t>ض</w:t>
      </w:r>
      <w:r w:rsidR="00725010" w:rsidRPr="0062340E">
        <w:rPr>
          <w:rFonts w:ascii="Simplified Arabic" w:hAnsi="Simplified Arabic" w:cs="Simplified Arabic" w:hint="cs"/>
          <w:sz w:val="24"/>
          <w:szCs w:val="24"/>
          <w:rtl/>
          <w:lang w:bidi="ar-DZ"/>
        </w:rPr>
        <w:t>ي</w:t>
      </w:r>
      <w:r w:rsidR="00E06927" w:rsidRPr="0062340E">
        <w:rPr>
          <w:rFonts w:ascii="Simplified Arabic" w:hAnsi="Simplified Arabic" w:cs="Simplified Arabic" w:hint="cs"/>
          <w:sz w:val="24"/>
          <w:szCs w:val="24"/>
          <w:rtl/>
          <w:lang w:bidi="ar-DZ"/>
        </w:rPr>
        <w:t xml:space="preserve"> الحضرية </w:t>
      </w:r>
      <w:r w:rsidRPr="0062340E">
        <w:rPr>
          <w:rFonts w:ascii="Simplified Arabic" w:hAnsi="Simplified Arabic" w:cs="Simplified Arabic" w:hint="cs"/>
          <w:sz w:val="24"/>
          <w:szCs w:val="24"/>
          <w:rtl/>
          <w:lang w:bidi="ar-DZ"/>
        </w:rPr>
        <w:t>الحديثة التي تسمح بها تقني</w:t>
      </w:r>
      <w:r w:rsidR="0091721B" w:rsidRPr="0062340E">
        <w:rPr>
          <w:rFonts w:ascii="Simplified Arabic" w:hAnsi="Simplified Arabic" w:cs="Simplified Arabic" w:hint="cs"/>
          <w:sz w:val="24"/>
          <w:szCs w:val="24"/>
          <w:rtl/>
          <w:lang w:bidi="ar-DZ"/>
        </w:rPr>
        <w:t>ة</w:t>
      </w:r>
      <w:r w:rsidRPr="0062340E">
        <w:rPr>
          <w:rFonts w:ascii="Simplified Arabic" w:hAnsi="Simplified Arabic" w:cs="Simplified Arabic" w:hint="cs"/>
          <w:sz w:val="24"/>
          <w:szCs w:val="24"/>
          <w:rtl/>
          <w:lang w:bidi="ar-DZ"/>
        </w:rPr>
        <w:t xml:space="preserve"> نظم المعلومات الجغرافية</w:t>
      </w:r>
      <w:r w:rsidRPr="0062340E">
        <w:rPr>
          <w:rFonts w:asciiTheme="minorBidi" w:hAnsiTheme="minorBidi" w:hint="cs"/>
          <w:sz w:val="24"/>
          <w:szCs w:val="24"/>
          <w:rtl/>
        </w:rPr>
        <w:t xml:space="preserve"> </w:t>
      </w:r>
      <w:r w:rsidRPr="0062340E">
        <w:rPr>
          <w:rFonts w:asciiTheme="majorBidi" w:hAnsiTheme="majorBidi" w:cstheme="majorBidi" w:hint="cs"/>
          <w:sz w:val="24"/>
          <w:szCs w:val="24"/>
          <w:rtl/>
        </w:rPr>
        <w:t>(</w:t>
      </w:r>
      <w:r w:rsidRPr="0062340E">
        <w:rPr>
          <w:rFonts w:asciiTheme="majorBidi" w:hAnsiTheme="majorBidi" w:cstheme="majorBidi"/>
          <w:sz w:val="24"/>
          <w:szCs w:val="24"/>
        </w:rPr>
        <w:t>GIS</w:t>
      </w:r>
      <w:r w:rsidRPr="0062340E">
        <w:rPr>
          <w:rFonts w:asciiTheme="majorBidi" w:hAnsiTheme="majorBidi" w:cstheme="majorBidi" w:hint="cs"/>
          <w:sz w:val="24"/>
          <w:szCs w:val="24"/>
          <w:rtl/>
        </w:rPr>
        <w:t>)</w:t>
      </w:r>
      <w:r w:rsidRPr="0062340E">
        <w:rPr>
          <w:rFonts w:ascii="Simplified Arabic" w:hAnsi="Simplified Arabic" w:cs="Simplified Arabic" w:hint="cs"/>
          <w:sz w:val="24"/>
          <w:szCs w:val="24"/>
          <w:rtl/>
          <w:lang w:bidi="ar-DZ"/>
        </w:rPr>
        <w:t>.</w:t>
      </w:r>
    </w:p>
    <w:p w:rsidR="00601798" w:rsidRPr="0062340E" w:rsidRDefault="0022082E" w:rsidP="001D0548">
      <w:pPr>
        <w:pStyle w:val="Paragraphedeliste"/>
        <w:numPr>
          <w:ilvl w:val="0"/>
          <w:numId w:val="85"/>
        </w:numPr>
        <w:tabs>
          <w:tab w:val="right" w:pos="567"/>
        </w:tabs>
        <w:bidi/>
        <w:spacing w:before="240" w:after="0"/>
        <w:ind w:left="0" w:firstLine="0"/>
        <w:outlineLvl w:val="0"/>
        <w:rPr>
          <w:rFonts w:asciiTheme="minorBidi" w:hAnsiTheme="minorBidi" w:cs="Arial"/>
          <w:b/>
          <w:bCs/>
          <w:sz w:val="24"/>
          <w:szCs w:val="24"/>
          <w:lang w:val="en-US"/>
        </w:rPr>
      </w:pPr>
      <w:bookmarkStart w:id="34" w:name="_Toc171803291"/>
      <w:r w:rsidRPr="0062340E">
        <w:rPr>
          <w:rFonts w:ascii="Simplified Arabic" w:hAnsi="Simplified Arabic" w:cs="Simplified Arabic"/>
          <w:b/>
          <w:bCs/>
          <w:sz w:val="24"/>
          <w:szCs w:val="24"/>
          <w:rtl/>
          <w:lang w:val="en-US"/>
        </w:rPr>
        <w:t>منهجية</w:t>
      </w:r>
      <w:r w:rsidRPr="0062340E">
        <w:rPr>
          <w:rFonts w:asciiTheme="minorBidi" w:hAnsiTheme="minorBidi" w:cs="Arial"/>
          <w:b/>
          <w:bCs/>
          <w:sz w:val="24"/>
          <w:szCs w:val="24"/>
          <w:rtl/>
          <w:lang w:val="en-US"/>
        </w:rPr>
        <w:t xml:space="preserve"> </w:t>
      </w:r>
      <w:r w:rsidRPr="0062340E">
        <w:rPr>
          <w:rFonts w:ascii="Simplified Arabic" w:hAnsi="Simplified Arabic" w:cs="Simplified Arabic"/>
          <w:b/>
          <w:bCs/>
          <w:sz w:val="24"/>
          <w:szCs w:val="24"/>
          <w:rtl/>
          <w:lang w:val="en-US"/>
        </w:rPr>
        <w:t>البحث</w:t>
      </w:r>
      <w:r w:rsidRPr="0062340E">
        <w:rPr>
          <w:rFonts w:asciiTheme="minorBidi" w:hAnsiTheme="minorBidi" w:cs="Arial" w:hint="cs"/>
          <w:b/>
          <w:bCs/>
          <w:sz w:val="24"/>
          <w:szCs w:val="24"/>
          <w:rtl/>
          <w:lang w:val="en-US"/>
        </w:rPr>
        <w:t xml:space="preserve"> </w:t>
      </w:r>
      <w:r w:rsidRPr="0062340E">
        <w:rPr>
          <w:rFonts w:ascii="Simplified Arabic" w:hAnsi="Simplified Arabic" w:cs="Simplified Arabic" w:hint="cs"/>
          <w:b/>
          <w:bCs/>
          <w:sz w:val="24"/>
          <w:szCs w:val="24"/>
          <w:rtl/>
          <w:lang w:val="en-US"/>
        </w:rPr>
        <w:t>و</w:t>
      </w:r>
      <w:r w:rsidRPr="0062340E">
        <w:rPr>
          <w:rFonts w:asciiTheme="minorBidi" w:hAnsiTheme="minorBidi" w:cs="Arial" w:hint="cs"/>
          <w:b/>
          <w:bCs/>
          <w:sz w:val="24"/>
          <w:szCs w:val="24"/>
          <w:rtl/>
          <w:lang w:val="en-US"/>
        </w:rPr>
        <w:t xml:space="preserve"> </w:t>
      </w:r>
      <w:r w:rsidRPr="0062340E">
        <w:rPr>
          <w:rFonts w:ascii="Simplified Arabic" w:hAnsi="Simplified Arabic" w:cs="Simplified Arabic" w:hint="cs"/>
          <w:b/>
          <w:bCs/>
          <w:sz w:val="24"/>
          <w:szCs w:val="24"/>
          <w:rtl/>
          <w:lang w:val="en-US"/>
        </w:rPr>
        <w:t>الادوات</w:t>
      </w:r>
      <w:r w:rsidRPr="0062340E">
        <w:rPr>
          <w:rFonts w:asciiTheme="minorBidi" w:hAnsiTheme="minorBidi" w:cs="Arial" w:hint="cs"/>
          <w:b/>
          <w:bCs/>
          <w:sz w:val="24"/>
          <w:szCs w:val="24"/>
          <w:rtl/>
          <w:lang w:val="en-US"/>
        </w:rPr>
        <w:t xml:space="preserve"> </w:t>
      </w:r>
      <w:r w:rsidRPr="0062340E">
        <w:rPr>
          <w:rFonts w:ascii="Simplified Arabic" w:hAnsi="Simplified Arabic" w:cs="Simplified Arabic" w:hint="cs"/>
          <w:b/>
          <w:bCs/>
          <w:sz w:val="24"/>
          <w:szCs w:val="24"/>
          <w:rtl/>
          <w:lang w:val="en-US"/>
        </w:rPr>
        <w:t>المستعملة</w:t>
      </w:r>
      <w:bookmarkEnd w:id="34"/>
    </w:p>
    <w:p w:rsidR="00601798" w:rsidRPr="0062340E" w:rsidRDefault="00601798" w:rsidP="001D0548">
      <w:pPr>
        <w:pStyle w:val="Paragraphedeliste"/>
        <w:numPr>
          <w:ilvl w:val="1"/>
          <w:numId w:val="87"/>
        </w:numPr>
        <w:tabs>
          <w:tab w:val="right" w:pos="567"/>
        </w:tabs>
        <w:bidi/>
        <w:spacing w:before="240" w:after="0"/>
        <w:ind w:left="0" w:firstLine="0"/>
        <w:outlineLvl w:val="1"/>
        <w:rPr>
          <w:rFonts w:ascii="Simplified Arabic" w:hAnsi="Simplified Arabic" w:cs="Simplified Arabic"/>
          <w:sz w:val="24"/>
          <w:szCs w:val="24"/>
        </w:rPr>
      </w:pPr>
      <w:bookmarkStart w:id="35" w:name="_Toc171803292"/>
      <w:r w:rsidRPr="0062340E">
        <w:rPr>
          <w:rFonts w:ascii="Simplified Arabic" w:hAnsi="Simplified Arabic" w:cs="Simplified Arabic"/>
          <w:b/>
          <w:bCs/>
          <w:sz w:val="24"/>
          <w:szCs w:val="24"/>
          <w:rtl/>
          <w:lang w:val="en-US"/>
        </w:rPr>
        <w:t>منهجية</w:t>
      </w:r>
      <w:r w:rsidRPr="0062340E">
        <w:rPr>
          <w:rFonts w:asciiTheme="minorBidi" w:hAnsiTheme="minorBidi" w:cs="Arial"/>
          <w:b/>
          <w:bCs/>
          <w:sz w:val="24"/>
          <w:szCs w:val="24"/>
          <w:rtl/>
          <w:lang w:val="en-US"/>
        </w:rPr>
        <w:t xml:space="preserve"> </w:t>
      </w:r>
      <w:r w:rsidRPr="0062340E">
        <w:rPr>
          <w:rFonts w:ascii="Simplified Arabic" w:hAnsi="Simplified Arabic" w:cs="Simplified Arabic"/>
          <w:b/>
          <w:bCs/>
          <w:sz w:val="24"/>
          <w:szCs w:val="24"/>
          <w:rtl/>
          <w:lang w:val="en-US"/>
        </w:rPr>
        <w:t>البحث</w:t>
      </w:r>
      <w:bookmarkEnd w:id="35"/>
    </w:p>
    <w:p w:rsidR="00421EA8" w:rsidRPr="0062340E" w:rsidRDefault="00C83E64" w:rsidP="00F13FA0">
      <w:pPr>
        <w:tabs>
          <w:tab w:val="right" w:pos="282"/>
        </w:tabs>
        <w:bidi/>
        <w:spacing w:after="0"/>
        <w:ind w:left="-2" w:firstLine="284"/>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استخدم البحث الحالي </w:t>
      </w:r>
      <w:r w:rsidR="00240437" w:rsidRPr="0062340E">
        <w:rPr>
          <w:rFonts w:ascii="Simplified Arabic" w:hAnsi="Simplified Arabic" w:cs="Simplified Arabic" w:hint="cs"/>
          <w:sz w:val="24"/>
          <w:szCs w:val="24"/>
          <w:rtl/>
        </w:rPr>
        <w:t xml:space="preserve">منهج المشاركة القائم على الطريقة التشاركية للخبراء والسكان المحليين </w:t>
      </w:r>
      <w:r w:rsidR="00B43EEE" w:rsidRPr="0062340E">
        <w:rPr>
          <w:rFonts w:ascii="Simplified Arabic" w:hAnsi="Simplified Arabic" w:cs="Simplified Arabic" w:hint="cs"/>
          <w:sz w:val="24"/>
          <w:szCs w:val="24"/>
          <w:rtl/>
        </w:rPr>
        <w:t>ب</w:t>
      </w:r>
      <w:r w:rsidR="00B43EEE" w:rsidRPr="0062340E">
        <w:rPr>
          <w:rFonts w:ascii="Simplified Arabic" w:hAnsi="Simplified Arabic" w:cs="Simplified Arabic" w:hint="cs"/>
          <w:sz w:val="24"/>
          <w:szCs w:val="24"/>
          <w:rtl/>
          <w:lang w:val="en-US" w:bidi="ar-DZ"/>
        </w:rPr>
        <w:t>است</w:t>
      </w:r>
      <w:r w:rsidR="006F2D2A" w:rsidRPr="0062340E">
        <w:rPr>
          <w:rFonts w:ascii="Simplified Arabic" w:hAnsi="Simplified Arabic" w:cs="Simplified Arabic" w:hint="cs"/>
          <w:sz w:val="24"/>
          <w:szCs w:val="24"/>
          <w:rtl/>
          <w:lang w:val="en-US" w:bidi="ar-DZ"/>
        </w:rPr>
        <w:t>عمال</w:t>
      </w:r>
      <w:r w:rsidR="00B43EEE" w:rsidRPr="0062340E">
        <w:rPr>
          <w:rFonts w:ascii="Simplified Arabic" w:hAnsi="Simplified Arabic" w:cs="Simplified Arabic" w:hint="cs"/>
          <w:sz w:val="24"/>
          <w:szCs w:val="24"/>
          <w:rtl/>
          <w:lang w:val="en-US" w:bidi="ar-DZ"/>
        </w:rPr>
        <w:t xml:space="preserve"> تقنية</w:t>
      </w:r>
      <w:r w:rsidR="00B43EEE" w:rsidRPr="0062340E">
        <w:rPr>
          <w:rFonts w:ascii="Simplified Arabic" w:hAnsi="Simplified Arabic" w:cs="Simplified Arabic"/>
          <w:sz w:val="24"/>
          <w:szCs w:val="24"/>
          <w:rtl/>
          <w:lang w:val="en-US" w:bidi="ar-DZ"/>
        </w:rPr>
        <w:t xml:space="preserve"> </w:t>
      </w:r>
      <w:r w:rsidR="00B43EEE" w:rsidRPr="0062340E">
        <w:rPr>
          <w:rFonts w:ascii="Simplified Arabic" w:hAnsi="Simplified Arabic" w:cs="Simplified Arabic" w:hint="cs"/>
          <w:sz w:val="24"/>
          <w:szCs w:val="24"/>
          <w:rtl/>
          <w:lang w:val="en-US" w:bidi="ar-DZ"/>
        </w:rPr>
        <w:t>الاستبيان الالكتروني</w:t>
      </w:r>
      <w:r w:rsidR="006F2D2A" w:rsidRPr="0062340E">
        <w:rPr>
          <w:rFonts w:ascii="Simplified Arabic" w:hAnsi="Simplified Arabic" w:cs="Simplified Arabic" w:hint="cs"/>
          <w:sz w:val="24"/>
          <w:szCs w:val="24"/>
          <w:rtl/>
          <w:lang w:val="en-US" w:bidi="ar-DZ"/>
        </w:rPr>
        <w:t>، كما</w:t>
      </w:r>
      <w:r w:rsidR="00E06927" w:rsidRPr="0062340E">
        <w:rPr>
          <w:rFonts w:ascii="Simplified Arabic" w:hAnsi="Simplified Arabic" w:cs="Simplified Arabic" w:hint="cs"/>
          <w:sz w:val="24"/>
          <w:szCs w:val="24"/>
          <w:rtl/>
          <w:lang w:val="en-US" w:bidi="ar-DZ"/>
        </w:rPr>
        <w:t xml:space="preserve"> </w:t>
      </w:r>
      <w:r w:rsidR="006F2D2A" w:rsidRPr="0062340E">
        <w:rPr>
          <w:rFonts w:ascii="Simplified Arabic" w:hAnsi="Simplified Arabic" w:cs="Simplified Arabic" w:hint="cs"/>
          <w:sz w:val="24"/>
          <w:szCs w:val="24"/>
          <w:rtl/>
          <w:lang w:val="en-US" w:bidi="ar-DZ"/>
        </w:rPr>
        <w:t xml:space="preserve">استخدم </w:t>
      </w:r>
      <w:r w:rsidR="00C120D2" w:rsidRPr="0062340E">
        <w:rPr>
          <w:rFonts w:ascii="Simplified Arabic" w:hAnsi="Simplified Arabic" w:cs="Simplified Arabic"/>
          <w:sz w:val="24"/>
          <w:szCs w:val="24"/>
          <w:rtl/>
        </w:rPr>
        <w:t>المنهج</w:t>
      </w:r>
      <w:r w:rsidR="00C120D2" w:rsidRPr="0062340E">
        <w:rPr>
          <w:rFonts w:ascii="Simplified Arabic" w:hAnsi="Simplified Arabic" w:cs="Simplified Arabic"/>
          <w:sz w:val="24"/>
          <w:szCs w:val="24"/>
        </w:rPr>
        <w:t xml:space="preserve"> </w:t>
      </w:r>
      <w:r w:rsidR="00C120D2" w:rsidRPr="0062340E">
        <w:rPr>
          <w:rFonts w:ascii="Simplified Arabic" w:hAnsi="Simplified Arabic" w:cs="Simplified Arabic"/>
          <w:sz w:val="24"/>
          <w:szCs w:val="24"/>
          <w:rtl/>
        </w:rPr>
        <w:t xml:space="preserve">الاستقرائي </w:t>
      </w:r>
      <w:r w:rsidR="006F2D2A" w:rsidRPr="0062340E">
        <w:rPr>
          <w:rFonts w:ascii="Simplified Arabic" w:hAnsi="Simplified Arabic" w:cs="Simplified Arabic" w:hint="cs"/>
          <w:sz w:val="24"/>
          <w:szCs w:val="24"/>
          <w:rtl/>
        </w:rPr>
        <w:t xml:space="preserve">الذي </w:t>
      </w:r>
      <w:r w:rsidR="00C120D2" w:rsidRPr="0062340E">
        <w:rPr>
          <w:rFonts w:ascii="Simplified Arabic" w:hAnsi="Simplified Arabic" w:cs="Simplified Arabic"/>
          <w:sz w:val="24"/>
          <w:szCs w:val="24"/>
          <w:rtl/>
        </w:rPr>
        <w:t>ينتقل فيه الباحث من الجز</w:t>
      </w:r>
      <w:r w:rsidR="000E5608" w:rsidRPr="0062340E">
        <w:rPr>
          <w:rFonts w:ascii="Simplified Arabic" w:hAnsi="Simplified Arabic" w:cs="Simplified Arabic" w:hint="cs"/>
          <w:sz w:val="24"/>
          <w:szCs w:val="24"/>
          <w:rtl/>
        </w:rPr>
        <w:t>ء</w:t>
      </w:r>
      <w:r w:rsidR="00C120D2" w:rsidRPr="0062340E">
        <w:rPr>
          <w:rFonts w:ascii="Simplified Arabic" w:hAnsi="Simplified Arabic" w:cs="Simplified Arabic"/>
          <w:sz w:val="24"/>
          <w:szCs w:val="24"/>
          <w:rtl/>
        </w:rPr>
        <w:t xml:space="preserve"> نحو الكل</w:t>
      </w:r>
      <w:r w:rsidR="006F2D2A" w:rsidRPr="0062340E">
        <w:rPr>
          <w:rFonts w:ascii="Simplified Arabic" w:hAnsi="Simplified Arabic" w:cs="Simplified Arabic" w:hint="cs"/>
          <w:sz w:val="24"/>
          <w:szCs w:val="24"/>
          <w:rtl/>
        </w:rPr>
        <w:t xml:space="preserve"> باستعمال جملة تقنيات وادوات</w:t>
      </w:r>
      <w:r w:rsidR="00860647" w:rsidRPr="0062340E">
        <w:rPr>
          <w:rFonts w:ascii="Simplified Arabic" w:hAnsi="Simplified Arabic" w:cs="Simplified Arabic" w:hint="cs"/>
          <w:sz w:val="24"/>
          <w:szCs w:val="24"/>
          <w:rtl/>
        </w:rPr>
        <w:t>.</w:t>
      </w:r>
      <w:r w:rsidR="00C120D2" w:rsidRPr="0062340E">
        <w:rPr>
          <w:rFonts w:ascii="Simplified Arabic" w:hAnsi="Simplified Arabic" w:cs="Simplified Arabic" w:hint="cs"/>
          <w:sz w:val="24"/>
          <w:szCs w:val="24"/>
          <w:rtl/>
        </w:rPr>
        <w:t xml:space="preserve"> </w:t>
      </w:r>
    </w:p>
    <w:p w:rsidR="006F2D2A" w:rsidRPr="0062340E" w:rsidRDefault="00C120D2" w:rsidP="00725010">
      <w:pPr>
        <w:tabs>
          <w:tab w:val="right" w:pos="282"/>
        </w:tabs>
        <w:bidi/>
        <w:spacing w:after="0"/>
        <w:ind w:left="-2" w:firstLine="284"/>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يستند المنهج</w:t>
      </w:r>
      <w:r w:rsidR="00240437" w:rsidRPr="0062340E">
        <w:rPr>
          <w:rFonts w:ascii="Simplified Arabic" w:hAnsi="Simplified Arabic" w:cs="Simplified Arabic" w:hint="cs"/>
          <w:sz w:val="24"/>
          <w:szCs w:val="24"/>
          <w:rtl/>
        </w:rPr>
        <w:t xml:space="preserve"> الاستقرائي</w:t>
      </w:r>
      <w:r w:rsidRPr="0062340E">
        <w:rPr>
          <w:rFonts w:ascii="Simplified Arabic" w:hAnsi="Simplified Arabic" w:cs="Simplified Arabic" w:hint="cs"/>
          <w:sz w:val="24"/>
          <w:szCs w:val="24"/>
          <w:rtl/>
        </w:rPr>
        <w:t xml:space="preserve"> الى طرق تحليلية </w:t>
      </w:r>
      <w:r w:rsidR="00C83E64" w:rsidRPr="0062340E">
        <w:rPr>
          <w:rFonts w:ascii="Simplified Arabic" w:hAnsi="Simplified Arabic" w:cs="Simplified Arabic" w:hint="cs"/>
          <w:sz w:val="24"/>
          <w:szCs w:val="24"/>
          <w:rtl/>
        </w:rPr>
        <w:t>و</w:t>
      </w:r>
      <w:r w:rsidRPr="0062340E">
        <w:rPr>
          <w:rFonts w:ascii="Simplified Arabic" w:hAnsi="Simplified Arabic" w:cs="Simplified Arabic" w:hint="cs"/>
          <w:sz w:val="24"/>
          <w:szCs w:val="24"/>
          <w:rtl/>
        </w:rPr>
        <w:t>كمية و</w:t>
      </w:r>
      <w:r w:rsidR="006F2D2A" w:rsidRPr="0062340E">
        <w:rPr>
          <w:rFonts w:ascii="Simplified Arabic" w:hAnsi="Simplified Arabic" w:cs="Simplified Arabic" w:hint="cs"/>
          <w:sz w:val="24"/>
          <w:szCs w:val="24"/>
          <w:rtl/>
        </w:rPr>
        <w:t xml:space="preserve">الى </w:t>
      </w:r>
      <w:r w:rsidRPr="0062340E">
        <w:rPr>
          <w:rFonts w:ascii="Simplified Arabic" w:hAnsi="Simplified Arabic" w:cs="Simplified Arabic" w:hint="cs"/>
          <w:sz w:val="24"/>
          <w:szCs w:val="24"/>
          <w:rtl/>
        </w:rPr>
        <w:t>اسل</w:t>
      </w:r>
      <w:r w:rsidR="00C83E64" w:rsidRPr="0062340E">
        <w:rPr>
          <w:rFonts w:ascii="Simplified Arabic" w:hAnsi="Simplified Arabic" w:cs="Simplified Arabic" w:hint="cs"/>
          <w:sz w:val="24"/>
          <w:szCs w:val="24"/>
          <w:rtl/>
        </w:rPr>
        <w:t>و</w:t>
      </w:r>
      <w:r w:rsidRPr="0062340E">
        <w:rPr>
          <w:rFonts w:ascii="Simplified Arabic" w:hAnsi="Simplified Arabic" w:cs="Simplified Arabic" w:hint="cs"/>
          <w:sz w:val="24"/>
          <w:szCs w:val="24"/>
          <w:rtl/>
        </w:rPr>
        <w:t xml:space="preserve">ب مقارنة </w:t>
      </w:r>
      <w:r w:rsidR="00C83E64" w:rsidRPr="0062340E">
        <w:rPr>
          <w:rFonts w:ascii="Simplified Arabic" w:hAnsi="Simplified Arabic" w:cs="Simplified Arabic" w:hint="cs"/>
          <w:sz w:val="24"/>
          <w:szCs w:val="24"/>
          <w:rtl/>
        </w:rPr>
        <w:t>واحصاء</w:t>
      </w:r>
      <w:r w:rsidRPr="0062340E">
        <w:rPr>
          <w:rFonts w:ascii="Simplified Arabic" w:hAnsi="Simplified Arabic" w:cs="Simplified Arabic" w:hint="cs"/>
          <w:sz w:val="24"/>
          <w:szCs w:val="24"/>
          <w:rtl/>
        </w:rPr>
        <w:t xml:space="preserve"> </w:t>
      </w:r>
      <w:r w:rsidR="000E5608" w:rsidRPr="0062340E">
        <w:rPr>
          <w:rFonts w:ascii="Simplified Arabic" w:hAnsi="Simplified Arabic" w:cs="Simplified Arabic" w:hint="cs"/>
          <w:sz w:val="24"/>
          <w:szCs w:val="24"/>
          <w:rtl/>
        </w:rPr>
        <w:t>الذي يسمح ب</w:t>
      </w:r>
      <w:r w:rsidR="00421EA8" w:rsidRPr="0062340E">
        <w:rPr>
          <w:rFonts w:ascii="Simplified Arabic" w:hAnsi="Simplified Arabic" w:cs="Simplified Arabic" w:hint="cs"/>
          <w:sz w:val="24"/>
          <w:szCs w:val="24"/>
          <w:rtl/>
        </w:rPr>
        <w:t>استكشاف</w:t>
      </w:r>
      <w:r w:rsidRPr="0062340E">
        <w:rPr>
          <w:rFonts w:ascii="Simplified Arabic" w:hAnsi="Simplified Arabic" w:cs="Simplified Arabic"/>
          <w:sz w:val="24"/>
          <w:szCs w:val="24"/>
          <w:rtl/>
        </w:rPr>
        <w:t xml:space="preserve"> </w:t>
      </w:r>
      <w:r w:rsidR="002B3D7B" w:rsidRPr="0062340E">
        <w:rPr>
          <w:rFonts w:ascii="Simplified Arabic" w:hAnsi="Simplified Arabic" w:cs="Simplified Arabic" w:hint="cs"/>
          <w:sz w:val="24"/>
          <w:szCs w:val="24"/>
          <w:rtl/>
        </w:rPr>
        <w:t>اثر</w:t>
      </w:r>
      <w:r w:rsidRPr="0062340E">
        <w:rPr>
          <w:rFonts w:ascii="Simplified Arabic" w:hAnsi="Simplified Arabic" w:cs="Simplified Arabic"/>
          <w:sz w:val="24"/>
          <w:szCs w:val="24"/>
        </w:rPr>
        <w:t xml:space="preserve"> </w:t>
      </w:r>
      <w:r w:rsidR="00860647" w:rsidRPr="0062340E">
        <w:rPr>
          <w:rFonts w:ascii="Simplified Arabic" w:hAnsi="Simplified Arabic" w:cs="Simplified Arabic" w:hint="cs"/>
          <w:sz w:val="24"/>
          <w:szCs w:val="24"/>
          <w:rtl/>
        </w:rPr>
        <w:t xml:space="preserve">التوزيع المكاني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002B3D7B" w:rsidRPr="0062340E">
        <w:rPr>
          <w:rFonts w:ascii="Simplified Arabic" w:hAnsi="Simplified Arabic" w:cs="Simplified Arabic" w:hint="cs"/>
          <w:sz w:val="24"/>
          <w:szCs w:val="24"/>
          <w:rtl/>
        </w:rPr>
        <w:t>على</w:t>
      </w:r>
      <w:r w:rsidR="00352041" w:rsidRPr="0062340E">
        <w:rPr>
          <w:rFonts w:ascii="Simplified Arabic" w:hAnsi="Simplified Arabic" w:cs="Simplified Arabic" w:hint="cs"/>
          <w:sz w:val="24"/>
          <w:szCs w:val="24"/>
          <w:rtl/>
        </w:rPr>
        <w:t xml:space="preserve"> المرونة الحضرية</w:t>
      </w:r>
      <w:r w:rsidR="00495F17" w:rsidRPr="0062340E">
        <w:rPr>
          <w:rFonts w:ascii="Simplified Arabic" w:hAnsi="Simplified Arabic" w:cs="Simplified Arabic" w:hint="cs"/>
          <w:sz w:val="24"/>
          <w:szCs w:val="24"/>
          <w:rtl/>
        </w:rPr>
        <w:t>.</w:t>
      </w:r>
      <w:r w:rsidR="000E5608" w:rsidRPr="0062340E">
        <w:rPr>
          <w:rFonts w:ascii="Simplified Arabic" w:hAnsi="Simplified Arabic" w:cs="Simplified Arabic" w:hint="cs"/>
          <w:sz w:val="24"/>
          <w:szCs w:val="24"/>
          <w:rtl/>
        </w:rPr>
        <w:t xml:space="preserve"> </w:t>
      </w:r>
    </w:p>
    <w:p w:rsidR="00CF6281" w:rsidRPr="0062340E" w:rsidRDefault="00785893" w:rsidP="006F2D2A">
      <w:pPr>
        <w:tabs>
          <w:tab w:val="right" w:pos="282"/>
        </w:tabs>
        <w:bidi/>
        <w:spacing w:after="0"/>
        <w:ind w:left="-2" w:firstLine="284"/>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تم استخدام </w:t>
      </w:r>
      <w:r w:rsidRPr="0062340E">
        <w:rPr>
          <w:rFonts w:ascii="Simplified Arabic" w:hAnsi="Simplified Arabic" w:cs="Simplified Arabic"/>
          <w:sz w:val="24"/>
          <w:szCs w:val="24"/>
          <w:rtl/>
        </w:rPr>
        <w:t>المنهج الاستقرائي</w:t>
      </w:r>
      <w:r w:rsidRPr="0062340E">
        <w:rPr>
          <w:rFonts w:ascii="Simplified Arabic" w:hAnsi="Simplified Arabic" w:cs="Simplified Arabic" w:hint="cs"/>
          <w:sz w:val="24"/>
          <w:szCs w:val="24"/>
          <w:rtl/>
        </w:rPr>
        <w:t xml:space="preserve"> لأنه </w:t>
      </w:r>
      <w:r w:rsidR="00F15360" w:rsidRPr="0062340E">
        <w:rPr>
          <w:rFonts w:ascii="Simplified Arabic" w:hAnsi="Simplified Arabic" w:cs="Simplified Arabic" w:hint="cs"/>
          <w:sz w:val="24"/>
          <w:szCs w:val="24"/>
          <w:rtl/>
        </w:rPr>
        <w:t>يتناسب</w:t>
      </w:r>
      <w:r w:rsidR="001D6AED" w:rsidRPr="0062340E">
        <w:rPr>
          <w:rFonts w:ascii="Simplified Arabic" w:hAnsi="Simplified Arabic" w:cs="Simplified Arabic"/>
          <w:sz w:val="24"/>
          <w:szCs w:val="24"/>
        </w:rPr>
        <w:t xml:space="preserve"> </w:t>
      </w:r>
      <w:r w:rsidR="001D6AED" w:rsidRPr="0062340E">
        <w:rPr>
          <w:rFonts w:ascii="Simplified Arabic" w:hAnsi="Simplified Arabic" w:cs="Simplified Arabic"/>
          <w:sz w:val="24"/>
          <w:szCs w:val="24"/>
          <w:rtl/>
        </w:rPr>
        <w:t>مع</w:t>
      </w:r>
      <w:r w:rsidR="001D6AED" w:rsidRPr="0062340E">
        <w:rPr>
          <w:rFonts w:ascii="Simplified Arabic" w:hAnsi="Simplified Arabic" w:cs="Simplified Arabic"/>
          <w:sz w:val="24"/>
          <w:szCs w:val="24"/>
        </w:rPr>
        <w:t xml:space="preserve"> </w:t>
      </w:r>
      <w:r w:rsidR="003C0B82" w:rsidRPr="0062340E">
        <w:rPr>
          <w:rFonts w:ascii="Simplified Arabic" w:hAnsi="Simplified Arabic" w:cs="Simplified Arabic" w:hint="cs"/>
          <w:sz w:val="24"/>
          <w:szCs w:val="24"/>
          <w:rtl/>
        </w:rPr>
        <w:t>تقنيات نظم المعلومات الجغرافية</w:t>
      </w:r>
      <w:r w:rsidR="001D6AED" w:rsidRPr="0062340E">
        <w:rPr>
          <w:rFonts w:ascii="Simplified Arabic" w:hAnsi="Simplified Arabic" w:cs="Simplified Arabic" w:hint="cs"/>
          <w:sz w:val="24"/>
          <w:szCs w:val="24"/>
          <w:rtl/>
        </w:rPr>
        <w:t xml:space="preserve"> </w:t>
      </w:r>
      <w:r w:rsidR="001D6AED" w:rsidRPr="0062340E">
        <w:rPr>
          <w:rFonts w:asciiTheme="majorBidi" w:hAnsiTheme="majorBidi" w:cstheme="majorBidi"/>
          <w:sz w:val="24"/>
          <w:szCs w:val="24"/>
        </w:rPr>
        <w:t>(Gis)</w:t>
      </w:r>
      <w:r w:rsidR="00E439EC" w:rsidRPr="0062340E">
        <w:rPr>
          <w:rFonts w:ascii="Simplified Arabic" w:hAnsi="Simplified Arabic" w:cs="Simplified Arabic" w:hint="cs"/>
          <w:sz w:val="24"/>
          <w:szCs w:val="24"/>
          <w:rtl/>
        </w:rPr>
        <w:t xml:space="preserve"> </w:t>
      </w:r>
      <w:r w:rsidR="004B3E02" w:rsidRPr="0062340E">
        <w:rPr>
          <w:rFonts w:ascii="Simplified Arabic" w:hAnsi="Simplified Arabic" w:cs="Simplified Arabic" w:hint="cs"/>
          <w:sz w:val="24"/>
          <w:szCs w:val="24"/>
          <w:rtl/>
        </w:rPr>
        <w:t xml:space="preserve">من خلال برنامج </w:t>
      </w:r>
      <w:r w:rsidR="004B3E02" w:rsidRPr="0062340E">
        <w:rPr>
          <w:rFonts w:asciiTheme="majorBidi" w:hAnsiTheme="majorBidi" w:cstheme="majorBidi" w:hint="cs"/>
          <w:sz w:val="24"/>
          <w:szCs w:val="24"/>
          <w:rtl/>
        </w:rPr>
        <w:t>(</w:t>
      </w:r>
      <w:r w:rsidR="007962DE" w:rsidRPr="0062340E">
        <w:rPr>
          <w:rFonts w:asciiTheme="majorBidi" w:hAnsiTheme="majorBidi" w:cstheme="majorBidi"/>
          <w:sz w:val="24"/>
          <w:szCs w:val="24"/>
        </w:rPr>
        <w:t>Arc GIS</w:t>
      </w:r>
      <w:r w:rsidR="004B3E02" w:rsidRPr="0062340E">
        <w:rPr>
          <w:rFonts w:asciiTheme="majorBidi" w:hAnsiTheme="majorBidi" w:cstheme="majorBidi"/>
          <w:sz w:val="24"/>
          <w:szCs w:val="24"/>
        </w:rPr>
        <w:t xml:space="preserve"> 10.3</w:t>
      </w:r>
      <w:r w:rsidR="004B3E02" w:rsidRPr="0062340E">
        <w:rPr>
          <w:rFonts w:asciiTheme="majorBidi" w:hAnsiTheme="majorBidi" w:cstheme="majorBidi" w:hint="cs"/>
          <w:sz w:val="24"/>
          <w:szCs w:val="24"/>
          <w:rtl/>
        </w:rPr>
        <w:t>)</w:t>
      </w:r>
      <w:r w:rsidR="00CA4E7F" w:rsidRPr="0062340E">
        <w:rPr>
          <w:rFonts w:ascii="Simplified Arabic" w:hAnsi="Simplified Arabic" w:cs="Simplified Arabic"/>
          <w:sz w:val="24"/>
          <w:szCs w:val="24"/>
          <w:rtl/>
        </w:rPr>
        <w:t>،</w:t>
      </w:r>
      <w:r w:rsidR="004B3E02" w:rsidRPr="0062340E">
        <w:rPr>
          <w:rFonts w:ascii="Simplified Arabic" w:hAnsi="Simplified Arabic" w:cs="Simplified Arabic"/>
          <w:sz w:val="24"/>
          <w:szCs w:val="24"/>
          <w:rtl/>
        </w:rPr>
        <w:t xml:space="preserve"> </w:t>
      </w:r>
      <w:r w:rsidR="002668EF" w:rsidRPr="0062340E">
        <w:rPr>
          <w:rFonts w:ascii="Simplified Arabic" w:hAnsi="Simplified Arabic" w:cs="Simplified Arabic" w:hint="cs"/>
          <w:sz w:val="24"/>
          <w:szCs w:val="24"/>
          <w:rtl/>
        </w:rPr>
        <w:t>باعتبار هذا الاخير</w:t>
      </w:r>
      <w:r w:rsidR="00000016" w:rsidRPr="0062340E">
        <w:rPr>
          <w:rFonts w:ascii="Simplified Arabic" w:hAnsi="Simplified Arabic" w:cs="Simplified Arabic" w:hint="cs"/>
          <w:sz w:val="24"/>
          <w:szCs w:val="24"/>
          <w:rtl/>
        </w:rPr>
        <w:t xml:space="preserve"> اداة تحليل </w:t>
      </w:r>
      <w:r w:rsidRPr="0062340E">
        <w:rPr>
          <w:rFonts w:ascii="Simplified Arabic" w:hAnsi="Simplified Arabic" w:cs="Simplified Arabic" w:hint="cs"/>
          <w:sz w:val="24"/>
          <w:szCs w:val="24"/>
          <w:rtl/>
        </w:rPr>
        <w:t xml:space="preserve">مكاني </w:t>
      </w:r>
      <w:r w:rsidR="004B3E02" w:rsidRPr="0062340E">
        <w:rPr>
          <w:rFonts w:ascii="Simplified Arabic" w:hAnsi="Simplified Arabic" w:cs="Simplified Arabic" w:hint="cs"/>
          <w:sz w:val="24"/>
          <w:szCs w:val="24"/>
          <w:rtl/>
        </w:rPr>
        <w:t xml:space="preserve">يسمح </w:t>
      </w:r>
      <w:r w:rsidR="001D6AED" w:rsidRPr="0062340E">
        <w:rPr>
          <w:rFonts w:ascii="Simplified Arabic" w:hAnsi="Simplified Arabic" w:cs="Simplified Arabic"/>
          <w:sz w:val="24"/>
          <w:szCs w:val="24"/>
          <w:rtl/>
        </w:rPr>
        <w:t>بإدخال البيانات</w:t>
      </w:r>
      <w:r w:rsidR="001D6AED" w:rsidRPr="0062340E">
        <w:rPr>
          <w:rFonts w:ascii="Simplified Arabic" w:hAnsi="Simplified Arabic" w:cs="Simplified Arabic"/>
          <w:sz w:val="24"/>
          <w:szCs w:val="24"/>
        </w:rPr>
        <w:t xml:space="preserve"> </w:t>
      </w:r>
      <w:r w:rsidR="001D6AED" w:rsidRPr="0062340E">
        <w:rPr>
          <w:rFonts w:ascii="Simplified Arabic" w:hAnsi="Simplified Arabic" w:cs="Simplified Arabic"/>
          <w:sz w:val="24"/>
          <w:szCs w:val="24"/>
          <w:rtl/>
        </w:rPr>
        <w:t>المكانية والوصفية</w:t>
      </w:r>
      <w:r w:rsidR="007962DE" w:rsidRPr="0062340E">
        <w:rPr>
          <w:rFonts w:ascii="Simplified Arabic" w:hAnsi="Simplified Arabic" w:cs="Simplified Arabic" w:hint="cs"/>
          <w:sz w:val="24"/>
          <w:szCs w:val="24"/>
          <w:rtl/>
        </w:rPr>
        <w:t xml:space="preserve"> </w:t>
      </w:r>
      <w:r w:rsidR="002F7C85" w:rsidRPr="0062340E">
        <w:rPr>
          <w:rFonts w:ascii="Simplified Arabic" w:hAnsi="Simplified Arabic" w:cs="Simplified Arabic"/>
          <w:sz w:val="24"/>
          <w:szCs w:val="24"/>
        </w:rPr>
        <w:t>)</w:t>
      </w:r>
      <w:r w:rsidR="002F7C85" w:rsidRPr="0062340E">
        <w:rPr>
          <w:rFonts w:ascii="Simplified Arabic" w:hAnsi="Simplified Arabic" w:cs="Simplified Arabic" w:hint="cs"/>
          <w:sz w:val="24"/>
          <w:szCs w:val="24"/>
          <w:rtl/>
        </w:rPr>
        <w:t>الجز</w:t>
      </w:r>
      <w:r w:rsidR="000E5608" w:rsidRPr="0062340E">
        <w:rPr>
          <w:rFonts w:ascii="Simplified Arabic" w:hAnsi="Simplified Arabic" w:cs="Simplified Arabic" w:hint="cs"/>
          <w:sz w:val="24"/>
          <w:szCs w:val="24"/>
          <w:rtl/>
        </w:rPr>
        <w:t>ء</w:t>
      </w:r>
      <w:r w:rsidR="002F7C85" w:rsidRPr="0062340E">
        <w:rPr>
          <w:rFonts w:ascii="Simplified Arabic" w:hAnsi="Simplified Arabic" w:cs="Simplified Arabic"/>
          <w:sz w:val="24"/>
          <w:szCs w:val="24"/>
        </w:rPr>
        <w:t>(</w:t>
      </w:r>
      <w:r w:rsidR="00E439EC" w:rsidRPr="0062340E">
        <w:rPr>
          <w:rFonts w:ascii="Simplified Arabic" w:hAnsi="Simplified Arabic" w:cs="Simplified Arabic" w:hint="cs"/>
          <w:sz w:val="24"/>
          <w:szCs w:val="24"/>
          <w:rtl/>
        </w:rPr>
        <w:t xml:space="preserve"> ثم</w:t>
      </w:r>
      <w:r w:rsidR="007962DE" w:rsidRPr="0062340E">
        <w:rPr>
          <w:rFonts w:ascii="Simplified Arabic" w:hAnsi="Simplified Arabic" w:cs="Simplified Arabic" w:hint="cs"/>
          <w:sz w:val="24"/>
          <w:szCs w:val="24"/>
          <w:rtl/>
        </w:rPr>
        <w:t xml:space="preserve"> </w:t>
      </w:r>
      <w:r w:rsidR="00E439EC" w:rsidRPr="0062340E">
        <w:rPr>
          <w:rFonts w:ascii="Simplified Arabic" w:hAnsi="Simplified Arabic" w:cs="Simplified Arabic" w:hint="cs"/>
          <w:sz w:val="24"/>
          <w:szCs w:val="24"/>
          <w:rtl/>
        </w:rPr>
        <w:t>ا</w:t>
      </w:r>
      <w:r w:rsidR="001D6AED" w:rsidRPr="0062340E">
        <w:rPr>
          <w:rFonts w:ascii="Simplified Arabic" w:hAnsi="Simplified Arabic" w:cs="Simplified Arabic"/>
          <w:sz w:val="24"/>
          <w:szCs w:val="24"/>
          <w:rtl/>
        </w:rPr>
        <w:t>خراجها</w:t>
      </w:r>
      <w:r w:rsidR="001D6AED" w:rsidRPr="0062340E">
        <w:rPr>
          <w:rFonts w:ascii="Simplified Arabic" w:hAnsi="Simplified Arabic" w:cs="Simplified Arabic"/>
          <w:sz w:val="24"/>
          <w:szCs w:val="24"/>
        </w:rPr>
        <w:t xml:space="preserve"> </w:t>
      </w:r>
      <w:r w:rsidR="001D6AED" w:rsidRPr="0062340E">
        <w:rPr>
          <w:rFonts w:ascii="Simplified Arabic" w:hAnsi="Simplified Arabic" w:cs="Simplified Arabic"/>
          <w:sz w:val="24"/>
          <w:szCs w:val="24"/>
          <w:rtl/>
        </w:rPr>
        <w:t>على</w:t>
      </w:r>
      <w:r w:rsidR="007962DE" w:rsidRPr="0062340E">
        <w:rPr>
          <w:rFonts w:ascii="Simplified Arabic" w:hAnsi="Simplified Arabic" w:cs="Simplified Arabic" w:hint="cs"/>
          <w:sz w:val="24"/>
          <w:szCs w:val="24"/>
          <w:rtl/>
        </w:rPr>
        <w:t xml:space="preserve"> </w:t>
      </w:r>
      <w:r w:rsidR="001D6AED" w:rsidRPr="0062340E">
        <w:rPr>
          <w:rFonts w:ascii="Simplified Arabic" w:hAnsi="Simplified Arabic" w:cs="Simplified Arabic"/>
          <w:sz w:val="24"/>
          <w:szCs w:val="24"/>
          <w:rtl/>
        </w:rPr>
        <w:t>شكل</w:t>
      </w:r>
      <w:r w:rsidR="007962DE" w:rsidRPr="0062340E">
        <w:rPr>
          <w:rFonts w:ascii="Simplified Arabic" w:hAnsi="Simplified Arabic" w:cs="Simplified Arabic" w:hint="cs"/>
          <w:sz w:val="24"/>
          <w:szCs w:val="24"/>
          <w:rtl/>
        </w:rPr>
        <w:t xml:space="preserve"> </w:t>
      </w:r>
      <w:r w:rsidR="001D6AED" w:rsidRPr="0062340E">
        <w:rPr>
          <w:rFonts w:ascii="Simplified Arabic" w:hAnsi="Simplified Arabic" w:cs="Simplified Arabic"/>
          <w:sz w:val="24"/>
          <w:szCs w:val="24"/>
          <w:rtl/>
        </w:rPr>
        <w:t>خرائط</w:t>
      </w:r>
      <w:r w:rsidR="004B3E02" w:rsidRPr="0062340E">
        <w:rPr>
          <w:rFonts w:ascii="Simplified Arabic" w:hAnsi="Simplified Arabic" w:cs="Simplified Arabic" w:hint="cs"/>
          <w:sz w:val="24"/>
          <w:szCs w:val="24"/>
          <w:rtl/>
        </w:rPr>
        <w:t xml:space="preserve"> </w:t>
      </w:r>
      <w:r w:rsidR="00240437" w:rsidRPr="0062340E">
        <w:rPr>
          <w:rFonts w:ascii="Simplified Arabic" w:hAnsi="Simplified Arabic" w:cs="Simplified Arabic" w:hint="cs"/>
          <w:sz w:val="24"/>
          <w:szCs w:val="24"/>
          <w:rtl/>
        </w:rPr>
        <w:t>رقمية</w:t>
      </w:r>
      <w:r w:rsidR="006F2D2A" w:rsidRPr="0062340E">
        <w:rPr>
          <w:rFonts w:ascii="Simplified Arabic" w:hAnsi="Simplified Arabic" w:cs="Simplified Arabic" w:hint="cs"/>
          <w:sz w:val="24"/>
          <w:szCs w:val="24"/>
          <w:rtl/>
        </w:rPr>
        <w:t xml:space="preserve"> </w:t>
      </w:r>
      <w:r w:rsidR="001D6AED" w:rsidRPr="0062340E">
        <w:rPr>
          <w:rFonts w:ascii="Simplified Arabic" w:hAnsi="Simplified Arabic" w:cs="Simplified Arabic"/>
          <w:sz w:val="24"/>
          <w:szCs w:val="24"/>
        </w:rPr>
        <w:t>)</w:t>
      </w:r>
      <w:r w:rsidR="000E5608" w:rsidRPr="0062340E">
        <w:rPr>
          <w:rFonts w:ascii="Simplified Arabic" w:hAnsi="Simplified Arabic" w:cs="Simplified Arabic" w:hint="cs"/>
          <w:sz w:val="24"/>
          <w:szCs w:val="24"/>
          <w:rtl/>
        </w:rPr>
        <w:t>ال</w:t>
      </w:r>
      <w:r w:rsidR="000E5608" w:rsidRPr="0062340E">
        <w:rPr>
          <w:rFonts w:ascii="Simplified Arabic" w:hAnsi="Simplified Arabic" w:cs="Simplified Arabic"/>
          <w:sz w:val="24"/>
          <w:szCs w:val="24"/>
          <w:rtl/>
        </w:rPr>
        <w:t>كل</w:t>
      </w:r>
      <w:r w:rsidR="004B3E02" w:rsidRPr="0062340E">
        <w:rPr>
          <w:rFonts w:ascii="Simplified Arabic" w:hAnsi="Simplified Arabic" w:cs="Simplified Arabic" w:hint="cs"/>
          <w:sz w:val="24"/>
          <w:szCs w:val="24"/>
          <w:rtl/>
        </w:rPr>
        <w:t>)</w:t>
      </w:r>
      <w:r w:rsidR="000E5608" w:rsidRPr="0062340E">
        <w:rPr>
          <w:rFonts w:ascii="Simplified Arabic" w:hAnsi="Simplified Arabic" w:cs="Simplified Arabic" w:hint="cs"/>
          <w:sz w:val="24"/>
          <w:szCs w:val="24"/>
          <w:rtl/>
        </w:rPr>
        <w:t xml:space="preserve">، </w:t>
      </w:r>
      <w:r w:rsidR="006F2D2A" w:rsidRPr="0062340E">
        <w:rPr>
          <w:rFonts w:ascii="Simplified Arabic" w:hAnsi="Simplified Arabic" w:cs="Simplified Arabic" w:hint="cs"/>
          <w:sz w:val="24"/>
          <w:szCs w:val="24"/>
          <w:rtl/>
        </w:rPr>
        <w:t xml:space="preserve">بالتالي </w:t>
      </w:r>
      <w:r w:rsidR="000B298C" w:rsidRPr="0062340E">
        <w:rPr>
          <w:rFonts w:ascii="Simplified Arabic" w:hAnsi="Simplified Arabic" w:cs="Simplified Arabic" w:hint="cs"/>
          <w:sz w:val="24"/>
          <w:szCs w:val="24"/>
          <w:rtl/>
        </w:rPr>
        <w:t xml:space="preserve">تعتبر هذه الخرائط </w:t>
      </w:r>
      <w:r w:rsidR="002F7C85" w:rsidRPr="0062340E">
        <w:rPr>
          <w:rFonts w:ascii="Simplified Arabic" w:hAnsi="Simplified Arabic" w:cs="Simplified Arabic" w:hint="cs"/>
          <w:sz w:val="24"/>
          <w:szCs w:val="24"/>
          <w:rtl/>
        </w:rPr>
        <w:t xml:space="preserve">بيانات استقرائية. </w:t>
      </w:r>
      <w:r w:rsidR="00CD4A43" w:rsidRPr="0062340E">
        <w:rPr>
          <w:rFonts w:ascii="Simplified Arabic" w:hAnsi="Simplified Arabic" w:cs="Simplified Arabic" w:hint="cs"/>
          <w:sz w:val="24"/>
          <w:szCs w:val="24"/>
          <w:rtl/>
        </w:rPr>
        <w:t xml:space="preserve">كما </w:t>
      </w:r>
      <w:r w:rsidR="00F15360" w:rsidRPr="0062340E">
        <w:rPr>
          <w:rFonts w:ascii="Simplified Arabic" w:hAnsi="Simplified Arabic" w:cs="Simplified Arabic" w:hint="cs"/>
          <w:sz w:val="24"/>
          <w:szCs w:val="24"/>
          <w:rtl/>
        </w:rPr>
        <w:t>يتناسب</w:t>
      </w:r>
      <w:r w:rsidR="00CD4A43" w:rsidRPr="0062340E">
        <w:rPr>
          <w:rFonts w:ascii="Simplified Arabic" w:hAnsi="Simplified Arabic" w:cs="Simplified Arabic" w:hint="cs"/>
          <w:sz w:val="24"/>
          <w:szCs w:val="24"/>
          <w:rtl/>
        </w:rPr>
        <w:t xml:space="preserve"> </w:t>
      </w:r>
      <w:r w:rsidR="002F7C85" w:rsidRPr="0062340E">
        <w:rPr>
          <w:rFonts w:ascii="Simplified Arabic" w:hAnsi="Simplified Arabic" w:cs="Simplified Arabic" w:hint="cs"/>
          <w:sz w:val="24"/>
          <w:szCs w:val="24"/>
          <w:rtl/>
        </w:rPr>
        <w:t xml:space="preserve">المنهج الاستقرائي </w:t>
      </w:r>
      <w:r w:rsidR="00CD4A43" w:rsidRPr="0062340E">
        <w:rPr>
          <w:rFonts w:ascii="Simplified Arabic" w:hAnsi="Simplified Arabic" w:cs="Simplified Arabic" w:hint="cs"/>
          <w:sz w:val="24"/>
          <w:szCs w:val="24"/>
          <w:rtl/>
        </w:rPr>
        <w:t xml:space="preserve">مع </w:t>
      </w:r>
      <w:r w:rsidR="006F2D2A" w:rsidRPr="0062340E">
        <w:rPr>
          <w:rFonts w:ascii="Simplified Arabic" w:hAnsi="Simplified Arabic" w:cs="Simplified Arabic" w:hint="cs"/>
          <w:sz w:val="24"/>
          <w:szCs w:val="24"/>
          <w:rtl/>
        </w:rPr>
        <w:t xml:space="preserve">تقنية دلفي التي تسمح </w:t>
      </w:r>
      <w:r w:rsidR="006F2D2A" w:rsidRPr="0062340E">
        <w:rPr>
          <w:rFonts w:ascii="Simplified Arabic" w:hAnsi="Simplified Arabic" w:cs="Simplified Arabic" w:hint="cs"/>
          <w:sz w:val="24"/>
          <w:szCs w:val="24"/>
          <w:rtl/>
        </w:rPr>
        <w:lastRenderedPageBreak/>
        <w:t xml:space="preserve">بتحديد عوامل تقييم المرونة الحضرية من خلال استبيان خبراء دلفي، الذي هو اساساً استبيان استقرائي وأحد ادوات القياس الكمي. ويتناسب ايضا مع </w:t>
      </w:r>
      <w:r w:rsidR="004B3E02" w:rsidRPr="0062340E">
        <w:rPr>
          <w:rFonts w:ascii="Simplified Arabic" w:hAnsi="Simplified Arabic" w:cs="Simplified Arabic"/>
          <w:sz w:val="24"/>
          <w:szCs w:val="24"/>
          <w:rtl/>
        </w:rPr>
        <w:t>تقنية التحليل الهرمي التسلسلي</w:t>
      </w:r>
      <w:r w:rsidR="004B3E02" w:rsidRPr="0062340E">
        <w:rPr>
          <w:rFonts w:ascii="Simplified Arabic" w:hAnsi="Simplified Arabic" w:cs="Simplified Arabic"/>
          <w:b/>
          <w:bCs/>
          <w:color w:val="000000"/>
          <w:sz w:val="24"/>
          <w:szCs w:val="24"/>
          <w:rtl/>
          <w:lang w:val="en-US"/>
        </w:rPr>
        <w:t xml:space="preserve"> </w:t>
      </w:r>
      <w:r w:rsidR="004B3E02" w:rsidRPr="0062340E">
        <w:rPr>
          <w:rFonts w:asciiTheme="majorBidi" w:hAnsiTheme="majorBidi" w:cstheme="majorBidi"/>
          <w:sz w:val="24"/>
          <w:szCs w:val="24"/>
          <w:rtl/>
        </w:rPr>
        <w:t>(</w:t>
      </w:r>
      <w:r w:rsidR="004B3E02" w:rsidRPr="0062340E">
        <w:rPr>
          <w:rFonts w:asciiTheme="majorBidi" w:hAnsiTheme="majorBidi" w:cstheme="majorBidi"/>
          <w:sz w:val="24"/>
          <w:szCs w:val="24"/>
        </w:rPr>
        <w:t>AHP</w:t>
      </w:r>
      <w:r w:rsidR="004B3E02" w:rsidRPr="0062340E">
        <w:rPr>
          <w:rFonts w:asciiTheme="majorBidi" w:hAnsiTheme="majorBidi" w:cstheme="majorBidi"/>
          <w:sz w:val="24"/>
          <w:szCs w:val="24"/>
          <w:rtl/>
        </w:rPr>
        <w:t>)</w:t>
      </w:r>
      <w:r w:rsidR="004B3E02" w:rsidRPr="0062340E">
        <w:rPr>
          <w:rFonts w:asciiTheme="majorBidi" w:hAnsiTheme="majorBidi" w:cstheme="majorBidi" w:hint="cs"/>
          <w:b/>
          <w:bCs/>
          <w:sz w:val="24"/>
          <w:szCs w:val="24"/>
          <w:rtl/>
        </w:rPr>
        <w:t xml:space="preserve"> </w:t>
      </w:r>
      <w:r w:rsidR="00E42C01" w:rsidRPr="0062340E">
        <w:rPr>
          <w:rFonts w:ascii="Simplified Arabic" w:hAnsi="Simplified Arabic" w:cs="Simplified Arabic" w:hint="cs"/>
          <w:sz w:val="24"/>
          <w:szCs w:val="24"/>
          <w:rtl/>
        </w:rPr>
        <w:t>لحساب</w:t>
      </w:r>
      <w:r w:rsidR="004B3E02" w:rsidRPr="0062340E">
        <w:rPr>
          <w:rFonts w:ascii="Simplified Arabic" w:hAnsi="Simplified Arabic" w:cs="Simplified Arabic" w:hint="cs"/>
          <w:sz w:val="24"/>
          <w:szCs w:val="24"/>
          <w:rtl/>
        </w:rPr>
        <w:t xml:space="preserve"> اوزان </w:t>
      </w:r>
      <w:r w:rsidR="00372924" w:rsidRPr="0062340E">
        <w:rPr>
          <w:rFonts w:ascii="Simplified Arabic" w:hAnsi="Simplified Arabic" w:cs="Simplified Arabic" w:hint="cs"/>
          <w:sz w:val="24"/>
          <w:szCs w:val="24"/>
          <w:rtl/>
        </w:rPr>
        <w:t xml:space="preserve">عوامل </w:t>
      </w:r>
      <w:r w:rsidR="002B3D7B" w:rsidRPr="0062340E">
        <w:rPr>
          <w:rFonts w:ascii="Simplified Arabic" w:hAnsi="Simplified Arabic" w:cs="Simplified Arabic" w:hint="cs"/>
          <w:sz w:val="24"/>
          <w:szCs w:val="24"/>
          <w:rtl/>
        </w:rPr>
        <w:t>تقييم المرونة الحضرية</w:t>
      </w:r>
      <w:r w:rsidR="006F2D2A" w:rsidRPr="0062340E">
        <w:rPr>
          <w:rFonts w:ascii="Simplified Arabic" w:hAnsi="Simplified Arabic" w:cs="Simplified Arabic" w:hint="cs"/>
          <w:sz w:val="24"/>
          <w:szCs w:val="24"/>
          <w:rtl/>
        </w:rPr>
        <w:t xml:space="preserve">. </w:t>
      </w:r>
    </w:p>
    <w:p w:rsidR="00E22B8D" w:rsidRPr="0062340E" w:rsidRDefault="00E22B8D" w:rsidP="001D0548">
      <w:pPr>
        <w:pStyle w:val="Paragraphedeliste"/>
        <w:numPr>
          <w:ilvl w:val="2"/>
          <w:numId w:val="88"/>
        </w:numPr>
        <w:tabs>
          <w:tab w:val="right" w:pos="708"/>
        </w:tabs>
        <w:bidi/>
        <w:spacing w:before="240" w:after="0"/>
        <w:ind w:left="0" w:firstLine="0"/>
        <w:jc w:val="both"/>
        <w:outlineLvl w:val="2"/>
        <w:rPr>
          <w:rFonts w:ascii="Simplified Arabic" w:hAnsi="Simplified Arabic" w:cs="Simplified Arabic"/>
          <w:b/>
          <w:bCs/>
          <w:sz w:val="24"/>
          <w:szCs w:val="24"/>
        </w:rPr>
      </w:pPr>
      <w:bookmarkStart w:id="36" w:name="_Toc171803293"/>
      <w:r w:rsidRPr="0062340E">
        <w:rPr>
          <w:rFonts w:ascii="Simplified Arabic" w:hAnsi="Simplified Arabic" w:cs="Simplified Arabic" w:hint="cs"/>
          <w:b/>
          <w:bCs/>
          <w:sz w:val="24"/>
          <w:szCs w:val="24"/>
          <w:rtl/>
        </w:rPr>
        <w:t>طر</w:t>
      </w:r>
      <w:r w:rsidR="002F7C85" w:rsidRPr="0062340E">
        <w:rPr>
          <w:rFonts w:ascii="Simplified Arabic" w:hAnsi="Simplified Arabic" w:cs="Simplified Arabic" w:hint="cs"/>
          <w:b/>
          <w:bCs/>
          <w:sz w:val="24"/>
          <w:szCs w:val="24"/>
          <w:rtl/>
        </w:rPr>
        <w:t>ق</w:t>
      </w:r>
      <w:r w:rsidRPr="0062340E">
        <w:rPr>
          <w:rFonts w:ascii="Simplified Arabic" w:hAnsi="Simplified Arabic" w:cs="Simplified Arabic" w:hint="cs"/>
          <w:b/>
          <w:bCs/>
          <w:sz w:val="24"/>
          <w:szCs w:val="24"/>
          <w:rtl/>
        </w:rPr>
        <w:t xml:space="preserve"> </w:t>
      </w:r>
      <w:r w:rsidR="00254E31" w:rsidRPr="0062340E">
        <w:rPr>
          <w:rFonts w:ascii="Simplified Arabic" w:hAnsi="Simplified Arabic" w:cs="Simplified Arabic" w:hint="cs"/>
          <w:b/>
          <w:bCs/>
          <w:sz w:val="24"/>
          <w:szCs w:val="24"/>
          <w:rtl/>
        </w:rPr>
        <w:t>ال</w:t>
      </w:r>
      <w:r w:rsidRPr="0062340E">
        <w:rPr>
          <w:rFonts w:ascii="Simplified Arabic" w:hAnsi="Simplified Arabic" w:cs="Simplified Arabic" w:hint="cs"/>
          <w:b/>
          <w:bCs/>
          <w:sz w:val="24"/>
          <w:szCs w:val="24"/>
          <w:rtl/>
        </w:rPr>
        <w:t>تحليل</w:t>
      </w:r>
      <w:r w:rsidR="00EB1211" w:rsidRPr="0062340E">
        <w:rPr>
          <w:rFonts w:ascii="Simplified Arabic" w:hAnsi="Simplified Arabic" w:cs="Simplified Arabic" w:hint="cs"/>
          <w:b/>
          <w:bCs/>
          <w:sz w:val="24"/>
          <w:szCs w:val="24"/>
          <w:rtl/>
        </w:rPr>
        <w:t xml:space="preserve"> </w:t>
      </w:r>
      <w:r w:rsidR="006F2D2A" w:rsidRPr="0062340E">
        <w:rPr>
          <w:rFonts w:ascii="Simplified Arabic" w:hAnsi="Simplified Arabic" w:cs="Simplified Arabic" w:hint="cs"/>
          <w:b/>
          <w:bCs/>
          <w:sz w:val="24"/>
          <w:szCs w:val="24"/>
          <w:rtl/>
        </w:rPr>
        <w:t>و</w:t>
      </w:r>
      <w:r w:rsidR="00345202" w:rsidRPr="0062340E">
        <w:rPr>
          <w:rFonts w:ascii="Simplified Arabic" w:hAnsi="Simplified Arabic" w:cs="Simplified Arabic" w:hint="cs"/>
          <w:b/>
          <w:bCs/>
          <w:sz w:val="24"/>
          <w:szCs w:val="24"/>
          <w:rtl/>
        </w:rPr>
        <w:t>اسلوب</w:t>
      </w:r>
      <w:r w:rsidR="00EB1211" w:rsidRPr="0062340E">
        <w:rPr>
          <w:rFonts w:ascii="Simplified Arabic" w:hAnsi="Simplified Arabic" w:cs="Simplified Arabic" w:hint="cs"/>
          <w:b/>
          <w:bCs/>
          <w:sz w:val="24"/>
          <w:szCs w:val="24"/>
          <w:rtl/>
        </w:rPr>
        <w:t xml:space="preserve"> المقارنة</w:t>
      </w:r>
      <w:r w:rsidRPr="0062340E">
        <w:rPr>
          <w:rFonts w:ascii="Simplified Arabic" w:hAnsi="Simplified Arabic" w:cs="Simplified Arabic" w:hint="cs"/>
          <w:b/>
          <w:bCs/>
          <w:sz w:val="24"/>
          <w:szCs w:val="24"/>
          <w:rtl/>
        </w:rPr>
        <w:t>:</w:t>
      </w:r>
      <w:bookmarkEnd w:id="36"/>
    </w:p>
    <w:p w:rsidR="00B33B7D" w:rsidRPr="0062340E" w:rsidRDefault="006F2D2A" w:rsidP="00725010">
      <w:pPr>
        <w:tabs>
          <w:tab w:val="right" w:pos="282"/>
        </w:tabs>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rPr>
        <w:t xml:space="preserve">يسمح </w:t>
      </w:r>
      <w:r w:rsidR="004A212E" w:rsidRPr="0062340E">
        <w:rPr>
          <w:rFonts w:ascii="Simplified Arabic" w:hAnsi="Simplified Arabic" w:cs="Simplified Arabic" w:hint="cs"/>
          <w:sz w:val="24"/>
          <w:szCs w:val="24"/>
          <w:rtl/>
        </w:rPr>
        <w:t>ال</w:t>
      </w:r>
      <w:r w:rsidR="009C4096" w:rsidRPr="0062340E">
        <w:rPr>
          <w:rFonts w:ascii="Simplified Arabic" w:hAnsi="Simplified Arabic" w:cs="Simplified Arabic" w:hint="cs"/>
          <w:sz w:val="24"/>
          <w:szCs w:val="24"/>
          <w:rtl/>
        </w:rPr>
        <w:t>تحليل</w:t>
      </w:r>
      <w:r w:rsidR="004A212E" w:rsidRPr="0062340E">
        <w:rPr>
          <w:rFonts w:ascii="Simplified Arabic" w:hAnsi="Simplified Arabic" w:cs="Simplified Arabic" w:hint="cs"/>
          <w:sz w:val="24"/>
          <w:szCs w:val="24"/>
          <w:rtl/>
        </w:rPr>
        <w:t xml:space="preserve"> النظري</w:t>
      </w:r>
      <w:r w:rsidR="009C4096" w:rsidRPr="0062340E">
        <w:rPr>
          <w:rFonts w:ascii="Simplified Arabic" w:hAnsi="Simplified Arabic" w:cs="Simplified Arabic" w:hint="cs"/>
          <w:sz w:val="24"/>
          <w:szCs w:val="24"/>
          <w:rtl/>
        </w:rPr>
        <w:t xml:space="preserve"> </w:t>
      </w:r>
      <w:r w:rsidR="004A212E" w:rsidRPr="0062340E">
        <w:rPr>
          <w:rFonts w:ascii="Simplified Arabic" w:hAnsi="Simplified Arabic" w:cs="Simplified Arabic" w:hint="cs"/>
          <w:sz w:val="24"/>
          <w:szCs w:val="24"/>
          <w:rtl/>
        </w:rPr>
        <w:t>ل</w:t>
      </w:r>
      <w:r w:rsidR="004A212E" w:rsidRPr="0062340E">
        <w:rPr>
          <w:rFonts w:ascii="Simplified Arabic" w:hAnsi="Simplified Arabic" w:cs="Simplified Arabic" w:hint="cs"/>
          <w:sz w:val="24"/>
          <w:szCs w:val="24"/>
          <w:rtl/>
          <w:lang w:bidi="ar-DZ"/>
        </w:rPr>
        <w:t xml:space="preserve">لمفاهيم </w:t>
      </w:r>
      <w:r w:rsidR="009A4889" w:rsidRPr="0062340E">
        <w:rPr>
          <w:rFonts w:ascii="Simplified Arabic" w:hAnsi="Simplified Arabic" w:cs="Simplified Arabic" w:hint="cs"/>
          <w:sz w:val="24"/>
          <w:szCs w:val="24"/>
          <w:rtl/>
          <w:lang w:bidi="ar-DZ"/>
        </w:rPr>
        <w:t>ب</w:t>
      </w:r>
      <w:r w:rsidR="009C4096" w:rsidRPr="0062340E">
        <w:rPr>
          <w:rFonts w:ascii="Simplified Arabic" w:hAnsi="Simplified Arabic" w:cs="Simplified Arabic" w:hint="cs"/>
          <w:sz w:val="24"/>
          <w:szCs w:val="24"/>
          <w:rtl/>
          <w:lang w:bidi="ar-DZ"/>
        </w:rPr>
        <w:t>شرح وتبسيط المصطلحات الخاصة بفرضية البحث</w:t>
      </w:r>
      <w:r w:rsidR="00396175" w:rsidRPr="0062340E">
        <w:rPr>
          <w:rFonts w:ascii="Simplified Arabic" w:hAnsi="Simplified Arabic" w:cs="Simplified Arabic" w:hint="cs"/>
          <w:sz w:val="24"/>
          <w:szCs w:val="24"/>
          <w:rtl/>
          <w:lang w:bidi="ar-DZ"/>
        </w:rPr>
        <w:t>.</w:t>
      </w:r>
      <w:r w:rsidR="009C4096" w:rsidRPr="0062340E">
        <w:rPr>
          <w:rFonts w:ascii="Simplified Arabic" w:hAnsi="Simplified Arabic" w:cs="Simplified Arabic" w:hint="cs"/>
          <w:sz w:val="24"/>
          <w:szCs w:val="24"/>
          <w:rtl/>
          <w:lang w:bidi="ar-DZ"/>
        </w:rPr>
        <w:t xml:space="preserve"> </w:t>
      </w:r>
      <w:r w:rsidR="00A67165" w:rsidRPr="0062340E">
        <w:rPr>
          <w:rFonts w:ascii="Simplified Arabic" w:hAnsi="Simplified Arabic" w:cs="Simplified Arabic" w:hint="cs"/>
          <w:sz w:val="24"/>
          <w:szCs w:val="24"/>
          <w:rtl/>
          <w:lang w:bidi="ar-DZ"/>
        </w:rPr>
        <w:t xml:space="preserve">كما </w:t>
      </w:r>
      <w:r w:rsidR="009A4889" w:rsidRPr="0062340E">
        <w:rPr>
          <w:rFonts w:ascii="Simplified Arabic" w:hAnsi="Simplified Arabic" w:cs="Simplified Arabic" w:hint="cs"/>
          <w:sz w:val="24"/>
          <w:szCs w:val="24"/>
          <w:rtl/>
          <w:lang w:bidi="ar-DZ"/>
        </w:rPr>
        <w:t>ي</w:t>
      </w:r>
      <w:r w:rsidR="00A67165" w:rsidRPr="0062340E">
        <w:rPr>
          <w:rFonts w:ascii="Simplified Arabic" w:hAnsi="Simplified Arabic" w:cs="Simplified Arabic" w:hint="cs"/>
          <w:sz w:val="24"/>
          <w:szCs w:val="24"/>
          <w:rtl/>
          <w:lang w:bidi="ar-DZ"/>
        </w:rPr>
        <w:t xml:space="preserve">سمح </w:t>
      </w:r>
      <w:r w:rsidR="009A4889" w:rsidRPr="0062340E">
        <w:rPr>
          <w:rFonts w:ascii="Simplified Arabic" w:hAnsi="Simplified Arabic" w:cs="Simplified Arabic" w:hint="cs"/>
          <w:sz w:val="24"/>
          <w:szCs w:val="24"/>
          <w:rtl/>
          <w:lang w:bidi="ar-DZ"/>
        </w:rPr>
        <w:t>ال</w:t>
      </w:r>
      <w:r w:rsidR="004A212E" w:rsidRPr="0062340E">
        <w:rPr>
          <w:rFonts w:ascii="Simplified Arabic" w:hAnsi="Simplified Arabic" w:cs="Simplified Arabic" w:hint="cs"/>
          <w:sz w:val="24"/>
          <w:szCs w:val="24"/>
          <w:rtl/>
          <w:lang w:bidi="ar-DZ"/>
        </w:rPr>
        <w:t xml:space="preserve">تحليل </w:t>
      </w:r>
      <w:r w:rsidR="009A4889" w:rsidRPr="0062340E">
        <w:rPr>
          <w:rFonts w:ascii="Simplified Arabic" w:hAnsi="Simplified Arabic" w:cs="Simplified Arabic" w:hint="cs"/>
          <w:sz w:val="24"/>
          <w:szCs w:val="24"/>
          <w:rtl/>
          <w:lang w:bidi="ar-DZ"/>
        </w:rPr>
        <w:t>ب</w:t>
      </w:r>
      <w:r w:rsidR="00F35A8F" w:rsidRPr="0062340E">
        <w:rPr>
          <w:rFonts w:ascii="Simplified Arabic" w:hAnsi="Simplified Arabic" w:cs="Simplified Arabic" w:hint="cs"/>
          <w:sz w:val="24"/>
          <w:szCs w:val="24"/>
          <w:rtl/>
          <w:lang w:bidi="ar-DZ"/>
        </w:rPr>
        <w:t xml:space="preserve">فهم ظاهرة </w:t>
      </w:r>
      <w:r w:rsidR="009A4889" w:rsidRPr="0062340E">
        <w:rPr>
          <w:rFonts w:ascii="Simplified Arabic" w:hAnsi="Simplified Arabic" w:cs="Simplified Arabic" w:hint="cs"/>
          <w:sz w:val="24"/>
          <w:szCs w:val="24"/>
          <w:rtl/>
          <w:lang w:bidi="ar-DZ"/>
        </w:rPr>
        <w:t xml:space="preserve">خصائص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00F35A8F" w:rsidRPr="0062340E">
        <w:rPr>
          <w:rFonts w:ascii="Simplified Arabic" w:hAnsi="Simplified Arabic" w:cs="Simplified Arabic" w:hint="cs"/>
          <w:sz w:val="24"/>
          <w:szCs w:val="24"/>
          <w:rtl/>
          <w:lang w:bidi="ar-DZ"/>
        </w:rPr>
        <w:t xml:space="preserve">لمختلف الانسجة الحضرية والمقارنة فيما بينهم. </w:t>
      </w:r>
      <w:r w:rsidR="00B33B7D" w:rsidRPr="0062340E">
        <w:rPr>
          <w:rFonts w:ascii="Simplified Arabic" w:hAnsi="Simplified Arabic" w:cs="Simplified Arabic"/>
          <w:sz w:val="24"/>
          <w:szCs w:val="24"/>
          <w:rtl/>
          <w:lang w:bidi="ar-DZ"/>
        </w:rPr>
        <w:t xml:space="preserve">تم الاستعانة </w:t>
      </w:r>
      <w:r w:rsidR="00B33B7D" w:rsidRPr="0062340E">
        <w:rPr>
          <w:rFonts w:ascii="Simplified Arabic" w:hAnsi="Simplified Arabic" w:cs="Simplified Arabic" w:hint="cs"/>
          <w:sz w:val="24"/>
          <w:szCs w:val="24"/>
          <w:rtl/>
          <w:lang w:bidi="ar-DZ"/>
        </w:rPr>
        <w:t>ب</w:t>
      </w:r>
      <w:r w:rsidR="00B33B7D" w:rsidRPr="0062340E">
        <w:rPr>
          <w:rFonts w:ascii="Simplified Arabic" w:hAnsi="Simplified Arabic" w:cs="Simplified Arabic"/>
          <w:sz w:val="24"/>
          <w:szCs w:val="24"/>
          <w:rtl/>
          <w:lang w:bidi="ar-DZ"/>
        </w:rPr>
        <w:t>بر</w:t>
      </w:r>
      <w:r w:rsidR="00B33B7D" w:rsidRPr="0062340E">
        <w:rPr>
          <w:rFonts w:ascii="Simplified Arabic" w:hAnsi="Simplified Arabic" w:cs="Simplified Arabic" w:hint="cs"/>
          <w:sz w:val="24"/>
          <w:szCs w:val="24"/>
          <w:rtl/>
          <w:lang w:bidi="ar-DZ"/>
        </w:rPr>
        <w:t>ن</w:t>
      </w:r>
      <w:r w:rsidR="00B33B7D" w:rsidRPr="0062340E">
        <w:rPr>
          <w:rFonts w:ascii="Simplified Arabic" w:hAnsi="Simplified Arabic" w:cs="Simplified Arabic"/>
          <w:sz w:val="24"/>
          <w:szCs w:val="24"/>
          <w:rtl/>
          <w:lang w:bidi="ar-DZ"/>
        </w:rPr>
        <w:t xml:space="preserve">امج </w:t>
      </w:r>
      <w:r w:rsidR="00B33B7D" w:rsidRPr="0062340E">
        <w:rPr>
          <w:rFonts w:asciiTheme="majorBidi" w:hAnsiTheme="majorBidi" w:cstheme="majorBidi" w:hint="cs"/>
          <w:sz w:val="24"/>
          <w:szCs w:val="24"/>
          <w:rtl/>
        </w:rPr>
        <w:t>(</w:t>
      </w:r>
      <w:r w:rsidR="00B33B7D" w:rsidRPr="0062340E">
        <w:rPr>
          <w:rFonts w:asciiTheme="majorBidi" w:hAnsiTheme="majorBidi" w:cstheme="majorBidi"/>
          <w:sz w:val="24"/>
          <w:szCs w:val="24"/>
        </w:rPr>
        <w:t>Arc GIS 10.3</w:t>
      </w:r>
      <w:r w:rsidR="00B33B7D" w:rsidRPr="0062340E">
        <w:rPr>
          <w:rFonts w:asciiTheme="majorBidi" w:hAnsiTheme="majorBidi" w:cstheme="majorBidi" w:hint="cs"/>
          <w:sz w:val="24"/>
          <w:szCs w:val="24"/>
          <w:rtl/>
        </w:rPr>
        <w:t>)</w:t>
      </w:r>
      <w:r w:rsidR="005801C0" w:rsidRPr="0062340E">
        <w:rPr>
          <w:rFonts w:asciiTheme="majorBidi" w:hAnsiTheme="majorBidi" w:cstheme="majorBidi" w:hint="cs"/>
          <w:sz w:val="24"/>
          <w:szCs w:val="24"/>
          <w:rtl/>
        </w:rPr>
        <w:t xml:space="preserve"> </w:t>
      </w:r>
      <w:r w:rsidR="005801C0" w:rsidRPr="0062340E">
        <w:rPr>
          <w:rFonts w:ascii="Simplified Arabic" w:hAnsi="Simplified Arabic" w:cs="Simplified Arabic" w:hint="cs"/>
          <w:sz w:val="24"/>
          <w:szCs w:val="24"/>
          <w:rtl/>
          <w:lang w:bidi="ar-DZ"/>
        </w:rPr>
        <w:t xml:space="preserve">كأداة تحليل مكاني </w:t>
      </w:r>
      <w:r w:rsidR="00000016" w:rsidRPr="0062340E">
        <w:rPr>
          <w:rFonts w:ascii="Simplified Arabic" w:hAnsi="Simplified Arabic" w:cs="Simplified Arabic" w:hint="cs"/>
          <w:sz w:val="24"/>
          <w:szCs w:val="24"/>
          <w:rtl/>
          <w:lang w:bidi="ar-DZ"/>
        </w:rPr>
        <w:t>و شبكي ي</w:t>
      </w:r>
      <w:r w:rsidR="00B33B7D" w:rsidRPr="0062340E">
        <w:rPr>
          <w:rFonts w:ascii="Simplified Arabic" w:hAnsi="Simplified Arabic" w:cs="Simplified Arabic" w:hint="cs"/>
          <w:sz w:val="24"/>
          <w:szCs w:val="24"/>
          <w:rtl/>
          <w:lang w:bidi="ar-DZ"/>
        </w:rPr>
        <w:t xml:space="preserve">سمح بتوظيف </w:t>
      </w:r>
      <w:r w:rsidR="00F3385A" w:rsidRPr="0062340E">
        <w:rPr>
          <w:rFonts w:ascii="Simplified Arabic" w:hAnsi="Simplified Arabic" w:cs="Simplified Arabic" w:hint="cs"/>
          <w:sz w:val="24"/>
          <w:szCs w:val="24"/>
          <w:rtl/>
          <w:lang w:bidi="ar-DZ"/>
        </w:rPr>
        <w:t xml:space="preserve">ومعالجة </w:t>
      </w:r>
      <w:r w:rsidR="003825BB" w:rsidRPr="0062340E">
        <w:rPr>
          <w:rFonts w:ascii="Simplified Arabic" w:hAnsi="Simplified Arabic" w:cs="Simplified Arabic"/>
          <w:sz w:val="24"/>
          <w:szCs w:val="24"/>
          <w:rtl/>
          <w:lang w:bidi="ar-DZ"/>
        </w:rPr>
        <w:t>الصور الفتوغرافية والجوية و</w:t>
      </w:r>
      <w:r w:rsidR="00B33B7D" w:rsidRPr="0062340E">
        <w:rPr>
          <w:rFonts w:ascii="Simplified Arabic" w:hAnsi="Simplified Arabic" w:cs="Simplified Arabic"/>
          <w:sz w:val="24"/>
          <w:szCs w:val="24"/>
          <w:rtl/>
          <w:lang w:bidi="ar-DZ"/>
        </w:rPr>
        <w:t>الخرائط والمخططات</w:t>
      </w:r>
      <w:r w:rsidR="00776816" w:rsidRPr="0062340E">
        <w:rPr>
          <w:rFonts w:ascii="Simplified Arabic" w:hAnsi="Simplified Arabic" w:cs="Simplified Arabic" w:hint="cs"/>
          <w:sz w:val="24"/>
          <w:szCs w:val="24"/>
          <w:rtl/>
          <w:lang w:bidi="ar-DZ"/>
        </w:rPr>
        <w:t xml:space="preserve"> في آن واحد</w:t>
      </w:r>
      <w:r w:rsidR="007C5F3C" w:rsidRPr="0062340E">
        <w:rPr>
          <w:rFonts w:ascii="Simplified Arabic" w:hAnsi="Simplified Arabic" w:cs="Simplified Arabic" w:hint="cs"/>
          <w:sz w:val="24"/>
          <w:szCs w:val="24"/>
          <w:rtl/>
          <w:lang w:bidi="ar-DZ"/>
        </w:rPr>
        <w:t>.</w:t>
      </w:r>
      <w:r w:rsidR="00776816" w:rsidRPr="0062340E">
        <w:rPr>
          <w:rFonts w:ascii="Simplified Arabic" w:hAnsi="Simplified Arabic" w:cs="Simplified Arabic" w:hint="cs"/>
          <w:sz w:val="24"/>
          <w:szCs w:val="24"/>
          <w:rtl/>
          <w:lang w:bidi="ar-DZ"/>
        </w:rPr>
        <w:t xml:space="preserve"> </w:t>
      </w:r>
    </w:p>
    <w:p w:rsidR="005C2680" w:rsidRPr="0062340E" w:rsidRDefault="005C2680" w:rsidP="001D0548">
      <w:pPr>
        <w:pStyle w:val="Paragraphedeliste"/>
        <w:numPr>
          <w:ilvl w:val="2"/>
          <w:numId w:val="89"/>
        </w:numPr>
        <w:tabs>
          <w:tab w:val="right" w:pos="708"/>
        </w:tabs>
        <w:bidi/>
        <w:spacing w:before="240" w:after="0"/>
        <w:ind w:left="0" w:firstLine="0"/>
        <w:jc w:val="both"/>
        <w:outlineLvl w:val="2"/>
        <w:rPr>
          <w:rFonts w:ascii="Simplified Arabic" w:hAnsi="Simplified Arabic" w:cs="Simplified Arabic"/>
          <w:b/>
          <w:bCs/>
          <w:sz w:val="24"/>
          <w:szCs w:val="24"/>
        </w:rPr>
      </w:pPr>
      <w:bookmarkStart w:id="37" w:name="_Toc171803294"/>
      <w:r w:rsidRPr="0062340E">
        <w:rPr>
          <w:rFonts w:ascii="Simplified Arabic" w:hAnsi="Simplified Arabic" w:cs="Simplified Arabic" w:hint="cs"/>
          <w:b/>
          <w:bCs/>
          <w:sz w:val="24"/>
          <w:szCs w:val="24"/>
          <w:rtl/>
        </w:rPr>
        <w:t>الطرق الكمية</w:t>
      </w:r>
      <w:r w:rsidR="00EB1211" w:rsidRPr="0062340E">
        <w:rPr>
          <w:rFonts w:ascii="Simplified Arabic" w:hAnsi="Simplified Arabic" w:cs="Simplified Arabic" w:hint="cs"/>
          <w:b/>
          <w:bCs/>
          <w:sz w:val="24"/>
          <w:szCs w:val="24"/>
          <w:rtl/>
        </w:rPr>
        <w:t xml:space="preserve"> مع </w:t>
      </w:r>
      <w:r w:rsidR="00345202" w:rsidRPr="0062340E">
        <w:rPr>
          <w:rFonts w:ascii="Simplified Arabic" w:hAnsi="Simplified Arabic" w:cs="Simplified Arabic" w:hint="cs"/>
          <w:b/>
          <w:bCs/>
          <w:sz w:val="24"/>
          <w:szCs w:val="24"/>
          <w:rtl/>
        </w:rPr>
        <w:t>اسلوب</w:t>
      </w:r>
      <w:r w:rsidR="00EB1211" w:rsidRPr="0062340E">
        <w:rPr>
          <w:rFonts w:ascii="Simplified Arabic" w:hAnsi="Simplified Arabic" w:cs="Simplified Arabic" w:hint="cs"/>
          <w:b/>
          <w:bCs/>
          <w:sz w:val="24"/>
          <w:szCs w:val="24"/>
          <w:rtl/>
        </w:rPr>
        <w:t xml:space="preserve"> المقارنة</w:t>
      </w:r>
      <w:bookmarkEnd w:id="37"/>
    </w:p>
    <w:p w:rsidR="00E351C0" w:rsidRPr="0062340E" w:rsidRDefault="002531E0" w:rsidP="00725010">
      <w:pPr>
        <w:tabs>
          <w:tab w:val="right" w:pos="282"/>
        </w:tabs>
        <w:bidi/>
        <w:spacing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sz w:val="24"/>
          <w:szCs w:val="24"/>
          <w:rtl/>
          <w:lang w:val="en-US" w:bidi="ar-DZ"/>
        </w:rPr>
        <w:t>تستخدم</w:t>
      </w:r>
      <w:r w:rsidR="00E351C0" w:rsidRPr="0062340E">
        <w:rPr>
          <w:rFonts w:ascii="Simplified Arabic" w:hAnsi="Simplified Arabic" w:cs="Simplified Arabic" w:hint="cs"/>
          <w:sz w:val="24"/>
          <w:szCs w:val="24"/>
          <w:rtl/>
          <w:lang w:val="en-US" w:bidi="ar-DZ"/>
        </w:rPr>
        <w:t xml:space="preserve"> الطرق الكمية </w:t>
      </w:r>
      <w:r w:rsidR="007C5F3C" w:rsidRPr="0062340E">
        <w:rPr>
          <w:rFonts w:ascii="Simplified Arabic" w:hAnsi="Simplified Arabic" w:cs="Simplified Arabic" w:hint="cs"/>
          <w:sz w:val="24"/>
          <w:szCs w:val="24"/>
          <w:rtl/>
          <w:lang w:val="en-US" w:bidi="ar-DZ"/>
        </w:rPr>
        <w:t>ل</w:t>
      </w:r>
      <w:r w:rsidRPr="0062340E">
        <w:rPr>
          <w:rFonts w:ascii="Simplified Arabic" w:hAnsi="Simplified Arabic" w:cs="Simplified Arabic"/>
          <w:sz w:val="24"/>
          <w:szCs w:val="24"/>
          <w:rtl/>
          <w:lang w:val="en-US" w:bidi="ar-DZ"/>
        </w:rPr>
        <w:t>قياس</w:t>
      </w:r>
      <w:r w:rsidR="00000016" w:rsidRPr="0062340E">
        <w:rPr>
          <w:rFonts w:ascii="Simplified Arabic" w:hAnsi="Simplified Arabic" w:cs="Simplified Arabic" w:hint="cs"/>
          <w:sz w:val="24"/>
          <w:szCs w:val="24"/>
          <w:rtl/>
          <w:lang w:val="en-US" w:bidi="ar-DZ"/>
        </w:rPr>
        <w:t xml:space="preserve"> </w:t>
      </w:r>
      <w:r w:rsidR="009644DF" w:rsidRPr="0062340E">
        <w:rPr>
          <w:rFonts w:ascii="Simplified Arabic" w:hAnsi="Simplified Arabic" w:cs="Simplified Arabic" w:hint="cs"/>
          <w:sz w:val="24"/>
          <w:szCs w:val="24"/>
          <w:rtl/>
          <w:lang w:val="en-US" w:bidi="ar-DZ"/>
        </w:rPr>
        <w:t xml:space="preserve">ظاهرة </w:t>
      </w:r>
      <w:r w:rsidR="008D0B56" w:rsidRPr="0062340E">
        <w:rPr>
          <w:rFonts w:ascii="Simplified Arabic" w:hAnsi="Simplified Arabic" w:cs="Simplified Arabic"/>
          <w:sz w:val="24"/>
          <w:szCs w:val="24"/>
          <w:rtl/>
          <w:lang w:val="en-US" w:bidi="ar-DZ"/>
        </w:rPr>
        <w:t xml:space="preserve">التوزيع المكاني </w:t>
      </w:r>
      <w:r w:rsidR="00725010" w:rsidRPr="0062340E">
        <w:rPr>
          <w:rFonts w:ascii="Simplified Arabic" w:hAnsi="Simplified Arabic" w:cs="Simplified Arabic" w:hint="cs"/>
          <w:sz w:val="24"/>
          <w:szCs w:val="24"/>
          <w:rtl/>
          <w:lang w:val="en-US" w:bidi="ar-DZ"/>
        </w:rPr>
        <w:t>ل</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009644DF" w:rsidRPr="0062340E">
        <w:rPr>
          <w:rFonts w:ascii="Simplified Arabic" w:hAnsi="Simplified Arabic" w:cs="Simplified Arabic" w:hint="cs"/>
          <w:sz w:val="24"/>
          <w:szCs w:val="24"/>
          <w:rtl/>
          <w:lang w:val="en-US" w:bidi="ar-DZ"/>
        </w:rPr>
        <w:t>الحضرية</w:t>
      </w:r>
      <w:r w:rsidR="003825BB" w:rsidRPr="0062340E">
        <w:rPr>
          <w:rFonts w:ascii="Simplified Arabic" w:hAnsi="Simplified Arabic" w:cs="Simplified Arabic" w:hint="cs"/>
          <w:sz w:val="24"/>
          <w:szCs w:val="24"/>
          <w:rtl/>
          <w:lang w:val="en-US" w:bidi="ar-DZ"/>
        </w:rPr>
        <w:t>،</w:t>
      </w:r>
      <w:r w:rsidR="009644DF" w:rsidRPr="0062340E">
        <w:rPr>
          <w:rFonts w:ascii="Simplified Arabic" w:hAnsi="Simplified Arabic" w:cs="Simplified Arabic" w:hint="cs"/>
          <w:sz w:val="24"/>
          <w:szCs w:val="24"/>
          <w:rtl/>
          <w:lang w:val="en-US" w:bidi="ar-DZ"/>
        </w:rPr>
        <w:t xml:space="preserve"> من جهة</w:t>
      </w:r>
      <w:r w:rsidR="003825BB" w:rsidRPr="0062340E">
        <w:rPr>
          <w:rFonts w:ascii="Simplified Arabic" w:hAnsi="Simplified Arabic" w:cs="Simplified Arabic" w:hint="cs"/>
          <w:sz w:val="24"/>
          <w:szCs w:val="24"/>
          <w:rtl/>
          <w:lang w:val="en-US" w:bidi="ar-DZ"/>
        </w:rPr>
        <w:t>.</w:t>
      </w:r>
      <w:r w:rsidR="009644DF" w:rsidRPr="0062340E">
        <w:rPr>
          <w:rFonts w:ascii="Simplified Arabic" w:hAnsi="Simplified Arabic" w:cs="Simplified Arabic" w:hint="cs"/>
          <w:sz w:val="24"/>
          <w:szCs w:val="24"/>
          <w:rtl/>
          <w:lang w:val="en-US" w:bidi="ar-DZ"/>
        </w:rPr>
        <w:t xml:space="preserve"> </w:t>
      </w:r>
      <w:r w:rsidR="00B3094E" w:rsidRPr="0062340E">
        <w:rPr>
          <w:rFonts w:ascii="Simplified Arabic" w:hAnsi="Simplified Arabic" w:cs="Simplified Arabic" w:hint="cs"/>
          <w:sz w:val="24"/>
          <w:szCs w:val="24"/>
          <w:rtl/>
          <w:lang w:val="en-US" w:bidi="ar-DZ"/>
        </w:rPr>
        <w:t xml:space="preserve">من جهة </w:t>
      </w:r>
      <w:r w:rsidR="009A02EB" w:rsidRPr="0062340E">
        <w:rPr>
          <w:rFonts w:ascii="Simplified Arabic" w:hAnsi="Simplified Arabic" w:cs="Simplified Arabic" w:hint="cs"/>
          <w:sz w:val="24"/>
          <w:szCs w:val="24"/>
          <w:rtl/>
          <w:lang w:val="en-US" w:bidi="ar-DZ"/>
        </w:rPr>
        <w:t xml:space="preserve">اخرى </w:t>
      </w:r>
      <w:r w:rsidR="007C5F3C" w:rsidRPr="0062340E">
        <w:rPr>
          <w:rFonts w:ascii="Simplified Arabic" w:hAnsi="Simplified Arabic" w:cs="Simplified Arabic" w:hint="cs"/>
          <w:sz w:val="24"/>
          <w:szCs w:val="24"/>
          <w:rtl/>
          <w:lang w:val="en-US" w:bidi="ar-DZ"/>
        </w:rPr>
        <w:t>ل</w:t>
      </w:r>
      <w:r w:rsidR="009A02EB" w:rsidRPr="0062340E">
        <w:rPr>
          <w:rFonts w:ascii="Simplified Arabic" w:hAnsi="Simplified Arabic" w:cs="Simplified Arabic"/>
          <w:sz w:val="24"/>
          <w:szCs w:val="24"/>
          <w:rtl/>
          <w:lang w:val="en-US" w:bidi="ar-DZ"/>
        </w:rPr>
        <w:t>قياس</w:t>
      </w:r>
      <w:r w:rsidR="009A02EB" w:rsidRPr="0062340E">
        <w:rPr>
          <w:rFonts w:ascii="Simplified Arabic" w:hAnsi="Simplified Arabic" w:cs="Simplified Arabic" w:hint="cs"/>
          <w:sz w:val="24"/>
          <w:szCs w:val="24"/>
          <w:rtl/>
          <w:lang w:val="en-US" w:bidi="ar-DZ"/>
        </w:rPr>
        <w:t xml:space="preserve"> </w:t>
      </w:r>
      <w:r w:rsidR="00B3094E" w:rsidRPr="0062340E">
        <w:rPr>
          <w:rFonts w:ascii="Simplified Arabic" w:hAnsi="Simplified Arabic" w:cs="Simplified Arabic"/>
          <w:sz w:val="24"/>
          <w:szCs w:val="24"/>
          <w:rtl/>
          <w:lang w:bidi="ar-DZ"/>
        </w:rPr>
        <w:t xml:space="preserve">الأهمية النسبية </w:t>
      </w:r>
      <w:r w:rsidR="00000016" w:rsidRPr="0062340E">
        <w:rPr>
          <w:rFonts w:ascii="Simplified Arabic" w:hAnsi="Simplified Arabic" w:cs="Simplified Arabic" w:hint="cs"/>
          <w:sz w:val="24"/>
          <w:szCs w:val="24"/>
          <w:rtl/>
          <w:lang w:bidi="ar-DZ"/>
        </w:rPr>
        <w:t>ل</w:t>
      </w:r>
      <w:r w:rsidR="00B3094E" w:rsidRPr="0062340E">
        <w:rPr>
          <w:rFonts w:ascii="Simplified Arabic" w:hAnsi="Simplified Arabic" w:cs="Simplified Arabic"/>
          <w:sz w:val="24"/>
          <w:szCs w:val="24"/>
          <w:rtl/>
          <w:lang w:bidi="ar-DZ"/>
        </w:rPr>
        <w:t>لعوامل</w:t>
      </w:r>
      <w:r w:rsidR="00FA243E" w:rsidRPr="0062340E">
        <w:rPr>
          <w:rFonts w:ascii="Simplified Arabic" w:hAnsi="Simplified Arabic" w:cs="Simplified Arabic" w:hint="cs"/>
          <w:sz w:val="24"/>
          <w:szCs w:val="24"/>
          <w:rtl/>
          <w:lang w:bidi="ar-DZ"/>
        </w:rPr>
        <w:t xml:space="preserve"> </w:t>
      </w:r>
      <w:r w:rsidR="00B3094E" w:rsidRPr="0062340E">
        <w:rPr>
          <w:rFonts w:ascii="Simplified Arabic" w:hAnsi="Simplified Arabic" w:cs="Simplified Arabic" w:hint="cs"/>
          <w:sz w:val="24"/>
          <w:szCs w:val="24"/>
          <w:rtl/>
          <w:lang w:bidi="ar-DZ"/>
        </w:rPr>
        <w:t xml:space="preserve">المستخدمة </w:t>
      </w:r>
      <w:r w:rsidR="00000016" w:rsidRPr="0062340E">
        <w:rPr>
          <w:rFonts w:ascii="Simplified Arabic" w:hAnsi="Simplified Arabic" w:cs="Simplified Arabic" w:hint="cs"/>
          <w:sz w:val="24"/>
          <w:szCs w:val="24"/>
          <w:rtl/>
          <w:lang w:bidi="ar-DZ"/>
        </w:rPr>
        <w:t>لتقييم المرونة</w:t>
      </w:r>
      <w:r w:rsidR="00000016" w:rsidRPr="0062340E">
        <w:rPr>
          <w:rFonts w:ascii="Simplified Arabic" w:hAnsi="Simplified Arabic" w:cs="Simplified Arabic" w:hint="cs"/>
          <w:color w:val="FF0000"/>
          <w:sz w:val="24"/>
          <w:szCs w:val="24"/>
          <w:rtl/>
          <w:lang w:bidi="ar-DZ"/>
        </w:rPr>
        <w:t xml:space="preserve"> </w:t>
      </w:r>
      <w:r w:rsidR="00000016" w:rsidRPr="0062340E">
        <w:rPr>
          <w:rFonts w:ascii="Simplified Arabic" w:hAnsi="Simplified Arabic" w:cs="Simplified Arabic" w:hint="cs"/>
          <w:sz w:val="24"/>
          <w:szCs w:val="24"/>
          <w:rtl/>
          <w:lang w:bidi="ar-DZ"/>
        </w:rPr>
        <w:t>الحضرية و</w:t>
      </w:r>
      <w:r w:rsidR="009A02EB" w:rsidRPr="0062340E">
        <w:rPr>
          <w:rFonts w:ascii="Simplified Arabic" w:hAnsi="Simplified Arabic" w:cs="Simplified Arabic" w:hint="cs"/>
          <w:sz w:val="24"/>
          <w:szCs w:val="24"/>
          <w:rtl/>
          <w:lang w:bidi="ar-DZ"/>
        </w:rPr>
        <w:t xml:space="preserve">مقارنة </w:t>
      </w:r>
      <w:r w:rsidR="004924D8" w:rsidRPr="0062340E">
        <w:rPr>
          <w:rFonts w:ascii="Simplified Arabic" w:hAnsi="Simplified Arabic" w:cs="Simplified Arabic" w:hint="cs"/>
          <w:sz w:val="24"/>
          <w:szCs w:val="24"/>
          <w:rtl/>
          <w:lang w:bidi="ar-DZ"/>
        </w:rPr>
        <w:t xml:space="preserve">قيم </w:t>
      </w:r>
      <w:r w:rsidR="007C5F3C" w:rsidRPr="0062340E">
        <w:rPr>
          <w:rFonts w:ascii="Simplified Arabic" w:hAnsi="Simplified Arabic" w:cs="Simplified Arabic" w:hint="cs"/>
          <w:sz w:val="24"/>
          <w:szCs w:val="24"/>
          <w:rtl/>
          <w:lang w:bidi="ar-DZ"/>
        </w:rPr>
        <w:t xml:space="preserve">النسب </w:t>
      </w:r>
      <w:r w:rsidR="004924D8" w:rsidRPr="0062340E">
        <w:rPr>
          <w:rFonts w:ascii="Simplified Arabic" w:hAnsi="Simplified Arabic" w:cs="Simplified Arabic" w:hint="cs"/>
          <w:sz w:val="24"/>
          <w:szCs w:val="24"/>
          <w:rtl/>
          <w:lang w:bidi="ar-DZ"/>
        </w:rPr>
        <w:t xml:space="preserve">فيما </w:t>
      </w:r>
      <w:r w:rsidR="004B3E02" w:rsidRPr="0062340E">
        <w:rPr>
          <w:rFonts w:ascii="Simplified Arabic" w:hAnsi="Simplified Arabic" w:cs="Simplified Arabic" w:hint="cs"/>
          <w:sz w:val="24"/>
          <w:szCs w:val="24"/>
          <w:rtl/>
          <w:lang w:bidi="ar-DZ"/>
        </w:rPr>
        <w:t>بينها</w:t>
      </w:r>
      <w:r w:rsidR="00B3094E" w:rsidRPr="0062340E">
        <w:rPr>
          <w:rFonts w:ascii="Simplified Arabic" w:hAnsi="Simplified Arabic" w:cs="Simplified Arabic" w:hint="cs"/>
          <w:sz w:val="24"/>
          <w:szCs w:val="24"/>
          <w:rtl/>
          <w:lang w:bidi="ar-DZ"/>
        </w:rPr>
        <w:t>.</w:t>
      </w:r>
      <w:r w:rsidR="009A02EB" w:rsidRPr="0062340E">
        <w:rPr>
          <w:rFonts w:ascii="Simplified Arabic" w:hAnsi="Simplified Arabic" w:cs="Simplified Arabic" w:hint="cs"/>
          <w:sz w:val="24"/>
          <w:szCs w:val="24"/>
          <w:rtl/>
          <w:lang w:bidi="ar-DZ"/>
        </w:rPr>
        <w:t xml:space="preserve"> </w:t>
      </w:r>
      <w:r w:rsidR="00DE0D65" w:rsidRPr="0062340E">
        <w:rPr>
          <w:rFonts w:ascii="Simplified Arabic" w:hAnsi="Simplified Arabic" w:cs="Simplified Arabic" w:hint="cs"/>
          <w:sz w:val="24"/>
          <w:szCs w:val="24"/>
          <w:rtl/>
          <w:lang w:bidi="ar-DZ"/>
        </w:rPr>
        <w:t>القياسات الكمية يمكن اجرائها ب</w:t>
      </w:r>
      <w:r w:rsidR="00DE0D65" w:rsidRPr="0062340E">
        <w:rPr>
          <w:rFonts w:ascii="Simplified Arabic" w:hAnsi="Simplified Arabic" w:cs="Simplified Arabic" w:hint="cs"/>
          <w:sz w:val="24"/>
          <w:szCs w:val="24"/>
          <w:rtl/>
        </w:rPr>
        <w:t xml:space="preserve">استعمال جملة من الادوات </w:t>
      </w:r>
      <w:r w:rsidR="00E351C0" w:rsidRPr="0062340E">
        <w:rPr>
          <w:rFonts w:ascii="Simplified Arabic" w:hAnsi="Simplified Arabic" w:cs="Simplified Arabic" w:hint="cs"/>
          <w:sz w:val="24"/>
          <w:szCs w:val="24"/>
          <w:rtl/>
        </w:rPr>
        <w:t xml:space="preserve">التي تمنح </w:t>
      </w:r>
      <w:r w:rsidR="00E351C0" w:rsidRPr="0062340E">
        <w:rPr>
          <w:rFonts w:ascii="Simplified Arabic" w:hAnsi="Simplified Arabic" w:cs="Simplified Arabic" w:hint="cs"/>
          <w:sz w:val="24"/>
          <w:szCs w:val="24"/>
          <w:rtl/>
          <w:lang w:val="en-US" w:bidi="ar-DZ"/>
        </w:rPr>
        <w:t>قياسات</w:t>
      </w:r>
      <w:r w:rsidR="00E351C0" w:rsidRPr="0062340E">
        <w:rPr>
          <w:rFonts w:ascii="Simplified Arabic" w:hAnsi="Simplified Arabic" w:cs="Simplified Arabic"/>
          <w:sz w:val="24"/>
          <w:szCs w:val="24"/>
          <w:rtl/>
          <w:lang w:val="en-US" w:bidi="ar-DZ"/>
        </w:rPr>
        <w:t xml:space="preserve"> </w:t>
      </w:r>
      <w:r w:rsidR="00E351C0" w:rsidRPr="0062340E">
        <w:rPr>
          <w:rFonts w:ascii="Simplified Arabic" w:hAnsi="Simplified Arabic" w:cs="Simplified Arabic" w:hint="cs"/>
          <w:sz w:val="24"/>
          <w:szCs w:val="24"/>
          <w:rtl/>
          <w:lang w:val="en-US" w:bidi="ar-DZ"/>
        </w:rPr>
        <w:t>عددية</w:t>
      </w:r>
      <w:r w:rsidR="00E351C0" w:rsidRPr="0062340E">
        <w:rPr>
          <w:rFonts w:ascii="Simplified Arabic" w:hAnsi="Simplified Arabic" w:cs="Simplified Arabic"/>
          <w:sz w:val="24"/>
          <w:szCs w:val="24"/>
          <w:rtl/>
          <w:lang w:val="en-US" w:bidi="ar-DZ"/>
        </w:rPr>
        <w:t xml:space="preserve"> </w:t>
      </w:r>
      <w:r w:rsidR="00E351C0" w:rsidRPr="0062340E">
        <w:rPr>
          <w:rFonts w:ascii="Simplified Arabic" w:hAnsi="Simplified Arabic" w:cs="Simplified Arabic" w:hint="cs"/>
          <w:sz w:val="24"/>
          <w:szCs w:val="24"/>
          <w:rtl/>
          <w:lang w:val="en-US" w:bidi="ar-DZ"/>
        </w:rPr>
        <w:t>باستخدام</w:t>
      </w:r>
      <w:r w:rsidR="00E351C0" w:rsidRPr="0062340E">
        <w:rPr>
          <w:rFonts w:ascii="Simplified Arabic" w:hAnsi="Simplified Arabic" w:cs="Simplified Arabic"/>
          <w:sz w:val="24"/>
          <w:szCs w:val="24"/>
          <w:rtl/>
          <w:lang w:val="en-US" w:bidi="ar-DZ"/>
        </w:rPr>
        <w:t xml:space="preserve"> </w:t>
      </w:r>
      <w:r w:rsidR="00E351C0" w:rsidRPr="0062340E">
        <w:rPr>
          <w:rFonts w:ascii="Simplified Arabic" w:hAnsi="Simplified Arabic" w:cs="Simplified Arabic" w:hint="cs"/>
          <w:sz w:val="24"/>
          <w:szCs w:val="24"/>
          <w:rtl/>
          <w:lang w:val="en-US" w:bidi="ar-DZ"/>
        </w:rPr>
        <w:t>الحسابات</w:t>
      </w:r>
      <w:r w:rsidR="00E351C0" w:rsidRPr="0062340E">
        <w:rPr>
          <w:rFonts w:ascii="Simplified Arabic" w:hAnsi="Simplified Arabic" w:cs="Simplified Arabic"/>
          <w:sz w:val="24"/>
          <w:szCs w:val="24"/>
          <w:rtl/>
          <w:lang w:val="en-US" w:bidi="ar-DZ"/>
        </w:rPr>
        <w:t xml:space="preserve"> </w:t>
      </w:r>
      <w:r w:rsidR="00E351C0" w:rsidRPr="0062340E">
        <w:rPr>
          <w:rFonts w:ascii="Simplified Arabic" w:hAnsi="Simplified Arabic" w:cs="Simplified Arabic" w:hint="cs"/>
          <w:sz w:val="24"/>
          <w:szCs w:val="24"/>
          <w:rtl/>
          <w:lang w:val="en-US" w:bidi="ar-DZ"/>
        </w:rPr>
        <w:t>والمتوسط الحسابي</w:t>
      </w:r>
      <w:r w:rsidR="00E351C0" w:rsidRPr="0062340E">
        <w:rPr>
          <w:rFonts w:ascii="Simplified Arabic" w:hAnsi="Simplified Arabic" w:cs="Simplified Arabic"/>
          <w:sz w:val="24"/>
          <w:szCs w:val="24"/>
          <w:rtl/>
          <w:lang w:val="en-US" w:bidi="ar-DZ"/>
        </w:rPr>
        <w:t xml:space="preserve"> </w:t>
      </w:r>
      <w:r w:rsidR="009A4889" w:rsidRPr="0062340E">
        <w:rPr>
          <w:rFonts w:ascii="Simplified Arabic" w:hAnsi="Simplified Arabic" w:cs="Simplified Arabic" w:hint="cs"/>
          <w:sz w:val="24"/>
          <w:szCs w:val="24"/>
          <w:rtl/>
          <w:lang w:val="en-US" w:bidi="ar-DZ"/>
        </w:rPr>
        <w:t>ل</w:t>
      </w:r>
      <w:r w:rsidR="00E351C0" w:rsidRPr="0062340E">
        <w:rPr>
          <w:rFonts w:ascii="Simplified Arabic" w:hAnsi="Simplified Arabic" w:cs="Simplified Arabic" w:hint="cs"/>
          <w:sz w:val="24"/>
          <w:szCs w:val="24"/>
          <w:rtl/>
          <w:lang w:val="en-US" w:bidi="ar-DZ"/>
        </w:rPr>
        <w:t>مواصلة عملية التقييم</w:t>
      </w:r>
      <w:r w:rsidR="00E351C0" w:rsidRPr="0062340E">
        <w:rPr>
          <w:rFonts w:ascii="Simplified Arabic" w:hAnsi="Simplified Arabic" w:cs="Simplified Arabic"/>
          <w:sz w:val="24"/>
          <w:szCs w:val="24"/>
          <w:rtl/>
          <w:lang w:val="en-US" w:bidi="ar-DZ"/>
        </w:rPr>
        <w:t>.</w:t>
      </w:r>
    </w:p>
    <w:p w:rsidR="00345202" w:rsidRPr="0062340E" w:rsidRDefault="00345202" w:rsidP="001D0548">
      <w:pPr>
        <w:pStyle w:val="Paragraphedeliste"/>
        <w:numPr>
          <w:ilvl w:val="2"/>
          <w:numId w:val="90"/>
        </w:numPr>
        <w:tabs>
          <w:tab w:val="right" w:pos="708"/>
        </w:tabs>
        <w:bidi/>
        <w:spacing w:before="240" w:after="0"/>
        <w:ind w:left="0" w:firstLine="0"/>
        <w:jc w:val="both"/>
        <w:outlineLvl w:val="2"/>
        <w:rPr>
          <w:rFonts w:ascii="Simplified Arabic" w:hAnsi="Simplified Arabic" w:cs="Simplified Arabic"/>
          <w:b/>
          <w:bCs/>
          <w:sz w:val="24"/>
          <w:szCs w:val="24"/>
          <w:rtl/>
        </w:rPr>
      </w:pPr>
      <w:bookmarkStart w:id="38" w:name="_Toc171803295"/>
      <w:r w:rsidRPr="0062340E">
        <w:rPr>
          <w:rFonts w:ascii="Simplified Arabic" w:hAnsi="Simplified Arabic" w:cs="Simplified Arabic"/>
          <w:b/>
          <w:bCs/>
          <w:sz w:val="24"/>
          <w:szCs w:val="24"/>
          <w:rtl/>
        </w:rPr>
        <w:t>الاسلوب الاحصائي:</w:t>
      </w:r>
      <w:bookmarkEnd w:id="38"/>
    </w:p>
    <w:p w:rsidR="00345202" w:rsidRPr="0062340E" w:rsidRDefault="00345202" w:rsidP="009A4889">
      <w:pPr>
        <w:tabs>
          <w:tab w:val="right" w:pos="282"/>
        </w:tabs>
        <w:autoSpaceDE w:val="0"/>
        <w:autoSpaceDN w:val="0"/>
        <w:bidi/>
        <w:adjustRightInd w:val="0"/>
        <w:spacing w:after="0"/>
        <w:ind w:firstLine="282"/>
        <w:jc w:val="both"/>
        <w:rPr>
          <w:rFonts w:ascii="Simplified Arabic" w:hAnsi="Simplified Arabic" w:cs="Simplified Arabic"/>
          <w:sz w:val="24"/>
          <w:szCs w:val="24"/>
          <w:lang w:bidi="ar-DZ"/>
        </w:rPr>
      </w:pPr>
      <w:r w:rsidRPr="0062340E">
        <w:rPr>
          <w:rFonts w:ascii="Simplified Arabic" w:hAnsi="Simplified Arabic" w:cs="Simplified Arabic"/>
          <w:sz w:val="24"/>
          <w:szCs w:val="24"/>
          <w:rtl/>
          <w:lang w:bidi="ar-DZ"/>
        </w:rPr>
        <w:t xml:space="preserve">استعمل البحث المتوسط الحسابي كأسلوب احصائي للقيم المتحصل عليها من </w:t>
      </w:r>
      <w:r w:rsidR="00CD16D8" w:rsidRPr="0062340E">
        <w:rPr>
          <w:rFonts w:ascii="Simplified Arabic" w:hAnsi="Simplified Arabic" w:cs="Simplified Arabic" w:hint="cs"/>
          <w:sz w:val="24"/>
          <w:szCs w:val="24"/>
          <w:rtl/>
          <w:lang w:bidi="ar-DZ"/>
        </w:rPr>
        <w:t>الاستبيان</w:t>
      </w:r>
      <w:r w:rsidRPr="0062340E">
        <w:rPr>
          <w:rFonts w:ascii="Simplified Arabic" w:hAnsi="Simplified Arabic" w:cs="Simplified Arabic"/>
          <w:sz w:val="24"/>
          <w:szCs w:val="24"/>
          <w:rtl/>
          <w:lang w:bidi="ar-DZ"/>
        </w:rPr>
        <w:t xml:space="preserve"> </w:t>
      </w:r>
      <w:r w:rsidR="007C5F3C" w:rsidRPr="0062340E">
        <w:rPr>
          <w:rFonts w:ascii="Simplified Arabic" w:hAnsi="Simplified Arabic" w:cs="Simplified Arabic" w:hint="cs"/>
          <w:sz w:val="24"/>
          <w:szCs w:val="24"/>
          <w:rtl/>
          <w:lang w:bidi="ar-DZ"/>
        </w:rPr>
        <w:t>(</w:t>
      </w:r>
      <w:r w:rsidR="007C5F3C" w:rsidRPr="0062340E">
        <w:rPr>
          <w:rFonts w:ascii="Simplified Arabic" w:hAnsi="Simplified Arabic" w:cs="Simplified Arabic"/>
          <w:sz w:val="24"/>
          <w:szCs w:val="24"/>
          <w:rtl/>
          <w:lang w:bidi="ar-DZ"/>
        </w:rPr>
        <w:t>الاول والثاني</w:t>
      </w:r>
      <w:r w:rsidR="007C5F3C" w:rsidRPr="0062340E">
        <w:rPr>
          <w:rFonts w:ascii="Simplified Arabic" w:hAnsi="Simplified Arabic" w:cs="Simplified Arabic" w:hint="cs"/>
          <w:sz w:val="24"/>
          <w:szCs w:val="24"/>
          <w:rtl/>
          <w:lang w:bidi="ar-DZ"/>
        </w:rPr>
        <w:t>)</w:t>
      </w:r>
      <w:r w:rsidR="007C5F3C" w:rsidRPr="0062340E">
        <w:rPr>
          <w:rFonts w:ascii="Simplified Arabic" w:hAnsi="Simplified Arabic" w:cs="Simplified Arabic"/>
          <w:sz w:val="24"/>
          <w:szCs w:val="24"/>
          <w:rtl/>
          <w:lang w:bidi="ar-DZ"/>
        </w:rPr>
        <w:t xml:space="preserve"> </w:t>
      </w:r>
      <w:r w:rsidR="009A4889" w:rsidRPr="0062340E">
        <w:rPr>
          <w:rFonts w:ascii="Simplified Arabic" w:hAnsi="Simplified Arabic" w:cs="Simplified Arabic"/>
          <w:sz w:val="24"/>
          <w:szCs w:val="24"/>
          <w:rtl/>
          <w:lang w:bidi="ar-DZ"/>
        </w:rPr>
        <w:t>با</w:t>
      </w:r>
      <w:r w:rsidRPr="0062340E">
        <w:rPr>
          <w:rFonts w:ascii="Simplified Arabic" w:hAnsi="Simplified Arabic" w:cs="Simplified Arabic"/>
          <w:sz w:val="24"/>
          <w:szCs w:val="24"/>
          <w:rtl/>
          <w:lang w:bidi="ar-DZ"/>
        </w:rPr>
        <w:t>ستعانة مقياس ليكرت</w:t>
      </w:r>
      <w:r w:rsidRPr="0062340E">
        <w:rPr>
          <w:rFonts w:ascii="Simplified Arabic" w:hAnsi="Simplified Arabic" w:cs="Simplified Arabic" w:hint="cs"/>
          <w:sz w:val="24"/>
          <w:szCs w:val="24"/>
          <w:rtl/>
          <w:lang w:bidi="ar-DZ"/>
        </w:rPr>
        <w:t xml:space="preserve"> </w:t>
      </w:r>
      <w:bookmarkStart w:id="39" w:name="_Hlk124020411"/>
      <w:r w:rsidRPr="0062340E">
        <w:rPr>
          <w:rFonts w:ascii="Simplified Arabic" w:hAnsi="Simplified Arabic" w:cs="Simplified Arabic" w:hint="cs"/>
          <w:sz w:val="24"/>
          <w:szCs w:val="24"/>
          <w:rtl/>
          <w:lang w:bidi="ar-DZ"/>
        </w:rPr>
        <w:t>(</w:t>
      </w:r>
      <w:r w:rsidRPr="0062340E">
        <w:rPr>
          <w:rFonts w:asciiTheme="majorBidi" w:hAnsiTheme="majorBidi" w:cstheme="majorBidi"/>
          <w:sz w:val="24"/>
          <w:szCs w:val="24"/>
        </w:rPr>
        <w:t>Likert</w:t>
      </w:r>
      <w:r w:rsidRPr="0062340E">
        <w:rPr>
          <w:rFonts w:ascii="Simplified Arabic" w:hAnsi="Simplified Arabic" w:cs="Simplified Arabic" w:hint="cs"/>
          <w:sz w:val="24"/>
          <w:szCs w:val="24"/>
          <w:rtl/>
          <w:lang w:bidi="ar-DZ"/>
        </w:rPr>
        <w:t>)</w:t>
      </w:r>
      <w:bookmarkEnd w:id="39"/>
      <w:r w:rsidRPr="0062340E">
        <w:rPr>
          <w:rFonts w:ascii="Simplified Arabic" w:hAnsi="Simplified Arabic" w:cs="Simplified Arabic"/>
          <w:sz w:val="24"/>
          <w:szCs w:val="24"/>
          <w:rtl/>
          <w:lang w:bidi="ar-DZ"/>
        </w:rPr>
        <w:t xml:space="preserve"> الخماسي، اذ يمثل المتوسط الحسابي حاصل قسمة مجموع القيم على عدد</w:t>
      </w:r>
      <w:r w:rsidR="003825BB" w:rsidRPr="0062340E">
        <w:rPr>
          <w:rFonts w:ascii="Simplified Arabic" w:hAnsi="Simplified Arabic" w:cs="Simplified Arabic" w:hint="cs"/>
          <w:sz w:val="24"/>
          <w:szCs w:val="24"/>
          <w:rtl/>
          <w:lang w:bidi="ar-DZ"/>
        </w:rPr>
        <w:t xml:space="preserve"> </w:t>
      </w:r>
      <w:r w:rsidR="007C5F3C" w:rsidRPr="0062340E">
        <w:rPr>
          <w:rFonts w:ascii="Simplified Arabic" w:hAnsi="Simplified Arabic" w:cs="Simplified Arabic" w:hint="cs"/>
          <w:sz w:val="24"/>
          <w:szCs w:val="24"/>
          <w:rtl/>
          <w:lang w:bidi="ar-DZ"/>
        </w:rPr>
        <w:t>القيم</w:t>
      </w:r>
      <w:r w:rsidRPr="0062340E">
        <w:rPr>
          <w:rFonts w:ascii="Simplified Arabic" w:hAnsi="Simplified Arabic" w:cs="Simplified Arabic"/>
          <w:sz w:val="24"/>
          <w:szCs w:val="24"/>
          <w:rtl/>
          <w:lang w:bidi="ar-DZ"/>
        </w:rPr>
        <w:t>.</w:t>
      </w:r>
    </w:p>
    <w:p w:rsidR="00C14B11" w:rsidRPr="0062340E" w:rsidRDefault="00B51031" w:rsidP="001D0548">
      <w:pPr>
        <w:pStyle w:val="Paragraphedeliste"/>
        <w:numPr>
          <w:ilvl w:val="2"/>
          <w:numId w:val="91"/>
        </w:numPr>
        <w:tabs>
          <w:tab w:val="right" w:pos="708"/>
        </w:tabs>
        <w:bidi/>
        <w:spacing w:before="240" w:after="0"/>
        <w:ind w:left="0" w:firstLine="0"/>
        <w:jc w:val="both"/>
        <w:outlineLvl w:val="2"/>
        <w:rPr>
          <w:rFonts w:ascii="Simplified Arabic" w:hAnsi="Simplified Arabic" w:cs="Simplified Arabic"/>
          <w:b/>
          <w:bCs/>
          <w:sz w:val="24"/>
          <w:szCs w:val="24"/>
        </w:rPr>
      </w:pPr>
      <w:bookmarkStart w:id="40" w:name="_Toc171803296"/>
      <w:r w:rsidRPr="0062340E">
        <w:rPr>
          <w:rFonts w:ascii="Simplified Arabic" w:hAnsi="Simplified Arabic" w:cs="Simplified Arabic" w:hint="cs"/>
          <w:b/>
          <w:bCs/>
          <w:sz w:val="24"/>
          <w:szCs w:val="24"/>
          <w:rtl/>
        </w:rPr>
        <w:t>الطريقة التشاركية</w:t>
      </w:r>
      <w:bookmarkEnd w:id="40"/>
    </w:p>
    <w:p w:rsidR="00B51031" w:rsidRPr="0062340E" w:rsidRDefault="00DA2C47" w:rsidP="00C242D0">
      <w:pPr>
        <w:tabs>
          <w:tab w:val="right" w:pos="282"/>
        </w:tabs>
        <w:bidi/>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 xml:space="preserve">اشراك </w:t>
      </w:r>
      <w:r w:rsidR="00243D55" w:rsidRPr="0062340E">
        <w:rPr>
          <w:rFonts w:ascii="Simplified Arabic" w:hAnsi="Simplified Arabic" w:cs="Simplified Arabic" w:hint="cs"/>
          <w:sz w:val="24"/>
          <w:szCs w:val="24"/>
          <w:rtl/>
          <w:lang w:val="en-US" w:bidi="ar-DZ"/>
        </w:rPr>
        <w:t>السكان المحليين عبر شبكات التواصل الاجتماعي</w:t>
      </w:r>
      <w:r w:rsidRPr="0062340E">
        <w:rPr>
          <w:rFonts w:ascii="Simplified Arabic" w:hAnsi="Simplified Arabic" w:cs="Simplified Arabic" w:hint="cs"/>
          <w:sz w:val="24"/>
          <w:szCs w:val="24"/>
          <w:rtl/>
          <w:lang w:val="en-US" w:bidi="ar-DZ"/>
        </w:rPr>
        <w:t xml:space="preserve"> له دور حساس في</w:t>
      </w:r>
      <w:r w:rsidR="00243D55" w:rsidRPr="0062340E">
        <w:rPr>
          <w:rFonts w:ascii="Simplified Arabic" w:hAnsi="Simplified Arabic" w:cs="Simplified Arabic" w:hint="cs"/>
          <w:sz w:val="24"/>
          <w:szCs w:val="24"/>
          <w:rtl/>
          <w:lang w:val="en-US" w:bidi="ar-DZ"/>
        </w:rPr>
        <w:t xml:space="preserve"> عملية اتخاذ القرار لتوجيه التنمية الحضرية </w:t>
      </w:r>
      <w:r w:rsidR="000B1801" w:rsidRPr="0062340E">
        <w:rPr>
          <w:rFonts w:ascii="Simplified Arabic" w:hAnsi="Simplified Arabic" w:cs="Simplified Arabic" w:hint="cs"/>
          <w:sz w:val="24"/>
          <w:szCs w:val="24"/>
          <w:rtl/>
          <w:lang w:val="en-US" w:bidi="ar-DZ"/>
        </w:rPr>
        <w:t xml:space="preserve">المحلية </w:t>
      </w:r>
      <w:r w:rsidRPr="0062340E">
        <w:rPr>
          <w:rFonts w:ascii="Simplified Arabic" w:hAnsi="Simplified Arabic" w:cs="Simplified Arabic" w:hint="cs"/>
          <w:sz w:val="24"/>
          <w:szCs w:val="24"/>
          <w:rtl/>
          <w:lang w:val="en-US" w:bidi="ar-DZ"/>
        </w:rPr>
        <w:t>وفي</w:t>
      </w:r>
      <w:r w:rsidR="00243D55" w:rsidRPr="0062340E">
        <w:rPr>
          <w:rFonts w:ascii="Simplified Arabic" w:hAnsi="Simplified Arabic" w:cs="Simplified Arabic" w:hint="cs"/>
          <w:sz w:val="24"/>
          <w:szCs w:val="24"/>
          <w:rtl/>
          <w:lang w:val="en-US" w:bidi="ar-DZ"/>
        </w:rPr>
        <w:t xml:space="preserve"> </w:t>
      </w:r>
      <w:r w:rsidR="000B1801" w:rsidRPr="0062340E">
        <w:rPr>
          <w:rFonts w:ascii="Simplified Arabic" w:hAnsi="Simplified Arabic" w:cs="Simplified Arabic" w:hint="cs"/>
          <w:sz w:val="24"/>
          <w:szCs w:val="24"/>
          <w:rtl/>
          <w:lang w:val="en-US" w:bidi="ar-DZ"/>
        </w:rPr>
        <w:t>تسيير المخاطر</w:t>
      </w:r>
      <w:r w:rsidR="00613507" w:rsidRPr="0062340E">
        <w:rPr>
          <w:rFonts w:ascii="Simplified Arabic" w:hAnsi="Simplified Arabic" w:cs="Simplified Arabic" w:hint="cs"/>
          <w:sz w:val="24"/>
          <w:szCs w:val="24"/>
          <w:rtl/>
          <w:lang w:val="en-US" w:bidi="ar-DZ"/>
        </w:rPr>
        <w:t>(الاحساس)</w:t>
      </w:r>
      <w:r w:rsidR="00243D55" w:rsidRPr="0062340E">
        <w:rPr>
          <w:rFonts w:ascii="Simplified Arabic" w:hAnsi="Simplified Arabic" w:cs="Simplified Arabic" w:hint="cs"/>
          <w:sz w:val="24"/>
          <w:szCs w:val="24"/>
          <w:rtl/>
          <w:lang w:val="en-US" w:bidi="ar-DZ"/>
        </w:rPr>
        <w:t xml:space="preserve">، </w:t>
      </w:r>
      <w:r w:rsidR="000B1801" w:rsidRPr="0062340E">
        <w:rPr>
          <w:rFonts w:ascii="Simplified Arabic" w:hAnsi="Simplified Arabic" w:cs="Simplified Arabic" w:hint="cs"/>
          <w:sz w:val="24"/>
          <w:szCs w:val="24"/>
          <w:rtl/>
          <w:lang w:val="en-US" w:bidi="ar-DZ"/>
        </w:rPr>
        <w:t>حيث جذبت</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البحوث</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الاجتماعية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المعاصرة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الانتباه</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إلى</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أهمية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تصورات السكان المحليين</w:t>
      </w:r>
      <w:r w:rsidR="00A67165" w:rsidRPr="0062340E">
        <w:rPr>
          <w:rFonts w:ascii="Simplified Arabic" w:hAnsi="Simplified Arabic" w:cs="Simplified Arabic" w:hint="cs"/>
          <w:sz w:val="24"/>
          <w:szCs w:val="24"/>
          <w:rtl/>
          <w:lang w:val="en-US" w:bidi="ar-DZ"/>
        </w:rPr>
        <w:t>.</w:t>
      </w:r>
      <w:r w:rsidR="009B543A" w:rsidRPr="0062340E">
        <w:rPr>
          <w:rFonts w:ascii="Simplified Arabic" w:hAnsi="Simplified Arabic" w:cs="Simplified Arabic" w:hint="cs"/>
          <w:sz w:val="24"/>
          <w:szCs w:val="24"/>
          <w:rtl/>
          <w:lang w:val="en-US" w:bidi="ar-DZ"/>
        </w:rPr>
        <w:t xml:space="preserve"> في هذا البحث</w:t>
      </w:r>
      <w:r w:rsidR="000B1801" w:rsidRPr="0062340E">
        <w:rPr>
          <w:rFonts w:ascii="Simplified Arabic" w:hAnsi="Simplified Arabic" w:cs="Simplified Arabic" w:hint="cs"/>
          <w:sz w:val="24"/>
          <w:szCs w:val="24"/>
          <w:rtl/>
          <w:lang w:val="en-US" w:bidi="ar-DZ"/>
        </w:rPr>
        <w:t xml:space="preserve"> تم</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استخدام تقنية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الاستبيان الالكتروني</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لجمع</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البيانات</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وتحليلها</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وتفسيرها</w:t>
      </w:r>
      <w:r w:rsidR="003825BB" w:rsidRPr="0062340E">
        <w:rPr>
          <w:rFonts w:ascii="Simplified Arabic" w:hAnsi="Simplified Arabic" w:cs="Simplified Arabic" w:hint="cs"/>
          <w:sz w:val="24"/>
          <w:szCs w:val="24"/>
          <w:rtl/>
          <w:lang w:val="en-US" w:bidi="ar-DZ"/>
        </w:rPr>
        <w:t xml:space="preserve">، </w:t>
      </w:r>
      <w:r w:rsidR="000B1801" w:rsidRPr="0062340E">
        <w:rPr>
          <w:rFonts w:ascii="Simplified Arabic" w:hAnsi="Simplified Arabic" w:cs="Simplified Arabic" w:hint="cs"/>
          <w:sz w:val="24"/>
          <w:szCs w:val="24"/>
          <w:rtl/>
          <w:lang w:val="en-US" w:bidi="ar-DZ"/>
        </w:rPr>
        <w:t>تعتبر</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تقنية</w:t>
      </w:r>
      <w:r w:rsidR="000B1801" w:rsidRPr="0062340E">
        <w:rPr>
          <w:rFonts w:ascii="Simplified Arabic" w:hAnsi="Simplified Arabic" w:cs="Simplified Arabic"/>
          <w:sz w:val="24"/>
          <w:szCs w:val="24"/>
          <w:rtl/>
          <w:lang w:val="en-US" w:bidi="ar-DZ"/>
        </w:rPr>
        <w:t xml:space="preserve"> </w:t>
      </w:r>
      <w:r w:rsidR="00613507" w:rsidRPr="0062340E">
        <w:rPr>
          <w:rFonts w:ascii="Simplified Arabic" w:hAnsi="Simplified Arabic" w:cs="Simplified Arabic" w:hint="cs"/>
          <w:sz w:val="24"/>
          <w:szCs w:val="24"/>
          <w:rtl/>
          <w:lang w:val="en-US" w:bidi="ar-DZ"/>
        </w:rPr>
        <w:t>سهلة و</w:t>
      </w:r>
      <w:r w:rsidR="000B1801" w:rsidRPr="0062340E">
        <w:rPr>
          <w:rFonts w:ascii="Simplified Arabic" w:hAnsi="Simplified Arabic" w:cs="Simplified Arabic" w:hint="cs"/>
          <w:sz w:val="24"/>
          <w:szCs w:val="24"/>
          <w:rtl/>
          <w:lang w:val="en-US" w:bidi="ar-DZ"/>
        </w:rPr>
        <w:t>فعالة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للحصول</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على</w:t>
      </w:r>
      <w:r w:rsidR="000B1801" w:rsidRPr="0062340E">
        <w:rPr>
          <w:rFonts w:ascii="Simplified Arabic" w:hAnsi="Simplified Arabic" w:cs="Simplified Arabic"/>
          <w:sz w:val="24"/>
          <w:szCs w:val="24"/>
          <w:rtl/>
          <w:lang w:val="en-US" w:bidi="ar-DZ"/>
        </w:rPr>
        <w:t xml:space="preserve"> </w:t>
      </w:r>
      <w:r w:rsidR="00652B46" w:rsidRPr="0062340E">
        <w:rPr>
          <w:rFonts w:ascii="Simplified Arabic" w:hAnsi="Simplified Arabic" w:cs="Simplified Arabic" w:hint="cs"/>
          <w:sz w:val="24"/>
          <w:szCs w:val="24"/>
          <w:rtl/>
          <w:lang w:val="en-US" w:bidi="ar-DZ"/>
        </w:rPr>
        <w:t>تصورات</w:t>
      </w:r>
      <w:r w:rsidR="00652B46" w:rsidRPr="0062340E">
        <w:rPr>
          <w:rFonts w:ascii="Simplified Arabic" w:hAnsi="Simplified Arabic" w:cs="Simplified Arabic"/>
          <w:sz w:val="24"/>
          <w:szCs w:val="24"/>
          <w:rtl/>
          <w:lang w:bidi="ar-DZ"/>
        </w:rPr>
        <w:t xml:space="preserve"> وآراء </w:t>
      </w:r>
      <w:r w:rsidR="000B1801" w:rsidRPr="0062340E">
        <w:rPr>
          <w:rFonts w:ascii="Simplified Arabic" w:hAnsi="Simplified Arabic" w:cs="Simplified Arabic" w:hint="cs"/>
          <w:sz w:val="24"/>
          <w:szCs w:val="24"/>
          <w:rtl/>
          <w:lang w:val="en-US" w:bidi="ar-DZ"/>
        </w:rPr>
        <w:t>مختلفة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لمجموعة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متنوعة</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من</w:t>
      </w:r>
      <w:r w:rsidR="000B1801" w:rsidRPr="0062340E">
        <w:rPr>
          <w:rFonts w:ascii="Simplified Arabic" w:hAnsi="Simplified Arabic" w:cs="Simplified Arabic"/>
          <w:sz w:val="24"/>
          <w:szCs w:val="24"/>
          <w:rtl/>
          <w:lang w:val="en-US" w:bidi="ar-DZ"/>
        </w:rPr>
        <w:t xml:space="preserve"> </w:t>
      </w:r>
      <w:r w:rsidR="000B1801" w:rsidRPr="0062340E">
        <w:rPr>
          <w:rFonts w:ascii="Simplified Arabic" w:hAnsi="Simplified Arabic" w:cs="Simplified Arabic" w:hint="cs"/>
          <w:sz w:val="24"/>
          <w:szCs w:val="24"/>
          <w:rtl/>
          <w:lang w:val="en-US" w:bidi="ar-DZ"/>
        </w:rPr>
        <w:t>السكان المحليين.</w:t>
      </w:r>
      <w:r w:rsidR="00243D55" w:rsidRPr="0062340E">
        <w:rPr>
          <w:rFonts w:ascii="Simplified Arabic" w:hAnsi="Simplified Arabic" w:cs="Simplified Arabic" w:hint="cs"/>
          <w:sz w:val="24"/>
          <w:szCs w:val="24"/>
          <w:rtl/>
          <w:lang w:val="en-US" w:bidi="ar-DZ"/>
        </w:rPr>
        <w:t xml:space="preserve"> </w:t>
      </w:r>
    </w:p>
    <w:p w:rsidR="00601798" w:rsidRPr="0062340E" w:rsidRDefault="00601798" w:rsidP="001D0548">
      <w:pPr>
        <w:pStyle w:val="Paragraphedeliste"/>
        <w:numPr>
          <w:ilvl w:val="1"/>
          <w:numId w:val="92"/>
        </w:numPr>
        <w:tabs>
          <w:tab w:val="right" w:pos="567"/>
        </w:tabs>
        <w:bidi/>
        <w:spacing w:before="240" w:after="0"/>
        <w:ind w:left="0" w:firstLine="0"/>
        <w:outlineLvl w:val="1"/>
        <w:rPr>
          <w:rFonts w:ascii="Simplified Arabic" w:hAnsi="Simplified Arabic" w:cs="Simplified Arabic"/>
          <w:b/>
          <w:bCs/>
          <w:sz w:val="24"/>
          <w:szCs w:val="24"/>
          <w:rtl/>
          <w:lang w:val="en-US"/>
        </w:rPr>
      </w:pPr>
      <w:bookmarkStart w:id="41" w:name="_Toc171803297"/>
      <w:r w:rsidRPr="0062340E">
        <w:rPr>
          <w:rFonts w:ascii="Simplified Arabic" w:hAnsi="Simplified Arabic" w:cs="Simplified Arabic"/>
          <w:b/>
          <w:bCs/>
          <w:sz w:val="24"/>
          <w:szCs w:val="24"/>
          <w:rtl/>
          <w:lang w:val="en-US"/>
        </w:rPr>
        <w:t xml:space="preserve">الادوات </w:t>
      </w:r>
      <w:r w:rsidR="00482E98" w:rsidRPr="0062340E">
        <w:rPr>
          <w:rFonts w:ascii="Simplified Arabic" w:hAnsi="Simplified Arabic" w:cs="Simplified Arabic"/>
          <w:b/>
          <w:bCs/>
          <w:sz w:val="24"/>
          <w:szCs w:val="24"/>
          <w:rtl/>
          <w:lang w:val="en-US"/>
        </w:rPr>
        <w:t xml:space="preserve">والتقنيات </w:t>
      </w:r>
      <w:r w:rsidRPr="0062340E">
        <w:rPr>
          <w:rFonts w:ascii="Simplified Arabic" w:hAnsi="Simplified Arabic" w:cs="Simplified Arabic"/>
          <w:b/>
          <w:bCs/>
          <w:sz w:val="24"/>
          <w:szCs w:val="24"/>
          <w:rtl/>
          <w:lang w:val="en-US"/>
        </w:rPr>
        <w:t>المستعملة</w:t>
      </w:r>
      <w:r w:rsidR="00016748" w:rsidRPr="0062340E">
        <w:rPr>
          <w:rFonts w:ascii="Simplified Arabic" w:hAnsi="Simplified Arabic" w:cs="Simplified Arabic" w:hint="cs"/>
          <w:b/>
          <w:bCs/>
          <w:sz w:val="24"/>
          <w:szCs w:val="24"/>
          <w:rtl/>
          <w:lang w:val="en-US"/>
        </w:rPr>
        <w:t xml:space="preserve"> في البحث</w:t>
      </w:r>
      <w:r w:rsidRPr="0062340E">
        <w:rPr>
          <w:rFonts w:ascii="Simplified Arabic" w:hAnsi="Simplified Arabic" w:cs="Simplified Arabic"/>
          <w:b/>
          <w:bCs/>
          <w:sz w:val="24"/>
          <w:szCs w:val="24"/>
          <w:rtl/>
          <w:lang w:val="en-US"/>
        </w:rPr>
        <w:t>:</w:t>
      </w:r>
      <w:bookmarkEnd w:id="41"/>
    </w:p>
    <w:p w:rsidR="0022082E" w:rsidRPr="0062340E" w:rsidRDefault="00823F36" w:rsidP="00725010">
      <w:pPr>
        <w:tabs>
          <w:tab w:val="right" w:pos="281"/>
        </w:tabs>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حسب</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المخطط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العمراني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يبدو</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ان أحياء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مدينة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بوسعادة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مفككة،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بسبب</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الحدود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الطبيعية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وغيرها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الحدود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المورفولوجية</w:t>
      </w:r>
      <w:r w:rsidR="0073397C" w:rsidRPr="0062340E">
        <w:rPr>
          <w:rFonts w:ascii="Simplified Arabic" w:hAnsi="Simplified Arabic" w:cs="Simplified Arabic" w:hint="cs"/>
          <w:sz w:val="24"/>
          <w:szCs w:val="24"/>
          <w:rtl/>
        </w:rPr>
        <w:t xml:space="preserve"> و</w:t>
      </w:r>
      <w:r w:rsidRPr="0062340E">
        <w:rPr>
          <w:rFonts w:ascii="Simplified Arabic" w:hAnsi="Simplified Arabic" w:cs="Simplified Arabic" w:hint="cs"/>
          <w:sz w:val="24"/>
          <w:szCs w:val="24"/>
          <w:rtl/>
        </w:rPr>
        <w:t>لأن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فرضية البحث 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النوع المتفرع،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حيث</w:t>
      </w:r>
      <w:r w:rsidRPr="0062340E">
        <w:rPr>
          <w:rFonts w:ascii="Simplified Arabic" w:hAnsi="Simplified Arabic" w:cs="Simplified Arabic"/>
          <w:sz w:val="24"/>
          <w:szCs w:val="24"/>
          <w:rtl/>
        </w:rPr>
        <w:t xml:space="preserve"> </w:t>
      </w:r>
      <w:r w:rsidR="0073397C" w:rsidRPr="0062340E">
        <w:rPr>
          <w:rFonts w:ascii="Simplified Arabic" w:hAnsi="Simplified Arabic" w:cs="Simplified Arabic" w:hint="cs"/>
          <w:sz w:val="24"/>
          <w:szCs w:val="24"/>
          <w:rtl/>
        </w:rPr>
        <w:t>ترتبط</w:t>
      </w:r>
      <w:r w:rsidRPr="0062340E">
        <w:rPr>
          <w:rFonts w:ascii="Simplified Arabic" w:hAnsi="Simplified Arabic" w:cs="Simplified Arabic"/>
          <w:sz w:val="24"/>
          <w:szCs w:val="24"/>
          <w:rtl/>
        </w:rPr>
        <w:t xml:space="preserve"> </w:t>
      </w:r>
      <w:r w:rsidR="0073397C" w:rsidRPr="0062340E">
        <w:rPr>
          <w:rFonts w:ascii="Simplified Arabic" w:hAnsi="Simplified Arabic" w:cs="Simplified Arabic" w:hint="cs"/>
          <w:sz w:val="24"/>
          <w:szCs w:val="24"/>
          <w:rtl/>
        </w:rPr>
        <w:t>ب</w:t>
      </w:r>
      <w:r w:rsidRPr="0062340E">
        <w:rPr>
          <w:rFonts w:ascii="Simplified Arabic" w:hAnsi="Simplified Arabic" w:cs="Simplified Arabic" w:hint="cs"/>
          <w:sz w:val="24"/>
          <w:szCs w:val="24"/>
          <w:rtl/>
        </w:rPr>
        <w:t>علاقة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تنبأ</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بمتغيرين اثنين،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أحدهما</w:t>
      </w:r>
      <w:r w:rsidRPr="0062340E">
        <w:rPr>
          <w:rFonts w:ascii="Simplified Arabic" w:hAnsi="Simplified Arabic" w:cs="Simplified Arabic"/>
          <w:sz w:val="24"/>
          <w:szCs w:val="24"/>
          <w:rtl/>
        </w:rPr>
        <w:t xml:space="preserve"> </w:t>
      </w:r>
      <w:r w:rsidR="002076F7" w:rsidRPr="0062340E">
        <w:rPr>
          <w:rFonts w:ascii="Simplified Arabic" w:hAnsi="Simplified Arabic" w:cs="Simplified Arabic" w:hint="cs"/>
          <w:sz w:val="24"/>
          <w:szCs w:val="24"/>
          <w:rtl/>
        </w:rPr>
        <w:t>متغير تابع</w:t>
      </w:r>
      <w:r w:rsidRPr="0062340E">
        <w:rPr>
          <w:rFonts w:ascii="Simplified Arabic" w:hAnsi="Simplified Arabic" w:cs="Simplified Arabic"/>
          <w:sz w:val="24"/>
          <w:szCs w:val="24"/>
          <w:rtl/>
        </w:rPr>
        <w:t xml:space="preserve"> </w:t>
      </w:r>
      <w:r w:rsidR="0066360D" w:rsidRPr="0062340E">
        <w:rPr>
          <w:rFonts w:ascii="Simplified Arabic" w:hAnsi="Simplified Arabic" w:cs="Simplified Arabic" w:hint="cs"/>
          <w:sz w:val="24"/>
          <w:szCs w:val="24"/>
          <w:rtl/>
        </w:rPr>
        <w:t>''</w:t>
      </w:r>
      <w:r w:rsidR="002076F7" w:rsidRPr="0062340E">
        <w:rPr>
          <w:rFonts w:ascii="Simplified Arabic" w:hAnsi="Simplified Arabic" w:cs="Simplified Arabic" w:hint="cs"/>
          <w:sz w:val="24"/>
          <w:szCs w:val="24"/>
          <w:rtl/>
        </w:rPr>
        <w:t>المرونة الحضرية</w:t>
      </w:r>
      <w:r w:rsidR="0066360D"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والآخر</w:t>
      </w:r>
      <w:r w:rsidRPr="0062340E">
        <w:rPr>
          <w:rFonts w:ascii="Simplified Arabic" w:hAnsi="Simplified Arabic" w:cs="Simplified Arabic"/>
          <w:sz w:val="24"/>
          <w:szCs w:val="24"/>
          <w:rtl/>
        </w:rPr>
        <w:t xml:space="preserve"> </w:t>
      </w:r>
      <w:r w:rsidR="0066360D" w:rsidRPr="0062340E">
        <w:rPr>
          <w:rFonts w:ascii="Simplified Arabic" w:hAnsi="Simplified Arabic" w:cs="Simplified Arabic" w:hint="cs"/>
          <w:sz w:val="24"/>
          <w:szCs w:val="24"/>
          <w:rtl/>
        </w:rPr>
        <w:t xml:space="preserve">متغير </w:t>
      </w:r>
      <w:r w:rsidRPr="0062340E">
        <w:rPr>
          <w:rFonts w:ascii="Simplified Arabic" w:hAnsi="Simplified Arabic" w:cs="Simplified Arabic" w:hint="cs"/>
          <w:sz w:val="24"/>
          <w:szCs w:val="24"/>
          <w:rtl/>
        </w:rPr>
        <w:t>مستقل</w:t>
      </w:r>
      <w:r w:rsidRPr="0062340E">
        <w:rPr>
          <w:rFonts w:ascii="Simplified Arabic" w:hAnsi="Simplified Arabic" w:cs="Simplified Arabic"/>
          <w:sz w:val="24"/>
          <w:szCs w:val="24"/>
          <w:rtl/>
        </w:rPr>
        <w:t xml:space="preserve"> </w:t>
      </w:r>
      <w:r w:rsidR="0066360D" w:rsidRPr="0062340E">
        <w:rPr>
          <w:rFonts w:ascii="Simplified Arabic" w:hAnsi="Simplified Arabic" w:cs="Simplified Arabic" w:hint="cs"/>
          <w:sz w:val="24"/>
          <w:szCs w:val="24"/>
          <w:rtl/>
        </w:rPr>
        <w:t>''</w:t>
      </w:r>
      <w:r w:rsidR="00725010" w:rsidRPr="0062340E">
        <w:rPr>
          <w:rFonts w:ascii="Simplified Arabic" w:hAnsi="Simplified Arabic" w:cs="Simplified Arabic" w:hint="cs"/>
          <w:sz w:val="24"/>
          <w:szCs w:val="24"/>
          <w:rtl/>
        </w:rPr>
        <w:t xml:space="preserve"> استعمالات </w:t>
      </w:r>
      <w:r w:rsidR="00725010" w:rsidRPr="0062340E">
        <w:rPr>
          <w:rFonts w:ascii="Simplified Arabic" w:hAnsi="Simplified Arabic" w:cs="Simplified Arabic" w:hint="cs"/>
          <w:sz w:val="24"/>
          <w:szCs w:val="24"/>
          <w:rtl/>
          <w:lang w:bidi="ar-DZ"/>
        </w:rPr>
        <w:t>الاراضي</w:t>
      </w:r>
      <w:r w:rsidR="0066360D" w:rsidRPr="0062340E">
        <w:rPr>
          <w:rFonts w:ascii="Simplified Arabic" w:hAnsi="Simplified Arabic" w:cs="Simplified Arabic" w:hint="cs"/>
          <w:sz w:val="24"/>
          <w:szCs w:val="24"/>
          <w:rtl/>
        </w:rPr>
        <w:t xml:space="preserve"> الحضرية''</w:t>
      </w:r>
      <w:r w:rsidR="00A67165" w:rsidRPr="0062340E">
        <w:rPr>
          <w:rFonts w:ascii="Simplified Arabic" w:hAnsi="Simplified Arabic" w:cs="Simplified Arabic" w:hint="cs"/>
          <w:sz w:val="24"/>
          <w:szCs w:val="24"/>
          <w:rtl/>
        </w:rPr>
        <w:t>،</w:t>
      </w:r>
      <w:r w:rsidRPr="0062340E">
        <w:rPr>
          <w:rFonts w:ascii="Simplified Arabic" w:hAnsi="Simplified Arabic" w:cs="Simplified Arabic" w:hint="cs"/>
          <w:sz w:val="24"/>
          <w:szCs w:val="24"/>
          <w:rtl/>
        </w:rPr>
        <w:t xml:space="preserve"> </w:t>
      </w:r>
      <w:r w:rsidR="0022082E" w:rsidRPr="0062340E">
        <w:rPr>
          <w:rFonts w:ascii="Simplified Arabic" w:hAnsi="Simplified Arabic" w:cs="Simplified Arabic" w:hint="cs"/>
          <w:sz w:val="24"/>
          <w:szCs w:val="24"/>
          <w:rtl/>
        </w:rPr>
        <w:t>ف</w:t>
      </w:r>
      <w:r w:rsidR="0073397C" w:rsidRPr="0062340E">
        <w:rPr>
          <w:rFonts w:ascii="Simplified Arabic" w:hAnsi="Simplified Arabic" w:cs="Simplified Arabic" w:hint="cs"/>
          <w:sz w:val="24"/>
          <w:szCs w:val="24"/>
          <w:rtl/>
        </w:rPr>
        <w:t xml:space="preserve">ان </w:t>
      </w:r>
      <w:r w:rsidR="0022082E" w:rsidRPr="0062340E">
        <w:rPr>
          <w:rFonts w:ascii="Simplified Arabic" w:hAnsi="Simplified Arabic" w:cs="Simplified Arabic" w:hint="cs"/>
          <w:sz w:val="24"/>
          <w:szCs w:val="24"/>
          <w:rtl/>
        </w:rPr>
        <w:t>هذا البحث</w:t>
      </w:r>
      <w:r w:rsidR="0022082E" w:rsidRPr="0062340E">
        <w:rPr>
          <w:rFonts w:ascii="Simplified Arabic" w:hAnsi="Simplified Arabic" w:cs="Simplified Arabic"/>
          <w:sz w:val="24"/>
          <w:szCs w:val="24"/>
          <w:rtl/>
        </w:rPr>
        <w:t xml:space="preserve"> جمع بين</w:t>
      </w:r>
      <w:r w:rsidR="0066360D" w:rsidRPr="0062340E">
        <w:rPr>
          <w:rFonts w:ascii="Simplified Arabic" w:hAnsi="Simplified Arabic" w:cs="Simplified Arabic" w:hint="cs"/>
          <w:sz w:val="24"/>
          <w:szCs w:val="24"/>
          <w:rtl/>
        </w:rPr>
        <w:t xml:space="preserve"> الاداة و</w:t>
      </w:r>
      <w:r w:rsidR="0022082E" w:rsidRPr="0062340E">
        <w:rPr>
          <w:rFonts w:ascii="Simplified Arabic" w:hAnsi="Simplified Arabic" w:cs="Simplified Arabic" w:hint="cs"/>
          <w:sz w:val="24"/>
          <w:szCs w:val="24"/>
          <w:rtl/>
        </w:rPr>
        <w:t xml:space="preserve">التقنية </w:t>
      </w:r>
      <w:r w:rsidR="0066360D" w:rsidRPr="0062340E">
        <w:rPr>
          <w:rFonts w:ascii="Simplified Arabic" w:hAnsi="Simplified Arabic" w:cs="Simplified Arabic" w:hint="cs"/>
          <w:sz w:val="24"/>
          <w:szCs w:val="24"/>
          <w:rtl/>
        </w:rPr>
        <w:t>اللتان</w:t>
      </w:r>
      <w:r w:rsidR="009367AB" w:rsidRPr="0062340E">
        <w:rPr>
          <w:rFonts w:ascii="Simplified Arabic" w:hAnsi="Simplified Arabic" w:cs="Simplified Arabic" w:hint="cs"/>
          <w:sz w:val="24"/>
          <w:szCs w:val="24"/>
          <w:rtl/>
        </w:rPr>
        <w:t xml:space="preserve"> تسمح</w:t>
      </w:r>
      <w:r w:rsidR="0066360D" w:rsidRPr="0062340E">
        <w:rPr>
          <w:rFonts w:ascii="Simplified Arabic" w:hAnsi="Simplified Arabic" w:cs="Simplified Arabic" w:hint="cs"/>
          <w:sz w:val="24"/>
          <w:szCs w:val="24"/>
          <w:rtl/>
        </w:rPr>
        <w:t>ان</w:t>
      </w:r>
      <w:r w:rsidR="00AF7D2A" w:rsidRPr="0062340E">
        <w:rPr>
          <w:rFonts w:ascii="Simplified Arabic" w:hAnsi="Simplified Arabic" w:cs="Simplified Arabic" w:hint="cs"/>
          <w:sz w:val="24"/>
          <w:szCs w:val="24"/>
          <w:rtl/>
        </w:rPr>
        <w:t xml:space="preserve"> اولا،</w:t>
      </w:r>
      <w:r w:rsidR="00613507" w:rsidRPr="0062340E">
        <w:rPr>
          <w:rFonts w:ascii="Simplified Arabic" w:hAnsi="Simplified Arabic" w:cs="Simplified Arabic" w:hint="cs"/>
          <w:sz w:val="24"/>
          <w:szCs w:val="24"/>
          <w:rtl/>
        </w:rPr>
        <w:t xml:space="preserve"> ب</w:t>
      </w:r>
      <w:r w:rsidR="00B66811" w:rsidRPr="0062340E">
        <w:rPr>
          <w:rFonts w:ascii="Simplified Arabic" w:hAnsi="Simplified Arabic" w:cs="Simplified Arabic" w:hint="cs"/>
          <w:sz w:val="24"/>
          <w:szCs w:val="24"/>
          <w:rtl/>
        </w:rPr>
        <w:t xml:space="preserve">تحليل </w:t>
      </w:r>
      <w:r w:rsidR="00613507" w:rsidRPr="0062340E">
        <w:rPr>
          <w:rFonts w:ascii="Simplified Arabic" w:hAnsi="Simplified Arabic" w:cs="Simplified Arabic" w:hint="cs"/>
          <w:sz w:val="24"/>
          <w:szCs w:val="24"/>
          <w:rtl/>
        </w:rPr>
        <w:t xml:space="preserve">التوزيع المكاني </w:t>
      </w:r>
      <w:r w:rsidR="00725010" w:rsidRPr="0062340E">
        <w:rPr>
          <w:rFonts w:ascii="Simplified Arabic" w:hAnsi="Simplified Arabic" w:cs="Simplified Arabic" w:hint="cs"/>
          <w:sz w:val="24"/>
          <w:szCs w:val="24"/>
          <w:rtl/>
        </w:rPr>
        <w:t xml:space="preserve">لاستعمالات </w:t>
      </w:r>
      <w:r w:rsidR="00725010" w:rsidRPr="0062340E">
        <w:rPr>
          <w:rFonts w:ascii="Simplified Arabic" w:hAnsi="Simplified Arabic" w:cs="Simplified Arabic" w:hint="cs"/>
          <w:sz w:val="24"/>
          <w:szCs w:val="24"/>
          <w:rtl/>
          <w:lang w:bidi="ar-DZ"/>
        </w:rPr>
        <w:t xml:space="preserve">الاراضي </w:t>
      </w:r>
      <w:r w:rsidR="009367AB" w:rsidRPr="0062340E">
        <w:rPr>
          <w:rFonts w:ascii="Simplified Arabic" w:hAnsi="Simplified Arabic" w:cs="Simplified Arabic" w:hint="cs"/>
          <w:sz w:val="24"/>
          <w:szCs w:val="24"/>
          <w:rtl/>
        </w:rPr>
        <w:t>الحضرية</w:t>
      </w:r>
      <w:r w:rsidR="00AF7D2A" w:rsidRPr="0062340E">
        <w:rPr>
          <w:rFonts w:ascii="Simplified Arabic" w:hAnsi="Simplified Arabic" w:cs="Simplified Arabic" w:hint="cs"/>
          <w:sz w:val="24"/>
          <w:szCs w:val="24"/>
          <w:rtl/>
        </w:rPr>
        <w:t>. ثانيا،</w:t>
      </w:r>
      <w:r w:rsidR="009367AB" w:rsidRPr="0062340E">
        <w:rPr>
          <w:rFonts w:ascii="Simplified Arabic" w:hAnsi="Simplified Arabic" w:cs="Simplified Arabic" w:hint="cs"/>
          <w:sz w:val="24"/>
          <w:szCs w:val="24"/>
          <w:rtl/>
        </w:rPr>
        <w:t xml:space="preserve"> </w:t>
      </w:r>
      <w:r w:rsidR="0073397C" w:rsidRPr="0062340E">
        <w:rPr>
          <w:rFonts w:ascii="Simplified Arabic" w:hAnsi="Simplified Arabic" w:cs="Simplified Arabic" w:hint="cs"/>
          <w:sz w:val="24"/>
          <w:szCs w:val="24"/>
          <w:rtl/>
        </w:rPr>
        <w:t>ا</w:t>
      </w:r>
      <w:r w:rsidR="00B3094E" w:rsidRPr="0062340E">
        <w:rPr>
          <w:rFonts w:ascii="Simplified Arabic" w:hAnsi="Simplified Arabic" w:cs="Simplified Arabic"/>
          <w:sz w:val="24"/>
          <w:szCs w:val="24"/>
          <w:rtl/>
        </w:rPr>
        <w:t>لحصول على البيانات</w:t>
      </w:r>
      <w:r w:rsidR="00B37014" w:rsidRPr="0062340E">
        <w:rPr>
          <w:rFonts w:ascii="Simplified Arabic" w:hAnsi="Simplified Arabic" w:cs="Simplified Arabic" w:hint="cs"/>
          <w:sz w:val="24"/>
          <w:szCs w:val="24"/>
          <w:rtl/>
        </w:rPr>
        <w:t xml:space="preserve"> وال</w:t>
      </w:r>
      <w:r w:rsidR="00B37014" w:rsidRPr="0062340E">
        <w:rPr>
          <w:rFonts w:ascii="Simplified Arabic" w:hAnsi="Simplified Arabic" w:cs="Simplified Arabic" w:hint="cs"/>
          <w:sz w:val="24"/>
          <w:szCs w:val="24"/>
          <w:rtl/>
          <w:lang w:val="en-US" w:bidi="ar-DZ"/>
        </w:rPr>
        <w:t>قياسات</w:t>
      </w:r>
      <w:r w:rsidR="00B37014" w:rsidRPr="0062340E">
        <w:rPr>
          <w:rFonts w:ascii="Simplified Arabic" w:hAnsi="Simplified Arabic" w:cs="Simplified Arabic"/>
          <w:sz w:val="24"/>
          <w:szCs w:val="24"/>
          <w:rtl/>
          <w:lang w:val="en-US" w:bidi="ar-DZ"/>
        </w:rPr>
        <w:t xml:space="preserve"> </w:t>
      </w:r>
      <w:r w:rsidR="00B37014" w:rsidRPr="0062340E">
        <w:rPr>
          <w:rFonts w:ascii="Simplified Arabic" w:hAnsi="Simplified Arabic" w:cs="Simplified Arabic" w:hint="cs"/>
          <w:sz w:val="24"/>
          <w:szCs w:val="24"/>
          <w:rtl/>
          <w:lang w:val="en-US" w:bidi="ar-DZ"/>
        </w:rPr>
        <w:t>العددية</w:t>
      </w:r>
      <w:r w:rsidR="00B37014" w:rsidRPr="0062340E">
        <w:rPr>
          <w:rFonts w:ascii="Simplified Arabic" w:hAnsi="Simplified Arabic" w:cs="Simplified Arabic"/>
          <w:sz w:val="24"/>
          <w:szCs w:val="24"/>
          <w:rtl/>
          <w:lang w:val="en-US" w:bidi="ar-DZ"/>
        </w:rPr>
        <w:t xml:space="preserve"> </w:t>
      </w:r>
      <w:r w:rsidR="00B37014" w:rsidRPr="0062340E">
        <w:rPr>
          <w:rFonts w:ascii="Simplified Arabic" w:hAnsi="Simplified Arabic" w:cs="Simplified Arabic" w:hint="cs"/>
          <w:sz w:val="24"/>
          <w:szCs w:val="24"/>
          <w:rtl/>
          <w:lang w:val="en-US" w:bidi="ar-DZ"/>
        </w:rPr>
        <w:t>لمواصلة عملية تقييم</w:t>
      </w:r>
      <w:r w:rsidR="00BB568F" w:rsidRPr="0062340E">
        <w:rPr>
          <w:rFonts w:ascii="Simplified Arabic" w:hAnsi="Simplified Arabic" w:cs="Simplified Arabic" w:hint="cs"/>
          <w:sz w:val="24"/>
          <w:szCs w:val="24"/>
          <w:rtl/>
          <w:lang w:val="en-US" w:bidi="ar-DZ"/>
        </w:rPr>
        <w:t xml:space="preserve"> المرونة الحضرية</w:t>
      </w:r>
      <w:r w:rsidR="00B3094E" w:rsidRPr="0062340E">
        <w:rPr>
          <w:rFonts w:ascii="Simplified Arabic" w:hAnsi="Simplified Arabic" w:cs="Simplified Arabic" w:hint="cs"/>
          <w:sz w:val="24"/>
          <w:szCs w:val="24"/>
          <w:rtl/>
        </w:rPr>
        <w:t xml:space="preserve">، </w:t>
      </w:r>
      <w:r w:rsidR="0022082E" w:rsidRPr="0062340E">
        <w:rPr>
          <w:rFonts w:ascii="Simplified Arabic" w:hAnsi="Simplified Arabic" w:cs="Simplified Arabic" w:hint="cs"/>
          <w:sz w:val="24"/>
          <w:szCs w:val="24"/>
          <w:rtl/>
        </w:rPr>
        <w:t>وهي كالتالي:</w:t>
      </w:r>
    </w:p>
    <w:p w:rsidR="0022082E" w:rsidRPr="0062340E" w:rsidRDefault="00F93FD9" w:rsidP="006D22A4">
      <w:pPr>
        <w:pStyle w:val="Paragraphedeliste"/>
        <w:numPr>
          <w:ilvl w:val="2"/>
          <w:numId w:val="93"/>
        </w:numPr>
        <w:tabs>
          <w:tab w:val="right" w:pos="850"/>
        </w:tabs>
        <w:bidi/>
        <w:spacing w:after="0"/>
        <w:ind w:left="0" w:firstLine="0"/>
        <w:jc w:val="both"/>
        <w:outlineLvl w:val="2"/>
        <w:rPr>
          <w:rFonts w:ascii="Simplified Arabic" w:hAnsi="Simplified Arabic" w:cs="Simplified Arabic"/>
          <w:sz w:val="24"/>
          <w:szCs w:val="24"/>
          <w:lang w:bidi="ar-DZ"/>
        </w:rPr>
      </w:pPr>
      <w:bookmarkStart w:id="42" w:name="_Toc171803298"/>
      <w:r w:rsidRPr="0062340E">
        <w:rPr>
          <w:rFonts w:ascii="Simplified Arabic" w:hAnsi="Simplified Arabic" w:cs="Simplified Arabic" w:hint="cs"/>
          <w:b/>
          <w:bCs/>
          <w:sz w:val="24"/>
          <w:szCs w:val="24"/>
          <w:rtl/>
        </w:rPr>
        <w:t xml:space="preserve">تقنية </w:t>
      </w:r>
      <w:r w:rsidR="0022082E" w:rsidRPr="0062340E">
        <w:rPr>
          <w:rFonts w:ascii="Simplified Arabic" w:hAnsi="Simplified Arabic" w:cs="Simplified Arabic"/>
          <w:b/>
          <w:bCs/>
          <w:sz w:val="24"/>
          <w:szCs w:val="24"/>
          <w:rtl/>
        </w:rPr>
        <w:t xml:space="preserve">الاستبيان الالكتروني:  </w:t>
      </w:r>
      <w:r w:rsidR="00292F30" w:rsidRPr="0062340E">
        <w:rPr>
          <w:rFonts w:ascii="Simplified Arabic" w:hAnsi="Simplified Arabic" w:cs="Simplified Arabic"/>
          <w:sz w:val="24"/>
          <w:szCs w:val="24"/>
          <w:rtl/>
          <w:lang w:bidi="ar-DZ"/>
        </w:rPr>
        <w:t xml:space="preserve">تضمن البحث </w:t>
      </w:r>
      <w:r w:rsidR="00292F30" w:rsidRPr="0062340E">
        <w:rPr>
          <w:rFonts w:ascii="Simplified Arabic" w:hAnsi="Simplified Arabic" w:cs="Simplified Arabic" w:hint="cs"/>
          <w:sz w:val="24"/>
          <w:szCs w:val="24"/>
          <w:rtl/>
          <w:lang w:bidi="ar-DZ"/>
        </w:rPr>
        <w:t>إ</w:t>
      </w:r>
      <w:r w:rsidR="0022082E" w:rsidRPr="0062340E">
        <w:rPr>
          <w:rFonts w:ascii="Simplified Arabic" w:hAnsi="Simplified Arabic" w:cs="Simplified Arabic"/>
          <w:sz w:val="24"/>
          <w:szCs w:val="24"/>
          <w:rtl/>
          <w:lang w:bidi="ar-DZ"/>
        </w:rPr>
        <w:t xml:space="preserve">عداد نوعين اثنين من الاستبيان، الاول </w:t>
      </w:r>
      <w:r w:rsidR="0012301E" w:rsidRPr="0062340E">
        <w:rPr>
          <w:rFonts w:ascii="Simplified Arabic" w:hAnsi="Simplified Arabic" w:cs="Simplified Arabic"/>
          <w:sz w:val="24"/>
          <w:szCs w:val="24"/>
          <w:rtl/>
          <w:lang w:bidi="ar-DZ"/>
        </w:rPr>
        <w:t>يخص استبيان مجموعة خبراء وفق تقنية دلفي</w:t>
      </w:r>
      <w:r w:rsidR="002C7B56" w:rsidRPr="0062340E">
        <w:rPr>
          <w:rFonts w:ascii="Simplified Arabic" w:hAnsi="Simplified Arabic" w:cs="Simplified Arabic" w:hint="cs"/>
          <w:sz w:val="24"/>
          <w:szCs w:val="24"/>
          <w:rtl/>
          <w:lang w:bidi="ar-DZ"/>
        </w:rPr>
        <w:t>،</w:t>
      </w:r>
      <w:r w:rsidR="0012301E" w:rsidRPr="0062340E">
        <w:rPr>
          <w:rFonts w:ascii="Simplified Arabic" w:hAnsi="Simplified Arabic" w:cs="Simplified Arabic"/>
          <w:sz w:val="24"/>
          <w:szCs w:val="24"/>
          <w:rtl/>
          <w:lang w:bidi="ar-DZ"/>
        </w:rPr>
        <w:t xml:space="preserve"> حيث تم اشراك مجموعة من الخبر</w:t>
      </w:r>
      <w:r w:rsidR="00016748" w:rsidRPr="0062340E">
        <w:rPr>
          <w:rFonts w:ascii="Simplified Arabic" w:hAnsi="Simplified Arabic" w:cs="Simplified Arabic"/>
          <w:sz w:val="24"/>
          <w:szCs w:val="24"/>
          <w:rtl/>
          <w:lang w:bidi="ar-DZ"/>
        </w:rPr>
        <w:t xml:space="preserve">اء المحليين المختصين على مراحل </w:t>
      </w:r>
      <w:r w:rsidR="0012301E" w:rsidRPr="0062340E">
        <w:rPr>
          <w:rFonts w:ascii="Simplified Arabic" w:hAnsi="Simplified Arabic" w:cs="Simplified Arabic"/>
          <w:sz w:val="24"/>
          <w:szCs w:val="24"/>
          <w:rtl/>
          <w:lang w:bidi="ar-DZ"/>
        </w:rPr>
        <w:t xml:space="preserve">بسبب منطقة دراسة الحالة </w:t>
      </w:r>
      <w:r w:rsidR="0012301E" w:rsidRPr="0062340E">
        <w:rPr>
          <w:rFonts w:ascii="Simplified Arabic" w:hAnsi="Simplified Arabic" w:cs="Simplified Arabic"/>
          <w:sz w:val="24"/>
          <w:szCs w:val="24"/>
          <w:rtl/>
          <w:lang w:bidi="ar-DZ"/>
        </w:rPr>
        <w:lastRenderedPageBreak/>
        <w:t>في الجزائر</w:t>
      </w:r>
      <w:r w:rsidR="00600B79" w:rsidRPr="0062340E">
        <w:rPr>
          <w:rFonts w:ascii="Simplified Arabic" w:hAnsi="Simplified Arabic" w:cs="Simplified Arabic" w:hint="cs"/>
          <w:sz w:val="24"/>
          <w:szCs w:val="24"/>
          <w:rtl/>
          <w:lang w:bidi="ar-DZ"/>
        </w:rPr>
        <w:t>.</w:t>
      </w:r>
      <w:r w:rsidR="0012301E" w:rsidRPr="0062340E">
        <w:rPr>
          <w:rFonts w:ascii="Simplified Arabic" w:hAnsi="Simplified Arabic" w:cs="Simplified Arabic" w:hint="cs"/>
          <w:sz w:val="24"/>
          <w:szCs w:val="24"/>
          <w:rtl/>
          <w:lang w:bidi="ar-DZ"/>
        </w:rPr>
        <w:t xml:space="preserve"> </w:t>
      </w:r>
      <w:r w:rsidR="0012301E" w:rsidRPr="0062340E">
        <w:rPr>
          <w:rFonts w:ascii="Simplified Arabic" w:hAnsi="Simplified Arabic" w:cs="Simplified Arabic"/>
          <w:sz w:val="24"/>
          <w:szCs w:val="24"/>
          <w:rtl/>
          <w:lang w:bidi="ar-DZ"/>
        </w:rPr>
        <w:t xml:space="preserve">اما الثاني </w:t>
      </w:r>
      <w:r w:rsidR="0022082E" w:rsidRPr="0062340E">
        <w:rPr>
          <w:rFonts w:ascii="Simplified Arabic" w:hAnsi="Simplified Arabic" w:cs="Simplified Arabic"/>
          <w:sz w:val="24"/>
          <w:szCs w:val="24"/>
          <w:rtl/>
          <w:lang w:bidi="ar-DZ"/>
        </w:rPr>
        <w:t>يخص استبيان محلي ي</w:t>
      </w:r>
      <w:r w:rsidR="002C7B56" w:rsidRPr="0062340E">
        <w:rPr>
          <w:rFonts w:ascii="Simplified Arabic" w:hAnsi="Simplified Arabic" w:cs="Simplified Arabic" w:hint="cs"/>
          <w:sz w:val="24"/>
          <w:szCs w:val="24"/>
          <w:rtl/>
          <w:lang w:bidi="ar-DZ"/>
        </w:rPr>
        <w:t>ُ</w:t>
      </w:r>
      <w:r w:rsidR="0022082E" w:rsidRPr="0062340E">
        <w:rPr>
          <w:rFonts w:ascii="Simplified Arabic" w:hAnsi="Simplified Arabic" w:cs="Simplified Arabic"/>
          <w:sz w:val="24"/>
          <w:szCs w:val="24"/>
          <w:rtl/>
          <w:lang w:bidi="ar-DZ"/>
        </w:rPr>
        <w:t>عب</w:t>
      </w:r>
      <w:r w:rsidR="002C7B56" w:rsidRPr="0062340E">
        <w:rPr>
          <w:rFonts w:ascii="Simplified Arabic" w:hAnsi="Simplified Arabic" w:cs="Simplified Arabic" w:hint="cs"/>
          <w:sz w:val="24"/>
          <w:szCs w:val="24"/>
          <w:rtl/>
          <w:lang w:bidi="ar-DZ"/>
        </w:rPr>
        <w:t>ّ</w:t>
      </w:r>
      <w:r w:rsidR="0022082E" w:rsidRPr="0062340E">
        <w:rPr>
          <w:rFonts w:ascii="Simplified Arabic" w:hAnsi="Simplified Arabic" w:cs="Simplified Arabic"/>
          <w:sz w:val="24"/>
          <w:szCs w:val="24"/>
          <w:rtl/>
          <w:lang w:bidi="ar-DZ"/>
        </w:rPr>
        <w:t>ر على</w:t>
      </w:r>
      <w:r w:rsidR="0012301E" w:rsidRPr="0062340E">
        <w:rPr>
          <w:rFonts w:ascii="Simplified Arabic" w:hAnsi="Simplified Arabic" w:cs="Simplified Arabic" w:hint="cs"/>
          <w:sz w:val="24"/>
          <w:szCs w:val="24"/>
          <w:rtl/>
          <w:lang w:bidi="ar-DZ"/>
        </w:rPr>
        <w:t xml:space="preserve"> تقص</w:t>
      </w:r>
      <w:r w:rsidR="002C7B56" w:rsidRPr="0062340E">
        <w:rPr>
          <w:rFonts w:ascii="Simplified Arabic" w:hAnsi="Simplified Arabic" w:cs="Simplified Arabic" w:hint="cs"/>
          <w:sz w:val="24"/>
          <w:szCs w:val="24"/>
          <w:rtl/>
          <w:lang w:bidi="ar-DZ"/>
        </w:rPr>
        <w:t>ّ</w:t>
      </w:r>
      <w:r w:rsidR="0012301E" w:rsidRPr="0062340E">
        <w:rPr>
          <w:rFonts w:ascii="Simplified Arabic" w:hAnsi="Simplified Arabic" w:cs="Simplified Arabic" w:hint="cs"/>
          <w:sz w:val="24"/>
          <w:szCs w:val="24"/>
          <w:rtl/>
          <w:lang w:bidi="ar-DZ"/>
        </w:rPr>
        <w:t>ي</w:t>
      </w:r>
      <w:r w:rsidR="0022082E"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val="en-US" w:bidi="ar-DZ"/>
        </w:rPr>
        <w:t>تصورات</w:t>
      </w:r>
      <w:r w:rsidRPr="0062340E">
        <w:rPr>
          <w:rFonts w:ascii="Simplified Arabic" w:hAnsi="Simplified Arabic" w:cs="Simplified Arabic"/>
          <w:sz w:val="24"/>
          <w:szCs w:val="24"/>
          <w:rtl/>
          <w:lang w:bidi="ar-DZ"/>
        </w:rPr>
        <w:t xml:space="preserve"> </w:t>
      </w:r>
      <w:r w:rsidR="0022082E" w:rsidRPr="0062340E">
        <w:rPr>
          <w:rFonts w:ascii="Simplified Arabic" w:hAnsi="Simplified Arabic" w:cs="Simplified Arabic"/>
          <w:sz w:val="24"/>
          <w:szCs w:val="24"/>
          <w:rtl/>
          <w:lang w:bidi="ar-DZ"/>
        </w:rPr>
        <w:t>وآراء السكان المحليين</w:t>
      </w:r>
      <w:r w:rsidR="004226D5" w:rsidRPr="0062340E">
        <w:rPr>
          <w:rFonts w:ascii="Simplified Arabic" w:hAnsi="Simplified Arabic" w:cs="Simplified Arabic"/>
          <w:sz w:val="24"/>
          <w:szCs w:val="24"/>
          <w:rtl/>
          <w:lang w:bidi="ar-DZ"/>
        </w:rPr>
        <w:t xml:space="preserve"> لمدينة بوسعادة</w:t>
      </w:r>
      <w:r w:rsidR="00613507" w:rsidRPr="0062340E">
        <w:rPr>
          <w:rFonts w:ascii="Simplified Arabic" w:hAnsi="Simplified Arabic" w:cs="Simplified Arabic" w:hint="cs"/>
          <w:sz w:val="24"/>
          <w:szCs w:val="24"/>
          <w:rtl/>
          <w:lang w:bidi="ar-DZ"/>
        </w:rPr>
        <w:t xml:space="preserve"> </w:t>
      </w:r>
      <w:r w:rsidR="000B298C" w:rsidRPr="0062340E">
        <w:rPr>
          <w:rFonts w:ascii="Simplified Arabic" w:hAnsi="Simplified Arabic" w:cs="Simplified Arabic" w:hint="cs"/>
          <w:sz w:val="24"/>
          <w:szCs w:val="24"/>
          <w:rtl/>
          <w:lang w:val="en-US"/>
        </w:rPr>
        <w:t>حول ال</w:t>
      </w:r>
      <w:r w:rsidR="000B298C" w:rsidRPr="0062340E">
        <w:rPr>
          <w:rFonts w:ascii="Simplified Arabic" w:hAnsi="Simplified Arabic" w:cs="Simplified Arabic"/>
          <w:sz w:val="24"/>
          <w:szCs w:val="24"/>
          <w:rtl/>
          <w:lang w:val="en-US"/>
        </w:rPr>
        <w:t xml:space="preserve">قضايا الأساسية </w:t>
      </w:r>
      <w:r w:rsidR="000B298C" w:rsidRPr="0062340E">
        <w:rPr>
          <w:rFonts w:ascii="Simplified Arabic" w:hAnsi="Simplified Arabic" w:cs="Simplified Arabic" w:hint="cs"/>
          <w:sz w:val="24"/>
          <w:szCs w:val="24"/>
          <w:rtl/>
          <w:lang w:val="en-US"/>
        </w:rPr>
        <w:t>ل</w:t>
      </w:r>
      <w:r w:rsidR="000B298C" w:rsidRPr="0062340E">
        <w:rPr>
          <w:rFonts w:ascii="Simplified Arabic" w:hAnsi="Simplified Arabic" w:cs="Simplified Arabic"/>
          <w:sz w:val="24"/>
          <w:szCs w:val="24"/>
          <w:rtl/>
          <w:lang w:val="en-US"/>
        </w:rPr>
        <w:t>لبيئية</w:t>
      </w:r>
      <w:r w:rsidR="000B298C" w:rsidRPr="0062340E">
        <w:rPr>
          <w:rFonts w:ascii="Simplified Arabic" w:hAnsi="Simplified Arabic" w:cs="Simplified Arabic" w:hint="cs"/>
          <w:sz w:val="24"/>
          <w:szCs w:val="24"/>
          <w:rtl/>
          <w:lang w:val="en-US"/>
        </w:rPr>
        <w:t xml:space="preserve"> </w:t>
      </w:r>
      <w:r w:rsidR="008E533E" w:rsidRPr="0062340E">
        <w:rPr>
          <w:rFonts w:ascii="Simplified Arabic" w:hAnsi="Simplified Arabic" w:cs="Simplified Arabic" w:hint="cs"/>
          <w:sz w:val="24"/>
          <w:szCs w:val="24"/>
          <w:rtl/>
          <w:lang w:val="en-US"/>
        </w:rPr>
        <w:t xml:space="preserve">الحضرية </w:t>
      </w:r>
      <w:r w:rsidR="000B298C" w:rsidRPr="0062340E">
        <w:rPr>
          <w:rFonts w:ascii="Simplified Arabic" w:hAnsi="Simplified Arabic" w:cs="Simplified Arabic" w:hint="cs"/>
          <w:sz w:val="24"/>
          <w:szCs w:val="24"/>
          <w:rtl/>
          <w:lang w:val="en-US"/>
        </w:rPr>
        <w:t>في سياق المخاطر الطبيعية</w:t>
      </w:r>
      <w:r w:rsidR="0022082E" w:rsidRPr="0062340E">
        <w:rPr>
          <w:rFonts w:ascii="Simplified Arabic" w:hAnsi="Simplified Arabic" w:cs="Simplified Arabic"/>
          <w:sz w:val="24"/>
          <w:szCs w:val="24"/>
          <w:rtl/>
          <w:lang w:bidi="ar-DZ"/>
        </w:rPr>
        <w:t>.</w:t>
      </w:r>
      <w:bookmarkEnd w:id="42"/>
    </w:p>
    <w:p w:rsidR="0022082E" w:rsidRPr="0062340E" w:rsidRDefault="0022082E" w:rsidP="006D22A4">
      <w:pPr>
        <w:pStyle w:val="Paragraphedeliste"/>
        <w:numPr>
          <w:ilvl w:val="2"/>
          <w:numId w:val="94"/>
        </w:numPr>
        <w:tabs>
          <w:tab w:val="right" w:pos="850"/>
        </w:tabs>
        <w:bidi/>
        <w:spacing w:after="0"/>
        <w:ind w:left="0" w:firstLine="0"/>
        <w:jc w:val="both"/>
        <w:outlineLvl w:val="2"/>
        <w:rPr>
          <w:rFonts w:ascii="Simplified Arabic" w:hAnsi="Simplified Arabic" w:cs="Simplified Arabic"/>
          <w:sz w:val="24"/>
          <w:szCs w:val="24"/>
          <w:lang w:bidi="ar-DZ"/>
        </w:rPr>
      </w:pPr>
      <w:bookmarkStart w:id="43" w:name="_Toc171803299"/>
      <w:r w:rsidRPr="0062340E">
        <w:rPr>
          <w:rFonts w:ascii="Simplified Arabic" w:hAnsi="Simplified Arabic" w:cs="Simplified Arabic"/>
          <w:b/>
          <w:bCs/>
          <w:sz w:val="24"/>
          <w:szCs w:val="24"/>
          <w:rtl/>
        </w:rPr>
        <w:t xml:space="preserve">تقنية دلفي: </w:t>
      </w:r>
      <w:r w:rsidRPr="0062340E">
        <w:rPr>
          <w:rFonts w:ascii="Simplified Arabic" w:hAnsi="Simplified Arabic" w:cs="Simplified Arabic"/>
          <w:sz w:val="24"/>
          <w:szCs w:val="24"/>
          <w:rtl/>
          <w:lang w:bidi="ar-DZ"/>
        </w:rPr>
        <w:t xml:space="preserve">استعملت هذه التقنية لتحديد العوامل النهائية لتقييم المرونة الحضرية لمدينة بوسعادة، يتم تطبيق التقنية على مراحل بواسطة استبيان فردي متكرر، يسمح هذا التطبيق التكراري للمشاركين بمراقبة ردود الخبراء الآخرين لمراجعة قراراتهم و بالتالي الوصول الى </w:t>
      </w:r>
      <w:r w:rsidR="00770B2B" w:rsidRPr="0062340E">
        <w:rPr>
          <w:rFonts w:ascii="Simplified Arabic" w:hAnsi="Simplified Arabic" w:cs="Simplified Arabic" w:hint="cs"/>
          <w:sz w:val="24"/>
          <w:szCs w:val="24"/>
          <w:rtl/>
          <w:lang w:bidi="ar-DZ"/>
        </w:rPr>
        <w:t>أحكام</w:t>
      </w:r>
      <w:r w:rsidRPr="0062340E">
        <w:rPr>
          <w:rFonts w:ascii="Simplified Arabic" w:hAnsi="Simplified Arabic" w:cs="Simplified Arabic"/>
          <w:sz w:val="24"/>
          <w:szCs w:val="24"/>
          <w:rtl/>
          <w:lang w:bidi="ar-DZ"/>
        </w:rPr>
        <w:t xml:space="preserve"> توافقي</w:t>
      </w:r>
      <w:r w:rsidR="00770B2B" w:rsidRPr="0062340E">
        <w:rPr>
          <w:rFonts w:ascii="Simplified Arabic" w:hAnsi="Simplified Arabic" w:cs="Simplified Arabic" w:hint="cs"/>
          <w:sz w:val="24"/>
          <w:szCs w:val="24"/>
          <w:rtl/>
          <w:lang w:bidi="ar-DZ"/>
        </w:rPr>
        <w:t>ة</w:t>
      </w:r>
      <w:r w:rsidRPr="0062340E">
        <w:rPr>
          <w:rFonts w:ascii="Simplified Arabic" w:hAnsi="Simplified Arabic" w:cs="Simplified Arabic"/>
          <w:sz w:val="24"/>
          <w:szCs w:val="24"/>
          <w:rtl/>
          <w:lang w:bidi="ar-DZ"/>
        </w:rPr>
        <w:t xml:space="preserve"> من خلال الجمع بين مجموعة من آراء الخبراء.</w:t>
      </w:r>
      <w:bookmarkEnd w:id="43"/>
    </w:p>
    <w:p w:rsidR="0022082E" w:rsidRPr="0062340E" w:rsidRDefault="0022082E" w:rsidP="006D22A4">
      <w:pPr>
        <w:pStyle w:val="Paragraphedeliste"/>
        <w:numPr>
          <w:ilvl w:val="2"/>
          <w:numId w:val="95"/>
        </w:numPr>
        <w:tabs>
          <w:tab w:val="right" w:pos="850"/>
        </w:tabs>
        <w:bidi/>
        <w:spacing w:after="0"/>
        <w:ind w:left="0" w:firstLine="0"/>
        <w:jc w:val="both"/>
        <w:outlineLvl w:val="2"/>
        <w:rPr>
          <w:rFonts w:ascii="Simplified Arabic" w:hAnsi="Simplified Arabic" w:cs="Simplified Arabic"/>
          <w:b/>
          <w:bCs/>
          <w:sz w:val="24"/>
          <w:szCs w:val="24"/>
        </w:rPr>
      </w:pPr>
      <w:bookmarkStart w:id="44" w:name="_Toc171803300"/>
      <w:r w:rsidRPr="0062340E">
        <w:rPr>
          <w:rFonts w:ascii="Simplified Arabic" w:hAnsi="Simplified Arabic" w:cs="Simplified Arabic"/>
          <w:b/>
          <w:bCs/>
          <w:color w:val="000000"/>
          <w:sz w:val="24"/>
          <w:szCs w:val="24"/>
          <w:rtl/>
          <w:lang w:val="en-US"/>
        </w:rPr>
        <w:t xml:space="preserve">تقنية التحليل الهرمي التسلسلي </w:t>
      </w:r>
      <w:r w:rsidRPr="0062340E">
        <w:rPr>
          <w:rFonts w:asciiTheme="majorBidi" w:hAnsiTheme="majorBidi" w:cstheme="majorBidi"/>
          <w:sz w:val="24"/>
          <w:szCs w:val="24"/>
          <w:rtl/>
        </w:rPr>
        <w:t>(</w:t>
      </w:r>
      <w:r w:rsidRPr="0062340E">
        <w:rPr>
          <w:rFonts w:asciiTheme="majorBidi" w:hAnsiTheme="majorBidi" w:cstheme="majorBidi"/>
          <w:sz w:val="24"/>
          <w:szCs w:val="24"/>
        </w:rPr>
        <w:t>AHP</w:t>
      </w:r>
      <w:r w:rsidRPr="0062340E">
        <w:rPr>
          <w:rFonts w:asciiTheme="majorBidi" w:hAnsiTheme="majorBidi" w:cstheme="majorBidi"/>
          <w:sz w:val="24"/>
          <w:szCs w:val="24"/>
          <w:rtl/>
        </w:rPr>
        <w:t>)</w:t>
      </w:r>
      <w:r w:rsidRPr="0062340E">
        <w:rPr>
          <w:rFonts w:ascii="Simplified Arabic" w:hAnsi="Simplified Arabic" w:cs="Simplified Arabic"/>
          <w:b/>
          <w:bCs/>
          <w:color w:val="000000"/>
          <w:sz w:val="24"/>
          <w:szCs w:val="24"/>
          <w:rtl/>
          <w:lang w:val="en-US"/>
        </w:rPr>
        <w:t xml:space="preserve">: </w:t>
      </w:r>
      <w:r w:rsidRPr="0062340E">
        <w:rPr>
          <w:rFonts w:ascii="Simplified Arabic" w:hAnsi="Simplified Arabic" w:cs="Simplified Arabic"/>
          <w:sz w:val="24"/>
          <w:szCs w:val="24"/>
          <w:rtl/>
          <w:lang w:bidi="ar-DZ"/>
        </w:rPr>
        <w:t>هذه التقنية الأكثر شهرة والأكثر استخدامًا في اتخاذ القرارات متعددة المعايير</w:t>
      </w:r>
      <w:r w:rsidR="00235BF6" w:rsidRPr="0062340E">
        <w:rPr>
          <w:rFonts w:ascii="Simplified Arabic" w:hAnsi="Simplified Arabic" w:cs="Simplified Arabic" w:hint="cs"/>
          <w:sz w:val="24"/>
          <w:szCs w:val="24"/>
          <w:rtl/>
          <w:lang w:bidi="ar-DZ"/>
        </w:rPr>
        <w:t>، تستخدم</w:t>
      </w:r>
      <w:r w:rsidRPr="0062340E">
        <w:rPr>
          <w:rFonts w:ascii="Simplified Arabic" w:hAnsi="Simplified Arabic" w:cs="Simplified Arabic"/>
          <w:sz w:val="24"/>
          <w:szCs w:val="24"/>
          <w:rtl/>
          <w:lang w:bidi="ar-DZ"/>
        </w:rPr>
        <w:t xml:space="preserve"> للقيام بالمقارنات الزوجية بين </w:t>
      </w:r>
      <w:r w:rsidR="00235BF6" w:rsidRPr="0062340E">
        <w:rPr>
          <w:rFonts w:ascii="Simplified Arabic" w:hAnsi="Simplified Arabic" w:cs="Simplified Arabic" w:hint="cs"/>
          <w:sz w:val="24"/>
          <w:szCs w:val="24"/>
          <w:rtl/>
          <w:lang w:bidi="ar-DZ"/>
        </w:rPr>
        <w:t>العوامل</w:t>
      </w:r>
      <w:r w:rsidRPr="0062340E">
        <w:rPr>
          <w:rFonts w:ascii="Simplified Arabic" w:hAnsi="Simplified Arabic" w:cs="Simplified Arabic"/>
          <w:sz w:val="24"/>
          <w:szCs w:val="24"/>
          <w:rtl/>
          <w:lang w:bidi="ar-DZ"/>
        </w:rPr>
        <w:t xml:space="preserve"> </w:t>
      </w:r>
      <w:r w:rsidR="00235BF6" w:rsidRPr="0062340E">
        <w:rPr>
          <w:rFonts w:ascii="Simplified Arabic" w:hAnsi="Simplified Arabic" w:cs="Simplified Arabic" w:hint="cs"/>
          <w:sz w:val="24"/>
          <w:szCs w:val="24"/>
          <w:rtl/>
          <w:lang w:bidi="ar-DZ"/>
        </w:rPr>
        <w:t>النهائية و</w:t>
      </w:r>
      <w:r w:rsidRPr="0062340E">
        <w:rPr>
          <w:rFonts w:ascii="Simplified Arabic" w:hAnsi="Simplified Arabic" w:cs="Simplified Arabic"/>
          <w:sz w:val="24"/>
          <w:szCs w:val="24"/>
          <w:rtl/>
          <w:lang w:bidi="ar-DZ"/>
        </w:rPr>
        <w:t xml:space="preserve">لتقييم الأهمية النسبية </w:t>
      </w:r>
      <w:r w:rsidR="00235BF6" w:rsidRPr="0062340E">
        <w:rPr>
          <w:rFonts w:ascii="Simplified Arabic" w:hAnsi="Simplified Arabic" w:cs="Simplified Arabic" w:hint="cs"/>
          <w:sz w:val="24"/>
          <w:szCs w:val="24"/>
          <w:rtl/>
          <w:lang w:bidi="ar-DZ"/>
        </w:rPr>
        <w:t>لها</w:t>
      </w:r>
      <w:r w:rsidRPr="0062340E">
        <w:rPr>
          <w:rFonts w:ascii="Simplified Arabic" w:hAnsi="Simplified Arabic" w:cs="Simplified Arabic"/>
          <w:sz w:val="24"/>
          <w:szCs w:val="24"/>
          <w:rtl/>
          <w:lang w:bidi="ar-DZ"/>
        </w:rPr>
        <w:t>.</w:t>
      </w:r>
      <w:bookmarkEnd w:id="44"/>
    </w:p>
    <w:p w:rsidR="0022082E" w:rsidRPr="0062340E" w:rsidRDefault="004226D5" w:rsidP="006D22A4">
      <w:pPr>
        <w:pStyle w:val="Paragraphedeliste"/>
        <w:numPr>
          <w:ilvl w:val="2"/>
          <w:numId w:val="96"/>
        </w:numPr>
        <w:tabs>
          <w:tab w:val="right" w:pos="850"/>
        </w:tabs>
        <w:bidi/>
        <w:spacing w:after="0"/>
        <w:ind w:left="0" w:firstLine="0"/>
        <w:jc w:val="both"/>
        <w:outlineLvl w:val="2"/>
        <w:rPr>
          <w:rFonts w:ascii="Simplified Arabic" w:hAnsi="Simplified Arabic" w:cs="Simplified Arabic"/>
          <w:sz w:val="24"/>
          <w:szCs w:val="24"/>
          <w:lang w:bidi="ar-DZ"/>
        </w:rPr>
      </w:pPr>
      <w:bookmarkStart w:id="45" w:name="_Toc171803301"/>
      <w:r w:rsidRPr="0062340E">
        <w:rPr>
          <w:rFonts w:ascii="Simplified Arabic" w:hAnsi="Simplified Arabic" w:cs="Simplified Arabic" w:hint="cs"/>
          <w:b/>
          <w:bCs/>
          <w:color w:val="000000"/>
          <w:sz w:val="24"/>
          <w:szCs w:val="24"/>
          <w:rtl/>
          <w:lang w:val="en-US"/>
        </w:rPr>
        <w:t xml:space="preserve">تقنية </w:t>
      </w:r>
      <w:r w:rsidR="00770B2B" w:rsidRPr="0062340E">
        <w:rPr>
          <w:rFonts w:ascii="Simplified Arabic" w:hAnsi="Simplified Arabic" w:cs="Simplified Arabic" w:hint="cs"/>
          <w:b/>
          <w:bCs/>
          <w:color w:val="000000"/>
          <w:sz w:val="24"/>
          <w:szCs w:val="24"/>
          <w:rtl/>
          <w:lang w:val="en-US"/>
        </w:rPr>
        <w:t xml:space="preserve">الملاحظة، </w:t>
      </w:r>
      <w:r w:rsidR="004B1201" w:rsidRPr="0062340E">
        <w:rPr>
          <w:rFonts w:ascii="Simplified Arabic" w:hAnsi="Simplified Arabic" w:cs="Simplified Arabic"/>
          <w:b/>
          <w:bCs/>
          <w:color w:val="000000"/>
          <w:sz w:val="24"/>
          <w:szCs w:val="24"/>
          <w:rtl/>
          <w:lang w:val="en-US"/>
        </w:rPr>
        <w:t>الصور الفتوغرافية والجوية</w:t>
      </w:r>
      <w:r w:rsidR="004B1201" w:rsidRPr="0062340E">
        <w:rPr>
          <w:rFonts w:ascii="Simplified Arabic" w:hAnsi="Simplified Arabic" w:cs="Simplified Arabic" w:hint="cs"/>
          <w:b/>
          <w:bCs/>
          <w:color w:val="000000"/>
          <w:sz w:val="24"/>
          <w:szCs w:val="24"/>
          <w:rtl/>
          <w:lang w:val="en-US"/>
        </w:rPr>
        <w:t>،</w:t>
      </w:r>
      <w:r w:rsidR="004B1201" w:rsidRPr="0062340E">
        <w:rPr>
          <w:rFonts w:ascii="Simplified Arabic" w:hAnsi="Simplified Arabic" w:cs="Simplified Arabic"/>
          <w:b/>
          <w:bCs/>
          <w:color w:val="000000"/>
          <w:sz w:val="24"/>
          <w:szCs w:val="24"/>
          <w:rtl/>
          <w:lang w:val="en-US"/>
        </w:rPr>
        <w:t xml:space="preserve"> الخرائط والمخططات</w:t>
      </w:r>
      <w:r w:rsidR="0022082E" w:rsidRPr="0062340E">
        <w:rPr>
          <w:rFonts w:ascii="Simplified Arabic" w:hAnsi="Simplified Arabic" w:cs="Simplified Arabic"/>
          <w:b/>
          <w:bCs/>
          <w:color w:val="000000"/>
          <w:sz w:val="24"/>
          <w:szCs w:val="24"/>
          <w:rtl/>
          <w:lang w:val="en-US"/>
        </w:rPr>
        <w:t>:</w:t>
      </w:r>
      <w:r w:rsidR="0022082E" w:rsidRPr="0062340E">
        <w:rPr>
          <w:rFonts w:ascii="Simplified Arabic" w:hAnsi="Simplified Arabic" w:cs="Simplified Arabic"/>
          <w:sz w:val="24"/>
          <w:szCs w:val="24"/>
          <w:rtl/>
        </w:rPr>
        <w:t xml:space="preserve"> </w:t>
      </w:r>
      <w:r w:rsidR="0022082E" w:rsidRPr="0062340E">
        <w:rPr>
          <w:rFonts w:ascii="Simplified Arabic" w:hAnsi="Simplified Arabic" w:cs="Simplified Arabic"/>
          <w:sz w:val="24"/>
          <w:szCs w:val="24"/>
          <w:rtl/>
          <w:lang w:bidi="ar-DZ"/>
        </w:rPr>
        <w:t>تعتبر الملاحظة</w:t>
      </w:r>
      <w:r w:rsidR="005B5CD9" w:rsidRPr="0062340E">
        <w:rPr>
          <w:rFonts w:ascii="Simplified Arabic" w:hAnsi="Simplified Arabic" w:cs="Simplified Arabic" w:hint="cs"/>
          <w:sz w:val="24"/>
          <w:szCs w:val="24"/>
          <w:rtl/>
          <w:lang w:bidi="ar-DZ"/>
        </w:rPr>
        <w:t xml:space="preserve"> الميدانية</w:t>
      </w:r>
      <w:r w:rsidR="00770B2B" w:rsidRPr="0062340E">
        <w:rPr>
          <w:rFonts w:ascii="Simplified Arabic" w:hAnsi="Simplified Arabic" w:cs="Simplified Arabic" w:hint="cs"/>
          <w:sz w:val="24"/>
          <w:szCs w:val="24"/>
          <w:rtl/>
          <w:lang w:bidi="ar-DZ"/>
        </w:rPr>
        <w:t xml:space="preserve">، </w:t>
      </w:r>
      <w:r w:rsidR="004B1201" w:rsidRPr="0062340E">
        <w:rPr>
          <w:rFonts w:ascii="Simplified Arabic" w:hAnsi="Simplified Arabic" w:cs="Simplified Arabic"/>
          <w:sz w:val="24"/>
          <w:szCs w:val="24"/>
          <w:rtl/>
          <w:lang w:bidi="ar-DZ"/>
        </w:rPr>
        <w:t>الصور الفتوغرافية والجوية</w:t>
      </w:r>
      <w:r w:rsidR="00770B2B" w:rsidRPr="0062340E">
        <w:rPr>
          <w:rFonts w:ascii="Simplified Arabic" w:hAnsi="Simplified Arabic" w:cs="Simplified Arabic" w:hint="cs"/>
          <w:sz w:val="24"/>
          <w:szCs w:val="24"/>
          <w:rtl/>
          <w:lang w:bidi="ar-DZ"/>
        </w:rPr>
        <w:t xml:space="preserve">، </w:t>
      </w:r>
      <w:r w:rsidR="004B1201" w:rsidRPr="0062340E">
        <w:rPr>
          <w:rFonts w:ascii="Simplified Arabic" w:hAnsi="Simplified Arabic" w:cs="Simplified Arabic"/>
          <w:sz w:val="24"/>
          <w:szCs w:val="24"/>
          <w:rtl/>
          <w:lang w:bidi="ar-DZ"/>
        </w:rPr>
        <w:t>الخرائط والمخططات</w:t>
      </w:r>
      <w:r w:rsidR="0022082E" w:rsidRPr="0062340E">
        <w:rPr>
          <w:rFonts w:ascii="Simplified Arabic" w:hAnsi="Simplified Arabic" w:cs="Simplified Arabic"/>
          <w:sz w:val="24"/>
          <w:szCs w:val="24"/>
          <w:rtl/>
          <w:lang w:bidi="ar-DZ"/>
        </w:rPr>
        <w:t xml:space="preserve"> من بين </w:t>
      </w:r>
      <w:r w:rsidR="004B1201" w:rsidRPr="0062340E">
        <w:rPr>
          <w:rFonts w:ascii="Simplified Arabic" w:hAnsi="Simplified Arabic" w:cs="Simplified Arabic" w:hint="cs"/>
          <w:sz w:val="24"/>
          <w:szCs w:val="24"/>
          <w:rtl/>
          <w:lang w:bidi="ar-DZ"/>
        </w:rPr>
        <w:t>الوسائل</w:t>
      </w:r>
      <w:r w:rsidR="0022082E" w:rsidRPr="0062340E">
        <w:rPr>
          <w:rFonts w:ascii="Simplified Arabic" w:hAnsi="Simplified Arabic" w:cs="Simplified Arabic"/>
          <w:sz w:val="24"/>
          <w:szCs w:val="24"/>
          <w:rtl/>
          <w:lang w:bidi="ar-DZ"/>
        </w:rPr>
        <w:t xml:space="preserve"> المهمة التي تستخدم في الابحاث الميدانية</w:t>
      </w:r>
      <w:r w:rsidR="002531E0" w:rsidRPr="0062340E">
        <w:rPr>
          <w:rFonts w:ascii="Simplified Arabic" w:hAnsi="Simplified Arabic" w:cs="Simplified Arabic" w:hint="cs"/>
          <w:sz w:val="24"/>
          <w:szCs w:val="24"/>
          <w:rtl/>
          <w:lang w:bidi="ar-DZ"/>
        </w:rPr>
        <w:t xml:space="preserve"> لجمع البيانات</w:t>
      </w:r>
      <w:r w:rsidR="0022082E" w:rsidRPr="0062340E">
        <w:rPr>
          <w:rFonts w:ascii="Simplified Arabic" w:hAnsi="Simplified Arabic" w:cs="Simplified Arabic"/>
          <w:sz w:val="24"/>
          <w:szCs w:val="24"/>
          <w:rtl/>
          <w:lang w:bidi="ar-DZ"/>
        </w:rPr>
        <w:t xml:space="preserve"> </w:t>
      </w:r>
      <w:r w:rsidR="00600B79" w:rsidRPr="0062340E">
        <w:rPr>
          <w:rFonts w:ascii="Simplified Arabic" w:hAnsi="Simplified Arabic" w:cs="Simplified Arabic" w:hint="cs"/>
          <w:sz w:val="24"/>
          <w:szCs w:val="24"/>
          <w:rtl/>
          <w:lang w:bidi="ar-DZ"/>
        </w:rPr>
        <w:t>التي ت</w:t>
      </w:r>
      <w:r w:rsidR="0071331B" w:rsidRPr="0062340E">
        <w:rPr>
          <w:rFonts w:ascii="Simplified Arabic" w:hAnsi="Simplified Arabic" w:cs="Simplified Arabic" w:hint="cs"/>
          <w:sz w:val="24"/>
          <w:szCs w:val="24"/>
          <w:rtl/>
          <w:lang w:bidi="ar-DZ"/>
        </w:rPr>
        <w:t>ساعد</w:t>
      </w:r>
      <w:r w:rsidR="00600B79" w:rsidRPr="0062340E">
        <w:rPr>
          <w:rFonts w:ascii="Simplified Arabic" w:hAnsi="Simplified Arabic" w:cs="Simplified Arabic"/>
          <w:sz w:val="24"/>
          <w:szCs w:val="24"/>
          <w:rtl/>
          <w:lang w:bidi="ar-DZ"/>
        </w:rPr>
        <w:t xml:space="preserve"> على فهم الظاهرة الحضرية</w:t>
      </w:r>
      <w:r w:rsidR="00600B79" w:rsidRPr="0062340E">
        <w:rPr>
          <w:rFonts w:ascii="Simplified Arabic" w:hAnsi="Simplified Arabic" w:cs="Simplified Arabic" w:hint="cs"/>
          <w:sz w:val="24"/>
          <w:szCs w:val="24"/>
          <w:rtl/>
          <w:lang w:bidi="ar-DZ"/>
        </w:rPr>
        <w:t>، كظاهرة مواجهة الاضطرابات اثناء الفيضانات الحضرية</w:t>
      </w:r>
      <w:r w:rsidR="0022082E" w:rsidRPr="0062340E">
        <w:rPr>
          <w:rFonts w:ascii="Simplified Arabic" w:hAnsi="Simplified Arabic" w:cs="Simplified Arabic"/>
          <w:sz w:val="24"/>
          <w:szCs w:val="24"/>
          <w:rtl/>
          <w:lang w:bidi="ar-DZ"/>
        </w:rPr>
        <w:t>.</w:t>
      </w:r>
      <w:bookmarkEnd w:id="45"/>
      <w:r w:rsidR="0022082E" w:rsidRPr="0062340E">
        <w:rPr>
          <w:rFonts w:ascii="Simplified Arabic" w:hAnsi="Simplified Arabic" w:cs="Simplified Arabic"/>
          <w:sz w:val="24"/>
          <w:szCs w:val="24"/>
          <w:rtl/>
          <w:lang w:bidi="ar-DZ"/>
        </w:rPr>
        <w:t xml:space="preserve"> </w:t>
      </w:r>
    </w:p>
    <w:p w:rsidR="00B66811" w:rsidRDefault="004226D5" w:rsidP="006D22A4">
      <w:pPr>
        <w:pStyle w:val="Paragraphedeliste"/>
        <w:numPr>
          <w:ilvl w:val="2"/>
          <w:numId w:val="97"/>
        </w:numPr>
        <w:tabs>
          <w:tab w:val="right" w:pos="850"/>
        </w:tabs>
        <w:autoSpaceDE w:val="0"/>
        <w:autoSpaceDN w:val="0"/>
        <w:bidi/>
        <w:adjustRightInd w:val="0"/>
        <w:spacing w:after="0"/>
        <w:ind w:left="0" w:firstLine="0"/>
        <w:jc w:val="both"/>
        <w:outlineLvl w:val="2"/>
        <w:rPr>
          <w:rFonts w:ascii="Simplified Arabic" w:hAnsi="Simplified Arabic" w:cs="Simplified Arabic"/>
          <w:sz w:val="24"/>
          <w:szCs w:val="24"/>
          <w:lang w:bidi="ar-DZ"/>
        </w:rPr>
      </w:pPr>
      <w:bookmarkStart w:id="46" w:name="_Toc171803302"/>
      <w:r w:rsidRPr="0062340E">
        <w:rPr>
          <w:rFonts w:ascii="Simplified Arabic" w:hAnsi="Simplified Arabic" w:cs="Simplified Arabic" w:hint="cs"/>
          <w:b/>
          <w:bCs/>
          <w:color w:val="000000"/>
          <w:sz w:val="24"/>
          <w:szCs w:val="24"/>
          <w:rtl/>
          <w:lang w:val="en-US"/>
        </w:rPr>
        <w:t>تقني</w:t>
      </w:r>
      <w:r w:rsidR="00600B79" w:rsidRPr="0062340E">
        <w:rPr>
          <w:rFonts w:ascii="Simplified Arabic" w:hAnsi="Simplified Arabic" w:cs="Simplified Arabic" w:hint="cs"/>
          <w:b/>
          <w:bCs/>
          <w:color w:val="000000"/>
          <w:sz w:val="24"/>
          <w:szCs w:val="24"/>
          <w:rtl/>
          <w:lang w:val="en-US"/>
        </w:rPr>
        <w:t>ة</w:t>
      </w:r>
      <w:r w:rsidRPr="0062340E">
        <w:rPr>
          <w:rFonts w:ascii="Simplified Arabic" w:hAnsi="Simplified Arabic" w:cs="Simplified Arabic" w:hint="cs"/>
          <w:b/>
          <w:bCs/>
          <w:color w:val="000000"/>
          <w:sz w:val="24"/>
          <w:szCs w:val="24"/>
          <w:rtl/>
          <w:lang w:val="en-US"/>
        </w:rPr>
        <w:t xml:space="preserve"> نظم المعلومات الجغرافية</w:t>
      </w:r>
      <w:r w:rsidRPr="0062340E">
        <w:rPr>
          <w:rFonts w:ascii="Simplified Arabic" w:hAnsi="Simplified Arabic" w:cs="Simplified Arabic" w:hint="cs"/>
          <w:sz w:val="24"/>
          <w:szCs w:val="24"/>
          <w:rtl/>
        </w:rPr>
        <w:t xml:space="preserve"> </w:t>
      </w:r>
      <w:r w:rsidRPr="0062340E">
        <w:rPr>
          <w:rFonts w:asciiTheme="majorBidi" w:hAnsiTheme="majorBidi" w:cstheme="majorBidi"/>
          <w:b/>
          <w:bCs/>
          <w:sz w:val="24"/>
          <w:szCs w:val="24"/>
        </w:rPr>
        <w:t>(Gis)</w:t>
      </w:r>
      <w:r w:rsidR="0022082E" w:rsidRPr="0062340E">
        <w:rPr>
          <w:rFonts w:ascii="Simplified Arabic" w:hAnsi="Simplified Arabic" w:cs="Simplified Arabic"/>
          <w:sz w:val="24"/>
          <w:szCs w:val="24"/>
          <w:rtl/>
          <w:lang w:bidi="ar-DZ"/>
        </w:rPr>
        <w:t xml:space="preserve">: تم الاستعانة </w:t>
      </w:r>
      <w:r w:rsidRPr="0062340E">
        <w:rPr>
          <w:rFonts w:ascii="Simplified Arabic" w:hAnsi="Simplified Arabic" w:cs="Simplified Arabic" w:hint="cs"/>
          <w:sz w:val="24"/>
          <w:szCs w:val="24"/>
          <w:rtl/>
          <w:lang w:bidi="ar-DZ"/>
        </w:rPr>
        <w:t>بتقنيات</w:t>
      </w:r>
      <w:r w:rsidRPr="0062340E">
        <w:rPr>
          <w:rFonts w:asciiTheme="majorBidi" w:hAnsiTheme="majorBidi" w:cstheme="majorBidi" w:hint="cs"/>
          <w:b/>
          <w:bCs/>
          <w:sz w:val="24"/>
          <w:szCs w:val="24"/>
          <w:rtl/>
        </w:rPr>
        <w:t xml:space="preserve"> </w:t>
      </w:r>
      <w:r w:rsidRPr="0062340E">
        <w:rPr>
          <w:rFonts w:asciiTheme="majorBidi" w:hAnsiTheme="majorBidi" w:cstheme="majorBidi"/>
          <w:sz w:val="24"/>
          <w:szCs w:val="24"/>
        </w:rPr>
        <w:t>(Gis)</w:t>
      </w:r>
      <w:r w:rsidRPr="0062340E">
        <w:rPr>
          <w:rFonts w:asciiTheme="majorBidi" w:hAnsiTheme="majorBidi" w:cstheme="majorBidi" w:hint="cs"/>
          <w:b/>
          <w:bCs/>
          <w:sz w:val="24"/>
          <w:szCs w:val="24"/>
          <w:rtl/>
        </w:rPr>
        <w:t xml:space="preserve"> </w:t>
      </w:r>
      <w:r w:rsidRPr="0062340E">
        <w:rPr>
          <w:rFonts w:ascii="Simplified Arabic" w:hAnsi="Simplified Arabic" w:cs="Simplified Arabic" w:hint="cs"/>
          <w:sz w:val="24"/>
          <w:szCs w:val="24"/>
          <w:rtl/>
          <w:lang w:bidi="ar-DZ"/>
        </w:rPr>
        <w:t xml:space="preserve">من خلال </w:t>
      </w:r>
      <w:r w:rsidR="00DC064A" w:rsidRPr="0062340E">
        <w:rPr>
          <w:rFonts w:ascii="Simplified Arabic" w:hAnsi="Simplified Arabic" w:cs="Simplified Arabic"/>
          <w:sz w:val="24"/>
          <w:szCs w:val="24"/>
          <w:rtl/>
          <w:lang w:bidi="ar-DZ"/>
        </w:rPr>
        <w:t>بر</w:t>
      </w:r>
      <w:r w:rsidR="005A61BF" w:rsidRPr="0062340E">
        <w:rPr>
          <w:rFonts w:ascii="Simplified Arabic" w:hAnsi="Simplified Arabic" w:cs="Simplified Arabic" w:hint="cs"/>
          <w:sz w:val="24"/>
          <w:szCs w:val="24"/>
          <w:rtl/>
          <w:lang w:bidi="ar-DZ"/>
        </w:rPr>
        <w:t>ن</w:t>
      </w:r>
      <w:r w:rsidR="00DC064A" w:rsidRPr="0062340E">
        <w:rPr>
          <w:rFonts w:ascii="Simplified Arabic" w:hAnsi="Simplified Arabic" w:cs="Simplified Arabic"/>
          <w:sz w:val="24"/>
          <w:szCs w:val="24"/>
          <w:rtl/>
          <w:lang w:bidi="ar-DZ"/>
        </w:rPr>
        <w:t xml:space="preserve">امج </w:t>
      </w:r>
      <w:r w:rsidR="005A61BF" w:rsidRPr="0062340E">
        <w:rPr>
          <w:rFonts w:asciiTheme="majorBidi" w:hAnsiTheme="majorBidi" w:cstheme="majorBidi" w:hint="cs"/>
          <w:sz w:val="24"/>
          <w:szCs w:val="24"/>
          <w:rtl/>
        </w:rPr>
        <w:t>(</w:t>
      </w:r>
      <w:r w:rsidR="005A61BF" w:rsidRPr="0062340E">
        <w:rPr>
          <w:rFonts w:asciiTheme="majorBidi" w:hAnsiTheme="majorBidi" w:cstheme="majorBidi"/>
          <w:sz w:val="24"/>
          <w:szCs w:val="24"/>
        </w:rPr>
        <w:t>Arc GIS 10.3</w:t>
      </w:r>
      <w:r w:rsidR="005A61BF" w:rsidRPr="0062340E">
        <w:rPr>
          <w:rFonts w:asciiTheme="majorBidi" w:hAnsiTheme="majorBidi" w:cstheme="majorBidi" w:hint="cs"/>
          <w:sz w:val="24"/>
          <w:szCs w:val="24"/>
          <w:rtl/>
        </w:rPr>
        <w:t>)</w:t>
      </w:r>
      <w:r w:rsidR="002C7B56" w:rsidRPr="0062340E">
        <w:rPr>
          <w:rFonts w:ascii="Simplified Arabic" w:hAnsi="Simplified Arabic" w:cs="Simplified Arabic" w:hint="cs"/>
          <w:sz w:val="24"/>
          <w:szCs w:val="24"/>
          <w:rtl/>
          <w:lang w:bidi="ar-DZ"/>
        </w:rPr>
        <w:t>،</w:t>
      </w:r>
      <w:r w:rsidR="00B364CE" w:rsidRPr="0062340E">
        <w:rPr>
          <w:rFonts w:ascii="Simplified Arabic" w:hAnsi="Simplified Arabic" w:cs="Simplified Arabic" w:hint="cs"/>
          <w:sz w:val="24"/>
          <w:szCs w:val="24"/>
          <w:rtl/>
          <w:lang w:bidi="ar-DZ"/>
        </w:rPr>
        <w:t xml:space="preserve"> </w:t>
      </w:r>
      <w:r w:rsidR="009B3FCC" w:rsidRPr="0062340E">
        <w:rPr>
          <w:rFonts w:ascii="Simplified Arabic" w:hAnsi="Simplified Arabic" w:cs="Simplified Arabic" w:hint="cs"/>
          <w:sz w:val="24"/>
          <w:szCs w:val="24"/>
          <w:rtl/>
          <w:lang w:bidi="ar-DZ"/>
        </w:rPr>
        <w:t>يعتبر</w:t>
      </w:r>
      <w:r w:rsidR="005A61BF" w:rsidRPr="0062340E">
        <w:rPr>
          <w:rFonts w:ascii="Simplified Arabic" w:hAnsi="Simplified Arabic" w:cs="Simplified Arabic"/>
          <w:sz w:val="24"/>
          <w:szCs w:val="24"/>
          <w:lang w:bidi="ar-DZ"/>
        </w:rPr>
        <w:t xml:space="preserve"> </w:t>
      </w:r>
      <w:r w:rsidR="005A61BF" w:rsidRPr="0062340E">
        <w:rPr>
          <w:rFonts w:ascii="Simplified Arabic" w:hAnsi="Simplified Arabic" w:cs="Simplified Arabic"/>
          <w:sz w:val="24"/>
          <w:szCs w:val="24"/>
          <w:rtl/>
          <w:lang w:bidi="ar-DZ"/>
        </w:rPr>
        <w:t>نظام</w:t>
      </w:r>
      <w:r w:rsidR="005A61BF" w:rsidRPr="0062340E">
        <w:rPr>
          <w:rFonts w:ascii="Simplified Arabic" w:hAnsi="Simplified Arabic" w:cs="Simplified Arabic"/>
          <w:sz w:val="24"/>
          <w:szCs w:val="24"/>
          <w:lang w:bidi="ar-DZ"/>
        </w:rPr>
        <w:t xml:space="preserve"> </w:t>
      </w:r>
      <w:r w:rsidR="008D756F" w:rsidRPr="0062340E">
        <w:rPr>
          <w:rFonts w:ascii="Simplified Arabic" w:hAnsi="Simplified Arabic" w:cs="Simplified Arabic" w:hint="cs"/>
          <w:sz w:val="24"/>
          <w:szCs w:val="24"/>
          <w:rtl/>
          <w:lang w:bidi="ar-DZ"/>
        </w:rPr>
        <w:t>معلومات</w:t>
      </w:r>
      <w:r w:rsidR="005A61BF" w:rsidRPr="0062340E">
        <w:rPr>
          <w:rFonts w:ascii="Simplified Arabic" w:hAnsi="Simplified Arabic" w:cs="Simplified Arabic"/>
          <w:sz w:val="24"/>
          <w:szCs w:val="24"/>
          <w:rtl/>
          <w:lang w:bidi="ar-DZ"/>
        </w:rPr>
        <w:t xml:space="preserve"> </w:t>
      </w:r>
      <w:r w:rsidR="008D756F" w:rsidRPr="0062340E">
        <w:rPr>
          <w:rFonts w:ascii="Simplified Arabic" w:hAnsi="Simplified Arabic" w:cs="Simplified Arabic" w:hint="cs"/>
          <w:sz w:val="24"/>
          <w:szCs w:val="24"/>
          <w:rtl/>
          <w:lang w:bidi="ar-DZ"/>
        </w:rPr>
        <w:t>مكتبي يسمح بتو</w:t>
      </w:r>
      <w:r w:rsidR="00DC064A" w:rsidRPr="0062340E">
        <w:rPr>
          <w:rFonts w:ascii="Simplified Arabic" w:hAnsi="Simplified Arabic" w:cs="Simplified Arabic" w:hint="cs"/>
          <w:sz w:val="24"/>
          <w:szCs w:val="24"/>
          <w:rtl/>
          <w:lang w:bidi="ar-DZ"/>
        </w:rPr>
        <w:t xml:space="preserve">ظيف </w:t>
      </w:r>
      <w:r w:rsidR="0022082E" w:rsidRPr="0062340E">
        <w:rPr>
          <w:rFonts w:ascii="Simplified Arabic" w:hAnsi="Simplified Arabic" w:cs="Simplified Arabic"/>
          <w:sz w:val="24"/>
          <w:szCs w:val="24"/>
          <w:rtl/>
          <w:lang w:bidi="ar-DZ"/>
        </w:rPr>
        <w:t>الصور الفتوغرافية والجوية و الخرائط والمخططات</w:t>
      </w:r>
      <w:r w:rsidR="00F80994" w:rsidRPr="0062340E">
        <w:rPr>
          <w:rFonts w:ascii="Simplified Arabic" w:hAnsi="Simplified Arabic" w:cs="Simplified Arabic" w:hint="cs"/>
          <w:sz w:val="24"/>
          <w:szCs w:val="24"/>
          <w:rtl/>
          <w:lang w:bidi="ar-DZ"/>
        </w:rPr>
        <w:t xml:space="preserve"> في تحليل </w:t>
      </w:r>
      <w:r w:rsidR="00DF61CD" w:rsidRPr="0062340E">
        <w:rPr>
          <w:rFonts w:ascii="Simplified Arabic" w:hAnsi="Simplified Arabic" w:cs="Simplified Arabic" w:hint="cs"/>
          <w:sz w:val="24"/>
          <w:szCs w:val="24"/>
          <w:rtl/>
          <w:lang w:bidi="ar-DZ"/>
        </w:rPr>
        <w:t xml:space="preserve">ظاهرة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الاراضي الحضرية</w:t>
      </w:r>
      <w:r w:rsidR="00C671BC" w:rsidRPr="0062340E">
        <w:rPr>
          <w:rFonts w:ascii="Simplified Arabic" w:hAnsi="Simplified Arabic" w:cs="Simplified Arabic" w:hint="cs"/>
          <w:sz w:val="24"/>
          <w:szCs w:val="24"/>
          <w:rtl/>
          <w:lang w:bidi="ar-DZ"/>
        </w:rPr>
        <w:t xml:space="preserve"> وللكشف عن خصائص التوزيع المكاني المسبق </w:t>
      </w:r>
      <w:r w:rsidR="00600B79" w:rsidRPr="0062340E">
        <w:rPr>
          <w:rFonts w:ascii="Simplified Arabic" w:hAnsi="Simplified Arabic" w:cs="Simplified Arabic" w:hint="cs"/>
          <w:sz w:val="24"/>
          <w:szCs w:val="24"/>
          <w:rtl/>
          <w:lang w:bidi="ar-DZ"/>
        </w:rPr>
        <w:t xml:space="preserve">من حيث </w:t>
      </w:r>
      <w:r w:rsidR="00C671BC" w:rsidRPr="0062340E">
        <w:rPr>
          <w:rFonts w:ascii="Simplified Arabic" w:hAnsi="Simplified Arabic" w:cs="Simplified Arabic" w:hint="cs"/>
          <w:sz w:val="24"/>
          <w:szCs w:val="24"/>
          <w:rtl/>
          <w:lang w:bidi="ar-DZ"/>
        </w:rPr>
        <w:t xml:space="preserve">(الكثافة، التنوع، </w:t>
      </w:r>
      <w:r w:rsidR="00710CDE" w:rsidRPr="0062340E">
        <w:rPr>
          <w:rFonts w:ascii="Simplified Arabic" w:hAnsi="Simplified Arabic" w:cs="Simplified Arabic" w:hint="cs"/>
          <w:sz w:val="24"/>
          <w:szCs w:val="24"/>
          <w:rtl/>
          <w:lang w:bidi="ar-DZ"/>
        </w:rPr>
        <w:t>الاتصال</w:t>
      </w:r>
      <w:r w:rsidR="00E43558">
        <w:rPr>
          <w:rFonts w:ascii="Simplified Arabic" w:hAnsi="Simplified Arabic" w:cs="Simplified Arabic" w:hint="cs"/>
          <w:sz w:val="24"/>
          <w:szCs w:val="24"/>
          <w:rtl/>
          <w:lang w:bidi="ar-DZ"/>
        </w:rPr>
        <w:t>ية</w:t>
      </w:r>
      <w:r w:rsidR="00710CDE" w:rsidRPr="0062340E">
        <w:rPr>
          <w:rFonts w:ascii="Simplified Arabic" w:hAnsi="Simplified Arabic" w:cs="Simplified Arabic" w:hint="cs"/>
          <w:sz w:val="24"/>
          <w:szCs w:val="24"/>
          <w:rtl/>
          <w:lang w:bidi="ar-DZ"/>
        </w:rPr>
        <w:t xml:space="preserve"> و</w:t>
      </w:r>
      <w:r w:rsidR="00934369" w:rsidRPr="0062340E">
        <w:rPr>
          <w:rFonts w:ascii="Simplified Arabic" w:hAnsi="Simplified Arabic" w:cs="Simplified Arabic" w:hint="cs"/>
          <w:sz w:val="24"/>
          <w:szCs w:val="24"/>
          <w:rtl/>
          <w:lang w:bidi="ar-DZ"/>
        </w:rPr>
        <w:t>التكرار</w:t>
      </w:r>
      <w:r w:rsidR="00C671BC" w:rsidRPr="0062340E">
        <w:rPr>
          <w:rFonts w:ascii="Simplified Arabic" w:hAnsi="Simplified Arabic" w:cs="Simplified Arabic" w:hint="cs"/>
          <w:sz w:val="24"/>
          <w:szCs w:val="24"/>
          <w:rtl/>
          <w:lang w:bidi="ar-DZ"/>
        </w:rPr>
        <w:t>)</w:t>
      </w:r>
      <w:r w:rsidR="0022082E" w:rsidRPr="0062340E">
        <w:rPr>
          <w:rFonts w:ascii="Simplified Arabic" w:hAnsi="Simplified Arabic" w:cs="Simplified Arabic" w:hint="cs"/>
          <w:sz w:val="24"/>
          <w:szCs w:val="24"/>
          <w:rtl/>
          <w:lang w:bidi="ar-DZ"/>
        </w:rPr>
        <w:t>.</w:t>
      </w:r>
      <w:r w:rsidR="00B66811" w:rsidRPr="0062340E">
        <w:rPr>
          <w:rFonts w:ascii="Simplified Arabic" w:hAnsi="Simplified Arabic" w:cs="Simplified Arabic"/>
          <w:sz w:val="24"/>
          <w:szCs w:val="24"/>
          <w:lang w:bidi="ar-DZ"/>
        </w:rPr>
        <w:t xml:space="preserve"> </w:t>
      </w:r>
      <w:r w:rsidRPr="0062340E">
        <w:rPr>
          <w:rFonts w:ascii="Simplified Arabic" w:hAnsi="Simplified Arabic" w:cs="Simplified Arabic" w:hint="cs"/>
          <w:sz w:val="24"/>
          <w:szCs w:val="24"/>
          <w:rtl/>
          <w:lang w:bidi="ar-DZ"/>
        </w:rPr>
        <w:t xml:space="preserve">اضافة الى استعمال </w:t>
      </w:r>
      <w:r w:rsidRPr="0062340E">
        <w:rPr>
          <w:rFonts w:ascii="Simplified Arabic" w:hAnsi="Simplified Arabic" w:cs="Simplified Arabic"/>
          <w:sz w:val="24"/>
          <w:szCs w:val="24"/>
          <w:rtl/>
          <w:lang w:bidi="ar-DZ"/>
        </w:rPr>
        <w:t xml:space="preserve">وسائل </w:t>
      </w:r>
      <w:r w:rsidRPr="0062340E">
        <w:rPr>
          <w:rFonts w:ascii="Simplified Arabic" w:hAnsi="Simplified Arabic" w:cs="Simplified Arabic" w:hint="cs"/>
          <w:sz w:val="24"/>
          <w:szCs w:val="24"/>
          <w:rtl/>
          <w:lang w:bidi="ar-DZ"/>
        </w:rPr>
        <w:t>الاعلام الآلي الاخرى (أكسيل2010</w:t>
      </w:r>
      <w:r w:rsidRPr="0062340E">
        <w:rPr>
          <w:rFonts w:asciiTheme="majorBidi" w:hAnsiTheme="majorBidi" w:cstheme="majorBidi"/>
          <w:sz w:val="24"/>
          <w:szCs w:val="24"/>
          <w:lang w:bidi="ar-DZ"/>
        </w:rPr>
        <w:t>Excel</w:t>
      </w:r>
      <w:r w:rsidRPr="0062340E">
        <w:rPr>
          <w:rFonts w:ascii="Simplified Arabic" w:hAnsi="Simplified Arabic" w:cs="Simplified Arabic" w:hint="cs"/>
          <w:sz w:val="24"/>
          <w:szCs w:val="24"/>
          <w:rtl/>
          <w:lang w:bidi="ar-DZ"/>
        </w:rPr>
        <w:t>) للحصول على نتائج التقييم الكمي والتحليل الاحصائي</w:t>
      </w:r>
      <w:r w:rsidR="005C13A2" w:rsidRPr="0062340E">
        <w:rPr>
          <w:rFonts w:ascii="Simplified Arabic" w:hAnsi="Simplified Arabic" w:cs="Simplified Arabic" w:hint="cs"/>
          <w:sz w:val="24"/>
          <w:szCs w:val="24"/>
          <w:rtl/>
          <w:lang w:bidi="ar-DZ"/>
        </w:rPr>
        <w:t xml:space="preserve"> التي تلخصها الجداول والمنحنيات.</w:t>
      </w:r>
      <w:bookmarkEnd w:id="46"/>
    </w:p>
    <w:p w:rsidR="0062340E" w:rsidRPr="0062340E" w:rsidRDefault="0062340E" w:rsidP="0062340E">
      <w:pPr>
        <w:pStyle w:val="Paragraphedeliste"/>
        <w:tabs>
          <w:tab w:val="right" w:pos="850"/>
        </w:tabs>
        <w:autoSpaceDE w:val="0"/>
        <w:autoSpaceDN w:val="0"/>
        <w:bidi/>
        <w:adjustRightInd w:val="0"/>
        <w:spacing w:after="0"/>
        <w:ind w:left="0"/>
        <w:jc w:val="both"/>
        <w:outlineLvl w:val="2"/>
        <w:rPr>
          <w:rFonts w:ascii="Simplified Arabic" w:hAnsi="Simplified Arabic" w:cs="Simplified Arabic"/>
          <w:sz w:val="24"/>
          <w:szCs w:val="24"/>
          <w:lang w:bidi="ar-DZ"/>
        </w:rPr>
      </w:pPr>
    </w:p>
    <w:p w:rsidR="0022082E" w:rsidRPr="0062340E" w:rsidRDefault="00600B79" w:rsidP="001D0548">
      <w:pPr>
        <w:pStyle w:val="Paragraphedeliste"/>
        <w:numPr>
          <w:ilvl w:val="0"/>
          <w:numId w:val="85"/>
        </w:numPr>
        <w:tabs>
          <w:tab w:val="right" w:pos="567"/>
        </w:tabs>
        <w:bidi/>
        <w:spacing w:before="240" w:after="0"/>
        <w:ind w:left="0" w:firstLine="0"/>
        <w:outlineLvl w:val="0"/>
        <w:rPr>
          <w:rFonts w:ascii="Simplified Arabic" w:hAnsi="Simplified Arabic" w:cs="Simplified Arabic"/>
          <w:b/>
          <w:bCs/>
          <w:sz w:val="24"/>
          <w:szCs w:val="24"/>
          <w:lang w:val="en-US"/>
        </w:rPr>
      </w:pPr>
      <w:bookmarkStart w:id="47" w:name="_Toc171803303"/>
      <w:r w:rsidRPr="0062340E">
        <w:rPr>
          <w:rFonts w:ascii="Simplified Arabic" w:hAnsi="Simplified Arabic" w:cs="Simplified Arabic" w:hint="cs"/>
          <w:b/>
          <w:bCs/>
          <w:sz w:val="24"/>
          <w:szCs w:val="24"/>
          <w:rtl/>
          <w:lang w:val="en-US"/>
        </w:rPr>
        <w:t>تنظيم</w:t>
      </w:r>
      <w:r w:rsidR="0022082E" w:rsidRPr="0062340E">
        <w:rPr>
          <w:rFonts w:ascii="Simplified Arabic" w:hAnsi="Simplified Arabic" w:cs="Simplified Arabic"/>
          <w:b/>
          <w:bCs/>
          <w:sz w:val="24"/>
          <w:szCs w:val="24"/>
          <w:rtl/>
          <w:lang w:val="en-US"/>
        </w:rPr>
        <w:t xml:space="preserve"> الأطروحة</w:t>
      </w:r>
      <w:bookmarkEnd w:id="47"/>
    </w:p>
    <w:p w:rsidR="0022082E" w:rsidRPr="0062340E" w:rsidRDefault="0022082E" w:rsidP="00206E75">
      <w:pPr>
        <w:tabs>
          <w:tab w:val="right" w:pos="281"/>
          <w:tab w:val="right" w:pos="423"/>
        </w:tabs>
        <w:bidi/>
        <w:spacing w:after="0"/>
        <w:ind w:firstLine="282"/>
        <w:jc w:val="both"/>
        <w:rPr>
          <w:rFonts w:ascii="Simplified Arabic" w:hAnsi="Simplified Arabic" w:cs="Simplified Arabic"/>
          <w:sz w:val="24"/>
          <w:szCs w:val="24"/>
          <w:rtl/>
          <w:lang w:val="en-US"/>
        </w:rPr>
      </w:pPr>
      <w:r w:rsidRPr="0062340E">
        <w:rPr>
          <w:rFonts w:ascii="Simplified Arabic" w:hAnsi="Simplified Arabic" w:cs="Simplified Arabic"/>
          <w:sz w:val="24"/>
          <w:szCs w:val="24"/>
          <w:rtl/>
          <w:lang w:val="en-US"/>
        </w:rPr>
        <w:t xml:space="preserve">تتكون الأطروحة من </w:t>
      </w:r>
      <w:r w:rsidR="009F41B7" w:rsidRPr="0062340E">
        <w:rPr>
          <w:rFonts w:ascii="Simplified Arabic" w:hAnsi="Simplified Arabic" w:cs="Simplified Arabic" w:hint="cs"/>
          <w:sz w:val="24"/>
          <w:szCs w:val="24"/>
          <w:rtl/>
          <w:lang w:val="en-US"/>
        </w:rPr>
        <w:t>ثلاثة اجزاء رئيسية، الجزء</w:t>
      </w:r>
      <w:r w:rsidR="009242DA" w:rsidRPr="0062340E">
        <w:rPr>
          <w:rFonts w:ascii="Simplified Arabic" w:hAnsi="Simplified Arabic" w:cs="Simplified Arabic" w:hint="cs"/>
          <w:sz w:val="24"/>
          <w:szCs w:val="24"/>
          <w:rtl/>
          <w:lang w:val="en-US"/>
        </w:rPr>
        <w:t xml:space="preserve"> </w:t>
      </w:r>
      <w:r w:rsidR="009F41B7" w:rsidRPr="0062340E">
        <w:rPr>
          <w:rFonts w:ascii="Simplified Arabic" w:hAnsi="Simplified Arabic" w:cs="Simplified Arabic" w:hint="cs"/>
          <w:sz w:val="24"/>
          <w:szCs w:val="24"/>
          <w:rtl/>
          <w:lang w:val="en-US"/>
        </w:rPr>
        <w:t xml:space="preserve">الاول </w:t>
      </w:r>
      <w:r w:rsidR="009242DA" w:rsidRPr="0062340E">
        <w:rPr>
          <w:rFonts w:ascii="Simplified Arabic" w:hAnsi="Simplified Arabic" w:cs="Simplified Arabic" w:hint="cs"/>
          <w:sz w:val="24"/>
          <w:szCs w:val="24"/>
          <w:rtl/>
          <w:lang w:val="en-US"/>
        </w:rPr>
        <w:t xml:space="preserve">بعنوان </w:t>
      </w:r>
      <w:r w:rsidR="009F41B7" w:rsidRPr="0062340E">
        <w:rPr>
          <w:rFonts w:ascii="Simplified Arabic" w:hAnsi="Simplified Arabic" w:cs="Simplified Arabic" w:hint="cs"/>
          <w:sz w:val="24"/>
          <w:szCs w:val="24"/>
          <w:rtl/>
          <w:lang w:val="en-US"/>
        </w:rPr>
        <w:t xml:space="preserve">الاطار العام </w:t>
      </w:r>
      <w:r w:rsidR="00206E75" w:rsidRPr="0062340E">
        <w:rPr>
          <w:rFonts w:ascii="Simplified Arabic" w:hAnsi="Simplified Arabic" w:cs="Simplified Arabic" w:hint="cs"/>
          <w:sz w:val="24"/>
          <w:szCs w:val="24"/>
          <w:rtl/>
          <w:lang w:val="en-US"/>
        </w:rPr>
        <w:t>للبحث</w:t>
      </w:r>
      <w:r w:rsidR="009F41B7" w:rsidRPr="0062340E">
        <w:rPr>
          <w:rFonts w:ascii="Simplified Arabic" w:hAnsi="Simplified Arabic" w:cs="Simplified Arabic" w:hint="cs"/>
          <w:sz w:val="24"/>
          <w:szCs w:val="24"/>
          <w:rtl/>
          <w:lang w:val="en-US"/>
        </w:rPr>
        <w:t xml:space="preserve"> ويضم الفصل التمهيدي فقط، بينما  </w:t>
      </w:r>
      <w:r w:rsidR="009242DA" w:rsidRPr="0062340E">
        <w:rPr>
          <w:rFonts w:ascii="Simplified Arabic" w:hAnsi="Simplified Arabic" w:cs="Simplified Arabic" w:hint="cs"/>
          <w:sz w:val="24"/>
          <w:szCs w:val="24"/>
          <w:rtl/>
          <w:lang w:val="en-US"/>
        </w:rPr>
        <w:t xml:space="preserve">يضم </w:t>
      </w:r>
      <w:r w:rsidR="009F41B7" w:rsidRPr="0062340E">
        <w:rPr>
          <w:rFonts w:ascii="Simplified Arabic" w:hAnsi="Simplified Arabic" w:cs="Simplified Arabic" w:hint="cs"/>
          <w:sz w:val="24"/>
          <w:szCs w:val="24"/>
          <w:rtl/>
          <w:lang w:val="en-US"/>
        </w:rPr>
        <w:t xml:space="preserve">الجزء الثاني والثالث ثلاثة فصول </w:t>
      </w:r>
      <w:r w:rsidR="009242DA" w:rsidRPr="0062340E">
        <w:rPr>
          <w:rFonts w:ascii="Simplified Arabic" w:hAnsi="Simplified Arabic" w:cs="Simplified Arabic" w:hint="cs"/>
          <w:sz w:val="24"/>
          <w:szCs w:val="24"/>
          <w:rtl/>
          <w:lang w:val="en-US"/>
        </w:rPr>
        <w:t>لكل منهما</w:t>
      </w:r>
      <w:r w:rsidRPr="0062340E">
        <w:rPr>
          <w:rFonts w:ascii="Simplified Arabic" w:hAnsi="Simplified Arabic" w:cs="Simplified Arabic"/>
          <w:sz w:val="24"/>
          <w:szCs w:val="24"/>
          <w:rtl/>
          <w:lang w:val="en-US"/>
        </w:rPr>
        <w:t xml:space="preserve">، يتعامل كل </w:t>
      </w:r>
      <w:r w:rsidR="009242DA" w:rsidRPr="0062340E">
        <w:rPr>
          <w:rFonts w:ascii="Simplified Arabic" w:hAnsi="Simplified Arabic" w:cs="Simplified Arabic" w:hint="cs"/>
          <w:sz w:val="24"/>
          <w:szCs w:val="24"/>
          <w:rtl/>
          <w:lang w:val="en-US"/>
        </w:rPr>
        <w:t>فصل</w:t>
      </w:r>
      <w:r w:rsidRPr="0062340E">
        <w:rPr>
          <w:rFonts w:ascii="Simplified Arabic" w:hAnsi="Simplified Arabic" w:cs="Simplified Arabic"/>
          <w:sz w:val="24"/>
          <w:szCs w:val="24"/>
          <w:rtl/>
          <w:lang w:val="en-US"/>
        </w:rPr>
        <w:t xml:space="preserve"> مع </w:t>
      </w:r>
      <w:r w:rsidR="009242DA" w:rsidRPr="0062340E">
        <w:rPr>
          <w:rFonts w:ascii="Simplified Arabic" w:hAnsi="Simplified Arabic" w:cs="Simplified Arabic" w:hint="cs"/>
          <w:sz w:val="24"/>
          <w:szCs w:val="24"/>
          <w:rtl/>
          <w:lang w:val="en-US"/>
        </w:rPr>
        <w:t>زاوية</w:t>
      </w:r>
      <w:r w:rsidRPr="0062340E">
        <w:rPr>
          <w:rFonts w:ascii="Simplified Arabic" w:hAnsi="Simplified Arabic" w:cs="Simplified Arabic"/>
          <w:sz w:val="24"/>
          <w:szCs w:val="24"/>
          <w:rtl/>
          <w:lang w:val="en-US"/>
        </w:rPr>
        <w:t xml:space="preserve"> معين</w:t>
      </w:r>
      <w:r w:rsidR="009242DA" w:rsidRPr="0062340E">
        <w:rPr>
          <w:rFonts w:ascii="Simplified Arabic" w:hAnsi="Simplified Arabic" w:cs="Simplified Arabic" w:hint="cs"/>
          <w:sz w:val="24"/>
          <w:szCs w:val="24"/>
          <w:rtl/>
          <w:lang w:val="en-US"/>
        </w:rPr>
        <w:t>ة</w:t>
      </w:r>
      <w:r w:rsidRPr="0062340E">
        <w:rPr>
          <w:rFonts w:ascii="Simplified Arabic" w:hAnsi="Simplified Arabic" w:cs="Simplified Arabic"/>
          <w:sz w:val="24"/>
          <w:szCs w:val="24"/>
          <w:rtl/>
          <w:lang w:val="en-US"/>
        </w:rPr>
        <w:t xml:space="preserve"> من البحث. يتم تقديم لمحة موجزة عن المحتوى على النحو التالي:</w:t>
      </w:r>
    </w:p>
    <w:p w:rsidR="00C12411" w:rsidRPr="0062340E" w:rsidRDefault="003F3134" w:rsidP="00600B79">
      <w:pPr>
        <w:tabs>
          <w:tab w:val="right" w:pos="282"/>
        </w:tabs>
        <w:bidi/>
        <w:spacing w:after="0"/>
        <w:ind w:hanging="2"/>
        <w:jc w:val="both"/>
        <w:rPr>
          <w:rFonts w:ascii="Simplified Arabic" w:hAnsi="Simplified Arabic" w:cs="Simplified Arabic"/>
          <w:b/>
          <w:bCs/>
          <w:sz w:val="24"/>
          <w:szCs w:val="24"/>
          <w:rtl/>
          <w:lang w:val="en-US"/>
        </w:rPr>
      </w:pPr>
      <w:r w:rsidRPr="0062340E">
        <w:rPr>
          <w:rFonts w:ascii="Simplified Arabic" w:hAnsi="Simplified Arabic" w:cs="Simplified Arabic" w:hint="cs"/>
          <w:b/>
          <w:bCs/>
          <w:sz w:val="24"/>
          <w:szCs w:val="24"/>
          <w:rtl/>
          <w:lang w:val="en-US"/>
        </w:rPr>
        <w:t>الجزء الاول-</w:t>
      </w:r>
      <w:r w:rsidR="009242DA" w:rsidRPr="0062340E">
        <w:rPr>
          <w:rFonts w:ascii="Simplified Arabic" w:hAnsi="Simplified Arabic" w:cs="Simplified Arabic" w:hint="cs"/>
          <w:b/>
          <w:bCs/>
          <w:sz w:val="24"/>
          <w:szCs w:val="24"/>
          <w:rtl/>
          <w:lang w:val="en-US"/>
        </w:rPr>
        <w:t xml:space="preserve"> الاطار العام </w:t>
      </w:r>
      <w:r w:rsidR="00600B79" w:rsidRPr="0062340E">
        <w:rPr>
          <w:rFonts w:ascii="Simplified Arabic" w:hAnsi="Simplified Arabic" w:cs="Simplified Arabic" w:hint="cs"/>
          <w:b/>
          <w:bCs/>
          <w:sz w:val="24"/>
          <w:szCs w:val="24"/>
          <w:rtl/>
          <w:lang w:val="en-US"/>
        </w:rPr>
        <w:t>للبحث</w:t>
      </w:r>
      <w:r w:rsidR="009242DA" w:rsidRPr="0062340E">
        <w:rPr>
          <w:rFonts w:ascii="Simplified Arabic" w:hAnsi="Simplified Arabic" w:cs="Simplified Arabic" w:hint="cs"/>
          <w:b/>
          <w:bCs/>
          <w:sz w:val="24"/>
          <w:szCs w:val="24"/>
          <w:rtl/>
          <w:lang w:val="en-US"/>
        </w:rPr>
        <w:t>:</w:t>
      </w:r>
    </w:p>
    <w:p w:rsidR="0022082E" w:rsidRPr="0062340E" w:rsidRDefault="00600B79" w:rsidP="00725010">
      <w:pPr>
        <w:tabs>
          <w:tab w:val="right" w:pos="282"/>
        </w:tabs>
        <w:bidi/>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sz w:val="24"/>
          <w:szCs w:val="24"/>
          <w:rtl/>
          <w:lang w:val="en-US" w:bidi="ar-DZ"/>
        </w:rPr>
        <w:t>يسلط</w:t>
      </w:r>
      <w:r w:rsidR="009242DA" w:rsidRPr="0062340E">
        <w:rPr>
          <w:rFonts w:ascii="Simplified Arabic" w:hAnsi="Simplified Arabic" w:cs="Simplified Arabic" w:hint="cs"/>
          <w:sz w:val="24"/>
          <w:szCs w:val="24"/>
          <w:rtl/>
          <w:lang w:val="en-US"/>
        </w:rPr>
        <w:t xml:space="preserve"> </w:t>
      </w:r>
      <w:r w:rsidR="0022082E" w:rsidRPr="0062340E">
        <w:rPr>
          <w:rFonts w:ascii="Simplified Arabic" w:hAnsi="Simplified Arabic" w:cs="Simplified Arabic"/>
          <w:sz w:val="24"/>
          <w:szCs w:val="24"/>
          <w:rtl/>
          <w:lang w:val="en-US" w:bidi="ar-DZ"/>
        </w:rPr>
        <w:t>الفصل التمهيدي</w:t>
      </w:r>
      <w:r w:rsidRPr="0062340E">
        <w:rPr>
          <w:rFonts w:ascii="Simplified Arabic" w:hAnsi="Simplified Arabic" w:cs="Simplified Arabic" w:hint="cs"/>
          <w:sz w:val="24"/>
          <w:szCs w:val="24"/>
          <w:rtl/>
          <w:lang w:val="en-US" w:bidi="ar-DZ"/>
        </w:rPr>
        <w:t xml:space="preserve"> </w:t>
      </w:r>
      <w:r w:rsidR="0022082E" w:rsidRPr="0062340E">
        <w:rPr>
          <w:rFonts w:ascii="Simplified Arabic" w:hAnsi="Simplified Arabic" w:cs="Simplified Arabic"/>
          <w:sz w:val="24"/>
          <w:szCs w:val="24"/>
          <w:rtl/>
          <w:lang w:val="en-US" w:bidi="ar-DZ"/>
        </w:rPr>
        <w:t xml:space="preserve">الضوء على </w:t>
      </w:r>
      <w:r w:rsidR="00846950" w:rsidRPr="0062340E">
        <w:rPr>
          <w:rFonts w:ascii="Simplified Arabic" w:hAnsi="Simplified Arabic" w:cs="Simplified Arabic" w:hint="cs"/>
          <w:sz w:val="24"/>
          <w:szCs w:val="24"/>
          <w:rtl/>
          <w:lang w:val="en-US" w:bidi="ar-DZ"/>
        </w:rPr>
        <w:t>السياق</w:t>
      </w:r>
      <w:r w:rsidR="0022082E" w:rsidRPr="0062340E">
        <w:rPr>
          <w:rFonts w:ascii="Simplified Arabic" w:hAnsi="Simplified Arabic" w:cs="Simplified Arabic"/>
          <w:sz w:val="24"/>
          <w:szCs w:val="24"/>
          <w:rtl/>
          <w:lang w:val="en-US" w:bidi="ar-DZ"/>
        </w:rPr>
        <w:t xml:space="preserve"> العام </w:t>
      </w:r>
      <w:r w:rsidR="00206E75" w:rsidRPr="0062340E">
        <w:rPr>
          <w:rFonts w:ascii="Simplified Arabic" w:hAnsi="Simplified Arabic" w:cs="Simplified Arabic" w:hint="cs"/>
          <w:sz w:val="24"/>
          <w:szCs w:val="24"/>
          <w:rtl/>
          <w:lang w:val="en-US" w:bidi="ar-DZ"/>
        </w:rPr>
        <w:t>للبحث</w:t>
      </w:r>
      <w:r w:rsidR="0022082E" w:rsidRPr="0062340E">
        <w:rPr>
          <w:rFonts w:ascii="Simplified Arabic" w:hAnsi="Simplified Arabic" w:cs="Simplified Arabic"/>
          <w:sz w:val="24"/>
          <w:szCs w:val="24"/>
          <w:rtl/>
          <w:lang w:val="en-US" w:bidi="ar-DZ"/>
        </w:rPr>
        <w:t xml:space="preserve"> من خلال المقدمة العامة للبحث. علاوة على ذلك، تم حصر بعض الفجوات العلمية ضمن مجال المرونة الحضرية من خلال طرح الاشكالية، حيت تم الإشارة إلى الفهم المحدود</w:t>
      </w:r>
      <w:r w:rsidR="00337414" w:rsidRPr="0062340E">
        <w:rPr>
          <w:rFonts w:ascii="Simplified Arabic" w:hAnsi="Simplified Arabic" w:cs="Simplified Arabic" w:hint="cs"/>
          <w:sz w:val="24"/>
          <w:szCs w:val="24"/>
          <w:rtl/>
          <w:lang w:val="en-US" w:bidi="ar-DZ"/>
        </w:rPr>
        <w:t xml:space="preserve"> </w:t>
      </w:r>
      <w:r w:rsidR="0022082E" w:rsidRPr="0062340E">
        <w:rPr>
          <w:rFonts w:ascii="Simplified Arabic" w:hAnsi="Simplified Arabic" w:cs="Simplified Arabic"/>
          <w:sz w:val="24"/>
          <w:szCs w:val="24"/>
          <w:rtl/>
          <w:lang w:val="en-US" w:bidi="ar-DZ"/>
        </w:rPr>
        <w:t xml:space="preserve">للعلاقة بين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0022082E" w:rsidRPr="0062340E">
        <w:rPr>
          <w:rFonts w:ascii="Simplified Arabic" w:hAnsi="Simplified Arabic" w:cs="Simplified Arabic"/>
          <w:sz w:val="24"/>
          <w:szCs w:val="24"/>
          <w:rtl/>
          <w:lang w:val="en-US" w:bidi="ar-DZ"/>
        </w:rPr>
        <w:t>ال</w:t>
      </w:r>
      <w:r w:rsidR="00DC2E44" w:rsidRPr="0062340E">
        <w:rPr>
          <w:rFonts w:ascii="Simplified Arabic" w:hAnsi="Simplified Arabic" w:cs="Simplified Arabic"/>
          <w:sz w:val="24"/>
          <w:szCs w:val="24"/>
          <w:rtl/>
          <w:lang w:val="en-US" w:bidi="ar-DZ"/>
        </w:rPr>
        <w:t>حضرية والمرونة الحضرية. استجابة</w:t>
      </w:r>
      <w:r w:rsidR="0022082E" w:rsidRPr="0062340E">
        <w:rPr>
          <w:rFonts w:ascii="Simplified Arabic" w:hAnsi="Simplified Arabic" w:cs="Simplified Arabic"/>
          <w:sz w:val="24"/>
          <w:szCs w:val="24"/>
          <w:rtl/>
          <w:lang w:val="en-US" w:bidi="ar-DZ"/>
        </w:rPr>
        <w:t xml:space="preserve"> للفجوة</w:t>
      </w:r>
      <w:r w:rsidR="00206E75" w:rsidRPr="0062340E">
        <w:rPr>
          <w:rFonts w:ascii="Simplified Arabic" w:hAnsi="Simplified Arabic" w:cs="Simplified Arabic"/>
          <w:sz w:val="24"/>
          <w:szCs w:val="24"/>
          <w:rtl/>
          <w:lang w:val="en-US" w:bidi="ar-DZ"/>
        </w:rPr>
        <w:t xml:space="preserve"> العلمية</w:t>
      </w:r>
      <w:r w:rsidR="0022082E" w:rsidRPr="0062340E">
        <w:rPr>
          <w:rFonts w:ascii="Simplified Arabic" w:hAnsi="Simplified Arabic" w:cs="Simplified Arabic"/>
          <w:sz w:val="24"/>
          <w:szCs w:val="24"/>
          <w:rtl/>
          <w:lang w:val="en-US" w:bidi="ar-DZ"/>
        </w:rPr>
        <w:t xml:space="preserve"> </w:t>
      </w:r>
      <w:r w:rsidR="00206E75" w:rsidRPr="0062340E">
        <w:rPr>
          <w:rFonts w:ascii="Simplified Arabic" w:hAnsi="Simplified Arabic" w:cs="Simplified Arabic" w:hint="cs"/>
          <w:sz w:val="24"/>
          <w:szCs w:val="24"/>
          <w:rtl/>
          <w:lang w:val="en-US" w:bidi="ar-DZ"/>
        </w:rPr>
        <w:t>و</w:t>
      </w:r>
      <w:r w:rsidR="00206E75" w:rsidRPr="0062340E">
        <w:rPr>
          <w:rFonts w:ascii="Simplified Arabic" w:hAnsi="Simplified Arabic" w:cs="Simplified Arabic"/>
          <w:sz w:val="24"/>
          <w:szCs w:val="24"/>
          <w:rtl/>
          <w:lang w:val="en-US" w:bidi="ar-DZ"/>
        </w:rPr>
        <w:t>لتوجيه هذ</w:t>
      </w:r>
      <w:r w:rsidR="00206E75" w:rsidRPr="0062340E">
        <w:rPr>
          <w:rFonts w:ascii="Simplified Arabic" w:hAnsi="Simplified Arabic" w:cs="Simplified Arabic" w:hint="cs"/>
          <w:sz w:val="24"/>
          <w:szCs w:val="24"/>
          <w:rtl/>
          <w:lang w:val="en-US" w:bidi="ar-DZ"/>
        </w:rPr>
        <w:t>ا</w:t>
      </w:r>
      <w:r w:rsidR="00206E75" w:rsidRPr="0062340E">
        <w:rPr>
          <w:rFonts w:ascii="Simplified Arabic" w:hAnsi="Simplified Arabic" w:cs="Simplified Arabic"/>
          <w:sz w:val="24"/>
          <w:szCs w:val="24"/>
          <w:rtl/>
          <w:lang w:val="en-US" w:bidi="ar-DZ"/>
        </w:rPr>
        <w:t xml:space="preserve"> </w:t>
      </w:r>
      <w:r w:rsidR="00206E75" w:rsidRPr="0062340E">
        <w:rPr>
          <w:rFonts w:ascii="Simplified Arabic" w:hAnsi="Simplified Arabic" w:cs="Simplified Arabic" w:hint="cs"/>
          <w:sz w:val="24"/>
          <w:szCs w:val="24"/>
          <w:rtl/>
          <w:lang w:val="en-US" w:bidi="ar-DZ"/>
        </w:rPr>
        <w:t>البحث</w:t>
      </w:r>
      <w:r w:rsidR="00206E75"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sz w:val="24"/>
          <w:szCs w:val="24"/>
          <w:rtl/>
          <w:lang w:val="en-US" w:bidi="ar-DZ"/>
        </w:rPr>
        <w:t xml:space="preserve">تم تقديم </w:t>
      </w:r>
      <w:r w:rsidR="00DC2E44" w:rsidRPr="0062340E">
        <w:rPr>
          <w:rFonts w:ascii="Simplified Arabic" w:hAnsi="Simplified Arabic" w:cs="Simplified Arabic" w:hint="cs"/>
          <w:sz w:val="24"/>
          <w:szCs w:val="24"/>
          <w:rtl/>
          <w:lang w:val="en-US" w:bidi="ar-DZ"/>
        </w:rPr>
        <w:t>ال</w:t>
      </w:r>
      <w:r w:rsidR="0022082E" w:rsidRPr="0062340E">
        <w:rPr>
          <w:rFonts w:ascii="Simplified Arabic" w:hAnsi="Simplified Arabic" w:cs="Simplified Arabic"/>
          <w:sz w:val="24"/>
          <w:szCs w:val="24"/>
          <w:rtl/>
          <w:lang w:val="en-US" w:bidi="ar-DZ"/>
        </w:rPr>
        <w:t xml:space="preserve">أسئلة </w:t>
      </w:r>
      <w:r w:rsidR="00DC2E44" w:rsidRPr="0062340E">
        <w:rPr>
          <w:rFonts w:ascii="Simplified Arabic" w:hAnsi="Simplified Arabic" w:cs="Simplified Arabic" w:hint="cs"/>
          <w:sz w:val="24"/>
          <w:szCs w:val="24"/>
          <w:rtl/>
          <w:lang w:val="en-US" w:bidi="ar-DZ"/>
        </w:rPr>
        <w:t>ال</w:t>
      </w:r>
      <w:r w:rsidR="0022082E" w:rsidRPr="0062340E">
        <w:rPr>
          <w:rFonts w:ascii="Simplified Arabic" w:hAnsi="Simplified Arabic" w:cs="Simplified Arabic"/>
          <w:sz w:val="24"/>
          <w:szCs w:val="24"/>
          <w:rtl/>
          <w:lang w:val="en-US" w:bidi="ar-DZ"/>
        </w:rPr>
        <w:t>بحثية و</w:t>
      </w:r>
      <w:r w:rsidR="00206E75" w:rsidRPr="0062340E">
        <w:rPr>
          <w:rFonts w:ascii="Simplified Arabic" w:hAnsi="Simplified Arabic" w:cs="Simplified Arabic" w:hint="cs"/>
          <w:sz w:val="24"/>
          <w:szCs w:val="24"/>
          <w:rtl/>
          <w:lang w:val="en-US" w:bidi="ar-DZ"/>
        </w:rPr>
        <w:t>ال</w:t>
      </w:r>
      <w:r w:rsidR="0022082E" w:rsidRPr="0062340E">
        <w:rPr>
          <w:rFonts w:ascii="Simplified Arabic" w:hAnsi="Simplified Arabic" w:cs="Simplified Arabic"/>
          <w:sz w:val="24"/>
          <w:szCs w:val="24"/>
          <w:rtl/>
          <w:lang w:val="en-US" w:bidi="ar-DZ"/>
        </w:rPr>
        <w:t>فرضيات و</w:t>
      </w:r>
      <w:r w:rsidR="00206E75" w:rsidRPr="0062340E">
        <w:rPr>
          <w:rFonts w:ascii="Simplified Arabic" w:hAnsi="Simplified Arabic" w:cs="Simplified Arabic" w:hint="cs"/>
          <w:sz w:val="24"/>
          <w:szCs w:val="24"/>
          <w:rtl/>
          <w:lang w:val="en-US" w:bidi="ar-DZ"/>
        </w:rPr>
        <w:t>ال</w:t>
      </w:r>
      <w:r w:rsidR="0022082E" w:rsidRPr="0062340E">
        <w:rPr>
          <w:rFonts w:ascii="Simplified Arabic" w:hAnsi="Simplified Arabic" w:cs="Simplified Arabic"/>
          <w:sz w:val="24"/>
          <w:szCs w:val="24"/>
          <w:rtl/>
          <w:lang w:val="en-US" w:bidi="ar-DZ"/>
        </w:rPr>
        <w:t xml:space="preserve">أهداف مع تحديد نطاق </w:t>
      </w:r>
      <w:r w:rsidRPr="0062340E">
        <w:rPr>
          <w:rFonts w:ascii="Simplified Arabic" w:hAnsi="Simplified Arabic" w:cs="Simplified Arabic" w:hint="cs"/>
          <w:sz w:val="24"/>
          <w:szCs w:val="24"/>
          <w:rtl/>
          <w:lang w:val="en-US" w:bidi="ar-DZ"/>
        </w:rPr>
        <w:t xml:space="preserve">منطقة </w:t>
      </w:r>
      <w:r w:rsidR="0022082E" w:rsidRPr="0062340E">
        <w:rPr>
          <w:rFonts w:ascii="Simplified Arabic" w:hAnsi="Simplified Arabic" w:cs="Simplified Arabic"/>
          <w:sz w:val="24"/>
          <w:szCs w:val="24"/>
          <w:rtl/>
          <w:lang w:val="en-US" w:bidi="ar-DZ"/>
        </w:rPr>
        <w:t>الدراسة.</w:t>
      </w:r>
    </w:p>
    <w:p w:rsidR="0018668B" w:rsidRPr="0062340E" w:rsidRDefault="00846950" w:rsidP="00725010">
      <w:pPr>
        <w:tabs>
          <w:tab w:val="right" w:pos="281"/>
        </w:tabs>
        <w:bidi/>
        <w:spacing w:before="240" w:after="0"/>
        <w:ind w:hanging="2"/>
        <w:jc w:val="both"/>
        <w:rPr>
          <w:rFonts w:ascii="Simplified Arabic" w:hAnsi="Simplified Arabic" w:cs="Simplified Arabic"/>
          <w:b/>
          <w:bCs/>
          <w:sz w:val="24"/>
          <w:szCs w:val="24"/>
          <w:rtl/>
          <w:lang w:val="en-US"/>
        </w:rPr>
      </w:pPr>
      <w:r w:rsidRPr="0062340E">
        <w:rPr>
          <w:rFonts w:ascii="Simplified Arabic" w:hAnsi="Simplified Arabic" w:cs="Simplified Arabic" w:hint="cs"/>
          <w:b/>
          <w:bCs/>
          <w:sz w:val="24"/>
          <w:szCs w:val="24"/>
          <w:rtl/>
          <w:lang w:val="en-US"/>
        </w:rPr>
        <w:t>الجزء الثاني</w:t>
      </w:r>
      <w:r w:rsidR="003F3134" w:rsidRPr="0062340E">
        <w:rPr>
          <w:rFonts w:ascii="Simplified Arabic" w:hAnsi="Simplified Arabic" w:cs="Simplified Arabic" w:hint="cs"/>
          <w:b/>
          <w:bCs/>
          <w:sz w:val="24"/>
          <w:szCs w:val="24"/>
          <w:rtl/>
          <w:lang w:val="en-US"/>
        </w:rPr>
        <w:t xml:space="preserve">- </w:t>
      </w:r>
      <w:r w:rsidRPr="0062340E">
        <w:rPr>
          <w:rFonts w:ascii="Simplified Arabic" w:hAnsi="Simplified Arabic" w:cs="Simplified Arabic" w:hint="cs"/>
          <w:b/>
          <w:bCs/>
          <w:sz w:val="24"/>
          <w:szCs w:val="24"/>
          <w:rtl/>
          <w:lang w:val="en-US"/>
        </w:rPr>
        <w:t>الاطار النظري</w:t>
      </w:r>
      <w:r w:rsidR="00E12FB6" w:rsidRPr="0062340E">
        <w:rPr>
          <w:rFonts w:ascii="Simplified Arabic" w:hAnsi="Simplified Arabic" w:cs="Simplified Arabic" w:hint="cs"/>
          <w:b/>
          <w:bCs/>
          <w:sz w:val="24"/>
          <w:szCs w:val="24"/>
          <w:rtl/>
          <w:lang w:val="en-US"/>
        </w:rPr>
        <w:t xml:space="preserve"> </w:t>
      </w:r>
      <w:r w:rsidR="00206E75" w:rsidRPr="0062340E">
        <w:rPr>
          <w:rFonts w:ascii="Simplified Arabic" w:hAnsi="Simplified Arabic" w:cs="Simplified Arabic" w:hint="cs"/>
          <w:b/>
          <w:bCs/>
          <w:sz w:val="24"/>
          <w:szCs w:val="24"/>
          <w:rtl/>
          <w:lang w:val="en-US"/>
        </w:rPr>
        <w:t>للبحث</w:t>
      </w:r>
      <w:r w:rsidR="00E333BB" w:rsidRPr="0062340E">
        <w:rPr>
          <w:rFonts w:ascii="Simplified Arabic" w:hAnsi="Simplified Arabic" w:cs="Simplified Arabic" w:hint="cs"/>
          <w:b/>
          <w:bCs/>
          <w:sz w:val="24"/>
          <w:szCs w:val="24"/>
          <w:rtl/>
          <w:lang w:val="en-US"/>
        </w:rPr>
        <w:t>:</w:t>
      </w:r>
      <w:r w:rsidR="00C12411" w:rsidRPr="0062340E">
        <w:rPr>
          <w:rFonts w:ascii="Simplified Arabic" w:hAnsi="Simplified Arabic" w:cs="Simplified Arabic" w:hint="cs"/>
          <w:b/>
          <w:bCs/>
          <w:sz w:val="24"/>
          <w:szCs w:val="24"/>
          <w:rtl/>
          <w:lang w:val="en-US"/>
        </w:rPr>
        <w:t xml:space="preserve"> مفاهيم</w:t>
      </w:r>
      <w:r w:rsidR="003F3134" w:rsidRPr="0062340E">
        <w:rPr>
          <w:rFonts w:ascii="Simplified Arabic" w:hAnsi="Simplified Arabic" w:cs="Simplified Arabic" w:hint="cs"/>
          <w:b/>
          <w:bCs/>
          <w:sz w:val="24"/>
          <w:szCs w:val="24"/>
          <w:rtl/>
          <w:lang w:val="en-US"/>
        </w:rPr>
        <w:t xml:space="preserve"> </w:t>
      </w:r>
      <w:r w:rsidR="00725010" w:rsidRPr="0062340E">
        <w:rPr>
          <w:rFonts w:ascii="Simplified Arabic" w:hAnsi="Simplified Arabic" w:cs="Simplified Arabic" w:hint="cs"/>
          <w:b/>
          <w:bCs/>
          <w:sz w:val="24"/>
          <w:szCs w:val="24"/>
          <w:rtl/>
        </w:rPr>
        <w:t xml:space="preserve">استعمالات </w:t>
      </w:r>
      <w:r w:rsidR="00725010" w:rsidRPr="0062340E">
        <w:rPr>
          <w:rFonts w:ascii="Simplified Arabic" w:hAnsi="Simplified Arabic" w:cs="Simplified Arabic" w:hint="cs"/>
          <w:b/>
          <w:bCs/>
          <w:sz w:val="24"/>
          <w:szCs w:val="24"/>
          <w:rtl/>
          <w:lang w:bidi="ar-DZ"/>
        </w:rPr>
        <w:t>الاراضي</w:t>
      </w:r>
      <w:r w:rsidR="00725010" w:rsidRPr="0062340E">
        <w:rPr>
          <w:rFonts w:ascii="Simplified Arabic" w:hAnsi="Simplified Arabic" w:cs="Simplified Arabic" w:hint="cs"/>
          <w:sz w:val="24"/>
          <w:szCs w:val="24"/>
          <w:rtl/>
          <w:lang w:bidi="ar-DZ"/>
        </w:rPr>
        <w:t xml:space="preserve"> الحضرية </w:t>
      </w:r>
      <w:r w:rsidR="003F3134" w:rsidRPr="0062340E">
        <w:rPr>
          <w:rFonts w:ascii="Simplified Arabic" w:hAnsi="Simplified Arabic" w:cs="Simplified Arabic" w:hint="cs"/>
          <w:b/>
          <w:bCs/>
          <w:sz w:val="24"/>
          <w:szCs w:val="24"/>
          <w:rtl/>
          <w:lang w:val="en-US"/>
        </w:rPr>
        <w:t>و المرونة الحضرية</w:t>
      </w:r>
      <w:r w:rsidR="00C12411" w:rsidRPr="0062340E">
        <w:rPr>
          <w:rFonts w:ascii="Simplified Arabic" w:hAnsi="Simplified Arabic" w:cs="Simplified Arabic" w:hint="cs"/>
          <w:b/>
          <w:bCs/>
          <w:sz w:val="24"/>
          <w:szCs w:val="24"/>
          <w:rtl/>
          <w:lang w:val="en-US"/>
        </w:rPr>
        <w:t>،</w:t>
      </w:r>
      <w:r w:rsidRPr="0062340E">
        <w:rPr>
          <w:rFonts w:ascii="Simplified Arabic" w:hAnsi="Simplified Arabic" w:cs="Simplified Arabic" w:hint="cs"/>
          <w:b/>
          <w:bCs/>
          <w:sz w:val="24"/>
          <w:szCs w:val="24"/>
          <w:rtl/>
          <w:lang w:val="en-US"/>
        </w:rPr>
        <w:t xml:space="preserve"> </w:t>
      </w:r>
      <w:r w:rsidR="00C71ECA" w:rsidRPr="0062340E">
        <w:rPr>
          <w:rFonts w:ascii="Simplified Arabic" w:hAnsi="Simplified Arabic" w:cs="Simplified Arabic" w:hint="cs"/>
          <w:b/>
          <w:bCs/>
          <w:sz w:val="24"/>
          <w:szCs w:val="24"/>
          <w:rtl/>
          <w:lang w:val="en-US"/>
        </w:rPr>
        <w:t>تحليل</w:t>
      </w:r>
      <w:r w:rsidR="00D41956" w:rsidRPr="0062340E">
        <w:rPr>
          <w:rFonts w:ascii="Simplified Arabic" w:hAnsi="Simplified Arabic" w:cs="Simplified Arabic" w:hint="cs"/>
          <w:b/>
          <w:bCs/>
          <w:sz w:val="24"/>
          <w:szCs w:val="24"/>
          <w:rtl/>
          <w:lang w:val="en-US"/>
        </w:rPr>
        <w:t xml:space="preserve"> </w:t>
      </w:r>
      <w:r w:rsidR="00C12411" w:rsidRPr="0062340E">
        <w:rPr>
          <w:rFonts w:ascii="Simplified Arabic" w:hAnsi="Simplified Arabic" w:cs="Simplified Arabic" w:hint="cs"/>
          <w:b/>
          <w:bCs/>
          <w:sz w:val="24"/>
          <w:szCs w:val="24"/>
          <w:rtl/>
          <w:lang w:val="en-US"/>
        </w:rPr>
        <w:t>مناهج</w:t>
      </w:r>
      <w:r w:rsidR="00D41956" w:rsidRPr="0062340E">
        <w:rPr>
          <w:rFonts w:ascii="Simplified Arabic" w:hAnsi="Simplified Arabic" w:cs="Simplified Arabic" w:hint="cs"/>
          <w:b/>
          <w:bCs/>
          <w:sz w:val="24"/>
          <w:szCs w:val="24"/>
          <w:rtl/>
          <w:lang w:val="en-US"/>
        </w:rPr>
        <w:t>،</w:t>
      </w:r>
      <w:r w:rsidR="0018668B" w:rsidRPr="0062340E">
        <w:rPr>
          <w:rFonts w:ascii="Simplified Arabic" w:hAnsi="Simplified Arabic" w:cs="Simplified Arabic"/>
          <w:b/>
          <w:bCs/>
          <w:sz w:val="24"/>
          <w:szCs w:val="24"/>
          <w:rtl/>
          <w:lang w:val="en-US"/>
        </w:rPr>
        <w:t xml:space="preserve"> </w:t>
      </w:r>
      <w:r w:rsidR="00D41956" w:rsidRPr="0062340E">
        <w:rPr>
          <w:rFonts w:ascii="Simplified Arabic" w:hAnsi="Simplified Arabic" w:cs="Simplified Arabic" w:hint="cs"/>
          <w:b/>
          <w:bCs/>
          <w:sz w:val="24"/>
          <w:szCs w:val="24"/>
          <w:rtl/>
          <w:lang w:val="en-US"/>
        </w:rPr>
        <w:t>ال</w:t>
      </w:r>
      <w:r w:rsidR="001B5487" w:rsidRPr="0062340E">
        <w:rPr>
          <w:rFonts w:ascii="Simplified Arabic" w:hAnsi="Simplified Arabic" w:cs="Simplified Arabic" w:hint="cs"/>
          <w:b/>
          <w:bCs/>
          <w:sz w:val="24"/>
          <w:szCs w:val="24"/>
          <w:rtl/>
          <w:lang w:val="en-US"/>
        </w:rPr>
        <w:t>طرق و</w:t>
      </w:r>
      <w:r w:rsidR="00D41956" w:rsidRPr="0062340E">
        <w:rPr>
          <w:rFonts w:ascii="Simplified Arabic" w:hAnsi="Simplified Arabic" w:cs="Simplified Arabic" w:hint="cs"/>
          <w:b/>
          <w:bCs/>
          <w:sz w:val="24"/>
          <w:szCs w:val="24"/>
          <w:rtl/>
          <w:lang w:val="en-US"/>
        </w:rPr>
        <w:t>ال</w:t>
      </w:r>
      <w:r w:rsidR="001B5487" w:rsidRPr="0062340E">
        <w:rPr>
          <w:rFonts w:ascii="Simplified Arabic" w:hAnsi="Simplified Arabic" w:cs="Simplified Arabic" w:hint="cs"/>
          <w:b/>
          <w:bCs/>
          <w:sz w:val="24"/>
          <w:szCs w:val="24"/>
          <w:rtl/>
          <w:lang w:val="en-US"/>
        </w:rPr>
        <w:t>أدوات</w:t>
      </w:r>
      <w:r w:rsidR="001B5487" w:rsidRPr="0062340E">
        <w:rPr>
          <w:rFonts w:ascii="Simplified Arabic" w:hAnsi="Simplified Arabic" w:cs="Simplified Arabic"/>
          <w:b/>
          <w:bCs/>
          <w:sz w:val="24"/>
          <w:szCs w:val="24"/>
          <w:rtl/>
          <w:lang w:val="en-US"/>
        </w:rPr>
        <w:t xml:space="preserve"> </w:t>
      </w:r>
      <w:r w:rsidR="00D41956" w:rsidRPr="0062340E">
        <w:rPr>
          <w:rFonts w:ascii="Simplified Arabic" w:hAnsi="Simplified Arabic" w:cs="Simplified Arabic" w:hint="cs"/>
          <w:b/>
          <w:bCs/>
          <w:sz w:val="24"/>
          <w:szCs w:val="24"/>
          <w:rtl/>
          <w:lang w:val="en-US"/>
        </w:rPr>
        <w:t>ل</w:t>
      </w:r>
      <w:r w:rsidR="0018668B" w:rsidRPr="0062340E">
        <w:rPr>
          <w:rFonts w:ascii="Simplified Arabic" w:hAnsi="Simplified Arabic" w:cs="Simplified Arabic" w:hint="cs"/>
          <w:b/>
          <w:bCs/>
          <w:sz w:val="24"/>
          <w:szCs w:val="24"/>
          <w:rtl/>
          <w:lang w:val="en-US"/>
        </w:rPr>
        <w:t>تقييم</w:t>
      </w:r>
      <w:r w:rsidR="00E333BB" w:rsidRPr="0062340E">
        <w:rPr>
          <w:rFonts w:ascii="Simplified Arabic" w:hAnsi="Simplified Arabic" w:cs="Simplified Arabic" w:hint="cs"/>
          <w:b/>
          <w:bCs/>
          <w:sz w:val="24"/>
          <w:szCs w:val="24"/>
          <w:rtl/>
          <w:lang w:val="en-US"/>
        </w:rPr>
        <w:t>،</w:t>
      </w:r>
      <w:r w:rsidR="0018668B" w:rsidRPr="0062340E">
        <w:rPr>
          <w:rFonts w:ascii="Simplified Arabic" w:hAnsi="Simplified Arabic" w:cs="Simplified Arabic"/>
          <w:b/>
          <w:bCs/>
          <w:sz w:val="24"/>
          <w:szCs w:val="24"/>
          <w:rtl/>
          <w:lang w:val="en-US"/>
        </w:rPr>
        <w:t xml:space="preserve"> </w:t>
      </w:r>
      <w:r w:rsidR="0018668B" w:rsidRPr="0062340E">
        <w:rPr>
          <w:rFonts w:ascii="Simplified Arabic" w:hAnsi="Simplified Arabic" w:cs="Simplified Arabic" w:hint="cs"/>
          <w:b/>
          <w:bCs/>
          <w:sz w:val="24"/>
          <w:szCs w:val="24"/>
          <w:rtl/>
          <w:lang w:val="en-US"/>
        </w:rPr>
        <w:t>نمذجة</w:t>
      </w:r>
      <w:r w:rsidR="0018668B" w:rsidRPr="0062340E">
        <w:rPr>
          <w:rFonts w:ascii="Simplified Arabic" w:hAnsi="Simplified Arabic" w:cs="Simplified Arabic"/>
          <w:b/>
          <w:bCs/>
          <w:sz w:val="24"/>
          <w:szCs w:val="24"/>
          <w:rtl/>
          <w:lang w:val="en-US"/>
        </w:rPr>
        <w:t xml:space="preserve"> </w:t>
      </w:r>
      <w:r w:rsidR="0018668B" w:rsidRPr="0062340E">
        <w:rPr>
          <w:rFonts w:ascii="Simplified Arabic" w:hAnsi="Simplified Arabic" w:cs="Simplified Arabic" w:hint="cs"/>
          <w:b/>
          <w:bCs/>
          <w:sz w:val="24"/>
          <w:szCs w:val="24"/>
          <w:rtl/>
          <w:lang w:val="en-US"/>
        </w:rPr>
        <w:t>وتفعيل</w:t>
      </w:r>
      <w:r w:rsidR="00E333BB" w:rsidRPr="0062340E">
        <w:rPr>
          <w:rFonts w:ascii="Simplified Arabic" w:hAnsi="Simplified Arabic" w:cs="Simplified Arabic" w:hint="cs"/>
          <w:b/>
          <w:bCs/>
          <w:sz w:val="24"/>
          <w:szCs w:val="24"/>
          <w:rtl/>
          <w:lang w:val="en-US"/>
        </w:rPr>
        <w:t xml:space="preserve"> المرونة</w:t>
      </w:r>
      <w:r w:rsidRPr="0062340E">
        <w:rPr>
          <w:rFonts w:ascii="Simplified Arabic" w:hAnsi="Simplified Arabic" w:cs="Simplified Arabic" w:hint="cs"/>
          <w:b/>
          <w:bCs/>
          <w:sz w:val="24"/>
          <w:szCs w:val="24"/>
          <w:rtl/>
          <w:lang w:val="en-US"/>
        </w:rPr>
        <w:t xml:space="preserve">: </w:t>
      </w:r>
      <w:r w:rsidRPr="0062340E">
        <w:rPr>
          <w:rFonts w:ascii="Simplified Arabic" w:hAnsi="Simplified Arabic" w:cs="Simplified Arabic" w:hint="cs"/>
          <w:sz w:val="24"/>
          <w:szCs w:val="24"/>
          <w:rtl/>
          <w:lang w:val="en-US"/>
        </w:rPr>
        <w:t xml:space="preserve">يتضمن ثلاثة فصول، </w:t>
      </w:r>
      <w:r w:rsidR="00C12411" w:rsidRPr="0062340E">
        <w:rPr>
          <w:rFonts w:ascii="Simplified Arabic" w:hAnsi="Simplified Arabic" w:cs="Simplified Arabic" w:hint="cs"/>
          <w:sz w:val="24"/>
          <w:szCs w:val="24"/>
          <w:rtl/>
          <w:lang w:val="en-US"/>
        </w:rPr>
        <w:t>وهي كالآتي:</w:t>
      </w:r>
      <w:r w:rsidRPr="0062340E">
        <w:rPr>
          <w:rFonts w:ascii="Simplified Arabic" w:hAnsi="Simplified Arabic" w:cs="Simplified Arabic" w:hint="cs"/>
          <w:b/>
          <w:bCs/>
          <w:sz w:val="24"/>
          <w:szCs w:val="24"/>
          <w:rtl/>
          <w:lang w:val="en-US"/>
        </w:rPr>
        <w:t xml:space="preserve"> </w:t>
      </w:r>
    </w:p>
    <w:p w:rsidR="0022082E" w:rsidRPr="0062340E" w:rsidRDefault="0022082E" w:rsidP="0062340E">
      <w:pPr>
        <w:bidi/>
        <w:spacing w:before="240" w:after="0"/>
        <w:ind w:firstLine="283"/>
        <w:jc w:val="both"/>
        <w:rPr>
          <w:rFonts w:ascii="Simplified Arabic" w:hAnsi="Simplified Arabic" w:cs="Simplified Arabic"/>
          <w:sz w:val="24"/>
          <w:szCs w:val="24"/>
          <w:rtl/>
          <w:lang w:val="en-US" w:bidi="ar-DZ"/>
        </w:rPr>
      </w:pPr>
      <w:r w:rsidRPr="0062340E">
        <w:rPr>
          <w:rFonts w:ascii="Simplified Arabic" w:hAnsi="Simplified Arabic" w:cs="Simplified Arabic"/>
          <w:sz w:val="24"/>
          <w:szCs w:val="24"/>
          <w:rtl/>
          <w:lang w:val="en-US"/>
        </w:rPr>
        <w:lastRenderedPageBreak/>
        <w:t xml:space="preserve">يستعرض </w:t>
      </w:r>
      <w:r w:rsidR="00846950" w:rsidRPr="0062340E">
        <w:rPr>
          <w:rFonts w:ascii="Simplified Arabic" w:hAnsi="Simplified Arabic" w:cs="Simplified Arabic"/>
          <w:b/>
          <w:bCs/>
          <w:sz w:val="24"/>
          <w:szCs w:val="24"/>
          <w:rtl/>
          <w:lang w:val="en-US" w:bidi="ar-DZ"/>
        </w:rPr>
        <w:t>الفصل</w:t>
      </w:r>
      <w:r w:rsidR="00846950" w:rsidRPr="0062340E">
        <w:rPr>
          <w:rFonts w:ascii="Simplified Arabic" w:hAnsi="Simplified Arabic" w:cs="Simplified Arabic" w:hint="cs"/>
          <w:sz w:val="24"/>
          <w:szCs w:val="24"/>
          <w:rtl/>
          <w:lang w:val="en-US" w:bidi="ar-DZ"/>
        </w:rPr>
        <w:t xml:space="preserve"> </w:t>
      </w:r>
      <w:r w:rsidR="00846950" w:rsidRPr="0062340E">
        <w:rPr>
          <w:rFonts w:ascii="Simplified Arabic" w:hAnsi="Simplified Arabic" w:cs="Simplified Arabic" w:hint="cs"/>
          <w:b/>
          <w:bCs/>
          <w:sz w:val="24"/>
          <w:szCs w:val="24"/>
          <w:rtl/>
          <w:lang w:val="en-US" w:bidi="ar-DZ"/>
        </w:rPr>
        <w:t>1</w:t>
      </w:r>
      <w:r w:rsidRPr="0062340E">
        <w:rPr>
          <w:rFonts w:ascii="Simplified Arabic" w:hAnsi="Simplified Arabic" w:cs="Simplified Arabic"/>
          <w:sz w:val="24"/>
          <w:szCs w:val="24"/>
          <w:rtl/>
          <w:lang w:val="en-US"/>
        </w:rPr>
        <w:t xml:space="preserve"> </w:t>
      </w:r>
      <w:r w:rsidR="005A7CE7" w:rsidRPr="0062340E">
        <w:rPr>
          <w:rFonts w:ascii="Simplified Arabic" w:hAnsi="Simplified Arabic" w:cs="Simplified Arabic" w:hint="cs"/>
          <w:sz w:val="24"/>
          <w:szCs w:val="24"/>
          <w:rtl/>
          <w:lang w:val="en-US" w:bidi="ar-DZ"/>
        </w:rPr>
        <w:t xml:space="preserve">علاقة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005A7CE7" w:rsidRPr="0062340E">
        <w:rPr>
          <w:rFonts w:ascii="Simplified Arabic" w:hAnsi="Simplified Arabic" w:cs="Simplified Arabic" w:hint="cs"/>
          <w:sz w:val="24"/>
          <w:szCs w:val="24"/>
          <w:rtl/>
          <w:lang w:val="en-US" w:bidi="ar-DZ"/>
        </w:rPr>
        <w:t>الحضرية بمفهوم المرونة الحضرية</w:t>
      </w:r>
      <w:r w:rsidRPr="0062340E">
        <w:rPr>
          <w:rFonts w:ascii="Simplified Arabic" w:hAnsi="Simplified Arabic" w:cs="Simplified Arabic"/>
          <w:sz w:val="24"/>
          <w:szCs w:val="24"/>
          <w:rtl/>
          <w:lang w:val="en-US" w:bidi="ar-DZ"/>
        </w:rPr>
        <w:t xml:space="preserve">، </w:t>
      </w:r>
      <w:r w:rsidR="000300A1" w:rsidRPr="0062340E">
        <w:rPr>
          <w:rFonts w:ascii="Simplified Arabic" w:hAnsi="Simplified Arabic" w:cs="Simplified Arabic" w:hint="cs"/>
          <w:sz w:val="24"/>
          <w:szCs w:val="24"/>
          <w:rtl/>
          <w:lang w:val="en-US" w:bidi="ar-DZ"/>
        </w:rPr>
        <w:t>ب</w:t>
      </w:r>
      <w:r w:rsidRPr="0062340E">
        <w:rPr>
          <w:rFonts w:ascii="Simplified Arabic" w:hAnsi="Simplified Arabic" w:cs="Simplified Arabic"/>
          <w:sz w:val="24"/>
          <w:szCs w:val="24"/>
          <w:rtl/>
          <w:lang w:val="en-US" w:bidi="ar-DZ"/>
        </w:rPr>
        <w:t xml:space="preserve">التركيز على </w:t>
      </w:r>
      <w:r w:rsidR="005C2680" w:rsidRPr="0062340E">
        <w:rPr>
          <w:rFonts w:ascii="Simplified Arabic" w:hAnsi="Simplified Arabic" w:cs="Simplified Arabic" w:hint="cs"/>
          <w:sz w:val="24"/>
          <w:szCs w:val="24"/>
          <w:rtl/>
          <w:lang w:val="en-US" w:bidi="ar-DZ"/>
        </w:rPr>
        <w:t xml:space="preserve">تحليل </w:t>
      </w:r>
      <w:r w:rsidRPr="0062340E">
        <w:rPr>
          <w:rFonts w:ascii="Simplified Arabic" w:hAnsi="Simplified Arabic" w:cs="Simplified Arabic"/>
          <w:sz w:val="24"/>
          <w:szCs w:val="24"/>
          <w:rtl/>
          <w:lang w:val="en-US" w:bidi="ar-DZ"/>
        </w:rPr>
        <w:t>مفه</w:t>
      </w:r>
      <w:r w:rsidR="000300A1" w:rsidRPr="0062340E">
        <w:rPr>
          <w:rFonts w:ascii="Simplified Arabic" w:hAnsi="Simplified Arabic" w:cs="Simplified Arabic" w:hint="cs"/>
          <w:sz w:val="24"/>
          <w:szCs w:val="24"/>
          <w:rtl/>
          <w:lang w:val="en-US" w:bidi="ar-DZ"/>
        </w:rPr>
        <w:t>و</w:t>
      </w:r>
      <w:r w:rsidRPr="0062340E">
        <w:rPr>
          <w:rFonts w:ascii="Simplified Arabic" w:hAnsi="Simplified Arabic" w:cs="Simplified Arabic"/>
          <w:sz w:val="24"/>
          <w:szCs w:val="24"/>
          <w:rtl/>
          <w:lang w:val="en-US" w:bidi="ar-DZ"/>
        </w:rPr>
        <w:t xml:space="preserve">م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Pr="0062340E">
        <w:rPr>
          <w:rFonts w:ascii="Simplified Arabic" w:hAnsi="Simplified Arabic" w:cs="Simplified Arabic"/>
          <w:sz w:val="24"/>
          <w:szCs w:val="24"/>
          <w:rtl/>
          <w:lang w:val="en-US" w:bidi="ar-DZ"/>
        </w:rPr>
        <w:t xml:space="preserve">، </w:t>
      </w:r>
      <w:r w:rsidR="000B3925" w:rsidRPr="0062340E">
        <w:rPr>
          <w:rFonts w:ascii="Simplified Arabic" w:hAnsi="Simplified Arabic" w:cs="Simplified Arabic"/>
          <w:sz w:val="24"/>
          <w:szCs w:val="24"/>
          <w:rtl/>
          <w:lang w:val="en-US" w:bidi="ar-DZ"/>
        </w:rPr>
        <w:t xml:space="preserve">كما يناقش التوزيع المكاني </w:t>
      </w:r>
      <w:r w:rsidR="00725010" w:rsidRPr="0062340E">
        <w:rPr>
          <w:rFonts w:ascii="Simplified Arabic" w:hAnsi="Simplified Arabic" w:cs="Simplified Arabic" w:hint="cs"/>
          <w:sz w:val="24"/>
          <w:szCs w:val="24"/>
          <w:rtl/>
          <w:lang w:val="en-US" w:bidi="ar-DZ"/>
        </w:rPr>
        <w:t>ل</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الارض </w:t>
      </w:r>
      <w:r w:rsidR="00BE3C15" w:rsidRPr="0062340E">
        <w:rPr>
          <w:rFonts w:ascii="Simplified Arabic" w:hAnsi="Simplified Arabic" w:cs="Simplified Arabic" w:hint="cs"/>
          <w:sz w:val="24"/>
          <w:szCs w:val="24"/>
          <w:rtl/>
          <w:lang w:val="en-US" w:bidi="ar-DZ"/>
        </w:rPr>
        <w:t xml:space="preserve">على اساس </w:t>
      </w:r>
      <w:r w:rsidR="009644DF" w:rsidRPr="0062340E">
        <w:rPr>
          <w:rFonts w:ascii="Simplified Arabic" w:hAnsi="Simplified Arabic" w:cs="Simplified Arabic" w:hint="cs"/>
          <w:sz w:val="24"/>
          <w:szCs w:val="24"/>
          <w:rtl/>
          <w:lang w:val="en-US" w:bidi="ar-DZ"/>
        </w:rPr>
        <w:t>نطاق التغطية بالخدمة</w:t>
      </w:r>
      <w:r w:rsidR="00BE3C15" w:rsidRPr="0062340E">
        <w:rPr>
          <w:rFonts w:ascii="Simplified Arabic" w:hAnsi="Simplified Arabic" w:cs="Simplified Arabic" w:hint="cs"/>
          <w:sz w:val="24"/>
          <w:szCs w:val="24"/>
          <w:rtl/>
          <w:lang w:val="en-US" w:bidi="ar-DZ"/>
        </w:rPr>
        <w:t xml:space="preserve"> و الكثافة السكنية </w:t>
      </w:r>
      <w:r w:rsidR="000B3925" w:rsidRPr="0062340E">
        <w:rPr>
          <w:rFonts w:ascii="Simplified Arabic" w:hAnsi="Simplified Arabic" w:cs="Simplified Arabic"/>
          <w:sz w:val="24"/>
          <w:szCs w:val="24"/>
          <w:rtl/>
          <w:lang w:val="en-US" w:bidi="ar-DZ"/>
        </w:rPr>
        <w:t>و</w:t>
      </w:r>
      <w:r w:rsidR="00BE3C15" w:rsidRPr="0062340E">
        <w:rPr>
          <w:rFonts w:ascii="Simplified Arabic" w:hAnsi="Simplified Arabic" w:cs="Simplified Arabic"/>
          <w:sz w:val="24"/>
          <w:szCs w:val="24"/>
          <w:rtl/>
          <w:lang w:val="en-US" w:bidi="ar-DZ"/>
        </w:rPr>
        <w:t xml:space="preserve">العوامل المتحكمة فيه. </w:t>
      </w:r>
      <w:r w:rsidR="00BE3C15" w:rsidRPr="0062340E">
        <w:rPr>
          <w:rFonts w:ascii="Simplified Arabic" w:hAnsi="Simplified Arabic" w:cs="Simplified Arabic" w:hint="cs"/>
          <w:sz w:val="24"/>
          <w:szCs w:val="24"/>
          <w:rtl/>
          <w:lang w:val="en-US" w:bidi="ar-DZ"/>
        </w:rPr>
        <w:t>كما يست</w:t>
      </w:r>
      <w:r w:rsidR="000B3925" w:rsidRPr="0062340E">
        <w:rPr>
          <w:rFonts w:ascii="Simplified Arabic" w:hAnsi="Simplified Arabic" w:cs="Simplified Arabic"/>
          <w:sz w:val="24"/>
          <w:szCs w:val="24"/>
          <w:rtl/>
          <w:lang w:val="en-US" w:bidi="ar-DZ"/>
        </w:rPr>
        <w:t xml:space="preserve">عرض </w:t>
      </w:r>
      <w:r w:rsidR="00846950" w:rsidRPr="0062340E">
        <w:rPr>
          <w:rFonts w:ascii="Simplified Arabic" w:hAnsi="Simplified Arabic" w:cs="Simplified Arabic" w:hint="cs"/>
          <w:sz w:val="24"/>
          <w:szCs w:val="24"/>
          <w:rtl/>
          <w:lang w:val="en-US" w:bidi="ar-DZ"/>
        </w:rPr>
        <w:t xml:space="preserve">هذا </w:t>
      </w:r>
      <w:r w:rsidR="00BE3C15" w:rsidRPr="0062340E">
        <w:rPr>
          <w:rFonts w:ascii="Simplified Arabic" w:hAnsi="Simplified Arabic" w:cs="Simplified Arabic" w:hint="cs"/>
          <w:sz w:val="24"/>
          <w:szCs w:val="24"/>
          <w:rtl/>
          <w:lang w:val="en-US" w:bidi="ar-DZ"/>
        </w:rPr>
        <w:t xml:space="preserve">الفصل </w:t>
      </w:r>
      <w:r w:rsidR="000300A1" w:rsidRPr="0062340E">
        <w:rPr>
          <w:rFonts w:ascii="Simplified Arabic" w:hAnsi="Simplified Arabic" w:cs="Simplified Arabic"/>
          <w:sz w:val="24"/>
          <w:szCs w:val="24"/>
          <w:rtl/>
          <w:lang w:val="en-US" w:bidi="ar-DZ"/>
        </w:rPr>
        <w:t>مفه</w:t>
      </w:r>
      <w:r w:rsidR="000300A1" w:rsidRPr="0062340E">
        <w:rPr>
          <w:rFonts w:ascii="Simplified Arabic" w:hAnsi="Simplified Arabic" w:cs="Simplified Arabic" w:hint="cs"/>
          <w:sz w:val="24"/>
          <w:szCs w:val="24"/>
          <w:rtl/>
          <w:lang w:val="en-US" w:bidi="ar-DZ"/>
        </w:rPr>
        <w:t>و</w:t>
      </w:r>
      <w:r w:rsidR="000300A1" w:rsidRPr="0062340E">
        <w:rPr>
          <w:rFonts w:ascii="Simplified Arabic" w:hAnsi="Simplified Arabic" w:cs="Simplified Arabic"/>
          <w:sz w:val="24"/>
          <w:szCs w:val="24"/>
          <w:rtl/>
          <w:lang w:val="en-US" w:bidi="ar-DZ"/>
        </w:rPr>
        <w:t>م المرونة الحضرية</w:t>
      </w:r>
      <w:r w:rsidR="000300A1" w:rsidRPr="0062340E">
        <w:rPr>
          <w:rFonts w:ascii="Simplified Arabic" w:hAnsi="Simplified Arabic" w:cs="Simplified Arabic" w:hint="cs"/>
          <w:sz w:val="24"/>
          <w:szCs w:val="24"/>
          <w:rtl/>
          <w:lang w:val="en-US" w:bidi="ar-DZ"/>
        </w:rPr>
        <w:t xml:space="preserve"> وسماتها وابعادها</w:t>
      </w:r>
      <w:r w:rsidR="000B3925" w:rsidRPr="0062340E">
        <w:rPr>
          <w:rFonts w:ascii="Simplified Arabic" w:hAnsi="Simplified Arabic" w:cs="Simplified Arabic"/>
          <w:sz w:val="24"/>
          <w:szCs w:val="24"/>
          <w:rtl/>
          <w:lang w:val="en-US" w:bidi="ar-DZ"/>
        </w:rPr>
        <w:t xml:space="preserve">. يؤدي هذا </w:t>
      </w:r>
      <w:r w:rsidR="007C1361" w:rsidRPr="0062340E">
        <w:rPr>
          <w:rFonts w:ascii="Simplified Arabic" w:hAnsi="Simplified Arabic" w:cs="Simplified Arabic" w:hint="cs"/>
          <w:sz w:val="24"/>
          <w:szCs w:val="24"/>
          <w:rtl/>
          <w:lang w:val="en-US" w:bidi="ar-DZ"/>
        </w:rPr>
        <w:t>ل</w:t>
      </w:r>
      <w:r w:rsidR="000B3925" w:rsidRPr="0062340E">
        <w:rPr>
          <w:rFonts w:ascii="Simplified Arabic" w:hAnsi="Simplified Arabic" w:cs="Simplified Arabic"/>
          <w:sz w:val="24"/>
          <w:szCs w:val="24"/>
          <w:rtl/>
          <w:lang w:val="en-US" w:bidi="ar-DZ"/>
        </w:rPr>
        <w:t xml:space="preserve">مناقشة العلاقة بين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000B3925" w:rsidRPr="0062340E">
        <w:rPr>
          <w:rFonts w:ascii="Simplified Arabic" w:hAnsi="Simplified Arabic" w:cs="Simplified Arabic"/>
          <w:sz w:val="24"/>
          <w:szCs w:val="24"/>
          <w:rtl/>
          <w:lang w:val="en-US" w:bidi="ar-DZ"/>
        </w:rPr>
        <w:t xml:space="preserve">الحضرية </w:t>
      </w:r>
      <w:r w:rsidR="000300A1" w:rsidRPr="0062340E">
        <w:rPr>
          <w:rFonts w:ascii="Simplified Arabic" w:hAnsi="Simplified Arabic" w:cs="Simplified Arabic"/>
          <w:sz w:val="24"/>
          <w:szCs w:val="24"/>
          <w:rtl/>
          <w:lang w:val="en-US" w:bidi="ar-DZ"/>
        </w:rPr>
        <w:t xml:space="preserve">والمرونة الحضرية </w:t>
      </w:r>
      <w:r w:rsidR="00250BD5" w:rsidRPr="0062340E">
        <w:rPr>
          <w:rFonts w:ascii="Simplified Arabic" w:hAnsi="Simplified Arabic" w:cs="Simplified Arabic" w:hint="cs"/>
          <w:sz w:val="24"/>
          <w:szCs w:val="24"/>
          <w:rtl/>
          <w:lang w:val="en-US" w:bidi="ar-DZ"/>
        </w:rPr>
        <w:t>للتعرف على المؤشرات و</w:t>
      </w:r>
      <w:r w:rsidR="000B3925" w:rsidRPr="0062340E">
        <w:rPr>
          <w:rFonts w:ascii="Simplified Arabic" w:hAnsi="Simplified Arabic" w:cs="Simplified Arabic"/>
          <w:sz w:val="24"/>
          <w:szCs w:val="24"/>
          <w:rtl/>
          <w:lang w:val="en-US" w:bidi="ar-DZ"/>
        </w:rPr>
        <w:t xml:space="preserve">لفهم كيفية إنشاء الشروط المسبقة للمرونة </w:t>
      </w:r>
      <w:r w:rsidR="00985A7F" w:rsidRPr="0062340E">
        <w:rPr>
          <w:rFonts w:ascii="Simplified Arabic" w:hAnsi="Simplified Arabic" w:cs="Simplified Arabic" w:hint="cs"/>
          <w:sz w:val="24"/>
          <w:szCs w:val="24"/>
          <w:rtl/>
          <w:lang w:val="en-US" w:bidi="ar-DZ"/>
        </w:rPr>
        <w:t>الحضرية</w:t>
      </w:r>
      <w:r w:rsidR="000B3925" w:rsidRPr="0062340E">
        <w:rPr>
          <w:rFonts w:ascii="Simplified Arabic" w:hAnsi="Simplified Arabic" w:cs="Simplified Arabic"/>
          <w:sz w:val="24"/>
          <w:szCs w:val="24"/>
          <w:rtl/>
          <w:lang w:val="en-US" w:bidi="ar-DZ"/>
        </w:rPr>
        <w:t>.</w:t>
      </w:r>
    </w:p>
    <w:p w:rsidR="0022082E" w:rsidRPr="0062340E" w:rsidRDefault="0022082E" w:rsidP="0062340E">
      <w:pPr>
        <w:tabs>
          <w:tab w:val="right" w:pos="281"/>
        </w:tabs>
        <w:bidi/>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sz w:val="24"/>
          <w:szCs w:val="24"/>
          <w:rtl/>
          <w:lang w:val="en-US" w:bidi="ar-DZ"/>
        </w:rPr>
        <w:t xml:space="preserve">يقدم </w:t>
      </w:r>
      <w:r w:rsidRPr="0062340E">
        <w:rPr>
          <w:rFonts w:ascii="Simplified Arabic" w:hAnsi="Simplified Arabic" w:cs="Simplified Arabic"/>
          <w:b/>
          <w:bCs/>
          <w:sz w:val="24"/>
          <w:szCs w:val="24"/>
          <w:rtl/>
          <w:lang w:val="en-US" w:bidi="ar-DZ"/>
        </w:rPr>
        <w:t>الفصل</w:t>
      </w:r>
      <w:r w:rsidRPr="0062340E">
        <w:rPr>
          <w:rFonts w:ascii="Simplified Arabic" w:hAnsi="Simplified Arabic" w:cs="Simplified Arabic"/>
          <w:sz w:val="24"/>
          <w:szCs w:val="24"/>
          <w:rtl/>
          <w:lang w:val="en-US" w:bidi="ar-DZ"/>
        </w:rPr>
        <w:t xml:space="preserve"> </w:t>
      </w:r>
      <w:r w:rsidR="00846950" w:rsidRPr="0062340E">
        <w:rPr>
          <w:rFonts w:ascii="Simplified Arabic" w:hAnsi="Simplified Arabic" w:cs="Simplified Arabic" w:hint="cs"/>
          <w:b/>
          <w:bCs/>
          <w:sz w:val="24"/>
          <w:szCs w:val="24"/>
          <w:rtl/>
          <w:lang w:val="en-US" w:bidi="ar-DZ"/>
        </w:rPr>
        <w:t>2</w:t>
      </w:r>
      <w:r w:rsidRPr="0062340E">
        <w:rPr>
          <w:rFonts w:ascii="Simplified Arabic" w:hAnsi="Simplified Arabic" w:cs="Simplified Arabic"/>
          <w:sz w:val="24"/>
          <w:szCs w:val="24"/>
          <w:rtl/>
          <w:lang w:val="en-US" w:bidi="ar-DZ"/>
        </w:rPr>
        <w:t xml:space="preserve"> </w:t>
      </w:r>
      <w:r w:rsidR="00C71ECA" w:rsidRPr="0062340E">
        <w:rPr>
          <w:rFonts w:ascii="Simplified Arabic" w:hAnsi="Simplified Arabic" w:cs="Simplified Arabic" w:hint="cs"/>
          <w:sz w:val="24"/>
          <w:szCs w:val="24"/>
          <w:rtl/>
          <w:lang w:val="en-US" w:bidi="ar-DZ"/>
        </w:rPr>
        <w:t>تحليل</w:t>
      </w:r>
      <w:r w:rsidR="005A7CE7" w:rsidRPr="0062340E">
        <w:rPr>
          <w:rFonts w:ascii="Simplified Arabic" w:hAnsi="Simplified Arabic" w:cs="Simplified Arabic" w:hint="cs"/>
          <w:sz w:val="24"/>
          <w:szCs w:val="24"/>
          <w:rtl/>
          <w:lang w:val="en-US" w:bidi="ar-DZ"/>
        </w:rPr>
        <w:t xml:space="preserve"> مناهج</w:t>
      </w:r>
      <w:r w:rsidR="005A7CE7" w:rsidRPr="0062340E">
        <w:rPr>
          <w:rFonts w:ascii="Simplified Arabic" w:hAnsi="Simplified Arabic" w:cs="Simplified Arabic"/>
          <w:sz w:val="24"/>
          <w:szCs w:val="24"/>
          <w:rtl/>
          <w:lang w:val="en-US" w:bidi="ar-DZ"/>
        </w:rPr>
        <w:t xml:space="preserve"> </w:t>
      </w:r>
      <w:r w:rsidR="005A7CE7" w:rsidRPr="0062340E">
        <w:rPr>
          <w:rFonts w:ascii="Simplified Arabic" w:hAnsi="Simplified Arabic" w:cs="Simplified Arabic" w:hint="cs"/>
          <w:sz w:val="24"/>
          <w:szCs w:val="24"/>
          <w:rtl/>
          <w:lang w:val="en-US" w:bidi="ar-DZ"/>
        </w:rPr>
        <w:t>واطر تقييم</w:t>
      </w:r>
      <w:r w:rsidR="005A7CE7" w:rsidRPr="0062340E">
        <w:rPr>
          <w:rFonts w:ascii="Simplified Arabic" w:hAnsi="Simplified Arabic" w:cs="Simplified Arabic"/>
          <w:sz w:val="24"/>
          <w:szCs w:val="24"/>
          <w:rtl/>
          <w:lang w:val="en-US" w:bidi="ar-DZ"/>
        </w:rPr>
        <w:t xml:space="preserve"> </w:t>
      </w:r>
      <w:r w:rsidR="005A7CE7" w:rsidRPr="0062340E">
        <w:rPr>
          <w:rFonts w:ascii="Simplified Arabic" w:hAnsi="Simplified Arabic" w:cs="Simplified Arabic" w:hint="cs"/>
          <w:sz w:val="24"/>
          <w:szCs w:val="24"/>
          <w:rtl/>
          <w:lang w:val="en-US" w:bidi="ar-DZ"/>
        </w:rPr>
        <w:t>وتفعيل المرونة</w:t>
      </w:r>
      <w:r w:rsidR="000B3925" w:rsidRPr="0062340E">
        <w:rPr>
          <w:rFonts w:ascii="Simplified Arabic" w:hAnsi="Simplified Arabic" w:cs="Simplified Arabic"/>
          <w:sz w:val="24"/>
          <w:szCs w:val="24"/>
          <w:rtl/>
          <w:lang w:val="en-US" w:bidi="ar-DZ"/>
        </w:rPr>
        <w:t xml:space="preserve">. </w:t>
      </w:r>
      <w:r w:rsidR="00201FE3" w:rsidRPr="0062340E">
        <w:rPr>
          <w:rFonts w:ascii="Simplified Arabic" w:hAnsi="Simplified Arabic" w:cs="Simplified Arabic" w:hint="cs"/>
          <w:sz w:val="24"/>
          <w:szCs w:val="24"/>
          <w:rtl/>
          <w:lang w:val="en-US" w:bidi="ar-DZ"/>
        </w:rPr>
        <w:t>كما يتم</w:t>
      </w:r>
      <w:r w:rsidR="000B3925" w:rsidRPr="0062340E">
        <w:rPr>
          <w:rFonts w:ascii="Simplified Arabic" w:hAnsi="Simplified Arabic" w:cs="Simplified Arabic"/>
          <w:sz w:val="24"/>
          <w:szCs w:val="24"/>
          <w:rtl/>
          <w:lang w:val="en-US" w:bidi="ar-DZ"/>
        </w:rPr>
        <w:t xml:space="preserve"> أيضًا </w:t>
      </w:r>
      <w:r w:rsidR="000300A1" w:rsidRPr="0062340E">
        <w:rPr>
          <w:rFonts w:ascii="Simplified Arabic" w:hAnsi="Simplified Arabic" w:cs="Simplified Arabic" w:hint="cs"/>
          <w:sz w:val="24"/>
          <w:szCs w:val="24"/>
          <w:rtl/>
          <w:lang w:val="en-US" w:bidi="ar-DZ"/>
        </w:rPr>
        <w:t xml:space="preserve">اجراء </w:t>
      </w:r>
      <w:r w:rsidR="000B3925" w:rsidRPr="0062340E">
        <w:rPr>
          <w:rFonts w:ascii="Simplified Arabic" w:hAnsi="Simplified Arabic" w:cs="Simplified Arabic"/>
          <w:sz w:val="24"/>
          <w:szCs w:val="24"/>
          <w:rtl/>
          <w:lang w:val="en-US"/>
        </w:rPr>
        <w:t>مقارنة</w:t>
      </w:r>
      <w:r w:rsidR="00EF3F25" w:rsidRPr="0062340E">
        <w:rPr>
          <w:rFonts w:ascii="Simplified Arabic" w:hAnsi="Simplified Arabic" w:cs="Simplified Arabic" w:hint="cs"/>
          <w:sz w:val="24"/>
          <w:szCs w:val="24"/>
          <w:rtl/>
          <w:lang w:val="en-US"/>
        </w:rPr>
        <w:t xml:space="preserve"> معيارية</w:t>
      </w:r>
      <w:r w:rsidR="000B3925" w:rsidRPr="0062340E">
        <w:rPr>
          <w:rFonts w:ascii="Simplified Arabic" w:hAnsi="Simplified Arabic" w:cs="Simplified Arabic"/>
          <w:sz w:val="24"/>
          <w:szCs w:val="24"/>
          <w:rtl/>
          <w:lang w:val="en-US"/>
        </w:rPr>
        <w:t xml:space="preserve"> لأطر </w:t>
      </w:r>
      <w:r w:rsidR="00201FE3" w:rsidRPr="0062340E">
        <w:rPr>
          <w:rFonts w:ascii="Simplified Arabic" w:hAnsi="Simplified Arabic" w:cs="Simplified Arabic" w:hint="cs"/>
          <w:sz w:val="24"/>
          <w:szCs w:val="24"/>
          <w:rtl/>
          <w:lang w:val="en-US"/>
        </w:rPr>
        <w:t xml:space="preserve">ونماذج </w:t>
      </w:r>
      <w:r w:rsidR="000300A1" w:rsidRPr="0062340E">
        <w:rPr>
          <w:rFonts w:ascii="Simplified Arabic" w:hAnsi="Simplified Arabic" w:cs="Simplified Arabic" w:hint="cs"/>
          <w:sz w:val="24"/>
          <w:szCs w:val="24"/>
          <w:rtl/>
          <w:lang w:val="en-US"/>
        </w:rPr>
        <w:t>ال</w:t>
      </w:r>
      <w:r w:rsidR="000300A1" w:rsidRPr="0062340E">
        <w:rPr>
          <w:rFonts w:ascii="Simplified Arabic" w:hAnsi="Simplified Arabic" w:cs="Simplified Arabic"/>
          <w:sz w:val="24"/>
          <w:szCs w:val="24"/>
          <w:rtl/>
          <w:lang w:val="en-US"/>
        </w:rPr>
        <w:t>تقييم</w:t>
      </w:r>
      <w:r w:rsidR="000B3925" w:rsidRPr="0062340E">
        <w:rPr>
          <w:rFonts w:ascii="Simplified Arabic" w:hAnsi="Simplified Arabic" w:cs="Simplified Arabic"/>
          <w:sz w:val="24"/>
          <w:szCs w:val="24"/>
          <w:rtl/>
          <w:lang w:val="en-US"/>
        </w:rPr>
        <w:t xml:space="preserve">، </w:t>
      </w:r>
      <w:r w:rsidR="000362A7" w:rsidRPr="0062340E">
        <w:rPr>
          <w:rFonts w:ascii="Simplified Arabic" w:hAnsi="Simplified Arabic" w:cs="Simplified Arabic" w:hint="cs"/>
          <w:sz w:val="24"/>
          <w:szCs w:val="24"/>
          <w:rtl/>
          <w:lang w:val="en-US"/>
        </w:rPr>
        <w:t>التي تسمح فيما بعد ب</w:t>
      </w:r>
      <w:r w:rsidR="000B3925" w:rsidRPr="0062340E">
        <w:rPr>
          <w:rFonts w:ascii="Simplified Arabic" w:hAnsi="Simplified Arabic" w:cs="Simplified Arabic"/>
          <w:sz w:val="24"/>
          <w:szCs w:val="24"/>
          <w:rtl/>
          <w:lang w:val="en-US"/>
        </w:rPr>
        <w:t xml:space="preserve">تحديد عوامل التقييم الاولية المناسبة التي سيتم استخدامها لدعم مرحلة تطوير </w:t>
      </w:r>
      <w:r w:rsidR="00B3795C" w:rsidRPr="0062340E">
        <w:rPr>
          <w:rFonts w:ascii="Simplified Arabic" w:hAnsi="Simplified Arabic" w:cs="Simplified Arabic" w:hint="cs"/>
          <w:sz w:val="24"/>
          <w:szCs w:val="24"/>
          <w:rtl/>
          <w:lang w:val="en-US"/>
        </w:rPr>
        <w:t>اطار عمل</w:t>
      </w:r>
      <w:r w:rsidR="000B3925" w:rsidRPr="0062340E">
        <w:rPr>
          <w:rFonts w:ascii="Simplified Arabic" w:hAnsi="Simplified Arabic" w:cs="Simplified Arabic"/>
          <w:sz w:val="24"/>
          <w:szCs w:val="24"/>
          <w:rtl/>
          <w:lang w:val="en-US"/>
        </w:rPr>
        <w:t xml:space="preserve"> جديد.</w:t>
      </w:r>
    </w:p>
    <w:p w:rsidR="0022082E" w:rsidRPr="0062340E" w:rsidRDefault="0022082E" w:rsidP="00F500B8">
      <w:pPr>
        <w:tabs>
          <w:tab w:val="right" w:pos="281"/>
        </w:tabs>
        <w:bidi/>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sz w:val="24"/>
          <w:szCs w:val="24"/>
          <w:rtl/>
          <w:lang w:val="en-US"/>
        </w:rPr>
        <w:t xml:space="preserve">يستعرض </w:t>
      </w:r>
      <w:r w:rsidRPr="0062340E">
        <w:rPr>
          <w:rFonts w:ascii="Simplified Arabic" w:hAnsi="Simplified Arabic" w:cs="Simplified Arabic"/>
          <w:b/>
          <w:bCs/>
          <w:sz w:val="24"/>
          <w:szCs w:val="24"/>
          <w:rtl/>
          <w:lang w:val="en-US" w:bidi="ar-DZ"/>
        </w:rPr>
        <w:t xml:space="preserve">الفصل </w:t>
      </w:r>
      <w:r w:rsidR="00846950" w:rsidRPr="0062340E">
        <w:rPr>
          <w:rFonts w:ascii="Simplified Arabic" w:hAnsi="Simplified Arabic" w:cs="Simplified Arabic" w:hint="cs"/>
          <w:b/>
          <w:bCs/>
          <w:sz w:val="24"/>
          <w:szCs w:val="24"/>
          <w:rtl/>
          <w:lang w:val="en-US" w:bidi="ar-DZ"/>
        </w:rPr>
        <w:t>3</w:t>
      </w:r>
      <w:r w:rsidR="00DC79FC" w:rsidRPr="0062340E">
        <w:rPr>
          <w:rFonts w:ascii="Simplified Arabic" w:hAnsi="Simplified Arabic" w:cs="Simplified Arabic"/>
          <w:sz w:val="24"/>
          <w:szCs w:val="24"/>
          <w:rtl/>
          <w:lang w:val="en-US"/>
        </w:rPr>
        <w:t xml:space="preserve"> </w:t>
      </w:r>
      <w:r w:rsidR="00D10D3E" w:rsidRPr="0062340E">
        <w:rPr>
          <w:rFonts w:ascii="Simplified Arabic" w:hAnsi="Simplified Arabic" w:cs="Simplified Arabic" w:hint="cs"/>
          <w:sz w:val="24"/>
          <w:szCs w:val="24"/>
          <w:rtl/>
          <w:lang w:val="en-US" w:bidi="ar-DZ"/>
        </w:rPr>
        <w:t>تطوير اطار عمل</w:t>
      </w:r>
      <w:r w:rsidR="00D10D3E" w:rsidRPr="0062340E">
        <w:rPr>
          <w:rFonts w:ascii="Simplified Arabic" w:hAnsi="Simplified Arabic" w:cs="Simplified Arabic"/>
          <w:sz w:val="24"/>
          <w:szCs w:val="24"/>
          <w:rtl/>
          <w:lang w:val="en-US" w:bidi="ar-DZ"/>
        </w:rPr>
        <w:t xml:space="preserve"> تقييم </w:t>
      </w:r>
      <w:r w:rsidR="00D10D3E" w:rsidRPr="0062340E">
        <w:rPr>
          <w:rFonts w:ascii="Simplified Arabic" w:hAnsi="Simplified Arabic" w:cs="Simplified Arabic" w:hint="cs"/>
          <w:sz w:val="24"/>
          <w:szCs w:val="24"/>
          <w:rtl/>
          <w:lang w:val="en-US" w:bidi="ar-DZ"/>
        </w:rPr>
        <w:t>المرونة</w:t>
      </w:r>
      <w:r w:rsidR="00D10D3E" w:rsidRPr="0062340E">
        <w:rPr>
          <w:rFonts w:ascii="Simplified Arabic" w:hAnsi="Simplified Arabic" w:cs="Simplified Arabic"/>
          <w:sz w:val="24"/>
          <w:szCs w:val="24"/>
          <w:rtl/>
          <w:lang w:val="en-US" w:bidi="ar-DZ"/>
        </w:rPr>
        <w:t xml:space="preserve"> الحضرية</w:t>
      </w:r>
      <w:r w:rsidR="00D10D3E" w:rsidRPr="0062340E">
        <w:rPr>
          <w:rFonts w:ascii="Simplified Arabic" w:hAnsi="Simplified Arabic" w:cs="Simplified Arabic" w:hint="cs"/>
          <w:sz w:val="24"/>
          <w:szCs w:val="24"/>
          <w:rtl/>
          <w:lang w:val="en-US" w:bidi="ar-DZ"/>
        </w:rPr>
        <w:t xml:space="preserve"> </w:t>
      </w:r>
      <w:r w:rsidRPr="0062340E">
        <w:rPr>
          <w:rFonts w:ascii="Simplified Arabic" w:hAnsi="Simplified Arabic" w:cs="Simplified Arabic"/>
          <w:sz w:val="24"/>
          <w:szCs w:val="24"/>
          <w:rtl/>
          <w:lang w:val="en-US"/>
        </w:rPr>
        <w:t>التي تدعم هذ</w:t>
      </w:r>
      <w:r w:rsidR="00DC79FC" w:rsidRPr="0062340E">
        <w:rPr>
          <w:rFonts w:ascii="Simplified Arabic" w:hAnsi="Simplified Arabic" w:cs="Simplified Arabic" w:hint="cs"/>
          <w:sz w:val="24"/>
          <w:szCs w:val="24"/>
          <w:rtl/>
          <w:lang w:val="en-US"/>
        </w:rPr>
        <w:t>ه</w:t>
      </w:r>
      <w:r w:rsidRPr="0062340E">
        <w:rPr>
          <w:rFonts w:ascii="Simplified Arabic" w:hAnsi="Simplified Arabic" w:cs="Simplified Arabic"/>
          <w:sz w:val="24"/>
          <w:szCs w:val="24"/>
          <w:rtl/>
          <w:lang w:val="en-US"/>
        </w:rPr>
        <w:t xml:space="preserve"> </w:t>
      </w:r>
      <w:r w:rsidR="00DC79FC" w:rsidRPr="0062340E">
        <w:rPr>
          <w:rFonts w:ascii="Simplified Arabic" w:hAnsi="Simplified Arabic" w:cs="Simplified Arabic" w:hint="cs"/>
          <w:sz w:val="24"/>
          <w:szCs w:val="24"/>
          <w:rtl/>
          <w:lang w:val="en-US"/>
        </w:rPr>
        <w:t>الدراسة</w:t>
      </w:r>
      <w:r w:rsidRPr="0062340E">
        <w:rPr>
          <w:rFonts w:ascii="Simplified Arabic" w:hAnsi="Simplified Arabic" w:cs="Simplified Arabic"/>
          <w:sz w:val="24"/>
          <w:szCs w:val="24"/>
          <w:rtl/>
          <w:lang w:val="en-US"/>
        </w:rPr>
        <w:t>. يتم توفير تفاصيل ومبررات محددة لمنهجية البحث و</w:t>
      </w:r>
      <w:r w:rsidR="00C921E8" w:rsidRPr="0062340E">
        <w:rPr>
          <w:rFonts w:ascii="Simplified Arabic" w:hAnsi="Simplified Arabic" w:cs="Simplified Arabic" w:hint="cs"/>
          <w:sz w:val="24"/>
          <w:szCs w:val="24"/>
          <w:rtl/>
          <w:lang w:val="en-US"/>
        </w:rPr>
        <w:t xml:space="preserve">استعراض </w:t>
      </w:r>
      <w:r w:rsidRPr="0062340E">
        <w:rPr>
          <w:rFonts w:ascii="Simplified Arabic" w:hAnsi="Simplified Arabic" w:cs="Simplified Arabic"/>
          <w:sz w:val="24"/>
          <w:szCs w:val="24"/>
          <w:rtl/>
          <w:lang w:val="en-US"/>
        </w:rPr>
        <w:t>الأدوات و</w:t>
      </w:r>
      <w:r w:rsidR="006C54D9" w:rsidRPr="0062340E">
        <w:rPr>
          <w:rFonts w:ascii="Simplified Arabic" w:hAnsi="Simplified Arabic" w:cs="Simplified Arabic" w:hint="cs"/>
          <w:sz w:val="24"/>
          <w:szCs w:val="24"/>
          <w:rtl/>
          <w:lang w:val="en-US"/>
        </w:rPr>
        <w:t>التقنيات</w:t>
      </w:r>
      <w:r w:rsidRPr="0062340E">
        <w:rPr>
          <w:rFonts w:ascii="Simplified Arabic" w:hAnsi="Simplified Arabic" w:cs="Simplified Arabic"/>
          <w:sz w:val="24"/>
          <w:szCs w:val="24"/>
          <w:rtl/>
          <w:lang w:val="en-US"/>
        </w:rPr>
        <w:t xml:space="preserve"> المستخدمة</w:t>
      </w:r>
      <w:r w:rsidR="00BE3C15" w:rsidRPr="0062340E">
        <w:rPr>
          <w:rFonts w:ascii="Simplified Arabic" w:hAnsi="Simplified Arabic" w:cs="Simplified Arabic"/>
          <w:sz w:val="24"/>
          <w:szCs w:val="24"/>
          <w:rtl/>
          <w:lang w:val="en-US"/>
        </w:rPr>
        <w:t xml:space="preserve"> </w:t>
      </w:r>
      <w:r w:rsidR="00D10D3E" w:rsidRPr="0062340E">
        <w:rPr>
          <w:rFonts w:ascii="Simplified Arabic" w:hAnsi="Simplified Arabic" w:cs="Simplified Arabic" w:hint="cs"/>
          <w:sz w:val="24"/>
          <w:szCs w:val="24"/>
          <w:rtl/>
          <w:lang w:val="en-US"/>
        </w:rPr>
        <w:t xml:space="preserve">لاطار العمل </w:t>
      </w:r>
      <w:r w:rsidR="006C54D9" w:rsidRPr="0062340E">
        <w:rPr>
          <w:rFonts w:ascii="Simplified Arabic" w:hAnsi="Simplified Arabic" w:cs="Simplified Arabic" w:hint="cs"/>
          <w:sz w:val="24"/>
          <w:szCs w:val="24"/>
          <w:rtl/>
          <w:lang w:val="en-US"/>
        </w:rPr>
        <w:t>الجديد</w:t>
      </w:r>
      <w:r w:rsidRPr="0062340E">
        <w:rPr>
          <w:rFonts w:ascii="Simplified Arabic" w:hAnsi="Simplified Arabic" w:cs="Simplified Arabic"/>
          <w:sz w:val="24"/>
          <w:szCs w:val="24"/>
          <w:rtl/>
          <w:lang w:val="en-US"/>
        </w:rPr>
        <w:t xml:space="preserve">. </w:t>
      </w:r>
      <w:r w:rsidR="00BE3C15" w:rsidRPr="0062340E">
        <w:rPr>
          <w:rFonts w:ascii="Simplified Arabic" w:hAnsi="Simplified Arabic" w:cs="Simplified Arabic" w:hint="cs"/>
          <w:sz w:val="24"/>
          <w:szCs w:val="24"/>
          <w:rtl/>
          <w:lang w:val="en-US"/>
        </w:rPr>
        <w:t>من بينها</w:t>
      </w:r>
      <w:r w:rsidRPr="0062340E">
        <w:rPr>
          <w:rFonts w:ascii="Simplified Arabic" w:hAnsi="Simplified Arabic" w:cs="Simplified Arabic"/>
          <w:sz w:val="24"/>
          <w:szCs w:val="24"/>
          <w:rtl/>
          <w:lang w:val="en-US"/>
        </w:rPr>
        <w:t xml:space="preserve"> طريقة بناء الإجماع </w:t>
      </w:r>
      <w:r w:rsidR="00BE3C15" w:rsidRPr="0062340E">
        <w:rPr>
          <w:rFonts w:ascii="Simplified Arabic" w:hAnsi="Simplified Arabic" w:cs="Simplified Arabic" w:hint="cs"/>
          <w:sz w:val="24"/>
          <w:szCs w:val="24"/>
          <w:rtl/>
          <w:lang w:val="en-US"/>
        </w:rPr>
        <w:t xml:space="preserve">المتمثلة في </w:t>
      </w:r>
      <w:r w:rsidR="00985A7F" w:rsidRPr="0062340E">
        <w:rPr>
          <w:rFonts w:ascii="Simplified Arabic" w:hAnsi="Simplified Arabic" w:cs="Simplified Arabic"/>
          <w:sz w:val="24"/>
          <w:szCs w:val="24"/>
          <w:rtl/>
          <w:lang w:val="en-US"/>
        </w:rPr>
        <w:t xml:space="preserve">تقنية دلفي </w:t>
      </w:r>
      <w:r w:rsidRPr="0062340E">
        <w:rPr>
          <w:rFonts w:ascii="Simplified Arabic" w:hAnsi="Simplified Arabic" w:cs="Simplified Arabic"/>
          <w:sz w:val="24"/>
          <w:szCs w:val="24"/>
          <w:rtl/>
          <w:lang w:val="en-US"/>
        </w:rPr>
        <w:t>(</w:t>
      </w:r>
      <w:r w:rsidR="00985A7F" w:rsidRPr="0062340E">
        <w:rPr>
          <w:rFonts w:asciiTheme="majorBidi" w:hAnsiTheme="majorBidi" w:cstheme="majorBidi"/>
          <w:sz w:val="24"/>
          <w:szCs w:val="24"/>
          <w:lang w:val="en-US"/>
        </w:rPr>
        <w:t>technique</w:t>
      </w:r>
      <w:r w:rsidR="00985A7F" w:rsidRPr="0062340E">
        <w:rPr>
          <w:rFonts w:ascii="Simplified Arabic" w:hAnsi="Simplified Arabic" w:cs="Simplified Arabic"/>
          <w:sz w:val="24"/>
          <w:szCs w:val="24"/>
          <w:lang w:val="en-US"/>
        </w:rPr>
        <w:t xml:space="preserve"> </w:t>
      </w:r>
      <w:r w:rsidR="00985A7F" w:rsidRPr="0062340E">
        <w:rPr>
          <w:rFonts w:asciiTheme="majorBidi" w:hAnsiTheme="majorBidi" w:cstheme="majorBidi"/>
          <w:sz w:val="24"/>
          <w:szCs w:val="24"/>
          <w:lang w:val="en-US"/>
        </w:rPr>
        <w:t>Delphi</w:t>
      </w:r>
      <w:r w:rsidRPr="0062340E">
        <w:rPr>
          <w:rFonts w:ascii="Simplified Arabic" w:hAnsi="Simplified Arabic" w:cs="Simplified Arabic"/>
          <w:sz w:val="24"/>
          <w:szCs w:val="24"/>
          <w:rtl/>
          <w:lang w:val="en-US"/>
        </w:rPr>
        <w:t>) وعملية التحليل الهرمي التسلسلي</w:t>
      </w:r>
      <w:r w:rsidRPr="0062340E">
        <w:rPr>
          <w:rFonts w:asciiTheme="minorBidi" w:hAnsiTheme="minorBidi"/>
          <w:sz w:val="24"/>
          <w:szCs w:val="24"/>
          <w:rtl/>
          <w:lang w:val="en-US"/>
        </w:rPr>
        <w:t xml:space="preserve"> </w:t>
      </w:r>
      <w:r w:rsidRPr="0062340E">
        <w:rPr>
          <w:rFonts w:asciiTheme="majorBidi" w:hAnsiTheme="majorBidi" w:cstheme="majorBidi"/>
          <w:sz w:val="24"/>
          <w:szCs w:val="24"/>
          <w:rtl/>
          <w:lang w:val="en-US"/>
        </w:rPr>
        <w:t>(</w:t>
      </w:r>
      <w:r w:rsidRPr="0062340E">
        <w:rPr>
          <w:rFonts w:asciiTheme="majorBidi" w:hAnsiTheme="majorBidi" w:cstheme="majorBidi"/>
          <w:sz w:val="24"/>
          <w:szCs w:val="24"/>
          <w:lang w:val="en-US"/>
        </w:rPr>
        <w:t>AHP</w:t>
      </w:r>
      <w:r w:rsidRPr="0062340E">
        <w:rPr>
          <w:rFonts w:asciiTheme="majorBidi" w:hAnsiTheme="majorBidi" w:cstheme="majorBidi"/>
          <w:sz w:val="24"/>
          <w:szCs w:val="24"/>
          <w:rtl/>
          <w:lang w:val="en-US"/>
        </w:rPr>
        <w:t>)</w:t>
      </w:r>
      <w:r w:rsidRPr="0062340E">
        <w:rPr>
          <w:rFonts w:asciiTheme="minorBidi" w:hAnsiTheme="minorBidi"/>
          <w:sz w:val="24"/>
          <w:szCs w:val="24"/>
          <w:rtl/>
          <w:lang w:val="en-US"/>
        </w:rPr>
        <w:t xml:space="preserve"> </w:t>
      </w:r>
      <w:r w:rsidRPr="0062340E">
        <w:rPr>
          <w:rFonts w:ascii="Simplified Arabic" w:hAnsi="Simplified Arabic" w:cs="Simplified Arabic"/>
          <w:sz w:val="24"/>
          <w:szCs w:val="24"/>
          <w:rtl/>
          <w:lang w:val="en-US"/>
        </w:rPr>
        <w:t xml:space="preserve">المستخدمة لتخصيص نظام الترجيح </w:t>
      </w:r>
      <w:r w:rsidR="00985A7F" w:rsidRPr="0062340E">
        <w:rPr>
          <w:rFonts w:ascii="Simplified Arabic" w:hAnsi="Simplified Arabic" w:cs="Simplified Arabic" w:hint="cs"/>
          <w:sz w:val="24"/>
          <w:szCs w:val="24"/>
          <w:rtl/>
          <w:lang w:val="en-US"/>
        </w:rPr>
        <w:t>و</w:t>
      </w:r>
      <w:r w:rsidR="00B364CE" w:rsidRPr="0062340E">
        <w:rPr>
          <w:rFonts w:ascii="Simplified Arabic" w:hAnsi="Simplified Arabic" w:cs="Simplified Arabic" w:hint="cs"/>
          <w:sz w:val="24"/>
          <w:szCs w:val="24"/>
          <w:rtl/>
          <w:lang w:val="en-US"/>
        </w:rPr>
        <w:t xml:space="preserve">اختيار </w:t>
      </w:r>
      <w:r w:rsidR="00985A7F" w:rsidRPr="0062340E">
        <w:rPr>
          <w:rFonts w:ascii="Simplified Arabic" w:hAnsi="Simplified Arabic" w:cs="Simplified Arabic" w:hint="cs"/>
          <w:sz w:val="24"/>
          <w:szCs w:val="24"/>
          <w:rtl/>
          <w:lang w:val="en-US"/>
        </w:rPr>
        <w:t>تقنية نظم المعلومات الجغرافية</w:t>
      </w:r>
      <w:r w:rsidR="00985A7F" w:rsidRPr="0062340E">
        <w:rPr>
          <w:rFonts w:ascii="Simplified Arabic" w:hAnsi="Simplified Arabic" w:cs="Simplified Arabic"/>
          <w:sz w:val="24"/>
          <w:szCs w:val="24"/>
          <w:lang w:val="en-US"/>
        </w:rPr>
        <w:t xml:space="preserve"> </w:t>
      </w:r>
      <w:r w:rsidR="00985A7F" w:rsidRPr="0062340E">
        <w:rPr>
          <w:rFonts w:asciiTheme="majorBidi" w:hAnsiTheme="majorBidi" w:cstheme="majorBidi"/>
          <w:sz w:val="24"/>
          <w:szCs w:val="24"/>
          <w:rtl/>
          <w:lang w:val="en-US"/>
        </w:rPr>
        <w:t>(</w:t>
      </w:r>
      <w:r w:rsidR="00985A7F" w:rsidRPr="0062340E">
        <w:rPr>
          <w:rFonts w:asciiTheme="majorBidi" w:hAnsiTheme="majorBidi" w:cstheme="majorBidi"/>
          <w:sz w:val="24"/>
          <w:szCs w:val="24"/>
          <w:lang w:val="en-US"/>
        </w:rPr>
        <w:t>GIS</w:t>
      </w:r>
      <w:r w:rsidR="00985A7F" w:rsidRPr="0062340E">
        <w:rPr>
          <w:rFonts w:asciiTheme="majorBidi" w:hAnsiTheme="majorBidi" w:cstheme="majorBidi"/>
          <w:sz w:val="24"/>
          <w:szCs w:val="24"/>
          <w:rtl/>
          <w:lang w:val="en-US"/>
        </w:rPr>
        <w:t>)</w:t>
      </w:r>
      <w:r w:rsidR="00BE3C15" w:rsidRPr="0062340E">
        <w:rPr>
          <w:rFonts w:asciiTheme="majorBidi" w:hAnsiTheme="majorBidi" w:cstheme="majorBidi" w:hint="cs"/>
          <w:sz w:val="24"/>
          <w:szCs w:val="24"/>
          <w:rtl/>
          <w:lang w:val="en-US"/>
        </w:rPr>
        <w:t xml:space="preserve"> </w:t>
      </w:r>
      <w:r w:rsidR="00BE3C15" w:rsidRPr="0062340E">
        <w:rPr>
          <w:rFonts w:ascii="Simplified Arabic" w:hAnsi="Simplified Arabic" w:cs="Simplified Arabic" w:hint="cs"/>
          <w:sz w:val="24"/>
          <w:szCs w:val="24"/>
          <w:rtl/>
          <w:lang w:val="en-US"/>
        </w:rPr>
        <w:t>لتمثيل النتائج بيانيًا</w:t>
      </w:r>
      <w:r w:rsidR="009B543A" w:rsidRPr="0062340E">
        <w:rPr>
          <w:rFonts w:ascii="Simplified Arabic" w:hAnsi="Simplified Arabic" w:cs="Simplified Arabic" w:hint="cs"/>
          <w:sz w:val="24"/>
          <w:szCs w:val="24"/>
          <w:rtl/>
          <w:lang w:val="en-US"/>
        </w:rPr>
        <w:t xml:space="preserve"> من خلال </w:t>
      </w:r>
      <w:r w:rsidR="009B543A" w:rsidRPr="0062340E">
        <w:rPr>
          <w:rFonts w:ascii="Simplified Arabic" w:hAnsi="Simplified Arabic" w:cs="Simplified Arabic"/>
          <w:sz w:val="24"/>
          <w:szCs w:val="24"/>
          <w:rtl/>
          <w:lang w:val="en-US"/>
        </w:rPr>
        <w:t>بر</w:t>
      </w:r>
      <w:r w:rsidR="009B543A" w:rsidRPr="0062340E">
        <w:rPr>
          <w:rFonts w:ascii="Simplified Arabic" w:hAnsi="Simplified Arabic" w:cs="Simplified Arabic" w:hint="cs"/>
          <w:sz w:val="24"/>
          <w:szCs w:val="24"/>
          <w:rtl/>
          <w:lang w:val="en-US"/>
        </w:rPr>
        <w:t>ن</w:t>
      </w:r>
      <w:r w:rsidR="009B543A" w:rsidRPr="0062340E">
        <w:rPr>
          <w:rFonts w:ascii="Simplified Arabic" w:hAnsi="Simplified Arabic" w:cs="Simplified Arabic"/>
          <w:sz w:val="24"/>
          <w:szCs w:val="24"/>
          <w:rtl/>
          <w:lang w:val="en-US"/>
        </w:rPr>
        <w:t>امج</w:t>
      </w:r>
      <w:r w:rsidR="009B543A" w:rsidRPr="0062340E">
        <w:rPr>
          <w:rFonts w:ascii="Simplified Arabic" w:hAnsi="Simplified Arabic" w:cs="Simplified Arabic"/>
          <w:sz w:val="24"/>
          <w:szCs w:val="24"/>
          <w:rtl/>
          <w:lang w:bidi="ar-DZ"/>
        </w:rPr>
        <w:t xml:space="preserve"> </w:t>
      </w:r>
      <w:r w:rsidR="009B543A" w:rsidRPr="0062340E">
        <w:rPr>
          <w:rFonts w:asciiTheme="majorBidi" w:hAnsiTheme="majorBidi" w:cstheme="majorBidi" w:hint="cs"/>
          <w:sz w:val="24"/>
          <w:szCs w:val="24"/>
          <w:rtl/>
        </w:rPr>
        <w:t>(</w:t>
      </w:r>
      <w:r w:rsidR="009B543A" w:rsidRPr="0062340E">
        <w:rPr>
          <w:rFonts w:asciiTheme="majorBidi" w:hAnsiTheme="majorBidi" w:cstheme="majorBidi"/>
          <w:sz w:val="24"/>
          <w:szCs w:val="24"/>
        </w:rPr>
        <w:t>Arc GIS 10.3</w:t>
      </w:r>
      <w:r w:rsidR="009B543A" w:rsidRPr="0062340E">
        <w:rPr>
          <w:rFonts w:asciiTheme="majorBidi" w:hAnsiTheme="majorBidi" w:cstheme="majorBidi" w:hint="cs"/>
          <w:sz w:val="24"/>
          <w:szCs w:val="24"/>
          <w:rtl/>
        </w:rPr>
        <w:t>)</w:t>
      </w:r>
      <w:r w:rsidRPr="0062340E">
        <w:rPr>
          <w:rFonts w:ascii="Simplified Arabic" w:hAnsi="Simplified Arabic" w:cs="Simplified Arabic"/>
          <w:sz w:val="24"/>
          <w:szCs w:val="24"/>
          <w:rtl/>
          <w:lang w:val="en-US"/>
        </w:rPr>
        <w:t>.</w:t>
      </w:r>
      <w:r w:rsidRPr="0062340E">
        <w:rPr>
          <w:rFonts w:ascii="Simplified Arabic" w:hAnsi="Simplified Arabic" w:cs="Simplified Arabic"/>
          <w:sz w:val="24"/>
          <w:szCs w:val="24"/>
          <w:rtl/>
          <w:lang w:val="en-US" w:bidi="ar-DZ"/>
        </w:rPr>
        <w:t xml:space="preserve"> </w:t>
      </w:r>
    </w:p>
    <w:p w:rsidR="007C3AF7" w:rsidRPr="0062340E" w:rsidRDefault="00846950" w:rsidP="00206E75">
      <w:pPr>
        <w:tabs>
          <w:tab w:val="right" w:pos="281"/>
        </w:tabs>
        <w:bidi/>
        <w:spacing w:after="0"/>
        <w:ind w:hanging="2"/>
        <w:jc w:val="both"/>
        <w:rPr>
          <w:rFonts w:ascii="Simplified Arabic" w:hAnsi="Simplified Arabic" w:cs="Simplified Arabic"/>
          <w:sz w:val="24"/>
          <w:szCs w:val="24"/>
          <w:rtl/>
          <w:lang w:val="en-US"/>
        </w:rPr>
      </w:pPr>
      <w:r w:rsidRPr="0062340E">
        <w:rPr>
          <w:rFonts w:ascii="Simplified Arabic" w:hAnsi="Simplified Arabic" w:cs="Simplified Arabic" w:hint="cs"/>
          <w:b/>
          <w:bCs/>
          <w:sz w:val="24"/>
          <w:szCs w:val="24"/>
          <w:rtl/>
          <w:lang w:val="en-US"/>
        </w:rPr>
        <w:t>الجزء الثالث</w:t>
      </w:r>
      <w:r w:rsidR="003F3134" w:rsidRPr="0062340E">
        <w:rPr>
          <w:rFonts w:ascii="Simplified Arabic" w:hAnsi="Simplified Arabic" w:cs="Simplified Arabic" w:hint="cs"/>
          <w:b/>
          <w:bCs/>
          <w:sz w:val="24"/>
          <w:szCs w:val="24"/>
          <w:rtl/>
          <w:lang w:val="en-US"/>
        </w:rPr>
        <w:t>-</w:t>
      </w:r>
      <w:r w:rsidRPr="0062340E">
        <w:rPr>
          <w:rFonts w:ascii="Simplified Arabic" w:hAnsi="Simplified Arabic" w:cs="Simplified Arabic" w:hint="cs"/>
          <w:b/>
          <w:bCs/>
          <w:sz w:val="24"/>
          <w:szCs w:val="24"/>
          <w:rtl/>
          <w:lang w:val="en-US"/>
        </w:rPr>
        <w:t xml:space="preserve"> الاطار التطبيقي </w:t>
      </w:r>
      <w:r w:rsidR="00206E75" w:rsidRPr="0062340E">
        <w:rPr>
          <w:rFonts w:ascii="Simplified Arabic" w:hAnsi="Simplified Arabic" w:cs="Simplified Arabic" w:hint="cs"/>
          <w:b/>
          <w:bCs/>
          <w:sz w:val="24"/>
          <w:szCs w:val="24"/>
          <w:rtl/>
          <w:lang w:val="en-US"/>
        </w:rPr>
        <w:t>للبحث</w:t>
      </w:r>
      <w:r w:rsidRPr="0062340E">
        <w:rPr>
          <w:rFonts w:ascii="Simplified Arabic" w:hAnsi="Simplified Arabic" w:cs="Simplified Arabic" w:hint="cs"/>
          <w:b/>
          <w:bCs/>
          <w:sz w:val="24"/>
          <w:szCs w:val="24"/>
          <w:rtl/>
          <w:lang w:val="en-US"/>
        </w:rPr>
        <w:t xml:space="preserve">: </w:t>
      </w:r>
      <w:r w:rsidRPr="0062340E">
        <w:rPr>
          <w:rFonts w:ascii="Simplified Arabic" w:hAnsi="Simplified Arabic" w:cs="Simplified Arabic" w:hint="cs"/>
          <w:sz w:val="24"/>
          <w:szCs w:val="24"/>
          <w:rtl/>
          <w:lang w:val="en-US"/>
        </w:rPr>
        <w:t>يتضمن ايضا ثلاثة فصول</w:t>
      </w:r>
    </w:p>
    <w:p w:rsidR="003B0C39" w:rsidRPr="0062340E" w:rsidRDefault="00D10D3E" w:rsidP="0062340E">
      <w:pPr>
        <w:tabs>
          <w:tab w:val="right" w:pos="281"/>
        </w:tabs>
        <w:bidi/>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يبين</w:t>
      </w:r>
      <w:r w:rsidR="003B0C39" w:rsidRPr="0062340E">
        <w:rPr>
          <w:rFonts w:ascii="Simplified Arabic" w:hAnsi="Simplified Arabic" w:cs="Simplified Arabic" w:hint="cs"/>
          <w:sz w:val="24"/>
          <w:szCs w:val="24"/>
          <w:rtl/>
          <w:lang w:val="en-US" w:bidi="ar-DZ"/>
        </w:rPr>
        <w:t xml:space="preserve"> </w:t>
      </w:r>
      <w:r w:rsidR="003B0C39" w:rsidRPr="0062340E">
        <w:rPr>
          <w:rFonts w:ascii="Simplified Arabic" w:hAnsi="Simplified Arabic" w:cs="Simplified Arabic" w:hint="cs"/>
          <w:b/>
          <w:bCs/>
          <w:sz w:val="24"/>
          <w:szCs w:val="24"/>
          <w:rtl/>
          <w:lang w:val="en-US" w:bidi="ar-DZ"/>
        </w:rPr>
        <w:t xml:space="preserve">الفصل </w:t>
      </w:r>
      <w:r w:rsidR="005172EB" w:rsidRPr="0062340E">
        <w:rPr>
          <w:rFonts w:ascii="Simplified Arabic" w:hAnsi="Simplified Arabic" w:cs="Simplified Arabic" w:hint="cs"/>
          <w:b/>
          <w:bCs/>
          <w:sz w:val="24"/>
          <w:szCs w:val="24"/>
          <w:rtl/>
          <w:lang w:val="en-US" w:bidi="ar-DZ"/>
        </w:rPr>
        <w:t>4</w:t>
      </w:r>
      <w:r w:rsidR="003B0C39" w:rsidRPr="0062340E">
        <w:rPr>
          <w:rFonts w:ascii="Simplified Arabic" w:hAnsi="Simplified Arabic" w:cs="Simplified Arabic" w:hint="cs"/>
          <w:sz w:val="24"/>
          <w:szCs w:val="24"/>
          <w:rtl/>
          <w:lang w:val="en-US" w:bidi="ar-DZ"/>
        </w:rPr>
        <w:t xml:space="preserve"> </w:t>
      </w:r>
      <w:r w:rsidRPr="0062340E">
        <w:rPr>
          <w:rFonts w:ascii="Simplified Arabic" w:hAnsi="Simplified Arabic" w:cs="Simplified Arabic" w:hint="cs"/>
          <w:sz w:val="24"/>
          <w:szCs w:val="24"/>
          <w:rtl/>
          <w:lang w:val="en-US" w:bidi="ar-DZ"/>
        </w:rPr>
        <w:t xml:space="preserve">علاقة </w:t>
      </w:r>
      <w:r w:rsidR="00725010" w:rsidRPr="0062340E">
        <w:rPr>
          <w:rFonts w:ascii="Simplified Arabic" w:hAnsi="Simplified Arabic" w:cs="Simplified Arabic" w:hint="cs"/>
          <w:sz w:val="24"/>
          <w:szCs w:val="24"/>
          <w:rtl/>
        </w:rPr>
        <w:t xml:space="preserve">استعمالات </w:t>
      </w:r>
      <w:r w:rsidR="00725010" w:rsidRPr="0062340E">
        <w:rPr>
          <w:rFonts w:ascii="Simplified Arabic" w:hAnsi="Simplified Arabic" w:cs="Simplified Arabic" w:hint="cs"/>
          <w:sz w:val="24"/>
          <w:szCs w:val="24"/>
          <w:rtl/>
          <w:lang w:bidi="ar-DZ"/>
        </w:rPr>
        <w:t xml:space="preserve">الاراضي </w:t>
      </w:r>
      <w:r w:rsidRPr="0062340E">
        <w:rPr>
          <w:rFonts w:ascii="Simplified Arabic" w:hAnsi="Simplified Arabic" w:cs="Simplified Arabic" w:hint="cs"/>
          <w:sz w:val="24"/>
          <w:szCs w:val="24"/>
          <w:rtl/>
          <w:lang w:val="en-US" w:bidi="ar-DZ"/>
        </w:rPr>
        <w:t xml:space="preserve">الحضرية </w:t>
      </w:r>
      <w:r w:rsidR="00BB4E96" w:rsidRPr="0062340E">
        <w:rPr>
          <w:rFonts w:ascii="Simplified Arabic" w:hAnsi="Simplified Arabic" w:cs="Simplified Arabic" w:hint="cs"/>
          <w:sz w:val="24"/>
          <w:szCs w:val="24"/>
          <w:rtl/>
          <w:lang w:val="en-US" w:bidi="ar-DZ"/>
        </w:rPr>
        <w:t>مع</w:t>
      </w:r>
      <w:r w:rsidR="008A3721" w:rsidRPr="0062340E">
        <w:rPr>
          <w:rFonts w:ascii="Simplified Arabic" w:hAnsi="Simplified Arabic" w:cs="Simplified Arabic" w:hint="cs"/>
          <w:sz w:val="24"/>
          <w:szCs w:val="24"/>
          <w:rtl/>
          <w:lang w:val="en-US" w:bidi="ar-DZ"/>
        </w:rPr>
        <w:t xml:space="preserve"> تكوين</w:t>
      </w:r>
      <w:r w:rsidRPr="0062340E">
        <w:rPr>
          <w:rFonts w:ascii="Simplified Arabic" w:hAnsi="Simplified Arabic" w:cs="Simplified Arabic" w:hint="cs"/>
          <w:sz w:val="24"/>
          <w:szCs w:val="24"/>
          <w:rtl/>
          <w:lang w:val="en-US" w:bidi="ar-DZ"/>
        </w:rPr>
        <w:t xml:space="preserve"> المرونة المكانية - مدينة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بوسعادة بين الكثافة، التنوع والتكرار-</w:t>
      </w:r>
      <w:r w:rsidR="00B57747" w:rsidRPr="0062340E">
        <w:rPr>
          <w:rFonts w:ascii="Simplified Arabic" w:hAnsi="Simplified Arabic" w:cs="Simplified Arabic" w:hint="cs"/>
          <w:sz w:val="24"/>
          <w:szCs w:val="24"/>
          <w:rtl/>
          <w:lang w:val="en-US" w:bidi="ar-DZ"/>
        </w:rPr>
        <w:t>،</w:t>
      </w:r>
      <w:r w:rsidR="003B0C39" w:rsidRPr="0062340E">
        <w:rPr>
          <w:rFonts w:ascii="Simplified Arabic" w:hAnsi="Simplified Arabic" w:cs="Simplified Arabic" w:hint="cs"/>
          <w:sz w:val="24"/>
          <w:szCs w:val="24"/>
          <w:rtl/>
          <w:lang w:val="en-US" w:bidi="ar-DZ"/>
        </w:rPr>
        <w:t xml:space="preserve"> </w:t>
      </w:r>
      <w:r w:rsidR="00B364CE" w:rsidRPr="0062340E">
        <w:rPr>
          <w:rFonts w:ascii="Simplified Arabic" w:hAnsi="Simplified Arabic" w:cs="Simplified Arabic" w:hint="cs"/>
          <w:sz w:val="24"/>
          <w:szCs w:val="24"/>
          <w:rtl/>
          <w:lang w:val="en-US" w:bidi="ar-DZ"/>
        </w:rPr>
        <w:t xml:space="preserve">من خلال </w:t>
      </w:r>
      <w:r w:rsidR="003B0C39" w:rsidRPr="0062340E">
        <w:rPr>
          <w:rFonts w:ascii="Simplified Arabic" w:hAnsi="Simplified Arabic" w:cs="Simplified Arabic" w:hint="cs"/>
          <w:sz w:val="24"/>
          <w:szCs w:val="24"/>
          <w:rtl/>
          <w:lang w:val="en-US" w:bidi="ar-DZ"/>
        </w:rPr>
        <w:t xml:space="preserve">تقديم منطقة الدراسة، الدراسة الطبيعية والسوسيو-اقتصادية، </w:t>
      </w:r>
      <w:r w:rsidR="00601A76" w:rsidRPr="0062340E">
        <w:rPr>
          <w:rFonts w:ascii="Simplified Arabic" w:hAnsi="Simplified Arabic" w:cs="Simplified Arabic" w:hint="cs"/>
          <w:sz w:val="24"/>
          <w:szCs w:val="24"/>
          <w:rtl/>
          <w:lang w:val="en-US" w:bidi="ar-DZ"/>
        </w:rPr>
        <w:t>تحليل</w:t>
      </w:r>
      <w:r w:rsidR="003B0C39" w:rsidRPr="0062340E">
        <w:rPr>
          <w:rFonts w:ascii="Simplified Arabic" w:hAnsi="Simplified Arabic" w:cs="Simplified Arabic" w:hint="cs"/>
          <w:sz w:val="24"/>
          <w:szCs w:val="24"/>
          <w:rtl/>
          <w:lang w:val="en-US" w:bidi="ar-DZ"/>
        </w:rPr>
        <w:t xml:space="preserve"> نمط </w:t>
      </w:r>
      <w:r w:rsidR="008A3721" w:rsidRPr="0062340E">
        <w:rPr>
          <w:rFonts w:ascii="Simplified Arabic" w:hAnsi="Simplified Arabic" w:cs="Simplified Arabic" w:hint="cs"/>
          <w:sz w:val="24"/>
          <w:szCs w:val="24"/>
          <w:rtl/>
        </w:rPr>
        <w:t xml:space="preserve">استعمالات </w:t>
      </w:r>
      <w:r w:rsidR="008A3721" w:rsidRPr="0062340E">
        <w:rPr>
          <w:rFonts w:ascii="Simplified Arabic" w:hAnsi="Simplified Arabic" w:cs="Simplified Arabic" w:hint="cs"/>
          <w:sz w:val="24"/>
          <w:szCs w:val="24"/>
          <w:rtl/>
          <w:lang w:bidi="ar-DZ"/>
        </w:rPr>
        <w:t xml:space="preserve">الارض </w:t>
      </w:r>
      <w:r w:rsidR="003B0C39" w:rsidRPr="0062340E">
        <w:rPr>
          <w:rFonts w:ascii="Simplified Arabic" w:hAnsi="Simplified Arabic" w:cs="Simplified Arabic" w:hint="cs"/>
          <w:sz w:val="24"/>
          <w:szCs w:val="24"/>
          <w:rtl/>
          <w:lang w:val="en-US" w:bidi="ar-DZ"/>
        </w:rPr>
        <w:t xml:space="preserve">لمختلف الانسجة الحضرية </w:t>
      </w:r>
      <w:r w:rsidR="003B0C39" w:rsidRPr="0062340E">
        <w:rPr>
          <w:rFonts w:ascii="Simplified Arabic" w:hAnsi="Simplified Arabic" w:cs="Simplified Arabic" w:hint="cs"/>
          <w:sz w:val="24"/>
          <w:szCs w:val="24"/>
          <w:rtl/>
          <w:lang w:val="en-US"/>
        </w:rPr>
        <w:t>مع تقديم نموذج تحليل مكاني</w:t>
      </w:r>
      <w:r w:rsidR="00B364CE" w:rsidRPr="0062340E">
        <w:rPr>
          <w:rFonts w:ascii="Simplified Arabic" w:hAnsi="Simplified Arabic" w:cs="Simplified Arabic" w:hint="cs"/>
          <w:sz w:val="24"/>
          <w:szCs w:val="24"/>
          <w:rtl/>
          <w:lang w:val="en-US"/>
        </w:rPr>
        <w:t xml:space="preserve"> وشبكي</w:t>
      </w:r>
      <w:r w:rsidR="00601A76" w:rsidRPr="0062340E">
        <w:rPr>
          <w:rFonts w:ascii="Simplified Arabic" w:hAnsi="Simplified Arabic" w:cs="Simplified Arabic" w:hint="cs"/>
          <w:sz w:val="24"/>
          <w:szCs w:val="24"/>
          <w:rtl/>
          <w:lang w:val="en-US"/>
        </w:rPr>
        <w:t xml:space="preserve"> للوضع القائم</w:t>
      </w:r>
      <w:r w:rsidR="003B0C39" w:rsidRPr="0062340E">
        <w:rPr>
          <w:rFonts w:ascii="Simplified Arabic" w:hAnsi="Simplified Arabic" w:cs="Simplified Arabic" w:hint="cs"/>
          <w:sz w:val="24"/>
          <w:szCs w:val="24"/>
          <w:rtl/>
          <w:lang w:val="en-US"/>
        </w:rPr>
        <w:t>، التحليل المكاني يرتكز الى تقنية نظم المعلومات الجغرافية</w:t>
      </w:r>
      <w:r w:rsidR="00B364CE" w:rsidRPr="0062340E">
        <w:rPr>
          <w:rFonts w:ascii="Simplified Arabic" w:hAnsi="Simplified Arabic" w:cs="Simplified Arabic" w:hint="cs"/>
          <w:sz w:val="24"/>
          <w:szCs w:val="24"/>
          <w:rtl/>
          <w:lang w:val="en-US"/>
        </w:rPr>
        <w:t xml:space="preserve"> </w:t>
      </w:r>
      <w:r w:rsidR="00B364CE" w:rsidRPr="0062340E">
        <w:rPr>
          <w:rFonts w:asciiTheme="majorBidi" w:hAnsiTheme="majorBidi" w:cstheme="majorBidi"/>
          <w:sz w:val="24"/>
          <w:szCs w:val="24"/>
          <w:rtl/>
          <w:lang w:val="en-US"/>
        </w:rPr>
        <w:t>(</w:t>
      </w:r>
      <w:r w:rsidR="00B364CE" w:rsidRPr="0062340E">
        <w:rPr>
          <w:rFonts w:asciiTheme="majorBidi" w:hAnsiTheme="majorBidi" w:cstheme="majorBidi"/>
          <w:sz w:val="24"/>
          <w:szCs w:val="24"/>
          <w:lang w:val="en-US"/>
        </w:rPr>
        <w:t>GIS</w:t>
      </w:r>
      <w:r w:rsidR="00B364CE" w:rsidRPr="0062340E">
        <w:rPr>
          <w:rFonts w:asciiTheme="majorBidi" w:hAnsiTheme="majorBidi" w:cstheme="majorBidi"/>
          <w:sz w:val="24"/>
          <w:szCs w:val="24"/>
          <w:rtl/>
          <w:lang w:val="en-US"/>
        </w:rPr>
        <w:t>)</w:t>
      </w:r>
      <w:r w:rsidR="003B0C39" w:rsidRPr="0062340E">
        <w:rPr>
          <w:rFonts w:ascii="Simplified Arabic" w:hAnsi="Simplified Arabic" w:cs="Simplified Arabic" w:hint="cs"/>
          <w:sz w:val="24"/>
          <w:szCs w:val="24"/>
          <w:rtl/>
          <w:lang w:val="en-US"/>
        </w:rPr>
        <w:t xml:space="preserve">، منها برنامج </w:t>
      </w:r>
      <w:r w:rsidR="003B0C39" w:rsidRPr="0062340E">
        <w:rPr>
          <w:rFonts w:asciiTheme="majorBidi" w:hAnsiTheme="majorBidi" w:cstheme="majorBidi"/>
          <w:sz w:val="24"/>
          <w:szCs w:val="24"/>
          <w:rtl/>
          <w:lang w:val="en-US"/>
        </w:rPr>
        <w:t>(</w:t>
      </w:r>
      <w:r w:rsidR="005D5AF0" w:rsidRPr="0062340E">
        <w:rPr>
          <w:rFonts w:asciiTheme="majorBidi" w:hAnsiTheme="majorBidi" w:cstheme="majorBidi"/>
          <w:sz w:val="24"/>
          <w:szCs w:val="24"/>
        </w:rPr>
        <w:t>Arc GIS 10.3</w:t>
      </w:r>
      <w:r w:rsidR="003B0C39" w:rsidRPr="0062340E">
        <w:rPr>
          <w:rFonts w:asciiTheme="majorBidi" w:hAnsiTheme="majorBidi" w:cstheme="majorBidi"/>
          <w:sz w:val="24"/>
          <w:szCs w:val="24"/>
          <w:rtl/>
          <w:lang w:val="en-US"/>
        </w:rPr>
        <w:t>)</w:t>
      </w:r>
      <w:r w:rsidR="003B0C39" w:rsidRPr="0062340E">
        <w:rPr>
          <w:rFonts w:ascii="Simplified Arabic" w:hAnsi="Simplified Arabic" w:cs="Simplified Arabic" w:hint="cs"/>
          <w:sz w:val="24"/>
          <w:szCs w:val="24"/>
          <w:rtl/>
          <w:lang w:val="en-US"/>
        </w:rPr>
        <w:t>.</w:t>
      </w:r>
      <w:r w:rsidR="003B0C39" w:rsidRPr="0062340E">
        <w:rPr>
          <w:rFonts w:ascii="Simplified Arabic" w:hAnsi="Simplified Arabic" w:cs="Simplified Arabic" w:hint="cs"/>
          <w:sz w:val="24"/>
          <w:szCs w:val="24"/>
          <w:rtl/>
          <w:lang w:val="en-US" w:bidi="ar-DZ"/>
        </w:rPr>
        <w:t xml:space="preserve"> </w:t>
      </w:r>
    </w:p>
    <w:p w:rsidR="004C574F" w:rsidRPr="0062340E" w:rsidRDefault="0022082E" w:rsidP="0062340E">
      <w:pPr>
        <w:bidi/>
        <w:spacing w:before="240" w:after="0" w:line="240" w:lineRule="auto"/>
        <w:ind w:firstLine="283"/>
        <w:jc w:val="both"/>
        <w:rPr>
          <w:rFonts w:ascii="Simplified Arabic" w:hAnsi="Simplified Arabic" w:cs="Simplified Arabic"/>
          <w:b/>
          <w:bCs/>
          <w:color w:val="000000"/>
          <w:sz w:val="24"/>
          <w:szCs w:val="24"/>
          <w:rtl/>
          <w:lang w:val="en-US"/>
        </w:rPr>
      </w:pPr>
      <w:r w:rsidRPr="0062340E">
        <w:rPr>
          <w:rFonts w:ascii="Simplified Arabic" w:hAnsi="Simplified Arabic" w:cs="Simplified Arabic"/>
          <w:sz w:val="24"/>
          <w:szCs w:val="24"/>
          <w:rtl/>
          <w:lang w:val="en-US"/>
        </w:rPr>
        <w:t>ي</w:t>
      </w:r>
      <w:r w:rsidR="00D10D3E" w:rsidRPr="0062340E">
        <w:rPr>
          <w:rFonts w:ascii="Simplified Arabic" w:hAnsi="Simplified Arabic" w:cs="Simplified Arabic" w:hint="cs"/>
          <w:sz w:val="24"/>
          <w:szCs w:val="24"/>
          <w:rtl/>
          <w:lang w:val="en-US"/>
        </w:rPr>
        <w:t>ست</w:t>
      </w:r>
      <w:r w:rsidRPr="0062340E">
        <w:rPr>
          <w:rFonts w:ascii="Simplified Arabic" w:hAnsi="Simplified Arabic" w:cs="Simplified Arabic"/>
          <w:sz w:val="24"/>
          <w:szCs w:val="24"/>
          <w:rtl/>
          <w:lang w:val="en-US"/>
        </w:rPr>
        <w:t xml:space="preserve">عرض </w:t>
      </w:r>
      <w:r w:rsidRPr="0062340E">
        <w:rPr>
          <w:rFonts w:ascii="Simplified Arabic" w:hAnsi="Simplified Arabic" w:cs="Simplified Arabic"/>
          <w:b/>
          <w:bCs/>
          <w:sz w:val="24"/>
          <w:szCs w:val="24"/>
          <w:rtl/>
          <w:lang w:val="en-US" w:bidi="ar-DZ"/>
        </w:rPr>
        <w:t>الفصل</w:t>
      </w:r>
      <w:r w:rsidR="003B0C39" w:rsidRPr="0062340E">
        <w:rPr>
          <w:rFonts w:ascii="Simplified Arabic" w:hAnsi="Simplified Arabic" w:cs="Simplified Arabic" w:hint="cs"/>
          <w:b/>
          <w:bCs/>
          <w:sz w:val="24"/>
          <w:szCs w:val="24"/>
          <w:rtl/>
          <w:lang w:val="en-US" w:bidi="ar-DZ"/>
        </w:rPr>
        <w:t xml:space="preserve"> </w:t>
      </w:r>
      <w:r w:rsidR="005172EB" w:rsidRPr="0062340E">
        <w:rPr>
          <w:rFonts w:ascii="Simplified Arabic" w:hAnsi="Simplified Arabic" w:cs="Simplified Arabic" w:hint="cs"/>
          <w:b/>
          <w:bCs/>
          <w:sz w:val="24"/>
          <w:szCs w:val="24"/>
          <w:rtl/>
          <w:lang w:val="en-US" w:bidi="ar-DZ"/>
        </w:rPr>
        <w:t>5</w:t>
      </w:r>
      <w:r w:rsidRPr="0062340E">
        <w:rPr>
          <w:rFonts w:ascii="Simplified Arabic" w:hAnsi="Simplified Arabic" w:cs="Simplified Arabic"/>
          <w:b/>
          <w:bCs/>
          <w:sz w:val="24"/>
          <w:szCs w:val="24"/>
          <w:rtl/>
          <w:lang w:val="en-US" w:bidi="ar-DZ"/>
        </w:rPr>
        <w:t xml:space="preserve"> </w:t>
      </w:r>
      <w:r w:rsidR="00DC38B1" w:rsidRPr="0062340E">
        <w:rPr>
          <w:rFonts w:ascii="Simplified Arabic" w:hAnsi="Simplified Arabic" w:cs="Simplified Arabic" w:hint="cs"/>
          <w:sz w:val="24"/>
          <w:szCs w:val="24"/>
          <w:rtl/>
          <w:lang w:val="en-US"/>
        </w:rPr>
        <w:t>ال</w:t>
      </w:r>
      <w:r w:rsidR="00420C00" w:rsidRPr="0062340E">
        <w:rPr>
          <w:rFonts w:ascii="Simplified Arabic" w:hAnsi="Simplified Arabic" w:cs="Simplified Arabic" w:hint="cs"/>
          <w:sz w:val="24"/>
          <w:szCs w:val="24"/>
          <w:rtl/>
          <w:lang w:val="en-US"/>
        </w:rPr>
        <w:t xml:space="preserve">طريقة </w:t>
      </w:r>
      <w:r w:rsidR="00DC38B1" w:rsidRPr="0062340E">
        <w:rPr>
          <w:rFonts w:ascii="Simplified Arabic" w:hAnsi="Simplified Arabic" w:cs="Simplified Arabic" w:hint="cs"/>
          <w:sz w:val="24"/>
          <w:szCs w:val="24"/>
          <w:rtl/>
          <w:lang w:val="en-US"/>
        </w:rPr>
        <w:t xml:space="preserve">المقترحة </w:t>
      </w:r>
      <w:r w:rsidR="00D10D3E" w:rsidRPr="0062340E">
        <w:rPr>
          <w:rFonts w:ascii="Simplified Arabic" w:hAnsi="Simplified Arabic" w:cs="Simplified Arabic" w:hint="cs"/>
          <w:sz w:val="24"/>
          <w:szCs w:val="24"/>
          <w:rtl/>
          <w:lang w:val="en-US"/>
        </w:rPr>
        <w:t>لتنفيذ اطار عمل</w:t>
      </w:r>
      <w:r w:rsidR="00D10D3E" w:rsidRPr="0062340E">
        <w:rPr>
          <w:rFonts w:ascii="Simplified Arabic" w:hAnsi="Simplified Arabic" w:cs="Simplified Arabic"/>
          <w:sz w:val="24"/>
          <w:szCs w:val="24"/>
          <w:rtl/>
          <w:lang w:val="en-US"/>
        </w:rPr>
        <w:t xml:space="preserve"> </w:t>
      </w:r>
      <w:r w:rsidR="00D10D3E" w:rsidRPr="0062340E">
        <w:rPr>
          <w:rFonts w:ascii="Simplified Arabic" w:hAnsi="Simplified Arabic" w:cs="Simplified Arabic" w:hint="cs"/>
          <w:sz w:val="24"/>
          <w:szCs w:val="24"/>
          <w:rtl/>
          <w:lang w:val="en-US"/>
        </w:rPr>
        <w:t>تقييم</w:t>
      </w:r>
      <w:r w:rsidR="00D10D3E" w:rsidRPr="0062340E">
        <w:rPr>
          <w:rFonts w:ascii="Simplified Arabic" w:hAnsi="Simplified Arabic" w:cs="Simplified Arabic"/>
          <w:sz w:val="24"/>
          <w:szCs w:val="24"/>
          <w:rtl/>
          <w:lang w:val="en-US"/>
        </w:rPr>
        <w:t xml:space="preserve"> </w:t>
      </w:r>
      <w:r w:rsidR="00D10D3E" w:rsidRPr="0062340E">
        <w:rPr>
          <w:rFonts w:ascii="Simplified Arabic" w:hAnsi="Simplified Arabic" w:cs="Simplified Arabic" w:hint="cs"/>
          <w:sz w:val="24"/>
          <w:szCs w:val="24"/>
          <w:rtl/>
          <w:lang w:val="en-US"/>
        </w:rPr>
        <w:t>مرونة</w:t>
      </w:r>
      <w:r w:rsidR="00D10D3E" w:rsidRPr="0062340E">
        <w:rPr>
          <w:rFonts w:ascii="Simplified Arabic" w:hAnsi="Simplified Arabic" w:cs="Simplified Arabic"/>
          <w:sz w:val="24"/>
          <w:szCs w:val="24"/>
          <w:rtl/>
          <w:lang w:val="en-US"/>
        </w:rPr>
        <w:t xml:space="preserve"> </w:t>
      </w:r>
      <w:r w:rsidR="00D10D3E" w:rsidRPr="0062340E">
        <w:rPr>
          <w:rFonts w:ascii="Simplified Arabic" w:hAnsi="Simplified Arabic" w:cs="Simplified Arabic" w:hint="cs"/>
          <w:sz w:val="24"/>
          <w:szCs w:val="24"/>
          <w:rtl/>
          <w:lang w:val="en-US"/>
        </w:rPr>
        <w:t>مدينة بوسعادة</w:t>
      </w:r>
      <w:r w:rsidR="00FE693C" w:rsidRPr="0062340E">
        <w:rPr>
          <w:rFonts w:ascii="Simplified Arabic" w:hAnsi="Simplified Arabic" w:cs="Simplified Arabic"/>
          <w:sz w:val="24"/>
          <w:szCs w:val="24"/>
          <w:rtl/>
          <w:lang w:val="en-US"/>
        </w:rPr>
        <w:t xml:space="preserve"> التوافقية</w:t>
      </w:r>
      <w:r w:rsidRPr="0062340E">
        <w:rPr>
          <w:rFonts w:ascii="Simplified Arabic" w:hAnsi="Simplified Arabic" w:cs="Simplified Arabic"/>
          <w:sz w:val="24"/>
          <w:szCs w:val="24"/>
          <w:rtl/>
          <w:lang w:val="en-US"/>
        </w:rPr>
        <w:t xml:space="preserve"> </w:t>
      </w:r>
      <w:r w:rsidR="00FE693C" w:rsidRPr="0062340E">
        <w:rPr>
          <w:rFonts w:ascii="Simplified Arabic" w:hAnsi="Simplified Arabic" w:cs="Simplified Arabic" w:hint="cs"/>
          <w:sz w:val="24"/>
          <w:szCs w:val="24"/>
          <w:rtl/>
          <w:lang w:val="en-US"/>
        </w:rPr>
        <w:t>و</w:t>
      </w:r>
      <w:r w:rsidR="00B3795C" w:rsidRPr="0062340E">
        <w:rPr>
          <w:rFonts w:ascii="Simplified Arabic" w:hAnsi="Simplified Arabic" w:cs="Simplified Arabic"/>
          <w:sz w:val="24"/>
          <w:szCs w:val="24"/>
          <w:rtl/>
          <w:lang w:val="en-US"/>
        </w:rPr>
        <w:t>الأكثر ملا</w:t>
      </w:r>
      <w:r w:rsidR="00B3795C" w:rsidRPr="0062340E">
        <w:rPr>
          <w:rFonts w:ascii="Simplified Arabic" w:hAnsi="Simplified Arabic" w:cs="Simplified Arabic" w:hint="cs"/>
          <w:sz w:val="24"/>
          <w:szCs w:val="24"/>
          <w:rtl/>
          <w:lang w:val="en-US"/>
        </w:rPr>
        <w:t>ئ</w:t>
      </w:r>
      <w:r w:rsidRPr="0062340E">
        <w:rPr>
          <w:rFonts w:ascii="Simplified Arabic" w:hAnsi="Simplified Arabic" w:cs="Simplified Arabic"/>
          <w:sz w:val="24"/>
          <w:szCs w:val="24"/>
          <w:rtl/>
          <w:lang w:val="en-US"/>
        </w:rPr>
        <w:t xml:space="preserve">مة للاستخدام في </w:t>
      </w:r>
      <w:r w:rsidR="000E0D22" w:rsidRPr="0062340E">
        <w:rPr>
          <w:rFonts w:ascii="Simplified Arabic" w:hAnsi="Simplified Arabic" w:cs="Simplified Arabic" w:hint="cs"/>
          <w:sz w:val="24"/>
          <w:szCs w:val="24"/>
          <w:rtl/>
          <w:lang w:val="en-US"/>
        </w:rPr>
        <w:t xml:space="preserve">اطار </w:t>
      </w:r>
      <w:r w:rsidR="00D10D3E" w:rsidRPr="0062340E">
        <w:rPr>
          <w:rFonts w:ascii="Simplified Arabic" w:hAnsi="Simplified Arabic" w:cs="Simplified Arabic" w:hint="cs"/>
          <w:sz w:val="24"/>
          <w:szCs w:val="24"/>
          <w:rtl/>
          <w:lang w:val="en-US"/>
        </w:rPr>
        <w:t>البحث</w:t>
      </w:r>
      <w:r w:rsidRPr="0062340E">
        <w:rPr>
          <w:rFonts w:ascii="Simplified Arabic" w:hAnsi="Simplified Arabic" w:cs="Simplified Arabic"/>
          <w:sz w:val="24"/>
          <w:szCs w:val="24"/>
          <w:rtl/>
          <w:lang w:val="en-US"/>
        </w:rPr>
        <w:t xml:space="preserve"> </w:t>
      </w:r>
      <w:r w:rsidR="0077044F" w:rsidRPr="0062340E">
        <w:rPr>
          <w:rFonts w:ascii="Simplified Arabic" w:hAnsi="Simplified Arabic" w:cs="Simplified Arabic" w:hint="cs"/>
          <w:sz w:val="24"/>
          <w:szCs w:val="24"/>
          <w:rtl/>
          <w:lang w:val="en-US"/>
        </w:rPr>
        <w:t>الحالي</w:t>
      </w:r>
      <w:r w:rsidRPr="0062340E">
        <w:rPr>
          <w:rFonts w:ascii="Simplified Arabic" w:hAnsi="Simplified Arabic" w:cs="Simplified Arabic"/>
          <w:sz w:val="24"/>
          <w:szCs w:val="24"/>
          <w:rtl/>
          <w:lang w:val="en-US"/>
        </w:rPr>
        <w:t xml:space="preserve">. </w:t>
      </w:r>
      <w:r w:rsidR="00BB4BBA" w:rsidRPr="0062340E">
        <w:rPr>
          <w:rFonts w:ascii="Simplified Arabic" w:hAnsi="Simplified Arabic" w:cs="Simplified Arabic"/>
          <w:sz w:val="24"/>
          <w:szCs w:val="24"/>
          <w:rtl/>
          <w:lang w:val="en-US"/>
        </w:rPr>
        <w:t xml:space="preserve">بشكل أكثر دقة، يناقش هذا الفصل </w:t>
      </w:r>
      <w:r w:rsidRPr="0062340E">
        <w:rPr>
          <w:rFonts w:ascii="Simplified Arabic" w:hAnsi="Simplified Arabic" w:cs="Simplified Arabic"/>
          <w:sz w:val="24"/>
          <w:szCs w:val="24"/>
          <w:rtl/>
          <w:lang w:val="en-US"/>
        </w:rPr>
        <w:t>عوامل</w:t>
      </w:r>
      <w:r w:rsidR="00BB4BBA" w:rsidRPr="0062340E">
        <w:rPr>
          <w:rFonts w:ascii="Simplified Arabic" w:hAnsi="Simplified Arabic" w:cs="Simplified Arabic" w:hint="cs"/>
          <w:sz w:val="24"/>
          <w:szCs w:val="24"/>
          <w:rtl/>
          <w:lang w:val="en-US"/>
        </w:rPr>
        <w:t xml:space="preserve"> </w:t>
      </w:r>
      <w:r w:rsidR="00E2367D" w:rsidRPr="0062340E">
        <w:rPr>
          <w:rFonts w:ascii="Simplified Arabic" w:hAnsi="Simplified Arabic" w:cs="Simplified Arabic" w:hint="cs"/>
          <w:sz w:val="24"/>
          <w:szCs w:val="24"/>
          <w:rtl/>
          <w:lang w:val="en-US"/>
        </w:rPr>
        <w:t xml:space="preserve">تقييم </w:t>
      </w:r>
      <w:r w:rsidR="00BB4BBA"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الحضرية التي تم إنشاؤها والموافقة عل</w:t>
      </w:r>
      <w:r w:rsidR="00C921E8" w:rsidRPr="0062340E">
        <w:rPr>
          <w:rFonts w:ascii="Simplified Arabic" w:hAnsi="Simplified Arabic" w:cs="Simplified Arabic"/>
          <w:sz w:val="24"/>
          <w:szCs w:val="24"/>
          <w:rtl/>
          <w:lang w:val="en-US"/>
        </w:rPr>
        <w:t>يها من خلال عملية استشارة دلفي</w:t>
      </w:r>
      <w:r w:rsidR="00C921E8" w:rsidRPr="0062340E">
        <w:rPr>
          <w:rFonts w:ascii="Simplified Arabic" w:hAnsi="Simplified Arabic" w:cs="Simplified Arabic" w:hint="cs"/>
          <w:sz w:val="24"/>
          <w:szCs w:val="24"/>
          <w:rtl/>
          <w:lang w:val="en-US"/>
        </w:rPr>
        <w:t>،</w:t>
      </w:r>
      <w:r w:rsidRPr="0062340E">
        <w:rPr>
          <w:rFonts w:ascii="Simplified Arabic" w:hAnsi="Simplified Arabic" w:cs="Simplified Arabic"/>
          <w:sz w:val="24"/>
          <w:szCs w:val="24"/>
          <w:rtl/>
          <w:lang w:val="en-US"/>
        </w:rPr>
        <w:t xml:space="preserve"> </w:t>
      </w:r>
      <w:r w:rsidR="00BB4BBA" w:rsidRPr="0062340E">
        <w:rPr>
          <w:rFonts w:ascii="Simplified Arabic" w:hAnsi="Simplified Arabic" w:cs="Simplified Arabic" w:hint="cs"/>
          <w:sz w:val="24"/>
          <w:szCs w:val="24"/>
          <w:rtl/>
          <w:lang w:val="en-US"/>
        </w:rPr>
        <w:t xml:space="preserve">مع </w:t>
      </w:r>
      <w:r w:rsidRPr="0062340E">
        <w:rPr>
          <w:rFonts w:ascii="Simplified Arabic" w:hAnsi="Simplified Arabic" w:cs="Simplified Arabic"/>
          <w:sz w:val="24"/>
          <w:szCs w:val="24"/>
          <w:rtl/>
          <w:lang w:val="en-US"/>
        </w:rPr>
        <w:t xml:space="preserve">تفصيل </w:t>
      </w:r>
      <w:r w:rsidR="00BB4BBA" w:rsidRPr="0062340E">
        <w:rPr>
          <w:rFonts w:ascii="Simplified Arabic" w:hAnsi="Simplified Arabic" w:cs="Simplified Arabic" w:hint="cs"/>
          <w:sz w:val="24"/>
          <w:szCs w:val="24"/>
          <w:rtl/>
          <w:lang w:val="en-US"/>
        </w:rPr>
        <w:t xml:space="preserve">مراحل </w:t>
      </w:r>
      <w:r w:rsidRPr="0062340E">
        <w:rPr>
          <w:rFonts w:ascii="Simplified Arabic" w:hAnsi="Simplified Arabic" w:cs="Simplified Arabic"/>
          <w:sz w:val="24"/>
          <w:szCs w:val="24"/>
          <w:rtl/>
          <w:lang w:val="en-US"/>
        </w:rPr>
        <w:t>بناء القائمة النهائية لعوامل تقييم المرونة الحضرية.</w:t>
      </w:r>
      <w:r w:rsidR="00F5452E" w:rsidRPr="0062340E">
        <w:rPr>
          <w:rFonts w:ascii="Simplified Arabic" w:hAnsi="Simplified Arabic" w:cs="Simplified Arabic" w:hint="cs"/>
          <w:sz w:val="24"/>
          <w:szCs w:val="24"/>
          <w:rtl/>
          <w:lang w:val="en-US"/>
        </w:rPr>
        <w:t xml:space="preserve"> </w:t>
      </w:r>
      <w:r w:rsidR="006B53BD" w:rsidRPr="0062340E">
        <w:rPr>
          <w:rFonts w:ascii="Simplified Arabic" w:hAnsi="Simplified Arabic" w:cs="Simplified Arabic" w:hint="cs"/>
          <w:sz w:val="24"/>
          <w:szCs w:val="24"/>
          <w:rtl/>
          <w:lang w:val="en-US"/>
        </w:rPr>
        <w:t xml:space="preserve">بعد ذلك </w:t>
      </w:r>
      <w:r w:rsidR="00DC38B1" w:rsidRPr="0062340E">
        <w:rPr>
          <w:rFonts w:ascii="Simplified Arabic" w:hAnsi="Simplified Arabic" w:cs="Simplified Arabic" w:hint="cs"/>
          <w:sz w:val="24"/>
          <w:szCs w:val="24"/>
          <w:rtl/>
          <w:lang w:val="en-US"/>
        </w:rPr>
        <w:t xml:space="preserve">يتم </w:t>
      </w:r>
      <w:r w:rsidR="00F5452E" w:rsidRPr="0062340E">
        <w:rPr>
          <w:rFonts w:ascii="Simplified Arabic" w:hAnsi="Simplified Arabic" w:cs="Simplified Arabic"/>
          <w:sz w:val="24"/>
          <w:szCs w:val="24"/>
          <w:rtl/>
          <w:lang w:bidi="ar-DZ"/>
        </w:rPr>
        <w:t>تقييم الأهمية النسبية</w:t>
      </w:r>
      <w:r w:rsidR="00D10D3E" w:rsidRPr="0062340E">
        <w:rPr>
          <w:rFonts w:ascii="Simplified Arabic" w:hAnsi="Simplified Arabic" w:cs="Simplified Arabic" w:hint="cs"/>
          <w:sz w:val="24"/>
          <w:szCs w:val="24"/>
          <w:rtl/>
          <w:lang w:bidi="ar-DZ"/>
        </w:rPr>
        <w:t xml:space="preserve"> (اوزان)</w:t>
      </w:r>
      <w:r w:rsidR="00D10D3E" w:rsidRPr="0062340E">
        <w:rPr>
          <w:rFonts w:ascii="Simplified Arabic" w:hAnsi="Simplified Arabic" w:cs="Simplified Arabic"/>
          <w:sz w:val="24"/>
          <w:szCs w:val="24"/>
          <w:rtl/>
          <w:lang w:val="en-US" w:bidi="ar-DZ"/>
        </w:rPr>
        <w:t xml:space="preserve"> </w:t>
      </w:r>
      <w:r w:rsidR="00F5452E" w:rsidRPr="0062340E">
        <w:rPr>
          <w:rFonts w:ascii="Simplified Arabic" w:hAnsi="Simplified Arabic" w:cs="Simplified Arabic"/>
          <w:sz w:val="24"/>
          <w:szCs w:val="24"/>
          <w:rtl/>
          <w:lang w:val="en-US" w:bidi="ar-DZ"/>
        </w:rPr>
        <w:t>للعوامل</w:t>
      </w:r>
      <w:r w:rsidR="00F5452E" w:rsidRPr="0062340E">
        <w:rPr>
          <w:rFonts w:ascii="Simplified Arabic" w:hAnsi="Simplified Arabic" w:cs="Simplified Arabic" w:hint="cs"/>
          <w:sz w:val="24"/>
          <w:szCs w:val="24"/>
          <w:rtl/>
          <w:lang w:bidi="ar-DZ"/>
        </w:rPr>
        <w:t xml:space="preserve"> </w:t>
      </w:r>
      <w:r w:rsidR="00DC38B1" w:rsidRPr="0062340E">
        <w:rPr>
          <w:rFonts w:ascii="Simplified Arabic" w:hAnsi="Simplified Arabic" w:cs="Simplified Arabic" w:hint="cs"/>
          <w:sz w:val="24"/>
          <w:szCs w:val="24"/>
          <w:rtl/>
          <w:lang w:bidi="ar-DZ"/>
        </w:rPr>
        <w:t>من خلال</w:t>
      </w:r>
      <w:r w:rsidR="00F5452E" w:rsidRPr="0062340E">
        <w:rPr>
          <w:rFonts w:ascii="Simplified Arabic" w:hAnsi="Simplified Arabic" w:cs="Simplified Arabic" w:hint="cs"/>
          <w:sz w:val="24"/>
          <w:szCs w:val="24"/>
          <w:rtl/>
          <w:lang w:bidi="ar-DZ"/>
        </w:rPr>
        <w:t xml:space="preserve"> </w:t>
      </w:r>
      <w:r w:rsidR="00F5452E" w:rsidRPr="0062340E">
        <w:rPr>
          <w:rFonts w:ascii="Simplified Arabic" w:hAnsi="Simplified Arabic" w:cs="Simplified Arabic"/>
          <w:sz w:val="24"/>
          <w:szCs w:val="24"/>
          <w:rtl/>
          <w:lang w:bidi="ar-DZ"/>
        </w:rPr>
        <w:t>تقنية التحليل الهرمي التسلسلي (</w:t>
      </w:r>
      <w:r w:rsidR="00F5452E" w:rsidRPr="0062340E">
        <w:rPr>
          <w:rFonts w:asciiTheme="majorBidi" w:hAnsiTheme="majorBidi" w:cstheme="majorBidi"/>
          <w:sz w:val="24"/>
          <w:szCs w:val="24"/>
          <w:lang w:bidi="ar-DZ"/>
        </w:rPr>
        <w:t>AHP</w:t>
      </w:r>
      <w:r w:rsidR="00F5452E" w:rsidRPr="0062340E">
        <w:rPr>
          <w:rFonts w:ascii="Simplified Arabic" w:hAnsi="Simplified Arabic" w:cs="Simplified Arabic"/>
          <w:sz w:val="24"/>
          <w:szCs w:val="24"/>
          <w:rtl/>
          <w:lang w:bidi="ar-DZ"/>
        </w:rPr>
        <w:t>)</w:t>
      </w:r>
      <w:r w:rsidR="004C574F" w:rsidRPr="0062340E">
        <w:rPr>
          <w:rStyle w:val="y2iqfc"/>
          <w:rFonts w:ascii="Simplified Arabic" w:hAnsi="Simplified Arabic" w:cs="Simplified Arabic" w:hint="cs"/>
          <w:color w:val="202124"/>
          <w:sz w:val="24"/>
          <w:szCs w:val="24"/>
          <w:rtl/>
          <w:lang w:bidi="ar"/>
        </w:rPr>
        <w:t>.</w:t>
      </w:r>
      <w:r w:rsidR="00964BA1" w:rsidRPr="0062340E">
        <w:rPr>
          <w:rStyle w:val="y2iqfc"/>
          <w:rFonts w:ascii="Simplified Arabic" w:hAnsi="Simplified Arabic" w:cs="Simplified Arabic"/>
          <w:color w:val="202124"/>
          <w:sz w:val="24"/>
          <w:szCs w:val="24"/>
          <w:rtl/>
          <w:lang w:bidi="ar"/>
        </w:rPr>
        <w:t xml:space="preserve"> </w:t>
      </w:r>
      <w:r w:rsidR="007C3AF7" w:rsidRPr="0062340E">
        <w:rPr>
          <w:rStyle w:val="y2iqfc"/>
          <w:rFonts w:ascii="Simplified Arabic" w:hAnsi="Simplified Arabic" w:cs="Simplified Arabic" w:hint="cs"/>
          <w:color w:val="202124"/>
          <w:sz w:val="24"/>
          <w:szCs w:val="24"/>
          <w:rtl/>
          <w:lang w:bidi="ar"/>
        </w:rPr>
        <w:t>يتم</w:t>
      </w:r>
      <w:r w:rsidR="004C574F" w:rsidRPr="0062340E">
        <w:rPr>
          <w:rStyle w:val="y2iqfc"/>
          <w:rFonts w:ascii="Simplified Arabic" w:hAnsi="Simplified Arabic" w:cs="Simplified Arabic" w:hint="cs"/>
          <w:color w:val="202124"/>
          <w:sz w:val="24"/>
          <w:szCs w:val="24"/>
          <w:rtl/>
          <w:lang w:bidi="ar"/>
        </w:rPr>
        <w:t xml:space="preserve"> اشتقاق </w:t>
      </w:r>
      <w:r w:rsidR="00A00D25" w:rsidRPr="0062340E">
        <w:rPr>
          <w:rFonts w:ascii="Simplified Arabic" w:hAnsi="Simplified Arabic" w:cs="Simplified Arabic"/>
          <w:color w:val="000000"/>
          <w:sz w:val="24"/>
          <w:szCs w:val="24"/>
          <w:rtl/>
        </w:rPr>
        <w:t xml:space="preserve">خريطة </w:t>
      </w:r>
      <w:r w:rsidR="004C574F" w:rsidRPr="0062340E">
        <w:rPr>
          <w:rStyle w:val="y2iqfc"/>
          <w:rFonts w:ascii="Simplified Arabic" w:hAnsi="Simplified Arabic" w:cs="Simplified Arabic" w:hint="cs"/>
          <w:color w:val="202124"/>
          <w:sz w:val="24"/>
          <w:szCs w:val="24"/>
          <w:rtl/>
          <w:lang w:bidi="ar"/>
        </w:rPr>
        <w:t xml:space="preserve">تصنيفات </w:t>
      </w:r>
      <w:r w:rsidR="00A00D25" w:rsidRPr="0062340E">
        <w:rPr>
          <w:rStyle w:val="y2iqfc"/>
          <w:rFonts w:ascii="Simplified Arabic" w:hAnsi="Simplified Arabic" w:cs="Simplified Arabic" w:hint="cs"/>
          <w:color w:val="202124"/>
          <w:sz w:val="24"/>
          <w:szCs w:val="24"/>
          <w:rtl/>
          <w:lang w:bidi="ar"/>
        </w:rPr>
        <w:t>ا</w:t>
      </w:r>
      <w:r w:rsidR="004C574F" w:rsidRPr="0062340E">
        <w:rPr>
          <w:rStyle w:val="y2iqfc"/>
          <w:rFonts w:ascii="Simplified Arabic" w:hAnsi="Simplified Arabic" w:cs="Simplified Arabic" w:hint="cs"/>
          <w:color w:val="202124"/>
          <w:sz w:val="24"/>
          <w:szCs w:val="24"/>
          <w:rtl/>
          <w:lang w:bidi="ar"/>
        </w:rPr>
        <w:t>لمرونة</w:t>
      </w:r>
      <w:r w:rsidR="00A00D25" w:rsidRPr="0062340E">
        <w:rPr>
          <w:rFonts w:ascii="Simplified Arabic" w:hAnsi="Simplified Arabic" w:cs="Simplified Arabic"/>
          <w:color w:val="000000"/>
          <w:sz w:val="24"/>
          <w:szCs w:val="24"/>
          <w:rtl/>
        </w:rPr>
        <w:t xml:space="preserve"> الحضرية</w:t>
      </w:r>
      <w:r w:rsidR="00A00D25" w:rsidRPr="0062340E">
        <w:rPr>
          <w:rStyle w:val="y2iqfc"/>
          <w:rFonts w:ascii="Simplified Arabic" w:hAnsi="Simplified Arabic" w:cs="Simplified Arabic" w:hint="cs"/>
          <w:color w:val="202124"/>
          <w:sz w:val="24"/>
          <w:szCs w:val="24"/>
          <w:rtl/>
          <w:lang w:bidi="ar"/>
        </w:rPr>
        <w:t xml:space="preserve">، </w:t>
      </w:r>
      <w:r w:rsidR="0075393B" w:rsidRPr="0062340E">
        <w:rPr>
          <w:rStyle w:val="y2iqfc"/>
          <w:rFonts w:ascii="Simplified Arabic" w:hAnsi="Simplified Arabic" w:cs="Simplified Arabic" w:hint="cs"/>
          <w:color w:val="202124"/>
          <w:sz w:val="24"/>
          <w:szCs w:val="24"/>
          <w:rtl/>
          <w:lang w:bidi="ar"/>
        </w:rPr>
        <w:t>عن طريق</w:t>
      </w:r>
      <w:r w:rsidR="007C3AF7" w:rsidRPr="0062340E">
        <w:rPr>
          <w:rStyle w:val="y2iqfc"/>
          <w:rFonts w:ascii="Simplified Arabic" w:hAnsi="Simplified Arabic" w:cs="Simplified Arabic" w:hint="cs"/>
          <w:color w:val="202124"/>
          <w:sz w:val="24"/>
          <w:szCs w:val="24"/>
          <w:rtl/>
          <w:lang w:bidi="ar"/>
        </w:rPr>
        <w:t xml:space="preserve"> </w:t>
      </w:r>
      <w:r w:rsidR="0075393B" w:rsidRPr="0062340E">
        <w:rPr>
          <w:rStyle w:val="y2iqfc"/>
          <w:rFonts w:ascii="Simplified Arabic" w:hAnsi="Simplified Arabic" w:cs="Simplified Arabic" w:hint="cs"/>
          <w:color w:val="202124"/>
          <w:sz w:val="24"/>
          <w:szCs w:val="24"/>
          <w:rtl/>
          <w:lang w:bidi="ar"/>
        </w:rPr>
        <w:t>ال</w:t>
      </w:r>
      <w:r w:rsidR="004C574F" w:rsidRPr="0062340E">
        <w:rPr>
          <w:rFonts w:ascii="Simplified Arabic" w:hAnsi="Simplified Arabic" w:cs="Simplified Arabic" w:hint="cs"/>
          <w:color w:val="000000"/>
          <w:sz w:val="24"/>
          <w:szCs w:val="24"/>
          <w:rtl/>
        </w:rPr>
        <w:t>مزج بين</w:t>
      </w:r>
      <w:r w:rsidR="004C574F" w:rsidRPr="0062340E">
        <w:rPr>
          <w:rFonts w:ascii="Simplified Arabic" w:hAnsi="Simplified Arabic" w:cs="Simplified Arabic"/>
          <w:color w:val="000000"/>
          <w:sz w:val="24"/>
          <w:szCs w:val="24"/>
          <w:rtl/>
        </w:rPr>
        <w:t xml:space="preserve"> </w:t>
      </w:r>
      <w:r w:rsidR="004C574F" w:rsidRPr="0062340E">
        <w:rPr>
          <w:rFonts w:ascii="Simplified Arabic" w:hAnsi="Simplified Arabic" w:cs="Simplified Arabic" w:hint="cs"/>
          <w:color w:val="000000"/>
          <w:sz w:val="24"/>
          <w:szCs w:val="24"/>
          <w:rtl/>
        </w:rPr>
        <w:t>تقنية</w:t>
      </w:r>
      <w:r w:rsidR="004C574F" w:rsidRPr="0062340E">
        <w:rPr>
          <w:rFonts w:ascii="Simplified Arabic" w:hAnsi="Simplified Arabic" w:cs="Simplified Arabic"/>
          <w:color w:val="000000"/>
          <w:sz w:val="24"/>
          <w:szCs w:val="24"/>
          <w:rtl/>
        </w:rPr>
        <w:t xml:space="preserve"> </w:t>
      </w:r>
      <w:r w:rsidR="004C574F" w:rsidRPr="0062340E">
        <w:rPr>
          <w:rFonts w:asciiTheme="majorBidi" w:hAnsiTheme="majorBidi" w:cstheme="majorBidi"/>
          <w:sz w:val="24"/>
          <w:szCs w:val="24"/>
        </w:rPr>
        <w:t>(</w:t>
      </w:r>
      <w:r w:rsidR="004C574F" w:rsidRPr="0062340E">
        <w:rPr>
          <w:rFonts w:asciiTheme="majorBidi" w:hAnsiTheme="majorBidi" w:cstheme="majorBidi"/>
          <w:sz w:val="24"/>
          <w:szCs w:val="24"/>
          <w:lang w:val="en-US"/>
        </w:rPr>
        <w:t>GIS</w:t>
      </w:r>
      <w:r w:rsidR="004C574F" w:rsidRPr="0062340E">
        <w:rPr>
          <w:rFonts w:asciiTheme="majorBidi" w:hAnsiTheme="majorBidi" w:cstheme="majorBidi"/>
          <w:sz w:val="24"/>
          <w:szCs w:val="24"/>
        </w:rPr>
        <w:t>)</w:t>
      </w:r>
      <w:r w:rsidR="004C574F" w:rsidRPr="0062340E">
        <w:rPr>
          <w:rFonts w:asciiTheme="majorBidi" w:hAnsiTheme="majorBidi" w:cstheme="majorBidi" w:hint="cs"/>
          <w:sz w:val="24"/>
          <w:szCs w:val="24"/>
          <w:rtl/>
        </w:rPr>
        <w:t xml:space="preserve"> </w:t>
      </w:r>
      <w:r w:rsidR="004C574F" w:rsidRPr="0062340E">
        <w:rPr>
          <w:rFonts w:ascii="Simplified Arabic" w:hAnsi="Simplified Arabic" w:cs="Simplified Arabic"/>
          <w:sz w:val="24"/>
          <w:szCs w:val="24"/>
          <w:rtl/>
        </w:rPr>
        <w:t>و</w:t>
      </w:r>
      <w:r w:rsidR="00D10D3E" w:rsidRPr="0062340E">
        <w:rPr>
          <w:rFonts w:ascii="Simplified Arabic" w:hAnsi="Simplified Arabic" w:cs="Simplified Arabic" w:hint="cs"/>
          <w:color w:val="000000"/>
          <w:sz w:val="24"/>
          <w:szCs w:val="24"/>
          <w:rtl/>
        </w:rPr>
        <w:t xml:space="preserve">اوزان </w:t>
      </w:r>
      <w:r w:rsidR="004C574F" w:rsidRPr="0062340E">
        <w:rPr>
          <w:rFonts w:ascii="Simplified Arabic" w:hAnsi="Simplified Arabic" w:cs="Simplified Arabic" w:hint="cs"/>
          <w:color w:val="000000"/>
          <w:sz w:val="24"/>
          <w:szCs w:val="24"/>
          <w:rtl/>
        </w:rPr>
        <w:t>عملية</w:t>
      </w:r>
      <w:r w:rsidR="004C574F" w:rsidRPr="0062340E">
        <w:rPr>
          <w:rFonts w:ascii="Simplified Arabic" w:hAnsi="Simplified Arabic" w:cs="Simplified Arabic"/>
          <w:color w:val="000000"/>
          <w:sz w:val="24"/>
          <w:szCs w:val="24"/>
          <w:rtl/>
        </w:rPr>
        <w:t xml:space="preserve"> </w:t>
      </w:r>
      <w:r w:rsidR="004C574F" w:rsidRPr="0062340E">
        <w:rPr>
          <w:rFonts w:asciiTheme="majorBidi" w:hAnsiTheme="majorBidi" w:cstheme="majorBidi"/>
          <w:sz w:val="24"/>
          <w:szCs w:val="24"/>
        </w:rPr>
        <w:t>(AHP</w:t>
      </w:r>
      <w:r w:rsidR="004C574F" w:rsidRPr="0062340E">
        <w:rPr>
          <w:rFonts w:ascii="Simplified Arabic" w:hAnsi="Simplified Arabic" w:cs="Simplified Arabic"/>
          <w:sz w:val="24"/>
          <w:szCs w:val="24"/>
        </w:rPr>
        <w:t>)</w:t>
      </w:r>
      <w:r w:rsidR="004C574F" w:rsidRPr="0062340E">
        <w:rPr>
          <w:rFonts w:ascii="Simplified Arabic" w:hAnsi="Simplified Arabic" w:cs="Simplified Arabic"/>
          <w:color w:val="000000"/>
          <w:sz w:val="24"/>
          <w:szCs w:val="24"/>
          <w:rtl/>
        </w:rPr>
        <w:t>.</w:t>
      </w:r>
      <w:r w:rsidR="00A00D25" w:rsidRPr="0062340E">
        <w:rPr>
          <w:rStyle w:val="y2iqfc"/>
          <w:rFonts w:ascii="Simplified Arabic" w:hAnsi="Simplified Arabic" w:cs="Simplified Arabic"/>
          <w:color w:val="202124"/>
          <w:sz w:val="24"/>
          <w:szCs w:val="24"/>
          <w:rtl/>
          <w:lang w:bidi="ar"/>
        </w:rPr>
        <w:t xml:space="preserve"> </w:t>
      </w:r>
      <w:r w:rsidR="000E0D22" w:rsidRPr="0062340E">
        <w:rPr>
          <w:rFonts w:ascii="Simplified Arabic" w:hAnsi="Simplified Arabic" w:cs="Simplified Arabic" w:hint="cs"/>
          <w:color w:val="000000"/>
          <w:sz w:val="24"/>
          <w:szCs w:val="24"/>
          <w:rtl/>
          <w:lang w:val="en-US"/>
        </w:rPr>
        <w:t>كما</w:t>
      </w:r>
      <w:r w:rsidR="000E0D22" w:rsidRPr="0062340E">
        <w:rPr>
          <w:rFonts w:ascii="Simplified Arabic" w:hAnsi="Simplified Arabic" w:cs="Simplified Arabic"/>
          <w:sz w:val="24"/>
          <w:szCs w:val="24"/>
          <w:rtl/>
          <w:lang w:val="en-US"/>
        </w:rPr>
        <w:t xml:space="preserve"> يهدف </w:t>
      </w:r>
      <w:r w:rsidR="000E0D22" w:rsidRPr="0062340E">
        <w:rPr>
          <w:rFonts w:ascii="Simplified Arabic" w:hAnsi="Simplified Arabic" w:cs="Simplified Arabic" w:hint="cs"/>
          <w:sz w:val="24"/>
          <w:szCs w:val="24"/>
          <w:rtl/>
          <w:lang w:val="en-US"/>
        </w:rPr>
        <w:t xml:space="preserve">هذا </w:t>
      </w:r>
      <w:r w:rsidR="000E0D22" w:rsidRPr="0062340E">
        <w:rPr>
          <w:rFonts w:ascii="Simplified Arabic" w:hAnsi="Simplified Arabic" w:cs="Simplified Arabic"/>
          <w:sz w:val="24"/>
          <w:szCs w:val="24"/>
          <w:rtl/>
          <w:lang w:val="en-US" w:bidi="ar-DZ"/>
        </w:rPr>
        <w:t>الفصل إلى</w:t>
      </w:r>
      <w:r w:rsidR="000E0D22" w:rsidRPr="0062340E">
        <w:rPr>
          <w:rFonts w:ascii="Simplified Arabic" w:hAnsi="Simplified Arabic" w:cs="Simplified Arabic"/>
          <w:sz w:val="24"/>
          <w:szCs w:val="24"/>
          <w:rtl/>
          <w:lang w:val="en-US"/>
        </w:rPr>
        <w:t xml:space="preserve"> التحقيق</w:t>
      </w:r>
      <w:r w:rsidR="000E0D22" w:rsidRPr="0062340E">
        <w:rPr>
          <w:rFonts w:ascii="Simplified Arabic" w:hAnsi="Simplified Arabic" w:cs="Simplified Arabic" w:hint="cs"/>
          <w:sz w:val="24"/>
          <w:szCs w:val="24"/>
          <w:rtl/>
          <w:lang w:val="en-US"/>
        </w:rPr>
        <w:t xml:space="preserve"> مع</w:t>
      </w:r>
      <w:r w:rsidR="000E0D22" w:rsidRPr="0062340E">
        <w:rPr>
          <w:rFonts w:ascii="Simplified Arabic" w:hAnsi="Simplified Arabic" w:cs="Simplified Arabic"/>
          <w:sz w:val="24"/>
          <w:szCs w:val="24"/>
          <w:rtl/>
          <w:lang w:val="en-US"/>
        </w:rPr>
        <w:t xml:space="preserve"> </w:t>
      </w:r>
      <w:r w:rsidR="000E0D22" w:rsidRPr="0062340E">
        <w:rPr>
          <w:rFonts w:ascii="Simplified Arabic" w:hAnsi="Simplified Arabic" w:cs="Simplified Arabic" w:hint="cs"/>
          <w:sz w:val="24"/>
          <w:szCs w:val="24"/>
          <w:rtl/>
          <w:lang w:val="en-US"/>
        </w:rPr>
        <w:t xml:space="preserve">السكان المحليين </w:t>
      </w:r>
      <w:r w:rsidR="000E0D22" w:rsidRPr="0062340E">
        <w:rPr>
          <w:rFonts w:ascii="Simplified Arabic" w:hAnsi="Simplified Arabic" w:cs="Simplified Arabic"/>
          <w:sz w:val="24"/>
          <w:szCs w:val="24"/>
          <w:rtl/>
          <w:lang w:val="en-US"/>
        </w:rPr>
        <w:t>في تصورات</w:t>
      </w:r>
      <w:r w:rsidR="000E0D22" w:rsidRPr="0062340E">
        <w:rPr>
          <w:rFonts w:ascii="Simplified Arabic" w:hAnsi="Simplified Arabic" w:cs="Simplified Arabic" w:hint="cs"/>
          <w:sz w:val="24"/>
          <w:szCs w:val="24"/>
          <w:rtl/>
          <w:lang w:val="en-US"/>
        </w:rPr>
        <w:t>هم</w:t>
      </w:r>
      <w:r w:rsidR="000E0D22" w:rsidRPr="0062340E">
        <w:rPr>
          <w:rFonts w:ascii="Simplified Arabic" w:hAnsi="Simplified Arabic" w:cs="Simplified Arabic"/>
          <w:sz w:val="24"/>
          <w:szCs w:val="24"/>
          <w:rtl/>
          <w:lang w:val="en-US"/>
        </w:rPr>
        <w:t xml:space="preserve"> </w:t>
      </w:r>
      <w:r w:rsidR="000E0D22" w:rsidRPr="0062340E">
        <w:rPr>
          <w:rFonts w:ascii="Simplified Arabic" w:hAnsi="Simplified Arabic" w:cs="Simplified Arabic" w:hint="cs"/>
          <w:sz w:val="24"/>
          <w:szCs w:val="24"/>
          <w:rtl/>
          <w:lang w:val="en-US"/>
        </w:rPr>
        <w:t>حول ال</w:t>
      </w:r>
      <w:r w:rsidR="000E0D22" w:rsidRPr="0062340E">
        <w:rPr>
          <w:rFonts w:ascii="Simplified Arabic" w:hAnsi="Simplified Arabic" w:cs="Simplified Arabic"/>
          <w:sz w:val="24"/>
          <w:szCs w:val="24"/>
          <w:rtl/>
          <w:lang w:val="en-US"/>
        </w:rPr>
        <w:t xml:space="preserve">قضايا الأساسية </w:t>
      </w:r>
      <w:r w:rsidR="000E0D22" w:rsidRPr="0062340E">
        <w:rPr>
          <w:rFonts w:ascii="Simplified Arabic" w:hAnsi="Simplified Arabic" w:cs="Simplified Arabic" w:hint="cs"/>
          <w:sz w:val="24"/>
          <w:szCs w:val="24"/>
          <w:rtl/>
          <w:lang w:val="en-US"/>
        </w:rPr>
        <w:t>ل</w:t>
      </w:r>
      <w:r w:rsidR="000E0D22" w:rsidRPr="0062340E">
        <w:rPr>
          <w:rFonts w:ascii="Simplified Arabic" w:hAnsi="Simplified Arabic" w:cs="Simplified Arabic"/>
          <w:sz w:val="24"/>
          <w:szCs w:val="24"/>
          <w:rtl/>
          <w:lang w:val="en-US"/>
        </w:rPr>
        <w:t>لبيئية</w:t>
      </w:r>
      <w:r w:rsidR="000E0D22" w:rsidRPr="0062340E">
        <w:rPr>
          <w:rFonts w:ascii="Simplified Arabic" w:hAnsi="Simplified Arabic" w:cs="Simplified Arabic" w:hint="cs"/>
          <w:sz w:val="24"/>
          <w:szCs w:val="24"/>
          <w:rtl/>
          <w:lang w:val="en-US"/>
        </w:rPr>
        <w:t xml:space="preserve"> </w:t>
      </w:r>
      <w:r w:rsidR="008E533E" w:rsidRPr="0062340E">
        <w:rPr>
          <w:rFonts w:ascii="Simplified Arabic" w:hAnsi="Simplified Arabic" w:cs="Simplified Arabic" w:hint="cs"/>
          <w:sz w:val="24"/>
          <w:szCs w:val="24"/>
          <w:rtl/>
          <w:lang w:val="en-US"/>
        </w:rPr>
        <w:t>الحضرية</w:t>
      </w:r>
      <w:r w:rsidR="008E533E" w:rsidRPr="0062340E">
        <w:rPr>
          <w:rFonts w:ascii="Simplified Arabic" w:hAnsi="Simplified Arabic" w:cs="Simplified Arabic"/>
          <w:sz w:val="24"/>
          <w:szCs w:val="24"/>
          <w:rtl/>
          <w:lang w:val="en-US"/>
        </w:rPr>
        <w:t xml:space="preserve"> </w:t>
      </w:r>
      <w:r w:rsidR="000E0D22" w:rsidRPr="0062340E">
        <w:rPr>
          <w:rFonts w:ascii="Simplified Arabic" w:hAnsi="Simplified Arabic" w:cs="Simplified Arabic"/>
          <w:sz w:val="24"/>
          <w:szCs w:val="24"/>
          <w:rtl/>
          <w:lang w:val="en-US"/>
        </w:rPr>
        <w:t>لمدينة بوسعادة</w:t>
      </w:r>
      <w:r w:rsidR="000E0D22" w:rsidRPr="0062340E">
        <w:rPr>
          <w:rFonts w:ascii="Simplified Arabic" w:hAnsi="Simplified Arabic" w:cs="Simplified Arabic" w:hint="cs"/>
          <w:sz w:val="24"/>
          <w:szCs w:val="24"/>
          <w:rtl/>
          <w:lang w:val="en-US"/>
        </w:rPr>
        <w:t xml:space="preserve"> في سياق المخاطر الطبيعية، تم عرض</w:t>
      </w:r>
      <w:r w:rsidR="000E0D22" w:rsidRPr="0062340E">
        <w:rPr>
          <w:rFonts w:ascii="Simplified Arabic" w:hAnsi="Simplified Arabic" w:cs="Simplified Arabic"/>
          <w:sz w:val="24"/>
          <w:szCs w:val="24"/>
          <w:rtl/>
          <w:lang w:val="en-US"/>
        </w:rPr>
        <w:t xml:space="preserve"> طرق جمع البيانات ونتائج الاستبيان المحلي من أجل </w:t>
      </w:r>
      <w:r w:rsidR="000E0D22" w:rsidRPr="0062340E">
        <w:rPr>
          <w:rFonts w:ascii="Simplified Arabic" w:hAnsi="Simplified Arabic" w:cs="Simplified Arabic" w:hint="cs"/>
          <w:sz w:val="24"/>
          <w:szCs w:val="24"/>
          <w:rtl/>
          <w:lang w:val="en-US"/>
        </w:rPr>
        <w:t>معرفة اهمية التغطية بالخدمات العمومية اثنا</w:t>
      </w:r>
      <w:r w:rsidR="00DC2E44" w:rsidRPr="0062340E">
        <w:rPr>
          <w:rFonts w:ascii="Simplified Arabic" w:hAnsi="Simplified Arabic" w:cs="Simplified Arabic" w:hint="cs"/>
          <w:sz w:val="24"/>
          <w:szCs w:val="24"/>
          <w:rtl/>
          <w:lang w:val="en-US"/>
        </w:rPr>
        <w:t>ء</w:t>
      </w:r>
      <w:r w:rsidR="000E0D22" w:rsidRPr="0062340E">
        <w:rPr>
          <w:rFonts w:ascii="Simplified Arabic" w:hAnsi="Simplified Arabic" w:cs="Simplified Arabic" w:hint="cs"/>
          <w:sz w:val="24"/>
          <w:szCs w:val="24"/>
          <w:rtl/>
          <w:lang w:val="en-US"/>
        </w:rPr>
        <w:t xml:space="preserve"> مرحلة الطوارئ</w:t>
      </w:r>
      <w:r w:rsidR="000E0D22" w:rsidRPr="0062340E">
        <w:rPr>
          <w:rFonts w:ascii="Simplified Arabic" w:hAnsi="Simplified Arabic" w:cs="Simplified Arabic"/>
          <w:sz w:val="24"/>
          <w:szCs w:val="24"/>
          <w:rtl/>
          <w:lang w:val="en-US"/>
        </w:rPr>
        <w:t>.</w:t>
      </w:r>
      <w:r w:rsidR="000E0D22" w:rsidRPr="0062340E">
        <w:rPr>
          <w:rFonts w:ascii="Simplified Arabic" w:hAnsi="Simplified Arabic" w:cs="Simplified Arabic" w:hint="cs"/>
          <w:sz w:val="24"/>
          <w:szCs w:val="24"/>
          <w:rtl/>
          <w:lang w:val="en-US"/>
        </w:rPr>
        <w:t xml:space="preserve"> </w:t>
      </w:r>
    </w:p>
    <w:p w:rsidR="00A97221" w:rsidRPr="0062340E" w:rsidRDefault="007C3AF7" w:rsidP="0062340E">
      <w:pPr>
        <w:bidi/>
        <w:spacing w:before="240"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يبحث</w:t>
      </w:r>
      <w:r w:rsidR="0022082E" w:rsidRPr="0062340E">
        <w:rPr>
          <w:rFonts w:ascii="Simplified Arabic" w:hAnsi="Simplified Arabic" w:cs="Simplified Arabic"/>
          <w:sz w:val="24"/>
          <w:szCs w:val="24"/>
          <w:rtl/>
          <w:lang w:val="en-US" w:bidi="ar-DZ"/>
        </w:rPr>
        <w:t xml:space="preserve"> </w:t>
      </w:r>
      <w:r w:rsidR="0022082E" w:rsidRPr="0062340E">
        <w:rPr>
          <w:rFonts w:ascii="Simplified Arabic" w:hAnsi="Simplified Arabic" w:cs="Simplified Arabic"/>
          <w:b/>
          <w:bCs/>
          <w:sz w:val="24"/>
          <w:szCs w:val="24"/>
          <w:rtl/>
          <w:lang w:val="en-US" w:bidi="ar-DZ"/>
        </w:rPr>
        <w:t xml:space="preserve">الفصل </w:t>
      </w:r>
      <w:r w:rsidR="005172EB" w:rsidRPr="0062340E">
        <w:rPr>
          <w:rFonts w:ascii="Simplified Arabic" w:hAnsi="Simplified Arabic" w:cs="Simplified Arabic" w:hint="cs"/>
          <w:b/>
          <w:bCs/>
          <w:sz w:val="24"/>
          <w:szCs w:val="24"/>
          <w:rtl/>
          <w:lang w:val="en-US" w:bidi="ar-DZ"/>
        </w:rPr>
        <w:t>6</w:t>
      </w:r>
      <w:r w:rsidR="0022082E" w:rsidRPr="0062340E">
        <w:rPr>
          <w:rFonts w:ascii="Simplified Arabic" w:hAnsi="Simplified Arabic" w:cs="Simplified Arabic"/>
          <w:sz w:val="24"/>
          <w:szCs w:val="24"/>
          <w:rtl/>
          <w:lang w:val="en-US" w:bidi="ar-DZ"/>
        </w:rPr>
        <w:t xml:space="preserve"> </w:t>
      </w:r>
      <w:r w:rsidR="001D37BB" w:rsidRPr="0062340E">
        <w:rPr>
          <w:rFonts w:ascii="Simplified Arabic" w:hAnsi="Simplified Arabic" w:cs="Simplified Arabic" w:hint="cs"/>
          <w:sz w:val="24"/>
          <w:szCs w:val="24"/>
          <w:rtl/>
          <w:lang w:bidi="ar-DZ"/>
        </w:rPr>
        <w:t>في</w:t>
      </w:r>
      <w:r w:rsidRPr="0062340E">
        <w:rPr>
          <w:rFonts w:ascii="Simplified Arabic" w:hAnsi="Simplified Arabic" w:cs="Simplified Arabic" w:hint="cs"/>
          <w:sz w:val="24"/>
          <w:szCs w:val="24"/>
          <w:rtl/>
          <w:lang w:bidi="ar-DZ"/>
        </w:rPr>
        <w:t xml:space="preserve"> استكشاف سمات </w:t>
      </w:r>
      <w:r w:rsidR="00562EDD" w:rsidRPr="0062340E">
        <w:rPr>
          <w:rFonts w:ascii="Simplified Arabic" w:hAnsi="Simplified Arabic" w:cs="Simplified Arabic" w:hint="cs"/>
          <w:sz w:val="24"/>
          <w:szCs w:val="24"/>
          <w:rtl/>
          <w:lang w:bidi="ar-DZ"/>
        </w:rPr>
        <w:t xml:space="preserve">المرونة </w:t>
      </w:r>
      <w:r w:rsidR="00AE2B0F" w:rsidRPr="0062340E">
        <w:rPr>
          <w:rFonts w:ascii="Simplified Arabic" w:hAnsi="Simplified Arabic" w:cs="Simplified Arabic" w:hint="cs"/>
          <w:sz w:val="24"/>
          <w:szCs w:val="24"/>
          <w:rtl/>
          <w:lang w:bidi="ar-DZ"/>
        </w:rPr>
        <w:t xml:space="preserve">المكانية </w:t>
      </w:r>
      <w:r w:rsidR="007962DE" w:rsidRPr="0062340E">
        <w:rPr>
          <w:rFonts w:ascii="Simplified Arabic" w:hAnsi="Simplified Arabic" w:cs="Simplified Arabic" w:hint="cs"/>
          <w:sz w:val="24"/>
          <w:szCs w:val="24"/>
          <w:rtl/>
          <w:lang w:bidi="ar-DZ"/>
        </w:rPr>
        <w:t xml:space="preserve">للمعايير المستخدمة في </w:t>
      </w:r>
      <w:r w:rsidRPr="0062340E">
        <w:rPr>
          <w:rFonts w:ascii="Simplified Arabic" w:hAnsi="Simplified Arabic" w:cs="Simplified Arabic" w:hint="cs"/>
          <w:sz w:val="24"/>
          <w:szCs w:val="24"/>
          <w:rtl/>
          <w:lang w:bidi="ar-DZ"/>
        </w:rPr>
        <w:t xml:space="preserve">البحث وذلك من حيث الكثافة، التنوع، </w:t>
      </w:r>
      <w:r w:rsidR="00710CDE" w:rsidRPr="0062340E">
        <w:rPr>
          <w:rFonts w:ascii="Simplified Arabic" w:hAnsi="Simplified Arabic" w:cs="Simplified Arabic" w:hint="cs"/>
          <w:sz w:val="24"/>
          <w:szCs w:val="24"/>
          <w:rtl/>
          <w:lang w:bidi="ar-DZ"/>
        </w:rPr>
        <w:t>الاتصال</w:t>
      </w:r>
      <w:r w:rsidR="00E43558">
        <w:rPr>
          <w:rFonts w:ascii="Simplified Arabic" w:hAnsi="Simplified Arabic" w:cs="Simplified Arabic" w:hint="cs"/>
          <w:sz w:val="24"/>
          <w:szCs w:val="24"/>
          <w:rtl/>
          <w:lang w:bidi="ar-DZ"/>
        </w:rPr>
        <w:t>ية</w:t>
      </w:r>
      <w:r w:rsidR="00710CDE" w:rsidRPr="0062340E">
        <w:rPr>
          <w:rFonts w:ascii="Simplified Arabic" w:hAnsi="Simplified Arabic" w:cs="Simplified Arabic" w:hint="cs"/>
          <w:sz w:val="24"/>
          <w:szCs w:val="24"/>
          <w:rtl/>
          <w:lang w:bidi="ar-DZ"/>
        </w:rPr>
        <w:t xml:space="preserve"> و</w:t>
      </w:r>
      <w:r w:rsidRPr="0062340E">
        <w:rPr>
          <w:rFonts w:ascii="Simplified Arabic" w:hAnsi="Simplified Arabic" w:cs="Simplified Arabic" w:hint="cs"/>
          <w:sz w:val="24"/>
          <w:szCs w:val="24"/>
          <w:rtl/>
          <w:lang w:bidi="ar-DZ"/>
        </w:rPr>
        <w:t xml:space="preserve">التكرار. الغاية من ذلك، معرفة اي من فئات الانسجة الحضرية تتوافر على سمات </w:t>
      </w:r>
      <w:r w:rsidR="00562EDD" w:rsidRPr="0062340E">
        <w:rPr>
          <w:rFonts w:ascii="Simplified Arabic" w:hAnsi="Simplified Arabic" w:cs="Simplified Arabic" w:hint="cs"/>
          <w:sz w:val="24"/>
          <w:szCs w:val="24"/>
          <w:rtl/>
          <w:lang w:bidi="ar-DZ"/>
        </w:rPr>
        <w:t xml:space="preserve">المرونة </w:t>
      </w:r>
      <w:r w:rsidR="00AE2B0F" w:rsidRPr="0062340E">
        <w:rPr>
          <w:rFonts w:ascii="Simplified Arabic" w:hAnsi="Simplified Arabic" w:cs="Simplified Arabic" w:hint="cs"/>
          <w:sz w:val="24"/>
          <w:szCs w:val="24"/>
          <w:rtl/>
          <w:lang w:bidi="ar-DZ"/>
        </w:rPr>
        <w:t xml:space="preserve">المكانية التي تسمح </w:t>
      </w:r>
      <w:r w:rsidR="00562EDD" w:rsidRPr="0062340E">
        <w:rPr>
          <w:rFonts w:ascii="Simplified Arabic" w:hAnsi="Simplified Arabic" w:cs="Simplified Arabic" w:hint="cs"/>
          <w:sz w:val="24"/>
          <w:szCs w:val="24"/>
          <w:rtl/>
          <w:lang w:bidi="ar-DZ"/>
        </w:rPr>
        <w:t>بمعرفة اسباب تباين</w:t>
      </w:r>
      <w:r w:rsidR="00AE2B0F" w:rsidRPr="0062340E">
        <w:rPr>
          <w:rFonts w:ascii="Simplified Arabic" w:hAnsi="Simplified Arabic" w:cs="Simplified Arabic" w:hint="cs"/>
          <w:sz w:val="24"/>
          <w:szCs w:val="24"/>
          <w:rtl/>
          <w:lang w:bidi="ar-DZ"/>
        </w:rPr>
        <w:t xml:space="preserve"> مستويات </w:t>
      </w:r>
      <w:r w:rsidRPr="0062340E">
        <w:rPr>
          <w:rFonts w:ascii="Simplified Arabic" w:hAnsi="Simplified Arabic" w:cs="Simplified Arabic" w:hint="cs"/>
          <w:sz w:val="24"/>
          <w:szCs w:val="24"/>
          <w:rtl/>
          <w:lang w:bidi="ar-DZ"/>
        </w:rPr>
        <w:t xml:space="preserve">المرونة الحضرية. </w:t>
      </w:r>
      <w:r w:rsidR="00AE2B0F" w:rsidRPr="0062340E">
        <w:rPr>
          <w:rFonts w:ascii="Simplified Arabic" w:hAnsi="Simplified Arabic" w:cs="Simplified Arabic" w:hint="cs"/>
          <w:sz w:val="24"/>
          <w:szCs w:val="24"/>
          <w:rtl/>
          <w:lang w:bidi="ar-DZ"/>
        </w:rPr>
        <w:t xml:space="preserve">يتم ذلك </w:t>
      </w:r>
      <w:r w:rsidRPr="0062340E">
        <w:rPr>
          <w:rFonts w:ascii="Simplified Arabic" w:hAnsi="Simplified Arabic" w:cs="Simplified Arabic" w:hint="cs"/>
          <w:sz w:val="24"/>
          <w:szCs w:val="24"/>
          <w:rtl/>
          <w:lang w:bidi="ar-DZ"/>
        </w:rPr>
        <w:t>ب</w:t>
      </w:r>
      <w:r w:rsidR="00DC5DE5" w:rsidRPr="0062340E">
        <w:rPr>
          <w:rFonts w:ascii="Simplified Arabic" w:hAnsi="Simplified Arabic" w:cs="Simplified Arabic" w:hint="cs"/>
          <w:sz w:val="24"/>
          <w:szCs w:val="24"/>
          <w:rtl/>
          <w:lang w:val="en-US" w:bidi="ar-DZ"/>
        </w:rPr>
        <w:t xml:space="preserve">تطبيق </w:t>
      </w:r>
      <w:r w:rsidR="003E3683" w:rsidRPr="0062340E">
        <w:rPr>
          <w:rFonts w:ascii="Simplified Arabic" w:hAnsi="Simplified Arabic" w:cs="Simplified Arabic" w:hint="cs"/>
          <w:sz w:val="24"/>
          <w:szCs w:val="24"/>
          <w:rtl/>
          <w:lang w:val="en-US" w:bidi="ar-DZ"/>
        </w:rPr>
        <w:t>ال</w:t>
      </w:r>
      <w:r w:rsidR="0096287E" w:rsidRPr="0062340E">
        <w:rPr>
          <w:rFonts w:ascii="Simplified Arabic" w:hAnsi="Simplified Arabic" w:cs="Simplified Arabic" w:hint="cs"/>
          <w:sz w:val="24"/>
          <w:szCs w:val="24"/>
          <w:rtl/>
          <w:lang w:val="en-US" w:bidi="ar-DZ"/>
        </w:rPr>
        <w:t>نموذج</w:t>
      </w:r>
      <w:r w:rsidR="0022082E" w:rsidRPr="0062340E">
        <w:rPr>
          <w:rFonts w:ascii="Simplified Arabic" w:hAnsi="Simplified Arabic" w:cs="Simplified Arabic"/>
          <w:sz w:val="24"/>
          <w:szCs w:val="24"/>
          <w:rtl/>
          <w:lang w:val="en-US" w:bidi="ar-DZ"/>
        </w:rPr>
        <w:t xml:space="preserve"> </w:t>
      </w:r>
      <w:r w:rsidR="003E3683" w:rsidRPr="0062340E">
        <w:rPr>
          <w:rFonts w:ascii="Simplified Arabic" w:hAnsi="Simplified Arabic" w:cs="Simplified Arabic"/>
          <w:sz w:val="24"/>
          <w:szCs w:val="24"/>
          <w:rtl/>
          <w:lang w:val="en-US" w:bidi="ar-DZ"/>
        </w:rPr>
        <w:t xml:space="preserve">المقترح </w:t>
      </w:r>
      <w:r w:rsidR="00DC5DE5" w:rsidRPr="0062340E">
        <w:rPr>
          <w:rFonts w:ascii="Simplified Arabic" w:hAnsi="Simplified Arabic" w:cs="Simplified Arabic" w:hint="cs"/>
          <w:sz w:val="24"/>
          <w:szCs w:val="24"/>
          <w:rtl/>
          <w:lang w:val="en-US" w:bidi="ar-DZ"/>
        </w:rPr>
        <w:t>من خلال النمذجة</w:t>
      </w:r>
      <w:r w:rsidR="00DC5DE5" w:rsidRPr="0062340E">
        <w:rPr>
          <w:rFonts w:ascii="Simplified Arabic" w:hAnsi="Simplified Arabic" w:cs="Simplified Arabic"/>
          <w:sz w:val="24"/>
          <w:szCs w:val="24"/>
          <w:rtl/>
          <w:lang w:val="en-US" w:bidi="ar-DZ"/>
        </w:rPr>
        <w:t xml:space="preserve"> </w:t>
      </w:r>
      <w:r w:rsidR="00DC5DE5" w:rsidRPr="0062340E">
        <w:rPr>
          <w:rFonts w:ascii="Simplified Arabic" w:hAnsi="Simplified Arabic" w:cs="Simplified Arabic" w:hint="cs"/>
          <w:sz w:val="24"/>
          <w:szCs w:val="24"/>
          <w:rtl/>
          <w:lang w:val="en-US" w:bidi="ar-DZ"/>
        </w:rPr>
        <w:t>المكانية</w:t>
      </w:r>
      <w:r w:rsidR="00DC5DE5" w:rsidRPr="0062340E">
        <w:rPr>
          <w:rFonts w:ascii="Simplified Arabic" w:hAnsi="Simplified Arabic" w:cs="Simplified Arabic"/>
          <w:sz w:val="24"/>
          <w:szCs w:val="24"/>
          <w:rtl/>
          <w:lang w:val="en-US" w:bidi="ar-DZ"/>
        </w:rPr>
        <w:t xml:space="preserve"> </w:t>
      </w:r>
      <w:r w:rsidR="00185833" w:rsidRPr="0062340E">
        <w:rPr>
          <w:rFonts w:ascii="Simplified Arabic" w:hAnsi="Simplified Arabic" w:cs="Simplified Arabic" w:hint="cs"/>
          <w:sz w:val="24"/>
          <w:szCs w:val="24"/>
          <w:rtl/>
          <w:lang w:val="en-US" w:bidi="ar-DZ"/>
        </w:rPr>
        <w:t>باستخدام</w:t>
      </w:r>
      <w:r w:rsidR="00337414" w:rsidRPr="0062340E">
        <w:rPr>
          <w:rFonts w:ascii="Simplified Arabic" w:hAnsi="Simplified Arabic" w:cs="Simplified Arabic" w:hint="cs"/>
          <w:sz w:val="24"/>
          <w:szCs w:val="24"/>
          <w:rtl/>
          <w:lang w:val="en-US" w:bidi="ar-DZ"/>
        </w:rPr>
        <w:t xml:space="preserve"> </w:t>
      </w:r>
      <w:r w:rsidR="00185833" w:rsidRPr="0062340E">
        <w:rPr>
          <w:rFonts w:ascii="Simplified Arabic" w:hAnsi="Simplified Arabic" w:cs="Simplified Arabic" w:hint="cs"/>
          <w:sz w:val="24"/>
          <w:szCs w:val="24"/>
          <w:rtl/>
          <w:lang w:val="en-US" w:bidi="ar-DZ"/>
        </w:rPr>
        <w:t>أدوات</w:t>
      </w:r>
      <w:r w:rsidR="00185833" w:rsidRPr="0062340E">
        <w:rPr>
          <w:rFonts w:ascii="Simplified Arabic" w:hAnsi="Simplified Arabic" w:cs="Simplified Arabic"/>
          <w:sz w:val="24"/>
          <w:szCs w:val="24"/>
          <w:lang w:val="en-US" w:bidi="ar-DZ"/>
        </w:rPr>
        <w:t xml:space="preserve"> </w:t>
      </w:r>
      <w:r w:rsidR="00185833" w:rsidRPr="0062340E">
        <w:rPr>
          <w:rFonts w:ascii="Simplified Arabic" w:hAnsi="Simplified Arabic" w:cs="Simplified Arabic" w:hint="cs"/>
          <w:sz w:val="24"/>
          <w:szCs w:val="24"/>
          <w:rtl/>
          <w:lang w:val="en-US" w:bidi="ar-DZ"/>
        </w:rPr>
        <w:t>التحليل</w:t>
      </w:r>
      <w:r w:rsidR="00185833" w:rsidRPr="0062340E">
        <w:rPr>
          <w:rFonts w:ascii="Simplified Arabic" w:hAnsi="Simplified Arabic" w:cs="Simplified Arabic"/>
          <w:sz w:val="24"/>
          <w:szCs w:val="24"/>
          <w:lang w:val="en-US" w:bidi="ar-DZ"/>
        </w:rPr>
        <w:t xml:space="preserve"> </w:t>
      </w:r>
      <w:r w:rsidR="00185833" w:rsidRPr="0062340E">
        <w:rPr>
          <w:rFonts w:ascii="Simplified Arabic" w:hAnsi="Simplified Arabic" w:cs="Simplified Arabic" w:hint="cs"/>
          <w:sz w:val="24"/>
          <w:szCs w:val="24"/>
          <w:rtl/>
          <w:lang w:val="en-US" w:bidi="ar-DZ"/>
        </w:rPr>
        <w:t>المكاني</w:t>
      </w:r>
      <w:r w:rsidR="00713010" w:rsidRPr="0062340E">
        <w:rPr>
          <w:rFonts w:asciiTheme="majorBidi" w:hAnsiTheme="majorBidi" w:cstheme="majorBidi"/>
          <w:sz w:val="24"/>
          <w:szCs w:val="24"/>
        </w:rPr>
        <w:t xml:space="preserve">(Spatial </w:t>
      </w:r>
      <w:r w:rsidR="00713010" w:rsidRPr="0062340E">
        <w:rPr>
          <w:rFonts w:asciiTheme="majorBidi" w:hAnsiTheme="majorBidi" w:cstheme="majorBidi"/>
          <w:sz w:val="24"/>
          <w:szCs w:val="24"/>
          <w:lang w:val="en-US"/>
        </w:rPr>
        <w:t>Analyst</w:t>
      </w:r>
      <w:r w:rsidR="00713010" w:rsidRPr="0062340E">
        <w:rPr>
          <w:rFonts w:asciiTheme="majorBidi" w:hAnsiTheme="majorBidi" w:cstheme="majorBidi"/>
          <w:sz w:val="24"/>
          <w:szCs w:val="24"/>
        </w:rPr>
        <w:t xml:space="preserve"> )</w:t>
      </w:r>
      <w:r w:rsidR="00185833" w:rsidRPr="0062340E">
        <w:rPr>
          <w:rFonts w:ascii="Simplified Arabic" w:hAnsi="Simplified Arabic" w:cs="Simplified Arabic"/>
          <w:sz w:val="24"/>
          <w:szCs w:val="24"/>
          <w:lang w:val="en-US" w:bidi="ar-DZ"/>
        </w:rPr>
        <w:t xml:space="preserve"> </w:t>
      </w:r>
      <w:r w:rsidR="00713010" w:rsidRPr="0062340E">
        <w:rPr>
          <w:rFonts w:ascii="Simplified Arabic" w:hAnsi="Simplified Arabic" w:cs="Simplified Arabic" w:hint="cs"/>
          <w:sz w:val="24"/>
          <w:szCs w:val="24"/>
          <w:rtl/>
          <w:lang w:val="en-US" w:bidi="ar-DZ"/>
        </w:rPr>
        <w:t xml:space="preserve"> </w:t>
      </w:r>
      <w:r w:rsidR="00185833" w:rsidRPr="0062340E">
        <w:rPr>
          <w:rFonts w:ascii="Simplified Arabic" w:hAnsi="Simplified Arabic" w:cs="Simplified Arabic" w:hint="cs"/>
          <w:sz w:val="24"/>
          <w:szCs w:val="24"/>
          <w:rtl/>
          <w:lang w:val="en-US" w:bidi="ar-DZ"/>
        </w:rPr>
        <w:t>و</w:t>
      </w:r>
      <w:r w:rsidR="00E2367D" w:rsidRPr="0062340E">
        <w:rPr>
          <w:rFonts w:ascii="Simplified Arabic" w:hAnsi="Simplified Arabic" w:cs="Simplified Arabic" w:hint="cs"/>
          <w:sz w:val="24"/>
          <w:szCs w:val="24"/>
          <w:rtl/>
          <w:lang w:val="en-US" w:bidi="ar-DZ"/>
        </w:rPr>
        <w:t xml:space="preserve">التحليل </w:t>
      </w:r>
      <w:r w:rsidR="00185833" w:rsidRPr="0062340E">
        <w:rPr>
          <w:rFonts w:ascii="Simplified Arabic" w:hAnsi="Simplified Arabic" w:cs="Simplified Arabic" w:hint="cs"/>
          <w:sz w:val="24"/>
          <w:szCs w:val="24"/>
          <w:rtl/>
          <w:lang w:val="en-US" w:bidi="ar-DZ"/>
        </w:rPr>
        <w:t>الشبكي</w:t>
      </w:r>
      <w:r w:rsidR="006A19AE" w:rsidRPr="0062340E">
        <w:rPr>
          <w:rFonts w:asciiTheme="majorBidi" w:hAnsiTheme="majorBidi" w:cstheme="majorBidi"/>
          <w:sz w:val="24"/>
          <w:szCs w:val="24"/>
          <w:lang w:val="en-US"/>
        </w:rPr>
        <w:t xml:space="preserve"> </w:t>
      </w:r>
      <w:r w:rsidR="006A19AE" w:rsidRPr="0062340E">
        <w:rPr>
          <w:rFonts w:asciiTheme="majorBidi" w:hAnsiTheme="majorBidi" w:cstheme="majorBidi" w:hint="cs"/>
          <w:sz w:val="24"/>
          <w:szCs w:val="24"/>
          <w:rtl/>
          <w:lang w:val="en-US"/>
        </w:rPr>
        <w:t>(</w:t>
      </w:r>
      <w:r w:rsidR="006A19AE" w:rsidRPr="0062340E">
        <w:rPr>
          <w:rFonts w:asciiTheme="majorBidi" w:hAnsiTheme="majorBidi" w:cstheme="majorBidi"/>
          <w:sz w:val="24"/>
          <w:szCs w:val="24"/>
          <w:lang w:val="en-US"/>
        </w:rPr>
        <w:t>Analysis Network</w:t>
      </w:r>
      <w:r w:rsidR="006A19AE" w:rsidRPr="0062340E">
        <w:rPr>
          <w:rFonts w:asciiTheme="majorBidi" w:hAnsiTheme="majorBidi" w:cstheme="majorBidi" w:hint="cs"/>
          <w:sz w:val="24"/>
          <w:szCs w:val="24"/>
          <w:rtl/>
          <w:lang w:val="en-US"/>
        </w:rPr>
        <w:t>)</w:t>
      </w:r>
      <w:r w:rsidR="00185833" w:rsidRPr="0062340E">
        <w:rPr>
          <w:rFonts w:ascii="Simplified Arabic" w:hAnsi="Simplified Arabic" w:cs="Simplified Arabic"/>
          <w:sz w:val="24"/>
          <w:szCs w:val="24"/>
          <w:lang w:val="en-US" w:bidi="ar-DZ"/>
        </w:rPr>
        <w:t xml:space="preserve"> </w:t>
      </w:r>
      <w:r w:rsidR="00DC5DE5" w:rsidRPr="0062340E">
        <w:rPr>
          <w:rFonts w:ascii="Simplified Arabic" w:hAnsi="Simplified Arabic" w:cs="Simplified Arabic" w:hint="cs"/>
          <w:sz w:val="24"/>
          <w:szCs w:val="24"/>
          <w:rtl/>
          <w:lang w:val="en-US" w:bidi="ar-DZ"/>
        </w:rPr>
        <w:t xml:space="preserve">في بيئة نظم المعلومات </w:t>
      </w:r>
      <w:r w:rsidR="00DC5DE5" w:rsidRPr="0062340E">
        <w:rPr>
          <w:rFonts w:ascii="Simplified Arabic" w:hAnsi="Simplified Arabic" w:cs="Simplified Arabic" w:hint="cs"/>
          <w:sz w:val="24"/>
          <w:szCs w:val="24"/>
          <w:rtl/>
          <w:lang w:val="en-US" w:bidi="ar-DZ"/>
        </w:rPr>
        <w:lastRenderedPageBreak/>
        <w:t>الجغرافية</w:t>
      </w:r>
      <w:r w:rsidR="00B23A22" w:rsidRPr="0062340E">
        <w:rPr>
          <w:rFonts w:ascii="Simplified Arabic" w:hAnsi="Simplified Arabic" w:cs="Simplified Arabic" w:hint="cs"/>
          <w:sz w:val="24"/>
          <w:szCs w:val="24"/>
          <w:rtl/>
          <w:lang w:val="en-US" w:bidi="ar-DZ"/>
        </w:rPr>
        <w:t>،</w:t>
      </w:r>
      <w:r w:rsidR="0096287E" w:rsidRPr="0062340E">
        <w:rPr>
          <w:rFonts w:ascii="Simplified Arabic" w:hAnsi="Simplified Arabic" w:cs="Simplified Arabic" w:hint="cs"/>
          <w:sz w:val="24"/>
          <w:szCs w:val="24"/>
          <w:rtl/>
          <w:lang w:val="en-US" w:bidi="ar-DZ"/>
        </w:rPr>
        <w:t xml:space="preserve"> </w:t>
      </w:r>
      <w:r w:rsidR="00DC5DE5" w:rsidRPr="0062340E">
        <w:rPr>
          <w:rFonts w:ascii="Simplified Arabic" w:hAnsi="Simplified Arabic" w:cs="Simplified Arabic"/>
          <w:sz w:val="24"/>
          <w:szCs w:val="24"/>
          <w:rtl/>
          <w:lang w:val="en-US" w:bidi="ar-DZ"/>
        </w:rPr>
        <w:t>على</w:t>
      </w:r>
      <w:r w:rsidR="00637B1B" w:rsidRPr="0062340E">
        <w:rPr>
          <w:rFonts w:ascii="Simplified Arabic" w:hAnsi="Simplified Arabic" w:cs="Simplified Arabic" w:hint="cs"/>
          <w:sz w:val="24"/>
          <w:szCs w:val="24"/>
          <w:rtl/>
          <w:lang w:val="en-US" w:bidi="ar-DZ"/>
        </w:rPr>
        <w:t xml:space="preserve"> اساس</w:t>
      </w:r>
      <w:r w:rsidR="00DC5DE5" w:rsidRPr="0062340E">
        <w:rPr>
          <w:rFonts w:ascii="Simplified Arabic" w:hAnsi="Simplified Arabic" w:cs="Simplified Arabic"/>
          <w:sz w:val="24"/>
          <w:szCs w:val="24"/>
          <w:rtl/>
          <w:lang w:val="en-US" w:bidi="ar-DZ"/>
        </w:rPr>
        <w:t xml:space="preserve"> </w:t>
      </w:r>
      <w:r w:rsidR="00562EDD" w:rsidRPr="0062340E">
        <w:rPr>
          <w:rFonts w:ascii="Simplified Arabic" w:hAnsi="Simplified Arabic" w:cs="Simplified Arabic" w:hint="cs"/>
          <w:sz w:val="24"/>
          <w:szCs w:val="24"/>
          <w:rtl/>
          <w:lang w:val="en-US" w:bidi="ar-DZ"/>
        </w:rPr>
        <w:t>تنوع المرافق (</w:t>
      </w:r>
      <w:r w:rsidR="00AE2B0F" w:rsidRPr="0062340E">
        <w:rPr>
          <w:rFonts w:ascii="Simplified Arabic" w:hAnsi="Simplified Arabic" w:cs="Simplified Arabic" w:hint="cs"/>
          <w:sz w:val="24"/>
          <w:szCs w:val="24"/>
          <w:rtl/>
          <w:lang w:val="en-US" w:bidi="ar-DZ"/>
        </w:rPr>
        <w:t>مسافة</w:t>
      </w:r>
      <w:r w:rsidR="00B23A22" w:rsidRPr="0062340E">
        <w:rPr>
          <w:rFonts w:ascii="Simplified Arabic" w:hAnsi="Simplified Arabic" w:cs="Simplified Arabic" w:hint="cs"/>
          <w:sz w:val="24"/>
          <w:szCs w:val="24"/>
          <w:rtl/>
          <w:lang w:val="en-US" w:bidi="ar-DZ"/>
        </w:rPr>
        <w:t xml:space="preserve"> التغطية</w:t>
      </w:r>
      <w:r w:rsidR="003E3683" w:rsidRPr="0062340E">
        <w:rPr>
          <w:rFonts w:ascii="Simplified Arabic" w:hAnsi="Simplified Arabic" w:cs="Simplified Arabic" w:hint="cs"/>
          <w:sz w:val="24"/>
          <w:szCs w:val="24"/>
          <w:rtl/>
          <w:lang w:val="en-US" w:bidi="ar-DZ"/>
        </w:rPr>
        <w:t xml:space="preserve"> بالخدمة</w:t>
      </w:r>
      <w:r w:rsidR="00562EDD" w:rsidRPr="0062340E">
        <w:rPr>
          <w:rFonts w:ascii="Simplified Arabic" w:hAnsi="Simplified Arabic" w:cs="Simplified Arabic" w:hint="cs"/>
          <w:sz w:val="24"/>
          <w:szCs w:val="24"/>
          <w:rtl/>
          <w:lang w:val="en-US" w:bidi="ar-DZ"/>
        </w:rPr>
        <w:t xml:space="preserve"> لكل مرفق)</w:t>
      </w:r>
      <w:r w:rsidR="00CA4E7F" w:rsidRPr="0062340E">
        <w:rPr>
          <w:rFonts w:ascii="Simplified Arabic" w:hAnsi="Simplified Arabic" w:cs="Simplified Arabic" w:hint="cs"/>
          <w:sz w:val="24"/>
          <w:szCs w:val="24"/>
          <w:rtl/>
          <w:lang w:val="en-US" w:bidi="ar-DZ"/>
        </w:rPr>
        <w:t>،</w:t>
      </w:r>
      <w:r w:rsidR="00DC5DE5" w:rsidRPr="0062340E">
        <w:rPr>
          <w:rFonts w:ascii="Simplified Arabic" w:hAnsi="Simplified Arabic" w:cs="Simplified Arabic"/>
          <w:sz w:val="24"/>
          <w:szCs w:val="24"/>
          <w:rtl/>
          <w:lang w:val="en-US" w:bidi="ar-DZ"/>
        </w:rPr>
        <w:t xml:space="preserve"> الكثافة السكنية</w:t>
      </w:r>
      <w:r w:rsidR="00DC5DE5" w:rsidRPr="0062340E">
        <w:rPr>
          <w:rFonts w:ascii="Simplified Arabic" w:hAnsi="Simplified Arabic" w:cs="Simplified Arabic" w:hint="cs"/>
          <w:sz w:val="24"/>
          <w:szCs w:val="24"/>
          <w:rtl/>
          <w:lang w:val="en-US" w:bidi="ar-DZ"/>
        </w:rPr>
        <w:t xml:space="preserve"> </w:t>
      </w:r>
      <w:r w:rsidR="00D41956" w:rsidRPr="0062340E">
        <w:rPr>
          <w:rFonts w:ascii="Simplified Arabic" w:hAnsi="Simplified Arabic" w:cs="Simplified Arabic" w:hint="cs"/>
          <w:sz w:val="24"/>
          <w:szCs w:val="24"/>
          <w:rtl/>
          <w:lang w:val="en-US" w:bidi="ar-DZ"/>
        </w:rPr>
        <w:t xml:space="preserve">وسهولة الوصول </w:t>
      </w:r>
      <w:r w:rsidR="00AE2B0F" w:rsidRPr="0062340E">
        <w:rPr>
          <w:rFonts w:ascii="Simplified Arabic" w:hAnsi="Simplified Arabic" w:cs="Simplified Arabic" w:hint="cs"/>
          <w:sz w:val="24"/>
          <w:szCs w:val="24"/>
          <w:rtl/>
          <w:lang w:val="en-US" w:bidi="ar-DZ"/>
        </w:rPr>
        <w:t xml:space="preserve">عبر </w:t>
      </w:r>
      <w:r w:rsidR="00562EDD" w:rsidRPr="0062340E">
        <w:rPr>
          <w:rFonts w:ascii="Simplified Arabic" w:hAnsi="Simplified Arabic" w:cs="Simplified Arabic" w:hint="cs"/>
          <w:sz w:val="24"/>
          <w:szCs w:val="24"/>
          <w:rtl/>
          <w:lang w:val="en-US" w:bidi="ar-DZ"/>
        </w:rPr>
        <w:t xml:space="preserve">شبكة </w:t>
      </w:r>
      <w:r w:rsidR="00AE2B0F" w:rsidRPr="0062340E">
        <w:rPr>
          <w:rFonts w:ascii="Simplified Arabic" w:hAnsi="Simplified Arabic" w:cs="Simplified Arabic" w:hint="cs"/>
          <w:sz w:val="24"/>
          <w:szCs w:val="24"/>
          <w:rtl/>
          <w:lang w:val="en-US" w:bidi="ar-DZ"/>
        </w:rPr>
        <w:t xml:space="preserve">الطرق </w:t>
      </w:r>
      <w:r w:rsidR="00637B1B" w:rsidRPr="0062340E">
        <w:rPr>
          <w:rFonts w:ascii="Simplified Arabic" w:hAnsi="Simplified Arabic" w:cs="Simplified Arabic" w:hint="cs"/>
          <w:sz w:val="24"/>
          <w:szCs w:val="24"/>
          <w:rtl/>
          <w:lang w:val="en-US" w:bidi="ar-DZ"/>
        </w:rPr>
        <w:t>ل</w:t>
      </w:r>
      <w:r w:rsidR="00A00D25" w:rsidRPr="0062340E">
        <w:rPr>
          <w:rFonts w:ascii="Simplified Arabic" w:hAnsi="Simplified Arabic" w:cs="Simplified Arabic" w:hint="cs"/>
          <w:sz w:val="24"/>
          <w:szCs w:val="24"/>
          <w:rtl/>
          <w:lang w:val="en-US" w:bidi="ar-DZ"/>
        </w:rPr>
        <w:t xml:space="preserve">فئات </w:t>
      </w:r>
      <w:r w:rsidR="007962DE" w:rsidRPr="0062340E">
        <w:rPr>
          <w:rFonts w:ascii="Simplified Arabic" w:hAnsi="Simplified Arabic" w:cs="Simplified Arabic" w:hint="cs"/>
          <w:sz w:val="24"/>
          <w:szCs w:val="24"/>
          <w:rtl/>
          <w:lang w:val="en-US" w:bidi="ar-DZ"/>
        </w:rPr>
        <w:t>ا</w:t>
      </w:r>
      <w:r w:rsidR="00637B1B" w:rsidRPr="0062340E">
        <w:rPr>
          <w:rFonts w:ascii="Simplified Arabic" w:hAnsi="Simplified Arabic" w:cs="Simplified Arabic" w:hint="cs"/>
          <w:sz w:val="24"/>
          <w:szCs w:val="24"/>
          <w:rtl/>
          <w:lang w:val="en-US" w:bidi="ar-DZ"/>
        </w:rPr>
        <w:t>لأنسجة</w:t>
      </w:r>
      <w:r w:rsidR="0096287E" w:rsidRPr="0062340E">
        <w:rPr>
          <w:rFonts w:ascii="Simplified Arabic" w:hAnsi="Simplified Arabic" w:cs="Simplified Arabic" w:hint="cs"/>
          <w:sz w:val="24"/>
          <w:szCs w:val="24"/>
          <w:rtl/>
          <w:lang w:val="en-US" w:bidi="ar-DZ"/>
        </w:rPr>
        <w:t xml:space="preserve"> </w:t>
      </w:r>
      <w:r w:rsidR="0022082E" w:rsidRPr="0062340E">
        <w:rPr>
          <w:rFonts w:ascii="Simplified Arabic" w:hAnsi="Simplified Arabic" w:cs="Simplified Arabic"/>
          <w:sz w:val="24"/>
          <w:szCs w:val="24"/>
          <w:rtl/>
          <w:lang w:val="en-US" w:bidi="ar-DZ"/>
        </w:rPr>
        <w:t>الحضرية</w:t>
      </w:r>
      <w:r w:rsidR="0096287E" w:rsidRPr="0062340E">
        <w:rPr>
          <w:rFonts w:ascii="Simplified Arabic" w:hAnsi="Simplified Arabic" w:cs="Simplified Arabic" w:hint="cs"/>
          <w:sz w:val="24"/>
          <w:szCs w:val="24"/>
          <w:rtl/>
          <w:lang w:val="en-US" w:bidi="ar-DZ"/>
        </w:rPr>
        <w:t xml:space="preserve"> الاربعة</w:t>
      </w:r>
      <w:r w:rsidRPr="0062340E">
        <w:rPr>
          <w:rFonts w:ascii="Simplified Arabic" w:hAnsi="Simplified Arabic" w:cs="Simplified Arabic" w:hint="cs"/>
          <w:sz w:val="24"/>
          <w:szCs w:val="24"/>
          <w:rtl/>
          <w:lang w:val="en-US" w:bidi="ar-DZ"/>
        </w:rPr>
        <w:t>.</w:t>
      </w:r>
      <w:r w:rsidR="00CB248E" w:rsidRPr="0062340E">
        <w:rPr>
          <w:rFonts w:ascii="Simplified Arabic" w:hAnsi="Simplified Arabic" w:cs="Simplified Arabic" w:hint="cs"/>
          <w:sz w:val="24"/>
          <w:szCs w:val="24"/>
          <w:rtl/>
          <w:lang w:val="en-US" w:bidi="ar-DZ"/>
        </w:rPr>
        <w:t xml:space="preserve"> </w:t>
      </w:r>
      <w:r w:rsidR="00D75BD4" w:rsidRPr="0062340E">
        <w:rPr>
          <w:rFonts w:ascii="Simplified Arabic" w:hAnsi="Simplified Arabic" w:cs="Simplified Arabic" w:hint="cs"/>
          <w:sz w:val="24"/>
          <w:szCs w:val="24"/>
          <w:rtl/>
          <w:lang w:val="en-US" w:bidi="ar-DZ"/>
        </w:rPr>
        <w:t xml:space="preserve">فيما يلي الهيكل العام للأطروحة وفق الشكل </w:t>
      </w:r>
      <w:r w:rsidR="007C1361" w:rsidRPr="0062340E">
        <w:rPr>
          <w:rFonts w:ascii="Simplified Arabic" w:hAnsi="Simplified Arabic" w:cs="Simplified Arabic" w:hint="cs"/>
          <w:sz w:val="24"/>
          <w:szCs w:val="24"/>
          <w:rtl/>
          <w:lang w:val="en-US" w:bidi="ar-DZ"/>
        </w:rPr>
        <w:t>(</w:t>
      </w:r>
      <w:r w:rsidR="002C7B42" w:rsidRPr="0062340E">
        <w:rPr>
          <w:rFonts w:ascii="Simplified Arabic" w:hAnsi="Simplified Arabic" w:cs="Simplified Arabic" w:hint="cs"/>
          <w:color w:val="000000" w:themeColor="text1"/>
          <w:sz w:val="24"/>
          <w:szCs w:val="24"/>
          <w:rtl/>
          <w:lang w:val="en-US" w:bidi="ar-DZ"/>
        </w:rPr>
        <w:t>1</w:t>
      </w:r>
      <w:r w:rsidR="007C1361" w:rsidRPr="0062340E">
        <w:rPr>
          <w:rFonts w:ascii="Simplified Arabic" w:hAnsi="Simplified Arabic" w:cs="Simplified Arabic" w:hint="cs"/>
          <w:sz w:val="24"/>
          <w:szCs w:val="24"/>
          <w:rtl/>
          <w:lang w:val="en-US" w:bidi="ar-DZ"/>
        </w:rPr>
        <w:t>)</w:t>
      </w:r>
      <w:r w:rsidR="00D75BD4" w:rsidRPr="0062340E">
        <w:rPr>
          <w:rFonts w:ascii="Simplified Arabic" w:hAnsi="Simplified Arabic" w:cs="Simplified Arabic" w:hint="cs"/>
          <w:sz w:val="24"/>
          <w:szCs w:val="24"/>
          <w:rtl/>
          <w:lang w:val="en-US" w:bidi="ar-DZ"/>
        </w:rPr>
        <w:t>.</w:t>
      </w:r>
    </w:p>
    <w:p w:rsidR="005A7CE7" w:rsidRPr="006D22A4" w:rsidRDefault="005A7CE7" w:rsidP="00F13FA0">
      <w:pPr>
        <w:pStyle w:val="fegure"/>
        <w:spacing w:before="240"/>
        <w:rPr>
          <w:sz w:val="10"/>
          <w:szCs w:val="28"/>
          <w:rtl/>
        </w:rPr>
      </w:pPr>
      <w:bookmarkStart w:id="48" w:name="_Toc157561429"/>
      <w:bookmarkStart w:id="49" w:name="_Toc157562762"/>
      <w:bookmarkStart w:id="50" w:name="_Toc157608258"/>
      <w:bookmarkStart w:id="51" w:name="_Toc171803304"/>
      <w:r w:rsidRPr="006D22A4">
        <w:rPr>
          <w:rFonts w:hint="cs"/>
          <w:sz w:val="10"/>
          <w:szCs w:val="28"/>
          <w:rtl/>
        </w:rPr>
        <w:t>الشكل (</w:t>
      </w:r>
      <w:r w:rsidR="002C7B42" w:rsidRPr="006D22A4">
        <w:rPr>
          <w:rFonts w:hint="cs"/>
          <w:sz w:val="10"/>
          <w:szCs w:val="28"/>
          <w:rtl/>
        </w:rPr>
        <w:t>1</w:t>
      </w:r>
      <w:r w:rsidRPr="006D22A4">
        <w:rPr>
          <w:rFonts w:hint="cs"/>
          <w:sz w:val="10"/>
          <w:szCs w:val="28"/>
          <w:rtl/>
        </w:rPr>
        <w:t>-0): الهيكل العام للأطروحة</w:t>
      </w:r>
      <w:bookmarkEnd w:id="48"/>
      <w:bookmarkEnd w:id="49"/>
      <w:bookmarkEnd w:id="50"/>
      <w:bookmarkEnd w:id="51"/>
      <w:r w:rsidRPr="006D22A4">
        <w:rPr>
          <w:rFonts w:hint="cs"/>
          <w:sz w:val="10"/>
          <w:szCs w:val="28"/>
          <w:rtl/>
        </w:rPr>
        <w:t xml:space="preserve"> </w: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r>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07744" behindDoc="0" locked="0" layoutInCell="1" allowOverlap="1" wp14:anchorId="5AA397C8" wp14:editId="5102C4F2">
                <wp:simplePos x="0" y="0"/>
                <wp:positionH relativeFrom="column">
                  <wp:posOffset>1736725</wp:posOffset>
                </wp:positionH>
                <wp:positionV relativeFrom="paragraph">
                  <wp:posOffset>134951</wp:posOffset>
                </wp:positionV>
                <wp:extent cx="2327910" cy="638175"/>
                <wp:effectExtent l="0" t="0" r="15240" b="28575"/>
                <wp:wrapNone/>
                <wp:docPr id="9" name="Rectangle 9"/>
                <wp:cNvGraphicFramePr/>
                <a:graphic xmlns:a="http://schemas.openxmlformats.org/drawingml/2006/main">
                  <a:graphicData uri="http://schemas.microsoft.com/office/word/2010/wordprocessingShape">
                    <wps:wsp>
                      <wps:cNvSpPr/>
                      <wps:spPr>
                        <a:xfrm>
                          <a:off x="0" y="0"/>
                          <a:ext cx="2327910" cy="638175"/>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9113F2" w:rsidRDefault="00D13702" w:rsidP="000743B1">
                            <w:pPr>
                              <w:bidi/>
                              <w:spacing w:before="240"/>
                              <w:rPr>
                                <w:rFonts w:ascii="Simplified Arabic" w:hAnsi="Simplified Arabic" w:cs="Simplified Arabic"/>
                                <w:color w:val="000000" w:themeColor="text1"/>
                                <w:sz w:val="32"/>
                                <w:szCs w:val="32"/>
                              </w:rPr>
                            </w:pPr>
                            <w:r w:rsidRPr="009113F2">
                              <w:rPr>
                                <w:rFonts w:ascii="Simplified Arabic" w:hAnsi="Simplified Arabic" w:cs="Simplified Arabic"/>
                                <w:b/>
                                <w:bCs/>
                                <w:color w:val="000000" w:themeColor="text1"/>
                                <w:sz w:val="32"/>
                                <w:szCs w:val="32"/>
                                <w:rtl/>
                                <w:lang w:bidi="ar-DZ"/>
                              </w:rPr>
                              <w:t xml:space="preserve">الجزء الاول: الاطار العام </w:t>
                            </w:r>
                            <w:r>
                              <w:rPr>
                                <w:rFonts w:ascii="Simplified Arabic" w:hAnsi="Simplified Arabic" w:cs="Simplified Arabic" w:hint="cs"/>
                                <w:b/>
                                <w:bCs/>
                                <w:color w:val="000000" w:themeColor="text1"/>
                                <w:sz w:val="32"/>
                                <w:szCs w:val="32"/>
                                <w:rtl/>
                                <w:lang w:bidi="ar-DZ"/>
                              </w:rPr>
                              <w:t>للبحث</w:t>
                            </w:r>
                          </w:p>
                          <w:p w:rsidR="00D13702" w:rsidRPr="009113F2" w:rsidRDefault="00D13702" w:rsidP="005A7CE7"/>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5" style="position:absolute;left:0;text-align:left;margin-left:136.75pt;margin-top:10.65pt;width:183.3pt;height:50.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" filled="f" strokecolor="black [3213]" strokeweight=".5pt">
                <v:textbox>
                  <w:txbxContent>
                    <w:p w:rsidR="00D13702" w:rsidRPr="009113F2" w:rsidRDefault="00D13702" w:rsidP="000743B1">
                      <w:pPr>
                        <w:bidi/>
                        <w:spacing w:before="240"/>
                        <w:rPr>
                          <w:rFonts w:ascii="Simplified Arabic" w:hAnsi="Simplified Arabic" w:cs="Simplified Arabic"/>
                          <w:color w:val="000000" w:themeColor="text1"/>
                          <w:sz w:val="32"/>
                          <w:szCs w:val="32"/>
                        </w:rPr>
                      </w:pPr>
                      <w:r w:rsidRPr="009113F2">
                        <w:rPr>
                          <w:rFonts w:ascii="Simplified Arabic" w:hAnsi="Simplified Arabic" w:cs="Simplified Arabic"/>
                          <w:b/>
                          <w:bCs/>
                          <w:color w:val="000000" w:themeColor="text1"/>
                          <w:sz w:val="32"/>
                          <w:szCs w:val="32"/>
                          <w:rtl/>
                          <w:lang w:bidi="ar-DZ"/>
                        </w:rPr>
                        <w:t xml:space="preserve">الجزء الاول: الاطار العام </w:t>
                      </w:r>
                      <w:r>
                        <w:rPr>
                          <w:rFonts w:ascii="Simplified Arabic" w:hAnsi="Simplified Arabic" w:cs="Simplified Arabic" w:hint="cs"/>
                          <w:b/>
                          <w:bCs/>
                          <w:color w:val="000000" w:themeColor="text1"/>
                          <w:sz w:val="32"/>
                          <w:szCs w:val="32"/>
                          <w:rtl/>
                          <w:lang w:bidi="ar-DZ"/>
                        </w:rPr>
                        <w:t>للبحث</w:t>
                      </w:r>
                    </w:p>
                    <w:p w:rsidR="00D13702" w:rsidRPr="009113F2" w:rsidRDefault="00D13702" w:rsidP="005A7CE7"/>
                  </w:txbxContent>
                </v:textbox>
              </v:rect>
            </w:pict>
          </mc:Fallback>
        </mc:AlternateConten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r>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09792" behindDoc="0" locked="0" layoutInCell="1" allowOverlap="1" wp14:anchorId="724A6A54" wp14:editId="2BDE005E">
                <wp:simplePos x="0" y="0"/>
                <wp:positionH relativeFrom="column">
                  <wp:posOffset>2901315</wp:posOffset>
                </wp:positionH>
                <wp:positionV relativeFrom="paragraph">
                  <wp:posOffset>193371</wp:posOffset>
                </wp:positionV>
                <wp:extent cx="0" cy="188232"/>
                <wp:effectExtent l="0" t="0" r="19050" b="21590"/>
                <wp:wrapNone/>
                <wp:docPr id="11" name="Connecteur droit avec flèche 11"/>
                <wp:cNvGraphicFramePr/>
                <a:graphic xmlns:a="http://schemas.openxmlformats.org/drawingml/2006/main">
                  <a:graphicData uri="http://schemas.microsoft.com/office/word/2010/wordprocessingShape">
                    <wps:wsp>
                      <wps:cNvCnPr/>
                      <wps:spPr>
                        <a:xfrm>
                          <a:off x="0" y="0"/>
                          <a:ext cx="0" cy="188232"/>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11" o:spid="_x0000_s1026" type="#_x0000_t32" style="position:absolute;margin-left:228.45pt;margin-top:15.25pt;width:0;height:14.8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" strokecolor="black [3213]" strokeweight=".5pt"/>
            </w:pict>
          </mc:Fallback>
        </mc:AlternateConten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r>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08768" behindDoc="0" locked="0" layoutInCell="1" allowOverlap="1" wp14:anchorId="7EC0E6B1" wp14:editId="495F1E9E">
                <wp:simplePos x="0" y="0"/>
                <wp:positionH relativeFrom="column">
                  <wp:posOffset>763270</wp:posOffset>
                </wp:positionH>
                <wp:positionV relativeFrom="paragraph">
                  <wp:posOffset>83516</wp:posOffset>
                </wp:positionV>
                <wp:extent cx="4269105" cy="568960"/>
                <wp:effectExtent l="0" t="0" r="17145" b="21590"/>
                <wp:wrapNone/>
                <wp:docPr id="10" name="Rectangle 10"/>
                <wp:cNvGraphicFramePr/>
                <a:graphic xmlns:a="http://schemas.openxmlformats.org/drawingml/2006/main">
                  <a:graphicData uri="http://schemas.microsoft.com/office/word/2010/wordprocessingShape">
                    <wps:wsp>
                      <wps:cNvSpPr/>
                      <wps:spPr>
                        <a:xfrm>
                          <a:off x="0" y="0"/>
                          <a:ext cx="4269105" cy="568960"/>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443405" w:rsidRDefault="00D13702" w:rsidP="00443405">
                            <w:pPr>
                              <w:bidi/>
                              <w:spacing w:after="0" w:line="240" w:lineRule="auto"/>
                              <w:jc w:val="center"/>
                              <w:rPr>
                                <w:color w:val="000000" w:themeColor="text1"/>
                                <w:sz w:val="24"/>
                                <w:szCs w:val="24"/>
                              </w:rPr>
                            </w:pPr>
                            <w:r w:rsidRPr="00443405">
                              <w:rPr>
                                <w:rFonts w:ascii="Simplified Arabic" w:hAnsi="Simplified Arabic" w:cs="Simplified Arabic"/>
                                <w:b/>
                                <w:bCs/>
                                <w:color w:val="000000" w:themeColor="text1"/>
                                <w:sz w:val="24"/>
                                <w:szCs w:val="24"/>
                                <w:rtl/>
                                <w:lang w:bidi="ar-DZ"/>
                              </w:rPr>
                              <w:t>الفصل التمهيدي</w:t>
                            </w:r>
                            <w:r w:rsidRPr="00443405">
                              <w:rPr>
                                <w:rFonts w:ascii="Simplified Arabic" w:hAnsi="Simplified Arabic" w:cs="Simplified Arabic" w:hint="cs"/>
                                <w:b/>
                                <w:bCs/>
                                <w:color w:val="000000" w:themeColor="text1"/>
                                <w:sz w:val="24"/>
                                <w:szCs w:val="24"/>
                                <w:rtl/>
                                <w:lang w:bidi="ar-DZ"/>
                              </w:rPr>
                              <w:t>:</w:t>
                            </w:r>
                            <w:r w:rsidRPr="00443405">
                              <w:rPr>
                                <w:rFonts w:ascii="Simplified Arabic" w:hAnsi="Simplified Arabic" w:cs="Simplified Arabic" w:hint="cs"/>
                                <w:color w:val="000000" w:themeColor="text1"/>
                                <w:sz w:val="24"/>
                                <w:szCs w:val="24"/>
                                <w:rtl/>
                                <w:lang w:bidi="ar-DZ"/>
                              </w:rPr>
                              <w:t xml:space="preserve"> </w:t>
                            </w:r>
                            <w:r w:rsidRPr="00443405">
                              <w:rPr>
                                <w:rFonts w:ascii="Simplified Arabic" w:hAnsi="Simplified Arabic" w:cs="Simplified Arabic"/>
                                <w:color w:val="000000" w:themeColor="text1"/>
                                <w:sz w:val="24"/>
                                <w:szCs w:val="24"/>
                                <w:rtl/>
                                <w:lang w:val="en-US" w:bidi="ar-DZ"/>
                              </w:rPr>
                              <w:t>حصر الفجو</w:t>
                            </w:r>
                            <w:r w:rsidRPr="00443405">
                              <w:rPr>
                                <w:rFonts w:ascii="Simplified Arabic" w:hAnsi="Simplified Arabic" w:cs="Simplified Arabic" w:hint="cs"/>
                                <w:color w:val="000000" w:themeColor="text1"/>
                                <w:sz w:val="24"/>
                                <w:szCs w:val="24"/>
                                <w:rtl/>
                                <w:lang w:val="en-US" w:bidi="ar-DZ"/>
                              </w:rPr>
                              <w:t>ة</w:t>
                            </w:r>
                            <w:r w:rsidRPr="00443405">
                              <w:rPr>
                                <w:rFonts w:ascii="Simplified Arabic" w:hAnsi="Simplified Arabic" w:cs="Simplified Arabic"/>
                                <w:color w:val="000000" w:themeColor="text1"/>
                                <w:sz w:val="24"/>
                                <w:szCs w:val="24"/>
                                <w:rtl/>
                                <w:lang w:val="en-US" w:bidi="ar-DZ"/>
                              </w:rPr>
                              <w:t xml:space="preserve"> العلمية</w:t>
                            </w:r>
                            <w:r w:rsidRPr="00443405">
                              <w:rPr>
                                <w:rFonts w:ascii="Simplified Arabic" w:hAnsi="Simplified Arabic" w:cs="Simplified Arabic" w:hint="cs"/>
                                <w:color w:val="000000" w:themeColor="text1"/>
                                <w:sz w:val="24"/>
                                <w:szCs w:val="24"/>
                                <w:rtl/>
                                <w:lang w:val="en-US" w:bidi="ar-DZ"/>
                              </w:rPr>
                              <w:t xml:space="preserve">، </w:t>
                            </w:r>
                            <w:r w:rsidRPr="00443405">
                              <w:rPr>
                                <w:rFonts w:ascii="Simplified Arabic" w:hAnsi="Simplified Arabic" w:cs="Simplified Arabic"/>
                                <w:color w:val="000000" w:themeColor="text1"/>
                                <w:sz w:val="24"/>
                                <w:szCs w:val="24"/>
                                <w:rtl/>
                                <w:lang w:val="en-US" w:bidi="ar-DZ"/>
                              </w:rPr>
                              <w:t>تقديم أسئلة بحثية</w:t>
                            </w:r>
                            <w:r w:rsidRPr="00443405">
                              <w:rPr>
                                <w:rFonts w:ascii="Simplified Arabic" w:hAnsi="Simplified Arabic" w:cs="Simplified Arabic" w:hint="cs"/>
                                <w:color w:val="000000" w:themeColor="text1"/>
                                <w:sz w:val="24"/>
                                <w:szCs w:val="24"/>
                                <w:rtl/>
                                <w:lang w:val="en-US" w:bidi="ar-DZ"/>
                              </w:rPr>
                              <w:t>،</w:t>
                            </w:r>
                            <w:r w:rsidRPr="00443405">
                              <w:rPr>
                                <w:rFonts w:ascii="Simplified Arabic" w:hAnsi="Simplified Arabic" w:cs="Simplified Arabic"/>
                                <w:color w:val="000000" w:themeColor="text1"/>
                                <w:sz w:val="24"/>
                                <w:szCs w:val="24"/>
                                <w:rtl/>
                                <w:lang w:val="en-US" w:bidi="ar-DZ"/>
                              </w:rPr>
                              <w:t xml:space="preserve"> فرضيات وأهداف البحث</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36" style="position:absolute;left:0;text-align:left;margin-left:60.1pt;margin-top:6.6pt;width:336.15pt;height:44.8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" filled="f" strokecolor="black [3213]" strokeweight=".5pt">
                <v:textbox>
                  <w:txbxContent>
                    <w:p w:rsidR="00D13702" w:rsidRPr="00443405" w:rsidRDefault="00D13702" w:rsidP="00443405">
                      <w:pPr>
                        <w:bidi/>
                        <w:spacing w:after="0" w:line="240" w:lineRule="auto"/>
                        <w:jc w:val="center"/>
                        <w:rPr>
                          <w:color w:val="000000" w:themeColor="text1"/>
                          <w:sz w:val="24"/>
                          <w:szCs w:val="24"/>
                        </w:rPr>
                      </w:pPr>
                      <w:r w:rsidRPr="00443405">
                        <w:rPr>
                          <w:rFonts w:ascii="Simplified Arabic" w:hAnsi="Simplified Arabic" w:cs="Simplified Arabic"/>
                          <w:b/>
                          <w:bCs/>
                          <w:color w:val="000000" w:themeColor="text1"/>
                          <w:sz w:val="24"/>
                          <w:szCs w:val="24"/>
                          <w:rtl/>
                          <w:lang w:bidi="ar-DZ"/>
                        </w:rPr>
                        <w:t>الفصل التمهيدي</w:t>
                      </w:r>
                      <w:r w:rsidRPr="00443405">
                        <w:rPr>
                          <w:rFonts w:ascii="Simplified Arabic" w:hAnsi="Simplified Arabic" w:cs="Simplified Arabic" w:hint="cs"/>
                          <w:b/>
                          <w:bCs/>
                          <w:color w:val="000000" w:themeColor="text1"/>
                          <w:sz w:val="24"/>
                          <w:szCs w:val="24"/>
                          <w:rtl/>
                          <w:lang w:bidi="ar-DZ"/>
                        </w:rPr>
                        <w:t>:</w:t>
                      </w:r>
                      <w:r w:rsidRPr="00443405">
                        <w:rPr>
                          <w:rFonts w:ascii="Simplified Arabic" w:hAnsi="Simplified Arabic" w:cs="Simplified Arabic" w:hint="cs"/>
                          <w:color w:val="000000" w:themeColor="text1"/>
                          <w:sz w:val="24"/>
                          <w:szCs w:val="24"/>
                          <w:rtl/>
                          <w:lang w:bidi="ar-DZ"/>
                        </w:rPr>
                        <w:t xml:space="preserve"> </w:t>
                      </w:r>
                      <w:r w:rsidRPr="00443405">
                        <w:rPr>
                          <w:rFonts w:ascii="Simplified Arabic" w:hAnsi="Simplified Arabic" w:cs="Simplified Arabic"/>
                          <w:color w:val="000000" w:themeColor="text1"/>
                          <w:sz w:val="24"/>
                          <w:szCs w:val="24"/>
                          <w:rtl/>
                          <w:lang w:val="en-US" w:bidi="ar-DZ"/>
                        </w:rPr>
                        <w:t>حصر الفجو</w:t>
                      </w:r>
                      <w:r w:rsidRPr="00443405">
                        <w:rPr>
                          <w:rFonts w:ascii="Simplified Arabic" w:hAnsi="Simplified Arabic" w:cs="Simplified Arabic" w:hint="cs"/>
                          <w:color w:val="000000" w:themeColor="text1"/>
                          <w:sz w:val="24"/>
                          <w:szCs w:val="24"/>
                          <w:rtl/>
                          <w:lang w:val="en-US" w:bidi="ar-DZ"/>
                        </w:rPr>
                        <w:t>ة</w:t>
                      </w:r>
                      <w:r w:rsidRPr="00443405">
                        <w:rPr>
                          <w:rFonts w:ascii="Simplified Arabic" w:hAnsi="Simplified Arabic" w:cs="Simplified Arabic"/>
                          <w:color w:val="000000" w:themeColor="text1"/>
                          <w:sz w:val="24"/>
                          <w:szCs w:val="24"/>
                          <w:rtl/>
                          <w:lang w:val="en-US" w:bidi="ar-DZ"/>
                        </w:rPr>
                        <w:t xml:space="preserve"> العلمية</w:t>
                      </w:r>
                      <w:r w:rsidRPr="00443405">
                        <w:rPr>
                          <w:rFonts w:ascii="Simplified Arabic" w:hAnsi="Simplified Arabic" w:cs="Simplified Arabic" w:hint="cs"/>
                          <w:color w:val="000000" w:themeColor="text1"/>
                          <w:sz w:val="24"/>
                          <w:szCs w:val="24"/>
                          <w:rtl/>
                          <w:lang w:val="en-US" w:bidi="ar-DZ"/>
                        </w:rPr>
                        <w:t xml:space="preserve">، </w:t>
                      </w:r>
                      <w:r w:rsidRPr="00443405">
                        <w:rPr>
                          <w:rFonts w:ascii="Simplified Arabic" w:hAnsi="Simplified Arabic" w:cs="Simplified Arabic"/>
                          <w:color w:val="000000" w:themeColor="text1"/>
                          <w:sz w:val="24"/>
                          <w:szCs w:val="24"/>
                          <w:rtl/>
                          <w:lang w:val="en-US" w:bidi="ar-DZ"/>
                        </w:rPr>
                        <w:t>تقديم أسئلة بحثية</w:t>
                      </w:r>
                      <w:r w:rsidRPr="00443405">
                        <w:rPr>
                          <w:rFonts w:ascii="Simplified Arabic" w:hAnsi="Simplified Arabic" w:cs="Simplified Arabic" w:hint="cs"/>
                          <w:color w:val="000000" w:themeColor="text1"/>
                          <w:sz w:val="24"/>
                          <w:szCs w:val="24"/>
                          <w:rtl/>
                          <w:lang w:val="en-US" w:bidi="ar-DZ"/>
                        </w:rPr>
                        <w:t>،</w:t>
                      </w:r>
                      <w:r w:rsidRPr="00443405">
                        <w:rPr>
                          <w:rFonts w:ascii="Simplified Arabic" w:hAnsi="Simplified Arabic" w:cs="Simplified Arabic"/>
                          <w:color w:val="000000" w:themeColor="text1"/>
                          <w:sz w:val="24"/>
                          <w:szCs w:val="24"/>
                          <w:rtl/>
                          <w:lang w:val="en-US" w:bidi="ar-DZ"/>
                        </w:rPr>
                        <w:t xml:space="preserve"> فرضيات وأهداف البحث</w:t>
                      </w:r>
                    </w:p>
                  </w:txbxContent>
                </v:textbox>
              </v:rect>
            </w:pict>
          </mc:Fallback>
        </mc:AlternateConten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p>
    <w:p w:rsidR="005A7CE7" w:rsidRDefault="007D0E03" w:rsidP="005A7CE7">
      <w:pPr>
        <w:tabs>
          <w:tab w:val="right" w:pos="281"/>
        </w:tabs>
        <w:bidi/>
        <w:spacing w:after="0"/>
        <w:jc w:val="center"/>
        <w:rPr>
          <w:rFonts w:ascii="Simplified Arabic" w:hAnsi="Simplified Arabic" w:cs="Simplified Arabic"/>
          <w:b/>
          <w:bCs/>
          <w:sz w:val="24"/>
          <w:szCs w:val="24"/>
          <w:rtl/>
          <w:lang w:val="en-US" w:bidi="ar-DZ"/>
        </w:rPr>
      </w:pPr>
      <w:r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10816" behindDoc="0" locked="0" layoutInCell="1" allowOverlap="1" wp14:anchorId="61267939" wp14:editId="1C057A24">
                <wp:simplePos x="0" y="0"/>
                <wp:positionH relativeFrom="column">
                  <wp:posOffset>1164590</wp:posOffset>
                </wp:positionH>
                <wp:positionV relativeFrom="paragraph">
                  <wp:posOffset>291161</wp:posOffset>
                </wp:positionV>
                <wp:extent cx="3484880" cy="638175"/>
                <wp:effectExtent l="0" t="0" r="20320" b="28575"/>
                <wp:wrapNone/>
                <wp:docPr id="12" name="Rectangle 12"/>
                <wp:cNvGraphicFramePr/>
                <a:graphic xmlns:a="http://schemas.openxmlformats.org/drawingml/2006/main">
                  <a:graphicData uri="http://schemas.microsoft.com/office/word/2010/wordprocessingShape">
                    <wps:wsp>
                      <wps:cNvSpPr/>
                      <wps:spPr>
                        <a:xfrm>
                          <a:off x="0" y="0"/>
                          <a:ext cx="3484880" cy="638175"/>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903AD1" w:rsidRDefault="00D13702" w:rsidP="000743B1">
                            <w:pPr>
                              <w:bidi/>
                              <w:spacing w:before="240"/>
                              <w:jc w:val="center"/>
                              <w:rPr>
                                <w:rFonts w:ascii="Simplified Arabic" w:hAnsi="Simplified Arabic" w:cs="Simplified Arabic"/>
                                <w:color w:val="000000" w:themeColor="text1"/>
                                <w:sz w:val="32"/>
                                <w:szCs w:val="32"/>
                              </w:rPr>
                            </w:pPr>
                            <w:r w:rsidRPr="00903AD1">
                              <w:rPr>
                                <w:rFonts w:ascii="Simplified Arabic" w:hAnsi="Simplified Arabic" w:cs="Simplified Arabic"/>
                                <w:b/>
                                <w:bCs/>
                                <w:color w:val="000000" w:themeColor="text1"/>
                                <w:sz w:val="32"/>
                                <w:szCs w:val="32"/>
                                <w:rtl/>
                                <w:lang w:bidi="ar-DZ"/>
                              </w:rPr>
                              <w:t xml:space="preserve">الجزء </w:t>
                            </w:r>
                            <w:r w:rsidRPr="00903AD1">
                              <w:rPr>
                                <w:rFonts w:ascii="Simplified Arabic" w:hAnsi="Simplified Arabic" w:cs="Simplified Arabic" w:hint="cs"/>
                                <w:b/>
                                <w:bCs/>
                                <w:color w:val="000000" w:themeColor="text1"/>
                                <w:sz w:val="32"/>
                                <w:szCs w:val="32"/>
                                <w:rtl/>
                                <w:lang w:bidi="ar-DZ"/>
                              </w:rPr>
                              <w:t>الثاني</w:t>
                            </w:r>
                            <w:r w:rsidRPr="00903AD1">
                              <w:rPr>
                                <w:rFonts w:ascii="Simplified Arabic" w:hAnsi="Simplified Arabic" w:cs="Simplified Arabic"/>
                                <w:b/>
                                <w:bCs/>
                                <w:color w:val="000000" w:themeColor="text1"/>
                                <w:sz w:val="32"/>
                                <w:szCs w:val="32"/>
                                <w:rtl/>
                                <w:lang w:bidi="ar-DZ"/>
                              </w:rPr>
                              <w:t xml:space="preserve">: </w:t>
                            </w:r>
                            <w:r w:rsidRPr="00903AD1">
                              <w:rPr>
                                <w:rFonts w:ascii="Simplified Arabic" w:hAnsi="Simplified Arabic" w:cs="Simplified Arabic" w:hint="cs"/>
                                <w:b/>
                                <w:bCs/>
                                <w:color w:val="000000" w:themeColor="text1"/>
                                <w:sz w:val="32"/>
                                <w:szCs w:val="32"/>
                                <w:rtl/>
                                <w:lang w:bidi="ar-DZ"/>
                              </w:rPr>
                              <w:t xml:space="preserve">الاطار النظري </w:t>
                            </w:r>
                            <w:r>
                              <w:rPr>
                                <w:rFonts w:ascii="Simplified Arabic" w:hAnsi="Simplified Arabic" w:cs="Simplified Arabic" w:hint="cs"/>
                                <w:b/>
                                <w:bCs/>
                                <w:color w:val="000000" w:themeColor="text1"/>
                                <w:sz w:val="32"/>
                                <w:szCs w:val="32"/>
                                <w:rtl/>
                                <w:lang w:bidi="ar-DZ"/>
                              </w:rPr>
                              <w:t>للبحث</w:t>
                            </w:r>
                          </w:p>
                          <w:p w:rsidR="00D13702" w:rsidRPr="009113F2" w:rsidRDefault="00D13702" w:rsidP="005A7C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37" style="position:absolute;left:0;text-align:left;margin-left:91.7pt;margin-top:22.95pt;width:274.4pt;height:50.2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" filled="f" strokecolor="black [3213]" strokeweight=".5pt">
                <v:textbox>
                  <w:txbxContent>
                    <w:p w:rsidR="00D13702" w:rsidRPr="00903AD1" w:rsidRDefault="00D13702" w:rsidP="000743B1">
                      <w:pPr>
                        <w:bidi/>
                        <w:spacing w:before="240"/>
                        <w:jc w:val="center"/>
                        <w:rPr>
                          <w:rFonts w:ascii="Simplified Arabic" w:hAnsi="Simplified Arabic" w:cs="Simplified Arabic"/>
                          <w:color w:val="000000" w:themeColor="text1"/>
                          <w:sz w:val="32"/>
                          <w:szCs w:val="32"/>
                        </w:rPr>
                      </w:pPr>
                      <w:r w:rsidRPr="00903AD1">
                        <w:rPr>
                          <w:rFonts w:ascii="Simplified Arabic" w:hAnsi="Simplified Arabic" w:cs="Simplified Arabic"/>
                          <w:b/>
                          <w:bCs/>
                          <w:color w:val="000000" w:themeColor="text1"/>
                          <w:sz w:val="32"/>
                          <w:szCs w:val="32"/>
                          <w:rtl/>
                          <w:lang w:bidi="ar-DZ"/>
                        </w:rPr>
                        <w:t xml:space="preserve">الجزء </w:t>
                      </w:r>
                      <w:r w:rsidRPr="00903AD1">
                        <w:rPr>
                          <w:rFonts w:ascii="Simplified Arabic" w:hAnsi="Simplified Arabic" w:cs="Simplified Arabic" w:hint="cs"/>
                          <w:b/>
                          <w:bCs/>
                          <w:color w:val="000000" w:themeColor="text1"/>
                          <w:sz w:val="32"/>
                          <w:szCs w:val="32"/>
                          <w:rtl/>
                          <w:lang w:bidi="ar-DZ"/>
                        </w:rPr>
                        <w:t>الثاني</w:t>
                      </w:r>
                      <w:r w:rsidRPr="00903AD1">
                        <w:rPr>
                          <w:rFonts w:ascii="Simplified Arabic" w:hAnsi="Simplified Arabic" w:cs="Simplified Arabic"/>
                          <w:b/>
                          <w:bCs/>
                          <w:color w:val="000000" w:themeColor="text1"/>
                          <w:sz w:val="32"/>
                          <w:szCs w:val="32"/>
                          <w:rtl/>
                          <w:lang w:bidi="ar-DZ"/>
                        </w:rPr>
                        <w:t xml:space="preserve">: </w:t>
                      </w:r>
                      <w:r w:rsidRPr="00903AD1">
                        <w:rPr>
                          <w:rFonts w:ascii="Simplified Arabic" w:hAnsi="Simplified Arabic" w:cs="Simplified Arabic" w:hint="cs"/>
                          <w:b/>
                          <w:bCs/>
                          <w:color w:val="000000" w:themeColor="text1"/>
                          <w:sz w:val="32"/>
                          <w:szCs w:val="32"/>
                          <w:rtl/>
                          <w:lang w:bidi="ar-DZ"/>
                        </w:rPr>
                        <w:t xml:space="preserve">الاطار النظري </w:t>
                      </w:r>
                      <w:r>
                        <w:rPr>
                          <w:rFonts w:ascii="Simplified Arabic" w:hAnsi="Simplified Arabic" w:cs="Simplified Arabic" w:hint="cs"/>
                          <w:b/>
                          <w:bCs/>
                          <w:color w:val="000000" w:themeColor="text1"/>
                          <w:sz w:val="32"/>
                          <w:szCs w:val="32"/>
                          <w:rtl/>
                          <w:lang w:bidi="ar-DZ"/>
                        </w:rPr>
                        <w:t>للبحث</w:t>
                      </w:r>
                    </w:p>
                    <w:p w:rsidR="00D13702" w:rsidRPr="009113F2" w:rsidRDefault="00D13702" w:rsidP="005A7CE7">
                      <w:pPr>
                        <w:jc w:val="center"/>
                      </w:pPr>
                    </w:p>
                  </w:txbxContent>
                </v:textbox>
              </v:rect>
            </w:pict>
          </mc:Fallback>
        </mc:AlternateContent>
      </w:r>
      <w:r w:rsidR="006E7557">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30272" behindDoc="0" locked="0" layoutInCell="1" allowOverlap="1" wp14:anchorId="192B8947" wp14:editId="363E263C">
                <wp:simplePos x="0" y="0"/>
                <wp:positionH relativeFrom="column">
                  <wp:posOffset>2902585</wp:posOffset>
                </wp:positionH>
                <wp:positionV relativeFrom="paragraph">
                  <wp:posOffset>79071</wp:posOffset>
                </wp:positionV>
                <wp:extent cx="0" cy="207010"/>
                <wp:effectExtent l="0" t="0" r="19050" b="21590"/>
                <wp:wrapNone/>
                <wp:docPr id="49" name="Connecteur droit avec flèche 49"/>
                <wp:cNvGraphicFramePr/>
                <a:graphic xmlns:a="http://schemas.openxmlformats.org/drawingml/2006/main">
                  <a:graphicData uri="http://schemas.microsoft.com/office/word/2010/wordprocessingShape">
                    <wps:wsp>
                      <wps:cNvCnPr/>
                      <wps:spPr>
                        <a:xfrm>
                          <a:off x="0" y="0"/>
                          <a:ext cx="0" cy="207010"/>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Connecteur droit avec flèche 49" o:spid="_x0000_s1026" type="#_x0000_t32" style="position:absolute;margin-left:228.55pt;margin-top:6.25pt;width:0;height:16.3pt;z-index:251830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" strokecolor="black [3213]" strokeweight=".5pt"/>
            </w:pict>
          </mc:Fallback>
        </mc:AlternateContent>
      </w:r>
    </w:p>
    <w:p w:rsidR="005A7CE7" w:rsidRDefault="006637F1" w:rsidP="005A7CE7">
      <w:pPr>
        <w:tabs>
          <w:tab w:val="right" w:pos="281"/>
        </w:tabs>
        <w:bidi/>
        <w:spacing w:after="0"/>
        <w:jc w:val="center"/>
        <w:rPr>
          <w:rFonts w:ascii="Simplified Arabic" w:hAnsi="Simplified Arabic" w:cs="Simplified Arabic"/>
          <w:b/>
          <w:bCs/>
          <w:sz w:val="24"/>
          <w:szCs w:val="24"/>
          <w:rtl/>
          <w:lang w:val="en-US" w:bidi="ar-DZ"/>
        </w:rPr>
      </w:pPr>
      <w:r w:rsidRPr="006637F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34368" behindDoc="0" locked="0" layoutInCell="1" allowOverlap="1" wp14:anchorId="094DA38B" wp14:editId="0287B383">
                <wp:simplePos x="0" y="0"/>
                <wp:positionH relativeFrom="column">
                  <wp:posOffset>4643120</wp:posOffset>
                </wp:positionH>
                <wp:positionV relativeFrom="paragraph">
                  <wp:posOffset>279731</wp:posOffset>
                </wp:positionV>
                <wp:extent cx="395605" cy="586105"/>
                <wp:effectExtent l="0" t="0" r="99695" b="61595"/>
                <wp:wrapNone/>
                <wp:docPr id="303" name="Connecteur en angle 303"/>
                <wp:cNvGraphicFramePr/>
                <a:graphic xmlns:a="http://schemas.openxmlformats.org/drawingml/2006/main">
                  <a:graphicData uri="http://schemas.microsoft.com/office/word/2010/wordprocessingShape">
                    <wps:wsp>
                      <wps:cNvCnPr/>
                      <wps:spPr>
                        <a:xfrm>
                          <a:off x="0" y="0"/>
                          <a:ext cx="395605" cy="586105"/>
                        </a:xfrm>
                        <a:prstGeom prst="bentConnector3">
                          <a:avLst>
                            <a:gd name="adj1" fmla="val 100044"/>
                          </a:avLst>
                        </a:prstGeom>
                        <a:ln w="63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en angle 303" o:spid="_x0000_s1026" type="#_x0000_t34" style="position:absolute;margin-left:365.6pt;margin-top:22.05pt;width:31.15pt;height:46.15pt;z-index:2518343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" adj="21610" strokecolor="black [3213]" strokeweight=".5pt">
                <v:stroke endarrow="open"/>
              </v:shape>
            </w:pict>
          </mc:Fallback>
        </mc:AlternateContent>
      </w:r>
    </w:p>
    <w:p w:rsidR="005A7CE7" w:rsidRDefault="006637F1" w:rsidP="005A7CE7">
      <w:pPr>
        <w:tabs>
          <w:tab w:val="right" w:pos="281"/>
        </w:tabs>
        <w:bidi/>
        <w:spacing w:after="0"/>
        <w:jc w:val="center"/>
        <w:rPr>
          <w:rFonts w:ascii="Simplified Arabic" w:hAnsi="Simplified Arabic" w:cs="Simplified Arabic"/>
          <w:b/>
          <w:bCs/>
          <w:sz w:val="24"/>
          <w:szCs w:val="24"/>
          <w:rtl/>
          <w:lang w:val="en-US" w:bidi="ar-DZ"/>
        </w:rPr>
      </w:pPr>
      <w:r w:rsidRPr="006637F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35392" behindDoc="0" locked="0" layoutInCell="1" allowOverlap="1" wp14:anchorId="2AFE5BEB" wp14:editId="7B190A1B">
                <wp:simplePos x="0" y="0"/>
                <wp:positionH relativeFrom="column">
                  <wp:posOffset>643890</wp:posOffset>
                </wp:positionH>
                <wp:positionV relativeFrom="paragraph">
                  <wp:posOffset>55245</wp:posOffset>
                </wp:positionV>
                <wp:extent cx="621030" cy="414020"/>
                <wp:effectExtent l="84455" t="10795" r="15875" b="73025"/>
                <wp:wrapNone/>
                <wp:docPr id="304" name="Connecteur en angle 304"/>
                <wp:cNvGraphicFramePr/>
                <a:graphic xmlns:a="http://schemas.openxmlformats.org/drawingml/2006/main">
                  <a:graphicData uri="http://schemas.microsoft.com/office/word/2010/wordprocessingShape">
                    <wps:wsp>
                      <wps:cNvCnPr/>
                      <wps:spPr>
                        <a:xfrm rot="5400000">
                          <a:off x="0" y="0"/>
                          <a:ext cx="621030" cy="414020"/>
                        </a:xfrm>
                        <a:prstGeom prst="bentConnector3">
                          <a:avLst>
                            <a:gd name="adj1" fmla="val -1395"/>
                          </a:avLst>
                        </a:prstGeom>
                        <a:ln w="63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Connecteur en angle 304" o:spid="_x0000_s1026" type="#_x0000_t34" style="position:absolute;margin-left:50.7pt;margin-top:4.35pt;width:48.9pt;height:32.6pt;rotation:90;z-index:251835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" adj="-301" strokecolor="black [3213]" strokeweight=".5pt">
                <v:stroke endarrow="open"/>
              </v:shape>
            </w:pict>
          </mc:Fallback>
        </mc:AlternateContent>
      </w:r>
    </w:p>
    <w:p w:rsidR="005A7CE7" w:rsidRDefault="006637F1" w:rsidP="005A7CE7">
      <w:pPr>
        <w:tabs>
          <w:tab w:val="right" w:pos="281"/>
        </w:tabs>
        <w:bidi/>
        <w:spacing w:after="0"/>
        <w:jc w:val="center"/>
        <w:rPr>
          <w:rFonts w:ascii="Simplified Arabic" w:hAnsi="Simplified Arabic" w:cs="Simplified Arabic"/>
          <w:b/>
          <w:bCs/>
          <w:sz w:val="24"/>
          <w:szCs w:val="24"/>
          <w:rtl/>
          <w:lang w:val="en-US" w:bidi="ar-DZ"/>
        </w:rPr>
      </w:pPr>
      <w:r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12864" behindDoc="0" locked="0" layoutInCell="1" allowOverlap="1" wp14:anchorId="0AA5A672" wp14:editId="0FEF27FA">
                <wp:simplePos x="0" y="0"/>
                <wp:positionH relativeFrom="column">
                  <wp:posOffset>2907665</wp:posOffset>
                </wp:positionH>
                <wp:positionV relativeFrom="paragraph">
                  <wp:posOffset>37769</wp:posOffset>
                </wp:positionV>
                <wp:extent cx="0" cy="250190"/>
                <wp:effectExtent l="95250" t="0" r="57150" b="54610"/>
                <wp:wrapNone/>
                <wp:docPr id="14" name="Connecteur droit avec flèche 14"/>
                <wp:cNvGraphicFramePr/>
                <a:graphic xmlns:a="http://schemas.openxmlformats.org/drawingml/2006/main">
                  <a:graphicData uri="http://schemas.microsoft.com/office/word/2010/wordprocessingShape">
                    <wps:wsp>
                      <wps:cNvCnPr/>
                      <wps:spPr>
                        <a:xfrm>
                          <a:off x="0" y="0"/>
                          <a:ext cx="0" cy="250190"/>
                        </a:xfrm>
                        <a:prstGeom prst="straightConnector1">
                          <a:avLst/>
                        </a:prstGeom>
                        <a:ln w="63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Connecteur droit avec flèche 14" o:spid="_x0000_s1026" type="#_x0000_t32" style="position:absolute;margin-left:228.95pt;margin-top:2.95pt;width:0;height:19.7pt;z-index:251812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" strokecolor="black [3213]" strokeweight=".5pt">
                <v:stroke endarrow="open"/>
              </v:shape>
            </w:pict>
          </mc:Fallback>
        </mc:AlternateContent>
      </w:r>
      <w:r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14912" behindDoc="0" locked="0" layoutInCell="1" allowOverlap="1" wp14:anchorId="64DD5D03" wp14:editId="1B4628F7">
                <wp:simplePos x="0" y="0"/>
                <wp:positionH relativeFrom="column">
                  <wp:posOffset>127635</wp:posOffset>
                </wp:positionH>
                <wp:positionV relativeFrom="paragraph">
                  <wp:posOffset>280366</wp:posOffset>
                </wp:positionV>
                <wp:extent cx="1706880" cy="835660"/>
                <wp:effectExtent l="0" t="0" r="26670" b="21590"/>
                <wp:wrapNone/>
                <wp:docPr id="21" name="Rectangle 21"/>
                <wp:cNvGraphicFramePr/>
                <a:graphic xmlns:a="http://schemas.openxmlformats.org/drawingml/2006/main">
                  <a:graphicData uri="http://schemas.microsoft.com/office/word/2010/wordprocessingShape">
                    <wps:wsp>
                      <wps:cNvSpPr/>
                      <wps:spPr>
                        <a:xfrm>
                          <a:off x="0" y="0"/>
                          <a:ext cx="1706880" cy="83566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6637F1" w:rsidRDefault="00D13702" w:rsidP="00F500B8">
                            <w:pPr>
                              <w:bidi/>
                              <w:spacing w:after="0" w:line="240" w:lineRule="auto"/>
                              <w:jc w:val="center"/>
                              <w:rPr>
                                <w:color w:val="000000" w:themeColor="text1"/>
                                <w:sz w:val="20"/>
                                <w:szCs w:val="20"/>
                              </w:rPr>
                            </w:pPr>
                            <w:r w:rsidRPr="006637F1">
                              <w:rPr>
                                <w:rFonts w:ascii="Simplified Arabic" w:hAnsi="Simplified Arabic" w:cs="Simplified Arabic"/>
                                <w:b/>
                                <w:bCs/>
                                <w:color w:val="000000" w:themeColor="text1"/>
                                <w:sz w:val="24"/>
                                <w:szCs w:val="24"/>
                                <w:rtl/>
                                <w:lang w:bidi="ar-DZ"/>
                              </w:rPr>
                              <w:t xml:space="preserve">الفصل </w:t>
                            </w:r>
                            <w:r w:rsidRPr="006637F1">
                              <w:rPr>
                                <w:rFonts w:ascii="Simplified Arabic" w:hAnsi="Simplified Arabic" w:cs="Simplified Arabic" w:hint="cs"/>
                                <w:b/>
                                <w:bCs/>
                                <w:color w:val="000000" w:themeColor="text1"/>
                                <w:sz w:val="24"/>
                                <w:szCs w:val="24"/>
                                <w:rtl/>
                                <w:lang w:bidi="ar-DZ"/>
                              </w:rPr>
                              <w:t>3</w:t>
                            </w:r>
                            <w:r w:rsidRPr="006637F1">
                              <w:rPr>
                                <w:rFonts w:ascii="Simplified Arabic" w:hAnsi="Simplified Arabic" w:cs="Simplified Arabic"/>
                                <w:b/>
                                <w:bCs/>
                                <w:color w:val="000000" w:themeColor="text1"/>
                                <w:sz w:val="24"/>
                                <w:szCs w:val="24"/>
                                <w:rtl/>
                                <w:lang w:bidi="ar-DZ"/>
                              </w:rPr>
                              <w:t xml:space="preserve">: </w:t>
                            </w:r>
                            <w:r w:rsidRPr="006637F1">
                              <w:rPr>
                                <w:rFonts w:ascii="Simplified Arabic" w:hAnsi="Simplified Arabic" w:cs="Simplified Arabic" w:hint="cs"/>
                                <w:b/>
                                <w:bCs/>
                                <w:color w:val="000000" w:themeColor="text1"/>
                                <w:sz w:val="24"/>
                                <w:szCs w:val="24"/>
                                <w:rtl/>
                                <w:lang w:val="en-US" w:bidi="ar-DZ"/>
                              </w:rPr>
                              <w:t>تطوير اطار عمل</w:t>
                            </w:r>
                            <w:r w:rsidRPr="006637F1">
                              <w:rPr>
                                <w:rFonts w:ascii="Simplified Arabic" w:hAnsi="Simplified Arabic" w:cs="Simplified Arabic"/>
                                <w:b/>
                                <w:bCs/>
                                <w:color w:val="000000" w:themeColor="text1"/>
                                <w:sz w:val="24"/>
                                <w:szCs w:val="24"/>
                                <w:rtl/>
                                <w:lang w:val="en-US" w:bidi="ar-DZ"/>
                              </w:rPr>
                              <w:t xml:space="preserve"> تقييم </w:t>
                            </w:r>
                            <w:r w:rsidRPr="006637F1">
                              <w:rPr>
                                <w:rFonts w:ascii="Simplified Arabic" w:hAnsi="Simplified Arabic" w:cs="Simplified Arabic" w:hint="cs"/>
                                <w:b/>
                                <w:bCs/>
                                <w:color w:val="000000" w:themeColor="text1"/>
                                <w:sz w:val="24"/>
                                <w:szCs w:val="24"/>
                                <w:rtl/>
                                <w:lang w:val="en-US" w:bidi="ar-DZ"/>
                              </w:rPr>
                              <w:t>المرونة</w:t>
                            </w:r>
                            <w:r w:rsidRPr="006637F1">
                              <w:rPr>
                                <w:rFonts w:ascii="Simplified Arabic" w:hAnsi="Simplified Arabic" w:cs="Simplified Arabic"/>
                                <w:b/>
                                <w:bCs/>
                                <w:color w:val="000000" w:themeColor="text1"/>
                                <w:sz w:val="24"/>
                                <w:szCs w:val="24"/>
                                <w:rtl/>
                                <w:lang w:val="en-US" w:bidi="ar-DZ"/>
                              </w:rPr>
                              <w:t xml:space="preserve"> الحضرية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38" style="position:absolute;left:0;text-align:left;margin-left:10.05pt;margin-top:22.1pt;width:134.4pt;height:65.8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" filled="f" strokecolor="black [3213]" strokeweight=".5pt">
                <v:textbox>
                  <w:txbxContent>
                    <w:p w:rsidR="00D13702" w:rsidRPr="006637F1" w:rsidRDefault="00D13702" w:rsidP="00F500B8">
                      <w:pPr>
                        <w:bidi/>
                        <w:spacing w:after="0" w:line="240" w:lineRule="auto"/>
                        <w:jc w:val="center"/>
                        <w:rPr>
                          <w:color w:val="000000" w:themeColor="text1"/>
                          <w:sz w:val="20"/>
                          <w:szCs w:val="20"/>
                        </w:rPr>
                      </w:pPr>
                      <w:r w:rsidRPr="006637F1">
                        <w:rPr>
                          <w:rFonts w:ascii="Simplified Arabic" w:hAnsi="Simplified Arabic" w:cs="Simplified Arabic"/>
                          <w:b/>
                          <w:bCs/>
                          <w:color w:val="000000" w:themeColor="text1"/>
                          <w:sz w:val="24"/>
                          <w:szCs w:val="24"/>
                          <w:rtl/>
                          <w:lang w:bidi="ar-DZ"/>
                        </w:rPr>
                        <w:t xml:space="preserve">الفصل </w:t>
                      </w:r>
                      <w:r w:rsidRPr="006637F1">
                        <w:rPr>
                          <w:rFonts w:ascii="Simplified Arabic" w:hAnsi="Simplified Arabic" w:cs="Simplified Arabic" w:hint="cs"/>
                          <w:b/>
                          <w:bCs/>
                          <w:color w:val="000000" w:themeColor="text1"/>
                          <w:sz w:val="24"/>
                          <w:szCs w:val="24"/>
                          <w:rtl/>
                          <w:lang w:bidi="ar-DZ"/>
                        </w:rPr>
                        <w:t>3</w:t>
                      </w:r>
                      <w:r w:rsidRPr="006637F1">
                        <w:rPr>
                          <w:rFonts w:ascii="Simplified Arabic" w:hAnsi="Simplified Arabic" w:cs="Simplified Arabic"/>
                          <w:b/>
                          <w:bCs/>
                          <w:color w:val="000000" w:themeColor="text1"/>
                          <w:sz w:val="24"/>
                          <w:szCs w:val="24"/>
                          <w:rtl/>
                          <w:lang w:bidi="ar-DZ"/>
                        </w:rPr>
                        <w:t xml:space="preserve">: </w:t>
                      </w:r>
                      <w:r w:rsidRPr="006637F1">
                        <w:rPr>
                          <w:rFonts w:ascii="Simplified Arabic" w:hAnsi="Simplified Arabic" w:cs="Simplified Arabic" w:hint="cs"/>
                          <w:b/>
                          <w:bCs/>
                          <w:color w:val="000000" w:themeColor="text1"/>
                          <w:sz w:val="24"/>
                          <w:szCs w:val="24"/>
                          <w:rtl/>
                          <w:lang w:val="en-US" w:bidi="ar-DZ"/>
                        </w:rPr>
                        <w:t>تطوير اطار عمل</w:t>
                      </w:r>
                      <w:r w:rsidRPr="006637F1">
                        <w:rPr>
                          <w:rFonts w:ascii="Simplified Arabic" w:hAnsi="Simplified Arabic" w:cs="Simplified Arabic"/>
                          <w:b/>
                          <w:bCs/>
                          <w:color w:val="000000" w:themeColor="text1"/>
                          <w:sz w:val="24"/>
                          <w:szCs w:val="24"/>
                          <w:rtl/>
                          <w:lang w:val="en-US" w:bidi="ar-DZ"/>
                        </w:rPr>
                        <w:t xml:space="preserve"> تقييم </w:t>
                      </w:r>
                      <w:r w:rsidRPr="006637F1">
                        <w:rPr>
                          <w:rFonts w:ascii="Simplified Arabic" w:hAnsi="Simplified Arabic" w:cs="Simplified Arabic" w:hint="cs"/>
                          <w:b/>
                          <w:bCs/>
                          <w:color w:val="000000" w:themeColor="text1"/>
                          <w:sz w:val="24"/>
                          <w:szCs w:val="24"/>
                          <w:rtl/>
                          <w:lang w:val="en-US" w:bidi="ar-DZ"/>
                        </w:rPr>
                        <w:t>المرونة</w:t>
                      </w:r>
                      <w:r w:rsidRPr="006637F1">
                        <w:rPr>
                          <w:rFonts w:ascii="Simplified Arabic" w:hAnsi="Simplified Arabic" w:cs="Simplified Arabic"/>
                          <w:b/>
                          <w:bCs/>
                          <w:color w:val="000000" w:themeColor="text1"/>
                          <w:sz w:val="24"/>
                          <w:szCs w:val="24"/>
                          <w:rtl/>
                          <w:lang w:val="en-US" w:bidi="ar-DZ"/>
                        </w:rPr>
                        <w:t xml:space="preserve"> الحضرية</w:t>
                      </w:r>
                    </w:p>
                  </w:txbxContent>
                </v:textbox>
              </v:rect>
            </w:pict>
          </mc:Fallback>
        </mc:AlternateContent>
      </w:r>
    </w:p>
    <w:p w:rsidR="005A7CE7" w:rsidRDefault="006637F1" w:rsidP="005A7CE7">
      <w:pPr>
        <w:tabs>
          <w:tab w:val="right" w:pos="281"/>
        </w:tabs>
        <w:bidi/>
        <w:spacing w:after="0"/>
        <w:jc w:val="center"/>
        <w:rPr>
          <w:rFonts w:ascii="Simplified Arabic" w:hAnsi="Simplified Arabic" w:cs="Simplified Arabic"/>
          <w:b/>
          <w:bCs/>
          <w:sz w:val="24"/>
          <w:szCs w:val="24"/>
          <w:rtl/>
          <w:lang w:val="en-US" w:bidi="ar-DZ"/>
        </w:rPr>
      </w:pPr>
      <w:r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13888" behindDoc="0" locked="0" layoutInCell="1" allowOverlap="1" wp14:anchorId="6D9E3C48" wp14:editId="6A7B8AF8">
                <wp:simplePos x="0" y="0"/>
                <wp:positionH relativeFrom="column">
                  <wp:posOffset>1907960</wp:posOffset>
                </wp:positionH>
                <wp:positionV relativeFrom="paragraph">
                  <wp:posOffset>-6350</wp:posOffset>
                </wp:positionV>
                <wp:extent cx="1876714" cy="828675"/>
                <wp:effectExtent l="0" t="0" r="28575" b="28575"/>
                <wp:wrapNone/>
                <wp:docPr id="20" name="Rectangle 20"/>
                <wp:cNvGraphicFramePr/>
                <a:graphic xmlns:a="http://schemas.openxmlformats.org/drawingml/2006/main">
                  <a:graphicData uri="http://schemas.microsoft.com/office/word/2010/wordprocessingShape">
                    <wps:wsp>
                      <wps:cNvSpPr/>
                      <wps:spPr>
                        <a:xfrm>
                          <a:off x="0" y="0"/>
                          <a:ext cx="1876714" cy="828675"/>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7D0E03" w:rsidRDefault="00D13702" w:rsidP="0040455E">
                            <w:pPr>
                              <w:bidi/>
                              <w:spacing w:after="0" w:line="240" w:lineRule="auto"/>
                              <w:jc w:val="center"/>
                              <w:rPr>
                                <w:rFonts w:ascii="Simplified Arabic" w:hAnsi="Simplified Arabic" w:cs="Simplified Arabic"/>
                                <w:color w:val="000000" w:themeColor="text1"/>
                                <w:sz w:val="28"/>
                                <w:szCs w:val="28"/>
                                <w:rtl/>
                                <w:lang w:val="en-US"/>
                              </w:rPr>
                            </w:pPr>
                            <w:r w:rsidRPr="007D0E03">
                              <w:rPr>
                                <w:rFonts w:ascii="Simplified Arabic" w:hAnsi="Simplified Arabic" w:cs="Simplified Arabic"/>
                                <w:b/>
                                <w:bCs/>
                                <w:color w:val="000000" w:themeColor="text1"/>
                                <w:sz w:val="24"/>
                                <w:szCs w:val="24"/>
                                <w:rtl/>
                                <w:lang w:bidi="ar-DZ"/>
                              </w:rPr>
                              <w:t xml:space="preserve">الفصل </w:t>
                            </w:r>
                            <w:r w:rsidRPr="007D0E03">
                              <w:rPr>
                                <w:rFonts w:ascii="Simplified Arabic" w:hAnsi="Simplified Arabic" w:cs="Simplified Arabic" w:hint="cs"/>
                                <w:b/>
                                <w:bCs/>
                                <w:color w:val="000000" w:themeColor="text1"/>
                                <w:sz w:val="24"/>
                                <w:szCs w:val="24"/>
                                <w:rtl/>
                                <w:lang w:bidi="ar-DZ"/>
                              </w:rPr>
                              <w:t>2</w:t>
                            </w:r>
                            <w:r w:rsidRPr="007D0E03">
                              <w:rPr>
                                <w:rFonts w:ascii="Simplified Arabic" w:hAnsi="Simplified Arabic" w:cs="Simplified Arabic"/>
                                <w:b/>
                                <w:bCs/>
                                <w:color w:val="000000" w:themeColor="text1"/>
                                <w:sz w:val="24"/>
                                <w:szCs w:val="24"/>
                                <w:rtl/>
                                <w:lang w:bidi="ar-DZ"/>
                              </w:rPr>
                              <w:t>:</w:t>
                            </w:r>
                            <w:r w:rsidRPr="007D0E03">
                              <w:rPr>
                                <w:rFonts w:ascii="Simplified Arabic" w:hAnsi="Simplified Arabic" w:cs="Simplified Arabic"/>
                                <w:color w:val="000000" w:themeColor="text1"/>
                                <w:sz w:val="24"/>
                                <w:szCs w:val="24"/>
                                <w:rtl/>
                                <w:lang w:bidi="ar-DZ"/>
                              </w:rPr>
                              <w:t xml:space="preserve"> </w:t>
                            </w:r>
                            <w:r w:rsidRPr="004357E2">
                              <w:rPr>
                                <w:rFonts w:ascii="Simplified Arabic" w:hAnsi="Simplified Arabic" w:cs="Simplified Arabic" w:hint="cs"/>
                                <w:b/>
                                <w:bCs/>
                                <w:color w:val="000000" w:themeColor="text1"/>
                                <w:sz w:val="24"/>
                                <w:szCs w:val="24"/>
                                <w:rtl/>
                                <w:lang w:val="en-US"/>
                              </w:rPr>
                              <w:t>تحليل مناهج</w:t>
                            </w:r>
                            <w:r w:rsidRPr="004357E2">
                              <w:rPr>
                                <w:rFonts w:ascii="Simplified Arabic" w:hAnsi="Simplified Arabic" w:cs="Simplified Arabic"/>
                                <w:b/>
                                <w:bCs/>
                                <w:color w:val="000000" w:themeColor="text1"/>
                                <w:sz w:val="24"/>
                                <w:szCs w:val="24"/>
                                <w:rtl/>
                                <w:lang w:val="en-US"/>
                              </w:rPr>
                              <w:t xml:space="preserve"> </w:t>
                            </w:r>
                            <w:r w:rsidRPr="004357E2">
                              <w:rPr>
                                <w:rFonts w:ascii="Simplified Arabic" w:hAnsi="Simplified Arabic" w:cs="Simplified Arabic" w:hint="cs"/>
                                <w:b/>
                                <w:bCs/>
                                <w:color w:val="000000" w:themeColor="text1"/>
                                <w:sz w:val="24"/>
                                <w:szCs w:val="24"/>
                                <w:rtl/>
                                <w:lang w:val="en-US"/>
                              </w:rPr>
                              <w:t>واطر تقييم</w:t>
                            </w:r>
                            <w:r w:rsidRPr="004357E2">
                              <w:rPr>
                                <w:rFonts w:ascii="Simplified Arabic" w:hAnsi="Simplified Arabic" w:cs="Simplified Arabic"/>
                                <w:b/>
                                <w:bCs/>
                                <w:color w:val="000000" w:themeColor="text1"/>
                                <w:sz w:val="24"/>
                                <w:szCs w:val="24"/>
                                <w:rtl/>
                                <w:lang w:val="en-US"/>
                              </w:rPr>
                              <w:t xml:space="preserve"> </w:t>
                            </w:r>
                            <w:r w:rsidRPr="004357E2">
                              <w:rPr>
                                <w:rFonts w:ascii="Simplified Arabic" w:hAnsi="Simplified Arabic" w:cs="Simplified Arabic" w:hint="cs"/>
                                <w:b/>
                                <w:bCs/>
                                <w:color w:val="000000" w:themeColor="text1"/>
                                <w:sz w:val="24"/>
                                <w:szCs w:val="24"/>
                                <w:rtl/>
                                <w:lang w:val="en-US"/>
                              </w:rPr>
                              <w:t>وتفعيل المرونة</w:t>
                            </w:r>
                          </w:p>
                          <w:p w:rsidR="00D13702" w:rsidRPr="00D41956" w:rsidRDefault="00D13702" w:rsidP="006E7557">
                            <w:pPr>
                              <w:bidi/>
                              <w:spacing w:after="0" w:line="240" w:lineRule="auto"/>
                              <w:jc w:val="center"/>
                              <w:rPr>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39" style="position:absolute;left:0;text-align:left;margin-left:150.25pt;margin-top:-.5pt;width:147.75pt;height:65.2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" filled="f" strokecolor="black [3213]" strokeweight=".5pt">
                <v:textbox>
                  <w:txbxContent>
                    <w:p w:rsidR="00D13702" w:rsidRPr="007D0E03" w:rsidRDefault="00D13702" w:rsidP="0040455E">
                      <w:pPr>
                        <w:bidi/>
                        <w:spacing w:after="0" w:line="240" w:lineRule="auto"/>
                        <w:jc w:val="center"/>
                        <w:rPr>
                          <w:rFonts w:ascii="Simplified Arabic" w:hAnsi="Simplified Arabic" w:cs="Simplified Arabic"/>
                          <w:color w:val="000000" w:themeColor="text1"/>
                          <w:sz w:val="28"/>
                          <w:szCs w:val="28"/>
                          <w:rtl/>
                          <w:lang w:val="en-US"/>
                        </w:rPr>
                      </w:pPr>
                      <w:r w:rsidRPr="007D0E03">
                        <w:rPr>
                          <w:rFonts w:ascii="Simplified Arabic" w:hAnsi="Simplified Arabic" w:cs="Simplified Arabic"/>
                          <w:b/>
                          <w:bCs/>
                          <w:color w:val="000000" w:themeColor="text1"/>
                          <w:sz w:val="24"/>
                          <w:szCs w:val="24"/>
                          <w:rtl/>
                          <w:lang w:bidi="ar-DZ"/>
                        </w:rPr>
                        <w:t xml:space="preserve">الفصل </w:t>
                      </w:r>
                      <w:r w:rsidRPr="007D0E03">
                        <w:rPr>
                          <w:rFonts w:ascii="Simplified Arabic" w:hAnsi="Simplified Arabic" w:cs="Simplified Arabic" w:hint="cs"/>
                          <w:b/>
                          <w:bCs/>
                          <w:color w:val="000000" w:themeColor="text1"/>
                          <w:sz w:val="24"/>
                          <w:szCs w:val="24"/>
                          <w:rtl/>
                          <w:lang w:bidi="ar-DZ"/>
                        </w:rPr>
                        <w:t>2</w:t>
                      </w:r>
                      <w:r w:rsidRPr="007D0E03">
                        <w:rPr>
                          <w:rFonts w:ascii="Simplified Arabic" w:hAnsi="Simplified Arabic" w:cs="Simplified Arabic"/>
                          <w:b/>
                          <w:bCs/>
                          <w:color w:val="000000" w:themeColor="text1"/>
                          <w:sz w:val="24"/>
                          <w:szCs w:val="24"/>
                          <w:rtl/>
                          <w:lang w:bidi="ar-DZ"/>
                        </w:rPr>
                        <w:t>:</w:t>
                      </w:r>
                      <w:r w:rsidRPr="007D0E03">
                        <w:rPr>
                          <w:rFonts w:ascii="Simplified Arabic" w:hAnsi="Simplified Arabic" w:cs="Simplified Arabic"/>
                          <w:color w:val="000000" w:themeColor="text1"/>
                          <w:sz w:val="24"/>
                          <w:szCs w:val="24"/>
                          <w:rtl/>
                          <w:lang w:bidi="ar-DZ"/>
                        </w:rPr>
                        <w:t xml:space="preserve"> </w:t>
                      </w:r>
                      <w:r w:rsidRPr="004357E2">
                        <w:rPr>
                          <w:rFonts w:ascii="Simplified Arabic" w:hAnsi="Simplified Arabic" w:cs="Simplified Arabic" w:hint="cs"/>
                          <w:b/>
                          <w:bCs/>
                          <w:color w:val="000000" w:themeColor="text1"/>
                          <w:sz w:val="24"/>
                          <w:szCs w:val="24"/>
                          <w:rtl/>
                          <w:lang w:val="en-US"/>
                        </w:rPr>
                        <w:t>تحليل مناهج</w:t>
                      </w:r>
                      <w:r w:rsidRPr="004357E2">
                        <w:rPr>
                          <w:rFonts w:ascii="Simplified Arabic" w:hAnsi="Simplified Arabic" w:cs="Simplified Arabic"/>
                          <w:b/>
                          <w:bCs/>
                          <w:color w:val="000000" w:themeColor="text1"/>
                          <w:sz w:val="24"/>
                          <w:szCs w:val="24"/>
                          <w:rtl/>
                          <w:lang w:val="en-US"/>
                        </w:rPr>
                        <w:t xml:space="preserve"> </w:t>
                      </w:r>
                      <w:r w:rsidRPr="004357E2">
                        <w:rPr>
                          <w:rFonts w:ascii="Simplified Arabic" w:hAnsi="Simplified Arabic" w:cs="Simplified Arabic" w:hint="cs"/>
                          <w:b/>
                          <w:bCs/>
                          <w:color w:val="000000" w:themeColor="text1"/>
                          <w:sz w:val="24"/>
                          <w:szCs w:val="24"/>
                          <w:rtl/>
                          <w:lang w:val="en-US"/>
                        </w:rPr>
                        <w:t>واطر تقييم</w:t>
                      </w:r>
                      <w:r w:rsidRPr="004357E2">
                        <w:rPr>
                          <w:rFonts w:ascii="Simplified Arabic" w:hAnsi="Simplified Arabic" w:cs="Simplified Arabic"/>
                          <w:b/>
                          <w:bCs/>
                          <w:color w:val="000000" w:themeColor="text1"/>
                          <w:sz w:val="24"/>
                          <w:szCs w:val="24"/>
                          <w:rtl/>
                          <w:lang w:val="en-US"/>
                        </w:rPr>
                        <w:t xml:space="preserve"> </w:t>
                      </w:r>
                      <w:r w:rsidRPr="004357E2">
                        <w:rPr>
                          <w:rFonts w:ascii="Simplified Arabic" w:hAnsi="Simplified Arabic" w:cs="Simplified Arabic" w:hint="cs"/>
                          <w:b/>
                          <w:bCs/>
                          <w:color w:val="000000" w:themeColor="text1"/>
                          <w:sz w:val="24"/>
                          <w:szCs w:val="24"/>
                          <w:rtl/>
                          <w:lang w:val="en-US"/>
                        </w:rPr>
                        <w:t>وتفعيل المرونة</w:t>
                      </w:r>
                    </w:p>
                    <w:p w:rsidR="00D13702" w:rsidRPr="00D41956" w:rsidRDefault="00D13702" w:rsidP="006E7557">
                      <w:pPr>
                        <w:bidi/>
                        <w:spacing w:after="0" w:line="240" w:lineRule="auto"/>
                        <w:jc w:val="center"/>
                        <w:rPr>
                          <w:color w:val="000000" w:themeColor="text1"/>
                          <w:sz w:val="24"/>
                          <w:szCs w:val="24"/>
                        </w:rPr>
                      </w:pPr>
                    </w:p>
                  </w:txbxContent>
                </v:textbox>
              </v:rect>
            </w:pict>
          </mc:Fallback>
        </mc:AlternateContent>
      </w:r>
      <w:r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11840" behindDoc="0" locked="0" layoutInCell="1" allowOverlap="1" wp14:anchorId="208F2CD4" wp14:editId="2FB78799">
                <wp:simplePos x="0" y="0"/>
                <wp:positionH relativeFrom="column">
                  <wp:posOffset>3867813</wp:posOffset>
                </wp:positionH>
                <wp:positionV relativeFrom="paragraph">
                  <wp:posOffset>-3617</wp:posOffset>
                </wp:positionV>
                <wp:extent cx="1836420" cy="812800"/>
                <wp:effectExtent l="0" t="0" r="11430" b="25400"/>
                <wp:wrapNone/>
                <wp:docPr id="13" name="Rectangle 13"/>
                <wp:cNvGraphicFramePr/>
                <a:graphic xmlns:a="http://schemas.openxmlformats.org/drawingml/2006/main">
                  <a:graphicData uri="http://schemas.microsoft.com/office/word/2010/wordprocessingShape">
                    <wps:wsp>
                      <wps:cNvSpPr/>
                      <wps:spPr>
                        <a:xfrm>
                          <a:off x="0" y="0"/>
                          <a:ext cx="1836420" cy="812800"/>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53123D" w:rsidRDefault="00D13702" w:rsidP="0053123D">
                            <w:pPr>
                              <w:bidi/>
                              <w:spacing w:after="0" w:line="240" w:lineRule="auto"/>
                              <w:jc w:val="center"/>
                              <w:rPr>
                                <w:rFonts w:ascii="Simplified Arabic" w:hAnsi="Simplified Arabic" w:cs="Simplified Arabic"/>
                                <w:b/>
                                <w:bCs/>
                                <w:color w:val="000000" w:themeColor="text1"/>
                                <w:sz w:val="24"/>
                                <w:szCs w:val="24"/>
                                <w:rtl/>
                                <w:lang w:val="en-US"/>
                              </w:rPr>
                            </w:pPr>
                            <w:r w:rsidRPr="0053123D">
                              <w:rPr>
                                <w:rFonts w:ascii="Simplified Arabic" w:hAnsi="Simplified Arabic" w:cs="Simplified Arabic"/>
                                <w:b/>
                                <w:bCs/>
                                <w:color w:val="000000" w:themeColor="text1"/>
                                <w:sz w:val="24"/>
                                <w:szCs w:val="24"/>
                                <w:rtl/>
                                <w:lang w:bidi="ar-DZ"/>
                              </w:rPr>
                              <w:t xml:space="preserve">الفصل </w:t>
                            </w:r>
                            <w:r w:rsidRPr="0053123D">
                              <w:rPr>
                                <w:rFonts w:ascii="Simplified Arabic" w:hAnsi="Simplified Arabic" w:cs="Simplified Arabic" w:hint="cs"/>
                                <w:b/>
                                <w:bCs/>
                                <w:color w:val="000000" w:themeColor="text1"/>
                                <w:sz w:val="24"/>
                                <w:szCs w:val="24"/>
                                <w:rtl/>
                                <w:lang w:bidi="ar-DZ"/>
                              </w:rPr>
                              <w:t>1</w:t>
                            </w:r>
                            <w:r w:rsidRPr="0053123D">
                              <w:rPr>
                                <w:rFonts w:ascii="Simplified Arabic" w:hAnsi="Simplified Arabic" w:cs="Simplified Arabic"/>
                                <w:b/>
                                <w:bCs/>
                                <w:color w:val="000000" w:themeColor="text1"/>
                                <w:sz w:val="24"/>
                                <w:szCs w:val="24"/>
                                <w:rtl/>
                                <w:lang w:bidi="ar-DZ"/>
                              </w:rPr>
                              <w:t xml:space="preserve">: </w:t>
                            </w:r>
                            <w:r w:rsidRPr="0053123D">
                              <w:rPr>
                                <w:rFonts w:ascii="Simplified Arabic" w:hAnsi="Simplified Arabic" w:cs="Simplified Arabic" w:hint="cs"/>
                                <w:b/>
                                <w:bCs/>
                                <w:color w:val="000000" w:themeColor="text1"/>
                                <w:sz w:val="24"/>
                                <w:szCs w:val="24"/>
                                <w:rtl/>
                                <w:lang w:val="en-US"/>
                              </w:rPr>
                              <w:t xml:space="preserve">علاقة </w:t>
                            </w:r>
                            <w:r w:rsidRPr="0053123D">
                              <w:rPr>
                                <w:rFonts w:ascii="Simplified Arabic" w:hAnsi="Simplified Arabic" w:cs="Simplified Arabic" w:hint="cs"/>
                                <w:b/>
                                <w:bCs/>
                                <w:color w:val="000000" w:themeColor="text1"/>
                                <w:sz w:val="24"/>
                                <w:szCs w:val="24"/>
                                <w:rtl/>
                                <w:lang w:val="en-US" w:bidi="ar-DZ"/>
                              </w:rPr>
                              <w:t xml:space="preserve">استعمالات الاراضي الحضرية </w:t>
                            </w:r>
                            <w:r w:rsidRPr="0053123D">
                              <w:rPr>
                                <w:rFonts w:ascii="Simplified Arabic" w:hAnsi="Simplified Arabic" w:cs="Simplified Arabic" w:hint="cs"/>
                                <w:b/>
                                <w:bCs/>
                                <w:color w:val="000000" w:themeColor="text1"/>
                                <w:sz w:val="24"/>
                                <w:szCs w:val="24"/>
                                <w:rtl/>
                                <w:lang w:val="en-US"/>
                              </w:rPr>
                              <w:t>بمفهوم المرونة الحضرية</w:t>
                            </w:r>
                          </w:p>
                          <w:p w:rsidR="00D13702" w:rsidRPr="00797113" w:rsidRDefault="00D13702" w:rsidP="005A7CE7">
                            <w:pPr>
                              <w:bidi/>
                              <w:spacing w:after="0"/>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 o:spid="_x0000_s1040" style="position:absolute;left:0;text-align:left;margin-left:304.55pt;margin-top:-.3pt;width:144.6pt;height:64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" filled="f" strokecolor="black [3213]" strokeweight=".5pt">
                <v:textbox>
                  <w:txbxContent>
                    <w:p w:rsidR="00D13702" w:rsidRPr="0053123D" w:rsidRDefault="00D13702" w:rsidP="0053123D">
                      <w:pPr>
                        <w:bidi/>
                        <w:spacing w:after="0" w:line="240" w:lineRule="auto"/>
                        <w:jc w:val="center"/>
                        <w:rPr>
                          <w:rFonts w:ascii="Simplified Arabic" w:hAnsi="Simplified Arabic" w:cs="Simplified Arabic"/>
                          <w:b/>
                          <w:bCs/>
                          <w:color w:val="000000" w:themeColor="text1"/>
                          <w:sz w:val="24"/>
                          <w:szCs w:val="24"/>
                          <w:rtl/>
                          <w:lang w:val="en-US"/>
                        </w:rPr>
                      </w:pPr>
                      <w:r w:rsidRPr="0053123D">
                        <w:rPr>
                          <w:rFonts w:ascii="Simplified Arabic" w:hAnsi="Simplified Arabic" w:cs="Simplified Arabic"/>
                          <w:b/>
                          <w:bCs/>
                          <w:color w:val="000000" w:themeColor="text1"/>
                          <w:sz w:val="24"/>
                          <w:szCs w:val="24"/>
                          <w:rtl/>
                          <w:lang w:bidi="ar-DZ"/>
                        </w:rPr>
                        <w:t xml:space="preserve">الفصل </w:t>
                      </w:r>
                      <w:r w:rsidRPr="0053123D">
                        <w:rPr>
                          <w:rFonts w:ascii="Simplified Arabic" w:hAnsi="Simplified Arabic" w:cs="Simplified Arabic" w:hint="cs"/>
                          <w:b/>
                          <w:bCs/>
                          <w:color w:val="000000" w:themeColor="text1"/>
                          <w:sz w:val="24"/>
                          <w:szCs w:val="24"/>
                          <w:rtl/>
                          <w:lang w:bidi="ar-DZ"/>
                        </w:rPr>
                        <w:t>1</w:t>
                      </w:r>
                      <w:r w:rsidRPr="0053123D">
                        <w:rPr>
                          <w:rFonts w:ascii="Simplified Arabic" w:hAnsi="Simplified Arabic" w:cs="Simplified Arabic"/>
                          <w:b/>
                          <w:bCs/>
                          <w:color w:val="000000" w:themeColor="text1"/>
                          <w:sz w:val="24"/>
                          <w:szCs w:val="24"/>
                          <w:rtl/>
                          <w:lang w:bidi="ar-DZ"/>
                        </w:rPr>
                        <w:t xml:space="preserve">: </w:t>
                      </w:r>
                      <w:r w:rsidRPr="0053123D">
                        <w:rPr>
                          <w:rFonts w:ascii="Simplified Arabic" w:hAnsi="Simplified Arabic" w:cs="Simplified Arabic" w:hint="cs"/>
                          <w:b/>
                          <w:bCs/>
                          <w:color w:val="000000" w:themeColor="text1"/>
                          <w:sz w:val="24"/>
                          <w:szCs w:val="24"/>
                          <w:rtl/>
                          <w:lang w:val="en-US"/>
                        </w:rPr>
                        <w:t xml:space="preserve">علاقة </w:t>
                      </w:r>
                      <w:r w:rsidRPr="0053123D">
                        <w:rPr>
                          <w:rFonts w:ascii="Simplified Arabic" w:hAnsi="Simplified Arabic" w:cs="Simplified Arabic" w:hint="cs"/>
                          <w:b/>
                          <w:bCs/>
                          <w:color w:val="000000" w:themeColor="text1"/>
                          <w:sz w:val="24"/>
                          <w:szCs w:val="24"/>
                          <w:rtl/>
                          <w:lang w:val="en-US" w:bidi="ar-DZ"/>
                        </w:rPr>
                        <w:t xml:space="preserve">استعمالات الاراضي الحضرية </w:t>
                      </w:r>
                      <w:r w:rsidRPr="0053123D">
                        <w:rPr>
                          <w:rFonts w:ascii="Simplified Arabic" w:hAnsi="Simplified Arabic" w:cs="Simplified Arabic" w:hint="cs"/>
                          <w:b/>
                          <w:bCs/>
                          <w:color w:val="000000" w:themeColor="text1"/>
                          <w:sz w:val="24"/>
                          <w:szCs w:val="24"/>
                          <w:rtl/>
                          <w:lang w:val="en-US"/>
                        </w:rPr>
                        <w:t>بمفهوم المرونة الحضرية</w:t>
                      </w:r>
                    </w:p>
                    <w:p w:rsidR="00D13702" w:rsidRPr="00797113" w:rsidRDefault="00D13702" w:rsidP="005A7CE7">
                      <w:pPr>
                        <w:bidi/>
                        <w:spacing w:after="0"/>
                        <w:jc w:val="center"/>
                        <w:rPr>
                          <w:color w:val="000000" w:themeColor="text1"/>
                        </w:rPr>
                      </w:pPr>
                    </w:p>
                  </w:txbxContent>
                </v:textbox>
              </v:rect>
            </w:pict>
          </mc:Fallback>
        </mc:AlternateConten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p>
    <w:p w:rsidR="005A7CE7" w:rsidRDefault="00443405" w:rsidP="005A7CE7">
      <w:pPr>
        <w:tabs>
          <w:tab w:val="right" w:pos="281"/>
        </w:tabs>
        <w:bidi/>
        <w:spacing w:after="0"/>
        <w:jc w:val="center"/>
        <w:rPr>
          <w:rFonts w:ascii="Simplified Arabic" w:hAnsi="Simplified Arabic" w:cs="Simplified Arabic"/>
          <w:b/>
          <w:bCs/>
          <w:sz w:val="24"/>
          <w:szCs w:val="24"/>
          <w:rtl/>
          <w:lang w:val="en-US" w:bidi="ar-DZ"/>
        </w:rPr>
      </w:pPr>
      <w:r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6176" behindDoc="0" locked="0" layoutInCell="1" allowOverlap="1" wp14:anchorId="2ED9D678" wp14:editId="760583EB">
                <wp:simplePos x="0" y="0"/>
                <wp:positionH relativeFrom="column">
                  <wp:posOffset>947420</wp:posOffset>
                </wp:positionH>
                <wp:positionV relativeFrom="paragraph">
                  <wp:posOffset>248616</wp:posOffset>
                </wp:positionV>
                <wp:extent cx="643890" cy="176855"/>
                <wp:effectExtent l="0" t="0" r="22860" b="33020"/>
                <wp:wrapNone/>
                <wp:docPr id="39" name="Connecteur droit avec flèche 39"/>
                <wp:cNvGraphicFramePr/>
                <a:graphic xmlns:a="http://schemas.openxmlformats.org/drawingml/2006/main">
                  <a:graphicData uri="http://schemas.microsoft.com/office/word/2010/wordprocessingShape">
                    <wps:wsp>
                      <wps:cNvCnPr/>
                      <wps:spPr>
                        <a:xfrm>
                          <a:off x="0" y="0"/>
                          <a:ext cx="643890" cy="176855"/>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39" o:spid="_x0000_s1026" type="#_x0000_t32" style="position:absolute;margin-left:74.6pt;margin-top:19.6pt;width:50.7pt;height:13.9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" strokecolor="black [3213]" strokeweight=".5pt"/>
            </w:pict>
          </mc:Fallback>
        </mc:AlternateContent>
      </w:r>
      <w:r w:rsidR="006637F1"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5152" behindDoc="0" locked="0" layoutInCell="1" allowOverlap="1" wp14:anchorId="4CA2D5C4" wp14:editId="1DEFA2BC">
                <wp:simplePos x="0" y="0"/>
                <wp:positionH relativeFrom="column">
                  <wp:posOffset>2892425</wp:posOffset>
                </wp:positionH>
                <wp:positionV relativeFrom="paragraph">
                  <wp:posOffset>246076</wp:posOffset>
                </wp:positionV>
                <wp:extent cx="0" cy="187614"/>
                <wp:effectExtent l="0" t="0" r="19050" b="22225"/>
                <wp:wrapNone/>
                <wp:docPr id="38" name="Connecteur droit avec flèche 38"/>
                <wp:cNvGraphicFramePr/>
                <a:graphic xmlns:a="http://schemas.openxmlformats.org/drawingml/2006/main">
                  <a:graphicData uri="http://schemas.microsoft.com/office/word/2010/wordprocessingShape">
                    <wps:wsp>
                      <wps:cNvCnPr/>
                      <wps:spPr>
                        <a:xfrm>
                          <a:off x="0" y="0"/>
                          <a:ext cx="0" cy="187614"/>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Connecteur droit avec flèche 38" o:spid="_x0000_s1026" type="#_x0000_t32" style="position:absolute;margin-left:227.75pt;margin-top:19.4pt;width:0;height:14.75pt;z-index:251825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" strokecolor="black [3213]" strokeweight=".5pt"/>
            </w:pict>
          </mc:Fallback>
        </mc:AlternateContent>
      </w:r>
      <w:r w:rsidR="006637F1" w:rsidRPr="00903AD1">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7200" behindDoc="0" locked="0" layoutInCell="1" allowOverlap="1" wp14:anchorId="0D42DAAB" wp14:editId="58CB99D4">
                <wp:simplePos x="0" y="0"/>
                <wp:positionH relativeFrom="column">
                  <wp:posOffset>4368165</wp:posOffset>
                </wp:positionH>
                <wp:positionV relativeFrom="paragraph">
                  <wp:posOffset>226060</wp:posOffset>
                </wp:positionV>
                <wp:extent cx="429260" cy="201295"/>
                <wp:effectExtent l="0" t="0" r="27940" b="27305"/>
                <wp:wrapNone/>
                <wp:docPr id="40" name="Connecteur droit avec flèche 40"/>
                <wp:cNvGraphicFramePr/>
                <a:graphic xmlns:a="http://schemas.openxmlformats.org/drawingml/2006/main">
                  <a:graphicData uri="http://schemas.microsoft.com/office/word/2010/wordprocessingShape">
                    <wps:wsp>
                      <wps:cNvCnPr/>
                      <wps:spPr>
                        <a:xfrm flipH="1">
                          <a:off x="0" y="0"/>
                          <a:ext cx="429260" cy="201295"/>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40" o:spid="_x0000_s1026" type="#_x0000_t32" style="position:absolute;margin-left:343.95pt;margin-top:17.8pt;width:33.8pt;height:15.85pt;flip:x;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" strokecolor="black [3213]" strokeweight=".5pt"/>
            </w:pict>
          </mc:Fallback>
        </mc:AlternateContent>
      </w:r>
      <w:r w:rsidR="007D0E03"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4128" behindDoc="0" locked="0" layoutInCell="1" allowOverlap="1" wp14:anchorId="15D92D57" wp14:editId="47AD157B">
                <wp:simplePos x="0" y="0"/>
                <wp:positionH relativeFrom="column">
                  <wp:posOffset>658495</wp:posOffset>
                </wp:positionH>
                <wp:positionV relativeFrom="paragraph">
                  <wp:posOffset>850900</wp:posOffset>
                </wp:positionV>
                <wp:extent cx="621030" cy="414020"/>
                <wp:effectExtent l="84455" t="10795" r="15875" b="73025"/>
                <wp:wrapNone/>
                <wp:docPr id="37" name="Connecteur en angle 37"/>
                <wp:cNvGraphicFramePr/>
                <a:graphic xmlns:a="http://schemas.openxmlformats.org/drawingml/2006/main">
                  <a:graphicData uri="http://schemas.microsoft.com/office/word/2010/wordprocessingShape">
                    <wps:wsp>
                      <wps:cNvCnPr/>
                      <wps:spPr>
                        <a:xfrm rot="5400000">
                          <a:off x="0" y="0"/>
                          <a:ext cx="621030" cy="414020"/>
                        </a:xfrm>
                        <a:prstGeom prst="bentConnector3">
                          <a:avLst>
                            <a:gd name="adj1" fmla="val -1395"/>
                          </a:avLst>
                        </a:prstGeom>
                        <a:ln w="63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Connecteur en angle 37" o:spid="_x0000_s1026" type="#_x0000_t34" style="position:absolute;margin-left:51.85pt;margin-top:67pt;width:48.9pt;height:32.6pt;rotation:90;z-index:251824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" adj="-301" strokecolor="black [3213]" strokeweight=".5pt">
                <v:stroke endarrow="open"/>
              </v:shape>
            </w:pict>
          </mc:Fallback>
        </mc:AlternateContent>
      </w:r>
      <w:r w:rsidR="007D0E03"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3104" behindDoc="0" locked="0" layoutInCell="1" allowOverlap="1" wp14:anchorId="561DF656" wp14:editId="5680153C">
                <wp:simplePos x="0" y="0"/>
                <wp:positionH relativeFrom="column">
                  <wp:posOffset>4665980</wp:posOffset>
                </wp:positionH>
                <wp:positionV relativeFrom="paragraph">
                  <wp:posOffset>760095</wp:posOffset>
                </wp:positionV>
                <wp:extent cx="395605" cy="586105"/>
                <wp:effectExtent l="0" t="0" r="99695" b="61595"/>
                <wp:wrapNone/>
                <wp:docPr id="36" name="Connecteur en angle 36"/>
                <wp:cNvGraphicFramePr/>
                <a:graphic xmlns:a="http://schemas.openxmlformats.org/drawingml/2006/main">
                  <a:graphicData uri="http://schemas.microsoft.com/office/word/2010/wordprocessingShape">
                    <wps:wsp>
                      <wps:cNvCnPr/>
                      <wps:spPr>
                        <a:xfrm>
                          <a:off x="0" y="0"/>
                          <a:ext cx="395605" cy="586105"/>
                        </a:xfrm>
                        <a:prstGeom prst="bentConnector3">
                          <a:avLst>
                            <a:gd name="adj1" fmla="val 100044"/>
                          </a:avLst>
                        </a:prstGeom>
                        <a:ln w="63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Connecteur en angle 36" o:spid="_x0000_s1026" type="#_x0000_t34" style="position:absolute;margin-left:367.4pt;margin-top:59.85pt;width:31.15pt;height:46.15pt;z-index:251823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" adj="21610" strokecolor="black [3213]" strokeweight=".5pt">
                <v:stroke endarrow="open"/>
              </v:shape>
            </w:pict>
          </mc:Fallback>
        </mc:AlternateConten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r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17984" behindDoc="0" locked="0" layoutInCell="1" allowOverlap="1" wp14:anchorId="0ABB9064" wp14:editId="589F0DE4">
                <wp:simplePos x="0" y="0"/>
                <wp:positionH relativeFrom="column">
                  <wp:posOffset>1181100</wp:posOffset>
                </wp:positionH>
                <wp:positionV relativeFrom="paragraph">
                  <wp:posOffset>140639</wp:posOffset>
                </wp:positionV>
                <wp:extent cx="3484880" cy="638175"/>
                <wp:effectExtent l="0" t="0" r="20320" b="28575"/>
                <wp:wrapNone/>
                <wp:docPr id="31" name="Rectangle 31"/>
                <wp:cNvGraphicFramePr/>
                <a:graphic xmlns:a="http://schemas.openxmlformats.org/drawingml/2006/main">
                  <a:graphicData uri="http://schemas.microsoft.com/office/word/2010/wordprocessingShape">
                    <wps:wsp>
                      <wps:cNvSpPr/>
                      <wps:spPr>
                        <a:xfrm>
                          <a:off x="0" y="0"/>
                          <a:ext cx="3484880" cy="638175"/>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903AD1" w:rsidRDefault="00D13702" w:rsidP="000743B1">
                            <w:pPr>
                              <w:bidi/>
                              <w:spacing w:before="240"/>
                              <w:jc w:val="center"/>
                              <w:rPr>
                                <w:rFonts w:ascii="Simplified Arabic" w:hAnsi="Simplified Arabic" w:cs="Simplified Arabic"/>
                                <w:color w:val="000000" w:themeColor="text1"/>
                                <w:sz w:val="32"/>
                                <w:szCs w:val="32"/>
                              </w:rPr>
                            </w:pPr>
                            <w:r w:rsidRPr="00903AD1">
                              <w:rPr>
                                <w:rFonts w:ascii="Simplified Arabic" w:hAnsi="Simplified Arabic" w:cs="Simplified Arabic"/>
                                <w:b/>
                                <w:bCs/>
                                <w:color w:val="000000" w:themeColor="text1"/>
                                <w:sz w:val="32"/>
                                <w:szCs w:val="32"/>
                                <w:rtl/>
                                <w:lang w:bidi="ar-DZ"/>
                              </w:rPr>
                              <w:t xml:space="preserve">الجزء </w:t>
                            </w:r>
                            <w:r>
                              <w:rPr>
                                <w:rFonts w:ascii="Simplified Arabic" w:hAnsi="Simplified Arabic" w:cs="Simplified Arabic" w:hint="cs"/>
                                <w:b/>
                                <w:bCs/>
                                <w:color w:val="000000" w:themeColor="text1"/>
                                <w:sz w:val="32"/>
                                <w:szCs w:val="32"/>
                                <w:rtl/>
                                <w:lang w:bidi="ar-DZ"/>
                              </w:rPr>
                              <w:t>الثالث</w:t>
                            </w:r>
                            <w:r w:rsidRPr="00903AD1">
                              <w:rPr>
                                <w:rFonts w:ascii="Simplified Arabic" w:hAnsi="Simplified Arabic" w:cs="Simplified Arabic"/>
                                <w:b/>
                                <w:bCs/>
                                <w:color w:val="000000" w:themeColor="text1"/>
                                <w:sz w:val="32"/>
                                <w:szCs w:val="32"/>
                                <w:rtl/>
                                <w:lang w:bidi="ar-DZ"/>
                              </w:rPr>
                              <w:t xml:space="preserve">: </w:t>
                            </w:r>
                            <w:r w:rsidRPr="00903AD1">
                              <w:rPr>
                                <w:rFonts w:ascii="Simplified Arabic" w:hAnsi="Simplified Arabic" w:cs="Simplified Arabic" w:hint="cs"/>
                                <w:b/>
                                <w:bCs/>
                                <w:color w:val="000000" w:themeColor="text1"/>
                                <w:sz w:val="32"/>
                                <w:szCs w:val="32"/>
                                <w:rtl/>
                                <w:lang w:bidi="ar-DZ"/>
                              </w:rPr>
                              <w:t xml:space="preserve">الاطار </w:t>
                            </w:r>
                            <w:r>
                              <w:rPr>
                                <w:rFonts w:ascii="Simplified Arabic" w:hAnsi="Simplified Arabic" w:cs="Simplified Arabic" w:hint="cs"/>
                                <w:b/>
                                <w:bCs/>
                                <w:color w:val="000000" w:themeColor="text1"/>
                                <w:sz w:val="32"/>
                                <w:szCs w:val="32"/>
                                <w:rtl/>
                                <w:lang w:bidi="ar-DZ"/>
                              </w:rPr>
                              <w:t>التطبيق</w:t>
                            </w:r>
                            <w:r w:rsidRPr="00903AD1">
                              <w:rPr>
                                <w:rFonts w:ascii="Simplified Arabic" w:hAnsi="Simplified Arabic" w:cs="Simplified Arabic" w:hint="cs"/>
                                <w:b/>
                                <w:bCs/>
                                <w:color w:val="000000" w:themeColor="text1"/>
                                <w:sz w:val="32"/>
                                <w:szCs w:val="32"/>
                                <w:rtl/>
                                <w:lang w:bidi="ar-DZ"/>
                              </w:rPr>
                              <w:t xml:space="preserve">ي </w:t>
                            </w:r>
                            <w:r>
                              <w:rPr>
                                <w:rFonts w:ascii="Simplified Arabic" w:hAnsi="Simplified Arabic" w:cs="Simplified Arabic" w:hint="cs"/>
                                <w:b/>
                                <w:bCs/>
                                <w:color w:val="000000" w:themeColor="text1"/>
                                <w:sz w:val="32"/>
                                <w:szCs w:val="32"/>
                                <w:rtl/>
                                <w:lang w:bidi="ar-DZ"/>
                              </w:rPr>
                              <w:t>للبحث</w:t>
                            </w:r>
                          </w:p>
                          <w:p w:rsidR="00D13702" w:rsidRPr="009113F2" w:rsidRDefault="00D13702" w:rsidP="005A7C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 o:spid="_x0000_s1041" style="position:absolute;left:0;text-align:left;margin-left:93pt;margin-top:11.05pt;width:274.4pt;height:50.2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" filled="f" strokecolor="black [3213]" strokeweight=".5pt">
                <v:textbox>
                  <w:txbxContent>
                    <w:p w:rsidR="00D13702" w:rsidRPr="00903AD1" w:rsidRDefault="00D13702" w:rsidP="000743B1">
                      <w:pPr>
                        <w:bidi/>
                        <w:spacing w:before="240"/>
                        <w:jc w:val="center"/>
                        <w:rPr>
                          <w:rFonts w:ascii="Simplified Arabic" w:hAnsi="Simplified Arabic" w:cs="Simplified Arabic"/>
                          <w:color w:val="000000" w:themeColor="text1"/>
                          <w:sz w:val="32"/>
                          <w:szCs w:val="32"/>
                        </w:rPr>
                      </w:pPr>
                      <w:r w:rsidRPr="00903AD1">
                        <w:rPr>
                          <w:rFonts w:ascii="Simplified Arabic" w:hAnsi="Simplified Arabic" w:cs="Simplified Arabic"/>
                          <w:b/>
                          <w:bCs/>
                          <w:color w:val="000000" w:themeColor="text1"/>
                          <w:sz w:val="32"/>
                          <w:szCs w:val="32"/>
                          <w:rtl/>
                          <w:lang w:bidi="ar-DZ"/>
                        </w:rPr>
                        <w:t xml:space="preserve">الجزء </w:t>
                      </w:r>
                      <w:r>
                        <w:rPr>
                          <w:rFonts w:ascii="Simplified Arabic" w:hAnsi="Simplified Arabic" w:cs="Simplified Arabic" w:hint="cs"/>
                          <w:b/>
                          <w:bCs/>
                          <w:color w:val="000000" w:themeColor="text1"/>
                          <w:sz w:val="32"/>
                          <w:szCs w:val="32"/>
                          <w:rtl/>
                          <w:lang w:bidi="ar-DZ"/>
                        </w:rPr>
                        <w:t>الثالث</w:t>
                      </w:r>
                      <w:r w:rsidRPr="00903AD1">
                        <w:rPr>
                          <w:rFonts w:ascii="Simplified Arabic" w:hAnsi="Simplified Arabic" w:cs="Simplified Arabic"/>
                          <w:b/>
                          <w:bCs/>
                          <w:color w:val="000000" w:themeColor="text1"/>
                          <w:sz w:val="32"/>
                          <w:szCs w:val="32"/>
                          <w:rtl/>
                          <w:lang w:bidi="ar-DZ"/>
                        </w:rPr>
                        <w:t xml:space="preserve">: </w:t>
                      </w:r>
                      <w:r w:rsidRPr="00903AD1">
                        <w:rPr>
                          <w:rFonts w:ascii="Simplified Arabic" w:hAnsi="Simplified Arabic" w:cs="Simplified Arabic" w:hint="cs"/>
                          <w:b/>
                          <w:bCs/>
                          <w:color w:val="000000" w:themeColor="text1"/>
                          <w:sz w:val="32"/>
                          <w:szCs w:val="32"/>
                          <w:rtl/>
                          <w:lang w:bidi="ar-DZ"/>
                        </w:rPr>
                        <w:t xml:space="preserve">الاطار </w:t>
                      </w:r>
                      <w:r>
                        <w:rPr>
                          <w:rFonts w:ascii="Simplified Arabic" w:hAnsi="Simplified Arabic" w:cs="Simplified Arabic" w:hint="cs"/>
                          <w:b/>
                          <w:bCs/>
                          <w:color w:val="000000" w:themeColor="text1"/>
                          <w:sz w:val="32"/>
                          <w:szCs w:val="32"/>
                          <w:rtl/>
                          <w:lang w:bidi="ar-DZ"/>
                        </w:rPr>
                        <w:t>التطبيق</w:t>
                      </w:r>
                      <w:r w:rsidRPr="00903AD1">
                        <w:rPr>
                          <w:rFonts w:ascii="Simplified Arabic" w:hAnsi="Simplified Arabic" w:cs="Simplified Arabic" w:hint="cs"/>
                          <w:b/>
                          <w:bCs/>
                          <w:color w:val="000000" w:themeColor="text1"/>
                          <w:sz w:val="32"/>
                          <w:szCs w:val="32"/>
                          <w:rtl/>
                          <w:lang w:bidi="ar-DZ"/>
                        </w:rPr>
                        <w:t xml:space="preserve">ي </w:t>
                      </w:r>
                      <w:r>
                        <w:rPr>
                          <w:rFonts w:ascii="Simplified Arabic" w:hAnsi="Simplified Arabic" w:cs="Simplified Arabic" w:hint="cs"/>
                          <w:b/>
                          <w:bCs/>
                          <w:color w:val="000000" w:themeColor="text1"/>
                          <w:sz w:val="32"/>
                          <w:szCs w:val="32"/>
                          <w:rtl/>
                          <w:lang w:bidi="ar-DZ"/>
                        </w:rPr>
                        <w:t>للبحث</w:t>
                      </w:r>
                    </w:p>
                    <w:p w:rsidR="00D13702" w:rsidRPr="009113F2" w:rsidRDefault="00D13702" w:rsidP="005A7CE7">
                      <w:pPr>
                        <w:jc w:val="center"/>
                      </w:pPr>
                    </w:p>
                  </w:txbxContent>
                </v:textbox>
              </v:rect>
            </w:pict>
          </mc:Fallback>
        </mc:AlternateConten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p>
    <w:p w:rsidR="005A7CE7" w:rsidRDefault="007D0E03" w:rsidP="005A7CE7">
      <w:pPr>
        <w:tabs>
          <w:tab w:val="right" w:pos="281"/>
        </w:tabs>
        <w:bidi/>
        <w:spacing w:after="0"/>
        <w:jc w:val="center"/>
        <w:rPr>
          <w:rFonts w:ascii="Simplified Arabic" w:hAnsi="Simplified Arabic" w:cs="Simplified Arabic"/>
          <w:b/>
          <w:bCs/>
          <w:sz w:val="24"/>
          <w:szCs w:val="24"/>
          <w:rtl/>
          <w:lang w:val="en-US" w:bidi="ar-DZ"/>
        </w:rPr>
      </w:pPr>
      <w:r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0032" behindDoc="0" locked="0" layoutInCell="1" allowOverlap="1" wp14:anchorId="68E4BB31" wp14:editId="29EE3F10">
                <wp:simplePos x="0" y="0"/>
                <wp:positionH relativeFrom="column">
                  <wp:posOffset>2918460</wp:posOffset>
                </wp:positionH>
                <wp:positionV relativeFrom="paragraph">
                  <wp:posOffset>185089</wp:posOffset>
                </wp:positionV>
                <wp:extent cx="0" cy="303149"/>
                <wp:effectExtent l="95250" t="0" r="57150" b="59055"/>
                <wp:wrapNone/>
                <wp:docPr id="33" name="Connecteur droit avec flèche 33"/>
                <wp:cNvGraphicFramePr/>
                <a:graphic xmlns:a="http://schemas.openxmlformats.org/drawingml/2006/main">
                  <a:graphicData uri="http://schemas.microsoft.com/office/word/2010/wordprocessingShape">
                    <wps:wsp>
                      <wps:cNvCnPr/>
                      <wps:spPr>
                        <a:xfrm>
                          <a:off x="0" y="0"/>
                          <a:ext cx="0" cy="303149"/>
                        </a:xfrm>
                        <a:prstGeom prst="straightConnector1">
                          <a:avLst/>
                        </a:prstGeom>
                        <a:ln w="63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Connecteur droit avec flèche 33" o:spid="_x0000_s1026" type="#_x0000_t32" style="position:absolute;margin-left:229.8pt;margin-top:14.55pt;width:0;height:23.85pt;z-index:25182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" strokecolor="black [3213]" strokeweight=".5pt">
                <v:stroke endarrow="open"/>
              </v:shape>
            </w:pict>
          </mc:Fallback>
        </mc:AlternateContent>
      </w:r>
    </w:p>
    <w:p w:rsidR="005A7CE7" w:rsidRDefault="005D50CE" w:rsidP="005A7CE7">
      <w:pPr>
        <w:tabs>
          <w:tab w:val="right" w:pos="281"/>
        </w:tabs>
        <w:bidi/>
        <w:spacing w:after="0"/>
        <w:jc w:val="center"/>
        <w:rPr>
          <w:rFonts w:ascii="Simplified Arabic" w:hAnsi="Simplified Arabic" w:cs="Simplified Arabic"/>
          <w:b/>
          <w:bCs/>
          <w:sz w:val="24"/>
          <w:szCs w:val="24"/>
          <w:rtl/>
          <w:lang w:val="en-US" w:bidi="ar-DZ"/>
        </w:rPr>
      </w:pPr>
      <w:r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2080" behindDoc="0" locked="0" layoutInCell="1" allowOverlap="1" wp14:anchorId="33F610BF" wp14:editId="01ED3141">
                <wp:simplePos x="0" y="0"/>
                <wp:positionH relativeFrom="column">
                  <wp:posOffset>30408</wp:posOffset>
                </wp:positionH>
                <wp:positionV relativeFrom="paragraph">
                  <wp:posOffset>196922</wp:posOffset>
                </wp:positionV>
                <wp:extent cx="1913531" cy="854710"/>
                <wp:effectExtent l="0" t="0" r="10795" b="21590"/>
                <wp:wrapNone/>
                <wp:docPr id="35" name="Rectangle 35"/>
                <wp:cNvGraphicFramePr/>
                <a:graphic xmlns:a="http://schemas.openxmlformats.org/drawingml/2006/main">
                  <a:graphicData uri="http://schemas.microsoft.com/office/word/2010/wordprocessingShape">
                    <wps:wsp>
                      <wps:cNvSpPr/>
                      <wps:spPr>
                        <a:xfrm>
                          <a:off x="0" y="0"/>
                          <a:ext cx="1913531" cy="854710"/>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C86931" w:rsidRDefault="00D13702" w:rsidP="005D50CE">
                            <w:pPr>
                              <w:bidi/>
                              <w:spacing w:after="0" w:line="240" w:lineRule="auto"/>
                              <w:jc w:val="center"/>
                              <w:rPr>
                                <w:color w:val="000000" w:themeColor="text1"/>
                                <w:sz w:val="24"/>
                                <w:szCs w:val="24"/>
                              </w:rPr>
                            </w:pPr>
                            <w:r w:rsidRPr="00C86931">
                              <w:rPr>
                                <w:rFonts w:ascii="Simplified Arabic" w:hAnsi="Simplified Arabic" w:cs="Simplified Arabic"/>
                                <w:b/>
                                <w:bCs/>
                                <w:color w:val="000000" w:themeColor="text1"/>
                                <w:sz w:val="24"/>
                                <w:szCs w:val="24"/>
                                <w:rtl/>
                                <w:lang w:bidi="ar-DZ"/>
                              </w:rPr>
                              <w:t xml:space="preserve">الفصل </w:t>
                            </w:r>
                            <w:r w:rsidRPr="00C86931">
                              <w:rPr>
                                <w:rFonts w:ascii="Simplified Arabic" w:hAnsi="Simplified Arabic" w:cs="Simplified Arabic" w:hint="cs"/>
                                <w:b/>
                                <w:bCs/>
                                <w:color w:val="000000" w:themeColor="text1"/>
                                <w:sz w:val="24"/>
                                <w:szCs w:val="24"/>
                                <w:rtl/>
                                <w:lang w:bidi="ar-DZ"/>
                              </w:rPr>
                              <w:t>6</w:t>
                            </w:r>
                            <w:r w:rsidRPr="00C86931">
                              <w:rPr>
                                <w:rFonts w:ascii="Simplified Arabic" w:hAnsi="Simplified Arabic" w:cs="Simplified Arabic"/>
                                <w:b/>
                                <w:bCs/>
                                <w:color w:val="000000" w:themeColor="text1"/>
                                <w:sz w:val="24"/>
                                <w:szCs w:val="24"/>
                                <w:rtl/>
                                <w:lang w:bidi="ar-DZ"/>
                              </w:rPr>
                              <w:t xml:space="preserve">: </w:t>
                            </w:r>
                            <w:r w:rsidRPr="00C86931">
                              <w:rPr>
                                <w:rFonts w:ascii="Simplified Arabic" w:hAnsi="Simplified Arabic" w:cs="Simplified Arabic" w:hint="cs"/>
                                <w:b/>
                                <w:bCs/>
                                <w:color w:val="000000" w:themeColor="text1"/>
                                <w:sz w:val="24"/>
                                <w:szCs w:val="24"/>
                                <w:rtl/>
                                <w:lang w:val="en-US" w:bidi="ar-DZ"/>
                              </w:rPr>
                              <w:t>تقييم توافر سمات المرونة المكانية عبر</w:t>
                            </w:r>
                            <w:r>
                              <w:rPr>
                                <w:rFonts w:ascii="Simplified Arabic" w:hAnsi="Simplified Arabic" w:cs="Simplified Arabic" w:hint="cs"/>
                                <w:b/>
                                <w:bCs/>
                                <w:color w:val="000000" w:themeColor="text1"/>
                                <w:sz w:val="24"/>
                                <w:szCs w:val="24"/>
                                <w:rtl/>
                                <w:lang w:val="en-US" w:bidi="ar-DZ"/>
                              </w:rPr>
                              <w:t xml:space="preserve"> احياء</w:t>
                            </w:r>
                            <w:r w:rsidRPr="00C86931">
                              <w:rPr>
                                <w:rFonts w:ascii="Simplified Arabic" w:hAnsi="Simplified Arabic" w:cs="Simplified Arabic" w:hint="cs"/>
                                <w:b/>
                                <w:bCs/>
                                <w:color w:val="000000" w:themeColor="text1"/>
                                <w:sz w:val="24"/>
                                <w:szCs w:val="24"/>
                                <w:rtl/>
                                <w:lang w:val="en-US" w:bidi="ar-DZ"/>
                              </w:rPr>
                              <w:t xml:space="preserve"> فئات الانسجة الحضرية لمدينة بوسعادة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5" o:spid="_x0000_s1042" style="position:absolute;left:0;text-align:left;margin-left:2.4pt;margin-top:15.5pt;width:150.65pt;height:67.3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" filled="f" strokecolor="black [3213]" strokeweight=".5pt">
                <v:textbox>
                  <w:txbxContent>
                    <w:p w:rsidR="00D13702" w:rsidRPr="00C86931" w:rsidRDefault="00D13702" w:rsidP="005D50CE">
                      <w:pPr>
                        <w:bidi/>
                        <w:spacing w:after="0" w:line="240" w:lineRule="auto"/>
                        <w:jc w:val="center"/>
                        <w:rPr>
                          <w:color w:val="000000" w:themeColor="text1"/>
                          <w:sz w:val="24"/>
                          <w:szCs w:val="24"/>
                        </w:rPr>
                      </w:pPr>
                      <w:r w:rsidRPr="00C86931">
                        <w:rPr>
                          <w:rFonts w:ascii="Simplified Arabic" w:hAnsi="Simplified Arabic" w:cs="Simplified Arabic"/>
                          <w:b/>
                          <w:bCs/>
                          <w:color w:val="000000" w:themeColor="text1"/>
                          <w:sz w:val="24"/>
                          <w:szCs w:val="24"/>
                          <w:rtl/>
                          <w:lang w:bidi="ar-DZ"/>
                        </w:rPr>
                        <w:t xml:space="preserve">الفصل </w:t>
                      </w:r>
                      <w:r w:rsidRPr="00C86931">
                        <w:rPr>
                          <w:rFonts w:ascii="Simplified Arabic" w:hAnsi="Simplified Arabic" w:cs="Simplified Arabic" w:hint="cs"/>
                          <w:b/>
                          <w:bCs/>
                          <w:color w:val="000000" w:themeColor="text1"/>
                          <w:sz w:val="24"/>
                          <w:szCs w:val="24"/>
                          <w:rtl/>
                          <w:lang w:bidi="ar-DZ"/>
                        </w:rPr>
                        <w:t>6</w:t>
                      </w:r>
                      <w:r w:rsidRPr="00C86931">
                        <w:rPr>
                          <w:rFonts w:ascii="Simplified Arabic" w:hAnsi="Simplified Arabic" w:cs="Simplified Arabic"/>
                          <w:b/>
                          <w:bCs/>
                          <w:color w:val="000000" w:themeColor="text1"/>
                          <w:sz w:val="24"/>
                          <w:szCs w:val="24"/>
                          <w:rtl/>
                          <w:lang w:bidi="ar-DZ"/>
                        </w:rPr>
                        <w:t xml:space="preserve">: </w:t>
                      </w:r>
                      <w:r w:rsidRPr="00C86931">
                        <w:rPr>
                          <w:rFonts w:ascii="Simplified Arabic" w:hAnsi="Simplified Arabic" w:cs="Simplified Arabic" w:hint="cs"/>
                          <w:b/>
                          <w:bCs/>
                          <w:color w:val="000000" w:themeColor="text1"/>
                          <w:sz w:val="24"/>
                          <w:szCs w:val="24"/>
                          <w:rtl/>
                          <w:lang w:val="en-US" w:bidi="ar-DZ"/>
                        </w:rPr>
                        <w:t>تقييم توافر سمات المرونة المكانية عبر</w:t>
                      </w:r>
                      <w:r>
                        <w:rPr>
                          <w:rFonts w:ascii="Simplified Arabic" w:hAnsi="Simplified Arabic" w:cs="Simplified Arabic" w:hint="cs"/>
                          <w:b/>
                          <w:bCs/>
                          <w:color w:val="000000" w:themeColor="text1"/>
                          <w:sz w:val="24"/>
                          <w:szCs w:val="24"/>
                          <w:rtl/>
                          <w:lang w:val="en-US" w:bidi="ar-DZ"/>
                        </w:rPr>
                        <w:t xml:space="preserve"> احياء</w:t>
                      </w:r>
                      <w:r w:rsidRPr="00C86931">
                        <w:rPr>
                          <w:rFonts w:ascii="Simplified Arabic" w:hAnsi="Simplified Arabic" w:cs="Simplified Arabic" w:hint="cs"/>
                          <w:b/>
                          <w:bCs/>
                          <w:color w:val="000000" w:themeColor="text1"/>
                          <w:sz w:val="24"/>
                          <w:szCs w:val="24"/>
                          <w:rtl/>
                          <w:lang w:val="en-US" w:bidi="ar-DZ"/>
                        </w:rPr>
                        <w:t xml:space="preserve"> فئات الانسجة الحضرية لمدينة بوسعادة</w:t>
                      </w:r>
                    </w:p>
                  </w:txbxContent>
                </v:textbox>
              </v:rect>
            </w:pict>
          </mc:Fallback>
        </mc:AlternateContent>
      </w:r>
      <w:r w:rsidR="00C86931"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1056" behindDoc="0" locked="0" layoutInCell="1" allowOverlap="1" wp14:anchorId="03873121" wp14:editId="74748066">
                <wp:simplePos x="0" y="0"/>
                <wp:positionH relativeFrom="column">
                  <wp:posOffset>2197735</wp:posOffset>
                </wp:positionH>
                <wp:positionV relativeFrom="paragraph">
                  <wp:posOffset>186690</wp:posOffset>
                </wp:positionV>
                <wp:extent cx="1410335" cy="864870"/>
                <wp:effectExtent l="0" t="0" r="18415" b="11430"/>
                <wp:wrapNone/>
                <wp:docPr id="34" name="Rectangle 34"/>
                <wp:cNvGraphicFramePr/>
                <a:graphic xmlns:a="http://schemas.openxmlformats.org/drawingml/2006/main">
                  <a:graphicData uri="http://schemas.microsoft.com/office/word/2010/wordprocessingShape">
                    <wps:wsp>
                      <wps:cNvSpPr/>
                      <wps:spPr>
                        <a:xfrm>
                          <a:off x="0" y="0"/>
                          <a:ext cx="1410335" cy="864870"/>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C86931" w:rsidRDefault="00D13702" w:rsidP="00C346C5">
                            <w:pPr>
                              <w:bidi/>
                              <w:spacing w:after="0" w:line="240" w:lineRule="auto"/>
                              <w:jc w:val="center"/>
                              <w:rPr>
                                <w:rFonts w:asciiTheme="minorBidi" w:hAnsiTheme="minorBidi" w:cs="Arial"/>
                                <w:b/>
                                <w:bCs/>
                                <w:color w:val="000000" w:themeColor="text1"/>
                                <w:sz w:val="24"/>
                                <w:szCs w:val="24"/>
                                <w:lang w:val="en-US"/>
                              </w:rPr>
                            </w:pPr>
                            <w:r w:rsidRPr="00C86931">
                              <w:rPr>
                                <w:rFonts w:ascii="Simplified Arabic" w:hAnsi="Simplified Arabic" w:cs="Simplified Arabic"/>
                                <w:b/>
                                <w:bCs/>
                                <w:color w:val="000000" w:themeColor="text1"/>
                                <w:sz w:val="24"/>
                                <w:szCs w:val="24"/>
                                <w:rtl/>
                                <w:lang w:bidi="ar-DZ"/>
                              </w:rPr>
                              <w:t xml:space="preserve">الفصل </w:t>
                            </w:r>
                            <w:r w:rsidRPr="00C86931">
                              <w:rPr>
                                <w:rFonts w:ascii="Simplified Arabic" w:hAnsi="Simplified Arabic" w:cs="Simplified Arabic" w:hint="cs"/>
                                <w:b/>
                                <w:bCs/>
                                <w:color w:val="000000" w:themeColor="text1"/>
                                <w:sz w:val="24"/>
                                <w:szCs w:val="24"/>
                                <w:rtl/>
                                <w:lang w:bidi="ar-DZ"/>
                              </w:rPr>
                              <w:t>5</w:t>
                            </w:r>
                            <w:r w:rsidRPr="00C86931">
                              <w:rPr>
                                <w:rFonts w:ascii="Simplified Arabic" w:hAnsi="Simplified Arabic" w:cs="Simplified Arabic"/>
                                <w:b/>
                                <w:bCs/>
                                <w:color w:val="000000" w:themeColor="text1"/>
                                <w:sz w:val="24"/>
                                <w:szCs w:val="24"/>
                                <w:rtl/>
                                <w:lang w:bidi="ar-DZ"/>
                              </w:rPr>
                              <w:t xml:space="preserve">: </w:t>
                            </w:r>
                            <w:r w:rsidRPr="00C86931">
                              <w:rPr>
                                <w:rFonts w:ascii="Simplified Arabic" w:hAnsi="Simplified Arabic" w:cs="Simplified Arabic" w:hint="cs"/>
                                <w:b/>
                                <w:bCs/>
                                <w:color w:val="000000" w:themeColor="text1"/>
                                <w:sz w:val="24"/>
                                <w:szCs w:val="24"/>
                                <w:rtl/>
                                <w:lang w:val="en-US"/>
                              </w:rPr>
                              <w:t>تنفيذ اطار عمل</w:t>
                            </w:r>
                            <w:r w:rsidRPr="00C86931">
                              <w:rPr>
                                <w:rFonts w:ascii="Simplified Arabic" w:hAnsi="Simplified Arabic" w:cs="Simplified Arabic"/>
                                <w:b/>
                                <w:bCs/>
                                <w:color w:val="000000" w:themeColor="text1"/>
                                <w:sz w:val="24"/>
                                <w:szCs w:val="24"/>
                                <w:rtl/>
                                <w:lang w:val="en-US"/>
                              </w:rPr>
                              <w:t xml:space="preserve"> </w:t>
                            </w:r>
                            <w:r w:rsidRPr="00C86931">
                              <w:rPr>
                                <w:rFonts w:ascii="Simplified Arabic" w:hAnsi="Simplified Arabic" w:cs="Simplified Arabic" w:hint="cs"/>
                                <w:b/>
                                <w:bCs/>
                                <w:color w:val="000000" w:themeColor="text1"/>
                                <w:sz w:val="24"/>
                                <w:szCs w:val="24"/>
                                <w:rtl/>
                                <w:lang w:val="en-US"/>
                              </w:rPr>
                              <w:t>تقييم</w:t>
                            </w:r>
                            <w:r w:rsidRPr="00C86931">
                              <w:rPr>
                                <w:rFonts w:ascii="Simplified Arabic" w:hAnsi="Simplified Arabic" w:cs="Simplified Arabic"/>
                                <w:b/>
                                <w:bCs/>
                                <w:color w:val="000000" w:themeColor="text1"/>
                                <w:sz w:val="24"/>
                                <w:szCs w:val="24"/>
                                <w:rtl/>
                                <w:lang w:val="en-US"/>
                              </w:rPr>
                              <w:t xml:space="preserve"> </w:t>
                            </w:r>
                            <w:r w:rsidRPr="00C86931">
                              <w:rPr>
                                <w:rFonts w:ascii="Simplified Arabic" w:hAnsi="Simplified Arabic" w:cs="Simplified Arabic" w:hint="cs"/>
                                <w:b/>
                                <w:bCs/>
                                <w:color w:val="000000" w:themeColor="text1"/>
                                <w:sz w:val="24"/>
                                <w:szCs w:val="24"/>
                                <w:rtl/>
                                <w:lang w:val="en-US"/>
                              </w:rPr>
                              <w:t>مرونة</w:t>
                            </w:r>
                            <w:r w:rsidRPr="00C86931">
                              <w:rPr>
                                <w:rFonts w:ascii="Simplified Arabic" w:hAnsi="Simplified Arabic" w:cs="Simplified Arabic"/>
                                <w:b/>
                                <w:bCs/>
                                <w:color w:val="000000" w:themeColor="text1"/>
                                <w:sz w:val="24"/>
                                <w:szCs w:val="24"/>
                                <w:rtl/>
                                <w:lang w:val="en-US"/>
                              </w:rPr>
                              <w:t xml:space="preserve"> </w:t>
                            </w:r>
                            <w:r w:rsidRPr="00C86931">
                              <w:rPr>
                                <w:rFonts w:ascii="Simplified Arabic" w:hAnsi="Simplified Arabic" w:cs="Simplified Arabic" w:hint="cs"/>
                                <w:b/>
                                <w:bCs/>
                                <w:color w:val="000000" w:themeColor="text1"/>
                                <w:sz w:val="24"/>
                                <w:szCs w:val="24"/>
                                <w:rtl/>
                                <w:lang w:val="en-US"/>
                              </w:rPr>
                              <w:t xml:space="preserve">مدينة بوسعادة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4" o:spid="_x0000_s1043" style="position:absolute;left:0;text-align:left;margin-left:173.05pt;margin-top:14.7pt;width:111.05pt;height:68.1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" filled="f" strokecolor="black [3213]" strokeweight=".5pt">
                <v:textbox>
                  <w:txbxContent>
                    <w:p w:rsidR="00D13702" w:rsidRPr="00C86931" w:rsidRDefault="00D13702" w:rsidP="00C346C5">
                      <w:pPr>
                        <w:bidi/>
                        <w:spacing w:after="0" w:line="240" w:lineRule="auto"/>
                        <w:jc w:val="center"/>
                        <w:rPr>
                          <w:rFonts w:asciiTheme="minorBidi" w:hAnsiTheme="minorBidi" w:cs="Arial"/>
                          <w:b/>
                          <w:bCs/>
                          <w:color w:val="000000" w:themeColor="text1"/>
                          <w:sz w:val="24"/>
                          <w:szCs w:val="24"/>
                          <w:lang w:val="en-US"/>
                        </w:rPr>
                      </w:pPr>
                      <w:r w:rsidRPr="00C86931">
                        <w:rPr>
                          <w:rFonts w:ascii="Simplified Arabic" w:hAnsi="Simplified Arabic" w:cs="Simplified Arabic"/>
                          <w:b/>
                          <w:bCs/>
                          <w:color w:val="000000" w:themeColor="text1"/>
                          <w:sz w:val="24"/>
                          <w:szCs w:val="24"/>
                          <w:rtl/>
                          <w:lang w:bidi="ar-DZ"/>
                        </w:rPr>
                        <w:t xml:space="preserve">الفصل </w:t>
                      </w:r>
                      <w:r w:rsidRPr="00C86931">
                        <w:rPr>
                          <w:rFonts w:ascii="Simplified Arabic" w:hAnsi="Simplified Arabic" w:cs="Simplified Arabic" w:hint="cs"/>
                          <w:b/>
                          <w:bCs/>
                          <w:color w:val="000000" w:themeColor="text1"/>
                          <w:sz w:val="24"/>
                          <w:szCs w:val="24"/>
                          <w:rtl/>
                          <w:lang w:bidi="ar-DZ"/>
                        </w:rPr>
                        <w:t>5</w:t>
                      </w:r>
                      <w:r w:rsidRPr="00C86931">
                        <w:rPr>
                          <w:rFonts w:ascii="Simplified Arabic" w:hAnsi="Simplified Arabic" w:cs="Simplified Arabic"/>
                          <w:b/>
                          <w:bCs/>
                          <w:color w:val="000000" w:themeColor="text1"/>
                          <w:sz w:val="24"/>
                          <w:szCs w:val="24"/>
                          <w:rtl/>
                          <w:lang w:bidi="ar-DZ"/>
                        </w:rPr>
                        <w:t xml:space="preserve">: </w:t>
                      </w:r>
                      <w:r w:rsidRPr="00C86931">
                        <w:rPr>
                          <w:rFonts w:ascii="Simplified Arabic" w:hAnsi="Simplified Arabic" w:cs="Simplified Arabic" w:hint="cs"/>
                          <w:b/>
                          <w:bCs/>
                          <w:color w:val="000000" w:themeColor="text1"/>
                          <w:sz w:val="24"/>
                          <w:szCs w:val="24"/>
                          <w:rtl/>
                          <w:lang w:val="en-US"/>
                        </w:rPr>
                        <w:t>تنفيذ اطار عمل</w:t>
                      </w:r>
                      <w:r w:rsidRPr="00C86931">
                        <w:rPr>
                          <w:rFonts w:ascii="Simplified Arabic" w:hAnsi="Simplified Arabic" w:cs="Simplified Arabic"/>
                          <w:b/>
                          <w:bCs/>
                          <w:color w:val="000000" w:themeColor="text1"/>
                          <w:sz w:val="24"/>
                          <w:szCs w:val="24"/>
                          <w:rtl/>
                          <w:lang w:val="en-US"/>
                        </w:rPr>
                        <w:t xml:space="preserve"> </w:t>
                      </w:r>
                      <w:r w:rsidRPr="00C86931">
                        <w:rPr>
                          <w:rFonts w:ascii="Simplified Arabic" w:hAnsi="Simplified Arabic" w:cs="Simplified Arabic" w:hint="cs"/>
                          <w:b/>
                          <w:bCs/>
                          <w:color w:val="000000" w:themeColor="text1"/>
                          <w:sz w:val="24"/>
                          <w:szCs w:val="24"/>
                          <w:rtl/>
                          <w:lang w:val="en-US"/>
                        </w:rPr>
                        <w:t>تقييم</w:t>
                      </w:r>
                      <w:r w:rsidRPr="00C86931">
                        <w:rPr>
                          <w:rFonts w:ascii="Simplified Arabic" w:hAnsi="Simplified Arabic" w:cs="Simplified Arabic"/>
                          <w:b/>
                          <w:bCs/>
                          <w:color w:val="000000" w:themeColor="text1"/>
                          <w:sz w:val="24"/>
                          <w:szCs w:val="24"/>
                          <w:rtl/>
                          <w:lang w:val="en-US"/>
                        </w:rPr>
                        <w:t xml:space="preserve"> </w:t>
                      </w:r>
                      <w:r w:rsidRPr="00C86931">
                        <w:rPr>
                          <w:rFonts w:ascii="Simplified Arabic" w:hAnsi="Simplified Arabic" w:cs="Simplified Arabic" w:hint="cs"/>
                          <w:b/>
                          <w:bCs/>
                          <w:color w:val="000000" w:themeColor="text1"/>
                          <w:sz w:val="24"/>
                          <w:szCs w:val="24"/>
                          <w:rtl/>
                          <w:lang w:val="en-US"/>
                        </w:rPr>
                        <w:t>مرونة</w:t>
                      </w:r>
                      <w:r w:rsidRPr="00C86931">
                        <w:rPr>
                          <w:rFonts w:ascii="Simplified Arabic" w:hAnsi="Simplified Arabic" w:cs="Simplified Arabic"/>
                          <w:b/>
                          <w:bCs/>
                          <w:color w:val="000000" w:themeColor="text1"/>
                          <w:sz w:val="24"/>
                          <w:szCs w:val="24"/>
                          <w:rtl/>
                          <w:lang w:val="en-US"/>
                        </w:rPr>
                        <w:t xml:space="preserve"> </w:t>
                      </w:r>
                      <w:r w:rsidRPr="00C86931">
                        <w:rPr>
                          <w:rFonts w:ascii="Simplified Arabic" w:hAnsi="Simplified Arabic" w:cs="Simplified Arabic" w:hint="cs"/>
                          <w:b/>
                          <w:bCs/>
                          <w:color w:val="000000" w:themeColor="text1"/>
                          <w:sz w:val="24"/>
                          <w:szCs w:val="24"/>
                          <w:rtl/>
                          <w:lang w:val="en-US"/>
                        </w:rPr>
                        <w:t xml:space="preserve">مدينة بوسعادة </w:t>
                      </w:r>
                    </w:p>
                  </w:txbxContent>
                </v:textbox>
              </v:rect>
            </w:pict>
          </mc:Fallback>
        </mc:AlternateContent>
      </w:r>
      <w:r w:rsidR="00C86931"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19008" behindDoc="0" locked="0" layoutInCell="1" allowOverlap="1" wp14:anchorId="346ECFD8" wp14:editId="1A285355">
                <wp:simplePos x="0" y="0"/>
                <wp:positionH relativeFrom="column">
                  <wp:posOffset>3787775</wp:posOffset>
                </wp:positionH>
                <wp:positionV relativeFrom="paragraph">
                  <wp:posOffset>179705</wp:posOffset>
                </wp:positionV>
                <wp:extent cx="1877060" cy="873760"/>
                <wp:effectExtent l="0" t="0" r="27940" b="21590"/>
                <wp:wrapNone/>
                <wp:docPr id="32" name="Rectangle 32"/>
                <wp:cNvGraphicFramePr/>
                <a:graphic xmlns:a="http://schemas.openxmlformats.org/drawingml/2006/main">
                  <a:graphicData uri="http://schemas.microsoft.com/office/word/2010/wordprocessingShape">
                    <wps:wsp>
                      <wps:cNvSpPr/>
                      <wps:spPr>
                        <a:xfrm>
                          <a:off x="0" y="0"/>
                          <a:ext cx="1877060" cy="873760"/>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BB4E96" w:rsidRDefault="00D13702" w:rsidP="00BB4E96">
                            <w:pPr>
                              <w:bidi/>
                              <w:spacing w:after="0" w:line="240" w:lineRule="auto"/>
                              <w:jc w:val="center"/>
                              <w:rPr>
                                <w:rFonts w:ascii="Simplified Arabic" w:hAnsi="Simplified Arabic" w:cs="Simplified Arabic"/>
                                <w:b/>
                                <w:bCs/>
                                <w:color w:val="000000" w:themeColor="text1"/>
                                <w:sz w:val="24"/>
                                <w:szCs w:val="24"/>
                                <w:rtl/>
                                <w:lang w:val="en-US" w:bidi="ar-DZ"/>
                              </w:rPr>
                            </w:pPr>
                            <w:r w:rsidRPr="00BB4E96">
                              <w:rPr>
                                <w:rFonts w:ascii="Simplified Arabic" w:hAnsi="Simplified Arabic" w:cs="Simplified Arabic"/>
                                <w:b/>
                                <w:bCs/>
                                <w:color w:val="000000" w:themeColor="text1"/>
                                <w:sz w:val="20"/>
                                <w:szCs w:val="20"/>
                                <w:rtl/>
                                <w:lang w:bidi="ar-DZ"/>
                              </w:rPr>
                              <w:t xml:space="preserve">الفصل </w:t>
                            </w:r>
                            <w:r w:rsidRPr="00BB4E96">
                              <w:rPr>
                                <w:rFonts w:ascii="Simplified Arabic" w:hAnsi="Simplified Arabic" w:cs="Simplified Arabic" w:hint="cs"/>
                                <w:b/>
                                <w:bCs/>
                                <w:color w:val="000000" w:themeColor="text1"/>
                                <w:sz w:val="20"/>
                                <w:szCs w:val="20"/>
                                <w:rtl/>
                                <w:lang w:bidi="ar-DZ"/>
                              </w:rPr>
                              <w:t>4</w:t>
                            </w:r>
                            <w:r w:rsidRPr="00BB4E96">
                              <w:rPr>
                                <w:rFonts w:ascii="Simplified Arabic" w:hAnsi="Simplified Arabic" w:cs="Simplified Arabic"/>
                                <w:b/>
                                <w:bCs/>
                                <w:color w:val="000000" w:themeColor="text1"/>
                                <w:sz w:val="20"/>
                                <w:szCs w:val="20"/>
                                <w:rtl/>
                                <w:lang w:bidi="ar-DZ"/>
                              </w:rPr>
                              <w:t xml:space="preserve">: </w:t>
                            </w:r>
                            <w:r w:rsidRPr="00BB4E96">
                              <w:rPr>
                                <w:rFonts w:ascii="Simplified Arabic" w:hAnsi="Simplified Arabic" w:cs="Simplified Arabic" w:hint="cs"/>
                                <w:b/>
                                <w:bCs/>
                                <w:color w:val="000000" w:themeColor="text1"/>
                                <w:sz w:val="24"/>
                                <w:szCs w:val="24"/>
                                <w:rtl/>
                                <w:lang w:val="en-US" w:bidi="ar-DZ"/>
                              </w:rPr>
                              <w:t xml:space="preserve">علاقة </w:t>
                            </w:r>
                            <w:r w:rsidRPr="00BB4E96">
                              <w:rPr>
                                <w:rFonts w:ascii="Simplified Arabic" w:hAnsi="Simplified Arabic" w:cs="Simplified Arabic" w:hint="cs"/>
                                <w:b/>
                                <w:bCs/>
                                <w:color w:val="000000" w:themeColor="text1"/>
                                <w:sz w:val="24"/>
                                <w:szCs w:val="24"/>
                                <w:rtl/>
                              </w:rPr>
                              <w:t xml:space="preserve">استعمالات </w:t>
                            </w:r>
                            <w:r w:rsidRPr="00BB4E96">
                              <w:rPr>
                                <w:rFonts w:ascii="Simplified Arabic" w:hAnsi="Simplified Arabic" w:cs="Simplified Arabic" w:hint="cs"/>
                                <w:b/>
                                <w:bCs/>
                                <w:color w:val="000000" w:themeColor="text1"/>
                                <w:sz w:val="24"/>
                                <w:szCs w:val="24"/>
                                <w:rtl/>
                                <w:lang w:bidi="ar-DZ"/>
                              </w:rPr>
                              <w:t xml:space="preserve">الاراضي </w:t>
                            </w:r>
                            <w:r w:rsidRPr="00BB4E96">
                              <w:rPr>
                                <w:rFonts w:ascii="Simplified Arabic" w:hAnsi="Simplified Arabic" w:cs="Simplified Arabic" w:hint="cs"/>
                                <w:b/>
                                <w:bCs/>
                                <w:color w:val="000000" w:themeColor="text1"/>
                                <w:sz w:val="24"/>
                                <w:szCs w:val="24"/>
                                <w:rtl/>
                                <w:lang w:val="en-US" w:bidi="ar-DZ"/>
                              </w:rPr>
                              <w:t xml:space="preserve">الحضرية </w:t>
                            </w:r>
                            <w:r>
                              <w:rPr>
                                <w:rFonts w:ascii="Simplified Arabic" w:hAnsi="Simplified Arabic" w:cs="Simplified Arabic" w:hint="cs"/>
                                <w:b/>
                                <w:bCs/>
                                <w:color w:val="000000" w:themeColor="text1"/>
                                <w:sz w:val="24"/>
                                <w:szCs w:val="24"/>
                                <w:rtl/>
                                <w:lang w:val="en-US" w:bidi="ar-DZ"/>
                              </w:rPr>
                              <w:t>مع</w:t>
                            </w:r>
                            <w:r w:rsidRPr="00BB4E96">
                              <w:rPr>
                                <w:rFonts w:ascii="Simplified Arabic" w:hAnsi="Simplified Arabic" w:cs="Simplified Arabic" w:hint="cs"/>
                                <w:b/>
                                <w:bCs/>
                                <w:color w:val="000000" w:themeColor="text1"/>
                                <w:sz w:val="24"/>
                                <w:szCs w:val="24"/>
                                <w:rtl/>
                                <w:lang w:val="en-US" w:bidi="ar-DZ"/>
                              </w:rPr>
                              <w:t xml:space="preserve"> تكوين المرونة المكانية</w:t>
                            </w:r>
                          </w:p>
                          <w:p w:rsidR="00D13702" w:rsidRPr="00C86931" w:rsidRDefault="00D13702" w:rsidP="00C86931">
                            <w:pPr>
                              <w:bidi/>
                              <w:spacing w:after="0"/>
                              <w:jc w:val="center"/>
                              <w:rPr>
                                <w:rFonts w:ascii="Simplified Arabic" w:hAnsi="Simplified Arabic" w:cs="Simplified Arabic"/>
                                <w:b/>
                                <w:bCs/>
                                <w:color w:val="000000" w:themeColor="text1"/>
                                <w:sz w:val="24"/>
                                <w:szCs w:val="24"/>
                                <w:rtl/>
                                <w:lang w:val="en-US" w:bidi="ar-DZ"/>
                              </w:rPr>
                            </w:pPr>
                            <w:r w:rsidRPr="00C86931">
                              <w:rPr>
                                <w:rFonts w:ascii="Simplified Arabic" w:hAnsi="Simplified Arabic" w:cs="Simplified Arabic" w:hint="cs"/>
                                <w:b/>
                                <w:bCs/>
                                <w:color w:val="000000" w:themeColor="text1"/>
                                <w:rtl/>
                                <w:lang w:val="en-US" w:bidi="ar-DZ"/>
                              </w:rPr>
                              <w:t>- مدينة</w:t>
                            </w:r>
                            <w:r w:rsidRPr="00C86931">
                              <w:rPr>
                                <w:rFonts w:ascii="Simplified Arabic" w:hAnsi="Simplified Arabic" w:cs="Simplified Arabic"/>
                                <w:b/>
                                <w:bCs/>
                                <w:color w:val="000000" w:themeColor="text1"/>
                                <w:rtl/>
                                <w:lang w:val="en-US" w:bidi="ar-DZ"/>
                              </w:rPr>
                              <w:t xml:space="preserve"> </w:t>
                            </w:r>
                            <w:r w:rsidRPr="00C86931">
                              <w:rPr>
                                <w:rFonts w:ascii="Simplified Arabic" w:hAnsi="Simplified Arabic" w:cs="Simplified Arabic" w:hint="cs"/>
                                <w:b/>
                                <w:bCs/>
                                <w:color w:val="000000" w:themeColor="text1"/>
                                <w:rtl/>
                                <w:lang w:val="en-US" w:bidi="ar-DZ"/>
                              </w:rPr>
                              <w:t>بوسعادة بين الت</w:t>
                            </w:r>
                            <w:r w:rsidRPr="00C86931">
                              <w:rPr>
                                <w:rFonts w:ascii="Simplified Arabic" w:hAnsi="Simplified Arabic" w:cs="Simplified Arabic" w:hint="cs"/>
                                <w:b/>
                                <w:bCs/>
                                <w:color w:val="000000" w:themeColor="text1"/>
                                <w:rtl/>
                                <w:lang w:bidi="ar-DZ"/>
                              </w:rPr>
                              <w:t>نوع</w:t>
                            </w:r>
                            <w:r w:rsidRPr="00C86931">
                              <w:rPr>
                                <w:rFonts w:ascii="Simplified Arabic" w:hAnsi="Simplified Arabic" w:cs="Simplified Arabic" w:hint="cs"/>
                                <w:b/>
                                <w:bCs/>
                                <w:color w:val="000000" w:themeColor="text1"/>
                                <w:rtl/>
                                <w:lang w:val="en-US" w:bidi="ar-DZ"/>
                              </w:rPr>
                              <w:t xml:space="preserve"> والتكرار-</w:t>
                            </w:r>
                            <w:r w:rsidRPr="00C86931">
                              <w:rPr>
                                <w:rFonts w:ascii="Simplified Arabic" w:hAnsi="Simplified Arabic" w:cs="Simplified Arabic" w:hint="cs"/>
                                <w:b/>
                                <w:bCs/>
                                <w:color w:val="000000" w:themeColor="text1"/>
                                <w:sz w:val="24"/>
                                <w:szCs w:val="24"/>
                                <w:rtl/>
                                <w:lang w:val="en-US" w:bidi="ar-DZ"/>
                              </w:rPr>
                              <w:t xml:space="preserve"> </w:t>
                            </w:r>
                          </w:p>
                          <w:p w:rsidR="00D13702" w:rsidRPr="004F628D" w:rsidRDefault="00D13702" w:rsidP="006637F1">
                            <w:pPr>
                              <w:bidi/>
                              <w:spacing w:after="0"/>
                              <w:jc w:val="center"/>
                              <w:rPr>
                                <w:color w:val="000000" w:themeColor="text1"/>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2" o:spid="_x0000_s1044" style="position:absolute;left:0;text-align:left;margin-left:298.25pt;margin-top:14.15pt;width:147.8pt;height:68.8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" filled="f" strokecolor="black [3213]" strokeweight=".5pt">
                <v:textbox>
                  <w:txbxContent>
                    <w:p w:rsidR="00D13702" w:rsidRPr="00BB4E96" w:rsidRDefault="00D13702" w:rsidP="00BB4E96">
                      <w:pPr>
                        <w:bidi/>
                        <w:spacing w:after="0" w:line="240" w:lineRule="auto"/>
                        <w:jc w:val="center"/>
                        <w:rPr>
                          <w:rFonts w:ascii="Simplified Arabic" w:hAnsi="Simplified Arabic" w:cs="Simplified Arabic"/>
                          <w:b/>
                          <w:bCs/>
                          <w:color w:val="000000" w:themeColor="text1"/>
                          <w:sz w:val="24"/>
                          <w:szCs w:val="24"/>
                          <w:rtl/>
                          <w:lang w:val="en-US" w:bidi="ar-DZ"/>
                        </w:rPr>
                      </w:pPr>
                      <w:r w:rsidRPr="00BB4E96">
                        <w:rPr>
                          <w:rFonts w:ascii="Simplified Arabic" w:hAnsi="Simplified Arabic" w:cs="Simplified Arabic"/>
                          <w:b/>
                          <w:bCs/>
                          <w:color w:val="000000" w:themeColor="text1"/>
                          <w:sz w:val="20"/>
                          <w:szCs w:val="20"/>
                          <w:rtl/>
                          <w:lang w:bidi="ar-DZ"/>
                        </w:rPr>
                        <w:t xml:space="preserve">الفصل </w:t>
                      </w:r>
                      <w:r w:rsidRPr="00BB4E96">
                        <w:rPr>
                          <w:rFonts w:ascii="Simplified Arabic" w:hAnsi="Simplified Arabic" w:cs="Simplified Arabic" w:hint="cs"/>
                          <w:b/>
                          <w:bCs/>
                          <w:color w:val="000000" w:themeColor="text1"/>
                          <w:sz w:val="20"/>
                          <w:szCs w:val="20"/>
                          <w:rtl/>
                          <w:lang w:bidi="ar-DZ"/>
                        </w:rPr>
                        <w:t>4</w:t>
                      </w:r>
                      <w:r w:rsidRPr="00BB4E96">
                        <w:rPr>
                          <w:rFonts w:ascii="Simplified Arabic" w:hAnsi="Simplified Arabic" w:cs="Simplified Arabic"/>
                          <w:b/>
                          <w:bCs/>
                          <w:color w:val="000000" w:themeColor="text1"/>
                          <w:sz w:val="20"/>
                          <w:szCs w:val="20"/>
                          <w:rtl/>
                          <w:lang w:bidi="ar-DZ"/>
                        </w:rPr>
                        <w:t xml:space="preserve">: </w:t>
                      </w:r>
                      <w:r w:rsidRPr="00BB4E96">
                        <w:rPr>
                          <w:rFonts w:ascii="Simplified Arabic" w:hAnsi="Simplified Arabic" w:cs="Simplified Arabic" w:hint="cs"/>
                          <w:b/>
                          <w:bCs/>
                          <w:color w:val="000000" w:themeColor="text1"/>
                          <w:sz w:val="24"/>
                          <w:szCs w:val="24"/>
                          <w:rtl/>
                          <w:lang w:val="en-US" w:bidi="ar-DZ"/>
                        </w:rPr>
                        <w:t xml:space="preserve">علاقة </w:t>
                      </w:r>
                      <w:r w:rsidRPr="00BB4E96">
                        <w:rPr>
                          <w:rFonts w:ascii="Simplified Arabic" w:hAnsi="Simplified Arabic" w:cs="Simplified Arabic" w:hint="cs"/>
                          <w:b/>
                          <w:bCs/>
                          <w:color w:val="000000" w:themeColor="text1"/>
                          <w:sz w:val="24"/>
                          <w:szCs w:val="24"/>
                          <w:rtl/>
                        </w:rPr>
                        <w:t xml:space="preserve">استعمالات </w:t>
                      </w:r>
                      <w:r w:rsidRPr="00BB4E96">
                        <w:rPr>
                          <w:rFonts w:ascii="Simplified Arabic" w:hAnsi="Simplified Arabic" w:cs="Simplified Arabic" w:hint="cs"/>
                          <w:b/>
                          <w:bCs/>
                          <w:color w:val="000000" w:themeColor="text1"/>
                          <w:sz w:val="24"/>
                          <w:szCs w:val="24"/>
                          <w:rtl/>
                          <w:lang w:bidi="ar-DZ"/>
                        </w:rPr>
                        <w:t xml:space="preserve">الاراضي </w:t>
                      </w:r>
                      <w:r w:rsidRPr="00BB4E96">
                        <w:rPr>
                          <w:rFonts w:ascii="Simplified Arabic" w:hAnsi="Simplified Arabic" w:cs="Simplified Arabic" w:hint="cs"/>
                          <w:b/>
                          <w:bCs/>
                          <w:color w:val="000000" w:themeColor="text1"/>
                          <w:sz w:val="24"/>
                          <w:szCs w:val="24"/>
                          <w:rtl/>
                          <w:lang w:val="en-US" w:bidi="ar-DZ"/>
                        </w:rPr>
                        <w:t xml:space="preserve">الحضرية </w:t>
                      </w:r>
                      <w:r>
                        <w:rPr>
                          <w:rFonts w:ascii="Simplified Arabic" w:hAnsi="Simplified Arabic" w:cs="Simplified Arabic" w:hint="cs"/>
                          <w:b/>
                          <w:bCs/>
                          <w:color w:val="000000" w:themeColor="text1"/>
                          <w:sz w:val="24"/>
                          <w:szCs w:val="24"/>
                          <w:rtl/>
                          <w:lang w:val="en-US" w:bidi="ar-DZ"/>
                        </w:rPr>
                        <w:t>مع</w:t>
                      </w:r>
                      <w:r w:rsidRPr="00BB4E96">
                        <w:rPr>
                          <w:rFonts w:ascii="Simplified Arabic" w:hAnsi="Simplified Arabic" w:cs="Simplified Arabic" w:hint="cs"/>
                          <w:b/>
                          <w:bCs/>
                          <w:color w:val="000000" w:themeColor="text1"/>
                          <w:sz w:val="24"/>
                          <w:szCs w:val="24"/>
                          <w:rtl/>
                          <w:lang w:val="en-US" w:bidi="ar-DZ"/>
                        </w:rPr>
                        <w:t xml:space="preserve"> تكوين المرونة المكانية</w:t>
                      </w:r>
                    </w:p>
                    <w:p w:rsidR="00D13702" w:rsidRPr="00C86931" w:rsidRDefault="00D13702" w:rsidP="00C86931">
                      <w:pPr>
                        <w:bidi/>
                        <w:spacing w:after="0"/>
                        <w:jc w:val="center"/>
                        <w:rPr>
                          <w:rFonts w:ascii="Simplified Arabic" w:hAnsi="Simplified Arabic" w:cs="Simplified Arabic"/>
                          <w:b/>
                          <w:bCs/>
                          <w:color w:val="000000" w:themeColor="text1"/>
                          <w:sz w:val="24"/>
                          <w:szCs w:val="24"/>
                          <w:rtl/>
                          <w:lang w:val="en-US" w:bidi="ar-DZ"/>
                        </w:rPr>
                      </w:pPr>
                      <w:r w:rsidRPr="00C86931">
                        <w:rPr>
                          <w:rFonts w:ascii="Simplified Arabic" w:hAnsi="Simplified Arabic" w:cs="Simplified Arabic" w:hint="cs"/>
                          <w:b/>
                          <w:bCs/>
                          <w:color w:val="000000" w:themeColor="text1"/>
                          <w:rtl/>
                          <w:lang w:val="en-US" w:bidi="ar-DZ"/>
                        </w:rPr>
                        <w:t>- مدينة</w:t>
                      </w:r>
                      <w:r w:rsidRPr="00C86931">
                        <w:rPr>
                          <w:rFonts w:ascii="Simplified Arabic" w:hAnsi="Simplified Arabic" w:cs="Simplified Arabic"/>
                          <w:b/>
                          <w:bCs/>
                          <w:color w:val="000000" w:themeColor="text1"/>
                          <w:rtl/>
                          <w:lang w:val="en-US" w:bidi="ar-DZ"/>
                        </w:rPr>
                        <w:t xml:space="preserve"> </w:t>
                      </w:r>
                      <w:r w:rsidRPr="00C86931">
                        <w:rPr>
                          <w:rFonts w:ascii="Simplified Arabic" w:hAnsi="Simplified Arabic" w:cs="Simplified Arabic" w:hint="cs"/>
                          <w:b/>
                          <w:bCs/>
                          <w:color w:val="000000" w:themeColor="text1"/>
                          <w:rtl/>
                          <w:lang w:val="en-US" w:bidi="ar-DZ"/>
                        </w:rPr>
                        <w:t>بوسعادة بين الت</w:t>
                      </w:r>
                      <w:r w:rsidRPr="00C86931">
                        <w:rPr>
                          <w:rFonts w:ascii="Simplified Arabic" w:hAnsi="Simplified Arabic" w:cs="Simplified Arabic" w:hint="cs"/>
                          <w:b/>
                          <w:bCs/>
                          <w:color w:val="000000" w:themeColor="text1"/>
                          <w:rtl/>
                          <w:lang w:bidi="ar-DZ"/>
                        </w:rPr>
                        <w:t>نوع</w:t>
                      </w:r>
                      <w:r w:rsidRPr="00C86931">
                        <w:rPr>
                          <w:rFonts w:ascii="Simplified Arabic" w:hAnsi="Simplified Arabic" w:cs="Simplified Arabic" w:hint="cs"/>
                          <w:b/>
                          <w:bCs/>
                          <w:color w:val="000000" w:themeColor="text1"/>
                          <w:rtl/>
                          <w:lang w:val="en-US" w:bidi="ar-DZ"/>
                        </w:rPr>
                        <w:t xml:space="preserve"> والتكرار-</w:t>
                      </w:r>
                      <w:r w:rsidRPr="00C86931">
                        <w:rPr>
                          <w:rFonts w:ascii="Simplified Arabic" w:hAnsi="Simplified Arabic" w:cs="Simplified Arabic" w:hint="cs"/>
                          <w:b/>
                          <w:bCs/>
                          <w:color w:val="000000" w:themeColor="text1"/>
                          <w:sz w:val="24"/>
                          <w:szCs w:val="24"/>
                          <w:rtl/>
                          <w:lang w:val="en-US" w:bidi="ar-DZ"/>
                        </w:rPr>
                        <w:t xml:space="preserve"> </w:t>
                      </w:r>
                    </w:p>
                    <w:p w:rsidR="00D13702" w:rsidRPr="004F628D" w:rsidRDefault="00D13702" w:rsidP="006637F1">
                      <w:pPr>
                        <w:bidi/>
                        <w:spacing w:after="0"/>
                        <w:jc w:val="center"/>
                        <w:rPr>
                          <w:color w:val="000000" w:themeColor="text1"/>
                          <w:lang w:bidi="ar-DZ"/>
                        </w:rPr>
                      </w:pPr>
                    </w:p>
                  </w:txbxContent>
                </v:textbox>
              </v:rect>
            </w:pict>
          </mc:Fallback>
        </mc:AlternateContent>
      </w: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p>
    <w:p w:rsidR="005A7CE7" w:rsidRDefault="005A7CE7" w:rsidP="005A7CE7">
      <w:pPr>
        <w:tabs>
          <w:tab w:val="right" w:pos="281"/>
        </w:tabs>
        <w:bidi/>
        <w:spacing w:after="0"/>
        <w:jc w:val="center"/>
        <w:rPr>
          <w:rFonts w:ascii="Simplified Arabic" w:hAnsi="Simplified Arabic" w:cs="Simplified Arabic"/>
          <w:b/>
          <w:bCs/>
          <w:sz w:val="24"/>
          <w:szCs w:val="24"/>
          <w:rtl/>
          <w:lang w:val="en-US" w:bidi="ar-DZ"/>
        </w:rPr>
      </w:pPr>
    </w:p>
    <w:p w:rsidR="005A7CE7" w:rsidRDefault="00CD2E33" w:rsidP="005A7CE7">
      <w:pPr>
        <w:tabs>
          <w:tab w:val="right" w:pos="281"/>
        </w:tabs>
        <w:bidi/>
        <w:spacing w:after="0"/>
        <w:jc w:val="center"/>
        <w:rPr>
          <w:rFonts w:ascii="Simplified Arabic" w:hAnsi="Simplified Arabic" w:cs="Simplified Arabic"/>
          <w:b/>
          <w:bCs/>
          <w:sz w:val="24"/>
          <w:szCs w:val="24"/>
          <w:rtl/>
          <w:lang w:val="en-US" w:bidi="ar-DZ"/>
        </w:rPr>
      </w:pPr>
      <w:r w:rsidRPr="002614C0">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8224" behindDoc="0" locked="0" layoutInCell="1" allowOverlap="1" wp14:anchorId="1811B0C2" wp14:editId="79B6C3E3">
                <wp:simplePos x="0" y="0"/>
                <wp:positionH relativeFrom="column">
                  <wp:posOffset>2893060</wp:posOffset>
                </wp:positionH>
                <wp:positionV relativeFrom="paragraph">
                  <wp:posOffset>173726</wp:posOffset>
                </wp:positionV>
                <wp:extent cx="0" cy="170883"/>
                <wp:effectExtent l="0" t="0" r="19050" b="19685"/>
                <wp:wrapNone/>
                <wp:docPr id="41" name="Connecteur droit avec flèche 41"/>
                <wp:cNvGraphicFramePr/>
                <a:graphic xmlns:a="http://schemas.openxmlformats.org/drawingml/2006/main">
                  <a:graphicData uri="http://schemas.microsoft.com/office/word/2010/wordprocessingShape">
                    <wps:wsp>
                      <wps:cNvCnPr/>
                      <wps:spPr>
                        <a:xfrm>
                          <a:off x="0" y="0"/>
                          <a:ext cx="0" cy="170883"/>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Connecteur droit avec flèche 41" o:spid="_x0000_s1026" type="#_x0000_t32" style="position:absolute;margin-left:227.8pt;margin-top:13.7pt;width:0;height:13.45pt;z-index:251828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" strokecolor="black [3213]" strokeweight=".5pt"/>
            </w:pict>
          </mc:Fallback>
        </mc:AlternateContent>
      </w:r>
      <w:r w:rsidR="00443405"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32320" behindDoc="0" locked="0" layoutInCell="1" allowOverlap="1" wp14:anchorId="7385CB41" wp14:editId="6ED37D1D">
                <wp:simplePos x="0" y="0"/>
                <wp:positionH relativeFrom="column">
                  <wp:posOffset>868045</wp:posOffset>
                </wp:positionH>
                <wp:positionV relativeFrom="paragraph">
                  <wp:posOffset>268521</wp:posOffset>
                </wp:positionV>
                <wp:extent cx="579755" cy="392015"/>
                <wp:effectExtent l="0" t="1270" r="28575" b="47625"/>
                <wp:wrapNone/>
                <wp:docPr id="51" name="Connecteur en angle 51"/>
                <wp:cNvGraphicFramePr/>
                <a:graphic xmlns:a="http://schemas.openxmlformats.org/drawingml/2006/main">
                  <a:graphicData uri="http://schemas.microsoft.com/office/word/2010/wordprocessingShape">
                    <wps:wsp>
                      <wps:cNvCnPr/>
                      <wps:spPr>
                        <a:xfrm rot="16200000" flipH="1">
                          <a:off x="0" y="0"/>
                          <a:ext cx="579755" cy="392015"/>
                        </a:xfrm>
                        <a:prstGeom prst="bentConnector3">
                          <a:avLst>
                            <a:gd name="adj1" fmla="val 102117"/>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en angle 51" o:spid="_x0000_s1026" type="#_x0000_t34" style="position:absolute;margin-left:68.35pt;margin-top:21.15pt;width:45.65pt;height:30.85pt;rotation:90;flip:x;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" adj="22057" strokecolor="black [3213]" strokeweight=".5pt"/>
            </w:pict>
          </mc:Fallback>
        </mc:AlternateContent>
      </w:r>
    </w:p>
    <w:p w:rsidR="005A7CE7" w:rsidRDefault="00CD2E33" w:rsidP="005A7CE7">
      <w:pPr>
        <w:tabs>
          <w:tab w:val="right" w:pos="281"/>
        </w:tabs>
        <w:bidi/>
        <w:spacing w:after="0"/>
        <w:jc w:val="center"/>
        <w:rPr>
          <w:rFonts w:ascii="Simplified Arabic" w:hAnsi="Simplified Arabic" w:cs="Simplified Arabic"/>
          <w:b/>
          <w:bCs/>
          <w:sz w:val="24"/>
          <w:szCs w:val="24"/>
          <w:rtl/>
          <w:lang w:val="en-US" w:bidi="ar-DZ"/>
        </w:rPr>
      </w:pPr>
      <w:r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29248" behindDoc="0" locked="0" layoutInCell="1" allowOverlap="1" wp14:anchorId="4273AF28" wp14:editId="6B13617A">
                <wp:simplePos x="0" y="0"/>
                <wp:positionH relativeFrom="column">
                  <wp:posOffset>1356360</wp:posOffset>
                </wp:positionH>
                <wp:positionV relativeFrom="paragraph">
                  <wp:posOffset>58420</wp:posOffset>
                </wp:positionV>
                <wp:extent cx="3098165" cy="600075"/>
                <wp:effectExtent l="0" t="0" r="26035" b="28575"/>
                <wp:wrapNone/>
                <wp:docPr id="46" name="Rectangle 46"/>
                <wp:cNvGraphicFramePr/>
                <a:graphic xmlns:a="http://schemas.openxmlformats.org/drawingml/2006/main">
                  <a:graphicData uri="http://schemas.microsoft.com/office/word/2010/wordprocessingShape">
                    <wps:wsp>
                      <wps:cNvSpPr/>
                      <wps:spPr>
                        <a:xfrm>
                          <a:off x="0" y="0"/>
                          <a:ext cx="3098165" cy="600075"/>
                        </a:xfrm>
                        <a:prstGeom prst="rect">
                          <a:avLst/>
                        </a:prstGeom>
                        <a:noFill/>
                        <a:ln w="6350">
                          <a:solidFill>
                            <a:schemeClr val="tx1"/>
                          </a:solidFill>
                          <a:tailEnd type="none"/>
                        </a:ln>
                      </wps:spPr>
                      <wps:style>
                        <a:lnRef idx="2">
                          <a:schemeClr val="accent1">
                            <a:shade val="50000"/>
                          </a:schemeClr>
                        </a:lnRef>
                        <a:fillRef idx="1">
                          <a:schemeClr val="accent1"/>
                        </a:fillRef>
                        <a:effectRef idx="0">
                          <a:schemeClr val="accent1"/>
                        </a:effectRef>
                        <a:fontRef idx="minor">
                          <a:schemeClr val="lt1"/>
                        </a:fontRef>
                      </wps:style>
                      <wps:txbx>
                        <w:txbxContent>
                          <w:p w:rsidR="00D13702" w:rsidRPr="00CF392B" w:rsidRDefault="00D13702" w:rsidP="00C86931">
                            <w:pPr>
                              <w:bidi/>
                              <w:spacing w:after="0" w:line="240" w:lineRule="auto"/>
                              <w:jc w:val="center"/>
                              <w:rPr>
                                <w:rFonts w:ascii="Simplified Arabic" w:hAnsi="Simplified Arabic" w:cs="Simplified Arabic"/>
                                <w:b/>
                                <w:bCs/>
                                <w:color w:val="000000" w:themeColor="text1"/>
                                <w:sz w:val="24"/>
                                <w:szCs w:val="24"/>
                                <w:rtl/>
                                <w:lang w:bidi="ar-DZ"/>
                              </w:rPr>
                            </w:pPr>
                            <w:r w:rsidRPr="00CF392B">
                              <w:rPr>
                                <w:rFonts w:ascii="Simplified Arabic" w:hAnsi="Simplified Arabic" w:cs="Simplified Arabic" w:hint="cs"/>
                                <w:b/>
                                <w:bCs/>
                                <w:color w:val="000000" w:themeColor="text1"/>
                                <w:sz w:val="24"/>
                                <w:szCs w:val="24"/>
                                <w:rtl/>
                                <w:lang w:bidi="ar-DZ"/>
                              </w:rPr>
                              <w:t>الخلاصة العامة</w:t>
                            </w:r>
                            <w:r w:rsidRPr="00CF392B">
                              <w:rPr>
                                <w:rFonts w:ascii="Simplified Arabic" w:hAnsi="Simplified Arabic" w:cs="Simplified Arabic"/>
                                <w:b/>
                                <w:bCs/>
                                <w:color w:val="000000" w:themeColor="text1"/>
                                <w:sz w:val="24"/>
                                <w:szCs w:val="24"/>
                                <w:rtl/>
                                <w:lang w:bidi="ar-DZ"/>
                              </w:rPr>
                              <w:t xml:space="preserve">: </w:t>
                            </w:r>
                          </w:p>
                          <w:p w:rsidR="00D13702" w:rsidRPr="005D50CE" w:rsidRDefault="00D13702" w:rsidP="00443405">
                            <w:pPr>
                              <w:bidi/>
                              <w:jc w:val="center"/>
                              <w:rPr>
                                <w:rFonts w:ascii="Simplified Arabic" w:hAnsi="Simplified Arabic" w:cs="Simplified Arabic"/>
                                <w:b/>
                                <w:bCs/>
                                <w:color w:val="000000" w:themeColor="text1"/>
                                <w:sz w:val="24"/>
                                <w:szCs w:val="24"/>
                                <w:rtl/>
                                <w:lang w:val="en-US" w:bidi="ar-DZ"/>
                              </w:rPr>
                            </w:pPr>
                            <w:r w:rsidRPr="005D50CE">
                              <w:rPr>
                                <w:rFonts w:ascii="Simplified Arabic" w:hAnsi="Simplified Arabic" w:cs="Simplified Arabic" w:hint="cs"/>
                                <w:b/>
                                <w:bCs/>
                                <w:color w:val="000000" w:themeColor="text1"/>
                                <w:sz w:val="24"/>
                                <w:szCs w:val="24"/>
                                <w:rtl/>
                                <w:lang w:val="en-US" w:bidi="ar-DZ"/>
                              </w:rPr>
                              <w:t>نتائج البحث، مبادئ تصميم، التوصيات، خاتمة البحث</w:t>
                            </w:r>
                          </w:p>
                          <w:p w:rsidR="00D13702" w:rsidRPr="00CF392B" w:rsidRDefault="00D13702" w:rsidP="005A7CE7">
                            <w:pPr>
                              <w:bidi/>
                              <w:spacing w:after="0"/>
                              <w:jc w:val="center"/>
                              <w:rPr>
                                <w:color w:val="000000" w:themeColor="text1"/>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6" o:spid="_x0000_s1045" style="position:absolute;left:0;text-align:left;margin-left:106.8pt;margin-top:4.6pt;width:243.95pt;height:47.2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" filled="f" strokecolor="black [3213]" strokeweight=".5pt">
                <v:textbox>
                  <w:txbxContent>
                    <w:p w:rsidR="00D13702" w:rsidRPr="00CF392B" w:rsidRDefault="00D13702" w:rsidP="00C86931">
                      <w:pPr>
                        <w:bidi/>
                        <w:spacing w:after="0" w:line="240" w:lineRule="auto"/>
                        <w:jc w:val="center"/>
                        <w:rPr>
                          <w:rFonts w:ascii="Simplified Arabic" w:hAnsi="Simplified Arabic" w:cs="Simplified Arabic"/>
                          <w:b/>
                          <w:bCs/>
                          <w:color w:val="000000" w:themeColor="text1"/>
                          <w:sz w:val="24"/>
                          <w:szCs w:val="24"/>
                          <w:rtl/>
                          <w:lang w:bidi="ar-DZ"/>
                        </w:rPr>
                      </w:pPr>
                      <w:r w:rsidRPr="00CF392B">
                        <w:rPr>
                          <w:rFonts w:ascii="Simplified Arabic" w:hAnsi="Simplified Arabic" w:cs="Simplified Arabic" w:hint="cs"/>
                          <w:b/>
                          <w:bCs/>
                          <w:color w:val="000000" w:themeColor="text1"/>
                          <w:sz w:val="24"/>
                          <w:szCs w:val="24"/>
                          <w:rtl/>
                          <w:lang w:bidi="ar-DZ"/>
                        </w:rPr>
                        <w:t>الخلاصة العامة</w:t>
                      </w:r>
                      <w:r w:rsidRPr="00CF392B">
                        <w:rPr>
                          <w:rFonts w:ascii="Simplified Arabic" w:hAnsi="Simplified Arabic" w:cs="Simplified Arabic"/>
                          <w:b/>
                          <w:bCs/>
                          <w:color w:val="000000" w:themeColor="text1"/>
                          <w:sz w:val="24"/>
                          <w:szCs w:val="24"/>
                          <w:rtl/>
                          <w:lang w:bidi="ar-DZ"/>
                        </w:rPr>
                        <w:t xml:space="preserve">: </w:t>
                      </w:r>
                    </w:p>
                    <w:p w:rsidR="00D13702" w:rsidRPr="005D50CE" w:rsidRDefault="00D13702" w:rsidP="00443405">
                      <w:pPr>
                        <w:bidi/>
                        <w:jc w:val="center"/>
                        <w:rPr>
                          <w:rFonts w:ascii="Simplified Arabic" w:hAnsi="Simplified Arabic" w:cs="Simplified Arabic"/>
                          <w:b/>
                          <w:bCs/>
                          <w:color w:val="000000" w:themeColor="text1"/>
                          <w:sz w:val="24"/>
                          <w:szCs w:val="24"/>
                          <w:rtl/>
                          <w:lang w:val="en-US" w:bidi="ar-DZ"/>
                        </w:rPr>
                      </w:pPr>
                      <w:r w:rsidRPr="005D50CE">
                        <w:rPr>
                          <w:rFonts w:ascii="Simplified Arabic" w:hAnsi="Simplified Arabic" w:cs="Simplified Arabic" w:hint="cs"/>
                          <w:b/>
                          <w:bCs/>
                          <w:color w:val="000000" w:themeColor="text1"/>
                          <w:sz w:val="24"/>
                          <w:szCs w:val="24"/>
                          <w:rtl/>
                          <w:lang w:val="en-US" w:bidi="ar-DZ"/>
                        </w:rPr>
                        <w:t>نتائج البحث، مبادئ تصميم، التوصيات، خاتمة البحث</w:t>
                      </w:r>
                    </w:p>
                    <w:p w:rsidR="00D13702" w:rsidRPr="00CF392B" w:rsidRDefault="00D13702" w:rsidP="005A7CE7">
                      <w:pPr>
                        <w:bidi/>
                        <w:spacing w:after="0"/>
                        <w:jc w:val="center"/>
                        <w:rPr>
                          <w:color w:val="000000" w:themeColor="text1"/>
                          <w:lang w:bidi="ar-DZ"/>
                        </w:rPr>
                      </w:pPr>
                    </w:p>
                  </w:txbxContent>
                </v:textbox>
              </v:rect>
            </w:pict>
          </mc:Fallback>
        </mc:AlternateContent>
      </w:r>
      <w:r w:rsidR="00443405" w:rsidRPr="00077494">
        <w:rPr>
          <w:rFonts w:ascii="Simplified Arabic" w:hAnsi="Simplified Arabic" w:cs="Simplified Arabic" w:hint="cs"/>
          <w:b/>
          <w:bCs/>
          <w:noProof/>
          <w:sz w:val="24"/>
          <w:szCs w:val="24"/>
          <w:rtl/>
          <w:lang w:eastAsia="fr-FR"/>
        </w:rPr>
        <mc:AlternateContent>
          <mc:Choice Requires="wps">
            <w:drawing>
              <wp:anchor distT="0" distB="0" distL="114300" distR="114300" simplePos="0" relativeHeight="251831296" behindDoc="0" locked="0" layoutInCell="1" allowOverlap="1" wp14:anchorId="618F7E41" wp14:editId="58EB640B">
                <wp:simplePos x="0" y="0"/>
                <wp:positionH relativeFrom="column">
                  <wp:posOffset>4351020</wp:posOffset>
                </wp:positionH>
                <wp:positionV relativeFrom="paragraph">
                  <wp:posOffset>-2236</wp:posOffset>
                </wp:positionV>
                <wp:extent cx="586105" cy="385572"/>
                <wp:effectExtent l="5080" t="0" r="28575" b="28575"/>
                <wp:wrapNone/>
                <wp:docPr id="50" name="Connecteur en angle 50"/>
                <wp:cNvGraphicFramePr/>
                <a:graphic xmlns:a="http://schemas.openxmlformats.org/drawingml/2006/main">
                  <a:graphicData uri="http://schemas.microsoft.com/office/word/2010/wordprocessingShape">
                    <wps:wsp>
                      <wps:cNvCnPr/>
                      <wps:spPr>
                        <a:xfrm rot="5400000">
                          <a:off x="0" y="0"/>
                          <a:ext cx="586105" cy="385572"/>
                        </a:xfrm>
                        <a:prstGeom prst="bentConnector3">
                          <a:avLst>
                            <a:gd name="adj1" fmla="val 98839"/>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en angle 50" o:spid="_x0000_s1026" type="#_x0000_t34" style="position:absolute;margin-left:342.6pt;margin-top:-.2pt;width:46.15pt;height:30.35pt;rotation:90;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" adj="21349" strokecolor="black [3213]" strokeweight=".5pt"/>
            </w:pict>
          </mc:Fallback>
        </mc:AlternateContent>
      </w:r>
    </w:p>
    <w:p w:rsidR="000B298C" w:rsidRDefault="000B298C" w:rsidP="000B298C">
      <w:pPr>
        <w:tabs>
          <w:tab w:val="right" w:pos="281"/>
        </w:tabs>
        <w:bidi/>
        <w:spacing w:after="0"/>
        <w:jc w:val="both"/>
        <w:rPr>
          <w:rFonts w:ascii="Simplified Arabic" w:hAnsi="Simplified Arabic" w:cs="Simplified Arabic"/>
          <w:sz w:val="24"/>
          <w:szCs w:val="24"/>
          <w:rtl/>
          <w:lang w:val="en-US" w:bidi="ar-DZ"/>
        </w:rPr>
      </w:pPr>
    </w:p>
    <w:p w:rsidR="000B64DE" w:rsidRDefault="000B64DE" w:rsidP="000B64DE">
      <w:pPr>
        <w:tabs>
          <w:tab w:val="right" w:pos="281"/>
        </w:tabs>
        <w:bidi/>
        <w:spacing w:after="0"/>
        <w:jc w:val="both"/>
        <w:rPr>
          <w:rFonts w:ascii="Simplified Arabic" w:hAnsi="Simplified Arabic" w:cs="Simplified Arabic"/>
          <w:sz w:val="24"/>
          <w:szCs w:val="24"/>
          <w:rtl/>
          <w:lang w:val="en-US" w:bidi="ar-DZ"/>
        </w:rPr>
      </w:pPr>
    </w:p>
    <w:p w:rsidR="0022082E" w:rsidRPr="0062340E" w:rsidRDefault="0022082E" w:rsidP="001D0548">
      <w:pPr>
        <w:pStyle w:val="Paragraphedeliste"/>
        <w:numPr>
          <w:ilvl w:val="0"/>
          <w:numId w:val="85"/>
        </w:numPr>
        <w:tabs>
          <w:tab w:val="right" w:pos="567"/>
        </w:tabs>
        <w:bidi/>
        <w:spacing w:before="240" w:after="0"/>
        <w:ind w:left="0" w:firstLine="0"/>
        <w:outlineLvl w:val="0"/>
        <w:rPr>
          <w:rFonts w:ascii="Simplified Arabic" w:hAnsi="Simplified Arabic" w:cs="Simplified Arabic"/>
          <w:b/>
          <w:bCs/>
          <w:sz w:val="24"/>
          <w:szCs w:val="24"/>
          <w:lang w:val="en-US"/>
        </w:rPr>
      </w:pPr>
      <w:bookmarkStart w:id="52" w:name="_Toc171803305"/>
      <w:r w:rsidRPr="0062340E">
        <w:rPr>
          <w:rFonts w:ascii="Simplified Arabic" w:hAnsi="Simplified Arabic" w:cs="Simplified Arabic"/>
          <w:b/>
          <w:bCs/>
          <w:sz w:val="24"/>
          <w:szCs w:val="24"/>
          <w:rtl/>
          <w:lang w:val="en-US"/>
        </w:rPr>
        <w:t>الصعوبات التي اعترضت البحث</w:t>
      </w:r>
      <w:bookmarkEnd w:id="52"/>
    </w:p>
    <w:p w:rsidR="00337414" w:rsidRPr="0062340E" w:rsidRDefault="0022082E" w:rsidP="00337414">
      <w:pPr>
        <w:autoSpaceDE w:val="0"/>
        <w:autoSpaceDN w:val="0"/>
        <w:bidi/>
        <w:adjustRightInd w:val="0"/>
        <w:spacing w:after="0"/>
        <w:ind w:left="-1" w:firstLine="284"/>
        <w:jc w:val="both"/>
        <w:rPr>
          <w:rFonts w:ascii="Simplified Arabic" w:hAnsi="Simplified Arabic" w:cs="Simplified Arabic"/>
          <w:sz w:val="24"/>
          <w:szCs w:val="24"/>
          <w:rtl/>
        </w:rPr>
      </w:pPr>
      <w:r w:rsidRPr="0062340E">
        <w:rPr>
          <w:rFonts w:ascii="Simplified Arabic" w:hAnsi="Simplified Arabic" w:cs="Simplified Arabic"/>
          <w:sz w:val="24"/>
          <w:szCs w:val="24"/>
          <w:rtl/>
        </w:rPr>
        <w:t>من اهم الصعوبات التي اعترضت مر</w:t>
      </w:r>
      <w:r w:rsidR="00607B8B" w:rsidRPr="0062340E">
        <w:rPr>
          <w:rFonts w:ascii="Simplified Arabic" w:hAnsi="Simplified Arabic" w:cs="Simplified Arabic" w:hint="cs"/>
          <w:sz w:val="24"/>
          <w:szCs w:val="24"/>
          <w:rtl/>
        </w:rPr>
        <w:t>ا</w:t>
      </w:r>
      <w:r w:rsidR="00607B8B" w:rsidRPr="0062340E">
        <w:rPr>
          <w:rFonts w:ascii="Simplified Arabic" w:hAnsi="Simplified Arabic" w:cs="Simplified Arabic"/>
          <w:sz w:val="24"/>
          <w:szCs w:val="24"/>
          <w:rtl/>
        </w:rPr>
        <w:t>حل</w:t>
      </w:r>
      <w:r w:rsidRPr="0062340E">
        <w:rPr>
          <w:rFonts w:ascii="Simplified Arabic" w:hAnsi="Simplified Arabic" w:cs="Simplified Arabic"/>
          <w:sz w:val="24"/>
          <w:szCs w:val="24"/>
          <w:rtl/>
        </w:rPr>
        <w:t xml:space="preserve"> انجاز البحث المرتبطة بالجانب الميداني من جهة وبمنهجية البحث من جهة اخرى، نورد منها على سبيل الذكر ما يلي:</w:t>
      </w:r>
    </w:p>
    <w:p w:rsidR="0022082E" w:rsidRPr="0062340E" w:rsidRDefault="0022082E" w:rsidP="006D22A4">
      <w:pPr>
        <w:pStyle w:val="Paragraphedeliste"/>
        <w:numPr>
          <w:ilvl w:val="0"/>
          <w:numId w:val="1"/>
        </w:numPr>
        <w:autoSpaceDE w:val="0"/>
        <w:autoSpaceDN w:val="0"/>
        <w:bidi/>
        <w:adjustRightInd w:val="0"/>
        <w:spacing w:before="240"/>
        <w:ind w:left="0" w:firstLine="283"/>
        <w:rPr>
          <w:rFonts w:ascii="Simplified Arabic" w:hAnsi="Simplified Arabic" w:cs="Simplified Arabic"/>
          <w:sz w:val="24"/>
          <w:szCs w:val="24"/>
        </w:rPr>
      </w:pPr>
      <w:r w:rsidRPr="0062340E">
        <w:rPr>
          <w:rFonts w:ascii="Simplified Arabic" w:hAnsi="Simplified Arabic" w:cs="Simplified Arabic"/>
          <w:sz w:val="24"/>
          <w:szCs w:val="24"/>
          <w:rtl/>
          <w:lang w:bidi="ar-DZ"/>
        </w:rPr>
        <w:lastRenderedPageBreak/>
        <w:t>صعوبة الحصول على بيانات رقمية حقيقية وشح المعلومات.</w:t>
      </w:r>
    </w:p>
    <w:p w:rsidR="0022082E" w:rsidRPr="0062340E" w:rsidRDefault="0022082E" w:rsidP="00CD2E33">
      <w:pPr>
        <w:pStyle w:val="Paragraphedeliste"/>
        <w:numPr>
          <w:ilvl w:val="0"/>
          <w:numId w:val="1"/>
        </w:numPr>
        <w:autoSpaceDE w:val="0"/>
        <w:autoSpaceDN w:val="0"/>
        <w:bidi/>
        <w:adjustRightInd w:val="0"/>
        <w:spacing w:before="240"/>
        <w:ind w:left="0" w:firstLine="283"/>
        <w:rPr>
          <w:rFonts w:ascii="Simplified Arabic" w:hAnsi="Simplified Arabic" w:cs="Simplified Arabic"/>
          <w:sz w:val="24"/>
          <w:szCs w:val="24"/>
          <w:lang w:bidi="ar-DZ"/>
        </w:rPr>
      </w:pPr>
      <w:r w:rsidRPr="0062340E">
        <w:rPr>
          <w:rFonts w:ascii="Simplified Arabic" w:hAnsi="Simplified Arabic" w:cs="Simplified Arabic"/>
          <w:sz w:val="24"/>
          <w:szCs w:val="24"/>
          <w:rtl/>
          <w:lang w:bidi="ar-DZ"/>
        </w:rPr>
        <w:t>صعوبة الحصول على آراء بعض السكان الأكبر سنًا والذين ليس لديهم أي مؤهلات.</w:t>
      </w:r>
    </w:p>
    <w:p w:rsidR="0022082E" w:rsidRPr="0062340E" w:rsidRDefault="0022082E" w:rsidP="00CD2E33">
      <w:pPr>
        <w:pStyle w:val="Paragraphedeliste"/>
        <w:numPr>
          <w:ilvl w:val="0"/>
          <w:numId w:val="1"/>
        </w:numPr>
        <w:autoSpaceDE w:val="0"/>
        <w:autoSpaceDN w:val="0"/>
        <w:bidi/>
        <w:adjustRightInd w:val="0"/>
        <w:spacing w:before="240"/>
        <w:ind w:left="0" w:firstLine="283"/>
        <w:rPr>
          <w:rFonts w:ascii="Simplified Arabic" w:hAnsi="Simplified Arabic" w:cs="Simplified Arabic"/>
          <w:sz w:val="24"/>
          <w:szCs w:val="24"/>
        </w:rPr>
      </w:pPr>
      <w:r w:rsidRPr="0062340E">
        <w:rPr>
          <w:rFonts w:ascii="Simplified Arabic" w:hAnsi="Simplified Arabic" w:cs="Simplified Arabic"/>
          <w:sz w:val="24"/>
          <w:szCs w:val="24"/>
          <w:rtl/>
          <w:lang w:bidi="ar-DZ"/>
        </w:rPr>
        <w:t>الحصول على معايير التقييم النهائية، اخذ وقتا طويلا لصعوبة ايجاد منهجية لتحديدها.</w:t>
      </w:r>
    </w:p>
    <w:p w:rsidR="0022082E" w:rsidRPr="0062340E" w:rsidRDefault="0022082E" w:rsidP="00CD2E33">
      <w:pPr>
        <w:pStyle w:val="Paragraphedeliste"/>
        <w:numPr>
          <w:ilvl w:val="0"/>
          <w:numId w:val="1"/>
        </w:numPr>
        <w:autoSpaceDE w:val="0"/>
        <w:autoSpaceDN w:val="0"/>
        <w:bidi/>
        <w:adjustRightInd w:val="0"/>
        <w:spacing w:after="0"/>
        <w:ind w:left="0" w:firstLine="283"/>
        <w:jc w:val="both"/>
        <w:rPr>
          <w:rFonts w:ascii="Simplified Arabic" w:hAnsi="Simplified Arabic" w:cs="Simplified Arabic"/>
          <w:sz w:val="24"/>
          <w:szCs w:val="24"/>
        </w:rPr>
      </w:pPr>
      <w:r w:rsidRPr="0062340E">
        <w:rPr>
          <w:rFonts w:ascii="Simplified Arabic" w:hAnsi="Simplified Arabic" w:cs="Simplified Arabic"/>
          <w:sz w:val="24"/>
          <w:szCs w:val="24"/>
          <w:rtl/>
        </w:rPr>
        <w:t>المعايير الاولية التي طرحت للنقاش مع خبراء دلفي، البعض منهم انسحب بسبب مواقفهم السابقة حول تقييمهم للمعايير او بسبب عدم التزامهم مواصلة</w:t>
      </w:r>
      <w:r w:rsidR="00C84D8B" w:rsidRPr="0062340E">
        <w:rPr>
          <w:rFonts w:ascii="Simplified Arabic" w:hAnsi="Simplified Arabic" w:cs="Simplified Arabic" w:hint="cs"/>
          <w:sz w:val="24"/>
          <w:szCs w:val="24"/>
          <w:rtl/>
        </w:rPr>
        <w:t xml:space="preserve"> النقاش</w:t>
      </w:r>
      <w:r w:rsidRPr="0062340E">
        <w:rPr>
          <w:rFonts w:ascii="Simplified Arabic" w:hAnsi="Simplified Arabic" w:cs="Simplified Arabic"/>
          <w:sz w:val="24"/>
          <w:szCs w:val="24"/>
          <w:rtl/>
        </w:rPr>
        <w:t>.</w:t>
      </w:r>
    </w:p>
    <w:p w:rsidR="0022082E" w:rsidRDefault="0022082E" w:rsidP="0022082E">
      <w:pPr>
        <w:bidi/>
        <w:rPr>
          <w:rFonts w:ascii="Simplified Arabic" w:hAnsi="Simplified Arabic" w:cs="Simplified Arabic"/>
          <w:sz w:val="24"/>
          <w:szCs w:val="24"/>
          <w:rtl/>
          <w:lang w:val="en-US"/>
        </w:rPr>
      </w:pPr>
    </w:p>
    <w:p w:rsidR="0099470D" w:rsidRDefault="0099470D" w:rsidP="0099470D">
      <w:pPr>
        <w:bidi/>
        <w:rPr>
          <w:rFonts w:ascii="Simplified Arabic" w:hAnsi="Simplified Arabic" w:cs="Simplified Arabic"/>
          <w:sz w:val="24"/>
          <w:szCs w:val="24"/>
          <w:rtl/>
          <w:lang w:val="en-US"/>
        </w:rPr>
      </w:pPr>
    </w:p>
    <w:p w:rsidR="0022082E" w:rsidRDefault="0022082E" w:rsidP="0022082E">
      <w:pPr>
        <w:bidi/>
        <w:rPr>
          <w:rFonts w:ascii="Simplified Arabic" w:hAnsi="Simplified Arabic" w:cs="Simplified Arabic"/>
          <w:sz w:val="24"/>
          <w:szCs w:val="24"/>
          <w:rtl/>
          <w:lang w:val="en-US"/>
        </w:rPr>
      </w:pPr>
    </w:p>
    <w:p w:rsidR="0022082E" w:rsidRDefault="0022082E" w:rsidP="0022082E">
      <w:pPr>
        <w:bidi/>
        <w:rPr>
          <w:rtl/>
          <w:lang w:bidi="ar-DZ"/>
        </w:rPr>
      </w:pPr>
    </w:p>
    <w:p w:rsidR="0022082E" w:rsidRDefault="0022082E" w:rsidP="0022082E">
      <w:pPr>
        <w:bidi/>
        <w:rPr>
          <w:rtl/>
          <w:lang w:bidi="ar-DZ"/>
        </w:rPr>
      </w:pPr>
    </w:p>
    <w:p w:rsidR="0022082E" w:rsidRDefault="0022082E" w:rsidP="0022082E">
      <w:pPr>
        <w:bidi/>
        <w:rPr>
          <w:rtl/>
          <w:lang w:bidi="ar-DZ"/>
        </w:rPr>
      </w:pPr>
    </w:p>
    <w:p w:rsidR="0022082E" w:rsidRDefault="0022082E" w:rsidP="0022082E">
      <w:pPr>
        <w:bidi/>
        <w:rPr>
          <w:rtl/>
          <w:lang w:bidi="ar-DZ"/>
        </w:rPr>
      </w:pPr>
    </w:p>
    <w:p w:rsidR="00DC776F" w:rsidRDefault="00DC776F" w:rsidP="00DC776F">
      <w:pPr>
        <w:bidi/>
        <w:rPr>
          <w:rtl/>
          <w:lang w:bidi="ar-DZ"/>
        </w:rPr>
      </w:pPr>
    </w:p>
    <w:p w:rsidR="00DC776F" w:rsidRDefault="00DC776F" w:rsidP="00DC776F">
      <w:pPr>
        <w:bidi/>
        <w:rPr>
          <w:rtl/>
          <w:lang w:bidi="ar-DZ"/>
        </w:rPr>
      </w:pPr>
    </w:p>
    <w:p w:rsidR="00E94905" w:rsidRDefault="00E94905" w:rsidP="00E94905">
      <w:pPr>
        <w:bidi/>
        <w:rPr>
          <w:rtl/>
          <w:lang w:bidi="ar-DZ"/>
        </w:rPr>
      </w:pPr>
    </w:p>
    <w:p w:rsidR="00E94905" w:rsidRDefault="00E94905" w:rsidP="00E94905">
      <w:pPr>
        <w:bidi/>
        <w:rPr>
          <w:rtl/>
          <w:lang w:bidi="ar-DZ"/>
        </w:rPr>
      </w:pPr>
    </w:p>
    <w:p w:rsidR="00E94905" w:rsidRDefault="00E94905" w:rsidP="00E94905">
      <w:pPr>
        <w:bidi/>
        <w:rPr>
          <w:rtl/>
          <w:lang w:bidi="ar-DZ"/>
        </w:rPr>
      </w:pPr>
    </w:p>
    <w:p w:rsidR="00E94905" w:rsidRDefault="00E94905" w:rsidP="00E94905">
      <w:pPr>
        <w:bidi/>
        <w:rPr>
          <w:rtl/>
          <w:lang w:bidi="ar-DZ"/>
        </w:rPr>
      </w:pPr>
    </w:p>
    <w:p w:rsidR="00E94905" w:rsidRDefault="00E94905" w:rsidP="00E94905">
      <w:pPr>
        <w:bidi/>
        <w:rPr>
          <w:rtl/>
          <w:lang w:bidi="ar-DZ"/>
        </w:rPr>
      </w:pPr>
    </w:p>
    <w:p w:rsidR="00E94905" w:rsidRDefault="00E94905" w:rsidP="00E94905">
      <w:pPr>
        <w:bidi/>
        <w:rPr>
          <w:rtl/>
          <w:lang w:bidi="ar-DZ"/>
        </w:rPr>
      </w:pPr>
    </w:p>
    <w:p w:rsidR="00E94905" w:rsidRDefault="00E94905" w:rsidP="00E94905">
      <w:pPr>
        <w:bidi/>
        <w:rPr>
          <w:rtl/>
          <w:lang w:bidi="ar-DZ"/>
        </w:rPr>
      </w:pPr>
    </w:p>
    <w:p w:rsidR="00E94905" w:rsidRDefault="00E94905" w:rsidP="00E94905">
      <w:pPr>
        <w:bidi/>
        <w:rPr>
          <w:rtl/>
          <w:lang w:bidi="ar-DZ"/>
        </w:rPr>
      </w:pPr>
    </w:p>
    <w:p w:rsidR="00AD3206" w:rsidRDefault="00AD3206" w:rsidP="00E94905">
      <w:pPr>
        <w:bidi/>
        <w:rPr>
          <w:rtl/>
          <w:lang w:bidi="ar-DZ"/>
        </w:rPr>
        <w:sectPr w:rsidR="00AD3206" w:rsidSect="00AD3206">
          <w:headerReference w:type="default" r:id="rId34"/>
          <w:footerReference w:type="default" r:id="rId35"/>
          <w:headerReference w:type="first" r:id="rId36"/>
          <w:footerReference w:type="first" r:id="rId37"/>
          <w:type w:val="continuous"/>
          <w:pgSz w:w="11906" w:h="16838"/>
          <w:pgMar w:top="1418" w:right="1700" w:bottom="1418" w:left="1134" w:header="709" w:footer="709" w:gutter="0"/>
          <w:pgNumType w:start="1"/>
          <w:cols w:space="708"/>
          <w:docGrid w:linePitch="360"/>
        </w:sectPr>
      </w:pPr>
    </w:p>
    <w:p w:rsidR="00E94905" w:rsidRDefault="00E94905" w:rsidP="00E94905">
      <w:pPr>
        <w:bidi/>
        <w:rPr>
          <w:rtl/>
          <w:lang w:bidi="ar-DZ"/>
        </w:rPr>
      </w:pPr>
    </w:p>
    <w:p w:rsidR="00243513" w:rsidRDefault="00243513" w:rsidP="00243513">
      <w:pPr>
        <w:bidi/>
        <w:rPr>
          <w:rtl/>
          <w:lang w:bidi="ar-DZ"/>
        </w:rPr>
      </w:pPr>
    </w:p>
    <w:p w:rsidR="00914C3D" w:rsidRDefault="00914C3D" w:rsidP="00914C3D">
      <w:pPr>
        <w:bidi/>
        <w:rPr>
          <w:rtl/>
          <w:lang w:bidi="ar-DZ"/>
        </w:rPr>
      </w:pPr>
    </w:p>
    <w:p w:rsidR="00E94905" w:rsidRDefault="00E94905" w:rsidP="00E94905">
      <w:pPr>
        <w:bidi/>
        <w:rPr>
          <w:rtl/>
          <w:lang w:bidi="ar-DZ"/>
        </w:rPr>
      </w:pPr>
    </w:p>
    <w:p w:rsidR="000743B1" w:rsidRDefault="000743B1" w:rsidP="000743B1">
      <w:pPr>
        <w:bidi/>
        <w:rPr>
          <w:rtl/>
          <w:lang w:bidi="ar-DZ"/>
        </w:rPr>
      </w:pPr>
    </w:p>
    <w:p w:rsidR="000743B1" w:rsidRDefault="000743B1" w:rsidP="000743B1">
      <w:pPr>
        <w:bidi/>
        <w:rPr>
          <w:rtl/>
          <w:lang w:bidi="ar-DZ"/>
        </w:rPr>
      </w:pPr>
    </w:p>
    <w:p w:rsidR="000743B1" w:rsidRDefault="000743B1" w:rsidP="000743B1">
      <w:pPr>
        <w:bidi/>
        <w:rPr>
          <w:rtl/>
          <w:lang w:bidi="ar-DZ"/>
        </w:rPr>
      </w:pPr>
    </w:p>
    <w:p w:rsidR="000743B1" w:rsidRDefault="000743B1" w:rsidP="000743B1">
      <w:pPr>
        <w:bidi/>
        <w:rPr>
          <w:rtl/>
          <w:lang w:bidi="ar-DZ"/>
        </w:rPr>
      </w:pPr>
    </w:p>
    <w:p w:rsidR="000743B1" w:rsidRDefault="000743B1" w:rsidP="000743B1">
      <w:pPr>
        <w:bidi/>
        <w:rPr>
          <w:rtl/>
          <w:lang w:bidi="ar-DZ"/>
        </w:rPr>
      </w:pPr>
    </w:p>
    <w:p w:rsidR="000743B1" w:rsidRDefault="000743B1" w:rsidP="000743B1">
      <w:pPr>
        <w:bidi/>
        <w:rPr>
          <w:rtl/>
          <w:lang w:bidi="ar-DZ"/>
        </w:rPr>
      </w:pPr>
    </w:p>
    <w:p w:rsidR="00137979" w:rsidRDefault="00137979" w:rsidP="00137979">
      <w:pPr>
        <w:bidi/>
        <w:rPr>
          <w:rtl/>
          <w:lang w:bidi="ar-DZ"/>
        </w:rPr>
      </w:pPr>
    </w:p>
    <w:p w:rsidR="00BF33DF" w:rsidRDefault="00BF33DF" w:rsidP="00BF33DF">
      <w:pPr>
        <w:bidi/>
        <w:rPr>
          <w:rtl/>
          <w:lang w:bidi="ar-DZ"/>
        </w:rPr>
      </w:pPr>
    </w:p>
    <w:p w:rsidR="00137979" w:rsidRDefault="00137979" w:rsidP="00137979">
      <w:pPr>
        <w:bidi/>
        <w:rPr>
          <w:rtl/>
          <w:lang w:bidi="ar-DZ"/>
        </w:rPr>
      </w:pPr>
    </w:p>
    <w:p w:rsidR="00F06308" w:rsidRDefault="00F06308" w:rsidP="00F06308">
      <w:pPr>
        <w:bidi/>
        <w:rPr>
          <w:rtl/>
          <w:lang w:bidi="ar-DZ"/>
        </w:rPr>
      </w:pPr>
    </w:p>
    <w:p w:rsidR="00431544" w:rsidRPr="003D260F" w:rsidRDefault="003F3134" w:rsidP="006D732F">
      <w:pPr>
        <w:pStyle w:val="Photo"/>
        <w:spacing w:before="0"/>
        <w:rPr>
          <w:sz w:val="40"/>
          <w:szCs w:val="40"/>
          <w:rtl/>
          <w:lang w:val="en-US"/>
        </w:rPr>
      </w:pPr>
      <w:bookmarkStart w:id="53" w:name="_Toc157561430"/>
      <w:bookmarkStart w:id="54" w:name="_Toc157562763"/>
      <w:bookmarkStart w:id="55" w:name="_Toc157608259"/>
      <w:bookmarkStart w:id="56" w:name="_Toc157612960"/>
      <w:bookmarkStart w:id="57" w:name="_Toc157618631"/>
      <w:bookmarkStart w:id="58" w:name="_Toc171803306"/>
      <w:r w:rsidRPr="003D260F">
        <w:rPr>
          <w:rFonts w:hint="cs"/>
          <w:sz w:val="40"/>
          <w:szCs w:val="40"/>
          <w:rtl/>
          <w:lang w:val="en-US"/>
        </w:rPr>
        <w:t>الجزء الثاني</w:t>
      </w:r>
      <w:r w:rsidR="00431544" w:rsidRPr="003D260F">
        <w:rPr>
          <w:rFonts w:hint="cs"/>
          <w:sz w:val="40"/>
          <w:szCs w:val="40"/>
          <w:rtl/>
          <w:lang w:val="en-US"/>
        </w:rPr>
        <w:t>:</w:t>
      </w:r>
      <w:bookmarkEnd w:id="53"/>
      <w:bookmarkEnd w:id="54"/>
      <w:bookmarkEnd w:id="55"/>
      <w:bookmarkEnd w:id="56"/>
      <w:bookmarkEnd w:id="57"/>
      <w:bookmarkEnd w:id="58"/>
    </w:p>
    <w:p w:rsidR="003F3134" w:rsidRPr="00431544" w:rsidRDefault="003F3134" w:rsidP="006D732F">
      <w:pPr>
        <w:pStyle w:val="Photo"/>
        <w:spacing w:before="0"/>
        <w:rPr>
          <w:rtl/>
          <w:lang w:val="en-US"/>
        </w:rPr>
      </w:pPr>
      <w:r w:rsidRPr="003D260F">
        <w:rPr>
          <w:rFonts w:hint="cs"/>
          <w:sz w:val="40"/>
          <w:szCs w:val="40"/>
          <w:rtl/>
          <w:lang w:val="en-US"/>
        </w:rPr>
        <w:t xml:space="preserve"> </w:t>
      </w:r>
      <w:bookmarkStart w:id="59" w:name="_Toc157561431"/>
      <w:bookmarkStart w:id="60" w:name="_Toc157562764"/>
      <w:bookmarkStart w:id="61" w:name="_Toc157608260"/>
      <w:bookmarkStart w:id="62" w:name="_Toc157612961"/>
      <w:bookmarkStart w:id="63" w:name="_Toc157618632"/>
      <w:bookmarkStart w:id="64" w:name="_Toc171803307"/>
      <w:r w:rsidRPr="003D260F">
        <w:rPr>
          <w:rFonts w:hint="cs"/>
          <w:sz w:val="40"/>
          <w:szCs w:val="40"/>
          <w:rtl/>
          <w:lang w:val="en-US"/>
        </w:rPr>
        <w:t xml:space="preserve">الاطار النظري </w:t>
      </w:r>
      <w:r w:rsidR="00206E75" w:rsidRPr="003D260F">
        <w:rPr>
          <w:rFonts w:hint="cs"/>
          <w:sz w:val="40"/>
          <w:szCs w:val="40"/>
          <w:rtl/>
          <w:lang w:val="en-US"/>
        </w:rPr>
        <w:t>للبحث</w:t>
      </w:r>
      <w:bookmarkEnd w:id="59"/>
      <w:bookmarkEnd w:id="60"/>
      <w:bookmarkEnd w:id="61"/>
      <w:bookmarkEnd w:id="62"/>
      <w:bookmarkEnd w:id="63"/>
      <w:bookmarkEnd w:id="64"/>
      <w:r w:rsidRPr="003D260F">
        <w:rPr>
          <w:rFonts w:hint="cs"/>
          <w:sz w:val="40"/>
          <w:szCs w:val="40"/>
          <w:rtl/>
          <w:lang w:val="en-US"/>
        </w:rPr>
        <w:t xml:space="preserve"> </w:t>
      </w:r>
    </w:p>
    <w:p w:rsidR="00DC776F" w:rsidRDefault="00DC776F" w:rsidP="00DC776F">
      <w:pPr>
        <w:bidi/>
        <w:spacing w:after="0" w:line="240" w:lineRule="auto"/>
        <w:jc w:val="center"/>
        <w:rPr>
          <w:rFonts w:ascii="Simplified Arabic" w:hAnsi="Simplified Arabic" w:cs="Simplified Arabic"/>
          <w:b/>
          <w:bCs/>
          <w:sz w:val="72"/>
          <w:szCs w:val="72"/>
          <w:rtl/>
        </w:rPr>
      </w:pPr>
    </w:p>
    <w:p w:rsidR="003F3134" w:rsidRDefault="003F3134" w:rsidP="003F3134">
      <w:pPr>
        <w:bidi/>
        <w:spacing w:after="0" w:line="240" w:lineRule="auto"/>
        <w:jc w:val="center"/>
        <w:rPr>
          <w:rFonts w:ascii="Simplified Arabic" w:hAnsi="Simplified Arabic" w:cs="Simplified Arabic"/>
          <w:b/>
          <w:bCs/>
          <w:sz w:val="72"/>
          <w:szCs w:val="72"/>
          <w:rtl/>
        </w:rPr>
      </w:pPr>
    </w:p>
    <w:p w:rsidR="00995F16" w:rsidRDefault="00995F16" w:rsidP="003F3134">
      <w:pPr>
        <w:bidi/>
        <w:spacing w:after="0" w:line="240" w:lineRule="auto"/>
        <w:jc w:val="center"/>
        <w:rPr>
          <w:rFonts w:ascii="Simplified Arabic" w:hAnsi="Simplified Arabic" w:cs="Simplified Arabic"/>
          <w:b/>
          <w:bCs/>
          <w:sz w:val="72"/>
          <w:szCs w:val="72"/>
          <w:rtl/>
        </w:rPr>
      </w:pPr>
    </w:p>
    <w:p w:rsidR="000B64DE" w:rsidRDefault="000B64DE" w:rsidP="000B64DE">
      <w:pPr>
        <w:bidi/>
        <w:spacing w:after="0" w:line="240" w:lineRule="auto"/>
        <w:jc w:val="center"/>
        <w:rPr>
          <w:rFonts w:ascii="Simplified Arabic" w:hAnsi="Simplified Arabic" w:cs="Simplified Arabic"/>
          <w:b/>
          <w:bCs/>
          <w:sz w:val="72"/>
          <w:szCs w:val="72"/>
          <w:rtl/>
        </w:rPr>
      </w:pPr>
    </w:p>
    <w:p w:rsidR="003F3134" w:rsidRDefault="00995F16" w:rsidP="000B64DE">
      <w:pPr>
        <w:tabs>
          <w:tab w:val="left" w:pos="3716"/>
        </w:tabs>
        <w:bidi/>
        <w:rPr>
          <w:rFonts w:ascii="Simplified Arabic" w:hAnsi="Simplified Arabic" w:cs="Simplified Arabic"/>
          <w:b/>
          <w:bCs/>
          <w:sz w:val="72"/>
          <w:szCs w:val="72"/>
          <w:rtl/>
        </w:rPr>
      </w:pPr>
      <w:r>
        <w:rPr>
          <w:rFonts w:ascii="Simplified Arabic" w:hAnsi="Simplified Arabic" w:cs="Simplified Arabic"/>
          <w:noProof/>
          <w:sz w:val="72"/>
          <w:szCs w:val="72"/>
          <w:rtl/>
          <w:lang w:eastAsia="fr-FR"/>
        </w:rPr>
        <mc:AlternateContent>
          <mc:Choice Requires="wps">
            <w:drawing>
              <wp:anchor distT="0" distB="0" distL="114300" distR="114300" simplePos="0" relativeHeight="251875328" behindDoc="0" locked="0" layoutInCell="1" allowOverlap="1" wp14:anchorId="5969F16E" wp14:editId="505FF754">
                <wp:simplePos x="0" y="0"/>
                <wp:positionH relativeFrom="column">
                  <wp:posOffset>2721753</wp:posOffset>
                </wp:positionH>
                <wp:positionV relativeFrom="paragraph">
                  <wp:posOffset>1571247</wp:posOffset>
                </wp:positionV>
                <wp:extent cx="359595" cy="256854"/>
                <wp:effectExtent l="0" t="0" r="2540" b="0"/>
                <wp:wrapNone/>
                <wp:docPr id="270" name="Rectangle 270"/>
                <wp:cNvGraphicFramePr/>
                <a:graphic xmlns:a="http://schemas.openxmlformats.org/drawingml/2006/main">
                  <a:graphicData uri="http://schemas.microsoft.com/office/word/2010/wordprocessingShape">
                    <wps:wsp>
                      <wps:cNvSpPr/>
                      <wps:spPr>
                        <a:xfrm>
                          <a:off x="0" y="0"/>
                          <a:ext cx="359595" cy="25685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70" o:spid="_x0000_s1026" style="position:absolute;margin-left:214.3pt;margin-top:123.7pt;width:28.3pt;height:20.2pt;z-index:251875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" fillcolor="white [3212]" stroked="f" strokeweight="2pt"/>
            </w:pict>
          </mc:Fallback>
        </mc:AlternateContent>
      </w:r>
      <w:r>
        <w:rPr>
          <w:rFonts w:ascii="Simplified Arabic" w:hAnsi="Simplified Arabic" w:cs="Simplified Arabic"/>
          <w:sz w:val="72"/>
          <w:szCs w:val="72"/>
          <w:rtl/>
        </w:rPr>
        <w:tab/>
      </w:r>
    </w:p>
    <w:p w:rsidR="003F3134" w:rsidRDefault="003F3134" w:rsidP="003F3134">
      <w:pPr>
        <w:bidi/>
        <w:spacing w:after="0" w:line="240" w:lineRule="auto"/>
        <w:jc w:val="center"/>
        <w:rPr>
          <w:rFonts w:ascii="Simplified Arabic" w:hAnsi="Simplified Arabic" w:cs="Simplified Arabic"/>
          <w:b/>
          <w:bCs/>
          <w:sz w:val="72"/>
          <w:szCs w:val="72"/>
          <w:rtl/>
        </w:rPr>
      </w:pPr>
    </w:p>
    <w:p w:rsidR="003F3134" w:rsidRDefault="003F3134" w:rsidP="003F3134">
      <w:pPr>
        <w:bidi/>
        <w:spacing w:after="0" w:line="240" w:lineRule="auto"/>
        <w:jc w:val="center"/>
        <w:rPr>
          <w:rFonts w:ascii="Simplified Arabic" w:hAnsi="Simplified Arabic" w:cs="Simplified Arabic"/>
          <w:b/>
          <w:bCs/>
          <w:sz w:val="72"/>
          <w:szCs w:val="72"/>
          <w:rtl/>
        </w:rPr>
      </w:pPr>
    </w:p>
    <w:p w:rsidR="003F3134" w:rsidRDefault="003F3134" w:rsidP="003F3134">
      <w:pPr>
        <w:bidi/>
        <w:spacing w:after="0" w:line="240" w:lineRule="auto"/>
        <w:jc w:val="center"/>
        <w:rPr>
          <w:rFonts w:ascii="Simplified Arabic" w:hAnsi="Simplified Arabic" w:cs="Simplified Arabic"/>
          <w:b/>
          <w:bCs/>
          <w:sz w:val="72"/>
          <w:szCs w:val="72"/>
          <w:rtl/>
        </w:rPr>
      </w:pPr>
    </w:p>
    <w:p w:rsidR="00C242D0" w:rsidRDefault="00C242D0" w:rsidP="00C242D0">
      <w:pPr>
        <w:bidi/>
        <w:spacing w:after="0"/>
        <w:jc w:val="center"/>
        <w:rPr>
          <w:rFonts w:ascii="Simplified Arabic" w:hAnsi="Simplified Arabic" w:cs="Simplified Arabic"/>
          <w:b/>
          <w:bCs/>
          <w:sz w:val="28"/>
          <w:szCs w:val="28"/>
          <w:rtl/>
          <w:lang w:bidi="ar-DZ"/>
        </w:rPr>
      </w:pPr>
    </w:p>
    <w:p w:rsidR="000B64DE" w:rsidRDefault="000B64DE" w:rsidP="000B64DE">
      <w:pPr>
        <w:bidi/>
        <w:spacing w:after="0"/>
        <w:jc w:val="center"/>
        <w:rPr>
          <w:rFonts w:ascii="Simplified Arabic" w:hAnsi="Simplified Arabic" w:cs="Simplified Arabic"/>
          <w:b/>
          <w:bCs/>
          <w:sz w:val="28"/>
          <w:szCs w:val="28"/>
          <w:rtl/>
          <w:lang w:bidi="ar-DZ"/>
        </w:rPr>
      </w:pPr>
    </w:p>
    <w:p w:rsidR="000B64DE" w:rsidRDefault="000B64DE" w:rsidP="000B64DE">
      <w:pPr>
        <w:bidi/>
        <w:spacing w:after="0"/>
        <w:jc w:val="center"/>
        <w:rPr>
          <w:rFonts w:ascii="Simplified Arabic" w:hAnsi="Simplified Arabic" w:cs="Simplified Arabic"/>
          <w:b/>
          <w:bCs/>
          <w:sz w:val="28"/>
          <w:szCs w:val="28"/>
          <w:rtl/>
          <w:lang w:bidi="ar-DZ"/>
        </w:rPr>
      </w:pPr>
    </w:p>
    <w:p w:rsidR="000B64DE" w:rsidRDefault="000B64DE" w:rsidP="000B64DE">
      <w:pPr>
        <w:bidi/>
        <w:spacing w:after="0"/>
        <w:jc w:val="center"/>
        <w:rPr>
          <w:rFonts w:ascii="Simplified Arabic" w:hAnsi="Simplified Arabic" w:cs="Simplified Arabic"/>
          <w:b/>
          <w:bCs/>
          <w:sz w:val="28"/>
          <w:szCs w:val="28"/>
          <w:rtl/>
          <w:lang w:bidi="ar-DZ"/>
        </w:rPr>
      </w:pPr>
    </w:p>
    <w:p w:rsidR="000B64DE" w:rsidRDefault="000B64DE" w:rsidP="000B64DE">
      <w:pPr>
        <w:bidi/>
        <w:spacing w:after="0"/>
        <w:jc w:val="center"/>
        <w:rPr>
          <w:rFonts w:ascii="Simplified Arabic" w:hAnsi="Simplified Arabic" w:cs="Simplified Arabic"/>
          <w:b/>
          <w:bCs/>
          <w:sz w:val="28"/>
          <w:szCs w:val="28"/>
          <w:rtl/>
          <w:lang w:bidi="ar-DZ"/>
        </w:rPr>
      </w:pPr>
    </w:p>
    <w:p w:rsidR="000B64DE" w:rsidRDefault="000B64DE" w:rsidP="000B64DE">
      <w:pPr>
        <w:bidi/>
        <w:spacing w:after="0"/>
        <w:jc w:val="center"/>
        <w:rPr>
          <w:rFonts w:ascii="Simplified Arabic" w:hAnsi="Simplified Arabic" w:cs="Simplified Arabic"/>
          <w:b/>
          <w:bCs/>
          <w:sz w:val="28"/>
          <w:szCs w:val="28"/>
          <w:rtl/>
          <w:lang w:bidi="ar-DZ"/>
        </w:rPr>
      </w:pPr>
    </w:p>
    <w:p w:rsidR="005E5E13" w:rsidRPr="00420034" w:rsidRDefault="004B19C8" w:rsidP="006D732F">
      <w:pPr>
        <w:pStyle w:val="Photo"/>
        <w:spacing w:before="0"/>
        <w:rPr>
          <w:sz w:val="36"/>
          <w:szCs w:val="36"/>
          <w:rtl/>
          <w:lang w:val="en-US"/>
        </w:rPr>
      </w:pPr>
      <w:bookmarkStart w:id="65" w:name="_Toc157561432"/>
      <w:bookmarkStart w:id="66" w:name="_Toc157562765"/>
      <w:bookmarkStart w:id="67" w:name="_Toc157608261"/>
      <w:bookmarkStart w:id="68" w:name="_Toc157612962"/>
      <w:bookmarkStart w:id="69" w:name="_Toc157618633"/>
      <w:bookmarkStart w:id="70" w:name="_Toc171803308"/>
      <w:r w:rsidRPr="00420034">
        <w:rPr>
          <w:sz w:val="36"/>
          <w:szCs w:val="36"/>
          <w:rtl/>
          <w:lang w:bidi="ar-DZ"/>
        </w:rPr>
        <w:t xml:space="preserve">الفصل </w:t>
      </w:r>
      <w:r w:rsidRPr="00420034">
        <w:rPr>
          <w:rFonts w:hint="cs"/>
          <w:sz w:val="36"/>
          <w:szCs w:val="36"/>
          <w:rtl/>
          <w:lang w:bidi="ar-DZ"/>
        </w:rPr>
        <w:t>1</w:t>
      </w:r>
      <w:r w:rsidRPr="00420034">
        <w:rPr>
          <w:sz w:val="36"/>
          <w:szCs w:val="36"/>
          <w:rtl/>
          <w:lang w:bidi="ar-DZ"/>
        </w:rPr>
        <w:t>:</w:t>
      </w:r>
      <w:r w:rsidR="00B657A0" w:rsidRPr="00420034">
        <w:rPr>
          <w:rFonts w:hint="cs"/>
          <w:sz w:val="36"/>
          <w:szCs w:val="36"/>
          <w:rtl/>
          <w:lang w:bidi="ar-DZ"/>
        </w:rPr>
        <w:t xml:space="preserve"> </w:t>
      </w:r>
      <w:r w:rsidR="00FB4142" w:rsidRPr="00420034">
        <w:rPr>
          <w:rFonts w:hint="cs"/>
          <w:sz w:val="36"/>
          <w:szCs w:val="36"/>
          <w:rtl/>
          <w:lang w:val="en-US"/>
        </w:rPr>
        <w:t xml:space="preserve">علاقة </w:t>
      </w:r>
      <w:r w:rsidR="008A3721" w:rsidRPr="00420034">
        <w:rPr>
          <w:rFonts w:hint="cs"/>
          <w:sz w:val="36"/>
          <w:szCs w:val="36"/>
          <w:rtl/>
          <w:lang w:val="en-US"/>
        </w:rPr>
        <w:t>استعمالات الاراضي</w:t>
      </w:r>
      <w:r w:rsidR="008A3721" w:rsidRPr="00420034">
        <w:rPr>
          <w:rFonts w:hint="cs"/>
          <w:sz w:val="36"/>
          <w:szCs w:val="16"/>
          <w:rtl/>
          <w:lang w:bidi="ar-DZ"/>
        </w:rPr>
        <w:t xml:space="preserve"> </w:t>
      </w:r>
      <w:r w:rsidR="00E56C46" w:rsidRPr="00420034">
        <w:rPr>
          <w:rFonts w:hint="cs"/>
          <w:sz w:val="36"/>
          <w:szCs w:val="36"/>
          <w:rtl/>
          <w:lang w:val="en-US"/>
        </w:rPr>
        <w:t>الحضرية</w:t>
      </w:r>
      <w:r w:rsidR="003F3134" w:rsidRPr="00420034">
        <w:rPr>
          <w:rFonts w:hint="cs"/>
          <w:sz w:val="36"/>
          <w:szCs w:val="36"/>
          <w:rtl/>
          <w:lang w:val="en-US"/>
        </w:rPr>
        <w:t xml:space="preserve"> </w:t>
      </w:r>
      <w:r w:rsidR="00FB4142" w:rsidRPr="00420034">
        <w:rPr>
          <w:rFonts w:hint="cs"/>
          <w:sz w:val="36"/>
          <w:szCs w:val="36"/>
          <w:rtl/>
          <w:lang w:val="en-US"/>
        </w:rPr>
        <w:t xml:space="preserve">بمفهوم </w:t>
      </w:r>
      <w:r w:rsidR="003F3134" w:rsidRPr="00420034">
        <w:rPr>
          <w:rFonts w:hint="cs"/>
          <w:sz w:val="36"/>
          <w:szCs w:val="36"/>
          <w:rtl/>
          <w:lang w:val="en-US"/>
        </w:rPr>
        <w:t>المرونة الحضرية</w:t>
      </w:r>
      <w:bookmarkEnd w:id="65"/>
      <w:bookmarkEnd w:id="66"/>
      <w:bookmarkEnd w:id="67"/>
      <w:bookmarkEnd w:id="68"/>
      <w:bookmarkEnd w:id="69"/>
      <w:bookmarkEnd w:id="70"/>
    </w:p>
    <w:p w:rsidR="00EE1065" w:rsidRDefault="00EE1065" w:rsidP="00EE1065">
      <w:pPr>
        <w:bidi/>
        <w:spacing w:after="0"/>
        <w:jc w:val="center"/>
        <w:rPr>
          <w:rFonts w:ascii="Simplified Arabic" w:hAnsi="Simplified Arabic" w:cs="Simplified Arabic"/>
          <w:b/>
          <w:bCs/>
          <w:sz w:val="24"/>
          <w:szCs w:val="24"/>
          <w:rtl/>
          <w:lang w:val="en-US"/>
        </w:rPr>
      </w:pPr>
    </w:p>
    <w:p w:rsidR="00911DD1" w:rsidRDefault="00911DD1" w:rsidP="00911DD1">
      <w:pPr>
        <w:bidi/>
        <w:spacing w:after="0"/>
        <w:jc w:val="center"/>
        <w:rPr>
          <w:rFonts w:ascii="Simplified Arabic" w:hAnsi="Simplified Arabic" w:cs="Simplified Arabic"/>
          <w:b/>
          <w:bCs/>
          <w:sz w:val="24"/>
          <w:szCs w:val="24"/>
          <w:rtl/>
          <w:lang w:val="en-US"/>
        </w:rPr>
      </w:pPr>
    </w:p>
    <w:p w:rsidR="00911DD1" w:rsidRDefault="00911DD1" w:rsidP="00911DD1">
      <w:pPr>
        <w:bidi/>
        <w:spacing w:after="0"/>
        <w:jc w:val="center"/>
        <w:rPr>
          <w:rFonts w:ascii="Simplified Arabic" w:hAnsi="Simplified Arabic" w:cs="Simplified Arabic"/>
          <w:b/>
          <w:bCs/>
          <w:sz w:val="24"/>
          <w:szCs w:val="24"/>
          <w:rtl/>
          <w:lang w:val="en-US"/>
        </w:rPr>
      </w:pPr>
    </w:p>
    <w:p w:rsidR="00EE1065" w:rsidRDefault="00EE1065" w:rsidP="00EE1065">
      <w:pPr>
        <w:bidi/>
        <w:spacing w:after="0"/>
        <w:jc w:val="center"/>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lang w:val="en-US"/>
        </w:rPr>
      </w:pPr>
    </w:p>
    <w:p w:rsidR="00995F16" w:rsidRDefault="00995F16" w:rsidP="00995F16">
      <w:pPr>
        <w:bidi/>
        <w:spacing w:after="0"/>
        <w:jc w:val="center"/>
        <w:rPr>
          <w:rFonts w:ascii="Simplified Arabic" w:hAnsi="Simplified Arabic" w:cs="Simplified Arabic"/>
          <w:b/>
          <w:bCs/>
          <w:sz w:val="24"/>
          <w:szCs w:val="24"/>
          <w:lang w:val="en-US"/>
        </w:rPr>
      </w:pPr>
    </w:p>
    <w:p w:rsidR="00995F16" w:rsidRDefault="00995F16" w:rsidP="00995F16">
      <w:pPr>
        <w:bidi/>
        <w:spacing w:after="0"/>
        <w:jc w:val="center"/>
        <w:rPr>
          <w:rFonts w:ascii="Simplified Arabic" w:hAnsi="Simplified Arabic" w:cs="Simplified Arabic"/>
          <w:b/>
          <w:bCs/>
          <w:sz w:val="24"/>
          <w:szCs w:val="24"/>
          <w:lang w:val="en-US"/>
        </w:rPr>
      </w:pPr>
    </w:p>
    <w:p w:rsidR="000B64DE" w:rsidRDefault="000B64DE" w:rsidP="00995F16">
      <w:pPr>
        <w:bidi/>
        <w:spacing w:after="0"/>
        <w:jc w:val="center"/>
        <w:rPr>
          <w:rFonts w:ascii="Simplified Arabic" w:hAnsi="Simplified Arabic" w:cs="Simplified Arabic"/>
          <w:b/>
          <w:bCs/>
          <w:sz w:val="24"/>
          <w:szCs w:val="24"/>
          <w:rtl/>
          <w:lang w:val="en-US"/>
        </w:rPr>
        <w:sectPr w:rsidR="000B64DE" w:rsidSect="00E35FE7">
          <w:headerReference w:type="default" r:id="rId38"/>
          <w:footerReference w:type="default" r:id="rId39"/>
          <w:type w:val="continuous"/>
          <w:pgSz w:w="11906" w:h="16838"/>
          <w:pgMar w:top="1418" w:right="1700" w:bottom="1418" w:left="1134" w:header="709" w:footer="709" w:gutter="0"/>
          <w:pgNumType w:start="10"/>
          <w:cols w:space="708"/>
          <w:docGrid w:linePitch="360"/>
        </w:sectPr>
      </w:pPr>
    </w:p>
    <w:p w:rsidR="00A903CE" w:rsidRPr="0062340E" w:rsidRDefault="00A903CE" w:rsidP="00295A14">
      <w:pPr>
        <w:bidi/>
        <w:spacing w:after="0"/>
        <w:jc w:val="both"/>
        <w:outlineLvl w:val="0"/>
        <w:rPr>
          <w:rFonts w:ascii="Simplified Arabic" w:hAnsi="Simplified Arabic" w:cs="Simplified Arabic"/>
          <w:b/>
          <w:bCs/>
          <w:sz w:val="24"/>
          <w:szCs w:val="24"/>
          <w:rtl/>
          <w:lang w:bidi="ar-DZ"/>
        </w:rPr>
      </w:pPr>
      <w:bookmarkStart w:id="71" w:name="_Toc171803309"/>
      <w:r w:rsidRPr="0062340E">
        <w:rPr>
          <w:rFonts w:ascii="Simplified Arabic" w:hAnsi="Simplified Arabic" w:cs="Simplified Arabic" w:hint="cs"/>
          <w:b/>
          <w:bCs/>
          <w:sz w:val="24"/>
          <w:szCs w:val="24"/>
          <w:rtl/>
          <w:lang w:bidi="ar-DZ"/>
        </w:rPr>
        <w:lastRenderedPageBreak/>
        <w:t>تمهيد</w:t>
      </w:r>
      <w:bookmarkEnd w:id="71"/>
    </w:p>
    <w:p w:rsidR="00A903CE" w:rsidRPr="0062340E" w:rsidRDefault="00A903CE" w:rsidP="0062340E">
      <w:pPr>
        <w:tabs>
          <w:tab w:val="right" w:pos="282"/>
        </w:tabs>
        <w:bidi/>
        <w:spacing w:before="240"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 xml:space="preserve">يتناول هذا الفصل جانب من الاطار النظري من اجل شرح وتبسيط بعض مفاهيم ومصطلحات الفرضيتان الخاصتان بالبحث، الاسهام في فهم الاسس والنظريات التي تسمح بتحليل انماط </w:t>
      </w:r>
      <w:r w:rsidR="008A3721" w:rsidRPr="0062340E">
        <w:rPr>
          <w:rFonts w:ascii="Simplified Arabic" w:hAnsi="Simplified Arabic" w:cs="Simplified Arabic" w:hint="cs"/>
          <w:sz w:val="24"/>
          <w:szCs w:val="24"/>
          <w:rtl/>
        </w:rPr>
        <w:t xml:space="preserve">استعمالات </w:t>
      </w:r>
      <w:r w:rsidR="008A3721" w:rsidRPr="0062340E">
        <w:rPr>
          <w:rFonts w:ascii="Simplified Arabic" w:hAnsi="Simplified Arabic" w:cs="Simplified Arabic" w:hint="cs"/>
          <w:sz w:val="24"/>
          <w:szCs w:val="24"/>
          <w:rtl/>
          <w:lang w:bidi="ar-DZ"/>
        </w:rPr>
        <w:t xml:space="preserve">الاراضي </w:t>
      </w:r>
      <w:r w:rsidRPr="0062340E">
        <w:rPr>
          <w:rFonts w:ascii="Simplified Arabic" w:hAnsi="Simplified Arabic" w:cs="Simplified Arabic" w:hint="cs"/>
          <w:sz w:val="24"/>
          <w:szCs w:val="24"/>
          <w:rtl/>
          <w:lang w:bidi="ar-DZ"/>
        </w:rPr>
        <w:t xml:space="preserve">الحضرية لمدينة بوسعادة من جهة، من جهة اخرى تسمح ايضا بوضع اطار مفاهيمي لتقييم المرونة الحضرية. </w:t>
      </w:r>
    </w:p>
    <w:p w:rsidR="00A903CE" w:rsidRPr="0062340E" w:rsidRDefault="00A903CE" w:rsidP="0062340E">
      <w:pPr>
        <w:tabs>
          <w:tab w:val="right" w:pos="282"/>
        </w:tabs>
        <w:bidi/>
        <w:spacing w:before="240"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 xml:space="preserve">يتكون هذا الفصل من ثلاثة اقسام، </w:t>
      </w:r>
      <w:r w:rsidR="000743B1" w:rsidRPr="0062340E">
        <w:rPr>
          <w:rFonts w:ascii="Simplified Arabic" w:hAnsi="Simplified Arabic" w:cs="Simplified Arabic" w:hint="cs"/>
          <w:sz w:val="24"/>
          <w:szCs w:val="24"/>
          <w:rtl/>
          <w:lang w:bidi="ar-DZ"/>
        </w:rPr>
        <w:t xml:space="preserve">حيث </w:t>
      </w:r>
      <w:r w:rsidRPr="0062340E">
        <w:rPr>
          <w:rFonts w:ascii="Simplified Arabic" w:hAnsi="Simplified Arabic" w:cs="Simplified Arabic" w:hint="cs"/>
          <w:sz w:val="24"/>
          <w:szCs w:val="24"/>
          <w:rtl/>
          <w:lang w:bidi="ar-DZ"/>
        </w:rPr>
        <w:t xml:space="preserve">يتناول القسم الاول، المفاهيم والتعاريف المتعلقة بنمط </w:t>
      </w:r>
      <w:r w:rsidR="008A3721" w:rsidRPr="0062340E">
        <w:rPr>
          <w:rFonts w:ascii="Simplified Arabic" w:hAnsi="Simplified Arabic" w:cs="Simplified Arabic" w:hint="cs"/>
          <w:sz w:val="24"/>
          <w:szCs w:val="24"/>
          <w:rtl/>
        </w:rPr>
        <w:t xml:space="preserve">استعمالات </w:t>
      </w:r>
      <w:r w:rsidR="008A3721" w:rsidRPr="0062340E">
        <w:rPr>
          <w:rFonts w:ascii="Simplified Arabic" w:hAnsi="Simplified Arabic" w:cs="Simplified Arabic" w:hint="cs"/>
          <w:sz w:val="24"/>
          <w:szCs w:val="24"/>
          <w:rtl/>
          <w:lang w:bidi="ar-DZ"/>
        </w:rPr>
        <w:t xml:space="preserve">الاراضي </w:t>
      </w:r>
      <w:r w:rsidRPr="0062340E">
        <w:rPr>
          <w:rFonts w:ascii="Simplified Arabic" w:hAnsi="Simplified Arabic" w:cs="Simplified Arabic" w:hint="cs"/>
          <w:sz w:val="24"/>
          <w:szCs w:val="24"/>
          <w:rtl/>
          <w:lang w:bidi="ar-DZ"/>
        </w:rPr>
        <w:t>الحضرية، اذ عرفت</w:t>
      </w:r>
      <w:r w:rsidRPr="0062340E">
        <w:rPr>
          <w:rFonts w:ascii="Simplified Arabic" w:hAnsi="Simplified Arabic" w:cs="Simplified Arabic"/>
          <w:sz w:val="24"/>
          <w:szCs w:val="24"/>
          <w:lang w:bidi="ar-DZ"/>
        </w:rPr>
        <w:t xml:space="preserve"> </w:t>
      </w:r>
      <w:r w:rsidRPr="0062340E">
        <w:rPr>
          <w:rFonts w:ascii="Simplified Arabic" w:hAnsi="Simplified Arabic" w:cs="Simplified Arabic" w:hint="cs"/>
          <w:sz w:val="24"/>
          <w:szCs w:val="24"/>
          <w:rtl/>
          <w:lang w:bidi="ar-DZ"/>
        </w:rPr>
        <w:t>المدن</w:t>
      </w:r>
      <w:r w:rsidRPr="0062340E">
        <w:rPr>
          <w:rFonts w:ascii="Simplified Arabic" w:hAnsi="Simplified Arabic" w:cs="Simplified Arabic"/>
          <w:sz w:val="24"/>
          <w:szCs w:val="24"/>
          <w:lang w:bidi="ar-DZ"/>
        </w:rPr>
        <w:t xml:space="preserve"> </w:t>
      </w:r>
      <w:r w:rsidRPr="0062340E">
        <w:rPr>
          <w:rFonts w:ascii="Simplified Arabic" w:hAnsi="Simplified Arabic" w:cs="Simplified Arabic" w:hint="cs"/>
          <w:sz w:val="24"/>
          <w:szCs w:val="24"/>
          <w:rtl/>
          <w:lang w:bidi="ar-DZ"/>
        </w:rPr>
        <w:t>ومازالت</w:t>
      </w:r>
      <w:r w:rsidRPr="0062340E">
        <w:rPr>
          <w:rFonts w:ascii="Simplified Arabic" w:hAnsi="Simplified Arabic" w:cs="Simplified Arabic"/>
          <w:sz w:val="24"/>
          <w:szCs w:val="24"/>
          <w:lang w:bidi="ar-DZ"/>
        </w:rPr>
        <w:t xml:space="preserve"> </w:t>
      </w:r>
      <w:r w:rsidRPr="0062340E">
        <w:rPr>
          <w:rFonts w:ascii="Simplified Arabic" w:hAnsi="Simplified Arabic" w:cs="Simplified Arabic" w:hint="cs"/>
          <w:sz w:val="24"/>
          <w:szCs w:val="24"/>
          <w:rtl/>
          <w:lang w:bidi="ar-DZ"/>
        </w:rPr>
        <w:t>تعرف فترات نمو حضري متتالية ومستمرة</w:t>
      </w:r>
      <w:r w:rsidRPr="0062340E">
        <w:rPr>
          <w:rFonts w:ascii="Simplified Arabic" w:hAnsi="Simplified Arabic" w:cs="Simplified Arabic"/>
          <w:sz w:val="24"/>
          <w:szCs w:val="24"/>
          <w:lang w:bidi="ar-DZ"/>
        </w:rPr>
        <w:t xml:space="preserve"> </w:t>
      </w:r>
      <w:r w:rsidRPr="0062340E">
        <w:rPr>
          <w:rFonts w:ascii="Simplified Arabic" w:hAnsi="Simplified Arabic" w:cs="Simplified Arabic" w:hint="cs"/>
          <w:sz w:val="24"/>
          <w:szCs w:val="24"/>
          <w:rtl/>
          <w:lang w:bidi="ar-DZ"/>
        </w:rPr>
        <w:t>عبر</w:t>
      </w:r>
      <w:r w:rsidRPr="0062340E">
        <w:rPr>
          <w:rFonts w:ascii="Simplified Arabic" w:hAnsi="Simplified Arabic" w:cs="Simplified Arabic"/>
          <w:sz w:val="24"/>
          <w:szCs w:val="24"/>
          <w:lang w:bidi="ar-DZ"/>
        </w:rPr>
        <w:t xml:space="preserve"> </w:t>
      </w:r>
      <w:r w:rsidRPr="0062340E">
        <w:rPr>
          <w:rFonts w:ascii="Simplified Arabic" w:hAnsi="Simplified Arabic" w:cs="Simplified Arabic" w:hint="cs"/>
          <w:sz w:val="24"/>
          <w:szCs w:val="24"/>
          <w:rtl/>
          <w:lang w:bidi="ar-DZ"/>
        </w:rPr>
        <w:t>مراحلها التاريخية ومدينة بوسعادة مثال على ذلك، حيث تتنوع انسجتها الحضرية بتنوع الخصائص العمرانية ل</w:t>
      </w:r>
      <w:r w:rsidR="008A3721" w:rsidRPr="0062340E">
        <w:rPr>
          <w:rFonts w:ascii="Simplified Arabic" w:hAnsi="Simplified Arabic" w:cs="Simplified Arabic" w:hint="cs"/>
          <w:sz w:val="24"/>
          <w:szCs w:val="24"/>
          <w:rtl/>
        </w:rPr>
        <w:t xml:space="preserve">استعمالات </w:t>
      </w:r>
      <w:r w:rsidRPr="0062340E">
        <w:rPr>
          <w:rFonts w:ascii="Simplified Arabic" w:hAnsi="Simplified Arabic" w:cs="Simplified Arabic" w:hint="cs"/>
          <w:sz w:val="24"/>
          <w:szCs w:val="24"/>
          <w:rtl/>
          <w:lang w:bidi="ar-DZ"/>
        </w:rPr>
        <w:t xml:space="preserve">الأرض. بينما يتناول القسم الثاني، المفاهيم والتعاريف المتعلقة بالمرونة الحضرية، التي ظهرت كمفهوم حديث تناولته العديد من الدراسات الحضرية، على اختلاف مناهج دراستها وابعادها. اما في القسم الثالث، يتم توضيح العلاقة بين </w:t>
      </w:r>
      <w:r w:rsidR="008A3721" w:rsidRPr="0062340E">
        <w:rPr>
          <w:rFonts w:ascii="Simplified Arabic" w:hAnsi="Simplified Arabic" w:cs="Simplified Arabic" w:hint="cs"/>
          <w:sz w:val="24"/>
          <w:szCs w:val="24"/>
          <w:rtl/>
        </w:rPr>
        <w:t xml:space="preserve">استعمالات </w:t>
      </w:r>
      <w:r w:rsidR="008A3721" w:rsidRPr="0062340E">
        <w:rPr>
          <w:rFonts w:ascii="Simplified Arabic" w:hAnsi="Simplified Arabic" w:cs="Simplified Arabic" w:hint="cs"/>
          <w:sz w:val="24"/>
          <w:szCs w:val="24"/>
          <w:rtl/>
          <w:lang w:bidi="ar-DZ"/>
        </w:rPr>
        <w:t xml:space="preserve">الاراضي </w:t>
      </w:r>
      <w:r w:rsidRPr="0062340E">
        <w:rPr>
          <w:rFonts w:ascii="Simplified Arabic" w:hAnsi="Simplified Arabic" w:cs="Simplified Arabic" w:hint="cs"/>
          <w:sz w:val="24"/>
          <w:szCs w:val="24"/>
          <w:rtl/>
          <w:lang w:bidi="ar-DZ"/>
        </w:rPr>
        <w:t>الحضرية التي يشكل مجموعها نظامًا حضريًا وبين المرونة الحضرية التي تم دمجها خلال العشرون سنة السابقة ضمن استراتيجيات التخطيط والتسيير الحضريين</w:t>
      </w:r>
      <w:r w:rsidRPr="0062340E">
        <w:rPr>
          <w:rFonts w:ascii="Simplified Arabic" w:hAnsi="Simplified Arabic" w:cs="Simplified Arabic"/>
          <w:sz w:val="24"/>
          <w:szCs w:val="24"/>
          <w:rtl/>
          <w:lang w:bidi="ar-DZ"/>
        </w:rPr>
        <w:t>.</w:t>
      </w:r>
    </w:p>
    <w:p w:rsidR="00A903CE" w:rsidRPr="0062340E" w:rsidRDefault="00A903CE" w:rsidP="00816C56">
      <w:pPr>
        <w:pStyle w:val="Paragraphedeliste"/>
        <w:numPr>
          <w:ilvl w:val="1"/>
          <w:numId w:val="190"/>
        </w:numPr>
        <w:tabs>
          <w:tab w:val="right" w:pos="567"/>
        </w:tabs>
        <w:autoSpaceDE w:val="0"/>
        <w:autoSpaceDN w:val="0"/>
        <w:bidi/>
        <w:adjustRightInd w:val="0"/>
        <w:spacing w:before="240"/>
        <w:ind w:left="0" w:firstLine="0"/>
        <w:outlineLvl w:val="0"/>
        <w:rPr>
          <w:rFonts w:ascii="Simplified Arabic" w:hAnsi="Simplified Arabic" w:cs="Simplified Arabic"/>
          <w:b/>
          <w:bCs/>
          <w:color w:val="262626"/>
          <w:sz w:val="24"/>
          <w:szCs w:val="24"/>
          <w:rtl/>
          <w:lang w:val="en-US"/>
        </w:rPr>
      </w:pPr>
      <w:bookmarkStart w:id="72" w:name="_Toc171803310"/>
      <w:r w:rsidRPr="0062340E">
        <w:rPr>
          <w:rFonts w:ascii="Simplified Arabic" w:hAnsi="Simplified Arabic" w:cs="Simplified Arabic" w:hint="cs"/>
          <w:b/>
          <w:bCs/>
          <w:color w:val="262626"/>
          <w:sz w:val="24"/>
          <w:szCs w:val="24"/>
          <w:rtl/>
          <w:lang w:val="en-US"/>
        </w:rPr>
        <w:t>الاطار المفاهيمي ل</w:t>
      </w:r>
      <w:r w:rsidR="008A3721" w:rsidRPr="0062340E">
        <w:rPr>
          <w:rFonts w:ascii="Simplified Arabic" w:hAnsi="Simplified Arabic" w:cs="Simplified Arabic" w:hint="cs"/>
          <w:b/>
          <w:bCs/>
          <w:color w:val="262626"/>
          <w:sz w:val="24"/>
          <w:szCs w:val="24"/>
          <w:rtl/>
          <w:lang w:val="en-US"/>
        </w:rPr>
        <w:t>استعمالات الاراضي</w:t>
      </w:r>
      <w:r w:rsidR="008A3721"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b/>
          <w:bCs/>
          <w:color w:val="262626"/>
          <w:sz w:val="24"/>
          <w:szCs w:val="24"/>
          <w:rtl/>
          <w:lang w:val="en-US"/>
        </w:rPr>
        <w:t>الحضرية</w:t>
      </w:r>
      <w:bookmarkEnd w:id="72"/>
    </w:p>
    <w:p w:rsidR="00A903CE" w:rsidRPr="0062340E" w:rsidRDefault="00A903CE" w:rsidP="006D22A4">
      <w:pPr>
        <w:pStyle w:val="Paragraphedeliste"/>
        <w:numPr>
          <w:ilvl w:val="2"/>
          <w:numId w:val="190"/>
        </w:numPr>
        <w:tabs>
          <w:tab w:val="right" w:pos="850"/>
        </w:tabs>
        <w:bidi/>
        <w:spacing w:before="240" w:after="0"/>
        <w:ind w:left="0" w:firstLine="0"/>
        <w:outlineLvl w:val="1"/>
        <w:rPr>
          <w:rFonts w:ascii="Simplified Arabic" w:hAnsi="Simplified Arabic" w:cs="Simplified Arabic"/>
          <w:b/>
          <w:bCs/>
          <w:color w:val="000000" w:themeColor="text1"/>
          <w:sz w:val="24"/>
          <w:szCs w:val="24"/>
          <w:rtl/>
          <w:lang w:val="en-US"/>
        </w:rPr>
      </w:pPr>
      <w:bookmarkStart w:id="73" w:name="_Toc171803311"/>
      <w:r w:rsidRPr="0062340E">
        <w:rPr>
          <w:rFonts w:ascii="Simplified Arabic" w:hAnsi="Simplified Arabic" w:cs="Simplified Arabic" w:hint="cs"/>
          <w:b/>
          <w:bCs/>
          <w:color w:val="000000" w:themeColor="text1"/>
          <w:sz w:val="24"/>
          <w:szCs w:val="24"/>
          <w:rtl/>
        </w:rPr>
        <w:t>مفهوم اثر</w:t>
      </w:r>
      <w:r w:rsidRPr="0062340E">
        <w:rPr>
          <w:rFonts w:ascii="Simplified Arabic" w:hAnsi="Simplified Arabic" w:cs="Simplified Arabic" w:hint="cs"/>
          <w:b/>
          <w:bCs/>
          <w:color w:val="000000" w:themeColor="text1"/>
          <w:sz w:val="24"/>
          <w:szCs w:val="24"/>
          <w:rtl/>
          <w:lang w:val="en-US"/>
        </w:rPr>
        <w:t xml:space="preserve"> </w:t>
      </w:r>
      <w:r w:rsidRPr="0062340E">
        <w:rPr>
          <w:rFonts w:asciiTheme="majorBidi" w:hAnsiTheme="majorBidi" w:cstheme="majorBidi"/>
          <w:b/>
          <w:bCs/>
          <w:color w:val="000000" w:themeColor="text1"/>
          <w:sz w:val="24"/>
          <w:szCs w:val="24"/>
          <w:rtl/>
        </w:rPr>
        <w:t>(</w:t>
      </w:r>
      <w:r w:rsidRPr="0062340E">
        <w:rPr>
          <w:rFonts w:asciiTheme="majorBidi" w:hAnsiTheme="majorBidi" w:cstheme="majorBidi"/>
          <w:b/>
          <w:bCs/>
          <w:color w:val="000000" w:themeColor="text1"/>
          <w:sz w:val="24"/>
          <w:szCs w:val="24"/>
        </w:rPr>
        <w:t>Impact</w:t>
      </w:r>
      <w:r w:rsidRPr="0062340E">
        <w:rPr>
          <w:rFonts w:asciiTheme="majorBidi" w:hAnsiTheme="majorBidi" w:cstheme="majorBidi"/>
          <w:b/>
          <w:bCs/>
          <w:color w:val="000000" w:themeColor="text1"/>
          <w:sz w:val="24"/>
          <w:szCs w:val="24"/>
          <w:rtl/>
        </w:rPr>
        <w:t>)</w:t>
      </w:r>
      <w:bookmarkEnd w:id="73"/>
    </w:p>
    <w:p w:rsidR="00A903CE" w:rsidRPr="0062340E" w:rsidRDefault="00A903CE" w:rsidP="008A3721">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اثر هو فعل مباشر او غير مباشر لظاهرة</w:t>
      </w:r>
      <w:r w:rsidRPr="0062340E">
        <w:rPr>
          <w:rFonts w:ascii="Simplified Arabic" w:hAnsi="Simplified Arabic" w:cs="Simplified Arabic" w:hint="cs"/>
          <w:color w:val="000000" w:themeColor="text1"/>
          <w:sz w:val="24"/>
          <w:szCs w:val="24"/>
          <w:rtl/>
          <w:lang w:bidi="ar-DZ"/>
        </w:rPr>
        <w:t xml:space="preserve"> ما</w:t>
      </w:r>
      <w:r w:rsidRPr="0062340E">
        <w:rPr>
          <w:rFonts w:ascii="Simplified Arabic" w:hAnsi="Simplified Arabic" w:cs="Simplified Arabic" w:hint="cs"/>
          <w:color w:val="000000" w:themeColor="text1"/>
          <w:sz w:val="24"/>
          <w:szCs w:val="24"/>
          <w:rtl/>
        </w:rPr>
        <w:t xml:space="preserve"> </w:t>
      </w:r>
      <w:r w:rsidRPr="0062340E">
        <w:rPr>
          <w:rFonts w:asciiTheme="majorBidi" w:hAnsiTheme="majorBidi" w:cstheme="majorBidi"/>
          <w:color w:val="000000" w:themeColor="text1"/>
          <w:sz w:val="24"/>
          <w:szCs w:val="24"/>
          <w:rtl/>
        </w:rPr>
        <w:t>(1978</w:t>
      </w:r>
      <w:r w:rsidRPr="0062340E">
        <w:rPr>
          <w:rFonts w:asciiTheme="majorBidi" w:hAnsiTheme="majorBidi" w:cstheme="majorBidi"/>
          <w:color w:val="000000" w:themeColor="text1"/>
          <w:sz w:val="24"/>
          <w:szCs w:val="24"/>
        </w:rPr>
        <w:t xml:space="preserve">(George, </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في اطار هذا البحث، يقصد بظاهرة </w:t>
      </w:r>
      <w:r w:rsidR="00AD1A56" w:rsidRPr="0062340E">
        <w:rPr>
          <w:rFonts w:ascii="Simplified Arabic" w:hAnsi="Simplified Arabic" w:cs="Simplified Arabic" w:hint="cs"/>
          <w:color w:val="000000" w:themeColor="text1"/>
          <w:sz w:val="24"/>
          <w:szCs w:val="24"/>
          <w:rtl/>
        </w:rPr>
        <w:t>تباين</w:t>
      </w:r>
      <w:r w:rsidRPr="0062340E">
        <w:rPr>
          <w:rFonts w:ascii="Simplified Arabic" w:hAnsi="Simplified Arabic" w:cs="Simplified Arabic" w:hint="cs"/>
          <w:color w:val="000000" w:themeColor="text1"/>
          <w:sz w:val="24"/>
          <w:szCs w:val="24"/>
          <w:rtl/>
        </w:rPr>
        <w:t xml:space="preserve"> </w:t>
      </w:r>
      <w:r w:rsidR="008A3721" w:rsidRPr="0062340E">
        <w:rPr>
          <w:rFonts w:ascii="Simplified Arabic" w:hAnsi="Simplified Arabic" w:cs="Simplified Arabic" w:hint="cs"/>
          <w:sz w:val="24"/>
          <w:szCs w:val="24"/>
          <w:rtl/>
        </w:rPr>
        <w:t xml:space="preserve">استعمالات </w:t>
      </w:r>
      <w:r w:rsidRPr="0062340E">
        <w:rPr>
          <w:rFonts w:ascii="Simplified Arabic" w:hAnsi="Simplified Arabic" w:cs="Simplified Arabic" w:hint="cs"/>
          <w:color w:val="000000" w:themeColor="text1"/>
          <w:sz w:val="24"/>
          <w:szCs w:val="24"/>
          <w:rtl/>
        </w:rPr>
        <w:t xml:space="preserve">الارض ضمن </w:t>
      </w:r>
      <w:r w:rsidR="00AD1A56" w:rsidRPr="0062340E">
        <w:rPr>
          <w:rFonts w:ascii="Simplified Arabic" w:hAnsi="Simplified Arabic" w:cs="Simplified Arabic" w:hint="cs"/>
          <w:color w:val="000000" w:themeColor="text1"/>
          <w:sz w:val="24"/>
          <w:szCs w:val="24"/>
          <w:rtl/>
        </w:rPr>
        <w:t xml:space="preserve">فئات </w:t>
      </w:r>
      <w:r w:rsidRPr="0062340E">
        <w:rPr>
          <w:rFonts w:ascii="Simplified Arabic" w:hAnsi="Simplified Arabic" w:cs="Simplified Arabic" w:hint="cs"/>
          <w:color w:val="000000" w:themeColor="text1"/>
          <w:sz w:val="24"/>
          <w:szCs w:val="24"/>
          <w:rtl/>
        </w:rPr>
        <w:t xml:space="preserve">الانسجة الحضرية القائمة </w:t>
      </w:r>
      <w:r w:rsidR="00410240" w:rsidRPr="0062340E">
        <w:rPr>
          <w:rFonts w:ascii="Simplified Arabic" w:hAnsi="Simplified Arabic" w:cs="Simplified Arabic" w:hint="cs"/>
          <w:color w:val="000000" w:themeColor="text1"/>
          <w:sz w:val="24"/>
          <w:szCs w:val="24"/>
          <w:rtl/>
        </w:rPr>
        <w:t>لمدينة ب</w:t>
      </w:r>
      <w:r w:rsidR="00007CD8" w:rsidRPr="0062340E">
        <w:rPr>
          <w:rFonts w:ascii="Simplified Arabic" w:hAnsi="Simplified Arabic" w:cs="Simplified Arabic" w:hint="cs"/>
          <w:color w:val="000000" w:themeColor="text1"/>
          <w:sz w:val="24"/>
          <w:szCs w:val="24"/>
          <w:rtl/>
        </w:rPr>
        <w:t>وسعادة</w:t>
      </w:r>
      <w:r w:rsidRPr="0062340E">
        <w:rPr>
          <w:rFonts w:ascii="Simplified Arabic" w:hAnsi="Simplified Arabic" w:cs="Simplified Arabic" w:hint="cs"/>
          <w:color w:val="000000" w:themeColor="text1"/>
          <w:sz w:val="24"/>
          <w:szCs w:val="24"/>
          <w:rtl/>
        </w:rPr>
        <w:t xml:space="preserve">.  </w:t>
      </w:r>
    </w:p>
    <w:p w:rsidR="00816C56" w:rsidRPr="0062340E" w:rsidRDefault="00816C56" w:rsidP="00816C56">
      <w:pPr>
        <w:pStyle w:val="Paragraphedeliste"/>
        <w:numPr>
          <w:ilvl w:val="0"/>
          <w:numId w:val="10"/>
        </w:numPr>
        <w:tabs>
          <w:tab w:val="right" w:pos="708"/>
        </w:tabs>
        <w:bidi/>
        <w:spacing w:after="0"/>
        <w:outlineLvl w:val="1"/>
        <w:rPr>
          <w:rFonts w:ascii="Simplified Arabic" w:hAnsi="Simplified Arabic" w:cs="Simplified Arabic"/>
          <w:b/>
          <w:bCs/>
          <w:vanish/>
          <w:color w:val="000000" w:themeColor="text1"/>
          <w:sz w:val="24"/>
          <w:szCs w:val="24"/>
          <w:rtl/>
        </w:rPr>
      </w:pPr>
      <w:bookmarkStart w:id="74" w:name="_Toc171803312"/>
      <w:bookmarkEnd w:id="74"/>
    </w:p>
    <w:p w:rsidR="00816C56" w:rsidRPr="0062340E" w:rsidRDefault="00816C56" w:rsidP="00816C56">
      <w:pPr>
        <w:pStyle w:val="Paragraphedeliste"/>
        <w:numPr>
          <w:ilvl w:val="0"/>
          <w:numId w:val="10"/>
        </w:numPr>
        <w:tabs>
          <w:tab w:val="right" w:pos="708"/>
        </w:tabs>
        <w:bidi/>
        <w:spacing w:after="0"/>
        <w:outlineLvl w:val="1"/>
        <w:rPr>
          <w:rFonts w:ascii="Simplified Arabic" w:hAnsi="Simplified Arabic" w:cs="Simplified Arabic"/>
          <w:b/>
          <w:bCs/>
          <w:vanish/>
          <w:color w:val="000000" w:themeColor="text1"/>
          <w:sz w:val="24"/>
          <w:szCs w:val="24"/>
          <w:rtl/>
        </w:rPr>
      </w:pPr>
      <w:bookmarkStart w:id="75" w:name="_Toc171803313"/>
      <w:bookmarkEnd w:id="75"/>
    </w:p>
    <w:p w:rsidR="00816C56" w:rsidRPr="0062340E" w:rsidRDefault="00816C56" w:rsidP="00816C56">
      <w:pPr>
        <w:pStyle w:val="Paragraphedeliste"/>
        <w:numPr>
          <w:ilvl w:val="1"/>
          <w:numId w:val="10"/>
        </w:numPr>
        <w:tabs>
          <w:tab w:val="right" w:pos="708"/>
        </w:tabs>
        <w:bidi/>
        <w:spacing w:after="0"/>
        <w:outlineLvl w:val="1"/>
        <w:rPr>
          <w:rFonts w:ascii="Simplified Arabic" w:hAnsi="Simplified Arabic" w:cs="Simplified Arabic"/>
          <w:b/>
          <w:bCs/>
          <w:vanish/>
          <w:color w:val="000000" w:themeColor="text1"/>
          <w:sz w:val="24"/>
          <w:szCs w:val="24"/>
          <w:rtl/>
        </w:rPr>
      </w:pPr>
      <w:bookmarkStart w:id="76" w:name="_Toc171803314"/>
      <w:bookmarkEnd w:id="76"/>
    </w:p>
    <w:p w:rsidR="00A903CE" w:rsidRPr="0062340E" w:rsidRDefault="00A903CE" w:rsidP="00D57FDF">
      <w:pPr>
        <w:pStyle w:val="Paragraphedeliste"/>
        <w:numPr>
          <w:ilvl w:val="2"/>
          <w:numId w:val="10"/>
        </w:numPr>
        <w:tabs>
          <w:tab w:val="right" w:pos="850"/>
        </w:tabs>
        <w:bidi/>
        <w:spacing w:before="240" w:after="0"/>
        <w:ind w:left="0" w:firstLine="0"/>
        <w:outlineLvl w:val="1"/>
        <w:rPr>
          <w:rFonts w:asciiTheme="majorBidi" w:hAnsiTheme="majorBidi" w:cstheme="majorBidi"/>
          <w:color w:val="000000" w:themeColor="text1"/>
          <w:sz w:val="24"/>
          <w:szCs w:val="24"/>
        </w:rPr>
      </w:pPr>
      <w:bookmarkStart w:id="77" w:name="_Toc171803315"/>
      <w:r w:rsidRPr="0062340E">
        <w:rPr>
          <w:rFonts w:ascii="Simplified Arabic" w:hAnsi="Simplified Arabic" w:cs="Simplified Arabic" w:hint="cs"/>
          <w:b/>
          <w:bCs/>
          <w:color w:val="000000" w:themeColor="text1"/>
          <w:sz w:val="24"/>
          <w:szCs w:val="24"/>
          <w:rtl/>
        </w:rPr>
        <w:t xml:space="preserve">مفهوم </w:t>
      </w:r>
      <w:r w:rsidRPr="0062340E">
        <w:rPr>
          <w:rFonts w:ascii="Simplified Arabic" w:hAnsi="Simplified Arabic" w:cs="Simplified Arabic"/>
          <w:b/>
          <w:bCs/>
          <w:color w:val="000000" w:themeColor="text1"/>
          <w:sz w:val="24"/>
          <w:szCs w:val="24"/>
          <w:rtl/>
        </w:rPr>
        <w:t>نمط</w:t>
      </w:r>
      <w:r w:rsidRPr="0062340E">
        <w:rPr>
          <w:rFonts w:asciiTheme="majorBidi" w:hAnsiTheme="majorBidi" w:cstheme="majorBidi" w:hint="cs"/>
          <w:color w:val="000000" w:themeColor="text1"/>
          <w:sz w:val="24"/>
          <w:szCs w:val="24"/>
          <w:rtl/>
        </w:rPr>
        <w:t xml:space="preserve"> </w:t>
      </w:r>
      <w:r w:rsidRPr="0062340E">
        <w:rPr>
          <w:rFonts w:asciiTheme="majorBidi" w:hAnsiTheme="majorBidi" w:cstheme="majorBidi" w:hint="cs"/>
          <w:b/>
          <w:bCs/>
          <w:color w:val="000000" w:themeColor="text1"/>
          <w:sz w:val="24"/>
          <w:szCs w:val="24"/>
          <w:rtl/>
        </w:rPr>
        <w:t>(</w:t>
      </w:r>
      <w:r w:rsidRPr="0062340E">
        <w:rPr>
          <w:rFonts w:asciiTheme="majorBidi" w:hAnsiTheme="majorBidi" w:cstheme="majorBidi"/>
          <w:b/>
          <w:bCs/>
          <w:color w:val="000000" w:themeColor="text1"/>
          <w:sz w:val="24"/>
          <w:szCs w:val="24"/>
        </w:rPr>
        <w:t>Mode</w:t>
      </w:r>
      <w:r w:rsidRPr="0062340E">
        <w:rPr>
          <w:rFonts w:asciiTheme="majorBidi" w:hAnsiTheme="majorBidi" w:cstheme="majorBidi" w:hint="cs"/>
          <w:b/>
          <w:bCs/>
          <w:color w:val="000000" w:themeColor="text1"/>
          <w:sz w:val="24"/>
          <w:szCs w:val="24"/>
          <w:rtl/>
        </w:rPr>
        <w:t>)</w:t>
      </w:r>
      <w:bookmarkEnd w:id="77"/>
    </w:p>
    <w:p w:rsidR="00A903CE" w:rsidRPr="0062340E" w:rsidRDefault="00A903CE" w:rsidP="00AD1A56">
      <w:pPr>
        <w:tabs>
          <w:tab w:val="right" w:pos="282"/>
        </w:tabs>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color w:val="000000" w:themeColor="text1"/>
          <w:sz w:val="24"/>
          <w:szCs w:val="24"/>
          <w:rtl/>
        </w:rPr>
        <w:t>النمط</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يعني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نظام</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توزيع</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ظاهرة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ما</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ع</w:t>
      </w:r>
      <w:r w:rsidRPr="0062340E">
        <w:rPr>
          <w:rFonts w:ascii="Simplified Arabic" w:hAnsi="Simplified Arabic" w:cs="Simplified Arabic" w:hint="cs"/>
          <w:color w:val="000000" w:themeColor="text1"/>
          <w:sz w:val="24"/>
          <w:szCs w:val="24"/>
          <w:rtl/>
        </w:rPr>
        <w:t>ل</w:t>
      </w:r>
      <w:r w:rsidRPr="0062340E">
        <w:rPr>
          <w:rFonts w:ascii="Simplified Arabic" w:hAnsi="Simplified Arabic" w:cs="Simplified Arabic"/>
          <w:color w:val="000000" w:themeColor="text1"/>
          <w:sz w:val="24"/>
          <w:szCs w:val="24"/>
          <w:rtl/>
        </w:rPr>
        <w:t>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سطح</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الأرض،</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حيث</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تُستخدم</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ك</w:t>
      </w:r>
      <w:r w:rsidRPr="0062340E">
        <w:rPr>
          <w:rFonts w:ascii="Simplified Arabic" w:hAnsi="Simplified Arabic" w:cs="Simplified Arabic" w:hint="cs"/>
          <w:color w:val="000000" w:themeColor="text1"/>
          <w:sz w:val="24"/>
          <w:szCs w:val="24"/>
          <w:rtl/>
        </w:rPr>
        <w:t>ل</w:t>
      </w:r>
      <w:r w:rsidRPr="0062340E">
        <w:rPr>
          <w:rFonts w:ascii="Simplified Arabic" w:hAnsi="Simplified Arabic" w:cs="Simplified Arabic"/>
          <w:color w:val="000000" w:themeColor="text1"/>
          <w:sz w:val="24"/>
          <w:szCs w:val="24"/>
          <w:rtl/>
        </w:rPr>
        <w:t>مة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نمط</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ك</w:t>
      </w:r>
      <w:r w:rsidRPr="0062340E">
        <w:rPr>
          <w:rFonts w:ascii="Simplified Arabic" w:hAnsi="Simplified Arabic" w:cs="Simplified Arabic" w:hint="cs"/>
          <w:color w:val="000000" w:themeColor="text1"/>
          <w:sz w:val="24"/>
          <w:szCs w:val="24"/>
          <w:rtl/>
        </w:rPr>
        <w:t xml:space="preserve">مرادف </w:t>
      </w:r>
      <w:r w:rsidRPr="0062340E">
        <w:rPr>
          <w:rFonts w:ascii="Simplified Arabic" w:hAnsi="Simplified Arabic" w:cs="Simplified Arabic"/>
          <w:color w:val="000000" w:themeColor="text1"/>
          <w:sz w:val="24"/>
          <w:szCs w:val="24"/>
          <w:rtl/>
        </w:rPr>
        <w:t>لك</w:t>
      </w:r>
      <w:r w:rsidRPr="0062340E">
        <w:rPr>
          <w:rFonts w:ascii="Simplified Arabic" w:hAnsi="Simplified Arabic" w:cs="Simplified Arabic" w:hint="cs"/>
          <w:color w:val="000000" w:themeColor="text1"/>
          <w:sz w:val="24"/>
          <w:szCs w:val="24"/>
          <w:rtl/>
        </w:rPr>
        <w:t>ل</w:t>
      </w:r>
      <w:r w:rsidRPr="0062340E">
        <w:rPr>
          <w:rFonts w:ascii="Simplified Arabic" w:hAnsi="Simplified Arabic" w:cs="Simplified Arabic"/>
          <w:color w:val="000000" w:themeColor="text1"/>
          <w:sz w:val="24"/>
          <w:szCs w:val="24"/>
          <w:rtl/>
        </w:rPr>
        <w:t>مة</w:t>
      </w:r>
      <w:r w:rsidRPr="0062340E">
        <w:rPr>
          <w:rFonts w:ascii="Simplified Arabic" w:hAnsi="Simplified Arabic" w:cs="Simplified Arabic" w:hint="cs"/>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rPr>
        <w:t>توزيع.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لذا</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طبقت</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في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ه</w:t>
      </w:r>
      <w:r w:rsidRPr="0062340E">
        <w:rPr>
          <w:rFonts w:ascii="Simplified Arabic" w:hAnsi="Simplified Arabic" w:cs="Simplified Arabic"/>
          <w:color w:val="000000" w:themeColor="text1"/>
          <w:sz w:val="24"/>
          <w:szCs w:val="24"/>
          <w:rtl/>
        </w:rPr>
        <w:t>ذه</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الدراسة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بعض</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الطرق</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التحليلية و</w:t>
      </w:r>
      <w:r w:rsidRPr="0062340E">
        <w:rPr>
          <w:rFonts w:ascii="Simplified Arabic" w:hAnsi="Simplified Arabic" w:cs="Simplified Arabic"/>
          <w:color w:val="000000" w:themeColor="text1"/>
          <w:sz w:val="24"/>
          <w:szCs w:val="24"/>
          <w:rtl/>
        </w:rPr>
        <w:t>الكمية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 xml:space="preserve">من اجل استكشاف نمط </w:t>
      </w:r>
      <w:r w:rsidR="00AD1A56" w:rsidRPr="0062340E">
        <w:rPr>
          <w:rFonts w:ascii="Simplified Arabic" w:hAnsi="Simplified Arabic" w:cs="Simplified Arabic" w:hint="cs"/>
          <w:color w:val="000000" w:themeColor="text1"/>
          <w:sz w:val="24"/>
          <w:szCs w:val="24"/>
          <w:rtl/>
        </w:rPr>
        <w:t>او نظام</w:t>
      </w:r>
      <w:r w:rsidR="00AD1A56"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w:t>
      </w:r>
      <w:r w:rsidRPr="0062340E">
        <w:rPr>
          <w:rFonts w:ascii="Simplified Arabic" w:hAnsi="Simplified Arabic" w:cs="Simplified Arabic"/>
          <w:color w:val="000000" w:themeColor="text1"/>
          <w:sz w:val="24"/>
          <w:szCs w:val="24"/>
          <w:rtl/>
        </w:rPr>
        <w:t>ت</w:t>
      </w:r>
      <w:r w:rsidRPr="0062340E">
        <w:rPr>
          <w:rFonts w:ascii="Simplified Arabic" w:hAnsi="Simplified Arabic" w:cs="Simplified Arabic" w:hint="cs"/>
          <w:color w:val="000000" w:themeColor="text1"/>
          <w:sz w:val="24"/>
          <w:szCs w:val="24"/>
          <w:rtl/>
        </w:rPr>
        <w:t>و</w:t>
      </w:r>
      <w:r w:rsidRPr="0062340E">
        <w:rPr>
          <w:rFonts w:ascii="Simplified Arabic" w:hAnsi="Simplified Arabic" w:cs="Simplified Arabic"/>
          <w:color w:val="000000" w:themeColor="text1"/>
          <w:sz w:val="24"/>
          <w:szCs w:val="24"/>
          <w:rtl/>
        </w:rPr>
        <w:t>زيع</w:t>
      </w:r>
      <w:r w:rsidRPr="0062340E">
        <w:rPr>
          <w:rFonts w:ascii="Simplified Arabic" w:hAnsi="Simplified Arabic" w:cs="Simplified Arabic" w:hint="cs"/>
          <w:color w:val="000000" w:themeColor="text1"/>
          <w:sz w:val="24"/>
          <w:szCs w:val="24"/>
          <w:rtl/>
        </w:rPr>
        <w:t xml:space="preserve"> المكاني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 xml:space="preserve">لمكونات النسيج الحضري </w:t>
      </w:r>
      <w:r w:rsidR="00AD1A56" w:rsidRPr="0062340E">
        <w:rPr>
          <w:rFonts w:ascii="Simplified Arabic" w:hAnsi="Simplified Arabic" w:cs="Simplified Arabic" w:hint="cs"/>
          <w:color w:val="000000" w:themeColor="text1"/>
          <w:sz w:val="24"/>
          <w:szCs w:val="24"/>
          <w:rtl/>
        </w:rPr>
        <w:t>ب</w:t>
      </w:r>
      <w:r w:rsidRPr="0062340E">
        <w:rPr>
          <w:rFonts w:ascii="Simplified Arabic" w:hAnsi="Simplified Arabic" w:cs="Simplified Arabic" w:hint="cs"/>
          <w:color w:val="000000" w:themeColor="text1"/>
          <w:sz w:val="24"/>
          <w:szCs w:val="24"/>
          <w:rtl/>
        </w:rPr>
        <w:t xml:space="preserve">مدينة بوسعادة على اختلاف </w:t>
      </w:r>
      <w:r w:rsidR="00137979" w:rsidRPr="0062340E">
        <w:rPr>
          <w:rFonts w:ascii="Simplified Arabic" w:hAnsi="Simplified Arabic" w:cs="Simplified Arabic" w:hint="cs"/>
          <w:color w:val="000000" w:themeColor="text1"/>
          <w:sz w:val="24"/>
          <w:szCs w:val="24"/>
          <w:rtl/>
        </w:rPr>
        <w:t>فئاته</w:t>
      </w:r>
      <w:r w:rsidRPr="0062340E">
        <w:rPr>
          <w:rFonts w:ascii="Simplified Arabic" w:hAnsi="Simplified Arabic" w:cs="Simplified Arabic" w:hint="cs"/>
          <w:color w:val="000000" w:themeColor="text1"/>
          <w:sz w:val="24"/>
          <w:szCs w:val="24"/>
          <w:rtl/>
        </w:rPr>
        <w:t>.</w:t>
      </w:r>
    </w:p>
    <w:p w:rsidR="00816C56" w:rsidRPr="0062340E" w:rsidRDefault="00816C56" w:rsidP="00816C56">
      <w:pPr>
        <w:pStyle w:val="Paragraphedeliste"/>
        <w:numPr>
          <w:ilvl w:val="0"/>
          <w:numId w:val="68"/>
        </w:numPr>
        <w:tabs>
          <w:tab w:val="right" w:pos="708"/>
        </w:tabs>
        <w:bidi/>
        <w:spacing w:after="0" w:line="240" w:lineRule="auto"/>
        <w:outlineLvl w:val="1"/>
        <w:rPr>
          <w:rFonts w:ascii="Simplified Arabic" w:hAnsi="Simplified Arabic" w:cs="Simplified Arabic"/>
          <w:b/>
          <w:bCs/>
          <w:vanish/>
          <w:color w:val="000000" w:themeColor="text1"/>
          <w:sz w:val="24"/>
          <w:szCs w:val="24"/>
          <w:rtl/>
          <w:lang w:val="en-US"/>
        </w:rPr>
      </w:pPr>
      <w:bookmarkStart w:id="78" w:name="_Toc171803316"/>
      <w:bookmarkEnd w:id="78"/>
    </w:p>
    <w:p w:rsidR="00816C56" w:rsidRPr="0062340E" w:rsidRDefault="00816C56" w:rsidP="00816C56">
      <w:pPr>
        <w:pStyle w:val="Paragraphedeliste"/>
        <w:numPr>
          <w:ilvl w:val="0"/>
          <w:numId w:val="68"/>
        </w:numPr>
        <w:tabs>
          <w:tab w:val="right" w:pos="708"/>
        </w:tabs>
        <w:bidi/>
        <w:spacing w:after="0" w:line="240" w:lineRule="auto"/>
        <w:outlineLvl w:val="1"/>
        <w:rPr>
          <w:rFonts w:ascii="Simplified Arabic" w:hAnsi="Simplified Arabic" w:cs="Simplified Arabic"/>
          <w:b/>
          <w:bCs/>
          <w:vanish/>
          <w:color w:val="000000" w:themeColor="text1"/>
          <w:sz w:val="24"/>
          <w:szCs w:val="24"/>
          <w:rtl/>
          <w:lang w:val="en-US"/>
        </w:rPr>
      </w:pPr>
      <w:bookmarkStart w:id="79" w:name="_Toc171803317"/>
      <w:bookmarkEnd w:id="79"/>
    </w:p>
    <w:p w:rsidR="00816C56" w:rsidRPr="0062340E" w:rsidRDefault="00816C56" w:rsidP="00816C56">
      <w:pPr>
        <w:pStyle w:val="Paragraphedeliste"/>
        <w:numPr>
          <w:ilvl w:val="0"/>
          <w:numId w:val="68"/>
        </w:numPr>
        <w:tabs>
          <w:tab w:val="right" w:pos="708"/>
        </w:tabs>
        <w:bidi/>
        <w:spacing w:after="0" w:line="240" w:lineRule="auto"/>
        <w:outlineLvl w:val="1"/>
        <w:rPr>
          <w:rFonts w:ascii="Simplified Arabic" w:hAnsi="Simplified Arabic" w:cs="Simplified Arabic"/>
          <w:b/>
          <w:bCs/>
          <w:vanish/>
          <w:color w:val="000000" w:themeColor="text1"/>
          <w:sz w:val="24"/>
          <w:szCs w:val="24"/>
          <w:rtl/>
          <w:lang w:val="en-US"/>
        </w:rPr>
      </w:pPr>
      <w:bookmarkStart w:id="80" w:name="_Toc171803318"/>
      <w:bookmarkEnd w:id="80"/>
    </w:p>
    <w:p w:rsidR="00816C56" w:rsidRPr="0062340E" w:rsidRDefault="00816C56" w:rsidP="00816C56">
      <w:pPr>
        <w:pStyle w:val="Paragraphedeliste"/>
        <w:numPr>
          <w:ilvl w:val="1"/>
          <w:numId w:val="68"/>
        </w:numPr>
        <w:tabs>
          <w:tab w:val="right" w:pos="708"/>
        </w:tabs>
        <w:bidi/>
        <w:spacing w:after="0" w:line="240" w:lineRule="auto"/>
        <w:outlineLvl w:val="1"/>
        <w:rPr>
          <w:rFonts w:ascii="Simplified Arabic" w:hAnsi="Simplified Arabic" w:cs="Simplified Arabic"/>
          <w:b/>
          <w:bCs/>
          <w:vanish/>
          <w:color w:val="000000" w:themeColor="text1"/>
          <w:sz w:val="24"/>
          <w:szCs w:val="24"/>
          <w:rtl/>
          <w:lang w:val="en-US"/>
        </w:rPr>
      </w:pPr>
      <w:bookmarkStart w:id="81" w:name="_Toc171803319"/>
      <w:bookmarkEnd w:id="81"/>
    </w:p>
    <w:p w:rsidR="00A903CE" w:rsidRPr="0062340E" w:rsidRDefault="00FC0954" w:rsidP="00D57FDF">
      <w:pPr>
        <w:pStyle w:val="Paragraphedeliste"/>
        <w:numPr>
          <w:ilvl w:val="2"/>
          <w:numId w:val="68"/>
        </w:numPr>
        <w:tabs>
          <w:tab w:val="right" w:pos="850"/>
        </w:tabs>
        <w:bidi/>
        <w:spacing w:before="240" w:after="0" w:line="240" w:lineRule="auto"/>
        <w:ind w:left="0" w:firstLine="0"/>
        <w:outlineLvl w:val="1"/>
        <w:rPr>
          <w:rFonts w:ascii="Simplified Arabic" w:hAnsi="Simplified Arabic" w:cs="Simplified Arabic"/>
          <w:b/>
          <w:bCs/>
          <w:color w:val="000000" w:themeColor="text1"/>
          <w:sz w:val="24"/>
          <w:szCs w:val="24"/>
          <w:lang w:val="en-US"/>
        </w:rPr>
      </w:pPr>
      <w:bookmarkStart w:id="82" w:name="_Toc171803320"/>
      <w:r w:rsidRPr="0062340E">
        <w:rPr>
          <w:rFonts w:ascii="Simplified Arabic" w:hAnsi="Simplified Arabic" w:cs="Simplified Arabic" w:hint="cs"/>
          <w:b/>
          <w:bCs/>
          <w:color w:val="000000" w:themeColor="text1"/>
          <w:sz w:val="24"/>
          <w:szCs w:val="24"/>
          <w:rtl/>
          <w:lang w:val="en-US"/>
        </w:rPr>
        <w:t>استعمال</w:t>
      </w:r>
      <w:r w:rsidR="00A903CE" w:rsidRPr="0062340E">
        <w:rPr>
          <w:rFonts w:ascii="Simplified Arabic" w:hAnsi="Simplified Arabic" w:cs="Simplified Arabic"/>
          <w:b/>
          <w:bCs/>
          <w:color w:val="000000" w:themeColor="text1"/>
          <w:sz w:val="24"/>
          <w:szCs w:val="24"/>
          <w:lang w:val="en-US"/>
        </w:rPr>
        <w:t xml:space="preserve"> </w:t>
      </w:r>
      <w:r w:rsidR="00A903CE" w:rsidRPr="0062340E">
        <w:rPr>
          <w:rFonts w:ascii="Simplified Arabic" w:hAnsi="Simplified Arabic" w:cs="Simplified Arabic"/>
          <w:b/>
          <w:bCs/>
          <w:color w:val="000000" w:themeColor="text1"/>
          <w:sz w:val="24"/>
          <w:szCs w:val="24"/>
          <w:rtl/>
          <w:lang w:val="en-US"/>
        </w:rPr>
        <w:t>الارض</w:t>
      </w:r>
      <w:r w:rsidR="00A903CE" w:rsidRPr="0062340E">
        <w:rPr>
          <w:rFonts w:ascii="Simplified Arabic" w:hAnsi="Simplified Arabic" w:cs="Simplified Arabic"/>
          <w:b/>
          <w:bCs/>
          <w:color w:val="000000" w:themeColor="text1"/>
          <w:sz w:val="24"/>
          <w:szCs w:val="24"/>
          <w:lang w:val="en-US"/>
        </w:rPr>
        <w:t xml:space="preserve"> </w:t>
      </w:r>
      <w:r w:rsidR="00A903CE" w:rsidRPr="0062340E">
        <w:rPr>
          <w:rFonts w:ascii="Simplified Arabic" w:hAnsi="Simplified Arabic" w:cs="Simplified Arabic"/>
          <w:b/>
          <w:bCs/>
          <w:color w:val="000000" w:themeColor="text1"/>
          <w:sz w:val="24"/>
          <w:szCs w:val="24"/>
          <w:rtl/>
          <w:lang w:val="en-US"/>
        </w:rPr>
        <w:t>الحضرية</w:t>
      </w:r>
      <w:r w:rsidR="00A903CE" w:rsidRPr="0062340E">
        <w:rPr>
          <w:rFonts w:ascii="Simplified Arabic" w:hAnsi="Simplified Arabic" w:cs="Simplified Arabic" w:hint="cs"/>
          <w:b/>
          <w:bCs/>
          <w:color w:val="000000" w:themeColor="text1"/>
          <w:sz w:val="24"/>
          <w:szCs w:val="24"/>
          <w:rtl/>
          <w:lang w:val="en-US"/>
        </w:rPr>
        <w:t xml:space="preserve"> </w:t>
      </w:r>
      <w:r w:rsidR="00A903CE" w:rsidRPr="0062340E">
        <w:rPr>
          <w:rFonts w:asciiTheme="majorBidi" w:hAnsiTheme="majorBidi" w:cstheme="majorBidi" w:hint="cs"/>
          <w:b/>
          <w:bCs/>
          <w:color w:val="000000" w:themeColor="text1"/>
          <w:sz w:val="24"/>
          <w:szCs w:val="24"/>
          <w:shd w:val="clear" w:color="auto" w:fill="FFFFFF"/>
          <w:rtl/>
        </w:rPr>
        <w:t>(</w:t>
      </w:r>
      <w:r w:rsidR="00A903CE" w:rsidRPr="0062340E">
        <w:rPr>
          <w:rFonts w:asciiTheme="majorBidi" w:hAnsiTheme="majorBidi" w:cstheme="majorBidi"/>
          <w:b/>
          <w:bCs/>
          <w:color w:val="000000" w:themeColor="text1"/>
          <w:sz w:val="24"/>
          <w:szCs w:val="24"/>
          <w:shd w:val="clear" w:color="auto" w:fill="FFFFFF"/>
          <w:lang w:val="en-US"/>
        </w:rPr>
        <w:t>Urban</w:t>
      </w:r>
      <w:r w:rsidR="00A903CE" w:rsidRPr="0062340E">
        <w:rPr>
          <w:rFonts w:asciiTheme="majorBidi" w:hAnsiTheme="majorBidi" w:cstheme="majorBidi"/>
          <w:b/>
          <w:bCs/>
          <w:color w:val="000000" w:themeColor="text1"/>
          <w:sz w:val="24"/>
          <w:szCs w:val="24"/>
          <w:shd w:val="clear" w:color="auto" w:fill="FFFFFF"/>
        </w:rPr>
        <w:t xml:space="preserve"> Land Use</w:t>
      </w:r>
      <w:r w:rsidR="00A903CE" w:rsidRPr="0062340E">
        <w:rPr>
          <w:rFonts w:asciiTheme="majorBidi" w:hAnsiTheme="majorBidi" w:cstheme="majorBidi" w:hint="cs"/>
          <w:b/>
          <w:bCs/>
          <w:color w:val="000000" w:themeColor="text1"/>
          <w:sz w:val="24"/>
          <w:szCs w:val="24"/>
          <w:shd w:val="clear" w:color="auto" w:fill="FFFFFF"/>
          <w:rtl/>
        </w:rPr>
        <w:t>)</w:t>
      </w:r>
      <w:bookmarkEnd w:id="82"/>
    </w:p>
    <w:p w:rsidR="00A903CE" w:rsidRPr="0062340E" w:rsidRDefault="00A903CE" w:rsidP="008A3721">
      <w:pPr>
        <w:tabs>
          <w:tab w:val="right" w:pos="282"/>
        </w:tabs>
        <w:autoSpaceDE w:val="0"/>
        <w:autoSpaceDN w:val="0"/>
        <w:bidi/>
        <w:adjustRightInd w:val="0"/>
        <w:spacing w:after="0"/>
        <w:ind w:firstLine="282"/>
        <w:jc w:val="both"/>
        <w:rPr>
          <w:rFonts w:ascii="Simplified Arabic" w:hAnsi="Simplified Arabic" w:cs="Simplified Arabic"/>
          <w:sz w:val="24"/>
          <w:szCs w:val="24"/>
          <w:rtl/>
        </w:rPr>
      </w:pPr>
      <w:r w:rsidRPr="0062340E">
        <w:rPr>
          <w:rFonts w:ascii="Simplified Arabic" w:hAnsi="Simplified Arabic" w:cs="Simplified Arabic"/>
          <w:sz w:val="24"/>
          <w:szCs w:val="24"/>
          <w:rtl/>
        </w:rPr>
        <w:t>يقصد</w:t>
      </w:r>
      <w:r w:rsidRPr="0062340E">
        <w:rPr>
          <w:rFonts w:ascii="Simplified Arabic" w:hAnsi="Simplified Arabic" w:cs="Simplified Arabic" w:hint="cs"/>
          <w:sz w:val="24"/>
          <w:szCs w:val="24"/>
          <w:rtl/>
        </w:rPr>
        <w:t xml:space="preserve"> </w:t>
      </w:r>
      <w:r w:rsidR="008A3721" w:rsidRPr="0062340E">
        <w:rPr>
          <w:rFonts w:ascii="Simplified Arabic" w:hAnsi="Simplified Arabic" w:cs="Simplified Arabic" w:hint="cs"/>
          <w:sz w:val="24"/>
          <w:szCs w:val="24"/>
          <w:rtl/>
        </w:rPr>
        <w:t xml:space="preserve">استعمالات </w:t>
      </w:r>
      <w:r w:rsidR="008A3721" w:rsidRPr="0062340E">
        <w:rPr>
          <w:rFonts w:ascii="Simplified Arabic" w:hAnsi="Simplified Arabic" w:cs="Simplified Arabic" w:hint="cs"/>
          <w:sz w:val="24"/>
          <w:szCs w:val="24"/>
          <w:rtl/>
          <w:lang w:bidi="ar-DZ"/>
        </w:rPr>
        <w:t xml:space="preserve">الاراضي </w:t>
      </w:r>
      <w:r w:rsidRPr="0062340E">
        <w:rPr>
          <w:rFonts w:ascii="Simplified Arabic" w:hAnsi="Simplified Arabic" w:cs="Simplified Arabic" w:hint="cs"/>
          <w:sz w:val="24"/>
          <w:szCs w:val="24"/>
          <w:rtl/>
        </w:rPr>
        <w:t>ا</w:t>
      </w:r>
      <w:r w:rsidRPr="0062340E">
        <w:rPr>
          <w:rFonts w:ascii="Simplified Arabic" w:hAnsi="Simplified Arabic" w:cs="Simplified Arabic"/>
          <w:sz w:val="24"/>
          <w:szCs w:val="24"/>
          <w:rtl/>
        </w:rPr>
        <w:t>لحضرية،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التوزيع</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المكاني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للوظائف</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المتعددة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التي تقدمها المدينة لسكانها وسكان المنا</w:t>
      </w:r>
      <w:r w:rsidRPr="0062340E">
        <w:rPr>
          <w:rFonts w:ascii="Simplified Arabic" w:hAnsi="Simplified Arabic" w:cs="Simplified Arabic" w:hint="cs"/>
          <w:sz w:val="24"/>
          <w:szCs w:val="24"/>
          <w:rtl/>
        </w:rPr>
        <w:t>ط</w:t>
      </w:r>
      <w:r w:rsidRPr="0062340E">
        <w:rPr>
          <w:rFonts w:ascii="Simplified Arabic" w:hAnsi="Simplified Arabic" w:cs="Simplified Arabic"/>
          <w:sz w:val="24"/>
          <w:szCs w:val="24"/>
          <w:rtl/>
        </w:rPr>
        <w:t>ق المحيطة به</w:t>
      </w:r>
      <w:r w:rsidRPr="0062340E">
        <w:rPr>
          <w:rFonts w:ascii="Simplified Arabic" w:hAnsi="Simplified Arabic" w:cs="Simplified Arabic" w:hint="cs"/>
          <w:sz w:val="24"/>
          <w:szCs w:val="24"/>
          <w:rtl/>
        </w:rPr>
        <w:t>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التي تشتمل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على </w:t>
      </w:r>
      <w:r w:rsidRPr="0062340E">
        <w:rPr>
          <w:rFonts w:ascii="Simplified Arabic" w:hAnsi="Simplified Arabic" w:cs="Simplified Arabic"/>
          <w:sz w:val="24"/>
          <w:szCs w:val="24"/>
          <w:rtl/>
        </w:rPr>
        <w:t xml:space="preserve">وظيفة </w:t>
      </w:r>
      <w:r w:rsidRPr="0062340E">
        <w:rPr>
          <w:rFonts w:ascii="Simplified Arabic" w:hAnsi="Simplified Arabic" w:cs="Simplified Arabic" w:hint="cs"/>
          <w:sz w:val="24"/>
          <w:szCs w:val="24"/>
          <w:rtl/>
        </w:rPr>
        <w:t xml:space="preserve">السكن، </w:t>
      </w:r>
      <w:r w:rsidRPr="0062340E">
        <w:rPr>
          <w:rFonts w:ascii="Simplified Arabic" w:hAnsi="Simplified Arabic" w:cs="Simplified Arabic"/>
          <w:sz w:val="24"/>
          <w:szCs w:val="24"/>
          <w:rtl/>
        </w:rPr>
        <w:t>الخدم</w:t>
      </w:r>
      <w:r w:rsidRPr="0062340E">
        <w:rPr>
          <w:rFonts w:ascii="Simplified Arabic" w:hAnsi="Simplified Arabic" w:cs="Simplified Arabic" w:hint="cs"/>
          <w:sz w:val="24"/>
          <w:szCs w:val="24"/>
          <w:rtl/>
        </w:rPr>
        <w:t>ات</w:t>
      </w:r>
      <w:r w:rsidRPr="0062340E">
        <w:rPr>
          <w:rFonts w:ascii="Simplified Arabic" w:hAnsi="Simplified Arabic" w:cs="Simplified Arabic"/>
          <w:sz w:val="24"/>
          <w:szCs w:val="24"/>
          <w:rtl/>
        </w:rPr>
        <w:t>، الصناعة،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التجارة</w:t>
      </w:r>
      <w:r w:rsidRPr="0062340E">
        <w:rPr>
          <w:rFonts w:ascii="Simplified Arabic" w:hAnsi="Simplified Arabic" w:cs="Simplified Arabic" w:hint="cs"/>
          <w:sz w:val="24"/>
          <w:szCs w:val="24"/>
          <w:rtl/>
        </w:rPr>
        <w:t xml:space="preserve"> و</w:t>
      </w:r>
      <w:r w:rsidRPr="0062340E">
        <w:rPr>
          <w:rFonts w:ascii="Simplified Arabic" w:hAnsi="Simplified Arabic" w:cs="Simplified Arabic"/>
          <w:sz w:val="24"/>
          <w:szCs w:val="24"/>
          <w:rtl/>
        </w:rPr>
        <w:t>الترفيه</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(الهيتي</w:t>
      </w:r>
      <w:r w:rsidRPr="0062340E">
        <w:rPr>
          <w:rFonts w:ascii="Simplified Arabic" w:hAnsi="Simplified Arabic" w:cs="Simplified Arabic" w:hint="cs"/>
          <w:sz w:val="24"/>
          <w:szCs w:val="24"/>
          <w:rtl/>
        </w:rPr>
        <w:t xml:space="preserve"> و</w:t>
      </w:r>
      <w:r w:rsidRPr="0062340E">
        <w:rPr>
          <w:rFonts w:ascii="Simplified Arabic" w:hAnsi="Simplified Arabic" w:cs="Simplified Arabic"/>
          <w:sz w:val="24"/>
          <w:szCs w:val="24"/>
          <w:rtl/>
        </w:rPr>
        <w:t xml:space="preserve"> حسن، 1986).</w:t>
      </w:r>
    </w:p>
    <w:p w:rsidR="00A903CE" w:rsidRPr="0062340E" w:rsidRDefault="00A903CE" w:rsidP="00816C56">
      <w:pPr>
        <w:tabs>
          <w:tab w:val="right" w:pos="282"/>
        </w:tabs>
        <w:autoSpaceDE w:val="0"/>
        <w:autoSpaceDN w:val="0"/>
        <w:bidi/>
        <w:adjustRightInd w:val="0"/>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تتميز حالة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استخدام الانسان للأرض بالديمومة والاستمرارية ويسعى</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دومًا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للتطوير والتغيير وايجاد حالة من التوازن المكاني للأنشطة (محمد</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مدحت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 xml:space="preserve">جابر، </w:t>
      </w:r>
      <w:r w:rsidRPr="0062340E">
        <w:rPr>
          <w:rFonts w:ascii="Simplified Arabic" w:hAnsi="Simplified Arabic" w:cs="Simplified Arabic"/>
          <w:sz w:val="24"/>
          <w:szCs w:val="24"/>
        </w:rPr>
        <w:t>2006</w:t>
      </w:r>
      <w:r w:rsidRPr="0062340E">
        <w:rPr>
          <w:rFonts w:ascii="Simplified Arabic" w:hAnsi="Simplified Arabic" w:cs="Simplified Arabic" w:hint="cs"/>
          <w:sz w:val="24"/>
          <w:szCs w:val="24"/>
          <w:rtl/>
        </w:rPr>
        <w:t>). ي</w:t>
      </w:r>
      <w:r w:rsidRPr="0062340E">
        <w:rPr>
          <w:rFonts w:ascii="Simplified Arabic" w:hAnsi="Simplified Arabic" w:cs="Simplified Arabic"/>
          <w:sz w:val="24"/>
          <w:szCs w:val="24"/>
          <w:rtl/>
        </w:rPr>
        <w:t xml:space="preserve">طرح مفهوم </w:t>
      </w:r>
      <w:r w:rsidR="008A3721" w:rsidRPr="0062340E">
        <w:rPr>
          <w:rFonts w:ascii="Simplified Arabic" w:hAnsi="Simplified Arabic" w:cs="Simplified Arabic" w:hint="cs"/>
          <w:sz w:val="24"/>
          <w:szCs w:val="24"/>
          <w:rtl/>
        </w:rPr>
        <w:t>استعمال</w:t>
      </w:r>
      <w:r w:rsidRPr="0062340E">
        <w:rPr>
          <w:rFonts w:ascii="Simplified Arabic" w:hAnsi="Simplified Arabic" w:cs="Simplified Arabic"/>
          <w:sz w:val="24"/>
          <w:szCs w:val="24"/>
          <w:rtl/>
        </w:rPr>
        <w:t xml:space="preserve"> الأرض عند التطرق إلى </w:t>
      </w:r>
      <w:r w:rsidRPr="0062340E">
        <w:rPr>
          <w:rFonts w:ascii="Simplified Arabic" w:hAnsi="Simplified Arabic" w:cs="Simplified Arabic" w:hint="cs"/>
          <w:sz w:val="24"/>
          <w:szCs w:val="24"/>
          <w:rtl/>
        </w:rPr>
        <w:t>التخطيط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الحديث</w:t>
      </w:r>
      <w:r w:rsidRPr="0062340E">
        <w:rPr>
          <w:rFonts w:ascii="Simplified Arabic" w:hAnsi="Simplified Arabic" w:cs="Simplified Arabic"/>
          <w:sz w:val="24"/>
          <w:szCs w:val="24"/>
          <w:rtl/>
        </w:rPr>
        <w:t xml:space="preserve"> في ثلاثة اتجاهات كحد أدنى</w:t>
      </w:r>
      <w:r w:rsidRPr="0062340E">
        <w:rPr>
          <w:rFonts w:ascii="Simplified Arabic" w:hAnsi="Simplified Arabic" w:cs="Simplified Arabic" w:hint="cs"/>
          <w:sz w:val="24"/>
          <w:szCs w:val="24"/>
          <w:rtl/>
        </w:rPr>
        <w:t xml:space="preserve"> حسب الشكل (</w:t>
      </w:r>
      <w:r w:rsidR="00410240" w:rsidRPr="0062340E">
        <w:rPr>
          <w:rFonts w:ascii="Simplified Arabic" w:hAnsi="Simplified Arabic" w:cs="Simplified Arabic" w:hint="cs"/>
          <w:sz w:val="24"/>
          <w:szCs w:val="24"/>
          <w:rtl/>
        </w:rPr>
        <w:t>1-1</w:t>
      </w:r>
      <w:r w:rsidRPr="0062340E">
        <w:rPr>
          <w:rFonts w:ascii="Simplified Arabic" w:hAnsi="Simplified Arabic" w:cs="Simplified Arabic" w:hint="cs"/>
          <w:sz w:val="24"/>
          <w:szCs w:val="24"/>
          <w:rtl/>
        </w:rPr>
        <w:t>). يراه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اصحاب الاتجاه الاول</w:t>
      </w:r>
      <w:r w:rsidRPr="0062340E">
        <w:rPr>
          <w:rFonts w:ascii="Simplified Arabic" w:hAnsi="Simplified Arabic" w:cs="Simplified Arabic"/>
          <w:sz w:val="24"/>
          <w:szCs w:val="24"/>
          <w:rtl/>
        </w:rPr>
        <w:t xml:space="preserve"> على </w:t>
      </w:r>
      <w:r w:rsidRPr="0062340E">
        <w:rPr>
          <w:rFonts w:ascii="Simplified Arabic" w:hAnsi="Simplified Arabic" w:cs="Simplified Arabic" w:hint="cs"/>
          <w:sz w:val="24"/>
          <w:szCs w:val="24"/>
          <w:rtl/>
        </w:rPr>
        <w:t>جزأين،</w:t>
      </w:r>
      <w:r w:rsidRPr="0062340E">
        <w:rPr>
          <w:rFonts w:ascii="Simplified Arabic" w:hAnsi="Simplified Arabic" w:cs="Simplified Arabic"/>
          <w:sz w:val="24"/>
          <w:szCs w:val="24"/>
          <w:rtl/>
        </w:rPr>
        <w:t xml:space="preserve"> الهدف </w:t>
      </w:r>
      <w:r w:rsidRPr="0062340E">
        <w:rPr>
          <w:rFonts w:ascii="Simplified Arabic" w:hAnsi="Simplified Arabic" w:cs="Simplified Arabic" w:hint="cs"/>
          <w:sz w:val="24"/>
          <w:szCs w:val="24"/>
          <w:rtl/>
        </w:rPr>
        <w:t>منه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تحديد</w:t>
      </w:r>
      <w:r w:rsidRPr="0062340E">
        <w:rPr>
          <w:rFonts w:ascii="Simplified Arabic" w:hAnsi="Simplified Arabic" w:cs="Simplified Arabic"/>
          <w:sz w:val="24"/>
          <w:szCs w:val="24"/>
          <w:rtl/>
        </w:rPr>
        <w:t xml:space="preserve"> المناطق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حيث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يُقصد</w:t>
      </w:r>
      <w:r w:rsidRPr="0062340E">
        <w:rPr>
          <w:rFonts w:ascii="Simplified Arabic" w:hAnsi="Simplified Arabic" w:cs="Simplified Arabic"/>
          <w:sz w:val="24"/>
          <w:szCs w:val="24"/>
          <w:rtl/>
        </w:rPr>
        <w:t xml:space="preserve"> بالجزء الأول أنشطة عمل الأفراد، وهي الخاصة بأنشطة عمل</w:t>
      </w:r>
      <w:r w:rsidRPr="0062340E">
        <w:rPr>
          <w:rFonts w:ascii="Simplified Arabic" w:hAnsi="Simplified Arabic" w:cs="Simplified Arabic" w:hint="cs"/>
          <w:sz w:val="24"/>
          <w:szCs w:val="24"/>
          <w:rtl/>
        </w:rPr>
        <w:t xml:space="preserve"> الافراد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اليومية</w:t>
      </w:r>
      <w:r w:rsidRPr="0062340E">
        <w:rPr>
          <w:rFonts w:ascii="Simplified Arabic" w:hAnsi="Simplified Arabic" w:cs="Simplified Arabic"/>
          <w:sz w:val="24"/>
          <w:szCs w:val="24"/>
          <w:rtl/>
        </w:rPr>
        <w:t xml:space="preserve">، الجزء الثاني </w:t>
      </w:r>
      <w:r w:rsidRPr="0062340E">
        <w:rPr>
          <w:rFonts w:ascii="Simplified Arabic" w:hAnsi="Simplified Arabic" w:cs="Simplified Arabic" w:hint="cs"/>
          <w:sz w:val="24"/>
          <w:szCs w:val="24"/>
          <w:rtl/>
        </w:rPr>
        <w:t>يهتم</w:t>
      </w:r>
      <w:r w:rsidRPr="0062340E">
        <w:rPr>
          <w:rFonts w:ascii="Simplified Arabic" w:hAnsi="Simplified Arabic" w:cs="Simplified Arabic"/>
          <w:sz w:val="24"/>
          <w:szCs w:val="24"/>
          <w:rtl/>
        </w:rPr>
        <w:t xml:space="preserve"> بالخدمات العامة (</w:t>
      </w:r>
      <w:r w:rsidRPr="0062340E">
        <w:rPr>
          <w:rFonts w:ascii="Simplified Arabic" w:hAnsi="Simplified Arabic" w:cs="Simplified Arabic" w:hint="cs"/>
          <w:sz w:val="24"/>
          <w:szCs w:val="24"/>
          <w:rtl/>
        </w:rPr>
        <w:t>الاقتصادية، الاجتماعية،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الصحية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وغيرها</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في </w:t>
      </w:r>
      <w:r w:rsidRPr="0062340E">
        <w:rPr>
          <w:rFonts w:ascii="Simplified Arabic" w:hAnsi="Simplified Arabic" w:cs="Simplified Arabic" w:hint="cs"/>
          <w:sz w:val="24"/>
          <w:szCs w:val="24"/>
          <w:rtl/>
        </w:rPr>
        <w:t>حين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يُقصد</w:t>
      </w:r>
      <w:r w:rsidRPr="0062340E">
        <w:rPr>
          <w:rFonts w:ascii="Simplified Arabic" w:hAnsi="Simplified Arabic" w:cs="Simplified Arabic"/>
          <w:sz w:val="24"/>
          <w:szCs w:val="24"/>
          <w:rtl/>
        </w:rPr>
        <w:t xml:space="preserve"> به عند ال</w:t>
      </w:r>
      <w:r w:rsidRPr="0062340E">
        <w:rPr>
          <w:rFonts w:ascii="Simplified Arabic" w:hAnsi="Simplified Arabic" w:cs="Simplified Arabic" w:hint="cs"/>
          <w:sz w:val="24"/>
          <w:szCs w:val="24"/>
          <w:rtl/>
        </w:rPr>
        <w:t>آ</w:t>
      </w:r>
      <w:r w:rsidRPr="0062340E">
        <w:rPr>
          <w:rFonts w:ascii="Simplified Arabic" w:hAnsi="Simplified Arabic" w:cs="Simplified Arabic"/>
          <w:sz w:val="24"/>
          <w:szCs w:val="24"/>
          <w:rtl/>
        </w:rPr>
        <w:t>خر</w:t>
      </w:r>
      <w:r w:rsidRPr="0062340E">
        <w:rPr>
          <w:rFonts w:ascii="Simplified Arabic" w:hAnsi="Simplified Arabic" w:cs="Simplified Arabic" w:hint="cs"/>
          <w:sz w:val="24"/>
          <w:szCs w:val="24"/>
          <w:rtl/>
        </w:rPr>
        <w:t>ين</w:t>
      </w:r>
      <w:r w:rsidRPr="0062340E">
        <w:rPr>
          <w:rFonts w:ascii="Simplified Arabic" w:hAnsi="Simplified Arabic" w:cs="Simplified Arabic"/>
          <w:sz w:val="24"/>
          <w:szCs w:val="24"/>
          <w:rtl/>
        </w:rPr>
        <w:t xml:space="preserve"> على أنه </w:t>
      </w:r>
      <w:r w:rsidRPr="0062340E">
        <w:rPr>
          <w:rFonts w:ascii="Simplified Arabic" w:hAnsi="Simplified Arabic" w:cs="Simplified Arabic" w:hint="cs"/>
          <w:sz w:val="24"/>
          <w:szCs w:val="24"/>
          <w:rtl/>
        </w:rPr>
        <w:t>التوزيع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المكاني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الوظيفي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للمدينة</w:t>
      </w:r>
      <w:r w:rsidRPr="0062340E">
        <w:rPr>
          <w:rFonts w:ascii="Simplified Arabic" w:hAnsi="Simplified Arabic" w:cs="Simplified Arabic"/>
          <w:sz w:val="24"/>
          <w:szCs w:val="24"/>
          <w:rtl/>
        </w:rPr>
        <w:t xml:space="preserve"> مثل </w:t>
      </w:r>
      <w:r w:rsidRPr="0062340E">
        <w:rPr>
          <w:rFonts w:ascii="Simplified Arabic" w:hAnsi="Simplified Arabic" w:cs="Simplified Arabic" w:hint="cs"/>
          <w:sz w:val="24"/>
          <w:szCs w:val="24"/>
          <w:rtl/>
        </w:rPr>
        <w:t>توزيع</w:t>
      </w:r>
      <w:r w:rsidRPr="0062340E">
        <w:rPr>
          <w:rFonts w:ascii="Simplified Arabic" w:hAnsi="Simplified Arabic" w:cs="Simplified Arabic"/>
          <w:sz w:val="24"/>
          <w:szCs w:val="24"/>
          <w:rtl/>
        </w:rPr>
        <w:t xml:space="preserve"> مساحات </w:t>
      </w:r>
      <w:r w:rsidRPr="0062340E">
        <w:rPr>
          <w:rFonts w:ascii="Simplified Arabic" w:hAnsi="Simplified Arabic" w:cs="Simplified Arabic" w:hint="cs"/>
          <w:sz w:val="24"/>
          <w:szCs w:val="24"/>
          <w:rtl/>
        </w:rPr>
        <w:t>للسكن</w:t>
      </w:r>
      <w:r w:rsidRPr="0062340E">
        <w:rPr>
          <w:rFonts w:ascii="Simplified Arabic" w:hAnsi="Simplified Arabic" w:cs="Simplified Arabic"/>
          <w:sz w:val="24"/>
          <w:szCs w:val="24"/>
          <w:rtl/>
        </w:rPr>
        <w:t xml:space="preserve"> و</w:t>
      </w:r>
      <w:r w:rsidRPr="0062340E">
        <w:rPr>
          <w:rFonts w:ascii="Simplified Arabic" w:hAnsi="Simplified Arabic" w:cs="Simplified Arabic" w:hint="cs"/>
          <w:sz w:val="24"/>
          <w:szCs w:val="24"/>
          <w:rtl/>
        </w:rPr>
        <w:t>اخرى للخدمات و</w:t>
      </w:r>
      <w:r w:rsidRPr="0062340E">
        <w:rPr>
          <w:rFonts w:ascii="Simplified Arabic" w:hAnsi="Simplified Arabic" w:cs="Simplified Arabic"/>
          <w:sz w:val="24"/>
          <w:szCs w:val="24"/>
          <w:rtl/>
        </w:rPr>
        <w:t xml:space="preserve">الصناعة والتجارة </w:t>
      </w:r>
      <w:r w:rsidRPr="0062340E">
        <w:rPr>
          <w:rFonts w:ascii="Simplified Arabic" w:hAnsi="Simplified Arabic" w:cs="Simplified Arabic" w:hint="cs"/>
          <w:sz w:val="24"/>
          <w:szCs w:val="24"/>
          <w:rtl/>
        </w:rPr>
        <w:t>وغيرها</w:t>
      </w:r>
      <w:r w:rsidRPr="0062340E">
        <w:rPr>
          <w:rFonts w:ascii="Simplified Arabic" w:hAnsi="Simplified Arabic" w:cs="Simplified Arabic"/>
          <w:sz w:val="24"/>
          <w:szCs w:val="24"/>
          <w:rtl/>
        </w:rPr>
        <w:t>، أما الاتجاه الثالث ف</w:t>
      </w:r>
      <w:r w:rsidRPr="0062340E">
        <w:rPr>
          <w:rFonts w:ascii="Simplified Arabic" w:hAnsi="Simplified Arabic" w:cs="Simplified Arabic" w:hint="cs"/>
          <w:sz w:val="24"/>
          <w:szCs w:val="24"/>
          <w:rtl/>
        </w:rPr>
        <w:t>يُ</w:t>
      </w:r>
      <w:r w:rsidRPr="0062340E">
        <w:rPr>
          <w:rFonts w:ascii="Simplified Arabic" w:hAnsi="Simplified Arabic" w:cs="Simplified Arabic"/>
          <w:sz w:val="24"/>
          <w:szCs w:val="24"/>
          <w:rtl/>
        </w:rPr>
        <w:t xml:space="preserve">ركز على علاقة </w:t>
      </w:r>
      <w:r w:rsidR="008A3721" w:rsidRPr="0062340E">
        <w:rPr>
          <w:rFonts w:ascii="Simplified Arabic" w:hAnsi="Simplified Arabic" w:cs="Simplified Arabic" w:hint="cs"/>
          <w:sz w:val="24"/>
          <w:szCs w:val="24"/>
          <w:rtl/>
        </w:rPr>
        <w:t>استعمالات</w:t>
      </w:r>
      <w:r w:rsidRPr="0062340E">
        <w:rPr>
          <w:rFonts w:ascii="Simplified Arabic" w:hAnsi="Simplified Arabic" w:cs="Simplified Arabic"/>
          <w:sz w:val="24"/>
          <w:szCs w:val="24"/>
          <w:rtl/>
        </w:rPr>
        <w:t xml:space="preserve"> الأنشطة في حدود </w:t>
      </w:r>
      <w:r w:rsidRPr="0062340E">
        <w:rPr>
          <w:rFonts w:ascii="Simplified Arabic" w:hAnsi="Simplified Arabic" w:cs="Simplified Arabic" w:hint="cs"/>
          <w:sz w:val="24"/>
          <w:szCs w:val="24"/>
          <w:rtl/>
        </w:rPr>
        <w:t>الجزأين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السابقين،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بمعنى آخر،</w:t>
      </w:r>
      <w:r w:rsidRPr="0062340E">
        <w:rPr>
          <w:rFonts w:ascii="Simplified Arabic" w:hAnsi="Simplified Arabic" w:cs="Simplified Arabic"/>
          <w:sz w:val="24"/>
          <w:szCs w:val="24"/>
          <w:rtl/>
        </w:rPr>
        <w:t xml:space="preserve"> علاقة </w:t>
      </w:r>
      <w:r w:rsidRPr="0062340E">
        <w:rPr>
          <w:rFonts w:ascii="Simplified Arabic" w:hAnsi="Simplified Arabic" w:cs="Simplified Arabic" w:hint="cs"/>
          <w:sz w:val="24"/>
          <w:szCs w:val="24"/>
          <w:rtl/>
        </w:rPr>
        <w:t>التوزيع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المكاني </w:t>
      </w:r>
      <w:r w:rsidRPr="0062340E">
        <w:rPr>
          <w:rFonts w:ascii="Simplified Arabic" w:hAnsi="Simplified Arabic" w:cs="Simplified Arabic"/>
          <w:sz w:val="24"/>
          <w:szCs w:val="24"/>
          <w:rtl/>
        </w:rPr>
        <w:t>مع أنشطة الأفراد وخدماتهم</w:t>
      </w:r>
      <w:r w:rsidRPr="0062340E">
        <w:rPr>
          <w:rFonts w:ascii="Simplified Arabic" w:hAnsi="Simplified Arabic" w:cs="Simplified Arabic" w:hint="cs"/>
          <w:sz w:val="24"/>
          <w:szCs w:val="24"/>
          <w:rtl/>
        </w:rPr>
        <w:t xml:space="preserve"> (حيدر فاروق عباس، 1994)</w:t>
      </w:r>
    </w:p>
    <w:p w:rsidR="00A903CE" w:rsidRPr="0062340E" w:rsidRDefault="00A903CE" w:rsidP="00816C56">
      <w:pPr>
        <w:pStyle w:val="fegure"/>
        <w:spacing w:before="240"/>
        <w:rPr>
          <w:szCs w:val="24"/>
          <w:rtl/>
        </w:rPr>
      </w:pPr>
      <w:bookmarkStart w:id="83" w:name="_Toc157561433"/>
      <w:bookmarkStart w:id="84" w:name="_Toc157562766"/>
      <w:bookmarkStart w:id="85" w:name="_Toc157608262"/>
      <w:bookmarkStart w:id="86" w:name="_Toc171803321"/>
      <w:r w:rsidRPr="0062340E">
        <w:rPr>
          <w:szCs w:val="24"/>
          <w:rtl/>
        </w:rPr>
        <w:lastRenderedPageBreak/>
        <w:t xml:space="preserve">الشكل </w:t>
      </w:r>
      <w:r w:rsidRPr="0062340E">
        <w:rPr>
          <w:rFonts w:hint="cs"/>
          <w:szCs w:val="24"/>
          <w:rtl/>
        </w:rPr>
        <w:t>(1</w:t>
      </w:r>
      <w:r w:rsidR="007C7C95" w:rsidRPr="0062340E">
        <w:rPr>
          <w:rFonts w:hint="cs"/>
          <w:szCs w:val="24"/>
          <w:rtl/>
        </w:rPr>
        <w:t>-</w:t>
      </w:r>
      <w:r w:rsidRPr="0062340E">
        <w:rPr>
          <w:rFonts w:hint="cs"/>
          <w:szCs w:val="24"/>
          <w:rtl/>
        </w:rPr>
        <w:t>1)</w:t>
      </w:r>
      <w:r w:rsidRPr="0062340E">
        <w:rPr>
          <w:szCs w:val="24"/>
          <w:rtl/>
        </w:rPr>
        <w:t>: مف</w:t>
      </w:r>
      <w:r w:rsidRPr="0062340E">
        <w:rPr>
          <w:rFonts w:hint="cs"/>
          <w:szCs w:val="24"/>
          <w:rtl/>
        </w:rPr>
        <w:t>هوم</w:t>
      </w:r>
      <w:r w:rsidRPr="0062340E">
        <w:rPr>
          <w:szCs w:val="24"/>
          <w:rtl/>
        </w:rPr>
        <w:t xml:space="preserve"> </w:t>
      </w:r>
      <w:r w:rsidR="008A3721" w:rsidRPr="0062340E">
        <w:rPr>
          <w:rFonts w:hint="cs"/>
          <w:szCs w:val="24"/>
          <w:rtl/>
        </w:rPr>
        <w:t xml:space="preserve">استعمالات </w:t>
      </w:r>
      <w:r w:rsidRPr="0062340E">
        <w:rPr>
          <w:szCs w:val="24"/>
          <w:rtl/>
        </w:rPr>
        <w:t xml:space="preserve">الأرض في </w:t>
      </w:r>
      <w:r w:rsidRPr="0062340E">
        <w:rPr>
          <w:rFonts w:hint="cs"/>
          <w:szCs w:val="24"/>
          <w:rtl/>
        </w:rPr>
        <w:t>التخطيط</w:t>
      </w:r>
      <w:r w:rsidRPr="0062340E">
        <w:rPr>
          <w:szCs w:val="24"/>
          <w:rtl/>
        </w:rPr>
        <w:t xml:space="preserve"> الحضري </w:t>
      </w:r>
      <w:r w:rsidRPr="0062340E">
        <w:rPr>
          <w:rFonts w:hint="cs"/>
          <w:szCs w:val="24"/>
          <w:rtl/>
        </w:rPr>
        <w:t>الحديث.</w:t>
      </w:r>
      <w:bookmarkEnd w:id="83"/>
      <w:bookmarkEnd w:id="84"/>
      <w:bookmarkEnd w:id="85"/>
      <w:bookmarkEnd w:id="86"/>
    </w:p>
    <w:p w:rsidR="00A903CE" w:rsidRPr="0062340E" w:rsidRDefault="00A903CE" w:rsidP="00F155DD">
      <w:pPr>
        <w:tabs>
          <w:tab w:val="right" w:pos="282"/>
        </w:tabs>
        <w:autoSpaceDE w:val="0"/>
        <w:autoSpaceDN w:val="0"/>
        <w:bidi/>
        <w:adjustRightInd w:val="0"/>
        <w:spacing w:after="0" w:line="240" w:lineRule="auto"/>
        <w:ind w:firstLine="282"/>
        <w:jc w:val="center"/>
        <w:rPr>
          <w:rStyle w:val="y2iqfc"/>
          <w:rFonts w:ascii="Simplified Arabic" w:hAnsi="Simplified Arabic" w:cs="Simplified Arabic"/>
          <w:b/>
          <w:bCs/>
          <w:color w:val="202124"/>
          <w:sz w:val="24"/>
          <w:szCs w:val="24"/>
          <w:rtl/>
          <w:lang w:val="en-US" w:bidi="ar"/>
        </w:rPr>
      </w:pPr>
      <w:r w:rsidRPr="0062340E">
        <w:rPr>
          <w:rFonts w:ascii="Simplified Arabic" w:hAnsi="Simplified Arabic" w:cs="Simplified Arabic" w:hint="cs"/>
          <w:b/>
          <w:bCs/>
          <w:sz w:val="24"/>
          <w:szCs w:val="24"/>
          <w:rtl/>
        </w:rPr>
        <w:t>المصدر: (حيدر فاروق عباس، 1994).</w:t>
      </w:r>
    </w:p>
    <w:p w:rsidR="00A903CE" w:rsidRPr="0062340E" w:rsidRDefault="00A903CE" w:rsidP="00816C56">
      <w:pPr>
        <w:tabs>
          <w:tab w:val="right" w:pos="282"/>
        </w:tabs>
        <w:autoSpaceDE w:val="0"/>
        <w:autoSpaceDN w:val="0"/>
        <w:bidi/>
        <w:adjustRightInd w:val="0"/>
        <w:ind w:firstLine="849"/>
        <w:jc w:val="both"/>
        <w:rPr>
          <w:rStyle w:val="y2iqfc"/>
          <w:rFonts w:ascii="Simplified Arabic" w:hAnsi="Simplified Arabic" w:cs="Simplified Arabic"/>
          <w:color w:val="202124"/>
          <w:sz w:val="24"/>
          <w:szCs w:val="24"/>
          <w:rtl/>
          <w:lang w:val="en-US" w:bidi="ar"/>
        </w:rPr>
      </w:pPr>
      <w:r w:rsidRPr="0062340E">
        <w:rPr>
          <w:rFonts w:ascii="Simplified Arabic" w:hAnsi="Simplified Arabic" w:cs="Simplified Arabic" w:hint="cs"/>
          <w:noProof/>
          <w:color w:val="202124"/>
          <w:sz w:val="24"/>
          <w:szCs w:val="24"/>
          <w:rtl/>
          <w:lang w:eastAsia="fr-FR"/>
        </w:rPr>
        <w:drawing>
          <wp:inline distT="0" distB="0" distL="0" distR="0" wp14:anchorId="0CA040B6" wp14:editId="7ADF4EDF">
            <wp:extent cx="4364966" cy="2277373"/>
            <wp:effectExtent l="19050" t="0" r="36195" b="27940"/>
            <wp:docPr id="18" name="Diagramme 18"/>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816C56" w:rsidRPr="0062340E" w:rsidRDefault="00816C56" w:rsidP="00816C56">
      <w:pPr>
        <w:pStyle w:val="Paragraphedeliste"/>
        <w:numPr>
          <w:ilvl w:val="0"/>
          <w:numId w:val="65"/>
        </w:numPr>
        <w:tabs>
          <w:tab w:val="right" w:pos="708"/>
        </w:tabs>
        <w:bidi/>
        <w:spacing w:before="240" w:after="0" w:line="240" w:lineRule="auto"/>
        <w:outlineLvl w:val="1"/>
        <w:rPr>
          <w:rFonts w:ascii="Simplified Arabic" w:hAnsi="Simplified Arabic" w:cs="Simplified Arabic"/>
          <w:b/>
          <w:bCs/>
          <w:vanish/>
          <w:color w:val="262626"/>
          <w:sz w:val="24"/>
          <w:szCs w:val="24"/>
          <w:rtl/>
          <w:lang w:val="en-US"/>
        </w:rPr>
      </w:pPr>
      <w:bookmarkStart w:id="87" w:name="_Toc171803322"/>
      <w:bookmarkEnd w:id="87"/>
    </w:p>
    <w:p w:rsidR="00816C56" w:rsidRPr="0062340E" w:rsidRDefault="00816C56" w:rsidP="00816C56">
      <w:pPr>
        <w:pStyle w:val="Paragraphedeliste"/>
        <w:numPr>
          <w:ilvl w:val="0"/>
          <w:numId w:val="65"/>
        </w:numPr>
        <w:tabs>
          <w:tab w:val="right" w:pos="708"/>
        </w:tabs>
        <w:bidi/>
        <w:spacing w:before="240" w:after="0" w:line="240" w:lineRule="auto"/>
        <w:outlineLvl w:val="1"/>
        <w:rPr>
          <w:rFonts w:ascii="Simplified Arabic" w:hAnsi="Simplified Arabic" w:cs="Simplified Arabic"/>
          <w:b/>
          <w:bCs/>
          <w:vanish/>
          <w:color w:val="262626"/>
          <w:sz w:val="24"/>
          <w:szCs w:val="24"/>
          <w:rtl/>
          <w:lang w:val="en-US"/>
        </w:rPr>
      </w:pPr>
      <w:bookmarkStart w:id="88" w:name="_Toc171803323"/>
      <w:bookmarkEnd w:id="88"/>
    </w:p>
    <w:p w:rsidR="00816C56" w:rsidRPr="0062340E" w:rsidRDefault="00816C56" w:rsidP="00816C56">
      <w:pPr>
        <w:pStyle w:val="Paragraphedeliste"/>
        <w:numPr>
          <w:ilvl w:val="0"/>
          <w:numId w:val="65"/>
        </w:numPr>
        <w:tabs>
          <w:tab w:val="right" w:pos="708"/>
        </w:tabs>
        <w:bidi/>
        <w:spacing w:before="240" w:after="0" w:line="240" w:lineRule="auto"/>
        <w:outlineLvl w:val="1"/>
        <w:rPr>
          <w:rFonts w:ascii="Simplified Arabic" w:hAnsi="Simplified Arabic" w:cs="Simplified Arabic"/>
          <w:b/>
          <w:bCs/>
          <w:vanish/>
          <w:color w:val="262626"/>
          <w:sz w:val="24"/>
          <w:szCs w:val="24"/>
          <w:rtl/>
          <w:lang w:val="en-US"/>
        </w:rPr>
      </w:pPr>
      <w:bookmarkStart w:id="89" w:name="_Toc171803324"/>
      <w:bookmarkEnd w:id="89"/>
    </w:p>
    <w:p w:rsidR="00816C56" w:rsidRPr="0062340E" w:rsidRDefault="00816C56" w:rsidP="00816C56">
      <w:pPr>
        <w:pStyle w:val="Paragraphedeliste"/>
        <w:numPr>
          <w:ilvl w:val="0"/>
          <w:numId w:val="65"/>
        </w:numPr>
        <w:tabs>
          <w:tab w:val="right" w:pos="708"/>
        </w:tabs>
        <w:bidi/>
        <w:spacing w:before="240" w:after="0" w:line="240" w:lineRule="auto"/>
        <w:outlineLvl w:val="1"/>
        <w:rPr>
          <w:rFonts w:ascii="Simplified Arabic" w:hAnsi="Simplified Arabic" w:cs="Simplified Arabic"/>
          <w:b/>
          <w:bCs/>
          <w:vanish/>
          <w:color w:val="262626"/>
          <w:sz w:val="24"/>
          <w:szCs w:val="24"/>
          <w:rtl/>
          <w:lang w:val="en-US"/>
        </w:rPr>
      </w:pPr>
      <w:bookmarkStart w:id="90" w:name="_Toc171803325"/>
      <w:bookmarkEnd w:id="90"/>
    </w:p>
    <w:p w:rsidR="00816C56" w:rsidRPr="0062340E" w:rsidRDefault="00816C56" w:rsidP="00816C56">
      <w:pPr>
        <w:pStyle w:val="Paragraphedeliste"/>
        <w:numPr>
          <w:ilvl w:val="1"/>
          <w:numId w:val="65"/>
        </w:numPr>
        <w:tabs>
          <w:tab w:val="right" w:pos="708"/>
        </w:tabs>
        <w:bidi/>
        <w:spacing w:before="240" w:after="0" w:line="240" w:lineRule="auto"/>
        <w:outlineLvl w:val="1"/>
        <w:rPr>
          <w:rFonts w:ascii="Simplified Arabic" w:hAnsi="Simplified Arabic" w:cs="Simplified Arabic"/>
          <w:b/>
          <w:bCs/>
          <w:vanish/>
          <w:color w:val="262626"/>
          <w:sz w:val="24"/>
          <w:szCs w:val="24"/>
          <w:rtl/>
          <w:lang w:val="en-US"/>
        </w:rPr>
      </w:pPr>
      <w:bookmarkStart w:id="91" w:name="_Toc171803326"/>
      <w:bookmarkEnd w:id="91"/>
    </w:p>
    <w:p w:rsidR="00A903CE" w:rsidRPr="0062340E" w:rsidRDefault="00A903CE" w:rsidP="00E14B4E">
      <w:pPr>
        <w:pStyle w:val="Paragraphedeliste"/>
        <w:numPr>
          <w:ilvl w:val="2"/>
          <w:numId w:val="65"/>
        </w:numPr>
        <w:tabs>
          <w:tab w:val="right" w:pos="850"/>
        </w:tabs>
        <w:bidi/>
        <w:spacing w:before="240" w:after="0" w:line="240" w:lineRule="auto"/>
        <w:ind w:left="0" w:firstLine="0"/>
        <w:outlineLvl w:val="1"/>
        <w:rPr>
          <w:rFonts w:ascii="Simplified Arabic" w:hAnsi="Simplified Arabic" w:cs="Simplified Arabic"/>
          <w:b/>
          <w:bCs/>
          <w:color w:val="262626"/>
          <w:sz w:val="24"/>
          <w:szCs w:val="24"/>
          <w:lang w:val="en-US"/>
        </w:rPr>
      </w:pPr>
      <w:bookmarkStart w:id="92" w:name="_Toc171803327"/>
      <w:r w:rsidRPr="0062340E">
        <w:rPr>
          <w:rFonts w:ascii="Simplified Arabic" w:hAnsi="Simplified Arabic" w:cs="Simplified Arabic" w:hint="cs"/>
          <w:b/>
          <w:bCs/>
          <w:color w:val="262626"/>
          <w:sz w:val="24"/>
          <w:szCs w:val="24"/>
          <w:rtl/>
          <w:lang w:val="en-US"/>
        </w:rPr>
        <w:t xml:space="preserve">نمط </w:t>
      </w:r>
      <w:r w:rsidR="008A3721" w:rsidRPr="0062340E">
        <w:rPr>
          <w:rFonts w:ascii="Simplified Arabic" w:hAnsi="Simplified Arabic" w:cs="Simplified Arabic" w:hint="cs"/>
          <w:b/>
          <w:bCs/>
          <w:sz w:val="24"/>
          <w:szCs w:val="24"/>
          <w:rtl/>
        </w:rPr>
        <w:t xml:space="preserve">استعمالات </w:t>
      </w:r>
      <w:r w:rsidRPr="0062340E">
        <w:rPr>
          <w:rFonts w:ascii="Simplified Arabic" w:hAnsi="Simplified Arabic" w:cs="Simplified Arabic"/>
          <w:b/>
          <w:bCs/>
          <w:color w:val="262626"/>
          <w:sz w:val="24"/>
          <w:szCs w:val="24"/>
          <w:rtl/>
          <w:lang w:val="en-US"/>
        </w:rPr>
        <w:t>الارض</w:t>
      </w:r>
      <w:r w:rsidRPr="0062340E">
        <w:rPr>
          <w:rFonts w:ascii="Simplified Arabic" w:hAnsi="Simplified Arabic" w:cs="Simplified Arabic"/>
          <w:b/>
          <w:bCs/>
          <w:color w:val="262626"/>
          <w:sz w:val="24"/>
          <w:szCs w:val="24"/>
          <w:lang w:val="en-US"/>
        </w:rPr>
        <w:t xml:space="preserve"> </w:t>
      </w:r>
      <w:r w:rsidRPr="0062340E">
        <w:rPr>
          <w:rFonts w:ascii="Simplified Arabic" w:hAnsi="Simplified Arabic" w:cs="Simplified Arabic"/>
          <w:b/>
          <w:bCs/>
          <w:color w:val="262626"/>
          <w:sz w:val="24"/>
          <w:szCs w:val="24"/>
          <w:rtl/>
          <w:lang w:val="en-US"/>
        </w:rPr>
        <w:t>الحضرية</w:t>
      </w:r>
      <w:r w:rsidRPr="0062340E">
        <w:rPr>
          <w:rFonts w:ascii="Simplified Arabic" w:hAnsi="Simplified Arabic" w:cs="Simplified Arabic" w:hint="cs"/>
          <w:b/>
          <w:bCs/>
          <w:color w:val="262626"/>
          <w:sz w:val="24"/>
          <w:szCs w:val="24"/>
          <w:rtl/>
          <w:lang w:val="en-US"/>
        </w:rPr>
        <w:t xml:space="preserve"> </w:t>
      </w:r>
      <w:r w:rsidRPr="0062340E">
        <w:rPr>
          <w:rFonts w:asciiTheme="majorBidi" w:hAnsiTheme="majorBidi" w:cstheme="majorBidi" w:hint="cs"/>
          <w:b/>
          <w:bCs/>
          <w:color w:val="000000" w:themeColor="text1"/>
          <w:sz w:val="24"/>
          <w:szCs w:val="24"/>
          <w:shd w:val="clear" w:color="auto" w:fill="FFFFFF"/>
          <w:rtl/>
        </w:rPr>
        <w:t>(</w:t>
      </w:r>
      <w:r w:rsidRPr="0062340E">
        <w:rPr>
          <w:rFonts w:asciiTheme="majorBidi" w:hAnsiTheme="majorBidi" w:cstheme="majorBidi"/>
          <w:b/>
          <w:bCs/>
          <w:color w:val="000000" w:themeColor="text1"/>
          <w:sz w:val="24"/>
          <w:szCs w:val="24"/>
          <w:shd w:val="clear" w:color="auto" w:fill="FFFFFF"/>
        </w:rPr>
        <w:t>Urban Land Use Pattern</w:t>
      </w:r>
      <w:r w:rsidRPr="0062340E">
        <w:rPr>
          <w:rFonts w:asciiTheme="majorBidi" w:hAnsiTheme="majorBidi" w:cstheme="majorBidi" w:hint="cs"/>
          <w:b/>
          <w:bCs/>
          <w:color w:val="000000" w:themeColor="text1"/>
          <w:sz w:val="24"/>
          <w:szCs w:val="24"/>
          <w:shd w:val="clear" w:color="auto" w:fill="FFFFFF"/>
          <w:rtl/>
        </w:rPr>
        <w:t>)</w:t>
      </w:r>
      <w:bookmarkEnd w:id="92"/>
    </w:p>
    <w:p w:rsidR="00A903CE" w:rsidRPr="0062340E" w:rsidRDefault="00A903CE" w:rsidP="00760E4A">
      <w:pPr>
        <w:tabs>
          <w:tab w:val="right" w:pos="282"/>
        </w:tabs>
        <w:bidi/>
        <w:spacing w:after="0"/>
        <w:ind w:firstLine="282"/>
        <w:jc w:val="both"/>
        <w:rPr>
          <w:rFonts w:ascii="Simplified Arabic" w:hAnsi="Simplified Arabic" w:cs="Simplified Arabic"/>
          <w:color w:val="000000" w:themeColor="text1"/>
          <w:sz w:val="24"/>
          <w:szCs w:val="24"/>
          <w:rtl/>
          <w:lang w:val="en-US"/>
        </w:rPr>
      </w:pPr>
      <w:r w:rsidRPr="0062340E">
        <w:rPr>
          <w:rFonts w:ascii="Simplified Arabic" w:hAnsi="Simplified Arabic" w:cs="Simplified Arabic"/>
          <w:color w:val="000000" w:themeColor="text1"/>
          <w:sz w:val="24"/>
          <w:szCs w:val="24"/>
          <w:rtl/>
          <w:lang w:val="en-US"/>
        </w:rPr>
        <w:t xml:space="preserve">يعد نشاط الإنسان على الأرض </w:t>
      </w:r>
      <w:r w:rsidRPr="0062340E">
        <w:rPr>
          <w:rFonts w:ascii="Simplified Arabic" w:hAnsi="Simplified Arabic" w:cs="Simplified Arabic" w:hint="cs"/>
          <w:color w:val="000000" w:themeColor="text1"/>
          <w:sz w:val="24"/>
          <w:szCs w:val="24"/>
          <w:rtl/>
          <w:lang w:val="en-US"/>
        </w:rPr>
        <w:t xml:space="preserve">في حد ذاته </w:t>
      </w:r>
      <w:r w:rsidRPr="0062340E">
        <w:rPr>
          <w:rFonts w:ascii="Simplified Arabic" w:hAnsi="Simplified Arabic" w:cs="Simplified Arabic"/>
          <w:color w:val="000000" w:themeColor="text1"/>
          <w:sz w:val="24"/>
          <w:szCs w:val="24"/>
          <w:rtl/>
          <w:lang w:val="en-US"/>
        </w:rPr>
        <w:t>است</w:t>
      </w:r>
      <w:r w:rsidR="00760E4A" w:rsidRPr="0062340E">
        <w:rPr>
          <w:rFonts w:ascii="Simplified Arabic" w:hAnsi="Simplified Arabic" w:cs="Simplified Arabic" w:hint="cs"/>
          <w:color w:val="000000" w:themeColor="text1"/>
          <w:sz w:val="24"/>
          <w:szCs w:val="24"/>
          <w:rtl/>
          <w:lang w:val="en-US"/>
        </w:rPr>
        <w:t>ع</w:t>
      </w:r>
      <w:r w:rsidRPr="0062340E">
        <w:rPr>
          <w:rFonts w:ascii="Simplified Arabic" w:hAnsi="Simplified Arabic" w:cs="Simplified Arabic"/>
          <w:color w:val="000000" w:themeColor="text1"/>
          <w:sz w:val="24"/>
          <w:szCs w:val="24"/>
          <w:rtl/>
          <w:lang w:val="en-US"/>
        </w:rPr>
        <w:t>م</w:t>
      </w:r>
      <w:r w:rsidR="00760E4A" w:rsidRPr="0062340E">
        <w:rPr>
          <w:rFonts w:ascii="Simplified Arabic" w:hAnsi="Simplified Arabic" w:cs="Simplified Arabic" w:hint="cs"/>
          <w:color w:val="000000" w:themeColor="text1"/>
          <w:sz w:val="24"/>
          <w:szCs w:val="24"/>
          <w:rtl/>
          <w:lang w:val="en-US"/>
        </w:rPr>
        <w:t>الا</w:t>
      </w:r>
      <w:r w:rsidRPr="0062340E">
        <w:rPr>
          <w:rFonts w:ascii="Simplified Arabic" w:hAnsi="Simplified Arabic" w:cs="Simplified Arabic"/>
          <w:color w:val="000000" w:themeColor="text1"/>
          <w:sz w:val="24"/>
          <w:szCs w:val="24"/>
          <w:rtl/>
          <w:lang w:val="en-US"/>
        </w:rPr>
        <w:t xml:space="preserve">، ولهذه الأنشطة </w:t>
      </w:r>
      <w:r w:rsidR="00760E4A" w:rsidRPr="0062340E">
        <w:rPr>
          <w:rFonts w:ascii="Simplified Arabic" w:hAnsi="Simplified Arabic" w:cs="Simplified Arabic" w:hint="cs"/>
          <w:color w:val="000000" w:themeColor="text1"/>
          <w:sz w:val="24"/>
          <w:szCs w:val="24"/>
          <w:rtl/>
          <w:lang w:val="en-US"/>
        </w:rPr>
        <w:t>و</w:t>
      </w:r>
      <w:r w:rsidR="00760E4A" w:rsidRPr="0062340E">
        <w:rPr>
          <w:rFonts w:ascii="Simplified Arabic" w:hAnsi="Simplified Arabic" w:cs="Simplified Arabic" w:hint="cs"/>
          <w:sz w:val="24"/>
          <w:szCs w:val="24"/>
          <w:rtl/>
        </w:rPr>
        <w:t xml:space="preserve">الاستعمالات </w:t>
      </w:r>
      <w:r w:rsidRPr="0062340E">
        <w:rPr>
          <w:rFonts w:ascii="Simplified Arabic" w:hAnsi="Simplified Arabic" w:cs="Simplified Arabic"/>
          <w:color w:val="000000" w:themeColor="text1"/>
          <w:sz w:val="24"/>
          <w:szCs w:val="24"/>
          <w:rtl/>
          <w:lang w:val="en-US"/>
        </w:rPr>
        <w:t xml:space="preserve">أنماط مختلفة </w:t>
      </w:r>
      <w:r w:rsidRPr="0062340E">
        <w:rPr>
          <w:rFonts w:ascii="Simplified Arabic" w:hAnsi="Simplified Arabic" w:cs="Simplified Arabic" w:hint="cs"/>
          <w:color w:val="000000" w:themeColor="text1"/>
          <w:sz w:val="24"/>
          <w:szCs w:val="24"/>
          <w:rtl/>
          <w:lang w:val="en-US"/>
        </w:rPr>
        <w:t>من حيث التنوع والكثافة</w:t>
      </w:r>
      <w:r w:rsidRPr="0062340E">
        <w:rPr>
          <w:rFonts w:ascii="Simplified Arabic" w:hAnsi="Simplified Arabic" w:cs="Simplified Arabic"/>
          <w:color w:val="000000" w:themeColor="text1"/>
          <w:sz w:val="24"/>
          <w:szCs w:val="24"/>
          <w:rtl/>
          <w:lang w:val="en-US"/>
        </w:rPr>
        <w:t xml:space="preserve"> وهي تختلف من مدينة إلى أخرى،</w:t>
      </w:r>
      <w:r w:rsidRPr="0062340E">
        <w:rPr>
          <w:rFonts w:ascii="Simplified Arabic" w:hAnsi="Simplified Arabic" w:cs="Simplified Arabic" w:hint="cs"/>
          <w:color w:val="000000" w:themeColor="text1"/>
          <w:sz w:val="24"/>
          <w:szCs w:val="24"/>
          <w:rtl/>
          <w:lang w:val="en-US"/>
        </w:rPr>
        <w:t xml:space="preserve"> تتنوع </w:t>
      </w:r>
      <w:r w:rsidR="00760E4A" w:rsidRPr="0062340E">
        <w:rPr>
          <w:rFonts w:ascii="Simplified Arabic" w:hAnsi="Simplified Arabic" w:cs="Simplified Arabic" w:hint="cs"/>
          <w:sz w:val="24"/>
          <w:szCs w:val="24"/>
          <w:rtl/>
        </w:rPr>
        <w:t xml:space="preserve">استعمالات </w:t>
      </w:r>
      <w:r w:rsidRPr="0062340E">
        <w:rPr>
          <w:rFonts w:ascii="Simplified Arabic" w:hAnsi="Simplified Arabic" w:cs="Simplified Arabic" w:hint="cs"/>
          <w:color w:val="000000" w:themeColor="text1"/>
          <w:sz w:val="24"/>
          <w:szCs w:val="24"/>
          <w:rtl/>
          <w:lang w:val="en-US"/>
        </w:rPr>
        <w:t xml:space="preserve">الارض داخل المدينة ويُبدي كل جزء منها قد تخصص في </w:t>
      </w:r>
      <w:r w:rsidR="00760E4A" w:rsidRPr="0062340E">
        <w:rPr>
          <w:rFonts w:ascii="Simplified Arabic" w:hAnsi="Simplified Arabic" w:cs="Simplified Arabic" w:hint="cs"/>
          <w:sz w:val="24"/>
          <w:szCs w:val="24"/>
          <w:rtl/>
        </w:rPr>
        <w:t xml:space="preserve">استعمال </w:t>
      </w:r>
      <w:r w:rsidRPr="0062340E">
        <w:rPr>
          <w:rFonts w:ascii="Simplified Arabic" w:hAnsi="Simplified Arabic" w:cs="Simplified Arabic" w:hint="cs"/>
          <w:color w:val="000000" w:themeColor="text1"/>
          <w:sz w:val="24"/>
          <w:szCs w:val="24"/>
          <w:rtl/>
          <w:lang w:val="en-US"/>
        </w:rPr>
        <w:t>معين تُميّزه عن الاجزاء الاخرى للمدينة كما هو مبين في الخريطة (</w:t>
      </w:r>
      <w:r w:rsidR="00410240" w:rsidRPr="0062340E">
        <w:rPr>
          <w:rFonts w:ascii="Simplified Arabic" w:hAnsi="Simplified Arabic" w:cs="Simplified Arabic" w:hint="cs"/>
          <w:color w:val="000000" w:themeColor="text1"/>
          <w:sz w:val="24"/>
          <w:szCs w:val="24"/>
          <w:rtl/>
          <w:lang w:val="en-US"/>
        </w:rPr>
        <w:t>1-1</w:t>
      </w:r>
      <w:r w:rsidRPr="0062340E">
        <w:rPr>
          <w:rFonts w:ascii="Simplified Arabic" w:hAnsi="Simplified Arabic" w:cs="Simplified Arabic" w:hint="cs"/>
          <w:color w:val="000000" w:themeColor="text1"/>
          <w:sz w:val="24"/>
          <w:szCs w:val="24"/>
          <w:rtl/>
          <w:lang w:val="en-US"/>
        </w:rPr>
        <w:t xml:space="preserve">)، تشكل مجمل هذه </w:t>
      </w:r>
      <w:r w:rsidR="00760E4A" w:rsidRPr="0062340E">
        <w:rPr>
          <w:rFonts w:ascii="Simplified Arabic" w:hAnsi="Simplified Arabic" w:cs="Simplified Arabic" w:hint="cs"/>
          <w:color w:val="000000" w:themeColor="text1"/>
          <w:sz w:val="24"/>
          <w:szCs w:val="24"/>
          <w:rtl/>
          <w:lang w:val="en-US"/>
        </w:rPr>
        <w:t>ال</w:t>
      </w:r>
      <w:r w:rsidR="00760E4A" w:rsidRPr="0062340E">
        <w:rPr>
          <w:rFonts w:ascii="Simplified Arabic" w:hAnsi="Simplified Arabic" w:cs="Simplified Arabic" w:hint="cs"/>
          <w:sz w:val="24"/>
          <w:szCs w:val="24"/>
          <w:rtl/>
        </w:rPr>
        <w:t xml:space="preserve">استعمالات </w:t>
      </w:r>
      <w:r w:rsidRPr="0062340E">
        <w:rPr>
          <w:rFonts w:ascii="Simplified Arabic" w:hAnsi="Simplified Arabic" w:cs="Simplified Arabic" w:hint="cs"/>
          <w:color w:val="000000" w:themeColor="text1"/>
          <w:sz w:val="24"/>
          <w:szCs w:val="24"/>
          <w:rtl/>
          <w:lang w:val="en-US"/>
        </w:rPr>
        <w:t xml:space="preserve">الهيكل العام للمدينة، حيث اصبح ان من اهم الامور الأساسية عند دراسة تقسيم المدن حسب نمط </w:t>
      </w:r>
      <w:r w:rsidR="00760E4A" w:rsidRPr="0062340E">
        <w:rPr>
          <w:rFonts w:ascii="Simplified Arabic" w:hAnsi="Simplified Arabic" w:cs="Simplified Arabic" w:hint="cs"/>
          <w:sz w:val="24"/>
          <w:szCs w:val="24"/>
          <w:rtl/>
        </w:rPr>
        <w:t xml:space="preserve">استعمالات </w:t>
      </w:r>
      <w:r w:rsidRPr="0062340E">
        <w:rPr>
          <w:rFonts w:ascii="Simplified Arabic" w:hAnsi="Simplified Arabic" w:cs="Simplified Arabic" w:hint="cs"/>
          <w:color w:val="000000" w:themeColor="text1"/>
          <w:sz w:val="24"/>
          <w:szCs w:val="24"/>
          <w:rtl/>
          <w:lang w:val="en-US"/>
        </w:rPr>
        <w:t>الارض فيها (</w:t>
      </w:r>
      <w:r w:rsidR="00EF4F0B" w:rsidRPr="0062340E">
        <w:rPr>
          <w:rFonts w:ascii="Simplified Arabic" w:hAnsi="Simplified Arabic" w:cs="Simplified Arabic" w:hint="cs"/>
          <w:color w:val="000000" w:themeColor="text1"/>
          <w:sz w:val="24"/>
          <w:szCs w:val="24"/>
          <w:rtl/>
          <w:lang w:val="en-US"/>
        </w:rPr>
        <w:t>ابراهيم</w:t>
      </w:r>
      <w:r w:rsidR="00EF4F0B" w:rsidRPr="0062340E">
        <w:rPr>
          <w:rFonts w:ascii="Simplified Arabic" w:eastAsia="Times New Roman" w:hAnsi="Simplified Arabic" w:cs="Simplified Arabic" w:hint="cs"/>
          <w:color w:val="000000"/>
          <w:sz w:val="24"/>
          <w:szCs w:val="24"/>
          <w:rtl/>
          <w:lang w:eastAsia="fr-FR"/>
        </w:rPr>
        <w:t xml:space="preserve"> </w:t>
      </w:r>
      <w:r w:rsidR="00EF4F0B" w:rsidRPr="0062340E">
        <w:rPr>
          <w:rFonts w:ascii="Simplified Arabic" w:hAnsi="Simplified Arabic" w:cs="Simplified Arabic" w:hint="cs"/>
          <w:color w:val="000000" w:themeColor="text1"/>
          <w:sz w:val="24"/>
          <w:szCs w:val="24"/>
          <w:rtl/>
          <w:lang w:val="en-US"/>
        </w:rPr>
        <w:t>عيسى علي</w:t>
      </w:r>
      <w:r w:rsidRPr="0062340E">
        <w:rPr>
          <w:rFonts w:ascii="Simplified Arabic" w:hAnsi="Simplified Arabic" w:cs="Simplified Arabic" w:hint="cs"/>
          <w:color w:val="000000" w:themeColor="text1"/>
          <w:sz w:val="24"/>
          <w:szCs w:val="24"/>
          <w:rtl/>
          <w:lang w:val="en-US"/>
        </w:rPr>
        <w:t>، 2005).</w:t>
      </w:r>
    </w:p>
    <w:p w:rsidR="00A903CE" w:rsidRPr="0062340E" w:rsidRDefault="00A903CE" w:rsidP="00816C56">
      <w:pPr>
        <w:pStyle w:val="carte"/>
        <w:spacing w:after="0"/>
        <w:rPr>
          <w:rtl/>
        </w:rPr>
      </w:pPr>
      <w:bookmarkStart w:id="93" w:name="_Toc157616579"/>
      <w:bookmarkStart w:id="94" w:name="_Toc171803328"/>
      <w:r w:rsidRPr="0062340E">
        <w:rPr>
          <w:rFonts w:hint="cs"/>
          <w:rtl/>
        </w:rPr>
        <w:t>الخريطة (1</w:t>
      </w:r>
      <w:r w:rsidR="007C7C95" w:rsidRPr="0062340E">
        <w:rPr>
          <w:rFonts w:hint="cs"/>
          <w:rtl/>
        </w:rPr>
        <w:t>-</w:t>
      </w:r>
      <w:r w:rsidRPr="0062340E">
        <w:rPr>
          <w:rFonts w:hint="cs"/>
          <w:rtl/>
        </w:rPr>
        <w:t>1)</w:t>
      </w:r>
      <w:r w:rsidRPr="0062340E">
        <w:rPr>
          <w:rtl/>
        </w:rPr>
        <w:t>:</w:t>
      </w:r>
      <w:r w:rsidRPr="0062340E">
        <w:rPr>
          <w:rFonts w:hint="cs"/>
          <w:rtl/>
        </w:rPr>
        <w:t xml:space="preserve"> </w:t>
      </w:r>
      <w:r w:rsidR="00760E4A" w:rsidRPr="0062340E">
        <w:rPr>
          <w:rFonts w:hint="cs"/>
          <w:rtl/>
        </w:rPr>
        <w:t xml:space="preserve">استعمالات </w:t>
      </w:r>
      <w:r w:rsidRPr="0062340E">
        <w:rPr>
          <w:rtl/>
        </w:rPr>
        <w:t xml:space="preserve">الأرض </w:t>
      </w:r>
      <w:r w:rsidRPr="0062340E">
        <w:rPr>
          <w:rFonts w:hint="cs"/>
          <w:rtl/>
        </w:rPr>
        <w:t>بمدينة</w:t>
      </w:r>
      <w:r w:rsidRPr="0062340E">
        <w:rPr>
          <w:rtl/>
        </w:rPr>
        <w:t xml:space="preserve"> </w:t>
      </w:r>
      <w:r w:rsidRPr="0062340E">
        <w:rPr>
          <w:rFonts w:hint="cs"/>
          <w:rtl/>
        </w:rPr>
        <w:t>نيس -فرنسا</w:t>
      </w:r>
      <w:bookmarkEnd w:id="93"/>
      <w:bookmarkEnd w:id="94"/>
    </w:p>
    <w:p w:rsidR="00A903CE" w:rsidRPr="0062340E" w:rsidRDefault="00A903CE" w:rsidP="00816C56">
      <w:pPr>
        <w:autoSpaceDE w:val="0"/>
        <w:autoSpaceDN w:val="0"/>
        <w:bidi/>
        <w:adjustRightInd w:val="0"/>
        <w:spacing w:after="0" w:line="240" w:lineRule="auto"/>
        <w:jc w:val="center"/>
        <w:rPr>
          <w:rFonts w:ascii="Simplified Arabic" w:hAnsi="Simplified Arabic" w:cs="Simplified Arabic"/>
          <w:b/>
          <w:bCs/>
          <w:sz w:val="24"/>
          <w:szCs w:val="24"/>
          <w:rtl/>
        </w:rPr>
      </w:pPr>
      <w:r w:rsidRPr="0062340E">
        <w:rPr>
          <w:rFonts w:ascii="Simplified Arabic" w:hAnsi="Simplified Arabic" w:cs="Simplified Arabic" w:hint="cs"/>
          <w:b/>
          <w:bCs/>
          <w:sz w:val="24"/>
          <w:szCs w:val="24"/>
          <w:rtl/>
        </w:rPr>
        <w:t xml:space="preserve">المصدر: </w:t>
      </w:r>
      <w:r w:rsidRPr="0062340E">
        <w:rPr>
          <w:rFonts w:asciiTheme="majorBidi" w:hAnsiTheme="majorBidi" w:cstheme="majorBidi"/>
          <w:b/>
          <w:bCs/>
          <w:color w:val="000000"/>
          <w:sz w:val="24"/>
          <w:szCs w:val="24"/>
          <w:lang w:val="en-US"/>
        </w:rPr>
        <w:t>(Batica, 2015)</w:t>
      </w:r>
    </w:p>
    <w:p w:rsidR="00A903CE" w:rsidRPr="0062340E" w:rsidRDefault="00A903CE" w:rsidP="00D47EDE">
      <w:pPr>
        <w:bidi/>
        <w:spacing w:after="0"/>
        <w:jc w:val="center"/>
        <w:rPr>
          <w:sz w:val="24"/>
          <w:szCs w:val="24"/>
          <w:rtl/>
          <w:lang w:bidi="ar-DZ"/>
        </w:rPr>
      </w:pPr>
      <w:r w:rsidRPr="0062340E">
        <w:rPr>
          <w:rFonts w:cs="Arial" w:hint="cs"/>
          <w:noProof/>
          <w:sz w:val="24"/>
          <w:szCs w:val="24"/>
          <w:rtl/>
          <w:lang w:eastAsia="fr-FR"/>
        </w:rPr>
        <w:drawing>
          <wp:inline distT="0" distB="0" distL="0" distR="0" wp14:anchorId="63E1A929" wp14:editId="63237650">
            <wp:extent cx="4960188" cy="3503927"/>
            <wp:effectExtent l="19050" t="19050" r="12065" b="20955"/>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4971573" cy="3511969"/>
                    </a:xfrm>
                    <a:prstGeom prst="rect">
                      <a:avLst/>
                    </a:prstGeom>
                    <a:noFill/>
                    <a:ln w="6350">
                      <a:solidFill>
                        <a:schemeClr val="tx1"/>
                      </a:solidFill>
                    </a:ln>
                  </pic:spPr>
                </pic:pic>
              </a:graphicData>
            </a:graphic>
          </wp:inline>
        </w:drawing>
      </w:r>
    </w:p>
    <w:p w:rsidR="00A903CE" w:rsidRPr="0062340E" w:rsidRDefault="00A903CE" w:rsidP="00E14B4E">
      <w:pPr>
        <w:pStyle w:val="Paragraphedeliste"/>
        <w:numPr>
          <w:ilvl w:val="3"/>
          <w:numId w:val="193"/>
        </w:numPr>
        <w:tabs>
          <w:tab w:val="right" w:pos="992"/>
        </w:tabs>
        <w:bidi/>
        <w:spacing w:before="240" w:after="0" w:line="240" w:lineRule="auto"/>
        <w:ind w:left="0" w:firstLine="0"/>
        <w:outlineLvl w:val="2"/>
        <w:rPr>
          <w:rFonts w:ascii="Simplified Arabic" w:hAnsi="Simplified Arabic" w:cs="Simplified Arabic"/>
          <w:b/>
          <w:bCs/>
          <w:color w:val="000000" w:themeColor="text1"/>
          <w:sz w:val="24"/>
          <w:szCs w:val="24"/>
          <w:rtl/>
          <w:lang w:val="en-US"/>
        </w:rPr>
      </w:pPr>
      <w:bookmarkStart w:id="95" w:name="_Toc171803329"/>
      <w:r w:rsidRPr="0062340E">
        <w:rPr>
          <w:rFonts w:ascii="Simplified Arabic" w:hAnsi="Simplified Arabic" w:cs="Simplified Arabic" w:hint="cs"/>
          <w:b/>
          <w:bCs/>
          <w:color w:val="000000" w:themeColor="text1"/>
          <w:sz w:val="24"/>
          <w:szCs w:val="24"/>
          <w:rtl/>
          <w:lang w:val="en-US"/>
        </w:rPr>
        <w:lastRenderedPageBreak/>
        <w:t>ال</w:t>
      </w:r>
      <w:r w:rsidR="00760E4A" w:rsidRPr="0062340E">
        <w:rPr>
          <w:rFonts w:ascii="Simplified Arabic" w:hAnsi="Simplified Arabic" w:cs="Simplified Arabic" w:hint="cs"/>
          <w:b/>
          <w:bCs/>
          <w:sz w:val="24"/>
          <w:szCs w:val="24"/>
          <w:rtl/>
        </w:rPr>
        <w:t xml:space="preserve">استعمال </w:t>
      </w:r>
      <w:r w:rsidRPr="0062340E">
        <w:rPr>
          <w:rFonts w:ascii="Simplified Arabic" w:hAnsi="Simplified Arabic" w:cs="Simplified Arabic" w:hint="cs"/>
          <w:b/>
          <w:bCs/>
          <w:color w:val="000000" w:themeColor="text1"/>
          <w:sz w:val="24"/>
          <w:szCs w:val="24"/>
          <w:rtl/>
          <w:lang w:val="en-US"/>
        </w:rPr>
        <w:t xml:space="preserve">السكني </w:t>
      </w:r>
      <w:r w:rsidRPr="0062340E">
        <w:rPr>
          <w:rFonts w:asciiTheme="majorBidi" w:hAnsiTheme="majorBidi" w:cstheme="majorBidi"/>
          <w:b/>
          <w:bCs/>
          <w:color w:val="000000" w:themeColor="text1"/>
          <w:sz w:val="24"/>
          <w:szCs w:val="24"/>
          <w:rtl/>
          <w:lang w:val="en-US"/>
        </w:rPr>
        <w:t>(</w:t>
      </w:r>
      <w:r w:rsidRPr="0062340E">
        <w:rPr>
          <w:rFonts w:asciiTheme="majorBidi" w:hAnsiTheme="majorBidi" w:cstheme="majorBidi"/>
          <w:b/>
          <w:bCs/>
          <w:color w:val="000000" w:themeColor="text1"/>
          <w:sz w:val="24"/>
          <w:szCs w:val="24"/>
          <w:shd w:val="clear" w:color="auto" w:fill="FFFFFF"/>
          <w:lang w:val="en-US"/>
        </w:rPr>
        <w:t>Residential</w:t>
      </w:r>
      <w:r w:rsidRPr="0062340E">
        <w:rPr>
          <w:rFonts w:asciiTheme="majorBidi" w:hAnsiTheme="majorBidi" w:cstheme="majorBidi"/>
          <w:b/>
          <w:bCs/>
          <w:color w:val="000000" w:themeColor="text1"/>
          <w:sz w:val="24"/>
          <w:szCs w:val="24"/>
          <w:shd w:val="clear" w:color="auto" w:fill="FFFFFF"/>
        </w:rPr>
        <w:t xml:space="preserve"> Area</w:t>
      </w:r>
      <w:r w:rsidRPr="0062340E">
        <w:rPr>
          <w:rFonts w:asciiTheme="majorBidi" w:hAnsiTheme="majorBidi" w:cstheme="majorBidi"/>
          <w:b/>
          <w:bCs/>
          <w:color w:val="000000" w:themeColor="text1"/>
          <w:sz w:val="24"/>
          <w:szCs w:val="24"/>
          <w:shd w:val="clear" w:color="auto" w:fill="FFFFFF"/>
          <w:rtl/>
        </w:rPr>
        <w:t>)</w:t>
      </w:r>
      <w:bookmarkEnd w:id="95"/>
      <w:r w:rsidRPr="0062340E">
        <w:rPr>
          <w:rFonts w:ascii="Simplified Arabic" w:hAnsi="Simplified Arabic" w:cs="Simplified Arabic" w:hint="cs"/>
          <w:b/>
          <w:bCs/>
          <w:color w:val="000000" w:themeColor="text1"/>
          <w:sz w:val="24"/>
          <w:szCs w:val="24"/>
          <w:rtl/>
          <w:lang w:val="en-US"/>
        </w:rPr>
        <w:t xml:space="preserve"> </w:t>
      </w:r>
    </w:p>
    <w:p w:rsidR="00A903CE" w:rsidRPr="0062340E" w:rsidRDefault="00A903CE" w:rsidP="00911DD1">
      <w:pPr>
        <w:tabs>
          <w:tab w:val="right" w:pos="0"/>
        </w:tabs>
        <w:bidi/>
        <w:spacing w:after="0"/>
        <w:ind w:left="-1" w:firstLine="284"/>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lang w:val="en-US"/>
        </w:rPr>
        <w:t>حسب (</w:t>
      </w:r>
      <w:r w:rsidR="000E0D22" w:rsidRPr="0062340E">
        <w:rPr>
          <w:rFonts w:ascii="Simplified Arabic" w:hAnsi="Simplified Arabic" w:cs="Simplified Arabic" w:hint="cs"/>
          <w:color w:val="000000" w:themeColor="text1"/>
          <w:sz w:val="24"/>
          <w:szCs w:val="24"/>
          <w:rtl/>
          <w:lang w:val="en-US"/>
        </w:rPr>
        <w:t>الغریباوي رعد عبد الحسین</w:t>
      </w:r>
      <w:r w:rsidRPr="0062340E">
        <w:rPr>
          <w:rFonts w:ascii="Simplified Arabic" w:hAnsi="Simplified Arabic" w:cs="Simplified Arabic" w:hint="cs"/>
          <w:color w:val="000000" w:themeColor="text1"/>
          <w:sz w:val="24"/>
          <w:szCs w:val="24"/>
          <w:rtl/>
          <w:lang w:val="en-US"/>
        </w:rPr>
        <w:t xml:space="preserve">، 2005) يمثل السكن ظاهرة من ابرز الظواهر البشرية ويمثل واحد من بين اهم المتطلبات الاساسية والضرورية للإنسان التي تلبي رغباته الفردية و العائلية و الاجتماعية. يعتبر السكن الوظيفة الرئيسية للمدن، ينتشر في جميع انحائها، بالتالي فهو يشغل المساحة الاكبر مقارنة مع مساحة </w:t>
      </w:r>
      <w:r w:rsidR="00760E4A" w:rsidRPr="0062340E">
        <w:rPr>
          <w:rFonts w:ascii="Simplified Arabic" w:hAnsi="Simplified Arabic" w:cs="Simplified Arabic" w:hint="cs"/>
          <w:color w:val="000000" w:themeColor="text1"/>
          <w:sz w:val="24"/>
          <w:szCs w:val="24"/>
          <w:rtl/>
          <w:lang w:val="en-US"/>
        </w:rPr>
        <w:t>ال</w:t>
      </w:r>
      <w:r w:rsidR="00760E4A" w:rsidRPr="0062340E">
        <w:rPr>
          <w:rFonts w:ascii="Simplified Arabic" w:hAnsi="Simplified Arabic" w:cs="Simplified Arabic" w:hint="cs"/>
          <w:sz w:val="24"/>
          <w:szCs w:val="24"/>
          <w:rtl/>
        </w:rPr>
        <w:t xml:space="preserve">استعمالات </w:t>
      </w:r>
      <w:r w:rsidRPr="0062340E">
        <w:rPr>
          <w:rFonts w:ascii="Simplified Arabic" w:hAnsi="Simplified Arabic" w:cs="Simplified Arabic" w:hint="cs"/>
          <w:color w:val="000000" w:themeColor="text1"/>
          <w:sz w:val="24"/>
          <w:szCs w:val="24"/>
          <w:rtl/>
          <w:lang w:val="en-US"/>
        </w:rPr>
        <w:t>الاخرى. ذكر(</w:t>
      </w:r>
      <w:r w:rsidR="00EF6F59" w:rsidRPr="0062340E">
        <w:rPr>
          <w:rFonts w:ascii="Simplified Arabic" w:hAnsi="Simplified Arabic" w:cs="Simplified Arabic" w:hint="cs"/>
          <w:color w:val="000000" w:themeColor="text1"/>
          <w:sz w:val="24"/>
          <w:szCs w:val="24"/>
          <w:rtl/>
          <w:lang w:val="en-US"/>
        </w:rPr>
        <w:t>ابو صبحة كايد عثمان</w:t>
      </w:r>
      <w:r w:rsidRPr="0062340E">
        <w:rPr>
          <w:rFonts w:ascii="Simplified Arabic" w:hAnsi="Simplified Arabic" w:cs="Simplified Arabic" w:hint="cs"/>
          <w:color w:val="000000" w:themeColor="text1"/>
          <w:sz w:val="24"/>
          <w:szCs w:val="24"/>
          <w:rtl/>
          <w:lang w:val="en-US"/>
        </w:rPr>
        <w:t>، 2002) في دراسة عن المدن الامريكية، ان وظيفة السكن تستهلك نسبة 39</w:t>
      </w:r>
      <w:r w:rsidRPr="0062340E">
        <w:rPr>
          <w:rFonts w:ascii="Simplified Arabic" w:hAnsi="Simplified Arabic" w:cs="Simplified Arabic"/>
          <w:color w:val="000000" w:themeColor="text1"/>
          <w:sz w:val="24"/>
          <w:szCs w:val="24"/>
          <w:lang w:val="en-US"/>
        </w:rPr>
        <w:t>%</w:t>
      </w:r>
      <w:r w:rsidRPr="0062340E">
        <w:rPr>
          <w:rFonts w:ascii="Simplified Arabic" w:hAnsi="Simplified Arabic" w:cs="Simplified Arabic" w:hint="cs"/>
          <w:color w:val="000000" w:themeColor="text1"/>
          <w:sz w:val="24"/>
          <w:szCs w:val="24"/>
          <w:rtl/>
          <w:lang w:val="en-US"/>
        </w:rPr>
        <w:t xml:space="preserve"> من مجموع المساحة المبنية، في حين ارتفعت هذه النسبة الى اكثر من 60</w:t>
      </w:r>
      <w:r w:rsidRPr="0062340E">
        <w:rPr>
          <w:rFonts w:ascii="Simplified Arabic" w:hAnsi="Simplified Arabic" w:cs="Simplified Arabic"/>
          <w:color w:val="000000" w:themeColor="text1"/>
          <w:sz w:val="24"/>
          <w:szCs w:val="24"/>
          <w:lang w:val="en-US"/>
        </w:rPr>
        <w:t>%</w:t>
      </w:r>
      <w:r w:rsidRPr="0062340E">
        <w:rPr>
          <w:rFonts w:ascii="Simplified Arabic" w:hAnsi="Simplified Arabic" w:cs="Simplified Arabic" w:hint="cs"/>
          <w:color w:val="000000" w:themeColor="text1"/>
          <w:sz w:val="24"/>
          <w:szCs w:val="24"/>
          <w:rtl/>
          <w:lang w:val="en-US"/>
        </w:rPr>
        <w:t xml:space="preserve"> في الدول العربية </w:t>
      </w:r>
      <w:r w:rsidR="00A122CB" w:rsidRPr="0062340E">
        <w:rPr>
          <w:rFonts w:ascii="Simplified Arabic" w:hAnsi="Simplified Arabic" w:cs="Simplified Arabic" w:hint="cs"/>
          <w:color w:val="000000" w:themeColor="text1"/>
          <w:sz w:val="24"/>
          <w:szCs w:val="24"/>
          <w:rtl/>
          <w:lang w:val="en-US"/>
        </w:rPr>
        <w:t>(</w:t>
      </w:r>
      <w:r w:rsidR="00EF6F59" w:rsidRPr="0062340E">
        <w:rPr>
          <w:rFonts w:ascii="Simplified Arabic" w:hAnsi="Simplified Arabic" w:cs="Simplified Arabic" w:hint="cs"/>
          <w:color w:val="000000" w:themeColor="text1"/>
          <w:sz w:val="24"/>
          <w:szCs w:val="24"/>
          <w:rtl/>
          <w:lang w:val="en-US"/>
        </w:rPr>
        <w:t>الهيتي صبري</w:t>
      </w:r>
      <w:r w:rsidR="00A122CB" w:rsidRPr="0062340E">
        <w:rPr>
          <w:rFonts w:ascii="Simplified Arabic" w:hAnsi="Simplified Arabic" w:cs="Simplified Arabic" w:hint="cs"/>
          <w:color w:val="000000" w:themeColor="text1"/>
          <w:sz w:val="24"/>
          <w:szCs w:val="24"/>
          <w:rtl/>
          <w:lang w:val="en-US"/>
        </w:rPr>
        <w:t>، 2002</w:t>
      </w:r>
      <w:r w:rsidRPr="0062340E">
        <w:rPr>
          <w:rFonts w:ascii="Simplified Arabic" w:hAnsi="Simplified Arabic" w:cs="Simplified Arabic" w:hint="cs"/>
          <w:color w:val="000000" w:themeColor="text1"/>
          <w:sz w:val="24"/>
          <w:szCs w:val="24"/>
          <w:rtl/>
          <w:lang w:val="en-US"/>
        </w:rPr>
        <w:t>).</w:t>
      </w:r>
    </w:p>
    <w:p w:rsidR="00216DD5" w:rsidRPr="0062340E" w:rsidRDefault="00760E4A" w:rsidP="00971AF5">
      <w:pPr>
        <w:pStyle w:val="Paragraphedeliste"/>
        <w:numPr>
          <w:ilvl w:val="3"/>
          <w:numId w:val="194"/>
        </w:numPr>
        <w:tabs>
          <w:tab w:val="right" w:pos="992"/>
        </w:tabs>
        <w:bidi/>
        <w:spacing w:after="0" w:line="240" w:lineRule="auto"/>
        <w:ind w:left="0" w:firstLine="0"/>
        <w:outlineLvl w:val="2"/>
        <w:rPr>
          <w:rFonts w:ascii="Simplified Arabic" w:hAnsi="Simplified Arabic" w:cs="Simplified Arabic"/>
          <w:b/>
          <w:bCs/>
          <w:color w:val="000000" w:themeColor="text1"/>
          <w:sz w:val="24"/>
          <w:szCs w:val="24"/>
          <w:rtl/>
          <w:lang w:val="en-US"/>
        </w:rPr>
      </w:pPr>
      <w:bookmarkStart w:id="96" w:name="_Toc171803330"/>
      <w:r w:rsidRPr="0062340E">
        <w:rPr>
          <w:rFonts w:ascii="Simplified Arabic" w:hAnsi="Simplified Arabic" w:cs="Simplified Arabic" w:hint="cs"/>
          <w:b/>
          <w:bCs/>
          <w:color w:val="000000" w:themeColor="text1"/>
          <w:sz w:val="24"/>
          <w:szCs w:val="24"/>
          <w:rtl/>
          <w:lang w:val="en-US"/>
        </w:rPr>
        <w:t>ال</w:t>
      </w:r>
      <w:r w:rsidRPr="0062340E">
        <w:rPr>
          <w:rFonts w:ascii="Simplified Arabic" w:hAnsi="Simplified Arabic" w:cs="Simplified Arabic" w:hint="cs"/>
          <w:b/>
          <w:bCs/>
          <w:sz w:val="24"/>
          <w:szCs w:val="24"/>
          <w:rtl/>
        </w:rPr>
        <w:t xml:space="preserve">استعمال </w:t>
      </w:r>
      <w:r w:rsidR="00A903CE" w:rsidRPr="0062340E">
        <w:rPr>
          <w:rFonts w:ascii="Simplified Arabic" w:hAnsi="Simplified Arabic" w:cs="Simplified Arabic"/>
          <w:b/>
          <w:bCs/>
          <w:color w:val="000000" w:themeColor="text1"/>
          <w:sz w:val="24"/>
          <w:szCs w:val="24"/>
          <w:rtl/>
          <w:lang w:val="en-US"/>
        </w:rPr>
        <w:t>التجاري</w:t>
      </w:r>
      <w:r w:rsidR="00216DD5" w:rsidRPr="0062340E">
        <w:rPr>
          <w:rFonts w:ascii="Simplified Arabic" w:hAnsi="Simplified Arabic" w:cs="Simplified Arabic" w:hint="cs"/>
          <w:b/>
          <w:bCs/>
          <w:color w:val="000000" w:themeColor="text1"/>
          <w:sz w:val="24"/>
          <w:szCs w:val="24"/>
          <w:rtl/>
          <w:lang w:val="en-US"/>
        </w:rPr>
        <w:t xml:space="preserve"> </w:t>
      </w:r>
      <w:r w:rsidR="00216DD5" w:rsidRPr="0062340E">
        <w:rPr>
          <w:rFonts w:asciiTheme="majorBidi" w:hAnsiTheme="majorBidi" w:cstheme="majorBidi"/>
          <w:b/>
          <w:bCs/>
          <w:color w:val="000000" w:themeColor="text1"/>
          <w:sz w:val="24"/>
          <w:szCs w:val="24"/>
          <w:rtl/>
          <w:lang w:val="en-US"/>
        </w:rPr>
        <w:t>(</w:t>
      </w:r>
      <w:r w:rsidR="00216DD5" w:rsidRPr="0062340E">
        <w:rPr>
          <w:rFonts w:asciiTheme="majorBidi" w:hAnsiTheme="majorBidi" w:cstheme="majorBidi"/>
          <w:b/>
          <w:bCs/>
          <w:color w:val="000000" w:themeColor="text1"/>
          <w:sz w:val="24"/>
          <w:szCs w:val="24"/>
          <w:shd w:val="clear" w:color="auto" w:fill="FFFFFF"/>
        </w:rPr>
        <w:t>Commercial Area</w:t>
      </w:r>
      <w:r w:rsidR="00216DD5" w:rsidRPr="0062340E">
        <w:rPr>
          <w:rFonts w:asciiTheme="majorBidi" w:hAnsiTheme="majorBidi" w:cstheme="majorBidi"/>
          <w:b/>
          <w:bCs/>
          <w:color w:val="000000" w:themeColor="text1"/>
          <w:sz w:val="24"/>
          <w:szCs w:val="24"/>
          <w:rtl/>
          <w:lang w:val="en-US"/>
        </w:rPr>
        <w:t>)</w:t>
      </w:r>
      <w:bookmarkEnd w:id="96"/>
    </w:p>
    <w:p w:rsidR="00A903CE" w:rsidRPr="0062340E" w:rsidRDefault="00A903CE" w:rsidP="00911DD1">
      <w:pPr>
        <w:tabs>
          <w:tab w:val="right" w:pos="-1"/>
        </w:tabs>
        <w:bidi/>
        <w:spacing w:after="0"/>
        <w:ind w:left="-1" w:firstLine="283"/>
        <w:jc w:val="both"/>
        <w:rPr>
          <w:rFonts w:ascii="Simplified Arabic" w:hAnsi="Simplified Arabic" w:cs="Simplified Arabic"/>
          <w:sz w:val="24"/>
          <w:szCs w:val="24"/>
          <w:rtl/>
          <w:lang w:bidi="ar-DZ"/>
        </w:rPr>
      </w:pPr>
      <w:r w:rsidRPr="0062340E">
        <w:rPr>
          <w:rFonts w:ascii="Simplified Arabic" w:hAnsi="Simplified Arabic" w:cs="Simplified Arabic" w:hint="cs"/>
          <w:color w:val="000000" w:themeColor="text1"/>
          <w:sz w:val="24"/>
          <w:szCs w:val="24"/>
          <w:rtl/>
          <w:lang w:val="en-US"/>
        </w:rPr>
        <w:t>يرى (</w:t>
      </w:r>
      <w:r w:rsidR="00EF6F59" w:rsidRPr="0062340E">
        <w:rPr>
          <w:rFonts w:ascii="Simplified Arabic" w:hAnsi="Simplified Arabic" w:cs="Simplified Arabic" w:hint="cs"/>
          <w:color w:val="000000" w:themeColor="text1"/>
          <w:sz w:val="24"/>
          <w:szCs w:val="24"/>
          <w:rtl/>
          <w:lang w:val="en-US"/>
        </w:rPr>
        <w:t>الجنابي هاشم خضير</w:t>
      </w:r>
      <w:r w:rsidRPr="0062340E">
        <w:rPr>
          <w:rFonts w:ascii="Simplified Arabic" w:hAnsi="Simplified Arabic" w:cs="Simplified Arabic" w:hint="cs"/>
          <w:color w:val="000000" w:themeColor="text1"/>
          <w:sz w:val="24"/>
          <w:szCs w:val="24"/>
          <w:rtl/>
          <w:lang w:val="en-US"/>
        </w:rPr>
        <w:t xml:space="preserve">، 1985)، ان </w:t>
      </w:r>
      <w:r w:rsidR="00760E4A" w:rsidRPr="0062340E">
        <w:rPr>
          <w:rFonts w:ascii="Simplified Arabic" w:hAnsi="Simplified Arabic" w:cs="Simplified Arabic" w:hint="cs"/>
          <w:color w:val="000000" w:themeColor="text1"/>
          <w:sz w:val="24"/>
          <w:szCs w:val="24"/>
          <w:rtl/>
          <w:lang w:val="en-US"/>
        </w:rPr>
        <w:t>ال</w:t>
      </w:r>
      <w:r w:rsidR="00760E4A" w:rsidRPr="0062340E">
        <w:rPr>
          <w:rFonts w:ascii="Simplified Arabic" w:hAnsi="Simplified Arabic" w:cs="Simplified Arabic" w:hint="cs"/>
          <w:sz w:val="24"/>
          <w:szCs w:val="24"/>
          <w:rtl/>
        </w:rPr>
        <w:t>استعمال</w:t>
      </w:r>
      <w:r w:rsidR="00760E4A"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color w:val="000000" w:themeColor="text1"/>
          <w:sz w:val="24"/>
          <w:szCs w:val="24"/>
          <w:rtl/>
          <w:lang w:val="en-US"/>
        </w:rPr>
        <w:t>التجاري</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لأي</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مدينة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بغض</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النظر عن</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حجم المدينة او</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موقعها ضرورة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ملحة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لتلبية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احتياجات</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سكانها</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السلع</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والخدمات</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المختلفة،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وان</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سعة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وحجم هذه</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الوظيفة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تتناسب</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طردا</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مع</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حجم</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المدينة</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ومجموع</w:t>
      </w:r>
      <w:r w:rsidRPr="0062340E">
        <w:rPr>
          <w:rFonts w:ascii="Simplified Arabic" w:hAnsi="Simplified Arabic" w:cs="Simplified Arabic"/>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lang w:val="en-US"/>
        </w:rPr>
        <w:t>سكانها.</w:t>
      </w:r>
      <w:r w:rsidRPr="0062340E">
        <w:rPr>
          <w:rFonts w:ascii="Simplified Arabic" w:hAnsi="Simplified Arabic" w:cs="Simplified Arabic" w:hint="cs"/>
          <w:sz w:val="24"/>
          <w:szCs w:val="24"/>
          <w:rtl/>
          <w:lang w:bidi="ar-DZ"/>
        </w:rPr>
        <w:t xml:space="preserve"> </w:t>
      </w:r>
    </w:p>
    <w:p w:rsidR="00A903CE" w:rsidRPr="0062340E" w:rsidRDefault="00A903CE" w:rsidP="00971AF5">
      <w:pPr>
        <w:tabs>
          <w:tab w:val="right" w:pos="-1"/>
        </w:tabs>
        <w:bidi/>
        <w:spacing w:after="0"/>
        <w:ind w:left="-1" w:firstLine="283"/>
        <w:jc w:val="both"/>
        <w:rPr>
          <w:rFonts w:ascii="Simplified Arabic" w:hAnsi="Simplified Arabic" w:cs="Simplified Arabic"/>
          <w:color w:val="000000" w:themeColor="text1"/>
          <w:sz w:val="24"/>
          <w:szCs w:val="24"/>
          <w:rtl/>
          <w:lang w:val="en-US" w:bidi="ar-DZ"/>
        </w:rPr>
      </w:pPr>
      <w:r w:rsidRPr="0062340E">
        <w:rPr>
          <w:rFonts w:ascii="Simplified Arabic" w:hAnsi="Simplified Arabic" w:cs="Simplified Arabic" w:hint="cs"/>
          <w:sz w:val="24"/>
          <w:szCs w:val="24"/>
          <w:rtl/>
          <w:lang w:bidi="ar-DZ"/>
        </w:rPr>
        <w:t>تركز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بعض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الأبحاث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التحتية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الحيوية،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تعريفها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ضرورية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لاستمرارية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الأنشطة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الاقتصادية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المدن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ولتلبية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الاحتياجات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المعيشية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الأساسية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لسكان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الحضر </w:t>
      </w:r>
      <w:r w:rsidRPr="0062340E">
        <w:rPr>
          <w:rFonts w:asciiTheme="majorBidi" w:hAnsiTheme="majorBidi" w:cstheme="majorBidi"/>
          <w:sz w:val="24"/>
          <w:szCs w:val="24"/>
        </w:rPr>
        <w:t>(Escarameia et al., 2016)</w:t>
      </w:r>
      <w:r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color w:val="000000" w:themeColor="text1"/>
          <w:sz w:val="24"/>
          <w:szCs w:val="24"/>
          <w:rtl/>
          <w:lang w:val="en-US"/>
        </w:rPr>
        <w:t>ومن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الأمثلة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sz w:val="24"/>
          <w:szCs w:val="24"/>
          <w:rtl/>
          <w:lang w:bidi="ar-DZ"/>
        </w:rPr>
        <w:t>البنية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التحتية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الحيوية،</w:t>
      </w:r>
      <w:r w:rsidRPr="0062340E">
        <w:rPr>
          <w:rFonts w:ascii="Simplified Arabic" w:hAnsi="Simplified Arabic" w:cs="Simplified Arabic" w:hint="cs"/>
          <w:color w:val="000000" w:themeColor="text1"/>
          <w:sz w:val="24"/>
          <w:szCs w:val="24"/>
          <w:rtl/>
          <w:lang w:val="en-US"/>
        </w:rPr>
        <w:t xml:space="preserve"> محطات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الطاقة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ومراكز</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الامن العام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ومراكز</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الاتصالات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ومحطات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الإطفاء</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والملاجئ</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والمستشفيات</w:t>
      </w:r>
      <w:r w:rsidRPr="0062340E">
        <w:rPr>
          <w:rFonts w:ascii="Simplified Arabic" w:hAnsi="Simplified Arabic" w:cs="Simplified Arabic"/>
          <w:color w:val="000000" w:themeColor="text1"/>
          <w:sz w:val="24"/>
          <w:szCs w:val="24"/>
          <w:rtl/>
          <w:lang w:val="en-US"/>
        </w:rPr>
        <w:t xml:space="preserve">. </w:t>
      </w:r>
    </w:p>
    <w:p w:rsidR="00A903CE" w:rsidRPr="0062340E" w:rsidRDefault="00A903CE" w:rsidP="00971AF5">
      <w:pPr>
        <w:tabs>
          <w:tab w:val="right" w:pos="-1"/>
        </w:tabs>
        <w:bidi/>
        <w:spacing w:after="0"/>
        <w:ind w:left="-1" w:firstLine="283"/>
        <w:jc w:val="both"/>
        <w:rPr>
          <w:rFonts w:ascii="Simplified Arabic" w:hAnsi="Simplified Arabic" w:cs="Simplified Arabic"/>
          <w:color w:val="000000" w:themeColor="text1"/>
          <w:sz w:val="24"/>
          <w:szCs w:val="24"/>
        </w:rPr>
      </w:pPr>
      <w:r w:rsidRPr="0062340E">
        <w:rPr>
          <w:rFonts w:ascii="Simplified Arabic" w:hAnsi="Simplified Arabic" w:cs="Simplified Arabic" w:hint="cs"/>
          <w:sz w:val="24"/>
          <w:szCs w:val="24"/>
          <w:rtl/>
          <w:lang w:bidi="ar-DZ"/>
        </w:rPr>
        <w:t>اشار</w:t>
      </w:r>
      <w:r w:rsidRPr="0062340E">
        <w:rPr>
          <w:rFonts w:ascii="Simplified Arabic" w:hAnsi="Simplified Arabic" w:cs="Simplified Arabic"/>
          <w:sz w:val="24"/>
          <w:szCs w:val="24"/>
          <w:rtl/>
          <w:lang w:bidi="ar-DZ"/>
        </w:rPr>
        <w:t xml:space="preserve"> </w:t>
      </w:r>
      <w:r w:rsidRPr="0062340E">
        <w:rPr>
          <w:rFonts w:asciiTheme="majorBidi" w:hAnsiTheme="majorBidi" w:cstheme="majorBidi" w:hint="cs"/>
          <w:sz w:val="24"/>
          <w:szCs w:val="24"/>
          <w:rtl/>
          <w:lang w:bidi="ar-DZ"/>
        </w:rPr>
        <w:t>(</w:t>
      </w:r>
      <w:r w:rsidRPr="0062340E">
        <w:rPr>
          <w:rFonts w:asciiTheme="majorBidi" w:hAnsiTheme="majorBidi" w:cstheme="majorBidi"/>
          <w:sz w:val="24"/>
          <w:szCs w:val="24"/>
        </w:rPr>
        <w:t>Peres</w:t>
      </w:r>
      <w:r w:rsidRPr="0062340E">
        <w:rPr>
          <w:rFonts w:asciiTheme="majorBidi" w:hAnsiTheme="majorBidi" w:cstheme="majorBidi"/>
          <w:sz w:val="24"/>
          <w:szCs w:val="24"/>
          <w:lang w:bidi="ar-DZ"/>
        </w:rPr>
        <w:t xml:space="preserve"> et al., 2016</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انه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إنشاء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أيضًا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 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الخصائص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للأنظمة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الاقتصادية والتجارية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color w:val="000000" w:themeColor="text1"/>
          <w:sz w:val="24"/>
          <w:szCs w:val="24"/>
          <w:rtl/>
          <w:lang w:val="en-US"/>
        </w:rPr>
        <w:t xml:space="preserve"> بالطبع هناك اختلاط كبيرا بين </w:t>
      </w:r>
      <w:r w:rsidR="00760E4A" w:rsidRPr="0062340E">
        <w:rPr>
          <w:rFonts w:ascii="Simplified Arabic" w:hAnsi="Simplified Arabic" w:cs="Simplified Arabic" w:hint="cs"/>
          <w:color w:val="000000" w:themeColor="text1"/>
          <w:sz w:val="24"/>
          <w:szCs w:val="24"/>
          <w:rtl/>
          <w:lang w:val="en-US"/>
        </w:rPr>
        <w:t>ال</w:t>
      </w:r>
      <w:r w:rsidR="00760E4A" w:rsidRPr="0062340E">
        <w:rPr>
          <w:rFonts w:ascii="Simplified Arabic" w:hAnsi="Simplified Arabic" w:cs="Simplified Arabic" w:hint="cs"/>
          <w:sz w:val="24"/>
          <w:szCs w:val="24"/>
          <w:rtl/>
        </w:rPr>
        <w:t>استعمال</w:t>
      </w:r>
      <w:r w:rsidR="00760E4A" w:rsidRPr="0062340E">
        <w:rPr>
          <w:rFonts w:ascii="Simplified Arabic" w:hAnsi="Simplified Arabic" w:cs="Simplified Arabic" w:hint="cs"/>
          <w:b/>
          <w:bCs/>
          <w:sz w:val="24"/>
          <w:szCs w:val="24"/>
          <w:rtl/>
        </w:rPr>
        <w:t xml:space="preserve"> </w:t>
      </w:r>
      <w:r w:rsidRPr="0062340E">
        <w:rPr>
          <w:rFonts w:ascii="Simplified Arabic" w:hAnsi="Simplified Arabic" w:cs="Simplified Arabic"/>
          <w:color w:val="000000" w:themeColor="text1"/>
          <w:sz w:val="24"/>
          <w:szCs w:val="24"/>
          <w:rtl/>
          <w:lang w:val="en-US"/>
        </w:rPr>
        <w:t>التجاري والسكني حيث أن هناك تمازج وتداخل بينه</w:t>
      </w:r>
      <w:r w:rsidRPr="0062340E">
        <w:rPr>
          <w:rFonts w:ascii="Simplified Arabic" w:hAnsi="Simplified Arabic" w:cs="Simplified Arabic" w:hint="cs"/>
          <w:color w:val="000000" w:themeColor="text1"/>
          <w:sz w:val="24"/>
          <w:szCs w:val="24"/>
          <w:rtl/>
          <w:lang w:val="en-US"/>
        </w:rPr>
        <w:t>م</w:t>
      </w:r>
      <w:r w:rsidRPr="0062340E">
        <w:rPr>
          <w:rFonts w:ascii="Simplified Arabic" w:hAnsi="Simplified Arabic" w:cs="Simplified Arabic"/>
          <w:color w:val="000000" w:themeColor="text1"/>
          <w:sz w:val="24"/>
          <w:szCs w:val="24"/>
          <w:rtl/>
          <w:lang w:val="en-US"/>
        </w:rPr>
        <w:t xml:space="preserve">ا، بالذات في المنطقة المركزية، حيث يشغل الطوابق السفلية </w:t>
      </w:r>
      <w:r w:rsidR="00760E4A" w:rsidRPr="0062340E">
        <w:rPr>
          <w:rFonts w:ascii="Simplified Arabic" w:hAnsi="Simplified Arabic" w:cs="Simplified Arabic" w:hint="cs"/>
          <w:color w:val="000000" w:themeColor="text1"/>
          <w:sz w:val="24"/>
          <w:szCs w:val="24"/>
          <w:rtl/>
          <w:lang w:val="en-US"/>
        </w:rPr>
        <w:t>ال</w:t>
      </w:r>
      <w:r w:rsidR="00760E4A" w:rsidRPr="0062340E">
        <w:rPr>
          <w:rFonts w:ascii="Simplified Arabic" w:hAnsi="Simplified Arabic" w:cs="Simplified Arabic" w:hint="cs"/>
          <w:sz w:val="24"/>
          <w:szCs w:val="24"/>
          <w:rtl/>
        </w:rPr>
        <w:t>استعمال</w:t>
      </w:r>
      <w:r w:rsidR="00760E4A" w:rsidRPr="0062340E">
        <w:rPr>
          <w:rFonts w:ascii="Simplified Arabic" w:hAnsi="Simplified Arabic" w:cs="Simplified Arabic" w:hint="cs"/>
          <w:b/>
          <w:bCs/>
          <w:sz w:val="24"/>
          <w:szCs w:val="24"/>
          <w:rtl/>
        </w:rPr>
        <w:t xml:space="preserve"> </w:t>
      </w:r>
      <w:r w:rsidRPr="0062340E">
        <w:rPr>
          <w:rFonts w:ascii="Simplified Arabic" w:hAnsi="Simplified Arabic" w:cs="Simplified Arabic"/>
          <w:color w:val="000000" w:themeColor="text1"/>
          <w:sz w:val="24"/>
          <w:szCs w:val="24"/>
          <w:rtl/>
          <w:lang w:val="en-US"/>
        </w:rPr>
        <w:t xml:space="preserve">التجاري والعليا </w:t>
      </w:r>
      <w:r w:rsidR="007D0871" w:rsidRPr="0062340E">
        <w:rPr>
          <w:rFonts w:ascii="Simplified Arabic" w:hAnsi="Simplified Arabic" w:cs="Simplified Arabic" w:hint="cs"/>
          <w:color w:val="000000" w:themeColor="text1"/>
          <w:sz w:val="24"/>
          <w:szCs w:val="24"/>
          <w:rtl/>
          <w:lang w:val="en-US"/>
        </w:rPr>
        <w:t>ال</w:t>
      </w:r>
      <w:r w:rsidR="007D0871" w:rsidRPr="0062340E">
        <w:rPr>
          <w:rFonts w:ascii="Simplified Arabic" w:hAnsi="Simplified Arabic" w:cs="Simplified Arabic" w:hint="cs"/>
          <w:sz w:val="24"/>
          <w:szCs w:val="24"/>
          <w:rtl/>
        </w:rPr>
        <w:t>استعمال</w:t>
      </w:r>
      <w:r w:rsidR="007D087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color w:val="000000" w:themeColor="text1"/>
          <w:sz w:val="24"/>
          <w:szCs w:val="24"/>
          <w:rtl/>
          <w:lang w:val="en-US"/>
        </w:rPr>
        <w:t>السكني</w:t>
      </w:r>
      <w:r w:rsidRPr="0062340E">
        <w:rPr>
          <w:rFonts w:ascii="Simplified Arabic" w:hAnsi="Simplified Arabic" w:cs="Simplified Arabic"/>
          <w:color w:val="000000" w:themeColor="text1"/>
          <w:sz w:val="24"/>
          <w:szCs w:val="24"/>
          <w:lang w:val="en-US"/>
        </w:rPr>
        <w:t>.</w:t>
      </w:r>
    </w:p>
    <w:p w:rsidR="00A903CE" w:rsidRPr="0062340E" w:rsidRDefault="00760E4A" w:rsidP="001D0548">
      <w:pPr>
        <w:pStyle w:val="Paragraphedeliste"/>
        <w:numPr>
          <w:ilvl w:val="3"/>
          <w:numId w:val="18"/>
        </w:numPr>
        <w:tabs>
          <w:tab w:val="right" w:pos="992"/>
        </w:tabs>
        <w:bidi/>
        <w:spacing w:after="0" w:line="240" w:lineRule="auto"/>
        <w:ind w:left="0" w:firstLine="0"/>
        <w:outlineLvl w:val="2"/>
        <w:rPr>
          <w:rFonts w:ascii="Simplified Arabic" w:hAnsi="Simplified Arabic" w:cs="Simplified Arabic"/>
          <w:b/>
          <w:bCs/>
          <w:color w:val="000000" w:themeColor="text1"/>
          <w:sz w:val="24"/>
          <w:szCs w:val="24"/>
          <w:lang w:val="en-US"/>
        </w:rPr>
      </w:pPr>
      <w:bookmarkStart w:id="97" w:name="_Toc171803331"/>
      <w:r w:rsidRPr="0062340E">
        <w:rPr>
          <w:rFonts w:ascii="Simplified Arabic" w:hAnsi="Simplified Arabic" w:cs="Simplified Arabic" w:hint="cs"/>
          <w:b/>
          <w:bCs/>
          <w:color w:val="000000" w:themeColor="text1"/>
          <w:sz w:val="24"/>
          <w:szCs w:val="24"/>
          <w:rtl/>
          <w:lang w:val="en-US"/>
        </w:rPr>
        <w:t>ال</w:t>
      </w:r>
      <w:r w:rsidRPr="0062340E">
        <w:rPr>
          <w:rFonts w:ascii="Simplified Arabic" w:hAnsi="Simplified Arabic" w:cs="Simplified Arabic" w:hint="cs"/>
          <w:b/>
          <w:bCs/>
          <w:sz w:val="24"/>
          <w:szCs w:val="24"/>
          <w:rtl/>
        </w:rPr>
        <w:t xml:space="preserve">استعمال </w:t>
      </w:r>
      <w:r w:rsidR="00A903CE" w:rsidRPr="0062340E">
        <w:rPr>
          <w:rFonts w:ascii="Simplified Arabic" w:hAnsi="Simplified Arabic" w:cs="Simplified Arabic"/>
          <w:b/>
          <w:bCs/>
          <w:color w:val="000000" w:themeColor="text1"/>
          <w:sz w:val="24"/>
          <w:szCs w:val="24"/>
          <w:rtl/>
          <w:lang w:val="en-US"/>
        </w:rPr>
        <w:t>الصناعي</w:t>
      </w:r>
      <w:r w:rsidR="00A903CE" w:rsidRPr="0062340E">
        <w:rPr>
          <w:rFonts w:ascii="Simplified Arabic" w:hAnsi="Simplified Arabic" w:cs="Simplified Arabic" w:hint="cs"/>
          <w:b/>
          <w:bCs/>
          <w:color w:val="000000" w:themeColor="text1"/>
          <w:sz w:val="24"/>
          <w:szCs w:val="24"/>
          <w:rtl/>
          <w:lang w:val="en-US"/>
        </w:rPr>
        <w:t xml:space="preserve"> </w:t>
      </w:r>
      <w:r w:rsidR="00A903CE" w:rsidRPr="0062340E">
        <w:rPr>
          <w:rFonts w:asciiTheme="majorBidi" w:hAnsiTheme="majorBidi" w:cstheme="majorBidi" w:hint="cs"/>
          <w:b/>
          <w:bCs/>
          <w:color w:val="000000" w:themeColor="text1"/>
          <w:sz w:val="24"/>
          <w:szCs w:val="24"/>
          <w:shd w:val="clear" w:color="auto" w:fill="FFFFFF"/>
          <w:rtl/>
        </w:rPr>
        <w:t>(</w:t>
      </w:r>
      <w:r w:rsidR="00A903CE" w:rsidRPr="0062340E">
        <w:rPr>
          <w:rFonts w:asciiTheme="majorBidi" w:hAnsiTheme="majorBidi" w:cstheme="majorBidi"/>
          <w:b/>
          <w:bCs/>
          <w:color w:val="000000" w:themeColor="text1"/>
          <w:sz w:val="24"/>
          <w:szCs w:val="24"/>
          <w:shd w:val="clear" w:color="auto" w:fill="FFFFFF"/>
          <w:lang w:val="en-US"/>
        </w:rPr>
        <w:t>Industrial</w:t>
      </w:r>
      <w:r w:rsidR="00A903CE" w:rsidRPr="0062340E">
        <w:rPr>
          <w:rFonts w:asciiTheme="majorBidi" w:hAnsiTheme="majorBidi" w:cstheme="majorBidi"/>
          <w:b/>
          <w:bCs/>
          <w:color w:val="000000" w:themeColor="text1"/>
          <w:sz w:val="24"/>
          <w:szCs w:val="24"/>
          <w:shd w:val="clear" w:color="auto" w:fill="FFFFFF"/>
        </w:rPr>
        <w:t xml:space="preserve"> Area</w:t>
      </w:r>
      <w:r w:rsidR="00A903CE" w:rsidRPr="0062340E">
        <w:rPr>
          <w:rFonts w:asciiTheme="majorBidi" w:hAnsiTheme="majorBidi" w:cstheme="majorBidi" w:hint="cs"/>
          <w:b/>
          <w:bCs/>
          <w:color w:val="000000" w:themeColor="text1"/>
          <w:sz w:val="24"/>
          <w:szCs w:val="24"/>
          <w:shd w:val="clear" w:color="auto" w:fill="FFFFFF"/>
          <w:rtl/>
        </w:rPr>
        <w:t>)</w:t>
      </w:r>
      <w:bookmarkEnd w:id="97"/>
      <w:r w:rsidR="00A903CE" w:rsidRPr="0062340E">
        <w:rPr>
          <w:rFonts w:ascii="Simplified Arabic" w:hAnsi="Simplified Arabic" w:cs="Simplified Arabic"/>
          <w:b/>
          <w:bCs/>
          <w:color w:val="000000" w:themeColor="text1"/>
          <w:sz w:val="24"/>
          <w:szCs w:val="24"/>
          <w:lang w:val="en-US"/>
        </w:rPr>
        <w:t xml:space="preserve"> </w:t>
      </w:r>
    </w:p>
    <w:p w:rsidR="00A903CE" w:rsidRPr="0062340E" w:rsidRDefault="00A903CE" w:rsidP="00B232B1">
      <w:pPr>
        <w:tabs>
          <w:tab w:val="right" w:pos="707"/>
        </w:tabs>
        <w:bidi/>
        <w:spacing w:after="0"/>
        <w:ind w:left="-1" w:firstLine="283"/>
        <w:jc w:val="both"/>
        <w:rPr>
          <w:rFonts w:ascii="Simplified Arabic" w:hAnsi="Simplified Arabic" w:cs="Simplified Arabic"/>
          <w:color w:val="000000" w:themeColor="text1"/>
          <w:sz w:val="24"/>
          <w:szCs w:val="24"/>
          <w:lang w:val="en-US"/>
        </w:rPr>
      </w:pPr>
      <w:r w:rsidRPr="0062340E">
        <w:rPr>
          <w:rFonts w:ascii="Simplified Arabic" w:hAnsi="Simplified Arabic" w:cs="Simplified Arabic"/>
          <w:color w:val="000000" w:themeColor="text1"/>
          <w:sz w:val="24"/>
          <w:szCs w:val="24"/>
          <w:rtl/>
          <w:lang w:val="en-US"/>
        </w:rPr>
        <w:t xml:space="preserve">يعد </w:t>
      </w:r>
      <w:r w:rsidR="00760E4A" w:rsidRPr="0062340E">
        <w:rPr>
          <w:rFonts w:ascii="Simplified Arabic" w:hAnsi="Simplified Arabic" w:cs="Simplified Arabic" w:hint="cs"/>
          <w:color w:val="000000" w:themeColor="text1"/>
          <w:sz w:val="24"/>
          <w:szCs w:val="24"/>
          <w:rtl/>
          <w:lang w:val="en-US"/>
        </w:rPr>
        <w:t>ال</w:t>
      </w:r>
      <w:r w:rsidR="00760E4A" w:rsidRPr="0062340E">
        <w:rPr>
          <w:rFonts w:ascii="Simplified Arabic" w:hAnsi="Simplified Arabic" w:cs="Simplified Arabic" w:hint="cs"/>
          <w:sz w:val="24"/>
          <w:szCs w:val="24"/>
          <w:rtl/>
        </w:rPr>
        <w:t>استعمال</w:t>
      </w:r>
      <w:r w:rsidR="00760E4A" w:rsidRPr="0062340E">
        <w:rPr>
          <w:rFonts w:ascii="Simplified Arabic" w:hAnsi="Simplified Arabic" w:cs="Simplified Arabic" w:hint="cs"/>
          <w:b/>
          <w:bCs/>
          <w:sz w:val="24"/>
          <w:szCs w:val="24"/>
          <w:rtl/>
        </w:rPr>
        <w:t xml:space="preserve"> </w:t>
      </w:r>
      <w:r w:rsidRPr="0062340E">
        <w:rPr>
          <w:rFonts w:ascii="Simplified Arabic" w:hAnsi="Simplified Arabic" w:cs="Simplified Arabic"/>
          <w:color w:val="000000" w:themeColor="text1"/>
          <w:sz w:val="24"/>
          <w:szCs w:val="24"/>
          <w:rtl/>
          <w:lang w:val="en-US"/>
        </w:rPr>
        <w:t xml:space="preserve">الصناعي من </w:t>
      </w:r>
      <w:r w:rsidR="00760E4A" w:rsidRPr="0062340E">
        <w:rPr>
          <w:rFonts w:ascii="Simplified Arabic" w:hAnsi="Simplified Arabic" w:cs="Simplified Arabic" w:hint="cs"/>
          <w:color w:val="000000" w:themeColor="text1"/>
          <w:sz w:val="24"/>
          <w:szCs w:val="24"/>
          <w:rtl/>
          <w:lang w:val="en-US"/>
        </w:rPr>
        <w:t>ال</w:t>
      </w:r>
      <w:r w:rsidR="00760E4A" w:rsidRPr="0062340E">
        <w:rPr>
          <w:rFonts w:ascii="Simplified Arabic" w:hAnsi="Simplified Arabic" w:cs="Simplified Arabic" w:hint="cs"/>
          <w:sz w:val="24"/>
          <w:szCs w:val="24"/>
          <w:rtl/>
        </w:rPr>
        <w:t>استعمالات</w:t>
      </w:r>
      <w:r w:rsidR="00760E4A" w:rsidRPr="0062340E">
        <w:rPr>
          <w:rFonts w:ascii="Simplified Arabic" w:hAnsi="Simplified Arabic" w:cs="Simplified Arabic" w:hint="cs"/>
          <w:b/>
          <w:bCs/>
          <w:sz w:val="24"/>
          <w:szCs w:val="24"/>
          <w:rtl/>
        </w:rPr>
        <w:t xml:space="preserve"> </w:t>
      </w:r>
      <w:r w:rsidRPr="0062340E">
        <w:rPr>
          <w:rFonts w:ascii="Simplified Arabic" w:hAnsi="Simplified Arabic" w:cs="Simplified Arabic"/>
          <w:color w:val="000000" w:themeColor="text1"/>
          <w:sz w:val="24"/>
          <w:szCs w:val="24"/>
          <w:rtl/>
          <w:lang w:val="en-US"/>
        </w:rPr>
        <w:t>الأقل مساحة في المدينة العربية بشكل عام باستثناء المدن ذات الوظيفة الصنا</w:t>
      </w:r>
      <w:r w:rsidR="007D0871" w:rsidRPr="0062340E">
        <w:rPr>
          <w:rFonts w:ascii="Simplified Arabic" w:hAnsi="Simplified Arabic" w:cs="Simplified Arabic"/>
          <w:color w:val="000000" w:themeColor="text1"/>
          <w:sz w:val="24"/>
          <w:szCs w:val="24"/>
          <w:rtl/>
          <w:lang w:val="en-US"/>
        </w:rPr>
        <w:t>عية، وتختلف نوعية وكمية الاست</w:t>
      </w:r>
      <w:r w:rsidR="007D0871" w:rsidRPr="0062340E">
        <w:rPr>
          <w:rFonts w:ascii="Simplified Arabic" w:hAnsi="Simplified Arabic" w:cs="Simplified Arabic" w:hint="cs"/>
          <w:color w:val="000000" w:themeColor="text1"/>
          <w:sz w:val="24"/>
          <w:szCs w:val="24"/>
          <w:rtl/>
          <w:lang w:val="en-US"/>
        </w:rPr>
        <w:t>ع</w:t>
      </w:r>
      <w:r w:rsidRPr="0062340E">
        <w:rPr>
          <w:rFonts w:ascii="Simplified Arabic" w:hAnsi="Simplified Arabic" w:cs="Simplified Arabic"/>
          <w:color w:val="000000" w:themeColor="text1"/>
          <w:sz w:val="24"/>
          <w:szCs w:val="24"/>
          <w:rtl/>
          <w:lang w:val="en-US"/>
        </w:rPr>
        <w:t>ما</w:t>
      </w:r>
      <w:r w:rsidR="007D0871" w:rsidRPr="0062340E">
        <w:rPr>
          <w:rFonts w:ascii="Simplified Arabic" w:hAnsi="Simplified Arabic" w:cs="Simplified Arabic" w:hint="cs"/>
          <w:color w:val="000000" w:themeColor="text1"/>
          <w:sz w:val="24"/>
          <w:szCs w:val="24"/>
          <w:rtl/>
          <w:lang w:val="en-US"/>
        </w:rPr>
        <w:t>لا</w:t>
      </w:r>
      <w:r w:rsidRPr="0062340E">
        <w:rPr>
          <w:rFonts w:ascii="Simplified Arabic" w:hAnsi="Simplified Arabic" w:cs="Simplified Arabic"/>
          <w:color w:val="000000" w:themeColor="text1"/>
          <w:sz w:val="24"/>
          <w:szCs w:val="24"/>
          <w:rtl/>
          <w:lang w:val="en-US"/>
        </w:rPr>
        <w:t>ت الصناعية بين مدينة وأخرى، وبين أحياء المدينة الواحدة</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 xml:space="preserve"> يصنف </w:t>
      </w:r>
      <w:r w:rsidR="007D0871" w:rsidRPr="0062340E">
        <w:rPr>
          <w:rFonts w:ascii="Simplified Arabic" w:hAnsi="Simplified Arabic" w:cs="Simplified Arabic" w:hint="cs"/>
          <w:color w:val="000000" w:themeColor="text1"/>
          <w:sz w:val="24"/>
          <w:szCs w:val="24"/>
          <w:rtl/>
          <w:lang w:val="en-US"/>
        </w:rPr>
        <w:t>ال</w:t>
      </w:r>
      <w:r w:rsidR="007D0871" w:rsidRPr="0062340E">
        <w:rPr>
          <w:rFonts w:ascii="Simplified Arabic" w:hAnsi="Simplified Arabic" w:cs="Simplified Arabic" w:hint="cs"/>
          <w:sz w:val="24"/>
          <w:szCs w:val="24"/>
          <w:rtl/>
        </w:rPr>
        <w:t>استعمال</w:t>
      </w:r>
      <w:r w:rsidR="007D087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color w:val="000000" w:themeColor="text1"/>
          <w:sz w:val="24"/>
          <w:szCs w:val="24"/>
          <w:rtl/>
          <w:lang w:val="en-US"/>
        </w:rPr>
        <w:t xml:space="preserve">الصناعي إلى ثلاثة أنواع: الصناعات الثقيلة فهي تتركز في خارج المدن مثل صناعة الحديد والصلب والإسمنت ومصانع </w:t>
      </w:r>
      <w:r w:rsidRPr="0062340E">
        <w:rPr>
          <w:rFonts w:ascii="Simplified Arabic" w:hAnsi="Simplified Arabic" w:cs="Simplified Arabic" w:hint="cs"/>
          <w:color w:val="000000" w:themeColor="text1"/>
          <w:sz w:val="24"/>
          <w:szCs w:val="24"/>
          <w:rtl/>
          <w:lang w:val="en-US"/>
        </w:rPr>
        <w:t>السيارات.</w:t>
      </w:r>
      <w:r w:rsidRPr="0062340E">
        <w:rPr>
          <w:rFonts w:ascii="Simplified Arabic" w:hAnsi="Simplified Arabic" w:cs="Simplified Arabic"/>
          <w:color w:val="000000" w:themeColor="text1"/>
          <w:sz w:val="24"/>
          <w:szCs w:val="24"/>
          <w:rtl/>
          <w:lang w:val="en-US"/>
        </w:rPr>
        <w:t>..الخ</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lang w:val="en-US"/>
        </w:rPr>
        <w:t> </w:t>
      </w:r>
      <w:r w:rsidRPr="0062340E">
        <w:rPr>
          <w:rFonts w:ascii="Simplified Arabic" w:hAnsi="Simplified Arabic" w:cs="Simplified Arabic"/>
          <w:color w:val="000000" w:themeColor="text1"/>
          <w:sz w:val="24"/>
          <w:szCs w:val="24"/>
          <w:rtl/>
          <w:lang w:val="en-US"/>
        </w:rPr>
        <w:t>أما الصناعات المتوسطة فتتركز في أطراف المدينة مثل صناعة الألبان والأثاث...الخ</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lang w:val="en-US"/>
        </w:rPr>
        <w:t> </w:t>
      </w:r>
      <w:r w:rsidRPr="0062340E">
        <w:rPr>
          <w:rFonts w:ascii="Simplified Arabic" w:hAnsi="Simplified Arabic" w:cs="Simplified Arabic"/>
          <w:color w:val="000000" w:themeColor="text1"/>
          <w:sz w:val="24"/>
          <w:szCs w:val="24"/>
          <w:rtl/>
          <w:lang w:val="en-US"/>
        </w:rPr>
        <w:t>أما الصناعات الصغيرة فهي تكون في داخل الأحياء السكنية مثل المخابز والمطاحن...الخ</w:t>
      </w:r>
      <w:r w:rsidRPr="0062340E">
        <w:rPr>
          <w:rFonts w:ascii="Simplified Arabic" w:hAnsi="Simplified Arabic" w:cs="Simplified Arabic"/>
          <w:color w:val="000000" w:themeColor="text1"/>
          <w:sz w:val="24"/>
          <w:szCs w:val="24"/>
          <w:lang w:val="en-US"/>
        </w:rPr>
        <w:t>.</w:t>
      </w:r>
    </w:p>
    <w:p w:rsidR="00A903CE" w:rsidRPr="0062340E" w:rsidRDefault="007D0871" w:rsidP="001D0548">
      <w:pPr>
        <w:pStyle w:val="Paragraphedeliste"/>
        <w:numPr>
          <w:ilvl w:val="3"/>
          <w:numId w:val="19"/>
        </w:numPr>
        <w:tabs>
          <w:tab w:val="right" w:pos="708"/>
          <w:tab w:val="right" w:pos="992"/>
        </w:tabs>
        <w:bidi/>
        <w:spacing w:after="0" w:line="240" w:lineRule="auto"/>
        <w:ind w:left="0" w:firstLine="0"/>
        <w:outlineLvl w:val="2"/>
        <w:rPr>
          <w:rFonts w:ascii="Simplified Arabic" w:hAnsi="Simplified Arabic" w:cs="Simplified Arabic"/>
          <w:b/>
          <w:bCs/>
          <w:color w:val="000000" w:themeColor="text1"/>
          <w:sz w:val="24"/>
          <w:szCs w:val="24"/>
          <w:lang w:val="en-US"/>
        </w:rPr>
      </w:pPr>
      <w:bookmarkStart w:id="98" w:name="_Toc171803332"/>
      <w:r w:rsidRPr="0062340E">
        <w:rPr>
          <w:rFonts w:ascii="Simplified Arabic" w:hAnsi="Simplified Arabic" w:cs="Simplified Arabic" w:hint="cs"/>
          <w:b/>
          <w:bCs/>
          <w:sz w:val="24"/>
          <w:szCs w:val="24"/>
          <w:rtl/>
        </w:rPr>
        <w:t xml:space="preserve">استعمال </w:t>
      </w:r>
      <w:r w:rsidR="00A903CE" w:rsidRPr="0062340E">
        <w:rPr>
          <w:rFonts w:ascii="Simplified Arabic" w:hAnsi="Simplified Arabic" w:cs="Simplified Arabic"/>
          <w:b/>
          <w:bCs/>
          <w:color w:val="000000" w:themeColor="text1"/>
          <w:sz w:val="24"/>
          <w:szCs w:val="24"/>
          <w:rtl/>
          <w:lang w:val="en-US"/>
        </w:rPr>
        <w:t>الارض</w:t>
      </w:r>
      <w:r w:rsidR="00A903CE" w:rsidRPr="0062340E">
        <w:rPr>
          <w:rFonts w:ascii="Simplified Arabic" w:hAnsi="Simplified Arabic" w:cs="Simplified Arabic"/>
          <w:b/>
          <w:bCs/>
          <w:color w:val="000000" w:themeColor="text1"/>
          <w:sz w:val="24"/>
          <w:szCs w:val="24"/>
          <w:lang w:val="en-US"/>
        </w:rPr>
        <w:t xml:space="preserve"> </w:t>
      </w:r>
      <w:r w:rsidR="00A903CE" w:rsidRPr="0062340E">
        <w:rPr>
          <w:rFonts w:ascii="Simplified Arabic" w:hAnsi="Simplified Arabic" w:cs="Simplified Arabic"/>
          <w:b/>
          <w:bCs/>
          <w:color w:val="000000" w:themeColor="text1"/>
          <w:sz w:val="24"/>
          <w:szCs w:val="24"/>
          <w:rtl/>
          <w:lang w:val="en-US"/>
        </w:rPr>
        <w:t>للخدمات</w:t>
      </w:r>
      <w:r w:rsidR="00A903CE" w:rsidRPr="0062340E">
        <w:rPr>
          <w:rFonts w:ascii="Simplified Arabic" w:hAnsi="Simplified Arabic" w:cs="Simplified Arabic"/>
          <w:b/>
          <w:bCs/>
          <w:color w:val="000000" w:themeColor="text1"/>
          <w:sz w:val="24"/>
          <w:szCs w:val="24"/>
          <w:lang w:val="en-US"/>
        </w:rPr>
        <w:t xml:space="preserve"> </w:t>
      </w:r>
      <w:r w:rsidR="00A903CE" w:rsidRPr="0062340E">
        <w:rPr>
          <w:rFonts w:ascii="Simplified Arabic" w:hAnsi="Simplified Arabic" w:cs="Simplified Arabic"/>
          <w:b/>
          <w:bCs/>
          <w:color w:val="000000" w:themeColor="text1"/>
          <w:sz w:val="24"/>
          <w:szCs w:val="24"/>
          <w:rtl/>
          <w:lang w:val="en-US"/>
        </w:rPr>
        <w:t>العم</w:t>
      </w:r>
      <w:r w:rsidR="00A903CE" w:rsidRPr="0062340E">
        <w:rPr>
          <w:rFonts w:ascii="Simplified Arabic" w:hAnsi="Simplified Arabic" w:cs="Simplified Arabic" w:hint="cs"/>
          <w:b/>
          <w:bCs/>
          <w:color w:val="000000" w:themeColor="text1"/>
          <w:sz w:val="24"/>
          <w:szCs w:val="24"/>
          <w:rtl/>
          <w:lang w:val="en-US"/>
        </w:rPr>
        <w:t>ومي</w:t>
      </w:r>
      <w:r w:rsidR="00A903CE" w:rsidRPr="0062340E">
        <w:rPr>
          <w:rFonts w:ascii="Simplified Arabic" w:hAnsi="Simplified Arabic" w:cs="Simplified Arabic"/>
          <w:b/>
          <w:bCs/>
          <w:color w:val="000000" w:themeColor="text1"/>
          <w:sz w:val="24"/>
          <w:szCs w:val="24"/>
          <w:rtl/>
          <w:lang w:val="en-US"/>
        </w:rPr>
        <w:t>ة</w:t>
      </w:r>
      <w:r w:rsidR="00A903CE" w:rsidRPr="0062340E">
        <w:rPr>
          <w:rFonts w:ascii="Simplified Arabic" w:hAnsi="Simplified Arabic" w:cs="Simplified Arabic" w:hint="cs"/>
          <w:b/>
          <w:bCs/>
          <w:color w:val="000000" w:themeColor="text1"/>
          <w:sz w:val="24"/>
          <w:szCs w:val="24"/>
          <w:rtl/>
          <w:lang w:val="en-US"/>
        </w:rPr>
        <w:t xml:space="preserve"> </w:t>
      </w:r>
      <w:r w:rsidR="00A903CE" w:rsidRPr="0062340E">
        <w:rPr>
          <w:rFonts w:asciiTheme="majorBidi" w:hAnsiTheme="majorBidi" w:cstheme="majorBidi" w:hint="cs"/>
          <w:b/>
          <w:bCs/>
          <w:color w:val="000000" w:themeColor="text1"/>
          <w:sz w:val="24"/>
          <w:szCs w:val="24"/>
          <w:shd w:val="clear" w:color="auto" w:fill="FFFFFF"/>
          <w:rtl/>
          <w:lang w:val="en-US"/>
        </w:rPr>
        <w:t>(</w:t>
      </w:r>
      <w:r w:rsidR="00A903CE" w:rsidRPr="0062340E">
        <w:rPr>
          <w:rFonts w:asciiTheme="majorBidi" w:hAnsiTheme="majorBidi" w:cstheme="majorBidi"/>
          <w:b/>
          <w:bCs/>
          <w:color w:val="000000" w:themeColor="text1"/>
          <w:sz w:val="24"/>
          <w:szCs w:val="24"/>
          <w:shd w:val="clear" w:color="auto" w:fill="FFFFFF"/>
          <w:lang w:val="en-US"/>
        </w:rPr>
        <w:t>Service Area</w:t>
      </w:r>
      <w:r w:rsidR="00A903CE" w:rsidRPr="0062340E">
        <w:rPr>
          <w:rFonts w:asciiTheme="majorBidi" w:hAnsiTheme="majorBidi" w:cstheme="majorBidi" w:hint="cs"/>
          <w:b/>
          <w:bCs/>
          <w:color w:val="000000" w:themeColor="text1"/>
          <w:sz w:val="24"/>
          <w:szCs w:val="24"/>
          <w:shd w:val="clear" w:color="auto" w:fill="FFFFFF"/>
          <w:rtl/>
          <w:lang w:val="en-US"/>
        </w:rPr>
        <w:t>)</w:t>
      </w:r>
      <w:bookmarkEnd w:id="98"/>
    </w:p>
    <w:p w:rsidR="00A903CE" w:rsidRPr="0062340E" w:rsidRDefault="00A903CE" w:rsidP="00E612F7">
      <w:pPr>
        <w:tabs>
          <w:tab w:val="right" w:pos="282"/>
        </w:tabs>
        <w:autoSpaceDE w:val="0"/>
        <w:autoSpaceDN w:val="0"/>
        <w:bidi/>
        <w:adjustRightInd w:val="0"/>
        <w:spacing w:after="0"/>
        <w:ind w:firstLine="282"/>
        <w:jc w:val="both"/>
        <w:rPr>
          <w:rFonts w:ascii="Simplified Arabic" w:hAnsi="Simplified Arabic" w:cs="Simplified Arabic"/>
          <w:sz w:val="24"/>
          <w:szCs w:val="24"/>
          <w:rtl/>
        </w:rPr>
      </w:pPr>
      <w:r w:rsidRPr="00E612F7">
        <w:rPr>
          <w:rFonts w:ascii="Simplified Arabic" w:hAnsi="Simplified Arabic" w:cs="Simplified Arabic"/>
          <w:sz w:val="24"/>
          <w:szCs w:val="24"/>
          <w:rtl/>
        </w:rPr>
        <w:t xml:space="preserve">يعد </w:t>
      </w:r>
      <w:r w:rsidR="007D0871" w:rsidRPr="00E612F7">
        <w:rPr>
          <w:rFonts w:ascii="Simplified Arabic" w:hAnsi="Simplified Arabic" w:cs="Simplified Arabic" w:hint="cs"/>
          <w:sz w:val="24"/>
          <w:szCs w:val="24"/>
          <w:rtl/>
        </w:rPr>
        <w:t>استعمال</w:t>
      </w:r>
      <w:r w:rsidR="007D0871" w:rsidRPr="00E612F7">
        <w:rPr>
          <w:rFonts w:ascii="Simplified Arabic" w:hAnsi="Simplified Arabic" w:cs="Simplified Arabic" w:hint="cs"/>
          <w:b/>
          <w:bCs/>
          <w:sz w:val="24"/>
          <w:szCs w:val="24"/>
          <w:rtl/>
        </w:rPr>
        <w:t xml:space="preserve"> </w:t>
      </w:r>
      <w:r w:rsidRPr="00E612F7">
        <w:rPr>
          <w:rFonts w:ascii="Simplified Arabic" w:hAnsi="Simplified Arabic" w:cs="Simplified Arabic"/>
          <w:sz w:val="24"/>
          <w:szCs w:val="24"/>
          <w:rtl/>
        </w:rPr>
        <w:t>الارض للخدمات العمومية احد المؤشرات الاقتصادية والاجتماعية</w:t>
      </w:r>
      <w:r w:rsidRPr="00E612F7">
        <w:rPr>
          <w:rFonts w:ascii="Simplified Arabic" w:hAnsi="Simplified Arabic" w:cs="Simplified Arabic" w:hint="cs"/>
          <w:sz w:val="24"/>
          <w:szCs w:val="24"/>
          <w:rtl/>
        </w:rPr>
        <w:t xml:space="preserve"> لقياس تحضر ونمو المجتمع</w:t>
      </w:r>
      <w:r w:rsidR="00AE4B8B" w:rsidRPr="00E612F7">
        <w:rPr>
          <w:rFonts w:ascii="Simplified Arabic" w:hAnsi="Simplified Arabic" w:cs="Simplified Arabic" w:hint="cs"/>
          <w:sz w:val="24"/>
          <w:szCs w:val="24"/>
          <w:rtl/>
        </w:rPr>
        <w:t xml:space="preserve">، </w:t>
      </w:r>
      <w:r w:rsidR="00AE4B8B" w:rsidRPr="00E612F7">
        <w:rPr>
          <w:rFonts w:ascii="Simplified Arabic" w:hAnsi="Simplified Arabic" w:cs="Simplified Arabic"/>
          <w:sz w:val="24"/>
          <w:szCs w:val="24"/>
          <w:rtl/>
        </w:rPr>
        <w:t>تلبي احتياجات جميع المواطنين مجاناً ولا تميز بين أفراد المجتمع</w:t>
      </w:r>
      <w:r w:rsidR="00AE4B8B" w:rsidRPr="00E612F7">
        <w:rPr>
          <w:rFonts w:ascii="Simplified Arabic" w:hAnsi="Simplified Arabic" w:cs="Simplified Arabic" w:hint="cs"/>
          <w:sz w:val="24"/>
          <w:szCs w:val="24"/>
          <w:rtl/>
        </w:rPr>
        <w:t xml:space="preserve"> </w:t>
      </w:r>
      <w:r w:rsidR="00AE4B8B" w:rsidRPr="00E612F7">
        <w:rPr>
          <w:rFonts w:asciiTheme="majorBidi" w:hAnsiTheme="majorBidi" w:cstheme="majorBidi"/>
          <w:sz w:val="24"/>
          <w:szCs w:val="24"/>
          <w:rtl/>
        </w:rPr>
        <w:t>(</w:t>
      </w:r>
      <w:r w:rsidR="00AE4B8B" w:rsidRPr="00E612F7">
        <w:rPr>
          <w:rFonts w:asciiTheme="majorBidi" w:hAnsiTheme="majorBidi" w:cstheme="majorBidi"/>
          <w:sz w:val="24"/>
          <w:szCs w:val="24"/>
        </w:rPr>
        <w:t>Hadji</w:t>
      </w:r>
      <w:r w:rsidR="00E612F7" w:rsidRPr="00E612F7">
        <w:rPr>
          <w:rFonts w:asciiTheme="majorBidi" w:hAnsiTheme="majorBidi" w:cstheme="majorBidi"/>
          <w:sz w:val="24"/>
          <w:szCs w:val="24"/>
        </w:rPr>
        <w:t xml:space="preserve"> &amp;</w:t>
      </w:r>
      <w:r w:rsidR="00AE4B8B" w:rsidRPr="00E612F7">
        <w:rPr>
          <w:rFonts w:asciiTheme="majorBidi" w:hAnsiTheme="majorBidi" w:cstheme="majorBidi"/>
          <w:sz w:val="24"/>
          <w:szCs w:val="24"/>
        </w:rPr>
        <w:t xml:space="preserve"> Feloussia</w:t>
      </w:r>
      <w:r w:rsidR="00E612F7" w:rsidRPr="00E612F7">
        <w:rPr>
          <w:rFonts w:asciiTheme="majorBidi" w:hAnsiTheme="majorBidi" w:cstheme="majorBidi"/>
          <w:sz w:val="24"/>
          <w:szCs w:val="24"/>
        </w:rPr>
        <w:t>, 2022</w:t>
      </w:r>
      <w:r w:rsidR="00AE4B8B" w:rsidRPr="00E612F7">
        <w:rPr>
          <w:rFonts w:asciiTheme="majorBidi" w:hAnsiTheme="majorBidi" w:cstheme="majorBidi"/>
          <w:sz w:val="24"/>
          <w:szCs w:val="24"/>
          <w:rtl/>
        </w:rPr>
        <w:t>)</w:t>
      </w:r>
      <w:r w:rsidRPr="00E612F7">
        <w:rPr>
          <w:rFonts w:ascii="Simplified Arabic" w:hAnsi="Simplified Arabic" w:cs="Simplified Arabic" w:hint="cs"/>
          <w:sz w:val="24"/>
          <w:szCs w:val="24"/>
          <w:rtl/>
        </w:rPr>
        <w:t xml:space="preserve">. </w:t>
      </w:r>
      <w:r w:rsidRPr="00E612F7">
        <w:rPr>
          <w:rFonts w:ascii="Simplified Arabic" w:hAnsi="Simplified Arabic" w:cs="Simplified Arabic"/>
          <w:sz w:val="24"/>
          <w:szCs w:val="24"/>
          <w:rtl/>
        </w:rPr>
        <w:t>لقد</w:t>
      </w:r>
      <w:r w:rsidRPr="00E612F7">
        <w:rPr>
          <w:rFonts w:ascii="Simplified Arabic" w:hAnsi="Simplified Arabic" w:cs="Simplified Arabic" w:hint="cs"/>
          <w:sz w:val="24"/>
          <w:szCs w:val="24"/>
          <w:rtl/>
        </w:rPr>
        <w:t xml:space="preserve"> </w:t>
      </w:r>
      <w:r w:rsidRPr="00E612F7">
        <w:rPr>
          <w:rFonts w:ascii="Simplified Arabic" w:hAnsi="Simplified Arabic" w:cs="Simplified Arabic"/>
          <w:sz w:val="24"/>
          <w:szCs w:val="24"/>
          <w:rtl/>
        </w:rPr>
        <w:t>اكتسب</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موضوع</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الخدمات</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أهمية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كبيرة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وخاصة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بعد</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دخول</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التقنيات</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الجغرافية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في</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منهجها</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العلمي،</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ومن</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أبرزها</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نظم</w:t>
      </w:r>
      <w:r w:rsidRPr="00E612F7">
        <w:rPr>
          <w:rFonts w:ascii="Simplified Arabic" w:hAnsi="Simplified Arabic" w:cs="Simplified Arabic" w:hint="cs"/>
          <w:sz w:val="24"/>
          <w:szCs w:val="24"/>
          <w:rtl/>
        </w:rPr>
        <w:t xml:space="preserve"> </w:t>
      </w:r>
      <w:r w:rsidRPr="00E612F7">
        <w:rPr>
          <w:rFonts w:ascii="Simplified Arabic" w:hAnsi="Simplified Arabic" w:cs="Simplified Arabic"/>
          <w:sz w:val="24"/>
          <w:szCs w:val="24"/>
          <w:rtl/>
        </w:rPr>
        <w:t>المعلومات</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الجغرافية،</w:t>
      </w:r>
      <w:r w:rsidRPr="00E612F7">
        <w:rPr>
          <w:rFonts w:ascii="Simplified Arabic" w:hAnsi="Simplified Arabic" w:cs="Simplified Arabic"/>
          <w:sz w:val="24"/>
          <w:szCs w:val="24"/>
        </w:rPr>
        <w:t xml:space="preserve"> </w:t>
      </w:r>
      <w:r w:rsidRPr="00E612F7">
        <w:rPr>
          <w:rFonts w:ascii="Simplified Arabic" w:hAnsi="Simplified Arabic" w:cs="Simplified Arabic" w:hint="cs"/>
          <w:sz w:val="24"/>
          <w:szCs w:val="24"/>
          <w:rtl/>
        </w:rPr>
        <w:t>يمكن</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إخراج</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نتائج</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دقيقة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وتحليلات</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مكانية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تجعل</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عملية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فهم</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كفاءة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الخدمات</w:t>
      </w:r>
      <w:r w:rsidRPr="00E612F7">
        <w:rPr>
          <w:rFonts w:ascii="Simplified Arabic" w:hAnsi="Simplified Arabic" w:cs="Simplified Arabic"/>
          <w:sz w:val="24"/>
          <w:szCs w:val="24"/>
        </w:rPr>
        <w:t xml:space="preserve"> </w:t>
      </w:r>
      <w:r w:rsidRPr="00E612F7">
        <w:rPr>
          <w:rFonts w:ascii="Simplified Arabic" w:hAnsi="Simplified Arabic" w:cs="Simplified Arabic" w:hint="cs"/>
          <w:sz w:val="24"/>
          <w:szCs w:val="24"/>
          <w:rtl/>
        </w:rPr>
        <w:t xml:space="preserve">العمومية </w:t>
      </w:r>
      <w:r w:rsidRPr="00E612F7">
        <w:rPr>
          <w:rFonts w:ascii="Simplified Arabic" w:hAnsi="Simplified Arabic" w:cs="Simplified Arabic"/>
          <w:sz w:val="24"/>
          <w:szCs w:val="24"/>
          <w:rtl/>
        </w:rPr>
        <w:t>أكثر</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وضوحا،</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فضلا</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عن</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كونها</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أداة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أثبتت</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قدرتها</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العلمية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والتحليلية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في</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مجال</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التنمية</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والتخطيط</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الآني</w:t>
      </w:r>
      <w:r w:rsidRPr="00E612F7">
        <w:rPr>
          <w:rFonts w:ascii="Simplified Arabic" w:hAnsi="Simplified Arabic" w:cs="Simplified Arabic"/>
          <w:sz w:val="24"/>
          <w:szCs w:val="24"/>
        </w:rPr>
        <w:t xml:space="preserve"> </w:t>
      </w:r>
      <w:r w:rsidRPr="00E612F7">
        <w:rPr>
          <w:rFonts w:ascii="Simplified Arabic" w:hAnsi="Simplified Arabic" w:cs="Simplified Arabic"/>
          <w:sz w:val="24"/>
          <w:szCs w:val="24"/>
          <w:rtl/>
        </w:rPr>
        <w:t>والمستقبلي</w:t>
      </w:r>
      <w:r w:rsidRPr="00E612F7">
        <w:rPr>
          <w:rFonts w:ascii="Simplified Arabic" w:hAnsi="Simplified Arabic" w:cs="Simplified Arabic" w:hint="cs"/>
          <w:sz w:val="24"/>
          <w:szCs w:val="24"/>
          <w:rtl/>
        </w:rPr>
        <w:t xml:space="preserve">. </w:t>
      </w:r>
      <w:r w:rsidRPr="00E612F7">
        <w:rPr>
          <w:rFonts w:ascii="Simplified Arabic" w:hAnsi="Simplified Arabic" w:cs="Simplified Arabic"/>
          <w:sz w:val="24"/>
          <w:szCs w:val="24"/>
          <w:rtl/>
        </w:rPr>
        <w:t>ي</w:t>
      </w:r>
      <w:r w:rsidRPr="00E612F7">
        <w:rPr>
          <w:rFonts w:ascii="Simplified Arabic" w:hAnsi="Simplified Arabic" w:cs="Simplified Arabic" w:hint="cs"/>
          <w:sz w:val="24"/>
          <w:szCs w:val="24"/>
          <w:rtl/>
        </w:rPr>
        <w:t>ُ</w:t>
      </w:r>
      <w:r w:rsidRPr="00E612F7">
        <w:rPr>
          <w:rFonts w:ascii="Simplified Arabic" w:hAnsi="Simplified Arabic" w:cs="Simplified Arabic"/>
          <w:sz w:val="24"/>
          <w:szCs w:val="24"/>
          <w:rtl/>
        </w:rPr>
        <w:t>فض</w:t>
      </w:r>
      <w:r w:rsidRPr="00E612F7">
        <w:rPr>
          <w:rFonts w:ascii="Simplified Arabic" w:hAnsi="Simplified Arabic" w:cs="Simplified Arabic" w:hint="cs"/>
          <w:sz w:val="24"/>
          <w:szCs w:val="24"/>
          <w:rtl/>
        </w:rPr>
        <w:t>ّ</w:t>
      </w:r>
      <w:r w:rsidRPr="00E612F7">
        <w:rPr>
          <w:rFonts w:ascii="Simplified Arabic" w:hAnsi="Simplified Arabic" w:cs="Simplified Arabic"/>
          <w:sz w:val="24"/>
          <w:szCs w:val="24"/>
          <w:rtl/>
        </w:rPr>
        <w:t>ل توقيع هذه الخدمات بالقرب من اماكن السكان</w:t>
      </w:r>
      <w:r w:rsidRPr="00E612F7">
        <w:rPr>
          <w:rFonts w:ascii="Simplified Arabic" w:hAnsi="Simplified Arabic" w:cs="Simplified Arabic" w:hint="cs"/>
          <w:sz w:val="24"/>
          <w:szCs w:val="24"/>
          <w:rtl/>
        </w:rPr>
        <w:t>، وهي</w:t>
      </w:r>
      <w:r w:rsidRPr="00E612F7">
        <w:rPr>
          <w:rFonts w:ascii="Simplified Arabic" w:hAnsi="Simplified Arabic" w:cs="Simplified Arabic"/>
          <w:sz w:val="24"/>
          <w:szCs w:val="24"/>
          <w:rtl/>
        </w:rPr>
        <w:t xml:space="preserve"> تشتمل على كل من الخدمات الصحية</w:t>
      </w:r>
      <w:r w:rsidRPr="00E612F7">
        <w:rPr>
          <w:rFonts w:ascii="Simplified Arabic" w:hAnsi="Simplified Arabic" w:cs="Simplified Arabic" w:hint="cs"/>
          <w:sz w:val="24"/>
          <w:szCs w:val="24"/>
          <w:rtl/>
        </w:rPr>
        <w:t xml:space="preserve">، </w:t>
      </w:r>
      <w:r w:rsidRPr="00E612F7">
        <w:rPr>
          <w:rFonts w:ascii="Simplified Arabic" w:hAnsi="Simplified Arabic" w:cs="Simplified Arabic"/>
          <w:sz w:val="24"/>
          <w:szCs w:val="24"/>
          <w:rtl/>
        </w:rPr>
        <w:t>التعليمية</w:t>
      </w:r>
      <w:r w:rsidRPr="00E612F7">
        <w:rPr>
          <w:rFonts w:ascii="Simplified Arabic" w:hAnsi="Simplified Arabic" w:cs="Simplified Arabic" w:hint="cs"/>
          <w:sz w:val="24"/>
          <w:szCs w:val="24"/>
          <w:rtl/>
        </w:rPr>
        <w:t xml:space="preserve"> و</w:t>
      </w:r>
      <w:r w:rsidRPr="00E612F7">
        <w:rPr>
          <w:rFonts w:ascii="Simplified Arabic" w:hAnsi="Simplified Arabic" w:cs="Simplified Arabic"/>
          <w:sz w:val="24"/>
          <w:szCs w:val="24"/>
          <w:rtl/>
        </w:rPr>
        <w:t xml:space="preserve">خدمات البنى الارتكازية التي تشمل </w:t>
      </w:r>
      <w:r w:rsidRPr="00E612F7">
        <w:rPr>
          <w:rFonts w:ascii="Simplified Arabic" w:hAnsi="Simplified Arabic" w:cs="Simplified Arabic" w:hint="cs"/>
          <w:sz w:val="24"/>
          <w:szCs w:val="24"/>
          <w:rtl/>
        </w:rPr>
        <w:t>الأمن و</w:t>
      </w:r>
      <w:r w:rsidRPr="00E612F7">
        <w:rPr>
          <w:rFonts w:ascii="Simplified Arabic" w:hAnsi="Simplified Arabic" w:cs="Simplified Arabic"/>
          <w:sz w:val="24"/>
          <w:szCs w:val="24"/>
          <w:rtl/>
        </w:rPr>
        <w:t>الطوارئ.</w:t>
      </w:r>
    </w:p>
    <w:p w:rsidR="00A903CE" w:rsidRPr="0062340E" w:rsidRDefault="00A903CE" w:rsidP="00971AF5">
      <w:pPr>
        <w:pStyle w:val="Paragraphedeliste"/>
        <w:numPr>
          <w:ilvl w:val="0"/>
          <w:numId w:val="195"/>
        </w:numPr>
        <w:tabs>
          <w:tab w:val="right" w:pos="1134"/>
        </w:tabs>
        <w:autoSpaceDE w:val="0"/>
        <w:autoSpaceDN w:val="0"/>
        <w:bidi/>
        <w:adjustRightInd w:val="0"/>
        <w:spacing w:before="240" w:after="0"/>
        <w:ind w:left="851" w:firstLine="0"/>
        <w:jc w:val="both"/>
        <w:outlineLvl w:val="3"/>
        <w:rPr>
          <w:rFonts w:ascii="Simplified Arabic" w:hAnsi="Simplified Arabic" w:cs="Simplified Arabic"/>
          <w:sz w:val="24"/>
          <w:szCs w:val="24"/>
        </w:rPr>
      </w:pPr>
      <w:r w:rsidRPr="0062340E">
        <w:rPr>
          <w:rFonts w:ascii="Simplified Arabic" w:hAnsi="Simplified Arabic" w:cs="Simplified Arabic" w:hint="cs"/>
          <w:b/>
          <w:bCs/>
          <w:sz w:val="24"/>
          <w:szCs w:val="24"/>
          <w:rtl/>
        </w:rPr>
        <w:lastRenderedPageBreak/>
        <w:t>الخدمات الصحية</w:t>
      </w:r>
      <w:r w:rsidRPr="0062340E">
        <w:rPr>
          <w:rFonts w:ascii="Simplified Arabic" w:hAnsi="Simplified Arabic" w:cs="Simplified Arabic" w:hint="cs"/>
          <w:sz w:val="24"/>
          <w:szCs w:val="24"/>
          <w:rtl/>
        </w:rPr>
        <w:t xml:space="preserve"> </w:t>
      </w:r>
    </w:p>
    <w:p w:rsidR="00A903CE" w:rsidRPr="0062340E" w:rsidRDefault="00A903CE" w:rsidP="00A903CE">
      <w:pPr>
        <w:pStyle w:val="Paragraphedeliste"/>
        <w:tabs>
          <w:tab w:val="right" w:pos="282"/>
        </w:tabs>
        <w:autoSpaceDE w:val="0"/>
        <w:autoSpaceDN w:val="0"/>
        <w:bidi/>
        <w:adjustRightInd w:val="0"/>
        <w:spacing w:after="0"/>
        <w:ind w:left="-1" w:firstLine="283"/>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تعد</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الخدمة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الصحية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الجيدة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أساس</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للتنمية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البشرية ومؤشرا مهمًا على مدى التحضر، اضافة الى انها احد العوامل التي يمكن</w:t>
      </w:r>
      <w:r w:rsidRPr="0062340E">
        <w:rPr>
          <w:rFonts w:ascii="Simplified Arabic" w:hAnsi="Simplified Arabic" w:cs="Simplified Arabic"/>
          <w:sz w:val="24"/>
          <w:szCs w:val="24"/>
          <w:rtl/>
        </w:rPr>
        <w:t xml:space="preserve"> أن تقلل </w:t>
      </w:r>
      <w:r w:rsidRPr="0062340E">
        <w:rPr>
          <w:rFonts w:ascii="Simplified Arabic" w:hAnsi="Simplified Arabic" w:cs="Simplified Arabic" w:hint="cs"/>
          <w:sz w:val="24"/>
          <w:szCs w:val="24"/>
          <w:rtl/>
        </w:rPr>
        <w:t xml:space="preserve">من </w:t>
      </w:r>
      <w:r w:rsidRPr="0062340E">
        <w:rPr>
          <w:rFonts w:ascii="Simplified Arabic" w:hAnsi="Simplified Arabic" w:cs="Simplified Arabic"/>
          <w:sz w:val="24"/>
          <w:szCs w:val="24"/>
          <w:rtl/>
        </w:rPr>
        <w:t>الخسائر المميتة بسبب العلاج المناسب وفي الوقت المناسب</w:t>
      </w:r>
      <w:r w:rsidRPr="0062340E">
        <w:rPr>
          <w:rFonts w:ascii="Simplified Arabic" w:hAnsi="Simplified Arabic" w:cs="Simplified Arabic" w:hint="cs"/>
          <w:sz w:val="24"/>
          <w:szCs w:val="24"/>
          <w:rtl/>
        </w:rPr>
        <w:t xml:space="preserve"> </w:t>
      </w:r>
      <w:r w:rsidRPr="0062340E">
        <w:rPr>
          <w:rFonts w:asciiTheme="majorBidi" w:hAnsiTheme="majorBidi" w:cstheme="majorBidi" w:hint="cs"/>
          <w:sz w:val="24"/>
          <w:szCs w:val="24"/>
          <w:rtl/>
        </w:rPr>
        <w:t>(</w:t>
      </w:r>
      <w:r w:rsidRPr="0062340E">
        <w:rPr>
          <w:rFonts w:asciiTheme="majorBidi" w:hAnsiTheme="majorBidi" w:cstheme="majorBidi"/>
          <w:sz w:val="24"/>
          <w:szCs w:val="24"/>
        </w:rPr>
        <w:t>Hoque, 2019</w:t>
      </w:r>
      <w:r w:rsidRPr="0062340E">
        <w:rPr>
          <w:rFonts w:asciiTheme="majorBidi" w:hAnsiTheme="majorBidi" w:cstheme="majorBidi" w:hint="cs"/>
          <w:sz w:val="24"/>
          <w:szCs w:val="24"/>
          <w:rtl/>
        </w:rPr>
        <w:t>)</w:t>
      </w:r>
      <w:r w:rsidRPr="0062340E">
        <w:rPr>
          <w:rFonts w:ascii="Simplified Arabic" w:hAnsi="Simplified Arabic" w:cs="Simplified Arabic" w:hint="cs"/>
          <w:sz w:val="24"/>
          <w:szCs w:val="24"/>
          <w:rtl/>
        </w:rPr>
        <w:t>. تعتبر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المرافق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الصحية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العوامل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الحاسمة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للاستجابة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لحالات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الطوارئ</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اثناء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المجتمع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لآثار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الكوارث مهما كان نوعها</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لذلك،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يؤدي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عدد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أقل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المرافق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الصحية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المجتمع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زيادة تعرض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المجتمع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للكوارث. </w:t>
      </w:r>
    </w:p>
    <w:p w:rsidR="00A903CE" w:rsidRPr="0062340E" w:rsidRDefault="00A903CE" w:rsidP="00D57FDF">
      <w:pPr>
        <w:pStyle w:val="Paragraphedeliste"/>
        <w:tabs>
          <w:tab w:val="right" w:pos="282"/>
        </w:tabs>
        <w:autoSpaceDE w:val="0"/>
        <w:autoSpaceDN w:val="0"/>
        <w:bidi/>
        <w:adjustRightInd w:val="0"/>
        <w:spacing w:before="240" w:after="0"/>
        <w:ind w:left="-1" w:firstLine="283"/>
        <w:jc w:val="both"/>
        <w:rPr>
          <w:rFonts w:ascii="Simplified Arabic" w:hAnsi="Simplified Arabic" w:cs="Simplified Arabic"/>
          <w:sz w:val="24"/>
          <w:szCs w:val="24"/>
        </w:rPr>
      </w:pPr>
      <w:r w:rsidRPr="0062340E">
        <w:rPr>
          <w:rFonts w:ascii="Simplified Arabic" w:hAnsi="Simplified Arabic" w:cs="Simplified Arabic" w:hint="cs"/>
          <w:sz w:val="24"/>
          <w:szCs w:val="24"/>
          <w:rtl/>
        </w:rPr>
        <w:t>تعتبر دراسة التوزيع المكاني لمراكز الخدمات الصحية امر ضروري لتحليل العلاقة بين مواقعها و سهولة الوصول اليها. حسب (</w:t>
      </w:r>
      <w:r w:rsidR="00671802" w:rsidRPr="0062340E">
        <w:rPr>
          <w:rFonts w:ascii="Simplified Arabic" w:hAnsi="Simplified Arabic" w:cs="Simplified Arabic" w:hint="cs"/>
          <w:sz w:val="24"/>
          <w:szCs w:val="24"/>
          <w:rtl/>
        </w:rPr>
        <w:t>الفناطسة عبدالحميد</w:t>
      </w:r>
      <w:r w:rsidRPr="0062340E">
        <w:rPr>
          <w:rFonts w:ascii="Simplified Arabic" w:hAnsi="Simplified Arabic" w:cs="Simplified Arabic" w:hint="cs"/>
          <w:sz w:val="24"/>
          <w:szCs w:val="24"/>
          <w:rtl/>
        </w:rPr>
        <w:t>، 2019)، سهولة الوصول</w:t>
      </w:r>
      <w:r w:rsidRPr="0062340E">
        <w:rPr>
          <w:rFonts w:ascii="SimplifiedArabic" w:cs="SimplifiedArabic" w:hint="cs"/>
          <w:sz w:val="24"/>
          <w:szCs w:val="24"/>
          <w:rtl/>
        </w:rPr>
        <w:t xml:space="preserve"> </w:t>
      </w:r>
      <w:r w:rsidRPr="0062340E">
        <w:rPr>
          <w:rFonts w:asciiTheme="majorBidi" w:hAnsiTheme="majorBidi" w:cstheme="majorBidi"/>
          <w:sz w:val="24"/>
          <w:szCs w:val="24"/>
        </w:rPr>
        <w:t>(Accessibility)</w:t>
      </w:r>
      <w:r w:rsidRPr="0062340E">
        <w:rPr>
          <w:rFonts w:ascii="SimplifiedArabic" w:cs="SimplifiedArabic" w:hint="cs"/>
          <w:sz w:val="24"/>
          <w:szCs w:val="24"/>
          <w:rtl/>
        </w:rPr>
        <w:t xml:space="preserve"> </w:t>
      </w:r>
      <w:r w:rsidRPr="0062340E">
        <w:rPr>
          <w:rFonts w:ascii="Simplified Arabic" w:hAnsi="Simplified Arabic" w:cs="Simplified Arabic" w:hint="cs"/>
          <w:sz w:val="24"/>
          <w:szCs w:val="24"/>
          <w:rtl/>
        </w:rPr>
        <w:t>الى الخدمة الصحية في اقل وقت واقرب مسافة احد ابعاد الجودة الصحية، يرتبط ذلك</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في الأساس بالتوزيع المكاني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المناسب</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للمنشآت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الصحية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بين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الوحدات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السكنية،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بما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يتفق</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مع الكثافة السكانية وشبكة الطرق الرئيسة (</w:t>
      </w:r>
      <w:r w:rsidR="00671802" w:rsidRPr="0062340E">
        <w:rPr>
          <w:rFonts w:ascii="Simplified Arabic" w:hAnsi="Simplified Arabic" w:cs="Simplified Arabic" w:hint="cs"/>
          <w:sz w:val="24"/>
          <w:szCs w:val="24"/>
          <w:rtl/>
        </w:rPr>
        <w:t>شلبي علاء</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Pr>
        <w:t>(</w:t>
      </w:r>
      <w:r w:rsidR="00B4066D" w:rsidRPr="0062340E">
        <w:rPr>
          <w:rFonts w:ascii="Simplified Arabic" w:hAnsi="Simplified Arabic" w:cs="Simplified Arabic"/>
          <w:sz w:val="24"/>
          <w:szCs w:val="24"/>
        </w:rPr>
        <w:t>2015</w:t>
      </w:r>
      <w:r w:rsidRPr="0062340E">
        <w:rPr>
          <w:rFonts w:ascii="Simplified Arabic" w:hAnsi="Simplified Arabic" w:cs="Simplified Arabic" w:hint="cs"/>
          <w:sz w:val="24"/>
          <w:szCs w:val="24"/>
          <w:rtl/>
        </w:rPr>
        <w:t>.</w:t>
      </w:r>
      <w:r w:rsidRPr="0062340E">
        <w:rPr>
          <w:rFonts w:hint="cs"/>
          <w:sz w:val="24"/>
          <w:szCs w:val="24"/>
          <w:rtl/>
        </w:rPr>
        <w:t xml:space="preserve"> </w:t>
      </w:r>
      <w:r w:rsidRPr="0062340E">
        <w:rPr>
          <w:rFonts w:ascii="Simplified Arabic" w:hAnsi="Simplified Arabic" w:cs="Simplified Arabic" w:hint="cs"/>
          <w:sz w:val="24"/>
          <w:szCs w:val="24"/>
          <w:rtl/>
        </w:rPr>
        <w:t>عادة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تتمتع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الأكثر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كثافة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حيث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التغطية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الصحية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أفضل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الاستجابة والتكيف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 حيث التكفل الصحي وقدرتها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إعادة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مستوياتها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قبل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وقوع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الكارثة</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Pr>
        <w:t>(Collier et al., 2013)</w:t>
      </w:r>
      <w:r w:rsidRPr="0062340E">
        <w:rPr>
          <w:rFonts w:ascii="Simplified Arabic" w:hAnsi="Simplified Arabic" w:cs="Simplified Arabic"/>
          <w:sz w:val="24"/>
          <w:szCs w:val="24"/>
          <w:rtl/>
        </w:rPr>
        <w:t>.</w:t>
      </w:r>
      <w:r w:rsidRPr="0062340E">
        <w:rPr>
          <w:rFonts w:hint="cs"/>
          <w:sz w:val="24"/>
          <w:szCs w:val="24"/>
          <w:rtl/>
        </w:rPr>
        <w:t xml:space="preserve"> </w:t>
      </w:r>
      <w:r w:rsidRPr="0062340E">
        <w:rPr>
          <w:rFonts w:ascii="Simplified Arabic" w:hAnsi="Simplified Arabic" w:cs="Simplified Arabic" w:hint="cs"/>
          <w:sz w:val="24"/>
          <w:szCs w:val="24"/>
          <w:rtl/>
        </w:rPr>
        <w:t>لذلك،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يركز</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تفعيل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المجال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الصحي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استعادة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مرافق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الرعاية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الأولية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اثناء وأعقاب</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وقوع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كارثة</w:t>
      </w:r>
      <w:r w:rsidRPr="0062340E">
        <w:rPr>
          <w:rFonts w:ascii="Simplified Arabic" w:hAnsi="Simplified Arabic" w:cs="Simplified Arabic"/>
          <w:sz w:val="24"/>
          <w:szCs w:val="24"/>
          <w:rtl/>
        </w:rPr>
        <w:t>.</w:t>
      </w:r>
    </w:p>
    <w:p w:rsidR="00A903CE" w:rsidRPr="0062340E" w:rsidRDefault="00A903CE" w:rsidP="00D57FDF">
      <w:pPr>
        <w:pStyle w:val="Paragraphedeliste"/>
        <w:tabs>
          <w:tab w:val="right" w:pos="282"/>
        </w:tabs>
        <w:autoSpaceDE w:val="0"/>
        <w:autoSpaceDN w:val="0"/>
        <w:bidi/>
        <w:adjustRightInd w:val="0"/>
        <w:spacing w:before="240" w:after="0"/>
        <w:ind w:left="-1" w:firstLine="283"/>
        <w:jc w:val="both"/>
        <w:rPr>
          <w:rFonts w:ascii="Simplified Arabic" w:hAnsi="Simplified Arabic" w:cs="Simplified Arabic"/>
          <w:sz w:val="24"/>
          <w:szCs w:val="24"/>
          <w:rtl/>
        </w:rPr>
      </w:pPr>
      <w:r w:rsidRPr="0062340E">
        <w:rPr>
          <w:rFonts w:ascii="Simplified Arabic" w:hAnsi="Simplified Arabic" w:cs="Simplified Arabic"/>
          <w:sz w:val="24"/>
          <w:szCs w:val="24"/>
          <w:rtl/>
        </w:rPr>
        <w:t xml:space="preserve">خلال الكارثة، من المهم بشكل خاص معالجة الجرحى والحفاظ على وظيفة رعاية صحية مناسبة. لذلك، </w:t>
      </w:r>
      <w:r w:rsidRPr="0062340E">
        <w:rPr>
          <w:rFonts w:ascii="Simplified Arabic" w:hAnsi="Simplified Arabic" w:cs="Simplified Arabic" w:hint="cs"/>
          <w:sz w:val="24"/>
          <w:szCs w:val="24"/>
          <w:rtl/>
        </w:rPr>
        <w:t>يعتبر</w:t>
      </w:r>
      <w:r w:rsidRPr="0062340E">
        <w:rPr>
          <w:rFonts w:ascii="Simplified Arabic" w:hAnsi="Simplified Arabic" w:cs="Simplified Arabic"/>
          <w:sz w:val="24"/>
          <w:szCs w:val="24"/>
          <w:rtl/>
        </w:rPr>
        <w:t xml:space="preserve"> الوصول إلى مرافق الرعاية الصحية أحد مؤشرات المرونة لمواجهة الكوارث في المجال الصحي. بالنسبة للبحث المقدم في هذه الاطروحة، يتم تقييم أداء النظام الصحي </w:t>
      </w:r>
      <w:r w:rsidRPr="0062340E">
        <w:rPr>
          <w:rFonts w:ascii="Simplified Arabic" w:hAnsi="Simplified Arabic" w:cs="Simplified Arabic" w:hint="cs"/>
          <w:sz w:val="24"/>
          <w:szCs w:val="24"/>
          <w:rtl/>
        </w:rPr>
        <w:t xml:space="preserve">عن طريق </w:t>
      </w:r>
      <w:r w:rsidRPr="0062340E">
        <w:rPr>
          <w:rFonts w:ascii="Simplified Arabic" w:hAnsi="Simplified Arabic" w:cs="Simplified Arabic"/>
          <w:sz w:val="24"/>
          <w:szCs w:val="24"/>
          <w:rtl/>
        </w:rPr>
        <w:t xml:space="preserve">قياس مدى تغطية مواقع </w:t>
      </w:r>
      <w:r w:rsidRPr="0062340E">
        <w:rPr>
          <w:rFonts w:ascii="Simplified Arabic" w:hAnsi="Simplified Arabic" w:cs="Simplified Arabic" w:hint="cs"/>
          <w:sz w:val="24"/>
          <w:szCs w:val="24"/>
          <w:rtl/>
        </w:rPr>
        <w:t>المراكز الصحية</w:t>
      </w:r>
      <w:r w:rsidRPr="0062340E">
        <w:rPr>
          <w:rFonts w:ascii="Simplified Arabic" w:hAnsi="Simplified Arabic" w:cs="Simplified Arabic"/>
          <w:sz w:val="24"/>
          <w:szCs w:val="24"/>
          <w:rtl/>
        </w:rPr>
        <w:t xml:space="preserve"> للم</w:t>
      </w:r>
      <w:r w:rsidRPr="0062340E">
        <w:rPr>
          <w:rFonts w:ascii="Simplified Arabic" w:hAnsi="Simplified Arabic" w:cs="Simplified Arabic" w:hint="cs"/>
          <w:sz w:val="24"/>
          <w:szCs w:val="24"/>
          <w:rtl/>
        </w:rPr>
        <w:t>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مبني على تحليل مكاني </w:t>
      </w:r>
      <w:r w:rsidRPr="0062340E">
        <w:rPr>
          <w:rFonts w:ascii="Simplified Arabic" w:hAnsi="Simplified Arabic" w:cs="Simplified Arabic" w:hint="cs"/>
          <w:sz w:val="24"/>
          <w:szCs w:val="24"/>
          <w:rtl/>
        </w:rPr>
        <w:t>ضمن</w:t>
      </w:r>
      <w:r w:rsidRPr="0062340E">
        <w:rPr>
          <w:rFonts w:ascii="Simplified Arabic" w:hAnsi="Simplified Arabic" w:cs="Simplified Arabic"/>
          <w:sz w:val="24"/>
          <w:szCs w:val="24"/>
          <w:rtl/>
        </w:rPr>
        <w:t xml:space="preserve"> برنامج</w:t>
      </w:r>
      <w:r w:rsidRPr="0062340E">
        <w:rPr>
          <w:rFonts w:ascii="Simplified Arabic" w:hAnsi="Simplified Arabic" w:cs="Simplified Arabic" w:hint="cs"/>
          <w:sz w:val="24"/>
          <w:szCs w:val="24"/>
          <w:rtl/>
        </w:rPr>
        <w:t xml:space="preserve"> </w:t>
      </w:r>
      <w:r w:rsidRPr="0062340E">
        <w:rPr>
          <w:rFonts w:asciiTheme="majorBidi" w:hAnsiTheme="majorBidi" w:cstheme="majorBidi"/>
          <w:sz w:val="24"/>
          <w:szCs w:val="24"/>
        </w:rPr>
        <w:t>(ArcGIS)</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w:t>
      </w:r>
      <w:r w:rsidR="00671802" w:rsidRPr="0062340E">
        <w:rPr>
          <w:rFonts w:ascii="Simplified Arabic" w:hAnsi="Simplified Arabic" w:cs="Simplified Arabic" w:hint="cs"/>
          <w:sz w:val="24"/>
          <w:szCs w:val="24"/>
          <w:rtl/>
        </w:rPr>
        <w:t>الفناطسة عبدالحميد</w:t>
      </w:r>
      <w:r w:rsidRPr="0062340E">
        <w:rPr>
          <w:rFonts w:ascii="Simplified Arabic" w:hAnsi="Simplified Arabic" w:cs="Simplified Arabic" w:hint="cs"/>
          <w:sz w:val="24"/>
          <w:szCs w:val="24"/>
          <w:rtl/>
        </w:rPr>
        <w:t>، 2015)</w:t>
      </w:r>
      <w:r w:rsidRPr="0062340E">
        <w:rPr>
          <w:rFonts w:ascii="Simplified Arabic" w:hAnsi="Simplified Arabic" w:cs="Simplified Arabic"/>
          <w:sz w:val="24"/>
          <w:szCs w:val="24"/>
          <w:rtl/>
        </w:rPr>
        <w:t>.</w:t>
      </w:r>
    </w:p>
    <w:p w:rsidR="00A903CE" w:rsidRPr="0062340E" w:rsidRDefault="00A903CE" w:rsidP="00D57FDF">
      <w:pPr>
        <w:pStyle w:val="Paragraphedeliste"/>
        <w:numPr>
          <w:ilvl w:val="0"/>
          <w:numId w:val="195"/>
        </w:numPr>
        <w:tabs>
          <w:tab w:val="right" w:pos="1134"/>
        </w:tabs>
        <w:autoSpaceDE w:val="0"/>
        <w:autoSpaceDN w:val="0"/>
        <w:bidi/>
        <w:adjustRightInd w:val="0"/>
        <w:spacing w:before="240" w:after="0"/>
        <w:ind w:left="851" w:firstLine="0"/>
        <w:jc w:val="both"/>
        <w:outlineLvl w:val="3"/>
        <w:rPr>
          <w:rFonts w:ascii="Simplified Arabic" w:hAnsi="Simplified Arabic" w:cs="Simplified Arabic"/>
          <w:b/>
          <w:bCs/>
          <w:sz w:val="24"/>
          <w:szCs w:val="24"/>
        </w:rPr>
      </w:pPr>
      <w:r w:rsidRPr="0062340E">
        <w:rPr>
          <w:rFonts w:ascii="Simplified Arabic" w:hAnsi="Simplified Arabic" w:cs="Simplified Arabic" w:hint="cs"/>
          <w:b/>
          <w:bCs/>
          <w:sz w:val="24"/>
          <w:szCs w:val="24"/>
          <w:rtl/>
        </w:rPr>
        <w:t>الخدمات التعليمية</w:t>
      </w:r>
    </w:p>
    <w:p w:rsidR="00A903CE" w:rsidRPr="0062340E" w:rsidRDefault="00A903CE" w:rsidP="00ED6196">
      <w:pPr>
        <w:pStyle w:val="Paragraphedeliste"/>
        <w:tabs>
          <w:tab w:val="right" w:pos="282"/>
        </w:tabs>
        <w:autoSpaceDE w:val="0"/>
        <w:autoSpaceDN w:val="0"/>
        <w:bidi/>
        <w:adjustRightInd w:val="0"/>
        <w:spacing w:after="0"/>
        <w:ind w:left="-1" w:firstLine="284"/>
        <w:jc w:val="both"/>
        <w:rPr>
          <w:rFonts w:ascii="TraditionalArabic" w:cs="TraditionalArabic"/>
          <w:sz w:val="24"/>
          <w:szCs w:val="24"/>
          <w:rtl/>
        </w:rPr>
      </w:pPr>
      <w:r w:rsidRPr="0062340E">
        <w:rPr>
          <w:rFonts w:ascii="Simplified Arabic" w:hAnsi="Simplified Arabic" w:cs="Simplified Arabic" w:hint="cs"/>
          <w:sz w:val="24"/>
          <w:szCs w:val="24"/>
          <w:rtl/>
        </w:rPr>
        <w:t>مع ارتفاع عدد السكان يكون هناك حاجة الى توفير الخدمات العمومية و من بينها الخدمات التعليمية. تشكل</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الخدمات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التعليمية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أحد</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أبرز</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مكونات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بنية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المجال</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الحضري، كما انها من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الركائز</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الأساسية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لتقدم وتطور</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المجتمعات ولبلوغ</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التنمية.</w:t>
      </w:r>
      <w:r w:rsidRPr="0062340E">
        <w:rPr>
          <w:rFonts w:ascii="TraditionalArabic" w:cs="TraditionalArabic" w:hint="cs"/>
          <w:sz w:val="24"/>
          <w:szCs w:val="24"/>
          <w:rtl/>
        </w:rPr>
        <w:t xml:space="preserve"> </w:t>
      </w:r>
    </w:p>
    <w:p w:rsidR="00A903CE" w:rsidRPr="0062340E" w:rsidRDefault="00A903CE" w:rsidP="00B4066D">
      <w:pPr>
        <w:pStyle w:val="Paragraphedeliste"/>
        <w:tabs>
          <w:tab w:val="right" w:pos="282"/>
        </w:tabs>
        <w:autoSpaceDE w:val="0"/>
        <w:autoSpaceDN w:val="0"/>
        <w:bidi/>
        <w:adjustRightInd w:val="0"/>
        <w:spacing w:after="0"/>
        <w:ind w:left="-1" w:firstLine="283"/>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سهولة</w:t>
      </w:r>
      <w:r w:rsidRPr="0062340E">
        <w:rPr>
          <w:rFonts w:ascii="TraditionalArabic" w:cs="TraditionalArabic" w:hint="cs"/>
          <w:sz w:val="24"/>
          <w:szCs w:val="24"/>
          <w:rtl/>
        </w:rPr>
        <w:t xml:space="preserve"> </w:t>
      </w:r>
      <w:r w:rsidRPr="0062340E">
        <w:rPr>
          <w:rFonts w:ascii="Simplified Arabic" w:hAnsi="Simplified Arabic" w:cs="Simplified Arabic" w:hint="cs"/>
          <w:sz w:val="24"/>
          <w:szCs w:val="24"/>
          <w:rtl/>
        </w:rPr>
        <w:t>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مراكز</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الإقامة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المؤقتة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عاملاً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عوامل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توفير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الإقامة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والخدمات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لضحايا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بعد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الكوارث. لذا تعتبر دراسة التوزيع المكاني لمراكز الخدمات التعليمية امر ضروري لتحليل العلاقة بين مواقعها و سهولة الوصول اليها. معظم الدراسات تستخدم تقنية نظم المعلومات الجغرافية لمعرفة كفاءة التوزيع المكاني للخدمات التعليمية. </w:t>
      </w:r>
    </w:p>
    <w:p w:rsidR="00A903CE" w:rsidRPr="0062340E" w:rsidRDefault="00A903CE" w:rsidP="00A903CE">
      <w:pPr>
        <w:pStyle w:val="Paragraphedeliste"/>
        <w:tabs>
          <w:tab w:val="right" w:pos="282"/>
        </w:tabs>
        <w:autoSpaceDE w:val="0"/>
        <w:autoSpaceDN w:val="0"/>
        <w:bidi/>
        <w:adjustRightInd w:val="0"/>
        <w:spacing w:after="0"/>
        <w:ind w:left="-1" w:firstLine="283"/>
        <w:jc w:val="both"/>
        <w:rPr>
          <w:rFonts w:ascii="Simplified Arabic" w:hAnsi="Simplified Arabic" w:cs="Simplified Arabic"/>
          <w:sz w:val="24"/>
          <w:szCs w:val="24"/>
        </w:rPr>
      </w:pPr>
      <w:r w:rsidRPr="0062340E">
        <w:rPr>
          <w:rFonts w:ascii="Simplified Arabic" w:hAnsi="Simplified Arabic" w:cs="Simplified Arabic" w:hint="cs"/>
          <w:sz w:val="24"/>
          <w:szCs w:val="24"/>
          <w:rtl/>
        </w:rPr>
        <w:t>العديد من الدراسات و الابحاث التي اجريت اثبتت ان استخدام المؤسسات التعليمية بمختلف اطوارها من العوامل المهمة لرفع مستوى المرونة الحضرية. علاوة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توفر الفنادق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والمدارس</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الاستجابة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والتكيف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حيث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استخدامها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كملاجئ</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ومساكن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مؤقتة </w:t>
      </w:r>
      <w:r w:rsidRPr="0062340E">
        <w:rPr>
          <w:rFonts w:asciiTheme="majorBidi" w:hAnsiTheme="majorBidi" w:cstheme="majorBidi"/>
          <w:sz w:val="24"/>
          <w:szCs w:val="24"/>
          <w:rtl/>
        </w:rPr>
        <w:t>(</w:t>
      </w:r>
      <w:r w:rsidRPr="0062340E">
        <w:rPr>
          <w:rFonts w:asciiTheme="majorBidi" w:hAnsiTheme="majorBidi" w:cstheme="majorBidi"/>
          <w:sz w:val="24"/>
          <w:szCs w:val="24"/>
        </w:rPr>
        <w:t>Cutter et al., 2010</w:t>
      </w:r>
      <w:r w:rsidRPr="0062340E">
        <w:rPr>
          <w:rFonts w:asciiTheme="majorBidi" w:hAnsiTheme="majorBidi" w:cstheme="majorBidi"/>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بالتالي، تتوفر 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الأكثر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كثافة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حيث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التغطية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التعليمية 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أفضل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الاستجابة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والتكيف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حيث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المأوى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وقدرتها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إعادة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مستوياتها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قبل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وقوع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الكارثة</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Pr>
        <w:t>(Collier et al., 2013)</w:t>
      </w:r>
      <w:r w:rsidRPr="0062340E">
        <w:rPr>
          <w:rFonts w:ascii="Simplified Arabic" w:hAnsi="Simplified Arabic" w:cs="Simplified Arabic"/>
          <w:sz w:val="24"/>
          <w:szCs w:val="24"/>
          <w:rtl/>
        </w:rPr>
        <w:t>.</w:t>
      </w:r>
    </w:p>
    <w:p w:rsidR="00A903CE" w:rsidRPr="0062340E" w:rsidRDefault="00A903CE" w:rsidP="00D57FDF">
      <w:pPr>
        <w:pStyle w:val="Paragraphedeliste"/>
        <w:numPr>
          <w:ilvl w:val="0"/>
          <w:numId w:val="195"/>
        </w:numPr>
        <w:tabs>
          <w:tab w:val="right" w:pos="1134"/>
        </w:tabs>
        <w:autoSpaceDE w:val="0"/>
        <w:autoSpaceDN w:val="0"/>
        <w:bidi/>
        <w:adjustRightInd w:val="0"/>
        <w:spacing w:before="240" w:after="0"/>
        <w:ind w:left="851" w:firstLine="0"/>
        <w:jc w:val="both"/>
        <w:outlineLvl w:val="3"/>
        <w:rPr>
          <w:rFonts w:ascii="Simplified Arabic" w:hAnsi="Simplified Arabic" w:cs="Simplified Arabic"/>
          <w:sz w:val="24"/>
          <w:szCs w:val="24"/>
        </w:rPr>
      </w:pPr>
      <w:r w:rsidRPr="0062340E">
        <w:rPr>
          <w:rFonts w:ascii="Simplified Arabic" w:hAnsi="Simplified Arabic" w:cs="Simplified Arabic" w:hint="cs"/>
          <w:b/>
          <w:bCs/>
          <w:sz w:val="24"/>
          <w:szCs w:val="24"/>
          <w:rtl/>
        </w:rPr>
        <w:t xml:space="preserve">الخدمات الامنية: </w:t>
      </w:r>
    </w:p>
    <w:p w:rsidR="00A903CE" w:rsidRPr="0062340E" w:rsidRDefault="00A903CE" w:rsidP="00A903CE">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يؤدي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تواجد مراكز امنية مزودة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بموارد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كافية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تعزيز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السلامة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والأمن والتي تعتبران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سمات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الحياة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اليومية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مدينة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تتسم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وتستمر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أوقات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الاضطرابات</w:t>
      </w:r>
      <w:r w:rsidRPr="0062340E">
        <w:rPr>
          <w:rFonts w:ascii="Simplified Arabic" w:hAnsi="Simplified Arabic" w:cs="Simplified Arabic"/>
          <w:sz w:val="24"/>
          <w:szCs w:val="24"/>
          <w:rtl/>
          <w:lang w:bidi="ar-DZ"/>
        </w:rPr>
        <w:t xml:space="preserve">. </w:t>
      </w:r>
    </w:p>
    <w:p w:rsidR="00A903CE" w:rsidRPr="0062340E" w:rsidRDefault="00A903CE" w:rsidP="00AD4503">
      <w:pPr>
        <w:pStyle w:val="Paragraphedeliste"/>
        <w:tabs>
          <w:tab w:val="right" w:pos="282"/>
        </w:tabs>
        <w:autoSpaceDE w:val="0"/>
        <w:autoSpaceDN w:val="0"/>
        <w:bidi/>
        <w:adjustRightInd w:val="0"/>
        <w:spacing w:after="0"/>
        <w:ind w:left="-1" w:firstLine="283"/>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lastRenderedPageBreak/>
        <w:t xml:space="preserve">غالبا ما يحدث اثناء الاضطرابات ان يتعرض الاشخاص والممتلكات الى السرقة والعنف. بالتالي، من الضروري توفير مراكز السلامة والامن ضمن خطط التنمية المحلية. </w:t>
      </w:r>
      <w:r w:rsidRPr="0062340E">
        <w:rPr>
          <w:rFonts w:ascii="Simplified Arabic" w:hAnsi="Simplified Arabic" w:cs="Simplified Arabic"/>
          <w:sz w:val="24"/>
          <w:szCs w:val="24"/>
          <w:rtl/>
          <w:lang w:val="en-US"/>
        </w:rPr>
        <w:t>ل</w:t>
      </w:r>
      <w:r w:rsidRPr="0062340E">
        <w:rPr>
          <w:rFonts w:ascii="Simplified Arabic" w:hAnsi="Simplified Arabic" w:cs="Simplified Arabic" w:hint="cs"/>
          <w:sz w:val="24"/>
          <w:szCs w:val="24"/>
          <w:rtl/>
          <w:lang w:val="en-US"/>
        </w:rPr>
        <w:t>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يقتصر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السياق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الأصول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والبضائع،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يشمل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أيضًا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سلامة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الأفراد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أثناء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لتجنب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وقوع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إصابات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وفيات</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w:t>
      </w:r>
      <w:r w:rsidRPr="0062340E">
        <w:rPr>
          <w:rFonts w:ascii="Simplified Arabic" w:hAnsi="Simplified Arabic" w:cs="Simplified Arabic" w:hint="cs"/>
          <w:sz w:val="24"/>
          <w:szCs w:val="24"/>
          <w:rtl/>
          <w:lang w:bidi="ar-DZ"/>
        </w:rPr>
        <w:t>وفق</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rPr>
        <w:t>Ba</w:t>
      </w:r>
      <w:r w:rsidR="00B4066D" w:rsidRPr="0062340E">
        <w:rPr>
          <w:rFonts w:asciiTheme="majorBidi" w:hAnsiTheme="majorBidi" w:cstheme="majorBidi"/>
          <w:sz w:val="24"/>
          <w:szCs w:val="24"/>
        </w:rPr>
        <w:t>r</w:t>
      </w:r>
      <w:r w:rsidRPr="0062340E">
        <w:rPr>
          <w:rFonts w:asciiTheme="majorBidi" w:hAnsiTheme="majorBidi" w:cstheme="majorBidi"/>
          <w:sz w:val="24"/>
          <w:szCs w:val="24"/>
        </w:rPr>
        <w:t>roca</w:t>
      </w:r>
      <w:r w:rsidR="00B4066D" w:rsidRPr="0062340E">
        <w:rPr>
          <w:rFonts w:asciiTheme="majorBidi" w:hAnsiTheme="majorBidi" w:cstheme="majorBidi"/>
          <w:sz w:val="24"/>
          <w:szCs w:val="24"/>
        </w:rPr>
        <w:t xml:space="preserve"> et al., </w:t>
      </w:r>
      <w:r w:rsidRPr="0062340E">
        <w:rPr>
          <w:rFonts w:asciiTheme="majorBidi" w:hAnsiTheme="majorBidi" w:cstheme="majorBidi"/>
          <w:sz w:val="24"/>
          <w:szCs w:val="24"/>
        </w:rPr>
        <w:t>2013</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يتمتع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المخططون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بنصيب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كبير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تنفيذ</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السياسات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والتدخلات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لتحسين قدرة الاستجابة 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تغيّر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المناخ</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وزيادة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المدينة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مواجهة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الفيضانات</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sz w:val="24"/>
          <w:szCs w:val="24"/>
          <w:rtl/>
          <w:lang w:val="en-US"/>
        </w:rPr>
        <w:t>يتم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تحديد</w:t>
      </w:r>
      <w:r w:rsidRPr="0062340E">
        <w:rPr>
          <w:rFonts w:ascii="Simplified Arabic" w:hAnsi="Simplified Arabic" w:cs="Simplified Arabic"/>
          <w:sz w:val="24"/>
          <w:szCs w:val="24"/>
          <w:rtl/>
          <w:lang w:val="en-US"/>
        </w:rPr>
        <w:t xml:space="preserve"> </w:t>
      </w:r>
      <w:r w:rsidR="00AD4503" w:rsidRPr="0062340E">
        <w:rPr>
          <w:rFonts w:ascii="Simplified Arabic" w:hAnsi="Simplified Arabic" w:cs="Simplified Arabic" w:hint="cs"/>
          <w:sz w:val="24"/>
          <w:szCs w:val="24"/>
          <w:rtl/>
          <w:lang w:val="en-US"/>
        </w:rPr>
        <w:t>ال</w:t>
      </w:r>
      <w:r w:rsidRPr="0062340E">
        <w:rPr>
          <w:rFonts w:ascii="Simplified Arabic" w:hAnsi="Simplified Arabic" w:cs="Simplified Arabic" w:hint="cs"/>
          <w:sz w:val="24"/>
          <w:szCs w:val="24"/>
          <w:rtl/>
          <w:lang w:val="en-US"/>
        </w:rPr>
        <w:t>قدرة</w:t>
      </w:r>
      <w:r w:rsidRPr="0062340E">
        <w:rPr>
          <w:rFonts w:ascii="Simplified Arabic" w:hAnsi="Simplified Arabic" w:cs="Simplified Arabic"/>
          <w:sz w:val="24"/>
          <w:szCs w:val="24"/>
          <w:rtl/>
          <w:lang w:val="en-US"/>
        </w:rPr>
        <w:t xml:space="preserve"> </w:t>
      </w:r>
      <w:r w:rsidR="00AD4503" w:rsidRPr="0062340E">
        <w:rPr>
          <w:rFonts w:ascii="Simplified Arabic" w:hAnsi="Simplified Arabic" w:cs="Simplified Arabic" w:hint="cs"/>
          <w:sz w:val="24"/>
          <w:szCs w:val="24"/>
          <w:rtl/>
          <w:lang w:val="en-US"/>
        </w:rPr>
        <w:t xml:space="preserve">على </w:t>
      </w:r>
      <w:r w:rsidRPr="0062340E">
        <w:rPr>
          <w:rFonts w:ascii="Simplified Arabic" w:hAnsi="Simplified Arabic" w:cs="Simplified Arabic" w:hint="cs"/>
          <w:sz w:val="24"/>
          <w:szCs w:val="24"/>
          <w:rtl/>
          <w:lang w:val="en-US"/>
        </w:rPr>
        <w:t>استجابة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المدينة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00AD4503" w:rsidRPr="0062340E">
        <w:rPr>
          <w:rFonts w:ascii="Simplified Arabic" w:hAnsi="Simplified Arabic" w:cs="Simplified Arabic" w:hint="cs"/>
          <w:sz w:val="24"/>
          <w:szCs w:val="24"/>
          <w:rtl/>
          <w:lang w:val="en-US"/>
        </w:rPr>
        <w:t>الابحاث</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خلال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المتغيرات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البديلة،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مثل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مراكز الامن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حالات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الطوارئ</w:t>
      </w:r>
      <w:r w:rsidRPr="0062340E">
        <w:rPr>
          <w:rFonts w:ascii="Simplified Arabic" w:hAnsi="Simplified Arabic" w:cs="Simplified Arabic"/>
          <w:sz w:val="24"/>
          <w:szCs w:val="24"/>
          <w:rtl/>
          <w:lang w:val="en-US"/>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rPr>
        <w:t>Chang, 20</w:t>
      </w:r>
      <w:r w:rsidRPr="0062340E">
        <w:rPr>
          <w:rFonts w:asciiTheme="majorBidi" w:hAnsiTheme="majorBidi" w:cstheme="majorBidi"/>
          <w:sz w:val="24"/>
          <w:szCs w:val="24"/>
          <w:lang w:bidi="ar-DZ"/>
        </w:rPr>
        <w:t>10</w:t>
      </w:r>
      <w:r w:rsidRPr="0062340E">
        <w:rPr>
          <w:rFonts w:asciiTheme="majorBidi" w:hAnsiTheme="majorBidi" w:cstheme="majorBidi" w:hint="cs"/>
          <w:sz w:val="24"/>
          <w:szCs w:val="24"/>
          <w:rtl/>
          <w:lang w:bidi="ar-DZ"/>
        </w:rPr>
        <w:t> </w:t>
      </w:r>
      <w:r w:rsidRPr="0062340E">
        <w:rPr>
          <w:rFonts w:asciiTheme="majorBidi" w:hAnsiTheme="majorBidi" w:cstheme="majorBidi"/>
          <w:sz w:val="24"/>
          <w:szCs w:val="24"/>
        </w:rPr>
        <w:t>Cutter</w:t>
      </w:r>
      <w:r w:rsidRPr="0062340E">
        <w:rPr>
          <w:rFonts w:asciiTheme="majorBidi" w:hAnsiTheme="majorBidi" w:cstheme="majorBidi"/>
          <w:sz w:val="24"/>
          <w:szCs w:val="24"/>
          <w:lang w:bidi="ar-DZ"/>
        </w:rPr>
        <w:t xml:space="preserve"> et al., 2008 ;</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val="en-US"/>
        </w:rPr>
        <w:t>.</w:t>
      </w:r>
      <w:r w:rsidRPr="0062340E">
        <w:rPr>
          <w:rFonts w:ascii="Simplified Arabic" w:hAnsi="Simplified Arabic" w:cs="Simplified Arabic"/>
          <w:sz w:val="24"/>
          <w:szCs w:val="24"/>
          <w:rtl/>
        </w:rPr>
        <w:t xml:space="preserve"> </w:t>
      </w:r>
    </w:p>
    <w:p w:rsidR="00A903CE" w:rsidRPr="0062340E" w:rsidRDefault="00A903CE" w:rsidP="00D57FDF">
      <w:pPr>
        <w:pStyle w:val="Paragraphedeliste"/>
        <w:numPr>
          <w:ilvl w:val="0"/>
          <w:numId w:val="195"/>
        </w:numPr>
        <w:tabs>
          <w:tab w:val="right" w:pos="1134"/>
        </w:tabs>
        <w:autoSpaceDE w:val="0"/>
        <w:autoSpaceDN w:val="0"/>
        <w:bidi/>
        <w:adjustRightInd w:val="0"/>
        <w:spacing w:before="240" w:after="0"/>
        <w:ind w:left="851" w:firstLine="0"/>
        <w:jc w:val="both"/>
        <w:outlineLvl w:val="3"/>
        <w:rPr>
          <w:rFonts w:ascii="Simplified Arabic" w:hAnsi="Simplified Arabic" w:cs="Simplified Arabic"/>
          <w:sz w:val="24"/>
          <w:szCs w:val="24"/>
        </w:rPr>
      </w:pPr>
      <w:r w:rsidRPr="0062340E">
        <w:rPr>
          <w:rFonts w:ascii="Simplified Arabic" w:hAnsi="Simplified Arabic" w:cs="Simplified Arabic" w:hint="cs"/>
          <w:b/>
          <w:bCs/>
          <w:sz w:val="24"/>
          <w:szCs w:val="24"/>
          <w:rtl/>
        </w:rPr>
        <w:t>خدمات الاجلاء و الطوارئ</w:t>
      </w:r>
    </w:p>
    <w:p w:rsidR="00A903CE" w:rsidRPr="0062340E" w:rsidRDefault="00A903CE" w:rsidP="00B232B1">
      <w:pPr>
        <w:tabs>
          <w:tab w:val="right" w:pos="283"/>
        </w:tabs>
        <w:autoSpaceDE w:val="0"/>
        <w:autoSpaceDN w:val="0"/>
        <w:bidi/>
        <w:adjustRightInd w:val="0"/>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أشار</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Sharifi and Yamagata, 2018</w:t>
      </w:r>
      <w:r w:rsidRPr="0062340E">
        <w:rPr>
          <w:rFonts w:asciiTheme="majorBidi" w:hAnsiTheme="majorBidi" w:cstheme="majorBidi"/>
          <w:sz w:val="24"/>
          <w:szCs w:val="24"/>
          <w:rtl/>
        </w:rPr>
        <w:t>)</w:t>
      </w:r>
      <w:r w:rsidRPr="0062340E">
        <w:rPr>
          <w:rFonts w:asciiTheme="majorBidi" w:hAnsiTheme="majorBidi" w:cstheme="majorBidi" w:hint="cs"/>
          <w:sz w:val="24"/>
          <w:szCs w:val="24"/>
          <w:rtl/>
        </w:rPr>
        <w:t xml:space="preserve"> </w:t>
      </w:r>
      <w:r w:rsidRPr="0062340E">
        <w:rPr>
          <w:rFonts w:ascii="Simplified Arabic" w:hAnsi="Simplified Arabic" w:cs="Simplified Arabic" w:hint="cs"/>
          <w:sz w:val="24"/>
          <w:szCs w:val="24"/>
          <w:rtl/>
          <w:lang w:bidi="ar-DZ"/>
        </w:rPr>
        <w:t>انه يجب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تكون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المرافق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الرئيسية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مثل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محطات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الإطفاء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موجودة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مناطق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عالية،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حيث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قادرة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المزيد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المناطق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بأقل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الوقت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والجهد.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بالتالي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فهي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قادرة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 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تستجيب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بشكل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أسرع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لأي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اضطرابات</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rPr>
        <w:t xml:space="preserve"> خلال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الكارثة،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المهم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بشكل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خاص</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اجلاء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الجرحى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والحفاظ</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وظيفة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رعاية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صحية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مناسبة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تحديد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محطات الاجلاء ومرافق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الرعاية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الصحية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كأحد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مؤشرات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لمواجهة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الكوارث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مجال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الانقاذ.</w:t>
      </w:r>
      <w:r w:rsidRPr="0062340E">
        <w:rPr>
          <w:rFonts w:hint="cs"/>
          <w:sz w:val="24"/>
          <w:szCs w:val="24"/>
          <w:rtl/>
        </w:rPr>
        <w:t xml:space="preserve"> </w:t>
      </w:r>
    </w:p>
    <w:p w:rsidR="00A903CE" w:rsidRPr="0062340E" w:rsidRDefault="00A903CE" w:rsidP="00D57FDF">
      <w:pPr>
        <w:pStyle w:val="Paragraphedeliste"/>
        <w:numPr>
          <w:ilvl w:val="0"/>
          <w:numId w:val="195"/>
        </w:numPr>
        <w:tabs>
          <w:tab w:val="right" w:pos="1134"/>
        </w:tabs>
        <w:autoSpaceDE w:val="0"/>
        <w:autoSpaceDN w:val="0"/>
        <w:bidi/>
        <w:adjustRightInd w:val="0"/>
        <w:spacing w:after="0"/>
        <w:ind w:left="851" w:firstLine="0"/>
        <w:jc w:val="both"/>
        <w:outlineLvl w:val="3"/>
        <w:rPr>
          <w:rFonts w:ascii="Simplified Arabic" w:hAnsi="Simplified Arabic" w:cs="Simplified Arabic"/>
          <w:sz w:val="24"/>
          <w:szCs w:val="24"/>
        </w:rPr>
      </w:pPr>
      <w:r w:rsidRPr="0062340E">
        <w:rPr>
          <w:rFonts w:ascii="Simplified Arabic" w:hAnsi="Simplified Arabic" w:cs="Simplified Arabic" w:hint="cs"/>
          <w:b/>
          <w:bCs/>
          <w:sz w:val="24"/>
          <w:szCs w:val="24"/>
          <w:rtl/>
        </w:rPr>
        <w:t>المساحات الخضراء والمفتوحة</w:t>
      </w:r>
    </w:p>
    <w:p w:rsidR="00A903CE" w:rsidRPr="0062340E" w:rsidRDefault="00A903CE" w:rsidP="000743B1">
      <w:pPr>
        <w:pStyle w:val="Paragraphedeliste"/>
        <w:tabs>
          <w:tab w:val="right" w:pos="282"/>
        </w:tabs>
        <w:autoSpaceDE w:val="0"/>
        <w:autoSpaceDN w:val="0"/>
        <w:bidi/>
        <w:adjustRightInd w:val="0"/>
        <w:spacing w:after="0"/>
        <w:ind w:left="-1" w:firstLine="283"/>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bidi="ar-DZ"/>
        </w:rPr>
        <w:t>المساحات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المفتوحة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جزء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أساسي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حضري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val="en-US"/>
        </w:rPr>
        <w:t>تشير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المساحات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المفتوحة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مساحة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أرضية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غير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مغطاة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المدينة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سواء طبيعية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صنع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الإنسان،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باستثناء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أنواع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مختلفة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للمرور التي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يمكن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تكون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ملكية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عامة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خاصة </w:t>
      </w:r>
      <w:r w:rsidRPr="0062340E">
        <w:rPr>
          <w:rFonts w:asciiTheme="majorBidi" w:hAnsiTheme="majorBidi" w:cstheme="majorBidi"/>
          <w:sz w:val="24"/>
          <w:szCs w:val="24"/>
          <w:rtl/>
        </w:rPr>
        <w:t>(</w:t>
      </w:r>
      <w:r w:rsidRPr="0062340E">
        <w:rPr>
          <w:rFonts w:asciiTheme="majorBidi" w:hAnsiTheme="majorBidi" w:cstheme="majorBidi"/>
          <w:sz w:val="24"/>
          <w:szCs w:val="24"/>
        </w:rPr>
        <w:t>Sharifi, 2019</w:t>
      </w:r>
      <w:r w:rsidRPr="0062340E">
        <w:rPr>
          <w:rFonts w:asciiTheme="majorBidi" w:hAnsiTheme="majorBidi" w:cstheme="majorBidi"/>
          <w:sz w:val="24"/>
          <w:szCs w:val="24"/>
          <w:rtl/>
        </w:rPr>
        <w:t>)</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bidi="ar-DZ"/>
        </w:rPr>
        <w:t>توفر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المساحات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المفتوحة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الاحتياجات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المادية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كما أنها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تزيد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المحلية، 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حماية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التنوع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البيولوجي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والحفاظ</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عليه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val="en-US"/>
        </w:rPr>
        <w:t>مع ذلك، يُحتمل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تؤدي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المساحات المفتوحة المعبدة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تحتوي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مستويات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مناسبة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المساحات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الخضراء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زيادة حدة خطر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خلال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تقليل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انعكاس</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السطح</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وترشيح</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المياه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التوالي</w:t>
      </w:r>
      <w:r w:rsidRPr="0062340E">
        <w:rPr>
          <w:rFonts w:ascii="Simplified Arabic" w:hAnsi="Simplified Arabic" w:cs="Simplified Arabic"/>
          <w:sz w:val="24"/>
          <w:szCs w:val="24"/>
          <w:rtl/>
          <w:lang w:val="en-US"/>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Sharifi, 2019</w:t>
      </w:r>
      <w:r w:rsidRPr="0062340E">
        <w:rPr>
          <w:rFonts w:asciiTheme="majorBidi" w:hAnsiTheme="majorBidi" w:cstheme="majorBidi"/>
          <w:sz w:val="24"/>
          <w:szCs w:val="24"/>
          <w:rtl/>
        </w:rPr>
        <w:t>)</w:t>
      </w:r>
      <w:r w:rsidRPr="0062340E">
        <w:rPr>
          <w:rFonts w:ascii="Simplified Arabic" w:hAnsi="Simplified Arabic" w:cs="Simplified Arabic"/>
          <w:sz w:val="24"/>
          <w:szCs w:val="24"/>
          <w:rtl/>
        </w:rPr>
        <w:t>.</w:t>
      </w:r>
    </w:p>
    <w:p w:rsidR="00D57FDF" w:rsidRDefault="00A903CE" w:rsidP="00B232B1">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val="en-US"/>
        </w:rPr>
        <w:t>يعد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حجم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المساحات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المفتوحة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وشكلها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وإمكانية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الوصول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إليها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مؤشرات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مهمة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تؤثر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قدرات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الاستيعاب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والتعافي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والتكيف</w:t>
      </w:r>
      <w:r w:rsidRPr="0062340E">
        <w:rPr>
          <w:rFonts w:ascii="Simplified Arabic" w:hAnsi="Simplified Arabic" w:cs="Simplified Arabic" w:hint="cs"/>
          <w:sz w:val="24"/>
          <w:szCs w:val="24"/>
          <w:rtl/>
          <w:lang w:val="en-US" w:bidi="ar-DZ"/>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Sharifi et al, 2021</w:t>
      </w:r>
      <w:r w:rsidRPr="0062340E">
        <w:rPr>
          <w:rFonts w:asciiTheme="majorBidi" w:hAnsiTheme="majorBidi" w:cstheme="majorBidi"/>
          <w:sz w:val="24"/>
          <w:szCs w:val="24"/>
          <w:rtl/>
        </w:rPr>
        <w:t>)</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كما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يمكن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للأماكن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المفتوحة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تلعب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أدوارًا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مهمة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استيعاب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والسيطرة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والمساهمة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إدارة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جريان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مياه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الأمطار</w:t>
      </w:r>
      <w:r w:rsidRPr="0062340E">
        <w:rPr>
          <w:rFonts w:ascii="Simplified Arabic" w:hAnsi="Simplified Arabic" w:cs="Simplified Arabic"/>
          <w:sz w:val="24"/>
          <w:szCs w:val="24"/>
          <w:rtl/>
          <w:lang w:val="en-US"/>
        </w:rPr>
        <w:t xml:space="preserve"> </w:t>
      </w:r>
      <w:r w:rsidRPr="0062340E">
        <w:rPr>
          <w:rFonts w:asciiTheme="majorBidi" w:hAnsiTheme="majorBidi" w:cstheme="majorBidi"/>
          <w:color w:val="000000"/>
          <w:sz w:val="24"/>
          <w:szCs w:val="24"/>
          <w:lang w:val="en-US"/>
        </w:rPr>
        <w:t>(</w:t>
      </w:r>
      <w:r w:rsidRPr="0062340E">
        <w:rPr>
          <w:rFonts w:asciiTheme="majorBidi" w:hAnsiTheme="majorBidi" w:cstheme="majorBidi"/>
          <w:sz w:val="24"/>
          <w:szCs w:val="24"/>
        </w:rPr>
        <w:t xml:space="preserve">Van Long </w:t>
      </w:r>
      <w:r w:rsidRPr="0062340E">
        <w:rPr>
          <w:rFonts w:asciiTheme="majorBidi" w:hAnsiTheme="majorBidi" w:cstheme="majorBidi"/>
          <w:color w:val="000000"/>
          <w:sz w:val="24"/>
          <w:szCs w:val="24"/>
          <w:lang w:val="en-US"/>
        </w:rPr>
        <w:t>et al, 2020)</w:t>
      </w:r>
      <w:r w:rsidRPr="0062340E">
        <w:rPr>
          <w:rFonts w:ascii="Simplified Arabic" w:hAnsi="Simplified Arabic" w:cs="Simplified Arabic"/>
          <w:sz w:val="24"/>
          <w:szCs w:val="24"/>
          <w:rtl/>
          <w:lang w:val="en-US"/>
        </w:rPr>
        <w:t>.</w:t>
      </w:r>
      <w:r w:rsidRPr="0062340E">
        <w:rPr>
          <w:rFonts w:ascii="Simplified Arabic" w:hAnsi="Simplified Arabic" w:cs="Simplified Arabic"/>
          <w:sz w:val="24"/>
          <w:szCs w:val="24"/>
          <w:rtl/>
          <w:lang w:bidi="ar-DZ"/>
        </w:rPr>
        <w:t xml:space="preserve"> </w:t>
      </w:r>
    </w:p>
    <w:p w:rsidR="00D57FDF" w:rsidRDefault="00D57FDF"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p>
    <w:p w:rsidR="00D57FDF" w:rsidRDefault="00D57FDF"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p>
    <w:p w:rsidR="00D57FDF" w:rsidRDefault="00D57FDF"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p>
    <w:p w:rsidR="00D57FDF" w:rsidRDefault="00D57FDF"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p>
    <w:p w:rsidR="00D57FDF" w:rsidRDefault="00D57FDF"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p>
    <w:p w:rsidR="00D57FDF" w:rsidRDefault="00D57FDF"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p>
    <w:p w:rsidR="00D57FDF" w:rsidRDefault="00D57FDF"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p>
    <w:p w:rsidR="00A903CE" w:rsidRPr="0062340E" w:rsidRDefault="00A903CE" w:rsidP="00D57FDF">
      <w:pPr>
        <w:tabs>
          <w:tab w:val="right" w:pos="282"/>
        </w:tabs>
        <w:autoSpaceDE w:val="0"/>
        <w:autoSpaceDN w:val="0"/>
        <w:bidi/>
        <w:adjustRightInd w:val="0"/>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lastRenderedPageBreak/>
        <w:t>كما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موضح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الشكل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00410240" w:rsidRPr="0062340E">
        <w:rPr>
          <w:rFonts w:ascii="Simplified Arabic" w:hAnsi="Simplified Arabic" w:cs="Simplified Arabic" w:hint="cs"/>
          <w:sz w:val="24"/>
          <w:szCs w:val="24"/>
          <w:rtl/>
          <w:lang w:bidi="ar-DZ"/>
        </w:rPr>
        <w:t>1-2</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أنظمة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المساحات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المفتوحة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تحسين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المنطقة،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سيؤدي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المزيد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المساحات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المفتوحة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تحسين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الفرص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والخيارات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والبيئية</w:t>
      </w:r>
      <w:r w:rsidRPr="0062340E">
        <w:rPr>
          <w:rFonts w:ascii="Simplified Arabic" w:hAnsi="Simplified Arabic" w:cs="Simplified Arabic"/>
          <w:sz w:val="24"/>
          <w:szCs w:val="24"/>
          <w:rtl/>
          <w:lang w:bidi="ar-DZ"/>
        </w:rPr>
        <w:t>.</w:t>
      </w:r>
    </w:p>
    <w:p w:rsidR="00A903CE" w:rsidRPr="0062340E" w:rsidRDefault="00A903CE" w:rsidP="00816C56">
      <w:pPr>
        <w:pStyle w:val="fegure"/>
        <w:spacing w:before="240"/>
        <w:rPr>
          <w:szCs w:val="24"/>
          <w:lang w:bidi="ar-DZ"/>
        </w:rPr>
      </w:pPr>
      <w:bookmarkStart w:id="99" w:name="_Toc157561434"/>
      <w:bookmarkStart w:id="100" w:name="_Toc157562767"/>
      <w:bookmarkStart w:id="101" w:name="_Toc157608263"/>
      <w:bookmarkStart w:id="102" w:name="_Toc171803333"/>
      <w:r w:rsidRPr="0062340E">
        <w:rPr>
          <w:rFonts w:hint="cs"/>
          <w:szCs w:val="24"/>
          <w:rtl/>
          <w:lang w:bidi="ar-DZ"/>
        </w:rPr>
        <w:t>الشكل</w:t>
      </w:r>
      <w:r w:rsidRPr="0062340E">
        <w:rPr>
          <w:szCs w:val="24"/>
          <w:rtl/>
          <w:lang w:bidi="ar-DZ"/>
        </w:rPr>
        <w:t xml:space="preserve"> </w:t>
      </w:r>
      <w:r w:rsidRPr="0062340E">
        <w:rPr>
          <w:rFonts w:hint="cs"/>
          <w:szCs w:val="24"/>
          <w:rtl/>
          <w:lang w:bidi="ar-DZ"/>
        </w:rPr>
        <w:t>(</w:t>
      </w:r>
      <w:r w:rsidR="007C7C95" w:rsidRPr="0062340E">
        <w:rPr>
          <w:rFonts w:hint="cs"/>
          <w:szCs w:val="24"/>
          <w:rtl/>
          <w:lang w:bidi="ar-DZ"/>
        </w:rPr>
        <w:t>1-2</w:t>
      </w:r>
      <w:r w:rsidRPr="0062340E">
        <w:rPr>
          <w:rFonts w:hint="cs"/>
          <w:szCs w:val="24"/>
          <w:rtl/>
          <w:lang w:bidi="ar-DZ"/>
        </w:rPr>
        <w:t>)</w:t>
      </w:r>
      <w:r w:rsidRPr="0062340E">
        <w:rPr>
          <w:szCs w:val="24"/>
          <w:rtl/>
          <w:lang w:bidi="ar-DZ"/>
        </w:rPr>
        <w:t xml:space="preserve">: </w:t>
      </w:r>
      <w:r w:rsidRPr="0062340E">
        <w:rPr>
          <w:rFonts w:hint="cs"/>
          <w:szCs w:val="24"/>
          <w:rtl/>
          <w:lang w:bidi="ar-DZ"/>
        </w:rPr>
        <w:t>اهمية المساحات المفتوحة في تسهيل الوصول</w:t>
      </w:r>
      <w:bookmarkEnd w:id="99"/>
      <w:bookmarkEnd w:id="100"/>
      <w:bookmarkEnd w:id="101"/>
      <w:bookmarkEnd w:id="102"/>
    </w:p>
    <w:p w:rsidR="00A903CE" w:rsidRPr="0062340E" w:rsidRDefault="00A903CE" w:rsidP="00A903CE">
      <w:pPr>
        <w:tabs>
          <w:tab w:val="right" w:pos="282"/>
        </w:tabs>
        <w:autoSpaceDE w:val="0"/>
        <w:autoSpaceDN w:val="0"/>
        <w:bidi/>
        <w:adjustRightInd w:val="0"/>
        <w:spacing w:after="0" w:line="240" w:lineRule="auto"/>
        <w:ind w:firstLine="282"/>
        <w:jc w:val="center"/>
        <w:rPr>
          <w:rFonts w:ascii="TimesNewRoman" w:hAnsi="TimesNewRoman" w:cs="Times New Roman"/>
          <w:sz w:val="24"/>
          <w:szCs w:val="24"/>
          <w:rtl/>
          <w:lang w:val="en-US"/>
        </w:rPr>
      </w:pPr>
      <w:r w:rsidRPr="0062340E">
        <w:rPr>
          <w:rFonts w:ascii="Simplified Arabic" w:hAnsi="Simplified Arabic" w:cs="Simplified Arabic" w:hint="cs"/>
          <w:sz w:val="24"/>
          <w:szCs w:val="24"/>
          <w:rtl/>
          <w:lang w:bidi="ar-DZ"/>
        </w:rPr>
        <w:t>المصدر</w:t>
      </w:r>
      <w:r w:rsidRPr="0062340E">
        <w:rPr>
          <w:rFonts w:ascii="Simplified Arabic" w:hAnsi="Simplified Arabic" w:cs="Simplified Arabic"/>
          <w:sz w:val="24"/>
          <w:szCs w:val="24"/>
          <w:rtl/>
          <w:lang w:bidi="ar-DZ"/>
        </w:rPr>
        <w:t>:</w:t>
      </w:r>
      <w:r w:rsidRPr="0062340E">
        <w:rPr>
          <w:rFonts w:ascii="TimesNewRoman" w:hAnsi="TimesNewRoman" w:cs="Times New Roman"/>
          <w:sz w:val="24"/>
          <w:szCs w:val="24"/>
          <w:rtl/>
          <w:lang w:val="en-US"/>
        </w:rPr>
        <w:t xml:space="preserve"> </w:t>
      </w:r>
      <w:r w:rsidRPr="0062340E">
        <w:rPr>
          <w:rFonts w:ascii="TimesNewRoman" w:hAnsi="TimesNewRoman" w:cs="TimesNewRoman" w:hint="cs"/>
          <w:sz w:val="24"/>
          <w:szCs w:val="24"/>
          <w:rtl/>
        </w:rPr>
        <w:t>(</w:t>
      </w:r>
      <w:r w:rsidRPr="0062340E">
        <w:rPr>
          <w:rFonts w:asciiTheme="majorBidi" w:hAnsiTheme="majorBidi" w:cstheme="majorBidi"/>
          <w:sz w:val="24"/>
          <w:szCs w:val="24"/>
        </w:rPr>
        <w:t>Richter, 2016</w:t>
      </w:r>
      <w:r w:rsidRPr="0062340E">
        <w:rPr>
          <w:rFonts w:ascii="TimesNewRoman" w:hAnsi="TimesNewRoman" w:cs="TimesNewRoman" w:hint="cs"/>
          <w:sz w:val="24"/>
          <w:szCs w:val="24"/>
          <w:rtl/>
        </w:rPr>
        <w:t>)</w:t>
      </w:r>
    </w:p>
    <w:p w:rsidR="00A903CE" w:rsidRPr="0062340E" w:rsidRDefault="00A903CE" w:rsidP="00BE271A">
      <w:pPr>
        <w:tabs>
          <w:tab w:val="right" w:pos="282"/>
        </w:tabs>
        <w:autoSpaceDE w:val="0"/>
        <w:autoSpaceDN w:val="0"/>
        <w:bidi/>
        <w:adjustRightInd w:val="0"/>
        <w:spacing w:after="0"/>
        <w:jc w:val="center"/>
        <w:rPr>
          <w:rFonts w:ascii="Simplified Arabic" w:hAnsi="Simplified Arabic" w:cs="Simplified Arabic"/>
          <w:sz w:val="24"/>
          <w:szCs w:val="24"/>
          <w:rtl/>
          <w:lang w:bidi="ar-DZ"/>
        </w:rPr>
      </w:pPr>
      <w:r w:rsidRPr="0062340E">
        <w:rPr>
          <w:rFonts w:ascii="Simplified Arabic" w:hAnsi="Simplified Arabic" w:cs="Simplified Arabic"/>
          <w:noProof/>
          <w:sz w:val="24"/>
          <w:szCs w:val="24"/>
          <w:rtl/>
          <w:lang w:eastAsia="fr-FR"/>
        </w:rPr>
        <w:drawing>
          <wp:inline distT="0" distB="0" distL="0" distR="0" wp14:anchorId="627ED4E5" wp14:editId="36BA3C5E">
            <wp:extent cx="4819559" cy="3543300"/>
            <wp:effectExtent l="19050" t="19050" r="19685" b="1905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tretch>
                      <a:fillRect/>
                    </a:stretch>
                  </pic:blipFill>
                  <pic:spPr bwMode="auto">
                    <a:xfrm>
                      <a:off x="0" y="0"/>
                      <a:ext cx="4824584" cy="3546994"/>
                    </a:xfrm>
                    <a:prstGeom prst="rect">
                      <a:avLst/>
                    </a:prstGeom>
                    <a:noFill/>
                    <a:ln>
                      <a:solidFill>
                        <a:schemeClr val="tx1"/>
                      </a:solidFill>
                    </a:ln>
                  </pic:spPr>
                </pic:pic>
              </a:graphicData>
            </a:graphic>
          </wp:inline>
        </w:drawing>
      </w:r>
    </w:p>
    <w:p w:rsidR="00A903CE" w:rsidRPr="0062340E" w:rsidRDefault="00A903CE" w:rsidP="001D0548">
      <w:pPr>
        <w:pStyle w:val="Paragraphedeliste"/>
        <w:numPr>
          <w:ilvl w:val="0"/>
          <w:numId w:val="195"/>
        </w:numPr>
        <w:tabs>
          <w:tab w:val="right" w:pos="1134"/>
        </w:tabs>
        <w:autoSpaceDE w:val="0"/>
        <w:autoSpaceDN w:val="0"/>
        <w:bidi/>
        <w:adjustRightInd w:val="0"/>
        <w:spacing w:before="240" w:after="0"/>
        <w:ind w:left="851" w:firstLine="0"/>
        <w:jc w:val="both"/>
        <w:outlineLvl w:val="3"/>
        <w:rPr>
          <w:rFonts w:ascii="Simplified Arabic" w:hAnsi="Simplified Arabic" w:cs="Simplified Arabic"/>
          <w:sz w:val="24"/>
          <w:szCs w:val="24"/>
        </w:rPr>
      </w:pPr>
      <w:r w:rsidRPr="0062340E">
        <w:rPr>
          <w:rFonts w:ascii="Simplified Arabic" w:hAnsi="Simplified Arabic" w:cs="Simplified Arabic" w:hint="cs"/>
          <w:b/>
          <w:bCs/>
          <w:sz w:val="24"/>
          <w:szCs w:val="24"/>
          <w:rtl/>
        </w:rPr>
        <w:t>شبكة الطرق وخدمة التنقل</w:t>
      </w:r>
    </w:p>
    <w:p w:rsidR="00A903CE" w:rsidRPr="0062340E" w:rsidRDefault="00A903CE" w:rsidP="001C7E22">
      <w:pPr>
        <w:tabs>
          <w:tab w:val="right" w:pos="282"/>
        </w:tabs>
        <w:autoSpaceDE w:val="0"/>
        <w:autoSpaceDN w:val="0"/>
        <w:bidi/>
        <w:adjustRightInd w:val="0"/>
        <w:spacing w:after="0"/>
        <w:ind w:firstLine="282"/>
        <w:jc w:val="both"/>
        <w:rPr>
          <w:rFonts w:ascii="Simplified Arabic" w:hAnsi="Simplified Arabic" w:cs="Simplified Arabic"/>
          <w:sz w:val="24"/>
          <w:szCs w:val="24"/>
          <w:shd w:val="clear" w:color="auto" w:fill="FBD4B4" w:themeFill="accent6" w:themeFillTint="66"/>
          <w:rtl/>
          <w:lang w:val="en-US" w:bidi="ar-DZ"/>
        </w:rPr>
      </w:pPr>
      <w:r w:rsidRPr="0062340E">
        <w:rPr>
          <w:rFonts w:ascii="Simplified Arabic" w:hAnsi="Simplified Arabic" w:cs="Simplified Arabic" w:hint="cs"/>
          <w:sz w:val="24"/>
          <w:szCs w:val="24"/>
          <w:rtl/>
          <w:lang w:val="en-US"/>
        </w:rPr>
        <w:t>نظرًا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الشوارع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مكون رئيسي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للمدن،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فإن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دورها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تحسين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إمكانية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الوصول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مهم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خاص.</w:t>
      </w:r>
      <w:r w:rsidRPr="0062340E">
        <w:rPr>
          <w:rFonts w:ascii="Simplified Arabic" w:hAnsi="Simplified Arabic" w:cs="Simplified Arabic" w:hint="cs"/>
          <w:sz w:val="24"/>
          <w:szCs w:val="24"/>
          <w:rtl/>
        </w:rPr>
        <w:t xml:space="preserve"> العوامل مثل نوع</w:t>
      </w:r>
      <w:r w:rsidR="00D078F2" w:rsidRPr="0062340E">
        <w:rPr>
          <w:rFonts w:ascii="Simplified Arabic" w:hAnsi="Simplified Arabic" w:cs="Simplified Arabic" w:hint="cs"/>
          <w:sz w:val="24"/>
          <w:szCs w:val="24"/>
          <w:rtl/>
        </w:rPr>
        <w:t xml:space="preserve"> </w:t>
      </w:r>
      <w:r w:rsidRPr="0062340E">
        <w:rPr>
          <w:rFonts w:ascii="Simplified Arabic" w:hAnsi="Simplified Arabic" w:cs="Simplified Arabic" w:hint="cs"/>
          <w:sz w:val="24"/>
          <w:szCs w:val="24"/>
          <w:rtl/>
        </w:rPr>
        <w:t>الطريق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وحجم حركة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المحلية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واتصال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شبكة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الطرق لها تأثير مهم 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الخدمات أثناء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الحالة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العادية (عدم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الفيضانات)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بينما يرجع 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هذه الخدمات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أثناء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الفيضان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نفس</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العوامل،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اضافة الى انها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تتأثر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اثناء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بعمق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الفيضانات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عبر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شبكة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الطرق</w:t>
      </w:r>
      <w:r w:rsidR="001C7E22" w:rsidRPr="0062340E">
        <w:rPr>
          <w:rFonts w:ascii="Simplified Arabic" w:hAnsi="Simplified Arabic" w:cs="Simplified Arabic" w:hint="cs"/>
          <w:sz w:val="24"/>
          <w:szCs w:val="24"/>
          <w:rtl/>
        </w:rPr>
        <w:t>.</w:t>
      </w:r>
    </w:p>
    <w:p w:rsidR="00A903CE" w:rsidRPr="0062340E" w:rsidRDefault="00A903CE" w:rsidP="004C2FDB">
      <w:pPr>
        <w:pStyle w:val="Paragraphedeliste"/>
        <w:tabs>
          <w:tab w:val="right" w:pos="282"/>
        </w:tabs>
        <w:autoSpaceDE w:val="0"/>
        <w:autoSpaceDN w:val="0"/>
        <w:bidi/>
        <w:adjustRightInd w:val="0"/>
        <w:ind w:left="-1" w:firstLine="283"/>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rPr>
        <w:t>تعمل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المستويات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الأعلى لعامل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اتصال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الشوارع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تحسين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التكرار،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بالتالي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فهي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أكثر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رغبة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الحفاظ</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إمكانية</w:t>
      </w:r>
      <w:r w:rsidR="00ED40E7"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أثناء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الأحداث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السلبية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مثل الفيضانات والزلازل</w:t>
      </w:r>
      <w:r w:rsidRPr="0062340E">
        <w:rPr>
          <w:rFonts w:ascii="Simplified Arabic" w:hAnsi="Simplified Arabic" w:cs="Simplified Arabic"/>
          <w:sz w:val="24"/>
          <w:szCs w:val="24"/>
          <w:rtl/>
          <w:lang w:val="en-US"/>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Sharifi, 2019</w:t>
      </w:r>
      <w:r w:rsidRPr="0062340E">
        <w:rPr>
          <w:rFonts w:asciiTheme="majorBidi" w:hAnsiTheme="majorBidi" w:cstheme="majorBidi"/>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rPr>
        <w:t>كما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يؤدي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توصيل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الشوارع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الرئيسية 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زيادة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مواجهة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أحداث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الفيضانات </w:t>
      </w:r>
      <w:r w:rsidRPr="0062340E">
        <w:rPr>
          <w:rFonts w:asciiTheme="majorBidi" w:hAnsiTheme="majorBidi" w:cstheme="majorBidi"/>
          <w:sz w:val="24"/>
          <w:szCs w:val="24"/>
        </w:rPr>
        <w:t>(Brody et al., 2013 ; Erdem et al., 2020)</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rPr>
        <w:t>يعد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الشارع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أيضًا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مقياسًا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آخر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لإمكانية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بالتالي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فإن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القيم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مرغوبة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أكثر </w:t>
      </w:r>
      <w:r w:rsidRPr="0062340E">
        <w:rPr>
          <w:rFonts w:asciiTheme="majorBidi" w:hAnsiTheme="majorBidi" w:cstheme="majorBidi"/>
          <w:sz w:val="24"/>
          <w:szCs w:val="24"/>
        </w:rPr>
        <w:t>(Teklenburg et al., 1993)</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تشير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المركزية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الأهمية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النسبية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للعقد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(الروابط) 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شبكة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الطرق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حالة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إعاقة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عقدة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(رابط)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قيم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مركزية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عالية،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يمكن ان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يتسبب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ذلك</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اضطرابات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حيث</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إمكانية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الوصول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للإجلاء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يحدث</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 غالبا، مثل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الاضطراب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عندما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يتم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توزيع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قيم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المركزية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متجانس</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نتيجة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احاطتها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بالعقد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(الروابط)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قيم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مركزية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أقل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يؤدي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تراجع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قدرات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الاستجابة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أثناء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الأحداث</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مثل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الزلازل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بالإضافة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ذلك،</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هناك</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أدلة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تظهر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المستويات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المركزية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ترتبط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بتأثير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جزيرة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الحرارة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lastRenderedPageBreak/>
        <w:t>الحضرية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الأكثر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كثافة </w:t>
      </w:r>
      <w:r w:rsidRPr="0062340E">
        <w:rPr>
          <w:rFonts w:asciiTheme="majorBidi" w:hAnsiTheme="majorBidi" w:cstheme="majorBidi"/>
          <w:sz w:val="24"/>
          <w:szCs w:val="24"/>
        </w:rPr>
        <w:t>(Erdem et al., 2020)</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يُعد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عمق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الشارع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مقياسًا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لتعقيد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الشبكة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ويشير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سهولة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الوصول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نقطة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أخرى </w:t>
      </w:r>
      <w:r w:rsidRPr="0062340E">
        <w:rPr>
          <w:rFonts w:asciiTheme="majorBidi" w:hAnsiTheme="majorBidi" w:cstheme="majorBidi"/>
          <w:sz w:val="24"/>
          <w:szCs w:val="24"/>
        </w:rPr>
        <w:t>(Teklenburg et al., 1993)</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تشير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القيم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لعمق</w:t>
      </w:r>
      <w:r w:rsidRPr="0062340E">
        <w:rPr>
          <w:rFonts w:ascii="Simplified Arabic" w:hAnsi="Simplified Arabic" w:cs="Simplified Arabic"/>
          <w:sz w:val="24"/>
          <w:szCs w:val="24"/>
          <w:rtl/>
          <w:lang w:val="en-US"/>
        </w:rPr>
        <w:t xml:space="preserve"> </w:t>
      </w:r>
      <w:r w:rsidR="00C32141" w:rsidRPr="0062340E">
        <w:rPr>
          <w:rFonts w:ascii="Simplified Arabic" w:hAnsi="Simplified Arabic" w:cs="Simplified Arabic" w:hint="cs"/>
          <w:sz w:val="24"/>
          <w:szCs w:val="24"/>
          <w:rtl/>
          <w:lang w:val="en-US"/>
        </w:rPr>
        <w:t>الطرق الشريانية</w:t>
      </w:r>
      <w:r w:rsidRPr="0062340E">
        <w:rPr>
          <w:rFonts w:ascii="Simplified Arabic" w:hAnsi="Simplified Arabic" w:cs="Simplified Arabic"/>
          <w:sz w:val="24"/>
          <w:szCs w:val="24"/>
          <w:rtl/>
          <w:lang w:val="en-US"/>
        </w:rPr>
        <w:t xml:space="preserve"> </w:t>
      </w:r>
      <w:r w:rsidR="00C32141" w:rsidRPr="0062340E">
        <w:rPr>
          <w:rFonts w:ascii="Simplified Arabic" w:hAnsi="Simplified Arabic" w:cs="Simplified Arabic" w:hint="cs"/>
          <w:sz w:val="24"/>
          <w:szCs w:val="24"/>
          <w:rtl/>
          <w:lang w:val="en-US"/>
        </w:rPr>
        <w:t xml:space="preserve">الرئيسية والثانوية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إمكانية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وصول</w:t>
      </w:r>
      <w:r w:rsidRPr="0062340E">
        <w:rPr>
          <w:rFonts w:ascii="Simplified Arabic" w:hAnsi="Simplified Arabic" w:cs="Simplified Arabic"/>
          <w:sz w:val="24"/>
          <w:szCs w:val="24"/>
          <w:rtl/>
          <w:lang w:val="en-US"/>
        </w:rPr>
        <w:t xml:space="preserve"> </w:t>
      </w:r>
      <w:r w:rsidR="00C32141" w:rsidRPr="0062340E">
        <w:rPr>
          <w:rFonts w:ascii="Simplified Arabic" w:hAnsi="Simplified Arabic" w:cs="Simplified Arabic" w:hint="cs"/>
          <w:sz w:val="24"/>
          <w:szCs w:val="24"/>
          <w:rtl/>
          <w:lang w:val="en-US"/>
        </w:rPr>
        <w:t>اكثر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وهي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مرغوب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فيها</w:t>
      </w:r>
      <w:r w:rsidRPr="0062340E">
        <w:rPr>
          <w:rFonts w:ascii="Simplified Arabic" w:hAnsi="Simplified Arabic" w:cs="Simplified Arabic"/>
          <w:sz w:val="24"/>
          <w:szCs w:val="24"/>
          <w:rtl/>
          <w:lang w:val="en-US"/>
        </w:rPr>
        <w:t xml:space="preserve">. </w:t>
      </w:r>
    </w:p>
    <w:p w:rsidR="00A903CE" w:rsidRPr="0062340E" w:rsidRDefault="00A903CE" w:rsidP="00D57FDF">
      <w:pPr>
        <w:pStyle w:val="Paragraphedeliste"/>
        <w:numPr>
          <w:ilvl w:val="2"/>
          <w:numId w:val="191"/>
        </w:numPr>
        <w:tabs>
          <w:tab w:val="right" w:pos="849"/>
        </w:tabs>
        <w:autoSpaceDE w:val="0"/>
        <w:autoSpaceDN w:val="0"/>
        <w:bidi/>
        <w:adjustRightInd w:val="0"/>
        <w:spacing w:before="240" w:after="0"/>
        <w:ind w:left="0" w:firstLine="0"/>
        <w:outlineLvl w:val="1"/>
        <w:rPr>
          <w:rFonts w:ascii="Simplified Arabic" w:hAnsi="Simplified Arabic" w:cs="Simplified Arabic"/>
          <w:b/>
          <w:bCs/>
          <w:color w:val="262626"/>
          <w:sz w:val="24"/>
          <w:szCs w:val="24"/>
          <w:rtl/>
          <w:lang w:val="en-US"/>
        </w:rPr>
      </w:pPr>
      <w:bookmarkStart w:id="103" w:name="_Toc171803334"/>
      <w:r w:rsidRPr="0062340E">
        <w:rPr>
          <w:rFonts w:ascii="Simplified Arabic" w:hAnsi="Simplified Arabic" w:cs="Simplified Arabic" w:hint="cs"/>
          <w:b/>
          <w:bCs/>
          <w:color w:val="262626"/>
          <w:sz w:val="24"/>
          <w:szCs w:val="24"/>
          <w:rtl/>
          <w:lang w:val="en-US"/>
        </w:rPr>
        <w:t>مبادئ تخطيط</w:t>
      </w:r>
      <w:r w:rsidRPr="0062340E">
        <w:rPr>
          <w:rFonts w:ascii="Simplified Arabic" w:hAnsi="Simplified Arabic" w:cs="Simplified Arabic"/>
          <w:b/>
          <w:bCs/>
          <w:color w:val="262626"/>
          <w:sz w:val="24"/>
          <w:szCs w:val="24"/>
          <w:lang w:val="en-US"/>
        </w:rPr>
        <w:t xml:space="preserve"> </w:t>
      </w:r>
      <w:r w:rsidR="00911DD1" w:rsidRPr="0062340E">
        <w:rPr>
          <w:rFonts w:ascii="Simplified Arabic" w:hAnsi="Simplified Arabic" w:cs="Simplified Arabic" w:hint="cs"/>
          <w:b/>
          <w:bCs/>
          <w:sz w:val="24"/>
          <w:szCs w:val="24"/>
          <w:rtl/>
        </w:rPr>
        <w:t xml:space="preserve">استعمال </w:t>
      </w:r>
      <w:r w:rsidRPr="0062340E">
        <w:rPr>
          <w:rFonts w:ascii="Simplified Arabic" w:hAnsi="Simplified Arabic" w:cs="Simplified Arabic"/>
          <w:b/>
          <w:bCs/>
          <w:color w:val="262626"/>
          <w:sz w:val="24"/>
          <w:szCs w:val="24"/>
          <w:rtl/>
          <w:lang w:val="en-US"/>
        </w:rPr>
        <w:t>الأرض</w:t>
      </w:r>
      <w:r w:rsidRPr="0062340E">
        <w:rPr>
          <w:rFonts w:ascii="Simplified Arabic" w:hAnsi="Simplified Arabic" w:cs="Simplified Arabic"/>
          <w:b/>
          <w:bCs/>
          <w:color w:val="262626"/>
          <w:sz w:val="24"/>
          <w:szCs w:val="24"/>
          <w:lang w:val="en-US"/>
        </w:rPr>
        <w:t>:</w:t>
      </w:r>
      <w:bookmarkEnd w:id="103"/>
    </w:p>
    <w:p w:rsidR="00A903CE" w:rsidRPr="0062340E" w:rsidRDefault="00A903CE" w:rsidP="00911DD1">
      <w:pPr>
        <w:tabs>
          <w:tab w:val="right" w:pos="282"/>
        </w:tabs>
        <w:autoSpaceDE w:val="0"/>
        <w:autoSpaceDN w:val="0"/>
        <w:bidi/>
        <w:adjustRightInd w:val="0"/>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تعتمد الكثير من البلدان في اعداد مخططاتها لتنظيم المجالات الحضرية على مفهوم </w:t>
      </w:r>
      <w:r w:rsidR="00911DD1"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rPr>
        <w:t xml:space="preserve"> الارض، يوفر هذا المفهوم دليل عام للتوزيع المكاني والانشطة والوظائف المختلفة المتعلقة بالسكن</w:t>
      </w:r>
      <w:r w:rsidRPr="0062340E">
        <w:rPr>
          <w:rFonts w:ascii="Simplified Arabic" w:hAnsi="Simplified Arabic" w:cs="Simplified Arabic" w:hint="cs"/>
          <w:sz w:val="24"/>
          <w:szCs w:val="24"/>
          <w:rtl/>
          <w:lang w:bidi="ar-DZ"/>
        </w:rPr>
        <w:t>،</w:t>
      </w:r>
      <w:r w:rsidRPr="0062340E">
        <w:rPr>
          <w:rFonts w:ascii="Simplified Arabic" w:hAnsi="Simplified Arabic" w:cs="Simplified Arabic" w:hint="cs"/>
          <w:sz w:val="24"/>
          <w:szCs w:val="24"/>
          <w:rtl/>
        </w:rPr>
        <w:t xml:space="preserve"> الخدمات، التجارة والصناعة...الخ. تم تعريف </w:t>
      </w:r>
      <w:r w:rsidRPr="0062340E">
        <w:rPr>
          <w:rFonts w:ascii="Simplified Arabic" w:hAnsi="Simplified Arabic" w:cs="Simplified Arabic"/>
          <w:sz w:val="24"/>
          <w:szCs w:val="24"/>
          <w:rtl/>
        </w:rPr>
        <w:t>تخطيط</w:t>
      </w:r>
      <w:r w:rsidRPr="0062340E">
        <w:rPr>
          <w:rFonts w:ascii="Simplified Arabic" w:hAnsi="Simplified Arabic" w:cs="Simplified Arabic" w:hint="cs"/>
          <w:sz w:val="24"/>
          <w:szCs w:val="24"/>
          <w:rtl/>
        </w:rPr>
        <w:t xml:space="preserve"> </w:t>
      </w:r>
      <w:r w:rsidR="00911DD1" w:rsidRPr="0062340E">
        <w:rPr>
          <w:rFonts w:ascii="Simplified Arabic" w:hAnsi="Simplified Arabic" w:cs="Simplified Arabic" w:hint="cs"/>
          <w:sz w:val="24"/>
          <w:szCs w:val="24"/>
          <w:rtl/>
        </w:rPr>
        <w:t>استعمالات</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sz w:val="24"/>
          <w:szCs w:val="24"/>
          <w:rtl/>
        </w:rPr>
        <w:t>الأرض</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على</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أنه</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مجموعة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من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الإجراءات</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الترتيبية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التي</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تهدف</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إلى توزيع</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صحيح</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ومتوازن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للأرض</w:t>
      </w:r>
      <w:r w:rsidRPr="0062340E">
        <w:rPr>
          <w:rFonts w:ascii="Simplified Arabic" w:hAnsi="Simplified Arabic" w:cs="Simplified Arabic" w:hint="cs"/>
          <w:sz w:val="24"/>
          <w:szCs w:val="24"/>
          <w:rtl/>
        </w:rPr>
        <w:t xml:space="preserve"> لتلك </w:t>
      </w:r>
      <w:r w:rsidR="00911DD1" w:rsidRPr="0062340E">
        <w:rPr>
          <w:rFonts w:ascii="Simplified Arabic" w:hAnsi="Simplified Arabic" w:cs="Simplified Arabic" w:hint="cs"/>
          <w:sz w:val="24"/>
          <w:szCs w:val="24"/>
          <w:rtl/>
        </w:rPr>
        <w:t>الاستعمالات</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sz w:val="24"/>
          <w:szCs w:val="24"/>
          <w:rtl/>
        </w:rPr>
        <w:t>المختلفة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والمتناف</w:t>
      </w:r>
      <w:r w:rsidRPr="0062340E">
        <w:rPr>
          <w:rFonts w:ascii="Simplified Arabic" w:hAnsi="Simplified Arabic" w:cs="Simplified Arabic" w:hint="cs"/>
          <w:sz w:val="24"/>
          <w:szCs w:val="24"/>
          <w:rtl/>
        </w:rPr>
        <w:t>س عليها، م</w:t>
      </w:r>
      <w:r w:rsidRPr="0062340E">
        <w:rPr>
          <w:rFonts w:ascii="Simplified Arabic" w:hAnsi="Simplified Arabic" w:cs="Simplified Arabic"/>
          <w:sz w:val="24"/>
          <w:szCs w:val="24"/>
          <w:rtl/>
        </w:rPr>
        <w:t>نها السكنية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التجارية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الصناعية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الترفيهية والخدماتية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مكان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وزمان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محددين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w:t>
      </w:r>
      <w:r w:rsidR="00800B70" w:rsidRPr="0062340E">
        <w:rPr>
          <w:rFonts w:ascii="Simplified Arabic" w:hAnsi="Simplified Arabic" w:cs="Simplified Arabic" w:hint="cs"/>
          <w:sz w:val="24"/>
          <w:szCs w:val="24"/>
          <w:rtl/>
        </w:rPr>
        <w:t>غنيم عثمان محمد</w:t>
      </w:r>
      <w:r w:rsidRPr="0062340E">
        <w:rPr>
          <w:rFonts w:ascii="Simplified Arabic" w:hAnsi="Simplified Arabic" w:cs="Simplified Arabic"/>
          <w:sz w:val="24"/>
          <w:szCs w:val="24"/>
          <w:rtl/>
        </w:rPr>
        <w:t>، 2001).</w:t>
      </w:r>
      <w:r w:rsidRPr="0062340E">
        <w:rPr>
          <w:rFonts w:ascii="Simplified Arabic" w:hAnsi="Simplified Arabic" w:cs="Simplified Arabic" w:hint="cs"/>
          <w:sz w:val="24"/>
          <w:szCs w:val="24"/>
          <w:rtl/>
        </w:rPr>
        <w:t xml:space="preserve"> </w:t>
      </w:r>
    </w:p>
    <w:p w:rsidR="00A903CE" w:rsidRPr="0062340E" w:rsidRDefault="00A903CE" w:rsidP="00911DD1">
      <w:pPr>
        <w:pStyle w:val="Paragraphedeliste"/>
        <w:tabs>
          <w:tab w:val="right" w:pos="282"/>
        </w:tabs>
        <w:autoSpaceDE w:val="0"/>
        <w:autoSpaceDN w:val="0"/>
        <w:bidi/>
        <w:adjustRightInd w:val="0"/>
        <w:spacing w:after="0"/>
        <w:ind w:left="-1" w:firstLine="283"/>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يعد</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استعمالات</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الأراضي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أمرًا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بالغ</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الأهمية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لتحقيق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الكفاءة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فضلاً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إمكانية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الاستدامة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والمرونة</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Dempsey et al., 2010</w:t>
      </w:r>
      <w:r w:rsidRPr="0062340E">
        <w:rPr>
          <w:rFonts w:asciiTheme="majorBidi" w:hAnsiTheme="majorBidi" w:cstheme="majorBidi"/>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اقترح</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العلماء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استخدام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تخطيط</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استعمالات</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الذي يسمح بالتحكم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تطوير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المعرضة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للكوارث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وتحسينها</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Zhang, 2010</w:t>
      </w:r>
      <w:r w:rsidRPr="0062340E">
        <w:rPr>
          <w:rFonts w:asciiTheme="majorBidi" w:hAnsiTheme="majorBidi" w:cstheme="majorBidi"/>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يؤدي</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الاستعمال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المختلط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للأراضي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زيادة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المشي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وتقليل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الحاجة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مراكز</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الأعمال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00911DD1" w:rsidRPr="0062340E">
        <w:rPr>
          <w:rFonts w:ascii="Simplified Arabic" w:hAnsi="Simplified Arabic" w:cs="Simplified Arabic" w:hint="cs"/>
          <w:sz w:val="24"/>
          <w:szCs w:val="24"/>
          <w:rtl/>
        </w:rPr>
        <w:t xml:space="preserve"> </w:t>
      </w:r>
      <w:r w:rsidR="00911DD1" w:rsidRPr="0062340E">
        <w:rPr>
          <w:rFonts w:asciiTheme="majorBidi" w:hAnsiTheme="majorBidi" w:cstheme="majorBidi"/>
          <w:sz w:val="24"/>
          <w:szCs w:val="24"/>
          <w:rtl/>
        </w:rPr>
        <w:t>(</w:t>
      </w:r>
      <w:r w:rsidR="00911DD1" w:rsidRPr="0062340E">
        <w:rPr>
          <w:rFonts w:asciiTheme="majorBidi" w:hAnsiTheme="majorBidi" w:cstheme="majorBidi"/>
          <w:sz w:val="24"/>
          <w:szCs w:val="24"/>
        </w:rPr>
        <w:t>Jackson, 2003</w:t>
      </w:r>
      <w:r w:rsidR="00911DD1" w:rsidRPr="0062340E">
        <w:rPr>
          <w:rFonts w:asciiTheme="majorBidi" w:hAnsiTheme="majorBidi" w:cstheme="majorBidi"/>
          <w:sz w:val="24"/>
          <w:szCs w:val="24"/>
          <w:rtl/>
        </w:rPr>
        <w:t xml:space="preserve">؛ </w:t>
      </w:r>
      <w:r w:rsidR="00911DD1" w:rsidRPr="0062340E">
        <w:rPr>
          <w:rFonts w:asciiTheme="majorBidi" w:hAnsiTheme="majorBidi" w:cstheme="majorBidi"/>
          <w:sz w:val="24"/>
          <w:szCs w:val="24"/>
        </w:rPr>
        <w:t>Durand et al., 2011</w:t>
      </w:r>
      <w:r w:rsidR="00911DD1" w:rsidRPr="0062340E">
        <w:rPr>
          <w:rFonts w:asciiTheme="majorBidi" w:hAnsiTheme="majorBidi" w:cstheme="majorBidi"/>
          <w:sz w:val="24"/>
          <w:szCs w:val="24"/>
          <w:rtl/>
        </w:rPr>
        <w:t>)</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 xml:space="preserve">كما </w:t>
      </w:r>
      <w:r w:rsidRPr="0062340E">
        <w:rPr>
          <w:rFonts w:ascii="Simplified Arabic" w:hAnsi="Simplified Arabic" w:cs="Simplified Arabic" w:hint="cs"/>
          <w:sz w:val="24"/>
          <w:szCs w:val="24"/>
          <w:rtl/>
        </w:rPr>
        <w:t>قد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يؤدي</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الاستعمال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المختلط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للأراضي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أيضًا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تحسين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الاجتماعية</w:t>
      </w:r>
      <w:r w:rsidRPr="0062340E">
        <w:rPr>
          <w:rFonts w:ascii="Simplified Arabic" w:hAnsi="Simplified Arabic" w:cs="Simplified Arabic"/>
          <w:sz w:val="24"/>
          <w:szCs w:val="24"/>
          <w:rtl/>
        </w:rPr>
        <w:t xml:space="preserve"> ، </w:t>
      </w:r>
      <w:r w:rsidRPr="0062340E">
        <w:rPr>
          <w:rFonts w:ascii="Simplified Arabic" w:hAnsi="Simplified Arabic" w:cs="Simplified Arabic" w:hint="cs"/>
          <w:sz w:val="24"/>
          <w:szCs w:val="24"/>
          <w:rtl/>
        </w:rPr>
        <w:t>لدعم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إمكانية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الوصول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للمشي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وركوب</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الدراجات</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Sharifi, 2019</w:t>
      </w:r>
      <w:r w:rsidRPr="0062340E">
        <w:rPr>
          <w:rFonts w:asciiTheme="majorBidi" w:hAnsiTheme="majorBidi" w:cstheme="majorBidi"/>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يؤدي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تنوع</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الأراضي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تقصير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مسافة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سفر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السكان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وتقليل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حركة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والى تحسين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المرونة </w:t>
      </w:r>
      <w:r w:rsidRPr="0062340E">
        <w:rPr>
          <w:rFonts w:asciiTheme="majorBidi" w:hAnsiTheme="majorBidi" w:cstheme="majorBidi"/>
          <w:sz w:val="24"/>
          <w:szCs w:val="24"/>
          <w:rtl/>
        </w:rPr>
        <w:t>(</w:t>
      </w:r>
      <w:r w:rsidRPr="0062340E">
        <w:rPr>
          <w:rFonts w:asciiTheme="majorBidi" w:hAnsiTheme="majorBidi" w:cstheme="majorBidi"/>
          <w:sz w:val="24"/>
          <w:szCs w:val="24"/>
        </w:rPr>
        <w:t>Alberti, 2000</w:t>
      </w:r>
      <w:r w:rsidRPr="0062340E">
        <w:rPr>
          <w:rFonts w:asciiTheme="majorBidi" w:hAnsiTheme="majorBidi" w:cstheme="majorBidi"/>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تساهم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قابلية</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الأراضي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للتحول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آخر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التكيف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والمرونة</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Pr>
        <w:t>(Walker et al. 2004)</w:t>
      </w:r>
      <w:r w:rsidRPr="0062340E">
        <w:rPr>
          <w:rFonts w:ascii="Simplified Arabic" w:hAnsi="Simplified Arabic" w:cs="Simplified Arabic"/>
          <w:sz w:val="24"/>
          <w:szCs w:val="24"/>
          <w:rtl/>
        </w:rPr>
        <w:t>.</w:t>
      </w:r>
    </w:p>
    <w:p w:rsidR="00A903CE" w:rsidRPr="0062340E" w:rsidRDefault="00A903CE" w:rsidP="00911DD1">
      <w:pPr>
        <w:tabs>
          <w:tab w:val="right" w:pos="282"/>
        </w:tabs>
        <w:autoSpaceDE w:val="0"/>
        <w:autoSpaceDN w:val="0"/>
        <w:bidi/>
        <w:adjustRightInd w:val="0"/>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color w:val="000000"/>
          <w:sz w:val="24"/>
          <w:szCs w:val="24"/>
          <w:rtl/>
        </w:rPr>
        <w:t>وفق (</w:t>
      </w:r>
      <w:r w:rsidR="00800B70" w:rsidRPr="0062340E">
        <w:rPr>
          <w:rFonts w:ascii="Simplified Arabic" w:hAnsi="Simplified Arabic" w:cs="Simplified Arabic" w:hint="cs"/>
          <w:sz w:val="24"/>
          <w:szCs w:val="24"/>
          <w:rtl/>
        </w:rPr>
        <w:t>العاني محمد جاسم</w:t>
      </w:r>
      <w:r w:rsidRPr="0062340E">
        <w:rPr>
          <w:rFonts w:ascii="Simplified Arabic" w:hAnsi="Simplified Arabic" w:cs="Simplified Arabic" w:hint="cs"/>
          <w:sz w:val="24"/>
          <w:szCs w:val="24"/>
          <w:rtl/>
        </w:rPr>
        <w:t>،</w:t>
      </w:r>
      <w:r w:rsidRPr="0062340E">
        <w:rPr>
          <w:rFonts w:ascii="Simplified Arabic" w:hAnsi="Simplified Arabic" w:cs="Simplified Arabic" w:hint="cs"/>
          <w:color w:val="000000"/>
          <w:sz w:val="24"/>
          <w:szCs w:val="24"/>
          <w:rtl/>
        </w:rPr>
        <w:t xml:space="preserve"> 2013)</w:t>
      </w:r>
      <w:r w:rsidRPr="0062340E">
        <w:rPr>
          <w:rFonts w:ascii="Simplified Arabic" w:hAnsi="Simplified Arabic" w:cs="Simplified Arabic" w:hint="cs"/>
          <w:sz w:val="24"/>
          <w:szCs w:val="24"/>
          <w:rtl/>
        </w:rPr>
        <w:t>، يهدف</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تقييم</w:t>
      </w:r>
      <w:r w:rsidRPr="0062340E">
        <w:rPr>
          <w:rFonts w:ascii="Simplified Arabic" w:hAnsi="Simplified Arabic" w:cs="Simplified Arabic"/>
          <w:sz w:val="24"/>
          <w:szCs w:val="24"/>
        </w:rPr>
        <w:t xml:space="preserve"> </w:t>
      </w:r>
      <w:r w:rsidR="00911DD1" w:rsidRPr="0062340E">
        <w:rPr>
          <w:rFonts w:ascii="Simplified Arabic" w:hAnsi="Simplified Arabic" w:cs="Simplified Arabic" w:hint="cs"/>
          <w:sz w:val="24"/>
          <w:szCs w:val="24"/>
          <w:rtl/>
        </w:rPr>
        <w:t>استعمالات</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الى</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توضيح</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قدرة</w:t>
      </w:r>
      <w:r w:rsidR="00911DD1" w:rsidRPr="0062340E">
        <w:rPr>
          <w:rFonts w:ascii="Simplified Arabic" w:hAnsi="Simplified Arabic" w:cs="Simplified Arabic" w:hint="cs"/>
          <w:sz w:val="24"/>
          <w:szCs w:val="24"/>
          <w:rtl/>
        </w:rPr>
        <w:t xml:space="preserve"> 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الوعاء العقاري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لمختلف التخصيصات، وتحديد</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وظائفها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عبر</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المخططات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الأساسية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للتوسعات الحضرية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المعبرة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عن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الأهداف</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الاقتصادية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والاجتماعية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 xml:space="preserve">للساكنين. </w:t>
      </w:r>
      <w:r w:rsidRPr="0062340E">
        <w:rPr>
          <w:rFonts w:ascii="Simplified Arabic" w:hAnsi="Simplified Arabic" w:cs="Simplified Arabic" w:hint="cs"/>
          <w:sz w:val="24"/>
          <w:szCs w:val="24"/>
          <w:rtl/>
          <w:lang w:bidi="ar-DZ"/>
        </w:rPr>
        <w:t xml:space="preserve">من وجهة نظر البحث، </w:t>
      </w:r>
      <w:r w:rsidRPr="0062340E">
        <w:rPr>
          <w:rFonts w:ascii="Simplified Arabic" w:hAnsi="Simplified Arabic" w:cs="Simplified Arabic" w:hint="cs"/>
          <w:sz w:val="24"/>
          <w:szCs w:val="24"/>
          <w:rtl/>
        </w:rPr>
        <w:t xml:space="preserve">من الضروري ان يشمل تحديد الوظائف و الخدمات القيام بتقييم قدرة الاستجابة للاضطرابات التي تسببها المخاطر الطبيعية. حاليا، </w:t>
      </w:r>
      <w:r w:rsidRPr="0062340E">
        <w:rPr>
          <w:rFonts w:ascii="Simplified Arabic" w:hAnsi="Simplified Arabic" w:cs="Simplified Arabic"/>
          <w:sz w:val="24"/>
          <w:szCs w:val="24"/>
          <w:rtl/>
        </w:rPr>
        <w:t>عملية</w:t>
      </w:r>
      <w:r w:rsidRPr="0062340E">
        <w:rPr>
          <w:rFonts w:ascii="Simplified Arabic" w:hAnsi="Simplified Arabic" w:cs="Simplified Arabic" w:hint="cs"/>
          <w:sz w:val="24"/>
          <w:szCs w:val="24"/>
          <w:rtl/>
        </w:rPr>
        <w:t xml:space="preserve"> ال</w:t>
      </w:r>
      <w:r w:rsidRPr="0062340E">
        <w:rPr>
          <w:rFonts w:ascii="Simplified Arabic" w:hAnsi="Simplified Arabic" w:cs="Simplified Arabic"/>
          <w:sz w:val="24"/>
          <w:szCs w:val="24"/>
          <w:rtl/>
        </w:rPr>
        <w:t>تخطيط</w:t>
      </w:r>
      <w:r w:rsidRPr="0062340E">
        <w:rPr>
          <w:rFonts w:ascii="Simplified Arabic" w:hAnsi="Simplified Arabic" w:cs="Simplified Arabic" w:hint="cs"/>
          <w:sz w:val="24"/>
          <w:szCs w:val="24"/>
          <w:rtl/>
        </w:rPr>
        <w:t xml:space="preserve"> الحضري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 xml:space="preserve">تقوم </w:t>
      </w:r>
      <w:r w:rsidRPr="0062340E">
        <w:rPr>
          <w:rFonts w:ascii="Simplified Arabic" w:hAnsi="Simplified Arabic" w:cs="Simplified Arabic" w:hint="cs"/>
          <w:sz w:val="24"/>
          <w:szCs w:val="24"/>
          <w:rtl/>
        </w:rPr>
        <w:t xml:space="preserve">وفق </w:t>
      </w:r>
      <w:r w:rsidRPr="0062340E">
        <w:rPr>
          <w:rFonts w:ascii="Simplified Arabic" w:hAnsi="Simplified Arabic" w:cs="Simplified Arabic"/>
          <w:sz w:val="24"/>
          <w:szCs w:val="24"/>
          <w:rtl/>
        </w:rPr>
        <w:t>مبد</w:t>
      </w:r>
      <w:r w:rsidRPr="0062340E">
        <w:rPr>
          <w:rFonts w:ascii="Simplified Arabic" w:hAnsi="Simplified Arabic" w:cs="Simplified Arabic" w:hint="cs"/>
          <w:sz w:val="24"/>
          <w:szCs w:val="24"/>
          <w:rtl/>
        </w:rPr>
        <w:t xml:space="preserve">أين </w:t>
      </w:r>
      <w:r w:rsidRPr="0062340E">
        <w:rPr>
          <w:rFonts w:ascii="Simplified Arabic" w:hAnsi="Simplified Arabic" w:cs="Simplified Arabic"/>
          <w:sz w:val="24"/>
          <w:szCs w:val="24"/>
          <w:rtl/>
        </w:rPr>
        <w:t>أساسي</w:t>
      </w:r>
      <w:r w:rsidRPr="0062340E">
        <w:rPr>
          <w:rFonts w:ascii="Simplified Arabic" w:hAnsi="Simplified Arabic" w:cs="Simplified Arabic" w:hint="cs"/>
          <w:sz w:val="24"/>
          <w:szCs w:val="24"/>
          <w:rtl/>
        </w:rPr>
        <w:t xml:space="preserve">ين </w:t>
      </w:r>
      <w:r w:rsidR="00911DD1" w:rsidRPr="0062340E">
        <w:rPr>
          <w:rFonts w:ascii="Simplified Arabic" w:hAnsi="Simplified Arabic" w:cs="Simplified Arabic" w:hint="cs"/>
          <w:sz w:val="24"/>
          <w:szCs w:val="24"/>
          <w:rtl/>
        </w:rPr>
        <w:t>لاستعمال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الأرض</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w:t>
      </w:r>
      <w:r w:rsidR="00800B70" w:rsidRPr="0062340E">
        <w:rPr>
          <w:rFonts w:ascii="Simplified Arabic" w:hAnsi="Simplified Arabic" w:cs="Simplified Arabic" w:hint="cs"/>
          <w:sz w:val="24"/>
          <w:szCs w:val="24"/>
          <w:rtl/>
        </w:rPr>
        <w:t>غنيم عثمان محمد</w:t>
      </w:r>
      <w:r w:rsidRPr="0062340E">
        <w:rPr>
          <w:rFonts w:ascii="Simplified Arabic" w:hAnsi="Simplified Arabic" w:cs="Simplified Arabic"/>
          <w:sz w:val="24"/>
          <w:szCs w:val="24"/>
          <w:rtl/>
        </w:rPr>
        <w:t>، 2001)، تتمثل</w:t>
      </w:r>
      <w:r w:rsidRPr="0062340E">
        <w:rPr>
          <w:rFonts w:ascii="Simplified Arabic" w:hAnsi="Simplified Arabic" w:cs="Simplified Arabic" w:hint="cs"/>
          <w:sz w:val="24"/>
          <w:szCs w:val="24"/>
          <w:rtl/>
        </w:rPr>
        <w:t xml:space="preserve"> في:</w:t>
      </w:r>
    </w:p>
    <w:p w:rsidR="00A903CE" w:rsidRPr="0062340E" w:rsidRDefault="00A903CE" w:rsidP="004D4F07">
      <w:pPr>
        <w:pStyle w:val="Paragraphedeliste"/>
        <w:numPr>
          <w:ilvl w:val="3"/>
          <w:numId w:val="196"/>
        </w:numPr>
        <w:tabs>
          <w:tab w:val="right" w:pos="1134"/>
        </w:tabs>
        <w:autoSpaceDE w:val="0"/>
        <w:autoSpaceDN w:val="0"/>
        <w:bidi/>
        <w:adjustRightInd w:val="0"/>
        <w:spacing w:after="0"/>
        <w:ind w:left="0" w:firstLine="0"/>
        <w:jc w:val="both"/>
        <w:outlineLvl w:val="2"/>
        <w:rPr>
          <w:rFonts w:ascii="Simplified Arabic" w:hAnsi="Simplified Arabic" w:cs="Simplified Arabic"/>
          <w:sz w:val="24"/>
          <w:szCs w:val="24"/>
        </w:rPr>
      </w:pPr>
      <w:bookmarkStart w:id="104" w:name="_Toc171803335"/>
      <w:r w:rsidRPr="0062340E">
        <w:rPr>
          <w:rFonts w:ascii="Simplified Arabic" w:hAnsi="Simplified Arabic" w:cs="Simplified Arabic" w:hint="cs"/>
          <w:b/>
          <w:bCs/>
          <w:sz w:val="24"/>
          <w:szCs w:val="24"/>
          <w:rtl/>
        </w:rPr>
        <w:t xml:space="preserve">مبدأ </w:t>
      </w:r>
      <w:r w:rsidR="00911DD1" w:rsidRPr="0062340E">
        <w:rPr>
          <w:rFonts w:ascii="Simplified Arabic" w:hAnsi="Simplified Arabic" w:cs="Simplified Arabic" w:hint="cs"/>
          <w:b/>
          <w:bCs/>
          <w:sz w:val="24"/>
          <w:szCs w:val="24"/>
          <w:rtl/>
        </w:rPr>
        <w:t xml:space="preserve">الاستعمال </w:t>
      </w:r>
      <w:r w:rsidRPr="0062340E">
        <w:rPr>
          <w:rFonts w:ascii="Simplified Arabic" w:hAnsi="Simplified Arabic" w:cs="Simplified Arabic" w:hint="cs"/>
          <w:b/>
          <w:bCs/>
          <w:sz w:val="24"/>
          <w:szCs w:val="24"/>
          <w:rtl/>
        </w:rPr>
        <w:t>الأمثل</w:t>
      </w:r>
      <w:bookmarkEnd w:id="104"/>
    </w:p>
    <w:p w:rsidR="00A903CE" w:rsidRPr="0062340E" w:rsidRDefault="00A903CE" w:rsidP="00911DD1">
      <w:pPr>
        <w:tabs>
          <w:tab w:val="right" w:pos="282"/>
        </w:tabs>
        <w:autoSpaceDE w:val="0"/>
        <w:autoSpaceDN w:val="0"/>
        <w:bidi/>
        <w:adjustRightInd w:val="0"/>
        <w:spacing w:after="0"/>
        <w:ind w:left="-1" w:firstLine="283"/>
        <w:jc w:val="both"/>
        <w:rPr>
          <w:rFonts w:ascii="Simplified Arabic" w:hAnsi="Simplified Arabic" w:cs="Simplified Arabic"/>
          <w:sz w:val="24"/>
          <w:szCs w:val="24"/>
        </w:rPr>
      </w:pPr>
      <w:r w:rsidRPr="0062340E">
        <w:rPr>
          <w:rFonts w:ascii="Simplified Arabic" w:hAnsi="Simplified Arabic" w:cs="Simplified Arabic" w:hint="cs"/>
          <w:sz w:val="24"/>
          <w:szCs w:val="24"/>
          <w:rtl/>
        </w:rPr>
        <w:t xml:space="preserve">يقوم اساس هذا المبدأ على ان </w:t>
      </w:r>
      <w:r w:rsidRPr="0062340E">
        <w:rPr>
          <w:rFonts w:ascii="Simplified Arabic" w:hAnsi="Simplified Arabic" w:cs="Simplified Arabic"/>
          <w:sz w:val="24"/>
          <w:szCs w:val="24"/>
          <w:rtl/>
        </w:rPr>
        <w:t>كل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قطعة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أرض</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لا</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بد</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من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أن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تؤدي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وظيفة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معينة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 xml:space="preserve">تسهم </w:t>
      </w:r>
      <w:r w:rsidRPr="0062340E">
        <w:rPr>
          <w:rFonts w:ascii="Simplified Arabic" w:hAnsi="Simplified Arabic" w:cs="Simplified Arabic"/>
          <w:sz w:val="24"/>
          <w:szCs w:val="24"/>
          <w:rtl/>
        </w:rPr>
        <w:t>في</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الاقتصاد</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الوطني</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وت</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حق</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ق</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أقصى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منفعة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ممكنة</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مع</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التأكيد</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على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التخطيط</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الحديث</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والمستدام</w:t>
      </w:r>
      <w:r w:rsidRPr="0062340E">
        <w:rPr>
          <w:rFonts w:ascii="Simplified Arabic" w:hAnsi="Simplified Arabic" w:cs="Simplified Arabic" w:hint="cs"/>
          <w:sz w:val="24"/>
          <w:szCs w:val="24"/>
          <w:rtl/>
        </w:rPr>
        <w:t xml:space="preserve">، لكن الاخذ بهذا المبدأ اثناء تخطيط </w:t>
      </w:r>
      <w:r w:rsidR="00911DD1" w:rsidRPr="0062340E">
        <w:rPr>
          <w:rFonts w:ascii="Simplified Arabic" w:hAnsi="Simplified Arabic" w:cs="Simplified Arabic" w:hint="cs"/>
          <w:sz w:val="24"/>
          <w:szCs w:val="24"/>
          <w:rtl/>
        </w:rPr>
        <w:t>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 xml:space="preserve">قطعة الارض غالبا ما يكون نسبيًا، لاختلاف الظروف المكانية من منطقة الى اخرى وحتى من دولة الى اخرى </w:t>
      </w:r>
      <w:r w:rsidRPr="0062340E">
        <w:rPr>
          <w:rFonts w:ascii="Simplified Arabic" w:hAnsi="Simplified Arabic" w:cs="Simplified Arabic"/>
          <w:sz w:val="24"/>
          <w:szCs w:val="24"/>
          <w:rtl/>
        </w:rPr>
        <w:t>(</w:t>
      </w:r>
      <w:r w:rsidR="00800B70" w:rsidRPr="0062340E">
        <w:rPr>
          <w:rFonts w:ascii="Simplified Arabic" w:hAnsi="Simplified Arabic" w:cs="Simplified Arabic" w:hint="cs"/>
          <w:sz w:val="24"/>
          <w:szCs w:val="24"/>
          <w:rtl/>
        </w:rPr>
        <w:t>غنيم عثمان محمد</w:t>
      </w:r>
      <w:r w:rsidRPr="0062340E">
        <w:rPr>
          <w:rFonts w:ascii="Simplified Arabic" w:hAnsi="Simplified Arabic" w:cs="Simplified Arabic"/>
          <w:sz w:val="24"/>
          <w:szCs w:val="24"/>
          <w:rtl/>
        </w:rPr>
        <w:t>، 2001)</w:t>
      </w:r>
      <w:r w:rsidRPr="0062340E">
        <w:rPr>
          <w:rFonts w:ascii="Simplified Arabic" w:hAnsi="Simplified Arabic" w:cs="Simplified Arabic" w:hint="cs"/>
          <w:sz w:val="24"/>
          <w:szCs w:val="24"/>
          <w:rtl/>
        </w:rPr>
        <w:t>.</w:t>
      </w:r>
    </w:p>
    <w:p w:rsidR="009F50D2" w:rsidRPr="0062340E" w:rsidRDefault="009F50D2" w:rsidP="001D0548">
      <w:pPr>
        <w:pStyle w:val="Paragraphedeliste"/>
        <w:numPr>
          <w:ilvl w:val="0"/>
          <w:numId w:val="17"/>
        </w:numPr>
        <w:tabs>
          <w:tab w:val="right" w:pos="992"/>
        </w:tabs>
        <w:autoSpaceDE w:val="0"/>
        <w:autoSpaceDN w:val="0"/>
        <w:bidi/>
        <w:adjustRightInd w:val="0"/>
        <w:spacing w:after="0"/>
        <w:jc w:val="both"/>
        <w:rPr>
          <w:rFonts w:ascii="Simplified Arabic" w:hAnsi="Simplified Arabic" w:cs="Simplified Arabic"/>
          <w:b/>
          <w:bCs/>
          <w:vanish/>
          <w:sz w:val="24"/>
          <w:szCs w:val="24"/>
          <w:rtl/>
        </w:rPr>
      </w:pPr>
    </w:p>
    <w:p w:rsidR="009F50D2" w:rsidRPr="0062340E" w:rsidRDefault="009F50D2" w:rsidP="001D0548">
      <w:pPr>
        <w:pStyle w:val="Paragraphedeliste"/>
        <w:numPr>
          <w:ilvl w:val="1"/>
          <w:numId w:val="17"/>
        </w:numPr>
        <w:tabs>
          <w:tab w:val="right" w:pos="992"/>
        </w:tabs>
        <w:autoSpaceDE w:val="0"/>
        <w:autoSpaceDN w:val="0"/>
        <w:bidi/>
        <w:adjustRightInd w:val="0"/>
        <w:spacing w:after="0"/>
        <w:jc w:val="both"/>
        <w:rPr>
          <w:rFonts w:ascii="Simplified Arabic" w:hAnsi="Simplified Arabic" w:cs="Simplified Arabic"/>
          <w:b/>
          <w:bCs/>
          <w:vanish/>
          <w:sz w:val="24"/>
          <w:szCs w:val="24"/>
          <w:rtl/>
        </w:rPr>
      </w:pPr>
    </w:p>
    <w:p w:rsidR="009F50D2" w:rsidRPr="0062340E" w:rsidRDefault="009F50D2" w:rsidP="001D0548">
      <w:pPr>
        <w:pStyle w:val="Paragraphedeliste"/>
        <w:numPr>
          <w:ilvl w:val="1"/>
          <w:numId w:val="17"/>
        </w:numPr>
        <w:tabs>
          <w:tab w:val="right" w:pos="992"/>
        </w:tabs>
        <w:autoSpaceDE w:val="0"/>
        <w:autoSpaceDN w:val="0"/>
        <w:bidi/>
        <w:adjustRightInd w:val="0"/>
        <w:spacing w:after="0"/>
        <w:jc w:val="both"/>
        <w:rPr>
          <w:rFonts w:ascii="Simplified Arabic" w:hAnsi="Simplified Arabic" w:cs="Simplified Arabic"/>
          <w:b/>
          <w:bCs/>
          <w:vanish/>
          <w:sz w:val="24"/>
          <w:szCs w:val="24"/>
          <w:rtl/>
        </w:rPr>
      </w:pPr>
    </w:p>
    <w:p w:rsidR="009F50D2" w:rsidRPr="0062340E" w:rsidRDefault="009F50D2" w:rsidP="001D0548">
      <w:pPr>
        <w:pStyle w:val="Paragraphedeliste"/>
        <w:numPr>
          <w:ilvl w:val="2"/>
          <w:numId w:val="17"/>
        </w:numPr>
        <w:tabs>
          <w:tab w:val="right" w:pos="992"/>
        </w:tabs>
        <w:autoSpaceDE w:val="0"/>
        <w:autoSpaceDN w:val="0"/>
        <w:bidi/>
        <w:adjustRightInd w:val="0"/>
        <w:spacing w:after="0"/>
        <w:jc w:val="both"/>
        <w:rPr>
          <w:rFonts w:ascii="Simplified Arabic" w:hAnsi="Simplified Arabic" w:cs="Simplified Arabic"/>
          <w:b/>
          <w:bCs/>
          <w:vanish/>
          <w:sz w:val="24"/>
          <w:szCs w:val="24"/>
          <w:rtl/>
        </w:rPr>
      </w:pPr>
    </w:p>
    <w:p w:rsidR="00A903CE" w:rsidRPr="0062340E" w:rsidRDefault="004C2FDB" w:rsidP="004D4F07">
      <w:pPr>
        <w:pStyle w:val="Paragraphedeliste"/>
        <w:numPr>
          <w:ilvl w:val="3"/>
          <w:numId w:val="269"/>
        </w:numPr>
        <w:tabs>
          <w:tab w:val="right" w:pos="1134"/>
        </w:tabs>
        <w:autoSpaceDE w:val="0"/>
        <w:autoSpaceDN w:val="0"/>
        <w:bidi/>
        <w:adjustRightInd w:val="0"/>
        <w:spacing w:after="0"/>
        <w:ind w:left="0" w:firstLine="0"/>
        <w:jc w:val="both"/>
        <w:outlineLvl w:val="2"/>
        <w:rPr>
          <w:rFonts w:ascii="Simplified Arabic" w:hAnsi="Simplified Arabic" w:cs="Simplified Arabic"/>
          <w:b/>
          <w:bCs/>
          <w:sz w:val="24"/>
          <w:szCs w:val="24"/>
        </w:rPr>
      </w:pPr>
      <w:bookmarkStart w:id="105" w:name="_Toc171803336"/>
      <w:r w:rsidRPr="0062340E">
        <w:rPr>
          <w:rFonts w:ascii="Simplified Arabic" w:hAnsi="Simplified Arabic" w:cs="Simplified Arabic" w:hint="cs"/>
          <w:b/>
          <w:bCs/>
          <w:sz w:val="24"/>
          <w:szCs w:val="24"/>
          <w:rtl/>
        </w:rPr>
        <w:t xml:space="preserve">مبدأ </w:t>
      </w:r>
      <w:r w:rsidR="00A903CE" w:rsidRPr="0062340E">
        <w:rPr>
          <w:rFonts w:ascii="Simplified Arabic" w:hAnsi="Simplified Arabic" w:cs="Simplified Arabic" w:hint="cs"/>
          <w:b/>
          <w:bCs/>
          <w:sz w:val="24"/>
          <w:szCs w:val="24"/>
          <w:rtl/>
        </w:rPr>
        <w:t>تعدد</w:t>
      </w:r>
      <w:r w:rsidR="00A903CE" w:rsidRPr="0062340E">
        <w:rPr>
          <w:rFonts w:ascii="Simplified Arabic" w:hAnsi="Simplified Arabic" w:cs="Simplified Arabic"/>
          <w:b/>
          <w:bCs/>
          <w:sz w:val="24"/>
          <w:szCs w:val="24"/>
        </w:rPr>
        <w:t xml:space="preserve"> </w:t>
      </w:r>
      <w:r w:rsidR="00911DD1" w:rsidRPr="0062340E">
        <w:rPr>
          <w:rFonts w:ascii="Simplified Arabic" w:hAnsi="Simplified Arabic" w:cs="Simplified Arabic" w:hint="cs"/>
          <w:b/>
          <w:bCs/>
          <w:sz w:val="24"/>
          <w:szCs w:val="24"/>
          <w:rtl/>
        </w:rPr>
        <w:t>الاستعمالات</w:t>
      </w:r>
      <w:bookmarkEnd w:id="105"/>
    </w:p>
    <w:p w:rsidR="00A903CE" w:rsidRPr="0062340E" w:rsidRDefault="00A903CE" w:rsidP="00217E96">
      <w:pPr>
        <w:tabs>
          <w:tab w:val="right" w:pos="282"/>
          <w:tab w:val="right" w:pos="566"/>
        </w:tabs>
        <w:autoSpaceDE w:val="0"/>
        <w:autoSpaceDN w:val="0"/>
        <w:bidi/>
        <w:adjustRightInd w:val="0"/>
        <w:spacing w:after="0"/>
        <w:ind w:left="-1" w:firstLine="283"/>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rPr>
        <w:t>يعد</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الاستعمال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المتعدد للأرض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مكونًا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أساسيًا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وأداة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للتخطيط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المعاصر </w:t>
      </w:r>
      <w:r w:rsidRPr="0062340E">
        <w:rPr>
          <w:rFonts w:asciiTheme="majorBidi" w:hAnsiTheme="majorBidi" w:cstheme="majorBidi"/>
          <w:sz w:val="24"/>
          <w:szCs w:val="24"/>
          <w:rtl/>
        </w:rPr>
        <w:t>(</w:t>
      </w:r>
      <w:r w:rsidRPr="0062340E">
        <w:rPr>
          <w:rFonts w:asciiTheme="majorBidi" w:hAnsiTheme="majorBidi" w:cstheme="majorBidi"/>
          <w:sz w:val="24"/>
          <w:szCs w:val="24"/>
        </w:rPr>
        <w:t>Hirt, 2016</w:t>
      </w:r>
      <w:r w:rsidRPr="0062340E">
        <w:rPr>
          <w:rFonts w:asciiTheme="majorBidi" w:hAnsiTheme="majorBidi" w:cstheme="majorBidi"/>
          <w:sz w:val="24"/>
          <w:szCs w:val="24"/>
          <w:rtl/>
        </w:rPr>
        <w:t>)</w:t>
      </w:r>
      <w:r w:rsidRPr="0062340E">
        <w:rPr>
          <w:rFonts w:ascii="Simplified Arabic" w:hAnsi="Simplified Arabic" w:cs="Simplified Arabic" w:hint="cs"/>
          <w:sz w:val="24"/>
          <w:szCs w:val="24"/>
          <w:rtl/>
        </w:rPr>
        <w:t xml:space="preserve">. يقوم اساس هذا المبدأ على تشجيع </w:t>
      </w:r>
      <w:r w:rsidRPr="0062340E">
        <w:rPr>
          <w:rFonts w:ascii="Simplified Arabic" w:hAnsi="Simplified Arabic" w:cs="Simplified Arabic"/>
          <w:sz w:val="24"/>
          <w:szCs w:val="24"/>
          <w:rtl/>
        </w:rPr>
        <w:t>تعدد</w:t>
      </w:r>
      <w:r w:rsidRPr="0062340E">
        <w:rPr>
          <w:rFonts w:ascii="Simplified Arabic" w:hAnsi="Simplified Arabic" w:cs="Simplified Arabic"/>
          <w:sz w:val="24"/>
          <w:szCs w:val="24"/>
        </w:rPr>
        <w:t xml:space="preserve"> </w:t>
      </w:r>
      <w:r w:rsidR="00911DD1" w:rsidRPr="0062340E">
        <w:rPr>
          <w:rFonts w:ascii="Simplified Arabic" w:hAnsi="Simplified Arabic" w:cs="Simplified Arabic" w:hint="cs"/>
          <w:sz w:val="24"/>
          <w:szCs w:val="24"/>
          <w:rtl/>
        </w:rPr>
        <w:t>استعمال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قطعة</w:t>
      </w:r>
      <w:r w:rsidRPr="0062340E">
        <w:rPr>
          <w:rFonts w:ascii="Simplified Arabic" w:hAnsi="Simplified Arabic" w:cs="Simplified Arabic" w:hint="cs"/>
          <w:sz w:val="24"/>
          <w:szCs w:val="24"/>
          <w:rtl/>
        </w:rPr>
        <w:t xml:space="preserve"> الارض </w:t>
      </w:r>
      <w:r w:rsidRPr="0062340E">
        <w:rPr>
          <w:rFonts w:ascii="Simplified Arabic" w:hAnsi="Simplified Arabic" w:cs="Simplified Arabic"/>
          <w:sz w:val="24"/>
          <w:szCs w:val="24"/>
          <w:rtl/>
        </w:rPr>
        <w:t>الواحدة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حينما تكون المساحات محدودة، يشير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تعدد </w:t>
      </w:r>
      <w:r w:rsidR="00911DD1" w:rsidRPr="0062340E">
        <w:rPr>
          <w:rFonts w:ascii="Simplified Arabic" w:hAnsi="Simplified Arabic" w:cs="Simplified Arabic" w:hint="cs"/>
          <w:sz w:val="24"/>
          <w:szCs w:val="24"/>
          <w:rtl/>
        </w:rPr>
        <w:t>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المباني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المشتركة،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 خلال الجمع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الرأسي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والأفقي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والزمني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لمختلف</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استعمالات</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المترابطة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وظيفيًا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وشكلًا،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هو</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مبين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lastRenderedPageBreak/>
        <w:t>الشكل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w:t>
      </w:r>
      <w:r w:rsidR="0085017B" w:rsidRPr="0062340E">
        <w:rPr>
          <w:rFonts w:ascii="Simplified Arabic" w:hAnsi="Simplified Arabic" w:cs="Simplified Arabic" w:hint="cs"/>
          <w:sz w:val="24"/>
          <w:szCs w:val="24"/>
          <w:rtl/>
        </w:rPr>
        <w:t>1-3</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Pr>
        <w:t>.</w:t>
      </w:r>
      <w:r w:rsidRPr="0062340E">
        <w:rPr>
          <w:rFonts w:ascii="Simplified Arabic" w:hAnsi="Simplified Arabic" w:cs="Simplified Arabic" w:hint="cs"/>
          <w:sz w:val="24"/>
          <w:szCs w:val="24"/>
          <w:rtl/>
        </w:rPr>
        <w:t xml:space="preserve"> هناك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مؤشرات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مختلفة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لقياس</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مدى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تعدد</w:t>
      </w:r>
      <w:r w:rsidRPr="0062340E">
        <w:rPr>
          <w:rFonts w:ascii="Simplified Arabic" w:hAnsi="Simplified Arabic" w:cs="Simplified Arabic"/>
          <w:sz w:val="24"/>
          <w:szCs w:val="24"/>
          <w:rtl/>
        </w:rPr>
        <w:t xml:space="preserve"> </w:t>
      </w:r>
      <w:r w:rsidR="00911DD1" w:rsidRPr="0062340E">
        <w:rPr>
          <w:rFonts w:ascii="Simplified Arabic" w:hAnsi="Simplified Arabic" w:cs="Simplified Arabic" w:hint="cs"/>
          <w:sz w:val="24"/>
          <w:szCs w:val="24"/>
          <w:rtl/>
        </w:rPr>
        <w:t>استعمال</w:t>
      </w:r>
      <w:r w:rsidR="00911DD1" w:rsidRPr="0062340E">
        <w:rPr>
          <w:rFonts w:ascii="Simplified Arabic" w:hAnsi="Simplified Arabic" w:cs="Simplified Arabic" w:hint="cs"/>
          <w:b/>
          <w:bCs/>
          <w:sz w:val="24"/>
          <w:szCs w:val="24"/>
          <w:rtl/>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سبيل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المثال،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قياسه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باستخدام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مقياس</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كثافة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البيع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بالتجزئة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وحصة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الأعمال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والاست</w:t>
      </w:r>
      <w:r w:rsidR="00217E96" w:rsidRPr="0062340E">
        <w:rPr>
          <w:rFonts w:ascii="Simplified Arabic" w:hAnsi="Simplified Arabic" w:cs="Simplified Arabic" w:hint="cs"/>
          <w:sz w:val="24"/>
          <w:szCs w:val="24"/>
          <w:rtl/>
        </w:rPr>
        <w:t>ع</w:t>
      </w:r>
      <w:r w:rsidRPr="0062340E">
        <w:rPr>
          <w:rFonts w:ascii="Simplified Arabic" w:hAnsi="Simplified Arabic" w:cs="Simplified Arabic" w:hint="cs"/>
          <w:sz w:val="24"/>
          <w:szCs w:val="24"/>
          <w:rtl/>
        </w:rPr>
        <w:t>ما</w:t>
      </w:r>
      <w:r w:rsidR="00217E96" w:rsidRPr="0062340E">
        <w:rPr>
          <w:rFonts w:ascii="Simplified Arabic" w:hAnsi="Simplified Arabic" w:cs="Simplified Arabic" w:hint="cs"/>
          <w:sz w:val="24"/>
          <w:szCs w:val="24"/>
          <w:rtl/>
        </w:rPr>
        <w:t>لا</w:t>
      </w:r>
      <w:r w:rsidRPr="0062340E">
        <w:rPr>
          <w:rFonts w:ascii="Simplified Arabic" w:hAnsi="Simplified Arabic" w:cs="Simplified Arabic" w:hint="cs"/>
          <w:sz w:val="24"/>
          <w:szCs w:val="24"/>
          <w:rtl/>
        </w:rPr>
        <w:t>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التجارية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الحي</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Liu et al, 2016</w:t>
      </w:r>
      <w:r w:rsidRPr="0062340E">
        <w:rPr>
          <w:rFonts w:asciiTheme="majorBidi" w:hAnsiTheme="majorBidi" w:cstheme="majorBidi"/>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w:t>
      </w:r>
    </w:p>
    <w:p w:rsidR="00A903CE" w:rsidRPr="0062340E" w:rsidRDefault="00A903CE" w:rsidP="0027496A">
      <w:pPr>
        <w:tabs>
          <w:tab w:val="right" w:pos="282"/>
        </w:tabs>
        <w:autoSpaceDE w:val="0"/>
        <w:autoSpaceDN w:val="0"/>
        <w:bidi/>
        <w:adjustRightInd w:val="0"/>
        <w:spacing w:after="0"/>
        <w:ind w:left="-1" w:firstLine="283"/>
        <w:jc w:val="both"/>
        <w:rPr>
          <w:rFonts w:ascii="Simplified Arabic" w:hAnsi="Simplified Arabic" w:cs="Simplified Arabic"/>
          <w:sz w:val="24"/>
          <w:szCs w:val="24"/>
        </w:rPr>
      </w:pP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المرجح</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تؤثر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التنمية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متعددة</w:t>
      </w:r>
      <w:r w:rsidRPr="0062340E">
        <w:rPr>
          <w:rFonts w:ascii="Simplified Arabic" w:hAnsi="Simplified Arabic" w:cs="Simplified Arabic"/>
          <w:sz w:val="24"/>
          <w:szCs w:val="24"/>
          <w:rtl/>
          <w:lang w:val="en-US"/>
        </w:rPr>
        <w:t xml:space="preserve"> </w:t>
      </w:r>
      <w:r w:rsidR="00217E96" w:rsidRPr="0062340E">
        <w:rPr>
          <w:rFonts w:ascii="Simplified Arabic" w:hAnsi="Simplified Arabic" w:cs="Simplified Arabic" w:hint="cs"/>
          <w:sz w:val="24"/>
          <w:szCs w:val="24"/>
          <w:rtl/>
        </w:rPr>
        <w:t>الاستعمالات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خلال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المسارات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المباشرة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وغير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المباشرة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مباشر،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عكس</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التطورات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ذات</w:t>
      </w:r>
      <w:r w:rsidRPr="0062340E">
        <w:rPr>
          <w:rFonts w:ascii="Simplified Arabic" w:hAnsi="Simplified Arabic" w:cs="Simplified Arabic"/>
          <w:sz w:val="24"/>
          <w:szCs w:val="24"/>
          <w:rtl/>
          <w:lang w:val="en-US"/>
        </w:rPr>
        <w:t xml:space="preserve"> </w:t>
      </w:r>
      <w:r w:rsidR="0027496A" w:rsidRPr="0062340E">
        <w:rPr>
          <w:rFonts w:ascii="Simplified Arabic" w:hAnsi="Simplified Arabic" w:cs="Simplified Arabic" w:hint="cs"/>
          <w:sz w:val="24"/>
          <w:szCs w:val="24"/>
          <w:rtl/>
          <w:lang w:val="en-US"/>
        </w:rPr>
        <w:t>الاستعمال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الفردي،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فإنه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يسمح</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بإدراج</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العديد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المرافق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والتي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يمكن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تسهل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استجابة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أكثر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مواجهة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الأحداث</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السلبية</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غير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مباشر،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يُعتقد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مزيج</w:t>
      </w:r>
      <w:r w:rsidRPr="0062340E">
        <w:rPr>
          <w:rFonts w:ascii="Simplified Arabic" w:hAnsi="Simplified Arabic" w:cs="Simplified Arabic"/>
          <w:sz w:val="24"/>
          <w:szCs w:val="24"/>
          <w:rtl/>
          <w:lang w:val="en-US"/>
        </w:rPr>
        <w:t xml:space="preserve"> </w:t>
      </w:r>
      <w:r w:rsidR="00217E96" w:rsidRPr="0062340E">
        <w:rPr>
          <w:rFonts w:ascii="Simplified Arabic" w:hAnsi="Simplified Arabic" w:cs="Simplified Arabic" w:hint="cs"/>
          <w:sz w:val="24"/>
          <w:szCs w:val="24"/>
          <w:rtl/>
        </w:rPr>
        <w:t>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lang w:val="en-US"/>
        </w:rPr>
        <w:t>الأراضي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يعزز</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التفاعلات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الاجتماعية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ورأس</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الاجتماعي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الذي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يمكن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يكون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فعالًا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تحسين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قدرات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الاستيعاب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والتعافي</w:t>
      </w:r>
      <w:r w:rsidRPr="0062340E">
        <w:rPr>
          <w:rFonts w:ascii="Simplified Arabic" w:hAnsi="Simplified Arabic" w:cs="Simplified Arabic"/>
          <w:sz w:val="24"/>
          <w:szCs w:val="24"/>
          <w:rtl/>
          <w:lang w:val="en-US"/>
        </w:rPr>
        <w:t>.</w:t>
      </w:r>
    </w:p>
    <w:p w:rsidR="00A903CE" w:rsidRPr="0062340E" w:rsidRDefault="00A903CE" w:rsidP="00217E96">
      <w:pPr>
        <w:tabs>
          <w:tab w:val="right" w:pos="282"/>
        </w:tabs>
        <w:autoSpaceDE w:val="0"/>
        <w:autoSpaceDN w:val="0"/>
        <w:bidi/>
        <w:adjustRightInd w:val="0"/>
        <w:spacing w:after="0"/>
        <w:ind w:left="-1" w:firstLine="283"/>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rPr>
        <w:t>بذل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المخططون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الحضريون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جهودًا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متزايدة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لتعزيز</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التنمية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متعددة</w:t>
      </w:r>
      <w:r w:rsidRPr="0062340E">
        <w:rPr>
          <w:rFonts w:ascii="Simplified Arabic" w:hAnsi="Simplified Arabic" w:cs="Simplified Arabic"/>
          <w:sz w:val="24"/>
          <w:szCs w:val="24"/>
          <w:rtl/>
        </w:rPr>
        <w:t xml:space="preserve"> </w:t>
      </w:r>
      <w:r w:rsidR="00217E96" w:rsidRPr="0062340E">
        <w:rPr>
          <w:rFonts w:ascii="Simplified Arabic" w:hAnsi="Simplified Arabic" w:cs="Simplified Arabic" w:hint="cs"/>
          <w:sz w:val="24"/>
          <w:szCs w:val="24"/>
          <w:rtl/>
        </w:rPr>
        <w:t>الاستعمالات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خلال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آليات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وحركات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مختلفة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مثل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العمران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الجديد،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وتطوير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الأحياء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التقليدية وما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بدلاً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تقسيم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ذات</w:t>
      </w:r>
      <w:r w:rsidRPr="0062340E">
        <w:rPr>
          <w:rFonts w:ascii="Simplified Arabic" w:hAnsi="Simplified Arabic" w:cs="Simplified Arabic"/>
          <w:sz w:val="24"/>
          <w:szCs w:val="24"/>
          <w:rtl/>
        </w:rPr>
        <w:t xml:space="preserve"> </w:t>
      </w:r>
      <w:r w:rsidR="00217E96" w:rsidRPr="0062340E">
        <w:rPr>
          <w:rFonts w:ascii="Simplified Arabic" w:hAnsi="Simplified Arabic" w:cs="Simplified Arabic" w:hint="cs"/>
          <w:sz w:val="24"/>
          <w:szCs w:val="24"/>
          <w:rtl/>
        </w:rPr>
        <w:t>الاستعمال</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الفردي</w:t>
      </w:r>
      <w:r w:rsidRPr="0062340E">
        <w:rPr>
          <w:rFonts w:ascii="Simplified Arabic" w:hAnsi="Simplified Arabic" w:cs="Simplified Arabic" w:hint="cs"/>
          <w:sz w:val="24"/>
          <w:szCs w:val="24"/>
          <w:rtl/>
          <w:lang w:bidi="ar-DZ"/>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Sharifi, 2016</w:t>
      </w:r>
      <w:r w:rsidRPr="0062340E">
        <w:rPr>
          <w:rFonts w:asciiTheme="majorBidi" w:hAnsiTheme="majorBidi" w:cstheme="majorBidi"/>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يذكر ان </w:t>
      </w:r>
      <w:r w:rsidRPr="0062340E">
        <w:rPr>
          <w:rFonts w:ascii="Simplified Arabic" w:hAnsi="Simplified Arabic" w:cs="Simplified Arabic" w:hint="cs"/>
          <w:sz w:val="24"/>
          <w:szCs w:val="24"/>
          <w:rtl/>
          <w:lang w:val="en-US"/>
        </w:rPr>
        <w:t>البناء المتراص 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حد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ذاته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يمكن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يوفر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فوائد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كبيرة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ينبغي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تعزيز</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التراص</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بالاقتران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تدابير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أخرى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مثل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color w:val="000000" w:themeColor="text1"/>
          <w:sz w:val="24"/>
          <w:szCs w:val="24"/>
          <w:rtl/>
          <w:lang w:val="en-US"/>
        </w:rPr>
        <w:t>تعدد</w:t>
      </w:r>
      <w:r w:rsidRPr="0062340E">
        <w:rPr>
          <w:rFonts w:ascii="Simplified Arabic" w:hAnsi="Simplified Arabic" w:cs="Simplified Arabic"/>
          <w:color w:val="000000" w:themeColor="text1"/>
          <w:sz w:val="24"/>
          <w:szCs w:val="24"/>
          <w:rtl/>
          <w:lang w:val="en-US"/>
        </w:rPr>
        <w:t xml:space="preserve"> </w:t>
      </w:r>
      <w:r w:rsidR="00217E96" w:rsidRPr="0062340E">
        <w:rPr>
          <w:rFonts w:ascii="Simplified Arabic" w:hAnsi="Simplified Arabic" w:cs="Simplified Arabic" w:hint="cs"/>
          <w:sz w:val="24"/>
          <w:szCs w:val="24"/>
          <w:rtl/>
        </w:rPr>
        <w:t>الاستعمالات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color w:val="000000" w:themeColor="text1"/>
          <w:sz w:val="24"/>
          <w:szCs w:val="24"/>
          <w:rtl/>
          <w:lang w:val="en-US"/>
        </w:rPr>
        <w:t>الأرض،</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وتحسين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توافر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المرافق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وإمكانية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الوصول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إليها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والمشي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والقرب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العمل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لذلك،</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تعتبر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القيم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الأعلى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 xml:space="preserve">لتعدد </w:t>
      </w:r>
      <w:r w:rsidR="00217E96" w:rsidRPr="0062340E">
        <w:rPr>
          <w:rFonts w:ascii="Simplified Arabic" w:hAnsi="Simplified Arabic" w:cs="Simplified Arabic" w:hint="cs"/>
          <w:sz w:val="24"/>
          <w:szCs w:val="24"/>
          <w:rtl/>
        </w:rPr>
        <w:t>الاستعمالات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color w:val="000000" w:themeColor="text1"/>
          <w:sz w:val="24"/>
          <w:szCs w:val="24"/>
          <w:rtl/>
          <w:lang w:val="en-US"/>
        </w:rPr>
        <w:t>مرغوبة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هذا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sz w:val="24"/>
          <w:szCs w:val="24"/>
          <w:rtl/>
          <w:lang w:val="en-US"/>
        </w:rPr>
        <w:t>البحث</w:t>
      </w:r>
      <w:r w:rsidRPr="0062340E">
        <w:rPr>
          <w:rFonts w:ascii="Simplified Arabic" w:hAnsi="Simplified Arabic" w:cs="Simplified Arabic"/>
          <w:sz w:val="24"/>
          <w:szCs w:val="24"/>
          <w:rtl/>
          <w:lang w:val="en-US"/>
        </w:rPr>
        <w:t>.</w:t>
      </w:r>
    </w:p>
    <w:p w:rsidR="00A903CE" w:rsidRPr="0062340E" w:rsidRDefault="00A903CE" w:rsidP="00D57FDF">
      <w:pPr>
        <w:pStyle w:val="fegure"/>
        <w:spacing w:before="240"/>
        <w:rPr>
          <w:szCs w:val="24"/>
          <w:lang w:bidi="ar-DZ"/>
        </w:rPr>
      </w:pPr>
      <w:bookmarkStart w:id="106" w:name="_Toc157561435"/>
      <w:bookmarkStart w:id="107" w:name="_Toc157562768"/>
      <w:bookmarkStart w:id="108" w:name="_Toc157608264"/>
      <w:bookmarkStart w:id="109" w:name="_Toc171803337"/>
      <w:r w:rsidRPr="0062340E">
        <w:rPr>
          <w:rFonts w:hint="cs"/>
          <w:szCs w:val="24"/>
          <w:rtl/>
          <w:lang w:bidi="ar-DZ"/>
        </w:rPr>
        <w:t>الشكل</w:t>
      </w:r>
      <w:r w:rsidRPr="0062340E">
        <w:rPr>
          <w:szCs w:val="24"/>
          <w:rtl/>
          <w:lang w:bidi="ar-DZ"/>
        </w:rPr>
        <w:t xml:space="preserve"> </w:t>
      </w:r>
      <w:r w:rsidRPr="0062340E">
        <w:rPr>
          <w:rFonts w:hint="cs"/>
          <w:szCs w:val="24"/>
          <w:rtl/>
          <w:lang w:bidi="ar-DZ"/>
        </w:rPr>
        <w:t>(</w:t>
      </w:r>
      <w:r w:rsidR="007C7C95" w:rsidRPr="0062340E">
        <w:rPr>
          <w:rFonts w:hint="cs"/>
          <w:szCs w:val="24"/>
          <w:rtl/>
          <w:lang w:bidi="ar-DZ"/>
        </w:rPr>
        <w:t>1-3</w:t>
      </w:r>
      <w:r w:rsidRPr="0062340E">
        <w:rPr>
          <w:rFonts w:hint="cs"/>
          <w:szCs w:val="24"/>
          <w:rtl/>
          <w:lang w:bidi="ar-DZ"/>
        </w:rPr>
        <w:t>)</w:t>
      </w:r>
      <w:r w:rsidRPr="0062340E">
        <w:rPr>
          <w:szCs w:val="24"/>
          <w:rtl/>
          <w:lang w:bidi="ar-DZ"/>
        </w:rPr>
        <w:t xml:space="preserve">: </w:t>
      </w:r>
      <w:r w:rsidRPr="0062340E">
        <w:rPr>
          <w:rFonts w:hint="cs"/>
          <w:szCs w:val="24"/>
          <w:rtl/>
          <w:lang w:bidi="ar-DZ"/>
        </w:rPr>
        <w:t xml:space="preserve">مختلف ابعاد تعدد </w:t>
      </w:r>
      <w:r w:rsidR="0027496A" w:rsidRPr="0062340E">
        <w:rPr>
          <w:rFonts w:hint="cs"/>
          <w:szCs w:val="24"/>
          <w:rtl/>
        </w:rPr>
        <w:t>استعمال</w:t>
      </w:r>
      <w:r w:rsidRPr="0062340E">
        <w:rPr>
          <w:rFonts w:hint="cs"/>
          <w:szCs w:val="24"/>
          <w:rtl/>
          <w:lang w:bidi="ar-DZ"/>
        </w:rPr>
        <w:t xml:space="preserve"> الارض</w:t>
      </w:r>
      <w:bookmarkEnd w:id="106"/>
      <w:bookmarkEnd w:id="107"/>
      <w:bookmarkEnd w:id="108"/>
      <w:bookmarkEnd w:id="109"/>
    </w:p>
    <w:p w:rsidR="00A903CE" w:rsidRPr="0062340E" w:rsidRDefault="00A903CE" w:rsidP="00B02037">
      <w:pPr>
        <w:tabs>
          <w:tab w:val="right" w:pos="282"/>
        </w:tabs>
        <w:autoSpaceDE w:val="0"/>
        <w:autoSpaceDN w:val="0"/>
        <w:bidi/>
        <w:adjustRightInd w:val="0"/>
        <w:spacing w:after="0" w:line="240" w:lineRule="auto"/>
        <w:ind w:firstLine="282"/>
        <w:jc w:val="center"/>
        <w:rPr>
          <w:rFonts w:ascii="TimesNewRoman" w:hAnsi="TimesNewRoman" w:cs="Times New Roman"/>
          <w:b/>
          <w:bCs/>
          <w:sz w:val="24"/>
          <w:szCs w:val="24"/>
          <w:rtl/>
          <w:lang w:val="en-US"/>
        </w:rPr>
      </w:pPr>
      <w:r w:rsidRPr="0062340E">
        <w:rPr>
          <w:rFonts w:ascii="Simplified Arabic" w:hAnsi="Simplified Arabic" w:cs="Simplified Arabic" w:hint="cs"/>
          <w:b/>
          <w:bCs/>
          <w:sz w:val="24"/>
          <w:szCs w:val="24"/>
          <w:rtl/>
          <w:lang w:bidi="ar-DZ"/>
        </w:rPr>
        <w:t>المصدر</w:t>
      </w:r>
      <w:r w:rsidRPr="0062340E">
        <w:rPr>
          <w:rFonts w:ascii="Simplified Arabic" w:hAnsi="Simplified Arabic" w:cs="Simplified Arabic"/>
          <w:b/>
          <w:bCs/>
          <w:sz w:val="24"/>
          <w:szCs w:val="24"/>
          <w:rtl/>
          <w:lang w:bidi="ar-DZ"/>
        </w:rPr>
        <w:t>:</w:t>
      </w:r>
      <w:r w:rsidRPr="0062340E">
        <w:rPr>
          <w:rFonts w:ascii="TimesNewRoman" w:hAnsi="TimesNewRoman" w:cs="Times New Roman"/>
          <w:b/>
          <w:bCs/>
          <w:sz w:val="24"/>
          <w:szCs w:val="24"/>
          <w:rtl/>
          <w:lang w:val="en-US"/>
        </w:rPr>
        <w:t xml:space="preserve"> </w:t>
      </w:r>
      <w:r w:rsidRPr="0062340E">
        <w:rPr>
          <w:rFonts w:ascii="TimesNewRoman" w:hAnsi="TimesNewRoman" w:cs="TimesNewRoman" w:hint="cs"/>
          <w:b/>
          <w:bCs/>
          <w:sz w:val="24"/>
          <w:szCs w:val="24"/>
          <w:rtl/>
        </w:rPr>
        <w:t>(</w:t>
      </w:r>
      <w:r w:rsidRPr="0062340E">
        <w:rPr>
          <w:rFonts w:asciiTheme="majorBidi" w:hAnsiTheme="majorBidi" w:cstheme="majorBidi"/>
          <w:b/>
          <w:bCs/>
          <w:sz w:val="24"/>
          <w:szCs w:val="24"/>
        </w:rPr>
        <w:t>Dehghani</w:t>
      </w:r>
      <w:r w:rsidR="00B02037" w:rsidRPr="0062340E">
        <w:rPr>
          <w:rFonts w:asciiTheme="majorBidi" w:hAnsiTheme="majorBidi" w:cstheme="majorBidi"/>
          <w:b/>
          <w:bCs/>
          <w:sz w:val="24"/>
          <w:szCs w:val="24"/>
        </w:rPr>
        <w:t xml:space="preserve"> et al., </w:t>
      </w:r>
      <w:r w:rsidRPr="0062340E">
        <w:rPr>
          <w:rFonts w:asciiTheme="majorBidi" w:hAnsiTheme="majorBidi" w:cstheme="majorBidi"/>
          <w:b/>
          <w:bCs/>
          <w:sz w:val="24"/>
          <w:szCs w:val="24"/>
        </w:rPr>
        <w:t>2022</w:t>
      </w:r>
      <w:r w:rsidRPr="0062340E">
        <w:rPr>
          <w:rFonts w:ascii="TimesNewRoman" w:hAnsi="TimesNewRoman" w:cs="TimesNewRoman" w:hint="cs"/>
          <w:b/>
          <w:bCs/>
          <w:sz w:val="24"/>
          <w:szCs w:val="24"/>
          <w:rtl/>
        </w:rPr>
        <w:t>)</w:t>
      </w:r>
    </w:p>
    <w:p w:rsidR="00A903CE" w:rsidRPr="0062340E" w:rsidRDefault="00A903CE" w:rsidP="00A903CE">
      <w:pPr>
        <w:tabs>
          <w:tab w:val="right" w:pos="282"/>
        </w:tabs>
        <w:autoSpaceDE w:val="0"/>
        <w:autoSpaceDN w:val="0"/>
        <w:bidi/>
        <w:adjustRightInd w:val="0"/>
        <w:spacing w:after="0"/>
        <w:ind w:left="-1" w:firstLine="283"/>
        <w:jc w:val="center"/>
        <w:rPr>
          <w:rFonts w:ascii="Simplified Arabic" w:hAnsi="Simplified Arabic" w:cs="Simplified Arabic"/>
          <w:sz w:val="24"/>
          <w:szCs w:val="24"/>
          <w:rtl/>
          <w:lang w:val="en-US"/>
        </w:rPr>
      </w:pPr>
      <w:r w:rsidRPr="0062340E">
        <w:rPr>
          <w:noProof/>
          <w:sz w:val="24"/>
          <w:szCs w:val="24"/>
          <w:lang w:eastAsia="fr-FR"/>
        </w:rPr>
        <w:drawing>
          <wp:inline distT="0" distB="0" distL="0" distR="0" wp14:anchorId="21AAC08F" wp14:editId="2EAA02B2">
            <wp:extent cx="4669193" cy="3037181"/>
            <wp:effectExtent l="19050" t="19050" r="17145" b="11430"/>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28A0092B-C50C-407E-A947-70E740481C1C}">
                          <a14:useLocalDpi xmlns:a14="http://schemas.microsoft.com/office/drawing/2010/main" val="0"/>
                        </a:ext>
                      </a:extLst>
                    </a:blip>
                    <a:stretch>
                      <a:fillRect/>
                    </a:stretch>
                  </pic:blipFill>
                  <pic:spPr>
                    <a:xfrm>
                      <a:off x="0" y="0"/>
                      <a:ext cx="4669193" cy="3037181"/>
                    </a:xfrm>
                    <a:prstGeom prst="rect">
                      <a:avLst/>
                    </a:prstGeom>
                    <a:ln>
                      <a:solidFill>
                        <a:schemeClr val="tx1"/>
                      </a:solidFill>
                    </a:ln>
                  </pic:spPr>
                </pic:pic>
              </a:graphicData>
            </a:graphic>
          </wp:inline>
        </w:drawing>
      </w:r>
    </w:p>
    <w:p w:rsidR="00A903CE" w:rsidRPr="0062340E" w:rsidRDefault="00A903CE" w:rsidP="004D4F07">
      <w:pPr>
        <w:pStyle w:val="Paragraphedeliste"/>
        <w:numPr>
          <w:ilvl w:val="2"/>
          <w:numId w:val="98"/>
        </w:numPr>
        <w:tabs>
          <w:tab w:val="right" w:pos="850"/>
        </w:tabs>
        <w:autoSpaceDE w:val="0"/>
        <w:autoSpaceDN w:val="0"/>
        <w:bidi/>
        <w:adjustRightInd w:val="0"/>
        <w:spacing w:before="240" w:after="0"/>
        <w:ind w:left="0" w:firstLine="0"/>
        <w:outlineLvl w:val="1"/>
        <w:rPr>
          <w:rFonts w:ascii="Simplified Arabic" w:hAnsi="Simplified Arabic" w:cs="Simplified Arabic"/>
          <w:b/>
          <w:bCs/>
          <w:color w:val="262626"/>
          <w:sz w:val="24"/>
          <w:szCs w:val="24"/>
          <w:rtl/>
          <w:lang w:val="en-US"/>
        </w:rPr>
      </w:pPr>
      <w:bookmarkStart w:id="110" w:name="_Toc171803338"/>
      <w:r w:rsidRPr="0062340E">
        <w:rPr>
          <w:rFonts w:ascii="Simplified Arabic" w:hAnsi="Simplified Arabic" w:cs="Simplified Arabic"/>
          <w:b/>
          <w:bCs/>
          <w:color w:val="262626"/>
          <w:sz w:val="24"/>
          <w:szCs w:val="24"/>
          <w:rtl/>
          <w:lang w:val="en-US"/>
        </w:rPr>
        <w:t>العوامل</w:t>
      </w:r>
      <w:r w:rsidRPr="0062340E">
        <w:rPr>
          <w:rFonts w:ascii="Simplified Arabic" w:hAnsi="Simplified Arabic" w:cs="Simplified Arabic"/>
          <w:b/>
          <w:bCs/>
          <w:color w:val="262626"/>
          <w:sz w:val="24"/>
          <w:szCs w:val="24"/>
          <w:lang w:val="en-US"/>
        </w:rPr>
        <w:t xml:space="preserve"> </w:t>
      </w:r>
      <w:r w:rsidRPr="0062340E">
        <w:rPr>
          <w:rFonts w:ascii="Simplified Arabic" w:hAnsi="Simplified Arabic" w:cs="Simplified Arabic"/>
          <w:b/>
          <w:bCs/>
          <w:color w:val="262626"/>
          <w:sz w:val="24"/>
          <w:szCs w:val="24"/>
          <w:rtl/>
          <w:lang w:val="en-US"/>
        </w:rPr>
        <w:t>المؤثرة</w:t>
      </w:r>
      <w:r w:rsidRPr="0062340E">
        <w:rPr>
          <w:rFonts w:ascii="Simplified Arabic" w:hAnsi="Simplified Arabic" w:cs="Simplified Arabic"/>
          <w:b/>
          <w:bCs/>
          <w:color w:val="262626"/>
          <w:sz w:val="24"/>
          <w:szCs w:val="24"/>
          <w:lang w:val="en-US"/>
        </w:rPr>
        <w:t xml:space="preserve"> </w:t>
      </w:r>
      <w:r w:rsidRPr="0062340E">
        <w:rPr>
          <w:rFonts w:ascii="Simplified Arabic" w:hAnsi="Simplified Arabic" w:cs="Simplified Arabic"/>
          <w:b/>
          <w:bCs/>
          <w:color w:val="262626"/>
          <w:sz w:val="24"/>
          <w:szCs w:val="24"/>
          <w:rtl/>
          <w:lang w:val="en-US"/>
        </w:rPr>
        <w:t>في</w:t>
      </w:r>
      <w:r w:rsidRPr="0062340E">
        <w:rPr>
          <w:rFonts w:ascii="Simplified Arabic" w:hAnsi="Simplified Arabic" w:cs="Simplified Arabic" w:hint="cs"/>
          <w:b/>
          <w:bCs/>
          <w:color w:val="262626"/>
          <w:sz w:val="24"/>
          <w:szCs w:val="24"/>
          <w:rtl/>
          <w:lang w:val="en-US"/>
        </w:rPr>
        <w:t xml:space="preserve"> </w:t>
      </w:r>
      <w:r w:rsidR="00217E96" w:rsidRPr="0062340E">
        <w:rPr>
          <w:rFonts w:ascii="Simplified Arabic" w:hAnsi="Simplified Arabic" w:cs="Simplified Arabic" w:hint="cs"/>
          <w:b/>
          <w:bCs/>
          <w:sz w:val="24"/>
          <w:szCs w:val="24"/>
          <w:rtl/>
        </w:rPr>
        <w:t>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b/>
          <w:bCs/>
          <w:color w:val="262626"/>
          <w:sz w:val="24"/>
          <w:szCs w:val="24"/>
          <w:rtl/>
          <w:lang w:val="en-US"/>
        </w:rPr>
        <w:t>الأرض</w:t>
      </w:r>
      <w:bookmarkEnd w:id="110"/>
    </w:p>
    <w:p w:rsidR="00A903CE" w:rsidRPr="0062340E" w:rsidRDefault="00A903CE" w:rsidP="00217E96">
      <w:pPr>
        <w:tabs>
          <w:tab w:val="right" w:pos="282"/>
        </w:tabs>
        <w:autoSpaceDE w:val="0"/>
        <w:autoSpaceDN w:val="0"/>
        <w:bidi/>
        <w:adjustRightInd w:val="0"/>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الكثير من الابحاث اثبتت تكامل مفهوم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الارض مع المفاهيم الاجتماعية والاقتصادية والسياسية و غيرها من المفاهيم التي يمكن ان تؤثر في كيفية </w:t>
      </w:r>
      <w:r w:rsidR="00217E96" w:rsidRPr="0062340E">
        <w:rPr>
          <w:rFonts w:ascii="Simplified Arabic" w:hAnsi="Simplified Arabic" w:cs="Simplified Arabic" w:hint="cs"/>
          <w:sz w:val="24"/>
          <w:szCs w:val="24"/>
          <w:rtl/>
        </w:rPr>
        <w:t>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sz w:val="24"/>
          <w:szCs w:val="24"/>
          <w:rtl/>
        </w:rPr>
        <w:t>الأرض</w:t>
      </w:r>
      <w:r w:rsidRPr="0062340E">
        <w:rPr>
          <w:rFonts w:ascii="Simplified Arabic" w:hAnsi="Simplified Arabic" w:cs="Simplified Arabic" w:hint="cs"/>
          <w:sz w:val="24"/>
          <w:szCs w:val="24"/>
          <w:rtl/>
        </w:rPr>
        <w:t>. لكن 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تقدم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تغير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المناخ،</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بدأت معظم دول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العالم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تدرك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الحاجة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الأساسية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للتخطيط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الموجه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نحو</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وفق</w:t>
      </w:r>
      <w:r w:rsidRPr="0062340E">
        <w:rPr>
          <w:rFonts w:ascii="Simplified Arabic" w:hAnsi="Simplified Arabic" w:cs="Simplified Arabic"/>
          <w:sz w:val="24"/>
          <w:szCs w:val="24"/>
          <w:rtl/>
        </w:rPr>
        <w:t xml:space="preserve"> (</w:t>
      </w:r>
      <w:r w:rsidR="00800B70" w:rsidRPr="0062340E">
        <w:rPr>
          <w:rFonts w:ascii="Simplified Arabic" w:hAnsi="Simplified Arabic" w:cs="Simplified Arabic" w:hint="cs"/>
          <w:sz w:val="24"/>
          <w:szCs w:val="24"/>
          <w:rtl/>
        </w:rPr>
        <w:t>غنيم عثمان محمد</w:t>
      </w:r>
      <w:r w:rsidRPr="0062340E">
        <w:rPr>
          <w:rFonts w:ascii="Simplified Arabic" w:hAnsi="Simplified Arabic" w:cs="Simplified Arabic"/>
          <w:sz w:val="24"/>
          <w:szCs w:val="24"/>
          <w:rtl/>
        </w:rPr>
        <w:t xml:space="preserve">، 2001)، </w:t>
      </w:r>
      <w:r w:rsidRPr="0062340E">
        <w:rPr>
          <w:rFonts w:ascii="Simplified Arabic" w:hAnsi="Simplified Arabic" w:cs="Simplified Arabic" w:hint="cs"/>
          <w:sz w:val="24"/>
          <w:szCs w:val="24"/>
          <w:rtl/>
        </w:rPr>
        <w:t xml:space="preserve">تطبيق المبدأين المذكورين في الفقرة السابقة غالبا ما يكون نسبيًا، لاختلاف الظروف المكانية من منطقة لأخرى، ولان هناك </w:t>
      </w:r>
      <w:r w:rsidRPr="0062340E">
        <w:rPr>
          <w:rFonts w:ascii="Simplified Arabic" w:hAnsi="Simplified Arabic" w:cs="Simplified Arabic"/>
          <w:sz w:val="24"/>
          <w:szCs w:val="24"/>
          <w:rtl/>
        </w:rPr>
        <w:t>عوامل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تتحكم</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hint="cs"/>
          <w:sz w:val="24"/>
          <w:szCs w:val="24"/>
          <w:rtl/>
        </w:rPr>
        <w:t xml:space="preserve"> </w:t>
      </w:r>
      <w:r w:rsidR="00217E96" w:rsidRPr="0062340E">
        <w:rPr>
          <w:rFonts w:ascii="Simplified Arabic" w:hAnsi="Simplified Arabic" w:cs="Simplified Arabic" w:hint="cs"/>
          <w:sz w:val="24"/>
          <w:szCs w:val="24"/>
          <w:rtl/>
        </w:rPr>
        <w:t>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الارض و</w:t>
      </w:r>
      <w:r w:rsidRPr="0062340E">
        <w:rPr>
          <w:rFonts w:ascii="Simplified Arabic" w:hAnsi="Simplified Arabic" w:cs="Simplified Arabic"/>
          <w:sz w:val="24"/>
          <w:szCs w:val="24"/>
          <w:rtl/>
        </w:rPr>
        <w:t>تؤثر</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توزيعها</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وأهمها</w:t>
      </w:r>
      <w:r w:rsidRPr="0062340E">
        <w:rPr>
          <w:rFonts w:ascii="Simplified Arabic" w:hAnsi="Simplified Arabic" w:cs="Simplified Arabic" w:hint="cs"/>
          <w:sz w:val="24"/>
          <w:szCs w:val="24"/>
          <w:rtl/>
        </w:rPr>
        <w:t>، الشكل (</w:t>
      </w:r>
      <w:r w:rsidR="0085017B" w:rsidRPr="0062340E">
        <w:rPr>
          <w:rFonts w:ascii="Simplified Arabic" w:hAnsi="Simplified Arabic" w:cs="Simplified Arabic" w:hint="cs"/>
          <w:sz w:val="24"/>
          <w:szCs w:val="24"/>
          <w:rtl/>
        </w:rPr>
        <w:t>1-4</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w:t>
      </w:r>
    </w:p>
    <w:p w:rsidR="00A903CE" w:rsidRPr="0062340E" w:rsidRDefault="00A903CE" w:rsidP="00D57FDF">
      <w:pPr>
        <w:pStyle w:val="Paragraphedeliste"/>
        <w:numPr>
          <w:ilvl w:val="3"/>
          <w:numId w:val="87"/>
        </w:numPr>
        <w:tabs>
          <w:tab w:val="right" w:pos="990"/>
        </w:tabs>
        <w:autoSpaceDE w:val="0"/>
        <w:autoSpaceDN w:val="0"/>
        <w:bidi/>
        <w:adjustRightInd w:val="0"/>
        <w:spacing w:after="0"/>
        <w:ind w:left="0" w:firstLine="0"/>
        <w:jc w:val="both"/>
        <w:outlineLvl w:val="2"/>
        <w:rPr>
          <w:rFonts w:ascii="Simplified Arabic" w:hAnsi="Simplified Arabic" w:cs="Simplified Arabic"/>
          <w:sz w:val="24"/>
          <w:szCs w:val="24"/>
          <w:rtl/>
        </w:rPr>
      </w:pPr>
      <w:bookmarkStart w:id="111" w:name="_Toc171803339"/>
      <w:r w:rsidRPr="0062340E">
        <w:rPr>
          <w:rFonts w:ascii="Simplified Arabic" w:hAnsi="Simplified Arabic" w:cs="Simplified Arabic" w:hint="cs"/>
          <w:b/>
          <w:bCs/>
          <w:sz w:val="24"/>
          <w:szCs w:val="24"/>
          <w:rtl/>
        </w:rPr>
        <w:lastRenderedPageBreak/>
        <w:t>عوامل</w:t>
      </w:r>
      <w:r w:rsidRPr="0062340E">
        <w:rPr>
          <w:rFonts w:ascii="Simplified Arabic" w:hAnsi="Simplified Arabic" w:cs="Simplified Arabic"/>
          <w:b/>
          <w:bCs/>
          <w:sz w:val="24"/>
          <w:szCs w:val="24"/>
        </w:rPr>
        <w:t xml:space="preserve"> </w:t>
      </w:r>
      <w:r w:rsidRPr="0062340E">
        <w:rPr>
          <w:rFonts w:ascii="Simplified Arabic" w:hAnsi="Simplified Arabic" w:cs="Simplified Arabic" w:hint="cs"/>
          <w:b/>
          <w:bCs/>
          <w:sz w:val="24"/>
          <w:szCs w:val="24"/>
          <w:rtl/>
        </w:rPr>
        <w:t xml:space="preserve">طبوغرافية: </w:t>
      </w:r>
      <w:r w:rsidRPr="0062340E">
        <w:rPr>
          <w:rFonts w:ascii="Simplified Arabic" w:hAnsi="Simplified Arabic" w:cs="Simplified Arabic"/>
          <w:sz w:val="24"/>
          <w:szCs w:val="24"/>
          <w:rtl/>
        </w:rPr>
        <w:t>يؤثر</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الموقع</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توزيع</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الأراضي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حيث</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ميل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الأنشطة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الحضرية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لتكون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المناطق</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السهل</w:t>
      </w:r>
      <w:r w:rsidRPr="0062340E">
        <w:rPr>
          <w:rFonts w:ascii="Simplified Arabic" w:hAnsi="Simplified Arabic" w:cs="Simplified Arabic" w:hint="cs"/>
          <w:sz w:val="24"/>
          <w:szCs w:val="24"/>
          <w:rtl/>
        </w:rPr>
        <w:t>ية، يلاحظ ميول الانسان للسكن في المناطق السهلية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والقريبة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طرق</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النقل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وهذا</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يؤثر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بدوره</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أشكال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نمو</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المدن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بما</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يتناسب</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وخطوط</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المواصلات</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المرتبطة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بمركزها</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الحضري،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ومدى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قدرة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التربة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على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تحملها</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للمباني</w:t>
      </w:r>
      <w:r w:rsidRPr="0062340E">
        <w:rPr>
          <w:rFonts w:ascii="Simplified Arabic" w:hAnsi="Simplified Arabic" w:cs="Simplified Arabic"/>
          <w:sz w:val="24"/>
          <w:szCs w:val="24"/>
        </w:rPr>
        <w:t>.</w:t>
      </w:r>
      <w:bookmarkEnd w:id="111"/>
    </w:p>
    <w:p w:rsidR="002B4162" w:rsidRPr="0062340E" w:rsidRDefault="002B4162" w:rsidP="001D0548">
      <w:pPr>
        <w:pStyle w:val="Paragraphedeliste"/>
        <w:numPr>
          <w:ilvl w:val="0"/>
          <w:numId w:val="76"/>
        </w:numPr>
        <w:tabs>
          <w:tab w:val="right" w:pos="992"/>
        </w:tabs>
        <w:autoSpaceDE w:val="0"/>
        <w:autoSpaceDN w:val="0"/>
        <w:bidi/>
        <w:adjustRightInd w:val="0"/>
        <w:spacing w:after="0"/>
        <w:jc w:val="both"/>
        <w:outlineLvl w:val="2"/>
        <w:rPr>
          <w:rFonts w:ascii="Simplified Arabic" w:hAnsi="Simplified Arabic" w:cs="Simplified Arabic"/>
          <w:b/>
          <w:bCs/>
          <w:vanish/>
          <w:sz w:val="24"/>
          <w:szCs w:val="24"/>
          <w:rtl/>
        </w:rPr>
      </w:pPr>
      <w:bookmarkStart w:id="112" w:name="_Toc157296132"/>
      <w:bookmarkStart w:id="113" w:name="_Toc157328700"/>
      <w:bookmarkStart w:id="114" w:name="_Toc171803340"/>
      <w:bookmarkEnd w:id="112"/>
      <w:bookmarkEnd w:id="113"/>
      <w:bookmarkEnd w:id="114"/>
    </w:p>
    <w:p w:rsidR="002B4162" w:rsidRPr="0062340E" w:rsidRDefault="002B4162" w:rsidP="001D0548">
      <w:pPr>
        <w:pStyle w:val="Paragraphedeliste"/>
        <w:numPr>
          <w:ilvl w:val="1"/>
          <w:numId w:val="76"/>
        </w:numPr>
        <w:tabs>
          <w:tab w:val="right" w:pos="992"/>
        </w:tabs>
        <w:autoSpaceDE w:val="0"/>
        <w:autoSpaceDN w:val="0"/>
        <w:bidi/>
        <w:adjustRightInd w:val="0"/>
        <w:spacing w:after="0"/>
        <w:jc w:val="both"/>
        <w:outlineLvl w:val="2"/>
        <w:rPr>
          <w:rFonts w:ascii="Simplified Arabic" w:hAnsi="Simplified Arabic" w:cs="Simplified Arabic"/>
          <w:b/>
          <w:bCs/>
          <w:vanish/>
          <w:sz w:val="24"/>
          <w:szCs w:val="24"/>
          <w:rtl/>
        </w:rPr>
      </w:pPr>
      <w:bookmarkStart w:id="115" w:name="_Toc157296133"/>
      <w:bookmarkStart w:id="116" w:name="_Toc157328701"/>
      <w:bookmarkStart w:id="117" w:name="_Toc171803341"/>
      <w:bookmarkEnd w:id="115"/>
      <w:bookmarkEnd w:id="116"/>
      <w:bookmarkEnd w:id="117"/>
    </w:p>
    <w:p w:rsidR="002B4162" w:rsidRPr="0062340E" w:rsidRDefault="002B4162" w:rsidP="001D0548">
      <w:pPr>
        <w:pStyle w:val="Paragraphedeliste"/>
        <w:numPr>
          <w:ilvl w:val="1"/>
          <w:numId w:val="76"/>
        </w:numPr>
        <w:tabs>
          <w:tab w:val="right" w:pos="992"/>
        </w:tabs>
        <w:autoSpaceDE w:val="0"/>
        <w:autoSpaceDN w:val="0"/>
        <w:bidi/>
        <w:adjustRightInd w:val="0"/>
        <w:spacing w:after="0"/>
        <w:jc w:val="both"/>
        <w:outlineLvl w:val="2"/>
        <w:rPr>
          <w:rFonts w:ascii="Simplified Arabic" w:hAnsi="Simplified Arabic" w:cs="Simplified Arabic"/>
          <w:b/>
          <w:bCs/>
          <w:vanish/>
          <w:sz w:val="24"/>
          <w:szCs w:val="24"/>
          <w:rtl/>
        </w:rPr>
      </w:pPr>
      <w:bookmarkStart w:id="118" w:name="_Toc157296134"/>
      <w:bookmarkStart w:id="119" w:name="_Toc157328702"/>
      <w:bookmarkStart w:id="120" w:name="_Toc171803342"/>
      <w:bookmarkEnd w:id="118"/>
      <w:bookmarkEnd w:id="119"/>
      <w:bookmarkEnd w:id="120"/>
    </w:p>
    <w:p w:rsidR="002B4162" w:rsidRPr="0062340E" w:rsidRDefault="002B4162" w:rsidP="001D0548">
      <w:pPr>
        <w:pStyle w:val="Paragraphedeliste"/>
        <w:numPr>
          <w:ilvl w:val="2"/>
          <w:numId w:val="76"/>
        </w:numPr>
        <w:tabs>
          <w:tab w:val="right" w:pos="992"/>
        </w:tabs>
        <w:autoSpaceDE w:val="0"/>
        <w:autoSpaceDN w:val="0"/>
        <w:bidi/>
        <w:adjustRightInd w:val="0"/>
        <w:spacing w:after="0"/>
        <w:jc w:val="both"/>
        <w:outlineLvl w:val="2"/>
        <w:rPr>
          <w:rFonts w:ascii="Simplified Arabic" w:hAnsi="Simplified Arabic" w:cs="Simplified Arabic"/>
          <w:b/>
          <w:bCs/>
          <w:vanish/>
          <w:sz w:val="24"/>
          <w:szCs w:val="24"/>
          <w:rtl/>
        </w:rPr>
      </w:pPr>
      <w:bookmarkStart w:id="121" w:name="_Toc157296135"/>
      <w:bookmarkStart w:id="122" w:name="_Toc157328703"/>
      <w:bookmarkStart w:id="123" w:name="_Toc171803343"/>
      <w:bookmarkEnd w:id="121"/>
      <w:bookmarkEnd w:id="122"/>
      <w:bookmarkEnd w:id="123"/>
    </w:p>
    <w:p w:rsidR="00A903CE" w:rsidRPr="0062340E" w:rsidRDefault="00A903CE" w:rsidP="00D57FDF">
      <w:pPr>
        <w:pStyle w:val="Paragraphedeliste"/>
        <w:numPr>
          <w:ilvl w:val="3"/>
          <w:numId w:val="270"/>
        </w:numPr>
        <w:tabs>
          <w:tab w:val="right" w:pos="990"/>
        </w:tabs>
        <w:autoSpaceDE w:val="0"/>
        <w:autoSpaceDN w:val="0"/>
        <w:bidi/>
        <w:adjustRightInd w:val="0"/>
        <w:spacing w:after="0"/>
        <w:ind w:left="0" w:firstLine="0"/>
        <w:jc w:val="both"/>
        <w:outlineLvl w:val="2"/>
        <w:rPr>
          <w:rFonts w:ascii="Simplified Arabic" w:hAnsi="Simplified Arabic" w:cs="Simplified Arabic"/>
          <w:sz w:val="24"/>
          <w:szCs w:val="24"/>
        </w:rPr>
      </w:pPr>
      <w:bookmarkStart w:id="124" w:name="_Toc171803344"/>
      <w:r w:rsidRPr="0062340E">
        <w:rPr>
          <w:rFonts w:ascii="Simplified Arabic" w:hAnsi="Simplified Arabic" w:cs="Simplified Arabic"/>
          <w:b/>
          <w:bCs/>
          <w:sz w:val="24"/>
          <w:szCs w:val="24"/>
          <w:rtl/>
        </w:rPr>
        <w:t>عوامل</w:t>
      </w:r>
      <w:r w:rsidRPr="0062340E">
        <w:rPr>
          <w:rFonts w:ascii="Simplified Arabic" w:hAnsi="Simplified Arabic" w:cs="Simplified Arabic" w:hint="cs"/>
          <w:b/>
          <w:bCs/>
          <w:sz w:val="24"/>
          <w:szCs w:val="24"/>
          <w:rtl/>
        </w:rPr>
        <w:t xml:space="preserve"> النقل والمواصلات: </w:t>
      </w:r>
      <w:r w:rsidRPr="0062340E">
        <w:rPr>
          <w:rFonts w:ascii="Simplified Arabic" w:hAnsi="Simplified Arabic" w:cs="Simplified Arabic"/>
          <w:sz w:val="24"/>
          <w:szCs w:val="24"/>
          <w:rtl/>
        </w:rPr>
        <w:t>تلعب</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 xml:space="preserve">شبكة طرق النقل داخل المناطق الحضرية دورًا مهمًا في تحديد نمط </w:t>
      </w:r>
      <w:r w:rsidR="00217E96" w:rsidRPr="0062340E">
        <w:rPr>
          <w:rFonts w:ascii="Simplified Arabic" w:hAnsi="Simplified Arabic" w:cs="Simplified Arabic" w:hint="cs"/>
          <w:sz w:val="24"/>
          <w:szCs w:val="24"/>
          <w:rtl/>
        </w:rPr>
        <w:t>استعمالات</w:t>
      </w:r>
      <w:r w:rsidRPr="0062340E">
        <w:rPr>
          <w:rFonts w:ascii="Simplified Arabic" w:hAnsi="Simplified Arabic" w:cs="Simplified Arabic" w:hint="cs"/>
          <w:sz w:val="24"/>
          <w:szCs w:val="24"/>
          <w:rtl/>
        </w:rPr>
        <w:t xml:space="preserve"> الارض، حيث تميل معظم </w:t>
      </w:r>
      <w:r w:rsidR="00217E96" w:rsidRPr="0062340E">
        <w:rPr>
          <w:rFonts w:ascii="Simplified Arabic" w:hAnsi="Simplified Arabic" w:cs="Simplified Arabic" w:hint="cs"/>
          <w:sz w:val="24"/>
          <w:szCs w:val="24"/>
          <w:rtl/>
        </w:rPr>
        <w:t>الاستعمالات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بشكل كبير الى الوفرة لشبكة طرق و كفاءة النقل و المواصلات</w:t>
      </w:r>
      <w:r w:rsidRPr="0062340E">
        <w:rPr>
          <w:rFonts w:ascii="Simplified Arabic" w:hAnsi="Simplified Arabic" w:cs="Simplified Arabic"/>
          <w:sz w:val="24"/>
          <w:szCs w:val="24"/>
        </w:rPr>
        <w:t>.</w:t>
      </w:r>
      <w:bookmarkEnd w:id="124"/>
    </w:p>
    <w:p w:rsidR="00A903CE" w:rsidRPr="0062340E" w:rsidRDefault="00A903CE" w:rsidP="00D57FDF">
      <w:pPr>
        <w:pStyle w:val="Paragraphedeliste"/>
        <w:numPr>
          <w:ilvl w:val="3"/>
          <w:numId w:val="197"/>
        </w:numPr>
        <w:tabs>
          <w:tab w:val="right" w:pos="990"/>
        </w:tabs>
        <w:autoSpaceDE w:val="0"/>
        <w:autoSpaceDN w:val="0"/>
        <w:bidi/>
        <w:adjustRightInd w:val="0"/>
        <w:spacing w:after="0"/>
        <w:ind w:left="0" w:firstLine="0"/>
        <w:jc w:val="both"/>
        <w:outlineLvl w:val="2"/>
        <w:rPr>
          <w:rFonts w:ascii="Simplified Arabic" w:hAnsi="Simplified Arabic" w:cs="Simplified Arabic"/>
          <w:sz w:val="24"/>
          <w:szCs w:val="24"/>
        </w:rPr>
      </w:pPr>
      <w:bookmarkStart w:id="125" w:name="_Toc171803345"/>
      <w:r w:rsidRPr="0062340E">
        <w:rPr>
          <w:rFonts w:ascii="Simplified Arabic" w:hAnsi="Simplified Arabic" w:cs="Simplified Arabic"/>
          <w:b/>
          <w:bCs/>
          <w:sz w:val="24"/>
          <w:szCs w:val="24"/>
          <w:rtl/>
        </w:rPr>
        <w:t>عوامل</w:t>
      </w:r>
      <w:r w:rsidRPr="0062340E">
        <w:rPr>
          <w:rFonts w:ascii="Simplified Arabic" w:hAnsi="Simplified Arabic" w:cs="Simplified Arabic" w:hint="cs"/>
          <w:b/>
          <w:bCs/>
          <w:sz w:val="24"/>
          <w:szCs w:val="24"/>
          <w:rtl/>
        </w:rPr>
        <w:t xml:space="preserve"> ا</w:t>
      </w:r>
      <w:r w:rsidRPr="0062340E">
        <w:rPr>
          <w:rFonts w:ascii="Simplified Arabic" w:hAnsi="Simplified Arabic" w:cs="Simplified Arabic"/>
          <w:b/>
          <w:bCs/>
          <w:sz w:val="24"/>
          <w:szCs w:val="24"/>
          <w:rtl/>
        </w:rPr>
        <w:t>قتصادية</w:t>
      </w:r>
      <w:r w:rsidRPr="0062340E">
        <w:rPr>
          <w:rFonts w:ascii="Simplified Arabic" w:hAnsi="Simplified Arabic" w:cs="Simplified Arabic"/>
          <w:sz w:val="24"/>
          <w:szCs w:val="24"/>
        </w:rPr>
        <w:t>:</w:t>
      </w:r>
      <w:r w:rsidRPr="0062340E">
        <w:rPr>
          <w:rFonts w:ascii="Simplified Arabic" w:hAnsi="Simplified Arabic" w:cs="Simplified Arabic"/>
          <w:sz w:val="24"/>
          <w:szCs w:val="24"/>
          <w:rtl/>
        </w:rPr>
        <w:t xml:space="preserve"> تؤثر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العوامل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الاقتصادية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شكل</w:t>
      </w:r>
      <w:r w:rsidRPr="0062340E">
        <w:rPr>
          <w:rFonts w:ascii="Simplified Arabic" w:hAnsi="Simplified Arabic" w:cs="Simplified Arabic"/>
          <w:sz w:val="24"/>
          <w:szCs w:val="24"/>
        </w:rPr>
        <w:t xml:space="preserve"> </w:t>
      </w:r>
      <w:r w:rsidR="00217E96" w:rsidRPr="0062340E">
        <w:rPr>
          <w:rFonts w:ascii="Simplified Arabic" w:hAnsi="Simplified Arabic" w:cs="Simplified Arabic" w:hint="cs"/>
          <w:sz w:val="24"/>
          <w:szCs w:val="24"/>
          <w:rtl/>
        </w:rPr>
        <w:t>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ذلك</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أن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قوى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الاقتصاد</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الداخلي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تلعب</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دورًا</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رئيسيًا</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 xml:space="preserve">تحديد </w:t>
      </w:r>
      <w:r w:rsidR="00217E96" w:rsidRPr="0062340E">
        <w:rPr>
          <w:rFonts w:ascii="Simplified Arabic" w:hAnsi="Simplified Arabic" w:cs="Simplified Arabic" w:hint="cs"/>
          <w:sz w:val="24"/>
          <w:szCs w:val="24"/>
          <w:rtl/>
        </w:rPr>
        <w:t>الاستعمال</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sz w:val="24"/>
          <w:szCs w:val="24"/>
          <w:rtl/>
        </w:rPr>
        <w:t>الأمثل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للأرض،</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أي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تؤثر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القوى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الاقتصادية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سير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عملية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التنمية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المدينة</w:t>
      </w:r>
      <w:r w:rsidRPr="0062340E">
        <w:rPr>
          <w:rFonts w:ascii="Simplified Arabic" w:hAnsi="Simplified Arabic" w:cs="Simplified Arabic"/>
          <w:sz w:val="24"/>
          <w:szCs w:val="24"/>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كما اشار (</w:t>
      </w:r>
      <w:r w:rsidR="00211413" w:rsidRPr="0062340E">
        <w:rPr>
          <w:rFonts w:ascii="Simplified Arabic" w:hAnsi="Simplified Arabic" w:cs="Simplified Arabic" w:hint="cs"/>
          <w:sz w:val="24"/>
          <w:szCs w:val="24"/>
          <w:rtl/>
        </w:rPr>
        <w:t>علام أحمد خالد</w:t>
      </w:r>
      <w:r w:rsidRPr="0062340E">
        <w:rPr>
          <w:rFonts w:ascii="Simplified Arabic" w:hAnsi="Simplified Arabic" w:cs="Simplified Arabic" w:hint="cs"/>
          <w:sz w:val="24"/>
          <w:szCs w:val="24"/>
          <w:rtl/>
        </w:rPr>
        <w:t>، 2001)، ان الاقتصاد يرتبط</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بكفاءة</w:t>
      </w:r>
      <w:r w:rsidR="00217E96" w:rsidRPr="0062340E">
        <w:rPr>
          <w:rFonts w:ascii="Simplified Arabic" w:hAnsi="Simplified Arabic" w:cs="Simplified Arabic" w:hint="cs"/>
          <w:sz w:val="24"/>
          <w:szCs w:val="24"/>
          <w:rtl/>
        </w:rPr>
        <w:t xml:space="preserve"> استعمال</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الأرض، يتمثل</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ذلك</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مصروفات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الحكومة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لإنشاء المرافق</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العامة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والخدمات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وتشغيلها،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لذلك</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يراعى</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عند</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تخطيط</w:t>
      </w:r>
      <w:r w:rsidRPr="0062340E">
        <w:rPr>
          <w:rFonts w:ascii="Simplified Arabic" w:hAnsi="Simplified Arabic" w:cs="Simplified Arabic"/>
          <w:sz w:val="24"/>
          <w:szCs w:val="24"/>
        </w:rPr>
        <w:t xml:space="preserve"> </w:t>
      </w:r>
      <w:r w:rsidR="00217E96" w:rsidRPr="0062340E">
        <w:rPr>
          <w:rFonts w:ascii="Simplified Arabic" w:hAnsi="Simplified Arabic" w:cs="Simplified Arabic" w:hint="cs"/>
          <w:sz w:val="24"/>
          <w:szCs w:val="24"/>
          <w:rtl/>
        </w:rPr>
        <w:t>استعمالات</w:t>
      </w:r>
      <w:r w:rsidR="00217E9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تكاليف</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تنفيذ</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هذه المرافق.</w:t>
      </w:r>
      <w:bookmarkEnd w:id="125"/>
    </w:p>
    <w:p w:rsidR="0067677B" w:rsidRPr="0062340E" w:rsidRDefault="0067677B" w:rsidP="00417081">
      <w:pPr>
        <w:pStyle w:val="fegure"/>
        <w:spacing w:before="240"/>
        <w:rPr>
          <w:szCs w:val="24"/>
          <w:rtl/>
        </w:rPr>
      </w:pPr>
      <w:bookmarkStart w:id="126" w:name="_Toc157561436"/>
      <w:bookmarkStart w:id="127" w:name="_Toc157562769"/>
      <w:bookmarkStart w:id="128" w:name="_Toc157608265"/>
      <w:bookmarkStart w:id="129" w:name="_Toc171803346"/>
      <w:r w:rsidRPr="0062340E">
        <w:rPr>
          <w:rFonts w:hint="cs"/>
          <w:szCs w:val="24"/>
          <w:rtl/>
        </w:rPr>
        <w:t>الشكل</w:t>
      </w:r>
      <w:r w:rsidRPr="0062340E">
        <w:rPr>
          <w:szCs w:val="24"/>
          <w:rtl/>
        </w:rPr>
        <w:t xml:space="preserve"> </w:t>
      </w:r>
      <w:r w:rsidRPr="0062340E">
        <w:rPr>
          <w:rFonts w:hint="cs"/>
          <w:szCs w:val="24"/>
          <w:rtl/>
        </w:rPr>
        <w:t>(1</w:t>
      </w:r>
      <w:r w:rsidRPr="0062340E">
        <w:rPr>
          <w:szCs w:val="24"/>
        </w:rPr>
        <w:t>-</w:t>
      </w:r>
      <w:r w:rsidRPr="0062340E">
        <w:rPr>
          <w:rFonts w:hint="cs"/>
          <w:szCs w:val="24"/>
          <w:rtl/>
        </w:rPr>
        <w:t>4)</w:t>
      </w:r>
      <w:r w:rsidRPr="0062340E">
        <w:rPr>
          <w:szCs w:val="24"/>
          <w:rtl/>
        </w:rPr>
        <w:t xml:space="preserve">: </w:t>
      </w:r>
      <w:r w:rsidRPr="0062340E">
        <w:rPr>
          <w:color w:val="262626"/>
          <w:szCs w:val="24"/>
          <w:rtl/>
          <w:lang w:val="en-US"/>
        </w:rPr>
        <w:t>العوامل</w:t>
      </w:r>
      <w:r w:rsidRPr="0062340E">
        <w:rPr>
          <w:color w:val="262626"/>
          <w:szCs w:val="24"/>
          <w:lang w:val="en-US"/>
        </w:rPr>
        <w:t xml:space="preserve"> </w:t>
      </w:r>
      <w:r w:rsidRPr="0062340E">
        <w:rPr>
          <w:color w:val="262626"/>
          <w:szCs w:val="24"/>
          <w:rtl/>
          <w:lang w:val="en-US"/>
        </w:rPr>
        <w:t>المؤثرة</w:t>
      </w:r>
      <w:r w:rsidRPr="0062340E">
        <w:rPr>
          <w:color w:val="262626"/>
          <w:szCs w:val="24"/>
          <w:lang w:val="en-US"/>
        </w:rPr>
        <w:t xml:space="preserve"> </w:t>
      </w:r>
      <w:r w:rsidRPr="0062340E">
        <w:rPr>
          <w:color w:val="262626"/>
          <w:szCs w:val="24"/>
          <w:rtl/>
          <w:lang w:val="en-US"/>
        </w:rPr>
        <w:t>في</w:t>
      </w:r>
      <w:r w:rsidRPr="0062340E">
        <w:rPr>
          <w:rFonts w:hint="cs"/>
          <w:color w:val="262626"/>
          <w:szCs w:val="24"/>
          <w:rtl/>
          <w:lang w:val="en-US"/>
        </w:rPr>
        <w:t xml:space="preserve"> </w:t>
      </w:r>
      <w:r w:rsidR="00217E96" w:rsidRPr="0062340E">
        <w:rPr>
          <w:rFonts w:hint="cs"/>
          <w:szCs w:val="24"/>
          <w:rtl/>
        </w:rPr>
        <w:t>استعمالات</w:t>
      </w:r>
      <w:r w:rsidR="00217E96" w:rsidRPr="0062340E">
        <w:rPr>
          <w:szCs w:val="24"/>
          <w:rtl/>
        </w:rPr>
        <w:t xml:space="preserve"> </w:t>
      </w:r>
      <w:r w:rsidRPr="0062340E">
        <w:rPr>
          <w:color w:val="262626"/>
          <w:szCs w:val="24"/>
          <w:rtl/>
          <w:lang w:val="en-US"/>
        </w:rPr>
        <w:t>الأرض</w:t>
      </w:r>
      <w:bookmarkEnd w:id="126"/>
      <w:bookmarkEnd w:id="127"/>
      <w:bookmarkEnd w:id="128"/>
      <w:bookmarkEnd w:id="129"/>
    </w:p>
    <w:p w:rsidR="0067677B" w:rsidRPr="0062340E" w:rsidRDefault="0067677B" w:rsidP="00C71ECA">
      <w:pPr>
        <w:tabs>
          <w:tab w:val="right" w:pos="281"/>
        </w:tabs>
        <w:bidi/>
        <w:spacing w:after="0" w:line="240" w:lineRule="auto"/>
        <w:ind w:firstLine="283"/>
        <w:jc w:val="center"/>
        <w:rPr>
          <w:rFonts w:ascii="Simplified Arabic" w:hAnsi="Simplified Arabic" w:cs="Simplified Arabic"/>
          <w:b/>
          <w:bCs/>
          <w:sz w:val="24"/>
          <w:szCs w:val="24"/>
          <w:rtl/>
        </w:rPr>
      </w:pPr>
      <w:r w:rsidRPr="0062340E">
        <w:rPr>
          <w:rFonts w:ascii="Simplified Arabic" w:hAnsi="Simplified Arabic" w:cs="Simplified Arabic" w:hint="cs"/>
          <w:b/>
          <w:bCs/>
          <w:sz w:val="24"/>
          <w:szCs w:val="24"/>
          <w:rtl/>
        </w:rPr>
        <w:t xml:space="preserve">المصدر: (الباحث من خلال </w:t>
      </w:r>
      <w:r w:rsidR="00C71ECA" w:rsidRPr="0062340E">
        <w:rPr>
          <w:rFonts w:ascii="Simplified Arabic" w:hAnsi="Simplified Arabic" w:cs="Simplified Arabic" w:hint="cs"/>
          <w:b/>
          <w:bCs/>
          <w:sz w:val="24"/>
          <w:szCs w:val="24"/>
          <w:rtl/>
        </w:rPr>
        <w:t>اطلاع</w:t>
      </w:r>
      <w:r w:rsidRPr="0062340E">
        <w:rPr>
          <w:rFonts w:ascii="Simplified Arabic" w:hAnsi="Simplified Arabic" w:cs="Simplified Arabic" w:hint="cs"/>
          <w:b/>
          <w:bCs/>
          <w:sz w:val="24"/>
          <w:szCs w:val="24"/>
          <w:rtl/>
        </w:rPr>
        <w:t xml:space="preserve"> </w:t>
      </w:r>
      <w:r w:rsidR="00C71ECA" w:rsidRPr="0062340E">
        <w:rPr>
          <w:rFonts w:ascii="Simplified Arabic" w:hAnsi="Simplified Arabic" w:cs="Simplified Arabic" w:hint="cs"/>
          <w:b/>
          <w:bCs/>
          <w:sz w:val="24"/>
          <w:szCs w:val="24"/>
          <w:rtl/>
        </w:rPr>
        <w:t>الأبحاث</w:t>
      </w:r>
      <w:r w:rsidRPr="0062340E">
        <w:rPr>
          <w:rFonts w:ascii="Simplified Arabic" w:hAnsi="Simplified Arabic" w:cs="Simplified Arabic" w:hint="cs"/>
          <w:b/>
          <w:bCs/>
          <w:sz w:val="24"/>
          <w:szCs w:val="24"/>
          <w:rtl/>
        </w:rPr>
        <w:t>، 2022)</w:t>
      </w:r>
    </w:p>
    <w:p w:rsidR="0067677B" w:rsidRPr="0062340E" w:rsidRDefault="00217E96" w:rsidP="000101D0">
      <w:pPr>
        <w:autoSpaceDE w:val="0"/>
        <w:autoSpaceDN w:val="0"/>
        <w:bidi/>
        <w:adjustRightInd w:val="0"/>
        <w:spacing w:before="240" w:after="0"/>
        <w:jc w:val="center"/>
        <w:rPr>
          <w:rFonts w:ascii="Simplified Arabic" w:hAnsi="Simplified Arabic" w:cs="Simplified Arabic"/>
          <w:sz w:val="24"/>
          <w:szCs w:val="24"/>
          <w:rtl/>
          <w:lang w:bidi="ar-DZ"/>
        </w:rPr>
      </w:pPr>
      <w:r w:rsidRPr="0062340E">
        <w:rPr>
          <w:noProof/>
          <w:sz w:val="24"/>
          <w:szCs w:val="24"/>
          <w:lang w:eastAsia="fr-FR"/>
        </w:rPr>
        <w:drawing>
          <wp:inline distT="0" distB="0" distL="0" distR="0" wp14:anchorId="56580DDB" wp14:editId="0B186813">
            <wp:extent cx="5624584" cy="4718649"/>
            <wp:effectExtent l="19050" t="19050" r="14605" b="2540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637277" cy="4729298"/>
                    </a:xfrm>
                    <a:prstGeom prst="rect">
                      <a:avLst/>
                    </a:prstGeom>
                    <a:ln>
                      <a:solidFill>
                        <a:schemeClr val="tx1"/>
                      </a:solidFill>
                    </a:ln>
                  </pic:spPr>
                </pic:pic>
              </a:graphicData>
            </a:graphic>
          </wp:inline>
        </w:drawing>
      </w:r>
    </w:p>
    <w:p w:rsidR="00A903CE" w:rsidRPr="0062340E" w:rsidRDefault="00A903CE" w:rsidP="00D57FDF">
      <w:pPr>
        <w:pStyle w:val="Paragraphedeliste"/>
        <w:numPr>
          <w:ilvl w:val="3"/>
          <w:numId w:val="78"/>
        </w:numPr>
        <w:tabs>
          <w:tab w:val="right" w:pos="990"/>
        </w:tabs>
        <w:autoSpaceDE w:val="0"/>
        <w:autoSpaceDN w:val="0"/>
        <w:bidi/>
        <w:adjustRightInd w:val="0"/>
        <w:spacing w:before="240" w:after="0"/>
        <w:ind w:left="0" w:firstLine="0"/>
        <w:jc w:val="both"/>
        <w:outlineLvl w:val="2"/>
        <w:rPr>
          <w:rFonts w:ascii="Simplified Arabic" w:hAnsi="Simplified Arabic" w:cs="Simplified Arabic"/>
          <w:sz w:val="24"/>
          <w:szCs w:val="24"/>
        </w:rPr>
      </w:pPr>
      <w:bookmarkStart w:id="130" w:name="_Toc171803347"/>
      <w:r w:rsidRPr="0062340E">
        <w:rPr>
          <w:rFonts w:ascii="Simplified Arabic" w:hAnsi="Simplified Arabic" w:cs="Simplified Arabic"/>
          <w:b/>
          <w:bCs/>
          <w:sz w:val="24"/>
          <w:szCs w:val="24"/>
          <w:rtl/>
        </w:rPr>
        <w:lastRenderedPageBreak/>
        <w:t>عوامل</w:t>
      </w:r>
      <w:r w:rsidRPr="0062340E">
        <w:rPr>
          <w:rFonts w:ascii="Simplified Arabic" w:hAnsi="Simplified Arabic" w:cs="Simplified Arabic" w:hint="cs"/>
          <w:b/>
          <w:bCs/>
          <w:sz w:val="24"/>
          <w:szCs w:val="24"/>
          <w:rtl/>
        </w:rPr>
        <w:t xml:space="preserve"> </w:t>
      </w:r>
      <w:r w:rsidRPr="0062340E">
        <w:rPr>
          <w:rFonts w:ascii="Simplified Arabic" w:hAnsi="Simplified Arabic" w:cs="Simplified Arabic"/>
          <w:b/>
          <w:bCs/>
          <w:sz w:val="24"/>
          <w:szCs w:val="24"/>
          <w:rtl/>
        </w:rPr>
        <w:t>اجتماعية</w:t>
      </w:r>
      <w:r w:rsidRPr="0062340E">
        <w:rPr>
          <w:rFonts w:ascii="Simplified Arabic" w:hAnsi="Simplified Arabic" w:cs="Simplified Arabic"/>
          <w:sz w:val="24"/>
          <w:szCs w:val="24"/>
        </w:rPr>
        <w:t>:</w:t>
      </w:r>
      <w:r w:rsidRPr="0062340E">
        <w:rPr>
          <w:rFonts w:ascii="Simplified Arabic" w:hAnsi="Simplified Arabic" w:cs="Simplified Arabic"/>
          <w:sz w:val="24"/>
          <w:szCs w:val="24"/>
          <w:rtl/>
        </w:rPr>
        <w:t xml:space="preserve"> تعتبر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العوامل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الاجتماعية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العوامل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تؤثر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 xml:space="preserve">شكل </w:t>
      </w:r>
      <w:r w:rsidR="00217E96" w:rsidRPr="0062340E">
        <w:rPr>
          <w:rFonts w:ascii="Simplified Arabic" w:hAnsi="Simplified Arabic" w:cs="Simplified Arabic" w:hint="cs"/>
          <w:sz w:val="24"/>
          <w:szCs w:val="24"/>
          <w:rtl/>
        </w:rPr>
        <w:t>استعمال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فعالم</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الاجتماع</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ينظر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إلى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قطعة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كنظرته</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إلى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الكائن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الحي</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w:t>
      </w:r>
      <w:r w:rsidRPr="0062340E">
        <w:rPr>
          <w:rFonts w:ascii="Simplified Arabic" w:hAnsi="Simplified Arabic" w:cs="Simplified Arabic"/>
          <w:sz w:val="24"/>
          <w:szCs w:val="24"/>
          <w:rtl/>
        </w:rPr>
        <w:t>الأخذ</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بعين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الاعتبار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الظروف</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الطبيعية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والبيئة</w:t>
      </w:r>
      <w:r w:rsidRPr="0062340E">
        <w:rPr>
          <w:rFonts w:ascii="Simplified Arabic" w:hAnsi="Simplified Arabic" w:cs="Simplified Arabic" w:hint="cs"/>
          <w:sz w:val="24"/>
          <w:szCs w:val="24"/>
          <w:rtl/>
        </w:rPr>
        <w:t xml:space="preserve"> والمناخية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المحيطة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به</w:t>
      </w:r>
      <w:r w:rsidRPr="0062340E">
        <w:rPr>
          <w:rFonts w:ascii="Simplified Arabic" w:hAnsi="Simplified Arabic" w:cs="Simplified Arabic" w:hint="cs"/>
          <w:sz w:val="24"/>
          <w:szCs w:val="24"/>
          <w:rtl/>
        </w:rPr>
        <w:t xml:space="preserve"> تدعم </w:t>
      </w:r>
      <w:r w:rsidRPr="0062340E">
        <w:rPr>
          <w:rFonts w:ascii="Simplified Arabic" w:hAnsi="Simplified Arabic" w:cs="Simplified Arabic"/>
          <w:sz w:val="24"/>
          <w:szCs w:val="24"/>
          <w:rtl/>
        </w:rPr>
        <w:t xml:space="preserve">عملية </w:t>
      </w:r>
      <w:r w:rsidR="00217E96" w:rsidRPr="0062340E">
        <w:rPr>
          <w:rFonts w:ascii="Simplified Arabic" w:hAnsi="Simplified Arabic" w:cs="Simplified Arabic" w:hint="cs"/>
          <w:sz w:val="24"/>
          <w:szCs w:val="24"/>
          <w:rtl/>
        </w:rPr>
        <w:t>الاستعمال</w:t>
      </w:r>
      <w:r w:rsidR="00217E96"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الصحيح</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للأرض</w:t>
      </w:r>
      <w:r w:rsidRPr="0062340E">
        <w:rPr>
          <w:rFonts w:ascii="Simplified Arabic" w:hAnsi="Simplified Arabic" w:cs="Simplified Arabic"/>
          <w:sz w:val="24"/>
          <w:szCs w:val="24"/>
        </w:rPr>
        <w:t>.</w:t>
      </w:r>
      <w:bookmarkEnd w:id="130"/>
      <w:r w:rsidRPr="0062340E">
        <w:rPr>
          <w:rFonts w:ascii="Simplified Arabic" w:hAnsi="Simplified Arabic" w:cs="Simplified Arabic"/>
          <w:sz w:val="24"/>
          <w:szCs w:val="24"/>
          <w:rtl/>
        </w:rPr>
        <w:t xml:space="preserve"> </w:t>
      </w:r>
    </w:p>
    <w:p w:rsidR="00A903CE" w:rsidRPr="0062340E" w:rsidRDefault="00A903CE" w:rsidP="00D57FDF">
      <w:pPr>
        <w:pStyle w:val="Paragraphedeliste"/>
        <w:numPr>
          <w:ilvl w:val="3"/>
          <w:numId w:val="199"/>
        </w:numPr>
        <w:tabs>
          <w:tab w:val="right" w:pos="990"/>
        </w:tabs>
        <w:autoSpaceDE w:val="0"/>
        <w:autoSpaceDN w:val="0"/>
        <w:bidi/>
        <w:adjustRightInd w:val="0"/>
        <w:spacing w:after="0"/>
        <w:ind w:left="0" w:firstLine="0"/>
        <w:jc w:val="both"/>
        <w:outlineLvl w:val="2"/>
        <w:rPr>
          <w:rFonts w:ascii="Simplified Arabic" w:hAnsi="Simplified Arabic" w:cs="Simplified Arabic"/>
          <w:sz w:val="24"/>
          <w:szCs w:val="24"/>
        </w:rPr>
      </w:pPr>
      <w:bookmarkStart w:id="131" w:name="_Toc171803348"/>
      <w:r w:rsidRPr="0062340E">
        <w:rPr>
          <w:rFonts w:ascii="Simplified Arabic" w:hAnsi="Simplified Arabic" w:cs="Simplified Arabic" w:hint="cs"/>
          <w:b/>
          <w:bCs/>
          <w:sz w:val="24"/>
          <w:szCs w:val="24"/>
          <w:rtl/>
        </w:rPr>
        <w:t>عوامل عامة</w:t>
      </w:r>
      <w:r w:rsidRPr="0062340E">
        <w:rPr>
          <w:rFonts w:ascii="Simplified Arabic" w:hAnsi="Simplified Arabic" w:cs="Simplified Arabic"/>
          <w:sz w:val="24"/>
          <w:szCs w:val="24"/>
        </w:rPr>
        <w:t>:</w:t>
      </w:r>
      <w:r w:rsidRPr="0062340E">
        <w:rPr>
          <w:rFonts w:ascii="Simplified Arabic" w:hAnsi="Simplified Arabic" w:cs="Simplified Arabic" w:hint="cs"/>
          <w:sz w:val="24"/>
          <w:szCs w:val="24"/>
          <w:rtl/>
        </w:rPr>
        <w:t xml:space="preserve"> تتمثل في الصحة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العامة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والأمن، حيث تتحكم</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الصحة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والأمن في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تخطيط</w:t>
      </w:r>
      <w:r w:rsidRPr="0062340E">
        <w:rPr>
          <w:rFonts w:ascii="Simplified Arabic" w:hAnsi="Simplified Arabic" w:cs="Simplified Arabic"/>
          <w:sz w:val="24"/>
          <w:szCs w:val="24"/>
        </w:rPr>
        <w:t xml:space="preserve">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وهما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مرتبطان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دائمًا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مع</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بعضهما البعض، فالحي السكني يتطلب الحاجة إلى الرعاية الصحية والى الأمن والحماية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المخاطر بشتى مصادرها،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كما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راحة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السكان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العوامل</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التي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تؤثر</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تخطيط</w:t>
      </w:r>
      <w:r w:rsidRPr="0062340E">
        <w:rPr>
          <w:rFonts w:ascii="Simplified Arabic" w:hAnsi="Simplified Arabic" w:cs="Simplified Arabic"/>
          <w:sz w:val="24"/>
          <w:szCs w:val="24"/>
        </w:rPr>
        <w:t xml:space="preserve">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وعلاقة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كل</w:t>
      </w:r>
      <w:r w:rsidRPr="0062340E">
        <w:rPr>
          <w:rFonts w:ascii="Simplified Arabic" w:hAnsi="Simplified Arabic" w:cs="Simplified Arabic"/>
          <w:sz w:val="24"/>
          <w:szCs w:val="24"/>
        </w:rPr>
        <w:t xml:space="preserve">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بالآخر</w:t>
      </w:r>
      <w:r w:rsidRPr="0062340E">
        <w:rPr>
          <w:rFonts w:ascii="Simplified Arabic" w:hAnsi="Simplified Arabic" w:cs="Simplified Arabic"/>
          <w:sz w:val="24"/>
          <w:szCs w:val="24"/>
        </w:rPr>
        <w:t>.</w:t>
      </w:r>
      <w:bookmarkEnd w:id="131"/>
      <w:r w:rsidRPr="0062340E">
        <w:rPr>
          <w:rFonts w:ascii="Simplified Arabic" w:hAnsi="Simplified Arabic" w:cs="Simplified Arabic" w:hint="cs"/>
          <w:sz w:val="24"/>
          <w:szCs w:val="24"/>
          <w:rtl/>
        </w:rPr>
        <w:t xml:space="preserve"> </w:t>
      </w:r>
    </w:p>
    <w:p w:rsidR="00A903CE" w:rsidRPr="0062340E" w:rsidRDefault="00A903CE" w:rsidP="00D57FDF">
      <w:pPr>
        <w:pStyle w:val="Paragraphedeliste"/>
        <w:numPr>
          <w:ilvl w:val="3"/>
          <w:numId w:val="198"/>
        </w:numPr>
        <w:tabs>
          <w:tab w:val="right" w:pos="990"/>
        </w:tabs>
        <w:autoSpaceDE w:val="0"/>
        <w:autoSpaceDN w:val="0"/>
        <w:bidi/>
        <w:adjustRightInd w:val="0"/>
        <w:spacing w:after="0"/>
        <w:ind w:left="0" w:firstLine="0"/>
        <w:jc w:val="both"/>
        <w:outlineLvl w:val="2"/>
        <w:rPr>
          <w:rFonts w:ascii="Simplified Arabic" w:hAnsi="Simplified Arabic" w:cs="Simplified Arabic"/>
          <w:sz w:val="24"/>
          <w:szCs w:val="24"/>
        </w:rPr>
      </w:pPr>
      <w:bookmarkStart w:id="132" w:name="_Toc171803349"/>
      <w:r w:rsidRPr="0062340E">
        <w:rPr>
          <w:rFonts w:ascii="Simplified Arabic" w:hAnsi="Simplified Arabic" w:cs="Simplified Arabic" w:hint="cs"/>
          <w:b/>
          <w:bCs/>
          <w:sz w:val="24"/>
          <w:szCs w:val="24"/>
          <w:rtl/>
        </w:rPr>
        <w:t xml:space="preserve">عوامل ثقافية: </w:t>
      </w:r>
      <w:r w:rsidRPr="0062340E">
        <w:rPr>
          <w:rFonts w:ascii="Simplified Arabic" w:hAnsi="Simplified Arabic" w:cs="Simplified Arabic" w:hint="cs"/>
          <w:sz w:val="24"/>
          <w:szCs w:val="24"/>
          <w:rtl/>
        </w:rPr>
        <w:t>تلعب</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العوامل</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الثقافية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دورًا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كبيرًا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طريقة</w:t>
      </w:r>
      <w:r w:rsidRPr="0062340E">
        <w:rPr>
          <w:rFonts w:ascii="Simplified Arabic" w:hAnsi="Simplified Arabic" w:cs="Simplified Arabic"/>
          <w:sz w:val="24"/>
          <w:szCs w:val="24"/>
        </w:rPr>
        <w:t xml:space="preserve">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فالثقافة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جزء</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لا</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يتجزأ</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المجتمع</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وسلوكيات وعادات السكان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هم</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جزء</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 xml:space="preserve">الثقافة. بالتالي فان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الإنسان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للأرض يقع ضمن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موروثه الثقافي، ورغبة المجتمع للمشاركة في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رسم</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سياسة</w:t>
      </w:r>
      <w:r w:rsidRPr="0062340E">
        <w:rPr>
          <w:rFonts w:ascii="Simplified Arabic" w:hAnsi="Simplified Arabic" w:cs="Simplified Arabic"/>
          <w:sz w:val="24"/>
          <w:szCs w:val="24"/>
        </w:rPr>
        <w:t xml:space="preserve">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sz w:val="24"/>
          <w:szCs w:val="24"/>
        </w:rPr>
        <w:t>.</w:t>
      </w:r>
      <w:bookmarkEnd w:id="132"/>
    </w:p>
    <w:p w:rsidR="00A903CE" w:rsidRPr="0062340E" w:rsidRDefault="00A903CE" w:rsidP="00D57FDF">
      <w:pPr>
        <w:pStyle w:val="Paragraphedeliste"/>
        <w:numPr>
          <w:ilvl w:val="3"/>
          <w:numId w:val="200"/>
        </w:numPr>
        <w:tabs>
          <w:tab w:val="right" w:pos="990"/>
        </w:tabs>
        <w:autoSpaceDE w:val="0"/>
        <w:autoSpaceDN w:val="0"/>
        <w:bidi/>
        <w:adjustRightInd w:val="0"/>
        <w:spacing w:before="240" w:after="0"/>
        <w:ind w:left="0" w:firstLine="0"/>
        <w:jc w:val="both"/>
        <w:outlineLvl w:val="2"/>
        <w:rPr>
          <w:rFonts w:ascii="Simplified Arabic" w:hAnsi="Simplified Arabic" w:cs="Simplified Arabic"/>
          <w:sz w:val="24"/>
          <w:szCs w:val="24"/>
        </w:rPr>
      </w:pPr>
      <w:bookmarkStart w:id="133" w:name="_Toc171803350"/>
      <w:r w:rsidRPr="0062340E">
        <w:rPr>
          <w:rFonts w:ascii="Simplified Arabic" w:hAnsi="Simplified Arabic" w:cs="Simplified Arabic" w:hint="cs"/>
          <w:b/>
          <w:bCs/>
          <w:sz w:val="24"/>
          <w:szCs w:val="24"/>
          <w:rtl/>
        </w:rPr>
        <w:t>عوامل تخطيطية</w:t>
      </w:r>
      <w:r w:rsidRPr="0062340E">
        <w:rPr>
          <w:rFonts w:ascii="Simplified Arabic" w:hAnsi="Simplified Arabic" w:cs="Simplified Arabic"/>
          <w:sz w:val="24"/>
          <w:szCs w:val="24"/>
        </w:rPr>
        <w:t>:</w:t>
      </w:r>
      <w:r w:rsidRPr="0062340E">
        <w:rPr>
          <w:rFonts w:ascii="Simplified Arabic" w:hAnsi="Simplified Arabic" w:cs="Simplified Arabic" w:hint="cs"/>
          <w:sz w:val="24"/>
          <w:szCs w:val="24"/>
          <w:rtl/>
        </w:rPr>
        <w:t xml:space="preserve"> المقصود بذلك هو نوعية التخطيط </w:t>
      </w:r>
      <w:r w:rsidR="00E022DD" w:rsidRPr="0062340E">
        <w:rPr>
          <w:rFonts w:ascii="Simplified Arabic" w:hAnsi="Simplified Arabic" w:cs="Simplified Arabic" w:hint="cs"/>
          <w:sz w:val="24"/>
          <w:szCs w:val="24"/>
          <w:rtl/>
        </w:rPr>
        <w:t xml:space="preserve">الحضري </w:t>
      </w:r>
      <w:r w:rsidRPr="0062340E">
        <w:rPr>
          <w:rFonts w:ascii="Simplified Arabic" w:hAnsi="Simplified Arabic" w:cs="Simplified Arabic" w:hint="cs"/>
          <w:sz w:val="24"/>
          <w:szCs w:val="24"/>
          <w:rtl/>
        </w:rPr>
        <w:t>الممارس اثناء اعداد الدراسات،</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 xml:space="preserve">توافر سمات المرونة المكانية (الكثافة، التنوع، </w:t>
      </w:r>
      <w:r w:rsidR="00710CDE"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00710CDE" w:rsidRPr="0062340E">
        <w:rPr>
          <w:rFonts w:ascii="Simplified Arabic" w:hAnsi="Simplified Arabic" w:cs="Simplified Arabic" w:hint="cs"/>
          <w:sz w:val="24"/>
          <w:szCs w:val="24"/>
          <w:rtl/>
        </w:rPr>
        <w:t xml:space="preserve"> و</w:t>
      </w:r>
      <w:r w:rsidRPr="0062340E">
        <w:rPr>
          <w:rFonts w:ascii="Simplified Arabic" w:hAnsi="Simplified Arabic" w:cs="Simplified Arabic" w:hint="cs"/>
          <w:sz w:val="24"/>
          <w:szCs w:val="24"/>
          <w:rtl/>
        </w:rPr>
        <w:t>التكرار)، هل</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يتم ذلك</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ضمن</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مشاركة السكان في التخطيط،</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وهل يتم ذلك في</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كافة</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المراحل التخطيطية.</w:t>
      </w:r>
      <w:bookmarkEnd w:id="133"/>
    </w:p>
    <w:p w:rsidR="00D078F2" w:rsidRPr="0062340E" w:rsidRDefault="00A903CE" w:rsidP="00217E96">
      <w:pPr>
        <w:autoSpaceDE w:val="0"/>
        <w:autoSpaceDN w:val="0"/>
        <w:bidi/>
        <w:adjustRightInd w:val="0"/>
        <w:spacing w:after="0"/>
        <w:ind w:firstLine="282"/>
        <w:jc w:val="both"/>
        <w:rPr>
          <w:rFonts w:ascii="Simplified Arabic" w:hAnsi="Simplified Arabic" w:cs="Simplified Arabic"/>
          <w:sz w:val="24"/>
          <w:szCs w:val="24"/>
          <w:lang w:val="en-US" w:bidi="ar-DZ"/>
        </w:rPr>
      </w:pPr>
      <w:r w:rsidRPr="0062340E">
        <w:rPr>
          <w:rFonts w:ascii="Simplified Arabic" w:hAnsi="Simplified Arabic" w:cs="Simplified Arabic" w:hint="cs"/>
          <w:sz w:val="24"/>
          <w:szCs w:val="24"/>
          <w:rtl/>
        </w:rPr>
        <w:t>من وجهة نظر البحث</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فان </w:t>
      </w:r>
      <w:r w:rsidRPr="0062340E">
        <w:rPr>
          <w:rFonts w:ascii="Simplified Arabic" w:hAnsi="Simplified Arabic" w:cs="Simplified Arabic"/>
          <w:sz w:val="24"/>
          <w:szCs w:val="24"/>
          <w:rtl/>
        </w:rPr>
        <w:t>التغي</w:t>
      </w:r>
      <w:r w:rsidR="005312A1"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رات</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الحضرية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للمدن</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وتطورات</w:t>
      </w:r>
      <w:r w:rsidRPr="0062340E">
        <w:rPr>
          <w:rFonts w:ascii="Simplified Arabic" w:hAnsi="Simplified Arabic" w:cs="Simplified Arabic" w:hint="cs"/>
          <w:sz w:val="24"/>
          <w:szCs w:val="24"/>
          <w:rtl/>
        </w:rPr>
        <w:t xml:space="preserve"> المناخ،</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w:t>
      </w:r>
      <w:r w:rsidRPr="0062340E">
        <w:rPr>
          <w:rFonts w:ascii="Simplified Arabic" w:hAnsi="Simplified Arabic" w:cs="Simplified Arabic"/>
          <w:sz w:val="24"/>
          <w:szCs w:val="24"/>
          <w:rtl/>
        </w:rPr>
        <w:t>ظهرت</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عدة</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اتجاهات</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لتنظيم</w:t>
      </w:r>
      <w:r w:rsidRPr="0062340E">
        <w:rPr>
          <w:rFonts w:ascii="Simplified Arabic" w:hAnsi="Simplified Arabic" w:cs="Simplified Arabic" w:hint="cs"/>
          <w:sz w:val="24"/>
          <w:szCs w:val="24"/>
          <w:rtl/>
        </w:rPr>
        <w:t xml:space="preserve"> </w:t>
      </w:r>
      <w:r w:rsidR="00217E96" w:rsidRPr="0062340E">
        <w:rPr>
          <w:rFonts w:ascii="Simplified Arabic" w:hAnsi="Simplified Arabic" w:cs="Simplified Arabic" w:hint="cs"/>
          <w:sz w:val="24"/>
          <w:szCs w:val="24"/>
          <w:rtl/>
        </w:rPr>
        <w:t>استعمال</w:t>
      </w:r>
      <w:r w:rsidR="00217E96" w:rsidRPr="0062340E">
        <w:rPr>
          <w:rFonts w:ascii="Simplified Arabic" w:hAnsi="Simplified Arabic" w:cs="Simplified Arabic"/>
          <w:sz w:val="24"/>
          <w:szCs w:val="24"/>
        </w:rPr>
        <w:t xml:space="preserve"> </w:t>
      </w:r>
      <w:r w:rsidR="00696C00" w:rsidRPr="0062340E">
        <w:rPr>
          <w:rFonts w:ascii="Simplified Arabic" w:hAnsi="Simplified Arabic" w:cs="Simplified Arabic"/>
          <w:sz w:val="24"/>
          <w:szCs w:val="24"/>
          <w:rtl/>
        </w:rPr>
        <w:t>الأر</w:t>
      </w:r>
      <w:r w:rsidRPr="0062340E">
        <w:rPr>
          <w:rFonts w:ascii="Simplified Arabic" w:hAnsi="Simplified Arabic" w:cs="Simplified Arabic"/>
          <w:sz w:val="24"/>
          <w:szCs w:val="24"/>
          <w:rtl/>
        </w:rPr>
        <w:t>ض</w:t>
      </w:r>
      <w:r w:rsidRPr="0062340E">
        <w:rPr>
          <w:rFonts w:ascii="Simplified Arabic" w:hAnsi="Simplified Arabic" w:cs="Simplified Arabic" w:hint="cs"/>
          <w:sz w:val="24"/>
          <w:szCs w:val="24"/>
          <w:rtl/>
        </w:rPr>
        <w:t xml:space="preserve">، احداها </w:t>
      </w:r>
      <w:r w:rsidRPr="0062340E">
        <w:rPr>
          <w:rFonts w:ascii="Simplified Arabic" w:hAnsi="Simplified Arabic" w:cs="Simplified Arabic" w:hint="cs"/>
          <w:sz w:val="24"/>
          <w:szCs w:val="24"/>
          <w:rtl/>
          <w:lang w:val="en-US" w:bidi="ar-DZ"/>
        </w:rPr>
        <w:t>دمج مفهوم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الحضرية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ضمن استراتيجيات التسيير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والتخطيط، يضع</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عامل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رئيسي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للتوسع</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الحضري، الهدف من ذلك تحسين قدرات المدن على الاستجابة ومجابهة الاضطرابات.</w:t>
      </w:r>
    </w:p>
    <w:p w:rsidR="00A903CE" w:rsidRPr="0062340E" w:rsidRDefault="00A903CE" w:rsidP="001D0548">
      <w:pPr>
        <w:pStyle w:val="Paragraphedeliste"/>
        <w:numPr>
          <w:ilvl w:val="1"/>
          <w:numId w:val="192"/>
        </w:numPr>
        <w:tabs>
          <w:tab w:val="right" w:pos="567"/>
        </w:tabs>
        <w:autoSpaceDE w:val="0"/>
        <w:autoSpaceDN w:val="0"/>
        <w:bidi/>
        <w:adjustRightInd w:val="0"/>
        <w:spacing w:before="240" w:after="0"/>
        <w:ind w:left="0" w:firstLine="0"/>
        <w:outlineLvl w:val="0"/>
        <w:rPr>
          <w:rFonts w:ascii="Simplified Arabic" w:hAnsi="Simplified Arabic" w:cs="Simplified Arabic"/>
          <w:b/>
          <w:bCs/>
          <w:color w:val="262626"/>
          <w:sz w:val="24"/>
          <w:szCs w:val="24"/>
          <w:rtl/>
          <w:lang w:val="en-US"/>
        </w:rPr>
      </w:pPr>
      <w:bookmarkStart w:id="134" w:name="_Toc171803351"/>
      <w:r w:rsidRPr="0062340E">
        <w:rPr>
          <w:rFonts w:ascii="Simplified Arabic" w:hAnsi="Simplified Arabic" w:cs="Simplified Arabic" w:hint="cs"/>
          <w:b/>
          <w:bCs/>
          <w:color w:val="262626"/>
          <w:sz w:val="24"/>
          <w:szCs w:val="24"/>
          <w:rtl/>
          <w:lang w:val="en-US"/>
        </w:rPr>
        <w:t>الاطار المفاهيمي للمرونة الحضرية</w:t>
      </w:r>
      <w:bookmarkEnd w:id="134"/>
    </w:p>
    <w:p w:rsidR="00A903CE" w:rsidRPr="0062340E" w:rsidRDefault="00A903CE" w:rsidP="004D4F07">
      <w:pPr>
        <w:pStyle w:val="Paragraphedeliste"/>
        <w:numPr>
          <w:ilvl w:val="2"/>
          <w:numId w:val="33"/>
        </w:numPr>
        <w:tabs>
          <w:tab w:val="right" w:pos="850"/>
        </w:tabs>
        <w:bidi/>
        <w:spacing w:after="0" w:line="240" w:lineRule="auto"/>
        <w:ind w:left="0" w:firstLine="0"/>
        <w:outlineLvl w:val="1"/>
        <w:rPr>
          <w:rFonts w:ascii="Simplified Arabic" w:hAnsi="Simplified Arabic" w:cs="Simplified Arabic"/>
          <w:b/>
          <w:bCs/>
          <w:color w:val="000000" w:themeColor="text1"/>
          <w:sz w:val="24"/>
          <w:szCs w:val="24"/>
        </w:rPr>
      </w:pPr>
      <w:bookmarkStart w:id="135" w:name="_Toc171803352"/>
      <w:r w:rsidRPr="0062340E">
        <w:rPr>
          <w:rFonts w:ascii="Simplified Arabic" w:hAnsi="Simplified Arabic" w:cs="Simplified Arabic" w:hint="cs"/>
          <w:b/>
          <w:bCs/>
          <w:color w:val="000000" w:themeColor="text1"/>
          <w:sz w:val="24"/>
          <w:szCs w:val="24"/>
          <w:rtl/>
          <w:lang w:val="en-US"/>
        </w:rPr>
        <w:t xml:space="preserve">مفهوم المرونة </w:t>
      </w:r>
      <w:r w:rsidRPr="0062340E">
        <w:rPr>
          <w:rFonts w:asciiTheme="majorBidi" w:hAnsiTheme="majorBidi" w:cstheme="majorBidi"/>
          <w:b/>
          <w:bCs/>
          <w:color w:val="000000" w:themeColor="text1"/>
          <w:sz w:val="24"/>
          <w:szCs w:val="24"/>
          <w:rtl/>
          <w:lang w:val="en-US" w:bidi="ar-DZ"/>
        </w:rPr>
        <w:t>(</w:t>
      </w:r>
      <w:r w:rsidRPr="0062340E">
        <w:rPr>
          <w:rFonts w:asciiTheme="majorBidi" w:hAnsiTheme="majorBidi" w:cstheme="majorBidi"/>
          <w:b/>
          <w:bCs/>
          <w:color w:val="000000" w:themeColor="text1"/>
          <w:sz w:val="24"/>
          <w:szCs w:val="24"/>
        </w:rPr>
        <w:t xml:space="preserve">Concept </w:t>
      </w:r>
      <w:r w:rsidRPr="0062340E">
        <w:rPr>
          <w:rFonts w:asciiTheme="majorBidi" w:hAnsiTheme="majorBidi" w:cstheme="majorBidi"/>
          <w:b/>
          <w:bCs/>
          <w:color w:val="000000" w:themeColor="text1"/>
          <w:sz w:val="24"/>
          <w:szCs w:val="24"/>
          <w:lang w:val="en-US"/>
        </w:rPr>
        <w:t>Resilience</w:t>
      </w:r>
      <w:r w:rsidRPr="0062340E">
        <w:rPr>
          <w:rFonts w:asciiTheme="majorBidi" w:hAnsiTheme="majorBidi" w:cstheme="majorBidi"/>
          <w:b/>
          <w:bCs/>
          <w:color w:val="000000" w:themeColor="text1"/>
          <w:sz w:val="24"/>
          <w:szCs w:val="24"/>
          <w:rtl/>
          <w:lang w:val="en-US"/>
        </w:rPr>
        <w:t>)</w:t>
      </w:r>
      <w:r w:rsidRPr="0062340E">
        <w:rPr>
          <w:rFonts w:ascii="Simplified Arabic" w:hAnsi="Simplified Arabic" w:cs="Simplified Arabic" w:hint="cs"/>
          <w:b/>
          <w:bCs/>
          <w:color w:val="000000" w:themeColor="text1"/>
          <w:sz w:val="24"/>
          <w:szCs w:val="24"/>
          <w:rtl/>
          <w:lang w:val="en-US"/>
        </w:rPr>
        <w:t>:</w:t>
      </w:r>
      <w:bookmarkEnd w:id="135"/>
    </w:p>
    <w:p w:rsidR="00A903CE" w:rsidRPr="0062340E" w:rsidRDefault="00A903CE" w:rsidP="00D300EA">
      <w:pPr>
        <w:autoSpaceDE w:val="0"/>
        <w:autoSpaceDN w:val="0"/>
        <w:bidi/>
        <w:adjustRightInd w:val="0"/>
        <w:spacing w:after="0"/>
        <w:ind w:firstLine="282"/>
        <w:jc w:val="both"/>
        <w:rPr>
          <w:rFonts w:ascii="Simplified Arabic" w:hAnsi="Simplified Arabic" w:cs="Simplified Arabic"/>
          <w:sz w:val="24"/>
          <w:szCs w:val="24"/>
          <w:rtl/>
        </w:rPr>
      </w:pPr>
      <w:r w:rsidRPr="0062340E">
        <w:rPr>
          <w:rFonts w:ascii="Simplified Arabic" w:hAnsi="Simplified Arabic" w:cs="Simplified Arabic"/>
          <w:sz w:val="24"/>
          <w:szCs w:val="24"/>
          <w:rtl/>
        </w:rPr>
        <w:t>المرونة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هو</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مصطلح</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تم</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ادراجه</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اللغة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الانكليزية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في</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بداية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القرن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السابع</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عشر</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الفعل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اللاتيني</w:t>
      </w:r>
      <w:r w:rsidRPr="0062340E">
        <w:rPr>
          <w:rFonts w:asciiTheme="majorBidi" w:hAnsiTheme="majorBidi" w:cstheme="majorBidi"/>
          <w:sz w:val="24"/>
          <w:szCs w:val="24"/>
        </w:rPr>
        <w:t>(</w:t>
      </w:r>
      <w:r w:rsidRPr="0062340E">
        <w:rPr>
          <w:rFonts w:asciiTheme="majorBidi" w:hAnsiTheme="majorBidi" w:cstheme="majorBidi"/>
          <w:sz w:val="24"/>
          <w:szCs w:val="24"/>
          <w:lang w:val="en-US" w:bidi="ar-DZ"/>
        </w:rPr>
        <w:t>resalire</w:t>
      </w:r>
      <w:r w:rsidRPr="0062340E">
        <w:rPr>
          <w:rFonts w:asciiTheme="majorBidi" w:hAnsiTheme="majorBidi" w:cstheme="majorBidi"/>
          <w:sz w:val="24"/>
          <w:szCs w:val="24"/>
        </w:rPr>
        <w:t xml:space="preserve">) </w:t>
      </w:r>
      <w:r w:rsidRPr="0062340E">
        <w:rPr>
          <w:rFonts w:ascii="Simplified Arabic" w:hAnsi="Simplified Arabic" w:cs="Simplified Arabic" w:hint="cs"/>
          <w:sz w:val="24"/>
          <w:szCs w:val="24"/>
          <w:rtl/>
        </w:rPr>
        <w:t>،</w:t>
      </w:r>
      <w:r w:rsidRPr="0062340E">
        <w:rPr>
          <w:rFonts w:asciiTheme="minorBidi" w:hAnsiTheme="minorBidi" w:hint="cs"/>
          <w:sz w:val="24"/>
          <w:szCs w:val="24"/>
          <w:rtl/>
        </w:rPr>
        <w:t xml:space="preserve"> </w:t>
      </w:r>
      <w:r w:rsidR="008A51FE" w:rsidRPr="0062340E">
        <w:rPr>
          <w:rFonts w:ascii="Simplified Arabic" w:hAnsi="Simplified Arabic" w:cs="Simplified Arabic" w:hint="cs"/>
          <w:sz w:val="24"/>
          <w:szCs w:val="24"/>
          <w:rtl/>
        </w:rPr>
        <w:t>وهي كلمة</w:t>
      </w:r>
      <w:r w:rsidRPr="0062340E">
        <w:rPr>
          <w:rFonts w:ascii="Simplified Arabic" w:hAnsi="Simplified Arabic" w:cs="Simplified Arabic" w:hint="cs"/>
          <w:sz w:val="24"/>
          <w:szCs w:val="24"/>
          <w:rtl/>
        </w:rPr>
        <w:t>، مركبة من الجزء الاول (</w:t>
      </w:r>
      <w:r w:rsidRPr="0062340E">
        <w:rPr>
          <w:rFonts w:asciiTheme="majorBidi" w:hAnsiTheme="majorBidi" w:cstheme="majorBidi"/>
          <w:sz w:val="24"/>
          <w:szCs w:val="24"/>
          <w:lang w:val="en-US" w:bidi="ar-DZ"/>
        </w:rPr>
        <w:t>re</w:t>
      </w:r>
      <w:r w:rsidRPr="0062340E">
        <w:rPr>
          <w:rFonts w:asciiTheme="majorBidi" w:hAnsiTheme="majorBidi" w:cstheme="majorBidi" w:hint="cs"/>
          <w:sz w:val="24"/>
          <w:szCs w:val="24"/>
          <w:rtl/>
          <w:lang w:val="en-US" w:bidi="ar-DZ"/>
        </w:rPr>
        <w:t>:</w:t>
      </w:r>
      <w:r w:rsidRPr="0062340E">
        <w:rPr>
          <w:rFonts w:asciiTheme="minorBidi" w:hAnsiTheme="minorBidi"/>
          <w:sz w:val="24"/>
          <w:szCs w:val="24"/>
          <w:rtl/>
        </w:rPr>
        <w:t xml:space="preserve"> </w:t>
      </w:r>
      <w:r w:rsidRPr="0062340E">
        <w:rPr>
          <w:rFonts w:ascii="Simplified Arabic" w:hAnsi="Simplified Arabic" w:cs="Simplified Arabic"/>
          <w:sz w:val="24"/>
          <w:szCs w:val="24"/>
          <w:rtl/>
        </w:rPr>
        <w:t>بمعنى</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الى الوراء) والجزء الثاني (</w:t>
      </w:r>
      <w:r w:rsidRPr="0062340E">
        <w:rPr>
          <w:rFonts w:asciiTheme="majorBidi" w:hAnsiTheme="majorBidi" w:cstheme="majorBidi"/>
          <w:sz w:val="24"/>
          <w:szCs w:val="24"/>
          <w:lang w:val="en-US" w:bidi="ar-DZ"/>
        </w:rPr>
        <w:t>salire</w:t>
      </w:r>
      <w:r w:rsidRPr="0062340E">
        <w:rPr>
          <w:rFonts w:asciiTheme="majorBidi" w:hAnsiTheme="majorBidi" w:cstheme="majorBidi" w:hint="cs"/>
          <w:sz w:val="24"/>
          <w:szCs w:val="24"/>
          <w:rtl/>
          <w:lang w:val="en-US" w:bidi="ar-DZ"/>
        </w:rPr>
        <w:t xml:space="preserve">: </w:t>
      </w:r>
      <w:r w:rsidRPr="0062340E">
        <w:rPr>
          <w:rFonts w:ascii="Simplified Arabic" w:hAnsi="Simplified Arabic" w:cs="Simplified Arabic" w:hint="cs"/>
          <w:sz w:val="24"/>
          <w:szCs w:val="24"/>
          <w:rtl/>
        </w:rPr>
        <w:t>العودة)</w:t>
      </w:r>
      <w:r w:rsidRPr="0062340E">
        <w:rPr>
          <w:rFonts w:hint="cs"/>
          <w:sz w:val="24"/>
          <w:szCs w:val="24"/>
          <w:rtl/>
        </w:rPr>
        <w:t xml:space="preserve"> </w:t>
      </w:r>
      <w:r w:rsidRPr="0062340E">
        <w:rPr>
          <w:rFonts w:ascii="Simplified Arabic" w:hAnsi="Simplified Arabic" w:cs="Simplified Arabic" w:hint="cs"/>
          <w:sz w:val="24"/>
          <w:szCs w:val="24"/>
          <w:rtl/>
        </w:rPr>
        <w:t>بمعنى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العودة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الوراء </w:t>
      </w:r>
      <w:r w:rsidRPr="0062340E">
        <w:rPr>
          <w:rFonts w:asciiTheme="majorBidi" w:hAnsiTheme="majorBidi" w:cstheme="majorBidi"/>
          <w:sz w:val="24"/>
          <w:szCs w:val="24"/>
        </w:rPr>
        <w:t>(</w:t>
      </w:r>
      <w:r w:rsidRPr="0062340E">
        <w:rPr>
          <w:rFonts w:asciiTheme="majorBidi" w:hAnsiTheme="majorBidi" w:cstheme="majorBidi"/>
          <w:color w:val="0D0D0D"/>
          <w:sz w:val="24"/>
          <w:szCs w:val="24"/>
        </w:rPr>
        <w:t>Gunderson, 200</w:t>
      </w:r>
      <w:r w:rsidRPr="0062340E">
        <w:rPr>
          <w:rFonts w:asciiTheme="majorBidi" w:hAnsiTheme="majorBidi" w:cstheme="majorBidi"/>
          <w:sz w:val="24"/>
          <w:szCs w:val="24"/>
        </w:rPr>
        <w:t>9)</w:t>
      </w:r>
      <w:r w:rsidRPr="0062340E">
        <w:rPr>
          <w:rFonts w:ascii="Simplified Arabic" w:hAnsi="Simplified Arabic" w:cs="Simplified Arabic" w:hint="cs"/>
          <w:sz w:val="24"/>
          <w:szCs w:val="24"/>
          <w:rtl/>
        </w:rPr>
        <w:t>.</w:t>
      </w:r>
      <w:r w:rsidRPr="0062340E">
        <w:rPr>
          <w:rFonts w:asciiTheme="minorBidi" w:hAnsiTheme="minorBidi" w:hint="cs"/>
          <w:sz w:val="24"/>
          <w:szCs w:val="24"/>
          <w:rtl/>
        </w:rPr>
        <w:t xml:space="preserve"> </w:t>
      </w:r>
      <w:r w:rsidRPr="0062340E">
        <w:rPr>
          <w:rFonts w:ascii="Simplified Arabic" w:hAnsi="Simplified Arabic" w:cs="Simplified Arabic" w:hint="cs"/>
          <w:sz w:val="24"/>
          <w:szCs w:val="24"/>
          <w:rtl/>
        </w:rPr>
        <w:t>في البداية، كان استعمال مصطلح المرونة لتوضيح فكرة ''الارتداد''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أجل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تحديد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الضوضاء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يصدرها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الصدى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أثناء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''الارتداد''</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المعنى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الأول،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الذي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أعطته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اللغة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الإنجليزية،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لكلمة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يعني</w:t>
      </w:r>
      <w:r w:rsidRPr="0062340E">
        <w:rPr>
          <w:rFonts w:ascii="Simplified Arabic" w:hAnsi="Simplified Arabic" w:cs="Simplified Arabic"/>
          <w:sz w:val="24"/>
          <w:szCs w:val="24"/>
          <w:rtl/>
        </w:rPr>
        <w:t xml:space="preserve"> </w:t>
      </w:r>
      <w:r w:rsidR="00C922D7" w:rsidRPr="0062340E">
        <w:rPr>
          <w:rFonts w:ascii="Simplified Arabic" w:hAnsi="Simplified Arabic" w:cs="Simplified Arabic" w:hint="cs"/>
          <w:sz w:val="24"/>
          <w:szCs w:val="24"/>
          <w:rtl/>
          <w:lang w:bidi="ar-DZ"/>
        </w:rPr>
        <w:t>''</w:t>
      </w:r>
      <w:r w:rsidRPr="0062340E">
        <w:rPr>
          <w:rFonts w:ascii="Simplified Arabic" w:hAnsi="Simplified Arabic" w:cs="Simplified Arabic" w:hint="cs"/>
          <w:sz w:val="24"/>
          <w:szCs w:val="24"/>
          <w:rtl/>
        </w:rPr>
        <w:t>الارتداد</w:t>
      </w:r>
      <w:r w:rsidR="00C922D7" w:rsidRPr="0062340E">
        <w:rPr>
          <w:rFonts w:ascii="Simplified Arabic" w:hAnsi="Simplified Arabic" w:cs="Simplified Arabic" w:hint="cs"/>
          <w:sz w:val="24"/>
          <w:szCs w:val="24"/>
          <w:rtl/>
        </w:rPr>
        <w:t>''</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00C922D7" w:rsidRPr="0062340E">
        <w:rPr>
          <w:rFonts w:ascii="Simplified Arabic" w:hAnsi="Simplified Arabic" w:cs="Simplified Arabic" w:hint="cs"/>
          <w:sz w:val="24"/>
          <w:szCs w:val="24"/>
          <w:rtl/>
        </w:rPr>
        <w:t>''</w:t>
      </w:r>
      <w:r w:rsidRPr="0062340E">
        <w:rPr>
          <w:rFonts w:ascii="Simplified Arabic" w:hAnsi="Simplified Arabic" w:cs="Simplified Arabic" w:hint="cs"/>
          <w:sz w:val="24"/>
          <w:szCs w:val="24"/>
          <w:rtl/>
        </w:rPr>
        <w:t>التعافي</w:t>
      </w:r>
      <w:r w:rsidR="00C922D7"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w:t>
      </w:r>
    </w:p>
    <w:p w:rsidR="00A903CE" w:rsidRPr="0062340E" w:rsidRDefault="00A903CE" w:rsidP="00E612F7">
      <w:pPr>
        <w:autoSpaceDE w:val="0"/>
        <w:autoSpaceDN w:val="0"/>
        <w:bidi/>
        <w:adjustRightInd w:val="0"/>
        <w:spacing w:after="0"/>
        <w:ind w:left="-2" w:firstLine="284"/>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نظرًا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لاستخدام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عديد المجالات العلمية</w:t>
      </w:r>
      <w:r w:rsidRPr="0062340E">
        <w:rPr>
          <w:rFonts w:ascii="Simplified Arabic" w:hAnsi="Simplified Arabic" w:cs="Simplified Arabic" w:hint="cs"/>
          <w:sz w:val="24"/>
          <w:szCs w:val="24"/>
          <w:rtl/>
        </w:rPr>
        <w:t xml:space="preserve"> مثل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مقاومة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الكوارث،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الهندسية،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البيئية،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الاجتماعية</w:t>
      </w:r>
      <w:r w:rsidRPr="0062340E">
        <w:rPr>
          <w:rFonts w:ascii="Simplified Arabic" w:hAnsi="Simplified Arabic" w:cs="Simplified Arabic"/>
          <w:sz w:val="24"/>
          <w:szCs w:val="24"/>
          <w:rtl/>
        </w:rPr>
        <w:t xml:space="preserve"> - </w:t>
      </w:r>
      <w:r w:rsidRPr="0062340E">
        <w:rPr>
          <w:rFonts w:ascii="Simplified Arabic" w:hAnsi="Simplified Arabic" w:cs="Simplified Arabic" w:hint="cs"/>
          <w:sz w:val="24"/>
          <w:szCs w:val="24"/>
          <w:rtl/>
        </w:rPr>
        <w:t>البيئية، 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التطورية،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التكيف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تغير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المناخ</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فإن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لكل مجال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علمي تعريفاته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الخاصة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به</w:t>
      </w:r>
      <w:r w:rsidRPr="0062340E">
        <w:rPr>
          <w:rFonts w:asciiTheme="minorBidi" w:hAnsiTheme="minorBidi" w:cs="Arial" w:hint="cs"/>
          <w:color w:val="000000" w:themeColor="text1"/>
          <w:sz w:val="24"/>
          <w:szCs w:val="24"/>
          <w:rtl/>
          <w:lang w:val="en-US"/>
        </w:rPr>
        <w:t xml:space="preserve"> </w:t>
      </w:r>
      <w:r w:rsidRPr="0062340E">
        <w:rPr>
          <w:rFonts w:asciiTheme="majorBidi" w:hAnsiTheme="majorBidi" w:cstheme="majorBidi"/>
          <w:color w:val="000000" w:themeColor="text1"/>
          <w:sz w:val="24"/>
          <w:szCs w:val="24"/>
        </w:rPr>
        <w:t>(</w:t>
      </w:r>
      <w:r w:rsidRPr="0062340E">
        <w:rPr>
          <w:rFonts w:asciiTheme="majorBidi" w:hAnsiTheme="majorBidi" w:cstheme="majorBidi"/>
          <w:color w:val="0D0D0D"/>
          <w:sz w:val="24"/>
          <w:szCs w:val="24"/>
        </w:rPr>
        <w:t xml:space="preserve">Emrich </w:t>
      </w:r>
      <w:r w:rsidR="00E612F7">
        <w:rPr>
          <w:rFonts w:asciiTheme="majorBidi" w:hAnsiTheme="majorBidi" w:cstheme="majorBidi"/>
          <w:color w:val="0D0D0D"/>
          <w:sz w:val="24"/>
          <w:szCs w:val="24"/>
        </w:rPr>
        <w:t>&amp;</w:t>
      </w:r>
      <w:r w:rsidRPr="0062340E">
        <w:rPr>
          <w:rFonts w:asciiTheme="majorBidi" w:hAnsiTheme="majorBidi" w:cstheme="majorBidi"/>
          <w:color w:val="0D0D0D"/>
          <w:sz w:val="24"/>
          <w:szCs w:val="24"/>
        </w:rPr>
        <w:t xml:space="preserve"> Tobi</w:t>
      </w:r>
      <w:r w:rsidRPr="0062340E">
        <w:rPr>
          <w:rFonts w:asciiTheme="majorBidi" w:hAnsiTheme="majorBidi" w:cstheme="majorBidi"/>
          <w:color w:val="000000" w:themeColor="text1"/>
          <w:sz w:val="24"/>
          <w:szCs w:val="24"/>
        </w:rPr>
        <w:t>n, 2018)</w:t>
      </w:r>
      <w:r w:rsidRPr="0062340E">
        <w:rPr>
          <w:rFonts w:asciiTheme="minorBidi" w:hAnsiTheme="minorBidi" w:cs="Arial"/>
          <w:color w:val="000000" w:themeColor="text1"/>
          <w:sz w:val="24"/>
          <w:szCs w:val="24"/>
          <w:rtl/>
          <w:lang w:val="en-US"/>
        </w:rPr>
        <w:t>.</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p>
    <w:p w:rsidR="00A903CE" w:rsidRPr="0062340E" w:rsidRDefault="00A903CE" w:rsidP="0085017B">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ناحية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أخرى،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يعتبر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المفاهيم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الحديثة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الاستخدام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التي تم دمجها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مجال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تسيير المخاطر</w:t>
      </w:r>
      <w:r w:rsidRPr="0062340E">
        <w:rPr>
          <w:rFonts w:ascii="Simplified Arabic" w:hAnsi="Simplified Arabic" w:cs="Simplified Arabic" w:hint="cs"/>
          <w:color w:val="000000" w:themeColor="text1"/>
          <w:sz w:val="24"/>
          <w:szCs w:val="24"/>
          <w:rtl/>
          <w:lang w:bidi="ar-DZ"/>
        </w:rPr>
        <w:t xml:space="preserve"> حسب الشكل (</w:t>
      </w:r>
      <w:r w:rsidR="0085017B" w:rsidRPr="0062340E">
        <w:rPr>
          <w:rFonts w:ascii="Simplified Arabic" w:hAnsi="Simplified Arabic" w:cs="Simplified Arabic" w:hint="cs"/>
          <w:color w:val="000000" w:themeColor="text1"/>
          <w:sz w:val="24"/>
          <w:szCs w:val="24"/>
          <w:rtl/>
          <w:lang w:bidi="ar-DZ"/>
        </w:rPr>
        <w:t>1-5</w:t>
      </w:r>
      <w:r w:rsidRPr="0062340E">
        <w:rPr>
          <w:rFonts w:ascii="Simplified Arabic" w:hAnsi="Simplified Arabic" w:cs="Simplified Arabic" w:hint="cs"/>
          <w:color w:val="000000" w:themeColor="text1"/>
          <w:sz w:val="24"/>
          <w:szCs w:val="24"/>
          <w:rtl/>
          <w:lang w:bidi="ar-DZ"/>
        </w:rPr>
        <w:t>)</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00083967" w:rsidRPr="0062340E">
        <w:rPr>
          <w:rFonts w:ascii="Simplified Arabic" w:hAnsi="Simplified Arabic" w:cs="Simplified Arabic" w:hint="cs"/>
          <w:color w:val="000000" w:themeColor="text1"/>
          <w:sz w:val="24"/>
          <w:szCs w:val="24"/>
          <w:rtl/>
        </w:rPr>
        <w:t>كثر استعماله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العلماء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وكذلك</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الهيئات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الدولية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المسؤولة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الكوارث</w:t>
      </w:r>
      <w:r w:rsidRPr="0062340E">
        <w:rPr>
          <w:rFonts w:ascii="Simplified Arabic" w:hAnsi="Simplified Arabic" w:cs="Simplified Arabic"/>
          <w:color w:val="000000" w:themeColor="text1"/>
          <w:sz w:val="24"/>
          <w:szCs w:val="24"/>
          <w:rtl/>
        </w:rPr>
        <w:t>.</w:t>
      </w:r>
    </w:p>
    <w:p w:rsidR="00D57FDF" w:rsidRDefault="00D57FDF" w:rsidP="00F92DFA">
      <w:pPr>
        <w:pStyle w:val="fegure"/>
        <w:spacing w:before="240"/>
        <w:rPr>
          <w:szCs w:val="24"/>
          <w:rtl/>
          <w:lang w:bidi="ar-DZ"/>
        </w:rPr>
      </w:pPr>
      <w:bookmarkStart w:id="136" w:name="_Toc157561437"/>
      <w:bookmarkStart w:id="137" w:name="_Toc157562770"/>
      <w:bookmarkStart w:id="138" w:name="_Toc157608266"/>
    </w:p>
    <w:p w:rsidR="00D57FDF" w:rsidRDefault="00D57FDF" w:rsidP="00F92DFA">
      <w:pPr>
        <w:pStyle w:val="fegure"/>
        <w:spacing w:before="240"/>
        <w:rPr>
          <w:szCs w:val="24"/>
          <w:rtl/>
          <w:lang w:bidi="ar-DZ"/>
        </w:rPr>
      </w:pPr>
    </w:p>
    <w:p w:rsidR="00D57FDF" w:rsidRDefault="00D57FDF" w:rsidP="00F92DFA">
      <w:pPr>
        <w:pStyle w:val="fegure"/>
        <w:spacing w:before="240"/>
        <w:rPr>
          <w:szCs w:val="24"/>
          <w:rtl/>
          <w:lang w:bidi="ar-DZ"/>
        </w:rPr>
      </w:pPr>
    </w:p>
    <w:p w:rsidR="00A903CE" w:rsidRPr="0062340E" w:rsidRDefault="00A903CE" w:rsidP="00F92DFA">
      <w:pPr>
        <w:pStyle w:val="fegure"/>
        <w:spacing w:before="240"/>
        <w:rPr>
          <w:szCs w:val="24"/>
          <w:rtl/>
          <w:lang w:bidi="ar-DZ"/>
        </w:rPr>
      </w:pPr>
      <w:bookmarkStart w:id="139" w:name="_Toc171803353"/>
      <w:r w:rsidRPr="0062340E">
        <w:rPr>
          <w:rFonts w:hint="cs"/>
          <w:szCs w:val="24"/>
          <w:rtl/>
          <w:lang w:bidi="ar-DZ"/>
        </w:rPr>
        <w:lastRenderedPageBreak/>
        <w:t>ا</w:t>
      </w:r>
      <w:r w:rsidRPr="0062340E">
        <w:rPr>
          <w:szCs w:val="24"/>
          <w:rtl/>
          <w:lang w:bidi="ar-DZ"/>
        </w:rPr>
        <w:t xml:space="preserve">لشكل </w:t>
      </w:r>
      <w:r w:rsidRPr="0062340E">
        <w:rPr>
          <w:rFonts w:hint="cs"/>
          <w:szCs w:val="24"/>
          <w:rtl/>
          <w:lang w:bidi="ar-DZ"/>
        </w:rPr>
        <w:t>(</w:t>
      </w:r>
      <w:r w:rsidR="007C7C95" w:rsidRPr="0062340E">
        <w:rPr>
          <w:rFonts w:hint="cs"/>
          <w:szCs w:val="24"/>
          <w:rtl/>
          <w:lang w:bidi="ar-DZ"/>
        </w:rPr>
        <w:t>1-5</w:t>
      </w:r>
      <w:r w:rsidRPr="0062340E">
        <w:rPr>
          <w:rFonts w:hint="cs"/>
          <w:szCs w:val="24"/>
          <w:rtl/>
          <w:lang w:bidi="ar-DZ"/>
        </w:rPr>
        <w:t>)</w:t>
      </w:r>
      <w:r w:rsidRPr="0062340E">
        <w:rPr>
          <w:szCs w:val="24"/>
          <w:rtl/>
          <w:lang w:bidi="ar-DZ"/>
        </w:rPr>
        <w:t xml:space="preserve">: </w:t>
      </w:r>
      <w:r w:rsidRPr="0062340E">
        <w:rPr>
          <w:rFonts w:hint="cs"/>
          <w:szCs w:val="24"/>
          <w:rtl/>
          <w:lang w:bidi="ar-DZ"/>
        </w:rPr>
        <w:t>تعدد</w:t>
      </w:r>
      <w:r w:rsidRPr="0062340E">
        <w:rPr>
          <w:szCs w:val="24"/>
          <w:rtl/>
          <w:lang w:bidi="ar-DZ"/>
        </w:rPr>
        <w:t xml:space="preserve"> التخصصات التي تستخدم </w:t>
      </w:r>
      <w:r w:rsidRPr="0062340E">
        <w:rPr>
          <w:rFonts w:hint="cs"/>
          <w:szCs w:val="24"/>
          <w:rtl/>
          <w:lang w:bidi="ar-DZ"/>
        </w:rPr>
        <w:t xml:space="preserve">مفهوم </w:t>
      </w:r>
      <w:r w:rsidRPr="0062340E">
        <w:rPr>
          <w:szCs w:val="24"/>
          <w:rtl/>
          <w:lang w:bidi="ar-DZ"/>
        </w:rPr>
        <w:t>المرونة</w:t>
      </w:r>
      <w:bookmarkEnd w:id="136"/>
      <w:bookmarkEnd w:id="137"/>
      <w:bookmarkEnd w:id="138"/>
      <w:bookmarkEnd w:id="139"/>
    </w:p>
    <w:p w:rsidR="00A903CE" w:rsidRPr="0062340E" w:rsidRDefault="00A903CE" w:rsidP="00083967">
      <w:pPr>
        <w:pStyle w:val="Default"/>
        <w:bidi/>
        <w:jc w:val="center"/>
        <w:rPr>
          <w:b/>
          <w:bCs/>
        </w:rPr>
      </w:pPr>
      <w:r w:rsidRPr="0062340E">
        <w:rPr>
          <w:rFonts w:ascii="Simplified Arabic" w:hAnsi="Simplified Arabic" w:cs="Simplified Arabic"/>
          <w:b/>
          <w:bCs/>
          <w:rtl/>
        </w:rPr>
        <w:t>المصدر:</w:t>
      </w:r>
      <w:r w:rsidRPr="0062340E">
        <w:rPr>
          <w:rFonts w:hint="cs"/>
          <w:b/>
          <w:bCs/>
          <w:rtl/>
        </w:rPr>
        <w:t xml:space="preserve"> </w:t>
      </w:r>
      <w:r w:rsidRPr="0062340E">
        <w:rPr>
          <w:b/>
          <w:bCs/>
        </w:rPr>
        <w:t>(Géraldine et al, 2011)</w:t>
      </w:r>
    </w:p>
    <w:p w:rsidR="00A903CE" w:rsidRPr="0062340E" w:rsidRDefault="00A903CE" w:rsidP="000101D0">
      <w:pPr>
        <w:autoSpaceDE w:val="0"/>
        <w:autoSpaceDN w:val="0"/>
        <w:bidi/>
        <w:adjustRightInd w:val="0"/>
        <w:spacing w:before="240"/>
        <w:jc w:val="center"/>
        <w:rPr>
          <w:rFonts w:ascii="Simplified Arabic" w:hAnsi="Simplified Arabic" w:cs="Simplified Arabic"/>
          <w:color w:val="000000" w:themeColor="text1"/>
          <w:sz w:val="24"/>
          <w:szCs w:val="24"/>
          <w:rtl/>
        </w:rPr>
      </w:pPr>
      <w:r w:rsidRPr="0062340E">
        <w:rPr>
          <w:rFonts w:ascii="Simplified Arabic" w:hAnsi="Simplified Arabic" w:cs="Simplified Arabic" w:hint="cs"/>
          <w:noProof/>
          <w:color w:val="000000" w:themeColor="text1"/>
          <w:sz w:val="24"/>
          <w:szCs w:val="24"/>
          <w:rtl/>
          <w:lang w:eastAsia="fr-FR"/>
        </w:rPr>
        <w:drawing>
          <wp:inline distT="0" distB="0" distL="0" distR="0" wp14:anchorId="6855F4AA" wp14:editId="44980DC7">
            <wp:extent cx="5276537" cy="3157268"/>
            <wp:effectExtent l="19050" t="19050" r="19685" b="2413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tretch>
                      <a:fillRect/>
                    </a:stretch>
                  </pic:blipFill>
                  <pic:spPr bwMode="auto">
                    <a:xfrm>
                      <a:off x="0" y="0"/>
                      <a:ext cx="5284094" cy="3161790"/>
                    </a:xfrm>
                    <a:prstGeom prst="rect">
                      <a:avLst/>
                    </a:prstGeom>
                    <a:noFill/>
                    <a:ln>
                      <a:solidFill>
                        <a:schemeClr val="tx1"/>
                      </a:solidFill>
                    </a:ln>
                  </pic:spPr>
                </pic:pic>
              </a:graphicData>
            </a:graphic>
          </wp:inline>
        </w:drawing>
      </w:r>
    </w:p>
    <w:p w:rsidR="002B4162" w:rsidRPr="0062340E" w:rsidRDefault="002B4162" w:rsidP="001D0548">
      <w:pPr>
        <w:pStyle w:val="Paragraphedeliste"/>
        <w:numPr>
          <w:ilvl w:val="0"/>
          <w:numId w:val="32"/>
        </w:numPr>
        <w:tabs>
          <w:tab w:val="right" w:pos="708"/>
        </w:tabs>
        <w:bidi/>
        <w:spacing w:after="0" w:line="240" w:lineRule="auto"/>
        <w:rPr>
          <w:rFonts w:ascii="Simplified Arabic" w:hAnsi="Simplified Arabic" w:cs="Simplified Arabic"/>
          <w:b/>
          <w:bCs/>
          <w:vanish/>
          <w:color w:val="000000" w:themeColor="text1"/>
          <w:sz w:val="24"/>
          <w:szCs w:val="24"/>
          <w:rtl/>
          <w:lang w:val="en-US"/>
        </w:rPr>
      </w:pPr>
    </w:p>
    <w:p w:rsidR="002B4162" w:rsidRPr="0062340E" w:rsidRDefault="002B4162" w:rsidP="001D0548">
      <w:pPr>
        <w:pStyle w:val="Paragraphedeliste"/>
        <w:numPr>
          <w:ilvl w:val="0"/>
          <w:numId w:val="32"/>
        </w:numPr>
        <w:tabs>
          <w:tab w:val="right" w:pos="708"/>
        </w:tabs>
        <w:bidi/>
        <w:spacing w:after="0" w:line="240" w:lineRule="auto"/>
        <w:rPr>
          <w:rFonts w:ascii="Simplified Arabic" w:hAnsi="Simplified Arabic" w:cs="Simplified Arabic"/>
          <w:b/>
          <w:bCs/>
          <w:vanish/>
          <w:color w:val="000000" w:themeColor="text1"/>
          <w:sz w:val="24"/>
          <w:szCs w:val="24"/>
          <w:rtl/>
          <w:lang w:val="en-US"/>
        </w:rPr>
      </w:pPr>
    </w:p>
    <w:p w:rsidR="002B4162" w:rsidRPr="0062340E" w:rsidRDefault="002B4162" w:rsidP="001D0548">
      <w:pPr>
        <w:pStyle w:val="Paragraphedeliste"/>
        <w:numPr>
          <w:ilvl w:val="1"/>
          <w:numId w:val="32"/>
        </w:numPr>
        <w:tabs>
          <w:tab w:val="right" w:pos="708"/>
        </w:tabs>
        <w:bidi/>
        <w:spacing w:after="0" w:line="240" w:lineRule="auto"/>
        <w:rPr>
          <w:rFonts w:ascii="Simplified Arabic" w:hAnsi="Simplified Arabic" w:cs="Simplified Arabic"/>
          <w:b/>
          <w:bCs/>
          <w:vanish/>
          <w:color w:val="000000" w:themeColor="text1"/>
          <w:sz w:val="24"/>
          <w:szCs w:val="24"/>
          <w:rtl/>
          <w:lang w:val="en-US"/>
        </w:rPr>
      </w:pPr>
    </w:p>
    <w:p w:rsidR="00A903CE" w:rsidRPr="0062340E" w:rsidRDefault="00A903CE" w:rsidP="004D4F07">
      <w:pPr>
        <w:pStyle w:val="Paragraphedeliste"/>
        <w:numPr>
          <w:ilvl w:val="2"/>
          <w:numId w:val="32"/>
        </w:numPr>
        <w:tabs>
          <w:tab w:val="right" w:pos="850"/>
        </w:tabs>
        <w:bidi/>
        <w:spacing w:before="240" w:after="0" w:line="240" w:lineRule="auto"/>
        <w:ind w:left="0" w:firstLine="0"/>
        <w:outlineLvl w:val="1"/>
        <w:rPr>
          <w:rFonts w:ascii="Simplified Arabic" w:hAnsi="Simplified Arabic" w:cs="Simplified Arabic"/>
          <w:b/>
          <w:bCs/>
          <w:color w:val="000000" w:themeColor="text1"/>
          <w:sz w:val="24"/>
          <w:szCs w:val="24"/>
          <w:lang w:val="en-US"/>
        </w:rPr>
      </w:pPr>
      <w:bookmarkStart w:id="140" w:name="_Toc171803354"/>
      <w:r w:rsidRPr="0062340E">
        <w:rPr>
          <w:rFonts w:ascii="Simplified Arabic" w:hAnsi="Simplified Arabic" w:cs="Simplified Arabic" w:hint="cs"/>
          <w:b/>
          <w:bCs/>
          <w:color w:val="000000" w:themeColor="text1"/>
          <w:sz w:val="24"/>
          <w:szCs w:val="24"/>
          <w:rtl/>
          <w:lang w:val="en-US"/>
        </w:rPr>
        <w:t>الاوجه الثلاثة لتصورات المرونة</w:t>
      </w:r>
      <w:bookmarkEnd w:id="140"/>
      <w:r w:rsidRPr="0062340E">
        <w:rPr>
          <w:rFonts w:ascii="Simplified Arabic" w:hAnsi="Simplified Arabic" w:cs="Simplified Arabic"/>
          <w:b/>
          <w:bCs/>
          <w:color w:val="000000" w:themeColor="text1"/>
          <w:sz w:val="24"/>
          <w:szCs w:val="24"/>
          <w:rtl/>
          <w:lang w:val="en-US"/>
        </w:rPr>
        <w:t xml:space="preserve"> </w:t>
      </w:r>
    </w:p>
    <w:p w:rsidR="00A903CE" w:rsidRPr="0062340E" w:rsidRDefault="00A903CE" w:rsidP="00A903CE">
      <w:pPr>
        <w:bidi/>
        <w:spacing w:after="0"/>
        <w:ind w:left="-13" w:firstLine="295"/>
        <w:jc w:val="both"/>
        <w:rPr>
          <w:rFonts w:ascii="Simplified Arabic" w:hAnsi="Simplified Arabic" w:cs="Simplified Arabic"/>
          <w:color w:val="000000" w:themeColor="text1"/>
          <w:sz w:val="24"/>
          <w:szCs w:val="24"/>
          <w:lang w:val="en-US"/>
        </w:rPr>
      </w:pPr>
      <w:r w:rsidRPr="0062340E">
        <w:rPr>
          <w:rFonts w:ascii="Simplified Arabic" w:hAnsi="Simplified Arabic" w:cs="Simplified Arabic" w:hint="cs"/>
          <w:color w:val="000000" w:themeColor="text1"/>
          <w:sz w:val="24"/>
          <w:szCs w:val="24"/>
          <w:rtl/>
          <w:lang w:val="en-US" w:bidi="ar-DZ"/>
        </w:rPr>
        <w:t xml:space="preserve">لقد </w:t>
      </w:r>
      <w:r w:rsidRPr="0062340E">
        <w:rPr>
          <w:rFonts w:ascii="Simplified Arabic" w:hAnsi="Simplified Arabic" w:cs="Simplified Arabic" w:hint="cs"/>
          <w:color w:val="000000" w:themeColor="text1"/>
          <w:sz w:val="24"/>
          <w:szCs w:val="24"/>
          <w:rtl/>
          <w:lang w:val="en-US"/>
        </w:rPr>
        <w:t>ميّز</w:t>
      </w:r>
      <w:r w:rsidRPr="0062340E">
        <w:rPr>
          <w:rFonts w:ascii="Simplified Arabic" w:hAnsi="Simplified Arabic" w:cs="Simplified Arabic"/>
          <w:color w:val="000000" w:themeColor="text1"/>
          <w:sz w:val="24"/>
          <w:szCs w:val="24"/>
          <w:rtl/>
          <w:lang w:val="en-US"/>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D0D0D"/>
          <w:sz w:val="24"/>
          <w:szCs w:val="24"/>
        </w:rPr>
        <w:t>Davoudi, 2012</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ثلاثة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اوجه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واسعة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 الهندسية،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البيئية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w:t>
      </w:r>
      <w:r w:rsidR="009D411E" w:rsidRPr="0062340E">
        <w:rPr>
          <w:rFonts w:ascii="Simplified Arabic" w:hAnsi="Simplified Arabic" w:cs="Simplified Arabic" w:hint="cs"/>
          <w:color w:val="000000" w:themeColor="text1"/>
          <w:sz w:val="24"/>
          <w:szCs w:val="24"/>
          <w:rtl/>
          <w:lang w:val="en-US"/>
        </w:rPr>
        <w:t xml:space="preserve">المرونة </w:t>
      </w:r>
      <w:r w:rsidRPr="0062340E">
        <w:rPr>
          <w:rFonts w:ascii="Simplified Arabic" w:hAnsi="Simplified Arabic" w:cs="Simplified Arabic" w:hint="cs"/>
          <w:color w:val="000000" w:themeColor="text1"/>
          <w:sz w:val="24"/>
          <w:szCs w:val="24"/>
          <w:rtl/>
          <w:lang w:val="en-US"/>
        </w:rPr>
        <w:t>السوسيو-بيئية،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هذه الاخيرة التي اطلق عليها</w:t>
      </w:r>
      <w:r w:rsidRPr="0062340E">
        <w:rPr>
          <w:rFonts w:ascii="Simplified Arabic" w:hAnsi="Simplified Arabic" w:cs="Simplified Arabic"/>
          <w:color w:val="000000" w:themeColor="text1"/>
          <w:sz w:val="24"/>
          <w:szCs w:val="24"/>
          <w:rtl/>
          <w:lang w:val="en-US"/>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D0D0D"/>
          <w:sz w:val="24"/>
          <w:szCs w:val="24"/>
        </w:rPr>
        <w:t>Simmie &amp; Martin, 20</w:t>
      </w:r>
      <w:r w:rsidRPr="0062340E">
        <w:rPr>
          <w:rFonts w:asciiTheme="majorBidi" w:hAnsiTheme="majorBidi" w:cstheme="majorBidi"/>
          <w:color w:val="000000" w:themeColor="text1"/>
          <w:sz w:val="24"/>
          <w:szCs w:val="24"/>
        </w:rPr>
        <w:t>10</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اسم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التطورية</w:t>
      </w:r>
      <w:r w:rsidRPr="0062340E">
        <w:rPr>
          <w:rFonts w:ascii="Simplified Arabic" w:hAnsi="Simplified Arabic" w:cs="Simplified Arabic"/>
          <w:color w:val="000000" w:themeColor="text1"/>
          <w:sz w:val="24"/>
          <w:szCs w:val="24"/>
          <w:rtl/>
          <w:lang w:val="en-US"/>
        </w:rPr>
        <w:t>.</w:t>
      </w:r>
    </w:p>
    <w:p w:rsidR="00A903CE" w:rsidRPr="0062340E" w:rsidRDefault="00A903CE" w:rsidP="00D57FDF">
      <w:pPr>
        <w:pStyle w:val="Paragraphedeliste"/>
        <w:numPr>
          <w:ilvl w:val="3"/>
          <w:numId w:val="62"/>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rtl/>
          <w:lang w:val="en-US"/>
        </w:rPr>
      </w:pPr>
      <w:bookmarkStart w:id="141" w:name="_Toc171803355"/>
      <w:r w:rsidRPr="0062340E">
        <w:rPr>
          <w:rFonts w:ascii="Simplified Arabic" w:hAnsi="Simplified Arabic" w:cs="Simplified Arabic" w:hint="cs"/>
          <w:b/>
          <w:bCs/>
          <w:color w:val="000000" w:themeColor="text1"/>
          <w:sz w:val="24"/>
          <w:szCs w:val="24"/>
          <w:rtl/>
          <w:lang w:val="en-US"/>
        </w:rPr>
        <w:t>المرونة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الهندسية</w:t>
      </w:r>
      <w:bookmarkEnd w:id="141"/>
      <w:r w:rsidRPr="0062340E">
        <w:rPr>
          <w:rFonts w:ascii="Simplified Arabic" w:hAnsi="Simplified Arabic" w:cs="Simplified Arabic"/>
          <w:b/>
          <w:bCs/>
          <w:color w:val="000000" w:themeColor="text1"/>
          <w:sz w:val="24"/>
          <w:szCs w:val="24"/>
          <w:rtl/>
          <w:lang w:val="en-US"/>
        </w:rPr>
        <w:t xml:space="preserve"> </w:t>
      </w:r>
    </w:p>
    <w:p w:rsidR="00A903CE" w:rsidRPr="0062340E" w:rsidRDefault="00A903CE" w:rsidP="004D4F07">
      <w:pPr>
        <w:autoSpaceDE w:val="0"/>
        <w:autoSpaceDN w:val="0"/>
        <w:bidi/>
        <w:adjustRightInd w:val="0"/>
        <w:spacing w:after="0"/>
        <w:ind w:left="-2" w:firstLine="284"/>
        <w:jc w:val="both"/>
        <w:rPr>
          <w:rFonts w:ascii="Simplified Arabic" w:hAnsi="Simplified Arabic" w:cs="Simplified Arabic"/>
          <w:color w:val="000000" w:themeColor="text1"/>
          <w:sz w:val="24"/>
          <w:szCs w:val="24"/>
          <w:rtl/>
          <w:lang w:val="en-US"/>
        </w:rPr>
      </w:pPr>
      <w:r w:rsidRPr="0062340E">
        <w:rPr>
          <w:rFonts w:ascii="Simplified Arabic" w:hAnsi="Simplified Arabic" w:cs="Simplified Arabic" w:hint="cs"/>
          <w:color w:val="000000" w:themeColor="text1"/>
          <w:sz w:val="24"/>
          <w:szCs w:val="24"/>
          <w:rtl/>
          <w:lang w:val="en-US"/>
        </w:rPr>
        <w:t>تشير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الهندسية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قدرة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العودة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حالة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التوازن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أو</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الاستقرار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بعد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 xml:space="preserve">حدوث اضطراب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D0D0D"/>
          <w:sz w:val="24"/>
          <w:szCs w:val="24"/>
        </w:rPr>
        <w:t>Holling, 1973</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hint="cs"/>
          <w:color w:val="000000" w:themeColor="text1"/>
          <w:sz w:val="24"/>
          <w:szCs w:val="24"/>
          <w:rtl/>
          <w:lang w:val="en-US"/>
        </w:rPr>
        <w:t>،</w:t>
      </w:r>
      <w:r w:rsidRPr="0062340E">
        <w:rPr>
          <w:rFonts w:hint="cs"/>
          <w:sz w:val="24"/>
          <w:szCs w:val="24"/>
          <w:rtl/>
        </w:rPr>
        <w:t xml:space="preserve"> </w:t>
      </w:r>
      <w:r w:rsidRPr="0062340E">
        <w:rPr>
          <w:rFonts w:ascii="Simplified Arabic" w:hAnsi="Simplified Arabic" w:cs="Simplified Arabic" w:hint="cs"/>
          <w:color w:val="000000" w:themeColor="text1"/>
          <w:sz w:val="24"/>
          <w:szCs w:val="24"/>
          <w:rtl/>
          <w:lang w:val="en-US"/>
        </w:rPr>
        <w:t>التي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يمكن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يكون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كارثة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طبيعية،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مثل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الفيضانات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والزلازل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أو</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اضطراب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اجتماعي،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كالأزمات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المصرفية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والارهاب</w:t>
      </w:r>
      <w:r w:rsidRPr="0062340E">
        <w:rPr>
          <w:rFonts w:ascii="Simplified Arabic" w:hAnsi="Simplified Arabic" w:cs="Simplified Arabic"/>
          <w:color w:val="000000" w:themeColor="text1"/>
          <w:sz w:val="24"/>
          <w:szCs w:val="24"/>
          <w:rtl/>
          <w:lang w:val="en-US"/>
        </w:rPr>
        <w:t>.</w:t>
      </w:r>
      <w:r w:rsidRPr="0062340E">
        <w:rPr>
          <w:rFonts w:ascii="Simplified Arabic" w:hAnsi="Simplified Arabic" w:cs="Simplified Arabic" w:hint="cs"/>
          <w:color w:val="000000" w:themeColor="text1"/>
          <w:sz w:val="24"/>
          <w:szCs w:val="24"/>
          <w:rtl/>
          <w:lang w:val="en-US"/>
        </w:rPr>
        <w:t xml:space="preserve"> تعتبر مقاومة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الاضطراب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والسرعة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يعود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بها 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التوازن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هو</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مقياس</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 يرتكز وقت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العودة الى التوازن 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''الكفاءة، الثبات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والقدرة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التنبؤ''،</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وهي سمات كلها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ضرورية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لتصميم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هندسي آمن</w:t>
      </w:r>
      <w:r w:rsidRPr="0062340E">
        <w:rPr>
          <w:rFonts w:ascii="Simplified Arabic" w:hAnsi="Simplified Arabic" w:cs="Simplified Arabic"/>
          <w:color w:val="000000" w:themeColor="text1"/>
          <w:sz w:val="24"/>
          <w:szCs w:val="24"/>
          <w:rtl/>
          <w:lang w:val="en-US"/>
        </w:rPr>
        <w:t xml:space="preserve"> </w:t>
      </w:r>
      <w:r w:rsidRPr="0062340E">
        <w:rPr>
          <w:rFonts w:asciiTheme="majorBidi" w:hAnsiTheme="majorBidi" w:cstheme="majorBidi"/>
          <w:color w:val="000000" w:themeColor="text1"/>
          <w:sz w:val="24"/>
          <w:szCs w:val="24"/>
          <w:lang w:val="en-US"/>
        </w:rPr>
        <w:t>(</w:t>
      </w:r>
      <w:r w:rsidRPr="0062340E">
        <w:rPr>
          <w:rFonts w:asciiTheme="majorBidi" w:hAnsiTheme="majorBidi" w:cstheme="majorBidi"/>
          <w:color w:val="0D0D0D"/>
          <w:sz w:val="24"/>
          <w:szCs w:val="24"/>
        </w:rPr>
        <w:t>Holling</w:t>
      </w:r>
      <w:r w:rsidRPr="0062340E">
        <w:rPr>
          <w:rFonts w:asciiTheme="majorBidi" w:hAnsiTheme="majorBidi" w:cstheme="majorBidi"/>
          <w:color w:val="000000" w:themeColor="text1"/>
          <w:sz w:val="24"/>
          <w:szCs w:val="24"/>
          <w:lang w:val="en-US"/>
        </w:rPr>
        <w:t>, 1996)</w:t>
      </w:r>
      <w:r w:rsidRPr="0062340E">
        <w:rPr>
          <w:rFonts w:ascii="Simplified Arabic" w:hAnsi="Simplified Arabic" w:cs="Simplified Arabic"/>
          <w:color w:val="000000" w:themeColor="text1"/>
          <w:sz w:val="24"/>
          <w:szCs w:val="24"/>
          <w:rtl/>
          <w:lang w:val="en-US"/>
        </w:rPr>
        <w:t xml:space="preserve">. </w:t>
      </w:r>
    </w:p>
    <w:p w:rsidR="00A903CE" w:rsidRPr="0062340E" w:rsidRDefault="00A903CE" w:rsidP="00D57FDF">
      <w:pPr>
        <w:pStyle w:val="Paragraphedeliste"/>
        <w:numPr>
          <w:ilvl w:val="3"/>
          <w:numId w:val="247"/>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rtl/>
          <w:lang w:val="en-US"/>
        </w:rPr>
      </w:pPr>
      <w:bookmarkStart w:id="142" w:name="_Toc171803356"/>
      <w:r w:rsidRPr="0062340E">
        <w:rPr>
          <w:rFonts w:ascii="Simplified Arabic" w:hAnsi="Simplified Arabic" w:cs="Simplified Arabic" w:hint="cs"/>
          <w:b/>
          <w:bCs/>
          <w:color w:val="000000" w:themeColor="text1"/>
          <w:sz w:val="24"/>
          <w:szCs w:val="24"/>
          <w:rtl/>
          <w:lang w:val="en-US"/>
        </w:rPr>
        <w:t>المرونة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البيئية</w:t>
      </w:r>
      <w:bookmarkEnd w:id="142"/>
    </w:p>
    <w:p w:rsidR="00A903CE" w:rsidRPr="0062340E" w:rsidRDefault="00A903CE" w:rsidP="000F06E3">
      <w:pPr>
        <w:autoSpaceDE w:val="0"/>
        <w:autoSpaceDN w:val="0"/>
        <w:bidi/>
        <w:adjustRightInd w:val="0"/>
        <w:spacing w:after="0"/>
        <w:ind w:left="-2" w:firstLine="284"/>
        <w:jc w:val="both"/>
        <w:rPr>
          <w:rFonts w:ascii="Simplified Arabic" w:hAnsi="Simplified Arabic" w:cs="Simplified Arabic"/>
          <w:color w:val="000000" w:themeColor="text1"/>
          <w:sz w:val="24"/>
          <w:szCs w:val="24"/>
          <w:rtl/>
          <w:lang w:val="en-US"/>
        </w:rPr>
      </w:pPr>
      <w:r w:rsidRPr="0062340E">
        <w:rPr>
          <w:rFonts w:ascii="Simplified Arabic" w:hAnsi="Simplified Arabic" w:cs="Simplified Arabic" w:hint="cs"/>
          <w:color w:val="000000" w:themeColor="text1"/>
          <w:sz w:val="24"/>
          <w:szCs w:val="24"/>
          <w:rtl/>
          <w:lang w:val="en-US"/>
        </w:rPr>
        <w:t>تم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تعريف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البيئية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أنها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''حجم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الاضطراب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الذي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يمكن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امتصاصه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قبل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يغير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بنيته''</w:t>
      </w:r>
      <w:r w:rsidRPr="0062340E">
        <w:rPr>
          <w:rFonts w:ascii="Simplified Arabic" w:hAnsi="Simplified Arabic" w:cs="Simplified Arabic"/>
          <w:color w:val="000000" w:themeColor="text1"/>
          <w:sz w:val="24"/>
          <w:szCs w:val="24"/>
          <w:rtl/>
          <w:lang w:val="en-US"/>
        </w:rPr>
        <w:t xml:space="preserve"> </w:t>
      </w:r>
      <w:r w:rsidRPr="0062340E">
        <w:rPr>
          <w:rFonts w:asciiTheme="majorBidi" w:hAnsiTheme="majorBidi" w:cstheme="majorBidi"/>
          <w:color w:val="000000" w:themeColor="text1"/>
          <w:sz w:val="24"/>
          <w:szCs w:val="24"/>
          <w:lang w:val="en-US"/>
        </w:rPr>
        <w:t>(</w:t>
      </w:r>
      <w:r w:rsidRPr="0062340E">
        <w:rPr>
          <w:rFonts w:asciiTheme="majorBidi" w:hAnsiTheme="majorBidi" w:cstheme="majorBidi"/>
          <w:color w:val="0D0D0D"/>
          <w:sz w:val="24"/>
          <w:szCs w:val="24"/>
        </w:rPr>
        <w:t>Holling</w:t>
      </w:r>
      <w:r w:rsidRPr="0062340E">
        <w:rPr>
          <w:rFonts w:asciiTheme="majorBidi" w:hAnsiTheme="majorBidi" w:cstheme="majorBidi"/>
          <w:color w:val="000000" w:themeColor="text1"/>
          <w:sz w:val="24"/>
          <w:szCs w:val="24"/>
          <w:lang w:val="en-US"/>
        </w:rPr>
        <w:t>, 1996)</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يعتبر مقدار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الاضطراب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هو</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مقياس</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 الذي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يمكن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يتعرض له 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ويظل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ضمن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الحدود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الحرجة،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أيضًا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وفقًا للوقت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الذي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يستغرقه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للارتداد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بعد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الاضطراب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يتمثل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الاختلاف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الرئيسي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النوعين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(الهندسية، البيئية) في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البيئية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ترفض</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وجود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توازن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واحد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ومستقر.</w:t>
      </w:r>
    </w:p>
    <w:p w:rsidR="00A903CE" w:rsidRPr="0062340E" w:rsidRDefault="00A903CE" w:rsidP="00D57FDF">
      <w:pPr>
        <w:pStyle w:val="Paragraphedeliste"/>
        <w:numPr>
          <w:ilvl w:val="3"/>
          <w:numId w:val="63"/>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lang w:val="en-US"/>
        </w:rPr>
      </w:pPr>
      <w:bookmarkStart w:id="143" w:name="_Toc171803357"/>
      <w:r w:rsidRPr="0062340E">
        <w:rPr>
          <w:rFonts w:ascii="Simplified Arabic" w:hAnsi="Simplified Arabic" w:cs="Simplified Arabic" w:hint="cs"/>
          <w:b/>
          <w:bCs/>
          <w:color w:val="000000" w:themeColor="text1"/>
          <w:sz w:val="24"/>
          <w:szCs w:val="24"/>
          <w:rtl/>
          <w:lang w:val="en-US"/>
        </w:rPr>
        <w:t>المرونة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التطورية</w:t>
      </w:r>
      <w:bookmarkEnd w:id="143"/>
    </w:p>
    <w:p w:rsidR="00A903CE" w:rsidRPr="0062340E" w:rsidRDefault="00A903CE" w:rsidP="006062F6">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ما يهم هو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مدى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وبأي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طرق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يمكن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تعمل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كمفهوم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تطوري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Simmie &amp; Martin, 2010</w:t>
      </w:r>
      <w:r w:rsidRPr="0062340E">
        <w:rPr>
          <w:rFonts w:asciiTheme="majorBidi" w:hAnsiTheme="majorBidi" w:cstheme="majorBidi"/>
          <w:color w:val="000000" w:themeColor="text1"/>
          <w:sz w:val="24"/>
          <w:szCs w:val="24"/>
          <w:rtl/>
        </w:rPr>
        <w:t>)</w:t>
      </w:r>
      <w:r w:rsidRPr="0062340E">
        <w:rPr>
          <w:rFonts w:ascii="Simplified Arabic" w:hAnsi="Simplified Arabic" w:cs="Simplified Arabic" w:hint="cs"/>
          <w:color w:val="000000" w:themeColor="text1"/>
          <w:sz w:val="24"/>
          <w:szCs w:val="24"/>
          <w:rtl/>
        </w:rPr>
        <w:t>. ترفض</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التطورية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التوازن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بأكملها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وتدعو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طبيعة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الأنظمة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ذاتها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التغيير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بمرور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الوقت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وجود أو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بدون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اضطراب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خارجي</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Scheffer, 2009</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يطلق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بعض</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الباحثين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هذا التغيير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اسم المرونة</w:t>
      </w:r>
      <w:r w:rsidRPr="0062340E">
        <w:rPr>
          <w:rFonts w:ascii="Simplified Arabic" w:hAnsi="Simplified Arabic" w:cs="Simplified Arabic"/>
          <w:color w:val="000000" w:themeColor="text1"/>
          <w:sz w:val="24"/>
          <w:szCs w:val="24"/>
          <w:rtl/>
        </w:rPr>
        <w:t xml:space="preserve"> </w:t>
      </w:r>
      <w:r w:rsidR="006062F6" w:rsidRPr="0062340E">
        <w:rPr>
          <w:rFonts w:ascii="Simplified Arabic" w:hAnsi="Simplified Arabic" w:cs="Simplified Arabic" w:hint="cs"/>
          <w:color w:val="000000" w:themeColor="text1"/>
          <w:sz w:val="24"/>
          <w:szCs w:val="24"/>
          <w:rtl/>
          <w:lang w:val="en-US"/>
        </w:rPr>
        <w:t>السوسيو</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بيئية</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Folke et al., 2010</w:t>
      </w:r>
      <w:r w:rsidRPr="0062340E">
        <w:rPr>
          <w:rFonts w:asciiTheme="majorBidi" w:hAnsiTheme="majorBidi" w:cstheme="majorBidi"/>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lastRenderedPageBreak/>
        <w:t>يخضع هذا التغيير الى التفاعل المستمر بين الانظمة البيئية والاجتماعية</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بينما أطلق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آخرون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عليه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التطورية، هؤلاء أقاموا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رايهم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أوجه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التشابه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وجهتي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نظر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والمنظور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التطوري</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Simmie &amp; Martin, 2010</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يتفق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البحث مع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الرأي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الأخير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الذي أطلق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التطورية، نظرا للعلاقة دائمة التطور بين الانظمة الاجتماعية والبيئية معا.</w:t>
      </w:r>
      <w:r w:rsidRPr="0062340E">
        <w:rPr>
          <w:rFonts w:ascii="Simplified Arabic" w:hAnsi="Simplified Arabic" w:cs="Simplified Arabic"/>
          <w:color w:val="000000" w:themeColor="text1"/>
          <w:sz w:val="24"/>
          <w:szCs w:val="24"/>
          <w:rtl/>
        </w:rPr>
        <w:t xml:space="preserve"> </w:t>
      </w:r>
    </w:p>
    <w:p w:rsidR="00A903CE" w:rsidRPr="0062340E" w:rsidRDefault="00A903CE" w:rsidP="00B158B5">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لا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يمكن حصر رؤية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المنظور التطوري للمرونة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عودة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الحياة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الطبيعية،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النظم</w:t>
      </w:r>
      <w:r w:rsidRPr="0062340E">
        <w:rPr>
          <w:rFonts w:ascii="Simplified Arabic" w:hAnsi="Simplified Arabic" w:cs="Simplified Arabic"/>
          <w:color w:val="000000" w:themeColor="text1"/>
          <w:sz w:val="24"/>
          <w:szCs w:val="24"/>
          <w:rtl/>
        </w:rPr>
        <w:t xml:space="preserve"> </w:t>
      </w:r>
      <w:r w:rsidR="006062F6" w:rsidRPr="0062340E">
        <w:rPr>
          <w:rFonts w:ascii="Simplified Arabic" w:hAnsi="Simplified Arabic" w:cs="Simplified Arabic" w:hint="cs"/>
          <w:color w:val="000000" w:themeColor="text1"/>
          <w:sz w:val="24"/>
          <w:szCs w:val="24"/>
          <w:rtl/>
        </w:rPr>
        <w:t>السوسيو</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بيئية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المعقدة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التغيّر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والتكيّف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والتحوّل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بشكل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حاسم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استجابة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للضغوط</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 xml:space="preserve">Carpenter et al., </w:t>
      </w:r>
      <w:r w:rsidR="002A01D3" w:rsidRPr="0062340E">
        <w:rPr>
          <w:rFonts w:asciiTheme="majorBidi" w:hAnsiTheme="majorBidi" w:cstheme="majorBidi"/>
          <w:color w:val="000000" w:themeColor="text1"/>
          <w:sz w:val="24"/>
          <w:szCs w:val="24"/>
        </w:rPr>
        <w:t>2001</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حسب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رأي البحث،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توفر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التطورية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إطارًا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مفيدًا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يسمح</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بالتفكير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بطرق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جديدة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حول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التخطيط،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الكثير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القواسم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المشتركة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التخطيط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ولفهم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العلاقة البينية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للمكان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والمرونة</w:t>
      </w:r>
      <w:r w:rsidRPr="0062340E">
        <w:rPr>
          <w:rFonts w:ascii="Simplified Arabic" w:hAnsi="Simplified Arabic" w:cs="Simplified Arabic"/>
          <w:color w:val="000000" w:themeColor="text1"/>
          <w:sz w:val="24"/>
          <w:szCs w:val="24"/>
          <w:rtl/>
        </w:rPr>
        <w:t>.</w:t>
      </w:r>
    </w:p>
    <w:p w:rsidR="00A903CE" w:rsidRPr="0062340E" w:rsidRDefault="00A903CE" w:rsidP="001341DA">
      <w:pPr>
        <w:pStyle w:val="Paragraphedeliste"/>
        <w:numPr>
          <w:ilvl w:val="2"/>
          <w:numId w:val="99"/>
        </w:numPr>
        <w:tabs>
          <w:tab w:val="right" w:pos="850"/>
        </w:tabs>
        <w:bidi/>
        <w:spacing w:before="240" w:after="0" w:line="240" w:lineRule="auto"/>
        <w:ind w:left="0" w:firstLine="0"/>
        <w:outlineLvl w:val="1"/>
        <w:rPr>
          <w:rFonts w:ascii="Simplified Arabic" w:hAnsi="Simplified Arabic" w:cs="Simplified Arabic"/>
          <w:b/>
          <w:bCs/>
          <w:color w:val="000000" w:themeColor="text1"/>
          <w:sz w:val="24"/>
          <w:szCs w:val="24"/>
          <w:lang w:val="en-US"/>
        </w:rPr>
      </w:pPr>
      <w:bookmarkStart w:id="144" w:name="_Toc171803358"/>
      <w:r w:rsidRPr="0062340E">
        <w:rPr>
          <w:rFonts w:ascii="Simplified Arabic" w:hAnsi="Simplified Arabic" w:cs="Simplified Arabic" w:hint="cs"/>
          <w:b/>
          <w:bCs/>
          <w:color w:val="000000" w:themeColor="text1"/>
          <w:sz w:val="24"/>
          <w:szCs w:val="24"/>
          <w:rtl/>
          <w:lang w:val="en-US"/>
        </w:rPr>
        <w:t xml:space="preserve">مستويات </w:t>
      </w:r>
      <w:r w:rsidR="00955516" w:rsidRPr="0062340E">
        <w:rPr>
          <w:rFonts w:ascii="Simplified Arabic" w:hAnsi="Simplified Arabic" w:cs="Simplified Arabic" w:hint="cs"/>
          <w:b/>
          <w:bCs/>
          <w:color w:val="000000" w:themeColor="text1"/>
          <w:sz w:val="24"/>
          <w:szCs w:val="24"/>
          <w:rtl/>
          <w:lang w:val="en-US"/>
        </w:rPr>
        <w:t>قياس المرونة ضمن التسيير الحضري</w:t>
      </w:r>
      <w:bookmarkEnd w:id="144"/>
    </w:p>
    <w:p w:rsidR="00A903CE" w:rsidRPr="0062340E" w:rsidRDefault="00A903CE" w:rsidP="00A903CE">
      <w:pPr>
        <w:autoSpaceDE w:val="0"/>
        <w:autoSpaceDN w:val="0"/>
        <w:bidi/>
        <w:adjustRightInd w:val="0"/>
        <w:spacing w:after="0"/>
        <w:ind w:firstLine="282"/>
        <w:jc w:val="both"/>
        <w:rPr>
          <w:rStyle w:val="y2iqfc"/>
          <w:rFonts w:asciiTheme="minorBidi" w:hAnsiTheme="minorBidi"/>
          <w:color w:val="202124"/>
          <w:sz w:val="24"/>
          <w:szCs w:val="24"/>
          <w:rtl/>
          <w:lang w:bidi="ar"/>
        </w:rPr>
      </w:pP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ورقته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البحثية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الأساسية،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واستقرار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أظهر</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00000" w:themeColor="text1"/>
          <w:sz w:val="24"/>
          <w:szCs w:val="24"/>
        </w:rPr>
        <w:t>Holling</w:t>
      </w:r>
      <w:r w:rsidRPr="0062340E">
        <w:rPr>
          <w:rFonts w:asciiTheme="majorBidi" w:hAnsiTheme="majorBidi" w:cstheme="majorBidi"/>
          <w:color w:val="000000" w:themeColor="text1"/>
          <w:sz w:val="24"/>
          <w:szCs w:val="24"/>
          <w:lang w:val="en-US"/>
        </w:rPr>
        <w:t>, 1973</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الأحداث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العشوائية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والعملية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ومزيج</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المقاييس</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المكانية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والزمانية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الطبيعية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يمكن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يكون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أحواض</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جذب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متعددة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تسمى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غالبًا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أنظمة الاستقرار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حدد</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00000" w:themeColor="text1"/>
          <w:sz w:val="24"/>
          <w:szCs w:val="24"/>
        </w:rPr>
        <w:t>Holling</w:t>
      </w:r>
      <w:r w:rsidRPr="0062340E">
        <w:rPr>
          <w:rFonts w:asciiTheme="majorBidi" w:hAnsiTheme="majorBidi" w:cstheme="majorBidi"/>
          <w:color w:val="000000" w:themeColor="text1"/>
          <w:sz w:val="24"/>
          <w:szCs w:val="24"/>
          <w:lang w:val="en-US"/>
        </w:rPr>
        <w:t>, 1973</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أيضًا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طريقتين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لدراسة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الاستقرار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والتي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أطلق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عليهما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الهندسية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البيئية</w:t>
      </w:r>
      <w:r w:rsidRPr="0062340E">
        <w:rPr>
          <w:rFonts w:ascii="Simplified Arabic" w:hAnsi="Simplified Arabic" w:cs="Simplified Arabic"/>
          <w:color w:val="000000" w:themeColor="text1"/>
          <w:sz w:val="24"/>
          <w:szCs w:val="24"/>
          <w:rtl/>
        </w:rPr>
        <w:t>.</w:t>
      </w:r>
      <w:r w:rsidRPr="0062340E">
        <w:rPr>
          <w:rStyle w:val="TextedebullesCar"/>
          <w:rFonts w:asciiTheme="minorBidi" w:hAnsiTheme="minorBidi"/>
          <w:color w:val="202124"/>
          <w:sz w:val="24"/>
          <w:szCs w:val="24"/>
          <w:rtl/>
          <w:lang w:bidi="ar"/>
        </w:rPr>
        <w:t xml:space="preserve"> </w:t>
      </w:r>
      <w:r w:rsidRPr="0062340E">
        <w:rPr>
          <w:rFonts w:ascii="Simplified Arabic" w:hAnsi="Simplified Arabic" w:cs="Simplified Arabic"/>
          <w:color w:val="000000" w:themeColor="text1"/>
          <w:sz w:val="24"/>
          <w:szCs w:val="24"/>
          <w:rtl/>
        </w:rPr>
        <w:t>في دراسة المرونة البيئية، بيّن</w:t>
      </w:r>
      <w:r w:rsidRPr="0062340E">
        <w:rPr>
          <w:rFonts w:asciiTheme="majorBidi" w:hAnsiTheme="majorBidi" w:cstheme="majorBidi"/>
          <w:color w:val="000000" w:themeColor="text1"/>
          <w:sz w:val="24"/>
          <w:szCs w:val="24"/>
          <w:rtl/>
          <w:lang w:val="en-US"/>
        </w:rPr>
        <w:t xml:space="preserve"> </w:t>
      </w:r>
      <w:r w:rsidRPr="0062340E">
        <w:rPr>
          <w:rFonts w:asciiTheme="majorBidi" w:hAnsiTheme="majorBidi" w:cstheme="majorBidi"/>
          <w:color w:val="000000" w:themeColor="text1"/>
          <w:sz w:val="24"/>
          <w:szCs w:val="24"/>
          <w:lang w:val="en-US"/>
        </w:rPr>
        <w:t>(</w:t>
      </w:r>
      <w:r w:rsidRPr="0062340E">
        <w:rPr>
          <w:rFonts w:asciiTheme="majorBidi" w:hAnsiTheme="majorBidi" w:cstheme="majorBidi"/>
          <w:color w:val="000000" w:themeColor="text1"/>
          <w:sz w:val="24"/>
          <w:szCs w:val="24"/>
        </w:rPr>
        <w:t>Harrison, 1979</w:t>
      </w:r>
      <w:r w:rsidRPr="0062340E">
        <w:rPr>
          <w:rFonts w:asciiTheme="majorBidi" w:hAnsiTheme="majorBidi" w:cstheme="majorBidi"/>
          <w:color w:val="000000" w:themeColor="text1"/>
          <w:sz w:val="24"/>
          <w:szCs w:val="24"/>
          <w:lang w:val="en-US"/>
        </w:rPr>
        <w:t>)</w:t>
      </w:r>
      <w:r w:rsidRPr="0062340E">
        <w:rPr>
          <w:rStyle w:val="y2iqfc"/>
          <w:rFonts w:asciiTheme="minorBidi" w:hAnsiTheme="minorBidi"/>
          <w:color w:val="202124"/>
          <w:sz w:val="24"/>
          <w:szCs w:val="24"/>
          <w:rtl/>
          <w:lang w:bidi="ar"/>
        </w:rPr>
        <w:t xml:space="preserve"> </w:t>
      </w:r>
      <w:r w:rsidRPr="0062340E">
        <w:rPr>
          <w:rFonts w:ascii="Simplified Arabic" w:hAnsi="Simplified Arabic" w:cs="Simplified Arabic"/>
          <w:color w:val="000000" w:themeColor="text1"/>
          <w:sz w:val="24"/>
          <w:szCs w:val="24"/>
          <w:rtl/>
        </w:rPr>
        <w:t>أن الاستقرار أظهر زيادة في تنوع مصادر المرونة البيئية كما في زيادة مقاومة التغييرات</w:t>
      </w:r>
      <w:r w:rsidRPr="0062340E">
        <w:rPr>
          <w:rStyle w:val="y2iqfc"/>
          <w:rFonts w:asciiTheme="minorBidi" w:hAnsiTheme="minorBidi"/>
          <w:color w:val="202124"/>
          <w:sz w:val="24"/>
          <w:szCs w:val="24"/>
          <w:rtl/>
          <w:lang w:bidi="ar"/>
        </w:rPr>
        <w:t>.</w:t>
      </w:r>
    </w:p>
    <w:p w:rsidR="00A903CE" w:rsidRPr="0062340E" w:rsidRDefault="00A903CE" w:rsidP="00973E8E">
      <w:pPr>
        <w:autoSpaceDE w:val="0"/>
        <w:autoSpaceDN w:val="0"/>
        <w:bidi/>
        <w:adjustRightInd w:val="0"/>
        <w:spacing w:after="0"/>
        <w:ind w:firstLine="282"/>
        <w:jc w:val="both"/>
        <w:rPr>
          <w:rFonts w:asciiTheme="minorBidi" w:hAnsiTheme="minorBidi"/>
          <w:color w:val="000000" w:themeColor="text1"/>
          <w:sz w:val="24"/>
          <w:szCs w:val="24"/>
          <w:rtl/>
        </w:rPr>
      </w:pPr>
      <w:r w:rsidRPr="0062340E">
        <w:rPr>
          <w:rStyle w:val="y2iqfc"/>
          <w:rFonts w:asciiTheme="minorBidi" w:hAnsiTheme="minorBidi"/>
          <w:color w:val="202124"/>
          <w:sz w:val="24"/>
          <w:szCs w:val="24"/>
          <w:rtl/>
          <w:lang w:bidi="ar"/>
        </w:rPr>
        <w:t xml:space="preserve"> </w:t>
      </w:r>
      <w:r w:rsidRPr="0062340E">
        <w:rPr>
          <w:rFonts w:ascii="Simplified Arabic" w:hAnsi="Simplified Arabic" w:cs="Simplified Arabic"/>
          <w:color w:val="000000" w:themeColor="text1"/>
          <w:sz w:val="24"/>
          <w:szCs w:val="24"/>
          <w:rtl/>
        </w:rPr>
        <w:t>يتداخل</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مفهومي المرونة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والمتانة،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فالمتانة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هي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القدرة</w:t>
      </w:r>
      <w:r w:rsidRPr="0062340E">
        <w:rPr>
          <w:rFonts w:ascii="Simplified Arabic" w:hAnsi="Simplified Arabic" w:cs="Simplified Arabic" w:hint="cs"/>
          <w:color w:val="000000" w:themeColor="text1"/>
          <w:sz w:val="24"/>
          <w:szCs w:val="24"/>
          <w:rtl/>
        </w:rPr>
        <w:t xml:space="preserve"> على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مقاومة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التغيير</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دون</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حدوث</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نتائج</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عكسية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غير</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مبررة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فهي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بذلك</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تقاوم</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التقادم</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المادي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والبنيوي،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اما</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المرونة فهي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القدرة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استيعاب</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التغيير</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دون</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حدوث</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اختلافات</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كبيرة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الشكل</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المادي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وهي</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بذلك تقاوم التقادم الوظيفي</w:t>
      </w:r>
      <w:r w:rsidRPr="0062340E">
        <w:rPr>
          <w:rFonts w:asciiTheme="minorBidi" w:hAnsiTheme="minorBidi"/>
          <w:color w:val="000000" w:themeColor="text1"/>
          <w:sz w:val="24"/>
          <w:szCs w:val="24"/>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00000" w:themeColor="text1"/>
          <w:sz w:val="24"/>
          <w:szCs w:val="24"/>
        </w:rPr>
        <w:t>Carmona</w:t>
      </w:r>
      <w:r w:rsidR="002A01D3" w:rsidRPr="0062340E">
        <w:rPr>
          <w:rFonts w:asciiTheme="majorBidi" w:hAnsiTheme="majorBidi" w:cstheme="majorBidi"/>
          <w:color w:val="000000" w:themeColor="text1"/>
          <w:sz w:val="24"/>
          <w:szCs w:val="24"/>
          <w:lang w:val="en-US"/>
        </w:rPr>
        <w:t xml:space="preserve"> </w:t>
      </w:r>
      <w:r w:rsidR="002A01D3" w:rsidRPr="0062340E">
        <w:rPr>
          <w:rFonts w:asciiTheme="majorBidi" w:hAnsiTheme="majorBidi" w:cstheme="majorBidi"/>
          <w:sz w:val="24"/>
          <w:szCs w:val="24"/>
        </w:rPr>
        <w:t>et al.,</w:t>
      </w:r>
      <w:r w:rsidRPr="0062340E">
        <w:rPr>
          <w:rFonts w:asciiTheme="majorBidi" w:hAnsiTheme="majorBidi" w:cstheme="majorBidi"/>
          <w:color w:val="000000" w:themeColor="text1"/>
          <w:sz w:val="24"/>
          <w:szCs w:val="24"/>
          <w:lang w:val="en-US"/>
        </w:rPr>
        <w:t xml:space="preserve"> 2003</w:t>
      </w:r>
      <w:r w:rsidRPr="0062340E">
        <w:rPr>
          <w:rFonts w:asciiTheme="majorBidi" w:hAnsiTheme="majorBidi" w:cstheme="majorBidi"/>
          <w:color w:val="000000" w:themeColor="text1"/>
          <w:sz w:val="24"/>
          <w:szCs w:val="24"/>
          <w:rtl/>
          <w:lang w:val="en-US"/>
        </w:rPr>
        <w:t>)</w:t>
      </w:r>
      <w:r w:rsidRPr="0062340E">
        <w:rPr>
          <w:rFonts w:asciiTheme="minorBidi" w:hAnsiTheme="minorBidi" w:hint="cs"/>
          <w:color w:val="000000" w:themeColor="text1"/>
          <w:sz w:val="24"/>
          <w:szCs w:val="24"/>
          <w:rtl/>
        </w:rPr>
        <w:t xml:space="preserve">. بمعنى آخر، المرونة الهندسية تقاوم التقادم المادي والمرونة البيئية تقاوم التقادم الوظيفي. </w:t>
      </w:r>
      <w:r w:rsidRPr="0062340E">
        <w:rPr>
          <w:rFonts w:ascii="Simplified Arabic" w:hAnsi="Simplified Arabic" w:cs="Simplified Arabic"/>
          <w:color w:val="000000" w:themeColor="text1"/>
          <w:sz w:val="24"/>
          <w:szCs w:val="24"/>
          <w:rtl/>
        </w:rPr>
        <w:t>انتقل</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هذا</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المفهوم لاحقا</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الجوانب</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التصميمية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والتخطيطية،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وقد</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عبر</w:t>
      </w:r>
      <w:r w:rsidRPr="0062340E">
        <w:rPr>
          <w:rFonts w:asciiTheme="minorBidi" w:hAnsiTheme="minorBidi"/>
          <w:color w:val="000000" w:themeColor="text1"/>
          <w:sz w:val="24"/>
          <w:szCs w:val="24"/>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00000" w:themeColor="text1"/>
          <w:sz w:val="24"/>
          <w:szCs w:val="24"/>
        </w:rPr>
        <w:t>Holling</w:t>
      </w:r>
      <w:r w:rsidRPr="0062340E">
        <w:rPr>
          <w:rFonts w:asciiTheme="majorBidi" w:hAnsiTheme="majorBidi" w:cstheme="majorBidi"/>
          <w:color w:val="000000" w:themeColor="text1"/>
          <w:sz w:val="24"/>
          <w:szCs w:val="24"/>
          <w:lang w:val="en-US"/>
        </w:rPr>
        <w:t>, 2001</w:t>
      </w:r>
      <w:r w:rsidRPr="0062340E">
        <w:rPr>
          <w:rFonts w:asciiTheme="majorBidi" w:hAnsiTheme="majorBidi" w:cstheme="majorBidi"/>
          <w:color w:val="000000" w:themeColor="text1"/>
          <w:sz w:val="24"/>
          <w:szCs w:val="24"/>
          <w:rtl/>
          <w:lang w:val="en-US"/>
        </w:rPr>
        <w:t>)</w:t>
      </w:r>
      <w:r w:rsidRPr="0062340E">
        <w:rPr>
          <w:rFonts w:asciiTheme="minorBidi" w:hAnsiTheme="minorBidi"/>
          <w:color w:val="000000" w:themeColor="text1"/>
          <w:sz w:val="24"/>
          <w:szCs w:val="24"/>
        </w:rPr>
        <w:t xml:space="preserve"> </w:t>
      </w:r>
      <w:r w:rsidRPr="0062340E">
        <w:rPr>
          <w:rFonts w:ascii="Simplified Arabic" w:hAnsi="Simplified Arabic" w:cs="Simplified Arabic"/>
          <w:color w:val="000000" w:themeColor="text1"/>
          <w:sz w:val="24"/>
          <w:szCs w:val="24"/>
          <w:rtl/>
        </w:rPr>
        <w:t>عن</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مفهوم</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المرونة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الحضرية</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انها قدرة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المدينة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على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استيعاب ومواجهة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التغييرات</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و</w:t>
      </w:r>
      <w:r w:rsidRPr="0062340E">
        <w:rPr>
          <w:rFonts w:ascii="Simplified Arabic" w:hAnsi="Simplified Arabic" w:cs="Simplified Arabic"/>
          <w:color w:val="000000" w:themeColor="text1"/>
          <w:sz w:val="24"/>
          <w:szCs w:val="24"/>
          <w:rtl/>
        </w:rPr>
        <w:t>ال</w:t>
      </w:r>
      <w:r w:rsidRPr="0062340E">
        <w:rPr>
          <w:rFonts w:ascii="Simplified Arabic" w:hAnsi="Simplified Arabic" w:cs="Simplified Arabic" w:hint="cs"/>
          <w:color w:val="000000" w:themeColor="text1"/>
          <w:sz w:val="24"/>
          <w:szCs w:val="24"/>
          <w:rtl/>
        </w:rPr>
        <w:t>م</w:t>
      </w:r>
      <w:r w:rsidRPr="0062340E">
        <w:rPr>
          <w:rFonts w:ascii="Simplified Arabic" w:hAnsi="Simplified Arabic" w:cs="Simplified Arabic"/>
          <w:color w:val="000000" w:themeColor="text1"/>
          <w:sz w:val="24"/>
          <w:szCs w:val="24"/>
          <w:rtl/>
        </w:rPr>
        <w:t>ح</w:t>
      </w:r>
      <w:r w:rsidRPr="0062340E">
        <w:rPr>
          <w:rFonts w:ascii="Simplified Arabic" w:hAnsi="Simplified Arabic" w:cs="Simplified Arabic" w:hint="cs"/>
          <w:color w:val="000000" w:themeColor="text1"/>
          <w:sz w:val="24"/>
          <w:szCs w:val="24"/>
          <w:rtl/>
        </w:rPr>
        <w:t>ا</w:t>
      </w:r>
      <w:r w:rsidRPr="0062340E">
        <w:rPr>
          <w:rFonts w:ascii="Simplified Arabic" w:hAnsi="Simplified Arabic" w:cs="Simplified Arabic"/>
          <w:color w:val="000000" w:themeColor="text1"/>
          <w:sz w:val="24"/>
          <w:szCs w:val="24"/>
          <w:rtl/>
        </w:rPr>
        <w:t>فظ</w:t>
      </w:r>
      <w:r w:rsidRPr="0062340E">
        <w:rPr>
          <w:rFonts w:ascii="Simplified Arabic" w:hAnsi="Simplified Arabic" w:cs="Simplified Arabic" w:hint="cs"/>
          <w:color w:val="000000" w:themeColor="text1"/>
          <w:sz w:val="24"/>
          <w:szCs w:val="24"/>
          <w:rtl/>
        </w:rPr>
        <w:t>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على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وظائفها</w:t>
      </w:r>
      <w:r w:rsidRPr="0062340E">
        <w:rPr>
          <w:rFonts w:ascii="Simplified Arabic" w:hAnsi="Simplified Arabic" w:cs="Simplified Arabic" w:hint="cs"/>
          <w:color w:val="000000" w:themeColor="text1"/>
          <w:sz w:val="24"/>
          <w:szCs w:val="24"/>
          <w:rtl/>
        </w:rPr>
        <w:t xml:space="preserve">''. </w:t>
      </w:r>
    </w:p>
    <w:p w:rsidR="00A903CE" w:rsidRPr="0062340E" w:rsidRDefault="00A903CE" w:rsidP="00973E8E">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ظهر على يد باحثين ما يعرف بالمرونة السوسيو-ايكولوجية، كما أطلق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عليها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التطورية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Simmie &amp; Martin, 2010</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كان الهدف الاساسي من ذلك هو التحضير الجيد للعوامل البشرية والعوامل البيئية لارتفاع حدة المخاطر بالوسط الحضري. لذلك درس بعض الباحثين </w:t>
      </w:r>
      <w:r w:rsidRPr="0062340E">
        <w:rPr>
          <w:rFonts w:ascii="Simplified Arabic" w:hAnsi="Simplified Arabic" w:cs="Simplified Arabic"/>
          <w:color w:val="000000" w:themeColor="text1"/>
          <w:sz w:val="24"/>
          <w:szCs w:val="24"/>
          <w:rtl/>
        </w:rPr>
        <w:t>آثار المرونة البيئية في القضايا الحضرية</w:t>
      </w:r>
      <w:r w:rsidRPr="0062340E">
        <w:rPr>
          <w:rFonts w:asciiTheme="majorBidi" w:hAnsiTheme="majorBidi" w:cstheme="majorBidi"/>
          <w:color w:val="000000" w:themeColor="text1"/>
          <w:sz w:val="24"/>
          <w:szCs w:val="24"/>
          <w:lang w:val="en-US"/>
        </w:rPr>
        <w:t>(</w:t>
      </w:r>
      <w:r w:rsidRPr="0062340E">
        <w:rPr>
          <w:rFonts w:asciiTheme="majorBidi" w:hAnsiTheme="majorBidi" w:cstheme="majorBidi"/>
          <w:color w:val="000000" w:themeColor="text1"/>
          <w:sz w:val="24"/>
          <w:szCs w:val="24"/>
        </w:rPr>
        <w:t>Okvat</w:t>
      </w:r>
      <w:r w:rsidRPr="0062340E">
        <w:rPr>
          <w:rFonts w:asciiTheme="majorBidi" w:hAnsiTheme="majorBidi" w:cstheme="majorBidi"/>
          <w:color w:val="000000" w:themeColor="text1"/>
          <w:sz w:val="24"/>
          <w:szCs w:val="24"/>
          <w:lang w:val="en-US"/>
        </w:rPr>
        <w:t xml:space="preserve"> &amp; Zautra, 2011; </w:t>
      </w:r>
      <w:r w:rsidRPr="0062340E">
        <w:rPr>
          <w:rFonts w:asciiTheme="majorBidi" w:hAnsiTheme="majorBidi" w:cstheme="majorBidi"/>
          <w:color w:val="000000" w:themeColor="text1"/>
          <w:sz w:val="24"/>
          <w:szCs w:val="24"/>
        </w:rPr>
        <w:t>Lu, 2020</w:t>
      </w:r>
      <w:r w:rsidRPr="0062340E">
        <w:rPr>
          <w:rFonts w:asciiTheme="majorBidi" w:hAnsiTheme="majorBidi" w:cstheme="majorBidi"/>
          <w:color w:val="000000" w:themeColor="text1"/>
          <w:sz w:val="24"/>
          <w:szCs w:val="24"/>
          <w:lang w:val="en-US"/>
        </w:rPr>
        <w:t xml:space="preserve">) </w:t>
      </w:r>
      <w:r w:rsidRPr="0062340E">
        <w:rPr>
          <w:rFonts w:ascii="Simplified Arabic" w:hAnsi="Simplified Arabic" w:cs="Simplified Arabic" w:hint="cs"/>
          <w:color w:val="000000" w:themeColor="text1"/>
          <w:sz w:val="24"/>
          <w:szCs w:val="24"/>
          <w:rtl/>
        </w:rPr>
        <w:t>. حسب</w:t>
      </w:r>
      <w:r w:rsidRPr="0062340E">
        <w:rPr>
          <w:rFonts w:asciiTheme="majorBidi" w:hAnsiTheme="majorBidi" w:cstheme="majorBidi" w:hint="cs"/>
          <w:color w:val="000000" w:themeColor="text1"/>
          <w:sz w:val="24"/>
          <w:szCs w:val="24"/>
          <w:rtl/>
          <w:lang w:val="en-US"/>
        </w:rPr>
        <w:t xml:space="preserve"> </w:t>
      </w:r>
      <w:r w:rsidRPr="0062340E">
        <w:rPr>
          <w:rFonts w:asciiTheme="majorBidi" w:hAnsiTheme="majorBidi" w:cstheme="majorBidi"/>
          <w:color w:val="000000" w:themeColor="text1"/>
          <w:sz w:val="24"/>
          <w:szCs w:val="24"/>
        </w:rPr>
        <w:t>(Parker &amp; Simpson, 2020; Therrien et al., 2020)</w:t>
      </w:r>
      <w:r w:rsidRPr="0062340E">
        <w:rPr>
          <w:rFonts w:ascii="Simplified Arabic" w:hAnsi="Simplified Arabic" w:cs="Simplified Arabic" w:hint="cs"/>
          <w:color w:val="000000" w:themeColor="text1"/>
          <w:sz w:val="24"/>
          <w:szCs w:val="24"/>
          <w:rtl/>
        </w:rPr>
        <w:t>،</w:t>
      </w:r>
      <w:r w:rsidRPr="0062340E">
        <w:rPr>
          <w:rFonts w:asciiTheme="majorBidi" w:hAnsiTheme="majorBidi" w:cstheme="majorBidi" w:hint="cs"/>
          <w:color w:val="000000" w:themeColor="text1"/>
          <w:sz w:val="24"/>
          <w:szCs w:val="24"/>
          <w:rtl/>
        </w:rPr>
        <w:t xml:space="preserve"> </w:t>
      </w:r>
      <w:r w:rsidRPr="0062340E">
        <w:rPr>
          <w:rFonts w:ascii="Simplified Arabic" w:hAnsi="Simplified Arabic" w:cs="Simplified Arabic"/>
          <w:color w:val="000000" w:themeColor="text1"/>
          <w:sz w:val="24"/>
          <w:szCs w:val="24"/>
          <w:rtl/>
        </w:rPr>
        <w:t>يمكن تجميع عوامل المرونة البيئية القائمة على العوامل الفيزيائية والبشرية</w:t>
      </w:r>
      <w:r w:rsidRPr="0062340E">
        <w:rPr>
          <w:rFonts w:ascii="Simplified Arabic" w:hAnsi="Simplified Arabic" w:cs="Simplified Arabic" w:hint="cs"/>
          <w:color w:val="000000" w:themeColor="text1"/>
          <w:sz w:val="24"/>
          <w:szCs w:val="24"/>
          <w:rtl/>
        </w:rPr>
        <w:t xml:space="preserve">، في اشارة الى الاستنباط من المقاربة السوسيو-ايكولوجية. </w:t>
      </w:r>
    </w:p>
    <w:p w:rsidR="00A903CE" w:rsidRPr="0062340E" w:rsidRDefault="00A903CE" w:rsidP="0085017B">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لم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تعد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تحليل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المخاطر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بطريقة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مجزأة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ولكن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دراسة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الحدث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الذي تسبب في الاضطراب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بشكل عام، وتحديد المقاربة التي يتم من خلالها معالجة الحدث كما هو موضح في الشكل (</w:t>
      </w:r>
      <w:r w:rsidR="0085017B" w:rsidRPr="0062340E">
        <w:rPr>
          <w:rFonts w:ascii="Simplified Arabic" w:hAnsi="Simplified Arabic" w:cs="Simplified Arabic" w:hint="cs"/>
          <w:color w:val="000000" w:themeColor="text1"/>
          <w:sz w:val="24"/>
          <w:szCs w:val="24"/>
          <w:rtl/>
        </w:rPr>
        <w:t>1-6</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p>
    <w:p w:rsidR="001341DA" w:rsidRDefault="001341DA" w:rsidP="003D260F">
      <w:pPr>
        <w:pStyle w:val="fegure"/>
        <w:spacing w:before="240"/>
        <w:rPr>
          <w:szCs w:val="24"/>
          <w:rtl/>
        </w:rPr>
      </w:pPr>
      <w:bookmarkStart w:id="145" w:name="_Toc157561438"/>
      <w:bookmarkStart w:id="146" w:name="_Toc157562771"/>
      <w:bookmarkStart w:id="147" w:name="_Toc157608267"/>
    </w:p>
    <w:p w:rsidR="001341DA" w:rsidRDefault="001341DA" w:rsidP="003D260F">
      <w:pPr>
        <w:pStyle w:val="fegure"/>
        <w:spacing w:before="240"/>
        <w:rPr>
          <w:szCs w:val="24"/>
          <w:rtl/>
        </w:rPr>
      </w:pPr>
    </w:p>
    <w:p w:rsidR="001341DA" w:rsidRDefault="001341DA" w:rsidP="003D260F">
      <w:pPr>
        <w:pStyle w:val="fegure"/>
        <w:spacing w:before="240"/>
        <w:rPr>
          <w:szCs w:val="24"/>
          <w:rtl/>
        </w:rPr>
      </w:pPr>
    </w:p>
    <w:p w:rsidR="00A903CE" w:rsidRPr="0062340E" w:rsidRDefault="00A903CE" w:rsidP="003D260F">
      <w:pPr>
        <w:pStyle w:val="fegure"/>
        <w:spacing w:before="240"/>
        <w:rPr>
          <w:szCs w:val="24"/>
          <w:rtl/>
        </w:rPr>
      </w:pPr>
      <w:bookmarkStart w:id="148" w:name="_Toc171803359"/>
      <w:r w:rsidRPr="0062340E">
        <w:rPr>
          <w:rFonts w:hint="cs"/>
          <w:szCs w:val="24"/>
          <w:rtl/>
        </w:rPr>
        <w:lastRenderedPageBreak/>
        <w:t>الشكل (</w:t>
      </w:r>
      <w:r w:rsidR="007C7C95" w:rsidRPr="0062340E">
        <w:rPr>
          <w:rFonts w:hint="cs"/>
          <w:szCs w:val="24"/>
          <w:rtl/>
        </w:rPr>
        <w:t>1-6</w:t>
      </w:r>
      <w:r w:rsidRPr="0062340E">
        <w:rPr>
          <w:rFonts w:hint="cs"/>
          <w:szCs w:val="24"/>
          <w:rtl/>
        </w:rPr>
        <w:t>): يوضح</w:t>
      </w:r>
      <w:r w:rsidRPr="0062340E">
        <w:rPr>
          <w:szCs w:val="24"/>
        </w:rPr>
        <w:t xml:space="preserve"> </w:t>
      </w:r>
      <w:r w:rsidRPr="0062340E">
        <w:rPr>
          <w:rFonts w:hint="cs"/>
          <w:szCs w:val="24"/>
          <w:rtl/>
        </w:rPr>
        <w:t>مفهوم</w:t>
      </w:r>
      <w:r w:rsidRPr="0062340E">
        <w:rPr>
          <w:szCs w:val="24"/>
        </w:rPr>
        <w:t xml:space="preserve"> </w:t>
      </w:r>
      <w:r w:rsidRPr="0062340E">
        <w:rPr>
          <w:rFonts w:hint="cs"/>
          <w:szCs w:val="24"/>
          <w:rtl/>
        </w:rPr>
        <w:t>المرونة</w:t>
      </w:r>
      <w:r w:rsidRPr="0062340E">
        <w:rPr>
          <w:szCs w:val="24"/>
        </w:rPr>
        <w:t xml:space="preserve"> </w:t>
      </w:r>
      <w:r w:rsidRPr="0062340E">
        <w:rPr>
          <w:rFonts w:hint="cs"/>
          <w:szCs w:val="24"/>
          <w:rtl/>
        </w:rPr>
        <w:t>ومستويات</w:t>
      </w:r>
      <w:r w:rsidRPr="0062340E">
        <w:rPr>
          <w:szCs w:val="24"/>
        </w:rPr>
        <w:t xml:space="preserve"> </w:t>
      </w:r>
      <w:r w:rsidRPr="0062340E">
        <w:rPr>
          <w:rFonts w:hint="cs"/>
          <w:szCs w:val="24"/>
          <w:rtl/>
        </w:rPr>
        <w:t>قياسها</w:t>
      </w:r>
      <w:bookmarkEnd w:id="145"/>
      <w:bookmarkEnd w:id="146"/>
      <w:bookmarkEnd w:id="147"/>
      <w:bookmarkEnd w:id="148"/>
    </w:p>
    <w:p w:rsidR="00A903CE" w:rsidRPr="0062340E" w:rsidRDefault="00A903CE" w:rsidP="00F92DFA">
      <w:pPr>
        <w:autoSpaceDE w:val="0"/>
        <w:autoSpaceDN w:val="0"/>
        <w:bidi/>
        <w:adjustRightInd w:val="0"/>
        <w:spacing w:after="0" w:line="240" w:lineRule="auto"/>
        <w:jc w:val="center"/>
        <w:rPr>
          <w:rFonts w:asciiTheme="majorBidi" w:hAnsiTheme="majorBidi" w:cstheme="majorBidi"/>
          <w:b/>
          <w:bCs/>
          <w:color w:val="000000" w:themeColor="text1"/>
          <w:sz w:val="24"/>
          <w:szCs w:val="24"/>
          <w:rtl/>
          <w:lang w:val="en-US"/>
        </w:rPr>
      </w:pPr>
      <w:r w:rsidRPr="0062340E">
        <w:rPr>
          <w:rFonts w:ascii="Simplified Arabic" w:hAnsi="Simplified Arabic" w:cs="Simplified Arabic" w:hint="cs"/>
          <w:b/>
          <w:bCs/>
          <w:color w:val="000000" w:themeColor="text1"/>
          <w:sz w:val="24"/>
          <w:szCs w:val="24"/>
          <w:rtl/>
        </w:rPr>
        <w:t xml:space="preserve">المصدر: (الباحث بالاعتماد على المقاربات الثلاثة، 2022) </w:t>
      </w:r>
    </w:p>
    <w:p w:rsidR="00A903CE" w:rsidRPr="0062340E" w:rsidRDefault="00A903CE" w:rsidP="003D260F">
      <w:pPr>
        <w:autoSpaceDE w:val="0"/>
        <w:autoSpaceDN w:val="0"/>
        <w:bidi/>
        <w:adjustRightInd w:val="0"/>
        <w:jc w:val="center"/>
        <w:rPr>
          <w:rFonts w:ascii="Simplified Arabic" w:hAnsi="Simplified Arabic" w:cs="Simplified Arabic"/>
          <w:color w:val="000000" w:themeColor="text1"/>
          <w:sz w:val="24"/>
          <w:szCs w:val="24"/>
          <w:rtl/>
        </w:rPr>
      </w:pPr>
      <w:r w:rsidRPr="0062340E">
        <w:rPr>
          <w:rFonts w:ascii="Simplified Arabic" w:hAnsi="Simplified Arabic" w:cs="Simplified Arabic" w:hint="cs"/>
          <w:noProof/>
          <w:color w:val="000000" w:themeColor="text1"/>
          <w:sz w:val="24"/>
          <w:szCs w:val="24"/>
          <w:rtl/>
          <w:lang w:eastAsia="fr-FR"/>
        </w:rPr>
        <w:drawing>
          <wp:inline distT="0" distB="0" distL="0" distR="0" wp14:anchorId="489FBD60" wp14:editId="3330E078">
            <wp:extent cx="4796287" cy="3191774"/>
            <wp:effectExtent l="0" t="0" r="23495" b="27940"/>
            <wp:docPr id="59" name="Diagramme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A903CE" w:rsidRPr="0062340E" w:rsidRDefault="00A903CE" w:rsidP="007730B2">
      <w:pPr>
        <w:autoSpaceDE w:val="0"/>
        <w:autoSpaceDN w:val="0"/>
        <w:bidi/>
        <w:adjustRightInd w:val="0"/>
        <w:spacing w:before="240" w:after="0"/>
        <w:ind w:firstLine="282"/>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t xml:space="preserve">مما سبق يمكن تسجيل ثلاث مقاربات </w:t>
      </w:r>
      <w:r w:rsidRPr="0062340E">
        <w:rPr>
          <w:rFonts w:asciiTheme="majorBidi" w:hAnsiTheme="majorBidi" w:cstheme="majorBidi"/>
          <w:color w:val="000000" w:themeColor="text1"/>
          <w:sz w:val="24"/>
          <w:szCs w:val="24"/>
          <w:lang w:val="en-US"/>
        </w:rPr>
        <w:t>(Folke et al., 2002; Folke, 2006; Folke et al., 2010)</w:t>
      </w:r>
      <w:r w:rsidRPr="0062340E">
        <w:rPr>
          <w:rFonts w:ascii="Simplified Arabic" w:hAnsi="Simplified Arabic" w:cs="Simplified Arabic" w:hint="cs"/>
          <w:color w:val="000000" w:themeColor="text1"/>
          <w:sz w:val="24"/>
          <w:szCs w:val="24"/>
          <w:rtl/>
        </w:rPr>
        <w:t xml:space="preserve"> وهي كالآتي:</w:t>
      </w:r>
    </w:p>
    <w:p w:rsidR="00A903CE" w:rsidRPr="0062340E" w:rsidRDefault="00A903CE" w:rsidP="001D0548">
      <w:pPr>
        <w:pStyle w:val="Paragraphedeliste"/>
        <w:numPr>
          <w:ilvl w:val="0"/>
          <w:numId w:val="4"/>
        </w:numPr>
        <w:autoSpaceDE w:val="0"/>
        <w:autoSpaceDN w:val="0"/>
        <w:bidi/>
        <w:adjustRightInd w:val="0"/>
        <w:spacing w:after="0"/>
        <w:ind w:left="-1" w:firstLine="283"/>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t>المقاربة الهندسية الثابتة: في اشارة الى قدرة النظام على الارتداد الى حالته السابقة، تفترض</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المقاربة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الهندسية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حالة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مستقرة</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lang w:val="en-US"/>
        </w:rPr>
        <w:t>(Holling, 1973; Harrison, 1979)</w:t>
      </w:r>
      <w:r w:rsidRPr="0062340E">
        <w:rPr>
          <w:rFonts w:ascii="Simplified Arabic" w:hAnsi="Simplified Arabic" w:cs="Simplified Arabic" w:hint="cs"/>
          <w:color w:val="000000" w:themeColor="text1"/>
          <w:sz w:val="24"/>
          <w:szCs w:val="24"/>
          <w:rtl/>
        </w:rPr>
        <w:t>، الفكرة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تقييم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الفرق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الحالة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المضطربة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والحالة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المستقرة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وسرعة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العودة 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حالة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توازن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بعد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حدوث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اضطراب</w:t>
      </w:r>
      <w:r w:rsidRPr="0062340E">
        <w:rPr>
          <w:rFonts w:ascii="Simplified Arabic" w:hAnsi="Simplified Arabic" w:cs="Simplified Arabic"/>
          <w:color w:val="000000" w:themeColor="text1"/>
          <w:sz w:val="24"/>
          <w:szCs w:val="24"/>
          <w:rtl/>
        </w:rPr>
        <w:t>.</w:t>
      </w:r>
    </w:p>
    <w:p w:rsidR="00A903CE" w:rsidRPr="0062340E" w:rsidRDefault="00A903CE" w:rsidP="001D0548">
      <w:pPr>
        <w:pStyle w:val="Paragraphedeliste"/>
        <w:numPr>
          <w:ilvl w:val="0"/>
          <w:numId w:val="4"/>
        </w:numPr>
        <w:autoSpaceDE w:val="0"/>
        <w:autoSpaceDN w:val="0"/>
        <w:bidi/>
        <w:adjustRightInd w:val="0"/>
        <w:spacing w:after="0"/>
        <w:ind w:left="-1" w:firstLine="283"/>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t>مقاربة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البيئي </w:t>
      </w:r>
      <w:r w:rsidRPr="0062340E">
        <w:rPr>
          <w:rFonts w:asciiTheme="majorBidi" w:hAnsiTheme="majorBidi" w:cstheme="majorBidi"/>
          <w:color w:val="000000" w:themeColor="text1"/>
          <w:sz w:val="24"/>
          <w:szCs w:val="24"/>
          <w:lang w:val="en-US"/>
        </w:rPr>
        <w:t>(Carpenter et al., 2001; 2002;</w:t>
      </w:r>
      <w:r w:rsidRPr="0062340E">
        <w:rPr>
          <w:rFonts w:asciiTheme="majorBidi" w:hAnsiTheme="majorBidi" w:cstheme="majorBidi"/>
          <w:color w:val="000000" w:themeColor="text1"/>
          <w:sz w:val="24"/>
          <w:szCs w:val="24"/>
        </w:rPr>
        <w:t xml:space="preserve"> </w:t>
      </w:r>
      <w:r w:rsidRPr="0062340E">
        <w:rPr>
          <w:rFonts w:asciiTheme="majorBidi" w:hAnsiTheme="majorBidi" w:cstheme="majorBidi"/>
          <w:color w:val="000000" w:themeColor="text1"/>
          <w:sz w:val="24"/>
          <w:szCs w:val="24"/>
          <w:lang w:val="en-US"/>
        </w:rPr>
        <w:t>Walker et al., 2004)</w:t>
      </w:r>
      <w:r w:rsidRPr="0062340E">
        <w:rPr>
          <w:rFonts w:asciiTheme="majorBidi" w:hAnsiTheme="majorBidi" w:cstheme="majorBidi" w:hint="cs"/>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rPr>
        <w:t>لا تثير 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العودة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التوازن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السابق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ولكنها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تعترف ان هناك عدة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حالات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توازن</w:t>
      </w:r>
      <w:r w:rsidRPr="0062340E">
        <w:rPr>
          <w:rFonts w:ascii="Simplified Arabic" w:hAnsi="Simplified Arabic" w:cs="Simplified Arabic"/>
          <w:color w:val="000000" w:themeColor="text1"/>
          <w:sz w:val="24"/>
          <w:szCs w:val="24"/>
          <w:rtl/>
        </w:rPr>
        <w:t>.</w:t>
      </w:r>
    </w:p>
    <w:p w:rsidR="00A903CE" w:rsidRPr="0062340E" w:rsidRDefault="00A903CE" w:rsidP="003D260F">
      <w:pPr>
        <w:pStyle w:val="Paragraphedeliste"/>
        <w:numPr>
          <w:ilvl w:val="0"/>
          <w:numId w:val="4"/>
        </w:numPr>
        <w:autoSpaceDE w:val="0"/>
        <w:autoSpaceDN w:val="0"/>
        <w:bidi/>
        <w:adjustRightInd w:val="0"/>
        <w:ind w:left="-1" w:firstLine="283"/>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t>المقاربة السوسيو-بيئية: ظهرت على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يد</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مجموعة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العلماء</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أصحاب</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التخصصات المختلفة، وهي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امتصاص</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الاضطرابات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وإعادة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تنظيم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نفسه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أثناء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خضوعه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للتغيير،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وذلك</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للحفاظ</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وظيفته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وبنيته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وحلقات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ردود الفعل،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بعبارة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أخرى،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التغيير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أجل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الحفاظ</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نفس</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الهوية</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00000" w:themeColor="text1"/>
          <w:sz w:val="24"/>
          <w:szCs w:val="24"/>
          <w:lang w:val="en-US"/>
        </w:rPr>
        <w:t>Folke et al., 2010</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hint="cs"/>
          <w:color w:val="000000" w:themeColor="text1"/>
          <w:sz w:val="24"/>
          <w:szCs w:val="24"/>
          <w:rtl/>
          <w:lang w:val="en-US"/>
        </w:rPr>
        <w:t>.</w:t>
      </w:r>
      <w:r w:rsidRPr="0062340E">
        <w:rPr>
          <w:rFonts w:ascii="Simplified Arabic" w:hAnsi="Simplified Arabic" w:cs="Simplified Arabic" w:hint="cs"/>
          <w:color w:val="000000" w:themeColor="text1"/>
          <w:sz w:val="24"/>
          <w:szCs w:val="24"/>
          <w:rtl/>
        </w:rPr>
        <w:t xml:space="preserve"> تختلف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هذ</w:t>
      </w:r>
      <w:r w:rsidR="008771D8" w:rsidRPr="0062340E">
        <w:rPr>
          <w:rFonts w:ascii="Simplified Arabic" w:hAnsi="Simplified Arabic" w:cs="Simplified Arabic" w:hint="cs"/>
          <w:color w:val="000000" w:themeColor="text1"/>
          <w:sz w:val="24"/>
          <w:szCs w:val="24"/>
          <w:rtl/>
        </w:rPr>
        <w:t>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المقاربة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المقاربتين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الأخريين،</w:t>
      </w:r>
      <w:r w:rsidRPr="0062340E">
        <w:rPr>
          <w:rFonts w:ascii="Simplified Arabic" w:hAnsi="Simplified Arabic" w:cs="Simplified Arabic"/>
          <w:color w:val="000000" w:themeColor="text1"/>
          <w:sz w:val="24"/>
          <w:szCs w:val="24"/>
          <w:rtl/>
        </w:rPr>
        <w:t xml:space="preserve"> </w:t>
      </w:r>
      <w:r w:rsidR="008771D8" w:rsidRPr="0062340E">
        <w:rPr>
          <w:rFonts w:ascii="Simplified Arabic" w:hAnsi="Simplified Arabic" w:cs="Simplified Arabic" w:hint="cs"/>
          <w:color w:val="000000" w:themeColor="text1"/>
          <w:sz w:val="24"/>
          <w:szCs w:val="24"/>
          <w:rtl/>
        </w:rPr>
        <w:t>على اعتبار انها</w:t>
      </w:r>
      <w:r w:rsidRPr="0062340E">
        <w:rPr>
          <w:rFonts w:ascii="Simplified Arabic" w:hAnsi="Simplified Arabic" w:cs="Simplified Arabic"/>
          <w:color w:val="000000" w:themeColor="text1"/>
          <w:sz w:val="24"/>
          <w:szCs w:val="24"/>
          <w:rtl/>
        </w:rPr>
        <w:t xml:space="preserve"> </w:t>
      </w:r>
      <w:r w:rsidR="008771D8" w:rsidRPr="0062340E">
        <w:rPr>
          <w:rFonts w:ascii="Simplified Arabic" w:hAnsi="Simplified Arabic" w:cs="Simplified Arabic" w:hint="cs"/>
          <w:color w:val="000000" w:themeColor="text1"/>
          <w:sz w:val="24"/>
          <w:szCs w:val="24"/>
          <w:rtl/>
        </w:rPr>
        <w:t>ت</w:t>
      </w:r>
      <w:r w:rsidRPr="0062340E">
        <w:rPr>
          <w:rFonts w:ascii="Simplified Arabic" w:hAnsi="Simplified Arabic" w:cs="Simplified Arabic" w:hint="cs"/>
          <w:color w:val="000000" w:themeColor="text1"/>
          <w:sz w:val="24"/>
          <w:szCs w:val="24"/>
          <w:rtl/>
        </w:rPr>
        <w:t>تضمن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استيعاب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الاضطرابات،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أنه</w:t>
      </w:r>
      <w:r w:rsidR="008771D8" w:rsidRPr="0062340E">
        <w:rPr>
          <w:rFonts w:ascii="Simplified Arabic" w:hAnsi="Simplified Arabic" w:cs="Simplified Arabic" w:hint="cs"/>
          <w:color w:val="000000" w:themeColor="text1"/>
          <w:sz w:val="24"/>
          <w:szCs w:val="24"/>
          <w:rtl/>
        </w:rPr>
        <w:t>ا</w:t>
      </w:r>
      <w:r w:rsidRPr="0062340E">
        <w:rPr>
          <w:rFonts w:ascii="Simplified Arabic" w:hAnsi="Simplified Arabic" w:cs="Simplified Arabic"/>
          <w:color w:val="000000" w:themeColor="text1"/>
          <w:sz w:val="24"/>
          <w:szCs w:val="24"/>
          <w:rtl/>
        </w:rPr>
        <w:t xml:space="preserve"> </w:t>
      </w:r>
      <w:r w:rsidR="008771D8" w:rsidRPr="0062340E">
        <w:rPr>
          <w:rFonts w:ascii="Simplified Arabic" w:hAnsi="Simplified Arabic" w:cs="Simplified Arabic" w:hint="cs"/>
          <w:color w:val="000000" w:themeColor="text1"/>
          <w:sz w:val="24"/>
          <w:szCs w:val="24"/>
          <w:rtl/>
        </w:rPr>
        <w:t>ت</w:t>
      </w:r>
      <w:r w:rsidRPr="0062340E">
        <w:rPr>
          <w:rFonts w:ascii="Simplified Arabic" w:hAnsi="Simplified Arabic" w:cs="Simplified Arabic" w:hint="cs"/>
          <w:color w:val="000000" w:themeColor="text1"/>
          <w:sz w:val="24"/>
          <w:szCs w:val="24"/>
          <w:rtl/>
        </w:rPr>
        <w:t>شتمل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أيضًا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مفاهيم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التعلم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والتكيف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والتنظيم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الذاتي</w:t>
      </w:r>
      <w:r w:rsidR="008771D8" w:rsidRPr="0062340E">
        <w:rPr>
          <w:rFonts w:ascii="Simplified Arabic" w:hAnsi="Simplified Arabic" w:cs="Simplified Arabic" w:hint="cs"/>
          <w:color w:val="000000" w:themeColor="text1"/>
          <w:sz w:val="24"/>
          <w:szCs w:val="24"/>
          <w:rtl/>
        </w:rPr>
        <w:t xml:space="preserve"> للوظائف</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p>
    <w:p w:rsidR="00F92DFA" w:rsidRPr="0062340E" w:rsidRDefault="00F92DFA" w:rsidP="00F92DFA">
      <w:pPr>
        <w:pStyle w:val="Paragraphedeliste"/>
        <w:autoSpaceDE w:val="0"/>
        <w:autoSpaceDN w:val="0"/>
        <w:bidi/>
        <w:adjustRightInd w:val="0"/>
        <w:ind w:left="282"/>
        <w:jc w:val="both"/>
        <w:rPr>
          <w:rFonts w:ascii="Simplified Arabic" w:hAnsi="Simplified Arabic" w:cs="Simplified Arabic"/>
          <w:color w:val="000000" w:themeColor="text1"/>
          <w:sz w:val="24"/>
          <w:szCs w:val="24"/>
        </w:rPr>
      </w:pPr>
    </w:p>
    <w:p w:rsidR="00A903CE" w:rsidRPr="0062340E" w:rsidRDefault="00955516" w:rsidP="00B158B5">
      <w:pPr>
        <w:pStyle w:val="Paragraphedeliste"/>
        <w:numPr>
          <w:ilvl w:val="2"/>
          <w:numId w:val="81"/>
        </w:numPr>
        <w:tabs>
          <w:tab w:val="right" w:pos="850"/>
        </w:tabs>
        <w:bidi/>
        <w:spacing w:before="240" w:after="0" w:line="240" w:lineRule="auto"/>
        <w:ind w:left="0" w:firstLine="0"/>
        <w:outlineLvl w:val="1"/>
        <w:rPr>
          <w:rFonts w:ascii="Simplified Arabic" w:hAnsi="Simplified Arabic" w:cs="Simplified Arabic"/>
          <w:b/>
          <w:bCs/>
          <w:color w:val="000000" w:themeColor="text1"/>
          <w:sz w:val="24"/>
          <w:szCs w:val="24"/>
          <w:lang w:val="en-US"/>
        </w:rPr>
      </w:pPr>
      <w:bookmarkStart w:id="149" w:name="_Toc171803360"/>
      <w:r w:rsidRPr="0062340E">
        <w:rPr>
          <w:rFonts w:ascii="Simplified Arabic" w:hAnsi="Simplified Arabic" w:cs="Simplified Arabic" w:hint="cs"/>
          <w:b/>
          <w:bCs/>
          <w:color w:val="000000" w:themeColor="text1"/>
          <w:sz w:val="24"/>
          <w:szCs w:val="24"/>
          <w:rtl/>
          <w:lang w:val="en-US"/>
        </w:rPr>
        <w:t>المرونة، مفهوم متعدد النشأة</w:t>
      </w:r>
      <w:bookmarkEnd w:id="149"/>
    </w:p>
    <w:p w:rsidR="00A903CE" w:rsidRPr="0062340E" w:rsidRDefault="00A903CE" w:rsidP="00C71ECA">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تعد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مصطلح حديث وكلمة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مجردة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لا يفهمه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 عدد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قليل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الجهات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الفاعلة. في مقابل ذلك، ترى بعض </w:t>
      </w:r>
      <w:r w:rsidR="00C71ECA" w:rsidRPr="0062340E">
        <w:rPr>
          <w:rFonts w:ascii="Simplified Arabic" w:hAnsi="Simplified Arabic" w:cs="Simplified Arabic" w:hint="cs"/>
          <w:color w:val="000000" w:themeColor="text1"/>
          <w:sz w:val="24"/>
          <w:szCs w:val="24"/>
          <w:rtl/>
        </w:rPr>
        <w:t>الابحاث</w:t>
      </w:r>
      <w:r w:rsidRPr="0062340E">
        <w:rPr>
          <w:rFonts w:ascii="Simplified Arabic" w:hAnsi="Simplified Arabic" w:cs="Simplified Arabic" w:hint="cs"/>
          <w:color w:val="000000" w:themeColor="text1"/>
          <w:sz w:val="24"/>
          <w:szCs w:val="24"/>
          <w:rtl/>
        </w:rPr>
        <w:t xml:space="preserve"> ان المرونة عبارة شاملة تغطي العديد من </w:t>
      </w:r>
      <w:r w:rsidR="00475494" w:rsidRPr="0062340E">
        <w:rPr>
          <w:rFonts w:ascii="Simplified Arabic" w:hAnsi="Simplified Arabic" w:cs="Simplified Arabic" w:hint="cs"/>
          <w:color w:val="000000" w:themeColor="text1"/>
          <w:sz w:val="24"/>
          <w:szCs w:val="24"/>
          <w:rtl/>
        </w:rPr>
        <w:t>الابعاد</w:t>
      </w:r>
      <w:r w:rsidRPr="0062340E">
        <w:rPr>
          <w:rFonts w:ascii="Simplified Arabic" w:hAnsi="Simplified Arabic" w:cs="Simplified Arabic" w:hint="cs"/>
          <w:color w:val="000000" w:themeColor="text1"/>
          <w:sz w:val="24"/>
          <w:szCs w:val="24"/>
          <w:rtl/>
        </w:rPr>
        <w:t>، بما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ذلك</w:t>
      </w:r>
      <w:r w:rsidRPr="0062340E">
        <w:rPr>
          <w:rFonts w:ascii="Simplified Arabic" w:hAnsi="Simplified Arabic" w:cs="Simplified Arabic"/>
          <w:color w:val="000000" w:themeColor="text1"/>
          <w:sz w:val="24"/>
          <w:szCs w:val="24"/>
          <w:rtl/>
        </w:rPr>
        <w:t xml:space="preserve"> </w:t>
      </w:r>
      <w:r w:rsidR="00475494" w:rsidRPr="0062340E">
        <w:rPr>
          <w:rFonts w:ascii="Simplified Arabic" w:hAnsi="Simplified Arabic" w:cs="Simplified Arabic" w:hint="cs"/>
          <w:color w:val="000000" w:themeColor="text1"/>
          <w:sz w:val="24"/>
          <w:szCs w:val="24"/>
          <w:rtl/>
        </w:rPr>
        <w:t>الابعاد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الاجتماعية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والاقتصادية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والبيئية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والأمنية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والطبيعية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والحوكمة </w:t>
      </w:r>
      <w:r w:rsidRPr="0062340E">
        <w:rPr>
          <w:rFonts w:asciiTheme="majorBidi" w:hAnsiTheme="majorBidi" w:cstheme="majorBidi"/>
          <w:sz w:val="24"/>
          <w:szCs w:val="24"/>
          <w:rtl/>
        </w:rPr>
        <w:t>(</w:t>
      </w:r>
      <w:r w:rsidR="00475494" w:rsidRPr="0062340E">
        <w:rPr>
          <w:rFonts w:asciiTheme="majorBidi" w:hAnsiTheme="majorBidi" w:cstheme="majorBidi"/>
          <w:sz w:val="24"/>
          <w:szCs w:val="24"/>
        </w:rPr>
        <w:t>Sharifi et al, 2021</w:t>
      </w:r>
      <w:r w:rsidRPr="0062340E">
        <w:rPr>
          <w:rFonts w:asciiTheme="majorBidi" w:hAnsiTheme="majorBidi" w:cstheme="majorBidi"/>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hint="cs"/>
          <w:color w:val="000000" w:themeColor="text1"/>
          <w:sz w:val="24"/>
          <w:szCs w:val="24"/>
          <w:rtl/>
        </w:rPr>
        <w:t xml:space="preserve"> العدد الهائل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المعاني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لمفهوم المرونة هو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احد الصعوبات التي تضفي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نوعا ما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الغموض، أدى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صعوبة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تفعيل المفهوم وترجمته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استراتيجيات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عمل </w:t>
      </w:r>
      <w:r w:rsidRPr="0062340E">
        <w:rPr>
          <w:rFonts w:asciiTheme="majorBidi" w:hAnsiTheme="majorBidi" w:cstheme="majorBidi"/>
          <w:sz w:val="24"/>
          <w:szCs w:val="24"/>
          <w:rtl/>
        </w:rPr>
        <w:t>(</w:t>
      </w:r>
      <w:r w:rsidRPr="0062340E">
        <w:rPr>
          <w:rFonts w:asciiTheme="majorBidi" w:hAnsiTheme="majorBidi" w:cstheme="majorBidi"/>
          <w:sz w:val="24"/>
          <w:szCs w:val="24"/>
        </w:rPr>
        <w:t>Coaffee and Lee, 2016</w:t>
      </w:r>
      <w:r w:rsidRPr="0062340E">
        <w:rPr>
          <w:rFonts w:asciiTheme="majorBidi" w:hAnsiTheme="majorBidi" w:cstheme="majorBidi"/>
          <w:sz w:val="24"/>
          <w:szCs w:val="24"/>
          <w:rtl/>
        </w:rPr>
        <w:t>)</w:t>
      </w:r>
      <w:r w:rsidRPr="0062340E">
        <w:rPr>
          <w:rFonts w:ascii="Simplified Arabic" w:hAnsi="Simplified Arabic" w:cs="Simplified Arabic" w:hint="cs"/>
          <w:color w:val="000000" w:themeColor="text1"/>
          <w:sz w:val="24"/>
          <w:szCs w:val="24"/>
          <w:rtl/>
        </w:rPr>
        <w:t>.</w:t>
      </w:r>
    </w:p>
    <w:p w:rsidR="00A903CE" w:rsidRPr="0062340E" w:rsidRDefault="00A903CE" w:rsidP="00CB4F8D">
      <w:pPr>
        <w:autoSpaceDE w:val="0"/>
        <w:autoSpaceDN w:val="0"/>
        <w:bidi/>
        <w:adjustRightInd w:val="0"/>
        <w:spacing w:after="0"/>
        <w:ind w:firstLine="282"/>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lastRenderedPageBreak/>
        <w:t xml:space="preserve"> أصبحت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كمفهوم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أكثر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شيوعًا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بشكل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تدريجي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مدى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العقد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الماضي،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يرى البعض انها يمكن ان تحدث فرقا في فهم حقيقي لتسيير البيئة الحضرية سواء كانت بيئية او مبنية </w:t>
      </w:r>
      <w:r w:rsidR="00CB4F8D" w:rsidRPr="0062340E">
        <w:rPr>
          <w:rFonts w:asciiTheme="majorBidi" w:hAnsiTheme="majorBidi" w:cstheme="majorBidi"/>
          <w:sz w:val="24"/>
          <w:szCs w:val="24"/>
        </w:rPr>
        <w:t xml:space="preserve">(Davoudi </w:t>
      </w:r>
      <w:r w:rsidRPr="0062340E">
        <w:rPr>
          <w:rFonts w:asciiTheme="majorBidi" w:hAnsiTheme="majorBidi" w:cstheme="majorBidi"/>
          <w:sz w:val="24"/>
          <w:szCs w:val="24"/>
        </w:rPr>
        <w:t>, 2012)</w:t>
      </w:r>
      <w:r w:rsidRPr="0062340E">
        <w:rPr>
          <w:rFonts w:ascii="Simplified Arabic" w:hAnsi="Simplified Arabic" w:cs="Simplified Arabic" w:hint="cs"/>
          <w:color w:val="000000" w:themeColor="text1"/>
          <w:sz w:val="24"/>
          <w:szCs w:val="24"/>
          <w:rtl/>
        </w:rPr>
        <w:t xml:space="preserve">. </w:t>
      </w:r>
    </w:p>
    <w:p w:rsidR="00A903CE" w:rsidRPr="0062340E" w:rsidRDefault="00A903CE" w:rsidP="00973E8E">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color w:val="000000" w:themeColor="text1"/>
          <w:sz w:val="24"/>
          <w:szCs w:val="24"/>
          <w:rtl/>
        </w:rPr>
        <w:t xml:space="preserve">تم استعمال هذا المفهوم في عدة </w:t>
      </w:r>
      <w:r w:rsidRPr="0062340E">
        <w:rPr>
          <w:rFonts w:ascii="Simplified Arabic" w:hAnsi="Simplified Arabic" w:cs="Simplified Arabic" w:hint="cs"/>
          <w:color w:val="000000" w:themeColor="text1"/>
          <w:sz w:val="24"/>
          <w:szCs w:val="24"/>
          <w:rtl/>
        </w:rPr>
        <w:t>مجالات</w:t>
      </w:r>
      <w:r w:rsidRPr="0062340E">
        <w:rPr>
          <w:rFonts w:ascii="Simplified Arabic" w:hAnsi="Simplified Arabic" w:cs="Simplified Arabic"/>
          <w:color w:val="000000" w:themeColor="text1"/>
          <w:sz w:val="24"/>
          <w:szCs w:val="24"/>
          <w:rtl/>
        </w:rPr>
        <w:t>، على وجه الخصوص علم النفس</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العلوم الفيزيائية</w:t>
      </w:r>
      <w:r w:rsidRPr="0062340E">
        <w:rPr>
          <w:rFonts w:ascii="Simplified Arabic" w:hAnsi="Simplified Arabic" w:cs="Simplified Arabic"/>
          <w:color w:val="000000" w:themeColor="text1"/>
          <w:sz w:val="24"/>
          <w:szCs w:val="24"/>
          <w:rtl/>
        </w:rPr>
        <w:t xml:space="preserve"> وعلم البيئة.</w:t>
      </w:r>
      <w:r w:rsidRPr="0062340E">
        <w:rPr>
          <w:rFonts w:ascii="Simplified Arabic" w:hAnsi="Simplified Arabic" w:cs="Simplified Arabic" w:hint="cs"/>
          <w:color w:val="000000" w:themeColor="text1"/>
          <w:sz w:val="24"/>
          <w:szCs w:val="24"/>
          <w:rtl/>
        </w:rPr>
        <w:t xml:space="preserve"> يتفق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الجميع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متعدد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التخصصات</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Pr>
        <w:t>(</w:t>
      </w:r>
      <w:r w:rsidRPr="0062340E">
        <w:rPr>
          <w:rFonts w:asciiTheme="majorBidi" w:hAnsiTheme="majorBidi" w:cstheme="majorBidi"/>
          <w:sz w:val="24"/>
          <w:szCs w:val="24"/>
        </w:rPr>
        <w:t>Cutter</w:t>
      </w:r>
      <w:r w:rsidRPr="0062340E">
        <w:rPr>
          <w:rFonts w:asciiTheme="majorBidi" w:hAnsiTheme="majorBidi" w:cstheme="majorBidi"/>
          <w:color w:val="000000" w:themeColor="text1"/>
          <w:sz w:val="24"/>
          <w:szCs w:val="24"/>
        </w:rPr>
        <w:t xml:space="preserve"> et al., 2008)</w:t>
      </w:r>
      <w:r w:rsidRPr="0062340E">
        <w:rPr>
          <w:rFonts w:ascii="Simplified Arabic" w:hAnsi="Simplified Arabic" w:cs="Simplified Arabic"/>
          <w:color w:val="000000"/>
          <w:sz w:val="24"/>
          <w:szCs w:val="24"/>
          <w:rtl/>
        </w:rPr>
        <w:t xml:space="preserve"> </w:t>
      </w:r>
      <w:r w:rsidRPr="0062340E">
        <w:rPr>
          <w:rFonts w:ascii="Simplified Arabic" w:hAnsi="Simplified Arabic" w:cs="Simplified Arabic" w:hint="cs"/>
          <w:color w:val="000000" w:themeColor="text1"/>
          <w:sz w:val="24"/>
          <w:szCs w:val="24"/>
          <w:rtl/>
        </w:rPr>
        <w:t>وأنه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انتشر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نطاق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واسع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خارج</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مجالات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تخصصه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الأصلية. لذلك، 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الضروري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فهم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التعريفات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المختلفة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والتفسيرات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المرتبطة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بهذا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المفهوم.</w:t>
      </w:r>
    </w:p>
    <w:p w:rsidR="00A903CE" w:rsidRPr="0062340E" w:rsidRDefault="00A903CE" w:rsidP="001341DA">
      <w:pPr>
        <w:pStyle w:val="Paragraphedeliste"/>
        <w:numPr>
          <w:ilvl w:val="3"/>
          <w:numId w:val="80"/>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rtl/>
          <w:lang w:val="en-US"/>
        </w:rPr>
      </w:pPr>
      <w:bookmarkStart w:id="150" w:name="_Toc171803361"/>
      <w:r w:rsidRPr="0062340E">
        <w:rPr>
          <w:rFonts w:ascii="Simplified Arabic" w:hAnsi="Simplified Arabic" w:cs="Simplified Arabic" w:hint="cs"/>
          <w:b/>
          <w:bCs/>
          <w:color w:val="000000" w:themeColor="text1"/>
          <w:sz w:val="24"/>
          <w:szCs w:val="24"/>
          <w:rtl/>
          <w:lang w:val="en-US"/>
        </w:rPr>
        <w:t>نشأة المرونة في علم النفس</w:t>
      </w:r>
      <w:bookmarkEnd w:id="150"/>
    </w:p>
    <w:p w:rsidR="00A903CE" w:rsidRPr="0062340E" w:rsidRDefault="00A903CE" w:rsidP="00A903CE">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خلال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فترة الستينيات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حتى التسعينيات،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أشارت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النفسية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بناء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نفسي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صحي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الرغم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عوامل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الخطر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مثل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الوضع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الأسري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بيئة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مرهقة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ومخيفة</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Pr>
        <w:t>(</w:t>
      </w:r>
      <w:r w:rsidRPr="0062340E">
        <w:rPr>
          <w:rFonts w:asciiTheme="majorBidi" w:hAnsiTheme="majorBidi" w:cstheme="majorBidi"/>
          <w:sz w:val="24"/>
          <w:szCs w:val="24"/>
        </w:rPr>
        <w:t>Werner, 199</w:t>
      </w:r>
      <w:r w:rsidRPr="0062340E">
        <w:rPr>
          <w:rFonts w:asciiTheme="majorBidi" w:hAnsiTheme="majorBidi" w:cstheme="majorBidi"/>
          <w:color w:val="000000" w:themeColor="text1"/>
          <w:sz w:val="24"/>
          <w:szCs w:val="24"/>
        </w:rPr>
        <w:t>5)</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في هذه الفترة، تم البحث في تنمية قدرات الفرد الصحية ومهاراته رغم حالة التوتر التي يعيشها و البحث فيما بعد استعادة الصدمة. </w:t>
      </w:r>
      <w:r w:rsidRPr="0062340E">
        <w:rPr>
          <w:rFonts w:ascii="Simplified Arabic" w:hAnsi="Simplified Arabic" w:cs="Simplified Arabic"/>
          <w:color w:val="000000" w:themeColor="text1"/>
          <w:sz w:val="24"/>
          <w:szCs w:val="24"/>
          <w:rtl/>
        </w:rPr>
        <w:t>على سبيل المثال</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 xml:space="preserve"> استعمل علماء النفس هذا المفهوم لفحص إعادة بناء الشخصية بعد الصدمة </w:t>
      </w:r>
      <w:r w:rsidRPr="0062340E">
        <w:rPr>
          <w:rFonts w:asciiTheme="majorBidi" w:hAnsiTheme="majorBidi" w:cstheme="majorBidi"/>
          <w:color w:val="000000" w:themeColor="text1"/>
          <w:sz w:val="24"/>
          <w:szCs w:val="24"/>
          <w:rtl/>
        </w:rPr>
        <w:t>(</w:t>
      </w:r>
      <w:r w:rsidRPr="0062340E">
        <w:rPr>
          <w:rFonts w:asciiTheme="majorBidi" w:hAnsiTheme="majorBidi" w:cstheme="majorBidi"/>
          <w:sz w:val="24"/>
          <w:szCs w:val="24"/>
        </w:rPr>
        <w:t>Dauphiné and Provi</w:t>
      </w:r>
      <w:r w:rsidRPr="0062340E">
        <w:rPr>
          <w:rFonts w:asciiTheme="majorBidi" w:hAnsiTheme="majorBidi" w:cstheme="majorBidi"/>
          <w:color w:val="000000" w:themeColor="text1"/>
          <w:sz w:val="24"/>
          <w:szCs w:val="24"/>
          <w:lang w:val="en-US"/>
        </w:rPr>
        <w:t>tolo</w:t>
      </w:r>
      <w:r w:rsidRPr="0062340E">
        <w:rPr>
          <w:rFonts w:asciiTheme="majorBidi" w:hAnsiTheme="majorBidi" w:cstheme="majorBidi"/>
          <w:color w:val="000000" w:themeColor="text1"/>
          <w:sz w:val="24"/>
          <w:szCs w:val="24"/>
        </w:rPr>
        <w:t>, 2007</w:t>
      </w:r>
      <w:r w:rsidRPr="0062340E">
        <w:rPr>
          <w:rFonts w:asciiTheme="majorBidi" w:hAnsiTheme="majorBidi" w:cstheme="majorBidi"/>
          <w:color w:val="000000" w:themeColor="text1"/>
          <w:sz w:val="24"/>
          <w:szCs w:val="24"/>
          <w:rtl/>
        </w:rPr>
        <w:t>)</w:t>
      </w:r>
      <w:r w:rsidRPr="0062340E">
        <w:rPr>
          <w:rFonts w:ascii="Simplified Arabic" w:hAnsi="Simplified Arabic" w:cs="Simplified Arabic" w:hint="cs"/>
          <w:color w:val="000000" w:themeColor="text1"/>
          <w:sz w:val="24"/>
          <w:szCs w:val="24"/>
          <w:rtl/>
        </w:rPr>
        <w:t>،</w:t>
      </w:r>
      <w:r w:rsidRPr="0062340E">
        <w:rPr>
          <w:rFonts w:asciiTheme="majorBidi" w:hAnsiTheme="majorBidi" w:cstheme="majorBidi"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 وراء ذلك 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تجاوز</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الوضع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الصعب.</w:t>
      </w:r>
    </w:p>
    <w:p w:rsidR="003D260F" w:rsidRPr="0062340E" w:rsidRDefault="00A903CE" w:rsidP="003D260F">
      <w:pPr>
        <w:autoSpaceDE w:val="0"/>
        <w:autoSpaceDN w:val="0"/>
        <w:bidi/>
        <w:adjustRightInd w:val="0"/>
        <w:spacing w:after="0"/>
        <w:ind w:firstLine="282"/>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t xml:space="preserve">في بداية القرن الواحد و العشرون، </w:t>
      </w:r>
      <w:r w:rsidRPr="0062340E">
        <w:rPr>
          <w:rFonts w:ascii="Simplified Arabic" w:hAnsi="Simplified Arabic" w:cs="Simplified Arabic"/>
          <w:color w:val="000000" w:themeColor="text1"/>
          <w:sz w:val="24"/>
          <w:szCs w:val="24"/>
          <w:rtl/>
        </w:rPr>
        <w:t xml:space="preserve">عرف </w:t>
      </w:r>
      <w:r w:rsidRPr="0062340E">
        <w:rPr>
          <w:rFonts w:ascii="Simplified Arabic" w:hAnsi="Simplified Arabic" w:cs="Simplified Arabic" w:hint="cs"/>
          <w:color w:val="000000" w:themeColor="text1"/>
          <w:sz w:val="24"/>
          <w:szCs w:val="24"/>
          <w:rtl/>
        </w:rPr>
        <w:t>(</w:t>
      </w:r>
      <w:r w:rsidR="00B94344" w:rsidRPr="0062340E">
        <w:rPr>
          <w:rFonts w:ascii="Simplified Arabic" w:hAnsi="Simplified Arabic" w:cs="Simplified Arabic" w:hint="cs"/>
          <w:color w:val="000000" w:themeColor="text1"/>
          <w:sz w:val="24"/>
          <w:szCs w:val="24"/>
          <w:rtl/>
        </w:rPr>
        <w:t>الأحمدي أنس سليم</w:t>
      </w:r>
      <w:r w:rsidRPr="0062340E">
        <w:rPr>
          <w:rFonts w:ascii="Simplified Arabic" w:hAnsi="Simplified Arabic" w:cs="Simplified Arabic" w:hint="cs"/>
          <w:color w:val="000000" w:themeColor="text1"/>
          <w:sz w:val="24"/>
          <w:szCs w:val="24"/>
          <w:rtl/>
        </w:rPr>
        <w:t>، 2007)</w:t>
      </w:r>
      <w:r w:rsidRPr="0062340E">
        <w:rPr>
          <w:rFonts w:ascii="Simplified Arabic" w:hAnsi="Simplified Arabic" w:cs="Simplified Arabic"/>
          <w:color w:val="000000" w:themeColor="text1"/>
          <w:sz w:val="24"/>
          <w:szCs w:val="24"/>
          <w:rtl/>
        </w:rPr>
        <w:t xml:space="preserve"> المرونة</w:t>
      </w:r>
      <w:r w:rsidRPr="0062340E">
        <w:rPr>
          <w:rFonts w:ascii="Simplified Arabic" w:hAnsi="Simplified Arabic" w:cs="Simplified Arabic" w:hint="cs"/>
          <w:color w:val="000000" w:themeColor="text1"/>
          <w:sz w:val="24"/>
          <w:szCs w:val="24"/>
          <w:rtl/>
        </w:rPr>
        <w:t xml:space="preserve"> النفسية</w:t>
      </w:r>
      <w:r w:rsidRPr="0062340E">
        <w:rPr>
          <w:rFonts w:ascii="Simplified Arabic" w:hAnsi="Simplified Arabic" w:cs="Simplified Arabic"/>
          <w:color w:val="000000" w:themeColor="text1"/>
          <w:sz w:val="24"/>
          <w:szCs w:val="24"/>
          <w:rtl/>
        </w:rPr>
        <w:t xml:space="preserve"> بأنها </w:t>
      </w:r>
      <w:r w:rsidRPr="0062340E">
        <w:rPr>
          <w:rFonts w:ascii="Simplified Arabic" w:hAnsi="Simplified Arabic" w:cs="Simplified Arabic" w:hint="cs"/>
          <w:color w:val="000000" w:themeColor="text1"/>
          <w:sz w:val="24"/>
          <w:szCs w:val="24"/>
          <w:rtl/>
        </w:rPr>
        <w:t>الاستجابة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الانفعالية</w:t>
      </w:r>
      <w:r w:rsidRPr="0062340E">
        <w:rPr>
          <w:rFonts w:ascii="Simplified Arabic" w:hAnsi="Simplified Arabic" w:cs="Simplified Arabic"/>
          <w:color w:val="000000" w:themeColor="text1"/>
          <w:sz w:val="24"/>
          <w:szCs w:val="24"/>
          <w:rtl/>
        </w:rPr>
        <w:t xml:space="preserve"> والعقلية التي تمكن </w:t>
      </w:r>
      <w:r w:rsidRPr="0062340E">
        <w:rPr>
          <w:rFonts w:ascii="Simplified Arabic" w:hAnsi="Simplified Arabic" w:cs="Simplified Arabic" w:hint="cs"/>
          <w:color w:val="000000" w:themeColor="text1"/>
          <w:sz w:val="24"/>
          <w:szCs w:val="24"/>
          <w:rtl/>
        </w:rPr>
        <w:t>الإنسان</w:t>
      </w:r>
      <w:r w:rsidRPr="0062340E">
        <w:rPr>
          <w:rFonts w:ascii="Simplified Arabic" w:hAnsi="Simplified Arabic" w:cs="Simplified Arabic"/>
          <w:color w:val="000000" w:themeColor="text1"/>
          <w:sz w:val="24"/>
          <w:szCs w:val="24"/>
          <w:rtl/>
        </w:rPr>
        <w:t xml:space="preserve"> من التكيف </w:t>
      </w:r>
      <w:r w:rsidRPr="0062340E">
        <w:rPr>
          <w:rFonts w:ascii="Simplified Arabic" w:hAnsi="Simplified Arabic" w:cs="Simplified Arabic" w:hint="cs"/>
          <w:color w:val="000000" w:themeColor="text1"/>
          <w:sz w:val="24"/>
          <w:szCs w:val="24"/>
          <w:rtl/>
        </w:rPr>
        <w:t>الإيجابي</w:t>
      </w:r>
      <w:r w:rsidRPr="0062340E">
        <w:rPr>
          <w:rFonts w:ascii="Simplified Arabic" w:hAnsi="Simplified Arabic" w:cs="Simplified Arabic"/>
          <w:color w:val="000000" w:themeColor="text1"/>
          <w:sz w:val="24"/>
          <w:szCs w:val="24"/>
          <w:rtl/>
        </w:rPr>
        <w:t xml:space="preserve"> مع مواقف الحياة المختلفة سواء كان هذا التكيف بالتوسط أو القابلية للتغيير أو </w:t>
      </w:r>
      <w:r w:rsidRPr="0062340E">
        <w:rPr>
          <w:rFonts w:ascii="Simplified Arabic" w:hAnsi="Simplified Arabic" w:cs="Simplified Arabic" w:hint="cs"/>
          <w:color w:val="000000" w:themeColor="text1"/>
          <w:sz w:val="24"/>
          <w:szCs w:val="24"/>
          <w:rtl/>
        </w:rPr>
        <w:t>الأخذ</w:t>
      </w:r>
      <w:r w:rsidRPr="0062340E">
        <w:rPr>
          <w:rFonts w:ascii="Simplified Arabic" w:hAnsi="Simplified Arabic" w:cs="Simplified Arabic"/>
          <w:color w:val="000000" w:themeColor="text1"/>
          <w:sz w:val="24"/>
          <w:szCs w:val="24"/>
          <w:rtl/>
        </w:rPr>
        <w:t xml:space="preserve"> بأيسر الحلول</w:t>
      </w:r>
      <w:r w:rsidRPr="0062340E">
        <w:rPr>
          <w:rFonts w:ascii="Simplified Arabic" w:hAnsi="Simplified Arabic" w:cs="Simplified Arabic"/>
          <w:color w:val="000000" w:themeColor="text1"/>
          <w:sz w:val="24"/>
          <w:szCs w:val="24"/>
        </w:rPr>
        <w:t>.</w:t>
      </w:r>
      <w:r w:rsidRPr="0062340E">
        <w:rPr>
          <w:rFonts w:ascii="Simplified Arabic" w:hAnsi="Simplified Arabic" w:cs="Simplified Arabic" w:hint="cs"/>
          <w:color w:val="000000" w:themeColor="text1"/>
          <w:sz w:val="24"/>
          <w:szCs w:val="24"/>
          <w:rtl/>
        </w:rPr>
        <w:t xml:space="preserve"> كما عرفها </w:t>
      </w:r>
      <w:r w:rsidRPr="0062340E">
        <w:rPr>
          <w:rFonts w:asciiTheme="majorBidi" w:hAnsiTheme="majorBidi" w:cstheme="majorBidi"/>
          <w:color w:val="000000" w:themeColor="text1"/>
          <w:sz w:val="24"/>
          <w:szCs w:val="24"/>
          <w:rtl/>
        </w:rPr>
        <w:t>(</w:t>
      </w:r>
      <w:r w:rsidRPr="0062340E">
        <w:rPr>
          <w:rFonts w:asciiTheme="majorBidi" w:hAnsiTheme="majorBidi" w:cstheme="majorBidi"/>
          <w:sz w:val="24"/>
          <w:szCs w:val="24"/>
        </w:rPr>
        <w:t xml:space="preserve">Booth and Neill, </w:t>
      </w:r>
      <w:r w:rsidRPr="0062340E">
        <w:rPr>
          <w:rFonts w:asciiTheme="majorBidi" w:hAnsiTheme="majorBidi" w:cstheme="majorBidi"/>
          <w:color w:val="000000" w:themeColor="text1"/>
          <w:sz w:val="24"/>
          <w:szCs w:val="24"/>
        </w:rPr>
        <w:t>2017</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ان 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النفسية 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الفرد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التكيف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المأساة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الصدمة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الاضطرابات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التهديدات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حالات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التوتر</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p>
    <w:p w:rsidR="00A903CE" w:rsidRPr="0062340E" w:rsidRDefault="00A903CE" w:rsidP="00EB3717">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المقاربة التي تتبناها المرونة النفسية هي ان التعرض للخطر والصدمات ضرورية لإبراز قدرات المرونة و التكيف</w:t>
      </w:r>
      <w:r w:rsidR="00EB3717"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hint="cs"/>
          <w:color w:val="000000" w:themeColor="text1"/>
          <w:sz w:val="24"/>
          <w:szCs w:val="24"/>
          <w:rtl/>
        </w:rPr>
        <w:t xml:space="preserve"> وبالتالي،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النفسية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يمكن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تحمي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الأفراد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آثار الاجهاد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وتعزيز</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قدرتهم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استعادة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الشعور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بالسيطرة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حياتهم</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sz w:val="24"/>
          <w:szCs w:val="24"/>
        </w:rPr>
        <w:t>Southwick</w:t>
      </w:r>
      <w:r w:rsidRPr="0062340E">
        <w:rPr>
          <w:rFonts w:asciiTheme="majorBidi" w:hAnsiTheme="majorBidi" w:cstheme="majorBidi"/>
          <w:color w:val="000000" w:themeColor="text1"/>
          <w:sz w:val="24"/>
          <w:szCs w:val="24"/>
        </w:rPr>
        <w:t xml:space="preserve"> &amp; Charney, 2018</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rPr>
        <w:t>.</w:t>
      </w:r>
    </w:p>
    <w:p w:rsidR="00A903CE" w:rsidRPr="0062340E" w:rsidRDefault="00A903CE" w:rsidP="001341DA">
      <w:pPr>
        <w:pStyle w:val="Paragraphedeliste"/>
        <w:numPr>
          <w:ilvl w:val="3"/>
          <w:numId w:val="100"/>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rtl/>
          <w:lang w:val="en-US"/>
        </w:rPr>
      </w:pPr>
      <w:bookmarkStart w:id="151" w:name="_Toc171803362"/>
      <w:r w:rsidRPr="0062340E">
        <w:rPr>
          <w:rFonts w:ascii="Simplified Arabic" w:hAnsi="Simplified Arabic" w:cs="Simplified Arabic" w:hint="cs"/>
          <w:b/>
          <w:bCs/>
          <w:color w:val="000000" w:themeColor="text1"/>
          <w:sz w:val="24"/>
          <w:szCs w:val="24"/>
          <w:rtl/>
          <w:lang w:val="en-US"/>
        </w:rPr>
        <w:t>نش</w:t>
      </w:r>
      <w:r w:rsidR="00955516" w:rsidRPr="0062340E">
        <w:rPr>
          <w:rFonts w:ascii="Simplified Arabic" w:hAnsi="Simplified Arabic" w:cs="Simplified Arabic" w:hint="cs"/>
          <w:b/>
          <w:bCs/>
          <w:color w:val="000000" w:themeColor="text1"/>
          <w:sz w:val="24"/>
          <w:szCs w:val="24"/>
          <w:rtl/>
          <w:lang w:val="en-US"/>
        </w:rPr>
        <w:t>أة المرونة في العلوم الفيزيائية</w:t>
      </w:r>
      <w:bookmarkEnd w:id="151"/>
    </w:p>
    <w:p w:rsidR="0069793D" w:rsidRPr="0062340E" w:rsidRDefault="00A903CE" w:rsidP="0069793D">
      <w:pPr>
        <w:autoSpaceDE w:val="0"/>
        <w:autoSpaceDN w:val="0"/>
        <w:bidi/>
        <w:adjustRightInd w:val="0"/>
        <w:spacing w:after="0"/>
        <w:ind w:firstLine="282"/>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t>استخدم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علماء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الفيزياء 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لأول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للإشارة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خصائص</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اللولب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ووصف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ثبات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المواد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ومقاومتها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للصدمات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الخارجية التي ظهرت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أطروحة</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hint="cs"/>
          <w:color w:val="000000" w:themeColor="text1"/>
          <w:sz w:val="24"/>
          <w:szCs w:val="24"/>
          <w:rtl/>
        </w:rPr>
        <w:t>(</w:t>
      </w:r>
      <w:r w:rsidRPr="0062340E">
        <w:rPr>
          <w:rFonts w:asciiTheme="majorBidi" w:hAnsiTheme="majorBidi" w:cstheme="majorBidi"/>
          <w:color w:val="000000" w:themeColor="text1"/>
          <w:sz w:val="24"/>
          <w:szCs w:val="24"/>
        </w:rPr>
        <w:t>Thomas Tredgold</w:t>
      </w:r>
      <w:r w:rsidRPr="0062340E">
        <w:rPr>
          <w:rFonts w:asciiTheme="majorBidi" w:hAnsiTheme="majorBidi" w:cstheme="majorBidi" w:hint="cs"/>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سنة </w:t>
      </w:r>
      <w:r w:rsidRPr="0062340E">
        <w:rPr>
          <w:rFonts w:ascii="Simplified Arabic" w:hAnsi="Simplified Arabic" w:cs="Simplified Arabic"/>
          <w:color w:val="000000" w:themeColor="text1"/>
          <w:sz w:val="24"/>
          <w:szCs w:val="24"/>
          <w:rtl/>
        </w:rPr>
        <w:t>1824</w:t>
      </w:r>
      <w:r w:rsidRPr="0062340E">
        <w:rPr>
          <w:rFonts w:ascii="Simplified Arabic" w:hAnsi="Simplified Arabic" w:cs="Simplified Arabic" w:hint="cs"/>
          <w:color w:val="000000" w:themeColor="text1"/>
          <w:sz w:val="24"/>
          <w:szCs w:val="24"/>
          <w:rtl/>
        </w:rPr>
        <w:t xml:space="preserve"> حول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قوة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حديد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الزهر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والمعادن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الأخرى،</w:t>
      </w:r>
      <w:r w:rsidRPr="0062340E">
        <w:rPr>
          <w:rFonts w:hint="cs"/>
          <w:sz w:val="24"/>
          <w:szCs w:val="24"/>
          <w:rtl/>
        </w:rPr>
        <w:t xml:space="preserve"> </w:t>
      </w:r>
      <w:r w:rsidRPr="0062340E">
        <w:rPr>
          <w:rFonts w:ascii="Simplified Arabic" w:hAnsi="Simplified Arabic" w:cs="Simplified Arabic" w:hint="cs"/>
          <w:color w:val="000000" w:themeColor="text1"/>
          <w:sz w:val="24"/>
          <w:szCs w:val="24"/>
          <w:rtl/>
        </w:rPr>
        <w:t>بعد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ضغط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مستمر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مطبق على مادة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تحت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تأثير مُقيد،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لذلك فإن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العودة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الحالة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الأولية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لهذه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المادة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ظاهرة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الفيزيائية</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القرن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العشرون،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استخدام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المصطلح</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للإشارة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خصائص</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الفيزيائية،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التشوه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ثم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العودة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الشكل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الأصلي،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 الصلابة،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تحمل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كبير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الضغط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دون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كسر</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rPr>
        <w:t>(</w:t>
      </w:r>
      <w:r w:rsidR="00ED10C2" w:rsidRPr="0062340E">
        <w:rPr>
          <w:rFonts w:asciiTheme="majorBidi" w:hAnsiTheme="majorBidi" w:cstheme="majorBidi"/>
          <w:sz w:val="24"/>
          <w:szCs w:val="24"/>
          <w:lang w:bidi="ar-DZ"/>
        </w:rPr>
        <w:t>Peres et al., 2016</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p>
    <w:p w:rsidR="00A903CE" w:rsidRPr="0062340E" w:rsidRDefault="00A903CE" w:rsidP="0069793D">
      <w:pPr>
        <w:autoSpaceDE w:val="0"/>
        <w:autoSpaceDN w:val="0"/>
        <w:bidi/>
        <w:adjustRightInd w:val="0"/>
        <w:spacing w:after="0"/>
        <w:ind w:firstLine="282"/>
        <w:jc w:val="both"/>
        <w:rPr>
          <w:rFonts w:ascii="Simplified Arabic" w:hAnsi="Simplified Arabic" w:cs="Simplified Arabic"/>
          <w:color w:val="000000" w:themeColor="text1"/>
          <w:sz w:val="24"/>
          <w:szCs w:val="24"/>
          <w:lang w:bidi="ar-DZ"/>
        </w:rPr>
      </w:pP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الفيزياء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صدى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لمقاومة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المادة، 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ايضا دلالة 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العنصر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للاحتفاظ</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بخصائصه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ووظائفه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الأولية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الرغم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تعرضه للصدمة</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حسب </w:t>
      </w:r>
      <w:r w:rsidRPr="0062340E">
        <w:rPr>
          <w:rFonts w:asciiTheme="majorBidi" w:hAnsiTheme="majorBidi" w:cstheme="majorBidi"/>
          <w:color w:val="000000" w:themeColor="text1"/>
          <w:sz w:val="24"/>
          <w:szCs w:val="24"/>
          <w:rtl/>
        </w:rPr>
        <w:t>(</w:t>
      </w:r>
      <w:r w:rsidRPr="0062340E">
        <w:rPr>
          <w:rFonts w:asciiTheme="majorBidi" w:hAnsiTheme="majorBidi" w:cstheme="majorBidi"/>
          <w:sz w:val="24"/>
          <w:szCs w:val="24"/>
          <w:lang w:bidi="ar-DZ"/>
        </w:rPr>
        <w:t>Mathieu</w:t>
      </w:r>
      <w:r w:rsidRPr="0062340E">
        <w:rPr>
          <w:rFonts w:asciiTheme="majorBidi" w:hAnsiTheme="majorBidi" w:cstheme="majorBidi"/>
          <w:color w:val="000000" w:themeColor="text1"/>
          <w:sz w:val="24"/>
          <w:szCs w:val="24"/>
        </w:rPr>
        <w:t>, 1991</w:t>
      </w:r>
      <w:r w:rsidRPr="0062340E">
        <w:rPr>
          <w:rFonts w:asciiTheme="majorBidi" w:hAnsiTheme="majorBidi" w:cstheme="majorBidi"/>
          <w:color w:val="000000" w:themeColor="text1"/>
          <w:sz w:val="24"/>
          <w:szCs w:val="24"/>
          <w:rtl/>
        </w:rPr>
        <w:t>)</w:t>
      </w:r>
      <w:r w:rsidRPr="0062340E">
        <w:rPr>
          <w:rFonts w:asciiTheme="majorBidi" w:hAnsiTheme="majorBidi" w:cstheme="majorBidi"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t>فان</w:t>
      </w:r>
      <w:r w:rsidRPr="0062340E">
        <w:rPr>
          <w:rFonts w:asciiTheme="majorBidi" w:hAnsiTheme="majorBidi" w:cstheme="majorBidi" w:hint="cs"/>
          <w:color w:val="000000" w:themeColor="text1"/>
          <w:sz w:val="24"/>
          <w:szCs w:val="24"/>
          <w:rtl/>
        </w:rPr>
        <w:t xml:space="preserve"> </w:t>
      </w:r>
      <w:r w:rsidRPr="0062340E">
        <w:rPr>
          <w:rFonts w:ascii="Simplified Arabic" w:hAnsi="Simplified Arabic" w:cs="Simplified Arabic"/>
          <w:color w:val="000000" w:themeColor="text1"/>
          <w:sz w:val="24"/>
          <w:szCs w:val="24"/>
          <w:rtl/>
        </w:rPr>
        <w:t>مفهوم</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 xml:space="preserve">المرونة </w:t>
      </w:r>
      <w:r w:rsidRPr="0062340E">
        <w:rPr>
          <w:rFonts w:ascii="Simplified Arabic" w:hAnsi="Simplified Arabic" w:cs="Simplified Arabic" w:hint="cs"/>
          <w:color w:val="000000" w:themeColor="text1"/>
          <w:sz w:val="24"/>
          <w:szCs w:val="24"/>
          <w:rtl/>
        </w:rPr>
        <w:t>في ال</w:t>
      </w:r>
      <w:r w:rsidRPr="0062340E">
        <w:rPr>
          <w:rFonts w:ascii="Simplified Arabic" w:hAnsi="Simplified Arabic" w:cs="Simplified Arabic"/>
          <w:color w:val="000000" w:themeColor="text1"/>
          <w:sz w:val="24"/>
          <w:szCs w:val="24"/>
          <w:rtl/>
        </w:rPr>
        <w:t>فيزياء</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هو </w:t>
      </w:r>
      <w:r w:rsidRPr="0062340E">
        <w:rPr>
          <w:rFonts w:ascii="Simplified Arabic" w:hAnsi="Simplified Arabic" w:cs="Simplified Arabic"/>
          <w:color w:val="000000" w:themeColor="text1"/>
          <w:sz w:val="24"/>
          <w:szCs w:val="24"/>
          <w:rtl/>
        </w:rPr>
        <w:t>قي</w:t>
      </w:r>
      <w:r w:rsidRPr="0062340E">
        <w:rPr>
          <w:rFonts w:ascii="Simplified Arabic" w:hAnsi="Simplified Arabic" w:cs="Simplified Arabic" w:hint="cs"/>
          <w:color w:val="000000" w:themeColor="text1"/>
          <w:sz w:val="24"/>
          <w:szCs w:val="24"/>
          <w:rtl/>
        </w:rPr>
        <w:t>ا</w:t>
      </w:r>
      <w:r w:rsidRPr="0062340E">
        <w:rPr>
          <w:rFonts w:ascii="Simplified Arabic" w:hAnsi="Simplified Arabic" w:cs="Simplified Arabic"/>
          <w:color w:val="000000" w:themeColor="text1"/>
          <w:sz w:val="24"/>
          <w:szCs w:val="24"/>
          <w:rtl/>
        </w:rPr>
        <w:t>س</w:t>
      </w:r>
      <w:r w:rsidRPr="0062340E">
        <w:rPr>
          <w:rFonts w:ascii="Simplified Arabic" w:hAnsi="Simplified Arabic" w:cs="Simplified Arabic" w:hint="cs"/>
          <w:color w:val="000000" w:themeColor="text1"/>
          <w:sz w:val="24"/>
          <w:szCs w:val="24"/>
          <w:rtl/>
        </w:rPr>
        <w:t xml:space="preserve"> 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الجسم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العودة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حالته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الأولية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بعد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صدمة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ضغط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مستمر</w:t>
      </w:r>
      <w:r w:rsidRPr="0062340E">
        <w:rPr>
          <w:rFonts w:ascii="Simplified Arabic" w:hAnsi="Simplified Arabic" w:cs="Simplified Arabic"/>
          <w:color w:val="000000" w:themeColor="text1"/>
          <w:sz w:val="24"/>
          <w:szCs w:val="24"/>
          <w:rtl/>
        </w:rPr>
        <w:t>.</w:t>
      </w:r>
    </w:p>
    <w:p w:rsidR="00A903CE" w:rsidRPr="0062340E" w:rsidRDefault="00955516" w:rsidP="001341DA">
      <w:pPr>
        <w:pStyle w:val="Paragraphedeliste"/>
        <w:numPr>
          <w:ilvl w:val="3"/>
          <w:numId w:val="64"/>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rtl/>
          <w:lang w:val="en-US"/>
        </w:rPr>
      </w:pPr>
      <w:bookmarkStart w:id="152" w:name="_Toc171803363"/>
      <w:r w:rsidRPr="0062340E">
        <w:rPr>
          <w:rFonts w:ascii="Simplified Arabic" w:hAnsi="Simplified Arabic" w:cs="Simplified Arabic" w:hint="cs"/>
          <w:b/>
          <w:bCs/>
          <w:color w:val="000000" w:themeColor="text1"/>
          <w:sz w:val="24"/>
          <w:szCs w:val="24"/>
          <w:rtl/>
          <w:lang w:val="en-US"/>
        </w:rPr>
        <w:t>نشأة المرونة في علم البيئة</w:t>
      </w:r>
      <w:bookmarkEnd w:id="152"/>
    </w:p>
    <w:p w:rsidR="00A903CE" w:rsidRPr="0062340E" w:rsidRDefault="00A903CE" w:rsidP="00A903CE">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ستينيات القرن العشرون،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ظهور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تفكير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الانظمة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00000" w:themeColor="text1"/>
          <w:sz w:val="24"/>
          <w:szCs w:val="24"/>
          <w:lang w:val="en-US"/>
        </w:rPr>
        <w:t>systems thinking</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دخلت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مجال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حيث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ظهرت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معاني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متعددة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لهذا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جعل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هذا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يتطور،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هو</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المقال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الذي نُشر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عام</w:t>
      </w:r>
      <w:r w:rsidRPr="0062340E">
        <w:rPr>
          <w:rFonts w:ascii="Simplified Arabic" w:hAnsi="Simplified Arabic" w:cs="Simplified Arabic"/>
          <w:color w:val="000000" w:themeColor="text1"/>
          <w:sz w:val="24"/>
          <w:szCs w:val="24"/>
          <w:rtl/>
        </w:rPr>
        <w:t xml:space="preserve"> 1973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قبل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عالم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المُنظر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الكندي</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Pr>
        <w:t>(</w:t>
      </w:r>
      <w:r w:rsidRPr="0062340E">
        <w:rPr>
          <w:rFonts w:asciiTheme="majorBidi" w:hAnsiTheme="majorBidi" w:cstheme="majorBidi"/>
          <w:color w:val="000000" w:themeColor="text1"/>
          <w:sz w:val="24"/>
          <w:szCs w:val="24"/>
          <w:lang w:val="en-US"/>
        </w:rPr>
        <w:t>Crawford</w:t>
      </w:r>
      <w:r w:rsidRPr="0062340E">
        <w:rPr>
          <w:rFonts w:asciiTheme="majorBidi" w:hAnsiTheme="majorBidi" w:cstheme="majorBidi"/>
          <w:color w:val="000000" w:themeColor="text1"/>
          <w:sz w:val="24"/>
          <w:szCs w:val="24"/>
        </w:rPr>
        <w:t xml:space="preserve"> </w:t>
      </w:r>
      <w:r w:rsidRPr="0062340E">
        <w:rPr>
          <w:rFonts w:asciiTheme="majorBidi" w:hAnsiTheme="majorBidi" w:cstheme="majorBidi"/>
          <w:color w:val="000000" w:themeColor="text1"/>
          <w:sz w:val="24"/>
          <w:szCs w:val="24"/>
          <w:lang w:val="en-US"/>
        </w:rPr>
        <w:t>Stanley Holling</w:t>
      </w:r>
      <w:r w:rsidRPr="0062340E">
        <w:rPr>
          <w:rFonts w:asciiTheme="majorBidi" w:hAnsiTheme="majorBidi" w:cstheme="majorBidi"/>
          <w:color w:val="000000" w:themeColor="text1"/>
          <w:sz w:val="24"/>
          <w:szCs w:val="24"/>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ذلك</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المقال،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ميّز</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بين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 الهندسية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الايكولوجية</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 xml:space="preserve">حيث </w:t>
      </w:r>
      <w:r w:rsidRPr="0062340E">
        <w:rPr>
          <w:rFonts w:ascii="Simplified Arabic" w:hAnsi="Simplified Arabic" w:cs="Simplified Arabic"/>
          <w:color w:val="000000" w:themeColor="text1"/>
          <w:sz w:val="24"/>
          <w:szCs w:val="24"/>
          <w:rtl/>
        </w:rPr>
        <w:t>طرح</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هذا</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المفهوم</w:t>
      </w:r>
      <w:r w:rsidRPr="0062340E">
        <w:rPr>
          <w:rFonts w:ascii="Simplified Arabic" w:hAnsi="Simplified Arabic" w:cs="Simplified Arabic" w:hint="cs"/>
          <w:color w:val="000000" w:themeColor="text1"/>
          <w:sz w:val="24"/>
          <w:szCs w:val="24"/>
          <w:rtl/>
        </w:rPr>
        <w:t xml:space="preserve"> </w:t>
      </w:r>
      <w:r w:rsidRPr="0062340E">
        <w:rPr>
          <w:rFonts w:ascii="Simplified Arabic" w:hAnsi="Simplified Arabic" w:cs="Simplified Arabic"/>
          <w:color w:val="000000" w:themeColor="text1"/>
          <w:sz w:val="24"/>
          <w:szCs w:val="24"/>
          <w:rtl/>
        </w:rPr>
        <w:t>صورته</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الايكولوجية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الوصفية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لأول</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مرة كإشارة</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الى</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وضع</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التكيف</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color w:val="000000" w:themeColor="text1"/>
          <w:sz w:val="24"/>
          <w:szCs w:val="24"/>
          <w:rtl/>
        </w:rPr>
        <w:t>مع</w:t>
      </w:r>
      <w:r w:rsidRPr="0062340E">
        <w:rPr>
          <w:rFonts w:ascii="Simplified Arabic" w:hAnsi="Simplified Arabic" w:cs="Simplified Arabic"/>
          <w:color w:val="000000" w:themeColor="text1"/>
          <w:sz w:val="24"/>
          <w:szCs w:val="24"/>
        </w:rPr>
        <w:t xml:space="preserve"> </w:t>
      </w:r>
      <w:r w:rsidRPr="0062340E">
        <w:rPr>
          <w:rFonts w:ascii="Simplified Arabic" w:hAnsi="Simplified Arabic" w:cs="Simplified Arabic" w:hint="cs"/>
          <w:color w:val="000000" w:themeColor="text1"/>
          <w:sz w:val="24"/>
          <w:szCs w:val="24"/>
          <w:rtl/>
        </w:rPr>
        <w:t>البيئية.</w:t>
      </w:r>
    </w:p>
    <w:p w:rsidR="00A903CE" w:rsidRPr="0062340E" w:rsidRDefault="00A903CE" w:rsidP="007730B2">
      <w:pPr>
        <w:autoSpaceDE w:val="0"/>
        <w:autoSpaceDN w:val="0"/>
        <w:bidi/>
        <w:adjustRightInd w:val="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lastRenderedPageBreak/>
        <w:t>عرّف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w:t>
      </w:r>
      <w:r w:rsidRPr="0062340E">
        <w:rPr>
          <w:rFonts w:asciiTheme="majorBidi" w:hAnsiTheme="majorBidi" w:cstheme="majorBidi"/>
          <w:color w:val="000000" w:themeColor="text1"/>
          <w:sz w:val="24"/>
          <w:szCs w:val="24"/>
          <w:lang w:val="en-US"/>
        </w:rPr>
        <w:t>Holling</w:t>
      </w:r>
      <w:r w:rsidRPr="0062340E">
        <w:rPr>
          <w:rFonts w:asciiTheme="majorBidi" w:hAnsiTheme="majorBidi" w:cstheme="majorBidi" w:hint="cs"/>
          <w:color w:val="000000" w:themeColor="text1"/>
          <w:sz w:val="24"/>
          <w:szCs w:val="24"/>
          <w:rtl/>
          <w:lang w:val="en-US"/>
        </w:rPr>
        <w:t>)</w:t>
      </w:r>
      <w:r w:rsidRPr="0062340E">
        <w:rPr>
          <w:rFonts w:ascii="Simplified Arabic" w:hAnsi="Simplified Arabic" w:cs="Simplified Arabic" w:hint="cs"/>
          <w:color w:val="000000" w:themeColor="text1"/>
          <w:sz w:val="24"/>
          <w:szCs w:val="24"/>
          <w:rtl/>
        </w:rPr>
        <w:t xml:space="preserve"> 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بأنها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للحفاظ</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 الهيكل</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النوعي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sz w:val="24"/>
          <w:szCs w:val="24"/>
          <w:lang w:bidi="ar-DZ"/>
        </w:rPr>
        <w:t>Holling</w:t>
      </w:r>
      <w:r w:rsidRPr="0062340E">
        <w:rPr>
          <w:rFonts w:asciiTheme="majorBidi" w:hAnsiTheme="majorBidi" w:cstheme="majorBidi"/>
          <w:color w:val="000000" w:themeColor="text1"/>
          <w:sz w:val="24"/>
          <w:szCs w:val="24"/>
          <w:lang w:val="en-US"/>
        </w:rPr>
        <w:t>, 1973</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hint="cs"/>
          <w:color w:val="000000" w:themeColor="text1"/>
          <w:sz w:val="24"/>
          <w:szCs w:val="24"/>
          <w:rtl/>
          <w:lang w:bidi="ar-DZ"/>
        </w:rPr>
        <w:t xml:space="preserve"> يكشف</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هذا</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التعريف</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قدرة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النظام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امتصاص</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الصدمات</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دون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تغيير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سلوكه</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أو</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وظيفته</w:t>
      </w:r>
      <w:r w:rsidRPr="0062340E">
        <w:rPr>
          <w:rFonts w:ascii="Simplified Arabic" w:hAnsi="Simplified Arabic" w:cs="Simplified Arabic"/>
          <w:color w:val="000000" w:themeColor="text1"/>
          <w:sz w:val="24"/>
          <w:szCs w:val="24"/>
          <w:rtl/>
          <w:lang w:bidi="ar-DZ"/>
        </w:rPr>
        <w:t>.</w:t>
      </w:r>
      <w:r w:rsidRPr="0062340E">
        <w:rPr>
          <w:rFonts w:ascii="Simplified Arabic" w:hAnsi="Simplified Arabic" w:cs="Simplified Arabic" w:hint="cs"/>
          <w:color w:val="000000" w:themeColor="text1"/>
          <w:sz w:val="24"/>
          <w:szCs w:val="24"/>
          <w:rtl/>
        </w:rPr>
        <w:t xml:space="preserve"> مع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ذلك،</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فإن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w:t>
      </w:r>
      <w:r w:rsidRPr="0062340E">
        <w:rPr>
          <w:rFonts w:asciiTheme="majorBidi" w:hAnsiTheme="majorBidi" w:cstheme="majorBidi"/>
          <w:color w:val="000000" w:themeColor="text1"/>
          <w:sz w:val="24"/>
          <w:szCs w:val="24"/>
          <w:lang w:val="en-US"/>
        </w:rPr>
        <w:t>Holling</w:t>
      </w:r>
      <w:r w:rsidRPr="0062340E">
        <w:rPr>
          <w:rFonts w:asciiTheme="majorBidi" w:hAnsiTheme="majorBidi" w:cstheme="majorBidi" w:hint="cs"/>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rPr>
        <w:t>حول وجود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حالة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أولية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واحدة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فقط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التوازن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لأي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عنصر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قد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انتقادها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نطاق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واسع،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خاصة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أثناء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تحليلات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الأنظمة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المعقدة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تتميز</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بتطوراتها</w:t>
      </w:r>
      <w:r w:rsidRPr="0062340E">
        <w:rPr>
          <w:rFonts w:ascii="Simplified Arabic" w:hAnsi="Simplified Arabic" w:cs="Simplified Arabic"/>
          <w:color w:val="000000" w:themeColor="text1"/>
          <w:sz w:val="24"/>
          <w:szCs w:val="24"/>
          <w:rtl/>
        </w:rPr>
        <w:t xml:space="preserve">. </w:t>
      </w:r>
      <w:r w:rsidR="00FF1331" w:rsidRPr="0062340E">
        <w:rPr>
          <w:rFonts w:ascii="Simplified Arabic" w:hAnsi="Simplified Arabic" w:cs="Simplified Arabic" w:hint="cs"/>
          <w:color w:val="000000" w:themeColor="text1"/>
          <w:sz w:val="24"/>
          <w:szCs w:val="24"/>
          <w:rtl/>
        </w:rPr>
        <w:t xml:space="preserve">خلفية هؤلاء </w:t>
      </w:r>
      <w:r w:rsidRPr="0062340E">
        <w:rPr>
          <w:rFonts w:ascii="Simplified Arabic" w:hAnsi="Simplified Arabic" w:cs="Simplified Arabic" w:hint="cs"/>
          <w:color w:val="000000" w:themeColor="text1"/>
          <w:sz w:val="24"/>
          <w:szCs w:val="24"/>
          <w:rtl/>
        </w:rPr>
        <w:t>الناقدين هي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أي نظام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لديه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تطور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مستمر</w:t>
      </w:r>
      <w:r w:rsidR="005D2C8C" w:rsidRPr="0062340E">
        <w:rPr>
          <w:rFonts w:ascii="Simplified Arabic" w:hAnsi="Simplified Arabic" w:cs="Simplified Arabic"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السبب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الذي دفع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w:t>
      </w:r>
      <w:r w:rsidRPr="0062340E">
        <w:rPr>
          <w:rFonts w:asciiTheme="majorBidi" w:hAnsiTheme="majorBidi" w:cstheme="majorBidi"/>
          <w:color w:val="000000" w:themeColor="text1"/>
          <w:sz w:val="24"/>
          <w:szCs w:val="24"/>
          <w:lang w:val="en-US"/>
        </w:rPr>
        <w:t>Holling</w:t>
      </w:r>
      <w:r w:rsidRPr="0062340E">
        <w:rPr>
          <w:rFonts w:asciiTheme="majorBidi" w:hAnsiTheme="majorBidi" w:cstheme="majorBidi" w:hint="cs"/>
          <w:color w:val="000000" w:themeColor="text1"/>
          <w:sz w:val="24"/>
          <w:szCs w:val="24"/>
          <w:rtl/>
          <w:lang w:val="en-US"/>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بعد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سنوات تقديم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فكرة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التطور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دون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الاعتماد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بالضرورة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للعودة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التوازن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المسبق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يمكن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تعريف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النظام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البيئي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أنها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القدرة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على</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امتصاص</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الاضطرابات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أثناء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إعادة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التنظيم</w:t>
      </w:r>
      <w:r w:rsidRPr="0062340E">
        <w:rPr>
          <w:rFonts w:ascii="Simplified Arabic" w:hAnsi="Simplified Arabic" w:cs="Simplified Arabic"/>
          <w:color w:val="000000" w:themeColor="text1"/>
          <w:sz w:val="24"/>
          <w:szCs w:val="24"/>
          <w:rtl/>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sz w:val="24"/>
          <w:szCs w:val="24"/>
          <w:lang w:bidi="ar-DZ"/>
        </w:rPr>
        <w:t>Walker</w:t>
      </w:r>
      <w:r w:rsidRPr="0062340E">
        <w:rPr>
          <w:rFonts w:asciiTheme="majorBidi" w:hAnsiTheme="majorBidi" w:cstheme="majorBidi"/>
          <w:color w:val="000000" w:themeColor="text1"/>
          <w:sz w:val="24"/>
          <w:szCs w:val="24"/>
          <w:lang w:val="en-US"/>
        </w:rPr>
        <w:t xml:space="preserve"> et al., 2004</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hint="cs"/>
          <w:color w:val="000000" w:themeColor="text1"/>
          <w:sz w:val="24"/>
          <w:szCs w:val="24"/>
          <w:rtl/>
        </w:rPr>
        <w:t xml:space="preserve"> </w:t>
      </w:r>
    </w:p>
    <w:p w:rsidR="00343137" w:rsidRPr="0062340E" w:rsidRDefault="00343137" w:rsidP="001D0548">
      <w:pPr>
        <w:pStyle w:val="Paragraphedeliste"/>
        <w:numPr>
          <w:ilvl w:val="0"/>
          <w:numId w:val="16"/>
        </w:numPr>
        <w:tabs>
          <w:tab w:val="right" w:pos="708"/>
        </w:tabs>
        <w:bidi/>
        <w:spacing w:after="0" w:line="240" w:lineRule="auto"/>
        <w:outlineLvl w:val="1"/>
        <w:rPr>
          <w:rFonts w:ascii="Simplified Arabic" w:hAnsi="Simplified Arabic" w:cs="Simplified Arabic"/>
          <w:b/>
          <w:bCs/>
          <w:vanish/>
          <w:color w:val="000000" w:themeColor="text1"/>
          <w:sz w:val="24"/>
          <w:szCs w:val="24"/>
          <w:rtl/>
          <w:lang w:val="en-US"/>
        </w:rPr>
      </w:pPr>
      <w:bookmarkStart w:id="153" w:name="_Toc157296153"/>
      <w:bookmarkStart w:id="154" w:name="_Toc157328721"/>
      <w:bookmarkStart w:id="155" w:name="_Toc171803364"/>
      <w:bookmarkEnd w:id="153"/>
      <w:bookmarkEnd w:id="154"/>
      <w:bookmarkEnd w:id="155"/>
    </w:p>
    <w:p w:rsidR="00343137" w:rsidRPr="0062340E" w:rsidRDefault="00343137" w:rsidP="001D0548">
      <w:pPr>
        <w:pStyle w:val="Paragraphedeliste"/>
        <w:numPr>
          <w:ilvl w:val="1"/>
          <w:numId w:val="16"/>
        </w:numPr>
        <w:tabs>
          <w:tab w:val="right" w:pos="708"/>
        </w:tabs>
        <w:bidi/>
        <w:spacing w:after="0" w:line="240" w:lineRule="auto"/>
        <w:outlineLvl w:val="1"/>
        <w:rPr>
          <w:rFonts w:ascii="Simplified Arabic" w:hAnsi="Simplified Arabic" w:cs="Simplified Arabic"/>
          <w:b/>
          <w:bCs/>
          <w:vanish/>
          <w:color w:val="000000" w:themeColor="text1"/>
          <w:sz w:val="24"/>
          <w:szCs w:val="24"/>
          <w:rtl/>
          <w:lang w:val="en-US"/>
        </w:rPr>
      </w:pPr>
      <w:bookmarkStart w:id="156" w:name="_Toc157296154"/>
      <w:bookmarkStart w:id="157" w:name="_Toc157328722"/>
      <w:bookmarkStart w:id="158" w:name="_Toc171803365"/>
      <w:bookmarkEnd w:id="156"/>
      <w:bookmarkEnd w:id="157"/>
      <w:bookmarkEnd w:id="158"/>
    </w:p>
    <w:p w:rsidR="00343137" w:rsidRPr="0062340E" w:rsidRDefault="00343137" w:rsidP="001D0548">
      <w:pPr>
        <w:pStyle w:val="Paragraphedeliste"/>
        <w:numPr>
          <w:ilvl w:val="1"/>
          <w:numId w:val="16"/>
        </w:numPr>
        <w:tabs>
          <w:tab w:val="right" w:pos="708"/>
        </w:tabs>
        <w:bidi/>
        <w:spacing w:after="0" w:line="240" w:lineRule="auto"/>
        <w:outlineLvl w:val="1"/>
        <w:rPr>
          <w:rFonts w:ascii="Simplified Arabic" w:hAnsi="Simplified Arabic" w:cs="Simplified Arabic"/>
          <w:b/>
          <w:bCs/>
          <w:vanish/>
          <w:color w:val="000000" w:themeColor="text1"/>
          <w:sz w:val="24"/>
          <w:szCs w:val="24"/>
          <w:rtl/>
          <w:lang w:val="en-US"/>
        </w:rPr>
      </w:pPr>
      <w:bookmarkStart w:id="159" w:name="_Toc157296155"/>
      <w:bookmarkStart w:id="160" w:name="_Toc157328723"/>
      <w:bookmarkStart w:id="161" w:name="_Toc171803366"/>
      <w:bookmarkEnd w:id="159"/>
      <w:bookmarkEnd w:id="160"/>
      <w:bookmarkEnd w:id="161"/>
    </w:p>
    <w:p w:rsidR="00A903CE" w:rsidRPr="0062340E" w:rsidRDefault="00A903CE" w:rsidP="001341DA">
      <w:pPr>
        <w:pStyle w:val="Paragraphedeliste"/>
        <w:numPr>
          <w:ilvl w:val="2"/>
          <w:numId w:val="16"/>
        </w:numPr>
        <w:tabs>
          <w:tab w:val="right" w:pos="850"/>
        </w:tabs>
        <w:bidi/>
        <w:spacing w:after="0" w:line="240" w:lineRule="auto"/>
        <w:ind w:left="0" w:firstLine="0"/>
        <w:outlineLvl w:val="1"/>
        <w:rPr>
          <w:rFonts w:ascii="Simplified Arabic" w:hAnsi="Simplified Arabic" w:cs="Simplified Arabic"/>
          <w:b/>
          <w:bCs/>
          <w:color w:val="000000" w:themeColor="text1"/>
          <w:sz w:val="24"/>
          <w:szCs w:val="24"/>
          <w:lang w:val="en-US"/>
        </w:rPr>
      </w:pPr>
      <w:bookmarkStart w:id="162" w:name="_Toc171803367"/>
      <w:r w:rsidRPr="0062340E">
        <w:rPr>
          <w:rFonts w:ascii="Simplified Arabic" w:hAnsi="Simplified Arabic" w:cs="Simplified Arabic" w:hint="cs"/>
          <w:b/>
          <w:bCs/>
          <w:color w:val="000000" w:themeColor="text1"/>
          <w:sz w:val="24"/>
          <w:szCs w:val="24"/>
          <w:rtl/>
          <w:lang w:val="en-US"/>
        </w:rPr>
        <w:t>التوحيد</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المفاهيمي</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لمرونة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الكوارث</w:t>
      </w:r>
      <w:bookmarkEnd w:id="162"/>
    </w:p>
    <w:p w:rsidR="00A903CE" w:rsidRPr="0062340E" w:rsidRDefault="00A903CE" w:rsidP="00FF1331">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rPr>
        <w:t>يتم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تطبيق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العديد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التخصصات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بما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ذلك</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المخاطر</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والبيئة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وعلم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النفس</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وعلم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الاجتماع</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والجغرافيا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والطب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النفسي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والصحة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العامة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والتخطيط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الحضري</w:t>
      </w:r>
      <w:r w:rsidR="00FF1331" w:rsidRPr="0062340E">
        <w:rPr>
          <w:rFonts w:ascii="Simplified Arabic" w:hAnsi="Simplified Arabic" w:cs="Simplified Arabic" w:hint="cs"/>
          <w:color w:val="000000" w:themeColor="text1"/>
          <w:sz w:val="24"/>
          <w:szCs w:val="24"/>
          <w:rtl/>
        </w:rPr>
        <w:t xml:space="preserve"> </w:t>
      </w:r>
      <w:r w:rsidRPr="0062340E">
        <w:rPr>
          <w:rFonts w:ascii="Simplified Arabic" w:hAnsi="Simplified Arabic" w:cs="Simplified Arabic" w:hint="cs"/>
          <w:color w:val="000000" w:themeColor="text1"/>
          <w:sz w:val="24"/>
          <w:szCs w:val="24"/>
          <w:rtl/>
        </w:rPr>
        <w:t>(</w:t>
      </w:r>
      <w:r w:rsidR="00B94344" w:rsidRPr="0062340E">
        <w:rPr>
          <w:rFonts w:ascii="Simplified Arabic" w:hAnsi="Simplified Arabic" w:cs="Simplified Arabic" w:hint="cs"/>
          <w:color w:val="000000" w:themeColor="text1"/>
          <w:sz w:val="24"/>
          <w:szCs w:val="24"/>
          <w:rtl/>
        </w:rPr>
        <w:t>الأحمدي أنس سليم</w:t>
      </w:r>
      <w:r w:rsidRPr="0062340E">
        <w:rPr>
          <w:rFonts w:ascii="Simplified Arabic" w:hAnsi="Simplified Arabic" w:cs="Simplified Arabic" w:hint="cs"/>
          <w:color w:val="000000" w:themeColor="text1"/>
          <w:sz w:val="24"/>
          <w:szCs w:val="24"/>
          <w:rtl/>
        </w:rPr>
        <w:t xml:space="preserve">، 2007)، </w:t>
      </w:r>
      <w:r w:rsidRPr="0062340E">
        <w:rPr>
          <w:rFonts w:asciiTheme="majorBidi" w:hAnsiTheme="majorBidi" w:cstheme="majorBidi"/>
          <w:color w:val="000000" w:themeColor="text1"/>
          <w:sz w:val="24"/>
          <w:szCs w:val="24"/>
          <w:lang w:val="en-US"/>
        </w:rPr>
        <w:t>(</w:t>
      </w:r>
      <w:r w:rsidRPr="0062340E">
        <w:rPr>
          <w:rFonts w:asciiTheme="majorBidi" w:hAnsiTheme="majorBidi" w:cstheme="majorBidi"/>
          <w:sz w:val="24"/>
          <w:szCs w:val="24"/>
          <w:lang w:bidi="ar-DZ"/>
        </w:rPr>
        <w:t>Folke</w:t>
      </w:r>
      <w:r w:rsidRPr="0062340E">
        <w:rPr>
          <w:rFonts w:asciiTheme="majorBidi" w:hAnsiTheme="majorBidi" w:cstheme="majorBidi"/>
          <w:color w:val="000000" w:themeColor="text1"/>
          <w:sz w:val="24"/>
          <w:szCs w:val="24"/>
          <w:lang w:val="en-US"/>
        </w:rPr>
        <w:t xml:space="preserve">, 2006; </w:t>
      </w:r>
      <w:r w:rsidRPr="0062340E">
        <w:rPr>
          <w:rFonts w:asciiTheme="majorBidi" w:hAnsiTheme="majorBidi" w:cstheme="majorBidi"/>
          <w:sz w:val="24"/>
          <w:szCs w:val="24"/>
          <w:lang w:bidi="ar-DZ"/>
        </w:rPr>
        <w:t>Gilbert</w:t>
      </w:r>
      <w:r w:rsidRPr="0062340E">
        <w:rPr>
          <w:rFonts w:asciiTheme="majorBidi" w:hAnsiTheme="majorBidi" w:cstheme="majorBidi"/>
          <w:color w:val="000000" w:themeColor="text1"/>
          <w:sz w:val="24"/>
          <w:szCs w:val="24"/>
          <w:lang w:val="en-US"/>
        </w:rPr>
        <w:t xml:space="preserve">, 2010; </w:t>
      </w:r>
      <w:r w:rsidRPr="0062340E">
        <w:rPr>
          <w:rFonts w:asciiTheme="majorBidi" w:hAnsiTheme="majorBidi" w:cstheme="majorBidi"/>
          <w:sz w:val="24"/>
          <w:szCs w:val="24"/>
          <w:lang w:bidi="ar-DZ"/>
        </w:rPr>
        <w:t>Bahadur &amp; Thor</w:t>
      </w:r>
      <w:r w:rsidRPr="0062340E">
        <w:rPr>
          <w:rFonts w:asciiTheme="majorBidi" w:hAnsiTheme="majorBidi" w:cstheme="majorBidi"/>
          <w:color w:val="000000" w:themeColor="text1"/>
          <w:sz w:val="24"/>
          <w:szCs w:val="24"/>
          <w:lang w:val="en-US"/>
        </w:rPr>
        <w:t>nton, 2015)</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التعاريف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الوفيرة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ضد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الكوارث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واستخدام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هذا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عدة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طرق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جعلت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الصعب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إعطاء</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تعريف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واحد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يناسب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الجميع. مع ذلك، تم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تعريف المفهوم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بعدة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طرق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وله</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العديد</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من</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الدلالات</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المختلفة</w:t>
      </w:r>
      <w:r w:rsidRPr="0062340E">
        <w:rPr>
          <w:rFonts w:ascii="Simplified Arabic" w:hAnsi="Simplified Arabic" w:cs="Simplified Arabic"/>
          <w:color w:val="000000" w:themeColor="text1"/>
          <w:sz w:val="24"/>
          <w:szCs w:val="24"/>
          <w:rtl/>
        </w:rPr>
        <w:t xml:space="preserve">. </w:t>
      </w:r>
    </w:p>
    <w:p w:rsidR="00A903CE" w:rsidRPr="0062340E" w:rsidRDefault="00A903CE" w:rsidP="0027496A">
      <w:pPr>
        <w:autoSpaceDE w:val="0"/>
        <w:autoSpaceDN w:val="0"/>
        <w:bidi/>
        <w:adjustRightInd w:val="0"/>
        <w:spacing w:after="0"/>
        <w:ind w:firstLine="282"/>
        <w:jc w:val="both"/>
        <w:rPr>
          <w:rFonts w:ascii="Simplified Arabic" w:hAnsi="Simplified Arabic" w:cs="Simplified Arabic"/>
          <w:color w:val="000000" w:themeColor="text1"/>
          <w:sz w:val="24"/>
          <w:szCs w:val="24"/>
        </w:rPr>
      </w:pPr>
      <w:r w:rsidRPr="0062340E">
        <w:rPr>
          <w:rFonts w:ascii="Simplified Arabic" w:hAnsi="Simplified Arabic" w:cs="Simplified Arabic" w:hint="cs"/>
          <w:color w:val="000000" w:themeColor="text1"/>
          <w:sz w:val="24"/>
          <w:szCs w:val="24"/>
          <w:rtl/>
        </w:rPr>
        <w:t>ينصب</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التركيز</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الأساسي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لهذا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البحث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حول 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المكانية الحضرية'' تجاه الكوارث،</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 xml:space="preserve">من منطلق وجود علاقة بين التوزيع المكاني </w:t>
      </w:r>
      <w:r w:rsidR="0027496A" w:rsidRPr="0062340E">
        <w:rPr>
          <w:rFonts w:ascii="Simplified Arabic" w:hAnsi="Simplified Arabic" w:cs="Simplified Arabic" w:hint="cs"/>
          <w:color w:val="000000" w:themeColor="text1"/>
          <w:sz w:val="24"/>
          <w:szCs w:val="24"/>
          <w:rtl/>
        </w:rPr>
        <w:t>ل</w:t>
      </w:r>
      <w:r w:rsidR="0027496A" w:rsidRPr="0062340E">
        <w:rPr>
          <w:rFonts w:ascii="Simplified Arabic" w:hAnsi="Simplified Arabic" w:cs="Simplified Arabic" w:hint="cs"/>
          <w:sz w:val="24"/>
          <w:szCs w:val="24"/>
          <w:rtl/>
        </w:rPr>
        <w:t>استعمال</w:t>
      </w:r>
      <w:r w:rsidR="0027496A" w:rsidRPr="0062340E">
        <w:rPr>
          <w:rFonts w:ascii="Simplified Arabic" w:hAnsi="Simplified Arabic" w:cs="Simplified Arabic"/>
          <w:sz w:val="24"/>
          <w:szCs w:val="24"/>
        </w:rPr>
        <w:t xml:space="preserve"> </w:t>
      </w:r>
      <w:r w:rsidRPr="0062340E">
        <w:rPr>
          <w:rFonts w:ascii="Simplified Arabic" w:hAnsi="Simplified Arabic" w:cs="Simplified Arabic" w:hint="cs"/>
          <w:color w:val="000000" w:themeColor="text1"/>
          <w:sz w:val="24"/>
          <w:szCs w:val="24"/>
          <w:rtl/>
        </w:rPr>
        <w:t>الارض و مستوى المرونة الحضرية  ضمن سياق التخطيط</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الحضري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فيما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يلي</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التعاريف</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المختارة لمفهوم</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المرونة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المتعلقة</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بنطاق</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هذا</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hint="cs"/>
          <w:color w:val="000000" w:themeColor="text1"/>
          <w:sz w:val="24"/>
          <w:szCs w:val="24"/>
          <w:rtl/>
        </w:rPr>
        <w:t>البحث، حسب الجدول (</w:t>
      </w:r>
      <w:r w:rsidR="0085017B" w:rsidRPr="0062340E">
        <w:rPr>
          <w:rFonts w:ascii="Simplified Arabic" w:hAnsi="Simplified Arabic" w:cs="Simplified Arabic" w:hint="cs"/>
          <w:color w:val="000000" w:themeColor="text1"/>
          <w:sz w:val="24"/>
          <w:szCs w:val="24"/>
          <w:rtl/>
        </w:rPr>
        <w:t>1-1</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w:t>
      </w:r>
    </w:p>
    <w:p w:rsidR="00A903CE" w:rsidRPr="0062340E" w:rsidRDefault="00A903CE" w:rsidP="00045FEB">
      <w:pPr>
        <w:pStyle w:val="Tableau"/>
        <w:rPr>
          <w:rtl/>
        </w:rPr>
      </w:pPr>
      <w:bookmarkStart w:id="163" w:name="_Toc157612963"/>
      <w:bookmarkStart w:id="164" w:name="_Toc171803368"/>
      <w:r w:rsidRPr="0062340E">
        <w:rPr>
          <w:rFonts w:hint="cs"/>
          <w:rtl/>
        </w:rPr>
        <w:t>الجدول</w:t>
      </w:r>
      <w:r w:rsidRPr="0062340E">
        <w:rPr>
          <w:rtl/>
        </w:rPr>
        <w:t xml:space="preserve"> </w:t>
      </w:r>
      <w:r w:rsidRPr="0062340E">
        <w:rPr>
          <w:rFonts w:hint="cs"/>
          <w:rtl/>
        </w:rPr>
        <w:t>(1</w:t>
      </w:r>
      <w:r w:rsidR="007C7C95" w:rsidRPr="0062340E">
        <w:rPr>
          <w:rFonts w:hint="cs"/>
          <w:rtl/>
        </w:rPr>
        <w:t>-</w:t>
      </w:r>
      <w:r w:rsidRPr="0062340E">
        <w:rPr>
          <w:rFonts w:hint="cs"/>
          <w:rtl/>
        </w:rPr>
        <w:t>1): تعاريف</w:t>
      </w:r>
      <w:r w:rsidRPr="0062340E">
        <w:rPr>
          <w:rtl/>
        </w:rPr>
        <w:t xml:space="preserve"> </w:t>
      </w:r>
      <w:r w:rsidRPr="0062340E">
        <w:rPr>
          <w:rFonts w:hint="cs"/>
          <w:rtl/>
        </w:rPr>
        <w:t>مختارة</w:t>
      </w:r>
      <w:r w:rsidRPr="0062340E">
        <w:rPr>
          <w:rtl/>
        </w:rPr>
        <w:t xml:space="preserve"> </w:t>
      </w:r>
      <w:r w:rsidRPr="0062340E">
        <w:rPr>
          <w:rFonts w:hint="cs"/>
          <w:rtl/>
        </w:rPr>
        <w:t>للمرونة</w:t>
      </w:r>
      <w:r w:rsidRPr="0062340E">
        <w:rPr>
          <w:rtl/>
        </w:rPr>
        <w:t xml:space="preserve"> </w:t>
      </w:r>
      <w:r w:rsidRPr="0062340E">
        <w:rPr>
          <w:rFonts w:hint="cs"/>
          <w:rtl/>
        </w:rPr>
        <w:t>في</w:t>
      </w:r>
      <w:r w:rsidRPr="0062340E">
        <w:rPr>
          <w:rtl/>
        </w:rPr>
        <w:t xml:space="preserve"> </w:t>
      </w:r>
      <w:r w:rsidRPr="0062340E">
        <w:rPr>
          <w:rFonts w:hint="cs"/>
          <w:rtl/>
        </w:rPr>
        <w:t>مجال</w:t>
      </w:r>
      <w:r w:rsidRPr="0062340E">
        <w:rPr>
          <w:rtl/>
        </w:rPr>
        <w:t xml:space="preserve"> </w:t>
      </w:r>
      <w:r w:rsidRPr="0062340E">
        <w:rPr>
          <w:rFonts w:hint="cs"/>
          <w:rtl/>
        </w:rPr>
        <w:t>الكوارث</w:t>
      </w:r>
      <w:r w:rsidRPr="0062340E">
        <w:rPr>
          <w:rtl/>
        </w:rPr>
        <w:t xml:space="preserve"> </w:t>
      </w:r>
      <w:r w:rsidRPr="0062340E">
        <w:rPr>
          <w:rFonts w:hint="cs"/>
          <w:rtl/>
        </w:rPr>
        <w:t>والأخطار</w:t>
      </w:r>
      <w:bookmarkEnd w:id="163"/>
      <w:bookmarkEnd w:id="164"/>
    </w:p>
    <w:tbl>
      <w:tblPr>
        <w:bidiVisual/>
        <w:tblW w:w="0" w:type="auto"/>
        <w:jc w:val="center"/>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2"/>
        <w:gridCol w:w="6939"/>
      </w:tblGrid>
      <w:tr w:rsidR="00A903CE" w:rsidRPr="0062340E" w:rsidTr="00EB3717">
        <w:trPr>
          <w:jc w:val="center"/>
        </w:trPr>
        <w:tc>
          <w:tcPr>
            <w:tcW w:w="1552" w:type="dxa"/>
            <w:shd w:val="clear" w:color="auto" w:fill="auto"/>
            <w:vAlign w:val="center"/>
          </w:tcPr>
          <w:p w:rsidR="00A903CE" w:rsidRPr="0062340E" w:rsidRDefault="00A903CE" w:rsidP="00955516">
            <w:pPr>
              <w:bidi/>
              <w:spacing w:after="0"/>
              <w:jc w:val="center"/>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المؤلفين</w:t>
            </w:r>
          </w:p>
        </w:tc>
        <w:tc>
          <w:tcPr>
            <w:tcW w:w="6939" w:type="dxa"/>
            <w:shd w:val="clear" w:color="auto" w:fill="auto"/>
            <w:vAlign w:val="center"/>
          </w:tcPr>
          <w:p w:rsidR="00A903CE" w:rsidRPr="0062340E" w:rsidRDefault="00A903CE" w:rsidP="00955516">
            <w:pPr>
              <w:bidi/>
              <w:spacing w:after="0"/>
              <w:jc w:val="center"/>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تعريف</w:t>
            </w:r>
          </w:p>
        </w:tc>
      </w:tr>
      <w:tr w:rsidR="00A903CE" w:rsidRPr="0062340E" w:rsidTr="00EB3717">
        <w:trPr>
          <w:jc w:val="center"/>
        </w:trPr>
        <w:tc>
          <w:tcPr>
            <w:tcW w:w="1552" w:type="dxa"/>
            <w:shd w:val="clear" w:color="auto" w:fill="auto"/>
            <w:vAlign w:val="center"/>
          </w:tcPr>
          <w:p w:rsidR="00A903CE" w:rsidRPr="0062340E" w:rsidRDefault="00A903CE" w:rsidP="00955516">
            <w:pPr>
              <w:autoSpaceDE w:val="0"/>
              <w:autoSpaceDN w:val="0"/>
              <w:bidi/>
              <w:adjustRightInd w:val="0"/>
              <w:spacing w:after="0"/>
              <w:jc w:val="right"/>
              <w:rPr>
                <w:rFonts w:asciiTheme="majorBidi" w:hAnsiTheme="majorBidi" w:cstheme="majorBidi"/>
                <w:sz w:val="24"/>
                <w:szCs w:val="24"/>
                <w:rtl/>
                <w:lang w:val="en-US"/>
              </w:rPr>
            </w:pPr>
            <w:r w:rsidRPr="0062340E">
              <w:rPr>
                <w:rFonts w:asciiTheme="majorBidi" w:hAnsiTheme="majorBidi" w:cstheme="majorBidi"/>
                <w:sz w:val="24"/>
                <w:szCs w:val="24"/>
                <w:lang w:val="en-US"/>
              </w:rPr>
              <w:t>(Carpenter et al.,</w:t>
            </w:r>
            <w:r w:rsidRPr="0062340E">
              <w:rPr>
                <w:rFonts w:asciiTheme="majorBidi" w:hAnsiTheme="majorBidi" w:cstheme="majorBidi"/>
                <w:sz w:val="24"/>
                <w:szCs w:val="24"/>
              </w:rPr>
              <w:t xml:space="preserve"> </w:t>
            </w:r>
            <w:r w:rsidRPr="0062340E">
              <w:rPr>
                <w:rFonts w:asciiTheme="majorBidi" w:hAnsiTheme="majorBidi" w:cstheme="majorBidi"/>
                <w:sz w:val="24"/>
                <w:szCs w:val="24"/>
                <w:lang w:val="en-US"/>
              </w:rPr>
              <w:t>2001)</w:t>
            </w:r>
          </w:p>
        </w:tc>
        <w:tc>
          <w:tcPr>
            <w:tcW w:w="6939" w:type="dxa"/>
            <w:shd w:val="clear" w:color="auto" w:fill="auto"/>
            <w:vAlign w:val="center"/>
          </w:tcPr>
          <w:p w:rsidR="00A903CE" w:rsidRPr="0062340E" w:rsidRDefault="00A903CE" w:rsidP="00867743">
            <w:pPr>
              <w:bidi/>
              <w:spacing w:after="0" w:line="240" w:lineRule="auto"/>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تشير المرونة إلى الخصائص الثلاثة للنظام: (1) مقدار التغيير الذي يمكن أن يخضع له النظام ولا يزال يحافظ على نفس الهيكل والوظيفة والضوابط. (2) درجة قدرة النظام على التنظيم الذاتي. (3) الدرجة التي يمكن للنظام أن يبني بها القدرة على التعلم والتكيف</w:t>
            </w:r>
            <w:r w:rsidRPr="0062340E">
              <w:rPr>
                <w:rFonts w:ascii="Simplified Arabic" w:hAnsi="Simplified Arabic" w:cs="Simplified Arabic"/>
                <w:sz w:val="24"/>
                <w:szCs w:val="24"/>
                <w:lang w:bidi="ar-DZ"/>
              </w:rPr>
              <w:t>.</w:t>
            </w:r>
          </w:p>
        </w:tc>
      </w:tr>
      <w:tr w:rsidR="00A903CE" w:rsidRPr="0062340E" w:rsidTr="00EB3717">
        <w:trPr>
          <w:jc w:val="center"/>
        </w:trPr>
        <w:tc>
          <w:tcPr>
            <w:tcW w:w="1552" w:type="dxa"/>
            <w:shd w:val="clear" w:color="auto" w:fill="auto"/>
            <w:vAlign w:val="center"/>
          </w:tcPr>
          <w:p w:rsidR="00A903CE" w:rsidRPr="0062340E" w:rsidRDefault="00A903CE" w:rsidP="00955516">
            <w:pPr>
              <w:autoSpaceDE w:val="0"/>
              <w:autoSpaceDN w:val="0"/>
              <w:bidi/>
              <w:adjustRightInd w:val="0"/>
              <w:spacing w:after="0"/>
              <w:jc w:val="right"/>
              <w:rPr>
                <w:rFonts w:asciiTheme="majorBidi" w:hAnsiTheme="majorBidi" w:cstheme="majorBidi"/>
                <w:sz w:val="24"/>
                <w:szCs w:val="24"/>
                <w:lang w:val="en-US"/>
              </w:rPr>
            </w:pPr>
            <w:r w:rsidRPr="0062340E">
              <w:rPr>
                <w:rFonts w:asciiTheme="majorBidi" w:hAnsiTheme="majorBidi" w:cstheme="majorBidi"/>
                <w:sz w:val="24"/>
                <w:szCs w:val="24"/>
                <w:lang w:val="en-US"/>
              </w:rPr>
              <w:t>(Godschalk, 2003)</w:t>
            </w:r>
          </w:p>
        </w:tc>
        <w:tc>
          <w:tcPr>
            <w:tcW w:w="6939" w:type="dxa"/>
            <w:shd w:val="clear" w:color="auto" w:fill="auto"/>
            <w:vAlign w:val="center"/>
          </w:tcPr>
          <w:p w:rsidR="00A903CE" w:rsidRPr="0062340E" w:rsidRDefault="00A903CE" w:rsidP="00EB3717">
            <w:pPr>
              <w:bidi/>
              <w:spacing w:after="0" w:line="240" w:lineRule="auto"/>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المدينة المرنة هي شبكة مستدامة من الأنظمة الفيزيائية والمجتمعات البشرية</w:t>
            </w:r>
            <w:r w:rsidRPr="0062340E">
              <w:rPr>
                <w:rFonts w:ascii="Simplified Arabic" w:hAnsi="Simplified Arabic" w:cs="Simplified Arabic"/>
                <w:sz w:val="24"/>
                <w:szCs w:val="24"/>
                <w:lang w:bidi="ar-DZ"/>
              </w:rPr>
              <w:t>.</w:t>
            </w:r>
          </w:p>
        </w:tc>
      </w:tr>
      <w:tr w:rsidR="00A903CE" w:rsidRPr="0062340E" w:rsidTr="00EB3717">
        <w:trPr>
          <w:jc w:val="center"/>
        </w:trPr>
        <w:tc>
          <w:tcPr>
            <w:tcW w:w="1552" w:type="dxa"/>
            <w:shd w:val="clear" w:color="auto" w:fill="auto"/>
            <w:vAlign w:val="center"/>
          </w:tcPr>
          <w:p w:rsidR="00A903CE" w:rsidRPr="0062340E" w:rsidRDefault="00A903CE" w:rsidP="00955516">
            <w:pPr>
              <w:autoSpaceDE w:val="0"/>
              <w:autoSpaceDN w:val="0"/>
              <w:bidi/>
              <w:adjustRightInd w:val="0"/>
              <w:spacing w:after="0"/>
              <w:jc w:val="right"/>
              <w:rPr>
                <w:rFonts w:asciiTheme="majorBidi" w:hAnsiTheme="majorBidi" w:cstheme="majorBidi"/>
                <w:sz w:val="24"/>
                <w:szCs w:val="24"/>
                <w:lang w:val="en-US"/>
              </w:rPr>
            </w:pPr>
            <w:r w:rsidRPr="0062340E">
              <w:rPr>
                <w:rFonts w:asciiTheme="majorBidi" w:hAnsiTheme="majorBidi" w:cstheme="majorBidi"/>
                <w:sz w:val="24"/>
                <w:szCs w:val="24"/>
                <w:lang w:val="en-US"/>
              </w:rPr>
              <w:t>(UNISDR, 2005)</w:t>
            </w:r>
          </w:p>
        </w:tc>
        <w:tc>
          <w:tcPr>
            <w:tcW w:w="6939" w:type="dxa"/>
            <w:shd w:val="clear" w:color="auto" w:fill="auto"/>
            <w:vAlign w:val="center"/>
          </w:tcPr>
          <w:p w:rsidR="00A903CE" w:rsidRPr="0062340E" w:rsidRDefault="00A903CE" w:rsidP="00EB3717">
            <w:pPr>
              <w:bidi/>
              <w:spacing w:after="0" w:line="240" w:lineRule="auto"/>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 xml:space="preserve">المرونة هي قدرة نظام أو مجموعة أو مجتمع معرض بقوة للظواهر على التكيف، من خلال المقاومة أو التغيير من أجل الوصول والحفاظ على مستوى مقبول من الوظيفة </w:t>
            </w:r>
            <w:r w:rsidR="005A5851" w:rsidRPr="0062340E">
              <w:rPr>
                <w:rFonts w:ascii="Simplified Arabic" w:hAnsi="Simplified Arabic" w:cs="Simplified Arabic"/>
                <w:sz w:val="24"/>
                <w:szCs w:val="24"/>
                <w:rtl/>
                <w:lang w:bidi="ar-DZ"/>
              </w:rPr>
              <w:t>والبنية.</w:t>
            </w:r>
          </w:p>
        </w:tc>
      </w:tr>
    </w:tbl>
    <w:p w:rsidR="00A903CE" w:rsidRPr="0062340E" w:rsidRDefault="00955516" w:rsidP="00973E8E">
      <w:pPr>
        <w:pStyle w:val="Paragraphedeliste"/>
        <w:numPr>
          <w:ilvl w:val="2"/>
          <w:numId w:val="20"/>
        </w:numPr>
        <w:tabs>
          <w:tab w:val="right" w:pos="850"/>
        </w:tabs>
        <w:bidi/>
        <w:spacing w:before="240" w:after="0"/>
        <w:ind w:left="0" w:firstLine="0"/>
        <w:outlineLvl w:val="1"/>
        <w:rPr>
          <w:rFonts w:ascii="Simplified Arabic" w:hAnsi="Simplified Arabic" w:cs="Simplified Arabic"/>
          <w:b/>
          <w:bCs/>
          <w:color w:val="000000" w:themeColor="text1"/>
          <w:sz w:val="24"/>
          <w:szCs w:val="24"/>
          <w:rtl/>
          <w:lang w:val="en-US"/>
        </w:rPr>
      </w:pPr>
      <w:bookmarkStart w:id="165" w:name="_Toc171803369"/>
      <w:r w:rsidRPr="0062340E">
        <w:rPr>
          <w:rFonts w:ascii="Simplified Arabic" w:hAnsi="Simplified Arabic" w:cs="Simplified Arabic" w:hint="cs"/>
          <w:b/>
          <w:bCs/>
          <w:color w:val="000000" w:themeColor="text1"/>
          <w:sz w:val="24"/>
          <w:szCs w:val="24"/>
          <w:rtl/>
          <w:lang w:val="en-US"/>
        </w:rPr>
        <w:t>تطور تسيير المخاطر</w:t>
      </w:r>
      <w:bookmarkEnd w:id="165"/>
    </w:p>
    <w:p w:rsidR="00A903CE" w:rsidRPr="0062340E" w:rsidRDefault="00A903CE" w:rsidP="0085017B">
      <w:pPr>
        <w:bidi/>
        <w:spacing w:after="0"/>
        <w:ind w:firstLine="282"/>
        <w:jc w:val="both"/>
        <w:rPr>
          <w:rFonts w:cs="Arial"/>
          <w:sz w:val="24"/>
          <w:szCs w:val="24"/>
          <w:rtl/>
          <w:lang w:bidi="ar-DZ"/>
        </w:rPr>
      </w:pPr>
      <w:r w:rsidRPr="0062340E">
        <w:rPr>
          <w:rFonts w:ascii="Simplified Arabic" w:hAnsi="Simplified Arabic" w:cs="Simplified Arabic" w:hint="cs"/>
          <w:sz w:val="24"/>
          <w:szCs w:val="24"/>
          <w:rtl/>
          <w:lang w:bidi="ar-DZ"/>
        </w:rPr>
        <w:t>لمواجهة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الشكوك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المتزايدة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يتعلق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بزيادة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المخاطر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وتأثيراتها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يجب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الخبراء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ومسيّري الشأن الحضري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ابتكار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استراتيجيات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تسيير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المخاطر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الخاصة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بهم.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لقد تطور مفهوم تسيير المخاطر عبر مراحل زمنية مختلفة، حسب الشكل</w:t>
      </w:r>
      <w:r w:rsidRPr="0062340E">
        <w:rPr>
          <w:rFonts w:ascii="Simplified Arabic" w:hAnsi="Simplified Arabic" w:cs="Simplified Arabic"/>
          <w:sz w:val="24"/>
          <w:szCs w:val="24"/>
          <w:rtl/>
          <w:lang w:bidi="ar-DZ"/>
        </w:rPr>
        <w:t xml:space="preserve"> (</w:t>
      </w:r>
      <w:r w:rsidR="0085017B" w:rsidRPr="0062340E">
        <w:rPr>
          <w:rFonts w:ascii="Simplified Arabic" w:hAnsi="Simplified Arabic" w:cs="Simplified Arabic" w:hint="cs"/>
          <w:sz w:val="24"/>
          <w:szCs w:val="24"/>
          <w:rtl/>
          <w:lang w:bidi="ar-DZ"/>
        </w:rPr>
        <w:t>1-7</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 xml:space="preserve"> يوضح التسلسل الزمني وهذا </w:t>
      </w:r>
      <w:r w:rsidRPr="0062340E">
        <w:rPr>
          <w:rFonts w:ascii="Simplified Arabic" w:hAnsi="Simplified Arabic" w:cs="Simplified Arabic"/>
          <w:sz w:val="24"/>
          <w:szCs w:val="24"/>
          <w:rtl/>
          <w:lang w:bidi="ar-DZ"/>
        </w:rPr>
        <w:t>بناء على مراجعة السياق التاريخي.</w:t>
      </w:r>
      <w:r w:rsidRPr="0062340E">
        <w:rPr>
          <w:rFonts w:ascii="Simplified Arabic" w:hAnsi="Simplified Arabic" w:cs="Simplified Arabic" w:hint="cs"/>
          <w:sz w:val="24"/>
          <w:szCs w:val="24"/>
          <w:rtl/>
          <w:lang w:bidi="ar-DZ"/>
        </w:rPr>
        <w:t xml:space="preserve"> </w:t>
      </w:r>
    </w:p>
    <w:p w:rsidR="001341DA" w:rsidRDefault="001341DA" w:rsidP="00D71F29">
      <w:pPr>
        <w:pStyle w:val="fegure"/>
        <w:rPr>
          <w:szCs w:val="24"/>
          <w:rtl/>
          <w:lang w:bidi="ar-DZ"/>
        </w:rPr>
      </w:pPr>
      <w:bookmarkStart w:id="166" w:name="_Toc157561439"/>
      <w:bookmarkStart w:id="167" w:name="_Toc157562772"/>
      <w:bookmarkStart w:id="168" w:name="_Toc157608268"/>
    </w:p>
    <w:p w:rsidR="001341DA" w:rsidRDefault="001341DA" w:rsidP="00D71F29">
      <w:pPr>
        <w:pStyle w:val="fegure"/>
        <w:rPr>
          <w:szCs w:val="24"/>
          <w:rtl/>
          <w:lang w:bidi="ar-DZ"/>
        </w:rPr>
      </w:pPr>
    </w:p>
    <w:p w:rsidR="001341DA" w:rsidRDefault="001341DA" w:rsidP="00D71F29">
      <w:pPr>
        <w:pStyle w:val="fegure"/>
        <w:rPr>
          <w:szCs w:val="24"/>
          <w:rtl/>
          <w:lang w:bidi="ar-DZ"/>
        </w:rPr>
      </w:pPr>
    </w:p>
    <w:p w:rsidR="001341DA" w:rsidRDefault="001341DA" w:rsidP="00D71F29">
      <w:pPr>
        <w:pStyle w:val="fegure"/>
        <w:rPr>
          <w:szCs w:val="24"/>
          <w:rtl/>
          <w:lang w:bidi="ar-DZ"/>
        </w:rPr>
      </w:pPr>
    </w:p>
    <w:p w:rsidR="00A903CE" w:rsidRPr="0062340E" w:rsidRDefault="00A903CE" w:rsidP="00D71F29">
      <w:pPr>
        <w:pStyle w:val="fegure"/>
        <w:rPr>
          <w:szCs w:val="24"/>
          <w:rtl/>
          <w:lang w:bidi="ar-DZ"/>
        </w:rPr>
      </w:pPr>
      <w:bookmarkStart w:id="169" w:name="_Toc171803370"/>
      <w:r w:rsidRPr="0062340E">
        <w:rPr>
          <w:szCs w:val="24"/>
          <w:rtl/>
          <w:lang w:bidi="ar-DZ"/>
        </w:rPr>
        <w:lastRenderedPageBreak/>
        <w:t xml:space="preserve">الشكل </w:t>
      </w:r>
      <w:r w:rsidRPr="0062340E">
        <w:rPr>
          <w:rFonts w:hint="cs"/>
          <w:szCs w:val="24"/>
          <w:rtl/>
          <w:lang w:bidi="ar-DZ"/>
        </w:rPr>
        <w:t>(</w:t>
      </w:r>
      <w:r w:rsidR="007C7C95" w:rsidRPr="0062340E">
        <w:rPr>
          <w:rFonts w:hint="cs"/>
          <w:szCs w:val="24"/>
          <w:rtl/>
          <w:lang w:bidi="ar-DZ"/>
        </w:rPr>
        <w:t>1-7</w:t>
      </w:r>
      <w:r w:rsidRPr="0062340E">
        <w:rPr>
          <w:rFonts w:hint="cs"/>
          <w:szCs w:val="24"/>
          <w:rtl/>
          <w:lang w:bidi="ar-DZ"/>
        </w:rPr>
        <w:t>)</w:t>
      </w:r>
      <w:r w:rsidRPr="0062340E">
        <w:rPr>
          <w:szCs w:val="24"/>
          <w:rtl/>
          <w:lang w:bidi="ar-DZ"/>
        </w:rPr>
        <w:t xml:space="preserve">: تطور </w:t>
      </w:r>
      <w:r w:rsidRPr="0062340E">
        <w:rPr>
          <w:rFonts w:hint="cs"/>
          <w:szCs w:val="24"/>
          <w:rtl/>
          <w:lang w:bidi="ar-DZ"/>
        </w:rPr>
        <w:t xml:space="preserve">مفهوم </w:t>
      </w:r>
      <w:r w:rsidRPr="0062340E">
        <w:rPr>
          <w:szCs w:val="24"/>
          <w:rtl/>
          <w:lang w:bidi="ar-DZ"/>
        </w:rPr>
        <w:t>تسيير المخاطر</w:t>
      </w:r>
      <w:bookmarkEnd w:id="166"/>
      <w:bookmarkEnd w:id="167"/>
      <w:bookmarkEnd w:id="168"/>
      <w:bookmarkEnd w:id="169"/>
    </w:p>
    <w:p w:rsidR="00973E8E" w:rsidRPr="0062340E" w:rsidRDefault="00973E8E" w:rsidP="00973E8E">
      <w:pPr>
        <w:bidi/>
        <w:spacing w:after="0" w:line="240" w:lineRule="auto"/>
        <w:jc w:val="center"/>
        <w:rPr>
          <w:rFonts w:ascii="Simplified Arabic" w:hAnsi="Simplified Arabic" w:cs="Simplified Arabic"/>
          <w:b/>
          <w:bCs/>
          <w:sz w:val="24"/>
          <w:szCs w:val="24"/>
          <w:rtl/>
          <w:lang w:bidi="ar-DZ"/>
        </w:rPr>
      </w:pPr>
      <w:r w:rsidRPr="0062340E">
        <w:rPr>
          <w:rFonts w:ascii="Simplified Arabic" w:hAnsi="Simplified Arabic" w:cs="Simplified Arabic"/>
          <w:b/>
          <w:bCs/>
          <w:sz w:val="24"/>
          <w:szCs w:val="24"/>
          <w:rtl/>
          <w:lang w:bidi="ar-DZ"/>
        </w:rPr>
        <w:t xml:space="preserve">المصدر: </w:t>
      </w:r>
      <w:r w:rsidRPr="0062340E">
        <w:rPr>
          <w:rFonts w:ascii="Simplified Arabic" w:hAnsi="Simplified Arabic" w:cs="Simplified Arabic"/>
          <w:b/>
          <w:bCs/>
          <w:sz w:val="24"/>
          <w:szCs w:val="24"/>
          <w:rtl/>
        </w:rPr>
        <w:t>(الباحث من خلال المطالعة، 2022)</w:t>
      </w:r>
    </w:p>
    <w:p w:rsidR="00A903CE" w:rsidRPr="0062340E" w:rsidRDefault="00A903CE" w:rsidP="00D71F29">
      <w:pPr>
        <w:bidi/>
        <w:spacing w:before="240" w:after="0"/>
        <w:ind w:firstLine="282"/>
        <w:jc w:val="center"/>
        <w:rPr>
          <w:rFonts w:asciiTheme="minorBidi" w:hAnsiTheme="minorBidi" w:cs="Arial"/>
          <w:noProof/>
          <w:sz w:val="24"/>
          <w:szCs w:val="24"/>
          <w:rtl/>
          <w:lang w:eastAsia="fr-FR"/>
        </w:rPr>
      </w:pPr>
      <w:r w:rsidRPr="0062340E">
        <w:rPr>
          <w:rFonts w:asciiTheme="minorBidi" w:hAnsiTheme="minorBidi" w:cs="Arial" w:hint="cs"/>
          <w:noProof/>
          <w:sz w:val="24"/>
          <w:szCs w:val="24"/>
          <w:rtl/>
          <w:lang w:eastAsia="fr-FR"/>
        </w:rPr>
        <w:drawing>
          <wp:inline distT="0" distB="0" distL="0" distR="0" wp14:anchorId="75203834" wp14:editId="70191035">
            <wp:extent cx="5446644" cy="3458817"/>
            <wp:effectExtent l="38100" t="0" r="59055" b="66040"/>
            <wp:docPr id="60" name="Diagramme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A903CE" w:rsidRPr="0062340E" w:rsidRDefault="00A903CE" w:rsidP="005A5851">
      <w:pPr>
        <w:bidi/>
        <w:spacing w:before="240" w:after="0"/>
        <w:ind w:firstLine="282"/>
        <w:jc w:val="both"/>
        <w:rPr>
          <w:rFonts w:ascii="Simplified Arabic" w:hAnsi="Simplified Arabic" w:cs="Simplified Arabic"/>
          <w:sz w:val="24"/>
          <w:szCs w:val="24"/>
          <w:lang w:bidi="ar-DZ"/>
        </w:rPr>
      </w:pPr>
      <w:r w:rsidRPr="0062340E">
        <w:rPr>
          <w:rFonts w:ascii="Simplified Arabic" w:hAnsi="Simplified Arabic" w:cs="Simplified Arabic" w:hint="cs"/>
          <w:sz w:val="24"/>
          <w:szCs w:val="24"/>
          <w:rtl/>
          <w:lang w:bidi="ar-DZ"/>
        </w:rPr>
        <w:t>فيما يلي يتم استعراض مختلف مراحل تطور تسيير المخاطر</w:t>
      </w:r>
      <w:r w:rsidR="00123962" w:rsidRPr="0062340E">
        <w:rPr>
          <w:rFonts w:ascii="Simplified Arabic" w:hAnsi="Simplified Arabic" w:cs="Simplified Arabic" w:hint="cs"/>
          <w:sz w:val="24"/>
          <w:szCs w:val="24"/>
          <w:rtl/>
          <w:lang w:bidi="ar-DZ"/>
        </w:rPr>
        <w:t>:</w:t>
      </w:r>
      <w:r w:rsidRPr="0062340E">
        <w:rPr>
          <w:rFonts w:ascii="Simplified Arabic" w:hAnsi="Simplified Arabic" w:cs="Simplified Arabic" w:hint="cs"/>
          <w:sz w:val="24"/>
          <w:szCs w:val="24"/>
          <w:rtl/>
          <w:lang w:bidi="ar-DZ"/>
        </w:rPr>
        <w:t xml:space="preserve"> </w:t>
      </w:r>
    </w:p>
    <w:p w:rsidR="00A903CE" w:rsidRPr="0062340E" w:rsidRDefault="00A903CE" w:rsidP="00D300EA">
      <w:pPr>
        <w:pStyle w:val="Paragraphedeliste"/>
        <w:numPr>
          <w:ilvl w:val="3"/>
          <w:numId w:val="101"/>
        </w:numPr>
        <w:tabs>
          <w:tab w:val="right" w:pos="1134"/>
        </w:tabs>
        <w:bidi/>
        <w:spacing w:after="0"/>
        <w:ind w:left="0" w:firstLine="0"/>
        <w:outlineLvl w:val="2"/>
        <w:rPr>
          <w:rFonts w:ascii="Simplified Arabic" w:hAnsi="Simplified Arabic" w:cs="Simplified Arabic"/>
          <w:b/>
          <w:bCs/>
          <w:sz w:val="24"/>
          <w:szCs w:val="24"/>
          <w:lang w:bidi="ar-DZ"/>
        </w:rPr>
      </w:pPr>
      <w:bookmarkStart w:id="170" w:name="_Toc171803371"/>
      <w:r w:rsidRPr="0062340E">
        <w:rPr>
          <w:rFonts w:ascii="Simplified Arabic" w:hAnsi="Simplified Arabic" w:cs="Simplified Arabic"/>
          <w:b/>
          <w:bCs/>
          <w:sz w:val="24"/>
          <w:szCs w:val="24"/>
          <w:rtl/>
          <w:lang w:bidi="ar-DZ"/>
        </w:rPr>
        <w:t xml:space="preserve">الظاهرة </w:t>
      </w:r>
      <w:r w:rsidRPr="0062340E">
        <w:rPr>
          <w:rFonts w:asciiTheme="majorBidi" w:hAnsiTheme="majorBidi" w:cstheme="majorBidi"/>
          <w:b/>
          <w:bCs/>
          <w:sz w:val="24"/>
          <w:szCs w:val="24"/>
          <w:rtl/>
          <w:lang w:bidi="ar-DZ"/>
        </w:rPr>
        <w:t>(</w:t>
      </w:r>
      <w:r w:rsidRPr="0062340E">
        <w:rPr>
          <w:rFonts w:asciiTheme="majorBidi" w:hAnsiTheme="majorBidi" w:cstheme="majorBidi"/>
          <w:b/>
          <w:bCs/>
          <w:sz w:val="24"/>
          <w:szCs w:val="24"/>
        </w:rPr>
        <w:t>Aléa</w:t>
      </w:r>
      <w:r w:rsidRPr="0062340E">
        <w:rPr>
          <w:rFonts w:asciiTheme="majorBidi" w:hAnsiTheme="majorBidi" w:cstheme="majorBidi"/>
          <w:b/>
          <w:bCs/>
          <w:sz w:val="24"/>
          <w:szCs w:val="24"/>
          <w:rtl/>
        </w:rPr>
        <w:t>)</w:t>
      </w:r>
      <w:r w:rsidRPr="0062340E">
        <w:rPr>
          <w:rFonts w:ascii="Simplified Arabic" w:hAnsi="Simplified Arabic" w:cs="Simplified Arabic"/>
          <w:b/>
          <w:bCs/>
          <w:sz w:val="24"/>
          <w:szCs w:val="24"/>
          <w:rtl/>
        </w:rPr>
        <w:t xml:space="preserve">، </w:t>
      </w:r>
      <w:r w:rsidRPr="0062340E">
        <w:rPr>
          <w:rFonts w:ascii="Simplified Arabic" w:hAnsi="Simplified Arabic" w:cs="Simplified Arabic"/>
          <w:b/>
          <w:bCs/>
          <w:sz w:val="24"/>
          <w:szCs w:val="24"/>
          <w:rtl/>
          <w:lang w:bidi="ar-DZ"/>
        </w:rPr>
        <w:t>لدى الامم السابقة</w:t>
      </w:r>
      <w:bookmarkEnd w:id="170"/>
    </w:p>
    <w:p w:rsidR="00A903CE" w:rsidRPr="0062340E" w:rsidRDefault="00A903CE" w:rsidP="00192C2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في السابق، لم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تجميع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المعرفة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العلمية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الجديدة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المشروع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w:t>
      </w:r>
      <w:r w:rsidRPr="0062340E">
        <w:rPr>
          <w:rFonts w:cs="Arial"/>
          <w:sz w:val="24"/>
          <w:szCs w:val="24"/>
          <w:rtl/>
          <w:lang w:bidi="ar-DZ"/>
        </w:rPr>
        <w:t xml:space="preserve"> </w:t>
      </w:r>
      <w:r w:rsidRPr="0062340E">
        <w:rPr>
          <w:rFonts w:asciiTheme="majorBidi" w:hAnsiTheme="majorBidi" w:cstheme="majorBidi"/>
          <w:sz w:val="24"/>
          <w:szCs w:val="24"/>
          <w:lang w:bidi="ar-DZ"/>
        </w:rPr>
        <w:t>(Juanals, 2002)</w:t>
      </w:r>
      <w:r w:rsidRPr="0062340E">
        <w:rPr>
          <w:rFonts w:ascii="TimesNewRomanPSMT" w:hAnsi="TimesNewRomanPSMT" w:cs="TimesNewRomanPSMT" w:hint="cs"/>
          <w:sz w:val="24"/>
          <w:szCs w:val="24"/>
          <w:rtl/>
        </w:rPr>
        <w:t xml:space="preserve"> </w:t>
      </w:r>
      <w:r w:rsidRPr="0062340E">
        <w:rPr>
          <w:rFonts w:ascii="Simplified Arabic" w:hAnsi="Simplified Arabic" w:cs="Simplified Arabic" w:hint="cs"/>
          <w:sz w:val="24"/>
          <w:szCs w:val="24"/>
          <w:rtl/>
          <w:lang w:bidi="ar-DZ"/>
        </w:rPr>
        <w:t>للموسوعة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المعجم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المنطقي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للعلوم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والفنون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والحرف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جعل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تجميع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المعارف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لجعلها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متاحة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للجميع</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 xml:space="preserve"> أتاح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التقدم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العلمي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والمعرفي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التحليل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بطريقة علمية للمخاطر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الطبيعية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وأفسح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لعصر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الخلايا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العصبية</w:t>
      </w:r>
      <w:r w:rsidRPr="0062340E">
        <w:rPr>
          <w:rFonts w:cs="Arial"/>
          <w:sz w:val="24"/>
          <w:szCs w:val="24"/>
          <w:rtl/>
          <w:lang w:bidi="ar-DZ"/>
        </w:rPr>
        <w:t xml:space="preserve"> </w:t>
      </w:r>
      <w:r w:rsidRPr="0062340E">
        <w:rPr>
          <w:rFonts w:asciiTheme="majorBidi" w:hAnsiTheme="majorBidi" w:cstheme="majorBidi"/>
          <w:sz w:val="24"/>
          <w:szCs w:val="24"/>
          <w:lang w:bidi="ar-DZ"/>
        </w:rPr>
        <w:t>(Kervern, 1995)</w:t>
      </w:r>
      <w:r w:rsidRPr="0062340E">
        <w:rPr>
          <w:rFonts w:ascii="Simplified Arabic" w:hAnsi="Simplified Arabic" w:cs="Simplified Arabic"/>
          <w:sz w:val="24"/>
          <w:szCs w:val="24"/>
          <w:rtl/>
          <w:lang w:bidi="ar-DZ"/>
        </w:rPr>
        <w:t>.</w:t>
      </w:r>
      <w:r w:rsidRPr="0062340E">
        <w:rPr>
          <w:rFonts w:cs="Arial"/>
          <w:sz w:val="24"/>
          <w:szCs w:val="24"/>
          <w:rtl/>
          <w:lang w:bidi="ar-DZ"/>
        </w:rPr>
        <w:t xml:space="preserve"> </w:t>
      </w:r>
    </w:p>
    <w:p w:rsidR="00A903CE" w:rsidRPr="0062340E" w:rsidRDefault="00A903CE" w:rsidP="0085017B">
      <w:pPr>
        <w:bidi/>
        <w:spacing w:after="0"/>
        <w:ind w:firstLine="282"/>
        <w:jc w:val="both"/>
        <w:rPr>
          <w:rFonts w:cs="Arial"/>
          <w:sz w:val="24"/>
          <w:szCs w:val="24"/>
          <w:rtl/>
          <w:lang w:bidi="ar-DZ"/>
        </w:rPr>
      </w:pPr>
      <w:r w:rsidRPr="0062340E">
        <w:rPr>
          <w:rFonts w:ascii="Simplified Arabic" w:hAnsi="Simplified Arabic" w:cs="Simplified Arabic" w:hint="cs"/>
          <w:sz w:val="24"/>
          <w:szCs w:val="24"/>
          <w:rtl/>
          <w:lang w:bidi="ar-DZ"/>
        </w:rPr>
        <w:t>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لزلزال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مدينة لشبونة</w:t>
      </w:r>
      <w:r w:rsidRPr="0062340E">
        <w:rPr>
          <w:rFonts w:cs="Arial" w:hint="cs"/>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Lisbonne</w:t>
      </w:r>
      <w:r w:rsidRPr="0062340E">
        <w:rPr>
          <w:rFonts w:asciiTheme="majorBidi" w:hAnsiTheme="majorBidi" w:cstheme="majorBidi"/>
          <w:sz w:val="24"/>
          <w:szCs w:val="24"/>
          <w:rtl/>
          <w:lang w:bidi="ar-DZ"/>
        </w:rPr>
        <w:t>)</w:t>
      </w:r>
      <w:r w:rsidRPr="0062340E">
        <w:rPr>
          <w:rFonts w:cs="Arial"/>
          <w:sz w:val="24"/>
          <w:szCs w:val="24"/>
          <w:rtl/>
          <w:lang w:bidi="ar-DZ"/>
        </w:rPr>
        <w:t xml:space="preserve"> </w:t>
      </w:r>
      <w:r w:rsidRPr="0062340E">
        <w:rPr>
          <w:rFonts w:ascii="Simplified Arabic" w:hAnsi="Simplified Arabic" w:cs="Simplified Arabic" w:hint="cs"/>
          <w:sz w:val="24"/>
          <w:szCs w:val="24"/>
          <w:rtl/>
          <w:lang w:bidi="ar-DZ"/>
        </w:rPr>
        <w:t>البرتغالية عام</w:t>
      </w:r>
      <w:r w:rsidRPr="0062340E">
        <w:rPr>
          <w:rFonts w:ascii="Simplified Arabic" w:hAnsi="Simplified Arabic" w:cs="Simplified Arabic"/>
          <w:sz w:val="24"/>
          <w:szCs w:val="24"/>
          <w:rtl/>
          <w:lang w:bidi="ar-DZ"/>
        </w:rPr>
        <w:t xml:space="preserve"> 1755 </w:t>
      </w:r>
      <w:r w:rsidRPr="0062340E">
        <w:rPr>
          <w:rFonts w:ascii="Simplified Arabic" w:hAnsi="Simplified Arabic" w:cs="Simplified Arabic" w:hint="cs"/>
          <w:sz w:val="24"/>
          <w:szCs w:val="24"/>
          <w:rtl/>
          <w:lang w:bidi="ar-DZ"/>
        </w:rPr>
        <w:t>الذي أعقبه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تسونامي الصورة (</w:t>
      </w:r>
      <w:r w:rsidR="0085017B" w:rsidRPr="0062340E">
        <w:rPr>
          <w:rFonts w:ascii="Simplified Arabic" w:hAnsi="Simplified Arabic" w:cs="Simplified Arabic" w:hint="cs"/>
          <w:sz w:val="24"/>
          <w:szCs w:val="24"/>
          <w:rtl/>
          <w:lang w:bidi="ar-DZ"/>
        </w:rPr>
        <w:t>1-1</w:t>
      </w:r>
      <w:r w:rsidRPr="0062340E">
        <w:rPr>
          <w:rFonts w:ascii="Simplified Arabic" w:hAnsi="Simplified Arabic" w:cs="Simplified Arabic" w:hint="cs"/>
          <w:sz w:val="24"/>
          <w:szCs w:val="24"/>
          <w:rtl/>
          <w:lang w:bidi="ar-DZ"/>
        </w:rPr>
        <w:t>). ادت هذه الكارثة الطبيعية الى عشرات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الآلاف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الضحايا. أظهرت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الحكومة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الوقت إتقانًا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استثنائيًا،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استجابتها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السريعة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ومجموعة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الإجراءات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المتخذة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لمساعدة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وإعادة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بناء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المدينة</w:t>
      </w:r>
      <w:r w:rsidRPr="0062340E">
        <w:rPr>
          <w:rFonts w:cs="Arial"/>
          <w:sz w:val="24"/>
          <w:szCs w:val="24"/>
          <w:rtl/>
          <w:lang w:bidi="ar-DZ"/>
        </w:rPr>
        <w:t xml:space="preserve"> </w:t>
      </w:r>
      <w:r w:rsidRPr="0062340E">
        <w:rPr>
          <w:rFonts w:asciiTheme="majorBidi" w:hAnsiTheme="majorBidi" w:cstheme="majorBidi"/>
          <w:sz w:val="24"/>
          <w:szCs w:val="24"/>
          <w:lang w:bidi="ar-DZ"/>
        </w:rPr>
        <w:t>(</w:t>
      </w:r>
      <w:r w:rsidR="00E14D82" w:rsidRPr="0062340E">
        <w:rPr>
          <w:rFonts w:asciiTheme="majorBidi" w:hAnsiTheme="majorBidi" w:cstheme="majorBidi"/>
          <w:sz w:val="24"/>
          <w:szCs w:val="24"/>
          <w:lang w:bidi="ar-DZ"/>
        </w:rPr>
        <w:t>Gisclard</w:t>
      </w:r>
      <w:r w:rsidRPr="0062340E">
        <w:rPr>
          <w:rFonts w:asciiTheme="majorBidi" w:hAnsiTheme="majorBidi" w:cstheme="majorBidi"/>
          <w:sz w:val="24"/>
          <w:szCs w:val="24"/>
          <w:lang w:bidi="ar-DZ"/>
        </w:rPr>
        <w:t xml:space="preserve">, </w:t>
      </w:r>
      <w:r w:rsidR="00E14D82" w:rsidRPr="0062340E">
        <w:rPr>
          <w:rFonts w:asciiTheme="majorBidi" w:hAnsiTheme="majorBidi" w:cstheme="majorBidi"/>
          <w:sz w:val="24"/>
          <w:szCs w:val="24"/>
          <w:lang w:bidi="ar-DZ"/>
        </w:rPr>
        <w:t>2017</w:t>
      </w:r>
      <w:r w:rsidRPr="0062340E">
        <w:rPr>
          <w:rFonts w:asciiTheme="majorBidi" w:hAnsiTheme="majorBidi" w:cstheme="majorBidi"/>
          <w:sz w:val="24"/>
          <w:szCs w:val="24"/>
          <w:lang w:bidi="ar-DZ"/>
        </w:rPr>
        <w:t>)</w:t>
      </w:r>
      <w:r w:rsidRPr="0062340E">
        <w:rPr>
          <w:rFonts w:cs="Arial" w:hint="cs"/>
          <w:sz w:val="24"/>
          <w:szCs w:val="24"/>
          <w:rtl/>
          <w:lang w:bidi="ar-DZ"/>
        </w:rPr>
        <w:t>.</w:t>
      </w:r>
    </w:p>
    <w:p w:rsidR="00A903CE" w:rsidRPr="0062340E" w:rsidRDefault="00A903CE" w:rsidP="000101D0">
      <w:pPr>
        <w:pStyle w:val="Photo"/>
        <w:rPr>
          <w:rFonts w:asciiTheme="majorBidi" w:hAnsiTheme="majorBidi" w:cstheme="majorBidi"/>
          <w:b w:val="0"/>
          <w:bCs w:val="0"/>
          <w:rtl/>
          <w:lang w:bidi="ar-DZ"/>
        </w:rPr>
      </w:pPr>
      <w:bookmarkStart w:id="171" w:name="_Toc157618634"/>
      <w:bookmarkStart w:id="172" w:name="_Toc171803372"/>
      <w:r w:rsidRPr="0062340E">
        <w:rPr>
          <w:rFonts w:hint="cs"/>
          <w:rtl/>
          <w:lang w:bidi="ar-DZ"/>
        </w:rPr>
        <w:t>الصورة</w:t>
      </w:r>
      <w:r w:rsidRPr="0062340E">
        <w:rPr>
          <w:rtl/>
          <w:lang w:bidi="ar-DZ"/>
        </w:rPr>
        <w:t xml:space="preserve"> </w:t>
      </w:r>
      <w:r w:rsidRPr="0062340E">
        <w:rPr>
          <w:rFonts w:hint="cs"/>
          <w:rtl/>
          <w:lang w:bidi="ar-DZ"/>
        </w:rPr>
        <w:t>(1</w:t>
      </w:r>
      <w:r w:rsidR="007D4ED5" w:rsidRPr="0062340E">
        <w:rPr>
          <w:rFonts w:hint="cs"/>
          <w:rtl/>
          <w:lang w:bidi="ar-DZ"/>
        </w:rPr>
        <w:t>-</w:t>
      </w:r>
      <w:r w:rsidRPr="0062340E">
        <w:rPr>
          <w:rFonts w:hint="cs"/>
          <w:rtl/>
          <w:lang w:bidi="ar-DZ"/>
        </w:rPr>
        <w:t>1)</w:t>
      </w:r>
      <w:r w:rsidRPr="0062340E">
        <w:rPr>
          <w:rtl/>
          <w:lang w:bidi="ar-DZ"/>
        </w:rPr>
        <w:t>: زلزال لشبونة سنة 1755</w:t>
      </w:r>
      <w:bookmarkEnd w:id="171"/>
      <w:r w:rsidR="000101D0">
        <w:rPr>
          <w:rFonts w:hint="cs"/>
          <w:rtl/>
          <w:lang w:bidi="ar-DZ"/>
        </w:rPr>
        <w:t xml:space="preserve">، </w:t>
      </w:r>
      <w:r w:rsidRPr="0062340E">
        <w:rPr>
          <w:b w:val="0"/>
          <w:bCs w:val="0"/>
          <w:rtl/>
          <w:lang w:bidi="ar-DZ"/>
        </w:rPr>
        <w:t>المصدر:</w:t>
      </w:r>
      <w:r w:rsidRPr="0062340E">
        <w:rPr>
          <w:rFonts w:cs="Arial" w:hint="cs"/>
          <w:b w:val="0"/>
          <w:bCs w:val="0"/>
          <w:rtl/>
          <w:lang w:bidi="ar-DZ"/>
        </w:rPr>
        <w:t xml:space="preserve"> </w:t>
      </w:r>
      <w:r w:rsidRPr="0062340E">
        <w:rPr>
          <w:rFonts w:asciiTheme="majorBidi" w:hAnsiTheme="majorBidi" w:cstheme="majorBidi"/>
          <w:b w:val="0"/>
          <w:bCs w:val="0"/>
        </w:rPr>
        <w:t>(</w:t>
      </w:r>
      <w:r w:rsidR="00E14D82" w:rsidRPr="0062340E">
        <w:rPr>
          <w:rFonts w:asciiTheme="majorBidi" w:hAnsiTheme="majorBidi" w:cstheme="majorBidi"/>
          <w:b w:val="0"/>
          <w:bCs w:val="0"/>
        </w:rPr>
        <w:t>Gisclard</w:t>
      </w:r>
      <w:r w:rsidRPr="0062340E">
        <w:rPr>
          <w:rFonts w:asciiTheme="majorBidi" w:hAnsiTheme="majorBidi" w:cstheme="majorBidi"/>
          <w:b w:val="0"/>
          <w:bCs w:val="0"/>
        </w:rPr>
        <w:t xml:space="preserve">, </w:t>
      </w:r>
      <w:r w:rsidR="00E14D82" w:rsidRPr="0062340E">
        <w:rPr>
          <w:rFonts w:asciiTheme="majorBidi" w:hAnsiTheme="majorBidi" w:cstheme="majorBidi"/>
          <w:b w:val="0"/>
          <w:bCs w:val="0"/>
        </w:rPr>
        <w:t>2017</w:t>
      </w:r>
      <w:r w:rsidRPr="0062340E">
        <w:rPr>
          <w:rFonts w:asciiTheme="majorBidi" w:hAnsiTheme="majorBidi" w:cstheme="majorBidi"/>
          <w:b w:val="0"/>
          <w:bCs w:val="0"/>
        </w:rPr>
        <w:t>)</w:t>
      </w:r>
      <w:bookmarkEnd w:id="172"/>
    </w:p>
    <w:p w:rsidR="00A903CE" w:rsidRPr="0062340E" w:rsidRDefault="00A903CE" w:rsidP="00A903CE">
      <w:pPr>
        <w:bidi/>
        <w:spacing w:after="0" w:line="360" w:lineRule="auto"/>
        <w:jc w:val="center"/>
        <w:rPr>
          <w:rFonts w:cs="Arial"/>
          <w:sz w:val="24"/>
          <w:szCs w:val="24"/>
          <w:rtl/>
          <w:lang w:bidi="ar-DZ"/>
        </w:rPr>
      </w:pPr>
      <w:r w:rsidRPr="0062340E">
        <w:rPr>
          <w:noProof/>
          <w:sz w:val="24"/>
          <w:szCs w:val="24"/>
          <w:lang w:eastAsia="fr-FR"/>
        </w:rPr>
        <w:drawing>
          <wp:inline distT="0" distB="0" distL="0" distR="0" wp14:anchorId="0C8FC20F" wp14:editId="02147638">
            <wp:extent cx="2500708" cy="1673524"/>
            <wp:effectExtent l="19050" t="19050" r="13970" b="22225"/>
            <wp:docPr id="61" name="Image 61" descr="https://www.geostrategia.fr/wp-content/uploads/2017/10/Visuel_Le-S%C3%A9isme-de-Lisbonne-en-1755-Retour-sur-une-gestion-de-crise-marqua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geostrategia.fr/wp-content/uploads/2017/10/Visuel_Le-S%C3%A9isme-de-Lisbonne-en-1755-Retour-sur-une-gestion-de-crise-marquante.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500708" cy="1673524"/>
                    </a:xfrm>
                    <a:prstGeom prst="rect">
                      <a:avLst/>
                    </a:prstGeom>
                    <a:noFill/>
                    <a:ln w="12700">
                      <a:solidFill>
                        <a:schemeClr val="tx1"/>
                      </a:solidFill>
                    </a:ln>
                  </pic:spPr>
                </pic:pic>
              </a:graphicData>
            </a:graphic>
          </wp:inline>
        </w:drawing>
      </w:r>
    </w:p>
    <w:p w:rsidR="00A903CE" w:rsidRPr="0062340E" w:rsidRDefault="00A903CE" w:rsidP="00D300EA">
      <w:pPr>
        <w:pStyle w:val="Paragraphedeliste"/>
        <w:numPr>
          <w:ilvl w:val="3"/>
          <w:numId w:val="102"/>
        </w:numPr>
        <w:tabs>
          <w:tab w:val="right" w:pos="1134"/>
        </w:tabs>
        <w:bidi/>
        <w:spacing w:after="0"/>
        <w:ind w:left="0" w:firstLine="0"/>
        <w:outlineLvl w:val="2"/>
        <w:rPr>
          <w:rFonts w:ascii="Simplified Arabic" w:hAnsi="Simplified Arabic" w:cs="Simplified Arabic"/>
          <w:b/>
          <w:bCs/>
          <w:sz w:val="24"/>
          <w:szCs w:val="24"/>
          <w:lang w:bidi="ar-DZ"/>
        </w:rPr>
      </w:pPr>
      <w:bookmarkStart w:id="173" w:name="_Toc171803373"/>
      <w:r w:rsidRPr="0062340E">
        <w:rPr>
          <w:rFonts w:ascii="Simplified Arabic" w:hAnsi="Simplified Arabic" w:cs="Simplified Arabic" w:hint="cs"/>
          <w:b/>
          <w:bCs/>
          <w:sz w:val="24"/>
          <w:szCs w:val="24"/>
          <w:rtl/>
          <w:lang w:bidi="ar-DZ"/>
        </w:rPr>
        <w:lastRenderedPageBreak/>
        <w:t>مقاربة</w:t>
      </w:r>
      <w:r w:rsidRPr="0062340E">
        <w:rPr>
          <w:rFonts w:ascii="Simplified Arabic" w:hAnsi="Simplified Arabic" w:cs="Simplified Arabic"/>
          <w:b/>
          <w:bCs/>
          <w:sz w:val="24"/>
          <w:szCs w:val="24"/>
          <w:rtl/>
          <w:lang w:bidi="ar-DZ"/>
        </w:rPr>
        <w:t xml:space="preserve"> الظاهرة-المركزية </w:t>
      </w:r>
      <w:r w:rsidRPr="0062340E">
        <w:rPr>
          <w:rFonts w:asciiTheme="majorBidi" w:hAnsiTheme="majorBidi" w:cstheme="majorBidi"/>
          <w:b/>
          <w:bCs/>
          <w:sz w:val="24"/>
          <w:szCs w:val="24"/>
          <w:rtl/>
          <w:lang w:bidi="ar-DZ"/>
        </w:rPr>
        <w:t>(</w:t>
      </w:r>
      <w:r w:rsidRPr="0062340E">
        <w:rPr>
          <w:rFonts w:asciiTheme="majorBidi" w:hAnsiTheme="majorBidi" w:cstheme="majorBidi"/>
          <w:b/>
          <w:bCs/>
          <w:sz w:val="24"/>
          <w:szCs w:val="24"/>
          <w:lang w:bidi="ar-DZ"/>
        </w:rPr>
        <w:t>Approche aléa-centrée</w:t>
      </w:r>
      <w:r w:rsidRPr="0062340E">
        <w:rPr>
          <w:rFonts w:asciiTheme="majorBidi" w:hAnsiTheme="majorBidi" w:cstheme="majorBidi"/>
          <w:b/>
          <w:bCs/>
          <w:sz w:val="24"/>
          <w:szCs w:val="24"/>
          <w:rtl/>
          <w:lang w:bidi="ar-DZ"/>
        </w:rPr>
        <w:t>)</w:t>
      </w:r>
      <w:bookmarkEnd w:id="173"/>
    </w:p>
    <w:p w:rsidR="00A903CE" w:rsidRPr="0062340E" w:rsidRDefault="00A903CE" w:rsidP="00C56833">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تستند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مقاربة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الظاهرة-المركزية</w:t>
      </w:r>
      <w:r w:rsidRPr="0062340E">
        <w:rPr>
          <w:rFonts w:asciiTheme="minorBidi" w:hAnsiTheme="minorBidi" w:cs="Arial"/>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rPr>
        <w:t>technocentriste</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سلسلة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الأعمال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الرئيسية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كتعديل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الأداء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الطبيعي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للممرات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المائية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فإن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المقاربة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حدودها،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لأنه 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الصعب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التنبؤ</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بالظاهرة،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سواء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بسبب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الارتياب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المرتبط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بالطبيعة،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تنوع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العمليات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والزمانية </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هطول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الأمطار،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درجة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الحرارة،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الضغط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الجوي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 نوعية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البيانات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ومعالجتها</w:t>
      </w:r>
      <w:r w:rsidRPr="0062340E">
        <w:rPr>
          <w:rFonts w:ascii="Simplified Arabic" w:hAnsi="Simplified Arabic" w:cs="Simplified Arabic"/>
          <w:sz w:val="24"/>
          <w:szCs w:val="24"/>
          <w:rtl/>
          <w:lang w:bidi="ar-DZ"/>
        </w:rPr>
        <w:t xml:space="preserve">. علاوة على ذلك، فإن </w:t>
      </w:r>
      <w:r w:rsidRPr="0062340E">
        <w:rPr>
          <w:rFonts w:ascii="Simplified Arabic" w:hAnsi="Simplified Arabic" w:cs="Simplified Arabic" w:hint="cs"/>
          <w:sz w:val="24"/>
          <w:szCs w:val="24"/>
          <w:rtl/>
          <w:lang w:bidi="ar-DZ"/>
        </w:rPr>
        <w:t>تسيير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الظاهرة-المركزية</w:t>
      </w:r>
      <w:r w:rsidRPr="0062340E">
        <w:rPr>
          <w:rFonts w:ascii="Simplified Arabic" w:hAnsi="Simplified Arabic" w:cs="Simplified Arabic"/>
          <w:sz w:val="24"/>
          <w:szCs w:val="24"/>
          <w:rtl/>
          <w:lang w:bidi="ar-DZ"/>
        </w:rPr>
        <w:t xml:space="preserve"> لا يمكنها </w:t>
      </w:r>
      <w:r w:rsidRPr="0062340E">
        <w:rPr>
          <w:rFonts w:ascii="Simplified Arabic" w:hAnsi="Simplified Arabic" w:cs="Simplified Arabic" w:hint="cs"/>
          <w:sz w:val="24"/>
          <w:szCs w:val="24"/>
          <w:rtl/>
          <w:lang w:bidi="ar-DZ"/>
        </w:rPr>
        <w:t>ان</w:t>
      </w:r>
      <w:r w:rsidR="00C56833" w:rsidRPr="0062340E">
        <w:rPr>
          <w:rFonts w:ascii="Simplified Arabic" w:hAnsi="Simplified Arabic" w:cs="Simplified Arabic"/>
          <w:sz w:val="24"/>
          <w:szCs w:val="24"/>
          <w:rtl/>
          <w:lang w:bidi="ar-DZ"/>
        </w:rPr>
        <w:t xml:space="preserve"> تأخذ في الاعتبار مسألة العتبة.</w:t>
      </w:r>
    </w:p>
    <w:p w:rsidR="00A903CE" w:rsidRPr="0062340E" w:rsidRDefault="00A903CE" w:rsidP="00D300EA">
      <w:pPr>
        <w:pStyle w:val="Paragraphedeliste"/>
        <w:numPr>
          <w:ilvl w:val="3"/>
          <w:numId w:val="103"/>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lang w:val="en-US"/>
        </w:rPr>
      </w:pPr>
      <w:bookmarkStart w:id="174" w:name="_Toc171803374"/>
      <w:r w:rsidRPr="0062340E">
        <w:rPr>
          <w:rFonts w:ascii="Simplified Arabic" w:hAnsi="Simplified Arabic" w:cs="Simplified Arabic"/>
          <w:b/>
          <w:bCs/>
          <w:color w:val="000000" w:themeColor="text1"/>
          <w:sz w:val="24"/>
          <w:szCs w:val="24"/>
          <w:rtl/>
          <w:lang w:val="en-US"/>
        </w:rPr>
        <w:t>مفهوم الضعف</w:t>
      </w:r>
      <w:r w:rsidRPr="0062340E">
        <w:rPr>
          <w:rFonts w:ascii="Simplified Arabic" w:hAnsi="Simplified Arabic" w:cs="Simplified Arabic" w:hint="cs"/>
          <w:b/>
          <w:bCs/>
          <w:color w:val="000000" w:themeColor="text1"/>
          <w:sz w:val="24"/>
          <w:szCs w:val="24"/>
          <w:rtl/>
          <w:lang w:val="en-US"/>
        </w:rPr>
        <w:t xml:space="preserve"> </w:t>
      </w:r>
      <w:r w:rsidRPr="0062340E">
        <w:rPr>
          <w:rFonts w:asciiTheme="majorBidi" w:hAnsiTheme="majorBidi" w:cstheme="majorBidi"/>
          <w:b/>
          <w:bCs/>
          <w:sz w:val="24"/>
          <w:szCs w:val="24"/>
          <w:rtl/>
          <w:lang w:bidi="ar-DZ"/>
        </w:rPr>
        <w:t>(</w:t>
      </w:r>
      <w:r w:rsidRPr="0062340E">
        <w:rPr>
          <w:rFonts w:asciiTheme="majorBidi" w:hAnsiTheme="majorBidi" w:cstheme="majorBidi"/>
          <w:b/>
          <w:bCs/>
          <w:sz w:val="24"/>
          <w:szCs w:val="24"/>
          <w:lang w:bidi="ar-DZ"/>
        </w:rPr>
        <w:t>concept Vulnérabilité</w:t>
      </w:r>
      <w:r w:rsidRPr="0062340E">
        <w:rPr>
          <w:rFonts w:asciiTheme="majorBidi" w:hAnsiTheme="majorBidi" w:cstheme="majorBidi"/>
          <w:b/>
          <w:bCs/>
          <w:sz w:val="24"/>
          <w:szCs w:val="24"/>
          <w:rtl/>
          <w:lang w:bidi="ar-DZ"/>
        </w:rPr>
        <w:t>)</w:t>
      </w:r>
      <w:bookmarkEnd w:id="174"/>
    </w:p>
    <w:p w:rsidR="00A903CE" w:rsidRPr="0062340E" w:rsidRDefault="00A903CE" w:rsidP="008E533E">
      <w:pPr>
        <w:tabs>
          <w:tab w:val="right" w:pos="283"/>
        </w:tabs>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الوقت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الحاضر،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الكثير 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أبحاث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الكوارث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تستخدم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مفهوم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الضعف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نطاق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واسع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المجتمع</w:t>
      </w:r>
      <w:r w:rsidRPr="0062340E">
        <w:rPr>
          <w:rFonts w:ascii="Simplified Arabic" w:hAnsi="Simplified Arabic" w:cs="Simplified Arabic"/>
          <w:sz w:val="24"/>
          <w:szCs w:val="24"/>
          <w:rtl/>
        </w:rPr>
        <w:t>.</w:t>
      </w:r>
      <w:r w:rsidRPr="0062340E">
        <w:rPr>
          <w:rFonts w:hint="cs"/>
          <w:sz w:val="24"/>
          <w:szCs w:val="24"/>
          <w:rtl/>
        </w:rPr>
        <w:t xml:space="preserve"> </w:t>
      </w:r>
      <w:r w:rsidRPr="0062340E">
        <w:rPr>
          <w:rFonts w:ascii="Simplified Arabic" w:hAnsi="Simplified Arabic" w:cs="Simplified Arabic" w:hint="cs"/>
          <w:sz w:val="24"/>
          <w:szCs w:val="24"/>
          <w:rtl/>
        </w:rPr>
        <w:t>حددت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العديد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التعريفات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للضعف</w:t>
      </w:r>
      <w:r w:rsidRPr="0062340E">
        <w:rPr>
          <w:rFonts w:ascii="Simplified Arabic" w:hAnsi="Simplified Arabic" w:cs="Simplified Arabic"/>
          <w:sz w:val="24"/>
          <w:szCs w:val="24"/>
          <w:rtl/>
        </w:rPr>
        <w:t xml:space="preserve"> </w:t>
      </w:r>
      <w:r w:rsidRPr="0062340E">
        <w:rPr>
          <w:rFonts w:asciiTheme="majorBidi" w:hAnsiTheme="majorBidi" w:cstheme="majorBidi"/>
          <w:b/>
          <w:bCs/>
          <w:sz w:val="24"/>
          <w:szCs w:val="24"/>
          <w:rtl/>
          <w:lang w:bidi="ar-DZ"/>
        </w:rPr>
        <w:t>(</w:t>
      </w:r>
      <w:r w:rsidRPr="0062340E">
        <w:rPr>
          <w:rFonts w:asciiTheme="majorBidi" w:hAnsiTheme="majorBidi" w:cstheme="majorBidi"/>
          <w:b/>
          <w:bCs/>
          <w:sz w:val="24"/>
          <w:szCs w:val="24"/>
          <w:lang w:bidi="ar-DZ"/>
        </w:rPr>
        <w:t>Vulnérabilité</w:t>
      </w:r>
      <w:r w:rsidRPr="0062340E">
        <w:rPr>
          <w:rFonts w:asciiTheme="majorBidi" w:hAnsiTheme="majorBidi" w:cstheme="majorBidi"/>
          <w:b/>
          <w:bCs/>
          <w:sz w:val="24"/>
          <w:szCs w:val="24"/>
          <w:rtl/>
          <w:lang w:bidi="ar-DZ"/>
        </w:rPr>
        <w:t>)</w:t>
      </w:r>
      <w:r w:rsidRPr="0062340E">
        <w:rPr>
          <w:rFonts w:asciiTheme="majorBidi" w:hAnsiTheme="majorBidi" w:cstheme="majorBidi" w:hint="cs"/>
          <w:b/>
          <w:bCs/>
          <w:sz w:val="24"/>
          <w:szCs w:val="24"/>
          <w:rtl/>
          <w:lang w:bidi="ar-DZ"/>
        </w:rPr>
        <w:t xml:space="preserve"> </w:t>
      </w:r>
      <w:r w:rsidRPr="0062340E">
        <w:rPr>
          <w:rFonts w:ascii="Simplified Arabic" w:hAnsi="Simplified Arabic" w:cs="Simplified Arabic" w:hint="cs"/>
          <w:sz w:val="24"/>
          <w:szCs w:val="24"/>
          <w:rtl/>
        </w:rPr>
        <w:t>بانه تعرض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المكون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الاجتماعي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للمخاطر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ضمن 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حضري</w:t>
      </w:r>
      <w:r w:rsidRPr="0062340E">
        <w:rPr>
          <w:rFonts w:ascii="Simplified Arabic" w:hAnsi="Simplified Arabic" w:cs="Simplified Arabic"/>
          <w:sz w:val="24"/>
          <w:szCs w:val="24"/>
          <w:rtl/>
        </w:rPr>
        <w:t>.</w:t>
      </w:r>
      <w:r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معظم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الحالات،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يُعزى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الضعف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الاجتماعي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الخصائص</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الفردية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للأشخاص</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والمجتمعات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فضلاً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تمتلكها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بيئتهم</w:t>
      </w:r>
      <w:r w:rsidRPr="0062340E">
        <w:rPr>
          <w:rFonts w:ascii="Simplified Arabic" w:hAnsi="Simplified Arabic" w:cs="Simplified Arabic"/>
          <w:sz w:val="24"/>
          <w:szCs w:val="24"/>
          <w:rtl/>
        </w:rPr>
        <w:t xml:space="preserve"> </w:t>
      </w:r>
      <w:r w:rsidR="008E533E" w:rsidRPr="0062340E">
        <w:rPr>
          <w:rFonts w:ascii="Simplified Arabic" w:hAnsi="Simplified Arabic" w:cs="Simplified Arabic" w:hint="cs"/>
          <w:sz w:val="24"/>
          <w:szCs w:val="24"/>
          <w:rtl/>
          <w:lang w:val="en-US"/>
        </w:rPr>
        <w:t>الحضرية</w:t>
      </w:r>
      <w:r w:rsidR="008E533E" w:rsidRPr="0062340E">
        <w:rPr>
          <w:rFonts w:asciiTheme="majorBidi" w:hAnsiTheme="majorBidi" w:cstheme="majorBidi"/>
          <w:sz w:val="24"/>
          <w:szCs w:val="24"/>
          <w:rtl/>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Cutter, 2003</w:t>
      </w:r>
      <w:r w:rsidRPr="0062340E">
        <w:rPr>
          <w:rFonts w:asciiTheme="majorBidi" w:hAnsiTheme="majorBidi" w:cstheme="majorBidi"/>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بشكل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يشمل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مفهوم الضعف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 مفاهيم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والحساسية</w:t>
      </w:r>
      <w:r w:rsidR="004619D0" w:rsidRPr="0062340E">
        <w:rPr>
          <w:rFonts w:ascii="Simplified Arabic" w:hAnsi="Simplified Arabic" w:cs="Simplified Arabic" w:hint="cs"/>
          <w:sz w:val="24"/>
          <w:szCs w:val="24"/>
          <w:rtl/>
        </w:rPr>
        <w:t>،</w:t>
      </w:r>
      <w:r w:rsidRPr="0062340E">
        <w:rPr>
          <w:rFonts w:ascii="Simplified Arabic" w:hAnsi="Simplified Arabic" w:cs="Simplified Arabic" w:hint="cs"/>
          <w:sz w:val="24"/>
          <w:szCs w:val="24"/>
          <w:rtl/>
        </w:rPr>
        <w:t xml:space="preserve"> القدرة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التكيف</w:t>
      </w:r>
      <w:r w:rsidRPr="0062340E">
        <w:rPr>
          <w:rFonts w:ascii="Simplified Arabic" w:hAnsi="Simplified Arabic" w:cs="Simplified Arabic"/>
          <w:sz w:val="24"/>
          <w:szCs w:val="24"/>
          <w:rtl/>
        </w:rPr>
        <w:t xml:space="preserve">. </w:t>
      </w:r>
    </w:p>
    <w:p w:rsidR="00A903CE" w:rsidRPr="0062340E" w:rsidRDefault="00A903CE" w:rsidP="00A903CE">
      <w:pPr>
        <w:tabs>
          <w:tab w:val="right" w:pos="283"/>
        </w:tabs>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التعرض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هو</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طبيعة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ومستوى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الخطر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الذي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يتعرض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يشتمل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 خصائص</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كحجم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وتكرار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ومدة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ومدى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الخطر،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بينما تشير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الحساسية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درجة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التغيير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أو</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التأثُّر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الذي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عند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الاضطراب،</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كما تعتبر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التكيف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بمثابة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التطور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لاستيعاب</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المخاطر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وزيادة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مدى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التباين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الذي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إدارته</w:t>
      </w:r>
      <w:r w:rsidRPr="0062340E">
        <w:rPr>
          <w:rFonts w:ascii="Simplified Arabic" w:hAnsi="Simplified Arabic" w:cs="Simplified Arabic"/>
          <w:sz w:val="24"/>
          <w:szCs w:val="24"/>
          <w:rtl/>
        </w:rPr>
        <w:t xml:space="preserve"> </w:t>
      </w:r>
      <w:r w:rsidRPr="0062340E">
        <w:rPr>
          <w:rFonts w:asciiTheme="majorBidi" w:hAnsiTheme="majorBidi" w:cstheme="majorBidi"/>
          <w:sz w:val="24"/>
          <w:szCs w:val="24"/>
        </w:rPr>
        <w:t>(Adger, 2006 )</w:t>
      </w:r>
      <w:r w:rsidRPr="0062340E">
        <w:rPr>
          <w:rFonts w:ascii="Simplified Arabic" w:hAnsi="Simplified Arabic" w:cs="Simplified Arabic"/>
          <w:sz w:val="24"/>
          <w:szCs w:val="24"/>
          <w:rtl/>
        </w:rPr>
        <w:t>.</w:t>
      </w:r>
    </w:p>
    <w:p w:rsidR="00A903CE" w:rsidRPr="0062340E" w:rsidRDefault="00A903CE" w:rsidP="00D300EA">
      <w:pPr>
        <w:pStyle w:val="Paragraphedeliste"/>
        <w:numPr>
          <w:ilvl w:val="3"/>
          <w:numId w:val="104"/>
        </w:numPr>
        <w:tabs>
          <w:tab w:val="right" w:pos="1134"/>
        </w:tabs>
        <w:bidi/>
        <w:spacing w:after="0" w:line="240" w:lineRule="auto"/>
        <w:ind w:left="0" w:firstLine="0"/>
        <w:outlineLvl w:val="2"/>
        <w:rPr>
          <w:rFonts w:ascii="Simplified Arabic" w:hAnsi="Simplified Arabic" w:cs="Simplified Arabic"/>
          <w:b/>
          <w:bCs/>
          <w:color w:val="000000" w:themeColor="text1"/>
          <w:sz w:val="24"/>
          <w:szCs w:val="24"/>
          <w:rtl/>
          <w:lang w:val="en-US"/>
        </w:rPr>
      </w:pPr>
      <w:bookmarkStart w:id="175" w:name="_Toc171803375"/>
      <w:r w:rsidRPr="0062340E">
        <w:rPr>
          <w:rFonts w:ascii="Simplified Arabic" w:hAnsi="Simplified Arabic" w:cs="Simplified Arabic" w:hint="cs"/>
          <w:b/>
          <w:bCs/>
          <w:color w:val="000000" w:themeColor="text1"/>
          <w:sz w:val="24"/>
          <w:szCs w:val="24"/>
          <w:rtl/>
          <w:lang w:val="en-US"/>
        </w:rPr>
        <w:t>العلاقة بين المرونة و الضعف في مجال تسيير المخاطر</w:t>
      </w:r>
      <w:bookmarkEnd w:id="175"/>
    </w:p>
    <w:p w:rsidR="00A903CE" w:rsidRPr="0062340E" w:rsidRDefault="00A903CE" w:rsidP="00C56833">
      <w:pPr>
        <w:autoSpaceDE w:val="0"/>
        <w:autoSpaceDN w:val="0"/>
        <w:bidi/>
        <w:adjustRightInd w:val="0"/>
        <w:spacing w:after="0"/>
        <w:ind w:left="-2" w:firstLine="284"/>
        <w:jc w:val="both"/>
        <w:rPr>
          <w:rFonts w:ascii="Simplified Arabic" w:hAnsi="Simplified Arabic" w:cs="Simplified Arabic"/>
          <w:sz w:val="24"/>
          <w:szCs w:val="24"/>
          <w:lang w:val="en-US" w:bidi="ar-DZ"/>
        </w:rPr>
      </w:pPr>
      <w:r w:rsidRPr="0062340E">
        <w:rPr>
          <w:rFonts w:ascii="Simplified Arabic" w:hAnsi="Simplified Arabic" w:cs="Simplified Arabic" w:hint="cs"/>
          <w:sz w:val="24"/>
          <w:szCs w:val="24"/>
          <w:rtl/>
          <w:lang w:val="en-US" w:bidi="ar-DZ"/>
        </w:rPr>
        <w:t>غالبا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يتناول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معظم</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الباحثين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العلاقة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والضعف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على ان المفهومين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متعارضين وقد كان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هذا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التعارض</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محل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نزاع</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نطاق</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واسع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lang w:val="en-US" w:bidi="ar-DZ"/>
        </w:rPr>
        <w:t>بالنسبة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للبعض،</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يستند</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هذا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التعارض</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إلى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حقيقة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أن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الضعف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له</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معنى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سلبي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وأنه</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سيكون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الضروري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تقليله،</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وأن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لها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مدلول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إيجابي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يجب</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رفع معدلاتها</w:t>
      </w:r>
      <w:r w:rsidRPr="0062340E">
        <w:rPr>
          <w:rFonts w:asciiTheme="minorBidi" w:hAnsiTheme="minorBidi" w:cs="Arial"/>
          <w:sz w:val="24"/>
          <w:szCs w:val="24"/>
          <w:rtl/>
          <w:lang w:val="en-US" w:bidi="ar-DZ"/>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Pelling, 2003</w:t>
      </w:r>
      <w:r w:rsidRPr="0062340E">
        <w:rPr>
          <w:rFonts w:asciiTheme="majorBidi" w:hAnsiTheme="majorBidi" w:cstheme="majorBidi"/>
          <w:sz w:val="24"/>
          <w:szCs w:val="24"/>
          <w:rtl/>
        </w:rPr>
        <w:t>)</w:t>
      </w:r>
      <w:r w:rsidRPr="0062340E">
        <w:rPr>
          <w:rFonts w:asciiTheme="minorBidi" w:hAnsiTheme="minorBidi" w:cs="Arial"/>
          <w:sz w:val="24"/>
          <w:szCs w:val="24"/>
          <w:rtl/>
          <w:lang w:val="en-US" w:bidi="ar-DZ"/>
        </w:rPr>
        <w:t>.</w:t>
      </w:r>
      <w:r w:rsidRPr="0062340E">
        <w:rPr>
          <w:rFonts w:hint="cs"/>
          <w:sz w:val="24"/>
          <w:szCs w:val="24"/>
          <w:rtl/>
        </w:rPr>
        <w:t xml:space="preserve"> </w:t>
      </w:r>
      <w:r w:rsidRPr="0062340E">
        <w:rPr>
          <w:rFonts w:asciiTheme="minorBidi" w:hAnsiTheme="minorBidi" w:cs="Arial" w:hint="cs"/>
          <w:sz w:val="24"/>
          <w:szCs w:val="24"/>
          <w:rtl/>
          <w:lang w:val="en-US" w:bidi="ar-DZ"/>
        </w:rPr>
        <w:t>بالتالي،</w:t>
      </w:r>
      <w:r w:rsidRPr="0062340E">
        <w:rPr>
          <w:rFonts w:asciiTheme="minorBidi" w:hAnsiTheme="minorBidi" w:cs="Arial"/>
          <w:sz w:val="24"/>
          <w:szCs w:val="24"/>
          <w:rtl/>
          <w:lang w:val="en-US" w:bidi="ar-DZ"/>
        </w:rPr>
        <w:t xml:space="preserve"> </w:t>
      </w:r>
      <w:r w:rsidRPr="0062340E">
        <w:rPr>
          <w:rFonts w:asciiTheme="minorBidi" w:hAnsiTheme="minorBidi" w:cs="Arial" w:hint="cs"/>
          <w:sz w:val="24"/>
          <w:szCs w:val="24"/>
          <w:rtl/>
          <w:lang w:val="en-US" w:bidi="ar-DZ"/>
        </w:rPr>
        <w:t>ستكون</w:t>
      </w:r>
      <w:r w:rsidRPr="0062340E">
        <w:rPr>
          <w:rFonts w:asciiTheme="minorBidi" w:hAnsiTheme="minorBidi" w:cs="Arial"/>
          <w:sz w:val="24"/>
          <w:szCs w:val="24"/>
          <w:rtl/>
          <w:lang w:val="en-US" w:bidi="ar-DZ"/>
        </w:rPr>
        <w:t xml:space="preserve"> </w:t>
      </w:r>
      <w:r w:rsidRPr="0062340E">
        <w:rPr>
          <w:rFonts w:asciiTheme="minorBidi" w:hAnsiTheme="minorBidi" w:cs="Arial" w:hint="cs"/>
          <w:sz w:val="24"/>
          <w:szCs w:val="24"/>
          <w:rtl/>
          <w:lang w:val="en-US" w:bidi="ar-DZ"/>
        </w:rPr>
        <w:t>المرونة</w:t>
      </w:r>
      <w:r w:rsidRPr="0062340E">
        <w:rPr>
          <w:rFonts w:asciiTheme="minorBidi" w:hAnsiTheme="minorBidi" w:cs="Arial"/>
          <w:sz w:val="24"/>
          <w:szCs w:val="24"/>
          <w:rtl/>
          <w:lang w:val="en-US" w:bidi="ar-DZ"/>
        </w:rPr>
        <w:t xml:space="preserve"> </w:t>
      </w:r>
      <w:r w:rsidRPr="0062340E">
        <w:rPr>
          <w:rFonts w:asciiTheme="minorBidi" w:hAnsiTheme="minorBidi" w:cs="Arial" w:hint="cs"/>
          <w:sz w:val="24"/>
          <w:szCs w:val="24"/>
          <w:rtl/>
          <w:lang w:val="en-US" w:bidi="ar-DZ"/>
        </w:rPr>
        <w:t>أداة</w:t>
      </w:r>
      <w:r w:rsidRPr="0062340E">
        <w:rPr>
          <w:rFonts w:asciiTheme="minorBidi" w:hAnsiTheme="minorBidi" w:cs="Arial"/>
          <w:sz w:val="24"/>
          <w:szCs w:val="24"/>
          <w:rtl/>
          <w:lang w:val="en-US" w:bidi="ar-DZ"/>
        </w:rPr>
        <w:t xml:space="preserve"> </w:t>
      </w:r>
      <w:r w:rsidRPr="0062340E">
        <w:rPr>
          <w:rFonts w:asciiTheme="minorBidi" w:hAnsiTheme="minorBidi" w:cs="Arial" w:hint="cs"/>
          <w:sz w:val="24"/>
          <w:szCs w:val="24"/>
          <w:rtl/>
          <w:lang w:val="en-US" w:bidi="ar-DZ"/>
        </w:rPr>
        <w:t>لتقليل</w:t>
      </w:r>
      <w:r w:rsidRPr="0062340E">
        <w:rPr>
          <w:rFonts w:asciiTheme="minorBidi" w:hAnsiTheme="minorBidi" w:cs="Arial"/>
          <w:sz w:val="24"/>
          <w:szCs w:val="24"/>
          <w:rtl/>
          <w:lang w:val="en-US" w:bidi="ar-DZ"/>
        </w:rPr>
        <w:t xml:space="preserve"> </w:t>
      </w:r>
      <w:r w:rsidRPr="0062340E">
        <w:rPr>
          <w:rFonts w:asciiTheme="minorBidi" w:hAnsiTheme="minorBidi" w:cs="Arial" w:hint="cs"/>
          <w:sz w:val="24"/>
          <w:szCs w:val="24"/>
          <w:rtl/>
          <w:lang w:val="en-US" w:bidi="ar-DZ"/>
        </w:rPr>
        <w:t>الضعف</w:t>
      </w:r>
      <w:r w:rsidRPr="0062340E">
        <w:rPr>
          <w:rFonts w:asciiTheme="minorBidi" w:hAnsiTheme="minorBidi" w:cs="Arial"/>
          <w:sz w:val="24"/>
          <w:szCs w:val="24"/>
          <w:rtl/>
          <w:lang w:val="en-US" w:bidi="ar-DZ"/>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Folke et al., 2002</w:t>
      </w:r>
      <w:r w:rsidRPr="0062340E">
        <w:rPr>
          <w:rFonts w:asciiTheme="majorBidi" w:hAnsiTheme="majorBidi" w:cstheme="majorBidi"/>
          <w:sz w:val="24"/>
          <w:szCs w:val="24"/>
          <w:rtl/>
        </w:rPr>
        <w:t>)</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بينما يرى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البعض</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الآخر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أن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المفهومين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يكمل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كل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منهما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الآخر. </w:t>
      </w:r>
    </w:p>
    <w:p w:rsidR="00A903CE" w:rsidRPr="0062340E" w:rsidRDefault="00A903CE" w:rsidP="00C71ECA">
      <w:pPr>
        <w:bidi/>
        <w:spacing w:after="0"/>
        <w:ind w:firstLine="282"/>
        <w:jc w:val="both"/>
        <w:rPr>
          <w:rFonts w:ascii="Simplified Arabic" w:hAnsi="Simplified Arabic" w:cs="Simplified Arabic"/>
          <w:sz w:val="24"/>
          <w:szCs w:val="24"/>
          <w:rtl/>
          <w:lang w:val="en-US" w:bidi="ar-DZ"/>
        </w:rPr>
      </w:pPr>
      <w:r w:rsidRPr="0062340E">
        <w:rPr>
          <w:rFonts w:ascii="Simplified Arabic" w:hAnsi="Simplified Arabic" w:cs="Simplified Arabic" w:hint="cs"/>
          <w:sz w:val="24"/>
          <w:szCs w:val="24"/>
          <w:rtl/>
          <w:lang w:val="en-US" w:bidi="ar-DZ"/>
        </w:rPr>
        <w:t>تم الكشف عن العلاقة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مفهُوميْ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المرونة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والضعف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أنها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متعددة، نظرًا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لأن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المفهومان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يحتويان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تعريفات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متعارف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عليها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بالإجماع.</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حسب </w:t>
      </w:r>
      <w:r w:rsidRPr="0062340E">
        <w:rPr>
          <w:rFonts w:asciiTheme="majorBidi" w:hAnsiTheme="majorBidi" w:cstheme="majorBidi"/>
          <w:sz w:val="24"/>
          <w:szCs w:val="24"/>
          <w:rtl/>
        </w:rPr>
        <w:t>(</w:t>
      </w:r>
      <w:r w:rsidRPr="0062340E">
        <w:rPr>
          <w:rFonts w:asciiTheme="majorBidi" w:hAnsiTheme="majorBidi" w:cstheme="majorBidi"/>
          <w:sz w:val="24"/>
          <w:szCs w:val="24"/>
        </w:rPr>
        <w:t>Klein et al ., 2003</w:t>
      </w:r>
      <w:r w:rsidRPr="0062340E">
        <w:rPr>
          <w:rFonts w:asciiTheme="majorBidi" w:hAnsiTheme="majorBidi" w:cstheme="majorBidi"/>
          <w:sz w:val="24"/>
          <w:szCs w:val="24"/>
          <w:rtl/>
        </w:rPr>
        <w:t>)</w:t>
      </w:r>
      <w:r w:rsidRPr="0062340E">
        <w:rPr>
          <w:rFonts w:ascii="Simplified Arabic" w:hAnsi="Simplified Arabic" w:cs="Simplified Arabic" w:hint="cs"/>
          <w:sz w:val="24"/>
          <w:szCs w:val="24"/>
          <w:rtl/>
          <w:lang w:val="en-US" w:bidi="ar-DZ"/>
        </w:rPr>
        <w:t>، يعتمد</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توضيح العلاقة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هذين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المفهومين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بشكل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مباشر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على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التعريفات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المستخدمة</w:t>
      </w:r>
      <w:r w:rsidRPr="0062340E">
        <w:rPr>
          <w:rFonts w:ascii="Simplified Arabic" w:hAnsi="Simplified Arabic" w:cs="Simplified Arabic"/>
          <w:sz w:val="24"/>
          <w:szCs w:val="24"/>
          <w:rtl/>
          <w:lang w:val="en-US" w:bidi="ar-DZ"/>
        </w:rPr>
        <w:t>.</w:t>
      </w:r>
      <w:r w:rsidRPr="0062340E">
        <w:rPr>
          <w:rFonts w:ascii="Simplified Arabic" w:hAnsi="Simplified Arabic" w:cs="Simplified Arabic" w:hint="cs"/>
          <w:sz w:val="24"/>
          <w:szCs w:val="24"/>
          <w:rtl/>
          <w:lang w:val="en-US" w:bidi="ar-DZ"/>
        </w:rPr>
        <w:t xml:space="preserve"> تشير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بعض</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تعريفات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القابلية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للتأثر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إلى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تغير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المناخ</w:t>
      </w:r>
      <w:r w:rsidRPr="0062340E">
        <w:rPr>
          <w:rFonts w:ascii="Simplified Arabic" w:hAnsi="Simplified Arabic" w:cs="Simplified Arabic"/>
          <w:sz w:val="24"/>
          <w:szCs w:val="24"/>
          <w:rtl/>
          <w:lang w:val="en-US" w:bidi="ar-DZ"/>
        </w:rPr>
        <w:t xml:space="preserve"> على المدى </w:t>
      </w:r>
      <w:r w:rsidRPr="0062340E">
        <w:rPr>
          <w:rFonts w:ascii="Simplified Arabic" w:hAnsi="Simplified Arabic" w:cs="Simplified Arabic" w:hint="cs"/>
          <w:sz w:val="24"/>
          <w:szCs w:val="24"/>
          <w:rtl/>
          <w:lang w:val="en-US" w:bidi="ar-DZ"/>
        </w:rPr>
        <w:t>الطويل</w:t>
      </w:r>
      <w:r w:rsidRPr="0062340E">
        <w:rPr>
          <w:rFonts w:ascii="Simplified Arabic" w:hAnsi="Simplified Arabic" w:cs="Simplified Arabic"/>
          <w:sz w:val="24"/>
          <w:szCs w:val="24"/>
          <w:rtl/>
          <w:lang w:val="en-US" w:bidi="ar-DZ"/>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IPCC, 2008</w:t>
      </w:r>
      <w:r w:rsidRPr="0062340E">
        <w:rPr>
          <w:rFonts w:asciiTheme="majorBidi" w:hAnsiTheme="majorBidi" w:cstheme="majorBidi"/>
          <w:sz w:val="24"/>
          <w:szCs w:val="24"/>
          <w:rtl/>
        </w:rPr>
        <w:t>)</w:t>
      </w:r>
      <w:r w:rsidRPr="0062340E">
        <w:rPr>
          <w:rFonts w:hint="cs"/>
          <w:sz w:val="24"/>
          <w:szCs w:val="24"/>
          <w:rtl/>
        </w:rPr>
        <w:t xml:space="preserve"> </w:t>
      </w:r>
      <w:r w:rsidRPr="0062340E">
        <w:rPr>
          <w:rFonts w:ascii="Simplified Arabic" w:hAnsi="Simplified Arabic" w:cs="Simplified Arabic" w:hint="cs"/>
          <w:sz w:val="24"/>
          <w:szCs w:val="24"/>
          <w:rtl/>
          <w:lang w:val="en-US" w:bidi="ar-DZ"/>
        </w:rPr>
        <w:t>ويشير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بعضها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إلى</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المخاطر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البيئية</w:t>
      </w:r>
      <w:r w:rsidRPr="0062340E">
        <w:rPr>
          <w:rFonts w:ascii="Simplified Arabic" w:hAnsi="Simplified Arabic" w:cs="Simplified Arabic"/>
          <w:sz w:val="24"/>
          <w:szCs w:val="24"/>
          <w:rtl/>
          <w:lang w:val="en-US" w:bidi="ar-DZ"/>
        </w:rPr>
        <w:t xml:space="preserve"> على المدى القصير</w:t>
      </w:r>
      <w:r w:rsidRPr="0062340E">
        <w:rPr>
          <w:rFonts w:ascii="Simplified Arabic" w:hAnsi="Simplified Arabic" w:cs="Simplified Arabic" w:hint="cs"/>
          <w:sz w:val="24"/>
          <w:szCs w:val="24"/>
          <w:rtl/>
          <w:lang w:val="en-US" w:bidi="ar-DZ"/>
        </w:rPr>
        <w:t xml:space="preserve"> </w:t>
      </w:r>
      <w:r w:rsidR="00D34DAA" w:rsidRPr="0062340E">
        <w:rPr>
          <w:rFonts w:asciiTheme="majorBidi" w:hAnsiTheme="majorBidi" w:cstheme="majorBidi"/>
          <w:sz w:val="24"/>
          <w:szCs w:val="24"/>
          <w:rtl/>
        </w:rPr>
        <w:t>(</w:t>
      </w:r>
      <w:r w:rsidR="00D34DAA" w:rsidRPr="0062340E">
        <w:rPr>
          <w:rFonts w:asciiTheme="majorBidi" w:hAnsiTheme="majorBidi" w:cstheme="majorBidi"/>
          <w:sz w:val="24"/>
          <w:szCs w:val="24"/>
        </w:rPr>
        <w:t>Klein et al ., 2003</w:t>
      </w:r>
      <w:r w:rsidR="00D34DAA" w:rsidRPr="0062340E">
        <w:rPr>
          <w:rFonts w:asciiTheme="majorBidi" w:hAnsiTheme="majorBidi" w:cstheme="majorBidi"/>
          <w:sz w:val="24"/>
          <w:szCs w:val="24"/>
          <w:rtl/>
        </w:rPr>
        <w:t>)</w:t>
      </w:r>
      <w:r w:rsidRPr="0062340E">
        <w:rPr>
          <w:rFonts w:ascii="Simplified Arabic" w:hAnsi="Simplified Arabic" w:cs="Simplified Arabic" w:hint="cs"/>
          <w:sz w:val="24"/>
          <w:szCs w:val="24"/>
          <w:rtl/>
          <w:lang w:val="en-US" w:bidi="ar-DZ"/>
        </w:rPr>
        <w:t xml:space="preserve"> وقد تمكن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بعض</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 xml:space="preserve">الباحثين امثال </w:t>
      </w:r>
      <w:r w:rsidRPr="0062340E">
        <w:rPr>
          <w:rFonts w:asciiTheme="majorBidi" w:hAnsiTheme="majorBidi" w:cstheme="majorBidi"/>
          <w:sz w:val="24"/>
          <w:szCs w:val="24"/>
          <w:rtl/>
        </w:rPr>
        <w:t>(</w:t>
      </w:r>
      <w:r w:rsidRPr="0062340E">
        <w:rPr>
          <w:rFonts w:asciiTheme="majorBidi" w:hAnsiTheme="majorBidi" w:cstheme="majorBidi"/>
          <w:sz w:val="24"/>
          <w:szCs w:val="24"/>
        </w:rPr>
        <w:t>Cutter et al., 2008</w:t>
      </w:r>
      <w:r w:rsidRPr="0062340E">
        <w:rPr>
          <w:rFonts w:asciiTheme="majorBidi" w:hAnsiTheme="majorBidi" w:cstheme="majorBidi"/>
          <w:sz w:val="24"/>
          <w:szCs w:val="24"/>
          <w:rtl/>
        </w:rPr>
        <w:t>)</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تلخيص</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أشكال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المقبولات</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المختلفة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لهذه</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العلاقة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بطريقة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اكاديمية، الشكل (</w:t>
      </w:r>
      <w:r w:rsidR="0085017B" w:rsidRPr="0062340E">
        <w:rPr>
          <w:rFonts w:ascii="Simplified Arabic" w:hAnsi="Simplified Arabic" w:cs="Simplified Arabic" w:hint="cs"/>
          <w:sz w:val="24"/>
          <w:szCs w:val="24"/>
          <w:rtl/>
          <w:lang w:val="en-US" w:bidi="ar-DZ"/>
        </w:rPr>
        <w:t>1-8</w:t>
      </w:r>
      <w:r w:rsidRPr="0062340E">
        <w:rPr>
          <w:rFonts w:ascii="Simplified Arabic" w:hAnsi="Simplified Arabic" w:cs="Simplified Arabic" w:hint="cs"/>
          <w:sz w:val="24"/>
          <w:szCs w:val="24"/>
          <w:rtl/>
          <w:lang w:val="en-US" w:bidi="ar-DZ"/>
        </w:rPr>
        <w:t>)</w:t>
      </w:r>
      <w:r w:rsidRPr="0062340E">
        <w:rPr>
          <w:rFonts w:ascii="Simplified Arabic" w:hAnsi="Simplified Arabic" w:cs="Simplified Arabic"/>
          <w:sz w:val="24"/>
          <w:szCs w:val="24"/>
          <w:rtl/>
          <w:lang w:val="en-US" w:bidi="ar-DZ"/>
        </w:rPr>
        <w:t>.</w:t>
      </w:r>
    </w:p>
    <w:p w:rsidR="000101D0" w:rsidRDefault="000101D0" w:rsidP="00D300EA">
      <w:pPr>
        <w:pStyle w:val="fegure"/>
        <w:spacing w:before="240"/>
        <w:rPr>
          <w:szCs w:val="24"/>
          <w:rtl/>
          <w:lang w:val="en-US" w:bidi="ar-DZ"/>
        </w:rPr>
      </w:pPr>
      <w:bookmarkStart w:id="176" w:name="_Toc157561440"/>
      <w:bookmarkStart w:id="177" w:name="_Toc157562773"/>
      <w:bookmarkStart w:id="178" w:name="_Toc157608269"/>
    </w:p>
    <w:p w:rsidR="000101D0" w:rsidRDefault="000101D0" w:rsidP="00D300EA">
      <w:pPr>
        <w:pStyle w:val="fegure"/>
        <w:spacing w:before="240"/>
        <w:rPr>
          <w:szCs w:val="24"/>
          <w:rtl/>
          <w:lang w:val="en-US" w:bidi="ar-DZ"/>
        </w:rPr>
      </w:pPr>
    </w:p>
    <w:p w:rsidR="000101D0" w:rsidRDefault="000101D0" w:rsidP="00D300EA">
      <w:pPr>
        <w:pStyle w:val="fegure"/>
        <w:spacing w:before="240"/>
        <w:rPr>
          <w:szCs w:val="24"/>
          <w:rtl/>
          <w:lang w:val="en-US" w:bidi="ar-DZ"/>
        </w:rPr>
      </w:pPr>
    </w:p>
    <w:p w:rsidR="000101D0" w:rsidRDefault="000101D0" w:rsidP="00D300EA">
      <w:pPr>
        <w:pStyle w:val="fegure"/>
        <w:spacing w:before="240"/>
        <w:rPr>
          <w:szCs w:val="24"/>
          <w:rtl/>
          <w:lang w:val="en-US" w:bidi="ar-DZ"/>
        </w:rPr>
      </w:pPr>
    </w:p>
    <w:p w:rsidR="00A903CE" w:rsidRPr="0062340E" w:rsidRDefault="00A903CE" w:rsidP="00D300EA">
      <w:pPr>
        <w:pStyle w:val="fegure"/>
        <w:spacing w:before="240"/>
        <w:rPr>
          <w:szCs w:val="24"/>
          <w:rtl/>
          <w:lang w:val="en-US" w:bidi="ar-DZ"/>
        </w:rPr>
      </w:pPr>
      <w:bookmarkStart w:id="179" w:name="_Toc171803376"/>
      <w:r w:rsidRPr="0062340E">
        <w:rPr>
          <w:rFonts w:hint="cs"/>
          <w:szCs w:val="24"/>
          <w:rtl/>
          <w:lang w:val="en-US" w:bidi="ar-DZ"/>
        </w:rPr>
        <w:lastRenderedPageBreak/>
        <w:t>الشكل</w:t>
      </w:r>
      <w:r w:rsidRPr="0062340E">
        <w:rPr>
          <w:szCs w:val="24"/>
          <w:rtl/>
          <w:lang w:val="en-US" w:bidi="ar-DZ"/>
        </w:rPr>
        <w:t xml:space="preserve"> </w:t>
      </w:r>
      <w:r w:rsidRPr="0062340E">
        <w:rPr>
          <w:rFonts w:hint="cs"/>
          <w:szCs w:val="24"/>
          <w:rtl/>
          <w:lang w:val="en-US" w:bidi="ar-DZ"/>
        </w:rPr>
        <w:t>(</w:t>
      </w:r>
      <w:r w:rsidR="007D4ED5" w:rsidRPr="0062340E">
        <w:rPr>
          <w:rFonts w:hint="cs"/>
          <w:szCs w:val="24"/>
          <w:rtl/>
          <w:lang w:val="en-US" w:bidi="ar-DZ"/>
        </w:rPr>
        <w:t>1-8</w:t>
      </w:r>
      <w:r w:rsidRPr="0062340E">
        <w:rPr>
          <w:rFonts w:hint="cs"/>
          <w:szCs w:val="24"/>
          <w:rtl/>
          <w:lang w:val="en-US" w:bidi="ar-DZ"/>
        </w:rPr>
        <w:t>)</w:t>
      </w:r>
      <w:r w:rsidRPr="0062340E">
        <w:rPr>
          <w:szCs w:val="24"/>
          <w:rtl/>
          <w:lang w:val="en-US" w:bidi="ar-DZ"/>
        </w:rPr>
        <w:t xml:space="preserve">: </w:t>
      </w:r>
      <w:r w:rsidRPr="0062340E">
        <w:rPr>
          <w:rFonts w:hint="cs"/>
          <w:szCs w:val="24"/>
          <w:rtl/>
          <w:lang w:val="en-US" w:bidi="ar-DZ"/>
        </w:rPr>
        <w:t>المقبولات</w:t>
      </w:r>
      <w:r w:rsidRPr="0062340E">
        <w:rPr>
          <w:szCs w:val="24"/>
          <w:rtl/>
          <w:lang w:val="en-US" w:bidi="ar-DZ"/>
        </w:rPr>
        <w:t xml:space="preserve"> </w:t>
      </w:r>
      <w:r w:rsidRPr="0062340E">
        <w:rPr>
          <w:rFonts w:hint="cs"/>
          <w:szCs w:val="24"/>
          <w:rtl/>
          <w:lang w:val="en-US" w:bidi="ar-DZ"/>
        </w:rPr>
        <w:t>المختلفة</w:t>
      </w:r>
      <w:r w:rsidRPr="0062340E">
        <w:rPr>
          <w:szCs w:val="24"/>
          <w:rtl/>
          <w:lang w:val="en-US" w:bidi="ar-DZ"/>
        </w:rPr>
        <w:t xml:space="preserve"> </w:t>
      </w:r>
      <w:r w:rsidRPr="0062340E">
        <w:rPr>
          <w:rFonts w:hint="cs"/>
          <w:szCs w:val="24"/>
          <w:rtl/>
          <w:lang w:val="en-US" w:bidi="ar-DZ"/>
        </w:rPr>
        <w:t>لعلاقة</w:t>
      </w:r>
      <w:r w:rsidRPr="0062340E">
        <w:rPr>
          <w:szCs w:val="24"/>
          <w:rtl/>
          <w:lang w:val="en-US" w:bidi="ar-DZ"/>
        </w:rPr>
        <w:t xml:space="preserve"> </w:t>
      </w:r>
      <w:r w:rsidRPr="0062340E">
        <w:rPr>
          <w:rFonts w:hint="cs"/>
          <w:szCs w:val="24"/>
          <w:rtl/>
          <w:lang w:val="en-US" w:bidi="ar-DZ"/>
        </w:rPr>
        <w:t>المرونة</w:t>
      </w:r>
      <w:r w:rsidRPr="0062340E">
        <w:rPr>
          <w:szCs w:val="24"/>
          <w:rtl/>
          <w:lang w:val="en-US" w:bidi="ar-DZ"/>
        </w:rPr>
        <w:t xml:space="preserve"> </w:t>
      </w:r>
      <w:r w:rsidRPr="0062340E">
        <w:rPr>
          <w:rFonts w:hint="cs"/>
          <w:szCs w:val="24"/>
          <w:rtl/>
          <w:lang w:val="en-US" w:bidi="ar-DZ"/>
        </w:rPr>
        <w:t>بالضعف</w:t>
      </w:r>
      <w:r w:rsidRPr="0062340E">
        <w:rPr>
          <w:szCs w:val="24"/>
          <w:rtl/>
          <w:lang w:val="en-US" w:bidi="ar-DZ"/>
        </w:rPr>
        <w:t xml:space="preserve"> </w:t>
      </w:r>
      <w:r w:rsidRPr="0062340E">
        <w:rPr>
          <w:rFonts w:hint="cs"/>
          <w:szCs w:val="24"/>
          <w:rtl/>
          <w:lang w:val="en-US" w:bidi="ar-DZ"/>
        </w:rPr>
        <w:t>وبقدر</w:t>
      </w:r>
      <w:r w:rsidR="007D4ED5" w:rsidRPr="0062340E">
        <w:rPr>
          <w:rFonts w:hint="cs"/>
          <w:szCs w:val="24"/>
          <w:rtl/>
          <w:lang w:val="en-US" w:bidi="ar-DZ"/>
        </w:rPr>
        <w:t>ة</w:t>
      </w:r>
      <w:r w:rsidRPr="0062340E">
        <w:rPr>
          <w:szCs w:val="24"/>
          <w:rtl/>
          <w:lang w:val="en-US" w:bidi="ar-DZ"/>
        </w:rPr>
        <w:t xml:space="preserve"> </w:t>
      </w:r>
      <w:r w:rsidRPr="0062340E">
        <w:rPr>
          <w:rFonts w:hint="cs"/>
          <w:szCs w:val="24"/>
          <w:rtl/>
          <w:lang w:val="en-US" w:bidi="ar-DZ"/>
        </w:rPr>
        <w:t>التكيف</w:t>
      </w:r>
      <w:bookmarkEnd w:id="176"/>
      <w:bookmarkEnd w:id="177"/>
      <w:bookmarkEnd w:id="178"/>
      <w:bookmarkEnd w:id="179"/>
      <w:r w:rsidRPr="0062340E">
        <w:rPr>
          <w:szCs w:val="24"/>
          <w:rtl/>
          <w:lang w:val="en-US" w:bidi="ar-DZ"/>
        </w:rPr>
        <w:t xml:space="preserve"> </w:t>
      </w:r>
    </w:p>
    <w:p w:rsidR="00A903CE" w:rsidRPr="0062340E" w:rsidRDefault="00A903CE" w:rsidP="00A903CE">
      <w:pPr>
        <w:bidi/>
        <w:spacing w:after="0" w:line="240" w:lineRule="auto"/>
        <w:ind w:firstLine="282"/>
        <w:jc w:val="center"/>
        <w:rPr>
          <w:rFonts w:ascii="Simplified Arabic" w:hAnsi="Simplified Arabic" w:cs="Simplified Arabic"/>
          <w:b/>
          <w:bCs/>
          <w:sz w:val="24"/>
          <w:szCs w:val="24"/>
          <w:lang w:val="en-US" w:bidi="ar-DZ"/>
        </w:rPr>
      </w:pPr>
      <w:r w:rsidRPr="0062340E">
        <w:rPr>
          <w:rFonts w:ascii="Simplified Arabic" w:hAnsi="Simplified Arabic" w:cs="Simplified Arabic"/>
          <w:b/>
          <w:bCs/>
          <w:sz w:val="24"/>
          <w:szCs w:val="24"/>
          <w:rtl/>
        </w:rPr>
        <w:t>المصدر:</w:t>
      </w:r>
      <w:r w:rsidRPr="0062340E">
        <w:rPr>
          <w:rFonts w:ascii="Simplified Arabic" w:hAnsi="Simplified Arabic" w:cs="Simplified Arabic"/>
          <w:b/>
          <w:bCs/>
          <w:sz w:val="24"/>
          <w:szCs w:val="24"/>
          <w:rtl/>
          <w:lang w:val="en-US" w:bidi="ar-DZ"/>
        </w:rPr>
        <w:t xml:space="preserve"> </w:t>
      </w:r>
      <w:r w:rsidRPr="0062340E">
        <w:rPr>
          <w:rFonts w:asciiTheme="majorBidi" w:hAnsiTheme="majorBidi" w:cstheme="majorBidi"/>
          <w:b/>
          <w:bCs/>
          <w:sz w:val="24"/>
          <w:szCs w:val="24"/>
          <w:rtl/>
          <w:lang w:val="en-US" w:bidi="ar-DZ"/>
        </w:rPr>
        <w:t>(</w:t>
      </w:r>
      <w:r w:rsidRPr="0062340E">
        <w:rPr>
          <w:rFonts w:asciiTheme="majorBidi" w:hAnsiTheme="majorBidi" w:cstheme="majorBidi"/>
          <w:b/>
          <w:bCs/>
          <w:sz w:val="24"/>
          <w:szCs w:val="24"/>
          <w:lang w:val="en-US" w:bidi="ar-DZ"/>
        </w:rPr>
        <w:t>Cutter et al., 2008</w:t>
      </w:r>
      <w:r w:rsidRPr="0062340E">
        <w:rPr>
          <w:rFonts w:asciiTheme="majorBidi" w:hAnsiTheme="majorBidi" w:cstheme="majorBidi"/>
          <w:b/>
          <w:bCs/>
          <w:sz w:val="24"/>
          <w:szCs w:val="24"/>
          <w:rtl/>
          <w:lang w:val="en-US" w:bidi="ar-DZ"/>
        </w:rPr>
        <w:t>).</w:t>
      </w:r>
    </w:p>
    <w:p w:rsidR="00A903CE" w:rsidRPr="0062340E" w:rsidRDefault="00A903CE" w:rsidP="00A903CE">
      <w:pPr>
        <w:bidi/>
        <w:spacing w:after="0"/>
        <w:ind w:firstLine="282"/>
        <w:jc w:val="center"/>
        <w:rPr>
          <w:rFonts w:ascii="Simplified Arabic" w:hAnsi="Simplified Arabic" w:cs="Simplified Arabic"/>
          <w:sz w:val="24"/>
          <w:szCs w:val="24"/>
          <w:rtl/>
          <w:lang w:val="en-US" w:bidi="ar-DZ"/>
        </w:rPr>
      </w:pPr>
      <w:r w:rsidRPr="0062340E">
        <w:rPr>
          <w:rFonts w:ascii="Simplified Arabic" w:hAnsi="Simplified Arabic" w:cs="Simplified Arabic" w:hint="cs"/>
          <w:noProof/>
          <w:sz w:val="24"/>
          <w:szCs w:val="24"/>
          <w:rtl/>
          <w:lang w:eastAsia="fr-FR"/>
        </w:rPr>
        <w:drawing>
          <wp:inline distT="0" distB="0" distL="0" distR="0" wp14:anchorId="660801BB" wp14:editId="5C375666">
            <wp:extent cx="3444954" cy="2113472"/>
            <wp:effectExtent l="19050" t="19050" r="22225" b="20320"/>
            <wp:docPr id="62"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extLst>
                        <a:ext uri="{28A0092B-C50C-407E-A947-70E740481C1C}">
                          <a14:useLocalDpi xmlns:a14="http://schemas.microsoft.com/office/drawing/2010/main" val="0"/>
                        </a:ext>
                      </a:extLst>
                    </a:blip>
                    <a:stretch>
                      <a:fillRect/>
                    </a:stretch>
                  </pic:blipFill>
                  <pic:spPr bwMode="auto">
                    <a:xfrm>
                      <a:off x="0" y="0"/>
                      <a:ext cx="3463668" cy="2124953"/>
                    </a:xfrm>
                    <a:prstGeom prst="rect">
                      <a:avLst/>
                    </a:prstGeom>
                    <a:noFill/>
                    <a:ln w="9525">
                      <a:solidFill>
                        <a:schemeClr val="tx1"/>
                      </a:solidFill>
                    </a:ln>
                  </pic:spPr>
                </pic:pic>
              </a:graphicData>
            </a:graphic>
          </wp:inline>
        </w:drawing>
      </w:r>
    </w:p>
    <w:p w:rsidR="00A903CE" w:rsidRPr="0062340E" w:rsidRDefault="00A903CE" w:rsidP="00A60F5B">
      <w:pPr>
        <w:bidi/>
        <w:spacing w:before="240" w:after="0"/>
        <w:ind w:firstLine="282"/>
        <w:jc w:val="both"/>
        <w:rPr>
          <w:sz w:val="24"/>
          <w:szCs w:val="24"/>
          <w:rtl/>
        </w:rPr>
      </w:pPr>
      <w:r w:rsidRPr="0062340E">
        <w:rPr>
          <w:rFonts w:ascii="Simplified Arabic" w:hAnsi="Simplified Arabic" w:cs="Simplified Arabic" w:hint="cs"/>
          <w:sz w:val="24"/>
          <w:szCs w:val="24"/>
          <w:rtl/>
          <w:lang w:val="en-US"/>
        </w:rPr>
        <w:t xml:space="preserve">بعد الاطلاع على مزيد من </w:t>
      </w:r>
      <w:r w:rsidR="00C71ECA" w:rsidRPr="0062340E">
        <w:rPr>
          <w:rFonts w:ascii="Simplified Arabic" w:hAnsi="Simplified Arabic" w:cs="Simplified Arabic" w:hint="cs"/>
          <w:sz w:val="24"/>
          <w:szCs w:val="24"/>
          <w:rtl/>
          <w:lang w:val="en-US"/>
        </w:rPr>
        <w:t>الابحاث</w:t>
      </w:r>
      <w:r w:rsidRPr="0062340E">
        <w:rPr>
          <w:rFonts w:ascii="Simplified Arabic" w:hAnsi="Simplified Arabic" w:cs="Simplified Arabic" w:hint="cs"/>
          <w:sz w:val="24"/>
          <w:szCs w:val="24"/>
          <w:rtl/>
          <w:lang w:val="en-US"/>
        </w:rPr>
        <w:t xml:space="preserve">، تبين في </w:t>
      </w:r>
      <w:r w:rsidRPr="0062340E">
        <w:rPr>
          <w:rFonts w:ascii="Simplified Arabic" w:hAnsi="Simplified Arabic" w:cs="Simplified Arabic"/>
          <w:sz w:val="24"/>
          <w:szCs w:val="24"/>
          <w:rtl/>
          <w:lang w:val="en-US"/>
        </w:rPr>
        <w:t>الواقع</w:t>
      </w:r>
      <w:r w:rsidRPr="0062340E">
        <w:rPr>
          <w:rFonts w:ascii="Simplified Arabic" w:hAnsi="Simplified Arabic" w:cs="Simplified Arabic" w:hint="cs"/>
          <w:sz w:val="24"/>
          <w:szCs w:val="24"/>
          <w:rtl/>
          <w:lang w:val="en-US"/>
        </w:rPr>
        <w:t xml:space="preserve"> وجود</w:t>
      </w:r>
      <w:r w:rsidRPr="0062340E">
        <w:rPr>
          <w:rFonts w:ascii="Simplified Arabic" w:hAnsi="Simplified Arabic" w:cs="Simplified Arabic"/>
          <w:sz w:val="24"/>
          <w:szCs w:val="24"/>
          <w:rtl/>
          <w:lang w:val="en-US"/>
        </w:rPr>
        <w:t xml:space="preserve"> سلسلة متصلة بين هذين المفهومين</w:t>
      </w:r>
      <w:r w:rsidRPr="0062340E">
        <w:rPr>
          <w:rFonts w:ascii="Simplified Arabic" w:hAnsi="Simplified Arabic" w:cs="Simplified Arabic" w:hint="cs"/>
          <w:sz w:val="24"/>
          <w:szCs w:val="24"/>
          <w:rtl/>
          <w:lang w:val="en-US"/>
        </w:rPr>
        <w:t>،</w:t>
      </w:r>
      <w:r w:rsidRPr="0062340E">
        <w:rPr>
          <w:rFonts w:ascii="Simplified Arabic" w:hAnsi="Simplified Arabic" w:cs="Simplified Arabic"/>
          <w:sz w:val="24"/>
          <w:szCs w:val="24"/>
          <w:rtl/>
          <w:lang w:val="en-US"/>
        </w:rPr>
        <w:t xml:space="preserve"> حيث </w:t>
      </w:r>
      <w:r w:rsidRPr="0062340E">
        <w:rPr>
          <w:rFonts w:ascii="Simplified Arabic" w:hAnsi="Simplified Arabic" w:cs="Simplified Arabic" w:hint="cs"/>
          <w:sz w:val="24"/>
          <w:szCs w:val="24"/>
          <w:rtl/>
          <w:lang w:val="en-US"/>
        </w:rPr>
        <w:t>ي</w:t>
      </w:r>
      <w:r w:rsidRPr="0062340E">
        <w:rPr>
          <w:rFonts w:ascii="Simplified Arabic" w:hAnsi="Simplified Arabic" w:cs="Simplified Arabic"/>
          <w:sz w:val="24"/>
          <w:szCs w:val="24"/>
          <w:rtl/>
          <w:lang w:val="en-US"/>
        </w:rPr>
        <w:t>ركز الضعف على الضرر</w:t>
      </w:r>
      <w:r w:rsidRPr="0062340E">
        <w:rPr>
          <w:rFonts w:ascii="Simplified Arabic" w:hAnsi="Simplified Arabic" w:cs="Simplified Arabic" w:hint="cs"/>
          <w:sz w:val="24"/>
          <w:szCs w:val="24"/>
          <w:rtl/>
          <w:lang w:val="en-US" w:bidi="ar-DZ"/>
        </w:rPr>
        <w:t xml:space="preserve"> وإلى القابلية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للاضطراب</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والخسارة،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فهو</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مفهومًا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ثابتًا،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بينما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sz w:val="24"/>
          <w:szCs w:val="24"/>
          <w:rtl/>
          <w:lang w:val="en-US"/>
        </w:rPr>
        <w:t xml:space="preserve">تركز المرونة بشكل أكبر على </w:t>
      </w:r>
      <w:r w:rsidRPr="0062340E">
        <w:rPr>
          <w:rFonts w:ascii="Simplified Arabic" w:hAnsi="Simplified Arabic" w:cs="Simplified Arabic" w:hint="cs"/>
          <w:sz w:val="24"/>
          <w:szCs w:val="24"/>
          <w:rtl/>
          <w:lang w:val="en-US"/>
        </w:rPr>
        <w:t>الاستجابة اثناء الازمة</w:t>
      </w:r>
      <w:r w:rsidRPr="0062340E">
        <w:rPr>
          <w:rFonts w:ascii="Simplified Arabic" w:hAnsi="Simplified Arabic" w:cs="Simplified Arabic"/>
          <w:sz w:val="24"/>
          <w:szCs w:val="24"/>
          <w:rtl/>
          <w:lang w:val="en-US"/>
        </w:rPr>
        <w:t xml:space="preserve"> والعودة إلى الخدمة</w:t>
      </w:r>
      <w:r w:rsidRPr="0062340E">
        <w:rPr>
          <w:rFonts w:ascii="Simplified Arabic" w:hAnsi="Simplified Arabic" w:cs="Simplified Arabic" w:hint="cs"/>
          <w:sz w:val="24"/>
          <w:szCs w:val="24"/>
          <w:rtl/>
          <w:lang w:val="en-US"/>
        </w:rPr>
        <w:t xml:space="preserve"> بعدها،</w:t>
      </w:r>
      <w:r w:rsidRPr="0062340E">
        <w:rPr>
          <w:rFonts w:ascii="Simplified Arabic" w:hAnsi="Simplified Arabic" w:cs="Simplified Arabic" w:hint="cs"/>
          <w:sz w:val="24"/>
          <w:szCs w:val="24"/>
          <w:rtl/>
          <w:lang w:val="en-US" w:bidi="ar-DZ"/>
        </w:rPr>
        <w:t xml:space="preserve"> فهي</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مفهومًا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ديناميكيًا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يمكن</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استخدامها</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لاستكشاف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كيفية</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تغيّر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نقاط</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الضعف</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بمرور</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الوقت</w:t>
      </w:r>
      <w:r w:rsidRPr="0062340E">
        <w:rPr>
          <w:rFonts w:ascii="Simplified Arabic" w:hAnsi="Simplified Arabic" w:cs="Simplified Arabic"/>
          <w:sz w:val="24"/>
          <w:szCs w:val="24"/>
          <w:rtl/>
          <w:lang w:val="en-US" w:bidi="ar-DZ"/>
        </w:rPr>
        <w:t xml:space="preserve"> </w:t>
      </w:r>
      <w:r w:rsidRPr="0062340E">
        <w:rPr>
          <w:rFonts w:asciiTheme="majorBidi" w:hAnsiTheme="majorBidi" w:cstheme="majorBidi"/>
          <w:sz w:val="24"/>
          <w:szCs w:val="24"/>
        </w:rPr>
        <w:t>(Gaillard, 2010, Wan et al, 2018)</w:t>
      </w:r>
      <w:r w:rsidRPr="0062340E">
        <w:rPr>
          <w:rFonts w:ascii="Simplified Arabic" w:hAnsi="Simplified Arabic" w:cs="Simplified Arabic"/>
          <w:sz w:val="24"/>
          <w:szCs w:val="24"/>
          <w:rtl/>
          <w:lang w:val="en-US"/>
        </w:rPr>
        <w:t xml:space="preserve">، </w:t>
      </w:r>
      <w:r w:rsidRPr="0062340E">
        <w:rPr>
          <w:rFonts w:asciiTheme="majorBidi" w:hAnsiTheme="majorBidi" w:cstheme="majorBidi" w:hint="cs"/>
          <w:sz w:val="24"/>
          <w:szCs w:val="24"/>
          <w:rtl/>
          <w:lang w:val="en-US"/>
        </w:rPr>
        <w:t xml:space="preserve">كما هو موضح في </w:t>
      </w:r>
      <w:r w:rsidRPr="0062340E">
        <w:rPr>
          <w:rFonts w:ascii="Simplified Arabic" w:hAnsi="Simplified Arabic" w:cs="Simplified Arabic" w:hint="cs"/>
          <w:sz w:val="24"/>
          <w:szCs w:val="24"/>
          <w:rtl/>
          <w:lang w:val="en-US" w:bidi="ar-DZ"/>
        </w:rPr>
        <w:t>الشكل</w:t>
      </w:r>
      <w:r w:rsidRPr="0062340E">
        <w:rPr>
          <w:rFonts w:ascii="Simplified Arabic" w:hAnsi="Simplified Arabic" w:cs="Simplified Arabic"/>
          <w:sz w:val="24"/>
          <w:szCs w:val="24"/>
          <w:rtl/>
          <w:lang w:val="en-US" w:bidi="ar-DZ"/>
        </w:rPr>
        <w:t xml:space="preserve"> </w:t>
      </w:r>
      <w:r w:rsidRPr="0062340E">
        <w:rPr>
          <w:rFonts w:ascii="Simplified Arabic" w:hAnsi="Simplified Arabic" w:cs="Simplified Arabic" w:hint="cs"/>
          <w:sz w:val="24"/>
          <w:szCs w:val="24"/>
          <w:rtl/>
          <w:lang w:val="en-US" w:bidi="ar-DZ"/>
        </w:rPr>
        <w:t>(</w:t>
      </w:r>
      <w:r w:rsidR="0085017B" w:rsidRPr="0062340E">
        <w:rPr>
          <w:rFonts w:ascii="Simplified Arabic" w:hAnsi="Simplified Arabic" w:cs="Simplified Arabic" w:hint="cs"/>
          <w:sz w:val="24"/>
          <w:szCs w:val="24"/>
          <w:rtl/>
          <w:lang w:val="en-US" w:bidi="ar-DZ"/>
        </w:rPr>
        <w:t>1-9</w:t>
      </w:r>
      <w:r w:rsidRPr="0062340E">
        <w:rPr>
          <w:rFonts w:ascii="Simplified Arabic" w:hAnsi="Simplified Arabic" w:cs="Simplified Arabic" w:hint="cs"/>
          <w:sz w:val="24"/>
          <w:szCs w:val="24"/>
          <w:rtl/>
          <w:lang w:val="en-US" w:bidi="ar-DZ"/>
        </w:rPr>
        <w:t>)</w:t>
      </w:r>
      <w:r w:rsidRPr="0062340E">
        <w:rPr>
          <w:rFonts w:ascii="Simplified Arabic" w:hAnsi="Simplified Arabic" w:cs="Simplified Arabic"/>
          <w:sz w:val="24"/>
          <w:szCs w:val="24"/>
          <w:rtl/>
          <w:lang w:val="en-US" w:bidi="ar-DZ"/>
        </w:rPr>
        <w:t>.</w:t>
      </w:r>
      <w:r w:rsidRPr="0062340E">
        <w:rPr>
          <w:rFonts w:ascii="Simplified Arabic" w:hAnsi="Simplified Arabic" w:cs="Simplified Arabic" w:hint="cs"/>
          <w:sz w:val="24"/>
          <w:szCs w:val="24"/>
          <w:rtl/>
          <w:lang w:val="en-US" w:bidi="ar-DZ"/>
        </w:rPr>
        <w:t xml:space="preserve"> </w:t>
      </w:r>
      <w:r w:rsidRPr="0062340E">
        <w:rPr>
          <w:rFonts w:ascii="Simplified Arabic" w:hAnsi="Simplified Arabic" w:cs="Simplified Arabic"/>
          <w:sz w:val="24"/>
          <w:szCs w:val="24"/>
          <w:rtl/>
          <w:lang w:val="en-US"/>
        </w:rPr>
        <w:t xml:space="preserve">في هذا السياق، لا يتعارض المفهومان مع بعضهما البعض وبالكاد يمكن فصلهما </w:t>
      </w:r>
      <w:r w:rsidRPr="0062340E">
        <w:rPr>
          <w:rFonts w:asciiTheme="majorBidi" w:hAnsiTheme="majorBidi" w:cstheme="majorBidi"/>
          <w:sz w:val="24"/>
          <w:szCs w:val="24"/>
          <w:rtl/>
          <w:lang w:val="en-US"/>
        </w:rPr>
        <w:t>(</w:t>
      </w:r>
      <w:r w:rsidRPr="0062340E">
        <w:rPr>
          <w:rFonts w:asciiTheme="majorBidi" w:hAnsiTheme="majorBidi" w:cstheme="majorBidi"/>
          <w:sz w:val="24"/>
          <w:szCs w:val="24"/>
          <w:lang w:val="en-US"/>
        </w:rPr>
        <w:t>Lhomme et al</w:t>
      </w:r>
      <w:r w:rsidRPr="0062340E">
        <w:rPr>
          <w:rFonts w:asciiTheme="majorBidi" w:hAnsiTheme="majorBidi" w:cstheme="majorBidi"/>
          <w:sz w:val="24"/>
          <w:szCs w:val="24"/>
        </w:rPr>
        <w:t>,</w:t>
      </w:r>
      <w:r w:rsidRPr="0062340E">
        <w:rPr>
          <w:rFonts w:asciiTheme="majorBidi" w:hAnsiTheme="majorBidi" w:cstheme="majorBidi"/>
          <w:sz w:val="24"/>
          <w:szCs w:val="24"/>
          <w:lang w:val="en-US"/>
        </w:rPr>
        <w:t xml:space="preserve"> 2013</w:t>
      </w:r>
      <w:r w:rsidRPr="0062340E">
        <w:rPr>
          <w:rFonts w:asciiTheme="majorBidi" w:hAnsiTheme="majorBidi" w:cstheme="majorBidi"/>
          <w:sz w:val="24"/>
          <w:szCs w:val="24"/>
          <w:rtl/>
          <w:lang w:val="en-US"/>
        </w:rPr>
        <w:t>)</w:t>
      </w:r>
      <w:r w:rsidRPr="0062340E">
        <w:rPr>
          <w:rFonts w:ascii="Simplified Arabic" w:hAnsi="Simplified Arabic" w:cs="Simplified Arabic"/>
          <w:sz w:val="24"/>
          <w:szCs w:val="24"/>
          <w:rtl/>
          <w:lang w:val="en-US"/>
        </w:rPr>
        <w:t>.</w:t>
      </w:r>
      <w:r w:rsidRPr="0062340E">
        <w:rPr>
          <w:rFonts w:ascii="Simplified Arabic" w:hAnsi="Simplified Arabic" w:cs="Simplified Arabic"/>
          <w:sz w:val="24"/>
          <w:szCs w:val="24"/>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ناحية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أخرى،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وجد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باحثون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النظام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الذي لديه مستوى عالٍ 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الأقل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ضعفًا </w:t>
      </w:r>
      <w:r w:rsidRPr="0062340E">
        <w:rPr>
          <w:rFonts w:asciiTheme="majorBidi" w:hAnsiTheme="majorBidi" w:cstheme="majorBidi"/>
          <w:sz w:val="24"/>
          <w:szCs w:val="24"/>
          <w:rtl/>
          <w:lang w:val="en-US" w:bidi="ar-DZ"/>
        </w:rPr>
        <w:t>(</w:t>
      </w:r>
      <w:r w:rsidRPr="0062340E">
        <w:rPr>
          <w:rFonts w:asciiTheme="majorBidi" w:eastAsia="CharisSIL" w:hAnsiTheme="majorBidi" w:cstheme="majorBidi"/>
          <w:sz w:val="24"/>
          <w:szCs w:val="24"/>
          <w:lang w:val="en-US"/>
        </w:rPr>
        <w:t xml:space="preserve">Park </w:t>
      </w:r>
      <w:r w:rsidRPr="0062340E">
        <w:rPr>
          <w:rFonts w:asciiTheme="majorBidi" w:hAnsiTheme="majorBidi" w:cstheme="majorBidi"/>
          <w:sz w:val="24"/>
          <w:szCs w:val="24"/>
          <w:lang w:val="en-US" w:bidi="ar-DZ"/>
        </w:rPr>
        <w:t>et al., 2021</w:t>
      </w:r>
      <w:r w:rsidRPr="0062340E">
        <w:rPr>
          <w:rFonts w:asciiTheme="majorBidi" w:hAnsiTheme="majorBidi" w:cstheme="majorBidi"/>
          <w:sz w:val="24"/>
          <w:szCs w:val="24"/>
          <w:rtl/>
          <w:lang w:val="en-US" w:bidi="ar-DZ"/>
        </w:rPr>
        <w:t>)</w:t>
      </w:r>
      <w:r w:rsidRPr="0062340E">
        <w:rPr>
          <w:rFonts w:ascii="Simplified Arabic" w:hAnsi="Simplified Arabic" w:cs="Simplified Arabic"/>
          <w:sz w:val="24"/>
          <w:szCs w:val="24"/>
          <w:rtl/>
          <w:lang w:val="en-US" w:bidi="ar-DZ"/>
        </w:rPr>
        <w:t>،</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كما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الضعف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مفهوم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سلبي،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مفهوم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دلالة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إيجابية،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لذلك</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فهو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مفضل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العديد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الدراسات، كما هو الحال في هذا البحث.</w:t>
      </w:r>
    </w:p>
    <w:p w:rsidR="00A903CE" w:rsidRPr="0062340E" w:rsidRDefault="00A903CE" w:rsidP="00A60F5B">
      <w:pPr>
        <w:pStyle w:val="fegure"/>
        <w:spacing w:before="240"/>
        <w:rPr>
          <w:szCs w:val="24"/>
          <w:lang w:val="en-US" w:bidi="ar-DZ"/>
        </w:rPr>
      </w:pPr>
      <w:bookmarkStart w:id="180" w:name="_Toc157561441"/>
      <w:bookmarkStart w:id="181" w:name="_Toc157562774"/>
      <w:bookmarkStart w:id="182" w:name="_Toc157608270"/>
      <w:bookmarkStart w:id="183" w:name="_Toc171803377"/>
      <w:r w:rsidRPr="0062340E">
        <w:rPr>
          <w:rFonts w:hint="cs"/>
          <w:szCs w:val="24"/>
          <w:rtl/>
          <w:lang w:val="en-US" w:bidi="ar-DZ"/>
        </w:rPr>
        <w:t>الشكل</w:t>
      </w:r>
      <w:r w:rsidRPr="0062340E">
        <w:rPr>
          <w:szCs w:val="24"/>
          <w:rtl/>
          <w:lang w:val="en-US" w:bidi="ar-DZ"/>
        </w:rPr>
        <w:t xml:space="preserve"> </w:t>
      </w:r>
      <w:r w:rsidRPr="0062340E">
        <w:rPr>
          <w:rFonts w:hint="cs"/>
          <w:szCs w:val="24"/>
          <w:rtl/>
          <w:lang w:val="en-US" w:bidi="ar-DZ"/>
        </w:rPr>
        <w:t>(</w:t>
      </w:r>
      <w:r w:rsidR="007D4ED5" w:rsidRPr="0062340E">
        <w:rPr>
          <w:rFonts w:hint="cs"/>
          <w:szCs w:val="24"/>
          <w:rtl/>
          <w:lang w:val="en-US" w:bidi="ar-DZ"/>
        </w:rPr>
        <w:t>1-9</w:t>
      </w:r>
      <w:r w:rsidRPr="0062340E">
        <w:rPr>
          <w:rFonts w:hint="cs"/>
          <w:szCs w:val="24"/>
          <w:rtl/>
          <w:lang w:val="en-US" w:bidi="ar-DZ"/>
        </w:rPr>
        <w:t>)</w:t>
      </w:r>
      <w:r w:rsidRPr="0062340E">
        <w:rPr>
          <w:szCs w:val="24"/>
          <w:rtl/>
          <w:lang w:val="en-US" w:bidi="ar-DZ"/>
        </w:rPr>
        <w:t xml:space="preserve">: </w:t>
      </w:r>
      <w:r w:rsidRPr="0062340E">
        <w:rPr>
          <w:rFonts w:hint="cs"/>
          <w:szCs w:val="24"/>
          <w:rtl/>
          <w:lang w:val="en-US" w:bidi="ar-DZ"/>
        </w:rPr>
        <w:t>المفهوم</w:t>
      </w:r>
      <w:r w:rsidRPr="0062340E">
        <w:rPr>
          <w:szCs w:val="24"/>
          <w:rtl/>
          <w:lang w:val="en-US" w:bidi="ar-DZ"/>
        </w:rPr>
        <w:t xml:space="preserve"> </w:t>
      </w:r>
      <w:r w:rsidRPr="0062340E">
        <w:rPr>
          <w:rFonts w:hint="cs"/>
          <w:szCs w:val="24"/>
          <w:rtl/>
          <w:lang w:val="en-US" w:bidi="ar-DZ"/>
        </w:rPr>
        <w:t>الأساسي</w:t>
      </w:r>
      <w:r w:rsidRPr="0062340E">
        <w:rPr>
          <w:szCs w:val="24"/>
          <w:rtl/>
          <w:lang w:val="en-US" w:bidi="ar-DZ"/>
        </w:rPr>
        <w:t xml:space="preserve"> </w:t>
      </w:r>
      <w:r w:rsidRPr="0062340E">
        <w:rPr>
          <w:rFonts w:hint="cs"/>
          <w:szCs w:val="24"/>
          <w:rtl/>
          <w:lang w:val="en-US" w:bidi="ar-DZ"/>
        </w:rPr>
        <w:t>للضعف</w:t>
      </w:r>
      <w:r w:rsidRPr="0062340E">
        <w:rPr>
          <w:szCs w:val="24"/>
          <w:rtl/>
          <w:lang w:val="en-US" w:bidi="ar-DZ"/>
        </w:rPr>
        <w:t xml:space="preserve"> </w:t>
      </w:r>
      <w:r w:rsidRPr="0062340E">
        <w:rPr>
          <w:rFonts w:hint="cs"/>
          <w:szCs w:val="24"/>
          <w:rtl/>
          <w:lang w:val="en-US" w:bidi="ar-DZ"/>
        </w:rPr>
        <w:t>والمرونة</w:t>
      </w:r>
      <w:bookmarkEnd w:id="180"/>
      <w:bookmarkEnd w:id="181"/>
      <w:bookmarkEnd w:id="182"/>
      <w:bookmarkEnd w:id="183"/>
    </w:p>
    <w:p w:rsidR="00A903CE" w:rsidRPr="0062340E" w:rsidRDefault="00A903CE" w:rsidP="00123962">
      <w:pPr>
        <w:bidi/>
        <w:spacing w:after="0" w:line="240" w:lineRule="auto"/>
        <w:jc w:val="center"/>
        <w:rPr>
          <w:rFonts w:ascii="Simplified Arabic" w:hAnsi="Simplified Arabic" w:cs="Simplified Arabic"/>
          <w:b/>
          <w:bCs/>
          <w:sz w:val="24"/>
          <w:szCs w:val="24"/>
          <w:lang w:val="en-US" w:bidi="ar-DZ"/>
        </w:rPr>
      </w:pPr>
      <w:r w:rsidRPr="0062340E">
        <w:rPr>
          <w:rFonts w:ascii="Simplified Arabic" w:hAnsi="Simplified Arabic" w:cs="Simplified Arabic"/>
          <w:b/>
          <w:bCs/>
          <w:sz w:val="24"/>
          <w:szCs w:val="24"/>
          <w:rtl/>
        </w:rPr>
        <w:t>المصدر:</w:t>
      </w:r>
      <w:r w:rsidRPr="0062340E">
        <w:rPr>
          <w:rFonts w:ascii="Simplified Arabic" w:hAnsi="Simplified Arabic" w:cs="Simplified Arabic"/>
          <w:b/>
          <w:bCs/>
          <w:sz w:val="24"/>
          <w:szCs w:val="24"/>
          <w:rtl/>
          <w:lang w:val="en-US" w:bidi="ar-DZ"/>
        </w:rPr>
        <w:t xml:space="preserve"> </w:t>
      </w:r>
      <w:r w:rsidRPr="0062340E">
        <w:rPr>
          <w:rFonts w:asciiTheme="majorBidi" w:hAnsiTheme="majorBidi" w:cstheme="majorBidi"/>
          <w:b/>
          <w:bCs/>
          <w:sz w:val="24"/>
          <w:szCs w:val="24"/>
          <w:rtl/>
          <w:lang w:val="en-US" w:bidi="ar-DZ"/>
        </w:rPr>
        <w:t>(</w:t>
      </w:r>
      <w:r w:rsidRPr="0062340E">
        <w:rPr>
          <w:rFonts w:asciiTheme="majorBidi" w:eastAsia="CharisSIL" w:hAnsiTheme="majorBidi" w:cstheme="majorBidi"/>
          <w:b/>
          <w:bCs/>
          <w:sz w:val="24"/>
          <w:szCs w:val="24"/>
          <w:lang w:val="en-US"/>
        </w:rPr>
        <w:t xml:space="preserve">Park </w:t>
      </w:r>
      <w:r w:rsidRPr="0062340E">
        <w:rPr>
          <w:rFonts w:asciiTheme="majorBidi" w:hAnsiTheme="majorBidi" w:cstheme="majorBidi"/>
          <w:b/>
          <w:bCs/>
          <w:sz w:val="24"/>
          <w:szCs w:val="24"/>
          <w:lang w:val="en-US" w:bidi="ar-DZ"/>
        </w:rPr>
        <w:t>et al., 2021</w:t>
      </w:r>
      <w:r w:rsidRPr="0062340E">
        <w:rPr>
          <w:rFonts w:asciiTheme="majorBidi" w:hAnsiTheme="majorBidi" w:cstheme="majorBidi"/>
          <w:b/>
          <w:bCs/>
          <w:sz w:val="24"/>
          <w:szCs w:val="24"/>
          <w:rtl/>
          <w:lang w:val="en-US" w:bidi="ar-DZ"/>
        </w:rPr>
        <w:t>).</w:t>
      </w:r>
    </w:p>
    <w:p w:rsidR="00A903CE" w:rsidRPr="0062340E" w:rsidRDefault="00A903CE" w:rsidP="00A60F5B">
      <w:pPr>
        <w:autoSpaceDE w:val="0"/>
        <w:autoSpaceDN w:val="0"/>
        <w:bidi/>
        <w:adjustRightInd w:val="0"/>
        <w:ind w:left="-2" w:firstLine="284"/>
        <w:jc w:val="center"/>
        <w:rPr>
          <w:rFonts w:ascii="Simplified Arabic" w:hAnsi="Simplified Arabic" w:cs="Simplified Arabic"/>
          <w:sz w:val="24"/>
          <w:szCs w:val="24"/>
          <w:rtl/>
          <w:lang w:val="en-US" w:bidi="ar-DZ"/>
        </w:rPr>
      </w:pPr>
      <w:r w:rsidRPr="0062340E">
        <w:rPr>
          <w:rFonts w:ascii="Simplified Arabic" w:hAnsi="Simplified Arabic" w:cs="Simplified Arabic"/>
          <w:noProof/>
          <w:sz w:val="24"/>
          <w:szCs w:val="24"/>
          <w:rtl/>
          <w:lang w:eastAsia="fr-FR"/>
        </w:rPr>
        <w:drawing>
          <wp:inline distT="0" distB="0" distL="0" distR="0" wp14:anchorId="51FA7460" wp14:editId="104F613E">
            <wp:extent cx="3870422" cy="2622430"/>
            <wp:effectExtent l="19050" t="19050" r="15875" b="26035"/>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extLst>
                        <a:ext uri="{28A0092B-C50C-407E-A947-70E740481C1C}">
                          <a14:useLocalDpi xmlns:a14="http://schemas.microsoft.com/office/drawing/2010/main" val="0"/>
                        </a:ext>
                      </a:extLst>
                    </a:blip>
                    <a:stretch>
                      <a:fillRect/>
                    </a:stretch>
                  </pic:blipFill>
                  <pic:spPr bwMode="auto">
                    <a:xfrm>
                      <a:off x="0" y="0"/>
                      <a:ext cx="3880952" cy="2629565"/>
                    </a:xfrm>
                    <a:prstGeom prst="rect">
                      <a:avLst/>
                    </a:prstGeom>
                    <a:noFill/>
                    <a:ln w="6350">
                      <a:solidFill>
                        <a:schemeClr val="tx1"/>
                      </a:solidFill>
                    </a:ln>
                  </pic:spPr>
                </pic:pic>
              </a:graphicData>
            </a:graphic>
          </wp:inline>
        </w:drawing>
      </w:r>
    </w:p>
    <w:p w:rsidR="003E1ECC" w:rsidRPr="0062340E" w:rsidRDefault="00A903CE" w:rsidP="003D260F">
      <w:pPr>
        <w:bidi/>
        <w:ind w:firstLine="282"/>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val="en-US"/>
        </w:rPr>
        <w:lastRenderedPageBreak/>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ذلك،</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فإن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التكافؤ</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ليس</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دقيقًا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تمامًا، حيث يرى</w:t>
      </w:r>
      <w:r w:rsidRPr="0062340E">
        <w:rPr>
          <w:rFonts w:hint="cs"/>
          <w:sz w:val="24"/>
          <w:szCs w:val="24"/>
          <w:rtl/>
        </w:rPr>
        <w:t xml:space="preserve"> </w:t>
      </w:r>
      <w:r w:rsidR="00615082" w:rsidRPr="0062340E">
        <w:rPr>
          <w:rFonts w:asciiTheme="majorBidi" w:hAnsiTheme="majorBidi" w:cstheme="majorBidi"/>
          <w:sz w:val="24"/>
          <w:szCs w:val="24"/>
          <w:rtl/>
        </w:rPr>
        <w:t>(</w:t>
      </w:r>
      <w:r w:rsidR="00615082" w:rsidRPr="0062340E">
        <w:rPr>
          <w:rFonts w:asciiTheme="majorBidi" w:hAnsiTheme="majorBidi" w:cstheme="majorBidi"/>
          <w:sz w:val="24"/>
          <w:szCs w:val="24"/>
        </w:rPr>
        <w:t>Cutter et al., 2008</w:t>
      </w:r>
      <w:r w:rsidR="00615082" w:rsidRPr="0062340E">
        <w:rPr>
          <w:rFonts w:asciiTheme="majorBidi" w:hAnsiTheme="majorBidi" w:cstheme="majorBidi"/>
          <w:sz w:val="24"/>
          <w:szCs w:val="24"/>
          <w:rtl/>
        </w:rPr>
        <w:t>)</w:t>
      </w:r>
      <w:r w:rsidR="00615082" w:rsidRPr="0062340E">
        <w:rPr>
          <w:rFonts w:asciiTheme="majorBidi" w:hAnsiTheme="majorBidi" w:cstheme="majorBidi"/>
          <w:sz w:val="24"/>
          <w:szCs w:val="24"/>
        </w:rPr>
        <w:t xml:space="preserve"> </w:t>
      </w:r>
      <w:r w:rsidRPr="0062340E">
        <w:rPr>
          <w:rFonts w:ascii="Simplified Arabic" w:hAnsi="Simplified Arabic" w:cs="Simplified Arabic" w:hint="cs"/>
          <w:sz w:val="24"/>
          <w:szCs w:val="24"/>
          <w:rtl/>
          <w:lang w:val="en-US"/>
        </w:rPr>
        <w:t>ان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أحد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مكونات</w:t>
      </w:r>
      <w:r w:rsidRPr="0062340E">
        <w:rPr>
          <w:rFonts w:ascii="Simplified Arabic" w:hAnsi="Simplified Arabic" w:cs="Simplified Arabic"/>
          <w:sz w:val="24"/>
          <w:szCs w:val="24"/>
          <w:rtl/>
          <w:lang w:val="en-US"/>
        </w:rPr>
        <w:t xml:space="preserve"> </w:t>
      </w:r>
      <w:r w:rsidR="00615082" w:rsidRPr="0062340E">
        <w:rPr>
          <w:rFonts w:ascii="Simplified Arabic" w:hAnsi="Simplified Arabic" w:cs="Simplified Arabic" w:hint="cs"/>
          <w:sz w:val="24"/>
          <w:szCs w:val="24"/>
          <w:rtl/>
          <w:lang w:val="en-US"/>
        </w:rPr>
        <w:t>الضعف</w:t>
      </w:r>
      <w:r w:rsidRPr="0062340E">
        <w:rPr>
          <w:rFonts w:ascii="Simplified Arabic" w:hAnsi="Simplified Arabic" w:cs="Simplified Arabic" w:hint="cs"/>
          <w:sz w:val="24"/>
          <w:szCs w:val="24"/>
          <w:rtl/>
          <w:lang w:val="en-US"/>
        </w:rPr>
        <w:t>،</w:t>
      </w:r>
      <w:r w:rsidRPr="0062340E">
        <w:rPr>
          <w:rFonts w:asciiTheme="majorBidi" w:hAnsiTheme="majorBidi" w:cstheme="majorBidi" w:hint="cs"/>
          <w:sz w:val="24"/>
          <w:szCs w:val="24"/>
          <w:rtl/>
        </w:rPr>
        <w:t xml:space="preserve"> </w:t>
      </w:r>
      <w:r w:rsidRPr="0062340E">
        <w:rPr>
          <w:rFonts w:ascii="Simplified Arabic" w:hAnsi="Simplified Arabic" w:cs="Simplified Arabic" w:hint="cs"/>
          <w:sz w:val="24"/>
          <w:szCs w:val="24"/>
          <w:rtl/>
          <w:lang w:val="en-US"/>
        </w:rPr>
        <w:t>لكن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بالنسبة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للآخرين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تُعرَّف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بأنها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القدرة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00615082" w:rsidRPr="0062340E">
        <w:rPr>
          <w:rFonts w:ascii="Simplified Arabic" w:hAnsi="Simplified Arabic" w:cs="Simplified Arabic" w:hint="cs"/>
          <w:sz w:val="24"/>
          <w:szCs w:val="24"/>
          <w:rtl/>
          <w:lang w:val="en-US"/>
        </w:rPr>
        <w:t xml:space="preserve">الاستجابة، </w:t>
      </w:r>
      <w:r w:rsidRPr="0062340E">
        <w:rPr>
          <w:rFonts w:ascii="Simplified Arabic" w:hAnsi="Simplified Arabic" w:cs="Simplified Arabic" w:hint="cs"/>
          <w:sz w:val="24"/>
          <w:szCs w:val="24"/>
          <w:rtl/>
          <w:lang w:val="en-US"/>
        </w:rPr>
        <w:t>ا</w:t>
      </w:r>
      <w:r w:rsidRPr="0062340E">
        <w:rPr>
          <w:rFonts w:ascii="Simplified Arabic" w:hAnsi="Simplified Arabic" w:cs="Simplified Arabic"/>
          <w:sz w:val="24"/>
          <w:szCs w:val="24"/>
          <w:rtl/>
          <w:lang w:val="en-US"/>
        </w:rPr>
        <w:t xml:space="preserve">لشكل </w:t>
      </w:r>
      <w:r w:rsidRPr="0062340E">
        <w:rPr>
          <w:rFonts w:ascii="Simplified Arabic" w:hAnsi="Simplified Arabic" w:cs="Simplified Arabic" w:hint="cs"/>
          <w:sz w:val="24"/>
          <w:szCs w:val="24"/>
          <w:rtl/>
          <w:lang w:val="en-US"/>
        </w:rPr>
        <w:t>(</w:t>
      </w:r>
      <w:r w:rsidR="0085017B" w:rsidRPr="0062340E">
        <w:rPr>
          <w:rFonts w:ascii="Simplified Arabic" w:hAnsi="Simplified Arabic" w:cs="Simplified Arabic" w:hint="cs"/>
          <w:sz w:val="24"/>
          <w:szCs w:val="24"/>
          <w:rtl/>
          <w:lang w:val="en-US"/>
        </w:rPr>
        <w:t>1-10</w:t>
      </w:r>
      <w:r w:rsidRPr="0062340E">
        <w:rPr>
          <w:rFonts w:ascii="Simplified Arabic" w:hAnsi="Simplified Arabic" w:cs="Simplified Arabic" w:hint="cs"/>
          <w:sz w:val="24"/>
          <w:szCs w:val="24"/>
          <w:rtl/>
          <w:lang w:val="en-US"/>
        </w:rPr>
        <w:t>)</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w:t>
      </w:r>
    </w:p>
    <w:p w:rsidR="003E1ECC" w:rsidRPr="0062340E" w:rsidRDefault="003E1ECC" w:rsidP="003E1ECC">
      <w:pPr>
        <w:pStyle w:val="fegure"/>
        <w:spacing w:after="240"/>
        <w:rPr>
          <w:szCs w:val="24"/>
          <w:rtl/>
          <w:lang w:val="en-US"/>
        </w:rPr>
      </w:pPr>
      <w:bookmarkStart w:id="184" w:name="_Toc157561442"/>
      <w:bookmarkStart w:id="185" w:name="_Toc157562775"/>
      <w:bookmarkStart w:id="186" w:name="_Toc157608271"/>
      <w:bookmarkStart w:id="187" w:name="_Toc171803378"/>
      <w:r w:rsidRPr="0062340E">
        <w:rPr>
          <w:rFonts w:hint="cs"/>
          <w:szCs w:val="24"/>
          <w:rtl/>
          <w:lang w:val="en-US"/>
        </w:rPr>
        <w:t>ا</w:t>
      </w:r>
      <w:r w:rsidRPr="0062340E">
        <w:rPr>
          <w:szCs w:val="24"/>
          <w:rtl/>
          <w:lang w:val="en-US"/>
        </w:rPr>
        <w:t xml:space="preserve">لشكل </w:t>
      </w:r>
      <w:r w:rsidRPr="0062340E">
        <w:rPr>
          <w:rFonts w:hint="cs"/>
          <w:szCs w:val="24"/>
          <w:rtl/>
          <w:lang w:val="en-US"/>
        </w:rPr>
        <w:t>(1-10)</w:t>
      </w:r>
      <w:r w:rsidRPr="0062340E">
        <w:rPr>
          <w:szCs w:val="24"/>
          <w:rtl/>
          <w:lang w:val="en-US"/>
        </w:rPr>
        <w:t>. العلاقة بين مفهوم الضعف</w:t>
      </w:r>
      <w:r w:rsidRPr="0062340E">
        <w:rPr>
          <w:rFonts w:hint="cs"/>
          <w:szCs w:val="24"/>
          <w:rtl/>
          <w:lang w:val="en-US"/>
        </w:rPr>
        <w:t xml:space="preserve"> </w:t>
      </w:r>
      <w:r w:rsidRPr="0062340E">
        <w:rPr>
          <w:szCs w:val="24"/>
          <w:rtl/>
          <w:lang w:val="en-US"/>
        </w:rPr>
        <w:t xml:space="preserve">والمرونة </w:t>
      </w:r>
      <w:r w:rsidRPr="0062340E">
        <w:rPr>
          <w:rFonts w:hint="cs"/>
          <w:szCs w:val="24"/>
          <w:rtl/>
          <w:lang w:val="en-US" w:bidi="ar-DZ"/>
        </w:rPr>
        <w:t>والقدرة على الاستجابة من وجهة نظر البحث</w:t>
      </w:r>
      <w:r w:rsidRPr="0062340E">
        <w:rPr>
          <w:szCs w:val="24"/>
          <w:rtl/>
          <w:lang w:val="en-US"/>
        </w:rPr>
        <w:t>.</w:t>
      </w:r>
      <w:bookmarkEnd w:id="184"/>
      <w:bookmarkEnd w:id="185"/>
      <w:bookmarkEnd w:id="186"/>
      <w:bookmarkEnd w:id="187"/>
    </w:p>
    <w:p w:rsidR="003E1ECC" w:rsidRPr="0062340E" w:rsidRDefault="003E1ECC" w:rsidP="003E1ECC">
      <w:pPr>
        <w:pStyle w:val="Default"/>
        <w:bidi/>
        <w:spacing w:line="276" w:lineRule="auto"/>
        <w:jc w:val="center"/>
        <w:rPr>
          <w:rFonts w:asciiTheme="majorBidi" w:hAnsiTheme="majorBidi" w:cstheme="majorBidi"/>
          <w:rtl/>
        </w:rPr>
      </w:pPr>
      <w:r w:rsidRPr="0062340E">
        <w:rPr>
          <w:rFonts w:asciiTheme="majorBidi" w:hAnsiTheme="majorBidi" w:cstheme="majorBidi"/>
          <w:noProof/>
          <w:rtl/>
          <w:lang w:eastAsia="fr-FR"/>
        </w:rPr>
        <w:drawing>
          <wp:inline distT="0" distB="0" distL="0" distR="0" wp14:anchorId="50523D3F" wp14:editId="7E047CCA">
            <wp:extent cx="2268748" cy="1475117"/>
            <wp:effectExtent l="0" t="0" r="17780" b="10795"/>
            <wp:docPr id="64" name="Diagramme 6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rsidR="00A903CE" w:rsidRPr="0062340E" w:rsidRDefault="00A903CE" w:rsidP="00E43558">
      <w:pPr>
        <w:bidi/>
        <w:ind w:firstLine="282"/>
        <w:jc w:val="both"/>
        <w:rPr>
          <w:rFonts w:ascii="Simplified Arabic" w:hAnsi="Simplified Arabic" w:cs="Simplified Arabic"/>
          <w:sz w:val="24"/>
          <w:szCs w:val="24"/>
          <w:lang w:val="en-US" w:bidi="ar-DZ"/>
        </w:rPr>
      </w:pPr>
      <w:r w:rsidRPr="0062340E">
        <w:rPr>
          <w:rFonts w:ascii="Simplified Arabic" w:hAnsi="Simplified Arabic" w:cs="Simplified Arabic" w:hint="cs"/>
          <w:sz w:val="24"/>
          <w:szCs w:val="24"/>
          <w:rtl/>
          <w:lang w:val="en-US"/>
        </w:rPr>
        <w:t>بينما</w:t>
      </w:r>
      <w:r w:rsidRPr="0062340E">
        <w:rPr>
          <w:rFonts w:cs="Arial" w:hint="cs"/>
          <w:sz w:val="24"/>
          <w:szCs w:val="24"/>
          <w:rtl/>
        </w:rPr>
        <w:t xml:space="preserve"> </w:t>
      </w:r>
      <w:r w:rsidRPr="0062340E">
        <w:rPr>
          <w:rFonts w:ascii="Simplified Arabic" w:hAnsi="Simplified Arabic" w:cs="Simplified Arabic" w:hint="cs"/>
          <w:sz w:val="24"/>
          <w:szCs w:val="24"/>
          <w:rtl/>
          <w:lang w:val="en-US"/>
        </w:rPr>
        <w:t>الضعف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عدم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القدرة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التعامل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الصدمات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بسبب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نقص</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التكي</w:t>
      </w:r>
      <w:r w:rsidR="003E1ECC" w:rsidRPr="0062340E">
        <w:rPr>
          <w:rFonts w:ascii="Simplified Arabic" w:hAnsi="Simplified Arabic" w:cs="Simplified Arabic" w:hint="cs"/>
          <w:sz w:val="24"/>
          <w:szCs w:val="24"/>
          <w:rtl/>
          <w:lang w:val="en-US"/>
        </w:rPr>
        <w:t>ّ</w:t>
      </w:r>
      <w:r w:rsidRPr="0062340E">
        <w:rPr>
          <w:rFonts w:ascii="Simplified Arabic" w:hAnsi="Simplified Arabic" w:cs="Simplified Arabic" w:hint="cs"/>
          <w:sz w:val="24"/>
          <w:szCs w:val="24"/>
          <w:rtl/>
          <w:lang w:val="en-US"/>
        </w:rPr>
        <w:t>ف، عندئذٍ</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تجد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والضعف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متعارضين،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وهو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يتعارض</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المقبولات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السابقة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الذي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ينبع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الواحد منهم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من الآخر </w:t>
      </w:r>
      <w:r w:rsidRPr="0062340E">
        <w:rPr>
          <w:rFonts w:asciiTheme="majorBidi" w:hAnsiTheme="majorBidi" w:cstheme="majorBidi"/>
          <w:sz w:val="24"/>
          <w:szCs w:val="24"/>
          <w:rtl/>
          <w:lang w:val="en-US"/>
        </w:rPr>
        <w:t>(</w:t>
      </w:r>
      <w:r w:rsidRPr="0062340E">
        <w:rPr>
          <w:rFonts w:asciiTheme="majorBidi" w:hAnsiTheme="majorBidi" w:cstheme="majorBidi"/>
          <w:sz w:val="24"/>
          <w:szCs w:val="24"/>
          <w:lang w:val="en-US"/>
        </w:rPr>
        <w:t>Géraldine et al, 2011</w:t>
      </w:r>
      <w:r w:rsidRPr="0062340E">
        <w:rPr>
          <w:rFonts w:asciiTheme="majorBidi" w:hAnsiTheme="majorBidi" w:cstheme="majorBidi"/>
          <w:sz w:val="24"/>
          <w:szCs w:val="24"/>
          <w:rtl/>
          <w:lang w:val="en-US"/>
        </w:rPr>
        <w:t>)</w:t>
      </w:r>
      <w:r w:rsidRPr="0062340E">
        <w:rPr>
          <w:rFonts w:ascii="Simplified Arabic" w:hAnsi="Simplified Arabic" w:cs="Simplified Arabic"/>
          <w:sz w:val="24"/>
          <w:szCs w:val="24"/>
          <w:rtl/>
          <w:lang w:val="en-US" w:bidi="ar-DZ"/>
        </w:rPr>
        <w:t>.</w:t>
      </w:r>
      <w:r w:rsidRPr="0062340E">
        <w:rPr>
          <w:rFonts w:ascii="Simplified Arabic" w:hAnsi="Simplified Arabic" w:cs="Simplified Arabic" w:hint="cs"/>
          <w:sz w:val="24"/>
          <w:szCs w:val="24"/>
          <w:rtl/>
          <w:lang w:val="en-US" w:bidi="ar-DZ"/>
        </w:rPr>
        <w:t xml:space="preserve"> ينظر البحث على ان الضعف هو غياب تكامل عناصر النظام، بينما المرونة هي قدرة استجابة النظام من خلال تكامل اداء عناصره، بالتالي تجسيد قدرة الاستجابة من خلال توافر سمات(مبادئ) المرونة المكانية (الكثافة، التنوع،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00710CDE" w:rsidRPr="0062340E">
        <w:rPr>
          <w:rFonts w:ascii="Simplified Arabic" w:hAnsi="Simplified Arabic" w:cs="Simplified Arabic" w:hint="cs"/>
          <w:sz w:val="24"/>
          <w:szCs w:val="24"/>
          <w:rtl/>
          <w:lang w:val="en-US" w:bidi="ar-DZ"/>
        </w:rPr>
        <w:t xml:space="preserve"> و</w:t>
      </w:r>
      <w:r w:rsidRPr="0062340E">
        <w:rPr>
          <w:rFonts w:ascii="Simplified Arabic" w:hAnsi="Simplified Arabic" w:cs="Simplified Arabic" w:hint="cs"/>
          <w:sz w:val="24"/>
          <w:szCs w:val="24"/>
          <w:rtl/>
          <w:lang w:val="en-US" w:bidi="ar-DZ"/>
        </w:rPr>
        <w:t>التكرار).</w:t>
      </w:r>
    </w:p>
    <w:p w:rsidR="00A903CE" w:rsidRPr="0062340E" w:rsidRDefault="00A903CE" w:rsidP="003E1ECC">
      <w:pPr>
        <w:pStyle w:val="Paragraphedeliste"/>
        <w:numPr>
          <w:ilvl w:val="2"/>
          <w:numId w:val="105"/>
        </w:numPr>
        <w:tabs>
          <w:tab w:val="right" w:pos="850"/>
        </w:tabs>
        <w:bidi/>
        <w:spacing w:before="240" w:after="0"/>
        <w:ind w:left="0" w:firstLine="0"/>
        <w:jc w:val="both"/>
        <w:outlineLvl w:val="1"/>
        <w:rPr>
          <w:rFonts w:ascii="Simplified Arabic" w:hAnsi="Simplified Arabic" w:cs="Simplified Arabic"/>
          <w:b/>
          <w:bCs/>
          <w:color w:val="000000" w:themeColor="text1"/>
          <w:sz w:val="24"/>
          <w:szCs w:val="24"/>
          <w:rtl/>
          <w:lang w:val="en-US"/>
        </w:rPr>
      </w:pPr>
      <w:bookmarkStart w:id="188" w:name="_Toc171803379"/>
      <w:r w:rsidRPr="0062340E">
        <w:rPr>
          <w:rFonts w:ascii="Simplified Arabic" w:hAnsi="Simplified Arabic" w:cs="Simplified Arabic" w:hint="cs"/>
          <w:b/>
          <w:bCs/>
          <w:color w:val="000000" w:themeColor="text1"/>
          <w:sz w:val="24"/>
          <w:szCs w:val="24"/>
          <w:rtl/>
          <w:lang w:val="en-US"/>
        </w:rPr>
        <w:t>ما</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هي</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زمنية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المرونة ؟</w:t>
      </w:r>
      <w:bookmarkEnd w:id="188"/>
      <w:r w:rsidRPr="0062340E">
        <w:rPr>
          <w:rFonts w:ascii="Simplified Arabic" w:hAnsi="Simplified Arabic" w:cs="Simplified Arabic"/>
          <w:b/>
          <w:bCs/>
          <w:color w:val="000000" w:themeColor="text1"/>
          <w:sz w:val="24"/>
          <w:szCs w:val="24"/>
          <w:rtl/>
          <w:lang w:val="en-US"/>
        </w:rPr>
        <w:t xml:space="preserve"> </w:t>
      </w:r>
    </w:p>
    <w:p w:rsidR="00A903CE" w:rsidRPr="0062340E" w:rsidRDefault="00A903CE" w:rsidP="003E1ECC">
      <w:pPr>
        <w:pStyle w:val="Paragraphedeliste"/>
        <w:numPr>
          <w:ilvl w:val="3"/>
          <w:numId w:val="106"/>
        </w:numPr>
        <w:tabs>
          <w:tab w:val="right" w:pos="1134"/>
        </w:tabs>
        <w:bidi/>
        <w:spacing w:after="0"/>
        <w:ind w:left="0" w:firstLine="0"/>
        <w:jc w:val="both"/>
        <w:outlineLvl w:val="2"/>
        <w:rPr>
          <w:rFonts w:ascii="Simplified Arabic" w:hAnsi="Simplified Arabic" w:cs="Simplified Arabic"/>
          <w:b/>
          <w:bCs/>
          <w:color w:val="000000" w:themeColor="text1"/>
          <w:sz w:val="24"/>
          <w:szCs w:val="24"/>
          <w:rtl/>
          <w:lang w:val="en-US"/>
        </w:rPr>
      </w:pPr>
      <w:bookmarkStart w:id="189" w:name="_Toc171803380"/>
      <w:r w:rsidRPr="0062340E">
        <w:rPr>
          <w:rFonts w:ascii="Simplified Arabic" w:hAnsi="Simplified Arabic" w:cs="Simplified Arabic" w:hint="cs"/>
          <w:b/>
          <w:bCs/>
          <w:color w:val="000000" w:themeColor="text1"/>
          <w:sz w:val="24"/>
          <w:szCs w:val="24"/>
          <w:rtl/>
          <w:lang w:val="en-US"/>
        </w:rPr>
        <w:t>زمنية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المرونة الحضرية في التخطيط</w:t>
      </w:r>
      <w:bookmarkEnd w:id="189"/>
      <w:r w:rsidRPr="0062340E">
        <w:rPr>
          <w:rFonts w:ascii="Simplified Arabic" w:hAnsi="Simplified Arabic" w:cs="Simplified Arabic"/>
          <w:b/>
          <w:bCs/>
          <w:color w:val="000000" w:themeColor="text1"/>
          <w:sz w:val="24"/>
          <w:szCs w:val="24"/>
          <w:rtl/>
          <w:lang w:val="en-US"/>
        </w:rPr>
        <w:t xml:space="preserve"> </w:t>
      </w:r>
    </w:p>
    <w:p w:rsidR="00A903CE" w:rsidRPr="0062340E" w:rsidRDefault="00A903CE" w:rsidP="00955516">
      <w:pPr>
        <w:bidi/>
        <w:spacing w:after="0"/>
        <w:ind w:firstLine="282"/>
        <w:jc w:val="both"/>
        <w:rPr>
          <w:rFonts w:ascii="Simplified Arabic" w:hAnsi="Simplified Arabic" w:cs="Simplified Arabic"/>
          <w:sz w:val="24"/>
          <w:szCs w:val="24"/>
          <w:lang w:val="en-US"/>
        </w:rPr>
      </w:pPr>
      <w:r w:rsidRPr="0062340E">
        <w:rPr>
          <w:rFonts w:ascii="Simplified Arabic" w:hAnsi="Simplified Arabic" w:cs="Simplified Arabic" w:hint="cs"/>
          <w:sz w:val="24"/>
          <w:szCs w:val="24"/>
          <w:rtl/>
          <w:lang w:val="en-US"/>
        </w:rPr>
        <w:t>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عام،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المتوقع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تكون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زمنية المدينة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المرنة</w:t>
      </w:r>
      <w:r w:rsidRPr="0062340E">
        <w:rPr>
          <w:rFonts w:ascii="Simplified Arabic" w:hAnsi="Simplified Arabic" w:cs="Simplified Arabic"/>
          <w:sz w:val="24"/>
          <w:szCs w:val="24"/>
          <w:rtl/>
          <w:lang w:val="en-US"/>
        </w:rPr>
        <w:t xml:space="preserve"> </w:t>
      </w:r>
      <w:r w:rsidR="00955516" w:rsidRPr="0062340E">
        <w:rPr>
          <w:rFonts w:ascii="Simplified Arabic" w:hAnsi="Simplified Arabic" w:cs="Simplified Arabic" w:hint="cs"/>
          <w:sz w:val="24"/>
          <w:szCs w:val="24"/>
          <w:rtl/>
          <w:lang w:val="en-US"/>
        </w:rPr>
        <w:t>تجاه ا</w:t>
      </w:r>
      <w:r w:rsidRPr="0062340E">
        <w:rPr>
          <w:rFonts w:ascii="Simplified Arabic" w:hAnsi="Simplified Arabic" w:cs="Simplified Arabic" w:hint="cs"/>
          <w:sz w:val="24"/>
          <w:szCs w:val="24"/>
          <w:rtl/>
          <w:lang w:val="en-US"/>
        </w:rPr>
        <w:t>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الطويل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والقصير</w:t>
      </w:r>
      <w:r w:rsidRPr="0062340E">
        <w:rPr>
          <w:rFonts w:ascii="Simplified Arabic" w:hAnsi="Simplified Arabic" w:cs="Simplified Arabic"/>
          <w:sz w:val="24"/>
          <w:szCs w:val="24"/>
          <w:rtl/>
          <w:lang w:val="en-US"/>
        </w:rPr>
        <w:t>:</w:t>
      </w:r>
    </w:p>
    <w:p w:rsidR="00A903CE" w:rsidRPr="0062340E" w:rsidRDefault="00A903CE" w:rsidP="001D0548">
      <w:pPr>
        <w:pStyle w:val="Paragraphedeliste"/>
        <w:numPr>
          <w:ilvl w:val="0"/>
          <w:numId w:val="7"/>
        </w:numPr>
        <w:tabs>
          <w:tab w:val="right" w:pos="282"/>
        </w:tabs>
        <w:bidi/>
        <w:spacing w:after="0"/>
        <w:ind w:left="-1" w:firstLine="0"/>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الطويل: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لما يكون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الهدف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تكييف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المدينة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خلال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مراعاة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العمليات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طويلة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مثل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عملية التحضُّر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وتغيُّر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المناخ</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وتأثيرات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مخاطر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المناطق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الحضرية</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وهذا هو الهدف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من مشروع </w:t>
      </w:r>
      <w:r w:rsidRPr="0062340E">
        <w:rPr>
          <w:rFonts w:asciiTheme="majorBidi" w:hAnsiTheme="majorBidi" w:cstheme="majorBidi"/>
          <w:sz w:val="24"/>
          <w:szCs w:val="24"/>
          <w:rtl/>
          <w:lang w:val="en-US"/>
        </w:rPr>
        <w:t>[</w:t>
      </w:r>
      <w:r w:rsidRPr="0062340E">
        <w:rPr>
          <w:rFonts w:asciiTheme="majorBidi" w:hAnsiTheme="majorBidi" w:cstheme="majorBidi"/>
          <w:sz w:val="24"/>
          <w:szCs w:val="24"/>
        </w:rPr>
        <w:t>FloodResilienCity (www.floodresiliencity.eu)</w:t>
      </w:r>
      <w:r w:rsidRPr="0062340E">
        <w:rPr>
          <w:rFonts w:asciiTheme="majorBidi" w:hAnsiTheme="majorBidi" w:cstheme="majorBidi"/>
          <w:sz w:val="24"/>
          <w:szCs w:val="24"/>
          <w:rtl/>
        </w:rPr>
        <w:t>]</w:t>
      </w:r>
      <w:r w:rsidRPr="0062340E">
        <w:rPr>
          <w:rFonts w:ascii="Simplified Arabic" w:hAnsi="Simplified Arabic" w:cs="Simplified Arabic" w:hint="cs"/>
          <w:sz w:val="24"/>
          <w:szCs w:val="24"/>
          <w:rtl/>
          <w:lang w:val="en-US"/>
        </w:rPr>
        <w:t xml:space="preserve"> الذي يتماشى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عام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الاتجاه.</w:t>
      </w:r>
    </w:p>
    <w:p w:rsidR="00A903CE" w:rsidRPr="0062340E" w:rsidRDefault="00A903CE" w:rsidP="001D0548">
      <w:pPr>
        <w:pStyle w:val="Paragraphedeliste"/>
        <w:numPr>
          <w:ilvl w:val="0"/>
          <w:numId w:val="7"/>
        </w:numPr>
        <w:tabs>
          <w:tab w:val="right" w:pos="282"/>
        </w:tabs>
        <w:bidi/>
        <w:spacing w:after="0"/>
        <w:ind w:left="-1" w:firstLine="0"/>
        <w:jc w:val="both"/>
        <w:rPr>
          <w:rFonts w:asciiTheme="minorBidi" w:hAnsiTheme="minorBidi" w:cs="Arial"/>
          <w:sz w:val="24"/>
          <w:szCs w:val="24"/>
          <w:rtl/>
          <w:lang w:val="en-US"/>
        </w:rPr>
      </w:pP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القصير: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لما يكون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الهدف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اقتراح</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نماذج</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تسمح</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بتقييم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مستويات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الحضرية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وإنتاج</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المعرفة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المجال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لتوجيه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استراتيجيات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مخاطر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الفيضانات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زمنية المرونة 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القصير،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فان الأمر هنا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يتعلق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بإجراء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اختبارات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لمنهجيات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وأدوات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التقييم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المقترحة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مدن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قائمة حقيقيةً، وهذا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الهدف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من مشروع </w:t>
      </w:r>
      <w:r w:rsidRPr="0062340E">
        <w:rPr>
          <w:rFonts w:asciiTheme="majorBidi" w:hAnsiTheme="majorBidi" w:cstheme="majorBidi"/>
          <w:sz w:val="24"/>
          <w:szCs w:val="24"/>
          <w:rtl/>
          <w:lang w:val="en-US"/>
        </w:rPr>
        <w:t>[</w:t>
      </w:r>
      <w:r w:rsidRPr="0062340E">
        <w:rPr>
          <w:rFonts w:asciiTheme="majorBidi" w:hAnsiTheme="majorBidi" w:cstheme="majorBidi"/>
          <w:sz w:val="24"/>
          <w:szCs w:val="24"/>
        </w:rPr>
        <w:t>FloodProBE</w:t>
      </w:r>
      <w:r w:rsidRPr="0062340E">
        <w:rPr>
          <w:rFonts w:asciiTheme="majorBidi" w:hAnsiTheme="majorBidi" w:cstheme="majorBidi" w:hint="cs"/>
          <w:sz w:val="24"/>
          <w:szCs w:val="24"/>
          <w:rtl/>
        </w:rPr>
        <w:t xml:space="preserve"> </w:t>
      </w:r>
      <w:r w:rsidRPr="0062340E">
        <w:rPr>
          <w:rFonts w:asciiTheme="majorBidi" w:hAnsiTheme="majorBidi" w:cstheme="majorBidi"/>
          <w:sz w:val="24"/>
          <w:szCs w:val="24"/>
        </w:rPr>
        <w:t>(www.floodprobe.eu)</w:t>
      </w:r>
      <w:r w:rsidRPr="0062340E">
        <w:rPr>
          <w:rFonts w:asciiTheme="majorBidi" w:hAnsiTheme="majorBidi" w:cstheme="majorBidi"/>
          <w:sz w:val="24"/>
          <w:szCs w:val="24"/>
          <w:rtl/>
        </w:rPr>
        <w:t>]</w:t>
      </w:r>
      <w:r w:rsidRPr="0062340E">
        <w:rPr>
          <w:rFonts w:ascii="Simplified Arabic" w:hAnsi="Simplified Arabic" w:cs="Simplified Arabic" w:hint="cs"/>
          <w:sz w:val="24"/>
          <w:szCs w:val="24"/>
          <w:rtl/>
          <w:lang w:val="en-US"/>
        </w:rPr>
        <w:t xml:space="preserve"> الذي يتماشى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عام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الاتجاه</w:t>
      </w:r>
      <w:r w:rsidRPr="0062340E">
        <w:rPr>
          <w:rFonts w:asciiTheme="minorBidi" w:hAnsiTheme="minorBidi" w:cs="Arial"/>
          <w:sz w:val="24"/>
          <w:szCs w:val="24"/>
          <w:rtl/>
          <w:lang w:val="en-US"/>
        </w:rPr>
        <w:t xml:space="preserve"> </w:t>
      </w:r>
      <w:r w:rsidRPr="0062340E">
        <w:rPr>
          <w:rFonts w:asciiTheme="majorBidi" w:hAnsiTheme="majorBidi" w:cstheme="majorBidi"/>
          <w:sz w:val="24"/>
          <w:szCs w:val="24"/>
        </w:rPr>
        <w:t>(van Ree et al., 2011)</w:t>
      </w:r>
      <w:r w:rsidRPr="0062340E">
        <w:rPr>
          <w:rFonts w:asciiTheme="minorBidi" w:hAnsiTheme="minorBidi" w:cs="Arial"/>
          <w:sz w:val="24"/>
          <w:szCs w:val="24"/>
          <w:rtl/>
          <w:lang w:val="en-US"/>
        </w:rPr>
        <w:t>.</w:t>
      </w:r>
    </w:p>
    <w:p w:rsidR="00A903CE" w:rsidRPr="0062340E" w:rsidRDefault="00A903CE" w:rsidP="00A903CE">
      <w:pPr>
        <w:bidi/>
        <w:spacing w:after="0"/>
        <w:ind w:firstLine="282"/>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val="en-US"/>
        </w:rPr>
        <w:t>تتيح</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دراسة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المكونات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الضعيفة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للنظام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الحضري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التعلم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أخطاء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التخطيط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وتسيير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المخاطر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أجل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الاتجاه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نحو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بناء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مدينة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أكثر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مرونة</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لقد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تبين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سابقًا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التحديات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المتزايدة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للمناطق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الحضرية،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خلال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التخطيط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الحضري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والقضايا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الاجتماعية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والمناخية</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يبدو</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مفهوم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المرونة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اتجاه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مثير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للاهتمام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لتعزيز</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استجابات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الأنظمة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والجهات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الفاعلة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لتحديات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الكوارث</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الطبيعية</w:t>
      </w:r>
      <w:r w:rsidRPr="0062340E">
        <w:rPr>
          <w:rFonts w:ascii="Simplified Arabic" w:hAnsi="Simplified Arabic" w:cs="Simplified Arabic"/>
          <w:sz w:val="24"/>
          <w:szCs w:val="24"/>
          <w:rtl/>
          <w:lang w:val="en-US"/>
        </w:rPr>
        <w:t xml:space="preserve"> </w:t>
      </w:r>
      <w:r w:rsidRPr="0062340E">
        <w:rPr>
          <w:rFonts w:asciiTheme="majorBidi" w:hAnsiTheme="majorBidi" w:cstheme="majorBidi"/>
          <w:sz w:val="24"/>
          <w:szCs w:val="24"/>
        </w:rPr>
        <w:t>(Fuchs and Thaler, 2018)</w:t>
      </w:r>
      <w:r w:rsidRPr="0062340E">
        <w:rPr>
          <w:rFonts w:ascii="Simplified Arabic" w:hAnsi="Simplified Arabic" w:cs="Simplified Arabic"/>
          <w:sz w:val="24"/>
          <w:szCs w:val="24"/>
          <w:rtl/>
          <w:lang w:val="en-US"/>
        </w:rPr>
        <w:t xml:space="preserve">. </w:t>
      </w:r>
    </w:p>
    <w:p w:rsidR="00A903CE" w:rsidRPr="0062340E" w:rsidRDefault="00A903CE" w:rsidP="001D0548">
      <w:pPr>
        <w:pStyle w:val="Paragraphedeliste"/>
        <w:numPr>
          <w:ilvl w:val="3"/>
          <w:numId w:val="107"/>
        </w:numPr>
        <w:tabs>
          <w:tab w:val="right" w:pos="992"/>
        </w:tabs>
        <w:bidi/>
        <w:spacing w:after="0"/>
        <w:ind w:left="0" w:firstLine="0"/>
        <w:jc w:val="both"/>
        <w:outlineLvl w:val="2"/>
        <w:rPr>
          <w:rFonts w:ascii="Simplified Arabic" w:hAnsi="Simplified Arabic" w:cs="Simplified Arabic"/>
          <w:b/>
          <w:bCs/>
          <w:color w:val="000000" w:themeColor="text1"/>
          <w:sz w:val="24"/>
          <w:szCs w:val="24"/>
          <w:rtl/>
          <w:lang w:val="en-US"/>
        </w:rPr>
      </w:pPr>
      <w:bookmarkStart w:id="190" w:name="_Toc171803381"/>
      <w:r w:rsidRPr="0062340E">
        <w:rPr>
          <w:rFonts w:ascii="Simplified Arabic" w:hAnsi="Simplified Arabic" w:cs="Simplified Arabic" w:hint="cs"/>
          <w:b/>
          <w:bCs/>
          <w:color w:val="000000" w:themeColor="text1"/>
          <w:sz w:val="24"/>
          <w:szCs w:val="24"/>
          <w:rtl/>
          <w:lang w:val="en-US"/>
        </w:rPr>
        <w:t>زمنية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المرونة الحضرية للتعافي</w:t>
      </w:r>
      <w:bookmarkEnd w:id="190"/>
      <w:r w:rsidRPr="0062340E">
        <w:rPr>
          <w:rFonts w:ascii="Simplified Arabic" w:hAnsi="Simplified Arabic" w:cs="Simplified Arabic"/>
          <w:b/>
          <w:bCs/>
          <w:color w:val="000000" w:themeColor="text1"/>
          <w:sz w:val="24"/>
          <w:szCs w:val="24"/>
          <w:rtl/>
          <w:lang w:val="en-US"/>
        </w:rPr>
        <w:t xml:space="preserve"> </w:t>
      </w:r>
    </w:p>
    <w:p w:rsidR="00A903CE" w:rsidRPr="0062340E" w:rsidRDefault="00A903CE" w:rsidP="00414D79">
      <w:pPr>
        <w:tabs>
          <w:tab w:val="right" w:pos="282"/>
        </w:tabs>
        <w:bidi/>
        <w:spacing w:after="0"/>
        <w:ind w:left="-2" w:firstLine="284"/>
        <w:jc w:val="both"/>
        <w:rPr>
          <w:rFonts w:asciiTheme="minorBidi" w:hAnsiTheme="minorBidi" w:cs="Arial"/>
          <w:sz w:val="24"/>
          <w:szCs w:val="24"/>
          <w:rtl/>
          <w:lang w:val="en-US"/>
        </w:rPr>
      </w:pPr>
      <w:r w:rsidRPr="0062340E">
        <w:rPr>
          <w:rFonts w:ascii="Simplified Arabic" w:hAnsi="Simplified Arabic" w:cs="Simplified Arabic"/>
          <w:color w:val="000000" w:themeColor="text1"/>
          <w:sz w:val="24"/>
          <w:szCs w:val="24"/>
          <w:rtl/>
          <w:lang w:val="en-US"/>
        </w:rPr>
        <w:t xml:space="preserve">بخصوص المقياس الزمني للمرونة، تعتبر بعض التعريفات ان خاصية سرعة التعافي أساسية للنظام. يرى </w:t>
      </w:r>
      <w:r w:rsidRPr="0062340E">
        <w:rPr>
          <w:rFonts w:asciiTheme="majorBidi" w:hAnsiTheme="majorBidi" w:cstheme="majorBidi"/>
          <w:color w:val="000000" w:themeColor="text1"/>
          <w:sz w:val="24"/>
          <w:szCs w:val="24"/>
        </w:rPr>
        <w:t>(Wardekker et al., 2010)</w:t>
      </w:r>
      <w:r w:rsidRPr="0062340E">
        <w:rPr>
          <w:rFonts w:ascii="Simplified Arabic" w:hAnsi="Simplified Arabic" w:cs="Simplified Arabic"/>
          <w:color w:val="000000" w:themeColor="text1"/>
          <w:sz w:val="24"/>
          <w:szCs w:val="24"/>
          <w:rtl/>
        </w:rPr>
        <w:t>،</w:t>
      </w:r>
      <w:r w:rsidRPr="0062340E">
        <w:rPr>
          <w:rFonts w:ascii="Simplified Arabic" w:hAnsi="Simplified Arabic" w:cs="Simplified Arabic"/>
          <w:color w:val="000000" w:themeColor="text1"/>
          <w:sz w:val="24"/>
          <w:szCs w:val="24"/>
          <w:rtl/>
          <w:lang w:val="en-US"/>
        </w:rPr>
        <w:t xml:space="preserve"> ان تحديد المقياس الزمني للمرونة غالبًا ما يعتمد على ما إذا كان </w:t>
      </w:r>
      <w:r w:rsidRPr="0062340E">
        <w:rPr>
          <w:rFonts w:ascii="Simplified Arabic" w:hAnsi="Simplified Arabic" w:cs="Simplified Arabic" w:hint="cs"/>
          <w:color w:val="000000" w:themeColor="text1"/>
          <w:sz w:val="24"/>
          <w:szCs w:val="24"/>
          <w:rtl/>
          <w:lang w:val="en-US"/>
        </w:rPr>
        <w:t>الت</w:t>
      </w:r>
      <w:r w:rsidRPr="0062340E">
        <w:rPr>
          <w:rFonts w:ascii="Simplified Arabic" w:hAnsi="Simplified Arabic" w:cs="Simplified Arabic"/>
          <w:color w:val="000000" w:themeColor="text1"/>
          <w:sz w:val="24"/>
          <w:szCs w:val="24"/>
          <w:rtl/>
          <w:lang w:val="en-US"/>
        </w:rPr>
        <w:t>رك</w:t>
      </w:r>
      <w:r w:rsidRPr="0062340E">
        <w:rPr>
          <w:rFonts w:ascii="Simplified Arabic" w:hAnsi="Simplified Arabic" w:cs="Simplified Arabic" w:hint="cs"/>
          <w:color w:val="000000" w:themeColor="text1"/>
          <w:sz w:val="24"/>
          <w:szCs w:val="24"/>
          <w:rtl/>
          <w:lang w:val="en-US"/>
        </w:rPr>
        <w:t>ي</w:t>
      </w:r>
      <w:r w:rsidRPr="0062340E">
        <w:rPr>
          <w:rFonts w:ascii="Simplified Arabic" w:hAnsi="Simplified Arabic" w:cs="Simplified Arabic"/>
          <w:color w:val="000000" w:themeColor="text1"/>
          <w:sz w:val="24"/>
          <w:szCs w:val="24"/>
          <w:rtl/>
          <w:lang w:val="en-US"/>
        </w:rPr>
        <w:t>ز على الكوارث السريعة</w:t>
      </w:r>
      <w:r w:rsidRPr="0062340E">
        <w:rPr>
          <w:rFonts w:ascii="Simplified Arabic" w:hAnsi="Simplified Arabic" w:cs="Simplified Arabic" w:hint="cs"/>
          <w:color w:val="000000" w:themeColor="text1"/>
          <w:sz w:val="24"/>
          <w:szCs w:val="24"/>
          <w:rtl/>
          <w:lang w:val="en-US"/>
        </w:rPr>
        <w:t xml:space="preserve"> كالفيضانات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color w:val="000000" w:themeColor="text1"/>
          <w:sz w:val="24"/>
          <w:szCs w:val="24"/>
          <w:rtl/>
          <w:lang w:val="en-US"/>
        </w:rPr>
        <w:lastRenderedPageBreak/>
        <w:t>أو على تغير المناخ التدريجي.</w:t>
      </w:r>
      <w:r w:rsidRPr="0062340E">
        <w:rPr>
          <w:rFonts w:ascii="Simplified Arabic" w:hAnsi="Simplified Arabic" w:cs="Simplified Arabic" w:hint="cs"/>
          <w:color w:val="000000" w:themeColor="text1"/>
          <w:sz w:val="24"/>
          <w:szCs w:val="24"/>
          <w:rtl/>
          <w:lang w:val="en-US"/>
        </w:rPr>
        <w:t xml:space="preserve"> </w:t>
      </w:r>
      <w:r w:rsidRPr="0062340E">
        <w:rPr>
          <w:rFonts w:ascii="Simplified Arabic" w:hAnsi="Simplified Arabic" w:cs="Simplified Arabic"/>
          <w:color w:val="000000" w:themeColor="text1"/>
          <w:sz w:val="24"/>
          <w:szCs w:val="24"/>
          <w:rtl/>
          <w:lang w:val="en-US"/>
        </w:rPr>
        <w:t>اشار</w:t>
      </w:r>
      <w:r w:rsidRPr="0062340E">
        <w:rPr>
          <w:rFonts w:ascii="Simplified Arabic" w:hAnsi="Simplified Arabic" w:cs="Simplified Arabic"/>
          <w:color w:val="000000" w:themeColor="text1"/>
          <w:sz w:val="24"/>
          <w:szCs w:val="24"/>
          <w:rtl/>
        </w:rPr>
        <w:t xml:space="preserve"> </w:t>
      </w:r>
      <w:r w:rsidR="00AF2071" w:rsidRPr="0062340E">
        <w:rPr>
          <w:rFonts w:asciiTheme="majorBidi" w:hAnsiTheme="majorBidi" w:cstheme="majorBidi"/>
          <w:color w:val="000000" w:themeColor="text1"/>
          <w:sz w:val="24"/>
          <w:szCs w:val="24"/>
        </w:rPr>
        <w:t>(Wagner and Breil 2013</w:t>
      </w:r>
      <w:r w:rsidRPr="0062340E">
        <w:rPr>
          <w:rFonts w:asciiTheme="majorBidi" w:hAnsiTheme="majorBidi" w:cstheme="majorBidi"/>
          <w:color w:val="000000" w:themeColor="text1"/>
          <w:sz w:val="24"/>
          <w:szCs w:val="24"/>
        </w:rPr>
        <w:t>)</w:t>
      </w:r>
      <w:r w:rsidRPr="0062340E">
        <w:rPr>
          <w:rFonts w:ascii="Simplified Arabic" w:hAnsi="Simplified Arabic" w:cs="Simplified Arabic"/>
          <w:color w:val="000000" w:themeColor="text1"/>
          <w:sz w:val="24"/>
          <w:szCs w:val="24"/>
          <w:rtl/>
          <w:lang w:val="en-US"/>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color w:val="000000" w:themeColor="text1"/>
          <w:sz w:val="24"/>
          <w:szCs w:val="24"/>
          <w:rtl/>
          <w:lang w:val="en-US"/>
        </w:rPr>
        <w:t xml:space="preserve">الى ان القدرة تشتمل على </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التحرك بسرعة</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 مشيرًا إلى امكانية قياس المرونة باستخدام الوقت المطلوب للعودة إلى حالة الاستقرار السابقة بعد حدوث اضطراب، لكن ما هي قدرات المرونة الاخرى لتخطي حالة الاضطراب</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 xml:space="preserve"> يمكن لقدرة </w:t>
      </w:r>
      <w:r w:rsidRPr="0062340E">
        <w:rPr>
          <w:rFonts w:ascii="Simplified Arabic" w:hAnsi="Simplified Arabic" w:cs="Simplified Arabic" w:hint="cs"/>
          <w:color w:val="000000" w:themeColor="text1"/>
          <w:sz w:val="24"/>
          <w:szCs w:val="24"/>
          <w:rtl/>
          <w:lang w:val="en-US"/>
        </w:rPr>
        <w:t>الاستجابة</w:t>
      </w:r>
      <w:r w:rsidRPr="0062340E">
        <w:rPr>
          <w:rFonts w:ascii="Simplified Arabic" w:hAnsi="Simplified Arabic" w:cs="Simplified Arabic"/>
          <w:color w:val="000000" w:themeColor="text1"/>
          <w:sz w:val="24"/>
          <w:szCs w:val="24"/>
          <w:rtl/>
          <w:lang w:val="en-US"/>
        </w:rPr>
        <w:t xml:space="preserve"> ان تساعد على الاداء الوظيفي والهيكلي للنظام </w:t>
      </w:r>
      <w:r w:rsidR="00414D79" w:rsidRPr="0062340E">
        <w:rPr>
          <w:rFonts w:ascii="Simplified Arabic" w:hAnsi="Simplified Arabic" w:cs="Simplified Arabic" w:hint="cs"/>
          <w:color w:val="000000" w:themeColor="text1"/>
          <w:sz w:val="24"/>
          <w:szCs w:val="24"/>
          <w:rtl/>
          <w:lang w:val="en-US" w:bidi="ar-DZ"/>
        </w:rPr>
        <w:t>و</w:t>
      </w:r>
      <w:r w:rsidRPr="0062340E">
        <w:rPr>
          <w:rFonts w:ascii="Simplified Arabic" w:hAnsi="Simplified Arabic" w:cs="Simplified Arabic"/>
          <w:color w:val="000000" w:themeColor="text1"/>
          <w:sz w:val="24"/>
          <w:szCs w:val="24"/>
          <w:rtl/>
          <w:lang w:val="en-US"/>
        </w:rPr>
        <w:t xml:space="preserve">العودة بسرعة الى ما قبل الاضطراب. </w:t>
      </w:r>
    </w:p>
    <w:p w:rsidR="00A903CE" w:rsidRPr="0062340E" w:rsidRDefault="00A903CE" w:rsidP="0085017B">
      <w:pPr>
        <w:bidi/>
        <w:spacing w:after="0"/>
        <w:ind w:firstLine="282"/>
        <w:jc w:val="both"/>
        <w:rPr>
          <w:rFonts w:asciiTheme="minorBidi" w:hAnsiTheme="minorBidi" w:cs="Arial"/>
          <w:sz w:val="24"/>
          <w:szCs w:val="24"/>
          <w:rtl/>
          <w:lang w:bidi="ar-DZ"/>
        </w:rPr>
      </w:pPr>
      <w:r w:rsidRPr="0062340E">
        <w:rPr>
          <w:rFonts w:ascii="Simplified Arabic" w:hAnsi="Simplified Arabic" w:cs="Simplified Arabic" w:hint="cs"/>
          <w:color w:val="000000" w:themeColor="text1"/>
          <w:sz w:val="24"/>
          <w:szCs w:val="24"/>
          <w:rtl/>
          <w:lang w:val="en-US"/>
        </w:rPr>
        <w:t>يمكن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دراسة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خلال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المراحل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الزمنية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الثلاث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للحدث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الحديث هنا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الاستباقية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(قبل)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التفاعلية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(أثناء)،</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بعد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النشاط (بعد)</w:t>
      </w:r>
      <w:r w:rsidRPr="0062340E">
        <w:rPr>
          <w:rFonts w:asciiTheme="minorBidi" w:hAnsiTheme="minorBidi" w:cs="Arial"/>
          <w:sz w:val="24"/>
          <w:szCs w:val="24"/>
          <w:rtl/>
          <w:lang w:bidi="ar-DZ"/>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UNISDR, 2012</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تشمل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التفاعلية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قدرات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المقاومة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والاستيعاب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أو</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التنظيم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الذاتي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أو</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الاستجابة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الجماعية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أثناء</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الأزمة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تدمج</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الاستباقية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والتفاعلية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قدرات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التكيف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والتعلم</w:t>
      </w:r>
      <w:r w:rsidRPr="0062340E">
        <w:rPr>
          <w:rFonts w:ascii="Simplified Arabic" w:hAnsi="Simplified Arabic" w:cs="Simplified Arabic"/>
          <w:color w:val="000000" w:themeColor="text1"/>
          <w:sz w:val="24"/>
          <w:szCs w:val="24"/>
          <w:rtl/>
          <w:lang w:val="en-US"/>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UNISDR, 2012</w:t>
      </w:r>
      <w:r w:rsidRPr="0062340E">
        <w:rPr>
          <w:rFonts w:asciiTheme="majorBidi" w:hAnsiTheme="majorBidi" w:cstheme="majorBidi"/>
          <w:color w:val="000000" w:themeColor="text1"/>
          <w:sz w:val="24"/>
          <w:szCs w:val="24"/>
          <w:rtl/>
        </w:rPr>
        <w:t>)</w:t>
      </w:r>
      <w:r w:rsidRPr="0062340E">
        <w:rPr>
          <w:rFonts w:ascii="Simplified Arabic" w:hAnsi="Simplified Arabic" w:cs="Simplified Arabic"/>
          <w:color w:val="000000" w:themeColor="text1"/>
          <w:sz w:val="24"/>
          <w:szCs w:val="24"/>
          <w:rtl/>
          <w:lang w:val="en-US"/>
        </w:rPr>
        <w:t>.</w:t>
      </w:r>
      <w:r w:rsidRPr="0062340E">
        <w:rPr>
          <w:rFonts w:asciiTheme="minorBidi" w:hAnsiTheme="minorBidi" w:cs="Arial"/>
          <w:sz w:val="24"/>
          <w:szCs w:val="24"/>
          <w:rtl/>
          <w:lang w:bidi="ar-DZ"/>
        </w:rPr>
        <w:t xml:space="preserve"> </w:t>
      </w:r>
      <w:r w:rsidRPr="0062340E">
        <w:rPr>
          <w:rFonts w:ascii="Simplified Arabic" w:hAnsi="Simplified Arabic" w:cs="Simplified Arabic" w:hint="cs"/>
          <w:color w:val="000000" w:themeColor="text1"/>
          <w:sz w:val="24"/>
          <w:szCs w:val="24"/>
          <w:rtl/>
          <w:lang w:val="en-US"/>
        </w:rPr>
        <w:t>تسلط</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هذه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القدرات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الضوء</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البعد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الزمني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الحضرية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المحددة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القصير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أي أثناء</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الحدث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الطويل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أي قبل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الحدث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وبعده</w:t>
      </w:r>
      <w:r w:rsidRPr="0062340E">
        <w:rPr>
          <w:rFonts w:ascii="Simplified Arabic" w:hAnsi="Simplified Arabic" w:cs="Simplified Arabic"/>
          <w:color w:val="000000" w:themeColor="text1"/>
          <w:sz w:val="24"/>
          <w:szCs w:val="24"/>
          <w:rtl/>
          <w:lang w:val="en-US"/>
        </w:rPr>
        <w:t>)</w:t>
      </w:r>
      <w:r w:rsidRPr="0062340E">
        <w:rPr>
          <w:rFonts w:ascii="Simplified Arabic" w:hAnsi="Simplified Arabic" w:cs="Simplified Arabic" w:hint="cs"/>
          <w:color w:val="000000" w:themeColor="text1"/>
          <w:sz w:val="24"/>
          <w:szCs w:val="24"/>
          <w:rtl/>
          <w:lang w:val="en-US"/>
        </w:rPr>
        <w:t>، كما هو موضح في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الشكل (</w:t>
      </w:r>
      <w:r w:rsidR="0085017B" w:rsidRPr="0062340E">
        <w:rPr>
          <w:rFonts w:ascii="Simplified Arabic" w:hAnsi="Simplified Arabic" w:cs="Simplified Arabic" w:hint="cs"/>
          <w:color w:val="000000" w:themeColor="text1"/>
          <w:sz w:val="24"/>
          <w:szCs w:val="24"/>
          <w:rtl/>
          <w:lang w:val="en-US"/>
        </w:rPr>
        <w:t>1-11</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w:t>
      </w:r>
    </w:p>
    <w:p w:rsidR="00A903CE" w:rsidRPr="0062340E" w:rsidRDefault="00A903CE" w:rsidP="0085445C">
      <w:pPr>
        <w:bidi/>
        <w:spacing w:after="0"/>
        <w:ind w:firstLine="282"/>
        <w:jc w:val="both"/>
        <w:rPr>
          <w:rFonts w:asciiTheme="minorBidi" w:hAnsiTheme="minorBidi" w:cs="Arial"/>
          <w:sz w:val="24"/>
          <w:szCs w:val="24"/>
          <w:rtl/>
          <w:lang w:bidi="ar-DZ"/>
        </w:rPr>
      </w:pPr>
      <w:r w:rsidRPr="0062340E">
        <w:rPr>
          <w:rFonts w:ascii="Simplified Arabic" w:hAnsi="Simplified Arabic" w:cs="Simplified Arabic" w:hint="cs"/>
          <w:color w:val="000000" w:themeColor="text1"/>
          <w:sz w:val="24"/>
          <w:szCs w:val="24"/>
          <w:rtl/>
          <w:lang w:val="en-US"/>
        </w:rPr>
        <w:t>توجد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دعامتان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لتحسين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الحضرية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القصير</w:t>
      </w:r>
      <w:r w:rsidR="00003DA9" w:rsidRPr="0062340E">
        <w:rPr>
          <w:rFonts w:ascii="Simplified Arabic" w:hAnsi="Simplified Arabic" w:cs="Simplified Arabic" w:hint="cs"/>
          <w:color w:val="000000" w:themeColor="text1"/>
          <w:sz w:val="24"/>
          <w:szCs w:val="24"/>
          <w:rtl/>
          <w:lang w:val="en-US" w:bidi="ar-DZ"/>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اولا، تنفيذ</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استراتيجية</w:t>
      </w:r>
      <w:r w:rsidRPr="0062340E">
        <w:rPr>
          <w:rFonts w:ascii="Simplified Arabic" w:hAnsi="Simplified Arabic" w:cs="Simplified Arabic"/>
          <w:color w:val="000000" w:themeColor="text1"/>
          <w:sz w:val="24"/>
          <w:szCs w:val="24"/>
          <w:rtl/>
          <w:lang w:val="en-US"/>
        </w:rPr>
        <w:t xml:space="preserve"> </w:t>
      </w:r>
      <w:r w:rsidR="0085445C" w:rsidRPr="0062340E">
        <w:rPr>
          <w:rFonts w:ascii="Simplified Arabic" w:hAnsi="Simplified Arabic" w:cs="Simplified Arabic" w:hint="cs"/>
          <w:color w:val="000000" w:themeColor="text1"/>
          <w:sz w:val="24"/>
          <w:szCs w:val="24"/>
          <w:rtl/>
          <w:lang w:val="en-US"/>
        </w:rPr>
        <w:t>تقنية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تهدف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درجة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تعطل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خلال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مقاومة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وقدرة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استيعاب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أفضل</w:t>
      </w:r>
      <w:r w:rsidRPr="0062340E">
        <w:rPr>
          <w:rFonts w:asciiTheme="minorBidi" w:hAnsiTheme="minorBidi" w:cs="Arial"/>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Serre et al., 2012</w:t>
      </w:r>
      <w:r w:rsidRPr="0062340E">
        <w:rPr>
          <w:rFonts w:asciiTheme="majorBidi" w:hAnsiTheme="majorBidi" w:cstheme="majorBidi"/>
          <w:sz w:val="24"/>
          <w:szCs w:val="24"/>
          <w:rtl/>
          <w:lang w:bidi="ar-DZ"/>
        </w:rPr>
        <w:t>)</w:t>
      </w:r>
      <w:r w:rsidRPr="0062340E">
        <w:rPr>
          <w:rFonts w:ascii="Simplified Arabic" w:hAnsi="Simplified Arabic" w:cs="Simplified Arabic" w:hint="cs"/>
          <w:color w:val="000000" w:themeColor="text1"/>
          <w:sz w:val="24"/>
          <w:szCs w:val="24"/>
          <w:rtl/>
          <w:lang w:val="en-US"/>
        </w:rPr>
        <w:t>. ثانيا،</w:t>
      </w:r>
      <w:r w:rsidRPr="0062340E">
        <w:rPr>
          <w:rFonts w:asciiTheme="minorBidi" w:hAnsiTheme="minorBidi" w:cs="Arial"/>
          <w:sz w:val="24"/>
          <w:szCs w:val="24"/>
          <w:rtl/>
          <w:lang w:bidi="ar-DZ"/>
        </w:rPr>
        <w:t xml:space="preserve"> </w:t>
      </w:r>
      <w:r w:rsidRPr="0062340E">
        <w:rPr>
          <w:rFonts w:ascii="Simplified Arabic" w:hAnsi="Simplified Arabic" w:cs="Simplified Arabic" w:hint="cs"/>
          <w:color w:val="000000" w:themeColor="text1"/>
          <w:sz w:val="24"/>
          <w:szCs w:val="24"/>
          <w:rtl/>
          <w:lang w:val="en-US"/>
        </w:rPr>
        <w:t>تنفيذ</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استراتيجية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تنظيمية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تهدف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تسريع</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العودة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الوضع</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الطبيعي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خلال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التسيير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الامثل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للوسائل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والموارد،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وسهولة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الوصول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إليها</w:t>
      </w:r>
      <w:r w:rsidRPr="0062340E">
        <w:rPr>
          <w:rFonts w:cs="Arial" w:hint="cs"/>
          <w:sz w:val="24"/>
          <w:szCs w:val="24"/>
          <w:rtl/>
          <w:lang w:bidi="ar-DZ"/>
        </w:rPr>
        <w:t xml:space="preserve"> </w:t>
      </w:r>
      <w:r w:rsidRPr="0062340E">
        <w:rPr>
          <w:rFonts w:asciiTheme="majorBidi" w:hAnsiTheme="majorBidi" w:cstheme="majorBidi"/>
          <w:sz w:val="24"/>
          <w:szCs w:val="24"/>
        </w:rPr>
        <w:t>(Toubin et al., 2012)</w:t>
      </w:r>
      <w:r w:rsidRPr="0062340E">
        <w:rPr>
          <w:rFonts w:ascii="Simplified Arabic" w:hAnsi="Simplified Arabic" w:cs="Simplified Arabic"/>
          <w:sz w:val="24"/>
          <w:szCs w:val="24"/>
          <w:rtl/>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بينما تتكون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القدرة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الطويل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تنفيذ</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عملية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التحسين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المستمر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تهدف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زيادة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القصير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خلال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الاستفادة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قدرات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التعلم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والتكي</w:t>
      </w:r>
      <w:r w:rsidR="003E1ECC"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hint="cs"/>
          <w:color w:val="000000" w:themeColor="text1"/>
          <w:sz w:val="24"/>
          <w:szCs w:val="24"/>
          <w:rtl/>
          <w:lang w:val="en-US"/>
        </w:rPr>
        <w:t xml:space="preserve">ف </w:t>
      </w:r>
      <w:r w:rsidRPr="0062340E">
        <w:rPr>
          <w:rFonts w:asciiTheme="majorBidi" w:hAnsiTheme="majorBidi" w:cstheme="majorBidi"/>
          <w:sz w:val="24"/>
          <w:szCs w:val="24"/>
        </w:rPr>
        <w:t>(Toubin</w:t>
      </w:r>
      <w:r w:rsidRPr="0062340E">
        <w:rPr>
          <w:rFonts w:asciiTheme="majorBidi" w:hAnsiTheme="majorBidi" w:cstheme="majorBidi"/>
          <w:i/>
          <w:iCs/>
          <w:sz w:val="24"/>
          <w:szCs w:val="24"/>
        </w:rPr>
        <w:t xml:space="preserve"> et al.</w:t>
      </w:r>
      <w:r w:rsidRPr="0062340E">
        <w:rPr>
          <w:rFonts w:asciiTheme="majorBidi" w:hAnsiTheme="majorBidi" w:cstheme="majorBidi"/>
          <w:sz w:val="24"/>
          <w:szCs w:val="24"/>
        </w:rPr>
        <w:t>, 2012)</w:t>
      </w:r>
      <w:r w:rsidRPr="0062340E">
        <w:rPr>
          <w:rFonts w:ascii="Simplified Arabic" w:hAnsi="Simplified Arabic" w:cs="Simplified Arabic"/>
          <w:color w:val="000000" w:themeColor="text1"/>
          <w:sz w:val="24"/>
          <w:szCs w:val="24"/>
          <w:rtl/>
          <w:lang w:val="en-US"/>
        </w:rPr>
        <w:t>.</w:t>
      </w:r>
      <w:r w:rsidRPr="0062340E">
        <w:rPr>
          <w:rFonts w:asciiTheme="minorBidi" w:hAnsiTheme="minorBidi" w:cs="Arial"/>
          <w:sz w:val="24"/>
          <w:szCs w:val="24"/>
          <w:rtl/>
          <w:lang w:bidi="ar-DZ"/>
        </w:rPr>
        <w:t xml:space="preserve"> </w:t>
      </w:r>
      <w:r w:rsidRPr="0062340E">
        <w:rPr>
          <w:rFonts w:ascii="Simplified Arabic" w:hAnsi="Simplified Arabic" w:cs="Simplified Arabic" w:hint="cs"/>
          <w:color w:val="000000" w:themeColor="text1"/>
          <w:sz w:val="24"/>
          <w:szCs w:val="24"/>
          <w:rtl/>
          <w:lang w:val="en-US"/>
        </w:rPr>
        <w:t>كجزء</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تفعيلها،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تتعلق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قصيرة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بمكونات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المدينة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للرد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حدث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يتم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وضع</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طويلة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مستوى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المدينة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أجل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إعدادها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بشكل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أفضل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للحفاظ</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وظائفها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مواجهة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حدث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ما</w:t>
      </w:r>
      <w:r w:rsidRPr="0062340E">
        <w:rPr>
          <w:rFonts w:ascii="Simplified Arabic" w:hAnsi="Simplified Arabic" w:cs="Simplified Arabic"/>
          <w:color w:val="000000" w:themeColor="text1"/>
          <w:sz w:val="24"/>
          <w:szCs w:val="24"/>
          <w:rtl/>
          <w:lang w:val="en-US"/>
        </w:rPr>
        <w:t xml:space="preserve">. </w:t>
      </w:r>
    </w:p>
    <w:p w:rsidR="00A903CE" w:rsidRPr="0062340E" w:rsidRDefault="00A903CE" w:rsidP="00A60F5B">
      <w:pPr>
        <w:pStyle w:val="fegure"/>
        <w:spacing w:before="240"/>
        <w:rPr>
          <w:szCs w:val="24"/>
          <w:rtl/>
          <w:lang w:val="en-US"/>
        </w:rPr>
      </w:pPr>
      <w:bookmarkStart w:id="191" w:name="_Toc157561443"/>
      <w:bookmarkStart w:id="192" w:name="_Toc157562776"/>
      <w:bookmarkStart w:id="193" w:name="_Toc157608272"/>
      <w:bookmarkStart w:id="194" w:name="_Toc171803382"/>
      <w:r w:rsidRPr="0062340E">
        <w:rPr>
          <w:rFonts w:hint="cs"/>
          <w:szCs w:val="24"/>
          <w:rtl/>
          <w:lang w:val="en-US"/>
        </w:rPr>
        <w:t>الشكل (</w:t>
      </w:r>
      <w:r w:rsidR="007D4ED5" w:rsidRPr="0062340E">
        <w:rPr>
          <w:rFonts w:hint="cs"/>
          <w:szCs w:val="24"/>
          <w:rtl/>
          <w:lang w:val="en-US"/>
        </w:rPr>
        <w:t>1-11</w:t>
      </w:r>
      <w:r w:rsidRPr="0062340E">
        <w:rPr>
          <w:rFonts w:hint="cs"/>
          <w:szCs w:val="24"/>
          <w:rtl/>
          <w:lang w:val="en-US"/>
        </w:rPr>
        <w:t>): قدرات المرونة الحضرية المختلفة عبر الزمن</w:t>
      </w:r>
      <w:bookmarkEnd w:id="191"/>
      <w:bookmarkEnd w:id="192"/>
      <w:bookmarkEnd w:id="193"/>
      <w:bookmarkEnd w:id="194"/>
    </w:p>
    <w:p w:rsidR="00A903CE" w:rsidRPr="0062340E" w:rsidRDefault="00A903CE" w:rsidP="00123962">
      <w:pPr>
        <w:bidi/>
        <w:spacing w:after="0" w:line="240" w:lineRule="auto"/>
        <w:jc w:val="center"/>
        <w:rPr>
          <w:rFonts w:asciiTheme="majorBidi" w:hAnsiTheme="majorBidi" w:cstheme="majorBidi"/>
          <w:b/>
          <w:bCs/>
          <w:sz w:val="24"/>
          <w:szCs w:val="24"/>
          <w:rtl/>
        </w:rPr>
      </w:pPr>
      <w:r w:rsidRPr="0062340E">
        <w:rPr>
          <w:rFonts w:ascii="Simplified Arabic" w:hAnsi="Simplified Arabic" w:cs="Simplified Arabic" w:hint="cs"/>
          <w:b/>
          <w:bCs/>
          <w:color w:val="000000" w:themeColor="text1"/>
          <w:sz w:val="24"/>
          <w:szCs w:val="24"/>
          <w:rtl/>
          <w:lang w:val="en-US"/>
        </w:rPr>
        <w:t>المصدر:</w:t>
      </w:r>
      <w:r w:rsidRPr="0062340E">
        <w:rPr>
          <w:rFonts w:cs="Arial" w:hint="cs"/>
          <w:b/>
          <w:bCs/>
          <w:sz w:val="24"/>
          <w:szCs w:val="24"/>
          <w:rtl/>
          <w:lang w:bidi="ar-DZ"/>
        </w:rPr>
        <w:t xml:space="preserve"> </w:t>
      </w:r>
      <w:r w:rsidRPr="0062340E">
        <w:rPr>
          <w:rFonts w:asciiTheme="majorBidi" w:hAnsiTheme="majorBidi" w:cstheme="majorBidi"/>
          <w:b/>
          <w:bCs/>
          <w:sz w:val="24"/>
          <w:szCs w:val="24"/>
        </w:rPr>
        <w:t>(UNISDR, 2012 ;</w:t>
      </w:r>
      <w:r w:rsidRPr="0062340E">
        <w:rPr>
          <w:rFonts w:asciiTheme="majorBidi" w:hAnsiTheme="majorBidi" w:cstheme="majorBidi"/>
          <w:b/>
          <w:bCs/>
          <w:i/>
          <w:iCs/>
          <w:sz w:val="24"/>
          <w:szCs w:val="24"/>
        </w:rPr>
        <w:t xml:space="preserve"> </w:t>
      </w:r>
      <w:r w:rsidRPr="0062340E">
        <w:rPr>
          <w:rFonts w:asciiTheme="majorBidi" w:hAnsiTheme="majorBidi" w:cstheme="majorBidi"/>
          <w:b/>
          <w:bCs/>
          <w:sz w:val="24"/>
          <w:szCs w:val="24"/>
        </w:rPr>
        <w:t>Toubin et al., 2012)</w:t>
      </w:r>
    </w:p>
    <w:p w:rsidR="00A903CE" w:rsidRPr="0062340E" w:rsidRDefault="00A903CE" w:rsidP="00A903CE">
      <w:pPr>
        <w:bidi/>
        <w:spacing w:after="0" w:line="360" w:lineRule="auto"/>
        <w:jc w:val="center"/>
        <w:rPr>
          <w:rFonts w:asciiTheme="minorBidi" w:hAnsiTheme="minorBidi"/>
          <w:sz w:val="24"/>
          <w:szCs w:val="24"/>
          <w:rtl/>
          <w:lang w:bidi="ar-DZ"/>
        </w:rPr>
      </w:pPr>
      <w:r w:rsidRPr="0062340E">
        <w:rPr>
          <w:noProof/>
          <w:sz w:val="24"/>
          <w:szCs w:val="24"/>
          <w:lang w:eastAsia="fr-FR"/>
        </w:rPr>
        <w:drawing>
          <wp:inline distT="0" distB="0" distL="0" distR="0" wp14:anchorId="0D344899" wp14:editId="29D1C8C2">
            <wp:extent cx="4631767" cy="2304855"/>
            <wp:effectExtent l="19050" t="19050" r="16510" b="19685"/>
            <wp:docPr id="65"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extLst>
                        <a:ext uri="{28A0092B-C50C-407E-A947-70E740481C1C}">
                          <a14:useLocalDpi xmlns:a14="http://schemas.microsoft.com/office/drawing/2010/main" val="0"/>
                        </a:ext>
                      </a:extLst>
                    </a:blip>
                    <a:stretch>
                      <a:fillRect/>
                    </a:stretch>
                  </pic:blipFill>
                  <pic:spPr>
                    <a:xfrm>
                      <a:off x="0" y="0"/>
                      <a:ext cx="4631590" cy="2304767"/>
                    </a:xfrm>
                    <a:prstGeom prst="rect">
                      <a:avLst/>
                    </a:prstGeom>
                    <a:ln w="12700">
                      <a:solidFill>
                        <a:schemeClr val="tx1"/>
                      </a:solidFill>
                      <a:prstDash val="solid"/>
                    </a:ln>
                  </pic:spPr>
                </pic:pic>
              </a:graphicData>
            </a:graphic>
          </wp:inline>
        </w:drawing>
      </w:r>
    </w:p>
    <w:p w:rsidR="00A903CE" w:rsidRPr="0062340E" w:rsidRDefault="00A903CE" w:rsidP="00A60F5B">
      <w:pPr>
        <w:bidi/>
        <w:spacing w:after="0"/>
        <w:ind w:firstLine="282"/>
        <w:jc w:val="both"/>
        <w:rPr>
          <w:rFonts w:ascii="Simplified Arabic" w:hAnsi="Simplified Arabic" w:cs="Simplified Arabic"/>
          <w:color w:val="000000" w:themeColor="text1"/>
          <w:sz w:val="24"/>
          <w:szCs w:val="24"/>
          <w:rtl/>
          <w:lang w:val="en-US"/>
        </w:rPr>
      </w:pP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نطاق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الفرعي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الحضري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الخدمة،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النشاط،</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السكان،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...إلخ</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فإن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قصيرة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تتوافق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مع</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قدرة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استجابة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عناصر النظام الفرعي الحضري للاضطراب اثناء الصدمة، هذا ما يتوافق مع البحث الحالي الذي يسعى الى إبراز كفاءة التوزيع المكاني ل</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color w:val="000000" w:themeColor="text1"/>
          <w:sz w:val="24"/>
          <w:szCs w:val="24"/>
          <w:rtl/>
          <w:lang w:val="en-US"/>
        </w:rPr>
        <w:t xml:space="preserve"> الارض، ولإظهار قدرة استجابة عناصر البيئة </w:t>
      </w:r>
      <w:r w:rsidR="006439B6" w:rsidRPr="0062340E">
        <w:rPr>
          <w:rFonts w:ascii="Simplified Arabic" w:hAnsi="Simplified Arabic" w:cs="Simplified Arabic" w:hint="cs"/>
          <w:color w:val="000000" w:themeColor="text1"/>
          <w:sz w:val="24"/>
          <w:szCs w:val="24"/>
          <w:rtl/>
          <w:lang w:val="en-US"/>
        </w:rPr>
        <w:t>الحضرية</w:t>
      </w:r>
      <w:r w:rsidRPr="0062340E">
        <w:rPr>
          <w:rFonts w:ascii="Simplified Arabic" w:hAnsi="Simplified Arabic" w:cs="Simplified Arabic" w:hint="cs"/>
          <w:color w:val="000000" w:themeColor="text1"/>
          <w:sz w:val="24"/>
          <w:szCs w:val="24"/>
          <w:rtl/>
          <w:lang w:val="en-US"/>
        </w:rPr>
        <w:t xml:space="preserve"> اثناء وبعد الصدمة.</w:t>
      </w:r>
    </w:p>
    <w:p w:rsidR="00A903CE" w:rsidRPr="0062340E" w:rsidRDefault="00A903CE" w:rsidP="003E1ECC">
      <w:pPr>
        <w:pStyle w:val="Paragraphedeliste"/>
        <w:numPr>
          <w:ilvl w:val="2"/>
          <w:numId w:val="108"/>
        </w:numPr>
        <w:tabs>
          <w:tab w:val="right" w:pos="850"/>
        </w:tabs>
        <w:bidi/>
        <w:spacing w:before="240" w:after="0"/>
        <w:ind w:left="0" w:firstLine="0"/>
        <w:jc w:val="both"/>
        <w:outlineLvl w:val="1"/>
        <w:rPr>
          <w:rFonts w:ascii="Simplified Arabic" w:hAnsi="Simplified Arabic" w:cs="Simplified Arabic"/>
          <w:b/>
          <w:bCs/>
          <w:color w:val="000000" w:themeColor="text1"/>
          <w:sz w:val="24"/>
          <w:szCs w:val="24"/>
          <w:lang w:val="en-US"/>
        </w:rPr>
      </w:pPr>
      <w:bookmarkStart w:id="195" w:name="_Toc171803383"/>
      <w:r w:rsidRPr="0062340E">
        <w:rPr>
          <w:rFonts w:ascii="Simplified Arabic" w:hAnsi="Simplified Arabic" w:cs="Simplified Arabic" w:hint="cs"/>
          <w:b/>
          <w:bCs/>
          <w:color w:val="000000" w:themeColor="text1"/>
          <w:sz w:val="24"/>
          <w:szCs w:val="24"/>
          <w:rtl/>
          <w:lang w:val="en-US"/>
        </w:rPr>
        <w:lastRenderedPageBreak/>
        <w:t>سمات</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المرونة المكانية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في</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السياق</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الحضري</w:t>
      </w:r>
      <w:bookmarkEnd w:id="195"/>
    </w:p>
    <w:p w:rsidR="00A60F5B" w:rsidRPr="0062340E" w:rsidRDefault="00A903CE" w:rsidP="00E022DD">
      <w:pPr>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 xml:space="preserve">وصفت </w:t>
      </w:r>
      <w:r w:rsidR="00E022DD" w:rsidRPr="0062340E">
        <w:rPr>
          <w:rFonts w:asciiTheme="majorBidi" w:hAnsiTheme="majorBidi" w:cstheme="majorBidi"/>
          <w:sz w:val="24"/>
          <w:szCs w:val="24"/>
        </w:rPr>
        <w:t>(</w:t>
      </w:r>
      <w:r w:rsidRPr="0062340E">
        <w:rPr>
          <w:rFonts w:asciiTheme="majorBidi" w:hAnsiTheme="majorBidi" w:cstheme="majorBidi"/>
          <w:sz w:val="24"/>
          <w:szCs w:val="24"/>
        </w:rPr>
        <w:t>Kristina Hill</w:t>
      </w:r>
      <w:r w:rsidR="00E022DD" w:rsidRPr="0062340E">
        <w:rPr>
          <w:rFonts w:asciiTheme="majorBidi" w:hAnsiTheme="majorBidi" w:cstheme="majorBidi"/>
          <w:sz w:val="24"/>
          <w:szCs w:val="24"/>
        </w:rPr>
        <w:t>,</w:t>
      </w:r>
      <w:r w:rsidRPr="0062340E">
        <w:rPr>
          <w:rFonts w:asciiTheme="majorBidi" w:hAnsiTheme="majorBidi" w:cstheme="majorBidi"/>
          <w:sz w:val="24"/>
          <w:szCs w:val="24"/>
        </w:rPr>
        <w:t xml:space="preserve"> 2005)</w:t>
      </w:r>
      <w:r w:rsidRPr="0062340E">
        <w:rPr>
          <w:rFonts w:ascii="Simplified Arabic" w:hAnsi="Simplified Arabic" w:cs="Simplified Arabic" w:hint="cs"/>
          <w:sz w:val="24"/>
          <w:szCs w:val="24"/>
          <w:rtl/>
        </w:rPr>
        <w:t xml:space="preserve"> أهمية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الاستعارة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كطريقة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لفهم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المصطلحات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عندما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تكون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جديدة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نسبيًا</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هذه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الاستعارة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قوية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لأنها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تساعد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فهم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كيفية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دمج</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استراتيجيات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التصميم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والتخطيط الحضريين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يزيد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قدرة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الاستجابة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والتعافي من الكوارث.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سياق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اجتماعي-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بيئي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وصف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أربع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للمرونة</w:t>
      </w:r>
      <w:r w:rsidRPr="0062340E">
        <w:rPr>
          <w:rFonts w:ascii="Simplified Arabic" w:hAnsi="Simplified Arabic" w:cs="Simplified Arabic"/>
          <w:sz w:val="24"/>
          <w:szCs w:val="24"/>
          <w:rtl/>
        </w:rPr>
        <w:t xml:space="preserve"> لأول</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مرة من</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قبل</w:t>
      </w:r>
      <w:r w:rsidRPr="0062340E">
        <w:rPr>
          <w:rFonts w:ascii="Simplified Arabic" w:hAnsi="Simplified Arabic" w:cs="Simplified Arabic" w:hint="cs"/>
          <w:sz w:val="24"/>
          <w:szCs w:val="24"/>
          <w:rtl/>
        </w:rPr>
        <w:t xml:space="preserve"> </w:t>
      </w:r>
      <w:r w:rsidRPr="0062340E">
        <w:rPr>
          <w:rFonts w:asciiTheme="majorBidi" w:hAnsiTheme="majorBidi" w:cstheme="majorBidi"/>
          <w:color w:val="000000" w:themeColor="text1"/>
          <w:sz w:val="24"/>
          <w:szCs w:val="24"/>
        </w:rPr>
        <w:t>(Holling, 1973)</w:t>
      </w:r>
      <w:r w:rsidRPr="0062340E">
        <w:rPr>
          <w:rFonts w:asciiTheme="majorBidi" w:hAnsiTheme="majorBidi" w:cstheme="majorBidi" w:hint="cs"/>
          <w:color w:val="000000" w:themeColor="text1"/>
          <w:sz w:val="24"/>
          <w:szCs w:val="24"/>
          <w:rtl/>
        </w:rPr>
        <w:t xml:space="preserve"> </w:t>
      </w:r>
      <w:r w:rsidRPr="0062340E">
        <w:rPr>
          <w:rFonts w:ascii="Simplified Arabic" w:hAnsi="Simplified Arabic" w:cs="Simplified Arabic"/>
          <w:sz w:val="24"/>
          <w:szCs w:val="24"/>
          <w:rtl/>
        </w:rPr>
        <w:t>كإشارة</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الى</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وضع</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التكيف</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مع</w:t>
      </w:r>
      <w:r w:rsidRPr="0062340E">
        <w:rPr>
          <w:rFonts w:ascii="Simplified Arabic" w:hAnsi="Simplified Arabic" w:cs="Simplified Arabic"/>
          <w:sz w:val="24"/>
          <w:szCs w:val="24"/>
        </w:rPr>
        <w:t xml:space="preserve"> </w:t>
      </w:r>
      <w:r w:rsidRPr="0062340E">
        <w:rPr>
          <w:rFonts w:ascii="Simplified Arabic" w:hAnsi="Simplified Arabic" w:cs="Simplified Arabic"/>
          <w:sz w:val="24"/>
          <w:szCs w:val="24"/>
          <w:rtl/>
        </w:rPr>
        <w:t>البيئة</w:t>
      </w:r>
      <w:r w:rsidRPr="0062340E">
        <w:rPr>
          <w:rFonts w:asciiTheme="majorBidi" w:hAnsiTheme="majorBidi" w:cstheme="majorBidi" w:hint="cs"/>
          <w:sz w:val="24"/>
          <w:szCs w:val="24"/>
          <w:rtl/>
        </w:rPr>
        <w:t>،</w:t>
      </w:r>
      <w:r w:rsidRPr="0062340E">
        <w:rPr>
          <w:rFonts w:asciiTheme="minorBidi" w:hAnsiTheme="minorBidi" w:cs="Arial"/>
          <w:sz w:val="24"/>
          <w:szCs w:val="24"/>
          <w:rtl/>
          <w:lang w:bidi="ar-DZ"/>
        </w:rPr>
        <w:t xml:space="preserve"> </w:t>
      </w:r>
      <w:r w:rsidRPr="0062340E">
        <w:rPr>
          <w:rFonts w:ascii="Simplified Arabic" w:hAnsi="Simplified Arabic" w:cs="Simplified Arabic" w:hint="cs"/>
          <w:sz w:val="24"/>
          <w:szCs w:val="24"/>
          <w:rtl/>
        </w:rPr>
        <w:t>تم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توسيعها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بواسطة </w:t>
      </w:r>
      <w:r w:rsidRPr="0062340E">
        <w:rPr>
          <w:rFonts w:asciiTheme="majorBidi" w:hAnsiTheme="majorBidi" w:cstheme="majorBidi"/>
          <w:sz w:val="24"/>
          <w:szCs w:val="24"/>
        </w:rPr>
        <w:t>(Walker et al., 2006)</w:t>
      </w:r>
      <w:r w:rsidRPr="0062340E">
        <w:rPr>
          <w:rFonts w:ascii="Simplified Arabic" w:hAnsi="Simplified Arabic" w:cs="Simplified Arabic" w:hint="cs"/>
          <w:sz w:val="24"/>
          <w:szCs w:val="24"/>
          <w:rtl/>
        </w:rPr>
        <w:t>.</w:t>
      </w:r>
      <w:r w:rsidRPr="0062340E">
        <w:rPr>
          <w:rFonts w:ascii="Simplified Arabic" w:eastAsia="Times New Roman" w:hAnsi="Simplified Arabic" w:cs="Simplified Arabic"/>
          <w:color w:val="000000"/>
          <w:sz w:val="24"/>
          <w:szCs w:val="24"/>
          <w:rtl/>
          <w:lang w:eastAsia="fr-FR" w:bidi="ar"/>
        </w:rPr>
        <w:t xml:space="preserve"> </w:t>
      </w:r>
      <w:r w:rsidRPr="0062340E">
        <w:rPr>
          <w:rFonts w:ascii="Simplified Arabic" w:hAnsi="Simplified Arabic" w:cs="Simplified Arabic" w:hint="cs"/>
          <w:sz w:val="24"/>
          <w:szCs w:val="24"/>
          <w:rtl/>
        </w:rPr>
        <w:t>هذه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هي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خطوط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عدم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الاستقرار، المقاومة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الشامل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الرغم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هذه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معروفة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بشكل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أفضل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ابحاث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لجميع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الأنظمة </w:t>
      </w:r>
      <w:r w:rsidRPr="0062340E">
        <w:rPr>
          <w:rFonts w:asciiTheme="majorBidi" w:hAnsiTheme="majorBidi" w:cstheme="majorBidi"/>
          <w:sz w:val="24"/>
          <w:szCs w:val="24"/>
        </w:rPr>
        <w:t>(</w:t>
      </w:r>
      <w:r w:rsidRPr="0062340E">
        <w:rPr>
          <w:rFonts w:asciiTheme="majorBidi" w:hAnsiTheme="majorBidi" w:cstheme="majorBidi"/>
          <w:sz w:val="24"/>
          <w:szCs w:val="24"/>
          <w:lang w:val="en-US"/>
        </w:rPr>
        <w:t>Feliciotti</w:t>
      </w:r>
      <w:r w:rsidRPr="0062340E">
        <w:rPr>
          <w:rFonts w:asciiTheme="majorBidi" w:hAnsiTheme="majorBidi" w:cstheme="majorBidi"/>
          <w:sz w:val="24"/>
          <w:szCs w:val="24"/>
        </w:rPr>
        <w:t>, 2018)</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فقد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قدم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باحثو</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الدراسات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مؤخرًا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مجموعة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أخرى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Theme="minorBidi" w:hAnsiTheme="minorBidi" w:cs="Arial"/>
          <w:sz w:val="24"/>
          <w:szCs w:val="24"/>
          <w:rtl/>
          <w:lang w:bidi="ar-DZ"/>
        </w:rPr>
        <w:t xml:space="preserve"> </w:t>
      </w:r>
      <w:r w:rsidRPr="0062340E">
        <w:rPr>
          <w:rFonts w:asciiTheme="majorBidi" w:hAnsiTheme="majorBidi" w:cstheme="majorBidi"/>
          <w:sz w:val="24"/>
          <w:szCs w:val="24"/>
        </w:rPr>
        <w:t>(Foster, 1993; Godschalk, 2003; Rose, 2011; Winderl, 2015)</w:t>
      </w:r>
      <w:r w:rsidRPr="0062340E">
        <w:rPr>
          <w:rFonts w:asciiTheme="minorBidi" w:hAnsiTheme="minorBidi" w:cs="Arial"/>
          <w:sz w:val="24"/>
          <w:szCs w:val="24"/>
          <w:rtl/>
          <w:lang w:bidi="ar-DZ"/>
        </w:rPr>
        <w:t xml:space="preserve"> </w:t>
      </w:r>
      <w:r w:rsidRPr="0062340E">
        <w:rPr>
          <w:rFonts w:ascii="Simplified Arabic" w:hAnsi="Simplified Arabic" w:cs="Simplified Arabic" w:hint="cs"/>
          <w:sz w:val="24"/>
          <w:szCs w:val="24"/>
          <w:rtl/>
        </w:rPr>
        <w:t>الذين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درسوا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استجابات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أنظمة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للكوارث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يساعد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استخدام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مجموعة من السمات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بعمق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العلاقة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بين</w:t>
      </w:r>
      <w:r w:rsidRPr="0062340E">
        <w:rPr>
          <w:rFonts w:ascii="Simplified Arabic" w:hAnsi="Simplified Arabic" w:cs="Simplified Arabic"/>
          <w:sz w:val="24"/>
          <w:szCs w:val="24"/>
          <w:rtl/>
        </w:rPr>
        <w:t xml:space="preserve"> </w:t>
      </w:r>
      <w:r w:rsidR="0027496A" w:rsidRPr="0062340E">
        <w:rPr>
          <w:rFonts w:ascii="Simplified Arabic" w:hAnsi="Simplified Arabic" w:cs="Simplified Arabic" w:hint="cs"/>
          <w:sz w:val="24"/>
          <w:szCs w:val="24"/>
          <w:rtl/>
        </w:rPr>
        <w:t>استعمال</w:t>
      </w:r>
      <w:r w:rsidR="0027496A"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الارض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والمرونة. </w:t>
      </w:r>
    </w:p>
    <w:p w:rsidR="00A903CE" w:rsidRPr="0062340E" w:rsidRDefault="00A903CE" w:rsidP="00E43558">
      <w:pPr>
        <w:bidi/>
        <w:spacing w:after="0"/>
        <w:ind w:firstLine="282"/>
        <w:jc w:val="both"/>
        <w:rPr>
          <w:rFonts w:ascii="Simplified Arabic" w:hAnsi="Simplified Arabic" w:cs="Simplified Arabic"/>
          <w:sz w:val="24"/>
          <w:szCs w:val="24"/>
        </w:rPr>
      </w:pPr>
      <w:r w:rsidRPr="0062340E">
        <w:rPr>
          <w:rFonts w:ascii="Simplified Arabic" w:hAnsi="Simplified Arabic" w:cs="Simplified Arabic" w:hint="cs"/>
          <w:sz w:val="24"/>
          <w:szCs w:val="24"/>
          <w:rtl/>
        </w:rPr>
        <w:t>تم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ذكر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ثلاث سمات(مبادئ)</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فقط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 المنشورات (التنوع،</w:t>
      </w:r>
      <w:r w:rsidRPr="0062340E">
        <w:rPr>
          <w:rFonts w:ascii="Simplified Arabic" w:hAnsi="Simplified Arabic" w:cs="Simplified Arabic"/>
          <w:sz w:val="24"/>
          <w:szCs w:val="24"/>
          <w:rtl/>
        </w:rPr>
        <w:t xml:space="preserve">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00710CDE" w:rsidRPr="0062340E">
        <w:rPr>
          <w:rFonts w:ascii="Simplified Arabic" w:hAnsi="Simplified Arabic" w:cs="Simplified Arabic" w:hint="cs"/>
          <w:sz w:val="24"/>
          <w:szCs w:val="24"/>
          <w:rtl/>
        </w:rPr>
        <w:t xml:space="preserve"> و</w:t>
      </w:r>
      <w:r w:rsidRPr="0062340E">
        <w:rPr>
          <w:rFonts w:ascii="Simplified Arabic" w:hAnsi="Simplified Arabic" w:cs="Simplified Arabic" w:hint="cs"/>
          <w:sz w:val="24"/>
          <w:szCs w:val="24"/>
          <w:rtl/>
        </w:rPr>
        <w:t>التكرار) التي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تظهر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 الشكل (</w:t>
      </w:r>
      <w:r w:rsidR="0085017B" w:rsidRPr="0062340E">
        <w:rPr>
          <w:rFonts w:ascii="Simplified Arabic" w:hAnsi="Simplified Arabic" w:cs="Simplified Arabic" w:hint="cs"/>
          <w:sz w:val="24"/>
          <w:szCs w:val="24"/>
          <w:rtl/>
        </w:rPr>
        <w:t>1-12</w:t>
      </w:r>
      <w:r w:rsidRPr="0062340E">
        <w:rPr>
          <w:rFonts w:ascii="Simplified Arabic" w:hAnsi="Simplified Arabic" w:cs="Simplified Arabic" w:hint="cs"/>
          <w:sz w:val="24"/>
          <w:szCs w:val="24"/>
          <w:rtl/>
        </w:rPr>
        <w:t>) 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التوالي</w:t>
      </w:r>
      <w:r w:rsidRPr="0062340E">
        <w:rPr>
          <w:rFonts w:ascii="Simplified Arabic" w:hAnsi="Simplified Arabic" w:cs="Simplified Arabic"/>
          <w:sz w:val="24"/>
          <w:szCs w:val="24"/>
          <w:rtl/>
        </w:rPr>
        <w:t xml:space="preserve"> 64٪</w:t>
      </w:r>
      <w:r w:rsidRPr="0062340E">
        <w:rPr>
          <w:rFonts w:ascii="Simplified Arabic" w:hAnsi="Simplified Arabic" w:cs="Simplified Arabic" w:hint="cs"/>
          <w:sz w:val="24"/>
          <w:szCs w:val="24"/>
          <w:rtl/>
        </w:rPr>
        <w:t xml:space="preserve">، </w:t>
      </w:r>
      <w:r w:rsidRPr="0062340E">
        <w:rPr>
          <w:rFonts w:ascii="Simplified Arabic" w:hAnsi="Simplified Arabic" w:cs="Simplified Arabic"/>
          <w:sz w:val="24"/>
          <w:szCs w:val="24"/>
          <w:rtl/>
        </w:rPr>
        <w:t xml:space="preserve">62٪ </w:t>
      </w:r>
      <w:r w:rsidRPr="0062340E">
        <w:rPr>
          <w:rFonts w:ascii="Simplified Arabic" w:hAnsi="Simplified Arabic" w:cs="Simplified Arabic" w:hint="cs"/>
          <w:sz w:val="24"/>
          <w:szCs w:val="24"/>
          <w:rtl/>
        </w:rPr>
        <w:t>26</w:t>
      </w:r>
      <w:r w:rsidRPr="0062340E">
        <w:rPr>
          <w:rFonts w:ascii="Simplified Arabic" w:hAnsi="Simplified Arabic" w:cs="Simplified Arabic"/>
          <w:sz w:val="24"/>
          <w:szCs w:val="24"/>
        </w:rPr>
        <w:t>%</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مع ذلك، تم في هذا البحث ادراج سمة رابعة وهي الكثافة (</w:t>
      </w:r>
      <w:r w:rsidRPr="0062340E">
        <w:rPr>
          <w:rFonts w:asciiTheme="majorBidi" w:hAnsiTheme="majorBidi" w:cstheme="majorBidi"/>
          <w:sz w:val="24"/>
          <w:szCs w:val="24"/>
          <w:lang w:val="en-US"/>
        </w:rPr>
        <w:t>Density</w:t>
      </w:r>
      <w:r w:rsidRPr="0062340E">
        <w:rPr>
          <w:rFonts w:asciiTheme="majorBidi" w:hAnsiTheme="majorBidi" w:cstheme="majorBidi" w:hint="cs"/>
          <w:sz w:val="24"/>
          <w:szCs w:val="24"/>
          <w:rtl/>
          <w:lang w:bidi="ar-DZ"/>
        </w:rPr>
        <w:t>)</w:t>
      </w:r>
      <w:r w:rsidRPr="0062340E">
        <w:rPr>
          <w:rFonts w:ascii="Simplified Arabic" w:hAnsi="Simplified Arabic" w:cs="Simplified Arabic" w:hint="cs"/>
          <w:sz w:val="24"/>
          <w:szCs w:val="24"/>
          <w:rtl/>
        </w:rPr>
        <w:t>.</w:t>
      </w:r>
    </w:p>
    <w:p w:rsidR="00A903CE" w:rsidRPr="0062340E" w:rsidRDefault="00A903CE" w:rsidP="00A60F5B">
      <w:pPr>
        <w:pStyle w:val="fegure"/>
        <w:spacing w:before="240"/>
        <w:rPr>
          <w:szCs w:val="24"/>
          <w:rtl/>
        </w:rPr>
      </w:pPr>
      <w:bookmarkStart w:id="196" w:name="_Toc157561444"/>
      <w:bookmarkStart w:id="197" w:name="_Toc157562777"/>
      <w:bookmarkStart w:id="198" w:name="_Toc157608273"/>
      <w:bookmarkStart w:id="199" w:name="_Toc171803384"/>
      <w:r w:rsidRPr="0062340E">
        <w:rPr>
          <w:rFonts w:hint="cs"/>
          <w:szCs w:val="24"/>
          <w:rtl/>
        </w:rPr>
        <w:t>الشكل</w:t>
      </w:r>
      <w:r w:rsidRPr="0062340E">
        <w:rPr>
          <w:szCs w:val="24"/>
          <w:rtl/>
        </w:rPr>
        <w:t xml:space="preserve"> </w:t>
      </w:r>
      <w:r w:rsidRPr="0062340E">
        <w:rPr>
          <w:rFonts w:hint="cs"/>
          <w:szCs w:val="24"/>
          <w:rtl/>
        </w:rPr>
        <w:t>(</w:t>
      </w:r>
      <w:r w:rsidR="007D4ED5" w:rsidRPr="0062340E">
        <w:rPr>
          <w:rFonts w:hint="cs"/>
          <w:szCs w:val="24"/>
          <w:rtl/>
        </w:rPr>
        <w:t>1-12</w:t>
      </w:r>
      <w:r w:rsidRPr="0062340E">
        <w:rPr>
          <w:rFonts w:hint="cs"/>
          <w:szCs w:val="24"/>
          <w:rtl/>
        </w:rPr>
        <w:t>)</w:t>
      </w:r>
      <w:r w:rsidRPr="0062340E">
        <w:rPr>
          <w:szCs w:val="24"/>
          <w:rtl/>
        </w:rPr>
        <w:t xml:space="preserve">. </w:t>
      </w:r>
      <w:r w:rsidR="00357DB2" w:rsidRPr="0062340E">
        <w:rPr>
          <w:rFonts w:hint="cs"/>
          <w:szCs w:val="24"/>
          <w:rtl/>
        </w:rPr>
        <w:t>نسب</w:t>
      </w:r>
      <w:r w:rsidR="00357DB2" w:rsidRPr="0062340E">
        <w:rPr>
          <w:szCs w:val="24"/>
          <w:rtl/>
        </w:rPr>
        <w:t xml:space="preserve"> </w:t>
      </w:r>
      <w:r w:rsidR="00357DB2" w:rsidRPr="0062340E">
        <w:rPr>
          <w:rFonts w:hint="cs"/>
          <w:szCs w:val="24"/>
          <w:rtl/>
        </w:rPr>
        <w:t>مئوية</w:t>
      </w:r>
      <w:r w:rsidR="00357DB2" w:rsidRPr="0062340E">
        <w:rPr>
          <w:szCs w:val="24"/>
          <w:rtl/>
        </w:rPr>
        <w:t xml:space="preserve"> </w:t>
      </w:r>
      <w:r w:rsidR="00357DB2" w:rsidRPr="0062340E">
        <w:rPr>
          <w:rFonts w:hint="cs"/>
          <w:szCs w:val="24"/>
          <w:rtl/>
        </w:rPr>
        <w:t>ل</w:t>
      </w:r>
      <w:r w:rsidRPr="0062340E">
        <w:rPr>
          <w:rFonts w:hint="cs"/>
          <w:szCs w:val="24"/>
          <w:rtl/>
        </w:rPr>
        <w:t>أهم</w:t>
      </w:r>
      <w:r w:rsidRPr="0062340E">
        <w:rPr>
          <w:szCs w:val="24"/>
          <w:rtl/>
        </w:rPr>
        <w:t xml:space="preserve"> </w:t>
      </w:r>
      <w:r w:rsidRPr="0062340E">
        <w:rPr>
          <w:rFonts w:hint="cs"/>
          <w:szCs w:val="24"/>
          <w:rtl/>
        </w:rPr>
        <w:t>24</w:t>
      </w:r>
      <w:r w:rsidRPr="0062340E">
        <w:rPr>
          <w:szCs w:val="24"/>
          <w:rtl/>
        </w:rPr>
        <w:t xml:space="preserve"> </w:t>
      </w:r>
      <w:r w:rsidRPr="0062340E">
        <w:rPr>
          <w:rFonts w:hint="cs"/>
          <w:szCs w:val="24"/>
          <w:rtl/>
        </w:rPr>
        <w:t>سمة (مبدأ)</w:t>
      </w:r>
      <w:r w:rsidRPr="0062340E">
        <w:rPr>
          <w:szCs w:val="24"/>
          <w:rtl/>
        </w:rPr>
        <w:t xml:space="preserve"> </w:t>
      </w:r>
      <w:r w:rsidR="00357DB2" w:rsidRPr="0062340E">
        <w:rPr>
          <w:rFonts w:hint="cs"/>
          <w:szCs w:val="24"/>
          <w:rtl/>
        </w:rPr>
        <w:t>مرونة</w:t>
      </w:r>
      <w:r w:rsidRPr="0062340E">
        <w:rPr>
          <w:szCs w:val="24"/>
          <w:rtl/>
        </w:rPr>
        <w:t xml:space="preserve"> </w:t>
      </w:r>
      <w:r w:rsidRPr="0062340E">
        <w:rPr>
          <w:rFonts w:hint="cs"/>
          <w:szCs w:val="24"/>
          <w:rtl/>
        </w:rPr>
        <w:t>من</w:t>
      </w:r>
      <w:r w:rsidRPr="0062340E">
        <w:rPr>
          <w:szCs w:val="24"/>
          <w:rtl/>
        </w:rPr>
        <w:t xml:space="preserve"> </w:t>
      </w:r>
      <w:r w:rsidRPr="0062340E">
        <w:rPr>
          <w:rFonts w:hint="cs"/>
          <w:szCs w:val="24"/>
          <w:rtl/>
        </w:rPr>
        <w:t>إجمالي</w:t>
      </w:r>
      <w:r w:rsidRPr="0062340E">
        <w:rPr>
          <w:szCs w:val="24"/>
          <w:rtl/>
        </w:rPr>
        <w:t xml:space="preserve"> </w:t>
      </w:r>
      <w:r w:rsidRPr="0062340E">
        <w:rPr>
          <w:rFonts w:hint="cs"/>
          <w:szCs w:val="24"/>
          <w:rtl/>
        </w:rPr>
        <w:t>المنشورات</w:t>
      </w:r>
      <w:bookmarkEnd w:id="196"/>
      <w:bookmarkEnd w:id="197"/>
      <w:bookmarkEnd w:id="198"/>
      <w:bookmarkEnd w:id="199"/>
    </w:p>
    <w:p w:rsidR="00A903CE" w:rsidRPr="0062340E" w:rsidRDefault="00A903CE" w:rsidP="00123962">
      <w:pPr>
        <w:bidi/>
        <w:spacing w:after="0" w:line="240" w:lineRule="auto"/>
        <w:jc w:val="center"/>
        <w:rPr>
          <w:rFonts w:ascii="Simplified Arabic" w:hAnsi="Simplified Arabic" w:cs="Simplified Arabic"/>
          <w:b/>
          <w:bCs/>
          <w:sz w:val="24"/>
          <w:szCs w:val="24"/>
          <w:rtl/>
          <w:lang w:bidi="ar-DZ"/>
        </w:rPr>
      </w:pPr>
      <w:r w:rsidRPr="0062340E">
        <w:rPr>
          <w:rFonts w:ascii="Simplified Arabic" w:hAnsi="Simplified Arabic" w:cs="Simplified Arabic" w:hint="cs"/>
          <w:b/>
          <w:bCs/>
          <w:sz w:val="24"/>
          <w:szCs w:val="24"/>
          <w:rtl/>
        </w:rPr>
        <w:t xml:space="preserve">المصدر: </w:t>
      </w:r>
      <w:r w:rsidRPr="0062340E">
        <w:rPr>
          <w:rFonts w:asciiTheme="majorBidi" w:hAnsiTheme="majorBidi" w:cstheme="majorBidi"/>
          <w:b/>
          <w:bCs/>
          <w:sz w:val="24"/>
          <w:szCs w:val="24"/>
        </w:rPr>
        <w:t>(</w:t>
      </w:r>
      <w:r w:rsidRPr="0062340E">
        <w:rPr>
          <w:rFonts w:asciiTheme="majorBidi" w:hAnsiTheme="majorBidi" w:cstheme="majorBidi"/>
          <w:b/>
          <w:bCs/>
          <w:sz w:val="24"/>
          <w:szCs w:val="24"/>
          <w:lang w:val="en-US"/>
        </w:rPr>
        <w:t>Feliciotti</w:t>
      </w:r>
      <w:r w:rsidRPr="0062340E">
        <w:rPr>
          <w:rFonts w:asciiTheme="majorBidi" w:hAnsiTheme="majorBidi" w:cstheme="majorBidi"/>
          <w:b/>
          <w:bCs/>
          <w:sz w:val="24"/>
          <w:szCs w:val="24"/>
        </w:rPr>
        <w:t>, 2018)</w:t>
      </w:r>
    </w:p>
    <w:p w:rsidR="00A903CE" w:rsidRPr="0062340E" w:rsidRDefault="00A903CE" w:rsidP="00A903CE">
      <w:pPr>
        <w:bidi/>
        <w:spacing w:after="0"/>
        <w:ind w:firstLine="282"/>
        <w:jc w:val="center"/>
        <w:rPr>
          <w:rFonts w:ascii="Simplified Arabic" w:hAnsi="Simplified Arabic" w:cs="Simplified Arabic"/>
          <w:sz w:val="24"/>
          <w:szCs w:val="24"/>
          <w:rtl/>
        </w:rPr>
      </w:pPr>
      <w:r w:rsidRPr="0062340E">
        <w:rPr>
          <w:noProof/>
          <w:sz w:val="24"/>
          <w:szCs w:val="24"/>
          <w:lang w:eastAsia="fr-FR"/>
        </w:rPr>
        <w:drawing>
          <wp:inline distT="0" distB="0" distL="0" distR="0" wp14:anchorId="700F96A3" wp14:editId="2112D517">
            <wp:extent cx="5216495" cy="4779034"/>
            <wp:effectExtent l="19050" t="19050" r="22860" b="21590"/>
            <wp:docPr id="66"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TC\Desktop\cumule\article attribut.JPG"/>
                    <pic:cNvPicPr>
                      <a:picLocks noChangeAspect="1" noChangeArrowheads="1"/>
                    </pic:cNvPicPr>
                  </pic:nvPicPr>
                  <pic:blipFill>
                    <a:blip r:embed="rId69">
                      <a:extLst>
                        <a:ext uri="{28A0092B-C50C-407E-A947-70E740481C1C}">
                          <a14:useLocalDpi xmlns:a14="http://schemas.microsoft.com/office/drawing/2010/main" val="0"/>
                        </a:ext>
                      </a:extLst>
                    </a:blip>
                    <a:stretch>
                      <a:fillRect/>
                    </a:stretch>
                  </pic:blipFill>
                  <pic:spPr bwMode="auto">
                    <a:xfrm>
                      <a:off x="0" y="0"/>
                      <a:ext cx="5217832" cy="4780259"/>
                    </a:xfrm>
                    <a:prstGeom prst="rect">
                      <a:avLst/>
                    </a:prstGeom>
                    <a:noFill/>
                    <a:ln>
                      <a:solidFill>
                        <a:schemeClr val="tx1"/>
                      </a:solidFill>
                    </a:ln>
                  </pic:spPr>
                </pic:pic>
              </a:graphicData>
            </a:graphic>
          </wp:inline>
        </w:drawing>
      </w:r>
    </w:p>
    <w:p w:rsidR="00A60F5B" w:rsidRPr="0062340E" w:rsidRDefault="00A903CE" w:rsidP="00A60F5B">
      <w:pPr>
        <w:bidi/>
        <w:spacing w:before="240"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lastRenderedPageBreak/>
        <w:t xml:space="preserve">من خلال </w:t>
      </w:r>
      <w:r w:rsidR="00C71ECA" w:rsidRPr="0062340E">
        <w:rPr>
          <w:rFonts w:ascii="Simplified Arabic" w:hAnsi="Simplified Arabic" w:cs="Simplified Arabic" w:hint="cs"/>
          <w:sz w:val="24"/>
          <w:szCs w:val="24"/>
          <w:rtl/>
          <w:lang w:bidi="ar-DZ"/>
        </w:rPr>
        <w:t>مطالعة الابحاث</w:t>
      </w:r>
      <w:r w:rsidRPr="0062340E">
        <w:rPr>
          <w:rFonts w:ascii="Simplified Arabic" w:hAnsi="Simplified Arabic" w:cs="Simplified Arabic" w:hint="cs"/>
          <w:sz w:val="24"/>
          <w:szCs w:val="24"/>
          <w:rtl/>
          <w:lang w:bidi="ar-DZ"/>
        </w:rPr>
        <w:t>، 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تضمين</w:t>
      </w:r>
      <w:r w:rsidRPr="0062340E">
        <w:rPr>
          <w:rFonts w:ascii="Simplified Arabic" w:hAnsi="Simplified Arabic" w:cs="Simplified Arabic"/>
          <w:sz w:val="24"/>
          <w:szCs w:val="24"/>
          <w:rtl/>
          <w:lang w:bidi="ar-DZ"/>
        </w:rPr>
        <w:t xml:space="preserve"> ثلاث فئات مفاهيمية رئيسية</w:t>
      </w:r>
      <w:r w:rsidRPr="0062340E">
        <w:rPr>
          <w:rFonts w:ascii="Simplified Arabic" w:hAnsi="Simplified Arabic" w:cs="Simplified Arabic" w:hint="cs"/>
          <w:sz w:val="24"/>
          <w:szCs w:val="24"/>
          <w:rtl/>
          <w:lang w:bidi="ar-DZ"/>
        </w:rPr>
        <w:t xml:space="preserve"> لسمات المرونة</w:t>
      </w:r>
      <w:r w:rsidR="00A60F5B"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p>
    <w:p w:rsidR="00A60F5B" w:rsidRPr="0062340E" w:rsidRDefault="00A903CE" w:rsidP="00A60F5B">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 xml:space="preserve">تتضمن الفئة الأولى مفاهيم </w:t>
      </w:r>
      <w:r w:rsidRPr="0062340E">
        <w:rPr>
          <w:rFonts w:ascii="Simplified Arabic" w:hAnsi="Simplified Arabic" w:cs="Simplified Arabic"/>
          <w:sz w:val="24"/>
          <w:szCs w:val="24"/>
          <w:u w:val="single"/>
          <w:rtl/>
          <w:lang w:bidi="ar-DZ"/>
        </w:rPr>
        <w:t>أداء</w:t>
      </w:r>
      <w:r w:rsidRPr="0062340E">
        <w:rPr>
          <w:rFonts w:ascii="Simplified Arabic" w:hAnsi="Simplified Arabic" w:cs="Simplified Arabic"/>
          <w:sz w:val="24"/>
          <w:szCs w:val="24"/>
          <w:rtl/>
          <w:lang w:bidi="ar-DZ"/>
        </w:rPr>
        <w:t xml:space="preserve"> المرونة </w:t>
      </w:r>
      <w:r w:rsidRPr="0062340E">
        <w:rPr>
          <w:rFonts w:ascii="Simplified Arabic" w:hAnsi="Simplified Arabic" w:cs="Simplified Arabic" w:hint="cs"/>
          <w:sz w:val="24"/>
          <w:szCs w:val="24"/>
          <w:rtl/>
          <w:lang w:bidi="ar-DZ"/>
        </w:rPr>
        <w:t xml:space="preserve">اي </w:t>
      </w:r>
      <w:r w:rsidRPr="0062340E">
        <w:rPr>
          <w:rFonts w:ascii="Simplified Arabic" w:hAnsi="Simplified Arabic" w:cs="Simplified Arabic"/>
          <w:sz w:val="24"/>
          <w:szCs w:val="24"/>
          <w:rtl/>
          <w:lang w:bidi="ar-DZ"/>
        </w:rPr>
        <w:t>(ما يجب أن يفعله النظام المرن)</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تحتوي هذه </w:t>
      </w:r>
      <w:r w:rsidRPr="0062340E">
        <w:rPr>
          <w:rFonts w:ascii="Simplified Arabic" w:hAnsi="Simplified Arabic" w:cs="Simplified Arabic" w:hint="cs"/>
          <w:sz w:val="24"/>
          <w:szCs w:val="24"/>
          <w:rtl/>
          <w:lang w:bidi="ar-DZ"/>
        </w:rPr>
        <w:t>الفئة</w:t>
      </w:r>
      <w:r w:rsidRPr="0062340E">
        <w:rPr>
          <w:rFonts w:ascii="Simplified Arabic" w:hAnsi="Simplified Arabic" w:cs="Simplified Arabic"/>
          <w:sz w:val="24"/>
          <w:szCs w:val="24"/>
          <w:rtl/>
          <w:lang w:bidi="ar-DZ"/>
        </w:rPr>
        <w:t xml:space="preserve"> على مفاهيم مثل </w:t>
      </w:r>
      <w:r w:rsidRPr="0062340E">
        <w:rPr>
          <w:rFonts w:ascii="Simplified Arabic" w:hAnsi="Simplified Arabic" w:cs="Simplified Arabic" w:hint="cs"/>
          <w:sz w:val="24"/>
          <w:szCs w:val="24"/>
          <w:rtl/>
          <w:lang w:bidi="ar-DZ"/>
        </w:rPr>
        <w:t>سمة (</w:t>
      </w:r>
      <w:r w:rsidRPr="0062340E">
        <w:rPr>
          <w:rFonts w:ascii="Simplified Arabic" w:hAnsi="Simplified Arabic" w:cs="Simplified Arabic"/>
          <w:sz w:val="24"/>
          <w:szCs w:val="24"/>
          <w:rtl/>
          <w:lang w:bidi="ar-DZ"/>
        </w:rPr>
        <w:t>المثابرة</w:t>
      </w:r>
      <w:r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sz w:val="24"/>
          <w:szCs w:val="24"/>
          <w:rtl/>
          <w:lang w:bidi="ar-DZ"/>
        </w:rPr>
        <w:t>قابلية التحول</w:t>
      </w:r>
      <w:r w:rsidRPr="0062340E">
        <w:rPr>
          <w:rFonts w:ascii="Simplified Arabic" w:hAnsi="Simplified Arabic" w:cs="Simplified Arabic" w:hint="cs"/>
          <w:sz w:val="24"/>
          <w:szCs w:val="24"/>
          <w:rtl/>
          <w:lang w:bidi="ar-DZ"/>
        </w:rPr>
        <w:t xml:space="preserve"> وغيرها)</w:t>
      </w:r>
      <w:r w:rsidRPr="0062340E">
        <w:rPr>
          <w:rFonts w:ascii="Simplified Arabic" w:hAnsi="Simplified Arabic" w:cs="Simplified Arabic"/>
          <w:sz w:val="24"/>
          <w:szCs w:val="24"/>
          <w:rtl/>
          <w:lang w:bidi="ar-DZ"/>
        </w:rPr>
        <w:t xml:space="preserve">. </w:t>
      </w:r>
    </w:p>
    <w:p w:rsidR="0042038B" w:rsidRPr="0062340E" w:rsidRDefault="00A903CE" w:rsidP="00A60F5B">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تضم</w:t>
      </w:r>
      <w:r w:rsidRPr="0062340E">
        <w:rPr>
          <w:rFonts w:ascii="Simplified Arabic" w:hAnsi="Simplified Arabic" w:cs="Simplified Arabic"/>
          <w:sz w:val="24"/>
          <w:szCs w:val="24"/>
          <w:rtl/>
          <w:lang w:bidi="ar-DZ"/>
        </w:rPr>
        <w:t xml:space="preserve"> الفئة الثانية المفاهيم التي لها علاقة </w:t>
      </w:r>
      <w:r w:rsidRPr="0062340E">
        <w:rPr>
          <w:rFonts w:ascii="Simplified Arabic" w:hAnsi="Simplified Arabic" w:cs="Simplified Arabic" w:hint="cs"/>
          <w:sz w:val="24"/>
          <w:szCs w:val="24"/>
          <w:u w:val="single"/>
          <w:rtl/>
          <w:lang w:bidi="ar-DZ"/>
        </w:rPr>
        <w:t>ب</w:t>
      </w:r>
      <w:r w:rsidRPr="0062340E">
        <w:rPr>
          <w:rFonts w:ascii="Simplified Arabic" w:hAnsi="Simplified Arabic" w:cs="Simplified Arabic"/>
          <w:sz w:val="24"/>
          <w:szCs w:val="24"/>
          <w:u w:val="single"/>
          <w:rtl/>
          <w:lang w:bidi="ar-DZ"/>
        </w:rPr>
        <w:t>أصول</w:t>
      </w:r>
      <w:r w:rsidRPr="0062340E">
        <w:rPr>
          <w:rFonts w:ascii="Simplified Arabic" w:hAnsi="Simplified Arabic" w:cs="Simplified Arabic"/>
          <w:sz w:val="24"/>
          <w:szCs w:val="24"/>
          <w:rtl/>
          <w:lang w:bidi="ar-DZ"/>
        </w:rPr>
        <w:t xml:space="preserve"> المرونة أ</w:t>
      </w:r>
      <w:r w:rsidRPr="0062340E">
        <w:rPr>
          <w:rFonts w:ascii="Simplified Arabic" w:hAnsi="Simplified Arabic" w:cs="Simplified Arabic" w:hint="cs"/>
          <w:sz w:val="24"/>
          <w:szCs w:val="24"/>
          <w:rtl/>
          <w:lang w:bidi="ar-DZ"/>
        </w:rPr>
        <w:t>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موارد مادية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مؤسسية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اجتماعية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اقتصادية أو بيئية معينة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لتعزيز مرون</w:t>
      </w:r>
      <w:r w:rsidRPr="0062340E">
        <w:rPr>
          <w:rFonts w:ascii="Simplified Arabic" w:hAnsi="Simplified Arabic" w:cs="Simplified Arabic" w:hint="cs"/>
          <w:sz w:val="24"/>
          <w:szCs w:val="24"/>
          <w:rtl/>
          <w:lang w:bidi="ar-DZ"/>
        </w:rPr>
        <w:t>ة النظام</w:t>
      </w:r>
      <w:r w:rsidRPr="0062340E">
        <w:rPr>
          <w:rFonts w:ascii="Simplified Arabic" w:hAnsi="Simplified Arabic" w:cs="Simplified Arabic"/>
          <w:sz w:val="24"/>
          <w:szCs w:val="24"/>
          <w:rtl/>
          <w:lang w:bidi="ar-DZ"/>
        </w:rPr>
        <w:t xml:space="preserve">. </w:t>
      </w:r>
    </w:p>
    <w:p w:rsidR="00A903CE" w:rsidRPr="0062340E" w:rsidRDefault="00A903CE" w:rsidP="00E43558">
      <w:pPr>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lang w:bidi="ar-DZ"/>
        </w:rPr>
        <w:t>تشتمل</w:t>
      </w:r>
      <w:r w:rsidRPr="0062340E">
        <w:rPr>
          <w:rFonts w:ascii="Simplified Arabic" w:hAnsi="Simplified Arabic" w:cs="Simplified Arabic"/>
          <w:sz w:val="24"/>
          <w:szCs w:val="24"/>
          <w:rtl/>
          <w:lang w:bidi="ar-DZ"/>
        </w:rPr>
        <w:t xml:space="preserve"> الفئة الأخيرة </w:t>
      </w:r>
      <w:r w:rsidRPr="0062340E">
        <w:rPr>
          <w:rFonts w:ascii="Simplified Arabic" w:hAnsi="Simplified Arabic" w:cs="Simplified Arabic"/>
          <w:sz w:val="24"/>
          <w:szCs w:val="24"/>
          <w:u w:val="single"/>
          <w:rtl/>
          <w:lang w:bidi="ar-DZ"/>
        </w:rPr>
        <w:t>سمات</w:t>
      </w:r>
      <w:r w:rsidRPr="0062340E">
        <w:rPr>
          <w:rFonts w:ascii="Simplified Arabic" w:hAnsi="Simplified Arabic" w:cs="Simplified Arabic"/>
          <w:sz w:val="24"/>
          <w:szCs w:val="24"/>
          <w:rtl/>
          <w:lang w:bidi="ar-DZ"/>
        </w:rPr>
        <w:t xml:space="preserve"> المرونة، التي تعبر عن الصفات الهيكلية للمرونة في النظم الحضرية (أي ما ينبغي أن يكون عليه النظام المرن)</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تنتمي إلى هذه المجموعة مفاهيم مثل </w:t>
      </w:r>
      <w:r w:rsidRPr="0062340E">
        <w:rPr>
          <w:rFonts w:ascii="Simplified Arabic" w:hAnsi="Simplified Arabic" w:cs="Simplified Arabic" w:hint="cs"/>
          <w:sz w:val="24"/>
          <w:szCs w:val="24"/>
          <w:rtl/>
          <w:lang w:bidi="ar-DZ"/>
        </w:rPr>
        <w:t xml:space="preserve">سمة </w:t>
      </w:r>
      <w:r w:rsidRPr="0062340E">
        <w:rPr>
          <w:rFonts w:ascii="Simplified Arabic" w:hAnsi="Simplified Arabic" w:cs="Simplified Arabic"/>
          <w:sz w:val="24"/>
          <w:szCs w:val="24"/>
          <w:rtl/>
          <w:lang w:bidi="ar-DZ"/>
        </w:rPr>
        <w:t xml:space="preserve">(الكثافة، التنوع ،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00710CDE" w:rsidRPr="0062340E">
        <w:rPr>
          <w:rFonts w:ascii="Simplified Arabic" w:hAnsi="Simplified Arabic" w:cs="Simplified Arabic"/>
          <w:sz w:val="24"/>
          <w:szCs w:val="24"/>
          <w:rtl/>
          <w:lang w:bidi="ar-DZ"/>
        </w:rPr>
        <w:t xml:space="preserve"> </w:t>
      </w:r>
      <w:r w:rsidR="00710CDE" w:rsidRPr="0062340E">
        <w:rPr>
          <w:rFonts w:ascii="Simplified Arabic" w:hAnsi="Simplified Arabic" w:cs="Simplified Arabic" w:hint="cs"/>
          <w:sz w:val="24"/>
          <w:szCs w:val="24"/>
          <w:rtl/>
          <w:lang w:bidi="ar-DZ"/>
        </w:rPr>
        <w:t>و</w:t>
      </w:r>
      <w:r w:rsidRPr="0062340E">
        <w:rPr>
          <w:rFonts w:ascii="Simplified Arabic" w:hAnsi="Simplified Arabic" w:cs="Simplified Arabic"/>
          <w:sz w:val="24"/>
          <w:szCs w:val="24"/>
          <w:rtl/>
          <w:lang w:bidi="ar-DZ"/>
        </w:rPr>
        <w:t>التكرار)</w:t>
      </w:r>
      <w:r w:rsidRPr="0062340E">
        <w:rPr>
          <w:rFonts w:ascii="Simplified Arabic" w:hAnsi="Simplified Arabic" w:cs="Simplified Arabic" w:hint="cs"/>
          <w:sz w:val="24"/>
          <w:szCs w:val="24"/>
          <w:rtl/>
          <w:lang w:bidi="ar-DZ"/>
        </w:rPr>
        <w:t xml:space="preserve"> التي تم الاخذ بها في هذا البحث، لتوافقها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سلوكيات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الانظمة الحضرية</w:t>
      </w:r>
      <w:r w:rsidR="00BF540A" w:rsidRPr="0062340E">
        <w:rPr>
          <w:rFonts w:ascii="Simplified Arabic" w:hAnsi="Simplified Arabic" w:cs="Simplified Arabic" w:hint="cs"/>
          <w:sz w:val="24"/>
          <w:szCs w:val="24"/>
          <w:rtl/>
          <w:lang w:bidi="ar-DZ"/>
        </w:rPr>
        <w:t xml:space="preserve"> المحلية</w:t>
      </w:r>
      <w:r w:rsidRPr="0062340E">
        <w:rPr>
          <w:rFonts w:ascii="Simplified Arabic" w:hAnsi="Simplified Arabic" w:cs="Simplified Arabic"/>
          <w:sz w:val="24"/>
          <w:szCs w:val="24"/>
          <w:rtl/>
          <w:lang w:bidi="ar-DZ"/>
        </w:rPr>
        <w:t>.</w:t>
      </w:r>
      <w:r w:rsidR="00123962"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sz w:val="24"/>
          <w:szCs w:val="24"/>
          <w:rtl/>
        </w:rPr>
        <w:t>هذه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المجموعة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تكون أكثر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قابلية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لغرض</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الدمج</w:t>
      </w:r>
      <w:r w:rsidRPr="0062340E">
        <w:rPr>
          <w:rFonts w:ascii="Simplified Arabic" w:hAnsi="Simplified Arabic" w:cs="Simplified Arabic"/>
          <w:sz w:val="24"/>
          <w:szCs w:val="24"/>
          <w:rtl/>
        </w:rPr>
        <w:t xml:space="preserve"> </w:t>
      </w:r>
      <w:r w:rsidR="00BF540A" w:rsidRPr="0062340E">
        <w:rPr>
          <w:rFonts w:ascii="Simplified Arabic" w:hAnsi="Simplified Arabic" w:cs="Simplified Arabic" w:hint="cs"/>
          <w:sz w:val="24"/>
          <w:szCs w:val="24"/>
          <w:rtl/>
        </w:rPr>
        <w:t>مع</w:t>
      </w:r>
      <w:r w:rsidRPr="0062340E">
        <w:rPr>
          <w:rFonts w:ascii="Simplified Arabic" w:hAnsi="Simplified Arabic" w:cs="Simplified Arabic"/>
          <w:sz w:val="24"/>
          <w:szCs w:val="24"/>
          <w:rtl/>
        </w:rPr>
        <w:t xml:space="preserve"> </w:t>
      </w:r>
      <w:r w:rsidR="00BF540A" w:rsidRPr="0062340E">
        <w:rPr>
          <w:rFonts w:ascii="Simplified Arabic" w:hAnsi="Simplified Arabic" w:cs="Simplified Arabic" w:hint="cs"/>
          <w:sz w:val="24"/>
          <w:szCs w:val="24"/>
          <w:rtl/>
        </w:rPr>
        <w:t>المعايير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00BF540A"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لأنها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تستند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دراسة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استجابة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مرن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للصدمات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وهي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تشير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الأنظمة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تميل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تكون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ذات كثافة،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متنوعة،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مترابطة،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قابلة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للتكرار، حسب الشكل (</w:t>
      </w:r>
      <w:r w:rsidR="0085017B" w:rsidRPr="0062340E">
        <w:rPr>
          <w:rFonts w:ascii="Simplified Arabic" w:hAnsi="Simplified Arabic" w:cs="Simplified Arabic" w:hint="cs"/>
          <w:sz w:val="24"/>
          <w:szCs w:val="24"/>
          <w:rtl/>
        </w:rPr>
        <w:t>1-13</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p>
    <w:p w:rsidR="00A903CE" w:rsidRDefault="00A903CE" w:rsidP="00A60F5B">
      <w:pPr>
        <w:pStyle w:val="fegure"/>
        <w:spacing w:before="240"/>
        <w:rPr>
          <w:szCs w:val="24"/>
          <w:rtl/>
        </w:rPr>
      </w:pPr>
      <w:bookmarkStart w:id="200" w:name="_Toc157561445"/>
      <w:bookmarkStart w:id="201" w:name="_Toc157562778"/>
      <w:bookmarkStart w:id="202" w:name="_Toc157608274"/>
      <w:bookmarkStart w:id="203" w:name="_Toc171803385"/>
      <w:r w:rsidRPr="0062340E">
        <w:rPr>
          <w:rFonts w:hint="cs"/>
          <w:szCs w:val="24"/>
          <w:rtl/>
          <w:lang w:val="en-US"/>
        </w:rPr>
        <w:t xml:space="preserve">الشكل </w:t>
      </w:r>
      <w:r w:rsidRPr="0062340E">
        <w:rPr>
          <w:rFonts w:hint="cs"/>
          <w:szCs w:val="24"/>
          <w:rtl/>
        </w:rPr>
        <w:t>(</w:t>
      </w:r>
      <w:r w:rsidR="001C16A9" w:rsidRPr="0062340E">
        <w:rPr>
          <w:rFonts w:hint="cs"/>
          <w:szCs w:val="24"/>
          <w:rtl/>
        </w:rPr>
        <w:t>1-13</w:t>
      </w:r>
      <w:r w:rsidRPr="0062340E">
        <w:rPr>
          <w:rFonts w:hint="cs"/>
          <w:szCs w:val="24"/>
          <w:rtl/>
        </w:rPr>
        <w:t>)</w:t>
      </w:r>
      <w:r w:rsidRPr="0062340E">
        <w:rPr>
          <w:szCs w:val="24"/>
          <w:rtl/>
        </w:rPr>
        <w:t>:</w:t>
      </w:r>
      <w:r w:rsidRPr="0062340E">
        <w:rPr>
          <w:rFonts w:hint="cs"/>
          <w:szCs w:val="24"/>
          <w:rtl/>
        </w:rPr>
        <w:t xml:space="preserve"> </w:t>
      </w:r>
      <w:r w:rsidRPr="0062340E">
        <w:rPr>
          <w:szCs w:val="24"/>
          <w:rtl/>
          <w:lang w:bidi="ar-DZ"/>
        </w:rPr>
        <w:t xml:space="preserve">سمات المرونة المكانية </w:t>
      </w:r>
      <w:r w:rsidRPr="0062340E">
        <w:rPr>
          <w:rFonts w:hint="cs"/>
          <w:szCs w:val="24"/>
          <w:rtl/>
        </w:rPr>
        <w:t>وفق</w:t>
      </w:r>
      <w:r w:rsidRPr="0062340E">
        <w:rPr>
          <w:szCs w:val="24"/>
          <w:rtl/>
        </w:rPr>
        <w:t xml:space="preserve"> </w:t>
      </w:r>
      <w:r w:rsidR="00C71ECA" w:rsidRPr="0062340E">
        <w:rPr>
          <w:rFonts w:hint="cs"/>
          <w:szCs w:val="24"/>
          <w:rtl/>
        </w:rPr>
        <w:t>مطالعة الابحاث</w:t>
      </w:r>
      <w:bookmarkEnd w:id="200"/>
      <w:bookmarkEnd w:id="201"/>
      <w:bookmarkEnd w:id="202"/>
      <w:bookmarkEnd w:id="203"/>
    </w:p>
    <w:p w:rsidR="000101D0" w:rsidRPr="000101D0" w:rsidRDefault="000101D0" w:rsidP="000101D0">
      <w:pPr>
        <w:pStyle w:val="Default"/>
        <w:bidi/>
        <w:spacing w:line="276" w:lineRule="auto"/>
        <w:jc w:val="center"/>
        <w:rPr>
          <w:rFonts w:asciiTheme="majorBidi" w:hAnsiTheme="majorBidi" w:cstheme="majorBidi"/>
          <w:b/>
          <w:bCs/>
          <w:color w:val="0D0D0D"/>
          <w:rtl/>
          <w:lang w:bidi="ar-DZ"/>
        </w:rPr>
      </w:pPr>
      <w:r w:rsidRPr="0062340E">
        <w:rPr>
          <w:rFonts w:ascii="Simplified Arabic" w:hAnsi="Simplified Arabic" w:cs="Simplified Arabic" w:hint="cs"/>
          <w:b/>
          <w:bCs/>
          <w:rtl/>
        </w:rPr>
        <w:t>المصدر</w:t>
      </w:r>
      <w:r>
        <w:rPr>
          <w:rFonts w:ascii="Simplified Arabic" w:hAnsi="Simplified Arabic" w:cs="Simplified Arabic" w:hint="cs"/>
          <w:b/>
          <w:bCs/>
          <w:rtl/>
        </w:rPr>
        <w:t>: (الباحث، 2022)</w:t>
      </w:r>
    </w:p>
    <w:p w:rsidR="00A903CE" w:rsidRPr="0062340E" w:rsidRDefault="00A903CE" w:rsidP="00123962">
      <w:pPr>
        <w:bidi/>
        <w:spacing w:after="0"/>
        <w:jc w:val="center"/>
        <w:rPr>
          <w:rFonts w:asciiTheme="minorBidi" w:hAnsiTheme="minorBidi" w:cs="Arial"/>
          <w:sz w:val="24"/>
          <w:szCs w:val="24"/>
          <w:rtl/>
          <w:lang w:bidi="ar-DZ"/>
        </w:rPr>
      </w:pPr>
      <w:r w:rsidRPr="0062340E">
        <w:rPr>
          <w:rFonts w:asciiTheme="minorBidi" w:hAnsiTheme="minorBidi" w:cs="Arial"/>
          <w:noProof/>
          <w:sz w:val="24"/>
          <w:szCs w:val="24"/>
          <w:rtl/>
          <w:lang w:eastAsia="fr-FR"/>
        </w:rPr>
        <w:drawing>
          <wp:inline distT="0" distB="0" distL="0" distR="0" wp14:anchorId="6A85A028" wp14:editId="235DFF57">
            <wp:extent cx="3804249" cy="2631057"/>
            <wp:effectExtent l="38100" t="38100" r="44450" b="55245"/>
            <wp:docPr id="67" name="Diagramme 6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A903CE" w:rsidRPr="0062340E" w:rsidRDefault="00A903CE" w:rsidP="00C71ECA">
      <w:pPr>
        <w:bidi/>
        <w:spacing w:before="240" w:after="0"/>
        <w:ind w:firstLine="282"/>
        <w:jc w:val="both"/>
        <w:rPr>
          <w:rFonts w:asciiTheme="minorBidi" w:hAnsiTheme="minorBidi" w:cs="Arial"/>
          <w:sz w:val="24"/>
          <w:szCs w:val="24"/>
          <w:rtl/>
          <w:lang w:bidi="ar-DZ"/>
        </w:rPr>
      </w:pP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أجل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إعطاء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قدر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أكبر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الوضوح</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للمفاهيم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المختلفة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الموضحة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الابحاث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مطالعتها</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 دمج</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التعريفات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المختلفة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فئات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أقل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المفاهيم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بالتالي،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تمت</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مطالعة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السمات(المبادئ)</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المستخرجة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الابحاث</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بناءً</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تعريفات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مختلف </w:t>
      </w:r>
      <w:r w:rsidR="00C71ECA" w:rsidRPr="0062340E">
        <w:rPr>
          <w:rFonts w:ascii="Simplified Arabic" w:hAnsi="Simplified Arabic" w:cs="Simplified Arabic" w:hint="cs"/>
          <w:sz w:val="24"/>
          <w:szCs w:val="24"/>
          <w:rtl/>
        </w:rPr>
        <w:t>الابحاث</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أعيد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تصنيفها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وتم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دمجها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الآخرين</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لذلك، تم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 البحث الحالي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مناقشة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المكانية الاربعة بما يتوافق مع السياق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لمدينة بوسعادة وبشكل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ادق كما يلي</w:t>
      </w:r>
      <w:r w:rsidRPr="0062340E">
        <w:rPr>
          <w:rFonts w:ascii="Simplified Arabic" w:hAnsi="Simplified Arabic" w:cs="Simplified Arabic"/>
          <w:sz w:val="24"/>
          <w:szCs w:val="24"/>
          <w:rtl/>
        </w:rPr>
        <w:t>:</w:t>
      </w:r>
      <w:r w:rsidRPr="0062340E">
        <w:rPr>
          <w:rFonts w:asciiTheme="minorBidi" w:hAnsiTheme="minorBidi" w:cs="Arial"/>
          <w:sz w:val="24"/>
          <w:szCs w:val="24"/>
          <w:rtl/>
          <w:lang w:bidi="ar-DZ"/>
        </w:rPr>
        <w:t xml:space="preserve"> </w:t>
      </w:r>
    </w:p>
    <w:p w:rsidR="00A903CE" w:rsidRPr="0062340E" w:rsidRDefault="00A903CE" w:rsidP="003E1ECC">
      <w:pPr>
        <w:pStyle w:val="Paragraphedeliste"/>
        <w:numPr>
          <w:ilvl w:val="3"/>
          <w:numId w:val="109"/>
        </w:numPr>
        <w:tabs>
          <w:tab w:val="right" w:pos="1134"/>
        </w:tabs>
        <w:bidi/>
        <w:spacing w:after="0"/>
        <w:ind w:left="0" w:firstLine="0"/>
        <w:jc w:val="both"/>
        <w:outlineLvl w:val="2"/>
        <w:rPr>
          <w:rFonts w:ascii="Simplified Arabic" w:hAnsi="Simplified Arabic" w:cs="Simplified Arabic"/>
          <w:b/>
          <w:bCs/>
          <w:color w:val="000000" w:themeColor="text1"/>
          <w:sz w:val="24"/>
          <w:szCs w:val="24"/>
          <w:lang w:bidi="ar-DZ"/>
        </w:rPr>
      </w:pPr>
      <w:bookmarkStart w:id="204" w:name="_Toc171803386"/>
      <w:r w:rsidRPr="0062340E">
        <w:rPr>
          <w:rFonts w:ascii="Simplified Arabic" w:hAnsi="Simplified Arabic" w:cs="Simplified Arabic" w:hint="cs"/>
          <w:b/>
          <w:bCs/>
          <w:color w:val="000000" w:themeColor="text1"/>
          <w:sz w:val="24"/>
          <w:szCs w:val="24"/>
          <w:rtl/>
          <w:lang w:val="en-US"/>
        </w:rPr>
        <w:t>الكثافة</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الحضرية</w:t>
      </w:r>
      <w:r w:rsidRPr="0062340E">
        <w:rPr>
          <w:rFonts w:ascii="Simplified Arabic" w:hAnsi="Simplified Arabic" w:cs="Simplified Arabic" w:hint="cs"/>
          <w:b/>
          <w:bCs/>
          <w:color w:val="000000" w:themeColor="text1"/>
          <w:sz w:val="24"/>
          <w:szCs w:val="24"/>
          <w:rtl/>
          <w:lang w:bidi="ar-DZ"/>
        </w:rPr>
        <w:t xml:space="preserve"> </w:t>
      </w:r>
      <w:r w:rsidRPr="0062340E">
        <w:rPr>
          <w:rFonts w:asciiTheme="majorBidi" w:hAnsiTheme="majorBidi" w:cstheme="majorBidi"/>
          <w:b/>
          <w:bCs/>
          <w:color w:val="000000" w:themeColor="text1"/>
          <w:sz w:val="24"/>
          <w:szCs w:val="24"/>
          <w:rtl/>
          <w:lang w:bidi="ar-DZ"/>
        </w:rPr>
        <w:t>(</w:t>
      </w:r>
      <w:r w:rsidRPr="0062340E">
        <w:rPr>
          <w:rFonts w:asciiTheme="majorBidi" w:hAnsiTheme="majorBidi" w:cstheme="majorBidi"/>
          <w:b/>
          <w:bCs/>
          <w:sz w:val="24"/>
          <w:szCs w:val="24"/>
          <w:lang w:val="en-US"/>
        </w:rPr>
        <w:t>Density</w:t>
      </w:r>
      <w:r w:rsidRPr="0062340E">
        <w:rPr>
          <w:rFonts w:asciiTheme="majorBidi" w:hAnsiTheme="majorBidi" w:cstheme="majorBidi"/>
          <w:b/>
          <w:bCs/>
          <w:sz w:val="24"/>
          <w:szCs w:val="24"/>
        </w:rPr>
        <w:t xml:space="preserve"> </w:t>
      </w:r>
      <w:r w:rsidRPr="0062340E">
        <w:rPr>
          <w:rFonts w:asciiTheme="majorBidi" w:hAnsiTheme="majorBidi" w:cstheme="majorBidi"/>
          <w:b/>
          <w:bCs/>
          <w:sz w:val="24"/>
          <w:szCs w:val="24"/>
          <w:lang w:val="en-US"/>
        </w:rPr>
        <w:t>Urban</w:t>
      </w:r>
      <w:r w:rsidRPr="0062340E">
        <w:rPr>
          <w:rFonts w:asciiTheme="majorBidi" w:hAnsiTheme="majorBidi" w:cstheme="majorBidi"/>
          <w:b/>
          <w:bCs/>
          <w:color w:val="000000" w:themeColor="text1"/>
          <w:sz w:val="24"/>
          <w:szCs w:val="24"/>
          <w:rtl/>
          <w:lang w:bidi="ar-DZ"/>
        </w:rPr>
        <w:t>)</w:t>
      </w:r>
      <w:bookmarkEnd w:id="204"/>
    </w:p>
    <w:p w:rsidR="003F65C7" w:rsidRPr="0062340E" w:rsidRDefault="002F2722" w:rsidP="003F65C7">
      <w:pPr>
        <w:tabs>
          <w:tab w:val="right" w:pos="565"/>
        </w:tabs>
        <w:bidi/>
        <w:spacing w:after="0"/>
        <w:ind w:firstLine="282"/>
        <w:jc w:val="both"/>
        <w:rPr>
          <w:sz w:val="24"/>
          <w:szCs w:val="24"/>
          <w:rtl/>
        </w:rPr>
      </w:pPr>
      <w:r w:rsidRPr="0062340E">
        <w:rPr>
          <w:rFonts w:ascii="Simplified Arabic" w:hAnsi="Simplified Arabic" w:cs="Simplified Arabic" w:hint="cs"/>
          <w:color w:val="000000" w:themeColor="text1"/>
          <w:sz w:val="24"/>
          <w:szCs w:val="24"/>
          <w:rtl/>
          <w:lang w:val="en-US"/>
        </w:rPr>
        <w:t>ذكر</w:t>
      </w:r>
      <w:r w:rsidRPr="0062340E">
        <w:rPr>
          <w:rFonts w:asciiTheme="majorBidi" w:hAnsiTheme="majorBidi" w:cstheme="majorBidi" w:hint="cs"/>
          <w:b/>
          <w:bCs/>
          <w:color w:val="000000"/>
          <w:sz w:val="24"/>
          <w:szCs w:val="24"/>
          <w:shd w:val="clear" w:color="auto" w:fill="FFFFFF"/>
          <w:rtl/>
        </w:rPr>
        <w:t xml:space="preserve"> </w:t>
      </w:r>
      <w:r w:rsidRPr="0062340E">
        <w:rPr>
          <w:rFonts w:asciiTheme="majorBidi" w:hAnsiTheme="majorBidi" w:cstheme="majorBidi"/>
          <w:b/>
          <w:bCs/>
          <w:color w:val="000000"/>
          <w:sz w:val="24"/>
          <w:szCs w:val="24"/>
          <w:shd w:val="clear" w:color="auto" w:fill="FFFFFF"/>
        </w:rPr>
        <w:t>(</w:t>
      </w:r>
      <w:r w:rsidRPr="0062340E">
        <w:rPr>
          <w:rStyle w:val="lev"/>
          <w:rFonts w:asciiTheme="majorBidi" w:hAnsiTheme="majorBidi" w:cstheme="majorBidi"/>
          <w:b w:val="0"/>
          <w:bCs w:val="0"/>
          <w:color w:val="000000"/>
          <w:sz w:val="24"/>
          <w:szCs w:val="24"/>
        </w:rPr>
        <w:t>Jean</w:t>
      </w:r>
      <w:r w:rsidRPr="0062340E">
        <w:rPr>
          <w:rStyle w:val="lev"/>
          <w:rFonts w:asciiTheme="majorBidi" w:hAnsiTheme="majorBidi" w:cstheme="majorBidi"/>
          <w:color w:val="000000"/>
          <w:sz w:val="24"/>
          <w:szCs w:val="24"/>
        </w:rPr>
        <w:t>-</w:t>
      </w:r>
      <w:r w:rsidRPr="0062340E">
        <w:rPr>
          <w:rStyle w:val="lev"/>
          <w:rFonts w:asciiTheme="majorBidi" w:hAnsiTheme="majorBidi" w:cstheme="majorBidi"/>
          <w:b w:val="0"/>
          <w:bCs w:val="0"/>
          <w:color w:val="000000"/>
          <w:sz w:val="24"/>
          <w:szCs w:val="24"/>
        </w:rPr>
        <w:t>Yves</w:t>
      </w:r>
      <w:r w:rsidRPr="0062340E">
        <w:rPr>
          <w:rFonts w:asciiTheme="majorBidi" w:hAnsiTheme="majorBidi" w:cstheme="majorBidi"/>
          <w:color w:val="000000"/>
          <w:sz w:val="24"/>
          <w:szCs w:val="24"/>
          <w:shd w:val="clear" w:color="auto" w:fill="FFFFFF"/>
        </w:rPr>
        <w:t xml:space="preserve">, </w:t>
      </w:r>
      <w:r w:rsidRPr="0062340E">
        <w:rPr>
          <w:rFonts w:asciiTheme="majorBidi" w:hAnsiTheme="majorBidi" w:cstheme="majorBidi"/>
          <w:color w:val="000000"/>
          <w:sz w:val="24"/>
          <w:szCs w:val="24"/>
        </w:rPr>
        <w:t>2018</w:t>
      </w:r>
      <w:r w:rsidRPr="0062340E">
        <w:rPr>
          <w:rFonts w:asciiTheme="majorBidi" w:hAnsiTheme="majorBidi" w:cstheme="majorBidi"/>
          <w:b/>
          <w:bCs/>
          <w:color w:val="000000"/>
          <w:sz w:val="24"/>
          <w:szCs w:val="24"/>
        </w:rPr>
        <w:t>)</w:t>
      </w:r>
      <w:r w:rsidRPr="0062340E">
        <w:rPr>
          <w:rFonts w:ascii="Simplified Arabic" w:hAnsi="Simplified Arabic" w:cs="Simplified Arabic"/>
          <w:b/>
          <w:bCs/>
          <w:color w:val="000000"/>
          <w:sz w:val="24"/>
          <w:szCs w:val="24"/>
          <w:rtl/>
        </w:rPr>
        <w:t xml:space="preserve"> </w:t>
      </w:r>
      <w:r w:rsidRPr="0062340E">
        <w:rPr>
          <w:rFonts w:ascii="Simplified Arabic" w:hAnsi="Simplified Arabic" w:cs="Simplified Arabic" w:hint="cs"/>
          <w:color w:val="000000"/>
          <w:sz w:val="24"/>
          <w:szCs w:val="24"/>
          <w:rtl/>
        </w:rPr>
        <w:t>ان</w:t>
      </w:r>
      <w:r w:rsidR="00A54945" w:rsidRPr="0062340E">
        <w:rPr>
          <w:rFonts w:ascii="Simplified Arabic" w:hAnsi="Simplified Arabic" w:cs="Simplified Arabic" w:hint="cs"/>
          <w:color w:val="000000"/>
          <w:sz w:val="24"/>
          <w:szCs w:val="24"/>
          <w:rtl/>
        </w:rPr>
        <w:t>ه</w:t>
      </w:r>
      <w:r w:rsidRPr="0062340E">
        <w:rPr>
          <w:rFonts w:ascii="Simplified Arabic" w:hAnsi="Simplified Arabic" w:cs="Simplified Arabic" w:hint="cs"/>
          <w:b/>
          <w:bCs/>
          <w:color w:val="000000"/>
          <w:sz w:val="24"/>
          <w:szCs w:val="24"/>
          <w:rtl/>
        </w:rPr>
        <w:t xml:space="preserve"> </w:t>
      </w:r>
      <w:r w:rsidR="00A54945" w:rsidRPr="0062340E">
        <w:rPr>
          <w:rFonts w:ascii="Simplified Arabic" w:hAnsi="Simplified Arabic" w:cs="Simplified Arabic" w:hint="cs"/>
          <w:color w:val="000000" w:themeColor="text1"/>
          <w:sz w:val="24"/>
          <w:szCs w:val="24"/>
          <w:rtl/>
          <w:lang w:val="en-US"/>
        </w:rPr>
        <w:t xml:space="preserve">الى غاية ثلاثينيات القرن العشرون، </w:t>
      </w:r>
      <w:r w:rsidRPr="0062340E">
        <w:rPr>
          <w:rFonts w:ascii="Simplified Arabic" w:hAnsi="Simplified Arabic" w:cs="Simplified Arabic" w:hint="cs"/>
          <w:color w:val="000000" w:themeColor="text1"/>
          <w:sz w:val="24"/>
          <w:szCs w:val="24"/>
          <w:rtl/>
          <w:lang w:val="en-US"/>
        </w:rPr>
        <w:t xml:space="preserve">العديد من الدراسات </w:t>
      </w:r>
      <w:r w:rsidR="00A54945" w:rsidRPr="0062340E">
        <w:rPr>
          <w:rFonts w:ascii="Simplified Arabic" w:hAnsi="Simplified Arabic" w:cs="Simplified Arabic" w:hint="cs"/>
          <w:color w:val="000000" w:themeColor="text1"/>
          <w:sz w:val="24"/>
          <w:szCs w:val="24"/>
          <w:rtl/>
          <w:lang w:val="en-US"/>
        </w:rPr>
        <w:t>التي</w:t>
      </w:r>
      <w:r w:rsidRPr="0062340E">
        <w:rPr>
          <w:rFonts w:ascii="Simplified Arabic" w:hAnsi="Simplified Arabic" w:cs="Simplified Arabic" w:hint="cs"/>
          <w:color w:val="000000" w:themeColor="text1"/>
          <w:sz w:val="24"/>
          <w:szCs w:val="24"/>
          <w:rtl/>
          <w:lang w:val="en-US"/>
        </w:rPr>
        <w:t xml:space="preserve"> </w:t>
      </w:r>
      <w:r w:rsidR="00A903CE" w:rsidRPr="0062340E">
        <w:rPr>
          <w:rFonts w:ascii="Simplified Arabic" w:hAnsi="Simplified Arabic" w:cs="Simplified Arabic" w:hint="cs"/>
          <w:color w:val="000000" w:themeColor="text1"/>
          <w:sz w:val="24"/>
          <w:szCs w:val="24"/>
          <w:rtl/>
          <w:lang w:val="en-US"/>
        </w:rPr>
        <w:t xml:space="preserve">تناولت موضوع الكثافة الحضرية. ركزت على توليد كثافات سكنية وسكانية منخفضة، كان من بين اصحاب هذا التوجه كلا من </w:t>
      </w:r>
      <w:r w:rsidR="00A903CE" w:rsidRPr="0062340E">
        <w:rPr>
          <w:rFonts w:asciiTheme="majorBidi" w:hAnsiTheme="majorBidi" w:cstheme="majorBidi"/>
          <w:sz w:val="24"/>
          <w:szCs w:val="24"/>
          <w:rtl/>
        </w:rPr>
        <w:t>(</w:t>
      </w:r>
      <w:r w:rsidR="00A903CE" w:rsidRPr="0062340E">
        <w:rPr>
          <w:rFonts w:asciiTheme="majorBidi" w:hAnsiTheme="majorBidi" w:cstheme="majorBidi"/>
          <w:sz w:val="24"/>
          <w:szCs w:val="24"/>
        </w:rPr>
        <w:t>Ebenezer, Stein and Henry, Wright</w:t>
      </w:r>
      <w:r w:rsidR="00A903CE" w:rsidRPr="0062340E">
        <w:rPr>
          <w:rFonts w:asciiTheme="majorBidi" w:hAnsiTheme="majorBidi" w:cstheme="majorBidi" w:hint="cs"/>
          <w:sz w:val="24"/>
          <w:szCs w:val="24"/>
          <w:rtl/>
        </w:rPr>
        <w:t>)</w:t>
      </w:r>
      <w:r w:rsidR="00A903CE" w:rsidRPr="0062340E">
        <w:rPr>
          <w:rFonts w:ascii="Simplified Arabic" w:hAnsi="Simplified Arabic" w:cs="Simplified Arabic"/>
          <w:sz w:val="24"/>
          <w:szCs w:val="24"/>
          <w:rtl/>
        </w:rPr>
        <w:t>.</w:t>
      </w:r>
      <w:r w:rsidR="00A903CE" w:rsidRPr="0062340E">
        <w:rPr>
          <w:rFonts w:hint="cs"/>
          <w:sz w:val="24"/>
          <w:szCs w:val="24"/>
          <w:rtl/>
        </w:rPr>
        <w:t xml:space="preserve"> </w:t>
      </w:r>
    </w:p>
    <w:p w:rsidR="003F65C7" w:rsidRPr="0062340E" w:rsidRDefault="00A903CE" w:rsidP="004D6C40">
      <w:pPr>
        <w:tabs>
          <w:tab w:val="right" w:pos="565"/>
        </w:tabs>
        <w:bidi/>
        <w:spacing w:after="0"/>
        <w:ind w:firstLine="282"/>
        <w:jc w:val="both"/>
        <w:rPr>
          <w:sz w:val="24"/>
          <w:szCs w:val="24"/>
          <w:rtl/>
        </w:rPr>
      </w:pPr>
      <w:r w:rsidRPr="0062340E">
        <w:rPr>
          <w:rFonts w:ascii="Simplified Arabic" w:hAnsi="Simplified Arabic" w:cs="Simplified Arabic" w:hint="cs"/>
          <w:color w:val="000000" w:themeColor="text1"/>
          <w:sz w:val="24"/>
          <w:szCs w:val="24"/>
          <w:rtl/>
          <w:lang w:val="en-US"/>
        </w:rPr>
        <w:lastRenderedPageBreak/>
        <w:t xml:space="preserve">هدفت المحاولة الاولى للمُنظّر الحضري </w:t>
      </w:r>
      <w:r w:rsidRPr="0062340E">
        <w:rPr>
          <w:rFonts w:asciiTheme="majorBidi" w:hAnsiTheme="majorBidi" w:cstheme="majorBidi"/>
          <w:sz w:val="24"/>
          <w:szCs w:val="24"/>
          <w:rtl/>
        </w:rPr>
        <w:t>(</w:t>
      </w:r>
      <w:r w:rsidRPr="0062340E">
        <w:rPr>
          <w:rFonts w:asciiTheme="majorBidi" w:hAnsiTheme="majorBidi" w:cstheme="majorBidi"/>
          <w:sz w:val="24"/>
          <w:szCs w:val="24"/>
        </w:rPr>
        <w:t>Howard Ebenezer</w:t>
      </w:r>
      <w:r w:rsidRPr="0062340E">
        <w:rPr>
          <w:rFonts w:asciiTheme="majorBidi" w:hAnsiTheme="majorBidi" w:cstheme="majorBidi" w:hint="cs"/>
          <w:sz w:val="24"/>
          <w:szCs w:val="24"/>
          <w:rtl/>
        </w:rPr>
        <w:t>)</w:t>
      </w:r>
      <w:r w:rsidRPr="0062340E">
        <w:rPr>
          <w:rFonts w:hint="cs"/>
          <w:sz w:val="24"/>
          <w:szCs w:val="24"/>
          <w:rtl/>
        </w:rPr>
        <w:t xml:space="preserve"> </w:t>
      </w:r>
      <w:r w:rsidR="00557CC2" w:rsidRPr="0062340E">
        <w:rPr>
          <w:rFonts w:ascii="Simplified Arabic" w:hAnsi="Simplified Arabic" w:cs="Simplified Arabic" w:hint="cs"/>
          <w:color w:val="000000" w:themeColor="text1"/>
          <w:sz w:val="24"/>
          <w:szCs w:val="24"/>
          <w:rtl/>
          <w:lang w:val="en-US"/>
        </w:rPr>
        <w:t xml:space="preserve">سنة 1898 </w:t>
      </w:r>
      <w:r w:rsidRPr="0062340E">
        <w:rPr>
          <w:rFonts w:ascii="Simplified Arabic" w:hAnsi="Simplified Arabic" w:cs="Simplified Arabic" w:hint="cs"/>
          <w:color w:val="000000" w:themeColor="text1"/>
          <w:sz w:val="24"/>
          <w:szCs w:val="24"/>
          <w:rtl/>
          <w:lang w:val="en-US"/>
        </w:rPr>
        <w:t>الى تكوين بيئة حضرية اقل كثافةً واكثر اخضرارًا من خلال مبادئ المدينة الحدائقية</w:t>
      </w:r>
      <w:r w:rsidRPr="0062340E">
        <w:rPr>
          <w:rFonts w:hint="cs"/>
          <w:sz w:val="24"/>
          <w:szCs w:val="24"/>
          <w:rtl/>
        </w:rPr>
        <w:t xml:space="preserve"> </w:t>
      </w:r>
      <w:r w:rsidRPr="0062340E">
        <w:rPr>
          <w:rFonts w:asciiTheme="majorBidi" w:hAnsiTheme="majorBidi" w:cstheme="majorBidi" w:hint="cs"/>
          <w:b/>
          <w:bCs/>
          <w:sz w:val="24"/>
          <w:szCs w:val="24"/>
          <w:rtl/>
        </w:rPr>
        <w:t>(</w:t>
      </w:r>
      <w:r w:rsidRPr="0062340E">
        <w:rPr>
          <w:rFonts w:asciiTheme="majorBidi" w:hAnsiTheme="majorBidi" w:cstheme="majorBidi"/>
          <w:b/>
          <w:bCs/>
          <w:sz w:val="24"/>
          <w:szCs w:val="24"/>
        </w:rPr>
        <w:t>City Garden</w:t>
      </w:r>
      <w:r w:rsidRPr="0062340E">
        <w:rPr>
          <w:rFonts w:asciiTheme="majorBidi" w:hAnsiTheme="majorBidi" w:cstheme="majorBidi" w:hint="cs"/>
          <w:b/>
          <w:bCs/>
          <w:sz w:val="24"/>
          <w:szCs w:val="24"/>
          <w:rtl/>
        </w:rPr>
        <w:t>)</w:t>
      </w:r>
      <w:r w:rsidRPr="0062340E">
        <w:rPr>
          <w:rFonts w:ascii="Simplified Arabic" w:hAnsi="Simplified Arabic" w:cs="Simplified Arabic" w:hint="cs"/>
          <w:color w:val="000000" w:themeColor="text1"/>
          <w:sz w:val="24"/>
          <w:szCs w:val="24"/>
          <w:rtl/>
          <w:lang w:val="en-US"/>
        </w:rPr>
        <w:t xml:space="preserve">. المخطط الحداثي </w:t>
      </w:r>
      <w:r w:rsidRPr="0062340E">
        <w:rPr>
          <w:rFonts w:asciiTheme="majorBidi" w:hAnsiTheme="majorBidi" w:cstheme="majorBidi" w:hint="cs"/>
          <w:sz w:val="24"/>
          <w:szCs w:val="24"/>
          <w:rtl/>
        </w:rPr>
        <w:t>(</w:t>
      </w:r>
      <w:r w:rsidRPr="0062340E">
        <w:rPr>
          <w:rFonts w:asciiTheme="majorBidi" w:hAnsiTheme="majorBidi" w:cstheme="majorBidi"/>
          <w:sz w:val="24"/>
          <w:szCs w:val="24"/>
        </w:rPr>
        <w:t>Frank Lloyd Wright</w:t>
      </w:r>
      <w:r w:rsidRPr="0062340E">
        <w:rPr>
          <w:rFonts w:asciiTheme="majorBidi" w:hAnsiTheme="majorBidi" w:cstheme="majorBidi" w:hint="cs"/>
          <w:sz w:val="24"/>
          <w:szCs w:val="24"/>
          <w:rtl/>
        </w:rPr>
        <w:t>)</w:t>
      </w:r>
      <w:r w:rsidRPr="0062340E">
        <w:rPr>
          <w:rFonts w:asciiTheme="majorBidi" w:hAnsiTheme="majorBidi" w:cstheme="majorBidi" w:hint="cs"/>
          <w:b/>
          <w:bCs/>
          <w:sz w:val="24"/>
          <w:szCs w:val="24"/>
          <w:rtl/>
        </w:rPr>
        <w:t xml:space="preserve"> </w:t>
      </w:r>
      <w:r w:rsidRPr="0062340E">
        <w:rPr>
          <w:rFonts w:ascii="Simplified Arabic" w:hAnsi="Simplified Arabic" w:cs="Simplified Arabic" w:hint="cs"/>
          <w:color w:val="000000" w:themeColor="text1"/>
          <w:sz w:val="24"/>
          <w:szCs w:val="24"/>
          <w:rtl/>
          <w:lang w:val="en-US"/>
        </w:rPr>
        <w:t xml:space="preserve">هو الآخر من الذين اثروا في هذا الجانب، حيث اشار </w:t>
      </w:r>
      <w:r w:rsidR="007D4102" w:rsidRPr="0062340E">
        <w:rPr>
          <w:rFonts w:ascii="Simplified Arabic" w:hAnsi="Simplified Arabic" w:cs="Simplified Arabic" w:hint="cs"/>
          <w:color w:val="000000" w:themeColor="text1"/>
          <w:sz w:val="24"/>
          <w:szCs w:val="24"/>
          <w:rtl/>
          <w:lang w:val="en-US"/>
        </w:rPr>
        <w:t xml:space="preserve">سنة 1935 </w:t>
      </w:r>
      <w:r w:rsidRPr="0062340E">
        <w:rPr>
          <w:rFonts w:ascii="Simplified Arabic" w:hAnsi="Simplified Arabic" w:cs="Simplified Arabic" w:hint="cs"/>
          <w:color w:val="000000" w:themeColor="text1"/>
          <w:sz w:val="24"/>
          <w:szCs w:val="24"/>
          <w:rtl/>
          <w:lang w:val="en-US"/>
        </w:rPr>
        <w:t xml:space="preserve">الى انه يمكن تشكيل الضواحي لإنقاذ المدن من الحياة الرديئة و الكثافة العالية. عكس ذلك، كانت المخططة الحضرية </w:t>
      </w:r>
      <w:r w:rsidRPr="0062340E">
        <w:rPr>
          <w:rFonts w:asciiTheme="majorBidi" w:hAnsiTheme="majorBidi" w:cstheme="majorBidi" w:hint="cs"/>
          <w:sz w:val="24"/>
          <w:szCs w:val="24"/>
          <w:rtl/>
        </w:rPr>
        <w:t>(</w:t>
      </w:r>
      <w:r w:rsidRPr="0062340E">
        <w:rPr>
          <w:rFonts w:asciiTheme="majorBidi" w:hAnsiTheme="majorBidi" w:cstheme="majorBidi"/>
          <w:sz w:val="24"/>
          <w:szCs w:val="24"/>
        </w:rPr>
        <w:t>Jacobs, 1961</w:t>
      </w:r>
      <w:r w:rsidRPr="0062340E">
        <w:rPr>
          <w:rFonts w:asciiTheme="majorBidi" w:hAnsiTheme="majorBidi" w:cstheme="majorBidi" w:hint="cs"/>
          <w:sz w:val="24"/>
          <w:szCs w:val="24"/>
          <w:rtl/>
        </w:rPr>
        <w:t>)</w:t>
      </w:r>
      <w:r w:rsidRPr="0062340E">
        <w:rPr>
          <w:rFonts w:hint="cs"/>
          <w:sz w:val="24"/>
          <w:szCs w:val="24"/>
          <w:rtl/>
        </w:rPr>
        <w:t xml:space="preserve"> </w:t>
      </w:r>
      <w:r w:rsidRPr="0062340E">
        <w:rPr>
          <w:rFonts w:ascii="Simplified Arabic" w:hAnsi="Simplified Arabic" w:cs="Simplified Arabic" w:hint="cs"/>
          <w:color w:val="000000" w:themeColor="text1"/>
          <w:sz w:val="24"/>
          <w:szCs w:val="24"/>
          <w:rtl/>
          <w:lang w:val="en-US"/>
        </w:rPr>
        <w:t>من بين المعارضين لهؤلاء المنظرين الحداثيين امثال</w:t>
      </w:r>
      <w:r w:rsidRPr="0062340E">
        <w:rPr>
          <w:rFonts w:hint="cs"/>
          <w:sz w:val="24"/>
          <w:szCs w:val="24"/>
          <w:rtl/>
        </w:rPr>
        <w:t xml:space="preserve"> </w:t>
      </w:r>
      <w:r w:rsidRPr="0062340E">
        <w:rPr>
          <w:rFonts w:asciiTheme="majorBidi" w:hAnsiTheme="majorBidi" w:cstheme="majorBidi" w:hint="cs"/>
          <w:sz w:val="24"/>
          <w:szCs w:val="24"/>
          <w:rtl/>
        </w:rPr>
        <w:t>(</w:t>
      </w:r>
      <w:r w:rsidRPr="0062340E">
        <w:rPr>
          <w:rFonts w:asciiTheme="majorBidi" w:hAnsiTheme="majorBidi" w:cstheme="majorBidi"/>
          <w:sz w:val="24"/>
          <w:szCs w:val="24"/>
        </w:rPr>
        <w:t>Ebenezer, Wright</w:t>
      </w:r>
      <w:r w:rsidRPr="0062340E">
        <w:rPr>
          <w:rFonts w:asciiTheme="majorBidi" w:hAnsiTheme="majorBidi" w:cstheme="majorBidi" w:hint="cs"/>
          <w:sz w:val="24"/>
          <w:szCs w:val="24"/>
          <w:rtl/>
        </w:rPr>
        <w:t>).</w:t>
      </w:r>
      <w:r w:rsidRPr="0062340E">
        <w:rPr>
          <w:rFonts w:hint="cs"/>
          <w:sz w:val="24"/>
          <w:szCs w:val="24"/>
          <w:rtl/>
        </w:rPr>
        <w:t xml:space="preserve"> </w:t>
      </w:r>
    </w:p>
    <w:p w:rsidR="00A903CE" w:rsidRPr="0062340E" w:rsidRDefault="00A903CE" w:rsidP="004D6C40">
      <w:pPr>
        <w:tabs>
          <w:tab w:val="right" w:pos="565"/>
        </w:tabs>
        <w:bidi/>
        <w:spacing w:after="0"/>
        <w:ind w:firstLine="282"/>
        <w:jc w:val="both"/>
        <w:rPr>
          <w:rFonts w:ascii="Simplified Arabic" w:hAnsi="Simplified Arabic" w:cs="Simplified Arabic"/>
          <w:color w:val="000000" w:themeColor="text1"/>
          <w:sz w:val="24"/>
          <w:szCs w:val="24"/>
          <w:rtl/>
          <w:lang w:val="en-US"/>
        </w:rPr>
      </w:pPr>
      <w:r w:rsidRPr="0062340E">
        <w:rPr>
          <w:rFonts w:ascii="Simplified Arabic" w:hAnsi="Simplified Arabic" w:cs="Simplified Arabic" w:hint="cs"/>
          <w:color w:val="000000" w:themeColor="text1"/>
          <w:sz w:val="24"/>
          <w:szCs w:val="24"/>
          <w:rtl/>
          <w:lang w:val="en-US"/>
        </w:rPr>
        <w:t xml:space="preserve">المُؤلف الذي نشرته </w:t>
      </w:r>
      <w:r w:rsidRPr="0062340E">
        <w:rPr>
          <w:rFonts w:asciiTheme="majorBidi" w:hAnsiTheme="majorBidi" w:cstheme="majorBidi" w:hint="cs"/>
          <w:sz w:val="24"/>
          <w:szCs w:val="24"/>
          <w:rtl/>
        </w:rPr>
        <w:t>(</w:t>
      </w:r>
      <w:r w:rsidRPr="0062340E">
        <w:rPr>
          <w:rFonts w:asciiTheme="majorBidi" w:hAnsiTheme="majorBidi" w:cstheme="majorBidi"/>
          <w:sz w:val="24"/>
          <w:szCs w:val="24"/>
        </w:rPr>
        <w:t>Jacobs</w:t>
      </w:r>
      <w:r w:rsidRPr="0062340E">
        <w:rPr>
          <w:rFonts w:asciiTheme="majorBidi" w:hAnsiTheme="majorBidi" w:cstheme="majorBidi"/>
          <w:b/>
          <w:bCs/>
          <w:sz w:val="24"/>
          <w:szCs w:val="24"/>
        </w:rPr>
        <w:t xml:space="preserve"> </w:t>
      </w:r>
      <w:r w:rsidRPr="0062340E">
        <w:rPr>
          <w:rFonts w:asciiTheme="majorBidi" w:hAnsiTheme="majorBidi" w:cstheme="majorBidi"/>
          <w:sz w:val="24"/>
          <w:szCs w:val="24"/>
        </w:rPr>
        <w:t>Jane</w:t>
      </w:r>
      <w:r w:rsidRPr="0062340E">
        <w:rPr>
          <w:rFonts w:asciiTheme="majorBidi" w:hAnsiTheme="majorBidi" w:cstheme="majorBidi" w:hint="cs"/>
          <w:sz w:val="24"/>
          <w:szCs w:val="24"/>
          <w:rtl/>
        </w:rPr>
        <w:t>)</w:t>
      </w:r>
      <w:r w:rsidRPr="0062340E">
        <w:rPr>
          <w:rFonts w:ascii="Simplified Arabic" w:hAnsi="Simplified Arabic" w:cs="Simplified Arabic" w:hint="cs"/>
          <w:color w:val="000000" w:themeColor="text1"/>
          <w:sz w:val="24"/>
          <w:szCs w:val="24"/>
          <w:rtl/>
          <w:lang w:val="en-US"/>
        </w:rPr>
        <w:t xml:space="preserve"> سنة 1961 قدمت فيه افكارها و مبادئها حول فكرة تنوع المدن. من بين </w:t>
      </w:r>
      <w:r w:rsidR="009533B0" w:rsidRPr="0062340E">
        <w:rPr>
          <w:rFonts w:ascii="Simplified Arabic" w:hAnsi="Simplified Arabic" w:cs="Simplified Arabic" w:hint="cs"/>
          <w:color w:val="000000" w:themeColor="text1"/>
          <w:sz w:val="24"/>
          <w:szCs w:val="24"/>
          <w:rtl/>
          <w:lang w:val="en-US"/>
        </w:rPr>
        <w:t xml:space="preserve">تلك </w:t>
      </w:r>
      <w:r w:rsidRPr="0062340E">
        <w:rPr>
          <w:rFonts w:ascii="Simplified Arabic" w:hAnsi="Simplified Arabic" w:cs="Simplified Arabic" w:hint="cs"/>
          <w:color w:val="000000" w:themeColor="text1"/>
          <w:sz w:val="24"/>
          <w:szCs w:val="24"/>
          <w:rtl/>
          <w:lang w:val="en-US"/>
        </w:rPr>
        <w:t xml:space="preserve">المبادئ، الحاجة الى كثافة سكنية واسكانية اعلى في المدن. في مقابل ذلك تبين ان دعوة </w:t>
      </w:r>
      <w:r w:rsidRPr="0062340E">
        <w:rPr>
          <w:rFonts w:asciiTheme="majorBidi" w:hAnsiTheme="majorBidi" w:cstheme="majorBidi" w:hint="cs"/>
          <w:sz w:val="24"/>
          <w:szCs w:val="24"/>
          <w:rtl/>
        </w:rPr>
        <w:t>(</w:t>
      </w:r>
      <w:r w:rsidRPr="0062340E">
        <w:rPr>
          <w:rFonts w:asciiTheme="majorBidi" w:hAnsiTheme="majorBidi" w:cstheme="majorBidi"/>
          <w:sz w:val="24"/>
          <w:szCs w:val="24"/>
        </w:rPr>
        <w:t>Ebenezer, Wright</w:t>
      </w:r>
      <w:r w:rsidRPr="0062340E">
        <w:rPr>
          <w:rFonts w:asciiTheme="majorBidi" w:hAnsiTheme="majorBidi" w:cstheme="majorBidi" w:hint="cs"/>
          <w:sz w:val="24"/>
          <w:szCs w:val="24"/>
          <w:rtl/>
        </w:rPr>
        <w:t>)</w:t>
      </w:r>
      <w:r w:rsidRPr="0062340E">
        <w:rPr>
          <w:rFonts w:ascii="Simplified Arabic" w:hAnsi="Simplified Arabic" w:cs="Simplified Arabic" w:hint="cs"/>
          <w:color w:val="000000" w:themeColor="text1"/>
          <w:sz w:val="24"/>
          <w:szCs w:val="24"/>
          <w:rtl/>
          <w:lang w:val="en-US"/>
        </w:rPr>
        <w:t xml:space="preserve"> الى تكوين بيئة حضرية اقل كثافة</w:t>
      </w:r>
      <w:r w:rsidR="005F4190" w:rsidRPr="0062340E">
        <w:rPr>
          <w:rFonts w:ascii="Simplified Arabic" w:hAnsi="Simplified Arabic" w:cs="Simplified Arabic" w:hint="cs"/>
          <w:color w:val="000000" w:themeColor="text1"/>
          <w:sz w:val="24"/>
          <w:szCs w:val="24"/>
          <w:rtl/>
          <w:lang w:val="en-US"/>
        </w:rPr>
        <w:t xml:space="preserve"> يمكن ان تفهم على انها تساهم في حل مشاكل الاختناق المروري</w:t>
      </w:r>
      <w:r w:rsidRPr="0062340E">
        <w:rPr>
          <w:rFonts w:asciiTheme="majorBidi" w:hAnsiTheme="majorBidi" w:cstheme="majorBidi" w:hint="cs"/>
          <w:color w:val="0D0D0D"/>
          <w:sz w:val="24"/>
          <w:szCs w:val="24"/>
          <w:rtl/>
        </w:rPr>
        <w:t xml:space="preserve">. </w:t>
      </w:r>
      <w:r w:rsidR="005F4190" w:rsidRPr="0062340E">
        <w:rPr>
          <w:rFonts w:ascii="Simplified Arabic" w:hAnsi="Simplified Arabic" w:cs="Simplified Arabic" w:hint="cs"/>
          <w:color w:val="000000" w:themeColor="text1"/>
          <w:sz w:val="24"/>
          <w:szCs w:val="24"/>
          <w:rtl/>
          <w:lang w:val="en-US"/>
        </w:rPr>
        <w:t>بينما في الوقت الحالي،</w:t>
      </w:r>
      <w:r w:rsidRPr="0062340E">
        <w:rPr>
          <w:rFonts w:ascii="Simplified Arabic" w:hAnsi="Simplified Arabic" w:cs="Simplified Arabic" w:hint="cs"/>
          <w:color w:val="000000" w:themeColor="text1"/>
          <w:sz w:val="24"/>
          <w:szCs w:val="24"/>
          <w:rtl/>
          <w:lang w:val="en-US"/>
        </w:rPr>
        <w:t xml:space="preserve"> الكثافة هي سمة من سمات المرونة الحضرية التي تحدث عنها الكثير من الدارسين </w:t>
      </w:r>
      <w:r w:rsidRPr="0062340E">
        <w:rPr>
          <w:rFonts w:asciiTheme="majorBidi" w:hAnsiTheme="majorBidi" w:cstheme="majorBidi"/>
          <w:color w:val="000000" w:themeColor="text1"/>
          <w:sz w:val="24"/>
          <w:szCs w:val="24"/>
        </w:rPr>
        <w:t>(Godschalk, 2003; Rose, 2011; Winderl, 2015)</w:t>
      </w:r>
      <w:r w:rsidR="005F4190" w:rsidRPr="0062340E">
        <w:rPr>
          <w:rFonts w:ascii="Simplified Arabic" w:hAnsi="Simplified Arabic" w:cs="Simplified Arabic" w:hint="cs"/>
          <w:color w:val="000000" w:themeColor="text1"/>
          <w:sz w:val="24"/>
          <w:szCs w:val="24"/>
          <w:rtl/>
          <w:lang w:val="en-US"/>
        </w:rPr>
        <w:t xml:space="preserve">، يمكن ان تفهم على انها </w:t>
      </w:r>
      <w:r w:rsidR="005F4190" w:rsidRPr="0062340E">
        <w:rPr>
          <w:rFonts w:ascii="Simplified Arabic" w:hAnsi="Simplified Arabic" w:cs="Simplified Arabic" w:hint="cs"/>
          <w:sz w:val="24"/>
          <w:szCs w:val="24"/>
          <w:rtl/>
        </w:rPr>
        <w:t>تؤثر على مستويات</w:t>
      </w:r>
      <w:r w:rsidR="005F4190" w:rsidRPr="0062340E">
        <w:rPr>
          <w:rFonts w:ascii="Simplified Arabic" w:hAnsi="Simplified Arabic" w:cs="Simplified Arabic"/>
          <w:sz w:val="24"/>
          <w:szCs w:val="24"/>
          <w:rtl/>
        </w:rPr>
        <w:t xml:space="preserve"> </w:t>
      </w:r>
      <w:r w:rsidR="005F4190" w:rsidRPr="0062340E">
        <w:rPr>
          <w:rFonts w:ascii="Simplified Arabic" w:hAnsi="Simplified Arabic" w:cs="Simplified Arabic" w:hint="cs"/>
          <w:sz w:val="24"/>
          <w:szCs w:val="24"/>
          <w:rtl/>
        </w:rPr>
        <w:t>المرونة</w:t>
      </w:r>
      <w:r w:rsidR="005F4190" w:rsidRPr="0062340E">
        <w:rPr>
          <w:rFonts w:ascii="Simplified Arabic" w:hAnsi="Simplified Arabic" w:cs="Simplified Arabic"/>
          <w:sz w:val="24"/>
          <w:szCs w:val="24"/>
          <w:rtl/>
        </w:rPr>
        <w:t xml:space="preserve"> </w:t>
      </w:r>
      <w:r w:rsidR="005F4190" w:rsidRPr="0062340E">
        <w:rPr>
          <w:rFonts w:ascii="Simplified Arabic" w:hAnsi="Simplified Arabic" w:cs="Simplified Arabic" w:hint="cs"/>
          <w:sz w:val="24"/>
          <w:szCs w:val="24"/>
          <w:rtl/>
        </w:rPr>
        <w:t>في المناطق</w:t>
      </w:r>
      <w:r w:rsidR="005F4190" w:rsidRPr="0062340E">
        <w:rPr>
          <w:rFonts w:ascii="Simplified Arabic" w:hAnsi="Simplified Arabic" w:cs="Simplified Arabic"/>
          <w:sz w:val="24"/>
          <w:szCs w:val="24"/>
          <w:rtl/>
        </w:rPr>
        <w:t xml:space="preserve"> </w:t>
      </w:r>
      <w:r w:rsidR="005F4190" w:rsidRPr="0062340E">
        <w:rPr>
          <w:rFonts w:ascii="Simplified Arabic" w:hAnsi="Simplified Arabic" w:cs="Simplified Arabic" w:hint="cs"/>
          <w:sz w:val="24"/>
          <w:szCs w:val="24"/>
          <w:rtl/>
        </w:rPr>
        <w:t>الحضرية.</w:t>
      </w:r>
    </w:p>
    <w:p w:rsidR="00D00AFE" w:rsidRPr="0062340E" w:rsidRDefault="00A903CE" w:rsidP="00F40C39">
      <w:pPr>
        <w:tabs>
          <w:tab w:val="right" w:pos="-1"/>
        </w:tabs>
        <w:bidi/>
        <w:spacing w:after="0"/>
        <w:ind w:left="-1" w:firstLine="283"/>
        <w:jc w:val="both"/>
        <w:rPr>
          <w:rFonts w:ascii="Simplified Arabic" w:hAnsi="Simplified Arabic" w:cs="Simplified Arabic"/>
          <w:color w:val="000000" w:themeColor="text1"/>
          <w:sz w:val="24"/>
          <w:szCs w:val="24"/>
          <w:rtl/>
          <w:lang w:bidi="ar-DZ"/>
        </w:rPr>
      </w:pPr>
      <w:r w:rsidRPr="0062340E">
        <w:rPr>
          <w:rFonts w:ascii="Simplified Arabic" w:hAnsi="Simplified Arabic" w:cs="Simplified Arabic" w:hint="cs"/>
          <w:sz w:val="24"/>
          <w:szCs w:val="24"/>
          <w:rtl/>
        </w:rPr>
        <w:t>في الوقت الحالي، الكثير من الابحاث تطرقت الى موضوع الكثافة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استخدمت كمفهوم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دراسات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b/>
          <w:bCs/>
          <w:color w:val="FF0000"/>
          <w:sz w:val="24"/>
          <w:szCs w:val="24"/>
          <w:rtl/>
          <w:lang w:bidi="ar-DZ"/>
        </w:rPr>
        <w:t xml:space="preserve"> </w:t>
      </w:r>
      <w:r w:rsidRPr="0062340E">
        <w:rPr>
          <w:rFonts w:asciiTheme="majorBidi" w:hAnsiTheme="majorBidi" w:cstheme="majorBidi"/>
          <w:color w:val="0D0D0D"/>
          <w:sz w:val="24"/>
          <w:szCs w:val="24"/>
          <w:rtl/>
        </w:rPr>
        <w:t>(</w:t>
      </w:r>
      <w:r w:rsidRPr="0062340E">
        <w:rPr>
          <w:rFonts w:asciiTheme="majorBidi" w:hAnsiTheme="majorBidi" w:cstheme="majorBidi"/>
          <w:color w:val="000000" w:themeColor="text1"/>
          <w:sz w:val="24"/>
          <w:szCs w:val="24"/>
        </w:rPr>
        <w:t>Nouibat, 2007; Lu et al., 2017</w:t>
      </w:r>
      <w:r w:rsidRPr="0062340E">
        <w:rPr>
          <w:rFonts w:ascii="Simplified Arabic" w:hAnsi="Simplified Arabic" w:cs="Simplified Arabic"/>
          <w:color w:val="000000" w:themeColor="text1"/>
          <w:sz w:val="24"/>
          <w:szCs w:val="24"/>
          <w:rtl/>
          <w:lang w:bidi="ar-DZ"/>
        </w:rPr>
        <w:t>)</w:t>
      </w:r>
      <w:r w:rsidRPr="0062340E">
        <w:rPr>
          <w:rFonts w:ascii="Simplified Arabic" w:hAnsi="Simplified Arabic" w:cs="Simplified Arabic" w:hint="cs"/>
          <w:color w:val="000000" w:themeColor="text1"/>
          <w:sz w:val="24"/>
          <w:szCs w:val="24"/>
          <w:rtl/>
          <w:lang w:bidi="ar-DZ"/>
        </w:rPr>
        <w:t>. قد</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تشير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الكثافة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إلى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الخصائص</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المورفولوجية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أو</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الوظيفية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للنمو</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 وتستخدم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بشكل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مكثف</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الجغرافيا</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والتخطيط</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والتصميم الحضريين</w:t>
      </w:r>
      <w:r w:rsidRPr="0062340E">
        <w:rPr>
          <w:rFonts w:ascii="Simplified Arabic" w:hAnsi="Simplified Arabic" w:cs="Simplified Arabic"/>
          <w:color w:val="000000" w:themeColor="text1"/>
          <w:sz w:val="24"/>
          <w:szCs w:val="24"/>
          <w:rtl/>
          <w:lang w:bidi="ar-DZ"/>
        </w:rPr>
        <w:t xml:space="preserve">. </w:t>
      </w:r>
    </w:p>
    <w:p w:rsidR="00A903CE" w:rsidRPr="0062340E" w:rsidRDefault="00A903CE" w:rsidP="003E1ECC">
      <w:pPr>
        <w:tabs>
          <w:tab w:val="right" w:pos="-1"/>
        </w:tabs>
        <w:bidi/>
        <w:spacing w:after="0"/>
        <w:ind w:left="-1" w:firstLine="283"/>
        <w:jc w:val="both"/>
        <w:rPr>
          <w:rFonts w:ascii="Simplified Arabic" w:hAnsi="Simplified Arabic" w:cs="Simplified Arabic"/>
          <w:color w:val="000000" w:themeColor="text1"/>
          <w:sz w:val="24"/>
          <w:szCs w:val="24"/>
          <w:rtl/>
          <w:lang w:bidi="ar-DZ"/>
        </w:rPr>
      </w:pPr>
      <w:r w:rsidRPr="0062340E">
        <w:rPr>
          <w:rFonts w:ascii="Simplified Arabic" w:hAnsi="Simplified Arabic" w:cs="Simplified Arabic" w:hint="cs"/>
          <w:color w:val="000000" w:themeColor="text1"/>
          <w:sz w:val="24"/>
          <w:szCs w:val="24"/>
          <w:rtl/>
          <w:lang w:val="en-US"/>
        </w:rPr>
        <w:t>حسب</w:t>
      </w:r>
      <w:r w:rsidRPr="0062340E">
        <w:rPr>
          <w:rFonts w:ascii="Simplified Arabic" w:hAnsi="Simplified Arabic" w:cs="Simplified Arabic" w:hint="cs"/>
          <w:color w:val="000000" w:themeColor="text1"/>
          <w:sz w:val="24"/>
          <w:szCs w:val="24"/>
          <w:rtl/>
          <w:lang w:bidi="ar-DZ"/>
        </w:rPr>
        <w:t xml:space="preserve"> </w:t>
      </w:r>
      <w:r w:rsidRPr="0062340E">
        <w:rPr>
          <w:rFonts w:asciiTheme="majorBidi" w:hAnsiTheme="majorBidi" w:cstheme="majorBidi" w:hint="cs"/>
          <w:sz w:val="24"/>
          <w:szCs w:val="24"/>
          <w:rtl/>
        </w:rPr>
        <w:t xml:space="preserve">(2007 </w:t>
      </w:r>
      <w:r w:rsidR="00F40C39" w:rsidRPr="0062340E">
        <w:rPr>
          <w:rFonts w:ascii="Times New Roman" w:eastAsia="Times New Roman" w:hAnsi="Times New Roman" w:cs="Times New Roman"/>
          <w:color w:val="000000"/>
          <w:sz w:val="24"/>
          <w:szCs w:val="24"/>
          <w:lang w:val="en-US" w:eastAsia="fr-FR"/>
        </w:rPr>
        <w:t>Berghauser Pont</w:t>
      </w:r>
      <w:r w:rsidR="00F40C39" w:rsidRPr="0062340E">
        <w:rPr>
          <w:rFonts w:asciiTheme="majorBidi" w:hAnsiTheme="majorBidi" w:cstheme="majorBidi"/>
          <w:sz w:val="24"/>
          <w:szCs w:val="24"/>
        </w:rPr>
        <w:t xml:space="preserve"> </w:t>
      </w:r>
      <w:r w:rsidRPr="0062340E">
        <w:rPr>
          <w:rFonts w:asciiTheme="majorBidi" w:hAnsiTheme="majorBidi" w:cstheme="majorBidi"/>
          <w:sz w:val="24"/>
          <w:szCs w:val="24"/>
        </w:rPr>
        <w:t>and Haupt,</w:t>
      </w:r>
      <w:r w:rsidRPr="0062340E">
        <w:rPr>
          <w:rFonts w:asciiTheme="majorBidi" w:hAnsiTheme="majorBidi" w:cstheme="majorBidi" w:hint="cs"/>
          <w:sz w:val="24"/>
          <w:szCs w:val="24"/>
          <w:rtl/>
        </w:rPr>
        <w:t>)</w:t>
      </w:r>
      <w:r w:rsidRPr="0062340E">
        <w:rPr>
          <w:rFonts w:ascii="Simplified Arabic" w:hAnsi="Simplified Arabic" w:cs="Simplified Arabic"/>
          <w:sz w:val="24"/>
          <w:szCs w:val="24"/>
          <w:rtl/>
        </w:rPr>
        <w:t>،</w:t>
      </w:r>
      <w:r w:rsidRPr="0062340E">
        <w:rPr>
          <w:rFonts w:ascii="Simplified Arabic" w:hAnsi="Simplified Arabic" w:cs="Simplified Arabic" w:hint="cs"/>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val="en-US"/>
        </w:rPr>
        <w:t xml:space="preserve">تشير الكثافة الى تلك العلاقة التي تربط بين مساحة معينة وعدد الاشخاص او الوحدات التي تشغل هذه المساحة. </w:t>
      </w:r>
      <w:r w:rsidRPr="0062340E">
        <w:rPr>
          <w:rFonts w:ascii="Simplified Arabic" w:hAnsi="Simplified Arabic" w:cs="Simplified Arabic" w:hint="cs"/>
          <w:color w:val="000000" w:themeColor="text1"/>
          <w:sz w:val="24"/>
          <w:szCs w:val="24"/>
          <w:rtl/>
          <w:lang w:bidi="ar-DZ"/>
        </w:rPr>
        <w:t xml:space="preserve">وفقاً لـ </w:t>
      </w:r>
      <w:r w:rsidRPr="0062340E">
        <w:rPr>
          <w:rFonts w:asciiTheme="majorBidi" w:hAnsiTheme="majorBidi" w:cstheme="majorBidi"/>
          <w:color w:val="000000" w:themeColor="text1"/>
          <w:sz w:val="24"/>
          <w:szCs w:val="24"/>
          <w:rtl/>
          <w:lang w:bidi="ar-DZ"/>
        </w:rPr>
        <w:t>(</w:t>
      </w:r>
      <w:r w:rsidRPr="0062340E">
        <w:rPr>
          <w:rFonts w:asciiTheme="majorBidi" w:hAnsiTheme="majorBidi" w:cstheme="majorBidi"/>
          <w:color w:val="000000" w:themeColor="text1"/>
          <w:sz w:val="24"/>
          <w:szCs w:val="24"/>
          <w:lang w:bidi="ar-DZ"/>
        </w:rPr>
        <w:t>Hamaina et al., 2014</w:t>
      </w:r>
      <w:r w:rsidRPr="0062340E">
        <w:rPr>
          <w:rFonts w:asciiTheme="majorBidi" w:hAnsiTheme="majorBidi" w:cstheme="majorBidi"/>
          <w:color w:val="000000" w:themeColor="text1"/>
          <w:sz w:val="24"/>
          <w:szCs w:val="24"/>
          <w:rtl/>
          <w:lang w:bidi="ar-DZ"/>
        </w:rPr>
        <w:t>)</w:t>
      </w:r>
      <w:r w:rsidRPr="0062340E">
        <w:rPr>
          <w:rFonts w:ascii="Simplified Arabic" w:hAnsi="Simplified Arabic" w:cs="Simplified Arabic" w:hint="cs"/>
          <w:color w:val="000000" w:themeColor="text1"/>
          <w:sz w:val="24"/>
          <w:szCs w:val="24"/>
          <w:rtl/>
          <w:lang w:bidi="ar-DZ"/>
        </w:rPr>
        <w:t>، يمكن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تعريف الكثافة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أنها</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مقياس</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تركيز</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كيانات</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معينة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منطقة</w:t>
      </w:r>
      <w:r w:rsidRPr="0062340E">
        <w:rPr>
          <w:rFonts w:ascii="Simplified Arabic" w:hAnsi="Simplified Arabic" w:cs="Simplified Arabic"/>
          <w:color w:val="000000" w:themeColor="text1"/>
          <w:sz w:val="24"/>
          <w:szCs w:val="24"/>
          <w:rtl/>
          <w:lang w:bidi="ar-DZ"/>
        </w:rPr>
        <w:t xml:space="preserve"> </w:t>
      </w:r>
      <w:r w:rsidR="0067677B" w:rsidRPr="0062340E">
        <w:rPr>
          <w:rFonts w:ascii="Simplified Arabic" w:hAnsi="Simplified Arabic" w:cs="Simplified Arabic" w:hint="cs"/>
          <w:color w:val="000000" w:themeColor="text1"/>
          <w:sz w:val="24"/>
          <w:szCs w:val="24"/>
          <w:rtl/>
          <w:lang w:bidi="ar-DZ"/>
        </w:rPr>
        <w:t>ما</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مقاييس الكثافة هي تلك الكيانات</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شائعة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الاستخدام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التحليل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المتمثلة 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السكان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والمباني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والخدمات</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والوظائف</w:t>
      </w:r>
      <w:r w:rsidRPr="0062340E">
        <w:rPr>
          <w:rFonts w:ascii="Simplified Arabic" w:hAnsi="Simplified Arabic" w:cs="Simplified Arabic"/>
          <w:b/>
          <w:bCs/>
          <w:color w:val="FF0000"/>
          <w:sz w:val="24"/>
          <w:szCs w:val="24"/>
          <w:rtl/>
          <w:lang w:bidi="ar-DZ"/>
        </w:rPr>
        <w:t xml:space="preserve"> </w:t>
      </w:r>
      <w:r w:rsidRPr="0062340E">
        <w:rPr>
          <w:rFonts w:asciiTheme="majorBidi" w:hAnsiTheme="majorBidi" w:cstheme="majorBidi"/>
          <w:color w:val="0D0D0D"/>
          <w:sz w:val="24"/>
          <w:szCs w:val="24"/>
          <w:rtl/>
        </w:rPr>
        <w:t>(</w:t>
      </w:r>
      <w:r w:rsidRPr="0062340E">
        <w:rPr>
          <w:rFonts w:asciiTheme="majorBidi" w:hAnsiTheme="majorBidi" w:cstheme="majorBidi"/>
          <w:color w:val="000000" w:themeColor="text1"/>
          <w:sz w:val="24"/>
          <w:szCs w:val="24"/>
        </w:rPr>
        <w:t>Nouibat, 2007;</w:t>
      </w:r>
      <w:r w:rsidRPr="0062340E">
        <w:rPr>
          <w:rFonts w:asciiTheme="majorBidi" w:hAnsiTheme="majorBidi" w:cstheme="majorBidi"/>
          <w:color w:val="000000" w:themeColor="text1"/>
          <w:sz w:val="24"/>
          <w:szCs w:val="24"/>
          <w:lang w:bidi="ar-DZ"/>
        </w:rPr>
        <w:t xml:space="preserve"> Hamaina et al., 2014</w:t>
      </w:r>
      <w:r w:rsidRPr="0062340E">
        <w:rPr>
          <w:rFonts w:asciiTheme="majorBidi" w:hAnsiTheme="majorBidi" w:cstheme="majorBidi"/>
          <w:color w:val="000000" w:themeColor="text1"/>
          <w:sz w:val="24"/>
          <w:szCs w:val="24"/>
        </w:rPr>
        <w:t>;</w:t>
      </w:r>
      <w:r w:rsidRPr="0062340E">
        <w:rPr>
          <w:rFonts w:asciiTheme="majorBidi" w:hAnsiTheme="majorBidi" w:cstheme="majorBidi"/>
          <w:color w:val="000000" w:themeColor="text1"/>
          <w:sz w:val="24"/>
          <w:szCs w:val="24"/>
          <w:lang w:val="en-US"/>
        </w:rPr>
        <w:t xml:space="preserve"> </w:t>
      </w:r>
      <w:r w:rsidRPr="0062340E">
        <w:rPr>
          <w:rFonts w:asciiTheme="majorBidi" w:hAnsiTheme="majorBidi" w:cstheme="majorBidi"/>
          <w:color w:val="000000" w:themeColor="text1"/>
          <w:sz w:val="24"/>
          <w:szCs w:val="24"/>
        </w:rPr>
        <w:t>Lu et al., 2017</w:t>
      </w:r>
      <w:r w:rsidRPr="0062340E">
        <w:rPr>
          <w:rFonts w:asciiTheme="majorBidi" w:hAnsiTheme="majorBidi" w:cstheme="majorBidi"/>
          <w:color w:val="000000" w:themeColor="text1"/>
          <w:sz w:val="24"/>
          <w:szCs w:val="24"/>
          <w:rtl/>
          <w:lang w:bidi="ar-DZ"/>
        </w:rPr>
        <w:t>)</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علاوة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ذلك،</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ارتبط</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مفهوم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الكثافة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منذ</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فترة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ببناء</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مناطق</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حضرية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مرنة. يرى</w:t>
      </w:r>
      <w:r w:rsidRPr="0062340E">
        <w:rPr>
          <w:rFonts w:ascii="Simplified Arabic" w:hAnsi="Simplified Arabic" w:cs="Simplified Arabic" w:hint="cs"/>
          <w:b/>
          <w:bCs/>
          <w:color w:val="FF0000"/>
          <w:sz w:val="24"/>
          <w:szCs w:val="24"/>
          <w:rtl/>
          <w:lang w:bidi="ar-DZ"/>
        </w:rPr>
        <w:t xml:space="preserve"> </w:t>
      </w:r>
      <w:r w:rsidRPr="0062340E">
        <w:rPr>
          <w:rFonts w:asciiTheme="majorBidi" w:hAnsiTheme="majorBidi" w:cstheme="majorBidi"/>
          <w:color w:val="0D0D0D"/>
          <w:sz w:val="24"/>
          <w:szCs w:val="24"/>
        </w:rPr>
        <w:t>2021)</w:t>
      </w:r>
      <w:r w:rsidRPr="0062340E">
        <w:rPr>
          <w:rFonts w:asciiTheme="majorBidi" w:hAnsiTheme="majorBidi" w:cstheme="majorBidi"/>
          <w:sz w:val="24"/>
          <w:szCs w:val="24"/>
          <w:rtl/>
          <w:lang w:bidi="ar-DZ"/>
        </w:rPr>
        <w:t xml:space="preserve"> </w:t>
      </w:r>
      <w:r w:rsidRPr="0062340E">
        <w:rPr>
          <w:rFonts w:asciiTheme="majorBidi" w:hAnsiTheme="majorBidi" w:cstheme="majorBidi"/>
          <w:color w:val="0D0D0D"/>
          <w:sz w:val="24"/>
          <w:szCs w:val="24"/>
        </w:rPr>
        <w:t>(</w:t>
      </w:r>
      <w:r w:rsidRPr="0062340E">
        <w:rPr>
          <w:rFonts w:asciiTheme="majorBidi" w:eastAsia="CharisSIL" w:hAnsiTheme="majorBidi" w:cstheme="majorBidi"/>
          <w:sz w:val="24"/>
          <w:szCs w:val="24"/>
          <w:lang w:val="en-US"/>
        </w:rPr>
        <w:t>Javari</w:t>
      </w:r>
      <w:r w:rsidRPr="0062340E">
        <w:rPr>
          <w:rFonts w:asciiTheme="majorBidi" w:hAnsiTheme="majorBidi" w:cstheme="majorBidi"/>
          <w:color w:val="0D0D0D"/>
          <w:sz w:val="24"/>
          <w:szCs w:val="24"/>
        </w:rPr>
        <w:t xml:space="preserve"> et al.,</w:t>
      </w:r>
      <w:r w:rsidRPr="0062340E">
        <w:rPr>
          <w:rFonts w:ascii="Simplified Arabic" w:hAnsi="Simplified Arabic" w:cs="Simplified Arabic"/>
          <w:b/>
          <w:bCs/>
          <w:color w:val="FF0000"/>
          <w:sz w:val="24"/>
          <w:szCs w:val="24"/>
          <w:rtl/>
          <w:lang w:bidi="ar-DZ"/>
        </w:rPr>
        <w:t xml:space="preserve"> </w:t>
      </w:r>
      <w:r w:rsidRPr="0062340E">
        <w:rPr>
          <w:rFonts w:ascii="Simplified Arabic" w:hAnsi="Simplified Arabic" w:cs="Simplified Arabic" w:hint="cs"/>
          <w:color w:val="000000" w:themeColor="text1"/>
          <w:sz w:val="24"/>
          <w:szCs w:val="24"/>
          <w:rtl/>
          <w:lang w:bidi="ar-DZ"/>
        </w:rPr>
        <w:t>ان كثافة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البناء</w:t>
      </w:r>
      <w:r w:rsidR="00A13905" w:rsidRPr="0062340E">
        <w:rPr>
          <w:rFonts w:ascii="Simplified Arabic" w:hAnsi="Simplified Arabic" w:cs="Simplified Arabic" w:hint="cs"/>
          <w:color w:val="000000" w:themeColor="text1"/>
          <w:sz w:val="24"/>
          <w:szCs w:val="24"/>
          <w:rtl/>
          <w:lang w:bidi="ar-DZ"/>
        </w:rPr>
        <w:t xml:space="preserve"> </w:t>
      </w:r>
      <w:r w:rsidRPr="0062340E">
        <w:rPr>
          <w:rFonts w:ascii="Simplified Arabic" w:hAnsi="Simplified Arabic" w:cs="Simplified Arabic" w:hint="cs"/>
          <w:sz w:val="24"/>
          <w:szCs w:val="24"/>
          <w:rtl/>
        </w:rPr>
        <w:t xml:space="preserve">من بين سمات المرونة المكانية </w:t>
      </w:r>
      <w:r w:rsidRPr="0062340E">
        <w:rPr>
          <w:rFonts w:ascii="Simplified Arabic" w:hAnsi="Simplified Arabic" w:cs="Simplified Arabic" w:hint="cs"/>
          <w:sz w:val="24"/>
          <w:szCs w:val="24"/>
          <w:rtl/>
          <w:lang w:bidi="ar-DZ"/>
        </w:rPr>
        <w:t xml:space="preserve">يمكن ان </w:t>
      </w:r>
      <w:r w:rsidRPr="0062340E">
        <w:rPr>
          <w:rFonts w:ascii="Simplified Arabic" w:hAnsi="Simplified Arabic" w:cs="Simplified Arabic" w:hint="cs"/>
          <w:color w:val="000000" w:themeColor="text1"/>
          <w:sz w:val="24"/>
          <w:szCs w:val="24"/>
          <w:rtl/>
          <w:lang w:bidi="ar-DZ"/>
        </w:rPr>
        <w:t>تؤثر على مستوى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الحضرية،</w:t>
      </w:r>
      <w:r w:rsidRPr="0062340E">
        <w:rPr>
          <w:rFonts w:ascii="Simplified Arabic" w:hAnsi="Simplified Arabic" w:cs="Simplified Arabic" w:hint="cs"/>
          <w:b/>
          <w:bCs/>
          <w:color w:val="FF0000"/>
          <w:sz w:val="24"/>
          <w:szCs w:val="24"/>
          <w:rtl/>
          <w:lang w:bidi="ar-DZ"/>
        </w:rPr>
        <w:t xml:space="preserve"> </w:t>
      </w:r>
      <w:r w:rsidR="00C74D0D" w:rsidRPr="0062340E">
        <w:rPr>
          <w:rFonts w:ascii="Simplified Arabic" w:hAnsi="Simplified Arabic" w:cs="Simplified Arabic" w:hint="cs"/>
          <w:color w:val="000000" w:themeColor="text1"/>
          <w:sz w:val="24"/>
          <w:szCs w:val="24"/>
          <w:rtl/>
          <w:lang w:bidi="ar-DZ"/>
        </w:rPr>
        <w:t>يظهر</w:t>
      </w:r>
      <w:r w:rsidR="000B7445" w:rsidRPr="0062340E">
        <w:rPr>
          <w:rFonts w:ascii="Simplified Arabic" w:hAnsi="Simplified Arabic" w:cs="Simplified Arabic"/>
          <w:color w:val="000000" w:themeColor="text1"/>
          <w:sz w:val="24"/>
          <w:szCs w:val="24"/>
          <w:rtl/>
          <w:lang w:bidi="ar-DZ"/>
        </w:rPr>
        <w:t xml:space="preserve"> </w:t>
      </w:r>
      <w:r w:rsidR="000B7445" w:rsidRPr="0062340E">
        <w:rPr>
          <w:rFonts w:ascii="Simplified Arabic" w:hAnsi="Simplified Arabic" w:cs="Simplified Arabic" w:hint="cs"/>
          <w:color w:val="000000" w:themeColor="text1"/>
          <w:sz w:val="24"/>
          <w:szCs w:val="24"/>
          <w:rtl/>
          <w:lang w:val="en-US"/>
        </w:rPr>
        <w:t xml:space="preserve">الشكل </w:t>
      </w:r>
      <w:r w:rsidR="000B7445" w:rsidRPr="0062340E">
        <w:rPr>
          <w:rFonts w:ascii="Simplified Arabic" w:hAnsi="Simplified Arabic" w:cs="Simplified Arabic" w:hint="cs"/>
          <w:sz w:val="24"/>
          <w:szCs w:val="24"/>
          <w:rtl/>
        </w:rPr>
        <w:t>(</w:t>
      </w:r>
      <w:r w:rsidR="0085017B" w:rsidRPr="0062340E">
        <w:rPr>
          <w:rFonts w:ascii="Simplified Arabic" w:hAnsi="Simplified Arabic" w:cs="Simplified Arabic" w:hint="cs"/>
          <w:sz w:val="24"/>
          <w:szCs w:val="24"/>
          <w:rtl/>
        </w:rPr>
        <w:t>1-14</w:t>
      </w:r>
      <w:r w:rsidR="000B7445" w:rsidRPr="0062340E">
        <w:rPr>
          <w:rFonts w:ascii="Simplified Arabic" w:hAnsi="Simplified Arabic" w:cs="Simplified Arabic" w:hint="cs"/>
          <w:sz w:val="24"/>
          <w:szCs w:val="24"/>
          <w:rtl/>
        </w:rPr>
        <w:t>)</w:t>
      </w:r>
      <w:r w:rsidR="000B7445" w:rsidRPr="0062340E">
        <w:rPr>
          <w:rFonts w:ascii="Simplified Arabic" w:hAnsi="Simplified Arabic" w:cs="Simplified Arabic" w:hint="cs"/>
          <w:color w:val="000000" w:themeColor="text1"/>
          <w:sz w:val="24"/>
          <w:szCs w:val="24"/>
          <w:rtl/>
          <w:lang w:bidi="ar-DZ"/>
        </w:rPr>
        <w:t>،</w:t>
      </w:r>
      <w:r w:rsidR="000B7445" w:rsidRPr="0062340E">
        <w:rPr>
          <w:rFonts w:ascii="Simplified Arabic" w:hAnsi="Simplified Arabic" w:cs="Simplified Arabic" w:hint="cs"/>
          <w:sz w:val="24"/>
          <w:szCs w:val="24"/>
          <w:rtl/>
        </w:rPr>
        <w:t xml:space="preserve"> </w:t>
      </w:r>
      <w:r w:rsidR="00C74D0D" w:rsidRPr="0062340E">
        <w:rPr>
          <w:rFonts w:ascii="Simplified Arabic" w:hAnsi="Simplified Arabic" w:cs="Simplified Arabic" w:hint="cs"/>
          <w:color w:val="000000" w:themeColor="text1"/>
          <w:sz w:val="24"/>
          <w:szCs w:val="24"/>
          <w:rtl/>
          <w:lang w:bidi="ar-DZ"/>
        </w:rPr>
        <w:t>توزيعات</w:t>
      </w:r>
      <w:r w:rsidR="00C74D0D" w:rsidRPr="0062340E">
        <w:rPr>
          <w:rFonts w:ascii="Simplified Arabic" w:hAnsi="Simplified Arabic" w:cs="Simplified Arabic"/>
          <w:color w:val="000000" w:themeColor="text1"/>
          <w:sz w:val="24"/>
          <w:szCs w:val="24"/>
          <w:rtl/>
          <w:lang w:bidi="ar-DZ"/>
        </w:rPr>
        <w:t xml:space="preserve"> </w:t>
      </w:r>
      <w:r w:rsidR="00C74D0D" w:rsidRPr="0062340E">
        <w:rPr>
          <w:rFonts w:ascii="Simplified Arabic" w:hAnsi="Simplified Arabic" w:cs="Simplified Arabic" w:hint="cs"/>
          <w:color w:val="000000" w:themeColor="text1"/>
          <w:sz w:val="24"/>
          <w:szCs w:val="24"/>
          <w:rtl/>
          <w:lang w:bidi="ar-DZ"/>
        </w:rPr>
        <w:t>مختلفة</w:t>
      </w:r>
      <w:r w:rsidR="00C74D0D" w:rsidRPr="0062340E">
        <w:rPr>
          <w:rFonts w:ascii="Simplified Arabic" w:hAnsi="Simplified Arabic" w:cs="Simplified Arabic"/>
          <w:color w:val="000000" w:themeColor="text1"/>
          <w:sz w:val="24"/>
          <w:szCs w:val="24"/>
          <w:rtl/>
          <w:lang w:bidi="ar-DZ"/>
        </w:rPr>
        <w:t xml:space="preserve"> </w:t>
      </w:r>
      <w:r w:rsidR="00A13905" w:rsidRPr="0062340E">
        <w:rPr>
          <w:rFonts w:ascii="Simplified Arabic" w:hAnsi="Simplified Arabic" w:cs="Simplified Arabic" w:hint="cs"/>
          <w:color w:val="000000" w:themeColor="text1"/>
          <w:sz w:val="24"/>
          <w:szCs w:val="24"/>
          <w:rtl/>
          <w:lang w:bidi="ar-DZ"/>
        </w:rPr>
        <w:t>لكثافة البناء و</w:t>
      </w:r>
      <w:r w:rsidR="00C74D0D" w:rsidRPr="0062340E">
        <w:rPr>
          <w:rFonts w:ascii="Simplified Arabic" w:hAnsi="Simplified Arabic" w:cs="Simplified Arabic" w:hint="cs"/>
          <w:color w:val="000000" w:themeColor="text1"/>
          <w:sz w:val="24"/>
          <w:szCs w:val="24"/>
          <w:rtl/>
          <w:lang w:bidi="ar-DZ"/>
        </w:rPr>
        <w:t>لعدد</w:t>
      </w:r>
      <w:r w:rsidR="00C74D0D" w:rsidRPr="0062340E">
        <w:rPr>
          <w:rFonts w:ascii="Simplified Arabic" w:hAnsi="Simplified Arabic" w:cs="Simplified Arabic"/>
          <w:color w:val="000000" w:themeColor="text1"/>
          <w:sz w:val="24"/>
          <w:szCs w:val="24"/>
          <w:rtl/>
          <w:lang w:bidi="ar-DZ"/>
        </w:rPr>
        <w:t xml:space="preserve"> </w:t>
      </w:r>
      <w:r w:rsidR="00C74D0D" w:rsidRPr="0062340E">
        <w:rPr>
          <w:rFonts w:ascii="Simplified Arabic" w:hAnsi="Simplified Arabic" w:cs="Simplified Arabic" w:hint="cs"/>
          <w:color w:val="000000" w:themeColor="text1"/>
          <w:sz w:val="24"/>
          <w:szCs w:val="24"/>
          <w:rtl/>
          <w:lang w:bidi="ar-DZ"/>
        </w:rPr>
        <w:t>الطوابق.</w:t>
      </w:r>
    </w:p>
    <w:p w:rsidR="00C74D0D" w:rsidRPr="0062340E" w:rsidRDefault="00C74D0D" w:rsidP="003E1ECC">
      <w:pPr>
        <w:pStyle w:val="fegure"/>
        <w:spacing w:before="240"/>
        <w:rPr>
          <w:szCs w:val="24"/>
          <w:rtl/>
        </w:rPr>
      </w:pPr>
      <w:bookmarkStart w:id="205" w:name="_Toc157561446"/>
      <w:bookmarkStart w:id="206" w:name="_Toc157562779"/>
      <w:bookmarkStart w:id="207" w:name="_Toc157608275"/>
      <w:bookmarkStart w:id="208" w:name="_Toc171803387"/>
      <w:r w:rsidRPr="0062340E">
        <w:rPr>
          <w:rFonts w:hint="cs"/>
          <w:szCs w:val="24"/>
          <w:rtl/>
          <w:lang w:val="en-US"/>
        </w:rPr>
        <w:t xml:space="preserve">الشكل </w:t>
      </w:r>
      <w:r w:rsidRPr="0062340E">
        <w:rPr>
          <w:rFonts w:hint="cs"/>
          <w:szCs w:val="24"/>
          <w:rtl/>
        </w:rPr>
        <w:t>(</w:t>
      </w:r>
      <w:r w:rsidR="00E82985" w:rsidRPr="0062340E">
        <w:rPr>
          <w:rFonts w:hint="cs"/>
          <w:szCs w:val="24"/>
          <w:rtl/>
        </w:rPr>
        <w:t>1-14</w:t>
      </w:r>
      <w:r w:rsidRPr="0062340E">
        <w:rPr>
          <w:rFonts w:hint="cs"/>
          <w:szCs w:val="24"/>
          <w:rtl/>
        </w:rPr>
        <w:t>)</w:t>
      </w:r>
      <w:r w:rsidRPr="0062340E">
        <w:rPr>
          <w:szCs w:val="24"/>
          <w:rtl/>
        </w:rPr>
        <w:t>:</w:t>
      </w:r>
      <w:r w:rsidRPr="0062340E">
        <w:rPr>
          <w:rFonts w:hint="cs"/>
          <w:szCs w:val="24"/>
          <w:rtl/>
        </w:rPr>
        <w:t xml:space="preserve"> اهمية كثافة البناء في تحديد مستويات المرونة</w:t>
      </w:r>
      <w:bookmarkEnd w:id="205"/>
      <w:bookmarkEnd w:id="206"/>
      <w:bookmarkEnd w:id="207"/>
      <w:bookmarkEnd w:id="208"/>
    </w:p>
    <w:p w:rsidR="00C74D0D" w:rsidRPr="0062340E" w:rsidRDefault="00C74D0D" w:rsidP="009B7900">
      <w:pPr>
        <w:pStyle w:val="Default"/>
        <w:bidi/>
        <w:spacing w:line="276" w:lineRule="auto"/>
        <w:jc w:val="center"/>
        <w:rPr>
          <w:rFonts w:asciiTheme="majorBidi" w:hAnsiTheme="majorBidi" w:cstheme="majorBidi"/>
          <w:b/>
          <w:bCs/>
          <w:color w:val="0D0D0D"/>
        </w:rPr>
      </w:pPr>
      <w:r w:rsidRPr="0062340E">
        <w:rPr>
          <w:rFonts w:ascii="Simplified Arabic" w:hAnsi="Simplified Arabic" w:cs="Simplified Arabic" w:hint="cs"/>
          <w:b/>
          <w:bCs/>
          <w:rtl/>
        </w:rPr>
        <w:t>المصدر:</w:t>
      </w:r>
      <w:r w:rsidR="009B7900" w:rsidRPr="0062340E">
        <w:rPr>
          <w:rFonts w:asciiTheme="majorBidi" w:hAnsiTheme="majorBidi" w:cstheme="majorBidi"/>
          <w:b/>
          <w:bCs/>
        </w:rPr>
        <w:t xml:space="preserve"> 2021</w:t>
      </w:r>
      <w:r w:rsidR="009B7900" w:rsidRPr="0062340E">
        <w:rPr>
          <w:rFonts w:asciiTheme="majorBidi" w:hAnsiTheme="majorBidi" w:cstheme="majorBidi"/>
          <w:b/>
          <w:bCs/>
          <w:color w:val="0D0D0D"/>
        </w:rPr>
        <w:t>)</w:t>
      </w:r>
      <w:r w:rsidR="009B7900" w:rsidRPr="0062340E">
        <w:rPr>
          <w:rFonts w:asciiTheme="majorBidi" w:hAnsiTheme="majorBidi" w:cstheme="majorBidi"/>
          <w:b/>
          <w:bCs/>
          <w:rtl/>
          <w:lang w:bidi="ar-DZ"/>
        </w:rPr>
        <w:t xml:space="preserve"> </w:t>
      </w:r>
      <w:r w:rsidR="009B7900" w:rsidRPr="0062340E">
        <w:rPr>
          <w:rFonts w:asciiTheme="majorBidi" w:hAnsiTheme="majorBidi" w:cstheme="majorBidi"/>
          <w:b/>
          <w:bCs/>
          <w:color w:val="0D0D0D"/>
        </w:rPr>
        <w:t>(</w:t>
      </w:r>
      <w:r w:rsidR="009B7900" w:rsidRPr="0062340E">
        <w:rPr>
          <w:rFonts w:asciiTheme="majorBidi" w:eastAsia="CharisSIL" w:hAnsiTheme="majorBidi" w:cstheme="majorBidi"/>
          <w:b/>
          <w:bCs/>
          <w:lang w:val="en-US"/>
        </w:rPr>
        <w:t>Javari</w:t>
      </w:r>
      <w:r w:rsidR="009B7900" w:rsidRPr="0062340E">
        <w:rPr>
          <w:rFonts w:asciiTheme="majorBidi" w:hAnsiTheme="majorBidi" w:cstheme="majorBidi"/>
          <w:b/>
          <w:bCs/>
          <w:color w:val="0D0D0D"/>
        </w:rPr>
        <w:t xml:space="preserve"> et al.,</w:t>
      </w:r>
    </w:p>
    <w:p w:rsidR="006B1D71" w:rsidRPr="0062340E" w:rsidRDefault="006B1D71" w:rsidP="006B1D71">
      <w:pPr>
        <w:pStyle w:val="Default"/>
        <w:bidi/>
        <w:spacing w:line="276" w:lineRule="auto"/>
        <w:jc w:val="center"/>
        <w:rPr>
          <w:rFonts w:asciiTheme="majorBidi" w:hAnsiTheme="majorBidi" w:cstheme="majorBidi"/>
          <w:color w:val="0D0D0D"/>
        </w:rPr>
      </w:pPr>
      <w:r w:rsidRPr="0062340E">
        <w:rPr>
          <w:noProof/>
          <w:lang w:eastAsia="fr-FR"/>
        </w:rPr>
        <w:drawing>
          <wp:inline distT="0" distB="0" distL="0" distR="0" wp14:anchorId="68197A27" wp14:editId="34702A4C">
            <wp:extent cx="3614468" cy="2733011"/>
            <wp:effectExtent l="0" t="0" r="5080" b="0"/>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extLst>
                        <a:ext uri="{28A0092B-C50C-407E-A947-70E740481C1C}">
                          <a14:useLocalDpi xmlns:a14="http://schemas.microsoft.com/office/drawing/2010/main" val="0"/>
                        </a:ext>
                      </a:extLst>
                    </a:blip>
                    <a:stretch>
                      <a:fillRect/>
                    </a:stretch>
                  </pic:blipFill>
                  <pic:spPr>
                    <a:xfrm>
                      <a:off x="0" y="0"/>
                      <a:ext cx="3618001" cy="2735682"/>
                    </a:xfrm>
                    <a:prstGeom prst="rect">
                      <a:avLst/>
                    </a:prstGeom>
                  </pic:spPr>
                </pic:pic>
              </a:graphicData>
            </a:graphic>
          </wp:inline>
        </w:drawing>
      </w:r>
    </w:p>
    <w:p w:rsidR="00A903CE" w:rsidRPr="0062340E" w:rsidRDefault="00A903CE" w:rsidP="003E1ECC">
      <w:pPr>
        <w:pStyle w:val="Paragraphedeliste"/>
        <w:numPr>
          <w:ilvl w:val="3"/>
          <w:numId w:val="110"/>
        </w:numPr>
        <w:tabs>
          <w:tab w:val="right" w:pos="1134"/>
        </w:tabs>
        <w:bidi/>
        <w:spacing w:before="240" w:after="0"/>
        <w:ind w:left="0" w:firstLine="0"/>
        <w:jc w:val="both"/>
        <w:outlineLvl w:val="2"/>
        <w:rPr>
          <w:rFonts w:asciiTheme="majorBidi" w:hAnsiTheme="majorBidi" w:cstheme="majorBidi"/>
          <w:b/>
          <w:bCs/>
          <w:color w:val="000000" w:themeColor="text1"/>
          <w:sz w:val="24"/>
          <w:szCs w:val="24"/>
          <w:shd w:val="clear" w:color="auto" w:fill="FFFFFF"/>
          <w:rtl/>
        </w:rPr>
      </w:pPr>
      <w:bookmarkStart w:id="209" w:name="_Toc171803388"/>
      <w:r w:rsidRPr="0062340E">
        <w:rPr>
          <w:rFonts w:ascii="Simplified Arabic" w:hAnsi="Simplified Arabic" w:cs="Simplified Arabic" w:hint="cs"/>
          <w:b/>
          <w:bCs/>
          <w:color w:val="000000" w:themeColor="text1"/>
          <w:sz w:val="24"/>
          <w:szCs w:val="24"/>
          <w:rtl/>
          <w:lang w:val="en-US"/>
        </w:rPr>
        <w:lastRenderedPageBreak/>
        <w:t>التنوع</w:t>
      </w:r>
      <w:r w:rsidRPr="0062340E">
        <w:rPr>
          <w:rFonts w:ascii="Simplified Arabic" w:hAnsi="Simplified Arabic" w:cs="Simplified Arabic" w:hint="cs"/>
          <w:color w:val="000000" w:themeColor="text1"/>
          <w:sz w:val="24"/>
          <w:szCs w:val="24"/>
          <w:rtl/>
          <w:lang w:val="en-US"/>
        </w:rPr>
        <w:t xml:space="preserve"> </w:t>
      </w:r>
      <w:r w:rsidRPr="0062340E">
        <w:rPr>
          <w:rFonts w:asciiTheme="majorBidi" w:hAnsiTheme="majorBidi" w:cstheme="majorBidi" w:hint="cs"/>
          <w:b/>
          <w:bCs/>
          <w:color w:val="000000" w:themeColor="text1"/>
          <w:sz w:val="24"/>
          <w:szCs w:val="24"/>
          <w:shd w:val="clear" w:color="auto" w:fill="FFFFFF"/>
          <w:rtl/>
        </w:rPr>
        <w:t>(</w:t>
      </w:r>
      <w:r w:rsidRPr="0062340E">
        <w:rPr>
          <w:rFonts w:asciiTheme="majorBidi" w:hAnsiTheme="majorBidi" w:cstheme="majorBidi"/>
          <w:b/>
          <w:bCs/>
          <w:color w:val="000000" w:themeColor="text1"/>
          <w:sz w:val="24"/>
          <w:szCs w:val="24"/>
          <w:shd w:val="clear" w:color="auto" w:fill="FFFFFF"/>
          <w:lang w:val="en-US"/>
        </w:rPr>
        <w:t>Diversity</w:t>
      </w:r>
      <w:r w:rsidRPr="0062340E">
        <w:rPr>
          <w:rFonts w:asciiTheme="majorBidi" w:hAnsiTheme="majorBidi" w:cstheme="majorBidi" w:hint="cs"/>
          <w:b/>
          <w:bCs/>
          <w:color w:val="000000" w:themeColor="text1"/>
          <w:sz w:val="24"/>
          <w:szCs w:val="24"/>
          <w:shd w:val="clear" w:color="auto" w:fill="FFFFFF"/>
          <w:rtl/>
        </w:rPr>
        <w:t>)</w:t>
      </w:r>
      <w:bookmarkEnd w:id="209"/>
    </w:p>
    <w:p w:rsidR="00A903CE" w:rsidRPr="0062340E" w:rsidRDefault="00A903CE" w:rsidP="0085017B">
      <w:pPr>
        <w:bidi/>
        <w:spacing w:after="0"/>
        <w:ind w:firstLine="282"/>
        <w:jc w:val="both"/>
        <w:rPr>
          <w:rFonts w:ascii="Simplified Arabic" w:hAnsi="Simplified Arabic" w:cs="Simplified Arabic"/>
          <w:b/>
          <w:bCs/>
          <w:color w:val="FF0000"/>
          <w:sz w:val="24"/>
          <w:szCs w:val="24"/>
          <w:lang w:bidi="ar-DZ"/>
        </w:rPr>
      </w:pPr>
      <w:r w:rsidRPr="0062340E">
        <w:rPr>
          <w:rFonts w:ascii="Simplified Arabic" w:hAnsi="Simplified Arabic" w:cs="Simplified Arabic" w:hint="cs"/>
          <w:sz w:val="24"/>
          <w:szCs w:val="24"/>
          <w:rtl/>
        </w:rPr>
        <w:t>يشير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الوظيفي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الوظائف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يوفرها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رؤية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أمثلة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الوظيفي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الشكل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w:t>
      </w:r>
      <w:r w:rsidR="0085017B" w:rsidRPr="0062340E">
        <w:rPr>
          <w:rFonts w:ascii="Simplified Arabic" w:hAnsi="Simplified Arabic" w:cs="Simplified Arabic" w:hint="cs"/>
          <w:sz w:val="24"/>
          <w:szCs w:val="24"/>
          <w:rtl/>
        </w:rPr>
        <w:t>1-15</w:t>
      </w:r>
      <w:r w:rsidRPr="0062340E">
        <w:rPr>
          <w:rFonts w:ascii="Simplified Arabic" w:hAnsi="Simplified Arabic" w:cs="Simplified Arabic" w:hint="cs"/>
          <w:sz w:val="24"/>
          <w:szCs w:val="24"/>
          <w:rtl/>
        </w:rPr>
        <w:t>)،</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الذي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يوضح</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ثلاث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وظائف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أساسية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يقدمها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النظام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(مسكن،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تجارة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وخدمة) (</w:t>
      </w:r>
      <w:r w:rsidR="00800B70" w:rsidRPr="0062340E">
        <w:rPr>
          <w:rFonts w:ascii="Simplified Arabic" w:eastAsia="Times New Roman" w:hAnsi="Simplified Arabic" w:cs="Simplified Arabic" w:hint="cs"/>
          <w:color w:val="000000" w:themeColor="text1"/>
          <w:sz w:val="24"/>
          <w:szCs w:val="24"/>
          <w:rtl/>
          <w:lang w:eastAsia="fr-FR"/>
        </w:rPr>
        <w:t>العاني محمد جاسم والزیادي هادي محمد شیال</w:t>
      </w:r>
      <w:r w:rsidRPr="0062340E">
        <w:rPr>
          <w:rFonts w:ascii="Simplified Arabic" w:hAnsi="Simplified Arabic" w:cs="Simplified Arabic" w:hint="cs"/>
          <w:sz w:val="24"/>
          <w:szCs w:val="24"/>
          <w:rtl/>
        </w:rPr>
        <w:t>، 2016)</w:t>
      </w:r>
      <w:r w:rsidRPr="0062340E">
        <w:rPr>
          <w:rFonts w:ascii="Simplified Arabic" w:hAnsi="Simplified Arabic" w:cs="Simplified Arabic" w:hint="cs"/>
          <w:b/>
          <w:bCs/>
          <w:color w:val="FF0000"/>
          <w:sz w:val="24"/>
          <w:szCs w:val="24"/>
          <w:rtl/>
          <w:lang w:bidi="ar-DZ"/>
        </w:rPr>
        <w:t>.</w:t>
      </w:r>
    </w:p>
    <w:p w:rsidR="00A903CE" w:rsidRPr="0062340E" w:rsidRDefault="00A903CE" w:rsidP="00DA656E">
      <w:pPr>
        <w:tabs>
          <w:tab w:val="right" w:pos="565"/>
        </w:tabs>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العديد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الدراسات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 تعرضت الى موضوع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التنوع</w:t>
      </w:r>
      <w:r w:rsidRPr="0062340E">
        <w:rPr>
          <w:rFonts w:ascii="Simplified Arabic" w:hAnsi="Simplified Arabic" w:cs="Simplified Arabic" w:hint="cs"/>
          <w:color w:val="FF0000"/>
          <w:sz w:val="24"/>
          <w:szCs w:val="24"/>
          <w:rtl/>
          <w:lang w:val="en-US"/>
        </w:rPr>
        <w:t xml:space="preserve"> </w:t>
      </w:r>
      <w:r w:rsidRPr="0062340E">
        <w:rPr>
          <w:rFonts w:asciiTheme="majorBidi" w:hAnsiTheme="majorBidi" w:cstheme="majorBidi"/>
          <w:color w:val="0D0D0D"/>
          <w:sz w:val="24"/>
          <w:szCs w:val="24"/>
          <w:lang w:val="en-US"/>
        </w:rPr>
        <w:t>(</w:t>
      </w:r>
      <w:r w:rsidRPr="0062340E">
        <w:rPr>
          <w:rFonts w:asciiTheme="majorBidi" w:hAnsiTheme="majorBidi" w:cstheme="majorBidi"/>
          <w:color w:val="000000" w:themeColor="text1"/>
          <w:sz w:val="24"/>
          <w:szCs w:val="24"/>
        </w:rPr>
        <w:t xml:space="preserve">Godschalk, 2003, </w:t>
      </w:r>
      <w:r w:rsidRPr="0062340E">
        <w:rPr>
          <w:rFonts w:asciiTheme="majorBidi" w:hAnsiTheme="majorBidi" w:cstheme="majorBidi"/>
          <w:color w:val="0D0D0D"/>
          <w:sz w:val="24"/>
          <w:szCs w:val="24"/>
        </w:rPr>
        <w:t>Talen, 2006</w:t>
      </w:r>
      <w:r w:rsidRPr="0062340E">
        <w:rPr>
          <w:rFonts w:asciiTheme="majorBidi" w:hAnsiTheme="majorBidi" w:cstheme="majorBidi"/>
          <w:color w:val="0D0D0D"/>
          <w:sz w:val="24"/>
          <w:szCs w:val="24"/>
          <w:lang w:val="en-US"/>
        </w:rPr>
        <w:t>; Sardari Sayyar and Marcus, 2011; Ferreira, 2016</w:t>
      </w:r>
      <w:r w:rsidRPr="0062340E">
        <w:rPr>
          <w:rFonts w:asciiTheme="majorBidi" w:hAnsiTheme="majorBidi" w:cstheme="majorBidi"/>
          <w:color w:val="0D0D0D"/>
          <w:sz w:val="24"/>
          <w:szCs w:val="24"/>
        </w:rPr>
        <w:t>)</w:t>
      </w:r>
      <w:r w:rsidRPr="0062340E">
        <w:rPr>
          <w:rFonts w:ascii="Simplified Arabic" w:hAnsi="Simplified Arabic" w:cs="Simplified Arabic" w:hint="cs"/>
          <w:sz w:val="24"/>
          <w:szCs w:val="24"/>
          <w:rtl/>
        </w:rPr>
        <w:t>، اشارت الى الاختلاف في مقدار التنوع من مدينة لأخرى. من جهة اخرى، اظهرت المخططة الحضرية</w:t>
      </w:r>
      <w:r w:rsidRPr="0062340E">
        <w:rPr>
          <w:rFonts w:ascii="Simplified Arabic" w:hAnsi="Simplified Arabic" w:cs="Simplified Arabic" w:hint="cs"/>
          <w:color w:val="000000" w:themeColor="text1"/>
          <w:sz w:val="24"/>
          <w:szCs w:val="24"/>
          <w:rtl/>
          <w:lang w:val="en-US"/>
        </w:rPr>
        <w:t xml:space="preserve"> </w:t>
      </w:r>
      <w:r w:rsidRPr="0062340E">
        <w:rPr>
          <w:rFonts w:asciiTheme="majorBidi" w:hAnsiTheme="majorBidi" w:cstheme="majorBidi" w:hint="cs"/>
          <w:color w:val="0D0D0D"/>
          <w:sz w:val="24"/>
          <w:szCs w:val="24"/>
          <w:rtl/>
          <w:lang w:val="en-US"/>
        </w:rPr>
        <w:t>(</w:t>
      </w:r>
      <w:r w:rsidRPr="0062340E">
        <w:rPr>
          <w:rFonts w:asciiTheme="majorBidi" w:hAnsiTheme="majorBidi" w:cstheme="majorBidi"/>
          <w:color w:val="0D0D0D"/>
          <w:sz w:val="24"/>
          <w:szCs w:val="24"/>
          <w:lang w:val="en-US"/>
        </w:rPr>
        <w:t>Jacobs Jane</w:t>
      </w:r>
      <w:r w:rsidRPr="0062340E">
        <w:rPr>
          <w:rFonts w:asciiTheme="majorBidi" w:hAnsiTheme="majorBidi" w:cstheme="majorBidi" w:hint="cs"/>
          <w:color w:val="0D0D0D"/>
          <w:sz w:val="24"/>
          <w:szCs w:val="24"/>
          <w:rtl/>
          <w:lang w:val="en-US"/>
        </w:rPr>
        <w:t>)</w:t>
      </w:r>
      <w:r w:rsidRPr="0062340E">
        <w:rPr>
          <w:rFonts w:ascii="Simplified Arabic" w:hAnsi="Simplified Arabic" w:cs="Simplified Arabic" w:hint="cs"/>
          <w:color w:val="000000" w:themeColor="text1"/>
          <w:sz w:val="24"/>
          <w:szCs w:val="24"/>
          <w:rtl/>
          <w:lang w:val="en-US"/>
        </w:rPr>
        <w:t xml:space="preserve"> </w:t>
      </w:r>
      <w:r w:rsidRPr="0062340E">
        <w:rPr>
          <w:rFonts w:ascii="Simplified Arabic" w:hAnsi="Simplified Arabic" w:cs="Simplified Arabic" w:hint="cs"/>
          <w:sz w:val="24"/>
          <w:szCs w:val="24"/>
          <w:rtl/>
        </w:rPr>
        <w:t xml:space="preserve">في مؤلفها سنة 1961 </w:t>
      </w:r>
      <w:r w:rsidR="009533B0" w:rsidRPr="0062340E">
        <w:rPr>
          <w:rFonts w:ascii="Simplified Arabic" w:hAnsi="Simplified Arabic" w:cs="Simplified Arabic" w:hint="cs"/>
          <w:color w:val="000000" w:themeColor="text1"/>
          <w:sz w:val="24"/>
          <w:szCs w:val="24"/>
          <w:rtl/>
          <w:lang w:val="en-US"/>
        </w:rPr>
        <w:t>افكارها و مبادئها حول فكرة تنوع المدن و</w:t>
      </w:r>
      <w:r w:rsidRPr="0062340E">
        <w:rPr>
          <w:rFonts w:ascii="Simplified Arabic" w:hAnsi="Simplified Arabic" w:cs="Simplified Arabic" w:hint="cs"/>
          <w:sz w:val="24"/>
          <w:szCs w:val="24"/>
          <w:rtl/>
        </w:rPr>
        <w:t xml:space="preserve">قيمة التنوع من اجل تنفيذ مناطق حضرية حيوية ونابضة بالحياة. </w:t>
      </w:r>
    </w:p>
    <w:p w:rsidR="00A903CE" w:rsidRPr="0062340E" w:rsidRDefault="00A903CE" w:rsidP="00DA656E">
      <w:pPr>
        <w:tabs>
          <w:tab w:val="right" w:pos="565"/>
        </w:tabs>
        <w:bidi/>
        <w:spacing w:after="0"/>
        <w:ind w:firstLine="282"/>
        <w:jc w:val="both"/>
        <w:rPr>
          <w:rFonts w:ascii="Calibri" w:hAnsi="Calibri" w:cs="Calibri"/>
          <w:color w:val="0D0D0D"/>
          <w:sz w:val="24"/>
          <w:szCs w:val="24"/>
          <w:rtl/>
        </w:rPr>
      </w:pPr>
      <w:r w:rsidRPr="0062340E">
        <w:rPr>
          <w:rFonts w:ascii="Simplified Arabic" w:hAnsi="Simplified Arabic" w:cs="Simplified Arabic" w:hint="cs"/>
          <w:sz w:val="24"/>
          <w:szCs w:val="24"/>
          <w:rtl/>
        </w:rPr>
        <w:t>في الوقت الحالي،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غالبًا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يُنظر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أنه</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أحد</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أهم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السمات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لخلق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المرونة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الأنظمة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Theme="majorBidi" w:hAnsiTheme="majorBidi" w:cs="Times New Roman" w:hint="cs"/>
          <w:b/>
          <w:bCs/>
          <w:color w:val="000000" w:themeColor="text1"/>
          <w:sz w:val="24"/>
          <w:szCs w:val="24"/>
          <w:shd w:val="clear" w:color="auto" w:fill="FFFFFF"/>
          <w:rtl/>
          <w:lang w:bidi="ar-DZ"/>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color w:val="000000" w:themeColor="text1"/>
          <w:sz w:val="24"/>
          <w:szCs w:val="24"/>
        </w:rPr>
        <w:t>Cumming et al., 2008</w:t>
      </w:r>
      <w:r w:rsidRPr="0062340E">
        <w:rPr>
          <w:rFonts w:asciiTheme="majorBidi" w:hAnsiTheme="majorBidi" w:cstheme="majorBidi"/>
          <w:color w:val="000000" w:themeColor="text1"/>
          <w:sz w:val="24"/>
          <w:szCs w:val="24"/>
          <w:rtl/>
        </w:rPr>
        <w:t>)</w:t>
      </w:r>
      <w:r w:rsidRPr="0062340E">
        <w:rPr>
          <w:rFonts w:ascii="Simplified Arabic" w:hAnsi="Simplified Arabic" w:cs="Simplified Arabic" w:hint="cs"/>
          <w:sz w:val="24"/>
          <w:szCs w:val="24"/>
          <w:rtl/>
        </w:rPr>
        <w:t>، اذ توفر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سمة التنوع خيارات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للمناطق</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مما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يسمح</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لها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بالاستجابة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بشكل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أفضل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للاضطرابات،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بالإضافة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إلى</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يسمح ببناء </w:t>
      </w:r>
      <w:r w:rsidR="002A7F68" w:rsidRPr="0062340E">
        <w:rPr>
          <w:rFonts w:ascii="Simplified Arabic" w:hAnsi="Simplified Arabic" w:cs="Simplified Arabic" w:hint="cs"/>
          <w:sz w:val="24"/>
          <w:szCs w:val="24"/>
          <w:rtl/>
        </w:rPr>
        <w:t>ال</w:t>
      </w:r>
      <w:r w:rsidRPr="0062340E">
        <w:rPr>
          <w:rFonts w:ascii="Simplified Arabic" w:hAnsi="Simplified Arabic" w:cs="Simplified Arabic" w:hint="cs"/>
          <w:sz w:val="24"/>
          <w:szCs w:val="24"/>
          <w:rtl/>
        </w:rPr>
        <w:t xml:space="preserve">مرونة </w:t>
      </w:r>
      <w:r w:rsidR="002A7F68" w:rsidRPr="0062340E">
        <w:rPr>
          <w:rFonts w:ascii="Simplified Arabic" w:hAnsi="Simplified Arabic" w:cs="Simplified Arabic" w:hint="cs"/>
          <w:sz w:val="24"/>
          <w:szCs w:val="24"/>
          <w:rtl/>
        </w:rPr>
        <w:t>ال</w:t>
      </w:r>
      <w:r w:rsidRPr="0062340E">
        <w:rPr>
          <w:rFonts w:ascii="Simplified Arabic" w:hAnsi="Simplified Arabic" w:cs="Simplified Arabic" w:hint="cs"/>
          <w:sz w:val="24"/>
          <w:szCs w:val="24"/>
          <w:rtl/>
        </w:rPr>
        <w:t xml:space="preserve">حضرية، الشيء الذي يمنح المدينة القدرة على مقاومة الاضطرابات </w:t>
      </w:r>
      <w:r w:rsidRPr="0062340E">
        <w:rPr>
          <w:rFonts w:asciiTheme="majorBidi" w:hAnsiTheme="majorBidi" w:cstheme="majorBidi"/>
          <w:color w:val="0D0D0D"/>
          <w:sz w:val="24"/>
          <w:szCs w:val="24"/>
        </w:rPr>
        <w:t xml:space="preserve">(Anderies, 2014; </w:t>
      </w:r>
      <w:r w:rsidR="00ED10C2" w:rsidRPr="0062340E">
        <w:rPr>
          <w:rFonts w:asciiTheme="majorBidi" w:hAnsiTheme="majorBidi" w:cstheme="majorBidi"/>
          <w:sz w:val="24"/>
          <w:szCs w:val="24"/>
          <w:lang w:bidi="ar-DZ"/>
        </w:rPr>
        <w:t>Peres et al., 2016</w:t>
      </w:r>
      <w:r w:rsidRPr="0062340E">
        <w:rPr>
          <w:rFonts w:asciiTheme="majorBidi" w:hAnsiTheme="majorBidi" w:cstheme="majorBidi"/>
          <w:color w:val="0D0D0D"/>
          <w:sz w:val="24"/>
          <w:szCs w:val="24"/>
        </w:rPr>
        <w:t>)</w:t>
      </w:r>
      <w:r w:rsidRPr="0062340E">
        <w:rPr>
          <w:rFonts w:ascii="Calibri" w:hAnsi="Calibri" w:cs="Calibri" w:hint="cs"/>
          <w:color w:val="0D0D0D"/>
          <w:sz w:val="24"/>
          <w:szCs w:val="24"/>
          <w:rtl/>
        </w:rPr>
        <w:t xml:space="preserve">. </w:t>
      </w:r>
    </w:p>
    <w:p w:rsidR="00710CDE" w:rsidRPr="0062340E" w:rsidRDefault="00A903CE" w:rsidP="0027496A">
      <w:pPr>
        <w:tabs>
          <w:tab w:val="right" w:pos="565"/>
        </w:tabs>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منظور</w:t>
      </w:r>
      <w:r w:rsidRPr="0062340E">
        <w:rPr>
          <w:rFonts w:ascii="Simplified Arabic" w:hAnsi="Simplified Arabic" w:cs="Simplified Arabic"/>
          <w:sz w:val="24"/>
          <w:szCs w:val="24"/>
          <w:rtl/>
        </w:rPr>
        <w:t xml:space="preserve"> </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rPr>
        <w:t xml:space="preserve"> الارض الحضرية،</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يمكن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يرتبط</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الوظيفي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بالتنوع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المكاني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وباختلاف شكل وحجم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مكونات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النسيج</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مثل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المباني، الخدمات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والشوارع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ضمن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نطاق معين</w:t>
      </w:r>
      <w:r w:rsidRPr="0062340E">
        <w:rPr>
          <w:rFonts w:ascii="Simplified Arabic" w:hAnsi="Simplified Arabic" w:cs="Simplified Arabic"/>
          <w:sz w:val="24"/>
          <w:szCs w:val="24"/>
          <w:rtl/>
        </w:rPr>
        <w:t xml:space="preserve"> </w:t>
      </w:r>
      <w:r w:rsidRPr="0062340E">
        <w:rPr>
          <w:rFonts w:asciiTheme="majorBidi" w:hAnsiTheme="majorBidi" w:cstheme="majorBidi"/>
          <w:color w:val="0D0D0D"/>
          <w:sz w:val="24"/>
          <w:szCs w:val="24"/>
        </w:rPr>
        <w:t>(Bourdic et al., 2012)</w:t>
      </w:r>
      <w:r w:rsidRPr="0062340E">
        <w:rPr>
          <w:rFonts w:ascii="Simplified Arabic" w:hAnsi="Simplified Arabic" w:cs="Simplified Arabic"/>
          <w:sz w:val="24"/>
          <w:szCs w:val="24"/>
          <w:rtl/>
        </w:rPr>
        <w:t>.</w:t>
      </w:r>
      <w:r w:rsidRPr="0062340E">
        <w:rPr>
          <w:rFonts w:ascii="Simplified Arabic" w:hAnsi="Simplified Arabic" w:cs="Simplified Arabic" w:hint="cs"/>
          <w:sz w:val="24"/>
          <w:szCs w:val="24"/>
          <w:rtl/>
        </w:rPr>
        <w:t xml:space="preserve"> تشمل مقاييس التنوع، مثل 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الشبكة</w:t>
      </w:r>
      <w:r w:rsidRPr="0062340E">
        <w:rPr>
          <w:rFonts w:ascii="Simplified Arabic" w:hAnsi="Simplified Arabic" w:cs="Simplified Arabic"/>
          <w:sz w:val="24"/>
          <w:szCs w:val="24"/>
          <w:rtl/>
        </w:rPr>
        <w:t xml:space="preserve"> </w:t>
      </w:r>
      <w:r w:rsidRPr="0062340E">
        <w:rPr>
          <w:rFonts w:asciiTheme="majorBidi" w:hAnsiTheme="majorBidi" w:cstheme="majorBidi"/>
          <w:color w:val="0D0D0D"/>
          <w:sz w:val="24"/>
          <w:szCs w:val="24"/>
        </w:rPr>
        <w:t>(Sardari Sayyar and Marcus, 2011)</w:t>
      </w:r>
      <w:r w:rsidRPr="0062340E">
        <w:rPr>
          <w:rFonts w:asciiTheme="majorBidi" w:hAnsiTheme="majorBidi" w:cstheme="majorBidi" w:hint="cs"/>
          <w:color w:val="0D0D0D"/>
          <w:sz w:val="24"/>
          <w:szCs w:val="24"/>
          <w:rtl/>
        </w:rPr>
        <w:t>،</w:t>
      </w:r>
      <w:r w:rsidRPr="0062340E">
        <w:rPr>
          <w:rFonts w:ascii="Simplified Arabic" w:hAnsi="Simplified Arabic" w:cs="Simplified Arabic" w:hint="cs"/>
          <w:sz w:val="24"/>
          <w:szCs w:val="24"/>
          <w:rtl/>
        </w:rPr>
        <w:t xml:space="preserve"> تنوع تقسيمات الاراضي من حيث سهولة الوصول </w:t>
      </w:r>
      <w:r w:rsidRPr="0062340E">
        <w:rPr>
          <w:rFonts w:asciiTheme="majorBidi" w:hAnsiTheme="majorBidi" w:cstheme="majorBidi"/>
          <w:color w:val="0D0D0D"/>
          <w:sz w:val="24"/>
          <w:szCs w:val="24"/>
        </w:rPr>
        <w:t xml:space="preserve"> (Bobkova et al., 2017)</w:t>
      </w:r>
      <w:r w:rsidRPr="0062340E">
        <w:rPr>
          <w:rFonts w:asciiTheme="majorBidi" w:hAnsiTheme="majorBidi" w:cstheme="majorBidi" w:hint="cs"/>
          <w:color w:val="0D0D0D"/>
          <w:sz w:val="24"/>
          <w:szCs w:val="24"/>
          <w:rtl/>
        </w:rPr>
        <w:t xml:space="preserve"> </w:t>
      </w:r>
      <w:r w:rsidRPr="0062340E">
        <w:rPr>
          <w:rFonts w:ascii="Simplified Arabic" w:hAnsi="Simplified Arabic" w:cs="Simplified Arabic" w:hint="cs"/>
          <w:sz w:val="24"/>
          <w:szCs w:val="24"/>
          <w:rtl/>
        </w:rPr>
        <w:t>والتنوع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المادي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الوظيفي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بين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الا</w:t>
      </w:r>
      <w:r w:rsidR="0027496A" w:rsidRPr="0062340E">
        <w:rPr>
          <w:rFonts w:ascii="Simplified Arabic" w:hAnsi="Simplified Arabic" w:cs="Simplified Arabic" w:hint="cs"/>
          <w:sz w:val="24"/>
          <w:szCs w:val="24"/>
          <w:rtl/>
        </w:rPr>
        <w:t>ستعمال</w:t>
      </w:r>
      <w:r w:rsidRPr="0062340E">
        <w:rPr>
          <w:rFonts w:ascii="Simplified Arabic" w:hAnsi="Simplified Arabic" w:cs="Simplified Arabic" w:hint="cs"/>
          <w:sz w:val="24"/>
          <w:szCs w:val="24"/>
          <w:rtl/>
        </w:rPr>
        <w:t>ات</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المجاورة </w:t>
      </w:r>
      <w:r w:rsidRPr="0062340E">
        <w:rPr>
          <w:rFonts w:asciiTheme="majorBidi" w:hAnsiTheme="majorBidi" w:cstheme="majorBidi"/>
          <w:color w:val="000000" w:themeColor="text1"/>
          <w:sz w:val="24"/>
          <w:szCs w:val="24"/>
          <w:rtl/>
        </w:rPr>
        <w:t>(</w:t>
      </w:r>
      <w:r w:rsidR="006A0ED4" w:rsidRPr="0062340E">
        <w:rPr>
          <w:rFonts w:asciiTheme="majorBidi" w:hAnsiTheme="majorBidi" w:cstheme="majorBidi" w:hint="cs"/>
          <w:color w:val="000000" w:themeColor="text1"/>
          <w:sz w:val="24"/>
          <w:szCs w:val="24"/>
          <w:rtl/>
        </w:rPr>
        <w:t>1961</w:t>
      </w:r>
      <w:r w:rsidR="006A0ED4" w:rsidRPr="0062340E">
        <w:rPr>
          <w:rFonts w:asciiTheme="majorBidi" w:hAnsiTheme="majorBidi" w:cstheme="majorBidi"/>
          <w:color w:val="0D0D0D"/>
          <w:sz w:val="24"/>
          <w:szCs w:val="24"/>
          <w:lang w:val="en-US"/>
        </w:rPr>
        <w:t xml:space="preserve"> Jacobs</w:t>
      </w:r>
      <w:r w:rsidRPr="0062340E">
        <w:rPr>
          <w:rFonts w:asciiTheme="majorBidi" w:hAnsiTheme="majorBidi" w:cstheme="majorBidi"/>
          <w:color w:val="000000" w:themeColor="text1"/>
          <w:sz w:val="24"/>
          <w:szCs w:val="24"/>
        </w:rPr>
        <w:t>,</w:t>
      </w:r>
      <w:r w:rsidR="006A0ED4" w:rsidRPr="0062340E">
        <w:rPr>
          <w:rFonts w:asciiTheme="majorBidi" w:hAnsiTheme="majorBidi" w:cstheme="majorBidi"/>
          <w:color w:val="000000" w:themeColor="text1"/>
          <w:sz w:val="24"/>
          <w:szCs w:val="24"/>
        </w:rPr>
        <w:t xml:space="preserve"> </w:t>
      </w:r>
      <w:r w:rsidRPr="0062340E">
        <w:rPr>
          <w:rFonts w:asciiTheme="majorBidi" w:hAnsiTheme="majorBidi" w:cstheme="majorBidi"/>
          <w:color w:val="000000" w:themeColor="text1"/>
          <w:sz w:val="24"/>
          <w:szCs w:val="24"/>
          <w:rtl/>
        </w:rPr>
        <w:t>)</w:t>
      </w:r>
      <w:r w:rsidRPr="0062340E">
        <w:rPr>
          <w:rFonts w:asciiTheme="majorBidi" w:hAnsiTheme="majorBidi" w:cstheme="majorBidi" w:hint="cs"/>
          <w:color w:val="000000" w:themeColor="text1"/>
          <w:sz w:val="24"/>
          <w:szCs w:val="24"/>
          <w:rtl/>
        </w:rPr>
        <w:t xml:space="preserve">. </w:t>
      </w:r>
      <w:r w:rsidRPr="0062340E">
        <w:rPr>
          <w:rFonts w:ascii="Simplified Arabic" w:hAnsi="Simplified Arabic" w:cs="Simplified Arabic" w:hint="cs"/>
          <w:sz w:val="24"/>
          <w:szCs w:val="24"/>
          <w:rtl/>
        </w:rPr>
        <w:t>ومع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ذلك،</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من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المحتمل</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أن</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يشير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تنوع</w:t>
      </w:r>
      <w:r w:rsidRPr="0062340E">
        <w:rPr>
          <w:rFonts w:ascii="Simplified Arabic" w:hAnsi="Simplified Arabic" w:cs="Simplified Arabic"/>
          <w:sz w:val="24"/>
          <w:szCs w:val="24"/>
          <w:rtl/>
        </w:rPr>
        <w:t xml:space="preserve"> </w:t>
      </w:r>
      <w:r w:rsidR="0027496A" w:rsidRPr="0062340E">
        <w:rPr>
          <w:rFonts w:ascii="Simplified Arabic" w:hAnsi="Simplified Arabic" w:cs="Simplified Arabic" w:hint="cs"/>
          <w:sz w:val="24"/>
          <w:szCs w:val="24"/>
          <w:rtl/>
        </w:rPr>
        <w:t>استعمال</w:t>
      </w:r>
      <w:r w:rsidR="0027496A"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rPr>
        <w:t>الأرض</w:t>
      </w:r>
      <w:r w:rsidRPr="0062340E">
        <w:rPr>
          <w:rFonts w:ascii="Simplified Arabic" w:hAnsi="Simplified Arabic" w:cs="Simplified Arabic" w:hint="cs"/>
          <w:color w:val="000000" w:themeColor="text1"/>
          <w:sz w:val="24"/>
          <w:szCs w:val="24"/>
          <w:rtl/>
          <w:lang w:val="en-US"/>
        </w:rPr>
        <w:t xml:space="preserve"> الى التنوع الوظيفي، </w:t>
      </w:r>
      <w:r w:rsidRPr="0062340E">
        <w:rPr>
          <w:rFonts w:ascii="Simplified Arabic" w:hAnsi="Simplified Arabic" w:cs="Simplified Arabic" w:hint="cs"/>
          <w:sz w:val="24"/>
          <w:szCs w:val="24"/>
          <w:rtl/>
        </w:rPr>
        <w:t>وهو</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أكثر</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اصناف</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التنوع</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شيوعًا</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التي</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تمت</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مطالعتها</w:t>
      </w:r>
      <w:r w:rsidRPr="0062340E">
        <w:rPr>
          <w:rFonts w:ascii="Simplified Arabic" w:hAnsi="Simplified Arabic" w:cs="Simplified Arabic"/>
          <w:sz w:val="24"/>
          <w:szCs w:val="24"/>
          <w:rtl/>
        </w:rPr>
        <w:t>.</w:t>
      </w:r>
    </w:p>
    <w:p w:rsidR="00A903CE" w:rsidRPr="0062340E" w:rsidRDefault="00A903CE" w:rsidP="00DA656E">
      <w:pPr>
        <w:pStyle w:val="fegure"/>
        <w:spacing w:before="240"/>
        <w:rPr>
          <w:szCs w:val="24"/>
          <w:rtl/>
        </w:rPr>
      </w:pPr>
      <w:bookmarkStart w:id="210" w:name="_Toc157561447"/>
      <w:bookmarkStart w:id="211" w:name="_Toc157562780"/>
      <w:bookmarkStart w:id="212" w:name="_Toc157608276"/>
      <w:bookmarkStart w:id="213" w:name="_Toc171803389"/>
      <w:r w:rsidRPr="0062340E">
        <w:rPr>
          <w:rFonts w:hint="cs"/>
          <w:szCs w:val="24"/>
          <w:rtl/>
          <w:lang w:val="en-US"/>
        </w:rPr>
        <w:t xml:space="preserve">الشكل </w:t>
      </w:r>
      <w:r w:rsidRPr="0062340E">
        <w:rPr>
          <w:rFonts w:hint="cs"/>
          <w:szCs w:val="24"/>
          <w:rtl/>
        </w:rPr>
        <w:t>(</w:t>
      </w:r>
      <w:r w:rsidR="00E82985" w:rsidRPr="0062340E">
        <w:rPr>
          <w:rFonts w:hint="cs"/>
          <w:szCs w:val="24"/>
          <w:rtl/>
        </w:rPr>
        <w:t>1-15</w:t>
      </w:r>
      <w:r w:rsidRPr="0062340E">
        <w:rPr>
          <w:rFonts w:hint="cs"/>
          <w:szCs w:val="24"/>
          <w:rtl/>
        </w:rPr>
        <w:t>)</w:t>
      </w:r>
      <w:r w:rsidRPr="0062340E">
        <w:rPr>
          <w:szCs w:val="24"/>
          <w:rtl/>
        </w:rPr>
        <w:t>:</w:t>
      </w:r>
      <w:r w:rsidRPr="0062340E">
        <w:rPr>
          <w:rFonts w:hint="cs"/>
          <w:szCs w:val="24"/>
          <w:rtl/>
        </w:rPr>
        <w:t xml:space="preserve"> تنوع </w:t>
      </w:r>
      <w:r w:rsidR="0027496A" w:rsidRPr="0062340E">
        <w:rPr>
          <w:rFonts w:hint="cs"/>
          <w:szCs w:val="24"/>
          <w:rtl/>
        </w:rPr>
        <w:t>استعمالات</w:t>
      </w:r>
      <w:r w:rsidR="0027496A" w:rsidRPr="0062340E">
        <w:rPr>
          <w:szCs w:val="24"/>
        </w:rPr>
        <w:t xml:space="preserve"> </w:t>
      </w:r>
      <w:r w:rsidRPr="0062340E">
        <w:rPr>
          <w:szCs w:val="24"/>
          <w:rtl/>
        </w:rPr>
        <w:t xml:space="preserve">الأرض </w:t>
      </w:r>
      <w:r w:rsidRPr="0062340E">
        <w:rPr>
          <w:rFonts w:hint="cs"/>
          <w:szCs w:val="24"/>
          <w:rtl/>
        </w:rPr>
        <w:t>بمدينة</w:t>
      </w:r>
      <w:r w:rsidRPr="0062340E">
        <w:rPr>
          <w:szCs w:val="24"/>
          <w:rtl/>
        </w:rPr>
        <w:t xml:space="preserve"> السماوة حسب المخطط الاساس</w:t>
      </w:r>
      <w:bookmarkEnd w:id="210"/>
      <w:bookmarkEnd w:id="211"/>
      <w:bookmarkEnd w:id="212"/>
      <w:bookmarkEnd w:id="213"/>
    </w:p>
    <w:p w:rsidR="00A903CE" w:rsidRPr="0062340E" w:rsidRDefault="00A903CE" w:rsidP="000101D0">
      <w:pPr>
        <w:autoSpaceDE w:val="0"/>
        <w:autoSpaceDN w:val="0"/>
        <w:bidi/>
        <w:adjustRightInd w:val="0"/>
        <w:spacing w:after="0" w:line="240" w:lineRule="auto"/>
        <w:jc w:val="center"/>
        <w:rPr>
          <w:b/>
          <w:bCs/>
          <w:sz w:val="24"/>
          <w:szCs w:val="24"/>
          <w:rtl/>
        </w:rPr>
      </w:pPr>
      <w:r w:rsidRPr="0062340E">
        <w:rPr>
          <w:rFonts w:ascii="Simplified Arabic" w:hAnsi="Simplified Arabic" w:cs="Simplified Arabic" w:hint="cs"/>
          <w:b/>
          <w:bCs/>
          <w:sz w:val="24"/>
          <w:szCs w:val="24"/>
          <w:rtl/>
        </w:rPr>
        <w:t>المصدر: (</w:t>
      </w:r>
      <w:r w:rsidR="00800B70" w:rsidRPr="0062340E">
        <w:rPr>
          <w:rFonts w:ascii="Simplified Arabic" w:eastAsia="Times New Roman" w:hAnsi="Simplified Arabic" w:cs="Simplified Arabic" w:hint="cs"/>
          <w:b/>
          <w:bCs/>
          <w:color w:val="000000" w:themeColor="text1"/>
          <w:sz w:val="24"/>
          <w:szCs w:val="24"/>
          <w:rtl/>
          <w:lang w:eastAsia="fr-FR"/>
        </w:rPr>
        <w:t>العاني محمد جاسم والزیادي هادي محمد شیال</w:t>
      </w:r>
      <w:r w:rsidRPr="0062340E">
        <w:rPr>
          <w:rFonts w:ascii="Simplified Arabic" w:hAnsi="Simplified Arabic" w:cs="Simplified Arabic" w:hint="cs"/>
          <w:b/>
          <w:bCs/>
          <w:sz w:val="24"/>
          <w:szCs w:val="24"/>
          <w:rtl/>
        </w:rPr>
        <w:t>، 2016)</w:t>
      </w:r>
    </w:p>
    <w:p w:rsidR="00A903CE" w:rsidRPr="0062340E" w:rsidRDefault="00A903CE" w:rsidP="00C50CF2">
      <w:pPr>
        <w:bidi/>
        <w:spacing w:after="0" w:line="240" w:lineRule="auto"/>
        <w:jc w:val="center"/>
        <w:rPr>
          <w:rFonts w:asciiTheme="majorBidi" w:hAnsiTheme="majorBidi" w:cstheme="majorBidi"/>
          <w:color w:val="FF0000"/>
          <w:sz w:val="24"/>
          <w:szCs w:val="24"/>
          <w:rtl/>
          <w:lang w:val="en-US"/>
        </w:rPr>
      </w:pPr>
      <w:r w:rsidRPr="0062340E">
        <w:rPr>
          <w:noProof/>
          <w:sz w:val="24"/>
          <w:szCs w:val="24"/>
          <w:lang w:eastAsia="fr-FR"/>
        </w:rPr>
        <w:drawing>
          <wp:inline distT="0" distB="0" distL="0" distR="0" wp14:anchorId="4E137050" wp14:editId="5AC88A92">
            <wp:extent cx="3462893" cy="1303239"/>
            <wp:effectExtent l="19050" t="19050" r="23495" b="11430"/>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extLst>
                        <a:ext uri="{28A0092B-C50C-407E-A947-70E740481C1C}">
                          <a14:useLocalDpi xmlns:a14="http://schemas.microsoft.com/office/drawing/2010/main" val="0"/>
                        </a:ext>
                      </a:extLst>
                    </a:blip>
                    <a:stretch>
                      <a:fillRect/>
                    </a:stretch>
                  </pic:blipFill>
                  <pic:spPr>
                    <a:xfrm>
                      <a:off x="0" y="0"/>
                      <a:ext cx="3541734" cy="1332910"/>
                    </a:xfrm>
                    <a:prstGeom prst="rect">
                      <a:avLst/>
                    </a:prstGeom>
                    <a:ln w="6350">
                      <a:solidFill>
                        <a:schemeClr val="tx1"/>
                      </a:solidFill>
                    </a:ln>
                  </pic:spPr>
                </pic:pic>
              </a:graphicData>
            </a:graphic>
          </wp:inline>
        </w:drawing>
      </w:r>
    </w:p>
    <w:p w:rsidR="00A903CE" w:rsidRPr="0062340E" w:rsidRDefault="00A903CE" w:rsidP="00DA656E">
      <w:pPr>
        <w:pStyle w:val="Paragraphedeliste"/>
        <w:numPr>
          <w:ilvl w:val="3"/>
          <w:numId w:val="111"/>
        </w:numPr>
        <w:tabs>
          <w:tab w:val="right" w:pos="1134"/>
        </w:tabs>
        <w:bidi/>
        <w:spacing w:before="240" w:after="0"/>
        <w:ind w:left="0" w:firstLine="0"/>
        <w:jc w:val="both"/>
        <w:outlineLvl w:val="2"/>
        <w:rPr>
          <w:rFonts w:ascii="Simplified Arabic" w:hAnsi="Simplified Arabic" w:cs="Simplified Arabic"/>
          <w:b/>
          <w:bCs/>
          <w:sz w:val="24"/>
          <w:szCs w:val="24"/>
          <w:rtl/>
          <w:lang w:val="en-US"/>
        </w:rPr>
      </w:pPr>
      <w:bookmarkStart w:id="214" w:name="_Toc171803390"/>
      <w:r w:rsidRPr="0062340E">
        <w:rPr>
          <w:rFonts w:ascii="Simplified Arabic" w:hAnsi="Simplified Arabic" w:cs="Simplified Arabic" w:hint="cs"/>
          <w:b/>
          <w:bCs/>
          <w:sz w:val="24"/>
          <w:szCs w:val="24"/>
          <w:rtl/>
          <w:lang w:val="en-US"/>
        </w:rPr>
        <w:t>التكرار</w:t>
      </w:r>
      <w:r w:rsidRPr="0062340E">
        <w:rPr>
          <w:rFonts w:asciiTheme="majorBidi" w:hAnsiTheme="majorBidi" w:cstheme="majorBidi"/>
          <w:b/>
          <w:bCs/>
          <w:sz w:val="24"/>
          <w:szCs w:val="24"/>
          <w:lang w:val="en-US"/>
        </w:rPr>
        <w:t>(</w:t>
      </w:r>
      <w:r w:rsidRPr="0062340E">
        <w:rPr>
          <w:rFonts w:asciiTheme="majorBidi" w:hAnsiTheme="majorBidi" w:cstheme="majorBidi"/>
          <w:b/>
          <w:bCs/>
          <w:sz w:val="24"/>
          <w:szCs w:val="24"/>
          <w:shd w:val="clear" w:color="auto" w:fill="FFFFFF"/>
          <w:lang w:val="en-US"/>
        </w:rPr>
        <w:t>Redundancy</w:t>
      </w:r>
      <w:r w:rsidRPr="0062340E">
        <w:rPr>
          <w:rFonts w:asciiTheme="majorBidi" w:hAnsiTheme="majorBidi" w:cstheme="majorBidi"/>
          <w:b/>
          <w:bCs/>
          <w:sz w:val="24"/>
          <w:szCs w:val="24"/>
          <w:lang w:val="en-US"/>
        </w:rPr>
        <w:t>)</w:t>
      </w:r>
      <w:bookmarkEnd w:id="214"/>
      <w:r w:rsidRPr="0062340E">
        <w:rPr>
          <w:rFonts w:asciiTheme="majorBidi" w:hAnsiTheme="majorBidi" w:cstheme="majorBidi"/>
          <w:b/>
          <w:bCs/>
          <w:sz w:val="24"/>
          <w:szCs w:val="24"/>
          <w:shd w:val="clear" w:color="auto" w:fill="FFFFFF"/>
          <w:lang w:val="en-US"/>
        </w:rPr>
        <w:t xml:space="preserve"> </w:t>
      </w:r>
    </w:p>
    <w:p w:rsidR="009A11C9" w:rsidRPr="0062340E" w:rsidRDefault="00514348" w:rsidP="00C71ECA">
      <w:pPr>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عالجت</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ابحاث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علوم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الشبكات</w:t>
      </w:r>
      <w:r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على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نطاق</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واسع</w:t>
      </w:r>
      <w:r w:rsidR="006A60E6" w:rsidRPr="0062340E">
        <w:rPr>
          <w:rFonts w:ascii="Simplified Arabic" w:hAnsi="Simplified Arabic" w:cs="Simplified Arabic"/>
          <w:sz w:val="24"/>
          <w:szCs w:val="24"/>
          <w:rtl/>
        </w:rPr>
        <w:t xml:space="preserve"> </w:t>
      </w:r>
      <w:r w:rsidR="002E42A1" w:rsidRPr="0062340E">
        <w:rPr>
          <w:rFonts w:ascii="Simplified Arabic" w:hAnsi="Simplified Arabic" w:cs="Simplified Arabic" w:hint="cs"/>
          <w:sz w:val="24"/>
          <w:szCs w:val="24"/>
          <w:rtl/>
        </w:rPr>
        <w:t>مفهوم</w:t>
      </w:r>
      <w:r w:rsidR="002E42A1" w:rsidRPr="0062340E">
        <w:rPr>
          <w:rFonts w:ascii="Simplified Arabic" w:hAnsi="Simplified Arabic" w:cs="Simplified Arabic"/>
          <w:sz w:val="24"/>
          <w:szCs w:val="24"/>
          <w:rtl/>
        </w:rPr>
        <w:t xml:space="preserve"> </w:t>
      </w:r>
      <w:r w:rsidR="002E42A1" w:rsidRPr="0062340E">
        <w:rPr>
          <w:rFonts w:ascii="Simplified Arabic" w:hAnsi="Simplified Arabic" w:cs="Simplified Arabic" w:hint="cs"/>
          <w:sz w:val="24"/>
          <w:szCs w:val="24"/>
          <w:rtl/>
        </w:rPr>
        <w:t>التكرار</w:t>
      </w:r>
      <w:r w:rsidR="002E42A1" w:rsidRPr="0062340E">
        <w:rPr>
          <w:rFonts w:ascii="Simplified Arabic" w:hAnsi="Simplified Arabic" w:cs="Simplified Arabic"/>
          <w:sz w:val="24"/>
          <w:szCs w:val="24"/>
          <w:rtl/>
        </w:rPr>
        <w:t xml:space="preserve"> </w:t>
      </w:r>
      <w:r w:rsidR="002E42A1" w:rsidRPr="0062340E">
        <w:rPr>
          <w:rFonts w:asciiTheme="majorBidi" w:hAnsiTheme="majorBidi" w:cstheme="majorBidi"/>
          <w:sz w:val="24"/>
          <w:szCs w:val="24"/>
          <w:rtl/>
          <w:lang w:bidi="ar-DZ"/>
        </w:rPr>
        <w:t>(</w:t>
      </w:r>
      <w:r w:rsidR="002E42A1" w:rsidRPr="0062340E">
        <w:rPr>
          <w:rFonts w:asciiTheme="majorBidi" w:hAnsiTheme="majorBidi" w:cstheme="majorBidi"/>
          <w:sz w:val="24"/>
          <w:szCs w:val="24"/>
          <w:lang w:bidi="ar-DZ"/>
        </w:rPr>
        <w:t>Lhomme et al., 2013</w:t>
      </w:r>
      <w:r w:rsidR="002E42A1" w:rsidRPr="0062340E">
        <w:rPr>
          <w:rFonts w:asciiTheme="majorBidi" w:hAnsiTheme="majorBidi" w:cstheme="majorBidi"/>
          <w:sz w:val="24"/>
          <w:szCs w:val="24"/>
          <w:rtl/>
          <w:lang w:bidi="ar-DZ"/>
        </w:rPr>
        <w:t>)</w:t>
      </w:r>
      <w:r w:rsidR="006A60E6" w:rsidRPr="0062340E">
        <w:rPr>
          <w:rFonts w:ascii="Simplified Arabic" w:hAnsi="Simplified Arabic" w:cs="Simplified Arabic"/>
          <w:sz w:val="24"/>
          <w:szCs w:val="24"/>
          <w:rtl/>
        </w:rPr>
        <w:t xml:space="preserve"> </w:t>
      </w:r>
      <w:r w:rsidR="002E42A1" w:rsidRPr="0062340E">
        <w:rPr>
          <w:rFonts w:ascii="Simplified Arabic" w:hAnsi="Simplified Arabic" w:cs="Simplified Arabic" w:hint="cs"/>
          <w:sz w:val="24"/>
          <w:szCs w:val="24"/>
          <w:rtl/>
        </w:rPr>
        <w:t>ب</w:t>
      </w:r>
      <w:r w:rsidR="006A60E6" w:rsidRPr="0062340E">
        <w:rPr>
          <w:rFonts w:ascii="Simplified Arabic" w:hAnsi="Simplified Arabic" w:cs="Simplified Arabic" w:hint="cs"/>
          <w:sz w:val="24"/>
          <w:szCs w:val="24"/>
          <w:rtl/>
        </w:rPr>
        <w:t>هدف</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قياس</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قوة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شبكة</w:t>
      </w:r>
      <w:r w:rsidR="006A60E6"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 xml:space="preserve">الطرق </w:t>
      </w:r>
      <w:r w:rsidR="006A60E6" w:rsidRPr="0062340E">
        <w:rPr>
          <w:rFonts w:ascii="Simplified Arabic" w:hAnsi="Simplified Arabic" w:cs="Simplified Arabic" w:hint="cs"/>
          <w:sz w:val="24"/>
          <w:szCs w:val="24"/>
          <w:rtl/>
        </w:rPr>
        <w:t>وموثوقيتها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ضد</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الفشل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تطبيق</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هذ</w:t>
      </w:r>
      <w:r w:rsidR="004B0B79" w:rsidRPr="0062340E">
        <w:rPr>
          <w:rFonts w:ascii="Simplified Arabic" w:hAnsi="Simplified Arabic" w:cs="Simplified Arabic" w:hint="cs"/>
          <w:sz w:val="24"/>
          <w:szCs w:val="24"/>
          <w:rtl/>
        </w:rPr>
        <w:t>ا</w:t>
      </w:r>
      <w:r w:rsidR="006A60E6"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المفهوم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على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العديد</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من</w:t>
      </w:r>
      <w:r w:rsidR="00AF7772" w:rsidRPr="0062340E">
        <w:rPr>
          <w:rFonts w:ascii="Simplified Arabic" w:hAnsi="Simplified Arabic" w:cs="Simplified Arabic" w:hint="cs"/>
          <w:sz w:val="24"/>
          <w:szCs w:val="24"/>
          <w:rtl/>
        </w:rPr>
        <w:t xml:space="preserve"> ال</w:t>
      </w:r>
      <w:r w:rsidR="006A60E6" w:rsidRPr="0062340E">
        <w:rPr>
          <w:rFonts w:ascii="Simplified Arabic" w:hAnsi="Simplified Arabic" w:cs="Simplified Arabic" w:hint="cs"/>
          <w:sz w:val="24"/>
          <w:szCs w:val="24"/>
          <w:rtl/>
        </w:rPr>
        <w:t>شبكات</w:t>
      </w:r>
      <w:r w:rsidR="002E42A1" w:rsidRPr="0062340E">
        <w:rPr>
          <w:rFonts w:ascii="Simplified Arabic" w:hAnsi="Simplified Arabic" w:cs="Simplified Arabic" w:hint="cs"/>
          <w:sz w:val="24"/>
          <w:szCs w:val="24"/>
          <w:rtl/>
        </w:rPr>
        <w:t>،</w:t>
      </w:r>
      <w:r w:rsidR="006A60E6"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 xml:space="preserve">مثل </w:t>
      </w:r>
      <w:r w:rsidR="006A60E6" w:rsidRPr="0062340E">
        <w:rPr>
          <w:rFonts w:ascii="Simplified Arabic" w:hAnsi="Simplified Arabic" w:cs="Simplified Arabic" w:hint="cs"/>
          <w:sz w:val="24"/>
          <w:szCs w:val="24"/>
          <w:rtl/>
        </w:rPr>
        <w:t>شبكات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توزيع</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المياه</w:t>
      </w:r>
      <w:r w:rsidRPr="0062340E">
        <w:rPr>
          <w:rFonts w:ascii="Simplified Arabic" w:hAnsi="Simplified Arabic" w:cs="Simplified Arabic" w:hint="cs"/>
          <w:sz w:val="24"/>
          <w:szCs w:val="24"/>
          <w:rtl/>
        </w:rPr>
        <w:t>، شبكة التطهير</w:t>
      </w:r>
      <w:r w:rsidR="006A60E6" w:rsidRPr="0062340E">
        <w:rPr>
          <w:rFonts w:ascii="Simplified Arabic" w:hAnsi="Simplified Arabic" w:cs="Simplified Arabic" w:hint="cs"/>
          <w:sz w:val="24"/>
          <w:szCs w:val="24"/>
          <w:rtl/>
        </w:rPr>
        <w:t>،</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شبكة</w:t>
      </w:r>
      <w:r w:rsidR="006A60E6"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الطرق</w:t>
      </w:r>
      <w:r w:rsidR="006A60E6" w:rsidRPr="0062340E">
        <w:rPr>
          <w:rFonts w:ascii="Simplified Arabic" w:hAnsi="Simplified Arabic" w:cs="Simplified Arabic"/>
          <w:sz w:val="24"/>
          <w:szCs w:val="24"/>
          <w:rtl/>
        </w:rPr>
        <w:t xml:space="preserve"> </w:t>
      </w:r>
      <w:r w:rsidR="00AF7772" w:rsidRPr="0062340E">
        <w:rPr>
          <w:rFonts w:ascii="Times New Roman" w:eastAsia="Times New Roman" w:hAnsi="Times New Roman" w:cs="Times New Roman"/>
          <w:color w:val="000000"/>
          <w:sz w:val="24"/>
          <w:szCs w:val="24"/>
          <w:lang w:eastAsia="fr-FR"/>
        </w:rPr>
        <w:t>(Lhomme, 2012)</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مع</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ذلك،</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نادرًا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يتم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تناول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موضوع</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التكرار</w:t>
      </w:r>
      <w:r w:rsidRPr="0062340E">
        <w:rPr>
          <w:rFonts w:ascii="Simplified Arabic" w:hAnsi="Simplified Arabic" w:cs="Simplified Arabic" w:hint="cs"/>
          <w:sz w:val="24"/>
          <w:szCs w:val="24"/>
          <w:rtl/>
        </w:rPr>
        <w:t xml:space="preserve"> في</w:t>
      </w:r>
      <w:r w:rsidRPr="0062340E">
        <w:rPr>
          <w:rFonts w:ascii="Simplified Arabic" w:hAnsi="Simplified Arabic" w:cs="Simplified Arabic"/>
          <w:sz w:val="24"/>
          <w:szCs w:val="24"/>
          <w:rtl/>
        </w:rPr>
        <w:t xml:space="preserve"> </w:t>
      </w:r>
      <w:r w:rsidR="00C71ECA" w:rsidRPr="0062340E">
        <w:rPr>
          <w:rFonts w:ascii="Simplified Arabic" w:hAnsi="Simplified Arabic" w:cs="Simplified Arabic" w:hint="cs"/>
          <w:sz w:val="24"/>
          <w:szCs w:val="24"/>
          <w:rtl/>
        </w:rPr>
        <w:t>ابحاث</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التصميم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الحضري بالتركيز على شبكة الطرق</w:t>
      </w:r>
      <w:r w:rsidR="00393AC5" w:rsidRPr="0062340E">
        <w:rPr>
          <w:rFonts w:ascii="Simplified Arabic" w:hAnsi="Simplified Arabic" w:cs="Simplified Arabic"/>
          <w:sz w:val="24"/>
          <w:szCs w:val="24"/>
          <w:rtl/>
        </w:rPr>
        <w:t>.</w:t>
      </w:r>
      <w:r w:rsidR="003F65C7" w:rsidRPr="0062340E">
        <w:rPr>
          <w:rFonts w:ascii="Simplified Arabic" w:hAnsi="Simplified Arabic" w:cs="Simplified Arabic" w:hint="cs"/>
          <w:sz w:val="24"/>
          <w:szCs w:val="24"/>
          <w:rtl/>
        </w:rPr>
        <w:t xml:space="preserve"> </w:t>
      </w:r>
      <w:r w:rsidR="009A11C9" w:rsidRPr="0062340E">
        <w:rPr>
          <w:rFonts w:ascii="Simplified Arabic" w:hAnsi="Simplified Arabic" w:cs="Simplified Arabic" w:hint="cs"/>
          <w:sz w:val="24"/>
          <w:szCs w:val="24"/>
          <w:rtl/>
        </w:rPr>
        <w:t>يتم الت</w:t>
      </w:r>
      <w:r w:rsidR="006A60E6" w:rsidRPr="0062340E">
        <w:rPr>
          <w:rFonts w:ascii="Simplified Arabic" w:hAnsi="Simplified Arabic" w:cs="Simplified Arabic" w:hint="cs"/>
          <w:sz w:val="24"/>
          <w:szCs w:val="24"/>
          <w:rtl/>
        </w:rPr>
        <w:t>رك</w:t>
      </w:r>
      <w:r w:rsidR="009A11C9" w:rsidRPr="0062340E">
        <w:rPr>
          <w:rFonts w:ascii="Simplified Arabic" w:hAnsi="Simplified Arabic" w:cs="Simplified Arabic" w:hint="cs"/>
          <w:sz w:val="24"/>
          <w:szCs w:val="24"/>
          <w:rtl/>
        </w:rPr>
        <w:t>ي</w:t>
      </w:r>
      <w:r w:rsidR="006A60E6" w:rsidRPr="0062340E">
        <w:rPr>
          <w:rFonts w:ascii="Simplified Arabic" w:hAnsi="Simplified Arabic" w:cs="Simplified Arabic" w:hint="cs"/>
          <w:sz w:val="24"/>
          <w:szCs w:val="24"/>
          <w:rtl/>
        </w:rPr>
        <w:t>ز</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على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الخصائص</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الطوبولوجية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لشبكة</w:t>
      </w:r>
      <w:r w:rsidR="006A60E6" w:rsidRPr="0062340E">
        <w:rPr>
          <w:rFonts w:ascii="Simplified Arabic" w:hAnsi="Simplified Arabic" w:cs="Simplified Arabic"/>
          <w:sz w:val="24"/>
          <w:szCs w:val="24"/>
          <w:rtl/>
        </w:rPr>
        <w:t xml:space="preserve"> </w:t>
      </w:r>
      <w:r w:rsidR="009A11C9" w:rsidRPr="0062340E">
        <w:rPr>
          <w:rFonts w:ascii="Simplified Arabic" w:hAnsi="Simplified Arabic" w:cs="Simplified Arabic" w:hint="cs"/>
          <w:sz w:val="24"/>
          <w:szCs w:val="24"/>
          <w:rtl/>
        </w:rPr>
        <w:t>الطرق</w:t>
      </w:r>
      <w:r w:rsidR="006A60E6" w:rsidRPr="0062340E">
        <w:rPr>
          <w:rFonts w:ascii="Simplified Arabic" w:hAnsi="Simplified Arabic" w:cs="Simplified Arabic" w:hint="cs"/>
          <w:sz w:val="24"/>
          <w:szCs w:val="24"/>
          <w:rtl/>
        </w:rPr>
        <w:t>،</w:t>
      </w:r>
      <w:r w:rsidR="006A60E6" w:rsidRPr="0062340E">
        <w:rPr>
          <w:rFonts w:ascii="Simplified Arabic" w:hAnsi="Simplified Arabic" w:cs="Simplified Arabic"/>
          <w:sz w:val="24"/>
          <w:szCs w:val="24"/>
          <w:rtl/>
        </w:rPr>
        <w:t xml:space="preserve"> </w:t>
      </w:r>
      <w:r w:rsidR="009A11C9" w:rsidRPr="0062340E">
        <w:rPr>
          <w:rFonts w:ascii="Simplified Arabic" w:hAnsi="Simplified Arabic" w:cs="Simplified Arabic" w:hint="cs"/>
          <w:sz w:val="24"/>
          <w:szCs w:val="24"/>
          <w:rtl/>
        </w:rPr>
        <w:t>بالاستناد</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إلى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مفهوم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الشبكة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المحاطة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بحلقات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العقد</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المرتبطة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على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غرار</w:t>
      </w:r>
      <w:r w:rsidR="006A60E6" w:rsidRPr="0062340E">
        <w:rPr>
          <w:rFonts w:ascii="Simplified Arabic" w:hAnsi="Simplified Arabic" w:cs="Simplified Arabic"/>
          <w:sz w:val="24"/>
          <w:szCs w:val="24"/>
          <w:rtl/>
        </w:rPr>
        <w:t xml:space="preserve"> </w:t>
      </w:r>
      <w:r w:rsidR="00F20E58" w:rsidRPr="0062340E">
        <w:rPr>
          <w:rFonts w:ascii="Simplified Arabic" w:hAnsi="Simplified Arabic" w:cs="Simplified Arabic" w:hint="cs"/>
          <w:sz w:val="24"/>
          <w:szCs w:val="24"/>
          <w:rtl/>
        </w:rPr>
        <w:t>محلة سكنية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محاطة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بالشوارع</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التي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توفر</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حركة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بديلة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ويسمى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معامل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التشابك</w:t>
      </w:r>
      <w:r w:rsidR="006A60E6" w:rsidRPr="0062340E">
        <w:rPr>
          <w:rFonts w:ascii="Simplified Arabic" w:hAnsi="Simplified Arabic" w:cs="Simplified Arabic"/>
          <w:sz w:val="24"/>
          <w:szCs w:val="24"/>
          <w:rtl/>
        </w:rPr>
        <w:t xml:space="preserve"> </w:t>
      </w:r>
      <w:r w:rsidR="006A60E6" w:rsidRPr="0062340E">
        <w:rPr>
          <w:rFonts w:asciiTheme="majorBidi" w:hAnsiTheme="majorBidi" w:cstheme="majorBidi"/>
          <w:sz w:val="24"/>
          <w:szCs w:val="24"/>
          <w:rtl/>
        </w:rPr>
        <w:t>(</w:t>
      </w:r>
      <w:r w:rsidR="006A60E6" w:rsidRPr="0062340E">
        <w:rPr>
          <w:rFonts w:asciiTheme="majorBidi" w:hAnsiTheme="majorBidi" w:cstheme="majorBidi"/>
          <w:sz w:val="24"/>
          <w:szCs w:val="24"/>
        </w:rPr>
        <w:t>Cardillo et al.</w:t>
      </w:r>
      <w:r w:rsidR="009A11C9" w:rsidRPr="0062340E">
        <w:rPr>
          <w:rFonts w:asciiTheme="majorBidi" w:hAnsiTheme="majorBidi" w:cstheme="majorBidi"/>
          <w:sz w:val="24"/>
          <w:szCs w:val="24"/>
        </w:rPr>
        <w:t>,</w:t>
      </w:r>
      <w:r w:rsidR="006A60E6" w:rsidRPr="0062340E">
        <w:rPr>
          <w:rFonts w:asciiTheme="majorBidi" w:hAnsiTheme="majorBidi" w:cstheme="majorBidi"/>
          <w:sz w:val="24"/>
          <w:szCs w:val="24"/>
        </w:rPr>
        <w:t xml:space="preserve"> 2006</w:t>
      </w:r>
      <w:r w:rsidR="006A60E6" w:rsidRPr="0062340E">
        <w:rPr>
          <w:rFonts w:asciiTheme="majorBidi" w:hAnsiTheme="majorBidi" w:cstheme="majorBidi"/>
          <w:sz w:val="24"/>
          <w:szCs w:val="24"/>
          <w:rtl/>
        </w:rPr>
        <w:t>)</w:t>
      </w:r>
      <w:r w:rsidR="009A11C9" w:rsidRPr="0062340E">
        <w:rPr>
          <w:rFonts w:ascii="Simplified Arabic" w:hAnsi="Simplified Arabic" w:cs="Simplified Arabic" w:hint="cs"/>
          <w:sz w:val="24"/>
          <w:szCs w:val="24"/>
          <w:rtl/>
        </w:rPr>
        <w:t>.</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يتم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استخدام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lastRenderedPageBreak/>
        <w:t>معامل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التشابك</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لتقييم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إذا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كان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تكوين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شبكة</w:t>
      </w:r>
      <w:r w:rsidR="006A60E6" w:rsidRPr="0062340E">
        <w:rPr>
          <w:rFonts w:ascii="Simplified Arabic" w:hAnsi="Simplified Arabic" w:cs="Simplified Arabic"/>
          <w:sz w:val="24"/>
          <w:szCs w:val="24"/>
          <w:rtl/>
        </w:rPr>
        <w:t xml:space="preserve"> </w:t>
      </w:r>
      <w:r w:rsidR="009A11C9" w:rsidRPr="0062340E">
        <w:rPr>
          <w:rFonts w:ascii="Simplified Arabic" w:hAnsi="Simplified Arabic" w:cs="Simplified Arabic" w:hint="cs"/>
          <w:sz w:val="24"/>
          <w:szCs w:val="24"/>
          <w:rtl/>
        </w:rPr>
        <w:t>الطرق</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أقرب</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إلى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شبكة</w:t>
      </w:r>
      <w:r w:rsidR="006A60E6" w:rsidRPr="0062340E">
        <w:rPr>
          <w:rFonts w:ascii="Simplified Arabic" w:hAnsi="Simplified Arabic" w:cs="Simplified Arabic"/>
          <w:sz w:val="24"/>
          <w:szCs w:val="24"/>
          <w:rtl/>
        </w:rPr>
        <w:t xml:space="preserve"> </w:t>
      </w:r>
      <w:r w:rsidR="009A11C9" w:rsidRPr="0062340E">
        <w:rPr>
          <w:rFonts w:ascii="Simplified Arabic" w:hAnsi="Simplified Arabic" w:cs="Simplified Arabic" w:hint="cs"/>
          <w:sz w:val="24"/>
          <w:szCs w:val="24"/>
          <w:rtl/>
        </w:rPr>
        <w:t>شبيهة</w:t>
      </w:r>
      <w:r w:rsidR="006A60E6" w:rsidRPr="0062340E">
        <w:rPr>
          <w:rFonts w:ascii="Simplified Arabic" w:hAnsi="Simplified Arabic" w:cs="Simplified Arabic"/>
          <w:sz w:val="24"/>
          <w:szCs w:val="24"/>
          <w:rtl/>
        </w:rPr>
        <w:t xml:space="preserve"> </w:t>
      </w:r>
      <w:r w:rsidR="009A11C9" w:rsidRPr="0062340E">
        <w:rPr>
          <w:rFonts w:ascii="Simplified Arabic" w:hAnsi="Simplified Arabic" w:cs="Simplified Arabic" w:hint="cs"/>
          <w:sz w:val="24"/>
          <w:szCs w:val="24"/>
          <w:rtl/>
        </w:rPr>
        <w:t>ب</w:t>
      </w:r>
      <w:r w:rsidR="006A60E6" w:rsidRPr="0062340E">
        <w:rPr>
          <w:rFonts w:ascii="Simplified Arabic" w:hAnsi="Simplified Arabic" w:cs="Simplified Arabic" w:hint="cs"/>
          <w:sz w:val="24"/>
          <w:szCs w:val="24"/>
          <w:rtl/>
        </w:rPr>
        <w:t>الشجرة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أو</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إلى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شبكة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متصلة</w:t>
      </w:r>
      <w:r w:rsidR="006A60E6" w:rsidRPr="0062340E">
        <w:rPr>
          <w:rFonts w:ascii="Simplified Arabic" w:hAnsi="Simplified Arabic" w:cs="Simplified Arabic"/>
          <w:sz w:val="24"/>
          <w:szCs w:val="24"/>
          <w:rtl/>
        </w:rPr>
        <w:t xml:space="preserve"> </w:t>
      </w:r>
      <w:r w:rsidR="009A11C9" w:rsidRPr="0062340E">
        <w:rPr>
          <w:rFonts w:ascii="Simplified Arabic" w:hAnsi="Simplified Arabic" w:cs="Simplified Arabic" w:hint="cs"/>
          <w:sz w:val="24"/>
          <w:szCs w:val="24"/>
          <w:rtl/>
        </w:rPr>
        <w:t>ل</w:t>
      </w:r>
      <w:r w:rsidR="006A60E6" w:rsidRPr="0062340E">
        <w:rPr>
          <w:rFonts w:ascii="Simplified Arabic" w:hAnsi="Simplified Arabic" w:cs="Simplified Arabic" w:hint="cs"/>
          <w:sz w:val="24"/>
          <w:szCs w:val="24"/>
          <w:rtl/>
        </w:rPr>
        <w:t>أقصى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حد</w:t>
      </w:r>
      <w:r w:rsidR="006D0FE8" w:rsidRPr="0062340E">
        <w:rPr>
          <w:rFonts w:ascii="Simplified Arabic" w:hAnsi="Simplified Arabic" w:cs="Simplified Arabic" w:hint="cs"/>
          <w:color w:val="000000" w:themeColor="text1"/>
          <w:sz w:val="24"/>
          <w:szCs w:val="24"/>
          <w:rtl/>
          <w:lang w:val="en-US"/>
        </w:rPr>
        <w:t xml:space="preserve">، </w:t>
      </w:r>
      <w:r w:rsidR="006D0FE8" w:rsidRPr="0062340E">
        <w:rPr>
          <w:rFonts w:ascii="Simplified Arabic" w:hAnsi="Simplified Arabic" w:cs="Simplified Arabic"/>
          <w:color w:val="000000" w:themeColor="text1"/>
          <w:sz w:val="24"/>
          <w:szCs w:val="24"/>
          <w:rtl/>
          <w:lang w:val="en-US"/>
        </w:rPr>
        <w:t xml:space="preserve">الشكل </w:t>
      </w:r>
      <w:r w:rsidR="006D0FE8" w:rsidRPr="0062340E">
        <w:rPr>
          <w:rFonts w:ascii="Simplified Arabic" w:hAnsi="Simplified Arabic" w:cs="Simplified Arabic" w:hint="cs"/>
          <w:color w:val="000000" w:themeColor="text1"/>
          <w:sz w:val="24"/>
          <w:szCs w:val="24"/>
          <w:rtl/>
          <w:lang w:val="en-US"/>
        </w:rPr>
        <w:t>(</w:t>
      </w:r>
      <w:r w:rsidR="0085017B" w:rsidRPr="0062340E">
        <w:rPr>
          <w:rFonts w:ascii="Simplified Arabic" w:hAnsi="Simplified Arabic" w:cs="Simplified Arabic" w:hint="cs"/>
          <w:color w:val="000000" w:themeColor="text1"/>
          <w:sz w:val="24"/>
          <w:szCs w:val="24"/>
          <w:rtl/>
          <w:lang w:val="en-US"/>
        </w:rPr>
        <w:t>1-16</w:t>
      </w:r>
      <w:r w:rsidR="006D0FE8" w:rsidRPr="0062340E">
        <w:rPr>
          <w:rFonts w:ascii="Simplified Arabic" w:hAnsi="Simplified Arabic" w:cs="Simplified Arabic" w:hint="cs"/>
          <w:color w:val="000000" w:themeColor="text1"/>
          <w:sz w:val="24"/>
          <w:szCs w:val="24"/>
          <w:rtl/>
          <w:lang w:val="en-US"/>
        </w:rPr>
        <w:t>).</w:t>
      </w:r>
      <w:r w:rsidR="006A60E6" w:rsidRPr="0062340E">
        <w:rPr>
          <w:rFonts w:ascii="Simplified Arabic" w:hAnsi="Simplified Arabic" w:cs="Simplified Arabic"/>
          <w:sz w:val="24"/>
          <w:szCs w:val="24"/>
          <w:rtl/>
        </w:rPr>
        <w:t xml:space="preserve"> </w:t>
      </w:r>
    </w:p>
    <w:p w:rsidR="006A60E6" w:rsidRPr="0062340E" w:rsidRDefault="002D7A79" w:rsidP="0085017B">
      <w:pPr>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color w:val="000000" w:themeColor="text1"/>
          <w:sz w:val="24"/>
          <w:szCs w:val="24"/>
          <w:rtl/>
          <w:lang w:val="en-US"/>
        </w:rPr>
        <w:t>تتضمن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سعة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الاستجابة</w:t>
      </w:r>
      <w:r w:rsidR="00A45C63" w:rsidRPr="0062340E">
        <w:rPr>
          <w:rFonts w:ascii="Simplified Arabic" w:hAnsi="Simplified Arabic" w:cs="Simplified Arabic" w:hint="cs"/>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عدد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عقد</w:t>
      </w:r>
      <w:r w:rsidRPr="0062340E">
        <w:rPr>
          <w:rFonts w:ascii="Simplified Arabic" w:hAnsi="Simplified Arabic" w:cs="Simplified Arabic"/>
          <w:color w:val="000000" w:themeColor="text1"/>
          <w:sz w:val="24"/>
          <w:szCs w:val="24"/>
          <w:rtl/>
          <w:lang w:val="en-US"/>
        </w:rPr>
        <w:t xml:space="preserve"> </w:t>
      </w:r>
      <w:r w:rsidR="00A8445E" w:rsidRPr="0062340E">
        <w:rPr>
          <w:rFonts w:ascii="Simplified Arabic" w:hAnsi="Simplified Arabic" w:cs="Simplified Arabic" w:hint="cs"/>
          <w:sz w:val="24"/>
          <w:szCs w:val="24"/>
          <w:rtl/>
          <w:lang w:bidi="ar-DZ"/>
        </w:rPr>
        <w:t>(تقاطعات)</w:t>
      </w:r>
      <w:r w:rsidR="00A8445E"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color w:val="000000" w:themeColor="text1"/>
          <w:sz w:val="24"/>
          <w:szCs w:val="24"/>
          <w:rtl/>
          <w:lang w:val="en-US"/>
        </w:rPr>
        <w:t>الطرق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الشريانية</w:t>
      </w:r>
      <w:r w:rsidRPr="0062340E">
        <w:rPr>
          <w:rFonts w:ascii="Simplified Arabic" w:hAnsi="Simplified Arabic" w:cs="Simplified Arabic"/>
          <w:color w:val="000000" w:themeColor="text1"/>
          <w:sz w:val="24"/>
          <w:szCs w:val="24"/>
          <w:rtl/>
          <w:lang w:val="en-US"/>
        </w:rPr>
        <w:t xml:space="preserve"> </w:t>
      </w:r>
      <w:r w:rsidR="006B18AB" w:rsidRPr="0062340E">
        <w:rPr>
          <w:rFonts w:ascii="Simplified Arabic" w:hAnsi="Simplified Arabic" w:cs="Simplified Arabic" w:hint="cs"/>
          <w:color w:val="000000" w:themeColor="text1"/>
          <w:sz w:val="24"/>
          <w:szCs w:val="24"/>
          <w:rtl/>
          <w:lang w:val="en-US"/>
        </w:rPr>
        <w:t>والداخلية ل</w:t>
      </w:r>
      <w:r w:rsidRPr="0062340E">
        <w:rPr>
          <w:rFonts w:ascii="Simplified Arabic" w:hAnsi="Simplified Arabic" w:cs="Simplified Arabic" w:hint="cs"/>
          <w:color w:val="000000" w:themeColor="text1"/>
          <w:sz w:val="24"/>
          <w:szCs w:val="24"/>
          <w:rtl/>
          <w:lang w:val="en-US"/>
        </w:rPr>
        <w:t>منطقة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 xml:space="preserve">ما، </w:t>
      </w:r>
      <w:r w:rsidRPr="0062340E">
        <w:rPr>
          <w:rFonts w:ascii="Simplified Arabic" w:hAnsi="Simplified Arabic" w:cs="Simplified Arabic"/>
          <w:color w:val="000000" w:themeColor="text1"/>
          <w:sz w:val="24"/>
          <w:szCs w:val="24"/>
          <w:rtl/>
          <w:lang w:val="en-US"/>
        </w:rPr>
        <w:t xml:space="preserve">الشكل </w:t>
      </w:r>
      <w:r w:rsidRPr="0062340E">
        <w:rPr>
          <w:rFonts w:ascii="Simplified Arabic" w:hAnsi="Simplified Arabic" w:cs="Simplified Arabic" w:hint="cs"/>
          <w:color w:val="000000" w:themeColor="text1"/>
          <w:sz w:val="24"/>
          <w:szCs w:val="24"/>
          <w:rtl/>
          <w:lang w:val="en-US"/>
        </w:rPr>
        <w:t>(</w:t>
      </w:r>
      <w:r w:rsidR="0085017B" w:rsidRPr="0062340E">
        <w:rPr>
          <w:rFonts w:ascii="Simplified Arabic" w:hAnsi="Simplified Arabic" w:cs="Simplified Arabic" w:hint="cs"/>
          <w:color w:val="000000" w:themeColor="text1"/>
          <w:sz w:val="24"/>
          <w:szCs w:val="24"/>
          <w:rtl/>
          <w:lang w:val="en-US"/>
        </w:rPr>
        <w:t>1-17</w:t>
      </w:r>
      <w:r w:rsidRPr="0062340E">
        <w:rPr>
          <w:rFonts w:ascii="Simplified Arabic" w:hAnsi="Simplified Arabic" w:cs="Simplified Arabic" w:hint="cs"/>
          <w:color w:val="000000" w:themeColor="text1"/>
          <w:sz w:val="24"/>
          <w:szCs w:val="24"/>
          <w:rtl/>
          <w:lang w:val="en-US"/>
        </w:rPr>
        <w:t xml:space="preserve">). </w:t>
      </w:r>
      <w:r w:rsidR="006A60E6" w:rsidRPr="0062340E">
        <w:rPr>
          <w:rFonts w:ascii="Simplified Arabic" w:hAnsi="Simplified Arabic" w:cs="Simplified Arabic" w:hint="cs"/>
          <w:sz w:val="24"/>
          <w:szCs w:val="24"/>
          <w:rtl/>
        </w:rPr>
        <w:t>في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الواقع،</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تتمتع</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الشبكة</w:t>
      </w:r>
      <w:r w:rsidR="006A60E6" w:rsidRPr="0062340E">
        <w:rPr>
          <w:rFonts w:ascii="Simplified Arabic" w:hAnsi="Simplified Arabic" w:cs="Simplified Arabic"/>
          <w:sz w:val="24"/>
          <w:szCs w:val="24"/>
          <w:rtl/>
        </w:rPr>
        <w:t xml:space="preserve"> </w:t>
      </w:r>
      <w:r w:rsidR="009A11C9" w:rsidRPr="0062340E">
        <w:rPr>
          <w:rFonts w:ascii="Simplified Arabic" w:hAnsi="Simplified Arabic" w:cs="Simplified Arabic" w:hint="cs"/>
          <w:sz w:val="24"/>
          <w:szCs w:val="24"/>
          <w:rtl/>
        </w:rPr>
        <w:t>المتصلة</w:t>
      </w:r>
      <w:r w:rsidR="00B21848" w:rsidRPr="0062340E">
        <w:rPr>
          <w:rFonts w:ascii="Simplified Arabic" w:hAnsi="Simplified Arabic" w:cs="Simplified Arabic" w:hint="cs"/>
          <w:sz w:val="24"/>
          <w:szCs w:val="24"/>
          <w:rtl/>
        </w:rPr>
        <w:t xml:space="preserve"> (أ)</w:t>
      </w:r>
      <w:r w:rsidR="006A60E6" w:rsidRPr="0062340E">
        <w:rPr>
          <w:rFonts w:ascii="Simplified Arabic" w:hAnsi="Simplified Arabic" w:cs="Simplified Arabic"/>
          <w:sz w:val="24"/>
          <w:szCs w:val="24"/>
          <w:rtl/>
        </w:rPr>
        <w:t xml:space="preserve"> </w:t>
      </w:r>
      <w:r w:rsidR="00B21848" w:rsidRPr="0062340E">
        <w:rPr>
          <w:rFonts w:ascii="Simplified Arabic" w:hAnsi="Simplified Arabic" w:cs="Simplified Arabic" w:hint="cs"/>
          <w:sz w:val="24"/>
          <w:szCs w:val="24"/>
          <w:rtl/>
        </w:rPr>
        <w:t>والشبكات</w:t>
      </w:r>
      <w:r w:rsidR="00B21848" w:rsidRPr="0062340E">
        <w:rPr>
          <w:rFonts w:ascii="Simplified Arabic" w:hAnsi="Simplified Arabic" w:cs="Simplified Arabic"/>
          <w:sz w:val="24"/>
          <w:szCs w:val="24"/>
          <w:rtl/>
        </w:rPr>
        <w:t xml:space="preserve"> </w:t>
      </w:r>
      <w:r w:rsidR="00B21848" w:rsidRPr="0062340E">
        <w:rPr>
          <w:rFonts w:ascii="Simplified Arabic" w:hAnsi="Simplified Arabic" w:cs="Simplified Arabic" w:hint="cs"/>
          <w:sz w:val="24"/>
          <w:szCs w:val="24"/>
          <w:rtl/>
        </w:rPr>
        <w:t>الشبيهة</w:t>
      </w:r>
      <w:r w:rsidR="00B21848" w:rsidRPr="0062340E">
        <w:rPr>
          <w:rFonts w:ascii="Simplified Arabic" w:hAnsi="Simplified Arabic" w:cs="Simplified Arabic"/>
          <w:sz w:val="24"/>
          <w:szCs w:val="24"/>
          <w:rtl/>
        </w:rPr>
        <w:t xml:space="preserve"> </w:t>
      </w:r>
      <w:r w:rsidR="00B21848" w:rsidRPr="0062340E">
        <w:rPr>
          <w:rFonts w:ascii="Simplified Arabic" w:hAnsi="Simplified Arabic" w:cs="Simplified Arabic" w:hint="cs"/>
          <w:sz w:val="24"/>
          <w:szCs w:val="24"/>
          <w:rtl/>
        </w:rPr>
        <w:t>بالشجرة</w:t>
      </w:r>
      <w:r w:rsidR="00B21848" w:rsidRPr="0062340E">
        <w:rPr>
          <w:rFonts w:ascii="Simplified Arabic" w:hAnsi="Simplified Arabic" w:cs="Simplified Arabic"/>
          <w:sz w:val="24"/>
          <w:szCs w:val="24"/>
          <w:rtl/>
        </w:rPr>
        <w:t xml:space="preserve"> </w:t>
      </w:r>
      <w:r w:rsidR="00B21848" w:rsidRPr="0062340E">
        <w:rPr>
          <w:rFonts w:ascii="Simplified Arabic" w:hAnsi="Simplified Arabic" w:cs="Simplified Arabic" w:hint="cs"/>
          <w:sz w:val="24"/>
          <w:szCs w:val="24"/>
          <w:rtl/>
        </w:rPr>
        <w:t xml:space="preserve">(ب) </w:t>
      </w:r>
      <w:r w:rsidR="006A60E6" w:rsidRPr="0062340E">
        <w:rPr>
          <w:rFonts w:ascii="Simplified Arabic" w:hAnsi="Simplified Arabic" w:cs="Simplified Arabic" w:hint="cs"/>
          <w:sz w:val="24"/>
          <w:szCs w:val="24"/>
          <w:rtl/>
        </w:rPr>
        <w:t>بإمكانيات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مختلفة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جدًا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حيث</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التكرار</w:t>
      </w:r>
      <w:r w:rsidR="00B21848" w:rsidRPr="0062340E">
        <w:rPr>
          <w:rFonts w:ascii="Simplified Arabic" w:hAnsi="Simplified Arabic" w:cs="Simplified Arabic" w:hint="cs"/>
          <w:sz w:val="24"/>
          <w:szCs w:val="24"/>
          <w:rtl/>
        </w:rPr>
        <w:t xml:space="preserve">. </w:t>
      </w:r>
      <w:r w:rsidR="006A60E6" w:rsidRPr="0062340E">
        <w:rPr>
          <w:rFonts w:ascii="Simplified Arabic" w:hAnsi="Simplified Arabic" w:cs="Simplified Arabic" w:hint="cs"/>
          <w:sz w:val="24"/>
          <w:szCs w:val="24"/>
          <w:rtl/>
        </w:rPr>
        <w:t>بالتالي،</w:t>
      </w:r>
      <w:r w:rsidR="006A60E6" w:rsidRPr="0062340E">
        <w:rPr>
          <w:rFonts w:ascii="Simplified Arabic" w:hAnsi="Simplified Arabic" w:cs="Simplified Arabic"/>
          <w:sz w:val="24"/>
          <w:szCs w:val="24"/>
          <w:rtl/>
        </w:rPr>
        <w:t xml:space="preserve"> </w:t>
      </w:r>
      <w:r w:rsidR="001A63C9" w:rsidRPr="0062340E">
        <w:rPr>
          <w:rFonts w:ascii="Simplified Arabic" w:hAnsi="Simplified Arabic" w:cs="Simplified Arabic" w:hint="cs"/>
          <w:sz w:val="24"/>
          <w:szCs w:val="24"/>
          <w:rtl/>
        </w:rPr>
        <w:t>يمنح كل منهما مسارات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بديلة</w:t>
      </w:r>
      <w:r w:rsidR="006A60E6" w:rsidRPr="0062340E">
        <w:rPr>
          <w:rFonts w:ascii="Simplified Arabic" w:hAnsi="Simplified Arabic" w:cs="Simplified Arabic"/>
          <w:sz w:val="24"/>
          <w:szCs w:val="24"/>
          <w:rtl/>
        </w:rPr>
        <w:t xml:space="preserve"> </w:t>
      </w:r>
      <w:r w:rsidR="001A63C9" w:rsidRPr="0062340E">
        <w:rPr>
          <w:rFonts w:ascii="Simplified Arabic" w:hAnsi="Simplified Arabic" w:cs="Simplified Arabic" w:hint="cs"/>
          <w:sz w:val="24"/>
          <w:szCs w:val="24"/>
          <w:rtl/>
        </w:rPr>
        <w:t xml:space="preserve">للمستعمل </w:t>
      </w:r>
      <w:r w:rsidR="006A60E6" w:rsidRPr="0062340E">
        <w:rPr>
          <w:rFonts w:ascii="Simplified Arabic" w:hAnsi="Simplified Arabic" w:cs="Simplified Arabic" w:hint="cs"/>
          <w:sz w:val="24"/>
          <w:szCs w:val="24"/>
          <w:rtl/>
        </w:rPr>
        <w:t>في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حالة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الفشل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المحلي</w:t>
      </w:r>
      <w:r w:rsidRPr="0062340E">
        <w:rPr>
          <w:rFonts w:ascii="Simplified Arabic" w:hAnsi="Simplified Arabic" w:cs="Simplified Arabic" w:hint="cs"/>
          <w:sz w:val="24"/>
          <w:szCs w:val="24"/>
          <w:rtl/>
        </w:rPr>
        <w:t xml:space="preserve"> لاحد المسارات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في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الشبكات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الشبيهة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بالشجرة،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لا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يتم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ربط</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الوجهات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إلا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عبر</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مسار</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واحد،</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مما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يعني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أن</w:t>
      </w:r>
      <w:r w:rsidR="006A60E6"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المستعملين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لديهم</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خيار</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واحد</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فقط</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للحركة</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وأي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فشل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في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هذا</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المسار</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شأنه</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أن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يتسبب</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في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اضطراب</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كبير</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في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الأداء</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في</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المقابل،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توفر</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الشبكات</w:t>
      </w:r>
      <w:r w:rsidR="006A60E6"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المتصلة</w:t>
      </w:r>
      <w:r w:rsidR="006A60E6"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ب</w:t>
      </w:r>
      <w:r w:rsidR="006A60E6" w:rsidRPr="0062340E">
        <w:rPr>
          <w:rFonts w:ascii="Simplified Arabic" w:hAnsi="Simplified Arabic" w:cs="Simplified Arabic" w:hint="cs"/>
          <w:sz w:val="24"/>
          <w:szCs w:val="24"/>
          <w:rtl/>
        </w:rPr>
        <w:t>العديد</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من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الطرق</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للوصول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إلى</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نفس</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المكان،</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وخيارات</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أكبر</w:t>
      </w:r>
      <w:r w:rsidR="006A60E6"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للمستعمل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وتقليل</w:t>
      </w:r>
      <w:r w:rsidR="006A60E6" w:rsidRPr="0062340E">
        <w:rPr>
          <w:rFonts w:ascii="Simplified Arabic" w:hAnsi="Simplified Arabic" w:cs="Simplified Arabic"/>
          <w:sz w:val="24"/>
          <w:szCs w:val="24"/>
          <w:rtl/>
        </w:rPr>
        <w:t xml:space="preserve"> </w:t>
      </w:r>
      <w:r w:rsidR="006A60E6" w:rsidRPr="0062340E">
        <w:rPr>
          <w:rFonts w:ascii="Simplified Arabic" w:hAnsi="Simplified Arabic" w:cs="Simplified Arabic" w:hint="cs"/>
          <w:sz w:val="24"/>
          <w:szCs w:val="24"/>
          <w:rtl/>
        </w:rPr>
        <w:t>تأثير</w:t>
      </w:r>
      <w:r w:rsidR="006A60E6" w:rsidRPr="0062340E">
        <w:rPr>
          <w:rFonts w:ascii="Simplified Arabic" w:hAnsi="Simplified Arabic" w:cs="Simplified Arabic"/>
          <w:sz w:val="24"/>
          <w:szCs w:val="24"/>
          <w:rtl/>
        </w:rPr>
        <w:t xml:space="preserve"> </w:t>
      </w:r>
      <w:r w:rsidR="00F800C5" w:rsidRPr="0062340E">
        <w:rPr>
          <w:rFonts w:ascii="Simplified Arabic" w:hAnsi="Simplified Arabic" w:cs="Simplified Arabic" w:hint="cs"/>
          <w:sz w:val="24"/>
          <w:szCs w:val="24"/>
          <w:rtl/>
        </w:rPr>
        <w:t>ال</w:t>
      </w:r>
      <w:r w:rsidR="006A60E6" w:rsidRPr="0062340E">
        <w:rPr>
          <w:rFonts w:ascii="Simplified Arabic" w:hAnsi="Simplified Arabic" w:cs="Simplified Arabic" w:hint="cs"/>
          <w:sz w:val="24"/>
          <w:szCs w:val="24"/>
          <w:rtl/>
        </w:rPr>
        <w:t>فشل</w:t>
      </w:r>
      <w:r w:rsidR="006A60E6" w:rsidRPr="0062340E">
        <w:rPr>
          <w:rFonts w:ascii="Simplified Arabic" w:hAnsi="Simplified Arabic" w:cs="Simplified Arabic"/>
          <w:sz w:val="24"/>
          <w:szCs w:val="24"/>
          <w:rtl/>
        </w:rPr>
        <w:t xml:space="preserve"> </w:t>
      </w:r>
      <w:r w:rsidR="003F65C7" w:rsidRPr="0062340E">
        <w:rPr>
          <w:rFonts w:ascii="Simplified Arabic" w:hAnsi="Simplified Arabic" w:cs="Simplified Arabic" w:hint="cs"/>
          <w:sz w:val="24"/>
          <w:szCs w:val="24"/>
          <w:rtl/>
        </w:rPr>
        <w:t>المحلي.</w:t>
      </w:r>
    </w:p>
    <w:p w:rsidR="005768EE" w:rsidRPr="0062340E" w:rsidRDefault="005768EE" w:rsidP="00B36D99">
      <w:pPr>
        <w:pStyle w:val="fegure"/>
        <w:rPr>
          <w:noProof/>
          <w:szCs w:val="24"/>
          <w:lang w:eastAsia="fr-FR"/>
        </w:rPr>
      </w:pPr>
      <w:bookmarkStart w:id="215" w:name="_Toc157561448"/>
      <w:bookmarkStart w:id="216" w:name="_Toc157562781"/>
      <w:bookmarkStart w:id="217" w:name="_Toc157608277"/>
      <w:bookmarkStart w:id="218" w:name="_Toc171803391"/>
      <w:r w:rsidRPr="0062340E">
        <w:rPr>
          <w:noProof/>
          <w:szCs w:val="24"/>
          <w:rtl/>
          <w:lang w:eastAsia="fr-FR" w:bidi="ar-DZ"/>
        </w:rPr>
        <w:t>الشكل (1-16): التوزيع المكاني لسمة التكرار الهيكلي</w:t>
      </w:r>
      <w:bookmarkEnd w:id="215"/>
      <w:bookmarkEnd w:id="216"/>
      <w:bookmarkEnd w:id="217"/>
      <w:bookmarkEnd w:id="218"/>
    </w:p>
    <w:p w:rsidR="005768EE" w:rsidRPr="0062340E" w:rsidRDefault="005768EE" w:rsidP="00C50CF2">
      <w:pPr>
        <w:bidi/>
        <w:spacing w:after="0" w:line="240" w:lineRule="auto"/>
        <w:jc w:val="center"/>
        <w:rPr>
          <w:rFonts w:ascii="Simplified Arabic" w:hAnsi="Simplified Arabic" w:cs="Simplified Arabic"/>
          <w:b/>
          <w:bCs/>
          <w:noProof/>
          <w:sz w:val="24"/>
          <w:szCs w:val="24"/>
          <w:lang w:eastAsia="fr-FR"/>
        </w:rPr>
      </w:pPr>
      <w:r w:rsidRPr="0062340E">
        <w:rPr>
          <w:rFonts w:ascii="Simplified Arabic" w:hAnsi="Simplified Arabic" w:cs="Simplified Arabic"/>
          <w:b/>
          <w:bCs/>
          <w:noProof/>
          <w:sz w:val="24"/>
          <w:szCs w:val="24"/>
          <w:rtl/>
          <w:lang w:eastAsia="fr-FR"/>
        </w:rPr>
        <w:t xml:space="preserve">المصدر: </w:t>
      </w:r>
      <w:r w:rsidRPr="0062340E">
        <w:rPr>
          <w:rFonts w:asciiTheme="majorBidi" w:hAnsiTheme="majorBidi" w:cstheme="majorBidi"/>
          <w:b/>
          <w:bCs/>
          <w:noProof/>
          <w:sz w:val="24"/>
          <w:szCs w:val="24"/>
          <w:lang w:val="en-US" w:eastAsia="fr-FR"/>
        </w:rPr>
        <w:t>(Feliciotti, 2018)</w:t>
      </w:r>
    </w:p>
    <w:p w:rsidR="003F65C7" w:rsidRPr="0062340E" w:rsidRDefault="006B6F13" w:rsidP="00C50CF2">
      <w:pPr>
        <w:bidi/>
        <w:spacing w:after="0"/>
        <w:jc w:val="center"/>
        <w:rPr>
          <w:rFonts w:ascii="Simplified Arabic" w:hAnsi="Simplified Arabic" w:cs="Simplified Arabic"/>
          <w:sz w:val="24"/>
          <w:szCs w:val="24"/>
          <w:rtl/>
        </w:rPr>
      </w:pPr>
      <w:r w:rsidRPr="0062340E">
        <w:rPr>
          <w:noProof/>
          <w:sz w:val="24"/>
          <w:szCs w:val="24"/>
          <w:lang w:eastAsia="fr-FR"/>
        </w:rPr>
        <w:drawing>
          <wp:inline distT="0" distB="0" distL="0" distR="0" wp14:anchorId="5A78F740" wp14:editId="6DB247E3">
            <wp:extent cx="4054415" cy="1216172"/>
            <wp:effectExtent l="0" t="0" r="3810" b="3175"/>
            <wp:docPr id="97" name="Imag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4068178" cy="1220300"/>
                    </a:xfrm>
                    <a:prstGeom prst="rect">
                      <a:avLst/>
                    </a:prstGeom>
                  </pic:spPr>
                </pic:pic>
              </a:graphicData>
            </a:graphic>
          </wp:inline>
        </w:drawing>
      </w:r>
    </w:p>
    <w:p w:rsidR="00A903CE" w:rsidRPr="0062340E" w:rsidRDefault="002D7A79" w:rsidP="0085017B">
      <w:pPr>
        <w:bidi/>
        <w:spacing w:after="0"/>
        <w:ind w:firstLine="282"/>
        <w:jc w:val="both"/>
        <w:rPr>
          <w:rFonts w:ascii="Simplified Arabic" w:hAnsi="Simplified Arabic" w:cs="Simplified Arabic"/>
          <w:sz w:val="24"/>
          <w:szCs w:val="24"/>
          <w:rtl/>
        </w:rPr>
      </w:pPr>
      <w:r w:rsidRPr="0062340E">
        <w:rPr>
          <w:rFonts w:ascii="Simplified Arabic" w:hAnsi="Simplified Arabic" w:cs="Simplified Arabic" w:hint="cs"/>
          <w:sz w:val="24"/>
          <w:szCs w:val="24"/>
          <w:rtl/>
        </w:rPr>
        <w:t>ي</w:t>
      </w:r>
      <w:r w:rsidR="00A903CE" w:rsidRPr="0062340E">
        <w:rPr>
          <w:rFonts w:ascii="Simplified Arabic" w:hAnsi="Simplified Arabic" w:cs="Simplified Arabic" w:hint="cs"/>
          <w:sz w:val="24"/>
          <w:szCs w:val="24"/>
          <w:rtl/>
        </w:rPr>
        <w:t>حتوي</w:t>
      </w:r>
      <w:r w:rsidR="00A903CE"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نظام </w:t>
      </w:r>
      <w:r w:rsidR="004B0B79" w:rsidRPr="0062340E">
        <w:rPr>
          <w:rFonts w:ascii="Simplified Arabic" w:hAnsi="Simplified Arabic" w:cs="Simplified Arabic" w:hint="cs"/>
          <w:sz w:val="24"/>
          <w:szCs w:val="24"/>
          <w:rtl/>
        </w:rPr>
        <w:t>شبكة الطرق</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على</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عدد</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من</w:t>
      </w:r>
      <w:r w:rsidR="00A903CE"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نقاط</w:t>
      </w:r>
      <w:r w:rsidR="00A903CE" w:rsidRPr="0062340E">
        <w:rPr>
          <w:rFonts w:ascii="Simplified Arabic" w:hAnsi="Simplified Arabic" w:cs="Simplified Arabic"/>
          <w:sz w:val="24"/>
          <w:szCs w:val="24"/>
          <w:rtl/>
        </w:rPr>
        <w:t xml:space="preserve"> </w:t>
      </w:r>
      <w:r w:rsidR="006B18AB" w:rsidRPr="0062340E">
        <w:rPr>
          <w:rFonts w:ascii="Simplified Arabic" w:hAnsi="Simplified Arabic" w:cs="Simplified Arabic" w:hint="cs"/>
          <w:sz w:val="24"/>
          <w:szCs w:val="24"/>
          <w:rtl/>
        </w:rPr>
        <w:t xml:space="preserve">التقاطعات </w:t>
      </w:r>
      <w:r w:rsidR="004B0B79" w:rsidRPr="0062340E">
        <w:rPr>
          <w:rFonts w:ascii="Simplified Arabic" w:hAnsi="Simplified Arabic" w:cs="Simplified Arabic" w:hint="cs"/>
          <w:sz w:val="24"/>
          <w:szCs w:val="24"/>
          <w:rtl/>
        </w:rPr>
        <w:t>المتكررة هيكليا</w:t>
      </w:r>
      <w:r w:rsidR="00A903CE" w:rsidRPr="0062340E">
        <w:rPr>
          <w:rFonts w:ascii="Simplified Arabic" w:hAnsi="Simplified Arabic" w:cs="Simplified Arabic" w:hint="cs"/>
          <w:sz w:val="24"/>
          <w:szCs w:val="24"/>
          <w:rtl/>
        </w:rPr>
        <w:t xml:space="preserve">، </w:t>
      </w:r>
      <w:r w:rsidR="00A903CE" w:rsidRPr="0062340E">
        <w:rPr>
          <w:rFonts w:ascii="Simplified Arabic" w:hAnsi="Simplified Arabic" w:cs="Simplified Arabic"/>
          <w:color w:val="0D0D0D"/>
          <w:sz w:val="24"/>
          <w:szCs w:val="24"/>
          <w:rtl/>
        </w:rPr>
        <w:t xml:space="preserve">الشكل </w:t>
      </w:r>
      <w:r w:rsidR="00A903CE" w:rsidRPr="0062340E">
        <w:rPr>
          <w:rFonts w:ascii="Simplified Arabic" w:hAnsi="Simplified Arabic" w:cs="Simplified Arabic" w:hint="cs"/>
          <w:color w:val="0D0D0D"/>
          <w:sz w:val="24"/>
          <w:szCs w:val="24"/>
          <w:rtl/>
        </w:rPr>
        <w:t>(</w:t>
      </w:r>
      <w:r w:rsidR="0085017B" w:rsidRPr="0062340E">
        <w:rPr>
          <w:rFonts w:ascii="Simplified Arabic" w:hAnsi="Simplified Arabic" w:cs="Simplified Arabic" w:hint="cs"/>
          <w:color w:val="0D0D0D"/>
          <w:sz w:val="24"/>
          <w:szCs w:val="24"/>
          <w:rtl/>
        </w:rPr>
        <w:t>1-17</w:t>
      </w:r>
      <w:r w:rsidR="00A903CE" w:rsidRPr="0062340E">
        <w:rPr>
          <w:rFonts w:ascii="Simplified Arabic" w:hAnsi="Simplified Arabic" w:cs="Simplified Arabic" w:hint="cs"/>
          <w:color w:val="0D0D0D"/>
          <w:sz w:val="24"/>
          <w:szCs w:val="24"/>
          <w:rtl/>
        </w:rPr>
        <w:t>)</w:t>
      </w:r>
      <w:r w:rsidRPr="0062340E">
        <w:rPr>
          <w:rFonts w:ascii="Simplified Arabic" w:hAnsi="Simplified Arabic" w:cs="Simplified Arabic" w:hint="cs"/>
          <w:sz w:val="24"/>
          <w:szCs w:val="24"/>
          <w:rtl/>
        </w:rPr>
        <w:t>.</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حيث</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لا</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يفشل</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نظام</w:t>
      </w:r>
      <w:r w:rsidR="00A903CE"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 xml:space="preserve">شبكة الطرق </w:t>
      </w:r>
      <w:r w:rsidR="00A903CE" w:rsidRPr="0062340E">
        <w:rPr>
          <w:rFonts w:ascii="Simplified Arabic" w:hAnsi="Simplified Arabic" w:cs="Simplified Arabic" w:hint="cs"/>
          <w:sz w:val="24"/>
          <w:szCs w:val="24"/>
          <w:rtl/>
        </w:rPr>
        <w:t>بأكمله</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عند</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فشل</w:t>
      </w:r>
      <w:r w:rsidR="00A903CE" w:rsidRPr="0062340E">
        <w:rPr>
          <w:rFonts w:ascii="Simplified Arabic" w:hAnsi="Simplified Arabic" w:cs="Simplified Arabic"/>
          <w:sz w:val="24"/>
          <w:szCs w:val="24"/>
          <w:rtl/>
        </w:rPr>
        <w:t xml:space="preserve"> </w:t>
      </w:r>
      <w:r w:rsidR="00A903CE" w:rsidRPr="0062340E">
        <w:rPr>
          <w:rFonts w:ascii="Simplified Arabic" w:hAnsi="Simplified Arabic" w:cs="Simplified Arabic" w:hint="cs"/>
          <w:sz w:val="24"/>
          <w:szCs w:val="24"/>
          <w:rtl/>
        </w:rPr>
        <w:t>أحد</w:t>
      </w:r>
      <w:r w:rsidR="00A903CE" w:rsidRPr="0062340E">
        <w:rPr>
          <w:rFonts w:ascii="Simplified Arabic" w:hAnsi="Simplified Arabic" w:cs="Simplified Arabic"/>
          <w:sz w:val="24"/>
          <w:szCs w:val="24"/>
          <w:rtl/>
        </w:rPr>
        <w:t xml:space="preserve"> </w:t>
      </w:r>
      <w:r w:rsidR="004B0B79" w:rsidRPr="0062340E">
        <w:rPr>
          <w:rFonts w:ascii="Simplified Arabic" w:hAnsi="Simplified Arabic" w:cs="Simplified Arabic" w:hint="cs"/>
          <w:sz w:val="24"/>
          <w:szCs w:val="24"/>
          <w:rtl/>
        </w:rPr>
        <w:t>نقاط</w:t>
      </w:r>
      <w:r w:rsidRPr="0062340E">
        <w:rPr>
          <w:rFonts w:ascii="Simplified Arabic" w:hAnsi="Simplified Arabic" w:cs="Simplified Arabic" w:hint="cs"/>
          <w:sz w:val="24"/>
          <w:szCs w:val="24"/>
          <w:rtl/>
        </w:rPr>
        <w:t>ه</w:t>
      </w:r>
      <w:r w:rsidR="00A903CE" w:rsidRPr="0062340E">
        <w:rPr>
          <w:rFonts w:ascii="Simplified Arabic" w:hAnsi="Simplified Arabic" w:cs="Simplified Arabic"/>
          <w:sz w:val="24"/>
          <w:szCs w:val="24"/>
          <w:rtl/>
        </w:rPr>
        <w:t xml:space="preserve">. </w:t>
      </w:r>
    </w:p>
    <w:p w:rsidR="005768EE" w:rsidRPr="0062340E" w:rsidRDefault="005768EE" w:rsidP="003B0D7E">
      <w:pPr>
        <w:pStyle w:val="fegure"/>
        <w:rPr>
          <w:szCs w:val="24"/>
        </w:rPr>
      </w:pPr>
      <w:bookmarkStart w:id="219" w:name="_Toc157561449"/>
      <w:bookmarkStart w:id="220" w:name="_Toc157562782"/>
      <w:bookmarkStart w:id="221" w:name="_Toc157608278"/>
      <w:bookmarkStart w:id="222" w:name="_Toc171803392"/>
      <w:r w:rsidRPr="0062340E">
        <w:rPr>
          <w:szCs w:val="24"/>
          <w:rtl/>
          <w:lang w:bidi="ar-DZ"/>
        </w:rPr>
        <w:t>الشكل (1-17): التوزيع المكاني لنقاط تقاطع شبكة الطرق</w:t>
      </w:r>
      <w:bookmarkEnd w:id="219"/>
      <w:bookmarkEnd w:id="220"/>
      <w:bookmarkEnd w:id="221"/>
      <w:bookmarkEnd w:id="222"/>
    </w:p>
    <w:p w:rsidR="005768EE" w:rsidRPr="0062340E" w:rsidRDefault="005768EE" w:rsidP="006B6F13">
      <w:pPr>
        <w:bidi/>
        <w:spacing w:after="0" w:line="240" w:lineRule="auto"/>
        <w:jc w:val="center"/>
        <w:rPr>
          <w:rFonts w:asciiTheme="majorBidi" w:hAnsiTheme="majorBidi" w:cstheme="majorBidi"/>
          <w:b/>
          <w:bCs/>
          <w:sz w:val="24"/>
          <w:szCs w:val="24"/>
          <w:rtl/>
          <w:lang w:val="en-US"/>
        </w:rPr>
      </w:pPr>
      <w:r w:rsidRPr="0062340E">
        <w:rPr>
          <w:rFonts w:ascii="Simplified Arabic" w:hAnsi="Simplified Arabic" w:cs="Simplified Arabic"/>
          <w:b/>
          <w:bCs/>
          <w:sz w:val="24"/>
          <w:szCs w:val="24"/>
          <w:rtl/>
        </w:rPr>
        <w:t xml:space="preserve">المصدر: </w:t>
      </w:r>
      <w:r w:rsidRPr="0062340E">
        <w:rPr>
          <w:rFonts w:asciiTheme="majorBidi" w:hAnsiTheme="majorBidi" w:cstheme="majorBidi"/>
          <w:b/>
          <w:bCs/>
          <w:sz w:val="24"/>
          <w:szCs w:val="24"/>
          <w:lang w:val="en-US"/>
        </w:rPr>
        <w:t>(Feliciotti, 2018)</w:t>
      </w:r>
    </w:p>
    <w:p w:rsidR="00C50CF2" w:rsidRPr="0062340E" w:rsidRDefault="00C50CF2" w:rsidP="00C50CF2">
      <w:pPr>
        <w:bidi/>
        <w:spacing w:after="0" w:line="240" w:lineRule="auto"/>
        <w:jc w:val="center"/>
        <w:rPr>
          <w:rFonts w:ascii="Simplified Arabic" w:hAnsi="Simplified Arabic" w:cs="Simplified Arabic"/>
          <w:sz w:val="24"/>
          <w:szCs w:val="24"/>
        </w:rPr>
      </w:pPr>
      <w:r w:rsidRPr="0062340E">
        <w:rPr>
          <w:noProof/>
          <w:sz w:val="24"/>
          <w:szCs w:val="24"/>
          <w:lang w:eastAsia="fr-FR"/>
        </w:rPr>
        <w:drawing>
          <wp:inline distT="0" distB="0" distL="0" distR="0" wp14:anchorId="6B7CB00C" wp14:editId="297A9B72">
            <wp:extent cx="3597215" cy="3603352"/>
            <wp:effectExtent l="19050" t="19050" r="22860" b="16510"/>
            <wp:docPr id="285" name="Imag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extLst>
                        <a:ext uri="{28A0092B-C50C-407E-A947-70E740481C1C}">
                          <a14:useLocalDpi xmlns:a14="http://schemas.microsoft.com/office/drawing/2010/main" val="0"/>
                        </a:ext>
                      </a:extLst>
                    </a:blip>
                    <a:stretch>
                      <a:fillRect/>
                    </a:stretch>
                  </pic:blipFill>
                  <pic:spPr bwMode="auto">
                    <a:xfrm>
                      <a:off x="0" y="0"/>
                      <a:ext cx="3601453" cy="3607597"/>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A903CE" w:rsidRPr="0062340E" w:rsidRDefault="00A903CE" w:rsidP="001D0548">
      <w:pPr>
        <w:pStyle w:val="Paragraphedeliste"/>
        <w:numPr>
          <w:ilvl w:val="3"/>
          <w:numId w:val="112"/>
        </w:numPr>
        <w:tabs>
          <w:tab w:val="right" w:pos="992"/>
        </w:tabs>
        <w:bidi/>
        <w:spacing w:before="240" w:after="0"/>
        <w:ind w:left="0" w:firstLine="0"/>
        <w:jc w:val="both"/>
        <w:outlineLvl w:val="2"/>
        <w:rPr>
          <w:rFonts w:ascii="Simplified Arabic" w:hAnsi="Simplified Arabic" w:cs="Simplified Arabic"/>
          <w:b/>
          <w:bCs/>
          <w:color w:val="000000" w:themeColor="text1"/>
          <w:sz w:val="24"/>
          <w:szCs w:val="24"/>
          <w:lang w:val="en-US"/>
        </w:rPr>
      </w:pPr>
      <w:bookmarkStart w:id="223" w:name="_Toc171803393"/>
      <w:r w:rsidRPr="0062340E">
        <w:rPr>
          <w:rFonts w:ascii="Simplified Arabic" w:hAnsi="Simplified Arabic" w:cs="Simplified Arabic" w:hint="cs"/>
          <w:b/>
          <w:bCs/>
          <w:color w:val="000000" w:themeColor="text1"/>
          <w:sz w:val="24"/>
          <w:szCs w:val="24"/>
          <w:rtl/>
          <w:lang w:val="en-US"/>
        </w:rPr>
        <w:lastRenderedPageBreak/>
        <w:t>الاتصال</w:t>
      </w:r>
      <w:r w:rsidR="00E43558">
        <w:rPr>
          <w:rFonts w:ascii="Simplified Arabic" w:hAnsi="Simplified Arabic" w:cs="Simplified Arabic" w:hint="cs"/>
          <w:b/>
          <w:bCs/>
          <w:color w:val="000000" w:themeColor="text1"/>
          <w:sz w:val="24"/>
          <w:szCs w:val="24"/>
          <w:rtl/>
          <w:lang w:val="en-US"/>
        </w:rPr>
        <w:t>ية</w:t>
      </w:r>
      <w:r w:rsidRPr="0062340E">
        <w:rPr>
          <w:rFonts w:ascii="Simplified Arabic" w:hAnsi="Simplified Arabic" w:cs="Simplified Arabic"/>
          <w:b/>
          <w:bCs/>
          <w:color w:val="000000" w:themeColor="text1"/>
          <w:sz w:val="24"/>
          <w:szCs w:val="24"/>
          <w:rtl/>
          <w:lang w:val="en-US"/>
        </w:rPr>
        <w:t xml:space="preserve"> </w:t>
      </w:r>
      <w:r w:rsidRPr="0062340E">
        <w:rPr>
          <w:rFonts w:asciiTheme="majorBidi" w:hAnsiTheme="majorBidi" w:cstheme="majorBidi"/>
          <w:b/>
          <w:bCs/>
          <w:color w:val="000000" w:themeColor="text1"/>
          <w:sz w:val="24"/>
          <w:szCs w:val="24"/>
          <w:rtl/>
          <w:lang w:val="en-US"/>
        </w:rPr>
        <w:t>(</w:t>
      </w:r>
      <w:r w:rsidRPr="0062340E">
        <w:rPr>
          <w:rFonts w:asciiTheme="majorBidi" w:hAnsiTheme="majorBidi" w:cstheme="majorBidi"/>
          <w:b/>
          <w:bCs/>
          <w:sz w:val="24"/>
          <w:szCs w:val="24"/>
          <w:lang w:val="en-US"/>
        </w:rPr>
        <w:t>connectivity</w:t>
      </w:r>
      <w:r w:rsidRPr="0062340E">
        <w:rPr>
          <w:rFonts w:asciiTheme="majorBidi" w:hAnsiTheme="majorBidi" w:cstheme="majorBidi"/>
          <w:b/>
          <w:bCs/>
          <w:color w:val="000000" w:themeColor="text1"/>
          <w:sz w:val="24"/>
          <w:szCs w:val="24"/>
          <w:rtl/>
          <w:lang w:val="en-US"/>
        </w:rPr>
        <w:t>)</w:t>
      </w:r>
      <w:bookmarkEnd w:id="223"/>
    </w:p>
    <w:p w:rsidR="00D04B96" w:rsidRPr="0062340E" w:rsidRDefault="00A903CE" w:rsidP="00D04B96">
      <w:pPr>
        <w:bidi/>
        <w:spacing w:after="0"/>
        <w:ind w:firstLine="282"/>
        <w:jc w:val="both"/>
        <w:rPr>
          <w:rFonts w:ascii="Simplified Arabic" w:hAnsi="Simplified Arabic" w:cs="Simplified Arabic"/>
          <w:color w:val="000000" w:themeColor="text1"/>
          <w:sz w:val="24"/>
          <w:szCs w:val="24"/>
          <w:rtl/>
          <w:lang w:val="en-US"/>
        </w:rPr>
      </w:pPr>
      <w:r w:rsidRPr="0062340E">
        <w:rPr>
          <w:rFonts w:ascii="Simplified Arabic" w:hAnsi="Simplified Arabic" w:cs="Simplified Arabic" w:hint="cs"/>
          <w:color w:val="000000" w:themeColor="text1"/>
          <w:sz w:val="24"/>
          <w:szCs w:val="24"/>
          <w:rtl/>
          <w:lang w:val="en-US"/>
        </w:rPr>
        <w:t>غالبًا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توصف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المدن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 كونها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شبكات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معقدة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تربط بين جميع المواقع، تنشأ هذه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المواقع</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خلال</w:t>
      </w:r>
      <w:r w:rsidRPr="0062340E">
        <w:rPr>
          <w:rFonts w:ascii="Simplified Arabic" w:hAnsi="Simplified Arabic" w:cs="Simplified Arabic"/>
          <w:color w:val="000000" w:themeColor="text1"/>
          <w:sz w:val="24"/>
          <w:szCs w:val="24"/>
          <w:rtl/>
          <w:lang w:val="en-US"/>
        </w:rPr>
        <w:t xml:space="preserve"> </w:t>
      </w:r>
      <w:r w:rsidR="006A0ED4" w:rsidRPr="0062340E">
        <w:rPr>
          <w:rFonts w:ascii="Simplified Arabic" w:hAnsi="Simplified Arabic" w:cs="Simplified Arabic" w:hint="cs"/>
          <w:color w:val="000000" w:themeColor="text1"/>
          <w:sz w:val="24"/>
          <w:szCs w:val="24"/>
          <w:rtl/>
          <w:lang w:val="en-US" w:bidi="ar-DZ"/>
        </w:rPr>
        <w:t>ال</w:t>
      </w:r>
      <w:r w:rsidRPr="0062340E">
        <w:rPr>
          <w:rFonts w:ascii="Simplified Arabic" w:hAnsi="Simplified Arabic" w:cs="Simplified Arabic" w:hint="cs"/>
          <w:color w:val="000000" w:themeColor="text1"/>
          <w:sz w:val="24"/>
          <w:szCs w:val="24"/>
          <w:rtl/>
          <w:lang w:val="en-US"/>
        </w:rPr>
        <w:t>تفاعلات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والتدفقات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داخل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هذه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 xml:space="preserve">الشبكات </w:t>
      </w:r>
      <w:r w:rsidRPr="0062340E">
        <w:rPr>
          <w:rFonts w:asciiTheme="majorBidi" w:hAnsiTheme="majorBidi" w:cstheme="majorBidi"/>
          <w:color w:val="0D0D0D"/>
          <w:sz w:val="24"/>
          <w:szCs w:val="24"/>
        </w:rPr>
        <w:t>(Salat, 2017)</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علاوة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ذلك،</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فإن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الطريقة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تتدفق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السلع</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والمعلومات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عبر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الشبكة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تحكمها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قدرة اتصال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الشبكة</w:t>
      </w:r>
      <w:r w:rsidRPr="0062340E">
        <w:rPr>
          <w:rFonts w:ascii="Simplified Arabic" w:hAnsi="Simplified Arabic" w:cs="Simplified Arabic"/>
          <w:color w:val="000000" w:themeColor="text1"/>
          <w:sz w:val="24"/>
          <w:szCs w:val="24"/>
          <w:rtl/>
          <w:lang w:val="en-US"/>
        </w:rPr>
        <w:t xml:space="preserve"> </w:t>
      </w:r>
      <w:r w:rsidR="00D04B96" w:rsidRPr="0062340E">
        <w:rPr>
          <w:rFonts w:ascii="Simplified Arabic" w:hAnsi="Simplified Arabic" w:cs="Simplified Arabic" w:hint="cs"/>
          <w:color w:val="000000" w:themeColor="text1"/>
          <w:sz w:val="24"/>
          <w:szCs w:val="24"/>
          <w:rtl/>
          <w:lang w:val="en-US"/>
        </w:rPr>
        <w:t xml:space="preserve">التي </w:t>
      </w:r>
      <w:r w:rsidRPr="0062340E">
        <w:rPr>
          <w:rFonts w:ascii="Simplified Arabic" w:hAnsi="Simplified Arabic" w:cs="Simplified Arabic" w:hint="cs"/>
          <w:color w:val="000000" w:themeColor="text1"/>
          <w:sz w:val="24"/>
          <w:szCs w:val="24"/>
          <w:rtl/>
          <w:lang w:val="en-US"/>
        </w:rPr>
        <w:t>غالبًا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تعتمد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الاتصالات،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مثل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كيفية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توصيل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الأجزاء</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فيما بينها وعدد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الاتصالات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وقوة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هذه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الاتصالات</w:t>
      </w:r>
      <w:r w:rsidRPr="0062340E">
        <w:rPr>
          <w:rFonts w:ascii="Simplified Arabic" w:hAnsi="Simplified Arabic" w:cs="Simplified Arabic"/>
          <w:color w:val="000000" w:themeColor="text1"/>
          <w:sz w:val="24"/>
          <w:szCs w:val="24"/>
          <w:rtl/>
          <w:lang w:val="en-US"/>
        </w:rPr>
        <w:t xml:space="preserve"> </w:t>
      </w:r>
      <w:r w:rsidRPr="0062340E">
        <w:rPr>
          <w:rFonts w:asciiTheme="majorBidi" w:hAnsiTheme="majorBidi" w:cstheme="majorBidi"/>
          <w:color w:val="0D0D0D"/>
          <w:sz w:val="24"/>
          <w:szCs w:val="24"/>
        </w:rPr>
        <w:t>(Neal, 2013)</w:t>
      </w:r>
      <w:r w:rsidRPr="0062340E">
        <w:rPr>
          <w:rFonts w:ascii="Simplified Arabic" w:hAnsi="Simplified Arabic" w:cs="Simplified Arabic"/>
          <w:color w:val="000000" w:themeColor="text1"/>
          <w:sz w:val="24"/>
          <w:szCs w:val="24"/>
          <w:rtl/>
          <w:lang w:val="en-US"/>
        </w:rPr>
        <w:t xml:space="preserve">. </w:t>
      </w:r>
    </w:p>
    <w:p w:rsidR="0038366C" w:rsidRPr="0062340E" w:rsidRDefault="00A903CE" w:rsidP="00E43558">
      <w:pPr>
        <w:bidi/>
        <w:spacing w:after="0"/>
        <w:ind w:firstLine="282"/>
        <w:jc w:val="both"/>
        <w:rPr>
          <w:rFonts w:ascii="Simplified Arabic" w:hAnsi="Simplified Arabic" w:cs="Simplified Arabic"/>
          <w:color w:val="000000" w:themeColor="text1"/>
          <w:sz w:val="24"/>
          <w:szCs w:val="24"/>
          <w:rtl/>
          <w:lang w:val="en-US"/>
        </w:rPr>
      </w:pPr>
      <w:r w:rsidRPr="0062340E">
        <w:rPr>
          <w:rFonts w:ascii="Simplified Arabic" w:hAnsi="Simplified Arabic" w:cs="Simplified Arabic" w:hint="cs"/>
          <w:color w:val="000000" w:themeColor="text1"/>
          <w:sz w:val="24"/>
          <w:szCs w:val="24"/>
          <w:rtl/>
          <w:lang w:val="en-US"/>
        </w:rPr>
        <w:t>يتطلب امتلاك</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اتصال فعال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القدرة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الربط بين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مكوناته</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الرئيسية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والاستجابة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بشكل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مناسب. يشدد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المؤلفون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أهمية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التفاعلات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بين</w:t>
      </w:r>
      <w:r w:rsidRPr="0062340E">
        <w:rPr>
          <w:rFonts w:ascii="Simplified Arabic" w:hAnsi="Simplified Arabic" w:cs="Simplified Arabic"/>
          <w:color w:val="000000" w:themeColor="text1"/>
          <w:sz w:val="24"/>
          <w:szCs w:val="24"/>
          <w:rtl/>
          <w:lang w:val="en-US"/>
        </w:rPr>
        <w:t xml:space="preserve"> </w:t>
      </w:r>
      <w:r w:rsidR="006A0ED4" w:rsidRPr="0062340E">
        <w:rPr>
          <w:rFonts w:ascii="Simplified Arabic" w:hAnsi="Simplified Arabic" w:cs="Simplified Arabic" w:hint="cs"/>
          <w:color w:val="000000" w:themeColor="text1"/>
          <w:sz w:val="24"/>
          <w:szCs w:val="24"/>
          <w:rtl/>
          <w:lang w:val="en-US"/>
        </w:rPr>
        <w:t>مختلف</w:t>
      </w:r>
      <w:r w:rsidR="006A0ED4"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مكونات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الحضري،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يميلون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استخدام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سمة</w:t>
      </w:r>
      <w:r w:rsidR="006A0ED4" w:rsidRPr="0062340E">
        <w:rPr>
          <w:rFonts w:ascii="Simplified Arabic" w:hAnsi="Simplified Arabic" w:cs="Simplified Arabic" w:hint="cs"/>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(مبدأ)</w:t>
      </w:r>
      <w:r w:rsidRPr="0062340E">
        <w:rPr>
          <w:rFonts w:ascii="Simplified Arabic" w:hAnsi="Simplified Arabic" w:cs="Simplified Arabic"/>
          <w:color w:val="000000" w:themeColor="text1"/>
          <w:sz w:val="24"/>
          <w:szCs w:val="24"/>
          <w:rtl/>
          <w:lang w:val="en-US"/>
        </w:rPr>
        <w:t xml:space="preserve">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00E43558" w:rsidRPr="0062340E">
        <w:rPr>
          <w:rFonts w:ascii="Simplified Arabic" w:hAnsi="Simplified Arabic" w:cs="Simplified Arabic" w:hint="cs"/>
          <w:sz w:val="24"/>
          <w:szCs w:val="24"/>
          <w:rtl/>
        </w:rPr>
        <w:t xml:space="preserve"> </w:t>
      </w:r>
      <w:r w:rsidRPr="0062340E">
        <w:rPr>
          <w:rFonts w:ascii="Simplified Arabic" w:hAnsi="Simplified Arabic" w:cs="Simplified Arabic" w:hint="cs"/>
          <w:color w:val="000000" w:themeColor="text1"/>
          <w:sz w:val="24"/>
          <w:szCs w:val="24"/>
          <w:rtl/>
          <w:lang w:val="en-US"/>
        </w:rPr>
        <w:t>المادي</w:t>
      </w:r>
      <w:r w:rsidR="00E43558">
        <w:rPr>
          <w:rFonts w:ascii="Simplified Arabic" w:hAnsi="Simplified Arabic" w:cs="Simplified Arabic" w:hint="cs"/>
          <w:color w:val="000000" w:themeColor="text1"/>
          <w:sz w:val="24"/>
          <w:szCs w:val="24"/>
          <w:rtl/>
          <w:lang w:val="en-US"/>
        </w:rPr>
        <w:t>ة</w:t>
      </w:r>
      <w:r w:rsidRPr="0062340E">
        <w:rPr>
          <w:rFonts w:ascii="Simplified Arabic" w:hAnsi="Simplified Arabic" w:cs="Simplified Arabic" w:hint="cs"/>
          <w:color w:val="000000" w:themeColor="text1"/>
          <w:sz w:val="24"/>
          <w:szCs w:val="24"/>
          <w:rtl/>
          <w:lang w:val="en-US"/>
        </w:rPr>
        <w:t xml:space="preserve">''. </w:t>
      </w:r>
    </w:p>
    <w:p w:rsidR="00A903CE" w:rsidRPr="0062340E" w:rsidRDefault="00A903CE" w:rsidP="00E43558">
      <w:pPr>
        <w:bidi/>
        <w:spacing w:after="0"/>
        <w:ind w:firstLine="282"/>
        <w:jc w:val="both"/>
        <w:rPr>
          <w:rFonts w:ascii="Simplified Arabic" w:hAnsi="Simplified Arabic" w:cs="Simplified Arabic"/>
          <w:color w:val="000000" w:themeColor="text1"/>
          <w:sz w:val="24"/>
          <w:szCs w:val="24"/>
          <w:lang w:val="en-US"/>
        </w:rPr>
      </w:pPr>
      <w:r w:rsidRPr="0062340E">
        <w:rPr>
          <w:rFonts w:ascii="Simplified Arabic" w:hAnsi="Simplified Arabic" w:cs="Simplified Arabic" w:hint="cs"/>
          <w:color w:val="000000" w:themeColor="text1"/>
          <w:sz w:val="24"/>
          <w:szCs w:val="24"/>
          <w:rtl/>
          <w:lang w:val="en-US"/>
        </w:rPr>
        <w:t>فيما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يتعلق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بالمرونة،</w:t>
      </w:r>
      <w:r w:rsidRPr="0062340E">
        <w:rPr>
          <w:rFonts w:ascii="Simplified Arabic" w:hAnsi="Simplified Arabic" w:cs="Simplified Arabic"/>
          <w:color w:val="000000" w:themeColor="text1"/>
          <w:sz w:val="24"/>
          <w:szCs w:val="24"/>
          <w:rtl/>
          <w:lang w:val="en-US"/>
        </w:rPr>
        <w:t xml:space="preserve"> </w:t>
      </w:r>
      <w:r w:rsidR="00E43558">
        <w:rPr>
          <w:rFonts w:ascii="Simplified Arabic" w:hAnsi="Simplified Arabic" w:cs="Simplified Arabic" w:hint="cs"/>
          <w:color w:val="000000" w:themeColor="text1"/>
          <w:sz w:val="24"/>
          <w:szCs w:val="24"/>
          <w:rtl/>
          <w:lang w:val="en-US"/>
        </w:rPr>
        <w:t>تُ</w:t>
      </w:r>
      <w:r w:rsidRPr="0062340E">
        <w:rPr>
          <w:rFonts w:ascii="Simplified Arabic" w:hAnsi="Simplified Arabic" w:cs="Simplified Arabic" w:hint="cs"/>
          <w:color w:val="000000" w:themeColor="text1"/>
          <w:sz w:val="24"/>
          <w:szCs w:val="24"/>
          <w:rtl/>
          <w:lang w:val="en-US"/>
        </w:rPr>
        <w:t>عد</w:t>
      </w:r>
      <w:r w:rsidRPr="0062340E">
        <w:rPr>
          <w:rFonts w:ascii="Simplified Arabic" w:hAnsi="Simplified Arabic" w:cs="Simplified Arabic"/>
          <w:color w:val="000000" w:themeColor="text1"/>
          <w:sz w:val="24"/>
          <w:szCs w:val="24"/>
          <w:rtl/>
          <w:lang w:val="en-US"/>
        </w:rPr>
        <w:t xml:space="preserve">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Pr="0062340E">
        <w:rPr>
          <w:rFonts w:ascii="Simplified Arabic" w:hAnsi="Simplified Arabic" w:cs="Simplified Arabic"/>
          <w:color w:val="000000" w:themeColor="text1"/>
          <w:sz w:val="24"/>
          <w:szCs w:val="24"/>
          <w:rtl/>
          <w:lang w:val="en-US"/>
        </w:rPr>
        <w:t xml:space="preserve"> </w:t>
      </w:r>
      <w:r w:rsidR="00FF179E" w:rsidRPr="0062340E">
        <w:rPr>
          <w:rFonts w:ascii="Simplified Arabic" w:hAnsi="Simplified Arabic" w:cs="Simplified Arabic" w:hint="cs"/>
          <w:color w:val="000000" w:themeColor="text1"/>
          <w:sz w:val="24"/>
          <w:szCs w:val="24"/>
          <w:rtl/>
          <w:lang w:val="en-US"/>
        </w:rPr>
        <w:t>عملية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حاسمة،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حيث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الافتقار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غالبًا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يكون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سببًا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لفشل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وظائف</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معينة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بعد</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حدوث</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اضطراب</w:t>
      </w:r>
      <w:r w:rsidRPr="0062340E">
        <w:rPr>
          <w:rFonts w:ascii="Simplified Arabic" w:hAnsi="Simplified Arabic" w:cs="Simplified Arabic"/>
          <w:color w:val="000000" w:themeColor="text1"/>
          <w:sz w:val="24"/>
          <w:szCs w:val="24"/>
          <w:rtl/>
          <w:lang w:val="en-US"/>
        </w:rPr>
        <w:t xml:space="preserve"> </w:t>
      </w:r>
      <w:r w:rsidRPr="0062340E">
        <w:rPr>
          <w:rFonts w:asciiTheme="majorBidi" w:hAnsiTheme="majorBidi" w:cstheme="majorBidi"/>
          <w:color w:val="000000" w:themeColor="text1"/>
          <w:sz w:val="24"/>
          <w:szCs w:val="24"/>
          <w:rtl/>
          <w:lang w:val="en-US"/>
        </w:rPr>
        <w:t>(</w:t>
      </w:r>
      <w:r w:rsidRPr="0062340E">
        <w:rPr>
          <w:rFonts w:asciiTheme="majorBidi" w:hAnsiTheme="majorBidi" w:cstheme="majorBidi"/>
          <w:color w:val="000000" w:themeColor="text1"/>
          <w:sz w:val="24"/>
          <w:szCs w:val="24"/>
          <w:lang w:val="en-US"/>
        </w:rPr>
        <w:t>Ahern</w:t>
      </w:r>
      <w:r w:rsidRPr="0062340E">
        <w:rPr>
          <w:rFonts w:asciiTheme="majorBidi" w:hAnsiTheme="majorBidi" w:cstheme="majorBidi"/>
          <w:color w:val="000000" w:themeColor="text1"/>
          <w:sz w:val="24"/>
          <w:szCs w:val="24"/>
        </w:rPr>
        <w:t>,</w:t>
      </w:r>
      <w:r w:rsidRPr="0062340E">
        <w:rPr>
          <w:rFonts w:asciiTheme="majorBidi" w:hAnsiTheme="majorBidi" w:cstheme="majorBidi"/>
          <w:color w:val="000000" w:themeColor="text1"/>
          <w:sz w:val="24"/>
          <w:szCs w:val="24"/>
          <w:lang w:val="en-US"/>
        </w:rPr>
        <w:t xml:space="preserve"> 2011</w:t>
      </w:r>
      <w:r w:rsidRPr="0062340E">
        <w:rPr>
          <w:rFonts w:asciiTheme="majorBidi" w:hAnsiTheme="majorBidi" w:cstheme="majorBidi"/>
          <w:color w:val="000000" w:themeColor="text1"/>
          <w:sz w:val="24"/>
          <w:szCs w:val="24"/>
          <w:rtl/>
          <w:lang w:val="en-US"/>
        </w:rPr>
        <w:t>)</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يمكن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أن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تحتوي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المناطق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ذات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المستويات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المنخفضة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00E43558" w:rsidRPr="0062340E">
        <w:rPr>
          <w:rFonts w:ascii="Simplified Arabic" w:hAnsi="Simplified Arabic" w:cs="Simplified Arabic" w:hint="cs"/>
          <w:sz w:val="24"/>
          <w:szCs w:val="24"/>
          <w:rtl/>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نقاط</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فشل،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مما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يجعل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النظام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عرضة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للخطر</w:t>
      </w:r>
      <w:r w:rsidRPr="0062340E">
        <w:rPr>
          <w:rFonts w:ascii="Simplified Arabic" w:hAnsi="Simplified Arabic" w:cs="Simplified Arabic"/>
          <w:color w:val="000000" w:themeColor="text1"/>
          <w:sz w:val="24"/>
          <w:szCs w:val="24"/>
          <w:rtl/>
          <w:lang w:val="en-US"/>
        </w:rPr>
        <w:t>.</w:t>
      </w:r>
      <w:r w:rsidRPr="0062340E">
        <w:rPr>
          <w:rFonts w:ascii="Simplified Arabic" w:hAnsi="Simplified Arabic" w:cs="Simplified Arabic" w:hint="cs"/>
          <w:color w:val="000000" w:themeColor="text1"/>
          <w:sz w:val="24"/>
          <w:szCs w:val="24"/>
          <w:rtl/>
          <w:lang w:val="en-US"/>
        </w:rPr>
        <w:t xml:space="preserve"> تؤثر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الشبكات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المتصلة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جيدًا</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جوانب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مختلفة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المرونة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الحضرية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عن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طريق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تعزيز</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رفاهية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المجتمع،</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زيادة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قابلية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المشي،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الأهم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ذلك،</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تحسين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إمكانية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الوصول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الخدمات</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والمرافق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حالة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 xml:space="preserve">الاضطرابات </w:t>
      </w:r>
      <w:r w:rsidRPr="0062340E">
        <w:rPr>
          <w:rFonts w:asciiTheme="majorBidi" w:hAnsiTheme="majorBidi" w:cstheme="majorBidi"/>
          <w:color w:val="0D0D0D"/>
          <w:sz w:val="24"/>
          <w:szCs w:val="24"/>
        </w:rPr>
        <w:t>(Dehghani</w:t>
      </w:r>
      <w:r w:rsidR="00B02037" w:rsidRPr="0062340E">
        <w:rPr>
          <w:rFonts w:asciiTheme="majorBidi" w:hAnsiTheme="majorBidi" w:cstheme="majorBidi"/>
          <w:color w:val="0D0D0D"/>
          <w:sz w:val="24"/>
          <w:szCs w:val="24"/>
        </w:rPr>
        <w:t xml:space="preserve"> et al., </w:t>
      </w:r>
      <w:r w:rsidR="00BB57D3" w:rsidRPr="0062340E">
        <w:rPr>
          <w:rFonts w:asciiTheme="majorBidi" w:hAnsiTheme="majorBidi" w:cstheme="majorBidi"/>
          <w:color w:val="0D0D0D"/>
          <w:sz w:val="24"/>
          <w:szCs w:val="24"/>
        </w:rPr>
        <w:t>2022</w:t>
      </w:r>
      <w:r w:rsidRPr="0062340E">
        <w:rPr>
          <w:rFonts w:asciiTheme="majorBidi" w:hAnsiTheme="majorBidi" w:cstheme="majorBidi"/>
          <w:color w:val="0D0D0D"/>
          <w:sz w:val="24"/>
          <w:szCs w:val="24"/>
        </w:rPr>
        <w:t>)</w:t>
      </w:r>
      <w:r w:rsidRPr="0062340E">
        <w:rPr>
          <w:rFonts w:ascii="Simplified Arabic" w:hAnsi="Simplified Arabic" w:cs="Simplified Arabic" w:hint="cs"/>
          <w:color w:val="000000" w:themeColor="text1"/>
          <w:sz w:val="24"/>
          <w:szCs w:val="24"/>
          <w:rtl/>
          <w:lang w:val="en-US"/>
        </w:rPr>
        <w:t xml:space="preserve">. </w:t>
      </w:r>
    </w:p>
    <w:p w:rsidR="00DA656E" w:rsidRPr="0062340E" w:rsidRDefault="00DA656E" w:rsidP="00DA656E">
      <w:pPr>
        <w:bidi/>
        <w:spacing w:after="0"/>
        <w:ind w:firstLine="282"/>
        <w:jc w:val="both"/>
        <w:rPr>
          <w:rFonts w:ascii="Simplified Arabic" w:hAnsi="Simplified Arabic" w:cs="Simplified Arabic"/>
          <w:color w:val="000000" w:themeColor="text1"/>
          <w:sz w:val="24"/>
          <w:szCs w:val="24"/>
          <w:rtl/>
          <w:lang w:val="en-US"/>
        </w:rPr>
      </w:pPr>
      <w:bookmarkStart w:id="224" w:name="_Toc157561450"/>
      <w:bookmarkStart w:id="225" w:name="_Toc157562783"/>
      <w:bookmarkStart w:id="226" w:name="_Toc157608279"/>
      <w:r w:rsidRPr="0062340E">
        <w:rPr>
          <w:rFonts w:ascii="Simplified Arabic" w:hAnsi="Simplified Arabic" w:cs="Simplified Arabic" w:hint="cs"/>
          <w:color w:val="000000" w:themeColor="text1"/>
          <w:sz w:val="24"/>
          <w:szCs w:val="24"/>
          <w:rtl/>
          <w:lang w:val="en-US"/>
        </w:rPr>
        <w:t>تتضمن</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سعة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الاستجابة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قيم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اكبر لعمق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الطرق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الشريانية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داخل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منطقة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 xml:space="preserve">ما، </w:t>
      </w:r>
      <w:r w:rsidRPr="0062340E">
        <w:rPr>
          <w:rFonts w:ascii="Simplified Arabic" w:hAnsi="Simplified Arabic" w:cs="Simplified Arabic"/>
          <w:color w:val="000000" w:themeColor="text1"/>
          <w:sz w:val="24"/>
          <w:szCs w:val="24"/>
          <w:rtl/>
          <w:lang w:val="en-US"/>
        </w:rPr>
        <w:t xml:space="preserve">الشكل </w:t>
      </w:r>
      <w:r w:rsidRPr="0062340E">
        <w:rPr>
          <w:rFonts w:ascii="Simplified Arabic" w:hAnsi="Simplified Arabic" w:cs="Simplified Arabic" w:hint="cs"/>
          <w:color w:val="000000" w:themeColor="text1"/>
          <w:sz w:val="24"/>
          <w:szCs w:val="24"/>
          <w:rtl/>
          <w:lang w:val="en-US"/>
        </w:rPr>
        <w:t>(1-18). كما تشير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القيم</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الأعلى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لعمق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الطرق</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الشريانية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إلى</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إمكانية</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وصول</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اكثر</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وهي</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مرغوب</w:t>
      </w:r>
      <w:r w:rsidRPr="0062340E">
        <w:rPr>
          <w:rFonts w:ascii="Simplified Arabic" w:hAnsi="Simplified Arabic" w:cs="Simplified Arabic"/>
          <w:color w:val="000000" w:themeColor="text1"/>
          <w:sz w:val="24"/>
          <w:szCs w:val="24"/>
          <w:rtl/>
          <w:lang w:val="en-US"/>
        </w:rPr>
        <w:t xml:space="preserve"> </w:t>
      </w:r>
      <w:r w:rsidRPr="0062340E">
        <w:rPr>
          <w:rFonts w:ascii="Simplified Arabic" w:hAnsi="Simplified Arabic" w:cs="Simplified Arabic" w:hint="cs"/>
          <w:color w:val="000000" w:themeColor="text1"/>
          <w:sz w:val="24"/>
          <w:szCs w:val="24"/>
          <w:rtl/>
          <w:lang w:val="en-US"/>
        </w:rPr>
        <w:t>فيها.</w:t>
      </w:r>
    </w:p>
    <w:p w:rsidR="005768EE" w:rsidRPr="0062340E" w:rsidRDefault="005768EE" w:rsidP="00DA656E">
      <w:pPr>
        <w:pStyle w:val="fegure"/>
        <w:spacing w:before="240"/>
        <w:rPr>
          <w:szCs w:val="24"/>
          <w:lang w:bidi="ar-DZ"/>
        </w:rPr>
      </w:pPr>
      <w:bookmarkStart w:id="227" w:name="_Toc171803394"/>
      <w:r w:rsidRPr="0062340E">
        <w:rPr>
          <w:szCs w:val="24"/>
          <w:rtl/>
          <w:lang w:val="en-US" w:bidi="ar-DZ"/>
        </w:rPr>
        <w:t>الشكل (1-18): التوزيع المكاني لعمق الطرق الشريانية (الرئيسية والثانوية)</w:t>
      </w:r>
      <w:bookmarkEnd w:id="224"/>
      <w:bookmarkEnd w:id="225"/>
      <w:bookmarkEnd w:id="226"/>
      <w:bookmarkEnd w:id="227"/>
    </w:p>
    <w:p w:rsidR="005768EE" w:rsidRPr="0062340E" w:rsidRDefault="005768EE" w:rsidP="00C50CF2">
      <w:pPr>
        <w:bidi/>
        <w:spacing w:after="0" w:line="240" w:lineRule="auto"/>
        <w:jc w:val="center"/>
        <w:rPr>
          <w:rFonts w:ascii="Simplified Arabic" w:hAnsi="Simplified Arabic" w:cs="Simplified Arabic"/>
          <w:color w:val="000000" w:themeColor="text1"/>
          <w:sz w:val="24"/>
          <w:szCs w:val="24"/>
          <w:rtl/>
          <w:lang w:val="en-US" w:bidi="ar-DZ"/>
        </w:rPr>
      </w:pPr>
      <w:r w:rsidRPr="0062340E">
        <w:rPr>
          <w:rFonts w:ascii="Simplified Arabic" w:hAnsi="Simplified Arabic" w:cs="Simplified Arabic"/>
          <w:color w:val="000000" w:themeColor="text1"/>
          <w:sz w:val="24"/>
          <w:szCs w:val="24"/>
          <w:rtl/>
          <w:lang w:val="en-US"/>
        </w:rPr>
        <w:t xml:space="preserve">المصدر: </w:t>
      </w:r>
      <w:r w:rsidRPr="0062340E">
        <w:rPr>
          <w:rFonts w:asciiTheme="majorBidi" w:hAnsiTheme="majorBidi" w:cstheme="majorBidi"/>
          <w:color w:val="000000" w:themeColor="text1"/>
          <w:sz w:val="24"/>
          <w:szCs w:val="24"/>
          <w:lang w:val="en-US" w:bidi="ar-DZ"/>
        </w:rPr>
        <w:t>(Feliciotti, 2018)</w:t>
      </w:r>
    </w:p>
    <w:p w:rsidR="00385EB4" w:rsidRPr="0062340E" w:rsidRDefault="00385EB4" w:rsidP="00385EB4">
      <w:pPr>
        <w:bidi/>
        <w:spacing w:after="0"/>
        <w:jc w:val="center"/>
        <w:rPr>
          <w:rFonts w:ascii="Simplified Arabic" w:hAnsi="Simplified Arabic" w:cs="Simplified Arabic"/>
          <w:color w:val="000000" w:themeColor="text1"/>
          <w:sz w:val="24"/>
          <w:szCs w:val="24"/>
          <w:rtl/>
          <w:lang w:val="en-US" w:bidi="ar-DZ"/>
        </w:rPr>
      </w:pPr>
      <w:r w:rsidRPr="0062340E">
        <w:rPr>
          <w:noProof/>
          <w:sz w:val="24"/>
          <w:szCs w:val="24"/>
          <w:lang w:eastAsia="fr-FR"/>
        </w:rPr>
        <w:drawing>
          <wp:inline distT="0" distB="0" distL="0" distR="0" wp14:anchorId="5FAA2B38" wp14:editId="1E48F623">
            <wp:extent cx="3849510" cy="3856008"/>
            <wp:effectExtent l="19050" t="19050" r="17780" b="11430"/>
            <wp:docPr id="281" name="Imag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3860207" cy="3866723"/>
                    </a:xfrm>
                    <a:prstGeom prst="rect">
                      <a:avLst/>
                    </a:prstGeom>
                    <a:ln>
                      <a:solidFill>
                        <a:schemeClr val="tx1"/>
                      </a:solidFill>
                    </a:ln>
                  </pic:spPr>
                </pic:pic>
              </a:graphicData>
            </a:graphic>
          </wp:inline>
        </w:drawing>
      </w:r>
    </w:p>
    <w:p w:rsidR="00A903CE" w:rsidRPr="0062340E" w:rsidRDefault="00A903CE" w:rsidP="00DA656E">
      <w:pPr>
        <w:pStyle w:val="Paragraphedeliste"/>
        <w:numPr>
          <w:ilvl w:val="2"/>
          <w:numId w:val="113"/>
        </w:numPr>
        <w:tabs>
          <w:tab w:val="right" w:pos="850"/>
        </w:tabs>
        <w:bidi/>
        <w:spacing w:before="240" w:after="0"/>
        <w:ind w:left="0" w:firstLine="0"/>
        <w:jc w:val="both"/>
        <w:outlineLvl w:val="1"/>
        <w:rPr>
          <w:rFonts w:ascii="Simplified Arabic" w:hAnsi="Simplified Arabic" w:cs="Simplified Arabic"/>
          <w:b/>
          <w:bCs/>
          <w:color w:val="000000" w:themeColor="text1"/>
          <w:sz w:val="24"/>
          <w:szCs w:val="24"/>
          <w:lang w:val="en-US"/>
        </w:rPr>
      </w:pPr>
      <w:bookmarkStart w:id="228" w:name="_Toc171803395"/>
      <w:r w:rsidRPr="0062340E">
        <w:rPr>
          <w:rFonts w:ascii="Simplified Arabic" w:hAnsi="Simplified Arabic" w:cs="Simplified Arabic" w:hint="cs"/>
          <w:b/>
          <w:bCs/>
          <w:color w:val="000000" w:themeColor="text1"/>
          <w:sz w:val="24"/>
          <w:szCs w:val="24"/>
          <w:rtl/>
          <w:lang w:val="en-US"/>
        </w:rPr>
        <w:lastRenderedPageBreak/>
        <w:t>ابعاد</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val="en-US"/>
        </w:rPr>
        <w:t>المرونة الحضرية</w:t>
      </w:r>
      <w:bookmarkEnd w:id="228"/>
    </w:p>
    <w:p w:rsidR="00A903CE" w:rsidRPr="0062340E" w:rsidRDefault="00A903CE" w:rsidP="00053B7E">
      <w:pPr>
        <w:autoSpaceDE w:val="0"/>
        <w:autoSpaceDN w:val="0"/>
        <w:bidi/>
        <w:adjustRightInd w:val="0"/>
        <w:spacing w:after="0"/>
        <w:ind w:firstLine="282"/>
        <w:jc w:val="both"/>
        <w:rPr>
          <w:rFonts w:asciiTheme="minorBidi" w:hAnsiTheme="minorBidi" w:cs="Arial"/>
          <w:sz w:val="24"/>
          <w:szCs w:val="24"/>
          <w:rtl/>
          <w:lang w:bidi="ar-DZ"/>
        </w:rPr>
      </w:pPr>
      <w:r w:rsidRPr="0062340E">
        <w:rPr>
          <w:rFonts w:ascii="Simplified Arabic" w:hAnsi="Simplified Arabic" w:cs="Simplified Arabic"/>
          <w:sz w:val="24"/>
          <w:szCs w:val="24"/>
          <w:rtl/>
          <w:lang w:bidi="ar-DZ"/>
        </w:rPr>
        <w:t xml:space="preserve">هناك إجماع داخل مجتمع البحث العلمي أن المرونة مفهوم متعدد الأوجه يتكون من </w:t>
      </w:r>
      <w:r w:rsidRPr="0062340E">
        <w:rPr>
          <w:rFonts w:ascii="Simplified Arabic" w:hAnsi="Simplified Arabic" w:cs="Simplified Arabic" w:hint="cs"/>
          <w:sz w:val="24"/>
          <w:szCs w:val="24"/>
          <w:rtl/>
          <w:lang w:bidi="ar-DZ"/>
        </w:rPr>
        <w:t>ابعاد</w:t>
      </w:r>
      <w:r w:rsidRPr="0062340E">
        <w:rPr>
          <w:rFonts w:ascii="Simplified Arabic" w:hAnsi="Simplified Arabic" w:cs="Simplified Arabic"/>
          <w:sz w:val="24"/>
          <w:szCs w:val="24"/>
          <w:rtl/>
          <w:lang w:bidi="ar-DZ"/>
        </w:rPr>
        <w:t xml:space="preserve"> اجتماعية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اقتصادية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مؤسسية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فيزيائية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w:t>
      </w:r>
      <w:r w:rsidRPr="0062340E">
        <w:rPr>
          <w:rFonts w:ascii="Simplified Arabic" w:hAnsi="Simplified Arabic" w:cs="Simplified Arabic"/>
          <w:sz w:val="24"/>
          <w:szCs w:val="24"/>
          <w:rtl/>
          <w:lang w:bidi="ar-DZ"/>
        </w:rPr>
        <w:t>بيئية</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Norris et al., 2008</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;Cutter et al., 2008 ;</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Bruneau et al., 2003</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 xml:space="preserve">. </w:t>
      </w:r>
    </w:p>
    <w:p w:rsidR="00A903CE" w:rsidRPr="0062340E" w:rsidRDefault="00A903CE" w:rsidP="00C71EC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يتمتع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أبعاد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وفترة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انتقالية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ووقت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استرداد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مستواه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السابق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منه. الرسم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التخطيطي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 تجاه الكوارث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الشكل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0085017B" w:rsidRPr="0062340E">
        <w:rPr>
          <w:rFonts w:ascii="Simplified Arabic" w:hAnsi="Simplified Arabic" w:cs="Simplified Arabic" w:hint="cs"/>
          <w:sz w:val="24"/>
          <w:szCs w:val="24"/>
          <w:rtl/>
          <w:lang w:bidi="ar-DZ"/>
        </w:rPr>
        <w:t>1-19</w:t>
      </w:r>
      <w:r w:rsidRPr="0062340E">
        <w:rPr>
          <w:rFonts w:ascii="Simplified Arabic" w:hAnsi="Simplified Arabic" w:cs="Simplified Arabic" w:hint="cs"/>
          <w:sz w:val="24"/>
          <w:szCs w:val="24"/>
          <w:rtl/>
          <w:lang w:bidi="ar-DZ"/>
        </w:rPr>
        <w:t>) يظهر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الأنواع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الخمسة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لمكونات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الرئيسية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الاكثر تناولا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00C71ECA" w:rsidRPr="0062340E">
        <w:rPr>
          <w:rFonts w:ascii="Simplified Arabic" w:hAnsi="Simplified Arabic" w:cs="Simplified Arabic" w:hint="cs"/>
          <w:sz w:val="24"/>
          <w:szCs w:val="24"/>
          <w:rtl/>
          <w:lang w:bidi="ar-DZ"/>
        </w:rPr>
        <w:t>الابحاث</w:t>
      </w:r>
      <w:r w:rsidRPr="0062340E">
        <w:rPr>
          <w:rFonts w:asciiTheme="minorBidi" w:hAnsiTheme="minorBidi" w:cs="Arial"/>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Irajifar et al., 2013</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w:t>
      </w:r>
      <w:r w:rsidRPr="0062340E">
        <w:rPr>
          <w:rFonts w:asciiTheme="minorBidi" w:hAnsiTheme="minorBidi" w:cs="Arial"/>
          <w:sz w:val="24"/>
          <w:szCs w:val="24"/>
          <w:rtl/>
          <w:lang w:bidi="ar-DZ"/>
        </w:rPr>
        <w:t xml:space="preserve"> </w:t>
      </w:r>
      <w:r w:rsidRPr="0062340E">
        <w:rPr>
          <w:rFonts w:ascii="Simplified Arabic" w:hAnsi="Simplified Arabic" w:cs="Simplified Arabic" w:hint="cs"/>
          <w:sz w:val="24"/>
          <w:szCs w:val="24"/>
          <w:rtl/>
          <w:lang w:bidi="ar-DZ"/>
        </w:rPr>
        <w:t>تظهر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الدائرة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يسار </w:t>
      </w:r>
      <w:r w:rsidRPr="0062340E">
        <w:rPr>
          <w:rFonts w:ascii="Simplified Arabic" w:hAnsi="Simplified Arabic" w:cs="Simplified Arabic" w:hint="cs"/>
          <w:sz w:val="24"/>
          <w:szCs w:val="24"/>
          <w:rtl/>
        </w:rPr>
        <w:t>الشكل رقم</w:t>
      </w:r>
      <w:r w:rsidRPr="0062340E">
        <w:rPr>
          <w:rFonts w:ascii="Simplified Arabic" w:hAnsi="Simplified Arabic" w:cs="Simplified Arabic"/>
          <w:sz w:val="24"/>
          <w:szCs w:val="24"/>
          <w:rtl/>
        </w:rPr>
        <w:t xml:space="preserve"> </w:t>
      </w:r>
      <w:r w:rsidRPr="0062340E">
        <w:rPr>
          <w:rFonts w:ascii="Simplified Arabic" w:hAnsi="Simplified Arabic" w:cs="Simplified Arabic" w:hint="cs"/>
          <w:sz w:val="24"/>
          <w:szCs w:val="24"/>
          <w:rtl/>
        </w:rPr>
        <w:t>(</w:t>
      </w:r>
      <w:r w:rsidR="0085017B" w:rsidRPr="0062340E">
        <w:rPr>
          <w:rFonts w:ascii="Simplified Arabic" w:hAnsi="Simplified Arabic" w:cs="Simplified Arabic" w:hint="cs"/>
          <w:sz w:val="24"/>
          <w:szCs w:val="24"/>
          <w:rtl/>
        </w:rPr>
        <w:t>1-19</w:t>
      </w:r>
      <w:r w:rsidRPr="0062340E">
        <w:rPr>
          <w:rFonts w:ascii="Simplified Arabic" w:hAnsi="Simplified Arabic" w:cs="Simplified Arabic" w:hint="cs"/>
          <w:sz w:val="24"/>
          <w:szCs w:val="24"/>
          <w:rtl/>
        </w:rPr>
        <w:t xml:space="preserve">) </w:t>
      </w:r>
      <w:r w:rsidRPr="0062340E">
        <w:rPr>
          <w:rFonts w:ascii="Simplified Arabic" w:hAnsi="Simplified Arabic" w:cs="Simplified Arabic" w:hint="cs"/>
          <w:sz w:val="24"/>
          <w:szCs w:val="24"/>
          <w:rtl/>
          <w:lang w:bidi="ar-DZ"/>
        </w:rPr>
        <w:t>مكونات (ابعاد) مرونة المجتمع الخمسة،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بينما على اليمين يعبر عن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أداء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للمكون الاجتماعي والذي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حالة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حدوث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اضطراب،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ينخفض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أدنى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اعتمادًا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مستوى 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امتصاص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الصدمات</w:t>
      </w:r>
      <w:r w:rsidRPr="0062340E">
        <w:rPr>
          <w:rFonts w:ascii="Simplified Arabic" w:hAnsi="Simplified Arabic" w:cs="Simplified Arabic"/>
          <w:sz w:val="24"/>
          <w:szCs w:val="24"/>
          <w:rtl/>
          <w:lang w:bidi="ar-DZ"/>
        </w:rPr>
        <w:t xml:space="preserve">. </w:t>
      </w:r>
    </w:p>
    <w:p w:rsidR="00A903CE" w:rsidRPr="0062340E" w:rsidRDefault="00A903CE" w:rsidP="00A903CE">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يضم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(مُكون) 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وفترة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انتقالية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ووقت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استرداد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السابق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أدائه السابق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تشير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الخصائص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ان 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تختلف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باختلاف النظام وعلى نوع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الاضطراب، كما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تعتمد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للاضطراب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لأي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مجموعة من العوامل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المختلفة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الهدف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البحث الحالي،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إيجاد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العوامل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المناسبة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لقياسها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 تقديم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ابعاد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جانب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مجموعة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المؤشرات (العوامل) الأكثر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تداولا</w:t>
      </w:r>
      <w:r w:rsidRPr="0062340E">
        <w:rPr>
          <w:rFonts w:ascii="Simplified Arabic" w:hAnsi="Simplified Arabic" w:cs="Simplified Arabic"/>
          <w:sz w:val="24"/>
          <w:szCs w:val="24"/>
          <w:rtl/>
          <w:lang w:bidi="ar-DZ"/>
        </w:rPr>
        <w:t>.</w:t>
      </w:r>
    </w:p>
    <w:p w:rsidR="00A903CE" w:rsidRPr="0062340E" w:rsidRDefault="00A903CE" w:rsidP="00DA656E">
      <w:pPr>
        <w:pStyle w:val="fegure"/>
        <w:spacing w:before="240"/>
        <w:rPr>
          <w:szCs w:val="24"/>
          <w:rtl/>
        </w:rPr>
      </w:pPr>
      <w:bookmarkStart w:id="229" w:name="_Toc157561451"/>
      <w:bookmarkStart w:id="230" w:name="_Toc157562784"/>
      <w:bookmarkStart w:id="231" w:name="_Toc157608280"/>
      <w:bookmarkStart w:id="232" w:name="_Toc171803396"/>
      <w:r w:rsidRPr="0062340E">
        <w:rPr>
          <w:rFonts w:hint="cs"/>
          <w:szCs w:val="24"/>
          <w:rtl/>
        </w:rPr>
        <w:t>الشكل (</w:t>
      </w:r>
      <w:r w:rsidR="007A0685" w:rsidRPr="0062340E">
        <w:rPr>
          <w:rFonts w:hint="cs"/>
          <w:szCs w:val="24"/>
          <w:rtl/>
        </w:rPr>
        <w:t>1-19</w:t>
      </w:r>
      <w:r w:rsidRPr="0062340E">
        <w:rPr>
          <w:rFonts w:hint="cs"/>
          <w:szCs w:val="24"/>
          <w:rtl/>
        </w:rPr>
        <w:t>)</w:t>
      </w:r>
      <w:r w:rsidRPr="0062340E">
        <w:rPr>
          <w:szCs w:val="24"/>
          <w:rtl/>
        </w:rPr>
        <w:t>:</w:t>
      </w:r>
      <w:r w:rsidRPr="0062340E">
        <w:rPr>
          <w:rFonts w:hint="cs"/>
          <w:szCs w:val="24"/>
          <w:rtl/>
        </w:rPr>
        <w:t xml:space="preserve"> ابعاد المرونة الحضرية تجاه الكوارث</w:t>
      </w:r>
      <w:bookmarkEnd w:id="229"/>
      <w:bookmarkEnd w:id="230"/>
      <w:bookmarkEnd w:id="231"/>
      <w:bookmarkEnd w:id="232"/>
    </w:p>
    <w:p w:rsidR="00A903CE" w:rsidRPr="0062340E" w:rsidRDefault="00A903CE" w:rsidP="00C50CF2">
      <w:pPr>
        <w:tabs>
          <w:tab w:val="right" w:pos="281"/>
        </w:tabs>
        <w:bidi/>
        <w:spacing w:after="0" w:line="240" w:lineRule="auto"/>
        <w:jc w:val="center"/>
        <w:rPr>
          <w:rFonts w:asciiTheme="majorBidi" w:hAnsiTheme="majorBidi" w:cstheme="majorBidi"/>
          <w:b/>
          <w:bCs/>
          <w:sz w:val="24"/>
          <w:szCs w:val="24"/>
        </w:rPr>
      </w:pPr>
      <w:r w:rsidRPr="0062340E">
        <w:rPr>
          <w:rFonts w:ascii="Simplified Arabic" w:hAnsi="Simplified Arabic" w:cs="Simplified Arabic" w:hint="cs"/>
          <w:b/>
          <w:bCs/>
          <w:sz w:val="24"/>
          <w:szCs w:val="24"/>
          <w:rtl/>
        </w:rPr>
        <w:t xml:space="preserve">المصدر: </w:t>
      </w:r>
      <w:r w:rsidRPr="0062340E">
        <w:rPr>
          <w:rFonts w:asciiTheme="majorBidi" w:hAnsiTheme="majorBidi" w:cstheme="majorBidi"/>
          <w:b/>
          <w:bCs/>
          <w:sz w:val="24"/>
          <w:szCs w:val="24"/>
        </w:rPr>
        <w:t>(Irajifar et al., 2013)</w:t>
      </w:r>
    </w:p>
    <w:p w:rsidR="00A903CE" w:rsidRPr="0062340E" w:rsidRDefault="00A903CE" w:rsidP="00C50CF2">
      <w:pPr>
        <w:tabs>
          <w:tab w:val="right" w:pos="281"/>
        </w:tabs>
        <w:bidi/>
        <w:spacing w:after="0" w:line="240" w:lineRule="auto"/>
        <w:jc w:val="center"/>
        <w:rPr>
          <w:rFonts w:ascii="Simplified Arabic" w:hAnsi="Simplified Arabic" w:cs="Simplified Arabic"/>
          <w:sz w:val="24"/>
          <w:szCs w:val="24"/>
          <w:rtl/>
        </w:rPr>
      </w:pPr>
      <w:r w:rsidRPr="0062340E">
        <w:rPr>
          <w:noProof/>
          <w:sz w:val="24"/>
          <w:szCs w:val="24"/>
          <w:lang w:eastAsia="fr-FR"/>
        </w:rPr>
        <w:drawing>
          <wp:inline distT="0" distB="0" distL="0" distR="0" wp14:anchorId="70175AAE" wp14:editId="4AFEA75E">
            <wp:extent cx="5152918" cy="2415396"/>
            <wp:effectExtent l="19050" t="19050" r="10160" b="23495"/>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5159042" cy="2418266"/>
                    </a:xfrm>
                    <a:prstGeom prst="rect">
                      <a:avLst/>
                    </a:prstGeom>
                    <a:ln>
                      <a:solidFill>
                        <a:schemeClr val="tx1"/>
                      </a:solidFill>
                    </a:ln>
                  </pic:spPr>
                </pic:pic>
              </a:graphicData>
            </a:graphic>
          </wp:inline>
        </w:drawing>
      </w:r>
    </w:p>
    <w:p w:rsidR="00A903CE" w:rsidRPr="0062340E" w:rsidRDefault="00A903CE" w:rsidP="00DA656E">
      <w:pPr>
        <w:pStyle w:val="Paragraphedeliste"/>
        <w:numPr>
          <w:ilvl w:val="3"/>
          <w:numId w:val="114"/>
        </w:numPr>
        <w:tabs>
          <w:tab w:val="right" w:pos="1134"/>
        </w:tabs>
        <w:bidi/>
        <w:spacing w:before="240" w:after="0"/>
        <w:ind w:left="0" w:firstLine="0"/>
        <w:jc w:val="both"/>
        <w:outlineLvl w:val="2"/>
        <w:rPr>
          <w:rFonts w:ascii="Simplified Arabic" w:hAnsi="Simplified Arabic" w:cs="Simplified Arabic"/>
          <w:b/>
          <w:bCs/>
          <w:color w:val="000000" w:themeColor="text1"/>
          <w:sz w:val="24"/>
          <w:szCs w:val="24"/>
          <w:lang w:val="en-US"/>
        </w:rPr>
      </w:pPr>
      <w:bookmarkStart w:id="233" w:name="_Toc171803397"/>
      <w:r w:rsidRPr="0062340E">
        <w:rPr>
          <w:rFonts w:ascii="Simplified Arabic" w:hAnsi="Simplified Arabic" w:cs="Simplified Arabic" w:hint="cs"/>
          <w:b/>
          <w:bCs/>
          <w:color w:val="000000" w:themeColor="text1"/>
          <w:sz w:val="24"/>
          <w:szCs w:val="24"/>
          <w:rtl/>
          <w:lang w:val="en-US"/>
        </w:rPr>
        <w:t>البعد</w:t>
      </w:r>
      <w:r w:rsidRPr="0062340E">
        <w:rPr>
          <w:rFonts w:ascii="Simplified Arabic" w:hAnsi="Simplified Arabic" w:cs="Simplified Arabic"/>
          <w:b/>
          <w:bCs/>
          <w:color w:val="000000" w:themeColor="text1"/>
          <w:sz w:val="24"/>
          <w:szCs w:val="24"/>
          <w:rtl/>
          <w:lang w:val="en-US"/>
        </w:rPr>
        <w:t xml:space="preserve"> الاقتصادي</w:t>
      </w:r>
      <w:bookmarkEnd w:id="233"/>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w:t>
      </w:r>
      <w:r w:rsidRPr="0062340E">
        <w:rPr>
          <w:rFonts w:ascii="Simplified Arabic" w:hAnsi="Simplified Arabic" w:cs="Simplified Arabic"/>
          <w:sz w:val="24"/>
          <w:szCs w:val="24"/>
          <w:rtl/>
          <w:lang w:bidi="ar-DZ"/>
        </w:rPr>
        <w:t xml:space="preserve">تضمن قائمة </w:t>
      </w:r>
      <w:r w:rsidRPr="0062340E">
        <w:rPr>
          <w:rFonts w:ascii="Simplified Arabic" w:hAnsi="Simplified Arabic" w:cs="Simplified Arabic" w:hint="cs"/>
          <w:sz w:val="24"/>
          <w:szCs w:val="24"/>
          <w:rtl/>
          <w:lang w:bidi="ar-DZ"/>
        </w:rPr>
        <w:t>المعايير</w:t>
      </w:r>
      <w:r w:rsidRPr="0062340E">
        <w:rPr>
          <w:rFonts w:ascii="Simplified Arabic" w:hAnsi="Simplified Arabic" w:cs="Simplified Arabic"/>
          <w:sz w:val="24"/>
          <w:szCs w:val="24"/>
          <w:rtl/>
          <w:lang w:bidi="ar-DZ"/>
        </w:rPr>
        <w:t xml:space="preserve"> الاقتصادية في نماذج المرونة الحالية الخسائر والأضرار الاقتصادية المباشرة، وأطوال </w:t>
      </w:r>
      <w:r w:rsidRPr="0062340E">
        <w:rPr>
          <w:rFonts w:ascii="Simplified Arabic" w:hAnsi="Simplified Arabic" w:cs="Simplified Arabic" w:hint="cs"/>
          <w:sz w:val="24"/>
          <w:szCs w:val="24"/>
          <w:rtl/>
          <w:lang w:bidi="ar-DZ"/>
        </w:rPr>
        <w:t xml:space="preserve">شبكة </w:t>
      </w:r>
      <w:r w:rsidRPr="0062340E">
        <w:rPr>
          <w:rFonts w:ascii="Simplified Arabic" w:hAnsi="Simplified Arabic" w:cs="Simplified Arabic"/>
          <w:sz w:val="24"/>
          <w:szCs w:val="24"/>
          <w:rtl/>
          <w:lang w:bidi="ar-DZ"/>
        </w:rPr>
        <w:t xml:space="preserve">طرق النقل المتأثرة، </w:t>
      </w:r>
      <w:r w:rsidRPr="0062340E">
        <w:rPr>
          <w:rFonts w:ascii="Simplified Arabic" w:hAnsi="Simplified Arabic" w:cs="Simplified Arabic" w:hint="cs"/>
          <w:sz w:val="24"/>
          <w:szCs w:val="24"/>
          <w:rtl/>
          <w:lang w:bidi="ar-DZ"/>
        </w:rPr>
        <w:t>وغير ذل</w:t>
      </w:r>
      <w:r w:rsidRPr="0062340E">
        <w:rPr>
          <w:rFonts w:ascii="Simplified Arabic" w:hAnsi="Simplified Arabic" w:cs="Simplified Arabic"/>
          <w:sz w:val="24"/>
          <w:szCs w:val="24"/>
          <w:rtl/>
          <w:lang w:bidi="ar-DZ"/>
        </w:rPr>
        <w:t xml:space="preserve">ك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2008</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يرى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Hillier, 2007</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 من وجهة نظر المرونة الاقتصادية،</w:t>
      </w:r>
      <w:r w:rsidRPr="0062340E">
        <w:rPr>
          <w:rFonts w:ascii="Simplified Arabic" w:hAnsi="Simplified Arabic" w:cs="Simplified Arabic"/>
          <w:sz w:val="24"/>
          <w:szCs w:val="24"/>
          <w:rtl/>
          <w:lang w:bidi="ar-DZ"/>
        </w:rPr>
        <w:t xml:space="preserve"> </w:t>
      </w:r>
      <w:r w:rsidR="006F0054" w:rsidRPr="0062340E">
        <w:rPr>
          <w:rFonts w:ascii="Simplified Arabic" w:hAnsi="Simplified Arabic" w:cs="Simplified Arabic" w:hint="cs"/>
          <w:sz w:val="24"/>
          <w:szCs w:val="24"/>
          <w:rtl/>
          <w:lang w:bidi="ar-DZ"/>
        </w:rPr>
        <w:t>ا</w:t>
      </w:r>
      <w:r w:rsidRPr="0062340E">
        <w:rPr>
          <w:rFonts w:ascii="Simplified Arabic" w:hAnsi="Simplified Arabic" w:cs="Simplified Arabic" w:hint="cs"/>
          <w:sz w:val="24"/>
          <w:szCs w:val="24"/>
          <w:rtl/>
          <w:lang w:bidi="ar-DZ"/>
        </w:rPr>
        <w:t>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الطريقة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تنظيم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المساحات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تأثير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موقع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الأنشطة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والاقتصادية.</w:t>
      </w:r>
      <w:r w:rsidRPr="0062340E">
        <w:rPr>
          <w:rFonts w:asciiTheme="minorBidi" w:hAnsiTheme="minorBidi" w:cs="Arial" w:hint="cs"/>
          <w:sz w:val="24"/>
          <w:szCs w:val="24"/>
          <w:rtl/>
          <w:lang w:bidi="ar-DZ"/>
        </w:rPr>
        <w:t xml:space="preserve"> ا</w:t>
      </w:r>
      <w:r w:rsidRPr="0062340E">
        <w:rPr>
          <w:rFonts w:ascii="Simplified Arabic" w:hAnsi="Simplified Arabic" w:cs="Simplified Arabic" w:hint="cs"/>
          <w:sz w:val="24"/>
          <w:szCs w:val="24"/>
          <w:rtl/>
          <w:lang w:bidi="ar-DZ"/>
        </w:rPr>
        <w:t>شارت</w:t>
      </w:r>
      <w:r w:rsidRPr="0062340E">
        <w:rPr>
          <w:rFonts w:asciiTheme="minorBidi" w:hAnsiTheme="minorBidi" w:cs="Arial"/>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Van Nes, 2002</w:t>
      </w:r>
      <w:r w:rsidRPr="0062340E">
        <w:rPr>
          <w:rFonts w:asciiTheme="majorBidi" w:hAnsiTheme="majorBidi" w:cstheme="majorBidi"/>
          <w:sz w:val="24"/>
          <w:szCs w:val="24"/>
          <w:rtl/>
          <w:lang w:bidi="ar-DZ"/>
        </w:rPr>
        <w:t>)</w:t>
      </w:r>
      <w:r w:rsidRPr="0062340E">
        <w:rPr>
          <w:rFonts w:asciiTheme="minorBidi" w:hAnsiTheme="minorBidi" w:cs="Arial"/>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طريقة</w:t>
      </w:r>
      <w:r w:rsidRPr="0062340E">
        <w:rPr>
          <w:rFonts w:ascii="Simplified Arabic" w:hAnsi="Simplified Arabic" w:cs="Simplified Arabic"/>
          <w:sz w:val="24"/>
          <w:szCs w:val="24"/>
          <w:rtl/>
          <w:lang w:bidi="ar-DZ"/>
        </w:rPr>
        <w:t xml:space="preserve"> </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lang w:bidi="ar-DZ"/>
        </w:rPr>
        <w:t xml:space="preserve"> الارض لديها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فهم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أساسي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للعلاقة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النشاط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الاقتصادي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والشكل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شرح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بالتفصيل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العلاقة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القائمة بين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نمط </w:t>
      </w:r>
      <w:r w:rsidR="0027496A" w:rsidRPr="0062340E">
        <w:rPr>
          <w:rFonts w:ascii="Simplified Arabic" w:hAnsi="Simplified Arabic" w:cs="Simplified Arabic" w:hint="cs"/>
          <w:sz w:val="24"/>
          <w:szCs w:val="24"/>
          <w:rtl/>
        </w:rPr>
        <w:t>استعمال</w:t>
      </w:r>
      <w:r w:rsidR="0027496A" w:rsidRPr="0062340E">
        <w:rPr>
          <w:rFonts w:ascii="Simplified Arabic" w:hAnsi="Simplified Arabic" w:cs="Simplified Arabic"/>
          <w:sz w:val="24"/>
          <w:szCs w:val="24"/>
        </w:rPr>
        <w:t xml:space="preserve"> </w:t>
      </w:r>
      <w:r w:rsidRPr="0062340E">
        <w:rPr>
          <w:rFonts w:ascii="Simplified Arabic" w:hAnsi="Simplified Arabic" w:cs="Simplified Arabic" w:hint="cs"/>
          <w:sz w:val="24"/>
          <w:szCs w:val="24"/>
          <w:rtl/>
          <w:lang w:bidi="ar-DZ"/>
        </w:rPr>
        <w:t>الارض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 الأنشطة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الاقتصادية. بينما اشار</w:t>
      </w:r>
      <w:r w:rsidRPr="0062340E">
        <w:rPr>
          <w:rFonts w:asciiTheme="minorBidi" w:hAnsiTheme="minorBidi" w:cs="Arial" w:hint="cs"/>
          <w:sz w:val="24"/>
          <w:szCs w:val="24"/>
          <w:rtl/>
          <w:lang w:bidi="ar-DZ"/>
        </w:rPr>
        <w:t xml:space="preserve"> </w:t>
      </w:r>
      <w:r w:rsidRPr="0062340E">
        <w:rPr>
          <w:rFonts w:asciiTheme="majorBidi" w:hAnsiTheme="majorBidi" w:cstheme="majorBidi"/>
          <w:sz w:val="24"/>
          <w:szCs w:val="24"/>
          <w:rtl/>
          <w:lang w:bidi="ar-DZ"/>
        </w:rPr>
        <w:t>(</w:t>
      </w:r>
      <w:r w:rsidR="00ED40E7" w:rsidRPr="0062340E">
        <w:rPr>
          <w:rFonts w:asciiTheme="majorBidi" w:hAnsiTheme="majorBidi" w:cstheme="majorBidi"/>
          <w:sz w:val="24"/>
          <w:szCs w:val="24"/>
        </w:rPr>
        <w:t>Sharifi and Yamagata,</w:t>
      </w:r>
      <w:r w:rsidRPr="0062340E">
        <w:rPr>
          <w:rFonts w:asciiTheme="majorBidi" w:hAnsiTheme="majorBidi" w:cstheme="majorBidi"/>
          <w:sz w:val="24"/>
          <w:szCs w:val="24"/>
          <w:lang w:bidi="ar-DZ"/>
        </w:rPr>
        <w:t xml:space="preserve"> 2018</w:t>
      </w:r>
      <w:r w:rsidRPr="0062340E">
        <w:rPr>
          <w:rFonts w:asciiTheme="majorBidi" w:hAnsiTheme="majorBidi" w:cstheme="majorBidi"/>
          <w:sz w:val="24"/>
          <w:szCs w:val="24"/>
          <w:rtl/>
          <w:lang w:bidi="ar-DZ"/>
        </w:rPr>
        <w:t>)</w:t>
      </w:r>
      <w:r w:rsidRPr="0062340E">
        <w:rPr>
          <w:rFonts w:asciiTheme="minorBidi" w:hAnsiTheme="minorBidi" w:cs="Arial"/>
          <w:sz w:val="24"/>
          <w:szCs w:val="24"/>
          <w:lang w:bidi="ar-DZ"/>
        </w:rPr>
        <w:t xml:space="preserve"> </w:t>
      </w:r>
      <w:r w:rsidRPr="0062340E">
        <w:rPr>
          <w:rFonts w:ascii="Simplified Arabic" w:hAnsi="Simplified Arabic" w:cs="Simplified Arabic" w:hint="cs"/>
          <w:sz w:val="24"/>
          <w:szCs w:val="24"/>
          <w:rtl/>
          <w:lang w:bidi="ar-DZ"/>
        </w:rPr>
        <w:t>بسبب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الروابط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التطورية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lastRenderedPageBreak/>
        <w:t>الوثيقة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وبيئته،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تميل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الفيزيائية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والمورفولوجية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للمدينة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انعكاس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كبير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حالة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مثل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الظروف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والاقتصادية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والتوزيعات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 داخل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المدينة.</w:t>
      </w:r>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تعزيز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الصلة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w:t>
      </w:r>
      <w:r w:rsidR="0027496A" w:rsidRPr="0062340E">
        <w:rPr>
          <w:rFonts w:ascii="Simplified Arabic" w:hAnsi="Simplified Arabic" w:cs="Simplified Arabic" w:hint="cs"/>
          <w:sz w:val="24"/>
          <w:szCs w:val="24"/>
          <w:rtl/>
        </w:rPr>
        <w:t xml:space="preserve"> استعمال</w:t>
      </w:r>
      <w:r w:rsidRPr="0062340E">
        <w:rPr>
          <w:rFonts w:ascii="Simplified Arabic" w:hAnsi="Simplified Arabic" w:cs="Simplified Arabic" w:hint="cs"/>
          <w:sz w:val="24"/>
          <w:szCs w:val="24"/>
          <w:rtl/>
          <w:lang w:bidi="ar-DZ"/>
        </w:rPr>
        <w:t>ات الارض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بواسطة</w:t>
      </w:r>
      <w:r w:rsidRPr="0062340E">
        <w:rPr>
          <w:rFonts w:asciiTheme="minorBidi" w:hAnsiTheme="minorBidi" w:cs="Arial"/>
          <w:sz w:val="24"/>
          <w:szCs w:val="24"/>
          <w:rtl/>
          <w:lang w:bidi="ar-DZ"/>
        </w:rPr>
        <w:t xml:space="preserve"> </w:t>
      </w:r>
      <w:r w:rsidRPr="0062340E">
        <w:rPr>
          <w:rFonts w:asciiTheme="majorBidi" w:hAnsiTheme="majorBidi" w:cstheme="majorBidi" w:hint="cs"/>
          <w:sz w:val="24"/>
          <w:szCs w:val="24"/>
          <w:rtl/>
          <w:lang w:bidi="ar-DZ"/>
        </w:rPr>
        <w:t>(</w:t>
      </w:r>
      <w:r w:rsidRPr="0062340E">
        <w:rPr>
          <w:rFonts w:asciiTheme="majorBidi" w:hAnsiTheme="majorBidi" w:cstheme="majorBidi"/>
          <w:sz w:val="24"/>
          <w:szCs w:val="24"/>
          <w:lang w:bidi="ar-DZ"/>
        </w:rPr>
        <w:t>Peres et al., 2016</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الذي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اشار الى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انه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إنشاء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أيضًا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الخصائص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للأنظمة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الاقتصادية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فهم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كيفية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ظهور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الخصائص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إعادة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هيكلة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المجال الحضري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أجل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إنشاء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مناطق 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أكثر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مرونة.</w:t>
      </w:r>
    </w:p>
    <w:p w:rsidR="00A903CE" w:rsidRPr="0062340E" w:rsidRDefault="003E49B7" w:rsidP="001D0548">
      <w:pPr>
        <w:pStyle w:val="Paragraphedeliste"/>
        <w:numPr>
          <w:ilvl w:val="3"/>
          <w:numId w:val="115"/>
        </w:numPr>
        <w:tabs>
          <w:tab w:val="right" w:pos="992"/>
        </w:tabs>
        <w:bidi/>
        <w:spacing w:before="240" w:after="0"/>
        <w:ind w:left="0" w:firstLine="0"/>
        <w:jc w:val="both"/>
        <w:outlineLvl w:val="2"/>
        <w:rPr>
          <w:rFonts w:ascii="Simplified Arabic" w:hAnsi="Simplified Arabic" w:cs="Simplified Arabic"/>
          <w:b/>
          <w:bCs/>
          <w:color w:val="000000" w:themeColor="text1"/>
          <w:sz w:val="24"/>
          <w:szCs w:val="24"/>
          <w:rtl/>
          <w:lang w:val="en-US"/>
        </w:rPr>
      </w:pPr>
      <w:r w:rsidRPr="0062340E">
        <w:rPr>
          <w:rFonts w:ascii="Simplified Arabic" w:hAnsi="Simplified Arabic" w:cs="Simplified Arabic" w:hint="cs"/>
          <w:b/>
          <w:bCs/>
          <w:color w:val="000000" w:themeColor="text1"/>
          <w:sz w:val="24"/>
          <w:szCs w:val="24"/>
          <w:rtl/>
          <w:lang w:val="en-US"/>
        </w:rPr>
        <w:t xml:space="preserve"> </w:t>
      </w:r>
      <w:bookmarkStart w:id="234" w:name="_Toc171803398"/>
      <w:r w:rsidR="00A903CE" w:rsidRPr="0062340E">
        <w:rPr>
          <w:rFonts w:ascii="Simplified Arabic" w:hAnsi="Simplified Arabic" w:cs="Simplified Arabic" w:hint="cs"/>
          <w:b/>
          <w:bCs/>
          <w:color w:val="000000" w:themeColor="text1"/>
          <w:sz w:val="24"/>
          <w:szCs w:val="24"/>
          <w:rtl/>
          <w:lang w:val="en-US"/>
        </w:rPr>
        <w:t>البعد</w:t>
      </w:r>
      <w:r w:rsidR="00A903CE" w:rsidRPr="0062340E">
        <w:rPr>
          <w:rFonts w:ascii="Simplified Arabic" w:hAnsi="Simplified Arabic" w:cs="Simplified Arabic"/>
          <w:b/>
          <w:bCs/>
          <w:color w:val="000000" w:themeColor="text1"/>
          <w:sz w:val="24"/>
          <w:szCs w:val="24"/>
          <w:rtl/>
          <w:lang w:val="en-US"/>
        </w:rPr>
        <w:t xml:space="preserve"> </w:t>
      </w:r>
      <w:r w:rsidR="00A903CE" w:rsidRPr="0062340E">
        <w:rPr>
          <w:rFonts w:ascii="Simplified Arabic" w:hAnsi="Simplified Arabic" w:cs="Simplified Arabic" w:hint="cs"/>
          <w:b/>
          <w:bCs/>
          <w:color w:val="000000" w:themeColor="text1"/>
          <w:sz w:val="24"/>
          <w:szCs w:val="24"/>
          <w:rtl/>
          <w:lang w:val="en-US"/>
        </w:rPr>
        <w:t>الاجتماعي</w:t>
      </w:r>
      <w:bookmarkEnd w:id="234"/>
    </w:p>
    <w:p w:rsidR="00A903CE" w:rsidRPr="0062340E" w:rsidRDefault="00A903CE" w:rsidP="00A903CE">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color w:val="000000" w:themeColor="text1"/>
          <w:sz w:val="24"/>
          <w:szCs w:val="24"/>
          <w:rtl/>
          <w:lang w:bidi="ar-DZ"/>
        </w:rPr>
        <w:t>تشير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المعايير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المجمعة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تحت</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الخصائص</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الاجتماعية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لقياس</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حالة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المجتمع</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حيث</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القدرة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وتنوع</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الموارد</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البشرية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يجب</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مراعاة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المعايير ذات الصلة بالهيكلة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مثل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وجود</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المنظمات</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المدنية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والمعايير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المعرفية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مثل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معايير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المعاملة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بالمثل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والثقة</w:t>
      </w:r>
      <w:r w:rsidRPr="0062340E">
        <w:rPr>
          <w:rFonts w:ascii="Simplified Arabic" w:hAnsi="Simplified Arabic" w:cs="Simplified Arabic"/>
          <w:color w:val="000000" w:themeColor="text1"/>
          <w:sz w:val="24"/>
          <w:szCs w:val="24"/>
          <w:rtl/>
          <w:lang w:bidi="ar-DZ"/>
        </w:rPr>
        <w:t xml:space="preserve"> </w:t>
      </w:r>
      <w:r w:rsidRPr="0062340E">
        <w:rPr>
          <w:rFonts w:asciiTheme="majorBidi" w:hAnsiTheme="majorBidi" w:cstheme="majorBidi"/>
          <w:color w:val="000000" w:themeColor="text1"/>
          <w:sz w:val="24"/>
          <w:szCs w:val="24"/>
          <w:rtl/>
          <w:lang w:bidi="ar-DZ"/>
        </w:rPr>
        <w:t>(</w:t>
      </w:r>
      <w:r w:rsidRPr="0062340E">
        <w:rPr>
          <w:rFonts w:asciiTheme="majorBidi" w:hAnsiTheme="majorBidi" w:cstheme="majorBidi"/>
          <w:color w:val="000000" w:themeColor="text1"/>
          <w:sz w:val="24"/>
          <w:szCs w:val="24"/>
          <w:lang w:bidi="ar-DZ"/>
        </w:rPr>
        <w:t>Sherrieb et al. 2010</w:t>
      </w:r>
      <w:r w:rsidRPr="0062340E">
        <w:rPr>
          <w:rFonts w:asciiTheme="majorBidi" w:hAnsiTheme="majorBidi" w:cstheme="majorBidi"/>
          <w:color w:val="000000" w:themeColor="text1"/>
          <w:sz w:val="24"/>
          <w:szCs w:val="24"/>
          <w:rtl/>
          <w:lang w:bidi="ar-DZ"/>
        </w:rPr>
        <w:t>)</w:t>
      </w:r>
      <w:r w:rsidRPr="0062340E">
        <w:rPr>
          <w:rFonts w:ascii="Simplified Arabic" w:hAnsi="Simplified Arabic" w:cs="Simplified Arabic"/>
          <w:color w:val="000000" w:themeColor="text1"/>
          <w:sz w:val="24"/>
          <w:szCs w:val="24"/>
          <w:rtl/>
          <w:lang w:bidi="ar-DZ"/>
        </w:rPr>
        <w:t>.</w:t>
      </w:r>
      <w:r w:rsidRPr="0062340E">
        <w:rPr>
          <w:rFonts w:ascii="Simplified Arabic" w:hAnsi="Simplified Arabic" w:cs="Simplified Arabic" w:hint="cs"/>
          <w:sz w:val="24"/>
          <w:szCs w:val="24"/>
          <w:rtl/>
          <w:lang w:bidi="ar-DZ"/>
        </w:rPr>
        <w:t xml:space="preserve"> 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تقييم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بالقياس،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ترتبط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تقييم 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بالقدرات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المختلفة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 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للضغوط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الخارجية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مثل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الطبيعي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والتهديد</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 xml:space="preserve"> بشكل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القدرات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القدرات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السباقة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للأفراد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والفئات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للتصرف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بنجاح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موقف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للتغلب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الآثار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السلبية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ونشر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الموارد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اللازمة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للتعافي</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UNISDR, 2005</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w:t>
      </w:r>
    </w:p>
    <w:p w:rsidR="00A903CE" w:rsidRPr="0062340E" w:rsidRDefault="00A903CE" w:rsidP="00A903CE">
      <w:pPr>
        <w:bidi/>
        <w:spacing w:after="0"/>
        <w:ind w:firstLine="282"/>
        <w:jc w:val="both"/>
        <w:rPr>
          <w:rFonts w:asciiTheme="minorBidi" w:hAnsiTheme="minorBidi" w:cs="Arial"/>
          <w:sz w:val="24"/>
          <w:szCs w:val="24"/>
          <w:rtl/>
          <w:lang w:bidi="ar-DZ"/>
        </w:rPr>
      </w:pPr>
      <w:r w:rsidRPr="0062340E">
        <w:rPr>
          <w:rFonts w:ascii="Simplified Arabic" w:hAnsi="Simplified Arabic" w:cs="Simplified Arabic" w:hint="cs"/>
          <w:sz w:val="24"/>
          <w:szCs w:val="24"/>
          <w:rtl/>
          <w:lang w:bidi="ar-DZ"/>
        </w:rPr>
        <w:t>تشير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الدراسات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السابقة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2010</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تربط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السمات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الديموغرافية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للمجتمعات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بالقدرات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المستويات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المنخفضة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الأقليات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كبار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الأشخاص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ذوي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الإعاقة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الأشخاص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الذين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يتحدثون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الإنجليزية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كلغة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ثانية،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المرجح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تُظْهر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أكبر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تتمتع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بهذه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الخصائص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بالمثل،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تُظْهر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المستويات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التحصيل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العلمي،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برامج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المساعدة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برامج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رعاية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الأطفال،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السيارات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والهاتف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مستويات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Mayunga, 2009</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w:t>
      </w:r>
      <w:r w:rsidRPr="0062340E">
        <w:rPr>
          <w:rFonts w:asciiTheme="minorBidi" w:hAnsiTheme="minorBidi" w:cs="Arial"/>
          <w:sz w:val="24"/>
          <w:szCs w:val="24"/>
          <w:rtl/>
          <w:lang w:bidi="ar-DZ"/>
        </w:rPr>
        <w:t xml:space="preserve"> </w:t>
      </w:r>
    </w:p>
    <w:p w:rsidR="00A903CE" w:rsidRPr="0062340E" w:rsidRDefault="00A903CE" w:rsidP="001D59AA">
      <w:pPr>
        <w:bidi/>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قياس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كشكل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أشكال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التعاون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المتغيرات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المنظمات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الدينية،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مشاركة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الناخبين،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الجمعيات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التطوعية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والمنظمات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غير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الربحية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وقراء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الصحف</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Mayunga, 2007</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وضع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مؤشرات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المحلي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 مؤشر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الضعف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Pr>
        <w:t>(Cutter et al., 2003)</w:t>
      </w:r>
      <w:r w:rsidRPr="0062340E">
        <w:rPr>
          <w:rFonts w:ascii="Simplified Arabic" w:hAnsi="Simplified Arabic" w:cs="Simplified Arabic" w:hint="cs"/>
          <w:sz w:val="24"/>
          <w:szCs w:val="24"/>
          <w:rtl/>
          <w:lang w:bidi="ar-DZ"/>
        </w:rPr>
        <w:t xml:space="preserve"> ونماذج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الأخرى</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2010</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Renschler et al.,</w:t>
      </w:r>
      <w:r w:rsidRPr="0062340E">
        <w:rPr>
          <w:rFonts w:asciiTheme="majorBidi" w:hAnsiTheme="majorBidi" w:cstheme="majorBidi"/>
          <w:sz w:val="24"/>
          <w:szCs w:val="24"/>
          <w:rtl/>
          <w:lang w:bidi="ar-DZ"/>
        </w:rPr>
        <w:t> </w:t>
      </w:r>
      <w:r w:rsidRPr="0062340E">
        <w:rPr>
          <w:rFonts w:asciiTheme="majorBidi" w:hAnsiTheme="majorBidi" w:cstheme="majorBidi"/>
          <w:sz w:val="24"/>
          <w:szCs w:val="24"/>
          <w:lang w:bidi="ar-DZ"/>
        </w:rPr>
        <w:t>2010;</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Sherrieb et al.,</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وتشمل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الإنصاف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والتعلق بالمكان،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ورأس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المشاركة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الدينية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المدنية</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الموارد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الاجتماعية،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كفاءة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التواصل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واللغة،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وسائل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صحة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ورفاهه،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وثقافة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الاستعداد</w:t>
      </w:r>
      <w:r w:rsidRPr="0062340E">
        <w:rPr>
          <w:rFonts w:ascii="Simplified Arabic" w:hAnsi="Simplified Arabic" w:cs="Simplified Arabic"/>
          <w:sz w:val="24"/>
          <w:szCs w:val="24"/>
          <w:rtl/>
          <w:lang w:bidi="ar-DZ"/>
        </w:rPr>
        <w:t>.</w:t>
      </w:r>
    </w:p>
    <w:p w:rsidR="00343137" w:rsidRPr="0062340E" w:rsidRDefault="00343137" w:rsidP="001D0548">
      <w:pPr>
        <w:pStyle w:val="Paragraphedeliste"/>
        <w:numPr>
          <w:ilvl w:val="0"/>
          <w:numId w:val="6"/>
        </w:numPr>
        <w:tabs>
          <w:tab w:val="right" w:pos="992"/>
        </w:tabs>
        <w:bidi/>
        <w:spacing w:after="0"/>
        <w:jc w:val="both"/>
        <w:rPr>
          <w:rFonts w:ascii="Simplified Arabic" w:hAnsi="Simplified Arabic" w:cs="Simplified Arabic"/>
          <w:b/>
          <w:bCs/>
          <w:vanish/>
          <w:color w:val="000000" w:themeColor="text1"/>
          <w:sz w:val="24"/>
          <w:szCs w:val="24"/>
          <w:rtl/>
          <w:lang w:val="en-US"/>
        </w:rPr>
      </w:pPr>
    </w:p>
    <w:p w:rsidR="00343137" w:rsidRPr="0062340E" w:rsidRDefault="00343137" w:rsidP="001D0548">
      <w:pPr>
        <w:pStyle w:val="Paragraphedeliste"/>
        <w:numPr>
          <w:ilvl w:val="0"/>
          <w:numId w:val="6"/>
        </w:numPr>
        <w:tabs>
          <w:tab w:val="right" w:pos="992"/>
        </w:tabs>
        <w:bidi/>
        <w:spacing w:after="0"/>
        <w:jc w:val="both"/>
        <w:rPr>
          <w:rFonts w:ascii="Simplified Arabic" w:hAnsi="Simplified Arabic" w:cs="Simplified Arabic"/>
          <w:b/>
          <w:bCs/>
          <w:vanish/>
          <w:color w:val="000000" w:themeColor="text1"/>
          <w:sz w:val="24"/>
          <w:szCs w:val="24"/>
          <w:rtl/>
          <w:lang w:val="en-US"/>
        </w:rPr>
      </w:pPr>
    </w:p>
    <w:p w:rsidR="00343137" w:rsidRPr="0062340E" w:rsidRDefault="00343137" w:rsidP="001D0548">
      <w:pPr>
        <w:pStyle w:val="Paragraphedeliste"/>
        <w:numPr>
          <w:ilvl w:val="1"/>
          <w:numId w:val="6"/>
        </w:numPr>
        <w:tabs>
          <w:tab w:val="right" w:pos="992"/>
        </w:tabs>
        <w:bidi/>
        <w:spacing w:after="0"/>
        <w:jc w:val="both"/>
        <w:rPr>
          <w:rFonts w:ascii="Simplified Arabic" w:hAnsi="Simplified Arabic" w:cs="Simplified Arabic"/>
          <w:b/>
          <w:bCs/>
          <w:vanish/>
          <w:color w:val="000000" w:themeColor="text1"/>
          <w:sz w:val="24"/>
          <w:szCs w:val="24"/>
          <w:rtl/>
          <w:lang w:val="en-US"/>
        </w:rPr>
      </w:pPr>
    </w:p>
    <w:p w:rsidR="00343137" w:rsidRPr="0062340E" w:rsidRDefault="00343137" w:rsidP="001D0548">
      <w:pPr>
        <w:pStyle w:val="Paragraphedeliste"/>
        <w:numPr>
          <w:ilvl w:val="2"/>
          <w:numId w:val="6"/>
        </w:numPr>
        <w:tabs>
          <w:tab w:val="right" w:pos="992"/>
        </w:tabs>
        <w:bidi/>
        <w:spacing w:after="0"/>
        <w:jc w:val="both"/>
        <w:rPr>
          <w:rFonts w:ascii="Simplified Arabic" w:hAnsi="Simplified Arabic" w:cs="Simplified Arabic"/>
          <w:b/>
          <w:bCs/>
          <w:vanish/>
          <w:color w:val="000000" w:themeColor="text1"/>
          <w:sz w:val="24"/>
          <w:szCs w:val="24"/>
          <w:rtl/>
          <w:lang w:val="en-US"/>
        </w:rPr>
      </w:pPr>
    </w:p>
    <w:p w:rsidR="00A903CE" w:rsidRPr="0062340E" w:rsidRDefault="00A903CE" w:rsidP="001D59AA">
      <w:pPr>
        <w:pStyle w:val="Paragraphedeliste"/>
        <w:numPr>
          <w:ilvl w:val="3"/>
          <w:numId w:val="6"/>
        </w:numPr>
        <w:tabs>
          <w:tab w:val="right" w:pos="1134"/>
        </w:tabs>
        <w:bidi/>
        <w:spacing w:before="240" w:after="0"/>
        <w:ind w:left="0" w:firstLine="0"/>
        <w:jc w:val="both"/>
        <w:outlineLvl w:val="2"/>
        <w:rPr>
          <w:rFonts w:ascii="Simplified Arabic" w:hAnsi="Simplified Arabic" w:cs="Simplified Arabic"/>
          <w:b/>
          <w:bCs/>
          <w:color w:val="000000" w:themeColor="text1"/>
          <w:sz w:val="24"/>
          <w:szCs w:val="24"/>
          <w:lang w:bidi="ar-DZ"/>
        </w:rPr>
      </w:pPr>
      <w:bookmarkStart w:id="235" w:name="_Toc171803399"/>
      <w:r w:rsidRPr="0062340E">
        <w:rPr>
          <w:rFonts w:ascii="Simplified Arabic" w:hAnsi="Simplified Arabic" w:cs="Simplified Arabic" w:hint="cs"/>
          <w:b/>
          <w:bCs/>
          <w:color w:val="000000" w:themeColor="text1"/>
          <w:sz w:val="24"/>
          <w:szCs w:val="24"/>
          <w:rtl/>
          <w:lang w:val="en-US"/>
        </w:rPr>
        <w:t>البعد</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bidi="ar-DZ"/>
        </w:rPr>
        <w:t>البيئي</w:t>
      </w:r>
      <w:bookmarkEnd w:id="235"/>
    </w:p>
    <w:p w:rsidR="00A903CE" w:rsidRPr="0062340E" w:rsidRDefault="00A903CE" w:rsidP="000F5EC4">
      <w:pPr>
        <w:bidi/>
        <w:spacing w:after="0"/>
        <w:ind w:firstLine="282"/>
        <w:jc w:val="both"/>
        <w:rPr>
          <w:rFonts w:ascii="Simplified Arabic" w:hAnsi="Simplified Arabic" w:cs="Simplified Arabic"/>
          <w:sz w:val="24"/>
          <w:szCs w:val="24"/>
          <w:lang w:bidi="ar-DZ"/>
        </w:rPr>
      </w:pPr>
      <w:r w:rsidRPr="0062340E">
        <w:rPr>
          <w:rFonts w:ascii="Simplified Arabic" w:hAnsi="Simplified Arabic" w:cs="Simplified Arabic" w:hint="cs"/>
          <w:sz w:val="24"/>
          <w:szCs w:val="24"/>
          <w:rtl/>
          <w:lang w:bidi="ar-DZ"/>
        </w:rPr>
        <w:t>تشمل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المكونات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مقاييس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المخاطر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والتعرض،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ووجود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موارد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وقائية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تحمي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التهديدات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وكذلك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تواتر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الأحداث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الخطرة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Holling, 2001</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  يركز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تحديد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العوامل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تسمح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للأنظمة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الطبيعية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بامتصاص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الاضطرابات</w:t>
      </w:r>
      <w:r w:rsidRPr="0062340E">
        <w:rPr>
          <w:rFonts w:ascii="Simplified Arabic" w:hAnsi="Simplified Arabic" w:cs="Simplified Arabic"/>
          <w:sz w:val="24"/>
          <w:szCs w:val="24"/>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Manyena, 2006</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السياق،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يُنظر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عملية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وليست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نتيجة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Manyena, 2006</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يعني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يُنظر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إليها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خصائص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وإجراءات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بشرية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تزيد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الضغط</w:t>
      </w:r>
      <w:r w:rsidRPr="0062340E">
        <w:rPr>
          <w:rFonts w:ascii="Simplified Arabic" w:hAnsi="Simplified Arabic" w:cs="Simplified Arabic"/>
          <w:sz w:val="24"/>
          <w:szCs w:val="24"/>
          <w:rtl/>
          <w:lang w:bidi="ar-DZ"/>
        </w:rPr>
        <w:t xml:space="preserve">. </w:t>
      </w:r>
    </w:p>
    <w:p w:rsidR="00A903CE" w:rsidRPr="0062340E" w:rsidRDefault="00A903CE" w:rsidP="00A903CE">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lastRenderedPageBreak/>
        <w:t>تشمل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أكثر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مؤشرات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المشار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إليها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مقدار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مساحة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الأرض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غير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المطورة،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ووجود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مصدات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الرياح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والزراعة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البيئية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2008</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Cutter et al.,</w:t>
      </w:r>
      <w:r w:rsidRPr="0062340E">
        <w:rPr>
          <w:rFonts w:asciiTheme="majorBidi" w:hAnsiTheme="majorBidi" w:cstheme="majorBidi" w:hint="cs"/>
          <w:sz w:val="24"/>
          <w:szCs w:val="24"/>
          <w:rtl/>
          <w:lang w:bidi="ar-DZ"/>
        </w:rPr>
        <w:t> </w:t>
      </w:r>
      <w:r w:rsidRPr="0062340E">
        <w:rPr>
          <w:rFonts w:asciiTheme="majorBidi" w:hAnsiTheme="majorBidi" w:cstheme="majorBidi"/>
          <w:sz w:val="24"/>
          <w:szCs w:val="24"/>
          <w:lang w:bidi="ar-DZ"/>
        </w:rPr>
        <w:t>;</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Mayunga, 2007</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الاستدامة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أيضًا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أمرًا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حيويًا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لتعزيز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الصمود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مواجهة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الكوارث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نظرًا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الأنشطة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البشرية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تقلل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وسلامة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أساس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يومي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يجعل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الحاليين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والمستقبليين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أكثر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عرضة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للأحداث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الخطرة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2010</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Cutter et al.,</w:t>
      </w:r>
      <w:r w:rsidRPr="0062340E">
        <w:rPr>
          <w:rFonts w:asciiTheme="majorBidi" w:hAnsiTheme="majorBidi" w:cstheme="majorBidi"/>
          <w:sz w:val="24"/>
          <w:szCs w:val="24"/>
          <w:rtl/>
          <w:lang w:bidi="ar-DZ"/>
        </w:rPr>
        <w:t> </w:t>
      </w:r>
      <w:r w:rsidRPr="0062340E">
        <w:rPr>
          <w:rFonts w:asciiTheme="majorBidi" w:hAnsiTheme="majorBidi" w:cstheme="majorBidi"/>
          <w:sz w:val="24"/>
          <w:szCs w:val="24"/>
          <w:lang w:bidi="ar-DZ"/>
        </w:rPr>
        <w:t>Renschler et al., 2010 ;</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w:t>
      </w:r>
    </w:p>
    <w:p w:rsidR="00A903CE" w:rsidRPr="0062340E" w:rsidRDefault="00A903CE" w:rsidP="001D59AA">
      <w:pPr>
        <w:pStyle w:val="Paragraphedeliste"/>
        <w:numPr>
          <w:ilvl w:val="3"/>
          <w:numId w:val="116"/>
        </w:numPr>
        <w:tabs>
          <w:tab w:val="right" w:pos="1134"/>
        </w:tabs>
        <w:bidi/>
        <w:spacing w:before="240" w:after="0"/>
        <w:ind w:left="0" w:firstLine="0"/>
        <w:jc w:val="both"/>
        <w:outlineLvl w:val="2"/>
        <w:rPr>
          <w:rFonts w:ascii="Simplified Arabic" w:hAnsi="Simplified Arabic" w:cs="Simplified Arabic"/>
          <w:b/>
          <w:bCs/>
          <w:color w:val="000000" w:themeColor="text1"/>
          <w:sz w:val="24"/>
          <w:szCs w:val="24"/>
          <w:lang w:bidi="ar-DZ"/>
        </w:rPr>
      </w:pPr>
      <w:bookmarkStart w:id="236" w:name="_Toc171803400"/>
      <w:r w:rsidRPr="0062340E">
        <w:rPr>
          <w:rFonts w:ascii="Simplified Arabic" w:hAnsi="Simplified Arabic" w:cs="Simplified Arabic" w:hint="cs"/>
          <w:b/>
          <w:bCs/>
          <w:color w:val="000000" w:themeColor="text1"/>
          <w:sz w:val="24"/>
          <w:szCs w:val="24"/>
          <w:rtl/>
          <w:lang w:val="en-US"/>
        </w:rPr>
        <w:t>البعد</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b/>
          <w:bCs/>
          <w:color w:val="000000" w:themeColor="text1"/>
          <w:sz w:val="24"/>
          <w:szCs w:val="24"/>
          <w:rtl/>
          <w:lang w:bidi="ar-DZ"/>
        </w:rPr>
        <w:t>المؤسسي</w:t>
      </w:r>
      <w:bookmarkEnd w:id="236"/>
    </w:p>
    <w:p w:rsidR="00A903CE" w:rsidRPr="0062340E" w:rsidRDefault="00A903CE" w:rsidP="00A903CE">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البعد</w:t>
      </w:r>
      <w:r w:rsidRPr="0062340E">
        <w:rPr>
          <w:rFonts w:ascii="Simplified Arabic" w:hAnsi="Simplified Arabic" w:cs="Simplified Arabic"/>
          <w:sz w:val="24"/>
          <w:szCs w:val="24"/>
          <w:rtl/>
          <w:lang w:bidi="ar-DZ"/>
        </w:rPr>
        <w:t xml:space="preserve"> المؤسسي هي قدرة المجتمعات على التنبؤ بالأحداث غير المتوقعة، ولديها خطة للسيطرة عليها أو التخفيف من حدتها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Gunderson, 2009</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يغطي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المؤسسية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الأنشطة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والخطط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تسهم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التخفيف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المخاطر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التأهب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للكوارث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لها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Pelling, 2003; Gunderson, 2009</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التخطيط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 ووسائل التخفيف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الأدوات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القوية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لتوقع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المجهول ولتقليل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الخسائر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ولتسهيل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التعافي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سبيل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المثال،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برامج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التخطيط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والتخفيف،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تقلل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الخسائر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المحتملة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توجيه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التنمية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المناطق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خطورة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طريق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تعديل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تصميم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المبنى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لتقليل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الخسائر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المحتملة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Burby et al., 2000</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كما يمكن للسكان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الذين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تشملهم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حديثة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للتخفيف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المخاطر،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الاستفادة 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سياسات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التأمين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الوطنية ضد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الفيضانات</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2003</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لا يقتصر التخطيط على ذلك فقط، يمكن ان يكون التوزيع المكاني ل</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lang w:bidi="ar-DZ"/>
        </w:rPr>
        <w:t xml:space="preserve"> الارض ان يدعم قدرات الاستجابة للمؤسسات المكلفة بالإجلاء و التكفل الطبي و الايواء. </w:t>
      </w:r>
    </w:p>
    <w:p w:rsidR="00A903CE" w:rsidRPr="0062340E" w:rsidRDefault="00A903CE" w:rsidP="001D59AA">
      <w:pPr>
        <w:pStyle w:val="Paragraphedeliste"/>
        <w:numPr>
          <w:ilvl w:val="3"/>
          <w:numId w:val="117"/>
        </w:numPr>
        <w:tabs>
          <w:tab w:val="right" w:pos="1134"/>
        </w:tabs>
        <w:bidi/>
        <w:spacing w:before="240" w:after="0"/>
        <w:ind w:left="0" w:firstLine="0"/>
        <w:jc w:val="both"/>
        <w:outlineLvl w:val="2"/>
        <w:rPr>
          <w:rFonts w:ascii="Simplified Arabic" w:hAnsi="Simplified Arabic" w:cs="Simplified Arabic"/>
          <w:b/>
          <w:bCs/>
          <w:color w:val="000000" w:themeColor="text1"/>
          <w:sz w:val="24"/>
          <w:szCs w:val="24"/>
          <w:lang w:bidi="ar-DZ"/>
        </w:rPr>
      </w:pPr>
      <w:bookmarkStart w:id="237" w:name="_Toc171803401"/>
      <w:r w:rsidRPr="0062340E">
        <w:rPr>
          <w:rFonts w:ascii="Simplified Arabic" w:hAnsi="Simplified Arabic" w:cs="Simplified Arabic" w:hint="cs"/>
          <w:b/>
          <w:bCs/>
          <w:color w:val="000000" w:themeColor="text1"/>
          <w:sz w:val="24"/>
          <w:szCs w:val="24"/>
          <w:rtl/>
          <w:lang w:val="en-US"/>
        </w:rPr>
        <w:t>البعد</w:t>
      </w:r>
      <w:r w:rsidRPr="0062340E">
        <w:rPr>
          <w:rFonts w:ascii="Simplified Arabic" w:hAnsi="Simplified Arabic" w:cs="Simplified Arabic"/>
          <w:b/>
          <w:bCs/>
          <w:color w:val="000000" w:themeColor="text1"/>
          <w:sz w:val="24"/>
          <w:szCs w:val="24"/>
          <w:rtl/>
          <w:lang w:val="en-US"/>
        </w:rPr>
        <w:t xml:space="preserve"> </w:t>
      </w:r>
      <w:r w:rsidRPr="0062340E">
        <w:rPr>
          <w:rFonts w:ascii="Simplified Arabic" w:hAnsi="Simplified Arabic" w:cs="Simplified Arabic" w:hint="cs"/>
          <w:b/>
          <w:bCs/>
          <w:color w:val="000000" w:themeColor="text1"/>
          <w:sz w:val="24"/>
          <w:szCs w:val="24"/>
          <w:rtl/>
          <w:lang w:bidi="ar-DZ"/>
        </w:rPr>
        <w:t>الفيزيائي</w:t>
      </w:r>
      <w:bookmarkEnd w:id="237"/>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 xml:space="preserve">افضت </w:t>
      </w:r>
      <w:r w:rsidR="00C71ECA" w:rsidRPr="0062340E">
        <w:rPr>
          <w:rFonts w:ascii="Simplified Arabic" w:hAnsi="Simplified Arabic" w:cs="Simplified Arabic" w:hint="cs"/>
          <w:sz w:val="24"/>
          <w:szCs w:val="24"/>
          <w:rtl/>
          <w:lang w:bidi="ar-DZ"/>
        </w:rPr>
        <w:t>مطالعة الابحاث</w:t>
      </w:r>
      <w:r w:rsidRPr="0062340E">
        <w:rPr>
          <w:rFonts w:ascii="Simplified Arabic" w:hAnsi="Simplified Arabic" w:cs="Simplified Arabic" w:hint="cs"/>
          <w:sz w:val="24"/>
          <w:szCs w:val="24"/>
          <w:rtl/>
          <w:lang w:bidi="ar-DZ"/>
        </w:rPr>
        <w:t xml:space="preserve"> السابقة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الى انه </w:t>
      </w:r>
      <w:r w:rsidRPr="0062340E">
        <w:rPr>
          <w:rFonts w:ascii="Simplified Arabic" w:hAnsi="Simplified Arabic" w:cs="Simplified Arabic"/>
          <w:sz w:val="24"/>
          <w:szCs w:val="24"/>
          <w:rtl/>
          <w:lang w:bidi="ar-DZ"/>
        </w:rPr>
        <w:t xml:space="preserve">من بين المكونات الخمسة الرئيسية للمرونة الأقل </w:t>
      </w:r>
      <w:r w:rsidRPr="0062340E">
        <w:rPr>
          <w:rFonts w:ascii="Simplified Arabic" w:hAnsi="Simplified Arabic" w:cs="Simplified Arabic" w:hint="cs"/>
          <w:sz w:val="24"/>
          <w:szCs w:val="24"/>
          <w:rtl/>
          <w:lang w:bidi="ar-DZ"/>
        </w:rPr>
        <w:t>بحثًا</w:t>
      </w:r>
      <w:r w:rsidRPr="0062340E">
        <w:rPr>
          <w:rFonts w:ascii="Simplified Arabic" w:hAnsi="Simplified Arabic" w:cs="Simplified Arabic"/>
          <w:sz w:val="24"/>
          <w:szCs w:val="24"/>
          <w:rtl/>
          <w:lang w:bidi="ar-DZ"/>
        </w:rPr>
        <w:t xml:space="preserve"> ربما يكون البعد الفيزيائي. استنادًا إلى التعريف المشترك للمرونة، يمكن تعريف المرونة الفيزيائية على </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أنها قدرة البيئة </w:t>
      </w:r>
      <w:r w:rsidR="008E533E" w:rsidRPr="0062340E">
        <w:rPr>
          <w:rFonts w:ascii="Simplified Arabic" w:hAnsi="Simplified Arabic" w:cs="Simplified Arabic" w:hint="cs"/>
          <w:sz w:val="24"/>
          <w:szCs w:val="24"/>
          <w:rtl/>
          <w:lang w:val="en-US"/>
        </w:rPr>
        <w:t>الحضرية</w:t>
      </w:r>
      <w:r w:rsidR="008E533E" w:rsidRPr="0062340E">
        <w:rPr>
          <w:rFonts w:ascii="Simplified Arabic" w:hAnsi="Simplified Arabic" w:cs="Simplified Arabic"/>
          <w:sz w:val="24"/>
          <w:szCs w:val="24"/>
          <w:rtl/>
          <w:lang w:bidi="ar-DZ"/>
        </w:rPr>
        <w:t xml:space="preserve"> </w:t>
      </w:r>
      <w:r w:rsidRPr="0062340E">
        <w:rPr>
          <w:rFonts w:ascii="Simplified Arabic" w:hAnsi="Simplified Arabic" w:cs="Simplified Arabic"/>
          <w:sz w:val="24"/>
          <w:szCs w:val="24"/>
          <w:rtl/>
          <w:lang w:bidi="ar-DZ"/>
        </w:rPr>
        <w:t xml:space="preserve">على استيعاب الآثار السلبية للصدمة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المجتمع، والحفاظ على هي</w:t>
      </w:r>
      <w:r w:rsidRPr="0062340E">
        <w:rPr>
          <w:rFonts w:ascii="Simplified Arabic" w:hAnsi="Simplified Arabic" w:cs="Simplified Arabic" w:hint="cs"/>
          <w:sz w:val="24"/>
          <w:szCs w:val="24"/>
          <w:rtl/>
          <w:lang w:bidi="ar-DZ"/>
        </w:rPr>
        <w:t>ا</w:t>
      </w:r>
      <w:r w:rsidRPr="0062340E">
        <w:rPr>
          <w:rFonts w:ascii="Simplified Arabic" w:hAnsi="Simplified Arabic" w:cs="Simplified Arabic"/>
          <w:sz w:val="24"/>
          <w:szCs w:val="24"/>
          <w:rtl/>
          <w:lang w:bidi="ar-DZ"/>
        </w:rPr>
        <w:t>كلها ووظائفها المهمة واستعادة المواقع المتأثرة بسرعة من أجل مساعدة أن يعود المجتمع إلى مستوى وظيفته السابق</w:t>
      </w:r>
      <w:r w:rsidRPr="0062340E">
        <w:rPr>
          <w:rFonts w:ascii="Simplified Arabic" w:hAnsi="Simplified Arabic" w:cs="Simplified Arabic" w:hint="cs"/>
          <w:sz w:val="24"/>
          <w:szCs w:val="24"/>
          <w:rtl/>
          <w:lang w:bidi="ar-DZ"/>
        </w:rPr>
        <w:t>''</w:t>
      </w:r>
      <w:r w:rsidRPr="0062340E">
        <w:rPr>
          <w:rFonts w:asciiTheme="minorBidi" w:hAnsiTheme="minorBidi" w:cs="Arial"/>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Mayunga, 2007</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هناك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نقاش</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محدود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00C71ECA" w:rsidRPr="0062340E">
        <w:rPr>
          <w:rFonts w:ascii="Simplified Arabic" w:hAnsi="Simplified Arabic" w:cs="Simplified Arabic" w:hint="cs"/>
          <w:sz w:val="24"/>
          <w:szCs w:val="24"/>
          <w:rtl/>
          <w:lang w:bidi="ar-DZ"/>
        </w:rPr>
        <w:t>الابحاث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كيفية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قياس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نموذج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شامل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حتى انها لم تتعرض الى موضوع </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lang w:bidi="ar-DZ"/>
        </w:rPr>
        <w:t xml:space="preserve">ات الارض الحضرية والى ما تؤول اليه قدرات الاستجابة لعناصر </w:t>
      </w:r>
      <w:r w:rsidR="00C12AE8" w:rsidRPr="0062340E">
        <w:rPr>
          <w:rFonts w:ascii="Simplified Arabic" w:hAnsi="Simplified Arabic" w:cs="Simplified Arabic" w:hint="cs"/>
          <w:sz w:val="24"/>
          <w:szCs w:val="24"/>
          <w:rtl/>
          <w:lang w:bidi="ar-DZ"/>
        </w:rPr>
        <w:t>ا</w:t>
      </w:r>
      <w:r w:rsidRPr="0062340E">
        <w:rPr>
          <w:rFonts w:ascii="Simplified Arabic" w:hAnsi="Simplified Arabic" w:cs="Simplified Arabic" w:hint="cs"/>
          <w:sz w:val="24"/>
          <w:szCs w:val="24"/>
          <w:rtl/>
          <w:lang w:bidi="ar-DZ"/>
        </w:rPr>
        <w:t xml:space="preserve">لأنظمة الحضرية. </w:t>
      </w:r>
    </w:p>
    <w:p w:rsidR="00A903CE" w:rsidRPr="0062340E" w:rsidRDefault="00A903CE" w:rsidP="008E533E">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سبيل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المثال،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إطار</w:t>
      </w:r>
      <w:r w:rsidRPr="0062340E">
        <w:rPr>
          <w:rFonts w:ascii="Simplified Arabic" w:hAnsi="Simplified Arabic" w:cs="Simplified Arabic"/>
          <w:sz w:val="24"/>
          <w:szCs w:val="24"/>
          <w:rtl/>
          <w:lang w:bidi="ar-DZ"/>
        </w:rPr>
        <w:t xml:space="preserve"> عمل مرونة المجتمع </w:t>
      </w:r>
      <w:r w:rsidRPr="0062340E">
        <w:rPr>
          <w:rFonts w:ascii="Simplified Arabic" w:hAnsi="Simplified Arabic" w:cs="Simplified Arabic" w:hint="cs"/>
          <w:sz w:val="24"/>
          <w:szCs w:val="24"/>
          <w:rtl/>
          <w:lang w:bidi="ar-DZ"/>
        </w:rPr>
        <w:t>ل</w:t>
      </w:r>
      <w:r w:rsidRPr="0062340E">
        <w:rPr>
          <w:rFonts w:ascii="Simplified Arabic" w:hAnsi="Simplified Arabic" w:cs="Simplified Arabic"/>
          <w:sz w:val="24"/>
          <w:szCs w:val="24"/>
          <w:rtl/>
          <w:lang w:bidi="ar-DZ"/>
        </w:rPr>
        <w:t xml:space="preserve">مواجهة الكوارث </w:t>
      </w:r>
      <w:r w:rsidRPr="0062340E">
        <w:rPr>
          <w:rFonts w:asciiTheme="majorBidi" w:hAnsiTheme="majorBidi" w:cstheme="majorBidi"/>
          <w:color w:val="000000" w:themeColor="text1"/>
          <w:sz w:val="24"/>
          <w:szCs w:val="24"/>
          <w:rtl/>
          <w:lang w:bidi="ar-DZ"/>
        </w:rPr>
        <w:t>(</w:t>
      </w:r>
      <w:r w:rsidRPr="0062340E">
        <w:rPr>
          <w:rFonts w:asciiTheme="majorBidi" w:hAnsiTheme="majorBidi" w:cstheme="majorBidi"/>
          <w:color w:val="000000" w:themeColor="text1"/>
          <w:sz w:val="24"/>
          <w:szCs w:val="24"/>
          <w:lang w:bidi="ar-DZ"/>
        </w:rPr>
        <w:t>CDRF</w:t>
      </w:r>
      <w:r w:rsidRPr="0062340E">
        <w:rPr>
          <w:rFonts w:asciiTheme="majorBidi" w:hAnsiTheme="majorBidi" w:cstheme="majorBidi"/>
          <w:color w:val="000000" w:themeColor="text1"/>
          <w:sz w:val="24"/>
          <w:szCs w:val="24"/>
          <w:rtl/>
          <w:lang w:bidi="ar-DZ"/>
        </w:rPr>
        <w:t>)</w:t>
      </w:r>
      <w:r w:rsidRPr="0062340E">
        <w:rPr>
          <w:rFonts w:ascii="Simplified Arabic" w:hAnsi="Simplified Arabic" w:cs="Simplified Arabic" w:hint="cs"/>
          <w:sz w:val="24"/>
          <w:szCs w:val="24"/>
          <w:rtl/>
          <w:lang w:bidi="ar-DZ"/>
        </w:rPr>
        <w:t>، الذي هو امتداد ل</w:t>
      </w:r>
      <w:r w:rsidRPr="0062340E">
        <w:rPr>
          <w:rFonts w:ascii="Simplified Arabic" w:hAnsi="Simplified Arabic" w:cs="Simplified Arabic"/>
          <w:sz w:val="24"/>
          <w:szCs w:val="24"/>
          <w:rtl/>
          <w:lang w:bidi="ar-DZ"/>
        </w:rPr>
        <w:t>مؤشر مرونة مواجهة الكوارث المناخية</w:t>
      </w:r>
      <w:r w:rsidRPr="0062340E">
        <w:rPr>
          <w:rFonts w:ascii="Simplified Arabic" w:hAnsi="Simplified Arabic" w:cs="Simplified Arabic" w:hint="cs"/>
          <w:sz w:val="24"/>
          <w:szCs w:val="24"/>
          <w:rtl/>
          <w:lang w:bidi="ar-DZ"/>
        </w:rPr>
        <w:t xml:space="preserve"> الذي انشأه</w:t>
      </w:r>
      <w:r w:rsidRPr="0062340E">
        <w:rPr>
          <w:rFonts w:asciiTheme="majorBidi" w:hAnsiTheme="majorBidi" w:cstheme="majorBidi" w:hint="cs"/>
          <w:color w:val="000000" w:themeColor="text1"/>
          <w:sz w:val="24"/>
          <w:szCs w:val="24"/>
          <w:rtl/>
          <w:lang w:bidi="ar-DZ"/>
        </w:rPr>
        <w:t xml:space="preserve"> </w:t>
      </w:r>
      <w:r w:rsidRPr="0062340E">
        <w:rPr>
          <w:rFonts w:asciiTheme="majorBidi" w:hAnsiTheme="majorBidi" w:cstheme="majorBidi"/>
          <w:color w:val="000000" w:themeColor="text1"/>
          <w:sz w:val="24"/>
          <w:szCs w:val="24"/>
        </w:rPr>
        <w:t>(Mayunga, 2007)</w:t>
      </w:r>
      <w:r w:rsidRPr="0062340E">
        <w:rPr>
          <w:rFonts w:ascii="Simplified Arabic" w:hAnsi="Simplified Arabic" w:cs="Simplified Arabic" w:hint="cs"/>
          <w:color w:val="000000" w:themeColor="text1"/>
          <w:sz w:val="24"/>
          <w:szCs w:val="24"/>
          <w:rtl/>
        </w:rPr>
        <w:t>،</w:t>
      </w:r>
      <w:r w:rsidRPr="0062340E">
        <w:rPr>
          <w:rFonts w:ascii="Simplified Arabic" w:hAnsi="Simplified Arabic" w:cs="Simplified Arabic"/>
          <w:color w:val="000000" w:themeColor="text1"/>
          <w:sz w:val="24"/>
          <w:szCs w:val="24"/>
          <w:rtl/>
        </w:rPr>
        <w:t xml:space="preserve"> </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الموضح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 الفصل 2</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تقتصر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الفيزيائية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دمج رأس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المادي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داخل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نموذج</w:t>
      </w:r>
      <w:r w:rsidRPr="0062340E">
        <w:rPr>
          <w:rFonts w:ascii="Simplified Arabic" w:hAnsi="Simplified Arabic" w:cs="Simplified Arabic"/>
          <w:sz w:val="24"/>
          <w:szCs w:val="24"/>
          <w:rtl/>
          <w:lang w:bidi="ar-DZ"/>
        </w:rPr>
        <w:t xml:space="preserve"> مرونة البنية التحتية الشبكية</w:t>
      </w:r>
      <w:r w:rsidRPr="0062340E">
        <w:rPr>
          <w:rFonts w:asciiTheme="majorBidi" w:hAnsiTheme="majorBidi" w:cstheme="majorBidi"/>
          <w:color w:val="000000" w:themeColor="text1"/>
          <w:sz w:val="24"/>
          <w:szCs w:val="24"/>
          <w:rtl/>
          <w:lang w:bidi="ar-DZ"/>
        </w:rPr>
        <w:t xml:space="preserve"> (</w:t>
      </w:r>
      <w:r w:rsidRPr="0062340E">
        <w:rPr>
          <w:rFonts w:asciiTheme="majorBidi" w:hAnsiTheme="majorBidi" w:cstheme="majorBidi"/>
          <w:color w:val="000000" w:themeColor="text1"/>
          <w:sz w:val="24"/>
          <w:szCs w:val="24"/>
          <w:lang w:bidi="ar-DZ"/>
        </w:rPr>
        <w:t>NIRA</w:t>
      </w:r>
      <w:r w:rsidRPr="0062340E">
        <w:rPr>
          <w:rFonts w:asciiTheme="majorBidi" w:hAnsiTheme="majorBidi" w:cstheme="majorBidi"/>
          <w:color w:val="000000" w:themeColor="text1"/>
          <w:sz w:val="24"/>
          <w:szCs w:val="24"/>
          <w:rtl/>
          <w:lang w:bidi="ar-DZ"/>
        </w:rPr>
        <w:t>)</w:t>
      </w:r>
      <w:r w:rsidRPr="0062340E">
        <w:rPr>
          <w:rFonts w:ascii="Simplified Arabic" w:hAnsi="Simplified Arabic" w:cs="Simplified Arabic" w:hint="cs"/>
          <w:color w:val="000000" w:themeColor="text1"/>
          <w:sz w:val="24"/>
          <w:szCs w:val="24"/>
          <w:rtl/>
          <w:lang w:bidi="ar-DZ"/>
        </w:rPr>
        <w:t xml:space="preserve"> المقترح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قبل</w:t>
      </w:r>
      <w:r w:rsidRPr="0062340E">
        <w:rPr>
          <w:rFonts w:asciiTheme="minorBidi" w:hAnsiTheme="minorBidi" w:cs="Arial"/>
          <w:color w:val="000000" w:themeColor="text1"/>
          <w:sz w:val="24"/>
          <w:szCs w:val="24"/>
          <w:rtl/>
          <w:lang w:bidi="ar-DZ"/>
        </w:rPr>
        <w:t xml:space="preserve"> </w:t>
      </w:r>
      <w:r w:rsidRPr="0062340E">
        <w:rPr>
          <w:rFonts w:asciiTheme="majorBidi" w:hAnsiTheme="majorBidi" w:cstheme="majorBidi" w:hint="cs"/>
          <w:color w:val="000000" w:themeColor="text1"/>
          <w:sz w:val="24"/>
          <w:szCs w:val="24"/>
          <w:rtl/>
        </w:rPr>
        <w:t>(</w:t>
      </w:r>
      <w:r w:rsidRPr="0062340E">
        <w:rPr>
          <w:rFonts w:asciiTheme="majorBidi" w:hAnsiTheme="majorBidi" w:cstheme="majorBidi"/>
          <w:color w:val="000000" w:themeColor="text1"/>
          <w:sz w:val="24"/>
          <w:szCs w:val="24"/>
        </w:rPr>
        <w:t>Mayada, 2011</w:t>
      </w:r>
      <w:r w:rsidRPr="0062340E">
        <w:rPr>
          <w:rFonts w:asciiTheme="majorBidi" w:hAnsiTheme="majorBidi" w:cstheme="majorBidi" w:hint="cs"/>
          <w:color w:val="000000" w:themeColor="text1"/>
          <w:sz w:val="24"/>
          <w:szCs w:val="24"/>
          <w:rtl/>
        </w:rPr>
        <w:t>)</w:t>
      </w:r>
      <w:r w:rsidRPr="0062340E">
        <w:rPr>
          <w:rFonts w:asciiTheme="minorBidi" w:hAnsiTheme="minorBidi" w:cs="Arial"/>
          <w:sz w:val="24"/>
          <w:szCs w:val="24"/>
          <w:rtl/>
          <w:lang w:bidi="ar-DZ"/>
        </w:rPr>
        <w:t xml:space="preserve"> </w:t>
      </w:r>
      <w:r w:rsidRPr="0062340E">
        <w:rPr>
          <w:rFonts w:ascii="Simplified Arabic" w:hAnsi="Simplified Arabic" w:cs="Simplified Arabic" w:hint="cs"/>
          <w:sz w:val="24"/>
          <w:szCs w:val="24"/>
          <w:rtl/>
          <w:lang w:bidi="ar-DZ"/>
        </w:rPr>
        <w:t>ينصب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التركيز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فقط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شبكات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الأنظمة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الفيزيائية،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السياق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الفيزيائي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للبيئة </w:t>
      </w:r>
      <w:r w:rsidR="008E533E" w:rsidRPr="0062340E">
        <w:rPr>
          <w:rFonts w:ascii="Simplified Arabic" w:hAnsi="Simplified Arabic" w:cs="Simplified Arabic" w:hint="cs"/>
          <w:sz w:val="24"/>
          <w:szCs w:val="24"/>
          <w:rtl/>
          <w:lang w:val="en-US"/>
        </w:rPr>
        <w:t>الحضرية</w:t>
      </w:r>
      <w:r w:rsidR="008E533E"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النموذج</w:t>
      </w:r>
      <w:r w:rsidRPr="0062340E">
        <w:rPr>
          <w:rFonts w:ascii="Simplified Arabic" w:hAnsi="Simplified Arabic" w:cs="Simplified Arabic"/>
          <w:sz w:val="24"/>
          <w:szCs w:val="24"/>
          <w:rtl/>
          <w:lang w:bidi="ar-DZ"/>
        </w:rPr>
        <w:t xml:space="preserve">. </w:t>
      </w:r>
    </w:p>
    <w:p w:rsidR="00B352F3"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 xml:space="preserve">طورت </w:t>
      </w:r>
      <w:r w:rsidRPr="0062340E">
        <w:rPr>
          <w:rFonts w:asciiTheme="majorBidi" w:hAnsiTheme="majorBidi" w:cstheme="majorBidi" w:hint="cs"/>
          <w:color w:val="000000" w:themeColor="text1"/>
          <w:sz w:val="24"/>
          <w:szCs w:val="24"/>
          <w:rtl/>
        </w:rPr>
        <w:t>(</w:t>
      </w:r>
      <w:r w:rsidRPr="0062340E">
        <w:rPr>
          <w:rFonts w:asciiTheme="majorBidi" w:hAnsiTheme="majorBidi" w:cstheme="majorBidi"/>
          <w:color w:val="000000" w:themeColor="text1"/>
          <w:sz w:val="24"/>
          <w:szCs w:val="24"/>
        </w:rPr>
        <w:t>Mayada, 2011</w:t>
      </w:r>
      <w:r w:rsidRPr="0062340E">
        <w:rPr>
          <w:rFonts w:asciiTheme="majorBidi" w:hAnsiTheme="majorBidi" w:cstheme="majorBidi" w:hint="cs"/>
          <w:color w:val="000000" w:themeColor="text1"/>
          <w:sz w:val="24"/>
          <w:szCs w:val="24"/>
          <w:rtl/>
        </w:rPr>
        <w:t>)</w:t>
      </w:r>
      <w:r w:rsidRPr="0062340E">
        <w:rPr>
          <w:rFonts w:ascii="Simplified Arabic" w:hAnsi="Simplified Arabic" w:cs="Simplified Arabic"/>
          <w:sz w:val="24"/>
          <w:szCs w:val="24"/>
          <w:rtl/>
          <w:lang w:bidi="ar-DZ"/>
        </w:rPr>
        <w:t xml:space="preserve">، على سبيل المثال، نموذج تقييم مرونة البنية التحتية الشبكية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NIRA</w:t>
      </w:r>
      <w:r w:rsidRPr="0062340E">
        <w:rPr>
          <w:rFonts w:asciiTheme="majorBidi" w:hAnsiTheme="majorBidi" w:cstheme="majorBidi"/>
          <w:sz w:val="24"/>
          <w:szCs w:val="24"/>
          <w:rtl/>
          <w:lang w:bidi="ar-DZ"/>
        </w:rPr>
        <w:t>)</w:t>
      </w:r>
      <w:r w:rsidRPr="0062340E">
        <w:rPr>
          <w:rFonts w:asciiTheme="majorBidi" w:hAnsiTheme="majorBidi" w:cstheme="majorBidi" w:hint="cs"/>
          <w:sz w:val="24"/>
          <w:szCs w:val="24"/>
          <w:rtl/>
          <w:lang w:bidi="ar-DZ"/>
        </w:rPr>
        <w:t xml:space="preserve"> </w:t>
      </w:r>
      <w:r w:rsidRPr="0062340E">
        <w:rPr>
          <w:rFonts w:ascii="Simplified Arabic" w:hAnsi="Simplified Arabic" w:cs="Simplified Arabic" w:hint="cs"/>
          <w:sz w:val="24"/>
          <w:szCs w:val="24"/>
          <w:rtl/>
          <w:lang w:bidi="ar-DZ"/>
        </w:rPr>
        <w:t>الذي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يحسب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الوظيفي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للبنية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التحتية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أثناء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الكوارث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والوقت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المستغرق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للعودة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المستوى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السابق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الوظائف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غير ان تحديد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مقاييس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تقييم 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البيئة</w:t>
      </w:r>
      <w:r w:rsidRPr="0062340E">
        <w:rPr>
          <w:rFonts w:ascii="Simplified Arabic" w:hAnsi="Simplified Arabic" w:cs="Simplified Arabic"/>
          <w:sz w:val="24"/>
          <w:szCs w:val="24"/>
          <w:rtl/>
          <w:lang w:bidi="ar-DZ"/>
        </w:rPr>
        <w:t xml:space="preserve"> </w:t>
      </w:r>
      <w:r w:rsidR="008E533E" w:rsidRPr="0062340E">
        <w:rPr>
          <w:rFonts w:ascii="Simplified Arabic" w:hAnsi="Simplified Arabic" w:cs="Simplified Arabic" w:hint="cs"/>
          <w:sz w:val="24"/>
          <w:szCs w:val="24"/>
          <w:rtl/>
          <w:lang w:val="en-US"/>
        </w:rPr>
        <w:t>الحضرية</w:t>
      </w:r>
      <w:r w:rsidR="008E533E"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نموذج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شامل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يحتاج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نهج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مختلف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يجب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يوفر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تقييمًا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شاملاً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الأرض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 حيث التوزيع المكاني للمباني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السكنية،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التجارية،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الصناعية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والعامة</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التحتية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الطرق، الجسور والسدود</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أنظمة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البناء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وكذلك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lastRenderedPageBreak/>
        <w:t>المرافق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الهامة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مثل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المستشفيات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والمدارس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ومراكز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الإطفاء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والشرطة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وملاجئ</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الطوارئ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2008</w:t>
      </w:r>
      <w:r w:rsidRPr="0062340E">
        <w:rPr>
          <w:rFonts w:asciiTheme="majorBidi" w:hAnsiTheme="majorBidi" w:cstheme="majorBidi"/>
          <w:sz w:val="24"/>
          <w:szCs w:val="24"/>
          <w:rtl/>
          <w:lang w:bidi="ar-DZ"/>
        </w:rPr>
        <w:t xml:space="preserve"> </w:t>
      </w:r>
      <w:r w:rsidRPr="0062340E">
        <w:rPr>
          <w:rFonts w:asciiTheme="majorBidi" w:hAnsiTheme="majorBidi" w:cstheme="majorBidi"/>
          <w:sz w:val="24"/>
          <w:szCs w:val="24"/>
          <w:lang w:bidi="ar-DZ"/>
        </w:rPr>
        <w:t>Godschalk, 2003;</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p>
    <w:p w:rsidR="00A903CE" w:rsidRPr="0062340E" w:rsidRDefault="00A903CE" w:rsidP="00B352F3">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يقترح</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2008</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التقييم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يجب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يشمل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سبيل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المثال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هياكل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السلامة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العامة،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الملاجئ</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ومرافق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الرعاية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الصحية</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تحديد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التحتية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الحيوية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مثل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(خطوط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الجسور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ومعالجة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المياه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وتخزينها، الاتصالات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ونقل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الطاقة)</w:t>
      </w:r>
      <w:r w:rsidRPr="0062340E">
        <w:rPr>
          <w:rFonts w:ascii="Simplified Arabic" w:hAnsi="Simplified Arabic" w:cs="Simplified Arabic"/>
          <w:sz w:val="24"/>
          <w:szCs w:val="24"/>
          <w:rtl/>
          <w:lang w:bidi="ar-DZ"/>
        </w:rPr>
        <w:t xml:space="preserve">. </w:t>
      </w:r>
    </w:p>
    <w:p w:rsidR="00A903CE" w:rsidRPr="0062340E" w:rsidRDefault="00A903CE" w:rsidP="00A903CE">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المدن المفككة التي تخترقها الوديان و الانهار، لا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 احدى اجزائها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طريق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جسر، وهي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أكثر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عرضة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للخطر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لديها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المختلفة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إذا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تدمير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جسر 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فيضان،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سبيل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المثال،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فسيظل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معزولًا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للحصول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الإمدادات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الحيوية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حتى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يحين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الوقت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الذي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إنشاء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وصول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بديلة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إذا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طريق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النقل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المعني بالشلل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طريقًا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شريانيًا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رئيسيًا،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فإن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إغلاق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الحيوية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يؤدي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انقطاع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حركة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البضائع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والأشخاص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وإمدادات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الإغاثة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المنطقة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المتضررة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ويزيد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وقت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التعافي</w:t>
      </w:r>
      <w:r w:rsidRPr="0062340E">
        <w:rPr>
          <w:rFonts w:ascii="Simplified Arabic" w:hAnsi="Simplified Arabic" w:cs="Simplified Arabic"/>
          <w:sz w:val="24"/>
          <w:szCs w:val="24"/>
          <w:rtl/>
          <w:lang w:bidi="ar-DZ"/>
        </w:rPr>
        <w:t xml:space="preserve">. </w:t>
      </w:r>
    </w:p>
    <w:p w:rsidR="00A903CE" w:rsidRPr="0062340E" w:rsidRDefault="00A903CE" w:rsidP="00343137">
      <w:pPr>
        <w:bidi/>
        <w:ind w:firstLine="282"/>
        <w:jc w:val="both"/>
        <w:rPr>
          <w:rFonts w:ascii="Simplified Arabic" w:hAnsi="Simplified Arabic" w:cs="Simplified Arabic"/>
          <w:sz w:val="24"/>
          <w:szCs w:val="24"/>
          <w:lang w:bidi="ar-DZ"/>
        </w:rPr>
      </w:pPr>
      <w:r w:rsidRPr="0062340E">
        <w:rPr>
          <w:rFonts w:ascii="Simplified Arabic" w:hAnsi="Simplified Arabic" w:cs="Simplified Arabic" w:hint="cs"/>
          <w:sz w:val="24"/>
          <w:szCs w:val="24"/>
          <w:rtl/>
          <w:lang w:bidi="ar-DZ"/>
        </w:rPr>
        <w:t>تتكون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مؤشرات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الفيزيائية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النماذج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الحالية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أيضًا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متغيرات بديلة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تمثل 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والتعافي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2008; Renschler et al, 2010</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تحديد</w:t>
      </w:r>
      <w:r w:rsidRPr="0062340E">
        <w:rPr>
          <w:rFonts w:ascii="Simplified Arabic" w:hAnsi="Simplified Arabic" w:cs="Simplified Arabic"/>
          <w:sz w:val="24"/>
          <w:szCs w:val="24"/>
          <w:rtl/>
          <w:lang w:bidi="ar-DZ"/>
        </w:rPr>
        <w:t xml:space="preserve"> </w:t>
      </w:r>
      <w:r w:rsidR="00C12AE8" w:rsidRPr="0062340E">
        <w:rPr>
          <w:rFonts w:ascii="Simplified Arabic" w:hAnsi="Simplified Arabic" w:cs="Simplified Arabic" w:hint="cs"/>
          <w:sz w:val="24"/>
          <w:szCs w:val="24"/>
          <w:rtl/>
          <w:lang w:bidi="ar-DZ"/>
        </w:rPr>
        <w:t>ال</w:t>
      </w:r>
      <w:r w:rsidRPr="0062340E">
        <w:rPr>
          <w:rFonts w:ascii="Simplified Arabic" w:hAnsi="Simplified Arabic" w:cs="Simplified Arabic" w:hint="cs"/>
          <w:sz w:val="24"/>
          <w:szCs w:val="24"/>
          <w:rtl/>
          <w:lang w:bidi="ar-DZ"/>
        </w:rPr>
        <w:t>قدرة</w:t>
      </w:r>
      <w:r w:rsidRPr="0062340E">
        <w:rPr>
          <w:rFonts w:ascii="Simplified Arabic" w:hAnsi="Simplified Arabic" w:cs="Simplified Arabic"/>
          <w:sz w:val="24"/>
          <w:szCs w:val="24"/>
          <w:rtl/>
          <w:lang w:bidi="ar-DZ"/>
        </w:rPr>
        <w:t xml:space="preserve"> </w:t>
      </w:r>
      <w:r w:rsidR="00C12AE8" w:rsidRPr="0062340E">
        <w:rPr>
          <w:rFonts w:ascii="Simplified Arabic" w:hAnsi="Simplified Arabic" w:cs="Simplified Arabic" w:hint="cs"/>
          <w:sz w:val="24"/>
          <w:szCs w:val="24"/>
          <w:rtl/>
          <w:lang w:bidi="ar-DZ"/>
        </w:rPr>
        <w:t xml:space="preserve">على </w:t>
      </w:r>
      <w:r w:rsidRPr="0062340E">
        <w:rPr>
          <w:rFonts w:ascii="Simplified Arabic" w:hAnsi="Simplified Arabic" w:cs="Simplified Arabic" w:hint="cs"/>
          <w:sz w:val="24"/>
          <w:szCs w:val="24"/>
          <w:rtl/>
          <w:lang w:bidi="ar-DZ"/>
        </w:rPr>
        <w:t>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00C71ECA" w:rsidRPr="0062340E">
        <w:rPr>
          <w:rFonts w:ascii="Simplified Arabic" w:hAnsi="Simplified Arabic" w:cs="Simplified Arabic" w:hint="cs"/>
          <w:sz w:val="24"/>
          <w:szCs w:val="24"/>
          <w:rtl/>
          <w:lang w:bidi="ar-DZ"/>
        </w:rPr>
        <w:t>الابحاث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المتغيرات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البديلة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مثل،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مراكز الشرطة،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المطافئ، خدمات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الإغاثة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حالات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الطوارئ</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والملاجئ</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المؤقتة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2008</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بالإضافة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تتضمن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سعة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أميال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الشريانية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والسكك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الحديدية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الرئيسية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داخل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مجتمع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توفر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البنية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التحتية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وسيلة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للإخلاء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قبل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الحدث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فحسب،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أيضًا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كقنوات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للإمدادات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الحيوية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الضرورية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والتعافي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الكوارث</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2010</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علاوة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يوفر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الإيجاري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الشاغر،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الفنادق والمدارس</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والتعافي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حيث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استخدامها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كملاجئ</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ومساكن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مؤقتة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وكوسيلة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لجذب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العائلات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أخرى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منطقة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الحدث</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Cutter et al., 2010</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p>
    <w:p w:rsidR="00343137" w:rsidRPr="0062340E" w:rsidRDefault="00343137" w:rsidP="001D0548">
      <w:pPr>
        <w:pStyle w:val="Paragraphedeliste"/>
        <w:numPr>
          <w:ilvl w:val="0"/>
          <w:numId w:val="14"/>
        </w:numPr>
        <w:tabs>
          <w:tab w:val="right" w:pos="567"/>
        </w:tabs>
        <w:bidi/>
        <w:spacing w:before="240" w:after="0"/>
        <w:jc w:val="both"/>
        <w:rPr>
          <w:rFonts w:ascii="Simplified Arabic" w:hAnsi="Simplified Arabic" w:cs="Simplified Arabic"/>
          <w:b/>
          <w:bCs/>
          <w:vanish/>
          <w:color w:val="000000" w:themeColor="text1"/>
          <w:sz w:val="24"/>
          <w:szCs w:val="24"/>
          <w:rtl/>
          <w:lang w:bidi="ar-DZ"/>
        </w:rPr>
      </w:pPr>
    </w:p>
    <w:p w:rsidR="00343137" w:rsidRPr="0062340E" w:rsidRDefault="00343137" w:rsidP="001D0548">
      <w:pPr>
        <w:pStyle w:val="Paragraphedeliste"/>
        <w:numPr>
          <w:ilvl w:val="0"/>
          <w:numId w:val="14"/>
        </w:numPr>
        <w:tabs>
          <w:tab w:val="right" w:pos="567"/>
        </w:tabs>
        <w:bidi/>
        <w:spacing w:before="240" w:after="0"/>
        <w:jc w:val="both"/>
        <w:rPr>
          <w:rFonts w:ascii="Simplified Arabic" w:hAnsi="Simplified Arabic" w:cs="Simplified Arabic"/>
          <w:b/>
          <w:bCs/>
          <w:vanish/>
          <w:color w:val="000000" w:themeColor="text1"/>
          <w:sz w:val="24"/>
          <w:szCs w:val="24"/>
          <w:rtl/>
          <w:lang w:bidi="ar-DZ"/>
        </w:rPr>
      </w:pPr>
    </w:p>
    <w:p w:rsidR="00A903CE" w:rsidRPr="0062340E" w:rsidRDefault="00A903CE" w:rsidP="001D59AA">
      <w:pPr>
        <w:pStyle w:val="Paragraphedeliste"/>
        <w:numPr>
          <w:ilvl w:val="1"/>
          <w:numId w:val="14"/>
        </w:numPr>
        <w:tabs>
          <w:tab w:val="right" w:pos="567"/>
        </w:tabs>
        <w:bidi/>
        <w:spacing w:before="240" w:after="0"/>
        <w:ind w:left="0" w:firstLine="0"/>
        <w:jc w:val="both"/>
        <w:outlineLvl w:val="0"/>
        <w:rPr>
          <w:rFonts w:ascii="Simplified Arabic" w:hAnsi="Simplified Arabic" w:cs="Simplified Arabic"/>
          <w:b/>
          <w:bCs/>
          <w:color w:val="000000" w:themeColor="text1"/>
          <w:sz w:val="24"/>
          <w:szCs w:val="24"/>
          <w:lang w:bidi="ar-DZ"/>
        </w:rPr>
      </w:pPr>
      <w:bookmarkStart w:id="238" w:name="_Toc171803402"/>
      <w:r w:rsidRPr="0062340E">
        <w:rPr>
          <w:rFonts w:ascii="Simplified Arabic" w:hAnsi="Simplified Arabic" w:cs="Simplified Arabic" w:hint="cs"/>
          <w:b/>
          <w:bCs/>
          <w:color w:val="000000" w:themeColor="text1"/>
          <w:sz w:val="24"/>
          <w:szCs w:val="24"/>
          <w:rtl/>
          <w:lang w:bidi="ar-DZ"/>
        </w:rPr>
        <w:t>علاقة التمدد الحضري بالمرونة الحضرية</w:t>
      </w:r>
      <w:bookmarkEnd w:id="238"/>
    </w:p>
    <w:p w:rsidR="00A903CE" w:rsidRPr="0062340E" w:rsidRDefault="00A903CE" w:rsidP="00A903CE">
      <w:pPr>
        <w:bidi/>
        <w:spacing w:after="0"/>
        <w:ind w:firstLine="282"/>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val="en-US"/>
        </w:rPr>
        <w:t>يحدث ان تتوسع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المركز</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الأطراف</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على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طول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الطرق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السريعة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الرئيسية. في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الوقت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نفسه،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تطورت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من خلال تمدد حضري وفق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نمط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معين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يرتبط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التمدد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بظاهرة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التهجير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المُؤدي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تطوير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ضواحي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المدينة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بكثافة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متفاوتة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وفق فترات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زمنية مختلفة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هناك بعض العوامل،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مثل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التنقل،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ارتفاع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تكلفة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العقارات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ومستوى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الضرائب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المحلية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الدفع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بالمجتمعات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لاختيار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الضواحي</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للاستقرار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بها وممارسة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وظائف وأنشطة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اقتصادية </w:t>
      </w:r>
      <w:r w:rsidRPr="0062340E">
        <w:rPr>
          <w:rFonts w:asciiTheme="majorBidi" w:hAnsiTheme="majorBidi" w:cstheme="majorBidi"/>
          <w:color w:val="000000" w:themeColor="text1"/>
          <w:sz w:val="24"/>
          <w:szCs w:val="24"/>
        </w:rPr>
        <w:t>(Nouibat, 2007)</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هذه</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الظاهرة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الوظيف</w:t>
      </w:r>
      <w:r w:rsidR="00C12AE8" w:rsidRPr="0062340E">
        <w:rPr>
          <w:rFonts w:ascii="Simplified Arabic" w:hAnsi="Simplified Arabic" w:cs="Simplified Arabic" w:hint="cs"/>
          <w:sz w:val="24"/>
          <w:szCs w:val="24"/>
          <w:rtl/>
          <w:lang w:val="en-US"/>
        </w:rPr>
        <w:t>ي</w:t>
      </w:r>
      <w:r w:rsidRPr="0062340E">
        <w:rPr>
          <w:rFonts w:ascii="Simplified Arabic" w:hAnsi="Simplified Arabic" w:cs="Simplified Arabic" w:hint="cs"/>
          <w:sz w:val="24"/>
          <w:szCs w:val="24"/>
          <w:rtl/>
          <w:lang w:val="en-US"/>
        </w:rPr>
        <w:t>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لضواحي المدينة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هي التي تسبب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التمدد الحضري</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w:t>
      </w:r>
    </w:p>
    <w:p w:rsidR="00A903CE" w:rsidRPr="0062340E" w:rsidRDefault="00A903CE" w:rsidP="00A903CE">
      <w:pPr>
        <w:bidi/>
        <w:spacing w:after="0"/>
        <w:ind w:firstLine="282"/>
        <w:jc w:val="both"/>
        <w:rPr>
          <w:rFonts w:ascii="Simplified Arabic" w:hAnsi="Simplified Arabic" w:cs="Simplified Arabic"/>
          <w:sz w:val="24"/>
          <w:szCs w:val="24"/>
          <w:lang w:val="en-US"/>
        </w:rPr>
      </w:pPr>
      <w:r w:rsidRPr="0062340E">
        <w:rPr>
          <w:rFonts w:ascii="Simplified Arabic" w:hAnsi="Simplified Arabic" w:cs="Simplified Arabic" w:hint="cs"/>
          <w:sz w:val="24"/>
          <w:szCs w:val="24"/>
          <w:rtl/>
          <w:lang w:val="en-US"/>
        </w:rPr>
        <w:t xml:space="preserve">في اغلب الاحيان، </w:t>
      </w:r>
      <w:r w:rsidRPr="0062340E">
        <w:rPr>
          <w:rFonts w:ascii="Simplified Arabic" w:hAnsi="Simplified Arabic" w:cs="Simplified Arabic"/>
          <w:sz w:val="24"/>
          <w:szCs w:val="24"/>
          <w:rtl/>
          <w:lang w:val="en-US"/>
        </w:rPr>
        <w:t xml:space="preserve">هذا </w:t>
      </w:r>
      <w:r w:rsidRPr="0062340E">
        <w:rPr>
          <w:rFonts w:ascii="Simplified Arabic" w:hAnsi="Simplified Arabic" w:cs="Simplified Arabic" w:hint="cs"/>
          <w:sz w:val="24"/>
          <w:szCs w:val="24"/>
          <w:rtl/>
          <w:lang w:val="en-US"/>
        </w:rPr>
        <w:t>التمدد</w:t>
      </w:r>
      <w:r w:rsidRPr="0062340E">
        <w:rPr>
          <w:rFonts w:ascii="Simplified Arabic" w:hAnsi="Simplified Arabic" w:cs="Simplified Arabic"/>
          <w:sz w:val="24"/>
          <w:szCs w:val="24"/>
          <w:rtl/>
          <w:lang w:val="en-US"/>
        </w:rPr>
        <w:t xml:space="preserve"> الحضري في حد ذاته </w:t>
      </w:r>
      <w:r w:rsidRPr="0062340E">
        <w:rPr>
          <w:rFonts w:ascii="Simplified Arabic" w:hAnsi="Simplified Arabic" w:cs="Simplified Arabic" w:hint="cs"/>
          <w:sz w:val="24"/>
          <w:szCs w:val="24"/>
          <w:rtl/>
          <w:lang w:val="en-US"/>
        </w:rPr>
        <w:t>من يُ</w:t>
      </w:r>
      <w:r w:rsidRPr="0062340E">
        <w:rPr>
          <w:rFonts w:ascii="Simplified Arabic" w:hAnsi="Simplified Arabic" w:cs="Simplified Arabic"/>
          <w:sz w:val="24"/>
          <w:szCs w:val="24"/>
          <w:rtl/>
          <w:lang w:val="en-US"/>
        </w:rPr>
        <w:t xml:space="preserve">ولد </w:t>
      </w:r>
      <w:r w:rsidRPr="0062340E">
        <w:rPr>
          <w:rFonts w:ascii="Simplified Arabic" w:hAnsi="Simplified Arabic" w:cs="Simplified Arabic" w:hint="cs"/>
          <w:sz w:val="24"/>
          <w:szCs w:val="24"/>
          <w:rtl/>
          <w:lang w:val="en-US"/>
        </w:rPr>
        <w:t>ا</w:t>
      </w:r>
      <w:r w:rsidRPr="0062340E">
        <w:rPr>
          <w:rFonts w:ascii="Simplified Arabic" w:hAnsi="Simplified Arabic" w:cs="Simplified Arabic"/>
          <w:sz w:val="24"/>
          <w:szCs w:val="24"/>
          <w:rtl/>
          <w:lang w:val="en-US"/>
        </w:rPr>
        <w:t>لمخاطر</w:t>
      </w:r>
      <w:r w:rsidRPr="0062340E">
        <w:rPr>
          <w:rFonts w:ascii="Simplified Arabic" w:hAnsi="Simplified Arabic" w:cs="Simplified Arabic" w:hint="cs"/>
          <w:sz w:val="24"/>
          <w:szCs w:val="24"/>
          <w:rtl/>
          <w:lang w:val="en-US"/>
        </w:rPr>
        <w:t>،</w:t>
      </w:r>
      <w:r w:rsidRPr="0062340E">
        <w:rPr>
          <w:rFonts w:ascii="Simplified Arabic" w:hAnsi="Simplified Arabic" w:cs="Simplified Arabic"/>
          <w:sz w:val="24"/>
          <w:szCs w:val="24"/>
          <w:rtl/>
          <w:lang w:val="en-US"/>
        </w:rPr>
        <w:t xml:space="preserve"> لأنه من ناحية، يؤدي إلى بناء المدينة في المناطق التي تكون فيها المخاطر أقوى</w:t>
      </w:r>
      <w:r w:rsidRPr="0062340E">
        <w:rPr>
          <w:rFonts w:ascii="Simplified Arabic" w:hAnsi="Simplified Arabic" w:cs="Simplified Arabic" w:hint="cs"/>
          <w:sz w:val="24"/>
          <w:szCs w:val="24"/>
          <w:rtl/>
          <w:lang w:val="en-US"/>
        </w:rPr>
        <w:t xml:space="preserve"> </w:t>
      </w:r>
      <w:r w:rsidRPr="0062340E">
        <w:rPr>
          <w:rFonts w:asciiTheme="majorBidi" w:hAnsiTheme="majorBidi" w:cstheme="majorBidi"/>
          <w:color w:val="000000" w:themeColor="text1"/>
          <w:sz w:val="24"/>
          <w:szCs w:val="24"/>
        </w:rPr>
        <w:t>(Serre, 2011)</w:t>
      </w:r>
      <w:r w:rsidRPr="0062340E">
        <w:rPr>
          <w:rFonts w:ascii="Simplified Arabic" w:hAnsi="Simplified Arabic" w:cs="Simplified Arabic" w:hint="cs"/>
          <w:sz w:val="24"/>
          <w:szCs w:val="24"/>
          <w:rtl/>
          <w:lang w:val="en-US"/>
        </w:rPr>
        <w:t xml:space="preserve">، </w:t>
      </w:r>
      <w:r w:rsidRPr="0062340E">
        <w:rPr>
          <w:rFonts w:ascii="Simplified Arabic" w:hAnsi="Simplified Arabic" w:cs="Simplified Arabic"/>
          <w:sz w:val="24"/>
          <w:szCs w:val="24"/>
          <w:rtl/>
          <w:lang w:val="en-US"/>
        </w:rPr>
        <w:t xml:space="preserve">من ناحية أخرى، لم تعد الشبكات التقنية الحضرية تتكيف مع جمع المياه والتخلص منها </w:t>
      </w:r>
      <w:r w:rsidRPr="0062340E">
        <w:rPr>
          <w:rFonts w:asciiTheme="majorBidi" w:hAnsiTheme="majorBidi" w:cstheme="majorBidi"/>
          <w:color w:val="000000" w:themeColor="text1"/>
          <w:sz w:val="24"/>
          <w:szCs w:val="24"/>
        </w:rPr>
        <w:t>(Gourbesville, 2008)</w:t>
      </w:r>
      <w:r w:rsidRPr="0062340E">
        <w:rPr>
          <w:rFonts w:ascii="Simplified Arabic" w:hAnsi="Simplified Arabic" w:cs="Simplified Arabic"/>
          <w:sz w:val="24"/>
          <w:szCs w:val="24"/>
          <w:rtl/>
          <w:lang w:val="en-US"/>
        </w:rPr>
        <w:t>.</w:t>
      </w:r>
      <w:r w:rsidRPr="0062340E">
        <w:rPr>
          <w:rFonts w:ascii="Simplified Arabic" w:hAnsi="Simplified Arabic" w:cs="Simplified Arabic" w:hint="cs"/>
          <w:sz w:val="24"/>
          <w:szCs w:val="24"/>
          <w:rtl/>
          <w:lang w:val="en-US"/>
        </w:rPr>
        <w:t xml:space="preserve"> الا انه كما اشير سابقا، ان التوزيع المكاني المناسب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وبشكل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أساسي للبناء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والخدمات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والمحلات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التجارية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والمساحات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الخضراء</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وهيكل الطرق يمكن ان تؤثر على مستويات مرونة المدينة اثناء الاضطرابات.</w:t>
      </w:r>
    </w:p>
    <w:p w:rsidR="00C12AE8" w:rsidRPr="0062340E" w:rsidRDefault="00A903CE" w:rsidP="0027496A">
      <w:pPr>
        <w:bidi/>
        <w:spacing w:after="0"/>
        <w:ind w:firstLine="282"/>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val="en-US"/>
        </w:rPr>
        <w:lastRenderedPageBreak/>
        <w:t>الاطلاع على بعض الابحاث، تبين أن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أساليب</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التخطيط</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الحالية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للمشاريع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الحضرية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لم</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تعد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متوافقة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مع</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التعقيد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المتزايد</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للمدن،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تحت شروط مثل</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التفكك</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 xml:space="preserve">في </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lang w:val="en-US"/>
        </w:rPr>
        <w:t xml:space="preserve"> الارض الحضرية (التمدد الحضري) وفعالية تسيير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المخاطر</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إضافة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إلى</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ذلك،</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كلما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اتسعت</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المناطق</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الحضرية</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زاد ذلك من تعقيدها</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ومن</w:t>
      </w:r>
      <w:r w:rsidRPr="0062340E">
        <w:rPr>
          <w:rFonts w:ascii="Simplified Arabic" w:hAnsi="Simplified Arabic" w:cs="Simplified Arabic"/>
          <w:sz w:val="24"/>
          <w:szCs w:val="24"/>
          <w:rtl/>
          <w:lang w:val="en-US"/>
        </w:rPr>
        <w:t xml:space="preserve"> </w:t>
      </w:r>
      <w:r w:rsidRPr="0062340E">
        <w:rPr>
          <w:rFonts w:ascii="Simplified Arabic" w:hAnsi="Simplified Arabic" w:cs="Simplified Arabic" w:hint="cs"/>
          <w:sz w:val="24"/>
          <w:szCs w:val="24"/>
          <w:rtl/>
          <w:lang w:val="en-US"/>
        </w:rPr>
        <w:t>ضعفها</w:t>
      </w:r>
      <w:r w:rsidRPr="0062340E">
        <w:rPr>
          <w:rFonts w:ascii="Simplified Arabic" w:hAnsi="Simplified Arabic" w:cs="Simplified Arabic"/>
          <w:sz w:val="24"/>
          <w:szCs w:val="24"/>
          <w:rtl/>
          <w:lang w:val="en-US"/>
        </w:rPr>
        <w:t xml:space="preserve">. </w:t>
      </w:r>
    </w:p>
    <w:p w:rsidR="00A903CE" w:rsidRPr="0062340E" w:rsidRDefault="00C12AE8" w:rsidP="00C12AE8">
      <w:pPr>
        <w:bidi/>
        <w:spacing w:after="0"/>
        <w:ind w:firstLine="282"/>
        <w:jc w:val="both"/>
        <w:rPr>
          <w:rFonts w:ascii="Simplified Arabic" w:hAnsi="Simplified Arabic" w:cs="Simplified Arabic"/>
          <w:sz w:val="24"/>
          <w:szCs w:val="24"/>
          <w:rtl/>
          <w:lang w:val="en-US"/>
        </w:rPr>
      </w:pPr>
      <w:r w:rsidRPr="0062340E">
        <w:rPr>
          <w:rFonts w:ascii="Simplified Arabic" w:hAnsi="Simplified Arabic" w:cs="Simplified Arabic" w:hint="cs"/>
          <w:sz w:val="24"/>
          <w:szCs w:val="24"/>
          <w:rtl/>
          <w:lang w:val="en-US"/>
        </w:rPr>
        <w:t xml:space="preserve">لذلك، يذكر ان </w:t>
      </w:r>
      <w:r w:rsidR="00A903CE" w:rsidRPr="0062340E">
        <w:rPr>
          <w:rFonts w:ascii="Simplified Arabic" w:hAnsi="Simplified Arabic" w:cs="Simplified Arabic" w:hint="cs"/>
          <w:sz w:val="24"/>
          <w:szCs w:val="24"/>
          <w:rtl/>
          <w:lang w:val="en-US"/>
        </w:rPr>
        <w:t>الهدف</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الرئيسي</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للبحث</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هو</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اقتراح</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منهجية</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تقييم</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تسمح</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للجهات</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الفاعلة</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في</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التنمية</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الحضرية</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بتقييم</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أفعالها</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فيما</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يتعلق</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بتحديات</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توجيه التنمية</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الحضرية من</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أجل</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وضع</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الاحتياجات</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ضمن قالب</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المزج بين</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الوظائف</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الحضرية</w:t>
      </w:r>
      <w:r w:rsidR="00A903CE" w:rsidRPr="0062340E">
        <w:rPr>
          <w:rFonts w:ascii="Simplified Arabic" w:hAnsi="Simplified Arabic" w:cs="Simplified Arabic"/>
          <w:sz w:val="24"/>
          <w:szCs w:val="24"/>
          <w:rtl/>
          <w:lang w:val="en-US"/>
        </w:rPr>
        <w:t xml:space="preserve"> </w:t>
      </w:r>
      <w:r w:rsidR="00A903CE" w:rsidRPr="0062340E">
        <w:rPr>
          <w:rFonts w:ascii="Simplified Arabic" w:hAnsi="Simplified Arabic" w:cs="Simplified Arabic" w:hint="cs"/>
          <w:sz w:val="24"/>
          <w:szCs w:val="24"/>
          <w:rtl/>
          <w:lang w:val="en-US"/>
        </w:rPr>
        <w:t>الضرورية والمرونة</w:t>
      </w:r>
      <w:r w:rsidR="00A903CE" w:rsidRPr="0062340E">
        <w:rPr>
          <w:rFonts w:ascii="Simplified Arabic" w:hAnsi="Simplified Arabic" w:cs="Simplified Arabic"/>
          <w:sz w:val="24"/>
          <w:szCs w:val="24"/>
          <w:rtl/>
          <w:lang w:val="en-US"/>
        </w:rPr>
        <w:t>.</w:t>
      </w:r>
    </w:p>
    <w:p w:rsidR="00A903CE" w:rsidRPr="0062340E" w:rsidRDefault="00A903CE" w:rsidP="003D260F">
      <w:pPr>
        <w:pStyle w:val="Paragraphedeliste"/>
        <w:numPr>
          <w:ilvl w:val="2"/>
          <w:numId w:val="118"/>
        </w:numPr>
        <w:tabs>
          <w:tab w:val="right" w:pos="850"/>
        </w:tabs>
        <w:bidi/>
        <w:spacing w:before="240" w:after="0"/>
        <w:ind w:left="0" w:firstLine="0"/>
        <w:jc w:val="both"/>
        <w:outlineLvl w:val="1"/>
        <w:rPr>
          <w:rFonts w:ascii="Simplified Arabic" w:hAnsi="Simplified Arabic" w:cs="Simplified Arabic"/>
          <w:b/>
          <w:bCs/>
          <w:color w:val="000000" w:themeColor="text1"/>
          <w:sz w:val="24"/>
          <w:szCs w:val="24"/>
          <w:lang w:bidi="ar-DZ"/>
        </w:rPr>
      </w:pPr>
      <w:bookmarkStart w:id="239" w:name="_Toc171803403"/>
      <w:r w:rsidRPr="0062340E">
        <w:rPr>
          <w:rFonts w:ascii="Simplified Arabic" w:hAnsi="Simplified Arabic" w:cs="Simplified Arabic" w:hint="cs"/>
          <w:b/>
          <w:bCs/>
          <w:color w:val="000000" w:themeColor="text1"/>
          <w:sz w:val="24"/>
          <w:szCs w:val="24"/>
          <w:rtl/>
          <w:lang w:bidi="ar-DZ"/>
        </w:rPr>
        <w:t>نحو</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فهم</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مكاني</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للمرونة</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الحضرية</w:t>
      </w:r>
      <w:bookmarkEnd w:id="239"/>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كجزء من المناقشة ال</w:t>
      </w:r>
      <w:r w:rsidRPr="0062340E">
        <w:rPr>
          <w:rFonts w:ascii="Simplified Arabic" w:hAnsi="Simplified Arabic" w:cs="Simplified Arabic" w:hint="cs"/>
          <w:sz w:val="24"/>
          <w:szCs w:val="24"/>
          <w:rtl/>
          <w:lang w:bidi="ar-DZ"/>
        </w:rPr>
        <w:t>ت</w:t>
      </w:r>
      <w:r w:rsidRPr="0062340E">
        <w:rPr>
          <w:rFonts w:ascii="Simplified Arabic" w:hAnsi="Simplified Arabic" w:cs="Simplified Arabic"/>
          <w:sz w:val="24"/>
          <w:szCs w:val="24"/>
          <w:rtl/>
          <w:lang w:bidi="ar-DZ"/>
        </w:rPr>
        <w:t xml:space="preserve">ي </w:t>
      </w:r>
      <w:r w:rsidRPr="0062340E">
        <w:rPr>
          <w:rFonts w:ascii="Simplified Arabic" w:hAnsi="Simplified Arabic" w:cs="Simplified Arabic" w:hint="cs"/>
          <w:sz w:val="24"/>
          <w:szCs w:val="24"/>
          <w:rtl/>
          <w:lang w:bidi="ar-DZ"/>
        </w:rPr>
        <w:t>تم تناولها 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الفصل 2</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تم</w:t>
      </w:r>
      <w:r w:rsidRPr="0062340E">
        <w:rPr>
          <w:rFonts w:ascii="Simplified Arabic" w:hAnsi="Simplified Arabic" w:cs="Simplified Arabic"/>
          <w:sz w:val="24"/>
          <w:szCs w:val="24"/>
          <w:rtl/>
          <w:lang w:bidi="ar-DZ"/>
        </w:rPr>
        <w:t xml:space="preserve"> </w:t>
      </w:r>
      <w:r w:rsidR="00F059B4" w:rsidRPr="0062340E">
        <w:rPr>
          <w:rFonts w:ascii="Simplified Arabic" w:hAnsi="Simplified Arabic" w:cs="Simplified Arabic" w:hint="cs"/>
          <w:sz w:val="24"/>
          <w:szCs w:val="24"/>
          <w:rtl/>
          <w:lang w:bidi="ar-DZ"/>
        </w:rPr>
        <w:t>تحليل</w:t>
      </w:r>
      <w:r w:rsidRPr="0062340E">
        <w:rPr>
          <w:rFonts w:ascii="Simplified Arabic" w:hAnsi="Simplified Arabic" w:cs="Simplified Arabic"/>
          <w:sz w:val="24"/>
          <w:szCs w:val="24"/>
          <w:rtl/>
          <w:lang w:bidi="ar-DZ"/>
        </w:rPr>
        <w:t xml:space="preserve"> أطر </w:t>
      </w:r>
      <w:r w:rsidRPr="0062340E">
        <w:rPr>
          <w:rFonts w:ascii="Simplified Arabic" w:hAnsi="Simplified Arabic" w:cs="Simplified Arabic" w:hint="cs"/>
          <w:sz w:val="24"/>
          <w:szCs w:val="24"/>
          <w:rtl/>
          <w:lang w:bidi="ar-DZ"/>
        </w:rPr>
        <w:t xml:space="preserve">ونماذج تقييم </w:t>
      </w:r>
      <w:r w:rsidRPr="0062340E">
        <w:rPr>
          <w:rFonts w:ascii="Simplified Arabic" w:hAnsi="Simplified Arabic" w:cs="Simplified Arabic"/>
          <w:sz w:val="24"/>
          <w:szCs w:val="24"/>
          <w:rtl/>
          <w:lang w:bidi="ar-DZ"/>
        </w:rPr>
        <w:t xml:space="preserve">المرونة الحالية. </w:t>
      </w:r>
      <w:r w:rsidRPr="0062340E">
        <w:rPr>
          <w:rFonts w:ascii="Simplified Arabic" w:hAnsi="Simplified Arabic" w:cs="Simplified Arabic" w:hint="cs"/>
          <w:sz w:val="24"/>
          <w:szCs w:val="24"/>
          <w:rtl/>
          <w:lang w:bidi="ar-DZ"/>
        </w:rPr>
        <w:t>كان</w:t>
      </w:r>
      <w:r w:rsidRPr="0062340E">
        <w:rPr>
          <w:rFonts w:ascii="Simplified Arabic" w:hAnsi="Simplified Arabic" w:cs="Simplified Arabic"/>
          <w:sz w:val="24"/>
          <w:szCs w:val="24"/>
          <w:rtl/>
          <w:lang w:bidi="ar-DZ"/>
        </w:rPr>
        <w:t xml:space="preserve"> تركيز المراجعة على تحديد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ما إذا كان أي</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من التقييمات والأطر الحالية يوفر إرشادات حول كيفية تقييم المرونة المكانية للمدينة</w:t>
      </w:r>
      <w:r w:rsidRPr="0062340E">
        <w:rPr>
          <w:rFonts w:ascii="Simplified Arabic" w:hAnsi="Simplified Arabic" w:cs="Simplified Arabic" w:hint="cs"/>
          <w:sz w:val="24"/>
          <w:szCs w:val="24"/>
          <w:rtl/>
          <w:lang w:bidi="ar-DZ"/>
        </w:rPr>
        <w:t>، تكون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قائمة على تحليل التوزيع المكاني والتي تفضي الى تقييم </w:t>
      </w:r>
      <w:r w:rsidR="0027496A" w:rsidRPr="0062340E">
        <w:rPr>
          <w:rFonts w:ascii="Simplified Arabic" w:hAnsi="Simplified Arabic" w:cs="Simplified Arabic" w:hint="cs"/>
          <w:sz w:val="24"/>
          <w:szCs w:val="24"/>
          <w:rtl/>
        </w:rPr>
        <w:t>استعمال</w:t>
      </w:r>
      <w:r w:rsidR="00C12AE8" w:rsidRPr="0062340E">
        <w:rPr>
          <w:rFonts w:ascii="Simplified Arabic" w:hAnsi="Simplified Arabic" w:cs="Simplified Arabic" w:hint="cs"/>
          <w:sz w:val="24"/>
          <w:szCs w:val="24"/>
          <w:rtl/>
          <w:lang w:bidi="ar-DZ"/>
        </w:rPr>
        <w:t>ات</w:t>
      </w:r>
      <w:r w:rsidRPr="0062340E">
        <w:rPr>
          <w:rFonts w:ascii="Simplified Arabic" w:hAnsi="Simplified Arabic" w:cs="Simplified Arabic"/>
          <w:sz w:val="24"/>
          <w:szCs w:val="24"/>
          <w:rtl/>
          <w:lang w:bidi="ar-DZ"/>
        </w:rPr>
        <w:t xml:space="preserve"> الارض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من الواضح أن أي</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ا من </w:t>
      </w:r>
      <w:r w:rsidRPr="0062340E">
        <w:rPr>
          <w:rFonts w:ascii="Simplified Arabic" w:hAnsi="Simplified Arabic" w:cs="Simplified Arabic" w:hint="cs"/>
          <w:sz w:val="24"/>
          <w:szCs w:val="24"/>
          <w:rtl/>
          <w:lang w:bidi="ar-DZ"/>
        </w:rPr>
        <w:t>نماذج</w:t>
      </w:r>
      <w:r w:rsidRPr="0062340E">
        <w:rPr>
          <w:rFonts w:ascii="Simplified Arabic" w:hAnsi="Simplified Arabic" w:cs="Simplified Arabic"/>
          <w:sz w:val="24"/>
          <w:szCs w:val="24"/>
          <w:rtl/>
          <w:lang w:bidi="ar-DZ"/>
        </w:rPr>
        <w:t xml:space="preserve"> وأطر المرونة الحالية لا تقدم توجيهات واضحة حول كيفية تقييم المرونة المكانية. علاوة على ذلك، أخذ عدد </w:t>
      </w:r>
      <w:r w:rsidRPr="0062340E">
        <w:rPr>
          <w:rFonts w:ascii="Simplified Arabic" w:hAnsi="Simplified Arabic" w:cs="Simplified Arabic" w:hint="cs"/>
          <w:sz w:val="24"/>
          <w:szCs w:val="24"/>
          <w:rtl/>
          <w:lang w:bidi="ar-DZ"/>
        </w:rPr>
        <w:t>محدود</w:t>
      </w:r>
      <w:r w:rsidRPr="0062340E">
        <w:rPr>
          <w:rFonts w:ascii="Simplified Arabic" w:hAnsi="Simplified Arabic" w:cs="Simplified Arabic"/>
          <w:sz w:val="24"/>
          <w:szCs w:val="24"/>
          <w:rtl/>
          <w:lang w:bidi="ar-DZ"/>
        </w:rPr>
        <w:t xml:space="preserve"> من التقييمات </w:t>
      </w:r>
      <w:r w:rsidRPr="0062340E">
        <w:rPr>
          <w:rFonts w:ascii="Simplified Arabic" w:hAnsi="Simplified Arabic" w:cs="Simplified Arabic" w:hint="cs"/>
          <w:sz w:val="24"/>
          <w:szCs w:val="24"/>
          <w:rtl/>
          <w:lang w:bidi="ar-DZ"/>
        </w:rPr>
        <w:t>ب</w:t>
      </w:r>
      <w:r w:rsidRPr="0062340E">
        <w:rPr>
          <w:rFonts w:ascii="Simplified Arabic" w:hAnsi="Simplified Arabic" w:cs="Simplified Arabic"/>
          <w:sz w:val="24"/>
          <w:szCs w:val="24"/>
          <w:rtl/>
          <w:lang w:bidi="ar-DZ"/>
        </w:rPr>
        <w:t xml:space="preserve">الاعتبار التباين المكاني </w:t>
      </w:r>
      <w:r w:rsidRPr="0062340E">
        <w:rPr>
          <w:rFonts w:ascii="Simplified Arabic" w:hAnsi="Simplified Arabic" w:cs="Simplified Arabic" w:hint="cs"/>
          <w:sz w:val="24"/>
          <w:szCs w:val="24"/>
          <w:rtl/>
          <w:lang w:bidi="ar-DZ"/>
        </w:rPr>
        <w:t>ل</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lang w:bidi="ar-DZ"/>
        </w:rPr>
        <w:t xml:space="preserve"> الارض </w:t>
      </w:r>
      <w:r w:rsidRPr="0062340E">
        <w:rPr>
          <w:rFonts w:ascii="Simplified Arabic" w:hAnsi="Simplified Arabic" w:cs="Simplified Arabic"/>
          <w:sz w:val="24"/>
          <w:szCs w:val="24"/>
          <w:rtl/>
          <w:lang w:bidi="ar-DZ"/>
        </w:rPr>
        <w:t>داخل المدن ضمن تقييم</w:t>
      </w:r>
      <w:r w:rsidRPr="0062340E">
        <w:rPr>
          <w:rFonts w:ascii="Simplified Arabic" w:hAnsi="Simplified Arabic" w:cs="Simplified Arabic" w:hint="cs"/>
          <w:sz w:val="24"/>
          <w:szCs w:val="24"/>
          <w:rtl/>
          <w:lang w:bidi="ar-DZ"/>
        </w:rPr>
        <w:t>ات</w:t>
      </w:r>
      <w:r w:rsidRPr="0062340E">
        <w:rPr>
          <w:rFonts w:ascii="Simplified Arabic" w:hAnsi="Simplified Arabic" w:cs="Simplified Arabic"/>
          <w:sz w:val="24"/>
          <w:szCs w:val="24"/>
          <w:rtl/>
          <w:lang w:bidi="ar-DZ"/>
        </w:rPr>
        <w:t xml:space="preserve"> المرونة</w:t>
      </w:r>
      <w:r w:rsidRPr="0062340E">
        <w:rPr>
          <w:rFonts w:ascii="Simplified Arabic" w:hAnsi="Simplified Arabic" w:cs="Simplified Arabic" w:hint="cs"/>
          <w:sz w:val="24"/>
          <w:szCs w:val="24"/>
          <w:rtl/>
          <w:lang w:bidi="ar-DZ"/>
        </w:rPr>
        <w:t xml:space="preserve"> الحضرية</w:t>
      </w:r>
      <w:r w:rsidRPr="0062340E">
        <w:rPr>
          <w:rFonts w:ascii="Simplified Arabic" w:hAnsi="Simplified Arabic" w:cs="Simplified Arabic"/>
          <w:sz w:val="24"/>
          <w:szCs w:val="24"/>
          <w:rtl/>
          <w:lang w:bidi="ar-DZ"/>
        </w:rPr>
        <w:t xml:space="preserve">. يمثل الافتقار إلى أي توجيه مكاني </w:t>
      </w:r>
      <w:r w:rsidRPr="0062340E">
        <w:rPr>
          <w:rFonts w:ascii="Simplified Arabic" w:hAnsi="Simplified Arabic" w:cs="Simplified Arabic" w:hint="cs"/>
          <w:sz w:val="24"/>
          <w:szCs w:val="24"/>
          <w:rtl/>
          <w:lang w:bidi="ar-DZ"/>
        </w:rPr>
        <w:t xml:space="preserve">صحيح </w:t>
      </w:r>
      <w:r w:rsidRPr="0062340E">
        <w:rPr>
          <w:rFonts w:ascii="Simplified Arabic" w:hAnsi="Simplified Arabic" w:cs="Simplified Arabic"/>
          <w:sz w:val="24"/>
          <w:szCs w:val="24"/>
          <w:rtl/>
          <w:lang w:bidi="ar-DZ"/>
        </w:rPr>
        <w:t xml:space="preserve">مشكلة للمخططين المكانيين والمصممين الحضريين، حيث أن العناصر المكانية للمدينة هي اللوحة التي يعملون </w:t>
      </w:r>
      <w:r w:rsidRPr="0062340E">
        <w:rPr>
          <w:rFonts w:ascii="Simplified Arabic" w:hAnsi="Simplified Arabic" w:cs="Simplified Arabic" w:hint="cs"/>
          <w:sz w:val="24"/>
          <w:szCs w:val="24"/>
          <w:rtl/>
          <w:lang w:bidi="ar-DZ"/>
        </w:rPr>
        <w:t xml:space="preserve">عليها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Marcus and Colding, 2014</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sz w:val="24"/>
          <w:szCs w:val="24"/>
          <w:rtl/>
          <w:lang w:bidi="ar-DZ"/>
        </w:rPr>
        <w:t>لذلك، فإن أولئك المخططين والمصممين الحضريين الذين يحتاجون إلى تنفيذ سياس</w:t>
      </w:r>
      <w:r w:rsidRPr="0062340E">
        <w:rPr>
          <w:rFonts w:ascii="Simplified Arabic" w:hAnsi="Simplified Arabic" w:cs="Simplified Arabic" w:hint="cs"/>
          <w:sz w:val="24"/>
          <w:szCs w:val="24"/>
          <w:rtl/>
          <w:lang w:bidi="ar-DZ"/>
        </w:rPr>
        <w:t>ا</w:t>
      </w:r>
      <w:r w:rsidRPr="0062340E">
        <w:rPr>
          <w:rFonts w:ascii="Simplified Arabic" w:hAnsi="Simplified Arabic" w:cs="Simplified Arabic"/>
          <w:sz w:val="24"/>
          <w:szCs w:val="24"/>
          <w:rtl/>
          <w:lang w:bidi="ar-DZ"/>
        </w:rPr>
        <w:t xml:space="preserve">ت المرونة المكانية </w:t>
      </w:r>
      <w:r w:rsidRPr="0062340E">
        <w:rPr>
          <w:rFonts w:ascii="Simplified Arabic" w:hAnsi="Simplified Arabic" w:cs="Simplified Arabic" w:hint="cs"/>
          <w:sz w:val="24"/>
          <w:szCs w:val="24"/>
          <w:rtl/>
          <w:lang w:bidi="ar-DZ"/>
        </w:rPr>
        <w:t xml:space="preserve">مازالت </w:t>
      </w:r>
      <w:r w:rsidRPr="0062340E">
        <w:rPr>
          <w:rFonts w:ascii="Simplified Arabic" w:hAnsi="Simplified Arabic" w:cs="Simplified Arabic"/>
          <w:sz w:val="24"/>
          <w:szCs w:val="24"/>
          <w:rtl/>
          <w:lang w:bidi="ar-DZ"/>
        </w:rPr>
        <w:t xml:space="preserve">غير مفهومة </w:t>
      </w:r>
      <w:r w:rsidRPr="0062340E">
        <w:rPr>
          <w:rFonts w:ascii="Simplified Arabic" w:hAnsi="Simplified Arabic" w:cs="Simplified Arabic" w:hint="cs"/>
          <w:sz w:val="24"/>
          <w:szCs w:val="24"/>
          <w:rtl/>
          <w:lang w:bidi="ar-DZ"/>
        </w:rPr>
        <w:t>لديهم</w:t>
      </w:r>
      <w:r w:rsidRPr="0062340E">
        <w:rPr>
          <w:rFonts w:ascii="Simplified Arabic" w:hAnsi="Simplified Arabic" w:cs="Simplified Arabic"/>
          <w:sz w:val="24"/>
          <w:szCs w:val="24"/>
          <w:rtl/>
          <w:lang w:bidi="ar-DZ"/>
        </w:rPr>
        <w:t xml:space="preserve">. </w:t>
      </w:r>
    </w:p>
    <w:p w:rsidR="00A903CE" w:rsidRPr="0062340E" w:rsidRDefault="00A903CE" w:rsidP="00C12AE8">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sz w:val="24"/>
          <w:szCs w:val="24"/>
          <w:rtl/>
          <w:lang w:bidi="ar-DZ"/>
        </w:rPr>
        <w:t xml:space="preserve">تقدم الأقسام </w:t>
      </w:r>
      <w:r w:rsidRPr="0062340E">
        <w:rPr>
          <w:rFonts w:ascii="Simplified Arabic" w:hAnsi="Simplified Arabic" w:cs="Simplified Arabic" w:hint="cs"/>
          <w:sz w:val="24"/>
          <w:szCs w:val="24"/>
          <w:rtl/>
          <w:lang w:bidi="ar-DZ"/>
        </w:rPr>
        <w:t>الاتي شرحها</w:t>
      </w:r>
      <w:r w:rsidRPr="0062340E">
        <w:rPr>
          <w:rFonts w:ascii="Simplified Arabic" w:hAnsi="Simplified Arabic" w:cs="Simplified Arabic"/>
          <w:sz w:val="24"/>
          <w:szCs w:val="24"/>
          <w:rtl/>
          <w:lang w:bidi="ar-DZ"/>
        </w:rPr>
        <w:t xml:space="preserve"> لمحة </w:t>
      </w:r>
      <w:r w:rsidRPr="0062340E">
        <w:rPr>
          <w:rFonts w:ascii="Simplified Arabic" w:hAnsi="Simplified Arabic" w:cs="Simplified Arabic" w:hint="cs"/>
          <w:sz w:val="24"/>
          <w:szCs w:val="24"/>
          <w:rtl/>
          <w:lang w:bidi="ar-DZ"/>
        </w:rPr>
        <w:t>مختصرة</w:t>
      </w:r>
      <w:r w:rsidRPr="0062340E">
        <w:rPr>
          <w:rFonts w:ascii="Simplified Arabic" w:hAnsi="Simplified Arabic" w:cs="Simplified Arabic"/>
          <w:sz w:val="24"/>
          <w:szCs w:val="24"/>
          <w:rtl/>
          <w:lang w:bidi="ar-DZ"/>
        </w:rPr>
        <w:t xml:space="preserve"> عن كيفية تصور المرونة المكانية </w:t>
      </w:r>
      <w:r w:rsidRPr="0062340E">
        <w:rPr>
          <w:rFonts w:ascii="Simplified Arabic" w:hAnsi="Simplified Arabic" w:cs="Simplified Arabic" w:hint="cs"/>
          <w:sz w:val="24"/>
          <w:szCs w:val="24"/>
          <w:rtl/>
          <w:lang w:bidi="ar-DZ"/>
        </w:rPr>
        <w:t>في البيئة الحضرية</w:t>
      </w:r>
      <w:r w:rsidRPr="0062340E">
        <w:rPr>
          <w:rFonts w:ascii="Simplified Arabic" w:hAnsi="Simplified Arabic" w:cs="Simplified Arabic"/>
          <w:sz w:val="24"/>
          <w:szCs w:val="24"/>
          <w:rtl/>
          <w:lang w:bidi="ar-DZ"/>
        </w:rPr>
        <w:t xml:space="preserve">، مع تحديد </w:t>
      </w:r>
      <w:r w:rsidR="00C12AE8" w:rsidRPr="0062340E">
        <w:rPr>
          <w:rFonts w:ascii="Simplified Arabic" w:hAnsi="Simplified Arabic" w:cs="Simplified Arabic" w:hint="cs"/>
          <w:sz w:val="24"/>
          <w:szCs w:val="24"/>
          <w:rtl/>
          <w:lang w:bidi="ar-DZ"/>
        </w:rPr>
        <w:t>ال</w:t>
      </w:r>
      <w:r w:rsidRPr="0062340E">
        <w:rPr>
          <w:rFonts w:ascii="Simplified Arabic" w:hAnsi="Simplified Arabic" w:cs="Simplified Arabic"/>
          <w:sz w:val="24"/>
          <w:szCs w:val="24"/>
          <w:rtl/>
          <w:lang w:bidi="ar-DZ"/>
        </w:rPr>
        <w:t xml:space="preserve">تداخلات </w:t>
      </w:r>
      <w:r w:rsidR="00C12AE8" w:rsidRPr="0062340E">
        <w:rPr>
          <w:rFonts w:ascii="Simplified Arabic" w:hAnsi="Simplified Arabic" w:cs="Simplified Arabic" w:hint="cs"/>
          <w:sz w:val="24"/>
          <w:szCs w:val="24"/>
          <w:rtl/>
          <w:lang w:bidi="ar-DZ"/>
        </w:rPr>
        <w:t>ال</w:t>
      </w:r>
      <w:r w:rsidRPr="0062340E">
        <w:rPr>
          <w:rFonts w:ascii="Simplified Arabic" w:hAnsi="Simplified Arabic" w:cs="Simplified Arabic"/>
          <w:sz w:val="24"/>
          <w:szCs w:val="24"/>
          <w:rtl/>
          <w:lang w:bidi="ar-DZ"/>
        </w:rPr>
        <w:t xml:space="preserve">مفاهيمية بين المرونة المكانية في البيئة </w:t>
      </w:r>
      <w:r w:rsidRPr="0062340E">
        <w:rPr>
          <w:rFonts w:ascii="Simplified Arabic" w:hAnsi="Simplified Arabic" w:cs="Simplified Arabic" w:hint="cs"/>
          <w:sz w:val="24"/>
          <w:szCs w:val="24"/>
          <w:rtl/>
          <w:lang w:bidi="ar-DZ"/>
        </w:rPr>
        <w:t xml:space="preserve">بصفة عامة </w:t>
      </w:r>
      <w:r w:rsidRPr="0062340E">
        <w:rPr>
          <w:rFonts w:ascii="Simplified Arabic" w:hAnsi="Simplified Arabic" w:cs="Simplified Arabic"/>
          <w:sz w:val="24"/>
          <w:szCs w:val="24"/>
          <w:rtl/>
          <w:lang w:bidi="ar-DZ"/>
        </w:rPr>
        <w:t xml:space="preserve">والتفسير الحضري للمرونة المكانية في خلق الشروط المكانية المسبقة </w:t>
      </w:r>
      <w:r w:rsidRPr="0062340E">
        <w:rPr>
          <w:rFonts w:ascii="Simplified Arabic" w:hAnsi="Simplified Arabic" w:cs="Simplified Arabic" w:hint="cs"/>
          <w:sz w:val="24"/>
          <w:szCs w:val="24"/>
          <w:rtl/>
          <w:lang w:bidi="ar-DZ"/>
        </w:rPr>
        <w:t xml:space="preserve">التي </w:t>
      </w:r>
      <w:r w:rsidRPr="0062340E">
        <w:rPr>
          <w:rFonts w:ascii="Simplified Arabic" w:hAnsi="Simplified Arabic" w:cs="Simplified Arabic"/>
          <w:sz w:val="24"/>
          <w:szCs w:val="24"/>
          <w:rtl/>
          <w:lang w:bidi="ar-DZ"/>
        </w:rPr>
        <w:t xml:space="preserve">تشكل </w:t>
      </w:r>
      <w:r w:rsidRPr="0062340E">
        <w:rPr>
          <w:rFonts w:ascii="Simplified Arabic" w:hAnsi="Simplified Arabic" w:cs="Simplified Arabic" w:hint="cs"/>
          <w:sz w:val="24"/>
          <w:szCs w:val="24"/>
          <w:rtl/>
          <w:lang w:bidi="ar-DZ"/>
        </w:rPr>
        <w:t>مناطق</w:t>
      </w:r>
      <w:r w:rsidRPr="0062340E">
        <w:rPr>
          <w:rFonts w:ascii="Simplified Arabic" w:hAnsi="Simplified Arabic" w:cs="Simplified Arabic"/>
          <w:sz w:val="24"/>
          <w:szCs w:val="24"/>
          <w:rtl/>
          <w:lang w:bidi="ar-DZ"/>
        </w:rPr>
        <w:t xml:space="preserve"> حضرية </w:t>
      </w:r>
      <w:r w:rsidRPr="0062340E">
        <w:rPr>
          <w:rFonts w:ascii="Simplified Arabic" w:hAnsi="Simplified Arabic" w:cs="Simplified Arabic" w:hint="cs"/>
          <w:sz w:val="24"/>
          <w:szCs w:val="24"/>
          <w:rtl/>
          <w:lang w:bidi="ar-DZ"/>
        </w:rPr>
        <w:t xml:space="preserve">تتمتع بقدرات </w:t>
      </w:r>
      <w:r w:rsidR="00C12AE8" w:rsidRPr="0062340E">
        <w:rPr>
          <w:rFonts w:ascii="Simplified Arabic" w:hAnsi="Simplified Arabic" w:cs="Simplified Arabic" w:hint="cs"/>
          <w:sz w:val="24"/>
          <w:szCs w:val="24"/>
          <w:rtl/>
          <w:lang w:bidi="ar-DZ"/>
        </w:rPr>
        <w:t xml:space="preserve">عالية على </w:t>
      </w:r>
      <w:r w:rsidRPr="0062340E">
        <w:rPr>
          <w:rFonts w:ascii="Simplified Arabic" w:hAnsi="Simplified Arabic" w:cs="Simplified Arabic" w:hint="cs"/>
          <w:sz w:val="24"/>
          <w:szCs w:val="24"/>
          <w:rtl/>
          <w:lang w:bidi="ar-DZ"/>
        </w:rPr>
        <w:t>ا</w:t>
      </w:r>
      <w:r w:rsidR="00C12AE8" w:rsidRPr="0062340E">
        <w:rPr>
          <w:rFonts w:ascii="Simplified Arabic" w:hAnsi="Simplified Arabic" w:cs="Simplified Arabic" w:hint="cs"/>
          <w:sz w:val="24"/>
          <w:szCs w:val="24"/>
          <w:rtl/>
          <w:lang w:bidi="ar-DZ"/>
        </w:rPr>
        <w:t>لا</w:t>
      </w:r>
      <w:r w:rsidRPr="0062340E">
        <w:rPr>
          <w:rFonts w:ascii="Simplified Arabic" w:hAnsi="Simplified Arabic" w:cs="Simplified Arabic" w:hint="cs"/>
          <w:sz w:val="24"/>
          <w:szCs w:val="24"/>
          <w:rtl/>
          <w:lang w:bidi="ar-DZ"/>
        </w:rPr>
        <w:t>ستجابة</w:t>
      </w:r>
      <w:r w:rsidR="00C12AE8" w:rsidRPr="0062340E">
        <w:rPr>
          <w:rFonts w:ascii="Simplified Arabic" w:hAnsi="Simplified Arabic" w:cs="Simplified Arabic" w:hint="cs"/>
          <w:sz w:val="24"/>
          <w:szCs w:val="24"/>
          <w:rtl/>
          <w:lang w:bidi="ar-DZ"/>
        </w:rPr>
        <w:t xml:space="preserve"> للاضطرابات</w:t>
      </w:r>
      <w:r w:rsidRPr="0062340E">
        <w:rPr>
          <w:rFonts w:ascii="Simplified Arabic" w:hAnsi="Simplified Arabic" w:cs="Simplified Arabic"/>
          <w:sz w:val="24"/>
          <w:szCs w:val="24"/>
          <w:rtl/>
          <w:lang w:bidi="ar-DZ"/>
        </w:rPr>
        <w:t>.</w:t>
      </w:r>
    </w:p>
    <w:p w:rsidR="00A903CE" w:rsidRPr="0062340E" w:rsidRDefault="00A903CE" w:rsidP="003D260F">
      <w:pPr>
        <w:pStyle w:val="Paragraphedeliste"/>
        <w:numPr>
          <w:ilvl w:val="2"/>
          <w:numId w:val="86"/>
        </w:numPr>
        <w:tabs>
          <w:tab w:val="right" w:pos="850"/>
        </w:tabs>
        <w:bidi/>
        <w:spacing w:before="240" w:after="0"/>
        <w:ind w:left="0" w:firstLine="0"/>
        <w:jc w:val="both"/>
        <w:outlineLvl w:val="1"/>
        <w:rPr>
          <w:rFonts w:ascii="Simplified Arabic" w:hAnsi="Simplified Arabic" w:cs="Simplified Arabic"/>
          <w:b/>
          <w:bCs/>
          <w:color w:val="000000" w:themeColor="text1"/>
          <w:sz w:val="24"/>
          <w:szCs w:val="24"/>
          <w:lang w:bidi="ar-DZ"/>
        </w:rPr>
      </w:pPr>
      <w:bookmarkStart w:id="240" w:name="_Toc171803404"/>
      <w:r w:rsidRPr="0062340E">
        <w:rPr>
          <w:rFonts w:ascii="Simplified Arabic" w:hAnsi="Simplified Arabic" w:cs="Simplified Arabic" w:hint="cs"/>
          <w:b/>
          <w:bCs/>
          <w:color w:val="000000" w:themeColor="text1"/>
          <w:sz w:val="24"/>
          <w:szCs w:val="24"/>
          <w:rtl/>
          <w:lang w:bidi="ar-DZ"/>
        </w:rPr>
        <w:t>المرونة</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المكانية</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داخل</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البيئة الحضرية</w:t>
      </w:r>
      <w:bookmarkEnd w:id="240"/>
    </w:p>
    <w:p w:rsidR="00A903CE" w:rsidRPr="0062340E" w:rsidRDefault="00A903CE" w:rsidP="006439B6">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أشار</w:t>
      </w:r>
      <w:r w:rsidRPr="0062340E">
        <w:rPr>
          <w:rFonts w:asciiTheme="majorBidi" w:hAnsiTheme="majorBidi" w:cstheme="majorBidi"/>
          <w:color w:val="0D0D0D"/>
          <w:sz w:val="24"/>
          <w:szCs w:val="24"/>
        </w:rPr>
        <w:t>(Mellin et al., 2019)</w:t>
      </w:r>
      <w:r w:rsidRPr="0062340E">
        <w:rPr>
          <w:rFonts w:ascii="Calibri" w:hAnsi="Calibri" w:cs="Calibri"/>
          <w:color w:val="0D0D0D"/>
          <w:sz w:val="24"/>
          <w:szCs w:val="24"/>
        </w:rPr>
        <w:t xml:space="preserve"> </w:t>
      </w:r>
      <w:r w:rsidRPr="0062340E">
        <w:rPr>
          <w:rFonts w:ascii="Simplified Arabic" w:hAnsi="Simplified Arabic" w:cs="Simplified Arabic" w:hint="cs"/>
          <w:sz w:val="24"/>
          <w:szCs w:val="24"/>
          <w:rtl/>
          <w:lang w:bidi="ar-DZ"/>
        </w:rPr>
        <w:t xml:space="preserve"> 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تركز</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العمليات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تؤثر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للحفاظ</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سلامته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ووظائفه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تعمل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عبر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مواقع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ونطاقات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متعددة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ضمن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هذه الرؤية،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تحاول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فهم</w:t>
      </w:r>
      <w:r w:rsidRPr="0062340E">
        <w:rPr>
          <w:rFonts w:ascii="Simplified Arabic" w:hAnsi="Simplified Arabic" w:cs="Simplified Arabic"/>
          <w:sz w:val="24"/>
          <w:szCs w:val="24"/>
          <w:rtl/>
          <w:lang w:bidi="ar-DZ"/>
        </w:rPr>
        <w:t xml:space="preserve"> </w:t>
      </w:r>
      <w:r w:rsidR="00C12AE8" w:rsidRPr="0062340E">
        <w:rPr>
          <w:rFonts w:ascii="Simplified Arabic" w:hAnsi="Simplified Arabic" w:cs="Simplified Arabic" w:hint="cs"/>
          <w:sz w:val="24"/>
          <w:szCs w:val="24"/>
          <w:rtl/>
          <w:lang w:bidi="ar-DZ"/>
        </w:rPr>
        <w:t>ال</w:t>
      </w:r>
      <w:r w:rsidRPr="0062340E">
        <w:rPr>
          <w:rFonts w:ascii="Simplified Arabic" w:hAnsi="Simplified Arabic" w:cs="Simplified Arabic" w:hint="cs"/>
          <w:sz w:val="24"/>
          <w:szCs w:val="24"/>
          <w:rtl/>
          <w:lang w:bidi="ar-DZ"/>
        </w:rPr>
        <w:t xml:space="preserve">قدرة </w:t>
      </w:r>
      <w:r w:rsidR="00C12AE8" w:rsidRPr="0062340E">
        <w:rPr>
          <w:rFonts w:ascii="Simplified Arabic" w:hAnsi="Simplified Arabic" w:cs="Simplified Arabic" w:hint="cs"/>
          <w:sz w:val="24"/>
          <w:szCs w:val="24"/>
          <w:rtl/>
          <w:lang w:bidi="ar-DZ"/>
        </w:rPr>
        <w:t xml:space="preserve">على </w:t>
      </w:r>
      <w:r w:rsidRPr="0062340E">
        <w:rPr>
          <w:rFonts w:ascii="Simplified Arabic" w:hAnsi="Simplified Arabic" w:cs="Simplified Arabic" w:hint="cs"/>
          <w:sz w:val="24"/>
          <w:szCs w:val="24"/>
          <w:rtl/>
          <w:lang w:bidi="ar-DZ"/>
        </w:rPr>
        <w:t>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 خلال تقييم اداء وظائف 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مختلف</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المواقع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والنطاقات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عرّف</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(2011</w:t>
      </w:r>
      <w:r w:rsidRPr="0062340E">
        <w:rPr>
          <w:rFonts w:asciiTheme="majorBidi" w:hAnsiTheme="majorBidi" w:cstheme="majorBidi"/>
          <w:sz w:val="24"/>
          <w:szCs w:val="24"/>
          <w:lang w:bidi="ar-DZ"/>
        </w:rPr>
        <w:t xml:space="preserve">Cumming, </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بالطريقة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التالية</w:t>
      </w:r>
      <w:r w:rsidRPr="0062340E">
        <w:rPr>
          <w:rFonts w:ascii="Simplified Arabic" w:hAnsi="Simplified Arabic" w:cs="Simplified Arabic"/>
          <w:sz w:val="24"/>
          <w:szCs w:val="24"/>
          <w:rtl/>
          <w:lang w:bidi="ar-DZ"/>
        </w:rPr>
        <w:t>:</w:t>
      </w:r>
      <w:r w:rsidRPr="0062340E">
        <w:rPr>
          <w:rFonts w:ascii="Simplified Arabic" w:hAnsi="Simplified Arabic" w:cs="Simplified Arabic" w:hint="cs"/>
          <w:sz w:val="24"/>
          <w:szCs w:val="24"/>
          <w:rtl/>
          <w:lang w:bidi="ar-DZ"/>
        </w:rPr>
        <w:t xml:space="preserve"> </w:t>
      </w:r>
      <w:r w:rsidR="00C12AE8" w:rsidRPr="0062340E">
        <w:rPr>
          <w:rFonts w:ascii="Simplified Arabic" w:hAnsi="Simplified Arabic" w:cs="Simplified Arabic" w:hint="cs"/>
          <w:sz w:val="24"/>
          <w:szCs w:val="24"/>
          <w:rtl/>
          <w:lang w:bidi="ar-DZ"/>
        </w:rPr>
        <w:t>(</w:t>
      </w:r>
      <w:r w:rsidRPr="0062340E">
        <w:rPr>
          <w:rFonts w:ascii="Simplified Arabic" w:hAnsi="Simplified Arabic" w:cs="Simplified Arabic" w:hint="cs"/>
          <w:sz w:val="24"/>
          <w:szCs w:val="24"/>
          <w:rtl/>
          <w:lang w:bidi="ar-DZ"/>
        </w:rPr>
        <w:t>تشير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الطرق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يؤثر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التباين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القائمة،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داخل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وخارج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الاهتمام</w:t>
      </w:r>
      <w:r w:rsidR="00C12AE8"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sz w:val="24"/>
          <w:szCs w:val="24"/>
          <w:rtl/>
          <w:lang w:bidi="ar-DZ"/>
        </w:rPr>
        <w:t>وكيف يؤثر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بها 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عبر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نطاقات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وزمنية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متعددة</w:t>
      </w:r>
      <w:r w:rsidR="00C12AE8"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w:t>
      </w:r>
    </w:p>
    <w:p w:rsidR="00A903CE" w:rsidRPr="0062340E" w:rsidRDefault="00A903CE" w:rsidP="0085017B">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 xml:space="preserve"> تنقسم الوحدات التخطيطية للمدينة الى اربعة مستويات كما هو مبين في الشكل (</w:t>
      </w:r>
      <w:r w:rsidR="0085017B" w:rsidRPr="0062340E">
        <w:rPr>
          <w:rFonts w:ascii="Simplified Arabic" w:hAnsi="Simplified Arabic" w:cs="Simplified Arabic" w:hint="cs"/>
          <w:sz w:val="24"/>
          <w:szCs w:val="24"/>
          <w:rtl/>
          <w:lang w:bidi="ar-DZ"/>
        </w:rPr>
        <w:t>1-20</w:t>
      </w:r>
      <w:r w:rsidRPr="0062340E">
        <w:rPr>
          <w:rFonts w:ascii="Simplified Arabic" w:hAnsi="Simplified Arabic" w:cs="Simplified Arabic" w:hint="cs"/>
          <w:sz w:val="24"/>
          <w:szCs w:val="24"/>
          <w:rtl/>
          <w:lang w:bidi="ar-DZ"/>
        </w:rPr>
        <w:t xml:space="preserve">)، ابتداء من المحلة السكنية التي تشتمل على الخدمات ويكون الطلب عليها بشكل يومي حيث يمكن الذهاب اليها سيرا على الاقدام، يليها الحي السكني الذي يشتمل على الخدمات ويكون الطلب عليها اقل تكرارًا حيث المسافة اكبر بقليل من المستوى الاول، يأتي بعد ذلك القطاع السكني الذي يشتمل على الخدمات التي يكون من النادر الطلب عليها مما يتطلب استعمال احدى وسائل التنقل </w:t>
      </w:r>
      <w:r w:rsidRPr="0062340E">
        <w:rPr>
          <w:rFonts w:ascii="Simplified Arabic" w:hAnsi="Simplified Arabic" w:cs="Simplified Arabic" w:hint="cs"/>
          <w:sz w:val="24"/>
          <w:szCs w:val="24"/>
          <w:rtl/>
        </w:rPr>
        <w:t>(</w:t>
      </w:r>
      <w:r w:rsidR="00DA1C45" w:rsidRPr="0062340E">
        <w:rPr>
          <w:rFonts w:ascii="Simplified Arabic" w:hAnsi="Simplified Arabic" w:cs="Simplified Arabic" w:hint="cs"/>
          <w:sz w:val="24"/>
          <w:szCs w:val="24"/>
          <w:rtl/>
        </w:rPr>
        <w:t>الهيئة</w:t>
      </w:r>
      <w:r w:rsidR="00DA1C45" w:rsidRPr="0062340E">
        <w:rPr>
          <w:rFonts w:ascii="Simplified Arabic" w:hAnsi="Simplified Arabic" w:cs="Simplified Arabic"/>
          <w:sz w:val="24"/>
          <w:szCs w:val="24"/>
          <w:rtl/>
        </w:rPr>
        <w:t xml:space="preserve"> </w:t>
      </w:r>
      <w:r w:rsidR="00DA1C45" w:rsidRPr="0062340E">
        <w:rPr>
          <w:rFonts w:ascii="Simplified Arabic" w:hAnsi="Simplified Arabic" w:cs="Simplified Arabic" w:hint="cs"/>
          <w:sz w:val="24"/>
          <w:szCs w:val="24"/>
          <w:rtl/>
        </w:rPr>
        <w:t>العامة</w:t>
      </w:r>
      <w:r w:rsidR="00DA1C45" w:rsidRPr="0062340E">
        <w:rPr>
          <w:rFonts w:ascii="Simplified Arabic" w:hAnsi="Simplified Arabic" w:cs="Simplified Arabic"/>
          <w:sz w:val="24"/>
          <w:szCs w:val="24"/>
          <w:rtl/>
        </w:rPr>
        <w:t xml:space="preserve"> </w:t>
      </w:r>
      <w:r w:rsidR="00DA1C45" w:rsidRPr="0062340E">
        <w:rPr>
          <w:rFonts w:ascii="Simplified Arabic" w:hAnsi="Simplified Arabic" w:cs="Simplified Arabic" w:hint="cs"/>
          <w:sz w:val="24"/>
          <w:szCs w:val="24"/>
          <w:rtl/>
        </w:rPr>
        <w:t>للإسكان</w:t>
      </w:r>
      <w:r w:rsidR="00DA1C45" w:rsidRPr="0062340E">
        <w:rPr>
          <w:rFonts w:ascii="Simplified Arabic" w:hAnsi="Simplified Arabic" w:cs="Simplified Arabic"/>
          <w:sz w:val="24"/>
          <w:szCs w:val="24"/>
          <w:rtl/>
        </w:rPr>
        <w:t xml:space="preserve"> -</w:t>
      </w:r>
      <w:r w:rsidR="00DA1C45" w:rsidRPr="0062340E">
        <w:rPr>
          <w:rFonts w:ascii="Simplified Arabic" w:hAnsi="Simplified Arabic" w:cs="Simplified Arabic" w:hint="cs"/>
          <w:sz w:val="24"/>
          <w:szCs w:val="24"/>
          <w:rtl/>
        </w:rPr>
        <w:t xml:space="preserve"> شعبة</w:t>
      </w:r>
      <w:r w:rsidR="00DA1C45" w:rsidRPr="0062340E">
        <w:rPr>
          <w:rFonts w:ascii="Simplified Arabic" w:hAnsi="Simplified Arabic" w:cs="Simplified Arabic"/>
          <w:sz w:val="24"/>
          <w:szCs w:val="24"/>
          <w:rtl/>
        </w:rPr>
        <w:t xml:space="preserve"> </w:t>
      </w:r>
      <w:r w:rsidR="00DA1C45" w:rsidRPr="0062340E">
        <w:rPr>
          <w:rFonts w:ascii="Simplified Arabic" w:hAnsi="Simplified Arabic" w:cs="Simplified Arabic" w:hint="cs"/>
          <w:sz w:val="24"/>
          <w:szCs w:val="24"/>
          <w:rtl/>
        </w:rPr>
        <w:t>الدراسات</w:t>
      </w:r>
      <w:r w:rsidRPr="0062340E">
        <w:rPr>
          <w:rFonts w:ascii="Simplified Arabic" w:hAnsi="Simplified Arabic" w:cs="Simplified Arabic"/>
          <w:sz w:val="24"/>
          <w:szCs w:val="24"/>
          <w:rtl/>
        </w:rPr>
        <w:t>، 2010)</w:t>
      </w:r>
      <w:r w:rsidRPr="0062340E">
        <w:rPr>
          <w:rFonts w:ascii="Simplified Arabic" w:hAnsi="Simplified Arabic" w:cs="Simplified Arabic" w:hint="cs"/>
          <w:sz w:val="24"/>
          <w:szCs w:val="24"/>
          <w:rtl/>
          <w:lang w:bidi="ar-DZ"/>
        </w:rPr>
        <w:t>.</w:t>
      </w:r>
    </w:p>
    <w:p w:rsidR="00A903CE" w:rsidRPr="0062340E" w:rsidRDefault="00A903CE" w:rsidP="003B0D7E">
      <w:pPr>
        <w:pStyle w:val="fegure"/>
        <w:rPr>
          <w:szCs w:val="24"/>
          <w:rtl/>
          <w:lang w:bidi="ar-DZ"/>
        </w:rPr>
      </w:pPr>
      <w:bookmarkStart w:id="241" w:name="_Toc157561452"/>
      <w:bookmarkStart w:id="242" w:name="_Toc157562785"/>
      <w:bookmarkStart w:id="243" w:name="_Toc157608281"/>
      <w:bookmarkStart w:id="244" w:name="_Toc171803405"/>
      <w:r w:rsidRPr="0062340E">
        <w:rPr>
          <w:rFonts w:hint="cs"/>
          <w:szCs w:val="24"/>
          <w:rtl/>
          <w:lang w:bidi="ar-DZ"/>
        </w:rPr>
        <w:lastRenderedPageBreak/>
        <w:t>الشكل (</w:t>
      </w:r>
      <w:r w:rsidR="007A0685" w:rsidRPr="0062340E">
        <w:rPr>
          <w:rFonts w:hint="cs"/>
          <w:szCs w:val="24"/>
          <w:rtl/>
          <w:lang w:bidi="ar-DZ"/>
        </w:rPr>
        <w:t>1-20</w:t>
      </w:r>
      <w:r w:rsidRPr="0062340E">
        <w:rPr>
          <w:rFonts w:hint="cs"/>
          <w:szCs w:val="24"/>
          <w:rtl/>
          <w:lang w:bidi="ar-DZ"/>
        </w:rPr>
        <w:t>): توزيع الخدمات على مستوى كل وحدة تخطيطية</w:t>
      </w:r>
      <w:bookmarkEnd w:id="241"/>
      <w:bookmarkEnd w:id="242"/>
      <w:bookmarkEnd w:id="243"/>
      <w:bookmarkEnd w:id="244"/>
      <w:r w:rsidRPr="0062340E">
        <w:rPr>
          <w:rFonts w:hint="cs"/>
          <w:szCs w:val="24"/>
          <w:rtl/>
          <w:lang w:bidi="ar-DZ"/>
        </w:rPr>
        <w:t xml:space="preserve"> </w:t>
      </w:r>
    </w:p>
    <w:p w:rsidR="00A903CE" w:rsidRPr="0062340E" w:rsidRDefault="00A903CE" w:rsidP="00DA1C45">
      <w:pPr>
        <w:bidi/>
        <w:spacing w:after="0"/>
        <w:ind w:firstLine="282"/>
        <w:jc w:val="center"/>
        <w:rPr>
          <w:rFonts w:ascii="Simplified Arabic" w:hAnsi="Simplified Arabic" w:cs="Simplified Arabic"/>
          <w:b/>
          <w:bCs/>
          <w:sz w:val="24"/>
          <w:szCs w:val="24"/>
          <w:rtl/>
        </w:rPr>
      </w:pPr>
      <w:r w:rsidRPr="0062340E">
        <w:rPr>
          <w:rFonts w:ascii="Simplified Arabic" w:hAnsi="Simplified Arabic" w:cs="Simplified Arabic" w:hint="cs"/>
          <w:b/>
          <w:bCs/>
          <w:sz w:val="24"/>
          <w:szCs w:val="24"/>
          <w:rtl/>
          <w:lang w:bidi="ar-DZ"/>
        </w:rPr>
        <w:t>ا</w:t>
      </w:r>
      <w:r w:rsidRPr="0062340E">
        <w:rPr>
          <w:rFonts w:ascii="Simplified Arabic" w:hAnsi="Simplified Arabic" w:cs="Simplified Arabic"/>
          <w:b/>
          <w:bCs/>
          <w:sz w:val="24"/>
          <w:szCs w:val="24"/>
          <w:rtl/>
        </w:rPr>
        <w:t>لمصدر</w:t>
      </w:r>
      <w:r w:rsidRPr="0062340E">
        <w:rPr>
          <w:rFonts w:ascii="Simplified Arabic" w:hAnsi="Simplified Arabic" w:cs="Simplified Arabic" w:hint="cs"/>
          <w:b/>
          <w:bCs/>
          <w:sz w:val="24"/>
          <w:szCs w:val="24"/>
          <w:rtl/>
        </w:rPr>
        <w:t>: (</w:t>
      </w:r>
      <w:r w:rsidR="00DA1C45" w:rsidRPr="0062340E">
        <w:rPr>
          <w:rFonts w:ascii="Simplified Arabic" w:hAnsi="Simplified Arabic" w:cs="Simplified Arabic" w:hint="cs"/>
          <w:b/>
          <w:bCs/>
          <w:sz w:val="24"/>
          <w:szCs w:val="24"/>
          <w:rtl/>
        </w:rPr>
        <w:t>الهيئة</w:t>
      </w:r>
      <w:r w:rsidR="00DA1C45" w:rsidRPr="0062340E">
        <w:rPr>
          <w:rFonts w:ascii="Simplified Arabic" w:hAnsi="Simplified Arabic" w:cs="Simplified Arabic"/>
          <w:b/>
          <w:bCs/>
          <w:sz w:val="24"/>
          <w:szCs w:val="24"/>
          <w:rtl/>
        </w:rPr>
        <w:t xml:space="preserve"> </w:t>
      </w:r>
      <w:r w:rsidR="00DA1C45" w:rsidRPr="0062340E">
        <w:rPr>
          <w:rFonts w:ascii="Simplified Arabic" w:hAnsi="Simplified Arabic" w:cs="Simplified Arabic" w:hint="cs"/>
          <w:b/>
          <w:bCs/>
          <w:sz w:val="24"/>
          <w:szCs w:val="24"/>
          <w:rtl/>
        </w:rPr>
        <w:t>العامة</w:t>
      </w:r>
      <w:r w:rsidR="00DA1C45" w:rsidRPr="0062340E">
        <w:rPr>
          <w:rFonts w:ascii="Simplified Arabic" w:hAnsi="Simplified Arabic" w:cs="Simplified Arabic"/>
          <w:b/>
          <w:bCs/>
          <w:sz w:val="24"/>
          <w:szCs w:val="24"/>
          <w:rtl/>
        </w:rPr>
        <w:t xml:space="preserve"> </w:t>
      </w:r>
      <w:r w:rsidR="00DA1C45" w:rsidRPr="0062340E">
        <w:rPr>
          <w:rFonts w:ascii="Simplified Arabic" w:hAnsi="Simplified Arabic" w:cs="Simplified Arabic" w:hint="cs"/>
          <w:b/>
          <w:bCs/>
          <w:sz w:val="24"/>
          <w:szCs w:val="24"/>
          <w:rtl/>
        </w:rPr>
        <w:t>للإسكان</w:t>
      </w:r>
      <w:r w:rsidR="00DA1C45" w:rsidRPr="0062340E">
        <w:rPr>
          <w:rFonts w:ascii="Simplified Arabic" w:hAnsi="Simplified Arabic" w:cs="Simplified Arabic"/>
          <w:b/>
          <w:bCs/>
          <w:sz w:val="24"/>
          <w:szCs w:val="24"/>
          <w:rtl/>
        </w:rPr>
        <w:t xml:space="preserve"> -</w:t>
      </w:r>
      <w:r w:rsidR="00DA1C45" w:rsidRPr="0062340E">
        <w:rPr>
          <w:rFonts w:ascii="Simplified Arabic" w:hAnsi="Simplified Arabic" w:cs="Simplified Arabic" w:hint="cs"/>
          <w:b/>
          <w:bCs/>
          <w:sz w:val="24"/>
          <w:szCs w:val="24"/>
          <w:rtl/>
        </w:rPr>
        <w:t xml:space="preserve"> شعبة</w:t>
      </w:r>
      <w:r w:rsidR="00DA1C45" w:rsidRPr="0062340E">
        <w:rPr>
          <w:rFonts w:ascii="Simplified Arabic" w:hAnsi="Simplified Arabic" w:cs="Simplified Arabic"/>
          <w:b/>
          <w:bCs/>
          <w:sz w:val="24"/>
          <w:szCs w:val="24"/>
          <w:rtl/>
        </w:rPr>
        <w:t xml:space="preserve"> </w:t>
      </w:r>
      <w:r w:rsidR="00DA1C45" w:rsidRPr="0062340E">
        <w:rPr>
          <w:rFonts w:ascii="Simplified Arabic" w:hAnsi="Simplified Arabic" w:cs="Simplified Arabic" w:hint="cs"/>
          <w:b/>
          <w:bCs/>
          <w:sz w:val="24"/>
          <w:szCs w:val="24"/>
          <w:rtl/>
        </w:rPr>
        <w:t>الدراسات</w:t>
      </w:r>
      <w:r w:rsidRPr="0062340E">
        <w:rPr>
          <w:rFonts w:ascii="Simplified Arabic" w:hAnsi="Simplified Arabic" w:cs="Simplified Arabic"/>
          <w:b/>
          <w:bCs/>
          <w:sz w:val="24"/>
          <w:szCs w:val="24"/>
          <w:rtl/>
        </w:rPr>
        <w:t>، 2010)</w:t>
      </w:r>
    </w:p>
    <w:p w:rsidR="00DA1C45" w:rsidRPr="0062340E" w:rsidRDefault="00DA1C45" w:rsidP="00B36D99">
      <w:pPr>
        <w:bidi/>
        <w:ind w:firstLine="282"/>
        <w:jc w:val="center"/>
        <w:rPr>
          <w:rFonts w:ascii="Simplified Arabic" w:hAnsi="Simplified Arabic" w:cs="Simplified Arabic"/>
          <w:sz w:val="24"/>
          <w:szCs w:val="24"/>
        </w:rPr>
      </w:pPr>
      <w:r w:rsidRPr="0062340E">
        <w:rPr>
          <w:noProof/>
          <w:sz w:val="24"/>
          <w:szCs w:val="24"/>
          <w:lang w:eastAsia="fr-FR"/>
        </w:rPr>
        <w:drawing>
          <wp:inline distT="0" distB="0" distL="0" distR="0" wp14:anchorId="4068893B" wp14:editId="05657A79">
            <wp:extent cx="4836449" cy="2898475"/>
            <wp:effectExtent l="0" t="0" r="2540" b="0"/>
            <wp:docPr id="271" name="Imag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4864756" cy="2915439"/>
                    </a:xfrm>
                    <a:prstGeom prst="rect">
                      <a:avLst/>
                    </a:prstGeom>
                  </pic:spPr>
                </pic:pic>
              </a:graphicData>
            </a:graphic>
          </wp:inline>
        </w:drawing>
      </w:r>
    </w:p>
    <w:p w:rsidR="00A903CE" w:rsidRPr="0062340E" w:rsidRDefault="00A903CE" w:rsidP="009051C2">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أشار</w:t>
      </w:r>
      <w:r w:rsidRPr="0062340E">
        <w:rPr>
          <w:rFonts w:ascii="Simplified Arabic" w:hAnsi="Simplified Arabic" w:cs="Simplified Arabic"/>
          <w:sz w:val="24"/>
          <w:szCs w:val="24"/>
          <w:rtl/>
          <w:lang w:bidi="ar-DZ"/>
        </w:rPr>
        <w:t xml:space="preserve"> </w:t>
      </w:r>
      <w:r w:rsidRPr="0062340E">
        <w:rPr>
          <w:rFonts w:asciiTheme="majorBidi" w:hAnsiTheme="majorBidi" w:cstheme="majorBidi"/>
          <w:color w:val="0D0D0D"/>
          <w:sz w:val="24"/>
          <w:szCs w:val="24"/>
        </w:rPr>
        <w:t>(Allen et al., 2016)</w:t>
      </w:r>
      <w:r w:rsidRPr="0062340E">
        <w:rPr>
          <w:rFonts w:ascii="Calibri" w:hAnsi="Calibri" w:cs="Calibri" w:hint="cs"/>
          <w:color w:val="0D0D0D"/>
          <w:sz w:val="24"/>
          <w:szCs w:val="24"/>
          <w:rtl/>
        </w:rPr>
        <w:t xml:space="preserve"> </w:t>
      </w:r>
      <w:r w:rsidRPr="0062340E">
        <w:rPr>
          <w:rFonts w:ascii="Simplified Arabic" w:hAnsi="Simplified Arabic" w:cs="Simplified Arabic" w:hint="cs"/>
          <w:sz w:val="24"/>
          <w:szCs w:val="24"/>
          <w:rtl/>
          <w:lang w:bidi="ar-DZ"/>
        </w:rPr>
        <w:t>إلى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009051C2" w:rsidRPr="0062340E">
        <w:rPr>
          <w:rFonts w:ascii="Simplified Arabic" w:hAnsi="Simplified Arabic" w:cs="Simplified Arabic" w:hint="cs"/>
          <w:sz w:val="24"/>
          <w:szCs w:val="24"/>
          <w:rtl/>
          <w:lang w:bidi="ar-DZ"/>
        </w:rPr>
        <w:t xml:space="preserve">هي </w:t>
      </w:r>
      <w:r w:rsidRPr="0062340E">
        <w:rPr>
          <w:rFonts w:ascii="Simplified Arabic" w:hAnsi="Simplified Arabic" w:cs="Simplified Arabic" w:hint="cs"/>
          <w:sz w:val="24"/>
          <w:szCs w:val="24"/>
          <w:rtl/>
          <w:lang w:bidi="ar-DZ"/>
        </w:rPr>
        <w:t>الترتيب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للاختلافات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والتفاعلات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بين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الداخلية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والخارجية</w:t>
      </w:r>
      <w:r w:rsidRPr="0062340E">
        <w:rPr>
          <w:rFonts w:ascii="Simplified Arabic" w:hAnsi="Simplified Arabic" w:cs="Simplified Arabic"/>
          <w:sz w:val="24"/>
          <w:szCs w:val="24"/>
          <w:rtl/>
          <w:lang w:bidi="ar-DZ"/>
        </w:rPr>
        <w:t xml:space="preserve"> </w:t>
      </w:r>
      <w:r w:rsidR="009051C2" w:rsidRPr="0062340E">
        <w:rPr>
          <w:rFonts w:ascii="Simplified Arabic" w:hAnsi="Simplified Arabic" w:cs="Simplified Arabic" w:hint="cs"/>
          <w:sz w:val="24"/>
          <w:szCs w:val="24"/>
          <w:rtl/>
          <w:lang w:bidi="ar-DZ"/>
        </w:rPr>
        <w:t>للنظام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كما أكد</w:t>
      </w:r>
      <w:r w:rsidRPr="0062340E">
        <w:rPr>
          <w:rFonts w:ascii="Simplified Arabic" w:hAnsi="Simplified Arabic" w:cs="Simplified Arabic"/>
          <w:sz w:val="24"/>
          <w:szCs w:val="24"/>
          <w:rtl/>
          <w:lang w:bidi="ar-DZ"/>
        </w:rPr>
        <w:t xml:space="preserve"> </w:t>
      </w:r>
      <w:r w:rsidRPr="0062340E">
        <w:rPr>
          <w:rFonts w:asciiTheme="majorBidi" w:hAnsiTheme="majorBidi" w:cstheme="majorBidi"/>
          <w:color w:val="0D0D0D"/>
          <w:sz w:val="24"/>
          <w:szCs w:val="24"/>
        </w:rPr>
        <w:t>(Allen et al., 2016)</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ضرورة تكامل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وكذلك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الترتيبات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للعناصر من اجل تحسين المرونة</w:t>
      </w:r>
      <w:r w:rsidRPr="0062340E">
        <w:rPr>
          <w:rFonts w:ascii="Simplified Arabic" w:hAnsi="Simplified Arabic" w:cs="Simplified Arabic"/>
          <w:sz w:val="24"/>
          <w:szCs w:val="24"/>
          <w:rtl/>
          <w:lang w:bidi="ar-DZ"/>
        </w:rPr>
        <w:t>.</w:t>
      </w:r>
    </w:p>
    <w:p w:rsidR="00A903CE" w:rsidRPr="0062340E" w:rsidRDefault="00A903CE" w:rsidP="00D526B9">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ضمن وجهة نظر البحث حول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 يرى أنها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تبحث عن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فهم توزيع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العناصر عبر نطاقات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وزمنية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متعددة تسمح بتقييم </w:t>
      </w:r>
      <w:r w:rsidR="00686292" w:rsidRPr="0062340E">
        <w:rPr>
          <w:rFonts w:ascii="Simplified Arabic" w:hAnsi="Simplified Arabic" w:cs="Simplified Arabic" w:hint="cs"/>
          <w:sz w:val="24"/>
          <w:szCs w:val="24"/>
          <w:rtl/>
          <w:lang w:bidi="ar-DZ"/>
        </w:rPr>
        <w:t>ال</w:t>
      </w:r>
      <w:r w:rsidRPr="0062340E">
        <w:rPr>
          <w:rFonts w:ascii="Simplified Arabic" w:hAnsi="Simplified Arabic" w:cs="Simplified Arabic" w:hint="cs"/>
          <w:sz w:val="24"/>
          <w:szCs w:val="24"/>
          <w:rtl/>
          <w:lang w:bidi="ar-DZ"/>
        </w:rPr>
        <w:t xml:space="preserve">قدرة </w:t>
      </w:r>
      <w:r w:rsidR="00686292" w:rsidRPr="0062340E">
        <w:rPr>
          <w:rFonts w:ascii="Simplified Arabic" w:hAnsi="Simplified Arabic" w:cs="Simplified Arabic" w:hint="cs"/>
          <w:sz w:val="24"/>
          <w:szCs w:val="24"/>
          <w:rtl/>
          <w:lang w:bidi="ar-DZ"/>
        </w:rPr>
        <w:t xml:space="preserve">على </w:t>
      </w:r>
      <w:r w:rsidRPr="0062340E">
        <w:rPr>
          <w:rFonts w:ascii="Simplified Arabic" w:hAnsi="Simplified Arabic" w:cs="Simplified Arabic" w:hint="cs"/>
          <w:sz w:val="24"/>
          <w:szCs w:val="24"/>
          <w:rtl/>
          <w:lang w:bidi="ar-DZ"/>
        </w:rPr>
        <w:t>استجابة 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المختلفة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ضمن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نطاقات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مختلفة،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 خلال تحديد العوامل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تؤثر</w:t>
      </w:r>
      <w:r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على</w:t>
      </w:r>
      <w:r w:rsidR="00686292"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مرونته 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على ا</w:t>
      </w:r>
      <w:r w:rsidRPr="0062340E">
        <w:rPr>
          <w:rFonts w:ascii="Simplified Arabic" w:hAnsi="Simplified Arabic" w:cs="Simplified Arabic" w:hint="cs"/>
          <w:sz w:val="24"/>
          <w:szCs w:val="24"/>
          <w:rtl/>
          <w:lang w:bidi="ar-DZ"/>
        </w:rPr>
        <w:t>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اثناء الاضطرابات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ضمن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المنحى،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بدأ</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(2021</w:t>
      </w:r>
      <w:r w:rsidRPr="0062340E">
        <w:rPr>
          <w:rFonts w:asciiTheme="majorBidi" w:hAnsiTheme="majorBidi" w:cstheme="majorBidi"/>
          <w:sz w:val="24"/>
          <w:szCs w:val="24"/>
          <w:lang w:bidi="ar-DZ"/>
        </w:rPr>
        <w:t xml:space="preserve">Shafiei Dastjerdi et al., </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ب</w:t>
      </w:r>
      <w:r w:rsidRPr="0062340E">
        <w:rPr>
          <w:rFonts w:ascii="Simplified Arabic" w:hAnsi="Simplified Arabic" w:cs="Simplified Arabic" w:hint="cs"/>
          <w:sz w:val="24"/>
          <w:szCs w:val="24"/>
          <w:rtl/>
          <w:lang w:bidi="ar-DZ"/>
        </w:rPr>
        <w:t>دراسة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مفهوم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منظور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حضري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وحدد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 xml:space="preserve">أنها </w:t>
      </w:r>
      <w:r w:rsidRPr="0062340E">
        <w:rPr>
          <w:rFonts w:ascii="Simplified Arabic" w:hAnsi="Simplified Arabic" w:cs="Simplified Arabic" w:hint="cs"/>
          <w:sz w:val="24"/>
          <w:szCs w:val="24"/>
          <w:rtl/>
          <w:lang w:bidi="ar-DZ"/>
        </w:rPr>
        <w:t>شبكة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سوسيو-بيئية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مترابطة</w:t>
      </w:r>
      <w:r w:rsidR="00686292"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تظهر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الأماكن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للحفاظ</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سلامتها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ووظائفها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مواجهة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التغيير،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دمج</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جميع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تسلسل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هرمي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متعدد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النطاقات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خلال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التكيف</w:t>
      </w:r>
      <w:r w:rsidRPr="0062340E">
        <w:rPr>
          <w:rFonts w:ascii="Simplified Arabic" w:hAnsi="Simplified Arabic" w:cs="Simplified Arabic"/>
          <w:sz w:val="24"/>
          <w:szCs w:val="24"/>
          <w:rtl/>
          <w:lang w:bidi="ar-DZ"/>
        </w:rPr>
        <w:t xml:space="preserve">. </w:t>
      </w:r>
    </w:p>
    <w:p w:rsidR="00A903CE" w:rsidRPr="0062340E" w:rsidRDefault="00A903CE" w:rsidP="0027496A">
      <w:pPr>
        <w:bidi/>
        <w:spacing w:after="0"/>
        <w:ind w:firstLine="282"/>
        <w:jc w:val="both"/>
        <w:rPr>
          <w:rFonts w:ascii="Simplified Arabic" w:hAnsi="Simplified Arabic" w:cs="Simplified Arabic"/>
          <w:color w:val="000000" w:themeColor="text1"/>
          <w:sz w:val="24"/>
          <w:szCs w:val="24"/>
          <w:rtl/>
        </w:rPr>
      </w:pPr>
      <w:r w:rsidRPr="0062340E">
        <w:rPr>
          <w:rFonts w:ascii="Simplified Arabic" w:hAnsi="Simplified Arabic" w:cs="Simplified Arabic" w:hint="cs"/>
          <w:color w:val="000000" w:themeColor="text1"/>
          <w:sz w:val="24"/>
          <w:szCs w:val="24"/>
          <w:rtl/>
          <w:lang w:bidi="ar-DZ"/>
        </w:rPr>
        <w:t>تتفق</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وجهة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نظر</w:t>
      </w:r>
      <w:r w:rsidRPr="0062340E">
        <w:rPr>
          <w:rFonts w:ascii="Simplified Arabic" w:hAnsi="Simplified Arabic" w:cs="Simplified Arabic"/>
          <w:color w:val="000000" w:themeColor="text1"/>
          <w:sz w:val="24"/>
          <w:szCs w:val="24"/>
          <w:rtl/>
          <w:lang w:bidi="ar-DZ"/>
        </w:rPr>
        <w:t xml:space="preserve"> </w:t>
      </w:r>
      <w:r w:rsidRPr="0062340E">
        <w:rPr>
          <w:rFonts w:asciiTheme="majorBidi" w:hAnsiTheme="majorBidi" w:cstheme="majorBidi"/>
          <w:sz w:val="24"/>
          <w:szCs w:val="24"/>
          <w:rtl/>
          <w:lang w:bidi="ar-DZ"/>
        </w:rPr>
        <w:t>(2021</w:t>
      </w:r>
      <w:r w:rsidRPr="0062340E">
        <w:rPr>
          <w:rFonts w:asciiTheme="majorBidi" w:hAnsiTheme="majorBidi" w:cstheme="majorBidi"/>
          <w:sz w:val="24"/>
          <w:szCs w:val="24"/>
          <w:lang w:bidi="ar-DZ"/>
        </w:rPr>
        <w:t xml:space="preserve">Shafiei Dastjerdi et al., </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color w:val="000000" w:themeColor="text1"/>
          <w:sz w:val="24"/>
          <w:szCs w:val="24"/>
          <w:rtl/>
          <w:lang w:bidi="ar-DZ"/>
        </w:rPr>
        <w:t>مع</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شرح</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sz w:val="24"/>
          <w:szCs w:val="24"/>
          <w:rtl/>
          <w:lang w:bidi="ar-DZ"/>
        </w:rPr>
        <w:t>السوسيو-بيئية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تمت</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مناقشتها</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ضمن هذا الفصل،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لان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تركيز</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عمله</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كان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هوية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ووظائفه</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 اجل خلق</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 xml:space="preserve">مع ذلك، قدم </w:t>
      </w:r>
      <w:r w:rsidRPr="0062340E">
        <w:rPr>
          <w:rFonts w:asciiTheme="majorBidi" w:hAnsiTheme="majorBidi" w:cstheme="majorBidi"/>
          <w:sz w:val="24"/>
          <w:szCs w:val="24"/>
          <w:rtl/>
          <w:lang w:bidi="ar-DZ"/>
        </w:rPr>
        <w:t>(2021</w:t>
      </w:r>
      <w:r w:rsidRPr="0062340E">
        <w:rPr>
          <w:rFonts w:asciiTheme="majorBidi" w:hAnsiTheme="majorBidi" w:cstheme="majorBidi"/>
          <w:sz w:val="24"/>
          <w:szCs w:val="24"/>
          <w:lang w:bidi="ar-DZ"/>
        </w:rPr>
        <w:t xml:space="preserve">Shafiei Dastjerdi et al., </w:t>
      </w:r>
      <w:r w:rsidRPr="0062340E">
        <w:rPr>
          <w:rFonts w:asciiTheme="majorBidi" w:hAnsiTheme="majorBidi" w:cstheme="majorBidi"/>
          <w:sz w:val="24"/>
          <w:szCs w:val="24"/>
          <w:rtl/>
          <w:lang w:bidi="ar-DZ"/>
        </w:rPr>
        <w:t>)</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القليل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من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الادلة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وجه</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التحديد</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بشأن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دور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وعلاقة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التوزيع المكاني ل</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color w:val="000000" w:themeColor="text1"/>
          <w:sz w:val="24"/>
          <w:szCs w:val="24"/>
          <w:rtl/>
          <w:lang w:bidi="ar-DZ"/>
        </w:rPr>
        <w:t xml:space="preserve"> الارض</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خلق</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وكذلك</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كيف</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يمكن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تقييم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أو</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إنشاء</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الظروف</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لتحسين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قدرة</w:t>
      </w:r>
      <w:r w:rsidRPr="0062340E">
        <w:rPr>
          <w:rFonts w:ascii="Simplified Arabic" w:hAnsi="Simplified Arabic" w:cs="Simplified Arabic"/>
          <w:color w:val="000000" w:themeColor="text1"/>
          <w:sz w:val="24"/>
          <w:szCs w:val="24"/>
          <w:rtl/>
          <w:lang w:bidi="ar-DZ"/>
        </w:rPr>
        <w:t xml:space="preserve"> </w:t>
      </w:r>
      <w:r w:rsidR="00686292" w:rsidRPr="0062340E">
        <w:rPr>
          <w:rFonts w:ascii="Simplified Arabic" w:hAnsi="Simplified Arabic" w:cs="Simplified Arabic" w:hint="cs"/>
          <w:color w:val="000000" w:themeColor="text1"/>
          <w:sz w:val="24"/>
          <w:szCs w:val="24"/>
          <w:rtl/>
          <w:lang w:bidi="ar-DZ"/>
        </w:rPr>
        <w:t xml:space="preserve">المدينة على </w:t>
      </w:r>
      <w:r w:rsidRPr="0062340E">
        <w:rPr>
          <w:rFonts w:ascii="Simplified Arabic" w:hAnsi="Simplified Arabic" w:cs="Simplified Arabic" w:hint="cs"/>
          <w:color w:val="000000" w:themeColor="text1"/>
          <w:sz w:val="24"/>
          <w:szCs w:val="24"/>
          <w:rtl/>
          <w:lang w:bidi="ar-DZ"/>
        </w:rPr>
        <w:t>الاستجابة</w:t>
      </w:r>
      <w:r w:rsidR="00686292" w:rsidRPr="0062340E">
        <w:rPr>
          <w:rFonts w:ascii="Simplified Arabic" w:hAnsi="Simplified Arabic" w:cs="Simplified Arabic" w:hint="cs"/>
          <w:color w:val="000000" w:themeColor="text1"/>
          <w:sz w:val="24"/>
          <w:szCs w:val="24"/>
          <w:rtl/>
          <w:lang w:bidi="ar-DZ"/>
        </w:rPr>
        <w:t xml:space="preserve"> </w:t>
      </w:r>
      <w:r w:rsidR="006439B6" w:rsidRPr="0062340E">
        <w:rPr>
          <w:rFonts w:ascii="Simplified Arabic" w:hAnsi="Simplified Arabic" w:cs="Simplified Arabic" w:hint="cs"/>
          <w:color w:val="000000" w:themeColor="text1"/>
          <w:sz w:val="24"/>
          <w:szCs w:val="24"/>
          <w:rtl/>
          <w:lang w:bidi="ar-DZ"/>
        </w:rPr>
        <w:t>للأحداث</w:t>
      </w:r>
      <w:r w:rsidR="00E52135" w:rsidRPr="0062340E">
        <w:rPr>
          <w:rFonts w:ascii="Simplified Arabic" w:hAnsi="Simplified Arabic" w:cs="Simplified Arabic" w:hint="cs"/>
          <w:color w:val="000000" w:themeColor="text1"/>
          <w:sz w:val="24"/>
          <w:szCs w:val="24"/>
          <w:rtl/>
          <w:lang w:bidi="ar-DZ"/>
        </w:rPr>
        <w:t>،</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 xml:space="preserve">حيث </w:t>
      </w:r>
      <w:r w:rsidRPr="0062340E">
        <w:rPr>
          <w:rFonts w:ascii="Simplified Arabic" w:hAnsi="Simplified Arabic" w:cs="Simplified Arabic"/>
          <w:color w:val="000000" w:themeColor="text1"/>
          <w:sz w:val="24"/>
          <w:szCs w:val="24"/>
          <w:rtl/>
        </w:rPr>
        <w:t xml:space="preserve">يمكن تجميع عوامل </w:t>
      </w:r>
      <w:r w:rsidRPr="0062340E">
        <w:rPr>
          <w:rFonts w:ascii="Simplified Arabic" w:hAnsi="Simplified Arabic" w:cs="Simplified Arabic" w:hint="cs"/>
          <w:color w:val="000000" w:themeColor="text1"/>
          <w:sz w:val="24"/>
          <w:szCs w:val="24"/>
          <w:rtl/>
        </w:rPr>
        <w:t>المرونة الحضرية</w:t>
      </w:r>
      <w:r w:rsidRPr="0062340E">
        <w:rPr>
          <w:rFonts w:ascii="Simplified Arabic" w:hAnsi="Simplified Arabic" w:cs="Simplified Arabic"/>
          <w:color w:val="000000" w:themeColor="text1"/>
          <w:sz w:val="24"/>
          <w:szCs w:val="24"/>
          <w:rtl/>
        </w:rPr>
        <w:t xml:space="preserve"> القائمة على العوامل الفيزيائية والبشرية</w:t>
      </w:r>
      <w:r w:rsidRPr="0062340E">
        <w:rPr>
          <w:rFonts w:ascii="Simplified Arabic" w:hAnsi="Simplified Arabic" w:cs="Simplified Arabic" w:hint="cs"/>
          <w:color w:val="000000" w:themeColor="text1"/>
          <w:sz w:val="24"/>
          <w:szCs w:val="24"/>
          <w:rtl/>
        </w:rPr>
        <w:t xml:space="preserve"> </w:t>
      </w:r>
      <w:r w:rsidRPr="0062340E">
        <w:rPr>
          <w:rFonts w:asciiTheme="majorBidi" w:hAnsiTheme="majorBidi" w:cstheme="majorBidi"/>
          <w:sz w:val="24"/>
          <w:szCs w:val="24"/>
          <w:rtl/>
        </w:rPr>
        <w:t>(</w:t>
      </w:r>
      <w:r w:rsidRPr="0062340E">
        <w:rPr>
          <w:rFonts w:asciiTheme="majorBidi" w:hAnsiTheme="majorBidi" w:cstheme="majorBidi"/>
          <w:sz w:val="24"/>
          <w:szCs w:val="24"/>
        </w:rPr>
        <w:t>Mayouf and Nouibat, 2022</w:t>
      </w:r>
      <w:r w:rsidRPr="0062340E">
        <w:rPr>
          <w:rFonts w:asciiTheme="majorBidi" w:hAnsiTheme="majorBidi" w:cstheme="majorBidi"/>
          <w:sz w:val="24"/>
          <w:szCs w:val="24"/>
          <w:rtl/>
        </w:rPr>
        <w:t>)</w:t>
      </w:r>
      <w:r w:rsidRPr="0062340E">
        <w:rPr>
          <w:rFonts w:ascii="Simplified Arabic" w:hAnsi="Simplified Arabic" w:cs="Simplified Arabic" w:hint="cs"/>
          <w:color w:val="000000" w:themeColor="text1"/>
          <w:sz w:val="24"/>
          <w:szCs w:val="24"/>
          <w:rtl/>
        </w:rPr>
        <w:t>، في اشارة الى الاستنباط من المقاربة السوسيو-</w:t>
      </w:r>
      <w:r w:rsidR="00686292" w:rsidRPr="0062340E">
        <w:rPr>
          <w:rFonts w:ascii="Simplified Arabic" w:hAnsi="Simplified Arabic" w:cs="Simplified Arabic" w:hint="cs"/>
          <w:sz w:val="24"/>
          <w:szCs w:val="24"/>
          <w:rtl/>
          <w:lang w:bidi="ar-DZ"/>
        </w:rPr>
        <w:t xml:space="preserve"> بيئية</w:t>
      </w:r>
      <w:r w:rsidRPr="0062340E">
        <w:rPr>
          <w:rFonts w:ascii="Simplified Arabic" w:hAnsi="Simplified Arabic" w:cs="Simplified Arabic" w:hint="cs"/>
          <w:color w:val="000000" w:themeColor="text1"/>
          <w:sz w:val="24"/>
          <w:szCs w:val="24"/>
          <w:rtl/>
        </w:rPr>
        <w:t>.</w:t>
      </w:r>
    </w:p>
    <w:p w:rsidR="00A903CE" w:rsidRPr="0062340E" w:rsidRDefault="00A903CE" w:rsidP="0027496A">
      <w:pPr>
        <w:bidi/>
        <w:spacing w:after="0"/>
        <w:ind w:firstLine="282"/>
        <w:jc w:val="both"/>
        <w:rPr>
          <w:rFonts w:ascii="Simplified Arabic" w:hAnsi="Simplified Arabic" w:cs="Simplified Arabic"/>
          <w:color w:val="000000" w:themeColor="text1"/>
          <w:sz w:val="24"/>
          <w:szCs w:val="24"/>
          <w:rtl/>
          <w:lang w:bidi="ar-DZ"/>
        </w:rPr>
      </w:pPr>
      <w:r w:rsidRPr="0062340E">
        <w:rPr>
          <w:rFonts w:ascii="Simplified Arabic" w:hAnsi="Simplified Arabic" w:cs="Simplified Arabic" w:hint="cs"/>
          <w:color w:val="000000" w:themeColor="text1"/>
          <w:sz w:val="24"/>
          <w:szCs w:val="24"/>
          <w:rtl/>
          <w:lang w:bidi="ar-DZ"/>
        </w:rPr>
        <w:t>يبدأ</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القسم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التالي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الربط</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بين</w:t>
      </w:r>
      <w:r w:rsidRPr="0062340E">
        <w:rPr>
          <w:rFonts w:ascii="Simplified Arabic" w:hAnsi="Simplified Arabic" w:cs="Simplified Arabic"/>
          <w:color w:val="000000" w:themeColor="text1"/>
          <w:sz w:val="24"/>
          <w:szCs w:val="24"/>
          <w:rtl/>
          <w:lang w:bidi="ar-DZ"/>
        </w:rPr>
        <w:t xml:space="preserve"> </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color w:val="000000" w:themeColor="text1"/>
          <w:sz w:val="24"/>
          <w:szCs w:val="24"/>
          <w:rtl/>
          <w:lang w:bidi="ar-DZ"/>
        </w:rPr>
        <w:t>ات الارض والمرونة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ودور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التوزيع المكاني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خلق</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الشروط</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المسبقة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للمرونة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الحضرية</w:t>
      </w:r>
      <w:r w:rsidRPr="0062340E">
        <w:rPr>
          <w:rFonts w:ascii="Simplified Arabic" w:hAnsi="Simplified Arabic" w:cs="Simplified Arabic"/>
          <w:color w:val="000000" w:themeColor="text1"/>
          <w:sz w:val="24"/>
          <w:szCs w:val="24"/>
          <w:rtl/>
          <w:lang w:bidi="ar-DZ"/>
        </w:rPr>
        <w:t>.</w:t>
      </w:r>
      <w:r w:rsidRPr="0062340E">
        <w:rPr>
          <w:rFonts w:ascii="Simplified Arabic" w:hAnsi="Simplified Arabic" w:cs="Simplified Arabic" w:hint="cs"/>
          <w:color w:val="000000" w:themeColor="text1"/>
          <w:sz w:val="24"/>
          <w:szCs w:val="24"/>
          <w:rtl/>
          <w:lang w:bidi="ar-DZ"/>
        </w:rPr>
        <w:t xml:space="preserve"> </w:t>
      </w:r>
    </w:p>
    <w:p w:rsidR="00A903CE" w:rsidRPr="0062340E" w:rsidRDefault="00A903CE" w:rsidP="001D0548">
      <w:pPr>
        <w:pStyle w:val="Paragraphedeliste"/>
        <w:numPr>
          <w:ilvl w:val="2"/>
          <w:numId w:val="201"/>
        </w:numPr>
        <w:tabs>
          <w:tab w:val="right" w:pos="850"/>
        </w:tabs>
        <w:bidi/>
        <w:spacing w:before="240" w:after="0"/>
        <w:ind w:left="0" w:firstLine="0"/>
        <w:jc w:val="both"/>
        <w:outlineLvl w:val="1"/>
        <w:rPr>
          <w:rFonts w:ascii="Simplified Arabic" w:hAnsi="Simplified Arabic" w:cs="Simplified Arabic"/>
          <w:b/>
          <w:bCs/>
          <w:color w:val="000000" w:themeColor="text1"/>
          <w:sz w:val="24"/>
          <w:szCs w:val="24"/>
          <w:lang w:bidi="ar-DZ"/>
        </w:rPr>
      </w:pPr>
      <w:bookmarkStart w:id="245" w:name="_Toc171803406"/>
      <w:r w:rsidRPr="0062340E">
        <w:rPr>
          <w:rFonts w:ascii="Simplified Arabic" w:hAnsi="Simplified Arabic" w:cs="Simplified Arabic" w:hint="cs"/>
          <w:b/>
          <w:bCs/>
          <w:color w:val="000000" w:themeColor="text1"/>
          <w:sz w:val="24"/>
          <w:szCs w:val="24"/>
          <w:rtl/>
          <w:lang w:bidi="ar-DZ"/>
        </w:rPr>
        <w:lastRenderedPageBreak/>
        <w:t>دور</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التوزيع المكاني</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في</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خلق</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المرونة</w:t>
      </w:r>
      <w:r w:rsidRPr="0062340E">
        <w:rPr>
          <w:rFonts w:ascii="Simplified Arabic" w:hAnsi="Simplified Arabic" w:cs="Simplified Arabic"/>
          <w:b/>
          <w:bCs/>
          <w:color w:val="000000" w:themeColor="text1"/>
          <w:sz w:val="24"/>
          <w:szCs w:val="24"/>
          <w:rtl/>
          <w:lang w:bidi="ar-DZ"/>
        </w:rPr>
        <w:t xml:space="preserve"> </w:t>
      </w:r>
      <w:r w:rsidRPr="0062340E">
        <w:rPr>
          <w:rFonts w:ascii="Simplified Arabic" w:hAnsi="Simplified Arabic" w:cs="Simplified Arabic" w:hint="cs"/>
          <w:b/>
          <w:bCs/>
          <w:color w:val="000000" w:themeColor="text1"/>
          <w:sz w:val="24"/>
          <w:szCs w:val="24"/>
          <w:rtl/>
          <w:lang w:bidi="ar-DZ"/>
        </w:rPr>
        <w:t>الحضرية</w:t>
      </w:r>
      <w:bookmarkEnd w:id="245"/>
    </w:p>
    <w:p w:rsidR="00A903CE" w:rsidRPr="0062340E" w:rsidRDefault="00A903CE" w:rsidP="00D5519C">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color w:val="000000" w:themeColor="text1"/>
          <w:sz w:val="24"/>
          <w:szCs w:val="24"/>
          <w:rtl/>
          <w:lang w:bidi="ar-DZ"/>
        </w:rPr>
        <w:t>اوضح</w:t>
      </w:r>
      <w:r w:rsidRPr="0062340E">
        <w:rPr>
          <w:rFonts w:ascii="Simplified Arabic" w:hAnsi="Simplified Arabic" w:cs="Simplified Arabic"/>
          <w:color w:val="000000" w:themeColor="text1"/>
          <w:sz w:val="24"/>
          <w:szCs w:val="24"/>
          <w:rtl/>
          <w:lang w:bidi="ar-DZ"/>
        </w:rPr>
        <w:t xml:space="preserve"> </w:t>
      </w:r>
      <w:r w:rsidRPr="0062340E">
        <w:rPr>
          <w:rFonts w:asciiTheme="majorBidi" w:hAnsiTheme="majorBidi" w:cstheme="majorBidi"/>
          <w:sz w:val="24"/>
          <w:szCs w:val="24"/>
          <w:rtl/>
          <w:lang w:bidi="ar-DZ"/>
        </w:rPr>
        <w:t>(2021</w:t>
      </w:r>
      <w:r w:rsidRPr="0062340E">
        <w:rPr>
          <w:rFonts w:asciiTheme="majorBidi" w:hAnsiTheme="majorBidi" w:cstheme="majorBidi"/>
          <w:sz w:val="24"/>
          <w:szCs w:val="24"/>
          <w:lang w:bidi="ar-DZ"/>
        </w:rPr>
        <w:t xml:space="preserve">Shafiei Dastjerdi et al., </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ان </w:t>
      </w:r>
      <w:r w:rsidRPr="0062340E">
        <w:rPr>
          <w:rFonts w:ascii="Simplified Arabic" w:hAnsi="Simplified Arabic" w:cs="Simplified Arabic" w:hint="cs"/>
          <w:color w:val="000000" w:themeColor="text1"/>
          <w:sz w:val="24"/>
          <w:szCs w:val="24"/>
          <w:rtl/>
          <w:lang w:bidi="ar-DZ"/>
        </w:rPr>
        <w:t>النهج</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العام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للمرونة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يمكن نقله</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بسهولة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إلى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البعد</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 (المجال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 يرجع</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ذلك إلى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حقيقة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أن</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الأسئلة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المتعلقة بالكثافة الحضرية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والتنوع</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توزيع</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العناصر،</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وكذلك</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كيفية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تأثيرها</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على</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المقاييس</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المكانية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والزمانية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شائعة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في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عدة مجالات مثل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الجغرافيا</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الحضرية</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والتشكيل</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والتصميم</w:t>
      </w:r>
      <w:r w:rsidRPr="0062340E">
        <w:rPr>
          <w:rFonts w:ascii="Simplified Arabic" w:hAnsi="Simplified Arabic" w:cs="Simplified Arabic"/>
          <w:color w:val="000000" w:themeColor="text1"/>
          <w:sz w:val="24"/>
          <w:szCs w:val="24"/>
          <w:rtl/>
          <w:lang w:bidi="ar-DZ"/>
        </w:rPr>
        <w:t xml:space="preserve"> </w:t>
      </w:r>
      <w:r w:rsidRPr="0062340E">
        <w:rPr>
          <w:rFonts w:ascii="Simplified Arabic" w:hAnsi="Simplified Arabic" w:cs="Simplified Arabic" w:hint="cs"/>
          <w:color w:val="000000" w:themeColor="text1"/>
          <w:sz w:val="24"/>
          <w:szCs w:val="24"/>
          <w:rtl/>
          <w:lang w:bidi="ar-DZ"/>
        </w:rPr>
        <w:t>الحضري</w:t>
      </w:r>
      <w:r w:rsidRPr="0062340E">
        <w:rPr>
          <w:rFonts w:ascii="Simplified Arabic" w:hAnsi="Simplified Arabic" w:cs="Simplified Arabic"/>
          <w:color w:val="000000" w:themeColor="text1"/>
          <w:sz w:val="24"/>
          <w:szCs w:val="24"/>
          <w:rtl/>
          <w:lang w:bidi="ar-DZ"/>
        </w:rPr>
        <w:t xml:space="preserve"> </w:t>
      </w:r>
      <w:r w:rsidRPr="0062340E">
        <w:rPr>
          <w:rFonts w:asciiTheme="majorBidi" w:hAnsiTheme="majorBidi" w:cstheme="majorBidi"/>
          <w:color w:val="0D0D0D"/>
          <w:sz w:val="24"/>
          <w:szCs w:val="24"/>
        </w:rPr>
        <w:t>(Moudon, 1994; Oliveira, 2016)</w:t>
      </w:r>
      <w:r w:rsidRPr="0062340E">
        <w:rPr>
          <w:rFonts w:ascii="Simplified Arabic" w:hAnsi="Simplified Arabic" w:cs="Simplified Arabic"/>
          <w:color w:val="000000" w:themeColor="text1"/>
          <w:sz w:val="24"/>
          <w:szCs w:val="24"/>
          <w:rtl/>
          <w:lang w:bidi="ar-DZ"/>
        </w:rPr>
        <w:t>.</w:t>
      </w:r>
      <w:r w:rsidRPr="0062340E">
        <w:rPr>
          <w:rFonts w:ascii="Simplified Arabic" w:hAnsi="Simplified Arabic" w:cs="Simplified Arabic" w:hint="cs"/>
          <w:color w:val="000000" w:themeColor="text1"/>
          <w:sz w:val="24"/>
          <w:szCs w:val="24"/>
          <w:rtl/>
          <w:lang w:bidi="ar-DZ"/>
        </w:rPr>
        <w:t xml:space="preserve"> </w:t>
      </w:r>
      <w:r w:rsidRPr="0062340E">
        <w:rPr>
          <w:rFonts w:ascii="Simplified Arabic" w:hAnsi="Simplified Arabic" w:cs="Simplified Arabic" w:hint="cs"/>
          <w:sz w:val="24"/>
          <w:szCs w:val="24"/>
          <w:rtl/>
          <w:lang w:bidi="ar-DZ"/>
        </w:rPr>
        <w:t>بدأت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مجالات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الدراسة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أيضًا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رؤية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المدن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كنظم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تكيفية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معقدة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color w:val="0D0D0D"/>
          <w:sz w:val="24"/>
          <w:szCs w:val="24"/>
        </w:rPr>
        <w:t>(</w:t>
      </w:r>
      <w:r w:rsidR="00F04897" w:rsidRPr="0062340E">
        <w:rPr>
          <w:rFonts w:asciiTheme="majorBidi" w:hAnsiTheme="majorBidi" w:cs="Times New Roman"/>
          <w:color w:val="000000" w:themeColor="text1"/>
          <w:sz w:val="24"/>
          <w:szCs w:val="24"/>
        </w:rPr>
        <w:t>Nel et al., 2018</w:t>
      </w:r>
      <w:r w:rsidRPr="0062340E">
        <w:rPr>
          <w:rFonts w:asciiTheme="majorBidi" w:hAnsiTheme="majorBidi" w:cstheme="majorBidi"/>
          <w:color w:val="0D0D0D"/>
          <w:sz w:val="24"/>
          <w:szCs w:val="24"/>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مما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يعني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استخدام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الأساليب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والتقنيات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تطويرها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مجالات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الجغرافيا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والتشكيل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والتصميم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الحضري كتقنية نظم المعلومات الجغرافية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GIS</w:t>
      </w:r>
      <w:r w:rsidRPr="0062340E">
        <w:rPr>
          <w:rFonts w:asciiTheme="majorBidi" w:hAnsiTheme="majorBidi" w:cstheme="majorBidi"/>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للبدء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طرح</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الأسئلة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وإعادة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تفسير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منظور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مكاني</w:t>
      </w:r>
      <w:r w:rsidRPr="0062340E">
        <w:rPr>
          <w:rFonts w:ascii="Simplified Arabic" w:hAnsi="Simplified Arabic" w:cs="Simplified Arabic"/>
          <w:sz w:val="24"/>
          <w:szCs w:val="24"/>
          <w:rtl/>
          <w:lang w:bidi="ar-DZ"/>
        </w:rPr>
        <w:t>.</w:t>
      </w:r>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علاوة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ذلك،</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التوزيع المكاني ل</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lang w:bidi="ar-DZ"/>
        </w:rPr>
        <w:t xml:space="preserve"> الارض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ضمن الانسجة الحضرية المكونة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للمدينة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يمكن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ملاحظته بسهولة،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ويمثل انطلاقة حقيقية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لدراسة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تأثير</w:t>
      </w:r>
      <w:r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الخصائص</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للمدينة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 الحضرية</w:t>
      </w:r>
      <w:r w:rsidRPr="0062340E">
        <w:rPr>
          <w:rFonts w:ascii="Simplified Arabic" w:hAnsi="Simplified Arabic" w:cs="Simplified Arabic"/>
          <w:sz w:val="24"/>
          <w:szCs w:val="24"/>
          <w:rtl/>
          <w:lang w:bidi="ar-DZ"/>
        </w:rPr>
        <w:t>.</w:t>
      </w:r>
      <w:r w:rsidR="00686292"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sz w:val="24"/>
          <w:szCs w:val="24"/>
          <w:rtl/>
          <w:lang w:bidi="ar-DZ"/>
        </w:rPr>
        <w:t>ضمن</w:t>
      </w:r>
      <w:r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 xml:space="preserve">هذه </w:t>
      </w:r>
      <w:r w:rsidRPr="0062340E">
        <w:rPr>
          <w:rFonts w:ascii="Simplified Arabic" w:hAnsi="Simplified Arabic" w:cs="Simplified Arabic" w:hint="cs"/>
          <w:sz w:val="24"/>
          <w:szCs w:val="24"/>
          <w:rtl/>
          <w:lang w:bidi="ar-DZ"/>
        </w:rPr>
        <w:t>النظر</w:t>
      </w:r>
      <w:r w:rsidR="00686292" w:rsidRPr="0062340E">
        <w:rPr>
          <w:rFonts w:ascii="Simplified Arabic" w:hAnsi="Simplified Arabic" w:cs="Simplified Arabic" w:hint="cs"/>
          <w:sz w:val="24"/>
          <w:szCs w:val="24"/>
          <w:rtl/>
          <w:lang w:bidi="ar-DZ"/>
        </w:rPr>
        <w:t>ة</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يكون</w:t>
      </w:r>
      <w:r w:rsidRPr="0062340E">
        <w:rPr>
          <w:rFonts w:ascii="Simplified Arabic" w:hAnsi="Simplified Arabic" w:cs="Simplified Arabic"/>
          <w:sz w:val="24"/>
          <w:szCs w:val="24"/>
          <w:rtl/>
          <w:lang w:bidi="ar-DZ"/>
        </w:rPr>
        <w:t xml:space="preserve"> </w:t>
      </w:r>
      <w:r w:rsidR="006E007D" w:rsidRPr="0062340E">
        <w:rPr>
          <w:rFonts w:ascii="Simplified Arabic" w:hAnsi="Simplified Arabic" w:cs="Simplified Arabic" w:hint="cs"/>
          <w:sz w:val="24"/>
          <w:szCs w:val="24"/>
          <w:rtl/>
          <w:lang w:bidi="ar-DZ"/>
        </w:rPr>
        <w:t>الاستعمال</w:t>
      </w:r>
      <w:r w:rsidRPr="0062340E">
        <w:rPr>
          <w:rFonts w:ascii="Simplified Arabic" w:hAnsi="Simplified Arabic" w:cs="Simplified Arabic" w:hint="cs"/>
          <w:sz w:val="24"/>
          <w:szCs w:val="24"/>
          <w:rtl/>
          <w:lang w:bidi="ar-DZ"/>
        </w:rPr>
        <w:t xml:space="preserve"> المتوافق للأرض الحضرية من خلال التوزيع المكاني</w:t>
      </w:r>
      <w:r w:rsidR="00686292" w:rsidRPr="0062340E">
        <w:rPr>
          <w:rFonts w:ascii="Simplified Arabic" w:hAnsi="Simplified Arabic" w:cs="Simplified Arabic" w:hint="cs"/>
          <w:sz w:val="24"/>
          <w:szCs w:val="24"/>
          <w:rtl/>
          <w:lang w:bidi="ar-DZ"/>
        </w:rPr>
        <w:t xml:space="preserve"> المناسب</w:t>
      </w:r>
      <w:r w:rsidRPr="0062340E">
        <w:rPr>
          <w:rFonts w:ascii="Simplified Arabic" w:hAnsi="Simplified Arabic" w:cs="Simplified Arabic" w:hint="cs"/>
          <w:sz w:val="24"/>
          <w:szCs w:val="24"/>
          <w:rtl/>
          <w:lang w:bidi="ar-DZ"/>
        </w:rPr>
        <w:t xml:space="preserve"> للعناصر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قادرًا</w:t>
      </w:r>
      <w:r w:rsidRPr="0062340E">
        <w:rPr>
          <w:rFonts w:ascii="Simplified Arabic" w:hAnsi="Simplified Arabic" w:cs="Simplified Arabic"/>
          <w:sz w:val="24"/>
          <w:szCs w:val="24"/>
          <w:rtl/>
          <w:lang w:bidi="ar-DZ"/>
        </w:rPr>
        <w:t xml:space="preserve"> </w:t>
      </w:r>
      <w:r w:rsidR="00686292" w:rsidRPr="0062340E">
        <w:rPr>
          <w:rFonts w:ascii="Simplified Arabic" w:hAnsi="Simplified Arabic" w:cs="Simplified Arabic" w:hint="cs"/>
          <w:sz w:val="24"/>
          <w:szCs w:val="24"/>
          <w:rtl/>
          <w:lang w:bidi="ar-DZ"/>
        </w:rPr>
        <w:t>ل</w:t>
      </w:r>
      <w:r w:rsidRPr="0062340E">
        <w:rPr>
          <w:rFonts w:ascii="Simplified Arabic" w:hAnsi="Simplified Arabic" w:cs="Simplified Arabic" w:hint="cs"/>
          <w:sz w:val="24"/>
          <w:szCs w:val="24"/>
          <w:rtl/>
          <w:lang w:bidi="ar-DZ"/>
        </w:rPr>
        <w:t>لحفاظ</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سلامة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w:t>
      </w:r>
      <w:r w:rsidR="00686292"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لأنه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يبني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كيفية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تدفق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السلع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والمعلومات</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داخل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المدينة</w:t>
      </w:r>
      <w:r w:rsidRPr="0062340E">
        <w:rPr>
          <w:rFonts w:ascii="Simplified Arabic" w:hAnsi="Simplified Arabic" w:cs="Simplified Arabic"/>
          <w:sz w:val="24"/>
          <w:szCs w:val="24"/>
          <w:rtl/>
          <w:lang w:bidi="ar-DZ"/>
        </w:rPr>
        <w:t xml:space="preserve"> </w:t>
      </w:r>
      <w:r w:rsidRPr="0062340E">
        <w:rPr>
          <w:rFonts w:asciiTheme="majorBidi" w:hAnsiTheme="majorBidi" w:cstheme="majorBidi"/>
          <w:color w:val="0D0D0D"/>
          <w:sz w:val="24"/>
          <w:szCs w:val="24"/>
        </w:rPr>
        <w:t>(Neal, 2013; Salat, 2017)</w:t>
      </w:r>
      <w:r w:rsidR="00686292" w:rsidRPr="0062340E">
        <w:rPr>
          <w:rFonts w:ascii="Simplified Arabic" w:hAnsi="Simplified Arabic" w:cs="Simplified Arabic" w:hint="cs"/>
          <w:sz w:val="24"/>
          <w:szCs w:val="24"/>
          <w:rtl/>
          <w:lang w:bidi="ar-DZ"/>
        </w:rPr>
        <w:t xml:space="preserve"> </w:t>
      </w:r>
      <w:r w:rsidRPr="0062340E">
        <w:rPr>
          <w:rFonts w:ascii="Simplified Arabic" w:hAnsi="Simplified Arabic" w:cs="Simplified Arabic" w:hint="cs"/>
          <w:sz w:val="24"/>
          <w:szCs w:val="24"/>
          <w:rtl/>
          <w:lang w:bidi="ar-DZ"/>
        </w:rPr>
        <w:t>وهذا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بدوره</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يؤثر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مدى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قدرة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الاستجابة،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قبل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وأثناء</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وبعد</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الاضطراب</w:t>
      </w:r>
      <w:r w:rsidRPr="0062340E">
        <w:rPr>
          <w:rFonts w:ascii="Simplified Arabic" w:hAnsi="Simplified Arabic" w:cs="Simplified Arabic"/>
          <w:sz w:val="24"/>
          <w:szCs w:val="24"/>
          <w:rtl/>
          <w:lang w:bidi="ar-DZ"/>
        </w:rPr>
        <w:t xml:space="preserve"> </w:t>
      </w:r>
      <w:r w:rsidRPr="0062340E">
        <w:rPr>
          <w:rFonts w:asciiTheme="majorBidi" w:hAnsiTheme="majorBidi" w:cstheme="majorBidi"/>
          <w:color w:val="0D0D0D"/>
          <w:sz w:val="24"/>
          <w:szCs w:val="24"/>
        </w:rPr>
        <w:t>(Allan et al., 2013)</w:t>
      </w:r>
      <w:r w:rsidRPr="0062340E">
        <w:rPr>
          <w:rFonts w:ascii="Simplified Arabic" w:hAnsi="Simplified Arabic" w:cs="Simplified Arabic"/>
          <w:sz w:val="24"/>
          <w:szCs w:val="24"/>
          <w:rtl/>
          <w:lang w:bidi="ar-DZ"/>
        </w:rPr>
        <w:t>.</w:t>
      </w:r>
    </w:p>
    <w:p w:rsidR="00A903CE" w:rsidRPr="0062340E" w:rsidRDefault="00A903CE" w:rsidP="0027496A">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ضمن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هذا</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المنظور،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فإن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التوزيع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المكاني لنمط </w:t>
      </w:r>
      <w:r w:rsidR="0027496A" w:rsidRPr="0062340E">
        <w:rPr>
          <w:rFonts w:ascii="Simplified Arabic" w:hAnsi="Simplified Arabic" w:cs="Simplified Arabic" w:hint="cs"/>
          <w:sz w:val="24"/>
          <w:szCs w:val="24"/>
          <w:rtl/>
        </w:rPr>
        <w:t>استعمال</w:t>
      </w:r>
      <w:r w:rsidRPr="0062340E">
        <w:rPr>
          <w:rFonts w:ascii="Simplified Arabic" w:hAnsi="Simplified Arabic" w:cs="Simplified Arabic" w:hint="cs"/>
          <w:sz w:val="24"/>
          <w:szCs w:val="24"/>
          <w:rtl/>
          <w:lang w:bidi="ar-DZ"/>
        </w:rPr>
        <w:t xml:space="preserve"> الارض،</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يمكن ان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يخلق</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الإطار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المطلوب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لوضع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الشروط</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المسبقة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ليكون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 xml:space="preserve">لديه </w:t>
      </w:r>
      <w:r w:rsidR="00752AE2" w:rsidRPr="0062340E">
        <w:rPr>
          <w:rFonts w:ascii="Simplified Arabic" w:hAnsi="Simplified Arabic" w:cs="Simplified Arabic" w:hint="cs"/>
          <w:sz w:val="24"/>
          <w:szCs w:val="24"/>
          <w:rtl/>
          <w:lang w:bidi="ar-DZ"/>
        </w:rPr>
        <w:t>ال</w:t>
      </w:r>
      <w:r w:rsidRPr="0062340E">
        <w:rPr>
          <w:rFonts w:ascii="Simplified Arabic" w:hAnsi="Simplified Arabic" w:cs="Simplified Arabic" w:hint="cs"/>
          <w:sz w:val="24"/>
          <w:szCs w:val="24"/>
          <w:rtl/>
          <w:lang w:bidi="ar-DZ"/>
        </w:rPr>
        <w:t xml:space="preserve">قدرة </w:t>
      </w:r>
      <w:r w:rsidR="00752AE2" w:rsidRPr="0062340E">
        <w:rPr>
          <w:rFonts w:ascii="Simplified Arabic" w:hAnsi="Simplified Arabic" w:cs="Simplified Arabic" w:hint="cs"/>
          <w:sz w:val="24"/>
          <w:szCs w:val="24"/>
          <w:rtl/>
          <w:lang w:bidi="ar-DZ"/>
        </w:rPr>
        <w:t xml:space="preserve">على </w:t>
      </w:r>
      <w:r w:rsidRPr="0062340E">
        <w:rPr>
          <w:rFonts w:ascii="Simplified Arabic" w:hAnsi="Simplified Arabic" w:cs="Simplified Arabic" w:hint="cs"/>
          <w:sz w:val="24"/>
          <w:szCs w:val="24"/>
          <w:rtl/>
          <w:lang w:bidi="ar-DZ"/>
        </w:rPr>
        <w:t>الاستجابة</w:t>
      </w:r>
      <w:r w:rsidRPr="0062340E">
        <w:rPr>
          <w:rFonts w:ascii="Simplified Arabic" w:hAnsi="Simplified Arabic" w:cs="Simplified Arabic"/>
          <w:sz w:val="24"/>
          <w:szCs w:val="24"/>
          <w:rtl/>
          <w:lang w:bidi="ar-DZ"/>
        </w:rPr>
        <w:t>.</w:t>
      </w:r>
    </w:p>
    <w:p w:rsidR="00A903CE" w:rsidRPr="0062340E" w:rsidRDefault="00A903CE" w:rsidP="00752AE2">
      <w:pPr>
        <w:bidi/>
        <w:spacing w:after="0"/>
        <w:ind w:firstLine="282"/>
        <w:jc w:val="both"/>
        <w:rPr>
          <w:rFonts w:ascii="Simplified Arabic" w:hAnsi="Simplified Arabic" w:cs="Simplified Arabic"/>
          <w:sz w:val="24"/>
          <w:szCs w:val="24"/>
          <w:rtl/>
          <w:lang w:bidi="ar-DZ"/>
        </w:rPr>
      </w:pPr>
      <w:r w:rsidRPr="0062340E">
        <w:rPr>
          <w:rFonts w:ascii="Simplified Arabic" w:hAnsi="Simplified Arabic" w:cs="Simplified Arabic" w:hint="cs"/>
          <w:sz w:val="24"/>
          <w:szCs w:val="24"/>
          <w:rtl/>
          <w:lang w:bidi="ar-DZ"/>
        </w:rPr>
        <w:t>باستخدام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التصور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الواسع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المكانية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النحو</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الذي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اقترحه</w:t>
      </w:r>
      <w:r w:rsidRPr="0062340E">
        <w:rPr>
          <w:rFonts w:ascii="Simplified Arabic" w:hAnsi="Simplified Arabic" w:cs="Simplified Arabic"/>
          <w:sz w:val="24"/>
          <w:szCs w:val="24"/>
          <w:rtl/>
          <w:lang w:bidi="ar-DZ"/>
        </w:rPr>
        <w:t xml:space="preserve"> </w:t>
      </w:r>
      <w:r w:rsidRPr="0062340E">
        <w:rPr>
          <w:rFonts w:asciiTheme="majorBidi" w:hAnsiTheme="majorBidi" w:cstheme="majorBidi"/>
          <w:sz w:val="24"/>
          <w:szCs w:val="24"/>
          <w:rtl/>
          <w:lang w:bidi="ar-DZ"/>
        </w:rPr>
        <w:t>(</w:t>
      </w:r>
      <w:r w:rsidRPr="0062340E">
        <w:rPr>
          <w:rFonts w:asciiTheme="majorBidi" w:hAnsiTheme="majorBidi" w:cstheme="majorBidi"/>
          <w:sz w:val="24"/>
          <w:szCs w:val="24"/>
          <w:lang w:bidi="ar-DZ"/>
        </w:rPr>
        <w:t>Romice et al., 2020</w:t>
      </w:r>
      <w:r w:rsidRPr="0062340E">
        <w:rPr>
          <w:rFonts w:asciiTheme="majorBidi" w:hAnsiTheme="majorBidi" w:cstheme="majorBidi"/>
          <w:sz w:val="24"/>
          <w:szCs w:val="24"/>
          <w:rtl/>
          <w:lang w:bidi="ar-DZ"/>
        </w:rPr>
        <w:t>)</w:t>
      </w:r>
      <w:r w:rsidRPr="0062340E">
        <w:rPr>
          <w:rFonts w:ascii="Simplified Arabic" w:hAnsi="Simplified Arabic" w:cs="Simplified Arabic" w:hint="cs"/>
          <w:sz w:val="24"/>
          <w:szCs w:val="24"/>
          <w:rtl/>
          <w:lang w:bidi="ar-DZ"/>
        </w:rPr>
        <w:t>،</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يرى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هذا البحث</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المرونة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يجب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تُفهم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على</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أنها</w:t>
      </w:r>
      <w:r w:rsidRPr="0062340E">
        <w:rPr>
          <w:rFonts w:ascii="Simplified Arabic" w:hAnsi="Simplified Arabic" w:cs="Simplified Arabic"/>
          <w:sz w:val="24"/>
          <w:szCs w:val="24"/>
          <w:rtl/>
          <w:lang w:bidi="ar-DZ"/>
        </w:rPr>
        <w:t xml:space="preserve"> </w:t>
      </w:r>
      <w:r w:rsidR="00752AE2" w:rsidRPr="0062340E">
        <w:rPr>
          <w:rFonts w:ascii="Simplified Arabic" w:hAnsi="Simplified Arabic" w:cs="Simplified Arabic" w:hint="cs"/>
          <w:sz w:val="24"/>
          <w:szCs w:val="24"/>
          <w:rtl/>
          <w:lang w:bidi="ar-DZ"/>
        </w:rPr>
        <w:t xml:space="preserve">الكفاءة في </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توزيع</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العناصر</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الحضرية</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التي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تشكل</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النظام</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الفيزيائي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للمدن</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المباني،</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المساحات المفتوحة والشوارع</w:t>
      </w:r>
      <w:r w:rsidRPr="0062340E">
        <w:rPr>
          <w:rFonts w:ascii="Simplified Arabic" w:hAnsi="Simplified Arabic" w:cs="Simplified Arabic"/>
          <w:sz w:val="24"/>
          <w:szCs w:val="24"/>
          <w:rtl/>
          <w:lang w:bidi="ar-DZ"/>
        </w:rPr>
        <w:t xml:space="preserve">) </w:t>
      </w:r>
      <w:r w:rsidR="00752AE2" w:rsidRPr="0062340E">
        <w:rPr>
          <w:rFonts w:ascii="Simplified Arabic" w:hAnsi="Simplified Arabic" w:cs="Simplified Arabic" w:hint="cs"/>
          <w:sz w:val="24"/>
          <w:szCs w:val="24"/>
          <w:rtl/>
          <w:lang w:bidi="ar-DZ"/>
        </w:rPr>
        <w:t>تسمح ب</w:t>
      </w:r>
      <w:r w:rsidRPr="0062340E">
        <w:rPr>
          <w:rFonts w:ascii="Simplified Arabic" w:hAnsi="Simplified Arabic" w:cs="Simplified Arabic" w:hint="cs"/>
          <w:sz w:val="24"/>
          <w:szCs w:val="24"/>
          <w:rtl/>
          <w:lang w:bidi="ar-DZ"/>
        </w:rPr>
        <w:t>تكو</w:t>
      </w:r>
      <w:r w:rsidR="00752AE2" w:rsidRPr="0062340E">
        <w:rPr>
          <w:rFonts w:ascii="Simplified Arabic" w:hAnsi="Simplified Arabic" w:cs="Simplified Arabic" w:hint="cs"/>
          <w:sz w:val="24"/>
          <w:szCs w:val="24"/>
          <w:rtl/>
          <w:lang w:bidi="ar-DZ"/>
        </w:rPr>
        <w:t>ي</w:t>
      </w:r>
      <w:r w:rsidRPr="0062340E">
        <w:rPr>
          <w:rFonts w:ascii="Simplified Arabic" w:hAnsi="Simplified Arabic" w:cs="Simplified Arabic" w:hint="cs"/>
          <w:sz w:val="24"/>
          <w:szCs w:val="24"/>
          <w:rtl/>
          <w:lang w:bidi="ar-DZ"/>
        </w:rPr>
        <w:t xml:space="preserve">ن </w:t>
      </w:r>
      <w:r w:rsidR="00752AE2" w:rsidRPr="0062340E">
        <w:rPr>
          <w:rFonts w:ascii="Simplified Arabic" w:hAnsi="Simplified Arabic" w:cs="Simplified Arabic" w:hint="cs"/>
          <w:sz w:val="24"/>
          <w:szCs w:val="24"/>
          <w:rtl/>
          <w:lang w:bidi="ar-DZ"/>
        </w:rPr>
        <w:t>ال</w:t>
      </w:r>
      <w:r w:rsidRPr="0062340E">
        <w:rPr>
          <w:rFonts w:ascii="Simplified Arabic" w:hAnsi="Simplified Arabic" w:cs="Simplified Arabic" w:hint="cs"/>
          <w:sz w:val="24"/>
          <w:szCs w:val="24"/>
          <w:rtl/>
          <w:lang w:bidi="ar-DZ"/>
        </w:rPr>
        <w:t xml:space="preserve">قدرة </w:t>
      </w:r>
      <w:r w:rsidR="00752AE2" w:rsidRPr="0062340E">
        <w:rPr>
          <w:rFonts w:ascii="Simplified Arabic" w:hAnsi="Simplified Arabic" w:cs="Simplified Arabic" w:hint="cs"/>
          <w:sz w:val="24"/>
          <w:szCs w:val="24"/>
          <w:rtl/>
          <w:lang w:bidi="ar-DZ"/>
        </w:rPr>
        <w:t>على ال</w:t>
      </w:r>
      <w:r w:rsidRPr="0062340E">
        <w:rPr>
          <w:rFonts w:ascii="Simplified Arabic" w:hAnsi="Simplified Arabic" w:cs="Simplified Arabic" w:hint="cs"/>
          <w:sz w:val="24"/>
          <w:szCs w:val="24"/>
          <w:rtl/>
          <w:lang w:bidi="ar-DZ"/>
        </w:rPr>
        <w:t xml:space="preserve">استجابة </w:t>
      </w:r>
      <w:r w:rsidR="00752AE2" w:rsidRPr="0062340E">
        <w:rPr>
          <w:rFonts w:ascii="Simplified Arabic" w:hAnsi="Simplified Arabic" w:cs="Simplified Arabic" w:hint="cs"/>
          <w:sz w:val="24"/>
          <w:szCs w:val="24"/>
          <w:rtl/>
          <w:lang w:bidi="ar-DZ"/>
        </w:rPr>
        <w:t>ل</w:t>
      </w:r>
      <w:r w:rsidRPr="0062340E">
        <w:rPr>
          <w:rFonts w:ascii="Simplified Arabic" w:hAnsi="Simplified Arabic" w:cs="Simplified Arabic" w:hint="cs"/>
          <w:sz w:val="24"/>
          <w:szCs w:val="24"/>
          <w:rtl/>
          <w:lang w:bidi="ar-DZ"/>
        </w:rPr>
        <w:t>استيعاب</w:t>
      </w:r>
      <w:r w:rsidRPr="0062340E">
        <w:rPr>
          <w:rFonts w:ascii="Simplified Arabic" w:hAnsi="Simplified Arabic" w:cs="Simplified Arabic"/>
          <w:sz w:val="24"/>
          <w:szCs w:val="24"/>
          <w:rtl/>
          <w:lang w:bidi="ar-DZ"/>
        </w:rPr>
        <w:t xml:space="preserve"> </w:t>
      </w:r>
      <w:r w:rsidRPr="0062340E">
        <w:rPr>
          <w:rFonts w:ascii="Simplified Arabic" w:hAnsi="Simplified Arabic" w:cs="Simplified Arabic" w:hint="cs"/>
          <w:sz w:val="24"/>
          <w:szCs w:val="24"/>
          <w:rtl/>
          <w:lang w:bidi="ar-DZ"/>
        </w:rPr>
        <w:t>الاضطرابات</w:t>
      </w:r>
      <w:r w:rsidRPr="0062340E">
        <w:rPr>
          <w:rFonts w:ascii="Simplified Arabic" w:hAnsi="Simplified Arabic" w:cs="Simplified Arabic"/>
          <w:sz w:val="24"/>
          <w:szCs w:val="24"/>
          <w:rtl/>
          <w:lang w:bidi="ar-DZ"/>
        </w:rPr>
        <w:t xml:space="preserve">. </w:t>
      </w:r>
    </w:p>
    <w:p w:rsidR="00A903CE" w:rsidRPr="009E5183" w:rsidRDefault="00A903CE" w:rsidP="002A7F68">
      <w:pPr>
        <w:bidi/>
        <w:spacing w:after="0"/>
        <w:ind w:firstLine="282"/>
        <w:jc w:val="both"/>
        <w:rPr>
          <w:rFonts w:ascii="Simplified Arabic" w:hAnsi="Simplified Arabic" w:cs="Simplified Arabic"/>
          <w:color w:val="000000" w:themeColor="text1"/>
          <w:sz w:val="24"/>
          <w:szCs w:val="24"/>
          <w:rtl/>
          <w:lang w:bidi="ar-DZ"/>
        </w:rPr>
      </w:pPr>
      <w:r w:rsidRPr="009E5183">
        <w:rPr>
          <w:rFonts w:ascii="Simplified Arabic" w:hAnsi="Simplified Arabic" w:cs="Simplified Arabic" w:hint="cs"/>
          <w:color w:val="000000" w:themeColor="text1"/>
          <w:sz w:val="24"/>
          <w:szCs w:val="24"/>
          <w:rtl/>
          <w:lang w:bidi="ar-DZ"/>
        </w:rPr>
        <w:t>لذلك،</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عند</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النظر</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إلى المرونة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بهذا الفهم،</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فإن</w:t>
      </w:r>
      <w:r w:rsidRPr="009E5183">
        <w:rPr>
          <w:rFonts w:ascii="Simplified Arabic" w:hAnsi="Simplified Arabic" w:cs="Simplified Arabic"/>
          <w:color w:val="000000" w:themeColor="text1"/>
          <w:sz w:val="24"/>
          <w:szCs w:val="24"/>
          <w:rtl/>
          <w:lang w:bidi="ar-DZ"/>
        </w:rPr>
        <w:t xml:space="preserve"> </w:t>
      </w:r>
      <w:r w:rsidR="0027496A">
        <w:rPr>
          <w:rFonts w:ascii="Simplified Arabic" w:hAnsi="Simplified Arabic" w:cs="Simplified Arabic" w:hint="cs"/>
          <w:sz w:val="24"/>
          <w:szCs w:val="24"/>
          <w:rtl/>
        </w:rPr>
        <w:t>استعمال</w:t>
      </w:r>
      <w:r w:rsidRPr="009E5183">
        <w:rPr>
          <w:rFonts w:ascii="Simplified Arabic" w:hAnsi="Simplified Arabic" w:cs="Simplified Arabic" w:hint="cs"/>
          <w:color w:val="000000" w:themeColor="text1"/>
          <w:sz w:val="24"/>
          <w:szCs w:val="24"/>
          <w:rtl/>
          <w:lang w:bidi="ar-DZ"/>
        </w:rPr>
        <w:t xml:space="preserve"> الارض المتوافق و</w:t>
      </w:r>
      <w:r>
        <w:rPr>
          <w:rFonts w:ascii="Simplified Arabic" w:hAnsi="Simplified Arabic" w:cs="Simplified Arabic" w:hint="cs"/>
          <w:color w:val="000000" w:themeColor="text1"/>
          <w:sz w:val="24"/>
          <w:szCs w:val="24"/>
          <w:rtl/>
          <w:lang w:bidi="ar-DZ"/>
        </w:rPr>
        <w:t>المتبصّر</w:t>
      </w:r>
      <w:r w:rsidRPr="009E5183">
        <w:rPr>
          <w:rFonts w:ascii="Simplified Arabic" w:hAnsi="Simplified Arabic" w:cs="Simplified Arabic" w:hint="cs"/>
          <w:color w:val="000000" w:themeColor="text1"/>
          <w:sz w:val="24"/>
          <w:szCs w:val="24"/>
          <w:rtl/>
          <w:lang w:bidi="ar-DZ"/>
        </w:rPr>
        <w:t xml:space="preserve"> يمكن</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أن</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يرفع من</w:t>
      </w:r>
      <w:r w:rsidRPr="009E5183">
        <w:rPr>
          <w:rFonts w:ascii="Simplified Arabic" w:hAnsi="Simplified Arabic" w:cs="Simplified Arabic"/>
          <w:color w:val="000000" w:themeColor="text1"/>
          <w:sz w:val="24"/>
          <w:szCs w:val="24"/>
          <w:rtl/>
          <w:lang w:bidi="ar-DZ"/>
        </w:rPr>
        <w:t xml:space="preserve"> </w:t>
      </w:r>
      <w:r w:rsidR="00752AE2">
        <w:rPr>
          <w:rFonts w:ascii="Simplified Arabic" w:hAnsi="Simplified Arabic" w:cs="Simplified Arabic" w:hint="cs"/>
          <w:color w:val="000000" w:themeColor="text1"/>
          <w:sz w:val="24"/>
          <w:szCs w:val="24"/>
          <w:rtl/>
          <w:lang w:bidi="ar-DZ"/>
        </w:rPr>
        <w:t>ال</w:t>
      </w:r>
      <w:r w:rsidRPr="009E5183">
        <w:rPr>
          <w:rFonts w:ascii="Simplified Arabic" w:hAnsi="Simplified Arabic" w:cs="Simplified Arabic" w:hint="cs"/>
          <w:color w:val="000000" w:themeColor="text1"/>
          <w:sz w:val="24"/>
          <w:szCs w:val="24"/>
          <w:rtl/>
          <w:lang w:bidi="ar-DZ"/>
        </w:rPr>
        <w:t xml:space="preserve">قدرة </w:t>
      </w:r>
      <w:r w:rsidR="00752AE2">
        <w:rPr>
          <w:rFonts w:ascii="Simplified Arabic" w:hAnsi="Simplified Arabic" w:cs="Simplified Arabic" w:hint="cs"/>
          <w:color w:val="000000" w:themeColor="text1"/>
          <w:sz w:val="24"/>
          <w:szCs w:val="24"/>
          <w:rtl/>
          <w:lang w:bidi="ar-DZ"/>
        </w:rPr>
        <w:t xml:space="preserve">على </w:t>
      </w:r>
      <w:r w:rsidRPr="009E5183">
        <w:rPr>
          <w:rFonts w:ascii="Simplified Arabic" w:hAnsi="Simplified Arabic" w:cs="Simplified Arabic" w:hint="cs"/>
          <w:color w:val="000000" w:themeColor="text1"/>
          <w:sz w:val="24"/>
          <w:szCs w:val="24"/>
          <w:rtl/>
          <w:lang w:bidi="ar-DZ"/>
        </w:rPr>
        <w:t>الاستجابة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داخل</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المدينة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هذا</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يعنى</w:t>
      </w:r>
      <w:r w:rsidRPr="009E5183">
        <w:rPr>
          <w:rFonts w:ascii="Simplified Arabic" w:hAnsi="Simplified Arabic" w:cs="Simplified Arabic"/>
          <w:color w:val="000000" w:themeColor="text1"/>
          <w:sz w:val="24"/>
          <w:szCs w:val="24"/>
          <w:rtl/>
          <w:lang w:bidi="ar-DZ"/>
        </w:rPr>
        <w:t xml:space="preserve"> </w:t>
      </w:r>
      <w:r w:rsidR="00752AE2">
        <w:rPr>
          <w:rFonts w:ascii="Simplified Arabic" w:hAnsi="Simplified Arabic" w:cs="Simplified Arabic" w:hint="cs"/>
          <w:color w:val="000000" w:themeColor="text1"/>
          <w:sz w:val="24"/>
          <w:szCs w:val="24"/>
          <w:rtl/>
          <w:lang w:bidi="ar-DZ"/>
        </w:rPr>
        <w:t xml:space="preserve">ايضا </w:t>
      </w:r>
      <w:r w:rsidRPr="009E5183">
        <w:rPr>
          <w:rFonts w:ascii="Simplified Arabic" w:hAnsi="Simplified Arabic" w:cs="Simplified Arabic" w:hint="cs"/>
          <w:color w:val="000000" w:themeColor="text1"/>
          <w:sz w:val="24"/>
          <w:szCs w:val="24"/>
          <w:rtl/>
          <w:lang w:bidi="ar-DZ"/>
        </w:rPr>
        <w:t>أن</w:t>
      </w:r>
      <w:r w:rsidRPr="009E5183">
        <w:rPr>
          <w:rFonts w:ascii="Simplified Arabic" w:hAnsi="Simplified Arabic" w:cs="Simplified Arabic"/>
          <w:color w:val="000000" w:themeColor="text1"/>
          <w:sz w:val="24"/>
          <w:szCs w:val="24"/>
          <w:rtl/>
          <w:lang w:bidi="ar-DZ"/>
        </w:rPr>
        <w:t xml:space="preserve"> </w:t>
      </w:r>
      <w:r w:rsidR="0027496A">
        <w:rPr>
          <w:rFonts w:ascii="Simplified Arabic" w:hAnsi="Simplified Arabic" w:cs="Simplified Arabic" w:hint="cs"/>
          <w:sz w:val="24"/>
          <w:szCs w:val="24"/>
          <w:rtl/>
        </w:rPr>
        <w:t>استعمال</w:t>
      </w:r>
      <w:r w:rsidRPr="009E5183">
        <w:rPr>
          <w:rFonts w:ascii="Simplified Arabic" w:hAnsi="Simplified Arabic" w:cs="Simplified Arabic" w:hint="cs"/>
          <w:color w:val="000000" w:themeColor="text1"/>
          <w:sz w:val="24"/>
          <w:szCs w:val="24"/>
          <w:rtl/>
          <w:lang w:bidi="ar-DZ"/>
        </w:rPr>
        <w:t xml:space="preserve"> الارض المتوافق و</w:t>
      </w:r>
      <w:r>
        <w:rPr>
          <w:rFonts w:ascii="Simplified Arabic" w:hAnsi="Simplified Arabic" w:cs="Simplified Arabic" w:hint="cs"/>
          <w:color w:val="000000" w:themeColor="text1"/>
          <w:sz w:val="24"/>
          <w:szCs w:val="24"/>
          <w:rtl/>
          <w:lang w:bidi="ar-DZ"/>
        </w:rPr>
        <w:t>المتبصّر</w:t>
      </w:r>
      <w:r w:rsidRPr="009E5183">
        <w:rPr>
          <w:rFonts w:ascii="Simplified Arabic" w:hAnsi="Simplified Arabic" w:cs="Simplified Arabic" w:hint="cs"/>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 xml:space="preserve">يجب ان </w:t>
      </w:r>
      <w:r w:rsidRPr="009E5183">
        <w:rPr>
          <w:rFonts w:ascii="Simplified Arabic" w:hAnsi="Simplified Arabic" w:cs="Simplified Arabic" w:hint="cs"/>
          <w:color w:val="000000" w:themeColor="text1"/>
          <w:sz w:val="24"/>
          <w:szCs w:val="24"/>
          <w:rtl/>
          <w:lang w:bidi="ar-DZ"/>
        </w:rPr>
        <w:t>يشتمل</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على</w:t>
      </w:r>
      <w:r w:rsidRPr="009E5183">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سمات مكانية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متأصلة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تخلق</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الشروط</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المكانية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المسبقة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لتكون</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قادرة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على</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استيعاب</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الصدمات</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واجهادات الطبيعة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بمعنى ادق،</w:t>
      </w:r>
      <w:r w:rsidRPr="009E5183">
        <w:rPr>
          <w:rFonts w:ascii="Simplified Arabic" w:hAnsi="Simplified Arabic" w:cs="Simplified Arabic"/>
          <w:color w:val="000000" w:themeColor="text1"/>
          <w:sz w:val="24"/>
          <w:szCs w:val="24"/>
          <w:rtl/>
          <w:lang w:bidi="ar-DZ"/>
        </w:rPr>
        <w:t xml:space="preserve"> </w:t>
      </w:r>
      <w:r w:rsidR="0027496A">
        <w:rPr>
          <w:rFonts w:ascii="Simplified Arabic" w:hAnsi="Simplified Arabic" w:cs="Simplified Arabic" w:hint="cs"/>
          <w:sz w:val="24"/>
          <w:szCs w:val="24"/>
          <w:rtl/>
        </w:rPr>
        <w:t>استعمال</w:t>
      </w:r>
      <w:r w:rsidR="002A7F68">
        <w:rPr>
          <w:rFonts w:ascii="Simplified Arabic" w:hAnsi="Simplified Arabic" w:cs="Simplified Arabic" w:hint="cs"/>
          <w:sz w:val="24"/>
          <w:szCs w:val="24"/>
          <w:rtl/>
        </w:rPr>
        <w:t>ات</w:t>
      </w:r>
      <w:r w:rsidRPr="009E5183">
        <w:rPr>
          <w:rFonts w:ascii="Simplified Arabic" w:hAnsi="Simplified Arabic" w:cs="Simplified Arabic" w:hint="cs"/>
          <w:color w:val="000000" w:themeColor="text1"/>
          <w:sz w:val="24"/>
          <w:szCs w:val="24"/>
          <w:rtl/>
          <w:lang w:bidi="ar-DZ"/>
        </w:rPr>
        <w:t xml:space="preserve"> الار</w:t>
      </w:r>
      <w:r w:rsidR="002A7F68">
        <w:rPr>
          <w:rFonts w:ascii="Simplified Arabic" w:hAnsi="Simplified Arabic" w:cs="Simplified Arabic" w:hint="cs"/>
          <w:color w:val="000000" w:themeColor="text1"/>
          <w:sz w:val="24"/>
          <w:szCs w:val="24"/>
          <w:rtl/>
          <w:lang w:bidi="ar-DZ"/>
        </w:rPr>
        <w:t>ا</w:t>
      </w:r>
      <w:r w:rsidRPr="009E5183">
        <w:rPr>
          <w:rFonts w:ascii="Simplified Arabic" w:hAnsi="Simplified Arabic" w:cs="Simplified Arabic" w:hint="cs"/>
          <w:color w:val="000000" w:themeColor="text1"/>
          <w:sz w:val="24"/>
          <w:szCs w:val="24"/>
          <w:rtl/>
          <w:lang w:bidi="ar-DZ"/>
        </w:rPr>
        <w:t>ض</w:t>
      </w:r>
      <w:r w:rsidR="002A7F68">
        <w:rPr>
          <w:rFonts w:ascii="Simplified Arabic" w:hAnsi="Simplified Arabic" w:cs="Simplified Arabic" w:hint="cs"/>
          <w:color w:val="000000" w:themeColor="text1"/>
          <w:sz w:val="24"/>
          <w:szCs w:val="24"/>
          <w:rtl/>
          <w:lang w:bidi="ar-DZ"/>
        </w:rPr>
        <w:t>ي</w:t>
      </w:r>
      <w:r w:rsidRPr="009E5183">
        <w:rPr>
          <w:rFonts w:ascii="Simplified Arabic" w:hAnsi="Simplified Arabic" w:cs="Simplified Arabic"/>
          <w:color w:val="000000" w:themeColor="text1"/>
          <w:sz w:val="24"/>
          <w:szCs w:val="24"/>
          <w:rtl/>
          <w:lang w:bidi="ar-DZ"/>
        </w:rPr>
        <w:t xml:space="preserve"> </w:t>
      </w:r>
      <w:r w:rsidR="002A7F68">
        <w:rPr>
          <w:rFonts w:ascii="Simplified Arabic" w:hAnsi="Simplified Arabic" w:cs="Simplified Arabic" w:hint="cs"/>
          <w:color w:val="000000" w:themeColor="text1"/>
          <w:sz w:val="24"/>
          <w:szCs w:val="24"/>
          <w:rtl/>
          <w:lang w:bidi="ar-DZ"/>
        </w:rPr>
        <w:t xml:space="preserve">الحضرية </w:t>
      </w:r>
      <w:r w:rsidRPr="009E5183">
        <w:rPr>
          <w:rFonts w:ascii="Simplified Arabic" w:hAnsi="Simplified Arabic" w:cs="Simplified Arabic" w:hint="cs"/>
          <w:color w:val="000000" w:themeColor="text1"/>
          <w:sz w:val="24"/>
          <w:szCs w:val="24"/>
          <w:rtl/>
          <w:lang w:bidi="ar-DZ"/>
        </w:rPr>
        <w:t>سواء</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المخطط</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لها</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أو</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غير</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المخطط</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لها</w:t>
      </w:r>
      <w:r w:rsidR="002A7F68">
        <w:rPr>
          <w:rFonts w:ascii="Simplified Arabic" w:hAnsi="Simplified Arabic" w:cs="Simplified Arabic" w:hint="cs"/>
          <w:color w:val="000000" w:themeColor="text1"/>
          <w:sz w:val="24"/>
          <w:szCs w:val="24"/>
          <w:rtl/>
          <w:lang w:bidi="ar-DZ"/>
        </w:rPr>
        <w:t xml:space="preserve"> يجب ان</w:t>
      </w:r>
      <w:r w:rsidRPr="009E5183">
        <w:rPr>
          <w:rFonts w:ascii="Simplified Arabic" w:hAnsi="Simplified Arabic" w:cs="Simplified Arabic" w:hint="cs"/>
          <w:color w:val="000000" w:themeColor="text1"/>
          <w:sz w:val="24"/>
          <w:szCs w:val="24"/>
          <w:rtl/>
          <w:lang w:bidi="ar-DZ"/>
        </w:rPr>
        <w:t xml:space="preserve"> </w:t>
      </w:r>
      <w:r w:rsidR="002A7F68">
        <w:rPr>
          <w:rFonts w:ascii="Simplified Arabic" w:hAnsi="Simplified Arabic" w:cs="Simplified Arabic" w:hint="cs"/>
          <w:color w:val="000000" w:themeColor="text1"/>
          <w:sz w:val="24"/>
          <w:szCs w:val="24"/>
          <w:rtl/>
          <w:lang w:bidi="ar-DZ"/>
        </w:rPr>
        <w:t>ت</w:t>
      </w:r>
      <w:r w:rsidRPr="009E5183">
        <w:rPr>
          <w:rFonts w:ascii="Simplified Arabic" w:hAnsi="Simplified Arabic" w:cs="Simplified Arabic" w:hint="cs"/>
          <w:color w:val="000000" w:themeColor="text1"/>
          <w:sz w:val="24"/>
          <w:szCs w:val="24"/>
          <w:rtl/>
          <w:lang w:bidi="ar-DZ"/>
        </w:rPr>
        <w:t>توفر</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 xml:space="preserve">على </w:t>
      </w:r>
      <w:r w:rsidR="006439B6">
        <w:rPr>
          <w:rFonts w:ascii="Simplified Arabic" w:hAnsi="Simplified Arabic" w:cs="Simplified Arabic" w:hint="cs"/>
          <w:color w:val="000000" w:themeColor="text1"/>
          <w:sz w:val="24"/>
          <w:szCs w:val="24"/>
          <w:rtl/>
          <w:lang w:bidi="ar-DZ"/>
        </w:rPr>
        <w:t>خصائص</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مكانية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قادرة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على</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استيعاب</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مجموعة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من</w:t>
      </w:r>
      <w:r w:rsidRPr="009E5183">
        <w:rPr>
          <w:rFonts w:ascii="Simplified Arabic" w:hAnsi="Simplified Arabic" w:cs="Simplified Arabic"/>
          <w:color w:val="000000" w:themeColor="text1"/>
          <w:sz w:val="24"/>
          <w:szCs w:val="24"/>
          <w:rtl/>
          <w:lang w:bidi="ar-DZ"/>
        </w:rPr>
        <w:t xml:space="preserve"> </w:t>
      </w:r>
      <w:r w:rsidR="00752AE2">
        <w:rPr>
          <w:rFonts w:ascii="Simplified Arabic" w:hAnsi="Simplified Arabic" w:cs="Simplified Arabic" w:hint="cs"/>
          <w:color w:val="000000" w:themeColor="text1"/>
          <w:sz w:val="24"/>
          <w:szCs w:val="24"/>
          <w:rtl/>
          <w:lang w:bidi="ar-DZ"/>
        </w:rPr>
        <w:t>الاضطرابات</w:t>
      </w:r>
      <w:r w:rsidRPr="009E5183">
        <w:rPr>
          <w:rFonts w:ascii="Simplified Arabic" w:hAnsi="Simplified Arabic" w:cs="Simplified Arabic"/>
          <w:color w:val="000000" w:themeColor="text1"/>
          <w:sz w:val="24"/>
          <w:szCs w:val="24"/>
          <w:rtl/>
          <w:lang w:bidi="ar-DZ"/>
        </w:rPr>
        <w:t xml:space="preserve">. </w:t>
      </w:r>
    </w:p>
    <w:p w:rsidR="00A903CE" w:rsidRPr="005717D9" w:rsidRDefault="00A903CE" w:rsidP="001D0548">
      <w:pPr>
        <w:pStyle w:val="Paragraphedeliste"/>
        <w:numPr>
          <w:ilvl w:val="2"/>
          <w:numId w:val="119"/>
        </w:numPr>
        <w:tabs>
          <w:tab w:val="right" w:pos="850"/>
        </w:tabs>
        <w:bidi/>
        <w:spacing w:after="0"/>
        <w:ind w:left="0" w:firstLine="0"/>
        <w:jc w:val="both"/>
        <w:outlineLvl w:val="1"/>
        <w:rPr>
          <w:rFonts w:ascii="Simplified Arabic" w:hAnsi="Simplified Arabic" w:cs="Simplified Arabic"/>
          <w:b/>
          <w:bCs/>
          <w:color w:val="000000" w:themeColor="text1"/>
          <w:sz w:val="24"/>
          <w:szCs w:val="24"/>
          <w:lang w:bidi="ar-DZ"/>
        </w:rPr>
      </w:pPr>
      <w:bookmarkStart w:id="246" w:name="_Toc171803407"/>
      <w:r w:rsidRPr="005717D9">
        <w:rPr>
          <w:rFonts w:ascii="Simplified Arabic" w:hAnsi="Simplified Arabic" w:cs="Simplified Arabic" w:hint="cs"/>
          <w:b/>
          <w:bCs/>
          <w:color w:val="000000" w:themeColor="text1"/>
          <w:sz w:val="24"/>
          <w:szCs w:val="24"/>
          <w:rtl/>
          <w:lang w:bidi="ar-DZ"/>
        </w:rPr>
        <w:t>الأبعاد</w:t>
      </w:r>
      <w:r w:rsidRPr="005717D9">
        <w:rPr>
          <w:rFonts w:ascii="Simplified Arabic" w:hAnsi="Simplified Arabic" w:cs="Simplified Arabic"/>
          <w:b/>
          <w:bCs/>
          <w:color w:val="000000" w:themeColor="text1"/>
          <w:sz w:val="24"/>
          <w:szCs w:val="24"/>
          <w:rtl/>
          <w:lang w:bidi="ar-DZ"/>
        </w:rPr>
        <w:t xml:space="preserve"> </w:t>
      </w:r>
      <w:r w:rsidRPr="005717D9">
        <w:rPr>
          <w:rFonts w:ascii="Simplified Arabic" w:hAnsi="Simplified Arabic" w:cs="Simplified Arabic" w:hint="cs"/>
          <w:b/>
          <w:bCs/>
          <w:color w:val="000000" w:themeColor="text1"/>
          <w:sz w:val="24"/>
          <w:szCs w:val="24"/>
          <w:rtl/>
          <w:lang w:bidi="ar-DZ"/>
        </w:rPr>
        <w:t>المكانية</w:t>
      </w:r>
      <w:r w:rsidRPr="005717D9">
        <w:rPr>
          <w:rFonts w:ascii="Simplified Arabic" w:hAnsi="Simplified Arabic" w:cs="Simplified Arabic"/>
          <w:b/>
          <w:bCs/>
          <w:color w:val="000000" w:themeColor="text1"/>
          <w:sz w:val="24"/>
          <w:szCs w:val="24"/>
          <w:rtl/>
          <w:lang w:bidi="ar-DZ"/>
        </w:rPr>
        <w:t xml:space="preserve"> </w:t>
      </w:r>
      <w:r w:rsidRPr="005717D9">
        <w:rPr>
          <w:rFonts w:ascii="Simplified Arabic" w:hAnsi="Simplified Arabic" w:cs="Simplified Arabic" w:hint="cs"/>
          <w:b/>
          <w:bCs/>
          <w:color w:val="000000" w:themeColor="text1"/>
          <w:sz w:val="24"/>
          <w:szCs w:val="24"/>
          <w:rtl/>
          <w:lang w:bidi="ar-DZ"/>
        </w:rPr>
        <w:t>والزمنية</w:t>
      </w:r>
      <w:r w:rsidRPr="005717D9">
        <w:rPr>
          <w:rFonts w:ascii="Simplified Arabic" w:hAnsi="Simplified Arabic" w:cs="Simplified Arabic"/>
          <w:b/>
          <w:bCs/>
          <w:color w:val="000000" w:themeColor="text1"/>
          <w:sz w:val="24"/>
          <w:szCs w:val="24"/>
          <w:rtl/>
          <w:lang w:bidi="ar-DZ"/>
        </w:rPr>
        <w:t xml:space="preserve"> </w:t>
      </w:r>
      <w:r w:rsidRPr="005717D9">
        <w:rPr>
          <w:rFonts w:ascii="Simplified Arabic" w:hAnsi="Simplified Arabic" w:cs="Simplified Arabic" w:hint="cs"/>
          <w:b/>
          <w:bCs/>
          <w:color w:val="000000" w:themeColor="text1"/>
          <w:sz w:val="24"/>
          <w:szCs w:val="24"/>
          <w:rtl/>
          <w:lang w:bidi="ar-DZ"/>
        </w:rPr>
        <w:t>للمرونة</w:t>
      </w:r>
      <w:bookmarkEnd w:id="246"/>
    </w:p>
    <w:p w:rsidR="00A903CE" w:rsidRDefault="00A903CE" w:rsidP="00752AE2">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sz w:val="24"/>
          <w:szCs w:val="24"/>
          <w:rtl/>
          <w:lang w:val="en-US"/>
        </w:rPr>
        <w:t>لتحديد وحدة التحليل بعناية</w:t>
      </w:r>
      <w:r w:rsidRPr="00B43186">
        <w:rPr>
          <w:rFonts w:ascii="Simplified Arabic" w:hAnsi="Simplified Arabic" w:cs="Simplified Arabic"/>
          <w:sz w:val="24"/>
          <w:szCs w:val="24"/>
          <w:rtl/>
          <w:lang w:val="en-US"/>
        </w:rPr>
        <w:t xml:space="preserve">، هناك جزء آخر يجب تحديده بعناية وهو الأبعاد المكانية والزمنية التي يتم من خلالها استكشاف المرونة. المرونة هي مفهوم يتضمن أبعادًا مكانية وزمنية ويمكن أن يكون لها تعبيرات مختلفة في مستويات مكانية مختلفة وفي لحظات زمنية مختلفة. </w:t>
      </w:r>
      <w:r w:rsidR="00752AE2">
        <w:rPr>
          <w:rFonts w:ascii="Simplified Arabic" w:hAnsi="Simplified Arabic" w:cs="Simplified Arabic" w:hint="cs"/>
          <w:sz w:val="24"/>
          <w:szCs w:val="24"/>
          <w:rtl/>
          <w:lang w:val="en-US"/>
        </w:rPr>
        <w:t xml:space="preserve">لذلك </w:t>
      </w:r>
      <w:r w:rsidRPr="00B43186">
        <w:rPr>
          <w:rFonts w:ascii="Simplified Arabic" w:hAnsi="Simplified Arabic" w:cs="Simplified Arabic"/>
          <w:sz w:val="24"/>
          <w:szCs w:val="24"/>
          <w:rtl/>
          <w:lang w:val="en-US"/>
        </w:rPr>
        <w:t>فإن الأبعاد المكانية والزمنية لها أهمية حاسمة.</w:t>
      </w:r>
    </w:p>
    <w:p w:rsidR="00A903CE" w:rsidRPr="00B43186" w:rsidRDefault="00A903CE" w:rsidP="008E533E">
      <w:pPr>
        <w:bidi/>
        <w:spacing w:after="0"/>
        <w:ind w:firstLine="282"/>
        <w:jc w:val="both"/>
        <w:rPr>
          <w:rFonts w:ascii="Simplified Arabic" w:hAnsi="Simplified Arabic" w:cs="Simplified Arabic"/>
          <w:sz w:val="24"/>
          <w:szCs w:val="24"/>
          <w:rtl/>
          <w:lang w:val="en-US"/>
        </w:rPr>
      </w:pPr>
      <w:r w:rsidRPr="00872FC6">
        <w:rPr>
          <w:rFonts w:ascii="Simplified Arabic" w:hAnsi="Simplified Arabic" w:cs="Simplified Arabic" w:hint="cs"/>
          <w:sz w:val="24"/>
          <w:szCs w:val="24"/>
          <w:rtl/>
          <w:lang w:val="en-US"/>
        </w:rPr>
        <w:t>يشتمل</w:t>
      </w:r>
      <w:r w:rsidRPr="00872FC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البعد</w:t>
      </w:r>
      <w:r w:rsidRPr="00872FC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الفيزيائي</w:t>
      </w:r>
      <w:r w:rsidRPr="00872FC6">
        <w:rPr>
          <w:rFonts w:ascii="Simplified Arabic" w:hAnsi="Simplified Arabic" w:cs="Simplified Arabic"/>
          <w:sz w:val="24"/>
          <w:szCs w:val="24"/>
          <w:rtl/>
          <w:lang w:val="en-US"/>
        </w:rPr>
        <w:t xml:space="preserve"> </w:t>
      </w:r>
      <w:r w:rsidRPr="00872FC6">
        <w:rPr>
          <w:rFonts w:ascii="Simplified Arabic" w:hAnsi="Simplified Arabic" w:cs="Simplified Arabic" w:hint="cs"/>
          <w:sz w:val="24"/>
          <w:szCs w:val="24"/>
          <w:rtl/>
          <w:lang w:val="en-US"/>
        </w:rPr>
        <w:t>للمدينة</w:t>
      </w:r>
      <w:r w:rsidRPr="00872FC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على عناصر</w:t>
      </w:r>
      <w:r w:rsidRPr="00872FC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rPr>
        <w:t xml:space="preserve">البيئة </w:t>
      </w:r>
      <w:r w:rsidR="008E533E">
        <w:rPr>
          <w:rFonts w:ascii="Simplified Arabic" w:hAnsi="Simplified Arabic" w:cs="Simplified Arabic" w:hint="cs"/>
          <w:sz w:val="24"/>
          <w:szCs w:val="24"/>
          <w:rtl/>
          <w:lang w:val="en-US"/>
        </w:rPr>
        <w:t xml:space="preserve">الحضرية </w:t>
      </w:r>
      <w:r>
        <w:rPr>
          <w:rFonts w:ascii="Simplified Arabic" w:hAnsi="Simplified Arabic" w:cs="Simplified Arabic" w:hint="cs"/>
          <w:sz w:val="24"/>
          <w:szCs w:val="24"/>
          <w:rtl/>
          <w:lang w:val="en-US"/>
        </w:rPr>
        <w:t>(</w:t>
      </w:r>
      <w:r w:rsidRPr="00872FC6">
        <w:rPr>
          <w:rFonts w:ascii="Simplified Arabic" w:hAnsi="Simplified Arabic" w:cs="Simplified Arabic" w:hint="cs"/>
          <w:sz w:val="24"/>
          <w:szCs w:val="24"/>
          <w:rtl/>
          <w:lang w:val="en-US"/>
        </w:rPr>
        <w:t>المرافق</w:t>
      </w:r>
      <w:r w:rsidRPr="00872FC6">
        <w:rPr>
          <w:rFonts w:ascii="Simplified Arabic" w:hAnsi="Simplified Arabic" w:cs="Simplified Arabic"/>
          <w:sz w:val="24"/>
          <w:szCs w:val="24"/>
          <w:rtl/>
          <w:lang w:val="en-US"/>
        </w:rPr>
        <w:t xml:space="preserve"> </w:t>
      </w:r>
      <w:r w:rsidRPr="00872FC6">
        <w:rPr>
          <w:rFonts w:ascii="Simplified Arabic" w:hAnsi="Simplified Arabic" w:cs="Simplified Arabic" w:hint="cs"/>
          <w:sz w:val="24"/>
          <w:szCs w:val="24"/>
          <w:rtl/>
          <w:lang w:val="en-US"/>
        </w:rPr>
        <w:t>الحيوية</w:t>
      </w:r>
      <w:r w:rsidRPr="00872FC6">
        <w:rPr>
          <w:rFonts w:ascii="Simplified Arabic" w:hAnsi="Simplified Arabic" w:cs="Simplified Arabic"/>
          <w:sz w:val="24"/>
          <w:szCs w:val="24"/>
          <w:rtl/>
          <w:lang w:val="en-US"/>
        </w:rPr>
        <w:t xml:space="preserve"> </w:t>
      </w:r>
      <w:r w:rsidRPr="00872FC6">
        <w:rPr>
          <w:rFonts w:ascii="Simplified Arabic" w:hAnsi="Simplified Arabic" w:cs="Simplified Arabic" w:hint="cs"/>
          <w:sz w:val="24"/>
          <w:szCs w:val="24"/>
          <w:rtl/>
          <w:lang w:val="en-US"/>
        </w:rPr>
        <w:t>ومخزون</w:t>
      </w:r>
      <w:r w:rsidRPr="00872FC6">
        <w:rPr>
          <w:rFonts w:ascii="Simplified Arabic" w:hAnsi="Simplified Arabic" w:cs="Simplified Arabic"/>
          <w:sz w:val="24"/>
          <w:szCs w:val="24"/>
          <w:rtl/>
          <w:lang w:val="en-US"/>
        </w:rPr>
        <w:t xml:space="preserve"> </w:t>
      </w:r>
      <w:r w:rsidRPr="00872FC6">
        <w:rPr>
          <w:rFonts w:ascii="Simplified Arabic" w:hAnsi="Simplified Arabic" w:cs="Simplified Arabic" w:hint="cs"/>
          <w:sz w:val="24"/>
          <w:szCs w:val="24"/>
          <w:rtl/>
          <w:lang w:val="en-US"/>
        </w:rPr>
        <w:t>المباني</w:t>
      </w:r>
      <w:r>
        <w:rPr>
          <w:rFonts w:ascii="Simplified Arabic" w:hAnsi="Simplified Arabic" w:cs="Simplified Arabic" w:hint="cs"/>
          <w:sz w:val="24"/>
          <w:szCs w:val="24"/>
          <w:rtl/>
          <w:lang w:val="en-US"/>
        </w:rPr>
        <w:t>).</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أكثر</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تحديدًا،</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تلك العناصر الم</w:t>
      </w:r>
      <w:r w:rsidRPr="00E83C15">
        <w:rPr>
          <w:rFonts w:ascii="Simplified Arabic" w:hAnsi="Simplified Arabic" w:cs="Simplified Arabic" w:hint="cs"/>
          <w:sz w:val="24"/>
          <w:szCs w:val="24"/>
          <w:rtl/>
        </w:rPr>
        <w:t>شكل</w:t>
      </w:r>
      <w:r>
        <w:rPr>
          <w:rFonts w:ascii="Simplified Arabic" w:hAnsi="Simplified Arabic" w:cs="Simplified Arabic" w:hint="cs"/>
          <w:sz w:val="24"/>
          <w:szCs w:val="24"/>
          <w:rtl/>
        </w:rPr>
        <w:t>ة</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لل</w:t>
      </w:r>
      <w:r w:rsidRPr="00E83C15">
        <w:rPr>
          <w:rFonts w:ascii="Simplified Arabic" w:hAnsi="Simplified Arabic" w:cs="Simplified Arabic" w:hint="cs"/>
          <w:sz w:val="24"/>
          <w:szCs w:val="24"/>
          <w:rtl/>
        </w:rPr>
        <w:t>أنظمة</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E83C15">
        <w:rPr>
          <w:rFonts w:ascii="Simplified Arabic" w:hAnsi="Simplified Arabic" w:cs="Simplified Arabic" w:hint="cs"/>
          <w:sz w:val="24"/>
          <w:szCs w:val="24"/>
          <w:rtl/>
        </w:rPr>
        <w:t>حضرية</w:t>
      </w:r>
      <w:r w:rsidRPr="00E83C15">
        <w:rPr>
          <w:rFonts w:ascii="Simplified Arabic" w:hAnsi="Simplified Arabic" w:cs="Simplified Arabic"/>
          <w:sz w:val="24"/>
          <w:szCs w:val="24"/>
          <w:rtl/>
        </w:rPr>
        <w:t xml:space="preserve"> </w:t>
      </w:r>
      <w:r w:rsidRPr="00872FC6">
        <w:rPr>
          <w:rFonts w:ascii="Simplified Arabic" w:hAnsi="Simplified Arabic" w:cs="Simplified Arabic" w:hint="cs"/>
          <w:sz w:val="24"/>
          <w:szCs w:val="24"/>
          <w:rtl/>
          <w:lang w:val="en-US"/>
        </w:rPr>
        <w:t>التي</w:t>
      </w:r>
      <w:r w:rsidRPr="00872FC6">
        <w:rPr>
          <w:rFonts w:ascii="Simplified Arabic" w:hAnsi="Simplified Arabic" w:cs="Simplified Arabic"/>
          <w:sz w:val="24"/>
          <w:szCs w:val="24"/>
          <w:rtl/>
          <w:lang w:val="en-US"/>
        </w:rPr>
        <w:t xml:space="preserve"> </w:t>
      </w:r>
      <w:r w:rsidRPr="00872FC6">
        <w:rPr>
          <w:rFonts w:ascii="Simplified Arabic" w:hAnsi="Simplified Arabic" w:cs="Simplified Arabic" w:hint="cs"/>
          <w:sz w:val="24"/>
          <w:szCs w:val="24"/>
          <w:rtl/>
          <w:lang w:val="en-US"/>
        </w:rPr>
        <w:t>تعتبر</w:t>
      </w:r>
      <w:r w:rsidRPr="00872FC6">
        <w:rPr>
          <w:rFonts w:ascii="Simplified Arabic" w:hAnsi="Simplified Arabic" w:cs="Simplified Arabic"/>
          <w:sz w:val="24"/>
          <w:szCs w:val="24"/>
          <w:rtl/>
          <w:lang w:val="en-US"/>
        </w:rPr>
        <w:t xml:space="preserve"> </w:t>
      </w:r>
      <w:r w:rsidRPr="00E83C15">
        <w:rPr>
          <w:rFonts w:ascii="Simplified Arabic" w:hAnsi="Simplified Arabic" w:cs="Simplified Arabic" w:hint="cs"/>
          <w:sz w:val="24"/>
          <w:szCs w:val="24"/>
          <w:rtl/>
        </w:rPr>
        <w:t>أكثر</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من </w:t>
      </w:r>
      <w:r w:rsidRPr="00872FC6">
        <w:rPr>
          <w:rFonts w:ascii="Simplified Arabic" w:hAnsi="Simplified Arabic" w:cs="Simplified Arabic" w:hint="cs"/>
          <w:sz w:val="24"/>
          <w:szCs w:val="24"/>
          <w:rtl/>
          <w:lang w:val="en-US"/>
        </w:rPr>
        <w:t>ضرورية</w:t>
      </w:r>
      <w:r w:rsidRPr="00872FC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لتشكيل ال</w:t>
      </w:r>
      <w:r w:rsidRPr="00E83C15">
        <w:rPr>
          <w:rFonts w:ascii="Simplified Arabic" w:hAnsi="Simplified Arabic" w:cs="Simplified Arabic" w:hint="cs"/>
          <w:sz w:val="24"/>
          <w:szCs w:val="24"/>
          <w:rtl/>
        </w:rPr>
        <w:t>مرونة</w:t>
      </w:r>
      <w:r w:rsidRPr="00E83C15">
        <w:rPr>
          <w:rFonts w:ascii="Simplified Arabic" w:hAnsi="Simplified Arabic" w:cs="Simplified Arabic"/>
          <w:sz w:val="24"/>
          <w:szCs w:val="24"/>
          <w:rtl/>
        </w:rPr>
        <w:t xml:space="preserve"> </w:t>
      </w:r>
      <w:r w:rsidRPr="00872FC6">
        <w:rPr>
          <w:rFonts w:ascii="Simplified Arabic" w:hAnsi="Simplified Arabic" w:cs="Simplified Arabic" w:hint="cs"/>
          <w:sz w:val="24"/>
          <w:szCs w:val="24"/>
          <w:rtl/>
          <w:lang w:val="en-US"/>
        </w:rPr>
        <w:t>على</w:t>
      </w:r>
      <w:r w:rsidRPr="00872FC6">
        <w:rPr>
          <w:rFonts w:ascii="Simplified Arabic" w:hAnsi="Simplified Arabic" w:cs="Simplified Arabic"/>
          <w:sz w:val="24"/>
          <w:szCs w:val="24"/>
          <w:rtl/>
          <w:lang w:val="en-US"/>
        </w:rPr>
        <w:t xml:space="preserve"> </w:t>
      </w:r>
      <w:r w:rsidRPr="00872FC6">
        <w:rPr>
          <w:rFonts w:ascii="Simplified Arabic" w:hAnsi="Simplified Arabic" w:cs="Simplified Arabic" w:hint="cs"/>
          <w:sz w:val="24"/>
          <w:szCs w:val="24"/>
          <w:rtl/>
          <w:lang w:val="en-US"/>
        </w:rPr>
        <w:t>المدى</w:t>
      </w:r>
      <w:r w:rsidRPr="00872FC6">
        <w:rPr>
          <w:rFonts w:ascii="Simplified Arabic" w:hAnsi="Simplified Arabic" w:cs="Simplified Arabic"/>
          <w:sz w:val="24"/>
          <w:szCs w:val="24"/>
          <w:rtl/>
          <w:lang w:val="en-US"/>
        </w:rPr>
        <w:t xml:space="preserve"> </w:t>
      </w:r>
      <w:r w:rsidRPr="00872FC6">
        <w:rPr>
          <w:rFonts w:ascii="Simplified Arabic" w:hAnsi="Simplified Arabic" w:cs="Simplified Arabic" w:hint="cs"/>
          <w:sz w:val="24"/>
          <w:szCs w:val="24"/>
          <w:rtl/>
          <w:lang w:val="en-US"/>
        </w:rPr>
        <w:t>القصير</w:t>
      </w:r>
      <w:r w:rsidRPr="00E83C15">
        <w:rPr>
          <w:rFonts w:ascii="Simplified Arabic" w:hAnsi="Simplified Arabic" w:cs="Simplified Arabic"/>
          <w:sz w:val="24"/>
          <w:szCs w:val="24"/>
          <w:rtl/>
        </w:rPr>
        <w:t>.</w:t>
      </w:r>
      <w:r w:rsidRPr="00872FC6">
        <w:rPr>
          <w:rFonts w:ascii="Simplified Arabic" w:hAnsi="Simplified Arabic" w:cs="Simplified Arabic"/>
          <w:sz w:val="24"/>
          <w:szCs w:val="24"/>
          <w:rtl/>
          <w:lang w:val="en-US"/>
        </w:rPr>
        <w:t xml:space="preserve"> </w:t>
      </w:r>
      <w:r w:rsidRPr="00B43186">
        <w:rPr>
          <w:rFonts w:ascii="Simplified Arabic" w:hAnsi="Simplified Arabic" w:cs="Simplified Arabic"/>
          <w:sz w:val="24"/>
          <w:szCs w:val="24"/>
          <w:rtl/>
          <w:lang w:val="en-US"/>
        </w:rPr>
        <w:t>لذلك، فإن تعريف المرونة وإطارها، يجب التعامل مع اعتبارات المقياس المكاني والزمني بعناية وتحديدها بوضوح لأن الشروط التي تحدد المرونة ديناميكية وتتغير في نهاية المطاف مع الاختلافات في المقاييس المكانية والاجتماعية والزمانية</w:t>
      </w:r>
      <w:r>
        <w:rPr>
          <w:rFonts w:ascii="Simplified Arabic" w:hAnsi="Simplified Arabic" w:cs="Simplified Arabic" w:hint="cs"/>
          <w:sz w:val="24"/>
          <w:szCs w:val="24"/>
          <w:rtl/>
          <w:lang w:val="en-US"/>
        </w:rPr>
        <w:t xml:space="preserve"> </w:t>
      </w:r>
      <w:r w:rsidRPr="006C134A">
        <w:rPr>
          <w:rFonts w:asciiTheme="majorBidi" w:hAnsiTheme="majorBidi" w:cstheme="majorBidi"/>
          <w:sz w:val="24"/>
          <w:szCs w:val="24"/>
        </w:rPr>
        <w:t>(</w:t>
      </w:r>
      <w:r w:rsidRPr="00A45C63">
        <w:rPr>
          <w:rFonts w:asciiTheme="majorBidi" w:hAnsiTheme="majorBidi" w:cstheme="majorBidi"/>
          <w:sz w:val="24"/>
          <w:szCs w:val="24"/>
        </w:rPr>
        <w:t>Cutter</w:t>
      </w:r>
      <w:r w:rsidRPr="006C134A">
        <w:rPr>
          <w:rFonts w:asciiTheme="majorBidi" w:hAnsiTheme="majorBidi" w:cstheme="majorBidi"/>
          <w:sz w:val="24"/>
          <w:szCs w:val="24"/>
        </w:rPr>
        <w:t xml:space="preserve"> et al.,</w:t>
      </w:r>
      <w:r w:rsidR="007A3902">
        <w:rPr>
          <w:rFonts w:asciiTheme="majorBidi" w:hAnsiTheme="majorBidi" w:cstheme="majorBidi"/>
          <w:sz w:val="24"/>
          <w:szCs w:val="24"/>
        </w:rPr>
        <w:t xml:space="preserve"> </w:t>
      </w:r>
      <w:r w:rsidRPr="006C134A">
        <w:rPr>
          <w:rFonts w:asciiTheme="majorBidi" w:hAnsiTheme="majorBidi" w:cstheme="majorBidi"/>
          <w:sz w:val="24"/>
          <w:szCs w:val="24"/>
        </w:rPr>
        <w:t>2008)</w:t>
      </w:r>
      <w:r>
        <w:rPr>
          <w:rFonts w:asciiTheme="majorBidi" w:hAnsiTheme="majorBidi" w:cstheme="majorBidi" w:hint="cs"/>
          <w:sz w:val="24"/>
          <w:szCs w:val="24"/>
          <w:rtl/>
        </w:rPr>
        <w:t>.</w:t>
      </w:r>
      <w:r w:rsidRPr="00B43186">
        <w:rPr>
          <w:rFonts w:ascii="Simplified Arabic" w:hAnsi="Simplified Arabic" w:cs="Simplified Arabic"/>
          <w:sz w:val="24"/>
          <w:szCs w:val="24"/>
          <w:rtl/>
          <w:lang w:val="en-US"/>
        </w:rPr>
        <w:t xml:space="preserve"> </w:t>
      </w:r>
      <w:r w:rsidRPr="00B43186">
        <w:rPr>
          <w:rFonts w:ascii="Simplified Arabic" w:hAnsi="Simplified Arabic" w:cs="Simplified Arabic"/>
          <w:sz w:val="24"/>
          <w:szCs w:val="24"/>
          <w:rtl/>
          <w:lang w:val="en-US"/>
        </w:rPr>
        <w:lastRenderedPageBreak/>
        <w:t xml:space="preserve">ومن ثم، </w:t>
      </w:r>
      <w:r w:rsidR="00752AE2">
        <w:rPr>
          <w:rFonts w:ascii="Simplified Arabic" w:hAnsi="Simplified Arabic" w:cs="Simplified Arabic" w:hint="cs"/>
          <w:sz w:val="24"/>
          <w:szCs w:val="24"/>
          <w:rtl/>
          <w:lang w:val="en-US"/>
        </w:rPr>
        <w:t>ل</w:t>
      </w:r>
      <w:r w:rsidRPr="00B43186">
        <w:rPr>
          <w:rFonts w:ascii="Simplified Arabic" w:hAnsi="Simplified Arabic" w:cs="Simplified Arabic"/>
          <w:sz w:val="24"/>
          <w:szCs w:val="24"/>
          <w:rtl/>
          <w:lang w:val="en-US"/>
        </w:rPr>
        <w:t xml:space="preserve">تحقيق نتائج موثوقة وتجنب سوء الفهم، </w:t>
      </w:r>
      <w:r w:rsidR="00752AE2">
        <w:rPr>
          <w:rFonts w:ascii="Simplified Arabic" w:hAnsi="Simplified Arabic" w:cs="Simplified Arabic"/>
          <w:sz w:val="24"/>
          <w:szCs w:val="24"/>
          <w:rtl/>
          <w:lang w:val="en-US"/>
        </w:rPr>
        <w:t>يجب تحديد الحدود المكانية والزم</w:t>
      </w:r>
      <w:r w:rsidRPr="00B43186">
        <w:rPr>
          <w:rFonts w:ascii="Simplified Arabic" w:hAnsi="Simplified Arabic" w:cs="Simplified Arabic"/>
          <w:sz w:val="24"/>
          <w:szCs w:val="24"/>
          <w:rtl/>
          <w:lang w:val="en-US"/>
        </w:rPr>
        <w:t xml:space="preserve">نية بشكل جيد مسبقًا. يعبر البعد المكاني للمرونة الحضرية عن الحاجة إلى تحديد حدود المقاييس المكانية المختلفة للنظام الذي سيتم دراسة مرونته بوضوح. </w:t>
      </w:r>
      <w:r w:rsidRPr="002A290D">
        <w:rPr>
          <w:rFonts w:ascii="Simplified Arabic" w:hAnsi="Simplified Arabic" w:cs="Simplified Arabic"/>
          <w:sz w:val="24"/>
          <w:szCs w:val="24"/>
          <w:rtl/>
          <w:lang w:val="en-US"/>
        </w:rPr>
        <w:t>إن التحديد الدقيق للحدود المكانية مطلوب لمنع المفاهيم الخاطئة لنظام</w:t>
      </w:r>
      <w:r w:rsidR="00D02756">
        <w:rPr>
          <w:rFonts w:ascii="Simplified Arabic" w:hAnsi="Simplified Arabic" w:cs="Simplified Arabic"/>
          <w:sz w:val="24"/>
          <w:szCs w:val="24"/>
          <w:lang w:val="en-US"/>
        </w:rPr>
        <w:t xml:space="preserve"> </w:t>
      </w:r>
      <w:r w:rsidRPr="002A290D">
        <w:rPr>
          <w:rFonts w:ascii="Simplified Arabic" w:hAnsi="Simplified Arabic" w:cs="Simplified Arabic"/>
          <w:sz w:val="24"/>
          <w:szCs w:val="24"/>
          <w:rtl/>
          <w:lang w:val="en-US"/>
        </w:rPr>
        <w:t xml:space="preserve">المرونة </w:t>
      </w:r>
      <w:r w:rsidRPr="002A290D">
        <w:rPr>
          <w:rFonts w:asciiTheme="majorBidi" w:hAnsiTheme="majorBidi" w:cstheme="majorBidi"/>
          <w:sz w:val="24"/>
          <w:szCs w:val="24"/>
          <w:rtl/>
          <w:lang w:val="en-US"/>
        </w:rPr>
        <w:t>(</w:t>
      </w:r>
      <w:r w:rsidRPr="00A45C63">
        <w:rPr>
          <w:rFonts w:asciiTheme="majorBidi" w:hAnsiTheme="majorBidi" w:cstheme="majorBidi"/>
          <w:sz w:val="24"/>
          <w:szCs w:val="24"/>
          <w:lang w:val="en-US"/>
        </w:rPr>
        <w:t>Davoudi</w:t>
      </w:r>
      <w:r w:rsidRPr="002A290D">
        <w:rPr>
          <w:rFonts w:asciiTheme="majorBidi" w:hAnsiTheme="majorBidi" w:cstheme="majorBidi"/>
          <w:sz w:val="24"/>
          <w:szCs w:val="24"/>
          <w:lang w:val="en-US"/>
        </w:rPr>
        <w:t>, 2012</w:t>
      </w:r>
      <w:r w:rsidRPr="002A290D">
        <w:rPr>
          <w:rFonts w:asciiTheme="majorBidi" w:hAnsiTheme="majorBidi" w:cstheme="majorBidi"/>
          <w:sz w:val="24"/>
          <w:szCs w:val="24"/>
          <w:rtl/>
          <w:lang w:val="en-US"/>
        </w:rPr>
        <w:t>)</w:t>
      </w:r>
      <w:r w:rsidRPr="00B43186">
        <w:rPr>
          <w:rFonts w:ascii="Simplified Arabic" w:hAnsi="Simplified Arabic" w:cs="Simplified Arabic"/>
          <w:sz w:val="24"/>
          <w:szCs w:val="24"/>
          <w:rtl/>
          <w:lang w:val="en-US"/>
        </w:rPr>
        <w:t xml:space="preserve">. </w:t>
      </w:r>
    </w:p>
    <w:p w:rsidR="00A903CE" w:rsidRDefault="00A903CE" w:rsidP="005C342F">
      <w:pPr>
        <w:bidi/>
        <w:spacing w:after="0"/>
        <w:ind w:firstLine="282"/>
        <w:jc w:val="both"/>
        <w:rPr>
          <w:rFonts w:ascii="Simplified Arabic" w:hAnsi="Simplified Arabic" w:cs="Simplified Arabic"/>
          <w:sz w:val="24"/>
          <w:szCs w:val="24"/>
          <w:rtl/>
          <w:lang w:val="en-US"/>
        </w:rPr>
      </w:pPr>
      <w:r w:rsidRPr="00B43186">
        <w:rPr>
          <w:rFonts w:ascii="Simplified Arabic" w:hAnsi="Simplified Arabic" w:cs="Simplified Arabic"/>
          <w:sz w:val="24"/>
          <w:szCs w:val="24"/>
          <w:rtl/>
          <w:lang w:val="en-US"/>
        </w:rPr>
        <w:t>بصرف</w:t>
      </w:r>
      <w:r>
        <w:rPr>
          <w:rFonts w:ascii="Simplified Arabic" w:hAnsi="Simplified Arabic" w:cs="Simplified Arabic"/>
          <w:sz w:val="24"/>
          <w:szCs w:val="24"/>
          <w:rtl/>
          <w:lang w:val="en-US"/>
        </w:rPr>
        <w:t xml:space="preserve"> النظر عن البعد المكاني للمرونة</w:t>
      </w:r>
      <w:r>
        <w:rPr>
          <w:rFonts w:ascii="Simplified Arabic" w:hAnsi="Simplified Arabic" w:cs="Simplified Arabic" w:hint="cs"/>
          <w:sz w:val="24"/>
          <w:szCs w:val="24"/>
          <w:rtl/>
          <w:lang w:val="en-US"/>
        </w:rPr>
        <w:t xml:space="preserve"> (عناصر النظام الحضري)</w:t>
      </w:r>
      <w:r w:rsidRPr="00B43186">
        <w:rPr>
          <w:rFonts w:ascii="Simplified Arabic" w:hAnsi="Simplified Arabic" w:cs="Simplified Arabic"/>
          <w:sz w:val="24"/>
          <w:szCs w:val="24"/>
          <w:rtl/>
          <w:lang w:val="en-US"/>
        </w:rPr>
        <w:t>، فإن البعد الآخر الذي يثري مفهوم المرونة هو البعد الزمني</w:t>
      </w:r>
      <w:r>
        <w:rPr>
          <w:rFonts w:ascii="Simplified Arabic" w:hAnsi="Simplified Arabic" w:cs="Simplified Arabic" w:hint="cs"/>
          <w:sz w:val="24"/>
          <w:szCs w:val="24"/>
          <w:rtl/>
          <w:lang w:val="en-US"/>
        </w:rPr>
        <w:t xml:space="preserve"> (قبل، أثناء، بعد)</w:t>
      </w:r>
      <w:r w:rsidRPr="00B43186">
        <w:rPr>
          <w:rFonts w:ascii="Simplified Arabic" w:hAnsi="Simplified Arabic" w:cs="Simplified Arabic"/>
          <w:sz w:val="24"/>
          <w:szCs w:val="24"/>
          <w:rtl/>
          <w:lang w:val="en-US"/>
        </w:rPr>
        <w:t xml:space="preserve">. يتعلق </w:t>
      </w:r>
      <w:r>
        <w:rPr>
          <w:rFonts w:ascii="Simplified Arabic" w:hAnsi="Simplified Arabic" w:cs="Simplified Arabic" w:hint="cs"/>
          <w:sz w:val="24"/>
          <w:szCs w:val="24"/>
          <w:rtl/>
          <w:lang w:val="en-US"/>
        </w:rPr>
        <w:t xml:space="preserve">البعد </w:t>
      </w:r>
      <w:r w:rsidRPr="00B43186">
        <w:rPr>
          <w:rFonts w:ascii="Simplified Arabic" w:hAnsi="Simplified Arabic" w:cs="Simplified Arabic"/>
          <w:sz w:val="24"/>
          <w:szCs w:val="24"/>
          <w:rtl/>
          <w:lang w:val="en-US"/>
        </w:rPr>
        <w:t>الزمن</w:t>
      </w:r>
      <w:r>
        <w:rPr>
          <w:rFonts w:ascii="Simplified Arabic" w:hAnsi="Simplified Arabic" w:cs="Simplified Arabic" w:hint="cs"/>
          <w:sz w:val="24"/>
          <w:szCs w:val="24"/>
          <w:rtl/>
          <w:lang w:val="en-US"/>
        </w:rPr>
        <w:t>ي</w:t>
      </w:r>
      <w:r w:rsidRPr="00B4318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بإظهار قدرات كل مكون عبر مراحل زمنية مختلفة عند التعرض للصدمة (قبل، أثناء، بعد)، لكل مكون</w:t>
      </w:r>
      <w:r w:rsidRPr="00B4318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قدرات يمكن ان يظهرها</w:t>
      </w:r>
      <w:r w:rsidRPr="00B43186">
        <w:rPr>
          <w:rFonts w:ascii="Simplified Arabic" w:hAnsi="Simplified Arabic" w:cs="Simplified Arabic"/>
          <w:sz w:val="24"/>
          <w:szCs w:val="24"/>
          <w:rtl/>
          <w:lang w:val="en-US"/>
        </w:rPr>
        <w:t xml:space="preserve"> بشكل مختلف </w:t>
      </w:r>
      <w:r>
        <w:rPr>
          <w:rFonts w:ascii="Simplified Arabic" w:hAnsi="Simplified Arabic" w:cs="Simplified Arabic" w:hint="cs"/>
          <w:sz w:val="24"/>
          <w:szCs w:val="24"/>
          <w:rtl/>
          <w:lang w:val="en-US"/>
        </w:rPr>
        <w:t xml:space="preserve">وهي (التخفيف- الاستجابة- </w:t>
      </w:r>
      <w:r w:rsidR="005C342F">
        <w:rPr>
          <w:rFonts w:ascii="Simplified Arabic" w:hAnsi="Simplified Arabic" w:cs="Simplified Arabic" w:hint="cs"/>
          <w:sz w:val="24"/>
          <w:szCs w:val="24"/>
          <w:rtl/>
          <w:lang w:val="en-US"/>
        </w:rPr>
        <w:t>التكي</w:t>
      </w:r>
      <w:r w:rsidR="00480F41">
        <w:rPr>
          <w:rFonts w:ascii="Simplified Arabic" w:hAnsi="Simplified Arabic" w:cs="Simplified Arabic" w:hint="cs"/>
          <w:sz w:val="24"/>
          <w:szCs w:val="24"/>
          <w:rtl/>
          <w:lang w:val="en-US"/>
        </w:rPr>
        <w:t>ّ</w:t>
      </w:r>
      <w:r w:rsidR="005C342F">
        <w:rPr>
          <w:rFonts w:ascii="Simplified Arabic" w:hAnsi="Simplified Arabic" w:cs="Simplified Arabic" w:hint="cs"/>
          <w:sz w:val="24"/>
          <w:szCs w:val="24"/>
          <w:rtl/>
          <w:lang w:val="en-US"/>
        </w:rPr>
        <w:t>ف</w:t>
      </w:r>
      <w:r>
        <w:rPr>
          <w:rFonts w:ascii="Simplified Arabic" w:hAnsi="Simplified Arabic" w:cs="Simplified Arabic" w:hint="cs"/>
          <w:sz w:val="24"/>
          <w:szCs w:val="24"/>
          <w:rtl/>
          <w:lang w:val="en-US"/>
        </w:rPr>
        <w:t>)</w:t>
      </w:r>
      <w:r>
        <w:rPr>
          <w:rFonts w:ascii="Simplified Arabic" w:hAnsi="Simplified Arabic" w:cs="Simplified Arabic"/>
          <w:sz w:val="24"/>
          <w:szCs w:val="24"/>
          <w:rtl/>
          <w:lang w:val="en-US"/>
        </w:rPr>
        <w:t>.</w:t>
      </w:r>
    </w:p>
    <w:p w:rsidR="00A903CE" w:rsidRDefault="00DB069F" w:rsidP="005C342F">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لا </w:t>
      </w:r>
      <w:r>
        <w:rPr>
          <w:rFonts w:ascii="Simplified Arabic" w:hAnsi="Simplified Arabic" w:cs="Simplified Arabic"/>
          <w:sz w:val="24"/>
          <w:szCs w:val="24"/>
          <w:rtl/>
          <w:lang w:val="en-US"/>
        </w:rPr>
        <w:t xml:space="preserve">يركز </w:t>
      </w:r>
      <w:r w:rsidRPr="00B43186">
        <w:rPr>
          <w:rFonts w:ascii="Simplified Arabic" w:hAnsi="Simplified Arabic" w:cs="Simplified Arabic"/>
          <w:sz w:val="24"/>
          <w:szCs w:val="24"/>
          <w:rtl/>
          <w:lang w:val="en-US"/>
        </w:rPr>
        <w:t xml:space="preserve">سؤال </w:t>
      </w:r>
      <w:r w:rsidR="00A903CE">
        <w:rPr>
          <w:rFonts w:ascii="Simplified Arabic" w:hAnsi="Simplified Arabic" w:cs="Simplified Arabic" w:hint="cs"/>
          <w:sz w:val="24"/>
          <w:szCs w:val="24"/>
          <w:rtl/>
          <w:lang w:val="en-US"/>
        </w:rPr>
        <w:t>البحث الحالي</w:t>
      </w:r>
      <w:r w:rsidR="00A903CE" w:rsidRPr="00B43186">
        <w:rPr>
          <w:rFonts w:ascii="Simplified Arabic" w:hAnsi="Simplified Arabic" w:cs="Simplified Arabic"/>
          <w:sz w:val="24"/>
          <w:szCs w:val="24"/>
          <w:rtl/>
          <w:lang w:val="en-US"/>
        </w:rPr>
        <w:t xml:space="preserve"> على </w:t>
      </w:r>
      <w:r w:rsidR="00A903CE">
        <w:rPr>
          <w:rFonts w:ascii="Simplified Arabic" w:hAnsi="Simplified Arabic" w:cs="Simplified Arabic" w:hint="cs"/>
          <w:sz w:val="24"/>
          <w:szCs w:val="24"/>
          <w:rtl/>
          <w:lang w:val="en-US"/>
        </w:rPr>
        <w:t>الوقت الذي</w:t>
      </w:r>
      <w:r w:rsidR="00A903CE" w:rsidRPr="00B43186">
        <w:rPr>
          <w:rFonts w:ascii="Simplified Arabic" w:hAnsi="Simplified Arabic" w:cs="Simplified Arabic"/>
          <w:sz w:val="24"/>
          <w:szCs w:val="24"/>
          <w:rtl/>
          <w:lang w:val="en-US"/>
        </w:rPr>
        <w:t xml:space="preserve"> تتكشف فيه مرونة </w:t>
      </w:r>
      <w:r w:rsidR="00A903CE">
        <w:rPr>
          <w:rFonts w:ascii="Simplified Arabic" w:hAnsi="Simplified Arabic" w:cs="Simplified Arabic" w:hint="cs"/>
          <w:sz w:val="24"/>
          <w:szCs w:val="24"/>
          <w:rtl/>
          <w:lang w:val="en-US"/>
        </w:rPr>
        <w:t xml:space="preserve">كل </w:t>
      </w:r>
      <w:r w:rsidR="00A903CE" w:rsidRPr="00B43186">
        <w:rPr>
          <w:rFonts w:ascii="Simplified Arabic" w:hAnsi="Simplified Arabic" w:cs="Simplified Arabic"/>
          <w:sz w:val="24"/>
          <w:szCs w:val="24"/>
          <w:rtl/>
          <w:lang w:val="en-US"/>
        </w:rPr>
        <w:t>مكون</w:t>
      </w:r>
      <w:r w:rsidR="00A903CE">
        <w:rPr>
          <w:rFonts w:ascii="Simplified Arabic" w:hAnsi="Simplified Arabic" w:cs="Simplified Arabic" w:hint="cs"/>
          <w:sz w:val="24"/>
          <w:szCs w:val="24"/>
          <w:rtl/>
          <w:lang w:val="en-US"/>
        </w:rPr>
        <w:t>.</w:t>
      </w:r>
      <w:r w:rsidR="00A903CE" w:rsidRPr="00B43186">
        <w:rPr>
          <w:rFonts w:ascii="Simplified Arabic" w:hAnsi="Simplified Arabic" w:cs="Simplified Arabic"/>
          <w:sz w:val="24"/>
          <w:szCs w:val="24"/>
          <w:rtl/>
          <w:lang w:val="en-US"/>
        </w:rPr>
        <w:t xml:space="preserve"> </w:t>
      </w:r>
      <w:r w:rsidR="00A903CE">
        <w:rPr>
          <w:rFonts w:ascii="Simplified Arabic" w:hAnsi="Simplified Arabic" w:cs="Simplified Arabic" w:hint="cs"/>
          <w:sz w:val="24"/>
          <w:szCs w:val="24"/>
          <w:rtl/>
          <w:lang w:val="en-US"/>
        </w:rPr>
        <w:t xml:space="preserve">الغاية هنا، هو الكشف عن وقت </w:t>
      </w:r>
      <w:r>
        <w:rPr>
          <w:rFonts w:ascii="Simplified Arabic" w:hAnsi="Simplified Arabic" w:cs="Simplified Arabic" w:hint="cs"/>
          <w:sz w:val="24"/>
          <w:szCs w:val="24"/>
          <w:rtl/>
          <w:lang w:val="en-US"/>
        </w:rPr>
        <w:t>اظهار ال</w:t>
      </w:r>
      <w:r w:rsidR="00A903CE">
        <w:rPr>
          <w:rFonts w:ascii="Simplified Arabic" w:hAnsi="Simplified Arabic" w:cs="Simplified Arabic" w:hint="cs"/>
          <w:sz w:val="24"/>
          <w:szCs w:val="24"/>
          <w:rtl/>
          <w:lang w:val="en-US"/>
        </w:rPr>
        <w:t xml:space="preserve">قدرة </w:t>
      </w:r>
      <w:r>
        <w:rPr>
          <w:rFonts w:ascii="Simplified Arabic" w:hAnsi="Simplified Arabic" w:cs="Simplified Arabic" w:hint="cs"/>
          <w:sz w:val="24"/>
          <w:szCs w:val="24"/>
          <w:rtl/>
          <w:lang w:val="en-US"/>
        </w:rPr>
        <w:t xml:space="preserve">على </w:t>
      </w:r>
      <w:r w:rsidR="00A903CE">
        <w:rPr>
          <w:rFonts w:ascii="Simplified Arabic" w:hAnsi="Simplified Arabic" w:cs="Simplified Arabic" w:hint="cs"/>
          <w:sz w:val="24"/>
          <w:szCs w:val="24"/>
          <w:rtl/>
          <w:lang w:val="en-US"/>
        </w:rPr>
        <w:t xml:space="preserve">استجابة المكون الفيزيائي الذي تم تناوله في هذا البحث. </w:t>
      </w:r>
      <w:r w:rsidR="00A903CE">
        <w:rPr>
          <w:rFonts w:ascii="Simplified Arabic" w:hAnsi="Simplified Arabic" w:cs="Simplified Arabic"/>
          <w:sz w:val="24"/>
          <w:szCs w:val="24"/>
          <w:rtl/>
          <w:lang w:val="en-US"/>
        </w:rPr>
        <w:t>كونه ديناميكي</w:t>
      </w:r>
      <w:r w:rsidR="00A903CE" w:rsidRPr="00B43186">
        <w:rPr>
          <w:rFonts w:ascii="Simplified Arabic" w:hAnsi="Simplified Arabic" w:cs="Simplified Arabic"/>
          <w:sz w:val="24"/>
          <w:szCs w:val="24"/>
          <w:rtl/>
          <w:lang w:val="en-US"/>
        </w:rPr>
        <w:t>، تتكشف مرونة</w:t>
      </w:r>
      <w:r w:rsidR="00A903CE">
        <w:rPr>
          <w:rFonts w:ascii="Simplified Arabic" w:hAnsi="Simplified Arabic" w:cs="Simplified Arabic" w:hint="cs"/>
          <w:sz w:val="24"/>
          <w:szCs w:val="24"/>
          <w:rtl/>
          <w:lang w:val="en-US"/>
        </w:rPr>
        <w:t xml:space="preserve"> المكون الفيزيائي</w:t>
      </w:r>
      <w:r w:rsidR="00A903CE" w:rsidRPr="00B43186">
        <w:rPr>
          <w:rFonts w:ascii="Simplified Arabic" w:hAnsi="Simplified Arabic" w:cs="Simplified Arabic"/>
          <w:sz w:val="24"/>
          <w:szCs w:val="24"/>
          <w:rtl/>
          <w:lang w:val="en-US"/>
        </w:rPr>
        <w:t xml:space="preserve"> بشكل مختلف بمرور الوقت</w:t>
      </w:r>
      <w:r w:rsidR="00A903CE">
        <w:rPr>
          <w:rFonts w:ascii="Simplified Arabic" w:hAnsi="Simplified Arabic" w:cs="Simplified Arabic" w:hint="cs"/>
          <w:sz w:val="24"/>
          <w:szCs w:val="24"/>
          <w:rtl/>
          <w:lang w:val="en-US"/>
        </w:rPr>
        <w:t>، باعتبار ان هذا المكون يتكشف اثناء وبعد الصدمة</w:t>
      </w:r>
      <w:r>
        <w:rPr>
          <w:rFonts w:ascii="Simplified Arabic" w:hAnsi="Simplified Arabic" w:cs="Simplified Arabic" w:hint="cs"/>
          <w:sz w:val="24"/>
          <w:szCs w:val="24"/>
          <w:rtl/>
          <w:lang w:val="en-US"/>
        </w:rPr>
        <w:t xml:space="preserve"> (على المدى القصير والطويل)</w:t>
      </w:r>
      <w:r w:rsidR="00A903CE" w:rsidRPr="00B43186">
        <w:rPr>
          <w:rFonts w:ascii="Simplified Arabic" w:hAnsi="Simplified Arabic" w:cs="Simplified Arabic"/>
          <w:sz w:val="24"/>
          <w:szCs w:val="24"/>
          <w:rtl/>
          <w:lang w:val="en-US"/>
        </w:rPr>
        <w:t xml:space="preserve">. </w:t>
      </w:r>
    </w:p>
    <w:p w:rsidR="00A903CE" w:rsidRDefault="00A903CE" w:rsidP="00B36D99">
      <w:pPr>
        <w:bidi/>
        <w:spacing w:after="0"/>
        <w:ind w:firstLine="282"/>
        <w:jc w:val="both"/>
        <w:rPr>
          <w:rFonts w:ascii="Simplified Arabic" w:hAnsi="Simplified Arabic" w:cs="Simplified Arabic"/>
          <w:sz w:val="24"/>
          <w:szCs w:val="24"/>
          <w:rtl/>
          <w:lang w:val="en-US"/>
        </w:rPr>
      </w:pPr>
      <w:r w:rsidRPr="00507DB0">
        <w:rPr>
          <w:rFonts w:ascii="Simplified Arabic" w:hAnsi="Simplified Arabic" w:cs="Simplified Arabic" w:hint="cs"/>
          <w:sz w:val="24"/>
          <w:szCs w:val="24"/>
          <w:rtl/>
          <w:lang w:val="en-US"/>
        </w:rPr>
        <w:t>يقسم</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البحث</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الحالي</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فترتين</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زمنيتين</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على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أساسها</w:t>
      </w:r>
      <w:r w:rsidR="00507DB0">
        <w:rPr>
          <w:rFonts w:ascii="Simplified Arabic" w:hAnsi="Simplified Arabic" w:cs="Simplified Arabic" w:hint="cs"/>
          <w:sz w:val="24"/>
          <w:szCs w:val="24"/>
          <w:rtl/>
          <w:lang w:val="en-US"/>
        </w:rPr>
        <w:t>،</w:t>
      </w:r>
      <w:r w:rsidRPr="00507DB0">
        <w:rPr>
          <w:rFonts w:ascii="Simplified Arabic" w:hAnsi="Simplified Arabic" w:cs="Simplified Arabic"/>
          <w:sz w:val="24"/>
          <w:szCs w:val="24"/>
          <w:rtl/>
          <w:lang w:val="en-US"/>
        </w:rPr>
        <w:t xml:space="preserve"> </w:t>
      </w:r>
      <w:r w:rsidR="00507DB0">
        <w:rPr>
          <w:rFonts w:ascii="Simplified Arabic" w:hAnsi="Simplified Arabic" w:cs="Simplified Arabic" w:hint="cs"/>
          <w:sz w:val="24"/>
          <w:szCs w:val="24"/>
          <w:rtl/>
          <w:lang w:val="en-US"/>
        </w:rPr>
        <w:t>ي</w:t>
      </w:r>
      <w:r w:rsidRPr="00507DB0">
        <w:rPr>
          <w:rFonts w:ascii="Simplified Arabic" w:hAnsi="Simplified Arabic" w:cs="Simplified Arabic" w:hint="cs"/>
          <w:sz w:val="24"/>
          <w:szCs w:val="24"/>
          <w:rtl/>
          <w:lang w:val="en-US"/>
        </w:rPr>
        <w:t>تم</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تنفيذ</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المرونة، الشكل (</w:t>
      </w:r>
      <w:r w:rsidR="0085017B" w:rsidRPr="00507DB0">
        <w:rPr>
          <w:rFonts w:ascii="Simplified Arabic" w:hAnsi="Simplified Arabic" w:cs="Simplified Arabic" w:hint="cs"/>
          <w:sz w:val="24"/>
          <w:szCs w:val="24"/>
          <w:rtl/>
          <w:lang w:val="en-US"/>
        </w:rPr>
        <w:t>1-21</w:t>
      </w:r>
      <w:r w:rsidRPr="00507DB0">
        <w:rPr>
          <w:rFonts w:ascii="Simplified Arabic" w:hAnsi="Simplified Arabic" w:cs="Simplified Arabic" w:hint="cs"/>
          <w:sz w:val="24"/>
          <w:szCs w:val="24"/>
          <w:rtl/>
          <w:lang w:val="en-US"/>
        </w:rPr>
        <w:t>). الفترة الزمنية الاولى</w:t>
      </w:r>
      <w:r w:rsidR="00507DB0">
        <w:rPr>
          <w:rFonts w:ascii="Simplified Arabic" w:hAnsi="Simplified Arabic" w:cs="Simplified Arabic" w:hint="cs"/>
          <w:sz w:val="24"/>
          <w:szCs w:val="24"/>
          <w:rtl/>
          <w:lang w:val="en-US"/>
        </w:rPr>
        <w:t>،</w:t>
      </w:r>
      <w:r w:rsidRPr="00507DB0">
        <w:rPr>
          <w:rFonts w:ascii="Simplified Arabic" w:hAnsi="Simplified Arabic" w:cs="Simplified Arabic" w:hint="cs"/>
          <w:sz w:val="24"/>
          <w:szCs w:val="24"/>
          <w:rtl/>
          <w:lang w:val="en-US"/>
        </w:rPr>
        <w:t xml:space="preserve"> على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المدى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القصير اثناء الصدمة،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لاستكشاف قدرة الاستجابة من خلال تقييم مستويات مرونة الاحياء لتحديد الاماكن التي تعاني مستوى مرونة متدن</w:t>
      </w:r>
      <w:r w:rsidR="00507DB0">
        <w:rPr>
          <w:rFonts w:ascii="Simplified Arabic" w:hAnsi="Simplified Arabic" w:cs="Simplified Arabic" w:hint="cs"/>
          <w:sz w:val="24"/>
          <w:szCs w:val="24"/>
          <w:rtl/>
          <w:lang w:val="en-US"/>
        </w:rPr>
        <w:t>ٍّ</w:t>
      </w:r>
      <w:r w:rsidRPr="00507DB0">
        <w:rPr>
          <w:rFonts w:ascii="Simplified Arabic" w:hAnsi="Simplified Arabic" w:cs="Simplified Arabic" w:hint="cs"/>
          <w:sz w:val="24"/>
          <w:szCs w:val="24"/>
          <w:rtl/>
          <w:lang w:val="en-US"/>
        </w:rPr>
        <w:t xml:space="preserve">. مثال على ذلك، المؤلفات العلمية خلال العقدين الماضيين لتقييم </w:t>
      </w:r>
      <w:r w:rsidR="00507DB0">
        <w:rPr>
          <w:rFonts w:ascii="Simplified Arabic" w:hAnsi="Simplified Arabic" w:cs="Simplified Arabic" w:hint="cs"/>
          <w:sz w:val="24"/>
          <w:szCs w:val="24"/>
          <w:rtl/>
          <w:lang w:val="en-US"/>
        </w:rPr>
        <w:t>ال</w:t>
      </w:r>
      <w:r w:rsidRPr="00507DB0">
        <w:rPr>
          <w:rFonts w:ascii="Simplified Arabic" w:hAnsi="Simplified Arabic" w:cs="Simplified Arabic" w:hint="cs"/>
          <w:sz w:val="24"/>
          <w:szCs w:val="24"/>
          <w:rtl/>
          <w:lang w:val="en-US"/>
        </w:rPr>
        <w:t xml:space="preserve">قدرات </w:t>
      </w:r>
      <w:r w:rsidR="00507DB0">
        <w:rPr>
          <w:rFonts w:ascii="Simplified Arabic" w:hAnsi="Simplified Arabic" w:cs="Simplified Arabic" w:hint="cs"/>
          <w:sz w:val="24"/>
          <w:szCs w:val="24"/>
          <w:rtl/>
          <w:lang w:val="en-US"/>
        </w:rPr>
        <w:t xml:space="preserve">على </w:t>
      </w:r>
      <w:r w:rsidRPr="00507DB0">
        <w:rPr>
          <w:rFonts w:ascii="Simplified Arabic" w:hAnsi="Simplified Arabic" w:cs="Simplified Arabic" w:hint="cs"/>
          <w:sz w:val="24"/>
          <w:szCs w:val="24"/>
          <w:rtl/>
          <w:lang w:val="en-US"/>
        </w:rPr>
        <w:t>الاستجابة</w:t>
      </w:r>
      <w:r w:rsidR="00507DB0">
        <w:rPr>
          <w:rFonts w:ascii="Simplified Arabic" w:hAnsi="Simplified Arabic" w:cs="Simplified Arabic" w:hint="cs"/>
          <w:sz w:val="24"/>
          <w:szCs w:val="24"/>
          <w:rtl/>
          <w:lang w:val="en-US"/>
        </w:rPr>
        <w:t>،</w:t>
      </w:r>
      <w:r w:rsidRPr="00507DB0">
        <w:rPr>
          <w:rFonts w:ascii="Simplified Arabic" w:hAnsi="Simplified Arabic" w:cs="Simplified Arabic" w:hint="cs"/>
          <w:sz w:val="24"/>
          <w:szCs w:val="24"/>
          <w:rtl/>
          <w:lang w:val="en-US"/>
        </w:rPr>
        <w:t xml:space="preserve"> تعتبر بمثابة نماذج لاستكشاف المرونة على المدى القصير </w:t>
      </w:r>
      <w:r w:rsidRPr="00507DB0">
        <w:rPr>
          <w:rFonts w:asciiTheme="majorBidi" w:hAnsiTheme="majorBidi" w:cstheme="majorBidi"/>
          <w:color w:val="000000" w:themeColor="text1"/>
          <w:sz w:val="24"/>
          <w:szCs w:val="24"/>
          <w:rtl/>
          <w:lang w:val="en-US" w:bidi="ar-DZ"/>
        </w:rPr>
        <w:t>(</w:t>
      </w:r>
      <w:r w:rsidRPr="00507DB0">
        <w:rPr>
          <w:rFonts w:asciiTheme="majorBidi" w:hAnsiTheme="majorBidi" w:cstheme="majorBidi"/>
          <w:color w:val="000000" w:themeColor="text1"/>
          <w:sz w:val="24"/>
          <w:szCs w:val="24"/>
          <w:lang w:val="en-US" w:bidi="ar-DZ"/>
        </w:rPr>
        <w:t>2022</w:t>
      </w:r>
      <w:r w:rsidRPr="00507DB0">
        <w:rPr>
          <w:rFonts w:asciiTheme="majorBidi" w:hAnsiTheme="majorBidi" w:cstheme="majorBidi" w:hint="cs"/>
          <w:color w:val="000000" w:themeColor="text1"/>
          <w:sz w:val="24"/>
          <w:szCs w:val="24"/>
          <w:rtl/>
          <w:lang w:val="en-US" w:bidi="ar-DZ"/>
        </w:rPr>
        <w:t xml:space="preserve"> </w:t>
      </w:r>
      <w:r w:rsidRPr="00507DB0">
        <w:rPr>
          <w:rFonts w:asciiTheme="majorBidi" w:hAnsiTheme="majorBidi" w:cstheme="majorBidi"/>
          <w:color w:val="000000" w:themeColor="text1"/>
          <w:sz w:val="24"/>
          <w:szCs w:val="24"/>
          <w:lang w:val="en-US" w:bidi="ar-DZ"/>
        </w:rPr>
        <w:t xml:space="preserve">Haghighi </w:t>
      </w:r>
      <w:r w:rsidRPr="00507DB0">
        <w:rPr>
          <w:rFonts w:asciiTheme="majorBidi" w:hAnsiTheme="majorBidi" w:cstheme="majorBidi"/>
          <w:color w:val="000000" w:themeColor="text1"/>
          <w:sz w:val="24"/>
          <w:szCs w:val="24"/>
          <w:lang w:bidi="ar-DZ"/>
        </w:rPr>
        <w:t>Fard and and Doratli</w:t>
      </w:r>
      <w:r w:rsidRPr="00507DB0">
        <w:rPr>
          <w:rFonts w:asciiTheme="majorBidi" w:hAnsiTheme="majorBidi" w:cstheme="majorBidi"/>
          <w:color w:val="000000" w:themeColor="text1"/>
          <w:sz w:val="24"/>
          <w:szCs w:val="24"/>
          <w:lang w:val="en-US" w:bidi="ar-DZ"/>
        </w:rPr>
        <w:t>,</w:t>
      </w:r>
      <w:r w:rsidRPr="00507DB0">
        <w:rPr>
          <w:rFonts w:asciiTheme="majorBidi" w:hAnsiTheme="majorBidi" w:cstheme="majorBidi" w:hint="cs"/>
          <w:color w:val="000000" w:themeColor="text1"/>
          <w:sz w:val="24"/>
          <w:szCs w:val="24"/>
          <w:rtl/>
          <w:lang w:val="en-US" w:bidi="ar-DZ"/>
        </w:rPr>
        <w:t xml:space="preserve"> </w:t>
      </w:r>
      <w:r w:rsidRPr="00507DB0">
        <w:rPr>
          <w:rFonts w:asciiTheme="majorBidi" w:hAnsiTheme="majorBidi" w:cstheme="majorBidi"/>
          <w:color w:val="000000" w:themeColor="text1"/>
          <w:sz w:val="24"/>
          <w:szCs w:val="24"/>
          <w:lang w:val="en-US" w:bidi="ar-DZ"/>
        </w:rPr>
        <w:t>Javari</w:t>
      </w:r>
      <w:r w:rsidR="007A3902" w:rsidRPr="00507DB0">
        <w:rPr>
          <w:rFonts w:asciiTheme="majorBidi" w:hAnsiTheme="majorBidi" w:cstheme="majorBidi"/>
          <w:sz w:val="24"/>
          <w:szCs w:val="24"/>
        </w:rPr>
        <w:t xml:space="preserve"> et al., </w:t>
      </w:r>
      <w:r w:rsidRPr="00507DB0">
        <w:rPr>
          <w:rFonts w:asciiTheme="majorBidi" w:hAnsiTheme="majorBidi" w:cstheme="majorBidi"/>
          <w:color w:val="000000" w:themeColor="text1"/>
          <w:sz w:val="24"/>
          <w:szCs w:val="24"/>
          <w:lang w:val="en-US" w:bidi="ar-DZ"/>
        </w:rPr>
        <w:t>2021</w:t>
      </w:r>
      <w:r w:rsidRPr="00507DB0">
        <w:rPr>
          <w:rFonts w:asciiTheme="majorBidi" w:hAnsiTheme="majorBidi" w:cstheme="majorBidi"/>
          <w:color w:val="000000" w:themeColor="text1"/>
          <w:sz w:val="24"/>
          <w:szCs w:val="24"/>
          <w:lang w:bidi="ar-DZ"/>
        </w:rPr>
        <w:t>;</w:t>
      </w:r>
      <w:r w:rsidRPr="00507DB0">
        <w:rPr>
          <w:rFonts w:ascii="Simplified Arabic" w:eastAsia="Times New Roman" w:hAnsi="Simplified Arabic" w:cs="Simplified Arabic"/>
          <w:b/>
          <w:sz w:val="24"/>
          <w:szCs w:val="24"/>
          <w:rtl/>
          <w:lang w:val="en-US" w:eastAsia="fr-FR"/>
        </w:rPr>
        <w:t>)</w:t>
      </w:r>
      <w:r w:rsidRPr="00507DB0">
        <w:rPr>
          <w:rFonts w:ascii="Simplified Arabic" w:hAnsi="Simplified Arabic" w:cs="Simplified Arabic" w:hint="cs"/>
          <w:sz w:val="24"/>
          <w:szCs w:val="24"/>
          <w:rtl/>
          <w:lang w:val="en-US"/>
        </w:rPr>
        <w:t>. الفترة الزمنية الثانية</w:t>
      </w:r>
      <w:r w:rsidR="00507DB0">
        <w:rPr>
          <w:rFonts w:ascii="Simplified Arabic" w:hAnsi="Simplified Arabic" w:cs="Simplified Arabic" w:hint="cs"/>
          <w:sz w:val="24"/>
          <w:szCs w:val="24"/>
          <w:rtl/>
          <w:lang w:val="en-US"/>
        </w:rPr>
        <w:t>،</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على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المدى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الطويل بعد</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الصدمة،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لإبراز قدرة التعافي من خلال التدخلات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التخطيطية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والممارسات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العملية التي</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لديها أثر</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على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توازن</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مستويات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مرونة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المدينة</w:t>
      </w:r>
      <w:r w:rsidRPr="00507DB0">
        <w:rPr>
          <w:rFonts w:ascii="Simplified Arabic" w:hAnsi="Simplified Arabic" w:cs="Simplified Arabic"/>
          <w:sz w:val="24"/>
          <w:szCs w:val="24"/>
          <w:rtl/>
          <w:lang w:val="en-US"/>
        </w:rPr>
        <w:t>.</w:t>
      </w:r>
      <w:r w:rsidRPr="00507DB0">
        <w:rPr>
          <w:rFonts w:ascii="Simplified Arabic" w:hAnsi="Simplified Arabic" w:cs="Simplified Arabic" w:hint="cs"/>
          <w:sz w:val="24"/>
          <w:szCs w:val="24"/>
          <w:rtl/>
          <w:lang w:val="en-US"/>
        </w:rPr>
        <w:t xml:space="preserve"> مثال على ذلك، تعرضت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مدينة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كالاماتا</w:t>
      </w:r>
      <w:r w:rsidRPr="00507DB0">
        <w:rPr>
          <w:rFonts w:ascii="Simplified Arabic" w:hAnsi="Simplified Arabic" w:cs="Simplified Arabic"/>
          <w:sz w:val="24"/>
          <w:szCs w:val="24"/>
          <w:rtl/>
          <w:lang w:val="en-US"/>
        </w:rPr>
        <w:t xml:space="preserve"> </w:t>
      </w:r>
      <w:r w:rsidRPr="00507DB0">
        <w:rPr>
          <w:rFonts w:asciiTheme="majorBidi" w:hAnsiTheme="majorBidi" w:cstheme="majorBidi"/>
          <w:sz w:val="24"/>
          <w:szCs w:val="24"/>
          <w:rtl/>
          <w:lang w:val="en-US"/>
        </w:rPr>
        <w:t>(</w:t>
      </w:r>
      <w:r w:rsidRPr="00507DB0">
        <w:rPr>
          <w:rFonts w:asciiTheme="majorBidi" w:hAnsiTheme="majorBidi" w:cstheme="majorBidi"/>
          <w:sz w:val="24"/>
          <w:szCs w:val="24"/>
          <w:lang w:val="en-US"/>
        </w:rPr>
        <w:t>Kalamata</w:t>
      </w:r>
      <w:r w:rsidRPr="00507DB0">
        <w:rPr>
          <w:rFonts w:asciiTheme="majorBidi" w:hAnsiTheme="majorBidi" w:cstheme="majorBidi"/>
          <w:sz w:val="24"/>
          <w:szCs w:val="24"/>
          <w:rtl/>
          <w:lang w:val="en-US"/>
        </w:rPr>
        <w:t>)</w:t>
      </w:r>
      <w:r w:rsidRPr="00507DB0">
        <w:rPr>
          <w:rFonts w:ascii="Simplified Arabic" w:hAnsi="Simplified Arabic" w:cs="Simplified Arabic" w:hint="cs"/>
          <w:sz w:val="24"/>
          <w:szCs w:val="24"/>
          <w:rtl/>
          <w:lang w:val="en-US"/>
        </w:rPr>
        <w:t xml:space="preserve"> باليونان</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لزلزال</w:t>
      </w:r>
      <w:r w:rsidRPr="00507DB0">
        <w:rPr>
          <w:rFonts w:ascii="Simplified Arabic" w:hAnsi="Simplified Arabic" w:cs="Simplified Arabic"/>
          <w:sz w:val="24"/>
          <w:szCs w:val="24"/>
          <w:rtl/>
          <w:lang w:val="en-US"/>
        </w:rPr>
        <w:t xml:space="preserve"> 1986 </w:t>
      </w:r>
      <w:r w:rsidRPr="00507DB0">
        <w:rPr>
          <w:rFonts w:ascii="Simplified Arabic" w:hAnsi="Simplified Arabic" w:cs="Simplified Arabic" w:hint="cs"/>
          <w:sz w:val="24"/>
          <w:szCs w:val="24"/>
          <w:rtl/>
          <w:lang w:val="en-US"/>
        </w:rPr>
        <w:t>تسبب</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في</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دمارها</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مسار</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تنمية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المدينة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مر</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بمرحلة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تعافي</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طويلة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الأمد، يعتبر ذلك فرصة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مثالية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لاستكشاف</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المرونة على المدى الطويل</w:t>
      </w:r>
      <w:r w:rsidRPr="00507DB0">
        <w:rPr>
          <w:rFonts w:ascii="Simplified Arabic" w:hAnsi="Simplified Arabic" w:cs="Simplified Arabic" w:hint="cs"/>
          <w:sz w:val="24"/>
          <w:szCs w:val="24"/>
          <w:rtl/>
          <w:lang w:val="en-US" w:bidi="ar-DZ"/>
        </w:rPr>
        <w:t xml:space="preserve"> </w:t>
      </w:r>
      <w:r w:rsidR="000F5EC4" w:rsidRPr="00507DB0">
        <w:rPr>
          <w:rFonts w:asciiTheme="majorBidi" w:hAnsiTheme="majorBidi" w:cstheme="majorBidi"/>
          <w:sz w:val="24"/>
          <w:szCs w:val="24"/>
          <w:lang w:val="en-US"/>
        </w:rPr>
        <w:t>(</w:t>
      </w:r>
      <w:r w:rsidRPr="00507DB0">
        <w:rPr>
          <w:rFonts w:asciiTheme="majorBidi" w:hAnsiTheme="majorBidi" w:cstheme="majorBidi"/>
          <w:sz w:val="24"/>
          <w:szCs w:val="24"/>
          <w:lang w:val="en-US"/>
        </w:rPr>
        <w:t>Garis, 2017)</w:t>
      </w:r>
      <w:r w:rsidRPr="00A90015">
        <w:rPr>
          <w:rFonts w:ascii="Simplified Arabic" w:hAnsi="Simplified Arabic" w:cs="Simplified Arabic"/>
          <w:sz w:val="24"/>
          <w:szCs w:val="24"/>
          <w:rtl/>
          <w:lang w:val="en-US"/>
        </w:rPr>
        <w:t>.</w:t>
      </w:r>
      <w:r w:rsidR="00B36D99">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bidi="ar-DZ"/>
        </w:rPr>
        <w:t xml:space="preserve">لذلك </w:t>
      </w:r>
      <w:r w:rsidR="00DF6ED7">
        <w:rPr>
          <w:rFonts w:ascii="Simplified Arabic" w:hAnsi="Simplified Arabic" w:cs="Simplified Arabic" w:hint="cs"/>
          <w:sz w:val="24"/>
          <w:szCs w:val="24"/>
          <w:rtl/>
          <w:lang w:bidi="ar-DZ"/>
        </w:rPr>
        <w:t xml:space="preserve">تم </w:t>
      </w:r>
      <w:r>
        <w:rPr>
          <w:rFonts w:ascii="Simplified Arabic" w:hAnsi="Simplified Arabic" w:cs="Simplified Arabic" w:hint="cs"/>
          <w:sz w:val="24"/>
          <w:szCs w:val="24"/>
          <w:rtl/>
          <w:lang w:bidi="ar-DZ"/>
        </w:rPr>
        <w:t xml:space="preserve">تعريف المرونة في هذه الاطروحة، </w:t>
      </w:r>
      <w:r w:rsidR="0076478F">
        <w:rPr>
          <w:rFonts w:ascii="Simplified Arabic" w:hAnsi="Simplified Arabic" w:cs="Simplified Arabic" w:hint="cs"/>
          <w:sz w:val="24"/>
          <w:szCs w:val="24"/>
          <w:rtl/>
          <w:lang w:bidi="ar-DZ"/>
        </w:rPr>
        <w:t>على انها</w:t>
      </w:r>
      <w:r>
        <w:rPr>
          <w:rFonts w:ascii="Simplified Arabic" w:hAnsi="Simplified Arabic" w:cs="Simplified Arabic" w:hint="cs"/>
          <w:sz w:val="24"/>
          <w:szCs w:val="24"/>
          <w:rtl/>
          <w:lang w:bidi="ar-DZ"/>
        </w:rPr>
        <w:t xml:space="preserve"> </w:t>
      </w:r>
      <w:r w:rsidRPr="00DF6ED7">
        <w:rPr>
          <w:rFonts w:ascii="Simplified Arabic" w:hAnsi="Simplified Arabic" w:cs="Simplified Arabic" w:hint="cs"/>
          <w:b/>
          <w:bCs/>
          <w:sz w:val="24"/>
          <w:szCs w:val="24"/>
          <w:rtl/>
          <w:lang w:bidi="ar-DZ"/>
        </w:rPr>
        <w:t>''</w:t>
      </w:r>
      <w:r w:rsidRPr="00DF6ED7">
        <w:rPr>
          <w:rFonts w:ascii="Simplified Arabic" w:hAnsi="Simplified Arabic" w:cs="Simplified Arabic"/>
          <w:b/>
          <w:bCs/>
          <w:sz w:val="24"/>
          <w:szCs w:val="24"/>
          <w:rtl/>
          <w:lang w:bidi="ar-DZ"/>
        </w:rPr>
        <w:t xml:space="preserve">قدرة </w:t>
      </w:r>
      <w:r w:rsidRPr="00DF6ED7">
        <w:rPr>
          <w:rFonts w:ascii="Simplified Arabic" w:hAnsi="Simplified Arabic" w:cs="Simplified Arabic" w:hint="cs"/>
          <w:b/>
          <w:bCs/>
          <w:sz w:val="24"/>
          <w:szCs w:val="24"/>
          <w:rtl/>
          <w:lang w:bidi="ar-DZ"/>
        </w:rPr>
        <w:t xml:space="preserve">اداء عناصر </w:t>
      </w:r>
      <w:r w:rsidRPr="00DF6ED7">
        <w:rPr>
          <w:rFonts w:ascii="Simplified Arabic" w:hAnsi="Simplified Arabic" w:cs="Simplified Arabic"/>
          <w:b/>
          <w:bCs/>
          <w:sz w:val="24"/>
          <w:szCs w:val="24"/>
          <w:rtl/>
          <w:lang w:bidi="ar-DZ"/>
        </w:rPr>
        <w:t xml:space="preserve">البيئة </w:t>
      </w:r>
      <w:r w:rsidR="00C62080" w:rsidRPr="00C62080">
        <w:rPr>
          <w:rFonts w:ascii="Simplified Arabic" w:hAnsi="Simplified Arabic" w:cs="Simplified Arabic" w:hint="cs"/>
          <w:b/>
          <w:bCs/>
          <w:sz w:val="24"/>
          <w:szCs w:val="24"/>
          <w:rtl/>
          <w:lang w:bidi="ar-DZ"/>
        </w:rPr>
        <w:t>الحضرية</w:t>
      </w:r>
      <w:r w:rsidR="00C62080" w:rsidRPr="00DF6ED7">
        <w:rPr>
          <w:rFonts w:ascii="Simplified Arabic" w:hAnsi="Simplified Arabic" w:cs="Simplified Arabic"/>
          <w:b/>
          <w:bCs/>
          <w:sz w:val="24"/>
          <w:szCs w:val="24"/>
          <w:rtl/>
          <w:lang w:bidi="ar-DZ"/>
        </w:rPr>
        <w:t xml:space="preserve"> </w:t>
      </w:r>
      <w:r w:rsidRPr="00DF6ED7">
        <w:rPr>
          <w:rFonts w:ascii="Simplified Arabic" w:hAnsi="Simplified Arabic" w:cs="Simplified Arabic"/>
          <w:b/>
          <w:bCs/>
          <w:sz w:val="24"/>
          <w:szCs w:val="24"/>
          <w:rtl/>
          <w:lang w:bidi="ar-DZ"/>
        </w:rPr>
        <w:t xml:space="preserve">على </w:t>
      </w:r>
      <w:r w:rsidRPr="00DF6ED7">
        <w:rPr>
          <w:rFonts w:ascii="Simplified Arabic" w:hAnsi="Simplified Arabic" w:cs="Simplified Arabic" w:hint="cs"/>
          <w:b/>
          <w:bCs/>
          <w:sz w:val="24"/>
          <w:szCs w:val="24"/>
          <w:rtl/>
          <w:lang w:bidi="ar-DZ"/>
        </w:rPr>
        <w:t>الاستجابة</w:t>
      </w:r>
      <w:r w:rsidRPr="00DF6ED7">
        <w:rPr>
          <w:rFonts w:ascii="Simplified Arabic" w:hAnsi="Simplified Arabic" w:cs="Simplified Arabic"/>
          <w:b/>
          <w:bCs/>
          <w:sz w:val="24"/>
          <w:szCs w:val="24"/>
          <w:rtl/>
          <w:lang w:bidi="ar-DZ"/>
        </w:rPr>
        <w:t xml:space="preserve"> بسرعة </w:t>
      </w:r>
      <w:r w:rsidRPr="00DF6ED7">
        <w:rPr>
          <w:rFonts w:ascii="Simplified Arabic" w:hAnsi="Simplified Arabic" w:cs="Simplified Arabic" w:hint="cs"/>
          <w:b/>
          <w:bCs/>
          <w:sz w:val="24"/>
          <w:szCs w:val="24"/>
          <w:rtl/>
          <w:lang w:bidi="ar-DZ"/>
        </w:rPr>
        <w:t>لتقديم الخدمة خلال</w:t>
      </w:r>
      <w:r w:rsidRPr="00DF6ED7">
        <w:rPr>
          <w:rFonts w:ascii="Simplified Arabic" w:hAnsi="Simplified Arabic" w:cs="Simplified Arabic"/>
          <w:b/>
          <w:bCs/>
          <w:sz w:val="24"/>
          <w:szCs w:val="24"/>
          <w:rtl/>
          <w:lang w:bidi="ar-DZ"/>
        </w:rPr>
        <w:t xml:space="preserve"> </w:t>
      </w:r>
      <w:r w:rsidRPr="00DF6ED7">
        <w:rPr>
          <w:rFonts w:ascii="Simplified Arabic" w:hAnsi="Simplified Arabic" w:cs="Simplified Arabic" w:hint="cs"/>
          <w:b/>
          <w:bCs/>
          <w:sz w:val="24"/>
          <w:szCs w:val="24"/>
          <w:rtl/>
          <w:lang w:bidi="ar-DZ"/>
        </w:rPr>
        <w:t>الاضطراب</w:t>
      </w:r>
      <w:r w:rsidRPr="00DF6ED7">
        <w:rPr>
          <w:rFonts w:ascii="Simplified Arabic" w:hAnsi="Simplified Arabic" w:cs="Simplified Arabic"/>
          <w:b/>
          <w:bCs/>
          <w:sz w:val="24"/>
          <w:szCs w:val="24"/>
          <w:rtl/>
          <w:lang w:bidi="ar-DZ"/>
        </w:rPr>
        <w:t>، و</w:t>
      </w:r>
      <w:r w:rsidRPr="00DF6ED7">
        <w:rPr>
          <w:rFonts w:ascii="Simplified Arabic" w:hAnsi="Simplified Arabic" w:cs="Simplified Arabic" w:hint="cs"/>
          <w:b/>
          <w:bCs/>
          <w:sz w:val="24"/>
          <w:szCs w:val="24"/>
          <w:rtl/>
          <w:lang w:bidi="ar-DZ"/>
        </w:rPr>
        <w:t xml:space="preserve">قدرة التكيف </w:t>
      </w:r>
      <w:r w:rsidR="00410D9F">
        <w:rPr>
          <w:rFonts w:ascii="Simplified Arabic" w:hAnsi="Simplified Arabic" w:cs="Simplified Arabic" w:hint="cs"/>
          <w:b/>
          <w:bCs/>
          <w:sz w:val="24"/>
          <w:szCs w:val="24"/>
          <w:rtl/>
          <w:lang w:bidi="ar-DZ"/>
        </w:rPr>
        <w:t xml:space="preserve">مع الاضطراب </w:t>
      </w:r>
      <w:r w:rsidRPr="00DF6ED7">
        <w:rPr>
          <w:rFonts w:ascii="Simplified Arabic" w:hAnsi="Simplified Arabic" w:cs="Simplified Arabic" w:hint="cs"/>
          <w:b/>
          <w:bCs/>
          <w:sz w:val="24"/>
          <w:szCs w:val="24"/>
          <w:rtl/>
          <w:lang w:bidi="ar-DZ"/>
        </w:rPr>
        <w:t>من خلال ممارسة التخطيط والتدخلات الحضرية لرفع</w:t>
      </w:r>
      <w:r w:rsidRPr="00DF6ED7">
        <w:rPr>
          <w:rFonts w:ascii="Simplified Arabic" w:hAnsi="Simplified Arabic" w:cs="Simplified Arabic"/>
          <w:b/>
          <w:bCs/>
          <w:sz w:val="24"/>
          <w:szCs w:val="24"/>
          <w:rtl/>
          <w:lang w:bidi="ar-DZ"/>
        </w:rPr>
        <w:t xml:space="preserve"> مستو</w:t>
      </w:r>
      <w:r w:rsidRPr="00DF6ED7">
        <w:rPr>
          <w:rFonts w:ascii="Simplified Arabic" w:hAnsi="Simplified Arabic" w:cs="Simplified Arabic" w:hint="cs"/>
          <w:b/>
          <w:bCs/>
          <w:sz w:val="24"/>
          <w:szCs w:val="24"/>
          <w:rtl/>
          <w:lang w:bidi="ar-DZ"/>
        </w:rPr>
        <w:t>يات</w:t>
      </w:r>
      <w:r w:rsidRPr="00DF6ED7">
        <w:rPr>
          <w:rFonts w:ascii="Simplified Arabic" w:hAnsi="Simplified Arabic" w:cs="Simplified Arabic"/>
          <w:b/>
          <w:bCs/>
          <w:sz w:val="24"/>
          <w:szCs w:val="24"/>
          <w:rtl/>
          <w:lang w:bidi="ar-DZ"/>
        </w:rPr>
        <w:t xml:space="preserve"> </w:t>
      </w:r>
      <w:r w:rsidRPr="00DF6ED7">
        <w:rPr>
          <w:rFonts w:ascii="Simplified Arabic" w:hAnsi="Simplified Arabic" w:cs="Simplified Arabic" w:hint="cs"/>
          <w:b/>
          <w:bCs/>
          <w:sz w:val="24"/>
          <w:szCs w:val="24"/>
          <w:rtl/>
          <w:lang w:bidi="ar-DZ"/>
        </w:rPr>
        <w:t>المرونة''</w:t>
      </w:r>
    </w:p>
    <w:p w:rsidR="00A903CE" w:rsidRDefault="00A903CE" w:rsidP="00B36D99">
      <w:pPr>
        <w:pStyle w:val="fegure"/>
        <w:spacing w:before="240"/>
        <w:rPr>
          <w:sz w:val="8"/>
          <w:szCs w:val="24"/>
          <w:rtl/>
          <w:lang w:val="en-US"/>
        </w:rPr>
      </w:pPr>
      <w:bookmarkStart w:id="247" w:name="_Toc157561453"/>
      <w:bookmarkStart w:id="248" w:name="_Toc157562786"/>
      <w:bookmarkStart w:id="249" w:name="_Toc157608282"/>
      <w:bookmarkStart w:id="250" w:name="_Toc171803408"/>
      <w:r w:rsidRPr="003A762D">
        <w:rPr>
          <w:rFonts w:hint="cs"/>
          <w:sz w:val="8"/>
          <w:szCs w:val="24"/>
          <w:rtl/>
          <w:lang w:val="en-US"/>
        </w:rPr>
        <w:t>الشكل (</w:t>
      </w:r>
      <w:r w:rsidR="007A0685" w:rsidRPr="003A762D">
        <w:rPr>
          <w:rFonts w:hint="cs"/>
          <w:sz w:val="8"/>
          <w:szCs w:val="24"/>
          <w:rtl/>
          <w:lang w:val="en-US"/>
        </w:rPr>
        <w:t>1-21</w:t>
      </w:r>
      <w:r w:rsidRPr="003A762D">
        <w:rPr>
          <w:rFonts w:hint="cs"/>
          <w:sz w:val="8"/>
          <w:szCs w:val="24"/>
          <w:rtl/>
          <w:lang w:val="en-US"/>
        </w:rPr>
        <w:t xml:space="preserve">): </w:t>
      </w:r>
      <w:r w:rsidR="003A50EC" w:rsidRPr="003A762D">
        <w:rPr>
          <w:rFonts w:hint="cs"/>
          <w:sz w:val="8"/>
          <w:szCs w:val="24"/>
          <w:rtl/>
          <w:lang w:val="en-US"/>
        </w:rPr>
        <w:t>ال</w:t>
      </w:r>
      <w:r w:rsidRPr="003A762D">
        <w:rPr>
          <w:rFonts w:hint="cs"/>
          <w:sz w:val="8"/>
          <w:szCs w:val="24"/>
          <w:rtl/>
          <w:lang w:val="en-US"/>
        </w:rPr>
        <w:t xml:space="preserve">تطور </w:t>
      </w:r>
      <w:r w:rsidR="003A50EC" w:rsidRPr="003A762D">
        <w:rPr>
          <w:rFonts w:hint="cs"/>
          <w:sz w:val="8"/>
          <w:szCs w:val="24"/>
          <w:rtl/>
          <w:lang w:val="en-US"/>
        </w:rPr>
        <w:t xml:space="preserve">الزمني </w:t>
      </w:r>
      <w:r w:rsidR="007A0685" w:rsidRPr="003A762D">
        <w:rPr>
          <w:rFonts w:hint="cs"/>
          <w:sz w:val="8"/>
          <w:szCs w:val="24"/>
          <w:rtl/>
          <w:lang w:val="en-US"/>
        </w:rPr>
        <w:t>لأداء</w:t>
      </w:r>
      <w:r w:rsidRPr="003A762D">
        <w:rPr>
          <w:rFonts w:hint="cs"/>
          <w:sz w:val="8"/>
          <w:szCs w:val="24"/>
          <w:rtl/>
          <w:lang w:val="en-US"/>
        </w:rPr>
        <w:t xml:space="preserve"> مكونات المرونة الحضرية عقب كارثة</w:t>
      </w:r>
      <w:r w:rsidR="000E06A7" w:rsidRPr="003A762D">
        <w:rPr>
          <w:rFonts w:hint="cs"/>
          <w:sz w:val="8"/>
          <w:szCs w:val="24"/>
          <w:rtl/>
          <w:lang w:val="en-US"/>
        </w:rPr>
        <w:t xml:space="preserve"> من خلال المطالعة على الابحاث</w:t>
      </w:r>
      <w:bookmarkEnd w:id="247"/>
      <w:bookmarkEnd w:id="248"/>
      <w:bookmarkEnd w:id="249"/>
      <w:bookmarkEnd w:id="250"/>
    </w:p>
    <w:p w:rsidR="00010DE7" w:rsidRPr="00010DE7" w:rsidRDefault="00010DE7" w:rsidP="00010DE7">
      <w:pPr>
        <w:pStyle w:val="fegure"/>
        <w:rPr>
          <w:sz w:val="8"/>
          <w:szCs w:val="24"/>
          <w:rtl/>
          <w:lang w:val="en-US" w:bidi="ar-DZ"/>
        </w:rPr>
      </w:pPr>
      <w:bookmarkStart w:id="251" w:name="_Toc171803409"/>
      <w:r>
        <w:rPr>
          <w:rFonts w:hint="cs"/>
          <w:sz w:val="8"/>
          <w:szCs w:val="24"/>
          <w:rtl/>
          <w:lang w:val="en-US"/>
        </w:rPr>
        <w:t>المصدر: (الباحث، 2022)</w:t>
      </w:r>
      <w:bookmarkEnd w:id="251"/>
    </w:p>
    <w:p w:rsidR="00A903CE" w:rsidRDefault="00A903CE" w:rsidP="00A903CE">
      <w:pPr>
        <w:tabs>
          <w:tab w:val="right" w:pos="282"/>
        </w:tabs>
        <w:bidi/>
        <w:spacing w:after="0"/>
        <w:jc w:val="center"/>
        <w:rPr>
          <w:rFonts w:ascii="Simplified Arabic" w:hAnsi="Simplified Arabic" w:cs="Simplified Arabic"/>
          <w:sz w:val="24"/>
          <w:szCs w:val="24"/>
          <w:rtl/>
          <w:lang w:val="en-US"/>
        </w:rPr>
      </w:pPr>
      <w:r w:rsidRPr="00A50D2D">
        <w:rPr>
          <w:noProof/>
          <w:lang w:eastAsia="fr-FR"/>
        </w:rPr>
        <w:drawing>
          <wp:inline distT="0" distB="0" distL="0" distR="0" wp14:anchorId="37C31925" wp14:editId="52A865C0">
            <wp:extent cx="3652115" cy="2636368"/>
            <wp:effectExtent l="19050" t="19050" r="24765" b="12065"/>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extLst>
                        <a:ext uri="{28A0092B-C50C-407E-A947-70E740481C1C}">
                          <a14:useLocalDpi xmlns:a14="http://schemas.microsoft.com/office/drawing/2010/main" val="0"/>
                        </a:ext>
                      </a:extLst>
                    </a:blip>
                    <a:stretch>
                      <a:fillRect/>
                    </a:stretch>
                  </pic:blipFill>
                  <pic:spPr>
                    <a:xfrm>
                      <a:off x="0" y="0"/>
                      <a:ext cx="3654470" cy="2638068"/>
                    </a:xfrm>
                    <a:prstGeom prst="rect">
                      <a:avLst/>
                    </a:prstGeom>
                    <a:ln w="6350">
                      <a:solidFill>
                        <a:schemeClr val="tx1"/>
                      </a:solidFill>
                    </a:ln>
                  </pic:spPr>
                </pic:pic>
              </a:graphicData>
            </a:graphic>
          </wp:inline>
        </w:drawing>
      </w:r>
    </w:p>
    <w:p w:rsidR="00A903CE" w:rsidRPr="007A7475" w:rsidRDefault="00A903CE" w:rsidP="001D0548">
      <w:pPr>
        <w:pStyle w:val="Paragraphedeliste"/>
        <w:numPr>
          <w:ilvl w:val="1"/>
          <w:numId w:val="202"/>
        </w:numPr>
        <w:tabs>
          <w:tab w:val="right" w:pos="567"/>
        </w:tabs>
        <w:bidi/>
        <w:spacing w:before="240" w:after="0"/>
        <w:ind w:left="0" w:firstLine="0"/>
        <w:jc w:val="both"/>
        <w:outlineLvl w:val="0"/>
        <w:rPr>
          <w:rFonts w:ascii="Simplified Arabic" w:hAnsi="Simplified Arabic" w:cs="Simplified Arabic"/>
          <w:b/>
          <w:bCs/>
          <w:sz w:val="24"/>
          <w:szCs w:val="24"/>
          <w:rtl/>
          <w:lang w:bidi="ar-DZ"/>
        </w:rPr>
      </w:pPr>
      <w:bookmarkStart w:id="252" w:name="_Toc171803410"/>
      <w:r w:rsidRPr="007A7475">
        <w:rPr>
          <w:rFonts w:ascii="Simplified Arabic" w:hAnsi="Simplified Arabic" w:cs="Simplified Arabic"/>
          <w:b/>
          <w:bCs/>
          <w:sz w:val="24"/>
          <w:szCs w:val="24"/>
          <w:rtl/>
          <w:lang w:bidi="ar-DZ"/>
        </w:rPr>
        <w:lastRenderedPageBreak/>
        <w:t xml:space="preserve">العلاقة بين </w:t>
      </w:r>
      <w:r w:rsidR="0027496A" w:rsidRPr="0027496A">
        <w:rPr>
          <w:rFonts w:ascii="Simplified Arabic" w:hAnsi="Simplified Arabic" w:cs="Simplified Arabic" w:hint="cs"/>
          <w:b/>
          <w:bCs/>
          <w:sz w:val="24"/>
          <w:szCs w:val="24"/>
          <w:rtl/>
        </w:rPr>
        <w:t>استعمال</w:t>
      </w:r>
      <w:r w:rsidRPr="007A7475">
        <w:rPr>
          <w:rFonts w:ascii="Simplified Arabic" w:hAnsi="Simplified Arabic" w:cs="Simplified Arabic"/>
          <w:b/>
          <w:bCs/>
          <w:sz w:val="24"/>
          <w:szCs w:val="24"/>
          <w:rtl/>
          <w:lang w:bidi="ar-DZ"/>
        </w:rPr>
        <w:t xml:space="preserve"> الارض الحضرية و المرونة الحضرية:</w:t>
      </w:r>
      <w:bookmarkEnd w:id="252"/>
    </w:p>
    <w:p w:rsidR="00A903CE" w:rsidRPr="00406EF3" w:rsidRDefault="00A903CE" w:rsidP="0027496A">
      <w:pPr>
        <w:autoSpaceDE w:val="0"/>
        <w:autoSpaceDN w:val="0"/>
        <w:bidi/>
        <w:adjustRightInd w:val="0"/>
        <w:spacing w:after="0"/>
        <w:ind w:firstLine="282"/>
        <w:jc w:val="both"/>
        <w:rPr>
          <w:rFonts w:ascii="Simplified Arabic" w:hAnsi="Simplified Arabic" w:cs="Simplified Arabic"/>
          <w:sz w:val="24"/>
          <w:szCs w:val="24"/>
          <w:rtl/>
          <w:lang w:bidi="ar-DZ"/>
        </w:rPr>
      </w:pPr>
      <w:r w:rsidRPr="00507DB0">
        <w:rPr>
          <w:rFonts w:ascii="Simplified Arabic" w:hAnsi="Simplified Arabic" w:cs="Simplified Arabic"/>
          <w:sz w:val="24"/>
          <w:szCs w:val="24"/>
          <w:rtl/>
          <w:lang w:bidi="ar-DZ"/>
        </w:rPr>
        <w:t>هناك بعض المؤشرات في الأ</w:t>
      </w:r>
      <w:r w:rsidR="00C71ECA">
        <w:rPr>
          <w:rFonts w:ascii="Simplified Arabic" w:hAnsi="Simplified Arabic" w:cs="Simplified Arabic" w:hint="cs"/>
          <w:sz w:val="24"/>
          <w:szCs w:val="24"/>
          <w:rtl/>
          <w:lang w:bidi="ar-DZ"/>
        </w:rPr>
        <w:t>بحاث</w:t>
      </w:r>
      <w:r w:rsidRPr="00507DB0">
        <w:rPr>
          <w:rFonts w:ascii="Simplified Arabic" w:hAnsi="Simplified Arabic" w:cs="Simplified Arabic"/>
          <w:sz w:val="24"/>
          <w:szCs w:val="24"/>
          <w:rtl/>
          <w:lang w:bidi="ar-DZ"/>
        </w:rPr>
        <w:t xml:space="preserve"> حول تأثيرات عوامل الشكل الحضري، مثل المناقشات حول دور مزيج الكثافة و</w:t>
      </w:r>
      <w:r w:rsidR="0027496A">
        <w:rPr>
          <w:rFonts w:ascii="Simplified Arabic" w:hAnsi="Simplified Arabic" w:cs="Simplified Arabic" w:hint="cs"/>
          <w:sz w:val="24"/>
          <w:szCs w:val="24"/>
          <w:rtl/>
        </w:rPr>
        <w:t>استعمال</w:t>
      </w:r>
      <w:r w:rsidRPr="00507DB0">
        <w:rPr>
          <w:rFonts w:ascii="Simplified Arabic" w:hAnsi="Simplified Arabic" w:cs="Simplified Arabic"/>
          <w:sz w:val="24"/>
          <w:szCs w:val="24"/>
          <w:rtl/>
          <w:lang w:bidi="ar-DZ"/>
        </w:rPr>
        <w:t xml:space="preserve"> الأرض في مقاومة الكوارث</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Pr>
        <w:t>(Carpenter et al., 2001; Godschalk, 2003; Allan et al., 2013)</w:t>
      </w:r>
      <w:r w:rsidRPr="00507DB0">
        <w:rPr>
          <w:rFonts w:asciiTheme="minorBidi" w:hAnsiTheme="minorBidi" w:cs="Arial" w:hint="cs"/>
          <w:sz w:val="24"/>
          <w:szCs w:val="24"/>
          <w:rtl/>
          <w:lang w:bidi="ar-DZ"/>
        </w:rPr>
        <w:t>.</w:t>
      </w:r>
      <w:r w:rsidRPr="00507DB0">
        <w:rPr>
          <w:rFonts w:asciiTheme="majorBidi" w:hAnsiTheme="majorBidi" w:cstheme="majorBidi" w:hint="cs"/>
          <w:sz w:val="24"/>
          <w:szCs w:val="24"/>
          <w:rtl/>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سبيل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المثال،</w:t>
      </w:r>
      <w:r w:rsidRPr="00507DB0">
        <w:rPr>
          <w:rFonts w:asciiTheme="minorBidi" w:hAnsiTheme="minorBidi" w:cs="Arial"/>
          <w:sz w:val="28"/>
          <w:szCs w:val="28"/>
          <w:rtl/>
          <w:lang w:bidi="ar-DZ"/>
        </w:rPr>
        <w:t xml:space="preserve"> </w:t>
      </w:r>
      <w:r w:rsidR="003361A3" w:rsidRPr="00507DB0">
        <w:rPr>
          <w:rFonts w:ascii="Simplified Arabic" w:hAnsi="Simplified Arabic" w:cs="Simplified Arabic" w:hint="cs"/>
          <w:sz w:val="24"/>
          <w:szCs w:val="24"/>
          <w:rtl/>
          <w:lang w:bidi="ar-DZ"/>
        </w:rPr>
        <w:t>قام</w:t>
      </w:r>
      <w:r w:rsidR="003361A3" w:rsidRPr="00507DB0">
        <w:rPr>
          <w:rFonts w:ascii="Simplified Arabic" w:hAnsi="Simplified Arabic" w:cs="Simplified Arabic"/>
          <w:sz w:val="24"/>
          <w:szCs w:val="24"/>
          <w:rtl/>
          <w:lang w:bidi="ar-DZ"/>
        </w:rPr>
        <w:t xml:space="preserve"> </w:t>
      </w:r>
      <w:r w:rsidRPr="00507DB0">
        <w:rPr>
          <w:rFonts w:asciiTheme="majorBidi" w:hAnsiTheme="majorBidi" w:cstheme="majorBidi"/>
          <w:sz w:val="24"/>
          <w:szCs w:val="24"/>
          <w:lang w:bidi="ar-DZ"/>
        </w:rPr>
        <w:t>(</w:t>
      </w:r>
      <w:r w:rsidRPr="00507DB0">
        <w:rPr>
          <w:rFonts w:asciiTheme="majorBidi" w:hAnsiTheme="majorBidi" w:cstheme="majorBidi"/>
          <w:sz w:val="24"/>
          <w:szCs w:val="24"/>
        </w:rPr>
        <w:t>Allan et al., 2013)</w:t>
      </w:r>
      <w:r w:rsidRPr="00507DB0">
        <w:rPr>
          <w:rFonts w:ascii="Simplified Arabic" w:hAnsi="Simplified Arabic" w:cs="Simplified Arabic" w:hint="cs"/>
          <w:sz w:val="24"/>
          <w:szCs w:val="24"/>
          <w:rtl/>
          <w:lang w:bidi="ar-DZ"/>
        </w:rPr>
        <w:t>،</w:t>
      </w:r>
      <w:r w:rsidRPr="00507DB0">
        <w:rPr>
          <w:rFonts w:asciiTheme="minorBidi" w:hAnsiTheme="minorBidi" w:cs="Arial"/>
          <w:sz w:val="24"/>
          <w:szCs w:val="24"/>
          <w:rtl/>
          <w:lang w:bidi="ar-DZ"/>
        </w:rPr>
        <w:t xml:space="preserve"> </w:t>
      </w:r>
      <w:r w:rsidRPr="00507DB0">
        <w:rPr>
          <w:rFonts w:ascii="Simplified Arabic" w:hAnsi="Simplified Arabic" w:cs="Simplified Arabic" w:hint="cs"/>
          <w:sz w:val="24"/>
          <w:szCs w:val="24"/>
          <w:rtl/>
          <w:lang w:bidi="ar-DZ"/>
        </w:rPr>
        <w:t>بالتحقيق</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دور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الشكل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الحضري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عملية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التعافي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بعد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الز</w:t>
      </w:r>
      <w:r w:rsidRPr="00406EF3">
        <w:rPr>
          <w:rFonts w:ascii="Simplified Arabic" w:hAnsi="Simplified Arabic" w:cs="Simplified Arabic" w:hint="cs"/>
          <w:sz w:val="24"/>
          <w:szCs w:val="24"/>
          <w:rtl/>
          <w:lang w:bidi="ar-DZ"/>
        </w:rPr>
        <w:t>لازل،</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واقترح</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أن</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دمج</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سمات</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المرونة</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في</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استراتيجيات</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التصميم</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والتنمية</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يزيد</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من</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قدرة</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المناطق</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الحضرية</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على</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الاستجابة</w:t>
      </w:r>
      <w:r w:rsidRPr="00406EF3">
        <w:rPr>
          <w:rFonts w:ascii="Simplified Arabic" w:hAnsi="Simplified Arabic" w:cs="Simplified Arabic"/>
          <w:sz w:val="24"/>
          <w:szCs w:val="24"/>
          <w:rtl/>
          <w:lang w:bidi="ar-DZ"/>
        </w:rPr>
        <w:t xml:space="preserve"> </w:t>
      </w:r>
      <w:r w:rsidRPr="00406EF3">
        <w:rPr>
          <w:rFonts w:ascii="Simplified Arabic" w:hAnsi="Simplified Arabic" w:cs="Simplified Arabic" w:hint="cs"/>
          <w:sz w:val="24"/>
          <w:szCs w:val="24"/>
          <w:rtl/>
          <w:lang w:bidi="ar-DZ"/>
        </w:rPr>
        <w:t>للكوارث</w:t>
      </w:r>
      <w:r w:rsidRPr="00406EF3">
        <w:rPr>
          <w:rFonts w:ascii="Simplified Arabic" w:hAnsi="Simplified Arabic" w:cs="Simplified Arabic"/>
          <w:sz w:val="24"/>
          <w:szCs w:val="24"/>
          <w:rtl/>
          <w:lang w:bidi="ar-DZ"/>
        </w:rPr>
        <w:t>.</w:t>
      </w:r>
    </w:p>
    <w:p w:rsidR="00A903CE" w:rsidRDefault="00A903CE" w:rsidP="00E43558">
      <w:pPr>
        <w:autoSpaceDE w:val="0"/>
        <w:autoSpaceDN w:val="0"/>
        <w:bidi/>
        <w:adjustRightInd w:val="0"/>
        <w:spacing w:after="0"/>
        <w:ind w:firstLine="282"/>
        <w:jc w:val="both"/>
        <w:rPr>
          <w:rFonts w:ascii="Simplified Arabic" w:hAnsi="Simplified Arabic" w:cs="Simplified Arabic"/>
          <w:sz w:val="24"/>
          <w:szCs w:val="24"/>
          <w:rtl/>
          <w:lang w:bidi="ar-DZ"/>
        </w:rPr>
      </w:pPr>
      <w:r w:rsidRPr="00406EF3">
        <w:rPr>
          <w:rFonts w:ascii="Simplified Arabic" w:hAnsi="Simplified Arabic" w:cs="Simplified Arabic" w:hint="cs"/>
          <w:sz w:val="24"/>
          <w:szCs w:val="24"/>
          <w:rtl/>
          <w:lang w:bidi="ar-DZ"/>
        </w:rPr>
        <w:t xml:space="preserve">بناء على ما تقدم، يمكن </w:t>
      </w:r>
      <w:r w:rsidR="00DB069F">
        <w:rPr>
          <w:rFonts w:ascii="Simplified Arabic" w:hAnsi="Simplified Arabic" w:cs="Simplified Arabic" w:hint="cs"/>
          <w:sz w:val="24"/>
          <w:szCs w:val="24"/>
          <w:rtl/>
          <w:lang w:bidi="ar-DZ"/>
        </w:rPr>
        <w:t>ال</w:t>
      </w:r>
      <w:r w:rsidRPr="00406EF3">
        <w:rPr>
          <w:rFonts w:ascii="Simplified Arabic" w:hAnsi="Simplified Arabic" w:cs="Simplified Arabic" w:hint="cs"/>
          <w:sz w:val="24"/>
          <w:szCs w:val="24"/>
          <w:rtl/>
          <w:lang w:bidi="ar-DZ"/>
        </w:rPr>
        <w:t xml:space="preserve">تعرف </w:t>
      </w:r>
      <w:r w:rsidR="00DB069F">
        <w:rPr>
          <w:rFonts w:ascii="Simplified Arabic" w:hAnsi="Simplified Arabic" w:cs="Simplified Arabic" w:hint="cs"/>
          <w:sz w:val="24"/>
          <w:szCs w:val="24"/>
          <w:rtl/>
          <w:lang w:bidi="ar-DZ"/>
        </w:rPr>
        <w:t xml:space="preserve">على </w:t>
      </w:r>
      <w:r w:rsidR="0027496A">
        <w:rPr>
          <w:rFonts w:ascii="Simplified Arabic" w:hAnsi="Simplified Arabic" w:cs="Simplified Arabic" w:hint="cs"/>
          <w:sz w:val="24"/>
          <w:szCs w:val="24"/>
          <w:rtl/>
        </w:rPr>
        <w:t>استعمال</w:t>
      </w:r>
      <w:r w:rsidRPr="00406EF3">
        <w:rPr>
          <w:rFonts w:ascii="Simplified Arabic" w:hAnsi="Simplified Arabic" w:cs="Simplified Arabic" w:hint="cs"/>
          <w:sz w:val="24"/>
          <w:szCs w:val="24"/>
          <w:rtl/>
          <w:lang w:bidi="ar-DZ"/>
        </w:rPr>
        <w:t xml:space="preserve"> الارض الحضرية من </w:t>
      </w:r>
      <w:r>
        <w:rPr>
          <w:rFonts w:ascii="Simplified Arabic" w:hAnsi="Simplified Arabic" w:cs="Simplified Arabic" w:hint="cs"/>
          <w:sz w:val="24"/>
          <w:szCs w:val="24"/>
          <w:rtl/>
          <w:lang w:bidi="ar-DZ"/>
        </w:rPr>
        <w:t>خلال سمات المرونة (التنوع،</w:t>
      </w:r>
      <w:r w:rsidRPr="00406EF3">
        <w:rPr>
          <w:rFonts w:ascii="Simplified Arabic" w:hAnsi="Simplified Arabic" w:cs="Simplified Arabic" w:hint="cs"/>
          <w:sz w:val="24"/>
          <w:szCs w:val="24"/>
          <w:rtl/>
          <w:lang w:bidi="ar-DZ"/>
        </w:rPr>
        <w:t xml:space="preserve"> الكثافة</w:t>
      </w:r>
      <w:r>
        <w:rPr>
          <w:rFonts w:ascii="Simplified Arabic" w:hAnsi="Simplified Arabic" w:cs="Simplified Arabic" w:hint="cs"/>
          <w:sz w:val="24"/>
          <w:szCs w:val="24"/>
          <w:rtl/>
          <w:lang w:bidi="ar-DZ"/>
        </w:rPr>
        <w:t>، التكرار و</w:t>
      </w:r>
      <w:r w:rsidR="00E43558" w:rsidRPr="00E43558">
        <w:rPr>
          <w:rFonts w:ascii="Simplified Arabic" w:hAnsi="Simplified Arabic" w:cs="Simplified Arabic" w:hint="cs"/>
          <w:sz w:val="24"/>
          <w:szCs w:val="24"/>
          <w:rtl/>
        </w:rPr>
        <w:t xml:space="preserve">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Pr="00406EF3">
        <w:rPr>
          <w:rFonts w:ascii="Simplified Arabic" w:hAnsi="Simplified Arabic" w:cs="Simplified Arabic" w:hint="cs"/>
          <w:sz w:val="24"/>
          <w:szCs w:val="24"/>
          <w:rtl/>
          <w:lang w:bidi="ar-DZ"/>
        </w:rPr>
        <w:t xml:space="preserve">). </w:t>
      </w:r>
      <w:r w:rsidRPr="006D0FE8">
        <w:rPr>
          <w:rFonts w:ascii="Simplified Arabic" w:hAnsi="Simplified Arabic" w:cs="Simplified Arabic" w:hint="cs"/>
          <w:sz w:val="24"/>
          <w:szCs w:val="24"/>
          <w:rtl/>
          <w:lang w:bidi="ar-DZ"/>
        </w:rPr>
        <w:t>حيث ترتبط الكثافة بالتوزيع المكاني المتوازن لكثافة البناء ونسبة التغطية بالخدمات، يرتبط التنوع بتوفير الوظائف والخدمات الى الحد الذي يضمن التكامل فيما بينها اثناء الاضطراب الحاد، بينما يوفر</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التكرار</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نسخًا</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احتياطية،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في</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حالة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فشل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جزء</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واحد</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من</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النظام،</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كما يعني</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الازدواجية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أو</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تكرار</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الوظائف</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أو</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العناصر</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أو</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المسارات</w:t>
      </w:r>
      <w:r w:rsidRPr="006D0FE8">
        <w:rPr>
          <w:rFonts w:ascii="Simplified Arabic" w:hAnsi="Simplified Arabic" w:cs="Simplified Arabic"/>
          <w:sz w:val="24"/>
          <w:szCs w:val="24"/>
          <w:rtl/>
          <w:lang w:bidi="ar-DZ"/>
        </w:rPr>
        <w:t>.</w:t>
      </w:r>
      <w:r w:rsidRPr="006D0FE8">
        <w:rPr>
          <w:rFonts w:ascii="Simplified Arabic" w:hAnsi="Simplified Arabic" w:cs="Simplified Arabic" w:hint="cs"/>
          <w:sz w:val="24"/>
          <w:szCs w:val="24"/>
          <w:rtl/>
          <w:lang w:bidi="ar-DZ"/>
        </w:rPr>
        <w:t xml:space="preserve"> </w:t>
      </w:r>
      <w:r w:rsidR="00E43558">
        <w:rPr>
          <w:rFonts w:ascii="Simplified Arabic" w:hAnsi="Simplified Arabic" w:cs="Simplified Arabic" w:hint="cs"/>
          <w:sz w:val="24"/>
          <w:szCs w:val="24"/>
          <w:rtl/>
          <w:lang w:bidi="ar-DZ"/>
        </w:rPr>
        <w:t>ت</w:t>
      </w:r>
      <w:r w:rsidRPr="006D0FE8">
        <w:rPr>
          <w:rFonts w:ascii="Simplified Arabic" w:hAnsi="Simplified Arabic" w:cs="Simplified Arabic" w:hint="cs"/>
          <w:sz w:val="24"/>
          <w:szCs w:val="24"/>
          <w:rtl/>
          <w:lang w:bidi="ar-DZ"/>
        </w:rPr>
        <w:t xml:space="preserve">رتبط </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بالاتصال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المكاني</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وإمكانية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الوصول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وإلى</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توفير وسائل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النقل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العام، كما يشير الى</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مستوى</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تنقل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وحركة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الأشخاص</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والمركبات</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عبر</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المدينة</w:t>
      </w:r>
      <w:r w:rsidRPr="006D0FE8">
        <w:rPr>
          <w:rFonts w:ascii="Simplified Arabic" w:hAnsi="Simplified Arabic" w:cs="Simplified Arabic"/>
          <w:sz w:val="24"/>
          <w:szCs w:val="24"/>
          <w:rtl/>
          <w:lang w:bidi="ar-DZ"/>
        </w:rPr>
        <w:t>.</w:t>
      </w:r>
      <w:r w:rsidRPr="006D0FE8">
        <w:rPr>
          <w:rFonts w:ascii="Simplified Arabic" w:hAnsi="Simplified Arabic" w:cs="Simplified Arabic" w:hint="cs"/>
          <w:sz w:val="24"/>
          <w:szCs w:val="24"/>
          <w:rtl/>
          <w:lang w:bidi="ar-DZ"/>
        </w:rPr>
        <w:t xml:space="preserve"> </w:t>
      </w:r>
      <w:r w:rsidR="006330C8">
        <w:rPr>
          <w:rFonts w:ascii="Simplified Arabic" w:hAnsi="Simplified Arabic" w:cs="Simplified Arabic" w:hint="cs"/>
          <w:sz w:val="24"/>
          <w:szCs w:val="24"/>
          <w:rtl/>
          <w:lang w:bidi="ar-DZ"/>
        </w:rPr>
        <w:t xml:space="preserve">لذا، </w:t>
      </w:r>
      <w:r w:rsidRPr="006D0FE8">
        <w:rPr>
          <w:rFonts w:ascii="Simplified Arabic" w:hAnsi="Simplified Arabic" w:cs="Simplified Arabic" w:hint="cs"/>
          <w:sz w:val="24"/>
          <w:szCs w:val="24"/>
          <w:rtl/>
          <w:lang w:bidi="ar-DZ"/>
        </w:rPr>
        <w:t>يمكن تعريف المرونة الحضرية</w:t>
      </w:r>
      <w:r w:rsidR="006330C8">
        <w:rPr>
          <w:rFonts w:ascii="Simplified Arabic" w:hAnsi="Simplified Arabic" w:cs="Simplified Arabic" w:hint="cs"/>
          <w:sz w:val="24"/>
          <w:szCs w:val="24"/>
          <w:rtl/>
          <w:lang w:bidi="ar-DZ"/>
        </w:rPr>
        <w:t>،</w:t>
      </w:r>
      <w:r w:rsidRPr="006D0FE8">
        <w:rPr>
          <w:rFonts w:ascii="Simplified Arabic" w:hAnsi="Simplified Arabic" w:cs="Simplified Arabic" w:hint="cs"/>
          <w:sz w:val="24"/>
          <w:szCs w:val="24"/>
          <w:rtl/>
          <w:lang w:bidi="ar-DZ"/>
        </w:rPr>
        <w:t xml:space="preserve"> </w:t>
      </w:r>
      <w:r w:rsidR="006330C8">
        <w:rPr>
          <w:rFonts w:ascii="Simplified Arabic" w:hAnsi="Simplified Arabic" w:cs="Simplified Arabic" w:hint="cs"/>
          <w:sz w:val="24"/>
          <w:szCs w:val="24"/>
          <w:rtl/>
          <w:lang w:bidi="ar-DZ"/>
        </w:rPr>
        <w:t>''</w:t>
      </w:r>
      <w:r w:rsidRPr="006D0FE8">
        <w:rPr>
          <w:rFonts w:ascii="Simplified Arabic" w:hAnsi="Simplified Arabic" w:cs="Simplified Arabic" w:hint="cs"/>
          <w:sz w:val="24"/>
          <w:szCs w:val="24"/>
          <w:rtl/>
          <w:lang w:bidi="ar-DZ"/>
        </w:rPr>
        <w:t xml:space="preserve">هي قدرة الوظائف الحضرية والخدمات على التغيّر والتكيّف استجابةً للاضطرابات </w:t>
      </w:r>
      <w:r w:rsidRPr="006D0FE8">
        <w:rPr>
          <w:rFonts w:ascii="Simplified Arabic" w:hAnsi="Simplified Arabic" w:cs="Simplified Arabic"/>
          <w:sz w:val="24"/>
          <w:szCs w:val="24"/>
          <w:rtl/>
          <w:lang w:bidi="ar-DZ"/>
        </w:rPr>
        <w:t xml:space="preserve">من أجل الوصول والحفاظ على مستوى مقبول من </w:t>
      </w:r>
      <w:r w:rsidRPr="006D0FE8">
        <w:rPr>
          <w:rFonts w:ascii="Simplified Arabic" w:hAnsi="Simplified Arabic" w:cs="Simplified Arabic" w:hint="cs"/>
          <w:sz w:val="24"/>
          <w:szCs w:val="24"/>
          <w:rtl/>
          <w:lang w:bidi="ar-DZ"/>
        </w:rPr>
        <w:t xml:space="preserve">الاداء </w:t>
      </w:r>
      <w:r w:rsidRPr="006D0FE8">
        <w:rPr>
          <w:rFonts w:ascii="Simplified Arabic" w:hAnsi="Simplified Arabic" w:cs="Simplified Arabic"/>
          <w:sz w:val="24"/>
          <w:szCs w:val="24"/>
          <w:rtl/>
          <w:lang w:bidi="ar-DZ"/>
        </w:rPr>
        <w:t>الوظيف</w:t>
      </w:r>
      <w:r w:rsidRPr="006D0FE8">
        <w:rPr>
          <w:rFonts w:ascii="Simplified Arabic" w:hAnsi="Simplified Arabic" w:cs="Simplified Arabic" w:hint="cs"/>
          <w:sz w:val="24"/>
          <w:szCs w:val="24"/>
          <w:rtl/>
          <w:lang w:bidi="ar-DZ"/>
        </w:rPr>
        <w:t>ي</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من</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خلال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المتغيرات</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البديلة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مثل،</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مراكز الامن،</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المطافئ، خدمات</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الإغاثة</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والايواء</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المؤقت في</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حالات</w:t>
      </w:r>
      <w:r w:rsidRPr="006D0FE8">
        <w:rPr>
          <w:rFonts w:ascii="Simplified Arabic" w:hAnsi="Simplified Arabic" w:cs="Simplified Arabic"/>
          <w:sz w:val="24"/>
          <w:szCs w:val="24"/>
          <w:rtl/>
          <w:lang w:bidi="ar-DZ"/>
        </w:rPr>
        <w:t xml:space="preserve"> </w:t>
      </w:r>
      <w:r w:rsidRPr="006D0FE8">
        <w:rPr>
          <w:rFonts w:ascii="Simplified Arabic" w:hAnsi="Simplified Arabic" w:cs="Simplified Arabic" w:hint="cs"/>
          <w:sz w:val="24"/>
          <w:szCs w:val="24"/>
          <w:rtl/>
          <w:lang w:bidi="ar-DZ"/>
        </w:rPr>
        <w:t>الطوارئ</w:t>
      </w:r>
      <w:r w:rsidR="006330C8">
        <w:rPr>
          <w:rFonts w:ascii="Simplified Arabic" w:hAnsi="Simplified Arabic" w:cs="Simplified Arabic" w:hint="cs"/>
          <w:sz w:val="24"/>
          <w:szCs w:val="24"/>
          <w:rtl/>
          <w:lang w:bidi="ar-DZ"/>
        </w:rPr>
        <w:t>''</w:t>
      </w:r>
      <w:r w:rsidRPr="006D0FE8">
        <w:rPr>
          <w:rFonts w:ascii="Simplified Arabic" w:hAnsi="Simplified Arabic" w:cs="Simplified Arabic" w:hint="cs"/>
          <w:sz w:val="24"/>
          <w:szCs w:val="24"/>
          <w:rtl/>
          <w:lang w:bidi="ar-DZ"/>
        </w:rPr>
        <w:t>.</w:t>
      </w:r>
    </w:p>
    <w:p w:rsidR="00A903CE" w:rsidRDefault="00A903CE" w:rsidP="00E43558">
      <w:pPr>
        <w:autoSpaceDE w:val="0"/>
        <w:autoSpaceDN w:val="0"/>
        <w:bidi/>
        <w:adjustRightInd w:val="0"/>
        <w:spacing w:after="0"/>
        <w:ind w:firstLine="282"/>
        <w:jc w:val="both"/>
        <w:rPr>
          <w:rFonts w:asciiTheme="minorBidi" w:hAnsiTheme="minorBidi" w:cs="Arial"/>
          <w:sz w:val="28"/>
          <w:szCs w:val="28"/>
          <w:rtl/>
          <w:lang w:bidi="ar-DZ"/>
        </w:rPr>
      </w:pPr>
      <w:r w:rsidRPr="00406EF3">
        <w:rPr>
          <w:rFonts w:ascii="Simplified Arabic" w:hAnsi="Simplified Arabic" w:cs="Simplified Arabic" w:hint="cs"/>
          <w:sz w:val="24"/>
          <w:szCs w:val="24"/>
          <w:rtl/>
          <w:lang w:bidi="ar-DZ"/>
        </w:rPr>
        <w:t xml:space="preserve">تعتبر </w:t>
      </w:r>
      <w:r>
        <w:rPr>
          <w:rFonts w:ascii="Simplified Arabic" w:hAnsi="Simplified Arabic" w:cs="Simplified Arabic" w:hint="cs"/>
          <w:sz w:val="24"/>
          <w:szCs w:val="24"/>
          <w:rtl/>
          <w:lang w:bidi="ar-DZ"/>
        </w:rPr>
        <w:t>مستويات</w:t>
      </w:r>
      <w:r w:rsidRPr="00406EF3">
        <w:rPr>
          <w:rFonts w:ascii="Simplified Arabic" w:hAnsi="Simplified Arabic" w:cs="Simplified Arabic" w:hint="cs"/>
          <w:sz w:val="24"/>
          <w:szCs w:val="24"/>
          <w:rtl/>
          <w:lang w:bidi="ar-DZ"/>
        </w:rPr>
        <w:t xml:space="preserve"> المرونة الحضرية عملية مرتبطة بظاهرة </w:t>
      </w:r>
      <w:r w:rsidR="0027496A">
        <w:rPr>
          <w:rFonts w:ascii="Simplified Arabic" w:hAnsi="Simplified Arabic" w:cs="Simplified Arabic" w:hint="cs"/>
          <w:sz w:val="24"/>
          <w:szCs w:val="24"/>
          <w:rtl/>
        </w:rPr>
        <w:t>استعمال</w:t>
      </w:r>
      <w:r w:rsidRPr="00406EF3">
        <w:rPr>
          <w:rFonts w:ascii="Simplified Arabic" w:hAnsi="Simplified Arabic" w:cs="Simplified Arabic" w:hint="cs"/>
          <w:sz w:val="24"/>
          <w:szCs w:val="24"/>
          <w:rtl/>
          <w:lang w:bidi="ar-DZ"/>
        </w:rPr>
        <w:t xml:space="preserve"> الارض من </w:t>
      </w:r>
      <w:r>
        <w:rPr>
          <w:rFonts w:ascii="Simplified Arabic" w:hAnsi="Simplified Arabic" w:cs="Simplified Arabic" w:hint="cs"/>
          <w:sz w:val="24"/>
          <w:szCs w:val="24"/>
          <w:rtl/>
          <w:lang w:bidi="ar-DZ"/>
        </w:rPr>
        <w:t>خلال توافر سمات المرونة المكانية (التنوع،</w:t>
      </w:r>
      <w:r w:rsidRPr="00406EF3">
        <w:rPr>
          <w:rFonts w:ascii="Simplified Arabic" w:hAnsi="Simplified Arabic" w:cs="Simplified Arabic" w:hint="cs"/>
          <w:sz w:val="24"/>
          <w:szCs w:val="24"/>
          <w:rtl/>
          <w:lang w:bidi="ar-DZ"/>
        </w:rPr>
        <w:t xml:space="preserve"> الكثافة</w:t>
      </w:r>
      <w:r>
        <w:rPr>
          <w:rFonts w:ascii="Simplified Arabic" w:hAnsi="Simplified Arabic" w:cs="Simplified Arabic" w:hint="cs"/>
          <w:sz w:val="24"/>
          <w:szCs w:val="24"/>
          <w:rtl/>
          <w:lang w:bidi="ar-DZ"/>
        </w:rPr>
        <w:t>، التكرار و</w:t>
      </w:r>
      <w:r w:rsidR="00E43558" w:rsidRPr="0062340E">
        <w:rPr>
          <w:rFonts w:ascii="Simplified Arabic" w:hAnsi="Simplified Arabic" w:cs="Simplified Arabic" w:hint="cs"/>
          <w:sz w:val="24"/>
          <w:szCs w:val="24"/>
          <w:rtl/>
        </w:rPr>
        <w:t>الاتصال</w:t>
      </w:r>
      <w:r w:rsidR="00E43558">
        <w:rPr>
          <w:rFonts w:ascii="Simplified Arabic" w:hAnsi="Simplified Arabic" w:cs="Simplified Arabic" w:hint="cs"/>
          <w:sz w:val="24"/>
          <w:szCs w:val="24"/>
          <w:rtl/>
        </w:rPr>
        <w:t>ية</w:t>
      </w:r>
      <w:r w:rsidRPr="00406EF3">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w:t>
      </w:r>
      <w:r w:rsidRPr="00406EF3">
        <w:rPr>
          <w:rFonts w:ascii="Simplified Arabic" w:hAnsi="Simplified Arabic" w:cs="Simplified Arabic" w:hint="cs"/>
          <w:sz w:val="24"/>
          <w:szCs w:val="24"/>
          <w:rtl/>
          <w:lang w:bidi="ar-DZ"/>
        </w:rPr>
        <w:t xml:space="preserve"> بالتالي فان العلاقة بين مؤثر وتابع</w:t>
      </w:r>
      <w:r>
        <w:rPr>
          <w:rFonts w:ascii="Simplified Arabic" w:hAnsi="Simplified Arabic" w:cs="Simplified Arabic" w:hint="cs"/>
          <w:sz w:val="24"/>
          <w:szCs w:val="24"/>
          <w:rtl/>
          <w:lang w:bidi="ar-DZ"/>
        </w:rPr>
        <w:t>.</w:t>
      </w:r>
      <w:r w:rsidRPr="00406EF3">
        <w:rPr>
          <w:rFonts w:ascii="Simplified Arabic" w:hAnsi="Simplified Arabic" w:cs="Simplified Arabic" w:hint="cs"/>
          <w:sz w:val="24"/>
          <w:szCs w:val="24"/>
          <w:rtl/>
          <w:lang w:bidi="ar-DZ"/>
        </w:rPr>
        <w:t xml:space="preserve"> هذا يفرض بالضرورة وجود علاقة ايجابية بين نمط </w:t>
      </w:r>
      <w:r w:rsidR="0027496A">
        <w:rPr>
          <w:rFonts w:ascii="Simplified Arabic" w:hAnsi="Simplified Arabic" w:cs="Simplified Arabic" w:hint="cs"/>
          <w:sz w:val="24"/>
          <w:szCs w:val="24"/>
          <w:rtl/>
        </w:rPr>
        <w:t>استعمال</w:t>
      </w:r>
      <w:r w:rsidRPr="00406EF3">
        <w:rPr>
          <w:rFonts w:ascii="Simplified Arabic" w:hAnsi="Simplified Arabic" w:cs="Simplified Arabic" w:hint="cs"/>
          <w:sz w:val="24"/>
          <w:szCs w:val="24"/>
          <w:rtl/>
          <w:lang w:bidi="ar-DZ"/>
        </w:rPr>
        <w:t xml:space="preserve"> الارض الحضرية و المرونة الحضرية، كما هو موضح في</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val="en-US"/>
        </w:rPr>
        <w:t>ا</w:t>
      </w:r>
      <w:r w:rsidRPr="00D828D1">
        <w:rPr>
          <w:rFonts w:ascii="Simplified Arabic" w:hAnsi="Simplified Arabic" w:cs="Simplified Arabic"/>
          <w:sz w:val="24"/>
          <w:szCs w:val="24"/>
          <w:rtl/>
          <w:lang w:val="en-US"/>
        </w:rPr>
        <w:t xml:space="preserve">لشكل </w:t>
      </w:r>
      <w:r>
        <w:rPr>
          <w:rFonts w:ascii="Simplified Arabic" w:hAnsi="Simplified Arabic" w:cs="Simplified Arabic" w:hint="cs"/>
          <w:sz w:val="24"/>
          <w:szCs w:val="24"/>
          <w:rtl/>
          <w:lang w:val="en-US"/>
        </w:rPr>
        <w:t>(</w:t>
      </w:r>
      <w:r w:rsidR="0004167A">
        <w:rPr>
          <w:rFonts w:ascii="Simplified Arabic" w:hAnsi="Simplified Arabic" w:cs="Simplified Arabic" w:hint="cs"/>
          <w:sz w:val="24"/>
          <w:szCs w:val="24"/>
          <w:rtl/>
          <w:lang w:val="en-US"/>
        </w:rPr>
        <w:t>1-22</w:t>
      </w:r>
      <w:r>
        <w:rPr>
          <w:rFonts w:ascii="Simplified Arabic" w:hAnsi="Simplified Arabic" w:cs="Simplified Arabic" w:hint="cs"/>
          <w:sz w:val="24"/>
          <w:szCs w:val="24"/>
          <w:rtl/>
          <w:lang w:val="en-US"/>
        </w:rPr>
        <w:t>)</w:t>
      </w:r>
      <w:r w:rsidRPr="00D828D1">
        <w:rPr>
          <w:rFonts w:ascii="Simplified Arabic" w:hAnsi="Simplified Arabic" w:cs="Simplified Arabic"/>
          <w:sz w:val="24"/>
          <w:szCs w:val="24"/>
          <w:rtl/>
          <w:lang w:val="en-US"/>
        </w:rPr>
        <w:t>.</w:t>
      </w:r>
    </w:p>
    <w:p w:rsidR="00A903CE" w:rsidRDefault="00A903CE" w:rsidP="0042038B">
      <w:pPr>
        <w:pStyle w:val="fegure"/>
        <w:spacing w:before="240"/>
        <w:rPr>
          <w:sz w:val="8"/>
          <w:szCs w:val="24"/>
          <w:rtl/>
          <w:lang w:val="en-US"/>
        </w:rPr>
      </w:pPr>
      <w:bookmarkStart w:id="253" w:name="_Toc157561454"/>
      <w:bookmarkStart w:id="254" w:name="_Toc157562787"/>
      <w:bookmarkStart w:id="255" w:name="_Toc157608283"/>
      <w:bookmarkStart w:id="256" w:name="_Toc171803411"/>
      <w:r w:rsidRPr="003A762D">
        <w:rPr>
          <w:rFonts w:hint="cs"/>
          <w:sz w:val="8"/>
          <w:szCs w:val="24"/>
          <w:rtl/>
          <w:lang w:val="en-US"/>
        </w:rPr>
        <w:t>ا</w:t>
      </w:r>
      <w:r w:rsidRPr="003A762D">
        <w:rPr>
          <w:sz w:val="8"/>
          <w:szCs w:val="24"/>
          <w:rtl/>
          <w:lang w:val="en-US"/>
        </w:rPr>
        <w:t xml:space="preserve">لشكل </w:t>
      </w:r>
      <w:r w:rsidRPr="003A762D">
        <w:rPr>
          <w:rFonts w:hint="cs"/>
          <w:sz w:val="8"/>
          <w:szCs w:val="24"/>
          <w:rtl/>
          <w:lang w:val="en-US"/>
        </w:rPr>
        <w:t>(</w:t>
      </w:r>
      <w:r w:rsidR="007A0685" w:rsidRPr="003A762D">
        <w:rPr>
          <w:rFonts w:hint="cs"/>
          <w:sz w:val="8"/>
          <w:szCs w:val="24"/>
          <w:rtl/>
          <w:lang w:val="en-US"/>
        </w:rPr>
        <w:t>1-22</w:t>
      </w:r>
      <w:r w:rsidRPr="003A762D">
        <w:rPr>
          <w:rFonts w:hint="cs"/>
          <w:sz w:val="8"/>
          <w:szCs w:val="24"/>
          <w:rtl/>
          <w:lang w:val="en-US"/>
        </w:rPr>
        <w:t>)</w:t>
      </w:r>
      <w:r w:rsidRPr="003A762D">
        <w:rPr>
          <w:sz w:val="8"/>
          <w:szCs w:val="24"/>
          <w:rtl/>
          <w:lang w:val="en-US"/>
        </w:rPr>
        <w:t xml:space="preserve">. العلاقة بين </w:t>
      </w:r>
      <w:r w:rsidR="0027496A" w:rsidRPr="003A762D">
        <w:rPr>
          <w:rFonts w:hint="cs"/>
          <w:sz w:val="8"/>
          <w:szCs w:val="24"/>
          <w:rtl/>
        </w:rPr>
        <w:t>استعمال</w:t>
      </w:r>
      <w:r w:rsidRPr="003A762D">
        <w:rPr>
          <w:rFonts w:hint="cs"/>
          <w:sz w:val="8"/>
          <w:szCs w:val="24"/>
          <w:rtl/>
          <w:lang w:val="en-US"/>
        </w:rPr>
        <w:t xml:space="preserve"> الارض الحضرية و</w:t>
      </w:r>
      <w:r w:rsidRPr="003A762D">
        <w:rPr>
          <w:sz w:val="8"/>
          <w:szCs w:val="24"/>
          <w:rtl/>
          <w:lang w:val="en-US"/>
        </w:rPr>
        <w:t xml:space="preserve">المرونة </w:t>
      </w:r>
      <w:r w:rsidRPr="003A762D">
        <w:rPr>
          <w:rFonts w:hint="cs"/>
          <w:sz w:val="8"/>
          <w:szCs w:val="24"/>
          <w:rtl/>
          <w:lang w:val="en-US"/>
        </w:rPr>
        <w:t>الحضرية</w:t>
      </w:r>
      <w:bookmarkEnd w:id="253"/>
      <w:bookmarkEnd w:id="254"/>
      <w:bookmarkEnd w:id="255"/>
      <w:bookmarkEnd w:id="256"/>
    </w:p>
    <w:p w:rsidR="001341DA" w:rsidRPr="003A762D" w:rsidRDefault="001341DA" w:rsidP="001341DA">
      <w:pPr>
        <w:pStyle w:val="fegure"/>
        <w:rPr>
          <w:sz w:val="8"/>
          <w:szCs w:val="24"/>
          <w:rtl/>
          <w:lang w:val="en-US" w:bidi="ar-DZ"/>
        </w:rPr>
      </w:pPr>
      <w:bookmarkStart w:id="257" w:name="_Toc171803412"/>
      <w:r>
        <w:rPr>
          <w:rFonts w:hint="cs"/>
          <w:sz w:val="8"/>
          <w:szCs w:val="24"/>
          <w:rtl/>
          <w:lang w:val="en-US"/>
        </w:rPr>
        <w:t>المصدر: (الباحث، 2022)</w:t>
      </w:r>
      <w:bookmarkEnd w:id="257"/>
    </w:p>
    <w:p w:rsidR="00A903CE" w:rsidRDefault="00A903CE" w:rsidP="009511F0">
      <w:pPr>
        <w:pStyle w:val="Default"/>
        <w:tabs>
          <w:tab w:val="right" w:pos="4961"/>
        </w:tabs>
        <w:bidi/>
        <w:spacing w:before="240" w:after="240"/>
        <w:ind w:left="57"/>
        <w:jc w:val="center"/>
        <w:rPr>
          <w:rFonts w:asciiTheme="majorBidi" w:hAnsiTheme="majorBidi" w:cstheme="majorBidi"/>
          <w:rtl/>
        </w:rPr>
      </w:pPr>
      <w:r>
        <w:rPr>
          <w:rFonts w:asciiTheme="majorBidi" w:hAnsiTheme="majorBidi" w:cstheme="majorBidi"/>
          <w:noProof/>
          <w:rtl/>
          <w:lang w:eastAsia="fr-FR"/>
        </w:rPr>
        <w:t xml:space="preserve"> </w:t>
      </w:r>
      <w:r>
        <w:rPr>
          <w:rFonts w:asciiTheme="majorBidi" w:hAnsiTheme="majorBidi" w:cstheme="majorBidi"/>
          <w:noProof/>
          <w:rtl/>
          <w:lang w:eastAsia="fr-FR"/>
        </w:rPr>
        <w:drawing>
          <wp:inline distT="0" distB="0" distL="0" distR="0" wp14:anchorId="21545144" wp14:editId="3ABE615D">
            <wp:extent cx="5531750" cy="3062377"/>
            <wp:effectExtent l="0" t="0" r="12065" b="24130"/>
            <wp:docPr id="17" name="Diagramme 17"/>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p w:rsidR="00A903CE" w:rsidRPr="002C4D82" w:rsidRDefault="00A903CE" w:rsidP="001D0548">
      <w:pPr>
        <w:pStyle w:val="Paragraphedeliste"/>
        <w:numPr>
          <w:ilvl w:val="1"/>
          <w:numId w:val="248"/>
        </w:numPr>
        <w:tabs>
          <w:tab w:val="right" w:pos="567"/>
        </w:tabs>
        <w:bidi/>
        <w:spacing w:before="240" w:after="0"/>
        <w:ind w:left="0" w:firstLine="0"/>
        <w:jc w:val="both"/>
        <w:outlineLvl w:val="0"/>
        <w:rPr>
          <w:rFonts w:ascii="Simplified Arabic" w:hAnsi="Simplified Arabic" w:cs="Simplified Arabic"/>
          <w:b/>
          <w:bCs/>
          <w:color w:val="000000" w:themeColor="text1"/>
          <w:sz w:val="24"/>
          <w:szCs w:val="24"/>
          <w:rtl/>
          <w:lang w:bidi="ar-DZ"/>
        </w:rPr>
      </w:pPr>
      <w:bookmarkStart w:id="258" w:name="_Toc171803413"/>
      <w:r w:rsidRPr="002C4D82">
        <w:rPr>
          <w:rFonts w:ascii="Simplified Arabic" w:hAnsi="Simplified Arabic" w:cs="Simplified Arabic" w:hint="cs"/>
          <w:b/>
          <w:bCs/>
          <w:color w:val="000000" w:themeColor="text1"/>
          <w:sz w:val="24"/>
          <w:szCs w:val="24"/>
          <w:rtl/>
          <w:lang w:bidi="ar-DZ"/>
        </w:rPr>
        <w:lastRenderedPageBreak/>
        <w:t>المدينة كنظام حضري معقد:</w:t>
      </w:r>
      <w:bookmarkEnd w:id="258"/>
      <w:r w:rsidRPr="002C4D82">
        <w:rPr>
          <w:rFonts w:ascii="Simplified Arabic" w:hAnsi="Simplified Arabic" w:cs="Simplified Arabic" w:hint="cs"/>
          <w:b/>
          <w:bCs/>
          <w:color w:val="000000" w:themeColor="text1"/>
          <w:sz w:val="24"/>
          <w:szCs w:val="24"/>
          <w:rtl/>
          <w:lang w:bidi="ar-DZ"/>
        </w:rPr>
        <w:t xml:space="preserve"> </w:t>
      </w:r>
    </w:p>
    <w:p w:rsidR="00A903CE" w:rsidRDefault="00A903CE" w:rsidP="00161321">
      <w:pPr>
        <w:bidi/>
        <w:spacing w:after="0"/>
        <w:ind w:firstLine="282"/>
        <w:jc w:val="both"/>
        <w:rPr>
          <w:rFonts w:ascii="Simplified Arabic" w:hAnsi="Simplified Arabic" w:cs="Simplified Arabic"/>
          <w:sz w:val="24"/>
          <w:szCs w:val="24"/>
          <w:rtl/>
          <w:lang w:val="en-US"/>
        </w:rPr>
      </w:pPr>
      <w:r w:rsidRPr="00D47E32">
        <w:rPr>
          <w:rFonts w:ascii="Simplified Arabic" w:hAnsi="Simplified Arabic" w:cs="Simplified Arabic"/>
          <w:sz w:val="24"/>
          <w:szCs w:val="24"/>
          <w:rtl/>
          <w:lang w:val="en-US"/>
        </w:rPr>
        <w:t>تعد المدينة كائنًا معقدًا من حيث تعريفه</w:t>
      </w:r>
      <w:r w:rsidR="006E6239">
        <w:rPr>
          <w:rFonts w:ascii="Simplified Arabic" w:hAnsi="Simplified Arabic" w:cs="Simplified Arabic" w:hint="cs"/>
          <w:sz w:val="24"/>
          <w:szCs w:val="24"/>
          <w:rtl/>
          <w:lang w:val="en-US"/>
        </w:rPr>
        <w:t>ا</w:t>
      </w:r>
      <w:r w:rsidRPr="00D47E32">
        <w:rPr>
          <w:rFonts w:ascii="Simplified Arabic" w:hAnsi="Simplified Arabic" w:cs="Simplified Arabic"/>
          <w:sz w:val="24"/>
          <w:szCs w:val="24"/>
          <w:rtl/>
          <w:lang w:val="en-US"/>
        </w:rPr>
        <w:t>، وصفه</w:t>
      </w:r>
      <w:r w:rsidR="006E6239">
        <w:rPr>
          <w:rFonts w:ascii="Simplified Arabic" w:hAnsi="Simplified Arabic" w:cs="Simplified Arabic" w:hint="cs"/>
          <w:sz w:val="24"/>
          <w:szCs w:val="24"/>
          <w:rtl/>
          <w:lang w:val="en-US"/>
        </w:rPr>
        <w:t>ا</w:t>
      </w:r>
      <w:r w:rsidRPr="00D47E32">
        <w:rPr>
          <w:rFonts w:ascii="Simplified Arabic" w:hAnsi="Simplified Arabic" w:cs="Simplified Arabic"/>
          <w:sz w:val="24"/>
          <w:szCs w:val="24"/>
          <w:rtl/>
          <w:lang w:val="en-US"/>
        </w:rPr>
        <w:t xml:space="preserve"> وتحليله</w:t>
      </w:r>
      <w:r w:rsidR="006E6239">
        <w:rPr>
          <w:rFonts w:ascii="Simplified Arabic" w:hAnsi="Simplified Arabic" w:cs="Simplified Arabic" w:hint="cs"/>
          <w:sz w:val="24"/>
          <w:szCs w:val="24"/>
          <w:rtl/>
          <w:lang w:val="en-US"/>
        </w:rPr>
        <w:t>ا</w:t>
      </w:r>
      <w:r>
        <w:rPr>
          <w:rFonts w:ascii="Simplified Arabic" w:hAnsi="Simplified Arabic" w:cs="Simplified Arabic" w:hint="cs"/>
          <w:sz w:val="24"/>
          <w:szCs w:val="24"/>
          <w:rtl/>
          <w:lang w:val="en-US"/>
        </w:rPr>
        <w:t>،</w:t>
      </w:r>
      <w:r w:rsidRPr="00D47E32">
        <w:rPr>
          <w:rFonts w:ascii="Simplified Arabic" w:hAnsi="Simplified Arabic" w:cs="Simplified Arabic"/>
          <w:sz w:val="24"/>
          <w:szCs w:val="24"/>
          <w:rtl/>
          <w:lang w:val="en-US"/>
        </w:rPr>
        <w:t xml:space="preserve"> </w:t>
      </w:r>
      <w:r w:rsidRPr="00C63701">
        <w:rPr>
          <w:rFonts w:ascii="Simplified Arabic" w:hAnsi="Simplified Arabic" w:cs="Simplified Arabic" w:hint="cs"/>
          <w:i/>
          <w:iCs/>
          <w:sz w:val="24"/>
          <w:szCs w:val="24"/>
          <w:rtl/>
          <w:lang w:val="en-US"/>
        </w:rPr>
        <w:t>''</w:t>
      </w:r>
      <w:r w:rsidRPr="00C63701">
        <w:rPr>
          <w:rFonts w:ascii="Simplified Arabic" w:hAnsi="Simplified Arabic" w:cs="Simplified Arabic"/>
          <w:i/>
          <w:iCs/>
          <w:sz w:val="24"/>
          <w:szCs w:val="24"/>
          <w:rtl/>
          <w:lang w:val="en-US"/>
        </w:rPr>
        <w:t xml:space="preserve">لأنها تشكلت من </w:t>
      </w:r>
      <w:r w:rsidRPr="00C63701">
        <w:rPr>
          <w:rFonts w:ascii="Simplified Arabic" w:hAnsi="Simplified Arabic" w:cs="Simplified Arabic" w:hint="cs"/>
          <w:i/>
          <w:iCs/>
          <w:sz w:val="24"/>
          <w:szCs w:val="24"/>
          <w:rtl/>
          <w:lang w:val="en-US"/>
        </w:rPr>
        <w:t>مكونات</w:t>
      </w:r>
      <w:r w:rsidRPr="00C63701">
        <w:rPr>
          <w:rFonts w:ascii="Simplified Arabic" w:hAnsi="Simplified Arabic" w:cs="Simplified Arabic"/>
          <w:i/>
          <w:iCs/>
          <w:sz w:val="24"/>
          <w:szCs w:val="24"/>
          <w:rtl/>
          <w:lang w:val="en-US"/>
        </w:rPr>
        <w:t xml:space="preserve"> متعددة ذات سياق تاريخي نادراً ما يكون موحدا</w:t>
      </w:r>
      <w:r>
        <w:rPr>
          <w:rFonts w:ascii="Simplified Arabic" w:hAnsi="Simplified Arabic" w:cs="Simplified Arabic" w:hint="cs"/>
          <w:sz w:val="24"/>
          <w:szCs w:val="24"/>
          <w:rtl/>
          <w:lang w:val="en-US"/>
        </w:rPr>
        <w:t>''</w:t>
      </w:r>
      <w:r w:rsidRPr="003D3144">
        <w:rPr>
          <w:rFonts w:asciiTheme="minorBidi" w:hAnsiTheme="minorBidi" w:cs="Arial"/>
          <w:sz w:val="24"/>
          <w:szCs w:val="24"/>
          <w:rtl/>
          <w:lang w:val="en-US"/>
        </w:rPr>
        <w:t xml:space="preserve"> </w:t>
      </w:r>
      <w:r w:rsidRPr="003D3144">
        <w:rPr>
          <w:rFonts w:asciiTheme="majorBidi" w:hAnsiTheme="majorBidi" w:cstheme="majorBidi"/>
          <w:sz w:val="24"/>
          <w:szCs w:val="24"/>
          <w:rtl/>
          <w:lang w:val="en-US"/>
        </w:rPr>
        <w:t>(</w:t>
      </w:r>
      <w:r w:rsidRPr="00507DB0">
        <w:rPr>
          <w:rFonts w:asciiTheme="majorBidi" w:hAnsiTheme="majorBidi" w:cstheme="majorBidi"/>
          <w:sz w:val="24"/>
          <w:szCs w:val="24"/>
          <w:lang w:val="en-US"/>
        </w:rPr>
        <w:t>Paquot</w:t>
      </w:r>
      <w:r w:rsidRPr="003D3144">
        <w:rPr>
          <w:rFonts w:asciiTheme="majorBidi" w:hAnsiTheme="majorBidi" w:cstheme="majorBidi"/>
          <w:sz w:val="24"/>
          <w:szCs w:val="24"/>
          <w:lang w:val="en-US"/>
        </w:rPr>
        <w:t>, 2010</w:t>
      </w:r>
      <w:r w:rsidRPr="003D3144">
        <w:rPr>
          <w:rFonts w:asciiTheme="majorBidi" w:hAnsiTheme="majorBidi" w:cstheme="majorBidi"/>
          <w:sz w:val="24"/>
          <w:szCs w:val="24"/>
          <w:rtl/>
          <w:lang w:val="en-US"/>
        </w:rPr>
        <w:t>)</w:t>
      </w:r>
      <w:r w:rsidRPr="001A3F5C">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كانت</w:t>
      </w:r>
      <w:r w:rsidRPr="003D314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w:t>
      </w:r>
      <w:r w:rsidRPr="003D3144">
        <w:rPr>
          <w:rFonts w:ascii="Simplified Arabic" w:hAnsi="Simplified Arabic" w:cs="Simplified Arabic" w:hint="cs"/>
          <w:sz w:val="24"/>
          <w:szCs w:val="24"/>
          <w:rtl/>
          <w:lang w:val="en-US"/>
        </w:rPr>
        <w:t>لمدينة</w:t>
      </w:r>
      <w:r w:rsidRPr="003D3144">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مساحة</w:t>
      </w:r>
      <w:r w:rsidRPr="003D3144">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محددة</w:t>
      </w:r>
      <w:r w:rsidRPr="003D3144">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بوضوح</w:t>
      </w:r>
      <w:r w:rsidRPr="003D314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من خلال</w:t>
      </w:r>
      <w:r w:rsidRPr="003D3144">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جدران</w:t>
      </w:r>
      <w:r>
        <w:rPr>
          <w:rFonts w:ascii="Simplified Arabic" w:hAnsi="Simplified Arabic" w:cs="Simplified Arabic" w:hint="cs"/>
          <w:sz w:val="24"/>
          <w:szCs w:val="24"/>
          <w:rtl/>
          <w:lang w:val="en-US"/>
        </w:rPr>
        <w:t>ها التي تحيط بها</w:t>
      </w:r>
      <w:r w:rsidRPr="003D3144">
        <w:rPr>
          <w:rFonts w:ascii="Simplified Arabic" w:hAnsi="Simplified Arabic" w:cs="Simplified Arabic" w:hint="cs"/>
          <w:sz w:val="24"/>
          <w:szCs w:val="24"/>
          <w:rtl/>
          <w:lang w:val="en-US"/>
        </w:rPr>
        <w:t>،</w:t>
      </w:r>
      <w:r w:rsidRPr="003D314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w:t>
      </w:r>
      <w:r w:rsidRPr="003D3144">
        <w:rPr>
          <w:rFonts w:ascii="Simplified Arabic" w:hAnsi="Simplified Arabic" w:cs="Simplified Arabic" w:hint="cs"/>
          <w:sz w:val="24"/>
          <w:szCs w:val="24"/>
          <w:rtl/>
          <w:lang w:val="en-US"/>
        </w:rPr>
        <w:t>مثل</w:t>
      </w:r>
      <w:r w:rsidRPr="003D314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مج</w:t>
      </w:r>
      <w:r w:rsidR="00161321">
        <w:rPr>
          <w:rFonts w:ascii="Simplified Arabic" w:hAnsi="Simplified Arabic" w:cs="Simplified Arabic" w:hint="cs"/>
          <w:sz w:val="24"/>
          <w:szCs w:val="24"/>
          <w:rtl/>
          <w:lang w:val="en-US" w:bidi="ar-DZ"/>
        </w:rPr>
        <w:t>م</w:t>
      </w:r>
      <w:r>
        <w:rPr>
          <w:rFonts w:ascii="Simplified Arabic" w:hAnsi="Simplified Arabic" w:cs="Simplified Arabic" w:hint="cs"/>
          <w:sz w:val="24"/>
          <w:szCs w:val="24"/>
          <w:rtl/>
          <w:lang w:val="en-US"/>
        </w:rPr>
        <w:t xml:space="preserve">ل مكوناتها </w:t>
      </w:r>
      <w:r w:rsidRPr="003D3144">
        <w:rPr>
          <w:rFonts w:ascii="Simplified Arabic" w:hAnsi="Simplified Arabic" w:cs="Simplified Arabic" w:hint="cs"/>
          <w:sz w:val="24"/>
          <w:szCs w:val="24"/>
          <w:rtl/>
          <w:lang w:val="en-US"/>
        </w:rPr>
        <w:t>نوعًا</w:t>
      </w:r>
      <w:r w:rsidRPr="003D3144">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من</w:t>
      </w:r>
      <w:r w:rsidRPr="003D3144">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التنظيم</w:t>
      </w:r>
      <w:r w:rsidRPr="003D3144">
        <w:rPr>
          <w:rFonts w:ascii="Simplified Arabic" w:hAnsi="Simplified Arabic" w:cs="Simplified Arabic"/>
          <w:sz w:val="24"/>
          <w:szCs w:val="24"/>
          <w:rtl/>
          <w:lang w:val="en-US"/>
        </w:rPr>
        <w:t xml:space="preserve"> </w:t>
      </w:r>
      <w:r w:rsidRPr="003D3144">
        <w:rPr>
          <w:rFonts w:ascii="Simplified Arabic" w:hAnsi="Simplified Arabic" w:cs="Simplified Arabic" w:hint="cs"/>
          <w:sz w:val="24"/>
          <w:szCs w:val="24"/>
          <w:rtl/>
          <w:lang w:val="en-US"/>
        </w:rPr>
        <w:t>المكاني</w:t>
      </w:r>
      <w:r w:rsidRPr="003D314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غير ان </w:t>
      </w:r>
      <w:r w:rsidRPr="006B4EEB">
        <w:rPr>
          <w:rFonts w:ascii="Simplified Arabic" w:hAnsi="Simplified Arabic" w:cs="Simplified Arabic" w:hint="cs"/>
          <w:sz w:val="24"/>
          <w:szCs w:val="24"/>
          <w:rtl/>
          <w:lang w:val="en-US"/>
        </w:rPr>
        <w:t>الظاهرة</w:t>
      </w:r>
      <w:r w:rsidRPr="006B4EEB">
        <w:rPr>
          <w:rFonts w:ascii="Simplified Arabic" w:hAnsi="Simplified Arabic" w:cs="Simplified Arabic"/>
          <w:sz w:val="24"/>
          <w:szCs w:val="24"/>
          <w:rtl/>
          <w:lang w:val="en-US"/>
        </w:rPr>
        <w:t xml:space="preserve"> </w:t>
      </w:r>
      <w:r w:rsidRPr="006B4EEB">
        <w:rPr>
          <w:rFonts w:ascii="Simplified Arabic" w:hAnsi="Simplified Arabic" w:cs="Simplified Arabic" w:hint="cs"/>
          <w:sz w:val="24"/>
          <w:szCs w:val="24"/>
          <w:rtl/>
          <w:lang w:val="en-US"/>
        </w:rPr>
        <w:t>الحضرية</w:t>
      </w:r>
      <w:r w:rsidRPr="006B4EE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w:t>
      </w:r>
      <w:r w:rsidRPr="006B4EEB">
        <w:rPr>
          <w:rFonts w:ascii="Simplified Arabic" w:hAnsi="Simplified Arabic" w:cs="Simplified Arabic" w:hint="cs"/>
          <w:sz w:val="24"/>
          <w:szCs w:val="24"/>
          <w:rtl/>
          <w:lang w:val="en-US"/>
        </w:rPr>
        <w:t>لمدينة</w:t>
      </w:r>
      <w:r>
        <w:rPr>
          <w:rFonts w:ascii="Simplified Arabic" w:hAnsi="Simplified Arabic" w:cs="Simplified Arabic" w:hint="cs"/>
          <w:sz w:val="24"/>
          <w:szCs w:val="24"/>
          <w:rtl/>
          <w:lang w:val="en-US"/>
        </w:rPr>
        <w:t xml:space="preserve"> الحالية</w:t>
      </w:r>
      <w:r w:rsidRPr="006B4EEB">
        <w:rPr>
          <w:rFonts w:ascii="Simplified Arabic" w:hAnsi="Simplified Arabic" w:cs="Simplified Arabic"/>
          <w:sz w:val="24"/>
          <w:szCs w:val="24"/>
          <w:rtl/>
          <w:lang w:val="en-US"/>
        </w:rPr>
        <w:t xml:space="preserve"> </w:t>
      </w:r>
      <w:r w:rsidRPr="006B4EEB">
        <w:rPr>
          <w:rFonts w:ascii="Simplified Arabic" w:hAnsi="Simplified Arabic" w:cs="Simplified Arabic" w:hint="cs"/>
          <w:sz w:val="24"/>
          <w:szCs w:val="24"/>
          <w:rtl/>
          <w:lang w:val="en-US"/>
        </w:rPr>
        <w:t>أصبحت</w:t>
      </w:r>
      <w:r w:rsidRPr="006B4EEB">
        <w:rPr>
          <w:rFonts w:ascii="Simplified Arabic" w:hAnsi="Simplified Arabic" w:cs="Simplified Arabic"/>
          <w:sz w:val="24"/>
          <w:szCs w:val="24"/>
          <w:rtl/>
          <w:lang w:val="en-US"/>
        </w:rPr>
        <w:t xml:space="preserve"> </w:t>
      </w:r>
      <w:r w:rsidRPr="006B4EEB">
        <w:rPr>
          <w:rFonts w:ascii="Simplified Arabic" w:hAnsi="Simplified Arabic" w:cs="Simplified Arabic" w:hint="cs"/>
          <w:sz w:val="24"/>
          <w:szCs w:val="24"/>
          <w:rtl/>
          <w:lang w:val="en-US"/>
        </w:rPr>
        <w:t>حدودها</w:t>
      </w:r>
      <w:r w:rsidRPr="006B4EEB">
        <w:rPr>
          <w:rFonts w:ascii="Simplified Arabic" w:hAnsi="Simplified Arabic" w:cs="Simplified Arabic"/>
          <w:sz w:val="24"/>
          <w:szCs w:val="24"/>
          <w:rtl/>
          <w:lang w:val="en-US"/>
        </w:rPr>
        <w:t xml:space="preserve"> </w:t>
      </w:r>
      <w:r w:rsidRPr="006B4EEB">
        <w:rPr>
          <w:rFonts w:ascii="Simplified Arabic" w:hAnsi="Simplified Arabic" w:cs="Simplified Arabic" w:hint="cs"/>
          <w:sz w:val="24"/>
          <w:szCs w:val="24"/>
          <w:rtl/>
          <w:lang w:val="en-US"/>
        </w:rPr>
        <w:t>غير</w:t>
      </w:r>
      <w:r w:rsidRPr="006B4EEB">
        <w:rPr>
          <w:rFonts w:ascii="Simplified Arabic" w:hAnsi="Simplified Arabic" w:cs="Simplified Arabic"/>
          <w:sz w:val="24"/>
          <w:szCs w:val="24"/>
          <w:rtl/>
          <w:lang w:val="en-US"/>
        </w:rPr>
        <w:t xml:space="preserve"> </w:t>
      </w:r>
      <w:r w:rsidRPr="006B4EEB">
        <w:rPr>
          <w:rFonts w:ascii="Simplified Arabic" w:hAnsi="Simplified Arabic" w:cs="Simplified Arabic" w:hint="cs"/>
          <w:sz w:val="24"/>
          <w:szCs w:val="24"/>
          <w:rtl/>
          <w:lang w:val="en-US"/>
        </w:rPr>
        <w:t>واضحة</w:t>
      </w:r>
      <w:r w:rsidRPr="006B4EE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المعالم </w:t>
      </w:r>
      <w:r w:rsidRPr="006B4EEB">
        <w:rPr>
          <w:rFonts w:ascii="Simplified Arabic" w:hAnsi="Simplified Arabic" w:cs="Simplified Arabic" w:hint="cs"/>
          <w:sz w:val="24"/>
          <w:szCs w:val="24"/>
          <w:rtl/>
          <w:lang w:val="en-US"/>
        </w:rPr>
        <w:t>وغير</w:t>
      </w:r>
      <w:r w:rsidRPr="006B4EEB">
        <w:rPr>
          <w:rFonts w:ascii="Simplified Arabic" w:hAnsi="Simplified Arabic" w:cs="Simplified Arabic"/>
          <w:sz w:val="24"/>
          <w:szCs w:val="24"/>
          <w:rtl/>
          <w:lang w:val="en-US"/>
        </w:rPr>
        <w:t xml:space="preserve"> </w:t>
      </w:r>
      <w:r w:rsidRPr="006B4EEB">
        <w:rPr>
          <w:rFonts w:ascii="Simplified Arabic" w:hAnsi="Simplified Arabic" w:cs="Simplified Arabic" w:hint="cs"/>
          <w:sz w:val="24"/>
          <w:szCs w:val="24"/>
          <w:rtl/>
          <w:lang w:val="en-US"/>
        </w:rPr>
        <w:t>محددة</w:t>
      </w:r>
      <w:r w:rsidRPr="006B4EEB">
        <w:rPr>
          <w:rFonts w:ascii="Simplified Arabic" w:hAnsi="Simplified Arabic" w:cs="Simplified Arabic"/>
          <w:sz w:val="24"/>
          <w:szCs w:val="24"/>
          <w:rtl/>
          <w:lang w:val="en-US"/>
        </w:rPr>
        <w:t>.</w:t>
      </w:r>
      <w:r w:rsidRPr="001A3F5C">
        <w:rPr>
          <w:rFonts w:ascii="Simplified Arabic" w:hAnsi="Simplified Arabic" w:cs="Simplified Arabic"/>
          <w:sz w:val="24"/>
          <w:szCs w:val="24"/>
          <w:rtl/>
          <w:lang w:val="en-US"/>
        </w:rPr>
        <w:t xml:space="preserve"> </w:t>
      </w:r>
    </w:p>
    <w:p w:rsidR="00A903CE" w:rsidRDefault="00A903CE" w:rsidP="00A903CE">
      <w:pPr>
        <w:bidi/>
        <w:spacing w:after="0"/>
        <w:ind w:firstLine="282"/>
        <w:jc w:val="both"/>
        <w:rPr>
          <w:rFonts w:ascii="Simplified Arabic" w:hAnsi="Simplified Arabic" w:cs="Simplified Arabic"/>
          <w:sz w:val="24"/>
          <w:szCs w:val="24"/>
          <w:rtl/>
          <w:lang w:val="en-US"/>
        </w:rPr>
      </w:pPr>
      <w:r w:rsidRPr="00F433CF">
        <w:rPr>
          <w:rFonts w:ascii="Simplified Arabic" w:hAnsi="Simplified Arabic" w:cs="Simplified Arabic" w:hint="cs"/>
          <w:sz w:val="24"/>
          <w:szCs w:val="24"/>
          <w:rtl/>
          <w:lang w:val="en-US"/>
        </w:rPr>
        <w:t>أشار</w:t>
      </w:r>
      <w:r w:rsidR="005A2336">
        <w:rPr>
          <w:rFonts w:ascii="Simplified Arabic" w:hAnsi="Simplified Arabic" w:cs="Simplified Arabic" w:hint="cs"/>
          <w:sz w:val="24"/>
          <w:szCs w:val="24"/>
          <w:rtl/>
          <w:lang w:val="en-US" w:bidi="ar-DZ"/>
        </w:rPr>
        <w:t xml:space="preserve"> </w:t>
      </w:r>
      <w:r w:rsidRPr="00507DB0">
        <w:rPr>
          <w:rFonts w:asciiTheme="majorBidi" w:hAnsiTheme="majorBidi" w:cstheme="majorBidi"/>
          <w:sz w:val="24"/>
          <w:szCs w:val="24"/>
          <w:lang w:val="en-US"/>
        </w:rPr>
        <w:t>Holling</w:t>
      </w:r>
      <w:r w:rsidRPr="00F433CF">
        <w:rPr>
          <w:rFonts w:asciiTheme="majorBidi" w:hAnsiTheme="majorBidi" w:cstheme="majorBidi"/>
          <w:sz w:val="24"/>
          <w:szCs w:val="24"/>
          <w:lang w:val="en-US"/>
        </w:rPr>
        <w:t xml:space="preserve"> and Goldberg</w:t>
      </w:r>
      <w:r w:rsidRPr="00F433CF">
        <w:rPr>
          <w:rFonts w:asciiTheme="majorBidi" w:hAnsiTheme="majorBidi" w:cstheme="majorBidi"/>
          <w:sz w:val="24"/>
          <w:szCs w:val="24"/>
        </w:rPr>
        <w:t>,</w:t>
      </w:r>
      <w:r w:rsidRPr="00F433CF">
        <w:rPr>
          <w:rFonts w:asciiTheme="majorBidi" w:hAnsiTheme="majorBidi" w:cstheme="majorBidi"/>
          <w:sz w:val="24"/>
          <w:szCs w:val="24"/>
          <w:lang w:val="en-US"/>
        </w:rPr>
        <w:t xml:space="preserve"> 1971)</w:t>
      </w:r>
      <w:r w:rsidRPr="00F433CF">
        <w:rPr>
          <w:rFonts w:asciiTheme="majorBidi" w:hAnsiTheme="majorBidi" w:cstheme="majorBidi"/>
          <w:sz w:val="24"/>
          <w:szCs w:val="24"/>
          <w:rtl/>
          <w:lang w:val="en-US"/>
        </w:rPr>
        <w:t>)</w:t>
      </w:r>
      <w:r w:rsidRPr="004E324D">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إلى</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أوجه</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التشابه</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بين</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النظم</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البيئية</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والحضرية،</w:t>
      </w:r>
      <w:r w:rsidRPr="00F433C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من حيث أداء</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عملها</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كنظم</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مترابطة،</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اعتمادها</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على</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تعاقب</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الأحداث</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التاريخية،</w:t>
      </w:r>
      <w:r>
        <w:rPr>
          <w:rFonts w:ascii="Simplified Arabic" w:hAnsi="Simplified Arabic" w:cs="Simplified Arabic" w:hint="cs"/>
          <w:sz w:val="24"/>
          <w:szCs w:val="24"/>
          <w:rtl/>
          <w:lang w:val="en-US"/>
        </w:rPr>
        <w:t xml:space="preserve"> </w:t>
      </w:r>
      <w:r w:rsidRPr="00F433CF">
        <w:rPr>
          <w:rFonts w:ascii="Simplified Arabic" w:hAnsi="Simplified Arabic" w:cs="Simplified Arabic" w:hint="cs"/>
          <w:sz w:val="24"/>
          <w:szCs w:val="24"/>
          <w:rtl/>
          <w:lang w:val="en-US"/>
        </w:rPr>
        <w:t>روابطها</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المكانية</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وهيكلها</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غير</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الخطي</w:t>
      </w:r>
      <w:r>
        <w:rPr>
          <w:rFonts w:ascii="Simplified Arabic" w:hAnsi="Simplified Arabic" w:cs="Simplified Arabic" w:hint="cs"/>
          <w:sz w:val="24"/>
          <w:szCs w:val="24"/>
          <w:rtl/>
          <w:lang w:val="en-US"/>
        </w:rPr>
        <w:t>،</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مع</w:t>
      </w:r>
      <w:r w:rsidRPr="00F433C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تمتع</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كلا</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النظامين</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بمرونة</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داخلية</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كبيرة</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ضمن</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مجال</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معين</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من</w:t>
      </w:r>
      <w:r w:rsidRPr="00F433CF">
        <w:rPr>
          <w:rFonts w:ascii="Simplified Arabic" w:hAnsi="Simplified Arabic" w:cs="Simplified Arabic"/>
          <w:sz w:val="24"/>
          <w:szCs w:val="24"/>
          <w:rtl/>
          <w:lang w:val="en-US"/>
        </w:rPr>
        <w:t xml:space="preserve"> </w:t>
      </w:r>
      <w:r w:rsidRPr="00F433CF">
        <w:rPr>
          <w:rFonts w:ascii="Simplified Arabic" w:hAnsi="Simplified Arabic" w:cs="Simplified Arabic" w:hint="cs"/>
          <w:sz w:val="24"/>
          <w:szCs w:val="24"/>
          <w:rtl/>
          <w:lang w:val="en-US"/>
        </w:rPr>
        <w:t>الاستقرار</w:t>
      </w:r>
      <w:r>
        <w:rPr>
          <w:rFonts w:ascii="Simplified Arabic" w:hAnsi="Simplified Arabic" w:cs="Simplified Arabic" w:hint="cs"/>
          <w:sz w:val="24"/>
          <w:szCs w:val="24"/>
          <w:rtl/>
          <w:lang w:val="en-US"/>
        </w:rPr>
        <w:t>.</w:t>
      </w:r>
    </w:p>
    <w:p w:rsidR="00A903CE" w:rsidRDefault="00A903CE" w:rsidP="0004167A">
      <w:pPr>
        <w:bidi/>
        <w:spacing w:after="0"/>
        <w:ind w:firstLine="282"/>
        <w:jc w:val="both"/>
        <w:rPr>
          <w:rFonts w:ascii="Simplified Arabic" w:hAnsi="Simplified Arabic" w:cs="Simplified Arabic"/>
          <w:sz w:val="24"/>
          <w:szCs w:val="24"/>
          <w:rtl/>
          <w:lang w:bidi="ar-DZ"/>
        </w:rPr>
      </w:pPr>
      <w:r w:rsidRPr="00507DB0">
        <w:rPr>
          <w:rFonts w:ascii="Simplified Arabic" w:hAnsi="Simplified Arabic" w:cs="Simplified Arabic"/>
          <w:sz w:val="24"/>
          <w:szCs w:val="24"/>
          <w:rtl/>
          <w:lang w:val="en-US"/>
        </w:rPr>
        <w:t>صعوبة تعريف المدينة ككائن يشير الى التعقيد</w:t>
      </w:r>
      <w:r w:rsidRPr="00507DB0">
        <w:rPr>
          <w:rFonts w:ascii="Simplified Arabic" w:hAnsi="Simplified Arabic" w:cs="Simplified Arabic" w:hint="cs"/>
          <w:sz w:val="24"/>
          <w:szCs w:val="24"/>
          <w:rtl/>
          <w:lang w:val="en-US"/>
        </w:rPr>
        <w:t>،</w:t>
      </w:r>
      <w:r w:rsidRPr="00507DB0">
        <w:rPr>
          <w:rFonts w:ascii="Simplified Arabic" w:hAnsi="Simplified Arabic" w:cs="Simplified Arabic"/>
          <w:sz w:val="24"/>
          <w:szCs w:val="24"/>
          <w:rtl/>
          <w:lang w:val="en-US"/>
        </w:rPr>
        <w:t xml:space="preserve"> يمكن اعتبار</w:t>
      </w:r>
      <w:r w:rsidRPr="00507DB0">
        <w:rPr>
          <w:rFonts w:ascii="Simplified Arabic" w:hAnsi="Simplified Arabic" w:cs="Simplified Arabic" w:hint="cs"/>
          <w:sz w:val="24"/>
          <w:szCs w:val="24"/>
          <w:rtl/>
          <w:lang w:val="en-US"/>
        </w:rPr>
        <w:t xml:space="preserve">ها </w:t>
      </w:r>
      <w:r w:rsidRPr="00507DB0">
        <w:rPr>
          <w:rFonts w:ascii="Simplified Arabic" w:hAnsi="Simplified Arabic" w:cs="Simplified Arabic"/>
          <w:sz w:val="24"/>
          <w:szCs w:val="24"/>
          <w:rtl/>
          <w:lang w:val="en-US"/>
        </w:rPr>
        <w:t>نظامًا</w:t>
      </w:r>
      <w:r w:rsidRPr="00507DB0">
        <w:rPr>
          <w:rFonts w:ascii="Simplified Arabic" w:hAnsi="Simplified Arabic" w:cs="Simplified Arabic" w:hint="cs"/>
          <w:sz w:val="24"/>
          <w:szCs w:val="24"/>
          <w:rtl/>
          <w:lang w:val="en-US"/>
        </w:rPr>
        <w:t xml:space="preserve"> متعدد الجوانب</w:t>
      </w:r>
      <w:r w:rsidRPr="00507DB0">
        <w:rPr>
          <w:rFonts w:ascii="Simplified Arabic" w:hAnsi="Simplified Arabic" w:cs="Simplified Arabic"/>
          <w:sz w:val="24"/>
          <w:szCs w:val="24"/>
          <w:rtl/>
          <w:lang w:val="en-US"/>
        </w:rPr>
        <w:t>.</w:t>
      </w:r>
      <w:r w:rsidRPr="00507DB0">
        <w:rPr>
          <w:rFonts w:ascii="Simplified Arabic" w:hAnsi="Simplified Arabic" w:cs="Simplified Arabic" w:hint="cs"/>
          <w:sz w:val="24"/>
          <w:szCs w:val="24"/>
          <w:rtl/>
          <w:lang w:val="en-US"/>
        </w:rPr>
        <w:t xml:space="preserve"> بصفة عامة،</w:t>
      </w:r>
      <w:r w:rsidRPr="00507DB0">
        <w:rPr>
          <w:rFonts w:ascii="Simplified Arabic" w:hAnsi="Simplified Arabic" w:cs="Simplified Arabic"/>
          <w:sz w:val="24"/>
          <w:szCs w:val="24"/>
          <w:rtl/>
          <w:lang w:val="en-US"/>
        </w:rPr>
        <w:t xml:space="preserve"> يمكن </w:t>
      </w:r>
      <w:r w:rsidRPr="00507DB0">
        <w:rPr>
          <w:rFonts w:ascii="Simplified Arabic" w:hAnsi="Simplified Arabic" w:cs="Simplified Arabic"/>
          <w:color w:val="000000" w:themeColor="text1"/>
          <w:sz w:val="24"/>
          <w:szCs w:val="24"/>
          <w:rtl/>
          <w:lang w:val="en-US"/>
        </w:rPr>
        <w:t xml:space="preserve">تعريف </w:t>
      </w:r>
      <w:r w:rsidRPr="00507DB0">
        <w:rPr>
          <w:rFonts w:ascii="Simplified Arabic" w:hAnsi="Simplified Arabic" w:cs="Simplified Arabic" w:hint="cs"/>
          <w:color w:val="000000" w:themeColor="text1"/>
          <w:sz w:val="24"/>
          <w:szCs w:val="24"/>
          <w:rtl/>
          <w:lang w:val="en-US"/>
        </w:rPr>
        <w:t>''</w:t>
      </w:r>
      <w:r w:rsidRPr="00507DB0">
        <w:rPr>
          <w:rFonts w:ascii="Simplified Arabic" w:hAnsi="Simplified Arabic" w:cs="Simplified Arabic"/>
          <w:color w:val="000000" w:themeColor="text1"/>
          <w:sz w:val="24"/>
          <w:szCs w:val="24"/>
          <w:rtl/>
          <w:lang w:val="en-US"/>
        </w:rPr>
        <w:t xml:space="preserve">النظام على أنه مجموعة من العناصر والتفاعلات </w:t>
      </w:r>
      <w:r w:rsidRPr="00507DB0">
        <w:rPr>
          <w:rFonts w:ascii="Simplified Arabic" w:hAnsi="Simplified Arabic" w:cs="Simplified Arabic" w:hint="cs"/>
          <w:color w:val="000000" w:themeColor="text1"/>
          <w:sz w:val="24"/>
          <w:szCs w:val="24"/>
          <w:rtl/>
          <w:lang w:val="en-US"/>
        </w:rPr>
        <w:t xml:space="preserve">فيما </w:t>
      </w:r>
      <w:r w:rsidRPr="00507DB0">
        <w:rPr>
          <w:rFonts w:ascii="Simplified Arabic" w:hAnsi="Simplified Arabic" w:cs="Simplified Arabic"/>
          <w:color w:val="000000" w:themeColor="text1"/>
          <w:sz w:val="24"/>
          <w:szCs w:val="24"/>
          <w:rtl/>
          <w:lang w:val="en-US"/>
        </w:rPr>
        <w:t>بين</w:t>
      </w:r>
      <w:r w:rsidRPr="00507DB0">
        <w:rPr>
          <w:rFonts w:ascii="Simplified Arabic" w:hAnsi="Simplified Arabic" w:cs="Simplified Arabic" w:hint="cs"/>
          <w:color w:val="000000" w:themeColor="text1"/>
          <w:sz w:val="24"/>
          <w:szCs w:val="24"/>
          <w:rtl/>
          <w:lang w:val="en-US"/>
        </w:rPr>
        <w:t>ها</w:t>
      </w:r>
      <w:r w:rsidRPr="00507DB0">
        <w:rPr>
          <w:rFonts w:ascii="Simplified Arabic" w:hAnsi="Simplified Arabic" w:cs="Simplified Arabic"/>
          <w:color w:val="000000" w:themeColor="text1"/>
          <w:sz w:val="24"/>
          <w:szCs w:val="24"/>
          <w:rtl/>
          <w:lang w:val="en-US"/>
        </w:rPr>
        <w:t xml:space="preserve"> التي تشكل </w:t>
      </w:r>
      <w:r w:rsidRPr="00507DB0">
        <w:rPr>
          <w:rFonts w:ascii="Simplified Arabic" w:hAnsi="Simplified Arabic" w:cs="Simplified Arabic" w:hint="cs"/>
          <w:color w:val="000000" w:themeColor="text1"/>
          <w:sz w:val="24"/>
          <w:szCs w:val="24"/>
          <w:rtl/>
          <w:lang w:val="en-US"/>
        </w:rPr>
        <w:t>بنيةً</w:t>
      </w:r>
      <w:r w:rsidRPr="00507DB0">
        <w:rPr>
          <w:rFonts w:ascii="Simplified Arabic" w:hAnsi="Simplified Arabic" w:cs="Simplified Arabic"/>
          <w:color w:val="000000" w:themeColor="text1"/>
          <w:sz w:val="24"/>
          <w:szCs w:val="24"/>
          <w:rtl/>
          <w:lang w:val="en-US"/>
        </w:rPr>
        <w:t xml:space="preserve"> منظم</w:t>
      </w:r>
      <w:r w:rsidRPr="00507DB0">
        <w:rPr>
          <w:rFonts w:ascii="Simplified Arabic" w:hAnsi="Simplified Arabic" w:cs="Simplified Arabic" w:hint="cs"/>
          <w:color w:val="000000" w:themeColor="text1"/>
          <w:sz w:val="24"/>
          <w:szCs w:val="24"/>
          <w:rtl/>
          <w:lang w:val="en-US"/>
        </w:rPr>
        <w:t>ةً</w:t>
      </w:r>
      <w:r w:rsidRPr="00507DB0">
        <w:rPr>
          <w:rFonts w:ascii="Simplified Arabic" w:hAnsi="Simplified Arabic" w:cs="Simplified Arabic"/>
          <w:color w:val="000000" w:themeColor="text1"/>
          <w:sz w:val="24"/>
          <w:szCs w:val="24"/>
          <w:rtl/>
          <w:lang w:val="en-US"/>
        </w:rPr>
        <w:t>، التنظيم الداخلي للنظام الذي يشكل بنيته وسلوك عناصر</w:t>
      </w:r>
      <w:r w:rsidRPr="00507DB0">
        <w:rPr>
          <w:rFonts w:ascii="Simplified Arabic" w:hAnsi="Simplified Arabic" w:cs="Simplified Arabic" w:hint="cs"/>
          <w:color w:val="000000" w:themeColor="text1"/>
          <w:sz w:val="24"/>
          <w:szCs w:val="24"/>
          <w:rtl/>
          <w:lang w:val="en-US"/>
        </w:rPr>
        <w:t>ه</w:t>
      </w:r>
      <w:r w:rsidRPr="00507DB0">
        <w:rPr>
          <w:rFonts w:ascii="Simplified Arabic" w:hAnsi="Simplified Arabic" w:cs="Simplified Arabic"/>
          <w:color w:val="000000" w:themeColor="text1"/>
          <w:sz w:val="24"/>
          <w:szCs w:val="24"/>
          <w:rtl/>
          <w:lang w:val="en-US"/>
        </w:rPr>
        <w:t xml:space="preserve"> في التفاعلات التي تحدد دينامياتها</w:t>
      </w:r>
      <w:r w:rsidRPr="00507DB0">
        <w:rPr>
          <w:rFonts w:ascii="Simplified Arabic" w:hAnsi="Simplified Arabic" w:cs="Simplified Arabic" w:hint="cs"/>
          <w:color w:val="000000" w:themeColor="text1"/>
          <w:sz w:val="24"/>
          <w:szCs w:val="24"/>
          <w:rtl/>
          <w:lang w:val="en-US"/>
        </w:rPr>
        <w:t xml:space="preserve">'' </w:t>
      </w:r>
      <w:r w:rsidRPr="00507DB0">
        <w:rPr>
          <w:rFonts w:asciiTheme="majorBidi" w:hAnsiTheme="majorBidi" w:cstheme="majorBidi"/>
          <w:color w:val="000000" w:themeColor="text1"/>
          <w:sz w:val="24"/>
          <w:szCs w:val="24"/>
          <w:rtl/>
          <w:lang w:val="en-US"/>
        </w:rPr>
        <w:t>(</w:t>
      </w:r>
      <w:r w:rsidRPr="00507DB0">
        <w:rPr>
          <w:rFonts w:asciiTheme="majorBidi" w:hAnsiTheme="majorBidi" w:cstheme="majorBidi"/>
          <w:color w:val="000000" w:themeColor="text1"/>
          <w:sz w:val="24"/>
          <w:szCs w:val="24"/>
          <w:lang w:val="en-US"/>
        </w:rPr>
        <w:t>Lajoie, 2007</w:t>
      </w:r>
      <w:r w:rsidRPr="00507DB0">
        <w:rPr>
          <w:rFonts w:asciiTheme="majorBidi" w:hAnsiTheme="majorBidi" w:cstheme="majorBidi"/>
          <w:color w:val="000000" w:themeColor="text1"/>
          <w:sz w:val="24"/>
          <w:szCs w:val="24"/>
          <w:rtl/>
          <w:lang w:val="en-US"/>
        </w:rPr>
        <w:t>)</w:t>
      </w:r>
      <w:r w:rsidRPr="00507DB0">
        <w:rPr>
          <w:rFonts w:ascii="Simplified Arabic" w:hAnsi="Simplified Arabic" w:cs="Simplified Arabic"/>
          <w:color w:val="000000" w:themeColor="text1"/>
          <w:sz w:val="24"/>
          <w:szCs w:val="24"/>
          <w:rtl/>
          <w:lang w:val="en-US"/>
        </w:rPr>
        <w:t xml:space="preserve">. </w:t>
      </w:r>
      <w:r w:rsidRPr="00507DB0">
        <w:rPr>
          <w:rFonts w:ascii="Simplified Arabic" w:hAnsi="Simplified Arabic" w:cs="Simplified Arabic"/>
          <w:sz w:val="24"/>
          <w:szCs w:val="24"/>
          <w:rtl/>
          <w:lang w:val="en-US"/>
        </w:rPr>
        <w:t>إن تحليل النظام هو عبارة عن خيارات بين المتغيرات المختلفة للنظام.</w:t>
      </w:r>
      <w:r w:rsidRPr="00507DB0">
        <w:rPr>
          <w:rFonts w:ascii="Simplified Arabic" w:hAnsi="Simplified Arabic" w:cs="Simplified Arabic"/>
          <w:sz w:val="20"/>
          <w:szCs w:val="20"/>
          <w:rtl/>
        </w:rPr>
        <w:t xml:space="preserve"> </w:t>
      </w:r>
      <w:r w:rsidRPr="00507DB0">
        <w:rPr>
          <w:rFonts w:ascii="Simplified Arabic" w:hAnsi="Simplified Arabic" w:cs="Simplified Arabic"/>
          <w:sz w:val="24"/>
          <w:szCs w:val="24"/>
          <w:rtl/>
          <w:lang w:val="en-US"/>
        </w:rPr>
        <w:t>وبالتالي، فإن دراسة المدينة تعني اليوم فه</w:t>
      </w:r>
      <w:r w:rsidRPr="001A3F5C">
        <w:rPr>
          <w:rFonts w:ascii="Simplified Arabic" w:hAnsi="Simplified Arabic" w:cs="Simplified Arabic"/>
          <w:sz w:val="24"/>
          <w:szCs w:val="24"/>
          <w:rtl/>
          <w:lang w:val="en-US"/>
        </w:rPr>
        <w:t xml:space="preserve">م ومراعاة الترابط بين مكونات المدينة وتحليل روابطها </w:t>
      </w:r>
      <w:r w:rsidRPr="007858E8">
        <w:rPr>
          <w:rFonts w:ascii="Simplified Arabic" w:hAnsi="Simplified Arabic" w:cs="Simplified Arabic"/>
          <w:sz w:val="24"/>
          <w:szCs w:val="24"/>
          <w:rtl/>
          <w:lang w:bidi="ar-DZ"/>
        </w:rPr>
        <w:t xml:space="preserve">يتم عرض الوظائف والخدمات الحضرية بيانياً في الشكل </w:t>
      </w:r>
      <w:r>
        <w:rPr>
          <w:rFonts w:ascii="Simplified Arabic" w:hAnsi="Simplified Arabic" w:cs="Simplified Arabic" w:hint="cs"/>
          <w:sz w:val="24"/>
          <w:szCs w:val="24"/>
          <w:rtl/>
          <w:lang w:bidi="ar-DZ"/>
        </w:rPr>
        <w:t>(</w:t>
      </w:r>
      <w:r w:rsidR="0004167A">
        <w:rPr>
          <w:rFonts w:ascii="Simplified Arabic" w:hAnsi="Simplified Arabic" w:cs="Simplified Arabic" w:hint="cs"/>
          <w:sz w:val="24"/>
          <w:szCs w:val="24"/>
          <w:rtl/>
          <w:lang w:bidi="ar-DZ"/>
        </w:rPr>
        <w:t>1-23</w:t>
      </w:r>
      <w:r>
        <w:rPr>
          <w:rFonts w:ascii="Simplified Arabic" w:hAnsi="Simplified Arabic" w:cs="Simplified Arabic" w:hint="cs"/>
          <w:sz w:val="24"/>
          <w:szCs w:val="24"/>
          <w:rtl/>
          <w:lang w:bidi="ar-DZ"/>
        </w:rPr>
        <w:t>)</w:t>
      </w:r>
      <w:r w:rsidRPr="007858E8">
        <w:rPr>
          <w:rFonts w:ascii="Simplified Arabic" w:hAnsi="Simplified Arabic" w:cs="Simplified Arabic"/>
          <w:sz w:val="24"/>
          <w:szCs w:val="24"/>
          <w:rtl/>
          <w:lang w:bidi="ar-DZ"/>
        </w:rPr>
        <w:t>.</w:t>
      </w:r>
    </w:p>
    <w:p w:rsidR="00A903CE" w:rsidRPr="003A762D" w:rsidRDefault="00A903CE" w:rsidP="0042038B">
      <w:pPr>
        <w:pStyle w:val="fegure"/>
        <w:spacing w:before="240"/>
        <w:rPr>
          <w:sz w:val="8"/>
          <w:szCs w:val="24"/>
          <w:rtl/>
        </w:rPr>
      </w:pPr>
      <w:bookmarkStart w:id="259" w:name="_Toc157561455"/>
      <w:bookmarkStart w:id="260" w:name="_Toc157562788"/>
      <w:bookmarkStart w:id="261" w:name="_Toc157608284"/>
      <w:bookmarkStart w:id="262" w:name="_Toc171803414"/>
      <w:r w:rsidRPr="003A762D">
        <w:rPr>
          <w:rFonts w:hint="cs"/>
          <w:sz w:val="8"/>
          <w:szCs w:val="24"/>
          <w:rtl/>
        </w:rPr>
        <w:t>الشكل</w:t>
      </w:r>
      <w:r w:rsidRPr="003A762D">
        <w:rPr>
          <w:sz w:val="8"/>
          <w:szCs w:val="24"/>
          <w:rtl/>
        </w:rPr>
        <w:t xml:space="preserve"> </w:t>
      </w:r>
      <w:r w:rsidRPr="003A762D">
        <w:rPr>
          <w:rFonts w:hint="cs"/>
          <w:sz w:val="8"/>
          <w:szCs w:val="24"/>
          <w:rtl/>
        </w:rPr>
        <w:t>(</w:t>
      </w:r>
      <w:r w:rsidR="007A0685" w:rsidRPr="003A762D">
        <w:rPr>
          <w:rFonts w:hint="cs"/>
          <w:sz w:val="8"/>
          <w:szCs w:val="24"/>
          <w:rtl/>
        </w:rPr>
        <w:t>1-23</w:t>
      </w:r>
      <w:r w:rsidRPr="003A762D">
        <w:rPr>
          <w:rFonts w:hint="cs"/>
          <w:sz w:val="8"/>
          <w:szCs w:val="24"/>
          <w:rtl/>
        </w:rPr>
        <w:t>)</w:t>
      </w:r>
      <w:r w:rsidRPr="003A762D">
        <w:rPr>
          <w:sz w:val="8"/>
          <w:szCs w:val="24"/>
          <w:rtl/>
        </w:rPr>
        <w:t xml:space="preserve">: </w:t>
      </w:r>
      <w:r w:rsidRPr="003A762D">
        <w:rPr>
          <w:rFonts w:hint="cs"/>
          <w:sz w:val="8"/>
          <w:szCs w:val="24"/>
          <w:rtl/>
        </w:rPr>
        <w:t>تعيين</w:t>
      </w:r>
      <w:r w:rsidRPr="003A762D">
        <w:rPr>
          <w:sz w:val="8"/>
          <w:szCs w:val="24"/>
          <w:rtl/>
        </w:rPr>
        <w:t xml:space="preserve"> </w:t>
      </w:r>
      <w:r w:rsidRPr="003A762D">
        <w:rPr>
          <w:rFonts w:hint="cs"/>
          <w:sz w:val="8"/>
          <w:szCs w:val="24"/>
          <w:rtl/>
        </w:rPr>
        <w:t>الوظائف</w:t>
      </w:r>
      <w:r w:rsidRPr="003A762D">
        <w:rPr>
          <w:sz w:val="8"/>
          <w:szCs w:val="24"/>
          <w:rtl/>
        </w:rPr>
        <w:t xml:space="preserve"> </w:t>
      </w:r>
      <w:r w:rsidRPr="003A762D">
        <w:rPr>
          <w:rFonts w:hint="cs"/>
          <w:sz w:val="8"/>
          <w:szCs w:val="24"/>
          <w:rtl/>
        </w:rPr>
        <w:t>الحضرية وخدمات</w:t>
      </w:r>
      <w:r w:rsidRPr="003A762D">
        <w:rPr>
          <w:sz w:val="8"/>
          <w:szCs w:val="24"/>
          <w:rtl/>
        </w:rPr>
        <w:t xml:space="preserve"> </w:t>
      </w:r>
      <w:r w:rsidRPr="003A762D">
        <w:rPr>
          <w:rFonts w:hint="cs"/>
          <w:sz w:val="8"/>
          <w:szCs w:val="24"/>
          <w:rtl/>
        </w:rPr>
        <w:t>المدينة</w:t>
      </w:r>
      <w:bookmarkEnd w:id="259"/>
      <w:bookmarkEnd w:id="260"/>
      <w:bookmarkEnd w:id="261"/>
      <w:bookmarkEnd w:id="262"/>
    </w:p>
    <w:p w:rsidR="00A903CE" w:rsidRPr="00C518A6" w:rsidRDefault="00A903CE" w:rsidP="00A903CE">
      <w:pPr>
        <w:bidi/>
        <w:spacing w:after="0"/>
        <w:ind w:firstLine="282"/>
        <w:jc w:val="center"/>
        <w:rPr>
          <w:rFonts w:asciiTheme="minorBidi" w:hAnsiTheme="minorBidi" w:cs="Arial"/>
          <w:sz w:val="32"/>
          <w:szCs w:val="32"/>
          <w:rtl/>
          <w:lang w:val="en-US"/>
        </w:rPr>
      </w:pPr>
      <w:r>
        <w:rPr>
          <w:rFonts w:cs="Arial" w:hint="cs"/>
          <w:sz w:val="24"/>
          <w:szCs w:val="24"/>
          <w:rtl/>
          <w:lang w:bidi="ar-DZ"/>
        </w:rPr>
        <w:t xml:space="preserve">المصدر: </w:t>
      </w:r>
      <w:r w:rsidRPr="00994777">
        <w:rPr>
          <w:rFonts w:asciiTheme="majorBidi" w:hAnsiTheme="majorBidi" w:cstheme="majorBidi"/>
          <w:sz w:val="24"/>
          <w:szCs w:val="24"/>
          <w:lang w:val="en-US"/>
        </w:rPr>
        <w:t>(</w:t>
      </w:r>
      <w:r w:rsidRPr="00507DB0">
        <w:rPr>
          <w:rFonts w:asciiTheme="majorBidi" w:hAnsiTheme="majorBidi" w:cstheme="majorBidi"/>
          <w:sz w:val="24"/>
          <w:szCs w:val="24"/>
          <w:lang w:val="en-US"/>
        </w:rPr>
        <w:t>Lhomme</w:t>
      </w:r>
      <w:r w:rsidRPr="00994777">
        <w:rPr>
          <w:rFonts w:asciiTheme="majorBidi" w:hAnsiTheme="majorBidi" w:cstheme="majorBidi"/>
          <w:sz w:val="24"/>
          <w:szCs w:val="24"/>
          <w:lang w:val="en-US"/>
        </w:rPr>
        <w:t xml:space="preserve"> et al., 2010)</w:t>
      </w:r>
    </w:p>
    <w:p w:rsidR="00A903CE" w:rsidRDefault="00A903CE" w:rsidP="00A903CE">
      <w:pPr>
        <w:bidi/>
        <w:spacing w:after="0"/>
        <w:jc w:val="center"/>
        <w:rPr>
          <w:rFonts w:asciiTheme="minorBidi" w:hAnsiTheme="minorBidi" w:cs="Arial"/>
          <w:sz w:val="28"/>
          <w:szCs w:val="28"/>
          <w:rtl/>
          <w:lang w:val="en-US"/>
        </w:rPr>
      </w:pPr>
      <w:r>
        <w:rPr>
          <w:rFonts w:asciiTheme="minorBidi" w:hAnsiTheme="minorBidi" w:cs="Arial" w:hint="cs"/>
          <w:noProof/>
          <w:sz w:val="28"/>
          <w:szCs w:val="28"/>
          <w:rtl/>
          <w:lang w:eastAsia="fr-FR"/>
        </w:rPr>
        <w:drawing>
          <wp:inline distT="0" distB="0" distL="0" distR="0" wp14:anchorId="34AA0773" wp14:editId="79EC985F">
            <wp:extent cx="4626827" cy="2972166"/>
            <wp:effectExtent l="19050" t="19050" r="21590" b="19050"/>
            <wp:docPr id="77"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a:extLst>
                        <a:ext uri="{28A0092B-C50C-407E-A947-70E740481C1C}">
                          <a14:useLocalDpi xmlns:a14="http://schemas.microsoft.com/office/drawing/2010/main" val="0"/>
                        </a:ext>
                      </a:extLst>
                    </a:blip>
                    <a:stretch>
                      <a:fillRect/>
                    </a:stretch>
                  </pic:blipFill>
                  <pic:spPr bwMode="auto">
                    <a:xfrm>
                      <a:off x="0" y="0"/>
                      <a:ext cx="4626827" cy="2972166"/>
                    </a:xfrm>
                    <a:prstGeom prst="rect">
                      <a:avLst/>
                    </a:prstGeom>
                    <a:noFill/>
                    <a:ln w="6350">
                      <a:solidFill>
                        <a:schemeClr val="tx1"/>
                      </a:solidFill>
                    </a:ln>
                  </pic:spPr>
                </pic:pic>
              </a:graphicData>
            </a:graphic>
          </wp:inline>
        </w:drawing>
      </w:r>
    </w:p>
    <w:p w:rsidR="00A903CE" w:rsidRDefault="00A903CE" w:rsidP="00D345AB">
      <w:pPr>
        <w:bidi/>
        <w:spacing w:before="240" w:after="0"/>
        <w:ind w:firstLine="282"/>
        <w:jc w:val="both"/>
        <w:rPr>
          <w:rFonts w:ascii="Simplified Arabic" w:hAnsi="Simplified Arabic" w:cs="Simplified Arabic"/>
          <w:sz w:val="24"/>
          <w:szCs w:val="24"/>
          <w:rtl/>
          <w:lang w:val="en-US"/>
        </w:rPr>
      </w:pPr>
      <w:r w:rsidRPr="00507DB0">
        <w:rPr>
          <w:rFonts w:ascii="Simplified Arabic" w:hAnsi="Simplified Arabic" w:cs="Simplified Arabic" w:hint="cs"/>
          <w:sz w:val="24"/>
          <w:szCs w:val="24"/>
          <w:rtl/>
          <w:lang w:val="en-US"/>
        </w:rPr>
        <w:t>لذلك،</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تخلق</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المدينة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تشابكات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بين المكونات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الحضرية،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مثل</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البنى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التحتية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العامة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للحوكمة،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التعليم،</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الصحة،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الشرطة،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العدالة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وما</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إلى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ذلك</w:t>
      </w:r>
      <w:r w:rsidRPr="00507DB0">
        <w:rPr>
          <w:rFonts w:ascii="Simplified Arabic" w:hAnsi="Simplified Arabic" w:cs="Simplified Arabic"/>
          <w:sz w:val="24"/>
          <w:szCs w:val="24"/>
          <w:rtl/>
          <w:lang w:val="en-US"/>
        </w:rPr>
        <w:t xml:space="preserve"> </w:t>
      </w:r>
      <w:r w:rsidRPr="00507DB0">
        <w:rPr>
          <w:rFonts w:asciiTheme="majorBidi" w:hAnsiTheme="majorBidi" w:cstheme="majorBidi"/>
          <w:sz w:val="24"/>
          <w:szCs w:val="24"/>
          <w:rtl/>
          <w:lang w:val="en-US"/>
        </w:rPr>
        <w:t>(</w:t>
      </w:r>
      <w:r w:rsidRPr="00507DB0">
        <w:rPr>
          <w:rFonts w:asciiTheme="majorBidi" w:hAnsiTheme="majorBidi" w:cstheme="majorBidi"/>
          <w:sz w:val="24"/>
          <w:szCs w:val="24"/>
          <w:lang w:val="en-US"/>
        </w:rPr>
        <w:t>Lhomme</w:t>
      </w:r>
      <w:r w:rsidRPr="00507DB0">
        <w:rPr>
          <w:rFonts w:asciiTheme="majorBidi" w:hAnsiTheme="majorBidi" w:cstheme="majorBidi"/>
          <w:sz w:val="24"/>
          <w:szCs w:val="24"/>
        </w:rPr>
        <w:t>,</w:t>
      </w:r>
      <w:r w:rsidRPr="00507DB0">
        <w:rPr>
          <w:rFonts w:asciiTheme="majorBidi" w:hAnsiTheme="majorBidi" w:cstheme="majorBidi"/>
          <w:sz w:val="24"/>
          <w:szCs w:val="24"/>
          <w:lang w:val="en-US"/>
        </w:rPr>
        <w:t xml:space="preserve"> 2012</w:t>
      </w:r>
      <w:r w:rsidRPr="00507DB0">
        <w:rPr>
          <w:rFonts w:asciiTheme="majorBidi" w:hAnsiTheme="majorBidi" w:cstheme="majorBidi"/>
          <w:sz w:val="24"/>
          <w:szCs w:val="24"/>
          <w:rtl/>
          <w:lang w:val="en-US"/>
        </w:rPr>
        <w:t>)</w:t>
      </w:r>
      <w:r w:rsidRPr="00507DB0">
        <w:rPr>
          <w:rFonts w:ascii="Simplified Arabic" w:hAnsi="Simplified Arabic" w:cs="Simplified Arabic" w:hint="cs"/>
          <w:sz w:val="24"/>
          <w:szCs w:val="24"/>
          <w:rtl/>
          <w:lang w:val="en-US"/>
        </w:rPr>
        <w:t xml:space="preserve"> أو</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الأنظمة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التقنية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مثل</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الشبكات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الحضرية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والبنى</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التحتية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الحيوية،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لكنها</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تخلق</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أيضًا</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علاقات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متبادلة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مع</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بيئتها،</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نظرًا</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لخاصية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النظام</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المفتوح</w:t>
      </w:r>
      <w:r w:rsidRPr="00507DB0">
        <w:rPr>
          <w:rFonts w:ascii="Simplified Arabic" w:hAnsi="Simplified Arabic" w:cs="Simplified Arabic"/>
          <w:sz w:val="24"/>
          <w:szCs w:val="24"/>
          <w:rtl/>
          <w:lang w:val="en-US"/>
        </w:rPr>
        <w:t xml:space="preserve"> </w:t>
      </w:r>
      <w:r w:rsidRPr="00507DB0">
        <w:rPr>
          <w:rFonts w:asciiTheme="majorBidi" w:hAnsiTheme="majorBidi" w:cstheme="majorBidi"/>
          <w:sz w:val="24"/>
          <w:szCs w:val="24"/>
          <w:rtl/>
          <w:lang w:val="en-US"/>
        </w:rPr>
        <w:t>(</w:t>
      </w:r>
      <w:r w:rsidRPr="00507DB0">
        <w:rPr>
          <w:rFonts w:asciiTheme="majorBidi" w:hAnsiTheme="majorBidi" w:cstheme="majorBidi"/>
          <w:sz w:val="24"/>
          <w:szCs w:val="24"/>
          <w:lang w:val="en-US"/>
        </w:rPr>
        <w:t>Lhomme</w:t>
      </w:r>
      <w:r w:rsidRPr="00507DB0">
        <w:rPr>
          <w:rFonts w:asciiTheme="majorBidi" w:hAnsiTheme="majorBidi" w:cstheme="majorBidi"/>
          <w:sz w:val="24"/>
          <w:szCs w:val="24"/>
        </w:rPr>
        <w:t>,</w:t>
      </w:r>
      <w:r w:rsidRPr="00507DB0">
        <w:rPr>
          <w:rFonts w:asciiTheme="majorBidi" w:hAnsiTheme="majorBidi" w:cstheme="majorBidi"/>
          <w:sz w:val="24"/>
          <w:szCs w:val="24"/>
          <w:lang w:val="en-US"/>
        </w:rPr>
        <w:t xml:space="preserve"> 2012</w:t>
      </w:r>
      <w:r w:rsidRPr="00507DB0">
        <w:rPr>
          <w:rFonts w:asciiTheme="majorBidi" w:hAnsiTheme="majorBidi" w:cstheme="majorBidi"/>
          <w:sz w:val="24"/>
          <w:szCs w:val="24"/>
          <w:rtl/>
          <w:lang w:val="en-US"/>
        </w:rPr>
        <w:t>)</w:t>
      </w:r>
      <w:r w:rsidRPr="00507DB0">
        <w:rPr>
          <w:rFonts w:ascii="Simplified Arabic" w:hAnsi="Simplified Arabic" w:cs="Simplified Arabic"/>
          <w:sz w:val="24"/>
          <w:szCs w:val="24"/>
          <w:rtl/>
          <w:lang w:val="en-US"/>
        </w:rPr>
        <w:t xml:space="preserve">. </w:t>
      </w:r>
    </w:p>
    <w:p w:rsidR="00A903CE" w:rsidRDefault="00A903CE" w:rsidP="00C23656">
      <w:pPr>
        <w:bidi/>
        <w:spacing w:after="0"/>
        <w:ind w:firstLine="282"/>
        <w:jc w:val="both"/>
        <w:rPr>
          <w:rFonts w:ascii="Simplified Arabic" w:hAnsi="Simplified Arabic" w:cs="Simplified Arabic"/>
          <w:sz w:val="24"/>
          <w:szCs w:val="24"/>
          <w:rtl/>
          <w:lang w:val="en-US"/>
        </w:rPr>
      </w:pPr>
      <w:r w:rsidRPr="00020C58">
        <w:rPr>
          <w:rFonts w:ascii="Simplified Arabic" w:hAnsi="Simplified Arabic" w:cs="Simplified Arabic"/>
          <w:sz w:val="24"/>
          <w:szCs w:val="24"/>
          <w:rtl/>
          <w:lang w:bidi="ar-DZ"/>
        </w:rPr>
        <w:lastRenderedPageBreak/>
        <w:t xml:space="preserve">المكونات </w:t>
      </w:r>
      <w:r>
        <w:rPr>
          <w:rFonts w:ascii="Simplified Arabic" w:hAnsi="Simplified Arabic" w:cs="Simplified Arabic" w:hint="cs"/>
          <w:sz w:val="24"/>
          <w:szCs w:val="24"/>
          <w:rtl/>
          <w:lang w:bidi="ar-DZ"/>
        </w:rPr>
        <w:t>الفيزيائية</w:t>
      </w:r>
      <w:r w:rsidRPr="006111C3">
        <w:rPr>
          <w:rFonts w:ascii="Simplified Arabic" w:hAnsi="Simplified Arabic" w:cs="Simplified Arabic"/>
          <w:sz w:val="24"/>
          <w:szCs w:val="24"/>
          <w:rtl/>
          <w:lang w:bidi="ar-DZ"/>
        </w:rPr>
        <w:t xml:space="preserve"> </w:t>
      </w:r>
      <w:r w:rsidRPr="00020C58">
        <w:rPr>
          <w:rFonts w:ascii="Simplified Arabic" w:hAnsi="Simplified Arabic" w:cs="Simplified Arabic"/>
          <w:sz w:val="24"/>
          <w:szCs w:val="24"/>
          <w:rtl/>
          <w:lang w:bidi="ar-DZ"/>
        </w:rPr>
        <w:t xml:space="preserve">للنظام الحضري هي الوظائف والخدمات الحضرية </w:t>
      </w:r>
      <w:r>
        <w:rPr>
          <w:rFonts w:ascii="Simplified Arabic" w:hAnsi="Simplified Arabic" w:cs="Simplified Arabic" w:hint="cs"/>
          <w:sz w:val="24"/>
          <w:szCs w:val="24"/>
          <w:rtl/>
          <w:lang w:bidi="ar-DZ"/>
        </w:rPr>
        <w:t>مثل:</w:t>
      </w:r>
      <w:r w:rsidRPr="00020C58">
        <w:rPr>
          <w:rFonts w:ascii="Simplified Arabic" w:hAnsi="Simplified Arabic" w:cs="Simplified Arabic"/>
          <w:sz w:val="24"/>
          <w:szCs w:val="24"/>
          <w:rtl/>
          <w:lang w:bidi="ar-DZ"/>
        </w:rPr>
        <w:t xml:space="preserve"> المباني والشوارع والمتنزهات والمتاجر والمباني الصناعية والمناطق الدينية وما إلى ذلك</w:t>
      </w:r>
      <w:r>
        <w:rPr>
          <w:rFonts w:ascii="Simplified Arabic" w:hAnsi="Simplified Arabic" w:cs="Simplified Arabic" w:hint="cs"/>
          <w:sz w:val="24"/>
          <w:szCs w:val="24"/>
          <w:rtl/>
          <w:lang w:bidi="ar-DZ"/>
        </w:rPr>
        <w:t xml:space="preserve">، </w:t>
      </w:r>
      <w:r w:rsidRPr="006111C3">
        <w:rPr>
          <w:rFonts w:ascii="Simplified Arabic" w:hAnsi="Simplified Arabic" w:cs="Simplified Arabic" w:hint="cs"/>
          <w:sz w:val="24"/>
          <w:szCs w:val="24"/>
          <w:rtl/>
          <w:lang w:bidi="ar-DZ"/>
        </w:rPr>
        <w:t>المكون</w:t>
      </w:r>
      <w:r>
        <w:rPr>
          <w:rFonts w:ascii="Simplified Arabic" w:hAnsi="Simplified Arabic" w:cs="Simplified Arabic" w:hint="cs"/>
          <w:sz w:val="24"/>
          <w:szCs w:val="24"/>
          <w:rtl/>
          <w:lang w:bidi="ar-DZ"/>
        </w:rPr>
        <w:t>ات</w:t>
      </w:r>
      <w:r w:rsidRPr="006111C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الفيزيائية</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للمدينة</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له</w:t>
      </w:r>
      <w:r>
        <w:rPr>
          <w:rFonts w:ascii="Simplified Arabic" w:hAnsi="Simplified Arabic" w:cs="Simplified Arabic" w:hint="cs"/>
          <w:sz w:val="24"/>
          <w:szCs w:val="24"/>
          <w:rtl/>
          <w:lang w:bidi="ar-DZ"/>
        </w:rPr>
        <w:t>ا</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امتداد</w:t>
      </w:r>
      <w:r>
        <w:rPr>
          <w:rFonts w:ascii="Simplified Arabic" w:hAnsi="Simplified Arabic" w:cs="Simplified Arabic" w:hint="cs"/>
          <w:sz w:val="24"/>
          <w:szCs w:val="24"/>
          <w:rtl/>
          <w:lang w:bidi="ar-DZ"/>
        </w:rPr>
        <w:t>ات</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مكاني</w:t>
      </w:r>
      <w:r>
        <w:rPr>
          <w:rFonts w:ascii="Simplified Arabic" w:hAnsi="Simplified Arabic" w:cs="Simplified Arabic" w:hint="cs"/>
          <w:sz w:val="24"/>
          <w:szCs w:val="24"/>
          <w:rtl/>
          <w:lang w:bidi="ar-DZ"/>
        </w:rPr>
        <w:t>ة</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ويكون</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التعبير</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من</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خلال</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الوحدات</w:t>
      </w:r>
      <w:r w:rsidRPr="00020C58">
        <w:rPr>
          <w:rFonts w:ascii="Simplified Arabic" w:hAnsi="Simplified Arabic" w:cs="Simplified Arabic"/>
          <w:sz w:val="24"/>
          <w:szCs w:val="24"/>
          <w:rtl/>
          <w:lang w:bidi="ar-DZ"/>
        </w:rPr>
        <w:t>.</w:t>
      </w:r>
      <w:r w:rsidRPr="006111C3">
        <w:rPr>
          <w:rFonts w:hint="cs"/>
          <w:rtl/>
        </w:rPr>
        <w:t xml:space="preserve"> </w:t>
      </w:r>
      <w:r w:rsidRPr="006111C3">
        <w:rPr>
          <w:rFonts w:ascii="Simplified Arabic" w:hAnsi="Simplified Arabic" w:cs="Simplified Arabic" w:hint="cs"/>
          <w:sz w:val="24"/>
          <w:szCs w:val="24"/>
          <w:rtl/>
          <w:lang w:bidi="ar-DZ"/>
        </w:rPr>
        <w:t>توفر</w:t>
      </w:r>
      <w:r w:rsidRPr="006111C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شبكة الطرق</w:t>
      </w:r>
      <w:r w:rsidRPr="006111C3">
        <w:rPr>
          <w:rFonts w:ascii="Simplified Arabic" w:hAnsi="Simplified Arabic" w:cs="Simplified Arabic"/>
          <w:sz w:val="24"/>
          <w:szCs w:val="24"/>
          <w:rtl/>
          <w:lang w:bidi="ar-DZ"/>
        </w:rPr>
        <w:t xml:space="preserve"> </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Pr="006111C3">
        <w:rPr>
          <w:rFonts w:ascii="Simplified Arabic" w:hAnsi="Simplified Arabic" w:cs="Simplified Arabic"/>
          <w:sz w:val="24"/>
          <w:szCs w:val="24"/>
          <w:rtl/>
          <w:lang w:bidi="ar-DZ"/>
        </w:rPr>
        <w:t xml:space="preserve"> </w:t>
      </w:r>
      <w:r w:rsidRPr="006111C3">
        <w:rPr>
          <w:rFonts w:ascii="Simplified Arabic" w:hAnsi="Simplified Arabic" w:cs="Simplified Arabic" w:hint="cs"/>
          <w:sz w:val="24"/>
          <w:szCs w:val="24"/>
          <w:rtl/>
          <w:lang w:bidi="ar-DZ"/>
        </w:rPr>
        <w:t>بين</w:t>
      </w:r>
      <w:r w:rsidRPr="006111C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مختلف </w:t>
      </w:r>
      <w:r w:rsidRPr="006111C3">
        <w:rPr>
          <w:rFonts w:ascii="Simplified Arabic" w:hAnsi="Simplified Arabic" w:cs="Simplified Arabic" w:hint="cs"/>
          <w:sz w:val="24"/>
          <w:szCs w:val="24"/>
          <w:rtl/>
          <w:lang w:bidi="ar-DZ"/>
        </w:rPr>
        <w:t>المكونات</w:t>
      </w:r>
      <w:r w:rsidRPr="006111C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الفيزيائية</w:t>
      </w:r>
      <w:r w:rsidRPr="00B43186">
        <w:rPr>
          <w:rFonts w:ascii="Simplified Arabic" w:hAnsi="Simplified Arabic" w:cs="Simplified Arabic"/>
          <w:sz w:val="24"/>
          <w:szCs w:val="24"/>
          <w:rtl/>
          <w:lang w:val="en-US"/>
        </w:rPr>
        <w:t xml:space="preserve">. </w:t>
      </w:r>
    </w:p>
    <w:p w:rsidR="00266F30" w:rsidRPr="00C13735" w:rsidRDefault="00266F30" w:rsidP="0042038B">
      <w:pPr>
        <w:pStyle w:val="Paragraphedeliste"/>
        <w:numPr>
          <w:ilvl w:val="2"/>
          <w:numId w:val="267"/>
        </w:numPr>
        <w:bidi/>
        <w:spacing w:before="240" w:after="0"/>
        <w:jc w:val="both"/>
        <w:outlineLvl w:val="1"/>
        <w:rPr>
          <w:rFonts w:ascii="Simplified Arabic" w:hAnsi="Simplified Arabic" w:cs="Simplified Arabic"/>
          <w:b/>
          <w:bCs/>
          <w:color w:val="000000" w:themeColor="text1"/>
          <w:sz w:val="24"/>
          <w:szCs w:val="24"/>
          <w:rtl/>
          <w:lang w:bidi="ar-DZ"/>
        </w:rPr>
      </w:pPr>
      <w:bookmarkStart w:id="263" w:name="_Toc171803415"/>
      <w:r w:rsidRPr="00C13735">
        <w:rPr>
          <w:rFonts w:ascii="Simplified Arabic" w:hAnsi="Simplified Arabic" w:cs="Simplified Arabic" w:hint="cs"/>
          <w:b/>
          <w:bCs/>
          <w:color w:val="000000" w:themeColor="text1"/>
          <w:sz w:val="24"/>
          <w:szCs w:val="24"/>
          <w:rtl/>
          <w:lang w:bidi="ar-DZ"/>
        </w:rPr>
        <w:t>المدينة المرنة</w:t>
      </w:r>
      <w:bookmarkEnd w:id="263"/>
    </w:p>
    <w:p w:rsidR="00E81523" w:rsidRPr="00E36F60" w:rsidRDefault="00E81523" w:rsidP="00E81523">
      <w:pPr>
        <w:bidi/>
        <w:spacing w:after="0"/>
        <w:ind w:firstLine="283"/>
        <w:jc w:val="both"/>
        <w:rPr>
          <w:rFonts w:ascii="Simplified Arabic" w:hAnsi="Simplified Arabic" w:cs="Simplified Arabic"/>
          <w:sz w:val="24"/>
          <w:szCs w:val="24"/>
        </w:rPr>
      </w:pPr>
      <w:r>
        <w:rPr>
          <w:rFonts w:ascii="Simplified Arabic" w:hAnsi="Simplified Arabic" w:cs="Simplified Arabic" w:hint="cs"/>
          <w:sz w:val="24"/>
          <w:szCs w:val="24"/>
          <w:rtl/>
        </w:rPr>
        <w:t>بداية لا بد من طرح التساؤل التالي: هل حقيقة هناك وجود للمدن المرنة، اذا كان كذلك، كيف يمكن ت</w:t>
      </w:r>
      <w:r w:rsidRPr="00E36F60">
        <w:rPr>
          <w:rFonts w:ascii="Simplified Arabic" w:hAnsi="Simplified Arabic" w:cs="Simplified Arabic" w:hint="cs"/>
          <w:sz w:val="24"/>
          <w:szCs w:val="24"/>
          <w:rtl/>
        </w:rPr>
        <w:t>عريف</w:t>
      </w:r>
      <w:r>
        <w:rPr>
          <w:rFonts w:ascii="Simplified Arabic" w:hAnsi="Simplified Arabic" w:cs="Simplified Arabic" w:hint="cs"/>
          <w:sz w:val="24"/>
          <w:szCs w:val="24"/>
          <w:rtl/>
        </w:rPr>
        <w:t>ها</w:t>
      </w:r>
      <w:r w:rsidRPr="00E36F60">
        <w:rPr>
          <w:rFonts w:ascii="Simplified Arabic" w:hAnsi="Simplified Arabic" w:cs="Simplified Arabic" w:hint="cs"/>
          <w:sz w:val="24"/>
          <w:szCs w:val="24"/>
          <w:rtl/>
        </w:rPr>
        <w:t>؟</w:t>
      </w:r>
    </w:p>
    <w:p w:rsidR="00962CA4" w:rsidRDefault="00E81523" w:rsidP="00202EF8">
      <w:pPr>
        <w:tabs>
          <w:tab w:val="right" w:pos="281"/>
          <w:tab w:val="left" w:pos="4305"/>
        </w:tabs>
        <w:bidi/>
        <w:spacing w:after="0"/>
        <w:ind w:firstLine="282"/>
        <w:jc w:val="both"/>
        <w:rPr>
          <w:rFonts w:ascii="Simplified Arabic" w:hAnsi="Simplified Arabic" w:cs="Simplified Arabic"/>
          <w:sz w:val="24"/>
          <w:szCs w:val="24"/>
          <w:rtl/>
        </w:rPr>
      </w:pPr>
      <w:r w:rsidRPr="00284D5A">
        <w:rPr>
          <w:rFonts w:ascii="Simplified Arabic" w:hAnsi="Simplified Arabic" w:cs="Simplified Arabic"/>
          <w:sz w:val="24"/>
          <w:szCs w:val="24"/>
          <w:rtl/>
          <w:lang w:val="en-US" w:bidi="ar-DZ"/>
        </w:rPr>
        <w:t xml:space="preserve">الكثير من </w:t>
      </w:r>
      <w:r>
        <w:rPr>
          <w:rFonts w:ascii="Simplified Arabic" w:hAnsi="Simplified Arabic" w:cs="Simplified Arabic" w:hint="cs"/>
          <w:sz w:val="24"/>
          <w:szCs w:val="24"/>
          <w:rtl/>
          <w:lang w:val="en-US" w:bidi="ar-DZ"/>
        </w:rPr>
        <w:t>المدن</w:t>
      </w:r>
      <w:r>
        <w:rPr>
          <w:rFonts w:ascii="Simplified Arabic" w:hAnsi="Simplified Arabic" w:cs="Simplified Arabic"/>
          <w:sz w:val="24"/>
          <w:szCs w:val="24"/>
          <w:rtl/>
          <w:lang w:val="en-US" w:bidi="ar-DZ"/>
        </w:rPr>
        <w:t xml:space="preserve"> التاريخية للمجتمعات السابقة</w:t>
      </w:r>
      <w:r w:rsidRPr="00284D5A">
        <w:rPr>
          <w:rFonts w:ascii="Simplified Arabic" w:hAnsi="Simplified Arabic" w:cs="Simplified Arabic"/>
          <w:sz w:val="24"/>
          <w:szCs w:val="24"/>
          <w:rtl/>
          <w:lang w:val="en-US" w:bidi="ar-DZ"/>
        </w:rPr>
        <w:t>، ا</w:t>
      </w:r>
      <w:r>
        <w:rPr>
          <w:rFonts w:ascii="Simplified Arabic" w:hAnsi="Simplified Arabic" w:cs="Simplified Arabic"/>
          <w:sz w:val="24"/>
          <w:szCs w:val="24"/>
          <w:rtl/>
          <w:lang w:val="en-US" w:bidi="ar-DZ"/>
        </w:rPr>
        <w:t xml:space="preserve">ثبتت </w:t>
      </w:r>
      <w:r>
        <w:rPr>
          <w:rFonts w:ascii="Simplified Arabic" w:hAnsi="Simplified Arabic" w:cs="Simplified Arabic" w:hint="cs"/>
          <w:sz w:val="24"/>
          <w:szCs w:val="24"/>
          <w:rtl/>
          <w:lang w:val="en-US" w:bidi="ar-DZ"/>
        </w:rPr>
        <w:t>استمراريتها و</w:t>
      </w:r>
      <w:r>
        <w:rPr>
          <w:rFonts w:ascii="Simplified Arabic" w:hAnsi="Simplified Arabic" w:cs="Simplified Arabic"/>
          <w:sz w:val="24"/>
          <w:szCs w:val="24"/>
          <w:rtl/>
          <w:lang w:val="en-US" w:bidi="ar-DZ"/>
        </w:rPr>
        <w:t>قدرتها على تحمل الاضطرابات</w:t>
      </w:r>
      <w:r w:rsidRPr="00284D5A">
        <w:rPr>
          <w:rFonts w:ascii="Simplified Arabic" w:hAnsi="Simplified Arabic" w:cs="Simplified Arabic"/>
          <w:sz w:val="24"/>
          <w:szCs w:val="24"/>
          <w:rtl/>
          <w:lang w:val="en-US" w:bidi="ar-DZ"/>
        </w:rPr>
        <w:t>، لأخذها عوامل الاست</w:t>
      </w:r>
      <w:r>
        <w:rPr>
          <w:rFonts w:ascii="Simplified Arabic" w:hAnsi="Simplified Arabic" w:cs="Simplified Arabic"/>
          <w:sz w:val="24"/>
          <w:szCs w:val="24"/>
          <w:rtl/>
          <w:lang w:val="en-US" w:bidi="ar-DZ"/>
        </w:rPr>
        <w:t xml:space="preserve">قرار اثناء مراحل </w:t>
      </w:r>
      <w:r>
        <w:rPr>
          <w:rFonts w:ascii="Simplified Arabic" w:hAnsi="Simplified Arabic" w:cs="Simplified Arabic" w:hint="cs"/>
          <w:sz w:val="24"/>
          <w:szCs w:val="24"/>
          <w:rtl/>
          <w:lang w:val="en-US" w:bidi="ar-DZ"/>
        </w:rPr>
        <w:t>ن</w:t>
      </w:r>
      <w:r>
        <w:rPr>
          <w:rFonts w:ascii="Simplified Arabic" w:hAnsi="Simplified Arabic" w:cs="Simplified Arabic"/>
          <w:sz w:val="24"/>
          <w:szCs w:val="24"/>
          <w:rtl/>
          <w:lang w:val="en-US" w:bidi="ar-DZ"/>
        </w:rPr>
        <w:t>موها</w:t>
      </w:r>
      <w:r>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rPr>
        <w:t xml:space="preserve">حسب </w:t>
      </w:r>
      <w:r w:rsidRPr="00372B20">
        <w:rPr>
          <w:rFonts w:asciiTheme="majorBidi" w:hAnsiTheme="majorBidi" w:cstheme="majorBidi"/>
          <w:sz w:val="24"/>
          <w:szCs w:val="24"/>
          <w:rtl/>
        </w:rPr>
        <w:t>(</w:t>
      </w:r>
      <w:r w:rsidRPr="00372B20">
        <w:rPr>
          <w:rFonts w:asciiTheme="majorBidi" w:hAnsiTheme="majorBidi" w:cstheme="majorBidi"/>
          <w:sz w:val="24"/>
          <w:szCs w:val="24"/>
        </w:rPr>
        <w:t xml:space="preserve">Vale and </w:t>
      </w:r>
      <w:r w:rsidRPr="001870B1">
        <w:rPr>
          <w:rFonts w:asciiTheme="majorBidi" w:hAnsiTheme="majorBidi" w:cstheme="majorBidi"/>
          <w:sz w:val="24"/>
          <w:szCs w:val="24"/>
        </w:rPr>
        <w:t>Campanella</w:t>
      </w:r>
      <w:r w:rsidRPr="00372B20">
        <w:rPr>
          <w:rFonts w:asciiTheme="majorBidi" w:hAnsiTheme="majorBidi" w:cstheme="majorBidi"/>
          <w:sz w:val="24"/>
          <w:szCs w:val="24"/>
        </w:rPr>
        <w:t>, 2005</w:t>
      </w:r>
      <w:r w:rsidRPr="00372B20">
        <w:rPr>
          <w:rFonts w:asciiTheme="majorBidi" w:hAnsiTheme="majorBidi" w:cstheme="majorBidi"/>
          <w:sz w:val="24"/>
          <w:szCs w:val="24"/>
          <w:rtl/>
        </w:rPr>
        <w:t>)</w:t>
      </w:r>
      <w:r>
        <w:rPr>
          <w:rFonts w:ascii="Simplified Arabic" w:hAnsi="Simplified Arabic" w:cs="Simplified Arabic" w:hint="cs"/>
          <w:sz w:val="24"/>
          <w:szCs w:val="24"/>
          <w:rtl/>
        </w:rPr>
        <w:t xml:space="preserve"> </w:t>
      </w:r>
      <w:r w:rsidRPr="005C0816">
        <w:rPr>
          <w:rFonts w:ascii="Simplified Arabic" w:hAnsi="Simplified Arabic" w:cs="Simplified Arabic"/>
          <w:sz w:val="24"/>
          <w:szCs w:val="24"/>
          <w:rtl/>
        </w:rPr>
        <w:t xml:space="preserve">يمكن </w:t>
      </w:r>
      <w:r>
        <w:rPr>
          <w:rFonts w:ascii="Simplified Arabic" w:hAnsi="Simplified Arabic" w:cs="Simplified Arabic" w:hint="cs"/>
          <w:sz w:val="24"/>
          <w:szCs w:val="24"/>
          <w:rtl/>
        </w:rPr>
        <w:t xml:space="preserve">ان توصف </w:t>
      </w:r>
      <w:r w:rsidRPr="005C0816">
        <w:rPr>
          <w:rFonts w:ascii="Simplified Arabic" w:hAnsi="Simplified Arabic" w:cs="Simplified Arabic"/>
          <w:sz w:val="24"/>
          <w:szCs w:val="24"/>
          <w:rtl/>
        </w:rPr>
        <w:t xml:space="preserve">مدينة بأنها </w:t>
      </w:r>
      <w:r w:rsidRPr="00E36F60">
        <w:rPr>
          <w:rFonts w:ascii="Simplified Arabic" w:hAnsi="Simplified Arabic" w:cs="Simplified Arabic" w:hint="cs"/>
          <w:sz w:val="24"/>
          <w:szCs w:val="24"/>
          <w:rtl/>
        </w:rPr>
        <w:t>مرنة</w:t>
      </w:r>
      <w:r w:rsidRPr="005C0816">
        <w:rPr>
          <w:rFonts w:ascii="Simplified Arabic" w:hAnsi="Simplified Arabic" w:cs="Simplified Arabic"/>
          <w:sz w:val="24"/>
          <w:szCs w:val="24"/>
          <w:rtl/>
        </w:rPr>
        <w:t xml:space="preserve"> طالما أنها لا تزال موجودة</w:t>
      </w:r>
      <w:r w:rsidR="00026FEB">
        <w:rPr>
          <w:rFonts w:ascii="Simplified Arabic" w:hAnsi="Simplified Arabic" w:cs="Simplified Arabic" w:hint="cs"/>
          <w:sz w:val="24"/>
          <w:szCs w:val="24"/>
          <w:rtl/>
        </w:rPr>
        <w:t>، اذ</w:t>
      </w:r>
      <w:r>
        <w:rPr>
          <w:rFonts w:ascii="Simplified Arabic" w:hAnsi="Simplified Arabic" w:cs="Simplified Arabic" w:hint="cs"/>
          <w:sz w:val="24"/>
          <w:szCs w:val="24"/>
          <w:rtl/>
        </w:rPr>
        <w:t xml:space="preserve"> يجب على المدينة اظهار قدرتها على </w:t>
      </w:r>
      <w:r>
        <w:rPr>
          <w:rFonts w:ascii="Simplified Arabic" w:hAnsi="Simplified Arabic" w:cs="Simplified Arabic"/>
          <w:sz w:val="24"/>
          <w:szCs w:val="24"/>
          <w:rtl/>
        </w:rPr>
        <w:t>الاستمرار</w:t>
      </w:r>
      <w:r w:rsidRPr="005C0816">
        <w:rPr>
          <w:rFonts w:ascii="Simplified Arabic" w:hAnsi="Simplified Arabic" w:cs="Simplified Arabic"/>
          <w:sz w:val="24"/>
          <w:szCs w:val="24"/>
          <w:rtl/>
        </w:rPr>
        <w:t xml:space="preserve"> بعد الاضطرابات. على </w:t>
      </w:r>
      <w:r>
        <w:rPr>
          <w:rFonts w:ascii="Simplified Arabic" w:hAnsi="Simplified Arabic" w:cs="Simplified Arabic" w:hint="cs"/>
          <w:sz w:val="24"/>
          <w:szCs w:val="24"/>
          <w:rtl/>
        </w:rPr>
        <w:t>هذا النحو</w:t>
      </w:r>
      <w:r w:rsidRPr="005C081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تعد </w:t>
      </w:r>
      <w:r w:rsidR="00934F89">
        <w:rPr>
          <w:rFonts w:ascii="Simplified Arabic" w:hAnsi="Simplified Arabic" w:cs="Simplified Arabic" w:hint="cs"/>
          <w:sz w:val="24"/>
          <w:szCs w:val="24"/>
          <w:rtl/>
        </w:rPr>
        <w:t>القصور التاريخية التي اقامتها قبيلة زناتة بواد ميزاب</w:t>
      </w:r>
      <w:r w:rsidR="004B5FB4">
        <w:rPr>
          <w:rFonts w:ascii="Simplified Arabic" w:hAnsi="Simplified Arabic" w:cs="Simplified Arabic" w:hint="cs"/>
          <w:sz w:val="24"/>
          <w:szCs w:val="24"/>
          <w:rtl/>
        </w:rPr>
        <w:t xml:space="preserve"> (ولاية غرداية)</w:t>
      </w:r>
      <w:r w:rsidR="00202EF8">
        <w:rPr>
          <w:rFonts w:ascii="Simplified Arabic" w:hAnsi="Simplified Arabic" w:cs="Simplified Arabic" w:hint="cs"/>
          <w:sz w:val="24"/>
          <w:szCs w:val="24"/>
          <w:rtl/>
        </w:rPr>
        <w:t xml:space="preserve"> في قمم</w:t>
      </w:r>
      <w:r w:rsidR="00934F89">
        <w:rPr>
          <w:rFonts w:ascii="Simplified Arabic" w:hAnsi="Simplified Arabic" w:cs="Simplified Arabic" w:hint="cs"/>
          <w:sz w:val="24"/>
          <w:szCs w:val="24"/>
          <w:rtl/>
        </w:rPr>
        <w:t xml:space="preserve"> الجب</w:t>
      </w:r>
      <w:r w:rsidR="00202EF8">
        <w:rPr>
          <w:rFonts w:ascii="Simplified Arabic" w:hAnsi="Simplified Arabic" w:cs="Simplified Arabic" w:hint="cs"/>
          <w:sz w:val="24"/>
          <w:szCs w:val="24"/>
          <w:rtl/>
        </w:rPr>
        <w:t>ا</w:t>
      </w:r>
      <w:r w:rsidR="00934F89">
        <w:rPr>
          <w:rFonts w:ascii="Simplified Arabic" w:hAnsi="Simplified Arabic" w:cs="Simplified Arabic" w:hint="cs"/>
          <w:sz w:val="24"/>
          <w:szCs w:val="24"/>
          <w:rtl/>
        </w:rPr>
        <w:t xml:space="preserve">ل لغرض الاحتماء من الغزوات الخارجية او من فيضانات الوديان المتكررة </w:t>
      </w:r>
      <w:r>
        <w:rPr>
          <w:rFonts w:ascii="Simplified Arabic" w:hAnsi="Simplified Arabic" w:cs="Simplified Arabic" w:hint="cs"/>
          <w:sz w:val="24"/>
          <w:szCs w:val="24"/>
          <w:rtl/>
        </w:rPr>
        <w:t>مثال على ذلك</w:t>
      </w:r>
      <w:r w:rsidRPr="005C0816">
        <w:rPr>
          <w:rFonts w:ascii="Simplified Arabic" w:hAnsi="Simplified Arabic" w:cs="Simplified Arabic"/>
          <w:sz w:val="24"/>
          <w:szCs w:val="24"/>
          <w:rtl/>
        </w:rPr>
        <w:t xml:space="preserve">. </w:t>
      </w:r>
      <w:r w:rsidR="00202EF8">
        <w:rPr>
          <w:rFonts w:ascii="Simplified Arabic" w:hAnsi="Simplified Arabic" w:cs="Simplified Arabic" w:hint="cs"/>
          <w:sz w:val="24"/>
          <w:szCs w:val="24"/>
          <w:rtl/>
        </w:rPr>
        <w:t xml:space="preserve">يذكر ان قصر مليكة قد </w:t>
      </w:r>
      <w:r w:rsidR="00202EF8" w:rsidRPr="004B5FB4">
        <w:rPr>
          <w:rFonts w:ascii="Simplified Arabic" w:hAnsi="Simplified Arabic" w:cs="Simplified Arabic" w:hint="cs"/>
          <w:sz w:val="28"/>
          <w:szCs w:val="28"/>
          <w:rtl/>
        </w:rPr>
        <w:t>ب</w:t>
      </w:r>
      <w:r w:rsidR="00202EF8">
        <w:rPr>
          <w:rFonts w:ascii="Simplified Arabic" w:hAnsi="Simplified Arabic" w:cs="Simplified Arabic" w:hint="cs"/>
          <w:sz w:val="28"/>
          <w:szCs w:val="28"/>
          <w:rtl/>
        </w:rPr>
        <w:t>ُ</w:t>
      </w:r>
      <w:r w:rsidR="00202EF8" w:rsidRPr="004B5FB4">
        <w:rPr>
          <w:rFonts w:ascii="Simplified Arabic" w:hAnsi="Simplified Arabic" w:cs="Simplified Arabic" w:hint="cs"/>
          <w:sz w:val="28"/>
          <w:szCs w:val="28"/>
          <w:rtl/>
        </w:rPr>
        <w:t>ني</w:t>
      </w:r>
      <w:r w:rsidR="00202EF8" w:rsidRPr="00202EF8">
        <w:rPr>
          <w:rFonts w:ascii="Simplified Arabic" w:hAnsi="Simplified Arabic" w:cs="Simplified Arabic" w:hint="cs"/>
          <w:sz w:val="24"/>
          <w:szCs w:val="24"/>
          <w:rtl/>
        </w:rPr>
        <w:t xml:space="preserve"> خلال القرن الرابع عشر</w:t>
      </w:r>
      <w:r w:rsidR="00202EF8">
        <w:rPr>
          <w:rFonts w:ascii="Simplified Arabic" w:hAnsi="Simplified Arabic" w:cs="Simplified Arabic" w:hint="cs"/>
          <w:sz w:val="24"/>
          <w:szCs w:val="24"/>
          <w:rtl/>
        </w:rPr>
        <w:t xml:space="preserve"> (1380)، </w:t>
      </w:r>
      <w:r>
        <w:rPr>
          <w:rFonts w:ascii="Simplified Arabic" w:hAnsi="Simplified Arabic" w:cs="Simplified Arabic" w:hint="cs"/>
          <w:sz w:val="24"/>
          <w:szCs w:val="24"/>
          <w:rtl/>
        </w:rPr>
        <w:t xml:space="preserve">تم تشييد </w:t>
      </w:r>
      <w:r w:rsidR="00026FEB">
        <w:rPr>
          <w:rFonts w:ascii="Simplified Arabic" w:hAnsi="Simplified Arabic" w:cs="Simplified Arabic" w:hint="cs"/>
          <w:sz w:val="24"/>
          <w:szCs w:val="24"/>
          <w:rtl/>
        </w:rPr>
        <w:t xml:space="preserve">السوق بمحاذاة المسجد العتيق اللذان احتفظا بموقعهما الاول رغم التغييرات والتوسعات العمرانية التي شملت قصر مليكة. </w:t>
      </w:r>
      <w:r>
        <w:rPr>
          <w:rFonts w:ascii="Simplified Arabic" w:hAnsi="Simplified Arabic" w:cs="Simplified Arabic" w:hint="cs"/>
          <w:sz w:val="24"/>
          <w:szCs w:val="24"/>
          <w:rtl/>
        </w:rPr>
        <w:t>العديد من الاحياء السكنية وبمرور الزمن تم اعادة بنا</w:t>
      </w:r>
      <w:r w:rsidR="00026FEB">
        <w:rPr>
          <w:rFonts w:ascii="Simplified Arabic" w:hAnsi="Simplified Arabic" w:cs="Simplified Arabic" w:hint="cs"/>
          <w:sz w:val="24"/>
          <w:szCs w:val="24"/>
          <w:rtl/>
        </w:rPr>
        <w:t>ئها</w:t>
      </w:r>
      <w:r w:rsidRPr="005C0816">
        <w:rPr>
          <w:rFonts w:ascii="Simplified Arabic" w:hAnsi="Simplified Arabic" w:cs="Simplified Arabic"/>
          <w:sz w:val="24"/>
          <w:szCs w:val="24"/>
          <w:rtl/>
        </w:rPr>
        <w:t xml:space="preserve"> عدة مرات</w:t>
      </w:r>
      <w:r>
        <w:rPr>
          <w:rFonts w:ascii="Simplified Arabic" w:hAnsi="Simplified Arabic" w:cs="Simplified Arabic" w:hint="cs"/>
          <w:sz w:val="24"/>
          <w:szCs w:val="24"/>
          <w:rtl/>
        </w:rPr>
        <w:t xml:space="preserve"> بشكل مماثل كما</w:t>
      </w:r>
      <w:r w:rsidRPr="005C0816">
        <w:rPr>
          <w:rFonts w:ascii="Simplified Arabic" w:hAnsi="Simplified Arabic" w:cs="Simplified Arabic"/>
          <w:sz w:val="24"/>
          <w:szCs w:val="24"/>
          <w:rtl/>
        </w:rPr>
        <w:t xml:space="preserve"> تم تحويل </w:t>
      </w:r>
      <w:r>
        <w:rPr>
          <w:rFonts w:ascii="Simplified Arabic" w:hAnsi="Simplified Arabic" w:cs="Simplified Arabic" w:hint="cs"/>
          <w:sz w:val="24"/>
          <w:szCs w:val="24"/>
          <w:rtl/>
        </w:rPr>
        <w:t>بعض الاماكن</w:t>
      </w:r>
      <w:r w:rsidRPr="005C0816">
        <w:rPr>
          <w:rFonts w:ascii="Simplified Arabic" w:hAnsi="Simplified Arabic" w:cs="Simplified Arabic"/>
          <w:sz w:val="24"/>
          <w:szCs w:val="24"/>
          <w:rtl/>
        </w:rPr>
        <w:t xml:space="preserve"> إلى </w:t>
      </w:r>
      <w:r>
        <w:rPr>
          <w:rFonts w:ascii="Simplified Arabic" w:hAnsi="Simplified Arabic" w:cs="Simplified Arabic" w:hint="cs"/>
          <w:sz w:val="24"/>
          <w:szCs w:val="24"/>
          <w:rtl/>
        </w:rPr>
        <w:t>مرافق عمومية</w:t>
      </w:r>
      <w:r w:rsidRPr="005C0816">
        <w:rPr>
          <w:rFonts w:ascii="Simplified Arabic" w:hAnsi="Simplified Arabic" w:cs="Simplified Arabic"/>
          <w:sz w:val="24"/>
          <w:szCs w:val="24"/>
          <w:rtl/>
        </w:rPr>
        <w:t>، وهو ما يحدد المرونة وحتى المقاومة</w:t>
      </w:r>
      <w:r>
        <w:rPr>
          <w:rFonts w:ascii="Simplified Arabic" w:hAnsi="Simplified Arabic" w:cs="Simplified Arabic" w:hint="cs"/>
          <w:sz w:val="24"/>
          <w:szCs w:val="24"/>
          <w:rtl/>
        </w:rPr>
        <w:t xml:space="preserve"> لتحقيق الاستمرارية</w:t>
      </w:r>
      <w:r w:rsidRPr="005C0816">
        <w:rPr>
          <w:rFonts w:ascii="Simplified Arabic" w:hAnsi="Simplified Arabic" w:cs="Simplified Arabic"/>
          <w:sz w:val="24"/>
          <w:szCs w:val="24"/>
          <w:rtl/>
        </w:rPr>
        <w:t xml:space="preserve">. </w:t>
      </w:r>
      <w:r w:rsidR="00026FEB">
        <w:rPr>
          <w:rFonts w:ascii="Simplified Arabic" w:hAnsi="Simplified Arabic" w:cs="Simplified Arabic" w:hint="cs"/>
          <w:sz w:val="24"/>
          <w:szCs w:val="24"/>
          <w:rtl/>
        </w:rPr>
        <w:t xml:space="preserve">لذا يمكن القول انه </w:t>
      </w:r>
      <w:r w:rsidRPr="005C0816">
        <w:rPr>
          <w:rFonts w:ascii="Simplified Arabic" w:hAnsi="Simplified Arabic" w:cs="Simplified Arabic"/>
          <w:sz w:val="24"/>
          <w:szCs w:val="24"/>
          <w:rtl/>
        </w:rPr>
        <w:t xml:space="preserve">من أجل </w:t>
      </w:r>
      <w:r w:rsidR="0035126A">
        <w:rPr>
          <w:rFonts w:ascii="Simplified Arabic" w:hAnsi="Simplified Arabic" w:cs="Simplified Arabic" w:hint="cs"/>
          <w:sz w:val="24"/>
          <w:szCs w:val="24"/>
          <w:rtl/>
        </w:rPr>
        <w:t>البقاء و</w:t>
      </w:r>
      <w:r>
        <w:rPr>
          <w:rFonts w:ascii="Simplified Arabic" w:hAnsi="Simplified Arabic" w:cs="Simplified Arabic" w:hint="cs"/>
          <w:sz w:val="24"/>
          <w:szCs w:val="24"/>
          <w:rtl/>
        </w:rPr>
        <w:t>الاستمرار</w:t>
      </w:r>
      <w:r w:rsidRPr="005C0816">
        <w:rPr>
          <w:rFonts w:ascii="Simplified Arabic" w:hAnsi="Simplified Arabic" w:cs="Simplified Arabic"/>
          <w:sz w:val="24"/>
          <w:szCs w:val="24"/>
          <w:rtl/>
        </w:rPr>
        <w:t xml:space="preserve">، كان </w:t>
      </w:r>
      <w:r>
        <w:rPr>
          <w:rFonts w:ascii="Simplified Arabic" w:hAnsi="Simplified Arabic" w:cs="Simplified Arabic" w:hint="cs"/>
          <w:sz w:val="24"/>
          <w:szCs w:val="24"/>
          <w:rtl/>
        </w:rPr>
        <w:t>لابد من</w:t>
      </w:r>
      <w:r w:rsidRPr="005C0816">
        <w:rPr>
          <w:rFonts w:ascii="Simplified Arabic" w:hAnsi="Simplified Arabic" w:cs="Simplified Arabic"/>
          <w:sz w:val="24"/>
          <w:szCs w:val="24"/>
          <w:rtl/>
        </w:rPr>
        <w:t xml:space="preserve"> </w:t>
      </w:r>
      <w:r w:rsidR="00202EF8">
        <w:rPr>
          <w:rFonts w:ascii="Simplified Arabic" w:hAnsi="Simplified Arabic" w:cs="Simplified Arabic" w:hint="cs"/>
          <w:sz w:val="24"/>
          <w:szCs w:val="24"/>
          <w:rtl/>
        </w:rPr>
        <w:t>اعادة البناء و</w:t>
      </w:r>
      <w:r>
        <w:rPr>
          <w:rFonts w:ascii="Simplified Arabic" w:hAnsi="Simplified Arabic" w:cs="Simplified Arabic" w:hint="cs"/>
          <w:sz w:val="24"/>
          <w:szCs w:val="24"/>
          <w:rtl/>
        </w:rPr>
        <w:t>ال</w:t>
      </w:r>
      <w:r w:rsidR="00202EF8">
        <w:rPr>
          <w:rFonts w:ascii="Simplified Arabic" w:hAnsi="Simplified Arabic" w:cs="Simplified Arabic"/>
          <w:sz w:val="24"/>
          <w:szCs w:val="24"/>
          <w:rtl/>
        </w:rPr>
        <w:t>تحول</w:t>
      </w:r>
      <w:r w:rsidR="00202EF8">
        <w:rPr>
          <w:rFonts w:ascii="Simplified Arabic" w:hAnsi="Simplified Arabic" w:cs="Simplified Arabic" w:hint="cs"/>
          <w:sz w:val="24"/>
          <w:szCs w:val="24"/>
          <w:rtl/>
        </w:rPr>
        <w:t>، هذا ما يُسمّى بالتكيف</w:t>
      </w:r>
      <w:r w:rsidRPr="005C0816">
        <w:rPr>
          <w:rFonts w:ascii="Simplified Arabic" w:hAnsi="Simplified Arabic" w:cs="Simplified Arabic"/>
          <w:sz w:val="24"/>
          <w:szCs w:val="24"/>
          <w:rtl/>
        </w:rPr>
        <w:t xml:space="preserve">. يجب </w:t>
      </w:r>
      <w:r>
        <w:rPr>
          <w:rFonts w:ascii="Simplified Arabic" w:hAnsi="Simplified Arabic" w:cs="Simplified Arabic" w:hint="cs"/>
          <w:sz w:val="24"/>
          <w:szCs w:val="24"/>
          <w:rtl/>
        </w:rPr>
        <w:t>الا</w:t>
      </w:r>
      <w:r w:rsidRPr="005C0816">
        <w:rPr>
          <w:rFonts w:ascii="Simplified Arabic" w:hAnsi="Simplified Arabic" w:cs="Simplified Arabic"/>
          <w:sz w:val="24"/>
          <w:szCs w:val="24"/>
          <w:rtl/>
        </w:rPr>
        <w:t>در</w:t>
      </w:r>
      <w:r>
        <w:rPr>
          <w:rFonts w:ascii="Simplified Arabic" w:hAnsi="Simplified Arabic" w:cs="Simplified Arabic" w:hint="cs"/>
          <w:sz w:val="24"/>
          <w:szCs w:val="24"/>
          <w:rtl/>
        </w:rPr>
        <w:t>ا</w:t>
      </w:r>
      <w:r w:rsidRPr="005C0816">
        <w:rPr>
          <w:rFonts w:ascii="Simplified Arabic" w:hAnsi="Simplified Arabic" w:cs="Simplified Arabic"/>
          <w:sz w:val="24"/>
          <w:szCs w:val="24"/>
          <w:rtl/>
        </w:rPr>
        <w:t>ك أنه من الضروري الاقتراب من وقت تحليل طويل حتى نتمكن من دراسة التطورات</w:t>
      </w:r>
      <w:r>
        <w:rPr>
          <w:rFonts w:ascii="Simplified Arabic" w:hAnsi="Simplified Arabic" w:cs="Simplified Arabic" w:hint="cs"/>
          <w:sz w:val="24"/>
          <w:szCs w:val="24"/>
          <w:rtl/>
        </w:rPr>
        <w:t xml:space="preserve"> والتحولات</w:t>
      </w:r>
      <w:r w:rsidRPr="005C0816">
        <w:rPr>
          <w:rFonts w:ascii="Simplified Arabic" w:hAnsi="Simplified Arabic" w:cs="Simplified Arabic"/>
          <w:sz w:val="24"/>
          <w:szCs w:val="24"/>
          <w:rtl/>
        </w:rPr>
        <w:t xml:space="preserve"> الحضرية في مجملها</w:t>
      </w:r>
      <w:r>
        <w:rPr>
          <w:rFonts w:ascii="Simplified Arabic" w:hAnsi="Simplified Arabic" w:cs="Simplified Arabic" w:hint="cs"/>
          <w:sz w:val="24"/>
          <w:szCs w:val="24"/>
          <w:rtl/>
        </w:rPr>
        <w:t xml:space="preserve"> لاستلهام </w:t>
      </w:r>
      <w:r w:rsidR="00962CA4">
        <w:rPr>
          <w:rFonts w:ascii="Simplified Arabic" w:hAnsi="Simplified Arabic" w:cs="Simplified Arabic" w:hint="cs"/>
          <w:sz w:val="24"/>
          <w:szCs w:val="24"/>
          <w:rtl/>
        </w:rPr>
        <w:t>ال</w:t>
      </w:r>
      <w:r>
        <w:rPr>
          <w:rFonts w:ascii="Simplified Arabic" w:hAnsi="Simplified Arabic" w:cs="Simplified Arabic" w:hint="cs"/>
          <w:sz w:val="24"/>
          <w:szCs w:val="24"/>
          <w:rtl/>
        </w:rPr>
        <w:t>دروس من الماضي</w:t>
      </w:r>
      <w:r w:rsidRPr="005C0816">
        <w:rPr>
          <w:rFonts w:ascii="Simplified Arabic" w:hAnsi="Simplified Arabic" w:cs="Simplified Arabic"/>
          <w:sz w:val="24"/>
          <w:szCs w:val="24"/>
          <w:rtl/>
        </w:rPr>
        <w:t xml:space="preserve">. </w:t>
      </w:r>
    </w:p>
    <w:p w:rsidR="00810723" w:rsidRDefault="00E81523" w:rsidP="00AA6BEE">
      <w:pPr>
        <w:tabs>
          <w:tab w:val="right" w:pos="281"/>
          <w:tab w:val="left" w:pos="4305"/>
        </w:tabs>
        <w:bidi/>
        <w:spacing w:after="0"/>
        <w:ind w:firstLine="282"/>
        <w:jc w:val="both"/>
        <w:rPr>
          <w:rFonts w:ascii="Simplified Arabic" w:hAnsi="Simplified Arabic" w:cs="Simplified Arabic"/>
          <w:sz w:val="24"/>
          <w:szCs w:val="24"/>
          <w:rtl/>
        </w:rPr>
      </w:pPr>
      <w:r w:rsidRPr="005C0816">
        <w:rPr>
          <w:rFonts w:ascii="Simplified Arabic" w:hAnsi="Simplified Arabic" w:cs="Simplified Arabic"/>
          <w:sz w:val="24"/>
          <w:szCs w:val="24"/>
          <w:rtl/>
        </w:rPr>
        <w:t xml:space="preserve">هناك مناهج </w:t>
      </w:r>
      <w:r w:rsidR="0035126A">
        <w:rPr>
          <w:rFonts w:ascii="Simplified Arabic" w:hAnsi="Simplified Arabic" w:cs="Simplified Arabic" w:hint="cs"/>
          <w:sz w:val="24"/>
          <w:szCs w:val="24"/>
          <w:rtl/>
        </w:rPr>
        <w:t>تقبل</w:t>
      </w:r>
      <w:r w:rsidRPr="005C0816">
        <w:rPr>
          <w:rFonts w:ascii="Simplified Arabic" w:hAnsi="Simplified Arabic" w:cs="Simplified Arabic"/>
          <w:sz w:val="24"/>
          <w:szCs w:val="24"/>
          <w:rtl/>
        </w:rPr>
        <w:t xml:space="preserve"> </w:t>
      </w:r>
      <w:r w:rsidR="0035126A">
        <w:rPr>
          <w:rFonts w:ascii="Simplified Arabic" w:hAnsi="Simplified Arabic" w:cs="Simplified Arabic" w:hint="cs"/>
          <w:sz w:val="24"/>
          <w:szCs w:val="24"/>
          <w:rtl/>
        </w:rPr>
        <w:t>ب</w:t>
      </w:r>
      <w:r w:rsidRPr="005C0816">
        <w:rPr>
          <w:rFonts w:ascii="Simplified Arabic" w:hAnsi="Simplified Arabic" w:cs="Simplified Arabic"/>
          <w:sz w:val="24"/>
          <w:szCs w:val="24"/>
          <w:rtl/>
        </w:rPr>
        <w:t xml:space="preserve">فكرة أن المدينة </w:t>
      </w:r>
      <w:r>
        <w:rPr>
          <w:rFonts w:ascii="Simplified Arabic" w:hAnsi="Simplified Arabic" w:cs="Simplified Arabic" w:hint="cs"/>
          <w:sz w:val="24"/>
          <w:szCs w:val="24"/>
          <w:rtl/>
        </w:rPr>
        <w:t>المرنة</w:t>
      </w:r>
      <w:r w:rsidRPr="005C0816">
        <w:rPr>
          <w:rFonts w:ascii="Simplified Arabic" w:hAnsi="Simplified Arabic" w:cs="Simplified Arabic"/>
          <w:sz w:val="24"/>
          <w:szCs w:val="24"/>
          <w:rtl/>
        </w:rPr>
        <w:t xml:space="preserve"> هي </w:t>
      </w:r>
      <w:r>
        <w:rPr>
          <w:rFonts w:ascii="Simplified Arabic" w:hAnsi="Simplified Arabic" w:cs="Simplified Arabic" w:hint="cs"/>
          <w:sz w:val="24"/>
          <w:szCs w:val="24"/>
          <w:rtl/>
        </w:rPr>
        <w:t xml:space="preserve">كل </w:t>
      </w:r>
      <w:r w:rsidRPr="005C0816">
        <w:rPr>
          <w:rFonts w:ascii="Simplified Arabic" w:hAnsi="Simplified Arabic" w:cs="Simplified Arabic"/>
          <w:sz w:val="24"/>
          <w:szCs w:val="24"/>
          <w:rtl/>
        </w:rPr>
        <w:t xml:space="preserve">مدينة أعيد بناؤها، </w:t>
      </w:r>
      <w:r w:rsidR="00022266">
        <w:rPr>
          <w:rFonts w:ascii="Simplified Arabic" w:hAnsi="Simplified Arabic" w:cs="Simplified Arabic" w:hint="cs"/>
          <w:sz w:val="24"/>
          <w:szCs w:val="24"/>
          <w:rtl/>
        </w:rPr>
        <w:t>بعد</w:t>
      </w:r>
      <w:r>
        <w:rPr>
          <w:rFonts w:ascii="Simplified Arabic" w:hAnsi="Simplified Arabic" w:cs="Simplified Arabic" w:hint="cs"/>
          <w:sz w:val="24"/>
          <w:szCs w:val="24"/>
          <w:rtl/>
        </w:rPr>
        <w:t xml:space="preserve"> تعرض</w:t>
      </w:r>
      <w:r w:rsidR="00022266">
        <w:rPr>
          <w:rFonts w:ascii="Simplified Arabic" w:hAnsi="Simplified Arabic" w:cs="Simplified Arabic" w:hint="cs"/>
          <w:sz w:val="24"/>
          <w:szCs w:val="24"/>
          <w:rtl/>
        </w:rPr>
        <w:t>ها</w:t>
      </w:r>
      <w:r>
        <w:rPr>
          <w:rFonts w:ascii="Simplified Arabic" w:hAnsi="Simplified Arabic" w:cs="Simplified Arabic" w:hint="cs"/>
          <w:sz w:val="24"/>
          <w:szCs w:val="24"/>
          <w:rtl/>
        </w:rPr>
        <w:t xml:space="preserve"> ل</w:t>
      </w:r>
      <w:r w:rsidRPr="005C0816">
        <w:rPr>
          <w:rFonts w:ascii="Simplified Arabic" w:hAnsi="Simplified Arabic" w:cs="Simplified Arabic"/>
          <w:sz w:val="24"/>
          <w:szCs w:val="24"/>
          <w:rtl/>
        </w:rPr>
        <w:t>لضرر و</w:t>
      </w:r>
      <w:r w:rsidR="00022266">
        <w:rPr>
          <w:rFonts w:ascii="Simplified Arabic" w:hAnsi="Simplified Arabic" w:cs="Simplified Arabic" w:hint="cs"/>
          <w:sz w:val="24"/>
          <w:szCs w:val="24"/>
          <w:rtl/>
        </w:rPr>
        <w:t>ال</w:t>
      </w:r>
      <w:r w:rsidRPr="005C0816">
        <w:rPr>
          <w:rFonts w:ascii="Simplified Arabic" w:hAnsi="Simplified Arabic" w:cs="Simplified Arabic"/>
          <w:sz w:val="24"/>
          <w:szCs w:val="24"/>
          <w:rtl/>
        </w:rPr>
        <w:t>تعاف</w:t>
      </w:r>
      <w:r w:rsidR="00022266">
        <w:rPr>
          <w:rFonts w:ascii="Simplified Arabic" w:hAnsi="Simplified Arabic" w:cs="Simplified Arabic" w:hint="cs"/>
          <w:sz w:val="24"/>
          <w:szCs w:val="24"/>
          <w:rtl/>
        </w:rPr>
        <w:t>ي</w:t>
      </w:r>
      <w:r w:rsidRPr="005C0816">
        <w:rPr>
          <w:rFonts w:ascii="Simplified Arabic" w:hAnsi="Simplified Arabic" w:cs="Simplified Arabic"/>
          <w:sz w:val="24"/>
          <w:szCs w:val="24"/>
          <w:rtl/>
        </w:rPr>
        <w:t xml:space="preserve"> منه. </w:t>
      </w:r>
      <w:r>
        <w:rPr>
          <w:rFonts w:ascii="Simplified Arabic" w:hAnsi="Simplified Arabic" w:cs="Simplified Arabic" w:hint="cs"/>
          <w:sz w:val="24"/>
          <w:szCs w:val="24"/>
          <w:rtl/>
        </w:rPr>
        <w:t>لذلك</w:t>
      </w:r>
      <w:r w:rsidRPr="005C0816">
        <w:rPr>
          <w:rFonts w:ascii="Simplified Arabic" w:hAnsi="Simplified Arabic" w:cs="Simplified Arabic"/>
          <w:sz w:val="24"/>
          <w:szCs w:val="24"/>
          <w:rtl/>
        </w:rPr>
        <w:t xml:space="preserve">، فإن نهج </w:t>
      </w:r>
      <w:r w:rsidR="00026FEB">
        <w:rPr>
          <w:rFonts w:ascii="Simplified Arabic" w:hAnsi="Simplified Arabic" w:cs="Simplified Arabic" w:hint="cs"/>
          <w:sz w:val="24"/>
          <w:szCs w:val="24"/>
          <w:rtl/>
        </w:rPr>
        <w:t>''</w:t>
      </w:r>
      <w:r w:rsidRPr="005C0816">
        <w:rPr>
          <w:rFonts w:ascii="Simplified Arabic" w:hAnsi="Simplified Arabic" w:cs="Simplified Arabic"/>
          <w:sz w:val="24"/>
          <w:szCs w:val="24"/>
          <w:rtl/>
        </w:rPr>
        <w:t>إعادة البناء</w:t>
      </w:r>
      <w:r w:rsidR="00026FE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00022266">
        <w:rPr>
          <w:rFonts w:ascii="Simplified Arabic" w:hAnsi="Simplified Arabic" w:cs="Simplified Arabic" w:hint="cs"/>
          <w:sz w:val="24"/>
          <w:szCs w:val="24"/>
          <w:rtl/>
        </w:rPr>
        <w:t>يقبل</w:t>
      </w:r>
      <w:r w:rsidRPr="005C0816">
        <w:rPr>
          <w:rFonts w:ascii="Simplified Arabic" w:hAnsi="Simplified Arabic" w:cs="Simplified Arabic"/>
          <w:sz w:val="24"/>
          <w:szCs w:val="24"/>
          <w:rtl/>
        </w:rPr>
        <w:t xml:space="preserve"> إعادة البناء في أعقاب </w:t>
      </w:r>
      <w:r w:rsidR="00022266">
        <w:rPr>
          <w:rFonts w:ascii="Simplified Arabic" w:hAnsi="Simplified Arabic" w:cs="Simplified Arabic" w:hint="cs"/>
          <w:sz w:val="24"/>
          <w:szCs w:val="24"/>
          <w:rtl/>
        </w:rPr>
        <w:t>التعرض ل</w:t>
      </w:r>
      <w:r w:rsidRPr="005C0816">
        <w:rPr>
          <w:rFonts w:ascii="Simplified Arabic" w:hAnsi="Simplified Arabic" w:cs="Simplified Arabic"/>
          <w:sz w:val="24"/>
          <w:szCs w:val="24"/>
          <w:rtl/>
        </w:rPr>
        <w:t xml:space="preserve">لصدمات الخارجية </w:t>
      </w:r>
      <w:r w:rsidR="0035126A" w:rsidRPr="0035126A">
        <w:rPr>
          <w:rFonts w:asciiTheme="majorBidi" w:hAnsiTheme="majorBidi" w:cstheme="majorBidi"/>
          <w:sz w:val="24"/>
          <w:szCs w:val="24"/>
        </w:rPr>
        <w:t>(Campanella, 2006)</w:t>
      </w:r>
      <w:r w:rsidRPr="005C0816">
        <w:rPr>
          <w:rFonts w:ascii="Simplified Arabic" w:hAnsi="Simplified Arabic" w:cs="Simplified Arabic"/>
          <w:sz w:val="24"/>
          <w:szCs w:val="24"/>
          <w:rtl/>
        </w:rPr>
        <w:t xml:space="preserve">. </w:t>
      </w:r>
      <w:r w:rsidR="00962CA4">
        <w:rPr>
          <w:rFonts w:ascii="Simplified Arabic" w:hAnsi="Simplified Arabic" w:cs="Simplified Arabic" w:hint="cs"/>
          <w:sz w:val="24"/>
          <w:szCs w:val="24"/>
          <w:rtl/>
        </w:rPr>
        <w:t>من الضروري</w:t>
      </w:r>
      <w:r w:rsidRPr="005C0816">
        <w:rPr>
          <w:rFonts w:ascii="Simplified Arabic" w:hAnsi="Simplified Arabic" w:cs="Simplified Arabic"/>
          <w:sz w:val="24"/>
          <w:szCs w:val="24"/>
          <w:rtl/>
        </w:rPr>
        <w:t xml:space="preserve"> طرح الأسئلة المتعلقة ببقايا الصدم</w:t>
      </w:r>
      <w:r w:rsidR="00962CA4">
        <w:rPr>
          <w:rFonts w:ascii="Simplified Arabic" w:hAnsi="Simplified Arabic" w:cs="Simplified Arabic" w:hint="cs"/>
          <w:sz w:val="24"/>
          <w:szCs w:val="24"/>
          <w:rtl/>
        </w:rPr>
        <w:t>ات ''آثار الكارثة''</w:t>
      </w:r>
      <w:r w:rsidRPr="005C081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هل ينبغي للمدينة المرنة محو </w:t>
      </w:r>
      <w:r w:rsidRPr="005C0816">
        <w:rPr>
          <w:rFonts w:ascii="Simplified Arabic" w:hAnsi="Simplified Arabic" w:cs="Simplified Arabic"/>
          <w:sz w:val="24"/>
          <w:szCs w:val="24"/>
          <w:rtl/>
        </w:rPr>
        <w:t>آثار</w:t>
      </w:r>
      <w:r>
        <w:rPr>
          <w:rFonts w:ascii="Simplified Arabic" w:hAnsi="Simplified Arabic" w:cs="Simplified Arabic" w:hint="cs"/>
          <w:sz w:val="24"/>
          <w:szCs w:val="24"/>
          <w:rtl/>
        </w:rPr>
        <w:t xml:space="preserve"> الكارثة واعادة البناء بشكل مماثل لما قبل الحدث والعودة للوضعية السابقة للاستمرار؟ هل ينبغي </w:t>
      </w:r>
      <w:r w:rsidRPr="005C0816">
        <w:rPr>
          <w:rFonts w:ascii="Simplified Arabic" w:hAnsi="Simplified Arabic" w:cs="Simplified Arabic" w:hint="cs"/>
          <w:sz w:val="24"/>
          <w:szCs w:val="24"/>
          <w:rtl/>
        </w:rPr>
        <w:t>استخد</w:t>
      </w:r>
      <w:r>
        <w:rPr>
          <w:rFonts w:ascii="Simplified Arabic" w:hAnsi="Simplified Arabic" w:cs="Simplified Arabic" w:hint="cs"/>
          <w:sz w:val="24"/>
          <w:szCs w:val="24"/>
          <w:rtl/>
        </w:rPr>
        <w:t>ا</w:t>
      </w:r>
      <w:r w:rsidRPr="005C0816">
        <w:rPr>
          <w:rFonts w:ascii="Simplified Arabic" w:hAnsi="Simplified Arabic" w:cs="Simplified Arabic" w:hint="cs"/>
          <w:sz w:val="24"/>
          <w:szCs w:val="24"/>
          <w:rtl/>
        </w:rPr>
        <w:t>م</w:t>
      </w:r>
      <w:r w:rsidRPr="005C0816">
        <w:rPr>
          <w:rFonts w:ascii="Simplified Arabic" w:hAnsi="Simplified Arabic" w:cs="Simplified Arabic"/>
          <w:sz w:val="24"/>
          <w:szCs w:val="24"/>
          <w:rtl/>
        </w:rPr>
        <w:t xml:space="preserve"> الكارثة كفرصة </w:t>
      </w:r>
      <w:r>
        <w:rPr>
          <w:rFonts w:ascii="Simplified Arabic" w:hAnsi="Simplified Arabic" w:cs="Simplified Arabic" w:hint="cs"/>
          <w:sz w:val="24"/>
          <w:szCs w:val="24"/>
          <w:rtl/>
        </w:rPr>
        <w:t>لإ</w:t>
      </w:r>
      <w:r w:rsidRPr="005C0816">
        <w:rPr>
          <w:rFonts w:ascii="Simplified Arabic" w:hAnsi="Simplified Arabic" w:cs="Simplified Arabic" w:hint="cs"/>
          <w:sz w:val="24"/>
          <w:szCs w:val="24"/>
          <w:rtl/>
        </w:rPr>
        <w:t>عادة</w:t>
      </w:r>
      <w:r w:rsidRPr="005C0816">
        <w:rPr>
          <w:rFonts w:ascii="Simplified Arabic" w:hAnsi="Simplified Arabic" w:cs="Simplified Arabic"/>
          <w:sz w:val="24"/>
          <w:szCs w:val="24"/>
          <w:rtl/>
        </w:rPr>
        <w:t xml:space="preserve"> البناء بطريقة جديدة؟. فيما يتعلق بمخاطر الفيضانات، كيف يمكن التوفيق بين الحاجة إلى </w:t>
      </w:r>
      <w:r>
        <w:rPr>
          <w:rFonts w:ascii="Simplified Arabic" w:hAnsi="Simplified Arabic" w:cs="Simplified Arabic" w:hint="cs"/>
          <w:sz w:val="24"/>
          <w:szCs w:val="24"/>
          <w:rtl/>
        </w:rPr>
        <w:t>ال</w:t>
      </w:r>
      <w:r w:rsidRPr="005C0816">
        <w:rPr>
          <w:rFonts w:ascii="Simplified Arabic" w:hAnsi="Simplified Arabic" w:cs="Simplified Arabic"/>
          <w:sz w:val="24"/>
          <w:szCs w:val="24"/>
          <w:rtl/>
        </w:rPr>
        <w:t xml:space="preserve">حماية والحاجة إلى </w:t>
      </w:r>
      <w:r w:rsidR="00022266">
        <w:rPr>
          <w:rFonts w:ascii="Simplified Arabic" w:hAnsi="Simplified Arabic" w:cs="Simplified Arabic" w:hint="cs"/>
          <w:sz w:val="24"/>
          <w:szCs w:val="24"/>
          <w:rtl/>
        </w:rPr>
        <w:t>اعادة البناء و</w:t>
      </w:r>
      <w:r w:rsidR="001C59C1">
        <w:rPr>
          <w:rFonts w:ascii="Simplified Arabic" w:hAnsi="Simplified Arabic" w:cs="Simplified Arabic"/>
          <w:sz w:val="24"/>
          <w:szCs w:val="24"/>
          <w:rtl/>
        </w:rPr>
        <w:t>التحول والتكيف؟</w:t>
      </w:r>
      <w:r w:rsidR="001C59C1">
        <w:rPr>
          <w:rFonts w:ascii="Simplified Arabic" w:hAnsi="Simplified Arabic" w:cs="Simplified Arabic" w:hint="cs"/>
          <w:sz w:val="24"/>
          <w:szCs w:val="24"/>
          <w:rtl/>
        </w:rPr>
        <w:t xml:space="preserve"> من وجهة نظر البحث</w:t>
      </w:r>
      <w:r w:rsidRPr="005C0816">
        <w:rPr>
          <w:rFonts w:ascii="Simplified Arabic" w:hAnsi="Simplified Arabic" w:cs="Simplified Arabic"/>
          <w:sz w:val="24"/>
          <w:szCs w:val="24"/>
          <w:rtl/>
        </w:rPr>
        <w:t xml:space="preserve">، يجب النظر في </w:t>
      </w:r>
      <w:r w:rsidR="00410D9F">
        <w:rPr>
          <w:rFonts w:ascii="Simplified Arabic" w:hAnsi="Simplified Arabic" w:cs="Simplified Arabic" w:hint="cs"/>
          <w:sz w:val="24"/>
          <w:szCs w:val="24"/>
          <w:rtl/>
        </w:rPr>
        <w:t xml:space="preserve">زمنية </w:t>
      </w:r>
      <w:r>
        <w:rPr>
          <w:rFonts w:ascii="Simplified Arabic" w:hAnsi="Simplified Arabic" w:cs="Simplified Arabic" w:hint="cs"/>
          <w:sz w:val="24"/>
          <w:szCs w:val="24"/>
          <w:rtl/>
        </w:rPr>
        <w:t>مرونة</w:t>
      </w:r>
      <w:r w:rsidRPr="005C0816">
        <w:rPr>
          <w:rFonts w:ascii="Simplified Arabic" w:hAnsi="Simplified Arabic" w:cs="Simplified Arabic"/>
          <w:sz w:val="24"/>
          <w:szCs w:val="24"/>
          <w:rtl/>
        </w:rPr>
        <w:t xml:space="preserve"> المدينة </w:t>
      </w:r>
      <w:r w:rsidR="001C59C1">
        <w:rPr>
          <w:rFonts w:ascii="Simplified Arabic" w:hAnsi="Simplified Arabic" w:cs="Simplified Arabic" w:hint="cs"/>
          <w:sz w:val="24"/>
          <w:szCs w:val="24"/>
          <w:rtl/>
        </w:rPr>
        <w:t>لموا</w:t>
      </w:r>
      <w:r w:rsidRPr="005C0816">
        <w:rPr>
          <w:rFonts w:ascii="Simplified Arabic" w:hAnsi="Simplified Arabic" w:cs="Simplified Arabic"/>
          <w:sz w:val="24"/>
          <w:szCs w:val="24"/>
          <w:rtl/>
        </w:rPr>
        <w:t>جه</w:t>
      </w:r>
      <w:r w:rsidR="001C59C1">
        <w:rPr>
          <w:rFonts w:ascii="Simplified Arabic" w:hAnsi="Simplified Arabic" w:cs="Simplified Arabic" w:hint="cs"/>
          <w:sz w:val="24"/>
          <w:szCs w:val="24"/>
          <w:rtl/>
        </w:rPr>
        <w:t>ة</w:t>
      </w:r>
      <w:r w:rsidRPr="005C0816">
        <w:rPr>
          <w:rFonts w:ascii="Simplified Arabic" w:hAnsi="Simplified Arabic" w:cs="Simplified Arabic"/>
          <w:sz w:val="24"/>
          <w:szCs w:val="24"/>
          <w:rtl/>
        </w:rPr>
        <w:t xml:space="preserve"> الفيضانات على المدى القصير والطويل.</w:t>
      </w:r>
      <w:r w:rsidR="000056E4">
        <w:rPr>
          <w:rFonts w:ascii="Simplified Arabic" w:hAnsi="Simplified Arabic" w:cs="Simplified Arabic"/>
          <w:sz w:val="24"/>
          <w:szCs w:val="24"/>
        </w:rPr>
        <w:t xml:space="preserve"> </w:t>
      </w:r>
      <w:r w:rsidRPr="005C0816">
        <w:rPr>
          <w:rFonts w:ascii="Simplified Arabic" w:hAnsi="Simplified Arabic" w:cs="Simplified Arabic" w:hint="cs"/>
          <w:sz w:val="24"/>
          <w:szCs w:val="24"/>
          <w:rtl/>
        </w:rPr>
        <w:t>يتم</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تفسير</w:t>
      </w:r>
      <w:r w:rsidRPr="005C0816">
        <w:rPr>
          <w:rFonts w:ascii="Simplified Arabic" w:hAnsi="Simplified Arabic" w:cs="Simplified Arabic"/>
          <w:sz w:val="24"/>
          <w:szCs w:val="24"/>
          <w:rtl/>
        </w:rPr>
        <w:t xml:space="preserve"> </w:t>
      </w:r>
      <w:r w:rsidR="00AA6BEE">
        <w:rPr>
          <w:rFonts w:ascii="Simplified Arabic" w:hAnsi="Simplified Arabic" w:cs="Simplified Arabic" w:hint="cs"/>
          <w:sz w:val="24"/>
          <w:szCs w:val="24"/>
          <w:rtl/>
        </w:rPr>
        <w:t>المدى</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القصير</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بالحاجة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إلى</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اقتراح</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الحلول</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والنمذجة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التي</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من</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شأنها</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أن</w:t>
      </w:r>
      <w:r w:rsidRPr="005C0816">
        <w:rPr>
          <w:rFonts w:ascii="Simplified Arabic" w:hAnsi="Simplified Arabic" w:cs="Simplified Arabic"/>
          <w:sz w:val="24"/>
          <w:szCs w:val="24"/>
          <w:rtl/>
        </w:rPr>
        <w:t xml:space="preserve"> </w:t>
      </w:r>
      <w:r w:rsidR="001C59C1">
        <w:rPr>
          <w:rFonts w:ascii="Simplified Arabic" w:hAnsi="Simplified Arabic" w:cs="Simplified Arabic" w:hint="cs"/>
          <w:sz w:val="24"/>
          <w:szCs w:val="24"/>
          <w:rtl/>
        </w:rPr>
        <w:t>تسمح</w:t>
      </w:r>
      <w:r w:rsidRPr="005C0816">
        <w:rPr>
          <w:rFonts w:ascii="Simplified Arabic" w:hAnsi="Simplified Arabic" w:cs="Simplified Arabic"/>
          <w:sz w:val="24"/>
          <w:szCs w:val="24"/>
          <w:rtl/>
        </w:rPr>
        <w:t xml:space="preserve"> </w:t>
      </w:r>
      <w:r w:rsidR="001C59C1">
        <w:rPr>
          <w:rFonts w:ascii="Simplified Arabic" w:hAnsi="Simplified Arabic" w:cs="Simplified Arabic" w:hint="cs"/>
          <w:sz w:val="24"/>
          <w:szCs w:val="24"/>
          <w:rtl/>
        </w:rPr>
        <w:t>ب</w:t>
      </w:r>
      <w:r w:rsidRPr="005C0816">
        <w:rPr>
          <w:rFonts w:ascii="Simplified Arabic" w:hAnsi="Simplified Arabic" w:cs="Simplified Arabic" w:hint="cs"/>
          <w:sz w:val="24"/>
          <w:szCs w:val="24"/>
          <w:rtl/>
        </w:rPr>
        <w:t>إنشاء</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سيناريوهات</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احتمالية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وتوجيه</w:t>
      </w:r>
      <w:r w:rsidRPr="005C0816">
        <w:rPr>
          <w:rFonts w:ascii="Simplified Arabic" w:hAnsi="Simplified Arabic" w:cs="Simplified Arabic"/>
          <w:sz w:val="24"/>
          <w:szCs w:val="24"/>
          <w:rtl/>
        </w:rPr>
        <w:t xml:space="preserve"> </w:t>
      </w:r>
      <w:r w:rsidR="001C59C1">
        <w:rPr>
          <w:rFonts w:ascii="Simplified Arabic" w:hAnsi="Simplified Arabic" w:cs="Simplified Arabic" w:hint="cs"/>
          <w:sz w:val="24"/>
          <w:szCs w:val="24"/>
          <w:rtl/>
        </w:rPr>
        <w:t>عملية تسيير</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المخاطر</w:t>
      </w:r>
      <w:r w:rsidRPr="005C0816">
        <w:rPr>
          <w:rFonts w:ascii="Simplified Arabic" w:hAnsi="Simplified Arabic" w:cs="Simplified Arabic"/>
          <w:sz w:val="24"/>
          <w:szCs w:val="24"/>
          <w:rtl/>
        </w:rPr>
        <w:t xml:space="preserve">. </w:t>
      </w:r>
      <w:r>
        <w:rPr>
          <w:rFonts w:ascii="Simplified Arabic" w:hAnsi="Simplified Arabic" w:cs="Simplified Arabic" w:hint="cs"/>
          <w:sz w:val="24"/>
          <w:szCs w:val="24"/>
          <w:rtl/>
        </w:rPr>
        <w:t>بينما يفسر</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المدى</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الطويل</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بشكل</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أكبر</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إلى</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تحويل</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المدينة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ونهجها</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تجاه</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المخاطر،</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لجعل</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المدينة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مرنة</w:t>
      </w:r>
      <w:r>
        <w:rPr>
          <w:rFonts w:ascii="Simplified Arabic" w:hAnsi="Simplified Arabic" w:cs="Simplified Arabic" w:hint="cs"/>
          <w:sz w:val="24"/>
          <w:szCs w:val="24"/>
          <w:rtl/>
        </w:rPr>
        <w:t xml:space="preserve"> و</w:t>
      </w:r>
      <w:r w:rsidRPr="005C0816">
        <w:rPr>
          <w:rFonts w:ascii="Simplified Arabic" w:hAnsi="Simplified Arabic" w:cs="Simplified Arabic" w:hint="cs"/>
          <w:sz w:val="24"/>
          <w:szCs w:val="24"/>
          <w:rtl/>
        </w:rPr>
        <w:t>أكثر</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قدرة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على</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التكيف،</w:t>
      </w:r>
      <w:r w:rsidRPr="005C0816">
        <w:rPr>
          <w:rFonts w:ascii="Simplified Arabic" w:hAnsi="Simplified Arabic" w:cs="Simplified Arabic"/>
          <w:sz w:val="24"/>
          <w:szCs w:val="24"/>
          <w:rtl/>
        </w:rPr>
        <w:t xml:space="preserve"> </w:t>
      </w:r>
      <w:r>
        <w:rPr>
          <w:rFonts w:ascii="Simplified Arabic" w:hAnsi="Simplified Arabic" w:cs="Simplified Arabic" w:hint="cs"/>
          <w:sz w:val="24"/>
          <w:szCs w:val="24"/>
          <w:rtl/>
        </w:rPr>
        <w:t>هذه العملية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تتطلب</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فترات</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طويلة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من</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الوقت</w:t>
      </w:r>
      <w:r w:rsidRPr="005C0816">
        <w:rPr>
          <w:rFonts w:ascii="Simplified Arabic" w:hAnsi="Simplified Arabic" w:cs="Simplified Arabic"/>
          <w:sz w:val="24"/>
          <w:szCs w:val="24"/>
          <w:rtl/>
        </w:rPr>
        <w:t xml:space="preserve"> </w:t>
      </w:r>
      <w:r w:rsidR="000056E4" w:rsidRPr="000056E4">
        <w:rPr>
          <w:rFonts w:asciiTheme="majorBidi" w:hAnsiTheme="majorBidi" w:cstheme="majorBidi"/>
          <w:sz w:val="24"/>
          <w:szCs w:val="24"/>
        </w:rPr>
        <w:t>(Serre, 2011)</w:t>
      </w:r>
      <w:r w:rsidRPr="005C0816">
        <w:rPr>
          <w:rFonts w:ascii="Simplified Arabic" w:hAnsi="Simplified Arabic" w:cs="Simplified Arabic"/>
          <w:sz w:val="24"/>
          <w:szCs w:val="24"/>
          <w:rtl/>
        </w:rPr>
        <w:t>.</w:t>
      </w:r>
    </w:p>
    <w:p w:rsidR="00C13735" w:rsidRPr="00C13735" w:rsidRDefault="00C13735" w:rsidP="0002788C">
      <w:pPr>
        <w:pStyle w:val="Paragraphedeliste"/>
        <w:numPr>
          <w:ilvl w:val="2"/>
          <w:numId w:val="268"/>
        </w:numPr>
        <w:bidi/>
        <w:spacing w:before="240" w:after="0"/>
        <w:jc w:val="both"/>
        <w:outlineLvl w:val="1"/>
        <w:rPr>
          <w:rFonts w:ascii="Simplified Arabic" w:hAnsi="Simplified Arabic" w:cs="Simplified Arabic"/>
          <w:b/>
          <w:bCs/>
          <w:color w:val="000000" w:themeColor="text1"/>
          <w:sz w:val="24"/>
          <w:szCs w:val="24"/>
          <w:rtl/>
          <w:lang w:bidi="ar-DZ"/>
        </w:rPr>
      </w:pPr>
      <w:bookmarkStart w:id="264" w:name="_Toc171803416"/>
      <w:r w:rsidRPr="00C13735">
        <w:rPr>
          <w:rFonts w:ascii="Simplified Arabic" w:hAnsi="Simplified Arabic" w:cs="Simplified Arabic" w:hint="cs"/>
          <w:b/>
          <w:bCs/>
          <w:color w:val="000000" w:themeColor="text1"/>
          <w:sz w:val="24"/>
          <w:szCs w:val="24"/>
          <w:rtl/>
          <w:lang w:bidi="ar-DZ"/>
        </w:rPr>
        <w:t>أمثلة</w:t>
      </w:r>
      <w:r w:rsidRPr="005C0816">
        <w:rPr>
          <w:rFonts w:ascii="Simplified Arabic" w:hAnsi="Simplified Arabic" w:cs="Simplified Arabic"/>
          <w:sz w:val="24"/>
          <w:szCs w:val="24"/>
          <w:rtl/>
        </w:rPr>
        <w:t xml:space="preserve"> </w:t>
      </w:r>
      <w:r w:rsidRPr="00C13735">
        <w:rPr>
          <w:rFonts w:ascii="Simplified Arabic" w:hAnsi="Simplified Arabic" w:cs="Simplified Arabic" w:hint="cs"/>
          <w:b/>
          <w:bCs/>
          <w:color w:val="000000" w:themeColor="text1"/>
          <w:sz w:val="24"/>
          <w:szCs w:val="24"/>
          <w:rtl/>
          <w:lang w:bidi="ar-DZ"/>
        </w:rPr>
        <w:t>على</w:t>
      </w:r>
      <w:r w:rsidRPr="005C0816">
        <w:rPr>
          <w:rFonts w:ascii="Simplified Arabic" w:hAnsi="Simplified Arabic" w:cs="Simplified Arabic"/>
          <w:sz w:val="24"/>
          <w:szCs w:val="24"/>
          <w:rtl/>
        </w:rPr>
        <w:t xml:space="preserve"> </w:t>
      </w:r>
      <w:r w:rsidRPr="00C13735">
        <w:rPr>
          <w:rFonts w:ascii="Simplified Arabic" w:hAnsi="Simplified Arabic" w:cs="Simplified Arabic" w:hint="cs"/>
          <w:b/>
          <w:bCs/>
          <w:color w:val="000000" w:themeColor="text1"/>
          <w:sz w:val="24"/>
          <w:szCs w:val="24"/>
          <w:rtl/>
          <w:lang w:bidi="ar-DZ"/>
        </w:rPr>
        <w:t>مشاريع</w:t>
      </w:r>
      <w:r w:rsidRPr="005C0816">
        <w:rPr>
          <w:rFonts w:ascii="Simplified Arabic" w:hAnsi="Simplified Arabic" w:cs="Simplified Arabic"/>
          <w:sz w:val="24"/>
          <w:szCs w:val="24"/>
          <w:rtl/>
        </w:rPr>
        <w:t xml:space="preserve"> </w:t>
      </w:r>
      <w:r w:rsidRPr="00C13735">
        <w:rPr>
          <w:rFonts w:ascii="Simplified Arabic" w:hAnsi="Simplified Arabic" w:cs="Simplified Arabic" w:hint="cs"/>
          <w:b/>
          <w:bCs/>
          <w:color w:val="000000" w:themeColor="text1"/>
          <w:sz w:val="24"/>
          <w:szCs w:val="24"/>
          <w:rtl/>
          <w:lang w:bidi="ar-DZ"/>
        </w:rPr>
        <w:t>المرونة</w:t>
      </w:r>
      <w:bookmarkEnd w:id="264"/>
    </w:p>
    <w:p w:rsidR="00962CA4" w:rsidRPr="005C0816" w:rsidRDefault="00962CA4" w:rsidP="0042038B">
      <w:pPr>
        <w:bidi/>
        <w:spacing w:after="0"/>
        <w:ind w:firstLine="283"/>
        <w:jc w:val="both"/>
        <w:rPr>
          <w:rFonts w:ascii="Simplified Arabic" w:hAnsi="Simplified Arabic" w:cs="Simplified Arabic"/>
          <w:sz w:val="24"/>
          <w:szCs w:val="24"/>
        </w:rPr>
      </w:pPr>
      <w:r w:rsidRPr="005C0816">
        <w:rPr>
          <w:rFonts w:ascii="Simplified Arabic" w:hAnsi="Simplified Arabic" w:cs="Simplified Arabic" w:hint="cs"/>
          <w:sz w:val="24"/>
          <w:szCs w:val="24"/>
          <w:rtl/>
        </w:rPr>
        <w:t>يجب</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على</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المدينة</w:t>
      </w:r>
      <w:r w:rsidRPr="005C0816">
        <w:rPr>
          <w:rFonts w:ascii="Simplified Arabic" w:hAnsi="Simplified Arabic" w:cs="Simplified Arabic"/>
          <w:sz w:val="24"/>
          <w:szCs w:val="24"/>
          <w:rtl/>
        </w:rPr>
        <w:t xml:space="preserve"> </w:t>
      </w:r>
      <w:r w:rsidR="00E5011D">
        <w:rPr>
          <w:rFonts w:ascii="Simplified Arabic" w:hAnsi="Simplified Arabic" w:cs="Simplified Arabic" w:hint="cs"/>
          <w:sz w:val="24"/>
          <w:szCs w:val="24"/>
          <w:rtl/>
        </w:rPr>
        <w:t>المرنة تجاه</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الفيضانات</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أن</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تدمج</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كل</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عناصر</w:t>
      </w:r>
      <w:r w:rsidRPr="005C0816">
        <w:rPr>
          <w:rFonts w:ascii="Simplified Arabic" w:hAnsi="Simplified Arabic" w:cs="Simplified Arabic"/>
          <w:sz w:val="24"/>
          <w:szCs w:val="24"/>
          <w:rtl/>
        </w:rPr>
        <w:t xml:space="preserve"> </w:t>
      </w:r>
      <w:r w:rsidR="00E5011D">
        <w:rPr>
          <w:rFonts w:ascii="Simplified Arabic" w:hAnsi="Simplified Arabic" w:cs="Simplified Arabic" w:hint="cs"/>
          <w:sz w:val="24"/>
          <w:szCs w:val="24"/>
          <w:rtl/>
        </w:rPr>
        <w:t xml:space="preserve">النظام </w:t>
      </w:r>
      <w:r w:rsidRPr="005C0816">
        <w:rPr>
          <w:rFonts w:ascii="Simplified Arabic" w:hAnsi="Simplified Arabic" w:cs="Simplified Arabic" w:hint="cs"/>
          <w:sz w:val="24"/>
          <w:szCs w:val="24"/>
          <w:rtl/>
        </w:rPr>
        <w:t>من</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أجل</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إعداد</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المدينة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وسكانها</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لمواجهة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الفيضانات</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المت</w:t>
      </w:r>
      <w:r w:rsidR="00E5011D">
        <w:rPr>
          <w:rFonts w:ascii="Simplified Arabic" w:hAnsi="Simplified Arabic" w:cs="Simplified Arabic" w:hint="cs"/>
          <w:sz w:val="24"/>
          <w:szCs w:val="24"/>
          <w:rtl/>
        </w:rPr>
        <w:t>واتر</w:t>
      </w:r>
      <w:r w:rsidRPr="005C0816">
        <w:rPr>
          <w:rFonts w:ascii="Simplified Arabic" w:hAnsi="Simplified Arabic" w:cs="Simplified Arabic" w:hint="cs"/>
          <w:sz w:val="24"/>
          <w:szCs w:val="24"/>
          <w:rtl/>
        </w:rPr>
        <w:t>ة</w:t>
      </w:r>
      <w:r w:rsidRPr="005C0816">
        <w:rPr>
          <w:rFonts w:ascii="Simplified Arabic" w:hAnsi="Simplified Arabic" w:cs="Simplified Arabic"/>
          <w:sz w:val="24"/>
          <w:szCs w:val="24"/>
          <w:rtl/>
        </w:rPr>
        <w:t xml:space="preserve"> </w:t>
      </w:r>
      <w:r w:rsidR="00E5011D">
        <w:rPr>
          <w:rFonts w:ascii="Simplified Arabic" w:hAnsi="Simplified Arabic" w:cs="Simplified Arabic" w:hint="cs"/>
          <w:sz w:val="24"/>
          <w:szCs w:val="24"/>
          <w:rtl/>
        </w:rPr>
        <w:t xml:space="preserve">والشديدة </w:t>
      </w:r>
      <w:r w:rsidRPr="005C0816">
        <w:rPr>
          <w:rFonts w:ascii="Simplified Arabic" w:hAnsi="Simplified Arabic" w:cs="Simplified Arabic" w:hint="cs"/>
          <w:sz w:val="24"/>
          <w:szCs w:val="24"/>
          <w:rtl/>
        </w:rPr>
        <w:t>في</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المناطق</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الحضرية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توضح</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عدة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طرق</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تصميم</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مدينة</w:t>
      </w:r>
      <w:r w:rsidRPr="005C0816">
        <w:rPr>
          <w:rFonts w:ascii="Simplified Arabic" w:hAnsi="Simplified Arabic" w:cs="Simplified Arabic"/>
          <w:sz w:val="24"/>
          <w:szCs w:val="24"/>
          <w:rtl/>
        </w:rPr>
        <w:t xml:space="preserve"> </w:t>
      </w:r>
      <w:r w:rsidR="00814624">
        <w:rPr>
          <w:rFonts w:ascii="Simplified Arabic" w:hAnsi="Simplified Arabic" w:cs="Simplified Arabic" w:hint="cs"/>
          <w:sz w:val="24"/>
          <w:szCs w:val="24"/>
          <w:rtl/>
        </w:rPr>
        <w:t xml:space="preserve">ما </w:t>
      </w:r>
      <w:r w:rsidR="00E5011D">
        <w:rPr>
          <w:rFonts w:ascii="Simplified Arabic" w:hAnsi="Simplified Arabic" w:cs="Simplified Arabic" w:hint="cs"/>
          <w:sz w:val="24"/>
          <w:szCs w:val="24"/>
          <w:rtl/>
        </w:rPr>
        <w:t>لمواجهة</w:t>
      </w:r>
      <w:r w:rsidRPr="005C0816">
        <w:rPr>
          <w:rFonts w:ascii="Simplified Arabic" w:hAnsi="Simplified Arabic" w:cs="Simplified Arabic"/>
          <w:sz w:val="24"/>
          <w:szCs w:val="24"/>
          <w:rtl/>
        </w:rPr>
        <w:t xml:space="preserve"> </w:t>
      </w:r>
      <w:r w:rsidRPr="005C0816">
        <w:rPr>
          <w:rFonts w:ascii="Simplified Arabic" w:hAnsi="Simplified Arabic" w:cs="Simplified Arabic" w:hint="cs"/>
          <w:sz w:val="24"/>
          <w:szCs w:val="24"/>
          <w:rtl/>
        </w:rPr>
        <w:t>الفيضانات،</w:t>
      </w:r>
      <w:r w:rsidRPr="005C0816">
        <w:rPr>
          <w:rFonts w:ascii="Simplified Arabic" w:hAnsi="Simplified Arabic" w:cs="Simplified Arabic"/>
          <w:sz w:val="24"/>
          <w:szCs w:val="24"/>
          <w:rtl/>
        </w:rPr>
        <w:t xml:space="preserve"> </w:t>
      </w:r>
      <w:r w:rsidR="00E5011D" w:rsidRPr="005C0816">
        <w:rPr>
          <w:rFonts w:ascii="Simplified Arabic" w:hAnsi="Simplified Arabic" w:cs="Simplified Arabic" w:hint="cs"/>
          <w:sz w:val="24"/>
          <w:szCs w:val="24"/>
          <w:rtl/>
        </w:rPr>
        <w:t>الحاجة</w:t>
      </w:r>
      <w:r w:rsidR="00E5011D" w:rsidRPr="005C0816">
        <w:rPr>
          <w:rFonts w:ascii="Simplified Arabic" w:hAnsi="Simplified Arabic" w:cs="Simplified Arabic"/>
          <w:sz w:val="24"/>
          <w:szCs w:val="24"/>
          <w:rtl/>
        </w:rPr>
        <w:t xml:space="preserve"> </w:t>
      </w:r>
      <w:r w:rsidR="00E5011D" w:rsidRPr="005C0816">
        <w:rPr>
          <w:rFonts w:ascii="Simplified Arabic" w:hAnsi="Simplified Arabic" w:cs="Simplified Arabic" w:hint="cs"/>
          <w:sz w:val="24"/>
          <w:szCs w:val="24"/>
          <w:rtl/>
        </w:rPr>
        <w:t>إلى</w:t>
      </w:r>
      <w:r w:rsidR="00E5011D" w:rsidRPr="005C0816">
        <w:rPr>
          <w:rFonts w:ascii="Simplified Arabic" w:hAnsi="Simplified Arabic" w:cs="Simplified Arabic"/>
          <w:sz w:val="24"/>
          <w:szCs w:val="24"/>
          <w:rtl/>
        </w:rPr>
        <w:t xml:space="preserve"> </w:t>
      </w:r>
      <w:r w:rsidR="00E5011D">
        <w:rPr>
          <w:rFonts w:ascii="Simplified Arabic" w:hAnsi="Simplified Arabic" w:cs="Simplified Arabic" w:hint="cs"/>
          <w:sz w:val="24"/>
          <w:szCs w:val="24"/>
          <w:rtl/>
        </w:rPr>
        <w:t xml:space="preserve">زمن على </w:t>
      </w:r>
      <w:r w:rsidRPr="005C0816">
        <w:rPr>
          <w:rFonts w:ascii="Simplified Arabic" w:hAnsi="Simplified Arabic" w:cs="Simplified Arabic" w:hint="cs"/>
          <w:sz w:val="24"/>
          <w:szCs w:val="24"/>
          <w:rtl/>
        </w:rPr>
        <w:t>المدى</w:t>
      </w:r>
      <w:r w:rsidR="00E5011D" w:rsidRPr="00E5011D">
        <w:rPr>
          <w:rFonts w:ascii="Simplified Arabic" w:hAnsi="Simplified Arabic" w:cs="Simplified Arabic" w:hint="cs"/>
          <w:sz w:val="24"/>
          <w:szCs w:val="24"/>
          <w:rtl/>
        </w:rPr>
        <w:t xml:space="preserve"> </w:t>
      </w:r>
      <w:r w:rsidR="00E5011D" w:rsidRPr="005C0816">
        <w:rPr>
          <w:rFonts w:ascii="Simplified Arabic" w:hAnsi="Simplified Arabic" w:cs="Simplified Arabic" w:hint="cs"/>
          <w:sz w:val="24"/>
          <w:szCs w:val="24"/>
          <w:rtl/>
        </w:rPr>
        <w:t>القصير</w:t>
      </w:r>
      <w:r w:rsidRPr="005C0816">
        <w:rPr>
          <w:rFonts w:ascii="Simplified Arabic" w:hAnsi="Simplified Arabic" w:cs="Simplified Arabic"/>
          <w:sz w:val="24"/>
          <w:szCs w:val="24"/>
          <w:rtl/>
        </w:rPr>
        <w:t xml:space="preserve"> </w:t>
      </w:r>
      <w:r w:rsidR="00E5011D" w:rsidRPr="005C0816">
        <w:rPr>
          <w:rFonts w:ascii="Simplified Arabic" w:hAnsi="Simplified Arabic" w:cs="Simplified Arabic" w:hint="cs"/>
          <w:sz w:val="24"/>
          <w:szCs w:val="24"/>
          <w:rtl/>
        </w:rPr>
        <w:t>و</w:t>
      </w:r>
      <w:r w:rsidRPr="005C0816">
        <w:rPr>
          <w:rFonts w:ascii="Simplified Arabic" w:hAnsi="Simplified Arabic" w:cs="Simplified Arabic" w:hint="cs"/>
          <w:sz w:val="24"/>
          <w:szCs w:val="24"/>
          <w:rtl/>
        </w:rPr>
        <w:t>الطويل</w:t>
      </w:r>
      <w:r w:rsidRPr="005C0816">
        <w:rPr>
          <w:rFonts w:ascii="Simplified Arabic" w:hAnsi="Simplified Arabic" w:cs="Simplified Arabic"/>
          <w:sz w:val="24"/>
          <w:szCs w:val="24"/>
          <w:rtl/>
        </w:rPr>
        <w:t>.</w:t>
      </w:r>
    </w:p>
    <w:p w:rsidR="00962CA4" w:rsidRPr="00062EBC" w:rsidRDefault="00962CA4" w:rsidP="001D0548">
      <w:pPr>
        <w:pStyle w:val="Paragraphedeliste"/>
        <w:numPr>
          <w:ilvl w:val="0"/>
          <w:numId w:val="275"/>
        </w:numPr>
        <w:tabs>
          <w:tab w:val="right" w:pos="567"/>
        </w:tabs>
        <w:bidi/>
        <w:ind w:left="0" w:firstLine="283"/>
        <w:jc w:val="both"/>
        <w:rPr>
          <w:rFonts w:ascii="Simplified Arabic" w:hAnsi="Simplified Arabic" w:cs="Simplified Arabic"/>
          <w:sz w:val="24"/>
          <w:szCs w:val="24"/>
        </w:rPr>
      </w:pPr>
      <w:r w:rsidRPr="00062EBC">
        <w:rPr>
          <w:rFonts w:ascii="Simplified Arabic" w:hAnsi="Simplified Arabic" w:cs="Simplified Arabic" w:hint="cs"/>
          <w:sz w:val="24"/>
          <w:szCs w:val="24"/>
          <w:rtl/>
        </w:rPr>
        <w:lastRenderedPageBreak/>
        <w:t>فيما</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يتعلق</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بالزمن</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قصير</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المدى،</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يعد</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مشروع</w:t>
      </w:r>
      <w:r w:rsidRPr="00062EBC">
        <w:rPr>
          <w:rFonts w:ascii="Simplified Arabic" w:hAnsi="Simplified Arabic" w:cs="Simplified Arabic"/>
          <w:sz w:val="24"/>
          <w:szCs w:val="24"/>
          <w:rtl/>
        </w:rPr>
        <w:t xml:space="preserve"> </w:t>
      </w:r>
      <w:r w:rsidRPr="00062EBC">
        <w:rPr>
          <w:rFonts w:asciiTheme="majorBidi" w:hAnsiTheme="majorBidi" w:cstheme="majorBidi"/>
          <w:sz w:val="24"/>
          <w:szCs w:val="24"/>
        </w:rPr>
        <w:t>FloodProBE1</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الأوروبي</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مثالاً</w:t>
      </w:r>
      <w:r w:rsidRPr="00062EBC">
        <w:rPr>
          <w:rFonts w:ascii="Simplified Arabic" w:hAnsi="Simplified Arabic" w:cs="Simplified Arabic"/>
          <w:sz w:val="24"/>
          <w:szCs w:val="24"/>
          <w:rtl/>
        </w:rPr>
        <w:t xml:space="preserve"> </w:t>
      </w:r>
      <w:r w:rsidR="00E5011D" w:rsidRPr="00062EBC">
        <w:rPr>
          <w:rFonts w:ascii="Simplified Arabic" w:hAnsi="Simplified Arabic" w:cs="Simplified Arabic" w:hint="cs"/>
          <w:sz w:val="24"/>
          <w:szCs w:val="24"/>
          <w:rtl/>
        </w:rPr>
        <w:t>على ذلك</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يهدف</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اتحاد</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الجهات</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الفاعلة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والخبراء</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إلى</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تطوير</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التقنيات</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والأساليب</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والمفاهيم</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والأدوات</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من</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أجل</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جعل</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المباني</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والبنى</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التحتية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والشبكات</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أكثر</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مرونة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في</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مواجهة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مخاطر</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الفيضانات</w:t>
      </w:r>
      <w:r w:rsidRPr="00062EBC">
        <w:rPr>
          <w:rFonts w:ascii="Simplified Arabic" w:hAnsi="Simplified Arabic" w:cs="Simplified Arabic"/>
          <w:sz w:val="24"/>
          <w:szCs w:val="24"/>
          <w:rtl/>
        </w:rPr>
        <w:t xml:space="preserve"> (</w:t>
      </w:r>
      <w:r w:rsidRPr="00062EBC">
        <w:rPr>
          <w:rFonts w:asciiTheme="majorBidi" w:hAnsiTheme="majorBidi" w:cstheme="majorBidi"/>
          <w:sz w:val="24"/>
          <w:szCs w:val="24"/>
        </w:rPr>
        <w:t>Escarameia</w:t>
      </w:r>
      <w:r w:rsidRPr="00062EBC">
        <w:rPr>
          <w:rFonts w:ascii="Simplified Arabic" w:hAnsi="Simplified Arabic" w:cs="Simplified Arabic"/>
          <w:sz w:val="24"/>
          <w:szCs w:val="24"/>
        </w:rPr>
        <w:t xml:space="preserve"> </w:t>
      </w:r>
      <w:r w:rsidRPr="00062EBC">
        <w:rPr>
          <w:rFonts w:asciiTheme="majorBidi" w:hAnsiTheme="majorBidi" w:cstheme="majorBidi"/>
          <w:sz w:val="24"/>
          <w:szCs w:val="24"/>
        </w:rPr>
        <w:t>and</w:t>
      </w:r>
      <w:r w:rsidRPr="00062EBC">
        <w:rPr>
          <w:rFonts w:ascii="Simplified Arabic" w:hAnsi="Simplified Arabic" w:cs="Simplified Arabic"/>
          <w:sz w:val="24"/>
          <w:szCs w:val="24"/>
        </w:rPr>
        <w:t xml:space="preserve"> </w:t>
      </w:r>
      <w:r w:rsidRPr="00062EBC">
        <w:rPr>
          <w:rFonts w:asciiTheme="majorBidi" w:hAnsiTheme="majorBidi" w:cstheme="majorBidi"/>
          <w:sz w:val="24"/>
          <w:szCs w:val="24"/>
        </w:rPr>
        <w:t>Stone,</w:t>
      </w:r>
      <w:r w:rsidRPr="00062EBC">
        <w:rPr>
          <w:rFonts w:ascii="Simplified Arabic" w:hAnsi="Simplified Arabic" w:cs="Simplified Arabic"/>
          <w:sz w:val="24"/>
          <w:szCs w:val="24"/>
        </w:rPr>
        <w:t xml:space="preserve"> </w:t>
      </w:r>
      <w:r w:rsidRPr="00062EBC">
        <w:rPr>
          <w:rFonts w:asciiTheme="majorBidi" w:hAnsiTheme="majorBidi" w:cstheme="majorBidi"/>
          <w:sz w:val="24"/>
          <w:szCs w:val="24"/>
        </w:rPr>
        <w:t>2013</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إذا</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كان</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النهج</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يركز</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بشكل</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أساسي</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على</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مساهمة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الهندسة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المدنية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في</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تحسين</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المرونة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الحضرية</w:t>
      </w:r>
      <w:r w:rsidR="00692BE6" w:rsidRPr="00062EBC">
        <w:rPr>
          <w:rFonts w:ascii="Simplified Arabic" w:hAnsi="Simplified Arabic" w:cs="Simplified Arabic" w:hint="cs"/>
          <w:sz w:val="24"/>
          <w:szCs w:val="24"/>
          <w:rtl/>
        </w:rPr>
        <w:t xml:space="preserve"> (</w:t>
      </w:r>
      <w:r w:rsidRPr="00062EBC">
        <w:rPr>
          <w:rFonts w:ascii="Simplified Arabic" w:hAnsi="Simplified Arabic" w:cs="Simplified Arabic" w:hint="cs"/>
          <w:sz w:val="24"/>
          <w:szCs w:val="24"/>
          <w:rtl/>
        </w:rPr>
        <w:t>المرونة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الفنية</w:t>
      </w:r>
      <w:r w:rsidR="00692BE6" w:rsidRPr="00062EBC">
        <w:rPr>
          <w:rFonts w:ascii="Simplified Arabic" w:hAnsi="Simplified Arabic" w:cs="Simplified Arabic" w:hint="cs"/>
          <w:sz w:val="24"/>
          <w:szCs w:val="24"/>
          <w:rtl/>
        </w:rPr>
        <w:t>).</w:t>
      </w:r>
      <w:r w:rsidRPr="00062EBC">
        <w:rPr>
          <w:rFonts w:ascii="Simplified Arabic" w:hAnsi="Simplified Arabic" w:cs="Simplified Arabic"/>
          <w:sz w:val="24"/>
          <w:szCs w:val="24"/>
          <w:rtl/>
        </w:rPr>
        <w:t xml:space="preserve"> </w:t>
      </w:r>
      <w:r w:rsidR="00062EBC">
        <w:rPr>
          <w:rFonts w:ascii="Simplified Arabic" w:hAnsi="Simplified Arabic" w:cs="Simplified Arabic" w:hint="cs"/>
          <w:sz w:val="24"/>
          <w:szCs w:val="24"/>
          <w:rtl/>
        </w:rPr>
        <w:t xml:space="preserve">يرى البحث انه </w:t>
      </w:r>
      <w:r w:rsidRPr="00062EBC">
        <w:rPr>
          <w:rFonts w:ascii="Simplified Arabic" w:hAnsi="Simplified Arabic" w:cs="Simplified Arabic" w:hint="cs"/>
          <w:sz w:val="24"/>
          <w:szCs w:val="24"/>
          <w:rtl/>
        </w:rPr>
        <w:t>من</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الضروري</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تحليل</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قدرة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المدن</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على</w:t>
      </w:r>
      <w:r w:rsidRPr="00062EBC">
        <w:rPr>
          <w:rFonts w:ascii="Simplified Arabic" w:hAnsi="Simplified Arabic" w:cs="Simplified Arabic"/>
          <w:sz w:val="24"/>
          <w:szCs w:val="24"/>
          <w:rtl/>
        </w:rPr>
        <w:t xml:space="preserve"> </w:t>
      </w:r>
      <w:r w:rsidR="00061AA8" w:rsidRPr="00062EBC">
        <w:rPr>
          <w:rFonts w:ascii="Simplified Arabic" w:hAnsi="Simplified Arabic" w:cs="Simplified Arabic" w:hint="cs"/>
          <w:sz w:val="24"/>
          <w:szCs w:val="24"/>
          <w:rtl/>
        </w:rPr>
        <w:t xml:space="preserve">الاستجابة في </w:t>
      </w:r>
      <w:r w:rsidRPr="00062EBC">
        <w:rPr>
          <w:rFonts w:ascii="Simplified Arabic" w:hAnsi="Simplified Arabic" w:cs="Simplified Arabic" w:hint="cs"/>
          <w:sz w:val="24"/>
          <w:szCs w:val="24"/>
          <w:rtl/>
        </w:rPr>
        <w:t>الوقت</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اللازم</w:t>
      </w:r>
      <w:r w:rsidRPr="00062EBC">
        <w:rPr>
          <w:rFonts w:ascii="Simplified Arabic" w:hAnsi="Simplified Arabic" w:cs="Simplified Arabic"/>
          <w:sz w:val="24"/>
          <w:szCs w:val="24"/>
          <w:rtl/>
        </w:rPr>
        <w:t xml:space="preserve"> </w:t>
      </w:r>
      <w:r w:rsidR="00061AA8" w:rsidRPr="00062EBC">
        <w:rPr>
          <w:rFonts w:ascii="Simplified Arabic" w:hAnsi="Simplified Arabic" w:cs="Simplified Arabic" w:hint="cs"/>
          <w:sz w:val="24"/>
          <w:szCs w:val="24"/>
          <w:rtl/>
        </w:rPr>
        <w:t>ل</w:t>
      </w:r>
      <w:r w:rsidRPr="00062EBC">
        <w:rPr>
          <w:rFonts w:ascii="Simplified Arabic" w:hAnsi="Simplified Arabic" w:cs="Simplified Arabic" w:hint="cs"/>
          <w:sz w:val="24"/>
          <w:szCs w:val="24"/>
          <w:rtl/>
        </w:rPr>
        <w:t>جميع</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المكونات</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الحضرية</w:t>
      </w:r>
      <w:r w:rsidR="00692BE6" w:rsidRPr="00062EBC">
        <w:rPr>
          <w:rFonts w:ascii="Simplified Arabic" w:hAnsi="Simplified Arabic" w:cs="Simplified Arabic" w:hint="cs"/>
          <w:sz w:val="24"/>
          <w:szCs w:val="24"/>
          <w:rtl/>
        </w:rPr>
        <w:t xml:space="preserve"> (المرونة الوظيفية)</w:t>
      </w:r>
      <w:r w:rsidR="00061AA8" w:rsidRPr="00062EBC">
        <w:rPr>
          <w:rFonts w:ascii="Simplified Arabic" w:hAnsi="Simplified Arabic" w:cs="Simplified Arabic" w:hint="cs"/>
          <w:sz w:val="24"/>
          <w:szCs w:val="24"/>
          <w:rtl/>
        </w:rPr>
        <w:t xml:space="preserve"> على اساس مساهمة الهندسة الحضرية</w:t>
      </w:r>
      <w:r w:rsidRPr="00062EBC">
        <w:rPr>
          <w:rFonts w:ascii="Simplified Arabic" w:hAnsi="Simplified Arabic" w:cs="Simplified Arabic"/>
          <w:sz w:val="24"/>
          <w:szCs w:val="24"/>
          <w:rtl/>
        </w:rPr>
        <w:t>.</w:t>
      </w:r>
      <w:r w:rsidRPr="00062EBC">
        <w:rPr>
          <w:rFonts w:ascii="Simplified Arabic" w:hAnsi="Simplified Arabic" w:cs="Simplified Arabic" w:hint="cs"/>
          <w:sz w:val="24"/>
          <w:szCs w:val="24"/>
          <w:rtl/>
        </w:rPr>
        <w:t xml:space="preserve"> والفكرة</w:t>
      </w:r>
      <w:r w:rsidRPr="00062EBC">
        <w:rPr>
          <w:rFonts w:ascii="Simplified Arabic" w:hAnsi="Simplified Arabic" w:cs="Simplified Arabic"/>
          <w:sz w:val="24"/>
          <w:szCs w:val="24"/>
          <w:rtl/>
        </w:rPr>
        <w:t xml:space="preserve"> </w:t>
      </w:r>
      <w:r w:rsidRPr="00062EBC">
        <w:rPr>
          <w:rFonts w:ascii="Simplified Arabic" w:hAnsi="Simplified Arabic" w:cs="Simplified Arabic" w:hint="cs"/>
          <w:sz w:val="24"/>
          <w:szCs w:val="24"/>
          <w:rtl/>
        </w:rPr>
        <w:t>هي</w:t>
      </w:r>
      <w:r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إجراء</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فحوصات</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على</w:t>
      </w:r>
      <w:r w:rsidR="00062EBC" w:rsidRPr="00062EBC">
        <w:rPr>
          <w:rFonts w:ascii="Simplified Arabic" w:hAnsi="Simplified Arabic" w:cs="Simplified Arabic"/>
          <w:sz w:val="24"/>
          <w:szCs w:val="24"/>
          <w:rtl/>
        </w:rPr>
        <w:t xml:space="preserve"> </w:t>
      </w:r>
      <w:r w:rsidR="00062EBC">
        <w:rPr>
          <w:rFonts w:ascii="Simplified Arabic" w:hAnsi="Simplified Arabic" w:cs="Simplified Arabic" w:hint="cs"/>
          <w:sz w:val="24"/>
          <w:szCs w:val="24"/>
          <w:rtl/>
        </w:rPr>
        <w:t>ال</w:t>
      </w:r>
      <w:r w:rsidR="00062EBC" w:rsidRPr="00062EBC">
        <w:rPr>
          <w:rFonts w:ascii="Simplified Arabic" w:hAnsi="Simplified Arabic" w:cs="Simplified Arabic" w:hint="cs"/>
          <w:sz w:val="24"/>
          <w:szCs w:val="24"/>
          <w:rtl/>
        </w:rPr>
        <w:t>معايير</w:t>
      </w:r>
      <w:r w:rsidR="00062EBC" w:rsidRPr="00062EBC">
        <w:rPr>
          <w:rFonts w:ascii="Simplified Arabic" w:hAnsi="Simplified Arabic" w:cs="Simplified Arabic"/>
          <w:sz w:val="24"/>
          <w:szCs w:val="24"/>
          <w:rtl/>
        </w:rPr>
        <w:t xml:space="preserve"> </w:t>
      </w:r>
      <w:r w:rsidR="00062EBC">
        <w:rPr>
          <w:rFonts w:ascii="Simplified Arabic" w:hAnsi="Simplified Arabic" w:cs="Simplified Arabic" w:hint="cs"/>
          <w:sz w:val="24"/>
          <w:szCs w:val="24"/>
          <w:rtl/>
        </w:rPr>
        <w:t>التي تؤثر على</w:t>
      </w:r>
      <w:r w:rsidR="00062EBC" w:rsidRPr="00062EBC">
        <w:rPr>
          <w:rFonts w:ascii="Simplified Arabic" w:hAnsi="Simplified Arabic" w:cs="Simplified Arabic"/>
          <w:sz w:val="24"/>
          <w:szCs w:val="24"/>
          <w:rtl/>
        </w:rPr>
        <w:t xml:space="preserve"> </w:t>
      </w:r>
      <w:r w:rsidR="00062EBC">
        <w:rPr>
          <w:rFonts w:ascii="Simplified Arabic" w:hAnsi="Simplified Arabic" w:cs="Simplified Arabic" w:hint="cs"/>
          <w:sz w:val="24"/>
          <w:szCs w:val="24"/>
          <w:rtl/>
        </w:rPr>
        <w:t>ال</w:t>
      </w:r>
      <w:r w:rsidR="00062EBC" w:rsidRPr="00062EBC">
        <w:rPr>
          <w:rFonts w:ascii="Simplified Arabic" w:hAnsi="Simplified Arabic" w:cs="Simplified Arabic" w:hint="cs"/>
          <w:sz w:val="24"/>
          <w:szCs w:val="24"/>
          <w:rtl/>
        </w:rPr>
        <w:t>مرونة،</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من</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أجل</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دعم</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قدرة</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المدينة</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على</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الاستجابة</w:t>
      </w:r>
      <w:r w:rsidR="00062EBC" w:rsidRPr="00062EBC">
        <w:rPr>
          <w:rFonts w:ascii="Simplified Arabic" w:hAnsi="Simplified Arabic" w:cs="Simplified Arabic"/>
          <w:sz w:val="24"/>
          <w:szCs w:val="24"/>
          <w:rtl/>
        </w:rPr>
        <w:t xml:space="preserve"> </w:t>
      </w:r>
      <w:r w:rsidR="00062EBC" w:rsidRPr="00062EBC">
        <w:rPr>
          <w:rFonts w:ascii="Simplified Arabic" w:hAnsi="Simplified Arabic" w:cs="Simplified Arabic" w:hint="cs"/>
          <w:sz w:val="24"/>
          <w:szCs w:val="24"/>
          <w:rtl/>
        </w:rPr>
        <w:t>للصدمات</w:t>
      </w:r>
      <w:r w:rsidR="00062EBC">
        <w:rPr>
          <w:rFonts w:ascii="Simplified Arabic" w:hAnsi="Simplified Arabic" w:cs="Simplified Arabic" w:hint="cs"/>
          <w:sz w:val="24"/>
          <w:szCs w:val="24"/>
          <w:rtl/>
        </w:rPr>
        <w:t xml:space="preserve"> </w:t>
      </w:r>
      <w:r w:rsidR="00BF5BB3">
        <w:rPr>
          <w:rFonts w:ascii="Simplified Arabic" w:hAnsi="Simplified Arabic" w:cs="Simplified Arabic" w:hint="cs"/>
          <w:sz w:val="24"/>
          <w:szCs w:val="24"/>
          <w:rtl/>
        </w:rPr>
        <w:t xml:space="preserve">خلال المدة الزمنية القصيرة </w:t>
      </w:r>
      <w:r w:rsidR="00062EBC" w:rsidRPr="00062EBC">
        <w:rPr>
          <w:rFonts w:asciiTheme="majorBidi" w:hAnsiTheme="majorBidi" w:cstheme="majorBidi"/>
          <w:sz w:val="24"/>
          <w:szCs w:val="24"/>
          <w:rtl/>
        </w:rPr>
        <w:t>(</w:t>
      </w:r>
      <w:r w:rsidR="00062EBC" w:rsidRPr="00062EBC">
        <w:rPr>
          <w:rFonts w:asciiTheme="majorBidi" w:hAnsiTheme="majorBidi" w:cstheme="majorBidi"/>
          <w:sz w:val="24"/>
          <w:szCs w:val="24"/>
        </w:rPr>
        <w:t>Mayouf and Nouibat, 2022</w:t>
      </w:r>
      <w:r w:rsidR="00062EBC" w:rsidRPr="00062EBC">
        <w:rPr>
          <w:rFonts w:asciiTheme="majorBidi" w:hAnsiTheme="majorBidi" w:cstheme="majorBidi"/>
          <w:sz w:val="24"/>
          <w:szCs w:val="24"/>
          <w:rtl/>
        </w:rPr>
        <w:t>)</w:t>
      </w:r>
      <w:r w:rsidRPr="00062EBC">
        <w:rPr>
          <w:rFonts w:ascii="Simplified Arabic" w:hAnsi="Simplified Arabic" w:cs="Simplified Arabic"/>
          <w:sz w:val="24"/>
          <w:szCs w:val="24"/>
          <w:rtl/>
        </w:rPr>
        <w:t>.</w:t>
      </w:r>
    </w:p>
    <w:p w:rsidR="0042038B" w:rsidRDefault="00FD11A9" w:rsidP="0042038B">
      <w:pPr>
        <w:pStyle w:val="Paragraphedeliste"/>
        <w:numPr>
          <w:ilvl w:val="0"/>
          <w:numId w:val="276"/>
        </w:numPr>
        <w:tabs>
          <w:tab w:val="right" w:pos="567"/>
        </w:tabs>
        <w:autoSpaceDE w:val="0"/>
        <w:autoSpaceDN w:val="0"/>
        <w:bidi/>
        <w:adjustRightInd w:val="0"/>
        <w:ind w:left="0" w:firstLine="283"/>
        <w:jc w:val="both"/>
        <w:rPr>
          <w:rFonts w:ascii="Simplified Arabic" w:hAnsi="Simplified Arabic" w:cs="Simplified Arabic"/>
          <w:sz w:val="24"/>
          <w:szCs w:val="24"/>
          <w:lang w:val="en-US" w:bidi="ar-DZ"/>
        </w:rPr>
      </w:pPr>
      <w:r w:rsidRPr="00BF5BB3">
        <w:rPr>
          <w:rFonts w:ascii="Simplified Arabic" w:hAnsi="Simplified Arabic" w:cs="Simplified Arabic" w:hint="cs"/>
          <w:sz w:val="24"/>
          <w:szCs w:val="24"/>
          <w:rtl/>
        </w:rPr>
        <w:t>فيما</w:t>
      </w:r>
      <w:r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يتعلق</w:t>
      </w:r>
      <w:r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بالزمنية</w:t>
      </w:r>
      <w:r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''طويلة</w:t>
      </w:r>
      <w:r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 xml:space="preserve">المدى''، </w:t>
      </w:r>
      <w:r w:rsidR="00962CA4" w:rsidRPr="00BF5BB3">
        <w:rPr>
          <w:rFonts w:ascii="Simplified Arabic" w:hAnsi="Simplified Arabic" w:cs="Simplified Arabic" w:hint="cs"/>
          <w:sz w:val="24"/>
          <w:szCs w:val="24"/>
          <w:rtl/>
        </w:rPr>
        <w:t>يتعامل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المشروع</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الأوروبي</w:t>
      </w:r>
      <w:r w:rsidR="00962CA4" w:rsidRPr="00BF5BB3">
        <w:rPr>
          <w:rFonts w:ascii="Simplified Arabic" w:hAnsi="Simplified Arabic" w:cs="Simplified Arabic"/>
          <w:sz w:val="24"/>
          <w:szCs w:val="24"/>
          <w:rtl/>
        </w:rPr>
        <w:t xml:space="preserve"> </w:t>
      </w:r>
      <w:r w:rsidR="00962CA4" w:rsidRPr="00BF5BB3">
        <w:rPr>
          <w:rFonts w:asciiTheme="majorBidi" w:hAnsiTheme="majorBidi" w:cstheme="majorBidi"/>
          <w:sz w:val="24"/>
          <w:szCs w:val="24"/>
          <w:lang w:val="en-US"/>
        </w:rPr>
        <w:t>FloodResilienCity</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مع</w:t>
      </w:r>
      <w:r w:rsidR="00962CA4"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المرونة</w:t>
      </w:r>
      <w:r w:rsidR="00962CA4"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 xml:space="preserve">من منظور </w:t>
      </w:r>
      <w:r w:rsidR="00962CA4" w:rsidRPr="00BF5BB3">
        <w:rPr>
          <w:rFonts w:ascii="Simplified Arabic" w:hAnsi="Simplified Arabic" w:cs="Simplified Arabic" w:hint="cs"/>
          <w:sz w:val="24"/>
          <w:szCs w:val="24"/>
          <w:rtl/>
        </w:rPr>
        <w:t>تنظيمي،</w:t>
      </w:r>
      <w:r w:rsidR="00962CA4"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هذا يتطلب</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وقت</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عمل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أطول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بهدف</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اتباع</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نهج</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أكثر</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شمولية،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وضع</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اتحاد</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مدن</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شمال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أوروبا</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العديد</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من</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الأهداف</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المحددة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باسم</w:t>
      </w:r>
      <w:r w:rsidR="00962CA4" w:rsidRPr="00BF5BB3">
        <w:rPr>
          <w:rFonts w:ascii="Simplified Arabic" w:hAnsi="Simplified Arabic" w:cs="Simplified Arabic"/>
          <w:sz w:val="24"/>
          <w:szCs w:val="24"/>
          <w:rtl/>
        </w:rPr>
        <w:t xml:space="preserve"> </w:t>
      </w:r>
      <w:r w:rsidRPr="00BF5BB3">
        <w:rPr>
          <w:rFonts w:ascii="Simplified Arabic" w:hAnsi="Simplified Arabic" w:cs="Simplified Arabic" w:hint="cs"/>
          <w:sz w:val="24"/>
          <w:szCs w:val="24"/>
          <w:rtl/>
        </w:rPr>
        <w:t>(</w:t>
      </w:r>
      <w:r w:rsidR="00962CA4" w:rsidRPr="00BF5BB3">
        <w:rPr>
          <w:rFonts w:ascii="Simplified Arabic" w:hAnsi="Simplified Arabic" w:cs="Simplified Arabic"/>
          <w:sz w:val="24"/>
          <w:szCs w:val="24"/>
          <w:rtl/>
        </w:rPr>
        <w:t>4-</w:t>
      </w:r>
      <w:r w:rsidR="00962CA4" w:rsidRPr="00BF5BB3">
        <w:rPr>
          <w:rFonts w:ascii="Simplified Arabic" w:hAnsi="Simplified Arabic" w:cs="Simplified Arabic"/>
          <w:sz w:val="24"/>
          <w:szCs w:val="24"/>
        </w:rPr>
        <w:t>A</w:t>
      </w:r>
      <w:r w:rsidRPr="00BF5BB3">
        <w:rPr>
          <w:rFonts w:ascii="Simplified Arabic" w:hAnsi="Simplified Arabic" w:cs="Simplified Arabic" w:hint="cs"/>
          <w:sz w:val="24"/>
          <w:szCs w:val="24"/>
          <w:rtl/>
        </w:rPr>
        <w:t>)،</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الوعي</w:t>
      </w:r>
      <w:r w:rsidR="00FD7139" w:rsidRPr="00BF5BB3">
        <w:rPr>
          <w:rFonts w:ascii="Simplified Arabic" w:hAnsi="Simplified Arabic" w:cs="Simplified Arabic" w:hint="cs"/>
          <w:sz w:val="24"/>
          <w:szCs w:val="24"/>
          <w:rtl/>
        </w:rPr>
        <w:t xml:space="preserve"> </w:t>
      </w:r>
      <w:r w:rsidR="00FD7139" w:rsidRPr="00827CBD">
        <w:rPr>
          <w:rFonts w:asciiTheme="majorBidi" w:hAnsiTheme="majorBidi" w:cstheme="majorBidi" w:hint="cs"/>
          <w:sz w:val="24"/>
          <w:szCs w:val="24"/>
          <w:rtl/>
        </w:rPr>
        <w:t>(</w:t>
      </w:r>
      <w:r w:rsidR="00FD7139" w:rsidRPr="00827CBD">
        <w:rPr>
          <w:rFonts w:asciiTheme="majorBidi" w:hAnsiTheme="majorBidi" w:cstheme="majorBidi"/>
          <w:sz w:val="24"/>
          <w:szCs w:val="24"/>
          <w:lang w:val="en-US"/>
        </w:rPr>
        <w:t>Awareness</w:t>
      </w:r>
      <w:r w:rsidR="00FD7139" w:rsidRPr="00827CBD">
        <w:rPr>
          <w:rFonts w:asciiTheme="majorBidi" w:hAnsiTheme="majorBidi" w:cstheme="majorBidi" w:hint="cs"/>
          <w:sz w:val="24"/>
          <w:szCs w:val="24"/>
          <w:rtl/>
        </w:rPr>
        <w:t>)</w:t>
      </w:r>
      <w:r w:rsidR="00962CA4" w:rsidRPr="00BF5BB3">
        <w:rPr>
          <w:rFonts w:ascii="Simplified Arabic" w:hAnsi="Simplified Arabic" w:cs="Simplified Arabic"/>
          <w:sz w:val="24"/>
          <w:szCs w:val="24"/>
          <w:rtl/>
        </w:rPr>
        <w:t xml:space="preserve"> </w:t>
      </w:r>
      <w:r w:rsidR="00FD7139" w:rsidRPr="00BF5BB3">
        <w:rPr>
          <w:rFonts w:ascii="Simplified Arabic" w:hAnsi="Simplified Arabic" w:cs="Simplified Arabic" w:hint="cs"/>
          <w:sz w:val="24"/>
          <w:szCs w:val="24"/>
          <w:rtl/>
        </w:rPr>
        <w:t xml:space="preserve">بمعنى </w:t>
      </w:r>
      <w:r w:rsidR="00962CA4" w:rsidRPr="00BF5BB3">
        <w:rPr>
          <w:rFonts w:ascii="Simplified Arabic" w:hAnsi="Simplified Arabic" w:cs="Simplified Arabic" w:hint="cs"/>
          <w:sz w:val="24"/>
          <w:szCs w:val="24"/>
          <w:rtl/>
        </w:rPr>
        <w:t>التنبيه</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والوعي</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بالمخاطر،</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التجنب</w:t>
      </w:r>
      <w:r w:rsidR="00962CA4" w:rsidRPr="00BF5BB3">
        <w:rPr>
          <w:rFonts w:ascii="Simplified Arabic" w:hAnsi="Simplified Arabic" w:cs="Simplified Arabic"/>
          <w:sz w:val="24"/>
          <w:szCs w:val="24"/>
          <w:rtl/>
        </w:rPr>
        <w:t xml:space="preserve"> </w:t>
      </w:r>
      <w:r w:rsidR="00FD7139" w:rsidRPr="00827CBD">
        <w:rPr>
          <w:rFonts w:asciiTheme="majorBidi" w:hAnsiTheme="majorBidi" w:cstheme="majorBidi" w:hint="cs"/>
          <w:sz w:val="24"/>
          <w:szCs w:val="24"/>
          <w:rtl/>
        </w:rPr>
        <w:t>(</w:t>
      </w:r>
      <w:r w:rsidR="00FD7139" w:rsidRPr="00827CBD">
        <w:rPr>
          <w:rFonts w:asciiTheme="majorBidi" w:hAnsiTheme="majorBidi" w:cstheme="majorBidi"/>
          <w:sz w:val="24"/>
          <w:szCs w:val="24"/>
          <w:lang w:val="en-US"/>
        </w:rPr>
        <w:t>Avoidance</w:t>
      </w:r>
      <w:r w:rsidR="00FD7139" w:rsidRPr="00827CBD">
        <w:rPr>
          <w:rFonts w:asciiTheme="majorBidi" w:hAnsiTheme="majorBidi" w:cstheme="majorBidi" w:hint="cs"/>
          <w:sz w:val="24"/>
          <w:szCs w:val="24"/>
          <w:rtl/>
        </w:rPr>
        <w:t>)</w:t>
      </w:r>
      <w:r w:rsidR="00FD7139" w:rsidRPr="00BF5BB3">
        <w:rPr>
          <w:rFonts w:ascii="Simplified Arabic" w:hAnsi="Simplified Arabic" w:cs="Simplified Arabic" w:hint="cs"/>
          <w:sz w:val="24"/>
          <w:szCs w:val="24"/>
          <w:rtl/>
        </w:rPr>
        <w:t xml:space="preserve"> يعني </w:t>
      </w:r>
      <w:r w:rsidR="00962CA4" w:rsidRPr="00BF5BB3">
        <w:rPr>
          <w:rFonts w:ascii="Simplified Arabic" w:hAnsi="Simplified Arabic" w:cs="Simplified Arabic" w:hint="cs"/>
          <w:sz w:val="24"/>
          <w:szCs w:val="24"/>
          <w:rtl/>
        </w:rPr>
        <w:t>تجنب</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زيادة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المخاطر</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المنخفضة،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التخفيف</w:t>
      </w:r>
      <w:r w:rsidR="00962CA4" w:rsidRPr="00BF5BB3">
        <w:rPr>
          <w:rFonts w:ascii="Simplified Arabic" w:hAnsi="Simplified Arabic" w:cs="Simplified Arabic"/>
          <w:sz w:val="24"/>
          <w:szCs w:val="24"/>
          <w:rtl/>
        </w:rPr>
        <w:t xml:space="preserve"> </w:t>
      </w:r>
      <w:r w:rsidR="00FD7139" w:rsidRPr="00827CBD">
        <w:rPr>
          <w:rFonts w:asciiTheme="majorBidi" w:hAnsiTheme="majorBidi" w:cstheme="majorBidi" w:hint="cs"/>
          <w:sz w:val="24"/>
          <w:szCs w:val="24"/>
          <w:rtl/>
        </w:rPr>
        <w:t>(</w:t>
      </w:r>
      <w:r w:rsidR="00FD7139" w:rsidRPr="00827CBD">
        <w:rPr>
          <w:rFonts w:asciiTheme="majorBidi" w:hAnsiTheme="majorBidi" w:cstheme="majorBidi"/>
          <w:sz w:val="24"/>
          <w:szCs w:val="24"/>
          <w:lang w:val="en-US"/>
        </w:rPr>
        <w:t>Alleviation</w:t>
      </w:r>
      <w:r w:rsidR="00FD7139" w:rsidRPr="00827CBD">
        <w:rPr>
          <w:rFonts w:asciiTheme="majorBidi" w:hAnsiTheme="majorBidi" w:cstheme="majorBidi" w:hint="cs"/>
          <w:sz w:val="24"/>
          <w:szCs w:val="24"/>
          <w:rtl/>
        </w:rPr>
        <w:t>)</w:t>
      </w:r>
      <w:r w:rsidR="00FD7139" w:rsidRPr="00BF5BB3">
        <w:rPr>
          <w:rFonts w:ascii="Simplified Arabic" w:hAnsi="Simplified Arabic" w:cs="Simplified Arabic" w:hint="cs"/>
          <w:sz w:val="24"/>
          <w:szCs w:val="24"/>
          <w:rtl/>
        </w:rPr>
        <w:t xml:space="preserve"> يعني </w:t>
      </w:r>
      <w:r w:rsidR="00962CA4" w:rsidRPr="00BF5BB3">
        <w:rPr>
          <w:rFonts w:ascii="Simplified Arabic" w:hAnsi="Simplified Arabic" w:cs="Simplified Arabic" w:hint="cs"/>
          <w:sz w:val="24"/>
          <w:szCs w:val="24"/>
          <w:rtl/>
        </w:rPr>
        <w:t>تقليل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المخاطر</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هيكليًا</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أم</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لا،</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المساعدة</w:t>
      </w:r>
      <w:r w:rsidR="00FD7139" w:rsidRPr="00BF5BB3">
        <w:rPr>
          <w:rFonts w:ascii="Simplified Arabic" w:hAnsi="Simplified Arabic" w:cs="Simplified Arabic" w:hint="cs"/>
          <w:sz w:val="24"/>
          <w:szCs w:val="24"/>
          <w:rtl/>
        </w:rPr>
        <w:t xml:space="preserve"> </w:t>
      </w:r>
      <w:r w:rsidR="00FD7139" w:rsidRPr="00827CBD">
        <w:rPr>
          <w:rFonts w:asciiTheme="majorBidi" w:hAnsiTheme="majorBidi" w:cstheme="majorBidi" w:hint="cs"/>
          <w:sz w:val="24"/>
          <w:szCs w:val="24"/>
          <w:rtl/>
        </w:rPr>
        <w:t>(</w:t>
      </w:r>
      <w:r w:rsidR="00FD7139" w:rsidRPr="00827CBD">
        <w:rPr>
          <w:rFonts w:asciiTheme="majorBidi" w:hAnsiTheme="majorBidi" w:cstheme="majorBidi"/>
          <w:sz w:val="24"/>
          <w:szCs w:val="24"/>
        </w:rPr>
        <w:t>Assistance</w:t>
      </w:r>
      <w:r w:rsidR="00FD7139" w:rsidRPr="00827CBD">
        <w:rPr>
          <w:rFonts w:asciiTheme="majorBidi" w:hAnsiTheme="majorBidi" w:cstheme="majorBidi" w:hint="cs"/>
          <w:sz w:val="24"/>
          <w:szCs w:val="24"/>
          <w:rtl/>
        </w:rPr>
        <w:t>)</w:t>
      </w:r>
      <w:r w:rsidR="00FD7139" w:rsidRPr="00BF5BB3">
        <w:rPr>
          <w:rFonts w:ascii="Simplified Arabic" w:hAnsi="Simplified Arabic" w:cs="Simplified Arabic" w:hint="cs"/>
          <w:sz w:val="24"/>
          <w:szCs w:val="24"/>
          <w:rtl/>
        </w:rPr>
        <w:t xml:space="preserve"> معناه </w:t>
      </w:r>
      <w:r w:rsidR="00962CA4" w:rsidRPr="00BF5BB3">
        <w:rPr>
          <w:rFonts w:ascii="Simplified Arabic" w:hAnsi="Simplified Arabic" w:cs="Simplified Arabic" w:hint="cs"/>
          <w:sz w:val="24"/>
          <w:szCs w:val="24"/>
          <w:rtl/>
        </w:rPr>
        <w:t>خطة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الطوارئ</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يحاول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هذا</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النهج</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معالجة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المخاطر</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في</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سلسلة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متواصلة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من</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المراحل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المختلفة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للتحضير،</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والاستيعاب،</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والمقاومة،</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والتعلم،</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والانتقال،</w:t>
      </w:r>
      <w:r w:rsidR="00962CA4" w:rsidRPr="00BF5BB3">
        <w:rPr>
          <w:rFonts w:ascii="Simplified Arabic" w:hAnsi="Simplified Arabic" w:cs="Simplified Arabic"/>
          <w:sz w:val="24"/>
          <w:szCs w:val="24"/>
          <w:rtl/>
        </w:rPr>
        <w:t xml:space="preserve"> </w:t>
      </w:r>
      <w:r w:rsidR="00962CA4" w:rsidRPr="00BF5BB3">
        <w:rPr>
          <w:rFonts w:ascii="Simplified Arabic" w:hAnsi="Simplified Arabic" w:cs="Simplified Arabic" w:hint="cs"/>
          <w:sz w:val="24"/>
          <w:szCs w:val="24"/>
          <w:rtl/>
        </w:rPr>
        <w:t>والارتداد</w:t>
      </w:r>
      <w:r w:rsidR="00962CA4" w:rsidRPr="00BF5BB3">
        <w:rPr>
          <w:rFonts w:ascii="Simplified Arabic" w:hAnsi="Simplified Arabic" w:cs="Simplified Arabic"/>
          <w:sz w:val="24"/>
          <w:szCs w:val="24"/>
          <w:rtl/>
        </w:rPr>
        <w:t>.</w:t>
      </w:r>
      <w:r w:rsidR="00E11D15" w:rsidRPr="00BF5BB3">
        <w:rPr>
          <w:rFonts w:ascii="Simplified Arabic" w:hAnsi="Simplified Arabic" w:cs="Simplified Arabic" w:hint="cs"/>
          <w:sz w:val="24"/>
          <w:szCs w:val="24"/>
          <w:rtl/>
        </w:rPr>
        <w:t xml:space="preserve"> من وجهة نظر البحث</w:t>
      </w:r>
      <w:r w:rsidR="00E11D15" w:rsidRPr="00BF5BB3">
        <w:rPr>
          <w:rFonts w:ascii="Simplified Arabic" w:hAnsi="Simplified Arabic" w:cs="Simplified Arabic"/>
          <w:sz w:val="24"/>
          <w:szCs w:val="24"/>
          <w:rtl/>
        </w:rPr>
        <w:t>،</w:t>
      </w:r>
      <w:r w:rsidR="00E11D15" w:rsidRPr="00BF5BB3">
        <w:rPr>
          <w:rFonts w:ascii="Simplified Arabic" w:hAnsi="Simplified Arabic" w:cs="Simplified Arabic" w:hint="cs"/>
          <w:sz w:val="24"/>
          <w:szCs w:val="24"/>
          <w:rtl/>
        </w:rPr>
        <w:t xml:space="preserve"> فان </w:t>
      </w:r>
      <w:r w:rsidR="00E11D15" w:rsidRPr="00BF5BB3">
        <w:rPr>
          <w:rFonts w:ascii="Simplified Arabic" w:hAnsi="Simplified Arabic" w:cs="Simplified Arabic"/>
          <w:sz w:val="24"/>
          <w:szCs w:val="24"/>
          <w:rtl/>
        </w:rPr>
        <w:t>التغي</w:t>
      </w:r>
      <w:r w:rsidR="00E11D15" w:rsidRPr="00BF5BB3">
        <w:rPr>
          <w:rFonts w:ascii="Simplified Arabic" w:hAnsi="Simplified Arabic" w:cs="Simplified Arabic" w:hint="cs"/>
          <w:sz w:val="24"/>
          <w:szCs w:val="24"/>
          <w:rtl/>
        </w:rPr>
        <w:t>ّ</w:t>
      </w:r>
      <w:r w:rsidR="00E11D15" w:rsidRPr="00BF5BB3">
        <w:rPr>
          <w:rFonts w:ascii="Simplified Arabic" w:hAnsi="Simplified Arabic" w:cs="Simplified Arabic"/>
          <w:sz w:val="24"/>
          <w:szCs w:val="24"/>
          <w:rtl/>
        </w:rPr>
        <w:t>رات</w:t>
      </w:r>
      <w:r w:rsidR="00E11D15" w:rsidRPr="00BF5BB3">
        <w:rPr>
          <w:rFonts w:ascii="Simplified Arabic" w:hAnsi="Simplified Arabic" w:cs="Simplified Arabic" w:hint="cs"/>
          <w:sz w:val="24"/>
          <w:szCs w:val="24"/>
          <w:rtl/>
        </w:rPr>
        <w:t xml:space="preserve"> </w:t>
      </w:r>
      <w:r w:rsidR="00E11D15" w:rsidRPr="00BF5BB3">
        <w:rPr>
          <w:rFonts w:ascii="Simplified Arabic" w:hAnsi="Simplified Arabic" w:cs="Simplified Arabic"/>
          <w:sz w:val="24"/>
          <w:szCs w:val="24"/>
          <w:rtl/>
        </w:rPr>
        <w:t>الحضرية</w:t>
      </w:r>
      <w:r w:rsidR="00E11D15" w:rsidRPr="00BF5BB3">
        <w:rPr>
          <w:rFonts w:ascii="Simplified Arabic" w:hAnsi="Simplified Arabic" w:cs="Simplified Arabic" w:hint="cs"/>
          <w:sz w:val="24"/>
          <w:szCs w:val="24"/>
          <w:rtl/>
        </w:rPr>
        <w:t xml:space="preserve"> </w:t>
      </w:r>
      <w:r w:rsidR="00E11D15" w:rsidRPr="00BF5BB3">
        <w:rPr>
          <w:rFonts w:ascii="Simplified Arabic" w:hAnsi="Simplified Arabic" w:cs="Simplified Arabic"/>
          <w:sz w:val="24"/>
          <w:szCs w:val="24"/>
          <w:rtl/>
        </w:rPr>
        <w:t>للمدن</w:t>
      </w:r>
      <w:r w:rsidR="00E11D15" w:rsidRPr="00BF5BB3">
        <w:rPr>
          <w:rFonts w:ascii="Simplified Arabic" w:hAnsi="Simplified Arabic" w:cs="Simplified Arabic" w:hint="cs"/>
          <w:sz w:val="24"/>
          <w:szCs w:val="24"/>
          <w:rtl/>
        </w:rPr>
        <w:t xml:space="preserve"> </w:t>
      </w:r>
      <w:r w:rsidR="00E11D15" w:rsidRPr="00BF5BB3">
        <w:rPr>
          <w:rFonts w:ascii="Simplified Arabic" w:hAnsi="Simplified Arabic" w:cs="Simplified Arabic"/>
          <w:sz w:val="24"/>
          <w:szCs w:val="24"/>
          <w:rtl/>
        </w:rPr>
        <w:t>وتطورات</w:t>
      </w:r>
      <w:r w:rsidR="00E11D15" w:rsidRPr="00BF5BB3">
        <w:rPr>
          <w:rFonts w:ascii="Simplified Arabic" w:hAnsi="Simplified Arabic" w:cs="Simplified Arabic" w:hint="cs"/>
          <w:sz w:val="24"/>
          <w:szCs w:val="24"/>
          <w:rtl/>
        </w:rPr>
        <w:t xml:space="preserve"> المناخ،</w:t>
      </w:r>
      <w:r w:rsidR="00E11D15" w:rsidRPr="00BF5BB3">
        <w:rPr>
          <w:rFonts w:ascii="Simplified Arabic" w:hAnsi="Simplified Arabic" w:cs="Simplified Arabic"/>
          <w:sz w:val="24"/>
          <w:szCs w:val="24"/>
          <w:rtl/>
        </w:rPr>
        <w:t xml:space="preserve"> </w:t>
      </w:r>
      <w:r w:rsidR="00E11D15" w:rsidRPr="00BF5BB3">
        <w:rPr>
          <w:rFonts w:ascii="Simplified Arabic" w:hAnsi="Simplified Arabic" w:cs="Simplified Arabic" w:hint="cs"/>
          <w:sz w:val="24"/>
          <w:szCs w:val="24"/>
          <w:rtl/>
        </w:rPr>
        <w:t>ا</w:t>
      </w:r>
      <w:r w:rsidR="00E11D15" w:rsidRPr="00BF5BB3">
        <w:rPr>
          <w:rFonts w:ascii="Simplified Arabic" w:hAnsi="Simplified Arabic" w:cs="Simplified Arabic"/>
          <w:sz w:val="24"/>
          <w:szCs w:val="24"/>
          <w:rtl/>
        </w:rPr>
        <w:t>ظهرت</w:t>
      </w:r>
      <w:r w:rsidR="00E11D15" w:rsidRPr="00BF5BB3">
        <w:rPr>
          <w:rFonts w:ascii="Simplified Arabic" w:hAnsi="Simplified Arabic" w:cs="Simplified Arabic" w:hint="cs"/>
          <w:sz w:val="24"/>
          <w:szCs w:val="24"/>
          <w:rtl/>
        </w:rPr>
        <w:t xml:space="preserve"> </w:t>
      </w:r>
      <w:r w:rsidR="00E11D15" w:rsidRPr="00BF5BB3">
        <w:rPr>
          <w:rFonts w:ascii="Simplified Arabic" w:hAnsi="Simplified Arabic" w:cs="Simplified Arabic"/>
          <w:sz w:val="24"/>
          <w:szCs w:val="24"/>
          <w:rtl/>
        </w:rPr>
        <w:t>عدة</w:t>
      </w:r>
      <w:r w:rsidR="00E11D15" w:rsidRPr="00BF5BB3">
        <w:rPr>
          <w:rFonts w:ascii="Simplified Arabic" w:hAnsi="Simplified Arabic" w:cs="Simplified Arabic" w:hint="cs"/>
          <w:sz w:val="24"/>
          <w:szCs w:val="24"/>
          <w:rtl/>
        </w:rPr>
        <w:t xml:space="preserve"> </w:t>
      </w:r>
      <w:r w:rsidR="00E11D15" w:rsidRPr="00BF5BB3">
        <w:rPr>
          <w:rFonts w:ascii="Simplified Arabic" w:hAnsi="Simplified Arabic" w:cs="Simplified Arabic"/>
          <w:sz w:val="24"/>
          <w:szCs w:val="24"/>
          <w:rtl/>
        </w:rPr>
        <w:t>اتجاهات</w:t>
      </w:r>
      <w:r w:rsidR="00E11D15" w:rsidRPr="00BF5BB3">
        <w:rPr>
          <w:rFonts w:ascii="Simplified Arabic" w:hAnsi="Simplified Arabic" w:cs="Simplified Arabic" w:hint="cs"/>
          <w:sz w:val="24"/>
          <w:szCs w:val="24"/>
          <w:rtl/>
        </w:rPr>
        <w:t xml:space="preserve"> </w:t>
      </w:r>
      <w:r w:rsidR="00E11D15" w:rsidRPr="00BF5BB3">
        <w:rPr>
          <w:rFonts w:ascii="Simplified Arabic" w:hAnsi="Simplified Arabic" w:cs="Simplified Arabic"/>
          <w:sz w:val="24"/>
          <w:szCs w:val="24"/>
          <w:rtl/>
        </w:rPr>
        <w:t>لتنظيم</w:t>
      </w:r>
      <w:r w:rsidR="00E11D15" w:rsidRPr="00BF5BB3">
        <w:rPr>
          <w:rFonts w:ascii="Simplified Arabic" w:hAnsi="Simplified Arabic" w:cs="Simplified Arabic" w:hint="cs"/>
          <w:sz w:val="24"/>
          <w:szCs w:val="24"/>
          <w:rtl/>
        </w:rPr>
        <w:t xml:space="preserve"> استعمال</w:t>
      </w:r>
      <w:r w:rsidR="00E11D15" w:rsidRPr="00BF5BB3">
        <w:rPr>
          <w:rFonts w:ascii="Simplified Arabic" w:hAnsi="Simplified Arabic" w:cs="Simplified Arabic"/>
          <w:sz w:val="24"/>
          <w:szCs w:val="24"/>
        </w:rPr>
        <w:t xml:space="preserve"> </w:t>
      </w:r>
      <w:r w:rsidR="00E11D15" w:rsidRPr="00BF5BB3">
        <w:rPr>
          <w:rFonts w:ascii="Simplified Arabic" w:hAnsi="Simplified Arabic" w:cs="Simplified Arabic"/>
          <w:sz w:val="24"/>
          <w:szCs w:val="24"/>
          <w:rtl/>
        </w:rPr>
        <w:t>الأرض</w:t>
      </w:r>
      <w:r w:rsidR="00E11D15" w:rsidRPr="00BF5BB3">
        <w:rPr>
          <w:rFonts w:ascii="Simplified Arabic" w:hAnsi="Simplified Arabic" w:cs="Simplified Arabic" w:hint="cs"/>
          <w:sz w:val="24"/>
          <w:szCs w:val="24"/>
          <w:rtl/>
        </w:rPr>
        <w:t xml:space="preserve">، احداها </w:t>
      </w:r>
      <w:r w:rsidR="00E11D15" w:rsidRPr="00BF5BB3">
        <w:rPr>
          <w:rFonts w:ascii="Simplified Arabic" w:hAnsi="Simplified Arabic" w:cs="Simplified Arabic" w:hint="cs"/>
          <w:sz w:val="24"/>
          <w:szCs w:val="24"/>
          <w:rtl/>
          <w:lang w:val="en-US" w:bidi="ar-DZ"/>
        </w:rPr>
        <w:t>دمج مفهوم</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المرونة</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الحضرية</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ضمن استراتيجيات التسيير</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والتخطيط، يضع</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المرونة</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عامل</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رئيسي</w:t>
      </w:r>
      <w:r w:rsidR="00E11D15" w:rsidRPr="00BF5BB3">
        <w:rPr>
          <w:rFonts w:ascii="Simplified Arabic" w:hAnsi="Simplified Arabic" w:cs="Simplified Arabic"/>
          <w:sz w:val="24"/>
          <w:szCs w:val="24"/>
          <w:rtl/>
          <w:lang w:val="en-US" w:bidi="ar-DZ"/>
        </w:rPr>
        <w:t xml:space="preserve"> </w:t>
      </w:r>
      <w:r w:rsidR="00A45A04">
        <w:rPr>
          <w:rFonts w:ascii="Simplified Arabic" w:hAnsi="Simplified Arabic" w:cs="Simplified Arabic" w:hint="cs"/>
          <w:sz w:val="24"/>
          <w:szCs w:val="24"/>
          <w:rtl/>
          <w:lang w:val="en-US" w:bidi="ar-DZ"/>
        </w:rPr>
        <w:t>لإعادة البناء وا</w:t>
      </w:r>
      <w:r w:rsidR="00E11D15" w:rsidRPr="00BF5BB3">
        <w:rPr>
          <w:rFonts w:ascii="Simplified Arabic" w:hAnsi="Simplified Arabic" w:cs="Simplified Arabic" w:hint="cs"/>
          <w:sz w:val="24"/>
          <w:szCs w:val="24"/>
          <w:rtl/>
          <w:lang w:val="en-US" w:bidi="ar-DZ"/>
        </w:rPr>
        <w:t>لتوسع</w:t>
      </w:r>
      <w:r w:rsidR="00E11D15" w:rsidRPr="00BF5BB3">
        <w:rPr>
          <w:rFonts w:ascii="Simplified Arabic" w:hAnsi="Simplified Arabic" w:cs="Simplified Arabic"/>
          <w:sz w:val="24"/>
          <w:szCs w:val="24"/>
          <w:rtl/>
          <w:lang w:val="en-US" w:bidi="ar-DZ"/>
        </w:rPr>
        <w:t xml:space="preserve"> </w:t>
      </w:r>
      <w:r w:rsidR="00E11D15" w:rsidRPr="00BF5BB3">
        <w:rPr>
          <w:rFonts w:ascii="Simplified Arabic" w:hAnsi="Simplified Arabic" w:cs="Simplified Arabic" w:hint="cs"/>
          <w:sz w:val="24"/>
          <w:szCs w:val="24"/>
          <w:rtl/>
          <w:lang w:val="en-US" w:bidi="ar-DZ"/>
        </w:rPr>
        <w:t xml:space="preserve">الحضري، </w:t>
      </w:r>
      <w:r w:rsidR="00A45A04">
        <w:rPr>
          <w:rFonts w:ascii="Simplified Arabic" w:hAnsi="Simplified Arabic" w:cs="Simplified Arabic" w:hint="cs"/>
          <w:sz w:val="24"/>
          <w:szCs w:val="24"/>
          <w:rtl/>
          <w:lang w:val="en-US" w:bidi="ar-DZ"/>
        </w:rPr>
        <w:t>ل</w:t>
      </w:r>
      <w:r w:rsidR="00E11D15" w:rsidRPr="00BF5BB3">
        <w:rPr>
          <w:rFonts w:ascii="Simplified Arabic" w:hAnsi="Simplified Arabic" w:cs="Simplified Arabic" w:hint="cs"/>
          <w:sz w:val="24"/>
          <w:szCs w:val="24"/>
          <w:rtl/>
          <w:lang w:val="en-US" w:bidi="ar-DZ"/>
        </w:rPr>
        <w:t>تحسين قدرات المدن على ال</w:t>
      </w:r>
      <w:r w:rsidR="00BF5BB3">
        <w:rPr>
          <w:rFonts w:ascii="Simplified Arabic" w:hAnsi="Simplified Arabic" w:cs="Simplified Arabic" w:hint="cs"/>
          <w:sz w:val="24"/>
          <w:szCs w:val="24"/>
          <w:rtl/>
          <w:lang w:val="en-US" w:bidi="ar-DZ"/>
        </w:rPr>
        <w:t>تكيف مع</w:t>
      </w:r>
      <w:r w:rsidR="00E11D15" w:rsidRPr="00BF5BB3">
        <w:rPr>
          <w:rFonts w:ascii="Simplified Arabic" w:hAnsi="Simplified Arabic" w:cs="Simplified Arabic" w:hint="cs"/>
          <w:sz w:val="24"/>
          <w:szCs w:val="24"/>
          <w:rtl/>
          <w:lang w:val="en-US" w:bidi="ar-DZ"/>
        </w:rPr>
        <w:t xml:space="preserve"> الاضطرابات.</w:t>
      </w:r>
      <w:r w:rsidR="00BF5BB3" w:rsidRPr="00BF5BB3">
        <w:rPr>
          <w:rFonts w:ascii="Simplified Arabic" w:hAnsi="Simplified Arabic" w:cs="Simplified Arabic" w:hint="cs"/>
          <w:sz w:val="24"/>
          <w:szCs w:val="24"/>
          <w:rtl/>
          <w:lang w:val="en-US" w:bidi="ar-DZ"/>
        </w:rPr>
        <w:t xml:space="preserve"> </w:t>
      </w:r>
      <w:r w:rsidR="00BF5BB3">
        <w:rPr>
          <w:rFonts w:ascii="Simplified Arabic" w:hAnsi="Simplified Arabic" w:cs="Simplified Arabic" w:hint="cs"/>
          <w:sz w:val="24"/>
          <w:szCs w:val="24"/>
          <w:rtl/>
          <w:lang w:val="en-US" w:bidi="ar-DZ"/>
        </w:rPr>
        <w:t xml:space="preserve">يتطلب ذلك </w:t>
      </w:r>
      <w:r w:rsidR="00E11D15" w:rsidRPr="00BF5BB3">
        <w:rPr>
          <w:rFonts w:ascii="Simplified Arabic" w:hAnsi="Simplified Arabic" w:cs="Simplified Arabic" w:hint="cs"/>
          <w:sz w:val="24"/>
          <w:szCs w:val="24"/>
          <w:rtl/>
          <w:lang w:val="en-US"/>
        </w:rPr>
        <w:t>فترة المدى</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الطويل من خلال التدخلات</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التخطيطية</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والممارسات</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العملية التي</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لديها أثر</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على</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توازن</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مستويات</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مرونة</w:t>
      </w:r>
      <w:r w:rsidR="00E11D15" w:rsidRPr="00BF5BB3">
        <w:rPr>
          <w:rFonts w:ascii="Simplified Arabic" w:hAnsi="Simplified Arabic" w:cs="Simplified Arabic"/>
          <w:sz w:val="24"/>
          <w:szCs w:val="24"/>
          <w:rtl/>
          <w:lang w:val="en-US"/>
        </w:rPr>
        <w:t xml:space="preserve"> </w:t>
      </w:r>
      <w:r w:rsidR="00E11D15" w:rsidRPr="00BF5BB3">
        <w:rPr>
          <w:rFonts w:ascii="Simplified Arabic" w:hAnsi="Simplified Arabic" w:cs="Simplified Arabic" w:hint="cs"/>
          <w:sz w:val="24"/>
          <w:szCs w:val="24"/>
          <w:rtl/>
          <w:lang w:val="en-US"/>
        </w:rPr>
        <w:t>المدينة</w:t>
      </w:r>
      <w:r w:rsidR="00E11D15" w:rsidRPr="00BF5BB3">
        <w:rPr>
          <w:rFonts w:ascii="Simplified Arabic" w:hAnsi="Simplified Arabic" w:cs="Simplified Arabic"/>
          <w:sz w:val="24"/>
          <w:szCs w:val="24"/>
          <w:rtl/>
          <w:lang w:val="en-US"/>
        </w:rPr>
        <w:t>.</w:t>
      </w:r>
    </w:p>
    <w:p w:rsidR="0042038B" w:rsidRPr="0042038B" w:rsidRDefault="0042038B" w:rsidP="0042038B">
      <w:pPr>
        <w:pStyle w:val="Paragraphedeliste"/>
        <w:tabs>
          <w:tab w:val="right" w:pos="567"/>
        </w:tabs>
        <w:autoSpaceDE w:val="0"/>
        <w:autoSpaceDN w:val="0"/>
        <w:bidi/>
        <w:adjustRightInd w:val="0"/>
        <w:ind w:left="0"/>
        <w:jc w:val="both"/>
        <w:rPr>
          <w:rFonts w:ascii="Simplified Arabic" w:hAnsi="Simplified Arabic" w:cs="Simplified Arabic"/>
          <w:sz w:val="12"/>
          <w:szCs w:val="12"/>
          <w:lang w:val="en-US" w:bidi="ar-DZ"/>
        </w:rPr>
      </w:pPr>
    </w:p>
    <w:p w:rsidR="00B657A0" w:rsidRPr="00B657A0" w:rsidRDefault="00B657A0" w:rsidP="001D0548">
      <w:pPr>
        <w:pStyle w:val="Paragraphedeliste"/>
        <w:numPr>
          <w:ilvl w:val="0"/>
          <w:numId w:val="15"/>
        </w:numPr>
        <w:tabs>
          <w:tab w:val="right" w:pos="567"/>
        </w:tabs>
        <w:autoSpaceDE w:val="0"/>
        <w:autoSpaceDN w:val="0"/>
        <w:bidi/>
        <w:adjustRightInd w:val="0"/>
        <w:spacing w:before="240" w:after="0"/>
        <w:rPr>
          <w:rFonts w:ascii="Simplified Arabic" w:hAnsi="Simplified Arabic" w:cs="Simplified Arabic"/>
          <w:b/>
          <w:bCs/>
          <w:vanish/>
          <w:sz w:val="24"/>
          <w:szCs w:val="24"/>
          <w:rtl/>
        </w:rPr>
      </w:pPr>
    </w:p>
    <w:p w:rsidR="00B657A0" w:rsidRPr="00B657A0" w:rsidRDefault="00B657A0" w:rsidP="001D0548">
      <w:pPr>
        <w:pStyle w:val="Paragraphedeliste"/>
        <w:numPr>
          <w:ilvl w:val="0"/>
          <w:numId w:val="15"/>
        </w:numPr>
        <w:tabs>
          <w:tab w:val="right" w:pos="567"/>
        </w:tabs>
        <w:autoSpaceDE w:val="0"/>
        <w:autoSpaceDN w:val="0"/>
        <w:bidi/>
        <w:adjustRightInd w:val="0"/>
        <w:spacing w:before="240" w:after="0"/>
        <w:rPr>
          <w:rFonts w:ascii="Simplified Arabic" w:hAnsi="Simplified Arabic" w:cs="Simplified Arabic"/>
          <w:b/>
          <w:bCs/>
          <w:vanish/>
          <w:sz w:val="24"/>
          <w:szCs w:val="24"/>
          <w:rtl/>
        </w:rPr>
      </w:pPr>
    </w:p>
    <w:p w:rsidR="00B657A0" w:rsidRPr="00B657A0" w:rsidRDefault="00B657A0" w:rsidP="001D0548">
      <w:pPr>
        <w:pStyle w:val="Paragraphedeliste"/>
        <w:numPr>
          <w:ilvl w:val="0"/>
          <w:numId w:val="15"/>
        </w:numPr>
        <w:tabs>
          <w:tab w:val="right" w:pos="567"/>
        </w:tabs>
        <w:autoSpaceDE w:val="0"/>
        <w:autoSpaceDN w:val="0"/>
        <w:bidi/>
        <w:adjustRightInd w:val="0"/>
        <w:spacing w:before="240" w:after="0"/>
        <w:rPr>
          <w:rFonts w:ascii="Simplified Arabic" w:hAnsi="Simplified Arabic" w:cs="Simplified Arabic"/>
          <w:b/>
          <w:bCs/>
          <w:vanish/>
          <w:sz w:val="24"/>
          <w:szCs w:val="24"/>
          <w:rtl/>
        </w:rPr>
      </w:pPr>
    </w:p>
    <w:p w:rsidR="00B657A0" w:rsidRPr="00B657A0" w:rsidRDefault="00B657A0" w:rsidP="001D0548">
      <w:pPr>
        <w:pStyle w:val="Paragraphedeliste"/>
        <w:numPr>
          <w:ilvl w:val="0"/>
          <w:numId w:val="15"/>
        </w:numPr>
        <w:tabs>
          <w:tab w:val="right" w:pos="567"/>
        </w:tabs>
        <w:autoSpaceDE w:val="0"/>
        <w:autoSpaceDN w:val="0"/>
        <w:bidi/>
        <w:adjustRightInd w:val="0"/>
        <w:spacing w:before="240" w:after="0"/>
        <w:rPr>
          <w:rFonts w:ascii="Simplified Arabic" w:hAnsi="Simplified Arabic" w:cs="Simplified Arabic"/>
          <w:b/>
          <w:bCs/>
          <w:vanish/>
          <w:sz w:val="24"/>
          <w:szCs w:val="24"/>
          <w:rtl/>
        </w:rPr>
      </w:pPr>
    </w:p>
    <w:p w:rsidR="00A903CE" w:rsidRPr="002C4D82" w:rsidRDefault="00A903CE" w:rsidP="001D0548">
      <w:pPr>
        <w:pStyle w:val="Paragraphedeliste"/>
        <w:numPr>
          <w:ilvl w:val="1"/>
          <w:numId w:val="15"/>
        </w:numPr>
        <w:tabs>
          <w:tab w:val="right" w:pos="567"/>
        </w:tabs>
        <w:autoSpaceDE w:val="0"/>
        <w:autoSpaceDN w:val="0"/>
        <w:bidi/>
        <w:adjustRightInd w:val="0"/>
        <w:spacing w:before="240" w:after="0"/>
        <w:ind w:left="720"/>
        <w:outlineLvl w:val="0"/>
        <w:rPr>
          <w:rFonts w:ascii="Simplified Arabic" w:hAnsi="Simplified Arabic" w:cs="Simplified Arabic"/>
          <w:b/>
          <w:bCs/>
          <w:sz w:val="24"/>
          <w:szCs w:val="24"/>
          <w:rtl/>
        </w:rPr>
      </w:pPr>
      <w:bookmarkStart w:id="265" w:name="_Toc171803417"/>
      <w:r w:rsidRPr="002C4D82">
        <w:rPr>
          <w:rFonts w:ascii="Simplified Arabic" w:hAnsi="Simplified Arabic" w:cs="Simplified Arabic" w:hint="cs"/>
          <w:b/>
          <w:bCs/>
          <w:sz w:val="24"/>
          <w:szCs w:val="24"/>
          <w:rtl/>
        </w:rPr>
        <w:t>تفسير</w:t>
      </w:r>
      <w:r w:rsidRPr="002C4D82">
        <w:rPr>
          <w:rFonts w:ascii="Simplified Arabic" w:hAnsi="Simplified Arabic" w:cs="Simplified Arabic"/>
          <w:b/>
          <w:bCs/>
          <w:sz w:val="24"/>
          <w:szCs w:val="24"/>
          <w:rtl/>
        </w:rPr>
        <w:t xml:space="preserve"> </w:t>
      </w:r>
      <w:r w:rsidRPr="002C4D82">
        <w:rPr>
          <w:rFonts w:ascii="Simplified Arabic" w:hAnsi="Simplified Arabic" w:cs="Simplified Arabic" w:hint="cs"/>
          <w:b/>
          <w:bCs/>
          <w:sz w:val="24"/>
          <w:szCs w:val="24"/>
          <w:rtl/>
        </w:rPr>
        <w:t>المرونة</w:t>
      </w:r>
      <w:r w:rsidRPr="002C4D82">
        <w:rPr>
          <w:rFonts w:ascii="Simplified Arabic" w:hAnsi="Simplified Arabic" w:cs="Simplified Arabic"/>
          <w:b/>
          <w:bCs/>
          <w:sz w:val="24"/>
          <w:szCs w:val="24"/>
          <w:rtl/>
        </w:rPr>
        <w:t xml:space="preserve"> </w:t>
      </w:r>
      <w:r w:rsidRPr="002C4D82">
        <w:rPr>
          <w:rFonts w:ascii="Simplified Arabic" w:hAnsi="Simplified Arabic" w:cs="Simplified Arabic" w:hint="cs"/>
          <w:b/>
          <w:bCs/>
          <w:sz w:val="24"/>
          <w:szCs w:val="24"/>
          <w:rtl/>
        </w:rPr>
        <w:t>الحضرية من خلال تحليل المورفولوجيا والنسيج</w:t>
      </w:r>
      <w:r w:rsidRPr="002C4D82">
        <w:rPr>
          <w:rFonts w:ascii="Simplified Arabic" w:hAnsi="Simplified Arabic" w:cs="Simplified Arabic"/>
          <w:b/>
          <w:bCs/>
          <w:sz w:val="24"/>
          <w:szCs w:val="24"/>
          <w:rtl/>
        </w:rPr>
        <w:t xml:space="preserve"> </w:t>
      </w:r>
      <w:r w:rsidRPr="002C4D82">
        <w:rPr>
          <w:rFonts w:ascii="Simplified Arabic" w:hAnsi="Simplified Arabic" w:cs="Simplified Arabic" w:hint="cs"/>
          <w:b/>
          <w:bCs/>
          <w:sz w:val="24"/>
          <w:szCs w:val="24"/>
          <w:rtl/>
        </w:rPr>
        <w:t>الحضريين</w:t>
      </w:r>
      <w:bookmarkEnd w:id="265"/>
    </w:p>
    <w:p w:rsidR="00A903CE" w:rsidRDefault="00A903CE" w:rsidP="0027496A">
      <w:pPr>
        <w:tabs>
          <w:tab w:val="right" w:pos="281"/>
        </w:tabs>
        <w:bidi/>
        <w:spacing w:after="0"/>
        <w:ind w:firstLine="282"/>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تم </w:t>
      </w:r>
      <w:r w:rsidRPr="002E7C21">
        <w:rPr>
          <w:rFonts w:ascii="Simplified Arabic" w:hAnsi="Simplified Arabic" w:cs="Simplified Arabic" w:hint="cs"/>
          <w:sz w:val="24"/>
          <w:szCs w:val="24"/>
          <w:rtl/>
        </w:rPr>
        <w:t>استخدام</w:t>
      </w:r>
      <w:r w:rsidRPr="002E7C21">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بعض </w:t>
      </w:r>
      <w:r w:rsidRPr="002E7C21">
        <w:rPr>
          <w:rFonts w:ascii="Simplified Arabic" w:hAnsi="Simplified Arabic" w:cs="Simplified Arabic" w:hint="cs"/>
          <w:sz w:val="24"/>
          <w:szCs w:val="24"/>
          <w:rtl/>
        </w:rPr>
        <w:t>الأساليب</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والتقنيات</w:t>
      </w:r>
      <w:r w:rsidRPr="002E7C21">
        <w:rPr>
          <w:rFonts w:ascii="Simplified Arabic" w:hAnsi="Simplified Arabic" w:cs="Simplified Arabic"/>
          <w:sz w:val="24"/>
          <w:szCs w:val="24"/>
          <w:rtl/>
        </w:rPr>
        <w:t xml:space="preserve"> </w:t>
      </w:r>
      <w:r>
        <w:rPr>
          <w:rFonts w:ascii="Simplified Arabic" w:hAnsi="Simplified Arabic" w:cs="Simplified Arabic" w:hint="cs"/>
          <w:sz w:val="24"/>
          <w:szCs w:val="24"/>
          <w:rtl/>
        </w:rPr>
        <w:t>في</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مجالات</w:t>
      </w:r>
      <w:r>
        <w:rPr>
          <w:rFonts w:ascii="Simplified Arabic" w:hAnsi="Simplified Arabic" w:cs="Simplified Arabic" w:hint="cs"/>
          <w:sz w:val="24"/>
          <w:szCs w:val="24"/>
          <w:rtl/>
        </w:rPr>
        <w:t xml:space="preserve"> مثل</w:t>
      </w:r>
      <w:r w:rsidRPr="00C06729">
        <w:rPr>
          <w:rFonts w:ascii="Simplified Arabic" w:hAnsi="Simplified Arabic" w:cs="Simplified Arabic"/>
          <w:sz w:val="24"/>
          <w:szCs w:val="24"/>
          <w:rtl/>
        </w:rPr>
        <w:t xml:space="preserve"> </w:t>
      </w:r>
      <w:r>
        <w:rPr>
          <w:rFonts w:ascii="Simplified Arabic" w:hAnsi="Simplified Arabic" w:cs="Simplified Arabic" w:hint="cs"/>
          <w:sz w:val="24"/>
          <w:szCs w:val="24"/>
          <w:rtl/>
        </w:rPr>
        <w:t>المورفولوجيا الحضرية</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والتصميم</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الحضري</w:t>
      </w:r>
      <w:r w:rsidRPr="00C06729">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C06729">
        <w:rPr>
          <w:rFonts w:ascii="Simplified Arabic" w:hAnsi="Simplified Arabic" w:cs="Simplified Arabic" w:hint="cs"/>
          <w:sz w:val="24"/>
          <w:szCs w:val="24"/>
          <w:rtl/>
        </w:rPr>
        <w:t>دراسة</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وشرح</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التوزيع</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المكاني</w:t>
      </w:r>
      <w:r w:rsidRPr="00C06729">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C06729">
        <w:rPr>
          <w:rFonts w:ascii="Simplified Arabic" w:hAnsi="Simplified Arabic" w:cs="Simplified Arabic" w:hint="cs"/>
          <w:sz w:val="24"/>
          <w:szCs w:val="24"/>
          <w:rtl/>
        </w:rPr>
        <w:t>لعناصر</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داخل</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المدن</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مثل</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المباني</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و</w:t>
      </w:r>
      <w:r w:rsidR="0027496A" w:rsidRPr="0027496A">
        <w:rPr>
          <w:rFonts w:ascii="Simplified Arabic" w:hAnsi="Simplified Arabic" w:cs="Simplified Arabic" w:hint="cs"/>
          <w:sz w:val="24"/>
          <w:szCs w:val="24"/>
          <w:rtl/>
        </w:rPr>
        <w:t xml:space="preserve"> </w:t>
      </w:r>
      <w:r w:rsidR="0027496A">
        <w:rPr>
          <w:rFonts w:ascii="Simplified Arabic" w:hAnsi="Simplified Arabic" w:cs="Simplified Arabic" w:hint="cs"/>
          <w:sz w:val="24"/>
          <w:szCs w:val="24"/>
          <w:rtl/>
        </w:rPr>
        <w:t>استعمال</w:t>
      </w:r>
      <w:r w:rsidRPr="00C06729">
        <w:rPr>
          <w:rFonts w:ascii="Simplified Arabic" w:hAnsi="Simplified Arabic" w:cs="Simplified Arabic"/>
          <w:sz w:val="24"/>
          <w:szCs w:val="24"/>
          <w:rtl/>
        </w:rPr>
        <w:t xml:space="preserve"> </w:t>
      </w:r>
      <w:r w:rsidRPr="00C06729">
        <w:rPr>
          <w:rFonts w:ascii="Simplified Arabic" w:hAnsi="Simplified Arabic" w:cs="Simplified Arabic" w:hint="cs"/>
          <w:sz w:val="24"/>
          <w:szCs w:val="24"/>
          <w:rtl/>
        </w:rPr>
        <w:t>الأرض</w:t>
      </w:r>
      <w:r>
        <w:rPr>
          <w:rFonts w:ascii="Simplified Arabic" w:hAnsi="Simplified Arabic" w:cs="Simplified Arabic" w:hint="cs"/>
          <w:sz w:val="24"/>
          <w:szCs w:val="24"/>
          <w:rtl/>
        </w:rPr>
        <w:t xml:space="preserve"> </w:t>
      </w:r>
      <w:r w:rsidRPr="00B2070D">
        <w:rPr>
          <w:rFonts w:asciiTheme="majorBidi" w:hAnsiTheme="majorBidi" w:cstheme="majorBidi"/>
          <w:sz w:val="24"/>
          <w:szCs w:val="24"/>
          <w:rtl/>
        </w:rPr>
        <w:t>(</w:t>
      </w:r>
      <w:r w:rsidRPr="00507DB0">
        <w:rPr>
          <w:rFonts w:asciiTheme="majorBidi" w:hAnsiTheme="majorBidi" w:cstheme="majorBidi"/>
          <w:sz w:val="24"/>
          <w:szCs w:val="24"/>
        </w:rPr>
        <w:t>Moudon</w:t>
      </w:r>
      <w:r w:rsidRPr="00B2070D">
        <w:rPr>
          <w:rFonts w:asciiTheme="majorBidi" w:hAnsiTheme="majorBidi" w:cstheme="majorBidi"/>
          <w:sz w:val="24"/>
          <w:szCs w:val="24"/>
        </w:rPr>
        <w:t>, 1994</w:t>
      </w:r>
      <w:r w:rsidRPr="00B2070D">
        <w:rPr>
          <w:rFonts w:asciiTheme="majorBidi" w:hAnsiTheme="majorBidi" w:cstheme="majorBidi"/>
          <w:sz w:val="24"/>
          <w:szCs w:val="24"/>
          <w:rtl/>
        </w:rPr>
        <w:t>)</w:t>
      </w:r>
      <w:r>
        <w:rPr>
          <w:rFonts w:ascii="Simplified Arabic" w:hAnsi="Simplified Arabic" w:cs="Simplified Arabic" w:hint="cs"/>
          <w:sz w:val="24"/>
          <w:szCs w:val="24"/>
          <w:rtl/>
        </w:rPr>
        <w:t>. هذا</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يعني</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أنه</w:t>
      </w:r>
      <w:r w:rsidRPr="002E7C21">
        <w:rPr>
          <w:rFonts w:ascii="Simplified Arabic" w:hAnsi="Simplified Arabic" w:cs="Simplified Arabic"/>
          <w:sz w:val="24"/>
          <w:szCs w:val="24"/>
          <w:rtl/>
        </w:rPr>
        <w:t xml:space="preserve"> </w:t>
      </w:r>
      <w:r>
        <w:rPr>
          <w:rFonts w:ascii="Simplified Arabic" w:hAnsi="Simplified Arabic" w:cs="Simplified Arabic" w:hint="cs"/>
          <w:sz w:val="24"/>
          <w:szCs w:val="24"/>
          <w:rtl/>
        </w:rPr>
        <w:t>بالإمكان</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استخدام</w:t>
      </w:r>
      <w:r w:rsidRPr="002E7C21">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هذه </w:t>
      </w:r>
      <w:r w:rsidRPr="002E7C21">
        <w:rPr>
          <w:rFonts w:ascii="Simplified Arabic" w:hAnsi="Simplified Arabic" w:cs="Simplified Arabic" w:hint="cs"/>
          <w:sz w:val="24"/>
          <w:szCs w:val="24"/>
          <w:rtl/>
        </w:rPr>
        <w:t>الأساليب</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والتقنيات</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التي</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تم</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تطويرها</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في</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تفسير</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المرونة</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الحضرية</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من</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منظور</w:t>
      </w:r>
      <w:r w:rsidRPr="002E7C21">
        <w:rPr>
          <w:rFonts w:ascii="Simplified Arabic" w:hAnsi="Simplified Arabic" w:cs="Simplified Arabic"/>
          <w:sz w:val="24"/>
          <w:szCs w:val="24"/>
          <w:rtl/>
        </w:rPr>
        <w:t xml:space="preserve"> </w:t>
      </w:r>
      <w:r w:rsidRPr="002E7C21">
        <w:rPr>
          <w:rFonts w:ascii="Simplified Arabic" w:hAnsi="Simplified Arabic" w:cs="Simplified Arabic" w:hint="cs"/>
          <w:sz w:val="24"/>
          <w:szCs w:val="24"/>
          <w:rtl/>
        </w:rPr>
        <w:t>مكاني</w:t>
      </w:r>
      <w:r w:rsidRPr="002E7C21">
        <w:rPr>
          <w:rFonts w:ascii="Simplified Arabic" w:hAnsi="Simplified Arabic" w:cs="Simplified Arabic"/>
          <w:sz w:val="24"/>
          <w:szCs w:val="24"/>
          <w:rtl/>
        </w:rPr>
        <w:t>.</w:t>
      </w:r>
      <w:r w:rsidRPr="00E83C15">
        <w:rPr>
          <w:rFonts w:hint="cs"/>
          <w:rtl/>
        </w:rPr>
        <w:t xml:space="preserve"> </w:t>
      </w:r>
      <w:r w:rsidRPr="00E83C15">
        <w:rPr>
          <w:rFonts w:ascii="Simplified Arabic" w:hAnsi="Simplified Arabic" w:cs="Simplified Arabic" w:hint="cs"/>
          <w:sz w:val="24"/>
          <w:szCs w:val="24"/>
          <w:rtl/>
        </w:rPr>
        <w:t>تتمثل</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الخطوة</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الأولى</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في</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التساؤل</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حول</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دور</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البيئة </w:t>
      </w:r>
      <w:r w:rsidR="00C62080">
        <w:rPr>
          <w:rFonts w:ascii="Simplified Arabic" w:hAnsi="Simplified Arabic" w:cs="Simplified Arabic" w:hint="cs"/>
          <w:sz w:val="24"/>
          <w:szCs w:val="24"/>
          <w:rtl/>
          <w:lang w:val="en-US"/>
        </w:rPr>
        <w:t>الحضرية</w:t>
      </w:r>
      <w:r>
        <w:rPr>
          <w:rFonts w:ascii="Simplified Arabic" w:hAnsi="Simplified Arabic" w:cs="Simplified Arabic" w:hint="cs"/>
          <w:sz w:val="24"/>
          <w:szCs w:val="24"/>
          <w:rtl/>
        </w:rPr>
        <w:t>،</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أكثر</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تحديدًا،</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نمط </w:t>
      </w:r>
      <w:r w:rsidR="0027496A">
        <w:rPr>
          <w:rFonts w:ascii="Simplified Arabic" w:hAnsi="Simplified Arabic" w:cs="Simplified Arabic" w:hint="cs"/>
          <w:sz w:val="24"/>
          <w:szCs w:val="24"/>
          <w:rtl/>
        </w:rPr>
        <w:t>استعمال</w:t>
      </w:r>
      <w:r>
        <w:rPr>
          <w:rFonts w:ascii="Simplified Arabic" w:hAnsi="Simplified Arabic" w:cs="Simplified Arabic" w:hint="cs"/>
          <w:sz w:val="24"/>
          <w:szCs w:val="24"/>
          <w:rtl/>
        </w:rPr>
        <w:t xml:space="preserve"> الارض الحضرية</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في</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تشكيل</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أنظمة</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حضرية</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أكثر</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مرونة</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و</w:t>
      </w:r>
      <w:r w:rsidRPr="00E83C15">
        <w:rPr>
          <w:rFonts w:ascii="Simplified Arabic" w:hAnsi="Simplified Arabic" w:cs="Simplified Arabic" w:hint="cs"/>
          <w:sz w:val="24"/>
          <w:szCs w:val="24"/>
          <w:rtl/>
        </w:rPr>
        <w:t>في</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فهم</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العلاقة</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بين</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المدينة</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كهيكل</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مبني</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وقدرتها</w:t>
      </w:r>
      <w:r w:rsidRPr="00E83C15">
        <w:rPr>
          <w:rFonts w:ascii="Simplified Arabic" w:hAnsi="Simplified Arabic" w:cs="Simplified Arabic"/>
          <w:sz w:val="24"/>
          <w:szCs w:val="24"/>
          <w:rtl/>
        </w:rPr>
        <w:t xml:space="preserve"> </w:t>
      </w:r>
      <w:r w:rsidRPr="00E83C15">
        <w:rPr>
          <w:rFonts w:ascii="Simplified Arabic" w:hAnsi="Simplified Arabic" w:cs="Simplified Arabic" w:hint="cs"/>
          <w:sz w:val="24"/>
          <w:szCs w:val="24"/>
          <w:rtl/>
        </w:rPr>
        <w:t>على</w:t>
      </w:r>
      <w:r w:rsidRPr="00E83C15">
        <w:rPr>
          <w:rFonts w:ascii="Simplified Arabic" w:hAnsi="Simplified Arabic" w:cs="Simplified Arabic"/>
          <w:sz w:val="24"/>
          <w:szCs w:val="24"/>
          <w:rtl/>
        </w:rPr>
        <w:t xml:space="preserve"> </w:t>
      </w:r>
      <w:r>
        <w:rPr>
          <w:rFonts w:ascii="Simplified Arabic" w:hAnsi="Simplified Arabic" w:cs="Simplified Arabic" w:hint="cs"/>
          <w:sz w:val="24"/>
          <w:szCs w:val="24"/>
          <w:rtl/>
        </w:rPr>
        <w:t>الاستجابة</w:t>
      </w:r>
      <w:r w:rsidRPr="00E83C15">
        <w:rPr>
          <w:rFonts w:ascii="Simplified Arabic" w:hAnsi="Simplified Arabic" w:cs="Simplified Arabic"/>
          <w:sz w:val="24"/>
          <w:szCs w:val="24"/>
          <w:rtl/>
        </w:rPr>
        <w:t>.</w:t>
      </w:r>
    </w:p>
    <w:p w:rsidR="00A903CE" w:rsidRDefault="00A903CE" w:rsidP="00DA491C">
      <w:pPr>
        <w:tabs>
          <w:tab w:val="right" w:pos="281"/>
        </w:tabs>
        <w:bidi/>
        <w:spacing w:after="0"/>
        <w:ind w:firstLine="282"/>
        <w:jc w:val="both"/>
        <w:rPr>
          <w:rFonts w:ascii="Simplified Arabic" w:hAnsi="Simplified Arabic" w:cs="Simplified Arabic"/>
          <w:sz w:val="24"/>
          <w:szCs w:val="24"/>
          <w:rtl/>
        </w:rPr>
      </w:pPr>
      <w:r w:rsidRPr="00507DB0">
        <w:rPr>
          <w:rFonts w:ascii="Simplified Arabic" w:hAnsi="Simplified Arabic" w:cs="Simplified Arabic" w:hint="cs"/>
          <w:sz w:val="24"/>
          <w:szCs w:val="24"/>
          <w:rtl/>
        </w:rPr>
        <w:t>علاوة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ذلك،</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الهيكل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المادي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للمدينة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هو</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الجزء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الذي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يمكن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ملاحظته</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والتدخل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عليه بسهولة</w:t>
      </w:r>
      <w:r w:rsidRPr="00507DB0">
        <w:rPr>
          <w:rFonts w:ascii="Simplified Arabic" w:hAnsi="Simplified Arabic" w:cs="Simplified Arabic"/>
          <w:sz w:val="24"/>
          <w:szCs w:val="24"/>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Marcus and Colding, 2014</w:t>
      </w:r>
      <w:r w:rsidRPr="00507DB0">
        <w:rPr>
          <w:rFonts w:asciiTheme="majorBidi" w:hAnsiTheme="majorBidi" w:cstheme="majorBidi"/>
          <w:sz w:val="24"/>
          <w:szCs w:val="24"/>
          <w:rtl/>
        </w:rPr>
        <w:t>)</w:t>
      </w:r>
      <w:r w:rsidRPr="00507DB0">
        <w:rPr>
          <w:rFonts w:ascii="Simplified Arabic" w:hAnsi="Simplified Arabic" w:cs="Simplified Arabic" w:hint="cs"/>
          <w:sz w:val="24"/>
          <w:szCs w:val="24"/>
          <w:rtl/>
        </w:rPr>
        <w:t>،</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فهو</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أيضًا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أفضل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مكان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للبدء</w:t>
      </w:r>
      <w:r w:rsidRPr="00507DB0">
        <w:rPr>
          <w:rFonts w:ascii="Simplified Arabic" w:hAnsi="Simplified Arabic" w:cs="Simplified Arabic"/>
          <w:sz w:val="24"/>
          <w:szCs w:val="24"/>
          <w:rtl/>
        </w:rPr>
        <w:t xml:space="preserve"> </w:t>
      </w:r>
      <w:r w:rsidR="00D521B7" w:rsidRPr="00507DB0">
        <w:rPr>
          <w:rFonts w:ascii="Simplified Arabic" w:hAnsi="Simplified Arabic" w:cs="Simplified Arabic" w:hint="cs"/>
          <w:sz w:val="24"/>
          <w:szCs w:val="24"/>
          <w:rtl/>
        </w:rPr>
        <w:t xml:space="preserve">في </w:t>
      </w:r>
      <w:r w:rsidRPr="00507DB0">
        <w:rPr>
          <w:rFonts w:ascii="Simplified Arabic" w:hAnsi="Simplified Arabic" w:cs="Simplified Arabic" w:hint="cs"/>
          <w:sz w:val="24"/>
          <w:szCs w:val="24"/>
          <w:rtl/>
        </w:rPr>
        <w:t>دراسة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تأثيرات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السمات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المكانية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للمدن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قدرة</w:t>
      </w:r>
      <w:r w:rsidRPr="00507DB0">
        <w:rPr>
          <w:rFonts w:ascii="Simplified Arabic" w:hAnsi="Simplified Arabic" w:cs="Simplified Arabic"/>
          <w:sz w:val="24"/>
          <w:szCs w:val="24"/>
          <w:rtl/>
        </w:rPr>
        <w:t xml:space="preserve"> </w:t>
      </w:r>
      <w:r w:rsidR="00D521B7" w:rsidRPr="00507DB0">
        <w:rPr>
          <w:rFonts w:ascii="Simplified Arabic" w:hAnsi="Simplified Arabic" w:cs="Simplified Arabic" w:hint="cs"/>
          <w:sz w:val="24"/>
          <w:szCs w:val="24"/>
          <w:rtl/>
        </w:rPr>
        <w:t>الاستجابة</w:t>
      </w:r>
      <w:r w:rsidR="00D521B7" w:rsidRPr="00507DB0">
        <w:rPr>
          <w:rFonts w:ascii="Simplified Arabic" w:hAnsi="Simplified Arabic" w:cs="Simplified Arabic"/>
          <w:sz w:val="24"/>
          <w:szCs w:val="24"/>
          <w:rtl/>
        </w:rPr>
        <w:t xml:space="preserve"> </w:t>
      </w:r>
      <w:r w:rsidR="00D521B7" w:rsidRPr="00507DB0">
        <w:rPr>
          <w:rFonts w:ascii="Simplified Arabic" w:hAnsi="Simplified Arabic" w:cs="Simplified Arabic" w:hint="cs"/>
          <w:sz w:val="24"/>
          <w:szCs w:val="24"/>
          <w:rtl/>
        </w:rPr>
        <w:t>لمواجهة</w:t>
      </w:r>
      <w:r w:rsidRPr="00507DB0">
        <w:rPr>
          <w:rFonts w:ascii="Simplified Arabic" w:hAnsi="Simplified Arabic" w:cs="Simplified Arabic"/>
          <w:sz w:val="24"/>
          <w:szCs w:val="24"/>
          <w:rtl/>
        </w:rPr>
        <w:t xml:space="preserve"> </w:t>
      </w:r>
      <w:r w:rsidR="00D521B7" w:rsidRPr="00507DB0">
        <w:rPr>
          <w:rFonts w:ascii="Simplified Arabic" w:hAnsi="Simplified Arabic" w:cs="Simplified Arabic" w:hint="cs"/>
          <w:sz w:val="24"/>
          <w:szCs w:val="24"/>
          <w:rtl/>
        </w:rPr>
        <w:t>ا</w:t>
      </w:r>
      <w:r w:rsidRPr="00507DB0">
        <w:rPr>
          <w:rFonts w:ascii="Simplified Arabic" w:hAnsi="Simplified Arabic" w:cs="Simplified Arabic" w:hint="cs"/>
          <w:sz w:val="24"/>
          <w:szCs w:val="24"/>
          <w:rtl/>
        </w:rPr>
        <w:t>لاضطرابات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ضمن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هذا</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الرأي،</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فإن</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أي</w:t>
      </w:r>
      <w:r w:rsidRPr="00177518">
        <w:rPr>
          <w:rFonts w:ascii="Simplified Arabic" w:hAnsi="Simplified Arabic" w:cs="Simplified Arabic"/>
          <w:sz w:val="24"/>
          <w:szCs w:val="24"/>
          <w:rtl/>
        </w:rPr>
        <w:t xml:space="preserve"> </w:t>
      </w:r>
      <w:r>
        <w:rPr>
          <w:rFonts w:ascii="Simplified Arabic" w:hAnsi="Simplified Arabic" w:cs="Simplified Arabic" w:hint="cs"/>
          <w:sz w:val="24"/>
          <w:szCs w:val="24"/>
          <w:rtl/>
        </w:rPr>
        <w:t>اضطرابات</w:t>
      </w:r>
      <w:r w:rsidRPr="00177518">
        <w:rPr>
          <w:rFonts w:ascii="Simplified Arabic" w:hAnsi="Simplified Arabic" w:cs="Simplified Arabic"/>
          <w:sz w:val="24"/>
          <w:szCs w:val="24"/>
          <w:rtl/>
        </w:rPr>
        <w:t xml:space="preserve"> </w:t>
      </w:r>
      <w:r>
        <w:rPr>
          <w:rFonts w:ascii="Simplified Arabic" w:hAnsi="Simplified Arabic" w:cs="Simplified Arabic" w:hint="cs"/>
          <w:sz w:val="24"/>
          <w:szCs w:val="24"/>
          <w:rtl/>
        </w:rPr>
        <w:t>داخل</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المدينة</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سيكون</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لها</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أيضًا</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تأثير</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على</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السلوك</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العام،</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وبالتالي</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مرونة</w:t>
      </w:r>
      <w:r w:rsidRPr="00177518">
        <w:rPr>
          <w:rFonts w:ascii="Simplified Arabic" w:hAnsi="Simplified Arabic" w:cs="Simplified Arabic"/>
          <w:sz w:val="24"/>
          <w:szCs w:val="24"/>
          <w:rtl/>
        </w:rPr>
        <w:t xml:space="preserve"> </w:t>
      </w:r>
      <w:r>
        <w:rPr>
          <w:rFonts w:ascii="Simplified Arabic" w:hAnsi="Simplified Arabic" w:cs="Simplified Arabic" w:hint="cs"/>
          <w:sz w:val="24"/>
          <w:szCs w:val="24"/>
          <w:rtl/>
        </w:rPr>
        <w:t>ا</w:t>
      </w:r>
      <w:r w:rsidRPr="00177518">
        <w:rPr>
          <w:rFonts w:ascii="Simplified Arabic" w:hAnsi="Simplified Arabic" w:cs="Simplified Arabic" w:hint="cs"/>
          <w:sz w:val="24"/>
          <w:szCs w:val="24"/>
          <w:rtl/>
        </w:rPr>
        <w:t>لنظام</w:t>
      </w:r>
      <w:r w:rsidRPr="00177518">
        <w:rPr>
          <w:rFonts w:ascii="Simplified Arabic" w:hAnsi="Simplified Arabic" w:cs="Simplified Arabic"/>
          <w:sz w:val="24"/>
          <w:szCs w:val="24"/>
          <w:rtl/>
        </w:rPr>
        <w:t xml:space="preserve"> </w:t>
      </w:r>
      <w:r w:rsidRPr="00177518">
        <w:rPr>
          <w:rFonts w:ascii="Simplified Arabic" w:hAnsi="Simplified Arabic" w:cs="Simplified Arabic" w:hint="cs"/>
          <w:sz w:val="24"/>
          <w:szCs w:val="24"/>
          <w:rtl/>
        </w:rPr>
        <w:t>الحضري</w:t>
      </w:r>
      <w:r w:rsidRPr="00177518">
        <w:rPr>
          <w:rFonts w:ascii="Simplified Arabic" w:hAnsi="Simplified Arabic" w:cs="Simplified Arabic"/>
          <w:sz w:val="24"/>
          <w:szCs w:val="24"/>
          <w:rtl/>
        </w:rPr>
        <w:t>.</w:t>
      </w:r>
    </w:p>
    <w:p w:rsidR="00A903CE" w:rsidRDefault="00A903CE" w:rsidP="0027496A">
      <w:pPr>
        <w:bidi/>
        <w:spacing w:after="0"/>
        <w:ind w:firstLine="282"/>
        <w:jc w:val="both"/>
        <w:rPr>
          <w:rtl/>
        </w:rPr>
      </w:pPr>
      <w:r w:rsidRPr="008C05D7">
        <w:rPr>
          <w:rFonts w:ascii="Simplified Arabic" w:hAnsi="Simplified Arabic" w:cs="Simplified Arabic" w:hint="cs"/>
          <w:sz w:val="24"/>
          <w:szCs w:val="24"/>
          <w:rtl/>
          <w:lang w:bidi="ar-DZ"/>
        </w:rPr>
        <w:t>تم</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تعزيز</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الصلة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بين</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المرونة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الحضرية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و</w:t>
      </w:r>
      <w:r w:rsidR="0027496A" w:rsidRPr="0027496A">
        <w:rPr>
          <w:rFonts w:ascii="Simplified Arabic" w:hAnsi="Simplified Arabic" w:cs="Simplified Arabic" w:hint="cs"/>
          <w:sz w:val="24"/>
          <w:szCs w:val="24"/>
          <w:rtl/>
        </w:rPr>
        <w:t xml:space="preserve"> </w:t>
      </w:r>
      <w:r w:rsidR="0027496A">
        <w:rPr>
          <w:rFonts w:ascii="Simplified Arabic" w:hAnsi="Simplified Arabic" w:cs="Simplified Arabic" w:hint="cs"/>
          <w:sz w:val="24"/>
          <w:szCs w:val="24"/>
          <w:rtl/>
        </w:rPr>
        <w:t>استعمال</w:t>
      </w:r>
      <w:r w:rsidRPr="008C05D7">
        <w:rPr>
          <w:rFonts w:ascii="Simplified Arabic" w:hAnsi="Simplified Arabic" w:cs="Simplified Arabic" w:hint="cs"/>
          <w:sz w:val="24"/>
          <w:szCs w:val="24"/>
          <w:rtl/>
          <w:lang w:bidi="ar-DZ"/>
        </w:rPr>
        <w:t>ات الارض</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بواسطة</w:t>
      </w:r>
      <w:r w:rsidRPr="008C05D7">
        <w:rPr>
          <w:rFonts w:asciiTheme="minorBidi" w:hAnsiTheme="minorBidi" w:cs="Arial"/>
          <w:sz w:val="24"/>
          <w:szCs w:val="24"/>
          <w:rtl/>
          <w:lang w:bidi="ar-DZ"/>
        </w:rPr>
        <w:t xml:space="preserve"> </w:t>
      </w:r>
      <w:r w:rsidRPr="008C05D7">
        <w:rPr>
          <w:rFonts w:asciiTheme="majorBidi" w:hAnsiTheme="majorBidi" w:cstheme="majorBidi" w:hint="cs"/>
          <w:sz w:val="24"/>
          <w:szCs w:val="24"/>
          <w:rtl/>
          <w:lang w:bidi="ar-DZ"/>
        </w:rPr>
        <w:t>(</w:t>
      </w:r>
      <w:r w:rsidRPr="00507DB0">
        <w:rPr>
          <w:rFonts w:asciiTheme="majorBidi" w:hAnsiTheme="majorBidi" w:cstheme="majorBidi"/>
          <w:sz w:val="24"/>
          <w:szCs w:val="24"/>
          <w:lang w:bidi="ar-DZ"/>
        </w:rPr>
        <w:t>Peres</w:t>
      </w:r>
      <w:r w:rsidRPr="008C05D7">
        <w:rPr>
          <w:rFonts w:asciiTheme="majorBidi" w:hAnsiTheme="majorBidi" w:cstheme="majorBidi"/>
          <w:sz w:val="24"/>
          <w:szCs w:val="24"/>
          <w:lang w:bidi="ar-DZ"/>
        </w:rPr>
        <w:t xml:space="preserve"> et al., 2016</w:t>
      </w:r>
      <w:r w:rsidRPr="008C05D7">
        <w:rPr>
          <w:rFonts w:asciiTheme="majorBidi" w:hAnsiTheme="majorBidi" w:cstheme="majorBidi"/>
          <w:sz w:val="24"/>
          <w:szCs w:val="24"/>
          <w:rtl/>
          <w:lang w:bidi="ar-DZ"/>
        </w:rPr>
        <w:t>)</w:t>
      </w:r>
      <w:r w:rsidRPr="008C05D7">
        <w:rPr>
          <w:rFonts w:ascii="Simplified Arabic" w:hAnsi="Simplified Arabic" w:cs="Simplified Arabic" w:hint="cs"/>
          <w:sz w:val="24"/>
          <w:szCs w:val="24"/>
          <w:rtl/>
          <w:lang w:bidi="ar-DZ"/>
        </w:rPr>
        <w:t>،</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الذي</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اشار</w:t>
      </w:r>
      <w:r w:rsidRPr="008C05D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الى </w:t>
      </w:r>
      <w:r w:rsidRPr="008C05D7">
        <w:rPr>
          <w:rFonts w:ascii="Simplified Arabic" w:hAnsi="Simplified Arabic" w:cs="Simplified Arabic" w:hint="cs"/>
          <w:sz w:val="24"/>
          <w:szCs w:val="24"/>
          <w:rtl/>
          <w:lang w:bidi="ar-DZ"/>
        </w:rPr>
        <w:t>إنه</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يتم</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إنشاء</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المرونة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الحضرية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أيضًا</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من</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الخصائص</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المكانية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لأنظمة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البيئية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الحضرية،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من</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خلال</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فهم</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كيفية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ظهور</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هذه</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الخصائص</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المكانية،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يمكن</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إعادة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هيكلة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المجال الحضري</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من</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أجل</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إنشاء</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مناطق حضرية</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أكثر</w:t>
      </w:r>
      <w:r w:rsidRPr="008C05D7">
        <w:rPr>
          <w:rFonts w:ascii="Simplified Arabic" w:hAnsi="Simplified Arabic" w:cs="Simplified Arabic"/>
          <w:sz w:val="24"/>
          <w:szCs w:val="24"/>
          <w:rtl/>
          <w:lang w:bidi="ar-DZ"/>
        </w:rPr>
        <w:t xml:space="preserve"> </w:t>
      </w:r>
      <w:r w:rsidRPr="008C05D7">
        <w:rPr>
          <w:rFonts w:ascii="Simplified Arabic" w:hAnsi="Simplified Arabic" w:cs="Simplified Arabic" w:hint="cs"/>
          <w:sz w:val="24"/>
          <w:szCs w:val="24"/>
          <w:rtl/>
          <w:lang w:bidi="ar-DZ"/>
        </w:rPr>
        <w:t>مرونة.</w:t>
      </w:r>
      <w:r w:rsidRPr="008C05D7">
        <w:rPr>
          <w:rFonts w:hint="cs"/>
          <w:rtl/>
        </w:rPr>
        <w:t xml:space="preserve"> </w:t>
      </w:r>
    </w:p>
    <w:p w:rsidR="00A903CE" w:rsidRDefault="00A903CE" w:rsidP="00C23656">
      <w:pPr>
        <w:bidi/>
        <w:spacing w:after="0"/>
        <w:ind w:firstLine="282"/>
        <w:jc w:val="both"/>
        <w:rPr>
          <w:rFonts w:ascii="Simplified Arabic" w:hAnsi="Simplified Arabic" w:cs="Simplified Arabic"/>
          <w:sz w:val="24"/>
          <w:szCs w:val="24"/>
          <w:rtl/>
          <w:lang w:bidi="ar-DZ"/>
        </w:rPr>
      </w:pPr>
      <w:r w:rsidRPr="00504D4D">
        <w:rPr>
          <w:rFonts w:ascii="Simplified Arabic" w:hAnsi="Simplified Arabic" w:cs="Simplified Arabic" w:hint="cs"/>
          <w:sz w:val="24"/>
          <w:szCs w:val="24"/>
          <w:rtl/>
          <w:lang w:bidi="ar-DZ"/>
        </w:rPr>
        <w:t>بهذا</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المعنى،</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يمكن</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اعتبار</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أن</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التوزيع المكاني الملائم</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يحتوي</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على</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إمكانات</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كامنة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أو</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مخزنة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تخلق</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الشروط</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المسبقة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المكانية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لتكون</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قادرة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على</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استيعاب</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الصدمات التي قد تصيب النظام الحضري</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م</w:t>
      </w:r>
      <w:r>
        <w:rPr>
          <w:rFonts w:ascii="Simplified Arabic" w:hAnsi="Simplified Arabic" w:cs="Simplified Arabic" w:hint="cs"/>
          <w:sz w:val="24"/>
          <w:szCs w:val="24"/>
          <w:rtl/>
          <w:lang w:bidi="ar-DZ"/>
        </w:rPr>
        <w:t>ع</w:t>
      </w:r>
      <w:r w:rsidRPr="00504D4D">
        <w:rPr>
          <w:rFonts w:ascii="Simplified Arabic" w:hAnsi="Simplified Arabic" w:cs="Simplified Arabic" w:hint="cs"/>
          <w:sz w:val="24"/>
          <w:szCs w:val="24"/>
          <w:rtl/>
          <w:lang w:bidi="ar-DZ"/>
        </w:rPr>
        <w:t>ن</w:t>
      </w:r>
      <w:r>
        <w:rPr>
          <w:rFonts w:ascii="Simplified Arabic" w:hAnsi="Simplified Arabic" w:cs="Simplified Arabic" w:hint="cs"/>
          <w:sz w:val="24"/>
          <w:szCs w:val="24"/>
          <w:rtl/>
          <w:lang w:bidi="ar-DZ"/>
        </w:rPr>
        <w:t>ى</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ذلك،</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ان التوزيع المكاني الملائم</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للوظائف </w:t>
      </w:r>
      <w:r>
        <w:rPr>
          <w:rFonts w:ascii="Simplified Arabic" w:hAnsi="Simplified Arabic" w:cs="Simplified Arabic" w:hint="cs"/>
          <w:sz w:val="24"/>
          <w:szCs w:val="24"/>
          <w:rtl/>
          <w:lang w:bidi="ar-DZ"/>
        </w:rPr>
        <w:lastRenderedPageBreak/>
        <w:t>الحضرية و الخدمات</w:t>
      </w:r>
      <w:r w:rsidRPr="00504D4D">
        <w:rPr>
          <w:rFonts w:ascii="Simplified Arabic" w:hAnsi="Simplified Arabic" w:cs="Simplified Arabic" w:hint="cs"/>
          <w:sz w:val="24"/>
          <w:szCs w:val="24"/>
          <w:rtl/>
          <w:lang w:bidi="ar-DZ"/>
        </w:rPr>
        <w:t>،</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يجب</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أن</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w:t>
      </w:r>
      <w:r w:rsidRPr="00504D4D">
        <w:rPr>
          <w:rFonts w:ascii="Simplified Arabic" w:hAnsi="Simplified Arabic" w:cs="Simplified Arabic" w:hint="cs"/>
          <w:sz w:val="24"/>
          <w:szCs w:val="24"/>
          <w:rtl/>
          <w:lang w:bidi="ar-DZ"/>
        </w:rPr>
        <w:t>كون</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قادرًا</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على</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استيعاب الاضطراب من خلال اظهار تلك السمات المكانية للمرونة الحضرية (الكثافة، التنوع، التكرار 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Pr>
          <w:rFonts w:ascii="Simplified Arabic" w:hAnsi="Simplified Arabic" w:cs="Simplified Arabic" w:hint="cs"/>
          <w:sz w:val="24"/>
          <w:szCs w:val="24"/>
          <w:rtl/>
          <w:lang w:bidi="ar-DZ"/>
        </w:rPr>
        <w:t>)</w:t>
      </w:r>
      <w:r w:rsidRPr="00504D4D">
        <w:rPr>
          <w:rFonts w:ascii="Simplified Arabic" w:hAnsi="Simplified Arabic" w:cs="Simplified Arabic"/>
          <w:sz w:val="24"/>
          <w:szCs w:val="24"/>
          <w:rtl/>
          <w:lang w:bidi="ar-DZ"/>
        </w:rPr>
        <w:t>.</w:t>
      </w:r>
      <w:r w:rsidRPr="00504D4D">
        <w:rPr>
          <w:rFonts w:hint="cs"/>
          <w:rtl/>
        </w:rPr>
        <w:t xml:space="preserve"> </w:t>
      </w:r>
      <w:r w:rsidRPr="00504D4D">
        <w:rPr>
          <w:rFonts w:ascii="Simplified Arabic" w:hAnsi="Simplified Arabic" w:cs="Simplified Arabic" w:hint="cs"/>
          <w:sz w:val="24"/>
          <w:szCs w:val="24"/>
          <w:rtl/>
          <w:lang w:bidi="ar-DZ"/>
        </w:rPr>
        <w:t>بالمثل،</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إذا</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كان</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w:t>
      </w:r>
      <w:r>
        <w:rPr>
          <w:rFonts w:ascii="Simplified Arabic" w:hAnsi="Simplified Arabic" w:cs="Simplified Arabic" w:hint="cs"/>
          <w:sz w:val="24"/>
          <w:szCs w:val="24"/>
          <w:rtl/>
          <w:lang w:bidi="ar-DZ"/>
        </w:rPr>
        <w:t>توزيع المكاني غير ملائم</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للوظائف الحضرية والخدمات</w:t>
      </w:r>
      <w:r w:rsidRPr="00504D4D">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قد تظهر بعض وظائفه فشل جزئي</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مما يقلل من</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504D4D">
        <w:rPr>
          <w:rFonts w:ascii="Simplified Arabic" w:hAnsi="Simplified Arabic" w:cs="Simplified Arabic" w:hint="cs"/>
          <w:sz w:val="24"/>
          <w:szCs w:val="24"/>
          <w:rtl/>
          <w:lang w:bidi="ar-DZ"/>
        </w:rPr>
        <w:t>قدر</w:t>
      </w:r>
      <w:r>
        <w:rPr>
          <w:rFonts w:ascii="Simplified Arabic" w:hAnsi="Simplified Arabic" w:cs="Simplified Arabic" w:hint="cs"/>
          <w:sz w:val="24"/>
          <w:szCs w:val="24"/>
          <w:rtl/>
          <w:lang w:bidi="ar-DZ"/>
        </w:rPr>
        <w:t>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على</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استيعاب الاضطراب</w:t>
      </w:r>
      <w:r w:rsidRPr="00504D4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w:t>
      </w:r>
      <w:r w:rsidRPr="00504D4D">
        <w:rPr>
          <w:rFonts w:ascii="Simplified Arabic" w:hAnsi="Simplified Arabic" w:cs="Simplified Arabic" w:hint="cs"/>
          <w:sz w:val="24"/>
          <w:szCs w:val="24"/>
          <w:rtl/>
          <w:lang w:bidi="ar-DZ"/>
        </w:rPr>
        <w:t>يقلل</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من</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القدرة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التكيفية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الإجمالية</w:t>
      </w:r>
      <w:r w:rsidRPr="00504D4D">
        <w:rPr>
          <w:rFonts w:ascii="Simplified Arabic" w:hAnsi="Simplified Arabic" w:cs="Simplified Arabic"/>
          <w:sz w:val="24"/>
          <w:szCs w:val="24"/>
          <w:rtl/>
          <w:lang w:bidi="ar-DZ"/>
        </w:rPr>
        <w:t xml:space="preserve"> </w:t>
      </w:r>
      <w:r w:rsidRPr="00504D4D">
        <w:rPr>
          <w:rFonts w:ascii="Simplified Arabic" w:hAnsi="Simplified Arabic" w:cs="Simplified Arabic" w:hint="cs"/>
          <w:sz w:val="24"/>
          <w:szCs w:val="24"/>
          <w:rtl/>
          <w:lang w:bidi="ar-DZ"/>
        </w:rPr>
        <w:t>للمدينة</w:t>
      </w:r>
      <w:r w:rsidRPr="00504D4D">
        <w:rPr>
          <w:rFonts w:ascii="Simplified Arabic" w:hAnsi="Simplified Arabic" w:cs="Simplified Arabic"/>
          <w:sz w:val="24"/>
          <w:szCs w:val="24"/>
          <w:rtl/>
          <w:lang w:bidi="ar-DZ"/>
        </w:rPr>
        <w:t xml:space="preserve">. </w:t>
      </w:r>
    </w:p>
    <w:p w:rsidR="00A903CE" w:rsidRPr="009D11B9" w:rsidRDefault="00A903CE" w:rsidP="001D0548">
      <w:pPr>
        <w:pStyle w:val="Paragraphedeliste"/>
        <w:numPr>
          <w:ilvl w:val="2"/>
          <w:numId w:val="79"/>
        </w:numPr>
        <w:tabs>
          <w:tab w:val="right" w:pos="850"/>
        </w:tabs>
        <w:autoSpaceDE w:val="0"/>
        <w:autoSpaceDN w:val="0"/>
        <w:bidi/>
        <w:adjustRightInd w:val="0"/>
        <w:spacing w:after="0"/>
        <w:ind w:left="0" w:firstLine="0"/>
        <w:outlineLvl w:val="1"/>
        <w:rPr>
          <w:rFonts w:ascii="Simplified Arabic" w:hAnsi="Simplified Arabic" w:cs="Simplified Arabic"/>
          <w:b/>
          <w:bCs/>
          <w:sz w:val="24"/>
          <w:szCs w:val="24"/>
        </w:rPr>
      </w:pPr>
      <w:bookmarkStart w:id="266" w:name="_Toc171803418"/>
      <w:r w:rsidRPr="009D11B9">
        <w:rPr>
          <w:rFonts w:ascii="Simplified Arabic" w:hAnsi="Simplified Arabic" w:cs="Simplified Arabic" w:hint="cs"/>
          <w:b/>
          <w:bCs/>
          <w:sz w:val="24"/>
          <w:szCs w:val="24"/>
          <w:rtl/>
        </w:rPr>
        <w:t>تحليل المورفولوجيا</w:t>
      </w:r>
      <w:r w:rsidRPr="009D11B9">
        <w:rPr>
          <w:rFonts w:ascii="Simplified Arabic" w:hAnsi="Simplified Arabic" w:cs="Simplified Arabic"/>
          <w:b/>
          <w:bCs/>
          <w:sz w:val="24"/>
          <w:szCs w:val="24"/>
          <w:rtl/>
        </w:rPr>
        <w:t xml:space="preserve"> </w:t>
      </w:r>
      <w:r w:rsidRPr="009D11B9">
        <w:rPr>
          <w:rFonts w:ascii="Simplified Arabic" w:hAnsi="Simplified Arabic" w:cs="Simplified Arabic" w:hint="cs"/>
          <w:b/>
          <w:bCs/>
          <w:sz w:val="24"/>
          <w:szCs w:val="24"/>
          <w:rtl/>
        </w:rPr>
        <w:t>الحضرية والطوبولوجيا</w:t>
      </w:r>
      <w:r w:rsidRPr="009D11B9">
        <w:rPr>
          <w:rFonts w:ascii="Simplified Arabic" w:hAnsi="Simplified Arabic" w:cs="Simplified Arabic"/>
          <w:b/>
          <w:bCs/>
          <w:sz w:val="24"/>
          <w:szCs w:val="24"/>
          <w:rtl/>
        </w:rPr>
        <w:t xml:space="preserve"> </w:t>
      </w:r>
      <w:r w:rsidRPr="009D11B9">
        <w:rPr>
          <w:rFonts w:ascii="Simplified Arabic" w:hAnsi="Simplified Arabic" w:cs="Simplified Arabic" w:hint="cs"/>
          <w:b/>
          <w:bCs/>
          <w:sz w:val="24"/>
          <w:szCs w:val="24"/>
          <w:rtl/>
        </w:rPr>
        <w:t>الحضرية</w:t>
      </w:r>
      <w:bookmarkEnd w:id="266"/>
    </w:p>
    <w:p w:rsidR="00A903CE" w:rsidRPr="00AF3FEB" w:rsidRDefault="00A903CE" w:rsidP="00DC0092">
      <w:pPr>
        <w:tabs>
          <w:tab w:val="right" w:pos="281"/>
        </w:tabs>
        <w:bidi/>
        <w:spacing w:after="0"/>
        <w:ind w:firstLine="282"/>
        <w:jc w:val="both"/>
        <w:rPr>
          <w:rFonts w:ascii="Simplified Arabic" w:hAnsi="Simplified Arabic" w:cs="Simplified Arabic"/>
          <w:sz w:val="24"/>
          <w:szCs w:val="24"/>
          <w:rtl/>
        </w:rPr>
      </w:pPr>
      <w:r w:rsidRPr="00507DB0">
        <w:rPr>
          <w:rFonts w:ascii="Simplified Arabic" w:hAnsi="Simplified Arabic" w:cs="Simplified Arabic"/>
          <w:sz w:val="24"/>
          <w:szCs w:val="24"/>
          <w:rtl/>
        </w:rPr>
        <w:t xml:space="preserve">يمكن أن يكون للمورفولوجيا </w:t>
      </w:r>
      <w:r w:rsidR="00DC0092" w:rsidRPr="00507DB0">
        <w:rPr>
          <w:rFonts w:ascii="Simplified Arabic" w:hAnsi="Simplified Arabic" w:cs="Simplified Arabic" w:hint="cs"/>
          <w:sz w:val="24"/>
          <w:szCs w:val="24"/>
          <w:rtl/>
        </w:rPr>
        <w:t>و</w:t>
      </w:r>
      <w:r w:rsidR="00DC0092">
        <w:rPr>
          <w:rFonts w:ascii="Simplified Arabic" w:hAnsi="Simplified Arabic" w:cs="Simplified Arabic" w:hint="cs"/>
          <w:sz w:val="24"/>
          <w:szCs w:val="24"/>
          <w:rtl/>
        </w:rPr>
        <w:t>ال</w:t>
      </w:r>
      <w:r w:rsidR="00DC0092" w:rsidRPr="00507DB0">
        <w:rPr>
          <w:rFonts w:ascii="Simplified Arabic" w:hAnsi="Simplified Arabic" w:cs="Simplified Arabic"/>
          <w:sz w:val="24"/>
          <w:szCs w:val="24"/>
          <w:rtl/>
        </w:rPr>
        <w:t>طوبولوجي</w:t>
      </w:r>
      <w:r w:rsidR="00DC0092">
        <w:rPr>
          <w:rFonts w:ascii="Simplified Arabic" w:hAnsi="Simplified Arabic" w:cs="Simplified Arabic" w:hint="cs"/>
          <w:sz w:val="24"/>
          <w:szCs w:val="24"/>
          <w:rtl/>
        </w:rPr>
        <w:t>ة</w:t>
      </w:r>
      <w:r w:rsidR="00DC0092" w:rsidRPr="00507DB0">
        <w:rPr>
          <w:rFonts w:ascii="Simplified Arabic" w:hAnsi="Simplified Arabic" w:cs="Simplified Arabic"/>
          <w:sz w:val="24"/>
          <w:szCs w:val="24"/>
          <w:rtl/>
        </w:rPr>
        <w:t xml:space="preserve"> </w:t>
      </w:r>
      <w:r w:rsidRPr="00507DB0">
        <w:rPr>
          <w:rFonts w:ascii="Simplified Arabic" w:hAnsi="Simplified Arabic" w:cs="Simplified Arabic"/>
          <w:sz w:val="24"/>
          <w:szCs w:val="24"/>
          <w:rtl/>
        </w:rPr>
        <w:t xml:space="preserve">الحضرية نتائج من أجل التعرف على المدينة </w:t>
      </w:r>
      <w:r w:rsidRPr="00507DB0">
        <w:rPr>
          <w:rFonts w:ascii="Simplified Arabic" w:hAnsi="Simplified Arabic" w:cs="Simplified Arabic" w:hint="cs"/>
          <w:sz w:val="24"/>
          <w:szCs w:val="24"/>
          <w:rtl/>
        </w:rPr>
        <w:t>''</w:t>
      </w:r>
      <w:r w:rsidRPr="00507DB0">
        <w:rPr>
          <w:rFonts w:ascii="Simplified Arabic" w:hAnsi="Simplified Arabic" w:cs="Simplified Arabic"/>
          <w:sz w:val="24"/>
          <w:szCs w:val="24"/>
          <w:rtl/>
        </w:rPr>
        <w:t>بناء</w:t>
      </w:r>
      <w:r w:rsidRPr="00507DB0">
        <w:rPr>
          <w:rFonts w:ascii="Simplified Arabic" w:hAnsi="Simplified Arabic" w:cs="Simplified Arabic" w:hint="cs"/>
          <w:sz w:val="24"/>
          <w:szCs w:val="24"/>
          <w:rtl/>
        </w:rPr>
        <w:t xml:space="preserve"> </w:t>
      </w:r>
      <w:r w:rsidRPr="00507DB0">
        <w:rPr>
          <w:rFonts w:ascii="Simplified Arabic" w:hAnsi="Simplified Arabic" w:cs="Simplified Arabic"/>
          <w:sz w:val="24"/>
          <w:szCs w:val="24"/>
          <w:rtl/>
        </w:rPr>
        <w:t>المدينة</w:t>
      </w:r>
      <w:r w:rsidRPr="00507DB0">
        <w:rPr>
          <w:rFonts w:ascii="Simplified Arabic" w:hAnsi="Simplified Arabic" w:cs="Simplified Arabic" w:hint="cs"/>
          <w:sz w:val="24"/>
          <w:szCs w:val="24"/>
          <w:rtl/>
        </w:rPr>
        <w:t>''</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lang w:bidi="ar-DZ"/>
        </w:rPr>
        <w:t xml:space="preserve">وفق   </w:t>
      </w:r>
      <w:r w:rsidRPr="00507DB0">
        <w:rPr>
          <w:rFonts w:asciiTheme="majorBidi" w:hAnsiTheme="majorBidi" w:cstheme="majorBidi"/>
          <w:sz w:val="24"/>
          <w:szCs w:val="24"/>
          <w:rtl/>
        </w:rPr>
        <w:t>(</w:t>
      </w:r>
      <w:r w:rsidRPr="00507DB0">
        <w:rPr>
          <w:rFonts w:asciiTheme="majorBidi" w:hAnsiTheme="majorBidi" w:cstheme="majorBidi"/>
          <w:sz w:val="24"/>
          <w:szCs w:val="24"/>
        </w:rPr>
        <w:t>Moudon, 1994</w:t>
      </w:r>
      <w:r w:rsidRPr="00507DB0">
        <w:rPr>
          <w:rFonts w:asciiTheme="majorBidi" w:hAnsiTheme="majorBidi" w:cstheme="majorBidi"/>
          <w:sz w:val="24"/>
          <w:szCs w:val="24"/>
          <w:rtl/>
        </w:rPr>
        <w:t>)</w:t>
      </w:r>
      <w:r w:rsidRPr="00507DB0">
        <w:rPr>
          <w:rFonts w:ascii="Simplified Arabic" w:hAnsi="Simplified Arabic" w:cs="Simplified Arabic" w:hint="cs"/>
          <w:sz w:val="24"/>
          <w:szCs w:val="24"/>
          <w:rtl/>
        </w:rPr>
        <w:t>،</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يمكن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فهم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المدينة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وهيكلها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إلا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خلال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وضع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المدينة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سياقها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التاريخي. تتم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دراسة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التطور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الأفقي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للمدينة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النمو الحضري،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اعتمادًا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السياق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الجغرافي،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السياسي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والتاريخي. </w:t>
      </w:r>
      <w:r w:rsidRPr="00507DB0">
        <w:rPr>
          <w:rFonts w:ascii="Simplified Arabic" w:hAnsi="Simplified Arabic" w:cs="Simplified Arabic"/>
          <w:sz w:val="24"/>
          <w:szCs w:val="24"/>
          <w:rtl/>
        </w:rPr>
        <w:t>بال</w:t>
      </w:r>
      <w:r w:rsidRPr="00AF3FEB">
        <w:rPr>
          <w:rFonts w:ascii="Simplified Arabic" w:hAnsi="Simplified Arabic" w:cs="Simplified Arabic"/>
          <w:sz w:val="24"/>
          <w:szCs w:val="24"/>
          <w:rtl/>
        </w:rPr>
        <w:t xml:space="preserve">تالي، فإن </w:t>
      </w:r>
      <w:r w:rsidRPr="00AF3FEB">
        <w:rPr>
          <w:rFonts w:ascii="Simplified Arabic" w:hAnsi="Simplified Arabic" w:cs="Simplified Arabic" w:hint="cs"/>
          <w:sz w:val="24"/>
          <w:szCs w:val="24"/>
          <w:rtl/>
        </w:rPr>
        <w:t>المورفولوجيا</w:t>
      </w:r>
      <w:r w:rsidRPr="00AF3FEB">
        <w:rPr>
          <w:rFonts w:ascii="Simplified Arabic" w:hAnsi="Simplified Arabic" w:cs="Simplified Arabic"/>
          <w:sz w:val="24"/>
          <w:szCs w:val="24"/>
          <w:rtl/>
        </w:rPr>
        <w:t xml:space="preserve"> الحضري</w:t>
      </w:r>
      <w:r w:rsidRPr="00AF3FEB">
        <w:rPr>
          <w:rFonts w:ascii="Simplified Arabic" w:hAnsi="Simplified Arabic" w:cs="Simplified Arabic" w:hint="cs"/>
          <w:sz w:val="24"/>
          <w:szCs w:val="24"/>
          <w:rtl/>
        </w:rPr>
        <w:t>ة</w:t>
      </w:r>
      <w:r w:rsidRPr="00AF3FEB">
        <w:rPr>
          <w:rFonts w:ascii="Simplified Arabic" w:hAnsi="Simplified Arabic" w:cs="Simplified Arabic"/>
          <w:sz w:val="24"/>
          <w:szCs w:val="24"/>
          <w:rtl/>
        </w:rPr>
        <w:t xml:space="preserve"> ه</w:t>
      </w:r>
      <w:r w:rsidRPr="00AF3FEB">
        <w:rPr>
          <w:rFonts w:ascii="Simplified Arabic" w:hAnsi="Simplified Arabic" w:cs="Simplified Arabic" w:hint="cs"/>
          <w:sz w:val="24"/>
          <w:szCs w:val="24"/>
          <w:rtl/>
        </w:rPr>
        <w:t>ي</w:t>
      </w:r>
      <w:r w:rsidRPr="00AF3FEB">
        <w:rPr>
          <w:rFonts w:ascii="Simplified Arabic" w:hAnsi="Simplified Arabic" w:cs="Simplified Arabic"/>
          <w:sz w:val="24"/>
          <w:szCs w:val="24"/>
          <w:rtl/>
        </w:rPr>
        <w:t xml:space="preserve"> وسيلة لقراءة المدينة، من أجل شرح شكلها أو التمييز بين أشكال مكوناتها المختلفة. </w:t>
      </w:r>
    </w:p>
    <w:p w:rsidR="00A903CE" w:rsidRPr="00AF3FEB" w:rsidRDefault="00A903CE" w:rsidP="0027496A">
      <w:pPr>
        <w:tabs>
          <w:tab w:val="right" w:pos="281"/>
        </w:tabs>
        <w:bidi/>
        <w:spacing w:after="0"/>
        <w:ind w:firstLine="282"/>
        <w:jc w:val="both"/>
        <w:rPr>
          <w:rFonts w:ascii="Simplified Arabic" w:hAnsi="Simplified Arabic" w:cs="Simplified Arabic"/>
          <w:sz w:val="24"/>
          <w:szCs w:val="24"/>
          <w:rtl/>
        </w:rPr>
      </w:pPr>
      <w:r w:rsidRPr="00084667">
        <w:rPr>
          <w:rFonts w:ascii="Simplified Arabic" w:hAnsi="Simplified Arabic" w:cs="Simplified Arabic" w:hint="cs"/>
          <w:sz w:val="24"/>
          <w:szCs w:val="24"/>
          <w:rtl/>
        </w:rPr>
        <w:t>صّوب</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المنظرون الحداثيون</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معظم</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تركيزهم</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على</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تحديد</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النوع</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والوظيفة</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وتكرار</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الشكل</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والبنية</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في</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دراسة</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البيئات</w:t>
      </w:r>
      <w:r w:rsidRPr="00084667">
        <w:rPr>
          <w:rFonts w:ascii="Simplified Arabic" w:hAnsi="Simplified Arabic" w:cs="Simplified Arabic"/>
          <w:sz w:val="24"/>
          <w:szCs w:val="24"/>
          <w:rtl/>
        </w:rPr>
        <w:t xml:space="preserve"> </w:t>
      </w:r>
      <w:r w:rsidRPr="00084667">
        <w:rPr>
          <w:rFonts w:ascii="Simplified Arabic" w:hAnsi="Simplified Arabic" w:cs="Simplified Arabic" w:hint="cs"/>
          <w:sz w:val="24"/>
          <w:szCs w:val="24"/>
          <w:rtl/>
        </w:rPr>
        <w:t>الحضرية</w:t>
      </w:r>
      <w:r w:rsidRPr="00507DB0">
        <w:rPr>
          <w:rFonts w:ascii="Simplified Arabic" w:hAnsi="Simplified Arabic" w:cs="Simplified Arabic"/>
          <w:sz w:val="24"/>
          <w:szCs w:val="24"/>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Salat, 2011</w:t>
      </w:r>
      <w:r w:rsidRPr="00507DB0">
        <w:rPr>
          <w:rFonts w:asciiTheme="majorBidi" w:hAnsiTheme="majorBidi" w:cstheme="majorBidi"/>
          <w:sz w:val="24"/>
          <w:szCs w:val="24"/>
          <w:rtl/>
        </w:rPr>
        <w:t>)</w:t>
      </w:r>
      <w:r w:rsidRPr="00507DB0">
        <w:rPr>
          <w:rFonts w:ascii="Simplified Arabic" w:hAnsi="Simplified Arabic" w:cs="Simplified Arabic"/>
          <w:sz w:val="24"/>
          <w:szCs w:val="24"/>
          <w:rtl/>
        </w:rPr>
        <w:t xml:space="preserve">. بالتالي، يمكن أن يخلق </w:t>
      </w:r>
      <w:r w:rsidRPr="00507DB0">
        <w:rPr>
          <w:rFonts w:ascii="Simplified Arabic" w:hAnsi="Simplified Arabic" w:cs="Simplified Arabic" w:hint="cs"/>
          <w:sz w:val="24"/>
          <w:szCs w:val="24"/>
          <w:rtl/>
        </w:rPr>
        <w:t>التوزيع المكاني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لكثافة </w:t>
      </w:r>
      <w:r w:rsidRPr="00507DB0">
        <w:rPr>
          <w:rFonts w:ascii="Simplified Arabic" w:hAnsi="Simplified Arabic" w:cs="Simplified Arabic"/>
          <w:sz w:val="24"/>
          <w:szCs w:val="24"/>
          <w:rtl/>
        </w:rPr>
        <w:t xml:space="preserve">المباني نقاط ضعف مختلفة في حالة الفيضانات. </w:t>
      </w:r>
      <w:r w:rsidRPr="00507DB0">
        <w:rPr>
          <w:rFonts w:ascii="Simplified Arabic" w:hAnsi="Simplified Arabic" w:cs="Simplified Arabic" w:hint="cs"/>
          <w:sz w:val="24"/>
          <w:szCs w:val="24"/>
          <w:rtl/>
        </w:rPr>
        <w:t>كما يمكن للتوزيع المكاني للمرافق والخدمات من خلال</w:t>
      </w:r>
      <w:r w:rsidRPr="00507DB0">
        <w:rPr>
          <w:rFonts w:ascii="Simplified Arabic" w:hAnsi="Simplified Arabic" w:cs="Simplified Arabic"/>
          <w:sz w:val="24"/>
          <w:szCs w:val="24"/>
          <w:rtl/>
        </w:rPr>
        <w:t xml:space="preserve"> التنوع</w:t>
      </w:r>
      <w:r w:rsidRPr="00507DB0">
        <w:rPr>
          <w:rFonts w:ascii="Simplified Arabic" w:hAnsi="Simplified Arabic" w:cs="Simplified Arabic" w:hint="cs"/>
          <w:sz w:val="24"/>
          <w:szCs w:val="24"/>
          <w:rtl/>
        </w:rPr>
        <w:t xml:space="preserve"> والتكرار ان يؤثر على مستوى المرونة اثناء الفيضانات.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اشار </w:t>
      </w:r>
      <w:r w:rsidRPr="00507DB0">
        <w:rPr>
          <w:rFonts w:asciiTheme="majorBidi" w:hAnsiTheme="majorBidi" w:cstheme="majorBidi"/>
          <w:sz w:val="24"/>
          <w:szCs w:val="24"/>
          <w:rtl/>
        </w:rPr>
        <w:t>(</w:t>
      </w:r>
      <w:r w:rsidRPr="00507DB0">
        <w:rPr>
          <w:rFonts w:asciiTheme="majorBidi" w:hAnsiTheme="majorBidi" w:cstheme="majorBidi"/>
          <w:sz w:val="24"/>
          <w:szCs w:val="24"/>
        </w:rPr>
        <w:t>Salat, 2011</w:t>
      </w:r>
      <w:r w:rsidRPr="00507DB0">
        <w:rPr>
          <w:rFonts w:asciiTheme="majorBidi" w:hAnsiTheme="majorBidi" w:cstheme="majorBidi"/>
          <w:sz w:val="24"/>
          <w:szCs w:val="24"/>
          <w:rtl/>
        </w:rPr>
        <w:t>)</w:t>
      </w:r>
      <w:r w:rsidRPr="00507DB0">
        <w:rPr>
          <w:rFonts w:ascii="Simplified Arabic" w:hAnsi="Simplified Arabic" w:cs="Simplified Arabic" w:hint="cs"/>
          <w:sz w:val="24"/>
          <w:szCs w:val="24"/>
          <w:rtl/>
        </w:rPr>
        <w:t xml:space="preserve"> انه يجب تضمين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التضاريس</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أو</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المنحدر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أو</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التضاريس</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المنطقة، وتوزيع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الأنشطة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خلال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مواقع</w:t>
      </w:r>
      <w:r w:rsidRPr="00507DB0">
        <w:rPr>
          <w:rFonts w:ascii="Simplified Arabic" w:hAnsi="Simplified Arabic" w:cs="Simplified Arabic"/>
          <w:sz w:val="24"/>
          <w:szCs w:val="24"/>
          <w:rtl/>
        </w:rPr>
        <w:t xml:space="preserve"> </w:t>
      </w:r>
      <w:r w:rsidR="0027496A">
        <w:rPr>
          <w:rFonts w:ascii="Simplified Arabic" w:hAnsi="Simplified Arabic" w:cs="Simplified Arabic" w:hint="cs"/>
          <w:sz w:val="24"/>
          <w:szCs w:val="24"/>
          <w:rtl/>
        </w:rPr>
        <w:t>استعمال</w:t>
      </w:r>
      <w:r w:rsidRPr="00507DB0">
        <w:rPr>
          <w:rFonts w:ascii="Simplified Arabic" w:hAnsi="Simplified Arabic" w:cs="Simplified Arabic" w:hint="cs"/>
          <w:sz w:val="24"/>
          <w:szCs w:val="24"/>
          <w:rtl/>
        </w:rPr>
        <w:t>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الأراضي</w:t>
      </w:r>
      <w:r w:rsidRPr="00507DB0">
        <w:rPr>
          <w:rFonts w:ascii="Simplified Arabic" w:hAnsi="Simplified Arabic" w:cs="Simplified Arabic"/>
          <w:sz w:val="24"/>
          <w:szCs w:val="24"/>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Talen, 2018</w:t>
      </w:r>
      <w:r w:rsidRPr="00507DB0">
        <w:rPr>
          <w:rFonts w:asciiTheme="majorBidi" w:hAnsiTheme="majorBidi" w:cstheme="majorBidi"/>
          <w:sz w:val="24"/>
          <w:szCs w:val="24"/>
          <w:rtl/>
        </w:rPr>
        <w:t>)</w:t>
      </w:r>
      <w:r w:rsidRPr="00507DB0">
        <w:rPr>
          <w:rFonts w:ascii="Simplified Arabic" w:hAnsi="Simplified Arabic" w:cs="Simplified Arabic"/>
          <w:sz w:val="24"/>
          <w:szCs w:val="24"/>
          <w:rtl/>
        </w:rPr>
        <w:t>.</w:t>
      </w:r>
    </w:p>
    <w:p w:rsidR="00A903CE" w:rsidRPr="00AF3FEB" w:rsidRDefault="00A903CE" w:rsidP="00D345AB">
      <w:pPr>
        <w:autoSpaceDE w:val="0"/>
        <w:autoSpaceDN w:val="0"/>
        <w:bidi/>
        <w:adjustRightInd w:val="0"/>
        <w:spacing w:after="0"/>
        <w:ind w:firstLine="282"/>
        <w:jc w:val="both"/>
        <w:rPr>
          <w:rFonts w:ascii="Simplified Arabic" w:hAnsi="Simplified Arabic" w:cs="Simplified Arabic"/>
          <w:sz w:val="24"/>
          <w:szCs w:val="24"/>
          <w:rtl/>
        </w:rPr>
      </w:pPr>
      <w:r w:rsidRPr="00AF3FEB">
        <w:rPr>
          <w:rFonts w:ascii="Simplified Arabic" w:hAnsi="Simplified Arabic" w:cs="Simplified Arabic" w:hint="cs"/>
          <w:sz w:val="24"/>
          <w:szCs w:val="24"/>
          <w:rtl/>
        </w:rPr>
        <w:t>الطوبولوجيا</w:t>
      </w:r>
      <w:r w:rsidRPr="00AF3FEB">
        <w:rPr>
          <w:rFonts w:ascii="Simplified Arabic" w:hAnsi="Simplified Arabic" w:cs="Simplified Arabic"/>
          <w:sz w:val="24"/>
          <w:szCs w:val="24"/>
          <w:rtl/>
        </w:rPr>
        <w:t xml:space="preserve"> ه</w:t>
      </w:r>
      <w:r w:rsidRPr="00AF3FEB">
        <w:rPr>
          <w:rFonts w:ascii="Simplified Arabic" w:hAnsi="Simplified Arabic" w:cs="Simplified Arabic" w:hint="cs"/>
          <w:sz w:val="24"/>
          <w:szCs w:val="24"/>
          <w:rtl/>
        </w:rPr>
        <w:t>ي</w:t>
      </w:r>
      <w:r w:rsidRPr="00AF3FEB">
        <w:rPr>
          <w:rFonts w:ascii="Simplified Arabic" w:hAnsi="Simplified Arabic" w:cs="Simplified Arabic"/>
          <w:sz w:val="24"/>
          <w:szCs w:val="24"/>
          <w:rtl/>
        </w:rPr>
        <w:t xml:space="preserve"> طريقة للتعرف على المكونات الأولية من نفس النوع. يعتمد تصنيف المبنى على شكله وطريقة بنائه (جماعي، فردي، مستمر، إلخ). المعايير التي يستخدمها المخطط</w:t>
      </w:r>
      <w:r w:rsidRPr="00AF3FEB">
        <w:rPr>
          <w:rFonts w:ascii="Simplified Arabic" w:hAnsi="Simplified Arabic" w:cs="Simplified Arabic" w:hint="cs"/>
          <w:sz w:val="24"/>
          <w:szCs w:val="24"/>
          <w:rtl/>
        </w:rPr>
        <w:t>ون</w:t>
      </w:r>
      <w:r w:rsidRPr="00AF3FEB">
        <w:rPr>
          <w:rFonts w:ascii="Simplified Arabic" w:hAnsi="Simplified Arabic" w:cs="Simplified Arabic"/>
          <w:sz w:val="24"/>
          <w:szCs w:val="24"/>
          <w:rtl/>
        </w:rPr>
        <w:t xml:space="preserve"> الحضري</w:t>
      </w:r>
      <w:r w:rsidRPr="00AF3FEB">
        <w:rPr>
          <w:rFonts w:ascii="Simplified Arabic" w:hAnsi="Simplified Arabic" w:cs="Simplified Arabic" w:hint="cs"/>
          <w:sz w:val="24"/>
          <w:szCs w:val="24"/>
          <w:rtl/>
        </w:rPr>
        <w:t>و</w:t>
      </w:r>
      <w:r w:rsidRPr="00AF3FEB">
        <w:rPr>
          <w:rFonts w:ascii="Simplified Arabic" w:hAnsi="Simplified Arabic" w:cs="Simplified Arabic"/>
          <w:sz w:val="24"/>
          <w:szCs w:val="24"/>
          <w:rtl/>
        </w:rPr>
        <w:t>ن أو المهندس</w:t>
      </w:r>
      <w:r w:rsidRPr="00AF3FEB">
        <w:rPr>
          <w:rFonts w:ascii="Simplified Arabic" w:hAnsi="Simplified Arabic" w:cs="Simplified Arabic" w:hint="cs"/>
          <w:sz w:val="24"/>
          <w:szCs w:val="24"/>
          <w:rtl/>
        </w:rPr>
        <w:t>و</w:t>
      </w:r>
      <w:r w:rsidRPr="00AF3FEB">
        <w:rPr>
          <w:rFonts w:ascii="Simplified Arabic" w:hAnsi="Simplified Arabic" w:cs="Simplified Arabic"/>
          <w:sz w:val="24"/>
          <w:szCs w:val="24"/>
          <w:rtl/>
        </w:rPr>
        <w:t>ن المعماري</w:t>
      </w:r>
      <w:r w:rsidRPr="00AF3FEB">
        <w:rPr>
          <w:rFonts w:ascii="Simplified Arabic" w:hAnsi="Simplified Arabic" w:cs="Simplified Arabic" w:hint="cs"/>
          <w:sz w:val="24"/>
          <w:szCs w:val="24"/>
          <w:rtl/>
        </w:rPr>
        <w:t>و</w:t>
      </w:r>
      <w:r w:rsidRPr="00AF3FEB">
        <w:rPr>
          <w:rFonts w:ascii="Simplified Arabic" w:hAnsi="Simplified Arabic" w:cs="Simplified Arabic"/>
          <w:sz w:val="24"/>
          <w:szCs w:val="24"/>
          <w:rtl/>
        </w:rPr>
        <w:t>ن لإجراء هذه القراءة للمدينة</w:t>
      </w:r>
      <w:r w:rsidRPr="00AF3FEB">
        <w:rPr>
          <w:rFonts w:ascii="Simplified Arabic" w:hAnsi="Simplified Arabic" w:cs="Simplified Arabic" w:hint="cs"/>
          <w:sz w:val="24"/>
          <w:szCs w:val="24"/>
          <w:rtl/>
        </w:rPr>
        <w:t>،</w:t>
      </w:r>
      <w:r w:rsidRPr="00AF3FEB">
        <w:rPr>
          <w:rFonts w:ascii="Simplified Arabic" w:hAnsi="Simplified Arabic" w:cs="Simplified Arabic"/>
          <w:sz w:val="24"/>
          <w:szCs w:val="24"/>
          <w:rtl/>
        </w:rPr>
        <w:t xml:space="preserve"> </w:t>
      </w:r>
      <w:r w:rsidRPr="00AF3FEB">
        <w:rPr>
          <w:rFonts w:ascii="Simplified Arabic" w:hAnsi="Simplified Arabic" w:cs="Simplified Arabic" w:hint="cs"/>
          <w:sz w:val="24"/>
          <w:szCs w:val="24"/>
          <w:rtl/>
        </w:rPr>
        <w:t xml:space="preserve">تتم من خلال </w:t>
      </w:r>
      <w:r w:rsidRPr="00AF3FEB">
        <w:rPr>
          <w:rFonts w:ascii="Simplified Arabic" w:hAnsi="Simplified Arabic" w:cs="Simplified Arabic"/>
          <w:sz w:val="24"/>
          <w:szCs w:val="24"/>
          <w:rtl/>
        </w:rPr>
        <w:t>دمج الجوانب الت</w:t>
      </w:r>
      <w:r w:rsidR="00D345AB">
        <w:rPr>
          <w:rFonts w:ascii="Simplified Arabic" w:hAnsi="Simplified Arabic" w:cs="Simplified Arabic"/>
          <w:sz w:val="24"/>
          <w:szCs w:val="24"/>
          <w:rtl/>
        </w:rPr>
        <w:t>اريخية والاجتماعية والاقتصادية.</w:t>
      </w:r>
    </w:p>
    <w:p w:rsidR="00A903CE" w:rsidRDefault="00A903CE" w:rsidP="0027496A">
      <w:pPr>
        <w:tabs>
          <w:tab w:val="right" w:pos="281"/>
        </w:tabs>
        <w:bidi/>
        <w:spacing w:after="0"/>
        <w:ind w:firstLine="282"/>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حسب </w:t>
      </w:r>
      <w:r>
        <w:rPr>
          <w:rFonts w:ascii="Times New Roman" w:hAnsi="Times New Roman" w:cs="Times New Roman"/>
          <w:sz w:val="24"/>
          <w:szCs w:val="24"/>
        </w:rPr>
        <w:t>(</w:t>
      </w:r>
      <w:r w:rsidRPr="00507DB0">
        <w:rPr>
          <w:rFonts w:ascii="Times New Roman" w:hAnsi="Times New Roman" w:cs="Times New Roman"/>
          <w:sz w:val="24"/>
          <w:szCs w:val="24"/>
        </w:rPr>
        <w:t>Conzen</w:t>
      </w:r>
      <w:r>
        <w:rPr>
          <w:rFonts w:ascii="Times New Roman" w:hAnsi="Times New Roman" w:cs="Times New Roman"/>
          <w:sz w:val="24"/>
          <w:szCs w:val="24"/>
        </w:rPr>
        <w:t xml:space="preserve">, </w:t>
      </w:r>
      <w:r w:rsidR="00DA491C">
        <w:rPr>
          <w:rFonts w:ascii="Times New Roman" w:hAnsi="Times New Roman" w:cs="Times New Roman"/>
          <w:sz w:val="24"/>
          <w:szCs w:val="24"/>
        </w:rPr>
        <w:t>1960</w:t>
      </w:r>
      <w:r>
        <w:rPr>
          <w:rFonts w:ascii="Times New Roman" w:hAnsi="Times New Roman" w:cs="Times New Roman"/>
          <w:sz w:val="24"/>
          <w:szCs w:val="24"/>
        </w:rPr>
        <w:t>)</w:t>
      </w:r>
      <w:r w:rsidRPr="005B658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5B6583">
        <w:rPr>
          <w:rFonts w:ascii="Simplified Arabic" w:hAnsi="Simplified Arabic" w:cs="Simplified Arabic" w:hint="cs"/>
          <w:sz w:val="24"/>
          <w:szCs w:val="24"/>
          <w:rtl/>
        </w:rPr>
        <w:t>مؤسس</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rPr>
        <w:t>المورفولوجيا</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الحضري</w:t>
      </w:r>
      <w:r>
        <w:rPr>
          <w:rFonts w:ascii="Simplified Arabic" w:hAnsi="Simplified Arabic" w:cs="Simplified Arabic" w:hint="cs"/>
          <w:sz w:val="24"/>
          <w:szCs w:val="24"/>
          <w:rtl/>
        </w:rPr>
        <w:t>ة</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الأنجلوساكسوني</w:t>
      </w:r>
      <w:r>
        <w:rPr>
          <w:rFonts w:ascii="Simplified Arabic" w:hAnsi="Simplified Arabic" w:cs="Simplified Arabic" w:hint="cs"/>
          <w:sz w:val="24"/>
          <w:szCs w:val="24"/>
          <w:rtl/>
        </w:rPr>
        <w:t>ة</w:t>
      </w:r>
      <w:r w:rsidRPr="005B6583">
        <w:rPr>
          <w:rFonts w:ascii="Simplified Arabic" w:hAnsi="Simplified Arabic" w:cs="Simplified Arabic" w:hint="cs"/>
          <w:sz w:val="24"/>
          <w:szCs w:val="24"/>
          <w:rtl/>
        </w:rPr>
        <w:t>،</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يرى ان تجميع عناصر يمكن ان تشترك لفهم كيف تم تكوين مرحلة معينة من مراحل تطور المدينة. ترتبط هذه العناصر التي تحدث عنها </w:t>
      </w:r>
      <w:r>
        <w:rPr>
          <w:rFonts w:ascii="Times New Roman" w:hAnsi="Times New Roman" w:cs="Times New Roman"/>
          <w:sz w:val="24"/>
          <w:szCs w:val="24"/>
        </w:rPr>
        <w:t>(Conzen)</w:t>
      </w:r>
      <w:r>
        <w:rPr>
          <w:rFonts w:ascii="Simplified Arabic" w:hAnsi="Simplified Arabic" w:cs="Simplified Arabic" w:hint="cs"/>
          <w:sz w:val="24"/>
          <w:szCs w:val="24"/>
          <w:rtl/>
        </w:rPr>
        <w:t xml:space="preserve"> ب</w:t>
      </w:r>
      <w:r w:rsidRPr="005B6583">
        <w:rPr>
          <w:rFonts w:ascii="Simplified Arabic" w:hAnsi="Simplified Arabic" w:cs="Simplified Arabic" w:hint="cs"/>
          <w:sz w:val="24"/>
          <w:szCs w:val="24"/>
          <w:rtl/>
        </w:rPr>
        <w:t>الهياكل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الثلاثة</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للشكل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الحضري</w:t>
      </w:r>
      <w:r>
        <w:rPr>
          <w:rFonts w:ascii="Simplified Arabic" w:hAnsi="Simplified Arabic" w:cs="Simplified Arabic" w:hint="cs"/>
          <w:sz w:val="24"/>
          <w:szCs w:val="24"/>
          <w:rtl/>
        </w:rPr>
        <w:t xml:space="preserve"> وهي:</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المخطط،</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نسيج </w:t>
      </w:r>
      <w:r w:rsidRPr="005B6583">
        <w:rPr>
          <w:rFonts w:ascii="Simplified Arabic" w:hAnsi="Simplified Arabic" w:cs="Simplified Arabic" w:hint="cs"/>
          <w:sz w:val="24"/>
          <w:szCs w:val="24"/>
          <w:rtl/>
        </w:rPr>
        <w:t>البناء</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و</w:t>
      </w:r>
      <w:r w:rsidR="0027496A">
        <w:rPr>
          <w:rFonts w:ascii="Simplified Arabic" w:hAnsi="Simplified Arabic" w:cs="Simplified Arabic" w:hint="cs"/>
          <w:sz w:val="24"/>
          <w:szCs w:val="24"/>
          <w:rtl/>
        </w:rPr>
        <w:t>استعمال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الأرض</w:t>
      </w:r>
      <w:r w:rsidRPr="005B6583">
        <w:rPr>
          <w:rFonts w:ascii="Simplified Arabic" w:hAnsi="Simplified Arabic" w:cs="Simplified Arabic"/>
          <w:sz w:val="24"/>
          <w:szCs w:val="24"/>
          <w:rtl/>
        </w:rPr>
        <w:t xml:space="preserve">. </w:t>
      </w:r>
    </w:p>
    <w:p w:rsidR="00A903CE" w:rsidRPr="00081A99" w:rsidRDefault="00A903CE" w:rsidP="001D0548">
      <w:pPr>
        <w:pStyle w:val="Paragraphedeliste"/>
        <w:numPr>
          <w:ilvl w:val="0"/>
          <w:numId w:val="8"/>
        </w:numPr>
        <w:tabs>
          <w:tab w:val="right" w:pos="282"/>
        </w:tabs>
        <w:bidi/>
        <w:spacing w:after="0"/>
        <w:ind w:left="-1" w:firstLine="0"/>
        <w:jc w:val="both"/>
        <w:rPr>
          <w:rFonts w:ascii="Simplified Arabic" w:hAnsi="Simplified Arabic" w:cs="Simplified Arabic"/>
          <w:sz w:val="24"/>
          <w:szCs w:val="24"/>
        </w:rPr>
      </w:pPr>
      <w:r w:rsidRPr="00081A99">
        <w:rPr>
          <w:rFonts w:ascii="Simplified Arabic" w:hAnsi="Simplified Arabic" w:cs="Simplified Arabic" w:hint="cs"/>
          <w:b/>
          <w:bCs/>
          <w:sz w:val="24"/>
          <w:szCs w:val="24"/>
          <w:rtl/>
        </w:rPr>
        <w:t>المخطط</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يرتبط</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بالشكل</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العام</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للتجمع الحضري</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مع</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المخطط</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العام</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للمدينة، في</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كثير</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من</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الأحيان مع</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الخطة</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التفصيلية</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قطاع</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المدينة،</w:t>
      </w:r>
      <w:r w:rsidRPr="00081A99">
        <w:rPr>
          <w:rFonts w:ascii="Simplified Arabic" w:hAnsi="Simplified Arabic" w:cs="Simplified Arabic"/>
          <w:sz w:val="24"/>
          <w:szCs w:val="24"/>
          <w:rtl/>
        </w:rPr>
        <w:t xml:space="preserve"> </w:t>
      </w:r>
      <w:r w:rsidRPr="00081A99">
        <w:rPr>
          <w:rFonts w:ascii="Simplified Arabic" w:hAnsi="Simplified Arabic" w:cs="Simplified Arabic" w:hint="cs"/>
          <w:sz w:val="24"/>
          <w:szCs w:val="24"/>
          <w:rtl/>
        </w:rPr>
        <w:t>التقسيم</w:t>
      </w:r>
      <w:r w:rsidRPr="00081A99">
        <w:rPr>
          <w:rFonts w:ascii="Simplified Arabic" w:hAnsi="Simplified Arabic" w:cs="Simplified Arabic"/>
          <w:sz w:val="24"/>
          <w:szCs w:val="24"/>
          <w:rtl/>
        </w:rPr>
        <w:t>).</w:t>
      </w:r>
    </w:p>
    <w:p w:rsidR="00A903CE" w:rsidRPr="00BB6121" w:rsidRDefault="00A903CE" w:rsidP="001D0548">
      <w:pPr>
        <w:pStyle w:val="Paragraphedeliste"/>
        <w:numPr>
          <w:ilvl w:val="0"/>
          <w:numId w:val="9"/>
        </w:numPr>
        <w:tabs>
          <w:tab w:val="right" w:pos="282"/>
        </w:tabs>
        <w:bidi/>
        <w:spacing w:after="0"/>
        <w:ind w:left="-1" w:firstLine="0"/>
        <w:jc w:val="both"/>
        <w:rPr>
          <w:rFonts w:ascii="Simplified Arabic" w:hAnsi="Simplified Arabic" w:cs="Simplified Arabic"/>
          <w:sz w:val="24"/>
          <w:szCs w:val="24"/>
        </w:rPr>
      </w:pPr>
      <w:r w:rsidRPr="00BB6121">
        <w:rPr>
          <w:rFonts w:ascii="Simplified Arabic" w:hAnsi="Simplified Arabic" w:cs="Simplified Arabic" w:hint="cs"/>
          <w:b/>
          <w:bCs/>
          <w:sz w:val="24"/>
          <w:szCs w:val="24"/>
          <w:rtl/>
        </w:rPr>
        <w:t>نسيج</w:t>
      </w:r>
      <w:r w:rsidRPr="00BB6121">
        <w:rPr>
          <w:rFonts w:ascii="Simplified Arabic" w:hAnsi="Simplified Arabic" w:cs="Simplified Arabic"/>
          <w:b/>
          <w:bCs/>
          <w:sz w:val="24"/>
          <w:szCs w:val="24"/>
          <w:rtl/>
        </w:rPr>
        <w:t xml:space="preserve"> </w:t>
      </w:r>
      <w:r w:rsidRPr="00BB6121">
        <w:rPr>
          <w:rFonts w:ascii="Simplified Arabic" w:hAnsi="Simplified Arabic" w:cs="Simplified Arabic" w:hint="cs"/>
          <w:b/>
          <w:bCs/>
          <w:sz w:val="24"/>
          <w:szCs w:val="24"/>
          <w:rtl/>
        </w:rPr>
        <w:t>البناء</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يتكون</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من</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أبنية</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تتميز</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بعمرها</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وأسلوبها</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وارتفاعها،</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لكن</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أيضًا</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من</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خلال</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''الفراغات</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الحضرية''</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والأماكن</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العامة. إنها</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التركيبة</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المتنوعة</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والمعقدة</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من</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المواد</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الصلبة</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والفراغات</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التي</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تولد</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بنية</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يمكن</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تسميتها</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بالنسيج</w:t>
      </w:r>
      <w:r w:rsidRPr="00BB6121">
        <w:rPr>
          <w:rFonts w:ascii="Simplified Arabic" w:hAnsi="Simplified Arabic" w:cs="Simplified Arabic"/>
          <w:sz w:val="24"/>
          <w:szCs w:val="24"/>
          <w:rtl/>
        </w:rPr>
        <w:t xml:space="preserve"> </w:t>
      </w:r>
      <w:r w:rsidRPr="00BB6121">
        <w:rPr>
          <w:rFonts w:ascii="Simplified Arabic" w:hAnsi="Simplified Arabic" w:cs="Simplified Arabic" w:hint="cs"/>
          <w:sz w:val="24"/>
          <w:szCs w:val="24"/>
          <w:rtl/>
        </w:rPr>
        <w:t>الحضري</w:t>
      </w:r>
      <w:r w:rsidRPr="00BB6121">
        <w:rPr>
          <w:rFonts w:ascii="Simplified Arabic" w:hAnsi="Simplified Arabic" w:cs="Simplified Arabic"/>
          <w:sz w:val="24"/>
          <w:szCs w:val="24"/>
          <w:rtl/>
        </w:rPr>
        <w:t>.</w:t>
      </w:r>
    </w:p>
    <w:p w:rsidR="00A903CE" w:rsidRDefault="003166C4" w:rsidP="001D0548">
      <w:pPr>
        <w:pStyle w:val="Paragraphedeliste"/>
        <w:numPr>
          <w:ilvl w:val="0"/>
          <w:numId w:val="9"/>
        </w:numPr>
        <w:tabs>
          <w:tab w:val="right" w:pos="282"/>
        </w:tabs>
        <w:bidi/>
        <w:spacing w:after="0"/>
        <w:ind w:left="-1" w:firstLine="0"/>
        <w:jc w:val="both"/>
        <w:rPr>
          <w:rFonts w:ascii="Simplified Arabic" w:hAnsi="Simplified Arabic" w:cs="Simplified Arabic"/>
          <w:sz w:val="24"/>
          <w:szCs w:val="24"/>
        </w:rPr>
      </w:pPr>
      <w:r w:rsidRPr="003166C4">
        <w:rPr>
          <w:rFonts w:ascii="Simplified Arabic" w:hAnsi="Simplified Arabic" w:cs="Simplified Arabic" w:hint="cs"/>
          <w:b/>
          <w:bCs/>
          <w:sz w:val="24"/>
          <w:szCs w:val="24"/>
          <w:rtl/>
        </w:rPr>
        <w:t>استعمال</w:t>
      </w:r>
      <w:r w:rsidR="00A903CE" w:rsidRPr="00BB6121">
        <w:rPr>
          <w:rFonts w:ascii="Simplified Arabic" w:hAnsi="Simplified Arabic" w:cs="Simplified Arabic"/>
          <w:b/>
          <w:bCs/>
          <w:sz w:val="24"/>
          <w:szCs w:val="24"/>
          <w:rtl/>
        </w:rPr>
        <w:t xml:space="preserve"> </w:t>
      </w:r>
      <w:r w:rsidR="00A903CE" w:rsidRPr="00BB6121">
        <w:rPr>
          <w:rFonts w:ascii="Simplified Arabic" w:hAnsi="Simplified Arabic" w:cs="Simplified Arabic" w:hint="cs"/>
          <w:b/>
          <w:bCs/>
          <w:sz w:val="24"/>
          <w:szCs w:val="24"/>
          <w:rtl/>
        </w:rPr>
        <w:t>الأرض</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يعرّف</w:t>
      </w:r>
      <w:r w:rsidR="00A903CE" w:rsidRPr="00BB6121">
        <w:rPr>
          <w:rFonts w:ascii="Simplified Arabic" w:hAnsi="Simplified Arabic" w:cs="Simplified Arabic"/>
          <w:sz w:val="24"/>
          <w:szCs w:val="24"/>
          <w:rtl/>
        </w:rPr>
        <w:t xml:space="preserve"> </w:t>
      </w:r>
      <w:r>
        <w:rPr>
          <w:rFonts w:ascii="Simplified Arabic" w:hAnsi="Simplified Arabic" w:cs="Simplified Arabic" w:hint="cs"/>
          <w:sz w:val="24"/>
          <w:szCs w:val="24"/>
          <w:rtl/>
        </w:rPr>
        <w:t>استعمال</w:t>
      </w:r>
      <w:r w:rsidRPr="00C97D7A">
        <w:rPr>
          <w:rFonts w:ascii="Simplified Arabic" w:hAnsi="Simplified Arabic" w:cs="Simplified Arabic"/>
          <w:sz w:val="24"/>
          <w:szCs w:val="24"/>
        </w:rPr>
        <w:t xml:space="preserve"> </w:t>
      </w:r>
      <w:r w:rsidR="00A903CE" w:rsidRPr="00BB6121">
        <w:rPr>
          <w:rFonts w:ascii="Simplified Arabic" w:hAnsi="Simplified Arabic" w:cs="Simplified Arabic" w:hint="cs"/>
          <w:sz w:val="24"/>
          <w:szCs w:val="24"/>
          <w:rtl/>
        </w:rPr>
        <w:t>الار</w:t>
      </w:r>
      <w:r w:rsidR="005C642B">
        <w:rPr>
          <w:rFonts w:ascii="Simplified Arabic" w:hAnsi="Simplified Arabic" w:cs="Simplified Arabic" w:hint="cs"/>
          <w:sz w:val="24"/>
          <w:szCs w:val="24"/>
          <w:rtl/>
        </w:rPr>
        <w:t>ض</w:t>
      </w:r>
      <w:r w:rsidR="00A903CE" w:rsidRPr="00BB6121">
        <w:rPr>
          <w:rFonts w:ascii="Simplified Arabic" w:hAnsi="Simplified Arabic" w:cs="Simplified Arabic" w:hint="cs"/>
          <w:sz w:val="24"/>
          <w:szCs w:val="24"/>
          <w:rtl/>
        </w:rPr>
        <w:t xml:space="preserve"> ان العناصر</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هي</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''مجموعات</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وظيفية''</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في</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المدينة</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سكنية،</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تجارية،</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خدماتية، ترفيهية</w:t>
      </w:r>
      <w:r w:rsidR="00A903CE" w:rsidRPr="00BB6121">
        <w:rPr>
          <w:rFonts w:ascii="Simplified Arabic" w:hAnsi="Simplified Arabic" w:cs="Simplified Arabic"/>
          <w:sz w:val="24"/>
          <w:szCs w:val="24"/>
          <w:rtl/>
        </w:rPr>
        <w:t xml:space="preserve"> </w:t>
      </w:r>
      <w:r w:rsidR="00A903CE" w:rsidRPr="00BB6121">
        <w:rPr>
          <w:rFonts w:ascii="Simplified Arabic" w:hAnsi="Simplified Arabic" w:cs="Simplified Arabic" w:hint="cs"/>
          <w:sz w:val="24"/>
          <w:szCs w:val="24"/>
          <w:rtl/>
        </w:rPr>
        <w:t>وصناعية</w:t>
      </w:r>
      <w:r w:rsidR="00A903CE" w:rsidRPr="00BB6121">
        <w:rPr>
          <w:rFonts w:ascii="Simplified Arabic" w:hAnsi="Simplified Arabic" w:cs="Simplified Arabic"/>
          <w:sz w:val="24"/>
          <w:szCs w:val="24"/>
          <w:rtl/>
        </w:rPr>
        <w:t>).</w:t>
      </w:r>
      <w:r w:rsidR="00A903CE" w:rsidRPr="00BB6121">
        <w:rPr>
          <w:rFonts w:ascii="Simplified Arabic" w:hAnsi="Simplified Arabic" w:cs="Simplified Arabic" w:hint="cs"/>
          <w:sz w:val="24"/>
          <w:szCs w:val="24"/>
          <w:rtl/>
        </w:rPr>
        <w:t xml:space="preserve"> </w:t>
      </w:r>
    </w:p>
    <w:p w:rsidR="00A903CE" w:rsidRPr="009D11B9" w:rsidRDefault="00A903CE" w:rsidP="001D0548">
      <w:pPr>
        <w:pStyle w:val="Paragraphedeliste"/>
        <w:numPr>
          <w:ilvl w:val="2"/>
          <w:numId w:val="120"/>
        </w:numPr>
        <w:tabs>
          <w:tab w:val="right" w:pos="850"/>
        </w:tabs>
        <w:bidi/>
        <w:spacing w:before="240" w:after="0"/>
        <w:ind w:left="0" w:firstLine="0"/>
        <w:jc w:val="both"/>
        <w:outlineLvl w:val="1"/>
        <w:rPr>
          <w:rFonts w:ascii="Simplified Arabic" w:hAnsi="Simplified Arabic" w:cs="Simplified Arabic"/>
          <w:sz w:val="24"/>
          <w:szCs w:val="24"/>
          <w:rtl/>
        </w:rPr>
      </w:pPr>
      <w:bookmarkStart w:id="267" w:name="_Toc171803419"/>
      <w:r w:rsidRPr="009D11B9">
        <w:rPr>
          <w:rFonts w:ascii="Simplified Arabic" w:hAnsi="Simplified Arabic" w:cs="Simplified Arabic" w:hint="cs"/>
          <w:b/>
          <w:bCs/>
          <w:sz w:val="24"/>
          <w:szCs w:val="24"/>
          <w:rtl/>
        </w:rPr>
        <w:t>تحليل النسيج</w:t>
      </w:r>
      <w:r w:rsidRPr="009D11B9">
        <w:rPr>
          <w:rFonts w:ascii="Simplified Arabic" w:hAnsi="Simplified Arabic" w:cs="Simplified Arabic"/>
          <w:b/>
          <w:bCs/>
          <w:sz w:val="24"/>
          <w:szCs w:val="24"/>
          <w:rtl/>
        </w:rPr>
        <w:t xml:space="preserve"> </w:t>
      </w:r>
      <w:r w:rsidRPr="009D11B9">
        <w:rPr>
          <w:rFonts w:ascii="Simplified Arabic" w:hAnsi="Simplified Arabic" w:cs="Simplified Arabic" w:hint="cs"/>
          <w:b/>
          <w:bCs/>
          <w:sz w:val="24"/>
          <w:szCs w:val="24"/>
          <w:rtl/>
        </w:rPr>
        <w:t>الحضري</w:t>
      </w:r>
      <w:bookmarkEnd w:id="267"/>
    </w:p>
    <w:p w:rsidR="00A903CE" w:rsidRDefault="00A903CE" w:rsidP="0042038B">
      <w:pPr>
        <w:tabs>
          <w:tab w:val="right" w:pos="281"/>
        </w:tabs>
        <w:bidi/>
        <w:spacing w:after="0"/>
        <w:ind w:firstLine="283"/>
        <w:jc w:val="both"/>
        <w:rPr>
          <w:rFonts w:ascii="Simplified Arabic" w:hAnsi="Simplified Arabic" w:cs="Simplified Arabic"/>
          <w:sz w:val="24"/>
          <w:szCs w:val="24"/>
          <w:rtl/>
        </w:rPr>
      </w:pPr>
      <w:r w:rsidRPr="00507DB0">
        <w:rPr>
          <w:rFonts w:ascii="Simplified Arabic" w:hAnsi="Simplified Arabic" w:cs="Simplified Arabic" w:hint="cs"/>
          <w:sz w:val="24"/>
          <w:szCs w:val="24"/>
          <w:rtl/>
        </w:rPr>
        <w:t>يتكون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النسيج الحضري 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جميع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العناصر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المادية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تساهم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فيه</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''الموقع،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شبكة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الشوارع،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تقسيم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القطع،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العلاقة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بين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المساحات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المبنية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وغير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المبنية، حجم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وشكل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ونوع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المباني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والعلاقات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تربط</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بين هذه</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العناصر'' </w:t>
      </w:r>
      <w:r w:rsidRPr="00507DB0">
        <w:rPr>
          <w:rFonts w:ascii="Times New Roman" w:hAnsi="Times New Roman" w:cs="Times New Roman"/>
          <w:sz w:val="24"/>
          <w:szCs w:val="24"/>
        </w:rPr>
        <w:t>(Merlin et Choay, 1988)</w:t>
      </w:r>
      <w:r w:rsidRPr="00507DB0">
        <w:rPr>
          <w:rFonts w:ascii="Simplified Arabic" w:hAnsi="Simplified Arabic" w:cs="Simplified Arabic"/>
          <w:sz w:val="24"/>
          <w:szCs w:val="24"/>
          <w:rtl/>
        </w:rPr>
        <w:t>.</w:t>
      </w:r>
      <w:r w:rsidR="0042038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w:t>
      </w:r>
      <w:r w:rsidRPr="008D4CB6">
        <w:rPr>
          <w:rFonts w:ascii="Simplified Arabic" w:hAnsi="Simplified Arabic" w:cs="Simplified Arabic" w:hint="cs"/>
          <w:sz w:val="24"/>
          <w:szCs w:val="24"/>
          <w:rtl/>
        </w:rPr>
        <w:t>عتمادًا</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على</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شكل</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النسيج</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الحضري</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وموقعه،</w:t>
      </w:r>
      <w:r>
        <w:rPr>
          <w:rFonts w:ascii="Simplified Arabic" w:hAnsi="Simplified Arabic" w:cs="Simplified Arabic" w:hint="cs"/>
          <w:sz w:val="24"/>
          <w:szCs w:val="24"/>
          <w:rtl/>
        </w:rPr>
        <w:t xml:space="preserve"> قد</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تختلف</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شبكات</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الطرق</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في</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مسارها</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بالتالي،</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بالنسبة</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للتقسيم</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الفرعي</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lastRenderedPageBreak/>
        <w:t>''</w:t>
      </w:r>
      <w:r w:rsidRPr="008D4CB6">
        <w:rPr>
          <w:rFonts w:ascii="Simplified Arabic" w:hAnsi="Simplified Arabic" w:cs="Simplified Arabic"/>
          <w:sz w:val="24"/>
          <w:szCs w:val="24"/>
          <w:rtl/>
        </w:rPr>
        <w:t>8</w:t>
      </w:r>
      <w:r>
        <w:rPr>
          <w:rFonts w:ascii="Simplified Arabic" w:hAnsi="Simplified Arabic" w:cs="Simplified Arabic" w:hint="cs"/>
          <w:sz w:val="24"/>
          <w:szCs w:val="24"/>
          <w:rtl/>
        </w:rPr>
        <w:t>''</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أو</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8D4CB6">
        <w:rPr>
          <w:rFonts w:ascii="Simplified Arabic" w:hAnsi="Simplified Arabic" w:cs="Simplified Arabic" w:hint="cs"/>
          <w:sz w:val="24"/>
          <w:szCs w:val="24"/>
          <w:rtl/>
        </w:rPr>
        <w:t>الحلزون</w:t>
      </w:r>
      <w:r>
        <w:rPr>
          <w:rFonts w:ascii="Simplified Arabic" w:hAnsi="Simplified Arabic" w:cs="Simplified Arabic" w:hint="cs"/>
          <w:sz w:val="24"/>
          <w:szCs w:val="24"/>
          <w:rtl/>
        </w:rPr>
        <w:t>ي''</w:t>
      </w:r>
      <w:r w:rsidRPr="008D4CB6">
        <w:rPr>
          <w:rFonts w:ascii="Simplified Arabic" w:hAnsi="Simplified Arabic" w:cs="Simplified Arabic" w:hint="cs"/>
          <w:sz w:val="24"/>
          <w:szCs w:val="24"/>
          <w:rtl/>
        </w:rPr>
        <w:t>،</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يمر</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طريق</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واحد</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عبر</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المنطقة</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الحضرية</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بأكملها</w:t>
      </w:r>
      <w:r>
        <w:rPr>
          <w:rFonts w:ascii="Simplified Arabic" w:hAnsi="Simplified Arabic" w:cs="Simplified Arabic" w:hint="cs"/>
          <w:sz w:val="24"/>
          <w:szCs w:val="24"/>
          <w:rtl/>
        </w:rPr>
        <w:t xml:space="preserve">، </w:t>
      </w:r>
      <w:r w:rsidRPr="008D4CB6">
        <w:rPr>
          <w:rFonts w:ascii="Simplified Arabic" w:hAnsi="Simplified Arabic" w:cs="Simplified Arabic" w:hint="cs"/>
          <w:sz w:val="24"/>
          <w:szCs w:val="24"/>
          <w:rtl/>
        </w:rPr>
        <w:t>انظر</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الصورة</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0004167A">
        <w:rPr>
          <w:rFonts w:ascii="Simplified Arabic" w:hAnsi="Simplified Arabic" w:cs="Simplified Arabic" w:hint="cs"/>
          <w:sz w:val="24"/>
          <w:szCs w:val="24"/>
          <w:rtl/>
        </w:rPr>
        <w:t>1-2</w:t>
      </w:r>
      <w:r>
        <w:rPr>
          <w:rFonts w:ascii="Simplified Arabic" w:hAnsi="Simplified Arabic" w:cs="Simplified Arabic" w:hint="cs"/>
          <w:sz w:val="24"/>
          <w:szCs w:val="24"/>
          <w:rtl/>
        </w:rPr>
        <w:t>)</w:t>
      </w:r>
      <w:r w:rsidRPr="008D4CB6">
        <w:rPr>
          <w:rFonts w:ascii="Simplified Arabic" w:hAnsi="Simplified Arabic" w:cs="Simplified Arabic"/>
          <w:sz w:val="24"/>
          <w:szCs w:val="24"/>
          <w:rtl/>
        </w:rPr>
        <w:t>.</w:t>
      </w:r>
      <w:r>
        <w:rPr>
          <w:rFonts w:ascii="Simplified Arabic" w:hAnsi="Simplified Arabic" w:cs="Simplified Arabic" w:hint="cs"/>
          <w:sz w:val="24"/>
          <w:szCs w:val="24"/>
          <w:rtl/>
        </w:rPr>
        <w:t xml:space="preserve"> بينما</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أثناء</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الذهاب</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الى م</w:t>
      </w:r>
      <w:r w:rsidRPr="008D4CB6">
        <w:rPr>
          <w:rFonts w:ascii="Simplified Arabic" w:hAnsi="Simplified Arabic" w:cs="Simplified Arabic" w:hint="cs"/>
          <w:sz w:val="24"/>
          <w:szCs w:val="24"/>
          <w:rtl/>
        </w:rPr>
        <w:t>سكن</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على</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رقعة</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الشطرنج،</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تسمح</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عدة</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شوارع</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بالوصول</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إلى</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المساكن</w:t>
      </w:r>
      <w:r w:rsidRPr="008D4CB6">
        <w:rPr>
          <w:rFonts w:ascii="Simplified Arabic" w:hAnsi="Simplified Arabic" w:cs="Simplified Arabic"/>
          <w:sz w:val="24"/>
          <w:szCs w:val="24"/>
          <w:rtl/>
        </w:rPr>
        <w:t>.</w:t>
      </w:r>
    </w:p>
    <w:p w:rsidR="00A903CE" w:rsidRDefault="00A903CE" w:rsidP="00230FAB">
      <w:pPr>
        <w:pStyle w:val="Photo"/>
        <w:rPr>
          <w:rtl/>
        </w:rPr>
      </w:pPr>
      <w:bookmarkStart w:id="268" w:name="_Toc157618635"/>
      <w:bookmarkStart w:id="269" w:name="_Toc171803420"/>
      <w:r>
        <w:rPr>
          <w:rFonts w:hint="cs"/>
          <w:rtl/>
        </w:rPr>
        <w:t>الصورة</w:t>
      </w:r>
      <w:r w:rsidRPr="008D4CB6">
        <w:rPr>
          <w:rtl/>
        </w:rPr>
        <w:t xml:space="preserve"> </w:t>
      </w:r>
      <w:r>
        <w:rPr>
          <w:rFonts w:hint="cs"/>
          <w:rtl/>
        </w:rPr>
        <w:t>(</w:t>
      </w:r>
      <w:r w:rsidR="0004167A">
        <w:rPr>
          <w:rFonts w:hint="cs"/>
          <w:rtl/>
        </w:rPr>
        <w:t>1-2</w:t>
      </w:r>
      <w:r>
        <w:rPr>
          <w:rFonts w:hint="cs"/>
          <w:rtl/>
        </w:rPr>
        <w:t>)</w:t>
      </w:r>
      <w:r w:rsidRPr="008D4CB6">
        <w:rPr>
          <w:rtl/>
        </w:rPr>
        <w:t xml:space="preserve">: </w:t>
      </w:r>
      <w:r>
        <w:rPr>
          <w:rFonts w:hint="cs"/>
          <w:rtl/>
        </w:rPr>
        <w:t xml:space="preserve">نسيج حضري </w:t>
      </w:r>
      <w:r w:rsidRPr="008D4CB6">
        <w:rPr>
          <w:rtl/>
        </w:rPr>
        <w:t>حلزون</w:t>
      </w:r>
      <w:r>
        <w:rPr>
          <w:rFonts w:hint="cs"/>
          <w:rtl/>
        </w:rPr>
        <w:t>ي ''تجزئة ترابية''</w:t>
      </w:r>
      <w:r w:rsidRPr="008D4CB6">
        <w:rPr>
          <w:rtl/>
        </w:rPr>
        <w:t xml:space="preserve"> في مدينة </w:t>
      </w:r>
      <w:r w:rsidRPr="0063606C">
        <w:rPr>
          <w:rFonts w:asciiTheme="majorBidi" w:hAnsiTheme="majorBidi" w:cstheme="majorBidi"/>
          <w:rtl/>
        </w:rPr>
        <w:t>(</w:t>
      </w:r>
      <w:r w:rsidRPr="0063606C">
        <w:rPr>
          <w:rFonts w:asciiTheme="majorBidi" w:hAnsiTheme="majorBidi" w:cstheme="majorBidi"/>
        </w:rPr>
        <w:t>Rennes</w:t>
      </w:r>
      <w:r w:rsidRPr="0063606C">
        <w:rPr>
          <w:rFonts w:asciiTheme="majorBidi" w:hAnsiTheme="majorBidi" w:cstheme="majorBidi"/>
          <w:rtl/>
        </w:rPr>
        <w:t>)</w:t>
      </w:r>
      <w:bookmarkEnd w:id="268"/>
      <w:bookmarkEnd w:id="269"/>
    </w:p>
    <w:p w:rsidR="00A903CE" w:rsidRPr="001A20A5" w:rsidRDefault="00A903CE" w:rsidP="00D345AB">
      <w:pPr>
        <w:tabs>
          <w:tab w:val="right" w:pos="281"/>
        </w:tabs>
        <w:bidi/>
        <w:spacing w:after="0" w:line="240" w:lineRule="auto"/>
        <w:ind w:firstLine="283"/>
        <w:jc w:val="center"/>
        <w:rPr>
          <w:rFonts w:ascii="Simplified Arabic" w:hAnsi="Simplified Arabic" w:cs="Simplified Arabic"/>
          <w:sz w:val="36"/>
          <w:szCs w:val="36"/>
          <w:rtl/>
        </w:rPr>
      </w:pPr>
      <w:r w:rsidRPr="00C2511B">
        <w:rPr>
          <w:rFonts w:ascii="Simplified Arabic" w:hAnsi="Simplified Arabic" w:cs="Simplified Arabic" w:hint="cs"/>
          <w:sz w:val="24"/>
          <w:szCs w:val="24"/>
          <w:rtl/>
        </w:rPr>
        <w:t>المصدر:</w:t>
      </w:r>
      <w:r w:rsidRPr="00C2511B">
        <w:rPr>
          <w:rFonts w:asciiTheme="majorBidi" w:hAnsiTheme="majorBidi" w:cstheme="majorBidi"/>
          <w:color w:val="000000" w:themeColor="text1"/>
          <w:sz w:val="24"/>
          <w:szCs w:val="24"/>
        </w:rPr>
        <w:t>(</w:t>
      </w:r>
      <w:r w:rsidRPr="00507DB0">
        <w:rPr>
          <w:rFonts w:asciiTheme="majorBidi" w:hAnsiTheme="majorBidi" w:cstheme="majorBidi"/>
          <w:color w:val="000000" w:themeColor="text1"/>
          <w:sz w:val="24"/>
          <w:szCs w:val="24"/>
        </w:rPr>
        <w:t>Valy</w:t>
      </w:r>
      <w:r w:rsidRPr="00C2511B">
        <w:rPr>
          <w:rFonts w:asciiTheme="majorBidi" w:hAnsiTheme="majorBidi" w:cstheme="majorBidi"/>
          <w:color w:val="000000" w:themeColor="text1"/>
          <w:sz w:val="24"/>
          <w:szCs w:val="24"/>
        </w:rPr>
        <w:t>, 2011) </w:t>
      </w:r>
    </w:p>
    <w:p w:rsidR="00A903CE" w:rsidRDefault="00A903CE" w:rsidP="00D345AB">
      <w:pPr>
        <w:tabs>
          <w:tab w:val="right" w:pos="281"/>
        </w:tabs>
        <w:bidi/>
        <w:spacing w:after="0"/>
        <w:jc w:val="center"/>
        <w:rPr>
          <w:rFonts w:ascii="Simplified Arabic" w:hAnsi="Simplified Arabic" w:cs="Simplified Arabic"/>
          <w:sz w:val="24"/>
          <w:szCs w:val="24"/>
          <w:rtl/>
        </w:rPr>
      </w:pPr>
      <w:r>
        <w:rPr>
          <w:rFonts w:ascii="Simplified Arabic" w:hAnsi="Simplified Arabic" w:cs="Simplified Arabic" w:hint="cs"/>
          <w:noProof/>
          <w:sz w:val="24"/>
          <w:szCs w:val="24"/>
          <w:rtl/>
          <w:lang w:eastAsia="fr-FR"/>
        </w:rPr>
        <w:drawing>
          <wp:inline distT="0" distB="0" distL="0" distR="0" wp14:anchorId="049E6D4D" wp14:editId="4CD3CEF5">
            <wp:extent cx="2520134" cy="2389517"/>
            <wp:effectExtent l="0" t="0" r="0" b="0"/>
            <wp:docPr id="78"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532411" cy="2401158"/>
                    </a:xfrm>
                    <a:prstGeom prst="rect">
                      <a:avLst/>
                    </a:prstGeom>
                    <a:noFill/>
                    <a:ln>
                      <a:noFill/>
                    </a:ln>
                  </pic:spPr>
                </pic:pic>
              </a:graphicData>
            </a:graphic>
          </wp:inline>
        </w:drawing>
      </w:r>
    </w:p>
    <w:p w:rsidR="00A903CE" w:rsidRPr="001612D2" w:rsidRDefault="00A903CE" w:rsidP="0004167A">
      <w:pPr>
        <w:tabs>
          <w:tab w:val="right" w:pos="281"/>
        </w:tabs>
        <w:bidi/>
        <w:spacing w:after="0"/>
        <w:ind w:firstLine="283"/>
        <w:jc w:val="both"/>
        <w:rPr>
          <w:rtl/>
        </w:rPr>
      </w:pPr>
      <w:r>
        <w:rPr>
          <w:rFonts w:ascii="Simplified Arabic" w:hAnsi="Simplified Arabic" w:cs="Simplified Arabic" w:hint="cs"/>
          <w:sz w:val="24"/>
          <w:szCs w:val="24"/>
          <w:rtl/>
          <w:lang w:bidi="ar-DZ"/>
        </w:rPr>
        <w:t>ه</w:t>
      </w:r>
      <w:r w:rsidRPr="008D4CB6">
        <w:rPr>
          <w:rFonts w:ascii="Simplified Arabic" w:hAnsi="Simplified Arabic" w:cs="Simplified Arabic" w:hint="cs"/>
          <w:sz w:val="24"/>
          <w:szCs w:val="24"/>
          <w:rtl/>
        </w:rPr>
        <w:t>ذا</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النوع</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من</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التصميم</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له</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عواقب</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على</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حركة</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المرور</w:t>
      </w:r>
      <w:r>
        <w:rPr>
          <w:rFonts w:ascii="Simplified Arabic" w:hAnsi="Simplified Arabic" w:cs="Simplified Arabic" w:hint="cs"/>
          <w:sz w:val="24"/>
          <w:szCs w:val="24"/>
          <w:rtl/>
        </w:rPr>
        <w:t>،</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يؤدي</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هذا</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الشكل</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من</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النسيج</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الحضري</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إلى</w:t>
      </w:r>
      <w:r w:rsidRPr="008D4CB6">
        <w:rPr>
          <w:rFonts w:ascii="Simplified Arabic" w:hAnsi="Simplified Arabic" w:cs="Simplified Arabic"/>
          <w:sz w:val="24"/>
          <w:szCs w:val="24"/>
          <w:rtl/>
        </w:rPr>
        <w:t xml:space="preserve"> </w:t>
      </w:r>
      <w:r w:rsidRPr="008D4CB6">
        <w:rPr>
          <w:rFonts w:ascii="Simplified Arabic" w:hAnsi="Simplified Arabic" w:cs="Simplified Arabic" w:hint="cs"/>
          <w:sz w:val="24"/>
          <w:szCs w:val="24"/>
          <w:rtl/>
        </w:rPr>
        <w:t>ضعف</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عملية</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الاجلاء والانقاذ. في مقابل ذلك، هناك اشكال نسيج  حضري اخرى لا تمنح سهولة الوصول بالقدر الكافي، بسبب ضيق الشوارع او محدودية استيعابها، كما هو مبين في</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الخريطة</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0004167A">
        <w:rPr>
          <w:rFonts w:ascii="Simplified Arabic" w:hAnsi="Simplified Arabic" w:cs="Simplified Arabic" w:hint="cs"/>
          <w:sz w:val="24"/>
          <w:szCs w:val="24"/>
          <w:rtl/>
        </w:rPr>
        <w:t>1-2</w:t>
      </w:r>
      <w:r>
        <w:rPr>
          <w:rFonts w:ascii="Simplified Arabic" w:hAnsi="Simplified Arabic" w:cs="Simplified Arabic" w:hint="cs"/>
          <w:sz w:val="24"/>
          <w:szCs w:val="24"/>
          <w:rtl/>
        </w:rPr>
        <w:t>).</w:t>
      </w:r>
      <w:r w:rsidRPr="00F12482">
        <w:rPr>
          <w:rFonts w:hint="cs"/>
          <w:rtl/>
        </w:rPr>
        <w:t xml:space="preserve"> </w:t>
      </w:r>
      <w:r w:rsidRPr="00F12482">
        <w:rPr>
          <w:rFonts w:ascii="Simplified Arabic" w:hAnsi="Simplified Arabic" w:cs="Simplified Arabic" w:hint="cs"/>
          <w:sz w:val="24"/>
          <w:szCs w:val="24"/>
          <w:rtl/>
        </w:rPr>
        <w:t>النسيج</w:t>
      </w:r>
      <w:r w:rsidRPr="00F12482">
        <w:rPr>
          <w:rFonts w:ascii="Simplified Arabic" w:hAnsi="Simplified Arabic" w:cs="Simplified Arabic"/>
          <w:sz w:val="24"/>
          <w:szCs w:val="24"/>
          <w:rtl/>
        </w:rPr>
        <w:t xml:space="preserve"> </w:t>
      </w:r>
      <w:r>
        <w:rPr>
          <w:rFonts w:ascii="Simplified Arabic" w:hAnsi="Simplified Arabic" w:cs="Simplified Arabic" w:hint="cs"/>
          <w:sz w:val="24"/>
          <w:szCs w:val="24"/>
          <w:rtl/>
        </w:rPr>
        <w:t>الحضري</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التقليدي</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لمدن</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شمال</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إفريقيا</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وال</w:t>
      </w:r>
      <w:r>
        <w:rPr>
          <w:rFonts w:ascii="Simplified Arabic" w:hAnsi="Simplified Arabic" w:cs="Simplified Arabic" w:hint="cs"/>
          <w:sz w:val="24"/>
          <w:szCs w:val="24"/>
          <w:rtl/>
        </w:rPr>
        <w:t>م</w:t>
      </w:r>
      <w:r w:rsidRPr="00F12482">
        <w:rPr>
          <w:rFonts w:ascii="Simplified Arabic" w:hAnsi="Simplified Arabic" w:cs="Simplified Arabic" w:hint="cs"/>
          <w:sz w:val="24"/>
          <w:szCs w:val="24"/>
          <w:rtl/>
        </w:rPr>
        <w:t>شرق</w:t>
      </w:r>
      <w:r>
        <w:rPr>
          <w:rFonts w:ascii="Simplified Arabic" w:hAnsi="Simplified Arabic" w:cs="Simplified Arabic" w:hint="cs"/>
          <w:sz w:val="24"/>
          <w:szCs w:val="24"/>
          <w:rtl/>
        </w:rPr>
        <w:t xml:space="preserve"> العربي</w:t>
      </w:r>
      <w:r w:rsidRPr="001612D2">
        <w:rPr>
          <w:rFonts w:ascii="Simplified Arabic" w:hAnsi="Simplified Arabic" w:cs="Simplified Arabic" w:hint="cs"/>
          <w:sz w:val="24"/>
          <w:szCs w:val="24"/>
          <w:rtl/>
        </w:rPr>
        <w:t xml:space="preserve"> مثال على </w:t>
      </w:r>
      <w:r w:rsidRPr="00F12482">
        <w:rPr>
          <w:rFonts w:ascii="Simplified Arabic" w:hAnsi="Simplified Arabic" w:cs="Simplified Arabic" w:hint="cs"/>
          <w:sz w:val="24"/>
          <w:szCs w:val="24"/>
          <w:rtl/>
        </w:rPr>
        <w:t>هذا</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النوع</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من</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النسيج</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الحضري</w:t>
      </w:r>
      <w:r w:rsidRPr="00F12482">
        <w:rPr>
          <w:rFonts w:ascii="Simplified Arabic" w:hAnsi="Simplified Arabic" w:cs="Simplified Arabic"/>
          <w:sz w:val="24"/>
          <w:szCs w:val="24"/>
          <w:rtl/>
        </w:rPr>
        <w:t xml:space="preserve"> </w:t>
      </w:r>
      <w:r>
        <w:rPr>
          <w:rFonts w:ascii="Simplified Arabic" w:hAnsi="Simplified Arabic" w:cs="Simplified Arabic" w:hint="cs"/>
          <w:sz w:val="24"/>
          <w:szCs w:val="24"/>
          <w:rtl/>
        </w:rPr>
        <w:t>المتراص، الذي يتميز</w:t>
      </w:r>
      <w:r w:rsidRPr="00F12482">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F12482">
        <w:rPr>
          <w:rFonts w:ascii="Simplified Arabic" w:hAnsi="Simplified Arabic" w:cs="Simplified Arabic" w:hint="cs"/>
          <w:sz w:val="24"/>
          <w:szCs w:val="24"/>
          <w:rtl/>
        </w:rPr>
        <w:t>بنية</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حضرية</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معقدة</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للغاية</w:t>
      </w:r>
      <w:r>
        <w:rPr>
          <w:rFonts w:ascii="Simplified Arabic" w:hAnsi="Simplified Arabic" w:cs="Simplified Arabic" w:hint="cs"/>
          <w:sz w:val="24"/>
          <w:szCs w:val="24"/>
          <w:rtl/>
        </w:rPr>
        <w:t xml:space="preserve">، المتكون </w:t>
      </w:r>
      <w:r w:rsidRPr="00F12482">
        <w:rPr>
          <w:rFonts w:ascii="Simplified Arabic" w:hAnsi="Simplified Arabic" w:cs="Simplified Arabic" w:hint="cs"/>
          <w:sz w:val="24"/>
          <w:szCs w:val="24"/>
          <w:rtl/>
        </w:rPr>
        <w:t>من</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طرق</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وشوارع</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عميقة</w:t>
      </w:r>
      <w:r w:rsidRPr="00F12482">
        <w:rPr>
          <w:rFonts w:ascii="Simplified Arabic" w:hAnsi="Simplified Arabic" w:cs="Simplified Arabic"/>
          <w:sz w:val="24"/>
          <w:szCs w:val="24"/>
          <w:rtl/>
        </w:rPr>
        <w:t xml:space="preserve"> </w:t>
      </w:r>
      <w:r w:rsidRPr="00F12482">
        <w:rPr>
          <w:rFonts w:ascii="Simplified Arabic" w:hAnsi="Simplified Arabic" w:cs="Simplified Arabic" w:hint="cs"/>
          <w:sz w:val="24"/>
          <w:szCs w:val="24"/>
          <w:rtl/>
        </w:rPr>
        <w:t>ومتعرجة</w:t>
      </w:r>
      <w:r>
        <w:rPr>
          <w:rFonts w:ascii="Simplified Arabic" w:hAnsi="Simplified Arabic" w:cs="Simplified Arabic" w:hint="cs"/>
          <w:sz w:val="24"/>
          <w:szCs w:val="24"/>
          <w:rtl/>
        </w:rPr>
        <w:t xml:space="preserve"> وضيقة، كما يظهر في</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الصورة</w:t>
      </w:r>
      <w:r w:rsidRPr="008D4CB6">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0004167A">
        <w:rPr>
          <w:rFonts w:ascii="Simplified Arabic" w:hAnsi="Simplified Arabic" w:cs="Simplified Arabic" w:hint="cs"/>
          <w:sz w:val="24"/>
          <w:szCs w:val="24"/>
          <w:rtl/>
        </w:rPr>
        <w:t>1-3</w:t>
      </w:r>
      <w:r>
        <w:rPr>
          <w:rFonts w:ascii="Simplified Arabic" w:hAnsi="Simplified Arabic" w:cs="Simplified Arabic" w:hint="cs"/>
          <w:sz w:val="24"/>
          <w:szCs w:val="24"/>
          <w:rtl/>
        </w:rPr>
        <w:t>)</w:t>
      </w:r>
      <w:r w:rsidRPr="00F12482">
        <w:rPr>
          <w:rFonts w:ascii="Simplified Arabic" w:hAnsi="Simplified Arabic" w:cs="Simplified Arabic"/>
          <w:sz w:val="24"/>
          <w:szCs w:val="24"/>
          <w:rtl/>
        </w:rPr>
        <w:t>.</w:t>
      </w:r>
    </w:p>
    <w:p w:rsidR="00A903CE" w:rsidRDefault="00A903CE" w:rsidP="00B36D99">
      <w:pPr>
        <w:pStyle w:val="carte"/>
        <w:spacing w:before="240" w:after="0"/>
        <w:rPr>
          <w:rtl/>
        </w:rPr>
      </w:pPr>
      <w:bookmarkStart w:id="270" w:name="_Toc157616580"/>
      <w:bookmarkStart w:id="271" w:name="_Toc171803421"/>
      <w:r>
        <w:rPr>
          <w:rFonts w:hint="cs"/>
          <w:rtl/>
        </w:rPr>
        <w:t>الخريطة</w:t>
      </w:r>
      <w:r w:rsidRPr="008D4CB6">
        <w:rPr>
          <w:rtl/>
        </w:rPr>
        <w:t xml:space="preserve"> </w:t>
      </w:r>
      <w:r>
        <w:rPr>
          <w:rFonts w:hint="cs"/>
          <w:rtl/>
        </w:rPr>
        <w:t>(</w:t>
      </w:r>
      <w:r w:rsidR="0004167A">
        <w:rPr>
          <w:rFonts w:hint="cs"/>
          <w:rtl/>
        </w:rPr>
        <w:t>1-2</w:t>
      </w:r>
      <w:r>
        <w:rPr>
          <w:rFonts w:hint="cs"/>
          <w:rtl/>
        </w:rPr>
        <w:t>)</w:t>
      </w:r>
      <w:r w:rsidRPr="008D4CB6">
        <w:rPr>
          <w:rtl/>
        </w:rPr>
        <w:t xml:space="preserve">: </w:t>
      </w:r>
      <w:r>
        <w:rPr>
          <w:rFonts w:hint="cs"/>
          <w:rtl/>
        </w:rPr>
        <w:t>نسيج حضري تقليدي</w:t>
      </w:r>
      <w:r>
        <w:rPr>
          <w:rtl/>
        </w:rPr>
        <w:t xml:space="preserve"> </w:t>
      </w:r>
      <w:r>
        <w:rPr>
          <w:rFonts w:hint="cs"/>
          <w:rtl/>
        </w:rPr>
        <w:t xml:space="preserve">''قصر </w:t>
      </w:r>
      <w:r w:rsidRPr="00F12482">
        <w:rPr>
          <w:rFonts w:hint="cs"/>
          <w:rtl/>
        </w:rPr>
        <w:t>بوسعادة</w:t>
      </w:r>
      <w:r>
        <w:rPr>
          <w:rFonts w:hint="cs"/>
          <w:rtl/>
        </w:rPr>
        <w:t xml:space="preserve"> ''</w:t>
      </w:r>
      <w:r w:rsidRPr="008D4CB6">
        <w:rPr>
          <w:rtl/>
        </w:rPr>
        <w:t xml:space="preserve"> </w:t>
      </w:r>
      <w:r>
        <w:rPr>
          <w:rFonts w:hint="cs"/>
          <w:rtl/>
        </w:rPr>
        <w:t>ال</w:t>
      </w:r>
      <w:r w:rsidRPr="008D4CB6">
        <w:rPr>
          <w:rtl/>
        </w:rPr>
        <w:t>مدينة</w:t>
      </w:r>
      <w:r>
        <w:rPr>
          <w:rFonts w:hint="cs"/>
          <w:rtl/>
        </w:rPr>
        <w:t xml:space="preserve"> القديمة</w:t>
      </w:r>
      <w:bookmarkEnd w:id="270"/>
      <w:bookmarkEnd w:id="271"/>
    </w:p>
    <w:p w:rsidR="00A903CE" w:rsidRPr="00D345AB" w:rsidRDefault="00A903CE" w:rsidP="00B36D99">
      <w:pPr>
        <w:tabs>
          <w:tab w:val="right" w:pos="281"/>
        </w:tabs>
        <w:bidi/>
        <w:spacing w:after="0"/>
        <w:jc w:val="center"/>
        <w:rPr>
          <w:rFonts w:ascii="Simplified Arabic" w:hAnsi="Simplified Arabic" w:cs="Simplified Arabic"/>
          <w:sz w:val="24"/>
          <w:szCs w:val="24"/>
          <w:rtl/>
        </w:rPr>
      </w:pPr>
      <w:r w:rsidRPr="00D345AB">
        <w:rPr>
          <w:rFonts w:ascii="Simplified Arabic" w:hAnsi="Simplified Arabic" w:cs="Simplified Arabic" w:hint="cs"/>
          <w:sz w:val="24"/>
          <w:szCs w:val="24"/>
          <w:rtl/>
        </w:rPr>
        <w:t xml:space="preserve">المصدر: </w:t>
      </w:r>
      <w:r w:rsidRPr="00D345AB">
        <w:rPr>
          <w:rFonts w:asciiTheme="majorBidi" w:hAnsiTheme="majorBidi" w:cstheme="majorBidi"/>
          <w:sz w:val="24"/>
          <w:szCs w:val="24"/>
        </w:rPr>
        <w:t>(Nouibat, 2007)</w:t>
      </w:r>
    </w:p>
    <w:p w:rsidR="00A903CE" w:rsidRDefault="00A903CE" w:rsidP="00A903CE">
      <w:pPr>
        <w:tabs>
          <w:tab w:val="right" w:pos="281"/>
        </w:tabs>
        <w:bidi/>
        <w:spacing w:after="0"/>
        <w:ind w:firstLine="283"/>
        <w:jc w:val="center"/>
        <w:rPr>
          <w:rFonts w:ascii="Simplified Arabic" w:hAnsi="Simplified Arabic" w:cs="Simplified Arabic"/>
          <w:sz w:val="24"/>
          <w:szCs w:val="24"/>
          <w:rtl/>
        </w:rPr>
      </w:pPr>
      <w:r>
        <w:rPr>
          <w:noProof/>
          <w:lang w:eastAsia="fr-FR"/>
        </w:rPr>
        <w:drawing>
          <wp:inline distT="0" distB="0" distL="0" distR="0" wp14:anchorId="74B75861" wp14:editId="38C6771A">
            <wp:extent cx="3026005" cy="3060323"/>
            <wp:effectExtent l="0" t="0" r="3175" b="6985"/>
            <wp:docPr id="80"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a:extLst>
                        <a:ext uri="{BEBA8EAE-BF5A-486C-A8C5-ECC9F3942E4B}">
                          <a14:imgProps xmlns:a14="http://schemas.microsoft.com/office/drawing/2010/main">
                            <a14:imgLayer r:embed="rId91">
                              <a14:imgEffect>
                                <a14:sharpenSoften amount="50000"/>
                              </a14:imgEffect>
                              <a14:imgEffect>
                                <a14:saturation sat="0"/>
                              </a14:imgEffect>
                            </a14:imgLayer>
                          </a14:imgProps>
                        </a:ext>
                      </a:extLst>
                    </a:blip>
                    <a:stretch>
                      <a:fillRect/>
                    </a:stretch>
                  </pic:blipFill>
                  <pic:spPr>
                    <a:xfrm>
                      <a:off x="0" y="0"/>
                      <a:ext cx="3059696" cy="3094396"/>
                    </a:xfrm>
                    <a:prstGeom prst="rect">
                      <a:avLst/>
                    </a:prstGeom>
                  </pic:spPr>
                </pic:pic>
              </a:graphicData>
            </a:graphic>
          </wp:inline>
        </w:drawing>
      </w:r>
    </w:p>
    <w:p w:rsidR="00A903CE" w:rsidRPr="00B36D99" w:rsidRDefault="00A903CE" w:rsidP="00230FAB">
      <w:pPr>
        <w:pStyle w:val="Photo"/>
        <w:rPr>
          <w:rtl/>
        </w:rPr>
      </w:pPr>
      <w:bookmarkStart w:id="272" w:name="_Toc157618636"/>
      <w:bookmarkStart w:id="273" w:name="_Toc171803422"/>
      <w:r w:rsidRPr="00B36D99">
        <w:rPr>
          <w:rFonts w:hint="cs"/>
          <w:rtl/>
        </w:rPr>
        <w:lastRenderedPageBreak/>
        <w:t>الصورة</w:t>
      </w:r>
      <w:r w:rsidRPr="00B36D99">
        <w:rPr>
          <w:rtl/>
        </w:rPr>
        <w:t xml:space="preserve"> </w:t>
      </w:r>
      <w:r w:rsidRPr="00B36D99">
        <w:rPr>
          <w:rFonts w:hint="cs"/>
          <w:rtl/>
        </w:rPr>
        <w:t>(</w:t>
      </w:r>
      <w:r w:rsidR="0004167A" w:rsidRPr="00B36D99">
        <w:rPr>
          <w:rFonts w:hint="cs"/>
          <w:rtl/>
        </w:rPr>
        <w:t>1-3</w:t>
      </w:r>
      <w:r w:rsidRPr="00B36D99">
        <w:rPr>
          <w:rFonts w:hint="cs"/>
          <w:rtl/>
        </w:rPr>
        <w:t>)</w:t>
      </w:r>
      <w:r w:rsidRPr="00B36D99">
        <w:rPr>
          <w:rtl/>
        </w:rPr>
        <w:t xml:space="preserve">: </w:t>
      </w:r>
      <w:r w:rsidRPr="00B36D99">
        <w:rPr>
          <w:rFonts w:hint="cs"/>
          <w:rtl/>
        </w:rPr>
        <w:t>طرق</w:t>
      </w:r>
      <w:r w:rsidRPr="00B36D99">
        <w:rPr>
          <w:rtl/>
        </w:rPr>
        <w:t xml:space="preserve"> </w:t>
      </w:r>
      <w:r w:rsidRPr="00B36D99">
        <w:rPr>
          <w:rFonts w:hint="cs"/>
          <w:rtl/>
        </w:rPr>
        <w:t>عميقة</w:t>
      </w:r>
      <w:r w:rsidRPr="00B36D99">
        <w:rPr>
          <w:rtl/>
        </w:rPr>
        <w:t xml:space="preserve"> </w:t>
      </w:r>
      <w:r w:rsidRPr="00B36D99">
        <w:rPr>
          <w:rFonts w:hint="cs"/>
          <w:rtl/>
        </w:rPr>
        <w:t>ومتعرجة و ضيقة لقصر مدينة بوسعادة</w:t>
      </w:r>
      <w:bookmarkEnd w:id="272"/>
      <w:bookmarkEnd w:id="273"/>
    </w:p>
    <w:p w:rsidR="00A903CE" w:rsidRPr="00076BB4" w:rsidRDefault="00A903CE" w:rsidP="00A903CE">
      <w:pPr>
        <w:tabs>
          <w:tab w:val="right" w:pos="281"/>
        </w:tabs>
        <w:bidi/>
        <w:spacing w:after="0" w:line="240" w:lineRule="auto"/>
        <w:ind w:firstLine="283"/>
        <w:jc w:val="center"/>
        <w:rPr>
          <w:rFonts w:ascii="Simplified Arabic" w:hAnsi="Simplified Arabic" w:cs="Simplified Arabic"/>
          <w:sz w:val="24"/>
          <w:szCs w:val="24"/>
          <w:rtl/>
        </w:rPr>
      </w:pPr>
      <w:r w:rsidRPr="00B36D99">
        <w:rPr>
          <w:rFonts w:ascii="Simplified Arabic" w:hAnsi="Simplified Arabic" w:cs="Simplified Arabic" w:hint="cs"/>
          <w:sz w:val="24"/>
          <w:szCs w:val="24"/>
          <w:rtl/>
        </w:rPr>
        <w:t xml:space="preserve">المصدر: </w:t>
      </w:r>
      <w:r w:rsidRPr="00B36D99">
        <w:rPr>
          <w:rFonts w:asciiTheme="majorBidi" w:hAnsiTheme="majorBidi" w:cstheme="majorBidi"/>
          <w:sz w:val="24"/>
          <w:szCs w:val="24"/>
        </w:rPr>
        <w:t>(Nouibat, 2007)</w:t>
      </w:r>
    </w:p>
    <w:p w:rsidR="00A903CE" w:rsidRDefault="00A903CE" w:rsidP="00A903CE">
      <w:pPr>
        <w:tabs>
          <w:tab w:val="right" w:pos="281"/>
        </w:tabs>
        <w:bidi/>
        <w:spacing w:after="0"/>
        <w:ind w:firstLine="283"/>
        <w:jc w:val="center"/>
        <w:rPr>
          <w:rFonts w:ascii="Simplified Arabic" w:hAnsi="Simplified Arabic" w:cs="Simplified Arabic"/>
          <w:sz w:val="24"/>
          <w:szCs w:val="24"/>
          <w:rtl/>
        </w:rPr>
      </w:pPr>
      <w:r>
        <w:rPr>
          <w:noProof/>
          <w:lang w:eastAsia="fr-FR"/>
        </w:rPr>
        <w:drawing>
          <wp:inline distT="0" distB="0" distL="0" distR="0" wp14:anchorId="30D3EFA5" wp14:editId="4D9D668E">
            <wp:extent cx="4373593" cy="1755297"/>
            <wp:effectExtent l="19050" t="19050" r="27305" b="1651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stretch>
                      <a:fillRect/>
                    </a:stretch>
                  </pic:blipFill>
                  <pic:spPr>
                    <a:xfrm>
                      <a:off x="0" y="0"/>
                      <a:ext cx="4388767" cy="1761387"/>
                    </a:xfrm>
                    <a:prstGeom prst="rect">
                      <a:avLst/>
                    </a:prstGeom>
                    <a:ln w="12700">
                      <a:solidFill>
                        <a:schemeClr val="tx1"/>
                      </a:solidFill>
                    </a:ln>
                  </pic:spPr>
                </pic:pic>
              </a:graphicData>
            </a:graphic>
          </wp:inline>
        </w:drawing>
      </w:r>
    </w:p>
    <w:p w:rsidR="00A903CE" w:rsidRDefault="00A903CE" w:rsidP="00A903CE">
      <w:pPr>
        <w:autoSpaceDE w:val="0"/>
        <w:autoSpaceDN w:val="0"/>
        <w:bidi/>
        <w:adjustRightInd w:val="0"/>
        <w:spacing w:after="0"/>
        <w:ind w:firstLine="282"/>
        <w:jc w:val="both"/>
        <w:rPr>
          <w:rFonts w:ascii="Simplified Arabic" w:hAnsi="Simplified Arabic" w:cs="Simplified Arabic"/>
          <w:sz w:val="24"/>
          <w:szCs w:val="24"/>
          <w:rtl/>
        </w:rPr>
      </w:pPr>
      <w:r w:rsidRPr="00507DB0">
        <w:rPr>
          <w:rFonts w:ascii="Simplified Arabic" w:hAnsi="Simplified Arabic" w:cs="Simplified Arabic"/>
          <w:color w:val="000000" w:themeColor="text1"/>
          <w:sz w:val="24"/>
          <w:szCs w:val="24"/>
          <w:rtl/>
        </w:rPr>
        <w:t>يعتبر</w:t>
      </w:r>
      <w:r w:rsidRPr="00507DB0">
        <w:rPr>
          <w:rFonts w:asciiTheme="majorBidi" w:hAnsiTheme="majorBidi" w:cs="Times New Roman"/>
          <w:b/>
          <w:bCs/>
          <w:color w:val="000000" w:themeColor="text1"/>
          <w:sz w:val="24"/>
          <w:szCs w:val="24"/>
          <w:rtl/>
        </w:rPr>
        <w:t xml:space="preserve"> </w:t>
      </w:r>
      <w:r w:rsidRPr="00507DB0">
        <w:rPr>
          <w:rFonts w:ascii="Times New Roman" w:hAnsi="Times New Roman" w:cs="Times New Roman"/>
          <w:sz w:val="24"/>
          <w:szCs w:val="24"/>
        </w:rPr>
        <w:t>(Rossi, 1981)</w:t>
      </w:r>
      <w:r w:rsidRPr="00507DB0">
        <w:rPr>
          <w:rFonts w:asciiTheme="majorBidi" w:hAnsiTheme="majorBidi" w:cs="Times New Roman"/>
          <w:b/>
          <w:bCs/>
          <w:color w:val="231F20"/>
          <w:sz w:val="24"/>
          <w:szCs w:val="24"/>
          <w:rtl/>
        </w:rPr>
        <w:t xml:space="preserve"> </w:t>
      </w:r>
      <w:r w:rsidRPr="00507DB0">
        <w:rPr>
          <w:rFonts w:ascii="Simplified Arabic" w:hAnsi="Simplified Arabic" w:cs="Simplified Arabic" w:hint="cs"/>
          <w:sz w:val="24"/>
          <w:szCs w:val="24"/>
          <w:rtl/>
        </w:rPr>
        <w:t>أن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وظيفة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أحد</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مكونات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المدينة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يمكن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تكون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مختلفة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بنفس</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الشكل،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لأن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الوظيفة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يمكن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تتطور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ويبقى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الشكل مستمرًا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مقابل ذلك،</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يرى </w:t>
      </w:r>
      <w:r w:rsidRPr="00507DB0">
        <w:rPr>
          <w:rFonts w:ascii="Times New Roman" w:hAnsi="Times New Roman" w:cs="Times New Roman"/>
          <w:sz w:val="24"/>
          <w:szCs w:val="24"/>
        </w:rPr>
        <w:t>(Merlin et Choay, 1988)</w:t>
      </w:r>
      <w:r w:rsidRPr="00507DB0">
        <w:rPr>
          <w:rFonts w:ascii="Times New Roman" w:hAnsi="Times New Roman" w:cs="Times New Roman" w:hint="cs"/>
          <w:sz w:val="24"/>
          <w:szCs w:val="24"/>
          <w:rtl/>
        </w:rPr>
        <w:t xml:space="preserve"> ان </w:t>
      </w:r>
      <w:r w:rsidRPr="00507DB0">
        <w:rPr>
          <w:rFonts w:ascii="Simplified Arabic" w:hAnsi="Simplified Arabic" w:cs="Simplified Arabic" w:hint="cs"/>
          <w:sz w:val="24"/>
          <w:szCs w:val="24"/>
          <w:rtl/>
        </w:rPr>
        <w:t>الشيء المهم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هو</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الوصف</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الهندسي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للفضاء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والأشكال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المبنية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والروابط</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بين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الاثنين وأن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مفهوم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التصنيف</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يجب</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تمييزه</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مفهوم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التسمية.</w:t>
      </w:r>
      <w:r w:rsidRPr="00507DB0">
        <w:rPr>
          <w:rFonts w:ascii="Simplified Arabic" w:hAnsi="Simplified Arabic" w:cs="Simplified Arabic"/>
          <w:sz w:val="24"/>
          <w:szCs w:val="24"/>
          <w:rtl/>
        </w:rPr>
        <w:t xml:space="preserve"> </w:t>
      </w:r>
    </w:p>
    <w:p w:rsidR="007A7FD2" w:rsidRDefault="00A903CE" w:rsidP="00A903CE">
      <w:pPr>
        <w:autoSpaceDE w:val="0"/>
        <w:autoSpaceDN w:val="0"/>
        <w:bidi/>
        <w:adjustRightInd w:val="0"/>
        <w:spacing w:after="0"/>
        <w:ind w:firstLine="282"/>
        <w:jc w:val="both"/>
        <w:rPr>
          <w:rFonts w:ascii="Simplified Arabic" w:hAnsi="Simplified Arabic" w:cs="Simplified Arabic"/>
          <w:sz w:val="24"/>
          <w:szCs w:val="24"/>
          <w:rtl/>
        </w:rPr>
      </w:pPr>
      <w:r w:rsidRPr="00DC4AE1">
        <w:rPr>
          <w:rFonts w:ascii="Simplified Arabic" w:hAnsi="Simplified Arabic" w:cs="Simplified Arabic" w:hint="cs"/>
          <w:sz w:val="24"/>
          <w:szCs w:val="24"/>
          <w:rtl/>
        </w:rPr>
        <w:t>يعتبر</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تطوير</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مفهوم</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التصنيف</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أساس</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تكوين</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النسيج</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الحضري</w:t>
      </w:r>
      <w:r>
        <w:rPr>
          <w:rFonts w:ascii="Simplified Arabic" w:hAnsi="Simplified Arabic" w:cs="Simplified Arabic" w:hint="cs"/>
          <w:sz w:val="24"/>
          <w:szCs w:val="24"/>
          <w:rtl/>
        </w:rPr>
        <w:t>. لذا يتم ت</w:t>
      </w:r>
      <w:r w:rsidRPr="00B3219E">
        <w:rPr>
          <w:rFonts w:ascii="Simplified Arabic" w:hAnsi="Simplified Arabic" w:cs="Simplified Arabic" w:hint="cs"/>
          <w:sz w:val="24"/>
          <w:szCs w:val="24"/>
          <w:rtl/>
        </w:rPr>
        <w:t>حد</w:t>
      </w:r>
      <w:r>
        <w:rPr>
          <w:rFonts w:ascii="Simplified Arabic" w:hAnsi="Simplified Arabic" w:cs="Simplified Arabic" w:hint="cs"/>
          <w:sz w:val="24"/>
          <w:szCs w:val="24"/>
          <w:rtl/>
        </w:rPr>
        <w:t>ي</w:t>
      </w:r>
      <w:r w:rsidRPr="00B3219E">
        <w:rPr>
          <w:rFonts w:ascii="Simplified Arabic" w:hAnsi="Simplified Arabic" w:cs="Simplified Arabic" w:hint="cs"/>
          <w:sz w:val="24"/>
          <w:szCs w:val="24"/>
          <w:rtl/>
        </w:rPr>
        <w:t>د</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التصنيف</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عمومًا</w:t>
      </w:r>
      <w:r w:rsidRPr="00E418CF">
        <w:rPr>
          <w:rFonts w:asciiTheme="majorBidi" w:hAnsiTheme="majorBidi" w:cs="Times New Roman"/>
          <w:b/>
          <w:bCs/>
          <w:color w:val="231F20"/>
          <w:sz w:val="24"/>
          <w:szCs w:val="24"/>
          <w:rtl/>
        </w:rPr>
        <w:t xml:space="preserve"> </w:t>
      </w:r>
      <w:r w:rsidRPr="00B97316">
        <w:rPr>
          <w:rFonts w:ascii="Simplified Arabic" w:hAnsi="Simplified Arabic" w:cs="Simplified Arabic"/>
          <w:color w:val="231F20"/>
          <w:sz w:val="24"/>
          <w:szCs w:val="24"/>
          <w:rtl/>
        </w:rPr>
        <w:t>ل</w:t>
      </w:r>
      <w:r w:rsidRPr="00B97316">
        <w:rPr>
          <w:rFonts w:ascii="Simplified Arabic" w:hAnsi="Simplified Arabic" w:cs="Simplified Arabic"/>
          <w:sz w:val="24"/>
          <w:szCs w:val="24"/>
          <w:rtl/>
        </w:rPr>
        <w:t>لمكونات</w:t>
      </w:r>
      <w:r>
        <w:rPr>
          <w:rFonts w:ascii="Simplified Arabic" w:hAnsi="Simplified Arabic" w:cs="Simplified Arabic"/>
          <w:sz w:val="24"/>
          <w:szCs w:val="24"/>
          <w:rtl/>
        </w:rPr>
        <w:t xml:space="preserve"> أو </w:t>
      </w:r>
      <w:r>
        <w:rPr>
          <w:rFonts w:ascii="Simplified Arabic" w:hAnsi="Simplified Arabic" w:cs="Simplified Arabic" w:hint="cs"/>
          <w:sz w:val="24"/>
          <w:szCs w:val="24"/>
          <w:rtl/>
        </w:rPr>
        <w:t>ل</w:t>
      </w:r>
      <w:r>
        <w:rPr>
          <w:rFonts w:ascii="Simplified Arabic" w:hAnsi="Simplified Arabic" w:cs="Simplified Arabic"/>
          <w:sz w:val="24"/>
          <w:szCs w:val="24"/>
          <w:rtl/>
        </w:rPr>
        <w:t>لفراغات وفق</w:t>
      </w:r>
      <w:r w:rsidRPr="00D0002C">
        <w:rPr>
          <w:rFonts w:ascii="Simplified Arabic" w:hAnsi="Simplified Arabic" w:cs="Simplified Arabic"/>
          <w:sz w:val="24"/>
          <w:szCs w:val="24"/>
          <w:rtl/>
        </w:rPr>
        <w:t xml:space="preserve"> </w:t>
      </w:r>
      <w:r>
        <w:rPr>
          <w:rFonts w:ascii="Simplified Arabic" w:hAnsi="Simplified Arabic" w:cs="Simplified Arabic" w:hint="cs"/>
          <w:sz w:val="24"/>
          <w:szCs w:val="24"/>
          <w:rtl/>
        </w:rPr>
        <w:t>''ا</w:t>
      </w:r>
      <w:r w:rsidRPr="00D0002C">
        <w:rPr>
          <w:rFonts w:ascii="Simplified Arabic" w:hAnsi="Simplified Arabic" w:cs="Simplified Arabic"/>
          <w:sz w:val="24"/>
          <w:szCs w:val="24"/>
          <w:rtl/>
        </w:rPr>
        <w:t>لنوع</w:t>
      </w:r>
      <w:r>
        <w:rPr>
          <w:rFonts w:ascii="Simplified Arabic" w:hAnsi="Simplified Arabic" w:cs="Simplified Arabic" w:hint="cs"/>
          <w:sz w:val="24"/>
          <w:szCs w:val="24"/>
          <w:rtl/>
        </w:rPr>
        <w:t>''</w:t>
      </w:r>
      <w:r w:rsidRPr="00AF3FEB">
        <w:rPr>
          <w:rFonts w:ascii="Simplified Arabic" w:hAnsi="Simplified Arabic" w:cs="Simplified Arabic" w:hint="cs"/>
          <w:sz w:val="24"/>
          <w:szCs w:val="24"/>
          <w:rtl/>
        </w:rPr>
        <w:t xml:space="preserve"> </w:t>
      </w:r>
      <w:r w:rsidRPr="00DC4AE1">
        <w:rPr>
          <w:rFonts w:ascii="Simplified Arabic" w:hAnsi="Simplified Arabic" w:cs="Simplified Arabic" w:hint="cs"/>
          <w:sz w:val="24"/>
          <w:szCs w:val="24"/>
          <w:rtl/>
        </w:rPr>
        <w:t>من</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خلال</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الخصائص</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الحجمية</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للمواقع</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المتعلقة</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بالشارع</w:t>
      </w:r>
      <w:r w:rsidRPr="00DC4AE1">
        <w:rPr>
          <w:rFonts w:ascii="Simplified Arabic" w:hAnsi="Simplified Arabic" w:cs="Simplified Arabic"/>
          <w:sz w:val="24"/>
          <w:szCs w:val="24"/>
          <w:rtl/>
        </w:rPr>
        <w:t xml:space="preserve"> </w:t>
      </w:r>
      <w:r w:rsidRPr="00DC4AE1">
        <w:rPr>
          <w:rFonts w:ascii="Simplified Arabic" w:hAnsi="Simplified Arabic" w:cs="Simplified Arabic" w:hint="cs"/>
          <w:sz w:val="24"/>
          <w:szCs w:val="24"/>
          <w:rtl/>
        </w:rPr>
        <w:t>والوصول</w:t>
      </w:r>
      <w:r w:rsidRPr="00D0002C">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يرتبط</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تصنيف</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المباني</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بمفهوم</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النسيج</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الحضري ارتباطًا</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وثيقًا وفقًا</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لحجمها</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أو</w:t>
      </w:r>
      <w:r w:rsidRPr="00B3219E">
        <w:rPr>
          <w:rFonts w:ascii="Simplified Arabic" w:hAnsi="Simplified Arabic" w:cs="Simplified Arabic"/>
          <w:sz w:val="24"/>
          <w:szCs w:val="24"/>
          <w:rtl/>
        </w:rPr>
        <w:t xml:space="preserve"> </w:t>
      </w:r>
      <w:r>
        <w:rPr>
          <w:rFonts w:ascii="Simplified Arabic" w:hAnsi="Simplified Arabic" w:cs="Simplified Arabic" w:hint="cs"/>
          <w:sz w:val="24"/>
          <w:szCs w:val="24"/>
          <w:rtl/>
        </w:rPr>
        <w:t>طريقة بنائها</w:t>
      </w:r>
      <w:r w:rsidRPr="00B3219E">
        <w:rPr>
          <w:rFonts w:ascii="Simplified Arabic" w:hAnsi="Simplified Arabic" w:cs="Simplified Arabic"/>
          <w:sz w:val="24"/>
          <w:szCs w:val="24"/>
          <w:rtl/>
        </w:rPr>
        <w:t xml:space="preserve">. </w:t>
      </w:r>
    </w:p>
    <w:p w:rsidR="00A903CE" w:rsidRDefault="00A903CE" w:rsidP="007A7FD2">
      <w:pPr>
        <w:autoSpaceDE w:val="0"/>
        <w:autoSpaceDN w:val="0"/>
        <w:bidi/>
        <w:adjustRightInd w:val="0"/>
        <w:spacing w:after="0"/>
        <w:ind w:firstLine="282"/>
        <w:jc w:val="both"/>
        <w:rPr>
          <w:rFonts w:ascii="Simplified Arabic" w:hAnsi="Simplified Arabic" w:cs="Simplified Arabic"/>
          <w:sz w:val="24"/>
          <w:szCs w:val="24"/>
          <w:rtl/>
        </w:rPr>
      </w:pPr>
      <w:r w:rsidRPr="00B3219E">
        <w:rPr>
          <w:rFonts w:ascii="Simplified Arabic" w:hAnsi="Simplified Arabic" w:cs="Simplified Arabic" w:hint="cs"/>
          <w:sz w:val="24"/>
          <w:szCs w:val="24"/>
          <w:rtl/>
        </w:rPr>
        <w:t>هناك</w:t>
      </w:r>
      <w:r w:rsidRPr="00B3219E">
        <w:rPr>
          <w:rFonts w:ascii="Simplified Arabic" w:hAnsi="Simplified Arabic" w:cs="Simplified Arabic"/>
          <w:sz w:val="24"/>
          <w:szCs w:val="24"/>
          <w:rtl/>
        </w:rPr>
        <w:t xml:space="preserve"> </w:t>
      </w:r>
      <w:r>
        <w:rPr>
          <w:rFonts w:ascii="Simplified Arabic" w:hAnsi="Simplified Arabic" w:cs="Simplified Arabic" w:hint="cs"/>
          <w:sz w:val="24"/>
          <w:szCs w:val="24"/>
          <w:rtl/>
        </w:rPr>
        <w:t>ا</w:t>
      </w:r>
      <w:r w:rsidRPr="00B3219E">
        <w:rPr>
          <w:rFonts w:ascii="Simplified Arabic" w:hAnsi="Simplified Arabic" w:cs="Simplified Arabic" w:hint="cs"/>
          <w:sz w:val="24"/>
          <w:szCs w:val="24"/>
          <w:rtl/>
        </w:rPr>
        <w:t>نو</w:t>
      </w:r>
      <w:r>
        <w:rPr>
          <w:rFonts w:ascii="Simplified Arabic" w:hAnsi="Simplified Arabic" w:cs="Simplified Arabic" w:hint="cs"/>
          <w:sz w:val="24"/>
          <w:szCs w:val="24"/>
          <w:rtl/>
        </w:rPr>
        <w:t>اع</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من</w:t>
      </w:r>
      <w:r w:rsidRPr="00B3219E">
        <w:rPr>
          <w:rFonts w:ascii="Simplified Arabic" w:hAnsi="Simplified Arabic" w:cs="Simplified Arabic"/>
          <w:sz w:val="24"/>
          <w:szCs w:val="24"/>
          <w:rtl/>
        </w:rPr>
        <w:t xml:space="preserve"> </w:t>
      </w:r>
      <w:r>
        <w:rPr>
          <w:rFonts w:ascii="Simplified Arabic" w:hAnsi="Simplified Arabic" w:cs="Simplified Arabic" w:hint="cs"/>
          <w:sz w:val="24"/>
          <w:szCs w:val="24"/>
          <w:rtl/>
        </w:rPr>
        <w:t>الانسجة</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الحضرية</w:t>
      </w:r>
      <w:r w:rsidRPr="00B3219E">
        <w:rPr>
          <w:rFonts w:ascii="Simplified Arabic" w:hAnsi="Simplified Arabic" w:cs="Simplified Arabic"/>
          <w:sz w:val="24"/>
          <w:szCs w:val="24"/>
          <w:rtl/>
        </w:rPr>
        <w:t xml:space="preserve"> </w:t>
      </w:r>
      <w:r w:rsidRPr="00B3219E">
        <w:rPr>
          <w:rFonts w:ascii="Simplified Arabic" w:hAnsi="Simplified Arabic" w:cs="Simplified Arabic" w:hint="cs"/>
          <w:sz w:val="24"/>
          <w:szCs w:val="24"/>
          <w:rtl/>
        </w:rPr>
        <w:t>الفرعية</w:t>
      </w:r>
      <w:r w:rsidRPr="00B3219E">
        <w:rPr>
          <w:rFonts w:ascii="Simplified Arabic" w:hAnsi="Simplified Arabic" w:cs="Simplified Arabic"/>
          <w:sz w:val="24"/>
          <w:szCs w:val="24"/>
          <w:rtl/>
        </w:rPr>
        <w:t>:</w:t>
      </w:r>
    </w:p>
    <w:p w:rsidR="00A903CE" w:rsidRDefault="00A903CE" w:rsidP="001D0548">
      <w:pPr>
        <w:pStyle w:val="Paragraphedeliste"/>
        <w:numPr>
          <w:ilvl w:val="0"/>
          <w:numId w:val="5"/>
        </w:numPr>
        <w:autoSpaceDE w:val="0"/>
        <w:autoSpaceDN w:val="0"/>
        <w:bidi/>
        <w:adjustRightInd w:val="0"/>
        <w:spacing w:after="0"/>
        <w:ind w:left="-1" w:firstLine="283"/>
        <w:jc w:val="both"/>
        <w:rPr>
          <w:rFonts w:ascii="Simplified Arabic" w:hAnsi="Simplified Arabic" w:cs="Simplified Arabic"/>
          <w:sz w:val="24"/>
          <w:szCs w:val="24"/>
        </w:rPr>
      </w:pPr>
      <w:r w:rsidRPr="00507DB0">
        <w:rPr>
          <w:rFonts w:ascii="Simplified Arabic" w:hAnsi="Simplified Arabic" w:cs="Simplified Arabic" w:hint="cs"/>
          <w:sz w:val="24"/>
          <w:szCs w:val="24"/>
          <w:rtl/>
        </w:rPr>
        <w:t>نسيج</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البناء المنعزل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يتعلق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هذا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بالتحضر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الذي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حدث</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ضواحي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المدينة، كما هو مبين 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الصورة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w:t>
      </w:r>
      <w:r w:rsidR="0004167A" w:rsidRPr="00507DB0">
        <w:rPr>
          <w:rFonts w:ascii="Simplified Arabic" w:hAnsi="Simplified Arabic" w:cs="Simplified Arabic" w:hint="cs"/>
          <w:sz w:val="24"/>
          <w:szCs w:val="24"/>
          <w:rtl/>
        </w:rPr>
        <w:t>1-4</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يتم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هذا التحضر عن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طريق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الاحتلال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التلقائي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لمساحة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زراعية وفق مراحل زمنية المؤدية الى التفكك الحضري </w:t>
      </w:r>
      <w:r w:rsidRPr="00507DB0">
        <w:rPr>
          <w:rFonts w:asciiTheme="majorBidi" w:hAnsiTheme="majorBidi" w:cstheme="majorBidi"/>
          <w:color w:val="000000" w:themeColor="text1"/>
          <w:sz w:val="24"/>
          <w:szCs w:val="24"/>
        </w:rPr>
        <w:t>(Valy, 2011) </w:t>
      </w:r>
      <w:r w:rsidRPr="00507DB0">
        <w:rPr>
          <w:rFonts w:ascii="Simplified Arabic" w:hAnsi="Simplified Arabic" w:cs="Simplified Arabic"/>
          <w:sz w:val="24"/>
          <w:szCs w:val="24"/>
          <w:rtl/>
        </w:rPr>
        <w:t>.</w:t>
      </w:r>
      <w:r w:rsidRPr="00507DB0">
        <w:rPr>
          <w:rFonts w:ascii="Simplified Arabic" w:hAnsi="Simplified Arabic" w:cs="Simplified Arabic" w:hint="cs"/>
          <w:sz w:val="24"/>
          <w:szCs w:val="24"/>
          <w:rtl/>
        </w:rPr>
        <w:t xml:space="preserve"> يتميّز هذا النوع من النسيج بسوء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التنظيم، يفتقر الى المرافق والخدمات،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يقع 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طول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الطرق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الموجودة،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بناءات سكنية منعزلة، نتيجة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لذلك، هي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قطعة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أرض</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كبيرة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بكثافة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منخفضة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جدًا</w:t>
      </w:r>
      <w:r w:rsidRPr="00507DB0">
        <w:rPr>
          <w:rFonts w:ascii="Simplified Arabic" w:hAnsi="Simplified Arabic" w:cs="Simplified Arabic"/>
          <w:sz w:val="24"/>
          <w:szCs w:val="24"/>
          <w:rtl/>
        </w:rPr>
        <w:t xml:space="preserve">. </w:t>
      </w:r>
    </w:p>
    <w:p w:rsidR="00A903CE" w:rsidRPr="00D0002C" w:rsidRDefault="00A903CE" w:rsidP="00230FAB">
      <w:pPr>
        <w:pStyle w:val="Photo"/>
        <w:rPr>
          <w:rtl/>
        </w:rPr>
      </w:pPr>
      <w:bookmarkStart w:id="274" w:name="_Toc157618637"/>
      <w:bookmarkStart w:id="275" w:name="_Toc171803423"/>
      <w:r>
        <w:rPr>
          <w:rFonts w:hint="cs"/>
          <w:rtl/>
        </w:rPr>
        <w:t>الصورة</w:t>
      </w:r>
      <w:r w:rsidRPr="00D0002C">
        <w:rPr>
          <w:rtl/>
        </w:rPr>
        <w:t xml:space="preserve"> </w:t>
      </w:r>
      <w:r w:rsidRPr="00D0002C">
        <w:rPr>
          <w:rFonts w:hint="cs"/>
          <w:rtl/>
        </w:rPr>
        <w:t>(</w:t>
      </w:r>
      <w:r w:rsidR="0004167A">
        <w:rPr>
          <w:rFonts w:hint="cs"/>
          <w:rtl/>
        </w:rPr>
        <w:t>1-4</w:t>
      </w:r>
      <w:r w:rsidRPr="00D0002C">
        <w:rPr>
          <w:rtl/>
        </w:rPr>
        <w:t>)</w:t>
      </w:r>
      <w:r w:rsidRPr="00D0002C">
        <w:rPr>
          <w:rFonts w:hint="cs"/>
          <w:rtl/>
        </w:rPr>
        <w:t>: نسيج</w:t>
      </w:r>
      <w:r w:rsidRPr="00D0002C">
        <w:rPr>
          <w:rtl/>
        </w:rPr>
        <w:t xml:space="preserve"> </w:t>
      </w:r>
      <w:r>
        <w:rPr>
          <w:rFonts w:hint="cs"/>
          <w:rtl/>
        </w:rPr>
        <w:t xml:space="preserve">البناء </w:t>
      </w:r>
      <w:r w:rsidRPr="00D0002C">
        <w:rPr>
          <w:rFonts w:hint="cs"/>
          <w:rtl/>
        </w:rPr>
        <w:t>المن</w:t>
      </w:r>
      <w:r>
        <w:rPr>
          <w:rFonts w:hint="cs"/>
          <w:rtl/>
        </w:rPr>
        <w:t>عزل</w:t>
      </w:r>
      <w:bookmarkEnd w:id="274"/>
      <w:bookmarkEnd w:id="275"/>
    </w:p>
    <w:p w:rsidR="00A903CE" w:rsidRPr="001A20A5" w:rsidRDefault="00A903CE" w:rsidP="00662BEC">
      <w:pPr>
        <w:tabs>
          <w:tab w:val="right" w:pos="281"/>
        </w:tabs>
        <w:bidi/>
        <w:spacing w:after="0" w:line="240" w:lineRule="auto"/>
        <w:jc w:val="center"/>
        <w:rPr>
          <w:rFonts w:ascii="Simplified Arabic" w:hAnsi="Simplified Arabic" w:cs="Simplified Arabic"/>
          <w:sz w:val="36"/>
          <w:szCs w:val="36"/>
          <w:rtl/>
        </w:rPr>
      </w:pPr>
      <w:r w:rsidRPr="00507DB0">
        <w:rPr>
          <w:rFonts w:ascii="Simplified Arabic" w:hAnsi="Simplified Arabic" w:cs="Simplified Arabic" w:hint="cs"/>
          <w:sz w:val="24"/>
          <w:szCs w:val="24"/>
          <w:rtl/>
        </w:rPr>
        <w:t>المصدر:</w:t>
      </w:r>
      <w:r w:rsidR="00662BEC">
        <w:rPr>
          <w:rFonts w:ascii="Simplified Arabic" w:hAnsi="Simplified Arabic" w:cs="Simplified Arabic" w:hint="cs"/>
          <w:sz w:val="24"/>
          <w:szCs w:val="24"/>
          <w:rtl/>
        </w:rPr>
        <w:t xml:space="preserve"> </w:t>
      </w:r>
      <w:r w:rsidRPr="00507DB0">
        <w:rPr>
          <w:rFonts w:asciiTheme="majorBidi" w:hAnsiTheme="majorBidi" w:cstheme="majorBidi"/>
          <w:color w:val="000000" w:themeColor="text1"/>
          <w:sz w:val="24"/>
          <w:szCs w:val="24"/>
        </w:rPr>
        <w:t>(Valy, 2011)</w:t>
      </w:r>
      <w:r w:rsidR="00662BEC">
        <w:rPr>
          <w:rFonts w:asciiTheme="majorBidi" w:hAnsiTheme="majorBidi" w:cstheme="majorBidi" w:hint="cs"/>
          <w:color w:val="000000" w:themeColor="text1"/>
          <w:sz w:val="24"/>
          <w:szCs w:val="24"/>
          <w:rtl/>
        </w:rPr>
        <w:t xml:space="preserve"> </w:t>
      </w:r>
    </w:p>
    <w:p w:rsidR="00A903CE" w:rsidRDefault="00A903CE" w:rsidP="00A903CE">
      <w:pPr>
        <w:autoSpaceDE w:val="0"/>
        <w:autoSpaceDN w:val="0"/>
        <w:bidi/>
        <w:adjustRightInd w:val="0"/>
        <w:spacing w:after="0"/>
        <w:jc w:val="center"/>
        <w:rPr>
          <w:rFonts w:ascii="Simplified Arabic" w:hAnsi="Simplified Arabic" w:cs="Simplified Arabic"/>
          <w:sz w:val="24"/>
          <w:szCs w:val="24"/>
          <w:rtl/>
        </w:rPr>
      </w:pPr>
      <w:r>
        <w:rPr>
          <w:rFonts w:ascii="Simplified Arabic" w:hAnsi="Simplified Arabic" w:cs="Simplified Arabic" w:hint="cs"/>
          <w:noProof/>
          <w:sz w:val="24"/>
          <w:szCs w:val="24"/>
          <w:rtl/>
          <w:lang w:eastAsia="fr-FR"/>
        </w:rPr>
        <w:drawing>
          <wp:inline distT="0" distB="0" distL="0" distR="0" wp14:anchorId="2A7438B8" wp14:editId="47B0AA3C">
            <wp:extent cx="2501660" cy="2683500"/>
            <wp:effectExtent l="0" t="0" r="0" b="3175"/>
            <wp:docPr id="81" name="Imag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531026" cy="2715000"/>
                    </a:xfrm>
                    <a:prstGeom prst="rect">
                      <a:avLst/>
                    </a:prstGeom>
                    <a:noFill/>
                    <a:ln>
                      <a:noFill/>
                    </a:ln>
                  </pic:spPr>
                </pic:pic>
              </a:graphicData>
            </a:graphic>
          </wp:inline>
        </w:drawing>
      </w:r>
    </w:p>
    <w:p w:rsidR="00A903CE" w:rsidRPr="00A02F7A" w:rsidRDefault="00A903CE" w:rsidP="001D0548">
      <w:pPr>
        <w:pStyle w:val="Paragraphedeliste"/>
        <w:numPr>
          <w:ilvl w:val="0"/>
          <w:numId w:val="5"/>
        </w:numPr>
        <w:autoSpaceDE w:val="0"/>
        <w:autoSpaceDN w:val="0"/>
        <w:bidi/>
        <w:adjustRightInd w:val="0"/>
        <w:spacing w:after="0"/>
        <w:ind w:left="-1" w:firstLine="283"/>
        <w:jc w:val="both"/>
        <w:rPr>
          <w:rFonts w:ascii="Simplified Arabic" w:hAnsi="Simplified Arabic" w:cs="Simplified Arabic"/>
          <w:sz w:val="24"/>
          <w:szCs w:val="24"/>
        </w:rPr>
      </w:pPr>
      <w:r w:rsidRPr="00507DB0">
        <w:rPr>
          <w:rFonts w:ascii="Simplified Arabic" w:hAnsi="Simplified Arabic" w:cs="Simplified Arabic" w:hint="cs"/>
          <w:sz w:val="24"/>
          <w:szCs w:val="24"/>
          <w:rtl/>
        </w:rPr>
        <w:lastRenderedPageBreak/>
        <w:t>نسيج</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البناء المتراص</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يتعلق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هذا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بالتحضر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الذي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حدث</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وسط</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المدينة وفق مراحل زمنية مختلفة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 ميزات هذا النوع 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النسيج</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الحضري بانه</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متضام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للغاية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كثيف</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ومتراص</w:t>
      </w:r>
      <w:r w:rsidRPr="00507DB0">
        <w:rPr>
          <w:rFonts w:ascii="Simplified Arabic" w:hAnsi="Simplified Arabic" w:cs="Simplified Arabic"/>
          <w:sz w:val="24"/>
          <w:szCs w:val="24"/>
          <w:rtl/>
        </w:rPr>
        <w:t>)</w:t>
      </w:r>
      <w:r w:rsidRPr="00507DB0">
        <w:rPr>
          <w:rFonts w:ascii="Simplified Arabic" w:hAnsi="Simplified Arabic" w:cs="Simplified Arabic" w:hint="cs"/>
          <w:sz w:val="24"/>
          <w:szCs w:val="24"/>
          <w:rtl/>
        </w:rPr>
        <w:t>، كما هو مبين 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الصورة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w:t>
      </w:r>
      <w:r w:rsidR="007A0685" w:rsidRPr="00507DB0">
        <w:rPr>
          <w:rFonts w:ascii="Simplified Arabic" w:hAnsi="Simplified Arabic" w:cs="Simplified Arabic" w:hint="cs"/>
          <w:sz w:val="24"/>
          <w:szCs w:val="24"/>
          <w:rtl/>
        </w:rPr>
        <w:t>1-5</w:t>
      </w:r>
      <w:r w:rsidRPr="00507DB0">
        <w:rPr>
          <w:rFonts w:ascii="Simplified Arabic" w:hAnsi="Simplified Arabic" w:cs="Simplified Arabic"/>
          <w:sz w:val="24"/>
          <w:szCs w:val="24"/>
          <w:rtl/>
        </w:rPr>
        <w:t>)</w:t>
      </w:r>
      <w:r w:rsidRPr="00507DB0">
        <w:rPr>
          <w:rFonts w:ascii="Simplified Arabic" w:hAnsi="Simplified Arabic" w:cs="Simplified Arabic" w:hint="cs"/>
          <w:sz w:val="24"/>
          <w:szCs w:val="24"/>
          <w:rtl/>
        </w:rPr>
        <w:t>.</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كما يتميز هذا النوع من النسيج</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بمساكن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متلاصقة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ببعضها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البعض</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قدر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الإمكان،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تكون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الأحياء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بشكل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عام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أكثر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أو أقل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انغلاقًا،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مما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يقلل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احتمالات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الانفتاح</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الخارج </w:t>
      </w:r>
      <w:r w:rsidRPr="00507DB0">
        <w:rPr>
          <w:rFonts w:asciiTheme="majorBidi" w:hAnsiTheme="majorBidi" w:cstheme="majorBidi"/>
          <w:sz w:val="24"/>
          <w:szCs w:val="24"/>
          <w:rtl/>
        </w:rPr>
        <w:t>(</w:t>
      </w:r>
      <w:r w:rsidRPr="00507DB0">
        <w:rPr>
          <w:rFonts w:asciiTheme="majorBidi" w:hAnsiTheme="majorBidi" w:cstheme="majorBidi"/>
          <w:sz w:val="24"/>
          <w:szCs w:val="24"/>
        </w:rPr>
        <w:t>Nouibat, 2</w:t>
      </w:r>
      <w:r>
        <w:rPr>
          <w:rFonts w:asciiTheme="majorBidi" w:hAnsiTheme="majorBidi" w:cstheme="majorBidi"/>
          <w:sz w:val="24"/>
          <w:szCs w:val="24"/>
        </w:rPr>
        <w:t>007</w:t>
      </w:r>
      <w:r w:rsidRPr="000778AD">
        <w:rPr>
          <w:rFonts w:asciiTheme="majorBidi" w:hAnsiTheme="majorBidi" w:cstheme="majorBidi"/>
          <w:sz w:val="24"/>
          <w:szCs w:val="24"/>
          <w:rtl/>
        </w:rPr>
        <w:t>)</w:t>
      </w:r>
      <w:r>
        <w:rPr>
          <w:rFonts w:ascii="Simplified Arabic" w:hAnsi="Simplified Arabic" w:cs="Simplified Arabic" w:hint="cs"/>
          <w:sz w:val="24"/>
          <w:szCs w:val="24"/>
          <w:rtl/>
        </w:rPr>
        <w:t xml:space="preserve">. </w:t>
      </w:r>
      <w:r w:rsidRPr="00A02F7A">
        <w:rPr>
          <w:rFonts w:ascii="Simplified Arabic" w:hAnsi="Simplified Arabic" w:cs="Simplified Arabic" w:hint="cs"/>
          <w:sz w:val="24"/>
          <w:szCs w:val="24"/>
          <w:rtl/>
        </w:rPr>
        <w:t>الأمثلة</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موجودة</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في</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الجزائر</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غرداية،</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بوسعادة،</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الخ</w:t>
      </w:r>
      <w:r w:rsidRPr="00A02F7A">
        <w:rPr>
          <w:rFonts w:ascii="Simplified Arabic" w:hAnsi="Simplified Arabic" w:cs="Simplified Arabic"/>
          <w:sz w:val="24"/>
          <w:szCs w:val="24"/>
          <w:rtl/>
        </w:rPr>
        <w:t>)</w:t>
      </w:r>
      <w:r w:rsidRPr="00A02F7A">
        <w:rPr>
          <w:rFonts w:ascii="Simplified Arabic" w:hAnsi="Simplified Arabic" w:cs="Simplified Arabic" w:hint="cs"/>
          <w:sz w:val="24"/>
          <w:szCs w:val="24"/>
          <w:rtl/>
        </w:rPr>
        <w:t>،</w:t>
      </w:r>
      <w:r w:rsidRPr="00A02F7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ودول شمال افريقيا مثل </w:t>
      </w:r>
      <w:r w:rsidRPr="00A02F7A">
        <w:rPr>
          <w:rFonts w:ascii="Simplified Arabic" w:hAnsi="Simplified Arabic" w:cs="Simplified Arabic" w:hint="cs"/>
          <w:sz w:val="24"/>
          <w:szCs w:val="24"/>
          <w:rtl/>
        </w:rPr>
        <w:t>مصر، تونس</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والمغرب</w:t>
      </w:r>
      <w:r>
        <w:rPr>
          <w:rFonts w:ascii="Simplified Arabic" w:hAnsi="Simplified Arabic" w:cs="Simplified Arabic" w:hint="cs"/>
          <w:sz w:val="24"/>
          <w:szCs w:val="24"/>
          <w:rtl/>
        </w:rPr>
        <w:t>.</w:t>
      </w:r>
      <w:r w:rsidRPr="00A02F7A">
        <w:rPr>
          <w:rFonts w:ascii="Simplified Arabic" w:hAnsi="Simplified Arabic" w:cs="Simplified Arabic"/>
          <w:sz w:val="24"/>
          <w:szCs w:val="24"/>
          <w:rtl/>
        </w:rPr>
        <w:t xml:space="preserve"> </w:t>
      </w:r>
    </w:p>
    <w:p w:rsidR="00A903CE" w:rsidRPr="00FC4516" w:rsidRDefault="00A903CE" w:rsidP="00230FAB">
      <w:pPr>
        <w:pStyle w:val="Photo"/>
        <w:rPr>
          <w:rtl/>
        </w:rPr>
      </w:pPr>
      <w:bookmarkStart w:id="276" w:name="_Toc157618638"/>
      <w:bookmarkStart w:id="277" w:name="_Toc171803424"/>
      <w:r>
        <w:rPr>
          <w:rFonts w:hint="cs"/>
          <w:rtl/>
        </w:rPr>
        <w:t>الصورة</w:t>
      </w:r>
      <w:r w:rsidRPr="00FC4516">
        <w:rPr>
          <w:rtl/>
        </w:rPr>
        <w:t xml:space="preserve"> </w:t>
      </w:r>
      <w:r w:rsidRPr="00FC4516">
        <w:rPr>
          <w:rFonts w:hint="cs"/>
          <w:rtl/>
        </w:rPr>
        <w:t>(</w:t>
      </w:r>
      <w:r w:rsidR="007A0685">
        <w:rPr>
          <w:rFonts w:hint="cs"/>
          <w:rtl/>
        </w:rPr>
        <w:t>1-5</w:t>
      </w:r>
      <w:r w:rsidRPr="00FC4516">
        <w:rPr>
          <w:rtl/>
        </w:rPr>
        <w:t>)</w:t>
      </w:r>
      <w:r w:rsidRPr="00FC4516">
        <w:rPr>
          <w:rFonts w:hint="cs"/>
          <w:rtl/>
        </w:rPr>
        <w:t xml:space="preserve">: </w:t>
      </w:r>
      <w:r w:rsidRPr="00CA2495">
        <w:rPr>
          <w:rFonts w:hint="cs"/>
          <w:rtl/>
        </w:rPr>
        <w:t>نسيج</w:t>
      </w:r>
      <w:r w:rsidRPr="00CA2495">
        <w:rPr>
          <w:rtl/>
        </w:rPr>
        <w:t xml:space="preserve"> </w:t>
      </w:r>
      <w:r>
        <w:rPr>
          <w:rFonts w:hint="cs"/>
          <w:rtl/>
        </w:rPr>
        <w:t xml:space="preserve">البناء المتراص لمدينة </w:t>
      </w:r>
      <w:r w:rsidR="00AC0129">
        <w:rPr>
          <w:rFonts w:hint="cs"/>
          <w:rtl/>
        </w:rPr>
        <w:t>بوسعادة</w:t>
      </w:r>
      <w:bookmarkEnd w:id="276"/>
      <w:bookmarkEnd w:id="277"/>
    </w:p>
    <w:p w:rsidR="00A903CE" w:rsidRPr="00FC4516" w:rsidRDefault="00A903CE" w:rsidP="00A903CE">
      <w:pPr>
        <w:tabs>
          <w:tab w:val="right" w:pos="281"/>
        </w:tabs>
        <w:bidi/>
        <w:spacing w:after="0" w:line="240" w:lineRule="auto"/>
        <w:jc w:val="center"/>
        <w:rPr>
          <w:rFonts w:ascii="Simplified Arabic" w:hAnsi="Simplified Arabic" w:cs="Simplified Arabic"/>
          <w:sz w:val="36"/>
          <w:szCs w:val="36"/>
        </w:rPr>
      </w:pPr>
      <w:r w:rsidRPr="00D35C40">
        <w:rPr>
          <w:rFonts w:ascii="Simplified Arabic" w:hAnsi="Simplified Arabic" w:cs="Simplified Arabic"/>
          <w:sz w:val="24"/>
          <w:szCs w:val="24"/>
          <w:rtl/>
        </w:rPr>
        <w:t>المصدر:</w:t>
      </w:r>
      <w:r w:rsidRPr="00D35C40">
        <w:rPr>
          <w:rFonts w:ascii="Simplified Arabic" w:hAnsi="Simplified Arabic" w:cs="Simplified Arabic" w:hint="cs"/>
          <w:color w:val="000000" w:themeColor="text1"/>
          <w:sz w:val="24"/>
          <w:szCs w:val="24"/>
          <w:rtl/>
        </w:rPr>
        <w:t xml:space="preserve"> </w:t>
      </w:r>
      <w:r w:rsidRPr="00D35C40">
        <w:rPr>
          <w:rFonts w:asciiTheme="majorBidi" w:hAnsiTheme="majorBidi" w:cstheme="majorBidi"/>
          <w:sz w:val="24"/>
          <w:szCs w:val="24"/>
          <w:rtl/>
        </w:rPr>
        <w:t>(</w:t>
      </w:r>
      <w:r w:rsidRPr="00507DB0">
        <w:rPr>
          <w:rFonts w:asciiTheme="majorBidi" w:hAnsiTheme="majorBidi" w:cstheme="majorBidi"/>
          <w:sz w:val="24"/>
          <w:szCs w:val="24"/>
        </w:rPr>
        <w:t>Nouibat</w:t>
      </w:r>
      <w:r w:rsidRPr="00D35C40">
        <w:rPr>
          <w:rFonts w:asciiTheme="majorBidi" w:hAnsiTheme="majorBidi" w:cstheme="majorBidi"/>
          <w:sz w:val="24"/>
          <w:szCs w:val="24"/>
        </w:rPr>
        <w:t>, 2007</w:t>
      </w:r>
      <w:r w:rsidRPr="00D35C40">
        <w:rPr>
          <w:rFonts w:asciiTheme="majorBidi" w:hAnsiTheme="majorBidi" w:cstheme="majorBidi"/>
          <w:sz w:val="24"/>
          <w:szCs w:val="24"/>
          <w:rtl/>
        </w:rPr>
        <w:t>)</w:t>
      </w:r>
    </w:p>
    <w:p w:rsidR="00A903CE" w:rsidRPr="00E51656" w:rsidRDefault="00A903CE" w:rsidP="00A903CE">
      <w:pPr>
        <w:autoSpaceDE w:val="0"/>
        <w:autoSpaceDN w:val="0"/>
        <w:bidi/>
        <w:adjustRightInd w:val="0"/>
        <w:spacing w:after="0"/>
        <w:jc w:val="center"/>
        <w:rPr>
          <w:rFonts w:ascii="Simplified Arabic" w:hAnsi="Simplified Arabic" w:cs="Simplified Arabic"/>
          <w:sz w:val="24"/>
          <w:szCs w:val="24"/>
          <w:rtl/>
        </w:rPr>
      </w:pPr>
      <w:r>
        <w:rPr>
          <w:rFonts w:ascii="Simplified Arabic" w:hAnsi="Simplified Arabic" w:cs="Simplified Arabic" w:hint="cs"/>
          <w:noProof/>
          <w:sz w:val="24"/>
          <w:szCs w:val="24"/>
          <w:rtl/>
          <w:lang w:eastAsia="fr-FR"/>
        </w:rPr>
        <w:drawing>
          <wp:inline distT="0" distB="0" distL="0" distR="0" wp14:anchorId="5F7F8CE6" wp14:editId="3B4D29DF">
            <wp:extent cx="4994694" cy="3746019"/>
            <wp:effectExtent l="0" t="0" r="0" b="698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cstate="print">
                      <a:extLst>
                        <a:ext uri="{28A0092B-C50C-407E-A947-70E740481C1C}">
                          <a14:useLocalDpi xmlns:a14="http://schemas.microsoft.com/office/drawing/2010/main" val="0"/>
                        </a:ext>
                      </a:extLst>
                    </a:blip>
                    <a:stretch>
                      <a:fillRect/>
                    </a:stretch>
                  </pic:blipFill>
                  <pic:spPr bwMode="auto">
                    <a:xfrm>
                      <a:off x="0" y="0"/>
                      <a:ext cx="5036817" cy="3777612"/>
                    </a:xfrm>
                    <a:prstGeom prst="rect">
                      <a:avLst/>
                    </a:prstGeom>
                    <a:noFill/>
                    <a:ln>
                      <a:noFill/>
                    </a:ln>
                  </pic:spPr>
                </pic:pic>
              </a:graphicData>
            </a:graphic>
          </wp:inline>
        </w:drawing>
      </w:r>
    </w:p>
    <w:p w:rsidR="00A903CE" w:rsidRPr="00F52FA0" w:rsidRDefault="00A903CE" w:rsidP="0002788C">
      <w:pPr>
        <w:pStyle w:val="Paragraphedeliste"/>
        <w:numPr>
          <w:ilvl w:val="0"/>
          <w:numId w:val="5"/>
        </w:numPr>
        <w:autoSpaceDE w:val="0"/>
        <w:autoSpaceDN w:val="0"/>
        <w:bidi/>
        <w:adjustRightInd w:val="0"/>
        <w:spacing w:before="240" w:after="0"/>
        <w:ind w:left="-1" w:firstLine="283"/>
        <w:jc w:val="both"/>
        <w:rPr>
          <w:rFonts w:ascii="Simplified Arabic" w:hAnsi="Simplified Arabic" w:cs="Simplified Arabic"/>
          <w:sz w:val="24"/>
          <w:szCs w:val="24"/>
        </w:rPr>
      </w:pPr>
      <w:r w:rsidRPr="00A02F7A">
        <w:rPr>
          <w:rFonts w:ascii="Simplified Arabic" w:hAnsi="Simplified Arabic" w:cs="Simplified Arabic" w:hint="cs"/>
          <w:sz w:val="24"/>
          <w:szCs w:val="24"/>
          <w:rtl/>
        </w:rPr>
        <w:t>نسيج</w:t>
      </w:r>
      <w:r w:rsidRPr="00A02F7A">
        <w:rPr>
          <w:rFonts w:ascii="Simplified Arabic" w:hAnsi="Simplified Arabic" w:cs="Simplified Arabic"/>
          <w:sz w:val="24"/>
          <w:szCs w:val="24"/>
          <w:rtl/>
        </w:rPr>
        <w:t xml:space="preserve"> </w:t>
      </w:r>
      <w:r w:rsidRPr="00A02F7A">
        <w:rPr>
          <w:rFonts w:ascii="Simplified Arabic" w:hAnsi="Simplified Arabic" w:cs="Simplified Arabic" w:hint="cs"/>
          <w:sz w:val="24"/>
          <w:szCs w:val="24"/>
          <w:rtl/>
        </w:rPr>
        <w:t xml:space="preserve">البناء </w:t>
      </w:r>
      <w:r>
        <w:rPr>
          <w:rFonts w:ascii="Simplified Arabic" w:hAnsi="Simplified Arabic" w:cs="Simplified Arabic" w:hint="cs"/>
          <w:sz w:val="24"/>
          <w:szCs w:val="24"/>
          <w:rtl/>
        </w:rPr>
        <w:t>الناتج عن تخطيط تقسيم الارض</w:t>
      </w:r>
      <w:r w:rsidRPr="00A02F7A">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يتعلق</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هذا</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بالتحضر</w:t>
      </w:r>
      <w:r w:rsidRPr="00F52FA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الجديد بعد ميثاق أثينا </w:t>
      </w:r>
      <w:r w:rsidRPr="00F52FA0">
        <w:rPr>
          <w:rFonts w:ascii="Simplified Arabic" w:hAnsi="Simplified Arabic" w:cs="Simplified Arabic" w:hint="cs"/>
          <w:sz w:val="24"/>
          <w:szCs w:val="24"/>
          <w:rtl/>
        </w:rPr>
        <w:t>الذي</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نتج</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 xml:space="preserve">عن  تقسيمات الاراضي وفق </w:t>
      </w:r>
      <w:r>
        <w:rPr>
          <w:rFonts w:ascii="Simplified Arabic" w:hAnsi="Simplified Arabic" w:cs="Simplified Arabic" w:hint="cs"/>
          <w:sz w:val="24"/>
          <w:szCs w:val="24"/>
          <w:rtl/>
        </w:rPr>
        <w:t xml:space="preserve">خطة يتم تنفيذها عبر </w:t>
      </w:r>
      <w:r w:rsidRPr="00F52FA0">
        <w:rPr>
          <w:rFonts w:ascii="Simplified Arabic" w:hAnsi="Simplified Arabic" w:cs="Simplified Arabic" w:hint="cs"/>
          <w:sz w:val="24"/>
          <w:szCs w:val="24"/>
          <w:rtl/>
        </w:rPr>
        <w:t>مراحل زمنية</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الوظيفية</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كأساس</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لميثاق</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أثينا عام</w:t>
      </w:r>
      <w:r>
        <w:rPr>
          <w:rFonts w:ascii="Simplified Arabic" w:hAnsi="Simplified Arabic" w:cs="Simplified Arabic" w:hint="cs"/>
          <w:sz w:val="24"/>
          <w:szCs w:val="24"/>
          <w:rtl/>
        </w:rPr>
        <w:t xml:space="preserve"> </w:t>
      </w:r>
      <w:r w:rsidRPr="00F52FA0">
        <w:rPr>
          <w:rFonts w:ascii="Simplified Arabic" w:hAnsi="Simplified Arabic" w:cs="Simplified Arabic"/>
          <w:sz w:val="24"/>
          <w:szCs w:val="24"/>
          <w:rtl/>
        </w:rPr>
        <w:t>1933</w:t>
      </w:r>
      <w:r w:rsidRPr="00F52FA0">
        <w:rPr>
          <w:rFonts w:ascii="Simplified Arabic" w:hAnsi="Simplified Arabic" w:cs="Simplified Arabic" w:hint="cs"/>
          <w:sz w:val="24"/>
          <w:szCs w:val="24"/>
          <w:rtl/>
        </w:rPr>
        <w:t>،</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الذي</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دعا</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إلى</w:t>
      </w:r>
      <w:r w:rsidRPr="00F52FA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انشاء </w:t>
      </w:r>
      <w:r w:rsidRPr="00F52FA0">
        <w:rPr>
          <w:rFonts w:ascii="Simplified Arabic" w:hAnsi="Simplified Arabic" w:cs="Simplified Arabic" w:hint="cs"/>
          <w:sz w:val="24"/>
          <w:szCs w:val="24"/>
          <w:rtl/>
        </w:rPr>
        <w:t>المباني</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المرتفعة</w:t>
      </w:r>
      <w:r w:rsidRPr="00F52FA0">
        <w:rPr>
          <w:rFonts w:ascii="Simplified Arabic" w:hAnsi="Simplified Arabic" w:cs="Simplified Arabic"/>
          <w:sz w:val="24"/>
          <w:szCs w:val="24"/>
          <w:rtl/>
        </w:rPr>
        <w:t xml:space="preserve"> </w:t>
      </w:r>
      <w:r>
        <w:rPr>
          <w:rFonts w:ascii="Simplified Arabic" w:hAnsi="Simplified Arabic" w:cs="Simplified Arabic" w:hint="cs"/>
          <w:sz w:val="24"/>
          <w:szCs w:val="24"/>
          <w:rtl/>
        </w:rPr>
        <w:t>المتباعدة</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عن</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بعضها</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البعض،</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تم</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تخصيص</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مناطق</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محددة</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لوظائف</w:t>
      </w:r>
      <w:r w:rsidRPr="00F52FA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العمران: </w:t>
      </w:r>
      <w:r w:rsidRPr="00F52FA0">
        <w:rPr>
          <w:rFonts w:ascii="Simplified Arabic" w:hAnsi="Simplified Arabic" w:cs="Simplified Arabic" w:hint="cs"/>
          <w:sz w:val="24"/>
          <w:szCs w:val="24"/>
          <w:rtl/>
        </w:rPr>
        <w:t>السكن</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والعمل</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والترفيه</w:t>
      </w:r>
      <w:r w:rsidRPr="00F52FA0">
        <w:rPr>
          <w:rFonts w:ascii="Simplified Arabic" w:hAnsi="Simplified Arabic" w:cs="Simplified Arabic"/>
          <w:sz w:val="24"/>
          <w:szCs w:val="24"/>
          <w:rtl/>
        </w:rPr>
        <w:t xml:space="preserve"> (</w:t>
      </w:r>
      <w:r w:rsidRPr="00F52FA0">
        <w:rPr>
          <w:rFonts w:ascii="Simplified Arabic" w:hAnsi="Simplified Arabic" w:cs="Simplified Arabic" w:hint="cs"/>
          <w:sz w:val="24"/>
          <w:szCs w:val="24"/>
          <w:rtl/>
        </w:rPr>
        <w:t>تقسيم</w:t>
      </w:r>
      <w:r w:rsidRPr="00F52FA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الى </w:t>
      </w:r>
      <w:r w:rsidRPr="00F52FA0">
        <w:rPr>
          <w:rFonts w:ascii="Simplified Arabic" w:hAnsi="Simplified Arabic" w:cs="Simplified Arabic" w:hint="cs"/>
          <w:sz w:val="24"/>
          <w:szCs w:val="24"/>
          <w:rtl/>
        </w:rPr>
        <w:t>مناطق</w:t>
      </w:r>
      <w:r>
        <w:rPr>
          <w:rFonts w:ascii="Simplified Arabic" w:hAnsi="Simplified Arabic" w:cs="Simplified Arabic" w:hint="cs"/>
          <w:sz w:val="24"/>
          <w:szCs w:val="24"/>
          <w:rtl/>
        </w:rPr>
        <w:t xml:space="preserve">، </w:t>
      </w:r>
      <w:r w:rsidRPr="00227A44">
        <w:rPr>
          <w:rFonts w:asciiTheme="majorBidi" w:hAnsiTheme="majorBidi" w:cstheme="majorBidi"/>
          <w:sz w:val="24"/>
          <w:szCs w:val="24"/>
        </w:rPr>
        <w:t>Zoning</w:t>
      </w:r>
      <w:r w:rsidRPr="00F52FA0">
        <w:rPr>
          <w:rFonts w:ascii="Simplified Arabic" w:hAnsi="Simplified Arabic" w:cs="Simplified Arabic"/>
          <w:sz w:val="24"/>
          <w:szCs w:val="24"/>
          <w:rtl/>
        </w:rPr>
        <w:t>).</w:t>
      </w:r>
      <w:r w:rsidRPr="00F52FA0">
        <w:rPr>
          <w:rFonts w:ascii="Simplified Arabic" w:hAnsi="Simplified Arabic" w:cs="Simplified Arabic" w:hint="cs"/>
          <w:sz w:val="24"/>
          <w:szCs w:val="24"/>
          <w:rtl/>
        </w:rPr>
        <w:t xml:space="preserve"> </w:t>
      </w:r>
    </w:p>
    <w:p w:rsidR="00A903CE" w:rsidRPr="000D3A87" w:rsidRDefault="00A903CE" w:rsidP="00A903CE">
      <w:pPr>
        <w:autoSpaceDE w:val="0"/>
        <w:autoSpaceDN w:val="0"/>
        <w:bidi/>
        <w:adjustRightInd w:val="0"/>
        <w:spacing w:after="0"/>
        <w:ind w:firstLine="282"/>
        <w:jc w:val="both"/>
        <w:rPr>
          <w:rFonts w:ascii="Simplified Arabic" w:hAnsi="Simplified Arabic" w:cs="Simplified Arabic"/>
          <w:sz w:val="24"/>
          <w:szCs w:val="24"/>
        </w:rPr>
      </w:pPr>
      <w:r w:rsidRPr="000D3A87">
        <w:rPr>
          <w:rFonts w:ascii="Simplified Arabic" w:hAnsi="Simplified Arabic" w:cs="Simplified Arabic" w:hint="cs"/>
          <w:sz w:val="24"/>
          <w:szCs w:val="24"/>
          <w:rtl/>
        </w:rPr>
        <w:t>حصر</w:t>
      </w:r>
      <w:r w:rsidRPr="000D3A87">
        <w:rPr>
          <w:rFonts w:ascii="Simplified Arabic" w:hAnsi="Simplified Arabic" w:cs="Simplified Arabic"/>
          <w:sz w:val="24"/>
          <w:szCs w:val="24"/>
          <w:rtl/>
        </w:rPr>
        <w:t xml:space="preserve"> </w:t>
      </w:r>
      <w:r w:rsidRPr="000D3A87">
        <w:rPr>
          <w:rFonts w:asciiTheme="majorBidi" w:hAnsiTheme="majorBidi" w:cstheme="majorBidi"/>
          <w:sz w:val="24"/>
          <w:szCs w:val="24"/>
          <w:rtl/>
        </w:rPr>
        <w:t>(</w:t>
      </w:r>
      <w:r w:rsidRPr="00507DB0">
        <w:rPr>
          <w:rFonts w:asciiTheme="majorBidi" w:hAnsiTheme="majorBidi" w:cstheme="majorBidi"/>
          <w:sz w:val="24"/>
          <w:szCs w:val="24"/>
        </w:rPr>
        <w:t>Panerai</w:t>
      </w:r>
      <w:r>
        <w:rPr>
          <w:rFonts w:asciiTheme="majorBidi" w:hAnsiTheme="majorBidi" w:cstheme="majorBidi"/>
          <w:sz w:val="24"/>
          <w:szCs w:val="24"/>
        </w:rPr>
        <w:t>,</w:t>
      </w:r>
      <w:r w:rsidRPr="000D3A87">
        <w:rPr>
          <w:rFonts w:asciiTheme="majorBidi" w:hAnsiTheme="majorBidi" w:cstheme="majorBidi"/>
          <w:sz w:val="24"/>
          <w:szCs w:val="24"/>
        </w:rPr>
        <w:t xml:space="preserve"> 1987</w:t>
      </w:r>
      <w:r w:rsidRPr="000D3A87">
        <w:rPr>
          <w:rFonts w:asciiTheme="majorBidi" w:hAnsiTheme="majorBidi" w:cstheme="majorBidi"/>
          <w:sz w:val="24"/>
          <w:szCs w:val="24"/>
          <w:rtl/>
        </w:rPr>
        <w:t>)</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الانسجة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الحضرية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الجديدة</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التي </w:t>
      </w:r>
      <w:r w:rsidRPr="000D3A87">
        <w:rPr>
          <w:rFonts w:ascii="Simplified Arabic" w:hAnsi="Simplified Arabic" w:cs="Simplified Arabic" w:hint="cs"/>
          <w:sz w:val="24"/>
          <w:szCs w:val="24"/>
          <w:rtl/>
        </w:rPr>
        <w:t>تم</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انشاءها</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في</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العقود</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الأخيرة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في</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مثالين</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يشكلان</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النقيضين</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بعد</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ميثاق</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أثينا،</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وهما</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المجمعات</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الكبيرة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والتقسيمات</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الفرعية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للمساكن</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الفردية</w:t>
      </w:r>
      <w:r w:rsidRPr="000D3A87">
        <w:rPr>
          <w:rFonts w:ascii="Simplified Arabic" w:hAnsi="Simplified Arabic" w:cs="Simplified Arabic"/>
          <w:sz w:val="24"/>
          <w:szCs w:val="24"/>
          <w:rtl/>
        </w:rPr>
        <w:t>:</w:t>
      </w:r>
    </w:p>
    <w:p w:rsidR="00A903CE" w:rsidRPr="000D3A87" w:rsidRDefault="00A903CE" w:rsidP="007A0685">
      <w:pPr>
        <w:autoSpaceDE w:val="0"/>
        <w:autoSpaceDN w:val="0"/>
        <w:bidi/>
        <w:adjustRightInd w:val="0"/>
        <w:spacing w:after="0"/>
        <w:jc w:val="both"/>
        <w:rPr>
          <w:rFonts w:ascii="Simplified Arabic" w:hAnsi="Simplified Arabic" w:cs="Simplified Arabic"/>
          <w:sz w:val="24"/>
          <w:szCs w:val="24"/>
        </w:rPr>
      </w:pP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تتميز</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التقسيمات</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الفرعية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للمساكن</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الفردية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مكانيًا</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بتقسيم</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قطع</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الأرض</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مع</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تقليل</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المساحات</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العامة</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من </w:t>
      </w:r>
      <w:r w:rsidRPr="000D3A87">
        <w:rPr>
          <w:rFonts w:ascii="Simplified Arabic" w:hAnsi="Simplified Arabic" w:cs="Simplified Arabic" w:hint="cs"/>
          <w:sz w:val="24"/>
          <w:szCs w:val="24"/>
          <w:rtl/>
        </w:rPr>
        <w:t>خلال</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الشوارع</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ذات</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الطبيعة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الخاصة،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والمنازل</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الفردية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المتطابقة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مصممة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بشكل</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عام</w:t>
      </w:r>
      <w:r>
        <w:rPr>
          <w:rFonts w:ascii="Simplified Arabic" w:hAnsi="Simplified Arabic" w:cs="Simplified Arabic" w:hint="cs"/>
          <w:sz w:val="24"/>
          <w:szCs w:val="24"/>
          <w:rtl/>
        </w:rPr>
        <w:t>،</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كما يظهر في الشكل</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007A0685">
        <w:rPr>
          <w:rFonts w:ascii="Simplified Arabic" w:hAnsi="Simplified Arabic" w:cs="Simplified Arabic" w:hint="cs"/>
          <w:sz w:val="24"/>
          <w:szCs w:val="24"/>
          <w:rtl/>
        </w:rPr>
        <w:t>1-24</w:t>
      </w:r>
      <w:r>
        <w:rPr>
          <w:rFonts w:ascii="Simplified Arabic" w:hAnsi="Simplified Arabic" w:cs="Simplified Arabic" w:hint="cs"/>
          <w:sz w:val="24"/>
          <w:szCs w:val="24"/>
          <w:rtl/>
        </w:rPr>
        <w:t>)</w:t>
      </w:r>
      <w:r w:rsidRPr="000D3A87">
        <w:rPr>
          <w:rFonts w:ascii="Simplified Arabic" w:hAnsi="Simplified Arabic" w:cs="Simplified Arabic"/>
          <w:sz w:val="24"/>
          <w:szCs w:val="24"/>
          <w:rtl/>
        </w:rPr>
        <w:t>.</w:t>
      </w:r>
    </w:p>
    <w:p w:rsidR="00A903CE" w:rsidRDefault="00A903CE" w:rsidP="003166C4">
      <w:pPr>
        <w:autoSpaceDE w:val="0"/>
        <w:autoSpaceDN w:val="0"/>
        <w:bidi/>
        <w:adjustRightInd w:val="0"/>
        <w:spacing w:after="0"/>
        <w:jc w:val="both"/>
        <w:rPr>
          <w:rFonts w:ascii="Simplified Arabic" w:hAnsi="Simplified Arabic" w:cs="Simplified Arabic"/>
          <w:sz w:val="24"/>
          <w:szCs w:val="24"/>
        </w:rPr>
      </w:pPr>
      <w:r w:rsidRPr="000D3A87">
        <w:rPr>
          <w:rFonts w:ascii="Simplified Arabic" w:hAnsi="Simplified Arabic" w:cs="Simplified Arabic"/>
          <w:sz w:val="24"/>
          <w:szCs w:val="24"/>
          <w:rtl/>
        </w:rPr>
        <w:lastRenderedPageBreak/>
        <w:t xml:space="preserve">- </w:t>
      </w:r>
      <w:r w:rsidRPr="000D3A87">
        <w:rPr>
          <w:rFonts w:ascii="Simplified Arabic" w:hAnsi="Simplified Arabic" w:cs="Simplified Arabic" w:hint="cs"/>
          <w:sz w:val="24"/>
          <w:szCs w:val="24"/>
          <w:rtl/>
        </w:rPr>
        <w:t>تعاني</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التقسيمات</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الفرعية</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0D3A87">
        <w:rPr>
          <w:rFonts w:ascii="Simplified Arabic" w:hAnsi="Simplified Arabic" w:cs="Simplified Arabic" w:hint="cs"/>
          <w:sz w:val="24"/>
          <w:szCs w:val="24"/>
          <w:rtl/>
        </w:rPr>
        <w:t>لمجمعات</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الكبيرة</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من</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مشاكل</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اجتماعية،</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اضافة الى</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مشاكل</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مكانية</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كارتفاع المساحات العامة </w:t>
      </w:r>
      <w:r w:rsidRPr="000D3A87">
        <w:rPr>
          <w:rFonts w:ascii="Simplified Arabic" w:hAnsi="Simplified Arabic" w:cs="Simplified Arabic" w:hint="cs"/>
          <w:sz w:val="24"/>
          <w:szCs w:val="24"/>
          <w:rtl/>
        </w:rPr>
        <w:t>حيث</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يكون</w:t>
      </w:r>
      <w:r w:rsidRPr="000D3A87">
        <w:rPr>
          <w:rFonts w:ascii="Simplified Arabic" w:hAnsi="Simplified Arabic" w:cs="Simplified Arabic"/>
          <w:sz w:val="24"/>
          <w:szCs w:val="24"/>
          <w:rtl/>
        </w:rPr>
        <w:t xml:space="preserve"> </w:t>
      </w:r>
      <w:r w:rsidR="003166C4">
        <w:rPr>
          <w:rFonts w:ascii="Simplified Arabic" w:hAnsi="Simplified Arabic" w:cs="Simplified Arabic" w:hint="cs"/>
          <w:sz w:val="24"/>
          <w:szCs w:val="24"/>
          <w:rtl/>
        </w:rPr>
        <w:t>استعمال</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الأرض</w:t>
      </w:r>
      <w:r w:rsidRPr="000D3A87">
        <w:rPr>
          <w:rFonts w:ascii="Simplified Arabic" w:hAnsi="Simplified Arabic" w:cs="Simplified Arabic"/>
          <w:sz w:val="24"/>
          <w:szCs w:val="24"/>
          <w:rtl/>
        </w:rPr>
        <w:t xml:space="preserve"> </w:t>
      </w:r>
      <w:r w:rsidRPr="000D3A87">
        <w:rPr>
          <w:rFonts w:ascii="Simplified Arabic" w:hAnsi="Simplified Arabic" w:cs="Simplified Arabic" w:hint="cs"/>
          <w:sz w:val="24"/>
          <w:szCs w:val="24"/>
          <w:rtl/>
        </w:rPr>
        <w:t>منخفضًا</w:t>
      </w:r>
      <w:r>
        <w:rPr>
          <w:rFonts w:ascii="Simplified Arabic" w:hAnsi="Simplified Arabic" w:cs="Simplified Arabic" w:hint="cs"/>
          <w:sz w:val="24"/>
          <w:szCs w:val="24"/>
          <w:rtl/>
        </w:rPr>
        <w:t>،</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بينما ترتفع الكثافة السكنية حيث تتراوح بين </w:t>
      </w:r>
      <w:r w:rsidRPr="000D3A87">
        <w:rPr>
          <w:rFonts w:ascii="Simplified Arabic" w:hAnsi="Simplified Arabic" w:cs="Simplified Arabic"/>
          <w:sz w:val="24"/>
          <w:szCs w:val="24"/>
          <w:rtl/>
        </w:rPr>
        <w:t xml:space="preserve">(40 </w:t>
      </w:r>
      <w:r w:rsidRPr="000D3A87">
        <w:rPr>
          <w:rFonts w:ascii="Simplified Arabic" w:hAnsi="Simplified Arabic" w:cs="Simplified Arabic" w:hint="cs"/>
          <w:sz w:val="24"/>
          <w:szCs w:val="24"/>
          <w:rtl/>
        </w:rPr>
        <w:t>إلى</w:t>
      </w:r>
      <w:r w:rsidRPr="000D3A87">
        <w:rPr>
          <w:rFonts w:ascii="Simplified Arabic" w:hAnsi="Simplified Arabic" w:cs="Simplified Arabic"/>
          <w:sz w:val="24"/>
          <w:szCs w:val="24"/>
          <w:rtl/>
        </w:rPr>
        <w:t xml:space="preserve"> 60 </w:t>
      </w:r>
      <w:r>
        <w:rPr>
          <w:rFonts w:ascii="Simplified Arabic" w:hAnsi="Simplified Arabic" w:cs="Simplified Arabic" w:hint="cs"/>
          <w:sz w:val="24"/>
          <w:szCs w:val="24"/>
          <w:rtl/>
        </w:rPr>
        <w:t>مسكن/</w:t>
      </w:r>
      <w:r w:rsidRPr="000D3A87">
        <w:rPr>
          <w:rFonts w:ascii="Simplified Arabic" w:hAnsi="Simplified Arabic" w:cs="Simplified Arabic" w:hint="cs"/>
          <w:sz w:val="24"/>
          <w:szCs w:val="24"/>
          <w:rtl/>
        </w:rPr>
        <w:t>للهكتار</w:t>
      </w:r>
      <w:r w:rsidRPr="000D3A87">
        <w:rPr>
          <w:rFonts w:ascii="Simplified Arabic" w:hAnsi="Simplified Arabic" w:cs="Simplified Arabic"/>
          <w:sz w:val="24"/>
          <w:szCs w:val="24"/>
          <w:rtl/>
        </w:rPr>
        <w:t>)</w:t>
      </w:r>
      <w:r>
        <w:rPr>
          <w:rFonts w:ascii="Simplified Arabic" w:hAnsi="Simplified Arabic" w:cs="Simplified Arabic" w:hint="cs"/>
          <w:sz w:val="24"/>
          <w:szCs w:val="24"/>
          <w:rtl/>
        </w:rPr>
        <w:t>،</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كما يظهر في الصورة</w:t>
      </w:r>
      <w:r w:rsidRPr="000D3A87">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007A0685">
        <w:rPr>
          <w:rFonts w:ascii="Simplified Arabic" w:hAnsi="Simplified Arabic" w:cs="Simplified Arabic" w:hint="cs"/>
          <w:sz w:val="24"/>
          <w:szCs w:val="24"/>
          <w:rtl/>
        </w:rPr>
        <w:t>1-6</w:t>
      </w:r>
      <w:r>
        <w:rPr>
          <w:rFonts w:ascii="Simplified Arabic" w:hAnsi="Simplified Arabic" w:cs="Simplified Arabic" w:hint="cs"/>
          <w:sz w:val="24"/>
          <w:szCs w:val="24"/>
          <w:rtl/>
        </w:rPr>
        <w:t>)</w:t>
      </w:r>
      <w:r w:rsidRPr="000D3A87">
        <w:rPr>
          <w:rFonts w:ascii="Simplified Arabic" w:hAnsi="Simplified Arabic" w:cs="Simplified Arabic"/>
          <w:sz w:val="24"/>
          <w:szCs w:val="24"/>
          <w:rtl/>
        </w:rPr>
        <w:t>.</w:t>
      </w:r>
      <w:r w:rsidR="00CD68AB" w:rsidRPr="00CD68AB">
        <w:rPr>
          <w:rFonts w:ascii="Simplified Arabic" w:hAnsi="Simplified Arabic" w:cs="Simplified Arabic" w:hint="cs"/>
          <w:sz w:val="24"/>
          <w:szCs w:val="24"/>
          <w:rtl/>
        </w:rPr>
        <w:t xml:space="preserve"> </w:t>
      </w:r>
    </w:p>
    <w:p w:rsidR="00A903CE" w:rsidRPr="006E49F7" w:rsidRDefault="00A903CE" w:rsidP="0002788C">
      <w:pPr>
        <w:pStyle w:val="fegure"/>
        <w:spacing w:before="240"/>
        <w:rPr>
          <w:sz w:val="8"/>
          <w:szCs w:val="24"/>
          <w:rtl/>
        </w:rPr>
      </w:pPr>
      <w:bookmarkStart w:id="278" w:name="_Toc157562789"/>
      <w:bookmarkStart w:id="279" w:name="_Toc157608285"/>
      <w:bookmarkStart w:id="280" w:name="_Toc171803425"/>
      <w:r w:rsidRPr="006E49F7">
        <w:rPr>
          <w:rFonts w:hint="cs"/>
          <w:sz w:val="8"/>
          <w:szCs w:val="24"/>
          <w:rtl/>
        </w:rPr>
        <w:t>الشكل</w:t>
      </w:r>
      <w:r w:rsidRPr="006E49F7">
        <w:rPr>
          <w:sz w:val="8"/>
          <w:szCs w:val="24"/>
          <w:rtl/>
        </w:rPr>
        <w:t xml:space="preserve"> </w:t>
      </w:r>
      <w:r w:rsidRPr="006E49F7">
        <w:rPr>
          <w:rFonts w:hint="cs"/>
          <w:sz w:val="8"/>
          <w:szCs w:val="24"/>
          <w:rtl/>
        </w:rPr>
        <w:t>(</w:t>
      </w:r>
      <w:r w:rsidR="007A0685" w:rsidRPr="006E49F7">
        <w:rPr>
          <w:rFonts w:hint="cs"/>
          <w:sz w:val="8"/>
          <w:szCs w:val="24"/>
          <w:rtl/>
        </w:rPr>
        <w:t>1-24</w:t>
      </w:r>
      <w:r w:rsidRPr="006E49F7">
        <w:rPr>
          <w:sz w:val="8"/>
          <w:szCs w:val="24"/>
          <w:rtl/>
        </w:rPr>
        <w:t>)</w:t>
      </w:r>
      <w:r w:rsidRPr="006E49F7">
        <w:rPr>
          <w:rFonts w:hint="cs"/>
          <w:sz w:val="8"/>
          <w:szCs w:val="24"/>
          <w:rtl/>
        </w:rPr>
        <w:t>: نسيج</w:t>
      </w:r>
      <w:r w:rsidRPr="006E49F7">
        <w:rPr>
          <w:sz w:val="8"/>
          <w:szCs w:val="24"/>
          <w:rtl/>
        </w:rPr>
        <w:t xml:space="preserve"> </w:t>
      </w:r>
      <w:r w:rsidRPr="006E49F7">
        <w:rPr>
          <w:rFonts w:hint="cs"/>
          <w:sz w:val="8"/>
          <w:szCs w:val="24"/>
          <w:rtl/>
        </w:rPr>
        <w:t>البناء الناتج عن التقسيمات</w:t>
      </w:r>
      <w:r w:rsidRPr="006E49F7">
        <w:rPr>
          <w:sz w:val="8"/>
          <w:szCs w:val="24"/>
          <w:rtl/>
        </w:rPr>
        <w:t xml:space="preserve"> </w:t>
      </w:r>
      <w:r w:rsidRPr="006E49F7">
        <w:rPr>
          <w:rFonts w:hint="cs"/>
          <w:sz w:val="8"/>
          <w:szCs w:val="24"/>
          <w:rtl/>
        </w:rPr>
        <w:t>الفرعية</w:t>
      </w:r>
      <w:r w:rsidRPr="006E49F7">
        <w:rPr>
          <w:sz w:val="8"/>
          <w:szCs w:val="24"/>
          <w:rtl/>
        </w:rPr>
        <w:t xml:space="preserve"> </w:t>
      </w:r>
      <w:r w:rsidRPr="006E49F7">
        <w:rPr>
          <w:rFonts w:hint="cs"/>
          <w:sz w:val="8"/>
          <w:szCs w:val="24"/>
          <w:rtl/>
        </w:rPr>
        <w:t>للمساكن</w:t>
      </w:r>
      <w:r w:rsidRPr="006E49F7">
        <w:rPr>
          <w:sz w:val="8"/>
          <w:szCs w:val="24"/>
          <w:rtl/>
        </w:rPr>
        <w:t xml:space="preserve"> </w:t>
      </w:r>
      <w:r w:rsidRPr="006E49F7">
        <w:rPr>
          <w:rFonts w:hint="cs"/>
          <w:sz w:val="8"/>
          <w:szCs w:val="24"/>
          <w:rtl/>
        </w:rPr>
        <w:t>الفردية</w:t>
      </w:r>
      <w:bookmarkEnd w:id="278"/>
      <w:bookmarkEnd w:id="279"/>
      <w:bookmarkEnd w:id="280"/>
    </w:p>
    <w:p w:rsidR="00A903CE" w:rsidRDefault="00A903CE" w:rsidP="00A903CE">
      <w:pPr>
        <w:tabs>
          <w:tab w:val="right" w:pos="281"/>
        </w:tabs>
        <w:bidi/>
        <w:spacing w:after="0" w:line="240" w:lineRule="auto"/>
        <w:jc w:val="center"/>
        <w:rPr>
          <w:rFonts w:ascii="Simplified Arabic" w:hAnsi="Simplified Arabic" w:cs="Simplified Arabic"/>
          <w:color w:val="000000" w:themeColor="text1"/>
          <w:sz w:val="24"/>
          <w:szCs w:val="24"/>
          <w:rtl/>
        </w:rPr>
      </w:pPr>
      <w:r w:rsidRPr="00FC4516">
        <w:rPr>
          <w:rFonts w:ascii="Simplified Arabic" w:hAnsi="Simplified Arabic" w:cs="Simplified Arabic"/>
          <w:sz w:val="24"/>
          <w:szCs w:val="24"/>
          <w:rtl/>
        </w:rPr>
        <w:t>المصدر:</w:t>
      </w:r>
      <w:r>
        <w:rPr>
          <w:rFonts w:ascii="Simplified Arabic" w:hAnsi="Simplified Arabic" w:cs="Simplified Arabic" w:hint="cs"/>
          <w:color w:val="000000" w:themeColor="text1"/>
          <w:sz w:val="24"/>
          <w:szCs w:val="24"/>
          <w:rtl/>
        </w:rPr>
        <w:t xml:space="preserve"> </w:t>
      </w:r>
      <w:r w:rsidRPr="00C94A92">
        <w:rPr>
          <w:rFonts w:asciiTheme="majorBidi" w:hAnsiTheme="majorBidi" w:cstheme="majorBidi"/>
          <w:color w:val="0D0D0D"/>
          <w:sz w:val="24"/>
          <w:szCs w:val="24"/>
          <w:lang w:val="en-US"/>
        </w:rPr>
        <w:t>(</w:t>
      </w:r>
      <w:r w:rsidRPr="00507DB0">
        <w:rPr>
          <w:rFonts w:asciiTheme="majorBidi" w:hAnsiTheme="majorBidi" w:cstheme="majorBidi"/>
          <w:color w:val="0D0D0D"/>
          <w:sz w:val="24"/>
          <w:szCs w:val="24"/>
          <w:lang w:val="en-US"/>
        </w:rPr>
        <w:t>Feliciotti</w:t>
      </w:r>
      <w:r w:rsidRPr="00C94A92">
        <w:rPr>
          <w:rFonts w:asciiTheme="majorBidi" w:hAnsiTheme="majorBidi" w:cstheme="majorBidi"/>
          <w:color w:val="0D0D0D"/>
          <w:sz w:val="24"/>
          <w:szCs w:val="24"/>
          <w:lang w:val="en-US"/>
        </w:rPr>
        <w:t>, 2018)</w:t>
      </w:r>
    </w:p>
    <w:p w:rsidR="00A903CE" w:rsidRPr="00FC4516" w:rsidRDefault="00A903CE" w:rsidP="00A903CE">
      <w:pPr>
        <w:tabs>
          <w:tab w:val="right" w:pos="281"/>
        </w:tabs>
        <w:bidi/>
        <w:spacing w:after="0" w:line="240" w:lineRule="auto"/>
        <w:jc w:val="center"/>
        <w:rPr>
          <w:rFonts w:ascii="Simplified Arabic" w:hAnsi="Simplified Arabic" w:cs="Simplified Arabic"/>
          <w:sz w:val="36"/>
          <w:szCs w:val="36"/>
        </w:rPr>
      </w:pPr>
      <w:r>
        <w:rPr>
          <w:noProof/>
          <w:lang w:eastAsia="fr-FR"/>
        </w:rPr>
        <w:drawing>
          <wp:inline distT="0" distB="0" distL="0" distR="0" wp14:anchorId="1A4C3372" wp14:editId="785E514F">
            <wp:extent cx="2867693" cy="2886075"/>
            <wp:effectExtent l="0" t="0" r="889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stretch>
                      <a:fillRect/>
                    </a:stretch>
                  </pic:blipFill>
                  <pic:spPr>
                    <a:xfrm>
                      <a:off x="0" y="0"/>
                      <a:ext cx="2873383" cy="2891801"/>
                    </a:xfrm>
                    <a:prstGeom prst="rect">
                      <a:avLst/>
                    </a:prstGeom>
                  </pic:spPr>
                </pic:pic>
              </a:graphicData>
            </a:graphic>
          </wp:inline>
        </w:drawing>
      </w:r>
      <w:r w:rsidRPr="00D4762C">
        <w:rPr>
          <w:rFonts w:ascii="Simplified Arabic" w:hAnsi="Simplified Arabic" w:cs="Simplified Arabic"/>
          <w:noProof/>
          <w:sz w:val="36"/>
          <w:szCs w:val="36"/>
          <w:rtl/>
          <w:lang w:eastAsia="fr-FR"/>
        </w:rPr>
        <w:t xml:space="preserve"> </w:t>
      </w:r>
    </w:p>
    <w:p w:rsidR="00A903CE" w:rsidRPr="00FC4516" w:rsidRDefault="00A903CE" w:rsidP="00230FAB">
      <w:pPr>
        <w:pStyle w:val="Photo"/>
        <w:rPr>
          <w:rtl/>
        </w:rPr>
      </w:pPr>
      <w:bookmarkStart w:id="281" w:name="_Toc157618639"/>
      <w:bookmarkStart w:id="282" w:name="_Toc171803426"/>
      <w:r>
        <w:rPr>
          <w:rFonts w:hint="cs"/>
          <w:rtl/>
        </w:rPr>
        <w:t>الصورة</w:t>
      </w:r>
      <w:r w:rsidRPr="00FC4516">
        <w:rPr>
          <w:rtl/>
        </w:rPr>
        <w:t xml:space="preserve"> </w:t>
      </w:r>
      <w:r w:rsidRPr="00FC4516">
        <w:rPr>
          <w:rFonts w:hint="cs"/>
          <w:rtl/>
        </w:rPr>
        <w:t>(</w:t>
      </w:r>
      <w:r w:rsidR="007A0685">
        <w:rPr>
          <w:rFonts w:hint="cs"/>
          <w:rtl/>
        </w:rPr>
        <w:t>1-6</w:t>
      </w:r>
      <w:r w:rsidRPr="00FC4516">
        <w:rPr>
          <w:rtl/>
        </w:rPr>
        <w:t>)</w:t>
      </w:r>
      <w:r w:rsidRPr="00FC4516">
        <w:rPr>
          <w:rFonts w:hint="cs"/>
          <w:rtl/>
        </w:rPr>
        <w:t xml:space="preserve">: </w:t>
      </w:r>
      <w:r w:rsidRPr="00CA2495">
        <w:rPr>
          <w:rFonts w:hint="cs"/>
          <w:rtl/>
        </w:rPr>
        <w:t>نسيج</w:t>
      </w:r>
      <w:r w:rsidRPr="00CA2495">
        <w:rPr>
          <w:rtl/>
        </w:rPr>
        <w:t xml:space="preserve"> </w:t>
      </w:r>
      <w:r>
        <w:rPr>
          <w:rFonts w:hint="cs"/>
          <w:rtl/>
        </w:rPr>
        <w:t xml:space="preserve">البناء الناتج عن </w:t>
      </w:r>
      <w:r w:rsidRPr="000D3A87">
        <w:rPr>
          <w:rFonts w:hint="cs"/>
          <w:rtl/>
        </w:rPr>
        <w:t>التقسيمات</w:t>
      </w:r>
      <w:r w:rsidRPr="000D3A87">
        <w:rPr>
          <w:rtl/>
        </w:rPr>
        <w:t xml:space="preserve"> </w:t>
      </w:r>
      <w:r w:rsidRPr="000D3A87">
        <w:rPr>
          <w:rFonts w:hint="cs"/>
          <w:rtl/>
        </w:rPr>
        <w:t>الفرعية</w:t>
      </w:r>
      <w:r w:rsidRPr="000D3A87">
        <w:rPr>
          <w:rtl/>
        </w:rPr>
        <w:t xml:space="preserve"> </w:t>
      </w:r>
      <w:r>
        <w:rPr>
          <w:rFonts w:hint="cs"/>
          <w:rtl/>
        </w:rPr>
        <w:t>ل</w:t>
      </w:r>
      <w:r w:rsidRPr="000D3A87">
        <w:rPr>
          <w:rFonts w:hint="cs"/>
          <w:rtl/>
        </w:rPr>
        <w:t>لمجمعات</w:t>
      </w:r>
      <w:r w:rsidRPr="000D3A87">
        <w:rPr>
          <w:rtl/>
        </w:rPr>
        <w:t xml:space="preserve"> </w:t>
      </w:r>
      <w:r w:rsidRPr="000D3A87">
        <w:rPr>
          <w:rFonts w:hint="cs"/>
          <w:rtl/>
        </w:rPr>
        <w:t>الكبيرة</w:t>
      </w:r>
      <w:bookmarkEnd w:id="281"/>
      <w:bookmarkEnd w:id="282"/>
    </w:p>
    <w:p w:rsidR="00A903CE" w:rsidRDefault="00A903CE" w:rsidP="00A903CE">
      <w:pPr>
        <w:tabs>
          <w:tab w:val="right" w:pos="281"/>
        </w:tabs>
        <w:bidi/>
        <w:spacing w:after="0" w:line="240" w:lineRule="auto"/>
        <w:jc w:val="center"/>
        <w:rPr>
          <w:rFonts w:ascii="Simplified Arabic" w:hAnsi="Simplified Arabic" w:cs="Simplified Arabic"/>
          <w:color w:val="000000" w:themeColor="text1"/>
          <w:sz w:val="24"/>
          <w:szCs w:val="24"/>
          <w:rtl/>
        </w:rPr>
      </w:pPr>
      <w:r w:rsidRPr="00FC4516">
        <w:rPr>
          <w:rFonts w:ascii="Simplified Arabic" w:hAnsi="Simplified Arabic" w:cs="Simplified Arabic"/>
          <w:sz w:val="24"/>
          <w:szCs w:val="24"/>
          <w:rtl/>
        </w:rPr>
        <w:t>المصدر:</w:t>
      </w:r>
      <w:r>
        <w:rPr>
          <w:rFonts w:ascii="Simplified Arabic" w:hAnsi="Simplified Arabic" w:cs="Simplified Arabic" w:hint="cs"/>
          <w:color w:val="000000" w:themeColor="text1"/>
          <w:sz w:val="24"/>
          <w:szCs w:val="24"/>
          <w:rtl/>
        </w:rPr>
        <w:t xml:space="preserve"> </w:t>
      </w:r>
      <w:r w:rsidRPr="00C94A92">
        <w:rPr>
          <w:rFonts w:asciiTheme="majorBidi" w:hAnsiTheme="majorBidi" w:cstheme="majorBidi"/>
          <w:color w:val="0D0D0D"/>
          <w:sz w:val="24"/>
          <w:szCs w:val="24"/>
          <w:lang w:val="en-US"/>
        </w:rPr>
        <w:t>(</w:t>
      </w:r>
      <w:r w:rsidRPr="00507DB0">
        <w:rPr>
          <w:rFonts w:asciiTheme="majorBidi" w:hAnsiTheme="majorBidi" w:cstheme="majorBidi"/>
          <w:color w:val="0D0D0D"/>
          <w:sz w:val="24"/>
          <w:szCs w:val="24"/>
          <w:lang w:val="en-US"/>
        </w:rPr>
        <w:t>Feliciotti</w:t>
      </w:r>
      <w:r w:rsidRPr="00C94A92">
        <w:rPr>
          <w:rFonts w:asciiTheme="majorBidi" w:hAnsiTheme="majorBidi" w:cstheme="majorBidi"/>
          <w:color w:val="0D0D0D"/>
          <w:sz w:val="24"/>
          <w:szCs w:val="24"/>
          <w:lang w:val="en-US"/>
        </w:rPr>
        <w:t>, 2018)</w:t>
      </w:r>
    </w:p>
    <w:p w:rsidR="00A903CE" w:rsidRPr="00FC4516" w:rsidRDefault="00A903CE" w:rsidP="00A903CE">
      <w:pPr>
        <w:tabs>
          <w:tab w:val="right" w:pos="281"/>
        </w:tabs>
        <w:bidi/>
        <w:spacing w:after="0" w:line="240" w:lineRule="auto"/>
        <w:jc w:val="center"/>
        <w:rPr>
          <w:rFonts w:ascii="Simplified Arabic" w:hAnsi="Simplified Arabic" w:cs="Simplified Arabic"/>
          <w:sz w:val="36"/>
          <w:szCs w:val="36"/>
        </w:rPr>
      </w:pPr>
      <w:r>
        <w:rPr>
          <w:rFonts w:ascii="Simplified Arabic" w:hAnsi="Simplified Arabic" w:cs="Simplified Arabic"/>
          <w:noProof/>
          <w:sz w:val="36"/>
          <w:szCs w:val="36"/>
          <w:rtl/>
          <w:lang w:eastAsia="fr-FR"/>
        </w:rPr>
        <w:drawing>
          <wp:inline distT="0" distB="0" distL="0" distR="0" wp14:anchorId="55624D0B" wp14:editId="373276E3">
            <wp:extent cx="4428436" cy="2484407"/>
            <wp:effectExtent l="0" t="0" r="0" b="0"/>
            <wp:docPr id="82"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450459" cy="2496762"/>
                    </a:xfrm>
                    <a:prstGeom prst="rect">
                      <a:avLst/>
                    </a:prstGeom>
                    <a:noFill/>
                    <a:ln>
                      <a:noFill/>
                    </a:ln>
                  </pic:spPr>
                </pic:pic>
              </a:graphicData>
            </a:graphic>
          </wp:inline>
        </w:drawing>
      </w:r>
    </w:p>
    <w:p w:rsidR="00810723" w:rsidRDefault="00810723" w:rsidP="00AA1E01">
      <w:pPr>
        <w:bidi/>
        <w:spacing w:after="0"/>
        <w:jc w:val="both"/>
        <w:rPr>
          <w:rFonts w:ascii="Simplified Arabic" w:hAnsi="Simplified Arabic" w:cs="Simplified Arabic"/>
          <w:b/>
          <w:bCs/>
          <w:color w:val="000000" w:themeColor="text1"/>
          <w:sz w:val="24"/>
          <w:szCs w:val="24"/>
          <w:rtl/>
          <w:lang w:bidi="ar-DZ"/>
        </w:rPr>
      </w:pPr>
    </w:p>
    <w:p w:rsidR="00810723" w:rsidRDefault="00810723" w:rsidP="00810723">
      <w:pPr>
        <w:bidi/>
        <w:spacing w:after="0"/>
        <w:jc w:val="both"/>
        <w:rPr>
          <w:rFonts w:ascii="Simplified Arabic" w:hAnsi="Simplified Arabic" w:cs="Simplified Arabic"/>
          <w:b/>
          <w:bCs/>
          <w:color w:val="000000" w:themeColor="text1"/>
          <w:sz w:val="24"/>
          <w:szCs w:val="24"/>
          <w:rtl/>
          <w:lang w:bidi="ar-DZ"/>
        </w:rPr>
      </w:pPr>
    </w:p>
    <w:p w:rsidR="00810723" w:rsidRDefault="00810723" w:rsidP="00810723">
      <w:pPr>
        <w:bidi/>
        <w:spacing w:after="0"/>
        <w:jc w:val="both"/>
        <w:rPr>
          <w:rFonts w:ascii="Simplified Arabic" w:hAnsi="Simplified Arabic" w:cs="Simplified Arabic"/>
          <w:b/>
          <w:bCs/>
          <w:color w:val="000000" w:themeColor="text1"/>
          <w:sz w:val="24"/>
          <w:szCs w:val="24"/>
          <w:lang w:bidi="ar-DZ"/>
        </w:rPr>
      </w:pPr>
    </w:p>
    <w:p w:rsidR="0002788C" w:rsidRDefault="0002788C" w:rsidP="0002788C">
      <w:pPr>
        <w:bidi/>
        <w:spacing w:after="0"/>
        <w:jc w:val="both"/>
        <w:rPr>
          <w:rFonts w:ascii="Simplified Arabic" w:hAnsi="Simplified Arabic" w:cs="Simplified Arabic"/>
          <w:b/>
          <w:bCs/>
          <w:color w:val="000000" w:themeColor="text1"/>
          <w:sz w:val="24"/>
          <w:szCs w:val="24"/>
          <w:lang w:bidi="ar-DZ"/>
        </w:rPr>
      </w:pPr>
    </w:p>
    <w:p w:rsidR="00662BEC" w:rsidRDefault="00662BEC" w:rsidP="00814624">
      <w:pPr>
        <w:bidi/>
        <w:spacing w:after="0"/>
        <w:jc w:val="both"/>
        <w:outlineLvl w:val="0"/>
        <w:rPr>
          <w:rFonts w:ascii="Simplified Arabic" w:hAnsi="Simplified Arabic" w:cs="Simplified Arabic"/>
          <w:b/>
          <w:bCs/>
          <w:color w:val="000000" w:themeColor="text1"/>
          <w:sz w:val="24"/>
          <w:szCs w:val="24"/>
          <w:rtl/>
          <w:lang w:bidi="ar-DZ"/>
        </w:rPr>
      </w:pPr>
      <w:bookmarkStart w:id="283" w:name="_Toc171803427"/>
      <w:r>
        <w:rPr>
          <w:rFonts w:ascii="Simplified Arabic" w:hAnsi="Simplified Arabic" w:cs="Simplified Arabic" w:hint="cs"/>
          <w:b/>
          <w:bCs/>
          <w:color w:val="000000" w:themeColor="text1"/>
          <w:sz w:val="24"/>
          <w:szCs w:val="24"/>
          <w:rtl/>
          <w:lang w:bidi="ar-DZ"/>
        </w:rPr>
        <w:lastRenderedPageBreak/>
        <w:t>الخلاصة</w:t>
      </w:r>
      <w:bookmarkEnd w:id="283"/>
    </w:p>
    <w:p w:rsidR="008E532E" w:rsidRDefault="00A9510F" w:rsidP="00C23656">
      <w:pPr>
        <w:bidi/>
        <w:spacing w:after="0"/>
        <w:ind w:firstLine="282"/>
        <w:jc w:val="both"/>
        <w:rPr>
          <w:rFonts w:ascii="Simplified Arabic" w:hAnsi="Simplified Arabic" w:cs="Simplified Arabic"/>
          <w:sz w:val="24"/>
          <w:szCs w:val="24"/>
          <w:rtl/>
          <w:lang w:bidi="ar-DZ"/>
        </w:rPr>
      </w:pPr>
      <w:r w:rsidRPr="008E532E">
        <w:rPr>
          <w:rFonts w:ascii="Simplified Arabic" w:hAnsi="Simplified Arabic" w:cs="Simplified Arabic" w:hint="cs"/>
          <w:color w:val="000000" w:themeColor="text1"/>
          <w:sz w:val="24"/>
          <w:szCs w:val="24"/>
          <w:rtl/>
          <w:lang w:bidi="ar-DZ"/>
        </w:rPr>
        <w:t>حاول هذا الفصل</w:t>
      </w:r>
      <w:r w:rsidR="00A903CE" w:rsidRPr="008E532E">
        <w:rPr>
          <w:rFonts w:ascii="Simplified Arabic" w:hAnsi="Simplified Arabic" w:cs="Simplified Arabic"/>
          <w:color w:val="000000" w:themeColor="text1"/>
          <w:sz w:val="24"/>
          <w:szCs w:val="24"/>
          <w:rtl/>
          <w:lang w:bidi="ar-DZ"/>
        </w:rPr>
        <w:t xml:space="preserve"> </w:t>
      </w:r>
      <w:r w:rsidRPr="008E532E">
        <w:rPr>
          <w:rFonts w:ascii="Simplified Arabic" w:hAnsi="Simplified Arabic" w:cs="Simplified Arabic" w:hint="cs"/>
          <w:color w:val="000000" w:themeColor="text1"/>
          <w:sz w:val="24"/>
          <w:szCs w:val="24"/>
          <w:rtl/>
          <w:lang w:bidi="ar-DZ"/>
        </w:rPr>
        <w:t>السعي</w:t>
      </w:r>
      <w:r w:rsidR="00A903CE" w:rsidRPr="008E532E">
        <w:rPr>
          <w:rFonts w:ascii="Simplified Arabic" w:hAnsi="Simplified Arabic" w:cs="Simplified Arabic"/>
          <w:color w:val="000000" w:themeColor="text1"/>
          <w:sz w:val="24"/>
          <w:szCs w:val="24"/>
          <w:rtl/>
          <w:lang w:bidi="ar-DZ"/>
        </w:rPr>
        <w:t xml:space="preserve"> </w:t>
      </w:r>
      <w:r w:rsidRPr="008E532E">
        <w:rPr>
          <w:rFonts w:ascii="Simplified Arabic" w:hAnsi="Simplified Arabic" w:cs="Simplified Arabic" w:hint="cs"/>
          <w:color w:val="000000" w:themeColor="text1"/>
          <w:sz w:val="24"/>
          <w:szCs w:val="24"/>
          <w:rtl/>
          <w:lang w:bidi="ar-DZ"/>
        </w:rPr>
        <w:t>ل</w:t>
      </w:r>
      <w:r w:rsidR="00A903CE" w:rsidRPr="008E532E">
        <w:rPr>
          <w:rFonts w:ascii="Simplified Arabic" w:hAnsi="Simplified Arabic" w:cs="Simplified Arabic" w:hint="cs"/>
          <w:color w:val="000000" w:themeColor="text1"/>
          <w:sz w:val="24"/>
          <w:szCs w:val="24"/>
          <w:rtl/>
          <w:lang w:bidi="ar-DZ"/>
        </w:rPr>
        <w:t>تحديد</w:t>
      </w:r>
      <w:r w:rsidR="00A903CE" w:rsidRPr="008E532E">
        <w:rPr>
          <w:rFonts w:ascii="Simplified Arabic" w:hAnsi="Simplified Arabic" w:cs="Simplified Arabic"/>
          <w:color w:val="000000" w:themeColor="text1"/>
          <w:sz w:val="24"/>
          <w:szCs w:val="24"/>
          <w:rtl/>
          <w:lang w:bidi="ar-DZ"/>
        </w:rPr>
        <w:t xml:space="preserve"> </w:t>
      </w:r>
      <w:r w:rsidR="00A903CE" w:rsidRPr="008E532E">
        <w:rPr>
          <w:rFonts w:ascii="Simplified Arabic" w:hAnsi="Simplified Arabic" w:cs="Simplified Arabic" w:hint="cs"/>
          <w:color w:val="000000" w:themeColor="text1"/>
          <w:sz w:val="24"/>
          <w:szCs w:val="24"/>
          <w:rtl/>
          <w:lang w:bidi="ar-DZ"/>
        </w:rPr>
        <w:t>الإطار</w:t>
      </w:r>
      <w:r w:rsidR="00A903CE" w:rsidRPr="008E532E">
        <w:rPr>
          <w:rFonts w:ascii="Simplified Arabic" w:hAnsi="Simplified Arabic" w:cs="Simplified Arabic"/>
          <w:color w:val="000000" w:themeColor="text1"/>
          <w:sz w:val="24"/>
          <w:szCs w:val="24"/>
          <w:rtl/>
          <w:lang w:bidi="ar-DZ"/>
        </w:rPr>
        <w:t xml:space="preserve"> </w:t>
      </w:r>
      <w:r w:rsidR="00A903CE" w:rsidRPr="008E532E">
        <w:rPr>
          <w:rFonts w:ascii="Simplified Arabic" w:hAnsi="Simplified Arabic" w:cs="Simplified Arabic" w:hint="cs"/>
          <w:color w:val="000000" w:themeColor="text1"/>
          <w:sz w:val="24"/>
          <w:szCs w:val="24"/>
          <w:rtl/>
          <w:lang w:bidi="ar-DZ"/>
        </w:rPr>
        <w:t>النظري</w:t>
      </w:r>
      <w:r w:rsidR="00A903CE" w:rsidRPr="008E532E">
        <w:rPr>
          <w:rFonts w:ascii="Simplified Arabic" w:hAnsi="Simplified Arabic" w:cs="Simplified Arabic"/>
          <w:color w:val="000000" w:themeColor="text1"/>
          <w:sz w:val="24"/>
          <w:szCs w:val="24"/>
          <w:rtl/>
          <w:lang w:bidi="ar-DZ"/>
        </w:rPr>
        <w:t xml:space="preserve"> </w:t>
      </w:r>
      <w:r w:rsidR="00A903CE" w:rsidRPr="008E532E">
        <w:rPr>
          <w:rFonts w:ascii="Simplified Arabic" w:hAnsi="Simplified Arabic" w:cs="Simplified Arabic" w:hint="cs"/>
          <w:color w:val="000000" w:themeColor="text1"/>
          <w:sz w:val="24"/>
          <w:szCs w:val="24"/>
          <w:rtl/>
          <w:lang w:bidi="ar-DZ"/>
        </w:rPr>
        <w:t>العام</w:t>
      </w:r>
      <w:r w:rsidR="00F9217D" w:rsidRPr="008E532E">
        <w:rPr>
          <w:rFonts w:ascii="Simplified Arabic" w:hAnsi="Simplified Arabic" w:cs="Simplified Arabic" w:hint="cs"/>
          <w:color w:val="000000" w:themeColor="text1"/>
          <w:sz w:val="24"/>
          <w:szCs w:val="24"/>
          <w:rtl/>
          <w:lang w:bidi="ar-DZ"/>
        </w:rPr>
        <w:t xml:space="preserve"> للمفاهيم المستخدمة في البحث، حيث ا</w:t>
      </w:r>
      <w:r w:rsidR="00F9217D" w:rsidRPr="008E532E">
        <w:rPr>
          <w:rFonts w:ascii="Simplified Arabic" w:hAnsi="Simplified Arabic" w:cs="Simplified Arabic" w:hint="cs"/>
          <w:sz w:val="24"/>
          <w:szCs w:val="24"/>
          <w:rtl/>
          <w:lang w:bidi="ar-DZ"/>
        </w:rPr>
        <w:t xml:space="preserve">عتبر مستويات المرونة الحضرية عملية مرتبطة بظاهرة </w:t>
      </w:r>
      <w:r w:rsidR="003166C4">
        <w:rPr>
          <w:rFonts w:ascii="Simplified Arabic" w:hAnsi="Simplified Arabic" w:cs="Simplified Arabic" w:hint="cs"/>
          <w:sz w:val="24"/>
          <w:szCs w:val="24"/>
          <w:rtl/>
        </w:rPr>
        <w:t>استعمال</w:t>
      </w:r>
      <w:r w:rsidR="00F9217D" w:rsidRPr="008E532E">
        <w:rPr>
          <w:rFonts w:ascii="Simplified Arabic" w:hAnsi="Simplified Arabic" w:cs="Simplified Arabic" w:hint="cs"/>
          <w:sz w:val="24"/>
          <w:szCs w:val="24"/>
          <w:rtl/>
          <w:lang w:bidi="ar-DZ"/>
        </w:rPr>
        <w:t xml:space="preserve"> الارض من خلال توافر سمات المرونة المكانية (التنوع، الكثافة، التكرار 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00F9217D" w:rsidRPr="008E532E">
        <w:rPr>
          <w:rFonts w:ascii="Simplified Arabic" w:hAnsi="Simplified Arabic" w:cs="Simplified Arabic" w:hint="cs"/>
          <w:sz w:val="24"/>
          <w:szCs w:val="24"/>
          <w:rtl/>
          <w:lang w:bidi="ar-DZ"/>
        </w:rPr>
        <w:t xml:space="preserve">)، بالتالي فان العلاقة بين مؤثر وتابع. هذا يفرض بالضرورة وجود علاقة ايجابية بين نمط </w:t>
      </w:r>
      <w:r w:rsidR="003166C4">
        <w:rPr>
          <w:rFonts w:ascii="Simplified Arabic" w:hAnsi="Simplified Arabic" w:cs="Simplified Arabic" w:hint="cs"/>
          <w:sz w:val="24"/>
          <w:szCs w:val="24"/>
          <w:rtl/>
        </w:rPr>
        <w:t>استعمال</w:t>
      </w:r>
      <w:r w:rsidR="00F9217D" w:rsidRPr="008E532E">
        <w:rPr>
          <w:rFonts w:ascii="Simplified Arabic" w:hAnsi="Simplified Arabic" w:cs="Simplified Arabic" w:hint="cs"/>
          <w:sz w:val="24"/>
          <w:szCs w:val="24"/>
          <w:rtl/>
          <w:lang w:bidi="ar-DZ"/>
        </w:rPr>
        <w:t xml:space="preserve"> الارض الحضرية و مستويات المرونة الحضرية</w:t>
      </w:r>
      <w:r w:rsidR="008E532E" w:rsidRPr="008E532E">
        <w:rPr>
          <w:rFonts w:ascii="Simplified Arabic" w:hAnsi="Simplified Arabic" w:cs="Simplified Arabic" w:hint="cs"/>
          <w:sz w:val="24"/>
          <w:szCs w:val="24"/>
          <w:rtl/>
          <w:lang w:bidi="ar-DZ"/>
        </w:rPr>
        <w:t>،</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معنى</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ذلك</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ان التوزيع المكاني الملائم</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للوظائف الحضرية و الخدمات،</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يجب</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أن</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يكون</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قادرًا</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على</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 xml:space="preserve">استيعاب الاضطراب من خلال اظهار تلك السمات المكانية للمرونة الحضرية (الكثافة، التنوع، التكرار </w:t>
      </w:r>
      <w:r w:rsidR="00C23656" w:rsidRPr="008E532E">
        <w:rPr>
          <w:rFonts w:ascii="Simplified Arabic" w:hAnsi="Simplified Arabic" w:cs="Simplified Arabic" w:hint="cs"/>
          <w:sz w:val="24"/>
          <w:szCs w:val="24"/>
          <w:rtl/>
          <w:lang w:bidi="ar-DZ"/>
        </w:rPr>
        <w:t>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008E532E" w:rsidRPr="008E532E">
        <w:rPr>
          <w:rFonts w:ascii="Simplified Arabic" w:hAnsi="Simplified Arabic" w:cs="Simplified Arabic" w:hint="cs"/>
          <w:sz w:val="24"/>
          <w:szCs w:val="24"/>
          <w:rtl/>
          <w:lang w:bidi="ar-DZ"/>
        </w:rPr>
        <w:t>)</w:t>
      </w:r>
      <w:r w:rsidR="008E532E" w:rsidRPr="008E532E">
        <w:rPr>
          <w:rFonts w:ascii="Simplified Arabic" w:hAnsi="Simplified Arabic" w:cs="Simplified Arabic"/>
          <w:sz w:val="24"/>
          <w:szCs w:val="24"/>
          <w:rtl/>
          <w:lang w:bidi="ar-DZ"/>
        </w:rPr>
        <w:t>.</w:t>
      </w:r>
      <w:r w:rsidR="008E532E" w:rsidRPr="008E532E">
        <w:rPr>
          <w:rFonts w:hint="cs"/>
          <w:rtl/>
        </w:rPr>
        <w:t xml:space="preserve"> </w:t>
      </w:r>
      <w:r w:rsidR="008E532E" w:rsidRPr="008E532E">
        <w:rPr>
          <w:rFonts w:ascii="Simplified Arabic" w:hAnsi="Simplified Arabic" w:cs="Simplified Arabic" w:hint="cs"/>
          <w:sz w:val="24"/>
          <w:szCs w:val="24"/>
          <w:rtl/>
          <w:lang w:bidi="ar-DZ"/>
        </w:rPr>
        <w:t>بالمثل،</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إذا</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كان</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التوزيع المكاني غير ملائم</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للوظائف الحضرية والخدمات، قد تظهر بعض وظائفه فشل جزئي</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مما يقلل من</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القدرة</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على</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استيعاب الاضطراب</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ويقلل</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من</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القدرة</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التكيفية</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الإجمالية</w:t>
      </w:r>
      <w:r w:rsidR="008E532E" w:rsidRPr="008E532E">
        <w:rPr>
          <w:rFonts w:ascii="Simplified Arabic" w:hAnsi="Simplified Arabic" w:cs="Simplified Arabic"/>
          <w:sz w:val="24"/>
          <w:szCs w:val="24"/>
          <w:rtl/>
          <w:lang w:bidi="ar-DZ"/>
        </w:rPr>
        <w:t xml:space="preserve"> </w:t>
      </w:r>
      <w:r w:rsidR="008E532E" w:rsidRPr="008E532E">
        <w:rPr>
          <w:rFonts w:ascii="Simplified Arabic" w:hAnsi="Simplified Arabic" w:cs="Simplified Arabic" w:hint="cs"/>
          <w:sz w:val="24"/>
          <w:szCs w:val="24"/>
          <w:rtl/>
          <w:lang w:bidi="ar-DZ"/>
        </w:rPr>
        <w:t>للمدينة</w:t>
      </w:r>
      <w:r w:rsidR="008E532E" w:rsidRPr="008E532E">
        <w:rPr>
          <w:rFonts w:ascii="Simplified Arabic" w:hAnsi="Simplified Arabic" w:cs="Simplified Arabic"/>
          <w:sz w:val="24"/>
          <w:szCs w:val="24"/>
          <w:rtl/>
          <w:lang w:bidi="ar-DZ"/>
        </w:rPr>
        <w:t>.</w:t>
      </w:r>
      <w:r w:rsidR="008E532E" w:rsidRPr="00504D4D">
        <w:rPr>
          <w:rFonts w:ascii="Simplified Arabic" w:hAnsi="Simplified Arabic" w:cs="Simplified Arabic"/>
          <w:sz w:val="24"/>
          <w:szCs w:val="24"/>
          <w:rtl/>
          <w:lang w:bidi="ar-DZ"/>
        </w:rPr>
        <w:t xml:space="preserve"> </w:t>
      </w:r>
    </w:p>
    <w:p w:rsidR="00DF6ED7" w:rsidRDefault="00DF6ED7" w:rsidP="00E11D15">
      <w:pPr>
        <w:bidi/>
        <w:spacing w:after="0"/>
        <w:ind w:firstLine="282"/>
        <w:jc w:val="both"/>
        <w:rPr>
          <w:rFonts w:ascii="Simplified Arabic" w:hAnsi="Simplified Arabic" w:cs="Simplified Arabic"/>
          <w:sz w:val="24"/>
          <w:szCs w:val="24"/>
          <w:rtl/>
          <w:lang w:val="en-US"/>
        </w:rPr>
      </w:pPr>
      <w:r w:rsidRPr="00996D2D">
        <w:rPr>
          <w:rFonts w:ascii="Simplified Arabic" w:hAnsi="Simplified Arabic" w:cs="Simplified Arabic" w:hint="cs"/>
          <w:sz w:val="24"/>
          <w:szCs w:val="24"/>
          <w:rtl/>
          <w:lang w:val="en-US"/>
        </w:rPr>
        <w:t>قسم</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البحث</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الحالي</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فترت</w:t>
      </w:r>
      <w:r>
        <w:rPr>
          <w:rFonts w:ascii="Simplified Arabic" w:hAnsi="Simplified Arabic" w:cs="Simplified Arabic" w:hint="cs"/>
          <w:sz w:val="24"/>
          <w:szCs w:val="24"/>
          <w:rtl/>
          <w:lang w:val="en-US"/>
        </w:rPr>
        <w:t>ين</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زمني</w:t>
      </w:r>
      <w:r>
        <w:rPr>
          <w:rFonts w:ascii="Simplified Arabic" w:hAnsi="Simplified Arabic" w:cs="Simplified Arabic" w:hint="cs"/>
          <w:sz w:val="24"/>
          <w:szCs w:val="24"/>
          <w:rtl/>
          <w:lang w:val="en-US"/>
        </w:rPr>
        <w:t>تين</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على</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أساسها</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تم</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تنفيذ</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المرونة. الفترة الزمنية الاولى </w:t>
      </w:r>
      <w:r w:rsidRPr="00996D2D">
        <w:rPr>
          <w:rFonts w:ascii="Simplified Arabic" w:hAnsi="Simplified Arabic" w:cs="Simplified Arabic" w:hint="cs"/>
          <w:sz w:val="24"/>
          <w:szCs w:val="24"/>
          <w:rtl/>
          <w:lang w:val="en-US"/>
        </w:rPr>
        <w:t>على</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المدى</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القصير</w:t>
      </w:r>
      <w:r>
        <w:rPr>
          <w:rFonts w:ascii="Simplified Arabic" w:hAnsi="Simplified Arabic" w:cs="Simplified Arabic" w:hint="cs"/>
          <w:sz w:val="24"/>
          <w:szCs w:val="24"/>
          <w:rtl/>
          <w:lang w:val="en-US"/>
        </w:rPr>
        <w:t xml:space="preserve"> اثناء الصدمة،</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لاستكشاف القدرة على الاستجابة من خلال تقييم مستويات مرونة الاحياء التي تعاني مستوى مرونة متدن. الفترة الزمنية الثانية</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على</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المدى</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الطويل</w:t>
      </w:r>
      <w:r>
        <w:rPr>
          <w:rFonts w:ascii="Simplified Arabic" w:hAnsi="Simplified Arabic" w:cs="Simplified Arabic" w:hint="cs"/>
          <w:sz w:val="24"/>
          <w:szCs w:val="24"/>
          <w:rtl/>
          <w:lang w:val="en-US"/>
        </w:rPr>
        <w:t xml:space="preserve"> </w:t>
      </w:r>
      <w:r w:rsidRPr="00996D2D">
        <w:rPr>
          <w:rFonts w:ascii="Simplified Arabic" w:hAnsi="Simplified Arabic" w:cs="Simplified Arabic" w:hint="cs"/>
          <w:sz w:val="24"/>
          <w:szCs w:val="24"/>
          <w:rtl/>
          <w:lang w:val="en-US"/>
        </w:rPr>
        <w:t>بعد</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الصدمة،</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لإبراز قدرة </w:t>
      </w:r>
      <w:r w:rsidR="00E11D15">
        <w:rPr>
          <w:rFonts w:ascii="Simplified Arabic" w:hAnsi="Simplified Arabic" w:cs="Simplified Arabic" w:hint="cs"/>
          <w:sz w:val="24"/>
          <w:szCs w:val="24"/>
          <w:rtl/>
          <w:lang w:val="en-US"/>
        </w:rPr>
        <w:t>التكيّف</w:t>
      </w:r>
      <w:r>
        <w:rPr>
          <w:rFonts w:ascii="Simplified Arabic" w:hAnsi="Simplified Arabic" w:cs="Simplified Arabic" w:hint="cs"/>
          <w:sz w:val="24"/>
          <w:szCs w:val="24"/>
          <w:rtl/>
          <w:lang w:val="en-US"/>
        </w:rPr>
        <w:t xml:space="preserve"> من خلال ا</w:t>
      </w:r>
      <w:r w:rsidRPr="00F946ED">
        <w:rPr>
          <w:rFonts w:ascii="Simplified Arabic" w:hAnsi="Simplified Arabic" w:cs="Simplified Arabic" w:hint="cs"/>
          <w:sz w:val="24"/>
          <w:szCs w:val="24"/>
          <w:rtl/>
          <w:lang w:val="en-US"/>
        </w:rPr>
        <w:t>لتدخلات</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التخطيطية</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والممارسات</w:t>
      </w:r>
      <w:r w:rsidRPr="00F946E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العملية </w:t>
      </w:r>
      <w:r w:rsidRPr="00F946ED">
        <w:rPr>
          <w:rFonts w:ascii="Simplified Arabic" w:hAnsi="Simplified Arabic" w:cs="Simplified Arabic" w:hint="cs"/>
          <w:sz w:val="24"/>
          <w:szCs w:val="24"/>
          <w:rtl/>
          <w:lang w:val="en-US"/>
        </w:rPr>
        <w:t>التي</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لديها</w:t>
      </w:r>
      <w:r>
        <w:rPr>
          <w:rFonts w:ascii="Simplified Arabic" w:hAnsi="Simplified Arabic" w:cs="Simplified Arabic" w:hint="cs"/>
          <w:sz w:val="24"/>
          <w:szCs w:val="24"/>
          <w:rtl/>
          <w:lang w:val="en-US"/>
        </w:rPr>
        <w:t xml:space="preserve"> </w:t>
      </w:r>
      <w:r w:rsidRPr="00F946ED">
        <w:rPr>
          <w:rFonts w:ascii="Simplified Arabic" w:hAnsi="Simplified Arabic" w:cs="Simplified Arabic" w:hint="cs"/>
          <w:sz w:val="24"/>
          <w:szCs w:val="24"/>
          <w:rtl/>
          <w:lang w:val="en-US"/>
        </w:rPr>
        <w:t>أثر</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على</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توازن</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مستويات</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مرونة</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المدينة</w:t>
      </w:r>
      <w:r w:rsidRPr="00996D2D">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bidi="ar-DZ"/>
        </w:rPr>
        <w:t xml:space="preserve">لذلك تُعرّف هذه الاطروحة المرونة على انها </w:t>
      </w:r>
      <w:r w:rsidRPr="00DF6ED7">
        <w:rPr>
          <w:rFonts w:ascii="Simplified Arabic" w:hAnsi="Simplified Arabic" w:cs="Simplified Arabic" w:hint="cs"/>
          <w:b/>
          <w:bCs/>
          <w:sz w:val="24"/>
          <w:szCs w:val="24"/>
          <w:rtl/>
          <w:lang w:bidi="ar-DZ"/>
        </w:rPr>
        <w:t>''</w:t>
      </w:r>
      <w:r w:rsidRPr="00DF6ED7">
        <w:rPr>
          <w:rFonts w:ascii="Simplified Arabic" w:hAnsi="Simplified Arabic" w:cs="Simplified Arabic"/>
          <w:b/>
          <w:bCs/>
          <w:sz w:val="24"/>
          <w:szCs w:val="24"/>
          <w:rtl/>
          <w:lang w:bidi="ar-DZ"/>
        </w:rPr>
        <w:t xml:space="preserve">قدرة </w:t>
      </w:r>
      <w:r w:rsidRPr="00DF6ED7">
        <w:rPr>
          <w:rFonts w:ascii="Simplified Arabic" w:hAnsi="Simplified Arabic" w:cs="Simplified Arabic" w:hint="cs"/>
          <w:b/>
          <w:bCs/>
          <w:sz w:val="24"/>
          <w:szCs w:val="24"/>
          <w:rtl/>
          <w:lang w:bidi="ar-DZ"/>
        </w:rPr>
        <w:t xml:space="preserve">اداء عناصر </w:t>
      </w:r>
      <w:r w:rsidRPr="00DF6ED7">
        <w:rPr>
          <w:rFonts w:ascii="Simplified Arabic" w:hAnsi="Simplified Arabic" w:cs="Simplified Arabic"/>
          <w:b/>
          <w:bCs/>
          <w:sz w:val="24"/>
          <w:szCs w:val="24"/>
          <w:rtl/>
          <w:lang w:bidi="ar-DZ"/>
        </w:rPr>
        <w:t xml:space="preserve">البيئة </w:t>
      </w:r>
      <w:r w:rsidR="00C62080" w:rsidRPr="00C62080">
        <w:rPr>
          <w:rFonts w:ascii="Simplified Arabic" w:hAnsi="Simplified Arabic" w:cs="Simplified Arabic" w:hint="cs"/>
          <w:b/>
          <w:bCs/>
          <w:sz w:val="24"/>
          <w:szCs w:val="24"/>
          <w:rtl/>
          <w:lang w:bidi="ar-DZ"/>
        </w:rPr>
        <w:t>الحضرية</w:t>
      </w:r>
      <w:r w:rsidR="00C62080" w:rsidRPr="00DF6ED7">
        <w:rPr>
          <w:rFonts w:ascii="Simplified Arabic" w:hAnsi="Simplified Arabic" w:cs="Simplified Arabic"/>
          <w:b/>
          <w:bCs/>
          <w:sz w:val="24"/>
          <w:szCs w:val="24"/>
          <w:rtl/>
          <w:lang w:bidi="ar-DZ"/>
        </w:rPr>
        <w:t xml:space="preserve"> </w:t>
      </w:r>
      <w:r w:rsidRPr="00DF6ED7">
        <w:rPr>
          <w:rFonts w:ascii="Simplified Arabic" w:hAnsi="Simplified Arabic" w:cs="Simplified Arabic"/>
          <w:b/>
          <w:bCs/>
          <w:sz w:val="24"/>
          <w:szCs w:val="24"/>
          <w:rtl/>
          <w:lang w:bidi="ar-DZ"/>
        </w:rPr>
        <w:t xml:space="preserve">على </w:t>
      </w:r>
      <w:r w:rsidR="00D526B9">
        <w:rPr>
          <w:rFonts w:ascii="Simplified Arabic" w:hAnsi="Simplified Arabic" w:cs="Simplified Arabic" w:hint="cs"/>
          <w:b/>
          <w:bCs/>
          <w:sz w:val="24"/>
          <w:szCs w:val="24"/>
          <w:rtl/>
          <w:lang w:bidi="ar-DZ"/>
        </w:rPr>
        <w:t>الاستجابة</w:t>
      </w:r>
      <w:r w:rsidRPr="00DF6ED7">
        <w:rPr>
          <w:rFonts w:ascii="Simplified Arabic" w:hAnsi="Simplified Arabic" w:cs="Simplified Arabic"/>
          <w:b/>
          <w:bCs/>
          <w:sz w:val="24"/>
          <w:szCs w:val="24"/>
          <w:rtl/>
          <w:lang w:bidi="ar-DZ"/>
        </w:rPr>
        <w:t xml:space="preserve"> </w:t>
      </w:r>
      <w:r w:rsidR="00D526B9">
        <w:rPr>
          <w:rFonts w:ascii="Simplified Arabic" w:hAnsi="Simplified Arabic" w:cs="Simplified Arabic" w:hint="cs"/>
          <w:b/>
          <w:bCs/>
          <w:sz w:val="24"/>
          <w:szCs w:val="24"/>
          <w:rtl/>
          <w:lang w:bidi="ar-DZ"/>
        </w:rPr>
        <w:t>ب</w:t>
      </w:r>
      <w:r w:rsidRPr="00DF6ED7">
        <w:rPr>
          <w:rFonts w:ascii="Simplified Arabic" w:hAnsi="Simplified Arabic" w:cs="Simplified Arabic"/>
          <w:b/>
          <w:bCs/>
          <w:sz w:val="24"/>
          <w:szCs w:val="24"/>
          <w:rtl/>
          <w:lang w:bidi="ar-DZ"/>
        </w:rPr>
        <w:t xml:space="preserve">سرعة </w:t>
      </w:r>
      <w:r w:rsidR="00D526B9">
        <w:rPr>
          <w:rFonts w:ascii="Simplified Arabic" w:hAnsi="Simplified Arabic" w:cs="Simplified Arabic" w:hint="cs"/>
          <w:b/>
          <w:bCs/>
          <w:sz w:val="24"/>
          <w:szCs w:val="24"/>
          <w:rtl/>
          <w:lang w:bidi="ar-DZ"/>
        </w:rPr>
        <w:t>ل</w:t>
      </w:r>
      <w:r w:rsidRPr="00DF6ED7">
        <w:rPr>
          <w:rFonts w:ascii="Simplified Arabic" w:hAnsi="Simplified Arabic" w:cs="Simplified Arabic" w:hint="cs"/>
          <w:b/>
          <w:bCs/>
          <w:sz w:val="24"/>
          <w:szCs w:val="24"/>
          <w:rtl/>
          <w:lang w:bidi="ar-DZ"/>
        </w:rPr>
        <w:t>تقديم الخدمة خلال</w:t>
      </w:r>
      <w:r w:rsidRPr="00DF6ED7">
        <w:rPr>
          <w:rFonts w:ascii="Simplified Arabic" w:hAnsi="Simplified Arabic" w:cs="Simplified Arabic"/>
          <w:b/>
          <w:bCs/>
          <w:sz w:val="24"/>
          <w:szCs w:val="24"/>
          <w:rtl/>
          <w:lang w:bidi="ar-DZ"/>
        </w:rPr>
        <w:t xml:space="preserve"> </w:t>
      </w:r>
      <w:r w:rsidRPr="00DF6ED7">
        <w:rPr>
          <w:rFonts w:ascii="Simplified Arabic" w:hAnsi="Simplified Arabic" w:cs="Simplified Arabic" w:hint="cs"/>
          <w:b/>
          <w:bCs/>
          <w:sz w:val="24"/>
          <w:szCs w:val="24"/>
          <w:rtl/>
          <w:lang w:bidi="ar-DZ"/>
        </w:rPr>
        <w:t>الاضطراب</w:t>
      </w:r>
      <w:r w:rsidRPr="00DF6ED7">
        <w:rPr>
          <w:rFonts w:ascii="Simplified Arabic" w:hAnsi="Simplified Arabic" w:cs="Simplified Arabic"/>
          <w:b/>
          <w:bCs/>
          <w:sz w:val="24"/>
          <w:szCs w:val="24"/>
          <w:rtl/>
          <w:lang w:bidi="ar-DZ"/>
        </w:rPr>
        <w:t>، و</w:t>
      </w:r>
      <w:r w:rsidRPr="00DF6ED7">
        <w:rPr>
          <w:rFonts w:ascii="Simplified Arabic" w:hAnsi="Simplified Arabic" w:cs="Simplified Arabic" w:hint="cs"/>
          <w:b/>
          <w:bCs/>
          <w:sz w:val="24"/>
          <w:szCs w:val="24"/>
          <w:rtl/>
          <w:lang w:bidi="ar-DZ"/>
        </w:rPr>
        <w:t>قدرة التكيف من خلال ممارسة التخطيط والتدخلات الحضرية لرفع</w:t>
      </w:r>
      <w:r w:rsidRPr="00DF6ED7">
        <w:rPr>
          <w:rFonts w:ascii="Simplified Arabic" w:hAnsi="Simplified Arabic" w:cs="Simplified Arabic"/>
          <w:b/>
          <w:bCs/>
          <w:sz w:val="24"/>
          <w:szCs w:val="24"/>
          <w:rtl/>
          <w:lang w:bidi="ar-DZ"/>
        </w:rPr>
        <w:t xml:space="preserve"> مستو</w:t>
      </w:r>
      <w:r w:rsidRPr="00DF6ED7">
        <w:rPr>
          <w:rFonts w:ascii="Simplified Arabic" w:hAnsi="Simplified Arabic" w:cs="Simplified Arabic" w:hint="cs"/>
          <w:b/>
          <w:bCs/>
          <w:sz w:val="24"/>
          <w:szCs w:val="24"/>
          <w:rtl/>
          <w:lang w:bidi="ar-DZ"/>
        </w:rPr>
        <w:t>يات</w:t>
      </w:r>
      <w:r w:rsidRPr="00DF6ED7">
        <w:rPr>
          <w:rFonts w:ascii="Simplified Arabic" w:hAnsi="Simplified Arabic" w:cs="Simplified Arabic"/>
          <w:b/>
          <w:bCs/>
          <w:sz w:val="24"/>
          <w:szCs w:val="24"/>
          <w:rtl/>
          <w:lang w:bidi="ar-DZ"/>
        </w:rPr>
        <w:t xml:space="preserve"> </w:t>
      </w:r>
      <w:r w:rsidRPr="00DF6ED7">
        <w:rPr>
          <w:rFonts w:ascii="Simplified Arabic" w:hAnsi="Simplified Arabic" w:cs="Simplified Arabic" w:hint="cs"/>
          <w:b/>
          <w:bCs/>
          <w:sz w:val="24"/>
          <w:szCs w:val="24"/>
          <w:rtl/>
          <w:lang w:bidi="ar-DZ"/>
        </w:rPr>
        <w:t>المرونة''</w:t>
      </w:r>
      <w:r w:rsidR="00C92D5E">
        <w:rPr>
          <w:rFonts w:ascii="Simplified Arabic" w:hAnsi="Simplified Arabic" w:cs="Simplified Arabic" w:hint="cs"/>
          <w:b/>
          <w:bCs/>
          <w:sz w:val="24"/>
          <w:szCs w:val="24"/>
          <w:rtl/>
          <w:lang w:bidi="ar-DZ"/>
        </w:rPr>
        <w:t>.</w:t>
      </w:r>
    </w:p>
    <w:p w:rsidR="00DF6ED7" w:rsidRDefault="00DF6ED7" w:rsidP="00DF6ED7">
      <w:pPr>
        <w:bidi/>
        <w:spacing w:after="0"/>
        <w:ind w:firstLine="282"/>
        <w:jc w:val="both"/>
        <w:rPr>
          <w:rFonts w:ascii="Simplified Arabic" w:hAnsi="Simplified Arabic" w:cs="Simplified Arabic"/>
          <w:color w:val="000000" w:themeColor="text1"/>
          <w:sz w:val="24"/>
          <w:szCs w:val="24"/>
          <w:highlight w:val="yellow"/>
          <w:rtl/>
        </w:rPr>
      </w:pPr>
    </w:p>
    <w:p w:rsidR="00DC6EF3" w:rsidRDefault="00DC6EF3" w:rsidP="00DF6ED7">
      <w:pPr>
        <w:bidi/>
        <w:spacing w:after="0"/>
        <w:rPr>
          <w:rFonts w:ascii="Simplified Arabic" w:hAnsi="Simplified Arabic" w:cs="Simplified Arabic"/>
          <w:b/>
          <w:bCs/>
          <w:sz w:val="24"/>
          <w:szCs w:val="24"/>
          <w:rtl/>
          <w:lang w:val="en-US"/>
        </w:rPr>
      </w:pPr>
    </w:p>
    <w:p w:rsidR="00DC6EF3" w:rsidRDefault="00DC6EF3" w:rsidP="00DC6EF3">
      <w:pPr>
        <w:bidi/>
        <w:spacing w:after="0"/>
        <w:jc w:val="center"/>
        <w:rPr>
          <w:rFonts w:ascii="Simplified Arabic" w:hAnsi="Simplified Arabic" w:cs="Simplified Arabic"/>
          <w:b/>
          <w:bCs/>
          <w:sz w:val="24"/>
          <w:szCs w:val="24"/>
          <w:rtl/>
          <w:lang w:val="en-US"/>
        </w:rPr>
      </w:pPr>
    </w:p>
    <w:p w:rsidR="00EE1065" w:rsidRDefault="00EE1065" w:rsidP="00EE1065">
      <w:pPr>
        <w:bidi/>
        <w:spacing w:after="0"/>
        <w:jc w:val="center"/>
        <w:rPr>
          <w:rFonts w:ascii="Simplified Arabic" w:hAnsi="Simplified Arabic" w:cs="Simplified Arabic"/>
          <w:b/>
          <w:bCs/>
          <w:sz w:val="24"/>
          <w:szCs w:val="24"/>
          <w:rtl/>
          <w:lang w:val="en-US"/>
        </w:rPr>
      </w:pPr>
    </w:p>
    <w:p w:rsidR="00EE1065" w:rsidRDefault="00EE1065" w:rsidP="00EE1065">
      <w:pPr>
        <w:bidi/>
        <w:spacing w:after="0"/>
        <w:jc w:val="center"/>
        <w:rPr>
          <w:rFonts w:ascii="Simplified Arabic" w:hAnsi="Simplified Arabic" w:cs="Simplified Arabic"/>
          <w:b/>
          <w:bCs/>
          <w:sz w:val="24"/>
          <w:szCs w:val="24"/>
          <w:rtl/>
          <w:lang w:val="en-US"/>
        </w:rPr>
      </w:pPr>
    </w:p>
    <w:p w:rsidR="00EE1065" w:rsidRDefault="00EE1065" w:rsidP="00EE1065">
      <w:pPr>
        <w:bidi/>
        <w:spacing w:after="0"/>
        <w:jc w:val="center"/>
        <w:rPr>
          <w:rFonts w:ascii="Simplified Arabic" w:hAnsi="Simplified Arabic" w:cs="Simplified Arabic"/>
          <w:b/>
          <w:bCs/>
          <w:sz w:val="24"/>
          <w:szCs w:val="24"/>
          <w:rtl/>
          <w:lang w:val="en-US"/>
        </w:rPr>
      </w:pPr>
    </w:p>
    <w:p w:rsidR="00EE1065" w:rsidRDefault="00EE1065" w:rsidP="00EE1065">
      <w:pPr>
        <w:bidi/>
        <w:spacing w:after="0"/>
        <w:jc w:val="center"/>
        <w:rPr>
          <w:rFonts w:ascii="Simplified Arabic" w:hAnsi="Simplified Arabic" w:cs="Simplified Arabic"/>
          <w:b/>
          <w:bCs/>
          <w:sz w:val="32"/>
          <w:szCs w:val="32"/>
          <w:rtl/>
          <w:lang w:bidi="ar-DZ"/>
        </w:rPr>
      </w:pPr>
    </w:p>
    <w:p w:rsidR="003A50EC" w:rsidRDefault="003A50EC" w:rsidP="003A50EC">
      <w:pPr>
        <w:bidi/>
        <w:spacing w:after="0"/>
        <w:jc w:val="center"/>
        <w:rPr>
          <w:rFonts w:ascii="Simplified Arabic" w:hAnsi="Simplified Arabic" w:cs="Simplified Arabic"/>
          <w:b/>
          <w:bCs/>
          <w:sz w:val="32"/>
          <w:szCs w:val="32"/>
          <w:rtl/>
          <w:lang w:bidi="ar-DZ"/>
        </w:rPr>
      </w:pPr>
    </w:p>
    <w:p w:rsidR="003A50EC" w:rsidRDefault="003A50EC" w:rsidP="003A50EC">
      <w:pPr>
        <w:bidi/>
        <w:spacing w:after="0"/>
        <w:jc w:val="center"/>
        <w:rPr>
          <w:rFonts w:ascii="Simplified Arabic" w:hAnsi="Simplified Arabic" w:cs="Simplified Arabic"/>
          <w:b/>
          <w:bCs/>
          <w:sz w:val="32"/>
          <w:szCs w:val="32"/>
          <w:rtl/>
          <w:lang w:bidi="ar-DZ"/>
        </w:rPr>
      </w:pPr>
    </w:p>
    <w:p w:rsidR="003A50EC" w:rsidRDefault="003A50EC" w:rsidP="003A50EC">
      <w:pPr>
        <w:bidi/>
        <w:spacing w:after="0"/>
        <w:jc w:val="center"/>
        <w:rPr>
          <w:rFonts w:ascii="Simplified Arabic" w:hAnsi="Simplified Arabic" w:cs="Simplified Arabic"/>
          <w:b/>
          <w:bCs/>
          <w:sz w:val="32"/>
          <w:szCs w:val="32"/>
          <w:rtl/>
          <w:lang w:bidi="ar-DZ"/>
        </w:rPr>
      </w:pPr>
    </w:p>
    <w:p w:rsidR="003A50EC" w:rsidRDefault="003A50EC" w:rsidP="003A50EC">
      <w:pPr>
        <w:bidi/>
        <w:spacing w:after="0"/>
        <w:jc w:val="center"/>
        <w:rPr>
          <w:rFonts w:ascii="Simplified Arabic" w:hAnsi="Simplified Arabic" w:cs="Simplified Arabic"/>
          <w:b/>
          <w:bCs/>
          <w:sz w:val="32"/>
          <w:szCs w:val="32"/>
          <w:rtl/>
          <w:lang w:bidi="ar-DZ"/>
        </w:rPr>
      </w:pPr>
    </w:p>
    <w:p w:rsidR="003A50EC" w:rsidRDefault="003A50EC" w:rsidP="003A50EC">
      <w:pPr>
        <w:bidi/>
        <w:spacing w:after="0"/>
        <w:jc w:val="center"/>
        <w:rPr>
          <w:rFonts w:ascii="Simplified Arabic" w:hAnsi="Simplified Arabic" w:cs="Simplified Arabic"/>
          <w:b/>
          <w:bCs/>
          <w:sz w:val="32"/>
          <w:szCs w:val="32"/>
          <w:rtl/>
          <w:lang w:bidi="ar-DZ"/>
        </w:rPr>
      </w:pPr>
    </w:p>
    <w:p w:rsidR="003A50EC" w:rsidRDefault="003A50EC" w:rsidP="003A50EC">
      <w:pPr>
        <w:bidi/>
        <w:spacing w:after="0"/>
        <w:jc w:val="center"/>
        <w:rPr>
          <w:rFonts w:ascii="Simplified Arabic" w:hAnsi="Simplified Arabic" w:cs="Simplified Arabic"/>
          <w:b/>
          <w:bCs/>
          <w:sz w:val="32"/>
          <w:szCs w:val="32"/>
          <w:rtl/>
          <w:lang w:bidi="ar-DZ"/>
        </w:rPr>
      </w:pPr>
    </w:p>
    <w:p w:rsidR="003A50EC" w:rsidRDefault="003A50EC" w:rsidP="003A50EC">
      <w:pPr>
        <w:bidi/>
        <w:spacing w:after="0"/>
        <w:jc w:val="center"/>
        <w:rPr>
          <w:rFonts w:ascii="Simplified Arabic" w:hAnsi="Simplified Arabic" w:cs="Simplified Arabic"/>
          <w:b/>
          <w:bCs/>
          <w:sz w:val="32"/>
          <w:szCs w:val="32"/>
          <w:rtl/>
          <w:lang w:bidi="ar-DZ"/>
        </w:rPr>
      </w:pPr>
    </w:p>
    <w:p w:rsidR="00F90BBA" w:rsidRDefault="00F90BBA" w:rsidP="003A50EC">
      <w:pPr>
        <w:bidi/>
        <w:spacing w:after="0"/>
        <w:jc w:val="center"/>
        <w:rPr>
          <w:rFonts w:ascii="Simplified Arabic" w:hAnsi="Simplified Arabic" w:cs="Simplified Arabic"/>
          <w:b/>
          <w:bCs/>
          <w:sz w:val="32"/>
          <w:szCs w:val="32"/>
          <w:rtl/>
          <w:lang w:bidi="ar-DZ"/>
        </w:rPr>
        <w:sectPr w:rsidR="00F90BBA" w:rsidSect="001D59AA">
          <w:headerReference w:type="default" r:id="rId97"/>
          <w:footerReference w:type="default" r:id="rId98"/>
          <w:pgSz w:w="11906" w:h="16838"/>
          <w:pgMar w:top="1418" w:right="1701" w:bottom="1418" w:left="851" w:header="709" w:footer="709" w:gutter="0"/>
          <w:pgNumType w:start="11"/>
          <w:cols w:space="708"/>
          <w:docGrid w:linePitch="360"/>
        </w:sectPr>
      </w:pPr>
    </w:p>
    <w:p w:rsidR="00D345AB" w:rsidRPr="009911F2" w:rsidRDefault="00D345AB" w:rsidP="009911F2">
      <w:pPr>
        <w:bidi/>
        <w:spacing w:after="0" w:line="360" w:lineRule="auto"/>
        <w:jc w:val="center"/>
        <w:rPr>
          <w:rFonts w:ascii="Simplified Arabic" w:hAnsi="Simplified Arabic" w:cs="Simplified Arabic"/>
          <w:b/>
          <w:bCs/>
          <w:rtl/>
          <w:lang w:bidi="ar-DZ"/>
        </w:rPr>
      </w:pPr>
    </w:p>
    <w:p w:rsidR="003E0F31" w:rsidRPr="009911F2" w:rsidRDefault="003E0F31" w:rsidP="009911F2">
      <w:pPr>
        <w:bidi/>
        <w:spacing w:after="0" w:line="360" w:lineRule="auto"/>
        <w:jc w:val="center"/>
        <w:rPr>
          <w:rFonts w:ascii="Simplified Arabic" w:hAnsi="Simplified Arabic" w:cs="Simplified Arabic"/>
          <w:b/>
          <w:bCs/>
          <w:sz w:val="28"/>
          <w:szCs w:val="28"/>
          <w:rtl/>
        </w:rPr>
      </w:pPr>
    </w:p>
    <w:p w:rsidR="003E0F31" w:rsidRPr="009911F2" w:rsidRDefault="003E0F31" w:rsidP="009911F2">
      <w:pPr>
        <w:bidi/>
        <w:spacing w:after="0" w:line="360" w:lineRule="auto"/>
        <w:jc w:val="center"/>
        <w:rPr>
          <w:rFonts w:ascii="Simplified Arabic" w:hAnsi="Simplified Arabic" w:cs="Simplified Arabic"/>
          <w:b/>
          <w:bCs/>
          <w:sz w:val="28"/>
          <w:szCs w:val="28"/>
          <w:rtl/>
          <w:lang w:bidi="ar-DZ"/>
        </w:rPr>
      </w:pPr>
    </w:p>
    <w:p w:rsidR="003E0F31" w:rsidRPr="009911F2" w:rsidRDefault="003E0F31" w:rsidP="009911F2">
      <w:pPr>
        <w:bidi/>
        <w:spacing w:after="0" w:line="360" w:lineRule="auto"/>
        <w:jc w:val="center"/>
        <w:rPr>
          <w:rFonts w:ascii="Simplified Arabic" w:hAnsi="Simplified Arabic" w:cs="Simplified Arabic"/>
          <w:b/>
          <w:bCs/>
          <w:sz w:val="28"/>
          <w:szCs w:val="28"/>
          <w:rtl/>
          <w:lang w:bidi="ar-DZ"/>
        </w:rPr>
      </w:pPr>
    </w:p>
    <w:p w:rsidR="003E0F31" w:rsidRPr="009911F2" w:rsidRDefault="003E0F31" w:rsidP="009911F2">
      <w:pPr>
        <w:bidi/>
        <w:spacing w:after="0" w:line="360" w:lineRule="auto"/>
        <w:jc w:val="center"/>
        <w:rPr>
          <w:rFonts w:ascii="Simplified Arabic" w:hAnsi="Simplified Arabic" w:cs="Simplified Arabic"/>
          <w:b/>
          <w:bCs/>
          <w:sz w:val="28"/>
          <w:szCs w:val="28"/>
          <w:rtl/>
          <w:lang w:bidi="ar-DZ"/>
        </w:rPr>
      </w:pPr>
    </w:p>
    <w:p w:rsidR="003E0F31" w:rsidRPr="009911F2" w:rsidRDefault="003E0F31" w:rsidP="009911F2">
      <w:pPr>
        <w:bidi/>
        <w:spacing w:after="0" w:line="360" w:lineRule="auto"/>
        <w:jc w:val="center"/>
        <w:rPr>
          <w:rFonts w:ascii="Simplified Arabic" w:hAnsi="Simplified Arabic" w:cs="Simplified Arabic"/>
          <w:b/>
          <w:bCs/>
          <w:sz w:val="28"/>
          <w:szCs w:val="28"/>
          <w:rtl/>
          <w:lang w:bidi="ar-DZ"/>
        </w:rPr>
      </w:pPr>
    </w:p>
    <w:p w:rsidR="003E0F31" w:rsidRPr="009911F2" w:rsidRDefault="003E0F31" w:rsidP="009911F2">
      <w:pPr>
        <w:bidi/>
        <w:spacing w:after="0" w:line="360" w:lineRule="auto"/>
        <w:jc w:val="center"/>
        <w:rPr>
          <w:rFonts w:ascii="Simplified Arabic" w:hAnsi="Simplified Arabic" w:cs="Simplified Arabic"/>
          <w:b/>
          <w:bCs/>
          <w:sz w:val="28"/>
          <w:szCs w:val="28"/>
          <w:rtl/>
          <w:lang w:bidi="ar-DZ"/>
        </w:rPr>
      </w:pPr>
    </w:p>
    <w:p w:rsidR="003E0F31" w:rsidRDefault="003E0F31" w:rsidP="009911F2">
      <w:pPr>
        <w:bidi/>
        <w:spacing w:after="0" w:line="360" w:lineRule="auto"/>
        <w:jc w:val="center"/>
        <w:rPr>
          <w:rFonts w:ascii="Simplified Arabic" w:hAnsi="Simplified Arabic" w:cs="Simplified Arabic"/>
          <w:b/>
          <w:bCs/>
          <w:sz w:val="28"/>
          <w:szCs w:val="28"/>
          <w:rtl/>
          <w:lang w:bidi="ar-DZ"/>
        </w:rPr>
      </w:pPr>
    </w:p>
    <w:p w:rsidR="00662BEC" w:rsidRDefault="00662BEC" w:rsidP="00662BEC">
      <w:pPr>
        <w:bidi/>
        <w:spacing w:after="0" w:line="360" w:lineRule="auto"/>
        <w:jc w:val="center"/>
        <w:rPr>
          <w:rFonts w:ascii="Simplified Arabic" w:hAnsi="Simplified Arabic" w:cs="Simplified Arabic"/>
          <w:b/>
          <w:bCs/>
          <w:sz w:val="28"/>
          <w:szCs w:val="28"/>
          <w:rtl/>
        </w:rPr>
      </w:pPr>
    </w:p>
    <w:p w:rsidR="00662BEC" w:rsidRPr="009911F2" w:rsidRDefault="00662BEC" w:rsidP="00662BEC">
      <w:pPr>
        <w:bidi/>
        <w:spacing w:after="0" w:line="360" w:lineRule="auto"/>
        <w:jc w:val="center"/>
        <w:rPr>
          <w:rFonts w:ascii="Simplified Arabic" w:hAnsi="Simplified Arabic" w:cs="Simplified Arabic"/>
          <w:b/>
          <w:bCs/>
          <w:sz w:val="28"/>
          <w:szCs w:val="28"/>
          <w:lang w:bidi="ar-DZ"/>
        </w:rPr>
      </w:pPr>
    </w:p>
    <w:p w:rsidR="00662BEC" w:rsidRPr="00420034" w:rsidRDefault="00662BEC" w:rsidP="00230FAB">
      <w:pPr>
        <w:pStyle w:val="Photo"/>
        <w:spacing w:before="0"/>
        <w:rPr>
          <w:sz w:val="36"/>
          <w:szCs w:val="36"/>
          <w:rtl/>
          <w:lang w:val="en-US"/>
        </w:rPr>
      </w:pPr>
      <w:bookmarkStart w:id="284" w:name="_Toc157608286"/>
      <w:bookmarkStart w:id="285" w:name="_Toc157612964"/>
      <w:bookmarkStart w:id="286" w:name="_Toc157616581"/>
      <w:bookmarkStart w:id="287" w:name="_Toc157618640"/>
      <w:bookmarkStart w:id="288" w:name="_Toc171803428"/>
      <w:r w:rsidRPr="00420034">
        <w:rPr>
          <w:sz w:val="36"/>
          <w:szCs w:val="36"/>
          <w:rtl/>
          <w:lang w:bidi="ar-DZ"/>
        </w:rPr>
        <w:t xml:space="preserve">الفصل </w:t>
      </w:r>
      <w:r w:rsidRPr="00420034">
        <w:rPr>
          <w:rFonts w:hint="cs"/>
          <w:sz w:val="36"/>
          <w:szCs w:val="36"/>
          <w:rtl/>
          <w:lang w:bidi="ar-DZ"/>
        </w:rPr>
        <w:t>2</w:t>
      </w:r>
      <w:r w:rsidRPr="00420034">
        <w:rPr>
          <w:sz w:val="36"/>
          <w:szCs w:val="36"/>
          <w:rtl/>
          <w:lang w:bidi="ar-DZ"/>
        </w:rPr>
        <w:t>:</w:t>
      </w:r>
      <w:r w:rsidRPr="00420034">
        <w:rPr>
          <w:rFonts w:hint="cs"/>
          <w:sz w:val="36"/>
          <w:szCs w:val="36"/>
          <w:rtl/>
          <w:lang w:bidi="ar-DZ"/>
        </w:rPr>
        <w:t xml:space="preserve"> </w:t>
      </w:r>
      <w:r w:rsidRPr="00420034">
        <w:rPr>
          <w:rFonts w:hint="cs"/>
          <w:sz w:val="36"/>
          <w:szCs w:val="36"/>
          <w:rtl/>
          <w:lang w:val="en-US"/>
        </w:rPr>
        <w:t>تحليل مناهج</w:t>
      </w:r>
      <w:r w:rsidRPr="00420034">
        <w:rPr>
          <w:sz w:val="36"/>
          <w:szCs w:val="36"/>
          <w:rtl/>
          <w:lang w:val="en-US"/>
        </w:rPr>
        <w:t xml:space="preserve"> </w:t>
      </w:r>
      <w:r w:rsidRPr="00420034">
        <w:rPr>
          <w:rFonts w:hint="cs"/>
          <w:sz w:val="36"/>
          <w:szCs w:val="36"/>
          <w:rtl/>
          <w:lang w:val="en-US"/>
        </w:rPr>
        <w:t>واطر تقييم</w:t>
      </w:r>
      <w:r w:rsidRPr="00420034">
        <w:rPr>
          <w:sz w:val="36"/>
          <w:szCs w:val="36"/>
          <w:rtl/>
          <w:lang w:val="en-US"/>
        </w:rPr>
        <w:t xml:space="preserve"> </w:t>
      </w:r>
      <w:r w:rsidRPr="00420034">
        <w:rPr>
          <w:rFonts w:hint="cs"/>
          <w:sz w:val="36"/>
          <w:szCs w:val="36"/>
          <w:rtl/>
          <w:lang w:val="en-US"/>
        </w:rPr>
        <w:t>وتفعيل المرونة</w:t>
      </w:r>
      <w:bookmarkEnd w:id="284"/>
      <w:bookmarkEnd w:id="285"/>
      <w:bookmarkEnd w:id="286"/>
      <w:bookmarkEnd w:id="287"/>
      <w:bookmarkEnd w:id="288"/>
    </w:p>
    <w:p w:rsidR="00AE51CD" w:rsidRPr="009911F2" w:rsidRDefault="00AE51CD" w:rsidP="009911F2">
      <w:pPr>
        <w:bidi/>
        <w:spacing w:after="0" w:line="360" w:lineRule="auto"/>
        <w:jc w:val="center"/>
        <w:rPr>
          <w:rFonts w:ascii="Simplified Arabic" w:hAnsi="Simplified Arabic" w:cs="Simplified Arabic"/>
          <w:b/>
          <w:bCs/>
          <w:sz w:val="28"/>
          <w:szCs w:val="28"/>
        </w:rPr>
      </w:pPr>
    </w:p>
    <w:p w:rsidR="00AE51CD" w:rsidRPr="009911F2" w:rsidRDefault="00AE51CD" w:rsidP="009911F2">
      <w:pPr>
        <w:bidi/>
        <w:spacing w:after="0" w:line="360" w:lineRule="auto"/>
        <w:jc w:val="center"/>
        <w:rPr>
          <w:rFonts w:ascii="Simplified Arabic" w:hAnsi="Simplified Arabic" w:cs="Simplified Arabic"/>
          <w:b/>
          <w:bCs/>
          <w:sz w:val="28"/>
          <w:szCs w:val="28"/>
          <w:lang w:bidi="ar-DZ"/>
        </w:rPr>
      </w:pPr>
    </w:p>
    <w:p w:rsidR="00AE51CD" w:rsidRPr="009911F2" w:rsidRDefault="00230FAB" w:rsidP="009911F2">
      <w:pPr>
        <w:bidi/>
        <w:spacing w:after="0" w:line="360" w:lineRule="auto"/>
        <w:jc w:val="center"/>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ab/>
      </w:r>
      <w:r>
        <w:rPr>
          <w:rFonts w:ascii="Simplified Arabic" w:hAnsi="Simplified Arabic" w:cs="Simplified Arabic"/>
          <w:b/>
          <w:bCs/>
          <w:sz w:val="28"/>
          <w:szCs w:val="28"/>
          <w:lang w:bidi="ar-DZ"/>
        </w:rPr>
        <w:tab/>
      </w:r>
      <w:r>
        <w:rPr>
          <w:rFonts w:ascii="Simplified Arabic" w:hAnsi="Simplified Arabic" w:cs="Simplified Arabic"/>
          <w:b/>
          <w:bCs/>
          <w:sz w:val="28"/>
          <w:szCs w:val="28"/>
          <w:lang w:bidi="ar-DZ"/>
        </w:rPr>
        <w:tab/>
      </w:r>
      <w:r>
        <w:rPr>
          <w:rFonts w:ascii="Simplified Arabic" w:hAnsi="Simplified Arabic" w:cs="Simplified Arabic"/>
          <w:b/>
          <w:bCs/>
          <w:sz w:val="28"/>
          <w:szCs w:val="28"/>
          <w:lang w:bidi="ar-DZ"/>
        </w:rPr>
        <w:tab/>
      </w:r>
      <w:r>
        <w:rPr>
          <w:rFonts w:ascii="Simplified Arabic" w:hAnsi="Simplified Arabic" w:cs="Simplified Arabic"/>
          <w:b/>
          <w:bCs/>
          <w:sz w:val="28"/>
          <w:szCs w:val="28"/>
          <w:lang w:bidi="ar-DZ"/>
        </w:rPr>
        <w:tab/>
      </w:r>
      <w:r>
        <w:rPr>
          <w:rFonts w:ascii="Simplified Arabic" w:hAnsi="Simplified Arabic" w:cs="Simplified Arabic"/>
          <w:b/>
          <w:bCs/>
          <w:sz w:val="28"/>
          <w:szCs w:val="28"/>
          <w:lang w:bidi="ar-DZ"/>
        </w:rPr>
        <w:tab/>
      </w:r>
    </w:p>
    <w:p w:rsidR="00995F16" w:rsidRDefault="00995F16" w:rsidP="00D77F10">
      <w:pPr>
        <w:bidi/>
        <w:spacing w:after="0" w:line="360" w:lineRule="auto"/>
        <w:jc w:val="both"/>
        <w:rPr>
          <w:rFonts w:ascii="Simplified Arabic" w:hAnsi="Simplified Arabic" w:cs="Simplified Arabic"/>
          <w:b/>
          <w:bCs/>
          <w:sz w:val="24"/>
          <w:szCs w:val="24"/>
          <w:rtl/>
          <w:lang w:bidi="ar-DZ"/>
        </w:rPr>
        <w:sectPr w:rsidR="00995F16" w:rsidSect="005010C2">
          <w:headerReference w:type="first" r:id="rId99"/>
          <w:footerReference w:type="first" r:id="rId100"/>
          <w:type w:val="continuous"/>
          <w:pgSz w:w="11906" w:h="16838"/>
          <w:pgMar w:top="1418" w:right="1700" w:bottom="1418" w:left="1134" w:header="709" w:footer="709" w:gutter="0"/>
          <w:pgNumType w:start="10"/>
          <w:cols w:space="708"/>
          <w:titlePg/>
          <w:docGrid w:linePitch="360"/>
        </w:sectPr>
      </w:pPr>
    </w:p>
    <w:p w:rsidR="003E0F31" w:rsidRPr="00BB4886" w:rsidRDefault="008836B0" w:rsidP="00662BEC">
      <w:pPr>
        <w:bidi/>
        <w:spacing w:after="0"/>
        <w:ind w:firstLine="284"/>
        <w:jc w:val="both"/>
        <w:outlineLvl w:val="0"/>
        <w:rPr>
          <w:rFonts w:ascii="Simplified Arabic" w:hAnsi="Simplified Arabic" w:cs="Simplified Arabic"/>
          <w:b/>
          <w:bCs/>
          <w:sz w:val="24"/>
          <w:szCs w:val="24"/>
          <w:rtl/>
          <w:lang w:bidi="ar-DZ"/>
        </w:rPr>
      </w:pPr>
      <w:bookmarkStart w:id="289" w:name="_Toc171803429"/>
      <w:r>
        <w:rPr>
          <w:rFonts w:ascii="Simplified Arabic" w:hAnsi="Simplified Arabic" w:cs="Simplified Arabic" w:hint="cs"/>
          <w:b/>
          <w:bCs/>
          <w:sz w:val="24"/>
          <w:szCs w:val="24"/>
          <w:rtl/>
          <w:lang w:bidi="ar-DZ"/>
        </w:rPr>
        <w:lastRenderedPageBreak/>
        <w:t>تمهيد</w:t>
      </w:r>
      <w:bookmarkEnd w:id="289"/>
    </w:p>
    <w:p w:rsidR="003E0F31" w:rsidRPr="001D59AA" w:rsidRDefault="003E0F31" w:rsidP="003E0F31">
      <w:pPr>
        <w:bidi/>
        <w:spacing w:after="0"/>
        <w:ind w:firstLine="282"/>
        <w:jc w:val="both"/>
        <w:rPr>
          <w:rFonts w:asciiTheme="minorBidi" w:hAnsiTheme="minorBidi" w:cs="Arial"/>
          <w:sz w:val="28"/>
          <w:szCs w:val="28"/>
          <w:rtl/>
          <w:lang w:val="en-US"/>
        </w:rPr>
      </w:pPr>
      <w:r w:rsidRPr="001D59AA">
        <w:rPr>
          <w:rFonts w:ascii="Simplified Arabic" w:hAnsi="Simplified Arabic" w:cs="Simplified Arabic" w:hint="cs"/>
          <w:sz w:val="24"/>
          <w:szCs w:val="24"/>
          <w:rtl/>
          <w:lang w:bidi="ar-DZ"/>
        </w:rPr>
        <w:t>يقدم</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هذا</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الفصل</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نظرة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عامة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على</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كيفية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تطور</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مفهوم</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المرونة،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من</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خلال</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دراسة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المناهج</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المختلفة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للمرونة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الحضرية التي تم تناولها منذ مطلع</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القرن الواحد و العشرون وكيف</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أصبحت</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أكثر</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دقة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من خلال</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فهم</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الأنظمة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السوسيو</w:t>
      </w:r>
      <w:r w:rsidRPr="001D59AA">
        <w:rPr>
          <w:rFonts w:ascii="Simplified Arabic" w:hAnsi="Simplified Arabic" w:cs="Simplified Arabic"/>
          <w:sz w:val="24"/>
          <w:szCs w:val="24"/>
          <w:rtl/>
          <w:lang w:bidi="ar-DZ"/>
        </w:rPr>
        <w:t>-</w:t>
      </w:r>
      <w:r w:rsidRPr="001D59AA">
        <w:rPr>
          <w:rFonts w:ascii="Simplified Arabic" w:hAnsi="Simplified Arabic" w:cs="Simplified Arabic" w:hint="cs"/>
          <w:sz w:val="24"/>
          <w:szCs w:val="24"/>
          <w:rtl/>
          <w:lang w:bidi="ar-DZ"/>
        </w:rPr>
        <w:t>بيئية</w:t>
      </w:r>
      <w:r w:rsidRPr="001D59AA">
        <w:rPr>
          <w:rFonts w:ascii="Simplified Arabic" w:hAnsi="Simplified Arabic" w:cs="Simplified Arabic"/>
          <w:sz w:val="24"/>
          <w:szCs w:val="24"/>
          <w:rtl/>
          <w:lang w:bidi="ar-DZ"/>
        </w:rPr>
        <w:t>.</w:t>
      </w:r>
      <w:r w:rsidRPr="001D59AA">
        <w:rPr>
          <w:rFonts w:ascii="Simplified Arabic" w:hAnsi="Simplified Arabic" w:cs="Simplified Arabic" w:hint="cs"/>
          <w:sz w:val="24"/>
          <w:szCs w:val="24"/>
          <w:rtl/>
          <w:lang w:bidi="ar-DZ"/>
        </w:rPr>
        <w:t xml:space="preserve"> لتفعيل</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هذا</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المفهوم</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وتقليل</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الغموض</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المحيط</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به تم</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إدخال</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مناهج</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مختلفة</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لتقييم</w:t>
      </w:r>
      <w:r w:rsidRPr="001D59AA">
        <w:rPr>
          <w:rFonts w:ascii="Simplified Arabic" w:hAnsi="Simplified Arabic" w:cs="Simplified Arabic"/>
          <w:sz w:val="24"/>
          <w:szCs w:val="24"/>
          <w:rtl/>
          <w:lang w:bidi="ar-DZ"/>
        </w:rPr>
        <w:t xml:space="preserve"> </w:t>
      </w:r>
      <w:r w:rsidRPr="001D59AA">
        <w:rPr>
          <w:rFonts w:ascii="Simplified Arabic" w:hAnsi="Simplified Arabic" w:cs="Simplified Arabic" w:hint="cs"/>
          <w:sz w:val="24"/>
          <w:szCs w:val="24"/>
          <w:rtl/>
          <w:lang w:bidi="ar-DZ"/>
        </w:rPr>
        <w:t>المرونة.</w:t>
      </w:r>
      <w:r w:rsidRPr="001D59AA">
        <w:rPr>
          <w:rFonts w:asciiTheme="minorBidi" w:hAnsiTheme="minorBidi" w:cs="Arial" w:hint="cs"/>
          <w:sz w:val="28"/>
          <w:szCs w:val="28"/>
          <w:rtl/>
          <w:lang w:val="en-US"/>
        </w:rPr>
        <w:t xml:space="preserve"> </w:t>
      </w:r>
    </w:p>
    <w:p w:rsidR="003E0F31" w:rsidRDefault="003E0F31" w:rsidP="00C71ECA">
      <w:pPr>
        <w:bidi/>
        <w:spacing w:after="0"/>
        <w:ind w:firstLine="282"/>
        <w:jc w:val="both"/>
        <w:rPr>
          <w:rFonts w:ascii="Simplified Arabic" w:hAnsi="Simplified Arabic" w:cs="Simplified Arabic"/>
          <w:sz w:val="24"/>
          <w:szCs w:val="24"/>
          <w:lang w:bidi="ar-DZ"/>
        </w:rPr>
      </w:pPr>
      <w:r w:rsidRPr="00931365">
        <w:rPr>
          <w:rFonts w:ascii="Simplified Arabic" w:hAnsi="Simplified Arabic" w:cs="Simplified Arabic" w:hint="cs"/>
          <w:sz w:val="24"/>
          <w:szCs w:val="24"/>
          <w:rtl/>
          <w:lang w:bidi="ar-DZ"/>
        </w:rPr>
        <w:t>الهدف</w:t>
      </w:r>
      <w:r w:rsidRPr="0093136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من البحث الحالي، </w:t>
      </w:r>
      <w:r w:rsidRPr="00931365">
        <w:rPr>
          <w:rFonts w:ascii="Simplified Arabic" w:hAnsi="Simplified Arabic" w:cs="Simplified Arabic" w:hint="cs"/>
          <w:sz w:val="24"/>
          <w:szCs w:val="24"/>
          <w:rtl/>
          <w:lang w:bidi="ar-DZ"/>
        </w:rPr>
        <w:t>هو</w:t>
      </w:r>
      <w:r w:rsidRPr="00931365">
        <w:rPr>
          <w:rFonts w:ascii="Simplified Arabic" w:hAnsi="Simplified Arabic" w:cs="Simplified Arabic"/>
          <w:sz w:val="24"/>
          <w:szCs w:val="24"/>
          <w:rtl/>
          <w:lang w:bidi="ar-DZ"/>
        </w:rPr>
        <w:t xml:space="preserve"> </w:t>
      </w:r>
      <w:r w:rsidR="00C71ECA">
        <w:rPr>
          <w:rFonts w:ascii="Simplified Arabic" w:hAnsi="Simplified Arabic" w:cs="Simplified Arabic" w:hint="cs"/>
          <w:sz w:val="24"/>
          <w:szCs w:val="24"/>
          <w:rtl/>
          <w:lang w:bidi="ar-DZ"/>
        </w:rPr>
        <w:t>تحليل</w:t>
      </w:r>
      <w:r>
        <w:rPr>
          <w:rFonts w:ascii="Simplified Arabic" w:hAnsi="Simplified Arabic" w:cs="Simplified Arabic" w:hint="cs"/>
          <w:sz w:val="24"/>
          <w:szCs w:val="24"/>
          <w:rtl/>
          <w:lang w:bidi="ar-DZ"/>
        </w:rPr>
        <w:t xml:space="preserve"> المناهج وما انبثق عنها من الاطر</w:t>
      </w:r>
      <w:r w:rsidRPr="0093136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w:t>
      </w:r>
      <w:r w:rsidRPr="00931365">
        <w:rPr>
          <w:rFonts w:ascii="Simplified Arabic" w:hAnsi="Simplified Arabic" w:cs="Simplified Arabic" w:hint="cs"/>
          <w:sz w:val="24"/>
          <w:szCs w:val="24"/>
          <w:rtl/>
          <w:lang w:bidi="ar-DZ"/>
        </w:rPr>
        <w:t>النماذج</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السائدة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في</w:t>
      </w:r>
      <w:r w:rsidRPr="00931365">
        <w:rPr>
          <w:rFonts w:ascii="Simplified Arabic" w:hAnsi="Simplified Arabic" w:cs="Simplified Arabic"/>
          <w:sz w:val="24"/>
          <w:szCs w:val="24"/>
          <w:rtl/>
          <w:lang w:bidi="ar-DZ"/>
        </w:rPr>
        <w:t xml:space="preserve"> </w:t>
      </w:r>
      <w:r w:rsidR="00C71ECA">
        <w:rPr>
          <w:rFonts w:ascii="Simplified Arabic" w:hAnsi="Simplified Arabic" w:cs="Simplified Arabic" w:hint="cs"/>
          <w:sz w:val="24"/>
          <w:szCs w:val="24"/>
          <w:rtl/>
          <w:lang w:bidi="ar-DZ"/>
        </w:rPr>
        <w:t>الابحاث</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العلمية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الحديثة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حول</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المرونة</w:t>
      </w:r>
      <w:r>
        <w:rPr>
          <w:rFonts w:ascii="Simplified Arabic" w:hAnsi="Simplified Arabic" w:cs="Simplified Arabic" w:hint="cs"/>
          <w:sz w:val="24"/>
          <w:szCs w:val="24"/>
          <w:rtl/>
          <w:lang w:bidi="ar-DZ"/>
        </w:rPr>
        <w:t>، التي</w:t>
      </w:r>
      <w:r w:rsidRPr="00263E88">
        <w:rPr>
          <w:rFonts w:ascii="Simplified Arabic" w:hAnsi="Simplified Arabic" w:cs="Simplified Arabic" w:hint="cs"/>
          <w:sz w:val="24"/>
          <w:szCs w:val="24"/>
          <w:rtl/>
          <w:lang w:bidi="ar-DZ"/>
        </w:rPr>
        <w:t xml:space="preserve"> تم</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تطويرها من</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قبل</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مجموعة</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متنوعة</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من</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الهيئات الدولية، المنظمات</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المانحة</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الدولية</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والباحثين</w:t>
      </w:r>
      <w:r w:rsidRPr="00263E88">
        <w:rPr>
          <w:rFonts w:ascii="Simplified Arabic" w:hAnsi="Simplified Arabic" w:cs="Simplified Arabic"/>
          <w:sz w:val="24"/>
          <w:szCs w:val="24"/>
          <w:rtl/>
          <w:lang w:bidi="ar-DZ"/>
        </w:rPr>
        <w:t xml:space="preserve"> </w:t>
      </w:r>
      <w:r w:rsidRPr="00263E88">
        <w:rPr>
          <w:rFonts w:ascii="Simplified Arabic" w:hAnsi="Simplified Arabic" w:cs="Simplified Arabic" w:hint="cs"/>
          <w:sz w:val="24"/>
          <w:szCs w:val="24"/>
          <w:rtl/>
          <w:lang w:bidi="ar-DZ"/>
        </w:rPr>
        <w:t>الأكاديميين</w:t>
      </w:r>
      <w:r w:rsidRPr="0093136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p>
    <w:p w:rsidR="003E0F31" w:rsidRDefault="003E0F31" w:rsidP="003E0F31">
      <w:pPr>
        <w:bidi/>
        <w:spacing w:after="0"/>
        <w:ind w:firstLine="282"/>
        <w:jc w:val="both"/>
        <w:rPr>
          <w:rFonts w:ascii="Simplified Arabic" w:hAnsi="Simplified Arabic" w:cs="Simplified Arabic"/>
          <w:sz w:val="24"/>
          <w:szCs w:val="24"/>
          <w:rtl/>
          <w:lang w:bidi="ar-DZ"/>
        </w:rPr>
      </w:pPr>
      <w:r w:rsidRPr="00931365">
        <w:rPr>
          <w:rFonts w:ascii="Simplified Arabic" w:hAnsi="Simplified Arabic" w:cs="Simplified Arabic" w:hint="cs"/>
          <w:sz w:val="24"/>
          <w:szCs w:val="24"/>
          <w:rtl/>
          <w:lang w:bidi="ar-DZ"/>
        </w:rPr>
        <w:t>تدرس</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هذه</w:t>
      </w:r>
      <w:r w:rsidRPr="0093136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المناهج</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مرونة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الأنظمة</w:t>
      </w:r>
      <w:r w:rsidRPr="0093136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الحضرية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التي</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تواجه</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بشكل</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أساسي</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الاضطرابات</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الطبيعية،</w:t>
      </w:r>
      <w:r w:rsidRPr="0093136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ب</w:t>
      </w:r>
      <w:r w:rsidRPr="00AE22B8">
        <w:rPr>
          <w:rFonts w:ascii="Simplified Arabic" w:hAnsi="Simplified Arabic" w:cs="Simplified Arabic"/>
          <w:color w:val="000000" w:themeColor="text1"/>
          <w:sz w:val="24"/>
          <w:szCs w:val="24"/>
          <w:rtl/>
          <w:lang w:val="en-US"/>
        </w:rPr>
        <w:t>المقياس الزمني للمرونة</w:t>
      </w:r>
      <w:r>
        <w:rPr>
          <w:rFonts w:ascii="Simplified Arabic" w:hAnsi="Simplified Arabic" w:cs="Simplified Arabic" w:hint="cs"/>
          <w:color w:val="000000" w:themeColor="text1"/>
          <w:sz w:val="24"/>
          <w:szCs w:val="24"/>
          <w:rtl/>
          <w:lang w:val="en-US"/>
        </w:rPr>
        <w:t xml:space="preserve"> (كما تمت مناقشته في الفصل 1)،</w:t>
      </w:r>
      <w:r w:rsidRPr="00AE22B8">
        <w:rPr>
          <w:rFonts w:ascii="Simplified Arabic" w:hAnsi="Simplified Arabic" w:cs="Simplified Arabic"/>
          <w:color w:val="000000" w:themeColor="text1"/>
          <w:sz w:val="24"/>
          <w:szCs w:val="24"/>
          <w:rtl/>
          <w:lang w:val="en-US"/>
        </w:rPr>
        <w:t xml:space="preserve"> </w:t>
      </w:r>
      <w:r w:rsidRPr="00931365">
        <w:rPr>
          <w:rFonts w:ascii="Simplified Arabic" w:hAnsi="Simplified Arabic" w:cs="Simplified Arabic" w:hint="cs"/>
          <w:sz w:val="24"/>
          <w:szCs w:val="24"/>
          <w:rtl/>
          <w:lang w:bidi="ar-DZ"/>
        </w:rPr>
        <w:t>سواء</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حدثت</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خلال</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فترات</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قصيرة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مثل</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الأخطار</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الطبيعية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أو</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على</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مدى</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فترات</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طويلة</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مثل</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تغير</w:t>
      </w:r>
      <w:r>
        <w:rPr>
          <w:rFonts w:ascii="Simplified Arabic" w:hAnsi="Simplified Arabic" w:cs="Simplified Arabic" w:hint="cs"/>
          <w:sz w:val="24"/>
          <w:szCs w:val="24"/>
          <w:rtl/>
          <w:lang w:bidi="ar-DZ"/>
        </w:rPr>
        <w:t>ات</w:t>
      </w:r>
      <w:r w:rsidRPr="00931365">
        <w:rPr>
          <w:rFonts w:ascii="Simplified Arabic" w:hAnsi="Simplified Arabic" w:cs="Simplified Arabic"/>
          <w:sz w:val="24"/>
          <w:szCs w:val="24"/>
          <w:rtl/>
          <w:lang w:bidi="ar-DZ"/>
        </w:rPr>
        <w:t xml:space="preserve"> </w:t>
      </w:r>
      <w:r w:rsidRPr="00931365">
        <w:rPr>
          <w:rFonts w:ascii="Simplified Arabic" w:hAnsi="Simplified Arabic" w:cs="Simplified Arabic" w:hint="cs"/>
          <w:sz w:val="24"/>
          <w:szCs w:val="24"/>
          <w:rtl/>
          <w:lang w:bidi="ar-DZ"/>
        </w:rPr>
        <w:t>المناخ</w:t>
      </w:r>
      <w:r w:rsidRPr="0093136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p>
    <w:p w:rsidR="003E0F31" w:rsidRDefault="003E0F31" w:rsidP="003166C4">
      <w:pPr>
        <w:bidi/>
        <w:spacing w:after="0"/>
        <w:ind w:firstLine="282"/>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ت</w:t>
      </w:r>
      <w:r w:rsidRPr="00C44DF8">
        <w:rPr>
          <w:rFonts w:ascii="Simplified Arabic" w:hAnsi="Simplified Arabic" w:cs="Simplified Arabic" w:hint="cs"/>
          <w:sz w:val="24"/>
          <w:szCs w:val="24"/>
          <w:rtl/>
          <w:lang w:bidi="ar-DZ"/>
        </w:rPr>
        <w:t>هدف</w:t>
      </w:r>
      <w:r w:rsidRPr="00C44DF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جميع المناهج التي طورت تلك الاطر</w:t>
      </w:r>
      <w:r w:rsidRPr="0093136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والنماذج و</w:t>
      </w:r>
      <w:r w:rsidRPr="00931365">
        <w:rPr>
          <w:rFonts w:ascii="Simplified Arabic" w:hAnsi="Simplified Arabic" w:cs="Simplified Arabic" w:hint="cs"/>
          <w:sz w:val="24"/>
          <w:szCs w:val="24"/>
          <w:rtl/>
          <w:lang w:bidi="ar-DZ"/>
        </w:rPr>
        <w:t>ال</w:t>
      </w:r>
      <w:r>
        <w:rPr>
          <w:rFonts w:ascii="Simplified Arabic" w:hAnsi="Simplified Arabic" w:cs="Simplified Arabic" w:hint="cs"/>
          <w:sz w:val="24"/>
          <w:szCs w:val="24"/>
          <w:rtl/>
          <w:lang w:bidi="ar-DZ"/>
        </w:rPr>
        <w:t>مؤشرات الى الزيادة في دقة ت</w:t>
      </w:r>
      <w:r w:rsidRPr="00C44DF8">
        <w:rPr>
          <w:rFonts w:ascii="Simplified Arabic" w:hAnsi="Simplified Arabic" w:cs="Simplified Arabic" w:hint="cs"/>
          <w:sz w:val="24"/>
          <w:szCs w:val="24"/>
          <w:rtl/>
          <w:lang w:bidi="ar-DZ"/>
        </w:rPr>
        <w:t>فص</w:t>
      </w:r>
      <w:r>
        <w:rPr>
          <w:rFonts w:ascii="Simplified Arabic" w:hAnsi="Simplified Arabic" w:cs="Simplified Arabic" w:hint="cs"/>
          <w:sz w:val="24"/>
          <w:szCs w:val="24"/>
          <w:rtl/>
          <w:lang w:bidi="ar-DZ"/>
        </w:rPr>
        <w:t>ي</w:t>
      </w:r>
      <w:r w:rsidRPr="00C44DF8">
        <w:rPr>
          <w:rFonts w:ascii="Simplified Arabic" w:hAnsi="Simplified Arabic" w:cs="Simplified Arabic" w:hint="cs"/>
          <w:sz w:val="24"/>
          <w:szCs w:val="24"/>
          <w:rtl/>
          <w:lang w:bidi="ar-DZ"/>
        </w:rPr>
        <w:t>ل</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المرونة،</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سواء</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إضافة معايير</w:t>
      </w:r>
      <w:r>
        <w:rPr>
          <w:rFonts w:ascii="Simplified Arabic" w:hAnsi="Simplified Arabic" w:cs="Simplified Arabic" w:hint="cs"/>
          <w:sz w:val="24"/>
          <w:szCs w:val="24"/>
          <w:rtl/>
          <w:lang w:bidi="ar-DZ"/>
        </w:rPr>
        <w:t xml:space="preserve"> او مؤشرات، </w:t>
      </w:r>
      <w:r w:rsidRPr="00C44DF8">
        <w:rPr>
          <w:rFonts w:ascii="Simplified Arabic" w:hAnsi="Simplified Arabic" w:cs="Simplified Arabic" w:hint="cs"/>
          <w:sz w:val="24"/>
          <w:szCs w:val="24"/>
          <w:rtl/>
          <w:lang w:bidi="ar-DZ"/>
        </w:rPr>
        <w:t>قدرات</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أساسية</w:t>
      </w:r>
      <w:r>
        <w:rPr>
          <w:rFonts w:ascii="Simplified Arabic" w:hAnsi="Simplified Arabic" w:cs="Simplified Arabic" w:hint="cs"/>
          <w:sz w:val="24"/>
          <w:szCs w:val="24"/>
          <w:rtl/>
          <w:lang w:bidi="ar-DZ"/>
        </w:rPr>
        <w:t xml:space="preserve">، </w:t>
      </w:r>
      <w:r w:rsidRPr="00C44DF8">
        <w:rPr>
          <w:rFonts w:ascii="Simplified Arabic" w:hAnsi="Simplified Arabic" w:cs="Simplified Arabic" w:hint="cs"/>
          <w:sz w:val="24"/>
          <w:szCs w:val="24"/>
          <w:rtl/>
          <w:lang w:bidi="ar-DZ"/>
        </w:rPr>
        <w:t>خصائص</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أساسية</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أو</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في</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مراحل</w:t>
      </w:r>
      <w:r w:rsidRPr="00C44DF8">
        <w:rPr>
          <w:rFonts w:ascii="Simplified Arabic" w:hAnsi="Simplified Arabic" w:cs="Simplified Arabic"/>
          <w:sz w:val="24"/>
          <w:szCs w:val="24"/>
          <w:rtl/>
          <w:lang w:bidi="ar-DZ"/>
        </w:rPr>
        <w:t xml:space="preserve"> </w:t>
      </w:r>
      <w:r w:rsidRPr="00C44DF8">
        <w:rPr>
          <w:rFonts w:ascii="Simplified Arabic" w:hAnsi="Simplified Arabic" w:cs="Simplified Arabic" w:hint="cs"/>
          <w:sz w:val="24"/>
          <w:szCs w:val="24"/>
          <w:rtl/>
          <w:lang w:bidi="ar-DZ"/>
        </w:rPr>
        <w:t>التحليل</w:t>
      </w:r>
      <w:r w:rsidRPr="00C44DF8">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في بعض الاحيان يتم تطوير نماذج مخصصة او شاملة </w:t>
      </w:r>
      <w:r w:rsidRPr="001E38E5">
        <w:rPr>
          <w:rFonts w:ascii="Simplified Arabic" w:hAnsi="Simplified Arabic" w:cs="Simplified Arabic" w:hint="cs"/>
          <w:sz w:val="24"/>
          <w:szCs w:val="24"/>
          <w:rtl/>
          <w:lang w:bidi="ar-DZ"/>
        </w:rPr>
        <w:t>ليس</w:t>
      </w:r>
      <w:r w:rsidRPr="001E38E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فقط </w:t>
      </w:r>
      <w:r w:rsidRPr="001E38E5">
        <w:rPr>
          <w:rFonts w:ascii="Simplified Arabic" w:hAnsi="Simplified Arabic" w:cs="Simplified Arabic" w:hint="cs"/>
          <w:sz w:val="24"/>
          <w:szCs w:val="24"/>
          <w:rtl/>
          <w:lang w:bidi="ar-DZ"/>
        </w:rPr>
        <w:t>لمد</w:t>
      </w:r>
      <w:r>
        <w:rPr>
          <w:rFonts w:ascii="Simplified Arabic" w:hAnsi="Simplified Arabic" w:cs="Simplified Arabic" w:hint="cs"/>
          <w:sz w:val="24"/>
          <w:szCs w:val="24"/>
          <w:rtl/>
          <w:lang w:bidi="ar-DZ"/>
        </w:rPr>
        <w:t>ي</w:t>
      </w:r>
      <w:r w:rsidRPr="001E38E5">
        <w:rPr>
          <w:rFonts w:ascii="Simplified Arabic" w:hAnsi="Simplified Arabic" w:cs="Simplified Arabic" w:hint="cs"/>
          <w:sz w:val="24"/>
          <w:szCs w:val="24"/>
          <w:rtl/>
          <w:lang w:bidi="ar-DZ"/>
        </w:rPr>
        <w:t>ن</w:t>
      </w:r>
      <w:r>
        <w:rPr>
          <w:rFonts w:ascii="Simplified Arabic" w:hAnsi="Simplified Arabic" w:cs="Simplified Arabic" w:hint="cs"/>
          <w:sz w:val="24"/>
          <w:szCs w:val="24"/>
          <w:rtl/>
          <w:lang w:bidi="ar-DZ"/>
        </w:rPr>
        <w:t>ة</w:t>
      </w:r>
      <w:r w:rsidRPr="001E38E5">
        <w:rPr>
          <w:rFonts w:ascii="Simplified Arabic" w:hAnsi="Simplified Arabic" w:cs="Simplified Arabic"/>
          <w:sz w:val="24"/>
          <w:szCs w:val="24"/>
          <w:rtl/>
          <w:lang w:bidi="ar-DZ"/>
        </w:rPr>
        <w:t xml:space="preserve"> </w:t>
      </w:r>
      <w:r w:rsidRPr="001E38E5">
        <w:rPr>
          <w:rFonts w:ascii="Simplified Arabic" w:hAnsi="Simplified Arabic" w:cs="Simplified Arabic" w:hint="cs"/>
          <w:sz w:val="24"/>
          <w:szCs w:val="24"/>
          <w:rtl/>
          <w:lang w:bidi="ar-DZ"/>
        </w:rPr>
        <w:t>مرنة</w:t>
      </w:r>
      <w:r>
        <w:rPr>
          <w:rFonts w:ascii="Simplified Arabic" w:hAnsi="Simplified Arabic" w:cs="Simplified Arabic" w:hint="cs"/>
          <w:sz w:val="24"/>
          <w:szCs w:val="24"/>
          <w:rtl/>
          <w:lang w:bidi="ar-DZ"/>
        </w:rPr>
        <w:t xml:space="preserve"> او لإقليم </w:t>
      </w:r>
      <w:r w:rsidRPr="001E38E5">
        <w:rPr>
          <w:rFonts w:ascii="Simplified Arabic" w:hAnsi="Simplified Arabic" w:cs="Simplified Arabic" w:hint="cs"/>
          <w:sz w:val="24"/>
          <w:szCs w:val="24"/>
          <w:rtl/>
          <w:lang w:bidi="ar-DZ"/>
        </w:rPr>
        <w:t>ولكن</w:t>
      </w:r>
      <w:r>
        <w:rPr>
          <w:rFonts w:ascii="Simplified Arabic" w:hAnsi="Simplified Arabic" w:cs="Simplified Arabic" w:hint="cs"/>
          <w:sz w:val="24"/>
          <w:szCs w:val="24"/>
          <w:rtl/>
          <w:lang w:bidi="ar-DZ"/>
        </w:rPr>
        <w:t xml:space="preserve"> حتى</w:t>
      </w:r>
      <w:r w:rsidRPr="001E38E5">
        <w:rPr>
          <w:rFonts w:ascii="Simplified Arabic" w:hAnsi="Simplified Arabic" w:cs="Simplified Arabic" w:hint="cs"/>
          <w:sz w:val="24"/>
          <w:szCs w:val="24"/>
          <w:rtl/>
          <w:lang w:bidi="ar-DZ"/>
        </w:rPr>
        <w:t xml:space="preserve"> ل</w:t>
      </w:r>
      <w:r>
        <w:rPr>
          <w:rFonts w:ascii="Simplified Arabic" w:hAnsi="Simplified Arabic" w:cs="Simplified Arabic" w:hint="cs"/>
          <w:sz w:val="24"/>
          <w:szCs w:val="24"/>
          <w:rtl/>
          <w:lang w:bidi="ar-DZ"/>
        </w:rPr>
        <w:t>ن</w:t>
      </w:r>
      <w:r w:rsidRPr="001E38E5">
        <w:rPr>
          <w:rFonts w:ascii="Simplified Arabic" w:hAnsi="Simplified Arabic" w:cs="Simplified Arabic" w:hint="cs"/>
          <w:sz w:val="24"/>
          <w:szCs w:val="24"/>
          <w:rtl/>
          <w:lang w:bidi="ar-DZ"/>
        </w:rPr>
        <w:t>ظ</w:t>
      </w:r>
      <w:r>
        <w:rPr>
          <w:rFonts w:ascii="Simplified Arabic" w:hAnsi="Simplified Arabic" w:cs="Simplified Arabic" w:hint="cs"/>
          <w:sz w:val="24"/>
          <w:szCs w:val="24"/>
          <w:rtl/>
          <w:lang w:bidi="ar-DZ"/>
        </w:rPr>
        <w:t>ا</w:t>
      </w:r>
      <w:r w:rsidRPr="001E38E5">
        <w:rPr>
          <w:rFonts w:ascii="Simplified Arabic" w:hAnsi="Simplified Arabic" w:cs="Simplified Arabic" w:hint="cs"/>
          <w:sz w:val="24"/>
          <w:szCs w:val="24"/>
          <w:rtl/>
          <w:lang w:bidi="ar-DZ"/>
        </w:rPr>
        <w:t>م</w:t>
      </w:r>
      <w:r w:rsidRPr="001E38E5">
        <w:rPr>
          <w:rFonts w:ascii="Simplified Arabic" w:hAnsi="Simplified Arabic" w:cs="Simplified Arabic"/>
          <w:sz w:val="24"/>
          <w:szCs w:val="24"/>
          <w:rtl/>
          <w:lang w:bidi="ar-DZ"/>
        </w:rPr>
        <w:t xml:space="preserve"> </w:t>
      </w:r>
      <w:r w:rsidRPr="001E38E5">
        <w:rPr>
          <w:rFonts w:ascii="Simplified Arabic" w:hAnsi="Simplified Arabic" w:cs="Simplified Arabic" w:hint="cs"/>
          <w:sz w:val="24"/>
          <w:szCs w:val="24"/>
          <w:rtl/>
          <w:lang w:bidi="ar-DZ"/>
        </w:rPr>
        <w:t>مرن</w:t>
      </w:r>
      <w:r>
        <w:rPr>
          <w:rFonts w:ascii="Simplified Arabic" w:hAnsi="Simplified Arabic" w:cs="Simplified Arabic" w:hint="cs"/>
          <w:sz w:val="24"/>
          <w:szCs w:val="24"/>
          <w:rtl/>
          <w:lang w:bidi="ar-DZ"/>
        </w:rPr>
        <w:t xml:space="preserve"> معين لمدينة ما</w:t>
      </w:r>
      <w:r w:rsidRPr="001E38E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ضمن البحث الحالي، يتم تطوير نموذج مخصص </w:t>
      </w:r>
      <w:r w:rsidRPr="00E62200">
        <w:rPr>
          <w:rFonts w:ascii="Simplified Arabic" w:hAnsi="Simplified Arabic" w:cs="Simplified Arabic" w:hint="cs"/>
          <w:sz w:val="24"/>
          <w:szCs w:val="24"/>
          <w:rtl/>
          <w:lang w:bidi="ar-DZ"/>
        </w:rPr>
        <w:t xml:space="preserve">لدراسة المرونة الفيزيائية لنظام </w:t>
      </w:r>
      <w:r>
        <w:rPr>
          <w:rFonts w:ascii="Simplified Arabic" w:hAnsi="Simplified Arabic" w:cs="Simplified Arabic" w:hint="cs"/>
          <w:sz w:val="24"/>
          <w:szCs w:val="24"/>
          <w:rtl/>
          <w:lang w:bidi="ar-DZ"/>
        </w:rPr>
        <w:t>ا</w:t>
      </w:r>
      <w:r w:rsidRPr="00E62200">
        <w:rPr>
          <w:rFonts w:ascii="Simplified Arabic" w:hAnsi="Simplified Arabic" w:cs="Simplified Arabic" w:hint="cs"/>
          <w:sz w:val="24"/>
          <w:szCs w:val="24"/>
          <w:rtl/>
          <w:lang w:bidi="ar-DZ"/>
        </w:rPr>
        <w:t xml:space="preserve">لبيئة </w:t>
      </w:r>
      <w:r w:rsidR="00C62080">
        <w:rPr>
          <w:rFonts w:ascii="Simplified Arabic" w:hAnsi="Simplified Arabic" w:cs="Simplified Arabic" w:hint="cs"/>
          <w:sz w:val="24"/>
          <w:szCs w:val="24"/>
          <w:rtl/>
          <w:lang w:val="en-US"/>
        </w:rPr>
        <w:t>الحضرية</w:t>
      </w:r>
      <w:r w:rsidR="00C62080">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لاستكشاف العلاقة بين نمط </w:t>
      </w:r>
      <w:r w:rsidR="003166C4">
        <w:rPr>
          <w:rFonts w:ascii="Simplified Arabic" w:hAnsi="Simplified Arabic" w:cs="Simplified Arabic" w:hint="cs"/>
          <w:sz w:val="24"/>
          <w:szCs w:val="24"/>
          <w:rtl/>
        </w:rPr>
        <w:t>استعمال</w:t>
      </w:r>
      <w:r>
        <w:rPr>
          <w:rFonts w:ascii="Simplified Arabic" w:hAnsi="Simplified Arabic" w:cs="Simplified Arabic" w:hint="cs"/>
          <w:sz w:val="24"/>
          <w:szCs w:val="24"/>
          <w:rtl/>
          <w:lang w:bidi="ar-DZ"/>
        </w:rPr>
        <w:t xml:space="preserve"> الارض الحضرية و المرونة الحضرية</w:t>
      </w:r>
      <w:r w:rsidRPr="00E62200">
        <w:rPr>
          <w:rFonts w:ascii="Simplified Arabic" w:hAnsi="Simplified Arabic" w:cs="Simplified Arabic" w:hint="cs"/>
          <w:sz w:val="24"/>
          <w:szCs w:val="24"/>
          <w:rtl/>
          <w:lang w:bidi="ar-DZ"/>
        </w:rPr>
        <w:t>.</w:t>
      </w:r>
    </w:p>
    <w:p w:rsidR="003E0F31" w:rsidRPr="006E6239" w:rsidRDefault="003E0F31" w:rsidP="001D0548">
      <w:pPr>
        <w:pStyle w:val="Paragraphedeliste"/>
        <w:numPr>
          <w:ilvl w:val="1"/>
          <w:numId w:val="190"/>
        </w:numPr>
        <w:tabs>
          <w:tab w:val="right" w:pos="567"/>
        </w:tabs>
        <w:bidi/>
        <w:spacing w:before="240" w:after="0"/>
        <w:ind w:left="0" w:firstLine="0"/>
        <w:outlineLvl w:val="0"/>
        <w:rPr>
          <w:rFonts w:ascii="Simplified Arabic" w:hAnsi="Simplified Arabic" w:cs="Simplified Arabic"/>
          <w:b/>
          <w:bCs/>
          <w:sz w:val="24"/>
          <w:szCs w:val="24"/>
          <w:rtl/>
          <w:lang w:bidi="ar-DZ"/>
        </w:rPr>
      </w:pPr>
      <w:bookmarkStart w:id="290" w:name="_Toc171803430"/>
      <w:r w:rsidRPr="006E6239">
        <w:rPr>
          <w:rFonts w:ascii="Simplified Arabic" w:hAnsi="Simplified Arabic" w:cs="Simplified Arabic" w:hint="cs"/>
          <w:b/>
          <w:bCs/>
          <w:sz w:val="24"/>
          <w:szCs w:val="24"/>
          <w:rtl/>
          <w:lang w:bidi="ar-DZ"/>
        </w:rPr>
        <w:t>مناهج تقييم المرونة:</w:t>
      </w:r>
      <w:bookmarkEnd w:id="290"/>
    </w:p>
    <w:p w:rsidR="003E0F31" w:rsidRPr="00E91F93" w:rsidRDefault="003E0F31" w:rsidP="003E0F31">
      <w:pPr>
        <w:bidi/>
        <w:spacing w:after="0"/>
        <w:ind w:firstLine="282"/>
        <w:jc w:val="both"/>
        <w:rPr>
          <w:rFonts w:ascii="Simplified Arabic" w:hAnsi="Simplified Arabic" w:cs="Simplified Arabic"/>
          <w:color w:val="231F20"/>
          <w:sz w:val="24"/>
          <w:szCs w:val="24"/>
          <w:rtl/>
        </w:rPr>
      </w:pPr>
      <w:r w:rsidRPr="00BB4886">
        <w:rPr>
          <w:rFonts w:ascii="Simplified Arabic" w:hAnsi="Simplified Arabic" w:cs="Simplified Arabic"/>
          <w:color w:val="231F20"/>
          <w:sz w:val="24"/>
          <w:szCs w:val="24"/>
          <w:rtl/>
        </w:rPr>
        <w:t xml:space="preserve">تم اتباع مناهج مختلفة لتأطير المرونة </w:t>
      </w:r>
      <w:r>
        <w:rPr>
          <w:rFonts w:ascii="Simplified Arabic" w:hAnsi="Simplified Arabic" w:cs="Simplified Arabic" w:hint="cs"/>
          <w:color w:val="231F20"/>
          <w:sz w:val="24"/>
          <w:szCs w:val="24"/>
          <w:rtl/>
        </w:rPr>
        <w:t>و</w:t>
      </w:r>
      <w:r w:rsidRPr="00BB4886">
        <w:rPr>
          <w:rFonts w:ascii="Simplified Arabic" w:hAnsi="Simplified Arabic" w:cs="Simplified Arabic"/>
          <w:color w:val="231F20"/>
          <w:sz w:val="24"/>
          <w:szCs w:val="24"/>
          <w:rtl/>
        </w:rPr>
        <w:t>تقييمها</w:t>
      </w:r>
      <w:r>
        <w:rPr>
          <w:rFonts w:ascii="Simplified Arabic" w:hAnsi="Simplified Arabic" w:cs="Simplified Arabic" w:hint="cs"/>
          <w:color w:val="231F20"/>
          <w:sz w:val="24"/>
          <w:szCs w:val="24"/>
          <w:rtl/>
        </w:rPr>
        <w:t>،</w:t>
      </w:r>
      <w:r w:rsidRPr="00BB4886">
        <w:rPr>
          <w:rFonts w:ascii="Simplified Arabic" w:hAnsi="Simplified Arabic" w:cs="Simplified Arabic"/>
          <w:color w:val="231F20"/>
          <w:sz w:val="24"/>
          <w:szCs w:val="24"/>
          <w:rtl/>
        </w:rPr>
        <w:t xml:space="preserve"> </w:t>
      </w:r>
      <w:r>
        <w:rPr>
          <w:rFonts w:ascii="Simplified Arabic" w:hAnsi="Simplified Arabic" w:cs="Simplified Arabic" w:hint="cs"/>
          <w:color w:val="231F20"/>
          <w:sz w:val="24"/>
          <w:szCs w:val="24"/>
          <w:rtl/>
        </w:rPr>
        <w:t>اغلبها</w:t>
      </w:r>
      <w:r w:rsidRPr="00BB4886">
        <w:rPr>
          <w:rFonts w:ascii="Simplified Arabic" w:hAnsi="Simplified Arabic" w:cs="Simplified Arabic"/>
          <w:color w:val="231F20"/>
          <w:sz w:val="24"/>
          <w:szCs w:val="24"/>
          <w:rtl/>
        </w:rPr>
        <w:t xml:space="preserve"> تركز إما على الأصول أو الأنظمة الحضرية، بدرجات متفاوتة، تنظر في البنية التحتية التي </w:t>
      </w:r>
      <w:r>
        <w:rPr>
          <w:rFonts w:ascii="Simplified Arabic" w:hAnsi="Simplified Arabic" w:cs="Simplified Arabic" w:hint="cs"/>
          <w:color w:val="231F20"/>
          <w:sz w:val="24"/>
          <w:szCs w:val="24"/>
          <w:rtl/>
        </w:rPr>
        <w:t>أنشأها</w:t>
      </w:r>
      <w:r w:rsidRPr="00BB4886">
        <w:rPr>
          <w:rFonts w:ascii="Simplified Arabic" w:hAnsi="Simplified Arabic" w:cs="Simplified Arabic"/>
          <w:color w:val="231F20"/>
          <w:sz w:val="24"/>
          <w:szCs w:val="24"/>
          <w:rtl/>
        </w:rPr>
        <w:t xml:space="preserve"> الإنسان والب</w:t>
      </w:r>
      <w:r>
        <w:rPr>
          <w:rFonts w:ascii="Simplified Arabic" w:hAnsi="Simplified Arabic" w:cs="Simplified Arabic"/>
          <w:color w:val="231F20"/>
          <w:sz w:val="24"/>
          <w:szCs w:val="24"/>
          <w:rtl/>
        </w:rPr>
        <w:t>يئة الطبيعية والإدارة الحضرية و</w:t>
      </w:r>
      <w:r>
        <w:rPr>
          <w:rFonts w:ascii="Simplified Arabic" w:hAnsi="Simplified Arabic" w:cs="Simplified Arabic" w:hint="cs"/>
          <w:color w:val="231F20"/>
          <w:sz w:val="24"/>
          <w:szCs w:val="24"/>
          <w:rtl/>
        </w:rPr>
        <w:t xml:space="preserve">ما الى ذلك. </w:t>
      </w:r>
      <w:r w:rsidRPr="00E91F93">
        <w:rPr>
          <w:rFonts w:ascii="Simplified Arabic" w:hAnsi="Simplified Arabic" w:cs="Simplified Arabic" w:hint="cs"/>
          <w:color w:val="231F20"/>
          <w:sz w:val="24"/>
          <w:szCs w:val="24"/>
          <w:rtl/>
        </w:rPr>
        <w:t>يشير</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بعض</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المؤلفين</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أيضًا</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إلى</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أن</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هناك</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أكثر</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من</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أربعين</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نموذجًا</w:t>
      </w:r>
      <w:r w:rsidRPr="00E91F93">
        <w:rPr>
          <w:rFonts w:ascii="Simplified Arabic" w:hAnsi="Simplified Arabic" w:cs="Simplified Arabic"/>
          <w:color w:val="231F20"/>
          <w:sz w:val="24"/>
          <w:szCs w:val="24"/>
          <w:rtl/>
        </w:rPr>
        <w:t xml:space="preserve"> (</w:t>
      </w:r>
      <w:r w:rsidRPr="00507DB0">
        <w:rPr>
          <w:rFonts w:asciiTheme="majorBidi" w:hAnsiTheme="majorBidi" w:cstheme="majorBidi"/>
          <w:color w:val="231F20"/>
          <w:sz w:val="24"/>
          <w:szCs w:val="24"/>
        </w:rPr>
        <w:t>Bahadur</w:t>
      </w:r>
      <w:r w:rsidRPr="00E91F93">
        <w:rPr>
          <w:rFonts w:asciiTheme="majorBidi" w:hAnsiTheme="majorBidi" w:cstheme="majorBidi"/>
          <w:color w:val="231F20"/>
          <w:sz w:val="24"/>
          <w:szCs w:val="24"/>
        </w:rPr>
        <w:t xml:space="preserve"> et al., 2015</w:t>
      </w:r>
      <w:r w:rsidRPr="00E91F93">
        <w:rPr>
          <w:rFonts w:asciiTheme="majorBidi" w:hAnsiTheme="majorBidi" w:cstheme="majorBidi"/>
          <w:color w:val="231F20"/>
          <w:sz w:val="24"/>
          <w:szCs w:val="24"/>
          <w:rtl/>
        </w:rPr>
        <w:t>)</w:t>
      </w:r>
      <w:r>
        <w:rPr>
          <w:rFonts w:ascii="Simplified Arabic" w:hAnsi="Simplified Arabic" w:cs="Simplified Arabic" w:hint="cs"/>
          <w:color w:val="231F20"/>
          <w:sz w:val="24"/>
          <w:szCs w:val="24"/>
          <w:rtl/>
        </w:rPr>
        <w:t xml:space="preserve"> و</w:t>
      </w:r>
      <w:r w:rsidRPr="00E91F93">
        <w:rPr>
          <w:rFonts w:ascii="Simplified Arabic" w:hAnsi="Simplified Arabic" w:cs="Simplified Arabic" w:hint="cs"/>
          <w:color w:val="231F20"/>
          <w:sz w:val="24"/>
          <w:szCs w:val="24"/>
          <w:rtl/>
        </w:rPr>
        <w:t>إلى</w:t>
      </w:r>
      <w:r>
        <w:rPr>
          <w:rFonts w:ascii="Simplified Arabic" w:hAnsi="Simplified Arabic" w:cs="Simplified Arabic" w:hint="cs"/>
          <w:color w:val="231F20"/>
          <w:sz w:val="24"/>
          <w:szCs w:val="24"/>
          <w:rtl/>
        </w:rPr>
        <w:t xml:space="preserve"> وجود اكثر من</w:t>
      </w:r>
      <w:r w:rsidRPr="00E91F93">
        <w:rPr>
          <w:rFonts w:ascii="Simplified Arabic" w:hAnsi="Simplified Arabic" w:cs="Simplified Arabic"/>
          <w:color w:val="231F20"/>
          <w:sz w:val="24"/>
          <w:szCs w:val="24"/>
          <w:rtl/>
        </w:rPr>
        <w:t xml:space="preserve"> 1647 </w:t>
      </w:r>
      <w:r w:rsidRPr="00E91F93">
        <w:rPr>
          <w:rFonts w:ascii="Simplified Arabic" w:hAnsi="Simplified Arabic" w:cs="Simplified Arabic" w:hint="cs"/>
          <w:color w:val="231F20"/>
          <w:sz w:val="24"/>
          <w:szCs w:val="24"/>
          <w:rtl/>
        </w:rPr>
        <w:t>منشورًا</w:t>
      </w:r>
      <w:r w:rsidRPr="00E91F93">
        <w:rPr>
          <w:rFonts w:ascii="Simplified Arabic" w:hAnsi="Simplified Arabic" w:cs="Simplified Arabic"/>
          <w:color w:val="231F20"/>
          <w:sz w:val="24"/>
          <w:szCs w:val="24"/>
          <w:rtl/>
        </w:rPr>
        <w:t xml:space="preserve"> </w:t>
      </w:r>
      <w:r>
        <w:rPr>
          <w:rFonts w:ascii="Simplified Arabic" w:hAnsi="Simplified Arabic" w:cs="Simplified Arabic" w:hint="cs"/>
          <w:color w:val="231F20"/>
          <w:sz w:val="24"/>
          <w:szCs w:val="24"/>
          <w:rtl/>
        </w:rPr>
        <w:t>علميا يخص موضوع المرونة الحضرية في</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الفترة</w:t>
      </w:r>
      <w:r w:rsidRPr="00E91F93">
        <w:rPr>
          <w:rFonts w:ascii="Simplified Arabic" w:hAnsi="Simplified Arabic" w:cs="Simplified Arabic"/>
          <w:color w:val="231F20"/>
          <w:sz w:val="24"/>
          <w:szCs w:val="24"/>
          <w:rtl/>
        </w:rPr>
        <w:t xml:space="preserve"> </w:t>
      </w:r>
      <w:r w:rsidRPr="00E91F93">
        <w:rPr>
          <w:rFonts w:ascii="Simplified Arabic" w:hAnsi="Simplified Arabic" w:cs="Simplified Arabic" w:hint="cs"/>
          <w:color w:val="231F20"/>
          <w:sz w:val="24"/>
          <w:szCs w:val="24"/>
          <w:rtl/>
        </w:rPr>
        <w:t>من</w:t>
      </w:r>
      <w:r>
        <w:rPr>
          <w:rFonts w:ascii="Simplified Arabic" w:hAnsi="Simplified Arabic" w:cs="Simplified Arabic" w:hint="cs"/>
          <w:color w:val="231F20"/>
          <w:sz w:val="24"/>
          <w:szCs w:val="24"/>
          <w:rtl/>
        </w:rPr>
        <w:t xml:space="preserve"> سنة</w:t>
      </w:r>
      <w:r w:rsidRPr="00E91F93">
        <w:rPr>
          <w:rFonts w:ascii="Simplified Arabic" w:hAnsi="Simplified Arabic" w:cs="Simplified Arabic"/>
          <w:color w:val="231F20"/>
          <w:sz w:val="24"/>
          <w:szCs w:val="24"/>
          <w:rtl/>
        </w:rPr>
        <w:t xml:space="preserve"> 2011 </w:t>
      </w:r>
      <w:r w:rsidRPr="00E91F93">
        <w:rPr>
          <w:rFonts w:ascii="Simplified Arabic" w:hAnsi="Simplified Arabic" w:cs="Simplified Arabic" w:hint="cs"/>
          <w:color w:val="231F20"/>
          <w:sz w:val="24"/>
          <w:szCs w:val="24"/>
          <w:rtl/>
        </w:rPr>
        <w:t>إلى</w:t>
      </w:r>
      <w:r w:rsidRPr="00E91F93">
        <w:rPr>
          <w:rFonts w:ascii="Simplified Arabic" w:hAnsi="Simplified Arabic" w:cs="Simplified Arabic"/>
          <w:color w:val="231F20"/>
          <w:sz w:val="24"/>
          <w:szCs w:val="24"/>
          <w:rtl/>
        </w:rPr>
        <w:t xml:space="preserve"> 2021</w:t>
      </w:r>
      <w:r>
        <w:rPr>
          <w:rFonts w:ascii="Simplified Arabic" w:hAnsi="Simplified Arabic" w:cs="Simplified Arabic" w:hint="cs"/>
          <w:color w:val="231F20"/>
          <w:sz w:val="24"/>
          <w:szCs w:val="24"/>
          <w:rtl/>
        </w:rPr>
        <w:t xml:space="preserve">. </w:t>
      </w:r>
      <w:r w:rsidRPr="00F80021">
        <w:rPr>
          <w:rFonts w:ascii="Simplified Arabic" w:hAnsi="Simplified Arabic" w:cs="Simplified Arabic" w:hint="cs"/>
          <w:color w:val="231F20"/>
          <w:sz w:val="24"/>
          <w:szCs w:val="24"/>
          <w:rtl/>
        </w:rPr>
        <w:t>تميل</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معظم</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أطر</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المرونة</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إلى</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التركيز</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على</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الميزات</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التي</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تقلل</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المخاطر</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وتزيد</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من</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القدرة</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على</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التعافي</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بسرعة،</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ويميل</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بعضها</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نحو</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ميزة واحدة</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فقط</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أو</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عدد</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محدود</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من</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الأبعاد</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التي</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تفشل</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في</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231F20"/>
          <w:sz w:val="24"/>
          <w:szCs w:val="24"/>
          <w:rtl/>
        </w:rPr>
        <w:t>أخذ</w:t>
      </w:r>
      <w:r w:rsidRPr="00F80021">
        <w:rPr>
          <w:rFonts w:ascii="Simplified Arabic" w:hAnsi="Simplified Arabic" w:cs="Simplified Arabic"/>
          <w:color w:val="231F20"/>
          <w:sz w:val="24"/>
          <w:szCs w:val="24"/>
          <w:rtl/>
        </w:rPr>
        <w:t xml:space="preserve"> </w:t>
      </w:r>
      <w:r w:rsidRPr="00F80021">
        <w:rPr>
          <w:rFonts w:ascii="Simplified Arabic" w:hAnsi="Simplified Arabic" w:cs="Simplified Arabic" w:hint="cs"/>
          <w:color w:val="000000" w:themeColor="text1"/>
          <w:sz w:val="24"/>
          <w:szCs w:val="24"/>
          <w:rtl/>
        </w:rPr>
        <w:t>نظرة</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أوسع</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للمفهوم</w:t>
      </w:r>
      <w:r w:rsidRPr="00F80021">
        <w:rPr>
          <w:rFonts w:asciiTheme="minorBidi" w:hAnsiTheme="minorBidi" w:cs="Arial"/>
          <w:color w:val="000000" w:themeColor="text1"/>
          <w:sz w:val="24"/>
          <w:szCs w:val="24"/>
          <w:rtl/>
          <w:lang w:bidi="ar-DZ"/>
        </w:rPr>
        <w:t xml:space="preserve"> </w:t>
      </w:r>
      <w:r w:rsidRPr="00F80021">
        <w:rPr>
          <w:rFonts w:asciiTheme="majorBidi" w:hAnsiTheme="majorBidi" w:cstheme="majorBidi"/>
          <w:color w:val="000000" w:themeColor="text1"/>
          <w:sz w:val="24"/>
          <w:szCs w:val="24"/>
          <w:rtl/>
          <w:lang w:bidi="ar-DZ"/>
        </w:rPr>
        <w:t>(</w:t>
      </w:r>
      <w:r w:rsidRPr="00507DB0">
        <w:rPr>
          <w:rFonts w:asciiTheme="majorBidi" w:hAnsiTheme="majorBidi" w:cstheme="majorBidi"/>
          <w:color w:val="000000" w:themeColor="text1"/>
          <w:sz w:val="24"/>
          <w:szCs w:val="24"/>
        </w:rPr>
        <w:t>Mayunga</w:t>
      </w:r>
      <w:r w:rsidRPr="00F80021">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r w:rsidRPr="00F80021">
        <w:rPr>
          <w:rFonts w:asciiTheme="majorBidi" w:hAnsiTheme="majorBidi" w:cstheme="majorBidi"/>
          <w:color w:val="000000" w:themeColor="text1"/>
          <w:sz w:val="24"/>
          <w:szCs w:val="24"/>
        </w:rPr>
        <w:t>2007</w:t>
      </w:r>
      <w:r w:rsidRPr="00F80021">
        <w:rPr>
          <w:rFonts w:asciiTheme="majorBidi" w:hAnsiTheme="majorBidi" w:cstheme="majorBidi"/>
          <w:color w:val="000000" w:themeColor="text1"/>
          <w:sz w:val="24"/>
          <w:szCs w:val="24"/>
          <w:rtl/>
          <w:lang w:bidi="ar-DZ"/>
        </w:rPr>
        <w:t>)</w:t>
      </w:r>
      <w:r w:rsidRPr="00F80021">
        <w:rPr>
          <w:rFonts w:ascii="Simplified Arabic" w:hAnsi="Simplified Arabic" w:cs="Simplified Arabic"/>
          <w:color w:val="000000" w:themeColor="text1"/>
          <w:sz w:val="24"/>
          <w:szCs w:val="24"/>
          <w:rtl/>
        </w:rPr>
        <w:t>.</w:t>
      </w:r>
      <w:r>
        <w:rPr>
          <w:rFonts w:ascii="Simplified Arabic" w:hAnsi="Simplified Arabic" w:cs="Simplified Arabic" w:hint="cs"/>
          <w:color w:val="000000" w:themeColor="text1"/>
          <w:sz w:val="24"/>
          <w:szCs w:val="24"/>
          <w:rtl/>
        </w:rPr>
        <w:t xml:space="preserve"> </w:t>
      </w:r>
    </w:p>
    <w:p w:rsidR="003E0F31" w:rsidRDefault="003E0F31" w:rsidP="00C62080">
      <w:pPr>
        <w:bidi/>
        <w:spacing w:after="0"/>
        <w:ind w:firstLine="282"/>
        <w:jc w:val="both"/>
        <w:rPr>
          <w:rFonts w:ascii="Simplified Arabic" w:hAnsi="Simplified Arabic" w:cs="Simplified Arabic"/>
          <w:color w:val="000000" w:themeColor="text1"/>
          <w:sz w:val="24"/>
          <w:szCs w:val="24"/>
          <w:rtl/>
        </w:rPr>
      </w:pPr>
      <w:r w:rsidRPr="00507DB0">
        <w:rPr>
          <w:rFonts w:ascii="Simplified Arabic" w:hAnsi="Simplified Arabic" w:cs="Simplified Arabic" w:hint="cs"/>
          <w:color w:val="231F20"/>
          <w:sz w:val="24"/>
          <w:szCs w:val="24"/>
          <w:rtl/>
        </w:rPr>
        <w:t>في هذا الاطار نشر</w:t>
      </w:r>
      <w:r w:rsidRPr="00507DB0">
        <w:rPr>
          <w:rFonts w:ascii="Simplified Arabic" w:hAnsi="Simplified Arabic" w:cs="Simplified Arabic" w:hint="cs"/>
          <w:color w:val="231F20"/>
          <w:sz w:val="24"/>
          <w:szCs w:val="24"/>
          <w:rtl/>
          <w:lang w:bidi="ar-DZ"/>
        </w:rPr>
        <w:t xml:space="preserve"> </w:t>
      </w:r>
      <w:r w:rsidRPr="00507DB0">
        <w:rPr>
          <w:rFonts w:asciiTheme="majorBidi" w:hAnsiTheme="majorBidi" w:cstheme="majorBidi"/>
          <w:color w:val="231F20"/>
          <w:sz w:val="24"/>
          <w:szCs w:val="24"/>
        </w:rPr>
        <w:t>Tyler &amp; Moench, 2012</w:t>
      </w:r>
      <w:r w:rsidRPr="00507DB0">
        <w:rPr>
          <w:rFonts w:ascii="Simplified Arabic" w:hAnsi="Simplified Arabic" w:cs="Simplified Arabic"/>
          <w:color w:val="231F20"/>
          <w:sz w:val="24"/>
          <w:szCs w:val="24"/>
        </w:rPr>
        <w:t>)</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مراجعة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تستند</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إلى</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تطوير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المفهوم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العام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لمرونة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المناخ</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الحضري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في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إطار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تشغيلي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للمخططين</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يجمع</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الإطار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بين</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المعرفة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النظرية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والتجريبية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للعوامل</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التي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تساهم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في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المرونة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مع</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عملية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ترجمة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هذه</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المفاهيم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إلى</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ممارسة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 xml:space="preserve">في البحث الحالي، العوامل المستخدمة في تقييم المرونة هي تلك المعايير والخصائص التي ترفع من </w:t>
      </w:r>
      <w:r w:rsidR="00C62080">
        <w:rPr>
          <w:rFonts w:ascii="Simplified Arabic" w:hAnsi="Simplified Arabic" w:cs="Simplified Arabic" w:hint="cs"/>
          <w:color w:val="231F20"/>
          <w:sz w:val="24"/>
          <w:szCs w:val="24"/>
          <w:rtl/>
        </w:rPr>
        <w:t>ال</w:t>
      </w:r>
      <w:r w:rsidRPr="00507DB0">
        <w:rPr>
          <w:rFonts w:ascii="Simplified Arabic" w:hAnsi="Simplified Arabic" w:cs="Simplified Arabic" w:hint="cs"/>
          <w:color w:val="231F20"/>
          <w:sz w:val="24"/>
          <w:szCs w:val="24"/>
          <w:rtl/>
        </w:rPr>
        <w:t xml:space="preserve">قدرة </w:t>
      </w:r>
      <w:r w:rsidR="00C62080">
        <w:rPr>
          <w:rFonts w:ascii="Simplified Arabic" w:hAnsi="Simplified Arabic" w:cs="Simplified Arabic" w:hint="cs"/>
          <w:color w:val="231F20"/>
          <w:sz w:val="24"/>
          <w:szCs w:val="24"/>
          <w:rtl/>
        </w:rPr>
        <w:t xml:space="preserve">على </w:t>
      </w:r>
      <w:r w:rsidRPr="00507DB0">
        <w:rPr>
          <w:rFonts w:ascii="Simplified Arabic" w:hAnsi="Simplified Arabic" w:cs="Simplified Arabic" w:hint="cs"/>
          <w:color w:val="231F20"/>
          <w:sz w:val="24"/>
          <w:szCs w:val="24"/>
          <w:rtl/>
        </w:rPr>
        <w:t xml:space="preserve">استجابة </w:t>
      </w:r>
      <w:r w:rsidR="00C62080">
        <w:rPr>
          <w:rFonts w:ascii="Simplified Arabic" w:hAnsi="Simplified Arabic" w:cs="Simplified Arabic" w:hint="cs"/>
          <w:color w:val="231F20"/>
          <w:sz w:val="24"/>
          <w:szCs w:val="24"/>
          <w:rtl/>
        </w:rPr>
        <w:t>ا</w:t>
      </w:r>
      <w:r w:rsidRPr="00507DB0">
        <w:rPr>
          <w:rFonts w:ascii="Simplified Arabic" w:hAnsi="Simplified Arabic" w:cs="Simplified Arabic" w:hint="cs"/>
          <w:color w:val="231F20"/>
          <w:sz w:val="24"/>
          <w:szCs w:val="24"/>
          <w:rtl/>
        </w:rPr>
        <w:t xml:space="preserve">لبيئة </w:t>
      </w:r>
      <w:r w:rsidR="00C62080">
        <w:rPr>
          <w:rFonts w:ascii="Simplified Arabic" w:hAnsi="Simplified Arabic" w:cs="Simplified Arabic" w:hint="cs"/>
          <w:sz w:val="24"/>
          <w:szCs w:val="24"/>
          <w:rtl/>
          <w:lang w:val="en-US"/>
        </w:rPr>
        <w:t>الحضرية</w:t>
      </w:r>
      <w:r w:rsidRPr="00507DB0">
        <w:rPr>
          <w:rFonts w:ascii="Simplified Arabic" w:hAnsi="Simplified Arabic" w:cs="Simplified Arabic" w:hint="cs"/>
          <w:color w:val="231F20"/>
          <w:sz w:val="24"/>
          <w:szCs w:val="24"/>
          <w:rtl/>
        </w:rPr>
        <w:t>. تم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إثبات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جدوى</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إطار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العمل</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التشغيلي المقترح</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من</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خلال</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الأنشطة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النموذجية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لتخطيط</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المرونة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لمواجهة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الكوارث</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التي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نُفِّذت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في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عشر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مدن</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آسيوية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بتمويل</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من</w:t>
      </w:r>
      <w:r w:rsidR="001C401E" w:rsidRPr="00507DB0">
        <w:rPr>
          <w:rFonts w:ascii="Simplified Arabic" w:hAnsi="Simplified Arabic" w:cs="Simplified Arabic"/>
          <w:color w:val="231F20"/>
          <w:sz w:val="24"/>
          <w:szCs w:val="24"/>
        </w:rPr>
        <w:t xml:space="preserve"> </w:t>
      </w:r>
      <w:r w:rsidRPr="00507DB0">
        <w:rPr>
          <w:rFonts w:ascii="Simplified Arabic" w:hAnsi="Simplified Arabic" w:cs="Simplified Arabic" w:hint="cs"/>
          <w:color w:val="231F20"/>
          <w:sz w:val="24"/>
          <w:szCs w:val="24"/>
          <w:rtl/>
        </w:rPr>
        <w:t>مؤسسة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روكفلر</w:t>
      </w:r>
      <w:r w:rsidRPr="00507DB0">
        <w:rPr>
          <w:rFonts w:asciiTheme="majorBidi" w:hAnsiTheme="majorBidi" w:cstheme="majorBidi" w:hint="cs"/>
          <w:color w:val="231F20"/>
          <w:sz w:val="24"/>
          <w:szCs w:val="24"/>
          <w:rtl/>
        </w:rPr>
        <w:t>(</w:t>
      </w:r>
      <w:r w:rsidRPr="00507DB0">
        <w:rPr>
          <w:rFonts w:asciiTheme="majorBidi" w:hAnsiTheme="majorBidi" w:cstheme="majorBidi"/>
          <w:color w:val="231F20"/>
          <w:sz w:val="24"/>
          <w:szCs w:val="24"/>
        </w:rPr>
        <w:t>Fondation Rockefeller</w:t>
      </w:r>
      <w:r w:rsidR="001C401E" w:rsidRPr="00507DB0">
        <w:rPr>
          <w:rFonts w:asciiTheme="majorBidi" w:hAnsiTheme="majorBidi" w:cstheme="majorBidi"/>
          <w:color w:val="231F20"/>
          <w:sz w:val="24"/>
          <w:szCs w:val="24"/>
        </w:rPr>
        <w:t>, 2016</w:t>
      </w:r>
      <w:r w:rsidRPr="00507DB0">
        <w:rPr>
          <w:rFonts w:asciiTheme="majorBidi" w:hAnsiTheme="majorBidi" w:cstheme="majorBidi" w:hint="cs"/>
          <w:color w:val="231F20"/>
          <w:sz w:val="24"/>
          <w:szCs w:val="24"/>
          <w:rtl/>
        </w:rPr>
        <w:t>)</w:t>
      </w:r>
      <w:r w:rsidRPr="00507DB0">
        <w:rPr>
          <w:rFonts w:asciiTheme="majorBidi" w:hAnsiTheme="majorBidi" w:cstheme="majorBidi"/>
          <w:color w:val="231F20"/>
          <w:sz w:val="24"/>
          <w:szCs w:val="24"/>
          <w:rtl/>
        </w:rPr>
        <w:t>.</w:t>
      </w:r>
      <w:r w:rsidRPr="00507DB0">
        <w:rPr>
          <w:rFonts w:ascii="Simplified Arabic" w:hAnsi="Simplified Arabic" w:cs="Simplified Arabic" w:hint="cs"/>
          <w:color w:val="231F20"/>
          <w:sz w:val="24"/>
          <w:szCs w:val="24"/>
          <w:rtl/>
        </w:rPr>
        <w:t xml:space="preserve"> بينما</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تطوير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البعض</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الآخر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في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سياق</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وطني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أو</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دون</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الوطني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على</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سبيل</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المثال،</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مؤشر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المرونة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الأسترالية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للكوارث</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الطبيعية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و</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مؤشر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محلي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لمقاومة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الكوارث</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للمجتمعات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الساحلية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في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الفلبين</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إضافة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إلى</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المؤشرات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المدرجة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في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تقييمات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المرونة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الشاملة،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تشتمل</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بعض</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المؤشرات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على</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تحليلات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شاملة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لتقييم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المرونة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 xml:space="preserve">الخاصة </w:t>
      </w:r>
      <w:r w:rsidRPr="00507DB0">
        <w:rPr>
          <w:rFonts w:ascii="Simplified Arabic" w:hAnsi="Simplified Arabic" w:cs="Simplified Arabic" w:hint="cs"/>
          <w:color w:val="231F20"/>
          <w:sz w:val="24"/>
          <w:szCs w:val="24"/>
          <w:rtl/>
        </w:rPr>
        <w:lastRenderedPageBreak/>
        <w:t>بالمجتمع</w:t>
      </w:r>
      <w:r w:rsidRPr="00507DB0">
        <w:rPr>
          <w:rFonts w:asciiTheme="minorBidi" w:hAnsiTheme="minorBidi" w:cs="Arial"/>
          <w:sz w:val="28"/>
          <w:szCs w:val="28"/>
          <w:rtl/>
          <w:lang w:val="en-US"/>
        </w:rPr>
        <w:t xml:space="preserve"> </w:t>
      </w:r>
      <w:r w:rsidRPr="00507DB0">
        <w:rPr>
          <w:rFonts w:asciiTheme="majorBidi" w:hAnsiTheme="majorBidi" w:cstheme="majorBidi"/>
          <w:sz w:val="24"/>
          <w:szCs w:val="24"/>
          <w:rtl/>
          <w:lang w:val="en-US"/>
        </w:rPr>
        <w:t>(</w:t>
      </w:r>
      <w:r w:rsidRPr="00507DB0">
        <w:rPr>
          <w:rFonts w:asciiTheme="majorBidi" w:hAnsiTheme="majorBidi" w:cstheme="majorBidi"/>
          <w:sz w:val="24"/>
          <w:szCs w:val="24"/>
          <w:lang w:val="en-US"/>
        </w:rPr>
        <w:t>Cutter, 2016</w:t>
      </w:r>
      <w:r w:rsidRPr="00507DB0">
        <w:rPr>
          <w:rFonts w:asciiTheme="majorBidi" w:hAnsiTheme="majorBidi" w:cstheme="majorBidi"/>
          <w:sz w:val="24"/>
          <w:szCs w:val="24"/>
          <w:rtl/>
          <w:lang w:val="en-US"/>
        </w:rPr>
        <w:t>)</w:t>
      </w:r>
      <w:r w:rsidRPr="00507DB0">
        <w:rPr>
          <w:rFonts w:asciiTheme="majorBidi" w:hAnsiTheme="majorBidi" w:cstheme="majorBidi" w:hint="cs"/>
          <w:sz w:val="24"/>
          <w:szCs w:val="24"/>
          <w:rtl/>
          <w:lang w:val="en-US"/>
        </w:rPr>
        <w:t>،</w:t>
      </w:r>
      <w:r w:rsidRPr="00507DB0">
        <w:rPr>
          <w:rFonts w:asciiTheme="minorBidi" w:hAnsiTheme="minorBidi" w:cs="Arial"/>
          <w:sz w:val="28"/>
          <w:szCs w:val="28"/>
          <w:rtl/>
          <w:lang w:val="en-US"/>
        </w:rPr>
        <w:t xml:space="preserve"> </w:t>
      </w:r>
      <w:r w:rsidRPr="00507DB0">
        <w:rPr>
          <w:rFonts w:ascii="Simplified Arabic" w:hAnsi="Simplified Arabic" w:cs="Simplified Arabic" w:hint="cs"/>
          <w:color w:val="231F20"/>
          <w:sz w:val="24"/>
          <w:szCs w:val="24"/>
          <w:rtl/>
        </w:rPr>
        <w:t>وقائمة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واسعة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من</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المؤشرات</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التي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تم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أخذها</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في</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الاعتبار</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لتقييم</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المرونة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المعروفة</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لدى</w:t>
      </w:r>
      <w:r w:rsidRPr="00507DB0">
        <w:rPr>
          <w:rFonts w:ascii="Simplified Arabic" w:hAnsi="Simplified Arabic" w:cs="Simplified Arabic"/>
          <w:color w:val="231F20"/>
          <w:sz w:val="24"/>
          <w:szCs w:val="24"/>
          <w:rtl/>
        </w:rPr>
        <w:t xml:space="preserve"> </w:t>
      </w:r>
      <w:r w:rsidRPr="00507DB0">
        <w:rPr>
          <w:rFonts w:ascii="Simplified Arabic" w:hAnsi="Simplified Arabic" w:cs="Simplified Arabic" w:hint="cs"/>
          <w:color w:val="231F20"/>
          <w:sz w:val="24"/>
          <w:szCs w:val="24"/>
          <w:rtl/>
        </w:rPr>
        <w:t>المجتمعات</w:t>
      </w:r>
      <w:r w:rsidRPr="00507DB0">
        <w:rPr>
          <w:rFonts w:asciiTheme="minorBidi" w:hAnsiTheme="minorBidi" w:cs="Arial"/>
          <w:sz w:val="28"/>
          <w:szCs w:val="28"/>
          <w:rtl/>
          <w:lang w:val="en-US"/>
        </w:rPr>
        <w:t xml:space="preserve"> </w:t>
      </w:r>
      <w:r w:rsidRPr="00507DB0">
        <w:rPr>
          <w:rFonts w:asciiTheme="majorBidi" w:hAnsiTheme="majorBidi" w:cstheme="majorBidi"/>
          <w:sz w:val="24"/>
          <w:szCs w:val="24"/>
          <w:rtl/>
          <w:lang w:val="en-US"/>
        </w:rPr>
        <w:t>(</w:t>
      </w:r>
      <w:r w:rsidR="002A01D3" w:rsidRPr="00507DB0">
        <w:rPr>
          <w:rFonts w:asciiTheme="majorBidi" w:hAnsiTheme="majorBidi" w:cstheme="majorBidi"/>
          <w:sz w:val="24"/>
          <w:szCs w:val="24"/>
          <w:lang w:val="en-US"/>
        </w:rPr>
        <w:t>2014</w:t>
      </w:r>
      <w:r w:rsidRPr="00507DB0">
        <w:rPr>
          <w:rFonts w:asciiTheme="majorBidi" w:hAnsiTheme="majorBidi" w:cstheme="majorBidi"/>
          <w:sz w:val="24"/>
          <w:szCs w:val="24"/>
          <w:rtl/>
          <w:lang w:val="en-US"/>
        </w:rPr>
        <w:t xml:space="preserve"> </w:t>
      </w:r>
      <w:r w:rsidRPr="00507DB0">
        <w:rPr>
          <w:rFonts w:asciiTheme="majorBidi" w:hAnsiTheme="majorBidi" w:cstheme="majorBidi"/>
          <w:sz w:val="24"/>
          <w:szCs w:val="24"/>
          <w:lang w:val="en-US"/>
        </w:rPr>
        <w:t>Burton</w:t>
      </w:r>
      <w:r w:rsidR="002A01D3" w:rsidRPr="00507DB0">
        <w:rPr>
          <w:rFonts w:asciiTheme="majorBidi" w:hAnsiTheme="majorBidi" w:cstheme="majorBidi"/>
          <w:sz w:val="24"/>
          <w:szCs w:val="24"/>
          <w:lang w:val="en-US"/>
        </w:rPr>
        <w:t>,</w:t>
      </w:r>
      <w:r w:rsidRPr="00507DB0">
        <w:rPr>
          <w:rFonts w:asciiTheme="majorBidi" w:hAnsiTheme="majorBidi" w:cstheme="majorBidi"/>
          <w:sz w:val="24"/>
          <w:szCs w:val="24"/>
          <w:rtl/>
          <w:lang w:val="en-US"/>
        </w:rPr>
        <w:t xml:space="preserve"> </w:t>
      </w:r>
      <w:r w:rsidR="002A01D3" w:rsidRPr="00507DB0">
        <w:rPr>
          <w:rFonts w:asciiTheme="majorBidi" w:hAnsiTheme="majorBidi" w:cstheme="majorBidi"/>
          <w:sz w:val="24"/>
          <w:szCs w:val="24"/>
          <w:lang w:val="en-US"/>
        </w:rPr>
        <w:t xml:space="preserve">Cutter &amp; </w:t>
      </w:r>
      <w:r w:rsidRPr="00507DB0">
        <w:rPr>
          <w:rFonts w:asciiTheme="majorBidi" w:hAnsiTheme="majorBidi" w:cstheme="majorBidi"/>
          <w:sz w:val="24"/>
          <w:szCs w:val="24"/>
          <w:lang w:val="en-US"/>
        </w:rPr>
        <w:t>Emrich</w:t>
      </w:r>
      <w:r w:rsidR="002A01D3" w:rsidRPr="00507DB0">
        <w:rPr>
          <w:rFonts w:asciiTheme="majorBidi" w:hAnsiTheme="majorBidi" w:cstheme="majorBidi"/>
          <w:sz w:val="24"/>
          <w:szCs w:val="24"/>
          <w:lang w:val="en-US"/>
        </w:rPr>
        <w:t>, 2010;</w:t>
      </w:r>
      <w:r w:rsidRPr="00507DB0">
        <w:rPr>
          <w:rFonts w:asciiTheme="majorBidi" w:hAnsiTheme="majorBidi" w:cstheme="majorBidi"/>
          <w:sz w:val="24"/>
          <w:szCs w:val="24"/>
          <w:rtl/>
          <w:lang w:val="en-US"/>
        </w:rPr>
        <w:t>)</w:t>
      </w:r>
      <w:r w:rsidRPr="00507DB0">
        <w:rPr>
          <w:rFonts w:ascii="Simplified Arabic" w:hAnsi="Simplified Arabic" w:cs="Simplified Arabic"/>
          <w:color w:val="231F20"/>
          <w:sz w:val="24"/>
          <w:szCs w:val="24"/>
          <w:rtl/>
        </w:rPr>
        <w:t>.</w:t>
      </w:r>
      <w:r w:rsidRPr="00507DB0">
        <w:rPr>
          <w:rFonts w:ascii="Simplified Arabic" w:hAnsi="Simplified Arabic" w:cs="Simplified Arabic" w:hint="cs"/>
          <w:color w:val="231F20"/>
          <w:sz w:val="24"/>
          <w:szCs w:val="24"/>
          <w:rtl/>
        </w:rPr>
        <w:t xml:space="preserve"> </w:t>
      </w:r>
      <w:r w:rsidRPr="00507DB0">
        <w:rPr>
          <w:rFonts w:ascii="Simplified Arabic" w:hAnsi="Simplified Arabic" w:cs="Simplified Arabic" w:hint="cs"/>
          <w:color w:val="000000" w:themeColor="text1"/>
          <w:sz w:val="24"/>
          <w:szCs w:val="24"/>
          <w:rtl/>
        </w:rPr>
        <w:t>يقدم</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هذا</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الق</w:t>
      </w:r>
      <w:r w:rsidRPr="00F80021">
        <w:rPr>
          <w:rFonts w:ascii="Simplified Arabic" w:hAnsi="Simplified Arabic" w:cs="Simplified Arabic" w:hint="cs"/>
          <w:color w:val="000000" w:themeColor="text1"/>
          <w:sz w:val="24"/>
          <w:szCs w:val="24"/>
          <w:rtl/>
        </w:rPr>
        <w:t>سم</w:t>
      </w:r>
      <w:r w:rsidRPr="00F80021">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 xml:space="preserve">بعض المناهج التي تم تناولها </w:t>
      </w:r>
      <w:r w:rsidRPr="00F80021">
        <w:rPr>
          <w:rFonts w:ascii="Simplified Arabic" w:hAnsi="Simplified Arabic" w:cs="Simplified Arabic" w:hint="cs"/>
          <w:color w:val="000000" w:themeColor="text1"/>
          <w:sz w:val="24"/>
          <w:szCs w:val="24"/>
          <w:rtl/>
        </w:rPr>
        <w:t>لتطوير</w:t>
      </w:r>
      <w:r w:rsidRPr="00F80021">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اطر و</w:t>
      </w:r>
      <w:r w:rsidRPr="00F80021">
        <w:rPr>
          <w:rFonts w:ascii="Simplified Arabic" w:hAnsi="Simplified Arabic" w:cs="Simplified Arabic" w:hint="cs"/>
          <w:color w:val="000000" w:themeColor="text1"/>
          <w:sz w:val="24"/>
          <w:szCs w:val="24"/>
          <w:rtl/>
        </w:rPr>
        <w:t>نماذج</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المرونة</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التي</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تم</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الاستشهاد</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بها</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في</w:t>
      </w:r>
      <w:r w:rsidRPr="00F80021">
        <w:rPr>
          <w:rFonts w:ascii="Simplified Arabic" w:hAnsi="Simplified Arabic" w:cs="Simplified Arabic"/>
          <w:color w:val="000000" w:themeColor="text1"/>
          <w:sz w:val="24"/>
          <w:szCs w:val="24"/>
          <w:rtl/>
        </w:rPr>
        <w:t xml:space="preserve"> </w:t>
      </w:r>
      <w:r w:rsidR="00C71ECA">
        <w:rPr>
          <w:rFonts w:ascii="Simplified Arabic" w:hAnsi="Simplified Arabic" w:cs="Simplified Arabic" w:hint="cs"/>
          <w:color w:val="000000" w:themeColor="text1"/>
          <w:sz w:val="24"/>
          <w:szCs w:val="24"/>
          <w:rtl/>
        </w:rPr>
        <w:t>ابحاث</w:t>
      </w:r>
      <w:r w:rsidRPr="00F80021">
        <w:rPr>
          <w:rFonts w:ascii="Simplified Arabic" w:hAnsi="Simplified Arabic" w:cs="Simplified Arabic"/>
          <w:color w:val="000000" w:themeColor="text1"/>
          <w:sz w:val="24"/>
          <w:szCs w:val="24"/>
          <w:rtl/>
        </w:rPr>
        <w:t xml:space="preserve"> </w:t>
      </w:r>
      <w:r w:rsidRPr="00F80021">
        <w:rPr>
          <w:rFonts w:ascii="Simplified Arabic" w:hAnsi="Simplified Arabic" w:cs="Simplified Arabic" w:hint="cs"/>
          <w:color w:val="000000" w:themeColor="text1"/>
          <w:sz w:val="24"/>
          <w:szCs w:val="24"/>
          <w:rtl/>
        </w:rPr>
        <w:t>المرونة لمواجهة الكوارث</w:t>
      </w:r>
      <w:r w:rsidRPr="00F80021">
        <w:rPr>
          <w:rFonts w:ascii="Simplified Arabic" w:hAnsi="Simplified Arabic" w:cs="Simplified Arabic"/>
          <w:color w:val="000000" w:themeColor="text1"/>
          <w:sz w:val="24"/>
          <w:szCs w:val="24"/>
          <w:rtl/>
        </w:rPr>
        <w:t>:</w:t>
      </w:r>
    </w:p>
    <w:p w:rsidR="003E0F31" w:rsidRPr="00BE2AD1" w:rsidRDefault="003E0F31" w:rsidP="001D0548">
      <w:pPr>
        <w:pStyle w:val="Paragraphedeliste"/>
        <w:numPr>
          <w:ilvl w:val="0"/>
          <w:numId w:val="11"/>
        </w:numPr>
        <w:bidi/>
        <w:spacing w:after="0"/>
        <w:jc w:val="both"/>
        <w:rPr>
          <w:rFonts w:asciiTheme="minorBidi" w:hAnsiTheme="minorBidi" w:cs="Arial"/>
          <w:color w:val="000000" w:themeColor="text1"/>
          <w:sz w:val="24"/>
          <w:szCs w:val="24"/>
          <w:lang w:bidi="ar-DZ"/>
        </w:rPr>
      </w:pPr>
      <w:r w:rsidRPr="00BE2AD1">
        <w:rPr>
          <w:rFonts w:ascii="Simplified Arabic" w:hAnsi="Simplified Arabic" w:cs="Simplified Arabic" w:hint="cs"/>
          <w:color w:val="000000" w:themeColor="text1"/>
          <w:sz w:val="24"/>
          <w:szCs w:val="24"/>
          <w:rtl/>
        </w:rPr>
        <w:t>النهج</w:t>
      </w:r>
      <w:r w:rsidRPr="00BE2AD1">
        <w:rPr>
          <w:rFonts w:ascii="Simplified Arabic" w:hAnsi="Simplified Arabic" w:cs="Simplified Arabic"/>
          <w:color w:val="000000" w:themeColor="text1"/>
          <w:sz w:val="24"/>
          <w:szCs w:val="24"/>
          <w:rtl/>
        </w:rPr>
        <w:t xml:space="preserve"> </w:t>
      </w:r>
      <w:r w:rsidRPr="00BE2AD1">
        <w:rPr>
          <w:rFonts w:ascii="Simplified Arabic" w:hAnsi="Simplified Arabic" w:cs="Simplified Arabic" w:hint="cs"/>
          <w:color w:val="000000" w:themeColor="text1"/>
          <w:sz w:val="24"/>
          <w:szCs w:val="24"/>
          <w:rtl/>
        </w:rPr>
        <w:t>القائم</w:t>
      </w:r>
      <w:r w:rsidRPr="00BE2AD1">
        <w:rPr>
          <w:rFonts w:ascii="Simplified Arabic" w:hAnsi="Simplified Arabic" w:cs="Simplified Arabic"/>
          <w:color w:val="000000" w:themeColor="text1"/>
          <w:sz w:val="24"/>
          <w:szCs w:val="24"/>
          <w:rtl/>
        </w:rPr>
        <w:t xml:space="preserve"> </w:t>
      </w:r>
      <w:r w:rsidRPr="00BE2AD1">
        <w:rPr>
          <w:rFonts w:ascii="Simplified Arabic" w:hAnsi="Simplified Arabic" w:cs="Simplified Arabic" w:hint="cs"/>
          <w:color w:val="000000" w:themeColor="text1"/>
          <w:sz w:val="24"/>
          <w:szCs w:val="24"/>
          <w:rtl/>
        </w:rPr>
        <w:t>على</w:t>
      </w:r>
      <w:r w:rsidRPr="00BE2AD1">
        <w:rPr>
          <w:rFonts w:ascii="Simplified Arabic" w:hAnsi="Simplified Arabic" w:cs="Simplified Arabic"/>
          <w:color w:val="000000" w:themeColor="text1"/>
          <w:sz w:val="24"/>
          <w:szCs w:val="24"/>
          <w:rtl/>
        </w:rPr>
        <w:t xml:space="preserve"> </w:t>
      </w:r>
      <w:r w:rsidRPr="00BE2AD1">
        <w:rPr>
          <w:rFonts w:ascii="Simplified Arabic" w:hAnsi="Simplified Arabic" w:cs="Simplified Arabic" w:hint="cs"/>
          <w:color w:val="000000" w:themeColor="text1"/>
          <w:sz w:val="24"/>
          <w:szCs w:val="24"/>
          <w:rtl/>
        </w:rPr>
        <w:t>رأس</w:t>
      </w:r>
      <w:r w:rsidRPr="00BE2AD1">
        <w:rPr>
          <w:rFonts w:ascii="Simplified Arabic" w:hAnsi="Simplified Arabic" w:cs="Simplified Arabic"/>
          <w:color w:val="000000" w:themeColor="text1"/>
          <w:sz w:val="24"/>
          <w:szCs w:val="24"/>
          <w:rtl/>
        </w:rPr>
        <w:t xml:space="preserve"> </w:t>
      </w:r>
      <w:r w:rsidRPr="00BE2AD1">
        <w:rPr>
          <w:rFonts w:ascii="Simplified Arabic" w:hAnsi="Simplified Arabic" w:cs="Simplified Arabic" w:hint="cs"/>
          <w:color w:val="000000" w:themeColor="text1"/>
          <w:sz w:val="24"/>
          <w:szCs w:val="24"/>
          <w:rtl/>
        </w:rPr>
        <w:t>المال</w:t>
      </w:r>
      <w:r>
        <w:rPr>
          <w:rFonts w:ascii="Simplified Arabic" w:hAnsi="Simplified Arabic" w:cs="Simplified Arabic" w:hint="cs"/>
          <w:color w:val="000000" w:themeColor="text1"/>
          <w:sz w:val="24"/>
          <w:szCs w:val="24"/>
          <w:rtl/>
        </w:rPr>
        <w:t xml:space="preserve">، </w:t>
      </w:r>
      <w:r w:rsidRPr="00356845">
        <w:rPr>
          <w:rFonts w:asciiTheme="majorBidi" w:hAnsiTheme="majorBidi" w:cstheme="majorBidi" w:hint="cs"/>
          <w:color w:val="000000" w:themeColor="text1"/>
          <w:sz w:val="24"/>
          <w:szCs w:val="24"/>
          <w:rtl/>
          <w:lang w:val="en-US"/>
        </w:rPr>
        <w:t>(</w:t>
      </w:r>
      <w:r w:rsidRPr="00356845">
        <w:rPr>
          <w:rFonts w:asciiTheme="majorBidi" w:hAnsiTheme="majorBidi" w:cstheme="majorBidi"/>
          <w:color w:val="000000" w:themeColor="text1"/>
          <w:sz w:val="24"/>
          <w:szCs w:val="24"/>
        </w:rPr>
        <w:t>Capital-</w:t>
      </w:r>
      <w:r w:rsidRPr="00356845">
        <w:rPr>
          <w:rFonts w:asciiTheme="majorBidi" w:hAnsiTheme="majorBidi" w:cstheme="majorBidi"/>
          <w:color w:val="000000" w:themeColor="text1"/>
          <w:sz w:val="24"/>
          <w:szCs w:val="24"/>
          <w:lang w:val="en-US"/>
        </w:rPr>
        <w:t>based</w:t>
      </w:r>
      <w:r w:rsidRPr="00356845">
        <w:rPr>
          <w:rFonts w:asciiTheme="majorBidi" w:hAnsiTheme="majorBidi" w:cstheme="majorBidi"/>
          <w:color w:val="000000" w:themeColor="text1"/>
          <w:sz w:val="24"/>
          <w:szCs w:val="24"/>
        </w:rPr>
        <w:t xml:space="preserve"> </w:t>
      </w:r>
      <w:r w:rsidRPr="00356845">
        <w:rPr>
          <w:rFonts w:asciiTheme="majorBidi" w:hAnsiTheme="majorBidi" w:cstheme="majorBidi"/>
          <w:color w:val="000000" w:themeColor="text1"/>
          <w:sz w:val="24"/>
          <w:szCs w:val="24"/>
          <w:lang w:val="en-US"/>
        </w:rPr>
        <w:t>Approach</w:t>
      </w:r>
      <w:r w:rsidRPr="00356845">
        <w:rPr>
          <w:rFonts w:asciiTheme="majorBidi" w:hAnsiTheme="majorBidi" w:cstheme="majorBidi" w:hint="cs"/>
          <w:color w:val="000000" w:themeColor="text1"/>
          <w:sz w:val="24"/>
          <w:szCs w:val="24"/>
          <w:rtl/>
          <w:lang w:val="en-US"/>
        </w:rPr>
        <w:t>)</w:t>
      </w:r>
      <w:r w:rsidRPr="00BE2AD1">
        <w:rPr>
          <w:rFonts w:ascii="Simplified Arabic" w:hAnsi="Simplified Arabic" w:cs="Simplified Arabic"/>
          <w:color w:val="000000" w:themeColor="text1"/>
          <w:sz w:val="24"/>
          <w:szCs w:val="24"/>
          <w:rtl/>
        </w:rPr>
        <w:t>؛</w:t>
      </w:r>
    </w:p>
    <w:p w:rsidR="003E0F31" w:rsidRPr="001233B6" w:rsidRDefault="003E0F31" w:rsidP="001D0548">
      <w:pPr>
        <w:pStyle w:val="Paragraphedeliste"/>
        <w:numPr>
          <w:ilvl w:val="0"/>
          <w:numId w:val="12"/>
        </w:numPr>
        <w:bidi/>
        <w:spacing w:after="0"/>
        <w:jc w:val="both"/>
        <w:rPr>
          <w:rFonts w:asciiTheme="minorBidi" w:hAnsiTheme="minorBidi" w:cs="Arial"/>
          <w:color w:val="000000" w:themeColor="text1"/>
          <w:sz w:val="24"/>
          <w:szCs w:val="24"/>
          <w:lang w:bidi="ar-DZ"/>
        </w:rPr>
      </w:pPr>
      <w:r w:rsidRPr="00BE2AD1">
        <w:rPr>
          <w:rFonts w:ascii="Simplified Arabic" w:hAnsi="Simplified Arabic" w:cs="Simplified Arabic" w:hint="cs"/>
          <w:color w:val="000000" w:themeColor="text1"/>
          <w:sz w:val="24"/>
          <w:szCs w:val="24"/>
          <w:rtl/>
        </w:rPr>
        <w:t>نهج</w:t>
      </w:r>
      <w:r w:rsidRPr="00BE2AD1">
        <w:rPr>
          <w:rFonts w:asciiTheme="minorBidi" w:hAnsiTheme="minorBidi" w:cs="Arial"/>
          <w:color w:val="000000" w:themeColor="text1"/>
          <w:sz w:val="24"/>
          <w:szCs w:val="24"/>
          <w:rtl/>
          <w:lang w:bidi="ar-DZ"/>
        </w:rPr>
        <w:t xml:space="preserve"> </w:t>
      </w:r>
      <w:r w:rsidRPr="00BE2AD1">
        <w:rPr>
          <w:rFonts w:asciiTheme="majorBidi" w:hAnsiTheme="majorBidi" w:cstheme="majorBidi"/>
          <w:color w:val="000000" w:themeColor="text1"/>
          <w:sz w:val="24"/>
          <w:szCs w:val="24"/>
          <w:lang w:bidi="ar-DZ"/>
        </w:rPr>
        <w:t>4R’s</w:t>
      </w:r>
      <w:r>
        <w:rPr>
          <w:rFonts w:ascii="Simplified Arabic" w:hAnsi="Simplified Arabic" w:cs="Simplified Arabic" w:hint="cs"/>
          <w:color w:val="000000" w:themeColor="text1"/>
          <w:sz w:val="24"/>
          <w:szCs w:val="24"/>
          <w:rtl/>
        </w:rPr>
        <w:t>،</w:t>
      </w:r>
      <w:r>
        <w:rPr>
          <w:rFonts w:ascii="Simplified Arabic" w:hAnsi="Simplified Arabic" w:cs="Simplified Arabic" w:hint="cs"/>
          <w:color w:val="000000" w:themeColor="text1"/>
          <w:sz w:val="24"/>
          <w:szCs w:val="24"/>
          <w:rtl/>
          <w:lang w:bidi="ar-DZ"/>
        </w:rPr>
        <w:t xml:space="preserve"> </w:t>
      </w:r>
      <w:r w:rsidRPr="00374802">
        <w:rPr>
          <w:rFonts w:asciiTheme="majorBidi" w:hAnsiTheme="majorBidi" w:cstheme="majorBidi"/>
          <w:sz w:val="20"/>
          <w:szCs w:val="20"/>
          <w:rtl/>
          <w:lang w:bidi="ar-DZ"/>
        </w:rPr>
        <w:t>(</w:t>
      </w:r>
      <w:r w:rsidRPr="00374802">
        <w:rPr>
          <w:rFonts w:asciiTheme="majorBidi" w:hAnsiTheme="majorBidi" w:cstheme="majorBidi"/>
          <w:b/>
          <w:bCs/>
          <w:sz w:val="20"/>
          <w:szCs w:val="20"/>
          <w:lang w:val="en-US"/>
        </w:rPr>
        <w:t>R</w:t>
      </w:r>
      <w:r w:rsidRPr="00374802">
        <w:rPr>
          <w:rFonts w:asciiTheme="majorBidi" w:hAnsiTheme="majorBidi" w:cstheme="majorBidi"/>
          <w:sz w:val="20"/>
          <w:szCs w:val="20"/>
          <w:lang w:val="en-US"/>
        </w:rPr>
        <w:t xml:space="preserve">apidity, </w:t>
      </w:r>
      <w:r w:rsidRPr="00374802">
        <w:rPr>
          <w:rFonts w:asciiTheme="majorBidi" w:hAnsiTheme="majorBidi" w:cstheme="majorBidi"/>
          <w:b/>
          <w:bCs/>
          <w:sz w:val="20"/>
          <w:szCs w:val="20"/>
          <w:lang w:val="en-US"/>
        </w:rPr>
        <w:t>R</w:t>
      </w:r>
      <w:r w:rsidRPr="00374802">
        <w:rPr>
          <w:rFonts w:asciiTheme="majorBidi" w:hAnsiTheme="majorBidi" w:cstheme="majorBidi"/>
          <w:sz w:val="20"/>
          <w:szCs w:val="20"/>
          <w:lang w:val="en-US"/>
        </w:rPr>
        <w:t xml:space="preserve">obustness, </w:t>
      </w:r>
      <w:r w:rsidRPr="00374802">
        <w:rPr>
          <w:rFonts w:asciiTheme="majorBidi" w:hAnsiTheme="majorBidi" w:cstheme="majorBidi"/>
          <w:b/>
          <w:bCs/>
          <w:sz w:val="20"/>
          <w:szCs w:val="20"/>
          <w:lang w:val="en-US"/>
        </w:rPr>
        <w:t>R</w:t>
      </w:r>
      <w:r w:rsidRPr="00374802">
        <w:rPr>
          <w:rFonts w:asciiTheme="majorBidi" w:hAnsiTheme="majorBidi" w:cstheme="majorBidi"/>
          <w:sz w:val="20"/>
          <w:szCs w:val="20"/>
          <w:lang w:val="en-US"/>
        </w:rPr>
        <w:t xml:space="preserve">edundancy and </w:t>
      </w:r>
      <w:r w:rsidRPr="00374802">
        <w:rPr>
          <w:rFonts w:asciiTheme="majorBidi" w:hAnsiTheme="majorBidi" w:cstheme="majorBidi"/>
          <w:b/>
          <w:bCs/>
          <w:sz w:val="20"/>
          <w:szCs w:val="20"/>
          <w:lang w:val="en-US"/>
        </w:rPr>
        <w:t>R</w:t>
      </w:r>
      <w:r w:rsidRPr="00374802">
        <w:rPr>
          <w:rFonts w:asciiTheme="majorBidi" w:hAnsiTheme="majorBidi" w:cstheme="majorBidi"/>
          <w:sz w:val="20"/>
          <w:szCs w:val="20"/>
          <w:lang w:val="en-US"/>
        </w:rPr>
        <w:t xml:space="preserve">esourcefulness </w:t>
      </w:r>
      <w:r w:rsidRPr="00374802">
        <w:rPr>
          <w:rFonts w:asciiTheme="majorBidi" w:hAnsiTheme="majorBidi" w:cstheme="majorBidi"/>
          <w:color w:val="000000" w:themeColor="text1"/>
          <w:sz w:val="20"/>
          <w:szCs w:val="20"/>
          <w:rtl/>
        </w:rPr>
        <w:t>)</w:t>
      </w:r>
      <w:r>
        <w:rPr>
          <w:rFonts w:asciiTheme="majorBidi" w:hAnsiTheme="majorBidi" w:cstheme="majorBidi" w:hint="cs"/>
          <w:color w:val="000000" w:themeColor="text1"/>
          <w:sz w:val="24"/>
          <w:szCs w:val="24"/>
          <w:rtl/>
        </w:rPr>
        <w:t xml:space="preserve"> </w:t>
      </w:r>
      <w:r>
        <w:rPr>
          <w:rFonts w:asciiTheme="majorBidi" w:hAnsiTheme="majorBidi" w:cstheme="majorBidi"/>
          <w:color w:val="000000" w:themeColor="text1"/>
          <w:sz w:val="24"/>
          <w:szCs w:val="24"/>
        </w:rPr>
        <w:t>(</w:t>
      </w:r>
      <w:r w:rsidRPr="00BE2AD1">
        <w:rPr>
          <w:rFonts w:asciiTheme="majorBidi" w:hAnsiTheme="majorBidi" w:cstheme="majorBidi"/>
          <w:color w:val="000000" w:themeColor="text1"/>
          <w:sz w:val="24"/>
          <w:szCs w:val="24"/>
          <w:lang w:bidi="ar-DZ"/>
        </w:rPr>
        <w:t>4R’s</w:t>
      </w:r>
      <w:r w:rsidRPr="00374802">
        <w:rPr>
          <w:rFonts w:asciiTheme="majorBidi" w:hAnsiTheme="majorBidi" w:cstheme="majorBidi"/>
          <w:color w:val="000000" w:themeColor="text1"/>
          <w:sz w:val="24"/>
          <w:szCs w:val="24"/>
          <w:lang w:val="en-US"/>
        </w:rPr>
        <w:t xml:space="preserve"> </w:t>
      </w:r>
      <w:r w:rsidRPr="00356845">
        <w:rPr>
          <w:rFonts w:asciiTheme="majorBidi" w:hAnsiTheme="majorBidi" w:cstheme="majorBidi"/>
          <w:color w:val="000000" w:themeColor="text1"/>
          <w:sz w:val="24"/>
          <w:szCs w:val="24"/>
          <w:lang w:val="en-US"/>
        </w:rPr>
        <w:t>Approach</w:t>
      </w:r>
      <w:r w:rsidRPr="00BE2AD1">
        <w:rPr>
          <w:rFonts w:ascii="Simplified Arabic" w:hAnsi="Simplified Arabic" w:cs="Simplified Arabic"/>
          <w:color w:val="000000" w:themeColor="text1"/>
          <w:sz w:val="24"/>
          <w:szCs w:val="24"/>
          <w:rtl/>
        </w:rPr>
        <w:t>؛</w:t>
      </w:r>
    </w:p>
    <w:p w:rsidR="003E0F31" w:rsidRPr="00BE2AD1" w:rsidRDefault="003E0F31" w:rsidP="001D0548">
      <w:pPr>
        <w:pStyle w:val="Paragraphedeliste"/>
        <w:numPr>
          <w:ilvl w:val="0"/>
          <w:numId w:val="12"/>
        </w:numPr>
        <w:bidi/>
        <w:spacing w:after="0"/>
        <w:jc w:val="both"/>
        <w:rPr>
          <w:rFonts w:asciiTheme="minorBidi" w:hAnsiTheme="minorBidi" w:cs="Arial"/>
          <w:color w:val="000000" w:themeColor="text1"/>
          <w:sz w:val="24"/>
          <w:szCs w:val="24"/>
          <w:lang w:bidi="ar-DZ"/>
        </w:rPr>
      </w:pPr>
      <w:r w:rsidRPr="00374802">
        <w:rPr>
          <w:rFonts w:ascii="Simplified Arabic" w:hAnsi="Simplified Arabic" w:cs="Simplified Arabic"/>
          <w:color w:val="000000" w:themeColor="text1"/>
          <w:sz w:val="24"/>
          <w:szCs w:val="24"/>
          <w:rtl/>
          <w:lang w:bidi="ar-DZ"/>
        </w:rPr>
        <w:t>نهج الأنظمة</w:t>
      </w:r>
      <w:r>
        <w:rPr>
          <w:rFonts w:ascii="Simplified Arabic" w:hAnsi="Simplified Arabic" w:cs="Simplified Arabic" w:hint="cs"/>
          <w:color w:val="000000" w:themeColor="text1"/>
          <w:sz w:val="24"/>
          <w:szCs w:val="24"/>
          <w:rtl/>
        </w:rPr>
        <w:t>،</w:t>
      </w:r>
      <w:r w:rsidRPr="007768A9">
        <w:rPr>
          <w:rFonts w:ascii="Simplified Arabic" w:hAnsi="Simplified Arabic" w:cs="Simplified Arabic" w:hint="cs"/>
          <w:b/>
          <w:bCs/>
          <w:sz w:val="24"/>
          <w:szCs w:val="24"/>
          <w:rtl/>
          <w:lang w:bidi="ar-DZ"/>
        </w:rPr>
        <w:t xml:space="preserve"> </w:t>
      </w:r>
      <w:r w:rsidRPr="00356845">
        <w:rPr>
          <w:rFonts w:asciiTheme="majorBidi" w:hAnsiTheme="majorBidi" w:cstheme="majorBidi"/>
          <w:sz w:val="24"/>
          <w:szCs w:val="24"/>
          <w:rtl/>
          <w:lang w:bidi="ar-DZ"/>
        </w:rPr>
        <w:t>(</w:t>
      </w:r>
      <w:r w:rsidRPr="00356845">
        <w:rPr>
          <w:rFonts w:asciiTheme="majorBidi" w:hAnsiTheme="majorBidi" w:cstheme="majorBidi"/>
          <w:color w:val="000000" w:themeColor="text1"/>
          <w:sz w:val="24"/>
          <w:szCs w:val="24"/>
          <w:lang w:val="en-US"/>
        </w:rPr>
        <w:t>Systems Approach</w:t>
      </w:r>
      <w:r w:rsidRPr="00356845">
        <w:rPr>
          <w:rFonts w:asciiTheme="majorBidi" w:hAnsiTheme="majorBidi" w:cstheme="majorBidi" w:hint="cs"/>
          <w:color w:val="000000" w:themeColor="text1"/>
          <w:sz w:val="24"/>
          <w:szCs w:val="24"/>
          <w:rtl/>
          <w:lang w:val="en-US"/>
        </w:rPr>
        <w:t>)</w:t>
      </w:r>
      <w:r w:rsidRPr="00BE2AD1">
        <w:rPr>
          <w:rFonts w:ascii="Simplified Arabic" w:hAnsi="Simplified Arabic" w:cs="Simplified Arabic"/>
          <w:color w:val="000000" w:themeColor="text1"/>
          <w:sz w:val="24"/>
          <w:szCs w:val="24"/>
          <w:rtl/>
        </w:rPr>
        <w:t>؛</w:t>
      </w:r>
    </w:p>
    <w:p w:rsidR="003E0F31" w:rsidRPr="00BE2AD1" w:rsidRDefault="003E0F31" w:rsidP="001D0548">
      <w:pPr>
        <w:pStyle w:val="Paragraphedeliste"/>
        <w:numPr>
          <w:ilvl w:val="0"/>
          <w:numId w:val="12"/>
        </w:numPr>
        <w:bidi/>
        <w:spacing w:after="0"/>
        <w:jc w:val="both"/>
        <w:rPr>
          <w:rFonts w:ascii="Simplified Arabic" w:hAnsi="Simplified Arabic" w:cs="Simplified Arabic"/>
          <w:color w:val="000000" w:themeColor="text1"/>
          <w:sz w:val="24"/>
          <w:szCs w:val="24"/>
          <w:rtl/>
        </w:rPr>
      </w:pPr>
      <w:r w:rsidRPr="00374802">
        <w:rPr>
          <w:rFonts w:ascii="Simplified Arabic" w:hAnsi="Simplified Arabic" w:cs="Simplified Arabic" w:hint="cs"/>
          <w:sz w:val="24"/>
          <w:szCs w:val="24"/>
          <w:rtl/>
          <w:lang w:bidi="ar-DZ"/>
        </w:rPr>
        <w:t>النهج</w:t>
      </w:r>
      <w:r w:rsidRPr="00374802">
        <w:rPr>
          <w:rFonts w:ascii="Simplified Arabic" w:hAnsi="Simplified Arabic" w:cs="Simplified Arabic"/>
          <w:sz w:val="24"/>
          <w:szCs w:val="24"/>
          <w:rtl/>
          <w:lang w:bidi="ar-DZ"/>
        </w:rPr>
        <w:t xml:space="preserve"> </w:t>
      </w:r>
      <w:r w:rsidRPr="00374802">
        <w:rPr>
          <w:rFonts w:ascii="Simplified Arabic" w:hAnsi="Simplified Arabic" w:cs="Simplified Arabic" w:hint="cs"/>
          <w:sz w:val="24"/>
          <w:szCs w:val="24"/>
          <w:rtl/>
          <w:lang w:bidi="ar-DZ"/>
        </w:rPr>
        <w:t>القائم</w:t>
      </w:r>
      <w:r w:rsidRPr="00374802">
        <w:rPr>
          <w:rFonts w:ascii="Simplified Arabic" w:hAnsi="Simplified Arabic" w:cs="Simplified Arabic"/>
          <w:sz w:val="24"/>
          <w:szCs w:val="24"/>
          <w:rtl/>
          <w:lang w:bidi="ar-DZ"/>
        </w:rPr>
        <w:t xml:space="preserve"> </w:t>
      </w:r>
      <w:r w:rsidRPr="00374802">
        <w:rPr>
          <w:rFonts w:ascii="Simplified Arabic" w:hAnsi="Simplified Arabic" w:cs="Simplified Arabic" w:hint="cs"/>
          <w:sz w:val="24"/>
          <w:szCs w:val="24"/>
          <w:rtl/>
          <w:lang w:bidi="ar-DZ"/>
        </w:rPr>
        <w:t>على</w:t>
      </w:r>
      <w:r w:rsidRPr="00374802">
        <w:rPr>
          <w:rFonts w:ascii="Simplified Arabic" w:hAnsi="Simplified Arabic" w:cs="Simplified Arabic"/>
          <w:sz w:val="24"/>
          <w:szCs w:val="24"/>
          <w:rtl/>
          <w:lang w:bidi="ar-DZ"/>
        </w:rPr>
        <w:t xml:space="preserve"> </w:t>
      </w:r>
      <w:r w:rsidRPr="00374802">
        <w:rPr>
          <w:rFonts w:ascii="Simplified Arabic" w:hAnsi="Simplified Arabic" w:cs="Simplified Arabic" w:hint="cs"/>
          <w:sz w:val="24"/>
          <w:szCs w:val="24"/>
          <w:rtl/>
          <w:lang w:bidi="ar-DZ"/>
        </w:rPr>
        <w:t>المكان</w:t>
      </w:r>
      <w:r>
        <w:rPr>
          <w:rFonts w:ascii="Simplified Arabic" w:hAnsi="Simplified Arabic" w:cs="Simplified Arabic" w:hint="cs"/>
          <w:color w:val="000000" w:themeColor="text1"/>
          <w:sz w:val="24"/>
          <w:szCs w:val="24"/>
          <w:rtl/>
        </w:rPr>
        <w:t>،</w:t>
      </w:r>
      <w:r>
        <w:rPr>
          <w:rFonts w:ascii="Simplified Arabic" w:hAnsi="Simplified Arabic" w:cs="Simplified Arabic" w:hint="cs"/>
          <w:b/>
          <w:bCs/>
          <w:sz w:val="24"/>
          <w:szCs w:val="24"/>
          <w:rtl/>
          <w:lang w:bidi="ar-DZ"/>
        </w:rPr>
        <w:t xml:space="preserve"> </w:t>
      </w:r>
      <w:r w:rsidRPr="00374802">
        <w:rPr>
          <w:rFonts w:asciiTheme="majorBidi" w:hAnsiTheme="majorBidi" w:cstheme="majorBidi"/>
          <w:sz w:val="24"/>
          <w:szCs w:val="24"/>
          <w:rtl/>
          <w:lang w:bidi="ar-DZ"/>
        </w:rPr>
        <w:t>(</w:t>
      </w:r>
      <w:r w:rsidRPr="00374802">
        <w:rPr>
          <w:rFonts w:asciiTheme="majorBidi" w:hAnsiTheme="majorBidi" w:cstheme="majorBidi"/>
          <w:color w:val="000000" w:themeColor="text1"/>
          <w:sz w:val="24"/>
          <w:szCs w:val="24"/>
        </w:rPr>
        <w:t>Place-</w:t>
      </w:r>
      <w:r w:rsidRPr="00374802">
        <w:rPr>
          <w:rFonts w:asciiTheme="majorBidi" w:hAnsiTheme="majorBidi" w:cstheme="majorBidi"/>
          <w:color w:val="000000" w:themeColor="text1"/>
          <w:sz w:val="24"/>
          <w:szCs w:val="24"/>
          <w:lang w:val="en-US"/>
        </w:rPr>
        <w:t>based</w:t>
      </w:r>
      <w:r w:rsidRPr="00374802">
        <w:rPr>
          <w:rFonts w:asciiTheme="majorBidi" w:hAnsiTheme="majorBidi" w:cstheme="majorBidi"/>
          <w:color w:val="000000" w:themeColor="text1"/>
          <w:sz w:val="24"/>
          <w:szCs w:val="24"/>
        </w:rPr>
        <w:t xml:space="preserve"> </w:t>
      </w:r>
      <w:r w:rsidRPr="00374802">
        <w:rPr>
          <w:rFonts w:asciiTheme="majorBidi" w:hAnsiTheme="majorBidi" w:cstheme="majorBidi"/>
          <w:color w:val="000000" w:themeColor="text1"/>
          <w:sz w:val="24"/>
          <w:szCs w:val="24"/>
          <w:lang w:val="en-US"/>
        </w:rPr>
        <w:t>Approach</w:t>
      </w:r>
      <w:r w:rsidRPr="00374802">
        <w:rPr>
          <w:rFonts w:asciiTheme="majorBidi" w:hAnsiTheme="majorBidi" w:cstheme="majorBidi"/>
          <w:color w:val="000000" w:themeColor="text1"/>
          <w:sz w:val="24"/>
          <w:szCs w:val="24"/>
          <w:rtl/>
        </w:rPr>
        <w:t>)</w:t>
      </w:r>
      <w:r w:rsidRPr="00BE2AD1">
        <w:rPr>
          <w:rFonts w:ascii="Simplified Arabic" w:hAnsi="Simplified Arabic" w:cs="Simplified Arabic"/>
          <w:color w:val="000000" w:themeColor="text1"/>
          <w:sz w:val="24"/>
          <w:szCs w:val="24"/>
          <w:rtl/>
        </w:rPr>
        <w:t xml:space="preserve">؛ </w:t>
      </w:r>
    </w:p>
    <w:p w:rsidR="003E0F31" w:rsidRPr="00BE2AD1" w:rsidRDefault="003E0F31" w:rsidP="00C7475E">
      <w:pPr>
        <w:pStyle w:val="Paragraphedeliste"/>
        <w:numPr>
          <w:ilvl w:val="0"/>
          <w:numId w:val="12"/>
        </w:numPr>
        <w:bidi/>
        <w:jc w:val="both"/>
        <w:rPr>
          <w:rFonts w:asciiTheme="minorBidi" w:hAnsiTheme="minorBidi" w:cs="Arial"/>
          <w:color w:val="000000" w:themeColor="text1"/>
          <w:sz w:val="24"/>
          <w:szCs w:val="24"/>
          <w:rtl/>
          <w:lang w:bidi="ar-DZ"/>
        </w:rPr>
      </w:pPr>
      <w:r w:rsidRPr="001233B6">
        <w:rPr>
          <w:rFonts w:asciiTheme="minorBidi" w:hAnsiTheme="minorBidi" w:cs="Arial"/>
          <w:color w:val="000000" w:themeColor="text1"/>
          <w:sz w:val="24"/>
          <w:szCs w:val="24"/>
          <w:rtl/>
          <w:lang w:bidi="ar-DZ"/>
        </w:rPr>
        <w:t>النهج التعاوني</w:t>
      </w:r>
      <w:r>
        <w:rPr>
          <w:rFonts w:ascii="Simplified Arabic" w:hAnsi="Simplified Arabic" w:cs="Simplified Arabic" w:hint="cs"/>
          <w:color w:val="000000" w:themeColor="text1"/>
          <w:sz w:val="24"/>
          <w:szCs w:val="24"/>
          <w:rtl/>
        </w:rPr>
        <w:t>،</w:t>
      </w:r>
      <w:r>
        <w:rPr>
          <w:rFonts w:asciiTheme="minorBidi" w:hAnsiTheme="minorBidi" w:cs="Arial" w:hint="cs"/>
          <w:color w:val="000000" w:themeColor="text1"/>
          <w:sz w:val="24"/>
          <w:szCs w:val="24"/>
          <w:rtl/>
          <w:lang w:bidi="ar-DZ"/>
        </w:rPr>
        <w:t xml:space="preserve"> </w:t>
      </w:r>
      <w:r w:rsidRPr="00356845">
        <w:rPr>
          <w:rFonts w:asciiTheme="majorBidi" w:hAnsiTheme="majorBidi" w:cstheme="majorBidi" w:hint="cs"/>
          <w:color w:val="000000" w:themeColor="text1"/>
          <w:sz w:val="24"/>
          <w:szCs w:val="24"/>
          <w:rtl/>
          <w:lang w:val="en-US"/>
        </w:rPr>
        <w:t>(</w:t>
      </w:r>
      <w:r w:rsidRPr="00356845">
        <w:rPr>
          <w:rFonts w:asciiTheme="majorBidi" w:hAnsiTheme="majorBidi" w:cstheme="majorBidi"/>
          <w:color w:val="000000" w:themeColor="text1"/>
          <w:sz w:val="24"/>
          <w:szCs w:val="24"/>
          <w:lang w:val="en-US"/>
        </w:rPr>
        <w:t>collaborative Approach</w:t>
      </w:r>
      <w:r w:rsidRPr="00356845">
        <w:rPr>
          <w:rFonts w:asciiTheme="majorBidi" w:hAnsiTheme="majorBidi" w:cstheme="majorBidi" w:hint="cs"/>
          <w:color w:val="000000" w:themeColor="text1"/>
          <w:sz w:val="24"/>
          <w:szCs w:val="24"/>
          <w:rtl/>
          <w:lang w:val="en-US"/>
        </w:rPr>
        <w:t>)</w:t>
      </w:r>
      <w:r w:rsidRPr="00BE2AD1">
        <w:rPr>
          <w:rFonts w:ascii="Simplified Arabic" w:hAnsi="Simplified Arabic" w:cs="Simplified Arabic"/>
          <w:color w:val="000000" w:themeColor="text1"/>
          <w:sz w:val="24"/>
          <w:szCs w:val="24"/>
          <w:rtl/>
        </w:rPr>
        <w:t>؛</w:t>
      </w:r>
    </w:p>
    <w:p w:rsidR="003E0F31" w:rsidRPr="006E6239" w:rsidRDefault="003E0F31" w:rsidP="00C7475E">
      <w:pPr>
        <w:pStyle w:val="Paragraphedeliste"/>
        <w:numPr>
          <w:ilvl w:val="2"/>
          <w:numId w:val="203"/>
        </w:numPr>
        <w:tabs>
          <w:tab w:val="right" w:pos="708"/>
        </w:tabs>
        <w:bidi/>
        <w:spacing w:before="240" w:after="0"/>
        <w:ind w:left="0" w:firstLine="0"/>
        <w:jc w:val="both"/>
        <w:outlineLvl w:val="1"/>
        <w:rPr>
          <w:rFonts w:ascii="Simplified Arabic" w:hAnsi="Simplified Arabic" w:cs="Simplified Arabic"/>
          <w:b/>
          <w:bCs/>
          <w:sz w:val="24"/>
          <w:szCs w:val="24"/>
          <w:rtl/>
          <w:lang w:bidi="ar-DZ"/>
        </w:rPr>
      </w:pPr>
      <w:bookmarkStart w:id="291" w:name="_Toc171803431"/>
      <w:r w:rsidRPr="006E6239">
        <w:rPr>
          <w:rFonts w:ascii="Simplified Arabic" w:hAnsi="Simplified Arabic" w:cs="Simplified Arabic" w:hint="cs"/>
          <w:b/>
          <w:bCs/>
          <w:sz w:val="24"/>
          <w:szCs w:val="24"/>
          <w:rtl/>
          <w:lang w:bidi="ar-DZ"/>
        </w:rPr>
        <w:t>اهم مناهج تقييم المرونة:</w:t>
      </w:r>
      <w:bookmarkEnd w:id="291"/>
    </w:p>
    <w:p w:rsidR="003E0F31" w:rsidRPr="00E62ABA" w:rsidRDefault="003E0F31" w:rsidP="001D0548">
      <w:pPr>
        <w:pStyle w:val="Paragraphedeliste"/>
        <w:numPr>
          <w:ilvl w:val="3"/>
          <w:numId w:val="204"/>
        </w:numPr>
        <w:tabs>
          <w:tab w:val="right" w:pos="992"/>
        </w:tabs>
        <w:bidi/>
        <w:spacing w:before="240" w:after="0"/>
        <w:ind w:left="0" w:firstLine="0"/>
        <w:jc w:val="both"/>
        <w:outlineLvl w:val="2"/>
        <w:rPr>
          <w:rFonts w:asciiTheme="minorBidi" w:hAnsiTheme="minorBidi" w:cs="Arial"/>
          <w:sz w:val="24"/>
          <w:szCs w:val="24"/>
          <w:lang w:bidi="ar-DZ"/>
        </w:rPr>
      </w:pPr>
      <w:bookmarkStart w:id="292" w:name="_Toc171803432"/>
      <w:r w:rsidRPr="00E62ABA">
        <w:rPr>
          <w:rFonts w:ascii="Simplified Arabic" w:hAnsi="Simplified Arabic" w:cs="Simplified Arabic"/>
          <w:b/>
          <w:bCs/>
          <w:sz w:val="24"/>
          <w:szCs w:val="24"/>
          <w:rtl/>
          <w:lang w:bidi="ar-DZ"/>
        </w:rPr>
        <w:t>النهج القائم على رأس المال</w:t>
      </w:r>
      <w:r w:rsidRPr="00E62ABA">
        <w:rPr>
          <w:rFonts w:asciiTheme="minorBidi" w:hAnsiTheme="minorBidi" w:cs="Arial" w:hint="cs"/>
          <w:b/>
          <w:bCs/>
          <w:sz w:val="24"/>
          <w:szCs w:val="24"/>
          <w:rtl/>
          <w:lang w:bidi="ar-DZ"/>
        </w:rPr>
        <w:t xml:space="preserve"> </w:t>
      </w:r>
      <w:r w:rsidRPr="00E62ABA">
        <w:rPr>
          <w:rFonts w:asciiTheme="majorBidi" w:hAnsiTheme="majorBidi" w:cstheme="majorBidi" w:hint="cs"/>
          <w:b/>
          <w:bCs/>
          <w:color w:val="000000" w:themeColor="text1"/>
          <w:sz w:val="20"/>
          <w:szCs w:val="20"/>
          <w:rtl/>
          <w:lang w:val="en-US"/>
        </w:rPr>
        <w:t>(</w:t>
      </w:r>
      <w:r w:rsidRPr="00E62ABA">
        <w:rPr>
          <w:rFonts w:asciiTheme="majorBidi" w:hAnsiTheme="majorBidi" w:cstheme="majorBidi"/>
          <w:b/>
          <w:bCs/>
          <w:color w:val="000000" w:themeColor="text1"/>
          <w:sz w:val="20"/>
          <w:szCs w:val="20"/>
        </w:rPr>
        <w:t>Capital-</w:t>
      </w:r>
      <w:r w:rsidRPr="00E62ABA">
        <w:rPr>
          <w:rFonts w:asciiTheme="majorBidi" w:hAnsiTheme="majorBidi" w:cstheme="majorBidi"/>
          <w:b/>
          <w:bCs/>
          <w:color w:val="000000" w:themeColor="text1"/>
          <w:sz w:val="20"/>
          <w:szCs w:val="20"/>
          <w:lang w:val="en-US"/>
        </w:rPr>
        <w:t>based</w:t>
      </w:r>
      <w:r w:rsidRPr="00E62ABA">
        <w:rPr>
          <w:rFonts w:asciiTheme="majorBidi" w:hAnsiTheme="majorBidi" w:cstheme="majorBidi"/>
          <w:b/>
          <w:bCs/>
          <w:color w:val="000000" w:themeColor="text1"/>
          <w:sz w:val="20"/>
          <w:szCs w:val="20"/>
        </w:rPr>
        <w:t xml:space="preserve"> </w:t>
      </w:r>
      <w:r w:rsidRPr="00E62ABA">
        <w:rPr>
          <w:rFonts w:asciiTheme="majorBidi" w:hAnsiTheme="majorBidi" w:cstheme="majorBidi"/>
          <w:b/>
          <w:bCs/>
          <w:color w:val="000000" w:themeColor="text1"/>
          <w:sz w:val="20"/>
          <w:szCs w:val="20"/>
          <w:lang w:val="en-US"/>
        </w:rPr>
        <w:t>Approach</w:t>
      </w:r>
      <w:r w:rsidRPr="00E62ABA">
        <w:rPr>
          <w:rFonts w:asciiTheme="majorBidi" w:hAnsiTheme="majorBidi" w:cstheme="majorBidi" w:hint="cs"/>
          <w:b/>
          <w:bCs/>
          <w:color w:val="000000" w:themeColor="text1"/>
          <w:sz w:val="20"/>
          <w:szCs w:val="20"/>
          <w:rtl/>
          <w:lang w:val="en-US"/>
        </w:rPr>
        <w:t>)</w:t>
      </w:r>
      <w:bookmarkEnd w:id="292"/>
    </w:p>
    <w:p w:rsidR="003E0F31" w:rsidRDefault="003E0F31" w:rsidP="000F593C">
      <w:pPr>
        <w:bidi/>
        <w:spacing w:after="0"/>
        <w:ind w:firstLine="282"/>
        <w:jc w:val="both"/>
        <w:rPr>
          <w:rFonts w:ascii="Simplified Arabic" w:hAnsi="Simplified Arabic" w:cs="Simplified Arabic"/>
          <w:color w:val="000000" w:themeColor="text1"/>
          <w:sz w:val="24"/>
          <w:szCs w:val="24"/>
          <w:rtl/>
        </w:rPr>
      </w:pPr>
      <w:r w:rsidRPr="00A071A0">
        <w:rPr>
          <w:rFonts w:ascii="Simplified Arabic" w:hAnsi="Simplified Arabic" w:cs="Simplified Arabic" w:hint="cs"/>
          <w:color w:val="000000" w:themeColor="text1"/>
          <w:sz w:val="24"/>
          <w:szCs w:val="24"/>
          <w:rtl/>
        </w:rPr>
        <w:t>إن</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جوهر</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استخدام</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نهج</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رأس</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المال</w:t>
      </w:r>
      <w:r>
        <w:rPr>
          <w:rFonts w:ascii="Simplified Arabic" w:hAnsi="Simplified Arabic" w:cs="Simplified Arabic" w:hint="cs"/>
          <w:color w:val="000000" w:themeColor="text1"/>
          <w:sz w:val="24"/>
          <w:szCs w:val="24"/>
          <w:rtl/>
        </w:rPr>
        <w:t>،</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هو</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أن</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رأس</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المال</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يتكون</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من</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تلك</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المكونات</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الضرورية</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لتنمية</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اقتصاد</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مجتمعي</w:t>
      </w:r>
      <w:r w:rsidRPr="00A071A0">
        <w:rPr>
          <w:rFonts w:ascii="Simplified Arabic" w:hAnsi="Simplified Arabic" w:cs="Simplified Arabic"/>
          <w:color w:val="000000" w:themeColor="text1"/>
          <w:sz w:val="24"/>
          <w:szCs w:val="24"/>
          <w:rtl/>
        </w:rPr>
        <w:t xml:space="preserve"> </w:t>
      </w:r>
      <w:r w:rsidRPr="00A071A0">
        <w:rPr>
          <w:rFonts w:ascii="Simplified Arabic" w:hAnsi="Simplified Arabic" w:cs="Simplified Arabic" w:hint="cs"/>
          <w:color w:val="000000" w:themeColor="text1"/>
          <w:sz w:val="24"/>
          <w:szCs w:val="24"/>
          <w:rtl/>
        </w:rPr>
        <w:t>مستدام</w:t>
      </w:r>
      <w:r w:rsidRPr="00A071A0">
        <w:rPr>
          <w:rFonts w:ascii="Simplified Arabic" w:hAnsi="Simplified Arabic" w:cs="Simplified Arabic"/>
          <w:color w:val="000000" w:themeColor="text1"/>
          <w:sz w:val="24"/>
          <w:szCs w:val="24"/>
          <w:rtl/>
        </w:rPr>
        <w:t>.</w:t>
      </w:r>
      <w:r>
        <w:rPr>
          <w:rFonts w:ascii="Simplified Arabic" w:hAnsi="Simplified Arabic" w:cs="Simplified Arabic"/>
          <w:color w:val="000000" w:themeColor="text1"/>
          <w:sz w:val="24"/>
          <w:szCs w:val="24"/>
        </w:rPr>
        <w:t xml:space="preserve"> </w:t>
      </w:r>
      <w:r w:rsidRPr="00420C6F">
        <w:rPr>
          <w:rFonts w:ascii="Simplified Arabic" w:hAnsi="Simplified Arabic" w:cs="Simplified Arabic" w:hint="cs"/>
          <w:color w:val="000000" w:themeColor="text1"/>
          <w:sz w:val="24"/>
          <w:szCs w:val="24"/>
          <w:rtl/>
        </w:rPr>
        <w:t>في</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السنوات</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الأخيرة،</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تم</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التعرف</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على</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الأشكال</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الرئيسية</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لرأس</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المال</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الاجتماعي، الاقتصادي،</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المادي،</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البيئي</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والبشري</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باعتبارها</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عوامل</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مهمة</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في</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بناء</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قدرات</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المجتمع</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للتعامل</w:t>
      </w:r>
      <w:r w:rsidRPr="00420C6F">
        <w:rPr>
          <w:rFonts w:ascii="Simplified Arabic" w:hAnsi="Simplified Arabic" w:cs="Simplified Arabic"/>
          <w:color w:val="000000" w:themeColor="text1"/>
          <w:sz w:val="24"/>
          <w:szCs w:val="24"/>
          <w:rtl/>
        </w:rPr>
        <w:t xml:space="preserve"> </w:t>
      </w:r>
      <w:r w:rsidRPr="00420C6F">
        <w:rPr>
          <w:rFonts w:ascii="Simplified Arabic" w:hAnsi="Simplified Arabic" w:cs="Simplified Arabic" w:hint="cs"/>
          <w:color w:val="000000" w:themeColor="text1"/>
          <w:sz w:val="24"/>
          <w:szCs w:val="24"/>
          <w:rtl/>
        </w:rPr>
        <w:t>مع</w:t>
      </w:r>
      <w:r w:rsidRPr="00420C6F">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الكوارث</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Pr>
        <w:t>(Chambers &amp; Conway, 1992)</w:t>
      </w:r>
      <w:r w:rsidRPr="00507DB0">
        <w:rPr>
          <w:rFonts w:asciiTheme="majorBidi" w:hAnsiTheme="majorBidi" w:cstheme="majorBidi" w:hint="cs"/>
          <w:sz w:val="24"/>
          <w:szCs w:val="24"/>
          <w:rtl/>
        </w:rPr>
        <w:t>.</w:t>
      </w:r>
      <w:r w:rsidRPr="00507DB0">
        <w:rPr>
          <w:rFonts w:asciiTheme="minorBidi" w:hAnsiTheme="minorBidi" w:cs="Arial" w:hint="cs"/>
          <w:sz w:val="24"/>
          <w:szCs w:val="24"/>
          <w:rtl/>
          <w:lang w:bidi="ar-DZ"/>
        </w:rPr>
        <w:t xml:space="preserve"> </w:t>
      </w:r>
      <w:r w:rsidRPr="00507DB0">
        <w:rPr>
          <w:rFonts w:ascii="Simplified Arabic" w:hAnsi="Simplified Arabic" w:cs="Simplified Arabic" w:hint="cs"/>
          <w:color w:val="000000" w:themeColor="text1"/>
          <w:sz w:val="24"/>
          <w:szCs w:val="24"/>
          <w:rtl/>
        </w:rPr>
        <w:t>تشير</w:t>
      </w:r>
      <w:r w:rsidRPr="00507DB0">
        <w:rPr>
          <w:rFonts w:ascii="Simplified Arabic" w:hAnsi="Simplified Arabic" w:cs="Simplified Arabic"/>
          <w:color w:val="000000" w:themeColor="text1"/>
          <w:sz w:val="24"/>
          <w:szCs w:val="24"/>
          <w:rtl/>
        </w:rPr>
        <w:t xml:space="preserve"> </w:t>
      </w:r>
      <w:r w:rsidR="00C71ECA">
        <w:rPr>
          <w:rFonts w:ascii="Simplified Arabic" w:hAnsi="Simplified Arabic" w:cs="Simplified Arabic" w:hint="cs"/>
          <w:color w:val="000000" w:themeColor="text1"/>
          <w:sz w:val="24"/>
          <w:szCs w:val="24"/>
          <w:rtl/>
        </w:rPr>
        <w:t>الابحاث</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إلى</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أن</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مرونة</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المجتمع</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تعتمد</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على</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قدرته</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للوصول</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إلى</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الأشكال</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الرئيسية</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لرأس</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المال</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والاستفادة</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منه</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Pr>
        <w:t>(</w:t>
      </w:r>
      <w:r w:rsidRPr="00507DB0">
        <w:rPr>
          <w:rFonts w:asciiTheme="majorBidi" w:hAnsiTheme="majorBidi" w:cstheme="majorBidi"/>
          <w:sz w:val="24"/>
          <w:szCs w:val="24"/>
          <w:lang w:val="en-US"/>
        </w:rPr>
        <w:t>Beeton</w:t>
      </w:r>
      <w:r w:rsidRPr="00507DB0">
        <w:rPr>
          <w:rFonts w:asciiTheme="majorBidi" w:hAnsiTheme="majorBidi" w:cstheme="majorBidi"/>
          <w:sz w:val="24"/>
          <w:szCs w:val="24"/>
        </w:rPr>
        <w:t>, 2006)</w:t>
      </w:r>
      <w:r w:rsidRPr="00507DB0">
        <w:rPr>
          <w:rFonts w:ascii="Simplified Arabic" w:hAnsi="Simplified Arabic" w:cs="Simplified Arabic" w:hint="cs"/>
          <w:color w:val="000000" w:themeColor="text1"/>
          <w:sz w:val="24"/>
          <w:szCs w:val="24"/>
          <w:rtl/>
        </w:rPr>
        <w:t>.</w:t>
      </w:r>
      <w:r w:rsidRPr="00507DB0">
        <w:rPr>
          <w:rFonts w:ascii="Calibri" w:hAnsi="Calibri" w:cs="Calibri" w:hint="cs"/>
          <w:rtl/>
        </w:rPr>
        <w:t xml:space="preserve"> </w:t>
      </w:r>
      <w:r w:rsidRPr="00507DB0">
        <w:rPr>
          <w:rFonts w:ascii="Simplified Arabic" w:hAnsi="Simplified Arabic" w:cs="Simplified Arabic" w:hint="cs"/>
          <w:color w:val="000000" w:themeColor="text1"/>
          <w:sz w:val="24"/>
          <w:szCs w:val="24"/>
          <w:rtl/>
        </w:rPr>
        <w:t xml:space="preserve">يعتبر </w:t>
      </w:r>
      <w:r w:rsidRPr="00507DB0">
        <w:rPr>
          <w:rFonts w:ascii="Simplified Arabic" w:hAnsi="Simplified Arabic" w:cs="Simplified Arabic"/>
          <w:color w:val="000000" w:themeColor="text1"/>
          <w:sz w:val="24"/>
          <w:szCs w:val="24"/>
          <w:rtl/>
        </w:rPr>
        <w:t>"</w:t>
      </w:r>
      <w:r w:rsidRPr="00507DB0">
        <w:rPr>
          <w:rFonts w:ascii="Simplified Arabic" w:hAnsi="Simplified Arabic" w:cs="Simplified Arabic" w:hint="cs"/>
          <w:color w:val="000000" w:themeColor="text1"/>
          <w:sz w:val="24"/>
          <w:szCs w:val="24"/>
          <w:rtl/>
        </w:rPr>
        <w:t>أصول</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البنتاغون</w:t>
      </w:r>
      <w:r w:rsidRPr="00507DB0">
        <w:rPr>
          <w:rFonts w:ascii="Simplified Arabic" w:hAnsi="Simplified Arabic" w:cs="Simplified Arabic"/>
          <w:color w:val="000000" w:themeColor="text1"/>
          <w:sz w:val="24"/>
          <w:szCs w:val="24"/>
          <w:rtl/>
        </w:rPr>
        <w:t>"</w:t>
      </w:r>
      <w:r w:rsidRPr="00507DB0">
        <w:rPr>
          <w:rFonts w:asciiTheme="minorBidi" w:hAnsiTheme="minorBidi" w:cs="Arial" w:hint="cs"/>
          <w:sz w:val="24"/>
          <w:szCs w:val="24"/>
          <w:rtl/>
          <w:lang w:bidi="ar-DZ"/>
        </w:rPr>
        <w:t xml:space="preserve"> </w:t>
      </w:r>
      <w:r w:rsidRPr="00507DB0">
        <w:rPr>
          <w:rFonts w:asciiTheme="majorBidi" w:hAnsiTheme="majorBidi" w:cstheme="majorBidi" w:hint="cs"/>
          <w:sz w:val="24"/>
          <w:szCs w:val="24"/>
          <w:rtl/>
        </w:rPr>
        <w:t>(</w:t>
      </w:r>
      <w:r w:rsidRPr="00507DB0">
        <w:rPr>
          <w:rFonts w:asciiTheme="majorBidi" w:hAnsiTheme="majorBidi" w:cstheme="majorBidi"/>
          <w:sz w:val="24"/>
          <w:szCs w:val="24"/>
          <w:lang w:val="en-US"/>
        </w:rPr>
        <w:t>Asset</w:t>
      </w:r>
      <w:r w:rsidRPr="00507DB0">
        <w:rPr>
          <w:rFonts w:asciiTheme="majorBidi" w:hAnsiTheme="majorBidi" w:cstheme="majorBidi"/>
          <w:sz w:val="24"/>
          <w:szCs w:val="24"/>
        </w:rPr>
        <w:t xml:space="preserve"> </w:t>
      </w:r>
      <w:r w:rsidRPr="00507DB0">
        <w:rPr>
          <w:rFonts w:asciiTheme="majorBidi" w:hAnsiTheme="majorBidi" w:cstheme="majorBidi"/>
          <w:sz w:val="24"/>
          <w:szCs w:val="24"/>
          <w:lang w:val="en-US"/>
        </w:rPr>
        <w:t>Pentagon</w:t>
      </w:r>
      <w:r w:rsidRPr="00507DB0">
        <w:rPr>
          <w:rFonts w:asciiTheme="majorBidi" w:hAnsiTheme="majorBidi" w:cstheme="majorBidi" w:hint="cs"/>
          <w:sz w:val="24"/>
          <w:szCs w:val="24"/>
          <w:rtl/>
        </w:rPr>
        <w:t>)</w:t>
      </w:r>
      <w:r w:rsidRPr="00507DB0">
        <w:rPr>
          <w:rFonts w:asciiTheme="minorBidi" w:hAnsiTheme="minorBidi" w:cs="Arial" w:hint="cs"/>
          <w:sz w:val="24"/>
          <w:szCs w:val="24"/>
          <w:rtl/>
          <w:lang w:bidi="ar-DZ"/>
        </w:rPr>
        <w:t xml:space="preserve"> </w:t>
      </w:r>
      <w:r w:rsidRPr="00507DB0">
        <w:rPr>
          <w:rFonts w:ascii="Simplified Arabic" w:hAnsi="Simplified Arabic" w:cs="Simplified Arabic" w:hint="cs"/>
          <w:color w:val="000000" w:themeColor="text1"/>
          <w:sz w:val="24"/>
          <w:szCs w:val="24"/>
          <w:rtl/>
        </w:rPr>
        <w:t>لمؤلفيه</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Pr>
        <w:t>(Chambers &amp; Conway, 1992)</w:t>
      </w:r>
      <w:r w:rsidRPr="00507DB0">
        <w:rPr>
          <w:rFonts w:ascii="Calibri" w:hAnsi="Calibri" w:cs="Calibri" w:hint="cs"/>
          <w:rtl/>
        </w:rPr>
        <w:t xml:space="preserve"> </w:t>
      </w:r>
      <w:r w:rsidRPr="00507DB0">
        <w:rPr>
          <w:rFonts w:ascii="Simplified Arabic" w:hAnsi="Simplified Arabic" w:cs="Simplified Arabic" w:hint="cs"/>
          <w:color w:val="000000" w:themeColor="text1"/>
          <w:sz w:val="24"/>
          <w:szCs w:val="24"/>
          <w:rtl/>
        </w:rPr>
        <w:t>هو</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جوهر</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الإطار</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النظري</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للنهج</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القائم</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على</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رأس</w:t>
      </w:r>
      <w:r w:rsidRPr="00507DB0">
        <w:rPr>
          <w:rFonts w:ascii="Simplified Arabic" w:hAnsi="Simplified Arabic" w:cs="Simplified Arabic"/>
          <w:color w:val="000000" w:themeColor="text1"/>
          <w:sz w:val="24"/>
          <w:szCs w:val="24"/>
          <w:rtl/>
        </w:rPr>
        <w:t xml:space="preserve"> </w:t>
      </w:r>
      <w:r w:rsidRPr="00507DB0">
        <w:rPr>
          <w:rFonts w:ascii="Simplified Arabic" w:hAnsi="Simplified Arabic" w:cs="Simplified Arabic" w:hint="cs"/>
          <w:color w:val="000000" w:themeColor="text1"/>
          <w:sz w:val="24"/>
          <w:szCs w:val="24"/>
          <w:rtl/>
        </w:rPr>
        <w:t>المال</w:t>
      </w:r>
      <w:r w:rsidRPr="00507DB0">
        <w:rPr>
          <w:rFonts w:ascii="Simplified Arabic" w:hAnsi="Simplified Arabic" w:cs="Simplified Arabic"/>
          <w:color w:val="000000" w:themeColor="text1"/>
          <w:sz w:val="24"/>
          <w:szCs w:val="24"/>
          <w:rtl/>
        </w:rPr>
        <w:t xml:space="preserve">. </w:t>
      </w:r>
    </w:p>
    <w:p w:rsidR="003E0F31" w:rsidRPr="00163A2A" w:rsidRDefault="003E0F31" w:rsidP="00C7475E">
      <w:pPr>
        <w:pStyle w:val="Paragraphedeliste"/>
        <w:numPr>
          <w:ilvl w:val="3"/>
          <w:numId w:val="249"/>
        </w:numPr>
        <w:tabs>
          <w:tab w:val="right" w:pos="992"/>
        </w:tabs>
        <w:bidi/>
        <w:spacing w:after="0"/>
        <w:ind w:left="0" w:firstLine="0"/>
        <w:jc w:val="both"/>
        <w:outlineLvl w:val="2"/>
        <w:rPr>
          <w:rFonts w:ascii="Simplified Arabic" w:hAnsi="Simplified Arabic" w:cs="Simplified Arabic"/>
          <w:b/>
          <w:bCs/>
          <w:sz w:val="24"/>
          <w:szCs w:val="24"/>
          <w:rtl/>
          <w:lang w:bidi="ar-DZ"/>
        </w:rPr>
      </w:pPr>
      <w:bookmarkStart w:id="293" w:name="_Toc171803433"/>
      <w:r w:rsidRPr="00163A2A">
        <w:rPr>
          <w:rFonts w:ascii="Simplified Arabic" w:hAnsi="Simplified Arabic" w:cs="Simplified Arabic"/>
          <w:b/>
          <w:bCs/>
          <w:sz w:val="24"/>
          <w:szCs w:val="24"/>
          <w:rtl/>
          <w:lang w:bidi="ar-DZ"/>
        </w:rPr>
        <w:t xml:space="preserve">نهج </w:t>
      </w:r>
      <w:r w:rsidRPr="00163A2A">
        <w:rPr>
          <w:rFonts w:asciiTheme="majorBidi" w:hAnsiTheme="majorBidi" w:cstheme="majorBidi"/>
          <w:b/>
          <w:bCs/>
          <w:sz w:val="24"/>
          <w:szCs w:val="24"/>
          <w:lang w:bidi="ar-DZ"/>
        </w:rPr>
        <w:t>4R’s</w:t>
      </w:r>
      <w:r w:rsidRPr="00163A2A">
        <w:rPr>
          <w:rFonts w:ascii="Simplified Arabic" w:hAnsi="Simplified Arabic" w:cs="Simplified Arabic"/>
          <w:b/>
          <w:bCs/>
          <w:sz w:val="24"/>
          <w:szCs w:val="24"/>
          <w:rtl/>
          <w:lang w:bidi="ar-DZ"/>
        </w:rPr>
        <w:t xml:space="preserve"> </w:t>
      </w:r>
      <w:r w:rsidRPr="00163A2A">
        <w:rPr>
          <w:rFonts w:asciiTheme="minorBidi" w:hAnsiTheme="minorBidi" w:cs="Arial" w:hint="cs"/>
          <w:b/>
          <w:bCs/>
          <w:sz w:val="24"/>
          <w:szCs w:val="24"/>
          <w:rtl/>
          <w:lang w:bidi="ar-DZ"/>
        </w:rPr>
        <w:t xml:space="preserve"> </w:t>
      </w:r>
      <w:r w:rsidRPr="00163A2A">
        <w:rPr>
          <w:rFonts w:asciiTheme="majorBidi" w:hAnsiTheme="majorBidi" w:cstheme="majorBidi" w:hint="cs"/>
          <w:b/>
          <w:bCs/>
          <w:color w:val="000000" w:themeColor="text1"/>
          <w:sz w:val="20"/>
          <w:szCs w:val="20"/>
          <w:rtl/>
          <w:lang w:val="en-US"/>
        </w:rPr>
        <w:t>(</w:t>
      </w:r>
      <w:r w:rsidRPr="00163A2A">
        <w:rPr>
          <w:rFonts w:asciiTheme="majorBidi" w:hAnsiTheme="majorBidi" w:cstheme="majorBidi"/>
          <w:b/>
          <w:bCs/>
          <w:sz w:val="20"/>
          <w:szCs w:val="20"/>
          <w:lang w:bidi="ar-DZ"/>
        </w:rPr>
        <w:t>4R’s</w:t>
      </w:r>
      <w:r w:rsidRPr="00163A2A">
        <w:rPr>
          <w:rFonts w:asciiTheme="majorBidi" w:hAnsiTheme="majorBidi" w:cstheme="majorBidi"/>
          <w:b/>
          <w:bCs/>
          <w:color w:val="000000" w:themeColor="text1"/>
          <w:sz w:val="20"/>
          <w:szCs w:val="20"/>
        </w:rPr>
        <w:t xml:space="preserve"> </w:t>
      </w:r>
      <w:r w:rsidRPr="00163A2A">
        <w:rPr>
          <w:rFonts w:asciiTheme="majorBidi" w:hAnsiTheme="majorBidi" w:cstheme="majorBidi"/>
          <w:b/>
          <w:bCs/>
          <w:color w:val="000000" w:themeColor="text1"/>
          <w:sz w:val="20"/>
          <w:szCs w:val="20"/>
          <w:lang w:val="en-US"/>
        </w:rPr>
        <w:t>Approach</w:t>
      </w:r>
      <w:r w:rsidRPr="00163A2A">
        <w:rPr>
          <w:rFonts w:asciiTheme="majorBidi" w:hAnsiTheme="majorBidi" w:cstheme="majorBidi" w:hint="cs"/>
          <w:b/>
          <w:bCs/>
          <w:color w:val="000000" w:themeColor="text1"/>
          <w:sz w:val="20"/>
          <w:szCs w:val="20"/>
          <w:rtl/>
          <w:lang w:val="en-US"/>
        </w:rPr>
        <w:t>)</w:t>
      </w:r>
      <w:bookmarkEnd w:id="293"/>
    </w:p>
    <w:p w:rsidR="003E0F31" w:rsidRDefault="003E0F31" w:rsidP="00C62080">
      <w:pPr>
        <w:bidi/>
        <w:spacing w:after="0"/>
        <w:ind w:firstLine="282"/>
        <w:jc w:val="both"/>
        <w:rPr>
          <w:rFonts w:asciiTheme="minorBidi" w:hAnsiTheme="minorBidi" w:cs="Arial"/>
          <w:sz w:val="24"/>
          <w:szCs w:val="24"/>
          <w:rtl/>
          <w:lang w:bidi="ar-DZ"/>
        </w:rPr>
      </w:pPr>
      <w:r w:rsidRPr="00507DB0">
        <w:rPr>
          <w:rFonts w:ascii="Simplified Arabic" w:hAnsi="Simplified Arabic" w:cs="Simplified Arabic"/>
          <w:sz w:val="24"/>
          <w:szCs w:val="24"/>
          <w:rtl/>
          <w:lang w:bidi="ar-DZ"/>
        </w:rPr>
        <w:t xml:space="preserve">حدد الباحثون عددًا من </w:t>
      </w:r>
      <w:r w:rsidRPr="00507DB0">
        <w:rPr>
          <w:rFonts w:ascii="Simplified Arabic" w:hAnsi="Simplified Arabic" w:cs="Simplified Arabic" w:hint="cs"/>
          <w:sz w:val="24"/>
          <w:szCs w:val="24"/>
          <w:rtl/>
          <w:lang w:bidi="ar-DZ"/>
        </w:rPr>
        <w:t>السمات</w:t>
      </w:r>
      <w:r w:rsidRPr="00507DB0">
        <w:rPr>
          <w:rFonts w:ascii="Simplified Arabic" w:hAnsi="Simplified Arabic" w:cs="Simplified Arabic"/>
          <w:sz w:val="24"/>
          <w:szCs w:val="24"/>
          <w:rtl/>
          <w:lang w:bidi="ar-DZ"/>
        </w:rPr>
        <w:t xml:space="preserve"> الموجودة في الأنظمة المرنة التي تتفاعل فيها البيئة </w:t>
      </w:r>
      <w:r w:rsidR="00C62080">
        <w:rPr>
          <w:rFonts w:ascii="Simplified Arabic" w:hAnsi="Simplified Arabic" w:cs="Simplified Arabic" w:hint="cs"/>
          <w:sz w:val="24"/>
          <w:szCs w:val="24"/>
          <w:rtl/>
          <w:lang w:val="en-US"/>
        </w:rPr>
        <w:t>الحضرية</w:t>
      </w:r>
      <w:r w:rsidR="00C62080" w:rsidRPr="00507DB0">
        <w:rPr>
          <w:rFonts w:ascii="Simplified Arabic" w:hAnsi="Simplified Arabic" w:cs="Simplified Arabic"/>
          <w:sz w:val="24"/>
          <w:szCs w:val="24"/>
          <w:rtl/>
          <w:lang w:bidi="ar-DZ"/>
        </w:rPr>
        <w:t xml:space="preserve"> </w:t>
      </w:r>
      <w:r w:rsidRPr="00507DB0">
        <w:rPr>
          <w:rFonts w:ascii="Simplified Arabic" w:hAnsi="Simplified Arabic" w:cs="Simplified Arabic"/>
          <w:sz w:val="24"/>
          <w:szCs w:val="24"/>
          <w:rtl/>
          <w:lang w:bidi="ar-DZ"/>
        </w:rPr>
        <w:t>والأنظمة الاجتماعية. تُستخدم سم</w:t>
      </w:r>
      <w:r w:rsidRPr="00507DB0">
        <w:rPr>
          <w:rFonts w:ascii="Simplified Arabic" w:hAnsi="Simplified Arabic" w:cs="Simplified Arabic" w:hint="cs"/>
          <w:sz w:val="24"/>
          <w:szCs w:val="24"/>
          <w:rtl/>
          <w:lang w:bidi="ar-DZ"/>
        </w:rPr>
        <w:t>ات</w:t>
      </w:r>
      <w:r w:rsidRPr="00507DB0">
        <w:rPr>
          <w:rFonts w:ascii="Simplified Arabic" w:hAnsi="Simplified Arabic" w:cs="Simplified Arabic"/>
          <w:sz w:val="24"/>
          <w:szCs w:val="24"/>
          <w:rtl/>
          <w:lang w:bidi="ar-DZ"/>
        </w:rPr>
        <w:t xml:space="preserve"> المرونة هذه في الغالب في الهندسة لنقل تعريف ثابت أكثر ضيقًا للمرونة المرتبط بتخفيف الكوارث</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Pierce et al., 2011</w:t>
      </w:r>
      <w:r w:rsidRPr="00507DB0">
        <w:rPr>
          <w:rFonts w:asciiTheme="majorBidi" w:hAnsiTheme="majorBidi" w:cstheme="majorBidi"/>
          <w:sz w:val="24"/>
          <w:szCs w:val="24"/>
          <w:rtl/>
        </w:rPr>
        <w:t>)</w:t>
      </w:r>
      <w:r w:rsidRPr="00507DB0">
        <w:rPr>
          <w:rFonts w:ascii="Simplified Arabic" w:hAnsi="Simplified Arabic" w:cs="Simplified Arabic"/>
          <w:sz w:val="24"/>
          <w:szCs w:val="24"/>
          <w:rtl/>
          <w:lang w:bidi="ar-DZ"/>
        </w:rPr>
        <w:t>.</w:t>
      </w:r>
      <w:r w:rsidRPr="00507DB0">
        <w:rPr>
          <w:rFonts w:asciiTheme="minorBidi" w:hAnsiTheme="minorBidi" w:cs="Arial"/>
          <w:sz w:val="24"/>
          <w:szCs w:val="24"/>
          <w:rtl/>
          <w:lang w:bidi="ar-DZ"/>
        </w:rPr>
        <w:t xml:space="preserve"> </w:t>
      </w:r>
      <w:r w:rsidRPr="00507DB0">
        <w:rPr>
          <w:rFonts w:ascii="Simplified Arabic" w:hAnsi="Simplified Arabic" w:cs="Simplified Arabic"/>
          <w:sz w:val="24"/>
          <w:szCs w:val="24"/>
          <w:rtl/>
          <w:lang w:bidi="ar-DZ"/>
        </w:rPr>
        <w:t>لقد أشاروا إلى أن المرونة تتطلب مزيجًا من التكرار والكفاءة والتنوع والاعتماد المتبادل والقوة والمرونة والاستقلالية والتعاون والتخطيط والقدرة على التكيف</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Pr>
        <w:t>(Godschalk, 2003; Zimmerman, 2001)</w:t>
      </w:r>
      <w:r w:rsidRPr="00507DB0">
        <w:rPr>
          <w:rFonts w:ascii="Simplified Arabic" w:hAnsi="Simplified Arabic" w:cs="Simplified Arabic"/>
          <w:sz w:val="24"/>
          <w:szCs w:val="24"/>
          <w:rtl/>
          <w:lang w:bidi="ar-DZ"/>
        </w:rPr>
        <w:t>.</w:t>
      </w:r>
      <w:r w:rsidRPr="00507DB0">
        <w:rPr>
          <w:rFonts w:asciiTheme="minorBidi" w:hAnsiTheme="minorBidi" w:cs="Arial"/>
          <w:sz w:val="24"/>
          <w:szCs w:val="24"/>
          <w:rtl/>
          <w:lang w:bidi="ar-DZ"/>
        </w:rPr>
        <w:t xml:space="preserve"> </w:t>
      </w:r>
    </w:p>
    <w:p w:rsidR="003E0F31" w:rsidRPr="007A308E" w:rsidRDefault="003E0F31" w:rsidP="003E0F31">
      <w:pPr>
        <w:bidi/>
        <w:spacing w:after="0"/>
        <w:ind w:firstLine="282"/>
        <w:jc w:val="both"/>
        <w:rPr>
          <w:rFonts w:asciiTheme="majorBidi" w:hAnsiTheme="majorBidi" w:cstheme="majorBidi"/>
          <w:sz w:val="24"/>
          <w:szCs w:val="24"/>
          <w:rtl/>
          <w:lang w:bidi="ar-DZ"/>
        </w:rPr>
      </w:pPr>
      <w:r w:rsidRPr="00507DB0">
        <w:rPr>
          <w:rFonts w:ascii="Simplified Arabic" w:hAnsi="Simplified Arabic" w:cs="Simplified Arabic" w:hint="cs"/>
          <w:sz w:val="24"/>
          <w:szCs w:val="24"/>
          <w:rtl/>
          <w:lang w:bidi="ar-DZ"/>
        </w:rPr>
        <w:t>تدرك</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الهندسية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العودة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إلى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حالة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الاضطراب</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السابقة،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بينما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تفترض</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 البيئية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حالات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مستقرة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متعددة</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tl/>
          <w:lang w:bidi="ar-DZ"/>
        </w:rPr>
        <w:t>(</w:t>
      </w:r>
      <w:r w:rsidRPr="00507DB0">
        <w:rPr>
          <w:rFonts w:asciiTheme="majorBidi" w:hAnsiTheme="majorBidi" w:cstheme="majorBidi"/>
          <w:sz w:val="24"/>
          <w:szCs w:val="24"/>
          <w:lang w:bidi="ar-DZ"/>
        </w:rPr>
        <w:t>Holling, 1973; Meerow et al., 2016</w:t>
      </w:r>
      <w:r w:rsidRPr="00507DB0">
        <w:rPr>
          <w:rFonts w:asciiTheme="majorBidi" w:hAnsiTheme="majorBidi" w:cstheme="majorBidi"/>
          <w:sz w:val="24"/>
          <w:szCs w:val="24"/>
          <w:rtl/>
          <w:lang w:bidi="ar-DZ"/>
        </w:rPr>
        <w:t>)</w:t>
      </w:r>
      <w:r w:rsidRPr="00507DB0">
        <w:rPr>
          <w:rFonts w:asciiTheme="minorBidi" w:hAnsiTheme="minorBidi" w:cs="Arial"/>
          <w:sz w:val="24"/>
          <w:szCs w:val="24"/>
          <w:rtl/>
          <w:lang w:bidi="ar-DZ"/>
        </w:rPr>
        <w:t>.</w:t>
      </w:r>
      <w:r w:rsidRPr="00507DB0">
        <w:rPr>
          <w:rFonts w:asciiTheme="minorBidi" w:hAnsiTheme="minorBidi" w:cs="Arial" w:hint="cs"/>
          <w:sz w:val="24"/>
          <w:szCs w:val="24"/>
          <w:rtl/>
          <w:lang w:bidi="ar-DZ"/>
        </w:rPr>
        <w:t xml:space="preserve"> </w:t>
      </w:r>
      <w:r w:rsidRPr="00507DB0">
        <w:rPr>
          <w:rFonts w:ascii="Simplified Arabic" w:hAnsi="Simplified Arabic" w:cs="Simplified Arabic" w:hint="cs"/>
          <w:sz w:val="24"/>
          <w:szCs w:val="24"/>
          <w:rtl/>
          <w:lang w:bidi="ar-DZ"/>
        </w:rPr>
        <w:t>قام</w:t>
      </w:r>
      <w:r w:rsidRPr="00507DB0">
        <w:rPr>
          <w:rFonts w:asciiTheme="minorBidi" w:hAnsiTheme="minorBidi" w:cs="Arial" w:hint="cs"/>
          <w:sz w:val="24"/>
          <w:szCs w:val="24"/>
          <w:rtl/>
          <w:lang w:bidi="ar-DZ"/>
        </w:rPr>
        <w:t xml:space="preserve"> </w:t>
      </w:r>
      <w:r w:rsidRPr="00507DB0">
        <w:rPr>
          <w:rFonts w:asciiTheme="majorBidi" w:hAnsiTheme="majorBidi" w:cstheme="majorBidi"/>
          <w:sz w:val="24"/>
          <w:szCs w:val="24"/>
        </w:rPr>
        <w:t>(Bruneau et al., 2003)</w:t>
      </w:r>
      <w:r w:rsidRPr="00507DB0">
        <w:rPr>
          <w:rFonts w:asciiTheme="minorBidi" w:hAnsiTheme="minorBidi" w:cs="Arial"/>
          <w:sz w:val="24"/>
          <w:szCs w:val="24"/>
          <w:rtl/>
          <w:lang w:bidi="ar-DZ"/>
        </w:rPr>
        <w:t xml:space="preserve"> </w:t>
      </w:r>
      <w:r w:rsidRPr="00507DB0">
        <w:rPr>
          <w:rFonts w:ascii="Simplified Arabic" w:hAnsi="Simplified Arabic" w:cs="Simplified Arabic" w:hint="cs"/>
          <w:sz w:val="24"/>
          <w:szCs w:val="24"/>
          <w:rtl/>
          <w:lang w:bidi="ar-DZ"/>
        </w:rPr>
        <w:t>بتجميع</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هذين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التعريفين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وتقديم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إطار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عمل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يشير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إلى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أنه</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يمكن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قياس</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خلال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أربعة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خصائص</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محددة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للأنظمة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بناءً</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ذلك،</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طوّر</w:t>
      </w:r>
      <w:r w:rsidRPr="00507DB0">
        <w:rPr>
          <w:rFonts w:ascii="Simplified Arabic" w:hAnsi="Simplified Arabic" w:cs="Simplified Arabic"/>
          <w:sz w:val="24"/>
          <w:szCs w:val="24"/>
          <w:rtl/>
          <w:lang w:bidi="ar-DZ"/>
        </w:rPr>
        <w:t xml:space="preserve"> </w:t>
      </w:r>
      <w:r w:rsidRPr="00507DB0">
        <w:rPr>
          <w:rFonts w:asciiTheme="majorBidi" w:hAnsiTheme="majorBidi" w:cstheme="majorBidi"/>
          <w:sz w:val="24"/>
          <w:szCs w:val="24"/>
        </w:rPr>
        <w:t>(Bruneau et al., 2003)</w:t>
      </w:r>
      <w:r w:rsidRPr="00507DB0">
        <w:rPr>
          <w:rFonts w:ascii="Calibri" w:hAnsi="Calibri" w:cs="Calibri" w:hint="cs"/>
          <w:rtl/>
        </w:rPr>
        <w:t xml:space="preserve"> </w:t>
      </w:r>
      <w:r w:rsidRPr="00507DB0">
        <w:rPr>
          <w:rFonts w:ascii="Simplified Arabic" w:hAnsi="Simplified Arabic" w:cs="Simplified Arabic" w:hint="cs"/>
          <w:sz w:val="24"/>
          <w:szCs w:val="24"/>
          <w:rtl/>
          <w:lang w:bidi="ar-DZ"/>
        </w:rPr>
        <w:t>مفهوم</w:t>
      </w:r>
      <w:r w:rsidRPr="00507DB0">
        <w:rPr>
          <w:rFonts w:ascii="Simplified Arabic" w:hAnsi="Simplified Arabic" w:cs="Simplified Arabic"/>
          <w:sz w:val="24"/>
          <w:szCs w:val="24"/>
          <w:rtl/>
          <w:lang w:bidi="ar-DZ"/>
        </w:rPr>
        <w:t xml:space="preserve"> </w:t>
      </w:r>
      <w:r w:rsidRPr="00507DB0">
        <w:rPr>
          <w:rFonts w:asciiTheme="majorBidi" w:hAnsiTheme="majorBidi" w:cstheme="majorBidi"/>
          <w:sz w:val="24"/>
          <w:szCs w:val="24"/>
        </w:rPr>
        <w:t>4R’s</w:t>
      </w:r>
      <w:r w:rsidRPr="00507DB0">
        <w:rPr>
          <w:rFonts w:ascii="Calibri" w:hAnsi="Calibri" w:cs="Calibri" w:hint="cs"/>
          <w:rtl/>
        </w:rPr>
        <w:t xml:space="preserve"> </w:t>
      </w:r>
      <w:r w:rsidRPr="00507DB0">
        <w:rPr>
          <w:rFonts w:ascii="Simplified Arabic" w:hAnsi="Simplified Arabic" w:cs="Simplified Arabic" w:hint="cs"/>
          <w:sz w:val="24"/>
          <w:szCs w:val="24"/>
          <w:rtl/>
          <w:lang w:bidi="ar-DZ"/>
        </w:rPr>
        <w:t>لنمذجة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توضح</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أربع</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خصائص</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البنى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التحتية: المتانة، السرعة، التكرار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وسعة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 xml:space="preserve">الحيلة </w:t>
      </w:r>
      <w:r w:rsidRPr="00507DB0">
        <w:rPr>
          <w:rFonts w:asciiTheme="majorBidi" w:hAnsiTheme="majorBidi" w:cstheme="majorBidi"/>
          <w:sz w:val="24"/>
          <w:szCs w:val="24"/>
          <w:rtl/>
          <w:lang w:bidi="ar-DZ"/>
        </w:rPr>
        <w:t>(</w:t>
      </w:r>
      <w:r w:rsidRPr="00507DB0">
        <w:rPr>
          <w:rFonts w:asciiTheme="majorBidi" w:hAnsiTheme="majorBidi" w:cstheme="majorBidi"/>
          <w:sz w:val="24"/>
          <w:szCs w:val="24"/>
          <w:lang w:val="en-US"/>
        </w:rPr>
        <w:t xml:space="preserve">Rapidity, Robustness, Redundancy and Resourcefulness </w:t>
      </w:r>
      <w:r w:rsidRPr="00507DB0">
        <w:rPr>
          <w:rFonts w:asciiTheme="majorBidi" w:hAnsiTheme="majorBidi" w:cstheme="majorBidi"/>
          <w:sz w:val="24"/>
          <w:szCs w:val="24"/>
          <w:rtl/>
          <w:lang w:bidi="ar-DZ"/>
        </w:rPr>
        <w:t>)</w:t>
      </w:r>
      <w:r w:rsidRPr="00507DB0">
        <w:rPr>
          <w:rFonts w:asciiTheme="majorBidi" w:hAnsiTheme="majorBidi" w:cstheme="majorBidi"/>
          <w:sz w:val="24"/>
          <w:szCs w:val="24"/>
          <w:lang w:bidi="ar-DZ"/>
        </w:rPr>
        <w:t>.</w:t>
      </w:r>
    </w:p>
    <w:p w:rsidR="003E0F31" w:rsidRDefault="003E0F31" w:rsidP="00306703">
      <w:pPr>
        <w:bidi/>
        <w:spacing w:after="0"/>
        <w:ind w:firstLine="282"/>
        <w:jc w:val="both"/>
        <w:rPr>
          <w:rFonts w:ascii="Simplified Arabic" w:hAnsi="Simplified Arabic" w:cs="Simplified Arabic"/>
          <w:sz w:val="24"/>
          <w:szCs w:val="24"/>
          <w:rtl/>
          <w:lang w:bidi="ar-DZ"/>
        </w:rPr>
      </w:pPr>
      <w:r w:rsidRPr="008B5934">
        <w:rPr>
          <w:rFonts w:ascii="Simplified Arabic" w:hAnsi="Simplified Arabic" w:cs="Simplified Arabic" w:hint="cs"/>
          <w:sz w:val="24"/>
          <w:szCs w:val="24"/>
          <w:rtl/>
          <w:lang w:bidi="ar-DZ"/>
        </w:rPr>
        <w:t>تشير</w:t>
      </w:r>
      <w:r w:rsidRPr="008B593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8B5934">
        <w:rPr>
          <w:rFonts w:ascii="Simplified Arabic" w:hAnsi="Simplified Arabic" w:cs="Simplified Arabic" w:hint="cs"/>
          <w:sz w:val="24"/>
          <w:szCs w:val="24"/>
          <w:rtl/>
          <w:lang w:bidi="ar-DZ"/>
        </w:rPr>
        <w:t>المتانة</w:t>
      </w:r>
      <w:r>
        <w:rPr>
          <w:rFonts w:ascii="Simplified Arabic" w:hAnsi="Simplified Arabic" w:cs="Simplified Arabic" w:hint="cs"/>
          <w:sz w:val="24"/>
          <w:szCs w:val="24"/>
          <w:rtl/>
          <w:lang w:bidi="ar-DZ"/>
        </w:rPr>
        <w:t>"</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إلى</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قدرة</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عناصر</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النظام</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أو</w:t>
      </w:r>
      <w:r w:rsidRPr="008B593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قوته</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على</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تحمل</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الصدمات</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دون</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تدهور</w:t>
      </w:r>
      <w:r>
        <w:rPr>
          <w:rFonts w:ascii="Simplified Arabic" w:hAnsi="Simplified Arabic" w:cs="Simplified Arabic" w:hint="cs"/>
          <w:sz w:val="24"/>
          <w:szCs w:val="24"/>
          <w:rtl/>
          <w:lang w:bidi="ar-DZ"/>
        </w:rPr>
        <w:t xml:space="preserve"> كبير</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أو</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فقدان</w:t>
      </w:r>
      <w:r w:rsidRPr="008B593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وظيفته</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يظهر</w:t>
      </w:r>
      <w:r w:rsidRPr="008B593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8B5934">
        <w:rPr>
          <w:rFonts w:ascii="Simplified Arabic" w:hAnsi="Simplified Arabic" w:cs="Simplified Arabic" w:hint="cs"/>
          <w:sz w:val="24"/>
          <w:szCs w:val="24"/>
          <w:rtl/>
          <w:lang w:bidi="ar-DZ"/>
        </w:rPr>
        <w:t>التكرار</w:t>
      </w:r>
      <w:r>
        <w:rPr>
          <w:rFonts w:ascii="Simplified Arabic" w:hAnsi="Simplified Arabic" w:cs="Simplified Arabic" w:hint="cs"/>
          <w:sz w:val="24"/>
          <w:szCs w:val="24"/>
          <w:rtl/>
          <w:lang w:bidi="ar-DZ"/>
        </w:rPr>
        <w:t xml:space="preserve">" </w:t>
      </w:r>
      <w:r w:rsidRPr="008B5934">
        <w:rPr>
          <w:rFonts w:ascii="Simplified Arabic" w:hAnsi="Simplified Arabic" w:cs="Simplified Arabic" w:hint="cs"/>
          <w:sz w:val="24"/>
          <w:szCs w:val="24"/>
          <w:rtl/>
          <w:lang w:bidi="ar-DZ"/>
        </w:rPr>
        <w:t>إلى</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أي</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مدى</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يمكن</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استبدال</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عناصر</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النظام</w:t>
      </w:r>
      <w:r>
        <w:rPr>
          <w:rFonts w:ascii="Simplified Arabic" w:hAnsi="Simplified Arabic" w:cs="Simplified Arabic" w:hint="cs"/>
          <w:sz w:val="24"/>
          <w:szCs w:val="24"/>
          <w:rtl/>
          <w:lang w:bidi="ar-DZ"/>
        </w:rPr>
        <w:t xml:space="preserve"> بعناصر اخرى في حالة تلف بعضها</w:t>
      </w:r>
      <w:r w:rsidRPr="008B593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8B5934">
        <w:rPr>
          <w:rFonts w:ascii="Simplified Arabic" w:hAnsi="Simplified Arabic" w:cs="Simplified Arabic" w:hint="cs"/>
          <w:sz w:val="24"/>
          <w:szCs w:val="24"/>
          <w:rtl/>
          <w:lang w:bidi="ar-DZ"/>
        </w:rPr>
        <w:t>الحيلة</w:t>
      </w:r>
      <w:r>
        <w:rPr>
          <w:rFonts w:ascii="Simplified Arabic" w:hAnsi="Simplified Arabic" w:cs="Simplified Arabic" w:hint="cs"/>
          <w:sz w:val="24"/>
          <w:szCs w:val="24"/>
          <w:rtl/>
          <w:lang w:bidi="ar-DZ"/>
        </w:rPr>
        <w:t>"</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هي</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قدرة</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المجتمعات</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على</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تحديد</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المشاكل</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وتحديد</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الأولويات</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وتعبئة</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الموارد</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عندما</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تهدد</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الظروف</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بتعطيل</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بعض</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عناصر</w:t>
      </w:r>
      <w:r w:rsidRPr="008B5934">
        <w:rPr>
          <w:rFonts w:ascii="Simplified Arabic" w:hAnsi="Simplified Arabic" w:cs="Simplified Arabic"/>
          <w:sz w:val="24"/>
          <w:szCs w:val="24"/>
          <w:rtl/>
          <w:lang w:bidi="ar-DZ"/>
        </w:rPr>
        <w:t xml:space="preserve"> </w:t>
      </w:r>
      <w:r w:rsidRPr="008B5934">
        <w:rPr>
          <w:rFonts w:ascii="Simplified Arabic" w:hAnsi="Simplified Arabic" w:cs="Simplified Arabic" w:hint="cs"/>
          <w:sz w:val="24"/>
          <w:szCs w:val="24"/>
          <w:rtl/>
          <w:lang w:bidi="ar-DZ"/>
        </w:rPr>
        <w:t>النظام</w:t>
      </w:r>
      <w:r w:rsidRPr="008B5934">
        <w:rPr>
          <w:rFonts w:ascii="Simplified Arabic" w:hAnsi="Simplified Arabic" w:cs="Simplified Arabic"/>
          <w:sz w:val="24"/>
          <w:szCs w:val="24"/>
          <w:rtl/>
          <w:lang w:bidi="ar-DZ"/>
        </w:rPr>
        <w:t xml:space="preserve">. </w:t>
      </w:r>
    </w:p>
    <w:p w:rsidR="00C7475E" w:rsidRPr="008B5934" w:rsidRDefault="00C7475E" w:rsidP="00C7475E">
      <w:pPr>
        <w:bidi/>
        <w:spacing w:after="0"/>
        <w:ind w:firstLine="282"/>
        <w:jc w:val="both"/>
        <w:rPr>
          <w:rFonts w:ascii="Simplified Arabic" w:hAnsi="Simplified Arabic" w:cs="Simplified Arabic"/>
          <w:sz w:val="24"/>
          <w:szCs w:val="24"/>
          <w:rtl/>
          <w:lang w:bidi="ar-DZ"/>
        </w:rPr>
      </w:pPr>
    </w:p>
    <w:p w:rsidR="003E0F31" w:rsidRPr="00E62ABA" w:rsidRDefault="003E0F31" w:rsidP="00C7475E">
      <w:pPr>
        <w:pStyle w:val="Paragraphedeliste"/>
        <w:numPr>
          <w:ilvl w:val="3"/>
          <w:numId w:val="205"/>
        </w:numPr>
        <w:tabs>
          <w:tab w:val="right" w:pos="992"/>
        </w:tabs>
        <w:bidi/>
        <w:spacing w:after="0"/>
        <w:ind w:left="0" w:firstLine="0"/>
        <w:jc w:val="both"/>
        <w:outlineLvl w:val="2"/>
        <w:rPr>
          <w:rFonts w:ascii="Simplified Arabic" w:hAnsi="Simplified Arabic" w:cs="Simplified Arabic"/>
          <w:b/>
          <w:bCs/>
          <w:sz w:val="24"/>
          <w:szCs w:val="24"/>
          <w:lang w:bidi="ar-DZ"/>
        </w:rPr>
      </w:pPr>
      <w:bookmarkStart w:id="294" w:name="_Toc171803434"/>
      <w:r w:rsidRPr="00E62ABA">
        <w:rPr>
          <w:rFonts w:ascii="Simplified Arabic" w:hAnsi="Simplified Arabic" w:cs="Simplified Arabic" w:hint="cs"/>
          <w:b/>
          <w:bCs/>
          <w:sz w:val="24"/>
          <w:szCs w:val="24"/>
          <w:rtl/>
          <w:lang w:bidi="ar-DZ"/>
        </w:rPr>
        <w:lastRenderedPageBreak/>
        <w:t>نهج</w:t>
      </w:r>
      <w:r w:rsidRPr="00E62ABA">
        <w:rPr>
          <w:rFonts w:ascii="Simplified Arabic" w:hAnsi="Simplified Arabic" w:cs="Simplified Arabic"/>
          <w:b/>
          <w:bCs/>
          <w:sz w:val="24"/>
          <w:szCs w:val="24"/>
          <w:rtl/>
          <w:lang w:bidi="ar-DZ"/>
        </w:rPr>
        <w:t xml:space="preserve"> </w:t>
      </w:r>
      <w:r w:rsidRPr="00E62ABA">
        <w:rPr>
          <w:rFonts w:ascii="Simplified Arabic" w:hAnsi="Simplified Arabic" w:cs="Simplified Arabic" w:hint="cs"/>
          <w:b/>
          <w:bCs/>
          <w:sz w:val="24"/>
          <w:szCs w:val="24"/>
          <w:rtl/>
          <w:lang w:bidi="ar-DZ"/>
        </w:rPr>
        <w:t xml:space="preserve">الأنظمة </w:t>
      </w:r>
      <w:r w:rsidRPr="00E62ABA">
        <w:rPr>
          <w:rFonts w:asciiTheme="majorBidi" w:hAnsiTheme="majorBidi" w:cstheme="majorBidi"/>
          <w:b/>
          <w:bCs/>
          <w:sz w:val="20"/>
          <w:szCs w:val="20"/>
          <w:rtl/>
          <w:lang w:bidi="ar-DZ"/>
        </w:rPr>
        <w:t>(</w:t>
      </w:r>
      <w:r w:rsidRPr="00E62ABA">
        <w:rPr>
          <w:rFonts w:asciiTheme="majorBidi" w:hAnsiTheme="majorBidi" w:cstheme="majorBidi"/>
          <w:b/>
          <w:bCs/>
          <w:color w:val="000000" w:themeColor="text1"/>
          <w:sz w:val="20"/>
          <w:szCs w:val="20"/>
          <w:lang w:val="en-US"/>
        </w:rPr>
        <w:t>Systems Approach</w:t>
      </w:r>
      <w:r w:rsidRPr="00E62ABA">
        <w:rPr>
          <w:rFonts w:asciiTheme="majorBidi" w:hAnsiTheme="majorBidi" w:cstheme="majorBidi"/>
          <w:b/>
          <w:bCs/>
          <w:color w:val="000000" w:themeColor="text1"/>
          <w:sz w:val="20"/>
          <w:szCs w:val="20"/>
          <w:rtl/>
          <w:lang w:val="en-US"/>
        </w:rPr>
        <w:t>)</w:t>
      </w:r>
      <w:bookmarkEnd w:id="294"/>
    </w:p>
    <w:p w:rsidR="003E0F31" w:rsidRDefault="003E0F31" w:rsidP="004F1363">
      <w:pPr>
        <w:autoSpaceDE w:val="0"/>
        <w:autoSpaceDN w:val="0"/>
        <w:bidi/>
        <w:adjustRightInd w:val="0"/>
        <w:spacing w:after="0"/>
        <w:jc w:val="both"/>
        <w:rPr>
          <w:rFonts w:asciiTheme="minorBidi" w:hAnsiTheme="minorBidi" w:cs="Arial"/>
          <w:sz w:val="24"/>
          <w:szCs w:val="24"/>
          <w:rtl/>
          <w:lang w:bidi="ar-DZ"/>
        </w:rPr>
      </w:pPr>
      <w:r w:rsidRPr="00507DB0">
        <w:rPr>
          <w:rFonts w:asciiTheme="minorBidi" w:hAnsiTheme="minorBidi" w:cs="Arial" w:hint="cs"/>
          <w:sz w:val="24"/>
          <w:szCs w:val="24"/>
          <w:rtl/>
          <w:lang w:bidi="ar-DZ"/>
        </w:rPr>
        <w:t xml:space="preserve">    </w:t>
      </w:r>
      <w:r w:rsidRPr="00507DB0">
        <w:rPr>
          <w:rFonts w:ascii="Simplified Arabic" w:hAnsi="Simplified Arabic" w:cs="Simplified Arabic"/>
          <w:sz w:val="24"/>
          <w:szCs w:val="24"/>
          <w:rtl/>
          <w:lang w:bidi="ar-DZ"/>
        </w:rPr>
        <w:t xml:space="preserve">يهدف نهج الأنظمة إلى تحديد </w:t>
      </w:r>
      <w:r w:rsidRPr="00507DB0">
        <w:rPr>
          <w:rFonts w:ascii="Simplified Arabic" w:hAnsi="Simplified Arabic" w:cs="Simplified Arabic" w:hint="cs"/>
          <w:sz w:val="24"/>
          <w:szCs w:val="24"/>
          <w:rtl/>
          <w:lang w:bidi="ar-DZ"/>
        </w:rPr>
        <w:t>ال</w:t>
      </w:r>
      <w:r w:rsidRPr="00507DB0">
        <w:rPr>
          <w:rFonts w:ascii="Simplified Arabic" w:hAnsi="Simplified Arabic" w:cs="Simplified Arabic"/>
          <w:sz w:val="24"/>
          <w:szCs w:val="24"/>
          <w:rtl/>
          <w:lang w:bidi="ar-DZ"/>
        </w:rPr>
        <w:t xml:space="preserve">تفاعلات </w:t>
      </w:r>
      <w:r w:rsidRPr="00507DB0">
        <w:rPr>
          <w:rFonts w:ascii="Simplified Arabic" w:hAnsi="Simplified Arabic" w:cs="Simplified Arabic" w:hint="cs"/>
          <w:sz w:val="24"/>
          <w:szCs w:val="24"/>
          <w:rtl/>
          <w:lang w:bidi="ar-DZ"/>
        </w:rPr>
        <w:t>لكل ال</w:t>
      </w:r>
      <w:r w:rsidRPr="00507DB0">
        <w:rPr>
          <w:rFonts w:ascii="Simplified Arabic" w:hAnsi="Simplified Arabic" w:cs="Simplified Arabic"/>
          <w:sz w:val="24"/>
          <w:szCs w:val="24"/>
          <w:rtl/>
          <w:lang w:bidi="ar-DZ"/>
        </w:rPr>
        <w:t>جهات الفاعلة أو المكونات المختلفة ضمن حدود معينة</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Pr>
        <w:t>(Mayada, 2011)</w:t>
      </w:r>
      <w:r w:rsidRPr="00507DB0">
        <w:rPr>
          <w:rFonts w:asciiTheme="minorBidi" w:hAnsiTheme="minorBidi" w:cs="Arial"/>
          <w:sz w:val="24"/>
          <w:szCs w:val="24"/>
          <w:rtl/>
          <w:lang w:bidi="ar-DZ"/>
        </w:rPr>
        <w:t xml:space="preserve">. </w:t>
      </w:r>
      <w:r w:rsidRPr="00507DB0">
        <w:rPr>
          <w:rFonts w:ascii="Simplified Arabic" w:hAnsi="Simplified Arabic" w:cs="Simplified Arabic" w:hint="cs"/>
          <w:sz w:val="24"/>
          <w:szCs w:val="24"/>
          <w:rtl/>
          <w:lang w:bidi="ar-DZ"/>
        </w:rPr>
        <w:t>تفكير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الأنظمة،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هو</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نهج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يوفر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أدوات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نظرية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وعملية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لفهم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وتحليل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مواقف</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العالم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الواقعي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المعقدة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إنه</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نهج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قوي،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لأنه</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يمكّن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الباحثين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أو</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المراقبين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التفكير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السلوك</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المعقد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ووصفه</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وفهمه</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بعبارات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بسيطة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ولكنها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صارمة</w:t>
      </w:r>
      <w:r w:rsidRPr="00507DB0">
        <w:rPr>
          <w:rFonts w:asciiTheme="minorBidi" w:hAnsiTheme="minorBidi" w:cs="Arial" w:hint="cs"/>
          <w:sz w:val="24"/>
          <w:szCs w:val="24"/>
          <w:rtl/>
          <w:lang w:bidi="ar-DZ"/>
        </w:rPr>
        <w:t xml:space="preserve"> </w:t>
      </w:r>
      <w:r w:rsidRPr="00507DB0">
        <w:rPr>
          <w:rFonts w:asciiTheme="majorBidi" w:hAnsiTheme="majorBidi" w:cstheme="majorBidi"/>
          <w:sz w:val="24"/>
          <w:szCs w:val="24"/>
        </w:rPr>
        <w:t>Marais, 2015)</w:t>
      </w:r>
      <w:r w:rsidRPr="00507DB0">
        <w:rPr>
          <w:rFonts w:asciiTheme="minorBidi" w:hAnsiTheme="minorBidi" w:cs="Arial" w:hint="cs"/>
          <w:sz w:val="24"/>
          <w:szCs w:val="24"/>
          <w:rtl/>
          <w:lang w:bidi="ar-DZ"/>
        </w:rPr>
        <w:t xml:space="preserve"> </w:t>
      </w:r>
      <w:r w:rsidRPr="00507DB0">
        <w:rPr>
          <w:rFonts w:asciiTheme="majorBidi" w:hAnsiTheme="majorBidi" w:cstheme="majorBidi"/>
          <w:sz w:val="24"/>
          <w:szCs w:val="24"/>
        </w:rPr>
        <w:t>(Uday &amp;</w:t>
      </w:r>
      <w:r w:rsidRPr="00507DB0">
        <w:rPr>
          <w:rFonts w:ascii="Simplified Arabic" w:hAnsi="Simplified Arabic" w:cs="Simplified Arabic"/>
          <w:sz w:val="24"/>
          <w:szCs w:val="24"/>
          <w:rtl/>
          <w:lang w:bidi="ar-DZ"/>
        </w:rPr>
        <w:t>.</w:t>
      </w:r>
      <w:r w:rsidRPr="00507DB0">
        <w:rPr>
          <w:rFonts w:asciiTheme="minorBidi" w:hAnsiTheme="minorBidi" w:cs="Arial"/>
          <w:sz w:val="24"/>
          <w:szCs w:val="24"/>
          <w:rtl/>
          <w:lang w:bidi="ar-DZ"/>
        </w:rPr>
        <w:t xml:space="preserve"> </w:t>
      </w:r>
      <w:r w:rsidRPr="00507DB0">
        <w:rPr>
          <w:rFonts w:ascii="Simplified Arabic" w:hAnsi="Simplified Arabic" w:cs="Simplified Arabic" w:hint="cs"/>
          <w:sz w:val="24"/>
          <w:szCs w:val="24"/>
          <w:rtl/>
          <w:lang w:bidi="ar-DZ"/>
        </w:rPr>
        <w:t>الأدوات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المستخدمة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نهج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تفكير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الانظمة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يسهل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فهم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ونمذجة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عمليات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النظام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وديناميكيات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العودة الى الوضع السابق</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استخدام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هذا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النهج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تطوير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مخططات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الأنظمة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وتقييم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البنية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التحتية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الشبكية</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lang w:bidi="ar-DZ"/>
        </w:rPr>
        <w:t>NIRA</w:t>
      </w:r>
      <w:r w:rsidRPr="00507DB0">
        <w:rPr>
          <w:rFonts w:asciiTheme="minorBidi" w:hAnsiTheme="minorBidi" w:cs="Arial"/>
          <w:sz w:val="24"/>
          <w:szCs w:val="24"/>
          <w:rtl/>
          <w:lang w:bidi="ar-DZ"/>
        </w:rPr>
        <w:t>)</w:t>
      </w:r>
      <w:r w:rsidRPr="00507DB0">
        <w:rPr>
          <w:rFonts w:ascii="Simplified Arabic" w:hAnsi="Simplified Arabic" w:cs="Simplified Arabic"/>
          <w:sz w:val="24"/>
          <w:szCs w:val="24"/>
          <w:rtl/>
          <w:lang w:bidi="ar-DZ"/>
        </w:rPr>
        <w:t>.</w:t>
      </w:r>
      <w:r w:rsidRPr="00507DB0">
        <w:rPr>
          <w:rFonts w:asciiTheme="minorBidi" w:hAnsiTheme="minorBidi" w:cs="Arial"/>
          <w:sz w:val="24"/>
          <w:szCs w:val="24"/>
          <w:rtl/>
          <w:lang w:bidi="ar-DZ"/>
        </w:rPr>
        <w:t xml:space="preserve"> </w:t>
      </w:r>
      <w:r w:rsidRPr="00507DB0">
        <w:rPr>
          <w:rFonts w:ascii="Simplified Arabic" w:hAnsi="Simplified Arabic" w:cs="Simplified Arabic" w:hint="cs"/>
          <w:sz w:val="24"/>
          <w:szCs w:val="24"/>
          <w:rtl/>
          <w:lang w:bidi="ar-DZ"/>
        </w:rPr>
        <w:t>كثيرًا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توصف</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بأنها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نظام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أو</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نظام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لأنظمة</w:t>
      </w:r>
      <w:r w:rsidRPr="00507DB0">
        <w:rPr>
          <w:rFonts w:ascii="Simplified Arabic" w:hAnsi="Simplified Arabic" w:cs="Simplified Arabic"/>
          <w:sz w:val="24"/>
          <w:szCs w:val="24"/>
          <w:rtl/>
          <w:lang w:bidi="ar-DZ"/>
        </w:rPr>
        <w:t>"</w:t>
      </w:r>
      <w:r w:rsidRPr="00507DB0">
        <w:rPr>
          <w:rFonts w:ascii="Simplified Arabic" w:hAnsi="Simplified Arabic" w:cs="Simplified Arabic" w:hint="cs"/>
          <w:sz w:val="24"/>
          <w:szCs w:val="24"/>
          <w:rtl/>
          <w:lang w:bidi="ar-DZ"/>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 xml:space="preserve">system of </w:t>
      </w:r>
      <w:r w:rsidRPr="00507DB0">
        <w:rPr>
          <w:rFonts w:asciiTheme="majorBidi" w:hAnsiTheme="majorBidi" w:cstheme="majorBidi"/>
          <w:sz w:val="24"/>
          <w:szCs w:val="24"/>
          <w:lang w:val="en-US"/>
        </w:rPr>
        <w:t>systems</w:t>
      </w:r>
      <w:r w:rsidRPr="00507DB0">
        <w:rPr>
          <w:rFonts w:asciiTheme="majorBidi" w:hAnsiTheme="majorBidi" w:cstheme="majorBidi"/>
          <w:sz w:val="24"/>
          <w:szCs w:val="24"/>
          <w:rtl/>
        </w:rPr>
        <w:t>)</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عادةً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يشير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نهج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الأنظمة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إلى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وجهة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نظر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كنظام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ذاتي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التنظيم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أو</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مجموعة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الأنظمة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تقوم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بالتصحيح</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الذاتي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خلال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ردود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الفعل و الانشطة اثناء الصدمة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يحتاج قياس 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ضمن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نهج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الانظمة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إلى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رصد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مجموعة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الأنشطة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والجهات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الفاعلة</w:t>
      </w:r>
      <w:r w:rsidRPr="00507DB0">
        <w:rPr>
          <w:rFonts w:ascii="Simplified Arabic" w:hAnsi="Simplified Arabic" w:cs="Simplified Arabic"/>
          <w:sz w:val="24"/>
          <w:szCs w:val="24"/>
          <w:rtl/>
          <w:lang w:bidi="ar-DZ"/>
        </w:rPr>
        <w:t xml:space="preserve"> </w:t>
      </w:r>
      <w:r w:rsidRPr="00507DB0">
        <w:rPr>
          <w:rFonts w:asciiTheme="majorBidi" w:hAnsiTheme="majorBidi" w:cstheme="majorBidi"/>
          <w:sz w:val="24"/>
          <w:szCs w:val="24"/>
        </w:rPr>
        <w:t>(Cimellaro et al., 201</w:t>
      </w:r>
      <w:r w:rsidR="004F1363" w:rsidRPr="00507DB0">
        <w:rPr>
          <w:rFonts w:asciiTheme="majorBidi" w:hAnsiTheme="majorBidi" w:cstheme="majorBidi"/>
          <w:sz w:val="24"/>
          <w:szCs w:val="24"/>
        </w:rPr>
        <w:t>1</w:t>
      </w:r>
      <w:r w:rsidRPr="00507DB0">
        <w:rPr>
          <w:rFonts w:asciiTheme="majorBidi" w:hAnsiTheme="majorBidi" w:cstheme="majorBidi"/>
          <w:sz w:val="24"/>
          <w:szCs w:val="24"/>
        </w:rPr>
        <w:t>)</w:t>
      </w:r>
      <w:r w:rsidRPr="00507DB0">
        <w:rPr>
          <w:rFonts w:ascii="Simplified Arabic" w:hAnsi="Simplified Arabic" w:cs="Simplified Arabic" w:hint="cs"/>
          <w:sz w:val="24"/>
          <w:szCs w:val="24"/>
          <w:rtl/>
          <w:lang w:bidi="ar-DZ"/>
        </w:rPr>
        <w:t xml:space="preserve">. </w:t>
      </w:r>
    </w:p>
    <w:p w:rsidR="003E0F31" w:rsidRPr="00E62ABA" w:rsidRDefault="003E0F31" w:rsidP="00C7475E">
      <w:pPr>
        <w:pStyle w:val="Paragraphedeliste"/>
        <w:numPr>
          <w:ilvl w:val="3"/>
          <w:numId w:val="206"/>
        </w:numPr>
        <w:tabs>
          <w:tab w:val="right" w:pos="992"/>
        </w:tabs>
        <w:bidi/>
        <w:spacing w:after="0"/>
        <w:ind w:left="0" w:firstLine="0"/>
        <w:jc w:val="both"/>
        <w:outlineLvl w:val="2"/>
        <w:rPr>
          <w:rFonts w:asciiTheme="minorBidi" w:hAnsiTheme="minorBidi" w:cs="Arial"/>
          <w:sz w:val="24"/>
          <w:szCs w:val="24"/>
          <w:lang w:bidi="ar-DZ"/>
        </w:rPr>
      </w:pPr>
      <w:bookmarkStart w:id="295" w:name="_Toc171803435"/>
      <w:r w:rsidRPr="00E62ABA">
        <w:rPr>
          <w:rFonts w:ascii="Simplified Arabic" w:hAnsi="Simplified Arabic" w:cs="Simplified Arabic" w:hint="cs"/>
          <w:b/>
          <w:bCs/>
          <w:sz w:val="24"/>
          <w:szCs w:val="24"/>
          <w:rtl/>
          <w:lang w:bidi="ar-DZ"/>
        </w:rPr>
        <w:t>النهج</w:t>
      </w:r>
      <w:r w:rsidRPr="00E62ABA">
        <w:rPr>
          <w:rFonts w:ascii="Simplified Arabic" w:hAnsi="Simplified Arabic" w:cs="Simplified Arabic"/>
          <w:b/>
          <w:bCs/>
          <w:sz w:val="24"/>
          <w:szCs w:val="24"/>
          <w:rtl/>
          <w:lang w:bidi="ar-DZ"/>
        </w:rPr>
        <w:t xml:space="preserve"> </w:t>
      </w:r>
      <w:r w:rsidRPr="00E62ABA">
        <w:rPr>
          <w:rFonts w:ascii="Simplified Arabic" w:hAnsi="Simplified Arabic" w:cs="Simplified Arabic" w:hint="cs"/>
          <w:b/>
          <w:bCs/>
          <w:sz w:val="24"/>
          <w:szCs w:val="24"/>
          <w:rtl/>
          <w:lang w:bidi="ar-DZ"/>
        </w:rPr>
        <w:t>القائم</w:t>
      </w:r>
      <w:r w:rsidRPr="00E62ABA">
        <w:rPr>
          <w:rFonts w:ascii="Simplified Arabic" w:hAnsi="Simplified Arabic" w:cs="Simplified Arabic"/>
          <w:b/>
          <w:bCs/>
          <w:sz w:val="24"/>
          <w:szCs w:val="24"/>
          <w:rtl/>
          <w:lang w:bidi="ar-DZ"/>
        </w:rPr>
        <w:t xml:space="preserve"> </w:t>
      </w:r>
      <w:r w:rsidRPr="00E62ABA">
        <w:rPr>
          <w:rFonts w:ascii="Simplified Arabic" w:hAnsi="Simplified Arabic" w:cs="Simplified Arabic" w:hint="cs"/>
          <w:b/>
          <w:bCs/>
          <w:sz w:val="24"/>
          <w:szCs w:val="24"/>
          <w:rtl/>
          <w:lang w:bidi="ar-DZ"/>
        </w:rPr>
        <w:t>على</w:t>
      </w:r>
      <w:r w:rsidRPr="00E62ABA">
        <w:rPr>
          <w:rFonts w:ascii="Simplified Arabic" w:hAnsi="Simplified Arabic" w:cs="Simplified Arabic"/>
          <w:b/>
          <w:bCs/>
          <w:sz w:val="24"/>
          <w:szCs w:val="24"/>
          <w:rtl/>
          <w:lang w:bidi="ar-DZ"/>
        </w:rPr>
        <w:t xml:space="preserve"> </w:t>
      </w:r>
      <w:r w:rsidRPr="00E62ABA">
        <w:rPr>
          <w:rFonts w:ascii="Simplified Arabic" w:hAnsi="Simplified Arabic" w:cs="Simplified Arabic" w:hint="cs"/>
          <w:b/>
          <w:bCs/>
          <w:sz w:val="24"/>
          <w:szCs w:val="24"/>
          <w:rtl/>
          <w:lang w:bidi="ar-DZ"/>
        </w:rPr>
        <w:t xml:space="preserve">المكان </w:t>
      </w:r>
      <w:r w:rsidRPr="00E62ABA">
        <w:rPr>
          <w:rFonts w:asciiTheme="majorBidi" w:hAnsiTheme="majorBidi" w:cstheme="majorBidi"/>
          <w:b/>
          <w:bCs/>
          <w:sz w:val="24"/>
          <w:szCs w:val="24"/>
          <w:rtl/>
          <w:lang w:bidi="ar-DZ"/>
        </w:rPr>
        <w:t>(</w:t>
      </w:r>
      <w:r w:rsidRPr="00E62ABA">
        <w:rPr>
          <w:rFonts w:asciiTheme="majorBidi" w:hAnsiTheme="majorBidi" w:cstheme="majorBidi"/>
          <w:b/>
          <w:bCs/>
          <w:color w:val="000000" w:themeColor="text1"/>
          <w:sz w:val="20"/>
          <w:szCs w:val="20"/>
        </w:rPr>
        <w:t>Place-</w:t>
      </w:r>
      <w:r w:rsidRPr="00E62ABA">
        <w:rPr>
          <w:rFonts w:asciiTheme="majorBidi" w:hAnsiTheme="majorBidi" w:cstheme="majorBidi"/>
          <w:b/>
          <w:bCs/>
          <w:color w:val="000000" w:themeColor="text1"/>
          <w:sz w:val="20"/>
          <w:szCs w:val="20"/>
          <w:lang w:val="en-US"/>
        </w:rPr>
        <w:t>based</w:t>
      </w:r>
      <w:r w:rsidRPr="00E62ABA">
        <w:rPr>
          <w:rFonts w:asciiTheme="majorBidi" w:hAnsiTheme="majorBidi" w:cstheme="majorBidi"/>
          <w:b/>
          <w:bCs/>
          <w:color w:val="000000" w:themeColor="text1"/>
          <w:sz w:val="20"/>
          <w:szCs w:val="20"/>
        </w:rPr>
        <w:t xml:space="preserve"> </w:t>
      </w:r>
      <w:r w:rsidRPr="00E62ABA">
        <w:rPr>
          <w:rFonts w:asciiTheme="majorBidi" w:hAnsiTheme="majorBidi" w:cstheme="majorBidi"/>
          <w:b/>
          <w:bCs/>
          <w:color w:val="000000" w:themeColor="text1"/>
          <w:sz w:val="20"/>
          <w:szCs w:val="20"/>
          <w:lang w:val="en-US"/>
        </w:rPr>
        <w:t>Approach</w:t>
      </w:r>
      <w:r w:rsidRPr="00E62ABA">
        <w:rPr>
          <w:rFonts w:asciiTheme="majorBidi" w:hAnsiTheme="majorBidi" w:cstheme="majorBidi"/>
          <w:b/>
          <w:bCs/>
          <w:color w:val="000000" w:themeColor="text1"/>
          <w:sz w:val="20"/>
          <w:szCs w:val="20"/>
          <w:rtl/>
        </w:rPr>
        <w:t>)</w:t>
      </w:r>
      <w:bookmarkEnd w:id="295"/>
    </w:p>
    <w:p w:rsidR="003E0F31" w:rsidRPr="000122E1" w:rsidRDefault="003E0F31" w:rsidP="00C23656">
      <w:pPr>
        <w:bidi/>
        <w:spacing w:after="0"/>
        <w:ind w:firstLine="282"/>
        <w:jc w:val="both"/>
        <w:rPr>
          <w:rFonts w:ascii="Simplified Arabic" w:hAnsi="Simplified Arabic" w:cs="Simplified Arabic"/>
          <w:sz w:val="24"/>
          <w:szCs w:val="24"/>
          <w:rtl/>
          <w:lang w:bidi="ar-DZ"/>
        </w:rPr>
      </w:pPr>
      <w:r w:rsidRPr="00507DB0">
        <w:rPr>
          <w:rFonts w:ascii="Simplified Arabic" w:hAnsi="Simplified Arabic" w:cs="Simplified Arabic"/>
          <w:sz w:val="24"/>
          <w:szCs w:val="24"/>
          <w:rtl/>
          <w:lang w:bidi="ar-DZ"/>
        </w:rPr>
        <w:t xml:space="preserve">النهج القائم على المكان يحدد الضعف المحلي </w:t>
      </w:r>
      <w:r w:rsidRPr="00507DB0">
        <w:rPr>
          <w:rFonts w:ascii="Simplified Arabic" w:hAnsi="Simplified Arabic" w:cs="Simplified Arabic" w:hint="cs"/>
          <w:sz w:val="24"/>
          <w:szCs w:val="24"/>
          <w:rtl/>
          <w:lang w:bidi="ar-DZ"/>
        </w:rPr>
        <w:t>ضمن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نطاق جغرافي</w:t>
      </w:r>
      <w:r w:rsidRPr="00507DB0">
        <w:rPr>
          <w:rFonts w:ascii="Simplified Arabic" w:hAnsi="Simplified Arabic" w:cs="Simplified Arabic"/>
          <w:sz w:val="24"/>
          <w:szCs w:val="24"/>
          <w:rtl/>
          <w:lang w:bidi="ar-DZ"/>
        </w:rPr>
        <w:t xml:space="preserve"> أكبر</w:t>
      </w:r>
      <w:r w:rsidRPr="00507DB0">
        <w:rPr>
          <w:rFonts w:ascii="Simplified Arabic" w:hAnsi="Simplified Arabic" w:cs="Simplified Arabic" w:hint="cs"/>
          <w:sz w:val="24"/>
          <w:szCs w:val="24"/>
          <w:rtl/>
          <w:lang w:bidi="ar-DZ"/>
        </w:rPr>
        <w:t>.</w:t>
      </w:r>
      <w:r w:rsidRPr="00507DB0">
        <w:rPr>
          <w:rFonts w:ascii="Simplified Arabic" w:hAnsi="Simplified Arabic" w:cs="Simplified Arabic"/>
          <w:sz w:val="24"/>
          <w:szCs w:val="24"/>
          <w:rtl/>
          <w:lang w:bidi="ar-DZ"/>
        </w:rPr>
        <w:t xml:space="preserve"> في بعض الاحيان، قد يَفشل في التمييز بوضوح بين التعرض والحساسية، كما أنه لا يتضمن بُعدًا زمنيًا يوضح أين يبدأ الضعف وينتهي. تكمن قيمة النهج القائم على المكان في أنه يركز بشكل صريح على الظروف السابقة للمجتمع. الظروف السابقة هي نتاج العمليات داخل المجتمعات التي تكون محددة في مكان وتحدث داخل وبين الأنظمة الطبيعية، الأنظمة الاجتماعية والبيئات </w:t>
      </w:r>
      <w:r w:rsidR="00C62080">
        <w:rPr>
          <w:rFonts w:ascii="Simplified Arabic" w:hAnsi="Simplified Arabic" w:cs="Simplified Arabic" w:hint="cs"/>
          <w:sz w:val="24"/>
          <w:szCs w:val="24"/>
          <w:rtl/>
          <w:lang w:val="en-US"/>
        </w:rPr>
        <w:t>الحضرية</w:t>
      </w:r>
      <w:r w:rsidRPr="00507DB0">
        <w:rPr>
          <w:rFonts w:ascii="Simplified Arabic" w:hAnsi="Simplified Arabic" w:cs="Simplified Arabic"/>
          <w:sz w:val="24"/>
          <w:szCs w:val="24"/>
          <w:rtl/>
          <w:lang w:bidi="ar-DZ"/>
        </w:rPr>
        <w:t>. لذلك يمكن تحليل الظروف السابقة للمجتمع بالاقتران مع استجابات المواجهة لتحديد إمكانية التعافي المحددة</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Pr>
        <w:t xml:space="preserve">(Burton, </w:t>
      </w:r>
      <w:r w:rsidR="002A01D3" w:rsidRPr="00507DB0">
        <w:rPr>
          <w:rFonts w:asciiTheme="majorBidi" w:hAnsiTheme="majorBidi" w:cstheme="majorBidi"/>
          <w:sz w:val="24"/>
          <w:szCs w:val="24"/>
        </w:rPr>
        <w:t>2014</w:t>
      </w:r>
      <w:r w:rsidRPr="00507DB0">
        <w:rPr>
          <w:rFonts w:asciiTheme="majorBidi" w:hAnsiTheme="majorBidi" w:cstheme="majorBidi"/>
          <w:sz w:val="24"/>
          <w:szCs w:val="24"/>
        </w:rPr>
        <w:t>)</w:t>
      </w:r>
      <w:r w:rsidRPr="00507DB0">
        <w:rPr>
          <w:rFonts w:ascii="Simplified Arabic" w:hAnsi="Simplified Arabic" w:cs="Simplified Arabic"/>
          <w:sz w:val="24"/>
          <w:szCs w:val="24"/>
          <w:rtl/>
          <w:lang w:bidi="ar-DZ"/>
        </w:rPr>
        <w:t>.</w:t>
      </w:r>
      <w:r w:rsidRPr="00507DB0">
        <w:rPr>
          <w:rFonts w:asciiTheme="minorBidi" w:hAnsiTheme="minorBidi" w:cs="Arial" w:hint="cs"/>
          <w:sz w:val="24"/>
          <w:szCs w:val="24"/>
          <w:rtl/>
          <w:lang w:bidi="ar-DZ"/>
        </w:rPr>
        <w:t xml:space="preserve"> </w:t>
      </w:r>
      <w:r w:rsidRPr="00507DB0">
        <w:rPr>
          <w:rFonts w:ascii="Simplified Arabic" w:hAnsi="Simplified Arabic" w:cs="Simplified Arabic" w:hint="cs"/>
          <w:sz w:val="24"/>
          <w:szCs w:val="24"/>
          <w:rtl/>
          <w:lang w:val="en-US"/>
        </w:rPr>
        <w:t>يتم</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تحديد</w:t>
      </w:r>
      <w:r w:rsidRPr="00507DB0">
        <w:rPr>
          <w:rFonts w:ascii="Simplified Arabic" w:hAnsi="Simplified Arabic" w:cs="Simplified Arabic"/>
          <w:sz w:val="24"/>
          <w:szCs w:val="24"/>
          <w:rtl/>
          <w:lang w:val="en-US"/>
        </w:rPr>
        <w:t xml:space="preserve"> </w:t>
      </w:r>
      <w:r w:rsidR="00C71ECA">
        <w:rPr>
          <w:rFonts w:ascii="Simplified Arabic" w:hAnsi="Simplified Arabic" w:cs="Simplified Arabic" w:hint="cs"/>
          <w:sz w:val="24"/>
          <w:szCs w:val="24"/>
          <w:rtl/>
          <w:lang w:val="en-US"/>
        </w:rPr>
        <w:t>ال</w:t>
      </w:r>
      <w:r w:rsidRPr="00507DB0">
        <w:rPr>
          <w:rFonts w:ascii="Simplified Arabic" w:hAnsi="Simplified Arabic" w:cs="Simplified Arabic" w:hint="cs"/>
          <w:sz w:val="24"/>
          <w:szCs w:val="24"/>
          <w:rtl/>
          <w:lang w:val="en-US"/>
        </w:rPr>
        <w:t>قدرة</w:t>
      </w:r>
      <w:r w:rsidRPr="00507DB0">
        <w:rPr>
          <w:rFonts w:ascii="Simplified Arabic" w:hAnsi="Simplified Arabic" w:cs="Simplified Arabic"/>
          <w:sz w:val="24"/>
          <w:szCs w:val="24"/>
          <w:rtl/>
          <w:lang w:val="en-US"/>
        </w:rPr>
        <w:t xml:space="preserve"> </w:t>
      </w:r>
      <w:r w:rsidR="00C71ECA">
        <w:rPr>
          <w:rFonts w:ascii="Simplified Arabic" w:hAnsi="Simplified Arabic" w:cs="Simplified Arabic" w:hint="cs"/>
          <w:sz w:val="24"/>
          <w:szCs w:val="24"/>
          <w:rtl/>
          <w:lang w:val="en-US"/>
        </w:rPr>
        <w:t xml:space="preserve">على </w:t>
      </w:r>
      <w:r w:rsidRPr="00507DB0">
        <w:rPr>
          <w:rFonts w:ascii="Simplified Arabic" w:hAnsi="Simplified Arabic" w:cs="Simplified Arabic" w:hint="cs"/>
          <w:sz w:val="24"/>
          <w:szCs w:val="24"/>
          <w:rtl/>
          <w:lang w:val="en-US"/>
        </w:rPr>
        <w:t>استجابة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المدينة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في</w:t>
      </w:r>
      <w:r w:rsidRPr="00507DB0">
        <w:rPr>
          <w:rFonts w:ascii="Simplified Arabic" w:hAnsi="Simplified Arabic" w:cs="Simplified Arabic"/>
          <w:sz w:val="24"/>
          <w:szCs w:val="24"/>
          <w:rtl/>
          <w:lang w:val="en-US"/>
        </w:rPr>
        <w:t xml:space="preserve"> </w:t>
      </w:r>
      <w:r w:rsidR="00C71ECA">
        <w:rPr>
          <w:rFonts w:ascii="Simplified Arabic" w:hAnsi="Simplified Arabic" w:cs="Simplified Arabic" w:hint="cs"/>
          <w:sz w:val="24"/>
          <w:szCs w:val="24"/>
          <w:rtl/>
          <w:lang w:val="en-US"/>
        </w:rPr>
        <w:t>الابحاث</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من</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خلال</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المتغيرات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البديلة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مثل</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مراكز الامن</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والانقاذ ومكافحة الحرائق</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وخدمات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الإغاثة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في</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حالات</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الطوارئ</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والملاجئ</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المؤقتة</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لكل</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فرد</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من</w:t>
      </w:r>
      <w:r w:rsidRPr="00507DB0">
        <w:rPr>
          <w:rFonts w:ascii="Simplified Arabic" w:hAnsi="Simplified Arabic" w:cs="Simplified Arabic"/>
          <w:sz w:val="24"/>
          <w:szCs w:val="24"/>
          <w:rtl/>
          <w:lang w:val="en-US"/>
        </w:rPr>
        <w:t xml:space="preserve"> </w:t>
      </w:r>
      <w:r w:rsidRPr="00507DB0">
        <w:rPr>
          <w:rFonts w:ascii="Simplified Arabic" w:hAnsi="Simplified Arabic" w:cs="Simplified Arabic" w:hint="cs"/>
          <w:sz w:val="24"/>
          <w:szCs w:val="24"/>
          <w:rtl/>
          <w:lang w:val="en-US"/>
        </w:rPr>
        <w:t>السكان</w:t>
      </w:r>
      <w:r w:rsidRPr="00507DB0">
        <w:rPr>
          <w:rFonts w:asciiTheme="minorBidi" w:hAnsiTheme="minorBidi" w:cs="Arial"/>
          <w:sz w:val="24"/>
          <w:szCs w:val="24"/>
          <w:rtl/>
          <w:lang w:bidi="ar-DZ"/>
        </w:rPr>
        <w:t xml:space="preserve"> </w:t>
      </w:r>
      <w:r w:rsidRPr="00507DB0">
        <w:rPr>
          <w:rFonts w:asciiTheme="majorBidi" w:hAnsiTheme="majorBidi" w:cstheme="majorBidi"/>
          <w:sz w:val="24"/>
          <w:szCs w:val="24"/>
          <w:rtl/>
          <w:lang w:bidi="ar-DZ"/>
        </w:rPr>
        <w:t>(</w:t>
      </w:r>
      <w:r w:rsidRPr="00507DB0">
        <w:rPr>
          <w:rFonts w:asciiTheme="majorBidi" w:hAnsiTheme="majorBidi" w:cstheme="majorBidi"/>
          <w:sz w:val="24"/>
          <w:szCs w:val="24"/>
          <w:lang w:bidi="ar-DZ"/>
        </w:rPr>
        <w:t>Chang, 2010</w:t>
      </w:r>
      <w:r w:rsidRPr="00507DB0">
        <w:rPr>
          <w:rFonts w:asciiTheme="majorBidi" w:hAnsiTheme="majorBidi" w:cstheme="majorBidi" w:hint="cs"/>
          <w:sz w:val="24"/>
          <w:szCs w:val="24"/>
          <w:rtl/>
          <w:lang w:bidi="ar-DZ"/>
        </w:rPr>
        <w:t> </w:t>
      </w:r>
      <w:r w:rsidRPr="00507DB0">
        <w:rPr>
          <w:rFonts w:asciiTheme="majorBidi" w:hAnsiTheme="majorBidi" w:cstheme="majorBidi"/>
          <w:sz w:val="24"/>
          <w:szCs w:val="24"/>
          <w:lang w:bidi="ar-DZ"/>
        </w:rPr>
        <w:t>Cutter et al., 2008 ;</w:t>
      </w:r>
      <w:r w:rsidRPr="00507DB0">
        <w:rPr>
          <w:rFonts w:asciiTheme="majorBidi" w:hAnsiTheme="majorBidi" w:cstheme="majorBidi"/>
          <w:sz w:val="24"/>
          <w:szCs w:val="24"/>
          <w:rtl/>
          <w:lang w:bidi="ar-DZ"/>
        </w:rPr>
        <w:t>)</w:t>
      </w:r>
      <w:r w:rsidRPr="00507DB0">
        <w:rPr>
          <w:rFonts w:asciiTheme="majorBidi" w:hAnsiTheme="majorBidi" w:cstheme="majorBidi" w:hint="cs"/>
          <w:sz w:val="24"/>
          <w:szCs w:val="24"/>
          <w:rtl/>
          <w:lang w:bidi="ar-DZ"/>
        </w:rPr>
        <w:t xml:space="preserve">. </w:t>
      </w:r>
      <w:r w:rsidRPr="00507DB0">
        <w:rPr>
          <w:rFonts w:ascii="Simplified Arabic" w:hAnsi="Simplified Arabic" w:cs="Simplified Arabic" w:hint="cs"/>
          <w:sz w:val="24"/>
          <w:szCs w:val="24"/>
          <w:rtl/>
          <w:lang w:bidi="ar-DZ"/>
        </w:rPr>
        <w:t xml:space="preserve">تكمن قدرة الاستجابة بالتعرف على القدرات المسبقة للنظام البيئي المبني، </w:t>
      </w:r>
      <w:r w:rsidR="00B30FD9" w:rsidRPr="00507DB0">
        <w:rPr>
          <w:rFonts w:ascii="Simplified Arabic" w:hAnsi="Simplified Arabic" w:cs="Simplified Arabic" w:hint="cs"/>
          <w:sz w:val="24"/>
          <w:szCs w:val="24"/>
          <w:rtl/>
          <w:lang w:bidi="ar-DZ"/>
        </w:rPr>
        <w:t>بمعرفة</w:t>
      </w:r>
      <w:r w:rsidRPr="00507DB0">
        <w:rPr>
          <w:rFonts w:ascii="Simplified Arabic" w:hAnsi="Simplified Arabic" w:cs="Simplified Arabic" w:hint="cs"/>
          <w:sz w:val="24"/>
          <w:szCs w:val="24"/>
          <w:rtl/>
          <w:lang w:bidi="ar-DZ"/>
        </w:rPr>
        <w:t xml:space="preserve"> نمط </w:t>
      </w:r>
      <w:r w:rsidR="003166C4">
        <w:rPr>
          <w:rFonts w:ascii="Simplified Arabic" w:hAnsi="Simplified Arabic" w:cs="Simplified Arabic" w:hint="cs"/>
          <w:sz w:val="24"/>
          <w:szCs w:val="24"/>
          <w:rtl/>
        </w:rPr>
        <w:t>استعمال</w:t>
      </w:r>
      <w:r w:rsidRPr="00507DB0">
        <w:rPr>
          <w:rFonts w:ascii="Simplified Arabic" w:hAnsi="Simplified Arabic" w:cs="Simplified Arabic" w:hint="cs"/>
          <w:sz w:val="24"/>
          <w:szCs w:val="24"/>
          <w:rtl/>
          <w:lang w:bidi="ar-DZ"/>
        </w:rPr>
        <w:t xml:space="preserve"> الارض الحضرية من حيث الكثافة، التنوع </w:t>
      </w:r>
      <w:r w:rsidR="00C23656" w:rsidRPr="008E532E">
        <w:rPr>
          <w:rFonts w:ascii="Simplified Arabic" w:hAnsi="Simplified Arabic" w:cs="Simplified Arabic" w:hint="cs"/>
          <w:sz w:val="24"/>
          <w:szCs w:val="24"/>
          <w:rtl/>
          <w:lang w:bidi="ar-DZ"/>
        </w:rPr>
        <w:t>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00C23656" w:rsidRPr="00507DB0">
        <w:rPr>
          <w:rFonts w:ascii="Simplified Arabic" w:hAnsi="Simplified Arabic" w:cs="Simplified Arabic" w:hint="cs"/>
          <w:sz w:val="24"/>
          <w:szCs w:val="24"/>
          <w:rtl/>
          <w:lang w:bidi="ar-DZ"/>
        </w:rPr>
        <w:t xml:space="preserve"> </w:t>
      </w:r>
      <w:r w:rsidR="00B30FD9" w:rsidRPr="00507DB0">
        <w:rPr>
          <w:rFonts w:ascii="Simplified Arabic" w:hAnsi="Simplified Arabic" w:cs="Simplified Arabic" w:hint="cs"/>
          <w:sz w:val="24"/>
          <w:szCs w:val="24"/>
          <w:rtl/>
          <w:lang w:bidi="ar-DZ"/>
        </w:rPr>
        <w:t xml:space="preserve">التي </w:t>
      </w:r>
      <w:r w:rsidRPr="00507DB0">
        <w:rPr>
          <w:rFonts w:ascii="Simplified Arabic" w:hAnsi="Simplified Arabic" w:cs="Simplified Arabic" w:hint="cs"/>
          <w:sz w:val="24"/>
          <w:szCs w:val="24"/>
          <w:rtl/>
          <w:lang w:bidi="ar-DZ"/>
        </w:rPr>
        <w:t>هي اساسًا نتاج العمليات السابقة لمدينة بوسعادة حالة الدراسة.</w:t>
      </w:r>
    </w:p>
    <w:p w:rsidR="003E0F31" w:rsidRPr="00163A2A" w:rsidRDefault="003E0F31" w:rsidP="00C7475E">
      <w:pPr>
        <w:pStyle w:val="Paragraphedeliste"/>
        <w:numPr>
          <w:ilvl w:val="3"/>
          <w:numId w:val="121"/>
        </w:numPr>
        <w:tabs>
          <w:tab w:val="right" w:pos="992"/>
        </w:tabs>
        <w:bidi/>
        <w:spacing w:after="0"/>
        <w:ind w:left="0" w:firstLine="0"/>
        <w:jc w:val="both"/>
        <w:outlineLvl w:val="2"/>
        <w:rPr>
          <w:rFonts w:ascii="Simplified Arabic" w:hAnsi="Simplified Arabic" w:cs="Simplified Arabic"/>
          <w:lang w:val="en-US" w:bidi="ar-DZ"/>
        </w:rPr>
      </w:pPr>
      <w:bookmarkStart w:id="296" w:name="_Toc171803436"/>
      <w:r w:rsidRPr="00163A2A">
        <w:rPr>
          <w:rFonts w:ascii="Simplified Arabic" w:hAnsi="Simplified Arabic" w:cs="Simplified Arabic"/>
          <w:b/>
          <w:bCs/>
          <w:sz w:val="24"/>
          <w:szCs w:val="24"/>
          <w:rtl/>
        </w:rPr>
        <w:t>النهج التعاوني</w:t>
      </w:r>
      <w:r w:rsidRPr="00163A2A">
        <w:rPr>
          <w:rFonts w:ascii="Simplified Arabic" w:hAnsi="Simplified Arabic" w:cs="Simplified Arabic" w:hint="cs"/>
          <w:b/>
          <w:bCs/>
          <w:sz w:val="24"/>
          <w:szCs w:val="24"/>
          <w:rtl/>
          <w:lang w:bidi="ar-DZ"/>
        </w:rPr>
        <w:t xml:space="preserve">، </w:t>
      </w:r>
      <w:r w:rsidRPr="00163A2A">
        <w:rPr>
          <w:rFonts w:asciiTheme="majorBidi" w:hAnsiTheme="majorBidi" w:cstheme="majorBidi" w:hint="cs"/>
          <w:b/>
          <w:bCs/>
          <w:color w:val="000000" w:themeColor="text1"/>
          <w:sz w:val="20"/>
          <w:szCs w:val="20"/>
          <w:rtl/>
          <w:lang w:val="en-US"/>
        </w:rPr>
        <w:t>(</w:t>
      </w:r>
      <w:r w:rsidRPr="00163A2A">
        <w:rPr>
          <w:rFonts w:asciiTheme="majorBidi" w:hAnsiTheme="majorBidi" w:cstheme="majorBidi"/>
          <w:b/>
          <w:bCs/>
          <w:color w:val="000000" w:themeColor="text1"/>
          <w:sz w:val="20"/>
          <w:szCs w:val="20"/>
          <w:lang w:val="en-US"/>
        </w:rPr>
        <w:t>collaborative approaches</w:t>
      </w:r>
      <w:r w:rsidRPr="00163A2A">
        <w:rPr>
          <w:rFonts w:asciiTheme="majorBidi" w:hAnsiTheme="majorBidi" w:cstheme="majorBidi" w:hint="cs"/>
          <w:b/>
          <w:bCs/>
          <w:color w:val="000000" w:themeColor="text1"/>
          <w:sz w:val="20"/>
          <w:szCs w:val="20"/>
          <w:rtl/>
          <w:lang w:val="en-US"/>
        </w:rPr>
        <w:t>)</w:t>
      </w:r>
      <w:bookmarkEnd w:id="296"/>
    </w:p>
    <w:p w:rsidR="003E0F31" w:rsidRDefault="003E0F31" w:rsidP="003166C4">
      <w:pPr>
        <w:autoSpaceDE w:val="0"/>
        <w:autoSpaceDN w:val="0"/>
        <w:bidi/>
        <w:adjustRightInd w:val="0"/>
        <w:spacing w:after="0"/>
        <w:ind w:firstLine="282"/>
        <w:jc w:val="both"/>
        <w:rPr>
          <w:rFonts w:ascii="Simplified Arabic" w:hAnsi="Simplified Arabic" w:cs="Simplified Arabic"/>
          <w:sz w:val="24"/>
          <w:szCs w:val="24"/>
          <w:rtl/>
        </w:rPr>
      </w:pPr>
      <w:r w:rsidRPr="00507DB0">
        <w:rPr>
          <w:rFonts w:ascii="Simplified Arabic" w:hAnsi="Simplified Arabic" w:cs="Simplified Arabic"/>
          <w:sz w:val="24"/>
          <w:szCs w:val="24"/>
          <w:rtl/>
        </w:rPr>
        <w:t xml:space="preserve">لا يبدو إشراك </w:t>
      </w:r>
      <w:r w:rsidRPr="00507DB0">
        <w:rPr>
          <w:rFonts w:ascii="Simplified Arabic" w:hAnsi="Simplified Arabic" w:cs="Simplified Arabic" w:hint="cs"/>
          <w:sz w:val="24"/>
          <w:szCs w:val="24"/>
          <w:rtl/>
        </w:rPr>
        <w:t>السكان</w:t>
      </w:r>
      <w:r w:rsidRPr="00507DB0">
        <w:rPr>
          <w:rFonts w:ascii="Simplified Arabic" w:hAnsi="Simplified Arabic" w:cs="Simplified Arabic"/>
          <w:sz w:val="24"/>
          <w:szCs w:val="24"/>
          <w:rtl/>
        </w:rPr>
        <w:t xml:space="preserve"> المحليين بشكل مباشر بالقضايا المدروسة </w:t>
      </w:r>
      <w:r w:rsidRPr="00507DB0">
        <w:rPr>
          <w:rFonts w:ascii="Simplified Arabic" w:hAnsi="Simplified Arabic" w:cs="Simplified Arabic" w:hint="cs"/>
          <w:sz w:val="24"/>
          <w:szCs w:val="24"/>
          <w:rtl/>
        </w:rPr>
        <w:t>امرا مستحدثًا</w:t>
      </w:r>
      <w:r w:rsidRPr="00507DB0">
        <w:rPr>
          <w:rFonts w:asciiTheme="majorBidi" w:hAnsiTheme="majorBidi" w:cs="Times New Roman"/>
          <w:sz w:val="24"/>
          <w:szCs w:val="24"/>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Toubin, 2014</w:t>
      </w:r>
      <w:r w:rsidRPr="00507DB0">
        <w:rPr>
          <w:rFonts w:asciiTheme="majorBidi" w:hAnsiTheme="majorBidi" w:cstheme="majorBidi"/>
          <w:sz w:val="24"/>
          <w:szCs w:val="24"/>
          <w:rtl/>
        </w:rPr>
        <w:t>)</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ولا حتى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أقل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اهمية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وجود</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تفاعل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أشخاص</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جميع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مناحي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الحياة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يجعل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الممكن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استكشاف</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عالم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الاحتمالات</w:t>
      </w:r>
      <w:r w:rsidRPr="00507DB0">
        <w:rPr>
          <w:rFonts w:asciiTheme="majorBidi" w:hAnsiTheme="majorBidi" w:cs="Times New Roman"/>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Callon et al., 2001</w:t>
      </w:r>
      <w:r w:rsidRPr="00507DB0">
        <w:rPr>
          <w:rFonts w:asciiTheme="majorBidi" w:hAnsiTheme="majorBidi" w:cstheme="majorBidi"/>
          <w:sz w:val="24"/>
          <w:szCs w:val="24"/>
          <w:rtl/>
        </w:rPr>
        <w:t>)</w:t>
      </w:r>
      <w:r w:rsidRPr="00507DB0">
        <w:rPr>
          <w:rFonts w:asciiTheme="majorBidi" w:hAnsiTheme="majorBidi" w:cs="Times New Roman" w:hint="cs"/>
          <w:rtl/>
        </w:rPr>
        <w:t>.</w:t>
      </w:r>
      <w:r w:rsidRPr="00507DB0">
        <w:rPr>
          <w:rFonts w:ascii="Simplified Arabic" w:hAnsi="Simplified Arabic" w:cs="Simplified Arabic" w:hint="cs"/>
          <w:sz w:val="24"/>
          <w:szCs w:val="24"/>
          <w:rtl/>
        </w:rPr>
        <w:t xml:space="preserve"> عملية ترجيح</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وجهات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النظر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وإثراء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النقاش</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حول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نفس</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الموضوع يمنح الاستقرار والثبات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منطقة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معينة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عادة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يتم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توجيه</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تسيير</w:t>
      </w:r>
      <w:r w:rsidRPr="00507DB0">
        <w:rPr>
          <w:rFonts w:ascii="Simplified Arabic" w:hAnsi="Simplified Arabic" w:cs="Simplified Arabic"/>
          <w:sz w:val="24"/>
          <w:szCs w:val="24"/>
          <w:rtl/>
        </w:rPr>
        <w:t xml:space="preserve"> </w:t>
      </w:r>
      <w:r w:rsidR="003166C4">
        <w:rPr>
          <w:rFonts w:ascii="Simplified Arabic" w:hAnsi="Simplified Arabic" w:cs="Simplified Arabic" w:hint="cs"/>
          <w:sz w:val="24"/>
          <w:szCs w:val="24"/>
          <w:rtl/>
        </w:rPr>
        <w:t>استعمال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الأراضي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للتطورات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الجديدة،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وهي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أداة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غير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فعالة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للتعامل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قضايا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الفيضانات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الحالية</w:t>
      </w:r>
      <w:r w:rsidRPr="00507DB0">
        <w:rPr>
          <w:rFonts w:ascii="Simplified Arabic" w:hAnsi="Simplified Arabic" w:cs="Simplified Arabic"/>
          <w:sz w:val="24"/>
          <w:szCs w:val="24"/>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Correia et al., 1998</w:t>
      </w:r>
      <w:r w:rsidRPr="00507DB0">
        <w:rPr>
          <w:rFonts w:asciiTheme="majorBidi" w:hAnsiTheme="majorBidi" w:cstheme="majorBidi"/>
          <w:sz w:val="24"/>
          <w:szCs w:val="24"/>
          <w:rtl/>
        </w:rPr>
        <w:t>)</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عندما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تكون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المشاركة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العامة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منخفضة،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فإن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المعرفة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المنتجة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تكون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محدودة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بسبب</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التركيز</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المفرط</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التعميمات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العملية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المستمدة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تجارب</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محددة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للفيضانات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منطقة ما.</w:t>
      </w:r>
      <w:r w:rsidRPr="00507DB0">
        <w:rPr>
          <w:rFonts w:hint="cs"/>
          <w:rtl/>
        </w:rPr>
        <w:t xml:space="preserve"> </w:t>
      </w:r>
      <w:r w:rsidRPr="00507DB0">
        <w:rPr>
          <w:rFonts w:ascii="Simplified Arabic" w:hAnsi="Simplified Arabic" w:cs="Simplified Arabic" w:hint="cs"/>
          <w:sz w:val="24"/>
          <w:szCs w:val="24"/>
          <w:rtl/>
        </w:rPr>
        <w:t>أصبح</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الصعب</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بشكل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تدريجي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تحقيق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توافق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الآراء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ووضع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اجراءات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دون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مشاركة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ودعم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جمهور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أوسع</w:t>
      </w:r>
      <w:r w:rsidRPr="00507DB0">
        <w:rPr>
          <w:rFonts w:ascii="Simplified Arabic" w:hAnsi="Simplified Arabic" w:cs="Simplified Arabic"/>
          <w:sz w:val="24"/>
          <w:szCs w:val="24"/>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Kruse, 2008; Brondizio et al., 2009</w:t>
      </w:r>
      <w:r w:rsidRPr="00507DB0">
        <w:rPr>
          <w:rFonts w:asciiTheme="majorBidi" w:hAnsiTheme="majorBidi" w:cstheme="majorBidi"/>
          <w:sz w:val="24"/>
          <w:szCs w:val="24"/>
          <w:rtl/>
        </w:rPr>
        <w:t>)</w:t>
      </w:r>
      <w:r w:rsidRPr="00507DB0">
        <w:rPr>
          <w:rFonts w:ascii="Simplified Arabic" w:hAnsi="Simplified Arabic" w:cs="Simplified Arabic"/>
          <w:sz w:val="24"/>
          <w:szCs w:val="24"/>
          <w:rtl/>
        </w:rPr>
        <w:t>.</w:t>
      </w:r>
    </w:p>
    <w:p w:rsidR="003E0F31" w:rsidRPr="00727752" w:rsidRDefault="003E0F31" w:rsidP="003166C4">
      <w:pPr>
        <w:autoSpaceDE w:val="0"/>
        <w:autoSpaceDN w:val="0"/>
        <w:bidi/>
        <w:adjustRightInd w:val="0"/>
        <w:spacing w:after="0"/>
        <w:ind w:firstLine="282"/>
        <w:jc w:val="both"/>
        <w:rPr>
          <w:rFonts w:ascii="Simplified Arabic" w:hAnsi="Simplified Arabic" w:cs="Simplified Arabic"/>
          <w:sz w:val="24"/>
          <w:szCs w:val="24"/>
          <w:rtl/>
        </w:rPr>
      </w:pPr>
      <w:r w:rsidRPr="00507DB0">
        <w:rPr>
          <w:rFonts w:ascii="Simplified Arabic" w:hAnsi="Simplified Arabic" w:cs="Simplified Arabic" w:hint="cs"/>
          <w:sz w:val="24"/>
          <w:szCs w:val="24"/>
          <w:rtl/>
        </w:rPr>
        <w:t>يركز</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مفهوم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المجتمع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المقاوم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للكوارث</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الاستراتيجيات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تقلل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الخسائر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البشرية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والمادية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خلال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اجراءات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استباقية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مثل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ممارسات</w:t>
      </w:r>
      <w:r w:rsidRPr="00507DB0">
        <w:rPr>
          <w:rFonts w:ascii="Simplified Arabic" w:hAnsi="Simplified Arabic" w:cs="Simplified Arabic"/>
          <w:sz w:val="24"/>
          <w:szCs w:val="24"/>
          <w:rtl/>
        </w:rPr>
        <w:t xml:space="preserve"> </w:t>
      </w:r>
      <w:r w:rsidR="003166C4">
        <w:rPr>
          <w:rFonts w:ascii="Simplified Arabic" w:hAnsi="Simplified Arabic" w:cs="Simplified Arabic" w:hint="cs"/>
          <w:sz w:val="24"/>
          <w:szCs w:val="24"/>
          <w:rtl/>
        </w:rPr>
        <w:t>استعمال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الأراضي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خلال</w:t>
      </w:r>
      <w:r w:rsidRPr="00507DB0">
        <w:rPr>
          <w:rFonts w:ascii="Simplified Arabic" w:hAnsi="Simplified Arabic" w:cs="Simplified Arabic"/>
          <w:sz w:val="24"/>
          <w:szCs w:val="24"/>
          <w:rtl/>
        </w:rPr>
        <w:t xml:space="preserve"> </w:t>
      </w:r>
      <w:r w:rsidR="006330C8">
        <w:rPr>
          <w:rFonts w:ascii="Simplified Arabic" w:hAnsi="Simplified Arabic" w:cs="Simplified Arabic" w:hint="cs"/>
          <w:sz w:val="24"/>
          <w:szCs w:val="24"/>
          <w:rtl/>
        </w:rPr>
        <w:t>تصميم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التوسع الحضري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سياق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المخاطر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الطبيعية</w:t>
      </w:r>
      <w:r w:rsidRPr="00507DB0">
        <w:rPr>
          <w:rFonts w:ascii="Simplified Arabic" w:hAnsi="Simplified Arabic" w:cs="Simplified Arabic"/>
          <w:sz w:val="24"/>
          <w:szCs w:val="24"/>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 xml:space="preserve">Geis, </w:t>
      </w:r>
      <w:r w:rsidRPr="00507DB0">
        <w:rPr>
          <w:rFonts w:asciiTheme="majorBidi" w:hAnsiTheme="majorBidi" w:cstheme="majorBidi"/>
          <w:sz w:val="24"/>
          <w:szCs w:val="24"/>
        </w:rPr>
        <w:lastRenderedPageBreak/>
        <w:t>2000</w:t>
      </w:r>
      <w:r w:rsidRPr="00507DB0">
        <w:rPr>
          <w:rFonts w:asciiTheme="majorBidi" w:hAnsiTheme="majorBidi" w:cstheme="majorBidi"/>
          <w:sz w:val="24"/>
          <w:szCs w:val="24"/>
          <w:rtl/>
        </w:rPr>
        <w:t>)</w:t>
      </w:r>
      <w:r w:rsidR="006330C8">
        <w:rPr>
          <w:rFonts w:asciiTheme="majorBidi" w:hAnsiTheme="majorBidi" w:cstheme="majorBidi" w:hint="cs"/>
          <w:sz w:val="24"/>
          <w:szCs w:val="24"/>
          <w:rtl/>
        </w:rPr>
        <w:t>.</w:t>
      </w:r>
      <w:r w:rsidRPr="00507DB0">
        <w:rPr>
          <w:rFonts w:ascii="Simplified Arabic" w:hAnsi="Simplified Arabic" w:cs="Simplified Arabic" w:hint="cs"/>
          <w:sz w:val="24"/>
          <w:szCs w:val="24"/>
          <w:rtl/>
        </w:rPr>
        <w:t xml:space="preserve"> المرونة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مفهوم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اجتماعي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شائك ومعقد،</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يتطلب</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الموضوع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توافق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الآراء، المعرفة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العلمية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والعملية،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التصورات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والتفسيرات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ومع</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ذلك،</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السكان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كثير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الأحيان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أول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يتأثر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بالمخاطر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الطبيعية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بسبب تسييرها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غير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المناسب،</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مما يثير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ملاحظة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عدم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مشاركة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السكان</w:t>
      </w:r>
      <w:r w:rsidRPr="00507DB0">
        <w:rPr>
          <w:rFonts w:asciiTheme="majorBidi" w:hAnsiTheme="majorBidi" w:cs="Times New Roman"/>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Kuhlicke et al., 2011</w:t>
      </w:r>
      <w:r w:rsidRPr="00507DB0">
        <w:rPr>
          <w:rFonts w:asciiTheme="majorBidi" w:hAnsiTheme="majorBidi" w:cstheme="majorBidi"/>
          <w:sz w:val="24"/>
          <w:szCs w:val="24"/>
          <w:rtl/>
        </w:rPr>
        <w:t>)</w:t>
      </w:r>
      <w:r w:rsidRPr="00507DB0">
        <w:rPr>
          <w:rFonts w:asciiTheme="majorBidi" w:hAnsiTheme="majorBidi" w:cs="Times New Roman" w:hint="cs"/>
          <w:rtl/>
        </w:rPr>
        <w:t xml:space="preserve">. </w:t>
      </w:r>
      <w:r w:rsidRPr="00507DB0">
        <w:rPr>
          <w:rFonts w:ascii="Simplified Arabic" w:hAnsi="Simplified Arabic" w:cs="Simplified Arabic" w:hint="cs"/>
          <w:sz w:val="24"/>
          <w:szCs w:val="24"/>
          <w:rtl/>
        </w:rPr>
        <w:t>بالإضافة الى ذلك، عجز قدرة استجابة النظام البيئي المبني على تحمل الصدمات اثناء حدوث تلك المخاطر انما بسبب عدم مشاركة السكان 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توجيه التنمية الحضرية</w:t>
      </w:r>
      <w:r w:rsidRPr="00507DB0">
        <w:rPr>
          <w:rFonts w:ascii="Simplified Arabic" w:hAnsi="Simplified Arabic" w:cs="Simplified Arabic"/>
          <w:sz w:val="24"/>
          <w:szCs w:val="24"/>
          <w:rtl/>
        </w:rPr>
        <w:t>.</w:t>
      </w:r>
    </w:p>
    <w:p w:rsidR="003E0F31" w:rsidRPr="00727752" w:rsidRDefault="003E0F31" w:rsidP="003E0F31">
      <w:pPr>
        <w:autoSpaceDE w:val="0"/>
        <w:autoSpaceDN w:val="0"/>
        <w:bidi/>
        <w:adjustRightInd w:val="0"/>
        <w:spacing w:after="0"/>
        <w:ind w:firstLine="282"/>
        <w:jc w:val="both"/>
        <w:rPr>
          <w:rFonts w:ascii="Simplified Arabic" w:hAnsi="Simplified Arabic" w:cs="Simplified Arabic"/>
          <w:sz w:val="24"/>
          <w:szCs w:val="24"/>
        </w:rPr>
      </w:pPr>
      <w:r w:rsidRPr="00507DB0">
        <w:rPr>
          <w:rFonts w:ascii="Simplified Arabic" w:hAnsi="Simplified Arabic" w:cs="Simplified Arabic" w:hint="cs"/>
          <w:sz w:val="24"/>
          <w:szCs w:val="24"/>
          <w:rtl/>
        </w:rPr>
        <w:t>وضعت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استراتيجية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الأمم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المتحدة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الدولية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للحد</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مخاطر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 xml:space="preserve">الكوارث </w:t>
      </w:r>
      <w:r w:rsidRPr="00507DB0">
        <w:rPr>
          <w:rFonts w:asciiTheme="majorBidi" w:hAnsiTheme="majorBidi" w:cstheme="majorBidi"/>
          <w:sz w:val="24"/>
          <w:szCs w:val="24"/>
          <w:rtl/>
        </w:rPr>
        <w:t>(</w:t>
      </w:r>
      <w:r w:rsidRPr="00507DB0">
        <w:rPr>
          <w:rFonts w:asciiTheme="majorBidi" w:hAnsiTheme="majorBidi" w:cstheme="majorBidi"/>
          <w:sz w:val="24"/>
          <w:szCs w:val="24"/>
        </w:rPr>
        <w:t>UNISDR, 2012</w:t>
      </w:r>
      <w:r w:rsidRPr="00507DB0">
        <w:rPr>
          <w:rFonts w:asciiTheme="majorBidi" w:hAnsiTheme="majorBidi" w:cstheme="majorBidi"/>
          <w:sz w:val="24"/>
          <w:szCs w:val="24"/>
          <w:rtl/>
        </w:rPr>
        <w:t>)</w:t>
      </w:r>
      <w:r w:rsidRPr="00507DB0">
        <w:rPr>
          <w:rFonts w:asciiTheme="majorBidi" w:hAnsiTheme="majorBidi" w:cs="Times New Roman" w:hint="cs"/>
          <w:rtl/>
        </w:rPr>
        <w:t>،</w:t>
      </w:r>
      <w:r w:rsidRPr="00507DB0">
        <w:rPr>
          <w:rFonts w:ascii="Simplified Arabic" w:hAnsi="Simplified Arabic" w:cs="Simplified Arabic"/>
          <w:sz w:val="24"/>
          <w:szCs w:val="24"/>
          <w:rtl/>
        </w:rPr>
        <w:t xml:space="preserve"> </w:t>
      </w:r>
      <w:r w:rsidRPr="00507DB0">
        <w:rPr>
          <w:rFonts w:ascii="Simplified Arabic" w:hAnsi="Simplified Arabic" w:cs="Simplified Arabic"/>
          <w:sz w:val="24"/>
          <w:szCs w:val="24"/>
        </w:rPr>
        <w:t>10</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نقاط</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أساسية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لإنشاء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مدن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قادرة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الصمود</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النقطة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رقم (</w:t>
      </w:r>
      <w:r w:rsidRPr="00507DB0">
        <w:rPr>
          <w:rFonts w:ascii="Simplified Arabic" w:hAnsi="Simplified Arabic" w:cs="Simplified Arabic"/>
          <w:sz w:val="24"/>
          <w:szCs w:val="24"/>
          <w:rtl/>
        </w:rPr>
        <w:t>1</w:t>
      </w:r>
      <w:r w:rsidRPr="00507DB0">
        <w:rPr>
          <w:rFonts w:ascii="Simplified Arabic" w:hAnsi="Simplified Arabic" w:cs="Simplified Arabic" w:hint="cs"/>
          <w:sz w:val="24"/>
          <w:szCs w:val="24"/>
          <w:rtl/>
        </w:rPr>
        <w:t>) هي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إنشاء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المنظمات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أو</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التنسيق</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أجل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فهم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وتقليل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المخاطر،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بناءً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على</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مشاركة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المواطنين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والمجتمعات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المدنية</w:t>
      </w:r>
      <w:r w:rsidRPr="00507DB0">
        <w:rPr>
          <w:rFonts w:asciiTheme="majorBidi" w:hAnsiTheme="majorBidi" w:cs="Times New Roman"/>
          <w:rtl/>
        </w:rPr>
        <w:t xml:space="preserve"> </w:t>
      </w:r>
      <w:r w:rsidRPr="00507DB0">
        <w:rPr>
          <w:rFonts w:asciiTheme="majorBidi" w:hAnsiTheme="majorBidi" w:cstheme="majorBidi"/>
          <w:sz w:val="24"/>
          <w:szCs w:val="24"/>
          <w:rtl/>
        </w:rPr>
        <w:t>(</w:t>
      </w:r>
      <w:r w:rsidRPr="00507DB0">
        <w:rPr>
          <w:rFonts w:asciiTheme="majorBidi" w:hAnsiTheme="majorBidi" w:cstheme="majorBidi"/>
          <w:sz w:val="24"/>
          <w:szCs w:val="24"/>
        </w:rPr>
        <w:t>UNISDR, 2012</w:t>
      </w:r>
      <w:r w:rsidRPr="00507DB0">
        <w:rPr>
          <w:rFonts w:asciiTheme="majorBidi" w:hAnsiTheme="majorBidi" w:cstheme="majorBidi"/>
          <w:sz w:val="24"/>
          <w:szCs w:val="24"/>
          <w:rtl/>
        </w:rPr>
        <w:t>)</w:t>
      </w:r>
      <w:r w:rsidRPr="00507DB0">
        <w:rPr>
          <w:rFonts w:asciiTheme="majorBidi" w:hAnsiTheme="majorBidi" w:cs="Times New Roman"/>
          <w:rtl/>
        </w:rPr>
        <w:t xml:space="preserve">. </w:t>
      </w:r>
      <w:r w:rsidRPr="00507DB0">
        <w:rPr>
          <w:rFonts w:ascii="Simplified Arabic" w:hAnsi="Simplified Arabic" w:cs="Simplified Arabic" w:hint="cs"/>
          <w:sz w:val="24"/>
          <w:szCs w:val="24"/>
          <w:rtl/>
        </w:rPr>
        <w:t>الهدف</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هو</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بناء</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إجراءات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وتعاون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محلي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للتأكد</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أن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كل</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جهة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فاعلة</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تفهم</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دورها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في</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الحد</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من</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المخاطر</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وإعدادها</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لاستراتيجيات</w:t>
      </w:r>
      <w:r w:rsidRPr="00507DB0">
        <w:rPr>
          <w:rFonts w:ascii="Simplified Arabic" w:hAnsi="Simplified Arabic" w:cs="Simplified Arabic"/>
          <w:sz w:val="24"/>
          <w:szCs w:val="24"/>
          <w:rtl/>
        </w:rPr>
        <w:t xml:space="preserve"> </w:t>
      </w:r>
      <w:r w:rsidRPr="00507DB0">
        <w:rPr>
          <w:rFonts w:ascii="Simplified Arabic" w:hAnsi="Simplified Arabic" w:cs="Simplified Arabic" w:hint="cs"/>
          <w:sz w:val="24"/>
          <w:szCs w:val="24"/>
          <w:rtl/>
        </w:rPr>
        <w:t>المرونة</w:t>
      </w:r>
      <w:r w:rsidRPr="00507DB0">
        <w:rPr>
          <w:rFonts w:ascii="Simplified Arabic" w:hAnsi="Simplified Arabic" w:cs="Simplified Arabic"/>
          <w:sz w:val="24"/>
          <w:szCs w:val="24"/>
          <w:rtl/>
        </w:rPr>
        <w:t>.</w:t>
      </w:r>
    </w:p>
    <w:p w:rsidR="003E0F31" w:rsidRPr="008F5299" w:rsidRDefault="007F4B85" w:rsidP="001D0548">
      <w:pPr>
        <w:pStyle w:val="Paragraphedeliste"/>
        <w:numPr>
          <w:ilvl w:val="1"/>
          <w:numId w:val="249"/>
        </w:numPr>
        <w:tabs>
          <w:tab w:val="right" w:pos="567"/>
        </w:tabs>
        <w:bidi/>
        <w:spacing w:before="240"/>
        <w:ind w:left="0" w:firstLine="0"/>
        <w:outlineLvl w:val="0"/>
        <w:rPr>
          <w:rFonts w:ascii="Simplified Arabic" w:hAnsi="Simplified Arabic" w:cs="Simplified Arabic"/>
          <w:color w:val="231F20"/>
          <w:sz w:val="24"/>
          <w:szCs w:val="24"/>
          <w:lang w:val="en-US"/>
        </w:rPr>
      </w:pPr>
      <w:bookmarkStart w:id="297" w:name="_Toc171803437"/>
      <w:r w:rsidRPr="008F5299">
        <w:rPr>
          <w:rFonts w:ascii="Simplified Arabic" w:hAnsi="Simplified Arabic" w:cs="Simplified Arabic" w:hint="cs"/>
          <w:b/>
          <w:bCs/>
          <w:sz w:val="24"/>
          <w:szCs w:val="24"/>
          <w:rtl/>
          <w:lang w:val="en-US"/>
        </w:rPr>
        <w:t>تحليل</w:t>
      </w:r>
      <w:r w:rsidR="003E0F31" w:rsidRPr="008F5299">
        <w:rPr>
          <w:rFonts w:ascii="Simplified Arabic" w:hAnsi="Simplified Arabic" w:cs="Simplified Arabic"/>
          <w:b/>
          <w:bCs/>
          <w:sz w:val="24"/>
          <w:szCs w:val="24"/>
          <w:rtl/>
          <w:lang w:val="en-US"/>
        </w:rPr>
        <w:t xml:space="preserve"> </w:t>
      </w:r>
      <w:r w:rsidR="003E0F31" w:rsidRPr="008F5299">
        <w:rPr>
          <w:rFonts w:ascii="Simplified Arabic" w:hAnsi="Simplified Arabic" w:cs="Simplified Arabic" w:hint="cs"/>
          <w:b/>
          <w:bCs/>
          <w:sz w:val="24"/>
          <w:szCs w:val="24"/>
          <w:rtl/>
          <w:lang w:val="en-US"/>
        </w:rPr>
        <w:t>اطر ونماذج</w:t>
      </w:r>
      <w:r w:rsidR="003E0F31" w:rsidRPr="008F5299">
        <w:rPr>
          <w:rFonts w:ascii="Simplified Arabic" w:hAnsi="Simplified Arabic" w:cs="Simplified Arabic"/>
          <w:b/>
          <w:bCs/>
          <w:sz w:val="24"/>
          <w:szCs w:val="24"/>
          <w:rtl/>
          <w:lang w:val="en-US"/>
        </w:rPr>
        <w:t xml:space="preserve"> </w:t>
      </w:r>
      <w:r w:rsidR="003E0F31" w:rsidRPr="008F5299">
        <w:rPr>
          <w:rFonts w:ascii="Simplified Arabic" w:hAnsi="Simplified Arabic" w:cs="Simplified Arabic" w:hint="cs"/>
          <w:b/>
          <w:bCs/>
          <w:sz w:val="24"/>
          <w:szCs w:val="24"/>
          <w:rtl/>
          <w:lang w:val="en-US"/>
        </w:rPr>
        <w:t>تقييم</w:t>
      </w:r>
      <w:r w:rsidR="003E0F31" w:rsidRPr="008F5299">
        <w:rPr>
          <w:rFonts w:ascii="Simplified Arabic" w:hAnsi="Simplified Arabic" w:cs="Simplified Arabic"/>
          <w:b/>
          <w:bCs/>
          <w:sz w:val="24"/>
          <w:szCs w:val="24"/>
          <w:rtl/>
          <w:lang w:val="en-US"/>
        </w:rPr>
        <w:t xml:space="preserve"> </w:t>
      </w:r>
      <w:r w:rsidR="003E0F31" w:rsidRPr="008F5299">
        <w:rPr>
          <w:rFonts w:ascii="Simplified Arabic" w:hAnsi="Simplified Arabic" w:cs="Simplified Arabic" w:hint="cs"/>
          <w:b/>
          <w:bCs/>
          <w:sz w:val="24"/>
          <w:szCs w:val="24"/>
          <w:rtl/>
          <w:lang w:val="en-US"/>
        </w:rPr>
        <w:t>المرونة</w:t>
      </w:r>
      <w:bookmarkEnd w:id="297"/>
    </w:p>
    <w:p w:rsidR="003E0F31" w:rsidRPr="003D7790" w:rsidRDefault="003E0F31" w:rsidP="001D0548">
      <w:pPr>
        <w:pStyle w:val="Paragraphedeliste"/>
        <w:numPr>
          <w:ilvl w:val="2"/>
          <w:numId w:val="33"/>
        </w:numPr>
        <w:tabs>
          <w:tab w:val="right" w:pos="850"/>
        </w:tabs>
        <w:bidi/>
        <w:spacing w:before="240" w:after="0"/>
        <w:ind w:left="0" w:firstLine="0"/>
        <w:outlineLvl w:val="1"/>
        <w:rPr>
          <w:rFonts w:asciiTheme="minorBidi" w:hAnsiTheme="minorBidi" w:cs="Arial"/>
          <w:b/>
          <w:bCs/>
          <w:color w:val="000000" w:themeColor="text1"/>
          <w:sz w:val="24"/>
          <w:szCs w:val="24"/>
          <w:lang w:bidi="ar-DZ"/>
        </w:rPr>
      </w:pPr>
      <w:bookmarkStart w:id="298" w:name="_Toc171803438"/>
      <w:r w:rsidRPr="003D7790">
        <w:rPr>
          <w:rFonts w:ascii="Simplified Arabic" w:hAnsi="Simplified Arabic" w:cs="Simplified Arabic"/>
          <w:b/>
          <w:bCs/>
          <w:sz w:val="24"/>
          <w:szCs w:val="24"/>
          <w:rtl/>
          <w:lang w:bidi="ar-DZ"/>
        </w:rPr>
        <w:t>مؤشر</w:t>
      </w:r>
      <w:r w:rsidRPr="003D7790">
        <w:rPr>
          <w:rFonts w:ascii="Simplified Arabic" w:hAnsi="Simplified Arabic" w:cs="Simplified Arabic"/>
          <w:b/>
          <w:bCs/>
          <w:color w:val="000000" w:themeColor="text1"/>
          <w:sz w:val="24"/>
          <w:szCs w:val="24"/>
          <w:rtl/>
          <w:lang w:bidi="ar-DZ"/>
        </w:rPr>
        <w:t xml:space="preserve"> مرونة مواجهة الكوارث المناخية ،</w:t>
      </w:r>
      <w:r w:rsidRPr="003D7790">
        <w:rPr>
          <w:rFonts w:asciiTheme="majorBidi" w:hAnsiTheme="majorBidi" w:cstheme="majorBidi"/>
          <w:b/>
          <w:bCs/>
          <w:color w:val="000000" w:themeColor="text1"/>
          <w:sz w:val="18"/>
          <w:szCs w:val="18"/>
          <w:rtl/>
          <w:lang w:val="en-US"/>
        </w:rPr>
        <w:t>[</w:t>
      </w:r>
      <w:r w:rsidRPr="003D7790">
        <w:rPr>
          <w:rFonts w:asciiTheme="majorBidi" w:hAnsiTheme="majorBidi" w:cstheme="majorBidi"/>
          <w:b/>
          <w:bCs/>
          <w:color w:val="000000" w:themeColor="text1"/>
          <w:sz w:val="18"/>
          <w:szCs w:val="18"/>
          <w:lang w:val="en-US"/>
        </w:rPr>
        <w:t>(Shaw</w:t>
      </w:r>
      <w:r w:rsidRPr="003D7790">
        <w:rPr>
          <w:rFonts w:asciiTheme="majorBidi" w:hAnsiTheme="majorBidi" w:cstheme="majorBidi"/>
          <w:b/>
          <w:bCs/>
          <w:color w:val="000000" w:themeColor="text1"/>
          <w:sz w:val="18"/>
          <w:szCs w:val="18"/>
        </w:rPr>
        <w:t>,</w:t>
      </w:r>
      <w:r w:rsidRPr="003D7790">
        <w:rPr>
          <w:rFonts w:asciiTheme="majorBidi" w:hAnsiTheme="majorBidi" w:cstheme="majorBidi"/>
          <w:b/>
          <w:bCs/>
          <w:color w:val="000000" w:themeColor="text1"/>
          <w:sz w:val="18"/>
          <w:szCs w:val="18"/>
          <w:lang w:val="en-US"/>
        </w:rPr>
        <w:t xml:space="preserve"> 2009)</w:t>
      </w:r>
      <w:r w:rsidRPr="003D7790">
        <w:rPr>
          <w:rFonts w:asciiTheme="majorBidi" w:hAnsiTheme="majorBidi" w:cstheme="majorBidi"/>
          <w:b/>
          <w:bCs/>
          <w:color w:val="000000" w:themeColor="text1"/>
          <w:sz w:val="18"/>
          <w:szCs w:val="18"/>
          <w:rtl/>
          <w:lang w:val="en-US"/>
        </w:rPr>
        <w:t xml:space="preserve"> </w:t>
      </w:r>
      <w:r w:rsidRPr="003D7790">
        <w:rPr>
          <w:rFonts w:asciiTheme="majorBidi" w:hAnsiTheme="majorBidi" w:cstheme="majorBidi"/>
          <w:b/>
          <w:bCs/>
          <w:color w:val="000000" w:themeColor="text1"/>
          <w:sz w:val="18"/>
          <w:szCs w:val="18"/>
          <w:lang w:val="en-US"/>
        </w:rPr>
        <w:t>,</w:t>
      </w:r>
      <w:r w:rsidRPr="003D7790">
        <w:rPr>
          <w:rFonts w:asciiTheme="majorBidi" w:hAnsiTheme="majorBidi" w:cstheme="majorBidi"/>
          <w:b/>
          <w:bCs/>
          <w:color w:val="000000" w:themeColor="text1"/>
          <w:sz w:val="18"/>
          <w:szCs w:val="18"/>
          <w:rtl/>
          <w:lang w:val="en-US"/>
        </w:rPr>
        <w:t>(</w:t>
      </w:r>
      <w:r w:rsidRPr="003D7790">
        <w:rPr>
          <w:rFonts w:asciiTheme="majorBidi" w:hAnsiTheme="majorBidi" w:cstheme="majorBidi"/>
          <w:b/>
          <w:bCs/>
          <w:color w:val="000000" w:themeColor="text1"/>
          <w:sz w:val="18"/>
          <w:szCs w:val="18"/>
          <w:lang w:val="en-US"/>
        </w:rPr>
        <w:t>CDRI</w:t>
      </w:r>
      <w:r w:rsidRPr="003D7790">
        <w:rPr>
          <w:rFonts w:asciiTheme="majorBidi" w:hAnsiTheme="majorBidi" w:cstheme="majorBidi"/>
          <w:b/>
          <w:bCs/>
          <w:color w:val="000000" w:themeColor="text1"/>
          <w:sz w:val="18"/>
          <w:szCs w:val="18"/>
          <w:rtl/>
          <w:lang w:val="en-US"/>
        </w:rPr>
        <w:t>)</w:t>
      </w:r>
      <w:r w:rsidRPr="003D7790">
        <w:rPr>
          <w:rFonts w:asciiTheme="majorBidi" w:hAnsiTheme="majorBidi" w:cstheme="majorBidi"/>
          <w:b/>
          <w:bCs/>
          <w:color w:val="000000" w:themeColor="text1"/>
          <w:sz w:val="18"/>
          <w:szCs w:val="18"/>
          <w:lang w:val="en-US"/>
        </w:rPr>
        <w:t>Climate Disaster Resilience Index</w:t>
      </w:r>
      <w:r w:rsidRPr="003D7790">
        <w:rPr>
          <w:rFonts w:asciiTheme="majorBidi" w:hAnsiTheme="majorBidi" w:cstheme="majorBidi"/>
          <w:b/>
          <w:bCs/>
          <w:color w:val="000000" w:themeColor="text1"/>
          <w:sz w:val="18"/>
          <w:szCs w:val="18"/>
          <w:rtl/>
          <w:lang w:val="en-US"/>
        </w:rPr>
        <w:t>]</w:t>
      </w:r>
      <w:bookmarkEnd w:id="298"/>
    </w:p>
    <w:p w:rsidR="003E0F31" w:rsidRDefault="003E0F31" w:rsidP="00835CD6">
      <w:pPr>
        <w:autoSpaceDE w:val="0"/>
        <w:autoSpaceDN w:val="0"/>
        <w:bidi/>
        <w:adjustRightInd w:val="0"/>
        <w:spacing w:after="0"/>
        <w:ind w:firstLine="282"/>
        <w:jc w:val="both"/>
        <w:rPr>
          <w:rFonts w:ascii="Simplified Arabic" w:hAnsi="Simplified Arabic" w:cs="Simplified Arabic"/>
          <w:sz w:val="24"/>
          <w:szCs w:val="24"/>
          <w:rtl/>
          <w:lang w:bidi="ar-DZ"/>
        </w:rPr>
      </w:pPr>
      <w:r w:rsidRPr="00507DB0">
        <w:rPr>
          <w:rFonts w:ascii="Simplified Arabic" w:hAnsi="Simplified Arabic" w:cs="Simplified Arabic"/>
          <w:sz w:val="24"/>
          <w:szCs w:val="24"/>
          <w:rtl/>
          <w:lang w:bidi="ar-DZ"/>
        </w:rPr>
        <w:t>قام</w:t>
      </w:r>
      <w:r w:rsidRPr="00507DB0">
        <w:rPr>
          <w:rFonts w:ascii="Simplified Arabic" w:hAnsi="Simplified Arabic" w:cs="Simplified Arabic"/>
          <w:sz w:val="24"/>
          <w:szCs w:val="24"/>
          <w:rtl/>
        </w:rPr>
        <w:t xml:space="preserve"> </w:t>
      </w:r>
      <w:r w:rsidRPr="00507DB0">
        <w:rPr>
          <w:rFonts w:asciiTheme="majorBidi" w:hAnsiTheme="majorBidi" w:cstheme="majorBidi"/>
          <w:sz w:val="24"/>
          <w:szCs w:val="24"/>
        </w:rPr>
        <w:t>(Shaw, 2009)</w:t>
      </w:r>
      <w:r w:rsidRPr="00507DB0">
        <w:rPr>
          <w:rFonts w:ascii="Simplified Arabic" w:hAnsi="Simplified Arabic" w:cs="Simplified Arabic" w:hint="cs"/>
          <w:sz w:val="24"/>
          <w:szCs w:val="24"/>
          <w:rtl/>
          <w:lang w:bidi="ar-DZ"/>
        </w:rPr>
        <w:t>،</w:t>
      </w:r>
      <w:r w:rsidRPr="00507DB0">
        <w:rPr>
          <w:rFonts w:asciiTheme="majorBidi" w:hAnsiTheme="majorBidi" w:cstheme="majorBidi" w:hint="cs"/>
          <w:sz w:val="24"/>
          <w:szCs w:val="24"/>
          <w:rtl/>
        </w:rPr>
        <w:t xml:space="preserve"> </w:t>
      </w:r>
      <w:r w:rsidRPr="00507DB0">
        <w:rPr>
          <w:rFonts w:ascii="Simplified Arabic" w:hAnsi="Simplified Arabic" w:cs="Simplified Arabic" w:hint="cs"/>
          <w:sz w:val="24"/>
          <w:szCs w:val="24"/>
          <w:rtl/>
          <w:lang w:bidi="ar-DZ"/>
        </w:rPr>
        <w:t>رفقة</w:t>
      </w:r>
      <w:r w:rsidRPr="00507DB0">
        <w:rPr>
          <w:rFonts w:asciiTheme="majorBidi" w:hAnsiTheme="majorBidi" w:cstheme="majorBidi" w:hint="cs"/>
          <w:sz w:val="24"/>
          <w:szCs w:val="24"/>
          <w:rtl/>
        </w:rPr>
        <w:t xml:space="preserve"> </w:t>
      </w:r>
      <w:r w:rsidRPr="00507DB0">
        <w:rPr>
          <w:rFonts w:ascii="Simplified Arabic" w:hAnsi="Simplified Arabic" w:cs="Simplified Arabic" w:hint="cs"/>
          <w:sz w:val="24"/>
          <w:szCs w:val="24"/>
          <w:rtl/>
          <w:lang w:bidi="ar-DZ"/>
        </w:rPr>
        <w:t>زملاؤه</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العاملين 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المختبر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الدولي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للبيئة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وإدارة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الكوارث</w:t>
      </w:r>
      <w:r w:rsidRPr="00507DB0">
        <w:rPr>
          <w:rFonts w:ascii="Simplified Arabic" w:hAnsi="Simplified Arabic" w:cs="Simplified Arabic"/>
          <w:sz w:val="24"/>
          <w:szCs w:val="24"/>
          <w:rtl/>
          <w:lang w:bidi="ar-DZ"/>
        </w:rPr>
        <w:t xml:space="preserve"> </w:t>
      </w:r>
      <w:r w:rsidRPr="00507DB0">
        <w:rPr>
          <w:rFonts w:asciiTheme="majorBidi" w:hAnsiTheme="majorBidi" w:cstheme="majorBidi"/>
          <w:sz w:val="24"/>
          <w:szCs w:val="24"/>
          <w:rtl/>
          <w:lang w:bidi="ar-DZ"/>
        </w:rPr>
        <w:t>(</w:t>
      </w:r>
      <w:r w:rsidRPr="00507DB0">
        <w:rPr>
          <w:rFonts w:asciiTheme="majorBidi" w:hAnsiTheme="majorBidi" w:cstheme="majorBidi"/>
          <w:sz w:val="24"/>
          <w:szCs w:val="24"/>
          <w:lang w:bidi="ar-DZ"/>
        </w:rPr>
        <w:t>IEDM</w:t>
      </w:r>
      <w:r w:rsidRPr="00507DB0">
        <w:rPr>
          <w:rFonts w:asciiTheme="majorBidi" w:hAnsiTheme="majorBidi" w:cstheme="majorBidi"/>
          <w:sz w:val="24"/>
          <w:szCs w:val="24"/>
          <w:rtl/>
          <w:lang w:bidi="ar-DZ"/>
        </w:rPr>
        <w:t>)</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بتطوير مؤشر</w:t>
      </w:r>
      <w:r w:rsidRPr="00507DB0">
        <w:rPr>
          <w:rFonts w:ascii="Simplified Arabic" w:hAnsi="Simplified Arabic" w:cs="Simplified Arabic"/>
          <w:sz w:val="24"/>
          <w:szCs w:val="24"/>
          <w:rtl/>
          <w:lang w:bidi="ar-DZ"/>
        </w:rPr>
        <w:t xml:space="preserve"> </w:t>
      </w:r>
      <w:r w:rsidRPr="00507DB0">
        <w:rPr>
          <w:rFonts w:asciiTheme="majorBidi" w:hAnsiTheme="majorBidi" w:cstheme="majorBidi"/>
          <w:sz w:val="24"/>
          <w:szCs w:val="24"/>
          <w:rtl/>
          <w:lang w:bidi="ar-DZ"/>
        </w:rPr>
        <w:t>(</w:t>
      </w:r>
      <w:r w:rsidRPr="00507DB0">
        <w:rPr>
          <w:rFonts w:asciiTheme="majorBidi" w:hAnsiTheme="majorBidi" w:cstheme="majorBidi"/>
          <w:sz w:val="24"/>
          <w:szCs w:val="24"/>
        </w:rPr>
        <w:t>CDRI</w:t>
      </w:r>
      <w:r w:rsidRPr="00507DB0">
        <w:rPr>
          <w:rFonts w:asciiTheme="majorBidi" w:hAnsiTheme="majorBidi" w:cstheme="majorBidi"/>
          <w:sz w:val="24"/>
          <w:szCs w:val="24"/>
          <w:rtl/>
          <w:lang w:bidi="ar-DZ"/>
        </w:rPr>
        <w:t>)</w:t>
      </w:r>
      <w:r w:rsidRPr="00507DB0">
        <w:rPr>
          <w:rFonts w:asciiTheme="majorBidi" w:hAnsiTheme="majorBidi" w:cstheme="majorBidi" w:hint="cs"/>
          <w:sz w:val="24"/>
          <w:szCs w:val="24"/>
          <w:rtl/>
          <w:lang w:bidi="ar-DZ"/>
        </w:rPr>
        <w:t xml:space="preserve"> </w:t>
      </w:r>
      <w:r w:rsidRPr="00507DB0">
        <w:rPr>
          <w:rFonts w:ascii="Simplified Arabic" w:hAnsi="Simplified Arabic" w:cs="Simplified Arabic" w:hint="cs"/>
          <w:sz w:val="24"/>
          <w:szCs w:val="24"/>
          <w:rtl/>
          <w:lang w:bidi="ar-DZ"/>
        </w:rPr>
        <w:t>لقياس</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مستوى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الكوارث</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المناخية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المناطق</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المستهدفة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آسيا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تطبيقها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نسبيًا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10 </w:t>
      </w:r>
      <w:r w:rsidRPr="00507DB0">
        <w:rPr>
          <w:rFonts w:ascii="Simplified Arabic" w:hAnsi="Simplified Arabic" w:cs="Simplified Arabic" w:hint="cs"/>
          <w:sz w:val="24"/>
          <w:szCs w:val="24"/>
          <w:rtl/>
          <w:lang w:bidi="ar-DZ"/>
        </w:rPr>
        <w:t>مدن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آسيوية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لقياس</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مرونتها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وتقديم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توصيات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بناءً</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مستوى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المتوقع</w:t>
      </w:r>
      <w:r w:rsidRPr="00507DB0">
        <w:rPr>
          <w:rFonts w:ascii="Simplified Arabic" w:hAnsi="Simplified Arabic" w:cs="Simplified Arabic"/>
          <w:sz w:val="24"/>
          <w:szCs w:val="24"/>
          <w:rtl/>
          <w:lang w:bidi="ar-DZ"/>
        </w:rPr>
        <w:t xml:space="preserve"> </w:t>
      </w:r>
      <w:r w:rsidRPr="00507DB0">
        <w:rPr>
          <w:rFonts w:asciiTheme="majorBidi" w:hAnsiTheme="majorBidi" w:cstheme="majorBidi"/>
          <w:sz w:val="24"/>
          <w:szCs w:val="24"/>
          <w:rtl/>
          <w:lang w:bidi="ar-DZ"/>
        </w:rPr>
        <w:t>(</w:t>
      </w:r>
      <w:r w:rsidRPr="00507DB0">
        <w:rPr>
          <w:rFonts w:asciiTheme="majorBidi" w:hAnsiTheme="majorBidi" w:cstheme="majorBidi"/>
          <w:sz w:val="24"/>
          <w:szCs w:val="24"/>
          <w:lang w:bidi="ar-DZ"/>
        </w:rPr>
        <w:t xml:space="preserve">Shaw, 2009, da Silva and </w:t>
      </w:r>
      <w:r w:rsidRPr="00507DB0">
        <w:rPr>
          <w:rFonts w:asciiTheme="majorBidi" w:hAnsiTheme="majorBidi" w:cstheme="majorBidi"/>
          <w:sz w:val="24"/>
          <w:szCs w:val="24"/>
        </w:rPr>
        <w:t>Moench</w:t>
      </w:r>
      <w:r w:rsidRPr="00507DB0">
        <w:rPr>
          <w:rFonts w:asciiTheme="majorBidi" w:hAnsiTheme="majorBidi" w:cstheme="majorBidi"/>
          <w:sz w:val="24"/>
          <w:szCs w:val="24"/>
          <w:lang w:bidi="ar-DZ"/>
        </w:rPr>
        <w:t>, 2010</w:t>
      </w:r>
      <w:r w:rsidRPr="00507DB0">
        <w:rPr>
          <w:rFonts w:asciiTheme="majorBidi" w:hAnsiTheme="majorBidi" w:cstheme="majorBidi"/>
          <w:sz w:val="24"/>
          <w:szCs w:val="24"/>
          <w:rtl/>
          <w:lang w:bidi="ar-DZ"/>
        </w:rPr>
        <w:t>)</w:t>
      </w:r>
      <w:r w:rsidRPr="00507DB0">
        <w:rPr>
          <w:rFonts w:ascii="Simplified Arabic" w:hAnsi="Simplified Arabic" w:cs="Simplified Arabic"/>
          <w:sz w:val="24"/>
          <w:szCs w:val="24"/>
          <w:rtl/>
          <w:lang w:bidi="ar-DZ"/>
        </w:rPr>
        <w:t>.</w:t>
      </w:r>
      <w:r w:rsidRPr="00507DB0">
        <w:rPr>
          <w:rFonts w:ascii="Simplified Arabic" w:hAnsi="Simplified Arabic" w:cs="Simplified Arabic" w:hint="cs"/>
          <w:sz w:val="24"/>
          <w:szCs w:val="24"/>
          <w:rtl/>
          <w:lang w:bidi="ar-DZ"/>
        </w:rPr>
        <w:t xml:space="preserve"> تم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تطوير المؤشر على اساس</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الأبعاد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الخمسة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للمرونة (طبيعية،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فيزيائية،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اجتماعية،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اقتصادية ومؤسسية)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يتم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تقديم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معلومات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أنها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شاملة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تمزج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بين جميع</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الأبعاد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الخمسة،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وأيضًا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قطاعية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(فيزيائية، اجتماعية، اقتصادية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ومؤسسية)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يتراوح</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عامل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الإجمالي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بين</w:t>
      </w:r>
      <w:r w:rsidRPr="00507DB0">
        <w:rPr>
          <w:rFonts w:ascii="Simplified Arabic" w:hAnsi="Simplified Arabic" w:cs="Simplified Arabic"/>
          <w:sz w:val="24"/>
          <w:szCs w:val="24"/>
          <w:rtl/>
          <w:lang w:bidi="ar-DZ"/>
        </w:rPr>
        <w:t xml:space="preserve"> 0 </w:t>
      </w:r>
      <w:r w:rsidRPr="00507DB0">
        <w:rPr>
          <w:rFonts w:ascii="Simplified Arabic" w:hAnsi="Simplified Arabic" w:cs="Simplified Arabic" w:hint="cs"/>
          <w:sz w:val="24"/>
          <w:szCs w:val="24"/>
          <w:rtl/>
          <w:lang w:bidi="ar-DZ"/>
        </w:rPr>
        <w:t>و</w:t>
      </w:r>
      <w:r w:rsidRPr="00507DB0">
        <w:rPr>
          <w:rFonts w:ascii="Simplified Arabic" w:hAnsi="Simplified Arabic" w:cs="Simplified Arabic"/>
          <w:sz w:val="24"/>
          <w:szCs w:val="24"/>
          <w:rtl/>
          <w:lang w:bidi="ar-DZ"/>
        </w:rPr>
        <w:t xml:space="preserve"> 10</w:t>
      </w:r>
      <w:r w:rsidRPr="00507DB0">
        <w:rPr>
          <w:rFonts w:ascii="Simplified Arabic" w:hAnsi="Simplified Arabic" w:cs="Simplified Arabic" w:hint="cs"/>
          <w:sz w:val="24"/>
          <w:szCs w:val="24"/>
          <w:rtl/>
          <w:lang w:bidi="ar-DZ"/>
        </w:rPr>
        <w:t xml:space="preserve"> </w:t>
      </w:r>
      <w:r w:rsidRPr="00507DB0">
        <w:rPr>
          <w:rFonts w:asciiTheme="majorBidi" w:hAnsiTheme="majorBidi" w:cstheme="majorBidi"/>
          <w:sz w:val="24"/>
          <w:szCs w:val="24"/>
        </w:rPr>
        <w:t>2009)</w:t>
      </w:r>
      <w:r w:rsidRPr="00507DB0">
        <w:rPr>
          <w:rFonts w:asciiTheme="majorBidi" w:hAnsiTheme="majorBidi" w:cstheme="majorBidi"/>
          <w:sz w:val="28"/>
          <w:szCs w:val="28"/>
          <w:rtl/>
          <w:lang w:bidi="ar-DZ"/>
        </w:rPr>
        <w:t xml:space="preserve"> </w:t>
      </w:r>
      <w:r w:rsidRPr="00507DB0">
        <w:rPr>
          <w:rFonts w:asciiTheme="majorBidi" w:hAnsiTheme="majorBidi" w:cstheme="majorBidi"/>
          <w:sz w:val="24"/>
          <w:szCs w:val="24"/>
        </w:rPr>
        <w:t>(Shaw,</w:t>
      </w:r>
      <w:r w:rsidRPr="00507DB0">
        <w:rPr>
          <w:rFonts w:ascii="Simplified Arabic" w:hAnsi="Simplified Arabic" w:cs="Simplified Arabic" w:hint="cs"/>
          <w:sz w:val="24"/>
          <w:szCs w:val="24"/>
          <w:rtl/>
          <w:lang w:bidi="ar-DZ"/>
        </w:rPr>
        <w:t>.</w:t>
      </w:r>
      <w:r w:rsidRPr="00507DB0">
        <w:rPr>
          <w:rFonts w:ascii="Calibri" w:hAnsi="Calibri" w:cs="Calibri" w:hint="cs"/>
          <w:rtl/>
        </w:rPr>
        <w:t xml:space="preserve"> </w:t>
      </w:r>
      <w:r w:rsidRPr="00507DB0">
        <w:rPr>
          <w:rFonts w:ascii="Simplified Arabic" w:hAnsi="Simplified Arabic" w:cs="Simplified Arabic" w:hint="cs"/>
          <w:sz w:val="24"/>
          <w:szCs w:val="24"/>
          <w:rtl/>
          <w:lang w:bidi="ar-DZ"/>
        </w:rPr>
        <w:t>تم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حساب</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البيانات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جمعها</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عملية مسح</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استبيان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برنامج (</w:t>
      </w:r>
      <w:r w:rsidRPr="00507DB0">
        <w:rPr>
          <w:rFonts w:asciiTheme="majorBidi" w:hAnsiTheme="majorBidi" w:cstheme="majorBidi"/>
          <w:sz w:val="24"/>
          <w:szCs w:val="24"/>
        </w:rPr>
        <w:t>Excel</w:t>
      </w:r>
      <w:r w:rsidRPr="00507DB0">
        <w:rPr>
          <w:rFonts w:ascii="Simplified Arabic" w:hAnsi="Simplified Arabic" w:cs="Simplified Arabic" w:hint="cs"/>
          <w:sz w:val="24"/>
          <w:szCs w:val="24"/>
          <w:rtl/>
          <w:lang w:bidi="ar-DZ"/>
        </w:rPr>
        <w:t>)</w:t>
      </w:r>
      <w:r w:rsidRPr="00507DB0">
        <w:rPr>
          <w:rFonts w:ascii="Simplified Arabic" w:hAnsi="Simplified Arabic" w:cs="Simplified Arabic"/>
          <w:sz w:val="24"/>
          <w:szCs w:val="24"/>
          <w:rtl/>
          <w:lang w:bidi="ar-DZ"/>
        </w:rPr>
        <w:t>.</w:t>
      </w:r>
      <w:r w:rsidRPr="00507DB0">
        <w:rPr>
          <w:rFonts w:ascii="Simplified Arabic" w:hAnsi="Simplified Arabic" w:cs="Simplified Arabic" w:hint="cs"/>
          <w:sz w:val="24"/>
          <w:szCs w:val="24"/>
          <w:rtl/>
          <w:lang w:bidi="ar-DZ"/>
        </w:rPr>
        <w:t xml:space="preserve"> </w:t>
      </w:r>
    </w:p>
    <w:p w:rsidR="00C7475E" w:rsidRDefault="003E0F31" w:rsidP="00C7475E">
      <w:pPr>
        <w:bidi/>
        <w:spacing w:after="0"/>
        <w:ind w:firstLine="282"/>
        <w:jc w:val="both"/>
        <w:rPr>
          <w:rFonts w:ascii="Simplified Arabic" w:hAnsi="Simplified Arabic" w:cs="Simplified Arabic"/>
          <w:sz w:val="24"/>
          <w:szCs w:val="24"/>
          <w:rtl/>
          <w:lang w:bidi="ar-DZ"/>
        </w:rPr>
      </w:pPr>
      <w:r w:rsidRPr="006A5544">
        <w:rPr>
          <w:rFonts w:ascii="Simplified Arabic" w:hAnsi="Simplified Arabic" w:cs="Simplified Arabic" w:hint="cs"/>
          <w:sz w:val="24"/>
          <w:szCs w:val="24"/>
          <w:rtl/>
          <w:lang w:bidi="ar-DZ"/>
        </w:rPr>
        <w:t>لوصف</w:t>
      </w:r>
      <w:r w:rsidRPr="006A5544">
        <w:rPr>
          <w:rFonts w:ascii="Simplified Arabic" w:hAnsi="Simplified Arabic" w:cs="Simplified Arabic"/>
          <w:sz w:val="24"/>
          <w:szCs w:val="24"/>
          <w:rtl/>
          <w:lang w:bidi="ar-DZ"/>
        </w:rPr>
        <w:t xml:space="preserve"> </w:t>
      </w:r>
      <w:r w:rsidRPr="006A5544">
        <w:rPr>
          <w:rFonts w:ascii="Simplified Arabic" w:hAnsi="Simplified Arabic" w:cs="Simplified Arabic" w:hint="cs"/>
          <w:sz w:val="24"/>
          <w:szCs w:val="24"/>
          <w:rtl/>
          <w:lang w:bidi="ar-DZ"/>
        </w:rPr>
        <w:t>مؤشر</w:t>
      </w:r>
      <w:r w:rsidRPr="006A5544">
        <w:rPr>
          <w:rFonts w:ascii="Simplified Arabic" w:hAnsi="Simplified Arabic" w:cs="Simplified Arabic"/>
          <w:sz w:val="24"/>
          <w:szCs w:val="24"/>
          <w:rtl/>
          <w:lang w:bidi="ar-DZ"/>
        </w:rPr>
        <w:t xml:space="preserve"> </w:t>
      </w:r>
      <w:r w:rsidRPr="006A5544">
        <w:rPr>
          <w:rFonts w:ascii="Simplified Arabic" w:hAnsi="Simplified Arabic" w:cs="Simplified Arabic" w:hint="cs"/>
          <w:sz w:val="24"/>
          <w:szCs w:val="24"/>
          <w:rtl/>
          <w:lang w:bidi="ar-DZ"/>
        </w:rPr>
        <w:t>المرونة</w:t>
      </w:r>
      <w:r w:rsidRPr="006A5544">
        <w:rPr>
          <w:rFonts w:ascii="Simplified Arabic" w:hAnsi="Simplified Arabic" w:cs="Simplified Arabic"/>
          <w:sz w:val="24"/>
          <w:szCs w:val="24"/>
          <w:rtl/>
          <w:lang w:bidi="ar-DZ"/>
        </w:rPr>
        <w:t xml:space="preserve"> </w:t>
      </w:r>
      <w:r w:rsidRPr="006A5544">
        <w:rPr>
          <w:rFonts w:ascii="Simplified Arabic" w:hAnsi="Simplified Arabic" w:cs="Simplified Arabic" w:hint="cs"/>
          <w:sz w:val="24"/>
          <w:szCs w:val="24"/>
          <w:rtl/>
          <w:lang w:bidi="ar-DZ"/>
        </w:rPr>
        <w:t>للكوارث</w:t>
      </w:r>
      <w:r w:rsidRPr="006A5544">
        <w:rPr>
          <w:rFonts w:ascii="Simplified Arabic" w:hAnsi="Simplified Arabic" w:cs="Simplified Arabic"/>
          <w:sz w:val="24"/>
          <w:szCs w:val="24"/>
          <w:rtl/>
          <w:lang w:bidi="ar-DZ"/>
        </w:rPr>
        <w:t xml:space="preserve"> </w:t>
      </w:r>
      <w:r w:rsidRPr="006A5544">
        <w:rPr>
          <w:rFonts w:ascii="Simplified Arabic" w:hAnsi="Simplified Arabic" w:cs="Simplified Arabic" w:hint="cs"/>
          <w:sz w:val="24"/>
          <w:szCs w:val="24"/>
          <w:rtl/>
          <w:lang w:bidi="ar-DZ"/>
        </w:rPr>
        <w:t>المناخية</w:t>
      </w:r>
      <w:r w:rsidRPr="006A5544">
        <w:rPr>
          <w:rFonts w:ascii="Simplified Arabic" w:hAnsi="Simplified Arabic" w:cs="Simplified Arabic"/>
          <w:sz w:val="24"/>
          <w:szCs w:val="24"/>
          <w:rtl/>
          <w:lang w:bidi="ar-DZ"/>
        </w:rPr>
        <w:t xml:space="preserve"> </w:t>
      </w:r>
      <w:r w:rsidRPr="008B2EEF">
        <w:rPr>
          <w:rFonts w:asciiTheme="majorBidi" w:hAnsiTheme="majorBidi" w:cstheme="majorBidi"/>
          <w:sz w:val="24"/>
          <w:szCs w:val="24"/>
          <w:rtl/>
          <w:lang w:bidi="ar-DZ"/>
        </w:rPr>
        <w:t>(</w:t>
      </w:r>
      <w:r w:rsidRPr="008B2EEF">
        <w:rPr>
          <w:rFonts w:asciiTheme="majorBidi" w:hAnsiTheme="majorBidi" w:cstheme="majorBidi"/>
          <w:sz w:val="24"/>
          <w:szCs w:val="24"/>
          <w:lang w:bidi="ar-DZ"/>
        </w:rPr>
        <w:t>CDRI</w:t>
      </w:r>
      <w:r w:rsidRPr="009533CC">
        <w:rPr>
          <w:rFonts w:ascii="Simplified Arabic" w:hAnsi="Simplified Arabic" w:cs="Simplified Arabic"/>
          <w:sz w:val="24"/>
          <w:szCs w:val="24"/>
          <w:rtl/>
          <w:lang w:bidi="ar-DZ"/>
        </w:rPr>
        <w:t>)</w:t>
      </w:r>
      <w:r w:rsidRPr="006A5544">
        <w:rPr>
          <w:rFonts w:ascii="Simplified Arabic" w:hAnsi="Simplified Arabic" w:cs="Simplified Arabic"/>
          <w:sz w:val="24"/>
          <w:szCs w:val="24"/>
          <w:rtl/>
          <w:lang w:bidi="ar-DZ"/>
        </w:rPr>
        <w:t xml:space="preserve"> </w:t>
      </w:r>
      <w:r w:rsidRPr="006A5544">
        <w:rPr>
          <w:rFonts w:ascii="Simplified Arabic" w:hAnsi="Simplified Arabic" w:cs="Simplified Arabic" w:hint="cs"/>
          <w:sz w:val="24"/>
          <w:szCs w:val="24"/>
          <w:rtl/>
          <w:lang w:bidi="ar-DZ"/>
        </w:rPr>
        <w:t>بشكل</w:t>
      </w:r>
      <w:r w:rsidRPr="006A5544">
        <w:rPr>
          <w:rFonts w:ascii="Simplified Arabic" w:hAnsi="Simplified Arabic" w:cs="Simplified Arabic"/>
          <w:sz w:val="24"/>
          <w:szCs w:val="24"/>
          <w:rtl/>
          <w:lang w:bidi="ar-DZ"/>
        </w:rPr>
        <w:t xml:space="preserve"> </w:t>
      </w:r>
      <w:r w:rsidRPr="006A5544">
        <w:rPr>
          <w:rFonts w:ascii="Simplified Arabic" w:hAnsi="Simplified Arabic" w:cs="Simplified Arabic" w:hint="cs"/>
          <w:sz w:val="24"/>
          <w:szCs w:val="24"/>
          <w:rtl/>
          <w:lang w:bidi="ar-DZ"/>
        </w:rPr>
        <w:t>أفضل</w:t>
      </w:r>
      <w:r w:rsidRPr="00A03A1E">
        <w:rPr>
          <w:rFonts w:ascii="Simplified Arabic" w:hAnsi="Simplified Arabic" w:cs="Simplified Arabic" w:hint="cs"/>
          <w:sz w:val="24"/>
          <w:szCs w:val="24"/>
          <w:rtl/>
          <w:lang w:bidi="ar-DZ"/>
        </w:rPr>
        <w:t>،</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تم</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تخصيص</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أوزان</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تم</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حساب</w:t>
      </w:r>
      <w:r w:rsidRPr="00A03A1E">
        <w:rPr>
          <w:rFonts w:ascii="Simplified Arabic" w:hAnsi="Simplified Arabic" w:cs="Simplified Arabic"/>
          <w:sz w:val="24"/>
          <w:szCs w:val="24"/>
          <w:rtl/>
          <w:lang w:bidi="ar-DZ"/>
        </w:rPr>
        <w:t xml:space="preserve"> </w:t>
      </w:r>
      <w:r w:rsidR="007F6A5E">
        <w:rPr>
          <w:rFonts w:ascii="Simplified Arabic" w:hAnsi="Simplified Arabic" w:cs="Simplified Arabic" w:hint="cs"/>
          <w:sz w:val="24"/>
          <w:szCs w:val="24"/>
          <w:rtl/>
          <w:lang w:bidi="ar-DZ"/>
        </w:rPr>
        <w:t xml:space="preserve">وزن كل </w:t>
      </w:r>
      <w:r w:rsidRPr="00A03A1E">
        <w:rPr>
          <w:rFonts w:ascii="Simplified Arabic" w:hAnsi="Simplified Arabic" w:cs="Simplified Arabic" w:hint="cs"/>
          <w:sz w:val="24"/>
          <w:szCs w:val="24"/>
          <w:rtl/>
          <w:lang w:bidi="ar-DZ"/>
        </w:rPr>
        <w:t>مؤشر</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لكل</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بُعد</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باستخدام</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طريقة</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مؤشر</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المتوسط</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المرجح</w:t>
      </w:r>
      <w:r w:rsidRPr="00A03A1E">
        <w:rPr>
          <w:rFonts w:ascii="Simplified Arabic" w:hAnsi="Simplified Arabic" w:cs="Simplified Arabic"/>
          <w:sz w:val="24"/>
          <w:szCs w:val="24"/>
          <w:rtl/>
          <w:lang w:bidi="ar-DZ"/>
        </w:rPr>
        <w:t xml:space="preserve"> </w:t>
      </w:r>
      <w:r w:rsidRPr="008B2EEF">
        <w:rPr>
          <w:rFonts w:asciiTheme="majorBidi" w:hAnsiTheme="majorBidi" w:cstheme="majorBidi" w:hint="cs"/>
          <w:sz w:val="24"/>
          <w:szCs w:val="24"/>
          <w:rtl/>
          <w:lang w:bidi="ar-DZ"/>
        </w:rPr>
        <w:t>(</w:t>
      </w:r>
      <w:r w:rsidRPr="008B2EEF">
        <w:rPr>
          <w:rFonts w:asciiTheme="majorBidi" w:hAnsiTheme="majorBidi" w:cstheme="majorBidi"/>
          <w:sz w:val="24"/>
          <w:szCs w:val="24"/>
          <w:lang w:bidi="ar-DZ"/>
        </w:rPr>
        <w:t>WMI</w:t>
      </w:r>
      <w:r w:rsidRPr="008B2EEF">
        <w:rPr>
          <w:rFonts w:asciiTheme="majorBidi" w:hAnsiTheme="majorBidi" w:cstheme="majorBidi" w:hint="cs"/>
          <w:sz w:val="24"/>
          <w:szCs w:val="24"/>
          <w:rtl/>
          <w:lang w:bidi="ar-DZ"/>
        </w:rPr>
        <w:t>)</w:t>
      </w:r>
      <w:r>
        <w:rPr>
          <w:rFonts w:asciiTheme="majorBidi" w:hAnsiTheme="majorBidi" w:cstheme="majorBidi" w:hint="cs"/>
          <w:sz w:val="24"/>
          <w:szCs w:val="24"/>
          <w:rtl/>
          <w:lang w:bidi="ar-DZ"/>
        </w:rPr>
        <w:t xml:space="preserve">. قيمة المؤشر </w:t>
      </w:r>
      <w:r w:rsidRPr="008B2EEF">
        <w:rPr>
          <w:rFonts w:asciiTheme="majorBidi" w:hAnsiTheme="majorBidi" w:cstheme="majorBidi" w:hint="cs"/>
          <w:sz w:val="24"/>
          <w:szCs w:val="24"/>
          <w:rtl/>
          <w:lang w:bidi="ar-DZ"/>
        </w:rPr>
        <w:t>(</w:t>
      </w:r>
      <w:r w:rsidRPr="008B2EEF">
        <w:rPr>
          <w:rFonts w:asciiTheme="majorBidi" w:hAnsiTheme="majorBidi" w:cstheme="majorBidi"/>
          <w:sz w:val="24"/>
          <w:szCs w:val="24"/>
          <w:lang w:bidi="ar-DZ"/>
        </w:rPr>
        <w:t>AWMI</w:t>
      </w:r>
      <w:r w:rsidRPr="008B2EEF">
        <w:rPr>
          <w:rFonts w:asciiTheme="majorBidi" w:hAnsiTheme="majorBidi" w:cstheme="majorBidi" w:hint="cs"/>
          <w:sz w:val="24"/>
          <w:szCs w:val="24"/>
          <w:rtl/>
          <w:lang w:bidi="ar-DZ"/>
        </w:rPr>
        <w:t>)</w:t>
      </w:r>
      <w:r>
        <w:rPr>
          <w:rFonts w:ascii="Simplified Arabic" w:hAnsi="Simplified Arabic" w:cs="Simplified Arabic" w:hint="cs"/>
          <w:sz w:val="24"/>
          <w:szCs w:val="24"/>
          <w:rtl/>
          <w:lang w:bidi="ar-DZ"/>
        </w:rPr>
        <w:t xml:space="preserve"> </w:t>
      </w:r>
      <w:r w:rsidRPr="00A03A1E">
        <w:rPr>
          <w:rFonts w:ascii="Simplified Arabic" w:hAnsi="Simplified Arabic" w:cs="Simplified Arabic" w:hint="cs"/>
          <w:sz w:val="24"/>
          <w:szCs w:val="24"/>
          <w:rtl/>
          <w:lang w:bidi="ar-DZ"/>
        </w:rPr>
        <w:t>المحسوب</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لبعد</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واحد</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هو</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في حد ذاته مؤشر</w:t>
      </w:r>
      <w:r>
        <w:rPr>
          <w:rFonts w:asciiTheme="minorBidi" w:hAnsiTheme="minorBidi" w:cs="Arial" w:hint="cs"/>
          <w:sz w:val="24"/>
          <w:szCs w:val="24"/>
          <w:rtl/>
          <w:lang w:bidi="ar-DZ"/>
        </w:rPr>
        <w:t xml:space="preserve"> </w:t>
      </w:r>
      <w:r w:rsidRPr="0012626F">
        <w:rPr>
          <w:rFonts w:asciiTheme="majorBidi" w:hAnsiTheme="majorBidi" w:cstheme="majorBidi"/>
          <w:sz w:val="24"/>
          <w:szCs w:val="24"/>
          <w:rtl/>
          <w:lang w:bidi="ar-DZ"/>
        </w:rPr>
        <w:t>(</w:t>
      </w:r>
      <w:r w:rsidRPr="0012626F">
        <w:rPr>
          <w:rFonts w:asciiTheme="majorBidi" w:hAnsiTheme="majorBidi" w:cstheme="majorBidi"/>
          <w:sz w:val="24"/>
          <w:szCs w:val="24"/>
          <w:lang w:bidi="ar-DZ"/>
        </w:rPr>
        <w:t>CDRI</w:t>
      </w:r>
      <w:r w:rsidRPr="0012626F">
        <w:rPr>
          <w:rFonts w:asciiTheme="majorBidi" w:hAnsiTheme="majorBidi" w:cstheme="majorBidi"/>
          <w:sz w:val="24"/>
          <w:szCs w:val="24"/>
          <w:rtl/>
          <w:lang w:bidi="ar-DZ"/>
        </w:rPr>
        <w:t>)</w:t>
      </w:r>
      <w:r w:rsidRPr="00A03A1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لذلك</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البعد</w:t>
      </w:r>
      <w:r w:rsidRPr="00A03A1E">
        <w:rPr>
          <w:rFonts w:ascii="Simplified Arabic" w:hAnsi="Simplified Arabic" w:cs="Simplified Arabic"/>
          <w:sz w:val="24"/>
          <w:szCs w:val="24"/>
          <w:rtl/>
          <w:lang w:bidi="ar-DZ"/>
        </w:rPr>
        <w:t xml:space="preserve">. </w:t>
      </w:r>
    </w:p>
    <w:p w:rsidR="00C7475E" w:rsidRDefault="003E0F31" w:rsidP="00C7475E">
      <w:pPr>
        <w:bidi/>
        <w:spacing w:after="0"/>
        <w:ind w:firstLine="282"/>
        <w:jc w:val="both"/>
        <w:rPr>
          <w:rFonts w:ascii="Simplified Arabic" w:hAnsi="Simplified Arabic" w:cs="Simplified Arabic"/>
          <w:sz w:val="24"/>
          <w:szCs w:val="24"/>
          <w:rtl/>
          <w:lang w:bidi="ar-DZ"/>
        </w:rPr>
      </w:pPr>
      <w:r w:rsidRPr="00A03A1E">
        <w:rPr>
          <w:rFonts w:ascii="Simplified Arabic" w:hAnsi="Simplified Arabic" w:cs="Simplified Arabic" w:hint="cs"/>
          <w:sz w:val="24"/>
          <w:szCs w:val="24"/>
          <w:rtl/>
          <w:lang w:bidi="ar-DZ"/>
        </w:rPr>
        <w:t>في</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البداية،</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تم</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بناء</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مقياس</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التصنيف</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وتم</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تحديد</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الوزن</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بشكل</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شخصي</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بناءً</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على</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كيفية</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إدراك</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مسؤولي</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المدينة</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لمدى</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ضعف</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كل</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متغير</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من</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خلال</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مقارنته</w:t>
      </w:r>
      <w:r w:rsidRPr="00A03A1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A03A1E">
        <w:rPr>
          <w:rFonts w:ascii="Simplified Arabic" w:hAnsi="Simplified Arabic" w:cs="Simplified Arabic" w:hint="cs"/>
          <w:sz w:val="24"/>
          <w:szCs w:val="24"/>
          <w:rtl/>
          <w:lang w:bidi="ar-DZ"/>
        </w:rPr>
        <w:t>واحد</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تلو</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w:t>
      </w:r>
      <w:r>
        <w:rPr>
          <w:rFonts w:ascii="Simplified Arabic" w:hAnsi="Simplified Arabic" w:cs="Simplified Arabic" w:hint="cs"/>
          <w:sz w:val="24"/>
          <w:szCs w:val="24"/>
          <w:rtl/>
          <w:lang w:bidi="ar-DZ"/>
        </w:rPr>
        <w:t>آخر</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يتوافق</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كل</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بُعد</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طبيعي،</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مادي،</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اجتماعي،</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اقتصادي</w:t>
      </w:r>
      <w:r w:rsidRPr="00A03A1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w:t>
      </w:r>
      <w:r w:rsidRPr="00A03A1E">
        <w:rPr>
          <w:rFonts w:ascii="Simplified Arabic" w:hAnsi="Simplified Arabic" w:cs="Simplified Arabic" w:hint="cs"/>
          <w:sz w:val="24"/>
          <w:szCs w:val="24"/>
          <w:rtl/>
          <w:lang w:bidi="ar-DZ"/>
        </w:rPr>
        <w:t>مؤسسي</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مع</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متغيرات</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مختلفة</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يتم</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من</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خلالها</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حساب</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درجاتهم</w:t>
      </w:r>
      <w:r w:rsidRPr="00A03A1E">
        <w:rPr>
          <w:rFonts w:ascii="Simplified Arabic" w:hAnsi="Simplified Arabic" w:cs="Simplified Arabic"/>
          <w:sz w:val="24"/>
          <w:szCs w:val="24"/>
          <w:rtl/>
          <w:lang w:bidi="ar-DZ"/>
        </w:rPr>
        <w:t xml:space="preserve"> </w:t>
      </w:r>
      <w:r w:rsidRPr="00A03A1E">
        <w:rPr>
          <w:rFonts w:ascii="Simplified Arabic" w:hAnsi="Simplified Arabic" w:cs="Simplified Arabic" w:hint="cs"/>
          <w:sz w:val="24"/>
          <w:szCs w:val="24"/>
          <w:rtl/>
          <w:lang w:bidi="ar-DZ"/>
        </w:rPr>
        <w:t>الخاصة</w:t>
      </w:r>
      <w:r>
        <w:rPr>
          <w:rFonts w:ascii="Simplified Arabic" w:hAnsi="Simplified Arabic" w:cs="Simplified Arabic" w:hint="cs"/>
          <w:sz w:val="24"/>
          <w:szCs w:val="24"/>
          <w:rtl/>
          <w:lang w:bidi="ar-DZ"/>
        </w:rPr>
        <w:t>، الشكل (</w:t>
      </w:r>
      <w:r w:rsidR="00C7475E">
        <w:rPr>
          <w:rFonts w:ascii="Simplified Arabic" w:hAnsi="Simplified Arabic" w:cs="Simplified Arabic" w:hint="cs"/>
          <w:sz w:val="24"/>
          <w:szCs w:val="24"/>
          <w:rtl/>
          <w:lang w:bidi="ar-DZ"/>
        </w:rPr>
        <w:t>2</w:t>
      </w:r>
      <w:r w:rsidR="00D036AA">
        <w:rPr>
          <w:rFonts w:ascii="Simplified Arabic" w:hAnsi="Simplified Arabic" w:cs="Simplified Arabic" w:hint="cs"/>
          <w:sz w:val="24"/>
          <w:szCs w:val="24"/>
          <w:rtl/>
          <w:lang w:bidi="ar-DZ"/>
        </w:rPr>
        <w:t>-</w:t>
      </w:r>
      <w:r w:rsidR="00C7475E">
        <w:rPr>
          <w:rFonts w:ascii="Simplified Arabic" w:hAnsi="Simplified Arabic" w:cs="Simplified Arabic" w:hint="cs"/>
          <w:sz w:val="24"/>
          <w:szCs w:val="24"/>
          <w:rtl/>
          <w:lang w:bidi="ar-DZ"/>
        </w:rPr>
        <w:t>1</w:t>
      </w:r>
      <w:r>
        <w:rPr>
          <w:rFonts w:ascii="Simplified Arabic" w:hAnsi="Simplified Arabic" w:cs="Simplified Arabic" w:hint="cs"/>
          <w:sz w:val="24"/>
          <w:szCs w:val="24"/>
          <w:rtl/>
          <w:lang w:bidi="ar-DZ"/>
        </w:rPr>
        <w:t>)</w:t>
      </w:r>
      <w:r w:rsidRPr="00A03A1E">
        <w:rPr>
          <w:rFonts w:ascii="Simplified Arabic" w:hAnsi="Simplified Arabic" w:cs="Simplified Arabic"/>
          <w:sz w:val="24"/>
          <w:szCs w:val="24"/>
          <w:rtl/>
          <w:lang w:bidi="ar-DZ"/>
        </w:rPr>
        <w:t>.</w:t>
      </w:r>
      <w:r w:rsidRPr="009533CC">
        <w:rPr>
          <w:rFonts w:ascii="Simplified Arabic" w:hAnsi="Simplified Arabic" w:cs="Simplified Arabic" w:hint="cs"/>
          <w:sz w:val="24"/>
          <w:szCs w:val="24"/>
          <w:rtl/>
          <w:lang w:bidi="ar-DZ"/>
        </w:rPr>
        <w:t xml:space="preserve"> القيم</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الأعلى</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للمرونة</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تعادل</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الاستعداد</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العالي</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للتعامل</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مع</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المناخ</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والكوارث</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والعكس</w:t>
      </w:r>
      <w:r w:rsidRPr="009533CC">
        <w:rPr>
          <w:rFonts w:ascii="Simplified Arabic" w:hAnsi="Simplified Arabic" w:cs="Simplified Arabic"/>
          <w:sz w:val="24"/>
          <w:szCs w:val="24"/>
          <w:rtl/>
          <w:lang w:bidi="ar-DZ"/>
        </w:rPr>
        <w:t>.</w:t>
      </w:r>
      <w:r w:rsidRPr="009533CC">
        <w:rPr>
          <w:rFonts w:ascii="Simplified Arabic" w:hAnsi="Simplified Arabic" w:cs="Simplified Arabic" w:hint="cs"/>
          <w:sz w:val="24"/>
          <w:szCs w:val="24"/>
          <w:rtl/>
          <w:lang w:bidi="ar-DZ"/>
        </w:rPr>
        <w:t xml:space="preserve"> </w:t>
      </w:r>
    </w:p>
    <w:p w:rsidR="003E0F31" w:rsidRDefault="003E0F31" w:rsidP="00C7475E">
      <w:pPr>
        <w:bidi/>
        <w:spacing w:after="0"/>
        <w:ind w:firstLine="282"/>
        <w:jc w:val="both"/>
        <w:rPr>
          <w:rFonts w:asciiTheme="majorBidi" w:hAnsiTheme="majorBidi" w:cstheme="majorBidi"/>
          <w:sz w:val="24"/>
          <w:szCs w:val="24"/>
          <w:rtl/>
        </w:rPr>
      </w:pPr>
      <w:r w:rsidRPr="009533CC">
        <w:rPr>
          <w:rFonts w:ascii="Simplified Arabic" w:hAnsi="Simplified Arabic" w:cs="Simplified Arabic" w:hint="cs"/>
          <w:sz w:val="24"/>
          <w:szCs w:val="24"/>
          <w:rtl/>
          <w:lang w:bidi="ar-DZ"/>
        </w:rPr>
        <w:t>على</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سبيل</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المثال،</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في</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إطار</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البعد</w:t>
      </w:r>
      <w:r w:rsidRPr="009533C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الفيزيائي</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لـ</w:t>
      </w:r>
      <w:r w:rsidRPr="00087A49">
        <w:rPr>
          <w:rFonts w:ascii="Calibri" w:hAnsi="Calibri" w:cs="Times New Roman"/>
          <w:rtl/>
        </w:rPr>
        <w:t xml:space="preserve"> </w:t>
      </w:r>
      <w:r w:rsidRPr="0012626F">
        <w:rPr>
          <w:rFonts w:asciiTheme="majorBidi" w:hAnsiTheme="majorBidi" w:cstheme="majorBidi"/>
          <w:sz w:val="24"/>
          <w:szCs w:val="24"/>
          <w:rtl/>
          <w:lang w:bidi="ar-DZ"/>
        </w:rPr>
        <w:t>(</w:t>
      </w:r>
      <w:r w:rsidRPr="0012626F">
        <w:rPr>
          <w:rFonts w:asciiTheme="majorBidi" w:hAnsiTheme="majorBidi" w:cstheme="majorBidi"/>
          <w:sz w:val="24"/>
          <w:szCs w:val="24"/>
          <w:lang w:bidi="ar-DZ"/>
        </w:rPr>
        <w:t>CDRI</w:t>
      </w:r>
      <w:r w:rsidRPr="0012626F">
        <w:rPr>
          <w:rFonts w:asciiTheme="majorBidi" w:hAnsiTheme="majorBidi" w:cstheme="majorBidi"/>
          <w:sz w:val="24"/>
          <w:szCs w:val="24"/>
          <w:rtl/>
          <w:lang w:bidi="ar-DZ"/>
        </w:rPr>
        <w:t>)</w:t>
      </w:r>
      <w:r w:rsidRPr="009533CC">
        <w:rPr>
          <w:rFonts w:ascii="Simplified Arabic" w:hAnsi="Simplified Arabic" w:cs="Simplified Arabic" w:hint="cs"/>
          <w:sz w:val="24"/>
          <w:szCs w:val="24"/>
          <w:rtl/>
          <w:lang w:bidi="ar-DZ"/>
        </w:rPr>
        <w:t>،</w:t>
      </w:r>
      <w:r w:rsidRPr="00087A49">
        <w:rPr>
          <w:rFonts w:ascii="Calibri" w:hAnsi="Calibri" w:cs="Times New Roman"/>
          <w:rtl/>
        </w:rPr>
        <w:t xml:space="preserve"> </w:t>
      </w:r>
      <w:r w:rsidRPr="009533CC">
        <w:rPr>
          <w:rFonts w:ascii="Simplified Arabic" w:hAnsi="Simplified Arabic" w:cs="Simplified Arabic" w:hint="cs"/>
          <w:sz w:val="24"/>
          <w:szCs w:val="24"/>
          <w:rtl/>
          <w:lang w:bidi="ar-DZ"/>
        </w:rPr>
        <w:t>هناك</w:t>
      </w:r>
      <w:r w:rsidRPr="009533C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سبعة</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متغيرات</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بما</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في</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ذلك</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الكهرباء</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وإمدادات</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المياه</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والصرف</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الصحي</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والتخلص</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من</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النفايات</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الصلبة</w:t>
      </w:r>
      <w:r w:rsidRPr="009533C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والوصول الى </w:t>
      </w:r>
      <w:r w:rsidRPr="009533CC">
        <w:rPr>
          <w:rFonts w:ascii="Simplified Arabic" w:hAnsi="Simplified Arabic" w:cs="Simplified Arabic" w:hint="cs"/>
          <w:sz w:val="24"/>
          <w:szCs w:val="24"/>
          <w:rtl/>
          <w:lang w:bidi="ar-DZ"/>
        </w:rPr>
        <w:t>شبكة</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الطرق</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الداخلية</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والإسكان</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و</w:t>
      </w:r>
      <w:r w:rsidR="003166C4">
        <w:rPr>
          <w:rFonts w:ascii="Simplified Arabic" w:hAnsi="Simplified Arabic" w:cs="Simplified Arabic" w:hint="cs"/>
          <w:sz w:val="24"/>
          <w:szCs w:val="24"/>
          <w:rtl/>
        </w:rPr>
        <w:t>استعمال</w:t>
      </w:r>
      <w:r w:rsidRPr="009533CC">
        <w:rPr>
          <w:rFonts w:ascii="Simplified Arabic" w:hAnsi="Simplified Arabic" w:cs="Simplified Arabic"/>
          <w:sz w:val="24"/>
          <w:szCs w:val="24"/>
          <w:rtl/>
          <w:lang w:bidi="ar-DZ"/>
        </w:rPr>
        <w:t xml:space="preserve"> </w:t>
      </w:r>
      <w:r w:rsidRPr="009533CC">
        <w:rPr>
          <w:rFonts w:ascii="Simplified Arabic" w:hAnsi="Simplified Arabic" w:cs="Simplified Arabic" w:hint="cs"/>
          <w:sz w:val="24"/>
          <w:szCs w:val="24"/>
          <w:rtl/>
          <w:lang w:bidi="ar-DZ"/>
        </w:rPr>
        <w:t>الأراضي</w:t>
      </w:r>
      <w:r w:rsidRPr="009533CC">
        <w:rPr>
          <w:rFonts w:ascii="Simplified Arabic" w:hAnsi="Simplified Arabic" w:cs="Simplified Arabic"/>
          <w:sz w:val="24"/>
          <w:szCs w:val="24"/>
          <w:rtl/>
          <w:lang w:bidi="ar-DZ"/>
        </w:rPr>
        <w:t>.</w:t>
      </w:r>
      <w:r w:rsidRPr="00E75AD4">
        <w:rPr>
          <w:rFonts w:ascii="Simplified Arabic" w:hAnsi="Simplified Arabic" w:cs="Simplified Arabic" w:hint="cs"/>
          <w:sz w:val="24"/>
          <w:szCs w:val="24"/>
          <w:rtl/>
          <w:lang w:bidi="ar-DZ"/>
        </w:rPr>
        <w:t xml:space="preserve"> ت</w:t>
      </w:r>
      <w:r w:rsidRPr="002E7DE7">
        <w:rPr>
          <w:rFonts w:ascii="Simplified Arabic" w:hAnsi="Simplified Arabic" w:cs="Simplified Arabic" w:hint="cs"/>
          <w:sz w:val="24"/>
          <w:szCs w:val="24"/>
          <w:rtl/>
          <w:lang w:bidi="ar-DZ"/>
        </w:rPr>
        <w:t>تطلب</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الخدمات</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الأساسية</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للمدينة</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خاصة</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إمدادات</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المياه</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والصرف</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الصحي</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وطرق</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الوصول</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الداخلية</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تحسينًا</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كبيرًا</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من</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خلال</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اتباع</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تقنيات</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التحسين</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الحضري</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التشاركية</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القائمة</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على</w:t>
      </w:r>
      <w:r w:rsidRPr="002E7DE7">
        <w:rPr>
          <w:rFonts w:ascii="Simplified Arabic" w:hAnsi="Simplified Arabic" w:cs="Simplified Arabic"/>
          <w:sz w:val="24"/>
          <w:szCs w:val="24"/>
          <w:rtl/>
          <w:lang w:bidi="ar-DZ"/>
        </w:rPr>
        <w:t xml:space="preserve"> </w:t>
      </w:r>
      <w:r w:rsidRPr="002E7DE7">
        <w:rPr>
          <w:rFonts w:ascii="Simplified Arabic" w:hAnsi="Simplified Arabic" w:cs="Simplified Arabic" w:hint="cs"/>
          <w:sz w:val="24"/>
          <w:szCs w:val="24"/>
          <w:rtl/>
          <w:lang w:bidi="ar-DZ"/>
        </w:rPr>
        <w:t>المجتمع</w:t>
      </w:r>
      <w:r>
        <w:rPr>
          <w:rFonts w:ascii="Simplified Arabic" w:hAnsi="Simplified Arabic" w:cs="Simplified Arabic" w:hint="cs"/>
          <w:sz w:val="24"/>
          <w:szCs w:val="24"/>
          <w:rtl/>
          <w:lang w:bidi="ar-DZ"/>
        </w:rPr>
        <w:t xml:space="preserve"> </w:t>
      </w:r>
      <w:r w:rsidRPr="000A1EF4">
        <w:rPr>
          <w:rFonts w:asciiTheme="majorBidi" w:hAnsiTheme="majorBidi" w:cstheme="majorBidi"/>
          <w:sz w:val="24"/>
          <w:szCs w:val="24"/>
        </w:rPr>
        <w:t>2009)</w:t>
      </w:r>
      <w:r w:rsidRPr="000A1EF4">
        <w:rPr>
          <w:rFonts w:asciiTheme="majorBidi" w:hAnsiTheme="majorBidi" w:cstheme="majorBidi"/>
          <w:sz w:val="28"/>
          <w:szCs w:val="28"/>
          <w:rtl/>
          <w:lang w:bidi="ar-DZ"/>
        </w:rPr>
        <w:t xml:space="preserve"> </w:t>
      </w:r>
      <w:r w:rsidRPr="000A1EF4">
        <w:rPr>
          <w:rFonts w:asciiTheme="majorBidi" w:hAnsiTheme="majorBidi" w:cstheme="majorBidi"/>
          <w:sz w:val="24"/>
          <w:szCs w:val="24"/>
        </w:rPr>
        <w:t>(</w:t>
      </w:r>
      <w:r w:rsidRPr="00507DB0">
        <w:rPr>
          <w:rFonts w:asciiTheme="majorBidi" w:hAnsiTheme="majorBidi" w:cstheme="majorBidi"/>
          <w:sz w:val="24"/>
          <w:szCs w:val="24"/>
        </w:rPr>
        <w:t>Shaw</w:t>
      </w:r>
      <w:r w:rsidRPr="000A1EF4">
        <w:rPr>
          <w:rFonts w:asciiTheme="majorBidi" w:hAnsiTheme="majorBidi" w:cstheme="majorBidi"/>
          <w:sz w:val="24"/>
          <w:szCs w:val="24"/>
        </w:rPr>
        <w:t>,</w:t>
      </w:r>
      <w:r>
        <w:rPr>
          <w:rFonts w:asciiTheme="majorBidi" w:hAnsiTheme="majorBidi" w:cstheme="majorBidi" w:hint="cs"/>
          <w:sz w:val="24"/>
          <w:szCs w:val="24"/>
          <w:rtl/>
        </w:rPr>
        <w:t>.</w:t>
      </w:r>
    </w:p>
    <w:p w:rsidR="00C7475E" w:rsidRDefault="00C7475E" w:rsidP="00C7475E">
      <w:pPr>
        <w:bidi/>
        <w:spacing w:after="0"/>
        <w:ind w:firstLine="282"/>
        <w:jc w:val="both"/>
        <w:rPr>
          <w:rFonts w:asciiTheme="majorBidi" w:hAnsiTheme="majorBidi" w:cstheme="majorBidi"/>
          <w:sz w:val="24"/>
          <w:szCs w:val="24"/>
        </w:rPr>
      </w:pPr>
    </w:p>
    <w:p w:rsidR="003E0F31" w:rsidRPr="00762191" w:rsidRDefault="003E0F31" w:rsidP="00C7475E">
      <w:pPr>
        <w:pStyle w:val="fegure"/>
        <w:spacing w:before="240"/>
        <w:rPr>
          <w:szCs w:val="24"/>
          <w:rtl/>
          <w:lang w:bidi="ar-DZ"/>
        </w:rPr>
      </w:pPr>
      <w:bookmarkStart w:id="299" w:name="_Toc157608287"/>
      <w:bookmarkStart w:id="300" w:name="_Toc171803439"/>
      <w:r w:rsidRPr="00762191">
        <w:rPr>
          <w:rFonts w:hint="cs"/>
          <w:szCs w:val="24"/>
          <w:rtl/>
          <w:lang w:bidi="ar-DZ"/>
        </w:rPr>
        <w:lastRenderedPageBreak/>
        <w:t>الشكل</w:t>
      </w:r>
      <w:r w:rsidRPr="00762191">
        <w:rPr>
          <w:szCs w:val="24"/>
          <w:rtl/>
          <w:lang w:bidi="ar-DZ"/>
        </w:rPr>
        <w:t xml:space="preserve"> </w:t>
      </w:r>
      <w:r w:rsidRPr="00762191">
        <w:rPr>
          <w:rFonts w:hint="cs"/>
          <w:szCs w:val="24"/>
          <w:rtl/>
          <w:lang w:bidi="ar-DZ"/>
        </w:rPr>
        <w:t>(</w:t>
      </w:r>
      <w:r w:rsidR="00AF3D2C" w:rsidRPr="00762191">
        <w:rPr>
          <w:rFonts w:hint="cs"/>
          <w:szCs w:val="24"/>
          <w:rtl/>
          <w:lang w:bidi="ar-DZ"/>
        </w:rPr>
        <w:t>2-1</w:t>
      </w:r>
      <w:r w:rsidRPr="00762191">
        <w:rPr>
          <w:rFonts w:hint="cs"/>
          <w:szCs w:val="24"/>
          <w:rtl/>
          <w:lang w:bidi="ar-DZ"/>
        </w:rPr>
        <w:t>)</w:t>
      </w:r>
      <w:r w:rsidRPr="00762191">
        <w:rPr>
          <w:szCs w:val="24"/>
          <w:rtl/>
          <w:lang w:bidi="ar-DZ"/>
        </w:rPr>
        <w:t xml:space="preserve"> </w:t>
      </w:r>
      <w:r w:rsidRPr="00762191">
        <w:rPr>
          <w:rFonts w:hint="cs"/>
          <w:szCs w:val="24"/>
          <w:rtl/>
        </w:rPr>
        <w:t>رسم</w:t>
      </w:r>
      <w:r w:rsidRPr="00762191">
        <w:rPr>
          <w:szCs w:val="24"/>
          <w:rtl/>
        </w:rPr>
        <w:t xml:space="preserve"> </w:t>
      </w:r>
      <w:r w:rsidRPr="00762191">
        <w:rPr>
          <w:rFonts w:hint="cs"/>
          <w:szCs w:val="24"/>
          <w:rtl/>
        </w:rPr>
        <w:t>خرائط</w:t>
      </w:r>
      <w:r w:rsidRPr="00762191">
        <w:rPr>
          <w:szCs w:val="24"/>
          <w:rtl/>
        </w:rPr>
        <w:t xml:space="preserve"> </w:t>
      </w:r>
      <w:r w:rsidRPr="00762191">
        <w:rPr>
          <w:rFonts w:hint="cs"/>
          <w:szCs w:val="24"/>
          <w:rtl/>
        </w:rPr>
        <w:t>المرونة</w:t>
      </w:r>
      <w:r w:rsidRPr="00762191">
        <w:rPr>
          <w:szCs w:val="24"/>
          <w:rtl/>
        </w:rPr>
        <w:t xml:space="preserve"> </w:t>
      </w:r>
      <w:r w:rsidRPr="00762191">
        <w:rPr>
          <w:rFonts w:hint="cs"/>
          <w:szCs w:val="24"/>
          <w:rtl/>
        </w:rPr>
        <w:t>الشاملة</w:t>
      </w:r>
      <w:r w:rsidRPr="00762191">
        <w:rPr>
          <w:szCs w:val="24"/>
          <w:rtl/>
        </w:rPr>
        <w:t xml:space="preserve"> </w:t>
      </w:r>
      <w:r w:rsidRPr="00762191">
        <w:rPr>
          <w:rFonts w:hint="cs"/>
          <w:szCs w:val="24"/>
          <w:rtl/>
        </w:rPr>
        <w:t>للمدن</w:t>
      </w:r>
      <w:r w:rsidRPr="00762191">
        <w:rPr>
          <w:rFonts w:hint="cs"/>
          <w:szCs w:val="24"/>
          <w:rtl/>
          <w:lang w:bidi="ar-DZ"/>
        </w:rPr>
        <w:t xml:space="preserve"> </w:t>
      </w:r>
      <w:r w:rsidRPr="00762191">
        <w:rPr>
          <w:rFonts w:asciiTheme="majorBidi" w:hAnsiTheme="majorBidi" w:cstheme="majorBidi"/>
          <w:szCs w:val="24"/>
          <w:rtl/>
          <w:lang w:bidi="ar-DZ"/>
        </w:rPr>
        <w:t>(</w:t>
      </w:r>
      <w:r w:rsidRPr="00762191">
        <w:rPr>
          <w:rFonts w:asciiTheme="majorBidi" w:hAnsiTheme="majorBidi" w:cstheme="majorBidi"/>
          <w:szCs w:val="24"/>
          <w:lang w:bidi="ar-DZ"/>
        </w:rPr>
        <w:t>CDRI</w:t>
      </w:r>
      <w:r w:rsidRPr="00762191">
        <w:rPr>
          <w:rFonts w:asciiTheme="majorBidi" w:hAnsiTheme="majorBidi" w:cstheme="majorBidi"/>
          <w:szCs w:val="24"/>
          <w:rtl/>
          <w:lang w:bidi="ar-DZ"/>
        </w:rPr>
        <w:t>)</w:t>
      </w:r>
      <w:r w:rsidRPr="00762191">
        <w:rPr>
          <w:rFonts w:hint="cs"/>
          <w:szCs w:val="24"/>
          <w:rtl/>
          <w:lang w:bidi="ar-DZ"/>
        </w:rPr>
        <w:t>.</w:t>
      </w:r>
      <w:bookmarkEnd w:id="299"/>
      <w:bookmarkEnd w:id="300"/>
    </w:p>
    <w:p w:rsidR="003E0F31" w:rsidRDefault="003E0F31" w:rsidP="008529D4">
      <w:pPr>
        <w:bidi/>
        <w:spacing w:after="0" w:line="240" w:lineRule="auto"/>
        <w:jc w:val="center"/>
        <w:rPr>
          <w:rFonts w:ascii="Simplified Arabic" w:hAnsi="Simplified Arabic" w:cs="Simplified Arabic"/>
          <w:sz w:val="24"/>
          <w:szCs w:val="24"/>
          <w:rtl/>
          <w:lang w:bidi="ar-DZ"/>
        </w:rPr>
      </w:pPr>
      <w:r w:rsidRPr="00BB1D8C">
        <w:rPr>
          <w:rFonts w:ascii="Simplified Arabic" w:hAnsi="Simplified Arabic" w:cs="Simplified Arabic" w:hint="cs"/>
          <w:sz w:val="24"/>
          <w:szCs w:val="24"/>
          <w:rtl/>
          <w:lang w:bidi="ar-DZ"/>
        </w:rPr>
        <w:t xml:space="preserve">المصدر: </w:t>
      </w:r>
      <w:r w:rsidRPr="004610AD">
        <w:rPr>
          <w:rFonts w:asciiTheme="majorBidi" w:hAnsiTheme="majorBidi" w:cstheme="majorBidi"/>
          <w:color w:val="000000" w:themeColor="text1"/>
          <w:sz w:val="24"/>
          <w:szCs w:val="24"/>
          <w:lang w:bidi="ar-DZ"/>
        </w:rPr>
        <w:t>(</w:t>
      </w:r>
      <w:r w:rsidRPr="00507DB0">
        <w:rPr>
          <w:rFonts w:asciiTheme="majorBidi" w:hAnsiTheme="majorBidi" w:cstheme="majorBidi"/>
          <w:sz w:val="24"/>
          <w:szCs w:val="24"/>
        </w:rPr>
        <w:t>Shaw</w:t>
      </w:r>
      <w:r w:rsidRPr="004610AD">
        <w:rPr>
          <w:rFonts w:asciiTheme="majorBidi" w:hAnsiTheme="majorBidi" w:cstheme="majorBidi"/>
          <w:color w:val="000000" w:themeColor="text1"/>
          <w:sz w:val="24"/>
          <w:szCs w:val="24"/>
          <w:lang w:bidi="ar-DZ"/>
        </w:rPr>
        <w:t xml:space="preserve">, </w:t>
      </w:r>
      <w:r>
        <w:rPr>
          <w:rFonts w:asciiTheme="majorBidi" w:hAnsiTheme="majorBidi" w:cstheme="majorBidi"/>
          <w:color w:val="000000" w:themeColor="text1"/>
          <w:sz w:val="24"/>
          <w:szCs w:val="24"/>
          <w:lang w:bidi="ar-DZ"/>
        </w:rPr>
        <w:t>2009</w:t>
      </w:r>
      <w:r w:rsidRPr="004610AD">
        <w:rPr>
          <w:rFonts w:asciiTheme="majorBidi" w:hAnsiTheme="majorBidi" w:cstheme="majorBidi"/>
          <w:color w:val="000000" w:themeColor="text1"/>
          <w:sz w:val="24"/>
          <w:szCs w:val="24"/>
          <w:lang w:bidi="ar-DZ"/>
        </w:rPr>
        <w:t>)</w:t>
      </w:r>
      <w:r w:rsidRPr="00BB1D8C">
        <w:rPr>
          <w:rFonts w:ascii="Simplified Arabic" w:hAnsi="Simplified Arabic" w:cs="Simplified Arabic" w:hint="cs"/>
          <w:sz w:val="24"/>
          <w:szCs w:val="24"/>
          <w:rtl/>
          <w:lang w:bidi="ar-DZ"/>
        </w:rPr>
        <w:t>.</w:t>
      </w:r>
    </w:p>
    <w:p w:rsidR="003E0F31" w:rsidRDefault="003E0F31" w:rsidP="003E0F31">
      <w:pPr>
        <w:bidi/>
        <w:spacing w:after="0"/>
        <w:jc w:val="center"/>
        <w:rPr>
          <w:rFonts w:asciiTheme="minorBidi" w:hAnsiTheme="minorBidi"/>
          <w:b/>
          <w:bCs/>
          <w:sz w:val="24"/>
          <w:szCs w:val="24"/>
          <w:rtl/>
          <w:lang w:bidi="ar-DZ"/>
        </w:rPr>
      </w:pPr>
      <w:r>
        <w:rPr>
          <w:noProof/>
          <w:lang w:eastAsia="fr-FR"/>
        </w:rPr>
        <w:drawing>
          <wp:inline distT="0" distB="0" distL="0" distR="0" wp14:anchorId="2607BEC7" wp14:editId="122EA9BE">
            <wp:extent cx="4235070" cy="3819186"/>
            <wp:effectExtent l="19050" t="19050" r="13335" b="10160"/>
            <wp:docPr id="120" name="Imag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
                      <a:extLst>
                        <a:ext uri="{28A0092B-C50C-407E-A947-70E740481C1C}">
                          <a14:useLocalDpi xmlns:a14="http://schemas.microsoft.com/office/drawing/2010/main" val="0"/>
                        </a:ext>
                      </a:extLst>
                    </a:blip>
                    <a:stretch>
                      <a:fillRect/>
                    </a:stretch>
                  </pic:blipFill>
                  <pic:spPr>
                    <a:xfrm>
                      <a:off x="0" y="0"/>
                      <a:ext cx="4236025" cy="3820047"/>
                    </a:xfrm>
                    <a:prstGeom prst="rect">
                      <a:avLst/>
                    </a:prstGeom>
                    <a:ln>
                      <a:solidFill>
                        <a:schemeClr val="tx1"/>
                      </a:solidFill>
                    </a:ln>
                  </pic:spPr>
                </pic:pic>
              </a:graphicData>
            </a:graphic>
          </wp:inline>
        </w:drawing>
      </w:r>
    </w:p>
    <w:p w:rsidR="003E0F31" w:rsidRDefault="007F4407" w:rsidP="00045FEB">
      <w:pPr>
        <w:pStyle w:val="Tableau"/>
        <w:rPr>
          <w:rFonts w:asciiTheme="majorBidi" w:hAnsiTheme="majorBidi" w:cstheme="majorBidi"/>
          <w:sz w:val="18"/>
          <w:szCs w:val="18"/>
          <w:rtl/>
          <w:lang w:val="en-US"/>
        </w:rPr>
      </w:pPr>
      <w:bookmarkStart w:id="301" w:name="_Toc157612965"/>
      <w:bookmarkStart w:id="302" w:name="_Toc171803440"/>
      <w:r>
        <w:rPr>
          <w:rFonts w:hint="cs"/>
          <w:rtl/>
          <w:lang w:bidi="ar-DZ"/>
        </w:rPr>
        <w:t xml:space="preserve">الجدول (2-1): </w:t>
      </w:r>
      <w:r w:rsidR="003E0F31">
        <w:rPr>
          <w:rFonts w:hint="cs"/>
          <w:rtl/>
          <w:lang w:bidi="ar-DZ"/>
        </w:rPr>
        <w:t xml:space="preserve">ايجابيات وسلبيات </w:t>
      </w:r>
      <w:r w:rsidR="003E0F31" w:rsidRPr="00030410">
        <w:rPr>
          <w:rtl/>
          <w:lang w:bidi="ar-DZ"/>
        </w:rPr>
        <w:t>مؤشر مرونة مواجهة الكوارث المناخية</w:t>
      </w:r>
      <w:r w:rsidR="003E0F31">
        <w:rPr>
          <w:rFonts w:hint="cs"/>
          <w:rtl/>
          <w:lang w:bidi="ar-DZ"/>
        </w:rPr>
        <w:t xml:space="preserve">، </w:t>
      </w:r>
      <w:r w:rsidR="003E0F31" w:rsidRPr="004D33D5">
        <w:rPr>
          <w:rFonts w:asciiTheme="majorBidi" w:hAnsiTheme="majorBidi" w:cstheme="majorBidi"/>
          <w:sz w:val="18"/>
          <w:szCs w:val="18"/>
          <w:rtl/>
          <w:lang w:val="en-US"/>
        </w:rPr>
        <w:t>(</w:t>
      </w:r>
      <w:r w:rsidR="003E0F31" w:rsidRPr="003F24F1">
        <w:rPr>
          <w:rFonts w:asciiTheme="majorBidi" w:hAnsiTheme="majorBidi" w:cstheme="majorBidi"/>
          <w:lang w:val="en-US"/>
        </w:rPr>
        <w:t>CDRI</w:t>
      </w:r>
      <w:r w:rsidR="003E0F31" w:rsidRPr="004D33D5">
        <w:rPr>
          <w:rFonts w:asciiTheme="majorBidi" w:hAnsiTheme="majorBidi" w:cstheme="majorBidi"/>
          <w:sz w:val="18"/>
          <w:szCs w:val="18"/>
          <w:rtl/>
          <w:lang w:val="en-US"/>
        </w:rPr>
        <w:t>)</w:t>
      </w:r>
      <w:bookmarkEnd w:id="301"/>
      <w:bookmarkEnd w:id="302"/>
    </w:p>
    <w:p w:rsidR="00597092" w:rsidRPr="00597092" w:rsidRDefault="00597092" w:rsidP="00597092">
      <w:pPr>
        <w:pStyle w:val="fegure"/>
        <w:rPr>
          <w:sz w:val="8"/>
          <w:szCs w:val="24"/>
          <w:rtl/>
          <w:lang w:val="en-US"/>
        </w:rPr>
      </w:pPr>
      <w:bookmarkStart w:id="303" w:name="_Toc171803441"/>
      <w:r>
        <w:rPr>
          <w:rFonts w:hint="cs"/>
          <w:sz w:val="8"/>
          <w:szCs w:val="24"/>
          <w:rtl/>
          <w:lang w:val="en-US"/>
        </w:rPr>
        <w:t>المصدر: (الباحث، 2022)</w:t>
      </w:r>
      <w:bookmarkEnd w:id="303"/>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0"/>
        <w:gridCol w:w="4040"/>
      </w:tblGrid>
      <w:tr w:rsidR="003E0F31" w:rsidRPr="002E7DE7" w:rsidTr="001E12D7">
        <w:trPr>
          <w:jc w:val="center"/>
        </w:trPr>
        <w:tc>
          <w:tcPr>
            <w:tcW w:w="4040" w:type="dxa"/>
            <w:vAlign w:val="center"/>
          </w:tcPr>
          <w:p w:rsidR="003E0F31" w:rsidRPr="002E7DE7" w:rsidRDefault="003E0F31" w:rsidP="001E12D7">
            <w:pPr>
              <w:bidi/>
              <w:spacing w:after="0" w:line="240" w:lineRule="auto"/>
              <w:jc w:val="center"/>
              <w:rPr>
                <w:rFonts w:ascii="Simplified Arabic" w:hAnsi="Simplified Arabic" w:cs="Simplified Arabic"/>
                <w:color w:val="000000" w:themeColor="text1"/>
                <w:sz w:val="24"/>
                <w:szCs w:val="24"/>
                <w:rtl/>
                <w:lang w:bidi="ar-DZ"/>
              </w:rPr>
            </w:pPr>
            <w:r w:rsidRPr="002E7DE7">
              <w:rPr>
                <w:rFonts w:ascii="Simplified Arabic" w:hAnsi="Simplified Arabic" w:cs="Simplified Arabic"/>
                <w:color w:val="000000" w:themeColor="text1"/>
                <w:sz w:val="24"/>
                <w:szCs w:val="24"/>
                <w:rtl/>
                <w:lang w:bidi="ar-DZ"/>
              </w:rPr>
              <w:t>الايجابيات</w:t>
            </w:r>
          </w:p>
        </w:tc>
        <w:tc>
          <w:tcPr>
            <w:tcW w:w="4040" w:type="dxa"/>
            <w:vAlign w:val="center"/>
          </w:tcPr>
          <w:p w:rsidR="003E0F31" w:rsidRPr="002E7DE7" w:rsidRDefault="003E0F31" w:rsidP="001E12D7">
            <w:pPr>
              <w:bidi/>
              <w:spacing w:after="0" w:line="240" w:lineRule="auto"/>
              <w:jc w:val="center"/>
              <w:rPr>
                <w:rFonts w:ascii="Simplified Arabic" w:hAnsi="Simplified Arabic" w:cs="Simplified Arabic"/>
                <w:color w:val="000000" w:themeColor="text1"/>
                <w:sz w:val="24"/>
                <w:szCs w:val="24"/>
                <w:rtl/>
                <w:lang w:bidi="ar-DZ"/>
              </w:rPr>
            </w:pPr>
            <w:r w:rsidRPr="002E7DE7">
              <w:rPr>
                <w:rFonts w:ascii="Simplified Arabic" w:hAnsi="Simplified Arabic" w:cs="Simplified Arabic"/>
                <w:color w:val="000000" w:themeColor="text1"/>
                <w:sz w:val="24"/>
                <w:szCs w:val="24"/>
                <w:rtl/>
                <w:lang w:bidi="ar-DZ"/>
              </w:rPr>
              <w:t>السلبيات</w:t>
            </w:r>
          </w:p>
        </w:tc>
      </w:tr>
      <w:tr w:rsidR="003E0F31" w:rsidRPr="002E7DE7" w:rsidTr="001E12D7">
        <w:trPr>
          <w:jc w:val="center"/>
        </w:trPr>
        <w:tc>
          <w:tcPr>
            <w:tcW w:w="4040" w:type="dxa"/>
          </w:tcPr>
          <w:p w:rsidR="003E0F31" w:rsidRPr="002E7DE7"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2E7DE7">
              <w:rPr>
                <w:rFonts w:ascii="Simplified Arabic" w:hAnsi="Simplified Arabic" w:cs="Simplified Arabic"/>
                <w:color w:val="000000" w:themeColor="text1"/>
                <w:sz w:val="24"/>
                <w:szCs w:val="24"/>
                <w:rtl/>
                <w:lang w:bidi="ar-DZ"/>
              </w:rPr>
              <w:t>تحليل المرونة بصفة شاملة وفق 5 أبعاد</w:t>
            </w:r>
          </w:p>
          <w:p w:rsidR="003E0F31" w:rsidRPr="002E7DE7"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2E7DE7">
              <w:rPr>
                <w:rFonts w:ascii="Simplified Arabic" w:hAnsi="Simplified Arabic" w:cs="Simplified Arabic"/>
                <w:color w:val="000000" w:themeColor="text1"/>
                <w:sz w:val="24"/>
                <w:szCs w:val="24"/>
                <w:rtl/>
                <w:lang w:val="en-US" w:bidi="ar-DZ"/>
              </w:rPr>
              <w:t>يأخذ المدينة كوحدة تقييم و تحليل</w:t>
            </w:r>
          </w:p>
          <w:p w:rsidR="003E0F31" w:rsidRPr="002E7DE7"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2E7DE7">
              <w:rPr>
                <w:rFonts w:ascii="Simplified Arabic" w:hAnsi="Simplified Arabic" w:cs="Simplified Arabic"/>
                <w:color w:val="000000" w:themeColor="text1"/>
                <w:sz w:val="24"/>
                <w:szCs w:val="24"/>
                <w:rtl/>
                <w:lang w:val="en-US" w:bidi="ar-DZ"/>
              </w:rPr>
              <w:t>يعتمد في جمع البيانات بشكل أساسي من البيانات الثانوية مثل التعداد لدى الهيئات</w:t>
            </w:r>
          </w:p>
          <w:p w:rsidR="003E0F31" w:rsidRPr="002E7DE7"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2E7DE7">
              <w:rPr>
                <w:rFonts w:ascii="Simplified Arabic" w:hAnsi="Simplified Arabic" w:cs="Simplified Arabic"/>
                <w:color w:val="000000" w:themeColor="text1"/>
                <w:sz w:val="24"/>
                <w:szCs w:val="24"/>
                <w:rtl/>
                <w:lang w:val="en-US" w:bidi="ar-DZ"/>
              </w:rPr>
              <w:t xml:space="preserve">مقارنة المجتمعات </w:t>
            </w:r>
            <w:r>
              <w:rPr>
                <w:rFonts w:ascii="Simplified Arabic" w:hAnsi="Simplified Arabic" w:cs="Simplified Arabic" w:hint="cs"/>
                <w:color w:val="000000" w:themeColor="text1"/>
                <w:sz w:val="24"/>
                <w:szCs w:val="24"/>
                <w:rtl/>
                <w:lang w:val="en-US" w:bidi="ar-DZ"/>
              </w:rPr>
              <w:t>فيما بينها</w:t>
            </w:r>
            <w:r w:rsidRPr="002E7DE7">
              <w:rPr>
                <w:rFonts w:ascii="Simplified Arabic" w:hAnsi="Simplified Arabic" w:cs="Simplified Arabic"/>
                <w:color w:val="000000" w:themeColor="text1"/>
                <w:sz w:val="24"/>
                <w:szCs w:val="24"/>
                <w:rtl/>
                <w:lang w:val="en-US" w:bidi="ar-DZ"/>
              </w:rPr>
              <w:t xml:space="preserve"> من حيث المرونة</w:t>
            </w:r>
            <w:r>
              <w:rPr>
                <w:rFonts w:ascii="Simplified Arabic" w:hAnsi="Simplified Arabic" w:cs="Simplified Arabic" w:hint="cs"/>
                <w:color w:val="000000" w:themeColor="text1"/>
                <w:sz w:val="24"/>
                <w:szCs w:val="24"/>
                <w:rtl/>
                <w:lang w:val="en-US" w:bidi="ar-DZ"/>
              </w:rPr>
              <w:t xml:space="preserve"> </w:t>
            </w:r>
            <w:r w:rsidRPr="002E7DE7">
              <w:rPr>
                <w:rFonts w:ascii="Simplified Arabic" w:hAnsi="Simplified Arabic" w:cs="Simplified Arabic"/>
                <w:color w:val="000000" w:themeColor="text1"/>
                <w:sz w:val="24"/>
                <w:szCs w:val="24"/>
                <w:rtl/>
                <w:lang w:val="en-US" w:bidi="ar-DZ"/>
              </w:rPr>
              <w:t>وإنشاء خرائط أو رسوم بيانية للنقاط الساخنة.</w:t>
            </w:r>
          </w:p>
          <w:p w:rsidR="003E0F31" w:rsidRPr="002E7DE7"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2E7DE7">
              <w:rPr>
                <w:rFonts w:ascii="Simplified Arabic" w:hAnsi="Simplified Arabic" w:cs="Simplified Arabic"/>
                <w:color w:val="000000" w:themeColor="text1"/>
                <w:sz w:val="24"/>
                <w:szCs w:val="24"/>
                <w:rtl/>
                <w:lang w:bidi="ar-DZ"/>
              </w:rPr>
              <w:t xml:space="preserve">يقتصر </w:t>
            </w:r>
            <w:r>
              <w:rPr>
                <w:rFonts w:ascii="Simplified Arabic" w:hAnsi="Simplified Arabic" w:cs="Simplified Arabic" w:hint="cs"/>
                <w:color w:val="000000" w:themeColor="text1"/>
                <w:sz w:val="24"/>
                <w:szCs w:val="24"/>
                <w:rtl/>
                <w:lang w:bidi="ar-DZ"/>
              </w:rPr>
              <w:t>ال</w:t>
            </w:r>
            <w:r w:rsidRPr="002E7DE7">
              <w:rPr>
                <w:rFonts w:ascii="Simplified Arabic" w:hAnsi="Simplified Arabic" w:cs="Simplified Arabic"/>
                <w:color w:val="000000" w:themeColor="text1"/>
                <w:sz w:val="24"/>
                <w:szCs w:val="24"/>
                <w:rtl/>
                <w:lang w:bidi="ar-DZ"/>
              </w:rPr>
              <w:t xml:space="preserve">نطاق </w:t>
            </w:r>
            <w:r>
              <w:rPr>
                <w:rFonts w:ascii="Simplified Arabic" w:hAnsi="Simplified Arabic" w:cs="Simplified Arabic" w:hint="cs"/>
                <w:color w:val="000000" w:themeColor="text1"/>
                <w:sz w:val="24"/>
                <w:szCs w:val="24"/>
                <w:rtl/>
                <w:lang w:bidi="ar-DZ"/>
              </w:rPr>
              <w:t xml:space="preserve">على </w:t>
            </w:r>
            <w:r w:rsidRPr="002E7DE7">
              <w:rPr>
                <w:rFonts w:ascii="Simplified Arabic" w:hAnsi="Simplified Arabic" w:cs="Simplified Arabic"/>
                <w:color w:val="000000" w:themeColor="text1"/>
                <w:sz w:val="24"/>
                <w:szCs w:val="24"/>
                <w:rtl/>
                <w:lang w:bidi="ar-DZ"/>
              </w:rPr>
              <w:t xml:space="preserve">الكوارث التي يسببها المناخ </w:t>
            </w:r>
          </w:p>
        </w:tc>
        <w:tc>
          <w:tcPr>
            <w:tcW w:w="4040" w:type="dxa"/>
          </w:tcPr>
          <w:p w:rsidR="003E0F31" w:rsidRPr="002E7DE7" w:rsidRDefault="003E0F31" w:rsidP="001E12D7">
            <w:pPr>
              <w:bidi/>
              <w:spacing w:after="0" w:line="240" w:lineRule="auto"/>
              <w:rPr>
                <w:rFonts w:ascii="Simplified Arabic" w:hAnsi="Simplified Arabic" w:cs="Simplified Arabic"/>
                <w:color w:val="000000" w:themeColor="text1"/>
                <w:sz w:val="24"/>
                <w:szCs w:val="24"/>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2E7DE7">
              <w:rPr>
                <w:rFonts w:ascii="Simplified Arabic" w:hAnsi="Simplified Arabic" w:cs="Simplified Arabic"/>
                <w:color w:val="000000" w:themeColor="text1"/>
                <w:sz w:val="24"/>
                <w:szCs w:val="24"/>
                <w:rtl/>
                <w:lang w:bidi="ar-DZ"/>
              </w:rPr>
              <w:t>لا يوجد تحديد دقيق للمخاطر أو الاضطرابات</w:t>
            </w:r>
          </w:p>
          <w:p w:rsidR="003E0F31" w:rsidRPr="002E7DE7"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2E7DE7">
              <w:rPr>
                <w:rFonts w:ascii="Simplified Arabic" w:hAnsi="Simplified Arabic" w:cs="Simplified Arabic"/>
                <w:color w:val="000000" w:themeColor="text1"/>
                <w:sz w:val="24"/>
                <w:szCs w:val="24"/>
                <w:rtl/>
                <w:lang w:bidi="ar-DZ"/>
              </w:rPr>
              <w:t>لا يوجد مقياس حقيقي للمرونة ولكن قائمة من المعايير ل</w:t>
            </w:r>
            <w:r>
              <w:rPr>
                <w:rFonts w:ascii="Simplified Arabic" w:hAnsi="Simplified Arabic" w:cs="Simplified Arabic" w:hint="cs"/>
                <w:color w:val="000000" w:themeColor="text1"/>
                <w:sz w:val="24"/>
                <w:szCs w:val="24"/>
                <w:rtl/>
                <w:lang w:bidi="ar-DZ"/>
              </w:rPr>
              <w:t>كل بعد من ال</w:t>
            </w:r>
            <w:r w:rsidRPr="002E7DE7">
              <w:rPr>
                <w:rFonts w:ascii="Simplified Arabic" w:hAnsi="Simplified Arabic" w:cs="Simplified Arabic"/>
                <w:color w:val="000000" w:themeColor="text1"/>
                <w:sz w:val="24"/>
                <w:szCs w:val="24"/>
                <w:rtl/>
                <w:lang w:bidi="ar-DZ"/>
              </w:rPr>
              <w:t>أبعاد</w:t>
            </w:r>
          </w:p>
          <w:p w:rsidR="003E0F31" w:rsidRPr="002E7DE7" w:rsidRDefault="003E0F31" w:rsidP="001E12D7">
            <w:pPr>
              <w:bidi/>
              <w:spacing w:after="0" w:line="240" w:lineRule="auto"/>
              <w:rPr>
                <w:rFonts w:ascii="Simplified Arabic" w:hAnsi="Simplified Arabic" w:cs="Simplified Arabic"/>
                <w:color w:val="000000" w:themeColor="text1"/>
                <w:sz w:val="24"/>
                <w:szCs w:val="24"/>
                <w:rtl/>
                <w:lang w:bidi="ar-DZ"/>
              </w:rPr>
            </w:pPr>
          </w:p>
        </w:tc>
      </w:tr>
    </w:tbl>
    <w:p w:rsidR="003E0F31" w:rsidRPr="003D7790" w:rsidRDefault="003E0F31" w:rsidP="001D0548">
      <w:pPr>
        <w:pStyle w:val="Paragraphedeliste"/>
        <w:numPr>
          <w:ilvl w:val="2"/>
          <w:numId w:val="207"/>
        </w:numPr>
        <w:shd w:val="clear" w:color="auto" w:fill="FFFFFF" w:themeFill="background1"/>
        <w:tabs>
          <w:tab w:val="right" w:pos="850"/>
        </w:tabs>
        <w:bidi/>
        <w:spacing w:before="240" w:after="0"/>
        <w:ind w:left="0" w:firstLine="0"/>
        <w:outlineLvl w:val="1"/>
        <w:rPr>
          <w:rFonts w:asciiTheme="minorBidi" w:hAnsiTheme="minorBidi" w:cs="Arial"/>
          <w:b/>
          <w:bCs/>
          <w:color w:val="000000" w:themeColor="text1"/>
          <w:sz w:val="24"/>
          <w:szCs w:val="24"/>
          <w:lang w:bidi="ar-DZ"/>
        </w:rPr>
      </w:pPr>
      <w:bookmarkStart w:id="304" w:name="_Toc171803442"/>
      <w:r w:rsidRPr="003D7790">
        <w:rPr>
          <w:rFonts w:ascii="Simplified Arabic" w:hAnsi="Simplified Arabic" w:cs="Simplified Arabic"/>
          <w:b/>
          <w:bCs/>
          <w:color w:val="000000" w:themeColor="text1"/>
          <w:sz w:val="24"/>
          <w:szCs w:val="24"/>
          <w:rtl/>
          <w:lang w:bidi="ar-DZ"/>
        </w:rPr>
        <w:t xml:space="preserve">إطار عمل مرونة المجتمع </w:t>
      </w:r>
      <w:r w:rsidRPr="003D7790">
        <w:rPr>
          <w:rFonts w:ascii="Simplified Arabic" w:hAnsi="Simplified Arabic" w:cs="Simplified Arabic" w:hint="cs"/>
          <w:b/>
          <w:bCs/>
          <w:color w:val="000000" w:themeColor="text1"/>
          <w:sz w:val="24"/>
          <w:szCs w:val="24"/>
          <w:rtl/>
          <w:lang w:bidi="ar-DZ"/>
        </w:rPr>
        <w:t>ل</w:t>
      </w:r>
      <w:r w:rsidRPr="003D7790">
        <w:rPr>
          <w:rFonts w:ascii="Simplified Arabic" w:hAnsi="Simplified Arabic" w:cs="Simplified Arabic"/>
          <w:b/>
          <w:bCs/>
          <w:color w:val="000000" w:themeColor="text1"/>
          <w:sz w:val="24"/>
          <w:szCs w:val="24"/>
          <w:rtl/>
          <w:lang w:bidi="ar-DZ"/>
        </w:rPr>
        <w:t>مواجهة الكوارث،</w:t>
      </w:r>
      <w:r w:rsidRPr="003D7790">
        <w:rPr>
          <w:rFonts w:asciiTheme="majorBidi" w:hAnsiTheme="majorBidi" w:cstheme="majorBidi" w:hint="cs"/>
          <w:b/>
          <w:bCs/>
          <w:color w:val="000000" w:themeColor="text1"/>
          <w:sz w:val="24"/>
          <w:szCs w:val="24"/>
          <w:rtl/>
          <w:lang w:bidi="ar-DZ"/>
        </w:rPr>
        <w:t xml:space="preserve"> </w:t>
      </w:r>
      <w:r w:rsidRPr="003D7790">
        <w:rPr>
          <w:rFonts w:asciiTheme="majorBidi" w:hAnsiTheme="majorBidi" w:cstheme="majorBidi"/>
          <w:b/>
          <w:bCs/>
          <w:color w:val="000000" w:themeColor="text1"/>
          <w:sz w:val="16"/>
          <w:szCs w:val="16"/>
          <w:rtl/>
          <w:lang w:bidi="ar-DZ"/>
        </w:rPr>
        <w:t>[</w:t>
      </w:r>
      <w:r w:rsidRPr="003D7790">
        <w:rPr>
          <w:rFonts w:asciiTheme="majorBidi" w:hAnsiTheme="majorBidi" w:cstheme="majorBidi"/>
          <w:b/>
          <w:bCs/>
          <w:color w:val="000000" w:themeColor="text1"/>
          <w:sz w:val="16"/>
          <w:szCs w:val="16"/>
          <w:rtl/>
          <w:lang w:val="en-US"/>
        </w:rPr>
        <w:t xml:space="preserve">(2010، </w:t>
      </w:r>
      <w:r w:rsidRPr="003D7790">
        <w:rPr>
          <w:rFonts w:asciiTheme="majorBidi" w:hAnsiTheme="majorBidi" w:cstheme="majorBidi"/>
          <w:b/>
          <w:bCs/>
          <w:color w:val="000000" w:themeColor="text1"/>
          <w:sz w:val="16"/>
          <w:szCs w:val="16"/>
        </w:rPr>
        <w:t>Peacock et al</w:t>
      </w:r>
      <w:r w:rsidRPr="003D7790">
        <w:rPr>
          <w:rFonts w:asciiTheme="majorBidi" w:hAnsiTheme="majorBidi" w:cstheme="majorBidi"/>
          <w:b/>
          <w:bCs/>
          <w:color w:val="000000" w:themeColor="text1"/>
          <w:sz w:val="16"/>
          <w:szCs w:val="16"/>
          <w:rtl/>
          <w:lang w:val="en-US"/>
        </w:rPr>
        <w:t xml:space="preserve">) </w:t>
      </w:r>
      <w:r w:rsidRPr="003D7790">
        <w:rPr>
          <w:rFonts w:asciiTheme="majorBidi" w:hAnsiTheme="majorBidi" w:cstheme="majorBidi"/>
          <w:b/>
          <w:bCs/>
          <w:color w:val="000000" w:themeColor="text1"/>
          <w:sz w:val="16"/>
          <w:szCs w:val="16"/>
        </w:rPr>
        <w:t>,</w:t>
      </w:r>
      <w:r w:rsidRPr="003D7790">
        <w:rPr>
          <w:rFonts w:asciiTheme="majorBidi" w:hAnsiTheme="majorBidi" w:cstheme="majorBidi"/>
          <w:b/>
          <w:bCs/>
          <w:color w:val="000000" w:themeColor="text1"/>
          <w:sz w:val="16"/>
          <w:szCs w:val="16"/>
          <w:rtl/>
          <w:lang w:val="en-US"/>
        </w:rPr>
        <w:t>(</w:t>
      </w:r>
      <w:r w:rsidRPr="003D7790">
        <w:rPr>
          <w:rFonts w:asciiTheme="majorBidi" w:hAnsiTheme="majorBidi" w:cstheme="majorBidi"/>
          <w:b/>
          <w:bCs/>
          <w:color w:val="000000" w:themeColor="text1"/>
          <w:sz w:val="16"/>
          <w:szCs w:val="16"/>
        </w:rPr>
        <w:t>CDRF</w:t>
      </w:r>
      <w:r w:rsidRPr="003D7790">
        <w:rPr>
          <w:rFonts w:asciiTheme="majorBidi" w:hAnsiTheme="majorBidi" w:cstheme="majorBidi"/>
          <w:b/>
          <w:bCs/>
          <w:color w:val="000000" w:themeColor="text1"/>
          <w:sz w:val="16"/>
          <w:szCs w:val="16"/>
          <w:rtl/>
          <w:lang w:val="en-US"/>
        </w:rPr>
        <w:t xml:space="preserve">) </w:t>
      </w:r>
      <w:r w:rsidRPr="003D7790">
        <w:rPr>
          <w:rFonts w:asciiTheme="majorBidi" w:hAnsiTheme="majorBidi" w:cstheme="majorBidi"/>
          <w:b/>
          <w:bCs/>
          <w:color w:val="000000" w:themeColor="text1"/>
          <w:sz w:val="16"/>
          <w:szCs w:val="16"/>
          <w:lang w:val="en-US"/>
        </w:rPr>
        <w:t>Community</w:t>
      </w:r>
      <w:r w:rsidRPr="003D7790">
        <w:rPr>
          <w:rFonts w:asciiTheme="majorBidi" w:hAnsiTheme="majorBidi" w:cstheme="majorBidi"/>
          <w:b/>
          <w:bCs/>
          <w:color w:val="000000" w:themeColor="text1"/>
          <w:sz w:val="16"/>
          <w:szCs w:val="16"/>
        </w:rPr>
        <w:t xml:space="preserve"> </w:t>
      </w:r>
      <w:r w:rsidRPr="003D7790">
        <w:rPr>
          <w:rFonts w:asciiTheme="majorBidi" w:hAnsiTheme="majorBidi" w:cstheme="majorBidi"/>
          <w:b/>
          <w:bCs/>
          <w:color w:val="000000" w:themeColor="text1"/>
          <w:sz w:val="16"/>
          <w:szCs w:val="16"/>
          <w:lang w:val="en-US"/>
        </w:rPr>
        <w:t>Disaster</w:t>
      </w:r>
      <w:r w:rsidRPr="003D7790">
        <w:rPr>
          <w:rFonts w:asciiTheme="majorBidi" w:hAnsiTheme="majorBidi" w:cstheme="majorBidi"/>
          <w:b/>
          <w:bCs/>
          <w:color w:val="000000" w:themeColor="text1"/>
          <w:sz w:val="16"/>
          <w:szCs w:val="16"/>
        </w:rPr>
        <w:t xml:space="preserve"> </w:t>
      </w:r>
      <w:r w:rsidRPr="003D7790">
        <w:rPr>
          <w:rFonts w:asciiTheme="majorBidi" w:hAnsiTheme="majorBidi" w:cstheme="majorBidi"/>
          <w:b/>
          <w:bCs/>
          <w:color w:val="000000" w:themeColor="text1"/>
          <w:sz w:val="16"/>
          <w:szCs w:val="16"/>
          <w:lang w:val="en-US"/>
        </w:rPr>
        <w:t>Resilience</w:t>
      </w:r>
      <w:r w:rsidRPr="003D7790">
        <w:rPr>
          <w:rFonts w:asciiTheme="majorBidi" w:hAnsiTheme="majorBidi" w:cstheme="majorBidi"/>
          <w:b/>
          <w:bCs/>
          <w:color w:val="000000" w:themeColor="text1"/>
          <w:sz w:val="16"/>
          <w:szCs w:val="16"/>
        </w:rPr>
        <w:t xml:space="preserve"> Framework</w:t>
      </w:r>
      <w:r w:rsidRPr="003D7790">
        <w:rPr>
          <w:rFonts w:asciiTheme="majorBidi" w:hAnsiTheme="majorBidi" w:cstheme="majorBidi"/>
          <w:b/>
          <w:bCs/>
          <w:color w:val="000000" w:themeColor="text1"/>
          <w:sz w:val="16"/>
          <w:szCs w:val="16"/>
          <w:rtl/>
          <w:lang w:val="en-US"/>
        </w:rPr>
        <w:t>]</w:t>
      </w:r>
      <w:bookmarkEnd w:id="304"/>
    </w:p>
    <w:p w:rsidR="003E0F31" w:rsidRDefault="003E0F31" w:rsidP="00D036AA">
      <w:pPr>
        <w:bidi/>
        <w:spacing w:after="0"/>
        <w:ind w:firstLine="282"/>
        <w:jc w:val="both"/>
        <w:rPr>
          <w:rFonts w:ascii="Simplified Arabic" w:hAnsi="Simplified Arabic" w:cs="Simplified Arabic"/>
          <w:sz w:val="24"/>
          <w:szCs w:val="24"/>
          <w:rtl/>
          <w:lang w:bidi="ar-DZ"/>
        </w:rPr>
      </w:pPr>
      <w:r w:rsidRPr="00507DB0">
        <w:rPr>
          <w:rFonts w:ascii="Simplified Arabic" w:hAnsi="Simplified Arabic" w:cs="Simplified Arabic" w:hint="cs"/>
          <w:sz w:val="24"/>
          <w:szCs w:val="24"/>
          <w:rtl/>
          <w:lang w:bidi="ar-DZ"/>
        </w:rPr>
        <w:t>إطار</w:t>
      </w:r>
      <w:r w:rsidRPr="00507DB0">
        <w:rPr>
          <w:rFonts w:ascii="Simplified Arabic" w:hAnsi="Simplified Arabic" w:cs="Simplified Arabic"/>
          <w:sz w:val="24"/>
          <w:szCs w:val="24"/>
          <w:rtl/>
          <w:lang w:bidi="ar-DZ"/>
        </w:rPr>
        <w:t xml:space="preserve"> عمل مرونة المجتمع </w:t>
      </w:r>
      <w:r w:rsidRPr="00507DB0">
        <w:rPr>
          <w:rFonts w:ascii="Simplified Arabic" w:hAnsi="Simplified Arabic" w:cs="Simplified Arabic" w:hint="cs"/>
          <w:sz w:val="24"/>
          <w:szCs w:val="24"/>
          <w:rtl/>
          <w:lang w:bidi="ar-DZ"/>
        </w:rPr>
        <w:t>ل</w:t>
      </w:r>
      <w:r w:rsidRPr="00507DB0">
        <w:rPr>
          <w:rFonts w:ascii="Simplified Arabic" w:hAnsi="Simplified Arabic" w:cs="Simplified Arabic"/>
          <w:sz w:val="24"/>
          <w:szCs w:val="24"/>
          <w:rtl/>
          <w:lang w:bidi="ar-DZ"/>
        </w:rPr>
        <w:t>مواجهة الكوارث</w:t>
      </w:r>
      <w:r w:rsidRPr="00507DB0">
        <w:rPr>
          <w:rFonts w:asciiTheme="minorBidi" w:hAnsiTheme="minorBidi" w:cs="Arial"/>
          <w:sz w:val="24"/>
          <w:szCs w:val="24"/>
          <w:rtl/>
          <w:lang w:bidi="ar-DZ"/>
        </w:rPr>
        <w:t xml:space="preserve"> </w:t>
      </w:r>
      <w:r w:rsidRPr="00507DB0">
        <w:rPr>
          <w:rFonts w:asciiTheme="majorBidi" w:hAnsiTheme="majorBidi" w:cstheme="majorBidi"/>
          <w:color w:val="000000" w:themeColor="text1"/>
          <w:sz w:val="24"/>
          <w:szCs w:val="24"/>
          <w:rtl/>
          <w:lang w:bidi="ar-DZ"/>
        </w:rPr>
        <w:t>(</w:t>
      </w:r>
      <w:r w:rsidRPr="00507DB0">
        <w:rPr>
          <w:rFonts w:asciiTheme="majorBidi" w:hAnsiTheme="majorBidi" w:cstheme="majorBidi"/>
          <w:color w:val="000000" w:themeColor="text1"/>
          <w:sz w:val="24"/>
          <w:szCs w:val="24"/>
          <w:lang w:bidi="ar-DZ"/>
        </w:rPr>
        <w:t>CDRF</w:t>
      </w:r>
      <w:r w:rsidRPr="00507DB0">
        <w:rPr>
          <w:rFonts w:asciiTheme="majorBidi" w:hAnsiTheme="majorBidi" w:cstheme="majorBidi"/>
          <w:color w:val="000000" w:themeColor="text1"/>
          <w:sz w:val="24"/>
          <w:szCs w:val="24"/>
          <w:rtl/>
          <w:lang w:bidi="ar-DZ"/>
        </w:rPr>
        <w:t>)</w:t>
      </w:r>
      <w:r w:rsidRPr="00507DB0">
        <w:rPr>
          <w:rFonts w:asciiTheme="majorBidi" w:hAnsiTheme="majorBidi" w:cstheme="majorBidi" w:hint="cs"/>
          <w:color w:val="000000" w:themeColor="text1"/>
          <w:sz w:val="24"/>
          <w:szCs w:val="24"/>
          <w:rtl/>
          <w:lang w:bidi="ar-DZ"/>
        </w:rPr>
        <w:t>، هو امتداد ل</w:t>
      </w:r>
      <w:r w:rsidRPr="00507DB0">
        <w:rPr>
          <w:rFonts w:asciiTheme="majorBidi" w:hAnsiTheme="majorBidi" w:cstheme="majorBidi"/>
          <w:color w:val="000000" w:themeColor="text1"/>
          <w:sz w:val="24"/>
          <w:szCs w:val="24"/>
          <w:rtl/>
          <w:lang w:bidi="ar-DZ"/>
        </w:rPr>
        <w:t>مؤشر مرونة مواجهة الكوارث المناخية</w:t>
      </w:r>
      <w:r w:rsidRPr="00507DB0">
        <w:rPr>
          <w:rFonts w:asciiTheme="majorBidi" w:hAnsiTheme="majorBidi" w:cstheme="majorBidi" w:hint="cs"/>
          <w:color w:val="000000" w:themeColor="text1"/>
          <w:sz w:val="24"/>
          <w:szCs w:val="24"/>
          <w:rtl/>
          <w:lang w:bidi="ar-DZ"/>
        </w:rPr>
        <w:t xml:space="preserve"> الذي انشأه </w:t>
      </w:r>
      <w:r w:rsidRPr="00507DB0">
        <w:rPr>
          <w:rFonts w:asciiTheme="majorBidi" w:hAnsiTheme="majorBidi" w:cstheme="majorBidi"/>
          <w:color w:val="000000" w:themeColor="text1"/>
          <w:sz w:val="24"/>
          <w:szCs w:val="24"/>
        </w:rPr>
        <w:t>(Mayunga, 2007)</w:t>
      </w:r>
      <w:r w:rsidRPr="00507DB0">
        <w:rPr>
          <w:rFonts w:asciiTheme="majorBidi" w:hAnsiTheme="majorBidi" w:cstheme="majorBidi" w:hint="cs"/>
          <w:color w:val="000000" w:themeColor="text1"/>
          <w:sz w:val="24"/>
          <w:szCs w:val="24"/>
          <w:rtl/>
        </w:rPr>
        <w:t xml:space="preserve">. من هذا المنطلق، </w:t>
      </w:r>
      <w:r w:rsidRPr="00507DB0">
        <w:rPr>
          <w:rFonts w:asciiTheme="majorBidi" w:hAnsiTheme="majorBidi" w:cstheme="majorBidi" w:hint="cs"/>
          <w:color w:val="000000" w:themeColor="text1"/>
          <w:sz w:val="24"/>
          <w:szCs w:val="24"/>
          <w:rtl/>
          <w:lang w:bidi="ar-DZ"/>
        </w:rPr>
        <w:t>قام</w:t>
      </w:r>
      <w:r w:rsidRPr="00507DB0">
        <w:rPr>
          <w:rFonts w:asciiTheme="majorBidi" w:hAnsiTheme="majorBidi" w:cstheme="majorBidi"/>
          <w:color w:val="000000" w:themeColor="text1"/>
          <w:sz w:val="24"/>
          <w:szCs w:val="24"/>
          <w:lang w:bidi="ar-DZ"/>
        </w:rPr>
        <w:t xml:space="preserve"> </w:t>
      </w:r>
      <w:r w:rsidRPr="00507DB0">
        <w:rPr>
          <w:rFonts w:asciiTheme="majorBidi" w:hAnsiTheme="majorBidi" w:cstheme="majorBidi"/>
          <w:color w:val="000000" w:themeColor="text1"/>
          <w:sz w:val="24"/>
          <w:szCs w:val="24"/>
          <w:rtl/>
          <w:lang w:bidi="ar-DZ"/>
        </w:rPr>
        <w:t>(</w:t>
      </w:r>
      <w:r w:rsidRPr="00507DB0">
        <w:rPr>
          <w:rFonts w:asciiTheme="majorBidi" w:hAnsiTheme="majorBidi" w:cstheme="majorBidi"/>
          <w:color w:val="000000" w:themeColor="text1"/>
          <w:sz w:val="24"/>
          <w:szCs w:val="24"/>
          <w:lang w:bidi="ar-DZ"/>
        </w:rPr>
        <w:t>Peacock et al, 2010</w:t>
      </w:r>
      <w:r w:rsidRPr="00507DB0">
        <w:rPr>
          <w:rFonts w:asciiTheme="majorBidi" w:hAnsiTheme="majorBidi" w:cstheme="majorBidi"/>
          <w:color w:val="000000" w:themeColor="text1"/>
          <w:sz w:val="24"/>
          <w:szCs w:val="24"/>
          <w:rtl/>
          <w:lang w:bidi="ar-DZ"/>
        </w:rPr>
        <w:t>)</w:t>
      </w:r>
      <w:r w:rsidRPr="00507DB0">
        <w:rPr>
          <w:rFonts w:asciiTheme="minorBidi" w:hAnsiTheme="minorBidi" w:cs="Arial"/>
          <w:color w:val="000000" w:themeColor="text1"/>
          <w:sz w:val="24"/>
          <w:szCs w:val="24"/>
          <w:rtl/>
          <w:lang w:bidi="ar-DZ"/>
        </w:rPr>
        <w:t xml:space="preserve"> </w:t>
      </w:r>
      <w:r w:rsidRPr="00507DB0">
        <w:rPr>
          <w:rFonts w:ascii="Simplified Arabic" w:hAnsi="Simplified Arabic" w:cs="Simplified Arabic" w:hint="cs"/>
          <w:sz w:val="24"/>
          <w:szCs w:val="24"/>
          <w:rtl/>
          <w:lang w:bidi="ar-DZ"/>
        </w:rPr>
        <w:t>بالجمع</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بين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تحليل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أصول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رأس المال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لإطار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سبل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العيش</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المستدامة مستندا الى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مراحل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تسيير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الكوارث الأربعة (الاستعداد،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الاستجابة، التعافي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والتخفيف)</w:t>
      </w:r>
      <w:r w:rsidRPr="00507DB0">
        <w:rPr>
          <w:rFonts w:ascii="Simplified Arabic" w:hAnsi="Simplified Arabic" w:cs="Simplified Arabic"/>
          <w:sz w:val="24"/>
          <w:szCs w:val="24"/>
          <w:rtl/>
          <w:lang w:bidi="ar-DZ"/>
        </w:rPr>
        <w:t>.</w:t>
      </w:r>
      <w:r w:rsidRPr="00507DB0">
        <w:rPr>
          <w:rFonts w:asciiTheme="minorBidi" w:hAnsiTheme="minorBidi" w:cs="Arial" w:hint="cs"/>
          <w:sz w:val="28"/>
          <w:szCs w:val="28"/>
          <w:rtl/>
          <w:lang w:val="en-US"/>
        </w:rPr>
        <w:t xml:space="preserve"> </w:t>
      </w:r>
      <w:r w:rsidRPr="00507DB0">
        <w:rPr>
          <w:rFonts w:ascii="Simplified Arabic" w:hAnsi="Simplified Arabic" w:cs="Simplified Arabic" w:hint="cs"/>
          <w:sz w:val="24"/>
          <w:szCs w:val="24"/>
          <w:rtl/>
          <w:lang w:bidi="ar-DZ"/>
        </w:rPr>
        <w:t>لتوجيه</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اختيار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المؤشرات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لقياس</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قدرة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السكان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المرونة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طول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ساحل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الخليج</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الأمريكي،</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ركز</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اهتمام مجموعة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العمل 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التقاطع</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lastRenderedPageBreak/>
        <w:t>بين</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الأنشطة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والممارسات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المرتبطة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بمراحل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تسيير</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الكوارث</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الأربع،</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وبين أصول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رأس مال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المجتمع</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اللازمة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لتنفيذ</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الأنشطة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والممارسات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المرتبطة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بكل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مراحل التسيير، الشكل (</w:t>
      </w:r>
      <w:r w:rsidR="00D036AA" w:rsidRPr="00507DB0">
        <w:rPr>
          <w:rFonts w:ascii="Simplified Arabic" w:hAnsi="Simplified Arabic" w:cs="Simplified Arabic" w:hint="cs"/>
          <w:sz w:val="24"/>
          <w:szCs w:val="24"/>
          <w:rtl/>
          <w:lang w:bidi="ar-DZ"/>
        </w:rPr>
        <w:t>2-2</w:t>
      </w:r>
      <w:r w:rsidRPr="00507DB0">
        <w:rPr>
          <w:rFonts w:ascii="Simplified Arabic" w:hAnsi="Simplified Arabic" w:cs="Simplified Arabic" w:hint="cs"/>
          <w:sz w:val="24"/>
          <w:szCs w:val="24"/>
          <w:rtl/>
          <w:lang w:bidi="ar-DZ"/>
        </w:rPr>
        <w:t>)</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بعبارة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أخرى،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ركز</w:t>
      </w:r>
      <w:r w:rsidRPr="00507DB0">
        <w:rPr>
          <w:rFonts w:ascii="Simplified Arabic" w:hAnsi="Simplified Arabic" w:cs="Simplified Arabic"/>
          <w:sz w:val="24"/>
          <w:szCs w:val="24"/>
          <w:rtl/>
          <w:lang w:bidi="ar-DZ"/>
        </w:rPr>
        <w:t xml:space="preserve"> </w:t>
      </w:r>
      <w:r w:rsidRPr="00507DB0">
        <w:rPr>
          <w:rFonts w:asciiTheme="majorBidi" w:hAnsiTheme="majorBidi" w:cstheme="majorBidi"/>
          <w:color w:val="000000" w:themeColor="text1"/>
          <w:sz w:val="24"/>
          <w:szCs w:val="24"/>
          <w:rtl/>
          <w:lang w:bidi="ar-DZ"/>
        </w:rPr>
        <w:t>(</w:t>
      </w:r>
      <w:r w:rsidRPr="00507DB0">
        <w:rPr>
          <w:rFonts w:asciiTheme="majorBidi" w:hAnsiTheme="majorBidi" w:cstheme="majorBidi"/>
          <w:color w:val="000000" w:themeColor="text1"/>
          <w:sz w:val="24"/>
          <w:szCs w:val="24"/>
          <w:lang w:bidi="ar-DZ"/>
        </w:rPr>
        <w:t>Peacock et al, 2010</w:t>
      </w:r>
      <w:r w:rsidRPr="00507DB0">
        <w:rPr>
          <w:rFonts w:asciiTheme="majorBidi" w:hAnsiTheme="majorBidi" w:cstheme="majorBidi"/>
          <w:color w:val="000000" w:themeColor="text1"/>
          <w:sz w:val="24"/>
          <w:szCs w:val="24"/>
          <w:rtl/>
          <w:lang w:bidi="ar-DZ"/>
        </w:rPr>
        <w:t>)</w:t>
      </w:r>
      <w:r w:rsidRPr="00507DB0">
        <w:rPr>
          <w:rFonts w:asciiTheme="majorBidi" w:hAnsiTheme="majorBidi" w:cstheme="majorBidi"/>
          <w:sz w:val="28"/>
          <w:szCs w:val="28"/>
          <w:rtl/>
          <w:lang w:bidi="ar-DZ"/>
        </w:rPr>
        <w:t xml:space="preserve"> </w:t>
      </w:r>
      <w:r w:rsidRPr="00507DB0">
        <w:rPr>
          <w:rFonts w:ascii="Simplified Arabic" w:hAnsi="Simplified Arabic" w:cs="Simplified Arabic" w:hint="cs"/>
          <w:sz w:val="24"/>
          <w:szCs w:val="24"/>
          <w:rtl/>
          <w:lang w:bidi="ar-DZ"/>
        </w:rPr>
        <w:t>اختيارهم</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للمؤشرات</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على</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تحديد</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أصول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رأس المال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اللازمة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لزيادة فعالية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تنفيذ</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الأنشطة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الحاسمة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المرتبطة</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بكل</w:t>
      </w:r>
      <w:r w:rsidRPr="00507DB0">
        <w:rPr>
          <w:rFonts w:ascii="Simplified Arabic" w:hAnsi="Simplified Arabic" w:cs="Simplified Arabic"/>
          <w:sz w:val="24"/>
          <w:szCs w:val="24"/>
          <w:rtl/>
          <w:lang w:bidi="ar-DZ"/>
        </w:rPr>
        <w:t xml:space="preserve"> </w:t>
      </w:r>
      <w:r w:rsidRPr="00507DB0">
        <w:rPr>
          <w:rFonts w:ascii="Simplified Arabic" w:hAnsi="Simplified Arabic" w:cs="Simplified Arabic" w:hint="cs"/>
          <w:sz w:val="24"/>
          <w:szCs w:val="24"/>
          <w:rtl/>
          <w:lang w:bidi="ar-DZ"/>
        </w:rPr>
        <w:t>مرحلة من مراحل التسيير</w:t>
      </w:r>
      <w:r w:rsidRPr="00507DB0">
        <w:rPr>
          <w:rFonts w:ascii="Simplified Arabic" w:hAnsi="Simplified Arabic" w:cs="Simplified Arabic"/>
          <w:sz w:val="24"/>
          <w:szCs w:val="24"/>
          <w:rtl/>
          <w:lang w:bidi="ar-DZ"/>
        </w:rPr>
        <w:t xml:space="preserve">. </w:t>
      </w:r>
    </w:p>
    <w:p w:rsidR="00622171" w:rsidRDefault="003E0F31" w:rsidP="00622171">
      <w:pPr>
        <w:bidi/>
        <w:spacing w:after="0"/>
        <w:ind w:firstLine="282"/>
        <w:jc w:val="both"/>
        <w:rPr>
          <w:rFonts w:ascii="Simplified Arabic" w:hAnsi="Simplified Arabic" w:cs="Simplified Arabic"/>
          <w:sz w:val="24"/>
          <w:szCs w:val="24"/>
          <w:rtl/>
          <w:lang w:bidi="ar-DZ"/>
        </w:rPr>
      </w:pPr>
      <w:r w:rsidRPr="00206B59">
        <w:rPr>
          <w:rFonts w:ascii="Simplified Arabic" w:hAnsi="Simplified Arabic" w:cs="Simplified Arabic" w:hint="cs"/>
          <w:sz w:val="24"/>
          <w:szCs w:val="24"/>
          <w:rtl/>
          <w:lang w:bidi="ar-DZ"/>
        </w:rPr>
        <w:t>إطار</w:t>
      </w:r>
      <w:r w:rsidRPr="00206B59">
        <w:rPr>
          <w:rFonts w:ascii="Simplified Arabic" w:hAnsi="Simplified Arabic" w:cs="Simplified Arabic"/>
          <w:sz w:val="24"/>
          <w:szCs w:val="24"/>
          <w:rtl/>
          <w:lang w:bidi="ar-DZ"/>
        </w:rPr>
        <w:t xml:space="preserve"> </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color w:val="000000" w:themeColor="text1"/>
          <w:sz w:val="24"/>
          <w:szCs w:val="24"/>
          <w:lang w:bidi="ar-DZ"/>
        </w:rPr>
        <w:t>CDRF</w:t>
      </w:r>
      <w:r w:rsidRPr="00206B59">
        <w:rPr>
          <w:rFonts w:asciiTheme="majorBidi" w:hAnsiTheme="majorBidi" w:cstheme="majorBidi"/>
          <w:color w:val="000000" w:themeColor="text1"/>
          <w:sz w:val="24"/>
          <w:szCs w:val="24"/>
          <w:rtl/>
          <w:lang w:bidi="ar-DZ"/>
        </w:rPr>
        <w:t>)</w:t>
      </w:r>
      <w:r w:rsidRPr="00206B59">
        <w:rPr>
          <w:rFonts w:ascii="Simplified Arabic" w:hAnsi="Simplified Arabic" w:cs="Simplified Arabic" w:hint="cs"/>
          <w:sz w:val="24"/>
          <w:szCs w:val="24"/>
          <w:rtl/>
          <w:lang w:bidi="ar-DZ"/>
        </w:rPr>
        <w:t xml:space="preserve"> فقط</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يركز</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بشكل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خاص</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مراحل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الاستعداد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والاستجابة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 التخفيف و التعافي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أهملها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الآخرون</w:t>
      </w:r>
      <w:r w:rsidRPr="00206B59">
        <w:rPr>
          <w:rFonts w:ascii="Simplified Arabic" w:hAnsi="Simplified Arabic" w:cs="Simplified Arabic"/>
          <w:sz w:val="24"/>
          <w:szCs w:val="24"/>
          <w:rtl/>
          <w:lang w:bidi="ar-DZ"/>
        </w:rPr>
        <w:t xml:space="preserve"> </w:t>
      </w:r>
      <w:r w:rsidRPr="00206B59">
        <w:rPr>
          <w:rFonts w:asciiTheme="majorBidi" w:hAnsiTheme="majorBidi" w:cstheme="majorBidi"/>
          <w:color w:val="000000" w:themeColor="text1"/>
          <w:sz w:val="24"/>
          <w:szCs w:val="24"/>
        </w:rPr>
        <w:t>(Mayunga, 2009)</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في الاخير، قام</w:t>
      </w:r>
      <w:r w:rsidRPr="00206B59">
        <w:rPr>
          <w:rFonts w:ascii="Simplified Arabic" w:hAnsi="Simplified Arabic" w:cs="Simplified Arabic"/>
          <w:sz w:val="24"/>
          <w:szCs w:val="24"/>
          <w:rtl/>
          <w:lang w:bidi="ar-DZ"/>
        </w:rPr>
        <w:t xml:space="preserve"> </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color w:val="000000" w:themeColor="text1"/>
          <w:sz w:val="24"/>
          <w:szCs w:val="24"/>
          <w:lang w:bidi="ar-DZ"/>
        </w:rPr>
        <w:t>Peacock et al, 2010</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sz w:val="28"/>
          <w:szCs w:val="28"/>
          <w:rtl/>
          <w:lang w:bidi="ar-DZ"/>
        </w:rPr>
        <w:t xml:space="preserve"> </w:t>
      </w:r>
      <w:r w:rsidRPr="00206B59">
        <w:rPr>
          <w:rFonts w:ascii="Simplified Arabic" w:hAnsi="Simplified Arabic" w:cs="Simplified Arabic" w:hint="cs"/>
          <w:sz w:val="24"/>
          <w:szCs w:val="24"/>
          <w:rtl/>
          <w:lang w:bidi="ar-DZ"/>
        </w:rPr>
        <w:t>بدمج</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سبعة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عشر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مؤشرًا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مؤشر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مركب</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يستخدم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لقياس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العناصر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الرئيسية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للتنمية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الاقتصادية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ورأس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المال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الفيزيائي والاجتماعي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باستخدام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مجموعة عينات،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تم جمعها من</w:t>
      </w:r>
      <w:r w:rsidRPr="00206B59">
        <w:rPr>
          <w:rFonts w:ascii="Simplified Arabic" w:hAnsi="Simplified Arabic" w:cs="Simplified Arabic"/>
          <w:sz w:val="24"/>
          <w:szCs w:val="24"/>
          <w:rtl/>
          <w:lang w:bidi="ar-DZ"/>
        </w:rPr>
        <w:t xml:space="preserve"> 82 </w:t>
      </w:r>
      <w:r w:rsidRPr="00206B59">
        <w:rPr>
          <w:rFonts w:ascii="Simplified Arabic" w:hAnsi="Simplified Arabic" w:cs="Simplified Arabic" w:hint="cs"/>
          <w:sz w:val="24"/>
          <w:szCs w:val="24"/>
          <w:rtl/>
          <w:lang w:bidi="ar-DZ"/>
        </w:rPr>
        <w:t>مقاطعة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ولاية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مسيسيبي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كحالة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اختبار</w:t>
      </w:r>
      <w:r w:rsidRPr="00206B59">
        <w:rPr>
          <w:rFonts w:ascii="Simplified Arabic" w:hAnsi="Simplified Arabic" w:cs="Simplified Arabic"/>
          <w:sz w:val="24"/>
          <w:szCs w:val="24"/>
          <w:rtl/>
          <w:lang w:bidi="ar-DZ"/>
        </w:rPr>
        <w:t>.</w:t>
      </w:r>
      <w:r w:rsidRPr="00206B59">
        <w:rPr>
          <w:rFonts w:ascii="Simplified Arabic" w:hAnsi="Simplified Arabic" w:cs="Simplified Arabic" w:hint="cs"/>
          <w:sz w:val="24"/>
          <w:szCs w:val="24"/>
          <w:rtl/>
          <w:lang w:bidi="ar-DZ"/>
        </w:rPr>
        <w:t xml:space="preserve"> </w:t>
      </w:r>
    </w:p>
    <w:p w:rsidR="003E0F31" w:rsidRDefault="003E0F31" w:rsidP="00622171">
      <w:pPr>
        <w:bidi/>
        <w:spacing w:after="0"/>
        <w:ind w:firstLine="282"/>
        <w:jc w:val="both"/>
        <w:rPr>
          <w:rFonts w:ascii="Simplified Arabic" w:hAnsi="Simplified Arabic" w:cs="Simplified Arabic"/>
          <w:sz w:val="24"/>
          <w:szCs w:val="24"/>
          <w:rtl/>
          <w:lang w:bidi="ar-DZ"/>
        </w:rPr>
      </w:pPr>
      <w:r w:rsidRPr="00206B59">
        <w:rPr>
          <w:rFonts w:ascii="Simplified Arabic" w:hAnsi="Simplified Arabic" w:cs="Simplified Arabic" w:hint="cs"/>
          <w:sz w:val="24"/>
          <w:szCs w:val="24"/>
          <w:rtl/>
          <w:lang w:bidi="ar-DZ"/>
        </w:rPr>
        <w:t>يشير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رأس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المال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الفيزيائي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إلى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البيئة</w:t>
      </w:r>
      <w:r w:rsidRPr="00206B59">
        <w:rPr>
          <w:rFonts w:ascii="Simplified Arabic" w:hAnsi="Simplified Arabic" w:cs="Simplified Arabic"/>
          <w:sz w:val="24"/>
          <w:szCs w:val="24"/>
          <w:rtl/>
          <w:lang w:bidi="ar-DZ"/>
        </w:rPr>
        <w:t xml:space="preserve"> </w:t>
      </w:r>
      <w:r w:rsidR="008E533E">
        <w:rPr>
          <w:rFonts w:ascii="Simplified Arabic" w:hAnsi="Simplified Arabic" w:cs="Simplified Arabic" w:hint="cs"/>
          <w:sz w:val="24"/>
          <w:szCs w:val="24"/>
          <w:rtl/>
          <w:lang w:val="en-US"/>
        </w:rPr>
        <w:t>الحضرية</w:t>
      </w:r>
      <w:r w:rsidRPr="00206B59">
        <w:rPr>
          <w:rFonts w:ascii="Simplified Arabic" w:hAnsi="Simplified Arabic" w:cs="Simplified Arabic" w:hint="cs"/>
          <w:sz w:val="24"/>
          <w:szCs w:val="24"/>
          <w:rtl/>
          <w:lang w:bidi="ar-DZ"/>
        </w:rPr>
        <w:t>،</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والتي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تتكون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الاقامة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السكنية</w:t>
      </w:r>
      <w:r w:rsidRPr="00206B59">
        <w:rPr>
          <w:rFonts w:ascii="Simplified Arabic" w:hAnsi="Simplified Arabic" w:cs="Simplified Arabic"/>
          <w:sz w:val="24"/>
          <w:szCs w:val="24"/>
          <w:rtl/>
          <w:lang w:bidi="ar-DZ"/>
        </w:rPr>
        <w:t xml:space="preserve"> </w:t>
      </w:r>
      <w:r w:rsidR="00C7475E">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المباني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العامة</w:t>
      </w:r>
      <w:r w:rsidRPr="00206B59">
        <w:rPr>
          <w:rFonts w:ascii="Simplified Arabic" w:hAnsi="Simplified Arabic" w:cs="Simplified Arabic"/>
          <w:sz w:val="24"/>
          <w:szCs w:val="24"/>
          <w:rtl/>
          <w:lang w:bidi="ar-DZ"/>
        </w:rPr>
        <w:t xml:space="preserve"> </w:t>
      </w:r>
      <w:r w:rsidR="00C7475E">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الأعمال</w:t>
      </w:r>
      <w:r w:rsidRPr="00206B59">
        <w:rPr>
          <w:rFonts w:ascii="Simplified Arabic" w:hAnsi="Simplified Arabic" w:cs="Simplified Arabic"/>
          <w:sz w:val="24"/>
          <w:szCs w:val="24"/>
          <w:rtl/>
          <w:lang w:bidi="ar-DZ"/>
        </w:rPr>
        <w:t xml:space="preserve"> </w:t>
      </w:r>
      <w:r w:rsidR="00C7475E">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الصناعة</w:t>
      </w:r>
      <w:r w:rsidRPr="00206B59">
        <w:rPr>
          <w:rFonts w:ascii="Simplified Arabic" w:hAnsi="Simplified Arabic" w:cs="Simplified Arabic"/>
          <w:sz w:val="24"/>
          <w:szCs w:val="24"/>
          <w:rtl/>
          <w:lang w:bidi="ar-DZ"/>
        </w:rPr>
        <w:t xml:space="preserve"> </w:t>
      </w:r>
      <w:r w:rsidR="00C7475E">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الملاجئ</w:t>
      </w:r>
      <w:r w:rsidR="00C7475E">
        <w:rPr>
          <w:rFonts w:ascii="Simplified Arabic" w:hAnsi="Simplified Arabic" w:cs="Simplified Arabic" w:hint="cs"/>
          <w:sz w:val="24"/>
          <w:szCs w:val="24"/>
          <w:rtl/>
          <w:lang w:bidi="ar-DZ"/>
        </w:rPr>
        <w:t>،</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المستشفيات</w:t>
      </w:r>
      <w:r w:rsidRPr="00206B59">
        <w:rPr>
          <w:rFonts w:ascii="Simplified Arabic" w:hAnsi="Simplified Arabic" w:cs="Simplified Arabic"/>
          <w:sz w:val="24"/>
          <w:szCs w:val="24"/>
          <w:rtl/>
          <w:lang w:bidi="ar-DZ"/>
        </w:rPr>
        <w:t xml:space="preserve"> </w:t>
      </w:r>
      <w:r w:rsidR="00C7475E">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المدارس</w:t>
      </w:r>
      <w:r w:rsidRPr="00206B59">
        <w:rPr>
          <w:rFonts w:ascii="Simplified Arabic" w:hAnsi="Simplified Arabic" w:cs="Simplified Arabic"/>
          <w:sz w:val="24"/>
          <w:szCs w:val="24"/>
          <w:rtl/>
          <w:lang w:bidi="ar-DZ"/>
        </w:rPr>
        <w:t xml:space="preserve"> </w:t>
      </w:r>
      <w:r w:rsidR="00C7475E">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مراكز</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الإطفاء</w:t>
      </w:r>
      <w:r w:rsidRPr="00206B59">
        <w:rPr>
          <w:rFonts w:ascii="Simplified Arabic" w:hAnsi="Simplified Arabic" w:cs="Simplified Arabic"/>
          <w:sz w:val="24"/>
          <w:szCs w:val="24"/>
          <w:rtl/>
          <w:lang w:bidi="ar-DZ"/>
        </w:rPr>
        <w:t xml:space="preserve"> </w:t>
      </w:r>
      <w:r w:rsidR="00622171">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الشرطة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ودور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رعاية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المسنين ويشمل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أيضًا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الشبكات المختلفة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مثل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الكهرباء</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والمياه.</w:t>
      </w:r>
    </w:p>
    <w:p w:rsidR="003E0F31" w:rsidRPr="00762191" w:rsidRDefault="003E0F31" w:rsidP="0002788C">
      <w:pPr>
        <w:pStyle w:val="fegure"/>
        <w:spacing w:before="240"/>
        <w:rPr>
          <w:szCs w:val="24"/>
          <w:rtl/>
          <w:lang w:bidi="ar-DZ"/>
        </w:rPr>
      </w:pPr>
      <w:bookmarkStart w:id="305" w:name="_Toc157608288"/>
      <w:bookmarkStart w:id="306" w:name="_Toc171803443"/>
      <w:r w:rsidRPr="00762191">
        <w:rPr>
          <w:rFonts w:hint="cs"/>
          <w:szCs w:val="24"/>
          <w:rtl/>
          <w:lang w:bidi="ar-DZ"/>
        </w:rPr>
        <w:t>الشكل</w:t>
      </w:r>
      <w:r w:rsidRPr="00762191">
        <w:rPr>
          <w:szCs w:val="24"/>
          <w:rtl/>
          <w:lang w:bidi="ar-DZ"/>
        </w:rPr>
        <w:t xml:space="preserve"> </w:t>
      </w:r>
      <w:r w:rsidRPr="00762191">
        <w:rPr>
          <w:rFonts w:hint="cs"/>
          <w:szCs w:val="24"/>
          <w:rtl/>
          <w:lang w:bidi="ar-DZ"/>
        </w:rPr>
        <w:t>(</w:t>
      </w:r>
      <w:r w:rsidR="00D036AA" w:rsidRPr="00762191">
        <w:rPr>
          <w:rFonts w:hint="cs"/>
          <w:szCs w:val="24"/>
          <w:rtl/>
          <w:lang w:bidi="ar-DZ"/>
        </w:rPr>
        <w:t>2-2</w:t>
      </w:r>
      <w:r w:rsidRPr="00762191">
        <w:rPr>
          <w:rFonts w:hint="cs"/>
          <w:szCs w:val="24"/>
          <w:rtl/>
          <w:lang w:bidi="ar-DZ"/>
        </w:rPr>
        <w:t>)</w:t>
      </w:r>
      <w:r w:rsidRPr="00762191">
        <w:rPr>
          <w:szCs w:val="24"/>
          <w:rtl/>
          <w:lang w:bidi="ar-DZ"/>
        </w:rPr>
        <w:t xml:space="preserve"> </w:t>
      </w:r>
      <w:r w:rsidRPr="00762191">
        <w:rPr>
          <w:rFonts w:hint="cs"/>
          <w:szCs w:val="24"/>
          <w:rtl/>
          <w:lang w:bidi="ar-DZ"/>
        </w:rPr>
        <w:t>إطار عمل مرونة</w:t>
      </w:r>
      <w:r w:rsidRPr="00762191">
        <w:rPr>
          <w:szCs w:val="24"/>
          <w:rtl/>
          <w:lang w:bidi="ar-DZ"/>
        </w:rPr>
        <w:t xml:space="preserve"> </w:t>
      </w:r>
      <w:r w:rsidRPr="00762191">
        <w:rPr>
          <w:rFonts w:hint="cs"/>
          <w:szCs w:val="24"/>
          <w:rtl/>
          <w:lang w:bidi="ar-DZ"/>
        </w:rPr>
        <w:t>المجتمع</w:t>
      </w:r>
      <w:r w:rsidRPr="00762191">
        <w:rPr>
          <w:szCs w:val="24"/>
          <w:rtl/>
          <w:lang w:bidi="ar-DZ"/>
        </w:rPr>
        <w:t xml:space="preserve"> </w:t>
      </w:r>
      <w:r w:rsidRPr="00762191">
        <w:rPr>
          <w:rFonts w:hint="cs"/>
          <w:szCs w:val="24"/>
          <w:rtl/>
          <w:lang w:bidi="ar-DZ"/>
        </w:rPr>
        <w:t>لمواجهة</w:t>
      </w:r>
      <w:r w:rsidRPr="00762191">
        <w:rPr>
          <w:szCs w:val="24"/>
          <w:rtl/>
          <w:lang w:bidi="ar-DZ"/>
        </w:rPr>
        <w:t xml:space="preserve"> </w:t>
      </w:r>
      <w:r w:rsidRPr="00762191">
        <w:rPr>
          <w:rFonts w:hint="cs"/>
          <w:szCs w:val="24"/>
          <w:rtl/>
          <w:lang w:bidi="ar-DZ"/>
        </w:rPr>
        <w:t>الكوارث</w:t>
      </w:r>
      <w:r w:rsidRPr="00762191">
        <w:rPr>
          <w:szCs w:val="24"/>
          <w:rtl/>
          <w:lang w:bidi="ar-DZ"/>
        </w:rPr>
        <w:t xml:space="preserve"> </w:t>
      </w:r>
      <w:r w:rsidRPr="00762191">
        <w:rPr>
          <w:rFonts w:asciiTheme="majorBidi" w:hAnsiTheme="majorBidi" w:cstheme="majorBidi"/>
          <w:szCs w:val="24"/>
          <w:rtl/>
          <w:lang w:bidi="ar-DZ"/>
        </w:rPr>
        <w:t>(</w:t>
      </w:r>
      <w:r w:rsidRPr="00762191">
        <w:rPr>
          <w:rFonts w:asciiTheme="majorBidi" w:hAnsiTheme="majorBidi" w:cstheme="majorBidi"/>
          <w:szCs w:val="24"/>
          <w:lang w:bidi="ar-DZ"/>
        </w:rPr>
        <w:t>CDRF</w:t>
      </w:r>
      <w:r w:rsidRPr="00762191">
        <w:rPr>
          <w:rFonts w:asciiTheme="majorBidi" w:hAnsiTheme="majorBidi" w:cstheme="majorBidi"/>
          <w:szCs w:val="24"/>
          <w:rtl/>
          <w:lang w:bidi="ar-DZ"/>
        </w:rPr>
        <w:t>)</w:t>
      </w:r>
      <w:r w:rsidRPr="00762191">
        <w:rPr>
          <w:rFonts w:hint="cs"/>
          <w:szCs w:val="24"/>
          <w:rtl/>
          <w:lang w:bidi="ar-DZ"/>
        </w:rPr>
        <w:t>.</w:t>
      </w:r>
      <w:bookmarkEnd w:id="305"/>
      <w:bookmarkEnd w:id="306"/>
    </w:p>
    <w:p w:rsidR="003E0F31" w:rsidRDefault="003E0F31" w:rsidP="00B36D99">
      <w:pPr>
        <w:bidi/>
        <w:spacing w:line="240" w:lineRule="auto"/>
        <w:jc w:val="center"/>
        <w:rPr>
          <w:rFonts w:ascii="Simplified Arabic" w:hAnsi="Simplified Arabic" w:cs="Simplified Arabic"/>
          <w:sz w:val="24"/>
          <w:szCs w:val="24"/>
          <w:rtl/>
          <w:lang w:bidi="ar-DZ"/>
        </w:rPr>
      </w:pPr>
      <w:r w:rsidRPr="00BB1D8C">
        <w:rPr>
          <w:rFonts w:ascii="Simplified Arabic" w:hAnsi="Simplified Arabic" w:cs="Simplified Arabic" w:hint="cs"/>
          <w:sz w:val="24"/>
          <w:szCs w:val="24"/>
          <w:rtl/>
          <w:lang w:bidi="ar-DZ"/>
        </w:rPr>
        <w:t xml:space="preserve">المصدر: </w:t>
      </w:r>
      <w:r w:rsidRPr="004610AD">
        <w:rPr>
          <w:rFonts w:asciiTheme="majorBidi" w:hAnsiTheme="majorBidi" w:cstheme="majorBidi"/>
          <w:color w:val="000000" w:themeColor="text1"/>
          <w:sz w:val="24"/>
          <w:szCs w:val="24"/>
          <w:lang w:bidi="ar-DZ"/>
        </w:rPr>
        <w:t>(</w:t>
      </w:r>
      <w:r w:rsidRPr="00206B59">
        <w:rPr>
          <w:rFonts w:asciiTheme="majorBidi" w:hAnsiTheme="majorBidi" w:cstheme="majorBidi"/>
          <w:color w:val="000000" w:themeColor="text1"/>
          <w:sz w:val="24"/>
          <w:szCs w:val="24"/>
          <w:lang w:bidi="ar-DZ"/>
        </w:rPr>
        <w:t>Mayunga</w:t>
      </w:r>
      <w:r w:rsidRPr="004610AD">
        <w:rPr>
          <w:rFonts w:asciiTheme="majorBidi" w:hAnsiTheme="majorBidi" w:cstheme="majorBidi"/>
          <w:color w:val="000000" w:themeColor="text1"/>
          <w:sz w:val="24"/>
          <w:szCs w:val="24"/>
          <w:lang w:bidi="ar-DZ"/>
        </w:rPr>
        <w:t>, 2007)</w:t>
      </w:r>
      <w:r w:rsidRPr="00BB1D8C">
        <w:rPr>
          <w:rFonts w:ascii="Simplified Arabic" w:hAnsi="Simplified Arabic" w:cs="Simplified Arabic" w:hint="cs"/>
          <w:sz w:val="24"/>
          <w:szCs w:val="24"/>
          <w:rtl/>
          <w:lang w:bidi="ar-DZ"/>
        </w:rPr>
        <w:t>.</w:t>
      </w:r>
    </w:p>
    <w:p w:rsidR="00CC4405" w:rsidRDefault="00CC4405" w:rsidP="00622171">
      <w:pPr>
        <w:tabs>
          <w:tab w:val="right" w:pos="708"/>
          <w:tab w:val="right" w:pos="850"/>
          <w:tab w:val="right" w:pos="8221"/>
        </w:tabs>
        <w:bidi/>
        <w:spacing w:line="240" w:lineRule="auto"/>
        <w:jc w:val="center"/>
        <w:rPr>
          <w:rFonts w:ascii="Simplified Arabic" w:hAnsi="Simplified Arabic" w:cs="Simplified Arabic"/>
          <w:sz w:val="24"/>
          <w:szCs w:val="24"/>
          <w:lang w:bidi="ar-DZ"/>
        </w:rPr>
      </w:pPr>
      <w:r>
        <w:rPr>
          <w:rFonts w:ascii="Simplified Arabic" w:hAnsi="Simplified Arabic" w:cs="Simplified Arabic"/>
          <w:noProof/>
          <w:color w:val="000000" w:themeColor="text1"/>
          <w:sz w:val="24"/>
          <w:szCs w:val="24"/>
          <w:rtl/>
          <w:lang w:eastAsia="fr-FR"/>
        </w:rPr>
        <w:drawing>
          <wp:inline distT="0" distB="0" distL="0" distR="0" wp14:anchorId="2332A283" wp14:editId="68912FD0">
            <wp:extent cx="4848045" cy="2605177"/>
            <wp:effectExtent l="0" t="0" r="10160" b="62230"/>
            <wp:docPr id="44" name="Diagramme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2" r:lo="rId103" r:qs="rId104" r:cs="rId105"/>
              </a:graphicData>
            </a:graphic>
          </wp:inline>
        </w:drawing>
      </w:r>
    </w:p>
    <w:p w:rsidR="003E0F31" w:rsidRDefault="007F4407" w:rsidP="00C7475E">
      <w:pPr>
        <w:pStyle w:val="Tableau"/>
        <w:rPr>
          <w:rFonts w:asciiTheme="majorBidi" w:hAnsiTheme="majorBidi" w:cstheme="majorBidi"/>
          <w:sz w:val="18"/>
          <w:szCs w:val="18"/>
          <w:rtl/>
          <w:lang w:val="en-US"/>
        </w:rPr>
      </w:pPr>
      <w:bookmarkStart w:id="307" w:name="_Toc157612966"/>
      <w:bookmarkStart w:id="308" w:name="_Toc171803444"/>
      <w:r>
        <w:rPr>
          <w:rFonts w:hint="cs"/>
          <w:rtl/>
          <w:lang w:bidi="ar-DZ"/>
        </w:rPr>
        <w:t xml:space="preserve">الجدول (2-2): </w:t>
      </w:r>
      <w:r w:rsidR="003E0F31">
        <w:rPr>
          <w:rFonts w:hint="cs"/>
          <w:rtl/>
          <w:lang w:bidi="ar-DZ"/>
        </w:rPr>
        <w:t xml:space="preserve">ايجابيات وسلبيات </w:t>
      </w:r>
      <w:r w:rsidR="003E0F31" w:rsidRPr="003F24F1">
        <w:rPr>
          <w:rtl/>
          <w:lang w:bidi="ar-DZ"/>
        </w:rPr>
        <w:t xml:space="preserve">إطار عمل مرونة المجتمع </w:t>
      </w:r>
      <w:r w:rsidR="003E0F31" w:rsidRPr="003F24F1">
        <w:rPr>
          <w:rFonts w:hint="cs"/>
          <w:rtl/>
          <w:lang w:bidi="ar-DZ"/>
        </w:rPr>
        <w:t>ل</w:t>
      </w:r>
      <w:r w:rsidR="003E0F31" w:rsidRPr="003F24F1">
        <w:rPr>
          <w:rtl/>
          <w:lang w:bidi="ar-DZ"/>
        </w:rPr>
        <w:t>مواجهة الكوارث</w:t>
      </w:r>
      <w:r w:rsidR="003E0F31">
        <w:rPr>
          <w:rFonts w:hint="cs"/>
          <w:rtl/>
          <w:lang w:bidi="ar-DZ"/>
        </w:rPr>
        <w:t xml:space="preserve">، </w:t>
      </w:r>
      <w:r w:rsidR="003E0F31" w:rsidRPr="004D33D5">
        <w:rPr>
          <w:rFonts w:asciiTheme="majorBidi" w:hAnsiTheme="majorBidi" w:cstheme="majorBidi"/>
          <w:sz w:val="18"/>
          <w:szCs w:val="18"/>
          <w:rtl/>
          <w:lang w:val="en-US"/>
        </w:rPr>
        <w:t>(</w:t>
      </w:r>
      <w:r w:rsidR="003E0F31" w:rsidRPr="003F24F1">
        <w:rPr>
          <w:rFonts w:asciiTheme="majorBidi" w:hAnsiTheme="majorBidi" w:cstheme="majorBidi"/>
        </w:rPr>
        <w:t>CDRF</w:t>
      </w:r>
      <w:r w:rsidR="003E0F31" w:rsidRPr="004D33D5">
        <w:rPr>
          <w:rFonts w:asciiTheme="majorBidi" w:hAnsiTheme="majorBidi" w:cstheme="majorBidi"/>
          <w:sz w:val="18"/>
          <w:szCs w:val="18"/>
          <w:rtl/>
          <w:lang w:val="en-US"/>
        </w:rPr>
        <w:t>)</w:t>
      </w:r>
      <w:bookmarkEnd w:id="307"/>
      <w:bookmarkEnd w:id="308"/>
    </w:p>
    <w:p w:rsidR="00597092" w:rsidRPr="00597092" w:rsidRDefault="00597092" w:rsidP="00597092">
      <w:pPr>
        <w:pStyle w:val="fegure"/>
        <w:rPr>
          <w:sz w:val="8"/>
          <w:szCs w:val="24"/>
          <w:rtl/>
          <w:lang w:val="en-US"/>
        </w:rPr>
      </w:pPr>
      <w:bookmarkStart w:id="309" w:name="_Toc171803445"/>
      <w:r>
        <w:rPr>
          <w:rFonts w:hint="cs"/>
          <w:sz w:val="8"/>
          <w:szCs w:val="24"/>
          <w:rtl/>
          <w:lang w:val="en-US"/>
        </w:rPr>
        <w:t>المصدر: (الباحث، 2022)</w:t>
      </w:r>
      <w:bookmarkEnd w:id="309"/>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1"/>
        <w:gridCol w:w="3899"/>
      </w:tblGrid>
      <w:tr w:rsidR="003E0F31" w:rsidRPr="00E75AD4" w:rsidTr="001E12D7">
        <w:trPr>
          <w:jc w:val="center"/>
        </w:trPr>
        <w:tc>
          <w:tcPr>
            <w:tcW w:w="4181" w:type="dxa"/>
            <w:vAlign w:val="center"/>
          </w:tcPr>
          <w:p w:rsidR="003E0F31" w:rsidRPr="00E75AD4" w:rsidRDefault="003E0F31" w:rsidP="001E12D7">
            <w:pPr>
              <w:bidi/>
              <w:spacing w:after="0" w:line="240" w:lineRule="auto"/>
              <w:jc w:val="center"/>
              <w:rPr>
                <w:rFonts w:ascii="Simplified Arabic" w:hAnsi="Simplified Arabic" w:cs="Simplified Arabic"/>
                <w:sz w:val="24"/>
                <w:szCs w:val="24"/>
                <w:rtl/>
                <w:lang w:bidi="ar-DZ"/>
              </w:rPr>
            </w:pPr>
            <w:r w:rsidRPr="00E75AD4">
              <w:rPr>
                <w:rFonts w:ascii="Simplified Arabic" w:hAnsi="Simplified Arabic" w:cs="Simplified Arabic"/>
                <w:sz w:val="24"/>
                <w:szCs w:val="24"/>
                <w:rtl/>
                <w:lang w:bidi="ar-DZ"/>
              </w:rPr>
              <w:t>الايجابيات</w:t>
            </w:r>
          </w:p>
        </w:tc>
        <w:tc>
          <w:tcPr>
            <w:tcW w:w="3899" w:type="dxa"/>
            <w:vAlign w:val="center"/>
          </w:tcPr>
          <w:p w:rsidR="003E0F31" w:rsidRPr="00E75AD4" w:rsidRDefault="003E0F31" w:rsidP="001E12D7">
            <w:pPr>
              <w:bidi/>
              <w:spacing w:after="0" w:line="240" w:lineRule="auto"/>
              <w:jc w:val="center"/>
              <w:rPr>
                <w:rFonts w:ascii="Simplified Arabic" w:hAnsi="Simplified Arabic" w:cs="Simplified Arabic"/>
                <w:sz w:val="24"/>
                <w:szCs w:val="24"/>
                <w:rtl/>
                <w:lang w:bidi="ar-DZ"/>
              </w:rPr>
            </w:pPr>
            <w:r w:rsidRPr="00E75AD4">
              <w:rPr>
                <w:rFonts w:ascii="Simplified Arabic" w:hAnsi="Simplified Arabic" w:cs="Simplified Arabic"/>
                <w:sz w:val="24"/>
                <w:szCs w:val="24"/>
                <w:rtl/>
                <w:lang w:bidi="ar-DZ"/>
              </w:rPr>
              <w:t>السلبيات</w:t>
            </w:r>
          </w:p>
        </w:tc>
      </w:tr>
      <w:tr w:rsidR="003E0F31" w:rsidRPr="00E75AD4" w:rsidTr="001E12D7">
        <w:trPr>
          <w:jc w:val="center"/>
        </w:trPr>
        <w:tc>
          <w:tcPr>
            <w:tcW w:w="4181" w:type="dxa"/>
          </w:tcPr>
          <w:p w:rsidR="003E0F31" w:rsidRPr="00E75AD4"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E75AD4">
              <w:rPr>
                <w:rFonts w:ascii="Simplified Arabic" w:hAnsi="Simplified Arabic" w:cs="Simplified Arabic"/>
                <w:color w:val="000000" w:themeColor="text1"/>
                <w:sz w:val="24"/>
                <w:szCs w:val="24"/>
                <w:rtl/>
                <w:lang w:bidi="ar-DZ"/>
              </w:rPr>
              <w:t>تحليل المرونة بصفة شاملة وفق 4 أبعاد</w:t>
            </w:r>
          </w:p>
          <w:p w:rsidR="003E0F31" w:rsidRPr="00E75AD4"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E75AD4">
              <w:rPr>
                <w:rFonts w:ascii="Simplified Arabic" w:hAnsi="Simplified Arabic" w:cs="Simplified Arabic"/>
                <w:sz w:val="24"/>
                <w:szCs w:val="24"/>
                <w:rtl/>
                <w:lang w:val="en-US" w:bidi="ar-DZ"/>
              </w:rPr>
              <w:t>يركز على الاستعداد والاستجابة الانتعاش التخفيف</w:t>
            </w:r>
          </w:p>
          <w:p w:rsidR="003E0F31" w:rsidRPr="00E75AD4"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E75AD4">
              <w:rPr>
                <w:rFonts w:ascii="Simplified Arabic" w:hAnsi="Simplified Arabic" w:cs="Simplified Arabic"/>
                <w:color w:val="000000" w:themeColor="text1"/>
                <w:sz w:val="24"/>
                <w:szCs w:val="24"/>
                <w:rtl/>
                <w:lang w:val="en-US" w:bidi="ar-DZ"/>
              </w:rPr>
              <w:t>يدرس عدة مخاطر</w:t>
            </w:r>
          </w:p>
          <w:p w:rsidR="003E0F31" w:rsidRPr="00E75AD4"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E75AD4">
              <w:rPr>
                <w:rFonts w:ascii="Simplified Arabic" w:hAnsi="Simplified Arabic" w:cs="Simplified Arabic"/>
                <w:color w:val="000000" w:themeColor="text1"/>
                <w:sz w:val="24"/>
                <w:szCs w:val="24"/>
                <w:rtl/>
                <w:lang w:val="en-US" w:bidi="ar-DZ"/>
              </w:rPr>
              <w:t xml:space="preserve">مقارنة المجتمعات </w:t>
            </w:r>
            <w:r>
              <w:rPr>
                <w:rFonts w:ascii="Simplified Arabic" w:hAnsi="Simplified Arabic" w:cs="Simplified Arabic" w:hint="cs"/>
                <w:color w:val="000000" w:themeColor="text1"/>
                <w:sz w:val="24"/>
                <w:szCs w:val="24"/>
                <w:rtl/>
                <w:lang w:val="en-US" w:bidi="ar-DZ"/>
              </w:rPr>
              <w:t>فيما بينها</w:t>
            </w:r>
            <w:r w:rsidRPr="00E75AD4">
              <w:rPr>
                <w:rFonts w:ascii="Simplified Arabic" w:hAnsi="Simplified Arabic" w:cs="Simplified Arabic"/>
                <w:color w:val="000000" w:themeColor="text1"/>
                <w:sz w:val="24"/>
                <w:szCs w:val="24"/>
                <w:rtl/>
                <w:lang w:val="en-US" w:bidi="ar-DZ"/>
              </w:rPr>
              <w:t xml:space="preserve"> من حيث المرونة</w:t>
            </w:r>
            <w:r>
              <w:rPr>
                <w:rFonts w:ascii="Simplified Arabic" w:hAnsi="Simplified Arabic" w:cs="Simplified Arabic" w:hint="cs"/>
                <w:color w:val="000000" w:themeColor="text1"/>
                <w:sz w:val="24"/>
                <w:szCs w:val="24"/>
                <w:rtl/>
                <w:lang w:val="en-US" w:bidi="ar-DZ"/>
              </w:rPr>
              <w:t xml:space="preserve"> </w:t>
            </w:r>
            <w:r w:rsidRPr="00E75AD4">
              <w:rPr>
                <w:rFonts w:ascii="Simplified Arabic" w:hAnsi="Simplified Arabic" w:cs="Simplified Arabic"/>
                <w:color w:val="000000" w:themeColor="text1"/>
                <w:sz w:val="24"/>
                <w:szCs w:val="24"/>
                <w:rtl/>
                <w:lang w:val="en-US" w:bidi="ar-DZ"/>
              </w:rPr>
              <w:t>وإنشاء خرائط أو رسوم بيانية للنقاط الساخنة</w:t>
            </w:r>
          </w:p>
        </w:tc>
        <w:tc>
          <w:tcPr>
            <w:tcW w:w="3899" w:type="dxa"/>
          </w:tcPr>
          <w:p w:rsidR="003E0F31" w:rsidRPr="00E75AD4"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E75AD4">
              <w:rPr>
                <w:rFonts w:ascii="Simplified Arabic" w:hAnsi="Simplified Arabic" w:cs="Simplified Arabic"/>
                <w:sz w:val="24"/>
                <w:szCs w:val="24"/>
                <w:rtl/>
                <w:lang w:bidi="ar-DZ"/>
              </w:rPr>
              <w:t>تجاهل المرونة البيئية عن قصد بسبب التعقيد أو عدم تناسق البيانات وأهميتها</w:t>
            </w:r>
          </w:p>
          <w:p w:rsidR="003E0F31" w:rsidRPr="00E75AD4"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E75AD4">
              <w:rPr>
                <w:rFonts w:ascii="Simplified Arabic" w:hAnsi="Simplified Arabic" w:cs="Simplified Arabic"/>
                <w:sz w:val="24"/>
                <w:szCs w:val="24"/>
                <w:rtl/>
                <w:lang w:bidi="ar-DZ"/>
              </w:rPr>
              <w:t>تحليل البيانات على مستوى المقاطعة، مما يصعب عملية اتخاذ القرار على مستوى المدينة</w:t>
            </w:r>
          </w:p>
        </w:tc>
      </w:tr>
    </w:tbl>
    <w:p w:rsidR="003E0F31" w:rsidRPr="003D7790" w:rsidRDefault="003E0F31" w:rsidP="001D0548">
      <w:pPr>
        <w:pStyle w:val="Paragraphedeliste"/>
        <w:numPr>
          <w:ilvl w:val="2"/>
          <w:numId w:val="99"/>
        </w:numPr>
        <w:tabs>
          <w:tab w:val="right" w:pos="850"/>
        </w:tabs>
        <w:bidi/>
        <w:spacing w:before="240" w:after="0"/>
        <w:ind w:left="0" w:firstLine="0"/>
        <w:outlineLvl w:val="1"/>
        <w:rPr>
          <w:rFonts w:asciiTheme="minorBidi" w:hAnsiTheme="minorBidi" w:cs="Arial"/>
          <w:sz w:val="24"/>
          <w:szCs w:val="24"/>
        </w:rPr>
      </w:pPr>
      <w:bookmarkStart w:id="310" w:name="_Toc171803446"/>
      <w:r w:rsidRPr="003D7790">
        <w:rPr>
          <w:rFonts w:asciiTheme="minorBidi" w:hAnsiTheme="minorBidi" w:cs="Arial" w:hint="cs"/>
          <w:b/>
          <w:bCs/>
          <w:sz w:val="24"/>
          <w:szCs w:val="24"/>
          <w:rtl/>
          <w:lang w:val="en-US"/>
        </w:rPr>
        <w:lastRenderedPageBreak/>
        <w:t>إطار</w:t>
      </w:r>
      <w:r w:rsidRPr="003D7790">
        <w:rPr>
          <w:rFonts w:asciiTheme="minorBidi" w:hAnsiTheme="minorBidi" w:cs="Arial"/>
          <w:b/>
          <w:bCs/>
          <w:sz w:val="24"/>
          <w:szCs w:val="24"/>
          <w:rtl/>
          <w:lang w:val="en-US"/>
        </w:rPr>
        <w:t xml:space="preserve"> </w:t>
      </w:r>
      <w:r w:rsidRPr="003D7790">
        <w:rPr>
          <w:rFonts w:asciiTheme="minorBidi" w:hAnsiTheme="minorBidi" w:cs="Arial" w:hint="cs"/>
          <w:b/>
          <w:bCs/>
          <w:sz w:val="24"/>
          <w:szCs w:val="24"/>
          <w:rtl/>
          <w:lang w:val="en-US"/>
        </w:rPr>
        <w:t>عمل</w:t>
      </w:r>
      <w:r w:rsidRPr="003D7790">
        <w:rPr>
          <w:rFonts w:asciiTheme="minorBidi" w:hAnsiTheme="minorBidi" w:cs="Arial"/>
          <w:b/>
          <w:bCs/>
          <w:sz w:val="24"/>
          <w:szCs w:val="24"/>
          <w:rtl/>
          <w:lang w:val="en-US"/>
        </w:rPr>
        <w:t xml:space="preserve"> </w:t>
      </w:r>
      <w:r w:rsidRPr="003D7790">
        <w:rPr>
          <w:rFonts w:asciiTheme="minorBidi" w:hAnsiTheme="minorBidi" w:cs="Arial" w:hint="cs"/>
          <w:b/>
          <w:bCs/>
          <w:sz w:val="24"/>
          <w:szCs w:val="24"/>
          <w:rtl/>
          <w:lang w:val="en-US"/>
        </w:rPr>
        <w:t xml:space="preserve">المرونة </w:t>
      </w:r>
      <w:r w:rsidRPr="003D7790">
        <w:rPr>
          <w:rFonts w:asciiTheme="majorBidi" w:hAnsiTheme="majorBidi" w:cstheme="majorBidi"/>
          <w:b/>
          <w:bCs/>
          <w:sz w:val="24"/>
          <w:szCs w:val="24"/>
          <w:rtl/>
          <w:lang w:val="en-US"/>
        </w:rPr>
        <w:t>"</w:t>
      </w:r>
      <w:r w:rsidRPr="003D7790">
        <w:rPr>
          <w:rFonts w:asciiTheme="majorBidi" w:hAnsiTheme="majorBidi" w:cstheme="majorBidi"/>
          <w:b/>
          <w:bCs/>
          <w:sz w:val="24"/>
          <w:szCs w:val="24"/>
        </w:rPr>
        <w:t>P.E.O.P.L.E.S</w:t>
      </w:r>
      <w:r w:rsidRPr="003D7790">
        <w:rPr>
          <w:rFonts w:asciiTheme="majorBidi" w:hAnsiTheme="majorBidi" w:cstheme="majorBidi"/>
          <w:b/>
          <w:bCs/>
          <w:sz w:val="24"/>
          <w:szCs w:val="24"/>
          <w:rtl/>
          <w:lang w:val="en-US"/>
        </w:rPr>
        <w:t>"</w:t>
      </w:r>
      <w:r w:rsidRPr="003D7790">
        <w:rPr>
          <w:rFonts w:ascii="Simplified Arabic" w:hAnsi="Simplified Arabic" w:cs="Simplified Arabic"/>
          <w:b/>
          <w:bCs/>
          <w:sz w:val="24"/>
          <w:szCs w:val="24"/>
          <w:rtl/>
          <w:lang w:val="en-US"/>
        </w:rPr>
        <w:t>،</w:t>
      </w:r>
      <w:r w:rsidRPr="003D7790">
        <w:rPr>
          <w:rFonts w:ascii="Simplified Arabic" w:hAnsi="Simplified Arabic" w:cs="Simplified Arabic" w:hint="cs"/>
          <w:b/>
          <w:bCs/>
          <w:sz w:val="24"/>
          <w:szCs w:val="24"/>
          <w:rtl/>
          <w:lang w:val="en-US"/>
        </w:rPr>
        <w:t xml:space="preserve"> </w:t>
      </w:r>
      <w:r w:rsidRPr="003D7790">
        <w:rPr>
          <w:rFonts w:asciiTheme="majorBidi" w:hAnsiTheme="majorBidi" w:cstheme="majorBidi"/>
          <w:b/>
          <w:bCs/>
          <w:sz w:val="16"/>
          <w:szCs w:val="16"/>
          <w:rtl/>
          <w:lang w:val="en-US"/>
        </w:rPr>
        <w:t>[</w:t>
      </w:r>
      <w:r w:rsidRPr="003D7790">
        <w:rPr>
          <w:rFonts w:asciiTheme="majorBidi" w:hAnsiTheme="majorBidi" w:cstheme="majorBidi"/>
          <w:b/>
          <w:bCs/>
          <w:sz w:val="16"/>
          <w:szCs w:val="16"/>
        </w:rPr>
        <w:t xml:space="preserve"> P.E.O.P.L.E.S </w:t>
      </w:r>
      <w:r w:rsidRPr="005F673F">
        <w:rPr>
          <w:rFonts w:asciiTheme="majorBidi" w:hAnsiTheme="majorBidi" w:cstheme="majorBidi"/>
          <w:b/>
          <w:bCs/>
          <w:sz w:val="16"/>
          <w:szCs w:val="16"/>
        </w:rPr>
        <w:t>Resilience</w:t>
      </w:r>
      <w:r w:rsidRPr="003D7790">
        <w:rPr>
          <w:rFonts w:asciiTheme="majorBidi" w:hAnsiTheme="majorBidi" w:cstheme="majorBidi"/>
          <w:b/>
          <w:bCs/>
          <w:sz w:val="16"/>
          <w:szCs w:val="16"/>
        </w:rPr>
        <w:t xml:space="preserve"> Framework, (Renschler et al., 2010)</w:t>
      </w:r>
      <w:r w:rsidRPr="003D7790">
        <w:rPr>
          <w:rFonts w:asciiTheme="majorBidi" w:hAnsiTheme="majorBidi" w:cstheme="majorBidi"/>
          <w:b/>
          <w:bCs/>
          <w:sz w:val="16"/>
          <w:szCs w:val="16"/>
          <w:rtl/>
        </w:rPr>
        <w:t>]</w:t>
      </w:r>
      <w:r w:rsidRPr="003D7790">
        <w:rPr>
          <w:rFonts w:asciiTheme="majorBidi" w:hAnsiTheme="majorBidi" w:cstheme="majorBidi" w:hint="cs"/>
          <w:b/>
          <w:bCs/>
          <w:sz w:val="16"/>
          <w:szCs w:val="16"/>
          <w:rtl/>
        </w:rPr>
        <w:t>.</w:t>
      </w:r>
      <w:bookmarkEnd w:id="310"/>
      <w:r w:rsidRPr="003D7790">
        <w:rPr>
          <w:rFonts w:ascii="TimesNewRomanPSMT" w:hAnsi="TimesNewRomanPSMT" w:cs="TimesNewRomanPSMT" w:hint="cs"/>
          <w:sz w:val="18"/>
          <w:szCs w:val="18"/>
          <w:rtl/>
        </w:rPr>
        <w:t xml:space="preserve"> </w:t>
      </w:r>
    </w:p>
    <w:p w:rsidR="003E0F31" w:rsidRDefault="003E0F31" w:rsidP="003E0F31">
      <w:pPr>
        <w:bidi/>
        <w:spacing w:after="0"/>
        <w:ind w:firstLine="282"/>
        <w:jc w:val="both"/>
        <w:rPr>
          <w:rFonts w:ascii="Simplified Arabic" w:hAnsi="Simplified Arabic" w:cs="Simplified Arabic"/>
          <w:sz w:val="24"/>
          <w:szCs w:val="24"/>
          <w:rtl/>
          <w:lang w:bidi="ar-DZ"/>
        </w:rPr>
      </w:pPr>
      <w:r w:rsidRPr="00206B59">
        <w:rPr>
          <w:rFonts w:ascii="Simplified Arabic" w:hAnsi="Simplified Arabic" w:cs="Simplified Arabic" w:hint="cs"/>
          <w:sz w:val="24"/>
          <w:szCs w:val="24"/>
          <w:rtl/>
          <w:lang w:bidi="ar-DZ"/>
        </w:rPr>
        <w:t>هذا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النموذج</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هو</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استمرار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لإطار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المرونة</w:t>
      </w:r>
      <w:r w:rsidRPr="00206B59">
        <w:rPr>
          <w:rFonts w:asciiTheme="minorBidi" w:hAnsiTheme="minorBidi" w:cs="Arial"/>
          <w:sz w:val="24"/>
          <w:szCs w:val="24"/>
          <w:rtl/>
          <w:lang w:bidi="ar-DZ"/>
        </w:rPr>
        <w:t xml:space="preserve"> </w:t>
      </w:r>
      <w:r w:rsidRPr="00206B59">
        <w:rPr>
          <w:rFonts w:asciiTheme="majorBidi" w:hAnsiTheme="majorBidi" w:cstheme="majorBidi"/>
          <w:sz w:val="24"/>
          <w:szCs w:val="24"/>
        </w:rPr>
        <w:t>(Bruneau et al., 2003</w:t>
      </w:r>
      <w:r w:rsidRPr="00206B59">
        <w:rPr>
          <w:rFonts w:asciiTheme="majorBidi" w:hAnsiTheme="majorBidi" w:cstheme="majorBidi"/>
          <w:color w:val="000000"/>
          <w:sz w:val="20"/>
          <w:szCs w:val="20"/>
        </w:rPr>
        <w:t>)</w:t>
      </w:r>
      <w:r w:rsidRPr="00206B59">
        <w:rPr>
          <w:rFonts w:ascii="Simplified Arabic" w:hAnsi="Simplified Arabic" w:cs="Simplified Arabic"/>
          <w:sz w:val="24"/>
          <w:szCs w:val="24"/>
          <w:rtl/>
          <w:lang w:bidi="ar-DZ"/>
        </w:rPr>
        <w:t>.</w:t>
      </w:r>
      <w:r w:rsidRPr="00206B59">
        <w:rPr>
          <w:rFonts w:asciiTheme="minorBidi" w:hAnsiTheme="minorBidi" w:cs="Arial" w:hint="cs"/>
          <w:sz w:val="24"/>
          <w:szCs w:val="24"/>
          <w:rtl/>
          <w:lang w:bidi="ar-DZ"/>
        </w:rPr>
        <w:t xml:space="preserve"> </w:t>
      </w:r>
      <w:r w:rsidRPr="00206B59">
        <w:rPr>
          <w:rFonts w:ascii="Simplified Arabic" w:hAnsi="Simplified Arabic" w:cs="Simplified Arabic" w:hint="cs"/>
          <w:sz w:val="24"/>
          <w:szCs w:val="24"/>
          <w:rtl/>
          <w:lang w:bidi="ar-DZ"/>
        </w:rPr>
        <w:t>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عمل قام به</w:t>
      </w:r>
      <w:r w:rsidRPr="00206B59">
        <w:rPr>
          <w:rFonts w:asciiTheme="minorBidi" w:hAnsiTheme="minorBidi" w:cs="Arial"/>
          <w:sz w:val="24"/>
          <w:szCs w:val="24"/>
          <w:rtl/>
          <w:lang w:bidi="ar-DZ"/>
        </w:rPr>
        <w:t xml:space="preserve"> </w:t>
      </w:r>
      <w:r w:rsidRPr="00206B59">
        <w:rPr>
          <w:rFonts w:asciiTheme="majorBidi" w:hAnsiTheme="majorBidi" w:cstheme="majorBidi"/>
          <w:sz w:val="24"/>
          <w:szCs w:val="24"/>
        </w:rPr>
        <w:t>(</w:t>
      </w:r>
      <w:r w:rsidRPr="00C67278">
        <w:rPr>
          <w:rFonts w:asciiTheme="majorBidi" w:hAnsiTheme="majorBidi" w:cstheme="majorBidi"/>
          <w:sz w:val="24"/>
          <w:szCs w:val="24"/>
          <w:lang w:val="en-US"/>
        </w:rPr>
        <w:t>Renschler</w:t>
      </w:r>
      <w:r w:rsidRPr="00206B59">
        <w:rPr>
          <w:rFonts w:asciiTheme="majorBidi" w:hAnsiTheme="majorBidi" w:cstheme="majorBidi"/>
          <w:sz w:val="24"/>
          <w:szCs w:val="24"/>
        </w:rPr>
        <w:t xml:space="preserve"> et al., 2010)</w:t>
      </w:r>
      <w:r w:rsidRPr="00206B59">
        <w:rPr>
          <w:rFonts w:asciiTheme="minorBidi" w:hAnsiTheme="minorBidi" w:cs="Arial"/>
          <w:sz w:val="24"/>
          <w:szCs w:val="24"/>
          <w:rtl/>
          <w:lang w:bidi="ar-DZ"/>
        </w:rPr>
        <w:t xml:space="preserve"> </w:t>
      </w:r>
      <w:r w:rsidRPr="00206B59">
        <w:rPr>
          <w:rFonts w:ascii="Simplified Arabic" w:hAnsi="Simplified Arabic" w:cs="Simplified Arabic" w:hint="cs"/>
          <w:sz w:val="24"/>
          <w:szCs w:val="24"/>
          <w:rtl/>
          <w:lang w:bidi="ar-DZ"/>
        </w:rPr>
        <w:t>لإنشاء</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إطار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شامل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لقياس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المجتمعات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مواجهة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الكوارث</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مستويات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مختلفة،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حدد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سبعة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أبعاد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المجتمع</w:t>
      </w:r>
      <w:r w:rsidRPr="00206B59">
        <w:rPr>
          <w:rFonts w:ascii="Simplified Arabic" w:hAnsi="Simplified Arabic" w:cs="Simplified Arabic"/>
          <w:sz w:val="24"/>
          <w:szCs w:val="24"/>
          <w:rtl/>
          <w:lang w:bidi="ar-DZ"/>
        </w:rPr>
        <w:t xml:space="preserve"> "</w:t>
      </w:r>
      <w:r w:rsidRPr="00206B59">
        <w:rPr>
          <w:rFonts w:asciiTheme="majorBidi" w:hAnsiTheme="majorBidi" w:cstheme="majorBidi"/>
          <w:sz w:val="24"/>
          <w:szCs w:val="24"/>
        </w:rPr>
        <w:t>PEOPLES</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 xml:space="preserve">تتمثل فيما يلي </w:t>
      </w:r>
      <w:r w:rsidRPr="00206B59">
        <w:rPr>
          <w:rFonts w:asciiTheme="majorBidi" w:hAnsiTheme="majorBidi" w:cstheme="majorBidi"/>
          <w:sz w:val="24"/>
          <w:szCs w:val="24"/>
        </w:rPr>
        <w:t>(Renschler et al., 2010)</w:t>
      </w:r>
      <w:r w:rsidRPr="00206B59">
        <w:rPr>
          <w:rFonts w:ascii="Simplified Arabic" w:hAnsi="Simplified Arabic" w:cs="Simplified Arabic"/>
          <w:sz w:val="24"/>
          <w:szCs w:val="24"/>
          <w:rtl/>
          <w:lang w:bidi="ar-DZ"/>
        </w:rPr>
        <w:t xml:space="preserve">: </w:t>
      </w:r>
    </w:p>
    <w:p w:rsidR="003E0F31" w:rsidRDefault="003E0F31" w:rsidP="001D0548">
      <w:pPr>
        <w:pStyle w:val="Paragraphedeliste"/>
        <w:numPr>
          <w:ilvl w:val="0"/>
          <w:numId w:val="13"/>
        </w:numPr>
        <w:bidi/>
        <w:spacing w:after="0"/>
        <w:ind w:left="282" w:hanging="284"/>
        <w:jc w:val="both"/>
        <w:rPr>
          <w:rFonts w:ascii="Simplified Arabic" w:hAnsi="Simplified Arabic" w:cs="Simplified Arabic"/>
          <w:sz w:val="24"/>
          <w:szCs w:val="24"/>
          <w:lang w:bidi="ar-DZ"/>
        </w:rPr>
      </w:pPr>
      <w:r w:rsidRPr="009E2C10">
        <w:rPr>
          <w:rFonts w:ascii="Simplified Arabic" w:hAnsi="Simplified Arabic" w:cs="Simplified Arabic" w:hint="cs"/>
          <w:sz w:val="24"/>
          <w:szCs w:val="24"/>
          <w:rtl/>
          <w:lang w:bidi="ar-DZ"/>
        </w:rPr>
        <w:t>السكان</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والديموغرافيا</w:t>
      </w:r>
      <w:r w:rsidRPr="009E2C10">
        <w:rPr>
          <w:rFonts w:ascii="Simplified Arabic" w:hAnsi="Simplified Arabic" w:cs="Simplified Arabic"/>
          <w:sz w:val="24"/>
          <w:szCs w:val="24"/>
          <w:rtl/>
          <w:lang w:bidi="ar-DZ"/>
        </w:rPr>
        <w:t xml:space="preserve"> </w:t>
      </w:r>
      <w:r w:rsidR="00C67278">
        <w:rPr>
          <w:rFonts w:ascii="Simplified Arabic" w:hAnsi="Simplified Arabic" w:cs="Simplified Arabic" w:hint="cs"/>
          <w:sz w:val="24"/>
          <w:szCs w:val="24"/>
          <w:rtl/>
          <w:lang w:bidi="ar-DZ"/>
        </w:rPr>
        <w:t>''</w:t>
      </w:r>
      <w:r w:rsidRPr="006C70D5">
        <w:rPr>
          <w:rFonts w:asciiTheme="majorBidi" w:hAnsiTheme="majorBidi" w:cstheme="majorBidi"/>
          <w:b/>
          <w:bCs/>
          <w:sz w:val="24"/>
          <w:szCs w:val="24"/>
        </w:rPr>
        <w:t>P</w:t>
      </w:r>
      <w:r w:rsidR="00C6727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70247F">
        <w:rPr>
          <w:rFonts w:asciiTheme="majorBidi" w:hAnsiTheme="majorBidi" w:cstheme="majorBidi"/>
          <w:sz w:val="20"/>
          <w:szCs w:val="20"/>
          <w:rtl/>
          <w:lang w:bidi="ar-DZ"/>
        </w:rPr>
        <w:t>(</w:t>
      </w:r>
      <w:r w:rsidRPr="0070247F">
        <w:rPr>
          <w:rFonts w:asciiTheme="majorBidi" w:hAnsiTheme="majorBidi" w:cstheme="majorBidi"/>
          <w:b/>
          <w:bCs/>
          <w:sz w:val="24"/>
          <w:szCs w:val="24"/>
        </w:rPr>
        <w:t>P</w:t>
      </w:r>
      <w:r w:rsidRPr="0070247F">
        <w:rPr>
          <w:rFonts w:asciiTheme="majorBidi" w:hAnsiTheme="majorBidi" w:cstheme="majorBidi"/>
          <w:sz w:val="20"/>
          <w:szCs w:val="20"/>
        </w:rPr>
        <w:t xml:space="preserve">opulation and </w:t>
      </w:r>
      <w:r w:rsidRPr="002D453D">
        <w:rPr>
          <w:rFonts w:asciiTheme="majorBidi" w:hAnsiTheme="majorBidi" w:cstheme="majorBidi"/>
          <w:sz w:val="20"/>
          <w:szCs w:val="20"/>
          <w:lang w:val="en-US"/>
        </w:rPr>
        <w:t>Demographics</w:t>
      </w:r>
      <w:r w:rsidRPr="0070247F">
        <w:rPr>
          <w:rFonts w:asciiTheme="majorBidi" w:hAnsiTheme="majorBidi" w:cstheme="majorBidi" w:hint="cs"/>
          <w:sz w:val="20"/>
          <w:szCs w:val="20"/>
          <w:rtl/>
        </w:rPr>
        <w:t>)</w:t>
      </w:r>
      <w:r>
        <w:rPr>
          <w:rFonts w:ascii="Simplified Arabic" w:hAnsi="Simplified Arabic" w:cs="Simplified Arabic" w:hint="cs"/>
          <w:sz w:val="24"/>
          <w:szCs w:val="24"/>
          <w:rtl/>
          <w:lang w:bidi="ar-DZ"/>
        </w:rPr>
        <w:t xml:space="preserve">: يرتبط بقدرة مقاومة السكان للحوادث المخطرة حينما يكون تعرضهم لها بصفة منتظمة. </w:t>
      </w:r>
      <w:r w:rsidRPr="009E2C10">
        <w:rPr>
          <w:rFonts w:ascii="Simplified Arabic" w:hAnsi="Simplified Arabic" w:cs="Simplified Arabic"/>
          <w:sz w:val="24"/>
          <w:szCs w:val="24"/>
          <w:rtl/>
          <w:lang w:bidi="ar-DZ"/>
        </w:rPr>
        <w:t xml:space="preserve"> </w:t>
      </w:r>
    </w:p>
    <w:p w:rsidR="003E0F31" w:rsidRDefault="003E0F31" w:rsidP="001D0548">
      <w:pPr>
        <w:pStyle w:val="Paragraphedeliste"/>
        <w:numPr>
          <w:ilvl w:val="0"/>
          <w:numId w:val="13"/>
        </w:numPr>
        <w:bidi/>
        <w:spacing w:after="0"/>
        <w:ind w:left="282" w:hanging="284"/>
        <w:jc w:val="both"/>
        <w:rPr>
          <w:rFonts w:ascii="Simplified Arabic" w:hAnsi="Simplified Arabic" w:cs="Simplified Arabic"/>
          <w:sz w:val="24"/>
          <w:szCs w:val="24"/>
          <w:lang w:bidi="ar-DZ"/>
        </w:rPr>
      </w:pPr>
      <w:r w:rsidRPr="009E2C10">
        <w:rPr>
          <w:rFonts w:ascii="Simplified Arabic" w:hAnsi="Simplified Arabic" w:cs="Simplified Arabic" w:hint="cs"/>
          <w:sz w:val="24"/>
          <w:szCs w:val="24"/>
          <w:rtl/>
          <w:lang w:bidi="ar-DZ"/>
        </w:rPr>
        <w:t>البيئة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والنظام</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البيئي</w:t>
      </w:r>
      <w:r w:rsidRPr="009E2C10">
        <w:rPr>
          <w:rFonts w:ascii="Simplified Arabic" w:hAnsi="Simplified Arabic" w:cs="Simplified Arabic"/>
          <w:sz w:val="24"/>
          <w:szCs w:val="24"/>
          <w:rtl/>
          <w:lang w:bidi="ar-DZ"/>
        </w:rPr>
        <w:t xml:space="preserve"> </w:t>
      </w:r>
      <w:r w:rsidR="00C67278">
        <w:rPr>
          <w:rFonts w:ascii="Simplified Arabic" w:hAnsi="Simplified Arabic" w:cs="Simplified Arabic" w:hint="cs"/>
          <w:sz w:val="24"/>
          <w:szCs w:val="24"/>
          <w:rtl/>
          <w:lang w:bidi="ar-DZ"/>
        </w:rPr>
        <w:t>''</w:t>
      </w:r>
      <w:r w:rsidRPr="006C70D5">
        <w:rPr>
          <w:rFonts w:asciiTheme="majorBidi" w:hAnsiTheme="majorBidi" w:cstheme="majorBidi"/>
          <w:b/>
          <w:bCs/>
          <w:sz w:val="24"/>
          <w:szCs w:val="24"/>
        </w:rPr>
        <w:t>E</w:t>
      </w:r>
      <w:r w:rsidR="00C6727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2D453D">
        <w:rPr>
          <w:rFonts w:asciiTheme="majorBidi" w:hAnsiTheme="majorBidi" w:cstheme="majorBidi"/>
          <w:sz w:val="20"/>
          <w:szCs w:val="20"/>
          <w:lang w:bidi="ar-DZ"/>
        </w:rPr>
        <w:t>(</w:t>
      </w:r>
      <w:r w:rsidRPr="002D453D">
        <w:rPr>
          <w:rFonts w:asciiTheme="majorBidi" w:hAnsiTheme="majorBidi" w:cstheme="majorBidi"/>
          <w:b/>
          <w:bCs/>
          <w:sz w:val="24"/>
          <w:szCs w:val="24"/>
          <w:lang w:val="en-US" w:bidi="ar-DZ"/>
        </w:rPr>
        <w:t>E</w:t>
      </w:r>
      <w:r w:rsidRPr="002D453D">
        <w:rPr>
          <w:rFonts w:asciiTheme="majorBidi" w:hAnsiTheme="majorBidi" w:cstheme="majorBidi"/>
          <w:sz w:val="20"/>
          <w:szCs w:val="20"/>
          <w:lang w:val="en-US"/>
        </w:rPr>
        <w:t>nvironmental</w:t>
      </w:r>
      <w:r w:rsidRPr="002D453D">
        <w:rPr>
          <w:rFonts w:asciiTheme="majorBidi" w:hAnsiTheme="majorBidi" w:cstheme="majorBidi"/>
          <w:sz w:val="20"/>
          <w:szCs w:val="20"/>
        </w:rPr>
        <w:t>/</w:t>
      </w:r>
      <w:r w:rsidRPr="002D453D">
        <w:rPr>
          <w:rFonts w:asciiTheme="majorBidi" w:hAnsiTheme="majorBidi" w:cstheme="majorBidi"/>
          <w:sz w:val="20"/>
          <w:szCs w:val="20"/>
          <w:lang w:val="en-US"/>
        </w:rPr>
        <w:t>Ecosystem</w:t>
      </w:r>
      <w:r w:rsidRPr="002D453D">
        <w:rPr>
          <w:rFonts w:asciiTheme="majorBidi" w:hAnsiTheme="majorBidi" w:cstheme="majorBidi"/>
          <w:sz w:val="20"/>
          <w:szCs w:val="20"/>
        </w:rPr>
        <w:t>)</w:t>
      </w:r>
      <w:r>
        <w:rPr>
          <w:rFonts w:ascii="Simplified Arabic" w:hAnsi="Simplified Arabic" w:cs="Simplified Arabic" w:hint="cs"/>
          <w:sz w:val="24"/>
          <w:szCs w:val="24"/>
          <w:rtl/>
          <w:lang w:bidi="ar-DZ"/>
        </w:rPr>
        <w:t xml:space="preserve">: يناقش قدرة النظام البيئي كقدرة الغطاء النباتي على المقاومة تجاه الاحداث المخطرة. </w:t>
      </w:r>
    </w:p>
    <w:p w:rsidR="003E0F31" w:rsidRDefault="003E0F31" w:rsidP="001D0548">
      <w:pPr>
        <w:pStyle w:val="Paragraphedeliste"/>
        <w:numPr>
          <w:ilvl w:val="0"/>
          <w:numId w:val="13"/>
        </w:numPr>
        <w:bidi/>
        <w:spacing w:after="0"/>
        <w:ind w:left="282" w:hanging="284"/>
        <w:jc w:val="both"/>
        <w:rPr>
          <w:rFonts w:ascii="Simplified Arabic" w:hAnsi="Simplified Arabic" w:cs="Simplified Arabic"/>
          <w:sz w:val="24"/>
          <w:szCs w:val="24"/>
          <w:lang w:bidi="ar-DZ"/>
        </w:rPr>
      </w:pPr>
      <w:r w:rsidRPr="009E2C10">
        <w:rPr>
          <w:rFonts w:ascii="Simplified Arabic" w:hAnsi="Simplified Arabic" w:cs="Simplified Arabic" w:hint="cs"/>
          <w:sz w:val="24"/>
          <w:szCs w:val="24"/>
          <w:rtl/>
          <w:lang w:bidi="ar-DZ"/>
        </w:rPr>
        <w:t>تنظيم الخدمات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الحكومية</w:t>
      </w:r>
      <w:r w:rsidRPr="009E2C10">
        <w:rPr>
          <w:rFonts w:ascii="Simplified Arabic" w:hAnsi="Simplified Arabic" w:cs="Simplified Arabic"/>
          <w:sz w:val="24"/>
          <w:szCs w:val="24"/>
          <w:rtl/>
          <w:lang w:bidi="ar-DZ"/>
        </w:rPr>
        <w:t xml:space="preserve"> </w:t>
      </w:r>
      <w:r w:rsidR="00C67278">
        <w:rPr>
          <w:rFonts w:ascii="Simplified Arabic" w:hAnsi="Simplified Arabic" w:cs="Simplified Arabic" w:hint="cs"/>
          <w:sz w:val="24"/>
          <w:szCs w:val="24"/>
          <w:rtl/>
          <w:lang w:bidi="ar-DZ"/>
        </w:rPr>
        <w:t>''</w:t>
      </w:r>
      <w:r w:rsidRPr="006C70D5">
        <w:rPr>
          <w:rFonts w:asciiTheme="majorBidi" w:hAnsiTheme="majorBidi" w:cstheme="majorBidi"/>
          <w:b/>
          <w:bCs/>
          <w:sz w:val="24"/>
          <w:szCs w:val="24"/>
        </w:rPr>
        <w:t>O</w:t>
      </w:r>
      <w:r w:rsidR="00C6727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2D453D">
        <w:rPr>
          <w:rFonts w:asciiTheme="majorBidi" w:hAnsiTheme="majorBidi" w:cstheme="majorBidi"/>
          <w:sz w:val="24"/>
          <w:szCs w:val="24"/>
          <w:lang w:bidi="ar-DZ"/>
        </w:rPr>
        <w:t>(</w:t>
      </w:r>
      <w:r w:rsidRPr="002D453D">
        <w:rPr>
          <w:rFonts w:asciiTheme="majorBidi" w:hAnsiTheme="majorBidi" w:cstheme="majorBidi"/>
          <w:b/>
          <w:bCs/>
          <w:sz w:val="24"/>
          <w:szCs w:val="24"/>
          <w:lang w:val="en-US"/>
        </w:rPr>
        <w:t>O</w:t>
      </w:r>
      <w:r w:rsidRPr="002D453D">
        <w:rPr>
          <w:rFonts w:asciiTheme="majorBidi" w:hAnsiTheme="majorBidi" w:cstheme="majorBidi"/>
          <w:sz w:val="20"/>
          <w:szCs w:val="20"/>
          <w:lang w:val="en-US"/>
        </w:rPr>
        <w:t>rganized</w:t>
      </w:r>
      <w:r w:rsidRPr="002D453D">
        <w:rPr>
          <w:rFonts w:asciiTheme="majorBidi" w:hAnsiTheme="majorBidi" w:cstheme="majorBidi"/>
          <w:sz w:val="20"/>
          <w:szCs w:val="20"/>
        </w:rPr>
        <w:t xml:space="preserve"> </w:t>
      </w:r>
      <w:r w:rsidRPr="002D453D">
        <w:rPr>
          <w:rFonts w:asciiTheme="majorBidi" w:hAnsiTheme="majorBidi" w:cstheme="majorBidi"/>
          <w:sz w:val="20"/>
          <w:szCs w:val="20"/>
          <w:lang w:val="en-US"/>
        </w:rPr>
        <w:t>Governmental</w:t>
      </w:r>
      <w:r w:rsidRPr="002D453D">
        <w:rPr>
          <w:rFonts w:asciiTheme="majorBidi" w:hAnsiTheme="majorBidi" w:cstheme="majorBidi"/>
          <w:sz w:val="20"/>
          <w:szCs w:val="20"/>
        </w:rPr>
        <w:t xml:space="preserve"> Services</w:t>
      </w:r>
      <w:r w:rsidRPr="002D453D">
        <w:rPr>
          <w:rFonts w:asciiTheme="majorBidi" w:hAnsiTheme="majorBidi" w:cstheme="majorBidi"/>
          <w:sz w:val="24"/>
          <w:szCs w:val="24"/>
          <w:lang w:bidi="ar-DZ"/>
        </w:rPr>
        <w:t>)</w:t>
      </w:r>
      <w:r>
        <w:rPr>
          <w:rFonts w:ascii="Simplified Arabic" w:hAnsi="Simplified Arabic" w:cs="Simplified Arabic" w:hint="cs"/>
          <w:sz w:val="24"/>
          <w:szCs w:val="24"/>
          <w:rtl/>
          <w:lang w:bidi="ar-DZ"/>
        </w:rPr>
        <w:t xml:space="preserve">: يتضمن قدرة المصالح كالإسعافات الاولية والحماية و التكفل الصحي </w:t>
      </w:r>
      <w:r w:rsidRPr="0070247F">
        <w:rPr>
          <w:rFonts w:ascii="Simplified Arabic" w:hAnsi="Simplified Arabic" w:cs="Simplified Arabic" w:hint="cs"/>
          <w:sz w:val="24"/>
          <w:szCs w:val="24"/>
          <w:rtl/>
          <w:lang w:bidi="ar-DZ"/>
        </w:rPr>
        <w:t xml:space="preserve">التفاعل </w:t>
      </w:r>
      <w:r>
        <w:rPr>
          <w:rFonts w:ascii="Simplified Arabic" w:hAnsi="Simplified Arabic" w:cs="Simplified Arabic" w:hint="cs"/>
          <w:sz w:val="24"/>
          <w:szCs w:val="24"/>
          <w:rtl/>
          <w:lang w:bidi="ar-DZ"/>
        </w:rPr>
        <w:t xml:space="preserve">و التدخل </w:t>
      </w:r>
      <w:r w:rsidRPr="0070247F">
        <w:rPr>
          <w:rFonts w:ascii="Simplified Arabic" w:hAnsi="Simplified Arabic" w:cs="Simplified Arabic" w:hint="cs"/>
          <w:sz w:val="24"/>
          <w:szCs w:val="24"/>
          <w:rtl/>
          <w:lang w:bidi="ar-DZ"/>
        </w:rPr>
        <w:t>بكفاءة عالية اثناء وبعد الازمة.</w:t>
      </w:r>
    </w:p>
    <w:p w:rsidR="003E0F31" w:rsidRDefault="003E0F31" w:rsidP="001D0548">
      <w:pPr>
        <w:pStyle w:val="Paragraphedeliste"/>
        <w:numPr>
          <w:ilvl w:val="0"/>
          <w:numId w:val="13"/>
        </w:numPr>
        <w:bidi/>
        <w:spacing w:after="0"/>
        <w:ind w:left="282" w:hanging="284"/>
        <w:jc w:val="both"/>
        <w:rPr>
          <w:rFonts w:ascii="Simplified Arabic" w:hAnsi="Simplified Arabic" w:cs="Simplified Arabic"/>
          <w:sz w:val="24"/>
          <w:szCs w:val="24"/>
          <w:lang w:bidi="ar-DZ"/>
        </w:rPr>
      </w:pPr>
      <w:r w:rsidRPr="009E2C10">
        <w:rPr>
          <w:rFonts w:ascii="Simplified Arabic" w:hAnsi="Simplified Arabic" w:cs="Simplified Arabic" w:hint="cs"/>
          <w:sz w:val="24"/>
          <w:szCs w:val="24"/>
          <w:rtl/>
          <w:lang w:bidi="ar-DZ"/>
        </w:rPr>
        <w:t>فيزيائية البنية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التحتية</w:t>
      </w:r>
      <w:r w:rsidRPr="009E2C10">
        <w:rPr>
          <w:rFonts w:ascii="Simplified Arabic" w:hAnsi="Simplified Arabic" w:cs="Simplified Arabic"/>
          <w:sz w:val="24"/>
          <w:szCs w:val="24"/>
          <w:rtl/>
          <w:lang w:bidi="ar-DZ"/>
        </w:rPr>
        <w:t xml:space="preserve"> </w:t>
      </w:r>
      <w:r w:rsidR="00C67278">
        <w:rPr>
          <w:rFonts w:ascii="Simplified Arabic" w:hAnsi="Simplified Arabic" w:cs="Simplified Arabic" w:hint="cs"/>
          <w:sz w:val="24"/>
          <w:szCs w:val="24"/>
          <w:rtl/>
          <w:lang w:bidi="ar-DZ"/>
        </w:rPr>
        <w:t>''</w:t>
      </w:r>
      <w:r w:rsidRPr="006C70D5">
        <w:rPr>
          <w:rFonts w:asciiTheme="majorBidi" w:hAnsiTheme="majorBidi" w:cstheme="majorBidi"/>
          <w:b/>
          <w:bCs/>
          <w:sz w:val="24"/>
          <w:szCs w:val="24"/>
        </w:rPr>
        <w:t>P</w:t>
      </w:r>
      <w:r w:rsidR="00C6727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CC2651">
        <w:rPr>
          <w:rFonts w:asciiTheme="majorBidi" w:hAnsiTheme="majorBidi" w:cstheme="majorBidi"/>
          <w:sz w:val="20"/>
          <w:szCs w:val="20"/>
          <w:rtl/>
          <w:lang w:bidi="ar-DZ"/>
        </w:rPr>
        <w:t>(</w:t>
      </w:r>
      <w:r w:rsidRPr="00CC2651">
        <w:rPr>
          <w:rFonts w:asciiTheme="majorBidi" w:hAnsiTheme="majorBidi" w:cstheme="majorBidi"/>
          <w:b/>
          <w:bCs/>
          <w:sz w:val="24"/>
          <w:szCs w:val="24"/>
        </w:rPr>
        <w:t>P</w:t>
      </w:r>
      <w:r w:rsidRPr="00CC2651">
        <w:rPr>
          <w:rFonts w:asciiTheme="majorBidi" w:hAnsiTheme="majorBidi" w:cstheme="majorBidi"/>
          <w:sz w:val="20"/>
          <w:szCs w:val="20"/>
        </w:rPr>
        <w:t>hysical Infrastructure</w:t>
      </w:r>
      <w:r w:rsidRPr="00CC2651">
        <w:rPr>
          <w:rFonts w:asciiTheme="majorBidi" w:hAnsiTheme="majorBidi" w:cstheme="majorBidi"/>
          <w:sz w:val="20"/>
          <w:szCs w:val="20"/>
          <w:rtl/>
          <w:lang w:bidi="ar-DZ"/>
        </w:rPr>
        <w:t>)</w:t>
      </w:r>
      <w:r>
        <w:rPr>
          <w:rFonts w:ascii="Simplified Arabic" w:hAnsi="Simplified Arabic" w:cs="Simplified Arabic" w:hint="cs"/>
          <w:sz w:val="24"/>
          <w:szCs w:val="24"/>
          <w:rtl/>
          <w:lang w:bidi="ar-DZ"/>
        </w:rPr>
        <w:t>: يتضن قدرة الخدمات الصحية والانقاذ والامن المرافق العامة على مواجهة الازمة.</w:t>
      </w:r>
    </w:p>
    <w:p w:rsidR="003E0F31" w:rsidRDefault="003E0F31" w:rsidP="001D0548">
      <w:pPr>
        <w:pStyle w:val="Paragraphedeliste"/>
        <w:numPr>
          <w:ilvl w:val="0"/>
          <w:numId w:val="13"/>
        </w:numPr>
        <w:bidi/>
        <w:spacing w:after="0"/>
        <w:ind w:left="282" w:hanging="284"/>
        <w:jc w:val="both"/>
        <w:rPr>
          <w:rFonts w:ascii="Simplified Arabic" w:hAnsi="Simplified Arabic" w:cs="Simplified Arabic"/>
          <w:sz w:val="24"/>
          <w:szCs w:val="24"/>
          <w:lang w:bidi="ar-DZ"/>
        </w:rPr>
      </w:pPr>
      <w:r w:rsidRPr="009E2C10">
        <w:rPr>
          <w:rFonts w:ascii="Simplified Arabic" w:hAnsi="Simplified Arabic" w:cs="Simplified Arabic" w:hint="cs"/>
          <w:sz w:val="24"/>
          <w:szCs w:val="24"/>
          <w:rtl/>
          <w:lang w:bidi="ar-DZ"/>
        </w:rPr>
        <w:t>نمط</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الحياة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وكفاءة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 xml:space="preserve">المجتمع </w:t>
      </w:r>
      <w:r w:rsidR="00C67278">
        <w:rPr>
          <w:rFonts w:ascii="Simplified Arabic" w:hAnsi="Simplified Arabic" w:cs="Simplified Arabic" w:hint="cs"/>
          <w:sz w:val="24"/>
          <w:szCs w:val="24"/>
          <w:rtl/>
          <w:lang w:bidi="ar-DZ"/>
        </w:rPr>
        <w:t>''</w:t>
      </w:r>
      <w:r w:rsidRPr="006C70D5">
        <w:rPr>
          <w:rFonts w:asciiTheme="majorBidi" w:hAnsiTheme="majorBidi" w:cstheme="majorBidi"/>
          <w:b/>
          <w:bCs/>
          <w:sz w:val="24"/>
          <w:szCs w:val="24"/>
        </w:rPr>
        <w:t>L</w:t>
      </w:r>
      <w:r w:rsidR="00C6727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D30D70">
        <w:rPr>
          <w:rFonts w:asciiTheme="majorBidi" w:hAnsiTheme="majorBidi" w:cstheme="majorBidi" w:hint="cs"/>
          <w:sz w:val="20"/>
          <w:szCs w:val="20"/>
          <w:rtl/>
        </w:rPr>
        <w:t>(</w:t>
      </w:r>
      <w:r w:rsidRPr="00C67278">
        <w:rPr>
          <w:rFonts w:asciiTheme="majorBidi" w:hAnsiTheme="majorBidi" w:cstheme="majorBidi"/>
          <w:b/>
          <w:bCs/>
          <w:sz w:val="24"/>
          <w:szCs w:val="24"/>
          <w:lang w:val="en-US"/>
        </w:rPr>
        <w:t>L</w:t>
      </w:r>
      <w:r w:rsidRPr="00C67278">
        <w:rPr>
          <w:rFonts w:asciiTheme="majorBidi" w:hAnsiTheme="majorBidi" w:cstheme="majorBidi"/>
          <w:sz w:val="20"/>
          <w:szCs w:val="20"/>
          <w:lang w:val="en-US"/>
        </w:rPr>
        <w:t>ifestyle</w:t>
      </w:r>
      <w:r w:rsidRPr="00D30D70">
        <w:rPr>
          <w:rFonts w:asciiTheme="majorBidi" w:hAnsiTheme="majorBidi" w:cstheme="majorBidi"/>
          <w:sz w:val="20"/>
          <w:szCs w:val="20"/>
        </w:rPr>
        <w:t xml:space="preserve"> and </w:t>
      </w:r>
      <w:r w:rsidRPr="00C67278">
        <w:rPr>
          <w:rFonts w:asciiTheme="majorBidi" w:hAnsiTheme="majorBidi" w:cstheme="majorBidi"/>
          <w:sz w:val="20"/>
          <w:szCs w:val="20"/>
          <w:lang w:val="en-US"/>
        </w:rPr>
        <w:t>Community</w:t>
      </w:r>
      <w:r w:rsidRPr="00D30D70">
        <w:rPr>
          <w:rFonts w:asciiTheme="majorBidi" w:hAnsiTheme="majorBidi" w:cstheme="majorBidi"/>
          <w:sz w:val="20"/>
          <w:szCs w:val="20"/>
        </w:rPr>
        <w:t xml:space="preserve"> </w:t>
      </w:r>
      <w:r w:rsidRPr="00C67278">
        <w:rPr>
          <w:rFonts w:asciiTheme="majorBidi" w:hAnsiTheme="majorBidi" w:cstheme="majorBidi"/>
          <w:sz w:val="20"/>
          <w:szCs w:val="20"/>
          <w:lang w:val="en-US"/>
        </w:rPr>
        <w:t>Competence</w:t>
      </w:r>
      <w:r w:rsidRPr="00D30D70">
        <w:rPr>
          <w:rFonts w:asciiTheme="majorBidi" w:hAnsiTheme="majorBidi" w:cstheme="majorBidi" w:hint="cs"/>
          <w:sz w:val="20"/>
          <w:szCs w:val="20"/>
          <w:rtl/>
        </w:rPr>
        <w:t>)</w:t>
      </w:r>
      <w:r>
        <w:rPr>
          <w:rFonts w:ascii="Simplified Arabic" w:hAnsi="Simplified Arabic" w:cs="Simplified Arabic" w:hint="cs"/>
          <w:sz w:val="24"/>
          <w:szCs w:val="24"/>
          <w:rtl/>
          <w:lang w:bidi="ar-DZ"/>
        </w:rPr>
        <w:t xml:space="preserve">: </w:t>
      </w:r>
      <w:r w:rsidRPr="00C54D20">
        <w:rPr>
          <w:rFonts w:ascii="Simplified Arabic" w:hAnsi="Simplified Arabic" w:cs="Simplified Arabic" w:hint="cs"/>
          <w:sz w:val="24"/>
          <w:szCs w:val="24"/>
          <w:rtl/>
          <w:lang w:bidi="ar-DZ"/>
        </w:rPr>
        <w:t>يميز</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الوعي</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بالمخاطر</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المحتملة،</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والتضامن</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المجتمعي،</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والمساعدة</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المتبادلة</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وقدرتهم</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على</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الإبداع</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في</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حالات</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الأزمات</w:t>
      </w:r>
      <w:r>
        <w:rPr>
          <w:rFonts w:ascii="Simplified Arabic" w:hAnsi="Simplified Arabic" w:cs="Simplified Arabic" w:hint="cs"/>
          <w:sz w:val="24"/>
          <w:szCs w:val="24"/>
          <w:rtl/>
          <w:lang w:bidi="ar-DZ"/>
        </w:rPr>
        <w:t>.</w:t>
      </w:r>
    </w:p>
    <w:p w:rsidR="003E0F31" w:rsidRDefault="003E0F31" w:rsidP="001D0548">
      <w:pPr>
        <w:pStyle w:val="Paragraphedeliste"/>
        <w:numPr>
          <w:ilvl w:val="0"/>
          <w:numId w:val="13"/>
        </w:numPr>
        <w:bidi/>
        <w:spacing w:after="0"/>
        <w:ind w:left="282" w:hanging="284"/>
        <w:jc w:val="both"/>
        <w:rPr>
          <w:rFonts w:ascii="Simplified Arabic" w:hAnsi="Simplified Arabic" w:cs="Simplified Arabic"/>
          <w:sz w:val="24"/>
          <w:szCs w:val="24"/>
          <w:lang w:bidi="ar-DZ"/>
        </w:rPr>
      </w:pPr>
      <w:r w:rsidRPr="009E2C10">
        <w:rPr>
          <w:rFonts w:ascii="Simplified Arabic" w:hAnsi="Simplified Arabic" w:cs="Simplified Arabic" w:hint="cs"/>
          <w:sz w:val="24"/>
          <w:szCs w:val="24"/>
          <w:rtl/>
          <w:lang w:bidi="ar-DZ"/>
        </w:rPr>
        <w:t>التنمية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 xml:space="preserve">الاقتصادية </w:t>
      </w:r>
      <w:r w:rsidR="00C67278">
        <w:rPr>
          <w:rFonts w:ascii="Simplified Arabic" w:hAnsi="Simplified Arabic" w:cs="Simplified Arabic" w:hint="cs"/>
          <w:sz w:val="24"/>
          <w:szCs w:val="24"/>
          <w:rtl/>
          <w:lang w:bidi="ar-DZ"/>
        </w:rPr>
        <w:t>''</w:t>
      </w:r>
      <w:r w:rsidRPr="006C70D5">
        <w:rPr>
          <w:rFonts w:asciiTheme="majorBidi" w:hAnsiTheme="majorBidi" w:cstheme="majorBidi"/>
          <w:b/>
          <w:bCs/>
          <w:sz w:val="24"/>
          <w:szCs w:val="24"/>
        </w:rPr>
        <w:t>E</w:t>
      </w:r>
      <w:r w:rsidR="00C6727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D30D70">
        <w:rPr>
          <w:rFonts w:asciiTheme="majorBidi" w:hAnsiTheme="majorBidi" w:cstheme="majorBidi" w:hint="cs"/>
          <w:sz w:val="20"/>
          <w:szCs w:val="20"/>
          <w:rtl/>
        </w:rPr>
        <w:t>(</w:t>
      </w:r>
      <w:r w:rsidRPr="00C67278">
        <w:rPr>
          <w:rFonts w:asciiTheme="majorBidi" w:hAnsiTheme="majorBidi" w:cstheme="majorBidi"/>
          <w:b/>
          <w:bCs/>
          <w:sz w:val="24"/>
          <w:szCs w:val="24"/>
          <w:lang w:val="en-US"/>
        </w:rPr>
        <w:t>E</w:t>
      </w:r>
      <w:r w:rsidRPr="00C67278">
        <w:rPr>
          <w:rFonts w:asciiTheme="majorBidi" w:hAnsiTheme="majorBidi" w:cstheme="majorBidi"/>
          <w:sz w:val="20"/>
          <w:szCs w:val="20"/>
          <w:lang w:val="en-US"/>
        </w:rPr>
        <w:t>conomic</w:t>
      </w:r>
      <w:r w:rsidRPr="00D30D70">
        <w:rPr>
          <w:rFonts w:asciiTheme="majorBidi" w:hAnsiTheme="majorBidi" w:cstheme="majorBidi"/>
          <w:sz w:val="20"/>
          <w:szCs w:val="20"/>
        </w:rPr>
        <w:t xml:space="preserve"> </w:t>
      </w:r>
      <w:r w:rsidRPr="00C67278">
        <w:rPr>
          <w:rFonts w:asciiTheme="majorBidi" w:hAnsiTheme="majorBidi" w:cstheme="majorBidi"/>
          <w:sz w:val="20"/>
          <w:szCs w:val="20"/>
          <w:lang w:val="en-US"/>
        </w:rPr>
        <w:t>Development</w:t>
      </w:r>
      <w:r w:rsidRPr="00D30D70">
        <w:rPr>
          <w:rFonts w:asciiTheme="majorBidi" w:hAnsiTheme="majorBidi" w:cstheme="majorBidi" w:hint="cs"/>
          <w:sz w:val="20"/>
          <w:szCs w:val="20"/>
          <w:rtl/>
        </w:rPr>
        <w:t>)</w:t>
      </w:r>
      <w:r>
        <w:rPr>
          <w:rFonts w:ascii="Simplified Arabic" w:hAnsi="Simplified Arabic" w:cs="Simplified Arabic" w:hint="cs"/>
          <w:sz w:val="24"/>
          <w:szCs w:val="24"/>
          <w:rtl/>
          <w:lang w:bidi="ar-DZ"/>
        </w:rPr>
        <w:t>:</w:t>
      </w:r>
      <w:r w:rsidRPr="009E2C1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w:t>
      </w:r>
      <w:r w:rsidRPr="00C54D20">
        <w:rPr>
          <w:rFonts w:ascii="Simplified Arabic" w:hAnsi="Simplified Arabic" w:cs="Simplified Arabic" w:hint="cs"/>
          <w:sz w:val="24"/>
          <w:szCs w:val="24"/>
          <w:rtl/>
          <w:lang w:bidi="ar-DZ"/>
        </w:rPr>
        <w:t>شمل</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التنمية</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الاقتصادية</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للمجتمع</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في</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كل</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ما</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يتعلق</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بقدرته</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على</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إنتاج</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السلع</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والخدمات</w:t>
      </w:r>
      <w:r w:rsidRPr="00C54D20">
        <w:rPr>
          <w:rFonts w:ascii="Simplified Arabic" w:hAnsi="Simplified Arabic" w:cs="Simplified Arabic"/>
          <w:sz w:val="24"/>
          <w:szCs w:val="24"/>
          <w:rtl/>
          <w:lang w:bidi="ar-DZ"/>
        </w:rPr>
        <w:t>.</w:t>
      </w:r>
    </w:p>
    <w:p w:rsidR="003E0F31" w:rsidRDefault="003E0F31" w:rsidP="001D0548">
      <w:pPr>
        <w:pStyle w:val="Paragraphedeliste"/>
        <w:numPr>
          <w:ilvl w:val="0"/>
          <w:numId w:val="13"/>
        </w:numPr>
        <w:bidi/>
        <w:spacing w:after="0"/>
        <w:ind w:left="282" w:hanging="284"/>
        <w:jc w:val="both"/>
        <w:rPr>
          <w:rFonts w:ascii="Simplified Arabic" w:hAnsi="Simplified Arabic" w:cs="Simplified Arabic"/>
          <w:sz w:val="24"/>
          <w:szCs w:val="24"/>
          <w:lang w:bidi="ar-DZ"/>
        </w:rPr>
      </w:pPr>
      <w:r w:rsidRPr="009E2C10">
        <w:rPr>
          <w:rFonts w:ascii="Simplified Arabic" w:hAnsi="Simplified Arabic" w:cs="Simplified Arabic" w:hint="cs"/>
          <w:sz w:val="24"/>
          <w:szCs w:val="24"/>
          <w:rtl/>
          <w:lang w:bidi="ar-DZ"/>
        </w:rPr>
        <w:t>رأس</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المال</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 xml:space="preserve">الاجتماعي-الثقافي </w:t>
      </w:r>
      <w:r w:rsidRPr="009E2C10">
        <w:rPr>
          <w:rFonts w:ascii="Simplified Arabic" w:hAnsi="Simplified Arabic" w:cs="Simplified Arabic"/>
          <w:sz w:val="24"/>
          <w:szCs w:val="24"/>
          <w:rtl/>
          <w:lang w:bidi="ar-DZ"/>
        </w:rPr>
        <w:t>"</w:t>
      </w:r>
      <w:r w:rsidRPr="006C70D5">
        <w:rPr>
          <w:rFonts w:asciiTheme="majorBidi" w:hAnsiTheme="majorBidi" w:cstheme="majorBidi"/>
          <w:b/>
          <w:bCs/>
          <w:sz w:val="24"/>
          <w:szCs w:val="24"/>
        </w:rPr>
        <w:t>S</w:t>
      </w:r>
      <w:r w:rsidRPr="009E2C1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D30D70">
        <w:rPr>
          <w:rFonts w:asciiTheme="majorBidi" w:hAnsiTheme="majorBidi" w:cstheme="majorBidi" w:hint="cs"/>
          <w:sz w:val="20"/>
          <w:szCs w:val="20"/>
          <w:rtl/>
        </w:rPr>
        <w:t>(</w:t>
      </w:r>
      <w:r w:rsidRPr="00D30D70">
        <w:rPr>
          <w:rFonts w:asciiTheme="majorBidi" w:hAnsiTheme="majorBidi" w:cstheme="majorBidi"/>
          <w:b/>
          <w:bCs/>
          <w:sz w:val="24"/>
          <w:szCs w:val="24"/>
        </w:rPr>
        <w:t>S</w:t>
      </w:r>
      <w:r w:rsidRPr="00D30D70">
        <w:rPr>
          <w:rFonts w:asciiTheme="majorBidi" w:hAnsiTheme="majorBidi" w:cstheme="majorBidi"/>
          <w:sz w:val="20"/>
          <w:szCs w:val="20"/>
        </w:rPr>
        <w:t>ocial-Cultural Capital</w:t>
      </w:r>
      <w:r w:rsidRPr="00D30D70">
        <w:rPr>
          <w:rFonts w:asciiTheme="majorBidi" w:hAnsiTheme="majorBidi" w:cstheme="majorBidi" w:hint="cs"/>
          <w:sz w:val="20"/>
          <w:szCs w:val="20"/>
          <w:rtl/>
        </w:rPr>
        <w:t>)</w:t>
      </w:r>
      <w:r>
        <w:rPr>
          <w:rFonts w:ascii="Simplified Arabic" w:hAnsi="Simplified Arabic" w:cs="Simplified Arabic" w:hint="cs"/>
          <w:sz w:val="24"/>
          <w:szCs w:val="24"/>
          <w:rtl/>
          <w:lang w:bidi="ar-DZ"/>
        </w:rPr>
        <w:t xml:space="preserve">: </w:t>
      </w:r>
      <w:r w:rsidRPr="00C54D20">
        <w:rPr>
          <w:rFonts w:ascii="Simplified Arabic" w:hAnsi="Simplified Arabic" w:cs="Simplified Arabic" w:hint="cs"/>
          <w:sz w:val="24"/>
          <w:szCs w:val="24"/>
          <w:rtl/>
          <w:lang w:bidi="ar-DZ"/>
        </w:rPr>
        <w:t>يدمج</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رأس</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المال</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الاجتماعي</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والثقافي</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بالمعنى</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الواسع</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للمجتمع،</w:t>
      </w:r>
      <w:r w:rsidRPr="00C54D2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بداية </w:t>
      </w:r>
      <w:r w:rsidRPr="00C54D20">
        <w:rPr>
          <w:rFonts w:ascii="Simplified Arabic" w:hAnsi="Simplified Arabic" w:cs="Simplified Arabic" w:hint="cs"/>
          <w:sz w:val="24"/>
          <w:szCs w:val="24"/>
          <w:rtl/>
          <w:lang w:bidi="ar-DZ"/>
        </w:rPr>
        <w:t>من</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نظام</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التعليم،</w:t>
      </w:r>
      <w:r w:rsidRPr="00C54D2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مرورا</w:t>
      </w:r>
      <w:r w:rsidRPr="00C54D2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ب</w:t>
      </w:r>
      <w:r w:rsidRPr="00C54D20">
        <w:rPr>
          <w:rFonts w:ascii="Simplified Arabic" w:hAnsi="Simplified Arabic" w:cs="Simplified Arabic" w:hint="cs"/>
          <w:sz w:val="24"/>
          <w:szCs w:val="24"/>
          <w:rtl/>
          <w:lang w:bidi="ar-DZ"/>
        </w:rPr>
        <w:t>المجتمعات</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الدينية</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أو</w:t>
      </w:r>
      <w:r w:rsidRPr="00C54D20">
        <w:rPr>
          <w:rFonts w:ascii="Simplified Arabic" w:hAnsi="Simplified Arabic" w:cs="Simplified Arabic"/>
          <w:sz w:val="24"/>
          <w:szCs w:val="24"/>
          <w:rtl/>
          <w:lang w:bidi="ar-DZ"/>
        </w:rPr>
        <w:t xml:space="preserve"> </w:t>
      </w:r>
      <w:r w:rsidRPr="00C54D20">
        <w:rPr>
          <w:rFonts w:ascii="Simplified Arabic" w:hAnsi="Simplified Arabic" w:cs="Simplified Arabic" w:hint="cs"/>
          <w:sz w:val="24"/>
          <w:szCs w:val="24"/>
          <w:rtl/>
          <w:lang w:bidi="ar-DZ"/>
        </w:rPr>
        <w:t>الحياة</w:t>
      </w:r>
      <w:r w:rsidRPr="00C54D2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الجمعوية</w:t>
      </w:r>
      <w:r w:rsidRPr="00C54D20">
        <w:rPr>
          <w:rFonts w:ascii="Simplified Arabic" w:hAnsi="Simplified Arabic" w:cs="Simplified Arabic"/>
          <w:sz w:val="24"/>
          <w:szCs w:val="24"/>
          <w:rtl/>
          <w:lang w:bidi="ar-DZ"/>
        </w:rPr>
        <w:t>.</w:t>
      </w:r>
    </w:p>
    <w:p w:rsidR="00622171" w:rsidRDefault="003E0F31" w:rsidP="00622171">
      <w:pPr>
        <w:bidi/>
        <w:spacing w:after="0"/>
        <w:ind w:left="-2" w:firstLine="284"/>
        <w:jc w:val="both"/>
        <w:rPr>
          <w:rFonts w:ascii="Simplified Arabic" w:hAnsi="Simplified Arabic" w:cs="Simplified Arabic"/>
          <w:sz w:val="24"/>
          <w:szCs w:val="24"/>
          <w:rtl/>
          <w:lang w:bidi="ar-DZ"/>
        </w:rPr>
      </w:pP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يقترح</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إطار</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عمل</w:t>
      </w:r>
      <w:r w:rsidRPr="009E2C10">
        <w:rPr>
          <w:rFonts w:ascii="Simplified Arabic" w:hAnsi="Simplified Arabic" w:cs="Simplified Arabic"/>
          <w:sz w:val="24"/>
          <w:szCs w:val="24"/>
          <w:rtl/>
          <w:lang w:bidi="ar-DZ"/>
        </w:rPr>
        <w:t xml:space="preserve"> "</w:t>
      </w:r>
      <w:r w:rsidRPr="009E2C10">
        <w:rPr>
          <w:rFonts w:asciiTheme="majorBidi" w:hAnsiTheme="majorBidi" w:cstheme="majorBidi"/>
          <w:sz w:val="24"/>
          <w:szCs w:val="24"/>
        </w:rPr>
        <w:t>PEOPLES</w:t>
      </w:r>
      <w:r w:rsidRPr="009E2C10">
        <w:rPr>
          <w:rFonts w:ascii="Simplified Arabic" w:hAnsi="Simplified Arabic" w:cs="Simplified Arabic"/>
          <w:sz w:val="24"/>
          <w:szCs w:val="24"/>
          <w:rtl/>
          <w:lang w:bidi="ar-DZ"/>
        </w:rPr>
        <w:t>"</w:t>
      </w:r>
      <w:r w:rsidRPr="009E2C10">
        <w:rPr>
          <w:rFonts w:ascii="Simplified Arabic" w:hAnsi="Simplified Arabic" w:cs="Simplified Arabic" w:hint="cs"/>
          <w:sz w:val="24"/>
          <w:szCs w:val="24"/>
          <w:rtl/>
          <w:lang w:bidi="ar-DZ"/>
        </w:rPr>
        <w:t xml:space="preserve"> أساسًا</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لتطوير</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نماذج</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كمية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ونوعية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أخرى</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بمزيج</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مع</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أي</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من</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هذه</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الأبعاد</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السبعة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أو</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كل</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منها</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لقياس</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مرونة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المجتمعات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في</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مواجهة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الكوارث</w:t>
      </w:r>
      <w:r w:rsidRPr="009E2C10">
        <w:rPr>
          <w:rFonts w:asciiTheme="minorBidi" w:hAnsiTheme="minorBidi" w:cs="Arial"/>
          <w:sz w:val="24"/>
          <w:szCs w:val="24"/>
          <w:rtl/>
          <w:lang w:bidi="ar-DZ"/>
        </w:rPr>
        <w:t xml:space="preserve"> </w:t>
      </w:r>
      <w:r w:rsidRPr="009E2C10">
        <w:rPr>
          <w:rFonts w:asciiTheme="majorBidi" w:hAnsiTheme="majorBidi" w:cstheme="majorBidi"/>
          <w:sz w:val="24"/>
          <w:szCs w:val="24"/>
        </w:rPr>
        <w:t>(</w:t>
      </w:r>
      <w:r w:rsidRPr="00206B59">
        <w:rPr>
          <w:rFonts w:asciiTheme="majorBidi" w:hAnsiTheme="majorBidi" w:cstheme="majorBidi"/>
          <w:sz w:val="24"/>
          <w:szCs w:val="24"/>
        </w:rPr>
        <w:t>Renschler</w:t>
      </w:r>
      <w:r w:rsidRPr="009E2C10">
        <w:rPr>
          <w:rFonts w:asciiTheme="majorBidi" w:hAnsiTheme="majorBidi" w:cstheme="majorBidi"/>
          <w:sz w:val="24"/>
          <w:szCs w:val="24"/>
        </w:rPr>
        <w:t xml:space="preserve"> et al., </w:t>
      </w:r>
      <w:r w:rsidR="001C401E">
        <w:rPr>
          <w:rFonts w:asciiTheme="majorBidi" w:hAnsiTheme="majorBidi" w:cstheme="majorBidi"/>
          <w:sz w:val="24"/>
          <w:szCs w:val="24"/>
        </w:rPr>
        <w:t>2010</w:t>
      </w:r>
      <w:r w:rsidRPr="009E2C10">
        <w:rPr>
          <w:rFonts w:asciiTheme="majorBidi" w:hAnsiTheme="majorBidi" w:cstheme="majorBidi"/>
          <w:sz w:val="24"/>
          <w:szCs w:val="24"/>
        </w:rPr>
        <w:t>)</w:t>
      </w:r>
      <w:r w:rsidRPr="009E2C10">
        <w:rPr>
          <w:rFonts w:ascii="Simplified Arabic" w:hAnsi="Simplified Arabic" w:cs="Simplified Arabic"/>
          <w:sz w:val="24"/>
          <w:szCs w:val="24"/>
          <w:rtl/>
          <w:lang w:bidi="ar-DZ"/>
        </w:rPr>
        <w:t>.</w:t>
      </w:r>
      <w:r w:rsidRPr="009E2C10">
        <w:rPr>
          <w:rFonts w:asciiTheme="minorBidi" w:hAnsiTheme="minorBidi" w:cs="Arial"/>
          <w:sz w:val="24"/>
          <w:szCs w:val="24"/>
          <w:rtl/>
          <w:lang w:bidi="ar-DZ"/>
        </w:rPr>
        <w:t xml:space="preserve"> </w:t>
      </w:r>
      <w:r w:rsidRPr="009E2C10">
        <w:rPr>
          <w:rFonts w:ascii="Simplified Arabic" w:hAnsi="Simplified Arabic" w:cs="Simplified Arabic" w:hint="cs"/>
          <w:sz w:val="24"/>
          <w:szCs w:val="24"/>
          <w:rtl/>
          <w:lang w:bidi="ar-DZ"/>
        </w:rPr>
        <w:t>يستخدم</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نموذج</w:t>
      </w:r>
      <w:r w:rsidRPr="009E2C10">
        <w:rPr>
          <w:rFonts w:asciiTheme="minorBidi" w:hAnsiTheme="minorBidi" w:cs="Arial"/>
          <w:sz w:val="24"/>
          <w:szCs w:val="24"/>
          <w:rtl/>
          <w:lang w:bidi="ar-DZ"/>
        </w:rPr>
        <w:t xml:space="preserve"> "</w:t>
      </w:r>
      <w:r w:rsidRPr="009E2C10">
        <w:rPr>
          <w:rFonts w:asciiTheme="majorBidi" w:hAnsiTheme="majorBidi" w:cstheme="majorBidi"/>
          <w:sz w:val="24"/>
          <w:szCs w:val="24"/>
        </w:rPr>
        <w:t>PEOPLES</w:t>
      </w:r>
      <w:r w:rsidRPr="009E2C10">
        <w:rPr>
          <w:rFonts w:asciiTheme="minorBidi" w:hAnsiTheme="minorBidi" w:cs="Arial"/>
          <w:sz w:val="24"/>
          <w:szCs w:val="24"/>
          <w:rtl/>
          <w:lang w:bidi="ar-DZ"/>
        </w:rPr>
        <w:t>"</w:t>
      </w:r>
      <w:r w:rsidRPr="009E2C10">
        <w:rPr>
          <w:rFonts w:asciiTheme="minorBidi" w:hAnsiTheme="minorBidi" w:cs="Arial" w:hint="cs"/>
          <w:sz w:val="24"/>
          <w:szCs w:val="24"/>
          <w:rtl/>
          <w:lang w:bidi="ar-DZ"/>
        </w:rPr>
        <w:t xml:space="preserve"> </w:t>
      </w:r>
      <w:r w:rsidRPr="009E2C10">
        <w:rPr>
          <w:rFonts w:ascii="Simplified Arabic" w:hAnsi="Simplified Arabic" w:cs="Simplified Arabic" w:hint="cs"/>
          <w:sz w:val="24"/>
          <w:szCs w:val="24"/>
          <w:rtl/>
          <w:lang w:bidi="ar-DZ"/>
        </w:rPr>
        <w:t>التوزيع</w:t>
      </w:r>
      <w:r w:rsidRPr="009E2C10">
        <w:rPr>
          <w:rFonts w:ascii="Simplified Arabic" w:hAnsi="Simplified Arabic" w:cs="Simplified Arabic"/>
          <w:sz w:val="24"/>
          <w:szCs w:val="24"/>
          <w:rtl/>
          <w:lang w:bidi="ar-DZ"/>
        </w:rPr>
        <w:t xml:space="preserve"> </w:t>
      </w:r>
      <w:r w:rsidR="00C67278">
        <w:rPr>
          <w:rFonts w:ascii="Simplified Arabic" w:hAnsi="Simplified Arabic" w:cs="Simplified Arabic" w:hint="cs"/>
          <w:sz w:val="24"/>
          <w:szCs w:val="24"/>
          <w:rtl/>
          <w:lang w:bidi="ar-DZ"/>
        </w:rPr>
        <w:t>ال</w:t>
      </w:r>
      <w:r w:rsidRPr="009E2C10">
        <w:rPr>
          <w:rFonts w:ascii="Simplified Arabic" w:hAnsi="Simplified Arabic" w:cs="Simplified Arabic" w:hint="cs"/>
          <w:sz w:val="24"/>
          <w:szCs w:val="24"/>
          <w:rtl/>
          <w:lang w:bidi="ar-DZ"/>
        </w:rPr>
        <w:t>جيو-مكان</w:t>
      </w:r>
      <w:r w:rsidRPr="009E2C10">
        <w:rPr>
          <w:rFonts w:ascii="Simplified Arabic" w:hAnsi="Simplified Arabic" w:cs="Simplified Arabic"/>
          <w:sz w:val="24"/>
          <w:szCs w:val="24"/>
          <w:rtl/>
          <w:lang w:bidi="ar-DZ"/>
        </w:rPr>
        <w:t>-</w:t>
      </w:r>
      <w:r w:rsidRPr="009E2C10">
        <w:rPr>
          <w:rFonts w:ascii="Simplified Arabic" w:hAnsi="Simplified Arabic" w:cs="Simplified Arabic" w:hint="cs"/>
          <w:sz w:val="24"/>
          <w:szCs w:val="24"/>
          <w:rtl/>
          <w:lang w:bidi="ar-DZ"/>
        </w:rPr>
        <w:t>زماني</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ضمن</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حدود</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تأثيره</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لتحديد</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مكونات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الوظيفة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 xml:space="preserve">يصف </w:t>
      </w:r>
      <w:r w:rsidRPr="009E2C10">
        <w:rPr>
          <w:rFonts w:ascii="Simplified Arabic" w:hAnsi="Simplified Arabic" w:cs="Simplified Arabic"/>
          <w:color w:val="000000"/>
          <w:sz w:val="24"/>
          <w:szCs w:val="24"/>
          <w:rtl/>
        </w:rPr>
        <w:t xml:space="preserve">الشكل </w:t>
      </w:r>
      <w:r w:rsidRPr="009E2C10">
        <w:rPr>
          <w:rFonts w:ascii="Simplified Arabic" w:hAnsi="Simplified Arabic" w:cs="Simplified Arabic" w:hint="cs"/>
          <w:color w:val="000000"/>
          <w:sz w:val="24"/>
          <w:szCs w:val="24"/>
          <w:rtl/>
        </w:rPr>
        <w:t>(</w:t>
      </w:r>
      <w:r w:rsidR="00D036AA">
        <w:rPr>
          <w:rFonts w:ascii="Simplified Arabic" w:hAnsi="Simplified Arabic" w:cs="Simplified Arabic" w:hint="cs"/>
          <w:color w:val="000000"/>
          <w:sz w:val="24"/>
          <w:szCs w:val="24"/>
          <w:rtl/>
        </w:rPr>
        <w:t>2-3</w:t>
      </w:r>
      <w:r w:rsidRPr="009E2C10">
        <w:rPr>
          <w:rFonts w:ascii="Simplified Arabic" w:hAnsi="Simplified Arabic" w:cs="Simplified Arabic" w:hint="cs"/>
          <w:color w:val="000000"/>
          <w:sz w:val="24"/>
          <w:szCs w:val="24"/>
          <w:rtl/>
        </w:rPr>
        <w:t>)</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الأبعاد</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المرتبطة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بإطار</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عمل</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المرونة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لدى</w:t>
      </w:r>
      <w:r w:rsidRPr="009E2C10">
        <w:rPr>
          <w:rFonts w:asciiTheme="minorBidi" w:hAnsiTheme="minorBidi" w:cs="Arial"/>
          <w:sz w:val="24"/>
          <w:szCs w:val="24"/>
          <w:rtl/>
          <w:lang w:bidi="ar-DZ"/>
        </w:rPr>
        <w:t xml:space="preserve"> "</w:t>
      </w:r>
      <w:r w:rsidRPr="009E2C10">
        <w:rPr>
          <w:rFonts w:asciiTheme="majorBidi" w:hAnsiTheme="majorBidi" w:cstheme="majorBidi"/>
          <w:sz w:val="24"/>
          <w:szCs w:val="24"/>
        </w:rPr>
        <w:t>PEOPLES</w:t>
      </w:r>
      <w:r w:rsidRPr="009E2C10">
        <w:rPr>
          <w:rFonts w:asciiTheme="minorBidi" w:hAnsiTheme="minorBidi" w:cs="Arial"/>
          <w:sz w:val="24"/>
          <w:szCs w:val="24"/>
          <w:rtl/>
          <w:lang w:bidi="ar-DZ"/>
        </w:rPr>
        <w:t>"</w:t>
      </w:r>
      <w:r w:rsidRPr="009E2C10">
        <w:rPr>
          <w:rFonts w:asciiTheme="minorBidi" w:hAnsiTheme="minorBidi" w:cs="Arial" w:hint="cs"/>
          <w:sz w:val="24"/>
          <w:szCs w:val="24"/>
          <w:rtl/>
          <w:lang w:bidi="ar-DZ"/>
        </w:rPr>
        <w:t xml:space="preserve"> </w:t>
      </w:r>
      <w:r w:rsidRPr="009E2C10">
        <w:rPr>
          <w:rFonts w:ascii="Simplified Arabic" w:hAnsi="Simplified Arabic" w:cs="Simplified Arabic" w:hint="cs"/>
          <w:sz w:val="24"/>
          <w:szCs w:val="24"/>
          <w:rtl/>
          <w:lang w:bidi="ar-DZ"/>
        </w:rPr>
        <w:t>وبعض</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مؤشراتهم</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المحتملة</w:t>
      </w:r>
      <w:r w:rsidRPr="009E2C10">
        <w:rPr>
          <w:rFonts w:ascii="Simplified Arabic" w:hAnsi="Simplified Arabic" w:cs="Simplified Arabic"/>
          <w:sz w:val="24"/>
          <w:szCs w:val="24"/>
          <w:rtl/>
          <w:lang w:bidi="ar-DZ"/>
        </w:rPr>
        <w:t>.</w:t>
      </w:r>
      <w:r w:rsidRPr="009E2C10">
        <w:rPr>
          <w:rFonts w:ascii="Simplified Arabic" w:hAnsi="Simplified Arabic" w:cs="Simplified Arabic" w:hint="cs"/>
          <w:sz w:val="24"/>
          <w:szCs w:val="24"/>
          <w:rtl/>
          <w:lang w:bidi="ar-DZ"/>
        </w:rPr>
        <w:t xml:space="preserve"> لذل</w:t>
      </w:r>
      <w:r>
        <w:rPr>
          <w:rFonts w:ascii="Simplified Arabic" w:hAnsi="Simplified Arabic" w:cs="Simplified Arabic" w:hint="cs"/>
          <w:sz w:val="24"/>
          <w:szCs w:val="24"/>
          <w:rtl/>
          <w:lang w:bidi="ar-DZ"/>
        </w:rPr>
        <w:t>ك</w:t>
      </w:r>
      <w:r w:rsidRPr="009E2C10">
        <w:rPr>
          <w:rFonts w:ascii="Simplified Arabic" w:hAnsi="Simplified Arabic" w:cs="Simplified Arabic" w:hint="cs"/>
          <w:sz w:val="24"/>
          <w:szCs w:val="24"/>
          <w:rtl/>
          <w:lang w:bidi="ar-DZ"/>
        </w:rPr>
        <w:t xml:space="preserve">، يمثل اطار عمل المرونة </w:t>
      </w:r>
      <w:r w:rsidRPr="009E2C10">
        <w:rPr>
          <w:rFonts w:asciiTheme="majorBidi" w:hAnsiTheme="majorBidi" w:cstheme="majorBidi"/>
          <w:color w:val="262626"/>
          <w:sz w:val="24"/>
          <w:szCs w:val="24"/>
          <w:rtl/>
          <w:lang w:val="en-US"/>
        </w:rPr>
        <w:t>"</w:t>
      </w:r>
      <w:r w:rsidRPr="009E2C10">
        <w:rPr>
          <w:rFonts w:asciiTheme="majorBidi" w:hAnsiTheme="majorBidi" w:cstheme="majorBidi"/>
          <w:sz w:val="24"/>
          <w:szCs w:val="24"/>
        </w:rPr>
        <w:t>PEOPLES</w:t>
      </w:r>
      <w:r w:rsidRPr="009E2C10">
        <w:rPr>
          <w:rFonts w:asciiTheme="majorBidi" w:hAnsiTheme="majorBidi" w:cstheme="majorBidi"/>
          <w:color w:val="262626"/>
          <w:sz w:val="24"/>
          <w:szCs w:val="24"/>
          <w:rtl/>
          <w:lang w:val="en-US"/>
        </w:rPr>
        <w:t>"</w:t>
      </w:r>
      <w:r w:rsidRPr="009E2C10">
        <w:rPr>
          <w:rFonts w:ascii="Simplified Arabic" w:hAnsi="Simplified Arabic" w:cs="Simplified Arabic" w:hint="cs"/>
          <w:sz w:val="24"/>
          <w:szCs w:val="24"/>
          <w:rtl/>
          <w:lang w:bidi="ar-DZ"/>
        </w:rPr>
        <w:t xml:space="preserve"> نقطة انطلاق</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بناء</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نموذج</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مفاهيمي</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وبناء</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مؤشرات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قياس المرونة</w:t>
      </w:r>
      <w:r w:rsidRPr="009E2C10">
        <w:rPr>
          <w:rFonts w:ascii="Simplified Arabic" w:hAnsi="Simplified Arabic" w:cs="Simplified Arabic"/>
          <w:sz w:val="24"/>
          <w:szCs w:val="24"/>
          <w:rtl/>
          <w:lang w:bidi="ar-DZ"/>
        </w:rPr>
        <w:t>.</w:t>
      </w:r>
      <w:r w:rsidRPr="009E2C10">
        <w:rPr>
          <w:rFonts w:ascii="Simplified Arabic" w:hAnsi="Simplified Arabic" w:cs="Simplified Arabic" w:hint="cs"/>
          <w:sz w:val="24"/>
          <w:szCs w:val="24"/>
          <w:rtl/>
          <w:lang w:bidi="ar-DZ"/>
        </w:rPr>
        <w:t xml:space="preserve"> </w:t>
      </w:r>
    </w:p>
    <w:p w:rsidR="003E0F31" w:rsidRDefault="003E0F31" w:rsidP="00622171">
      <w:pPr>
        <w:bidi/>
        <w:spacing w:after="0"/>
        <w:ind w:left="-2" w:firstLine="284"/>
        <w:jc w:val="both"/>
        <w:rPr>
          <w:rFonts w:ascii="Simplified Arabic" w:hAnsi="Simplified Arabic" w:cs="Simplified Arabic"/>
          <w:sz w:val="24"/>
          <w:szCs w:val="24"/>
          <w:rtl/>
          <w:lang w:bidi="ar-DZ"/>
        </w:rPr>
      </w:pPr>
      <w:r w:rsidRPr="009E2C10">
        <w:rPr>
          <w:rFonts w:ascii="Simplified Arabic" w:hAnsi="Simplified Arabic" w:cs="Simplified Arabic" w:hint="cs"/>
          <w:sz w:val="24"/>
          <w:szCs w:val="24"/>
          <w:rtl/>
          <w:lang w:bidi="ar-DZ"/>
        </w:rPr>
        <w:t>يشمل البعد الفيزيائي للبنية التحتية على</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الخدمات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الحكومية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والخدمات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القانونية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والأمنية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التقليدية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مثل</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أقسام</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الشرطة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والطوارئ</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والإطفاء</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والجيش</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بشكل</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متزايد</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كما</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تدرج</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أيضًا</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الخدمات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التي</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تقدمها</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إدارات</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الصحة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العامة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والنظافة</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وكذلك</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أقسام</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التراث</w:t>
      </w:r>
      <w:r w:rsidRPr="009E2C10">
        <w:rPr>
          <w:rFonts w:ascii="Simplified Arabic" w:hAnsi="Simplified Arabic" w:cs="Simplified Arabic"/>
          <w:sz w:val="24"/>
          <w:szCs w:val="24"/>
          <w:rtl/>
          <w:lang w:bidi="ar-DZ"/>
        </w:rPr>
        <w:t xml:space="preserve"> </w:t>
      </w:r>
      <w:r w:rsidRPr="009E2C10">
        <w:rPr>
          <w:rFonts w:ascii="Simplified Arabic" w:hAnsi="Simplified Arabic" w:cs="Simplified Arabic" w:hint="cs"/>
          <w:sz w:val="24"/>
          <w:szCs w:val="24"/>
          <w:rtl/>
          <w:lang w:bidi="ar-DZ"/>
        </w:rPr>
        <w:t>الثقافي اثناء الازمات</w:t>
      </w:r>
      <w:r w:rsidRPr="009E2C10">
        <w:rPr>
          <w:rFonts w:ascii="Simplified Arabic" w:hAnsi="Simplified Arabic" w:cs="Simplified Arabic"/>
          <w:sz w:val="24"/>
          <w:szCs w:val="24"/>
          <w:rtl/>
          <w:lang w:bidi="ar-DZ"/>
        </w:rPr>
        <w:t>.</w:t>
      </w:r>
    </w:p>
    <w:p w:rsidR="003E0F31" w:rsidRDefault="003E0F31" w:rsidP="00622171">
      <w:pPr>
        <w:bidi/>
        <w:spacing w:after="0"/>
        <w:ind w:left="-2" w:firstLine="284"/>
        <w:jc w:val="both"/>
        <w:rPr>
          <w:rFonts w:ascii="Simplified Arabic" w:hAnsi="Simplified Arabic" w:cs="Simplified Arabic"/>
          <w:sz w:val="24"/>
          <w:szCs w:val="24"/>
          <w:rtl/>
          <w:lang w:bidi="ar-DZ"/>
        </w:rPr>
      </w:pPr>
      <w:r w:rsidRPr="00206B59">
        <w:rPr>
          <w:rFonts w:ascii="Simplified Arabic" w:hAnsi="Simplified Arabic" w:cs="Simplified Arabic" w:hint="cs"/>
          <w:sz w:val="24"/>
          <w:szCs w:val="24"/>
          <w:rtl/>
          <w:lang w:bidi="ar-DZ"/>
        </w:rPr>
        <w:t>تتمثل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ميزة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إطار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عمل</w:t>
      </w:r>
      <w:r w:rsidRPr="00206B59">
        <w:rPr>
          <w:rFonts w:asciiTheme="minorBidi" w:hAnsiTheme="minorBidi" w:cs="Arial"/>
          <w:sz w:val="24"/>
          <w:szCs w:val="24"/>
          <w:rtl/>
          <w:lang w:bidi="ar-DZ"/>
        </w:rPr>
        <w:t xml:space="preserve"> </w:t>
      </w:r>
      <w:r w:rsidRPr="00206B59">
        <w:rPr>
          <w:rFonts w:asciiTheme="majorBidi" w:hAnsiTheme="majorBidi" w:cstheme="majorBidi" w:hint="cs"/>
          <w:color w:val="262626"/>
          <w:sz w:val="24"/>
          <w:szCs w:val="24"/>
          <w:rtl/>
          <w:lang w:val="en-US"/>
        </w:rPr>
        <w:t>"</w:t>
      </w:r>
      <w:r w:rsidRPr="00206B59">
        <w:rPr>
          <w:rFonts w:asciiTheme="majorBidi" w:hAnsiTheme="majorBidi" w:cstheme="majorBidi"/>
          <w:color w:val="262626"/>
          <w:sz w:val="24"/>
          <w:szCs w:val="24"/>
          <w:lang w:val="en-US"/>
        </w:rPr>
        <w:t>PEOPLES</w:t>
      </w:r>
      <w:r w:rsidRPr="00206B59">
        <w:rPr>
          <w:rFonts w:asciiTheme="majorBidi" w:hAnsiTheme="majorBidi" w:cstheme="majorBidi" w:hint="cs"/>
          <w:color w:val="262626"/>
          <w:sz w:val="24"/>
          <w:szCs w:val="24"/>
          <w:rtl/>
          <w:lang w:val="en-US"/>
        </w:rPr>
        <w:t>"</w:t>
      </w:r>
      <w:r w:rsidRPr="00206B59">
        <w:rPr>
          <w:rFonts w:asciiTheme="majorBidi" w:hAnsiTheme="majorBidi" w:cstheme="majorBidi"/>
          <w:color w:val="262626"/>
          <w:sz w:val="24"/>
          <w:szCs w:val="24"/>
          <w:lang w:val="en-US"/>
        </w:rPr>
        <w:t xml:space="preserve"> </w:t>
      </w:r>
      <w:r w:rsidRPr="00206B59">
        <w:rPr>
          <w:rFonts w:ascii="Simplified Arabic" w:hAnsi="Simplified Arabic" w:cs="Simplified Arabic" w:hint="cs"/>
          <w:sz w:val="24"/>
          <w:szCs w:val="24"/>
          <w:rtl/>
          <w:lang w:bidi="ar-DZ"/>
        </w:rPr>
        <w:t>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أنه</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يجمع</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الأبعاد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بحيث</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تعكس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واقع</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المجتمع</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بأبعاد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مميزة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ومؤشرات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رئيسية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ذات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صلة</w:t>
      </w:r>
      <w:r w:rsidRPr="00206B59">
        <w:rPr>
          <w:rFonts w:asciiTheme="minorBidi" w:hAnsiTheme="minorBidi" w:cs="Arial"/>
          <w:sz w:val="24"/>
          <w:szCs w:val="24"/>
          <w:rtl/>
          <w:lang w:bidi="ar-DZ"/>
        </w:rPr>
        <w:t xml:space="preserve"> </w:t>
      </w:r>
      <w:r w:rsidRPr="00206B59">
        <w:rPr>
          <w:rFonts w:asciiTheme="majorBidi" w:hAnsiTheme="majorBidi" w:cstheme="majorBidi"/>
          <w:color w:val="000000"/>
          <w:sz w:val="24"/>
          <w:szCs w:val="24"/>
        </w:rPr>
        <w:t>(Gilbert, 2010)</w:t>
      </w:r>
      <w:r w:rsidRPr="00206B59">
        <w:rPr>
          <w:rFonts w:ascii="Simplified Arabic" w:hAnsi="Simplified Arabic" w:cs="Simplified Arabic" w:hint="cs"/>
          <w:sz w:val="24"/>
          <w:szCs w:val="24"/>
          <w:rtl/>
          <w:lang w:bidi="ar-DZ"/>
        </w:rPr>
        <w:t>.</w:t>
      </w:r>
      <w:r w:rsidRPr="00206B59">
        <w:rPr>
          <w:rFonts w:ascii="Calibri" w:hAnsi="Calibri" w:cs="Calibri" w:hint="cs"/>
          <w:rtl/>
        </w:rPr>
        <w:t xml:space="preserve"> </w:t>
      </w:r>
      <w:r w:rsidRPr="00206B59">
        <w:rPr>
          <w:rFonts w:ascii="Simplified Arabic" w:hAnsi="Simplified Arabic" w:cs="Simplified Arabic" w:hint="cs"/>
          <w:sz w:val="24"/>
          <w:szCs w:val="24"/>
          <w:rtl/>
          <w:lang w:bidi="ar-DZ"/>
        </w:rPr>
        <w:t>يهدف</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منفذو</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هذا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الإطار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إلى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تطوير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برنامج</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دعم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اتخاذ</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القرار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الجيو-مكاني والزماني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لتسهيل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اتخاذ</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القرار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لدى المخططين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وأصحاب</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الشأن الحضري،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ولتقييم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وزيادة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المجتمع</w:t>
      </w:r>
      <w:r w:rsidRPr="00206B59">
        <w:rPr>
          <w:rFonts w:asciiTheme="minorBidi" w:hAnsiTheme="minorBidi" w:cs="Arial"/>
          <w:sz w:val="24"/>
          <w:szCs w:val="24"/>
          <w:rtl/>
          <w:lang w:bidi="ar-DZ"/>
        </w:rPr>
        <w:t xml:space="preserve"> </w:t>
      </w:r>
      <w:r w:rsidRPr="00206B59">
        <w:rPr>
          <w:rFonts w:asciiTheme="majorBidi" w:hAnsiTheme="majorBidi" w:cstheme="majorBidi"/>
          <w:color w:val="000000"/>
          <w:sz w:val="24"/>
          <w:szCs w:val="24"/>
        </w:rPr>
        <w:t xml:space="preserve">(Renschler et al., </w:t>
      </w:r>
      <w:r w:rsidRPr="00206B59">
        <w:rPr>
          <w:rFonts w:asciiTheme="majorBidi" w:hAnsiTheme="majorBidi" w:cstheme="majorBidi"/>
          <w:color w:val="000000"/>
          <w:sz w:val="24"/>
          <w:szCs w:val="24"/>
        </w:rPr>
        <w:lastRenderedPageBreak/>
        <w:t>2010)</w:t>
      </w:r>
      <w:r w:rsidRPr="00206B59">
        <w:rPr>
          <w:rFonts w:asciiTheme="majorBidi" w:hAnsiTheme="majorBidi" w:cstheme="majorBidi"/>
          <w:color w:val="000000"/>
          <w:sz w:val="24"/>
          <w:szCs w:val="24"/>
          <w:rtl/>
        </w:rPr>
        <w:t>.</w:t>
      </w:r>
      <w:r w:rsidRPr="00206B59">
        <w:rPr>
          <w:rFonts w:asciiTheme="majorBidi" w:hAnsiTheme="majorBidi" w:cstheme="majorBidi"/>
          <w:color w:val="000000"/>
          <w:sz w:val="24"/>
          <w:szCs w:val="24"/>
        </w:rPr>
        <w:t xml:space="preserve"> </w:t>
      </w:r>
      <w:r w:rsidRPr="00206B59">
        <w:rPr>
          <w:rFonts w:asciiTheme="majorBidi" w:hAnsiTheme="majorBidi" w:cstheme="majorBidi" w:hint="cs"/>
          <w:color w:val="000000"/>
          <w:sz w:val="24"/>
          <w:szCs w:val="24"/>
          <w:rtl/>
        </w:rPr>
        <w:t>"</w:t>
      </w:r>
      <w:r w:rsidRPr="00206B59">
        <w:rPr>
          <w:rFonts w:asciiTheme="majorBidi" w:hAnsiTheme="majorBidi" w:cstheme="majorBidi"/>
          <w:color w:val="262626"/>
          <w:sz w:val="24"/>
          <w:szCs w:val="24"/>
          <w:lang w:val="en-US"/>
        </w:rPr>
        <w:t>PEOPLES</w:t>
      </w:r>
      <w:r w:rsidRPr="00206B59">
        <w:rPr>
          <w:rFonts w:asciiTheme="majorBidi" w:hAnsiTheme="majorBidi" w:cstheme="majorBidi" w:hint="cs"/>
          <w:color w:val="262626"/>
          <w:sz w:val="24"/>
          <w:szCs w:val="24"/>
          <w:rtl/>
          <w:lang w:val="en-US"/>
        </w:rPr>
        <w:t>"</w:t>
      </w:r>
      <w:r w:rsidRPr="00206B59">
        <w:rPr>
          <w:rFonts w:ascii="Simplified Arabic" w:hAnsi="Simplified Arabic" w:cs="Simplified Arabic" w:hint="cs"/>
          <w:sz w:val="24"/>
          <w:szCs w:val="24"/>
          <w:rtl/>
          <w:lang w:bidi="ar-DZ"/>
        </w:rPr>
        <w:t xml:space="preserve"> هي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قاعدة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لبناء</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مؤشرات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كمية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ونوعية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لقياس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أنظمة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المجتمع</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مكانياً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وزمانياً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الفائدة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النهائية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هذا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النهج</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هي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توفير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أداة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دعم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القرار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للتأثير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التخطيط</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الحضري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وزيادة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الأنظمة</w:t>
      </w:r>
      <w:r w:rsidRPr="00206B59">
        <w:rPr>
          <w:rFonts w:ascii="Simplified Arabic" w:hAnsi="Simplified Arabic" w:cs="Simplified Arabic"/>
          <w:sz w:val="24"/>
          <w:szCs w:val="24"/>
          <w:rtl/>
          <w:lang w:bidi="ar-DZ"/>
        </w:rPr>
        <w:t>.</w:t>
      </w:r>
    </w:p>
    <w:p w:rsidR="003E0F31" w:rsidRPr="00762191" w:rsidRDefault="003E0F31" w:rsidP="00C7475E">
      <w:pPr>
        <w:pStyle w:val="fegure"/>
        <w:spacing w:before="240"/>
        <w:rPr>
          <w:szCs w:val="24"/>
          <w:rtl/>
        </w:rPr>
      </w:pPr>
      <w:bookmarkStart w:id="311" w:name="_Toc157608289"/>
      <w:bookmarkStart w:id="312" w:name="_Toc171803447"/>
      <w:r w:rsidRPr="00762191">
        <w:rPr>
          <w:szCs w:val="24"/>
          <w:rtl/>
        </w:rPr>
        <w:t xml:space="preserve">الشكل </w:t>
      </w:r>
      <w:r w:rsidRPr="00762191">
        <w:rPr>
          <w:rFonts w:hint="cs"/>
          <w:szCs w:val="24"/>
          <w:rtl/>
        </w:rPr>
        <w:t>(</w:t>
      </w:r>
      <w:r w:rsidR="00D036AA" w:rsidRPr="00762191">
        <w:rPr>
          <w:rFonts w:hint="cs"/>
          <w:szCs w:val="24"/>
          <w:rtl/>
        </w:rPr>
        <w:t>2-3</w:t>
      </w:r>
      <w:r w:rsidRPr="00762191">
        <w:rPr>
          <w:rFonts w:hint="cs"/>
          <w:szCs w:val="24"/>
          <w:rtl/>
        </w:rPr>
        <w:t>):</w:t>
      </w:r>
      <w:r w:rsidRPr="00762191">
        <w:rPr>
          <w:szCs w:val="24"/>
          <w:rtl/>
        </w:rPr>
        <w:t xml:space="preserve"> إطار عمل </w:t>
      </w:r>
      <w:r w:rsidRPr="00762191">
        <w:rPr>
          <w:rFonts w:hint="cs"/>
          <w:szCs w:val="24"/>
          <w:rtl/>
        </w:rPr>
        <w:t>ال</w:t>
      </w:r>
      <w:r w:rsidRPr="00762191">
        <w:rPr>
          <w:szCs w:val="24"/>
          <w:rtl/>
        </w:rPr>
        <w:t xml:space="preserve">مرونة </w:t>
      </w:r>
      <w:r w:rsidRPr="00762191">
        <w:rPr>
          <w:rFonts w:asciiTheme="minorBidi" w:hAnsiTheme="minorBidi" w:cs="Arial"/>
          <w:szCs w:val="24"/>
          <w:rtl/>
          <w:lang w:bidi="ar-DZ"/>
        </w:rPr>
        <w:t>"</w:t>
      </w:r>
      <w:r w:rsidRPr="00762191">
        <w:rPr>
          <w:rFonts w:asciiTheme="majorBidi" w:hAnsiTheme="majorBidi" w:cstheme="majorBidi"/>
          <w:szCs w:val="24"/>
        </w:rPr>
        <w:t>PEOPLES</w:t>
      </w:r>
      <w:r w:rsidRPr="00762191">
        <w:rPr>
          <w:rFonts w:asciiTheme="minorBidi" w:hAnsiTheme="minorBidi" w:cs="Arial"/>
          <w:szCs w:val="24"/>
          <w:rtl/>
          <w:lang w:bidi="ar-DZ"/>
        </w:rPr>
        <w:t>"</w:t>
      </w:r>
      <w:r w:rsidRPr="00762191">
        <w:rPr>
          <w:color w:val="262626"/>
          <w:szCs w:val="24"/>
          <w:lang w:val="en-US"/>
        </w:rPr>
        <w:t xml:space="preserve"> </w:t>
      </w:r>
      <w:r w:rsidRPr="00762191">
        <w:rPr>
          <w:szCs w:val="24"/>
          <w:rtl/>
        </w:rPr>
        <w:t>والمقاييس الجغرافية المرتبطة به.</w:t>
      </w:r>
      <w:bookmarkEnd w:id="311"/>
      <w:bookmarkEnd w:id="312"/>
    </w:p>
    <w:p w:rsidR="003E0F31" w:rsidRDefault="003E0F31" w:rsidP="003E0F31">
      <w:pPr>
        <w:bidi/>
        <w:spacing w:after="0" w:line="240" w:lineRule="auto"/>
        <w:ind w:firstLine="282"/>
        <w:jc w:val="center"/>
        <w:rPr>
          <w:rFonts w:ascii="Simplified Arabic" w:hAnsi="Simplified Arabic" w:cs="Simplified Arabic"/>
          <w:color w:val="000000"/>
          <w:sz w:val="24"/>
          <w:szCs w:val="24"/>
        </w:rPr>
      </w:pPr>
      <w:r w:rsidRPr="00D60FDA">
        <w:rPr>
          <w:rFonts w:ascii="Simplified Arabic" w:hAnsi="Simplified Arabic" w:cs="Simplified Arabic"/>
          <w:color w:val="000000"/>
          <w:sz w:val="24"/>
          <w:szCs w:val="24"/>
          <w:rtl/>
        </w:rPr>
        <w:t xml:space="preserve">المصدر: </w:t>
      </w:r>
      <w:r w:rsidRPr="00D60FDA">
        <w:rPr>
          <w:rFonts w:asciiTheme="majorBidi" w:hAnsiTheme="majorBidi" w:cstheme="majorBidi"/>
          <w:color w:val="000000"/>
          <w:sz w:val="24"/>
          <w:szCs w:val="24"/>
        </w:rPr>
        <w:t>(</w:t>
      </w:r>
      <w:r w:rsidRPr="00206B59">
        <w:rPr>
          <w:rFonts w:asciiTheme="majorBidi" w:hAnsiTheme="majorBidi" w:cstheme="majorBidi"/>
          <w:color w:val="000000"/>
          <w:sz w:val="24"/>
          <w:szCs w:val="24"/>
        </w:rPr>
        <w:t>Renschler</w:t>
      </w:r>
      <w:r w:rsidRPr="00D60FDA">
        <w:rPr>
          <w:rFonts w:asciiTheme="majorBidi" w:hAnsiTheme="majorBidi" w:cstheme="majorBidi"/>
          <w:color w:val="000000"/>
          <w:sz w:val="24"/>
          <w:szCs w:val="24"/>
        </w:rPr>
        <w:t xml:space="preserve"> et al., 2010)</w:t>
      </w:r>
      <w:r w:rsidRPr="00D60FDA">
        <w:rPr>
          <w:rFonts w:ascii="Simplified Arabic" w:hAnsi="Simplified Arabic" w:cs="Simplified Arabic"/>
          <w:color w:val="000000"/>
          <w:sz w:val="24"/>
          <w:szCs w:val="24"/>
          <w:rtl/>
        </w:rPr>
        <w:t>.</w:t>
      </w:r>
    </w:p>
    <w:p w:rsidR="003E0F31" w:rsidRDefault="003E0F31" w:rsidP="003E0F31">
      <w:pPr>
        <w:bidi/>
        <w:spacing w:after="0"/>
        <w:ind w:hanging="2"/>
        <w:jc w:val="center"/>
        <w:rPr>
          <w:rFonts w:ascii="Simplified Arabic" w:hAnsi="Simplified Arabic" w:cs="Simplified Arabic"/>
          <w:sz w:val="24"/>
          <w:szCs w:val="24"/>
          <w:rtl/>
          <w:lang w:bidi="ar-DZ"/>
        </w:rPr>
      </w:pPr>
      <w:r>
        <w:rPr>
          <w:noProof/>
          <w:lang w:eastAsia="fr-FR"/>
        </w:rPr>
        <w:drawing>
          <wp:inline distT="0" distB="0" distL="0" distR="0" wp14:anchorId="24E42F8E" wp14:editId="61013120">
            <wp:extent cx="4948579" cy="2520871"/>
            <wp:effectExtent l="0" t="0" r="4445" b="0"/>
            <wp:docPr id="122"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7">
                      <a:extLst>
                        <a:ext uri="{28A0092B-C50C-407E-A947-70E740481C1C}">
                          <a14:useLocalDpi xmlns:a14="http://schemas.microsoft.com/office/drawing/2010/main" val="0"/>
                        </a:ext>
                      </a:extLst>
                    </a:blip>
                    <a:stretch>
                      <a:fillRect/>
                    </a:stretch>
                  </pic:blipFill>
                  <pic:spPr>
                    <a:xfrm>
                      <a:off x="0" y="0"/>
                      <a:ext cx="4956728" cy="2525022"/>
                    </a:xfrm>
                    <a:prstGeom prst="rect">
                      <a:avLst/>
                    </a:prstGeom>
                  </pic:spPr>
                </pic:pic>
              </a:graphicData>
            </a:graphic>
          </wp:inline>
        </w:drawing>
      </w:r>
    </w:p>
    <w:p w:rsidR="003E0F31" w:rsidRDefault="007F4407" w:rsidP="00F76D99">
      <w:pPr>
        <w:pStyle w:val="Tableau"/>
        <w:rPr>
          <w:rFonts w:asciiTheme="majorBidi" w:hAnsiTheme="majorBidi" w:cstheme="majorBidi"/>
          <w:sz w:val="18"/>
          <w:szCs w:val="18"/>
          <w:rtl/>
          <w:lang w:val="en-US"/>
        </w:rPr>
      </w:pPr>
      <w:bookmarkStart w:id="313" w:name="_Toc157612967"/>
      <w:bookmarkStart w:id="314" w:name="_Toc171803448"/>
      <w:r>
        <w:rPr>
          <w:rFonts w:hint="cs"/>
          <w:rtl/>
          <w:lang w:bidi="ar-DZ"/>
        </w:rPr>
        <w:t xml:space="preserve">الجدول (2-3): </w:t>
      </w:r>
      <w:r w:rsidR="003E0F31">
        <w:rPr>
          <w:rFonts w:hint="cs"/>
          <w:rtl/>
          <w:lang w:bidi="ar-DZ"/>
        </w:rPr>
        <w:t xml:space="preserve">ايجابيات وسلبيات </w:t>
      </w:r>
      <w:r w:rsidR="003E0F31" w:rsidRPr="003F24F1">
        <w:rPr>
          <w:rtl/>
          <w:lang w:bidi="ar-DZ"/>
        </w:rPr>
        <w:t xml:space="preserve">إطار عمل </w:t>
      </w:r>
      <w:r w:rsidR="003E0F31">
        <w:rPr>
          <w:rFonts w:hint="cs"/>
          <w:rtl/>
          <w:lang w:bidi="ar-DZ"/>
        </w:rPr>
        <w:t>ال</w:t>
      </w:r>
      <w:r w:rsidR="003E0F31">
        <w:rPr>
          <w:rtl/>
          <w:lang w:bidi="ar-DZ"/>
        </w:rPr>
        <w:t>مرونة</w:t>
      </w:r>
      <w:r w:rsidR="003E0F31">
        <w:rPr>
          <w:rFonts w:hint="cs"/>
          <w:rtl/>
          <w:lang w:bidi="ar-DZ"/>
        </w:rPr>
        <w:t xml:space="preserve">، </w:t>
      </w:r>
      <w:r w:rsidR="003E0F31" w:rsidRPr="004D33D5">
        <w:rPr>
          <w:rFonts w:asciiTheme="majorBidi" w:hAnsiTheme="majorBidi" w:cstheme="majorBidi"/>
          <w:sz w:val="18"/>
          <w:szCs w:val="18"/>
          <w:rtl/>
          <w:lang w:val="en-US"/>
        </w:rPr>
        <w:t>(</w:t>
      </w:r>
      <w:r w:rsidR="003E0F31" w:rsidRPr="003F24F1">
        <w:rPr>
          <w:rFonts w:asciiTheme="majorBidi" w:hAnsiTheme="majorBidi" w:cstheme="majorBidi"/>
        </w:rPr>
        <w:t>PEOPLES</w:t>
      </w:r>
      <w:r w:rsidR="003E0F31" w:rsidRPr="004D33D5">
        <w:rPr>
          <w:rFonts w:asciiTheme="majorBidi" w:hAnsiTheme="majorBidi" w:cstheme="majorBidi"/>
          <w:sz w:val="18"/>
          <w:szCs w:val="18"/>
          <w:rtl/>
          <w:lang w:val="en-US"/>
        </w:rPr>
        <w:t>)</w:t>
      </w:r>
      <w:bookmarkEnd w:id="313"/>
      <w:bookmarkEnd w:id="314"/>
    </w:p>
    <w:p w:rsidR="00597092" w:rsidRPr="00597092" w:rsidRDefault="00597092" w:rsidP="00597092">
      <w:pPr>
        <w:pStyle w:val="fegure"/>
        <w:rPr>
          <w:sz w:val="8"/>
          <w:szCs w:val="24"/>
          <w:rtl/>
          <w:lang w:val="en-US"/>
        </w:rPr>
      </w:pPr>
      <w:bookmarkStart w:id="315" w:name="_Toc171803449"/>
      <w:r>
        <w:rPr>
          <w:rFonts w:hint="cs"/>
          <w:sz w:val="8"/>
          <w:szCs w:val="24"/>
          <w:rtl/>
          <w:lang w:val="en-US"/>
        </w:rPr>
        <w:t>المصدر: (الباحث، 2022)</w:t>
      </w:r>
      <w:bookmarkEnd w:id="315"/>
    </w:p>
    <w:tbl>
      <w:tblPr>
        <w:bidiVisual/>
        <w:tblW w:w="0" w:type="auto"/>
        <w:jc w:val="center"/>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9"/>
        <w:gridCol w:w="3783"/>
      </w:tblGrid>
      <w:tr w:rsidR="003E0F31" w:rsidRPr="00826FB0" w:rsidTr="00F860E2">
        <w:trPr>
          <w:jc w:val="center"/>
        </w:trPr>
        <w:tc>
          <w:tcPr>
            <w:tcW w:w="4349" w:type="dxa"/>
            <w:vAlign w:val="center"/>
          </w:tcPr>
          <w:p w:rsidR="003E0F31" w:rsidRPr="00826FB0" w:rsidRDefault="003E0F31" w:rsidP="001E12D7">
            <w:pPr>
              <w:bidi/>
              <w:spacing w:after="0" w:line="240" w:lineRule="auto"/>
              <w:jc w:val="center"/>
              <w:rPr>
                <w:rFonts w:ascii="Simplified Arabic" w:hAnsi="Simplified Arabic" w:cs="Simplified Arabic"/>
                <w:color w:val="000000" w:themeColor="text1"/>
                <w:sz w:val="24"/>
                <w:szCs w:val="24"/>
                <w:rtl/>
                <w:lang w:bidi="ar-DZ"/>
              </w:rPr>
            </w:pPr>
            <w:r w:rsidRPr="00826FB0">
              <w:rPr>
                <w:rFonts w:ascii="Simplified Arabic" w:hAnsi="Simplified Arabic" w:cs="Simplified Arabic"/>
                <w:color w:val="000000" w:themeColor="text1"/>
                <w:sz w:val="24"/>
                <w:szCs w:val="24"/>
                <w:rtl/>
                <w:lang w:bidi="ar-DZ"/>
              </w:rPr>
              <w:t>الايجابيات</w:t>
            </w:r>
          </w:p>
        </w:tc>
        <w:tc>
          <w:tcPr>
            <w:tcW w:w="3783" w:type="dxa"/>
            <w:vAlign w:val="center"/>
          </w:tcPr>
          <w:p w:rsidR="003E0F31" w:rsidRPr="00826FB0" w:rsidRDefault="003E0F31" w:rsidP="001E12D7">
            <w:pPr>
              <w:bidi/>
              <w:spacing w:after="0" w:line="240" w:lineRule="auto"/>
              <w:jc w:val="center"/>
              <w:rPr>
                <w:rFonts w:ascii="Simplified Arabic" w:hAnsi="Simplified Arabic" w:cs="Simplified Arabic"/>
                <w:color w:val="000000" w:themeColor="text1"/>
                <w:sz w:val="24"/>
                <w:szCs w:val="24"/>
                <w:rtl/>
                <w:lang w:bidi="ar-DZ"/>
              </w:rPr>
            </w:pPr>
            <w:r w:rsidRPr="00826FB0">
              <w:rPr>
                <w:rFonts w:ascii="Simplified Arabic" w:hAnsi="Simplified Arabic" w:cs="Simplified Arabic"/>
                <w:color w:val="000000" w:themeColor="text1"/>
                <w:sz w:val="24"/>
                <w:szCs w:val="24"/>
                <w:rtl/>
                <w:lang w:bidi="ar-DZ"/>
              </w:rPr>
              <w:t>السلبيات</w:t>
            </w:r>
          </w:p>
        </w:tc>
      </w:tr>
      <w:tr w:rsidR="003E0F31" w:rsidRPr="00826FB0" w:rsidTr="00F860E2">
        <w:trPr>
          <w:jc w:val="center"/>
        </w:trPr>
        <w:tc>
          <w:tcPr>
            <w:tcW w:w="4349" w:type="dxa"/>
          </w:tcPr>
          <w:p w:rsidR="003E0F31" w:rsidRPr="00826FB0"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bidi="ar-DZ"/>
              </w:rPr>
              <w:t>تحليل المرونة بصفة شاملة وفق 7 أبعاد</w:t>
            </w:r>
          </w:p>
          <w:p w:rsidR="003E0F31" w:rsidRPr="00826FB0"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bidi="ar-DZ"/>
              </w:rPr>
              <w:t>ي</w:t>
            </w:r>
            <w:r w:rsidRPr="00826FB0">
              <w:rPr>
                <w:rFonts w:ascii="Simplified Arabic" w:hAnsi="Simplified Arabic" w:cs="Simplified Arabic"/>
                <w:color w:val="000000" w:themeColor="text1"/>
                <w:sz w:val="24"/>
                <w:szCs w:val="24"/>
                <w:rtl/>
                <w:lang w:val="en-US" w:bidi="ar-DZ"/>
              </w:rPr>
              <w:t xml:space="preserve">أخذ بعين الاعتبار ظروف ما قبل وما بعد الكارثة </w:t>
            </w:r>
          </w:p>
          <w:p w:rsidR="003E0F31" w:rsidRPr="00826FB0"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val="en-US" w:bidi="ar-DZ"/>
              </w:rPr>
              <w:t>يشمل بُعد البنية التحتية المادية كلاً من المرافق، الرعاية الصحية وشبكات النقل</w:t>
            </w:r>
          </w:p>
          <w:p w:rsidR="003E0F31" w:rsidRPr="00826FB0"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val="en-US" w:bidi="ar-DZ"/>
              </w:rPr>
              <w:t>يدرس عدة مخاطر</w:t>
            </w:r>
          </w:p>
          <w:p w:rsidR="003E0F31" w:rsidRPr="00826FB0"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bidi="ar-DZ"/>
              </w:rPr>
              <w:t xml:space="preserve">يعتمد على </w:t>
            </w:r>
            <w:r w:rsidRPr="00826FB0">
              <w:rPr>
                <w:rFonts w:ascii="Simplified Arabic" w:hAnsi="Simplified Arabic" w:cs="Simplified Arabic" w:hint="cs"/>
                <w:color w:val="000000" w:themeColor="text1"/>
                <w:sz w:val="24"/>
                <w:szCs w:val="24"/>
                <w:rtl/>
                <w:lang w:bidi="ar-DZ"/>
              </w:rPr>
              <w:t>قياس</w:t>
            </w:r>
            <w:r w:rsidRPr="00826FB0">
              <w:rPr>
                <w:rFonts w:ascii="Simplified Arabic" w:hAnsi="Simplified Arabic" w:cs="Simplified Arabic"/>
                <w:color w:val="000000" w:themeColor="text1"/>
                <w:sz w:val="24"/>
                <w:szCs w:val="24"/>
                <w:rtl/>
                <w:lang w:bidi="ar-DZ"/>
              </w:rPr>
              <w:t xml:space="preserve"> محلي (الأحياء) وإقليمي (الولايات).</w:t>
            </w:r>
          </w:p>
          <w:p w:rsidR="003E0F31" w:rsidRPr="00826FB0"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bidi="ar-DZ"/>
              </w:rPr>
              <w:t>يقوم بقياس ومراقبة وظائف الأنظمة بمرور الوقت</w:t>
            </w:r>
          </w:p>
        </w:tc>
        <w:tc>
          <w:tcPr>
            <w:tcW w:w="3783" w:type="dxa"/>
          </w:tcPr>
          <w:p w:rsidR="003E0F31" w:rsidRPr="00826FB0" w:rsidRDefault="003E0F31" w:rsidP="001E12D7">
            <w:pPr>
              <w:bidi/>
              <w:spacing w:after="0" w:line="240" w:lineRule="auto"/>
              <w:rPr>
                <w:rFonts w:ascii="Simplified Arabic" w:hAnsi="Simplified Arabic" w:cs="Simplified Arabic"/>
                <w:color w:val="000000" w:themeColor="text1"/>
                <w:sz w:val="24"/>
                <w:szCs w:val="24"/>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bidi="ar-DZ"/>
              </w:rPr>
              <w:t>لا يوجد تحديد دقيق للمخاطر أو الاضطرابات</w:t>
            </w:r>
          </w:p>
          <w:p w:rsidR="003E0F31" w:rsidRPr="00826FB0" w:rsidRDefault="003E0F31" w:rsidP="001E12D7">
            <w:pPr>
              <w:bidi/>
              <w:spacing w:after="0" w:line="240" w:lineRule="auto"/>
              <w:rPr>
                <w:rFonts w:ascii="Simplified Arabic" w:hAnsi="Simplified Arabic" w:cs="Simplified Arabic"/>
                <w:color w:val="000000" w:themeColor="text1"/>
                <w:sz w:val="24"/>
                <w:szCs w:val="24"/>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bidi="ar-DZ"/>
              </w:rPr>
              <w:t>لا يوجد تصور حقيقي للنتائج</w:t>
            </w:r>
          </w:p>
          <w:p w:rsidR="003E0F31" w:rsidRPr="00826FB0" w:rsidRDefault="003E0F31" w:rsidP="001E12D7">
            <w:pPr>
              <w:bidi/>
              <w:spacing w:after="0" w:line="240" w:lineRule="auto"/>
              <w:rPr>
                <w:rFonts w:ascii="Simplified Arabic" w:hAnsi="Simplified Arabic" w:cs="Simplified Arabic"/>
                <w:color w:val="000000" w:themeColor="text1"/>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color w:val="000000" w:themeColor="text1"/>
                <w:sz w:val="24"/>
                <w:szCs w:val="24"/>
                <w:rtl/>
                <w:lang w:bidi="ar-DZ"/>
              </w:rPr>
              <w:t>لا يوجد مقياس حقيقي للمرونة ولكن قائمة من المعايير لتطويرها لتكوين مجتمع مرن</w:t>
            </w:r>
          </w:p>
        </w:tc>
      </w:tr>
    </w:tbl>
    <w:p w:rsidR="003E0F31" w:rsidRPr="003D7790" w:rsidRDefault="003E0F31" w:rsidP="001D0548">
      <w:pPr>
        <w:pStyle w:val="Paragraphedeliste"/>
        <w:numPr>
          <w:ilvl w:val="2"/>
          <w:numId w:val="81"/>
        </w:numPr>
        <w:tabs>
          <w:tab w:val="right" w:pos="850"/>
        </w:tabs>
        <w:bidi/>
        <w:spacing w:before="240" w:after="0"/>
        <w:ind w:left="0" w:firstLine="0"/>
        <w:jc w:val="both"/>
        <w:outlineLvl w:val="1"/>
        <w:rPr>
          <w:rFonts w:ascii="Simplified Arabic" w:hAnsi="Simplified Arabic" w:cs="Simplified Arabic"/>
          <w:b/>
          <w:bCs/>
          <w:sz w:val="24"/>
          <w:szCs w:val="24"/>
          <w:lang w:bidi="ar-DZ"/>
        </w:rPr>
      </w:pPr>
      <w:bookmarkStart w:id="316" w:name="_Toc171803450"/>
      <w:r w:rsidRPr="003D7790">
        <w:rPr>
          <w:rFonts w:ascii="Simplified Arabic" w:hAnsi="Simplified Arabic" w:cs="Simplified Arabic"/>
          <w:b/>
          <w:bCs/>
          <w:sz w:val="24"/>
          <w:szCs w:val="24"/>
          <w:rtl/>
          <w:lang w:val="en-US"/>
        </w:rPr>
        <w:t>تقييم مرونة البنية التحتية الشبكية</w:t>
      </w:r>
      <w:r w:rsidRPr="003D7790">
        <w:rPr>
          <w:rFonts w:ascii="Simplified Arabic" w:hAnsi="Simplified Arabic" w:cs="Simplified Arabic"/>
          <w:sz w:val="24"/>
          <w:szCs w:val="24"/>
          <w:rtl/>
        </w:rPr>
        <w:t>،</w:t>
      </w:r>
      <w:r w:rsidRPr="003D7790">
        <w:rPr>
          <w:rFonts w:asciiTheme="majorBidi" w:hAnsiTheme="majorBidi" w:cstheme="majorBidi" w:hint="cs"/>
          <w:rtl/>
        </w:rPr>
        <w:t xml:space="preserve"> </w:t>
      </w:r>
      <w:r w:rsidRPr="003D7790">
        <w:rPr>
          <w:rFonts w:asciiTheme="majorBidi" w:hAnsiTheme="majorBidi" w:cstheme="majorBidi" w:hint="cs"/>
          <w:b/>
          <w:bCs/>
          <w:sz w:val="16"/>
          <w:szCs w:val="16"/>
          <w:rtl/>
          <w:lang w:bidi="ar-DZ"/>
        </w:rPr>
        <w:t>[</w:t>
      </w:r>
      <w:r w:rsidRPr="003D7790">
        <w:rPr>
          <w:rFonts w:asciiTheme="majorBidi" w:hAnsiTheme="majorBidi" w:cstheme="majorBidi"/>
          <w:b/>
          <w:bCs/>
          <w:color w:val="000000" w:themeColor="text1"/>
          <w:sz w:val="16"/>
          <w:szCs w:val="16"/>
          <w:lang w:val="en-US"/>
        </w:rPr>
        <w:t>(Mayada, 2011)</w:t>
      </w:r>
      <w:r w:rsidRPr="003D7790">
        <w:rPr>
          <w:rFonts w:asciiTheme="majorBidi" w:hAnsiTheme="majorBidi" w:cstheme="majorBidi" w:hint="cs"/>
          <w:b/>
          <w:bCs/>
          <w:color w:val="000000" w:themeColor="text1"/>
          <w:sz w:val="16"/>
          <w:szCs w:val="16"/>
          <w:rtl/>
          <w:lang w:val="en-US"/>
        </w:rPr>
        <w:t xml:space="preserve"> </w:t>
      </w:r>
      <w:r w:rsidRPr="003D7790">
        <w:rPr>
          <w:rFonts w:asciiTheme="majorBidi" w:hAnsiTheme="majorBidi" w:cstheme="majorBidi"/>
          <w:b/>
          <w:bCs/>
          <w:color w:val="000000" w:themeColor="text1"/>
          <w:sz w:val="16"/>
          <w:szCs w:val="16"/>
          <w:lang w:val="en-US"/>
        </w:rPr>
        <w:t>,</w:t>
      </w:r>
      <w:r w:rsidRPr="003D7790">
        <w:rPr>
          <w:rFonts w:asciiTheme="majorBidi" w:hAnsiTheme="majorBidi" w:cstheme="majorBidi"/>
          <w:b/>
          <w:bCs/>
          <w:color w:val="000000" w:themeColor="text1"/>
          <w:sz w:val="16"/>
          <w:szCs w:val="16"/>
          <w:rtl/>
          <w:lang w:val="en-US"/>
        </w:rPr>
        <w:t>(</w:t>
      </w:r>
      <w:r w:rsidRPr="003D7790">
        <w:rPr>
          <w:rFonts w:asciiTheme="majorBidi" w:hAnsiTheme="majorBidi" w:cstheme="majorBidi"/>
          <w:b/>
          <w:bCs/>
          <w:color w:val="000000" w:themeColor="text1"/>
          <w:sz w:val="16"/>
          <w:szCs w:val="16"/>
          <w:lang w:val="en-US"/>
        </w:rPr>
        <w:t>NIRA</w:t>
      </w:r>
      <w:r w:rsidRPr="003D7790">
        <w:rPr>
          <w:rFonts w:asciiTheme="majorBidi" w:hAnsiTheme="majorBidi" w:cstheme="majorBidi"/>
          <w:b/>
          <w:bCs/>
          <w:color w:val="000000" w:themeColor="text1"/>
          <w:sz w:val="16"/>
          <w:szCs w:val="16"/>
          <w:rtl/>
          <w:lang w:val="en-US"/>
        </w:rPr>
        <w:t>)</w:t>
      </w:r>
      <w:r w:rsidRPr="003D7790">
        <w:rPr>
          <w:rFonts w:asciiTheme="majorBidi" w:hAnsiTheme="majorBidi" w:cstheme="majorBidi" w:hint="cs"/>
          <w:b/>
          <w:bCs/>
          <w:color w:val="000000" w:themeColor="text1"/>
          <w:sz w:val="16"/>
          <w:szCs w:val="16"/>
          <w:rtl/>
          <w:lang w:val="en-US"/>
        </w:rPr>
        <w:t xml:space="preserve"> </w:t>
      </w:r>
      <w:r w:rsidRPr="003D7790">
        <w:rPr>
          <w:rFonts w:asciiTheme="majorBidi" w:hAnsiTheme="majorBidi" w:cstheme="majorBidi"/>
          <w:b/>
          <w:bCs/>
          <w:color w:val="000000" w:themeColor="text1"/>
          <w:sz w:val="16"/>
          <w:szCs w:val="16"/>
          <w:lang w:val="en-US"/>
        </w:rPr>
        <w:t>Networked Infrastructure Resilience Assessment</w:t>
      </w:r>
      <w:r w:rsidRPr="003D7790">
        <w:rPr>
          <w:rFonts w:asciiTheme="majorBidi" w:hAnsiTheme="majorBidi" w:cstheme="majorBidi" w:hint="cs"/>
          <w:b/>
          <w:bCs/>
          <w:color w:val="000000" w:themeColor="text1"/>
          <w:sz w:val="16"/>
          <w:szCs w:val="16"/>
          <w:rtl/>
          <w:lang w:val="en-US"/>
        </w:rPr>
        <w:t>]</w:t>
      </w:r>
      <w:bookmarkEnd w:id="316"/>
    </w:p>
    <w:p w:rsidR="00F860E2" w:rsidRDefault="003E0F31" w:rsidP="007A091D">
      <w:pPr>
        <w:bidi/>
        <w:spacing w:after="0"/>
        <w:ind w:firstLine="282"/>
        <w:jc w:val="both"/>
        <w:rPr>
          <w:rtl/>
        </w:rPr>
      </w:pPr>
      <w:r w:rsidRPr="00206B59">
        <w:rPr>
          <w:rFonts w:ascii="Simplified Arabic" w:hAnsi="Simplified Arabic" w:cs="Simplified Arabic" w:hint="cs"/>
          <w:sz w:val="24"/>
          <w:szCs w:val="24"/>
          <w:rtl/>
          <w:lang w:bidi="ar-DZ"/>
        </w:rPr>
        <w:t>تم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تطوير</w:t>
      </w:r>
      <w:r w:rsidRPr="00206B59">
        <w:rPr>
          <w:rFonts w:ascii="Simplified Arabic" w:hAnsi="Simplified Arabic" w:cs="Simplified Arabic"/>
          <w:sz w:val="24"/>
          <w:szCs w:val="24"/>
          <w:rtl/>
          <w:lang w:bidi="ar-DZ"/>
        </w:rPr>
        <w:t xml:space="preserve"> مرونة البنية التحتية الشبكية</w:t>
      </w:r>
      <w:r w:rsidRPr="00206B59">
        <w:rPr>
          <w:rFonts w:asciiTheme="majorBidi" w:hAnsiTheme="majorBidi" w:cstheme="majorBidi"/>
          <w:color w:val="000000" w:themeColor="text1"/>
          <w:sz w:val="24"/>
          <w:szCs w:val="24"/>
          <w:rtl/>
          <w:lang w:bidi="ar-DZ"/>
        </w:rPr>
        <w:t xml:space="preserve"> (</w:t>
      </w:r>
      <w:r w:rsidRPr="00206B59">
        <w:rPr>
          <w:rFonts w:asciiTheme="majorBidi" w:hAnsiTheme="majorBidi" w:cstheme="majorBidi"/>
          <w:color w:val="000000" w:themeColor="text1"/>
          <w:sz w:val="24"/>
          <w:szCs w:val="24"/>
          <w:lang w:bidi="ar-DZ"/>
        </w:rPr>
        <w:t>NIRA</w:t>
      </w:r>
      <w:r w:rsidRPr="00206B59">
        <w:rPr>
          <w:rFonts w:asciiTheme="majorBidi" w:hAnsiTheme="majorBidi" w:cstheme="majorBidi"/>
          <w:color w:val="000000" w:themeColor="text1"/>
          <w:sz w:val="24"/>
          <w:szCs w:val="24"/>
          <w:rtl/>
          <w:lang w:bidi="ar-DZ"/>
        </w:rPr>
        <w:t>)</w:t>
      </w:r>
      <w:r w:rsidRPr="00206B59">
        <w:rPr>
          <w:rFonts w:asciiTheme="minorBidi" w:hAnsiTheme="minorBidi" w:cs="Arial"/>
          <w:color w:val="000000" w:themeColor="text1"/>
          <w:sz w:val="24"/>
          <w:szCs w:val="24"/>
          <w:rtl/>
          <w:lang w:bidi="ar-DZ"/>
        </w:rPr>
        <w:t xml:space="preserve"> </w:t>
      </w:r>
      <w:r w:rsidRPr="00206B59">
        <w:rPr>
          <w:rFonts w:ascii="Simplified Arabic" w:hAnsi="Simplified Arabic" w:cs="Simplified Arabic" w:hint="cs"/>
          <w:sz w:val="24"/>
          <w:szCs w:val="24"/>
          <w:rtl/>
          <w:lang w:bidi="ar-DZ"/>
        </w:rPr>
        <w:t>من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قبل</w:t>
      </w:r>
      <w:r w:rsidRPr="00206B59">
        <w:rPr>
          <w:rFonts w:asciiTheme="minorBidi" w:hAnsiTheme="minorBidi" w:cs="Arial"/>
          <w:color w:val="000000" w:themeColor="text1"/>
          <w:sz w:val="24"/>
          <w:szCs w:val="24"/>
          <w:rtl/>
          <w:lang w:bidi="ar-DZ"/>
        </w:rPr>
        <w:t xml:space="preserve"> </w:t>
      </w:r>
      <w:r w:rsidRPr="00206B59">
        <w:rPr>
          <w:rFonts w:asciiTheme="majorBidi" w:hAnsiTheme="majorBidi" w:cstheme="majorBidi" w:hint="cs"/>
          <w:color w:val="000000" w:themeColor="text1"/>
          <w:sz w:val="24"/>
          <w:szCs w:val="24"/>
          <w:rtl/>
        </w:rPr>
        <w:t>(</w:t>
      </w:r>
      <w:r w:rsidRPr="00206B59">
        <w:rPr>
          <w:rFonts w:asciiTheme="majorBidi" w:hAnsiTheme="majorBidi" w:cstheme="majorBidi"/>
          <w:color w:val="000000" w:themeColor="text1"/>
          <w:sz w:val="24"/>
          <w:szCs w:val="24"/>
        </w:rPr>
        <w:t>Mayada, 2011</w:t>
      </w:r>
      <w:r w:rsidRPr="00206B59">
        <w:rPr>
          <w:rFonts w:asciiTheme="majorBidi" w:hAnsiTheme="majorBidi" w:cstheme="majorBidi" w:hint="cs"/>
          <w:color w:val="000000" w:themeColor="text1"/>
          <w:sz w:val="24"/>
          <w:szCs w:val="24"/>
          <w:rtl/>
        </w:rPr>
        <w:t>)</w:t>
      </w:r>
      <w:r w:rsidRPr="00206B59">
        <w:rPr>
          <w:rFonts w:ascii="Calibri" w:hAnsi="Calibri" w:cs="Calibri" w:hint="cs"/>
          <w:color w:val="000000" w:themeColor="text1"/>
          <w:rtl/>
        </w:rPr>
        <w:t xml:space="preserve"> </w:t>
      </w:r>
      <w:r w:rsidRPr="00206B59">
        <w:rPr>
          <w:rFonts w:ascii="Simplified Arabic" w:hAnsi="Simplified Arabic" w:cs="Simplified Arabic" w:hint="cs"/>
          <w:sz w:val="24"/>
          <w:szCs w:val="24"/>
          <w:rtl/>
          <w:lang w:bidi="ar-DZ"/>
        </w:rPr>
        <w:t>خلال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دراسته</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للدكتوراه 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معهد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ستيفنز</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للتكنولوجيا</w:t>
      </w:r>
      <w:r w:rsidRPr="00206B59">
        <w:rPr>
          <w:rFonts w:asciiTheme="minorBidi" w:hAnsiTheme="minorBidi" w:cs="Arial" w:hint="cs"/>
          <w:color w:val="000000" w:themeColor="text1"/>
          <w:sz w:val="24"/>
          <w:szCs w:val="24"/>
          <w:rtl/>
          <w:lang w:bidi="ar-DZ"/>
        </w:rPr>
        <w:t xml:space="preserve"> </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color w:val="000000" w:themeColor="text1"/>
          <w:sz w:val="24"/>
          <w:szCs w:val="24"/>
        </w:rPr>
        <w:t xml:space="preserve">Stevens Institute of </w:t>
      </w:r>
      <w:r w:rsidRPr="00206B59">
        <w:rPr>
          <w:rFonts w:asciiTheme="majorBidi" w:hAnsiTheme="majorBidi" w:cstheme="majorBidi"/>
          <w:color w:val="000000" w:themeColor="text1"/>
          <w:sz w:val="24"/>
          <w:szCs w:val="24"/>
          <w:lang w:val="en-US"/>
        </w:rPr>
        <w:t>Technology</w:t>
      </w:r>
      <w:r w:rsidRPr="00206B59">
        <w:rPr>
          <w:rFonts w:asciiTheme="majorBidi" w:hAnsiTheme="majorBidi" w:cstheme="majorBidi"/>
          <w:color w:val="000000" w:themeColor="text1"/>
          <w:sz w:val="24"/>
          <w:szCs w:val="24"/>
          <w:rtl/>
          <w:lang w:bidi="ar-DZ"/>
        </w:rPr>
        <w:t>)</w:t>
      </w:r>
      <w:r w:rsidRPr="00206B59">
        <w:rPr>
          <w:rFonts w:ascii="Simplified Arabic" w:hAnsi="Simplified Arabic" w:cs="Simplified Arabic" w:hint="cs"/>
          <w:sz w:val="24"/>
          <w:szCs w:val="24"/>
          <w:rtl/>
          <w:lang w:bidi="ar-DZ"/>
        </w:rPr>
        <w:t>، تم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تطبيقه</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لاحقًا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خمس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شبكات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بنية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تحتية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حضرية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مختلفة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بما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ذلك الشبكات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التنظيمية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يركز</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إطار</w:t>
      </w:r>
      <w:r w:rsidRPr="00206B59">
        <w:rPr>
          <w:rFonts w:ascii="Simplified Arabic" w:hAnsi="Simplified Arabic" w:cs="Simplified Arabic"/>
          <w:sz w:val="24"/>
          <w:szCs w:val="24"/>
          <w:rtl/>
          <w:lang w:bidi="ar-DZ"/>
        </w:rPr>
        <w:t xml:space="preserve"> </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color w:val="000000" w:themeColor="text1"/>
          <w:sz w:val="24"/>
          <w:szCs w:val="24"/>
          <w:lang w:bidi="ar-DZ"/>
        </w:rPr>
        <w:t>NIRA</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hint="cs"/>
          <w:color w:val="000000" w:themeColor="text1"/>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البعد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التقني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للبنية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التحتية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الشبكية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الحضرية، يقترح</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قياس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الأنظمة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الناحية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الكمية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خلال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تقييم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تأثير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الاضطرابات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أداء</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مقاييس</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النظام</w:t>
      </w:r>
      <w:r w:rsidRPr="00206B59">
        <w:rPr>
          <w:rFonts w:ascii="Simplified Arabic" w:hAnsi="Simplified Arabic" w:cs="Simplified Arabic"/>
          <w:sz w:val="24"/>
          <w:szCs w:val="24"/>
          <w:rtl/>
          <w:lang w:bidi="ar-DZ"/>
        </w:rPr>
        <w:t>.</w:t>
      </w:r>
      <w:r w:rsidRPr="00206B59">
        <w:rPr>
          <w:rFonts w:ascii="Simplified Arabic" w:hAnsi="Simplified Arabic" w:cs="Simplified Arabic" w:hint="cs"/>
          <w:sz w:val="24"/>
          <w:szCs w:val="24"/>
          <w:rtl/>
          <w:lang w:bidi="ar-DZ"/>
        </w:rPr>
        <w:t xml:space="preserve"> تم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تطبيق</w:t>
      </w:r>
      <w:r w:rsidRPr="00206B59">
        <w:rPr>
          <w:rFonts w:ascii="Simplified Arabic" w:hAnsi="Simplified Arabic" w:cs="Simplified Arabic"/>
          <w:sz w:val="24"/>
          <w:szCs w:val="24"/>
          <w:rtl/>
          <w:lang w:bidi="ar-DZ"/>
        </w:rPr>
        <w:t xml:space="preserve"> </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color w:val="000000" w:themeColor="text1"/>
          <w:sz w:val="24"/>
          <w:szCs w:val="24"/>
          <w:lang w:bidi="ar-DZ"/>
        </w:rPr>
        <w:t>NIRA</w:t>
      </w:r>
      <w:r w:rsidRPr="00206B59">
        <w:rPr>
          <w:rFonts w:asciiTheme="majorBidi" w:hAnsiTheme="majorBidi" w:cstheme="majorBidi"/>
          <w:color w:val="000000" w:themeColor="text1"/>
          <w:sz w:val="24"/>
          <w:szCs w:val="24"/>
          <w:rtl/>
          <w:lang w:bidi="ar-DZ"/>
        </w:rPr>
        <w:t>)</w:t>
      </w:r>
      <w:r w:rsidRPr="00206B59">
        <w:rPr>
          <w:rFonts w:asciiTheme="majorBidi" w:hAnsiTheme="majorBidi" w:cstheme="majorBidi" w:hint="cs"/>
          <w:color w:val="000000" w:themeColor="text1"/>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أربعة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أنواع</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أنظمة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البنية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التحتية، يتم حساب</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مستوى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الاداء الوظيفي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للبنية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التحتية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أثناء</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الكوارث</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والوقت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المستغرق</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للعودة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إلى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المستوى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السابق</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الوظيفة</w:t>
      </w:r>
      <w:r w:rsidRPr="00206B59">
        <w:rPr>
          <w:rFonts w:ascii="Simplified Arabic" w:hAnsi="Simplified Arabic" w:cs="Simplified Arabic"/>
          <w:sz w:val="24"/>
          <w:szCs w:val="24"/>
          <w:rtl/>
          <w:lang w:bidi="ar-DZ"/>
        </w:rPr>
        <w:t>.</w:t>
      </w:r>
      <w:r w:rsidRPr="00206B59">
        <w:rPr>
          <w:rFonts w:hint="cs"/>
          <w:rtl/>
        </w:rPr>
        <w:t xml:space="preserve"> </w:t>
      </w:r>
    </w:p>
    <w:p w:rsidR="003E0F31" w:rsidRPr="004E0798" w:rsidRDefault="003E0F31" w:rsidP="00F860E2">
      <w:pPr>
        <w:bidi/>
        <w:spacing w:after="0"/>
        <w:ind w:firstLine="282"/>
        <w:jc w:val="both"/>
        <w:rPr>
          <w:rFonts w:ascii="Simplified Arabic" w:hAnsi="Simplified Arabic" w:cs="Simplified Arabic"/>
          <w:sz w:val="32"/>
          <w:szCs w:val="32"/>
          <w:rtl/>
          <w:lang w:bidi="ar-DZ"/>
        </w:rPr>
      </w:pPr>
      <w:r w:rsidRPr="00206B59">
        <w:rPr>
          <w:rFonts w:ascii="Simplified Arabic" w:hAnsi="Simplified Arabic" w:cs="Simplified Arabic" w:hint="cs"/>
          <w:sz w:val="24"/>
          <w:szCs w:val="24"/>
          <w:rtl/>
          <w:lang w:bidi="ar-DZ"/>
        </w:rPr>
        <w:lastRenderedPageBreak/>
        <w:t>ينصب</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التركيز</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فقط</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على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شبكات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الأنظمة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المادية،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ولا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يتم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النظر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السياق</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الاجتماعي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والاقتصادي</w:t>
      </w:r>
      <w:r w:rsidRPr="00206B59">
        <w:rPr>
          <w:rFonts w:ascii="Simplified Arabic" w:hAnsi="Simplified Arabic" w:cs="Simplified Arabic"/>
          <w:sz w:val="24"/>
          <w:szCs w:val="24"/>
          <w:rtl/>
          <w:lang w:bidi="ar-DZ"/>
        </w:rPr>
        <w:t xml:space="preserve"> </w:t>
      </w:r>
      <w:r w:rsidRPr="00206B59">
        <w:rPr>
          <w:rFonts w:asciiTheme="majorBidi" w:hAnsiTheme="majorBidi" w:cstheme="majorBidi"/>
          <w:color w:val="000000" w:themeColor="text1"/>
          <w:sz w:val="24"/>
          <w:szCs w:val="24"/>
        </w:rPr>
        <w:t>(Mayada, 2011)</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تبحث</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هذه الدراسة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الحالية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عن العوامل التي تؤثر على 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نظام شبكة الطرق</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لمواجهة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أحداث</w:t>
      </w:r>
      <w:r w:rsidRPr="00206B59">
        <w:rPr>
          <w:rFonts w:ascii="Simplified Arabic" w:hAnsi="Simplified Arabic" w:cs="Simplified Arabic"/>
          <w:sz w:val="24"/>
          <w:szCs w:val="24"/>
          <w:rtl/>
          <w:lang w:bidi="ar-DZ"/>
        </w:rPr>
        <w:t xml:space="preserve"> </w:t>
      </w:r>
      <w:r w:rsidR="007A091D" w:rsidRPr="00206B59">
        <w:rPr>
          <w:rFonts w:ascii="Simplified Arabic" w:hAnsi="Simplified Arabic" w:cs="Simplified Arabic" w:hint="cs"/>
          <w:sz w:val="24"/>
          <w:szCs w:val="24"/>
          <w:rtl/>
          <w:lang w:bidi="ar-DZ"/>
        </w:rPr>
        <w:t>الفيضانات</w:t>
      </w:r>
      <w:r w:rsidRPr="00206B59">
        <w:rPr>
          <w:rFonts w:ascii="Simplified Arabic" w:hAnsi="Simplified Arabic" w:cs="Simplified Arabic" w:hint="cs"/>
          <w:sz w:val="24"/>
          <w:szCs w:val="24"/>
          <w:rtl/>
          <w:lang w:bidi="ar-DZ"/>
        </w:rPr>
        <w:t>، يرتبط أداء نظام شبكة الطرق بقدرة استيعابها اثناء الذروة</w:t>
      </w:r>
      <w:r w:rsidR="007A091D" w:rsidRPr="00206B59">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lang w:bidi="ar-DZ"/>
        </w:rPr>
        <w:t xml:space="preserve"> يعتبر التحديد المسبق لمسارات الاجلاء من الامور الاساسية لتعزيز المرونة </w:t>
      </w:r>
      <w:r w:rsidRPr="00206B59">
        <w:rPr>
          <w:rFonts w:ascii="Times New Roman" w:eastAsia="CharisSIL" w:hAnsi="Times New Roman" w:cs="Times New Roman"/>
          <w:sz w:val="24"/>
          <w:szCs w:val="24"/>
        </w:rPr>
        <w:t xml:space="preserve">(Faturechi et Miller-Hooks, 2015) </w:t>
      </w:r>
    </w:p>
    <w:p w:rsidR="003E0F31" w:rsidRDefault="003E0F31" w:rsidP="00F860E2">
      <w:pPr>
        <w:bidi/>
        <w:spacing w:before="240" w:after="0"/>
        <w:ind w:firstLine="282"/>
        <w:jc w:val="both"/>
        <w:rPr>
          <w:rFonts w:asciiTheme="minorBidi" w:hAnsiTheme="minorBidi" w:cs="Arial"/>
          <w:color w:val="000000" w:themeColor="text1"/>
          <w:sz w:val="24"/>
          <w:szCs w:val="24"/>
          <w:rtl/>
          <w:lang w:bidi="ar-DZ"/>
        </w:rPr>
      </w:pPr>
      <w:r w:rsidRPr="00580803">
        <w:rPr>
          <w:rFonts w:ascii="Simplified Arabic" w:hAnsi="Simplified Arabic" w:cs="Simplified Arabic" w:hint="cs"/>
          <w:sz w:val="24"/>
          <w:szCs w:val="24"/>
          <w:rtl/>
          <w:lang w:bidi="ar-DZ"/>
        </w:rPr>
        <w:t>يتضمن</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إطار</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العمل</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سلسلة</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من</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الخطوات</w:t>
      </w:r>
      <w:r>
        <w:rPr>
          <w:rFonts w:ascii="Simplified Arabic" w:hAnsi="Simplified Arabic" w:cs="Simplified Arabic" w:hint="cs"/>
          <w:sz w:val="24"/>
          <w:szCs w:val="24"/>
          <w:rtl/>
          <w:lang w:bidi="ar-DZ"/>
        </w:rPr>
        <w:t xml:space="preserve">، </w:t>
      </w:r>
      <w:r w:rsidRPr="00DA7602">
        <w:rPr>
          <w:rFonts w:ascii="Simplified Arabic" w:hAnsi="Simplified Arabic" w:cs="Simplified Arabic"/>
          <w:color w:val="000000"/>
          <w:sz w:val="24"/>
          <w:szCs w:val="24"/>
          <w:rtl/>
        </w:rPr>
        <w:t xml:space="preserve">الشكل </w:t>
      </w:r>
      <w:r>
        <w:rPr>
          <w:rFonts w:ascii="Simplified Arabic" w:hAnsi="Simplified Arabic" w:cs="Simplified Arabic" w:hint="cs"/>
          <w:color w:val="000000"/>
          <w:sz w:val="24"/>
          <w:szCs w:val="24"/>
          <w:rtl/>
        </w:rPr>
        <w:t>(</w:t>
      </w:r>
      <w:r w:rsidR="00D036AA">
        <w:rPr>
          <w:rFonts w:ascii="Simplified Arabic" w:hAnsi="Simplified Arabic" w:cs="Simplified Arabic" w:hint="cs"/>
          <w:color w:val="000000"/>
          <w:sz w:val="24"/>
          <w:szCs w:val="24"/>
          <w:rtl/>
        </w:rPr>
        <w:t>2-4</w:t>
      </w:r>
      <w:r>
        <w:rPr>
          <w:rFonts w:ascii="Simplified Arabic" w:hAnsi="Simplified Arabic" w:cs="Simplified Arabic" w:hint="cs"/>
          <w:color w:val="000000"/>
          <w:sz w:val="24"/>
          <w:szCs w:val="24"/>
          <w:rtl/>
        </w:rPr>
        <w:t>)،</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التي</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تشمل</w:t>
      </w:r>
      <w:r w:rsidRPr="0058080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تعيين</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حدود</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النظام وتقييم</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مقاييس</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مرونة</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النظام</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وتحديد</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وتقييم</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خطط</w:t>
      </w:r>
      <w:r w:rsidRPr="0058080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وسيناريوهات </w:t>
      </w:r>
      <w:r w:rsidRPr="00580803">
        <w:rPr>
          <w:rFonts w:ascii="Simplified Arabic" w:hAnsi="Simplified Arabic" w:cs="Simplified Arabic" w:hint="cs"/>
          <w:sz w:val="24"/>
          <w:szCs w:val="24"/>
          <w:rtl/>
          <w:lang w:bidi="ar-DZ"/>
        </w:rPr>
        <w:t>تمكين</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المرونة</w:t>
      </w:r>
      <w:r w:rsidRPr="00580803">
        <w:rPr>
          <w:rFonts w:ascii="Simplified Arabic" w:hAnsi="Simplified Arabic" w:cs="Simplified Arabic"/>
          <w:sz w:val="24"/>
          <w:szCs w:val="24"/>
          <w:rtl/>
          <w:lang w:bidi="ar-DZ"/>
        </w:rPr>
        <w:t xml:space="preserve"> </w:t>
      </w:r>
      <w:r w:rsidRPr="00580803">
        <w:rPr>
          <w:rFonts w:ascii="Simplified Arabic" w:hAnsi="Simplified Arabic" w:cs="Simplified Arabic" w:hint="cs"/>
          <w:sz w:val="24"/>
          <w:szCs w:val="24"/>
          <w:rtl/>
          <w:lang w:bidi="ar-DZ"/>
        </w:rPr>
        <w:t>المناسبة</w:t>
      </w:r>
      <w:r w:rsidRPr="008D22F1">
        <w:rPr>
          <w:rFonts w:asciiTheme="minorBidi" w:hAnsiTheme="minorBidi" w:cs="Arial"/>
          <w:color w:val="000000" w:themeColor="text1"/>
          <w:sz w:val="24"/>
          <w:szCs w:val="24"/>
          <w:rtl/>
          <w:lang w:bidi="ar-DZ"/>
        </w:rPr>
        <w:t xml:space="preserve"> </w:t>
      </w:r>
      <w:r w:rsidRPr="008D22F1">
        <w:rPr>
          <w:rFonts w:asciiTheme="majorBidi" w:hAnsiTheme="majorBidi" w:cstheme="majorBidi"/>
          <w:color w:val="000000" w:themeColor="text1"/>
          <w:sz w:val="24"/>
          <w:szCs w:val="24"/>
        </w:rPr>
        <w:t>(</w:t>
      </w:r>
      <w:r w:rsidRPr="00206B59">
        <w:rPr>
          <w:rFonts w:asciiTheme="majorBidi" w:hAnsiTheme="majorBidi" w:cstheme="majorBidi"/>
          <w:color w:val="000000" w:themeColor="text1"/>
          <w:sz w:val="24"/>
          <w:szCs w:val="24"/>
        </w:rPr>
        <w:t>Mayada</w:t>
      </w:r>
      <w:r w:rsidRPr="008D22F1">
        <w:rPr>
          <w:rFonts w:asciiTheme="majorBidi" w:hAnsiTheme="majorBidi" w:cstheme="majorBidi"/>
          <w:color w:val="000000" w:themeColor="text1"/>
          <w:sz w:val="24"/>
          <w:szCs w:val="24"/>
        </w:rPr>
        <w:t>, 2011)</w:t>
      </w:r>
      <w:r w:rsidRPr="00800DDE">
        <w:rPr>
          <w:rFonts w:ascii="Simplified Arabic" w:hAnsi="Simplified Arabic" w:cs="Simplified Arabic"/>
          <w:sz w:val="24"/>
          <w:szCs w:val="24"/>
          <w:rtl/>
          <w:lang w:bidi="ar-DZ"/>
        </w:rPr>
        <w:t>.</w:t>
      </w:r>
      <w:r>
        <w:rPr>
          <w:rFonts w:asciiTheme="minorBidi" w:hAnsiTheme="minorBidi" w:cs="Arial" w:hint="cs"/>
          <w:color w:val="000000" w:themeColor="text1"/>
          <w:sz w:val="24"/>
          <w:szCs w:val="24"/>
          <w:rtl/>
          <w:lang w:bidi="ar-DZ"/>
        </w:rPr>
        <w:t xml:space="preserve"> </w:t>
      </w:r>
    </w:p>
    <w:p w:rsidR="003E0F31" w:rsidRPr="00762191" w:rsidRDefault="003E0F31" w:rsidP="00622171">
      <w:pPr>
        <w:pStyle w:val="fegure"/>
        <w:spacing w:before="240"/>
        <w:rPr>
          <w:rFonts w:asciiTheme="majorBidi" w:hAnsiTheme="majorBidi" w:cstheme="majorBidi"/>
          <w:b/>
          <w:szCs w:val="24"/>
          <w:rtl/>
          <w:lang w:bidi="ar-DZ"/>
        </w:rPr>
      </w:pPr>
      <w:bookmarkStart w:id="317" w:name="_Toc157608290"/>
      <w:bookmarkStart w:id="318" w:name="_Toc171803451"/>
      <w:r w:rsidRPr="00762191">
        <w:rPr>
          <w:szCs w:val="24"/>
          <w:rtl/>
        </w:rPr>
        <w:t xml:space="preserve">الشكل </w:t>
      </w:r>
      <w:r w:rsidRPr="00762191">
        <w:rPr>
          <w:rFonts w:hint="cs"/>
          <w:szCs w:val="24"/>
          <w:rtl/>
        </w:rPr>
        <w:t>(</w:t>
      </w:r>
      <w:r w:rsidR="00D036AA" w:rsidRPr="00762191">
        <w:rPr>
          <w:rFonts w:hint="cs"/>
          <w:szCs w:val="24"/>
          <w:rtl/>
        </w:rPr>
        <w:t>2-4</w:t>
      </w:r>
      <w:r w:rsidRPr="00762191">
        <w:rPr>
          <w:rFonts w:hint="cs"/>
          <w:szCs w:val="24"/>
          <w:rtl/>
        </w:rPr>
        <w:t>):</w:t>
      </w:r>
      <w:r w:rsidRPr="00762191">
        <w:rPr>
          <w:szCs w:val="24"/>
          <w:rtl/>
        </w:rPr>
        <w:t xml:space="preserve"> </w:t>
      </w:r>
      <w:r w:rsidRPr="00762191">
        <w:rPr>
          <w:rFonts w:hint="cs"/>
          <w:szCs w:val="24"/>
          <w:rtl/>
        </w:rPr>
        <w:t>تقييم</w:t>
      </w:r>
      <w:r w:rsidRPr="00762191">
        <w:rPr>
          <w:szCs w:val="24"/>
          <w:rtl/>
        </w:rPr>
        <w:t xml:space="preserve"> </w:t>
      </w:r>
      <w:r w:rsidRPr="00762191">
        <w:rPr>
          <w:rFonts w:hint="cs"/>
          <w:szCs w:val="24"/>
          <w:rtl/>
        </w:rPr>
        <w:t>مرونة</w:t>
      </w:r>
      <w:r w:rsidRPr="00762191">
        <w:rPr>
          <w:szCs w:val="24"/>
          <w:rtl/>
        </w:rPr>
        <w:t xml:space="preserve"> </w:t>
      </w:r>
      <w:r w:rsidRPr="00762191">
        <w:rPr>
          <w:rFonts w:hint="cs"/>
          <w:szCs w:val="24"/>
          <w:rtl/>
        </w:rPr>
        <w:t>البنية</w:t>
      </w:r>
      <w:r w:rsidRPr="00762191">
        <w:rPr>
          <w:szCs w:val="24"/>
          <w:rtl/>
        </w:rPr>
        <w:t xml:space="preserve"> </w:t>
      </w:r>
      <w:r w:rsidRPr="00762191">
        <w:rPr>
          <w:rFonts w:hint="cs"/>
          <w:szCs w:val="24"/>
          <w:rtl/>
        </w:rPr>
        <w:t>التحتية</w:t>
      </w:r>
      <w:r w:rsidRPr="00762191">
        <w:rPr>
          <w:szCs w:val="24"/>
          <w:rtl/>
        </w:rPr>
        <w:t xml:space="preserve"> </w:t>
      </w:r>
      <w:r w:rsidRPr="00762191">
        <w:rPr>
          <w:rFonts w:hint="cs"/>
          <w:szCs w:val="24"/>
          <w:rtl/>
        </w:rPr>
        <w:t>الشبكية</w:t>
      </w:r>
      <w:r w:rsidRPr="00762191">
        <w:rPr>
          <w:rFonts w:asciiTheme="majorBidi" w:hAnsiTheme="majorBidi" w:cstheme="majorBidi"/>
          <w:b/>
          <w:szCs w:val="24"/>
          <w:rtl/>
          <w:lang w:bidi="ar-DZ"/>
        </w:rPr>
        <w:t xml:space="preserve"> </w:t>
      </w:r>
      <w:r w:rsidRPr="00762191">
        <w:rPr>
          <w:rFonts w:asciiTheme="majorBidi" w:hAnsiTheme="majorBidi" w:cstheme="majorBidi"/>
          <w:szCs w:val="24"/>
          <w:rtl/>
        </w:rPr>
        <w:t>(</w:t>
      </w:r>
      <w:r w:rsidRPr="00762191">
        <w:rPr>
          <w:rFonts w:asciiTheme="majorBidi" w:hAnsiTheme="majorBidi" w:cstheme="majorBidi"/>
          <w:szCs w:val="24"/>
        </w:rPr>
        <w:t>NIRA</w:t>
      </w:r>
      <w:r w:rsidRPr="00762191">
        <w:rPr>
          <w:rFonts w:asciiTheme="majorBidi" w:hAnsiTheme="majorBidi" w:cstheme="majorBidi"/>
          <w:szCs w:val="24"/>
          <w:rtl/>
        </w:rPr>
        <w:t>)</w:t>
      </w:r>
      <w:r w:rsidRPr="00762191">
        <w:rPr>
          <w:rFonts w:hint="cs"/>
          <w:szCs w:val="24"/>
          <w:rtl/>
        </w:rPr>
        <w:t>.</w:t>
      </w:r>
      <w:bookmarkEnd w:id="317"/>
      <w:bookmarkEnd w:id="318"/>
    </w:p>
    <w:p w:rsidR="003E0F31" w:rsidRPr="006E6FA9" w:rsidRDefault="003E0F31" w:rsidP="003E0F31">
      <w:pPr>
        <w:bidi/>
        <w:spacing w:after="0" w:line="240" w:lineRule="auto"/>
        <w:jc w:val="center"/>
        <w:rPr>
          <w:rFonts w:ascii="Calibri" w:hAnsi="Calibri" w:cs="Calibri"/>
          <w:b/>
          <w:bCs/>
          <w:color w:val="000000"/>
          <w:sz w:val="24"/>
          <w:szCs w:val="24"/>
          <w:rtl/>
        </w:rPr>
      </w:pPr>
      <w:r w:rsidRPr="00DA7602">
        <w:rPr>
          <w:rFonts w:ascii="Simplified Arabic" w:hAnsi="Simplified Arabic" w:cs="Simplified Arabic" w:hint="cs"/>
          <w:color w:val="000000"/>
          <w:sz w:val="24"/>
          <w:szCs w:val="24"/>
          <w:rtl/>
        </w:rPr>
        <w:t>المصدر:</w:t>
      </w:r>
      <w:r w:rsidRPr="006E6FA9">
        <w:rPr>
          <w:rFonts w:ascii="Calibri" w:hAnsi="Calibri" w:cs="Arial" w:hint="cs"/>
          <w:b/>
          <w:bCs/>
          <w:color w:val="000000"/>
          <w:sz w:val="24"/>
          <w:szCs w:val="24"/>
          <w:rtl/>
        </w:rPr>
        <w:t xml:space="preserve"> </w:t>
      </w:r>
      <w:r w:rsidRPr="00DA7602">
        <w:rPr>
          <w:rFonts w:asciiTheme="majorBidi" w:hAnsiTheme="majorBidi" w:cstheme="majorBidi"/>
          <w:color w:val="000000"/>
          <w:sz w:val="24"/>
          <w:szCs w:val="24"/>
        </w:rPr>
        <w:t>(</w:t>
      </w:r>
      <w:r w:rsidRPr="00206B59">
        <w:rPr>
          <w:rFonts w:asciiTheme="majorBidi" w:hAnsiTheme="majorBidi" w:cstheme="majorBidi"/>
          <w:color w:val="000000"/>
          <w:sz w:val="24"/>
          <w:szCs w:val="24"/>
        </w:rPr>
        <w:t>Mayada</w:t>
      </w:r>
      <w:r w:rsidRPr="00DA7602">
        <w:rPr>
          <w:rFonts w:asciiTheme="majorBidi" w:hAnsiTheme="majorBidi" w:cstheme="majorBidi"/>
          <w:color w:val="000000"/>
          <w:sz w:val="24"/>
          <w:szCs w:val="24"/>
        </w:rPr>
        <w:t>, 2011)</w:t>
      </w:r>
      <w:r w:rsidRPr="00DA7602">
        <w:rPr>
          <w:rFonts w:ascii="Simplified Arabic" w:hAnsi="Simplified Arabic" w:cs="Simplified Arabic" w:hint="cs"/>
          <w:color w:val="000000"/>
          <w:sz w:val="24"/>
          <w:szCs w:val="24"/>
          <w:rtl/>
        </w:rPr>
        <w:t>.</w:t>
      </w:r>
    </w:p>
    <w:p w:rsidR="003E0F31" w:rsidRDefault="003E0F31" w:rsidP="003E0F31">
      <w:pPr>
        <w:bidi/>
        <w:spacing w:after="0"/>
        <w:jc w:val="center"/>
        <w:rPr>
          <w:rFonts w:ascii="Simplified Arabic" w:hAnsi="Simplified Arabic" w:cs="Simplified Arabic"/>
          <w:sz w:val="24"/>
          <w:szCs w:val="24"/>
          <w:rtl/>
          <w:lang w:bidi="ar-DZ"/>
        </w:rPr>
      </w:pPr>
      <w:r>
        <w:rPr>
          <w:noProof/>
          <w:lang w:eastAsia="fr-FR"/>
        </w:rPr>
        <w:drawing>
          <wp:inline distT="0" distB="0" distL="0" distR="0" wp14:anchorId="195F6FCE" wp14:editId="7D50FE2F">
            <wp:extent cx="2517499" cy="3329796"/>
            <wp:effectExtent l="19050" t="19050" r="16510" b="23495"/>
            <wp:docPr id="123" name="Imag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8">
                      <a:extLst>
                        <a:ext uri="{28A0092B-C50C-407E-A947-70E740481C1C}">
                          <a14:useLocalDpi xmlns:a14="http://schemas.microsoft.com/office/drawing/2010/main" val="0"/>
                        </a:ext>
                      </a:extLst>
                    </a:blip>
                    <a:stretch>
                      <a:fillRect/>
                    </a:stretch>
                  </pic:blipFill>
                  <pic:spPr>
                    <a:xfrm>
                      <a:off x="0" y="0"/>
                      <a:ext cx="2531458" cy="3348258"/>
                    </a:xfrm>
                    <a:prstGeom prst="rect">
                      <a:avLst/>
                    </a:prstGeom>
                    <a:ln>
                      <a:solidFill>
                        <a:schemeClr val="tx1"/>
                      </a:solidFill>
                    </a:ln>
                  </pic:spPr>
                </pic:pic>
              </a:graphicData>
            </a:graphic>
          </wp:inline>
        </w:drawing>
      </w:r>
    </w:p>
    <w:p w:rsidR="003E0F31" w:rsidRDefault="007F4407" w:rsidP="00F76D99">
      <w:pPr>
        <w:pStyle w:val="Tableau"/>
        <w:rPr>
          <w:rtl/>
        </w:rPr>
      </w:pPr>
      <w:bookmarkStart w:id="319" w:name="_Toc157612968"/>
      <w:bookmarkStart w:id="320" w:name="_Toc171803452"/>
      <w:r>
        <w:rPr>
          <w:rFonts w:hint="cs"/>
          <w:color w:val="000000" w:themeColor="text1"/>
          <w:rtl/>
          <w:lang w:bidi="ar-DZ"/>
        </w:rPr>
        <w:t xml:space="preserve">الجدول (2-4): </w:t>
      </w:r>
      <w:r w:rsidR="003E0F31">
        <w:rPr>
          <w:rFonts w:hint="cs"/>
          <w:color w:val="000000" w:themeColor="text1"/>
          <w:rtl/>
          <w:lang w:bidi="ar-DZ"/>
        </w:rPr>
        <w:t xml:space="preserve">ايجابيات وسلبيات </w:t>
      </w:r>
      <w:r w:rsidR="003E0F31" w:rsidRPr="00DA7602">
        <w:rPr>
          <w:rFonts w:hint="cs"/>
          <w:rtl/>
        </w:rPr>
        <w:t>تقييم</w:t>
      </w:r>
      <w:r w:rsidR="003E0F31" w:rsidRPr="00DA7602">
        <w:rPr>
          <w:rtl/>
        </w:rPr>
        <w:t xml:space="preserve"> </w:t>
      </w:r>
      <w:r w:rsidR="003E0F31" w:rsidRPr="00DA7602">
        <w:rPr>
          <w:rFonts w:hint="cs"/>
          <w:rtl/>
        </w:rPr>
        <w:t>مرونة</w:t>
      </w:r>
      <w:r w:rsidR="003E0F31" w:rsidRPr="00DA7602">
        <w:rPr>
          <w:rtl/>
        </w:rPr>
        <w:t xml:space="preserve"> </w:t>
      </w:r>
      <w:r w:rsidR="003E0F31" w:rsidRPr="00DA7602">
        <w:rPr>
          <w:rFonts w:hint="cs"/>
          <w:rtl/>
        </w:rPr>
        <w:t>البنية</w:t>
      </w:r>
      <w:r w:rsidR="003E0F31" w:rsidRPr="00DA7602">
        <w:rPr>
          <w:rtl/>
        </w:rPr>
        <w:t xml:space="preserve"> </w:t>
      </w:r>
      <w:r w:rsidR="003E0F31" w:rsidRPr="00DA7602">
        <w:rPr>
          <w:rFonts w:hint="cs"/>
          <w:rtl/>
        </w:rPr>
        <w:t>التحتية</w:t>
      </w:r>
      <w:r w:rsidR="003E0F31" w:rsidRPr="00DA7602">
        <w:rPr>
          <w:rtl/>
        </w:rPr>
        <w:t xml:space="preserve"> </w:t>
      </w:r>
      <w:r w:rsidR="003E0F31" w:rsidRPr="00DA7602">
        <w:rPr>
          <w:rFonts w:hint="cs"/>
          <w:rtl/>
        </w:rPr>
        <w:t>الشبكية</w:t>
      </w:r>
      <w:r w:rsidR="003E0F31" w:rsidRPr="006E6FA9">
        <w:rPr>
          <w:rFonts w:asciiTheme="majorBidi" w:hAnsiTheme="majorBidi" w:cstheme="majorBidi"/>
          <w:color w:val="000000" w:themeColor="text1"/>
          <w:rtl/>
          <w:lang w:bidi="ar-DZ"/>
        </w:rPr>
        <w:t xml:space="preserve"> </w:t>
      </w:r>
      <w:r w:rsidR="003E0F31" w:rsidRPr="00DA7602">
        <w:rPr>
          <w:rFonts w:asciiTheme="majorBidi" w:hAnsiTheme="majorBidi" w:cstheme="majorBidi"/>
          <w:rtl/>
        </w:rPr>
        <w:t>(</w:t>
      </w:r>
      <w:r w:rsidR="003E0F31" w:rsidRPr="00DA7602">
        <w:rPr>
          <w:rFonts w:asciiTheme="majorBidi" w:hAnsiTheme="majorBidi" w:cstheme="majorBidi"/>
        </w:rPr>
        <w:t>NIRA</w:t>
      </w:r>
      <w:r w:rsidR="003E0F31" w:rsidRPr="00DA7602">
        <w:rPr>
          <w:rFonts w:asciiTheme="majorBidi" w:hAnsiTheme="majorBidi" w:cstheme="majorBidi"/>
          <w:rtl/>
        </w:rPr>
        <w:t>)</w:t>
      </w:r>
      <w:bookmarkEnd w:id="319"/>
      <w:bookmarkEnd w:id="320"/>
    </w:p>
    <w:p w:rsidR="00597092" w:rsidRPr="00597092" w:rsidRDefault="00597092" w:rsidP="00597092">
      <w:pPr>
        <w:pStyle w:val="fegure"/>
        <w:rPr>
          <w:sz w:val="8"/>
          <w:szCs w:val="24"/>
          <w:rtl/>
          <w:lang w:val="en-US"/>
        </w:rPr>
      </w:pPr>
      <w:bookmarkStart w:id="321" w:name="_Toc171803453"/>
      <w:r>
        <w:rPr>
          <w:rFonts w:hint="cs"/>
          <w:sz w:val="8"/>
          <w:szCs w:val="24"/>
          <w:rtl/>
          <w:lang w:val="en-US"/>
        </w:rPr>
        <w:t>المصدر: (الباحث، 2022)</w:t>
      </w:r>
      <w:bookmarkEnd w:id="321"/>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6"/>
        <w:gridCol w:w="3686"/>
      </w:tblGrid>
      <w:tr w:rsidR="003E0F31" w:rsidRPr="00826FB0" w:rsidTr="00F860E2">
        <w:trPr>
          <w:jc w:val="center"/>
        </w:trPr>
        <w:tc>
          <w:tcPr>
            <w:tcW w:w="4536" w:type="dxa"/>
            <w:vAlign w:val="center"/>
          </w:tcPr>
          <w:p w:rsidR="003E0F31" w:rsidRPr="00826FB0" w:rsidRDefault="003E0F31" w:rsidP="001E12D7">
            <w:pPr>
              <w:bidi/>
              <w:spacing w:after="0" w:line="240" w:lineRule="auto"/>
              <w:jc w:val="center"/>
              <w:rPr>
                <w:rFonts w:ascii="Simplified Arabic" w:hAnsi="Simplified Arabic" w:cs="Simplified Arabic"/>
                <w:sz w:val="24"/>
                <w:szCs w:val="24"/>
                <w:rtl/>
                <w:lang w:bidi="ar-DZ"/>
              </w:rPr>
            </w:pPr>
            <w:r w:rsidRPr="00826FB0">
              <w:rPr>
                <w:rFonts w:ascii="Simplified Arabic" w:hAnsi="Simplified Arabic" w:cs="Simplified Arabic"/>
                <w:sz w:val="24"/>
                <w:szCs w:val="24"/>
                <w:rtl/>
                <w:lang w:bidi="ar-DZ"/>
              </w:rPr>
              <w:t>الايجابيات</w:t>
            </w:r>
          </w:p>
        </w:tc>
        <w:tc>
          <w:tcPr>
            <w:tcW w:w="3686" w:type="dxa"/>
            <w:vAlign w:val="center"/>
          </w:tcPr>
          <w:p w:rsidR="003E0F31" w:rsidRPr="00826FB0" w:rsidRDefault="003E0F31" w:rsidP="001E12D7">
            <w:pPr>
              <w:bidi/>
              <w:spacing w:after="0" w:line="240" w:lineRule="auto"/>
              <w:jc w:val="center"/>
              <w:rPr>
                <w:rFonts w:ascii="Simplified Arabic" w:hAnsi="Simplified Arabic" w:cs="Simplified Arabic"/>
                <w:sz w:val="24"/>
                <w:szCs w:val="24"/>
                <w:rtl/>
                <w:lang w:bidi="ar-DZ"/>
              </w:rPr>
            </w:pPr>
            <w:r w:rsidRPr="00826FB0">
              <w:rPr>
                <w:rFonts w:ascii="Simplified Arabic" w:hAnsi="Simplified Arabic" w:cs="Simplified Arabic"/>
                <w:sz w:val="24"/>
                <w:szCs w:val="24"/>
                <w:rtl/>
                <w:lang w:bidi="ar-DZ"/>
              </w:rPr>
              <w:t>السلبيات</w:t>
            </w:r>
          </w:p>
        </w:tc>
      </w:tr>
      <w:tr w:rsidR="003E0F31" w:rsidRPr="00826FB0" w:rsidTr="00F860E2">
        <w:trPr>
          <w:jc w:val="center"/>
        </w:trPr>
        <w:tc>
          <w:tcPr>
            <w:tcW w:w="4536" w:type="dxa"/>
          </w:tcPr>
          <w:p w:rsidR="003E0F31" w:rsidRPr="00826FB0"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val="en-US" w:bidi="ar-DZ"/>
              </w:rPr>
              <w:t xml:space="preserve">تم تطويره لتقييم المرونة على </w:t>
            </w:r>
            <w:r w:rsidRPr="008872FE">
              <w:rPr>
                <w:rFonts w:ascii="Simplified Arabic" w:hAnsi="Simplified Arabic" w:cs="Simplified Arabic"/>
                <w:sz w:val="24"/>
                <w:szCs w:val="24"/>
                <w:rtl/>
                <w:lang w:val="en-US" w:bidi="ar-DZ"/>
              </w:rPr>
              <w:t>مستوى المجتمع</w:t>
            </w:r>
            <w:r w:rsidRPr="00826FB0">
              <w:rPr>
                <w:rFonts w:ascii="Simplified Arabic" w:hAnsi="Simplified Arabic" w:cs="Simplified Arabic"/>
                <w:sz w:val="24"/>
                <w:szCs w:val="24"/>
                <w:rtl/>
                <w:lang w:val="en-US" w:bidi="ar-DZ"/>
              </w:rPr>
              <w:t xml:space="preserve"> وأيضًا لأنظمة شبكات البنية التحتية.</w:t>
            </w:r>
          </w:p>
          <w:p w:rsidR="003E0F31" w:rsidRPr="00826FB0"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val="en-US" w:bidi="ar-DZ"/>
              </w:rPr>
              <w:t>يركز بشدة على البعد التقني لأنظمة الشبكات الحضرية</w:t>
            </w:r>
          </w:p>
          <w:p w:rsidR="003E0F31" w:rsidRPr="00826FB0"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val="en-US" w:bidi="ar-DZ"/>
              </w:rPr>
              <w:t xml:space="preserve">يسمح لصانعي القرار لبناء استراتيجيات المرونة المختلفة </w:t>
            </w:r>
            <w:r>
              <w:rPr>
                <w:rFonts w:ascii="Simplified Arabic" w:hAnsi="Simplified Arabic" w:cs="Simplified Arabic" w:hint="cs"/>
                <w:sz w:val="24"/>
                <w:szCs w:val="24"/>
                <w:rtl/>
                <w:lang w:val="en-US" w:bidi="ar-DZ"/>
              </w:rPr>
              <w:t>ب</w:t>
            </w:r>
            <w:r w:rsidRPr="00826FB0">
              <w:rPr>
                <w:rFonts w:ascii="Simplified Arabic" w:hAnsi="Simplified Arabic" w:cs="Simplified Arabic"/>
                <w:sz w:val="24"/>
                <w:szCs w:val="24"/>
                <w:rtl/>
                <w:lang w:bidi="ar-DZ"/>
              </w:rPr>
              <w:t xml:space="preserve">تقييم تأثير الاضطرابات على أداء </w:t>
            </w:r>
            <w:r w:rsidRPr="00826FB0">
              <w:rPr>
                <w:rFonts w:ascii="Simplified Arabic" w:hAnsi="Simplified Arabic" w:cs="Simplified Arabic"/>
                <w:sz w:val="24"/>
                <w:szCs w:val="24"/>
                <w:rtl/>
                <w:lang w:val="en-US" w:bidi="ar-DZ"/>
              </w:rPr>
              <w:t>أنظمة الشبكات.</w:t>
            </w:r>
          </w:p>
          <w:p w:rsidR="003E0F31" w:rsidRPr="00826FB0"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val="en-US" w:bidi="ar-DZ"/>
              </w:rPr>
              <w:t>تبحث في مرونة أنظمة البنية التحتية لمواجهة أحداث تخريبية للشبكات التنظيمية.</w:t>
            </w:r>
          </w:p>
        </w:tc>
        <w:tc>
          <w:tcPr>
            <w:tcW w:w="3686" w:type="dxa"/>
          </w:tcPr>
          <w:p w:rsidR="003E0F31" w:rsidRPr="00826FB0" w:rsidRDefault="003E0F31" w:rsidP="001E12D7">
            <w:pPr>
              <w:bidi/>
              <w:spacing w:after="0" w:line="240" w:lineRule="auto"/>
              <w:rPr>
                <w:rFonts w:ascii="Simplified Arabic" w:hAnsi="Simplified Arabic" w:cs="Simplified Arabic"/>
                <w:sz w:val="24"/>
                <w:szCs w:val="24"/>
                <w:rtl/>
                <w:lang w:val="en-US"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val="en-US" w:bidi="ar-DZ"/>
              </w:rPr>
              <w:t xml:space="preserve">تم تطويره أساسًا لمقاومة خطر الزلازل </w:t>
            </w:r>
          </w:p>
          <w:p w:rsidR="003E0F31" w:rsidRPr="00826FB0"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bidi="ar-DZ"/>
              </w:rPr>
              <w:t xml:space="preserve">التركيز فقط على شبكات الأنظمة </w:t>
            </w:r>
            <w:r>
              <w:rPr>
                <w:rFonts w:ascii="Simplified Arabic" w:hAnsi="Simplified Arabic" w:cs="Simplified Arabic" w:hint="cs"/>
                <w:sz w:val="24"/>
                <w:szCs w:val="24"/>
                <w:rtl/>
                <w:lang w:bidi="ar-DZ"/>
              </w:rPr>
              <w:t>التقنية</w:t>
            </w:r>
            <w:r w:rsidRPr="00826FB0">
              <w:rPr>
                <w:rFonts w:ascii="Simplified Arabic" w:hAnsi="Simplified Arabic" w:cs="Simplified Arabic"/>
                <w:sz w:val="24"/>
                <w:szCs w:val="24"/>
                <w:rtl/>
                <w:lang w:bidi="ar-DZ"/>
              </w:rPr>
              <w:t>، ولا يتم النظر في السياق الاجتماعي والاقتصادي.</w:t>
            </w:r>
          </w:p>
          <w:p w:rsidR="003E0F31" w:rsidRPr="00826FB0"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bidi="ar-DZ"/>
              </w:rPr>
              <w:t xml:space="preserve">يبحث في مستوى الاداء الوظيفي </w:t>
            </w:r>
            <w:r>
              <w:rPr>
                <w:rFonts w:ascii="Simplified Arabic" w:hAnsi="Simplified Arabic" w:cs="Simplified Arabic" w:hint="cs"/>
                <w:sz w:val="24"/>
                <w:szCs w:val="24"/>
                <w:rtl/>
                <w:lang w:bidi="ar-DZ"/>
              </w:rPr>
              <w:t>للشبكات التقنية</w:t>
            </w:r>
            <w:r w:rsidRPr="00826FB0">
              <w:rPr>
                <w:rFonts w:ascii="Simplified Arabic" w:hAnsi="Simplified Arabic" w:cs="Simplified Arabic"/>
                <w:sz w:val="24"/>
                <w:szCs w:val="24"/>
                <w:rtl/>
                <w:lang w:bidi="ar-DZ"/>
              </w:rPr>
              <w:t xml:space="preserve"> أثناء الكوارث والوقت المستغرق للعودة إلى المستوى السابق من الاداء الوظيفي</w:t>
            </w:r>
          </w:p>
        </w:tc>
      </w:tr>
    </w:tbl>
    <w:p w:rsidR="003E0F31" w:rsidRPr="000210C7" w:rsidRDefault="003E0F31" w:rsidP="001D0548">
      <w:pPr>
        <w:pStyle w:val="Paragraphedeliste"/>
        <w:numPr>
          <w:ilvl w:val="2"/>
          <w:numId w:val="122"/>
        </w:numPr>
        <w:tabs>
          <w:tab w:val="right" w:pos="850"/>
        </w:tabs>
        <w:bidi/>
        <w:spacing w:before="240" w:after="0"/>
        <w:ind w:left="0" w:firstLine="0"/>
        <w:jc w:val="both"/>
        <w:outlineLvl w:val="1"/>
        <w:rPr>
          <w:rFonts w:asciiTheme="minorBidi" w:hAnsiTheme="minorBidi" w:cs="Arial"/>
          <w:sz w:val="24"/>
          <w:szCs w:val="24"/>
          <w:lang w:val="en-US" w:bidi="ar-DZ"/>
        </w:rPr>
      </w:pPr>
      <w:bookmarkStart w:id="322" w:name="_Toc171803454"/>
      <w:r w:rsidRPr="000210C7">
        <w:rPr>
          <w:rFonts w:ascii="Simplified Arabic" w:hAnsi="Simplified Arabic" w:cs="Simplified Arabic"/>
          <w:b/>
          <w:bCs/>
          <w:sz w:val="24"/>
          <w:szCs w:val="24"/>
          <w:rtl/>
          <w:lang w:bidi="ar-DZ"/>
        </w:rPr>
        <w:lastRenderedPageBreak/>
        <w:t xml:space="preserve">نموذج </w:t>
      </w:r>
      <w:r w:rsidRPr="000210C7">
        <w:rPr>
          <w:rFonts w:ascii="Simplified Arabic" w:hAnsi="Simplified Arabic" w:cs="Simplified Arabic"/>
          <w:b/>
          <w:bCs/>
          <w:color w:val="000000" w:themeColor="text1"/>
          <w:sz w:val="24"/>
          <w:szCs w:val="24"/>
          <w:rtl/>
          <w:lang w:bidi="ar-DZ"/>
        </w:rPr>
        <w:t xml:space="preserve">مرونة </w:t>
      </w:r>
      <w:r>
        <w:rPr>
          <w:rFonts w:ascii="Simplified Arabic" w:hAnsi="Simplified Arabic" w:cs="Simplified Arabic" w:hint="cs"/>
          <w:b/>
          <w:bCs/>
          <w:color w:val="000000" w:themeColor="text1"/>
          <w:sz w:val="24"/>
          <w:szCs w:val="24"/>
          <w:rtl/>
          <w:lang w:bidi="ar-DZ"/>
        </w:rPr>
        <w:t>ا</w:t>
      </w:r>
      <w:r w:rsidRPr="000210C7">
        <w:rPr>
          <w:rFonts w:ascii="Simplified Arabic" w:hAnsi="Simplified Arabic" w:cs="Simplified Arabic"/>
          <w:b/>
          <w:bCs/>
          <w:color w:val="000000" w:themeColor="text1"/>
          <w:sz w:val="24"/>
          <w:szCs w:val="24"/>
          <w:rtl/>
          <w:lang w:bidi="ar-DZ"/>
        </w:rPr>
        <w:t>لمكان</w:t>
      </w:r>
      <w:r w:rsidR="00DC054D" w:rsidRPr="00DC054D">
        <w:rPr>
          <w:rFonts w:ascii="Simplified Arabic" w:hAnsi="Simplified Arabic" w:cs="Simplified Arabic" w:hint="cs"/>
          <w:b/>
          <w:bCs/>
          <w:color w:val="000000" w:themeColor="text1"/>
          <w:sz w:val="24"/>
          <w:szCs w:val="24"/>
          <w:rtl/>
          <w:lang w:bidi="ar-DZ"/>
        </w:rPr>
        <w:t xml:space="preserve"> لمواجهة</w:t>
      </w:r>
      <w:r w:rsidR="00DC054D" w:rsidRPr="00DC054D">
        <w:rPr>
          <w:rFonts w:ascii="Simplified Arabic" w:hAnsi="Simplified Arabic" w:cs="Simplified Arabic"/>
          <w:b/>
          <w:bCs/>
          <w:color w:val="000000" w:themeColor="text1"/>
          <w:sz w:val="24"/>
          <w:szCs w:val="24"/>
          <w:rtl/>
          <w:lang w:bidi="ar-DZ"/>
        </w:rPr>
        <w:t xml:space="preserve"> </w:t>
      </w:r>
      <w:r w:rsidR="00DC054D" w:rsidRPr="00DC054D">
        <w:rPr>
          <w:rFonts w:ascii="Simplified Arabic" w:hAnsi="Simplified Arabic" w:cs="Simplified Arabic" w:hint="cs"/>
          <w:b/>
          <w:bCs/>
          <w:color w:val="000000" w:themeColor="text1"/>
          <w:sz w:val="24"/>
          <w:szCs w:val="24"/>
          <w:rtl/>
          <w:lang w:bidi="ar-DZ"/>
        </w:rPr>
        <w:t>الكوارث</w:t>
      </w:r>
      <w:r w:rsidR="00DC054D" w:rsidRPr="00F01818">
        <w:rPr>
          <w:rFonts w:asciiTheme="minorBidi" w:hAnsiTheme="minorBidi" w:cs="Arial"/>
          <w:sz w:val="24"/>
          <w:szCs w:val="24"/>
          <w:rtl/>
          <w:lang w:bidi="ar-DZ"/>
        </w:rPr>
        <w:t xml:space="preserve"> </w:t>
      </w:r>
      <w:r w:rsidRPr="000210C7">
        <w:rPr>
          <w:rFonts w:ascii="Simplified Arabic" w:hAnsi="Simplified Arabic" w:cs="Simplified Arabic"/>
          <w:b/>
          <w:bCs/>
          <w:color w:val="000000" w:themeColor="text1"/>
          <w:sz w:val="24"/>
          <w:szCs w:val="24"/>
          <w:rtl/>
          <w:lang w:bidi="ar-DZ"/>
        </w:rPr>
        <w:t>،</w:t>
      </w:r>
      <w:r w:rsidRPr="000210C7">
        <w:rPr>
          <w:rFonts w:asciiTheme="majorBidi" w:hAnsiTheme="majorBidi" w:cstheme="majorBidi" w:hint="cs"/>
          <w:b/>
          <w:bCs/>
          <w:color w:val="000000" w:themeColor="text1"/>
          <w:sz w:val="24"/>
          <w:szCs w:val="24"/>
          <w:rtl/>
          <w:lang w:bidi="ar-DZ"/>
        </w:rPr>
        <w:t xml:space="preserve"> </w:t>
      </w:r>
      <w:r w:rsidRPr="000210C7">
        <w:rPr>
          <w:rFonts w:asciiTheme="majorBidi" w:hAnsiTheme="majorBidi" w:cstheme="majorBidi"/>
          <w:b/>
          <w:bCs/>
          <w:color w:val="000000" w:themeColor="text1"/>
          <w:sz w:val="16"/>
          <w:szCs w:val="16"/>
          <w:rtl/>
          <w:lang w:bidi="ar-DZ"/>
        </w:rPr>
        <w:t>[</w:t>
      </w:r>
      <w:r w:rsidRPr="000210C7">
        <w:rPr>
          <w:rFonts w:asciiTheme="majorBidi" w:hAnsiTheme="majorBidi" w:cstheme="majorBidi"/>
          <w:b/>
          <w:bCs/>
          <w:sz w:val="16"/>
          <w:szCs w:val="16"/>
          <w:lang w:val="en-US"/>
        </w:rPr>
        <w:t>(</w:t>
      </w:r>
      <w:r w:rsidRPr="000210C7">
        <w:rPr>
          <w:rFonts w:asciiTheme="majorBidi" w:hAnsiTheme="majorBidi" w:cstheme="majorBidi"/>
          <w:b/>
          <w:bCs/>
          <w:sz w:val="16"/>
          <w:szCs w:val="16"/>
        </w:rPr>
        <w:t xml:space="preserve">Cutter et al., </w:t>
      </w:r>
      <w:r w:rsidRPr="000210C7">
        <w:rPr>
          <w:rFonts w:asciiTheme="majorBidi" w:hAnsiTheme="majorBidi" w:cstheme="majorBidi"/>
          <w:b/>
          <w:bCs/>
          <w:sz w:val="16"/>
          <w:szCs w:val="16"/>
          <w:lang w:val="en-US"/>
        </w:rPr>
        <w:t>2008)</w:t>
      </w:r>
      <w:r w:rsidRPr="000210C7">
        <w:rPr>
          <w:rFonts w:asciiTheme="majorBidi" w:hAnsiTheme="majorBidi" w:cstheme="majorBidi"/>
          <w:b/>
          <w:bCs/>
          <w:color w:val="000000" w:themeColor="text1"/>
          <w:sz w:val="16"/>
          <w:szCs w:val="16"/>
          <w:rtl/>
          <w:lang w:bidi="ar-DZ"/>
        </w:rPr>
        <w:t xml:space="preserve"> </w:t>
      </w:r>
      <w:r w:rsidRPr="000210C7">
        <w:rPr>
          <w:rFonts w:asciiTheme="majorBidi" w:hAnsiTheme="majorBidi" w:cstheme="majorBidi"/>
          <w:b/>
          <w:bCs/>
          <w:color w:val="000000" w:themeColor="text1"/>
          <w:sz w:val="16"/>
          <w:szCs w:val="16"/>
          <w:lang w:bidi="ar-DZ"/>
        </w:rPr>
        <w:t>,</w:t>
      </w:r>
      <w:r w:rsidRPr="000210C7">
        <w:rPr>
          <w:rFonts w:asciiTheme="majorBidi" w:hAnsiTheme="majorBidi" w:cstheme="majorBidi"/>
          <w:b/>
          <w:bCs/>
          <w:color w:val="000000" w:themeColor="text1"/>
          <w:sz w:val="16"/>
          <w:szCs w:val="16"/>
          <w:rtl/>
          <w:lang w:bidi="ar-DZ"/>
        </w:rPr>
        <w:t>(</w:t>
      </w:r>
      <w:r w:rsidRPr="000210C7">
        <w:rPr>
          <w:rFonts w:asciiTheme="majorBidi" w:hAnsiTheme="majorBidi" w:cstheme="majorBidi"/>
          <w:b/>
          <w:bCs/>
          <w:color w:val="000000" w:themeColor="text1"/>
          <w:sz w:val="16"/>
          <w:szCs w:val="16"/>
          <w:lang w:val="en-US" w:bidi="ar-DZ"/>
        </w:rPr>
        <w:t>DROP</w:t>
      </w:r>
      <w:r w:rsidRPr="000210C7">
        <w:rPr>
          <w:rFonts w:asciiTheme="majorBidi" w:hAnsiTheme="majorBidi" w:cstheme="majorBidi"/>
          <w:b/>
          <w:bCs/>
          <w:color w:val="000000" w:themeColor="text1"/>
          <w:sz w:val="16"/>
          <w:szCs w:val="16"/>
          <w:rtl/>
          <w:lang w:bidi="ar-DZ"/>
        </w:rPr>
        <w:t xml:space="preserve">) </w:t>
      </w:r>
      <w:r w:rsidRPr="000210C7">
        <w:rPr>
          <w:rFonts w:asciiTheme="majorBidi" w:hAnsiTheme="majorBidi" w:cstheme="majorBidi"/>
          <w:b/>
          <w:bCs/>
          <w:color w:val="000000" w:themeColor="text1"/>
          <w:sz w:val="16"/>
          <w:szCs w:val="16"/>
          <w:lang w:val="en-US"/>
        </w:rPr>
        <w:t>Disaster Resilience of Place</w:t>
      </w:r>
      <w:r w:rsidRPr="000210C7">
        <w:rPr>
          <w:rFonts w:asciiTheme="majorBidi" w:hAnsiTheme="majorBidi" w:cstheme="majorBidi"/>
          <w:b/>
          <w:bCs/>
          <w:color w:val="000000" w:themeColor="text1"/>
          <w:sz w:val="16"/>
          <w:szCs w:val="16"/>
          <w:rtl/>
        </w:rPr>
        <w:t>]</w:t>
      </w:r>
      <w:bookmarkEnd w:id="322"/>
    </w:p>
    <w:p w:rsidR="003E0F31" w:rsidRPr="00F01818" w:rsidRDefault="003E0F31" w:rsidP="001D0548">
      <w:pPr>
        <w:pStyle w:val="Paragraphedeliste"/>
        <w:numPr>
          <w:ilvl w:val="0"/>
          <w:numId w:val="13"/>
        </w:numPr>
        <w:bidi/>
        <w:spacing w:after="0"/>
        <w:ind w:left="-2" w:firstLine="284"/>
        <w:jc w:val="both"/>
        <w:rPr>
          <w:rFonts w:ascii="Simplified Arabic" w:hAnsi="Simplified Arabic" w:cs="Simplified Arabic"/>
          <w:sz w:val="24"/>
          <w:szCs w:val="24"/>
          <w:rtl/>
          <w:lang w:val="en-US"/>
        </w:rPr>
      </w:pPr>
      <w:r w:rsidRPr="00206B59">
        <w:rPr>
          <w:rFonts w:ascii="Simplified Arabic" w:hAnsi="Simplified Arabic" w:cs="Simplified Arabic" w:hint="cs"/>
          <w:sz w:val="24"/>
          <w:szCs w:val="24"/>
          <w:rtl/>
          <w:lang w:bidi="ar-DZ"/>
        </w:rPr>
        <w:t>طورت</w:t>
      </w:r>
      <w:r w:rsidRPr="00206B59">
        <w:rPr>
          <w:rFonts w:asciiTheme="minorBidi" w:hAnsiTheme="minorBidi" w:cs="Arial"/>
          <w:sz w:val="24"/>
          <w:szCs w:val="24"/>
          <w:rtl/>
          <w:lang w:bidi="ar-DZ"/>
        </w:rPr>
        <w:t xml:space="preserve"> </w:t>
      </w:r>
      <w:r w:rsidRPr="00206B59">
        <w:rPr>
          <w:rFonts w:asciiTheme="majorBidi" w:hAnsiTheme="majorBidi" w:cstheme="majorBidi"/>
          <w:sz w:val="24"/>
          <w:szCs w:val="24"/>
        </w:rPr>
        <w:t>(Cutter et al., 2008)</w:t>
      </w:r>
      <w:r w:rsidRPr="00206B59">
        <w:rPr>
          <w:rFonts w:asciiTheme="minorBidi" w:hAnsiTheme="minorBidi" w:cs="Arial"/>
          <w:sz w:val="24"/>
          <w:szCs w:val="24"/>
          <w:rtl/>
          <w:lang w:bidi="ar-DZ"/>
        </w:rPr>
        <w:t xml:space="preserve"> </w:t>
      </w:r>
      <w:r w:rsidRPr="00206B59">
        <w:rPr>
          <w:rFonts w:ascii="Simplified Arabic" w:hAnsi="Simplified Arabic" w:cs="Simplified Arabic" w:hint="cs"/>
          <w:sz w:val="24"/>
          <w:szCs w:val="24"/>
          <w:rtl/>
          <w:lang w:bidi="ar-DZ"/>
        </w:rPr>
        <w:t>بما</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يسمى</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نموذج</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المكان</w:t>
      </w:r>
      <w:r w:rsidRPr="00206B59">
        <w:rPr>
          <w:rFonts w:ascii="Simplified Arabic" w:hAnsi="Simplified Arabic" w:cs="Simplified Arabic"/>
          <w:sz w:val="24"/>
          <w:szCs w:val="24"/>
          <w:rtl/>
          <w:lang w:bidi="ar-DZ"/>
        </w:rPr>
        <w:t xml:space="preserve"> </w:t>
      </w:r>
      <w:r w:rsidRPr="00206B59">
        <w:rPr>
          <w:rFonts w:asciiTheme="majorBidi" w:hAnsiTheme="majorBidi" w:cstheme="majorBidi"/>
          <w:sz w:val="24"/>
          <w:szCs w:val="24"/>
          <w:rtl/>
          <w:lang w:bidi="ar-DZ"/>
        </w:rPr>
        <w:t>(</w:t>
      </w:r>
      <w:r w:rsidRPr="00206B59">
        <w:rPr>
          <w:rFonts w:asciiTheme="majorBidi" w:hAnsiTheme="majorBidi" w:cstheme="majorBidi"/>
          <w:sz w:val="24"/>
          <w:szCs w:val="24"/>
          <w:lang w:bidi="ar-DZ"/>
        </w:rPr>
        <w:t>DROP</w:t>
      </w:r>
      <w:r w:rsidRPr="00206B59">
        <w:rPr>
          <w:rFonts w:asciiTheme="majorBidi" w:hAnsiTheme="majorBidi" w:cstheme="majorBidi"/>
          <w:sz w:val="24"/>
          <w:szCs w:val="24"/>
          <w:rtl/>
          <w:lang w:bidi="ar-DZ"/>
        </w:rPr>
        <w:t>)</w:t>
      </w:r>
      <w:r w:rsidRPr="00206B59">
        <w:rPr>
          <w:rFonts w:asciiTheme="majorBidi" w:hAnsiTheme="majorBidi" w:cstheme="majorBidi" w:hint="cs"/>
          <w:sz w:val="24"/>
          <w:szCs w:val="24"/>
          <w:rtl/>
          <w:lang w:bidi="ar-DZ"/>
        </w:rPr>
        <w:t xml:space="preserve">، </w:t>
      </w:r>
      <w:r w:rsidRPr="00206B59">
        <w:rPr>
          <w:rFonts w:ascii="Simplified Arabic" w:hAnsi="Simplified Arabic" w:cs="Simplified Arabic" w:hint="cs"/>
          <w:sz w:val="24"/>
          <w:szCs w:val="24"/>
          <w:rtl/>
          <w:lang w:bidi="ar-DZ"/>
        </w:rPr>
        <w:t>كان هدفه بناء نموذج يربط بين الضعف والمرونة.</w:t>
      </w:r>
      <w:r w:rsidRPr="00206B59">
        <w:rPr>
          <w:rFonts w:hint="cs"/>
          <w:rtl/>
        </w:rPr>
        <w:t xml:space="preserve"> </w:t>
      </w:r>
      <w:r w:rsidRPr="00206B59">
        <w:rPr>
          <w:rFonts w:ascii="Simplified Arabic" w:hAnsi="Simplified Arabic" w:cs="Simplified Arabic" w:hint="cs"/>
          <w:sz w:val="24"/>
          <w:szCs w:val="24"/>
          <w:rtl/>
          <w:lang w:val="en-US"/>
        </w:rPr>
        <w:t>وفقًا</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 xml:space="preserve">لـ: </w:t>
      </w:r>
      <w:r w:rsidRPr="00206B59">
        <w:rPr>
          <w:rFonts w:asciiTheme="majorBidi" w:hAnsiTheme="majorBidi" w:cstheme="majorBidi"/>
          <w:sz w:val="24"/>
          <w:szCs w:val="24"/>
        </w:rPr>
        <w:t>(Cutter et al., 2008)</w:t>
      </w:r>
      <w:r w:rsidRPr="00206B59">
        <w:rPr>
          <w:rFonts w:ascii="Simplified Arabic" w:hAnsi="Simplified Arabic" w:cs="Simplified Arabic" w:hint="cs"/>
          <w:sz w:val="24"/>
          <w:szCs w:val="24"/>
          <w:rtl/>
          <w:lang w:val="en-US"/>
        </w:rPr>
        <w:t>،</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فإن</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الاختلاف</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بين مفهومي</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الضعف</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والمرونة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بسيط</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جدًا،</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يشير</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الأول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إلى</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احتمال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حدوث</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ضرر</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لمساحة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و</w:t>
      </w:r>
      <w:r w:rsidRPr="00206B59">
        <w:rPr>
          <w:rFonts w:ascii="Simplified Arabic" w:hAnsi="Simplified Arabic" w:cs="Simplified Arabic"/>
          <w:sz w:val="24"/>
          <w:szCs w:val="24"/>
          <w:rtl/>
          <w:lang w:val="en-US"/>
        </w:rPr>
        <w:t>/</w:t>
      </w:r>
      <w:r w:rsidRPr="00206B59">
        <w:rPr>
          <w:rFonts w:ascii="Simplified Arabic" w:hAnsi="Simplified Arabic" w:cs="Simplified Arabic" w:hint="cs"/>
          <w:sz w:val="24"/>
          <w:szCs w:val="24"/>
          <w:rtl/>
          <w:lang w:val="en-US"/>
        </w:rPr>
        <w:t>أو</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مجموعة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سكانية،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بينما</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يُعرّف</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الثاني</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بأنه</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قدرة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النظام</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على</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الاستجابة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والتعافي</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من</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كارثة،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قدرة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مرتبطة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بالخصائص</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المتأصلة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في</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النظام</w:t>
      </w:r>
      <w:r w:rsidRPr="00206B59">
        <w:rPr>
          <w:rFonts w:ascii="Simplified Arabic" w:hAnsi="Simplified Arabic" w:cs="Simplified Arabic"/>
          <w:sz w:val="24"/>
          <w:szCs w:val="24"/>
          <w:rtl/>
          <w:lang w:val="en-US"/>
        </w:rPr>
        <w:t>.</w:t>
      </w:r>
    </w:p>
    <w:p w:rsidR="003E0F31" w:rsidRDefault="003E0F31" w:rsidP="008E533E">
      <w:pPr>
        <w:bidi/>
        <w:spacing w:after="0"/>
        <w:ind w:firstLine="282"/>
        <w:jc w:val="both"/>
        <w:rPr>
          <w:rFonts w:ascii="Simplified Arabic" w:hAnsi="Simplified Arabic" w:cs="Simplified Arabic"/>
          <w:sz w:val="24"/>
          <w:szCs w:val="24"/>
          <w:rtl/>
          <w:lang w:bidi="ar-DZ"/>
        </w:rPr>
      </w:pPr>
      <w:r w:rsidRPr="00CD2787">
        <w:rPr>
          <w:rFonts w:ascii="Simplified Arabic" w:hAnsi="Simplified Arabic" w:cs="Simplified Arabic" w:hint="cs"/>
          <w:sz w:val="24"/>
          <w:szCs w:val="24"/>
          <w:rtl/>
          <w:lang w:bidi="ar-DZ"/>
        </w:rPr>
        <w:t>يُعد</w:t>
      </w:r>
      <w:r w:rsidRPr="00CD2787">
        <w:rPr>
          <w:rFonts w:ascii="Simplified Arabic" w:hAnsi="Simplified Arabic" w:cs="Simplified Arabic"/>
          <w:sz w:val="24"/>
          <w:szCs w:val="24"/>
          <w:rtl/>
          <w:lang w:bidi="ar-DZ"/>
        </w:rPr>
        <w:t xml:space="preserve"> </w:t>
      </w:r>
      <w:r w:rsidRPr="00BF546E">
        <w:rPr>
          <w:rFonts w:asciiTheme="majorBidi" w:hAnsiTheme="majorBidi" w:cstheme="majorBidi"/>
          <w:sz w:val="24"/>
          <w:szCs w:val="24"/>
          <w:rtl/>
          <w:lang w:bidi="ar-DZ"/>
        </w:rPr>
        <w:t>(</w:t>
      </w:r>
      <w:r w:rsidRPr="00BF546E">
        <w:rPr>
          <w:rFonts w:asciiTheme="majorBidi" w:hAnsiTheme="majorBidi" w:cstheme="majorBidi"/>
          <w:sz w:val="24"/>
          <w:szCs w:val="24"/>
          <w:lang w:bidi="ar-DZ"/>
        </w:rPr>
        <w:t>DROP</w:t>
      </w:r>
      <w:r w:rsidRPr="00BF546E">
        <w:rPr>
          <w:rFonts w:asciiTheme="majorBidi" w:hAnsiTheme="majorBidi" w:cstheme="majorBidi"/>
          <w:sz w:val="24"/>
          <w:szCs w:val="24"/>
          <w:rtl/>
          <w:lang w:bidi="ar-DZ"/>
        </w:rPr>
        <w:t>)</w:t>
      </w:r>
      <w:r>
        <w:rPr>
          <w:rFonts w:asciiTheme="majorBidi" w:hAnsiTheme="majorBidi" w:cstheme="majorBidi" w:hint="cs"/>
          <w:sz w:val="24"/>
          <w:szCs w:val="24"/>
          <w:rtl/>
          <w:lang w:bidi="ar-DZ"/>
        </w:rPr>
        <w:t xml:space="preserve"> </w:t>
      </w:r>
      <w:r w:rsidRPr="00CD2787">
        <w:rPr>
          <w:rFonts w:ascii="Simplified Arabic" w:hAnsi="Simplified Arabic" w:cs="Simplified Arabic" w:hint="cs"/>
          <w:sz w:val="24"/>
          <w:szCs w:val="24"/>
          <w:rtl/>
          <w:lang w:bidi="ar-DZ"/>
        </w:rPr>
        <w:t>نموذجًا</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لتصور</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المرونة</w:t>
      </w:r>
      <w:r w:rsidRPr="00CD278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المرتبة</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بالمخاطر</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الطبيعية</w:t>
      </w:r>
      <w:r>
        <w:rPr>
          <w:rFonts w:ascii="Simplified Arabic" w:hAnsi="Simplified Arabic" w:cs="Simplified Arabic" w:hint="cs"/>
          <w:sz w:val="24"/>
          <w:szCs w:val="24"/>
          <w:rtl/>
          <w:lang w:bidi="ar-DZ"/>
        </w:rPr>
        <w:t xml:space="preserve">، </w:t>
      </w:r>
      <w:r w:rsidRPr="00CD2787">
        <w:rPr>
          <w:rFonts w:ascii="Simplified Arabic" w:hAnsi="Simplified Arabic" w:cs="Simplified Arabic" w:hint="cs"/>
          <w:sz w:val="24"/>
          <w:szCs w:val="24"/>
          <w:rtl/>
          <w:lang w:bidi="ar-DZ"/>
        </w:rPr>
        <w:t>يدمج</w:t>
      </w:r>
      <w:r w:rsidRPr="00CD2787">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الظروف</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السابقة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الضعف</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المتأصل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والمرونة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المتأصلة</w:t>
      </w:r>
      <w:r>
        <w:rPr>
          <w:rFonts w:ascii="Simplified Arabic" w:hAnsi="Simplified Arabic" w:cs="Simplified Arabic"/>
          <w:sz w:val="24"/>
          <w:szCs w:val="24"/>
          <w:rtl/>
          <w:lang w:bidi="ar-DZ"/>
        </w:rPr>
        <w:t>)</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منذ</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البداية</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تشمل</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هذه</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الظروف</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السابقة</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نقاط</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الضعف</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الكامنة</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والمرونة</w:t>
      </w:r>
      <w:r w:rsidRPr="00CD2787">
        <w:rPr>
          <w:rFonts w:ascii="Simplified Arabic" w:hAnsi="Simplified Arabic" w:cs="Simplified Arabic"/>
          <w:sz w:val="24"/>
          <w:szCs w:val="24"/>
          <w:rtl/>
          <w:lang w:bidi="ar-DZ"/>
        </w:rPr>
        <w:t xml:space="preserve"> </w:t>
      </w:r>
      <w:r w:rsidRPr="00CD2787">
        <w:rPr>
          <w:rFonts w:ascii="Simplified Arabic" w:hAnsi="Simplified Arabic" w:cs="Simplified Arabic" w:hint="cs"/>
          <w:sz w:val="24"/>
          <w:szCs w:val="24"/>
          <w:rtl/>
          <w:lang w:bidi="ar-DZ"/>
        </w:rPr>
        <w:t>المتأصلة</w:t>
      </w:r>
      <w:r>
        <w:rPr>
          <w:rFonts w:ascii="Simplified Arabic" w:hAnsi="Simplified Arabic" w:cs="Simplified Arabic" w:hint="cs"/>
          <w:sz w:val="24"/>
          <w:szCs w:val="24"/>
          <w:rtl/>
          <w:lang w:bidi="ar-DZ"/>
        </w:rPr>
        <w:t xml:space="preserve">. </w:t>
      </w:r>
      <w:r w:rsidRPr="00BC4008">
        <w:rPr>
          <w:rFonts w:ascii="Simplified Arabic" w:hAnsi="Simplified Arabic" w:cs="Simplified Arabic" w:hint="cs"/>
          <w:sz w:val="24"/>
          <w:szCs w:val="24"/>
          <w:rtl/>
          <w:lang w:bidi="ar-DZ"/>
        </w:rPr>
        <w:t>باختصار،</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يحتوي</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نموذج</w:t>
      </w:r>
      <w:r w:rsidRPr="00BC6A6D">
        <w:rPr>
          <w:rFonts w:asciiTheme="minorBidi" w:hAnsiTheme="minorBidi" w:cs="Arial"/>
          <w:sz w:val="24"/>
          <w:szCs w:val="24"/>
          <w:rtl/>
          <w:lang w:bidi="ar-DZ"/>
        </w:rPr>
        <w:t xml:space="preserve"> </w:t>
      </w:r>
      <w:r w:rsidRPr="00BF546E">
        <w:rPr>
          <w:rFonts w:asciiTheme="majorBidi" w:hAnsiTheme="majorBidi" w:cstheme="majorBidi"/>
          <w:sz w:val="24"/>
          <w:szCs w:val="24"/>
          <w:rtl/>
          <w:lang w:bidi="ar-DZ"/>
        </w:rPr>
        <w:t>(</w:t>
      </w:r>
      <w:r w:rsidRPr="00BF546E">
        <w:rPr>
          <w:rFonts w:asciiTheme="majorBidi" w:hAnsiTheme="majorBidi" w:cstheme="majorBidi"/>
          <w:sz w:val="24"/>
          <w:szCs w:val="24"/>
          <w:lang w:bidi="ar-DZ"/>
        </w:rPr>
        <w:t>DROP</w:t>
      </w:r>
      <w:r w:rsidRPr="00BF546E">
        <w:rPr>
          <w:rFonts w:asciiTheme="majorBidi" w:hAnsiTheme="majorBidi" w:cstheme="majorBidi"/>
          <w:sz w:val="24"/>
          <w:szCs w:val="24"/>
          <w:rtl/>
          <w:lang w:bidi="ar-DZ"/>
        </w:rPr>
        <w:t>)</w:t>
      </w:r>
      <w:r>
        <w:rPr>
          <w:rFonts w:asciiTheme="majorBidi" w:hAnsiTheme="majorBidi" w:cstheme="majorBidi" w:hint="cs"/>
          <w:sz w:val="24"/>
          <w:szCs w:val="24"/>
          <w:rtl/>
          <w:lang w:bidi="ar-DZ"/>
        </w:rPr>
        <w:t xml:space="preserve"> </w:t>
      </w:r>
      <w:r w:rsidRPr="00BC4008">
        <w:rPr>
          <w:rFonts w:ascii="Simplified Arabic" w:hAnsi="Simplified Arabic" w:cs="Simplified Arabic" w:hint="cs"/>
          <w:sz w:val="24"/>
          <w:szCs w:val="24"/>
          <w:rtl/>
          <w:lang w:bidi="ar-DZ"/>
        </w:rPr>
        <w:t>على</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مكونين</w:t>
      </w:r>
      <w:r w:rsidRPr="00BC40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اساسيين،</w:t>
      </w:r>
      <w:r w:rsidRPr="00BC40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يتكون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المكون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الأول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الظروف</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السابقة</w:t>
      </w:r>
      <w:r w:rsidRPr="00BC40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w:t>
      </w:r>
      <w:r w:rsidRPr="00BC4008">
        <w:rPr>
          <w:rFonts w:ascii="Simplified Arabic" w:hAnsi="Simplified Arabic" w:cs="Simplified Arabic" w:hint="cs"/>
          <w:sz w:val="24"/>
          <w:szCs w:val="24"/>
          <w:rtl/>
          <w:lang w:bidi="ar-DZ"/>
        </w:rPr>
        <w:t>لضعف</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المتأصل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و</w:t>
      </w:r>
      <w:r>
        <w:rPr>
          <w:rFonts w:ascii="Simplified Arabic" w:hAnsi="Simplified Arabic" w:cs="Simplified Arabic" w:hint="cs"/>
          <w:sz w:val="24"/>
          <w:szCs w:val="24"/>
          <w:rtl/>
          <w:lang w:bidi="ar-DZ"/>
        </w:rPr>
        <w:t>ل</w:t>
      </w:r>
      <w:r w:rsidRPr="00BC4008">
        <w:rPr>
          <w:rFonts w:ascii="Simplified Arabic" w:hAnsi="Simplified Arabic" w:cs="Simplified Arabic" w:hint="cs"/>
          <w:sz w:val="24"/>
          <w:szCs w:val="24"/>
          <w:rtl/>
          <w:lang w:bidi="ar-DZ"/>
        </w:rPr>
        <w:t>لمرونة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المتأصلة</w:t>
      </w:r>
      <w:r>
        <w:rPr>
          <w:rFonts w:ascii="Simplified Arabic" w:hAnsi="Simplified Arabic" w:cs="Simplified Arabic" w:hint="cs"/>
          <w:sz w:val="24"/>
          <w:szCs w:val="24"/>
          <w:rtl/>
          <w:lang w:bidi="ar-DZ"/>
        </w:rPr>
        <w:t>،</w:t>
      </w:r>
      <w:r w:rsidRPr="00BC40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هذه الظروف</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هي</w:t>
      </w:r>
      <w:r w:rsidRPr="00BC40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نتيجة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تفاعلات</w:t>
      </w:r>
      <w:r w:rsidRPr="00BC400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BC4008">
        <w:rPr>
          <w:rFonts w:ascii="Simplified Arabic" w:hAnsi="Simplified Arabic" w:cs="Simplified Arabic" w:hint="cs"/>
          <w:sz w:val="24"/>
          <w:szCs w:val="24"/>
          <w:rtl/>
          <w:lang w:bidi="ar-DZ"/>
        </w:rPr>
        <w:t>أنظمة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الاجتماعية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والطبيعية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والبيئة</w:t>
      </w:r>
      <w:r w:rsidRPr="00BC4008">
        <w:rPr>
          <w:rFonts w:ascii="Simplified Arabic" w:hAnsi="Simplified Arabic" w:cs="Simplified Arabic"/>
          <w:sz w:val="24"/>
          <w:szCs w:val="24"/>
          <w:rtl/>
          <w:lang w:bidi="ar-DZ"/>
        </w:rPr>
        <w:t xml:space="preserve"> </w:t>
      </w:r>
      <w:r w:rsidR="008E533E">
        <w:rPr>
          <w:rFonts w:ascii="Simplified Arabic" w:hAnsi="Simplified Arabic" w:cs="Simplified Arabic" w:hint="cs"/>
          <w:sz w:val="24"/>
          <w:szCs w:val="24"/>
          <w:rtl/>
          <w:lang w:val="en-US"/>
        </w:rPr>
        <w:t>الحضرية</w:t>
      </w:r>
      <w:r w:rsidR="008E533E">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معًا</w:t>
      </w:r>
      <w:r w:rsidRPr="00BC4008">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BC4008">
        <w:rPr>
          <w:rFonts w:ascii="Simplified Arabic" w:hAnsi="Simplified Arabic" w:cs="Simplified Arabic" w:hint="cs"/>
          <w:sz w:val="24"/>
          <w:szCs w:val="24"/>
          <w:rtl/>
          <w:lang w:bidi="ar-DZ"/>
        </w:rPr>
        <w:t>يتكون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المكون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الثاني</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الإجراءات</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اللازمة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للتعامل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مع</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آثار</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الكوارث،</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والتي</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تشمل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التخفيف</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حدة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المخاطر،</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التأهب</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للكوارث،</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الاستجابة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للكوارث</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والتعافي</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الكوارث</w:t>
      </w:r>
      <w:r w:rsidRPr="00BC4008">
        <w:rPr>
          <w:rFonts w:ascii="Simplified Arabic" w:hAnsi="Simplified Arabic" w:cs="Simplified Arabic"/>
          <w:sz w:val="24"/>
          <w:szCs w:val="24"/>
          <w:rtl/>
          <w:lang w:bidi="ar-DZ"/>
        </w:rPr>
        <w:t xml:space="preserve">. </w:t>
      </w:r>
    </w:p>
    <w:p w:rsidR="003E0F31" w:rsidRDefault="003E0F31" w:rsidP="00D036AA">
      <w:pPr>
        <w:bidi/>
        <w:spacing w:after="0"/>
        <w:ind w:firstLine="282"/>
        <w:jc w:val="both"/>
        <w:rPr>
          <w:rFonts w:ascii="Simplified Arabic" w:hAnsi="Simplified Arabic" w:cs="Simplified Arabic"/>
          <w:sz w:val="24"/>
          <w:szCs w:val="24"/>
          <w:lang w:bidi="ar-DZ"/>
        </w:rPr>
      </w:pPr>
      <w:r w:rsidRPr="00850597">
        <w:rPr>
          <w:rFonts w:ascii="Simplified Arabic" w:hAnsi="Simplified Arabic" w:cs="Simplified Arabic" w:hint="cs"/>
          <w:sz w:val="24"/>
          <w:szCs w:val="24"/>
          <w:rtl/>
          <w:lang w:bidi="ar-DZ"/>
        </w:rPr>
        <w:t>توضح</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المثلثات</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المتشابكة</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في</w:t>
      </w:r>
      <w:r w:rsidRPr="00850597">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الشكل</w:t>
      </w:r>
      <w:r>
        <w:rPr>
          <w:rFonts w:ascii="Simplified Arabic" w:hAnsi="Simplified Arabic" w:cs="Simplified Arabic" w:hint="cs"/>
          <w:sz w:val="24"/>
          <w:szCs w:val="24"/>
          <w:rtl/>
          <w:lang w:bidi="ar-DZ"/>
        </w:rPr>
        <w:t xml:space="preserve"> (</w:t>
      </w:r>
      <w:r w:rsidR="00D036AA">
        <w:rPr>
          <w:rFonts w:ascii="Simplified Arabic" w:hAnsi="Simplified Arabic" w:cs="Simplified Arabic" w:hint="cs"/>
          <w:sz w:val="24"/>
          <w:szCs w:val="24"/>
          <w:rtl/>
          <w:lang w:bidi="ar-DZ"/>
        </w:rPr>
        <w:t>2-5</w:t>
      </w:r>
      <w:r>
        <w:rPr>
          <w:rFonts w:ascii="Simplified Arabic" w:hAnsi="Simplified Arabic" w:cs="Simplified Arabic" w:hint="cs"/>
          <w:sz w:val="24"/>
          <w:szCs w:val="24"/>
          <w:rtl/>
          <w:lang w:bidi="ar-DZ"/>
        </w:rPr>
        <w:t xml:space="preserve">)، </w:t>
      </w:r>
      <w:r w:rsidRPr="00850597">
        <w:rPr>
          <w:rFonts w:ascii="Simplified Arabic" w:hAnsi="Simplified Arabic" w:cs="Simplified Arabic" w:hint="cs"/>
          <w:sz w:val="24"/>
          <w:szCs w:val="24"/>
          <w:rtl/>
          <w:lang w:bidi="ar-DZ"/>
        </w:rPr>
        <w:t>كيف</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تحدث</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هذه</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العملية</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المتأصلة</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على</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المستوى</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المحلي،</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وتؤدي</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إلى</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عوامل</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داخلية</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على</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مستوى</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المجتمع،</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وكذلك</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على</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نطاقات</w:t>
      </w:r>
      <w:r w:rsidRPr="00850597">
        <w:rPr>
          <w:rFonts w:ascii="Simplified Arabic" w:hAnsi="Simplified Arabic" w:cs="Simplified Arabic"/>
          <w:sz w:val="24"/>
          <w:szCs w:val="24"/>
          <w:rtl/>
          <w:lang w:bidi="ar-DZ"/>
        </w:rPr>
        <w:t xml:space="preserve"> </w:t>
      </w:r>
      <w:r w:rsidRPr="00850597">
        <w:rPr>
          <w:rFonts w:ascii="Simplified Arabic" w:hAnsi="Simplified Arabic" w:cs="Simplified Arabic" w:hint="cs"/>
          <w:sz w:val="24"/>
          <w:szCs w:val="24"/>
          <w:rtl/>
          <w:lang w:bidi="ar-DZ"/>
        </w:rPr>
        <w:t>أكبر</w:t>
      </w:r>
      <w:r w:rsidRPr="008B4BD0">
        <w:rPr>
          <w:rFonts w:ascii="Simplified Arabic" w:hAnsi="Simplified Arabic" w:cs="Simplified Arabic" w:hint="cs"/>
          <w:sz w:val="24"/>
          <w:szCs w:val="24"/>
          <w:rtl/>
          <w:lang w:val="en-US"/>
        </w:rPr>
        <w:t xml:space="preserve"> </w:t>
      </w:r>
      <w:r w:rsidRPr="00054D61">
        <w:rPr>
          <w:rFonts w:ascii="Simplified Arabic" w:hAnsi="Simplified Arabic" w:cs="Simplified Arabic" w:hint="cs"/>
          <w:sz w:val="24"/>
          <w:szCs w:val="24"/>
          <w:rtl/>
          <w:lang w:val="en-US"/>
        </w:rPr>
        <w:t>تتضمن</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عوامل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خارجية</w:t>
      </w:r>
      <w:r w:rsidRPr="00850597">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BC4008">
        <w:rPr>
          <w:rFonts w:ascii="Simplified Arabic" w:hAnsi="Simplified Arabic" w:cs="Simplified Arabic" w:hint="cs"/>
          <w:sz w:val="24"/>
          <w:szCs w:val="24"/>
          <w:rtl/>
          <w:lang w:bidi="ar-DZ"/>
        </w:rPr>
        <w:t>اعتبارًا</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عام</w:t>
      </w:r>
      <w:r w:rsidRPr="00BC4008">
        <w:rPr>
          <w:rFonts w:ascii="Simplified Arabic" w:hAnsi="Simplified Arabic" w:cs="Simplified Arabic"/>
          <w:sz w:val="24"/>
          <w:szCs w:val="24"/>
          <w:rtl/>
          <w:lang w:bidi="ar-DZ"/>
        </w:rPr>
        <w:t xml:space="preserve"> 2015</w:t>
      </w:r>
      <w:r w:rsidRPr="00BC4008">
        <w:rPr>
          <w:rFonts w:ascii="Simplified Arabic" w:hAnsi="Simplified Arabic" w:cs="Simplified Arabic" w:hint="cs"/>
          <w:sz w:val="24"/>
          <w:szCs w:val="24"/>
          <w:rtl/>
          <w:lang w:bidi="ar-DZ"/>
        </w:rPr>
        <w:t>،</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كان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نموذج</w:t>
      </w:r>
      <w:r w:rsidRPr="00BC6A6D">
        <w:rPr>
          <w:rFonts w:asciiTheme="minorBidi" w:hAnsiTheme="minorBidi" w:cs="Arial"/>
          <w:sz w:val="24"/>
          <w:szCs w:val="24"/>
          <w:rtl/>
          <w:lang w:bidi="ar-DZ"/>
        </w:rPr>
        <w:t xml:space="preserve"> </w:t>
      </w:r>
      <w:r w:rsidRPr="00BF546E">
        <w:rPr>
          <w:rFonts w:asciiTheme="majorBidi" w:hAnsiTheme="majorBidi" w:cstheme="majorBidi"/>
          <w:sz w:val="24"/>
          <w:szCs w:val="24"/>
          <w:rtl/>
          <w:lang w:bidi="ar-DZ"/>
        </w:rPr>
        <w:t>(</w:t>
      </w:r>
      <w:r w:rsidRPr="00BF546E">
        <w:rPr>
          <w:rFonts w:asciiTheme="majorBidi" w:hAnsiTheme="majorBidi" w:cstheme="majorBidi"/>
          <w:sz w:val="24"/>
          <w:szCs w:val="24"/>
          <w:lang w:bidi="ar-DZ"/>
        </w:rPr>
        <w:t>DROP</w:t>
      </w:r>
      <w:r w:rsidRPr="00BF546E">
        <w:rPr>
          <w:rFonts w:asciiTheme="majorBidi" w:hAnsiTheme="majorBidi" w:cstheme="majorBidi"/>
          <w:sz w:val="24"/>
          <w:szCs w:val="24"/>
          <w:rtl/>
          <w:lang w:bidi="ar-DZ"/>
        </w:rPr>
        <w:t>)</w:t>
      </w:r>
      <w:r>
        <w:rPr>
          <w:rFonts w:asciiTheme="majorBidi" w:hAnsiTheme="majorBidi" w:cstheme="majorBidi" w:hint="cs"/>
          <w:sz w:val="24"/>
          <w:szCs w:val="24"/>
          <w:rtl/>
          <w:lang w:bidi="ar-DZ"/>
        </w:rPr>
        <w:t xml:space="preserve"> </w:t>
      </w:r>
      <w:r w:rsidRPr="00BC4008">
        <w:rPr>
          <w:rFonts w:ascii="Simplified Arabic" w:hAnsi="Simplified Arabic" w:cs="Simplified Arabic" w:hint="cs"/>
          <w:sz w:val="24"/>
          <w:szCs w:val="24"/>
          <w:rtl/>
          <w:lang w:bidi="ar-DZ"/>
        </w:rPr>
        <w:t>لا</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يزال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قيد</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التطوير،</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لكن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لا</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يوجد</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حاليًا</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الكثير</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المناقشات</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حول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كيفية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تشغيل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النموذج،</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على</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الرغم</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حقيقة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أنه</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تم</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قياسه</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للمقاطعات</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داخل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الوكالة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الفيدرالية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الأمريكية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لإدارة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الطوارئ</w:t>
      </w:r>
      <w:r w:rsidRPr="00BC6A6D">
        <w:rPr>
          <w:rFonts w:asciiTheme="minorBidi" w:hAnsiTheme="minorBidi" w:cs="Arial"/>
          <w:sz w:val="24"/>
          <w:szCs w:val="24"/>
          <w:rtl/>
          <w:lang w:bidi="ar-DZ"/>
        </w:rPr>
        <w:t xml:space="preserve"> </w:t>
      </w:r>
      <w:r w:rsidRPr="006B35FC">
        <w:rPr>
          <w:rFonts w:asciiTheme="majorBidi" w:hAnsiTheme="majorBidi" w:cstheme="majorBidi"/>
          <w:sz w:val="24"/>
          <w:szCs w:val="24"/>
          <w:rtl/>
          <w:lang w:bidi="ar-DZ"/>
        </w:rPr>
        <w:t>(</w:t>
      </w:r>
      <w:r w:rsidRPr="006B35FC">
        <w:rPr>
          <w:rFonts w:asciiTheme="majorBidi" w:hAnsiTheme="majorBidi" w:cstheme="majorBidi"/>
          <w:sz w:val="24"/>
          <w:szCs w:val="24"/>
          <w:lang w:bidi="ar-DZ"/>
        </w:rPr>
        <w:t>FEMA</w:t>
      </w:r>
      <w:r w:rsidRPr="006B35FC">
        <w:rPr>
          <w:rFonts w:asciiTheme="majorBidi" w:hAnsiTheme="majorBidi" w:cstheme="majorBidi"/>
          <w:sz w:val="24"/>
          <w:szCs w:val="24"/>
          <w:rtl/>
          <w:lang w:bidi="ar-DZ"/>
        </w:rPr>
        <w:t>)</w:t>
      </w:r>
      <w:r w:rsidRPr="00BC6A6D">
        <w:rPr>
          <w:rFonts w:asciiTheme="minorBidi" w:hAnsiTheme="minorBidi" w:cs="Arial"/>
          <w:sz w:val="24"/>
          <w:szCs w:val="24"/>
          <w:rtl/>
          <w:lang w:bidi="ar-DZ"/>
        </w:rPr>
        <w:t xml:space="preserve"> </w:t>
      </w:r>
      <w:r w:rsidRPr="00BC4008">
        <w:rPr>
          <w:rFonts w:ascii="Simplified Arabic" w:hAnsi="Simplified Arabic" w:cs="Simplified Arabic" w:hint="cs"/>
          <w:sz w:val="24"/>
          <w:szCs w:val="24"/>
          <w:rtl/>
          <w:lang w:bidi="ar-DZ"/>
        </w:rPr>
        <w:t>المنطقة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الرابعة</w:t>
      </w:r>
      <w:r w:rsidRPr="00BC6A6D">
        <w:rPr>
          <w:rFonts w:asciiTheme="minorBidi" w:hAnsiTheme="minorBidi" w:cs="Arial"/>
          <w:sz w:val="24"/>
          <w:szCs w:val="24"/>
          <w:rtl/>
          <w:lang w:bidi="ar-DZ"/>
        </w:rPr>
        <w:t xml:space="preserve"> </w:t>
      </w:r>
      <w:r w:rsidRPr="00206B59">
        <w:rPr>
          <w:rFonts w:asciiTheme="majorBidi" w:hAnsiTheme="majorBidi" w:cstheme="majorBidi"/>
          <w:sz w:val="24"/>
          <w:szCs w:val="24"/>
        </w:rPr>
        <w:t>Cutter</w:t>
      </w:r>
      <w:r w:rsidRPr="00BF546E">
        <w:rPr>
          <w:rFonts w:asciiTheme="majorBidi" w:hAnsiTheme="majorBidi" w:cstheme="majorBidi"/>
          <w:sz w:val="24"/>
          <w:szCs w:val="24"/>
        </w:rPr>
        <w:t xml:space="preserve"> et al. </w:t>
      </w:r>
      <w:r>
        <w:rPr>
          <w:rFonts w:asciiTheme="majorBidi" w:hAnsiTheme="majorBidi" w:cstheme="majorBidi"/>
          <w:sz w:val="24"/>
          <w:szCs w:val="24"/>
        </w:rPr>
        <w:t>,2010</w:t>
      </w:r>
      <w:r w:rsidRPr="00BF546E">
        <w:rPr>
          <w:rFonts w:asciiTheme="majorBidi" w:hAnsiTheme="majorBidi" w:cstheme="majorBidi"/>
          <w:sz w:val="24"/>
          <w:szCs w:val="24"/>
        </w:rPr>
        <w:t>)</w:t>
      </w:r>
      <w:r w:rsidRPr="00BC6A6D">
        <w:rPr>
          <w:rFonts w:asciiTheme="minorBidi" w:hAnsiTheme="minorBidi" w:cs="Arial"/>
          <w:sz w:val="24"/>
          <w:szCs w:val="24"/>
          <w:rtl/>
          <w:lang w:bidi="ar-DZ"/>
        </w:rPr>
        <w:t>)</w:t>
      </w:r>
      <w:r w:rsidRPr="00BC4008">
        <w:rPr>
          <w:rFonts w:ascii="Simplified Arabic" w:hAnsi="Simplified Arabic" w:cs="Simplified Arabic" w:hint="cs"/>
          <w:sz w:val="24"/>
          <w:szCs w:val="24"/>
          <w:rtl/>
          <w:lang w:bidi="ar-DZ"/>
        </w:rPr>
        <w:t>.</w:t>
      </w:r>
      <w:r w:rsidRPr="00BC6A6D">
        <w:rPr>
          <w:rFonts w:asciiTheme="minorBidi" w:hAnsiTheme="minorBidi" w:cs="Arial"/>
          <w:sz w:val="24"/>
          <w:szCs w:val="24"/>
          <w:rtl/>
          <w:lang w:bidi="ar-DZ"/>
        </w:rPr>
        <w:t xml:space="preserve"> </w:t>
      </w:r>
      <w:r w:rsidRPr="00BC4008">
        <w:rPr>
          <w:rFonts w:ascii="Simplified Arabic" w:hAnsi="Simplified Arabic" w:cs="Simplified Arabic" w:hint="cs"/>
          <w:sz w:val="24"/>
          <w:szCs w:val="24"/>
          <w:rtl/>
          <w:lang w:bidi="ar-DZ"/>
        </w:rPr>
        <w:t>علاوة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على</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ذلك، فان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نموذج</w:t>
      </w:r>
      <w:r w:rsidRPr="00BC6A6D">
        <w:rPr>
          <w:rFonts w:asciiTheme="minorBidi" w:hAnsiTheme="minorBidi" w:cs="Arial"/>
          <w:sz w:val="24"/>
          <w:szCs w:val="24"/>
          <w:rtl/>
          <w:lang w:bidi="ar-DZ"/>
        </w:rPr>
        <w:t xml:space="preserve"> </w:t>
      </w:r>
      <w:r w:rsidRPr="00BF546E">
        <w:rPr>
          <w:rFonts w:asciiTheme="majorBidi" w:hAnsiTheme="majorBidi" w:cstheme="majorBidi"/>
          <w:sz w:val="24"/>
          <w:szCs w:val="24"/>
          <w:rtl/>
          <w:lang w:bidi="ar-DZ"/>
        </w:rPr>
        <w:t>(</w:t>
      </w:r>
      <w:r w:rsidRPr="00BF546E">
        <w:rPr>
          <w:rFonts w:asciiTheme="majorBidi" w:hAnsiTheme="majorBidi" w:cstheme="majorBidi"/>
          <w:sz w:val="24"/>
          <w:szCs w:val="24"/>
          <w:lang w:bidi="ar-DZ"/>
        </w:rPr>
        <w:t>DROP</w:t>
      </w:r>
      <w:r w:rsidRPr="00BF546E">
        <w:rPr>
          <w:rFonts w:asciiTheme="majorBidi" w:hAnsiTheme="majorBidi" w:cstheme="majorBidi"/>
          <w:sz w:val="24"/>
          <w:szCs w:val="24"/>
          <w:rtl/>
          <w:lang w:bidi="ar-DZ"/>
        </w:rPr>
        <w:t>)</w:t>
      </w:r>
      <w:r>
        <w:rPr>
          <w:rFonts w:asciiTheme="majorBidi" w:hAnsiTheme="majorBidi" w:cstheme="majorBidi" w:hint="cs"/>
          <w:sz w:val="24"/>
          <w:szCs w:val="24"/>
          <w:rtl/>
          <w:lang w:bidi="ar-DZ"/>
        </w:rPr>
        <w:t xml:space="preserve"> </w:t>
      </w:r>
      <w:r w:rsidRPr="00BC4008">
        <w:rPr>
          <w:rFonts w:ascii="Simplified Arabic" w:hAnsi="Simplified Arabic" w:cs="Simplified Arabic" w:hint="cs"/>
          <w:sz w:val="24"/>
          <w:szCs w:val="24"/>
          <w:rtl/>
          <w:lang w:bidi="ar-DZ"/>
        </w:rPr>
        <w:t>يتم</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التحقق</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منه</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الآن</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في</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دراسة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حالة</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لساحل</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خليج</w:t>
      </w:r>
      <w:r w:rsidRPr="00BC4008">
        <w:rPr>
          <w:rFonts w:ascii="Simplified Arabic" w:hAnsi="Simplified Arabic" w:cs="Simplified Arabic"/>
          <w:sz w:val="24"/>
          <w:szCs w:val="24"/>
          <w:rtl/>
          <w:lang w:bidi="ar-DZ"/>
        </w:rPr>
        <w:t xml:space="preserve"> </w:t>
      </w:r>
      <w:r w:rsidRPr="00BC4008">
        <w:rPr>
          <w:rFonts w:ascii="Simplified Arabic" w:hAnsi="Simplified Arabic" w:cs="Simplified Arabic" w:hint="cs"/>
          <w:sz w:val="24"/>
          <w:szCs w:val="24"/>
          <w:rtl/>
          <w:lang w:bidi="ar-DZ"/>
        </w:rPr>
        <w:t>المسيسيبي</w:t>
      </w:r>
      <w:r w:rsidRPr="00BC4008">
        <w:rPr>
          <w:rFonts w:ascii="Simplified Arabic" w:hAnsi="Simplified Arabic" w:cs="Simplified Arabic"/>
          <w:sz w:val="24"/>
          <w:szCs w:val="24"/>
          <w:rtl/>
          <w:lang w:bidi="ar-DZ"/>
        </w:rPr>
        <w:t>.</w:t>
      </w:r>
    </w:p>
    <w:p w:rsidR="003E0F31" w:rsidRPr="00762191" w:rsidRDefault="003E0F31" w:rsidP="00622171">
      <w:pPr>
        <w:pStyle w:val="fegure"/>
        <w:spacing w:before="240"/>
        <w:rPr>
          <w:szCs w:val="24"/>
          <w:rtl/>
        </w:rPr>
      </w:pPr>
      <w:bookmarkStart w:id="323" w:name="_Toc157608291"/>
      <w:bookmarkStart w:id="324" w:name="_Toc171803455"/>
      <w:r w:rsidRPr="00762191">
        <w:rPr>
          <w:szCs w:val="24"/>
          <w:rtl/>
          <w:lang w:bidi="ar-DZ"/>
        </w:rPr>
        <w:t>الشكل (</w:t>
      </w:r>
      <w:r w:rsidR="00D036AA" w:rsidRPr="00762191">
        <w:rPr>
          <w:rFonts w:hint="cs"/>
          <w:szCs w:val="24"/>
          <w:rtl/>
          <w:lang w:bidi="ar-DZ"/>
        </w:rPr>
        <w:t>2-5</w:t>
      </w:r>
      <w:r w:rsidRPr="00762191">
        <w:rPr>
          <w:szCs w:val="24"/>
          <w:rtl/>
          <w:lang w:bidi="ar-DZ"/>
        </w:rPr>
        <w:t xml:space="preserve">): </w:t>
      </w:r>
      <w:r w:rsidRPr="00762191">
        <w:rPr>
          <w:rFonts w:hint="cs"/>
          <w:szCs w:val="24"/>
          <w:rtl/>
        </w:rPr>
        <w:t>نموذج</w:t>
      </w:r>
      <w:r w:rsidRPr="00762191">
        <w:rPr>
          <w:szCs w:val="24"/>
          <w:rtl/>
        </w:rPr>
        <w:t xml:space="preserve"> </w:t>
      </w:r>
      <w:r w:rsidRPr="00762191">
        <w:rPr>
          <w:rFonts w:hint="cs"/>
          <w:szCs w:val="24"/>
          <w:rtl/>
        </w:rPr>
        <w:t>مرونة</w:t>
      </w:r>
      <w:r w:rsidRPr="00762191">
        <w:rPr>
          <w:szCs w:val="24"/>
          <w:rtl/>
        </w:rPr>
        <w:t xml:space="preserve"> </w:t>
      </w:r>
      <w:r w:rsidRPr="00762191">
        <w:rPr>
          <w:rFonts w:hint="cs"/>
          <w:szCs w:val="24"/>
          <w:rtl/>
        </w:rPr>
        <w:t>كوارث</w:t>
      </w:r>
      <w:r w:rsidRPr="00762191">
        <w:rPr>
          <w:szCs w:val="24"/>
          <w:rtl/>
        </w:rPr>
        <w:t xml:space="preserve"> </w:t>
      </w:r>
      <w:r w:rsidRPr="00762191">
        <w:rPr>
          <w:rFonts w:hint="cs"/>
          <w:szCs w:val="24"/>
          <w:rtl/>
        </w:rPr>
        <w:t xml:space="preserve">المكان </w:t>
      </w:r>
      <w:r w:rsidRPr="00762191">
        <w:rPr>
          <w:rFonts w:asciiTheme="majorBidi" w:hAnsiTheme="majorBidi" w:cstheme="majorBidi"/>
          <w:szCs w:val="24"/>
          <w:rtl/>
          <w:lang w:bidi="ar-DZ"/>
        </w:rPr>
        <w:t>(</w:t>
      </w:r>
      <w:r w:rsidRPr="00762191">
        <w:rPr>
          <w:rFonts w:asciiTheme="majorBidi" w:hAnsiTheme="majorBidi" w:cstheme="majorBidi"/>
          <w:szCs w:val="24"/>
          <w:lang w:bidi="ar-DZ"/>
        </w:rPr>
        <w:t>DROP</w:t>
      </w:r>
      <w:r w:rsidRPr="00762191">
        <w:rPr>
          <w:rFonts w:asciiTheme="majorBidi" w:hAnsiTheme="majorBidi" w:cstheme="majorBidi"/>
          <w:szCs w:val="24"/>
          <w:rtl/>
          <w:lang w:bidi="ar-DZ"/>
        </w:rPr>
        <w:t>)</w:t>
      </w:r>
      <w:r w:rsidRPr="00762191">
        <w:rPr>
          <w:rFonts w:hint="cs"/>
          <w:szCs w:val="24"/>
          <w:rtl/>
        </w:rPr>
        <w:t>.</w:t>
      </w:r>
      <w:bookmarkEnd w:id="323"/>
      <w:bookmarkEnd w:id="324"/>
    </w:p>
    <w:p w:rsidR="003E0F31" w:rsidRPr="00CD2787" w:rsidRDefault="003E0F31" w:rsidP="003E0F31">
      <w:pPr>
        <w:bidi/>
        <w:spacing w:after="0" w:line="240" w:lineRule="auto"/>
        <w:jc w:val="center"/>
        <w:rPr>
          <w:rFonts w:ascii="Simplified Arabic" w:hAnsi="Simplified Arabic" w:cs="Simplified Arabic"/>
          <w:sz w:val="24"/>
          <w:szCs w:val="24"/>
          <w:rtl/>
          <w:lang w:bidi="ar-DZ"/>
        </w:rPr>
      </w:pPr>
      <w:r w:rsidRPr="00CD2787">
        <w:rPr>
          <w:rFonts w:ascii="Simplified Arabic" w:hAnsi="Simplified Arabic" w:cs="Simplified Arabic"/>
          <w:color w:val="262626"/>
          <w:sz w:val="24"/>
          <w:szCs w:val="24"/>
          <w:rtl/>
        </w:rPr>
        <w:t>المصدر</w:t>
      </w:r>
      <w:r w:rsidRPr="00CD2787">
        <w:rPr>
          <w:rFonts w:ascii="Simplified Arabic" w:hAnsi="Simplified Arabic" w:cs="Simplified Arabic"/>
          <w:color w:val="000000"/>
          <w:sz w:val="24"/>
          <w:szCs w:val="24"/>
          <w:rtl/>
        </w:rPr>
        <w:t xml:space="preserve">: </w:t>
      </w:r>
      <w:r w:rsidRPr="00CD2787">
        <w:rPr>
          <w:rFonts w:asciiTheme="majorBidi" w:hAnsiTheme="majorBidi" w:cstheme="majorBidi"/>
          <w:color w:val="262626"/>
          <w:sz w:val="24"/>
          <w:szCs w:val="24"/>
        </w:rPr>
        <w:t>(</w:t>
      </w:r>
      <w:r w:rsidRPr="00206B59">
        <w:rPr>
          <w:rFonts w:asciiTheme="majorBidi" w:hAnsiTheme="majorBidi" w:cstheme="majorBidi"/>
          <w:color w:val="262626"/>
          <w:sz w:val="24"/>
          <w:szCs w:val="24"/>
        </w:rPr>
        <w:t>Cutter</w:t>
      </w:r>
      <w:r w:rsidRPr="00CD2787">
        <w:rPr>
          <w:rFonts w:asciiTheme="majorBidi" w:hAnsiTheme="majorBidi" w:cstheme="majorBidi"/>
          <w:color w:val="262626"/>
          <w:sz w:val="24"/>
          <w:szCs w:val="24"/>
        </w:rPr>
        <w:t xml:space="preserve"> et al., 2008)</w:t>
      </w:r>
      <w:r w:rsidRPr="00CD2787">
        <w:rPr>
          <w:rFonts w:ascii="Simplified Arabic" w:hAnsi="Simplified Arabic" w:cs="Simplified Arabic"/>
          <w:color w:val="000000"/>
          <w:rtl/>
        </w:rPr>
        <w:t>.</w:t>
      </w:r>
    </w:p>
    <w:p w:rsidR="003E0F31" w:rsidRDefault="003E0F31" w:rsidP="003E0F31">
      <w:pPr>
        <w:bidi/>
        <w:spacing w:after="0"/>
        <w:jc w:val="center"/>
        <w:rPr>
          <w:rFonts w:ascii="Calibri" w:hAnsi="Calibri" w:cs="Calibri"/>
          <w:b/>
          <w:bCs/>
          <w:color w:val="000000"/>
          <w:rtl/>
        </w:rPr>
      </w:pPr>
      <w:r>
        <w:rPr>
          <w:noProof/>
          <w:lang w:eastAsia="fr-FR"/>
        </w:rPr>
        <w:drawing>
          <wp:inline distT="0" distB="0" distL="0" distR="0" wp14:anchorId="273454CD" wp14:editId="1DA5FC8A">
            <wp:extent cx="5380075" cy="2303253"/>
            <wp:effectExtent l="19050" t="19050" r="11430" b="20955"/>
            <wp:docPr id="124" name="Imag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9">
                      <a:extLst>
                        <a:ext uri="{28A0092B-C50C-407E-A947-70E740481C1C}">
                          <a14:useLocalDpi xmlns:a14="http://schemas.microsoft.com/office/drawing/2010/main" val="0"/>
                        </a:ext>
                      </a:extLst>
                    </a:blip>
                    <a:stretch>
                      <a:fillRect/>
                    </a:stretch>
                  </pic:blipFill>
                  <pic:spPr>
                    <a:xfrm>
                      <a:off x="0" y="0"/>
                      <a:ext cx="5402749" cy="2312960"/>
                    </a:xfrm>
                    <a:prstGeom prst="rect">
                      <a:avLst/>
                    </a:prstGeom>
                    <a:ln>
                      <a:solidFill>
                        <a:schemeClr val="tx1"/>
                      </a:solidFill>
                    </a:ln>
                  </pic:spPr>
                </pic:pic>
              </a:graphicData>
            </a:graphic>
          </wp:inline>
        </w:drawing>
      </w:r>
    </w:p>
    <w:p w:rsidR="003E0F31" w:rsidRPr="000B78E3" w:rsidRDefault="003E0F31" w:rsidP="001D0548">
      <w:pPr>
        <w:pStyle w:val="Paragraphedeliste"/>
        <w:numPr>
          <w:ilvl w:val="0"/>
          <w:numId w:val="13"/>
        </w:numPr>
        <w:bidi/>
        <w:spacing w:before="240" w:after="0"/>
        <w:ind w:left="-2" w:firstLine="284"/>
        <w:jc w:val="both"/>
        <w:rPr>
          <w:rFonts w:ascii="Simplified Arabic" w:hAnsi="Simplified Arabic" w:cs="Simplified Arabic"/>
          <w:b/>
          <w:bCs/>
          <w:sz w:val="24"/>
          <w:szCs w:val="24"/>
          <w:rtl/>
          <w:lang w:val="en-US"/>
        </w:rPr>
      </w:pPr>
      <w:r w:rsidRPr="000B78E3">
        <w:rPr>
          <w:rFonts w:ascii="Simplified Arabic" w:hAnsi="Simplified Arabic" w:cs="Simplified Arabic"/>
          <w:b/>
          <w:bCs/>
          <w:sz w:val="24"/>
          <w:szCs w:val="24"/>
          <w:rtl/>
          <w:lang w:val="en-US"/>
        </w:rPr>
        <w:t>مؤشرات المرونة الأساسية للمجتمعات</w:t>
      </w:r>
      <w:r w:rsidRPr="000B78E3">
        <w:rPr>
          <w:rFonts w:ascii="Simplified Arabic" w:hAnsi="Simplified Arabic" w:cs="Simplified Arabic" w:hint="cs"/>
          <w:b/>
          <w:bCs/>
          <w:sz w:val="24"/>
          <w:szCs w:val="24"/>
          <w:rtl/>
          <w:lang w:val="en-US"/>
        </w:rPr>
        <w:t xml:space="preserve">، </w:t>
      </w:r>
      <w:r w:rsidRPr="000B78E3">
        <w:rPr>
          <w:rFonts w:asciiTheme="majorBidi" w:hAnsiTheme="majorBidi" w:cstheme="majorBidi"/>
          <w:b/>
          <w:bCs/>
          <w:sz w:val="16"/>
          <w:szCs w:val="16"/>
          <w:rtl/>
          <w:lang w:val="en-US"/>
        </w:rPr>
        <w:t>[</w:t>
      </w:r>
      <w:r w:rsidRPr="000B78E3">
        <w:rPr>
          <w:rFonts w:asciiTheme="majorBidi" w:hAnsiTheme="majorBidi" w:cstheme="majorBidi"/>
          <w:b/>
          <w:bCs/>
          <w:sz w:val="16"/>
          <w:szCs w:val="16"/>
        </w:rPr>
        <w:t>(Cutter et al., 2014)</w:t>
      </w:r>
      <w:r w:rsidRPr="000B78E3">
        <w:rPr>
          <w:rFonts w:asciiTheme="majorBidi" w:hAnsiTheme="majorBidi" w:cstheme="majorBidi" w:hint="cs"/>
          <w:b/>
          <w:bCs/>
          <w:sz w:val="16"/>
          <w:szCs w:val="16"/>
          <w:rtl/>
        </w:rPr>
        <w:t>-</w:t>
      </w:r>
      <w:r w:rsidRPr="000B78E3">
        <w:rPr>
          <w:rFonts w:asciiTheme="majorBidi" w:hAnsiTheme="majorBidi" w:cstheme="majorBidi"/>
          <w:b/>
          <w:bCs/>
          <w:sz w:val="16"/>
          <w:szCs w:val="16"/>
          <w:rtl/>
        </w:rPr>
        <w:t xml:space="preserve"> </w:t>
      </w:r>
      <w:r w:rsidRPr="000B78E3">
        <w:rPr>
          <w:rFonts w:asciiTheme="majorBidi" w:hAnsiTheme="majorBidi" w:cstheme="majorBidi"/>
          <w:b/>
          <w:bCs/>
          <w:sz w:val="16"/>
          <w:szCs w:val="16"/>
        </w:rPr>
        <w:t xml:space="preserve">Baseline </w:t>
      </w:r>
      <w:r w:rsidRPr="000B78E3">
        <w:rPr>
          <w:rFonts w:asciiTheme="majorBidi" w:hAnsiTheme="majorBidi" w:cstheme="majorBidi"/>
          <w:b/>
          <w:bCs/>
          <w:sz w:val="16"/>
          <w:szCs w:val="16"/>
          <w:lang w:val="en-US"/>
        </w:rPr>
        <w:t>Resilience</w:t>
      </w:r>
      <w:r w:rsidRPr="000B78E3">
        <w:rPr>
          <w:rFonts w:asciiTheme="majorBidi" w:hAnsiTheme="majorBidi" w:cstheme="majorBidi"/>
          <w:b/>
          <w:bCs/>
          <w:sz w:val="16"/>
          <w:szCs w:val="16"/>
        </w:rPr>
        <w:t xml:space="preserve"> </w:t>
      </w:r>
      <w:r w:rsidRPr="000B78E3">
        <w:rPr>
          <w:rFonts w:asciiTheme="majorBidi" w:hAnsiTheme="majorBidi" w:cstheme="majorBidi"/>
          <w:b/>
          <w:bCs/>
          <w:sz w:val="16"/>
          <w:szCs w:val="16"/>
          <w:lang w:val="en-US"/>
        </w:rPr>
        <w:t>Indicators</w:t>
      </w:r>
      <w:r w:rsidRPr="000B78E3">
        <w:rPr>
          <w:rFonts w:asciiTheme="majorBidi" w:hAnsiTheme="majorBidi" w:cstheme="majorBidi"/>
          <w:b/>
          <w:bCs/>
          <w:sz w:val="16"/>
          <w:szCs w:val="16"/>
        </w:rPr>
        <w:t xml:space="preserve"> for </w:t>
      </w:r>
      <w:r w:rsidRPr="000B78E3">
        <w:rPr>
          <w:rFonts w:asciiTheme="majorBidi" w:hAnsiTheme="majorBidi" w:cstheme="majorBidi"/>
          <w:b/>
          <w:bCs/>
          <w:sz w:val="16"/>
          <w:szCs w:val="16"/>
          <w:lang w:val="en-US"/>
        </w:rPr>
        <w:t>Communities</w:t>
      </w:r>
      <w:r w:rsidRPr="000B78E3">
        <w:rPr>
          <w:rFonts w:asciiTheme="majorBidi" w:hAnsiTheme="majorBidi" w:cstheme="majorBidi"/>
          <w:b/>
          <w:bCs/>
          <w:sz w:val="16"/>
          <w:szCs w:val="16"/>
        </w:rPr>
        <w:t xml:space="preserve"> (BRIC)</w:t>
      </w:r>
      <w:r w:rsidRPr="000B78E3">
        <w:rPr>
          <w:rFonts w:asciiTheme="majorBidi" w:hAnsiTheme="majorBidi" w:cstheme="majorBidi"/>
          <w:b/>
          <w:bCs/>
          <w:sz w:val="16"/>
          <w:szCs w:val="16"/>
          <w:rtl/>
        </w:rPr>
        <w:t>]</w:t>
      </w:r>
    </w:p>
    <w:p w:rsidR="003E0F31" w:rsidRDefault="003E0F31" w:rsidP="003E0F31">
      <w:pPr>
        <w:bidi/>
        <w:spacing w:after="0"/>
        <w:ind w:firstLine="282"/>
        <w:jc w:val="both"/>
        <w:rPr>
          <w:rFonts w:ascii="Simplified Arabic" w:hAnsi="Simplified Arabic" w:cs="Simplified Arabic"/>
          <w:sz w:val="24"/>
          <w:szCs w:val="24"/>
          <w:rtl/>
          <w:lang w:val="en-US"/>
        </w:rPr>
      </w:pPr>
      <w:r w:rsidRPr="00206B59">
        <w:rPr>
          <w:rFonts w:ascii="Simplified Arabic" w:hAnsi="Simplified Arabic" w:cs="Simplified Arabic"/>
          <w:sz w:val="24"/>
          <w:szCs w:val="24"/>
          <w:rtl/>
          <w:lang w:val="en-US"/>
        </w:rPr>
        <w:t>بعد عملها على إنشاء فهرس الضعف الاجتماعي</w:t>
      </w:r>
      <w:r w:rsidRPr="00206B59">
        <w:rPr>
          <w:rFonts w:asciiTheme="minorBidi" w:hAnsiTheme="minorBidi" w:cs="Arial" w:hint="cs"/>
          <w:sz w:val="24"/>
          <w:szCs w:val="24"/>
          <w:rtl/>
          <w:lang w:val="en-US"/>
        </w:rPr>
        <w:t xml:space="preserve"> </w:t>
      </w:r>
      <w:r w:rsidRPr="00206B59">
        <w:rPr>
          <w:rFonts w:asciiTheme="majorBidi" w:hAnsiTheme="majorBidi" w:cstheme="majorBidi" w:hint="cs"/>
          <w:sz w:val="24"/>
          <w:szCs w:val="24"/>
          <w:rtl/>
          <w:lang w:val="en-US"/>
        </w:rPr>
        <w:t>[</w:t>
      </w:r>
      <w:r w:rsidRPr="00206B59">
        <w:rPr>
          <w:rFonts w:asciiTheme="majorBidi" w:hAnsiTheme="majorBidi" w:cstheme="majorBidi"/>
          <w:sz w:val="24"/>
          <w:szCs w:val="24"/>
          <w:rtl/>
          <w:lang w:val="en-US"/>
        </w:rPr>
        <w:t>(</w:t>
      </w:r>
      <w:r w:rsidRPr="00206B59">
        <w:rPr>
          <w:rFonts w:asciiTheme="majorBidi" w:hAnsiTheme="majorBidi" w:cstheme="majorBidi"/>
          <w:sz w:val="24"/>
          <w:szCs w:val="24"/>
          <w:lang w:val="en-US"/>
        </w:rPr>
        <w:t xml:space="preserve"> SoVi</w:t>
      </w:r>
      <w:r w:rsidRPr="00206B59">
        <w:rPr>
          <w:rFonts w:asciiTheme="majorBidi" w:hAnsiTheme="majorBidi" w:cstheme="majorBidi"/>
          <w:sz w:val="24"/>
          <w:szCs w:val="24"/>
          <w:rtl/>
          <w:lang w:val="en-US"/>
        </w:rPr>
        <w:t>)</w:t>
      </w:r>
      <w:r w:rsidRPr="00206B59">
        <w:rPr>
          <w:rFonts w:asciiTheme="majorBidi" w:hAnsiTheme="majorBidi" w:cstheme="majorBidi"/>
          <w:i/>
          <w:iCs/>
          <w:sz w:val="24"/>
          <w:szCs w:val="24"/>
          <w:rtl/>
          <w:lang w:val="en-US"/>
        </w:rPr>
        <w:t xml:space="preserve"> </w:t>
      </w:r>
      <w:r w:rsidRPr="00206B59">
        <w:rPr>
          <w:rFonts w:asciiTheme="majorBidi" w:hAnsiTheme="majorBidi" w:cstheme="majorBidi"/>
          <w:i/>
          <w:iCs/>
          <w:sz w:val="24"/>
          <w:szCs w:val="24"/>
        </w:rPr>
        <w:t xml:space="preserve">Social </w:t>
      </w:r>
      <w:r w:rsidRPr="00206B59">
        <w:rPr>
          <w:rFonts w:asciiTheme="majorBidi" w:hAnsiTheme="majorBidi" w:cstheme="majorBidi"/>
          <w:i/>
          <w:iCs/>
          <w:sz w:val="24"/>
          <w:szCs w:val="24"/>
          <w:lang w:val="en-US"/>
        </w:rPr>
        <w:t>Vulnerability</w:t>
      </w:r>
      <w:r w:rsidRPr="00206B59">
        <w:rPr>
          <w:rFonts w:asciiTheme="majorBidi" w:hAnsiTheme="majorBidi" w:cstheme="majorBidi"/>
          <w:i/>
          <w:iCs/>
          <w:sz w:val="24"/>
          <w:szCs w:val="24"/>
        </w:rPr>
        <w:t xml:space="preserve"> Index</w:t>
      </w:r>
      <w:r w:rsidRPr="00206B59">
        <w:rPr>
          <w:rFonts w:asciiTheme="majorBidi" w:hAnsiTheme="majorBidi" w:cstheme="majorBidi" w:hint="cs"/>
          <w:sz w:val="24"/>
          <w:szCs w:val="24"/>
          <w:rtl/>
        </w:rPr>
        <w:t>]</w:t>
      </w:r>
      <w:r w:rsidRPr="00206B59">
        <w:rPr>
          <w:rFonts w:ascii="TimesNewRomanPSMT" w:hAnsi="TimesNewRomanPSMT" w:cs="TimesNewRomanPSMT" w:hint="cs"/>
          <w:sz w:val="24"/>
          <w:szCs w:val="24"/>
          <w:rtl/>
        </w:rPr>
        <w:t xml:space="preserve"> </w:t>
      </w:r>
      <w:r w:rsidRPr="00206B59">
        <w:rPr>
          <w:rFonts w:ascii="Simplified Arabic" w:hAnsi="Simplified Arabic" w:cs="Simplified Arabic" w:hint="cs"/>
          <w:sz w:val="24"/>
          <w:szCs w:val="24"/>
          <w:rtl/>
          <w:lang w:val="en-US"/>
        </w:rPr>
        <w:t>على</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مستوى</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الولايات</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المتحدة</w:t>
      </w:r>
      <w:r w:rsidRPr="00206B59">
        <w:rPr>
          <w:rFonts w:ascii="Simplified Arabic" w:hAnsi="Simplified Arabic" w:cs="Simplified Arabic"/>
          <w:sz w:val="24"/>
          <w:szCs w:val="24"/>
          <w:rtl/>
          <w:lang w:val="en-US"/>
        </w:rPr>
        <w:t xml:space="preserve"> </w:t>
      </w:r>
      <w:r w:rsidRPr="00206B59">
        <w:rPr>
          <w:rFonts w:asciiTheme="majorBidi" w:hAnsiTheme="majorBidi" w:cstheme="majorBidi"/>
          <w:sz w:val="24"/>
          <w:szCs w:val="24"/>
        </w:rPr>
        <w:t>(Cutter et al., 2003; Cutter and Finch, 2008)</w:t>
      </w:r>
      <w:r w:rsidRPr="00206B59">
        <w:rPr>
          <w:rFonts w:ascii="Simplified Arabic" w:hAnsi="Simplified Arabic" w:cs="Simplified Arabic" w:hint="cs"/>
          <w:sz w:val="24"/>
          <w:szCs w:val="24"/>
          <w:rtl/>
          <w:lang w:val="en-US"/>
        </w:rPr>
        <w:t>،</w:t>
      </w:r>
      <w:r w:rsidRPr="00206B59">
        <w:rPr>
          <w:rFonts w:asciiTheme="minorBidi" w:hAnsiTheme="minorBidi" w:cs="Arial"/>
          <w:sz w:val="28"/>
          <w:szCs w:val="28"/>
          <w:rtl/>
          <w:lang w:val="en-US"/>
        </w:rPr>
        <w:t xml:space="preserve"> </w:t>
      </w:r>
      <w:r w:rsidRPr="00206B59">
        <w:rPr>
          <w:rFonts w:ascii="Simplified Arabic" w:hAnsi="Simplified Arabic" w:cs="Simplified Arabic" w:hint="cs"/>
          <w:sz w:val="24"/>
          <w:szCs w:val="24"/>
          <w:rtl/>
          <w:lang w:val="en-US"/>
        </w:rPr>
        <w:t>ونموذج</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مرونة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المكان</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لمواجهة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الكوارث</w:t>
      </w:r>
      <w:r w:rsidRPr="00206B59">
        <w:rPr>
          <w:rFonts w:ascii="Simplified Arabic" w:hAnsi="Simplified Arabic" w:cs="Simplified Arabic"/>
          <w:sz w:val="24"/>
          <w:szCs w:val="24"/>
          <w:rtl/>
          <w:lang w:val="en-US"/>
        </w:rPr>
        <w:t xml:space="preserve"> </w:t>
      </w:r>
      <w:r w:rsidRPr="00206B59">
        <w:rPr>
          <w:rFonts w:asciiTheme="majorBidi" w:hAnsiTheme="majorBidi" w:cstheme="majorBidi"/>
          <w:sz w:val="24"/>
          <w:szCs w:val="24"/>
          <w:rtl/>
          <w:lang w:bidi="ar-DZ"/>
        </w:rPr>
        <w:t>(</w:t>
      </w:r>
      <w:r w:rsidRPr="00206B59">
        <w:rPr>
          <w:rFonts w:asciiTheme="majorBidi" w:hAnsiTheme="majorBidi" w:cstheme="majorBidi"/>
          <w:sz w:val="24"/>
          <w:szCs w:val="24"/>
          <w:lang w:bidi="ar-DZ"/>
        </w:rPr>
        <w:t>DROP</w:t>
      </w:r>
      <w:r w:rsidRPr="00206B59">
        <w:rPr>
          <w:rFonts w:asciiTheme="majorBidi" w:hAnsiTheme="majorBidi" w:cstheme="majorBidi"/>
          <w:sz w:val="24"/>
          <w:szCs w:val="24"/>
          <w:rtl/>
          <w:lang w:bidi="ar-DZ"/>
        </w:rPr>
        <w:t>)</w:t>
      </w:r>
      <w:r w:rsidRPr="00206B59">
        <w:rPr>
          <w:rFonts w:ascii="Simplified Arabic" w:hAnsi="Simplified Arabic" w:cs="Simplified Arabic" w:hint="cs"/>
          <w:sz w:val="24"/>
          <w:szCs w:val="24"/>
          <w:rtl/>
          <w:lang w:val="en-US"/>
        </w:rPr>
        <w:t xml:space="preserve"> </w:t>
      </w:r>
      <w:r w:rsidRPr="00206B59">
        <w:rPr>
          <w:rFonts w:ascii="Simplified Arabic" w:hAnsi="Simplified Arabic" w:cs="Simplified Arabic" w:hint="cs"/>
          <w:sz w:val="24"/>
          <w:szCs w:val="24"/>
          <w:rtl/>
          <w:lang w:val="en-US"/>
        </w:rPr>
        <w:lastRenderedPageBreak/>
        <w:t>الذي يربط بين</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الضعف</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والمرونة،</w:t>
      </w:r>
      <w:r w:rsidRPr="00206B59">
        <w:rPr>
          <w:rFonts w:asciiTheme="minorBidi" w:hAnsiTheme="minorBidi" w:cs="Arial"/>
          <w:sz w:val="28"/>
          <w:szCs w:val="28"/>
          <w:rtl/>
          <w:lang w:val="en-US"/>
        </w:rPr>
        <w:t xml:space="preserve"> </w:t>
      </w:r>
      <w:r w:rsidRPr="00206B59">
        <w:rPr>
          <w:rFonts w:ascii="Simplified Arabic" w:hAnsi="Simplified Arabic" w:cs="Simplified Arabic" w:hint="cs"/>
          <w:sz w:val="24"/>
          <w:szCs w:val="24"/>
          <w:rtl/>
          <w:lang w:val="en-US"/>
        </w:rPr>
        <w:t xml:space="preserve">تحولت </w:t>
      </w:r>
      <w:r w:rsidRPr="00206B59">
        <w:rPr>
          <w:rFonts w:asciiTheme="majorBidi" w:hAnsiTheme="majorBidi" w:cstheme="majorBidi"/>
          <w:sz w:val="24"/>
          <w:szCs w:val="24"/>
          <w:lang w:val="en-US"/>
        </w:rPr>
        <w:t>(Cutter</w:t>
      </w:r>
      <w:r w:rsidRPr="00206B59">
        <w:rPr>
          <w:rFonts w:asciiTheme="majorBidi" w:hAnsiTheme="majorBidi" w:cstheme="majorBidi"/>
          <w:sz w:val="24"/>
          <w:szCs w:val="24"/>
        </w:rPr>
        <w:t xml:space="preserve"> et al., 2014)</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إلى</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مفهوم</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المرونة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من</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أجل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بناء قاعدة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بيانات</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لمؤشرات</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المرونة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بعنوان</w:t>
      </w:r>
      <w:r w:rsidRPr="00206B59">
        <w:rPr>
          <w:rFonts w:asciiTheme="minorBidi" w:hAnsiTheme="minorBidi" w:cs="Arial" w:hint="cs"/>
          <w:sz w:val="28"/>
          <w:szCs w:val="28"/>
          <w:rtl/>
          <w:lang w:val="en-US"/>
        </w:rPr>
        <w:t xml:space="preserve"> </w:t>
      </w:r>
      <w:r w:rsidRPr="00206B59">
        <w:rPr>
          <w:rFonts w:asciiTheme="majorBidi" w:hAnsiTheme="majorBidi" w:cstheme="majorBidi"/>
          <w:sz w:val="24"/>
          <w:szCs w:val="24"/>
          <w:lang w:val="en-US"/>
        </w:rPr>
        <w:t>(</w:t>
      </w:r>
      <w:r w:rsidRPr="00206B59">
        <w:rPr>
          <w:rFonts w:asciiTheme="majorBidi" w:hAnsiTheme="majorBidi" w:cstheme="majorBidi"/>
          <w:i/>
          <w:iCs/>
          <w:sz w:val="24"/>
          <w:szCs w:val="24"/>
          <w:lang w:val="en-US"/>
        </w:rPr>
        <w:t>Baseline Resilience Indicators for communities</w:t>
      </w:r>
      <w:r w:rsidRPr="00206B59">
        <w:rPr>
          <w:rFonts w:asciiTheme="majorBidi" w:hAnsiTheme="majorBidi" w:cstheme="majorBidi"/>
          <w:sz w:val="24"/>
          <w:szCs w:val="24"/>
          <w:lang w:val="en-US"/>
        </w:rPr>
        <w:t>)</w:t>
      </w:r>
      <w:r w:rsidRPr="00206B59">
        <w:rPr>
          <w:rFonts w:asciiTheme="majorBidi" w:hAnsiTheme="majorBidi" w:cstheme="majorBidi"/>
          <w:sz w:val="24"/>
          <w:szCs w:val="24"/>
        </w:rPr>
        <w:t>)</w:t>
      </w:r>
      <w:r w:rsidRPr="00206B59">
        <w:rPr>
          <w:rFonts w:asciiTheme="minorBidi" w:hAnsiTheme="minorBidi" w:cs="Arial"/>
          <w:sz w:val="28"/>
          <w:szCs w:val="28"/>
          <w:rtl/>
          <w:lang w:val="en-US"/>
        </w:rPr>
        <w:t xml:space="preserve">. </w:t>
      </w:r>
      <w:r w:rsidRPr="00206B59">
        <w:rPr>
          <w:rFonts w:ascii="Simplified Arabic" w:hAnsi="Simplified Arabic" w:cs="Simplified Arabic"/>
          <w:sz w:val="24"/>
          <w:szCs w:val="24"/>
          <w:rtl/>
          <w:lang w:val="en-US"/>
        </w:rPr>
        <w:t xml:space="preserve">هذا العمل هو نموذج تم تطويره على نطاق </w:t>
      </w:r>
      <w:r w:rsidRPr="00206B59">
        <w:rPr>
          <w:rFonts w:ascii="Simplified Arabic" w:hAnsi="Simplified Arabic" w:cs="Simplified Arabic" w:hint="cs"/>
          <w:sz w:val="24"/>
          <w:szCs w:val="24"/>
          <w:rtl/>
          <w:lang w:val="en-US"/>
        </w:rPr>
        <w:t>واسع</w:t>
      </w:r>
      <w:r w:rsidRPr="00206B59">
        <w:rPr>
          <w:rFonts w:ascii="Simplified Arabic" w:hAnsi="Simplified Arabic" w:cs="Simplified Arabic"/>
          <w:sz w:val="24"/>
          <w:szCs w:val="24"/>
          <w:rtl/>
          <w:lang w:val="en-US"/>
        </w:rPr>
        <w:t xml:space="preserve"> عبر مجموعة</w:t>
      </w:r>
      <w:r w:rsidRPr="00206B59">
        <w:rPr>
          <w:rFonts w:asciiTheme="minorBidi" w:hAnsiTheme="minorBidi"/>
          <w:color w:val="000000" w:themeColor="text1"/>
          <w:sz w:val="28"/>
          <w:szCs w:val="28"/>
          <w:rtl/>
        </w:rPr>
        <w:t xml:space="preserve"> </w:t>
      </w:r>
      <w:r w:rsidRPr="00206B59">
        <w:rPr>
          <w:rFonts w:asciiTheme="majorBidi" w:hAnsiTheme="majorBidi" w:cstheme="majorBidi"/>
          <w:color w:val="000000" w:themeColor="text1"/>
          <w:sz w:val="24"/>
          <w:szCs w:val="24"/>
          <w:rtl/>
        </w:rPr>
        <w:t>(</w:t>
      </w:r>
      <w:r w:rsidRPr="00206B59">
        <w:rPr>
          <w:rFonts w:asciiTheme="majorBidi" w:hAnsiTheme="majorBidi" w:cstheme="majorBidi"/>
          <w:sz w:val="24"/>
          <w:szCs w:val="24"/>
        </w:rPr>
        <w:t>BRIC</w:t>
      </w:r>
      <w:r w:rsidRPr="00206B59">
        <w:rPr>
          <w:rFonts w:asciiTheme="majorBidi" w:hAnsiTheme="majorBidi" w:cstheme="majorBidi"/>
          <w:sz w:val="24"/>
          <w:szCs w:val="24"/>
          <w:rtl/>
        </w:rPr>
        <w:t>)</w:t>
      </w:r>
      <w:r w:rsidRPr="00206B59">
        <w:rPr>
          <w:rFonts w:asciiTheme="minorBidi" w:hAnsiTheme="minorBidi"/>
          <w:color w:val="000000" w:themeColor="text1"/>
          <w:sz w:val="28"/>
          <w:szCs w:val="28"/>
          <w:rtl/>
        </w:rPr>
        <w:t xml:space="preserve"> </w:t>
      </w:r>
      <w:r w:rsidRPr="00206B59">
        <w:rPr>
          <w:rFonts w:ascii="Simplified Arabic" w:hAnsi="Simplified Arabic" w:cs="Simplified Arabic"/>
          <w:sz w:val="24"/>
          <w:szCs w:val="24"/>
          <w:rtl/>
          <w:lang w:val="en-US"/>
        </w:rPr>
        <w:t>باستخدام مؤشرات المرونة لقياس المرونة والضعف في مناطق معينة.</w:t>
      </w:r>
      <w:r w:rsidRPr="00206B59">
        <w:rPr>
          <w:rFonts w:ascii="Simplified Arabic" w:hAnsi="Simplified Arabic" w:cs="Simplified Arabic" w:hint="cs"/>
          <w:sz w:val="24"/>
          <w:szCs w:val="24"/>
          <w:rtl/>
          <w:lang w:val="en-US"/>
        </w:rPr>
        <w:t xml:space="preserve"> تميل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مؤشرات</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المرونة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الأساسية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للمجتمعات</w:t>
      </w:r>
      <w:r w:rsidRPr="00206B59">
        <w:rPr>
          <w:rFonts w:asciiTheme="minorBidi" w:hAnsiTheme="minorBidi" w:cs="Arial"/>
          <w:color w:val="000000" w:themeColor="text1"/>
          <w:sz w:val="28"/>
          <w:szCs w:val="28"/>
          <w:rtl/>
        </w:rPr>
        <w:t xml:space="preserve"> (</w:t>
      </w:r>
      <w:r w:rsidRPr="00206B59">
        <w:rPr>
          <w:rFonts w:asciiTheme="majorBidi" w:hAnsiTheme="majorBidi" w:cstheme="majorBidi"/>
          <w:color w:val="000000" w:themeColor="text1"/>
          <w:sz w:val="24"/>
          <w:szCs w:val="24"/>
        </w:rPr>
        <w:t>BRIC</w:t>
      </w:r>
      <w:r w:rsidRPr="00206B59">
        <w:rPr>
          <w:rFonts w:asciiTheme="minorBidi" w:hAnsiTheme="minorBidi" w:cs="Arial"/>
          <w:color w:val="000000" w:themeColor="text1"/>
          <w:sz w:val="28"/>
          <w:szCs w:val="28"/>
          <w:rtl/>
        </w:rPr>
        <w:t>)</w:t>
      </w:r>
      <w:r w:rsidRPr="00206B59">
        <w:rPr>
          <w:rFonts w:asciiTheme="minorBidi" w:hAnsiTheme="minorBidi" w:cs="Arial" w:hint="cs"/>
          <w:color w:val="000000" w:themeColor="text1"/>
          <w:sz w:val="28"/>
          <w:szCs w:val="28"/>
          <w:rtl/>
        </w:rPr>
        <w:t xml:space="preserve"> </w:t>
      </w:r>
      <w:r w:rsidRPr="00206B59">
        <w:rPr>
          <w:rFonts w:ascii="Simplified Arabic" w:hAnsi="Simplified Arabic" w:cs="Simplified Arabic" w:hint="cs"/>
          <w:sz w:val="24"/>
          <w:szCs w:val="24"/>
          <w:rtl/>
          <w:lang w:val="en-US"/>
        </w:rPr>
        <w:t>إلى</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الاستجابة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لقيود</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اعمال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البحث</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 xml:space="preserve">الأول </w:t>
      </w:r>
      <w:r w:rsidRPr="00206B59">
        <w:rPr>
          <w:rFonts w:asciiTheme="majorBidi" w:hAnsiTheme="majorBidi" w:cstheme="majorBidi"/>
          <w:sz w:val="24"/>
          <w:szCs w:val="24"/>
          <w:rtl/>
          <w:lang w:bidi="ar-DZ"/>
        </w:rPr>
        <w:t>(</w:t>
      </w:r>
      <w:r w:rsidRPr="00206B59">
        <w:rPr>
          <w:rFonts w:asciiTheme="majorBidi" w:hAnsiTheme="majorBidi" w:cstheme="majorBidi"/>
          <w:sz w:val="24"/>
          <w:szCs w:val="24"/>
          <w:lang w:bidi="ar-DZ"/>
        </w:rPr>
        <w:t>DROP</w:t>
      </w:r>
      <w:r w:rsidRPr="00206B59">
        <w:rPr>
          <w:rFonts w:asciiTheme="majorBidi" w:hAnsiTheme="majorBidi" w:cstheme="majorBidi"/>
          <w:sz w:val="24"/>
          <w:szCs w:val="24"/>
          <w:rtl/>
          <w:lang w:bidi="ar-DZ"/>
        </w:rPr>
        <w:t>)</w:t>
      </w:r>
      <w:r w:rsidRPr="00206B59">
        <w:rPr>
          <w:rFonts w:ascii="Simplified Arabic" w:hAnsi="Simplified Arabic" w:cs="Simplified Arabic"/>
          <w:sz w:val="24"/>
          <w:szCs w:val="24"/>
          <w:rtl/>
          <w:lang w:val="en-US"/>
        </w:rPr>
        <w:t>.</w:t>
      </w:r>
    </w:p>
    <w:p w:rsidR="003E0F31" w:rsidRDefault="003E0F31" w:rsidP="003E0F31">
      <w:pPr>
        <w:bidi/>
        <w:spacing w:after="0"/>
        <w:ind w:firstLine="282"/>
        <w:jc w:val="both"/>
        <w:rPr>
          <w:rFonts w:asciiTheme="minorBidi" w:hAnsiTheme="minorBidi" w:cs="Arial"/>
          <w:color w:val="000000" w:themeColor="text1"/>
          <w:sz w:val="28"/>
          <w:szCs w:val="28"/>
          <w:rtl/>
        </w:rPr>
      </w:pPr>
      <w:r>
        <w:rPr>
          <w:rFonts w:ascii="Simplified Arabic" w:hAnsi="Simplified Arabic" w:cs="Simplified Arabic" w:hint="cs"/>
          <w:sz w:val="24"/>
          <w:szCs w:val="24"/>
          <w:rtl/>
          <w:lang w:val="en-US"/>
        </w:rPr>
        <w:t>يستند النموذج الاخير الى 49 مؤشرًا</w:t>
      </w:r>
      <w:r w:rsidRPr="00054D61">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متعدد الابعاد تم توزيعه 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ستة</w:t>
      </w:r>
      <w:r w:rsidRPr="00054D6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ابعاد</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w:t>
      </w:r>
      <w:r w:rsidRPr="005E6BC7">
        <w:rPr>
          <w:rFonts w:asciiTheme="majorBidi" w:hAnsiTheme="majorBidi" w:cstheme="majorBidi"/>
          <w:sz w:val="24"/>
          <w:szCs w:val="24"/>
          <w:lang w:val="en-US"/>
        </w:rPr>
        <w:t>A</w:t>
      </w:r>
      <w:r w:rsidRPr="005E6BC7">
        <w:rPr>
          <w:rFonts w:asciiTheme="majorBidi" w:hAnsiTheme="majorBidi" w:cstheme="majorBidi"/>
          <w:sz w:val="24"/>
          <w:szCs w:val="24"/>
          <w:rtl/>
          <w:lang w:val="en-US"/>
        </w:rPr>
        <w:t xml:space="preserve"> </w:t>
      </w:r>
      <w:r w:rsidRPr="005E6BC7">
        <w:rPr>
          <w:rFonts w:ascii="Simplified Arabic" w:hAnsi="Simplified Arabic" w:cs="Simplified Arabic"/>
          <w:sz w:val="24"/>
          <w:szCs w:val="24"/>
          <w:rtl/>
          <w:lang w:val="en-US"/>
        </w:rPr>
        <w:t xml:space="preserve">= </w:t>
      </w:r>
      <w:r w:rsidRPr="005E6BC7">
        <w:rPr>
          <w:rFonts w:ascii="Simplified Arabic" w:hAnsi="Simplified Arabic" w:cs="Simplified Arabic" w:hint="cs"/>
          <w:sz w:val="24"/>
          <w:szCs w:val="24"/>
          <w:rtl/>
          <w:lang w:val="en-US"/>
        </w:rPr>
        <w:t>اجتماعي،</w:t>
      </w:r>
      <w:r w:rsidRPr="005E6BC7">
        <w:rPr>
          <w:rFonts w:asciiTheme="minorBidi" w:hAnsiTheme="minorBidi" w:cs="Arial"/>
          <w:sz w:val="24"/>
          <w:szCs w:val="24"/>
          <w:rtl/>
          <w:lang w:val="en-US"/>
        </w:rPr>
        <w:t xml:space="preserve"> </w:t>
      </w:r>
      <w:r w:rsidRPr="005E6BC7">
        <w:rPr>
          <w:rFonts w:asciiTheme="majorBidi" w:hAnsiTheme="majorBidi" w:cstheme="majorBidi"/>
          <w:sz w:val="24"/>
          <w:szCs w:val="24"/>
          <w:lang w:val="en-US"/>
        </w:rPr>
        <w:t>B</w:t>
      </w:r>
      <w:r w:rsidRPr="005E6BC7">
        <w:rPr>
          <w:rFonts w:asciiTheme="majorBidi" w:hAnsiTheme="majorBidi" w:cstheme="majorBidi"/>
          <w:sz w:val="24"/>
          <w:szCs w:val="24"/>
          <w:rtl/>
          <w:lang w:val="en-US"/>
        </w:rPr>
        <w:t xml:space="preserve"> </w:t>
      </w:r>
      <w:r w:rsidRPr="005E6BC7">
        <w:rPr>
          <w:rFonts w:ascii="Simplified Arabic" w:hAnsi="Simplified Arabic" w:cs="Simplified Arabic"/>
          <w:sz w:val="24"/>
          <w:szCs w:val="24"/>
          <w:rtl/>
          <w:lang w:val="en-US"/>
        </w:rPr>
        <w:t xml:space="preserve">= </w:t>
      </w:r>
      <w:r w:rsidRPr="005E6BC7">
        <w:rPr>
          <w:rFonts w:ascii="Simplified Arabic" w:hAnsi="Simplified Arabic" w:cs="Simplified Arabic" w:hint="cs"/>
          <w:sz w:val="24"/>
          <w:szCs w:val="24"/>
          <w:rtl/>
          <w:lang w:val="en-US"/>
        </w:rPr>
        <w:t>اقتصادي،</w:t>
      </w:r>
      <w:r w:rsidRPr="005E6BC7">
        <w:rPr>
          <w:rFonts w:ascii="Simplified Arabic" w:hAnsi="Simplified Arabic" w:cs="Simplified Arabic"/>
          <w:sz w:val="24"/>
          <w:szCs w:val="24"/>
          <w:rtl/>
          <w:lang w:val="en-US"/>
        </w:rPr>
        <w:t xml:space="preserve"> </w:t>
      </w:r>
      <w:r w:rsidRPr="005E6BC7">
        <w:rPr>
          <w:rFonts w:asciiTheme="majorBidi" w:hAnsiTheme="majorBidi" w:cstheme="majorBidi"/>
          <w:sz w:val="24"/>
          <w:szCs w:val="24"/>
          <w:lang w:val="en-US"/>
        </w:rPr>
        <w:t>C</w:t>
      </w:r>
      <w:r w:rsidRPr="005E6BC7">
        <w:rPr>
          <w:rFonts w:asciiTheme="majorBidi" w:hAnsiTheme="majorBidi" w:cstheme="majorBidi"/>
          <w:sz w:val="24"/>
          <w:szCs w:val="24"/>
          <w:rtl/>
          <w:lang w:val="en-US"/>
        </w:rPr>
        <w:t xml:space="preserve"> </w:t>
      </w:r>
      <w:r w:rsidRPr="005E6BC7">
        <w:rPr>
          <w:rFonts w:ascii="Simplified Arabic" w:hAnsi="Simplified Arabic" w:cs="Simplified Arabic"/>
          <w:sz w:val="24"/>
          <w:szCs w:val="24"/>
          <w:rtl/>
          <w:lang w:val="en-US"/>
        </w:rPr>
        <w:t>=</w:t>
      </w:r>
      <w:r w:rsidRPr="005E6BC7">
        <w:rPr>
          <w:rFonts w:ascii="Simplified Arabic" w:hAnsi="Simplified Arabic" w:cs="Simplified Arabic" w:hint="cs"/>
          <w:sz w:val="24"/>
          <w:szCs w:val="24"/>
          <w:rtl/>
          <w:lang w:val="en-US"/>
        </w:rPr>
        <w:t xml:space="preserve"> مجتمعي،</w:t>
      </w:r>
      <w:r w:rsidRPr="005E6BC7">
        <w:rPr>
          <w:rFonts w:asciiTheme="minorBidi" w:hAnsiTheme="minorBidi" w:cs="Arial"/>
          <w:sz w:val="24"/>
          <w:szCs w:val="24"/>
          <w:rtl/>
          <w:lang w:val="en-US"/>
        </w:rPr>
        <w:t xml:space="preserve"> </w:t>
      </w:r>
      <w:r w:rsidRPr="005E6BC7">
        <w:rPr>
          <w:rFonts w:asciiTheme="majorBidi" w:hAnsiTheme="majorBidi" w:cstheme="majorBidi"/>
          <w:sz w:val="24"/>
          <w:szCs w:val="24"/>
          <w:lang w:val="en-US"/>
        </w:rPr>
        <w:t>D</w:t>
      </w:r>
      <w:r w:rsidRPr="005E6BC7">
        <w:rPr>
          <w:rFonts w:asciiTheme="majorBidi" w:hAnsiTheme="majorBidi" w:cstheme="majorBidi"/>
          <w:sz w:val="24"/>
          <w:szCs w:val="24"/>
          <w:rtl/>
          <w:lang w:val="en-US"/>
        </w:rPr>
        <w:t xml:space="preserve"> </w:t>
      </w:r>
      <w:r w:rsidRPr="005E6BC7">
        <w:rPr>
          <w:rFonts w:ascii="Simplified Arabic" w:hAnsi="Simplified Arabic" w:cs="Simplified Arabic"/>
          <w:sz w:val="24"/>
          <w:szCs w:val="24"/>
          <w:rtl/>
          <w:lang w:val="en-US"/>
        </w:rPr>
        <w:t xml:space="preserve">= </w:t>
      </w:r>
      <w:r w:rsidRPr="005E6BC7">
        <w:rPr>
          <w:rFonts w:ascii="Simplified Arabic" w:hAnsi="Simplified Arabic" w:cs="Simplified Arabic" w:hint="cs"/>
          <w:sz w:val="24"/>
          <w:szCs w:val="24"/>
          <w:rtl/>
          <w:lang w:val="en-US"/>
        </w:rPr>
        <w:t>مؤسسي،</w:t>
      </w:r>
      <w:r w:rsidRPr="005E6BC7">
        <w:rPr>
          <w:rFonts w:asciiTheme="minorBidi" w:hAnsiTheme="minorBidi" w:cs="Arial"/>
          <w:sz w:val="24"/>
          <w:szCs w:val="24"/>
          <w:rtl/>
          <w:lang w:val="en-US"/>
        </w:rPr>
        <w:t xml:space="preserve"> </w:t>
      </w:r>
      <w:r w:rsidRPr="005E6BC7">
        <w:rPr>
          <w:rFonts w:asciiTheme="majorBidi" w:hAnsiTheme="majorBidi" w:cstheme="majorBidi"/>
          <w:sz w:val="24"/>
          <w:szCs w:val="24"/>
          <w:lang w:val="en-US"/>
        </w:rPr>
        <w:t>E</w:t>
      </w:r>
      <w:r w:rsidRPr="005E6BC7">
        <w:rPr>
          <w:rFonts w:asciiTheme="majorBidi" w:hAnsiTheme="majorBidi" w:cstheme="majorBidi"/>
          <w:sz w:val="24"/>
          <w:szCs w:val="24"/>
          <w:rtl/>
          <w:lang w:val="en-US"/>
        </w:rPr>
        <w:t xml:space="preserve"> </w:t>
      </w:r>
      <w:r w:rsidRPr="005E6BC7">
        <w:rPr>
          <w:rFonts w:ascii="Simplified Arabic" w:hAnsi="Simplified Arabic" w:cs="Simplified Arabic"/>
          <w:sz w:val="24"/>
          <w:szCs w:val="24"/>
          <w:rtl/>
          <w:lang w:val="en-US"/>
        </w:rPr>
        <w:t xml:space="preserve">= </w:t>
      </w:r>
      <w:r w:rsidRPr="005E6BC7">
        <w:rPr>
          <w:rFonts w:ascii="Simplified Arabic" w:hAnsi="Simplified Arabic" w:cs="Simplified Arabic" w:hint="cs"/>
          <w:sz w:val="24"/>
          <w:szCs w:val="24"/>
          <w:rtl/>
          <w:lang w:val="en-US"/>
        </w:rPr>
        <w:t>بنية</w:t>
      </w:r>
      <w:r w:rsidRPr="005E6BC7">
        <w:rPr>
          <w:rFonts w:ascii="Simplified Arabic" w:hAnsi="Simplified Arabic" w:cs="Simplified Arabic"/>
          <w:sz w:val="24"/>
          <w:szCs w:val="24"/>
          <w:rtl/>
          <w:lang w:val="en-US"/>
        </w:rPr>
        <w:t xml:space="preserve"> </w:t>
      </w:r>
      <w:r w:rsidRPr="005E6BC7">
        <w:rPr>
          <w:rFonts w:ascii="Simplified Arabic" w:hAnsi="Simplified Arabic" w:cs="Simplified Arabic" w:hint="cs"/>
          <w:sz w:val="24"/>
          <w:szCs w:val="24"/>
          <w:rtl/>
          <w:lang w:val="en-US"/>
        </w:rPr>
        <w:t>تحتية،</w:t>
      </w:r>
      <w:r w:rsidRPr="005E6BC7">
        <w:rPr>
          <w:rFonts w:asciiTheme="minorBidi" w:hAnsiTheme="minorBidi" w:cs="Arial"/>
          <w:sz w:val="24"/>
          <w:szCs w:val="24"/>
          <w:rtl/>
          <w:lang w:val="en-US"/>
        </w:rPr>
        <w:t xml:space="preserve"> </w:t>
      </w:r>
      <w:r w:rsidRPr="005E6BC7">
        <w:rPr>
          <w:rFonts w:asciiTheme="majorBidi" w:hAnsiTheme="majorBidi" w:cstheme="majorBidi"/>
          <w:sz w:val="24"/>
          <w:szCs w:val="24"/>
          <w:lang w:val="en-US"/>
        </w:rPr>
        <w:t>F</w:t>
      </w:r>
      <w:r w:rsidRPr="005E6BC7">
        <w:rPr>
          <w:rFonts w:asciiTheme="majorBidi" w:hAnsiTheme="majorBidi" w:cstheme="majorBidi"/>
          <w:sz w:val="24"/>
          <w:szCs w:val="24"/>
          <w:rtl/>
          <w:lang w:val="en-US"/>
        </w:rPr>
        <w:t xml:space="preserve"> </w:t>
      </w:r>
      <w:r w:rsidRPr="005E6BC7">
        <w:rPr>
          <w:rFonts w:ascii="Simplified Arabic" w:hAnsi="Simplified Arabic" w:cs="Simplified Arabic"/>
          <w:sz w:val="24"/>
          <w:szCs w:val="24"/>
          <w:rtl/>
          <w:lang w:val="en-US"/>
        </w:rPr>
        <w:t xml:space="preserve">= </w:t>
      </w:r>
      <w:r w:rsidRPr="005E6BC7">
        <w:rPr>
          <w:rFonts w:ascii="Simplified Arabic" w:hAnsi="Simplified Arabic" w:cs="Simplified Arabic" w:hint="cs"/>
          <w:sz w:val="24"/>
          <w:szCs w:val="24"/>
          <w:rtl/>
          <w:lang w:val="en-US"/>
        </w:rPr>
        <w:t>بيئي</w:t>
      </w:r>
      <w:r w:rsidRPr="00054D61">
        <w:rPr>
          <w:rFonts w:ascii="Simplified Arabic" w:hAnsi="Simplified Arabic" w:cs="Simplified Arabic" w:hint="cs"/>
          <w:sz w:val="24"/>
          <w:szCs w:val="24"/>
          <w:rtl/>
          <w:lang w:val="en-US"/>
        </w:rPr>
        <w:t>)</w:t>
      </w:r>
      <w:r w:rsidRPr="00054D6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للمساعدة على القرار ضمن هدف تحسين المرونة الاقليمية.</w:t>
      </w:r>
      <w:r w:rsidRPr="0045077A">
        <w:rPr>
          <w:rFonts w:asciiTheme="minorBidi" w:hAnsiTheme="minorBidi" w:cs="Arial"/>
          <w:color w:val="000000" w:themeColor="text1"/>
          <w:sz w:val="28"/>
          <w:szCs w:val="28"/>
          <w:rtl/>
        </w:rPr>
        <w:t xml:space="preserve"> </w:t>
      </w:r>
    </w:p>
    <w:p w:rsidR="003E0F31" w:rsidRDefault="003E0F31" w:rsidP="001C0313">
      <w:pPr>
        <w:bidi/>
        <w:spacing w:after="0"/>
        <w:ind w:firstLine="282"/>
        <w:jc w:val="both"/>
        <w:rPr>
          <w:rFonts w:ascii="Simplified Arabic" w:hAnsi="Simplified Arabic" w:cs="Simplified Arabic"/>
          <w:sz w:val="24"/>
          <w:szCs w:val="24"/>
          <w:rtl/>
          <w:lang w:val="en-US"/>
        </w:rPr>
      </w:pPr>
      <w:r w:rsidRPr="00054D61">
        <w:rPr>
          <w:rFonts w:ascii="Simplified Arabic" w:hAnsi="Simplified Arabic" w:cs="Simplified Arabic" w:hint="cs"/>
          <w:sz w:val="24"/>
          <w:szCs w:val="24"/>
          <w:rtl/>
          <w:lang w:val="en-US"/>
        </w:rPr>
        <w:t>ينقسم</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كل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مؤشر</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إلى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متغيرات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فرعية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مثل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التعليم،</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العمر،</w:t>
      </w:r>
      <w:r>
        <w:rPr>
          <w:rFonts w:ascii="Simplified Arabic" w:hAnsi="Simplified Arabic" w:cs="Simplified Arabic" w:hint="cs"/>
          <w:sz w:val="24"/>
          <w:szCs w:val="24"/>
          <w:rtl/>
          <w:lang w:val="en-US"/>
        </w:rPr>
        <w:t xml:space="preserve"> </w:t>
      </w:r>
      <w:r w:rsidRPr="00054D61">
        <w:rPr>
          <w:rFonts w:ascii="Simplified Arabic" w:hAnsi="Simplified Arabic" w:cs="Simplified Arabic" w:hint="cs"/>
          <w:sz w:val="24"/>
          <w:szCs w:val="24"/>
          <w:rtl/>
          <w:lang w:val="en-US"/>
        </w:rPr>
        <w:t>إتقان</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اللغة،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معدل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التوظيف،</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معدل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الهجر</w:t>
      </w:r>
      <w:r>
        <w:rPr>
          <w:rFonts w:ascii="Simplified Arabic" w:hAnsi="Simplified Arabic" w:cs="Simplified Arabic" w:hint="cs"/>
          <w:sz w:val="24"/>
          <w:szCs w:val="24"/>
          <w:rtl/>
          <w:lang w:val="en-US"/>
        </w:rPr>
        <w:t>ة</w:t>
      </w:r>
      <w:r w:rsidRPr="00054D61">
        <w:rPr>
          <w:rFonts w:ascii="Simplified Arabic" w:hAnsi="Simplified Arabic" w:cs="Simplified Arabic" w:hint="cs"/>
          <w:sz w:val="24"/>
          <w:szCs w:val="24"/>
          <w:rtl/>
          <w:lang w:val="en-US"/>
        </w:rPr>
        <w:t>،</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الحصول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الغذاء،</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التدريب</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الكوارث،</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الاستقرار</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الاجتماعي،</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الحصول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الصحة</w:t>
      </w:r>
      <w:r>
        <w:rPr>
          <w:rFonts w:ascii="Simplified Arabic" w:hAnsi="Simplified Arabic" w:cs="Simplified Arabic" w:hint="cs"/>
          <w:sz w:val="24"/>
          <w:szCs w:val="24"/>
          <w:rtl/>
          <w:lang w:val="en-US"/>
        </w:rPr>
        <w:t xml:space="preserve"> </w:t>
      </w:r>
      <w:r w:rsidRPr="00054D61">
        <w:rPr>
          <w:rFonts w:ascii="Simplified Arabic" w:hAnsi="Simplified Arabic" w:cs="Simplified Arabic" w:hint="cs"/>
          <w:sz w:val="24"/>
          <w:szCs w:val="24"/>
          <w:rtl/>
          <w:lang w:val="en-US"/>
        </w:rPr>
        <w:t>والحصول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الطاقة</w:t>
      </w:r>
      <w:r>
        <w:rPr>
          <w:rFonts w:ascii="Simplified Arabic" w:hAnsi="Simplified Arabic" w:cs="Simplified Arabic" w:hint="cs"/>
          <w:sz w:val="24"/>
          <w:szCs w:val="24"/>
          <w:rtl/>
          <w:lang w:val="en-US"/>
        </w:rPr>
        <w:t xml:space="preserve"> ...</w:t>
      </w:r>
      <w:r w:rsidRPr="00054D61">
        <w:rPr>
          <w:rFonts w:ascii="Simplified Arabic" w:hAnsi="Simplified Arabic" w:cs="Simplified Arabic" w:hint="cs"/>
          <w:sz w:val="24"/>
          <w:szCs w:val="24"/>
          <w:rtl/>
          <w:lang w:val="en-US"/>
        </w:rPr>
        <w:t>إلخ</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لكل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متغير</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تأثير</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إيجابي</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أو</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سلبي</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مرونة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المجتمع</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تم</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الحصول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أكثر</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من</w:t>
      </w:r>
      <w:r w:rsidRPr="00054D61">
        <w:rPr>
          <w:rFonts w:ascii="Simplified Arabic" w:hAnsi="Simplified Arabic" w:cs="Simplified Arabic"/>
          <w:sz w:val="24"/>
          <w:szCs w:val="24"/>
          <w:rtl/>
          <w:lang w:val="en-US"/>
        </w:rPr>
        <w:t xml:space="preserve"> 20 </w:t>
      </w:r>
      <w:r w:rsidRPr="00054D61">
        <w:rPr>
          <w:rFonts w:ascii="Simplified Arabic" w:hAnsi="Simplified Arabic" w:cs="Simplified Arabic" w:hint="cs"/>
          <w:sz w:val="24"/>
          <w:szCs w:val="24"/>
          <w:rtl/>
          <w:lang w:val="en-US"/>
        </w:rPr>
        <w:t>مجموعة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بيانات</w:t>
      </w:r>
      <w:r>
        <w:rPr>
          <w:rFonts w:ascii="Simplified Arabic" w:hAnsi="Simplified Arabic" w:cs="Simplified Arabic" w:hint="cs"/>
          <w:sz w:val="24"/>
          <w:szCs w:val="24"/>
          <w:rtl/>
          <w:lang w:val="en-US"/>
        </w:rPr>
        <w:t xml:space="preserve"> </w:t>
      </w:r>
      <w:r w:rsidRPr="00054D61">
        <w:rPr>
          <w:rFonts w:ascii="Simplified Arabic" w:hAnsi="Simplified Arabic" w:cs="Simplified Arabic" w:hint="cs"/>
          <w:sz w:val="24"/>
          <w:szCs w:val="24"/>
          <w:rtl/>
          <w:lang w:val="en-US"/>
        </w:rPr>
        <w:t>من</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خلال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بوابات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البيانات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عبر</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الإنترنت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تم</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الحصول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أربع</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مجموعات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بيانات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من</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بوابة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بيانات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مفتوحة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الوصول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تم</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تشغيل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مصدر</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بيانات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واحد</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بواسطة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قاعدة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بيانات</w:t>
      </w:r>
      <w:r w:rsidRPr="0068651F">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الخاصة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بشركة</w:t>
      </w:r>
      <w:r w:rsidRPr="0045077A">
        <w:rPr>
          <w:rFonts w:asciiTheme="minorBidi" w:hAnsiTheme="minorBidi" w:cs="Arial"/>
          <w:color w:val="000000" w:themeColor="text1"/>
          <w:sz w:val="28"/>
          <w:szCs w:val="28"/>
          <w:rtl/>
        </w:rPr>
        <w:t xml:space="preserve"> </w:t>
      </w:r>
      <w:r>
        <w:rPr>
          <w:rFonts w:ascii="Simplified Arabic" w:hAnsi="Simplified Arabic" w:cs="Simplified Arabic" w:hint="cs"/>
          <w:sz w:val="24"/>
          <w:szCs w:val="24"/>
          <w:rtl/>
          <w:lang w:val="en-US"/>
        </w:rPr>
        <w:t>(</w:t>
      </w:r>
      <w:r w:rsidRPr="006C7157">
        <w:rPr>
          <w:rFonts w:asciiTheme="majorBidi" w:hAnsiTheme="majorBidi" w:cstheme="majorBidi"/>
          <w:sz w:val="24"/>
          <w:szCs w:val="24"/>
          <w:lang w:bidi="ar-DZ"/>
        </w:rPr>
        <w:t>Dun</w:t>
      </w:r>
      <w:r w:rsidRPr="0045077A">
        <w:rPr>
          <w:rFonts w:asciiTheme="minorBidi" w:hAnsiTheme="minorBidi"/>
          <w:color w:val="000000" w:themeColor="text1"/>
          <w:sz w:val="28"/>
          <w:szCs w:val="28"/>
        </w:rPr>
        <w:t xml:space="preserve"> </w:t>
      </w:r>
      <w:r w:rsidRPr="006C7157">
        <w:rPr>
          <w:rFonts w:asciiTheme="majorBidi" w:hAnsiTheme="majorBidi" w:cstheme="majorBidi"/>
          <w:sz w:val="24"/>
          <w:szCs w:val="24"/>
          <w:lang w:bidi="ar-DZ"/>
        </w:rPr>
        <w:t>and</w:t>
      </w:r>
      <w:r w:rsidRPr="0045077A">
        <w:rPr>
          <w:rFonts w:asciiTheme="minorBidi" w:hAnsiTheme="minorBidi"/>
          <w:color w:val="000000" w:themeColor="text1"/>
          <w:sz w:val="28"/>
          <w:szCs w:val="28"/>
        </w:rPr>
        <w:t xml:space="preserve"> </w:t>
      </w:r>
      <w:r w:rsidRPr="006C7157">
        <w:rPr>
          <w:rFonts w:asciiTheme="majorBidi" w:hAnsiTheme="majorBidi" w:cstheme="majorBidi"/>
          <w:sz w:val="24"/>
          <w:szCs w:val="24"/>
          <w:lang w:bidi="ar-DZ"/>
        </w:rPr>
        <w:t>Bradstreet</w:t>
      </w:r>
      <w:r>
        <w:rPr>
          <w:rFonts w:ascii="Simplified Arabic" w:hAnsi="Simplified Arabic" w:cs="Simplified Arabic" w:hint="cs"/>
          <w:sz w:val="24"/>
          <w:szCs w:val="24"/>
          <w:rtl/>
          <w:lang w:val="en-US"/>
        </w:rPr>
        <w:t xml:space="preserve">) </w:t>
      </w:r>
      <w:r w:rsidRPr="00054D61">
        <w:rPr>
          <w:rFonts w:ascii="Simplified Arabic" w:hAnsi="Simplified Arabic" w:cs="Simplified Arabic" w:hint="cs"/>
          <w:sz w:val="24"/>
          <w:szCs w:val="24"/>
          <w:rtl/>
          <w:lang w:val="en-US"/>
        </w:rPr>
        <w:t>وتطلب</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اشتراكًا</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مدفوعًا</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للحصول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هذه</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البيانات</w:t>
      </w:r>
      <w:r w:rsidRPr="00054D61">
        <w:rPr>
          <w:rFonts w:ascii="Simplified Arabic" w:hAnsi="Simplified Arabic" w:cs="Simplified Arabic"/>
          <w:sz w:val="24"/>
          <w:szCs w:val="24"/>
          <w:rtl/>
          <w:lang w:val="en-US"/>
        </w:rPr>
        <w:t xml:space="preserve"> </w:t>
      </w:r>
      <w:r w:rsidRPr="003347A0">
        <w:rPr>
          <w:rFonts w:asciiTheme="majorBidi" w:hAnsiTheme="majorBidi" w:cstheme="majorBidi"/>
          <w:color w:val="000000" w:themeColor="text1"/>
          <w:sz w:val="24"/>
          <w:szCs w:val="24"/>
        </w:rPr>
        <w:t>)</w:t>
      </w:r>
      <w:r>
        <w:rPr>
          <w:rFonts w:asciiTheme="majorBidi" w:hAnsiTheme="majorBidi" w:cstheme="majorBidi" w:hint="cs"/>
          <w:color w:val="000000" w:themeColor="text1"/>
          <w:sz w:val="24"/>
          <w:szCs w:val="24"/>
          <w:rtl/>
        </w:rPr>
        <w:t>2014</w:t>
      </w:r>
      <w:r w:rsidRPr="003347A0">
        <w:rPr>
          <w:rFonts w:asciiTheme="majorBidi" w:hAnsiTheme="majorBidi" w:cstheme="majorBidi"/>
          <w:color w:val="000000" w:themeColor="text1"/>
          <w:sz w:val="24"/>
          <w:szCs w:val="24"/>
        </w:rPr>
        <w:t>(</w:t>
      </w:r>
      <w:r w:rsidRPr="00206B59">
        <w:rPr>
          <w:rFonts w:asciiTheme="majorBidi" w:hAnsiTheme="majorBidi" w:cstheme="majorBidi"/>
          <w:color w:val="000000" w:themeColor="text1"/>
          <w:sz w:val="24"/>
          <w:szCs w:val="24"/>
        </w:rPr>
        <w:t>Cutter</w:t>
      </w:r>
      <w:r w:rsidRPr="003347A0">
        <w:rPr>
          <w:rFonts w:asciiTheme="majorBidi" w:hAnsiTheme="majorBidi" w:cstheme="majorBidi"/>
          <w:color w:val="000000" w:themeColor="text1"/>
          <w:sz w:val="24"/>
          <w:szCs w:val="24"/>
        </w:rPr>
        <w:t xml:space="preserve"> et al., </w:t>
      </w:r>
      <w:r w:rsidRPr="006C7157">
        <w:rPr>
          <w:rFonts w:ascii="Simplified Arabic" w:hAnsi="Simplified Arabic" w:cs="Simplified Arabic"/>
          <w:color w:val="000000" w:themeColor="text1"/>
          <w:sz w:val="24"/>
          <w:szCs w:val="24"/>
          <w:rtl/>
        </w:rPr>
        <w:t>.</w:t>
      </w:r>
      <w:r w:rsidR="001C0313">
        <w:rPr>
          <w:rFonts w:ascii="Simplified Arabic" w:hAnsi="Simplified Arabic" w:cs="Simplified Arabic" w:hint="cs"/>
          <w:color w:val="000000" w:themeColor="text1"/>
          <w:sz w:val="24"/>
          <w:szCs w:val="24"/>
          <w:rtl/>
        </w:rPr>
        <w:t xml:space="preserve"> </w:t>
      </w:r>
      <w:r>
        <w:rPr>
          <w:rFonts w:ascii="Simplified Arabic" w:hAnsi="Simplified Arabic" w:cs="Simplified Arabic" w:hint="cs"/>
          <w:sz w:val="24"/>
          <w:szCs w:val="24"/>
          <w:rtl/>
          <w:lang w:val="en-US"/>
        </w:rPr>
        <w:t>من مساوئ النموذج</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هو</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أن</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الدرجة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النهائية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لمرونة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المجتمع</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ليست</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مقياسًا</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مطلقًا</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في</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موقع</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واحد،</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بل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هي</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قيمة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نسبية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يمكن</w:t>
      </w:r>
      <w:r w:rsidRPr="00054D6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مقارنتها مع</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عدة</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أماكن</w:t>
      </w:r>
      <w:r w:rsidRPr="00054D6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اخرى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هذا</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هو</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السبب</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في</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أن</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العمل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المقترح</w:t>
      </w:r>
      <w:r w:rsidRPr="00054D61">
        <w:rPr>
          <w:rFonts w:ascii="Simplified Arabic" w:hAnsi="Simplified Arabic" w:cs="Simplified Arabic"/>
          <w:sz w:val="24"/>
          <w:szCs w:val="24"/>
          <w:rtl/>
          <w:lang w:val="en-US"/>
        </w:rPr>
        <w:t xml:space="preserve"> </w:t>
      </w:r>
      <w:r w:rsidR="00D87672">
        <w:rPr>
          <w:rFonts w:ascii="Simplified Arabic" w:hAnsi="Simplified Arabic" w:cs="Simplified Arabic" w:hint="cs"/>
          <w:sz w:val="24"/>
          <w:szCs w:val="24"/>
          <w:rtl/>
          <w:lang w:val="en-US"/>
        </w:rPr>
        <w:t xml:space="preserve">من طرف </w:t>
      </w:r>
      <w:r w:rsidR="00D87672" w:rsidRPr="003347A0">
        <w:rPr>
          <w:rFonts w:asciiTheme="majorBidi" w:hAnsiTheme="majorBidi" w:cstheme="majorBidi"/>
          <w:color w:val="000000" w:themeColor="text1"/>
          <w:sz w:val="24"/>
          <w:szCs w:val="24"/>
        </w:rPr>
        <w:t>)</w:t>
      </w:r>
      <w:r w:rsidR="00D87672">
        <w:rPr>
          <w:rFonts w:asciiTheme="majorBidi" w:hAnsiTheme="majorBidi" w:cstheme="majorBidi" w:hint="cs"/>
          <w:color w:val="000000" w:themeColor="text1"/>
          <w:sz w:val="24"/>
          <w:szCs w:val="24"/>
          <w:rtl/>
        </w:rPr>
        <w:t>2014</w:t>
      </w:r>
      <w:r w:rsidR="00D87672" w:rsidRPr="003347A0">
        <w:rPr>
          <w:rFonts w:asciiTheme="majorBidi" w:hAnsiTheme="majorBidi" w:cstheme="majorBidi"/>
          <w:color w:val="000000" w:themeColor="text1"/>
          <w:sz w:val="24"/>
          <w:szCs w:val="24"/>
        </w:rPr>
        <w:t>(</w:t>
      </w:r>
      <w:r w:rsidR="00D87672" w:rsidRPr="00206B59">
        <w:rPr>
          <w:rFonts w:asciiTheme="majorBidi" w:hAnsiTheme="majorBidi" w:cstheme="majorBidi"/>
          <w:color w:val="000000" w:themeColor="text1"/>
          <w:sz w:val="24"/>
          <w:szCs w:val="24"/>
        </w:rPr>
        <w:t>Cutter</w:t>
      </w:r>
      <w:r w:rsidR="00D87672" w:rsidRPr="003347A0">
        <w:rPr>
          <w:rFonts w:asciiTheme="majorBidi" w:hAnsiTheme="majorBidi" w:cstheme="majorBidi"/>
          <w:color w:val="000000" w:themeColor="text1"/>
          <w:sz w:val="24"/>
          <w:szCs w:val="24"/>
        </w:rPr>
        <w:t xml:space="preserve"> et al., </w:t>
      </w:r>
      <w:r w:rsidR="00D87672" w:rsidRPr="00D87672">
        <w:rPr>
          <w:rFonts w:ascii="Simplified Arabic" w:hAnsi="Simplified Arabic" w:cs="Simplified Arabic"/>
          <w:color w:val="000000" w:themeColor="text1"/>
          <w:sz w:val="24"/>
          <w:szCs w:val="24"/>
          <w:rtl/>
        </w:rPr>
        <w:t xml:space="preserve"> </w:t>
      </w:r>
      <w:r w:rsidRPr="00054D61">
        <w:rPr>
          <w:rFonts w:ascii="Simplified Arabic" w:hAnsi="Simplified Arabic" w:cs="Simplified Arabic" w:hint="cs"/>
          <w:sz w:val="24"/>
          <w:szCs w:val="24"/>
          <w:rtl/>
          <w:lang w:val="en-US"/>
        </w:rPr>
        <w:t>يتم</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تنفيذه</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نطاق</w:t>
      </w:r>
      <w:r>
        <w:rPr>
          <w:rFonts w:ascii="Simplified Arabic" w:hAnsi="Simplified Arabic" w:cs="Simplified Arabic" w:hint="cs"/>
          <w:sz w:val="24"/>
          <w:szCs w:val="24"/>
          <w:rtl/>
          <w:lang w:val="en-US"/>
        </w:rPr>
        <w:t xml:space="preserve"> شامل،</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الشكل</w:t>
      </w:r>
      <w:r w:rsidRPr="00054D6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00D87672">
        <w:rPr>
          <w:rFonts w:ascii="Simplified Arabic" w:hAnsi="Simplified Arabic" w:cs="Simplified Arabic" w:hint="cs"/>
          <w:sz w:val="24"/>
          <w:szCs w:val="24"/>
          <w:rtl/>
          <w:lang w:val="en-US"/>
        </w:rPr>
        <w:t>2-6</w:t>
      </w:r>
      <w:r>
        <w:rPr>
          <w:rFonts w:ascii="Simplified Arabic" w:hAnsi="Simplified Arabic" w:cs="Simplified Arabic" w:hint="cs"/>
          <w:sz w:val="24"/>
          <w:szCs w:val="24"/>
          <w:rtl/>
          <w:lang w:val="en-US"/>
        </w:rPr>
        <w:t>)</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وليس</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على</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نطاق</w:t>
      </w:r>
      <w:r w:rsidRPr="00054D61">
        <w:rPr>
          <w:rFonts w:ascii="Simplified Arabic" w:hAnsi="Simplified Arabic" w:cs="Simplified Arabic"/>
          <w:sz w:val="24"/>
          <w:szCs w:val="24"/>
          <w:rtl/>
          <w:lang w:val="en-US"/>
        </w:rPr>
        <w:t xml:space="preserve"> </w:t>
      </w:r>
      <w:r w:rsidRPr="00054D61">
        <w:rPr>
          <w:rFonts w:ascii="Simplified Arabic" w:hAnsi="Simplified Arabic" w:cs="Simplified Arabic" w:hint="cs"/>
          <w:sz w:val="24"/>
          <w:szCs w:val="24"/>
          <w:rtl/>
          <w:lang w:val="en-US"/>
        </w:rPr>
        <w:t>أدق</w:t>
      </w:r>
      <w:r w:rsidRPr="00054D61">
        <w:rPr>
          <w:rFonts w:ascii="Simplified Arabic" w:hAnsi="Simplified Arabic" w:cs="Simplified Arabic"/>
          <w:sz w:val="24"/>
          <w:szCs w:val="24"/>
          <w:rtl/>
          <w:lang w:val="en-US"/>
        </w:rPr>
        <w:t>.</w:t>
      </w:r>
    </w:p>
    <w:p w:rsidR="003E0F31" w:rsidRPr="00762191" w:rsidRDefault="003E0F31" w:rsidP="00622171">
      <w:pPr>
        <w:pStyle w:val="fegure"/>
        <w:spacing w:before="240"/>
        <w:rPr>
          <w:szCs w:val="24"/>
          <w:rtl/>
          <w:lang w:val="en-US"/>
        </w:rPr>
      </w:pPr>
      <w:bookmarkStart w:id="325" w:name="_Toc157608292"/>
      <w:bookmarkStart w:id="326" w:name="_Toc171803456"/>
      <w:r w:rsidRPr="00762191">
        <w:rPr>
          <w:rFonts w:hint="cs"/>
          <w:szCs w:val="24"/>
          <w:rtl/>
          <w:lang w:val="en-US"/>
        </w:rPr>
        <w:t>الشكل (</w:t>
      </w:r>
      <w:r w:rsidR="00D87672" w:rsidRPr="00762191">
        <w:rPr>
          <w:rFonts w:hint="cs"/>
          <w:szCs w:val="24"/>
          <w:rtl/>
          <w:lang w:val="en-US"/>
        </w:rPr>
        <w:t>2-6</w:t>
      </w:r>
      <w:r w:rsidRPr="00762191">
        <w:rPr>
          <w:rFonts w:hint="cs"/>
          <w:szCs w:val="24"/>
          <w:rtl/>
          <w:lang w:val="en-US"/>
        </w:rPr>
        <w:t>)</w:t>
      </w:r>
      <w:r w:rsidRPr="00762191">
        <w:rPr>
          <w:szCs w:val="24"/>
          <w:rtl/>
          <w:lang w:val="en-US"/>
        </w:rPr>
        <w:t xml:space="preserve">: </w:t>
      </w:r>
      <w:r w:rsidRPr="00762191">
        <w:rPr>
          <w:rFonts w:hint="cs"/>
          <w:szCs w:val="24"/>
          <w:rtl/>
          <w:lang w:val="en-US"/>
        </w:rPr>
        <w:t>حاصل</w:t>
      </w:r>
      <w:r w:rsidRPr="00762191">
        <w:rPr>
          <w:szCs w:val="24"/>
          <w:rtl/>
          <w:lang w:val="en-US"/>
        </w:rPr>
        <w:t xml:space="preserve"> </w:t>
      </w:r>
      <w:r w:rsidRPr="00762191">
        <w:rPr>
          <w:rFonts w:hint="cs"/>
          <w:szCs w:val="24"/>
          <w:rtl/>
          <w:lang w:val="en-US"/>
        </w:rPr>
        <w:t>المرونة</w:t>
      </w:r>
      <w:r w:rsidRPr="00762191">
        <w:rPr>
          <w:szCs w:val="24"/>
          <w:rtl/>
          <w:lang w:val="en-US"/>
        </w:rPr>
        <w:t xml:space="preserve"> </w:t>
      </w:r>
      <w:r w:rsidRPr="00762191">
        <w:rPr>
          <w:rFonts w:hint="cs"/>
          <w:szCs w:val="24"/>
          <w:rtl/>
          <w:lang w:val="en-US"/>
        </w:rPr>
        <w:t>على</w:t>
      </w:r>
      <w:r w:rsidRPr="00762191">
        <w:rPr>
          <w:szCs w:val="24"/>
          <w:rtl/>
          <w:lang w:val="en-US"/>
        </w:rPr>
        <w:t xml:space="preserve"> </w:t>
      </w:r>
      <w:r w:rsidRPr="00762191">
        <w:rPr>
          <w:rFonts w:hint="cs"/>
          <w:szCs w:val="24"/>
          <w:rtl/>
          <w:lang w:val="en-US"/>
        </w:rPr>
        <w:t>مستوى</w:t>
      </w:r>
      <w:r w:rsidRPr="00762191">
        <w:rPr>
          <w:szCs w:val="24"/>
          <w:rtl/>
          <w:lang w:val="en-US"/>
        </w:rPr>
        <w:t xml:space="preserve"> </w:t>
      </w:r>
      <w:r w:rsidRPr="00762191">
        <w:rPr>
          <w:rFonts w:hint="cs"/>
          <w:szCs w:val="24"/>
          <w:rtl/>
          <w:lang w:val="en-US"/>
        </w:rPr>
        <w:t>الولايات</w:t>
      </w:r>
      <w:r w:rsidRPr="00762191">
        <w:rPr>
          <w:szCs w:val="24"/>
          <w:rtl/>
          <w:lang w:val="en-US"/>
        </w:rPr>
        <w:t xml:space="preserve"> </w:t>
      </w:r>
      <w:r w:rsidRPr="00762191">
        <w:rPr>
          <w:rFonts w:hint="cs"/>
          <w:szCs w:val="24"/>
          <w:rtl/>
          <w:lang w:val="en-US"/>
        </w:rPr>
        <w:t>المتحدة</w:t>
      </w:r>
      <w:r w:rsidRPr="00762191">
        <w:rPr>
          <w:szCs w:val="24"/>
          <w:rtl/>
          <w:lang w:val="en-US"/>
        </w:rPr>
        <w:t xml:space="preserve"> </w:t>
      </w:r>
      <w:r w:rsidRPr="00762191">
        <w:rPr>
          <w:rFonts w:hint="cs"/>
          <w:szCs w:val="24"/>
          <w:rtl/>
          <w:lang w:val="en-US"/>
        </w:rPr>
        <w:t>لكل</w:t>
      </w:r>
      <w:r w:rsidRPr="00762191">
        <w:rPr>
          <w:szCs w:val="24"/>
          <w:rtl/>
          <w:lang w:val="en-US"/>
        </w:rPr>
        <w:t xml:space="preserve"> </w:t>
      </w:r>
      <w:r w:rsidRPr="00762191">
        <w:rPr>
          <w:rFonts w:hint="cs"/>
          <w:szCs w:val="24"/>
          <w:rtl/>
          <w:lang w:val="en-US"/>
        </w:rPr>
        <w:t xml:space="preserve">الابعاد </w:t>
      </w:r>
      <w:r w:rsidRPr="00762191">
        <w:rPr>
          <w:rFonts w:asciiTheme="minorBidi" w:hAnsiTheme="minorBidi" w:cs="Arial"/>
          <w:szCs w:val="24"/>
          <w:rtl/>
        </w:rPr>
        <w:t>(</w:t>
      </w:r>
      <w:r w:rsidRPr="00762191">
        <w:rPr>
          <w:rFonts w:asciiTheme="majorBidi" w:hAnsiTheme="majorBidi" w:cstheme="majorBidi"/>
          <w:szCs w:val="24"/>
        </w:rPr>
        <w:t>BRIC</w:t>
      </w:r>
      <w:r w:rsidRPr="00762191">
        <w:rPr>
          <w:rFonts w:asciiTheme="minorBidi" w:hAnsiTheme="minorBidi" w:cs="Arial"/>
          <w:szCs w:val="24"/>
          <w:rtl/>
        </w:rPr>
        <w:t>)</w:t>
      </w:r>
      <w:r w:rsidRPr="00762191">
        <w:rPr>
          <w:szCs w:val="24"/>
          <w:rtl/>
          <w:lang w:val="en-US"/>
        </w:rPr>
        <w:t>.</w:t>
      </w:r>
      <w:bookmarkEnd w:id="325"/>
      <w:bookmarkEnd w:id="326"/>
    </w:p>
    <w:p w:rsidR="003E0F31" w:rsidRDefault="003E0F31" w:rsidP="00F860E2">
      <w:pPr>
        <w:bidi/>
        <w:spacing w:after="0" w:line="240" w:lineRule="auto"/>
        <w:jc w:val="center"/>
        <w:rPr>
          <w:rFonts w:asciiTheme="majorBidi" w:hAnsiTheme="majorBidi" w:cstheme="majorBidi"/>
          <w:color w:val="000000" w:themeColor="text1"/>
          <w:sz w:val="24"/>
          <w:szCs w:val="24"/>
          <w:rtl/>
        </w:rPr>
      </w:pPr>
      <w:r w:rsidRPr="006C7157">
        <w:rPr>
          <w:rFonts w:ascii="Simplified Arabic" w:hAnsi="Simplified Arabic" w:cs="Simplified Arabic"/>
          <w:color w:val="000000" w:themeColor="text1"/>
          <w:sz w:val="24"/>
          <w:szCs w:val="24"/>
          <w:rtl/>
        </w:rPr>
        <w:t xml:space="preserve">المصدر: </w:t>
      </w:r>
      <w:r w:rsidRPr="003347A0">
        <w:rPr>
          <w:rFonts w:asciiTheme="majorBidi" w:hAnsiTheme="majorBidi" w:cstheme="majorBidi"/>
          <w:color w:val="000000" w:themeColor="text1"/>
          <w:sz w:val="24"/>
          <w:szCs w:val="24"/>
        </w:rPr>
        <w:t>)</w:t>
      </w:r>
      <w:r>
        <w:rPr>
          <w:rFonts w:asciiTheme="majorBidi" w:hAnsiTheme="majorBidi" w:cstheme="majorBidi" w:hint="cs"/>
          <w:color w:val="000000" w:themeColor="text1"/>
          <w:sz w:val="24"/>
          <w:szCs w:val="24"/>
          <w:rtl/>
        </w:rPr>
        <w:t>2014</w:t>
      </w:r>
      <w:r w:rsidRPr="003347A0">
        <w:rPr>
          <w:rFonts w:asciiTheme="majorBidi" w:hAnsiTheme="majorBidi" w:cstheme="majorBidi"/>
          <w:color w:val="000000" w:themeColor="text1"/>
          <w:sz w:val="24"/>
          <w:szCs w:val="24"/>
        </w:rPr>
        <w:t xml:space="preserve"> (</w:t>
      </w:r>
      <w:r w:rsidRPr="00206B59">
        <w:rPr>
          <w:rFonts w:asciiTheme="majorBidi" w:hAnsiTheme="majorBidi" w:cstheme="majorBidi"/>
          <w:color w:val="000000" w:themeColor="text1"/>
          <w:sz w:val="24"/>
          <w:szCs w:val="24"/>
        </w:rPr>
        <w:t>Cutter</w:t>
      </w:r>
      <w:r w:rsidRPr="003347A0">
        <w:rPr>
          <w:rFonts w:asciiTheme="majorBidi" w:hAnsiTheme="majorBidi" w:cstheme="majorBidi"/>
          <w:color w:val="000000" w:themeColor="text1"/>
          <w:sz w:val="24"/>
          <w:szCs w:val="24"/>
        </w:rPr>
        <w:t xml:space="preserve"> et al., </w:t>
      </w:r>
      <w:r>
        <w:rPr>
          <w:rFonts w:asciiTheme="majorBidi" w:hAnsiTheme="majorBidi" w:cstheme="majorBidi" w:hint="cs"/>
          <w:color w:val="000000" w:themeColor="text1"/>
          <w:sz w:val="24"/>
          <w:szCs w:val="24"/>
          <w:rtl/>
        </w:rPr>
        <w:t>.</w:t>
      </w:r>
    </w:p>
    <w:p w:rsidR="003E0F31" w:rsidRDefault="003E0F31" w:rsidP="003E0F31">
      <w:pPr>
        <w:bidi/>
        <w:spacing w:after="0" w:line="240" w:lineRule="auto"/>
        <w:jc w:val="center"/>
        <w:rPr>
          <w:rFonts w:asciiTheme="majorBidi" w:hAnsiTheme="majorBidi" w:cstheme="majorBidi"/>
          <w:color w:val="000000" w:themeColor="text1"/>
          <w:sz w:val="24"/>
          <w:szCs w:val="24"/>
          <w:rtl/>
        </w:rPr>
      </w:pPr>
      <w:r>
        <w:rPr>
          <w:rFonts w:asciiTheme="majorBidi" w:hAnsiTheme="majorBidi" w:cs="Times New Roman"/>
          <w:noProof/>
          <w:color w:val="000000" w:themeColor="text1"/>
          <w:sz w:val="24"/>
          <w:szCs w:val="24"/>
          <w:rtl/>
          <w:lang w:eastAsia="fr-FR"/>
        </w:rPr>
        <w:drawing>
          <wp:inline distT="0" distB="0" distL="0" distR="0" wp14:anchorId="03D5F93A" wp14:editId="42C6D74C">
            <wp:extent cx="5381771" cy="3337009"/>
            <wp:effectExtent l="19050" t="19050" r="28575" b="15875"/>
            <wp:docPr id="125" name="Imag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0" cstate="print">
                      <a:extLst>
                        <a:ext uri="{28A0092B-C50C-407E-A947-70E740481C1C}">
                          <a14:useLocalDpi xmlns:a14="http://schemas.microsoft.com/office/drawing/2010/main" val="0"/>
                        </a:ext>
                      </a:extLst>
                    </a:blip>
                    <a:stretch>
                      <a:fillRect/>
                    </a:stretch>
                  </pic:blipFill>
                  <pic:spPr bwMode="auto">
                    <a:xfrm>
                      <a:off x="0" y="0"/>
                      <a:ext cx="5400321" cy="3348511"/>
                    </a:xfrm>
                    <a:prstGeom prst="rect">
                      <a:avLst/>
                    </a:prstGeom>
                    <a:noFill/>
                    <a:ln>
                      <a:solidFill>
                        <a:schemeClr val="tx1"/>
                      </a:solidFill>
                    </a:ln>
                  </pic:spPr>
                </pic:pic>
              </a:graphicData>
            </a:graphic>
          </wp:inline>
        </w:drawing>
      </w:r>
    </w:p>
    <w:p w:rsidR="00B36D99" w:rsidRDefault="00B36D99" w:rsidP="00F76D99">
      <w:pPr>
        <w:pStyle w:val="Tableau"/>
        <w:rPr>
          <w:color w:val="000000" w:themeColor="text1"/>
          <w:rtl/>
          <w:lang w:bidi="ar-DZ"/>
        </w:rPr>
      </w:pPr>
      <w:bookmarkStart w:id="327" w:name="_Toc157612969"/>
    </w:p>
    <w:p w:rsidR="003E0F31" w:rsidRDefault="007F4407" w:rsidP="00F76D99">
      <w:pPr>
        <w:pStyle w:val="Tableau"/>
        <w:rPr>
          <w:rFonts w:asciiTheme="majorBidi" w:hAnsiTheme="majorBidi" w:cstheme="majorBidi"/>
          <w:rtl/>
        </w:rPr>
      </w:pPr>
      <w:bookmarkStart w:id="328" w:name="_Toc171803457"/>
      <w:r>
        <w:rPr>
          <w:rFonts w:hint="cs"/>
          <w:color w:val="000000" w:themeColor="text1"/>
          <w:rtl/>
          <w:lang w:bidi="ar-DZ"/>
        </w:rPr>
        <w:lastRenderedPageBreak/>
        <w:t>الجدول (2-</w:t>
      </w:r>
      <w:r w:rsidR="00DC054D">
        <w:rPr>
          <w:rFonts w:hint="cs"/>
          <w:color w:val="000000" w:themeColor="text1"/>
          <w:rtl/>
          <w:lang w:bidi="ar-DZ"/>
        </w:rPr>
        <w:t>5</w:t>
      </w:r>
      <w:r>
        <w:rPr>
          <w:rFonts w:hint="cs"/>
          <w:color w:val="000000" w:themeColor="text1"/>
          <w:rtl/>
          <w:lang w:bidi="ar-DZ"/>
        </w:rPr>
        <w:t xml:space="preserve">): </w:t>
      </w:r>
      <w:r w:rsidR="003E0F31" w:rsidRPr="00264CA1">
        <w:rPr>
          <w:rFonts w:hint="cs"/>
          <w:color w:val="000000" w:themeColor="text1"/>
          <w:rtl/>
          <w:lang w:bidi="ar-DZ"/>
        </w:rPr>
        <w:t>ايجابيات وسلبيات</w:t>
      </w:r>
      <w:r w:rsidR="003E0F31" w:rsidRPr="00264CA1">
        <w:rPr>
          <w:rtl/>
          <w:lang w:val="en-US"/>
        </w:rPr>
        <w:t xml:space="preserve"> مؤشرات المرونة الأساسية للمجتمعات</w:t>
      </w:r>
      <w:r w:rsidR="003E0F31" w:rsidRPr="00264CA1">
        <w:rPr>
          <w:rFonts w:hint="cs"/>
          <w:rtl/>
          <w:lang w:val="en-US"/>
        </w:rPr>
        <w:t xml:space="preserve"> </w:t>
      </w:r>
      <w:r w:rsidR="003E0F31" w:rsidRPr="00264CA1">
        <w:rPr>
          <w:rFonts w:asciiTheme="majorBidi" w:hAnsiTheme="majorBidi" w:cstheme="majorBidi"/>
        </w:rPr>
        <w:t>(BRIC)</w:t>
      </w:r>
      <w:bookmarkEnd w:id="327"/>
      <w:bookmarkEnd w:id="328"/>
    </w:p>
    <w:p w:rsidR="00597092" w:rsidRPr="00597092" w:rsidRDefault="00597092" w:rsidP="00597092">
      <w:pPr>
        <w:pStyle w:val="fegure"/>
        <w:rPr>
          <w:sz w:val="8"/>
          <w:szCs w:val="24"/>
          <w:rtl/>
          <w:lang w:val="en-US"/>
        </w:rPr>
      </w:pPr>
      <w:bookmarkStart w:id="329" w:name="_Toc171803458"/>
      <w:r>
        <w:rPr>
          <w:rFonts w:hint="cs"/>
          <w:sz w:val="8"/>
          <w:szCs w:val="24"/>
          <w:rtl/>
          <w:lang w:val="en-US"/>
        </w:rPr>
        <w:t>المصدر: (الباحث، 2022)</w:t>
      </w:r>
      <w:bookmarkEnd w:id="329"/>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8"/>
        <w:gridCol w:w="4168"/>
      </w:tblGrid>
      <w:tr w:rsidR="003E0F31" w:rsidRPr="00583B49" w:rsidTr="001E12D7">
        <w:trPr>
          <w:trHeight w:val="246"/>
          <w:jc w:val="center"/>
        </w:trPr>
        <w:tc>
          <w:tcPr>
            <w:tcW w:w="4268" w:type="dxa"/>
            <w:vAlign w:val="center"/>
          </w:tcPr>
          <w:p w:rsidR="003E0F31" w:rsidRPr="00583B49" w:rsidRDefault="003E0F31" w:rsidP="001E12D7">
            <w:pPr>
              <w:bidi/>
              <w:spacing w:after="0" w:line="240" w:lineRule="auto"/>
              <w:rPr>
                <w:rFonts w:ascii="Simplified Arabic" w:hAnsi="Simplified Arabic" w:cs="Simplified Arabic"/>
                <w:sz w:val="24"/>
                <w:szCs w:val="24"/>
                <w:rtl/>
                <w:lang w:bidi="ar-DZ"/>
              </w:rPr>
            </w:pPr>
            <w:r w:rsidRPr="00583B49">
              <w:rPr>
                <w:rFonts w:ascii="Simplified Arabic" w:hAnsi="Simplified Arabic" w:cs="Simplified Arabic"/>
                <w:sz w:val="24"/>
                <w:szCs w:val="24"/>
                <w:rtl/>
                <w:lang w:bidi="ar-DZ"/>
              </w:rPr>
              <w:t xml:space="preserve">الايجابيات </w:t>
            </w:r>
          </w:p>
        </w:tc>
        <w:tc>
          <w:tcPr>
            <w:tcW w:w="4168" w:type="dxa"/>
            <w:vAlign w:val="center"/>
          </w:tcPr>
          <w:p w:rsidR="003E0F31" w:rsidRPr="00583B49" w:rsidRDefault="003E0F31" w:rsidP="001E12D7">
            <w:pPr>
              <w:bidi/>
              <w:spacing w:after="0" w:line="240" w:lineRule="auto"/>
              <w:rPr>
                <w:rFonts w:ascii="Simplified Arabic" w:hAnsi="Simplified Arabic" w:cs="Simplified Arabic"/>
                <w:sz w:val="24"/>
                <w:szCs w:val="24"/>
                <w:rtl/>
                <w:lang w:bidi="ar-DZ"/>
              </w:rPr>
            </w:pPr>
            <w:r w:rsidRPr="00583B49">
              <w:rPr>
                <w:rFonts w:ascii="Simplified Arabic" w:hAnsi="Simplified Arabic" w:cs="Simplified Arabic"/>
                <w:sz w:val="24"/>
                <w:szCs w:val="24"/>
                <w:rtl/>
                <w:lang w:bidi="ar-DZ"/>
              </w:rPr>
              <w:t>السلبيات</w:t>
            </w:r>
          </w:p>
        </w:tc>
      </w:tr>
      <w:tr w:rsidR="003E0F31" w:rsidRPr="00583B49" w:rsidTr="001E12D7">
        <w:trPr>
          <w:jc w:val="center"/>
        </w:trPr>
        <w:tc>
          <w:tcPr>
            <w:tcW w:w="4268" w:type="dxa"/>
            <w:vAlign w:val="center"/>
          </w:tcPr>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 xml:space="preserve">تحليل المرونة بصفة شاملة وفق </w:t>
            </w:r>
            <w:r w:rsidRPr="00583B49">
              <w:rPr>
                <w:rFonts w:ascii="Simplified Arabic" w:hAnsi="Simplified Arabic" w:cs="Simplified Arabic"/>
                <w:sz w:val="24"/>
                <w:szCs w:val="24"/>
                <w:lang w:bidi="ar-DZ"/>
              </w:rPr>
              <w:t>6</w:t>
            </w:r>
            <w:r w:rsidRPr="00583B49">
              <w:rPr>
                <w:rFonts w:ascii="Simplified Arabic" w:hAnsi="Simplified Arabic" w:cs="Simplified Arabic"/>
                <w:sz w:val="24"/>
                <w:szCs w:val="24"/>
                <w:rtl/>
                <w:lang w:bidi="ar-DZ"/>
              </w:rPr>
              <w:t xml:space="preserve"> أبعاد</w:t>
            </w:r>
          </w:p>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val="en-US" w:bidi="ar-DZ"/>
              </w:rPr>
              <w:t xml:space="preserve">تأخذ بعين الاعتبار ظروف ما قبل وما بعد الكارثة </w:t>
            </w:r>
          </w:p>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نهج شامل لمكونات الأراضي الحضرية</w:t>
            </w:r>
          </w:p>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 xml:space="preserve">وضوح خريطة تحديد قيم المرونة </w:t>
            </w:r>
          </w:p>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سهولة مقارنة قيم مرونة الابعاد فيما بينها</w:t>
            </w:r>
          </w:p>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val="en-US" w:bidi="ar-DZ"/>
              </w:rPr>
              <w:t>يتوفر على سمتين رئيسيتين للمرونة: مرونة متأصلة قبل الأزمات ومرونة الاستجابة أثناء وبعد الازمات.</w:t>
            </w:r>
          </w:p>
        </w:tc>
        <w:tc>
          <w:tcPr>
            <w:tcW w:w="4168" w:type="dxa"/>
            <w:vAlign w:val="center"/>
          </w:tcPr>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الدرجة النهائية لمرونة المجتمع مقياسًا نسبيًا</w:t>
            </w:r>
          </w:p>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تحليل البيانات على المستوى الوطني</w:t>
            </w:r>
            <w:r>
              <w:rPr>
                <w:rFonts w:ascii="Simplified Arabic" w:hAnsi="Simplified Arabic" w:cs="Simplified Arabic"/>
                <w:sz w:val="24"/>
                <w:szCs w:val="24"/>
                <w:rtl/>
                <w:lang w:bidi="ar-DZ"/>
              </w:rPr>
              <w:t>، مما ي</w:t>
            </w:r>
            <w:r>
              <w:rPr>
                <w:rFonts w:ascii="Simplified Arabic" w:hAnsi="Simplified Arabic" w:cs="Simplified Arabic" w:hint="cs"/>
                <w:sz w:val="24"/>
                <w:szCs w:val="24"/>
                <w:rtl/>
                <w:lang w:bidi="ar-DZ"/>
              </w:rPr>
              <w:t>ص</w:t>
            </w:r>
            <w:r w:rsidRPr="00583B49">
              <w:rPr>
                <w:rFonts w:ascii="Simplified Arabic" w:hAnsi="Simplified Arabic" w:cs="Simplified Arabic"/>
                <w:sz w:val="24"/>
                <w:szCs w:val="24"/>
                <w:rtl/>
                <w:lang w:bidi="ar-DZ"/>
              </w:rPr>
              <w:t xml:space="preserve">عب عملية اتخاذ القرار على مستوى </w:t>
            </w:r>
            <w:r>
              <w:rPr>
                <w:rFonts w:ascii="Simplified Arabic" w:hAnsi="Simplified Arabic" w:cs="Simplified Arabic" w:hint="cs"/>
                <w:sz w:val="24"/>
                <w:szCs w:val="24"/>
                <w:rtl/>
                <w:lang w:bidi="ar-DZ"/>
              </w:rPr>
              <w:t>احياء المدينة</w:t>
            </w:r>
          </w:p>
          <w:p w:rsidR="003E0F31" w:rsidRPr="00583B49" w:rsidRDefault="003E0F31" w:rsidP="00B36D99">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صعوبة الحصول على البيانات الاقليمية لتحليل المرونة</w:t>
            </w:r>
            <w:r w:rsidR="00B36D99">
              <w:rPr>
                <w:rFonts w:ascii="Simplified Arabic" w:hAnsi="Simplified Arabic" w:cs="Simplified Arabic" w:hint="cs"/>
                <w:sz w:val="24"/>
                <w:szCs w:val="24"/>
                <w:rtl/>
                <w:lang w:bidi="ar-DZ"/>
              </w:rPr>
              <w:t xml:space="preserve"> </w:t>
            </w: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 xml:space="preserve">لم يتم تحديد </w:t>
            </w:r>
            <w:r>
              <w:rPr>
                <w:rFonts w:ascii="Simplified Arabic" w:hAnsi="Simplified Arabic" w:cs="Simplified Arabic" w:hint="cs"/>
                <w:sz w:val="24"/>
                <w:szCs w:val="24"/>
                <w:rtl/>
                <w:lang w:bidi="ar-DZ"/>
              </w:rPr>
              <w:t>ال</w:t>
            </w:r>
            <w:r w:rsidRPr="00583B49">
              <w:rPr>
                <w:rFonts w:ascii="Simplified Arabic" w:hAnsi="Simplified Arabic" w:cs="Simplified Arabic"/>
                <w:sz w:val="24"/>
                <w:szCs w:val="24"/>
                <w:rtl/>
                <w:lang w:bidi="ar-DZ"/>
              </w:rPr>
              <w:t xml:space="preserve">مخاطر </w:t>
            </w:r>
          </w:p>
          <w:p w:rsidR="003E0F31" w:rsidRPr="00583B49"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583B49">
              <w:rPr>
                <w:rFonts w:ascii="Simplified Arabic" w:hAnsi="Simplified Arabic" w:cs="Simplified Arabic"/>
                <w:sz w:val="24"/>
                <w:szCs w:val="24"/>
                <w:rtl/>
                <w:lang w:bidi="ar-DZ"/>
              </w:rPr>
              <w:t>تجاهل المرونة البيئية عن قصد بسبب التعقيد أو عدم تناسق البيانات وأهميتها</w:t>
            </w:r>
          </w:p>
        </w:tc>
      </w:tr>
    </w:tbl>
    <w:p w:rsidR="003E0F31" w:rsidRPr="000210C7" w:rsidRDefault="003E0F31" w:rsidP="001D0548">
      <w:pPr>
        <w:pStyle w:val="Paragraphedeliste"/>
        <w:numPr>
          <w:ilvl w:val="2"/>
          <w:numId w:val="123"/>
        </w:numPr>
        <w:tabs>
          <w:tab w:val="right" w:pos="850"/>
        </w:tabs>
        <w:bidi/>
        <w:spacing w:before="240" w:after="0"/>
        <w:ind w:left="0" w:firstLine="0"/>
        <w:jc w:val="both"/>
        <w:outlineLvl w:val="1"/>
        <w:rPr>
          <w:rFonts w:ascii="Simplified Arabic" w:hAnsi="Simplified Arabic" w:cs="Simplified Arabic"/>
          <w:lang w:val="en-US" w:bidi="ar-DZ"/>
        </w:rPr>
      </w:pPr>
      <w:bookmarkStart w:id="330" w:name="_Toc171803459"/>
      <w:r w:rsidRPr="000210C7">
        <w:rPr>
          <w:rFonts w:ascii="Simplified Arabic" w:hAnsi="Simplified Arabic" w:cs="Simplified Arabic" w:hint="cs"/>
          <w:b/>
          <w:bCs/>
          <w:sz w:val="24"/>
          <w:szCs w:val="24"/>
          <w:rtl/>
        </w:rPr>
        <w:t>المشاركة</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في</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إدارة</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مخاطر</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الفيضانات</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وإمكانات</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مراصد</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المواطنين،</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تحليل</w:t>
      </w:r>
      <w:r w:rsidRPr="000210C7">
        <w:rPr>
          <w:rFonts w:ascii="Simplified Arabic" w:hAnsi="Simplified Arabic" w:cs="Simplified Arabic"/>
          <w:b/>
          <w:bCs/>
          <w:sz w:val="24"/>
          <w:szCs w:val="24"/>
          <w:rtl/>
        </w:rPr>
        <w:t xml:space="preserve"> </w:t>
      </w:r>
      <w:r w:rsidRPr="000210C7">
        <w:rPr>
          <w:rFonts w:ascii="Simplified Arabic" w:hAnsi="Simplified Arabic" w:cs="Simplified Arabic" w:hint="cs"/>
          <w:b/>
          <w:bCs/>
          <w:sz w:val="24"/>
          <w:szCs w:val="24"/>
          <w:rtl/>
        </w:rPr>
        <w:t>الحوكمة</w:t>
      </w:r>
      <w:bookmarkEnd w:id="330"/>
    </w:p>
    <w:p w:rsidR="003E0F31" w:rsidRPr="001C0313" w:rsidRDefault="003E0F31" w:rsidP="003E0F31">
      <w:pPr>
        <w:shd w:val="clear" w:color="auto" w:fill="F2F2F2" w:themeFill="background1" w:themeFillShade="F2"/>
        <w:autoSpaceDE w:val="0"/>
        <w:autoSpaceDN w:val="0"/>
        <w:adjustRightInd w:val="0"/>
        <w:spacing w:after="0" w:line="240" w:lineRule="auto"/>
        <w:jc w:val="center"/>
        <w:rPr>
          <w:rFonts w:asciiTheme="majorBidi" w:hAnsiTheme="majorBidi" w:cstheme="majorBidi"/>
          <w:sz w:val="24"/>
          <w:szCs w:val="24"/>
          <w:rtl/>
          <w:lang w:val="en-US"/>
        </w:rPr>
      </w:pPr>
      <w:r w:rsidRPr="001C0313">
        <w:rPr>
          <w:rFonts w:asciiTheme="majorBidi" w:hAnsiTheme="majorBidi" w:cstheme="majorBidi"/>
          <w:lang w:val="en-US"/>
        </w:rPr>
        <w:t>Participation in flood risk management and the potential of citizen observatories, a</w:t>
      </w:r>
      <w:r w:rsidRPr="001C0313">
        <w:rPr>
          <w:rFonts w:asciiTheme="majorBidi" w:hAnsiTheme="majorBidi" w:cstheme="majorBidi" w:hint="cs"/>
          <w:rtl/>
          <w:lang w:val="en-US"/>
        </w:rPr>
        <w:t xml:space="preserve"> </w:t>
      </w:r>
      <w:r w:rsidRPr="001C0313">
        <w:rPr>
          <w:rFonts w:asciiTheme="majorBidi" w:hAnsiTheme="majorBidi" w:cstheme="majorBidi"/>
          <w:lang w:val="en-US"/>
        </w:rPr>
        <w:t>governance analysis (Wehn et al., 2015)</w:t>
      </w:r>
    </w:p>
    <w:p w:rsidR="00D7495E" w:rsidRDefault="003E0F31" w:rsidP="003166C4">
      <w:pPr>
        <w:bidi/>
        <w:spacing w:after="0"/>
        <w:ind w:firstLine="282"/>
        <w:jc w:val="both"/>
        <w:rPr>
          <w:rFonts w:ascii="Simplified Arabic" w:hAnsi="Simplified Arabic" w:cs="Simplified Arabic"/>
          <w:sz w:val="24"/>
          <w:szCs w:val="24"/>
          <w:rtl/>
        </w:rPr>
      </w:pP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الوقت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الحاضر،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الدعوة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مناهج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تسيير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مخاطر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الفيضانات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تركز</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التدابير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غير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الهيكلية،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مثل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تحسين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تخطيط</w:t>
      </w:r>
      <w:r w:rsidRPr="00206B59">
        <w:rPr>
          <w:rFonts w:ascii="Simplified Arabic" w:hAnsi="Simplified Arabic" w:cs="Simplified Arabic"/>
          <w:sz w:val="24"/>
          <w:szCs w:val="24"/>
          <w:rtl/>
        </w:rPr>
        <w:t xml:space="preserve"> </w:t>
      </w:r>
      <w:r w:rsidR="003166C4">
        <w:rPr>
          <w:rFonts w:ascii="Simplified Arabic" w:hAnsi="Simplified Arabic" w:cs="Simplified Arabic" w:hint="cs"/>
          <w:sz w:val="24"/>
          <w:szCs w:val="24"/>
          <w:rtl/>
        </w:rPr>
        <w:t>استعمال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الأراضي،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وإعادة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التوطين،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والوقاية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الفيضانات</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Bradford et al., 2012</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w:t>
      </w:r>
      <w:r w:rsidRPr="00206B59">
        <w:rPr>
          <w:rFonts w:ascii="Simplified Arabic" w:hAnsi="Simplified Arabic" w:cs="Simplified Arabic"/>
          <w:sz w:val="24"/>
          <w:szCs w:val="24"/>
          <w:rtl/>
        </w:rPr>
        <w:t xml:space="preserve">يكشف توجيه الفيضانات الأوروبي </w:t>
      </w:r>
      <w:r w:rsidRPr="00206B59">
        <w:rPr>
          <w:rFonts w:asciiTheme="majorBidi" w:hAnsiTheme="majorBidi" w:cstheme="majorBidi"/>
          <w:sz w:val="24"/>
          <w:szCs w:val="24"/>
          <w:rtl/>
        </w:rPr>
        <w:t>(2007/60/</w:t>
      </w:r>
      <w:r w:rsidRPr="00206B59">
        <w:rPr>
          <w:rFonts w:asciiTheme="majorBidi" w:hAnsiTheme="majorBidi" w:cstheme="majorBidi"/>
          <w:sz w:val="24"/>
          <w:szCs w:val="24"/>
        </w:rPr>
        <w:t>EC</w:t>
      </w:r>
      <w:r w:rsidRPr="00206B59">
        <w:rPr>
          <w:rFonts w:asciiTheme="majorBidi" w:hAnsiTheme="majorBidi" w:cstheme="majorBidi"/>
          <w:sz w:val="24"/>
          <w:szCs w:val="24"/>
          <w:rtl/>
        </w:rPr>
        <w:t xml:space="preserve"> </w:t>
      </w:r>
      <w:r w:rsidRPr="00206B59">
        <w:rPr>
          <w:rFonts w:asciiTheme="majorBidi" w:hAnsiTheme="majorBidi" w:cstheme="majorBidi"/>
          <w:sz w:val="24"/>
          <w:szCs w:val="24"/>
          <w:lang w:val="en-US"/>
        </w:rPr>
        <w:t>European</w:t>
      </w:r>
      <w:r w:rsidRPr="00206B59">
        <w:rPr>
          <w:rFonts w:asciiTheme="majorBidi" w:hAnsiTheme="majorBidi" w:cstheme="majorBidi"/>
          <w:sz w:val="24"/>
          <w:szCs w:val="24"/>
        </w:rPr>
        <w:t xml:space="preserve"> Flood Directive</w:t>
      </w:r>
      <w:r w:rsidRPr="00206B59">
        <w:rPr>
          <w:rFonts w:asciiTheme="majorBidi" w:hAnsiTheme="majorBidi" w:cstheme="majorBidi"/>
          <w:sz w:val="24"/>
          <w:szCs w:val="24"/>
          <w:rtl/>
        </w:rPr>
        <w:t>)</w:t>
      </w:r>
      <w:r w:rsidRPr="00206B59">
        <w:rPr>
          <w:rFonts w:hint="cs"/>
          <w:sz w:val="15"/>
          <w:szCs w:val="15"/>
          <w:rtl/>
        </w:rPr>
        <w:t xml:space="preserve"> </w:t>
      </w:r>
      <w:r w:rsidRPr="00206B59">
        <w:rPr>
          <w:rFonts w:ascii="Simplified Arabic" w:hAnsi="Simplified Arabic" w:cs="Simplified Arabic"/>
          <w:sz w:val="24"/>
          <w:szCs w:val="24"/>
          <w:rtl/>
        </w:rPr>
        <w:t xml:space="preserve">الحاجة إلى دمج الجهات الفاعلة المحلية والمواطنين في عملية تشاركية </w:t>
      </w:r>
      <w:r w:rsidR="00D7495E" w:rsidRPr="00206B59">
        <w:rPr>
          <w:rFonts w:ascii="Simplified Arabic" w:hAnsi="Simplified Arabic" w:cs="Simplified Arabic" w:hint="cs"/>
          <w:sz w:val="24"/>
          <w:szCs w:val="24"/>
          <w:rtl/>
        </w:rPr>
        <w:t>ل</w:t>
      </w:r>
      <w:r w:rsidRPr="00206B59">
        <w:rPr>
          <w:rFonts w:ascii="Simplified Arabic" w:hAnsi="Simplified Arabic" w:cs="Simplified Arabic"/>
          <w:sz w:val="24"/>
          <w:szCs w:val="24"/>
          <w:rtl/>
        </w:rPr>
        <w:t xml:space="preserve">ضمان مشاركتهم في إنشاء استراتيجية </w:t>
      </w:r>
      <w:r w:rsidRPr="00206B59">
        <w:rPr>
          <w:rFonts w:ascii="Simplified Arabic" w:hAnsi="Simplified Arabic" w:cs="Simplified Arabic" w:hint="cs"/>
          <w:sz w:val="24"/>
          <w:szCs w:val="24"/>
          <w:rtl/>
        </w:rPr>
        <w:t>تسيير</w:t>
      </w:r>
      <w:r w:rsidRPr="00206B59">
        <w:rPr>
          <w:rFonts w:ascii="Simplified Arabic" w:hAnsi="Simplified Arabic" w:cs="Simplified Arabic"/>
          <w:sz w:val="24"/>
          <w:szCs w:val="24"/>
          <w:rtl/>
        </w:rPr>
        <w:t xml:space="preserve"> مخاطر الفيضانات</w:t>
      </w:r>
      <w:r w:rsidR="00D7495E" w:rsidRPr="00206B59">
        <w:rPr>
          <w:rFonts w:ascii="Simplified Arabic" w:hAnsi="Simplified Arabic" w:cs="Simplified Arabic" w:hint="cs"/>
          <w:sz w:val="24"/>
          <w:szCs w:val="24"/>
          <w:rtl/>
        </w:rPr>
        <w:t xml:space="preserve"> </w:t>
      </w:r>
      <w:r w:rsidR="00D7495E" w:rsidRPr="00206B59">
        <w:rPr>
          <w:rFonts w:asciiTheme="majorBidi" w:hAnsiTheme="majorBidi" w:cstheme="majorBidi"/>
          <w:sz w:val="24"/>
          <w:szCs w:val="24"/>
        </w:rPr>
        <w:t>(</w:t>
      </w:r>
      <w:r w:rsidR="002A398E" w:rsidRPr="00206B59">
        <w:rPr>
          <w:rFonts w:asciiTheme="majorBidi" w:hAnsiTheme="majorBidi" w:cstheme="majorBidi"/>
          <w:sz w:val="24"/>
          <w:szCs w:val="24"/>
        </w:rPr>
        <w:t>URBACT, 2015</w:t>
      </w:r>
      <w:r w:rsidR="00D7495E" w:rsidRPr="00206B59">
        <w:rPr>
          <w:rFonts w:asciiTheme="majorBidi" w:hAnsiTheme="majorBidi" w:cstheme="majorBidi"/>
          <w:sz w:val="24"/>
          <w:szCs w:val="24"/>
        </w:rPr>
        <w:t>)</w:t>
      </w:r>
      <w:r w:rsidRPr="00206B59">
        <w:rPr>
          <w:rFonts w:ascii="Simplified Arabic" w:hAnsi="Simplified Arabic" w:cs="Simplified Arabic"/>
          <w:sz w:val="24"/>
          <w:szCs w:val="24"/>
          <w:rtl/>
        </w:rPr>
        <w:t xml:space="preserve">. </w:t>
      </w:r>
      <w:r w:rsidR="00D7495E" w:rsidRPr="00206B59">
        <w:rPr>
          <w:rFonts w:ascii="Simplified Arabic" w:hAnsi="Simplified Arabic" w:cs="Simplified Arabic" w:hint="cs"/>
          <w:sz w:val="24"/>
          <w:szCs w:val="24"/>
          <w:rtl/>
        </w:rPr>
        <w:t xml:space="preserve"> </w:t>
      </w:r>
    </w:p>
    <w:p w:rsidR="003E0F31" w:rsidRPr="00EF30E7" w:rsidRDefault="003E0F31" w:rsidP="00AA4EB6">
      <w:pPr>
        <w:bidi/>
        <w:spacing w:after="0"/>
        <w:ind w:firstLine="282"/>
        <w:jc w:val="both"/>
        <w:rPr>
          <w:rFonts w:ascii="Simplified Arabic" w:hAnsi="Simplified Arabic" w:cs="Simplified Arabic"/>
          <w:sz w:val="24"/>
          <w:szCs w:val="24"/>
          <w:rtl/>
        </w:rPr>
      </w:pPr>
      <w:r w:rsidRPr="00EF30E7">
        <w:rPr>
          <w:rFonts w:ascii="Simplified Arabic" w:hAnsi="Simplified Arabic" w:cs="Simplified Arabic"/>
          <w:sz w:val="24"/>
          <w:szCs w:val="24"/>
          <w:rtl/>
        </w:rPr>
        <w:t xml:space="preserve">الوسائل المبتكرة، مثل مراصد المواطنين التي </w:t>
      </w:r>
      <w:r>
        <w:rPr>
          <w:rFonts w:ascii="Simplified Arabic" w:hAnsi="Simplified Arabic" w:cs="Simplified Arabic" w:hint="cs"/>
          <w:sz w:val="24"/>
          <w:szCs w:val="24"/>
          <w:rtl/>
        </w:rPr>
        <w:t>تدعمها</w:t>
      </w:r>
      <w:r w:rsidRPr="00EF30E7">
        <w:rPr>
          <w:rFonts w:ascii="Simplified Arabic" w:hAnsi="Simplified Arabic" w:cs="Simplified Arabic"/>
          <w:sz w:val="24"/>
          <w:szCs w:val="24"/>
          <w:rtl/>
        </w:rPr>
        <w:t xml:space="preserve"> تكنولوجيا المعلومات والاتصالات </w:t>
      </w:r>
      <w:r w:rsidRPr="00FC4A1A">
        <w:rPr>
          <w:rFonts w:asciiTheme="majorBidi" w:hAnsiTheme="majorBidi" w:cstheme="majorBidi"/>
          <w:sz w:val="24"/>
          <w:szCs w:val="24"/>
          <w:rtl/>
        </w:rPr>
        <w:t>(</w:t>
      </w:r>
      <w:r w:rsidRPr="00FC4A1A">
        <w:rPr>
          <w:rFonts w:asciiTheme="majorBidi" w:hAnsiTheme="majorBidi" w:cstheme="majorBidi"/>
          <w:sz w:val="24"/>
          <w:szCs w:val="24"/>
        </w:rPr>
        <w:t>ICT</w:t>
      </w:r>
      <w:r w:rsidRPr="00FC4A1A">
        <w:rPr>
          <w:rFonts w:asciiTheme="majorBidi" w:hAnsiTheme="majorBidi" w:cstheme="majorBidi"/>
          <w:sz w:val="24"/>
          <w:szCs w:val="24"/>
          <w:rtl/>
        </w:rPr>
        <w:t>)</w:t>
      </w:r>
      <w:r w:rsidRPr="00EF30E7">
        <w:rPr>
          <w:rFonts w:ascii="Simplified Arabic" w:hAnsi="Simplified Arabic" w:cs="Simplified Arabic"/>
          <w:sz w:val="24"/>
          <w:szCs w:val="24"/>
          <w:rtl/>
        </w:rPr>
        <w:t xml:space="preserve">، لديها القدرة على إعطاء المواطنين دورًا جديدًا بشكل ملحوظ في صنع القرار. </w:t>
      </w:r>
    </w:p>
    <w:p w:rsidR="003E0F31" w:rsidRPr="00EF30E7" w:rsidRDefault="003E0F31" w:rsidP="00D87672">
      <w:pPr>
        <w:bidi/>
        <w:spacing w:after="0"/>
        <w:ind w:firstLine="282"/>
        <w:jc w:val="both"/>
        <w:rPr>
          <w:rFonts w:ascii="Simplified Arabic" w:hAnsi="Simplified Arabic" w:cs="Simplified Arabic"/>
          <w:sz w:val="24"/>
          <w:szCs w:val="24"/>
          <w:rtl/>
        </w:rPr>
      </w:pPr>
      <w:r w:rsidRPr="00EF30E7">
        <w:rPr>
          <w:rFonts w:ascii="Simplified Arabic" w:hAnsi="Simplified Arabic" w:cs="Simplified Arabic" w:hint="cs"/>
          <w:sz w:val="24"/>
          <w:szCs w:val="24"/>
          <w:rtl/>
        </w:rPr>
        <w:t>غرض</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قياس</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إمكانات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مراصد</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المواطنين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التي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تدعم</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تكنولوجيا</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المعلومات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والاتصالات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لزيادة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مشاركة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المواطنين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في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إدارة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مخاطر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الفيضانات،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تم تطوير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إطار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عمل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لإجراء</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تحليل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مقارن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عبر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الحالات</w:t>
      </w:r>
      <w:r>
        <w:rPr>
          <w:rFonts w:ascii="Simplified Arabic" w:hAnsi="Simplified Arabic" w:cs="Simplified Arabic" w:hint="cs"/>
          <w:sz w:val="24"/>
          <w:szCs w:val="24"/>
          <w:rtl/>
        </w:rPr>
        <w:t xml:space="preserve"> السالفة الذكر</w:t>
      </w:r>
      <w:r w:rsidRPr="00EF30E7">
        <w:rPr>
          <w:rFonts w:ascii="Simplified Arabic" w:hAnsi="Simplified Arabic" w:cs="Simplified Arabic" w:hint="cs"/>
          <w:sz w:val="24"/>
          <w:szCs w:val="24"/>
          <w:rtl/>
        </w:rPr>
        <w:t>،</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الشكل (</w:t>
      </w:r>
      <w:r w:rsidR="00D87672">
        <w:rPr>
          <w:rFonts w:ascii="Simplified Arabic" w:hAnsi="Simplified Arabic" w:cs="Simplified Arabic" w:hint="cs"/>
          <w:sz w:val="24"/>
          <w:szCs w:val="24"/>
          <w:rtl/>
        </w:rPr>
        <w:t>2-7</w:t>
      </w:r>
      <w:r w:rsidRPr="00EF30E7">
        <w:rPr>
          <w:rFonts w:ascii="Simplified Arabic" w:hAnsi="Simplified Arabic" w:cs="Simplified Arabic" w:hint="cs"/>
          <w:sz w:val="24"/>
          <w:szCs w:val="24"/>
          <w:rtl/>
        </w:rPr>
        <w:t>)</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يبني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إطار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العمل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على</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مكعب</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لتصنيف</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الأبعاد</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المختلفة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نطاق</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الإمكانيات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المؤسسية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للمشاركة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العامة</w:t>
      </w:r>
      <w:r w:rsidRPr="00EF30E7">
        <w:rPr>
          <w:rFonts w:ascii="Simplified Arabic" w:hAnsi="Simplified Arabic" w:cs="Simplified Arabic"/>
          <w:sz w:val="24"/>
          <w:szCs w:val="24"/>
          <w:rtl/>
        </w:rPr>
        <w:t xml:space="preserve"> </w:t>
      </w:r>
      <w:r w:rsidRPr="00A30BF9">
        <w:rPr>
          <w:rFonts w:asciiTheme="majorBidi" w:hAnsiTheme="majorBidi" w:cstheme="majorBidi"/>
          <w:sz w:val="24"/>
          <w:szCs w:val="24"/>
        </w:rPr>
        <w:t>(</w:t>
      </w:r>
      <w:r w:rsidRPr="00206B59">
        <w:rPr>
          <w:rFonts w:asciiTheme="majorBidi" w:hAnsiTheme="majorBidi" w:cstheme="majorBidi"/>
          <w:sz w:val="24"/>
          <w:szCs w:val="24"/>
        </w:rPr>
        <w:t>Fung</w:t>
      </w:r>
      <w:r w:rsidRPr="00A30BF9">
        <w:rPr>
          <w:rFonts w:asciiTheme="majorBidi" w:hAnsiTheme="majorBidi" w:cstheme="majorBidi"/>
          <w:sz w:val="24"/>
          <w:szCs w:val="24"/>
        </w:rPr>
        <w:t>, 2006)</w:t>
      </w:r>
      <w:r w:rsidRPr="00EF30E7">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EF30E7">
        <w:rPr>
          <w:rFonts w:ascii="Simplified Arabic" w:hAnsi="Simplified Arabic" w:cs="Simplified Arabic" w:hint="cs"/>
          <w:sz w:val="24"/>
          <w:szCs w:val="24"/>
          <w:rtl/>
        </w:rPr>
        <w:t>يتمثل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الجانب</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الرئيسي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لهذه</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المراصد</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في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المشاركة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المباشرة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لمجتمعات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المستخدمين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في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عملية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جمع</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البيانات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فهي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تتيح</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مشاركة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المواطنين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خلال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جمع</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البيانات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بالإضافة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إلى</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تسخير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الذكاء</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الجماعي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للمواطنين،</w:t>
      </w:r>
      <w:r>
        <w:rPr>
          <w:rFonts w:ascii="Simplified Arabic" w:hAnsi="Simplified Arabic" w:cs="Simplified Arabic" w:hint="cs"/>
          <w:sz w:val="24"/>
          <w:szCs w:val="24"/>
          <w:rtl/>
        </w:rPr>
        <w:t xml:space="preserve"> أي </w:t>
      </w:r>
      <w:r w:rsidRPr="00EF30E7">
        <w:rPr>
          <w:rFonts w:ascii="Simplified Arabic" w:hAnsi="Simplified Arabic" w:cs="Simplified Arabic" w:hint="cs"/>
          <w:sz w:val="24"/>
          <w:szCs w:val="24"/>
          <w:rtl/>
        </w:rPr>
        <w:t>المعلومات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والخبرة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والمعرفة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المتجسدة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في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الأفراد</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والمجتمعات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التي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يتم</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توصيلها</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عبر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وسائل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التواصل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الاجتماعي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مثل</w:t>
      </w:r>
      <w:r w:rsidRPr="00EF30E7">
        <w:rPr>
          <w:rFonts w:ascii="Simplified Arabic" w:hAnsi="Simplified Arabic" w:cs="Simplified Arabic"/>
          <w:sz w:val="24"/>
          <w:szCs w:val="24"/>
          <w:rtl/>
        </w:rPr>
        <w:t xml:space="preserve"> </w:t>
      </w:r>
      <w:r w:rsidRPr="008A222A">
        <w:rPr>
          <w:rFonts w:asciiTheme="majorBidi" w:hAnsiTheme="majorBidi" w:cstheme="majorBidi"/>
          <w:sz w:val="24"/>
          <w:szCs w:val="24"/>
        </w:rPr>
        <w:t>Twitter</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w:t>
      </w:r>
      <w:r w:rsidRPr="00EF30E7">
        <w:rPr>
          <w:rFonts w:ascii="Simplified Arabic" w:hAnsi="Simplified Arabic" w:cs="Simplified Arabic"/>
          <w:sz w:val="24"/>
          <w:szCs w:val="24"/>
          <w:rtl/>
        </w:rPr>
        <w:t xml:space="preserve"> </w:t>
      </w:r>
      <w:r w:rsidRPr="008A222A">
        <w:rPr>
          <w:rFonts w:asciiTheme="majorBidi" w:hAnsiTheme="majorBidi" w:cstheme="majorBidi"/>
          <w:sz w:val="24"/>
          <w:szCs w:val="24"/>
        </w:rPr>
        <w:t>Facebook</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وما</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إلى</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ذلك</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وتطبيقات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الهاتف</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المحمول</w:t>
      </w:r>
      <w:r w:rsidRPr="00EF30E7">
        <w:rPr>
          <w:rFonts w:ascii="Simplified Arabic" w:hAnsi="Simplified Arabic" w:cs="Simplified Arabic"/>
          <w:sz w:val="24"/>
          <w:szCs w:val="24"/>
          <w:rtl/>
        </w:rPr>
        <w:t xml:space="preserve"> </w:t>
      </w:r>
      <w:r w:rsidRPr="008A222A">
        <w:rPr>
          <w:rFonts w:asciiTheme="majorBidi" w:hAnsiTheme="majorBidi" w:cstheme="majorBidi"/>
          <w:sz w:val="24"/>
          <w:szCs w:val="24"/>
        </w:rPr>
        <w:t>(</w:t>
      </w:r>
      <w:r w:rsidRPr="00206B59">
        <w:rPr>
          <w:rFonts w:asciiTheme="majorBidi" w:hAnsiTheme="majorBidi" w:cstheme="majorBidi"/>
          <w:sz w:val="24"/>
          <w:szCs w:val="24"/>
        </w:rPr>
        <w:t>Lanfranchi</w:t>
      </w:r>
      <w:r w:rsidRPr="008A222A">
        <w:rPr>
          <w:rFonts w:asciiTheme="majorBidi" w:hAnsiTheme="majorBidi" w:cstheme="majorBidi"/>
          <w:sz w:val="24"/>
          <w:szCs w:val="24"/>
        </w:rPr>
        <w:t xml:space="preserve"> et al., 2014)</w:t>
      </w:r>
      <w:r w:rsidRPr="00EF30E7">
        <w:rPr>
          <w:rFonts w:ascii="Simplified Arabic" w:hAnsi="Simplified Arabic" w:cs="Simplified Arabic"/>
          <w:sz w:val="24"/>
          <w:szCs w:val="24"/>
        </w:rPr>
        <w:t>.</w:t>
      </w:r>
      <w:r w:rsidRPr="00EF30E7">
        <w:rPr>
          <w:rFonts w:ascii="Simplified Arabic" w:hAnsi="Simplified Arabic" w:cs="Simplified Arabic" w:hint="cs"/>
          <w:sz w:val="24"/>
          <w:szCs w:val="24"/>
          <w:rtl/>
        </w:rPr>
        <w:t xml:space="preserve">. </w:t>
      </w:r>
    </w:p>
    <w:p w:rsidR="003E0F31" w:rsidRDefault="003E0F31" w:rsidP="00AA4EB6">
      <w:pPr>
        <w:bidi/>
        <w:spacing w:after="0"/>
        <w:ind w:firstLine="282"/>
        <w:jc w:val="both"/>
        <w:rPr>
          <w:rFonts w:ascii="Simplified Arabic" w:hAnsi="Simplified Arabic" w:cs="Simplified Arabic"/>
          <w:sz w:val="24"/>
          <w:szCs w:val="24"/>
          <w:rtl/>
        </w:rPr>
      </w:pPr>
      <w:r w:rsidRPr="00EF30E7">
        <w:rPr>
          <w:rFonts w:ascii="Simplified Arabic" w:hAnsi="Simplified Arabic" w:cs="Simplified Arabic" w:hint="cs"/>
          <w:sz w:val="24"/>
          <w:szCs w:val="24"/>
          <w:rtl/>
        </w:rPr>
        <w:t>في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هذا</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الاطار،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يمكن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أن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تمتد</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مشاركة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المواطنين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جمع</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البيانات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وتوفيرها</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مثل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تبادل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المعرفة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عبر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تطبيقات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الهاتف</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المحمول</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أو</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المنصات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عبر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الإنترنت</w:t>
      </w:r>
      <w:r>
        <w:rPr>
          <w:rFonts w:ascii="Simplified Arabic" w:hAnsi="Simplified Arabic" w:cs="Simplified Arabic" w:hint="cs"/>
          <w:sz w:val="24"/>
          <w:szCs w:val="24"/>
          <w:rtl/>
        </w:rPr>
        <w:t xml:space="preserve"> </w:t>
      </w:r>
      <w:r w:rsidRPr="00EF30E7">
        <w:rPr>
          <w:rFonts w:ascii="Simplified Arabic" w:hAnsi="Simplified Arabic" w:cs="Simplified Arabic" w:hint="cs"/>
          <w:sz w:val="24"/>
          <w:szCs w:val="24"/>
          <w:rtl/>
        </w:rPr>
        <w:t>إلى</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المشاركة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الفعلية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في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صنع</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القرار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عبر</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الإنترنت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أو</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وجهاً</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لوجه</w:t>
      </w:r>
      <w:r w:rsidRPr="00EF30E7">
        <w:rPr>
          <w:rFonts w:ascii="Simplified Arabic" w:hAnsi="Simplified Arabic" w:cs="Simplified Arabic"/>
          <w:sz w:val="24"/>
          <w:szCs w:val="24"/>
          <w:rtl/>
        </w:rPr>
        <w:t xml:space="preserve">. </w:t>
      </w:r>
    </w:p>
    <w:p w:rsidR="00B36D99" w:rsidRDefault="00B36D99" w:rsidP="001C0313">
      <w:pPr>
        <w:pStyle w:val="fegure"/>
        <w:spacing w:before="240"/>
        <w:rPr>
          <w:sz w:val="8"/>
          <w:szCs w:val="24"/>
          <w:rtl/>
        </w:rPr>
      </w:pPr>
      <w:bookmarkStart w:id="331" w:name="_Toc157608293"/>
    </w:p>
    <w:p w:rsidR="00B36D99" w:rsidRDefault="00B36D99" w:rsidP="001C0313">
      <w:pPr>
        <w:pStyle w:val="fegure"/>
        <w:spacing w:before="240"/>
        <w:rPr>
          <w:sz w:val="8"/>
          <w:szCs w:val="24"/>
          <w:rtl/>
        </w:rPr>
      </w:pPr>
    </w:p>
    <w:p w:rsidR="00B36D99" w:rsidRDefault="00B36D99" w:rsidP="001C0313">
      <w:pPr>
        <w:pStyle w:val="fegure"/>
        <w:spacing w:before="240"/>
        <w:rPr>
          <w:sz w:val="8"/>
          <w:szCs w:val="24"/>
          <w:rtl/>
        </w:rPr>
      </w:pPr>
    </w:p>
    <w:p w:rsidR="003E0F31" w:rsidRPr="00762191" w:rsidRDefault="003E0F31" w:rsidP="001C0313">
      <w:pPr>
        <w:pStyle w:val="fegure"/>
        <w:spacing w:before="240"/>
        <w:rPr>
          <w:sz w:val="8"/>
          <w:szCs w:val="24"/>
          <w:rtl/>
        </w:rPr>
      </w:pPr>
      <w:bookmarkStart w:id="332" w:name="_Toc171803460"/>
      <w:r w:rsidRPr="00762191">
        <w:rPr>
          <w:rFonts w:hint="cs"/>
          <w:sz w:val="8"/>
          <w:szCs w:val="24"/>
          <w:rtl/>
        </w:rPr>
        <w:lastRenderedPageBreak/>
        <w:t>الشكل</w:t>
      </w:r>
      <w:r w:rsidRPr="00762191">
        <w:rPr>
          <w:sz w:val="8"/>
          <w:szCs w:val="24"/>
          <w:rtl/>
        </w:rPr>
        <w:t xml:space="preserve"> </w:t>
      </w:r>
      <w:r w:rsidRPr="00762191">
        <w:rPr>
          <w:rFonts w:hint="cs"/>
          <w:sz w:val="8"/>
          <w:szCs w:val="24"/>
          <w:rtl/>
        </w:rPr>
        <w:t>(</w:t>
      </w:r>
      <w:r w:rsidR="00D87672" w:rsidRPr="00762191">
        <w:rPr>
          <w:rFonts w:hint="cs"/>
          <w:sz w:val="8"/>
          <w:szCs w:val="24"/>
          <w:rtl/>
        </w:rPr>
        <w:t>2-7</w:t>
      </w:r>
      <w:r w:rsidRPr="00762191">
        <w:rPr>
          <w:rFonts w:hint="cs"/>
          <w:sz w:val="8"/>
          <w:szCs w:val="24"/>
          <w:rtl/>
        </w:rPr>
        <w:t>)</w:t>
      </w:r>
      <w:r w:rsidRPr="00762191">
        <w:rPr>
          <w:sz w:val="8"/>
          <w:szCs w:val="24"/>
          <w:rtl/>
        </w:rPr>
        <w:t xml:space="preserve">: </w:t>
      </w:r>
      <w:r w:rsidRPr="00762191">
        <w:rPr>
          <w:rFonts w:hint="cs"/>
          <w:sz w:val="8"/>
          <w:szCs w:val="24"/>
          <w:rtl/>
        </w:rPr>
        <w:t>مشاركة</w:t>
      </w:r>
      <w:r w:rsidRPr="00762191">
        <w:rPr>
          <w:sz w:val="8"/>
          <w:szCs w:val="24"/>
          <w:rtl/>
        </w:rPr>
        <w:t xml:space="preserve"> </w:t>
      </w:r>
      <w:r w:rsidRPr="00762191">
        <w:rPr>
          <w:rFonts w:hint="cs"/>
          <w:sz w:val="8"/>
          <w:szCs w:val="24"/>
          <w:rtl/>
        </w:rPr>
        <w:t>المواطنين</w:t>
      </w:r>
      <w:r w:rsidRPr="00762191">
        <w:rPr>
          <w:sz w:val="8"/>
          <w:szCs w:val="24"/>
          <w:rtl/>
        </w:rPr>
        <w:t xml:space="preserve"> </w:t>
      </w:r>
      <w:r w:rsidRPr="00762191">
        <w:rPr>
          <w:rFonts w:hint="cs"/>
          <w:sz w:val="8"/>
          <w:szCs w:val="24"/>
          <w:rtl/>
        </w:rPr>
        <w:t>من</w:t>
      </w:r>
      <w:r w:rsidRPr="00762191">
        <w:rPr>
          <w:sz w:val="8"/>
          <w:szCs w:val="24"/>
          <w:rtl/>
        </w:rPr>
        <w:t xml:space="preserve"> </w:t>
      </w:r>
      <w:r w:rsidRPr="00762191">
        <w:rPr>
          <w:rFonts w:hint="cs"/>
          <w:sz w:val="8"/>
          <w:szCs w:val="24"/>
          <w:rtl/>
        </w:rPr>
        <w:t>خلال</w:t>
      </w:r>
      <w:r w:rsidRPr="00762191">
        <w:rPr>
          <w:sz w:val="8"/>
          <w:szCs w:val="24"/>
          <w:rtl/>
        </w:rPr>
        <w:t xml:space="preserve"> </w:t>
      </w:r>
      <w:r w:rsidRPr="00762191">
        <w:rPr>
          <w:rFonts w:hint="cs"/>
          <w:sz w:val="8"/>
          <w:szCs w:val="24"/>
          <w:rtl/>
        </w:rPr>
        <w:t>المراصد</w:t>
      </w:r>
      <w:r w:rsidRPr="00762191">
        <w:rPr>
          <w:sz w:val="8"/>
          <w:szCs w:val="24"/>
          <w:rtl/>
        </w:rPr>
        <w:t xml:space="preserve"> </w:t>
      </w:r>
      <w:r w:rsidRPr="00762191">
        <w:rPr>
          <w:rFonts w:hint="cs"/>
          <w:sz w:val="8"/>
          <w:szCs w:val="24"/>
          <w:rtl/>
        </w:rPr>
        <w:t>القائمة</w:t>
      </w:r>
      <w:r w:rsidRPr="00762191">
        <w:rPr>
          <w:sz w:val="8"/>
          <w:szCs w:val="24"/>
          <w:rtl/>
        </w:rPr>
        <w:t xml:space="preserve"> </w:t>
      </w:r>
      <w:r w:rsidRPr="00762191">
        <w:rPr>
          <w:rFonts w:hint="cs"/>
          <w:sz w:val="8"/>
          <w:szCs w:val="24"/>
          <w:rtl/>
        </w:rPr>
        <w:t>على</w:t>
      </w:r>
      <w:r w:rsidRPr="00762191">
        <w:rPr>
          <w:sz w:val="8"/>
          <w:szCs w:val="24"/>
          <w:rtl/>
        </w:rPr>
        <w:t xml:space="preserve"> </w:t>
      </w:r>
      <w:r w:rsidRPr="00762191">
        <w:rPr>
          <w:rFonts w:hint="cs"/>
          <w:sz w:val="8"/>
          <w:szCs w:val="24"/>
          <w:rtl/>
        </w:rPr>
        <w:t>تكنولوجيا</w:t>
      </w:r>
      <w:r w:rsidRPr="00762191">
        <w:rPr>
          <w:sz w:val="8"/>
          <w:szCs w:val="24"/>
          <w:rtl/>
        </w:rPr>
        <w:t xml:space="preserve"> </w:t>
      </w:r>
      <w:r w:rsidRPr="00762191">
        <w:rPr>
          <w:rFonts w:hint="cs"/>
          <w:sz w:val="8"/>
          <w:szCs w:val="24"/>
          <w:rtl/>
        </w:rPr>
        <w:t>المعلومات</w:t>
      </w:r>
      <w:r w:rsidRPr="00762191">
        <w:rPr>
          <w:sz w:val="8"/>
          <w:szCs w:val="24"/>
          <w:rtl/>
        </w:rPr>
        <w:t xml:space="preserve"> </w:t>
      </w:r>
      <w:r w:rsidRPr="00762191">
        <w:rPr>
          <w:rFonts w:hint="cs"/>
          <w:sz w:val="8"/>
          <w:szCs w:val="24"/>
          <w:rtl/>
        </w:rPr>
        <w:t>والاتصالات</w:t>
      </w:r>
      <w:bookmarkEnd w:id="331"/>
      <w:bookmarkEnd w:id="332"/>
    </w:p>
    <w:p w:rsidR="003E0F31" w:rsidRPr="00EF30E7" w:rsidRDefault="003E0F31" w:rsidP="00AA1D2C">
      <w:pPr>
        <w:bidi/>
        <w:spacing w:after="0"/>
        <w:jc w:val="center"/>
        <w:rPr>
          <w:rFonts w:ascii="Simplified Arabic" w:hAnsi="Simplified Arabic" w:cs="Simplified Arabic"/>
          <w:sz w:val="24"/>
          <w:szCs w:val="24"/>
          <w:rtl/>
        </w:rPr>
      </w:pPr>
      <w:r w:rsidRPr="00EF30E7">
        <w:rPr>
          <w:rFonts w:ascii="Simplified Arabic" w:hAnsi="Simplified Arabic" w:cs="Simplified Arabic" w:hint="cs"/>
          <w:sz w:val="24"/>
          <w:szCs w:val="24"/>
          <w:rtl/>
        </w:rPr>
        <w:t>المصدر:</w:t>
      </w:r>
      <w:r w:rsidRPr="00EF30E7">
        <w:rPr>
          <w:rFonts w:ascii="Simplified Arabic" w:hAnsi="Simplified Arabic" w:cs="Simplified Arabic"/>
          <w:sz w:val="24"/>
          <w:szCs w:val="24"/>
          <w:rtl/>
        </w:rPr>
        <w:t xml:space="preserve"> </w:t>
      </w:r>
      <w:r w:rsidRPr="008A222A">
        <w:rPr>
          <w:rFonts w:asciiTheme="majorBidi" w:hAnsiTheme="majorBidi" w:cstheme="majorBidi"/>
          <w:sz w:val="24"/>
          <w:szCs w:val="24"/>
        </w:rPr>
        <w:t>(</w:t>
      </w:r>
      <w:r w:rsidRPr="00206B59">
        <w:rPr>
          <w:rFonts w:asciiTheme="majorBidi" w:hAnsiTheme="majorBidi" w:cstheme="majorBidi"/>
          <w:sz w:val="24"/>
          <w:szCs w:val="24"/>
        </w:rPr>
        <w:t>Wehn</w:t>
      </w:r>
      <w:r w:rsidRPr="008A222A">
        <w:rPr>
          <w:rFonts w:asciiTheme="majorBidi" w:hAnsiTheme="majorBidi" w:cstheme="majorBidi"/>
          <w:sz w:val="24"/>
          <w:szCs w:val="24"/>
        </w:rPr>
        <w:t xml:space="preserve"> et al., 2015)</w:t>
      </w:r>
    </w:p>
    <w:p w:rsidR="003E0F31" w:rsidRDefault="003E0F31" w:rsidP="003E0F31">
      <w:pPr>
        <w:bidi/>
        <w:spacing w:line="240" w:lineRule="auto"/>
        <w:jc w:val="center"/>
        <w:rPr>
          <w:rFonts w:ascii="TimesNewRomanPSMT" w:hAnsi="TimesNewRomanPSMT" w:cs="Times New Roman"/>
          <w:sz w:val="24"/>
          <w:szCs w:val="24"/>
          <w:rtl/>
        </w:rPr>
      </w:pPr>
      <w:r>
        <w:rPr>
          <w:rFonts w:ascii="TimesNewRomanPSMT" w:hAnsi="TimesNewRomanPSMT" w:cs="Times New Roman"/>
          <w:noProof/>
          <w:sz w:val="24"/>
          <w:szCs w:val="24"/>
          <w:rtl/>
          <w:lang w:eastAsia="fr-FR"/>
        </w:rPr>
        <w:drawing>
          <wp:inline distT="0" distB="0" distL="0" distR="0" wp14:anchorId="613E6569" wp14:editId="31C54F14">
            <wp:extent cx="4482017" cy="2784010"/>
            <wp:effectExtent l="19050" t="19050" r="13970" b="16510"/>
            <wp:docPr id="126" name="Imag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TC\Desktop\cumule\7777777777.JPG"/>
                    <pic:cNvPicPr>
                      <a:picLocks noChangeAspect="1" noChangeArrowheads="1"/>
                    </pic:cNvPicPr>
                  </pic:nvPicPr>
                  <pic:blipFill>
                    <a:blip r:embed="rId111">
                      <a:extLst>
                        <a:ext uri="{28A0092B-C50C-407E-A947-70E740481C1C}">
                          <a14:useLocalDpi xmlns:a14="http://schemas.microsoft.com/office/drawing/2010/main" val="0"/>
                        </a:ext>
                      </a:extLst>
                    </a:blip>
                    <a:stretch>
                      <a:fillRect/>
                    </a:stretch>
                  </pic:blipFill>
                  <pic:spPr bwMode="auto">
                    <a:xfrm>
                      <a:off x="0" y="0"/>
                      <a:ext cx="4473264" cy="2778573"/>
                    </a:xfrm>
                    <a:prstGeom prst="rect">
                      <a:avLst/>
                    </a:prstGeom>
                    <a:noFill/>
                    <a:ln>
                      <a:solidFill>
                        <a:schemeClr val="tx1"/>
                      </a:solidFill>
                    </a:ln>
                  </pic:spPr>
                </pic:pic>
              </a:graphicData>
            </a:graphic>
          </wp:inline>
        </w:drawing>
      </w:r>
    </w:p>
    <w:p w:rsidR="003E0F31" w:rsidRDefault="00DC054D" w:rsidP="00F76D99">
      <w:pPr>
        <w:pStyle w:val="Tableau"/>
        <w:rPr>
          <w:rtl/>
          <w:lang w:bidi="ar-DZ"/>
        </w:rPr>
      </w:pPr>
      <w:bookmarkStart w:id="333" w:name="_Toc157612970"/>
      <w:bookmarkStart w:id="334" w:name="_Toc171803461"/>
      <w:r>
        <w:rPr>
          <w:rFonts w:hint="cs"/>
          <w:rtl/>
          <w:lang w:bidi="ar-DZ"/>
        </w:rPr>
        <w:t xml:space="preserve">الجدول (2-6): </w:t>
      </w:r>
      <w:r w:rsidR="003E0F31" w:rsidRPr="00264CA1">
        <w:rPr>
          <w:rFonts w:hint="cs"/>
          <w:rtl/>
          <w:lang w:bidi="ar-DZ"/>
        </w:rPr>
        <w:t>ايجابيات وسلبيات</w:t>
      </w:r>
      <w:r w:rsidR="003E0F31" w:rsidRPr="007352FC">
        <w:rPr>
          <w:rtl/>
          <w:lang w:bidi="ar-DZ"/>
        </w:rPr>
        <w:t xml:space="preserve"> </w:t>
      </w:r>
      <w:r w:rsidR="003E0F31" w:rsidRPr="007352FC">
        <w:rPr>
          <w:rFonts w:hint="cs"/>
          <w:rtl/>
          <w:lang w:bidi="ar-DZ"/>
        </w:rPr>
        <w:t>المشاركة</w:t>
      </w:r>
      <w:r w:rsidR="003E0F31" w:rsidRPr="007352FC">
        <w:rPr>
          <w:rtl/>
          <w:lang w:bidi="ar-DZ"/>
        </w:rPr>
        <w:t xml:space="preserve"> </w:t>
      </w:r>
      <w:r w:rsidR="003E0F31" w:rsidRPr="007352FC">
        <w:rPr>
          <w:rFonts w:hint="cs"/>
          <w:rtl/>
          <w:lang w:bidi="ar-DZ"/>
        </w:rPr>
        <w:t>في</w:t>
      </w:r>
      <w:r w:rsidR="003E0F31" w:rsidRPr="007352FC">
        <w:rPr>
          <w:rtl/>
          <w:lang w:bidi="ar-DZ"/>
        </w:rPr>
        <w:t xml:space="preserve"> </w:t>
      </w:r>
      <w:r w:rsidR="003E0F31" w:rsidRPr="007352FC">
        <w:rPr>
          <w:rFonts w:hint="cs"/>
          <w:rtl/>
          <w:lang w:bidi="ar-DZ"/>
        </w:rPr>
        <w:t>إدارة</w:t>
      </w:r>
      <w:r w:rsidR="003E0F31" w:rsidRPr="007352FC">
        <w:rPr>
          <w:rtl/>
          <w:lang w:bidi="ar-DZ"/>
        </w:rPr>
        <w:t xml:space="preserve"> </w:t>
      </w:r>
      <w:r w:rsidR="003E0F31" w:rsidRPr="007352FC">
        <w:rPr>
          <w:rFonts w:hint="cs"/>
          <w:rtl/>
          <w:lang w:bidi="ar-DZ"/>
        </w:rPr>
        <w:t>مخاطر</w:t>
      </w:r>
      <w:r w:rsidR="003E0F31" w:rsidRPr="007352FC">
        <w:rPr>
          <w:rtl/>
          <w:lang w:bidi="ar-DZ"/>
        </w:rPr>
        <w:t xml:space="preserve"> </w:t>
      </w:r>
      <w:r w:rsidR="003E0F31" w:rsidRPr="007352FC">
        <w:rPr>
          <w:rFonts w:hint="cs"/>
          <w:rtl/>
          <w:lang w:bidi="ar-DZ"/>
        </w:rPr>
        <w:t>الفيضانات</w:t>
      </w:r>
      <w:r w:rsidR="003E0F31" w:rsidRPr="007352FC">
        <w:rPr>
          <w:rtl/>
          <w:lang w:bidi="ar-DZ"/>
        </w:rPr>
        <w:t xml:space="preserve"> </w:t>
      </w:r>
      <w:r w:rsidR="003E0F31" w:rsidRPr="007352FC">
        <w:rPr>
          <w:rFonts w:hint="cs"/>
          <w:rtl/>
          <w:lang w:bidi="ar-DZ"/>
        </w:rPr>
        <w:t>وإمكانات</w:t>
      </w:r>
      <w:r w:rsidR="003E0F31" w:rsidRPr="007352FC">
        <w:rPr>
          <w:rtl/>
          <w:lang w:bidi="ar-DZ"/>
        </w:rPr>
        <w:t xml:space="preserve"> </w:t>
      </w:r>
      <w:r w:rsidR="003E0F31" w:rsidRPr="007352FC">
        <w:rPr>
          <w:rFonts w:hint="cs"/>
          <w:rtl/>
          <w:lang w:bidi="ar-DZ"/>
        </w:rPr>
        <w:t>مراصد</w:t>
      </w:r>
      <w:r w:rsidR="003E0F31" w:rsidRPr="007352FC">
        <w:rPr>
          <w:rtl/>
          <w:lang w:bidi="ar-DZ"/>
        </w:rPr>
        <w:t xml:space="preserve"> </w:t>
      </w:r>
      <w:r w:rsidR="003E0F31" w:rsidRPr="007352FC">
        <w:rPr>
          <w:rFonts w:hint="cs"/>
          <w:rtl/>
          <w:lang w:bidi="ar-DZ"/>
        </w:rPr>
        <w:t>المواطنين</w:t>
      </w:r>
      <w:bookmarkEnd w:id="333"/>
      <w:bookmarkEnd w:id="334"/>
    </w:p>
    <w:p w:rsidR="00597092" w:rsidRPr="00597092" w:rsidRDefault="00597092" w:rsidP="00597092">
      <w:pPr>
        <w:pStyle w:val="fegure"/>
        <w:rPr>
          <w:sz w:val="8"/>
          <w:szCs w:val="24"/>
          <w:rtl/>
          <w:lang w:val="en-US"/>
        </w:rPr>
      </w:pPr>
      <w:bookmarkStart w:id="335" w:name="_Toc171803462"/>
      <w:r>
        <w:rPr>
          <w:rFonts w:hint="cs"/>
          <w:sz w:val="8"/>
          <w:szCs w:val="24"/>
          <w:rtl/>
          <w:lang w:val="en-US"/>
        </w:rPr>
        <w:t>المصدر: (الباحث، 2022)</w:t>
      </w:r>
      <w:bookmarkEnd w:id="335"/>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8"/>
        <w:gridCol w:w="4119"/>
      </w:tblGrid>
      <w:tr w:rsidR="003E0F31" w:rsidRPr="00CE6E23" w:rsidTr="001E12D7">
        <w:trPr>
          <w:jc w:val="center"/>
        </w:trPr>
        <w:tc>
          <w:tcPr>
            <w:tcW w:w="4118" w:type="dxa"/>
            <w:vAlign w:val="center"/>
          </w:tcPr>
          <w:p w:rsidR="003E0F31" w:rsidRPr="00CE6E23" w:rsidRDefault="003E0F31" w:rsidP="001E12D7">
            <w:pPr>
              <w:bidi/>
              <w:spacing w:after="0" w:line="240" w:lineRule="auto"/>
              <w:jc w:val="center"/>
              <w:rPr>
                <w:rFonts w:ascii="Simplified Arabic" w:hAnsi="Simplified Arabic" w:cs="Simplified Arabic"/>
                <w:sz w:val="24"/>
                <w:szCs w:val="24"/>
                <w:rtl/>
                <w:lang w:bidi="ar-DZ"/>
              </w:rPr>
            </w:pPr>
            <w:r w:rsidRPr="00CE6E23">
              <w:rPr>
                <w:rFonts w:ascii="Simplified Arabic" w:hAnsi="Simplified Arabic" w:cs="Simplified Arabic"/>
                <w:sz w:val="24"/>
                <w:szCs w:val="24"/>
                <w:rtl/>
                <w:lang w:bidi="ar-DZ"/>
              </w:rPr>
              <w:t>الايجابيات</w:t>
            </w:r>
          </w:p>
        </w:tc>
        <w:tc>
          <w:tcPr>
            <w:tcW w:w="4119" w:type="dxa"/>
            <w:vAlign w:val="center"/>
          </w:tcPr>
          <w:p w:rsidR="003E0F31" w:rsidRPr="00CE6E23" w:rsidRDefault="003E0F31" w:rsidP="001E12D7">
            <w:pPr>
              <w:bidi/>
              <w:spacing w:after="0" w:line="240" w:lineRule="auto"/>
              <w:jc w:val="center"/>
              <w:rPr>
                <w:rFonts w:ascii="Simplified Arabic" w:hAnsi="Simplified Arabic" w:cs="Simplified Arabic"/>
                <w:sz w:val="24"/>
                <w:szCs w:val="24"/>
                <w:rtl/>
                <w:lang w:bidi="ar-DZ"/>
              </w:rPr>
            </w:pPr>
            <w:r w:rsidRPr="00CE6E23">
              <w:rPr>
                <w:rFonts w:ascii="Simplified Arabic" w:hAnsi="Simplified Arabic" w:cs="Simplified Arabic"/>
                <w:sz w:val="24"/>
                <w:szCs w:val="24"/>
                <w:rtl/>
                <w:lang w:bidi="ar-DZ"/>
              </w:rPr>
              <w:t>السلبيات</w:t>
            </w:r>
          </w:p>
        </w:tc>
      </w:tr>
      <w:tr w:rsidR="003E0F31" w:rsidRPr="00CE6E23" w:rsidTr="001E12D7">
        <w:trPr>
          <w:jc w:val="center"/>
        </w:trPr>
        <w:tc>
          <w:tcPr>
            <w:tcW w:w="4118" w:type="dxa"/>
          </w:tcPr>
          <w:p w:rsidR="003E0F31"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EF30E7">
              <w:rPr>
                <w:rFonts w:ascii="Simplified Arabic" w:hAnsi="Simplified Arabic" w:cs="Simplified Arabic" w:hint="cs"/>
                <w:sz w:val="24"/>
                <w:szCs w:val="24"/>
                <w:rtl/>
              </w:rPr>
              <w:t>المشاركة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المباشرة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لمجتمعات</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المستخدمين</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في</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عملية</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جمع</w:t>
            </w:r>
            <w:r w:rsidRPr="00EF30E7">
              <w:rPr>
                <w:rFonts w:ascii="Simplified Arabic" w:hAnsi="Simplified Arabic" w:cs="Simplified Arabic"/>
                <w:sz w:val="24"/>
                <w:szCs w:val="24"/>
                <w:rtl/>
              </w:rPr>
              <w:t xml:space="preserve"> </w:t>
            </w:r>
            <w:r w:rsidRPr="00EF30E7">
              <w:rPr>
                <w:rFonts w:ascii="Simplified Arabic" w:hAnsi="Simplified Arabic" w:cs="Simplified Arabic" w:hint="cs"/>
                <w:sz w:val="24"/>
                <w:szCs w:val="24"/>
                <w:rtl/>
              </w:rPr>
              <w:t>البيانات</w:t>
            </w:r>
            <w:r w:rsidRPr="00CE6E23">
              <w:rPr>
                <w:rFonts w:ascii="Simplified Arabic" w:hAnsi="Simplified Arabic" w:cs="Simplified Arabic"/>
                <w:sz w:val="24"/>
                <w:szCs w:val="24"/>
                <w:rtl/>
                <w:lang w:bidi="ar-DZ"/>
              </w:rPr>
              <w:t xml:space="preserve"> </w:t>
            </w:r>
          </w:p>
          <w:p w:rsidR="003E0F31" w:rsidRPr="00CE6E23" w:rsidRDefault="003E0F31" w:rsidP="001E12D7">
            <w:pPr>
              <w:bidi/>
              <w:spacing w:after="0" w:line="240" w:lineRule="auto"/>
              <w:jc w:val="both"/>
              <w:rPr>
                <w:rFonts w:ascii="Simplified Arabic" w:hAnsi="Simplified Arabic" w:cs="Simplified Arabic"/>
                <w:sz w:val="24"/>
                <w:szCs w:val="24"/>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CE6E23">
              <w:rPr>
                <w:rFonts w:ascii="Simplified Arabic" w:hAnsi="Simplified Arabic" w:cs="Simplified Arabic"/>
                <w:sz w:val="24"/>
                <w:szCs w:val="24"/>
                <w:rtl/>
                <w:lang w:bidi="ar-DZ"/>
              </w:rPr>
              <w:t>وضع المواجهة بين الفاعلين السياسيين والمواطنين في قضية مخاطر الفيضانات</w:t>
            </w:r>
          </w:p>
          <w:p w:rsidR="003E0F31" w:rsidRPr="00CE6E23"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CE6E23">
              <w:rPr>
                <w:rFonts w:ascii="Simplified Arabic" w:hAnsi="Simplified Arabic" w:cs="Simplified Arabic"/>
                <w:sz w:val="24"/>
                <w:szCs w:val="24"/>
                <w:rtl/>
                <w:lang w:bidi="ar-DZ"/>
              </w:rPr>
              <w:t xml:space="preserve">إبراز الحاجة إلى </w:t>
            </w:r>
            <w:r>
              <w:rPr>
                <w:rFonts w:ascii="Simplified Arabic" w:hAnsi="Simplified Arabic" w:cs="Simplified Arabic" w:hint="cs"/>
                <w:sz w:val="24"/>
                <w:szCs w:val="24"/>
                <w:rtl/>
                <w:lang w:bidi="ar-DZ"/>
              </w:rPr>
              <w:t>ال</w:t>
            </w:r>
            <w:r w:rsidRPr="00CE6E23">
              <w:rPr>
                <w:rFonts w:ascii="Simplified Arabic" w:hAnsi="Simplified Arabic" w:cs="Simplified Arabic"/>
                <w:sz w:val="24"/>
                <w:szCs w:val="24"/>
                <w:rtl/>
                <w:lang w:bidi="ar-DZ"/>
              </w:rPr>
              <w:t xml:space="preserve">فهم </w:t>
            </w:r>
            <w:r>
              <w:rPr>
                <w:rFonts w:ascii="Simplified Arabic" w:hAnsi="Simplified Arabic" w:cs="Simplified Arabic" w:hint="cs"/>
                <w:sz w:val="24"/>
                <w:szCs w:val="24"/>
                <w:rtl/>
                <w:lang w:bidi="ar-DZ"/>
              </w:rPr>
              <w:t>وال</w:t>
            </w:r>
            <w:r w:rsidRPr="00CE6E23">
              <w:rPr>
                <w:rFonts w:ascii="Simplified Arabic" w:hAnsi="Simplified Arabic" w:cs="Simplified Arabic"/>
                <w:sz w:val="24"/>
                <w:szCs w:val="24"/>
                <w:rtl/>
                <w:lang w:bidi="ar-DZ"/>
              </w:rPr>
              <w:t>إدراك الصحيح للمخاطر</w:t>
            </w:r>
          </w:p>
        </w:tc>
        <w:tc>
          <w:tcPr>
            <w:tcW w:w="4119" w:type="dxa"/>
          </w:tcPr>
          <w:p w:rsidR="003E0F31" w:rsidRPr="00CE6E23" w:rsidRDefault="003E0F31" w:rsidP="001E12D7">
            <w:pPr>
              <w:bidi/>
              <w:spacing w:after="0" w:line="240" w:lineRule="auto"/>
              <w:jc w:val="both"/>
              <w:rPr>
                <w:rFonts w:ascii="Simplified Arabic" w:hAnsi="Simplified Arabic" w:cs="Simplified Arabic"/>
                <w:sz w:val="24"/>
                <w:szCs w:val="24"/>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CE6E23">
              <w:rPr>
                <w:rFonts w:ascii="Simplified Arabic" w:hAnsi="Simplified Arabic" w:cs="Simplified Arabic"/>
                <w:sz w:val="24"/>
                <w:szCs w:val="24"/>
                <w:rtl/>
                <w:lang w:bidi="ar-DZ"/>
              </w:rPr>
              <w:t>لم يتم تقديم مشورة لتطوير نهج تشاركي أو تعاوني</w:t>
            </w:r>
          </w:p>
          <w:p w:rsidR="003E0F31" w:rsidRPr="00CE6E23" w:rsidRDefault="003E0F31" w:rsidP="001E12D7">
            <w:pPr>
              <w:bidi/>
              <w:spacing w:after="0" w:line="240" w:lineRule="auto"/>
              <w:jc w:val="both"/>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CE6E23">
              <w:rPr>
                <w:rFonts w:ascii="Simplified Arabic" w:hAnsi="Simplified Arabic" w:cs="Simplified Arabic"/>
                <w:sz w:val="24"/>
                <w:szCs w:val="24"/>
                <w:rtl/>
                <w:lang w:bidi="ar-DZ"/>
              </w:rPr>
              <w:t>نهج يقتصر على وصف وتحليل العمليات دون اتخاذ أي إجراء</w:t>
            </w:r>
            <w:r>
              <w:rPr>
                <w:rFonts w:ascii="Simplified Arabic" w:hAnsi="Simplified Arabic" w:cs="Simplified Arabic" w:hint="cs"/>
                <w:sz w:val="24"/>
                <w:szCs w:val="24"/>
                <w:rtl/>
                <w:lang w:bidi="ar-DZ"/>
              </w:rPr>
              <w:t>.</w:t>
            </w:r>
          </w:p>
          <w:p w:rsidR="003E0F31" w:rsidRPr="00CE6E23" w:rsidRDefault="003E0F31" w:rsidP="001E12D7">
            <w:pPr>
              <w:bidi/>
              <w:spacing w:after="0" w:line="240" w:lineRule="auto"/>
              <w:rPr>
                <w:rFonts w:ascii="Simplified Arabic" w:hAnsi="Simplified Arabic" w:cs="Simplified Arabic"/>
                <w:sz w:val="24"/>
                <w:szCs w:val="24"/>
                <w:rtl/>
                <w:lang w:bidi="ar-DZ"/>
              </w:rPr>
            </w:pPr>
          </w:p>
        </w:tc>
      </w:tr>
    </w:tbl>
    <w:p w:rsidR="003E0F31" w:rsidRPr="000B78E3" w:rsidRDefault="003E0F31" w:rsidP="001C0313">
      <w:pPr>
        <w:pStyle w:val="Paragraphedeliste"/>
        <w:numPr>
          <w:ilvl w:val="1"/>
          <w:numId w:val="208"/>
        </w:numPr>
        <w:tabs>
          <w:tab w:val="right" w:pos="567"/>
        </w:tabs>
        <w:bidi/>
        <w:spacing w:before="240" w:after="0"/>
        <w:ind w:left="0" w:firstLine="0"/>
        <w:outlineLvl w:val="0"/>
        <w:rPr>
          <w:rFonts w:ascii="Simplified Arabic" w:hAnsi="Simplified Arabic" w:cs="Simplified Arabic"/>
          <w:b/>
          <w:bCs/>
          <w:sz w:val="24"/>
          <w:szCs w:val="24"/>
          <w:lang w:val="en-US"/>
        </w:rPr>
      </w:pPr>
      <w:bookmarkStart w:id="336" w:name="_Toc171803463"/>
      <w:r>
        <w:rPr>
          <w:rFonts w:ascii="Simplified Arabic" w:hAnsi="Simplified Arabic" w:cs="Simplified Arabic" w:hint="cs"/>
          <w:b/>
          <w:bCs/>
          <w:sz w:val="24"/>
          <w:szCs w:val="24"/>
          <w:rtl/>
          <w:lang w:val="en-US" w:bidi="ar-DZ"/>
        </w:rPr>
        <w:t>ال</w:t>
      </w:r>
      <w:r w:rsidRPr="000B78E3">
        <w:rPr>
          <w:rFonts w:ascii="Simplified Arabic" w:hAnsi="Simplified Arabic" w:cs="Simplified Arabic"/>
          <w:b/>
          <w:bCs/>
          <w:sz w:val="24"/>
          <w:szCs w:val="24"/>
          <w:rtl/>
          <w:lang w:val="en-US"/>
        </w:rPr>
        <w:t>نمذج</w:t>
      </w:r>
      <w:r w:rsidRPr="000B78E3">
        <w:rPr>
          <w:rFonts w:ascii="Simplified Arabic" w:hAnsi="Simplified Arabic" w:cs="Simplified Arabic" w:hint="cs"/>
          <w:b/>
          <w:bCs/>
          <w:sz w:val="24"/>
          <w:szCs w:val="24"/>
          <w:rtl/>
          <w:lang w:val="en-US"/>
        </w:rPr>
        <w:t>ة</w:t>
      </w:r>
      <w:r w:rsidRPr="000B78E3">
        <w:rPr>
          <w:rFonts w:ascii="Simplified Arabic" w:hAnsi="Simplified Arabic" w:cs="Simplified Arabic"/>
          <w:b/>
          <w:bCs/>
          <w:sz w:val="24"/>
          <w:szCs w:val="24"/>
          <w:rtl/>
          <w:lang w:val="en-US"/>
        </w:rPr>
        <w:t xml:space="preserve"> </w:t>
      </w:r>
      <w:r>
        <w:rPr>
          <w:rFonts w:ascii="Simplified Arabic" w:hAnsi="Simplified Arabic" w:cs="Simplified Arabic" w:hint="cs"/>
          <w:b/>
          <w:bCs/>
          <w:sz w:val="24"/>
          <w:szCs w:val="24"/>
          <w:rtl/>
          <w:lang w:val="en-US"/>
        </w:rPr>
        <w:t>المكانية ل</w:t>
      </w:r>
      <w:r w:rsidRPr="000B78E3">
        <w:rPr>
          <w:rFonts w:ascii="Simplified Arabic" w:hAnsi="Simplified Arabic" w:cs="Simplified Arabic"/>
          <w:b/>
          <w:bCs/>
          <w:sz w:val="24"/>
          <w:szCs w:val="24"/>
          <w:rtl/>
          <w:lang w:val="en-US"/>
        </w:rPr>
        <w:t>لمرونة</w:t>
      </w:r>
      <w:bookmarkEnd w:id="336"/>
    </w:p>
    <w:p w:rsidR="003E0F31" w:rsidRPr="007F4B85" w:rsidRDefault="003E0F31" w:rsidP="001C0313">
      <w:pPr>
        <w:pStyle w:val="Paragraphedeliste"/>
        <w:numPr>
          <w:ilvl w:val="2"/>
          <w:numId w:val="118"/>
        </w:numPr>
        <w:tabs>
          <w:tab w:val="right" w:pos="850"/>
        </w:tabs>
        <w:bidi/>
        <w:spacing w:after="0"/>
        <w:ind w:left="0" w:firstLine="0"/>
        <w:outlineLvl w:val="1"/>
        <w:rPr>
          <w:rFonts w:ascii="Simplified Arabic" w:hAnsi="Simplified Arabic" w:cs="Simplified Arabic"/>
          <w:b/>
          <w:bCs/>
          <w:sz w:val="24"/>
          <w:szCs w:val="24"/>
          <w:lang w:val="en-US"/>
        </w:rPr>
      </w:pPr>
      <w:bookmarkStart w:id="337" w:name="_Toc171803464"/>
      <w:r w:rsidRPr="007F4B85">
        <w:rPr>
          <w:rFonts w:ascii="Simplified Arabic" w:hAnsi="Simplified Arabic" w:cs="Simplified Arabic" w:hint="cs"/>
          <w:b/>
          <w:bCs/>
          <w:sz w:val="24"/>
          <w:szCs w:val="24"/>
          <w:rtl/>
          <w:lang w:val="en-US"/>
        </w:rPr>
        <w:t>فائدة</w:t>
      </w:r>
      <w:r w:rsidRPr="007F4B85">
        <w:rPr>
          <w:rFonts w:ascii="Simplified Arabic" w:hAnsi="Simplified Arabic" w:cs="Simplified Arabic"/>
          <w:b/>
          <w:bCs/>
          <w:sz w:val="24"/>
          <w:szCs w:val="24"/>
          <w:rtl/>
          <w:lang w:val="en-US"/>
        </w:rPr>
        <w:t xml:space="preserve"> </w:t>
      </w:r>
      <w:r w:rsidRPr="007F4B85">
        <w:rPr>
          <w:rFonts w:ascii="Simplified Arabic" w:hAnsi="Simplified Arabic" w:cs="Simplified Arabic" w:hint="cs"/>
          <w:b/>
          <w:bCs/>
          <w:sz w:val="24"/>
          <w:szCs w:val="24"/>
          <w:rtl/>
          <w:lang w:val="en-US"/>
        </w:rPr>
        <w:t>أنظمة</w:t>
      </w:r>
      <w:r w:rsidRPr="007F4B85">
        <w:rPr>
          <w:rFonts w:ascii="Simplified Arabic" w:hAnsi="Simplified Arabic" w:cs="Simplified Arabic"/>
          <w:b/>
          <w:bCs/>
          <w:sz w:val="24"/>
          <w:szCs w:val="24"/>
          <w:rtl/>
          <w:lang w:val="en-US"/>
        </w:rPr>
        <w:t xml:space="preserve"> </w:t>
      </w:r>
      <w:r w:rsidRPr="007F4B85">
        <w:rPr>
          <w:rFonts w:ascii="Simplified Arabic" w:hAnsi="Simplified Arabic" w:cs="Simplified Arabic" w:hint="cs"/>
          <w:b/>
          <w:bCs/>
          <w:sz w:val="24"/>
          <w:szCs w:val="24"/>
          <w:rtl/>
          <w:lang w:val="en-US"/>
        </w:rPr>
        <w:t>دعم</w:t>
      </w:r>
      <w:r w:rsidRPr="007F4B85">
        <w:rPr>
          <w:rFonts w:ascii="Simplified Arabic" w:hAnsi="Simplified Arabic" w:cs="Simplified Arabic"/>
          <w:b/>
          <w:bCs/>
          <w:sz w:val="24"/>
          <w:szCs w:val="24"/>
          <w:rtl/>
          <w:lang w:val="en-US"/>
        </w:rPr>
        <w:t xml:space="preserve"> </w:t>
      </w:r>
      <w:r w:rsidRPr="007F4B85">
        <w:rPr>
          <w:rFonts w:ascii="Simplified Arabic" w:hAnsi="Simplified Arabic" w:cs="Simplified Arabic" w:hint="cs"/>
          <w:b/>
          <w:bCs/>
          <w:sz w:val="24"/>
          <w:szCs w:val="24"/>
          <w:rtl/>
          <w:lang w:val="en-US"/>
        </w:rPr>
        <w:t>القرار</w:t>
      </w:r>
      <w:r w:rsidRPr="007F4B85">
        <w:rPr>
          <w:rFonts w:ascii="Simplified Arabic" w:hAnsi="Simplified Arabic" w:cs="Simplified Arabic"/>
          <w:b/>
          <w:bCs/>
          <w:sz w:val="24"/>
          <w:szCs w:val="24"/>
          <w:rtl/>
          <w:lang w:val="en-US"/>
        </w:rPr>
        <w:t xml:space="preserve"> </w:t>
      </w:r>
      <w:r w:rsidRPr="007F4B85">
        <w:rPr>
          <w:rFonts w:ascii="Simplified Arabic" w:hAnsi="Simplified Arabic" w:cs="Simplified Arabic" w:hint="cs"/>
          <w:b/>
          <w:bCs/>
          <w:sz w:val="24"/>
          <w:szCs w:val="24"/>
          <w:rtl/>
          <w:lang w:val="en-US"/>
        </w:rPr>
        <w:t>المكاني</w:t>
      </w:r>
      <w:bookmarkEnd w:id="337"/>
    </w:p>
    <w:p w:rsidR="003E0F31" w:rsidRDefault="003E0F31" w:rsidP="003E0F31">
      <w:pPr>
        <w:tabs>
          <w:tab w:val="right" w:pos="281"/>
        </w:tabs>
        <w:bidi/>
        <w:spacing w:after="0"/>
        <w:ind w:firstLine="283"/>
        <w:jc w:val="both"/>
        <w:rPr>
          <w:rFonts w:ascii="Simplified Arabic" w:eastAsia="Times New Roman" w:hAnsi="Simplified Arabic" w:cs="Simplified Arabic"/>
          <w:b/>
          <w:sz w:val="24"/>
          <w:szCs w:val="24"/>
          <w:rtl/>
          <w:lang w:val="en-US" w:eastAsia="fr-FR"/>
        </w:rPr>
      </w:pPr>
      <w:r w:rsidRPr="00206B59">
        <w:rPr>
          <w:rFonts w:ascii="Simplified Arabic" w:eastAsia="Times New Roman" w:hAnsi="Simplified Arabic" w:cs="Simplified Arabic"/>
          <w:b/>
          <w:sz w:val="24"/>
          <w:szCs w:val="24"/>
          <w:rtl/>
          <w:lang w:val="en-US" w:eastAsia="fr-FR"/>
        </w:rPr>
        <w:t xml:space="preserve">يعد </w:t>
      </w:r>
      <w:r w:rsidRPr="00206B59">
        <w:rPr>
          <w:rFonts w:ascii="Simplified Arabic" w:eastAsia="Times New Roman" w:hAnsi="Simplified Arabic" w:cs="Simplified Arabic" w:hint="cs"/>
          <w:b/>
          <w:sz w:val="24"/>
          <w:szCs w:val="24"/>
          <w:rtl/>
          <w:lang w:val="en-US" w:eastAsia="fr-FR"/>
        </w:rPr>
        <w:t>مفهوم</w:t>
      </w:r>
      <w:r w:rsidRPr="00206B59">
        <w:rPr>
          <w:rFonts w:ascii="Simplified Arabic" w:eastAsia="Times New Roman" w:hAnsi="Simplified Arabic" w:cs="Simplified Arabic"/>
          <w:b/>
          <w:sz w:val="24"/>
          <w:szCs w:val="24"/>
          <w:rtl/>
          <w:lang w:val="en-US" w:eastAsia="fr-FR"/>
        </w:rPr>
        <w:t xml:space="preserve"> المرونة مسعى متعدد الأبعاد</w:t>
      </w:r>
      <w:r w:rsidRPr="00206B59">
        <w:rPr>
          <w:rFonts w:ascii="Simplified Arabic" w:eastAsia="Times New Roman" w:hAnsi="Simplified Arabic" w:cs="Simplified Arabic" w:hint="cs"/>
          <w:b/>
          <w:sz w:val="24"/>
          <w:szCs w:val="24"/>
          <w:rtl/>
          <w:lang w:val="en-US" w:eastAsia="fr-FR"/>
        </w:rPr>
        <w:t xml:space="preserve">، مما يجعل الأمر معقد للغاية ويصعب العثور على طريقة مناسبة لتفعيلها </w:t>
      </w:r>
      <w:r w:rsidRPr="00206B59">
        <w:rPr>
          <w:rFonts w:ascii="Times New Roman" w:eastAsia="CharisSIL" w:hAnsi="Times New Roman" w:cs="Times New Roman" w:hint="cs"/>
          <w:sz w:val="24"/>
          <w:szCs w:val="24"/>
          <w:rtl/>
        </w:rPr>
        <w:t>(</w:t>
      </w:r>
      <w:r w:rsidRPr="00206B59">
        <w:rPr>
          <w:rFonts w:ascii="Times New Roman" w:eastAsia="CharisSIL" w:hAnsi="Times New Roman" w:cs="Times New Roman"/>
          <w:sz w:val="24"/>
          <w:szCs w:val="24"/>
        </w:rPr>
        <w:t>De Roo and Silva, 2010</w:t>
      </w:r>
      <w:r w:rsidRPr="00206B59">
        <w:rPr>
          <w:rFonts w:ascii="Simplified Arabic" w:eastAsia="Times New Roman" w:hAnsi="Simplified Arabic" w:cs="Simplified Arabic" w:hint="cs"/>
          <w:b/>
          <w:color w:val="000000"/>
          <w:sz w:val="24"/>
          <w:szCs w:val="24"/>
          <w:rtl/>
          <w:lang w:eastAsia="fr-FR"/>
        </w:rPr>
        <w:t>). ويكون اكثر تعقيدًا لدى مسيري الشأن الحضري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المحليين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للتعامل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معه</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وتفعيله،</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لذلك</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إنشاء</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العديد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الأدوات و التقنيات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لتبسيط</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هذا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المفهوم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وتعريفه</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وقياسه</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ومحاولة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تفعيله</w:t>
      </w:r>
      <w:r w:rsidRPr="00206B59">
        <w:rPr>
          <w:rFonts w:ascii="Simplified Arabic" w:eastAsia="Times New Roman" w:hAnsi="Simplified Arabic" w:cs="Simplified Arabic"/>
          <w:b/>
          <w:sz w:val="24"/>
          <w:szCs w:val="24"/>
          <w:rtl/>
          <w:lang w:val="en-US" w:eastAsia="fr-FR"/>
        </w:rPr>
        <w:t>.</w:t>
      </w:r>
      <w:r w:rsidRPr="00206B59">
        <w:rPr>
          <w:rFonts w:hint="cs"/>
          <w:rtl/>
        </w:rPr>
        <w:t xml:space="preserve"> </w:t>
      </w:r>
    </w:p>
    <w:p w:rsidR="003E0F31" w:rsidRDefault="003E0F31" w:rsidP="00F06E46">
      <w:pPr>
        <w:tabs>
          <w:tab w:val="right" w:pos="281"/>
        </w:tabs>
        <w:bidi/>
        <w:spacing w:after="0"/>
        <w:ind w:firstLine="283"/>
        <w:jc w:val="both"/>
        <w:rPr>
          <w:rFonts w:ascii="Arial" w:hAnsi="Arial"/>
          <w:sz w:val="24"/>
          <w:szCs w:val="24"/>
          <w:lang w:val="en-US"/>
        </w:rPr>
      </w:pPr>
      <w:r w:rsidRPr="00206B59">
        <w:rPr>
          <w:rFonts w:ascii="Simplified Arabic" w:eastAsia="Times New Roman" w:hAnsi="Simplified Arabic" w:cs="Simplified Arabic" w:hint="cs"/>
          <w:b/>
          <w:sz w:val="24"/>
          <w:szCs w:val="24"/>
          <w:rtl/>
          <w:lang w:val="en-US" w:eastAsia="fr-FR"/>
        </w:rPr>
        <w:t>صرح</w:t>
      </w:r>
      <w:r w:rsidRPr="00206B59">
        <w:rPr>
          <w:rFonts w:ascii="Simplified Arabic" w:eastAsia="Times New Roman" w:hAnsi="Simplified Arabic" w:cs="Simplified Arabic"/>
          <w:b/>
          <w:sz w:val="24"/>
          <w:szCs w:val="24"/>
          <w:rtl/>
          <w:lang w:val="en-US" w:eastAsia="fr-FR"/>
        </w:rPr>
        <w:t xml:space="preserve"> </w:t>
      </w:r>
      <w:r w:rsidRPr="00206B59">
        <w:rPr>
          <w:rFonts w:ascii="Times New Roman" w:eastAsia="CharisSIL" w:hAnsi="Times New Roman" w:cs="Times New Roman" w:hint="cs"/>
          <w:sz w:val="24"/>
          <w:szCs w:val="24"/>
          <w:rtl/>
        </w:rPr>
        <w:t>(</w:t>
      </w:r>
      <w:r w:rsidRPr="00206B59">
        <w:rPr>
          <w:rFonts w:ascii="Times New Roman" w:eastAsia="CharisSIL" w:hAnsi="Times New Roman" w:cs="Times New Roman"/>
          <w:sz w:val="24"/>
          <w:szCs w:val="24"/>
        </w:rPr>
        <w:t>Roy, 19</w:t>
      </w:r>
      <w:r w:rsidR="00F06E46" w:rsidRPr="00206B59">
        <w:rPr>
          <w:rFonts w:ascii="Times New Roman" w:eastAsia="CharisSIL" w:hAnsi="Times New Roman" w:cs="Times New Roman"/>
          <w:sz w:val="24"/>
          <w:szCs w:val="24"/>
        </w:rPr>
        <w:t>85</w:t>
      </w:r>
      <w:r w:rsidRPr="00206B59">
        <w:rPr>
          <w:rFonts w:ascii="Times New Roman" w:eastAsia="CharisSIL" w:hAnsi="Times New Roman" w:cs="Times New Roman" w:hint="cs"/>
          <w:sz w:val="24"/>
          <w:szCs w:val="24"/>
          <w:rtl/>
        </w:rPr>
        <w:t>)</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بوضوح</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أنه</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عملية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صنع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متعددة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يتمثل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الهدف</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الرئيسي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ايجاد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الحلول،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ولكن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بناء</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أو</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إنشاء</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أداة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تعتبر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مفيدة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نظر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الممثل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المشارك</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عملية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صنع القرار''</w:t>
      </w:r>
      <w:r w:rsidRPr="00206B59">
        <w:rPr>
          <w:rFonts w:ascii="Simplified Arabic" w:eastAsia="Times New Roman" w:hAnsi="Simplified Arabic" w:cs="Simplified Arabic"/>
          <w:b/>
          <w:sz w:val="24"/>
          <w:szCs w:val="24"/>
          <w:rtl/>
          <w:lang w:val="en-US" w:eastAsia="fr-FR"/>
        </w:rPr>
        <w:t>.</w:t>
      </w:r>
      <w:r w:rsidRPr="00206B59">
        <w:rPr>
          <w:rFonts w:ascii="Simplified Arabic" w:eastAsia="Times New Roman" w:hAnsi="Simplified Arabic" w:cs="Simplified Arabic" w:hint="cs"/>
          <w:b/>
          <w:sz w:val="24"/>
          <w:szCs w:val="24"/>
          <w:rtl/>
          <w:lang w:val="en-US" w:eastAsia="fr-FR"/>
        </w:rPr>
        <w:t xml:space="preserve"> تتكون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عملية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صنع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عدة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بدائل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محتملة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مجموعة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محددة،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وفقًا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لثلاثة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أنواع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المشكلات: 1</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اختيار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أفضل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بديل،</w:t>
      </w:r>
      <w:r w:rsidRPr="00206B59">
        <w:rPr>
          <w:rFonts w:ascii="Simplified Arabic" w:eastAsia="Times New Roman" w:hAnsi="Simplified Arabic" w:cs="Simplified Arabic"/>
          <w:b/>
          <w:sz w:val="24"/>
          <w:szCs w:val="24"/>
          <w:rtl/>
          <w:lang w:val="en-US" w:eastAsia="fr-FR"/>
        </w:rPr>
        <w:t xml:space="preserve"> 2) </w:t>
      </w:r>
      <w:r w:rsidRPr="00206B59">
        <w:rPr>
          <w:rFonts w:ascii="Simplified Arabic" w:eastAsia="Times New Roman" w:hAnsi="Simplified Arabic" w:cs="Simplified Arabic" w:hint="cs"/>
          <w:b/>
          <w:sz w:val="24"/>
          <w:szCs w:val="24"/>
          <w:rtl/>
          <w:lang w:val="en-US" w:eastAsia="fr-FR"/>
        </w:rPr>
        <w:t>فرز</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البدائل،</w:t>
      </w:r>
      <w:r w:rsidRPr="00206B59">
        <w:rPr>
          <w:rFonts w:ascii="Simplified Arabic" w:eastAsia="Times New Roman" w:hAnsi="Simplified Arabic" w:cs="Simplified Arabic"/>
          <w:b/>
          <w:sz w:val="24"/>
          <w:szCs w:val="24"/>
          <w:rtl/>
          <w:lang w:val="en-US" w:eastAsia="fr-FR"/>
        </w:rPr>
        <w:t xml:space="preserve"> 3) </w:t>
      </w:r>
      <w:r w:rsidRPr="00206B59">
        <w:rPr>
          <w:rFonts w:ascii="Simplified Arabic" w:eastAsia="Times New Roman" w:hAnsi="Simplified Arabic" w:cs="Simplified Arabic" w:hint="cs"/>
          <w:b/>
          <w:sz w:val="24"/>
          <w:szCs w:val="24"/>
          <w:rtl/>
          <w:lang w:val="en-US" w:eastAsia="fr-FR"/>
        </w:rPr>
        <w:t>ترتيب</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البدائل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وفقًا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لترتيب</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الأفضلية</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Cs/>
          <w:sz w:val="24"/>
          <w:szCs w:val="24"/>
          <w:lang w:eastAsia="fr-FR"/>
        </w:rPr>
        <w:t>( Carladous et al., 2019)</w:t>
      </w:r>
      <w:r w:rsidRPr="00206B59">
        <w:rPr>
          <w:rFonts w:ascii="Simplified Arabic" w:eastAsia="Times New Roman" w:hAnsi="Simplified Arabic" w:cs="Simplified Arabic"/>
          <w:b/>
          <w:sz w:val="24"/>
          <w:szCs w:val="24"/>
          <w:rtl/>
          <w:lang w:val="en-US" w:eastAsia="fr-FR"/>
        </w:rPr>
        <w:t>.</w:t>
      </w:r>
      <w:r w:rsidRPr="00206B59">
        <w:rPr>
          <w:rFonts w:ascii="Simplified Arabic" w:eastAsia="Times New Roman" w:hAnsi="Simplified Arabic" w:cs="Simplified Arabic" w:hint="cs"/>
          <w:b/>
          <w:sz w:val="24"/>
          <w:szCs w:val="24"/>
          <w:rtl/>
          <w:lang w:val="en-US" w:eastAsia="fr-FR"/>
        </w:rPr>
        <w:t xml:space="preserve"> </w:t>
      </w:r>
    </w:p>
    <w:p w:rsidR="003E0F31" w:rsidRPr="00776CC2" w:rsidRDefault="003E0F31" w:rsidP="003E0F31">
      <w:pPr>
        <w:tabs>
          <w:tab w:val="right" w:pos="281"/>
        </w:tabs>
        <w:bidi/>
        <w:spacing w:after="0"/>
        <w:ind w:firstLine="283"/>
        <w:jc w:val="both"/>
        <w:rPr>
          <w:rFonts w:ascii="Simplified Arabic" w:eastAsia="Times New Roman" w:hAnsi="Simplified Arabic" w:cs="Simplified Arabic"/>
          <w:b/>
          <w:sz w:val="24"/>
          <w:szCs w:val="24"/>
          <w:lang w:val="en-US" w:eastAsia="fr-FR"/>
        </w:rPr>
      </w:pP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الواقع،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يمكن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يوفر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متعدد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أنواعًا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مختلفة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المساعدة</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Cs/>
          <w:sz w:val="24"/>
          <w:szCs w:val="24"/>
          <w:lang w:val="en-US" w:eastAsia="fr-FR"/>
        </w:rPr>
        <w:t>Barraud et al.</w:t>
      </w:r>
      <w:r w:rsidRPr="00206B59">
        <w:rPr>
          <w:rFonts w:asciiTheme="majorBidi" w:eastAsia="Times New Roman" w:hAnsiTheme="majorBidi" w:cstheme="majorBidi"/>
          <w:bCs/>
          <w:sz w:val="24"/>
          <w:szCs w:val="24"/>
          <w:lang w:eastAsia="fr-FR"/>
        </w:rPr>
        <w:t>,</w:t>
      </w:r>
      <w:r w:rsidRPr="00206B59">
        <w:rPr>
          <w:rFonts w:asciiTheme="majorBidi" w:eastAsia="Times New Roman" w:hAnsiTheme="majorBidi" w:cstheme="majorBidi"/>
          <w:bCs/>
          <w:sz w:val="24"/>
          <w:szCs w:val="24"/>
          <w:lang w:val="en-US" w:eastAsia="fr-FR"/>
        </w:rPr>
        <w:t xml:space="preserve"> 2001)</w:t>
      </w:r>
      <w:r w:rsidRPr="00206B59">
        <w:rPr>
          <w:rFonts w:asciiTheme="majorBidi" w:eastAsia="Times New Roman" w:hAnsiTheme="majorBidi" w:cstheme="majorBidi"/>
          <w:bCs/>
          <w:sz w:val="24"/>
          <w:szCs w:val="24"/>
          <w:rtl/>
          <w:lang w:val="en-US" w:eastAsia="fr-FR"/>
        </w:rPr>
        <w:t>)</w:t>
      </w:r>
      <w:r w:rsidRPr="00206B59">
        <w:rPr>
          <w:rFonts w:ascii="Simplified Arabic" w:eastAsia="Times New Roman" w:hAnsi="Simplified Arabic" w:cs="Simplified Arabic"/>
          <w:b/>
          <w:sz w:val="24"/>
          <w:szCs w:val="24"/>
          <w:rtl/>
          <w:lang w:val="en-US" w:eastAsia="fr-FR"/>
        </w:rPr>
        <w:t>:</w:t>
      </w:r>
    </w:p>
    <w:p w:rsidR="003E0F31" w:rsidRPr="00776CC2" w:rsidRDefault="003E0F31" w:rsidP="003E0F31">
      <w:pPr>
        <w:tabs>
          <w:tab w:val="right" w:pos="281"/>
        </w:tabs>
        <w:bidi/>
        <w:spacing w:after="0"/>
        <w:ind w:hanging="2"/>
        <w:jc w:val="both"/>
        <w:rPr>
          <w:rFonts w:ascii="Simplified Arabic" w:eastAsia="Times New Roman" w:hAnsi="Simplified Arabic" w:cs="Simplified Arabic"/>
          <w:b/>
          <w:sz w:val="24"/>
          <w:szCs w:val="24"/>
          <w:lang w:val="en-US" w:eastAsia="fr-FR"/>
        </w:rPr>
      </w:pP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مقارنة</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أداء</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الحلول</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أو</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التحسينات</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المحتملة</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لنفس</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الموقع؛</w:t>
      </w:r>
    </w:p>
    <w:p w:rsidR="003E0F31" w:rsidRPr="00776CC2" w:rsidRDefault="003E0F31" w:rsidP="003E0F31">
      <w:pPr>
        <w:tabs>
          <w:tab w:val="right" w:pos="281"/>
        </w:tabs>
        <w:bidi/>
        <w:spacing w:after="0"/>
        <w:ind w:hanging="2"/>
        <w:jc w:val="both"/>
        <w:rPr>
          <w:rFonts w:ascii="Simplified Arabic" w:eastAsia="Times New Roman" w:hAnsi="Simplified Arabic" w:cs="Simplified Arabic"/>
          <w:b/>
          <w:sz w:val="24"/>
          <w:szCs w:val="24"/>
          <w:lang w:val="en-US" w:eastAsia="fr-FR"/>
        </w:rPr>
      </w:pPr>
      <w:r w:rsidRPr="00776CC2">
        <w:rPr>
          <w:rFonts w:ascii="Simplified Arabic" w:eastAsia="Times New Roman" w:hAnsi="Simplified Arabic" w:cs="Simplified Arabic"/>
          <w:b/>
          <w:sz w:val="24"/>
          <w:szCs w:val="24"/>
          <w:rtl/>
          <w:lang w:val="en-US" w:eastAsia="fr-FR"/>
        </w:rPr>
        <w:lastRenderedPageBreak/>
        <w:t xml:space="preserve">- </w:t>
      </w:r>
      <w:r w:rsidRPr="00776CC2">
        <w:rPr>
          <w:rFonts w:ascii="Simplified Arabic" w:eastAsia="Times New Roman" w:hAnsi="Simplified Arabic" w:cs="Simplified Arabic" w:hint="cs"/>
          <w:b/>
          <w:sz w:val="24"/>
          <w:szCs w:val="24"/>
          <w:rtl/>
          <w:lang w:val="en-US" w:eastAsia="fr-FR"/>
        </w:rPr>
        <w:t>دراسة</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أداء</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الهيكل</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من</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خلال</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مؤشرات</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الأداء؛</w:t>
      </w:r>
    </w:p>
    <w:p w:rsidR="003E0F31" w:rsidRDefault="003E0F31" w:rsidP="003E0F31">
      <w:pPr>
        <w:tabs>
          <w:tab w:val="right" w:pos="281"/>
        </w:tabs>
        <w:bidi/>
        <w:spacing w:after="0"/>
        <w:ind w:hanging="2"/>
        <w:jc w:val="both"/>
        <w:rPr>
          <w:rFonts w:ascii="Simplified Arabic" w:eastAsia="Times New Roman" w:hAnsi="Simplified Arabic" w:cs="Simplified Arabic"/>
          <w:b/>
          <w:sz w:val="24"/>
          <w:szCs w:val="24"/>
          <w:lang w:val="en-US" w:eastAsia="fr-FR"/>
        </w:rPr>
      </w:pP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مقارنة</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أداء</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الحلول</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في</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المواقع</w:t>
      </w:r>
      <w:r w:rsidRPr="00776CC2">
        <w:rPr>
          <w:rFonts w:ascii="Simplified Arabic" w:eastAsia="Times New Roman" w:hAnsi="Simplified Arabic" w:cs="Simplified Arabic"/>
          <w:b/>
          <w:sz w:val="24"/>
          <w:szCs w:val="24"/>
          <w:rtl/>
          <w:lang w:val="en-US" w:eastAsia="fr-FR"/>
        </w:rPr>
        <w:t xml:space="preserve"> </w:t>
      </w:r>
      <w:r w:rsidRPr="00776CC2">
        <w:rPr>
          <w:rFonts w:ascii="Simplified Arabic" w:eastAsia="Times New Roman" w:hAnsi="Simplified Arabic" w:cs="Simplified Arabic" w:hint="cs"/>
          <w:b/>
          <w:sz w:val="24"/>
          <w:szCs w:val="24"/>
          <w:rtl/>
          <w:lang w:val="en-US" w:eastAsia="fr-FR"/>
        </w:rPr>
        <w:t>المختلفة</w:t>
      </w:r>
      <w:r w:rsidRPr="00776CC2">
        <w:rPr>
          <w:rFonts w:ascii="Simplified Arabic" w:eastAsia="Times New Roman" w:hAnsi="Simplified Arabic" w:cs="Simplified Arabic"/>
          <w:b/>
          <w:sz w:val="24"/>
          <w:szCs w:val="24"/>
          <w:rtl/>
          <w:lang w:val="en-US" w:eastAsia="fr-FR"/>
        </w:rPr>
        <w:t>.</w:t>
      </w:r>
    </w:p>
    <w:p w:rsidR="003E0F31" w:rsidRPr="00325382" w:rsidRDefault="003E0F31" w:rsidP="003E0F31">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325382">
        <w:rPr>
          <w:rFonts w:ascii="Simplified Arabic" w:eastAsia="Times New Roman" w:hAnsi="Simplified Arabic" w:cs="Simplified Arabic" w:hint="cs"/>
          <w:b/>
          <w:sz w:val="24"/>
          <w:szCs w:val="24"/>
          <w:rtl/>
          <w:lang w:val="en-US" w:eastAsia="fr-FR"/>
        </w:rPr>
        <w:t>اشار</w:t>
      </w:r>
      <w:r>
        <w:rPr>
          <w:rFonts w:asciiTheme="majorBidi" w:hAnsiTheme="majorBidi" w:cstheme="majorBidi" w:hint="cs"/>
          <w:sz w:val="24"/>
          <w:szCs w:val="24"/>
          <w:rtl/>
        </w:rPr>
        <w:t xml:space="preserve"> </w:t>
      </w:r>
      <w:r w:rsidRPr="002E2B28">
        <w:rPr>
          <w:rFonts w:asciiTheme="majorBidi" w:hAnsiTheme="majorBidi" w:cstheme="majorBidi"/>
          <w:sz w:val="24"/>
          <w:szCs w:val="24"/>
        </w:rPr>
        <w:t>(</w:t>
      </w:r>
      <w:r w:rsidRPr="00206B59">
        <w:rPr>
          <w:rFonts w:asciiTheme="majorBidi" w:hAnsiTheme="majorBidi" w:cstheme="majorBidi"/>
          <w:sz w:val="24"/>
          <w:szCs w:val="24"/>
        </w:rPr>
        <w:t>Bruneau</w:t>
      </w:r>
      <w:r w:rsidRPr="002E2B28">
        <w:rPr>
          <w:rFonts w:asciiTheme="majorBidi" w:hAnsiTheme="majorBidi" w:cstheme="majorBidi"/>
          <w:sz w:val="24"/>
          <w:szCs w:val="24"/>
        </w:rPr>
        <w:t xml:space="preserve"> et al., 2003</w:t>
      </w:r>
      <w:r w:rsidRPr="002E2B28">
        <w:rPr>
          <w:rFonts w:asciiTheme="majorBidi" w:hAnsiTheme="majorBidi" w:cstheme="majorBidi"/>
          <w:color w:val="000000"/>
          <w:sz w:val="20"/>
          <w:szCs w:val="20"/>
        </w:rPr>
        <w:t>)</w:t>
      </w:r>
      <w:r>
        <w:rPr>
          <w:rFonts w:asciiTheme="majorBidi" w:hAnsiTheme="majorBidi" w:cstheme="majorBidi" w:hint="cs"/>
          <w:color w:val="000000"/>
          <w:sz w:val="20"/>
          <w:szCs w:val="20"/>
          <w:rtl/>
        </w:rPr>
        <w:t xml:space="preserve"> </w:t>
      </w:r>
      <w:r w:rsidRPr="00325382">
        <w:rPr>
          <w:rFonts w:ascii="Simplified Arabic" w:eastAsia="Times New Roman" w:hAnsi="Simplified Arabic" w:cs="Simplified Arabic" w:hint="cs"/>
          <w:b/>
          <w:sz w:val="24"/>
          <w:szCs w:val="24"/>
          <w:rtl/>
          <w:lang w:val="en-US" w:eastAsia="fr-FR"/>
        </w:rPr>
        <w:t>الى ان مفهوم</w:t>
      </w:r>
      <w:r w:rsidRPr="008B5934">
        <w:rPr>
          <w:rFonts w:ascii="Simplified Arabic" w:hAnsi="Simplified Arabic" w:cs="Simplified Arabic"/>
          <w:sz w:val="24"/>
          <w:szCs w:val="24"/>
          <w:rtl/>
          <w:lang w:bidi="ar-DZ"/>
        </w:rPr>
        <w:t xml:space="preserve"> </w:t>
      </w:r>
      <w:r w:rsidRPr="00ED2062">
        <w:rPr>
          <w:rFonts w:asciiTheme="majorBidi" w:hAnsiTheme="majorBidi" w:cstheme="majorBidi"/>
          <w:sz w:val="24"/>
          <w:szCs w:val="24"/>
        </w:rPr>
        <w:t>4R’s</w:t>
      </w:r>
      <w:r>
        <w:rPr>
          <w:rFonts w:ascii="Calibri" w:hAnsi="Calibri" w:cs="Calibri" w:hint="cs"/>
          <w:rtl/>
        </w:rPr>
        <w:t xml:space="preserve"> </w:t>
      </w:r>
      <w:r w:rsidRPr="00325382">
        <w:rPr>
          <w:rFonts w:ascii="Simplified Arabic" w:eastAsia="Times New Roman" w:hAnsi="Simplified Arabic" w:cs="Simplified Arabic" w:hint="cs"/>
          <w:b/>
          <w:sz w:val="24"/>
          <w:szCs w:val="24"/>
          <w:rtl/>
          <w:lang w:val="en-US" w:eastAsia="fr-FR"/>
        </w:rPr>
        <w:t>لنمذجة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المرونة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التي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توضح</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أربع</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خصائص</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لمرونة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البنى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التحتية: المتانة، السرعة، التكرار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وسعة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 xml:space="preserve">الحيلة </w:t>
      </w:r>
      <w:r w:rsidRPr="007A308E">
        <w:rPr>
          <w:rFonts w:asciiTheme="majorBidi" w:hAnsiTheme="majorBidi" w:cstheme="majorBidi"/>
          <w:sz w:val="24"/>
          <w:szCs w:val="24"/>
          <w:rtl/>
          <w:lang w:bidi="ar-DZ"/>
        </w:rPr>
        <w:t>(</w:t>
      </w:r>
      <w:r w:rsidRPr="007A308E">
        <w:rPr>
          <w:rFonts w:asciiTheme="majorBidi" w:hAnsiTheme="majorBidi" w:cstheme="majorBidi"/>
          <w:sz w:val="24"/>
          <w:szCs w:val="24"/>
          <w:lang w:val="en-US"/>
        </w:rPr>
        <w:t>Rapidity,</w:t>
      </w:r>
      <w:r>
        <w:rPr>
          <w:rFonts w:asciiTheme="majorBidi" w:hAnsiTheme="majorBidi" w:cstheme="majorBidi"/>
          <w:sz w:val="24"/>
          <w:szCs w:val="24"/>
          <w:lang w:val="en-US"/>
        </w:rPr>
        <w:t xml:space="preserve"> </w:t>
      </w:r>
      <w:r w:rsidRPr="007A308E">
        <w:rPr>
          <w:rFonts w:asciiTheme="majorBidi" w:hAnsiTheme="majorBidi" w:cstheme="majorBidi"/>
          <w:sz w:val="24"/>
          <w:szCs w:val="24"/>
          <w:lang w:val="en-US"/>
        </w:rPr>
        <w:t>Robustness,</w:t>
      </w:r>
      <w:r>
        <w:rPr>
          <w:rFonts w:asciiTheme="majorBidi" w:hAnsiTheme="majorBidi" w:cstheme="majorBidi"/>
          <w:sz w:val="24"/>
          <w:szCs w:val="24"/>
          <w:lang w:val="en-US"/>
        </w:rPr>
        <w:t xml:space="preserve"> </w:t>
      </w:r>
      <w:r w:rsidRPr="007A308E">
        <w:rPr>
          <w:rFonts w:asciiTheme="majorBidi" w:hAnsiTheme="majorBidi" w:cstheme="majorBidi"/>
          <w:sz w:val="24"/>
          <w:szCs w:val="24"/>
          <w:lang w:val="en-US"/>
        </w:rPr>
        <w:t>Redundancy and Resourcefulness</w:t>
      </w:r>
      <w:r w:rsidRPr="007A308E">
        <w:rPr>
          <w:rFonts w:asciiTheme="majorBidi" w:hAnsiTheme="majorBidi" w:cstheme="majorBidi"/>
          <w:sz w:val="24"/>
          <w:szCs w:val="24"/>
          <w:rtl/>
          <w:lang w:bidi="ar-DZ"/>
        </w:rPr>
        <w:t>)</w:t>
      </w:r>
      <w:r>
        <w:rPr>
          <w:rFonts w:asciiTheme="majorBidi" w:hAnsiTheme="majorBidi" w:cstheme="majorBidi" w:hint="cs"/>
          <w:sz w:val="24"/>
          <w:szCs w:val="24"/>
          <w:rtl/>
          <w:lang w:bidi="ar-DZ"/>
        </w:rPr>
        <w:t xml:space="preserve"> </w:t>
      </w:r>
      <w:r w:rsidRPr="00325382">
        <w:rPr>
          <w:rFonts w:ascii="Simplified Arabic" w:eastAsia="Times New Roman" w:hAnsi="Simplified Arabic" w:cs="Simplified Arabic" w:hint="cs"/>
          <w:b/>
          <w:sz w:val="24"/>
          <w:szCs w:val="24"/>
          <w:rtl/>
          <w:lang w:val="en-US" w:eastAsia="fr-FR"/>
        </w:rPr>
        <w:t>تؤثر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بشكل</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أعمق</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على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صناع</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القرار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والسكان. التكرار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وسعة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الحيلة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هي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التدابير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التي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تحدد</w:t>
      </w:r>
      <w:r w:rsidRPr="003253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w:t>
      </w:r>
      <w:r w:rsidRPr="00325382">
        <w:rPr>
          <w:rFonts w:ascii="Simplified Arabic" w:eastAsia="Times New Roman" w:hAnsi="Simplified Arabic" w:cs="Simplified Arabic" w:hint="cs"/>
          <w:b/>
          <w:sz w:val="24"/>
          <w:szCs w:val="24"/>
          <w:rtl/>
          <w:lang w:val="en-US" w:eastAsia="fr-FR"/>
        </w:rPr>
        <w:t>الوسائل</w:t>
      </w:r>
      <w:r>
        <w:rPr>
          <w:rFonts w:ascii="Simplified Arabic" w:eastAsia="Times New Roman" w:hAnsi="Simplified Arabic" w:cs="Simplified Arabic" w:hint="cs"/>
          <w:b/>
          <w:sz w:val="24"/>
          <w:szCs w:val="24"/>
          <w:rtl/>
          <w:lang w:val="en-US" w:eastAsia="fr-FR"/>
        </w:rPr>
        <w:t>''</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التي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يمكن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خلالها</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تحسين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المرونة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جميع</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خصائص</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المرونة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مهمة،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ولكن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يُنظر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إلى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السرعة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على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أنها</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أساسية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في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قياس</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مرونة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الانظمة. على سبيل المثال</w:t>
      </w:r>
      <w:r>
        <w:rPr>
          <w:rFonts w:ascii="Simplified Arabic" w:eastAsia="Times New Roman" w:hAnsi="Simplified Arabic" w:cs="Simplified Arabic" w:hint="cs"/>
          <w:b/>
          <w:sz w:val="24"/>
          <w:szCs w:val="24"/>
          <w:rtl/>
          <w:lang w:val="en-US" w:eastAsia="fr-FR"/>
        </w:rPr>
        <w:t>،</w:t>
      </w:r>
      <w:r w:rsidRPr="00325382">
        <w:rPr>
          <w:rFonts w:ascii="Simplified Arabic" w:eastAsia="Times New Roman" w:hAnsi="Simplified Arabic" w:cs="Simplified Arabic" w:hint="cs"/>
          <w:b/>
          <w:sz w:val="24"/>
          <w:szCs w:val="24"/>
          <w:rtl/>
          <w:lang w:val="en-US" w:eastAsia="fr-FR"/>
        </w:rPr>
        <w:t xml:space="preserve"> يمكن </w:t>
      </w:r>
      <w:r>
        <w:rPr>
          <w:rFonts w:ascii="Simplified Arabic" w:eastAsia="Times New Roman" w:hAnsi="Simplified Arabic" w:cs="Simplified Arabic" w:hint="cs"/>
          <w:b/>
          <w:sz w:val="24"/>
          <w:szCs w:val="24"/>
          <w:rtl/>
          <w:lang w:val="en-US" w:eastAsia="fr-FR"/>
        </w:rPr>
        <w:t>ل</w:t>
      </w:r>
      <w:r w:rsidRPr="00325382">
        <w:rPr>
          <w:rFonts w:ascii="Simplified Arabic" w:eastAsia="Times New Roman" w:hAnsi="Simplified Arabic" w:cs="Simplified Arabic" w:hint="cs"/>
          <w:b/>
          <w:sz w:val="24"/>
          <w:szCs w:val="24"/>
          <w:rtl/>
          <w:lang w:val="en-US" w:eastAsia="fr-FR"/>
        </w:rPr>
        <w:t>لتوزيع العادل ل</w:t>
      </w:r>
      <w:r w:rsidRPr="00325382">
        <w:rPr>
          <w:rFonts w:ascii="Simplified Arabic" w:eastAsia="Times New Roman" w:hAnsi="Simplified Arabic" w:cs="Simplified Arabic"/>
          <w:b/>
          <w:sz w:val="24"/>
          <w:szCs w:val="24"/>
          <w:rtl/>
          <w:lang w:val="en-US" w:eastAsia="fr-FR"/>
        </w:rPr>
        <w:t>مراكز الشرطة</w:t>
      </w:r>
      <w:r w:rsidRPr="00325382">
        <w:rPr>
          <w:rFonts w:ascii="Simplified Arabic" w:eastAsia="Times New Roman" w:hAnsi="Simplified Arabic" w:cs="Simplified Arabic" w:hint="cs"/>
          <w:b/>
          <w:sz w:val="24"/>
          <w:szCs w:val="24"/>
          <w:rtl/>
          <w:lang w:val="en-US" w:eastAsia="fr-FR"/>
        </w:rPr>
        <w:t>،</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 xml:space="preserve">الانقاذ والاجلاء </w:t>
      </w:r>
      <w:r w:rsidRPr="00325382">
        <w:rPr>
          <w:rFonts w:ascii="Simplified Arabic" w:eastAsia="Times New Roman" w:hAnsi="Simplified Arabic" w:cs="Simplified Arabic"/>
          <w:b/>
          <w:sz w:val="24"/>
          <w:szCs w:val="24"/>
          <w:rtl/>
          <w:lang w:val="en-US" w:eastAsia="fr-FR"/>
        </w:rPr>
        <w:t>التي تمثل قدرة الاستجابة</w:t>
      </w:r>
      <w:r w:rsidRPr="00325382">
        <w:rPr>
          <w:rFonts w:ascii="Simplified Arabic" w:eastAsia="Times New Roman" w:hAnsi="Simplified Arabic" w:cs="Simplified Arabic" w:hint="cs"/>
          <w:b/>
          <w:sz w:val="24"/>
          <w:szCs w:val="24"/>
          <w:rtl/>
          <w:lang w:val="en-US" w:eastAsia="fr-FR"/>
        </w:rPr>
        <w:t xml:space="preserve"> اثناء الازمات ان تعزز المرونة.</w:t>
      </w:r>
    </w:p>
    <w:p w:rsidR="003E0F31" w:rsidRDefault="003E0F31" w:rsidP="003E0F31">
      <w:pPr>
        <w:tabs>
          <w:tab w:val="right" w:pos="281"/>
        </w:tabs>
        <w:bidi/>
        <w:spacing w:after="0"/>
        <w:ind w:firstLine="283"/>
        <w:jc w:val="both"/>
        <w:rPr>
          <w:rFonts w:ascii="Simplified Arabic" w:eastAsia="Times New Roman" w:hAnsi="Simplified Arabic" w:cs="Simplified Arabic"/>
          <w:b/>
          <w:sz w:val="24"/>
          <w:szCs w:val="24"/>
          <w:rtl/>
          <w:lang w:val="en-US" w:eastAsia="fr-FR"/>
        </w:rPr>
      </w:pPr>
      <w:r w:rsidRPr="00325382">
        <w:rPr>
          <w:rFonts w:ascii="Simplified Arabic" w:eastAsia="Times New Roman" w:hAnsi="Simplified Arabic" w:cs="Simplified Arabic" w:hint="cs"/>
          <w:b/>
          <w:sz w:val="24"/>
          <w:szCs w:val="24"/>
          <w:rtl/>
          <w:lang w:val="en-US" w:eastAsia="fr-FR"/>
        </w:rPr>
        <w:t>المرونة جانب اساسي من جوانب التخطيط الحضري، لذلك دعم</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اتخاذ</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القرار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المكاني لتسهيل</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اتخاذ</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القرار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للمخططين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ومسيري الشأن الحضري امر ضروري لتقييم</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وزيادة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مرونة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المجتمع</w:t>
      </w:r>
      <w:r w:rsidRPr="007472D5">
        <w:rPr>
          <w:rFonts w:asciiTheme="minorBidi" w:hAnsiTheme="minorBidi" w:cs="Arial"/>
          <w:sz w:val="24"/>
          <w:szCs w:val="24"/>
          <w:rtl/>
          <w:lang w:bidi="ar-DZ"/>
        </w:rPr>
        <w:t xml:space="preserve"> </w:t>
      </w:r>
      <w:r w:rsidRPr="00F5657D">
        <w:rPr>
          <w:rFonts w:asciiTheme="majorBidi" w:hAnsiTheme="majorBidi" w:cstheme="majorBidi"/>
          <w:color w:val="000000"/>
          <w:sz w:val="24"/>
          <w:szCs w:val="24"/>
        </w:rPr>
        <w:t>(</w:t>
      </w:r>
      <w:r w:rsidRPr="00206B59">
        <w:rPr>
          <w:rFonts w:asciiTheme="majorBidi" w:hAnsiTheme="majorBidi" w:cstheme="majorBidi"/>
          <w:color w:val="000000"/>
          <w:sz w:val="24"/>
          <w:szCs w:val="24"/>
        </w:rPr>
        <w:t>Renschler</w:t>
      </w:r>
      <w:r w:rsidRPr="00F5657D">
        <w:rPr>
          <w:rFonts w:asciiTheme="majorBidi" w:hAnsiTheme="majorBidi" w:cstheme="majorBidi"/>
          <w:color w:val="000000"/>
          <w:sz w:val="24"/>
          <w:szCs w:val="24"/>
        </w:rPr>
        <w:t xml:space="preserve"> et al., 2010)</w:t>
      </w:r>
      <w:r w:rsidRPr="00325382">
        <w:rPr>
          <w:rFonts w:ascii="Simplified Arabic" w:eastAsia="Times New Roman" w:hAnsi="Simplified Arabic" w:cs="Simplified Arabic"/>
          <w:b/>
          <w:sz w:val="24"/>
          <w:szCs w:val="24"/>
          <w:rtl/>
          <w:lang w:val="en-US" w:eastAsia="fr-FR"/>
        </w:rPr>
        <w:t>.</w:t>
      </w:r>
      <w:r>
        <w:rPr>
          <w:rFonts w:asciiTheme="majorBidi" w:hAnsiTheme="majorBidi" w:cstheme="majorBidi" w:hint="cs"/>
          <w:color w:val="000000"/>
          <w:sz w:val="24"/>
          <w:szCs w:val="24"/>
          <w:rtl/>
        </w:rPr>
        <w:t xml:space="preserve"> </w:t>
      </w:r>
    </w:p>
    <w:p w:rsidR="003E0F31" w:rsidRPr="008E248F" w:rsidRDefault="003E0F31" w:rsidP="003166C4">
      <w:pPr>
        <w:tabs>
          <w:tab w:val="right" w:pos="281"/>
        </w:tabs>
        <w:bidi/>
        <w:spacing w:after="0"/>
        <w:ind w:firstLine="283"/>
        <w:jc w:val="both"/>
        <w:rPr>
          <w:rFonts w:ascii="Arial" w:hAnsi="Arial"/>
          <w:sz w:val="24"/>
          <w:szCs w:val="24"/>
          <w:lang w:val="en-US"/>
        </w:rPr>
      </w:pPr>
      <w:r w:rsidRPr="00206B59">
        <w:rPr>
          <w:rFonts w:ascii="Simplified Arabic" w:eastAsia="Times New Roman" w:hAnsi="Simplified Arabic" w:cs="Simplified Arabic" w:hint="cs"/>
          <w:b/>
          <w:sz w:val="24"/>
          <w:szCs w:val="24"/>
          <w:rtl/>
          <w:lang w:val="en-US" w:eastAsia="fr-FR"/>
        </w:rPr>
        <w:t>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تطوير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أنظمة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دعم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المكاني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لمعالجة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قصور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التسيير التقليدي ل</w:t>
      </w:r>
      <w:r w:rsidR="003166C4">
        <w:rPr>
          <w:rFonts w:ascii="Simplified Arabic" w:hAnsi="Simplified Arabic" w:cs="Simplified Arabic" w:hint="cs"/>
          <w:sz w:val="24"/>
          <w:szCs w:val="24"/>
          <w:rtl/>
        </w:rPr>
        <w:t>استعمال</w:t>
      </w:r>
      <w:r w:rsidRPr="00206B59">
        <w:rPr>
          <w:rFonts w:ascii="Simplified Arabic" w:eastAsia="Times New Roman" w:hAnsi="Simplified Arabic" w:cs="Simplified Arabic" w:hint="cs"/>
          <w:b/>
          <w:sz w:val="24"/>
          <w:szCs w:val="24"/>
          <w:rtl/>
          <w:lang w:val="en-US" w:eastAsia="fr-FR"/>
        </w:rPr>
        <w:t>ات الارض</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مثل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الافتقار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قدرات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النمذجة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والافتقار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مرونة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نظم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المعلومات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الجغرافية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للتكيف</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الاختلافات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السياق</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أو</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عملية صنع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المكاني</w:t>
      </w:r>
      <w:r w:rsidRPr="00206B59">
        <w:rPr>
          <w:rFonts w:ascii="Arial" w:hAnsi="Arial" w:cs="Arial"/>
          <w:sz w:val="24"/>
          <w:szCs w:val="24"/>
          <w:rtl/>
          <w:lang w:val="en-US"/>
        </w:rPr>
        <w:t xml:space="preserve"> </w:t>
      </w:r>
      <w:r w:rsidRPr="00206B59">
        <w:rPr>
          <w:rFonts w:asciiTheme="majorBidi" w:hAnsiTheme="majorBidi" w:cstheme="majorBidi"/>
          <w:sz w:val="24"/>
          <w:szCs w:val="24"/>
          <w:rtl/>
          <w:lang w:val="en-US"/>
        </w:rPr>
        <w:t>(</w:t>
      </w:r>
      <w:r w:rsidRPr="00206B59">
        <w:rPr>
          <w:rFonts w:asciiTheme="majorBidi" w:hAnsiTheme="majorBidi" w:cstheme="majorBidi"/>
          <w:sz w:val="24"/>
          <w:szCs w:val="24"/>
          <w:lang w:val="en-US"/>
        </w:rPr>
        <w:t>Densham, 1991</w:t>
      </w:r>
      <w:r w:rsidRPr="00206B59">
        <w:rPr>
          <w:rFonts w:asciiTheme="majorBidi" w:hAnsiTheme="majorBidi" w:cstheme="majorBidi"/>
          <w:sz w:val="24"/>
          <w:szCs w:val="24"/>
          <w:rtl/>
          <w:lang w:val="en-US"/>
        </w:rPr>
        <w:t>)</w:t>
      </w:r>
      <w:r w:rsidRPr="00206B59">
        <w:rPr>
          <w:rFonts w:ascii="Arial" w:hAnsi="Arial" w:cs="Arial"/>
          <w:sz w:val="24"/>
          <w:szCs w:val="24"/>
          <w:rtl/>
          <w:lang w:val="en-US"/>
        </w:rPr>
        <w:t>.</w:t>
      </w:r>
    </w:p>
    <w:p w:rsidR="003E0F31" w:rsidRPr="00750981" w:rsidRDefault="003E0F31" w:rsidP="0057041C">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206B59">
        <w:rPr>
          <w:rFonts w:ascii="Simplified Arabic" w:eastAsia="Times New Roman" w:hAnsi="Simplified Arabic" w:cs="Simplified Arabic" w:hint="cs"/>
          <w:b/>
          <w:sz w:val="24"/>
          <w:szCs w:val="24"/>
          <w:rtl/>
          <w:lang w:val="en-US" w:eastAsia="fr-FR"/>
        </w:rPr>
        <w:t>حاليا، في الملائمة المكانية وتسيير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المخاطر جنبا الى جنب،</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يعد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اتخاذ</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مزيجًا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معقدًا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عمليات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تسيير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المعرفة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والاستدلال</w:t>
      </w:r>
      <w:r w:rsidRPr="00206B59">
        <w:rPr>
          <w:rFonts w:ascii="Arial" w:hAnsi="Arial" w:cs="Arial"/>
          <w:sz w:val="24"/>
          <w:szCs w:val="24"/>
          <w:rtl/>
          <w:lang w:val="en-US"/>
        </w:rPr>
        <w:t xml:space="preserve"> </w:t>
      </w:r>
      <w:r w:rsidRPr="00206B59">
        <w:rPr>
          <w:rFonts w:asciiTheme="majorBidi" w:hAnsiTheme="majorBidi" w:cstheme="majorBidi"/>
          <w:color w:val="000000"/>
          <w:sz w:val="24"/>
          <w:szCs w:val="24"/>
          <w:rtl/>
        </w:rPr>
        <w:t>(</w:t>
      </w:r>
      <w:r w:rsidRPr="00206B59">
        <w:rPr>
          <w:rFonts w:asciiTheme="majorBidi" w:hAnsiTheme="majorBidi" w:cstheme="majorBidi"/>
          <w:color w:val="000000"/>
          <w:sz w:val="24"/>
          <w:szCs w:val="24"/>
        </w:rPr>
        <w:t>Tacnet et al., 2014</w:t>
      </w:r>
      <w:r w:rsidRPr="00206B59">
        <w:rPr>
          <w:rFonts w:asciiTheme="majorBidi" w:hAnsiTheme="majorBidi" w:cstheme="majorBidi"/>
          <w:color w:val="000000"/>
          <w:sz w:val="24"/>
          <w:szCs w:val="24"/>
          <w:rtl/>
        </w:rPr>
        <w:t>)</w:t>
      </w:r>
      <w:r w:rsidRPr="00206B59">
        <w:rPr>
          <w:rFonts w:ascii="Simplified Arabic" w:eastAsia="Times New Roman" w:hAnsi="Simplified Arabic" w:cs="Simplified Arabic"/>
          <w:b/>
          <w:sz w:val="24"/>
          <w:szCs w:val="24"/>
          <w:rtl/>
          <w:lang w:val="en-US" w:eastAsia="fr-FR"/>
        </w:rPr>
        <w:t>.</w:t>
      </w:r>
      <w:r w:rsidRPr="00206B59">
        <w:rPr>
          <w:rFonts w:ascii="Arial" w:hAnsi="Arial" w:cs="Arial"/>
          <w:sz w:val="24"/>
          <w:szCs w:val="24"/>
          <w:rtl/>
          <w:lang w:val="en-US"/>
        </w:rPr>
        <w:t xml:space="preserve"> </w:t>
      </w:r>
      <w:r w:rsidRPr="00206B59">
        <w:rPr>
          <w:rFonts w:ascii="Simplified Arabic" w:eastAsia="Times New Roman" w:hAnsi="Simplified Arabic" w:cs="Simplified Arabic" w:hint="cs"/>
          <w:b/>
          <w:sz w:val="24"/>
          <w:szCs w:val="24"/>
          <w:rtl/>
          <w:lang w:val="en-US" w:eastAsia="fr-FR"/>
        </w:rPr>
        <w:t>يتم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تعريف</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أنظمة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دعم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أنها أنظمة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كمبيوتر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متكاملة،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مصممة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خصيصًا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لاتخاذ</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Arial" w:hAnsi="Arial" w:cs="Arial"/>
          <w:sz w:val="24"/>
          <w:szCs w:val="24"/>
          <w:rtl/>
          <w:lang w:val="en-US"/>
        </w:rPr>
        <w:t xml:space="preserve"> </w:t>
      </w:r>
      <w:r w:rsidRPr="00206B59">
        <w:rPr>
          <w:rFonts w:asciiTheme="majorBidi" w:hAnsiTheme="majorBidi" w:cstheme="majorBidi"/>
          <w:color w:val="000000"/>
          <w:sz w:val="24"/>
          <w:szCs w:val="24"/>
          <w:rtl/>
        </w:rPr>
        <w:t>(</w:t>
      </w:r>
      <w:r w:rsidRPr="00206B59">
        <w:rPr>
          <w:rFonts w:asciiTheme="majorBidi" w:hAnsiTheme="majorBidi" w:cstheme="majorBidi"/>
          <w:color w:val="000000"/>
          <w:sz w:val="24"/>
          <w:szCs w:val="24"/>
        </w:rPr>
        <w:t>Coté et al., 2001</w:t>
      </w:r>
      <w:r w:rsidRPr="00206B59">
        <w:rPr>
          <w:rFonts w:asciiTheme="majorBidi" w:hAnsiTheme="majorBidi" w:cstheme="majorBidi"/>
          <w:color w:val="000000"/>
          <w:sz w:val="24"/>
          <w:szCs w:val="24"/>
          <w:rtl/>
        </w:rPr>
        <w:t>)</w:t>
      </w:r>
      <w:r w:rsidRPr="00206B59">
        <w:rPr>
          <w:rFonts w:ascii="Simplified Arabic" w:eastAsia="Times New Roman" w:hAnsi="Simplified Arabic" w:cs="Simplified Arabic"/>
          <w:b/>
          <w:sz w:val="24"/>
          <w:szCs w:val="24"/>
          <w:rtl/>
          <w:lang w:val="en-US" w:eastAsia="fr-FR"/>
        </w:rPr>
        <w:t>.</w:t>
      </w:r>
      <w:r w:rsidRPr="00206B59">
        <w:rPr>
          <w:rFonts w:ascii="Arial" w:hAnsi="Arial" w:cs="Arial"/>
          <w:sz w:val="24"/>
          <w:szCs w:val="24"/>
          <w:rtl/>
          <w:lang w:val="en-US"/>
        </w:rPr>
        <w:t xml:space="preserve"> </w:t>
      </w:r>
      <w:r w:rsidRPr="00206B59">
        <w:rPr>
          <w:rFonts w:ascii="Simplified Arabic" w:eastAsia="Times New Roman" w:hAnsi="Simplified Arabic" w:cs="Simplified Arabic" w:hint="cs"/>
          <w:b/>
          <w:sz w:val="24"/>
          <w:szCs w:val="24"/>
          <w:rtl/>
          <w:lang w:val="en-US" w:eastAsia="fr-FR"/>
        </w:rPr>
        <w:t>عندما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يتم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معالجة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القضايا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الإقليمية،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فالحديث</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هنا يكمن حول اهمية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الأنظمة</w:t>
      </w:r>
      <w:r w:rsidRPr="00206B59">
        <w:rPr>
          <w:rFonts w:ascii="Simplified Arabic" w:eastAsia="Times New Roman" w:hAnsi="Simplified Arabic" w:cs="Simplified Arabic"/>
          <w:b/>
          <w:sz w:val="24"/>
          <w:szCs w:val="24"/>
          <w:rtl/>
          <w:lang w:val="en-US" w:eastAsia="fr-FR"/>
        </w:rPr>
        <w:t xml:space="preserve"> </w:t>
      </w:r>
      <w:r w:rsidR="0057041C" w:rsidRPr="00206B59">
        <w:rPr>
          <w:rFonts w:ascii="Simplified Arabic" w:eastAsia="Times New Roman" w:hAnsi="Simplified Arabic" w:cs="Simplified Arabic" w:hint="cs"/>
          <w:b/>
          <w:sz w:val="24"/>
          <w:szCs w:val="24"/>
          <w:rtl/>
          <w:lang w:val="en-US" w:eastAsia="fr-FR"/>
        </w:rPr>
        <w:t>المكانية ل</w:t>
      </w:r>
      <w:r w:rsidRPr="00206B59">
        <w:rPr>
          <w:rFonts w:ascii="Simplified Arabic" w:eastAsia="Times New Roman" w:hAnsi="Simplified Arabic" w:cs="Simplified Arabic" w:hint="cs"/>
          <w:b/>
          <w:sz w:val="24"/>
          <w:szCs w:val="24"/>
          <w:rtl/>
          <w:lang w:val="en-US" w:eastAsia="fr-FR"/>
        </w:rPr>
        <w:t>دعم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Arial" w:hAnsi="Arial" w:cs="Arial"/>
          <w:sz w:val="24"/>
          <w:szCs w:val="24"/>
          <w:rtl/>
          <w:lang w:val="en-US"/>
        </w:rPr>
        <w:t xml:space="preserve"> </w:t>
      </w:r>
      <w:r w:rsidRPr="00206B59">
        <w:rPr>
          <w:rFonts w:asciiTheme="majorBidi" w:hAnsiTheme="majorBidi" w:cstheme="majorBidi"/>
          <w:sz w:val="24"/>
          <w:szCs w:val="24"/>
          <w:rtl/>
          <w:lang w:val="en-US"/>
        </w:rPr>
        <w:t>(</w:t>
      </w:r>
      <w:r w:rsidRPr="00206B59">
        <w:rPr>
          <w:rFonts w:asciiTheme="majorBidi" w:hAnsiTheme="majorBidi" w:cstheme="majorBidi"/>
          <w:sz w:val="24"/>
          <w:szCs w:val="24"/>
          <w:lang w:val="en-US"/>
        </w:rPr>
        <w:t>SS</w:t>
      </w:r>
      <w:r w:rsidR="0057041C" w:rsidRPr="00206B59">
        <w:rPr>
          <w:rFonts w:asciiTheme="majorBidi" w:hAnsiTheme="majorBidi" w:cstheme="majorBidi"/>
          <w:sz w:val="24"/>
          <w:szCs w:val="24"/>
          <w:lang w:val="en-US"/>
        </w:rPr>
        <w:t>DS</w:t>
      </w:r>
      <w:r w:rsidRPr="00206B59">
        <w:rPr>
          <w:rFonts w:asciiTheme="majorBidi" w:hAnsiTheme="majorBidi" w:cstheme="majorBidi"/>
          <w:sz w:val="24"/>
          <w:szCs w:val="24"/>
          <w:rtl/>
          <w:lang w:val="en-US"/>
        </w:rPr>
        <w:t>)</w:t>
      </w:r>
      <w:r w:rsidRPr="00206B59">
        <w:rPr>
          <w:rFonts w:ascii="Simplified Arabic" w:eastAsia="Times New Roman" w:hAnsi="Simplified Arabic" w:cs="Simplified Arabic"/>
          <w:b/>
          <w:sz w:val="24"/>
          <w:szCs w:val="24"/>
          <w:rtl/>
          <w:lang w:val="en-US" w:eastAsia="fr-FR"/>
        </w:rPr>
        <w:t>.</w:t>
      </w:r>
      <w:r w:rsidRPr="00206B59">
        <w:rPr>
          <w:rFonts w:ascii="Arial" w:hAnsi="Arial" w:cs="Arial"/>
          <w:sz w:val="24"/>
          <w:szCs w:val="24"/>
          <w:rtl/>
          <w:lang w:val="en-US"/>
        </w:rPr>
        <w:t xml:space="preserve"> </w:t>
      </w:r>
      <w:r w:rsidRPr="00206B59">
        <w:rPr>
          <w:rFonts w:ascii="Simplified Arabic" w:eastAsia="Times New Roman" w:hAnsi="Simplified Arabic" w:cs="Simplified Arabic" w:hint="cs"/>
          <w:b/>
          <w:sz w:val="24"/>
          <w:szCs w:val="24"/>
          <w:rtl/>
          <w:lang w:val="en-US" w:eastAsia="fr-FR"/>
        </w:rPr>
        <w:t>فهي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تجمع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البيانات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المكانية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وغير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المكانية،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ووظائف</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والتصور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لأنظمة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المعلومات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الجغرافية</w:t>
      </w:r>
      <w:r w:rsidRPr="00206B59">
        <w:rPr>
          <w:rFonts w:ascii="Arial" w:hAnsi="Arial" w:cs="Arial"/>
          <w:sz w:val="24"/>
          <w:szCs w:val="24"/>
          <w:rtl/>
          <w:lang w:val="en-US"/>
        </w:rPr>
        <w:t xml:space="preserve"> </w:t>
      </w:r>
      <w:r w:rsidRPr="00206B59">
        <w:rPr>
          <w:rFonts w:asciiTheme="majorBidi" w:hAnsiTheme="majorBidi" w:cstheme="majorBidi"/>
          <w:sz w:val="24"/>
          <w:szCs w:val="24"/>
          <w:rtl/>
          <w:lang w:val="en-US"/>
        </w:rPr>
        <w:t>(</w:t>
      </w:r>
      <w:r w:rsidRPr="00206B59">
        <w:rPr>
          <w:rFonts w:asciiTheme="majorBidi" w:hAnsiTheme="majorBidi" w:cstheme="majorBidi"/>
          <w:sz w:val="24"/>
          <w:szCs w:val="24"/>
          <w:lang w:val="en-US"/>
        </w:rPr>
        <w:t>GIS</w:t>
      </w:r>
      <w:r w:rsidRPr="00206B59">
        <w:rPr>
          <w:rFonts w:asciiTheme="majorBidi" w:hAnsiTheme="majorBidi" w:cstheme="majorBidi"/>
          <w:sz w:val="24"/>
          <w:szCs w:val="24"/>
          <w:rtl/>
          <w:lang w:val="en-US"/>
        </w:rPr>
        <w:t>)</w:t>
      </w:r>
      <w:r w:rsidRPr="00206B59">
        <w:rPr>
          <w:rFonts w:ascii="Arial" w:hAnsi="Arial" w:cs="Arial"/>
          <w:sz w:val="24"/>
          <w:szCs w:val="24"/>
          <w:rtl/>
          <w:lang w:val="en-US"/>
        </w:rPr>
        <w:t xml:space="preserve"> </w:t>
      </w:r>
      <w:r w:rsidRPr="00206B59">
        <w:rPr>
          <w:rFonts w:ascii="Simplified Arabic" w:eastAsia="Times New Roman" w:hAnsi="Simplified Arabic" w:cs="Simplified Arabic" w:hint="cs"/>
          <w:b/>
          <w:sz w:val="24"/>
          <w:szCs w:val="24"/>
          <w:rtl/>
          <w:lang w:val="en-US" w:eastAsia="fr-FR"/>
        </w:rPr>
        <w:t>ونماذج</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رسم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الخرائط</w:t>
      </w:r>
      <w:r w:rsidRPr="00206B59">
        <w:rPr>
          <w:rFonts w:ascii="Simplified Arabic" w:eastAsia="Times New Roman" w:hAnsi="Simplified Arabic" w:cs="Simplified Arabic"/>
          <w:b/>
          <w:sz w:val="24"/>
          <w:szCs w:val="24"/>
          <w:rtl/>
          <w:lang w:val="en-US" w:eastAsia="fr-FR"/>
        </w:rPr>
        <w:t>.</w:t>
      </w:r>
      <w:r w:rsidRPr="00206B59">
        <w:rPr>
          <w:rFonts w:ascii="Simplified Arabic" w:eastAsia="Times New Roman" w:hAnsi="Simplified Arabic" w:cs="Simplified Arabic" w:hint="cs"/>
          <w:b/>
          <w:sz w:val="24"/>
          <w:szCs w:val="24"/>
          <w:rtl/>
          <w:lang w:val="en-US" w:eastAsia="fr-FR"/>
        </w:rPr>
        <w:t xml:space="preserve"> باتباع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دمج مفهوم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تكامل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تسيير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المخاطر،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تمثل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طريقة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 xml:space="preserve">تكامل نظم المعلومات الجغرافية </w:t>
      </w:r>
      <w:r w:rsidRPr="00206B59">
        <w:rPr>
          <w:rFonts w:asciiTheme="majorBidi" w:hAnsiTheme="majorBidi" w:cstheme="majorBidi" w:hint="cs"/>
          <w:sz w:val="24"/>
          <w:szCs w:val="24"/>
          <w:rtl/>
          <w:lang w:val="en-US"/>
        </w:rPr>
        <w:t>(</w:t>
      </w:r>
      <w:r w:rsidRPr="00206B59">
        <w:rPr>
          <w:rFonts w:asciiTheme="majorBidi" w:hAnsiTheme="majorBidi" w:cstheme="majorBidi"/>
          <w:sz w:val="24"/>
          <w:szCs w:val="24"/>
          <w:lang w:val="en-US"/>
        </w:rPr>
        <w:t>GIS</w:t>
      </w:r>
      <w:r w:rsidRPr="00206B59">
        <w:rPr>
          <w:rFonts w:asciiTheme="majorBidi" w:hAnsiTheme="majorBidi" w:cstheme="majorBidi" w:hint="cs"/>
          <w:sz w:val="24"/>
          <w:szCs w:val="24"/>
          <w:rtl/>
          <w:lang w:val="en-US"/>
        </w:rPr>
        <w:t>)</w:t>
      </w:r>
      <w:r w:rsidRPr="00206B59">
        <w:rPr>
          <w:rFonts w:ascii="Simplified Arabic" w:eastAsia="Times New Roman" w:hAnsi="Simplified Arabic" w:cs="Simplified Arabic" w:hint="cs"/>
          <w:b/>
          <w:sz w:val="24"/>
          <w:szCs w:val="24"/>
          <w:rtl/>
          <w:lang w:val="en-US" w:eastAsia="fr-FR"/>
        </w:rPr>
        <w:t xml:space="preserve"> مع عملية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متعدد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hAnsiTheme="majorBidi" w:cstheme="majorBidi"/>
          <w:sz w:val="24"/>
          <w:szCs w:val="24"/>
          <w:rtl/>
          <w:lang w:val="en-US"/>
        </w:rPr>
        <w:t>(</w:t>
      </w:r>
      <w:r w:rsidRPr="00206B59">
        <w:rPr>
          <w:rFonts w:asciiTheme="majorBidi" w:hAnsiTheme="majorBidi" w:cstheme="majorBidi"/>
          <w:sz w:val="24"/>
          <w:szCs w:val="24"/>
          <w:lang w:val="en-US"/>
        </w:rPr>
        <w:t>MCDA</w:t>
      </w:r>
      <w:r w:rsidRPr="00206B59">
        <w:rPr>
          <w:rFonts w:asciiTheme="majorBidi" w:hAnsiTheme="majorBidi" w:cstheme="majorBidi"/>
          <w:sz w:val="24"/>
          <w:szCs w:val="24"/>
          <w:rtl/>
          <w:lang w:val="en-US"/>
        </w:rPr>
        <w:t>)</w:t>
      </w:r>
      <w:r w:rsidRPr="00206B59">
        <w:rPr>
          <w:rFonts w:asciiTheme="majorBidi" w:hAnsiTheme="majorBidi" w:cstheme="majorBidi" w:hint="cs"/>
          <w:sz w:val="24"/>
          <w:szCs w:val="24"/>
          <w:rtl/>
          <w:lang w:val="en-US"/>
        </w:rPr>
        <w:t xml:space="preserve"> </w:t>
      </w:r>
      <w:r w:rsidRPr="00206B59">
        <w:rPr>
          <w:rFonts w:ascii="Simplified Arabic" w:eastAsia="Times New Roman" w:hAnsi="Simplified Arabic" w:cs="Simplified Arabic" w:hint="cs"/>
          <w:b/>
          <w:sz w:val="24"/>
          <w:szCs w:val="24"/>
          <w:rtl/>
          <w:lang w:val="en-US" w:eastAsia="fr-FR"/>
        </w:rPr>
        <w:t xml:space="preserve">من خلال </w:t>
      </w:r>
      <w:r w:rsidRPr="00206B59">
        <w:rPr>
          <w:rFonts w:ascii="Simplified Arabic" w:eastAsia="Times New Roman" w:hAnsi="Simplified Arabic" w:cs="Simplified Arabic"/>
          <w:b/>
          <w:sz w:val="24"/>
          <w:szCs w:val="24"/>
          <w:rtl/>
          <w:lang w:val="en-US" w:eastAsia="fr-FR"/>
        </w:rPr>
        <w:t>عملية التحليل التسلسلي الهرمي</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توجيهًا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للمخططين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الحضريين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وصناع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المنه</w:t>
      </w:r>
      <w:r w:rsidRPr="00206B59">
        <w:rPr>
          <w:rFonts w:ascii="Simplified Arabic" w:eastAsia="Times New Roman" w:hAnsi="Simplified Arabic" w:cs="Simplified Arabic"/>
          <w:b/>
          <w:sz w:val="24"/>
          <w:szCs w:val="24"/>
          <w:rtl/>
          <w:lang w:val="en-US" w:eastAsia="fr-FR"/>
        </w:rPr>
        <w:t>جية المشتركة بين</w:t>
      </w:r>
      <w:r w:rsidRPr="00206B59">
        <w:rPr>
          <w:rFonts w:ascii="Simplified Arabic" w:eastAsia="Times New Roman" w:hAnsi="Simplified Arabic" w:cs="Simplified Arabic" w:hint="cs"/>
          <w:b/>
          <w:sz w:val="24"/>
          <w:szCs w:val="24"/>
          <w:rtl/>
          <w:lang w:val="en-US" w:eastAsia="fr-FR"/>
        </w:rPr>
        <w:t xml:space="preserve"> طريقة دلفي</w:t>
      </w:r>
      <w:r w:rsidRPr="00206B59">
        <w:rPr>
          <w:rFonts w:asciiTheme="minorBidi" w:hAnsiTheme="minorBidi" w:hint="cs"/>
          <w:sz w:val="24"/>
          <w:szCs w:val="24"/>
          <w:rtl/>
          <w:lang w:bidi="ar-DZ"/>
        </w:rPr>
        <w:t xml:space="preserve"> </w:t>
      </w:r>
      <w:r w:rsidRPr="00206B59">
        <w:rPr>
          <w:rFonts w:asciiTheme="majorBidi" w:hAnsiTheme="majorBidi" w:cstheme="majorBidi"/>
          <w:sz w:val="24"/>
          <w:szCs w:val="24"/>
          <w:lang w:bidi="ar-DZ"/>
        </w:rPr>
        <w:t>(Delphi)</w:t>
      </w:r>
      <w:r w:rsidRPr="00206B59">
        <w:rPr>
          <w:rFonts w:asciiTheme="minorBidi" w:hAnsiTheme="minorBidi" w:hint="cs"/>
          <w:sz w:val="24"/>
          <w:szCs w:val="24"/>
          <w:rtl/>
          <w:lang w:bidi="ar-DZ"/>
        </w:rPr>
        <w:t xml:space="preserve"> </w:t>
      </w:r>
      <w:r w:rsidRPr="00206B59">
        <w:rPr>
          <w:rFonts w:ascii="Simplified Arabic" w:eastAsia="Times New Roman" w:hAnsi="Simplified Arabic" w:cs="Simplified Arabic" w:hint="cs"/>
          <w:b/>
          <w:sz w:val="24"/>
          <w:szCs w:val="24"/>
          <w:rtl/>
          <w:lang w:val="en-US" w:eastAsia="fr-FR"/>
        </w:rPr>
        <w:t>و</w:t>
      </w:r>
      <w:r w:rsidRPr="00206B59">
        <w:rPr>
          <w:rFonts w:asciiTheme="minorBidi" w:hAnsiTheme="minorBidi"/>
          <w:sz w:val="24"/>
          <w:szCs w:val="24"/>
          <w:rtl/>
          <w:lang w:bidi="ar-DZ"/>
        </w:rPr>
        <w:t xml:space="preserve"> </w:t>
      </w:r>
      <w:r w:rsidRPr="00206B59">
        <w:rPr>
          <w:rFonts w:asciiTheme="majorBidi" w:hAnsiTheme="majorBidi" w:cstheme="majorBidi"/>
          <w:sz w:val="24"/>
          <w:szCs w:val="24"/>
          <w:rtl/>
          <w:lang w:val="en-US"/>
        </w:rPr>
        <w:t>(</w:t>
      </w:r>
      <w:r w:rsidRPr="00206B59">
        <w:rPr>
          <w:rFonts w:asciiTheme="majorBidi" w:hAnsiTheme="majorBidi" w:cstheme="majorBidi"/>
          <w:sz w:val="24"/>
          <w:szCs w:val="24"/>
          <w:lang w:val="en-US"/>
        </w:rPr>
        <w:t>AHP</w:t>
      </w:r>
      <w:r w:rsidRPr="00206B59">
        <w:rPr>
          <w:rFonts w:asciiTheme="majorBidi" w:hAnsiTheme="majorBidi" w:cstheme="majorBidi"/>
          <w:sz w:val="24"/>
          <w:szCs w:val="24"/>
          <w:rtl/>
          <w:lang w:val="en-US"/>
        </w:rPr>
        <w:t>)</w:t>
      </w:r>
      <w:r w:rsidRPr="00206B59">
        <w:rPr>
          <w:rFonts w:asciiTheme="minorBidi" w:eastAsia="Times New Roman" w:hAnsiTheme="minorBidi"/>
          <w:b/>
          <w:sz w:val="20"/>
          <w:szCs w:val="20"/>
          <w:rtl/>
          <w:lang w:eastAsia="fr-FR"/>
        </w:rPr>
        <w:t xml:space="preserve"> </w:t>
      </w:r>
      <w:r w:rsidRPr="00206B59">
        <w:rPr>
          <w:rFonts w:ascii="Simplified Arabic" w:eastAsia="Times New Roman" w:hAnsi="Simplified Arabic" w:cs="Simplified Arabic"/>
          <w:b/>
          <w:sz w:val="24"/>
          <w:szCs w:val="24"/>
          <w:rtl/>
          <w:lang w:val="en-US" w:eastAsia="fr-FR"/>
        </w:rPr>
        <w:t>و</w:t>
      </w:r>
      <w:r w:rsidRPr="00206B59">
        <w:rPr>
          <w:rFonts w:asciiTheme="minorBidi" w:hAnsiTheme="minorBidi"/>
          <w:sz w:val="24"/>
          <w:szCs w:val="24"/>
          <w:rtl/>
          <w:lang w:bidi="ar-DZ"/>
        </w:rPr>
        <w:t xml:space="preserve"> </w:t>
      </w:r>
      <w:r w:rsidRPr="00206B59">
        <w:rPr>
          <w:rFonts w:asciiTheme="majorBidi" w:hAnsiTheme="majorBidi" w:cstheme="majorBidi"/>
          <w:sz w:val="24"/>
          <w:szCs w:val="24"/>
          <w:rtl/>
          <w:lang w:val="en-US"/>
        </w:rPr>
        <w:t>(</w:t>
      </w:r>
      <w:r w:rsidRPr="00206B59">
        <w:rPr>
          <w:rFonts w:asciiTheme="majorBidi" w:hAnsiTheme="majorBidi" w:cstheme="majorBidi"/>
          <w:sz w:val="24"/>
          <w:szCs w:val="24"/>
          <w:lang w:val="en-US"/>
        </w:rPr>
        <w:t>GIS</w:t>
      </w:r>
      <w:r w:rsidRPr="00206B59">
        <w:rPr>
          <w:rFonts w:asciiTheme="majorBidi" w:hAnsiTheme="majorBidi" w:cstheme="majorBidi"/>
          <w:sz w:val="24"/>
          <w:szCs w:val="24"/>
          <w:rtl/>
          <w:lang w:val="en-US"/>
        </w:rPr>
        <w:t>)</w:t>
      </w:r>
      <w:r w:rsidRPr="00206B59">
        <w:rPr>
          <w:rFonts w:asciiTheme="minorBidi" w:hAnsiTheme="minorBidi"/>
          <w:sz w:val="24"/>
          <w:szCs w:val="24"/>
          <w:rtl/>
          <w:lang w:bidi="ar-DZ"/>
        </w:rPr>
        <w:t xml:space="preserve"> </w:t>
      </w:r>
      <w:r w:rsidRPr="00206B59">
        <w:rPr>
          <w:rFonts w:ascii="Simplified Arabic" w:eastAsia="Times New Roman" w:hAnsi="Simplified Arabic" w:cs="Simplified Arabic"/>
          <w:b/>
          <w:sz w:val="24"/>
          <w:szCs w:val="24"/>
          <w:rtl/>
          <w:lang w:val="en-US" w:eastAsia="fr-FR"/>
        </w:rPr>
        <w:t>يوفر نظامًا قويًا لدعم القرار المكاني في موازنة وتنمية الأحياء الاقل مرونة</w:t>
      </w:r>
      <w:r w:rsidRPr="00206B59">
        <w:rPr>
          <w:rFonts w:ascii="Simplified Arabic" w:eastAsia="Times New Roman" w:hAnsi="Simplified Arabic" w:cs="Simplified Arabic" w:hint="cs"/>
          <w:b/>
          <w:sz w:val="24"/>
          <w:szCs w:val="24"/>
          <w:rtl/>
          <w:lang w:val="en-US" w:eastAsia="fr-FR"/>
        </w:rPr>
        <w:t xml:space="preserve"> </w:t>
      </w:r>
      <w:r w:rsidRPr="00206B59">
        <w:rPr>
          <w:rFonts w:ascii="Simplified Arabic" w:eastAsia="Times New Roman" w:hAnsi="Simplified Arabic" w:cs="Simplified Arabic"/>
          <w:b/>
          <w:sz w:val="24"/>
          <w:szCs w:val="24"/>
          <w:rtl/>
          <w:lang w:val="en-US" w:eastAsia="fr-FR"/>
        </w:rPr>
        <w:t>.</w:t>
      </w:r>
    </w:p>
    <w:p w:rsidR="003E0F31" w:rsidRPr="00325382" w:rsidRDefault="003E0F31" w:rsidP="003E0F31">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325382">
        <w:rPr>
          <w:rFonts w:ascii="Simplified Arabic" w:eastAsia="Times New Roman" w:hAnsi="Simplified Arabic" w:cs="Simplified Arabic" w:hint="cs"/>
          <w:b/>
          <w:sz w:val="24"/>
          <w:szCs w:val="24"/>
          <w:rtl/>
          <w:lang w:val="en-US" w:eastAsia="fr-FR"/>
        </w:rPr>
        <w:t>لذلك،</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فإن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دعم</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القرار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المكاني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هو</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للمساعدة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في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تطوير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وتقييم</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واختيار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السيناريوهات</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والاستراتيجيات</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والتدخلات</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المناسبة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في</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مواجهة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مشكلة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مكانية</w:t>
      </w:r>
      <w:r w:rsidRPr="00325382">
        <w:rPr>
          <w:rFonts w:ascii="Simplified Arabic" w:eastAsia="Times New Roman" w:hAnsi="Simplified Arabic" w:cs="Simplified Arabic"/>
          <w:b/>
          <w:sz w:val="24"/>
          <w:szCs w:val="24"/>
          <w:rtl/>
          <w:lang w:val="en-US" w:eastAsia="fr-FR"/>
        </w:rPr>
        <w:t>.</w:t>
      </w:r>
      <w:r w:rsidRPr="00081CF1">
        <w:rPr>
          <w:rFonts w:ascii="Simplified Arabic" w:eastAsia="Times New Roman" w:hAnsi="Simplified Arabic" w:cs="Simplified Arabic" w:hint="cs"/>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على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سبيل</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المثال</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يمكن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أن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يكون</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اتخاذ</w:t>
      </w:r>
      <w:r w:rsidRPr="003253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القرار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على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المدى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الطويل</w:t>
      </w:r>
      <w:r w:rsidRPr="003253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لإعداد </w:t>
      </w:r>
      <w:r w:rsidRPr="00325382">
        <w:rPr>
          <w:rFonts w:ascii="Simplified Arabic" w:eastAsia="Times New Roman" w:hAnsi="Simplified Arabic" w:cs="Simplified Arabic" w:hint="cs"/>
          <w:b/>
          <w:sz w:val="24"/>
          <w:szCs w:val="24"/>
          <w:rtl/>
          <w:lang w:val="en-US" w:eastAsia="fr-FR"/>
        </w:rPr>
        <w:t>استراتيجي</w:t>
      </w:r>
      <w:r>
        <w:rPr>
          <w:rFonts w:ascii="Simplified Arabic" w:eastAsia="Times New Roman" w:hAnsi="Simplified Arabic" w:cs="Simplified Arabic" w:hint="cs"/>
          <w:b/>
          <w:sz w:val="24"/>
          <w:szCs w:val="24"/>
          <w:rtl/>
          <w:lang w:val="en-US" w:eastAsia="fr-FR"/>
        </w:rPr>
        <w:t>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التنمية،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واستراتيج</w:t>
      </w:r>
      <w:r>
        <w:rPr>
          <w:rFonts w:ascii="Simplified Arabic" w:eastAsia="Times New Roman" w:hAnsi="Simplified Arabic" w:cs="Simplified Arabic" w:hint="cs"/>
          <w:b/>
          <w:sz w:val="24"/>
          <w:szCs w:val="24"/>
          <w:rtl/>
          <w:lang w:val="en-US" w:eastAsia="fr-FR"/>
        </w:rPr>
        <w:t>ية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تسيير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المخاطر،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وما</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إلى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ذلك</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أو</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على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المدى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القصير</w:t>
      </w:r>
      <w:r w:rsidRPr="003253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لمواجهة </w:t>
      </w:r>
      <w:r w:rsidRPr="00325382">
        <w:rPr>
          <w:rFonts w:ascii="Simplified Arabic" w:eastAsia="Times New Roman" w:hAnsi="Simplified Arabic" w:cs="Simplified Arabic" w:hint="cs"/>
          <w:b/>
          <w:sz w:val="24"/>
          <w:szCs w:val="24"/>
          <w:rtl/>
          <w:lang w:val="en-US" w:eastAsia="fr-FR"/>
        </w:rPr>
        <w:t>حالات</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الطوارئ</w:t>
      </w:r>
      <w:r w:rsidRPr="00325382">
        <w:rPr>
          <w:rFonts w:ascii="Simplified Arabic" w:eastAsia="Times New Roman" w:hAnsi="Simplified Arabic" w:cs="Simplified Arabic"/>
          <w:b/>
          <w:sz w:val="24"/>
          <w:szCs w:val="24"/>
          <w:rtl/>
          <w:lang w:val="en-US" w:eastAsia="fr-FR"/>
        </w:rPr>
        <w:t>.</w:t>
      </w:r>
    </w:p>
    <w:p w:rsidR="003E0F31" w:rsidRPr="00750981" w:rsidRDefault="003E0F31" w:rsidP="001D0548">
      <w:pPr>
        <w:pStyle w:val="Paragraphedeliste"/>
        <w:numPr>
          <w:ilvl w:val="2"/>
          <w:numId w:val="124"/>
        </w:numPr>
        <w:tabs>
          <w:tab w:val="right" w:pos="850"/>
        </w:tabs>
        <w:bidi/>
        <w:spacing w:before="240" w:after="0"/>
        <w:ind w:left="0" w:firstLine="0"/>
        <w:outlineLvl w:val="1"/>
        <w:rPr>
          <w:rFonts w:ascii="Simplified Arabic" w:hAnsi="Simplified Arabic" w:cs="Simplified Arabic"/>
          <w:b/>
          <w:bCs/>
          <w:sz w:val="24"/>
          <w:szCs w:val="24"/>
          <w:rtl/>
          <w:lang w:val="en-US"/>
        </w:rPr>
      </w:pPr>
      <w:bookmarkStart w:id="338" w:name="_Toc171803465"/>
      <w:r w:rsidRPr="00750981">
        <w:rPr>
          <w:rFonts w:ascii="Simplified Arabic" w:hAnsi="Simplified Arabic" w:cs="Simplified Arabic" w:hint="cs"/>
          <w:b/>
          <w:bCs/>
          <w:sz w:val="24"/>
          <w:szCs w:val="24"/>
          <w:rtl/>
          <w:lang w:val="en-US"/>
        </w:rPr>
        <w:t>دمج</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تقنيات</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نظم المعلومات الجغرافية</w:t>
      </w:r>
      <w:r w:rsidRPr="00750981">
        <w:rPr>
          <w:rFonts w:ascii="Simplified Arabic" w:hAnsi="Simplified Arabic" w:cs="Simplified Arabic"/>
          <w:b/>
          <w:bCs/>
          <w:sz w:val="24"/>
          <w:szCs w:val="24"/>
          <w:rtl/>
          <w:lang w:val="en-US"/>
        </w:rPr>
        <w:t xml:space="preserve"> </w:t>
      </w:r>
      <w:r w:rsidRPr="00121ACA">
        <w:rPr>
          <w:rFonts w:asciiTheme="majorBidi" w:hAnsiTheme="majorBidi" w:cstheme="majorBidi" w:hint="cs"/>
          <w:sz w:val="24"/>
          <w:szCs w:val="24"/>
          <w:rtl/>
        </w:rPr>
        <w:t>(</w:t>
      </w:r>
      <w:r w:rsidRPr="00121ACA">
        <w:rPr>
          <w:rFonts w:asciiTheme="majorBidi" w:hAnsiTheme="majorBidi" w:cstheme="majorBidi"/>
          <w:sz w:val="24"/>
          <w:szCs w:val="24"/>
        </w:rPr>
        <w:t>GIS</w:t>
      </w:r>
      <w:r w:rsidRPr="00121ACA">
        <w:rPr>
          <w:rFonts w:asciiTheme="majorBidi" w:hAnsiTheme="majorBidi" w:cstheme="majorBidi" w:hint="cs"/>
          <w:sz w:val="24"/>
          <w:szCs w:val="24"/>
          <w:rtl/>
        </w:rPr>
        <w:t>)</w:t>
      </w:r>
      <w:r>
        <w:rPr>
          <w:rFonts w:asciiTheme="majorBidi" w:hAnsiTheme="majorBidi" w:cstheme="majorBidi" w:hint="cs"/>
          <w:sz w:val="24"/>
          <w:szCs w:val="24"/>
          <w:rtl/>
        </w:rPr>
        <w:t xml:space="preserve"> </w:t>
      </w:r>
      <w:r w:rsidRPr="00750981">
        <w:rPr>
          <w:rFonts w:ascii="Simplified Arabic" w:hAnsi="Simplified Arabic" w:cs="Simplified Arabic" w:hint="cs"/>
          <w:b/>
          <w:bCs/>
          <w:sz w:val="24"/>
          <w:szCs w:val="24"/>
          <w:rtl/>
          <w:lang w:val="en-US"/>
        </w:rPr>
        <w:t>مع نماذج</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صنع</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القرار</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متعددة</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المعايير</w:t>
      </w:r>
      <w:r w:rsidRPr="00750981">
        <w:rPr>
          <w:rFonts w:ascii="Simplified Arabic" w:hAnsi="Simplified Arabic" w:cs="Simplified Arabic"/>
          <w:b/>
          <w:bCs/>
          <w:sz w:val="24"/>
          <w:szCs w:val="24"/>
          <w:rtl/>
          <w:lang w:val="en-US"/>
        </w:rPr>
        <w:t xml:space="preserve"> </w:t>
      </w:r>
      <w:r w:rsidRPr="00750981">
        <w:rPr>
          <w:rFonts w:asciiTheme="majorBidi" w:hAnsiTheme="majorBidi" w:cstheme="majorBidi"/>
          <w:sz w:val="24"/>
          <w:szCs w:val="24"/>
          <w:rtl/>
          <w:lang w:val="en-US"/>
        </w:rPr>
        <w:t>(</w:t>
      </w:r>
      <w:r w:rsidRPr="00750981">
        <w:rPr>
          <w:rFonts w:asciiTheme="majorBidi" w:hAnsiTheme="majorBidi" w:cstheme="majorBidi"/>
          <w:sz w:val="24"/>
          <w:szCs w:val="24"/>
          <w:lang w:val="en-US"/>
        </w:rPr>
        <w:t>MCDM</w:t>
      </w:r>
      <w:r w:rsidRPr="00750981">
        <w:rPr>
          <w:rFonts w:asciiTheme="majorBidi" w:hAnsiTheme="majorBidi" w:cstheme="majorBidi"/>
          <w:sz w:val="24"/>
          <w:szCs w:val="24"/>
          <w:rtl/>
          <w:lang w:val="en-US"/>
        </w:rPr>
        <w:t>)</w:t>
      </w:r>
      <w:r w:rsidRPr="00750981">
        <w:rPr>
          <w:rFonts w:ascii="Simplified Arabic" w:hAnsi="Simplified Arabic" w:cs="Simplified Arabic"/>
          <w:sz w:val="24"/>
          <w:szCs w:val="24"/>
          <w:rtl/>
          <w:lang w:val="en-US"/>
        </w:rPr>
        <w:t xml:space="preserve"> </w:t>
      </w:r>
      <w:r w:rsidRPr="00750981">
        <w:rPr>
          <w:rFonts w:ascii="Simplified Arabic" w:hAnsi="Simplified Arabic" w:cs="Simplified Arabic" w:hint="cs"/>
          <w:b/>
          <w:bCs/>
          <w:sz w:val="24"/>
          <w:szCs w:val="24"/>
          <w:rtl/>
          <w:lang w:val="en-US"/>
        </w:rPr>
        <w:t>في</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التحليل</w:t>
      </w:r>
      <w:r w:rsidRPr="00750981">
        <w:rPr>
          <w:rFonts w:ascii="Simplified Arabic" w:hAnsi="Simplified Arabic" w:cs="Simplified Arabic"/>
          <w:b/>
          <w:bCs/>
          <w:sz w:val="24"/>
          <w:szCs w:val="24"/>
          <w:rtl/>
          <w:lang w:val="en-US"/>
        </w:rPr>
        <w:t xml:space="preserve"> </w:t>
      </w:r>
      <w:r w:rsidRPr="00750981">
        <w:rPr>
          <w:rFonts w:ascii="Simplified Arabic" w:hAnsi="Simplified Arabic" w:cs="Simplified Arabic" w:hint="cs"/>
          <w:b/>
          <w:bCs/>
          <w:sz w:val="24"/>
          <w:szCs w:val="24"/>
          <w:rtl/>
          <w:lang w:val="en-US"/>
        </w:rPr>
        <w:t>المكاني للمرونة</w:t>
      </w:r>
      <w:bookmarkEnd w:id="338"/>
    </w:p>
    <w:p w:rsidR="0052738E" w:rsidRDefault="00A15CDF" w:rsidP="00A15CDF">
      <w:pPr>
        <w:tabs>
          <w:tab w:val="right" w:pos="281"/>
        </w:tabs>
        <w:bidi/>
        <w:spacing w:after="0"/>
        <w:ind w:firstLine="283"/>
        <w:jc w:val="both"/>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 xml:space="preserve">على اعتبار ان </w:t>
      </w:r>
      <w:r w:rsidRPr="00A15CDF">
        <w:rPr>
          <w:rFonts w:ascii="Simplified Arabic" w:eastAsia="Times New Roman" w:hAnsi="Simplified Arabic" w:cs="Simplified Arabic" w:hint="cs"/>
          <w:b/>
          <w:sz w:val="24"/>
          <w:szCs w:val="24"/>
          <w:rtl/>
          <w:lang w:val="en-US" w:eastAsia="fr-FR"/>
        </w:rPr>
        <w:t>دراسة</w:t>
      </w:r>
      <w:r w:rsidRPr="00A15CDF">
        <w:rPr>
          <w:rFonts w:ascii="Simplified Arabic" w:eastAsia="Times New Roman" w:hAnsi="Simplified Arabic" w:cs="Simplified Arabic"/>
          <w:b/>
          <w:sz w:val="24"/>
          <w:szCs w:val="24"/>
          <w:lang w:val="en-US" w:eastAsia="fr-FR"/>
        </w:rPr>
        <w:t xml:space="preserve"> </w:t>
      </w:r>
      <w:r w:rsidRPr="00A15CDF">
        <w:rPr>
          <w:rFonts w:ascii="Simplified Arabic" w:eastAsia="Times New Roman" w:hAnsi="Simplified Arabic" w:cs="Simplified Arabic" w:hint="cs"/>
          <w:b/>
          <w:sz w:val="24"/>
          <w:szCs w:val="24"/>
          <w:rtl/>
          <w:lang w:val="en-US" w:eastAsia="fr-FR"/>
        </w:rPr>
        <w:t>استخدام</w:t>
      </w:r>
      <w:r w:rsidRPr="00A15CDF">
        <w:rPr>
          <w:rFonts w:ascii="Simplified Arabic" w:eastAsia="Times New Roman" w:hAnsi="Simplified Arabic" w:cs="Simplified Arabic"/>
          <w:b/>
          <w:sz w:val="24"/>
          <w:szCs w:val="24"/>
          <w:lang w:val="en-US" w:eastAsia="fr-FR"/>
        </w:rPr>
        <w:t xml:space="preserve"> </w:t>
      </w:r>
      <w:r w:rsidRPr="00A15CDF">
        <w:rPr>
          <w:rFonts w:ascii="Simplified Arabic" w:eastAsia="Times New Roman" w:hAnsi="Simplified Arabic" w:cs="Simplified Arabic" w:hint="cs"/>
          <w:b/>
          <w:sz w:val="24"/>
          <w:szCs w:val="24"/>
          <w:rtl/>
          <w:lang w:val="en-US" w:eastAsia="fr-FR"/>
        </w:rPr>
        <w:t>الأرض</w:t>
      </w:r>
      <w:r w:rsidRPr="00A15CDF">
        <w:rPr>
          <w:rFonts w:ascii="Simplified Arabic" w:eastAsia="Times New Roman" w:hAnsi="Simplified Arabic" w:cs="Simplified Arabic"/>
          <w:b/>
          <w:sz w:val="24"/>
          <w:szCs w:val="24"/>
          <w:lang w:val="en-US" w:eastAsia="fr-FR"/>
        </w:rPr>
        <w:t xml:space="preserve"> </w:t>
      </w:r>
      <w:r w:rsidRPr="00A15CDF">
        <w:rPr>
          <w:rFonts w:ascii="Simplified Arabic" w:eastAsia="Times New Roman" w:hAnsi="Simplified Arabic" w:cs="Simplified Arabic" w:hint="cs"/>
          <w:b/>
          <w:sz w:val="24"/>
          <w:szCs w:val="24"/>
          <w:rtl/>
          <w:lang w:val="en-US" w:eastAsia="fr-FR"/>
        </w:rPr>
        <w:t>أهمية</w:t>
      </w:r>
      <w:r w:rsidRPr="00A15CDF">
        <w:rPr>
          <w:rFonts w:ascii="Simplified Arabic" w:eastAsia="Times New Roman" w:hAnsi="Simplified Arabic" w:cs="Simplified Arabic"/>
          <w:b/>
          <w:sz w:val="24"/>
          <w:szCs w:val="24"/>
          <w:lang w:val="en-US" w:eastAsia="fr-FR"/>
        </w:rPr>
        <w:t xml:space="preserve"> </w:t>
      </w:r>
      <w:r w:rsidRPr="00A15CDF">
        <w:rPr>
          <w:rFonts w:ascii="Simplified Arabic" w:eastAsia="Times New Roman" w:hAnsi="Simplified Arabic" w:cs="Simplified Arabic" w:hint="cs"/>
          <w:b/>
          <w:sz w:val="24"/>
          <w:szCs w:val="24"/>
          <w:rtl/>
          <w:lang w:val="en-US" w:eastAsia="fr-FR"/>
        </w:rPr>
        <w:t>خاصة</w:t>
      </w:r>
      <w:r w:rsidRPr="00A15CDF">
        <w:rPr>
          <w:rFonts w:ascii="Simplified Arabic" w:eastAsia="Times New Roman" w:hAnsi="Simplified Arabic" w:cs="Simplified Arabic"/>
          <w:b/>
          <w:sz w:val="24"/>
          <w:szCs w:val="24"/>
          <w:lang w:val="en-US" w:eastAsia="fr-FR"/>
        </w:rPr>
        <w:t xml:space="preserve"> </w:t>
      </w:r>
      <w:r>
        <w:rPr>
          <w:rFonts w:ascii="Simplified Arabic" w:eastAsia="Times New Roman" w:hAnsi="Simplified Arabic" w:cs="Simplified Arabic" w:hint="cs"/>
          <w:b/>
          <w:sz w:val="24"/>
          <w:szCs w:val="24"/>
          <w:rtl/>
          <w:lang w:val="en-US" w:eastAsia="fr-FR"/>
        </w:rPr>
        <w:t>(بن خالد، 2019)</w:t>
      </w:r>
      <w:r w:rsidRPr="00A15CDF">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فقد</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تم</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استخدام</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طرق</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مختلفة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للتحليل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المكاني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w:t>
      </w:r>
      <w:r w:rsidR="003166C4">
        <w:rPr>
          <w:rFonts w:ascii="Simplified Arabic" w:hAnsi="Simplified Arabic" w:cs="Simplified Arabic" w:hint="cs"/>
          <w:sz w:val="24"/>
          <w:szCs w:val="24"/>
          <w:rtl/>
        </w:rPr>
        <w:t>استعمال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الأرض</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بشكل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شائع</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في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دراسات</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تقييم</w:t>
      </w:r>
      <w:r w:rsidR="003E0F31" w:rsidRPr="00206B59">
        <w:rPr>
          <w:rFonts w:ascii="Simplified Arabic" w:eastAsia="Times New Roman" w:hAnsi="Simplified Arabic" w:cs="Simplified Arabic"/>
          <w:b/>
          <w:sz w:val="24"/>
          <w:szCs w:val="24"/>
          <w:rtl/>
          <w:lang w:val="en-US" w:eastAsia="fr-FR"/>
        </w:rPr>
        <w:t xml:space="preserve"> </w:t>
      </w:r>
      <w:r w:rsidR="00C71ECA">
        <w:rPr>
          <w:rFonts w:ascii="Simplified Arabic" w:eastAsia="Times New Roman" w:hAnsi="Simplified Arabic" w:cs="Simplified Arabic" w:hint="cs"/>
          <w:b/>
          <w:sz w:val="24"/>
          <w:szCs w:val="24"/>
          <w:rtl/>
          <w:lang w:val="en-US" w:eastAsia="fr-FR"/>
        </w:rPr>
        <w:t>الملائ</w:t>
      </w:r>
      <w:r w:rsidR="003E0F31" w:rsidRPr="00206B59">
        <w:rPr>
          <w:rFonts w:ascii="Simplified Arabic" w:eastAsia="Times New Roman" w:hAnsi="Simplified Arabic" w:cs="Simplified Arabic" w:hint="cs"/>
          <w:b/>
          <w:sz w:val="24"/>
          <w:szCs w:val="24"/>
          <w:rtl/>
          <w:lang w:val="en-US" w:eastAsia="fr-FR"/>
        </w:rPr>
        <w:t>مة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غالبًا</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ما</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تم</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معالجة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مشكلة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تقييم</w:t>
      </w:r>
      <w:r w:rsidR="003E0F31" w:rsidRPr="00206B59">
        <w:rPr>
          <w:rFonts w:ascii="Simplified Arabic" w:eastAsia="Times New Roman" w:hAnsi="Simplified Arabic" w:cs="Simplified Arabic"/>
          <w:b/>
          <w:sz w:val="24"/>
          <w:szCs w:val="24"/>
          <w:rtl/>
          <w:lang w:val="en-US" w:eastAsia="fr-FR"/>
        </w:rPr>
        <w:t xml:space="preserve"> </w:t>
      </w:r>
      <w:r w:rsidR="008B3E54">
        <w:rPr>
          <w:rFonts w:ascii="Simplified Arabic" w:eastAsia="Times New Roman" w:hAnsi="Simplified Arabic" w:cs="Simplified Arabic" w:hint="cs"/>
          <w:b/>
          <w:sz w:val="24"/>
          <w:szCs w:val="24"/>
          <w:rtl/>
          <w:lang w:val="en-US" w:eastAsia="fr-FR"/>
        </w:rPr>
        <w:t>ملائ</w:t>
      </w:r>
      <w:r w:rsidR="003E0F31" w:rsidRPr="00206B59">
        <w:rPr>
          <w:rFonts w:ascii="Simplified Arabic" w:eastAsia="Times New Roman" w:hAnsi="Simplified Arabic" w:cs="Simplified Arabic" w:hint="cs"/>
          <w:b/>
          <w:sz w:val="24"/>
          <w:szCs w:val="24"/>
          <w:rtl/>
          <w:lang w:val="en-US" w:eastAsia="fr-FR"/>
        </w:rPr>
        <w:t>مة</w:t>
      </w:r>
      <w:r w:rsidR="003E0F31" w:rsidRPr="00206B59">
        <w:rPr>
          <w:rFonts w:ascii="Simplified Arabic" w:eastAsia="Times New Roman" w:hAnsi="Simplified Arabic" w:cs="Simplified Arabic"/>
          <w:b/>
          <w:sz w:val="24"/>
          <w:szCs w:val="24"/>
          <w:rtl/>
          <w:lang w:val="en-US" w:eastAsia="fr-FR"/>
        </w:rPr>
        <w:t xml:space="preserve"> </w:t>
      </w:r>
      <w:r w:rsidR="003166C4">
        <w:rPr>
          <w:rFonts w:ascii="Simplified Arabic" w:hAnsi="Simplified Arabic" w:cs="Simplified Arabic" w:hint="cs"/>
          <w:sz w:val="24"/>
          <w:szCs w:val="24"/>
          <w:rtl/>
        </w:rPr>
        <w:t>استعمال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الأراضي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باست</w:t>
      </w:r>
      <w:r w:rsidR="008B3E54">
        <w:rPr>
          <w:rFonts w:ascii="Simplified Arabic" w:eastAsia="Times New Roman" w:hAnsi="Simplified Arabic" w:cs="Simplified Arabic" w:hint="cs"/>
          <w:b/>
          <w:sz w:val="24"/>
          <w:szCs w:val="24"/>
          <w:rtl/>
          <w:lang w:val="en-US" w:eastAsia="fr-FR"/>
        </w:rPr>
        <w:t>عمال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تحليل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القرار</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متعدد</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المعايير</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Theme="majorBidi" w:eastAsia="Times New Roman" w:hAnsiTheme="majorBidi" w:cstheme="majorBidi"/>
          <w:b/>
          <w:sz w:val="24"/>
          <w:szCs w:val="24"/>
          <w:rtl/>
          <w:lang w:eastAsia="fr-FR"/>
        </w:rPr>
        <w:t>(</w:t>
      </w:r>
      <w:r w:rsidR="003E0F31" w:rsidRPr="00206B59">
        <w:rPr>
          <w:rFonts w:asciiTheme="majorBidi" w:eastAsia="Times New Roman" w:hAnsiTheme="majorBidi" w:cstheme="majorBidi"/>
          <w:bCs/>
          <w:sz w:val="24"/>
          <w:szCs w:val="24"/>
          <w:lang w:eastAsia="fr-FR"/>
        </w:rPr>
        <w:t>MCDA</w:t>
      </w:r>
      <w:r w:rsidR="003E0F31" w:rsidRPr="00206B59">
        <w:rPr>
          <w:rFonts w:asciiTheme="majorBidi" w:eastAsia="Times New Roman" w:hAnsiTheme="majorBidi" w:cstheme="majorBidi"/>
          <w:b/>
          <w:sz w:val="24"/>
          <w:szCs w:val="24"/>
          <w:rtl/>
          <w:lang w:eastAsia="fr-FR"/>
        </w:rPr>
        <w:t>)</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منذ</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 xml:space="preserve">الثمانينيات </w:t>
      </w:r>
      <w:r w:rsidR="003E0F31" w:rsidRPr="00206B59">
        <w:rPr>
          <w:rFonts w:asciiTheme="majorBidi" w:eastAsia="Times New Roman" w:hAnsiTheme="majorBidi" w:cstheme="majorBidi"/>
          <w:bCs/>
          <w:sz w:val="24"/>
          <w:szCs w:val="24"/>
          <w:rtl/>
          <w:lang w:val="en-US" w:eastAsia="fr-FR"/>
        </w:rPr>
        <w:t>(</w:t>
      </w:r>
      <w:r w:rsidR="003E0F31" w:rsidRPr="00206B59">
        <w:rPr>
          <w:rFonts w:asciiTheme="majorBidi" w:eastAsia="Times New Roman" w:hAnsiTheme="majorBidi" w:cstheme="majorBidi"/>
          <w:bCs/>
          <w:sz w:val="24"/>
          <w:szCs w:val="24"/>
          <w:lang w:eastAsia="fr-FR"/>
        </w:rPr>
        <w:t>Antoine et al. 1997, Sharifi et al. 2006, Kunwar et al. 2010</w:t>
      </w:r>
      <w:r w:rsidR="003E0F31" w:rsidRPr="00206B59">
        <w:rPr>
          <w:rFonts w:asciiTheme="majorBidi" w:eastAsia="Times New Roman" w:hAnsiTheme="majorBidi" w:cstheme="majorBidi"/>
          <w:bCs/>
          <w:sz w:val="24"/>
          <w:szCs w:val="24"/>
          <w:rtl/>
          <w:lang w:val="en-US" w:eastAsia="fr-FR"/>
        </w:rPr>
        <w:t>)</w:t>
      </w:r>
      <w:r w:rsidR="003E0F31" w:rsidRPr="00206B59">
        <w:rPr>
          <w:rFonts w:ascii="Simplified Arabic" w:eastAsia="Times New Roman" w:hAnsi="Simplified Arabic" w:cs="Simplified Arabic"/>
          <w:b/>
          <w:sz w:val="24"/>
          <w:szCs w:val="24"/>
          <w:rtl/>
          <w:lang w:val="en-US" w:eastAsia="fr-FR"/>
        </w:rPr>
        <w:t>.</w:t>
      </w:r>
      <w:r w:rsidR="003E0F31" w:rsidRPr="00206B59">
        <w:rPr>
          <w:rFonts w:ascii="Simplified Arabic" w:eastAsia="Times New Roman" w:hAnsi="Simplified Arabic" w:cs="Simplified Arabic" w:hint="cs"/>
          <w:b/>
          <w:sz w:val="24"/>
          <w:szCs w:val="24"/>
          <w:rtl/>
          <w:lang w:val="en-US" w:eastAsia="fr-FR"/>
        </w:rPr>
        <w:t xml:space="preserve"> قام </w:t>
      </w:r>
      <w:r w:rsidR="003E0F31" w:rsidRPr="00206B59">
        <w:rPr>
          <w:rFonts w:asciiTheme="majorBidi" w:eastAsia="Times New Roman" w:hAnsiTheme="majorBidi" w:cstheme="majorBidi"/>
          <w:bCs/>
          <w:sz w:val="24"/>
          <w:szCs w:val="24"/>
          <w:lang w:eastAsia="fr-FR"/>
        </w:rPr>
        <w:t>Malczewski, 2006)</w:t>
      </w:r>
      <w:r w:rsidR="003E0F31" w:rsidRPr="00206B59">
        <w:rPr>
          <w:rFonts w:asciiTheme="majorBidi" w:eastAsia="Times New Roman" w:hAnsiTheme="majorBidi" w:cstheme="majorBidi"/>
          <w:bCs/>
          <w:sz w:val="24"/>
          <w:szCs w:val="24"/>
          <w:rtl/>
          <w:lang w:eastAsia="fr-FR"/>
        </w:rPr>
        <w:t>)</w:t>
      </w:r>
      <w:r w:rsidR="003E0F31" w:rsidRPr="00206B59">
        <w:rPr>
          <w:rFonts w:ascii="Simplified Arabic" w:eastAsia="Times New Roman" w:hAnsi="Simplified Arabic" w:cs="Simplified Arabic" w:hint="cs"/>
          <w:b/>
          <w:sz w:val="24"/>
          <w:szCs w:val="24"/>
          <w:rtl/>
          <w:lang w:val="en-US" w:eastAsia="fr-FR"/>
        </w:rPr>
        <w:t xml:space="preserve"> بدراسة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استقصائية</w:t>
      </w:r>
      <w:r w:rsidR="003E0F31" w:rsidRPr="00206B59">
        <w:rPr>
          <w:rFonts w:ascii="Simplified Arabic" w:eastAsia="Times New Roman" w:hAnsi="Simplified Arabic" w:cs="Simplified Arabic"/>
          <w:b/>
          <w:sz w:val="24"/>
          <w:szCs w:val="24"/>
          <w:rtl/>
          <w:lang w:val="en-US" w:eastAsia="fr-FR"/>
        </w:rPr>
        <w:t xml:space="preserve"> </w:t>
      </w:r>
      <w:r w:rsidR="008B3E54">
        <w:rPr>
          <w:rFonts w:ascii="Simplified Arabic" w:eastAsia="Times New Roman" w:hAnsi="Simplified Arabic" w:cs="Simplified Arabic" w:hint="cs"/>
          <w:b/>
          <w:sz w:val="24"/>
          <w:szCs w:val="24"/>
          <w:rtl/>
          <w:lang w:val="en-US" w:eastAsia="fr-FR"/>
        </w:rPr>
        <w:t>للابحاث</w:t>
      </w:r>
      <w:r w:rsidR="003E0F31" w:rsidRPr="00206B59">
        <w:rPr>
          <w:rFonts w:ascii="Simplified Arabic" w:eastAsia="Times New Roman" w:hAnsi="Simplified Arabic" w:cs="Simplified Arabic"/>
          <w:b/>
          <w:sz w:val="24"/>
          <w:szCs w:val="24"/>
          <w:rtl/>
          <w:lang w:val="en-US" w:eastAsia="fr-FR"/>
        </w:rPr>
        <w:t xml:space="preserve"> </w:t>
      </w:r>
      <w:r w:rsidR="00476FEE">
        <w:rPr>
          <w:rFonts w:ascii="Simplified Arabic" w:eastAsia="Times New Roman" w:hAnsi="Simplified Arabic" w:cs="Simplified Arabic" w:hint="cs"/>
          <w:b/>
          <w:sz w:val="24"/>
          <w:szCs w:val="24"/>
          <w:rtl/>
          <w:lang w:val="en-US" w:eastAsia="fr-FR"/>
        </w:rPr>
        <w:t xml:space="preserve">التي استخدمت طريقة </w:t>
      </w:r>
      <w:r w:rsidR="003E0F31" w:rsidRPr="00206B59">
        <w:rPr>
          <w:rFonts w:ascii="Simplified Arabic" w:eastAsia="Times New Roman" w:hAnsi="Simplified Arabic" w:cs="Simplified Arabic" w:hint="cs"/>
          <w:b/>
          <w:sz w:val="24"/>
          <w:szCs w:val="24"/>
          <w:rtl/>
          <w:lang w:val="en-US" w:eastAsia="fr-FR"/>
        </w:rPr>
        <w:t>التحليل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lastRenderedPageBreak/>
        <w:t>متعدد</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المعايير</w:t>
      </w:r>
      <w:r w:rsidR="003E0F31" w:rsidRPr="00206B59">
        <w:rPr>
          <w:rFonts w:ascii="Simplified Arabic" w:eastAsia="Times New Roman" w:hAnsi="Simplified Arabic" w:cs="Simplified Arabic"/>
          <w:b/>
          <w:sz w:val="24"/>
          <w:szCs w:val="24"/>
          <w:rtl/>
          <w:lang w:val="en-US" w:eastAsia="fr-FR"/>
        </w:rPr>
        <w:t xml:space="preserve"> </w:t>
      </w:r>
      <w:r w:rsidR="00476FEE" w:rsidRPr="00206B59">
        <w:rPr>
          <w:rFonts w:asciiTheme="majorBidi" w:eastAsia="Times New Roman" w:hAnsiTheme="majorBidi" w:cstheme="majorBidi"/>
          <w:bCs/>
          <w:sz w:val="24"/>
          <w:szCs w:val="24"/>
          <w:lang w:eastAsia="fr-FR"/>
        </w:rPr>
        <w:t>(MCDA)</w:t>
      </w:r>
      <w:r w:rsidR="00476FEE">
        <w:rPr>
          <w:rFonts w:asciiTheme="majorBidi" w:eastAsia="Times New Roman" w:hAnsiTheme="majorBidi" w:cstheme="majorBidi" w:hint="cs"/>
          <w:bCs/>
          <w:sz w:val="24"/>
          <w:szCs w:val="24"/>
          <w:rtl/>
          <w:lang w:eastAsia="fr-FR"/>
        </w:rPr>
        <w:t xml:space="preserve"> </w:t>
      </w:r>
      <w:r w:rsidR="003E0F31" w:rsidRPr="00206B59">
        <w:rPr>
          <w:rFonts w:ascii="Simplified Arabic" w:eastAsia="Times New Roman" w:hAnsi="Simplified Arabic" w:cs="Simplified Arabic" w:hint="cs"/>
          <w:b/>
          <w:sz w:val="24"/>
          <w:szCs w:val="24"/>
          <w:rtl/>
          <w:lang w:val="en-US" w:eastAsia="fr-FR"/>
        </w:rPr>
        <w:t>المستند</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إلى</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نظم</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المعلومات</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الجغرافية</w:t>
      </w:r>
      <w:r w:rsidR="003E0F31" w:rsidRPr="00206B59">
        <w:rPr>
          <w:rFonts w:ascii="Simplified Arabic" w:eastAsia="Times New Roman" w:hAnsi="Simplified Arabic" w:cs="Simplified Arabic"/>
          <w:b/>
          <w:sz w:val="24"/>
          <w:szCs w:val="24"/>
          <w:rtl/>
          <w:lang w:val="en-US" w:eastAsia="fr-FR"/>
        </w:rPr>
        <w:t xml:space="preserve"> </w:t>
      </w:r>
      <w:r w:rsidR="00476FEE" w:rsidRPr="00206B59">
        <w:rPr>
          <w:rFonts w:asciiTheme="majorBidi" w:eastAsia="Times New Roman" w:hAnsiTheme="majorBidi" w:cstheme="majorBidi"/>
          <w:bCs/>
          <w:sz w:val="24"/>
          <w:szCs w:val="24"/>
          <w:lang w:eastAsia="fr-FR"/>
        </w:rPr>
        <w:t>(GIS)</w:t>
      </w:r>
      <w:r w:rsidR="00476FEE">
        <w:rPr>
          <w:rFonts w:ascii="Simplified Arabic" w:eastAsia="Times New Roman" w:hAnsi="Simplified Arabic" w:cs="Simplified Arabic" w:hint="cs"/>
          <w:b/>
          <w:sz w:val="24"/>
          <w:szCs w:val="24"/>
          <w:rtl/>
          <w:lang w:eastAsia="fr-FR"/>
        </w:rPr>
        <w:t xml:space="preserve">، </w:t>
      </w:r>
      <w:r w:rsidR="003E0F31" w:rsidRPr="00206B59">
        <w:rPr>
          <w:rFonts w:ascii="Simplified Arabic" w:eastAsia="Times New Roman" w:hAnsi="Simplified Arabic" w:cs="Simplified Arabic" w:hint="cs"/>
          <w:b/>
          <w:sz w:val="24"/>
          <w:szCs w:val="24"/>
          <w:rtl/>
          <w:lang w:val="en-US" w:eastAsia="fr-FR"/>
        </w:rPr>
        <w:t>من</w:t>
      </w:r>
      <w:r w:rsidR="003E0F31" w:rsidRPr="00206B59">
        <w:rPr>
          <w:rFonts w:ascii="Simplified Arabic" w:eastAsia="Times New Roman" w:hAnsi="Simplified Arabic" w:cs="Simplified Arabic"/>
          <w:b/>
          <w:sz w:val="24"/>
          <w:szCs w:val="24"/>
          <w:rtl/>
          <w:lang w:val="en-US" w:eastAsia="fr-FR"/>
        </w:rPr>
        <w:t xml:space="preserve"> 1990 </w:t>
      </w:r>
      <w:r w:rsidR="003E0F31" w:rsidRPr="00206B59">
        <w:rPr>
          <w:rFonts w:ascii="Simplified Arabic" w:eastAsia="Times New Roman" w:hAnsi="Simplified Arabic" w:cs="Simplified Arabic" w:hint="cs"/>
          <w:b/>
          <w:sz w:val="24"/>
          <w:szCs w:val="24"/>
          <w:rtl/>
          <w:lang w:val="en-US" w:eastAsia="fr-FR"/>
        </w:rPr>
        <w:t>إلى</w:t>
      </w:r>
      <w:r w:rsidR="003E0F31" w:rsidRPr="00206B59">
        <w:rPr>
          <w:rFonts w:ascii="Simplified Arabic" w:eastAsia="Times New Roman" w:hAnsi="Simplified Arabic" w:cs="Simplified Arabic"/>
          <w:b/>
          <w:sz w:val="24"/>
          <w:szCs w:val="24"/>
          <w:rtl/>
          <w:lang w:val="en-US" w:eastAsia="fr-FR"/>
        </w:rPr>
        <w:t xml:space="preserve"> 2004</w:t>
      </w:r>
      <w:r w:rsidR="003E0F31" w:rsidRPr="00206B59">
        <w:rPr>
          <w:rFonts w:ascii="Simplified Arabic" w:eastAsia="Times New Roman" w:hAnsi="Simplified Arabic" w:cs="Simplified Arabic" w:hint="cs"/>
          <w:b/>
          <w:sz w:val="24"/>
          <w:szCs w:val="24"/>
          <w:rtl/>
          <w:lang w:val="en-US" w:eastAsia="fr-FR"/>
        </w:rPr>
        <w:t>،</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وجد ان</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هناك</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تسارع</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كبير</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في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عدد</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مقالات</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Theme="majorBidi" w:eastAsia="Times New Roman" w:hAnsiTheme="majorBidi" w:cstheme="majorBidi"/>
          <w:bCs/>
          <w:sz w:val="24"/>
          <w:szCs w:val="24"/>
          <w:lang w:eastAsia="fr-FR"/>
        </w:rPr>
        <w:t>(GIS-MCDA)</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المنشورة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في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هذا</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المجال</w:t>
      </w:r>
      <w:r w:rsidR="003E0F31" w:rsidRPr="00206B59">
        <w:rPr>
          <w:rFonts w:ascii="Simplified Arabic" w:eastAsia="Times New Roman" w:hAnsi="Simplified Arabic" w:cs="Simplified Arabic"/>
          <w:b/>
          <w:sz w:val="24"/>
          <w:szCs w:val="24"/>
          <w:rtl/>
          <w:lang w:val="en-US" w:eastAsia="fr-FR"/>
        </w:rPr>
        <w:t xml:space="preserve">. </w:t>
      </w:r>
    </w:p>
    <w:p w:rsidR="003E0F31" w:rsidRPr="00750981" w:rsidRDefault="0052738E" w:rsidP="003166C4">
      <w:pPr>
        <w:tabs>
          <w:tab w:val="right" w:pos="281"/>
        </w:tabs>
        <w:bidi/>
        <w:spacing w:after="0"/>
        <w:ind w:firstLine="282"/>
        <w:jc w:val="both"/>
        <w:rPr>
          <w:rFonts w:ascii="Simplified Arabic" w:eastAsia="Times New Roman" w:hAnsi="Simplified Arabic" w:cs="Simplified Arabic"/>
          <w:b/>
          <w:sz w:val="24"/>
          <w:szCs w:val="24"/>
          <w:lang w:val="en-US" w:eastAsia="fr-FR"/>
        </w:rPr>
      </w:pPr>
      <w:r>
        <w:rPr>
          <w:rFonts w:ascii="Simplified Arabic" w:eastAsia="Times New Roman" w:hAnsi="Simplified Arabic" w:cs="Simplified Arabic" w:hint="cs"/>
          <w:b/>
          <w:sz w:val="24"/>
          <w:szCs w:val="24"/>
          <w:rtl/>
          <w:lang w:val="en-US" w:eastAsia="fr-FR"/>
        </w:rPr>
        <w:t xml:space="preserve">قام </w:t>
      </w:r>
      <w:r w:rsidRPr="00206B59">
        <w:rPr>
          <w:rFonts w:asciiTheme="majorBidi" w:eastAsia="Times New Roman" w:hAnsiTheme="majorBidi" w:cstheme="majorBidi"/>
          <w:bCs/>
          <w:sz w:val="24"/>
          <w:szCs w:val="24"/>
          <w:rtl/>
          <w:lang w:val="en-US" w:eastAsia="fr-FR"/>
        </w:rPr>
        <w:t>(</w:t>
      </w:r>
      <w:r w:rsidRPr="00206B59">
        <w:rPr>
          <w:rFonts w:asciiTheme="majorBidi" w:eastAsia="Times New Roman" w:hAnsiTheme="majorBidi" w:cstheme="majorBidi"/>
          <w:bCs/>
          <w:sz w:val="24"/>
          <w:szCs w:val="24"/>
          <w:lang w:val="en-US" w:eastAsia="fr-FR"/>
        </w:rPr>
        <w:t>(Liu et al.</w:t>
      </w:r>
      <w:r w:rsidR="007F4B85">
        <w:rPr>
          <w:rFonts w:asciiTheme="majorBidi" w:eastAsia="Times New Roman" w:hAnsiTheme="majorBidi" w:cstheme="majorBidi"/>
          <w:bCs/>
          <w:sz w:val="24"/>
          <w:szCs w:val="24"/>
          <w:lang w:eastAsia="fr-FR"/>
        </w:rPr>
        <w:t>,</w:t>
      </w:r>
      <w:r w:rsidRPr="00206B59">
        <w:rPr>
          <w:rFonts w:asciiTheme="majorBidi" w:eastAsia="Times New Roman" w:hAnsiTheme="majorBidi" w:cstheme="majorBidi"/>
          <w:bCs/>
          <w:sz w:val="24"/>
          <w:szCs w:val="24"/>
          <w:lang w:val="en-US" w:eastAsia="fr-FR"/>
        </w:rPr>
        <w:t xml:space="preserve"> 2007</w:t>
      </w:r>
      <w:r w:rsidRPr="0052738E">
        <w:rPr>
          <w:rFonts w:ascii="Simplified Arabic" w:eastAsia="Times New Roman" w:hAnsi="Simplified Arabic" w:cs="Simplified Arabic"/>
          <w:b/>
          <w:sz w:val="24"/>
          <w:szCs w:val="24"/>
          <w:rtl/>
          <w:lang w:val="en-US" w:eastAsia="fr-FR"/>
        </w:rPr>
        <w:t xml:space="preserve"> </w:t>
      </w:r>
      <w:r w:rsidR="008B3E54">
        <w:rPr>
          <w:rFonts w:ascii="Simplified Arabic" w:eastAsia="Times New Roman" w:hAnsi="Simplified Arabic" w:cs="Simplified Arabic" w:hint="cs"/>
          <w:b/>
          <w:sz w:val="24"/>
          <w:szCs w:val="24"/>
          <w:rtl/>
          <w:lang w:val="en-US" w:eastAsia="fr-FR"/>
        </w:rPr>
        <w:t>ب</w:t>
      </w:r>
      <w:r w:rsidR="003E0F31" w:rsidRPr="00206B59">
        <w:rPr>
          <w:rFonts w:ascii="Simplified Arabic" w:eastAsia="Times New Roman" w:hAnsi="Simplified Arabic" w:cs="Simplified Arabic" w:hint="cs"/>
          <w:b/>
          <w:sz w:val="24"/>
          <w:szCs w:val="24"/>
          <w:rtl/>
          <w:lang w:val="en-US" w:eastAsia="fr-FR"/>
        </w:rPr>
        <w:t>دراسة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منطقة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هانيانغ</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الواقعة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في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مدينة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ووهان</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بالصين</w:t>
      </w:r>
      <w:r w:rsidR="006330C8">
        <w:rPr>
          <w:rFonts w:ascii="Simplified Arabic" w:eastAsia="Times New Roman" w:hAnsi="Simplified Arabic" w:cs="Simplified Arabic" w:hint="cs"/>
          <w:b/>
          <w:sz w:val="24"/>
          <w:szCs w:val="24"/>
          <w:rtl/>
          <w:lang w:val="en-US" w:eastAsia="fr-FR"/>
        </w:rPr>
        <w:t>،</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باستخدام</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الطريقة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الشاملة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لتحليل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مدى</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ملا</w:t>
      </w:r>
      <w:r w:rsidR="008B3E54">
        <w:rPr>
          <w:rFonts w:ascii="Simplified Arabic" w:eastAsia="Times New Roman" w:hAnsi="Simplified Arabic" w:cs="Simplified Arabic" w:hint="cs"/>
          <w:b/>
          <w:sz w:val="24"/>
          <w:szCs w:val="24"/>
          <w:rtl/>
          <w:lang w:val="en-US" w:eastAsia="fr-FR"/>
        </w:rPr>
        <w:t>ئ</w:t>
      </w:r>
      <w:r w:rsidR="003E0F31" w:rsidRPr="00206B59">
        <w:rPr>
          <w:rFonts w:ascii="Simplified Arabic" w:eastAsia="Times New Roman" w:hAnsi="Simplified Arabic" w:cs="Simplified Arabic" w:hint="cs"/>
          <w:b/>
          <w:sz w:val="24"/>
          <w:szCs w:val="24"/>
          <w:rtl/>
          <w:lang w:val="en-US" w:eastAsia="fr-FR"/>
        </w:rPr>
        <w:t>مة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w:t>
      </w:r>
      <w:r w:rsidR="003166C4">
        <w:rPr>
          <w:rFonts w:ascii="Simplified Arabic" w:hAnsi="Simplified Arabic" w:cs="Simplified Arabic" w:hint="cs"/>
          <w:sz w:val="24"/>
          <w:szCs w:val="24"/>
          <w:rtl/>
        </w:rPr>
        <w:t>استعمال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المستقبلي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للأرض</w:t>
      </w:r>
      <w:r w:rsidR="006330C8">
        <w:rPr>
          <w:rFonts w:ascii="Simplified Arabic" w:eastAsia="Times New Roman" w:hAnsi="Simplified Arabic" w:cs="Simplified Arabic" w:hint="cs"/>
          <w:b/>
          <w:sz w:val="24"/>
          <w:szCs w:val="24"/>
          <w:rtl/>
          <w:lang w:val="en-US" w:eastAsia="fr-FR"/>
        </w:rPr>
        <w:t>،</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وفقًا</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للمتطلبات</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والتفضيلات</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والتنبؤات</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 xml:space="preserve">المحددة. </w:t>
      </w:r>
      <w:r>
        <w:rPr>
          <w:rFonts w:ascii="Simplified Arabic" w:eastAsia="Times New Roman" w:hAnsi="Simplified Arabic" w:cs="Simplified Arabic" w:hint="cs"/>
          <w:b/>
          <w:sz w:val="24"/>
          <w:szCs w:val="24"/>
          <w:rtl/>
          <w:lang w:val="en-US" w:eastAsia="fr-FR"/>
        </w:rPr>
        <w:t>تمت ال</w:t>
      </w:r>
      <w:r w:rsidR="003E0F31" w:rsidRPr="00206B59">
        <w:rPr>
          <w:rFonts w:ascii="Simplified Arabic" w:eastAsia="Times New Roman" w:hAnsi="Simplified Arabic" w:cs="Simplified Arabic" w:hint="cs"/>
          <w:b/>
          <w:sz w:val="24"/>
          <w:szCs w:val="24"/>
          <w:rtl/>
          <w:lang w:val="en-US" w:eastAsia="fr-FR"/>
        </w:rPr>
        <w:t>دراسة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لتخطيط</w:t>
      </w:r>
      <w:r w:rsidR="003E0F31" w:rsidRPr="00206B59">
        <w:rPr>
          <w:rFonts w:ascii="Simplified Arabic" w:eastAsia="Times New Roman" w:hAnsi="Simplified Arabic" w:cs="Simplified Arabic"/>
          <w:b/>
          <w:sz w:val="24"/>
          <w:szCs w:val="24"/>
          <w:rtl/>
          <w:lang w:val="en-US" w:eastAsia="fr-FR"/>
        </w:rPr>
        <w:t xml:space="preserve"> </w:t>
      </w:r>
      <w:r w:rsidR="003166C4">
        <w:rPr>
          <w:rFonts w:ascii="Simplified Arabic" w:hAnsi="Simplified Arabic" w:cs="Simplified Arabic" w:hint="cs"/>
          <w:sz w:val="24"/>
          <w:szCs w:val="24"/>
          <w:rtl/>
        </w:rPr>
        <w:t>استعمال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الأرض</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في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المناطق</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الحضرية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على</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أساس</w:t>
      </w:r>
      <w:r w:rsidR="003E0F31" w:rsidRPr="00206B59">
        <w:rPr>
          <w:rFonts w:ascii="Simplified Arabic" w:eastAsia="Times New Roman" w:hAnsi="Simplified Arabic" w:cs="Simplified Arabic"/>
          <w:b/>
          <w:sz w:val="24"/>
          <w:szCs w:val="24"/>
          <w:rtl/>
          <w:lang w:val="en-US" w:eastAsia="fr-FR"/>
        </w:rPr>
        <w:t xml:space="preserve"> </w:t>
      </w:r>
      <w:r w:rsidR="00476FEE">
        <w:rPr>
          <w:rFonts w:ascii="Simplified Arabic" w:eastAsia="Times New Roman" w:hAnsi="Simplified Arabic" w:cs="Simplified Arabic" w:hint="cs"/>
          <w:b/>
          <w:sz w:val="24"/>
          <w:szCs w:val="24"/>
          <w:rtl/>
          <w:lang w:val="en-US" w:eastAsia="fr-FR"/>
        </w:rPr>
        <w:t xml:space="preserve">تقنية </w:t>
      </w:r>
      <w:r w:rsidR="003E0F31" w:rsidRPr="00206B59">
        <w:rPr>
          <w:rFonts w:ascii="Simplified Arabic" w:eastAsia="Times New Roman" w:hAnsi="Simplified Arabic" w:cs="Simplified Arabic" w:hint="cs"/>
          <w:b/>
          <w:sz w:val="24"/>
          <w:szCs w:val="24"/>
          <w:rtl/>
          <w:lang w:val="en-US" w:eastAsia="fr-FR"/>
        </w:rPr>
        <w:t>نظم</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المعلومات</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الجغرافية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وطريقة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التحليل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متعددة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المعايير،</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والتي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تم</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تطبيقها</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في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مدينة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لانتشو،</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والمناطق</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المجاورة</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لها</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في</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شمال</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غرب</w:t>
      </w:r>
      <w:r w:rsidR="003E0F31" w:rsidRPr="00206B59">
        <w:rPr>
          <w:rFonts w:ascii="Simplified Arabic" w:eastAsia="Times New Roman" w:hAnsi="Simplified Arabic" w:cs="Simplified Arabic"/>
          <w:b/>
          <w:sz w:val="24"/>
          <w:szCs w:val="24"/>
          <w:rtl/>
          <w:lang w:val="en-US" w:eastAsia="fr-FR"/>
        </w:rPr>
        <w:t xml:space="preserve"> </w:t>
      </w:r>
      <w:r w:rsidR="003E0F31" w:rsidRPr="00206B59">
        <w:rPr>
          <w:rFonts w:ascii="Simplified Arabic" w:eastAsia="Times New Roman" w:hAnsi="Simplified Arabic" w:cs="Simplified Arabic" w:hint="cs"/>
          <w:b/>
          <w:sz w:val="24"/>
          <w:szCs w:val="24"/>
          <w:rtl/>
          <w:lang w:val="en-US" w:eastAsia="fr-FR"/>
        </w:rPr>
        <w:t>الصين</w:t>
      </w:r>
      <w:r w:rsidR="003E0F31" w:rsidRPr="00206B59">
        <w:rPr>
          <w:rFonts w:ascii="Simplified Arabic" w:eastAsia="Times New Roman" w:hAnsi="Simplified Arabic" w:cs="Simplified Arabic"/>
          <w:b/>
          <w:sz w:val="24"/>
          <w:szCs w:val="24"/>
          <w:rtl/>
          <w:lang w:val="en-US" w:eastAsia="fr-FR"/>
        </w:rPr>
        <w:t>.</w:t>
      </w:r>
    </w:p>
    <w:p w:rsidR="003E0F31" w:rsidRPr="00121ACA" w:rsidRDefault="003E0F31" w:rsidP="00ED10C2">
      <w:pPr>
        <w:tabs>
          <w:tab w:val="right" w:pos="281"/>
        </w:tabs>
        <w:bidi/>
        <w:spacing w:after="0"/>
        <w:ind w:firstLine="283"/>
        <w:jc w:val="both"/>
        <w:rPr>
          <w:rFonts w:ascii="Arial" w:hAnsi="Arial"/>
          <w:sz w:val="24"/>
          <w:szCs w:val="24"/>
          <w:lang w:val="en-US"/>
        </w:rPr>
      </w:pPr>
      <w:r w:rsidRPr="00206B59">
        <w:rPr>
          <w:rFonts w:ascii="Simplified Arabic" w:eastAsia="Times New Roman" w:hAnsi="Simplified Arabic" w:cs="Simplified Arabic"/>
          <w:b/>
          <w:sz w:val="24"/>
          <w:szCs w:val="24"/>
          <w:rtl/>
          <w:lang w:val="en-US" w:eastAsia="fr-FR"/>
        </w:rPr>
        <w:t>في تحليلات المرونة البيئية، استخدم الباحثون</w:t>
      </w:r>
      <w:r w:rsidRPr="00206B59">
        <w:rPr>
          <w:rFonts w:ascii="Simplified Arabic" w:eastAsia="Times New Roman" w:hAnsi="Simplified Arabic" w:cs="Simplified Arabic" w:hint="cs"/>
          <w:b/>
          <w:sz w:val="24"/>
          <w:szCs w:val="24"/>
          <w:rtl/>
          <w:lang w:val="en-US" w:eastAsia="fr-FR"/>
        </w:rPr>
        <w:t xml:space="preserve"> مختلف</w:t>
      </w:r>
      <w:r w:rsidRPr="00206B59">
        <w:rPr>
          <w:rFonts w:ascii="Simplified Arabic" w:eastAsia="Times New Roman" w:hAnsi="Simplified Arabic" w:cs="Simplified Arabic"/>
          <w:b/>
          <w:sz w:val="24"/>
          <w:szCs w:val="24"/>
          <w:rtl/>
          <w:lang w:val="en-US" w:eastAsia="fr-FR"/>
        </w:rPr>
        <w:t xml:space="preserve"> طرق </w:t>
      </w:r>
      <w:r w:rsidRPr="00206B59">
        <w:rPr>
          <w:rFonts w:ascii="Simplified Arabic" w:eastAsia="Times New Roman" w:hAnsi="Simplified Arabic" w:cs="Simplified Arabic" w:hint="cs"/>
          <w:b/>
          <w:sz w:val="24"/>
          <w:szCs w:val="24"/>
          <w:rtl/>
          <w:lang w:val="en-US" w:eastAsia="fr-FR"/>
        </w:rPr>
        <w:t xml:space="preserve">التحليل </w:t>
      </w:r>
      <w:r w:rsidRPr="00206B59">
        <w:rPr>
          <w:rFonts w:ascii="Simplified Arabic" w:eastAsia="Times New Roman" w:hAnsi="Simplified Arabic" w:cs="Simplified Arabic"/>
          <w:b/>
          <w:sz w:val="24"/>
          <w:szCs w:val="24"/>
          <w:rtl/>
          <w:lang w:val="en-US" w:eastAsia="fr-FR"/>
        </w:rPr>
        <w:t>متعددة المعايير،</w:t>
      </w:r>
      <w:r w:rsidRPr="00206B59">
        <w:rPr>
          <w:rStyle w:val="y2iqfc"/>
          <w:rFonts w:asciiTheme="majorBidi" w:hAnsiTheme="majorBidi" w:cstheme="majorBidi"/>
          <w:color w:val="202124"/>
          <w:sz w:val="24"/>
          <w:szCs w:val="24"/>
          <w:rtl/>
          <w:lang w:bidi="ar"/>
        </w:rPr>
        <w:t>(</w:t>
      </w:r>
      <w:r w:rsidRPr="00206B59">
        <w:rPr>
          <w:rStyle w:val="y2iqfc"/>
          <w:rFonts w:asciiTheme="majorBidi" w:hAnsiTheme="majorBidi" w:cstheme="majorBidi"/>
          <w:color w:val="202124"/>
          <w:sz w:val="24"/>
          <w:szCs w:val="24"/>
          <w:lang w:bidi="ar"/>
        </w:rPr>
        <w:t>PCA</w:t>
      </w:r>
      <w:r w:rsidRPr="00206B59">
        <w:rPr>
          <w:rStyle w:val="y2iqfc"/>
          <w:rFonts w:asciiTheme="majorBidi" w:hAnsiTheme="majorBidi" w:cstheme="majorBidi"/>
          <w:color w:val="202124"/>
          <w:sz w:val="24"/>
          <w:szCs w:val="24"/>
          <w:rtl/>
          <w:lang w:bidi="ar"/>
        </w:rPr>
        <w:t>)</w:t>
      </w:r>
      <w:r w:rsidRPr="00206B59">
        <w:rPr>
          <w:rStyle w:val="y2iqfc"/>
          <w:rFonts w:asciiTheme="minorBidi" w:hAnsiTheme="minorBidi"/>
          <w:color w:val="202124"/>
          <w:sz w:val="24"/>
          <w:szCs w:val="24"/>
          <w:rtl/>
          <w:lang w:bidi="ar"/>
        </w:rPr>
        <w:t xml:space="preserve">، </w:t>
      </w:r>
      <w:r w:rsidRPr="00206B59">
        <w:rPr>
          <w:rStyle w:val="y2iqfc"/>
          <w:rFonts w:asciiTheme="majorBidi" w:hAnsiTheme="majorBidi" w:cstheme="majorBidi" w:hint="cs"/>
          <w:color w:val="202124"/>
          <w:sz w:val="24"/>
          <w:szCs w:val="24"/>
          <w:rtl/>
          <w:lang w:bidi="ar"/>
        </w:rPr>
        <w:t>(</w:t>
      </w:r>
      <w:r w:rsidRPr="00206B59">
        <w:rPr>
          <w:rStyle w:val="y2iqfc"/>
          <w:rFonts w:asciiTheme="majorBidi" w:hAnsiTheme="majorBidi" w:cstheme="majorBidi"/>
          <w:color w:val="202124"/>
          <w:sz w:val="24"/>
          <w:szCs w:val="24"/>
          <w:lang w:bidi="ar"/>
        </w:rPr>
        <w:t>AHP</w:t>
      </w:r>
      <w:r w:rsidRPr="00206B59">
        <w:rPr>
          <w:rStyle w:val="y2iqfc"/>
          <w:rFonts w:asciiTheme="majorBidi" w:hAnsiTheme="majorBidi" w:cstheme="majorBidi" w:hint="cs"/>
          <w:color w:val="202124"/>
          <w:sz w:val="24"/>
          <w:szCs w:val="24"/>
          <w:rtl/>
          <w:lang w:bidi="ar"/>
        </w:rPr>
        <w:t>)</w:t>
      </w:r>
      <w:r w:rsidRPr="00206B59">
        <w:rPr>
          <w:rFonts w:ascii="Simplified Arabic" w:eastAsia="Times New Roman" w:hAnsi="Simplified Arabic" w:cs="Simplified Arabic"/>
          <w:b/>
          <w:sz w:val="24"/>
          <w:szCs w:val="24"/>
          <w:rtl/>
          <w:lang w:val="en-US" w:eastAsia="fr-FR"/>
        </w:rPr>
        <w:t>،</w:t>
      </w:r>
      <w:r w:rsidRPr="00206B59">
        <w:rPr>
          <w:rStyle w:val="y2iqfc"/>
          <w:rFonts w:asciiTheme="minorBidi" w:hAnsiTheme="minorBidi"/>
          <w:color w:val="202124"/>
          <w:sz w:val="24"/>
          <w:szCs w:val="24"/>
          <w:rtl/>
          <w:lang w:bidi="ar"/>
        </w:rPr>
        <w:t xml:space="preserve"> </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إلخ</w:t>
      </w:r>
      <w:r w:rsidRPr="00206B59">
        <w:rPr>
          <w:rStyle w:val="y2iqfc"/>
          <w:rFonts w:asciiTheme="minorBidi" w:hAnsiTheme="minorBidi"/>
          <w:color w:val="202124"/>
          <w:sz w:val="24"/>
          <w:szCs w:val="24"/>
          <w:rtl/>
          <w:lang w:bidi="ar"/>
        </w:rPr>
        <w:t xml:space="preserve"> </w:t>
      </w:r>
      <w:r w:rsidRPr="00206B59">
        <w:rPr>
          <w:rStyle w:val="y2iqfc"/>
          <w:rFonts w:asciiTheme="majorBidi" w:hAnsiTheme="majorBidi" w:cstheme="majorBidi"/>
          <w:color w:val="202124"/>
          <w:sz w:val="24"/>
          <w:szCs w:val="24"/>
          <w:rtl/>
          <w:lang w:bidi="ar"/>
        </w:rPr>
        <w:t xml:space="preserve"> </w:t>
      </w:r>
      <w:r w:rsidR="00ED10C2" w:rsidRPr="00206B59">
        <w:rPr>
          <w:rFonts w:asciiTheme="majorBidi" w:eastAsia="Times New Roman" w:hAnsiTheme="majorBidi" w:cstheme="majorBidi"/>
          <w:bCs/>
          <w:sz w:val="24"/>
          <w:szCs w:val="24"/>
          <w:lang w:eastAsia="fr-FR"/>
        </w:rPr>
        <w:t>Phua and Minowa</w:t>
      </w:r>
      <w:r w:rsidRPr="00206B59">
        <w:rPr>
          <w:rFonts w:asciiTheme="majorBidi" w:hAnsiTheme="majorBidi" w:cstheme="majorBidi"/>
          <w:color w:val="000000"/>
          <w:sz w:val="24"/>
          <w:szCs w:val="24"/>
          <w:lang w:val="en-US"/>
        </w:rPr>
        <w:t xml:space="preserve">, 2005; Malczewski, 2006; </w:t>
      </w:r>
      <w:r w:rsidRPr="00206B59">
        <w:rPr>
          <w:rFonts w:asciiTheme="majorBidi" w:hAnsiTheme="majorBidi" w:cstheme="majorBidi"/>
          <w:color w:val="0D0D0D"/>
          <w:sz w:val="24"/>
          <w:szCs w:val="24"/>
          <w:lang w:val="en-US"/>
        </w:rPr>
        <w:t xml:space="preserve">Chen, 2014; </w:t>
      </w:r>
      <w:r w:rsidRPr="00206B59">
        <w:rPr>
          <w:rFonts w:asciiTheme="majorBidi" w:hAnsiTheme="majorBidi" w:cstheme="majorBidi"/>
          <w:color w:val="000000" w:themeColor="text1"/>
          <w:sz w:val="24"/>
          <w:szCs w:val="24"/>
          <w:lang w:val="en-US" w:bidi="ar-DZ"/>
        </w:rPr>
        <w:t xml:space="preserve">Haghighi </w:t>
      </w:r>
      <w:r w:rsidRPr="00206B59">
        <w:rPr>
          <w:rFonts w:asciiTheme="majorBidi" w:hAnsiTheme="majorBidi" w:cstheme="majorBidi"/>
          <w:color w:val="000000" w:themeColor="text1"/>
          <w:sz w:val="24"/>
          <w:szCs w:val="24"/>
          <w:lang w:bidi="ar-DZ"/>
        </w:rPr>
        <w:t>Fard and Doratli</w:t>
      </w:r>
      <w:r w:rsidRPr="00206B59">
        <w:rPr>
          <w:rFonts w:asciiTheme="majorBidi" w:hAnsiTheme="majorBidi" w:cstheme="majorBidi"/>
          <w:color w:val="000000"/>
          <w:sz w:val="24"/>
          <w:szCs w:val="24"/>
        </w:rPr>
        <w:t>, 2022</w:t>
      </w:r>
      <w:r w:rsidRPr="00206B59">
        <w:rPr>
          <w:rFonts w:asciiTheme="majorBidi" w:hAnsiTheme="majorBidi" w:cstheme="majorBidi"/>
          <w:color w:val="0D0D0D"/>
          <w:sz w:val="24"/>
          <w:szCs w:val="24"/>
          <w:lang w:val="en-US"/>
        </w:rPr>
        <w:t>)</w:t>
      </w:r>
      <w:r w:rsidRPr="00206B59">
        <w:rPr>
          <w:rStyle w:val="y2iqfc"/>
          <w:rFonts w:asciiTheme="majorBidi" w:hAnsiTheme="majorBidi" w:cstheme="majorBidi"/>
          <w:color w:val="202124"/>
          <w:sz w:val="24"/>
          <w:szCs w:val="24"/>
          <w:rtl/>
          <w:lang w:bidi="ar"/>
        </w:rPr>
        <w:t xml:space="preserve">) </w:t>
      </w:r>
      <w:r w:rsidRPr="00206B59">
        <w:rPr>
          <w:rFonts w:ascii="Simplified Arabic" w:eastAsia="Times New Roman" w:hAnsi="Simplified Arabic" w:cs="Simplified Arabic"/>
          <w:b/>
          <w:sz w:val="24"/>
          <w:szCs w:val="24"/>
          <w:rtl/>
          <w:lang w:val="en-US" w:eastAsia="fr-FR"/>
        </w:rPr>
        <w:t xml:space="preserve">استنادًا إلى التوزيع الزماني المكاني لتقدير مرونة المناطق الحضرية المستوطنات. </w:t>
      </w:r>
      <w:r w:rsidRPr="00206B59">
        <w:rPr>
          <w:rFonts w:ascii="Simplified Arabic" w:eastAsia="Times New Roman" w:hAnsi="Simplified Arabic" w:cs="Simplified Arabic" w:hint="cs"/>
          <w:b/>
          <w:sz w:val="24"/>
          <w:szCs w:val="24"/>
          <w:rtl/>
          <w:lang w:val="en-US" w:eastAsia="fr-FR"/>
        </w:rPr>
        <w:t>عملية</w:t>
      </w:r>
      <w:r w:rsidRPr="00206B59">
        <w:rPr>
          <w:sz w:val="24"/>
          <w:szCs w:val="24"/>
          <w:rtl/>
        </w:rPr>
        <w:t xml:space="preserve"> </w:t>
      </w:r>
      <w:r w:rsidRPr="00206B59">
        <w:rPr>
          <w:rFonts w:asciiTheme="majorBidi" w:eastAsia="Times New Roman" w:hAnsiTheme="majorBidi" w:cstheme="majorBidi"/>
          <w:b/>
          <w:sz w:val="24"/>
          <w:szCs w:val="24"/>
          <w:rtl/>
          <w:lang w:eastAsia="fr-FR"/>
        </w:rPr>
        <w:t>(</w:t>
      </w:r>
      <w:r w:rsidRPr="00206B59">
        <w:rPr>
          <w:rFonts w:asciiTheme="majorBidi" w:eastAsia="Times New Roman" w:hAnsiTheme="majorBidi" w:cstheme="majorBidi"/>
          <w:bCs/>
          <w:sz w:val="24"/>
          <w:szCs w:val="24"/>
          <w:lang w:eastAsia="fr-FR"/>
        </w:rPr>
        <w:t>AHP</w:t>
      </w:r>
      <w:r w:rsidRPr="00206B59">
        <w:rPr>
          <w:rFonts w:asciiTheme="majorBidi" w:eastAsia="Times New Roman" w:hAnsiTheme="majorBidi" w:cstheme="majorBidi"/>
          <w:b/>
          <w:sz w:val="24"/>
          <w:szCs w:val="24"/>
          <w:rtl/>
          <w:lang w:eastAsia="fr-FR"/>
        </w:rPr>
        <w:t>)</w:t>
      </w:r>
      <w:r w:rsidRPr="00206B59">
        <w:rPr>
          <w:sz w:val="24"/>
          <w:szCs w:val="24"/>
          <w:rtl/>
        </w:rPr>
        <w:t xml:space="preserve"> </w:t>
      </w:r>
      <w:r w:rsidRPr="00206B59">
        <w:rPr>
          <w:rFonts w:ascii="Simplified Arabic" w:eastAsia="Times New Roman" w:hAnsi="Simplified Arabic" w:cs="Simplified Arabic" w:hint="cs"/>
          <w:b/>
          <w:sz w:val="24"/>
          <w:szCs w:val="24"/>
          <w:rtl/>
          <w:lang w:val="en-US" w:eastAsia="fr-FR"/>
        </w:rPr>
        <w:t>هي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طريقة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لصنع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متعدد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تُمكن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تنظيم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وإيجاد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إجابة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لمشكلة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معقدة</w:t>
      </w:r>
      <w:r w:rsidRPr="00206B59">
        <w:rPr>
          <w:rFonts w:hint="cs"/>
          <w:sz w:val="24"/>
          <w:szCs w:val="24"/>
          <w:rtl/>
        </w:rPr>
        <w:t xml:space="preserve"> </w:t>
      </w:r>
      <w:r w:rsidRPr="00206B59">
        <w:rPr>
          <w:sz w:val="24"/>
          <w:szCs w:val="24"/>
        </w:rPr>
        <w:t xml:space="preserve"> </w:t>
      </w:r>
      <w:r w:rsidRPr="00206B59">
        <w:rPr>
          <w:rFonts w:asciiTheme="majorBidi" w:hAnsiTheme="majorBidi" w:cstheme="majorBidi"/>
          <w:color w:val="000000"/>
          <w:sz w:val="24"/>
          <w:szCs w:val="24"/>
          <w:lang w:val="en-US"/>
        </w:rPr>
        <w:t>Saaty</w:t>
      </w:r>
      <w:r w:rsidRPr="00206B59">
        <w:rPr>
          <w:rFonts w:asciiTheme="majorBidi" w:eastAsia="Times New Roman" w:hAnsiTheme="majorBidi" w:cstheme="majorBidi"/>
          <w:bCs/>
          <w:sz w:val="24"/>
          <w:szCs w:val="24"/>
          <w:lang w:eastAsia="fr-FR"/>
        </w:rPr>
        <w:t>,</w:t>
      </w:r>
      <w:r w:rsidRPr="00206B59">
        <w:rPr>
          <w:rFonts w:asciiTheme="majorBidi" w:eastAsia="Times New Roman" w:hAnsiTheme="majorBidi" w:cstheme="majorBidi"/>
          <w:bCs/>
          <w:sz w:val="24"/>
          <w:szCs w:val="24"/>
          <w:lang w:val="en-US" w:eastAsia="fr-FR"/>
        </w:rPr>
        <w:t xml:space="preserve"> 1980)</w:t>
      </w:r>
      <w:r w:rsidRPr="00206B59">
        <w:rPr>
          <w:rFonts w:asciiTheme="majorBidi" w:eastAsia="Times New Roman" w:hAnsiTheme="majorBidi" w:cstheme="majorBidi"/>
          <w:bCs/>
          <w:sz w:val="24"/>
          <w:szCs w:val="24"/>
          <w:rtl/>
          <w:lang w:val="en-US" w:eastAsia="fr-FR"/>
        </w:rPr>
        <w:t>)</w:t>
      </w:r>
      <w:r w:rsidRPr="00206B59">
        <w:rPr>
          <w:rFonts w:ascii="Simplified Arabic" w:eastAsia="Times New Roman" w:hAnsi="Simplified Arabic" w:cs="Simplified Arabic" w:hint="cs"/>
          <w:b/>
          <w:sz w:val="24"/>
          <w:szCs w:val="24"/>
          <w:rtl/>
          <w:lang w:val="en-US" w:eastAsia="fr-FR"/>
        </w:rPr>
        <w:t>.</w:t>
      </w:r>
    </w:p>
    <w:p w:rsidR="003E0F31" w:rsidRPr="00121ACA" w:rsidRDefault="003E0F31" w:rsidP="008E533E">
      <w:pPr>
        <w:tabs>
          <w:tab w:val="right" w:pos="281"/>
        </w:tabs>
        <w:bidi/>
        <w:spacing w:after="0"/>
        <w:ind w:firstLine="283"/>
        <w:jc w:val="both"/>
        <w:rPr>
          <w:rFonts w:ascii="Simplified Arabic" w:eastAsia="Times New Roman" w:hAnsi="Simplified Arabic" w:cs="Simplified Arabic"/>
          <w:b/>
          <w:sz w:val="24"/>
          <w:szCs w:val="24"/>
          <w:rtl/>
          <w:lang w:val="en-US" w:eastAsia="fr-FR"/>
        </w:rPr>
      </w:pPr>
      <w:r w:rsidRPr="00206B59">
        <w:rPr>
          <w:rFonts w:ascii="Simplified Arabic" w:eastAsia="Times New Roman" w:hAnsi="Simplified Arabic" w:cs="Simplified Arabic" w:hint="cs"/>
          <w:b/>
          <w:sz w:val="24"/>
          <w:szCs w:val="24"/>
          <w:rtl/>
          <w:lang w:val="en-US" w:eastAsia="fr-FR"/>
        </w:rPr>
        <w:t>أبلغ</w:t>
      </w:r>
      <w:r w:rsidRPr="00206B59">
        <w:rPr>
          <w:rFonts w:asciiTheme="majorBidi" w:eastAsia="CharisSIL" w:hAnsiTheme="majorBidi" w:cstheme="majorBidi" w:hint="cs"/>
          <w:sz w:val="24"/>
          <w:szCs w:val="24"/>
          <w:rtl/>
          <w:lang w:val="en-US"/>
        </w:rPr>
        <w:t xml:space="preserve"> </w:t>
      </w:r>
      <w:r w:rsidRPr="00206B59">
        <w:rPr>
          <w:rFonts w:asciiTheme="majorBidi" w:eastAsia="Times New Roman" w:hAnsiTheme="majorBidi" w:cstheme="majorBidi"/>
          <w:bCs/>
          <w:sz w:val="24"/>
          <w:szCs w:val="24"/>
          <w:lang w:eastAsia="fr-FR"/>
        </w:rPr>
        <w:t>(Javari</w:t>
      </w:r>
      <w:r w:rsidRPr="00206B59">
        <w:rPr>
          <w:rFonts w:asciiTheme="majorBidi" w:eastAsia="CharisSIL" w:hAnsiTheme="majorBidi" w:cstheme="majorBidi"/>
          <w:sz w:val="24"/>
          <w:szCs w:val="24"/>
          <w:lang w:val="en-US"/>
        </w:rPr>
        <w:t>)</w:t>
      </w:r>
      <w:r w:rsidRPr="008E533E">
        <w:rPr>
          <w:rFonts w:ascii="Simplified Arabic" w:eastAsia="Times New Roman" w:hAnsi="Simplified Arabic" w:cs="Simplified Arabic" w:hint="cs"/>
          <w:b/>
          <w:rtl/>
          <w:lang w:val="en-US" w:eastAsia="fr-FR"/>
        </w:rPr>
        <w:t>،</w:t>
      </w:r>
      <w:r w:rsidRPr="00206B59">
        <w:rPr>
          <w:rFonts w:ascii="Simplified Arabic" w:eastAsia="Times New Roman" w:hAnsi="Simplified Arabic" w:cs="Simplified Arabic"/>
          <w:b/>
          <w:sz w:val="24"/>
          <w:szCs w:val="24"/>
          <w:rtl/>
          <w:lang w:val="en-US" w:eastAsia="fr-FR"/>
        </w:rPr>
        <w:t xml:space="preserve"> </w:t>
      </w:r>
      <w:r w:rsidRPr="008E533E">
        <w:rPr>
          <w:rFonts w:ascii="Simplified Arabic" w:eastAsia="Times New Roman" w:hAnsi="Simplified Arabic" w:cs="Simplified Arabic" w:hint="cs"/>
          <w:b/>
          <w:sz w:val="24"/>
          <w:szCs w:val="24"/>
          <w:rtl/>
          <w:lang w:val="en-US" w:eastAsia="fr-FR"/>
        </w:rPr>
        <w:t>عن</w:t>
      </w:r>
      <w:r w:rsidRPr="008E533E">
        <w:rPr>
          <w:rFonts w:ascii="Simplified Arabic" w:eastAsia="Times New Roman" w:hAnsi="Simplified Arabic" w:cs="Simplified Arabic"/>
          <w:b/>
          <w:sz w:val="24"/>
          <w:szCs w:val="24"/>
          <w:rtl/>
          <w:lang w:val="en-US" w:eastAsia="fr-FR"/>
        </w:rPr>
        <w:t xml:space="preserve"> </w:t>
      </w:r>
      <w:r w:rsidRPr="008E533E">
        <w:rPr>
          <w:rFonts w:ascii="Simplified Arabic" w:eastAsia="Times New Roman" w:hAnsi="Simplified Arabic" w:cs="Simplified Arabic" w:hint="cs"/>
          <w:b/>
          <w:sz w:val="24"/>
          <w:szCs w:val="24"/>
          <w:rtl/>
          <w:lang w:val="en-US" w:eastAsia="fr-FR"/>
        </w:rPr>
        <w:t>نهج</w:t>
      </w:r>
      <w:r w:rsidRPr="008E533E">
        <w:rPr>
          <w:rFonts w:ascii="Simplified Arabic" w:eastAsia="Times New Roman" w:hAnsi="Simplified Arabic" w:cs="Simplified Arabic"/>
          <w:b/>
          <w:sz w:val="24"/>
          <w:szCs w:val="24"/>
          <w:rtl/>
          <w:lang w:val="en-US" w:eastAsia="fr-FR"/>
        </w:rPr>
        <w:t xml:space="preserve"> </w:t>
      </w:r>
      <w:r w:rsidRPr="008E533E">
        <w:rPr>
          <w:rFonts w:ascii="Simplified Arabic" w:eastAsia="Times New Roman" w:hAnsi="Simplified Arabic" w:cs="Simplified Arabic" w:hint="cs"/>
          <w:b/>
          <w:sz w:val="24"/>
          <w:szCs w:val="24"/>
          <w:rtl/>
          <w:lang w:val="en-US" w:eastAsia="fr-FR"/>
        </w:rPr>
        <w:t>البرمجة</w:t>
      </w:r>
      <w:r w:rsidRPr="008E533E">
        <w:rPr>
          <w:rFonts w:ascii="Simplified Arabic" w:eastAsia="Times New Roman" w:hAnsi="Simplified Arabic" w:cs="Simplified Arabic"/>
          <w:b/>
          <w:sz w:val="24"/>
          <w:szCs w:val="24"/>
          <w:rtl/>
          <w:lang w:val="en-US" w:eastAsia="fr-FR"/>
        </w:rPr>
        <w:t xml:space="preserve"> </w:t>
      </w:r>
      <w:r w:rsidRPr="008E533E">
        <w:rPr>
          <w:rFonts w:ascii="Simplified Arabic" w:eastAsia="Times New Roman" w:hAnsi="Simplified Arabic" w:cs="Simplified Arabic" w:hint="cs"/>
          <w:b/>
          <w:sz w:val="24"/>
          <w:szCs w:val="24"/>
          <w:rtl/>
          <w:lang w:val="en-US" w:eastAsia="fr-FR"/>
        </w:rPr>
        <w:t>الخطية</w:t>
      </w:r>
      <w:r w:rsidRPr="008E533E">
        <w:rPr>
          <w:rFonts w:ascii="Simplified Arabic" w:eastAsia="Times New Roman" w:hAnsi="Simplified Arabic" w:cs="Simplified Arabic"/>
          <w:b/>
          <w:sz w:val="24"/>
          <w:szCs w:val="24"/>
          <w:rtl/>
          <w:lang w:val="en-US" w:eastAsia="fr-FR"/>
        </w:rPr>
        <w:t xml:space="preserve"> </w:t>
      </w:r>
      <w:r w:rsidRPr="008E533E">
        <w:rPr>
          <w:rFonts w:ascii="Simplified Arabic" w:eastAsia="Times New Roman" w:hAnsi="Simplified Arabic" w:cs="Simplified Arabic" w:hint="cs"/>
          <w:b/>
          <w:sz w:val="24"/>
          <w:szCs w:val="24"/>
          <w:rtl/>
          <w:lang w:val="en-US" w:eastAsia="fr-FR"/>
        </w:rPr>
        <w:t>المتكاملة</w:t>
      </w:r>
      <w:r w:rsidRPr="008E533E">
        <w:rPr>
          <w:rFonts w:ascii="Simplified Arabic" w:eastAsia="Times New Roman" w:hAnsi="Simplified Arabic" w:cs="Simplified Arabic"/>
          <w:b/>
          <w:sz w:val="28"/>
          <w:szCs w:val="28"/>
          <w:rtl/>
          <w:lang w:val="en-US" w:eastAsia="fr-FR"/>
        </w:rPr>
        <w:t xml:space="preserve"> </w:t>
      </w:r>
      <w:r w:rsidRPr="00206B59">
        <w:rPr>
          <w:rFonts w:asciiTheme="majorBidi" w:eastAsia="Times New Roman" w:hAnsiTheme="majorBidi" w:cstheme="majorBidi"/>
          <w:b/>
          <w:sz w:val="24"/>
          <w:szCs w:val="24"/>
          <w:rtl/>
          <w:lang w:eastAsia="fr-FR"/>
        </w:rPr>
        <w:t>(</w:t>
      </w:r>
      <w:r w:rsidRPr="00206B59">
        <w:rPr>
          <w:rFonts w:asciiTheme="majorBidi" w:eastAsia="Times New Roman" w:hAnsiTheme="majorBidi" w:cstheme="majorBidi"/>
          <w:bCs/>
          <w:sz w:val="24"/>
          <w:szCs w:val="24"/>
          <w:lang w:eastAsia="fr-FR"/>
        </w:rPr>
        <w:t>MCDA</w:t>
      </w:r>
      <w:r w:rsidRPr="00206B59">
        <w:rPr>
          <w:rFonts w:asciiTheme="majorBidi" w:eastAsia="Times New Roman" w:hAnsiTheme="majorBidi" w:cstheme="majorBidi"/>
          <w:b/>
          <w:sz w:val="24"/>
          <w:szCs w:val="24"/>
          <w:rtl/>
          <w:lang w:eastAsia="fr-FR"/>
        </w:rPr>
        <w:t>)</w:t>
      </w:r>
      <w:r w:rsidRPr="008E533E">
        <w:rPr>
          <w:rFonts w:ascii="Simplified Arabic" w:eastAsia="Times New Roman" w:hAnsi="Simplified Arabic" w:cs="Simplified Arabic" w:hint="cs"/>
          <w:b/>
          <w:sz w:val="24"/>
          <w:szCs w:val="24"/>
          <w:rtl/>
          <w:lang w:val="en-US" w:eastAsia="fr-FR"/>
        </w:rPr>
        <w:t xml:space="preserve"> </w:t>
      </w:r>
      <w:r w:rsidR="008E533E" w:rsidRPr="008E533E">
        <w:rPr>
          <w:rFonts w:ascii="Simplified Arabic" w:eastAsia="Times New Roman" w:hAnsi="Simplified Arabic" w:cs="Simplified Arabic"/>
          <w:b/>
          <w:sz w:val="24"/>
          <w:szCs w:val="24"/>
          <w:rtl/>
          <w:lang w:val="en-US" w:eastAsia="fr-FR"/>
        </w:rPr>
        <w:t xml:space="preserve">لتحليل </w:t>
      </w:r>
      <w:r w:rsidRPr="008E533E">
        <w:rPr>
          <w:rFonts w:ascii="Simplified Arabic" w:eastAsia="Times New Roman" w:hAnsi="Simplified Arabic" w:cs="Simplified Arabic"/>
          <w:b/>
          <w:sz w:val="24"/>
          <w:szCs w:val="24"/>
          <w:rtl/>
          <w:lang w:val="en-US" w:eastAsia="fr-FR"/>
        </w:rPr>
        <w:t xml:space="preserve">مرونة البيئة </w:t>
      </w:r>
      <w:r w:rsidR="008E533E" w:rsidRPr="008E533E">
        <w:rPr>
          <w:rFonts w:ascii="Simplified Arabic" w:eastAsia="Times New Roman" w:hAnsi="Simplified Arabic" w:cs="Simplified Arabic" w:hint="cs"/>
          <w:b/>
          <w:sz w:val="24"/>
          <w:szCs w:val="24"/>
          <w:rtl/>
          <w:lang w:val="en-US" w:eastAsia="fr-FR"/>
        </w:rPr>
        <w:t>الحضرية</w:t>
      </w:r>
      <w:r w:rsidRPr="008E533E">
        <w:rPr>
          <w:rFonts w:ascii="Simplified Arabic" w:eastAsia="Times New Roman" w:hAnsi="Simplified Arabic" w:cs="Simplified Arabic"/>
          <w:b/>
          <w:rtl/>
          <w:lang w:val="en-US" w:eastAsia="fr-FR"/>
        </w:rPr>
        <w:t xml:space="preserve">، </w:t>
      </w:r>
      <w:r w:rsidR="008E533E" w:rsidRPr="008E533E">
        <w:rPr>
          <w:rFonts w:ascii="Simplified Arabic" w:eastAsia="Times New Roman" w:hAnsi="Simplified Arabic" w:cs="Simplified Arabic" w:hint="cs"/>
          <w:b/>
          <w:rtl/>
          <w:lang w:val="en-US" w:eastAsia="fr-FR"/>
        </w:rPr>
        <w:t>ت</w:t>
      </w:r>
      <w:r w:rsidRPr="008E533E">
        <w:rPr>
          <w:rFonts w:ascii="Simplified Arabic" w:eastAsia="Times New Roman" w:hAnsi="Simplified Arabic" w:cs="Simplified Arabic"/>
          <w:b/>
          <w:rtl/>
          <w:lang w:val="en-US" w:eastAsia="fr-FR"/>
        </w:rPr>
        <w:t>ستخدم</w:t>
      </w:r>
      <w:r w:rsidRPr="00206B59">
        <w:rPr>
          <w:rStyle w:val="y2iqfc"/>
          <w:rFonts w:asciiTheme="minorBidi" w:hAnsiTheme="minorBidi"/>
          <w:color w:val="202124"/>
          <w:sz w:val="24"/>
          <w:szCs w:val="24"/>
          <w:rtl/>
          <w:lang w:bidi="ar"/>
        </w:rPr>
        <w:t xml:space="preserve"> </w:t>
      </w:r>
      <w:r w:rsidRPr="00206B59">
        <w:rPr>
          <w:rStyle w:val="y2iqfc"/>
          <w:rFonts w:asciiTheme="minorBidi" w:hAnsiTheme="minorBidi"/>
          <w:sz w:val="24"/>
          <w:szCs w:val="24"/>
          <w:rtl/>
        </w:rPr>
        <w:t>تقنيات التحليل متعدد المعايير في اتخاذ القرار</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CharisSIL" w:hAnsiTheme="majorBidi" w:cstheme="majorBidi"/>
          <w:sz w:val="24"/>
          <w:szCs w:val="24"/>
          <w:lang w:val="en-US"/>
        </w:rPr>
        <w:t>(Javari</w:t>
      </w:r>
      <w:r w:rsidRPr="00206B59">
        <w:rPr>
          <w:rFonts w:asciiTheme="majorBidi" w:eastAsia="Times New Roman" w:hAnsiTheme="majorBidi" w:cstheme="majorBidi"/>
          <w:bCs/>
          <w:sz w:val="24"/>
          <w:szCs w:val="24"/>
          <w:lang w:eastAsia="fr-FR"/>
        </w:rPr>
        <w:t xml:space="preserve"> et al.,</w:t>
      </w:r>
      <w:r w:rsidRPr="00206B59">
        <w:rPr>
          <w:rFonts w:asciiTheme="majorBidi" w:eastAsia="CharisSIL" w:hAnsiTheme="majorBidi" w:cstheme="majorBidi"/>
          <w:sz w:val="24"/>
          <w:szCs w:val="24"/>
          <w:lang w:val="en-US"/>
        </w:rPr>
        <w:t>2021)</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لإنشاء</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خريطة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ملاءمة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مرئية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للمستخدمين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وصناع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الترويج</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لتكامل</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
          <w:sz w:val="24"/>
          <w:szCs w:val="24"/>
          <w:rtl/>
          <w:lang w:eastAsia="fr-FR"/>
        </w:rPr>
        <w:t>(</w:t>
      </w:r>
      <w:r w:rsidRPr="00206B59">
        <w:rPr>
          <w:rFonts w:asciiTheme="majorBidi" w:eastAsia="Times New Roman" w:hAnsiTheme="majorBidi" w:cstheme="majorBidi"/>
          <w:bCs/>
          <w:sz w:val="24"/>
          <w:szCs w:val="24"/>
          <w:lang w:eastAsia="fr-FR"/>
        </w:rPr>
        <w:t>MCDA</w:t>
      </w:r>
      <w:r w:rsidRPr="00206B59">
        <w:rPr>
          <w:rFonts w:asciiTheme="majorBidi" w:eastAsia="Times New Roman" w:hAnsiTheme="majorBidi" w:cstheme="majorBidi"/>
          <w:b/>
          <w:sz w:val="24"/>
          <w:szCs w:val="24"/>
          <w:rtl/>
          <w:lang w:eastAsia="fr-FR"/>
        </w:rPr>
        <w:t>)</w:t>
      </w:r>
      <w:r w:rsidRPr="00206B59">
        <w:rPr>
          <w:rFonts w:asciiTheme="majorBidi" w:eastAsia="Times New Roman" w:hAnsiTheme="majorBidi" w:cstheme="majorBidi" w:hint="cs"/>
          <w:b/>
          <w:sz w:val="24"/>
          <w:szCs w:val="24"/>
          <w:rtl/>
          <w:lang w:eastAsia="fr-FR"/>
        </w:rPr>
        <w:t xml:space="preserve"> </w:t>
      </w:r>
      <w:r w:rsidRPr="00206B59">
        <w:rPr>
          <w:rFonts w:ascii="Simplified Arabic" w:eastAsia="Times New Roman" w:hAnsi="Simplified Arabic" w:cs="Simplified Arabic" w:hint="cs"/>
          <w:b/>
          <w:sz w:val="24"/>
          <w:szCs w:val="24"/>
          <w:rtl/>
          <w:lang w:val="en-US" w:eastAsia="fr-FR"/>
        </w:rPr>
        <w:t>و</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hAnsi="Simplified Arabic" w:cs="Simplified Arabic" w:hint="cs"/>
          <w:sz w:val="24"/>
          <w:szCs w:val="24"/>
          <w:rtl/>
          <w:lang w:bidi="ar-DZ"/>
        </w:rPr>
        <w:t>نظم المعلومات الجغرافية</w:t>
      </w:r>
      <w:r w:rsidRPr="00206B59">
        <w:rPr>
          <w:rFonts w:asciiTheme="minorBidi" w:hAnsiTheme="minorBidi" w:hint="cs"/>
          <w:sz w:val="24"/>
          <w:szCs w:val="24"/>
          <w:rtl/>
        </w:rPr>
        <w:t xml:space="preserve"> </w:t>
      </w:r>
      <w:r w:rsidRPr="00206B59">
        <w:rPr>
          <w:rFonts w:asciiTheme="majorBidi" w:hAnsiTheme="majorBidi" w:cstheme="majorBidi" w:hint="cs"/>
          <w:sz w:val="24"/>
          <w:szCs w:val="24"/>
          <w:rtl/>
        </w:rPr>
        <w:t>(</w:t>
      </w:r>
      <w:r w:rsidRPr="00206B59">
        <w:rPr>
          <w:rFonts w:asciiTheme="majorBidi" w:hAnsiTheme="majorBidi" w:cstheme="majorBidi"/>
          <w:sz w:val="24"/>
          <w:szCs w:val="24"/>
        </w:rPr>
        <w:t>GIS</w:t>
      </w:r>
      <w:r w:rsidRPr="00206B59">
        <w:rPr>
          <w:rFonts w:asciiTheme="majorBidi" w:hAnsiTheme="majorBidi" w:cstheme="majorBidi" w:hint="cs"/>
          <w:sz w:val="24"/>
          <w:szCs w:val="24"/>
          <w:rtl/>
        </w:rPr>
        <w:t>)</w:t>
      </w:r>
      <w:r w:rsidRPr="00206B59">
        <w:rPr>
          <w:rFonts w:asciiTheme="majorBidi" w:hAnsiTheme="majorBidi" w:cstheme="majorBidi"/>
          <w:sz w:val="24"/>
          <w:szCs w:val="24"/>
        </w:rPr>
        <w:t xml:space="preserve"> </w:t>
      </w:r>
      <w:r w:rsidRPr="00206B59">
        <w:rPr>
          <w:rFonts w:ascii="Simplified Arabic" w:eastAsia="Times New Roman" w:hAnsi="Simplified Arabic" w:cs="Simplified Arabic" w:hint="cs"/>
          <w:b/>
          <w:sz w:val="24"/>
          <w:szCs w:val="24"/>
          <w:rtl/>
          <w:lang w:val="en-US" w:eastAsia="fr-FR"/>
        </w:rPr>
        <w:t>على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نطاق</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واسع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لحل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المشكلات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المكانية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التقييم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والتخطيط</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الحضريين</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Cs/>
          <w:sz w:val="24"/>
          <w:szCs w:val="24"/>
          <w:rtl/>
          <w:lang w:eastAsia="fr-FR"/>
        </w:rPr>
        <w:t>(</w:t>
      </w:r>
      <w:r w:rsidRPr="00206B59">
        <w:rPr>
          <w:rFonts w:asciiTheme="majorBidi" w:eastAsia="Times New Roman" w:hAnsiTheme="majorBidi" w:cstheme="majorBidi"/>
          <w:bCs/>
          <w:sz w:val="24"/>
          <w:szCs w:val="24"/>
          <w:lang w:eastAsia="fr-FR"/>
        </w:rPr>
        <w:t>Phua and Minowa, 2005</w:t>
      </w:r>
      <w:r w:rsidRPr="00206B59">
        <w:rPr>
          <w:rFonts w:asciiTheme="majorBidi" w:eastAsia="Times New Roman" w:hAnsiTheme="majorBidi" w:cstheme="majorBidi"/>
          <w:bCs/>
          <w:sz w:val="24"/>
          <w:szCs w:val="24"/>
          <w:rtl/>
          <w:lang w:eastAsia="fr-FR"/>
        </w:rPr>
        <w:t>)</w:t>
      </w:r>
      <w:r w:rsidRPr="00206B59">
        <w:rPr>
          <w:rFonts w:ascii="Simplified Arabic" w:eastAsia="Times New Roman" w:hAnsi="Simplified Arabic" w:cs="Simplified Arabic"/>
          <w:b/>
          <w:sz w:val="24"/>
          <w:szCs w:val="24"/>
          <w:rtl/>
          <w:lang w:val="en-US" w:eastAsia="fr-FR"/>
        </w:rPr>
        <w:t>.</w:t>
      </w:r>
    </w:p>
    <w:p w:rsidR="003E0F31" w:rsidRDefault="003E0F31" w:rsidP="003E0F31">
      <w:pPr>
        <w:tabs>
          <w:tab w:val="right" w:pos="281"/>
        </w:tabs>
        <w:bidi/>
        <w:spacing w:after="0"/>
        <w:ind w:firstLine="283"/>
        <w:jc w:val="both"/>
        <w:rPr>
          <w:rFonts w:ascii="Simplified Arabic" w:eastAsia="Times New Roman" w:hAnsi="Simplified Arabic" w:cs="Simplified Arabic"/>
          <w:b/>
          <w:sz w:val="24"/>
          <w:szCs w:val="24"/>
          <w:rtl/>
          <w:lang w:val="en-US" w:eastAsia="fr-FR"/>
        </w:rPr>
      </w:pPr>
      <w:r w:rsidRPr="00206B59">
        <w:rPr>
          <w:rFonts w:hint="cs"/>
          <w:sz w:val="24"/>
          <w:szCs w:val="24"/>
          <w:rtl/>
          <w:lang w:bidi="ar-DZ"/>
        </w:rPr>
        <w:t xml:space="preserve"> </w:t>
      </w:r>
      <w:r w:rsidRPr="00206B59">
        <w:rPr>
          <w:rFonts w:ascii="Simplified Arabic" w:eastAsia="Times New Roman" w:hAnsi="Simplified Arabic" w:cs="Simplified Arabic" w:hint="cs"/>
          <w:b/>
          <w:sz w:val="24"/>
          <w:szCs w:val="24"/>
          <w:rtl/>
          <w:lang w:val="en-US" w:eastAsia="fr-FR"/>
        </w:rPr>
        <w:t>خلصت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كل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الدراسات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أهمية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وفعالية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طريقة</w:t>
      </w:r>
      <w:r w:rsidRPr="00206B59">
        <w:rPr>
          <w:sz w:val="24"/>
          <w:szCs w:val="24"/>
          <w:rtl/>
          <w:lang w:bidi="ar-DZ"/>
        </w:rPr>
        <w:t xml:space="preserve"> </w:t>
      </w:r>
      <w:r w:rsidRPr="00206B59">
        <w:rPr>
          <w:rFonts w:asciiTheme="majorBidi" w:eastAsia="Times New Roman" w:hAnsiTheme="majorBidi" w:cstheme="majorBidi"/>
          <w:bCs/>
          <w:sz w:val="24"/>
          <w:szCs w:val="24"/>
          <w:lang w:eastAsia="fr-FR"/>
        </w:rPr>
        <w:t>(AHP)</w:t>
      </w:r>
      <w:r w:rsidRPr="00206B59">
        <w:rPr>
          <w:rFonts w:ascii="Simplified Arabic" w:eastAsia="Times New Roman" w:hAnsi="Simplified Arabic" w:cs="Simplified Arabic" w:hint="cs"/>
          <w:b/>
          <w:sz w:val="24"/>
          <w:szCs w:val="24"/>
          <w:rtl/>
          <w:lang w:val="en-US" w:eastAsia="fr-FR"/>
        </w:rPr>
        <w:t xml:space="preserve"> 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القضايا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الحضرية</w:t>
      </w:r>
      <w:r w:rsidRPr="00206B59">
        <w:rPr>
          <w:rFonts w:hint="cs"/>
          <w:sz w:val="24"/>
          <w:szCs w:val="24"/>
          <w:rtl/>
          <w:lang w:bidi="ar-DZ"/>
        </w:rPr>
        <w:t xml:space="preserve"> </w:t>
      </w:r>
      <w:r w:rsidRPr="00206B59">
        <w:rPr>
          <w:rFonts w:asciiTheme="majorBidi" w:eastAsia="CharisSIL" w:hAnsiTheme="majorBidi" w:cstheme="majorBidi"/>
          <w:sz w:val="24"/>
          <w:szCs w:val="24"/>
          <w:lang w:val="en-US"/>
        </w:rPr>
        <w:t>(Javari</w:t>
      </w:r>
      <w:r w:rsidRPr="00206B59">
        <w:rPr>
          <w:rFonts w:asciiTheme="majorBidi" w:eastAsia="Times New Roman" w:hAnsiTheme="majorBidi" w:cstheme="majorBidi"/>
          <w:bCs/>
          <w:sz w:val="24"/>
          <w:szCs w:val="24"/>
          <w:lang w:eastAsia="fr-FR"/>
        </w:rPr>
        <w:t xml:space="preserve"> et al.,</w:t>
      </w:r>
      <w:r w:rsidRPr="00206B59">
        <w:rPr>
          <w:rFonts w:asciiTheme="majorBidi" w:eastAsia="CharisSIL" w:hAnsiTheme="majorBidi" w:cstheme="majorBidi"/>
          <w:sz w:val="24"/>
          <w:szCs w:val="24"/>
          <w:lang w:val="en-US"/>
        </w:rPr>
        <w:t>2021)</w:t>
      </w:r>
      <w:r w:rsidRPr="00206B59">
        <w:rPr>
          <w:rFonts w:ascii="Simplified Arabic" w:eastAsia="Times New Roman" w:hAnsi="Simplified Arabic" w:cs="Simplified Arabic" w:hint="cs"/>
          <w:b/>
          <w:sz w:val="24"/>
          <w:szCs w:val="24"/>
          <w:rtl/>
          <w:lang w:val="en-US" w:eastAsia="fr-FR"/>
        </w:rPr>
        <w:t xml:space="preserve">. طريقة </w:t>
      </w:r>
      <w:r w:rsidRPr="00206B59">
        <w:rPr>
          <w:rFonts w:asciiTheme="majorBidi" w:eastAsia="Times New Roman" w:hAnsiTheme="majorBidi" w:cstheme="majorBidi"/>
          <w:bCs/>
          <w:sz w:val="24"/>
          <w:szCs w:val="24"/>
          <w:lang w:eastAsia="fr-FR"/>
        </w:rPr>
        <w:t xml:space="preserve"> (AHP</w:t>
      </w:r>
      <w:r w:rsidRPr="00206B59">
        <w:rPr>
          <w:rFonts w:asciiTheme="majorBidi" w:eastAsia="Times New Roman" w:hAnsiTheme="majorBidi" w:cstheme="majorBidi"/>
          <w:b/>
          <w:sz w:val="24"/>
          <w:szCs w:val="24"/>
          <w:lang w:eastAsia="fr-FR"/>
        </w:rPr>
        <w:t>)</w:t>
      </w:r>
      <w:r w:rsidRPr="00206B59">
        <w:rPr>
          <w:rFonts w:asciiTheme="majorBidi" w:eastAsia="Times New Roman" w:hAnsiTheme="majorBidi" w:cstheme="majorBidi" w:hint="cs"/>
          <w:b/>
          <w:sz w:val="24"/>
          <w:szCs w:val="24"/>
          <w:rtl/>
          <w:lang w:eastAsia="fr-FR"/>
        </w:rPr>
        <w:t xml:space="preserve"> </w:t>
      </w:r>
      <w:r w:rsidRPr="00206B59">
        <w:rPr>
          <w:rFonts w:ascii="Simplified Arabic" w:eastAsia="Times New Roman" w:hAnsi="Simplified Arabic" w:cs="Simplified Arabic" w:hint="cs"/>
          <w:b/>
          <w:sz w:val="24"/>
          <w:szCs w:val="24"/>
          <w:rtl/>
          <w:lang w:val="en-US" w:eastAsia="fr-FR"/>
        </w:rPr>
        <w:t>هي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النوع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الأكثر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استخدامًا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عملية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متعدد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
          <w:sz w:val="24"/>
          <w:szCs w:val="24"/>
          <w:rtl/>
          <w:lang w:eastAsia="fr-FR"/>
        </w:rPr>
        <w:t>(</w:t>
      </w:r>
      <w:r w:rsidRPr="00206B59">
        <w:rPr>
          <w:rFonts w:asciiTheme="majorBidi" w:eastAsia="Times New Roman" w:hAnsiTheme="majorBidi" w:cstheme="majorBidi"/>
          <w:bCs/>
          <w:sz w:val="24"/>
          <w:szCs w:val="24"/>
          <w:lang w:eastAsia="fr-FR"/>
        </w:rPr>
        <w:t>MCDA</w:t>
      </w:r>
      <w:r w:rsidRPr="00206B59">
        <w:rPr>
          <w:rFonts w:asciiTheme="majorBidi" w:eastAsia="Times New Roman" w:hAnsiTheme="majorBidi" w:cstheme="majorBidi"/>
          <w:b/>
          <w:sz w:val="24"/>
          <w:szCs w:val="24"/>
          <w:rtl/>
          <w:lang w:eastAsia="fr-FR"/>
        </w:rPr>
        <w:t>)</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تسمى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أحيانًا 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الملاءمة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الدراسات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الجغرافية</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Cs/>
          <w:sz w:val="24"/>
          <w:szCs w:val="24"/>
          <w:rtl/>
          <w:lang w:eastAsia="fr-FR"/>
        </w:rPr>
        <w:t>(</w:t>
      </w:r>
      <w:r w:rsidRPr="00206B59">
        <w:rPr>
          <w:rFonts w:asciiTheme="majorBidi" w:eastAsia="Times New Roman" w:hAnsiTheme="majorBidi" w:cstheme="majorBidi"/>
          <w:bCs/>
          <w:sz w:val="24"/>
          <w:szCs w:val="24"/>
          <w:lang w:eastAsia="fr-FR"/>
        </w:rPr>
        <w:t>Malczewski, 2000</w:t>
      </w:r>
      <w:r w:rsidRPr="00206B59">
        <w:rPr>
          <w:rFonts w:asciiTheme="majorBidi" w:eastAsia="Times New Roman" w:hAnsiTheme="majorBidi" w:cstheme="majorBidi"/>
          <w:bCs/>
          <w:sz w:val="24"/>
          <w:szCs w:val="24"/>
          <w:rtl/>
          <w:lang w:eastAsia="fr-FR"/>
        </w:rPr>
        <w:t>)</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لدمج</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مقاييس</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كل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توجيه،</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يتم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استخدام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طريقة</w:t>
      </w:r>
      <w:r w:rsidRPr="00206B59">
        <w:rPr>
          <w:rFonts w:ascii="Simplified Arabic" w:eastAsia="Times New Roman" w:hAnsi="Simplified Arabic" w:cs="Simplified Arabic"/>
          <w:b/>
          <w:sz w:val="24"/>
          <w:szCs w:val="24"/>
          <w:rtl/>
          <w:lang w:val="en-US" w:eastAsia="fr-FR"/>
        </w:rPr>
        <w:t xml:space="preserve"> </w:t>
      </w:r>
      <w:r w:rsidRPr="00206B59">
        <w:rPr>
          <w:rFonts w:asciiTheme="minorBidi" w:hAnsiTheme="minorBidi"/>
          <w:sz w:val="24"/>
          <w:szCs w:val="24"/>
          <w:rtl/>
          <w:lang w:val="en-US"/>
        </w:rPr>
        <w:t xml:space="preserve">التسلسل الهرمي التحليلي </w:t>
      </w:r>
      <w:r w:rsidRPr="00206B59">
        <w:rPr>
          <w:rFonts w:asciiTheme="majorBidi" w:eastAsia="Times New Roman" w:hAnsiTheme="majorBidi" w:cstheme="majorBidi"/>
          <w:bCs/>
          <w:sz w:val="24"/>
          <w:szCs w:val="24"/>
          <w:lang w:eastAsia="fr-FR"/>
        </w:rPr>
        <w:t>(AHP)</w:t>
      </w:r>
      <w:r w:rsidRPr="00206B59">
        <w:rPr>
          <w:rFonts w:asciiTheme="majorBidi" w:eastAsia="Times New Roman" w:hAnsiTheme="majorBidi" w:cstheme="majorBidi" w:hint="cs"/>
          <w:bCs/>
          <w:sz w:val="24"/>
          <w:szCs w:val="24"/>
          <w:rtl/>
          <w:lang w:eastAsia="fr-FR"/>
        </w:rPr>
        <w:t xml:space="preserve"> </w:t>
      </w:r>
      <w:r w:rsidRPr="00206B59">
        <w:rPr>
          <w:rFonts w:ascii="Simplified Arabic" w:eastAsia="Times New Roman" w:hAnsi="Simplified Arabic" w:cs="Simplified Arabic" w:hint="cs"/>
          <w:b/>
          <w:sz w:val="24"/>
          <w:szCs w:val="24"/>
          <w:rtl/>
          <w:lang w:val="en-US" w:eastAsia="fr-FR"/>
        </w:rPr>
        <w:t>لتشكيل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توجيهات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المرونة</w:t>
      </w:r>
      <w:r w:rsidRPr="00206B59">
        <w:rPr>
          <w:rFonts w:ascii="Simplified Arabic" w:eastAsia="Times New Roman" w:hAnsi="Simplified Arabic" w:cs="Simplified Arabic"/>
          <w:b/>
          <w:sz w:val="24"/>
          <w:szCs w:val="24"/>
          <w:rtl/>
          <w:lang w:val="en-US" w:eastAsia="fr-FR"/>
        </w:rPr>
        <w:t>.</w:t>
      </w:r>
      <w:r w:rsidRPr="00206B59">
        <w:rPr>
          <w:rFonts w:hint="cs"/>
          <w:sz w:val="24"/>
          <w:szCs w:val="24"/>
          <w:rtl/>
        </w:rPr>
        <w:t xml:space="preserve"> </w:t>
      </w:r>
    </w:p>
    <w:p w:rsidR="003E0F31" w:rsidRDefault="003E0F31" w:rsidP="003E0F31">
      <w:pPr>
        <w:tabs>
          <w:tab w:val="right" w:pos="281"/>
        </w:tabs>
        <w:bidi/>
        <w:spacing w:after="0"/>
        <w:ind w:firstLine="283"/>
        <w:jc w:val="both"/>
        <w:rPr>
          <w:rFonts w:ascii="Simplified Arabic" w:eastAsia="Times New Roman" w:hAnsi="Simplified Arabic" w:cs="Simplified Arabic"/>
          <w:b/>
          <w:sz w:val="24"/>
          <w:szCs w:val="24"/>
          <w:rtl/>
          <w:lang w:val="en-US" w:eastAsia="fr-FR"/>
        </w:rPr>
      </w:pPr>
      <w:r w:rsidRPr="00206B59">
        <w:rPr>
          <w:rFonts w:ascii="Simplified Arabic" w:eastAsia="Times New Roman" w:hAnsi="Simplified Arabic" w:cs="Simplified Arabic" w:hint="cs"/>
          <w:b/>
          <w:sz w:val="24"/>
          <w:szCs w:val="24"/>
          <w:rtl/>
          <w:lang w:val="en-US" w:eastAsia="fr-FR"/>
        </w:rPr>
        <w:t>طريقة</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Cs/>
          <w:sz w:val="24"/>
          <w:szCs w:val="24"/>
          <w:lang w:eastAsia="fr-FR"/>
        </w:rPr>
        <w:t>(AHP)</w:t>
      </w:r>
      <w:r w:rsidRPr="00206B59">
        <w:rPr>
          <w:rFonts w:asciiTheme="majorBidi" w:eastAsia="Times New Roman" w:hAnsiTheme="majorBidi" w:cstheme="majorBidi" w:hint="cs"/>
          <w:bCs/>
          <w:sz w:val="24"/>
          <w:szCs w:val="24"/>
          <w:rtl/>
          <w:lang w:eastAsia="fr-FR"/>
        </w:rPr>
        <w:t xml:space="preserve"> </w:t>
      </w:r>
      <w:r w:rsidRPr="00206B59">
        <w:rPr>
          <w:rFonts w:ascii="Simplified Arabic" w:eastAsia="Times New Roman" w:hAnsi="Simplified Arabic" w:cs="Simplified Arabic" w:hint="cs"/>
          <w:b/>
          <w:sz w:val="24"/>
          <w:szCs w:val="24"/>
          <w:rtl/>
          <w:lang w:val="en-US" w:eastAsia="fr-FR"/>
        </w:rPr>
        <w:t>هي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عملية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غالبًا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تستخدم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لتحديد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المناطق</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الأكثر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ملاءمة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أو</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الأفضل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أداءً</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مقابل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مجموعة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المحددة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مسبقًا</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Cs/>
          <w:sz w:val="24"/>
          <w:szCs w:val="24"/>
          <w:rtl/>
          <w:lang w:eastAsia="fr-FR"/>
        </w:rPr>
        <w:t>(</w:t>
      </w:r>
      <w:r w:rsidRPr="00206B59">
        <w:rPr>
          <w:rFonts w:asciiTheme="majorBidi" w:eastAsia="Times New Roman" w:hAnsiTheme="majorBidi" w:cstheme="majorBidi"/>
          <w:bCs/>
          <w:sz w:val="24"/>
          <w:szCs w:val="24"/>
          <w:lang w:eastAsia="fr-FR"/>
        </w:rPr>
        <w:t>Malczewski, 2004</w:t>
      </w:r>
      <w:r w:rsidRPr="00206B59">
        <w:rPr>
          <w:rFonts w:asciiTheme="majorBidi" w:eastAsia="Times New Roman" w:hAnsiTheme="majorBidi" w:cstheme="majorBidi"/>
          <w:bCs/>
          <w:sz w:val="24"/>
          <w:szCs w:val="24"/>
          <w:rtl/>
          <w:lang w:eastAsia="fr-FR"/>
        </w:rPr>
        <w:t>)</w:t>
      </w:r>
      <w:r w:rsidRPr="00206B59">
        <w:rPr>
          <w:rFonts w:ascii="Simplified Arabic" w:eastAsia="Times New Roman" w:hAnsi="Simplified Arabic" w:cs="Simplified Arabic"/>
          <w:b/>
          <w:sz w:val="24"/>
          <w:szCs w:val="24"/>
          <w:rtl/>
          <w:lang w:val="en-US" w:eastAsia="fr-FR"/>
        </w:rPr>
        <w:t>.</w:t>
      </w:r>
      <w:r w:rsidRPr="00206B59">
        <w:rPr>
          <w:rFonts w:ascii="Simplified Arabic" w:eastAsia="Times New Roman" w:hAnsi="Simplified Arabic" w:cs="Simplified Arabic" w:hint="cs"/>
          <w:b/>
          <w:sz w:val="24"/>
          <w:szCs w:val="24"/>
          <w:rtl/>
          <w:lang w:val="en-US" w:eastAsia="fr-FR"/>
        </w:rPr>
        <w:t xml:space="preserve"> يتم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إنشاء</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توجيهات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المرونة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خلال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الجمع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المختلفة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بعضها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البعض</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خلال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نهج</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Cs/>
          <w:sz w:val="24"/>
          <w:szCs w:val="24"/>
          <w:lang w:eastAsia="fr-FR"/>
        </w:rPr>
        <w:t>(AHP)</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لتحليل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القرار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متعدد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المعايير</w:t>
      </w:r>
      <w:r w:rsidRPr="00206B59">
        <w:rPr>
          <w:rFonts w:ascii="Simplified Arabic" w:eastAsia="Times New Roman" w:hAnsi="Simplified Arabic" w:cs="Simplified Arabic"/>
          <w:b/>
          <w:sz w:val="24"/>
          <w:szCs w:val="24"/>
          <w:rtl/>
          <w:lang w:val="en-US" w:eastAsia="fr-FR"/>
        </w:rPr>
        <w:t xml:space="preserve"> </w:t>
      </w:r>
      <w:r w:rsidRPr="00206B59">
        <w:rPr>
          <w:rFonts w:asciiTheme="majorBidi" w:eastAsia="Times New Roman" w:hAnsiTheme="majorBidi" w:cstheme="majorBidi"/>
          <w:b/>
          <w:sz w:val="24"/>
          <w:szCs w:val="24"/>
          <w:rtl/>
          <w:lang w:eastAsia="fr-FR"/>
        </w:rPr>
        <w:t>(</w:t>
      </w:r>
      <w:r w:rsidRPr="00206B59">
        <w:rPr>
          <w:rFonts w:asciiTheme="majorBidi" w:eastAsia="Times New Roman" w:hAnsiTheme="majorBidi" w:cstheme="majorBidi"/>
          <w:bCs/>
          <w:sz w:val="24"/>
          <w:szCs w:val="24"/>
          <w:lang w:eastAsia="fr-FR"/>
        </w:rPr>
        <w:t>MCDA</w:t>
      </w:r>
      <w:r w:rsidRPr="00206B59">
        <w:rPr>
          <w:rFonts w:asciiTheme="majorBidi" w:eastAsia="Times New Roman" w:hAnsiTheme="majorBidi" w:cstheme="majorBidi"/>
          <w:b/>
          <w:sz w:val="24"/>
          <w:szCs w:val="24"/>
          <w:rtl/>
          <w:lang w:eastAsia="fr-FR"/>
        </w:rPr>
        <w:t>)</w:t>
      </w:r>
      <w:r w:rsidRPr="00206B59">
        <w:rPr>
          <w:rFonts w:ascii="Simplified Arabic" w:eastAsia="Times New Roman" w:hAnsi="Simplified Arabic" w:cs="Simplified Arabic"/>
          <w:b/>
          <w:sz w:val="24"/>
          <w:szCs w:val="24"/>
          <w:rtl/>
          <w:lang w:val="en-US" w:eastAsia="fr-FR"/>
        </w:rPr>
        <w:t>.</w:t>
      </w:r>
    </w:p>
    <w:p w:rsidR="003E0F31" w:rsidRPr="007353F0" w:rsidRDefault="003E0F31" w:rsidP="001D0548">
      <w:pPr>
        <w:pStyle w:val="Paragraphedeliste"/>
        <w:numPr>
          <w:ilvl w:val="2"/>
          <w:numId w:val="201"/>
        </w:numPr>
        <w:tabs>
          <w:tab w:val="right" w:pos="850"/>
        </w:tabs>
        <w:bidi/>
        <w:spacing w:before="240"/>
        <w:ind w:left="0" w:firstLine="0"/>
        <w:outlineLvl w:val="1"/>
        <w:rPr>
          <w:rFonts w:ascii="Simplified Arabic" w:hAnsi="Simplified Arabic" w:cs="Simplified Arabic"/>
          <w:b/>
          <w:bCs/>
          <w:sz w:val="24"/>
          <w:szCs w:val="24"/>
          <w:rtl/>
          <w:lang w:val="en-US"/>
        </w:rPr>
      </w:pPr>
      <w:bookmarkStart w:id="339" w:name="_Toc171803466"/>
      <w:r w:rsidRPr="007353F0">
        <w:rPr>
          <w:rFonts w:ascii="Simplified Arabic" w:hAnsi="Simplified Arabic" w:cs="Simplified Arabic" w:hint="cs"/>
          <w:b/>
          <w:bCs/>
          <w:sz w:val="24"/>
          <w:szCs w:val="24"/>
          <w:rtl/>
          <w:lang w:val="en-US"/>
        </w:rPr>
        <w:t>امثلة عن دمج</w:t>
      </w:r>
      <w:r w:rsidRPr="007353F0">
        <w:rPr>
          <w:rFonts w:ascii="Simplified Arabic" w:hAnsi="Simplified Arabic" w:cs="Simplified Arabic"/>
          <w:b/>
          <w:bCs/>
          <w:sz w:val="24"/>
          <w:szCs w:val="24"/>
          <w:rtl/>
          <w:lang w:val="en-US"/>
        </w:rPr>
        <w:t xml:space="preserve"> </w:t>
      </w:r>
      <w:r w:rsidRPr="007353F0">
        <w:rPr>
          <w:rFonts w:ascii="Simplified Arabic" w:hAnsi="Simplified Arabic" w:cs="Simplified Arabic" w:hint="cs"/>
          <w:b/>
          <w:bCs/>
          <w:sz w:val="24"/>
          <w:szCs w:val="24"/>
          <w:rtl/>
          <w:lang w:val="en-US"/>
        </w:rPr>
        <w:t>تقنيات</w:t>
      </w:r>
      <w:r w:rsidRPr="007353F0">
        <w:rPr>
          <w:rFonts w:ascii="Simplified Arabic" w:hAnsi="Simplified Arabic" w:cs="Simplified Arabic"/>
          <w:b/>
          <w:bCs/>
          <w:sz w:val="24"/>
          <w:szCs w:val="24"/>
          <w:rtl/>
          <w:lang w:val="en-US"/>
        </w:rPr>
        <w:t xml:space="preserve"> </w:t>
      </w:r>
      <w:r w:rsidRPr="007353F0">
        <w:rPr>
          <w:rFonts w:ascii="Simplified Arabic" w:hAnsi="Simplified Arabic" w:cs="Simplified Arabic" w:hint="cs"/>
          <w:b/>
          <w:bCs/>
          <w:sz w:val="24"/>
          <w:szCs w:val="24"/>
          <w:rtl/>
          <w:lang w:val="en-US"/>
        </w:rPr>
        <w:t>نظم المعلومات الجغرافية</w:t>
      </w:r>
      <w:r w:rsidRPr="007353F0">
        <w:rPr>
          <w:rFonts w:ascii="Simplified Arabic" w:hAnsi="Simplified Arabic" w:cs="Simplified Arabic"/>
          <w:b/>
          <w:bCs/>
          <w:sz w:val="24"/>
          <w:szCs w:val="24"/>
          <w:rtl/>
          <w:lang w:val="en-US"/>
        </w:rPr>
        <w:t xml:space="preserve"> </w:t>
      </w:r>
      <w:r w:rsidRPr="007353F0">
        <w:rPr>
          <w:rFonts w:ascii="Simplified Arabic" w:hAnsi="Simplified Arabic" w:cs="Simplified Arabic" w:hint="cs"/>
          <w:b/>
          <w:bCs/>
          <w:sz w:val="24"/>
          <w:szCs w:val="24"/>
          <w:rtl/>
          <w:lang w:val="en-US"/>
        </w:rPr>
        <w:t>في</w:t>
      </w:r>
      <w:r w:rsidRPr="007353F0">
        <w:rPr>
          <w:rFonts w:ascii="Simplified Arabic" w:hAnsi="Simplified Arabic" w:cs="Simplified Arabic"/>
          <w:b/>
          <w:bCs/>
          <w:sz w:val="24"/>
          <w:szCs w:val="24"/>
          <w:rtl/>
          <w:lang w:val="en-US"/>
        </w:rPr>
        <w:t xml:space="preserve"> </w:t>
      </w:r>
      <w:r w:rsidRPr="007353F0">
        <w:rPr>
          <w:rFonts w:ascii="Simplified Arabic" w:hAnsi="Simplified Arabic" w:cs="Simplified Arabic" w:hint="cs"/>
          <w:b/>
          <w:bCs/>
          <w:sz w:val="24"/>
          <w:szCs w:val="24"/>
          <w:rtl/>
          <w:lang w:val="en-US"/>
        </w:rPr>
        <w:t>التحليل</w:t>
      </w:r>
      <w:r w:rsidRPr="007353F0">
        <w:rPr>
          <w:rFonts w:ascii="Simplified Arabic" w:hAnsi="Simplified Arabic" w:cs="Simplified Arabic"/>
          <w:b/>
          <w:bCs/>
          <w:sz w:val="24"/>
          <w:szCs w:val="24"/>
          <w:rtl/>
          <w:lang w:val="en-US"/>
        </w:rPr>
        <w:t xml:space="preserve"> </w:t>
      </w:r>
      <w:r w:rsidRPr="007353F0">
        <w:rPr>
          <w:rFonts w:ascii="Simplified Arabic" w:hAnsi="Simplified Arabic" w:cs="Simplified Arabic" w:hint="cs"/>
          <w:b/>
          <w:bCs/>
          <w:sz w:val="24"/>
          <w:szCs w:val="24"/>
          <w:rtl/>
          <w:lang w:val="en-US"/>
        </w:rPr>
        <w:t>المكاني للمرونة</w:t>
      </w:r>
      <w:bookmarkEnd w:id="339"/>
    </w:p>
    <w:p w:rsidR="003E0F31" w:rsidRPr="000F593C" w:rsidRDefault="003E0F31" w:rsidP="001D0548">
      <w:pPr>
        <w:pStyle w:val="Paragraphedeliste"/>
        <w:numPr>
          <w:ilvl w:val="3"/>
          <w:numId w:val="271"/>
        </w:numPr>
        <w:tabs>
          <w:tab w:val="right" w:pos="992"/>
        </w:tabs>
        <w:bidi/>
        <w:spacing w:before="240" w:after="0"/>
        <w:ind w:left="0" w:firstLine="0"/>
        <w:jc w:val="both"/>
        <w:outlineLvl w:val="2"/>
        <w:rPr>
          <w:rFonts w:ascii="Simplified Arabic" w:hAnsi="Simplified Arabic" w:cs="Simplified Arabic"/>
          <w:b/>
          <w:bCs/>
          <w:color w:val="000000"/>
          <w:sz w:val="24"/>
          <w:szCs w:val="24"/>
          <w:rtl/>
          <w:lang w:val="en-US"/>
        </w:rPr>
      </w:pPr>
      <w:bookmarkStart w:id="340" w:name="_Toc171803467"/>
      <w:r w:rsidRPr="000F593C">
        <w:rPr>
          <w:rFonts w:ascii="Simplified Arabic" w:hAnsi="Simplified Arabic" w:cs="Simplified Arabic"/>
          <w:b/>
          <w:bCs/>
          <w:color w:val="000000"/>
          <w:sz w:val="24"/>
          <w:szCs w:val="24"/>
          <w:rtl/>
          <w:lang w:val="en-US"/>
        </w:rPr>
        <w:t xml:space="preserve">تفعيل المرونة الحضرية للفيضانات في الأراضي المحصورة-التطبيق في </w:t>
      </w:r>
      <w:r w:rsidRPr="000F593C">
        <w:rPr>
          <w:rFonts w:asciiTheme="majorBidi" w:hAnsiTheme="majorBidi" w:cstheme="majorBidi"/>
          <w:b/>
          <w:bCs/>
          <w:color w:val="000000"/>
          <w:sz w:val="20"/>
          <w:szCs w:val="20"/>
          <w:rtl/>
          <w:lang w:val="en-US"/>
        </w:rPr>
        <w:t>(</w:t>
      </w:r>
      <w:r w:rsidRPr="000F593C">
        <w:rPr>
          <w:rFonts w:asciiTheme="majorBidi" w:hAnsiTheme="majorBidi" w:cstheme="majorBidi"/>
          <w:b/>
          <w:bCs/>
          <w:color w:val="000000"/>
          <w:sz w:val="20"/>
          <w:szCs w:val="20"/>
        </w:rPr>
        <w:t>Avignon</w:t>
      </w:r>
      <w:r w:rsidRPr="000F593C">
        <w:rPr>
          <w:rFonts w:asciiTheme="majorBidi" w:hAnsiTheme="majorBidi" w:cstheme="majorBidi"/>
          <w:b/>
          <w:bCs/>
          <w:color w:val="000000"/>
          <w:sz w:val="20"/>
          <w:szCs w:val="20"/>
          <w:rtl/>
          <w:lang w:val="en-US"/>
        </w:rPr>
        <w:t>)</w:t>
      </w:r>
      <w:r w:rsidRPr="000F593C">
        <w:rPr>
          <w:rFonts w:ascii="Simplified Arabic" w:hAnsi="Simplified Arabic" w:cs="Simplified Arabic"/>
          <w:b/>
          <w:bCs/>
          <w:color w:val="000000"/>
          <w:rtl/>
          <w:lang w:val="en-US"/>
        </w:rPr>
        <w:t xml:space="preserve">، </w:t>
      </w:r>
      <w:r w:rsidRPr="000F593C">
        <w:rPr>
          <w:rFonts w:ascii="Simplified Arabic" w:hAnsi="Simplified Arabic" w:cs="Simplified Arabic"/>
          <w:b/>
          <w:bCs/>
          <w:color w:val="000000"/>
          <w:sz w:val="24"/>
          <w:szCs w:val="24"/>
          <w:rtl/>
          <w:lang w:val="en-US"/>
        </w:rPr>
        <w:t>مقاطعة</w:t>
      </w:r>
      <w:r w:rsidRPr="000F593C">
        <w:rPr>
          <w:rFonts w:ascii="Simplified Arabic" w:hAnsi="Simplified Arabic" w:cs="Simplified Arabic" w:hint="cs"/>
          <w:b/>
          <w:bCs/>
          <w:color w:val="000000"/>
          <w:sz w:val="24"/>
          <w:szCs w:val="24"/>
          <w:rtl/>
          <w:lang w:val="en-US"/>
        </w:rPr>
        <w:t xml:space="preserve"> </w:t>
      </w:r>
      <w:r w:rsidRPr="000F593C">
        <w:rPr>
          <w:rFonts w:asciiTheme="majorBidi" w:hAnsiTheme="majorBidi" w:cstheme="majorBidi"/>
          <w:b/>
          <w:bCs/>
          <w:color w:val="000000"/>
          <w:sz w:val="20"/>
          <w:szCs w:val="20"/>
          <w:rtl/>
          <w:lang w:val="en-US"/>
        </w:rPr>
        <w:t>(</w:t>
      </w:r>
      <w:r w:rsidRPr="000F593C">
        <w:rPr>
          <w:rFonts w:asciiTheme="majorBidi" w:hAnsiTheme="majorBidi" w:cstheme="majorBidi"/>
          <w:b/>
          <w:bCs/>
          <w:color w:val="000000"/>
          <w:sz w:val="20"/>
          <w:szCs w:val="20"/>
        </w:rPr>
        <w:t>Alpes Côte</w:t>
      </w:r>
      <w:r w:rsidRPr="000F593C">
        <w:rPr>
          <w:rFonts w:asciiTheme="majorBidi" w:hAnsiTheme="majorBidi" w:cstheme="majorBidi"/>
          <w:b/>
          <w:bCs/>
          <w:color w:val="000000"/>
          <w:sz w:val="20"/>
          <w:szCs w:val="20"/>
          <w:rtl/>
          <w:lang w:val="en-US"/>
        </w:rPr>
        <w:t xml:space="preserve"> </w:t>
      </w:r>
      <w:r w:rsidRPr="000F593C">
        <w:rPr>
          <w:rFonts w:asciiTheme="majorBidi" w:hAnsiTheme="majorBidi" w:cstheme="majorBidi"/>
          <w:b/>
          <w:bCs/>
          <w:color w:val="000000"/>
          <w:sz w:val="20"/>
          <w:szCs w:val="20"/>
        </w:rPr>
        <w:t>Azur</w:t>
      </w:r>
      <w:r w:rsidRPr="000F593C">
        <w:rPr>
          <w:rFonts w:asciiTheme="majorBidi" w:hAnsiTheme="majorBidi" w:cstheme="majorBidi"/>
          <w:b/>
          <w:bCs/>
          <w:color w:val="000000"/>
          <w:sz w:val="20"/>
          <w:szCs w:val="20"/>
          <w:rtl/>
          <w:lang w:val="en-US"/>
        </w:rPr>
        <w:t>)</w:t>
      </w:r>
      <w:bookmarkEnd w:id="340"/>
      <w:r w:rsidRPr="000F593C">
        <w:rPr>
          <w:rFonts w:ascii="Simplified Arabic" w:hAnsi="Simplified Arabic" w:cs="Simplified Arabic"/>
          <w:b/>
          <w:bCs/>
          <w:color w:val="000000"/>
          <w:sz w:val="24"/>
          <w:szCs w:val="24"/>
          <w:rtl/>
          <w:lang w:val="en-US"/>
        </w:rPr>
        <w:t xml:space="preserve"> </w:t>
      </w:r>
    </w:p>
    <w:p w:rsidR="003E0F31" w:rsidRPr="000B42BD" w:rsidRDefault="003E0F31" w:rsidP="001D0548">
      <w:pPr>
        <w:pStyle w:val="Paragraphedeliste"/>
        <w:numPr>
          <w:ilvl w:val="0"/>
          <w:numId w:val="21"/>
        </w:numPr>
        <w:shd w:val="clear" w:color="auto" w:fill="F2F2F2" w:themeFill="background1" w:themeFillShade="F2"/>
        <w:spacing w:before="240" w:after="0"/>
        <w:ind w:left="284" w:hanging="284"/>
        <w:jc w:val="center"/>
        <w:rPr>
          <w:rFonts w:asciiTheme="majorBidi" w:hAnsiTheme="majorBidi" w:cstheme="majorBidi"/>
          <w:color w:val="000000"/>
          <w:rtl/>
          <w:lang w:val="en-US"/>
        </w:rPr>
      </w:pPr>
      <w:r w:rsidRPr="000B42BD">
        <w:rPr>
          <w:rFonts w:asciiTheme="majorBidi" w:hAnsiTheme="majorBidi" w:cstheme="majorBidi"/>
          <w:color w:val="000000"/>
          <w:lang w:val="en-US"/>
        </w:rPr>
        <w:t>Operationalizing urban resilience to floods in embanked</w:t>
      </w:r>
      <w:r w:rsidRPr="000B42BD">
        <w:rPr>
          <w:rFonts w:asciiTheme="majorBidi" w:hAnsiTheme="majorBidi" w:cstheme="majorBidi" w:hint="cs"/>
          <w:color w:val="000000"/>
          <w:rtl/>
        </w:rPr>
        <w:t xml:space="preserve"> </w:t>
      </w:r>
      <w:r w:rsidRPr="000B42BD">
        <w:rPr>
          <w:rFonts w:asciiTheme="majorBidi" w:hAnsiTheme="majorBidi" w:cstheme="majorBidi"/>
          <w:color w:val="000000"/>
          <w:lang w:val="en-US"/>
        </w:rPr>
        <w:t>territories – Application in Avignon,</w:t>
      </w:r>
      <w:r w:rsidRPr="000B42BD">
        <w:rPr>
          <w:rFonts w:asciiTheme="majorBidi" w:hAnsiTheme="majorBidi" w:cstheme="majorBidi" w:hint="cs"/>
          <w:color w:val="000000"/>
          <w:rtl/>
          <w:lang w:val="en-US"/>
        </w:rPr>
        <w:t xml:space="preserve"> </w:t>
      </w:r>
      <w:r w:rsidRPr="000B42BD">
        <w:rPr>
          <w:rFonts w:asciiTheme="majorBidi" w:hAnsiTheme="majorBidi" w:cstheme="majorBidi"/>
          <w:color w:val="000000"/>
          <w:lang w:val="en-US"/>
        </w:rPr>
        <w:t>Provence Alpes Côte</w:t>
      </w:r>
      <w:r w:rsidRPr="000B42BD">
        <w:rPr>
          <w:rFonts w:asciiTheme="majorBidi" w:hAnsiTheme="majorBidi" w:cstheme="majorBidi" w:hint="cs"/>
          <w:color w:val="000000"/>
          <w:rtl/>
          <w:lang w:val="en-US"/>
        </w:rPr>
        <w:t xml:space="preserve"> </w:t>
      </w:r>
      <w:r w:rsidRPr="000B42BD">
        <w:rPr>
          <w:rFonts w:asciiTheme="majorBidi" w:hAnsiTheme="majorBidi" w:cstheme="majorBidi"/>
          <w:color w:val="000000"/>
          <w:lang w:val="en-US"/>
        </w:rPr>
        <w:t xml:space="preserve">d’Azur Region, </w:t>
      </w:r>
      <w:r w:rsidRPr="000B42BD">
        <w:rPr>
          <w:rFonts w:asciiTheme="majorBidi" w:hAnsiTheme="majorBidi" w:cstheme="majorBidi"/>
          <w:color w:val="000000" w:themeColor="text1"/>
          <w:rtl/>
          <w:lang w:val="en-US" w:bidi="ar-DZ"/>
        </w:rPr>
        <w:t>)</w:t>
      </w:r>
      <w:r w:rsidRPr="00206B59">
        <w:rPr>
          <w:rFonts w:asciiTheme="majorBidi" w:hAnsiTheme="majorBidi" w:cstheme="majorBidi"/>
          <w:color w:val="000000" w:themeColor="text1"/>
          <w:lang w:val="en-US" w:bidi="ar-DZ"/>
        </w:rPr>
        <w:t>Heinzlef</w:t>
      </w:r>
      <w:r w:rsidRPr="000B42BD">
        <w:rPr>
          <w:rFonts w:asciiTheme="majorBidi" w:hAnsiTheme="majorBidi" w:cstheme="majorBidi"/>
          <w:color w:val="000000" w:themeColor="text1"/>
          <w:lang w:val="en-US" w:bidi="ar-DZ"/>
        </w:rPr>
        <w:t xml:space="preserve"> et al., 2019)</w:t>
      </w:r>
    </w:p>
    <w:p w:rsidR="003E0F31" w:rsidRDefault="003E0F31" w:rsidP="00165B85">
      <w:pPr>
        <w:tabs>
          <w:tab w:val="right" w:pos="281"/>
        </w:tabs>
        <w:bidi/>
        <w:spacing w:before="240" w:after="0"/>
        <w:ind w:firstLine="282"/>
        <w:jc w:val="both"/>
        <w:rPr>
          <w:rFonts w:ascii="Simplified Arabic" w:eastAsia="Times New Roman" w:hAnsi="Simplified Arabic" w:cs="Simplified Arabic"/>
          <w:b/>
          <w:sz w:val="24"/>
          <w:szCs w:val="24"/>
          <w:rtl/>
          <w:lang w:val="en-US" w:eastAsia="fr-FR"/>
        </w:rPr>
      </w:pPr>
      <w:r w:rsidRPr="00206B59">
        <w:rPr>
          <w:rFonts w:ascii="Simplified Arabic" w:eastAsia="Times New Roman" w:hAnsi="Simplified Arabic" w:cs="Simplified Arabic" w:hint="cs"/>
          <w:b/>
          <w:sz w:val="24"/>
          <w:szCs w:val="24"/>
          <w:rtl/>
          <w:lang w:val="en-US" w:eastAsia="fr-FR"/>
        </w:rPr>
        <w:t>قامت</w:t>
      </w:r>
      <w:r w:rsidRPr="00206B59">
        <w:rPr>
          <w:rFonts w:ascii="Garamond" w:eastAsia="Times New Roman" w:hAnsi="Garamond" w:cs="Times New Roman"/>
          <w:b/>
          <w:color w:val="000000"/>
          <w:sz w:val="24"/>
          <w:szCs w:val="24"/>
          <w:rtl/>
          <w:lang w:eastAsia="fr-FR"/>
        </w:rPr>
        <w:t xml:space="preserve"> </w:t>
      </w:r>
      <w:r w:rsidRPr="00206B59">
        <w:rPr>
          <w:rFonts w:asciiTheme="majorBidi" w:hAnsiTheme="majorBidi" w:cstheme="majorBidi"/>
          <w:color w:val="000000" w:themeColor="text1"/>
          <w:sz w:val="24"/>
          <w:szCs w:val="24"/>
          <w:lang w:val="en-US" w:bidi="ar-DZ"/>
        </w:rPr>
        <w:t xml:space="preserve">Heinzlef et al., </w:t>
      </w:r>
      <w:r w:rsidR="00120DEB" w:rsidRPr="00206B59">
        <w:rPr>
          <w:rFonts w:asciiTheme="majorBidi" w:hAnsiTheme="majorBidi" w:cstheme="majorBidi"/>
          <w:color w:val="000000" w:themeColor="text1"/>
          <w:lang w:val="en-US" w:bidi="ar-DZ"/>
        </w:rPr>
        <w:t>2019</w:t>
      </w:r>
      <w:r w:rsidRPr="00206B59">
        <w:rPr>
          <w:rFonts w:asciiTheme="majorBidi" w:hAnsiTheme="majorBidi" w:cstheme="majorBidi"/>
          <w:color w:val="000000" w:themeColor="text1"/>
          <w:sz w:val="24"/>
          <w:szCs w:val="24"/>
          <w:lang w:val="en-US" w:bidi="ar-DZ"/>
        </w:rPr>
        <w:t>)</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hint="cs"/>
          <w:color w:val="000000" w:themeColor="text1"/>
          <w:sz w:val="24"/>
          <w:szCs w:val="24"/>
          <w:rtl/>
          <w:lang w:val="en-US" w:bidi="ar-DZ"/>
        </w:rPr>
        <w:t xml:space="preserve">، </w:t>
      </w:r>
      <w:r w:rsidRPr="00206B59">
        <w:rPr>
          <w:rFonts w:ascii="Simplified Arabic" w:eastAsia="Times New Roman" w:hAnsi="Simplified Arabic" w:cs="Simplified Arabic" w:hint="cs"/>
          <w:b/>
          <w:sz w:val="24"/>
          <w:szCs w:val="24"/>
          <w:rtl/>
          <w:lang w:val="en-US" w:eastAsia="fr-FR"/>
        </w:rPr>
        <w:t>ب</w:t>
      </w:r>
      <w:r w:rsidRPr="00206B59">
        <w:rPr>
          <w:rFonts w:ascii="Simplified Arabic" w:eastAsia="Times New Roman" w:hAnsi="Simplified Arabic" w:cs="Simplified Arabic"/>
          <w:b/>
          <w:sz w:val="24"/>
          <w:szCs w:val="24"/>
          <w:rtl/>
          <w:lang w:val="en-US" w:eastAsia="fr-FR"/>
        </w:rPr>
        <w:t xml:space="preserve">تطوير </w:t>
      </w:r>
      <w:r w:rsidRPr="00206B59">
        <w:rPr>
          <w:rFonts w:ascii="Simplified Arabic" w:eastAsia="Times New Roman" w:hAnsi="Simplified Arabic" w:cs="Simplified Arabic" w:hint="cs"/>
          <w:b/>
          <w:sz w:val="24"/>
          <w:szCs w:val="24"/>
          <w:rtl/>
          <w:lang w:val="en-US" w:eastAsia="fr-FR" w:bidi="ar-DZ"/>
        </w:rPr>
        <w:t xml:space="preserve">منهجية </w:t>
      </w:r>
      <w:r w:rsidRPr="00206B59">
        <w:rPr>
          <w:rFonts w:ascii="Simplified Arabic" w:eastAsia="Times New Roman" w:hAnsi="Simplified Arabic" w:cs="Simplified Arabic" w:hint="cs"/>
          <w:b/>
          <w:sz w:val="24"/>
          <w:szCs w:val="24"/>
          <w:rtl/>
          <w:lang w:val="en-US" w:eastAsia="fr-FR"/>
        </w:rPr>
        <w:t>شاملة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لتحسين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المرونة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الحضرية</w:t>
      </w:r>
      <w:r w:rsidRPr="00206B59">
        <w:rPr>
          <w:rFonts w:ascii="Simplified Arabic" w:eastAsia="Times New Roman" w:hAnsi="Simplified Arabic" w:cs="Simplified Arabic" w:hint="cs"/>
          <w:b/>
          <w:sz w:val="24"/>
          <w:szCs w:val="24"/>
          <w:rtl/>
          <w:lang w:val="en-US" w:eastAsia="fr-FR" w:bidi="ar-DZ"/>
        </w:rPr>
        <w:t xml:space="preserve"> مبنية حول </w:t>
      </w:r>
      <w:r w:rsidRPr="00206B59">
        <w:rPr>
          <w:rFonts w:ascii="Simplified Arabic" w:eastAsia="Times New Roman" w:hAnsi="Simplified Arabic" w:cs="Simplified Arabic"/>
          <w:b/>
          <w:sz w:val="24"/>
          <w:szCs w:val="24"/>
          <w:rtl/>
          <w:lang w:val="en-US" w:eastAsia="fr-FR"/>
        </w:rPr>
        <w:t xml:space="preserve">مؤشر المرونة الحضرية بناءً على حساب ثلاثة مؤشرات للمرونة الحضرية والاجتماعية والتقنية. </w:t>
      </w:r>
      <w:r w:rsidRPr="00206B59">
        <w:rPr>
          <w:rFonts w:ascii="Simplified Arabic" w:eastAsia="Times New Roman" w:hAnsi="Simplified Arabic" w:cs="Simplified Arabic" w:hint="cs"/>
          <w:b/>
          <w:sz w:val="24"/>
          <w:szCs w:val="24"/>
          <w:rtl/>
          <w:lang w:eastAsia="fr-FR"/>
        </w:rPr>
        <w:t xml:space="preserve">تمثلت العينة في مدينة </w:t>
      </w:r>
      <w:r w:rsidRPr="00206B59">
        <w:rPr>
          <w:rFonts w:asciiTheme="majorBidi" w:hAnsiTheme="majorBidi" w:cstheme="majorBidi"/>
          <w:b/>
          <w:bCs/>
          <w:color w:val="000000"/>
          <w:sz w:val="20"/>
          <w:szCs w:val="20"/>
          <w:rtl/>
          <w:lang w:val="en-US"/>
        </w:rPr>
        <w:t>(</w:t>
      </w:r>
      <w:r w:rsidRPr="00206B59">
        <w:rPr>
          <w:rFonts w:asciiTheme="majorBidi" w:hAnsiTheme="majorBidi" w:cstheme="majorBidi"/>
          <w:b/>
          <w:bCs/>
          <w:color w:val="000000"/>
          <w:sz w:val="20"/>
          <w:szCs w:val="20"/>
        </w:rPr>
        <w:t>Avignon</w:t>
      </w:r>
      <w:r w:rsidRPr="00206B59">
        <w:rPr>
          <w:rFonts w:asciiTheme="majorBidi" w:hAnsiTheme="majorBidi" w:cstheme="majorBidi"/>
          <w:b/>
          <w:bCs/>
          <w:color w:val="000000"/>
          <w:sz w:val="20"/>
          <w:szCs w:val="20"/>
          <w:rtl/>
          <w:lang w:val="en-US"/>
        </w:rPr>
        <w:t>)</w:t>
      </w:r>
      <w:r w:rsidRPr="00206B59">
        <w:rPr>
          <w:rFonts w:ascii="Simplified Arabic" w:hAnsi="Simplified Arabic" w:cs="Simplified Arabic"/>
          <w:b/>
          <w:bCs/>
          <w:color w:val="000000"/>
          <w:rtl/>
          <w:lang w:val="en-US"/>
        </w:rPr>
        <w:t xml:space="preserve">، </w:t>
      </w:r>
      <w:r w:rsidRPr="00206B59">
        <w:rPr>
          <w:rFonts w:ascii="Simplified Arabic" w:eastAsia="Times New Roman" w:hAnsi="Simplified Arabic" w:cs="Simplified Arabic"/>
          <w:b/>
          <w:sz w:val="24"/>
          <w:szCs w:val="24"/>
          <w:rtl/>
          <w:lang w:eastAsia="fr-FR"/>
        </w:rPr>
        <w:t>مقاطعة</w:t>
      </w:r>
      <w:r w:rsidRPr="00206B59">
        <w:rPr>
          <w:rFonts w:ascii="Simplified Arabic" w:hAnsi="Simplified Arabic" w:cs="Simplified Arabic" w:hint="cs"/>
          <w:b/>
          <w:bCs/>
          <w:color w:val="000000"/>
          <w:rtl/>
          <w:lang w:val="en-US"/>
        </w:rPr>
        <w:t xml:space="preserve"> </w:t>
      </w:r>
      <w:r w:rsidRPr="00206B59">
        <w:rPr>
          <w:rFonts w:asciiTheme="majorBidi" w:hAnsiTheme="majorBidi" w:cstheme="majorBidi"/>
          <w:b/>
          <w:bCs/>
          <w:color w:val="000000"/>
          <w:sz w:val="20"/>
          <w:szCs w:val="20"/>
          <w:rtl/>
          <w:lang w:val="en-US"/>
        </w:rPr>
        <w:t>(</w:t>
      </w:r>
      <w:r w:rsidRPr="00206B59">
        <w:rPr>
          <w:rFonts w:asciiTheme="majorBidi" w:hAnsiTheme="majorBidi" w:cstheme="majorBidi"/>
          <w:b/>
          <w:bCs/>
          <w:color w:val="000000"/>
          <w:sz w:val="20"/>
          <w:szCs w:val="20"/>
        </w:rPr>
        <w:t>Alpes Côte</w:t>
      </w:r>
      <w:r w:rsidRPr="00206B59">
        <w:rPr>
          <w:rFonts w:asciiTheme="majorBidi" w:hAnsiTheme="majorBidi" w:cstheme="majorBidi"/>
          <w:b/>
          <w:bCs/>
          <w:color w:val="000000"/>
          <w:sz w:val="20"/>
          <w:szCs w:val="20"/>
          <w:rtl/>
          <w:lang w:val="en-US"/>
        </w:rPr>
        <w:t xml:space="preserve"> </w:t>
      </w:r>
      <w:r w:rsidRPr="00206B59">
        <w:rPr>
          <w:rFonts w:asciiTheme="majorBidi" w:hAnsiTheme="majorBidi" w:cstheme="majorBidi"/>
          <w:b/>
          <w:bCs/>
          <w:color w:val="000000"/>
          <w:sz w:val="20"/>
          <w:szCs w:val="20"/>
        </w:rPr>
        <w:t>Azur</w:t>
      </w:r>
      <w:r w:rsidRPr="00206B59">
        <w:rPr>
          <w:rFonts w:asciiTheme="majorBidi" w:hAnsiTheme="majorBidi" w:cstheme="majorBidi"/>
          <w:b/>
          <w:bCs/>
          <w:color w:val="000000"/>
          <w:sz w:val="20"/>
          <w:szCs w:val="20"/>
          <w:rtl/>
          <w:lang w:val="en-US"/>
        </w:rPr>
        <w:t>)</w:t>
      </w:r>
      <w:r w:rsidRPr="00206B59">
        <w:rPr>
          <w:rFonts w:ascii="Simplified Arabic" w:hAnsi="Simplified Arabic" w:cs="Simplified Arabic"/>
          <w:b/>
          <w:bCs/>
          <w:color w:val="000000"/>
          <w:sz w:val="24"/>
          <w:szCs w:val="24"/>
          <w:rtl/>
          <w:lang w:val="en-US"/>
        </w:rPr>
        <w:t xml:space="preserve"> </w:t>
      </w:r>
      <w:r w:rsidRPr="00206B59">
        <w:rPr>
          <w:rFonts w:ascii="Simplified Arabic" w:eastAsia="Times New Roman" w:hAnsi="Simplified Arabic" w:cs="Simplified Arabic" w:hint="cs"/>
          <w:b/>
          <w:sz w:val="24"/>
          <w:szCs w:val="24"/>
          <w:rtl/>
          <w:lang w:eastAsia="fr-FR"/>
        </w:rPr>
        <w:t>الفرنسية.</w:t>
      </w:r>
      <w:r w:rsidRPr="00206B59">
        <w:rPr>
          <w:rFonts w:ascii="Simplified Arabic" w:eastAsia="Times New Roman" w:hAnsi="Simplified Arabic" w:cs="Simplified Arabic" w:hint="cs"/>
          <w:b/>
          <w:sz w:val="24"/>
          <w:szCs w:val="24"/>
          <w:rtl/>
          <w:lang w:val="en-US" w:eastAsia="fr-FR"/>
        </w:rPr>
        <w:t xml:space="preserve"> المنهجية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تقوم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مجموعة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المؤشرات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إنشاؤها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بشكل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مشترك</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العلماء</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والمخططين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الحضريين</w:t>
      </w:r>
      <w:r w:rsidRPr="00206B59">
        <w:rPr>
          <w:rFonts w:ascii="Simplified Arabic" w:eastAsia="Times New Roman" w:hAnsi="Simplified Arabic" w:cs="Simplified Arabic"/>
          <w:b/>
          <w:sz w:val="24"/>
          <w:szCs w:val="24"/>
          <w:rtl/>
          <w:lang w:val="en-US" w:eastAsia="fr-FR"/>
        </w:rPr>
        <w:t>.</w:t>
      </w:r>
      <w:r w:rsidRPr="00206B59">
        <w:rPr>
          <w:rFonts w:ascii="Simplified Arabic" w:eastAsia="Times New Roman" w:hAnsi="Simplified Arabic" w:cs="Simplified Arabic" w:hint="cs"/>
          <w:b/>
          <w:sz w:val="24"/>
          <w:szCs w:val="24"/>
          <w:rtl/>
          <w:lang w:val="en-US" w:eastAsia="fr-FR"/>
        </w:rPr>
        <w:t xml:space="preserve"> لتطبيق</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مفهوم</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المرونة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الديناميكيات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الحضرية،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يجب</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تأخذ</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الاعتبار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كل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هذه</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العناصر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وجميع</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أصحاب</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المصلحة (مسيّرين، مواطنين)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 xml:space="preserve">المنطقة </w:t>
      </w:r>
      <w:r w:rsidRPr="00206B59">
        <w:rPr>
          <w:rFonts w:asciiTheme="majorBidi" w:hAnsiTheme="majorBidi" w:cstheme="majorBidi"/>
          <w:color w:val="000000" w:themeColor="text1"/>
          <w:sz w:val="24"/>
          <w:szCs w:val="24"/>
          <w:lang w:val="en-US" w:bidi="ar-DZ"/>
        </w:rPr>
        <w:t xml:space="preserve">Heinzlef et al., </w:t>
      </w:r>
      <w:r w:rsidR="00120DEB" w:rsidRPr="00206B59">
        <w:rPr>
          <w:rFonts w:asciiTheme="majorBidi" w:hAnsiTheme="majorBidi" w:cstheme="majorBidi"/>
          <w:color w:val="000000" w:themeColor="text1"/>
          <w:lang w:val="en-US" w:bidi="ar-DZ"/>
        </w:rPr>
        <w:t>2019</w:t>
      </w:r>
      <w:r w:rsidRPr="00206B59">
        <w:rPr>
          <w:rFonts w:asciiTheme="majorBidi" w:hAnsiTheme="majorBidi" w:cstheme="majorBidi"/>
          <w:color w:val="000000" w:themeColor="text1"/>
          <w:sz w:val="24"/>
          <w:szCs w:val="24"/>
          <w:lang w:val="en-US" w:bidi="ar-DZ"/>
        </w:rPr>
        <w:t>)</w:t>
      </w:r>
      <w:r w:rsidRPr="00206B59">
        <w:rPr>
          <w:rFonts w:asciiTheme="majorBidi" w:hAnsiTheme="majorBidi" w:cstheme="majorBidi"/>
          <w:color w:val="000000" w:themeColor="text1"/>
          <w:sz w:val="24"/>
          <w:szCs w:val="24"/>
          <w:rtl/>
          <w:lang w:val="en-US" w:bidi="ar-DZ"/>
        </w:rPr>
        <w:t>)</w:t>
      </w:r>
      <w:r w:rsidRPr="00206B59">
        <w:rPr>
          <w:rFonts w:ascii="Simplified Arabic" w:eastAsia="Times New Roman" w:hAnsi="Simplified Arabic" w:cs="Simplified Arabic"/>
          <w:b/>
          <w:sz w:val="24"/>
          <w:szCs w:val="24"/>
          <w:rtl/>
          <w:lang w:val="en-US" w:eastAsia="fr-FR"/>
        </w:rPr>
        <w:t>.</w:t>
      </w:r>
    </w:p>
    <w:p w:rsidR="0002788C" w:rsidRDefault="003E0F31" w:rsidP="009B2C33">
      <w:pPr>
        <w:tabs>
          <w:tab w:val="right" w:pos="281"/>
        </w:tabs>
        <w:bidi/>
        <w:spacing w:after="0"/>
        <w:ind w:firstLine="282"/>
        <w:jc w:val="both"/>
        <w:rPr>
          <w:rFonts w:ascii="Simplified Arabic" w:eastAsia="Times New Roman" w:hAnsi="Simplified Arabic" w:cs="Simplified Arabic"/>
          <w:b/>
          <w:sz w:val="24"/>
          <w:szCs w:val="24"/>
          <w:lang w:val="en-US" w:eastAsia="fr-FR"/>
        </w:rPr>
      </w:pPr>
      <w:r w:rsidRPr="00474CA4">
        <w:rPr>
          <w:rFonts w:ascii="Simplified Arabic" w:eastAsia="Times New Roman" w:hAnsi="Simplified Arabic" w:cs="Simplified Arabic"/>
          <w:b/>
          <w:sz w:val="24"/>
          <w:szCs w:val="24"/>
          <w:rtl/>
          <w:lang w:val="en-US" w:eastAsia="fr-FR"/>
        </w:rPr>
        <w:lastRenderedPageBreak/>
        <w:t xml:space="preserve">يتم حساب هذه المؤشرات على مستوى الحي </w:t>
      </w:r>
      <w:r w:rsidRPr="00474CA4">
        <w:rPr>
          <w:rFonts w:ascii="Simplified Arabic" w:eastAsia="Times New Roman" w:hAnsi="Simplified Arabic" w:cs="Simplified Arabic" w:hint="cs"/>
          <w:b/>
          <w:sz w:val="24"/>
          <w:szCs w:val="24"/>
          <w:rtl/>
          <w:lang w:val="en-US" w:eastAsia="fr-FR"/>
        </w:rPr>
        <w:t>مع</w:t>
      </w:r>
      <w:r w:rsidRPr="00474CA4">
        <w:rPr>
          <w:rFonts w:ascii="Simplified Arabic" w:eastAsia="Times New Roman" w:hAnsi="Simplified Arabic" w:cs="Simplified Arabic"/>
          <w:b/>
          <w:sz w:val="24"/>
          <w:szCs w:val="24"/>
          <w:rtl/>
          <w:lang w:val="en-US" w:eastAsia="fr-FR"/>
        </w:rPr>
        <w:t xml:space="preserve"> مجموعة من المتغيرات</w:t>
      </w:r>
      <w:r>
        <w:rPr>
          <w:rFonts w:ascii="Simplified Arabic" w:eastAsia="Times New Roman" w:hAnsi="Simplified Arabic" w:cs="Simplified Arabic" w:hint="cs"/>
          <w:b/>
          <w:sz w:val="24"/>
          <w:szCs w:val="24"/>
          <w:rtl/>
          <w:lang w:val="en-US" w:eastAsia="fr-FR"/>
        </w:rPr>
        <w:t xml:space="preserve"> لكل مؤشر</w:t>
      </w:r>
      <w:r w:rsidRPr="00474CA4">
        <w:rPr>
          <w:rFonts w:ascii="Simplified Arabic" w:eastAsia="Times New Roman" w:hAnsi="Simplified Arabic" w:cs="Simplified Arabic" w:hint="cs"/>
          <w:b/>
          <w:sz w:val="24"/>
          <w:szCs w:val="24"/>
          <w:rtl/>
          <w:lang w:val="en-US" w:eastAsia="fr-FR"/>
        </w:rPr>
        <w:t>.</w:t>
      </w:r>
      <w:r w:rsidRPr="00474CA4">
        <w:rPr>
          <w:rFonts w:ascii="Simplified Arabic" w:eastAsia="Times New Roman" w:hAnsi="Simplified Arabic" w:cs="Simplified Arabic"/>
          <w:b/>
          <w:sz w:val="24"/>
          <w:szCs w:val="24"/>
          <w:rtl/>
          <w:lang w:val="en-US" w:eastAsia="fr-FR"/>
        </w:rPr>
        <w:t xml:space="preserve"> تم حسابها على مستوى احياء مدينة افينيون</w:t>
      </w:r>
      <w:r>
        <w:rPr>
          <w:rFonts w:ascii="Garamond" w:eastAsia="Times New Roman" w:hAnsi="Garamond" w:cs="Times New Roman"/>
          <w:b/>
          <w:color w:val="000000"/>
          <w:sz w:val="24"/>
          <w:szCs w:val="24"/>
          <w:rtl/>
          <w:lang w:eastAsia="fr-FR"/>
        </w:rPr>
        <w:t xml:space="preserve"> </w:t>
      </w:r>
      <w:r>
        <w:rPr>
          <w:rFonts w:ascii="Garamond" w:eastAsia="Times New Roman" w:hAnsi="Garamond" w:cs="Times New Roman" w:hint="cs"/>
          <w:b/>
          <w:color w:val="000000"/>
          <w:sz w:val="24"/>
          <w:szCs w:val="24"/>
          <w:rtl/>
          <w:lang w:eastAsia="fr-FR"/>
        </w:rPr>
        <w:t>(</w:t>
      </w:r>
      <w:r w:rsidRPr="00B55041">
        <w:rPr>
          <w:rFonts w:asciiTheme="majorBidi" w:hAnsiTheme="majorBidi" w:cstheme="majorBidi"/>
          <w:color w:val="000000" w:themeColor="text1"/>
          <w:sz w:val="24"/>
          <w:szCs w:val="24"/>
          <w:lang w:val="en-US" w:bidi="ar-DZ"/>
        </w:rPr>
        <w:t>Avignon</w:t>
      </w:r>
      <w:r>
        <w:rPr>
          <w:rFonts w:ascii="Garamond" w:eastAsia="Times New Roman" w:hAnsi="Garamond" w:cs="Times New Roman" w:hint="cs"/>
          <w:b/>
          <w:color w:val="000000"/>
          <w:sz w:val="24"/>
          <w:szCs w:val="24"/>
          <w:rtl/>
          <w:lang w:eastAsia="fr-FR"/>
        </w:rPr>
        <w:t xml:space="preserve">) </w:t>
      </w:r>
      <w:r w:rsidRPr="00474CA4">
        <w:rPr>
          <w:rFonts w:ascii="Simplified Arabic" w:eastAsia="Times New Roman" w:hAnsi="Simplified Arabic" w:cs="Simplified Arabic"/>
          <w:b/>
          <w:sz w:val="24"/>
          <w:szCs w:val="24"/>
          <w:rtl/>
          <w:lang w:val="en-US" w:eastAsia="fr-FR"/>
        </w:rPr>
        <w:t>كحالة دراسة. الهدف هو تفعيل المرونة عن طريق</w:t>
      </w:r>
      <w:r>
        <w:rPr>
          <w:rFonts w:ascii="Simplified Arabic" w:eastAsia="Times New Roman" w:hAnsi="Simplified Arabic" w:cs="Simplified Arabic" w:hint="cs"/>
          <w:b/>
          <w:sz w:val="24"/>
          <w:szCs w:val="24"/>
          <w:rtl/>
          <w:lang w:val="en-US" w:eastAsia="fr-FR" w:bidi="ar-DZ"/>
        </w:rPr>
        <w:t xml:space="preserve"> إنشاء اداة</w:t>
      </w:r>
      <w:r w:rsidRPr="00474CA4">
        <w:rPr>
          <w:rFonts w:ascii="Simplified Arabic" w:eastAsia="Times New Roman" w:hAnsi="Simplified Arabic" w:cs="Simplified Arabic"/>
          <w:b/>
          <w:sz w:val="24"/>
          <w:szCs w:val="24"/>
          <w:rtl/>
          <w:lang w:val="en-US" w:eastAsia="fr-FR"/>
        </w:rPr>
        <w:t xml:space="preserve"> دعم القرار المكاني باستخدام مبادئ التصور الجغرافي. تتمثل المنهجية المقترحة في دمج مؤشرات المرونة الثلاثة باستخدام تقنيات التصور الجغرافي ضمن بيئة</w:t>
      </w:r>
      <w:r>
        <w:rPr>
          <w:rFonts w:ascii="Garamond" w:eastAsia="Times New Roman" w:hAnsi="Garamond" w:cs="Times New Roman"/>
          <w:b/>
          <w:color w:val="000000"/>
          <w:sz w:val="24"/>
          <w:szCs w:val="24"/>
          <w:rtl/>
          <w:lang w:eastAsia="fr-FR"/>
        </w:rPr>
        <w:t xml:space="preserve"> </w:t>
      </w:r>
      <w:r>
        <w:rPr>
          <w:rFonts w:ascii="Garamond" w:eastAsia="Times New Roman" w:hAnsi="Garamond" w:cs="Times New Roman" w:hint="cs"/>
          <w:b/>
          <w:color w:val="000000"/>
          <w:sz w:val="24"/>
          <w:szCs w:val="24"/>
          <w:rtl/>
          <w:lang w:eastAsia="fr-FR"/>
        </w:rPr>
        <w:t>(</w:t>
      </w:r>
      <w:r w:rsidRPr="00B55041">
        <w:rPr>
          <w:rFonts w:asciiTheme="majorBidi" w:hAnsiTheme="majorBidi" w:cstheme="majorBidi"/>
          <w:color w:val="000000" w:themeColor="text1"/>
          <w:sz w:val="24"/>
          <w:szCs w:val="24"/>
          <w:lang w:val="en-US" w:bidi="ar-DZ"/>
        </w:rPr>
        <w:t>ArcGIS</w:t>
      </w:r>
      <w:r>
        <w:rPr>
          <w:rFonts w:ascii="Garamond" w:eastAsia="Times New Roman" w:hAnsi="Garamond" w:cs="Times New Roman" w:hint="cs"/>
          <w:b/>
          <w:color w:val="000000"/>
          <w:sz w:val="24"/>
          <w:szCs w:val="24"/>
          <w:rtl/>
          <w:lang w:eastAsia="fr-FR"/>
        </w:rPr>
        <w:t xml:space="preserve">) </w:t>
      </w:r>
      <w:r w:rsidRPr="00474CA4">
        <w:rPr>
          <w:rFonts w:ascii="Simplified Arabic" w:eastAsia="Times New Roman" w:hAnsi="Simplified Arabic" w:cs="Simplified Arabic"/>
          <w:b/>
          <w:sz w:val="24"/>
          <w:szCs w:val="24"/>
          <w:rtl/>
          <w:lang w:val="en-US" w:eastAsia="fr-FR"/>
        </w:rPr>
        <w:t xml:space="preserve">لمعالجة البيانات وتحليلها، لتصور المعالجة والحلول الممكنة من خلال تصميم الخرائط. </w:t>
      </w:r>
    </w:p>
    <w:p w:rsidR="00CF09A1" w:rsidRDefault="003E0F31" w:rsidP="0002788C">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474CA4">
        <w:rPr>
          <w:rFonts w:ascii="Simplified Arabic" w:eastAsia="Times New Roman" w:hAnsi="Simplified Arabic" w:cs="Simplified Arabic"/>
          <w:b/>
          <w:sz w:val="24"/>
          <w:szCs w:val="24"/>
          <w:rtl/>
          <w:lang w:val="en-US" w:eastAsia="fr-FR"/>
        </w:rPr>
        <w:t>توضح النتائج فائدة نمذجة المرونة باستخدام تقنيات التصور الجغرافي بدمج أسلوب اتخاذ القرار متعدد المعايير</w:t>
      </w:r>
      <w:r>
        <w:rPr>
          <w:rFonts w:ascii="Arial" w:hAnsi="Arial" w:hint="cs"/>
          <w:rtl/>
          <w:lang w:val="en-US"/>
        </w:rPr>
        <w:t xml:space="preserve"> (</w:t>
      </w:r>
      <w:r w:rsidRPr="00B55041">
        <w:rPr>
          <w:rFonts w:asciiTheme="majorBidi" w:hAnsiTheme="majorBidi" w:cstheme="majorBidi"/>
          <w:color w:val="000000" w:themeColor="text1"/>
          <w:sz w:val="24"/>
          <w:szCs w:val="24"/>
          <w:lang w:val="en-US" w:bidi="ar-DZ"/>
        </w:rPr>
        <w:t>AHP</w:t>
      </w:r>
      <w:r>
        <w:rPr>
          <w:rFonts w:ascii="Arial" w:hAnsi="Arial" w:hint="cs"/>
          <w:rtl/>
          <w:lang w:val="en-US"/>
        </w:rPr>
        <w:t xml:space="preserve">) </w:t>
      </w:r>
      <w:r w:rsidRPr="00474CA4">
        <w:rPr>
          <w:rFonts w:ascii="Simplified Arabic" w:eastAsia="Times New Roman" w:hAnsi="Simplified Arabic" w:cs="Simplified Arabic"/>
          <w:b/>
          <w:sz w:val="24"/>
          <w:szCs w:val="24"/>
          <w:rtl/>
          <w:lang w:val="en-US" w:eastAsia="fr-FR"/>
        </w:rPr>
        <w:t xml:space="preserve">مع أصحاب </w:t>
      </w:r>
      <w:r w:rsidRPr="00474CA4">
        <w:rPr>
          <w:rFonts w:ascii="Simplified Arabic" w:eastAsia="Times New Roman" w:hAnsi="Simplified Arabic" w:cs="Simplified Arabic" w:hint="cs"/>
          <w:b/>
          <w:sz w:val="24"/>
          <w:szCs w:val="24"/>
          <w:rtl/>
          <w:lang w:val="en-US" w:eastAsia="fr-FR"/>
        </w:rPr>
        <w:t>الشأن الحضري</w:t>
      </w:r>
      <w:r w:rsidRPr="00474CA4">
        <w:rPr>
          <w:rFonts w:ascii="Simplified Arabic" w:eastAsia="Times New Roman" w:hAnsi="Simplified Arabic" w:cs="Simplified Arabic"/>
          <w:b/>
          <w:sz w:val="24"/>
          <w:szCs w:val="24"/>
          <w:rtl/>
          <w:lang w:val="en-US" w:eastAsia="fr-FR"/>
        </w:rPr>
        <w:t xml:space="preserve"> المحليين واشراك المواطنين عن طريق الوسائل المبتكرة التي تمنحها تكنولوجيا المعلومات والاتصالات</w:t>
      </w:r>
      <w:r>
        <w:rPr>
          <w:rFonts w:ascii="TimesNewRomanPSMT" w:hAnsi="TimesNewRomanPSMT" w:cs="Times New Roman" w:hint="cs"/>
          <w:sz w:val="24"/>
          <w:szCs w:val="24"/>
          <w:rtl/>
          <w:lang w:eastAsia="fr-FR"/>
        </w:rPr>
        <w:t xml:space="preserve"> </w:t>
      </w:r>
      <w:r w:rsidRPr="00B55041">
        <w:rPr>
          <w:rFonts w:asciiTheme="majorBidi" w:hAnsiTheme="majorBidi" w:cstheme="majorBidi"/>
          <w:color w:val="000000" w:themeColor="text1"/>
          <w:sz w:val="24"/>
          <w:szCs w:val="24"/>
          <w:lang w:val="en-US" w:bidi="ar-DZ"/>
        </w:rPr>
        <w:t>(</w:t>
      </w:r>
      <w:r w:rsidR="00D87672" w:rsidRPr="00FC4A1A">
        <w:rPr>
          <w:rFonts w:asciiTheme="majorBidi" w:hAnsiTheme="majorBidi" w:cstheme="majorBidi"/>
          <w:sz w:val="24"/>
          <w:szCs w:val="24"/>
        </w:rPr>
        <w:t>ICT</w:t>
      </w:r>
      <w:r>
        <w:rPr>
          <w:rFonts w:ascii="TimesNewRomanPSMT" w:hAnsi="TimesNewRomanPSMT" w:cs="TimesNewRomanPSMT"/>
          <w:sz w:val="24"/>
          <w:szCs w:val="24"/>
          <w:lang w:eastAsia="fr-FR"/>
        </w:rPr>
        <w:t>)</w:t>
      </w:r>
      <w:r w:rsidRPr="00E340C9">
        <w:rPr>
          <w:rFonts w:ascii="Simplified Arabic" w:eastAsia="Times New Roman" w:hAnsi="Simplified Arabic" w:cs="Simplified Arabic"/>
          <w:b/>
          <w:sz w:val="24"/>
          <w:szCs w:val="24"/>
          <w:rtl/>
          <w:lang w:val="en-US" w:eastAsia="fr-FR"/>
        </w:rPr>
        <w:t>.</w:t>
      </w:r>
      <w:r>
        <w:rPr>
          <w:rFonts w:ascii="TimesNewRomanPSMT" w:hAnsi="TimesNewRomanPSMT" w:cs="Times New Roman"/>
          <w:sz w:val="24"/>
          <w:szCs w:val="24"/>
          <w:rtl/>
          <w:lang w:eastAsia="fr-FR"/>
        </w:rPr>
        <w:t xml:space="preserve"> </w:t>
      </w:r>
      <w:r w:rsidRPr="00E340C9">
        <w:rPr>
          <w:rFonts w:ascii="Simplified Arabic" w:eastAsia="Times New Roman" w:hAnsi="Simplified Arabic" w:cs="Simplified Arabic" w:hint="cs"/>
          <w:b/>
          <w:sz w:val="24"/>
          <w:szCs w:val="24"/>
          <w:rtl/>
          <w:lang w:val="en-US" w:eastAsia="fr-FR"/>
        </w:rPr>
        <w:t>وتقديم</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المشورة</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للمخططين</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الحضريين</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في</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قراراتهم</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المستقبلية</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تؤكد</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شراكة</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الممارسة</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البحثية</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هذه</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على</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الحاجة</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لاكتساب</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الاستراتيجيات</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والأدوات</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من</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أجل</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تفعيل</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المرونة</w:t>
      </w:r>
      <w:r w:rsidRPr="00E340C9">
        <w:rPr>
          <w:rFonts w:ascii="Simplified Arabic" w:eastAsia="Times New Roman" w:hAnsi="Simplified Arabic" w:cs="Simplified Arabic"/>
          <w:b/>
          <w:sz w:val="24"/>
          <w:szCs w:val="24"/>
          <w:rtl/>
          <w:lang w:val="en-US" w:eastAsia="fr-FR"/>
        </w:rPr>
        <w:t xml:space="preserve"> </w:t>
      </w:r>
      <w:r w:rsidRPr="00E340C9">
        <w:rPr>
          <w:rFonts w:ascii="Simplified Arabic" w:eastAsia="Times New Roman" w:hAnsi="Simplified Arabic" w:cs="Simplified Arabic" w:hint="cs"/>
          <w:b/>
          <w:sz w:val="24"/>
          <w:szCs w:val="24"/>
          <w:rtl/>
          <w:lang w:val="en-US" w:eastAsia="fr-FR"/>
        </w:rPr>
        <w:t>الحضرية</w:t>
      </w:r>
      <w:r>
        <w:rPr>
          <w:rFonts w:ascii="Simplified Arabic" w:eastAsia="Times New Roman" w:hAnsi="Simplified Arabic" w:cs="Simplified Arabic" w:hint="cs"/>
          <w:b/>
          <w:sz w:val="24"/>
          <w:szCs w:val="24"/>
          <w:rtl/>
          <w:lang w:val="en-US" w:eastAsia="fr-FR"/>
        </w:rPr>
        <w:t xml:space="preserve">. </w:t>
      </w:r>
    </w:p>
    <w:p w:rsidR="003E0F31" w:rsidRDefault="003E0F31" w:rsidP="00CF09A1">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E23538">
        <w:rPr>
          <w:rFonts w:ascii="Simplified Arabic" w:eastAsia="Times New Roman" w:hAnsi="Simplified Arabic" w:cs="Simplified Arabic" w:hint="cs"/>
          <w:b/>
          <w:sz w:val="24"/>
          <w:szCs w:val="24"/>
          <w:rtl/>
          <w:lang w:val="en-US" w:eastAsia="fr-FR"/>
        </w:rPr>
        <w:t>تشك</w:t>
      </w:r>
      <w:r>
        <w:rPr>
          <w:rFonts w:ascii="Simplified Arabic" w:eastAsia="Times New Roman" w:hAnsi="Simplified Arabic" w:cs="Simplified Arabic" w:hint="cs"/>
          <w:b/>
          <w:sz w:val="24"/>
          <w:szCs w:val="24"/>
          <w:rtl/>
          <w:lang w:val="en-US" w:eastAsia="fr-FR"/>
        </w:rPr>
        <w:t>ي</w:t>
      </w:r>
      <w:r w:rsidRPr="00E23538">
        <w:rPr>
          <w:rFonts w:ascii="Simplified Arabic" w:eastAsia="Times New Roman" w:hAnsi="Simplified Arabic" w:cs="Simplified Arabic" w:hint="cs"/>
          <w:b/>
          <w:sz w:val="24"/>
          <w:szCs w:val="24"/>
          <w:rtl/>
          <w:lang w:val="en-US" w:eastAsia="fr-FR"/>
        </w:rPr>
        <w:t>ل</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مؤشر</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هرمي</w:t>
      </w:r>
      <w:r w:rsidRPr="00F9078F">
        <w:rPr>
          <w:rFonts w:ascii="Simplified Arabic" w:eastAsia="Times New Roman" w:hAnsi="Simplified Arabic" w:cs="Simplified Arabic"/>
          <w:b/>
          <w:sz w:val="24"/>
          <w:szCs w:val="24"/>
          <w:rtl/>
          <w:lang w:val="en-US" w:eastAsia="fr-FR"/>
        </w:rPr>
        <w:t xml:space="preserve"> </w:t>
      </w:r>
      <w:r w:rsidRPr="00F9078F">
        <w:rPr>
          <w:rFonts w:ascii="Simplified Arabic" w:eastAsia="Times New Roman" w:hAnsi="Simplified Arabic" w:cs="Simplified Arabic" w:hint="cs"/>
          <w:b/>
          <w:sz w:val="24"/>
          <w:szCs w:val="24"/>
          <w:rtl/>
          <w:lang w:val="en-US" w:eastAsia="fr-FR"/>
        </w:rPr>
        <w:t>لل</w:t>
      </w:r>
      <w:r w:rsidRPr="00750981">
        <w:rPr>
          <w:rFonts w:ascii="Simplified Arabic" w:eastAsia="Times New Roman" w:hAnsi="Simplified Arabic" w:cs="Simplified Arabic" w:hint="cs"/>
          <w:b/>
          <w:sz w:val="24"/>
          <w:szCs w:val="24"/>
          <w:rtl/>
          <w:lang w:val="en-US" w:eastAsia="fr-FR"/>
        </w:rPr>
        <w:t>مرونة</w:t>
      </w:r>
      <w:r w:rsidRPr="00750981">
        <w:rPr>
          <w:rFonts w:ascii="Simplified Arabic" w:eastAsia="Times New Roman" w:hAnsi="Simplified Arabic" w:cs="Simplified Arabic"/>
          <w:b/>
          <w:sz w:val="24"/>
          <w:szCs w:val="24"/>
          <w:rtl/>
          <w:lang w:val="en-US" w:eastAsia="fr-FR"/>
        </w:rPr>
        <w:t xml:space="preserve"> </w:t>
      </w:r>
      <w:r w:rsidRPr="00750981">
        <w:rPr>
          <w:rFonts w:asciiTheme="majorBidi" w:hAnsiTheme="majorBidi" w:cstheme="majorBidi"/>
          <w:sz w:val="24"/>
          <w:szCs w:val="24"/>
          <w:rtl/>
        </w:rPr>
        <w:t>(</w:t>
      </w:r>
      <w:r w:rsidRPr="00206B59">
        <w:rPr>
          <w:rFonts w:asciiTheme="majorBidi" w:hAnsiTheme="majorBidi" w:cstheme="majorBidi"/>
          <w:sz w:val="24"/>
          <w:szCs w:val="24"/>
        </w:rPr>
        <w:t>Tate</w:t>
      </w:r>
      <w:r w:rsidRPr="00750981">
        <w:rPr>
          <w:rFonts w:asciiTheme="majorBidi" w:hAnsiTheme="majorBidi" w:cstheme="majorBidi"/>
          <w:sz w:val="24"/>
          <w:szCs w:val="24"/>
        </w:rPr>
        <w:t>, 2012</w:t>
      </w:r>
      <w:r w:rsidRPr="00750981">
        <w:rPr>
          <w:rFonts w:asciiTheme="majorBidi" w:hAnsiTheme="majorBidi" w:cstheme="majorBidi"/>
          <w:sz w:val="24"/>
          <w:szCs w:val="24"/>
          <w:rtl/>
        </w:rPr>
        <w:t>)</w:t>
      </w:r>
      <w:r w:rsidRPr="00E23538">
        <w:rPr>
          <w:rFonts w:ascii="TimesNewRomanPSMT" w:eastAsia="Calibri" w:hAnsi="TimesNewRomanPSMT" w:cs="Times New Roman"/>
          <w:sz w:val="24"/>
          <w:szCs w:val="24"/>
          <w:rtl/>
          <w:lang w:eastAsia="fr-FR"/>
        </w:rPr>
        <w:t xml:space="preserve"> </w:t>
      </w:r>
      <w:r w:rsidRPr="00E23538">
        <w:rPr>
          <w:rFonts w:ascii="Simplified Arabic" w:eastAsia="Times New Roman" w:hAnsi="Simplified Arabic" w:cs="Simplified Arabic" w:hint="cs"/>
          <w:b/>
          <w:sz w:val="24"/>
          <w:szCs w:val="24"/>
          <w:rtl/>
          <w:lang w:val="en-US" w:eastAsia="fr-FR"/>
        </w:rPr>
        <w:t>مبني</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أساسًا</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على</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ثلاثة</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مؤشرات</w:t>
      </w:r>
      <w:r w:rsidRPr="00E2353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w:t>
      </w:r>
      <w:r w:rsidRPr="00E23538">
        <w:rPr>
          <w:rFonts w:ascii="Simplified Arabic" w:eastAsia="Times New Roman" w:hAnsi="Simplified Arabic" w:cs="Simplified Arabic" w:hint="cs"/>
          <w:b/>
          <w:sz w:val="24"/>
          <w:szCs w:val="24"/>
          <w:rtl/>
          <w:lang w:val="en-US" w:eastAsia="fr-FR"/>
        </w:rPr>
        <w:t>لمرونة</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الحضرية</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والاجتماعية</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والتقنية، الشكل</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w:t>
      </w:r>
      <w:r w:rsidR="00D87672">
        <w:rPr>
          <w:rFonts w:ascii="Simplified Arabic" w:eastAsia="Times New Roman" w:hAnsi="Simplified Arabic" w:cs="Simplified Arabic" w:hint="cs"/>
          <w:b/>
          <w:sz w:val="24"/>
          <w:szCs w:val="24"/>
          <w:rtl/>
          <w:lang w:val="en-US" w:eastAsia="fr-FR"/>
        </w:rPr>
        <w:t>2-8</w:t>
      </w:r>
      <w:r w:rsidRPr="00E23538">
        <w:rPr>
          <w:rFonts w:ascii="Simplified Arabic" w:eastAsia="Times New Roman" w:hAnsi="Simplified Arabic" w:cs="Simplified Arabic" w:hint="cs"/>
          <w:b/>
          <w:sz w:val="24"/>
          <w:szCs w:val="24"/>
          <w:rtl/>
          <w:lang w:val="en-US" w:eastAsia="fr-FR"/>
        </w:rPr>
        <w:t>)،</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من منطلق ان المدينة</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تتكون</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من</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السكان</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والشبكات</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والبيئة</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والبنى</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التحتية</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والمباني</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وما</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إلى</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ذلك</w:t>
      </w:r>
      <w:r w:rsidRPr="00E23538">
        <w:rPr>
          <w:rFonts w:ascii="TimesNewRomanPSMT" w:eastAsia="Calibri" w:hAnsi="TimesNewRomanPSMT" w:cs="Times New Roman"/>
          <w:sz w:val="24"/>
          <w:szCs w:val="24"/>
          <w:rtl/>
          <w:lang w:eastAsia="fr-FR"/>
        </w:rPr>
        <w:t xml:space="preserve"> </w:t>
      </w:r>
      <w:r w:rsidRPr="00E23538">
        <w:rPr>
          <w:rFonts w:asciiTheme="majorBidi" w:hAnsiTheme="majorBidi" w:cstheme="majorBidi"/>
          <w:sz w:val="24"/>
          <w:szCs w:val="24"/>
        </w:rPr>
        <w:t>(</w:t>
      </w:r>
      <w:r w:rsidRPr="00206B59">
        <w:rPr>
          <w:rFonts w:asciiTheme="majorBidi" w:hAnsiTheme="majorBidi" w:cstheme="majorBidi"/>
          <w:sz w:val="24"/>
          <w:szCs w:val="24"/>
        </w:rPr>
        <w:t>Lhomme</w:t>
      </w:r>
      <w:r w:rsidRPr="00E23538">
        <w:rPr>
          <w:rFonts w:asciiTheme="majorBidi" w:hAnsiTheme="majorBidi" w:cstheme="majorBidi"/>
          <w:sz w:val="24"/>
          <w:szCs w:val="24"/>
        </w:rPr>
        <w:t xml:space="preserve"> et al., 2010)</w:t>
      </w:r>
      <w:r w:rsidRPr="00E23538">
        <w:rPr>
          <w:rFonts w:ascii="Simplified Arabic" w:eastAsia="Times New Roman" w:hAnsi="Simplified Arabic" w:cs="Simplified Arabic"/>
          <w:b/>
          <w:sz w:val="24"/>
          <w:szCs w:val="24"/>
          <w:rtl/>
          <w:lang w:val="en-US" w:eastAsia="fr-FR"/>
        </w:rPr>
        <w:t>.</w:t>
      </w:r>
    </w:p>
    <w:p w:rsidR="003E0F31" w:rsidRPr="00762191" w:rsidRDefault="003E0F31" w:rsidP="0002788C">
      <w:pPr>
        <w:pStyle w:val="fegure"/>
        <w:spacing w:before="240"/>
        <w:rPr>
          <w:sz w:val="8"/>
          <w:szCs w:val="24"/>
          <w:rtl/>
          <w:lang w:val="en-US" w:eastAsia="fr-FR"/>
        </w:rPr>
      </w:pPr>
      <w:bookmarkStart w:id="341" w:name="_Toc157608294"/>
      <w:bookmarkStart w:id="342" w:name="_Toc171803468"/>
      <w:r w:rsidRPr="00762191">
        <w:rPr>
          <w:rFonts w:hint="cs"/>
          <w:sz w:val="8"/>
          <w:szCs w:val="24"/>
          <w:rtl/>
          <w:lang w:val="en-US" w:eastAsia="fr-FR"/>
        </w:rPr>
        <w:t>الشكل</w:t>
      </w:r>
      <w:r w:rsidRPr="00762191">
        <w:rPr>
          <w:sz w:val="8"/>
          <w:szCs w:val="24"/>
          <w:rtl/>
          <w:lang w:val="en-US" w:eastAsia="fr-FR"/>
        </w:rPr>
        <w:t xml:space="preserve"> </w:t>
      </w:r>
      <w:r w:rsidRPr="00762191">
        <w:rPr>
          <w:rFonts w:hint="cs"/>
          <w:sz w:val="8"/>
          <w:szCs w:val="24"/>
          <w:rtl/>
          <w:lang w:val="en-US" w:eastAsia="fr-FR"/>
        </w:rPr>
        <w:t>(</w:t>
      </w:r>
      <w:r w:rsidR="00D87672" w:rsidRPr="00762191">
        <w:rPr>
          <w:rFonts w:hint="cs"/>
          <w:sz w:val="8"/>
          <w:szCs w:val="24"/>
          <w:rtl/>
          <w:lang w:val="en-US" w:eastAsia="fr-FR"/>
        </w:rPr>
        <w:t>2-8</w:t>
      </w:r>
      <w:r w:rsidRPr="00762191">
        <w:rPr>
          <w:rFonts w:hint="cs"/>
          <w:sz w:val="8"/>
          <w:szCs w:val="24"/>
          <w:rtl/>
          <w:lang w:val="en-US" w:eastAsia="fr-FR"/>
        </w:rPr>
        <w:t>): مؤشر هرمي للمرونة</w:t>
      </w:r>
      <w:bookmarkEnd w:id="341"/>
      <w:bookmarkEnd w:id="342"/>
      <w:r w:rsidRPr="00762191">
        <w:rPr>
          <w:rFonts w:hint="cs"/>
          <w:sz w:val="8"/>
          <w:szCs w:val="24"/>
          <w:rtl/>
          <w:lang w:val="en-US" w:eastAsia="fr-FR"/>
        </w:rPr>
        <w:t xml:space="preserve"> </w:t>
      </w:r>
    </w:p>
    <w:p w:rsidR="003E0F31" w:rsidRDefault="003E0F31" w:rsidP="00AA1D2C">
      <w:pPr>
        <w:tabs>
          <w:tab w:val="right" w:pos="281"/>
        </w:tabs>
        <w:bidi/>
        <w:spacing w:after="0" w:line="240" w:lineRule="auto"/>
        <w:jc w:val="center"/>
        <w:rPr>
          <w:rFonts w:ascii="TimesNewRomanPSMT" w:eastAsia="Calibri" w:hAnsi="TimesNewRomanPSMT" w:cs="Times New Roman"/>
          <w:sz w:val="24"/>
          <w:szCs w:val="24"/>
          <w:rtl/>
          <w:lang w:eastAsia="fr-FR"/>
        </w:rPr>
      </w:pPr>
      <w:r>
        <w:rPr>
          <w:rFonts w:ascii="Simplified Arabic" w:eastAsia="Times New Roman" w:hAnsi="Simplified Arabic" w:cs="Simplified Arabic" w:hint="cs"/>
          <w:b/>
          <w:sz w:val="24"/>
          <w:szCs w:val="24"/>
          <w:rtl/>
          <w:lang w:val="en-US" w:eastAsia="fr-FR"/>
        </w:rPr>
        <w:t xml:space="preserve">المصدر: </w:t>
      </w:r>
      <w:r w:rsidRPr="00206B59">
        <w:rPr>
          <w:rFonts w:asciiTheme="majorBidi" w:hAnsiTheme="majorBidi" w:cstheme="majorBidi"/>
          <w:color w:val="000000" w:themeColor="text1"/>
          <w:sz w:val="24"/>
          <w:szCs w:val="24"/>
          <w:lang w:val="en-US" w:bidi="ar-DZ"/>
        </w:rPr>
        <w:t>Heinzlef</w:t>
      </w:r>
      <w:r w:rsidRPr="00B55041">
        <w:rPr>
          <w:rFonts w:asciiTheme="majorBidi" w:hAnsiTheme="majorBidi" w:cstheme="majorBidi"/>
          <w:color w:val="000000" w:themeColor="text1"/>
          <w:sz w:val="24"/>
          <w:szCs w:val="24"/>
          <w:lang w:val="en-US" w:bidi="ar-DZ"/>
        </w:rPr>
        <w:t xml:space="preserve"> et al., </w:t>
      </w:r>
      <w:r w:rsidR="00120DEB" w:rsidRPr="000B42BD">
        <w:rPr>
          <w:rFonts w:asciiTheme="majorBidi" w:hAnsiTheme="majorBidi" w:cstheme="majorBidi"/>
          <w:color w:val="000000" w:themeColor="text1"/>
          <w:lang w:val="en-US" w:bidi="ar-DZ"/>
        </w:rPr>
        <w:t>2019</w:t>
      </w:r>
      <w:r w:rsidRPr="00B55041">
        <w:rPr>
          <w:rFonts w:asciiTheme="majorBidi" w:hAnsiTheme="majorBidi" w:cstheme="majorBidi"/>
          <w:color w:val="000000" w:themeColor="text1"/>
          <w:sz w:val="24"/>
          <w:szCs w:val="24"/>
          <w:lang w:val="en-US" w:bidi="ar-DZ"/>
        </w:rPr>
        <w:t>)</w:t>
      </w:r>
      <w:r w:rsidRPr="00B55041">
        <w:rPr>
          <w:rFonts w:asciiTheme="majorBidi" w:hAnsiTheme="majorBidi" w:cstheme="majorBidi"/>
          <w:color w:val="000000" w:themeColor="text1"/>
          <w:sz w:val="24"/>
          <w:szCs w:val="24"/>
          <w:rtl/>
          <w:lang w:val="en-US" w:bidi="ar-DZ"/>
        </w:rPr>
        <w:t>)</w:t>
      </w:r>
    </w:p>
    <w:p w:rsidR="003E0F31" w:rsidRDefault="003E0F31" w:rsidP="00AA1D2C">
      <w:pPr>
        <w:tabs>
          <w:tab w:val="right" w:pos="281"/>
        </w:tabs>
        <w:bidi/>
        <w:jc w:val="center"/>
        <w:rPr>
          <w:rFonts w:ascii="TimesNewRomanPSMT" w:eastAsia="Calibri" w:hAnsi="TimesNewRomanPSMT" w:cs="TimesNewRomanPSMT"/>
          <w:sz w:val="24"/>
          <w:szCs w:val="24"/>
          <w:lang w:eastAsia="fr-FR"/>
        </w:rPr>
      </w:pPr>
      <w:r>
        <w:rPr>
          <w:noProof/>
          <w:lang w:eastAsia="fr-FR"/>
        </w:rPr>
        <w:drawing>
          <wp:inline distT="0" distB="0" distL="0" distR="0" wp14:anchorId="79777540" wp14:editId="76DA00EC">
            <wp:extent cx="4497333" cy="1997049"/>
            <wp:effectExtent l="19050" t="19050" r="17780" b="22860"/>
            <wp:docPr id="127" name="Imag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2">
                      <a:extLst>
                        <a:ext uri="{28A0092B-C50C-407E-A947-70E740481C1C}">
                          <a14:useLocalDpi xmlns:a14="http://schemas.microsoft.com/office/drawing/2010/main" val="0"/>
                        </a:ext>
                      </a:extLst>
                    </a:blip>
                    <a:stretch>
                      <a:fillRect/>
                    </a:stretch>
                  </pic:blipFill>
                  <pic:spPr>
                    <a:xfrm>
                      <a:off x="0" y="0"/>
                      <a:ext cx="4503853" cy="1999944"/>
                    </a:xfrm>
                    <a:prstGeom prst="rect">
                      <a:avLst/>
                    </a:prstGeom>
                    <a:ln>
                      <a:solidFill>
                        <a:schemeClr val="tx1"/>
                      </a:solidFill>
                    </a:ln>
                  </pic:spPr>
                </pic:pic>
              </a:graphicData>
            </a:graphic>
          </wp:inline>
        </w:drawing>
      </w:r>
    </w:p>
    <w:p w:rsidR="003E0F31" w:rsidRDefault="00DC054D" w:rsidP="00F76D99">
      <w:pPr>
        <w:pStyle w:val="Tableau"/>
        <w:rPr>
          <w:rFonts w:asciiTheme="majorBidi" w:hAnsiTheme="majorBidi" w:cstheme="majorBidi"/>
          <w:rtl/>
          <w:lang w:val="en-US" w:bidi="ar-DZ"/>
        </w:rPr>
      </w:pPr>
      <w:bookmarkStart w:id="343" w:name="_Toc157612971"/>
      <w:bookmarkStart w:id="344" w:name="_Toc171803469"/>
      <w:r>
        <w:rPr>
          <w:rFonts w:hint="cs"/>
          <w:rtl/>
          <w:lang w:bidi="ar-DZ"/>
        </w:rPr>
        <w:t xml:space="preserve">الجدول (2-7): </w:t>
      </w:r>
      <w:r w:rsidR="003E0F31" w:rsidRPr="00750981">
        <w:rPr>
          <w:rFonts w:hint="cs"/>
          <w:rtl/>
          <w:lang w:bidi="ar-DZ"/>
        </w:rPr>
        <w:t>ايجابيات وسلبيات</w:t>
      </w:r>
      <w:r w:rsidR="003E0F31" w:rsidRPr="00750981">
        <w:rPr>
          <w:rtl/>
          <w:lang w:bidi="ar-DZ"/>
        </w:rPr>
        <w:t xml:space="preserve"> </w:t>
      </w:r>
      <w:r w:rsidR="003E0F31">
        <w:rPr>
          <w:rFonts w:eastAsia="Times New Roman" w:hint="cs"/>
          <w:rtl/>
          <w:lang w:val="en-US" w:eastAsia="fr-FR"/>
        </w:rPr>
        <w:t xml:space="preserve">مؤشر هرمي للمرونة </w:t>
      </w:r>
      <w:r w:rsidR="003E0F31" w:rsidRPr="00206B59">
        <w:rPr>
          <w:rFonts w:asciiTheme="majorBidi" w:hAnsiTheme="majorBidi" w:cstheme="majorBidi"/>
          <w:lang w:val="en-US" w:bidi="ar-DZ"/>
        </w:rPr>
        <w:t>Heinzlef</w:t>
      </w:r>
      <w:r w:rsidR="003E0F31" w:rsidRPr="00B55041">
        <w:rPr>
          <w:rFonts w:asciiTheme="majorBidi" w:hAnsiTheme="majorBidi" w:cstheme="majorBidi"/>
          <w:lang w:val="en-US" w:bidi="ar-DZ"/>
        </w:rPr>
        <w:t xml:space="preserve"> et al., </w:t>
      </w:r>
      <w:r w:rsidR="00120DEB" w:rsidRPr="000B42BD">
        <w:rPr>
          <w:rFonts w:asciiTheme="majorBidi" w:hAnsiTheme="majorBidi" w:cstheme="majorBidi"/>
          <w:lang w:val="en-US" w:bidi="ar-DZ"/>
        </w:rPr>
        <w:t>2019</w:t>
      </w:r>
      <w:r w:rsidR="003E0F31" w:rsidRPr="00B55041">
        <w:rPr>
          <w:rFonts w:asciiTheme="majorBidi" w:hAnsiTheme="majorBidi" w:cstheme="majorBidi"/>
          <w:lang w:val="en-US" w:bidi="ar-DZ"/>
        </w:rPr>
        <w:t>)</w:t>
      </w:r>
      <w:r w:rsidR="003E0F31" w:rsidRPr="00B55041">
        <w:rPr>
          <w:rFonts w:asciiTheme="majorBidi" w:hAnsiTheme="majorBidi" w:cstheme="majorBidi"/>
          <w:rtl/>
          <w:lang w:val="en-US" w:bidi="ar-DZ"/>
        </w:rPr>
        <w:t>)</w:t>
      </w:r>
      <w:bookmarkEnd w:id="343"/>
      <w:bookmarkEnd w:id="344"/>
    </w:p>
    <w:p w:rsidR="00597092" w:rsidRPr="00597092" w:rsidRDefault="00597092" w:rsidP="00597092">
      <w:pPr>
        <w:pStyle w:val="fegure"/>
        <w:rPr>
          <w:sz w:val="8"/>
          <w:szCs w:val="24"/>
          <w:rtl/>
          <w:lang w:val="en-US"/>
        </w:rPr>
      </w:pPr>
      <w:bookmarkStart w:id="345" w:name="_Toc171803470"/>
      <w:r>
        <w:rPr>
          <w:rFonts w:hint="cs"/>
          <w:sz w:val="8"/>
          <w:szCs w:val="24"/>
          <w:rtl/>
          <w:lang w:val="en-US"/>
        </w:rPr>
        <w:t>المصدر: (الباحث، 2022)</w:t>
      </w:r>
      <w:bookmarkEnd w:id="345"/>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1"/>
        <w:gridCol w:w="3836"/>
      </w:tblGrid>
      <w:tr w:rsidR="003E0F31" w:rsidRPr="00992914" w:rsidTr="001E12D7">
        <w:trPr>
          <w:jc w:val="center"/>
        </w:trPr>
        <w:tc>
          <w:tcPr>
            <w:tcW w:w="4401" w:type="dxa"/>
            <w:shd w:val="clear" w:color="auto" w:fill="auto"/>
            <w:vAlign w:val="center"/>
          </w:tcPr>
          <w:p w:rsidR="003E0F31" w:rsidRPr="00992914" w:rsidRDefault="003E0F31" w:rsidP="001E12D7">
            <w:pPr>
              <w:bidi/>
              <w:spacing w:after="0" w:line="240" w:lineRule="auto"/>
              <w:jc w:val="center"/>
              <w:rPr>
                <w:rFonts w:ascii="Simplified Arabic" w:hAnsi="Simplified Arabic" w:cs="Simplified Arabic"/>
                <w:sz w:val="24"/>
                <w:szCs w:val="24"/>
                <w:rtl/>
                <w:lang w:bidi="ar-DZ"/>
              </w:rPr>
            </w:pPr>
            <w:r w:rsidRPr="00992914">
              <w:rPr>
                <w:rFonts w:ascii="Simplified Arabic" w:hAnsi="Simplified Arabic" w:cs="Simplified Arabic"/>
                <w:sz w:val="24"/>
                <w:szCs w:val="24"/>
                <w:rtl/>
                <w:lang w:bidi="ar-DZ"/>
              </w:rPr>
              <w:t>الايجابيات</w:t>
            </w:r>
          </w:p>
        </w:tc>
        <w:tc>
          <w:tcPr>
            <w:tcW w:w="3836" w:type="dxa"/>
            <w:shd w:val="clear" w:color="auto" w:fill="auto"/>
            <w:vAlign w:val="center"/>
          </w:tcPr>
          <w:p w:rsidR="003E0F31" w:rsidRPr="00992914" w:rsidRDefault="003E0F31" w:rsidP="001E12D7">
            <w:pPr>
              <w:bidi/>
              <w:spacing w:after="0" w:line="240" w:lineRule="auto"/>
              <w:jc w:val="center"/>
              <w:rPr>
                <w:rFonts w:ascii="Simplified Arabic" w:hAnsi="Simplified Arabic" w:cs="Simplified Arabic"/>
                <w:sz w:val="24"/>
                <w:szCs w:val="24"/>
                <w:rtl/>
                <w:lang w:bidi="ar-DZ"/>
              </w:rPr>
            </w:pPr>
            <w:r w:rsidRPr="00992914">
              <w:rPr>
                <w:rFonts w:ascii="Simplified Arabic" w:hAnsi="Simplified Arabic" w:cs="Simplified Arabic"/>
                <w:sz w:val="24"/>
                <w:szCs w:val="24"/>
                <w:rtl/>
                <w:lang w:bidi="ar-DZ"/>
              </w:rPr>
              <w:t>السلبيات</w:t>
            </w:r>
          </w:p>
        </w:tc>
      </w:tr>
      <w:tr w:rsidR="003E0F31" w:rsidRPr="00CE6E23" w:rsidTr="001E12D7">
        <w:trPr>
          <w:jc w:val="center"/>
        </w:trPr>
        <w:tc>
          <w:tcPr>
            <w:tcW w:w="4401" w:type="dxa"/>
            <w:shd w:val="clear" w:color="auto" w:fill="auto"/>
          </w:tcPr>
          <w:p w:rsidR="003E0F31" w:rsidRPr="00992914" w:rsidRDefault="003E0F31" w:rsidP="001E12D7">
            <w:pPr>
              <w:bidi/>
              <w:spacing w:after="0" w:line="240" w:lineRule="auto"/>
              <w:jc w:val="both"/>
              <w:rPr>
                <w:rFonts w:ascii="Simplified Arabic" w:hAnsi="Simplified Arabic" w:cs="Simplified Arabic"/>
                <w:sz w:val="24"/>
                <w:szCs w:val="24"/>
                <w:rtl/>
                <w:lang w:bidi="ar-DZ"/>
              </w:rPr>
            </w:pPr>
            <w:r w:rsidRPr="00992914">
              <w:rPr>
                <w:rFonts w:asciiTheme="minorBidi" w:hAnsiTheme="minorBidi" w:cs="Arial" w:hint="cs"/>
                <w:sz w:val="24"/>
                <w:szCs w:val="24"/>
                <w:rtl/>
                <w:lang w:bidi="ar-DZ"/>
              </w:rPr>
              <w:t xml:space="preserve">- </w:t>
            </w:r>
            <w:r w:rsidRPr="00992914">
              <w:rPr>
                <w:rFonts w:ascii="Simplified Arabic" w:hAnsi="Simplified Arabic" w:cs="Simplified Arabic" w:hint="cs"/>
                <w:sz w:val="24"/>
                <w:szCs w:val="24"/>
                <w:rtl/>
              </w:rPr>
              <w:t>المشاركة</w:t>
            </w:r>
            <w:r w:rsidRPr="00992914">
              <w:rPr>
                <w:rFonts w:ascii="Simplified Arabic" w:hAnsi="Simplified Arabic" w:cs="Simplified Arabic"/>
                <w:sz w:val="24"/>
                <w:szCs w:val="24"/>
                <w:rtl/>
              </w:rPr>
              <w:t xml:space="preserve"> </w:t>
            </w:r>
            <w:r w:rsidRPr="00992914">
              <w:rPr>
                <w:rFonts w:ascii="Simplified Arabic" w:hAnsi="Simplified Arabic" w:cs="Simplified Arabic" w:hint="cs"/>
                <w:sz w:val="24"/>
                <w:szCs w:val="24"/>
                <w:rtl/>
              </w:rPr>
              <w:t>المباشرة</w:t>
            </w:r>
            <w:r w:rsidRPr="00992914">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992914">
              <w:rPr>
                <w:rFonts w:ascii="Simplified Arabic" w:hAnsi="Simplified Arabic" w:cs="Simplified Arabic" w:hint="cs"/>
                <w:sz w:val="24"/>
                <w:szCs w:val="24"/>
                <w:rtl/>
              </w:rPr>
              <w:t>لمستخدمين</w:t>
            </w:r>
            <w:r w:rsidRPr="00992914">
              <w:rPr>
                <w:rFonts w:ascii="Simplified Arabic" w:hAnsi="Simplified Arabic" w:cs="Simplified Arabic"/>
                <w:sz w:val="24"/>
                <w:szCs w:val="24"/>
                <w:rtl/>
              </w:rPr>
              <w:t xml:space="preserve"> </w:t>
            </w:r>
            <w:r w:rsidRPr="00992914">
              <w:rPr>
                <w:rFonts w:ascii="Simplified Arabic" w:hAnsi="Simplified Arabic" w:cs="Simplified Arabic" w:hint="cs"/>
                <w:sz w:val="24"/>
                <w:szCs w:val="24"/>
                <w:rtl/>
              </w:rPr>
              <w:t>في</w:t>
            </w:r>
            <w:r w:rsidRPr="00992914">
              <w:rPr>
                <w:rFonts w:ascii="Simplified Arabic" w:hAnsi="Simplified Arabic" w:cs="Simplified Arabic"/>
                <w:sz w:val="24"/>
                <w:szCs w:val="24"/>
                <w:rtl/>
              </w:rPr>
              <w:t xml:space="preserve"> </w:t>
            </w:r>
            <w:r w:rsidRPr="00992914">
              <w:rPr>
                <w:rFonts w:ascii="Simplified Arabic" w:hAnsi="Simplified Arabic" w:cs="Simplified Arabic" w:hint="cs"/>
                <w:sz w:val="24"/>
                <w:szCs w:val="24"/>
                <w:rtl/>
              </w:rPr>
              <w:t>عملية</w:t>
            </w:r>
            <w:r w:rsidRPr="00992914">
              <w:rPr>
                <w:rFonts w:ascii="Simplified Arabic" w:hAnsi="Simplified Arabic" w:cs="Simplified Arabic"/>
                <w:sz w:val="24"/>
                <w:szCs w:val="24"/>
                <w:rtl/>
              </w:rPr>
              <w:t xml:space="preserve"> </w:t>
            </w:r>
            <w:r w:rsidRPr="00992914">
              <w:rPr>
                <w:rFonts w:ascii="Simplified Arabic" w:hAnsi="Simplified Arabic" w:cs="Simplified Arabic" w:hint="cs"/>
                <w:sz w:val="24"/>
                <w:szCs w:val="24"/>
                <w:rtl/>
              </w:rPr>
              <w:t>جمع</w:t>
            </w:r>
            <w:r w:rsidRPr="00992914">
              <w:rPr>
                <w:rFonts w:ascii="Simplified Arabic" w:hAnsi="Simplified Arabic" w:cs="Simplified Arabic"/>
                <w:sz w:val="24"/>
                <w:szCs w:val="24"/>
                <w:rtl/>
              </w:rPr>
              <w:t xml:space="preserve"> </w:t>
            </w:r>
            <w:r w:rsidRPr="00992914">
              <w:rPr>
                <w:rFonts w:ascii="Simplified Arabic" w:hAnsi="Simplified Arabic" w:cs="Simplified Arabic" w:hint="cs"/>
                <w:sz w:val="24"/>
                <w:szCs w:val="24"/>
                <w:rtl/>
              </w:rPr>
              <w:t>البيانات</w:t>
            </w:r>
            <w:r w:rsidRPr="00992914">
              <w:rPr>
                <w:rFonts w:ascii="Simplified Arabic" w:hAnsi="Simplified Arabic" w:cs="Simplified Arabic"/>
                <w:sz w:val="24"/>
                <w:szCs w:val="24"/>
                <w:rtl/>
                <w:lang w:bidi="ar-DZ"/>
              </w:rPr>
              <w:t xml:space="preserve"> </w:t>
            </w:r>
          </w:p>
          <w:p w:rsidR="003E0F31" w:rsidRPr="00992914" w:rsidRDefault="003E0F31" w:rsidP="001E12D7">
            <w:pPr>
              <w:bidi/>
              <w:spacing w:after="0" w:line="240" w:lineRule="auto"/>
              <w:jc w:val="both"/>
              <w:rPr>
                <w:rFonts w:ascii="Simplified Arabic" w:hAnsi="Simplified Arabic" w:cs="Simplified Arabic"/>
                <w:sz w:val="24"/>
                <w:szCs w:val="24"/>
                <w:lang w:bidi="ar-DZ"/>
              </w:rPr>
            </w:pPr>
            <w:r w:rsidRPr="00992914">
              <w:rPr>
                <w:rFonts w:asciiTheme="minorBidi" w:hAnsiTheme="minorBidi" w:cs="Arial" w:hint="cs"/>
                <w:sz w:val="24"/>
                <w:szCs w:val="24"/>
                <w:rtl/>
                <w:lang w:bidi="ar-DZ"/>
              </w:rPr>
              <w:t xml:space="preserve">- </w:t>
            </w:r>
            <w:r w:rsidRPr="00992914">
              <w:rPr>
                <w:rFonts w:ascii="Simplified Arabic" w:hAnsi="Simplified Arabic" w:cs="Simplified Arabic"/>
                <w:sz w:val="24"/>
                <w:szCs w:val="24"/>
                <w:rtl/>
                <w:lang w:bidi="ar-DZ"/>
              </w:rPr>
              <w:t>المواجهة بين الفاعلين السياسيين والمواطنين في قضية مخاطر الفيضانات</w:t>
            </w:r>
          </w:p>
          <w:p w:rsidR="003E0F31" w:rsidRPr="00992914" w:rsidRDefault="003E0F31" w:rsidP="001E12D7">
            <w:pPr>
              <w:bidi/>
              <w:spacing w:after="0" w:line="240" w:lineRule="auto"/>
              <w:jc w:val="both"/>
              <w:rPr>
                <w:rFonts w:ascii="Simplified Arabic" w:hAnsi="Simplified Arabic" w:cs="Simplified Arabic"/>
                <w:sz w:val="24"/>
                <w:szCs w:val="24"/>
                <w:rtl/>
                <w:lang w:bidi="ar-DZ"/>
              </w:rPr>
            </w:pPr>
            <w:r w:rsidRPr="00992914">
              <w:rPr>
                <w:rFonts w:asciiTheme="minorBidi" w:hAnsiTheme="minorBidi" w:cs="Arial" w:hint="cs"/>
                <w:sz w:val="24"/>
                <w:szCs w:val="24"/>
                <w:rtl/>
                <w:lang w:bidi="ar-DZ"/>
              </w:rPr>
              <w:t xml:space="preserve">- </w:t>
            </w:r>
            <w:r w:rsidRPr="00992914">
              <w:rPr>
                <w:rFonts w:ascii="Simplified Arabic" w:hAnsi="Simplified Arabic" w:cs="Simplified Arabic"/>
                <w:sz w:val="24"/>
                <w:szCs w:val="24"/>
                <w:rtl/>
                <w:lang w:bidi="ar-DZ"/>
              </w:rPr>
              <w:t xml:space="preserve">إبراز الحاجة إلى </w:t>
            </w:r>
            <w:r w:rsidRPr="00992914">
              <w:rPr>
                <w:rFonts w:ascii="Simplified Arabic" w:hAnsi="Simplified Arabic" w:cs="Simplified Arabic" w:hint="cs"/>
                <w:sz w:val="24"/>
                <w:szCs w:val="24"/>
                <w:rtl/>
                <w:lang w:bidi="ar-DZ"/>
              </w:rPr>
              <w:t>ال</w:t>
            </w:r>
            <w:r w:rsidRPr="00992914">
              <w:rPr>
                <w:rFonts w:ascii="Simplified Arabic" w:hAnsi="Simplified Arabic" w:cs="Simplified Arabic"/>
                <w:sz w:val="24"/>
                <w:szCs w:val="24"/>
                <w:rtl/>
                <w:lang w:bidi="ar-DZ"/>
              </w:rPr>
              <w:t xml:space="preserve">فهم </w:t>
            </w:r>
            <w:r w:rsidRPr="00992914">
              <w:rPr>
                <w:rFonts w:ascii="Simplified Arabic" w:hAnsi="Simplified Arabic" w:cs="Simplified Arabic" w:hint="cs"/>
                <w:sz w:val="24"/>
                <w:szCs w:val="24"/>
                <w:rtl/>
                <w:lang w:bidi="ar-DZ"/>
              </w:rPr>
              <w:t>وال</w:t>
            </w:r>
            <w:r w:rsidRPr="00992914">
              <w:rPr>
                <w:rFonts w:ascii="Simplified Arabic" w:hAnsi="Simplified Arabic" w:cs="Simplified Arabic"/>
                <w:sz w:val="24"/>
                <w:szCs w:val="24"/>
                <w:rtl/>
                <w:lang w:bidi="ar-DZ"/>
              </w:rPr>
              <w:t>إدراك الصحيح للمخاطر</w:t>
            </w:r>
          </w:p>
          <w:p w:rsidR="003E0F31" w:rsidRPr="00992914" w:rsidRDefault="003E0F31" w:rsidP="001E12D7">
            <w:pPr>
              <w:bidi/>
              <w:spacing w:after="0" w:line="240" w:lineRule="auto"/>
              <w:jc w:val="both"/>
              <w:rPr>
                <w:rFonts w:ascii="Simplified Arabic" w:hAnsi="Simplified Arabic" w:cs="Simplified Arabic"/>
                <w:sz w:val="24"/>
                <w:szCs w:val="24"/>
                <w:rtl/>
                <w:lang w:bidi="ar-DZ"/>
              </w:rPr>
            </w:pPr>
            <w:r w:rsidRPr="00992914">
              <w:rPr>
                <w:rFonts w:asciiTheme="minorBidi" w:hAnsiTheme="minorBidi" w:cs="Arial" w:hint="cs"/>
                <w:sz w:val="24"/>
                <w:szCs w:val="24"/>
                <w:rtl/>
                <w:lang w:bidi="ar-DZ"/>
              </w:rPr>
              <w:t xml:space="preserve">- </w:t>
            </w:r>
            <w:r w:rsidRPr="00992914">
              <w:rPr>
                <w:rFonts w:ascii="Simplified Arabic" w:hAnsi="Simplified Arabic" w:cs="Simplified Arabic" w:hint="cs"/>
                <w:sz w:val="24"/>
                <w:szCs w:val="24"/>
                <w:rtl/>
                <w:lang w:bidi="ar-DZ"/>
              </w:rPr>
              <w:t>تكوين</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قاعدة</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بيانات</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جغرافية</w:t>
            </w:r>
            <w:r w:rsidRPr="0099291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شاملة</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باستخدام</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نظام</w:t>
            </w:r>
            <w:r w:rsidRPr="00992914">
              <w:rPr>
                <w:rFonts w:ascii="Simplified Arabic" w:hAnsi="Simplified Arabic" w:cs="Simplified Arabic"/>
                <w:sz w:val="24"/>
                <w:szCs w:val="24"/>
                <w:rtl/>
                <w:lang w:bidi="ar-DZ"/>
              </w:rPr>
              <w:t xml:space="preserve"> </w:t>
            </w:r>
            <w:r w:rsidRPr="00992914">
              <w:rPr>
                <w:rFonts w:asciiTheme="majorBidi" w:hAnsiTheme="majorBidi" w:cstheme="majorBidi"/>
                <w:sz w:val="24"/>
                <w:szCs w:val="24"/>
                <w:rtl/>
                <w:lang w:bidi="ar-DZ"/>
              </w:rPr>
              <w:t>(</w:t>
            </w:r>
            <w:r w:rsidRPr="00992914">
              <w:rPr>
                <w:rFonts w:asciiTheme="majorBidi" w:hAnsiTheme="majorBidi" w:cstheme="majorBidi"/>
                <w:sz w:val="24"/>
                <w:szCs w:val="24"/>
                <w:lang w:bidi="ar-DZ"/>
              </w:rPr>
              <w:t>GPS</w:t>
            </w:r>
            <w:r w:rsidRPr="00992914">
              <w:rPr>
                <w:rFonts w:asciiTheme="majorBidi" w:hAnsiTheme="majorBidi" w:cstheme="majorBidi"/>
                <w:sz w:val="24"/>
                <w:szCs w:val="24"/>
                <w:rtl/>
                <w:lang w:bidi="ar-DZ"/>
              </w:rPr>
              <w:t>)</w:t>
            </w:r>
            <w:r>
              <w:rPr>
                <w:rFonts w:ascii="Simplified Arabic" w:hAnsi="Simplified Arabic" w:cs="Simplified Arabic" w:hint="cs"/>
                <w:sz w:val="24"/>
                <w:szCs w:val="24"/>
                <w:rtl/>
                <w:lang w:bidi="ar-DZ"/>
              </w:rPr>
              <w:t xml:space="preserve"> </w:t>
            </w:r>
            <w:r w:rsidRPr="00992914">
              <w:rPr>
                <w:rFonts w:ascii="Simplified Arabic" w:hAnsi="Simplified Arabic" w:cs="Simplified Arabic" w:hint="cs"/>
                <w:sz w:val="24"/>
                <w:szCs w:val="24"/>
                <w:rtl/>
                <w:lang w:bidi="ar-DZ"/>
              </w:rPr>
              <w:t>مفتوحة المصدر.</w:t>
            </w:r>
          </w:p>
        </w:tc>
        <w:tc>
          <w:tcPr>
            <w:tcW w:w="3836" w:type="dxa"/>
            <w:shd w:val="clear" w:color="auto" w:fill="auto"/>
          </w:tcPr>
          <w:p w:rsidR="003E0F31" w:rsidRPr="00992914" w:rsidRDefault="003E0F31" w:rsidP="001E12D7">
            <w:pPr>
              <w:bidi/>
              <w:spacing w:after="0" w:line="240" w:lineRule="auto"/>
              <w:jc w:val="both"/>
              <w:rPr>
                <w:rFonts w:ascii="Simplified Arabic" w:hAnsi="Simplified Arabic" w:cs="Simplified Arabic"/>
                <w:sz w:val="24"/>
                <w:szCs w:val="24"/>
                <w:lang w:bidi="ar-DZ"/>
              </w:rPr>
            </w:pPr>
            <w:r w:rsidRPr="00992914">
              <w:rPr>
                <w:rFonts w:asciiTheme="minorBidi" w:hAnsiTheme="minorBidi" w:cs="Arial" w:hint="cs"/>
                <w:sz w:val="24"/>
                <w:szCs w:val="24"/>
                <w:rtl/>
                <w:lang w:bidi="ar-DZ"/>
              </w:rPr>
              <w:t xml:space="preserve">- </w:t>
            </w:r>
            <w:r w:rsidRPr="00992914">
              <w:rPr>
                <w:rFonts w:ascii="Simplified Arabic" w:hAnsi="Simplified Arabic" w:cs="Simplified Arabic"/>
                <w:sz w:val="24"/>
                <w:szCs w:val="24"/>
                <w:rtl/>
                <w:lang w:bidi="ar-DZ"/>
              </w:rPr>
              <w:t>لم يتم تقديم مشورة لتطوير نهج تشاركي أو تعاوني</w:t>
            </w:r>
            <w:r>
              <w:rPr>
                <w:rFonts w:ascii="Simplified Arabic" w:hAnsi="Simplified Arabic" w:cs="Simplified Arabic" w:hint="cs"/>
                <w:sz w:val="24"/>
                <w:szCs w:val="24"/>
                <w:rtl/>
                <w:lang w:bidi="ar-DZ"/>
              </w:rPr>
              <w:t xml:space="preserve"> مع الخبراء المعنيين</w:t>
            </w:r>
          </w:p>
          <w:p w:rsidR="003E0F31" w:rsidRPr="00992914" w:rsidRDefault="003E0F31" w:rsidP="001E12D7">
            <w:pPr>
              <w:bidi/>
              <w:spacing w:after="0" w:line="240" w:lineRule="auto"/>
              <w:jc w:val="both"/>
              <w:rPr>
                <w:rFonts w:ascii="Simplified Arabic" w:hAnsi="Simplified Arabic" w:cs="Simplified Arabic"/>
                <w:sz w:val="24"/>
                <w:szCs w:val="24"/>
                <w:rtl/>
                <w:lang w:bidi="ar-DZ"/>
              </w:rPr>
            </w:pPr>
            <w:r w:rsidRPr="00992914">
              <w:rPr>
                <w:rFonts w:asciiTheme="minorBidi" w:hAnsiTheme="minorBidi" w:cs="Arial" w:hint="cs"/>
                <w:sz w:val="24"/>
                <w:szCs w:val="24"/>
                <w:rtl/>
                <w:lang w:bidi="ar-DZ"/>
              </w:rPr>
              <w:t xml:space="preserve">- </w:t>
            </w:r>
            <w:r w:rsidRPr="00992914">
              <w:rPr>
                <w:rFonts w:ascii="Simplified Arabic" w:hAnsi="Simplified Arabic" w:cs="Simplified Arabic" w:hint="cs"/>
                <w:sz w:val="24"/>
                <w:szCs w:val="24"/>
                <w:rtl/>
                <w:lang w:bidi="ar-DZ"/>
              </w:rPr>
              <w:t>استخدام</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البيانات</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المفتوحة</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أدى</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إلى</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تقييد</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اختيار</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المؤشرات</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والمؤشرات</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الفرعية</w:t>
            </w:r>
            <w:r w:rsidRPr="00992914">
              <w:rPr>
                <w:rFonts w:ascii="Simplified Arabic" w:hAnsi="Simplified Arabic" w:cs="Simplified Arabic"/>
                <w:sz w:val="24"/>
                <w:szCs w:val="24"/>
                <w:rtl/>
                <w:lang w:bidi="ar-DZ"/>
              </w:rPr>
              <w:t xml:space="preserve"> </w:t>
            </w:r>
            <w:r w:rsidRPr="00992914">
              <w:rPr>
                <w:rFonts w:ascii="Simplified Arabic" w:hAnsi="Simplified Arabic" w:cs="Simplified Arabic" w:hint="cs"/>
                <w:sz w:val="24"/>
                <w:szCs w:val="24"/>
                <w:rtl/>
                <w:lang w:bidi="ar-DZ"/>
              </w:rPr>
              <w:t>والمتغيرات</w:t>
            </w:r>
            <w:r w:rsidRPr="00992914">
              <w:rPr>
                <w:rFonts w:ascii="Simplified Arabic" w:hAnsi="Simplified Arabic" w:cs="Simplified Arabic"/>
                <w:sz w:val="24"/>
                <w:szCs w:val="24"/>
                <w:rtl/>
                <w:lang w:bidi="ar-DZ"/>
              </w:rPr>
              <w:t>.</w:t>
            </w:r>
          </w:p>
          <w:p w:rsidR="003E0F31" w:rsidRPr="00992914" w:rsidRDefault="003E0F31" w:rsidP="001E12D7">
            <w:pPr>
              <w:bidi/>
              <w:spacing w:after="0" w:line="240" w:lineRule="auto"/>
              <w:rPr>
                <w:rFonts w:ascii="Simplified Arabic" w:hAnsi="Simplified Arabic" w:cs="Simplified Arabic"/>
                <w:sz w:val="24"/>
                <w:szCs w:val="24"/>
                <w:rtl/>
                <w:lang w:bidi="ar-DZ"/>
              </w:rPr>
            </w:pPr>
          </w:p>
        </w:tc>
      </w:tr>
    </w:tbl>
    <w:p w:rsidR="003E0F31" w:rsidRPr="005D2BFE" w:rsidRDefault="003E0F31" w:rsidP="00B36D99">
      <w:pPr>
        <w:pStyle w:val="Paragraphedeliste"/>
        <w:numPr>
          <w:ilvl w:val="3"/>
          <w:numId w:val="273"/>
        </w:numPr>
        <w:tabs>
          <w:tab w:val="right" w:pos="992"/>
        </w:tabs>
        <w:bidi/>
        <w:spacing w:before="240" w:after="0" w:line="240" w:lineRule="auto"/>
        <w:ind w:left="0" w:firstLine="0"/>
        <w:jc w:val="both"/>
        <w:outlineLvl w:val="2"/>
        <w:rPr>
          <w:rFonts w:ascii="Simplified Arabic" w:hAnsi="Simplified Arabic" w:cs="Simplified Arabic"/>
          <w:b/>
          <w:bCs/>
          <w:color w:val="000000"/>
          <w:sz w:val="24"/>
          <w:szCs w:val="24"/>
          <w:lang w:val="en-US"/>
        </w:rPr>
      </w:pPr>
      <w:bookmarkStart w:id="346" w:name="_Toc171803471"/>
      <w:r w:rsidRPr="005D2BFE">
        <w:rPr>
          <w:rFonts w:ascii="Simplified Arabic" w:hAnsi="Simplified Arabic" w:cs="Simplified Arabic"/>
          <w:b/>
          <w:bCs/>
          <w:color w:val="000000"/>
          <w:sz w:val="24"/>
          <w:szCs w:val="24"/>
          <w:rtl/>
          <w:lang w:val="en-US"/>
        </w:rPr>
        <w:lastRenderedPageBreak/>
        <w:t xml:space="preserve">تحليل مرونة المستوطنات الحضرية باستخدام نماذج صنع القرار متعددة المعايير </w:t>
      </w:r>
      <w:r w:rsidRPr="005D2BFE">
        <w:rPr>
          <w:rFonts w:ascii="Simplified Arabic" w:hAnsi="Simplified Arabic" w:cs="Simplified Arabic"/>
          <w:color w:val="000000"/>
          <w:sz w:val="24"/>
          <w:szCs w:val="24"/>
          <w:rtl/>
          <w:lang w:val="en-US"/>
        </w:rPr>
        <w:t>(</w:t>
      </w:r>
      <w:r w:rsidRPr="005D2BFE">
        <w:rPr>
          <w:rFonts w:asciiTheme="majorBidi" w:hAnsiTheme="majorBidi" w:cstheme="majorBidi"/>
          <w:color w:val="000000"/>
          <w:sz w:val="24"/>
          <w:szCs w:val="24"/>
          <w:lang w:val="en-US"/>
        </w:rPr>
        <w:t>MCDM</w:t>
      </w:r>
      <w:r w:rsidRPr="005D2BFE">
        <w:rPr>
          <w:rFonts w:ascii="Simplified Arabic" w:hAnsi="Simplified Arabic" w:cs="Simplified Arabic"/>
          <w:color w:val="000000"/>
          <w:sz w:val="24"/>
          <w:szCs w:val="24"/>
          <w:rtl/>
          <w:lang w:val="en-US"/>
        </w:rPr>
        <w:t>)</w:t>
      </w:r>
      <w:r w:rsidRPr="005D2BFE">
        <w:rPr>
          <w:rFonts w:ascii="Simplified Arabic" w:hAnsi="Simplified Arabic" w:cs="Simplified Arabic"/>
          <w:b/>
          <w:bCs/>
          <w:color w:val="000000"/>
          <w:sz w:val="24"/>
          <w:szCs w:val="24"/>
          <w:rtl/>
          <w:lang w:val="en-US"/>
        </w:rPr>
        <w:t xml:space="preserve"> (دراسة حالة: مدينة ملاير)</w:t>
      </w:r>
      <w:bookmarkEnd w:id="346"/>
    </w:p>
    <w:p w:rsidR="003E0F31" w:rsidRPr="000B42BD" w:rsidRDefault="003E0F31" w:rsidP="001D0548">
      <w:pPr>
        <w:pStyle w:val="Paragraphedeliste"/>
        <w:numPr>
          <w:ilvl w:val="0"/>
          <w:numId w:val="21"/>
        </w:numPr>
        <w:shd w:val="clear" w:color="auto" w:fill="F2F2F2" w:themeFill="background1" w:themeFillShade="F2"/>
        <w:spacing w:after="0"/>
        <w:ind w:left="284" w:hanging="284"/>
        <w:jc w:val="center"/>
        <w:rPr>
          <w:rFonts w:asciiTheme="majorBidi" w:hAnsiTheme="majorBidi" w:cstheme="majorBidi"/>
          <w:color w:val="000000"/>
          <w:lang w:val="en-US"/>
        </w:rPr>
      </w:pPr>
      <w:r w:rsidRPr="000B42BD">
        <w:rPr>
          <w:rFonts w:asciiTheme="majorBidi" w:hAnsiTheme="majorBidi" w:cstheme="majorBidi"/>
          <w:color w:val="000000"/>
          <w:lang w:val="en-US"/>
        </w:rPr>
        <w:t xml:space="preserve">Analyzing the resilience of urban settlements using multiple-criteria decision-making (MCDM) models (case study: Malayer city), </w:t>
      </w:r>
      <w:r w:rsidRPr="000B42BD">
        <w:rPr>
          <w:rFonts w:asciiTheme="majorBidi" w:hAnsiTheme="majorBidi" w:cstheme="majorBidi"/>
          <w:color w:val="000000" w:themeColor="text1"/>
          <w:lang w:val="en-US" w:bidi="ar-DZ"/>
        </w:rPr>
        <w:t>(Javari et al., 2021)</w:t>
      </w:r>
    </w:p>
    <w:p w:rsidR="003E0F31" w:rsidRDefault="003E0F31" w:rsidP="003E0F31">
      <w:pPr>
        <w:tabs>
          <w:tab w:val="right" w:pos="281"/>
        </w:tabs>
        <w:bidi/>
        <w:spacing w:before="240" w:after="0"/>
        <w:ind w:firstLine="282"/>
        <w:jc w:val="both"/>
        <w:rPr>
          <w:rFonts w:ascii="Simplified Arabic" w:eastAsia="Times New Roman" w:hAnsi="Simplified Arabic" w:cs="Simplified Arabic"/>
          <w:b/>
          <w:sz w:val="24"/>
          <w:szCs w:val="24"/>
          <w:rtl/>
          <w:lang w:val="en-US" w:eastAsia="fr-FR"/>
        </w:rPr>
      </w:pPr>
      <w:r w:rsidRPr="00F30A8C">
        <w:rPr>
          <w:rFonts w:ascii="Simplified Arabic" w:eastAsia="Times New Roman" w:hAnsi="Simplified Arabic" w:cs="Simplified Arabic"/>
          <w:b/>
          <w:sz w:val="24"/>
          <w:szCs w:val="24"/>
          <w:rtl/>
          <w:lang w:val="en-US" w:eastAsia="fr-FR"/>
        </w:rPr>
        <w:t>في دراسة قام بها</w:t>
      </w:r>
      <w:r>
        <w:rPr>
          <w:rStyle w:val="y2iqfc"/>
          <w:rFonts w:ascii="Arial" w:hAnsi="Arial"/>
          <w:color w:val="000000"/>
          <w:sz w:val="24"/>
          <w:szCs w:val="24"/>
          <w:rtl/>
          <w:lang w:val="en-US" w:bidi="ar-DZ"/>
        </w:rPr>
        <w:t xml:space="preserve"> </w:t>
      </w:r>
      <w:r w:rsidRPr="004407A6">
        <w:rPr>
          <w:rFonts w:asciiTheme="majorBidi" w:hAnsiTheme="majorBidi" w:cstheme="majorBidi"/>
          <w:color w:val="000000" w:themeColor="text1"/>
          <w:sz w:val="24"/>
          <w:szCs w:val="24"/>
          <w:lang w:val="en-US" w:bidi="ar-DZ"/>
        </w:rPr>
        <w:t>(</w:t>
      </w:r>
      <w:r w:rsidRPr="00206B59">
        <w:rPr>
          <w:rFonts w:asciiTheme="majorBidi" w:hAnsiTheme="majorBidi" w:cstheme="majorBidi"/>
          <w:color w:val="000000" w:themeColor="text1"/>
          <w:sz w:val="24"/>
          <w:szCs w:val="24"/>
          <w:lang w:val="en-US" w:bidi="ar-DZ"/>
        </w:rPr>
        <w:t>Javari</w:t>
      </w:r>
      <w:r w:rsidRPr="004407A6">
        <w:rPr>
          <w:rFonts w:asciiTheme="majorBidi" w:hAnsiTheme="majorBidi" w:cstheme="majorBidi"/>
          <w:color w:val="000000" w:themeColor="text1"/>
          <w:sz w:val="24"/>
          <w:szCs w:val="24"/>
          <w:lang w:val="en-US" w:bidi="ar-DZ"/>
        </w:rPr>
        <w:t xml:space="preserve"> et al., 2021)</w:t>
      </w:r>
      <w:r w:rsidRPr="00EC1F37">
        <w:rPr>
          <w:rFonts w:ascii="Simplified Arabic" w:eastAsia="Times New Roman" w:hAnsi="Simplified Arabic" w:cs="Simplified Arabic" w:hint="cs"/>
          <w:b/>
          <w:sz w:val="24"/>
          <w:szCs w:val="24"/>
          <w:rtl/>
          <w:lang w:val="en-US" w:eastAsia="fr-FR"/>
        </w:rPr>
        <w:t>،</w:t>
      </w:r>
      <w:r>
        <w:rPr>
          <w:rFonts w:ascii="Garamond" w:eastAsia="Times New Roman" w:hAnsi="Garamond" w:cs="Times New Roman"/>
          <w:b/>
          <w:color w:val="000000"/>
          <w:rtl/>
          <w:lang w:eastAsia="fr-FR"/>
        </w:rPr>
        <w:t xml:space="preserve"> </w:t>
      </w:r>
      <w:r w:rsidRPr="00EC1F37">
        <w:rPr>
          <w:rFonts w:ascii="Simplified Arabic" w:eastAsia="Times New Roman" w:hAnsi="Simplified Arabic" w:cs="Simplified Arabic"/>
          <w:b/>
          <w:sz w:val="24"/>
          <w:szCs w:val="24"/>
          <w:rtl/>
          <w:lang w:val="en-US" w:eastAsia="fr-FR"/>
        </w:rPr>
        <w:t>ا</w:t>
      </w:r>
      <w:r w:rsidRPr="00F30A8C">
        <w:rPr>
          <w:rFonts w:ascii="Simplified Arabic" w:eastAsia="Times New Roman" w:hAnsi="Simplified Arabic" w:cs="Simplified Arabic"/>
          <w:b/>
          <w:sz w:val="24"/>
          <w:szCs w:val="24"/>
          <w:rtl/>
          <w:lang w:val="en-US" w:eastAsia="fr-FR"/>
        </w:rPr>
        <w:t xml:space="preserve">لتي تهدف </w:t>
      </w:r>
      <w:r w:rsidRPr="00EC1F37">
        <w:rPr>
          <w:rFonts w:ascii="Simplified Arabic" w:eastAsia="Times New Roman" w:hAnsi="Simplified Arabic" w:cs="Simplified Arabic"/>
          <w:b/>
          <w:sz w:val="24"/>
          <w:szCs w:val="24"/>
          <w:rtl/>
          <w:lang w:val="en-US" w:eastAsia="fr-FR"/>
        </w:rPr>
        <w:t xml:space="preserve">الى تقييم </w:t>
      </w:r>
      <w:r w:rsidRPr="00EC1F37">
        <w:rPr>
          <w:rFonts w:ascii="Simplified Arabic" w:eastAsia="Times New Roman" w:hAnsi="Simplified Arabic" w:cs="Simplified Arabic" w:hint="cs"/>
          <w:b/>
          <w:sz w:val="24"/>
          <w:szCs w:val="24"/>
          <w:rtl/>
          <w:lang w:val="en-US" w:eastAsia="fr-FR"/>
        </w:rPr>
        <w:t>ال</w:t>
      </w:r>
      <w:r w:rsidRPr="00EC1F37">
        <w:rPr>
          <w:rFonts w:ascii="Simplified Arabic" w:eastAsia="Times New Roman" w:hAnsi="Simplified Arabic" w:cs="Simplified Arabic"/>
          <w:b/>
          <w:sz w:val="24"/>
          <w:szCs w:val="24"/>
          <w:rtl/>
          <w:lang w:val="en-US" w:eastAsia="fr-FR"/>
        </w:rPr>
        <w:t xml:space="preserve">مرونة البيئية من خلال التحليل الكمي و مؤشرات نوعية </w:t>
      </w:r>
      <w:r w:rsidRPr="00EC1F37">
        <w:rPr>
          <w:rFonts w:ascii="Simplified Arabic" w:eastAsia="Times New Roman" w:hAnsi="Simplified Arabic" w:cs="Simplified Arabic" w:hint="cs"/>
          <w:b/>
          <w:sz w:val="24"/>
          <w:szCs w:val="24"/>
          <w:rtl/>
          <w:lang w:val="en-US" w:eastAsia="fr-FR"/>
        </w:rPr>
        <w:t>المناطق</w:t>
      </w:r>
      <w:r w:rsidRPr="00EC1F37">
        <w:rPr>
          <w:rFonts w:ascii="Simplified Arabic" w:eastAsia="Times New Roman" w:hAnsi="Simplified Arabic" w:cs="Simplified Arabic"/>
          <w:b/>
          <w:sz w:val="24"/>
          <w:szCs w:val="24"/>
          <w:rtl/>
          <w:lang w:val="en-US" w:eastAsia="fr-FR"/>
        </w:rPr>
        <w:t xml:space="preserve"> الحضرية، </w:t>
      </w:r>
      <w:r w:rsidRPr="006F3CD5">
        <w:rPr>
          <w:rFonts w:ascii="Simplified Arabic" w:eastAsia="Times New Roman" w:hAnsi="Simplified Arabic" w:cs="Simplified Arabic"/>
          <w:b/>
          <w:sz w:val="24"/>
          <w:szCs w:val="24"/>
          <w:rtl/>
          <w:lang w:val="en-US" w:eastAsia="fr-FR"/>
        </w:rPr>
        <w:t xml:space="preserve">استخدم الباحث </w:t>
      </w:r>
      <w:r w:rsidRPr="006F3CD5">
        <w:rPr>
          <w:rFonts w:ascii="Simplified Arabic" w:eastAsia="Times New Roman" w:hAnsi="Simplified Arabic" w:cs="Simplified Arabic" w:hint="cs"/>
          <w:b/>
          <w:sz w:val="24"/>
          <w:szCs w:val="24"/>
          <w:rtl/>
          <w:lang w:val="en-US" w:eastAsia="fr-FR"/>
        </w:rPr>
        <w:t>التحليل</w:t>
      </w:r>
      <w:r w:rsidRPr="006F3CD5">
        <w:rPr>
          <w:rFonts w:ascii="Simplified Arabic" w:eastAsia="Times New Roman" w:hAnsi="Simplified Arabic" w:cs="Simplified Arabic"/>
          <w:b/>
          <w:sz w:val="24"/>
          <w:szCs w:val="24"/>
          <w:rtl/>
          <w:lang w:val="en-US" w:eastAsia="fr-FR"/>
        </w:rPr>
        <w:t xml:space="preserve"> </w:t>
      </w:r>
      <w:r w:rsidRPr="006F3CD5">
        <w:rPr>
          <w:rFonts w:ascii="Simplified Arabic" w:eastAsia="Times New Roman" w:hAnsi="Simplified Arabic" w:cs="Simplified Arabic" w:hint="cs"/>
          <w:b/>
          <w:sz w:val="24"/>
          <w:szCs w:val="24"/>
          <w:rtl/>
          <w:lang w:val="en-US" w:eastAsia="fr-FR"/>
        </w:rPr>
        <w:t>المكاني</w:t>
      </w:r>
      <w:r w:rsidRPr="006F3CD5">
        <w:rPr>
          <w:rFonts w:ascii="Simplified Arabic" w:eastAsia="Times New Roman" w:hAnsi="Simplified Arabic" w:cs="Simplified Arabic"/>
          <w:b/>
          <w:sz w:val="24"/>
          <w:szCs w:val="24"/>
          <w:rtl/>
          <w:lang w:val="en-US" w:eastAsia="fr-FR"/>
        </w:rPr>
        <w:t xml:space="preserve"> لمؤشرات والعوامل النوعية</w:t>
      </w:r>
      <w:r w:rsidRPr="00C54ADE">
        <w:rPr>
          <w:rFonts w:ascii="Simplified Arabic" w:eastAsia="Times New Roman" w:hAnsi="Simplified Arabic" w:cs="Simplified Arabic"/>
          <w:b/>
          <w:sz w:val="24"/>
          <w:szCs w:val="24"/>
          <w:rtl/>
          <w:lang w:val="en-US" w:eastAsia="fr-FR"/>
        </w:rPr>
        <w:t xml:space="preserve"> التي تؤثر على المرونة</w:t>
      </w:r>
      <w:r w:rsidRPr="00C54ADE">
        <w:rPr>
          <w:rFonts w:ascii="Simplified Arabic" w:eastAsia="Times New Roman" w:hAnsi="Simplified Arabic" w:cs="Simplified Arabic" w:hint="cs"/>
          <w:b/>
          <w:sz w:val="24"/>
          <w:szCs w:val="24"/>
          <w:rtl/>
          <w:lang w:val="en-US" w:eastAsia="fr-FR"/>
        </w:rPr>
        <w:t xml:space="preserve">، قام </w:t>
      </w:r>
      <w:r w:rsidRPr="00C54ADE">
        <w:rPr>
          <w:rFonts w:ascii="Simplified Arabic" w:eastAsia="Times New Roman" w:hAnsi="Simplified Arabic" w:cs="Simplified Arabic" w:hint="cs"/>
          <w:b/>
          <w:sz w:val="24"/>
          <w:szCs w:val="24"/>
          <w:rtl/>
          <w:lang w:eastAsia="fr-FR"/>
        </w:rPr>
        <w:t xml:space="preserve">بتطوير </w:t>
      </w:r>
      <w:r w:rsidRPr="00C54ADE">
        <w:rPr>
          <w:rFonts w:ascii="Simplified Arabic" w:eastAsia="Times New Roman" w:hAnsi="Simplified Arabic" w:cs="Simplified Arabic"/>
          <w:b/>
          <w:sz w:val="24"/>
          <w:szCs w:val="24"/>
          <w:rtl/>
          <w:lang w:eastAsia="fr-FR"/>
        </w:rPr>
        <w:t xml:space="preserve">18 </w:t>
      </w:r>
      <w:r w:rsidRPr="00C54ADE">
        <w:rPr>
          <w:rFonts w:ascii="Simplified Arabic" w:eastAsia="Times New Roman" w:hAnsi="Simplified Arabic" w:cs="Simplified Arabic" w:hint="cs"/>
          <w:b/>
          <w:sz w:val="24"/>
          <w:szCs w:val="24"/>
          <w:rtl/>
          <w:lang w:eastAsia="fr-FR"/>
        </w:rPr>
        <w:t xml:space="preserve">مؤشرًا، </w:t>
      </w:r>
      <w:r w:rsidRPr="00C54ADE">
        <w:rPr>
          <w:rFonts w:ascii="Simplified Arabic" w:eastAsia="Times New Roman" w:hAnsi="Simplified Arabic" w:cs="Simplified Arabic" w:hint="cs"/>
          <w:b/>
          <w:sz w:val="24"/>
          <w:szCs w:val="24"/>
          <w:rtl/>
          <w:lang w:val="en-US" w:eastAsia="fr-FR"/>
        </w:rPr>
        <w:t>مثل: عمر</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المباني، كثافة</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المبنى، التوزيع</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المكاني</w:t>
      </w:r>
      <w:r w:rsidRPr="00C54ADE">
        <w:rPr>
          <w:rFonts w:ascii="Simplified Arabic" w:eastAsia="Times New Roman" w:hAnsi="Simplified Arabic" w:cs="Simplified Arabic"/>
          <w:b/>
          <w:sz w:val="24"/>
          <w:szCs w:val="24"/>
          <w:rtl/>
          <w:lang w:val="en-US" w:eastAsia="fr-FR"/>
        </w:rPr>
        <w:t xml:space="preserve"> بناءً </w:t>
      </w:r>
      <w:r w:rsidRPr="00C54ADE">
        <w:rPr>
          <w:rFonts w:ascii="Simplified Arabic" w:eastAsia="Times New Roman" w:hAnsi="Simplified Arabic" w:cs="Simplified Arabic" w:hint="cs"/>
          <w:b/>
          <w:sz w:val="24"/>
          <w:szCs w:val="24"/>
          <w:rtl/>
          <w:lang w:val="en-US" w:eastAsia="fr-FR"/>
        </w:rPr>
        <w:t>على</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الوصول</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إلى</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محطات</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الإطفاء،</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الى المساحات</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المفتوحة</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للهروب،</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الى مراكز</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الإغاثة</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والى الإقامة</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val="en-US" w:eastAsia="fr-FR"/>
        </w:rPr>
        <w:t>المؤقتة،</w:t>
      </w:r>
      <w:r w:rsidRPr="00C54ADE">
        <w:rPr>
          <w:rFonts w:ascii="Simplified Arabic" w:eastAsia="Times New Roman" w:hAnsi="Simplified Arabic" w:cs="Simplified Arabic"/>
          <w:b/>
          <w:sz w:val="24"/>
          <w:szCs w:val="24"/>
          <w:rtl/>
          <w:lang w:val="en-US" w:eastAsia="fr-FR"/>
        </w:rPr>
        <w:t xml:space="preserve"> </w:t>
      </w:r>
      <w:r w:rsidRPr="00C54ADE">
        <w:rPr>
          <w:rFonts w:ascii="Simplified Arabic" w:eastAsia="Times New Roman" w:hAnsi="Simplified Arabic" w:cs="Simplified Arabic" w:hint="cs"/>
          <w:b/>
          <w:sz w:val="24"/>
          <w:szCs w:val="24"/>
          <w:rtl/>
          <w:lang w:eastAsia="fr-FR"/>
        </w:rPr>
        <w:t>تمثلت عينة</w:t>
      </w:r>
      <w:r>
        <w:rPr>
          <w:rFonts w:ascii="Simplified Arabic" w:eastAsia="Times New Roman" w:hAnsi="Simplified Arabic" w:cs="Simplified Arabic" w:hint="cs"/>
          <w:b/>
          <w:sz w:val="24"/>
          <w:szCs w:val="24"/>
          <w:rtl/>
          <w:lang w:eastAsia="fr-FR"/>
        </w:rPr>
        <w:t xml:space="preserve"> البحث</w:t>
      </w:r>
      <w:r w:rsidRPr="00C54ADE">
        <w:rPr>
          <w:rFonts w:ascii="Simplified Arabic" w:eastAsia="Times New Roman" w:hAnsi="Simplified Arabic" w:cs="Simplified Arabic" w:hint="cs"/>
          <w:b/>
          <w:sz w:val="24"/>
          <w:szCs w:val="24"/>
          <w:rtl/>
          <w:lang w:eastAsia="fr-FR"/>
        </w:rPr>
        <w:t xml:space="preserve"> في مدينة </w:t>
      </w:r>
      <w:r w:rsidRPr="00136B9F">
        <w:rPr>
          <w:rFonts w:asciiTheme="majorBidi" w:eastAsia="Times New Roman" w:hAnsiTheme="majorBidi" w:cstheme="majorBidi"/>
          <w:b/>
          <w:sz w:val="24"/>
          <w:szCs w:val="24"/>
          <w:rtl/>
          <w:lang w:eastAsia="fr-FR"/>
        </w:rPr>
        <w:t>(</w:t>
      </w:r>
      <w:r w:rsidRPr="00136B9F">
        <w:rPr>
          <w:rFonts w:asciiTheme="majorBidi" w:hAnsiTheme="majorBidi" w:cstheme="majorBidi"/>
          <w:color w:val="000000"/>
          <w:sz w:val="24"/>
          <w:szCs w:val="24"/>
          <w:lang w:val="en-US"/>
        </w:rPr>
        <w:t>Malayer</w:t>
      </w:r>
      <w:r w:rsidRPr="00136B9F">
        <w:rPr>
          <w:rFonts w:asciiTheme="majorBidi" w:eastAsia="Times New Roman" w:hAnsiTheme="majorBidi" w:cstheme="majorBidi"/>
          <w:b/>
          <w:sz w:val="24"/>
          <w:szCs w:val="24"/>
          <w:rtl/>
          <w:lang w:eastAsia="fr-FR"/>
        </w:rPr>
        <w:t>)</w:t>
      </w:r>
      <w:r w:rsidRPr="00C54ADE">
        <w:rPr>
          <w:rFonts w:ascii="Simplified Arabic" w:eastAsia="Times New Roman" w:hAnsi="Simplified Arabic" w:cs="Simplified Arabic" w:hint="cs"/>
          <w:b/>
          <w:sz w:val="24"/>
          <w:szCs w:val="24"/>
          <w:rtl/>
          <w:lang w:eastAsia="fr-FR"/>
        </w:rPr>
        <w:t xml:space="preserve"> الايرانية.</w:t>
      </w:r>
      <w:r w:rsidRPr="00C54ADE">
        <w:rPr>
          <w:rFonts w:ascii="Simplified Arabic" w:eastAsia="Times New Roman" w:hAnsi="Simplified Arabic" w:cs="Simplified Arabic"/>
          <w:b/>
          <w:sz w:val="24"/>
          <w:szCs w:val="24"/>
          <w:rtl/>
          <w:lang w:eastAsia="fr-FR"/>
        </w:rPr>
        <w:t xml:space="preserve"> </w:t>
      </w:r>
      <w:r w:rsidRPr="00C54ADE">
        <w:rPr>
          <w:rFonts w:ascii="Simplified Arabic" w:eastAsia="Times New Roman" w:hAnsi="Simplified Arabic" w:cs="Simplified Arabic" w:hint="cs"/>
          <w:b/>
          <w:sz w:val="24"/>
          <w:szCs w:val="24"/>
          <w:rtl/>
          <w:lang w:val="en-US" w:eastAsia="fr-FR"/>
        </w:rPr>
        <w:t>استخدم تقنية</w:t>
      </w:r>
      <w:r w:rsidRPr="00D71F8F">
        <w:rPr>
          <w:rStyle w:val="y2iqfc"/>
          <w:rFonts w:asciiTheme="minorBidi" w:hAnsiTheme="minorBidi" w:cs="Arial"/>
          <w:color w:val="202124"/>
          <w:sz w:val="24"/>
          <w:szCs w:val="24"/>
          <w:rtl/>
          <w:lang w:val="en-US" w:bidi="ar"/>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TOPSIS</w:t>
      </w:r>
      <w:r w:rsidRPr="004407A6">
        <w:rPr>
          <w:rFonts w:asciiTheme="majorBidi" w:hAnsiTheme="majorBidi" w:cstheme="majorBidi"/>
          <w:color w:val="000000" w:themeColor="text1"/>
          <w:sz w:val="24"/>
          <w:szCs w:val="24"/>
          <w:rtl/>
          <w:lang w:val="en-US" w:bidi="ar-DZ"/>
        </w:rPr>
        <w:t>)</w:t>
      </w:r>
      <w:r w:rsidRPr="00CA2905">
        <w:rPr>
          <w:rFonts w:ascii="Simplified Arabic" w:hAnsi="Simplified Arabic" w:cs="Simplified Arabic"/>
          <w:color w:val="000000" w:themeColor="text1"/>
          <w:sz w:val="24"/>
          <w:szCs w:val="24"/>
          <w:rtl/>
          <w:lang w:val="en-US" w:bidi="ar-DZ"/>
        </w:rPr>
        <w:t xml:space="preserve"> </w:t>
      </w:r>
      <w:r w:rsidRPr="00EC1F37">
        <w:rPr>
          <w:rFonts w:ascii="Simplified Arabic" w:eastAsia="Times New Roman" w:hAnsi="Simplified Arabic" w:cs="Simplified Arabic" w:hint="cs"/>
          <w:b/>
          <w:sz w:val="24"/>
          <w:szCs w:val="24"/>
          <w:rtl/>
          <w:lang w:val="en-US" w:eastAsia="fr-FR"/>
        </w:rPr>
        <w:t>لتصنيف ترجيح</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المؤشرات</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على</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أساس</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تطابق استجابات</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معتبرة</w:t>
      </w:r>
      <w:r>
        <w:rPr>
          <w:rFonts w:ascii="Simplified Arabic" w:eastAsia="Times New Roman" w:hAnsi="Simplified Arabic" w:cs="Simplified Arabic" w:hint="cs"/>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لتحديد</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الأولويات من اجل تحليل</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نم</w:t>
      </w:r>
      <w:r>
        <w:rPr>
          <w:rFonts w:ascii="Simplified Arabic" w:eastAsia="Times New Roman" w:hAnsi="Simplified Arabic" w:cs="Simplified Arabic" w:hint="cs"/>
          <w:b/>
          <w:sz w:val="24"/>
          <w:szCs w:val="24"/>
          <w:rtl/>
          <w:lang w:val="en-US" w:eastAsia="fr-FR"/>
        </w:rPr>
        <w:t>و</w:t>
      </w:r>
      <w:r w:rsidRPr="00EC1F37">
        <w:rPr>
          <w:rFonts w:ascii="Simplified Arabic" w:eastAsia="Times New Roman" w:hAnsi="Simplified Arabic" w:cs="Simplified Arabic" w:hint="cs"/>
          <w:b/>
          <w:sz w:val="24"/>
          <w:szCs w:val="24"/>
          <w:rtl/>
          <w:lang w:val="en-US" w:eastAsia="fr-FR"/>
        </w:rPr>
        <w:t>ذج</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متعدد</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الفهارس</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لمعدل</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مرونة</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المستوطنات</w:t>
      </w:r>
      <w:r w:rsidRPr="00EC1F37">
        <w:rPr>
          <w:rFonts w:ascii="Simplified Arabic" w:eastAsia="Times New Roman" w:hAnsi="Simplified Arabic" w:cs="Simplified Arabic"/>
          <w:b/>
          <w:sz w:val="24"/>
          <w:szCs w:val="24"/>
          <w:rtl/>
          <w:lang w:val="en-US" w:eastAsia="fr-FR"/>
        </w:rPr>
        <w:t xml:space="preserve"> </w:t>
      </w:r>
      <w:r w:rsidRPr="00EC1F37">
        <w:rPr>
          <w:rFonts w:ascii="Simplified Arabic" w:eastAsia="Times New Roman" w:hAnsi="Simplified Arabic" w:cs="Simplified Arabic" w:hint="cs"/>
          <w:b/>
          <w:sz w:val="24"/>
          <w:szCs w:val="24"/>
          <w:rtl/>
          <w:lang w:val="en-US" w:eastAsia="fr-FR"/>
        </w:rPr>
        <w:t>الحضرية</w:t>
      </w:r>
      <w:r>
        <w:rPr>
          <w:rFonts w:ascii="Simplified Arabic" w:eastAsia="Times New Roman" w:hAnsi="Simplified Arabic" w:cs="Simplified Arabic" w:hint="cs"/>
          <w:b/>
          <w:sz w:val="24"/>
          <w:szCs w:val="24"/>
          <w:rtl/>
          <w:lang w:val="en-US" w:eastAsia="fr-FR"/>
        </w:rPr>
        <w:t>.</w:t>
      </w:r>
    </w:p>
    <w:p w:rsidR="003E0F31" w:rsidRDefault="003E0F31" w:rsidP="00131A88">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C841E9">
        <w:rPr>
          <w:rFonts w:ascii="Simplified Arabic" w:eastAsia="Times New Roman" w:hAnsi="Simplified Arabic" w:cs="Simplified Arabic"/>
          <w:b/>
          <w:sz w:val="24"/>
          <w:szCs w:val="24"/>
          <w:rtl/>
          <w:lang w:val="en-US" w:eastAsia="fr-FR"/>
        </w:rPr>
        <w:t>الطريقة المطبقة في هذه الدراسة</w:t>
      </w:r>
      <w:r>
        <w:rPr>
          <w:rFonts w:ascii="Simplified Arabic" w:eastAsia="Times New Roman" w:hAnsi="Simplified Arabic" w:cs="Simplified Arabic" w:hint="cs"/>
          <w:b/>
          <w:sz w:val="24"/>
          <w:szCs w:val="24"/>
          <w:rtl/>
          <w:lang w:val="en-US" w:eastAsia="fr-FR"/>
        </w:rPr>
        <w:t>،</w:t>
      </w:r>
      <w:r w:rsidRPr="006A12F2">
        <w:rPr>
          <w:rFonts w:ascii="Simplified Arabic" w:eastAsia="Times New Roman" w:hAnsi="Simplified Arabic" w:cs="Simplified Arabic" w:hint="cs"/>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الشكل</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w:t>
      </w:r>
      <w:r w:rsidR="00D87672">
        <w:rPr>
          <w:rFonts w:ascii="Simplified Arabic" w:eastAsia="Times New Roman" w:hAnsi="Simplified Arabic" w:cs="Simplified Arabic" w:hint="cs"/>
          <w:b/>
          <w:sz w:val="24"/>
          <w:szCs w:val="24"/>
          <w:rtl/>
          <w:lang w:val="en-US" w:eastAsia="fr-FR"/>
        </w:rPr>
        <w:t>2-9</w:t>
      </w:r>
      <w:r w:rsidRPr="00E23538">
        <w:rPr>
          <w:rFonts w:ascii="Simplified Arabic" w:eastAsia="Times New Roman" w:hAnsi="Simplified Arabic" w:cs="Simplified Arabic" w:hint="cs"/>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C841E9">
        <w:rPr>
          <w:rFonts w:ascii="Simplified Arabic" w:eastAsia="Times New Roman" w:hAnsi="Simplified Arabic" w:cs="Simplified Arabic"/>
          <w:b/>
          <w:sz w:val="24"/>
          <w:szCs w:val="24"/>
          <w:rtl/>
          <w:lang w:val="en-US" w:eastAsia="fr-FR"/>
        </w:rPr>
        <w:t xml:space="preserve"> هي</w:t>
      </w:r>
      <w:r w:rsidRPr="00C841E9">
        <w:rPr>
          <w:rFonts w:ascii="Simplified Arabic" w:eastAsia="Times New Roman" w:hAnsi="Simplified Arabic" w:cs="Simplified Arabic"/>
          <w:b/>
          <w:sz w:val="24"/>
          <w:szCs w:val="24"/>
          <w:rtl/>
          <w:lang w:eastAsia="fr-FR"/>
        </w:rPr>
        <w:t xml:space="preserve"> إنشاء طبقات باستخدام بيئة</w:t>
      </w:r>
      <w:r w:rsidRPr="00810369">
        <w:rPr>
          <w:rStyle w:val="y2iqfc"/>
          <w:rFonts w:ascii="Simplified Arabic" w:hAnsi="Simplified Arabic" w:cs="Simplified Arabic"/>
          <w:color w:val="202124"/>
          <w:sz w:val="24"/>
          <w:szCs w:val="24"/>
          <w:rtl/>
          <w:lang w:val="en-US" w:bidi="ar"/>
        </w:rPr>
        <w:t xml:space="preserve"> </w:t>
      </w:r>
      <w:r w:rsidRPr="00810369">
        <w:rPr>
          <w:rStyle w:val="y2iqfc"/>
          <w:rFonts w:asciiTheme="majorBidi" w:hAnsiTheme="majorBidi" w:cstheme="majorBidi"/>
          <w:color w:val="202124"/>
          <w:sz w:val="24"/>
          <w:szCs w:val="24"/>
          <w:rtl/>
          <w:lang w:val="en-US" w:bidi="ar"/>
        </w:rPr>
        <w:t>(</w:t>
      </w:r>
      <w:r w:rsidRPr="00810369">
        <w:rPr>
          <w:rStyle w:val="y2iqfc"/>
          <w:rFonts w:asciiTheme="majorBidi" w:hAnsiTheme="majorBidi" w:cstheme="majorBidi"/>
          <w:color w:val="202124"/>
          <w:sz w:val="24"/>
          <w:szCs w:val="24"/>
          <w:lang w:val="en-US" w:bidi="ar"/>
        </w:rPr>
        <w:t>ArcGIS</w:t>
      </w:r>
      <w:r w:rsidRPr="00810369">
        <w:rPr>
          <w:rStyle w:val="y2iqfc"/>
          <w:rFonts w:asciiTheme="majorBidi" w:hAnsiTheme="majorBidi" w:cstheme="majorBidi"/>
          <w:color w:val="202124"/>
          <w:sz w:val="24"/>
          <w:szCs w:val="24"/>
          <w:rtl/>
          <w:lang w:val="en-US" w:bidi="ar"/>
        </w:rPr>
        <w:t>)</w:t>
      </w:r>
      <w:r>
        <w:rPr>
          <w:rStyle w:val="y2iqfc"/>
          <w:rFonts w:asciiTheme="majorBidi" w:hAnsiTheme="majorBidi" w:cstheme="majorBidi" w:hint="cs"/>
          <w:color w:val="202124"/>
          <w:sz w:val="24"/>
          <w:szCs w:val="24"/>
          <w:rtl/>
          <w:lang w:val="en-US" w:bidi="ar"/>
        </w:rPr>
        <w:t xml:space="preserve"> </w:t>
      </w:r>
      <w:r w:rsidRPr="00C841E9">
        <w:rPr>
          <w:rFonts w:ascii="Simplified Arabic" w:eastAsia="Times New Roman" w:hAnsi="Simplified Arabic" w:cs="Simplified Arabic" w:hint="cs"/>
          <w:b/>
          <w:sz w:val="24"/>
          <w:szCs w:val="24"/>
          <w:rtl/>
          <w:lang w:val="en-US" w:eastAsia="fr-FR"/>
        </w:rPr>
        <w:t>مع</w:t>
      </w:r>
      <w:r w:rsidRPr="00C841E9">
        <w:rPr>
          <w:rFonts w:ascii="Simplified Arabic" w:eastAsia="Times New Roman" w:hAnsi="Simplified Arabic" w:cs="Simplified Arabic" w:hint="cs"/>
          <w:b/>
          <w:sz w:val="24"/>
          <w:szCs w:val="24"/>
          <w:rtl/>
          <w:lang w:eastAsia="fr-FR"/>
        </w:rPr>
        <w:t xml:space="preserve"> </w:t>
      </w:r>
      <w:r w:rsidRPr="00474CA4">
        <w:rPr>
          <w:rFonts w:ascii="Simplified Arabic" w:eastAsia="Times New Roman" w:hAnsi="Simplified Arabic" w:cs="Simplified Arabic"/>
          <w:b/>
          <w:sz w:val="24"/>
          <w:szCs w:val="24"/>
          <w:rtl/>
          <w:lang w:val="en-US" w:eastAsia="fr-FR"/>
        </w:rPr>
        <w:t>المزج بين أسلوب اتخاذ القرار متعدد المعايير</w:t>
      </w:r>
      <w:r w:rsidRPr="00F30A8C">
        <w:rPr>
          <w:rFonts w:ascii="Simplified Arabic" w:eastAsia="Times New Roman" w:hAnsi="Simplified Arabic" w:cs="Simplified Arabic"/>
          <w:b/>
          <w:sz w:val="24"/>
          <w:szCs w:val="24"/>
          <w:rtl/>
          <w:lang w:val="en-US" w:eastAsia="fr-FR"/>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MCDM</w:t>
      </w:r>
      <w:r w:rsidRPr="004407A6">
        <w:rPr>
          <w:rFonts w:asciiTheme="majorBidi" w:hAnsiTheme="majorBidi" w:cstheme="majorBidi"/>
          <w:color w:val="000000" w:themeColor="text1"/>
          <w:sz w:val="24"/>
          <w:szCs w:val="24"/>
          <w:rtl/>
          <w:lang w:val="en-US" w:bidi="ar-DZ"/>
        </w:rPr>
        <w:t>)</w:t>
      </w:r>
      <w:r>
        <w:rPr>
          <w:color w:val="000000"/>
          <w:sz w:val="24"/>
          <w:szCs w:val="24"/>
          <w:rtl/>
        </w:rPr>
        <w:t xml:space="preserve"> </w:t>
      </w:r>
      <w:r w:rsidRPr="00810369">
        <w:rPr>
          <w:rFonts w:ascii="Simplified Arabic" w:eastAsia="Times New Roman" w:hAnsi="Simplified Arabic" w:cs="Simplified Arabic"/>
          <w:b/>
          <w:sz w:val="24"/>
          <w:szCs w:val="24"/>
          <w:rtl/>
          <w:lang w:val="en-US" w:eastAsia="fr-FR"/>
        </w:rPr>
        <w:t>التي تسمح ب</w:t>
      </w:r>
      <w:r w:rsidRPr="00C841E9">
        <w:rPr>
          <w:rFonts w:ascii="Simplified Arabic" w:eastAsia="Times New Roman" w:hAnsi="Simplified Arabic" w:cs="Simplified Arabic"/>
          <w:b/>
          <w:sz w:val="24"/>
          <w:szCs w:val="24"/>
          <w:rtl/>
          <w:lang w:val="en-US" w:eastAsia="fr-FR"/>
        </w:rPr>
        <w:t xml:space="preserve">ترجيح كل معيار باستخدام </w:t>
      </w:r>
      <w:r>
        <w:rPr>
          <w:rFonts w:ascii="Simplified Arabic" w:eastAsia="Times New Roman" w:hAnsi="Simplified Arabic" w:cs="Simplified Arabic" w:hint="cs"/>
          <w:b/>
          <w:sz w:val="24"/>
          <w:szCs w:val="24"/>
          <w:rtl/>
          <w:lang w:val="en-US" w:eastAsia="fr-FR"/>
        </w:rPr>
        <w:t>عملية</w:t>
      </w:r>
      <w:r w:rsidRPr="00C841E9">
        <w:rPr>
          <w:rFonts w:ascii="Simplified Arabic" w:eastAsia="Times New Roman" w:hAnsi="Simplified Arabic" w:cs="Simplified Arabic"/>
          <w:b/>
          <w:sz w:val="24"/>
          <w:szCs w:val="24"/>
          <w:rtl/>
          <w:lang w:val="en-US" w:eastAsia="fr-FR"/>
        </w:rPr>
        <w:t xml:space="preserve"> </w:t>
      </w:r>
      <w:r w:rsidRPr="00810369">
        <w:rPr>
          <w:rFonts w:ascii="Simplified Arabic" w:eastAsia="Times New Roman" w:hAnsi="Simplified Arabic" w:cs="Simplified Arabic"/>
          <w:b/>
          <w:sz w:val="24"/>
          <w:szCs w:val="24"/>
          <w:rtl/>
          <w:lang w:val="en-US" w:eastAsia="fr-FR"/>
        </w:rPr>
        <w:t>التسلسل الهرمي التحليلي</w:t>
      </w:r>
      <w:r>
        <w:rPr>
          <w:rFonts w:ascii="Arial" w:hAnsi="Arial"/>
          <w:color w:val="000000"/>
          <w:sz w:val="24"/>
          <w:szCs w:val="24"/>
          <w:rtl/>
          <w:lang w:val="en-US"/>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AHP</w:t>
      </w:r>
      <w:r w:rsidRPr="004407A6">
        <w:rPr>
          <w:rFonts w:asciiTheme="majorBidi" w:hAnsiTheme="majorBidi" w:cstheme="majorBidi"/>
          <w:color w:val="000000" w:themeColor="text1"/>
          <w:sz w:val="24"/>
          <w:szCs w:val="24"/>
          <w:rtl/>
          <w:lang w:val="en-US" w:bidi="ar-DZ"/>
        </w:rPr>
        <w:t>)</w:t>
      </w:r>
      <w:r w:rsidRPr="00C841E9">
        <w:rPr>
          <w:rFonts w:ascii="Simplified Arabic" w:eastAsia="Times New Roman" w:hAnsi="Simplified Arabic" w:cs="Simplified Arabic" w:hint="cs"/>
          <w:b/>
          <w:sz w:val="24"/>
          <w:szCs w:val="24"/>
          <w:rtl/>
          <w:lang w:val="en-US" w:eastAsia="fr-FR"/>
        </w:rPr>
        <w:t>،</w:t>
      </w:r>
      <w:r w:rsidRPr="004407A6">
        <w:rPr>
          <w:rFonts w:asciiTheme="majorBidi" w:hAnsiTheme="majorBidi" w:cstheme="majorBidi"/>
          <w:color w:val="000000" w:themeColor="text1"/>
          <w:sz w:val="24"/>
          <w:szCs w:val="24"/>
          <w:rtl/>
          <w:lang w:val="en-US" w:bidi="ar-DZ"/>
        </w:rPr>
        <w:t xml:space="preserve"> </w:t>
      </w:r>
      <w:r w:rsidRPr="00F30A8C">
        <w:rPr>
          <w:rFonts w:ascii="Simplified Arabic" w:eastAsia="Times New Roman" w:hAnsi="Simplified Arabic" w:cs="Simplified Arabic"/>
          <w:b/>
          <w:sz w:val="24"/>
          <w:szCs w:val="24"/>
          <w:rtl/>
          <w:lang w:val="en-US" w:eastAsia="fr-FR"/>
        </w:rPr>
        <w:t>و</w:t>
      </w:r>
      <w:r>
        <w:rPr>
          <w:rFonts w:ascii="Simplified Arabic" w:eastAsia="Times New Roman" w:hAnsi="Simplified Arabic" w:cs="Simplified Arabic" w:hint="cs"/>
          <w:b/>
          <w:sz w:val="24"/>
          <w:szCs w:val="24"/>
          <w:rtl/>
          <w:lang w:val="en-US" w:eastAsia="fr-FR"/>
        </w:rPr>
        <w:t xml:space="preserve">بين </w:t>
      </w:r>
      <w:r w:rsidRPr="00F30A8C">
        <w:rPr>
          <w:rFonts w:ascii="Simplified Arabic" w:eastAsia="Times New Roman" w:hAnsi="Simplified Arabic" w:cs="Simplified Arabic"/>
          <w:b/>
          <w:sz w:val="24"/>
          <w:szCs w:val="24"/>
          <w:rtl/>
          <w:lang w:val="en-US" w:eastAsia="fr-FR"/>
        </w:rPr>
        <w:t xml:space="preserve">تقنية ترتيب التفضيل عن طريق التشابه مع الحل المثالي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TOPSIS</w:t>
      </w:r>
      <w:r w:rsidRPr="004407A6">
        <w:rPr>
          <w:rFonts w:asciiTheme="majorBidi" w:hAnsiTheme="majorBidi" w:cstheme="majorBidi"/>
          <w:color w:val="000000" w:themeColor="text1"/>
          <w:sz w:val="24"/>
          <w:szCs w:val="24"/>
          <w:rtl/>
          <w:lang w:val="en-US" w:bidi="ar-DZ"/>
        </w:rPr>
        <w:t>)</w:t>
      </w:r>
      <w:r>
        <w:rPr>
          <w:rFonts w:asciiTheme="majorBidi" w:hAnsiTheme="majorBidi" w:cstheme="majorBidi" w:hint="cs"/>
          <w:color w:val="000000" w:themeColor="text1"/>
          <w:sz w:val="24"/>
          <w:szCs w:val="24"/>
          <w:rtl/>
          <w:lang w:val="en-US" w:bidi="ar-DZ"/>
        </w:rPr>
        <w:t xml:space="preserve"> </w:t>
      </w:r>
      <w:r w:rsidRPr="00C841E9">
        <w:rPr>
          <w:rFonts w:ascii="Simplified Arabic" w:eastAsia="Times New Roman" w:hAnsi="Simplified Arabic" w:cs="Simplified Arabic"/>
          <w:b/>
          <w:sz w:val="24"/>
          <w:szCs w:val="24"/>
          <w:rtl/>
          <w:lang w:val="en-US" w:eastAsia="fr-FR"/>
        </w:rPr>
        <w:t xml:space="preserve">الذي يسمح بتحليل </w:t>
      </w:r>
      <w:r w:rsidRPr="00C841E9">
        <w:rPr>
          <w:rFonts w:ascii="Simplified Arabic" w:eastAsia="Times New Roman" w:hAnsi="Simplified Arabic" w:cs="Simplified Arabic"/>
          <w:b/>
          <w:sz w:val="24"/>
          <w:szCs w:val="24"/>
          <w:rtl/>
          <w:lang w:eastAsia="fr-FR"/>
        </w:rPr>
        <w:t>تداخل طبقات المرونة.</w:t>
      </w:r>
      <w:r w:rsidRPr="00C841E9">
        <w:rPr>
          <w:rFonts w:ascii="Simplified Arabic" w:eastAsia="Times New Roman" w:hAnsi="Simplified Arabic" w:cs="Simplified Arabic"/>
          <w:b/>
          <w:sz w:val="24"/>
          <w:szCs w:val="24"/>
          <w:rtl/>
          <w:lang w:val="en-US" w:eastAsia="fr-FR"/>
        </w:rPr>
        <w:t xml:space="preserve"> يسمح</w:t>
      </w:r>
      <w:r>
        <w:rPr>
          <w:rFonts w:ascii="Arial" w:hAnsi="Arial"/>
          <w:color w:val="000000"/>
          <w:sz w:val="24"/>
          <w:szCs w:val="24"/>
          <w:rtl/>
          <w:lang w:val="en-US"/>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AHP</w:t>
      </w:r>
      <w:r w:rsidRPr="004407A6">
        <w:rPr>
          <w:rFonts w:asciiTheme="majorBidi" w:hAnsiTheme="majorBidi" w:cstheme="majorBidi"/>
          <w:color w:val="000000" w:themeColor="text1"/>
          <w:sz w:val="24"/>
          <w:szCs w:val="24"/>
          <w:rtl/>
          <w:lang w:val="en-US" w:bidi="ar-DZ"/>
        </w:rPr>
        <w:t>)</w:t>
      </w:r>
      <w:r>
        <w:rPr>
          <w:rFonts w:asciiTheme="majorBidi" w:hAnsiTheme="majorBidi" w:cstheme="majorBidi" w:hint="cs"/>
          <w:color w:val="000000" w:themeColor="text1"/>
          <w:sz w:val="24"/>
          <w:szCs w:val="24"/>
          <w:rtl/>
          <w:lang w:val="en-US" w:bidi="ar-DZ"/>
        </w:rPr>
        <w:t xml:space="preserve"> </w:t>
      </w:r>
      <w:r w:rsidRPr="00C841E9">
        <w:rPr>
          <w:rFonts w:ascii="Simplified Arabic" w:eastAsia="Times New Roman" w:hAnsi="Simplified Arabic" w:cs="Simplified Arabic"/>
          <w:b/>
          <w:sz w:val="24"/>
          <w:szCs w:val="24"/>
          <w:rtl/>
          <w:lang w:val="en-US" w:eastAsia="fr-FR"/>
        </w:rPr>
        <w:t>بتقييم المعايير بناءً على آراء 25 متخصصًا في التخطيط الحضري، بينما يتطلب</w:t>
      </w:r>
      <w:r>
        <w:rPr>
          <w:rFonts w:ascii="Arial" w:hAnsi="Arial"/>
          <w:color w:val="000000"/>
          <w:sz w:val="24"/>
          <w:szCs w:val="24"/>
          <w:rtl/>
          <w:lang w:val="en-US"/>
        </w:rPr>
        <w:t xml:space="preserve"> </w:t>
      </w:r>
      <w:r>
        <w:rPr>
          <w:rFonts w:ascii="Arial" w:hAnsi="Arial" w:hint="cs"/>
          <w:color w:val="000000"/>
          <w:sz w:val="24"/>
          <w:szCs w:val="24"/>
          <w:rtl/>
          <w:lang w:val="en-US"/>
        </w:rPr>
        <w:t>(</w:t>
      </w:r>
      <w:r w:rsidRPr="004407A6">
        <w:rPr>
          <w:rFonts w:asciiTheme="majorBidi" w:hAnsiTheme="majorBidi" w:cstheme="majorBidi"/>
          <w:color w:val="000000" w:themeColor="text1"/>
          <w:sz w:val="24"/>
          <w:szCs w:val="24"/>
          <w:lang w:val="en-US" w:bidi="ar-DZ"/>
        </w:rPr>
        <w:t>TOPSIS</w:t>
      </w:r>
      <w:r>
        <w:rPr>
          <w:rFonts w:ascii="Arial" w:hAnsi="Arial" w:hint="cs"/>
          <w:color w:val="000000"/>
          <w:sz w:val="24"/>
          <w:szCs w:val="24"/>
          <w:rtl/>
          <w:lang w:val="en-US"/>
        </w:rPr>
        <w:t>)</w:t>
      </w:r>
      <w:r w:rsidRPr="00F30A8C">
        <w:rPr>
          <w:rFonts w:ascii="Simplified Arabic" w:eastAsia="Times New Roman" w:hAnsi="Simplified Arabic" w:cs="Simplified Arabic"/>
          <w:b/>
          <w:sz w:val="24"/>
          <w:szCs w:val="24"/>
          <w:rtl/>
          <w:lang w:val="en-US" w:eastAsia="fr-FR"/>
        </w:rPr>
        <w:t>الحلول بناءً على فكرة تعظيم المسافة من الحل المثالي السلبي (الأقل مرونة) وتقليل المسافة من الحل المثالي الإيجابي (الأكثر</w:t>
      </w:r>
      <w:r>
        <w:rPr>
          <w:rFonts w:ascii="Simplified Arabic" w:eastAsia="Times New Roman" w:hAnsi="Simplified Arabic" w:cs="Simplified Arabic" w:hint="cs"/>
          <w:b/>
          <w:sz w:val="24"/>
          <w:szCs w:val="24"/>
          <w:rtl/>
          <w:lang w:val="en-US" w:eastAsia="fr-FR"/>
        </w:rPr>
        <w:t xml:space="preserve"> </w:t>
      </w:r>
      <w:r w:rsidRPr="00F30A8C">
        <w:rPr>
          <w:rFonts w:ascii="Simplified Arabic" w:eastAsia="Times New Roman" w:hAnsi="Simplified Arabic" w:cs="Simplified Arabic"/>
          <w:b/>
          <w:sz w:val="24"/>
          <w:szCs w:val="24"/>
          <w:rtl/>
          <w:lang w:val="en-US" w:eastAsia="fr-FR"/>
        </w:rPr>
        <w:t>مرونة)</w:t>
      </w:r>
      <w:r w:rsidRPr="00C841E9">
        <w:rPr>
          <w:rFonts w:ascii="Simplified Arabic" w:eastAsia="Times New Roman" w:hAnsi="Simplified Arabic" w:cs="Simplified Arabic"/>
          <w:b/>
          <w:sz w:val="24"/>
          <w:szCs w:val="24"/>
          <w:rtl/>
          <w:lang w:val="en-US" w:eastAsia="fr-FR"/>
        </w:rPr>
        <w:t xml:space="preserve">. </w:t>
      </w:r>
    </w:p>
    <w:p w:rsidR="003E0F31" w:rsidRDefault="003E0F31" w:rsidP="00B36D99">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F30A8C">
        <w:rPr>
          <w:rFonts w:ascii="Simplified Arabic" w:eastAsia="Times New Roman" w:hAnsi="Simplified Arabic" w:cs="Simplified Arabic"/>
          <w:b/>
          <w:sz w:val="24"/>
          <w:szCs w:val="24"/>
          <w:rtl/>
          <w:lang w:val="en-US" w:eastAsia="fr-FR"/>
        </w:rPr>
        <w:t>لاستخراج خريطة المرونة الحضرية قام بإنشاء الطبقات القياسية باستخدام بيئة</w:t>
      </w:r>
      <w:r>
        <w:rPr>
          <w:rStyle w:val="y2iqfc"/>
          <w:rFonts w:ascii="Arial" w:hAnsi="Arial"/>
          <w:color w:val="000000"/>
          <w:sz w:val="24"/>
          <w:szCs w:val="24"/>
          <w:rtl/>
          <w:lang w:val="en-US" w:bidi="ar"/>
        </w:rPr>
        <w:t xml:space="preserve"> </w:t>
      </w:r>
      <w:r>
        <w:rPr>
          <w:rStyle w:val="y2iqfc"/>
          <w:rFonts w:ascii="Arial" w:hAnsi="Arial" w:hint="cs"/>
          <w:color w:val="000000"/>
          <w:sz w:val="24"/>
          <w:szCs w:val="24"/>
          <w:rtl/>
          <w:lang w:val="en-US" w:bidi="ar"/>
        </w:rPr>
        <w:t>(</w:t>
      </w:r>
      <w:r w:rsidRPr="004407A6">
        <w:rPr>
          <w:rFonts w:asciiTheme="majorBidi" w:hAnsiTheme="majorBidi" w:cstheme="majorBidi"/>
          <w:color w:val="000000" w:themeColor="text1"/>
          <w:sz w:val="24"/>
          <w:szCs w:val="24"/>
          <w:lang w:val="en-US" w:bidi="ar-DZ"/>
        </w:rPr>
        <w:t>ArcGIS</w:t>
      </w:r>
      <w:r>
        <w:rPr>
          <w:rStyle w:val="y2iqfc"/>
          <w:rFonts w:ascii="Arial" w:hAnsi="Arial" w:hint="cs"/>
          <w:color w:val="000000"/>
          <w:sz w:val="24"/>
          <w:szCs w:val="24"/>
          <w:rtl/>
          <w:lang w:val="en-US" w:bidi="ar"/>
        </w:rPr>
        <w:t xml:space="preserve">) </w:t>
      </w:r>
      <w:r w:rsidRPr="00F30A8C">
        <w:rPr>
          <w:rFonts w:ascii="Simplified Arabic" w:eastAsia="Times New Roman" w:hAnsi="Simplified Arabic" w:cs="Simplified Arabic" w:hint="cs"/>
          <w:b/>
          <w:sz w:val="24"/>
          <w:szCs w:val="24"/>
          <w:rtl/>
          <w:lang w:val="en-US" w:eastAsia="fr-FR"/>
        </w:rPr>
        <w:t>وتداخل طبقات المرونة باستخدام</w:t>
      </w:r>
      <w:r>
        <w:rPr>
          <w:rStyle w:val="y2iqfc"/>
          <w:rFonts w:ascii="Arial" w:hAnsi="Arial" w:hint="cs"/>
          <w:color w:val="000000"/>
          <w:sz w:val="24"/>
          <w:szCs w:val="24"/>
          <w:rtl/>
          <w:lang w:val="en-US" w:bidi="ar"/>
        </w:rPr>
        <w:t xml:space="preserve"> (</w:t>
      </w:r>
      <w:r w:rsidRPr="004407A6">
        <w:rPr>
          <w:rFonts w:asciiTheme="majorBidi" w:hAnsiTheme="majorBidi" w:cstheme="majorBidi"/>
          <w:color w:val="000000" w:themeColor="text1"/>
          <w:sz w:val="24"/>
          <w:szCs w:val="24"/>
          <w:lang w:val="en-US" w:bidi="ar-DZ"/>
        </w:rPr>
        <w:t>TOPSIS</w:t>
      </w:r>
      <w:r>
        <w:rPr>
          <w:rStyle w:val="y2iqfc"/>
          <w:rFonts w:ascii="Arial" w:hAnsi="Arial" w:hint="cs"/>
          <w:color w:val="000000"/>
          <w:sz w:val="24"/>
          <w:szCs w:val="24"/>
          <w:rtl/>
          <w:lang w:val="en-US" w:bidi="ar"/>
        </w:rPr>
        <w:t>)</w:t>
      </w:r>
      <w:r w:rsidRPr="00A24110">
        <w:rPr>
          <w:rFonts w:ascii="Simplified Arabic" w:eastAsia="Times New Roman" w:hAnsi="Simplified Arabic" w:cs="Simplified Arabic"/>
          <w:b/>
          <w:rtl/>
          <w:lang w:eastAsia="fr-FR"/>
        </w:rPr>
        <w:t xml:space="preserve">. </w:t>
      </w:r>
      <w:r w:rsidRPr="00F30A8C">
        <w:rPr>
          <w:rFonts w:ascii="Simplified Arabic" w:eastAsia="Times New Roman" w:hAnsi="Simplified Arabic" w:cs="Simplified Arabic"/>
          <w:b/>
          <w:sz w:val="24"/>
          <w:szCs w:val="24"/>
          <w:rtl/>
          <w:lang w:val="en-US" w:eastAsia="fr-FR"/>
        </w:rPr>
        <w:t>وفقًا للخبراء والأوزان المستمدة من نموذج</w:t>
      </w:r>
      <w:r>
        <w:rPr>
          <w:rStyle w:val="y2iqfc"/>
          <w:rFonts w:ascii="Arial" w:hAnsi="Arial"/>
          <w:color w:val="000000"/>
          <w:sz w:val="24"/>
          <w:szCs w:val="24"/>
          <w:rtl/>
          <w:lang w:val="en-US" w:bidi="ar"/>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AHP</w:t>
      </w:r>
      <w:r w:rsidRPr="004407A6">
        <w:rPr>
          <w:rFonts w:asciiTheme="majorBidi" w:hAnsiTheme="majorBidi" w:cstheme="majorBidi"/>
          <w:color w:val="000000" w:themeColor="text1"/>
          <w:sz w:val="24"/>
          <w:szCs w:val="24"/>
          <w:rtl/>
          <w:lang w:val="en-US" w:bidi="ar-DZ"/>
        </w:rPr>
        <w:t>)</w:t>
      </w:r>
      <w:r w:rsidRPr="00F30A8C">
        <w:rPr>
          <w:rFonts w:ascii="Simplified Arabic" w:eastAsia="Times New Roman" w:hAnsi="Simplified Arabic" w:cs="Simplified Arabic"/>
          <w:b/>
          <w:rtl/>
          <w:lang w:eastAsia="fr-FR"/>
        </w:rPr>
        <w:t>،</w:t>
      </w:r>
      <w:r>
        <w:rPr>
          <w:rStyle w:val="y2iqfc"/>
          <w:rFonts w:ascii="Arial" w:hAnsi="Arial"/>
          <w:color w:val="000000"/>
          <w:sz w:val="24"/>
          <w:szCs w:val="24"/>
          <w:rtl/>
          <w:lang w:val="en-US" w:bidi="ar"/>
        </w:rPr>
        <w:t xml:space="preserve"> </w:t>
      </w:r>
      <w:r w:rsidRPr="00F30A8C">
        <w:rPr>
          <w:rFonts w:ascii="Simplified Arabic" w:eastAsia="Times New Roman" w:hAnsi="Simplified Arabic" w:cs="Simplified Arabic"/>
          <w:b/>
          <w:sz w:val="24"/>
          <w:szCs w:val="24"/>
          <w:rtl/>
          <w:lang w:val="en-US" w:eastAsia="fr-FR"/>
        </w:rPr>
        <w:t>فإن الو</w:t>
      </w:r>
      <w:r>
        <w:rPr>
          <w:rFonts w:ascii="Simplified Arabic" w:eastAsia="Times New Roman" w:hAnsi="Simplified Arabic" w:cs="Simplified Arabic"/>
          <w:b/>
          <w:sz w:val="24"/>
          <w:szCs w:val="24"/>
          <w:rtl/>
          <w:lang w:val="en-US" w:eastAsia="fr-FR"/>
        </w:rPr>
        <w:t>صول إلى أماكن الإقامة والملاجئ،</w:t>
      </w:r>
      <w:r>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b/>
          <w:sz w:val="24"/>
          <w:szCs w:val="24"/>
          <w:rtl/>
          <w:lang w:val="en-US" w:eastAsia="fr-FR"/>
        </w:rPr>
        <w:t>الوصول إلى محطات الإطفاء</w:t>
      </w:r>
      <w:r w:rsidRPr="00F30A8C">
        <w:rPr>
          <w:rFonts w:ascii="Simplified Arabic" w:eastAsia="Times New Roman" w:hAnsi="Simplified Arabic" w:cs="Simplified Arabic"/>
          <w:b/>
          <w:sz w:val="24"/>
          <w:szCs w:val="24"/>
          <w:rtl/>
          <w:lang w:val="en-US" w:eastAsia="fr-FR"/>
        </w:rPr>
        <w:t xml:space="preserve"> والوصول إلى الأماكن </w:t>
      </w:r>
      <w:r w:rsidRPr="00714204">
        <w:rPr>
          <w:rFonts w:ascii="Simplified Arabic" w:eastAsia="Times New Roman" w:hAnsi="Simplified Arabic" w:cs="Simplified Arabic"/>
          <w:b/>
          <w:sz w:val="24"/>
          <w:szCs w:val="24"/>
          <w:rtl/>
          <w:lang w:val="en-US" w:eastAsia="fr-FR"/>
        </w:rPr>
        <w:t>المفتوحة هي عوامل مهمة ومؤثرة على معدلات المرونة الحضرية. تظهر النتائج تنوعًا أساسيًا في معدلات المرونة للمعايير الت</w:t>
      </w:r>
      <w:r w:rsidRPr="00714204">
        <w:rPr>
          <w:rFonts w:ascii="Simplified Arabic" w:eastAsia="Times New Roman" w:hAnsi="Simplified Arabic" w:cs="Simplified Arabic" w:hint="cs"/>
          <w:b/>
          <w:sz w:val="24"/>
          <w:szCs w:val="24"/>
          <w:rtl/>
          <w:lang w:val="en-US" w:eastAsia="fr-FR"/>
        </w:rPr>
        <w:t>ي</w:t>
      </w:r>
      <w:r w:rsidRPr="00714204">
        <w:rPr>
          <w:rFonts w:ascii="Simplified Arabic" w:eastAsia="Times New Roman" w:hAnsi="Simplified Arabic" w:cs="Simplified Arabic"/>
          <w:b/>
          <w:sz w:val="24"/>
          <w:szCs w:val="24"/>
          <w:rtl/>
          <w:lang w:val="en-US" w:eastAsia="fr-FR"/>
        </w:rPr>
        <w:t xml:space="preserve"> تم دراستها. </w:t>
      </w:r>
    </w:p>
    <w:p w:rsidR="003E0F31" w:rsidRPr="00264FC1" w:rsidRDefault="003E0F31" w:rsidP="00264FC1">
      <w:pPr>
        <w:pStyle w:val="fegure"/>
        <w:rPr>
          <w:rStyle w:val="y2iqfc"/>
          <w:rFonts w:asciiTheme="minorBidi" w:eastAsiaTheme="minorEastAsia" w:hAnsiTheme="minorBidi" w:cs="Arial"/>
          <w:color w:val="202124"/>
          <w:sz w:val="10"/>
          <w:szCs w:val="10"/>
          <w:rtl/>
          <w:lang w:val="en-US" w:bidi="ar"/>
        </w:rPr>
      </w:pPr>
      <w:bookmarkStart w:id="347" w:name="_Toc157608295"/>
      <w:bookmarkStart w:id="348" w:name="_Toc171803472"/>
      <w:r w:rsidRPr="00264FC1">
        <w:rPr>
          <w:rFonts w:hint="cs"/>
          <w:sz w:val="8"/>
          <w:szCs w:val="24"/>
          <w:rtl/>
          <w:lang w:val="en-US"/>
        </w:rPr>
        <w:t>الشكل</w:t>
      </w:r>
      <w:r w:rsidRPr="00264FC1">
        <w:rPr>
          <w:sz w:val="8"/>
          <w:szCs w:val="24"/>
          <w:rtl/>
          <w:lang w:val="en-US"/>
        </w:rPr>
        <w:t xml:space="preserve"> </w:t>
      </w:r>
      <w:r w:rsidRPr="00264FC1">
        <w:rPr>
          <w:rFonts w:hint="cs"/>
          <w:sz w:val="8"/>
          <w:szCs w:val="24"/>
          <w:rtl/>
          <w:lang w:val="en-US"/>
        </w:rPr>
        <w:t>(</w:t>
      </w:r>
      <w:r w:rsidR="00D87672" w:rsidRPr="00264FC1">
        <w:rPr>
          <w:rFonts w:hint="cs"/>
          <w:sz w:val="8"/>
          <w:szCs w:val="24"/>
          <w:rtl/>
          <w:lang w:val="en-US"/>
        </w:rPr>
        <w:t>2-9</w:t>
      </w:r>
      <w:r w:rsidRPr="00264FC1">
        <w:rPr>
          <w:rFonts w:hint="cs"/>
          <w:sz w:val="8"/>
          <w:szCs w:val="24"/>
          <w:rtl/>
          <w:lang w:val="en-US"/>
        </w:rPr>
        <w:t xml:space="preserve">): </w:t>
      </w:r>
      <w:r w:rsidRPr="00264FC1">
        <w:rPr>
          <w:rFonts w:hint="cs"/>
          <w:sz w:val="8"/>
          <w:szCs w:val="24"/>
          <w:rtl/>
        </w:rPr>
        <w:t>رسم</w:t>
      </w:r>
      <w:r w:rsidRPr="00264FC1">
        <w:rPr>
          <w:sz w:val="8"/>
          <w:szCs w:val="24"/>
          <w:rtl/>
        </w:rPr>
        <w:t xml:space="preserve"> </w:t>
      </w:r>
      <w:r w:rsidRPr="00264FC1">
        <w:rPr>
          <w:rFonts w:hint="cs"/>
          <w:sz w:val="8"/>
          <w:szCs w:val="24"/>
          <w:rtl/>
        </w:rPr>
        <w:t>بياني</w:t>
      </w:r>
      <w:r w:rsidRPr="00264FC1">
        <w:rPr>
          <w:sz w:val="8"/>
          <w:szCs w:val="24"/>
          <w:rtl/>
        </w:rPr>
        <w:t xml:space="preserve"> </w:t>
      </w:r>
      <w:r w:rsidRPr="00264FC1">
        <w:rPr>
          <w:rFonts w:hint="cs"/>
          <w:sz w:val="8"/>
          <w:szCs w:val="24"/>
          <w:rtl/>
        </w:rPr>
        <w:t>تخطيطي</w:t>
      </w:r>
      <w:r w:rsidRPr="00264FC1">
        <w:rPr>
          <w:sz w:val="8"/>
          <w:szCs w:val="24"/>
          <w:rtl/>
        </w:rPr>
        <w:t xml:space="preserve"> </w:t>
      </w:r>
      <w:r w:rsidRPr="00264FC1">
        <w:rPr>
          <w:rFonts w:hint="cs"/>
          <w:sz w:val="8"/>
          <w:szCs w:val="24"/>
          <w:rtl/>
        </w:rPr>
        <w:t>لنمذجة</w:t>
      </w:r>
      <w:r w:rsidRPr="00264FC1">
        <w:rPr>
          <w:sz w:val="8"/>
          <w:szCs w:val="24"/>
          <w:rtl/>
        </w:rPr>
        <w:t xml:space="preserve"> </w:t>
      </w:r>
      <w:r w:rsidRPr="00264FC1">
        <w:rPr>
          <w:rFonts w:hint="cs"/>
          <w:sz w:val="8"/>
          <w:szCs w:val="24"/>
          <w:rtl/>
        </w:rPr>
        <w:t>معدل</w:t>
      </w:r>
      <w:r w:rsidRPr="00264FC1">
        <w:rPr>
          <w:sz w:val="8"/>
          <w:szCs w:val="24"/>
          <w:rtl/>
        </w:rPr>
        <w:t xml:space="preserve"> </w:t>
      </w:r>
      <w:r w:rsidRPr="00264FC1">
        <w:rPr>
          <w:rFonts w:hint="cs"/>
          <w:sz w:val="8"/>
          <w:szCs w:val="24"/>
          <w:rtl/>
        </w:rPr>
        <w:t>المرونة</w:t>
      </w:r>
      <w:bookmarkEnd w:id="347"/>
      <w:bookmarkEnd w:id="348"/>
    </w:p>
    <w:p w:rsidR="003E0F31" w:rsidRDefault="003E0F31" w:rsidP="003E0F31">
      <w:pPr>
        <w:tabs>
          <w:tab w:val="right" w:pos="281"/>
        </w:tabs>
        <w:bidi/>
        <w:spacing w:after="0" w:line="240" w:lineRule="auto"/>
        <w:ind w:firstLine="282"/>
        <w:jc w:val="center"/>
        <w:rPr>
          <w:rFonts w:ascii="TimesNewRomanPSMT" w:eastAsia="Calibri" w:hAnsi="TimesNewRomanPSMT" w:cs="Times New Roman"/>
          <w:sz w:val="24"/>
          <w:szCs w:val="24"/>
          <w:rtl/>
          <w:lang w:eastAsia="fr-FR"/>
        </w:rPr>
      </w:pPr>
      <w:r>
        <w:rPr>
          <w:rFonts w:ascii="Simplified Arabic" w:eastAsia="Times New Roman" w:hAnsi="Simplified Arabic" w:cs="Simplified Arabic" w:hint="cs"/>
          <w:b/>
          <w:sz w:val="24"/>
          <w:szCs w:val="24"/>
          <w:rtl/>
          <w:lang w:val="en-US" w:eastAsia="fr-FR"/>
        </w:rPr>
        <w:t xml:space="preserve">المصدر: </w:t>
      </w:r>
      <w:r w:rsidRPr="004407A6">
        <w:rPr>
          <w:rFonts w:asciiTheme="majorBidi" w:hAnsiTheme="majorBidi" w:cstheme="majorBidi"/>
          <w:color w:val="000000" w:themeColor="text1"/>
          <w:sz w:val="24"/>
          <w:szCs w:val="24"/>
          <w:lang w:val="en-US" w:bidi="ar-DZ"/>
        </w:rPr>
        <w:t>(</w:t>
      </w:r>
      <w:r w:rsidRPr="00206B59">
        <w:rPr>
          <w:rFonts w:asciiTheme="majorBidi" w:hAnsiTheme="majorBidi" w:cstheme="majorBidi"/>
          <w:color w:val="000000" w:themeColor="text1"/>
          <w:sz w:val="24"/>
          <w:szCs w:val="24"/>
          <w:lang w:val="en-US" w:bidi="ar-DZ"/>
        </w:rPr>
        <w:t>Javari</w:t>
      </w:r>
      <w:r w:rsidRPr="004407A6">
        <w:rPr>
          <w:rFonts w:asciiTheme="majorBidi" w:hAnsiTheme="majorBidi" w:cstheme="majorBidi"/>
          <w:color w:val="000000" w:themeColor="text1"/>
          <w:sz w:val="24"/>
          <w:szCs w:val="24"/>
          <w:lang w:val="en-US" w:bidi="ar-DZ"/>
        </w:rPr>
        <w:t xml:space="preserve"> et al., 2021)</w:t>
      </w:r>
    </w:p>
    <w:p w:rsidR="003E0F31" w:rsidRDefault="003E0F31" w:rsidP="008F5299">
      <w:pPr>
        <w:tabs>
          <w:tab w:val="right" w:pos="281"/>
        </w:tabs>
        <w:bidi/>
        <w:spacing w:after="0"/>
        <w:jc w:val="center"/>
        <w:rPr>
          <w:rFonts w:ascii="Simplified Arabic" w:eastAsia="Times New Roman" w:hAnsi="Simplified Arabic" w:cs="Simplified Arabic"/>
          <w:b/>
          <w:sz w:val="24"/>
          <w:szCs w:val="24"/>
          <w:rtl/>
          <w:lang w:val="en-US" w:eastAsia="fr-FR"/>
        </w:rPr>
      </w:pPr>
      <w:r>
        <w:rPr>
          <w:noProof/>
          <w:lang w:eastAsia="fr-FR"/>
        </w:rPr>
        <w:drawing>
          <wp:inline distT="0" distB="0" distL="0" distR="0" wp14:anchorId="2462547F" wp14:editId="6B50623A">
            <wp:extent cx="4355920" cy="2672088"/>
            <wp:effectExtent l="0" t="0" r="6985" b="0"/>
            <wp:docPr id="128" name="Imag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3"/>
                    <a:stretch>
                      <a:fillRect/>
                    </a:stretch>
                  </pic:blipFill>
                  <pic:spPr>
                    <a:xfrm>
                      <a:off x="0" y="0"/>
                      <a:ext cx="4373269" cy="2682730"/>
                    </a:xfrm>
                    <a:prstGeom prst="rect">
                      <a:avLst/>
                    </a:prstGeom>
                  </pic:spPr>
                </pic:pic>
              </a:graphicData>
            </a:graphic>
          </wp:inline>
        </w:drawing>
      </w:r>
    </w:p>
    <w:p w:rsidR="003E0F31" w:rsidRDefault="00DC054D" w:rsidP="00F76D99">
      <w:pPr>
        <w:pStyle w:val="Tableau"/>
        <w:rPr>
          <w:rFonts w:asciiTheme="majorBidi" w:hAnsiTheme="majorBidi" w:cstheme="majorBidi"/>
          <w:rtl/>
          <w:lang w:val="en-US" w:bidi="ar-DZ"/>
        </w:rPr>
      </w:pPr>
      <w:bookmarkStart w:id="349" w:name="_Toc157612972"/>
      <w:bookmarkStart w:id="350" w:name="_Toc171803473"/>
      <w:r>
        <w:rPr>
          <w:rFonts w:hint="cs"/>
          <w:rtl/>
          <w:lang w:bidi="ar-DZ"/>
        </w:rPr>
        <w:lastRenderedPageBreak/>
        <w:t xml:space="preserve">الجدول (2-8): </w:t>
      </w:r>
      <w:r w:rsidR="003E0F31" w:rsidRPr="00750981">
        <w:rPr>
          <w:rFonts w:hint="cs"/>
          <w:rtl/>
          <w:lang w:bidi="ar-DZ"/>
        </w:rPr>
        <w:t>ايجابيات وسلبيات</w:t>
      </w:r>
      <w:r w:rsidR="003E0F31" w:rsidRPr="00750981">
        <w:rPr>
          <w:rtl/>
          <w:lang w:bidi="ar-DZ"/>
        </w:rPr>
        <w:t xml:space="preserve"> </w:t>
      </w:r>
      <w:r w:rsidR="003E0F31" w:rsidRPr="008C2DCA">
        <w:rPr>
          <w:rFonts w:eastAsia="Times New Roman" w:hint="cs"/>
          <w:rtl/>
        </w:rPr>
        <w:t>نمذجة</w:t>
      </w:r>
      <w:r w:rsidR="003E0F31" w:rsidRPr="008C2DCA">
        <w:rPr>
          <w:rFonts w:eastAsia="Times New Roman"/>
          <w:rtl/>
        </w:rPr>
        <w:t xml:space="preserve"> </w:t>
      </w:r>
      <w:r w:rsidR="003E0F31" w:rsidRPr="008C2DCA">
        <w:rPr>
          <w:rFonts w:eastAsia="Times New Roman" w:hint="cs"/>
          <w:rtl/>
        </w:rPr>
        <w:t>معدل</w:t>
      </w:r>
      <w:r w:rsidR="003E0F31" w:rsidRPr="008C2DCA">
        <w:rPr>
          <w:rFonts w:eastAsia="Times New Roman"/>
          <w:rtl/>
        </w:rPr>
        <w:t xml:space="preserve"> </w:t>
      </w:r>
      <w:r w:rsidR="003E0F31" w:rsidRPr="008C2DCA">
        <w:rPr>
          <w:rFonts w:eastAsia="Times New Roman" w:hint="cs"/>
          <w:rtl/>
        </w:rPr>
        <w:t>المرونة</w:t>
      </w:r>
      <w:r w:rsidR="003E0F31">
        <w:rPr>
          <w:rFonts w:eastAsia="Times New Roman" w:hint="cs"/>
          <w:rtl/>
        </w:rPr>
        <w:t xml:space="preserve"> </w:t>
      </w:r>
      <w:r w:rsidR="003E0F31" w:rsidRPr="004407A6">
        <w:rPr>
          <w:rFonts w:asciiTheme="majorBidi" w:hAnsiTheme="majorBidi" w:cstheme="majorBidi"/>
          <w:lang w:val="en-US" w:bidi="ar-DZ"/>
        </w:rPr>
        <w:t>(</w:t>
      </w:r>
      <w:r w:rsidR="003E0F31" w:rsidRPr="00206B59">
        <w:rPr>
          <w:rFonts w:asciiTheme="majorBidi" w:hAnsiTheme="majorBidi" w:cstheme="majorBidi"/>
          <w:lang w:val="en-US" w:bidi="ar-DZ"/>
        </w:rPr>
        <w:t>Javari</w:t>
      </w:r>
      <w:r w:rsidR="003E0F31" w:rsidRPr="004407A6">
        <w:rPr>
          <w:rFonts w:asciiTheme="majorBidi" w:hAnsiTheme="majorBidi" w:cstheme="majorBidi"/>
          <w:lang w:val="en-US" w:bidi="ar-DZ"/>
        </w:rPr>
        <w:t xml:space="preserve"> et al., 2021)</w:t>
      </w:r>
      <w:bookmarkEnd w:id="349"/>
      <w:bookmarkEnd w:id="350"/>
    </w:p>
    <w:p w:rsidR="00597092" w:rsidRPr="00597092" w:rsidRDefault="00597092" w:rsidP="00597092">
      <w:pPr>
        <w:pStyle w:val="fegure"/>
        <w:rPr>
          <w:sz w:val="8"/>
          <w:szCs w:val="24"/>
          <w:rtl/>
          <w:lang w:val="en-US"/>
        </w:rPr>
      </w:pPr>
      <w:bookmarkStart w:id="351" w:name="_Toc171803474"/>
      <w:r>
        <w:rPr>
          <w:rFonts w:hint="cs"/>
          <w:sz w:val="8"/>
          <w:szCs w:val="24"/>
          <w:rtl/>
          <w:lang w:val="en-US"/>
        </w:rPr>
        <w:t>المصدر: (الباحث، 2022)</w:t>
      </w:r>
      <w:bookmarkEnd w:id="351"/>
    </w:p>
    <w:tbl>
      <w:tblPr>
        <w:bidiVisual/>
        <w:tblW w:w="0" w:type="auto"/>
        <w:jc w:val="center"/>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8"/>
        <w:gridCol w:w="4116"/>
      </w:tblGrid>
      <w:tr w:rsidR="003E0F31" w:rsidRPr="00717B19" w:rsidTr="001E12D7">
        <w:trPr>
          <w:jc w:val="center"/>
        </w:trPr>
        <w:tc>
          <w:tcPr>
            <w:tcW w:w="4398" w:type="dxa"/>
            <w:shd w:val="clear" w:color="auto" w:fill="auto"/>
            <w:vAlign w:val="center"/>
          </w:tcPr>
          <w:p w:rsidR="003E0F31" w:rsidRPr="00717B19" w:rsidRDefault="003E0F31" w:rsidP="001E12D7">
            <w:pPr>
              <w:bidi/>
              <w:spacing w:after="0" w:line="240" w:lineRule="auto"/>
              <w:jc w:val="center"/>
              <w:rPr>
                <w:rFonts w:ascii="Simplified Arabic" w:hAnsi="Simplified Arabic" w:cs="Simplified Arabic"/>
                <w:sz w:val="24"/>
                <w:szCs w:val="24"/>
                <w:rtl/>
                <w:lang w:bidi="ar-DZ"/>
              </w:rPr>
            </w:pPr>
            <w:r w:rsidRPr="00717B19">
              <w:rPr>
                <w:rFonts w:ascii="Simplified Arabic" w:hAnsi="Simplified Arabic" w:cs="Simplified Arabic"/>
                <w:sz w:val="24"/>
                <w:szCs w:val="24"/>
                <w:rtl/>
                <w:lang w:bidi="ar-DZ"/>
              </w:rPr>
              <w:t>الايجابيات</w:t>
            </w:r>
          </w:p>
        </w:tc>
        <w:tc>
          <w:tcPr>
            <w:tcW w:w="4116" w:type="dxa"/>
            <w:shd w:val="clear" w:color="auto" w:fill="auto"/>
            <w:vAlign w:val="center"/>
          </w:tcPr>
          <w:p w:rsidR="003E0F31" w:rsidRPr="00717B19" w:rsidRDefault="003E0F31" w:rsidP="001E12D7">
            <w:pPr>
              <w:bidi/>
              <w:spacing w:after="0" w:line="240" w:lineRule="auto"/>
              <w:jc w:val="center"/>
              <w:rPr>
                <w:rFonts w:ascii="Simplified Arabic" w:hAnsi="Simplified Arabic" w:cs="Simplified Arabic"/>
                <w:sz w:val="24"/>
                <w:szCs w:val="24"/>
                <w:rtl/>
                <w:lang w:bidi="ar-DZ"/>
              </w:rPr>
            </w:pPr>
            <w:r w:rsidRPr="00717B19">
              <w:rPr>
                <w:rFonts w:ascii="Simplified Arabic" w:hAnsi="Simplified Arabic" w:cs="Simplified Arabic"/>
                <w:sz w:val="24"/>
                <w:szCs w:val="24"/>
                <w:rtl/>
                <w:lang w:bidi="ar-DZ"/>
              </w:rPr>
              <w:t>السلبيات</w:t>
            </w:r>
          </w:p>
        </w:tc>
      </w:tr>
      <w:tr w:rsidR="003E0F31" w:rsidRPr="00CE6E23" w:rsidTr="001E12D7">
        <w:trPr>
          <w:jc w:val="center"/>
        </w:trPr>
        <w:tc>
          <w:tcPr>
            <w:tcW w:w="4398" w:type="dxa"/>
            <w:shd w:val="clear" w:color="auto" w:fill="auto"/>
          </w:tcPr>
          <w:p w:rsidR="003E0F31" w:rsidRPr="00717B19" w:rsidRDefault="003E0F31" w:rsidP="001E12D7">
            <w:pPr>
              <w:bidi/>
              <w:spacing w:after="0" w:line="240" w:lineRule="auto"/>
              <w:rPr>
                <w:rStyle w:val="y2iqfc"/>
                <w:rFonts w:asciiTheme="minorBidi" w:hAnsiTheme="minorBidi" w:cs="Arial"/>
                <w:color w:val="202124"/>
                <w:sz w:val="24"/>
                <w:szCs w:val="24"/>
                <w:shd w:val="clear" w:color="auto" w:fill="B2A1C7" w:themeFill="accent4" w:themeFillTint="99"/>
                <w:rtl/>
                <w:lang w:bidi="ar-DZ"/>
              </w:rPr>
            </w:pPr>
            <w:r>
              <w:rPr>
                <w:rStyle w:val="y2iqfc"/>
                <w:rFonts w:asciiTheme="minorBidi" w:hAnsiTheme="minorBidi" w:cs="Arial" w:hint="cs"/>
                <w:color w:val="202124"/>
                <w:sz w:val="24"/>
                <w:szCs w:val="24"/>
                <w:rtl/>
                <w:lang w:bidi="ar-DZ"/>
              </w:rPr>
              <w:t xml:space="preserve">- </w:t>
            </w:r>
            <w:r w:rsidRPr="00717B19">
              <w:rPr>
                <w:rStyle w:val="y2iqfc"/>
                <w:rFonts w:asciiTheme="minorBidi" w:hAnsiTheme="minorBidi" w:cs="Arial" w:hint="cs"/>
                <w:color w:val="202124"/>
                <w:sz w:val="24"/>
                <w:szCs w:val="24"/>
                <w:rtl/>
                <w:lang w:bidi="ar-DZ"/>
              </w:rPr>
              <w:t>تقييم</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الوصول</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إلى</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مراكز</w:t>
            </w:r>
            <w:r w:rsidRPr="00717B19">
              <w:rPr>
                <w:rStyle w:val="y2iqfc"/>
                <w:rFonts w:asciiTheme="minorBidi" w:hAnsiTheme="minorBidi" w:cs="Arial"/>
                <w:color w:val="202124"/>
                <w:sz w:val="24"/>
                <w:szCs w:val="24"/>
                <w:rtl/>
                <w:lang w:bidi="ar-DZ"/>
              </w:rPr>
              <w:t xml:space="preserve"> </w:t>
            </w:r>
            <w:r>
              <w:rPr>
                <w:rStyle w:val="y2iqfc"/>
                <w:rFonts w:asciiTheme="minorBidi" w:hAnsiTheme="minorBidi" w:cs="Arial" w:hint="cs"/>
                <w:color w:val="202124"/>
                <w:sz w:val="24"/>
                <w:szCs w:val="24"/>
                <w:rtl/>
                <w:lang w:bidi="ar-DZ"/>
              </w:rPr>
              <w:t xml:space="preserve">الخدمات </w:t>
            </w:r>
            <w:r w:rsidRPr="00717B19">
              <w:rPr>
                <w:rStyle w:val="y2iqfc"/>
                <w:rFonts w:asciiTheme="minorBidi" w:hAnsiTheme="minorBidi" w:cs="Arial" w:hint="cs"/>
                <w:color w:val="202124"/>
                <w:sz w:val="24"/>
                <w:szCs w:val="24"/>
                <w:rtl/>
                <w:lang w:bidi="ar-DZ"/>
              </w:rPr>
              <w:t>في</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كل</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من</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الوقت</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والمسافة</w:t>
            </w:r>
            <w:r w:rsidRPr="00717B19">
              <w:rPr>
                <w:rStyle w:val="y2iqfc"/>
                <w:rFonts w:asciiTheme="minorBidi" w:hAnsiTheme="minorBidi" w:cs="Arial"/>
                <w:color w:val="202124"/>
                <w:sz w:val="24"/>
                <w:szCs w:val="24"/>
                <w:rtl/>
                <w:lang w:bidi="ar-DZ"/>
              </w:rPr>
              <w:t xml:space="preserve"> </w:t>
            </w:r>
            <w:r>
              <w:rPr>
                <w:rStyle w:val="y2iqfc"/>
                <w:rFonts w:asciiTheme="minorBidi" w:hAnsiTheme="minorBidi" w:cs="Arial" w:hint="cs"/>
                <w:color w:val="202124"/>
                <w:sz w:val="24"/>
                <w:szCs w:val="24"/>
                <w:rtl/>
                <w:lang w:bidi="ar-DZ"/>
              </w:rPr>
              <w:t>ل</w:t>
            </w:r>
            <w:r w:rsidRPr="00717B19">
              <w:rPr>
                <w:rStyle w:val="y2iqfc"/>
                <w:rFonts w:asciiTheme="minorBidi" w:hAnsiTheme="minorBidi" w:cs="Arial" w:hint="cs"/>
                <w:color w:val="202124"/>
                <w:sz w:val="24"/>
                <w:szCs w:val="24"/>
                <w:rtl/>
                <w:lang w:bidi="ar-DZ"/>
              </w:rPr>
              <w:t>تقدير</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معدل</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المرونة</w:t>
            </w:r>
            <w:r w:rsidRPr="00717B19">
              <w:rPr>
                <w:rStyle w:val="y2iqfc"/>
                <w:rFonts w:asciiTheme="minorBidi" w:hAnsiTheme="minorBidi" w:cs="Arial"/>
                <w:color w:val="202124"/>
                <w:sz w:val="24"/>
                <w:szCs w:val="24"/>
                <w:rtl/>
                <w:lang w:bidi="ar-DZ"/>
              </w:rPr>
              <w:t xml:space="preserve"> </w:t>
            </w:r>
            <w:r w:rsidRPr="00717B19">
              <w:rPr>
                <w:rStyle w:val="y2iqfc"/>
                <w:rFonts w:asciiTheme="minorBidi" w:hAnsiTheme="minorBidi" w:cs="Arial" w:hint="cs"/>
                <w:color w:val="202124"/>
                <w:sz w:val="24"/>
                <w:szCs w:val="24"/>
                <w:rtl/>
                <w:lang w:bidi="ar-DZ"/>
              </w:rPr>
              <w:t>الحضرية</w:t>
            </w:r>
            <w:r w:rsidRPr="00717B19">
              <w:rPr>
                <w:rStyle w:val="y2iqfc"/>
                <w:rFonts w:asciiTheme="minorBidi" w:hAnsiTheme="minorBidi" w:cs="Arial"/>
                <w:color w:val="202124"/>
                <w:sz w:val="24"/>
                <w:szCs w:val="24"/>
                <w:shd w:val="clear" w:color="auto" w:fill="B2A1C7" w:themeFill="accent4" w:themeFillTint="99"/>
                <w:rtl/>
                <w:lang w:bidi="ar-DZ"/>
              </w:rPr>
              <w:t xml:space="preserve"> </w:t>
            </w:r>
          </w:p>
          <w:p w:rsidR="003E0F31" w:rsidRDefault="003E0F31" w:rsidP="001E12D7">
            <w:pPr>
              <w:bidi/>
              <w:spacing w:after="0" w:line="240" w:lineRule="auto"/>
              <w:rPr>
                <w:rFonts w:ascii="Simplified Arabic" w:hAnsi="Simplified Arabic" w:cs="Simplified Arabic"/>
                <w:sz w:val="24"/>
                <w:szCs w:val="24"/>
                <w:rtl/>
              </w:rPr>
            </w:pPr>
            <w:r w:rsidRPr="008277FC">
              <w:rPr>
                <w:rFonts w:asciiTheme="minorBidi" w:hAnsiTheme="minorBidi" w:cs="Arial" w:hint="cs"/>
                <w:sz w:val="24"/>
                <w:szCs w:val="24"/>
                <w:rtl/>
                <w:lang w:bidi="ar-DZ"/>
              </w:rPr>
              <w:t>-</w:t>
            </w:r>
            <w:r>
              <w:rPr>
                <w:rFonts w:asciiTheme="minorBidi" w:hAnsiTheme="minorBidi" w:cs="Arial" w:hint="cs"/>
                <w:sz w:val="24"/>
                <w:szCs w:val="24"/>
                <w:rtl/>
                <w:lang w:bidi="ar-DZ"/>
              </w:rPr>
              <w:t xml:space="preserve"> نطاق تقييم </w:t>
            </w:r>
            <w:r w:rsidRPr="00727752">
              <w:rPr>
                <w:rFonts w:ascii="Simplified Arabic" w:hAnsi="Simplified Arabic" w:cs="Simplified Arabic" w:hint="cs"/>
                <w:sz w:val="24"/>
                <w:szCs w:val="24"/>
                <w:rtl/>
              </w:rPr>
              <w:t>المرونة</w:t>
            </w:r>
            <w:r>
              <w:rPr>
                <w:rFonts w:ascii="Simplified Arabic" w:hAnsi="Simplified Arabic" w:cs="Simplified Arabic" w:hint="cs"/>
                <w:sz w:val="24"/>
                <w:szCs w:val="24"/>
                <w:rtl/>
              </w:rPr>
              <w:t xml:space="preserve"> </w:t>
            </w:r>
            <w:r>
              <w:rPr>
                <w:rFonts w:asciiTheme="minorBidi" w:hAnsiTheme="minorBidi" w:cs="Arial" w:hint="cs"/>
                <w:sz w:val="24"/>
                <w:szCs w:val="24"/>
                <w:rtl/>
                <w:lang w:bidi="ar-DZ"/>
              </w:rPr>
              <w:t>تم</w:t>
            </w:r>
            <w:r w:rsidRPr="00727752">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على مستوى المدينة </w:t>
            </w:r>
          </w:p>
          <w:p w:rsidR="003E0F31" w:rsidRPr="00472635" w:rsidRDefault="003E0F31" w:rsidP="001E12D7">
            <w:pPr>
              <w:bidi/>
              <w:spacing w:after="0" w:line="240" w:lineRule="auto"/>
              <w:rPr>
                <w:rFonts w:ascii="Simplified Arabic" w:hAnsi="Simplified Arabic" w:cs="Simplified Arabic"/>
                <w:sz w:val="24"/>
                <w:szCs w:val="24"/>
                <w:highlight w:val="yellow"/>
                <w:lang w:bidi="ar-DZ"/>
              </w:rPr>
            </w:pPr>
            <w:r w:rsidRPr="008277FC">
              <w:rPr>
                <w:rFonts w:asciiTheme="minorBidi" w:hAnsiTheme="minorBidi" w:cs="Arial" w:hint="cs"/>
                <w:sz w:val="24"/>
                <w:szCs w:val="24"/>
                <w:rtl/>
                <w:lang w:bidi="ar-DZ"/>
              </w:rPr>
              <w:t>-</w:t>
            </w:r>
            <w:r>
              <w:rPr>
                <w:rFonts w:asciiTheme="minorBidi" w:hAnsiTheme="minorBidi" w:cs="Arial" w:hint="cs"/>
                <w:sz w:val="24"/>
                <w:szCs w:val="24"/>
                <w:rtl/>
                <w:lang w:bidi="ar-DZ"/>
              </w:rPr>
              <w:t xml:space="preserve"> </w:t>
            </w:r>
            <w:r>
              <w:rPr>
                <w:rFonts w:ascii="Simplified Arabic" w:hAnsi="Simplified Arabic" w:cs="Simplified Arabic" w:hint="cs"/>
                <w:sz w:val="24"/>
                <w:szCs w:val="24"/>
                <w:rtl/>
              </w:rPr>
              <w:t xml:space="preserve">خضعت </w:t>
            </w:r>
            <w:r>
              <w:rPr>
                <w:rFonts w:asciiTheme="minorBidi" w:hAnsiTheme="minorBidi" w:cs="Arial" w:hint="cs"/>
                <w:sz w:val="24"/>
                <w:szCs w:val="24"/>
                <w:rtl/>
                <w:lang w:bidi="ar-DZ"/>
              </w:rPr>
              <w:t xml:space="preserve">عوامل  تقييم المرونة </w:t>
            </w:r>
            <w:r>
              <w:rPr>
                <w:rFonts w:ascii="Simplified Arabic" w:hAnsi="Simplified Arabic" w:cs="Simplified Arabic" w:hint="cs"/>
                <w:sz w:val="24"/>
                <w:szCs w:val="24"/>
                <w:rtl/>
              </w:rPr>
              <w:t>الى</w:t>
            </w:r>
            <w:r w:rsidRPr="00727752">
              <w:rPr>
                <w:rFonts w:ascii="Simplified Arabic" w:hAnsi="Simplified Arabic" w:cs="Simplified Arabic"/>
                <w:sz w:val="24"/>
                <w:szCs w:val="24"/>
                <w:rtl/>
              </w:rPr>
              <w:t xml:space="preserve"> </w:t>
            </w:r>
            <w:r>
              <w:rPr>
                <w:rFonts w:ascii="Simplified Arabic" w:hAnsi="Simplified Arabic" w:cs="Simplified Arabic" w:hint="cs"/>
                <w:sz w:val="24"/>
                <w:szCs w:val="24"/>
                <w:rtl/>
              </w:rPr>
              <w:t>توافق</w:t>
            </w:r>
            <w:r w:rsidRPr="00727752">
              <w:rPr>
                <w:rFonts w:ascii="Simplified Arabic" w:hAnsi="Simplified Arabic" w:cs="Simplified Arabic"/>
                <w:sz w:val="24"/>
                <w:szCs w:val="24"/>
                <w:rtl/>
              </w:rPr>
              <w:t xml:space="preserve"> </w:t>
            </w:r>
            <w:r w:rsidRPr="00727752">
              <w:rPr>
                <w:rFonts w:ascii="Simplified Arabic" w:hAnsi="Simplified Arabic" w:cs="Simplified Arabic" w:hint="cs"/>
                <w:sz w:val="24"/>
                <w:szCs w:val="24"/>
                <w:rtl/>
              </w:rPr>
              <w:t>آراء</w:t>
            </w:r>
            <w:r>
              <w:rPr>
                <w:rFonts w:ascii="Simplified Arabic" w:hAnsi="Simplified Arabic" w:cs="Simplified Arabic" w:hint="cs"/>
                <w:sz w:val="24"/>
                <w:szCs w:val="24"/>
                <w:rtl/>
              </w:rPr>
              <w:t xml:space="preserve"> الخبراء</w:t>
            </w:r>
          </w:p>
          <w:p w:rsidR="003E0F31" w:rsidRPr="00717B19" w:rsidRDefault="003E0F31" w:rsidP="001E12D7">
            <w:pPr>
              <w:bidi/>
              <w:spacing w:after="0" w:line="240" w:lineRule="auto"/>
              <w:rPr>
                <w:rFonts w:ascii="Simplified Arabic" w:hAnsi="Simplified Arabic" w:cs="Simplified Arabic"/>
                <w:sz w:val="24"/>
                <w:szCs w:val="24"/>
                <w:rtl/>
                <w:lang w:bidi="ar-DZ"/>
              </w:rPr>
            </w:pPr>
            <w:r>
              <w:rPr>
                <w:rFonts w:asciiTheme="minorBidi" w:hAnsiTheme="minorBidi" w:cs="Arial" w:hint="cs"/>
                <w:sz w:val="24"/>
                <w:szCs w:val="24"/>
                <w:rtl/>
                <w:lang w:bidi="ar-DZ"/>
              </w:rPr>
              <w:t>-</w:t>
            </w:r>
            <w:r w:rsidRPr="00F01818">
              <w:rPr>
                <w:rFonts w:asciiTheme="minorBidi" w:hAnsiTheme="minorBidi" w:cs="Arial" w:hint="cs"/>
                <w:sz w:val="24"/>
                <w:szCs w:val="24"/>
                <w:rtl/>
                <w:lang w:bidi="ar-DZ"/>
              </w:rPr>
              <w:t xml:space="preserve"> </w:t>
            </w:r>
            <w:r w:rsidRPr="00826FB0">
              <w:rPr>
                <w:rFonts w:ascii="Simplified Arabic" w:hAnsi="Simplified Arabic" w:cs="Simplified Arabic"/>
                <w:sz w:val="24"/>
                <w:szCs w:val="24"/>
                <w:rtl/>
                <w:lang w:val="en-US" w:bidi="ar-DZ"/>
              </w:rPr>
              <w:t xml:space="preserve">يركز بشدة على </w:t>
            </w:r>
            <w:r>
              <w:rPr>
                <w:rFonts w:ascii="Simplified Arabic" w:hAnsi="Simplified Arabic" w:cs="Simplified Arabic" w:hint="cs"/>
                <w:sz w:val="24"/>
                <w:szCs w:val="24"/>
                <w:rtl/>
                <w:lang w:val="en-US" w:bidi="ar-DZ"/>
              </w:rPr>
              <w:t>المكون الفيزيائي</w:t>
            </w:r>
            <w:r w:rsidRPr="00826FB0">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للبيئة الحضرية</w:t>
            </w:r>
            <w:r w:rsidRPr="00826FB0">
              <w:rPr>
                <w:rFonts w:ascii="Simplified Arabic" w:hAnsi="Simplified Arabic" w:cs="Simplified Arabic"/>
                <w:sz w:val="24"/>
                <w:szCs w:val="24"/>
                <w:rtl/>
                <w:lang w:val="en-US" w:bidi="ar-DZ"/>
              </w:rPr>
              <w:t xml:space="preserve"> </w:t>
            </w:r>
          </w:p>
        </w:tc>
        <w:tc>
          <w:tcPr>
            <w:tcW w:w="4116" w:type="dxa"/>
            <w:shd w:val="clear" w:color="auto" w:fill="auto"/>
          </w:tcPr>
          <w:p w:rsidR="003E0F31" w:rsidRPr="00A038E1" w:rsidRDefault="003E0F31" w:rsidP="001E12D7">
            <w:pPr>
              <w:bidi/>
              <w:spacing w:after="0" w:line="240" w:lineRule="auto"/>
              <w:rPr>
                <w:rFonts w:ascii="Simplified Arabic" w:hAnsi="Simplified Arabic" w:cs="Simplified Arabic"/>
                <w:sz w:val="24"/>
                <w:szCs w:val="24"/>
                <w:lang w:bidi="ar-DZ"/>
              </w:rPr>
            </w:pPr>
            <w:r w:rsidRPr="00A038E1">
              <w:rPr>
                <w:rFonts w:asciiTheme="minorBidi" w:hAnsiTheme="minorBidi" w:cs="Arial" w:hint="cs"/>
                <w:sz w:val="24"/>
                <w:szCs w:val="24"/>
                <w:rtl/>
                <w:lang w:bidi="ar-DZ"/>
              </w:rPr>
              <w:t xml:space="preserve">- </w:t>
            </w:r>
            <w:r w:rsidRPr="00A038E1">
              <w:rPr>
                <w:rFonts w:ascii="Simplified Arabic" w:hAnsi="Simplified Arabic" w:cs="Simplified Arabic"/>
                <w:sz w:val="24"/>
                <w:szCs w:val="24"/>
                <w:rtl/>
                <w:lang w:bidi="ar-DZ"/>
              </w:rPr>
              <w:t>لم يتم تقديم مشورة لتطوير نهج تشاركي أو تعاوني</w:t>
            </w:r>
            <w:r w:rsidRPr="00A038E1">
              <w:rPr>
                <w:rFonts w:ascii="Simplified Arabic" w:hAnsi="Simplified Arabic" w:cs="Simplified Arabic" w:hint="cs"/>
                <w:sz w:val="24"/>
                <w:szCs w:val="24"/>
                <w:rtl/>
                <w:lang w:bidi="ar-DZ"/>
              </w:rPr>
              <w:t xml:space="preserve"> مع المواطنين في توجيه التنمية </w:t>
            </w:r>
          </w:p>
          <w:p w:rsidR="003E0F31" w:rsidRPr="00717B19" w:rsidRDefault="003E0F31" w:rsidP="001E12D7">
            <w:pPr>
              <w:bidi/>
              <w:spacing w:after="0" w:line="240" w:lineRule="auto"/>
              <w:rPr>
                <w:rFonts w:ascii="Simplified Arabic" w:hAnsi="Simplified Arabic" w:cs="Simplified Arabic"/>
                <w:sz w:val="24"/>
                <w:szCs w:val="24"/>
                <w:rtl/>
                <w:lang w:bidi="ar-DZ"/>
              </w:rPr>
            </w:pPr>
          </w:p>
        </w:tc>
      </w:tr>
    </w:tbl>
    <w:p w:rsidR="003E0F31" w:rsidRPr="005D2BFE" w:rsidRDefault="003E0F31" w:rsidP="001D0548">
      <w:pPr>
        <w:pStyle w:val="Paragraphedeliste"/>
        <w:numPr>
          <w:ilvl w:val="3"/>
          <w:numId w:val="274"/>
        </w:numPr>
        <w:tabs>
          <w:tab w:val="right" w:pos="992"/>
        </w:tabs>
        <w:bidi/>
        <w:spacing w:before="240" w:after="0" w:line="240" w:lineRule="auto"/>
        <w:ind w:left="0" w:firstLine="0"/>
        <w:jc w:val="both"/>
        <w:outlineLvl w:val="2"/>
        <w:rPr>
          <w:rFonts w:ascii="Simplified Arabic" w:hAnsi="Simplified Arabic" w:cs="Simplified Arabic"/>
          <w:b/>
          <w:bCs/>
          <w:color w:val="000000"/>
          <w:sz w:val="24"/>
          <w:szCs w:val="24"/>
          <w:rtl/>
          <w:lang w:val="en-US"/>
        </w:rPr>
      </w:pPr>
      <w:bookmarkStart w:id="352" w:name="_Toc171803475"/>
      <w:r w:rsidRPr="005D2BFE">
        <w:rPr>
          <w:rFonts w:ascii="Simplified Arabic" w:hAnsi="Simplified Arabic" w:cs="Simplified Arabic" w:hint="cs"/>
          <w:b/>
          <w:bCs/>
          <w:color w:val="000000"/>
          <w:sz w:val="24"/>
          <w:szCs w:val="24"/>
          <w:rtl/>
          <w:lang w:val="en-US"/>
        </w:rPr>
        <w:t>تقييم</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المرونة</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في</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المناطق</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الحضرية</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التاريخية</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من</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خلال</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الجمع</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بين</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نظام</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اتخاذ</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القرار</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متعدد</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المعايير</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ونظام المعلومات</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الجغرافية،</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مع</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نهج</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الاستدامة</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والتجديد</w:t>
      </w:r>
      <w:r w:rsidRPr="005D2BFE">
        <w:rPr>
          <w:rFonts w:ascii="Simplified Arabic" w:hAnsi="Simplified Arabic" w:cs="Simplified Arabic"/>
          <w:b/>
          <w:bCs/>
          <w:color w:val="000000"/>
          <w:sz w:val="24"/>
          <w:szCs w:val="24"/>
          <w:rtl/>
          <w:lang w:val="en-US"/>
        </w:rPr>
        <w:t xml:space="preserve">: </w:t>
      </w:r>
      <w:r w:rsidRPr="005D2BFE">
        <w:rPr>
          <w:rFonts w:ascii="Simplified Arabic" w:hAnsi="Simplified Arabic" w:cs="Simplified Arabic" w:hint="cs"/>
          <w:b/>
          <w:bCs/>
          <w:color w:val="000000"/>
          <w:sz w:val="24"/>
          <w:szCs w:val="24"/>
          <w:rtl/>
          <w:lang w:val="en-US"/>
        </w:rPr>
        <w:t>حالة الدراسة طهران (ايران).</w:t>
      </w:r>
      <w:bookmarkEnd w:id="352"/>
    </w:p>
    <w:p w:rsidR="003E0F31" w:rsidRPr="000B42BD" w:rsidRDefault="003E0F31" w:rsidP="001D0548">
      <w:pPr>
        <w:pStyle w:val="Paragraphedeliste"/>
        <w:numPr>
          <w:ilvl w:val="0"/>
          <w:numId w:val="21"/>
        </w:numPr>
        <w:shd w:val="clear" w:color="auto" w:fill="F2F2F2" w:themeFill="background1" w:themeFillShade="F2"/>
        <w:spacing w:after="0"/>
        <w:ind w:left="284" w:hanging="284"/>
        <w:jc w:val="center"/>
        <w:rPr>
          <w:rFonts w:asciiTheme="majorBidi" w:hAnsiTheme="majorBidi" w:cstheme="majorBidi"/>
          <w:color w:val="000000"/>
          <w:sz w:val="20"/>
          <w:szCs w:val="20"/>
          <w:rtl/>
          <w:lang w:val="en-US"/>
        </w:rPr>
      </w:pPr>
      <w:r w:rsidRPr="000B42BD">
        <w:rPr>
          <w:rFonts w:asciiTheme="majorBidi" w:hAnsiTheme="majorBidi" w:cstheme="majorBidi"/>
          <w:color w:val="000000"/>
          <w:sz w:val="20"/>
          <w:szCs w:val="20"/>
          <w:lang w:val="en-US"/>
        </w:rPr>
        <w:t xml:space="preserve">Evaluation of Resilience in Historic Urban Areas by Combining Multi-Criteria Decision-Making System and GIS, with Sustainability and Regeneration Approach: The Case Study of Tehran (IRAN), </w:t>
      </w:r>
      <w:r w:rsidRPr="000B42BD">
        <w:rPr>
          <w:rFonts w:asciiTheme="majorBidi" w:hAnsiTheme="majorBidi" w:cstheme="majorBidi"/>
          <w:color w:val="000000" w:themeColor="text1"/>
          <w:sz w:val="20"/>
          <w:szCs w:val="20"/>
          <w:lang w:val="en-US" w:bidi="ar-DZ"/>
        </w:rPr>
        <w:t>(</w:t>
      </w:r>
      <w:r w:rsidRPr="00206B59">
        <w:rPr>
          <w:rFonts w:asciiTheme="majorBidi" w:hAnsiTheme="majorBidi" w:cstheme="majorBidi"/>
          <w:color w:val="000000" w:themeColor="text1"/>
          <w:sz w:val="20"/>
          <w:szCs w:val="20"/>
          <w:lang w:val="en-US" w:bidi="ar-DZ"/>
        </w:rPr>
        <w:t>Haghighi</w:t>
      </w:r>
      <w:r w:rsidRPr="000B42BD">
        <w:rPr>
          <w:rFonts w:asciiTheme="majorBidi" w:hAnsiTheme="majorBidi" w:cstheme="majorBidi"/>
          <w:color w:val="000000" w:themeColor="text1"/>
          <w:sz w:val="20"/>
          <w:szCs w:val="20"/>
          <w:lang w:val="en-US" w:bidi="ar-DZ"/>
        </w:rPr>
        <w:t xml:space="preserve"> Fard and Doratli, 2022)</w:t>
      </w:r>
    </w:p>
    <w:p w:rsidR="003E0F31" w:rsidRDefault="003E0F31" w:rsidP="003E0F31">
      <w:pPr>
        <w:bidi/>
        <w:spacing w:after="0"/>
        <w:ind w:firstLine="282"/>
        <w:jc w:val="both"/>
        <w:rPr>
          <w:rFonts w:ascii="Simplified Arabic" w:eastAsia="Times New Roman" w:hAnsi="Simplified Arabic" w:cs="Simplified Arabic"/>
          <w:b/>
          <w:sz w:val="24"/>
          <w:szCs w:val="24"/>
          <w:rtl/>
          <w:lang w:val="en-US" w:eastAsia="fr-FR"/>
        </w:rPr>
      </w:pPr>
      <w:r w:rsidRPr="00F30A8C">
        <w:rPr>
          <w:rFonts w:ascii="Simplified Arabic" w:eastAsia="Times New Roman" w:hAnsi="Simplified Arabic" w:cs="Simplified Arabic"/>
          <w:b/>
          <w:sz w:val="24"/>
          <w:szCs w:val="24"/>
          <w:rtl/>
          <w:lang w:val="en-US" w:eastAsia="fr-FR"/>
        </w:rPr>
        <w:t>في دراسة اجراها</w:t>
      </w:r>
      <w:r>
        <w:rPr>
          <w:rStyle w:val="y2iqfc"/>
          <w:color w:val="000000"/>
          <w:sz w:val="24"/>
          <w:szCs w:val="24"/>
          <w:rtl/>
          <w:lang w:val="en-US"/>
        </w:rPr>
        <w:t xml:space="preserve"> </w:t>
      </w:r>
      <w:r w:rsidRPr="004407A6">
        <w:rPr>
          <w:rFonts w:asciiTheme="majorBidi" w:hAnsiTheme="majorBidi" w:cstheme="majorBidi"/>
          <w:color w:val="000000" w:themeColor="text1"/>
          <w:sz w:val="24"/>
          <w:szCs w:val="24"/>
          <w:lang w:val="en-US" w:bidi="ar-DZ"/>
        </w:rPr>
        <w:t>(</w:t>
      </w:r>
      <w:r w:rsidRPr="00206B59">
        <w:rPr>
          <w:rFonts w:asciiTheme="majorBidi" w:hAnsiTheme="majorBidi" w:cstheme="majorBidi"/>
          <w:color w:val="000000" w:themeColor="text1"/>
          <w:sz w:val="24"/>
          <w:szCs w:val="24"/>
          <w:lang w:val="en-US" w:bidi="ar-DZ"/>
        </w:rPr>
        <w:t>Haghighi</w:t>
      </w:r>
      <w:r w:rsidRPr="004407A6">
        <w:rPr>
          <w:rFonts w:asciiTheme="majorBidi" w:hAnsiTheme="majorBidi" w:cstheme="majorBidi"/>
          <w:color w:val="000000" w:themeColor="text1"/>
          <w:sz w:val="24"/>
          <w:szCs w:val="24"/>
          <w:lang w:val="en-US" w:bidi="ar-DZ"/>
        </w:rPr>
        <w:t xml:space="preserve"> </w:t>
      </w:r>
      <w:r w:rsidRPr="00FC02A1">
        <w:rPr>
          <w:rFonts w:asciiTheme="majorBidi" w:hAnsiTheme="majorBidi" w:cstheme="majorBidi"/>
          <w:color w:val="000000" w:themeColor="text1"/>
          <w:sz w:val="24"/>
          <w:szCs w:val="24"/>
          <w:lang w:bidi="ar-DZ"/>
        </w:rPr>
        <w:t>Fard</w:t>
      </w:r>
      <w:r>
        <w:rPr>
          <w:rFonts w:asciiTheme="majorBidi" w:hAnsiTheme="majorBidi" w:cstheme="majorBidi"/>
          <w:color w:val="000000" w:themeColor="text1"/>
          <w:sz w:val="24"/>
          <w:szCs w:val="24"/>
          <w:lang w:bidi="ar-DZ"/>
        </w:rPr>
        <w:t xml:space="preserve"> and </w:t>
      </w:r>
      <w:r w:rsidRPr="00FC02A1">
        <w:rPr>
          <w:rFonts w:asciiTheme="majorBidi" w:hAnsiTheme="majorBidi" w:cstheme="majorBidi"/>
          <w:color w:val="000000" w:themeColor="text1"/>
          <w:sz w:val="24"/>
          <w:szCs w:val="24"/>
          <w:lang w:bidi="ar-DZ"/>
        </w:rPr>
        <w:t>Doratli</w:t>
      </w:r>
      <w:r w:rsidRPr="004407A6">
        <w:rPr>
          <w:rFonts w:asciiTheme="majorBidi" w:hAnsiTheme="majorBidi" w:cstheme="majorBidi"/>
          <w:color w:val="000000" w:themeColor="text1"/>
          <w:sz w:val="24"/>
          <w:szCs w:val="24"/>
          <w:lang w:val="en-US" w:bidi="ar-DZ"/>
        </w:rPr>
        <w:t>, 2022)</w:t>
      </w:r>
      <w:r w:rsidRPr="00F30A8C">
        <w:rPr>
          <w:rFonts w:ascii="Simplified Arabic" w:eastAsia="Times New Roman" w:hAnsi="Simplified Arabic" w:cs="Simplified Arabic"/>
          <w:b/>
          <w:sz w:val="24"/>
          <w:szCs w:val="24"/>
          <w:rtl/>
          <w:lang w:val="en-US" w:eastAsia="fr-FR"/>
        </w:rPr>
        <w:t>،</w:t>
      </w:r>
      <w:r>
        <w:rPr>
          <w:rStyle w:val="y2iqfc"/>
          <w:color w:val="000000"/>
          <w:sz w:val="24"/>
          <w:szCs w:val="24"/>
          <w:rtl/>
          <w:lang w:val="en-US"/>
        </w:rPr>
        <w:t xml:space="preserve"> </w:t>
      </w:r>
      <w:r w:rsidRPr="00F30A8C">
        <w:rPr>
          <w:rFonts w:ascii="Simplified Arabic" w:eastAsia="Times New Roman" w:hAnsi="Simplified Arabic" w:cs="Simplified Arabic"/>
          <w:b/>
          <w:sz w:val="24"/>
          <w:szCs w:val="24"/>
          <w:rtl/>
          <w:lang w:val="en-US" w:eastAsia="fr-FR"/>
        </w:rPr>
        <w:t xml:space="preserve">لتقييم المرونة في المناطق الحضرية التاريخية. </w:t>
      </w:r>
      <w:r w:rsidRPr="00E074FF">
        <w:rPr>
          <w:rFonts w:ascii="Simplified Arabic" w:eastAsia="Times New Roman" w:hAnsi="Simplified Arabic" w:cs="Simplified Arabic"/>
          <w:b/>
          <w:sz w:val="24"/>
          <w:szCs w:val="24"/>
          <w:rtl/>
          <w:lang w:val="en-US" w:eastAsia="fr-FR"/>
        </w:rPr>
        <w:t xml:space="preserve">كان أسلوب البحث في هذه الدراسة تحليليًا وصفيًا، حيث كان الغرض عمليًا. </w:t>
      </w:r>
      <w:r w:rsidRPr="007F7199">
        <w:rPr>
          <w:rFonts w:ascii="Simplified Arabic" w:eastAsia="Times New Roman" w:hAnsi="Simplified Arabic" w:cs="Simplified Arabic" w:hint="cs"/>
          <w:b/>
          <w:sz w:val="24"/>
          <w:szCs w:val="24"/>
          <w:rtl/>
          <w:lang w:val="en-US" w:eastAsia="fr-FR"/>
        </w:rPr>
        <w:t>ربط</w:t>
      </w:r>
      <w:r w:rsidRPr="007F719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الباحث </w:t>
      </w:r>
      <w:r w:rsidRPr="007F7199">
        <w:rPr>
          <w:rFonts w:ascii="Simplified Arabic" w:eastAsia="Times New Roman" w:hAnsi="Simplified Arabic" w:cs="Simplified Arabic" w:hint="cs"/>
          <w:b/>
          <w:sz w:val="24"/>
          <w:szCs w:val="24"/>
          <w:rtl/>
          <w:lang w:val="en-US" w:eastAsia="fr-FR"/>
        </w:rPr>
        <w:t>المرونة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الحضرية</w:t>
      </w:r>
      <w:r w:rsidRPr="007F719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bidi="ar-DZ"/>
        </w:rPr>
        <w:t>من خلال نهج</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الاستدامة والتجديد</w:t>
      </w:r>
      <w:r>
        <w:rPr>
          <w:rFonts w:ascii="Simplified Arabic" w:eastAsia="Times New Roman" w:hAnsi="Simplified Arabic" w:cs="Simplified Arabic" w:hint="cs"/>
          <w:b/>
          <w:sz w:val="24"/>
          <w:szCs w:val="24"/>
          <w:rtl/>
          <w:lang w:val="en-US" w:eastAsia="fr-FR"/>
        </w:rPr>
        <w:t xml:space="preserve"> الحضري</w:t>
      </w:r>
      <w:r w:rsidRPr="007F7199">
        <w:rPr>
          <w:rFonts w:ascii="Simplified Arabic" w:eastAsia="Times New Roman" w:hAnsi="Simplified Arabic" w:cs="Simplified Arabic" w:hint="cs"/>
          <w:b/>
          <w:sz w:val="24"/>
          <w:szCs w:val="24"/>
          <w:rtl/>
          <w:lang w:val="en-US" w:eastAsia="fr-FR"/>
        </w:rPr>
        <w:t>.</w:t>
      </w:r>
      <w:r w:rsidRPr="00E074FF">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بيّن ان </w:t>
      </w:r>
      <w:r w:rsidRPr="007F7199">
        <w:rPr>
          <w:rFonts w:ascii="Simplified Arabic" w:eastAsia="Times New Roman" w:hAnsi="Simplified Arabic" w:cs="Simplified Arabic" w:hint="cs"/>
          <w:b/>
          <w:sz w:val="24"/>
          <w:szCs w:val="24"/>
          <w:rtl/>
          <w:lang w:val="en-US" w:eastAsia="fr-FR"/>
        </w:rPr>
        <w:t>التجديد</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الحضري</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هو</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نهج</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شامل</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ومتكامل</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لحل</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المشاكل</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الحضرية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في</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المنطقة</w:t>
      </w:r>
      <w:r>
        <w:rPr>
          <w:rFonts w:ascii="Simplified Arabic" w:eastAsia="Times New Roman" w:hAnsi="Simplified Arabic" w:cs="Simplified Arabic" w:hint="cs"/>
          <w:b/>
          <w:sz w:val="24"/>
          <w:szCs w:val="24"/>
          <w:rtl/>
          <w:lang w:val="en-US" w:eastAsia="fr-FR"/>
        </w:rPr>
        <w:t xml:space="preserve">. بالتالي </w:t>
      </w:r>
      <w:r w:rsidRPr="007F7199">
        <w:rPr>
          <w:rFonts w:ascii="Simplified Arabic" w:eastAsia="Times New Roman" w:hAnsi="Simplified Arabic" w:cs="Simplified Arabic" w:hint="cs"/>
          <w:b/>
          <w:sz w:val="24"/>
          <w:szCs w:val="24"/>
          <w:rtl/>
          <w:lang w:val="en-US" w:eastAsia="fr-FR"/>
        </w:rPr>
        <w:t>التجديد</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هو</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مرحلة</w:t>
      </w:r>
      <w:r w:rsidRPr="007F719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تأتي </w:t>
      </w:r>
      <w:r w:rsidRPr="007F7199">
        <w:rPr>
          <w:rFonts w:ascii="Simplified Arabic" w:eastAsia="Times New Roman" w:hAnsi="Simplified Arabic" w:cs="Simplified Arabic" w:hint="cs"/>
          <w:b/>
          <w:sz w:val="24"/>
          <w:szCs w:val="24"/>
          <w:rtl/>
          <w:lang w:val="en-US" w:eastAsia="fr-FR"/>
        </w:rPr>
        <w:t>بعد</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تحديد</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المرونة</w:t>
      </w:r>
      <w:r>
        <w:rPr>
          <w:rFonts w:ascii="Simplified Arabic" w:eastAsia="Times New Roman" w:hAnsi="Simplified Arabic" w:cs="Simplified Arabic" w:hint="cs"/>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من</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أجل</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زيادة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مرونة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المناطق</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ذات</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المرونة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المنخفضة</w:t>
      </w:r>
      <w:r w:rsidRPr="007F719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واشار الى ان </w:t>
      </w:r>
      <w:r w:rsidRPr="007F7199">
        <w:rPr>
          <w:rFonts w:ascii="Simplified Arabic" w:eastAsia="Times New Roman" w:hAnsi="Simplified Arabic" w:cs="Simplified Arabic" w:hint="cs"/>
          <w:b/>
          <w:sz w:val="24"/>
          <w:szCs w:val="24"/>
          <w:rtl/>
          <w:lang w:val="en-US" w:eastAsia="fr-FR"/>
        </w:rPr>
        <w:t>زيادة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الاهتمام</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بالاستدامة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الحضرية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تؤثر</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على</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سياسة</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وأداء</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التجديد</w:t>
      </w:r>
      <w:r w:rsidRPr="007F7199">
        <w:rPr>
          <w:rFonts w:ascii="Simplified Arabic" w:eastAsia="Times New Roman" w:hAnsi="Simplified Arabic" w:cs="Simplified Arabic"/>
          <w:b/>
          <w:sz w:val="24"/>
          <w:szCs w:val="24"/>
          <w:rtl/>
          <w:lang w:val="en-US" w:eastAsia="fr-FR"/>
        </w:rPr>
        <w:t xml:space="preserve"> </w:t>
      </w:r>
      <w:r w:rsidRPr="007F7199">
        <w:rPr>
          <w:rFonts w:ascii="Simplified Arabic" w:eastAsia="Times New Roman" w:hAnsi="Simplified Arabic" w:cs="Simplified Arabic" w:hint="cs"/>
          <w:b/>
          <w:sz w:val="24"/>
          <w:szCs w:val="24"/>
          <w:rtl/>
          <w:lang w:val="en-US" w:eastAsia="fr-FR"/>
        </w:rPr>
        <w:t>الحضري</w:t>
      </w:r>
      <w:r>
        <w:rPr>
          <w:rFonts w:ascii="Simplified Arabic" w:eastAsia="Times New Roman" w:hAnsi="Simplified Arabic" w:cs="Simplified Arabic" w:hint="cs"/>
          <w:b/>
          <w:sz w:val="24"/>
          <w:szCs w:val="24"/>
          <w:rtl/>
          <w:lang w:val="en-US" w:eastAsia="fr-FR"/>
        </w:rPr>
        <w:t xml:space="preserve">. </w:t>
      </w:r>
    </w:p>
    <w:p w:rsidR="003E0F31" w:rsidRDefault="003E0F31" w:rsidP="003E0F31">
      <w:pPr>
        <w:bidi/>
        <w:spacing w:after="0"/>
        <w:ind w:firstLine="282"/>
        <w:jc w:val="both"/>
        <w:rPr>
          <w:rFonts w:ascii="Simplified Arabic" w:eastAsia="Times New Roman" w:hAnsi="Simplified Arabic" w:cs="Simplified Arabic"/>
          <w:b/>
          <w:sz w:val="24"/>
          <w:szCs w:val="24"/>
          <w:rtl/>
          <w:lang w:val="en-US" w:eastAsia="fr-FR"/>
        </w:rPr>
      </w:pPr>
      <w:r w:rsidRPr="00E074FF">
        <w:rPr>
          <w:rFonts w:ascii="Simplified Arabic" w:eastAsia="Times New Roman" w:hAnsi="Simplified Arabic" w:cs="Simplified Arabic" w:hint="cs"/>
          <w:b/>
          <w:sz w:val="24"/>
          <w:szCs w:val="24"/>
          <w:rtl/>
          <w:lang w:val="en-US" w:eastAsia="fr-FR"/>
        </w:rPr>
        <w:t>كان</w:t>
      </w:r>
      <w:r w:rsidRPr="00E074FF">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الهدف</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من</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هذه</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الدراسة</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هو</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تحديد</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مرونة</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الأحياء</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وتقييم</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المعايير</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الفعالة</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لزيادة</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المرونة</w:t>
      </w:r>
      <w:r w:rsidRPr="00E074FF">
        <w:rPr>
          <w:rFonts w:ascii="Simplified Arabic" w:eastAsia="Times New Roman" w:hAnsi="Simplified Arabic" w:cs="Simplified Arabic"/>
          <w:b/>
          <w:sz w:val="24"/>
          <w:szCs w:val="24"/>
          <w:rtl/>
          <w:lang w:val="en-US" w:eastAsia="fr-FR"/>
        </w:rPr>
        <w:t xml:space="preserve"> </w:t>
      </w:r>
      <w:r w:rsidRPr="00E074FF">
        <w:rPr>
          <w:rFonts w:ascii="Simplified Arabic" w:eastAsia="Times New Roman" w:hAnsi="Simplified Arabic" w:cs="Simplified Arabic" w:hint="cs"/>
          <w:b/>
          <w:sz w:val="24"/>
          <w:szCs w:val="24"/>
          <w:rtl/>
          <w:lang w:val="en-US" w:eastAsia="fr-FR"/>
        </w:rPr>
        <w:t xml:space="preserve">وفق مراحل. </w:t>
      </w:r>
      <w:r w:rsidRPr="00E074FF">
        <w:rPr>
          <w:rFonts w:ascii="Simplified Arabic" w:eastAsia="Times New Roman" w:hAnsi="Simplified Arabic" w:cs="Simplified Arabic"/>
          <w:b/>
          <w:sz w:val="24"/>
          <w:szCs w:val="24"/>
          <w:rtl/>
          <w:lang w:val="en-US" w:eastAsia="fr-FR"/>
        </w:rPr>
        <w:t>تضمنت مرحلة البحث الوثائقي والمكتبي لفهم المعايير الفعالة، وفهم الأساليب، و</w:t>
      </w:r>
      <w:r w:rsidRPr="00E074FF">
        <w:rPr>
          <w:rFonts w:ascii="Simplified Arabic" w:eastAsia="Times New Roman" w:hAnsi="Simplified Arabic" w:cs="Simplified Arabic" w:hint="cs"/>
          <w:b/>
          <w:sz w:val="24"/>
          <w:szCs w:val="24"/>
          <w:rtl/>
          <w:lang w:val="en-US" w:eastAsia="fr-FR"/>
        </w:rPr>
        <w:t xml:space="preserve">مرحلة </w:t>
      </w:r>
      <w:r w:rsidRPr="00E074FF">
        <w:rPr>
          <w:rFonts w:ascii="Simplified Arabic" w:eastAsia="Times New Roman" w:hAnsi="Simplified Arabic" w:cs="Simplified Arabic"/>
          <w:b/>
          <w:sz w:val="24"/>
          <w:szCs w:val="24"/>
          <w:rtl/>
          <w:lang w:val="en-US" w:eastAsia="fr-FR"/>
        </w:rPr>
        <w:t>التواصل مع الخبراء، و و</w:t>
      </w:r>
      <w:r w:rsidRPr="00E074FF">
        <w:rPr>
          <w:rFonts w:ascii="Simplified Arabic" w:eastAsia="Times New Roman" w:hAnsi="Simplified Arabic" w:cs="Simplified Arabic" w:hint="cs"/>
          <w:b/>
          <w:sz w:val="24"/>
          <w:szCs w:val="24"/>
          <w:rtl/>
          <w:lang w:val="en-US" w:eastAsia="fr-FR"/>
        </w:rPr>
        <w:t xml:space="preserve">مرحلة </w:t>
      </w:r>
      <w:r w:rsidRPr="00E074FF">
        <w:rPr>
          <w:rFonts w:ascii="Simplified Arabic" w:eastAsia="Times New Roman" w:hAnsi="Simplified Arabic" w:cs="Simplified Arabic"/>
          <w:b/>
          <w:sz w:val="24"/>
          <w:szCs w:val="24"/>
          <w:rtl/>
          <w:lang w:val="en-US" w:eastAsia="fr-FR"/>
        </w:rPr>
        <w:t xml:space="preserve">الدراسات الميدانية </w:t>
      </w:r>
      <w:r w:rsidRPr="00E074FF">
        <w:rPr>
          <w:rFonts w:ascii="Simplified Arabic" w:eastAsia="Times New Roman" w:hAnsi="Simplified Arabic" w:cs="Simplified Arabic" w:hint="cs"/>
          <w:b/>
          <w:sz w:val="24"/>
          <w:szCs w:val="24"/>
          <w:rtl/>
          <w:lang w:val="en-US" w:eastAsia="fr-FR"/>
        </w:rPr>
        <w:t>ل</w:t>
      </w:r>
      <w:r w:rsidRPr="00E074FF">
        <w:rPr>
          <w:rFonts w:ascii="Simplified Arabic" w:eastAsia="Times New Roman" w:hAnsi="Simplified Arabic" w:cs="Simplified Arabic"/>
          <w:b/>
          <w:sz w:val="24"/>
          <w:szCs w:val="24"/>
          <w:rtl/>
          <w:lang w:val="en-US" w:eastAsia="fr-FR"/>
        </w:rPr>
        <w:t xml:space="preserve">إعداد طبقات من المعلومات المكانية والعمليات المكانية. </w:t>
      </w:r>
      <w:r w:rsidRPr="006A6624">
        <w:rPr>
          <w:rFonts w:ascii="Simplified Arabic" w:eastAsia="Times New Roman" w:hAnsi="Simplified Arabic" w:cs="Simplified Arabic" w:hint="cs"/>
          <w:b/>
          <w:sz w:val="24"/>
          <w:szCs w:val="24"/>
          <w:rtl/>
          <w:lang w:val="en-US" w:eastAsia="fr-FR"/>
        </w:rPr>
        <w:t xml:space="preserve">تمثلت عينة البحث في مدينة </w:t>
      </w:r>
      <w:r w:rsidRPr="00622930">
        <w:rPr>
          <w:rFonts w:asciiTheme="majorBidi" w:eastAsia="Times New Roman" w:hAnsiTheme="majorBidi" w:cstheme="majorBidi"/>
          <w:b/>
          <w:sz w:val="24"/>
          <w:szCs w:val="24"/>
          <w:rtl/>
          <w:lang w:val="en-US" w:eastAsia="fr-FR"/>
        </w:rPr>
        <w:t>(</w:t>
      </w:r>
      <w:r w:rsidRPr="00825645">
        <w:rPr>
          <w:rFonts w:asciiTheme="majorBidi" w:hAnsiTheme="majorBidi" w:cstheme="majorBidi"/>
          <w:color w:val="000000"/>
          <w:sz w:val="24"/>
          <w:szCs w:val="24"/>
          <w:lang w:val="en-US"/>
        </w:rPr>
        <w:t>Tehran</w:t>
      </w:r>
      <w:r w:rsidRPr="00622930">
        <w:rPr>
          <w:rFonts w:asciiTheme="majorBidi" w:eastAsia="Times New Roman" w:hAnsiTheme="majorBidi" w:cstheme="majorBidi"/>
          <w:b/>
          <w:sz w:val="24"/>
          <w:szCs w:val="24"/>
          <w:rtl/>
          <w:lang w:val="en-US" w:eastAsia="fr-FR"/>
        </w:rPr>
        <w:t>)</w:t>
      </w:r>
      <w:r w:rsidRPr="006A6624">
        <w:rPr>
          <w:rFonts w:ascii="Simplified Arabic" w:eastAsia="Times New Roman" w:hAnsi="Simplified Arabic" w:cs="Simplified Arabic" w:hint="cs"/>
          <w:b/>
          <w:sz w:val="24"/>
          <w:szCs w:val="24"/>
          <w:rtl/>
          <w:lang w:val="en-US" w:eastAsia="fr-FR"/>
        </w:rPr>
        <w:t xml:space="preserve"> الايرانية.</w:t>
      </w:r>
      <w:r>
        <w:rPr>
          <w:rFonts w:ascii="Simplified Arabic" w:eastAsia="Times New Roman" w:hAnsi="Simplified Arabic" w:cs="Simplified Arabic" w:hint="cs"/>
          <w:b/>
          <w:sz w:val="24"/>
          <w:szCs w:val="24"/>
          <w:rtl/>
          <w:lang w:val="en-US" w:eastAsia="fr-FR"/>
        </w:rPr>
        <w:t xml:space="preserve"> </w:t>
      </w:r>
    </w:p>
    <w:p w:rsidR="00131A88" w:rsidRDefault="003E0F31" w:rsidP="00D87672">
      <w:pPr>
        <w:bidi/>
        <w:spacing w:after="0"/>
        <w:ind w:firstLine="282"/>
        <w:jc w:val="both"/>
        <w:rPr>
          <w:rFonts w:ascii="Simplified Arabic" w:hAnsi="Simplified Arabic" w:cs="Simplified Arabic"/>
          <w:sz w:val="24"/>
          <w:szCs w:val="24"/>
          <w:lang w:val="en-US"/>
        </w:rPr>
      </w:pPr>
      <w:r w:rsidRPr="00C841E9">
        <w:rPr>
          <w:rFonts w:ascii="Simplified Arabic" w:eastAsia="Times New Roman" w:hAnsi="Simplified Arabic" w:cs="Simplified Arabic"/>
          <w:b/>
          <w:sz w:val="24"/>
          <w:szCs w:val="24"/>
          <w:rtl/>
          <w:lang w:val="en-US" w:eastAsia="fr-FR"/>
        </w:rPr>
        <w:t xml:space="preserve">الطريقة </w:t>
      </w:r>
      <w:r>
        <w:rPr>
          <w:rFonts w:ascii="Simplified Arabic" w:eastAsia="Times New Roman" w:hAnsi="Simplified Arabic" w:cs="Simplified Arabic" w:hint="cs"/>
          <w:b/>
          <w:sz w:val="24"/>
          <w:szCs w:val="24"/>
          <w:rtl/>
          <w:lang w:val="en-US" w:eastAsia="fr-FR"/>
        </w:rPr>
        <w:t>المتبعة</w:t>
      </w:r>
      <w:r w:rsidRPr="00C841E9">
        <w:rPr>
          <w:rFonts w:ascii="Simplified Arabic" w:eastAsia="Times New Roman" w:hAnsi="Simplified Arabic" w:cs="Simplified Arabic"/>
          <w:b/>
          <w:sz w:val="24"/>
          <w:szCs w:val="24"/>
          <w:rtl/>
          <w:lang w:val="en-US" w:eastAsia="fr-FR"/>
        </w:rPr>
        <w:t xml:space="preserve"> في </w:t>
      </w:r>
      <w:r>
        <w:rPr>
          <w:rFonts w:ascii="Simplified Arabic" w:eastAsia="Times New Roman" w:hAnsi="Simplified Arabic" w:cs="Simplified Arabic" w:hint="cs"/>
          <w:b/>
          <w:sz w:val="24"/>
          <w:szCs w:val="24"/>
          <w:rtl/>
          <w:lang w:val="en-US" w:eastAsia="fr-FR"/>
        </w:rPr>
        <w:t>التقييم،</w:t>
      </w:r>
      <w:r w:rsidRPr="006A12F2">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كما في </w:t>
      </w:r>
      <w:r w:rsidRPr="00E23538">
        <w:rPr>
          <w:rFonts w:ascii="Simplified Arabic" w:eastAsia="Times New Roman" w:hAnsi="Simplified Arabic" w:cs="Simplified Arabic" w:hint="cs"/>
          <w:b/>
          <w:sz w:val="24"/>
          <w:szCs w:val="24"/>
          <w:rtl/>
          <w:lang w:val="en-US" w:eastAsia="fr-FR"/>
        </w:rPr>
        <w:t>الشكل</w:t>
      </w:r>
      <w:r w:rsidRPr="00E23538">
        <w:rPr>
          <w:rFonts w:ascii="Simplified Arabic" w:eastAsia="Times New Roman" w:hAnsi="Simplified Arabic" w:cs="Simplified Arabic"/>
          <w:b/>
          <w:sz w:val="24"/>
          <w:szCs w:val="24"/>
          <w:rtl/>
          <w:lang w:val="en-US" w:eastAsia="fr-FR"/>
        </w:rPr>
        <w:t xml:space="preserve"> </w:t>
      </w:r>
      <w:r w:rsidRPr="00E23538">
        <w:rPr>
          <w:rFonts w:ascii="Simplified Arabic" w:eastAsia="Times New Roman" w:hAnsi="Simplified Arabic" w:cs="Simplified Arabic" w:hint="cs"/>
          <w:b/>
          <w:sz w:val="24"/>
          <w:szCs w:val="24"/>
          <w:rtl/>
          <w:lang w:val="en-US" w:eastAsia="fr-FR"/>
        </w:rPr>
        <w:t>(</w:t>
      </w:r>
      <w:r w:rsidR="00D87672">
        <w:rPr>
          <w:rFonts w:ascii="Simplified Arabic" w:eastAsia="Times New Roman" w:hAnsi="Simplified Arabic" w:cs="Simplified Arabic" w:hint="cs"/>
          <w:b/>
          <w:sz w:val="24"/>
          <w:szCs w:val="24"/>
          <w:rtl/>
          <w:lang w:val="en-US" w:eastAsia="fr-FR"/>
        </w:rPr>
        <w:t>2-10</w:t>
      </w:r>
      <w:r w:rsidRPr="00E23538">
        <w:rPr>
          <w:rFonts w:ascii="Simplified Arabic" w:eastAsia="Times New Roman" w:hAnsi="Simplified Arabic" w:cs="Simplified Arabic" w:hint="cs"/>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C841E9">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b/>
          <w:sz w:val="24"/>
          <w:szCs w:val="24"/>
          <w:rtl/>
          <w:lang w:val="en-US" w:eastAsia="fr-FR"/>
        </w:rPr>
        <w:t xml:space="preserve">في البداية، </w:t>
      </w:r>
      <w:r w:rsidRPr="006A6624">
        <w:rPr>
          <w:rFonts w:ascii="Simplified Arabic" w:eastAsia="Times New Roman" w:hAnsi="Simplified Arabic" w:cs="Simplified Arabic" w:hint="cs"/>
          <w:b/>
          <w:sz w:val="24"/>
          <w:szCs w:val="24"/>
          <w:rtl/>
          <w:lang w:val="en-US" w:eastAsia="fr-FR"/>
        </w:rPr>
        <w:t>تم</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تحديد</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المعايير</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الأولية</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من</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خلال</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مراجعة</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بحث</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مماثل</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وإجراء</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مقابلات</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مع</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مجموعة من الخبراء باستخدام</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تقنية</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دلفي</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في</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تحديد</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المعايير</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الأكثر</w:t>
      </w:r>
      <w:r w:rsidRPr="006A6624">
        <w:rPr>
          <w:rFonts w:ascii="Simplified Arabic" w:eastAsia="Times New Roman" w:hAnsi="Simplified Arabic" w:cs="Simplified Arabic"/>
          <w:b/>
          <w:sz w:val="24"/>
          <w:szCs w:val="24"/>
          <w:rtl/>
          <w:lang w:val="en-US" w:eastAsia="fr-FR"/>
        </w:rPr>
        <w:t xml:space="preserve"> </w:t>
      </w:r>
      <w:r w:rsidRPr="006A6624">
        <w:rPr>
          <w:rFonts w:ascii="Simplified Arabic" w:eastAsia="Times New Roman" w:hAnsi="Simplified Arabic" w:cs="Simplified Arabic" w:hint="cs"/>
          <w:b/>
          <w:sz w:val="24"/>
          <w:szCs w:val="24"/>
          <w:rtl/>
          <w:lang w:val="en-US" w:eastAsia="fr-FR"/>
        </w:rPr>
        <w:t>فاعلية</w:t>
      </w:r>
      <w:r w:rsidRPr="006A6624">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w:t>
      </w:r>
      <w:r w:rsidRPr="006A6624">
        <w:rPr>
          <w:rFonts w:ascii="Simplified Arabic" w:eastAsia="Times New Roman" w:hAnsi="Simplified Arabic" w:cs="Simplified Arabic" w:hint="cs"/>
          <w:b/>
          <w:sz w:val="24"/>
          <w:szCs w:val="24"/>
          <w:rtl/>
          <w:lang w:val="en-US" w:eastAsia="fr-FR"/>
        </w:rPr>
        <w:t>فحصها.</w:t>
      </w:r>
      <w:r w:rsidRPr="006A6624">
        <w:rPr>
          <w:rFonts w:ascii="Simplified Arabic" w:eastAsia="Times New Roman" w:hAnsi="Simplified Arabic" w:cs="Simplified Arabic"/>
          <w:b/>
          <w:sz w:val="24"/>
          <w:szCs w:val="24"/>
          <w:rtl/>
          <w:lang w:val="en-US" w:eastAsia="fr-FR"/>
        </w:rPr>
        <w:t xml:space="preserve"> تم النظر في 18 معيارًا. بعد</w:t>
      </w:r>
      <w:r w:rsidRPr="00E074FF">
        <w:rPr>
          <w:rFonts w:ascii="Simplified Arabic" w:hAnsi="Simplified Arabic" w:cs="Simplified Arabic"/>
          <w:sz w:val="24"/>
          <w:szCs w:val="24"/>
          <w:rtl/>
          <w:lang w:val="en-US"/>
        </w:rPr>
        <w:t xml:space="preserve"> ذلك، باستخدام تقنية دلفي تم اختيار 14 معيارًا للتحليل النهائي</w:t>
      </w:r>
      <w:r w:rsidRPr="00E074FF">
        <w:rPr>
          <w:rFonts w:ascii="Simplified Arabic" w:hAnsi="Simplified Arabic" w:cs="Simplified Arabic" w:hint="cs"/>
          <w:sz w:val="24"/>
          <w:szCs w:val="24"/>
          <w:rtl/>
          <w:lang w:val="en-US"/>
        </w:rPr>
        <w:t xml:space="preserve"> وكان ترتيبها حسب الاهمية (</w:t>
      </w:r>
      <w:r w:rsidRPr="00E074FF">
        <w:rPr>
          <w:rFonts w:ascii="Simplified Arabic" w:hAnsi="Simplified Arabic" w:cs="Simplified Arabic"/>
          <w:sz w:val="24"/>
          <w:szCs w:val="24"/>
          <w:rtl/>
          <w:lang w:val="en-US"/>
        </w:rPr>
        <w:t xml:space="preserve">عمر البناء </w:t>
      </w:r>
      <w:r w:rsidRPr="00E074FF">
        <w:rPr>
          <w:rFonts w:ascii="Simplified Arabic" w:hAnsi="Simplified Arabic" w:cs="Simplified Arabic" w:hint="cs"/>
          <w:sz w:val="24"/>
          <w:szCs w:val="24"/>
          <w:rtl/>
          <w:lang w:val="en-US"/>
        </w:rPr>
        <w:t>يليه</w:t>
      </w:r>
      <w:r w:rsidRPr="00E074FF">
        <w:rPr>
          <w:rFonts w:ascii="Simplified Arabic" w:hAnsi="Simplified Arabic" w:cs="Simplified Arabic"/>
          <w:sz w:val="24"/>
          <w:szCs w:val="24"/>
          <w:rtl/>
          <w:lang w:val="en-US"/>
        </w:rPr>
        <w:t xml:space="preserve"> مواد البناء</w:t>
      </w:r>
      <w:r w:rsidRPr="00E074FF">
        <w:rPr>
          <w:rFonts w:ascii="Simplified Arabic" w:hAnsi="Simplified Arabic" w:cs="Simplified Arabic" w:hint="cs"/>
          <w:sz w:val="24"/>
          <w:szCs w:val="24"/>
          <w:rtl/>
          <w:lang w:val="en-US"/>
        </w:rPr>
        <w:t xml:space="preserve"> يليها </w:t>
      </w:r>
      <w:r w:rsidRPr="00E074FF">
        <w:rPr>
          <w:rFonts w:ascii="Simplified Arabic" w:hAnsi="Simplified Arabic" w:cs="Simplified Arabic"/>
          <w:sz w:val="24"/>
          <w:szCs w:val="24"/>
          <w:rtl/>
          <w:lang w:val="en-US"/>
        </w:rPr>
        <w:t>بناء الجملة</w:t>
      </w:r>
      <w:r w:rsidRPr="00E074FF">
        <w:rPr>
          <w:rFonts w:ascii="Simplified Arabic" w:hAnsi="Simplified Arabic" w:cs="Simplified Arabic" w:hint="cs"/>
          <w:sz w:val="24"/>
          <w:szCs w:val="24"/>
          <w:rtl/>
          <w:lang w:val="en-US"/>
        </w:rPr>
        <w:t>،</w:t>
      </w:r>
      <w:r w:rsidRPr="00E074FF">
        <w:rPr>
          <w:rFonts w:ascii="Simplified Arabic" w:hAnsi="Simplified Arabic" w:cs="Simplified Arabic"/>
          <w:sz w:val="24"/>
          <w:szCs w:val="24"/>
          <w:rtl/>
          <w:lang w:val="en-US"/>
        </w:rPr>
        <w:t xml:space="preserve"> المساحة الخضراء للفرد</w:t>
      </w:r>
      <w:r w:rsidRPr="00E074FF">
        <w:rPr>
          <w:rFonts w:ascii="Simplified Arabic" w:hAnsi="Simplified Arabic" w:cs="Simplified Arabic" w:hint="cs"/>
          <w:sz w:val="24"/>
          <w:szCs w:val="24"/>
          <w:rtl/>
          <w:lang w:val="en-US"/>
        </w:rPr>
        <w:t xml:space="preserve">، </w:t>
      </w:r>
      <w:r w:rsidRPr="00E074FF">
        <w:rPr>
          <w:rFonts w:ascii="Simplified Arabic" w:hAnsi="Simplified Arabic" w:cs="Simplified Arabic"/>
          <w:sz w:val="24"/>
          <w:szCs w:val="24"/>
          <w:rtl/>
          <w:lang w:val="en-US"/>
        </w:rPr>
        <w:t>المسافة</w:t>
      </w:r>
      <w:r w:rsidRPr="00E074FF">
        <w:rPr>
          <w:rFonts w:ascii="Simplified Arabic" w:hAnsi="Simplified Arabic" w:cs="Simplified Arabic" w:hint="cs"/>
          <w:sz w:val="24"/>
          <w:szCs w:val="24"/>
          <w:rtl/>
          <w:lang w:val="en-US"/>
        </w:rPr>
        <w:t xml:space="preserve"> الى</w:t>
      </w:r>
      <w:r w:rsidRPr="00E074FF">
        <w:rPr>
          <w:rFonts w:ascii="Simplified Arabic" w:hAnsi="Simplified Arabic" w:cs="Simplified Arabic"/>
          <w:sz w:val="24"/>
          <w:szCs w:val="24"/>
          <w:rtl/>
          <w:lang w:val="en-US"/>
        </w:rPr>
        <w:t xml:space="preserve"> محطة المطافئ</w:t>
      </w:r>
      <w:r w:rsidRPr="00E074FF">
        <w:rPr>
          <w:rFonts w:ascii="Simplified Arabic" w:hAnsi="Simplified Arabic" w:cs="Simplified Arabic" w:hint="cs"/>
          <w:sz w:val="24"/>
          <w:szCs w:val="24"/>
          <w:rtl/>
          <w:lang w:val="en-US"/>
        </w:rPr>
        <w:t xml:space="preserve">، </w:t>
      </w:r>
      <w:r w:rsidRPr="00E074FF">
        <w:rPr>
          <w:rFonts w:ascii="Simplified Arabic" w:hAnsi="Simplified Arabic" w:cs="Simplified Arabic"/>
          <w:sz w:val="24"/>
          <w:szCs w:val="24"/>
          <w:rtl/>
          <w:lang w:val="en-US"/>
        </w:rPr>
        <w:t xml:space="preserve">الكثافة </w:t>
      </w:r>
      <w:r w:rsidRPr="00E074FF">
        <w:rPr>
          <w:rFonts w:ascii="Simplified Arabic" w:hAnsi="Simplified Arabic" w:cs="Simplified Arabic" w:hint="cs"/>
          <w:sz w:val="24"/>
          <w:szCs w:val="24"/>
          <w:rtl/>
          <w:lang w:val="en-US"/>
        </w:rPr>
        <w:t>السكن</w:t>
      </w:r>
      <w:r>
        <w:rPr>
          <w:rFonts w:ascii="Simplified Arabic" w:hAnsi="Simplified Arabic" w:cs="Simplified Arabic" w:hint="cs"/>
          <w:sz w:val="24"/>
          <w:szCs w:val="24"/>
          <w:rtl/>
          <w:lang w:val="en-US"/>
        </w:rPr>
        <w:t>ي</w:t>
      </w:r>
      <w:r w:rsidRPr="00E074FF">
        <w:rPr>
          <w:rFonts w:ascii="Simplified Arabic" w:hAnsi="Simplified Arabic" w:cs="Simplified Arabic" w:hint="cs"/>
          <w:sz w:val="24"/>
          <w:szCs w:val="24"/>
          <w:rtl/>
          <w:lang w:val="en-US"/>
        </w:rPr>
        <w:t>ة،</w:t>
      </w:r>
      <w:r w:rsidRPr="00E074FF">
        <w:rPr>
          <w:rFonts w:ascii="Simplified Arabic" w:hAnsi="Simplified Arabic" w:cs="Simplified Arabic"/>
          <w:sz w:val="24"/>
          <w:szCs w:val="24"/>
          <w:rtl/>
          <w:lang w:val="en-US"/>
        </w:rPr>
        <w:t xml:space="preserve"> كثافة الأماكن التعليمية</w:t>
      </w:r>
      <w:r w:rsidRPr="00E074FF">
        <w:rPr>
          <w:rFonts w:ascii="Simplified Arabic" w:hAnsi="Simplified Arabic" w:cs="Simplified Arabic" w:hint="cs"/>
          <w:sz w:val="24"/>
          <w:szCs w:val="24"/>
          <w:rtl/>
          <w:lang w:val="en-US"/>
        </w:rPr>
        <w:t xml:space="preserve"> ...الخ).</w:t>
      </w:r>
      <w:r w:rsidRPr="00E074FF">
        <w:rPr>
          <w:rFonts w:ascii="Simplified Arabic" w:hAnsi="Simplified Arabic" w:cs="Simplified Arabic"/>
          <w:sz w:val="24"/>
          <w:szCs w:val="24"/>
          <w:rtl/>
          <w:lang w:val="en-US"/>
        </w:rPr>
        <w:t xml:space="preserve"> </w:t>
      </w:r>
    </w:p>
    <w:p w:rsidR="003E0F31" w:rsidRDefault="003E0F31" w:rsidP="00131A88">
      <w:pPr>
        <w:bidi/>
        <w:spacing w:after="0"/>
        <w:ind w:firstLine="282"/>
        <w:jc w:val="both"/>
        <w:rPr>
          <w:rFonts w:ascii="Simplified Arabic" w:hAnsi="Simplified Arabic" w:cs="Simplified Arabic"/>
          <w:sz w:val="24"/>
          <w:szCs w:val="24"/>
          <w:rtl/>
          <w:lang w:val="en-US"/>
        </w:rPr>
      </w:pPr>
      <w:r w:rsidRPr="00E074FF">
        <w:rPr>
          <w:rFonts w:ascii="Simplified Arabic" w:hAnsi="Simplified Arabic" w:cs="Simplified Arabic"/>
          <w:sz w:val="24"/>
          <w:szCs w:val="24"/>
          <w:rtl/>
          <w:lang w:val="en-US"/>
        </w:rPr>
        <w:t>تم تحديد أهمية كل معيار باستخدام أسلوب صنع القرار متعدد المعايير</w:t>
      </w:r>
      <w:r>
        <w:rPr>
          <w:rStyle w:val="y2iqfc"/>
          <w:color w:val="000000"/>
          <w:sz w:val="24"/>
          <w:szCs w:val="24"/>
          <w:rtl/>
          <w:lang w:val="en-US"/>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AHP</w:t>
      </w:r>
      <w:r w:rsidRPr="004407A6">
        <w:rPr>
          <w:rFonts w:asciiTheme="majorBidi" w:hAnsiTheme="majorBidi" w:cstheme="majorBidi"/>
          <w:color w:val="000000" w:themeColor="text1"/>
          <w:sz w:val="24"/>
          <w:szCs w:val="24"/>
          <w:rtl/>
          <w:lang w:val="en-US" w:bidi="ar-DZ"/>
        </w:rPr>
        <w:t>)</w:t>
      </w:r>
      <w:r>
        <w:rPr>
          <w:rStyle w:val="y2iqfc"/>
          <w:color w:val="000000"/>
          <w:sz w:val="24"/>
          <w:szCs w:val="24"/>
          <w:rtl/>
          <w:lang w:val="en-US"/>
        </w:rPr>
        <w:t xml:space="preserve">. </w:t>
      </w:r>
      <w:r w:rsidRPr="00F30A8C">
        <w:rPr>
          <w:rFonts w:ascii="Simplified Arabic" w:eastAsia="Times New Roman" w:hAnsi="Simplified Arabic" w:cs="Simplified Arabic"/>
          <w:b/>
          <w:sz w:val="24"/>
          <w:szCs w:val="24"/>
          <w:rtl/>
          <w:lang w:val="en-US" w:eastAsia="fr-FR"/>
        </w:rPr>
        <w:t xml:space="preserve">تم إعداد خريطة المعلمات </w:t>
      </w:r>
      <w:r>
        <w:rPr>
          <w:rFonts w:ascii="Simplified Arabic" w:eastAsia="Times New Roman" w:hAnsi="Simplified Arabic" w:cs="Simplified Arabic"/>
          <w:b/>
          <w:sz w:val="24"/>
          <w:szCs w:val="24"/>
          <w:rtl/>
          <w:lang w:val="en-US" w:eastAsia="fr-FR"/>
        </w:rPr>
        <w:t>باستخدام إمكانات نظ</w:t>
      </w:r>
      <w:r w:rsidRPr="00F30A8C">
        <w:rPr>
          <w:rFonts w:ascii="Simplified Arabic" w:eastAsia="Times New Roman" w:hAnsi="Simplified Arabic" w:cs="Simplified Arabic"/>
          <w:b/>
          <w:sz w:val="24"/>
          <w:szCs w:val="24"/>
          <w:rtl/>
          <w:lang w:val="en-US" w:eastAsia="fr-FR"/>
        </w:rPr>
        <w:t>م المعلومات الجغرافية</w:t>
      </w:r>
      <w:r>
        <w:rPr>
          <w:rFonts w:ascii="Simplified Arabic" w:eastAsia="Times New Roman" w:hAnsi="Simplified Arabic" w:cs="Simplified Arabic" w:hint="cs"/>
          <w:b/>
          <w:sz w:val="24"/>
          <w:szCs w:val="24"/>
          <w:rtl/>
          <w:lang w:val="en-US" w:eastAsia="fr-FR"/>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GIS</w:t>
      </w:r>
      <w:r w:rsidRPr="004407A6">
        <w:rPr>
          <w:rFonts w:asciiTheme="majorBidi" w:hAnsiTheme="majorBidi" w:cstheme="majorBidi"/>
          <w:color w:val="000000" w:themeColor="text1"/>
          <w:sz w:val="24"/>
          <w:szCs w:val="24"/>
          <w:rtl/>
          <w:lang w:val="en-US" w:bidi="ar-DZ"/>
        </w:rPr>
        <w:t>)</w:t>
      </w:r>
      <w:r w:rsidRPr="00F30A8C">
        <w:rPr>
          <w:rFonts w:ascii="Simplified Arabic" w:eastAsia="Times New Roman" w:hAnsi="Simplified Arabic" w:cs="Simplified Arabic"/>
          <w:b/>
          <w:sz w:val="24"/>
          <w:szCs w:val="24"/>
          <w:rtl/>
          <w:lang w:val="en-US" w:eastAsia="fr-FR"/>
        </w:rPr>
        <w:t>، ومن خلال دمج الخرائط المعدة مع أوزان</w:t>
      </w:r>
      <w:r>
        <w:rPr>
          <w:rStyle w:val="y2iqfc"/>
          <w:color w:val="000000"/>
          <w:sz w:val="24"/>
          <w:szCs w:val="24"/>
          <w:rtl/>
          <w:lang w:val="en-US"/>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AHP</w:t>
      </w:r>
      <w:r w:rsidRPr="004407A6">
        <w:rPr>
          <w:rFonts w:asciiTheme="majorBidi" w:hAnsiTheme="majorBidi" w:cstheme="majorBidi"/>
          <w:color w:val="000000" w:themeColor="text1"/>
          <w:sz w:val="24"/>
          <w:szCs w:val="24"/>
          <w:rtl/>
          <w:lang w:val="en-US" w:bidi="ar-DZ"/>
        </w:rPr>
        <w:t>)</w:t>
      </w:r>
      <w:r w:rsidRPr="00F30A8C">
        <w:rPr>
          <w:rFonts w:ascii="Simplified Arabic" w:eastAsia="Times New Roman" w:hAnsi="Simplified Arabic" w:cs="Simplified Arabic"/>
          <w:b/>
          <w:rtl/>
          <w:lang w:eastAsia="fr-FR"/>
        </w:rPr>
        <w:t>،</w:t>
      </w:r>
      <w:r>
        <w:rPr>
          <w:rStyle w:val="y2iqfc"/>
          <w:color w:val="000000"/>
          <w:sz w:val="24"/>
          <w:szCs w:val="24"/>
          <w:rtl/>
          <w:lang w:val="en-US"/>
        </w:rPr>
        <w:t xml:space="preserve"> </w:t>
      </w:r>
      <w:r w:rsidRPr="00F30A8C">
        <w:rPr>
          <w:rFonts w:ascii="Simplified Arabic" w:eastAsia="Times New Roman" w:hAnsi="Simplified Arabic" w:cs="Simplified Arabic"/>
          <w:b/>
          <w:sz w:val="24"/>
          <w:szCs w:val="24"/>
          <w:rtl/>
          <w:lang w:val="en-US" w:eastAsia="fr-FR"/>
        </w:rPr>
        <w:t xml:space="preserve">تم </w:t>
      </w:r>
      <w:r w:rsidRPr="00A307A7">
        <w:rPr>
          <w:rFonts w:ascii="Simplified Arabic" w:hAnsi="Simplified Arabic" w:cs="Simplified Arabic"/>
          <w:sz w:val="24"/>
          <w:szCs w:val="24"/>
          <w:rtl/>
          <w:lang w:val="en-US"/>
        </w:rPr>
        <w:t>إنشاء خريطة المرونة.</w:t>
      </w:r>
      <w:r>
        <w:rPr>
          <w:rFonts w:ascii="Simplified Arabic" w:hAnsi="Simplified Arabic" w:cs="Simplified Arabic" w:hint="cs"/>
          <w:sz w:val="24"/>
          <w:szCs w:val="24"/>
          <w:rtl/>
          <w:lang w:val="en-US"/>
        </w:rPr>
        <w:t xml:space="preserve"> </w:t>
      </w:r>
    </w:p>
    <w:p w:rsidR="00131A88" w:rsidRDefault="003E0F31" w:rsidP="003E0F31">
      <w:pPr>
        <w:bidi/>
        <w:spacing w:after="0"/>
        <w:ind w:firstLine="282"/>
        <w:jc w:val="both"/>
        <w:rPr>
          <w:rFonts w:ascii="Simplified Arabic" w:hAnsi="Simplified Arabic" w:cs="Simplified Arabic"/>
          <w:sz w:val="24"/>
          <w:szCs w:val="24"/>
          <w:lang w:val="en-US"/>
        </w:rPr>
      </w:pPr>
      <w:r w:rsidRPr="00A307A7">
        <w:rPr>
          <w:rFonts w:ascii="Simplified Arabic" w:hAnsi="Simplified Arabic" w:cs="Simplified Arabic" w:hint="cs"/>
          <w:sz w:val="24"/>
          <w:szCs w:val="24"/>
          <w:rtl/>
          <w:lang w:val="en-US"/>
        </w:rPr>
        <w:t>وفقًا</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للنتائج</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التي</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تم</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الحصول</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عليها</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في</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خريطة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المرونة،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من</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الواضح</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أن</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عدد</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الأحياء</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غير</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المرنة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وغير</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المستقرة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أعلى</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بكثير</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من</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الأحياء</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المرنة</w:t>
      </w:r>
      <w:r w:rsidR="00FA31CA">
        <w:rPr>
          <w:rFonts w:ascii="Simplified Arabic" w:hAnsi="Simplified Arabic" w:cs="Simplified Arabic" w:hint="cs"/>
          <w:sz w:val="24"/>
          <w:szCs w:val="24"/>
          <w:rtl/>
          <w:lang w:val="en-US"/>
        </w:rPr>
        <w:t>.</w:t>
      </w:r>
      <w:r w:rsidRPr="00A307A7">
        <w:rPr>
          <w:rFonts w:ascii="Simplified Arabic" w:hAnsi="Simplified Arabic" w:cs="Simplified Arabic" w:hint="cs"/>
          <w:sz w:val="24"/>
          <w:szCs w:val="24"/>
          <w:rtl/>
          <w:lang w:val="en-US"/>
        </w:rPr>
        <w:t xml:space="preserve"> </w:t>
      </w:r>
    </w:p>
    <w:p w:rsidR="003E0F31" w:rsidRDefault="003E0F31" w:rsidP="00131A88">
      <w:pPr>
        <w:bidi/>
        <w:spacing w:after="0"/>
        <w:ind w:firstLine="282"/>
        <w:jc w:val="both"/>
        <w:rPr>
          <w:rFonts w:ascii="Simplified Arabic" w:hAnsi="Simplified Arabic" w:cs="Simplified Arabic"/>
          <w:sz w:val="24"/>
          <w:szCs w:val="24"/>
          <w:lang w:val="en-US"/>
        </w:rPr>
      </w:pPr>
      <w:r w:rsidRPr="00A307A7">
        <w:rPr>
          <w:rFonts w:ascii="Simplified Arabic" w:hAnsi="Simplified Arabic" w:cs="Simplified Arabic" w:hint="cs"/>
          <w:sz w:val="24"/>
          <w:szCs w:val="24"/>
          <w:rtl/>
          <w:lang w:val="en-US"/>
        </w:rPr>
        <w:t>أخيرًا،</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يمكن</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أن</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يؤدي</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الجمع</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بين</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نتائج</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طريقة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دلفي</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وتقنية التحليل متعدد المعايير</w:t>
      </w:r>
      <w:r w:rsidRPr="00A307A7">
        <w:rPr>
          <w:rFonts w:ascii="Simplified Arabic" w:hAnsi="Simplified Arabic" w:cs="Simplified Arabic"/>
          <w:sz w:val="24"/>
          <w:szCs w:val="24"/>
          <w:rtl/>
          <w:lang w:val="en-US"/>
        </w:rPr>
        <w:t xml:space="preserve"> </w:t>
      </w:r>
      <w:r w:rsidRPr="004407A6">
        <w:rPr>
          <w:rFonts w:asciiTheme="majorBidi" w:hAnsiTheme="majorBidi" w:cstheme="majorBidi"/>
          <w:color w:val="000000" w:themeColor="text1"/>
          <w:sz w:val="24"/>
          <w:szCs w:val="24"/>
          <w:rtl/>
          <w:lang w:val="en-US" w:bidi="ar-DZ"/>
        </w:rPr>
        <w:t>(</w:t>
      </w:r>
      <w:r w:rsidRPr="004407A6">
        <w:rPr>
          <w:rFonts w:asciiTheme="majorBidi" w:hAnsiTheme="majorBidi" w:cstheme="majorBidi"/>
          <w:color w:val="000000" w:themeColor="text1"/>
          <w:sz w:val="24"/>
          <w:szCs w:val="24"/>
          <w:lang w:val="en-US" w:bidi="ar-DZ"/>
        </w:rPr>
        <w:t>AHP</w:t>
      </w:r>
      <w:r w:rsidRPr="004407A6">
        <w:rPr>
          <w:rFonts w:asciiTheme="majorBidi" w:hAnsiTheme="majorBidi" w:cstheme="majorBidi"/>
          <w:color w:val="000000" w:themeColor="text1"/>
          <w:sz w:val="24"/>
          <w:szCs w:val="24"/>
          <w:rtl/>
          <w:lang w:val="en-US" w:bidi="ar-DZ"/>
        </w:rPr>
        <w:t>)</w:t>
      </w:r>
      <w:r>
        <w:rPr>
          <w:rFonts w:asciiTheme="majorBidi" w:hAnsiTheme="majorBidi" w:cstheme="majorBidi" w:hint="cs"/>
          <w:color w:val="000000" w:themeColor="text1"/>
          <w:sz w:val="24"/>
          <w:szCs w:val="24"/>
          <w:rtl/>
          <w:lang w:val="en-US" w:bidi="ar-DZ"/>
        </w:rPr>
        <w:t xml:space="preserve"> </w:t>
      </w:r>
      <w:r w:rsidRPr="00A307A7">
        <w:rPr>
          <w:rFonts w:ascii="Simplified Arabic" w:hAnsi="Simplified Arabic" w:cs="Simplified Arabic" w:hint="cs"/>
          <w:sz w:val="24"/>
          <w:szCs w:val="24"/>
          <w:rtl/>
          <w:lang w:val="en-US"/>
        </w:rPr>
        <w:t>تحليل</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الإحصاء</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المكاني</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لطبقات</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المعلومات</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المكانية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باستخدام</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قدرة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نظم</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المعلومات</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الجغرافية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إلى</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ترتيب</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كامل</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لمرونة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المناطق</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الحضرية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والأحياء</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lastRenderedPageBreak/>
        <w:t>لتحديد</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أولوية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التجديد</w:t>
      </w:r>
      <w:r w:rsidRPr="00A307A7">
        <w:rPr>
          <w:rFonts w:ascii="Simplified Arabic" w:hAnsi="Simplified Arabic" w:cs="Simplified Arabic"/>
          <w:sz w:val="24"/>
          <w:szCs w:val="24"/>
          <w:rtl/>
          <w:lang w:val="en-US"/>
        </w:rPr>
        <w:t>.</w:t>
      </w:r>
      <w:r w:rsidRPr="00A307A7">
        <w:rPr>
          <w:rFonts w:ascii="Simplified Arabic" w:hAnsi="Simplified Arabic" w:cs="Simplified Arabic" w:hint="cs"/>
          <w:sz w:val="24"/>
          <w:szCs w:val="24"/>
          <w:rtl/>
          <w:lang w:val="en-US"/>
        </w:rPr>
        <w:t xml:space="preserve"> اشار</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هذا</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البحث إلى</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أن</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تجديد</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الأحياء</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غير</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المرنة، كأولوية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يجب</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تجديد</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المناطق</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الحضرية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التاريخية</w:t>
      </w:r>
      <w:r w:rsidRPr="00A307A7">
        <w:rPr>
          <w:rFonts w:ascii="Simplified Arabic" w:hAnsi="Simplified Arabic" w:cs="Simplified Arabic"/>
          <w:sz w:val="24"/>
          <w:szCs w:val="24"/>
          <w:rtl/>
          <w:lang w:val="en-US"/>
        </w:rPr>
        <w:t xml:space="preserve"> </w:t>
      </w:r>
      <w:r w:rsidRPr="00A307A7">
        <w:rPr>
          <w:rFonts w:ascii="Simplified Arabic" w:hAnsi="Simplified Arabic" w:cs="Simplified Arabic" w:hint="cs"/>
          <w:sz w:val="24"/>
          <w:szCs w:val="24"/>
          <w:rtl/>
          <w:lang w:val="en-US"/>
        </w:rPr>
        <w:t>أولاً.</w:t>
      </w:r>
    </w:p>
    <w:p w:rsidR="003E0F31" w:rsidRPr="00264FC1" w:rsidRDefault="003E0F31" w:rsidP="00131A88">
      <w:pPr>
        <w:pStyle w:val="fegure"/>
        <w:spacing w:before="240"/>
        <w:rPr>
          <w:rStyle w:val="y2iqfc"/>
          <w:rFonts w:asciiTheme="minorBidi" w:eastAsiaTheme="minorEastAsia" w:hAnsiTheme="minorBidi" w:cs="Arial"/>
          <w:color w:val="202124"/>
          <w:sz w:val="10"/>
          <w:szCs w:val="10"/>
          <w:rtl/>
          <w:lang w:val="en-US" w:bidi="ar"/>
        </w:rPr>
      </w:pPr>
      <w:bookmarkStart w:id="353" w:name="_Toc157608296"/>
      <w:bookmarkStart w:id="354" w:name="_Toc171803476"/>
      <w:r w:rsidRPr="00264FC1">
        <w:rPr>
          <w:rFonts w:hint="cs"/>
          <w:sz w:val="8"/>
          <w:szCs w:val="24"/>
          <w:rtl/>
          <w:lang w:val="en-US"/>
        </w:rPr>
        <w:t>الشكل</w:t>
      </w:r>
      <w:r w:rsidRPr="00264FC1">
        <w:rPr>
          <w:sz w:val="8"/>
          <w:szCs w:val="24"/>
          <w:rtl/>
          <w:lang w:val="en-US"/>
        </w:rPr>
        <w:t xml:space="preserve"> </w:t>
      </w:r>
      <w:r w:rsidRPr="00264FC1">
        <w:rPr>
          <w:rFonts w:hint="cs"/>
          <w:sz w:val="8"/>
          <w:szCs w:val="24"/>
          <w:rtl/>
          <w:lang w:val="en-US"/>
        </w:rPr>
        <w:t>(</w:t>
      </w:r>
      <w:r w:rsidR="00D87672" w:rsidRPr="00264FC1">
        <w:rPr>
          <w:rFonts w:hint="cs"/>
          <w:sz w:val="8"/>
          <w:szCs w:val="24"/>
          <w:rtl/>
          <w:lang w:val="en-US"/>
        </w:rPr>
        <w:t>2-10</w:t>
      </w:r>
      <w:r w:rsidRPr="00264FC1">
        <w:rPr>
          <w:rFonts w:hint="cs"/>
          <w:sz w:val="8"/>
          <w:szCs w:val="24"/>
          <w:rtl/>
          <w:lang w:val="en-US"/>
        </w:rPr>
        <w:t xml:space="preserve">): </w:t>
      </w:r>
      <w:r w:rsidRPr="00264FC1">
        <w:rPr>
          <w:rFonts w:hint="cs"/>
          <w:sz w:val="8"/>
          <w:szCs w:val="24"/>
          <w:rtl/>
        </w:rPr>
        <w:t>رسم</w:t>
      </w:r>
      <w:r w:rsidRPr="00264FC1">
        <w:rPr>
          <w:sz w:val="8"/>
          <w:szCs w:val="24"/>
          <w:rtl/>
        </w:rPr>
        <w:t xml:space="preserve"> </w:t>
      </w:r>
      <w:r w:rsidRPr="00264FC1">
        <w:rPr>
          <w:rFonts w:hint="cs"/>
          <w:sz w:val="8"/>
          <w:szCs w:val="24"/>
          <w:rtl/>
        </w:rPr>
        <w:t>بياني</w:t>
      </w:r>
      <w:r w:rsidRPr="00264FC1">
        <w:rPr>
          <w:sz w:val="8"/>
          <w:szCs w:val="24"/>
          <w:rtl/>
        </w:rPr>
        <w:t xml:space="preserve"> </w:t>
      </w:r>
      <w:r w:rsidRPr="00264FC1">
        <w:rPr>
          <w:rFonts w:hint="cs"/>
          <w:sz w:val="8"/>
          <w:szCs w:val="24"/>
          <w:rtl/>
        </w:rPr>
        <w:t>تخطيطي</w:t>
      </w:r>
      <w:r w:rsidRPr="00264FC1">
        <w:rPr>
          <w:sz w:val="8"/>
          <w:szCs w:val="24"/>
          <w:rtl/>
        </w:rPr>
        <w:t xml:space="preserve"> </w:t>
      </w:r>
      <w:r w:rsidRPr="00264FC1">
        <w:rPr>
          <w:rFonts w:hint="cs"/>
          <w:sz w:val="8"/>
          <w:szCs w:val="24"/>
          <w:rtl/>
        </w:rPr>
        <w:t>لنمذجة</w:t>
      </w:r>
      <w:r w:rsidRPr="00264FC1">
        <w:rPr>
          <w:sz w:val="8"/>
          <w:szCs w:val="24"/>
          <w:rtl/>
        </w:rPr>
        <w:t xml:space="preserve"> </w:t>
      </w:r>
      <w:r w:rsidRPr="00264FC1">
        <w:rPr>
          <w:rFonts w:hint="cs"/>
          <w:sz w:val="8"/>
          <w:szCs w:val="24"/>
          <w:rtl/>
        </w:rPr>
        <w:t>معدل</w:t>
      </w:r>
      <w:r w:rsidRPr="00264FC1">
        <w:rPr>
          <w:sz w:val="8"/>
          <w:szCs w:val="24"/>
          <w:rtl/>
        </w:rPr>
        <w:t xml:space="preserve"> </w:t>
      </w:r>
      <w:r w:rsidRPr="00264FC1">
        <w:rPr>
          <w:rFonts w:hint="cs"/>
          <w:sz w:val="8"/>
          <w:szCs w:val="24"/>
          <w:rtl/>
        </w:rPr>
        <w:t>المرونة</w:t>
      </w:r>
      <w:bookmarkEnd w:id="353"/>
      <w:bookmarkEnd w:id="354"/>
    </w:p>
    <w:p w:rsidR="003E0F31" w:rsidRDefault="003E0F31" w:rsidP="00AA1D2C">
      <w:pPr>
        <w:tabs>
          <w:tab w:val="right" w:pos="281"/>
        </w:tabs>
        <w:bidi/>
        <w:spacing w:after="0" w:line="240" w:lineRule="auto"/>
        <w:jc w:val="center"/>
        <w:rPr>
          <w:rFonts w:asciiTheme="majorBidi" w:hAnsiTheme="majorBidi" w:cstheme="majorBidi"/>
          <w:color w:val="000000" w:themeColor="text1"/>
          <w:sz w:val="24"/>
          <w:szCs w:val="24"/>
          <w:rtl/>
          <w:lang w:val="en-US" w:bidi="ar-DZ"/>
        </w:rPr>
      </w:pPr>
      <w:r>
        <w:rPr>
          <w:rFonts w:ascii="Simplified Arabic" w:eastAsia="Times New Roman" w:hAnsi="Simplified Arabic" w:cs="Simplified Arabic" w:hint="cs"/>
          <w:b/>
          <w:sz w:val="24"/>
          <w:szCs w:val="24"/>
          <w:rtl/>
          <w:lang w:val="en-US" w:eastAsia="fr-FR"/>
        </w:rPr>
        <w:t xml:space="preserve">المصدر: </w:t>
      </w:r>
      <w:r w:rsidRPr="004407A6">
        <w:rPr>
          <w:rFonts w:asciiTheme="majorBidi" w:hAnsiTheme="majorBidi" w:cstheme="majorBidi"/>
          <w:color w:val="000000" w:themeColor="text1"/>
          <w:sz w:val="24"/>
          <w:szCs w:val="24"/>
          <w:lang w:val="en-US" w:bidi="ar-DZ"/>
        </w:rPr>
        <w:t>(</w:t>
      </w:r>
      <w:r w:rsidRPr="00793C15">
        <w:rPr>
          <w:rFonts w:asciiTheme="majorBidi" w:hAnsiTheme="majorBidi" w:cstheme="majorBidi"/>
          <w:color w:val="000000" w:themeColor="text1"/>
          <w:sz w:val="24"/>
          <w:szCs w:val="24"/>
          <w:lang w:val="en-US" w:bidi="ar-DZ"/>
        </w:rPr>
        <w:t>Haghighi</w:t>
      </w:r>
      <w:r w:rsidRPr="004407A6">
        <w:rPr>
          <w:rFonts w:asciiTheme="majorBidi" w:hAnsiTheme="majorBidi" w:cstheme="majorBidi"/>
          <w:color w:val="000000" w:themeColor="text1"/>
          <w:sz w:val="24"/>
          <w:szCs w:val="24"/>
          <w:lang w:val="en-US" w:bidi="ar-DZ"/>
        </w:rPr>
        <w:t xml:space="preserve"> </w:t>
      </w:r>
      <w:r w:rsidRPr="00FC02A1">
        <w:rPr>
          <w:rFonts w:asciiTheme="majorBidi" w:hAnsiTheme="majorBidi" w:cstheme="majorBidi"/>
          <w:color w:val="000000" w:themeColor="text1"/>
          <w:sz w:val="24"/>
          <w:szCs w:val="24"/>
          <w:lang w:bidi="ar-DZ"/>
        </w:rPr>
        <w:t>Fard</w:t>
      </w:r>
      <w:r>
        <w:rPr>
          <w:rFonts w:asciiTheme="majorBidi" w:hAnsiTheme="majorBidi" w:cstheme="majorBidi"/>
          <w:color w:val="000000" w:themeColor="text1"/>
          <w:sz w:val="24"/>
          <w:szCs w:val="24"/>
          <w:lang w:bidi="ar-DZ"/>
        </w:rPr>
        <w:t xml:space="preserve"> and </w:t>
      </w:r>
      <w:r w:rsidRPr="00FC02A1">
        <w:rPr>
          <w:rFonts w:asciiTheme="majorBidi" w:hAnsiTheme="majorBidi" w:cstheme="majorBidi"/>
          <w:color w:val="000000" w:themeColor="text1"/>
          <w:sz w:val="24"/>
          <w:szCs w:val="24"/>
          <w:lang w:bidi="ar-DZ"/>
        </w:rPr>
        <w:t>Doratli</w:t>
      </w:r>
      <w:r w:rsidRPr="004407A6">
        <w:rPr>
          <w:rFonts w:asciiTheme="majorBidi" w:hAnsiTheme="majorBidi" w:cstheme="majorBidi"/>
          <w:color w:val="000000" w:themeColor="text1"/>
          <w:sz w:val="24"/>
          <w:szCs w:val="24"/>
          <w:lang w:val="en-US" w:bidi="ar-DZ"/>
        </w:rPr>
        <w:t>, 2022)</w:t>
      </w:r>
    </w:p>
    <w:p w:rsidR="003E0F31" w:rsidRDefault="003E0F31" w:rsidP="00AA1D2C">
      <w:pPr>
        <w:tabs>
          <w:tab w:val="right" w:pos="281"/>
        </w:tabs>
        <w:bidi/>
        <w:spacing w:after="0"/>
        <w:jc w:val="center"/>
        <w:rPr>
          <w:rFonts w:ascii="Simplified Arabic" w:eastAsia="Times New Roman" w:hAnsi="Simplified Arabic" w:cs="Simplified Arabic"/>
          <w:b/>
          <w:sz w:val="24"/>
          <w:szCs w:val="24"/>
          <w:rtl/>
          <w:lang w:val="en-US" w:eastAsia="fr-FR"/>
        </w:rPr>
      </w:pPr>
      <w:r>
        <w:rPr>
          <w:noProof/>
          <w:lang w:eastAsia="fr-FR"/>
        </w:rPr>
        <w:drawing>
          <wp:inline distT="0" distB="0" distL="0" distR="0" wp14:anchorId="4A3C063C" wp14:editId="7BC7F8AC">
            <wp:extent cx="3062377" cy="4127875"/>
            <wp:effectExtent l="19050" t="19050" r="24130" b="25400"/>
            <wp:docPr id="129" name="Imag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4">
                      <a:extLst>
                        <a:ext uri="{28A0092B-C50C-407E-A947-70E740481C1C}">
                          <a14:useLocalDpi xmlns:a14="http://schemas.microsoft.com/office/drawing/2010/main" val="0"/>
                        </a:ext>
                      </a:extLst>
                    </a:blip>
                    <a:stretch>
                      <a:fillRect/>
                    </a:stretch>
                  </pic:blipFill>
                  <pic:spPr>
                    <a:xfrm>
                      <a:off x="0" y="0"/>
                      <a:ext cx="3060028" cy="4124709"/>
                    </a:xfrm>
                    <a:prstGeom prst="rect">
                      <a:avLst/>
                    </a:prstGeom>
                    <a:ln>
                      <a:solidFill>
                        <a:schemeClr val="tx1"/>
                      </a:solidFill>
                    </a:ln>
                  </pic:spPr>
                </pic:pic>
              </a:graphicData>
            </a:graphic>
          </wp:inline>
        </w:drawing>
      </w:r>
    </w:p>
    <w:p w:rsidR="003E0F31" w:rsidRDefault="00DC054D" w:rsidP="00F76D99">
      <w:pPr>
        <w:pStyle w:val="Tableau"/>
        <w:rPr>
          <w:rFonts w:asciiTheme="majorBidi" w:hAnsiTheme="majorBidi" w:cstheme="majorBidi"/>
          <w:rtl/>
          <w:lang w:val="en-US" w:bidi="ar-DZ"/>
        </w:rPr>
      </w:pPr>
      <w:bookmarkStart w:id="355" w:name="_Toc157612973"/>
      <w:bookmarkStart w:id="356" w:name="_Toc171803477"/>
      <w:r>
        <w:rPr>
          <w:rFonts w:hint="cs"/>
          <w:rtl/>
          <w:lang w:bidi="ar-DZ"/>
        </w:rPr>
        <w:t xml:space="preserve">الجدول (2-9): </w:t>
      </w:r>
      <w:r w:rsidR="003E0F31" w:rsidRPr="00750981">
        <w:rPr>
          <w:rFonts w:hint="cs"/>
          <w:rtl/>
          <w:lang w:bidi="ar-DZ"/>
        </w:rPr>
        <w:t>ايجابيات وسلبيات</w:t>
      </w:r>
      <w:r w:rsidR="003E0F31" w:rsidRPr="00750981">
        <w:rPr>
          <w:rtl/>
          <w:lang w:bidi="ar-DZ"/>
        </w:rPr>
        <w:t xml:space="preserve"> </w:t>
      </w:r>
      <w:r w:rsidR="003E0F31" w:rsidRPr="008C2DCA">
        <w:rPr>
          <w:rFonts w:eastAsia="Times New Roman" w:hint="cs"/>
          <w:rtl/>
        </w:rPr>
        <w:t>نمذجة</w:t>
      </w:r>
      <w:r w:rsidR="003E0F31" w:rsidRPr="008C2DCA">
        <w:rPr>
          <w:rFonts w:eastAsia="Times New Roman"/>
          <w:rtl/>
        </w:rPr>
        <w:t xml:space="preserve"> </w:t>
      </w:r>
      <w:r w:rsidR="003E0F31" w:rsidRPr="008C2DCA">
        <w:rPr>
          <w:rFonts w:eastAsia="Times New Roman" w:hint="cs"/>
          <w:rtl/>
        </w:rPr>
        <w:t>معدل</w:t>
      </w:r>
      <w:r w:rsidR="003E0F31" w:rsidRPr="008C2DCA">
        <w:rPr>
          <w:rFonts w:eastAsia="Times New Roman"/>
          <w:rtl/>
        </w:rPr>
        <w:t xml:space="preserve"> </w:t>
      </w:r>
      <w:r w:rsidR="003E0F31" w:rsidRPr="008C2DCA">
        <w:rPr>
          <w:rFonts w:eastAsia="Times New Roman" w:hint="cs"/>
          <w:rtl/>
        </w:rPr>
        <w:t>المرونة</w:t>
      </w:r>
      <w:r w:rsidR="003E0F31">
        <w:rPr>
          <w:rFonts w:eastAsia="Times New Roman" w:hint="cs"/>
          <w:rtl/>
        </w:rPr>
        <w:t xml:space="preserve"> </w:t>
      </w:r>
      <w:r w:rsidR="003E0F31" w:rsidRPr="004407A6">
        <w:rPr>
          <w:rFonts w:asciiTheme="majorBidi" w:hAnsiTheme="majorBidi" w:cstheme="majorBidi"/>
          <w:lang w:val="en-US" w:bidi="ar-DZ"/>
        </w:rPr>
        <w:t>(</w:t>
      </w:r>
      <w:r w:rsidR="003E0F31" w:rsidRPr="00206B59">
        <w:rPr>
          <w:rFonts w:asciiTheme="majorBidi" w:hAnsiTheme="majorBidi" w:cstheme="majorBidi"/>
          <w:lang w:val="en-US" w:bidi="ar-DZ"/>
        </w:rPr>
        <w:t>Javari</w:t>
      </w:r>
      <w:r w:rsidR="003E0F31" w:rsidRPr="004407A6">
        <w:rPr>
          <w:rFonts w:asciiTheme="majorBidi" w:hAnsiTheme="majorBidi" w:cstheme="majorBidi"/>
          <w:lang w:val="en-US" w:bidi="ar-DZ"/>
        </w:rPr>
        <w:t xml:space="preserve"> et al., 2021)</w:t>
      </w:r>
      <w:bookmarkEnd w:id="355"/>
      <w:bookmarkEnd w:id="356"/>
    </w:p>
    <w:p w:rsidR="00597092" w:rsidRPr="00597092" w:rsidRDefault="00597092" w:rsidP="00597092">
      <w:pPr>
        <w:pStyle w:val="fegure"/>
        <w:rPr>
          <w:sz w:val="8"/>
          <w:szCs w:val="24"/>
          <w:rtl/>
          <w:lang w:val="en-US"/>
        </w:rPr>
      </w:pPr>
      <w:bookmarkStart w:id="357" w:name="_Toc171803478"/>
      <w:r>
        <w:rPr>
          <w:rFonts w:hint="cs"/>
          <w:sz w:val="8"/>
          <w:szCs w:val="24"/>
          <w:rtl/>
          <w:lang w:val="en-US"/>
        </w:rPr>
        <w:t>المصدر: (الباحث، 2022)</w:t>
      </w:r>
      <w:bookmarkEnd w:id="357"/>
    </w:p>
    <w:tbl>
      <w:tblPr>
        <w:bidiVisual/>
        <w:tblW w:w="0" w:type="auto"/>
        <w:jc w:val="center"/>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8"/>
        <w:gridCol w:w="4116"/>
      </w:tblGrid>
      <w:tr w:rsidR="003E0F31" w:rsidRPr="006A12F2" w:rsidTr="001E12D7">
        <w:trPr>
          <w:jc w:val="center"/>
        </w:trPr>
        <w:tc>
          <w:tcPr>
            <w:tcW w:w="4398" w:type="dxa"/>
            <w:shd w:val="clear" w:color="auto" w:fill="auto"/>
            <w:vAlign w:val="center"/>
          </w:tcPr>
          <w:p w:rsidR="003E0F31" w:rsidRPr="00FB33E3" w:rsidRDefault="003E0F31" w:rsidP="001E12D7">
            <w:pPr>
              <w:bidi/>
              <w:spacing w:after="0" w:line="240" w:lineRule="auto"/>
              <w:jc w:val="center"/>
              <w:rPr>
                <w:rFonts w:ascii="Simplified Arabic" w:hAnsi="Simplified Arabic" w:cs="Simplified Arabic"/>
                <w:color w:val="000000" w:themeColor="text1"/>
                <w:sz w:val="24"/>
                <w:szCs w:val="24"/>
                <w:rtl/>
                <w:lang w:bidi="ar-DZ"/>
              </w:rPr>
            </w:pPr>
            <w:r w:rsidRPr="00FB33E3">
              <w:rPr>
                <w:rFonts w:ascii="Simplified Arabic" w:hAnsi="Simplified Arabic" w:cs="Simplified Arabic"/>
                <w:color w:val="000000" w:themeColor="text1"/>
                <w:sz w:val="24"/>
                <w:szCs w:val="24"/>
                <w:rtl/>
                <w:lang w:bidi="ar-DZ"/>
              </w:rPr>
              <w:t>الايجابيات</w:t>
            </w:r>
          </w:p>
        </w:tc>
        <w:tc>
          <w:tcPr>
            <w:tcW w:w="4116" w:type="dxa"/>
            <w:shd w:val="clear" w:color="auto" w:fill="auto"/>
            <w:vAlign w:val="center"/>
          </w:tcPr>
          <w:p w:rsidR="003E0F31" w:rsidRPr="00FB33E3" w:rsidRDefault="003E0F31" w:rsidP="001E12D7">
            <w:pPr>
              <w:bidi/>
              <w:spacing w:after="0" w:line="240" w:lineRule="auto"/>
              <w:jc w:val="center"/>
              <w:rPr>
                <w:rFonts w:ascii="Simplified Arabic" w:hAnsi="Simplified Arabic" w:cs="Simplified Arabic"/>
                <w:color w:val="000000" w:themeColor="text1"/>
                <w:sz w:val="24"/>
                <w:szCs w:val="24"/>
                <w:rtl/>
                <w:lang w:bidi="ar-DZ"/>
              </w:rPr>
            </w:pPr>
            <w:r w:rsidRPr="00FB33E3">
              <w:rPr>
                <w:rFonts w:ascii="Simplified Arabic" w:hAnsi="Simplified Arabic" w:cs="Simplified Arabic"/>
                <w:color w:val="000000" w:themeColor="text1"/>
                <w:sz w:val="24"/>
                <w:szCs w:val="24"/>
                <w:rtl/>
                <w:lang w:bidi="ar-DZ"/>
              </w:rPr>
              <w:t>السلبيات</w:t>
            </w:r>
          </w:p>
        </w:tc>
      </w:tr>
      <w:tr w:rsidR="003E0F31" w:rsidRPr="006A12F2" w:rsidTr="001E12D7">
        <w:trPr>
          <w:jc w:val="center"/>
        </w:trPr>
        <w:tc>
          <w:tcPr>
            <w:tcW w:w="4398" w:type="dxa"/>
            <w:shd w:val="clear" w:color="auto" w:fill="auto"/>
          </w:tcPr>
          <w:p w:rsidR="003E0F31" w:rsidRPr="00FB33E3" w:rsidRDefault="003E0F31" w:rsidP="001E12D7">
            <w:pPr>
              <w:bidi/>
              <w:spacing w:after="0" w:line="240" w:lineRule="auto"/>
              <w:rPr>
                <w:rFonts w:asciiTheme="minorBidi" w:hAnsiTheme="minorBidi" w:cs="Arial"/>
                <w:color w:val="000000" w:themeColor="text1"/>
                <w:sz w:val="24"/>
                <w:szCs w:val="24"/>
                <w:rtl/>
                <w:lang w:bidi="ar-DZ"/>
              </w:rPr>
            </w:pPr>
            <w:r w:rsidRPr="00FB33E3">
              <w:rPr>
                <w:rFonts w:asciiTheme="minorBidi" w:hAnsiTheme="minorBidi" w:cs="Arial" w:hint="cs"/>
                <w:color w:val="000000" w:themeColor="text1"/>
                <w:sz w:val="24"/>
                <w:szCs w:val="24"/>
                <w:rtl/>
                <w:lang w:bidi="ar-DZ"/>
              </w:rPr>
              <w:t xml:space="preserve">- </w:t>
            </w:r>
            <w:r w:rsidRPr="00FB33E3">
              <w:rPr>
                <w:rFonts w:ascii="Simplified Arabic" w:hAnsi="Simplified Arabic" w:cs="Simplified Arabic" w:hint="cs"/>
                <w:color w:val="000000" w:themeColor="text1"/>
                <w:sz w:val="24"/>
                <w:szCs w:val="24"/>
                <w:rtl/>
                <w:lang w:val="en-US"/>
              </w:rPr>
              <w:t>ترتيب</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كامل</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لمرونة</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المناطق</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الحضرية</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والأحياء</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لتحديد</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أولوية</w:t>
            </w:r>
            <w:r w:rsidRPr="00FB33E3">
              <w:rPr>
                <w:rFonts w:ascii="Simplified Arabic" w:hAnsi="Simplified Arabic" w:cs="Simplified Arabic"/>
                <w:color w:val="000000" w:themeColor="text1"/>
                <w:sz w:val="24"/>
                <w:szCs w:val="24"/>
                <w:rtl/>
                <w:lang w:val="en-US"/>
              </w:rPr>
              <w:t xml:space="preserve"> </w:t>
            </w:r>
            <w:r w:rsidRPr="00FB33E3">
              <w:rPr>
                <w:rFonts w:ascii="Simplified Arabic" w:hAnsi="Simplified Arabic" w:cs="Simplified Arabic" w:hint="cs"/>
                <w:color w:val="000000" w:themeColor="text1"/>
                <w:sz w:val="24"/>
                <w:szCs w:val="24"/>
                <w:rtl/>
                <w:lang w:val="en-US"/>
              </w:rPr>
              <w:t>التجديد</w:t>
            </w:r>
            <w:r w:rsidRPr="00FB33E3">
              <w:rPr>
                <w:rFonts w:asciiTheme="minorBidi" w:hAnsiTheme="minorBidi" w:cs="Arial" w:hint="cs"/>
                <w:color w:val="000000" w:themeColor="text1"/>
                <w:sz w:val="24"/>
                <w:szCs w:val="24"/>
                <w:rtl/>
                <w:lang w:bidi="ar-DZ"/>
              </w:rPr>
              <w:t xml:space="preserve"> </w:t>
            </w:r>
          </w:p>
          <w:p w:rsidR="003E0F31" w:rsidRPr="00FB33E3" w:rsidRDefault="003E0F31" w:rsidP="001E12D7">
            <w:pPr>
              <w:bidi/>
              <w:spacing w:after="0" w:line="240" w:lineRule="auto"/>
              <w:rPr>
                <w:rFonts w:asciiTheme="minorBidi" w:hAnsiTheme="minorBidi" w:cs="Arial"/>
                <w:color w:val="000000" w:themeColor="text1"/>
                <w:sz w:val="24"/>
                <w:szCs w:val="24"/>
                <w:rtl/>
                <w:lang w:bidi="ar-DZ"/>
              </w:rPr>
            </w:pPr>
            <w:r w:rsidRPr="00FB33E3">
              <w:rPr>
                <w:rFonts w:asciiTheme="minorBidi" w:hAnsiTheme="minorBidi" w:cs="Arial" w:hint="cs"/>
                <w:color w:val="000000" w:themeColor="text1"/>
                <w:sz w:val="24"/>
                <w:szCs w:val="24"/>
                <w:rtl/>
                <w:lang w:bidi="ar-DZ"/>
              </w:rPr>
              <w:t xml:space="preserve">- </w:t>
            </w:r>
            <w:r w:rsidRPr="00FB33E3">
              <w:rPr>
                <w:rFonts w:ascii="Simplified Arabic" w:hAnsi="Simplified Arabic" w:cs="Simplified Arabic"/>
                <w:color w:val="000000" w:themeColor="text1"/>
                <w:sz w:val="24"/>
                <w:szCs w:val="24"/>
                <w:rtl/>
                <w:lang w:val="en-US" w:bidi="ar-DZ"/>
              </w:rPr>
              <w:t xml:space="preserve">يسمح لصانعي القرار لبناء استراتيجيات المرونة المختلفة </w:t>
            </w:r>
            <w:r w:rsidRPr="00FB33E3">
              <w:rPr>
                <w:rFonts w:ascii="Simplified Arabic" w:hAnsi="Simplified Arabic" w:cs="Simplified Arabic" w:hint="cs"/>
                <w:color w:val="000000" w:themeColor="text1"/>
                <w:sz w:val="24"/>
                <w:szCs w:val="24"/>
                <w:rtl/>
                <w:lang w:val="en-US" w:bidi="ar-DZ"/>
              </w:rPr>
              <w:t>من خلال تبني مقاربة التجديد الحضري</w:t>
            </w:r>
            <w:r w:rsidRPr="00FB33E3">
              <w:rPr>
                <w:rFonts w:ascii="Simplified Arabic" w:hAnsi="Simplified Arabic" w:cs="Simplified Arabic"/>
                <w:color w:val="000000" w:themeColor="text1"/>
                <w:sz w:val="24"/>
                <w:szCs w:val="24"/>
                <w:rtl/>
                <w:lang w:val="en-US" w:bidi="ar-DZ"/>
              </w:rPr>
              <w:t>.</w:t>
            </w:r>
          </w:p>
          <w:p w:rsidR="003E0F31" w:rsidRPr="00FB33E3" w:rsidRDefault="003E0F31" w:rsidP="001E12D7">
            <w:pPr>
              <w:bidi/>
              <w:spacing w:after="0" w:line="240" w:lineRule="auto"/>
              <w:rPr>
                <w:rFonts w:ascii="Simplified Arabic" w:hAnsi="Simplified Arabic" w:cs="Simplified Arabic"/>
                <w:color w:val="000000" w:themeColor="text1"/>
                <w:sz w:val="24"/>
                <w:szCs w:val="24"/>
                <w:rtl/>
              </w:rPr>
            </w:pPr>
            <w:r w:rsidRPr="00FB33E3">
              <w:rPr>
                <w:rFonts w:asciiTheme="minorBidi" w:hAnsiTheme="minorBidi" w:cs="Arial" w:hint="cs"/>
                <w:color w:val="000000" w:themeColor="text1"/>
                <w:sz w:val="24"/>
                <w:szCs w:val="24"/>
                <w:rtl/>
                <w:lang w:bidi="ar-DZ"/>
              </w:rPr>
              <w:t xml:space="preserve">- نطاق تقييم </w:t>
            </w:r>
            <w:r w:rsidRPr="00FB33E3">
              <w:rPr>
                <w:rFonts w:ascii="Simplified Arabic" w:hAnsi="Simplified Arabic" w:cs="Simplified Arabic" w:hint="cs"/>
                <w:color w:val="000000" w:themeColor="text1"/>
                <w:sz w:val="24"/>
                <w:szCs w:val="24"/>
                <w:rtl/>
              </w:rPr>
              <w:t xml:space="preserve">المرونة </w:t>
            </w:r>
            <w:r w:rsidRPr="00FB33E3">
              <w:rPr>
                <w:rFonts w:asciiTheme="minorBidi" w:hAnsiTheme="minorBidi" w:cs="Arial" w:hint="cs"/>
                <w:color w:val="000000" w:themeColor="text1"/>
                <w:sz w:val="24"/>
                <w:szCs w:val="24"/>
                <w:rtl/>
                <w:lang w:bidi="ar-DZ"/>
              </w:rPr>
              <w:t>تم</w:t>
            </w:r>
            <w:r w:rsidRPr="00FB33E3">
              <w:rPr>
                <w:rFonts w:ascii="Simplified Arabic" w:hAnsi="Simplified Arabic" w:cs="Simplified Arabic"/>
                <w:color w:val="000000" w:themeColor="text1"/>
                <w:sz w:val="24"/>
                <w:szCs w:val="24"/>
                <w:rtl/>
              </w:rPr>
              <w:t xml:space="preserve"> </w:t>
            </w:r>
            <w:r w:rsidRPr="00FB33E3">
              <w:rPr>
                <w:rFonts w:ascii="Simplified Arabic" w:hAnsi="Simplified Arabic" w:cs="Simplified Arabic" w:hint="cs"/>
                <w:color w:val="000000" w:themeColor="text1"/>
                <w:sz w:val="24"/>
                <w:szCs w:val="24"/>
                <w:rtl/>
              </w:rPr>
              <w:t xml:space="preserve">على مستوى المدينة </w:t>
            </w:r>
          </w:p>
          <w:p w:rsidR="003E0F31" w:rsidRPr="00FB33E3" w:rsidRDefault="003E0F31" w:rsidP="001E12D7">
            <w:pPr>
              <w:bidi/>
              <w:spacing w:after="0" w:line="240" w:lineRule="auto"/>
              <w:rPr>
                <w:rFonts w:ascii="Simplified Arabic" w:hAnsi="Simplified Arabic" w:cs="Simplified Arabic"/>
                <w:color w:val="000000" w:themeColor="text1"/>
                <w:sz w:val="24"/>
                <w:szCs w:val="24"/>
                <w:highlight w:val="yellow"/>
                <w:lang w:bidi="ar-DZ"/>
              </w:rPr>
            </w:pPr>
            <w:r w:rsidRPr="00FB33E3">
              <w:rPr>
                <w:rFonts w:asciiTheme="minorBidi" w:hAnsiTheme="minorBidi" w:cs="Arial" w:hint="cs"/>
                <w:color w:val="000000" w:themeColor="text1"/>
                <w:sz w:val="24"/>
                <w:szCs w:val="24"/>
                <w:rtl/>
                <w:lang w:bidi="ar-DZ"/>
              </w:rPr>
              <w:t xml:space="preserve">- </w:t>
            </w:r>
            <w:r w:rsidRPr="00FB33E3">
              <w:rPr>
                <w:rFonts w:ascii="Simplified Arabic" w:hAnsi="Simplified Arabic" w:cs="Simplified Arabic" w:hint="cs"/>
                <w:color w:val="000000" w:themeColor="text1"/>
                <w:sz w:val="24"/>
                <w:szCs w:val="24"/>
                <w:rtl/>
              </w:rPr>
              <w:t xml:space="preserve">خضعت </w:t>
            </w:r>
            <w:r w:rsidRPr="00FB33E3">
              <w:rPr>
                <w:rFonts w:asciiTheme="minorBidi" w:hAnsiTheme="minorBidi" w:cs="Arial" w:hint="cs"/>
                <w:color w:val="000000" w:themeColor="text1"/>
                <w:sz w:val="24"/>
                <w:szCs w:val="24"/>
                <w:rtl/>
                <w:lang w:bidi="ar-DZ"/>
              </w:rPr>
              <w:t xml:space="preserve">عوامل  تقييم المرونة </w:t>
            </w:r>
            <w:r w:rsidRPr="00FB33E3">
              <w:rPr>
                <w:rFonts w:ascii="Simplified Arabic" w:hAnsi="Simplified Arabic" w:cs="Simplified Arabic" w:hint="cs"/>
                <w:color w:val="000000" w:themeColor="text1"/>
                <w:sz w:val="24"/>
                <w:szCs w:val="24"/>
                <w:rtl/>
              </w:rPr>
              <w:t>الى</w:t>
            </w:r>
            <w:r w:rsidRPr="00FB33E3">
              <w:rPr>
                <w:rFonts w:ascii="Simplified Arabic" w:hAnsi="Simplified Arabic" w:cs="Simplified Arabic"/>
                <w:color w:val="000000" w:themeColor="text1"/>
                <w:sz w:val="24"/>
                <w:szCs w:val="24"/>
                <w:rtl/>
              </w:rPr>
              <w:t xml:space="preserve"> </w:t>
            </w:r>
            <w:r w:rsidRPr="00FB33E3">
              <w:rPr>
                <w:rFonts w:ascii="Simplified Arabic" w:hAnsi="Simplified Arabic" w:cs="Simplified Arabic" w:hint="cs"/>
                <w:color w:val="000000" w:themeColor="text1"/>
                <w:sz w:val="24"/>
                <w:szCs w:val="24"/>
                <w:rtl/>
              </w:rPr>
              <w:t>توافق</w:t>
            </w:r>
            <w:r w:rsidRPr="00FB33E3">
              <w:rPr>
                <w:rFonts w:ascii="Simplified Arabic" w:hAnsi="Simplified Arabic" w:cs="Simplified Arabic"/>
                <w:color w:val="000000" w:themeColor="text1"/>
                <w:sz w:val="24"/>
                <w:szCs w:val="24"/>
                <w:rtl/>
              </w:rPr>
              <w:t xml:space="preserve"> </w:t>
            </w:r>
            <w:r w:rsidRPr="00FB33E3">
              <w:rPr>
                <w:rFonts w:ascii="Simplified Arabic" w:hAnsi="Simplified Arabic" w:cs="Simplified Arabic" w:hint="cs"/>
                <w:color w:val="000000" w:themeColor="text1"/>
                <w:sz w:val="24"/>
                <w:szCs w:val="24"/>
                <w:rtl/>
              </w:rPr>
              <w:t>آراء الخبراء</w:t>
            </w:r>
          </w:p>
          <w:p w:rsidR="003E0F31" w:rsidRPr="00FB33E3" w:rsidRDefault="003E0F31" w:rsidP="001E12D7">
            <w:pPr>
              <w:bidi/>
              <w:spacing w:after="0" w:line="240" w:lineRule="auto"/>
              <w:rPr>
                <w:rFonts w:ascii="Simplified Arabic" w:hAnsi="Simplified Arabic" w:cs="Simplified Arabic"/>
                <w:color w:val="000000" w:themeColor="text1"/>
                <w:sz w:val="24"/>
                <w:szCs w:val="24"/>
                <w:rtl/>
                <w:lang w:bidi="ar-DZ"/>
              </w:rPr>
            </w:pPr>
            <w:r w:rsidRPr="00FB33E3">
              <w:rPr>
                <w:rFonts w:asciiTheme="minorBidi" w:hAnsiTheme="minorBidi" w:cs="Arial" w:hint="cs"/>
                <w:color w:val="000000" w:themeColor="text1"/>
                <w:sz w:val="24"/>
                <w:szCs w:val="24"/>
                <w:rtl/>
                <w:lang w:bidi="ar-DZ"/>
              </w:rPr>
              <w:t xml:space="preserve">- </w:t>
            </w:r>
            <w:r w:rsidRPr="00FB33E3">
              <w:rPr>
                <w:rFonts w:ascii="Simplified Arabic" w:hAnsi="Simplified Arabic" w:cs="Simplified Arabic"/>
                <w:color w:val="000000" w:themeColor="text1"/>
                <w:sz w:val="24"/>
                <w:szCs w:val="24"/>
                <w:rtl/>
                <w:lang w:val="en-US" w:bidi="ar-DZ"/>
              </w:rPr>
              <w:t xml:space="preserve">يركز بشدة على </w:t>
            </w:r>
            <w:r w:rsidRPr="00FB33E3">
              <w:rPr>
                <w:rFonts w:ascii="Simplified Arabic" w:hAnsi="Simplified Arabic" w:cs="Simplified Arabic" w:hint="cs"/>
                <w:color w:val="000000" w:themeColor="text1"/>
                <w:sz w:val="24"/>
                <w:szCs w:val="24"/>
                <w:rtl/>
                <w:lang w:val="en-US" w:bidi="ar-DZ"/>
              </w:rPr>
              <w:t>المكون الفيزيائي</w:t>
            </w:r>
            <w:r w:rsidRPr="00FB33E3">
              <w:rPr>
                <w:rFonts w:ascii="Simplified Arabic" w:hAnsi="Simplified Arabic" w:cs="Simplified Arabic"/>
                <w:color w:val="000000" w:themeColor="text1"/>
                <w:sz w:val="24"/>
                <w:szCs w:val="24"/>
                <w:rtl/>
                <w:lang w:val="en-US" w:bidi="ar-DZ"/>
              </w:rPr>
              <w:t xml:space="preserve"> </w:t>
            </w:r>
            <w:r w:rsidRPr="00FB33E3">
              <w:rPr>
                <w:rFonts w:ascii="Simplified Arabic" w:hAnsi="Simplified Arabic" w:cs="Simplified Arabic" w:hint="cs"/>
                <w:color w:val="000000" w:themeColor="text1"/>
                <w:sz w:val="24"/>
                <w:szCs w:val="24"/>
                <w:rtl/>
                <w:lang w:val="en-US" w:bidi="ar-DZ"/>
              </w:rPr>
              <w:t>للبيئة الحضرية</w:t>
            </w:r>
          </w:p>
        </w:tc>
        <w:tc>
          <w:tcPr>
            <w:tcW w:w="4116" w:type="dxa"/>
            <w:shd w:val="clear" w:color="auto" w:fill="auto"/>
          </w:tcPr>
          <w:p w:rsidR="003E0F31" w:rsidRPr="00FB33E3" w:rsidRDefault="003E0F31" w:rsidP="001E12D7">
            <w:pPr>
              <w:bidi/>
              <w:spacing w:after="0" w:line="240" w:lineRule="auto"/>
              <w:rPr>
                <w:rFonts w:ascii="Simplified Arabic" w:hAnsi="Simplified Arabic" w:cs="Simplified Arabic"/>
                <w:color w:val="000000" w:themeColor="text1"/>
                <w:sz w:val="24"/>
                <w:szCs w:val="24"/>
                <w:lang w:bidi="ar-DZ"/>
              </w:rPr>
            </w:pPr>
            <w:r w:rsidRPr="00FB33E3">
              <w:rPr>
                <w:rFonts w:asciiTheme="minorBidi" w:hAnsiTheme="minorBidi" w:cs="Arial" w:hint="cs"/>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اقتصرت الدراسة على المناطق الحضرية التاريخية دون التطرق لباقي مناطق المدينة</w:t>
            </w:r>
            <w:r w:rsidRPr="00FB33E3">
              <w:rPr>
                <w:rFonts w:ascii="Simplified Arabic" w:hAnsi="Simplified Arabic" w:cs="Simplified Arabic" w:hint="cs"/>
                <w:color w:val="000000" w:themeColor="text1"/>
                <w:sz w:val="24"/>
                <w:szCs w:val="24"/>
                <w:rtl/>
                <w:lang w:bidi="ar-DZ"/>
              </w:rPr>
              <w:t xml:space="preserve"> </w:t>
            </w:r>
          </w:p>
          <w:p w:rsidR="003E0F31" w:rsidRPr="00FB33E3" w:rsidRDefault="003E0F31" w:rsidP="001E12D7">
            <w:pPr>
              <w:bidi/>
              <w:spacing w:after="0" w:line="240" w:lineRule="auto"/>
              <w:rPr>
                <w:rFonts w:ascii="Simplified Arabic" w:hAnsi="Simplified Arabic" w:cs="Simplified Arabic"/>
                <w:color w:val="000000" w:themeColor="text1"/>
                <w:sz w:val="24"/>
                <w:szCs w:val="24"/>
                <w:lang w:bidi="ar-DZ"/>
              </w:rPr>
            </w:pPr>
            <w:r w:rsidRPr="00FB33E3">
              <w:rPr>
                <w:rFonts w:asciiTheme="minorBidi" w:hAnsiTheme="minorBidi" w:cs="Arial" w:hint="cs"/>
                <w:color w:val="000000" w:themeColor="text1"/>
                <w:sz w:val="24"/>
                <w:szCs w:val="24"/>
                <w:rtl/>
                <w:lang w:bidi="ar-DZ"/>
              </w:rPr>
              <w:t xml:space="preserve">- </w:t>
            </w:r>
            <w:r w:rsidRPr="00FB33E3">
              <w:rPr>
                <w:rFonts w:ascii="Simplified Arabic" w:hAnsi="Simplified Arabic" w:cs="Simplified Arabic"/>
                <w:color w:val="000000" w:themeColor="text1"/>
                <w:sz w:val="24"/>
                <w:szCs w:val="24"/>
                <w:rtl/>
                <w:lang w:bidi="ar-DZ"/>
              </w:rPr>
              <w:t>لم يتم تقديم مشورة لتطوير نهج تشاركي أو تعاوني</w:t>
            </w:r>
            <w:r w:rsidRPr="00FB33E3">
              <w:rPr>
                <w:rFonts w:ascii="Simplified Arabic" w:hAnsi="Simplified Arabic" w:cs="Simplified Arabic" w:hint="cs"/>
                <w:color w:val="000000" w:themeColor="text1"/>
                <w:sz w:val="24"/>
                <w:szCs w:val="24"/>
                <w:rtl/>
                <w:lang w:bidi="ar-DZ"/>
              </w:rPr>
              <w:t xml:space="preserve"> مع المواطنين في توجيه التنمية </w:t>
            </w:r>
          </w:p>
          <w:p w:rsidR="003E0F31" w:rsidRPr="00FB33E3" w:rsidRDefault="003E0F31" w:rsidP="001E12D7">
            <w:pPr>
              <w:bidi/>
              <w:spacing w:after="0" w:line="240" w:lineRule="auto"/>
              <w:rPr>
                <w:rFonts w:ascii="Simplified Arabic" w:hAnsi="Simplified Arabic" w:cs="Simplified Arabic"/>
                <w:color w:val="000000" w:themeColor="text1"/>
                <w:sz w:val="24"/>
                <w:szCs w:val="24"/>
                <w:rtl/>
                <w:lang w:bidi="ar-DZ"/>
              </w:rPr>
            </w:pPr>
            <w:r w:rsidRPr="00FB33E3">
              <w:rPr>
                <w:rFonts w:asciiTheme="minorBidi" w:hAnsiTheme="minorBidi" w:cs="Arial" w:hint="cs"/>
                <w:color w:val="000000" w:themeColor="text1"/>
                <w:sz w:val="24"/>
                <w:szCs w:val="24"/>
                <w:rtl/>
                <w:lang w:bidi="ar-DZ"/>
              </w:rPr>
              <w:t xml:space="preserve">- </w:t>
            </w:r>
            <w:r w:rsidRPr="00FB33E3">
              <w:rPr>
                <w:rFonts w:ascii="Simplified Arabic" w:hAnsi="Simplified Arabic" w:cs="Simplified Arabic" w:hint="cs"/>
                <w:color w:val="000000" w:themeColor="text1"/>
                <w:sz w:val="24"/>
                <w:szCs w:val="24"/>
                <w:rtl/>
                <w:lang w:bidi="ar-DZ"/>
              </w:rPr>
              <w:t>نموذج</w:t>
            </w:r>
            <w:r w:rsidRPr="00FB33E3">
              <w:rPr>
                <w:rFonts w:ascii="Simplified Arabic" w:hAnsi="Simplified Arabic" w:cs="Simplified Arabic"/>
                <w:color w:val="000000" w:themeColor="text1"/>
                <w:sz w:val="24"/>
                <w:szCs w:val="24"/>
                <w:rtl/>
                <w:lang w:bidi="ar-DZ"/>
              </w:rPr>
              <w:t xml:space="preserve"> </w:t>
            </w:r>
            <w:r w:rsidRPr="00FB33E3">
              <w:rPr>
                <w:rFonts w:ascii="Simplified Arabic" w:hAnsi="Simplified Arabic" w:cs="Simplified Arabic" w:hint="cs"/>
                <w:color w:val="000000" w:themeColor="text1"/>
                <w:sz w:val="24"/>
                <w:szCs w:val="24"/>
                <w:rtl/>
                <w:lang w:bidi="ar-DZ"/>
              </w:rPr>
              <w:t>ا</w:t>
            </w:r>
            <w:r w:rsidRPr="00FB33E3">
              <w:rPr>
                <w:rFonts w:ascii="Simplified Arabic" w:hAnsi="Simplified Arabic" w:cs="Simplified Arabic"/>
                <w:color w:val="000000" w:themeColor="text1"/>
                <w:sz w:val="24"/>
                <w:szCs w:val="24"/>
                <w:rtl/>
                <w:lang w:bidi="ar-DZ"/>
              </w:rPr>
              <w:t xml:space="preserve">قتصر على وصف وتحليل </w:t>
            </w:r>
            <w:r w:rsidRPr="00FB33E3">
              <w:rPr>
                <w:rFonts w:ascii="Simplified Arabic" w:hAnsi="Simplified Arabic" w:cs="Simplified Arabic" w:hint="cs"/>
                <w:color w:val="000000" w:themeColor="text1"/>
                <w:sz w:val="24"/>
                <w:szCs w:val="24"/>
                <w:rtl/>
                <w:lang w:bidi="ar-DZ"/>
              </w:rPr>
              <w:t>المرونة</w:t>
            </w:r>
            <w:r w:rsidRPr="00FB33E3">
              <w:rPr>
                <w:rFonts w:ascii="Simplified Arabic" w:hAnsi="Simplified Arabic" w:cs="Simplified Arabic"/>
                <w:color w:val="000000" w:themeColor="text1"/>
                <w:sz w:val="24"/>
                <w:szCs w:val="24"/>
                <w:rtl/>
                <w:lang w:bidi="ar-DZ"/>
              </w:rPr>
              <w:t xml:space="preserve"> دون </w:t>
            </w:r>
            <w:r w:rsidRPr="00FB33E3">
              <w:rPr>
                <w:rFonts w:ascii="Simplified Arabic" w:hAnsi="Simplified Arabic" w:cs="Simplified Arabic" w:hint="cs"/>
                <w:color w:val="000000" w:themeColor="text1"/>
                <w:sz w:val="24"/>
                <w:szCs w:val="24"/>
                <w:rtl/>
                <w:lang w:bidi="ar-DZ"/>
              </w:rPr>
              <w:t>التطرق الى زمنية المرونة للمكون الفيزيائي</w:t>
            </w:r>
          </w:p>
        </w:tc>
      </w:tr>
    </w:tbl>
    <w:p w:rsidR="003E0F31" w:rsidRPr="003072C8" w:rsidRDefault="003E0F31" w:rsidP="008B3E54">
      <w:pPr>
        <w:bidi/>
        <w:spacing w:after="0"/>
        <w:ind w:firstLine="282"/>
        <w:jc w:val="both"/>
        <w:rPr>
          <w:rFonts w:ascii="Simplified Arabic" w:eastAsia="Times New Roman" w:hAnsi="Simplified Arabic" w:cs="Simplified Arabic"/>
          <w:b/>
          <w:sz w:val="24"/>
          <w:szCs w:val="24"/>
          <w:rtl/>
          <w:lang w:val="en-US" w:eastAsia="fr-FR"/>
        </w:rPr>
      </w:pPr>
      <w:r w:rsidRPr="00206B59">
        <w:rPr>
          <w:rFonts w:ascii="Simplified Arabic" w:hAnsi="Simplified Arabic" w:cs="Simplified Arabic"/>
          <w:sz w:val="24"/>
          <w:szCs w:val="24"/>
          <w:rtl/>
          <w:lang w:bidi="ar-DZ"/>
        </w:rPr>
        <w:lastRenderedPageBreak/>
        <w:t xml:space="preserve">من خلال تقييم النماذج التي استخدمت تقنية </w:t>
      </w:r>
      <w:r w:rsidRPr="00206B59">
        <w:rPr>
          <w:rFonts w:ascii="Simplified Arabic" w:eastAsia="Times New Roman" w:hAnsi="Simplified Arabic" w:cs="Simplified Arabic"/>
          <w:b/>
          <w:sz w:val="24"/>
          <w:szCs w:val="24"/>
          <w:rtl/>
          <w:lang w:val="en-US" w:eastAsia="fr-FR"/>
        </w:rPr>
        <w:t xml:space="preserve">نظم المعلومات الجغرافية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themeColor="text1"/>
          <w:sz w:val="24"/>
          <w:szCs w:val="24"/>
          <w:lang w:val="en-US" w:bidi="ar-DZ"/>
        </w:rPr>
        <w:t>GIS</w:t>
      </w:r>
      <w:r w:rsidRPr="00206B59">
        <w:rPr>
          <w:rFonts w:asciiTheme="majorBidi" w:eastAsia="Times New Roman" w:hAnsiTheme="majorBidi" w:cstheme="majorBidi"/>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يتبين انه يوجد إجماع عام في </w:t>
      </w:r>
      <w:r w:rsidR="008B3E54">
        <w:rPr>
          <w:rFonts w:ascii="Simplified Arabic" w:eastAsia="Times New Roman" w:hAnsi="Simplified Arabic" w:cs="Simplified Arabic" w:hint="cs"/>
          <w:b/>
          <w:sz w:val="24"/>
          <w:szCs w:val="24"/>
          <w:rtl/>
          <w:lang w:val="en-US" w:eastAsia="fr-FR"/>
        </w:rPr>
        <w:t>الابحاث</w:t>
      </w:r>
      <w:r w:rsidRPr="00206B59">
        <w:rPr>
          <w:rFonts w:ascii="Simplified Arabic" w:eastAsia="Times New Roman" w:hAnsi="Simplified Arabic" w:cs="Simplified Arabic"/>
          <w:b/>
          <w:sz w:val="24"/>
          <w:szCs w:val="24"/>
          <w:rtl/>
          <w:lang w:val="en-US" w:eastAsia="fr-FR"/>
        </w:rPr>
        <w:t xml:space="preserve"> على أن أي تقييم للمرونة المكانية يتطلب فهمًا مكانيًا متعدد </w:t>
      </w:r>
      <w:r w:rsidRPr="00206B59">
        <w:rPr>
          <w:rFonts w:ascii="Simplified Arabic" w:eastAsia="Times New Roman" w:hAnsi="Simplified Arabic" w:cs="Simplified Arabic" w:hint="cs"/>
          <w:b/>
          <w:sz w:val="24"/>
          <w:szCs w:val="24"/>
          <w:rtl/>
          <w:lang w:val="en-US" w:eastAsia="fr-FR"/>
        </w:rPr>
        <w:t>النطاقات</w:t>
      </w:r>
      <w:r w:rsidRPr="00206B59">
        <w:rPr>
          <w:rFonts w:ascii="Simplified Arabic" w:eastAsia="Times New Roman" w:hAnsi="Simplified Arabic" w:cs="Simplified Arabic"/>
          <w:b/>
          <w:sz w:val="24"/>
          <w:szCs w:val="24"/>
          <w:rtl/>
          <w:lang w:val="en-US" w:eastAsia="fr-FR"/>
        </w:rPr>
        <w:t xml:space="preserve"> للديناميات الحضرية</w:t>
      </w:r>
      <w:r w:rsidRPr="00206B59">
        <w:rPr>
          <w:rFonts w:ascii="Simplified Arabic" w:hAnsi="Simplified Arabic" w:cs="Simplified Arabic"/>
          <w:sz w:val="24"/>
          <w:szCs w:val="24"/>
          <w:rtl/>
          <w:lang w:bidi="ar-DZ"/>
        </w:rPr>
        <w:t xml:space="preserve"> </w:t>
      </w:r>
      <w:r w:rsidRPr="00206B59">
        <w:rPr>
          <w:rFonts w:asciiTheme="majorBidi" w:hAnsiTheme="majorBidi" w:cstheme="majorBidi"/>
          <w:sz w:val="24"/>
          <w:szCs w:val="24"/>
          <w:lang w:bidi="ar-DZ"/>
        </w:rPr>
        <w:t>(</w:t>
      </w:r>
      <w:r w:rsidR="00ED40E7" w:rsidRPr="00206B59">
        <w:rPr>
          <w:rFonts w:asciiTheme="majorBidi" w:hAnsiTheme="majorBidi" w:cstheme="majorBidi"/>
          <w:sz w:val="24"/>
          <w:szCs w:val="24"/>
        </w:rPr>
        <w:t>Sharifi and Yamagata,</w:t>
      </w:r>
      <w:r w:rsidRPr="00206B59">
        <w:rPr>
          <w:rFonts w:asciiTheme="majorBidi" w:hAnsiTheme="majorBidi" w:cstheme="majorBidi"/>
          <w:sz w:val="24"/>
          <w:szCs w:val="24"/>
          <w:lang w:bidi="ar-DZ"/>
        </w:rPr>
        <w:t>2018; Romice et al., 2020; Shafiei Dastjerdi et al., 2021)</w:t>
      </w:r>
      <w:r w:rsidRPr="00206B59">
        <w:rPr>
          <w:rFonts w:asciiTheme="majorBidi" w:hAnsiTheme="majorBidi" w:cstheme="majorBidi"/>
          <w:sz w:val="24"/>
          <w:szCs w:val="24"/>
          <w:rtl/>
          <w:lang w:bidi="ar-DZ"/>
        </w:rPr>
        <w:t>.</w:t>
      </w:r>
    </w:p>
    <w:p w:rsidR="003E0F31" w:rsidRPr="007A5D9F" w:rsidRDefault="003E0F31" w:rsidP="00B12AEF">
      <w:pPr>
        <w:bidi/>
        <w:ind w:firstLine="282"/>
        <w:jc w:val="both"/>
        <w:rPr>
          <w:rFonts w:ascii="Simplified Arabic" w:hAnsi="Simplified Arabic" w:cs="Simplified Arabic"/>
          <w:b/>
          <w:bCs/>
          <w:sz w:val="24"/>
          <w:szCs w:val="24"/>
          <w:lang w:bidi="ar-DZ"/>
        </w:rPr>
      </w:pPr>
      <w:r w:rsidRPr="00206B59">
        <w:rPr>
          <w:rFonts w:ascii="Simplified Arabic" w:hAnsi="Simplified Arabic" w:cs="Simplified Arabic" w:hint="cs"/>
          <w:sz w:val="24"/>
          <w:szCs w:val="24"/>
          <w:rtl/>
          <w:lang w:bidi="ar-DZ"/>
        </w:rPr>
        <w:t xml:space="preserve">الطريقة التي قام بها </w:t>
      </w:r>
      <w:r w:rsidRPr="00206B59">
        <w:rPr>
          <w:rFonts w:asciiTheme="majorBidi" w:hAnsiTheme="majorBidi" w:cstheme="majorBidi"/>
          <w:sz w:val="24"/>
          <w:szCs w:val="24"/>
          <w:rtl/>
          <w:lang w:bidi="ar-DZ"/>
        </w:rPr>
        <w:t>(</w:t>
      </w:r>
      <w:r w:rsidR="009B6519" w:rsidRPr="00206B59">
        <w:rPr>
          <w:rFonts w:asciiTheme="majorBidi" w:hAnsiTheme="majorBidi" w:cstheme="majorBidi"/>
          <w:color w:val="000000" w:themeColor="text1"/>
          <w:sz w:val="24"/>
          <w:szCs w:val="24"/>
          <w:lang w:val="en-US" w:bidi="ar-DZ"/>
        </w:rPr>
        <w:t xml:space="preserve">Haghighi </w:t>
      </w:r>
      <w:r w:rsidR="009B6519" w:rsidRPr="00206B59">
        <w:rPr>
          <w:rFonts w:asciiTheme="majorBidi" w:hAnsiTheme="majorBidi" w:cstheme="majorBidi"/>
          <w:color w:val="000000" w:themeColor="text1"/>
          <w:sz w:val="24"/>
          <w:szCs w:val="24"/>
          <w:lang w:bidi="ar-DZ"/>
        </w:rPr>
        <w:t>Fard and Doratli</w:t>
      </w:r>
      <w:r w:rsidR="009B6519" w:rsidRPr="00206B59">
        <w:rPr>
          <w:rFonts w:asciiTheme="majorBidi" w:hAnsiTheme="majorBidi" w:cstheme="majorBidi"/>
          <w:color w:val="000000" w:themeColor="text1"/>
          <w:sz w:val="24"/>
          <w:szCs w:val="24"/>
          <w:lang w:val="en-US" w:bidi="ar-DZ"/>
        </w:rPr>
        <w:t>, 2022</w:t>
      </w:r>
      <w:r w:rsidRPr="00206B59">
        <w:rPr>
          <w:rFonts w:asciiTheme="majorBidi" w:hAnsiTheme="majorBidi" w:cstheme="majorBidi"/>
          <w:sz w:val="24"/>
          <w:szCs w:val="24"/>
          <w:rtl/>
          <w:lang w:bidi="ar-DZ"/>
        </w:rPr>
        <w:t>)</w:t>
      </w:r>
      <w:r w:rsidRPr="00206B59">
        <w:rPr>
          <w:rFonts w:ascii="Simplified Arabic" w:hAnsi="Simplified Arabic" w:cs="Simplified Arabic" w:hint="cs"/>
          <w:sz w:val="24"/>
          <w:szCs w:val="24"/>
          <w:rtl/>
          <w:lang w:bidi="ar-DZ"/>
        </w:rPr>
        <w:t xml:space="preserve"> </w:t>
      </w:r>
      <w:r w:rsidRPr="00206B59">
        <w:rPr>
          <w:rFonts w:ascii="Simplified Arabic" w:hAnsi="Simplified Arabic" w:cs="Simplified Arabic"/>
          <w:sz w:val="24"/>
          <w:szCs w:val="24"/>
          <w:rtl/>
          <w:lang w:bidi="ar-DZ"/>
        </w:rPr>
        <w:t xml:space="preserve">لتقييم المرونة </w:t>
      </w:r>
      <w:r w:rsidRPr="00206B59">
        <w:rPr>
          <w:rFonts w:ascii="Simplified Arabic" w:hAnsi="Simplified Arabic" w:cs="Simplified Arabic" w:hint="cs"/>
          <w:sz w:val="24"/>
          <w:szCs w:val="24"/>
          <w:rtl/>
          <w:lang w:bidi="ar-DZ"/>
        </w:rPr>
        <w:t>قد</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تكون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مقتصرة على نطاق واحد</w:t>
      </w:r>
      <w:r w:rsidRPr="00206B59">
        <w:rPr>
          <w:rFonts w:ascii="Simplified Arabic" w:hAnsi="Simplified Arabic" w:cs="Simplified Arabic"/>
          <w:sz w:val="24"/>
          <w:szCs w:val="24"/>
          <w:rtl/>
          <w:lang w:bidi="ar-DZ"/>
        </w:rPr>
        <w:t>، لان دراسة الحالة تتطلب تقييم نطاق</w:t>
      </w:r>
      <w:r w:rsidRPr="00206B59">
        <w:rPr>
          <w:rFonts w:ascii="Simplified Arabic" w:hAnsi="Simplified Arabic" w:cs="Simplified Arabic" w:hint="cs"/>
          <w:sz w:val="24"/>
          <w:szCs w:val="24"/>
          <w:rtl/>
          <w:lang w:bidi="ar-DZ"/>
        </w:rPr>
        <w:t>ًا</w:t>
      </w:r>
      <w:r w:rsidRPr="00206B59">
        <w:rPr>
          <w:rFonts w:ascii="Simplified Arabic" w:hAnsi="Simplified Arabic" w:cs="Simplified Arabic"/>
          <w:sz w:val="24"/>
          <w:szCs w:val="24"/>
          <w:rtl/>
          <w:lang w:bidi="ar-DZ"/>
        </w:rPr>
        <w:t xml:space="preserve"> معين</w:t>
      </w:r>
      <w:r w:rsidRPr="00206B59">
        <w:rPr>
          <w:rFonts w:ascii="Simplified Arabic" w:hAnsi="Simplified Arabic" w:cs="Simplified Arabic" w:hint="cs"/>
          <w:sz w:val="24"/>
          <w:szCs w:val="24"/>
          <w:rtl/>
          <w:lang w:bidi="ar-DZ"/>
        </w:rPr>
        <w:t>ًا،</w:t>
      </w:r>
      <w:r w:rsidRPr="00206B59">
        <w:rPr>
          <w:rFonts w:ascii="Simplified Arabic" w:hAnsi="Simplified Arabic" w:cs="Simplified Arabic"/>
          <w:sz w:val="24"/>
          <w:szCs w:val="24"/>
          <w:rtl/>
          <w:lang w:bidi="ar-DZ"/>
        </w:rPr>
        <w:t xml:space="preserve"> بينما اقترب البعض من التقييم متعدد النطاقات من خلال دراسة وحدات عناصر الشكل الحضري وكيفية تجميعها معًا من خلال مجموعة مؤشرات.</w:t>
      </w:r>
      <w:r w:rsidRPr="00206B59">
        <w:rPr>
          <w:rFonts w:ascii="Simplified Arabic" w:eastAsia="Times New Roman" w:hAnsi="Simplified Arabic" w:cs="Simplified Arabic" w:hint="cs"/>
          <w:b/>
          <w:sz w:val="24"/>
          <w:szCs w:val="24"/>
          <w:rtl/>
          <w:lang w:val="en-US" w:eastAsia="fr-FR"/>
        </w:rPr>
        <w:t xml:space="preserve"> الدراسات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بدأت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بالفعل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في</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استكشاف</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المؤشرات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المكانية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للمرونة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الحضرية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العامة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تميل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إلى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التركيز</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فقط</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على</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مؤشر</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أو</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مؤشرين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أو</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كان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لها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نطاق</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محدود</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أو</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تطبيق</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لسمات</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المرونة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العامة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bidi="ar-DZ"/>
        </w:rPr>
        <w:t>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أمثلة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ذلك</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نجد</w:t>
      </w:r>
      <w:r w:rsidRPr="00206B59">
        <w:rPr>
          <w:rFonts w:ascii="Simplified Arabic" w:hAnsi="Simplified Arabic" w:cs="Simplified Arabic"/>
          <w:sz w:val="24"/>
          <w:szCs w:val="24"/>
          <w:rtl/>
          <w:lang w:bidi="ar-DZ"/>
        </w:rPr>
        <w:t xml:space="preserve"> </w:t>
      </w:r>
      <w:r w:rsidRPr="00206B59">
        <w:rPr>
          <w:rFonts w:asciiTheme="majorBidi" w:hAnsiTheme="majorBidi" w:cstheme="majorBidi"/>
          <w:sz w:val="24"/>
          <w:szCs w:val="24"/>
          <w:lang w:bidi="ar-DZ"/>
        </w:rPr>
        <w:t>Garcia and Vale, 2017)</w:t>
      </w:r>
      <w:r w:rsidRPr="00206B59">
        <w:rPr>
          <w:rFonts w:asciiTheme="majorBidi" w:hAnsiTheme="majorBidi" w:cstheme="majorBidi"/>
          <w:sz w:val="24"/>
          <w:szCs w:val="24"/>
          <w:rtl/>
          <w:lang w:bidi="ar-DZ"/>
        </w:rPr>
        <w:t>)</w:t>
      </w:r>
      <w:r w:rsidR="00AD6F1A" w:rsidRPr="00206B59">
        <w:rPr>
          <w:rFonts w:ascii="Simplified Arabic" w:hAnsi="Simplified Arabic" w:cs="Simplified Arabic" w:hint="cs"/>
          <w:sz w:val="24"/>
          <w:szCs w:val="24"/>
          <w:rtl/>
          <w:lang w:bidi="ar-DZ"/>
        </w:rPr>
        <w:t>،</w:t>
      </w:r>
      <w:r w:rsidRPr="00206B59">
        <w:rPr>
          <w:rFonts w:ascii="Simplified Arabic" w:hAnsi="Simplified Arabic" w:cs="Simplified Arabic"/>
          <w:sz w:val="24"/>
          <w:szCs w:val="24"/>
          <w:rtl/>
          <w:lang w:bidi="ar-DZ"/>
        </w:rPr>
        <w:t xml:space="preserve"> </w:t>
      </w:r>
      <w:r w:rsidR="00AD6F1A" w:rsidRPr="00206B59">
        <w:rPr>
          <w:rFonts w:ascii="Simplified Arabic" w:hAnsi="Simplified Arabic" w:cs="Simplified Arabic" w:hint="cs"/>
          <w:sz w:val="24"/>
          <w:szCs w:val="24"/>
          <w:rtl/>
          <w:lang w:bidi="ar-DZ"/>
        </w:rPr>
        <w:t xml:space="preserve">قدم </w:t>
      </w:r>
      <w:r w:rsidRPr="00206B59">
        <w:rPr>
          <w:rFonts w:ascii="Simplified Arabic" w:hAnsi="Simplified Arabic" w:cs="Simplified Arabic" w:hint="cs"/>
          <w:color w:val="000000" w:themeColor="text1"/>
          <w:sz w:val="24"/>
          <w:szCs w:val="24"/>
          <w:rtl/>
          <w:lang w:bidi="ar-DZ"/>
        </w:rPr>
        <w:t>مؤشرات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ملموسة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للتصميم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للمشاركة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المكانية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في</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 لكن تطبيقها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محدود،</w:t>
      </w:r>
      <w:r w:rsidRPr="00206B59">
        <w:rPr>
          <w:rFonts w:ascii="Simplified Arabic" w:hAnsi="Simplified Arabic" w:cs="Simplified Arabic"/>
          <w:color w:val="000000" w:themeColor="text1"/>
          <w:sz w:val="24"/>
          <w:szCs w:val="24"/>
          <w:rtl/>
          <w:lang w:bidi="ar-DZ"/>
        </w:rPr>
        <w:t xml:space="preserve"> </w:t>
      </w:r>
      <w:r w:rsidR="00AD6F1A" w:rsidRPr="00206B59">
        <w:rPr>
          <w:rFonts w:ascii="Simplified Arabic" w:hAnsi="Simplified Arabic" w:cs="Simplified Arabic" w:hint="cs"/>
          <w:color w:val="000000" w:themeColor="text1"/>
          <w:sz w:val="24"/>
          <w:szCs w:val="24"/>
          <w:rtl/>
          <w:lang w:bidi="ar-DZ"/>
        </w:rPr>
        <w:t xml:space="preserve">كما </w:t>
      </w:r>
      <w:r w:rsidRPr="00206B59">
        <w:rPr>
          <w:rFonts w:ascii="Simplified Arabic" w:hAnsi="Simplified Arabic" w:cs="Simplified Arabic" w:hint="cs"/>
          <w:color w:val="000000" w:themeColor="text1"/>
          <w:sz w:val="24"/>
          <w:szCs w:val="24"/>
          <w:rtl/>
          <w:lang w:bidi="ar-DZ"/>
        </w:rPr>
        <w:t>ق</w:t>
      </w:r>
      <w:r w:rsidRPr="00206B59">
        <w:rPr>
          <w:rFonts w:ascii="Simplified Arabic" w:hAnsi="Simplified Arabic" w:cs="Simplified Arabic" w:hint="cs"/>
          <w:sz w:val="24"/>
          <w:szCs w:val="24"/>
          <w:rtl/>
          <w:lang w:bidi="ar-DZ"/>
        </w:rPr>
        <w:t>دم</w:t>
      </w:r>
      <w:r w:rsidRPr="00206B59">
        <w:rPr>
          <w:rFonts w:ascii="Simplified Arabic" w:hAnsi="Simplified Arabic" w:cs="Simplified Arabic"/>
          <w:sz w:val="24"/>
          <w:szCs w:val="24"/>
          <w:rtl/>
          <w:lang w:bidi="ar-DZ"/>
        </w:rPr>
        <w:t xml:space="preserve"> </w:t>
      </w:r>
      <w:r w:rsidR="00ED40E7" w:rsidRPr="00206B59">
        <w:rPr>
          <w:rFonts w:asciiTheme="majorBidi" w:hAnsiTheme="majorBidi" w:cstheme="majorBidi"/>
          <w:sz w:val="24"/>
          <w:szCs w:val="24"/>
        </w:rPr>
        <w:t>Sharifi and Yamagata,</w:t>
      </w:r>
      <w:r w:rsidRPr="00206B59">
        <w:rPr>
          <w:rFonts w:asciiTheme="majorBidi" w:hAnsiTheme="majorBidi" w:cstheme="majorBidi"/>
          <w:sz w:val="24"/>
          <w:szCs w:val="24"/>
          <w:lang w:bidi="ar-DZ"/>
        </w:rPr>
        <w:t xml:space="preserve"> 2018)</w:t>
      </w:r>
      <w:r w:rsidRPr="00206B59">
        <w:rPr>
          <w:rFonts w:asciiTheme="majorBidi" w:hAnsiTheme="majorBidi" w:cstheme="majorBidi"/>
          <w:sz w:val="24"/>
          <w:szCs w:val="24"/>
          <w:rtl/>
          <w:lang w:bidi="ar-DZ"/>
        </w:rPr>
        <w:t>)</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مؤشرات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للاتصال</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فقط</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بدون</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تطبيق.</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استكشف</w:t>
      </w:r>
      <w:r w:rsidRPr="00206B59">
        <w:rPr>
          <w:rFonts w:ascii="Simplified Arabic" w:hAnsi="Simplified Arabic" w:cs="Simplified Arabic"/>
          <w:sz w:val="24"/>
          <w:szCs w:val="24"/>
          <w:rtl/>
          <w:lang w:bidi="ar-DZ"/>
        </w:rPr>
        <w:t xml:space="preserve"> </w:t>
      </w:r>
      <w:r w:rsidRPr="00206B59">
        <w:rPr>
          <w:rFonts w:asciiTheme="majorBidi" w:hAnsiTheme="majorBidi" w:cstheme="majorBidi"/>
          <w:color w:val="0D0D0D"/>
          <w:sz w:val="24"/>
          <w:szCs w:val="24"/>
        </w:rPr>
        <w:t>(Marcus and Colding, 2014)</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إمكانات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بعض السمات</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الرئيسية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للمرونة</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أي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''التغيير''،</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''التنوع''،</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''التنظيم</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الذاتي''</w:t>
      </w:r>
      <w:r w:rsidRPr="00206B59">
        <w:rPr>
          <w:rFonts w:ascii="Simplified Arabic" w:hAnsi="Simplified Arabic" w:cs="Simplified Arabic"/>
          <w:sz w:val="24"/>
          <w:szCs w:val="24"/>
          <w:rtl/>
          <w:lang w:bidi="ar-DZ"/>
        </w:rPr>
        <w:t xml:space="preserve"> </w:t>
      </w:r>
      <w:r w:rsidRPr="00206B59">
        <w:rPr>
          <w:rFonts w:ascii="Simplified Arabic" w:hAnsi="Simplified Arabic" w:cs="Simplified Arabic" w:hint="cs"/>
          <w:sz w:val="24"/>
          <w:szCs w:val="24"/>
          <w:rtl/>
          <w:lang w:bidi="ar-DZ"/>
        </w:rPr>
        <w:t>و''التعلم''.</w:t>
      </w:r>
      <w:r w:rsidRPr="00206B59">
        <w:rPr>
          <w:rFonts w:ascii="Simplified Arabic" w:hAnsi="Simplified Arabic" w:cs="Simplified Arabic"/>
          <w:sz w:val="24"/>
          <w:szCs w:val="24"/>
          <w:rtl/>
          <w:lang w:bidi="ar-DZ"/>
        </w:rPr>
        <w:t xml:space="preserve"> </w:t>
      </w:r>
    </w:p>
    <w:p w:rsidR="003E0F31" w:rsidRPr="007353F0" w:rsidRDefault="003E0F31" w:rsidP="001D0548">
      <w:pPr>
        <w:pStyle w:val="Paragraphedeliste"/>
        <w:numPr>
          <w:ilvl w:val="1"/>
          <w:numId w:val="206"/>
        </w:numPr>
        <w:tabs>
          <w:tab w:val="right" w:pos="567"/>
        </w:tabs>
        <w:bidi/>
        <w:spacing w:before="240" w:after="0"/>
        <w:ind w:left="0" w:firstLine="0"/>
        <w:outlineLvl w:val="0"/>
        <w:rPr>
          <w:rFonts w:ascii="Simplified Arabic" w:hAnsi="Simplified Arabic" w:cs="Simplified Arabic"/>
          <w:b/>
          <w:bCs/>
          <w:sz w:val="24"/>
          <w:szCs w:val="24"/>
          <w:lang w:bidi="ar-DZ"/>
        </w:rPr>
      </w:pPr>
      <w:bookmarkStart w:id="358" w:name="_Toc171803479"/>
      <w:r w:rsidRPr="007353F0">
        <w:rPr>
          <w:rFonts w:ascii="Simplified Arabic" w:hAnsi="Simplified Arabic" w:cs="Simplified Arabic" w:hint="cs"/>
          <w:b/>
          <w:bCs/>
          <w:sz w:val="24"/>
          <w:szCs w:val="24"/>
          <w:rtl/>
          <w:lang w:bidi="ar-DZ"/>
        </w:rPr>
        <w:t>تفعيل المرونة</w:t>
      </w:r>
      <w:bookmarkEnd w:id="358"/>
    </w:p>
    <w:p w:rsidR="003E0F31" w:rsidRDefault="003E0F31" w:rsidP="003E0F31">
      <w:pPr>
        <w:bidi/>
        <w:spacing w:after="0"/>
        <w:ind w:firstLine="282"/>
        <w:jc w:val="both"/>
        <w:rPr>
          <w:rFonts w:ascii="Simplified Arabic" w:hAnsi="Simplified Arabic" w:cs="Simplified Arabic"/>
          <w:sz w:val="24"/>
          <w:szCs w:val="24"/>
          <w:rtl/>
          <w:lang w:val="en-US"/>
        </w:rPr>
      </w:pPr>
      <w:r w:rsidRPr="00206B59">
        <w:rPr>
          <w:rFonts w:ascii="Simplified Arabic" w:hAnsi="Simplified Arabic" w:cs="Simplified Arabic" w:hint="cs"/>
          <w:color w:val="000000" w:themeColor="text1"/>
          <w:sz w:val="24"/>
          <w:szCs w:val="24"/>
          <w:rtl/>
          <w:lang w:bidi="ar-DZ"/>
        </w:rPr>
        <w:t>باعتبار</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مفهوم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خاصية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النظام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الحضري، ترتبط</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عملية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تفعيلها إلى</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حد</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كبير</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بتحديد</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كيفية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قياس وتقييم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المفهوم</w:t>
      </w:r>
      <w:r w:rsidRPr="00206B59">
        <w:rPr>
          <w:rFonts w:ascii="Simplified Arabic" w:hAnsi="Simplified Arabic" w:cs="Simplified Arabic"/>
          <w:color w:val="000000" w:themeColor="text1"/>
          <w:sz w:val="24"/>
          <w:szCs w:val="24"/>
          <w:rtl/>
          <w:lang w:bidi="ar-DZ"/>
        </w:rPr>
        <w:t xml:space="preserve"> </w:t>
      </w:r>
      <w:r w:rsidRPr="00206B59">
        <w:rPr>
          <w:rFonts w:asciiTheme="majorBidi" w:hAnsiTheme="majorBidi" w:cstheme="majorBidi"/>
          <w:sz w:val="24"/>
          <w:szCs w:val="24"/>
        </w:rPr>
        <w:t>(Adger et al., 2004)</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والى تحديد</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المؤشرات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والعوامل التي</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سيتم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استخدامها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لقياس</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المفهوم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أجل</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إنتاج</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بيانات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عن النظام الحضري</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sz w:val="24"/>
          <w:szCs w:val="24"/>
          <w:rtl/>
          <w:lang w:val="en-US"/>
        </w:rPr>
        <w:t>هذا</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مهم</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بشكل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خاص</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في</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حالة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منهج</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تفعيل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المرونة،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حيث</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أن</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الإطار</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التحليلي لتفعيلها هو</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الأساس</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الذي</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سيتم</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على اساسه بناء</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مؤشرات</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كمية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لذلك،</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فإن</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وضع</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إطار</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للتحليل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هو</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خطوة</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أولى</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نحو</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تفعيل</w:t>
      </w:r>
      <w:r w:rsidRPr="00206B59">
        <w:rPr>
          <w:rFonts w:ascii="Simplified Arabic" w:hAnsi="Simplified Arabic" w:cs="Simplified Arabic"/>
          <w:sz w:val="24"/>
          <w:szCs w:val="24"/>
          <w:rtl/>
          <w:lang w:val="en-US"/>
        </w:rPr>
        <w:t xml:space="preserve"> </w:t>
      </w:r>
      <w:r w:rsidRPr="00206B59">
        <w:rPr>
          <w:rFonts w:ascii="Simplified Arabic" w:hAnsi="Simplified Arabic" w:cs="Simplified Arabic" w:hint="cs"/>
          <w:sz w:val="24"/>
          <w:szCs w:val="24"/>
          <w:rtl/>
          <w:lang w:val="en-US"/>
        </w:rPr>
        <w:t>المرونة</w:t>
      </w:r>
      <w:r w:rsidRPr="00206B59">
        <w:rPr>
          <w:rFonts w:ascii="Simplified Arabic" w:hAnsi="Simplified Arabic" w:cs="Simplified Arabic"/>
          <w:sz w:val="24"/>
          <w:szCs w:val="24"/>
          <w:rtl/>
          <w:lang w:val="en-US"/>
        </w:rPr>
        <w:t>.</w:t>
      </w:r>
      <w:r w:rsidRPr="00206B59">
        <w:rPr>
          <w:rFonts w:ascii="Simplified Arabic" w:hAnsi="Simplified Arabic" w:cs="Simplified Arabic" w:hint="cs"/>
          <w:sz w:val="24"/>
          <w:szCs w:val="24"/>
          <w:rtl/>
          <w:lang w:val="en-US"/>
        </w:rPr>
        <w:t xml:space="preserve"> </w:t>
      </w:r>
    </w:p>
    <w:p w:rsidR="003E0F31" w:rsidRPr="000E21D5" w:rsidRDefault="003E0F31" w:rsidP="001D32BC">
      <w:pPr>
        <w:bidi/>
        <w:spacing w:after="0"/>
        <w:ind w:firstLine="282"/>
        <w:jc w:val="both"/>
        <w:rPr>
          <w:rFonts w:asciiTheme="majorBidi" w:hAnsiTheme="majorBidi" w:cstheme="majorBidi"/>
          <w:color w:val="000000" w:themeColor="text1"/>
          <w:sz w:val="24"/>
          <w:szCs w:val="24"/>
          <w:rtl/>
          <w:lang w:bidi="ar-DZ"/>
        </w:rPr>
      </w:pPr>
      <w:r w:rsidRPr="00206B59">
        <w:rPr>
          <w:rFonts w:ascii="Simplified Arabic" w:hAnsi="Simplified Arabic" w:cs="Simplified Arabic" w:hint="cs"/>
          <w:color w:val="000000" w:themeColor="text1"/>
          <w:sz w:val="24"/>
          <w:szCs w:val="24"/>
          <w:rtl/>
          <w:lang w:bidi="ar-DZ"/>
        </w:rPr>
        <w:t>لكن قبل ذلك</w:t>
      </w:r>
      <w:r w:rsidR="005C6273">
        <w:rPr>
          <w:rFonts w:ascii="Simplified Arabic" w:hAnsi="Simplified Arabic" w:cs="Simplified Arabic" w:hint="cs"/>
          <w:color w:val="000000" w:themeColor="text1"/>
          <w:sz w:val="24"/>
          <w:szCs w:val="24"/>
          <w:rtl/>
          <w:lang w:bidi="ar-DZ"/>
        </w:rPr>
        <w:t>،</w:t>
      </w:r>
      <w:r w:rsidRPr="00206B59">
        <w:rPr>
          <w:rFonts w:ascii="Simplified Arabic" w:hAnsi="Simplified Arabic" w:cs="Simplified Arabic" w:hint="cs"/>
          <w:color w:val="000000" w:themeColor="text1"/>
          <w:sz w:val="24"/>
          <w:szCs w:val="24"/>
          <w:rtl/>
          <w:lang w:bidi="ar-DZ"/>
        </w:rPr>
        <w:t xml:space="preserve"> لابد من تطوير</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أدوات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التقييم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وفق خطوات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مختلفة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مثل</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تعريف</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المجتمع،</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وتحديد</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المؤشرات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وتوحيدها،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وتخصيص</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أوزان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للمؤشرات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المنتقاة</w:t>
      </w:r>
      <w:r w:rsidRPr="00206B59">
        <w:rPr>
          <w:rFonts w:ascii="Simplified Arabic" w:hAnsi="Simplified Arabic" w:cs="Simplified Arabic"/>
          <w:b/>
          <w:bCs/>
          <w:color w:val="000000" w:themeColor="text1"/>
          <w:sz w:val="24"/>
          <w:szCs w:val="24"/>
          <w:rtl/>
          <w:lang w:val="en-US"/>
        </w:rPr>
        <w:t xml:space="preserve"> </w:t>
      </w:r>
      <w:r w:rsidRPr="00206B59">
        <w:rPr>
          <w:rFonts w:asciiTheme="majorBidi" w:hAnsiTheme="majorBidi" w:cstheme="majorBidi"/>
          <w:sz w:val="24"/>
          <w:szCs w:val="24"/>
        </w:rPr>
        <w:t>(Peacock et al., 2010)</w:t>
      </w:r>
      <w:r w:rsidRPr="00206B59">
        <w:rPr>
          <w:rFonts w:ascii="Simplified Arabic" w:hAnsi="Simplified Arabic" w:cs="Simplified Arabic" w:hint="cs"/>
          <w:color w:val="000000" w:themeColor="text1"/>
          <w:sz w:val="24"/>
          <w:szCs w:val="24"/>
          <w:rtl/>
          <w:lang w:bidi="ar-DZ"/>
        </w:rPr>
        <w:t>.</w:t>
      </w:r>
      <w:r w:rsidRPr="00206B59">
        <w:rPr>
          <w:rFonts w:asciiTheme="majorBidi" w:hAnsiTheme="majorBidi" w:cstheme="majorBidi" w:hint="cs"/>
          <w:sz w:val="24"/>
          <w:szCs w:val="24"/>
          <w:rtl/>
        </w:rPr>
        <w:t xml:space="preserve"> </w:t>
      </w:r>
      <w:r w:rsidRPr="00206B59">
        <w:rPr>
          <w:rFonts w:ascii="Simplified Arabic" w:hAnsi="Simplified Arabic" w:cs="Simplified Arabic" w:hint="cs"/>
          <w:color w:val="000000" w:themeColor="text1"/>
          <w:sz w:val="24"/>
          <w:szCs w:val="24"/>
          <w:rtl/>
          <w:lang w:bidi="ar-DZ"/>
        </w:rPr>
        <w:t>لذلك،</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فإن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تفعيل</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يقوم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بشكل</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أساسي</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على</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قياسها</w:t>
      </w:r>
      <w:r w:rsidRPr="00206B59">
        <w:rPr>
          <w:rFonts w:ascii="Simplified Arabic" w:hAnsi="Simplified Arabic" w:cs="Simplified Arabic"/>
          <w:b/>
          <w:bCs/>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bidi="ar-DZ"/>
        </w:rPr>
        <w:t>وعلى إنشاء</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 xml:space="preserve">المؤشرات </w:t>
      </w:r>
      <w:r w:rsidRPr="00206B59">
        <w:rPr>
          <w:rFonts w:asciiTheme="majorBidi" w:hAnsiTheme="majorBidi" w:cstheme="majorBidi"/>
          <w:sz w:val="24"/>
          <w:szCs w:val="24"/>
        </w:rPr>
        <w:t xml:space="preserve">(Dauphiné </w:t>
      </w:r>
      <w:r w:rsidR="001D32BC" w:rsidRPr="00206B59">
        <w:rPr>
          <w:rFonts w:asciiTheme="majorBidi" w:hAnsiTheme="majorBidi" w:cstheme="majorBidi"/>
          <w:sz w:val="24"/>
          <w:szCs w:val="24"/>
        </w:rPr>
        <w:t>&amp;</w:t>
      </w:r>
      <w:r w:rsidRPr="00206B59">
        <w:rPr>
          <w:rFonts w:asciiTheme="majorBidi" w:hAnsiTheme="majorBidi" w:cstheme="majorBidi"/>
          <w:sz w:val="24"/>
          <w:szCs w:val="24"/>
        </w:rPr>
        <w:t xml:space="preserve"> Provitolo, 2007)</w:t>
      </w:r>
      <w:r w:rsidRPr="00206B59">
        <w:rPr>
          <w:rFonts w:ascii="Simplified Arabic" w:hAnsi="Simplified Arabic" w:cs="Simplified Arabic"/>
          <w:sz w:val="24"/>
          <w:szCs w:val="24"/>
          <w:rtl/>
        </w:rPr>
        <w:t xml:space="preserve">. </w:t>
      </w:r>
      <w:r w:rsidRPr="00206B59">
        <w:rPr>
          <w:rFonts w:ascii="Simplified Arabic" w:hAnsi="Simplified Arabic" w:cs="Simplified Arabic" w:hint="cs"/>
          <w:color w:val="000000" w:themeColor="text1"/>
          <w:sz w:val="24"/>
          <w:szCs w:val="24"/>
          <w:rtl/>
          <w:lang w:bidi="ar-DZ"/>
        </w:rPr>
        <w:t>مثال على ذلك، أنشأت</w:t>
      </w:r>
      <w:r w:rsidRPr="00206B59">
        <w:rPr>
          <w:rFonts w:ascii="Simplified Arabic" w:hAnsi="Simplified Arabic" w:cs="Simplified Arabic"/>
          <w:b/>
          <w:bCs/>
          <w:color w:val="000000" w:themeColor="text1"/>
          <w:sz w:val="24"/>
          <w:szCs w:val="24"/>
          <w:rtl/>
          <w:lang w:val="en-US"/>
        </w:rPr>
        <w:t xml:space="preserve"> </w:t>
      </w:r>
      <w:r w:rsidRPr="00206B59">
        <w:rPr>
          <w:rFonts w:asciiTheme="majorBidi" w:hAnsiTheme="majorBidi" w:cstheme="majorBidi" w:hint="cs"/>
          <w:sz w:val="24"/>
          <w:szCs w:val="24"/>
          <w:rtl/>
        </w:rPr>
        <w:t>(</w:t>
      </w:r>
      <w:r w:rsidRPr="00206B59">
        <w:rPr>
          <w:rFonts w:ascii="Simplified Arabic" w:hAnsi="Simplified Arabic" w:cs="Simplified Arabic" w:hint="cs"/>
          <w:color w:val="000000" w:themeColor="text1"/>
          <w:sz w:val="24"/>
          <w:szCs w:val="24"/>
          <w:rtl/>
          <w:lang w:bidi="ar-DZ"/>
        </w:rPr>
        <w:t>2014</w:t>
      </w:r>
      <w:r w:rsidRPr="00206B59">
        <w:rPr>
          <w:rFonts w:ascii="Simplified Arabic" w:hAnsi="Simplified Arabic" w:cs="Simplified Arabic"/>
          <w:color w:val="000000" w:themeColor="text1"/>
          <w:sz w:val="24"/>
          <w:szCs w:val="24"/>
          <w:rtl/>
          <w:lang w:bidi="ar-DZ"/>
        </w:rPr>
        <w:t xml:space="preserve"> </w:t>
      </w:r>
      <w:r w:rsidRPr="00206B59">
        <w:rPr>
          <w:rFonts w:asciiTheme="majorBidi" w:hAnsiTheme="majorBidi" w:cstheme="majorBidi"/>
          <w:sz w:val="24"/>
          <w:szCs w:val="24"/>
        </w:rPr>
        <w:t>Cutter,</w:t>
      </w:r>
      <w:r w:rsidRPr="00206B59">
        <w:rPr>
          <w:rFonts w:asciiTheme="majorBidi" w:hAnsiTheme="majorBidi" w:cstheme="majorBidi" w:hint="cs"/>
          <w:sz w:val="24"/>
          <w:szCs w:val="24"/>
          <w:rtl/>
        </w:rPr>
        <w:t>)</w:t>
      </w:r>
      <w:r w:rsidRPr="00206B59">
        <w:rPr>
          <w:rFonts w:ascii="Simplified Arabic" w:hAnsi="Simplified Arabic" w:cs="Simplified Arabic"/>
          <w:b/>
          <w:bCs/>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bidi="ar-DZ"/>
        </w:rPr>
        <w:t>مجموعة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أساسية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السمات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والأصول</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 مقاييس</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بديلة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تستند</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إلى</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تحليل</w:t>
      </w:r>
      <w:r w:rsidRPr="00206B59">
        <w:rPr>
          <w:rFonts w:ascii="Simplified Arabic" w:hAnsi="Simplified Arabic" w:cs="Simplified Arabic"/>
          <w:color w:val="000000" w:themeColor="text1"/>
          <w:sz w:val="24"/>
          <w:szCs w:val="24"/>
          <w:rtl/>
          <w:lang w:bidi="ar-DZ"/>
        </w:rPr>
        <w:t xml:space="preserve"> 27 </w:t>
      </w:r>
      <w:r w:rsidRPr="00206B59">
        <w:rPr>
          <w:rFonts w:ascii="Simplified Arabic" w:hAnsi="Simplified Arabic" w:cs="Simplified Arabic" w:hint="cs"/>
          <w:color w:val="000000" w:themeColor="text1"/>
          <w:sz w:val="24"/>
          <w:szCs w:val="24"/>
          <w:rtl/>
          <w:lang w:bidi="ar-DZ"/>
        </w:rPr>
        <w:t>مؤشرًا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كأداةً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لتقييم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 لذلك، تعتبر المؤشرات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أدوات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قوية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بسبب</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قدرتها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على</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تلخيص</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البيانات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التقنية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الأكثر</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تعقيدًا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بطريقة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أبسط</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يمكن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لغير</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الخبراء</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فهمها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بسهولة</w:t>
      </w:r>
      <w:r w:rsidRPr="00206B59">
        <w:rPr>
          <w:rFonts w:ascii="Simplified Arabic" w:hAnsi="Simplified Arabic" w:cs="Simplified Arabic"/>
          <w:color w:val="000000" w:themeColor="text1"/>
          <w:sz w:val="24"/>
          <w:szCs w:val="24"/>
          <w:rtl/>
          <w:lang w:bidi="ar-DZ"/>
        </w:rPr>
        <w:t xml:space="preserve"> </w:t>
      </w:r>
      <w:r w:rsidRPr="00206B59">
        <w:rPr>
          <w:rFonts w:asciiTheme="majorBidi" w:hAnsiTheme="majorBidi" w:cstheme="majorBidi"/>
          <w:sz w:val="24"/>
          <w:szCs w:val="24"/>
        </w:rPr>
        <w:t>(Birkmann, 2006)</w:t>
      </w:r>
      <w:r w:rsidRPr="00206B59">
        <w:rPr>
          <w:rFonts w:ascii="Simplified Arabic" w:hAnsi="Simplified Arabic" w:cs="Simplified Arabic" w:hint="cs"/>
          <w:color w:val="000000" w:themeColor="text1"/>
          <w:sz w:val="24"/>
          <w:szCs w:val="24"/>
          <w:rtl/>
          <w:lang w:bidi="ar-DZ"/>
        </w:rPr>
        <w:t>.</w:t>
      </w:r>
    </w:p>
    <w:p w:rsidR="003E0F31" w:rsidRDefault="003E0F31" w:rsidP="005C6273">
      <w:pPr>
        <w:bidi/>
        <w:spacing w:after="0"/>
        <w:ind w:firstLine="282"/>
        <w:jc w:val="both"/>
        <w:rPr>
          <w:rFonts w:ascii="Simplified Arabic" w:hAnsi="Simplified Arabic" w:cs="Simplified Arabic"/>
          <w:color w:val="231F20"/>
          <w:sz w:val="24"/>
          <w:szCs w:val="24"/>
          <w:rtl/>
        </w:rPr>
      </w:pPr>
      <w:r w:rsidRPr="00206B59">
        <w:rPr>
          <w:rFonts w:ascii="Simplified Arabic" w:hAnsi="Simplified Arabic" w:cs="Simplified Arabic" w:hint="cs"/>
          <w:color w:val="000000" w:themeColor="text1"/>
          <w:sz w:val="24"/>
          <w:szCs w:val="24"/>
          <w:rtl/>
          <w:lang w:bidi="ar-DZ"/>
        </w:rPr>
        <w:t>هناك</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حاجة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إلى</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أداة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قياس</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لتفعيل</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واستخدامها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في</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التخطيط</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ووضع</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سياسات التنمية المحلية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يعد</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تعريف</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حيث</w:t>
      </w:r>
      <w:r w:rsidRPr="00206B59">
        <w:rPr>
          <w:rFonts w:ascii="Simplified Arabic" w:hAnsi="Simplified Arabic" w:cs="Simplified Arabic"/>
          <w:color w:val="000000" w:themeColor="text1"/>
          <w:sz w:val="24"/>
          <w:szCs w:val="24"/>
          <w:rtl/>
          <w:lang w:bidi="ar-DZ"/>
        </w:rPr>
        <w:t xml:space="preserve"> </w:t>
      </w:r>
      <w:r w:rsidR="005C6273">
        <w:rPr>
          <w:rFonts w:ascii="Simplified Arabic" w:hAnsi="Simplified Arabic" w:cs="Simplified Arabic" w:hint="cs"/>
          <w:color w:val="000000" w:themeColor="text1"/>
          <w:sz w:val="24"/>
          <w:szCs w:val="24"/>
          <w:rtl/>
          <w:lang w:bidi="ar-DZ"/>
        </w:rPr>
        <w:t>''</w:t>
      </w:r>
      <w:r w:rsidRPr="00206B59">
        <w:rPr>
          <w:rFonts w:ascii="Simplified Arabic" w:hAnsi="Simplified Arabic" w:cs="Simplified Arabic" w:hint="cs"/>
          <w:color w:val="000000" w:themeColor="text1"/>
          <w:sz w:val="24"/>
          <w:szCs w:val="24"/>
          <w:rtl/>
          <w:lang w:bidi="ar-DZ"/>
        </w:rPr>
        <w:t>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الذي</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يحدث</w:t>
      </w:r>
      <w:r w:rsidR="005C6273">
        <w:rPr>
          <w:rFonts w:ascii="Simplified Arabic" w:hAnsi="Simplified Arabic" w:cs="Simplified Arabic" w:hint="cs"/>
          <w:color w:val="000000" w:themeColor="text1"/>
          <w:sz w:val="24"/>
          <w:szCs w:val="24"/>
          <w:rtl/>
          <w:lang w:bidi="ar-DZ"/>
        </w:rPr>
        <w:t>''</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أمرًا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مهمًا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لقياس</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w:t>
      </w:r>
      <w:r w:rsidRPr="00206B59">
        <w:rPr>
          <w:rFonts w:ascii="Simplified Arabic" w:hAnsi="Simplified Arabic" w:cs="Simplified Arabic" w:hint="cs"/>
          <w:b/>
          <w:bCs/>
          <w:color w:val="000000" w:themeColor="text1"/>
          <w:sz w:val="24"/>
          <w:szCs w:val="24"/>
          <w:rtl/>
          <w:lang w:val="en-US" w:bidi="ar-DZ"/>
        </w:rPr>
        <w:t xml:space="preserve">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sz w:val="24"/>
          <w:szCs w:val="24"/>
        </w:rPr>
        <w:t>Carpenter</w:t>
      </w:r>
      <w:r w:rsidR="002A01D3" w:rsidRPr="00206B59">
        <w:rPr>
          <w:rFonts w:asciiTheme="majorBidi" w:hAnsiTheme="majorBidi" w:cstheme="majorBidi"/>
          <w:sz w:val="24"/>
          <w:szCs w:val="24"/>
        </w:rPr>
        <w:t xml:space="preserve"> et al., </w:t>
      </w:r>
      <w:r w:rsidRPr="00206B59">
        <w:rPr>
          <w:rFonts w:asciiTheme="majorBidi" w:hAnsiTheme="majorBidi" w:cstheme="majorBidi"/>
          <w:sz w:val="24"/>
          <w:szCs w:val="24"/>
        </w:rPr>
        <w:t>2001</w:t>
      </w:r>
      <w:r w:rsidRPr="00206B59">
        <w:rPr>
          <w:rFonts w:asciiTheme="majorBidi" w:hAnsiTheme="majorBidi" w:cstheme="majorBidi"/>
          <w:color w:val="000000" w:themeColor="text1"/>
          <w:sz w:val="24"/>
          <w:szCs w:val="24"/>
          <w:rtl/>
          <w:lang w:val="en-US" w:bidi="ar-DZ"/>
        </w:rPr>
        <w:t>)</w:t>
      </w:r>
      <w:r w:rsidRPr="00206B59">
        <w:rPr>
          <w:rFonts w:ascii="Simplified Arabic" w:hAnsi="Simplified Arabic" w:cs="Simplified Arabic"/>
          <w:color w:val="000000" w:themeColor="text1"/>
          <w:sz w:val="24"/>
          <w:szCs w:val="24"/>
          <w:rtl/>
          <w:lang w:bidi="ar-DZ"/>
        </w:rPr>
        <w:t>.</w:t>
      </w:r>
      <w:r w:rsidRPr="00206B59">
        <w:rPr>
          <w:rFonts w:ascii="Simplified Arabic" w:hAnsi="Simplified Arabic" w:cs="Simplified Arabic"/>
          <w:b/>
          <w:bCs/>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bidi="ar-DZ"/>
        </w:rPr>
        <w:t>تؤثر</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التعريفات</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على</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كيفية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تقييم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بسبب</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المعايير</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المستمدة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تفسيراتها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في بعض الاحيان، تؤدي</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التعاريف</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والأوصاف</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المختلفة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للمرونة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الحضرية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إلى</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العديد</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من</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طرق</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التقييم</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المختلفة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تعزز</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الممارسة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تحديدًا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كيفية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وصف</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المرونة</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أو</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تصورها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وما</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يجب</w:t>
      </w:r>
      <w:r w:rsidRPr="00206B59">
        <w:rPr>
          <w:rFonts w:ascii="Simplified Arabic" w:hAnsi="Simplified Arabic" w:cs="Simplified Arabic"/>
          <w:color w:val="000000" w:themeColor="text1"/>
          <w:sz w:val="24"/>
          <w:szCs w:val="24"/>
          <w:rtl/>
          <w:lang w:bidi="ar-DZ"/>
        </w:rPr>
        <w:t xml:space="preserve"> </w:t>
      </w:r>
      <w:r w:rsidRPr="00206B59">
        <w:rPr>
          <w:rFonts w:ascii="Simplified Arabic" w:hAnsi="Simplified Arabic" w:cs="Simplified Arabic" w:hint="cs"/>
          <w:color w:val="000000" w:themeColor="text1"/>
          <w:sz w:val="24"/>
          <w:szCs w:val="24"/>
          <w:rtl/>
          <w:lang w:bidi="ar-DZ"/>
        </w:rPr>
        <w:t>قياسه.</w:t>
      </w:r>
      <w:r w:rsidRPr="00206B59">
        <w:rPr>
          <w:rFonts w:ascii="Simplified Arabic" w:hAnsi="Simplified Arabic" w:cs="Simplified Arabic" w:hint="cs"/>
          <w:color w:val="231F20"/>
          <w:sz w:val="24"/>
          <w:szCs w:val="24"/>
          <w:rtl/>
        </w:rPr>
        <w:t xml:space="preserve"> </w:t>
      </w:r>
    </w:p>
    <w:p w:rsidR="003E0F31" w:rsidRPr="004B5823" w:rsidRDefault="003E0F31" w:rsidP="00B12AEF">
      <w:pPr>
        <w:shd w:val="clear" w:color="auto" w:fill="FFFFFF" w:themeFill="background1"/>
        <w:bidi/>
        <w:ind w:firstLine="282"/>
        <w:jc w:val="both"/>
        <w:rPr>
          <w:rFonts w:ascii="Simplified Arabic" w:hAnsi="Simplified Arabic" w:cs="Simplified Arabic"/>
          <w:color w:val="000000" w:themeColor="text1"/>
          <w:sz w:val="24"/>
          <w:szCs w:val="24"/>
          <w:rtl/>
          <w:lang w:bidi="ar-DZ"/>
        </w:rPr>
      </w:pPr>
      <w:r w:rsidRPr="00206B59">
        <w:rPr>
          <w:rFonts w:ascii="Simplified Arabic" w:hAnsi="Simplified Arabic" w:cs="Simplified Arabic" w:hint="cs"/>
          <w:color w:val="231F20"/>
          <w:sz w:val="24"/>
          <w:szCs w:val="24"/>
          <w:rtl/>
        </w:rPr>
        <w:t>العلاقات</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الديناميكية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بين</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المجتمعات</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والبيئة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الطبيعية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و</w:t>
      </w:r>
      <w:r w:rsidR="008E533E">
        <w:rPr>
          <w:rFonts w:ascii="Simplified Arabic" w:hAnsi="Simplified Arabic" w:cs="Simplified Arabic" w:hint="cs"/>
          <w:sz w:val="24"/>
          <w:szCs w:val="24"/>
          <w:rtl/>
          <w:lang w:val="en-US"/>
        </w:rPr>
        <w:t>الحضرية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تجعل</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تفعيل</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المرونة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مشكلة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صعبة وامر معقد</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رغم ذلك، يوجد</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حاليًا</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عدد</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من</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الأطر</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النظرية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المقترحة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التي</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تحلل</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المفهوم،</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وفي</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الكثير</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من</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الحالات،</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تم</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تطوير</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عدة نماذج وأدوات</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لقياس</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ومقارنة</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المرونة</w:t>
      </w:r>
      <w:r w:rsidRPr="00206B59">
        <w:rPr>
          <w:rFonts w:ascii="Simplified Arabic" w:hAnsi="Simplified Arabic" w:cs="Simplified Arabic"/>
          <w:color w:val="231F20"/>
          <w:sz w:val="24"/>
          <w:szCs w:val="24"/>
          <w:rtl/>
        </w:rPr>
        <w:t xml:space="preserve"> </w:t>
      </w:r>
      <w:r w:rsidRPr="00206B59">
        <w:rPr>
          <w:rFonts w:asciiTheme="majorBidi" w:hAnsiTheme="majorBidi" w:cstheme="majorBidi"/>
          <w:sz w:val="24"/>
          <w:szCs w:val="24"/>
        </w:rPr>
        <w:t>(Cutter et al., 2008; Mayunga,</w:t>
      </w:r>
      <w:r w:rsidR="00EA0DC8" w:rsidRPr="00206B59">
        <w:rPr>
          <w:rFonts w:asciiTheme="majorBidi" w:hAnsiTheme="majorBidi" w:cstheme="majorBidi"/>
          <w:sz w:val="24"/>
          <w:szCs w:val="24"/>
        </w:rPr>
        <w:t xml:space="preserve"> </w:t>
      </w:r>
      <w:r w:rsidRPr="00206B59">
        <w:rPr>
          <w:rFonts w:asciiTheme="majorBidi" w:hAnsiTheme="majorBidi" w:cstheme="majorBidi"/>
          <w:sz w:val="24"/>
          <w:szCs w:val="24"/>
        </w:rPr>
        <w:t>2007; Renschler et al., 2010)</w:t>
      </w:r>
      <w:r w:rsidRPr="00206B59">
        <w:rPr>
          <w:rFonts w:ascii="Simplified Arabic" w:hAnsi="Simplified Arabic" w:cs="Simplified Arabic"/>
          <w:color w:val="231F20"/>
          <w:sz w:val="24"/>
          <w:szCs w:val="24"/>
          <w:rtl/>
        </w:rPr>
        <w:t>.</w:t>
      </w:r>
      <w:r w:rsidRPr="00206B59">
        <w:rPr>
          <w:rFonts w:asciiTheme="minorBidi" w:hAnsiTheme="minorBidi" w:cs="Arial"/>
          <w:sz w:val="24"/>
          <w:szCs w:val="24"/>
          <w:rtl/>
          <w:lang w:bidi="ar-DZ"/>
        </w:rPr>
        <w:t xml:space="preserve"> </w:t>
      </w:r>
    </w:p>
    <w:p w:rsidR="003E0F31" w:rsidRPr="007353F0" w:rsidRDefault="003E0F31" w:rsidP="001D0548">
      <w:pPr>
        <w:pStyle w:val="Paragraphedeliste"/>
        <w:numPr>
          <w:ilvl w:val="2"/>
          <w:numId w:val="193"/>
        </w:numPr>
        <w:shd w:val="clear" w:color="auto" w:fill="FFFFFF" w:themeFill="background1"/>
        <w:tabs>
          <w:tab w:val="right" w:pos="850"/>
        </w:tabs>
        <w:bidi/>
        <w:spacing w:before="240" w:after="0"/>
        <w:ind w:left="0" w:firstLine="0"/>
        <w:outlineLvl w:val="1"/>
        <w:rPr>
          <w:rFonts w:ascii="Simplified Arabic" w:hAnsi="Simplified Arabic" w:cs="Simplified Arabic"/>
          <w:b/>
          <w:bCs/>
          <w:sz w:val="24"/>
          <w:szCs w:val="24"/>
          <w:rtl/>
          <w:lang w:bidi="ar-DZ"/>
        </w:rPr>
      </w:pPr>
      <w:bookmarkStart w:id="359" w:name="_Toc171803480"/>
      <w:r w:rsidRPr="007353F0">
        <w:rPr>
          <w:rFonts w:ascii="Simplified Arabic" w:hAnsi="Simplified Arabic" w:cs="Simplified Arabic" w:hint="cs"/>
          <w:b/>
          <w:bCs/>
          <w:sz w:val="24"/>
          <w:szCs w:val="24"/>
          <w:rtl/>
          <w:lang w:bidi="ar-DZ"/>
        </w:rPr>
        <w:lastRenderedPageBreak/>
        <w:t>تعريف المؤشرات:</w:t>
      </w:r>
      <w:bookmarkEnd w:id="359"/>
    </w:p>
    <w:p w:rsidR="003E0F31" w:rsidRDefault="003E0F31" w:rsidP="00D87672">
      <w:pPr>
        <w:shd w:val="clear" w:color="auto" w:fill="FFFFFF" w:themeFill="background1"/>
        <w:bidi/>
        <w:spacing w:after="0"/>
        <w:ind w:firstLine="282"/>
        <w:jc w:val="both"/>
        <w:rPr>
          <w:rFonts w:ascii="Simplified Arabic" w:hAnsi="Simplified Arabic" w:cs="Simplified Arabic"/>
          <w:color w:val="000000" w:themeColor="text1"/>
          <w:sz w:val="24"/>
          <w:szCs w:val="24"/>
          <w:rtl/>
          <w:lang w:val="en-US"/>
        </w:rPr>
      </w:pPr>
      <w:r w:rsidRPr="00206B59">
        <w:rPr>
          <w:rFonts w:ascii="Simplified Arabic" w:hAnsi="Simplified Arabic" w:cs="Simplified Arabic" w:hint="cs"/>
          <w:color w:val="000000" w:themeColor="text1"/>
          <w:sz w:val="24"/>
          <w:szCs w:val="24"/>
          <w:rtl/>
          <w:lang w:val="en-US"/>
        </w:rPr>
        <w:t>المؤشرات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متغيرات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كمية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تهدف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إلى</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تمثيل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خاصية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نظام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مفهوم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لقد تم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استخدامها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عموما لتوضيح</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عملية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صنع</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القرار،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وتحسين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مشاركة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مسيّري الشأن الحضري،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وبناء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توافق</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الآراء،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واستكشاف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العمليات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الأساسية،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وما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إلى</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 xml:space="preserve">ذلك </w:t>
      </w:r>
      <w:r w:rsidRPr="00206B59">
        <w:rPr>
          <w:rFonts w:asciiTheme="majorBidi" w:hAnsiTheme="majorBidi" w:cstheme="majorBidi"/>
          <w:sz w:val="24"/>
          <w:szCs w:val="24"/>
        </w:rPr>
        <w:t>(Parris and Kates, 2003)</w:t>
      </w:r>
      <w:r w:rsidRPr="00206B59">
        <w:rPr>
          <w:rFonts w:ascii="Simplified Arabic" w:hAnsi="Simplified Arabic" w:cs="Simplified Arabic"/>
          <w:sz w:val="24"/>
          <w:szCs w:val="24"/>
          <w:rtl/>
        </w:rPr>
        <w:t xml:space="preserve">. </w:t>
      </w:r>
      <w:r w:rsidRPr="00206B59">
        <w:rPr>
          <w:rFonts w:ascii="Simplified Arabic" w:hAnsi="Simplified Arabic" w:cs="Simplified Arabic" w:hint="cs"/>
          <w:color w:val="000000" w:themeColor="text1"/>
          <w:sz w:val="24"/>
          <w:szCs w:val="24"/>
          <w:rtl/>
          <w:lang w:val="en-US"/>
        </w:rPr>
        <w:t>الهدف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توفير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''معلومات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لمساعدة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الفاعل،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فرديًا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جماعيًا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بشكل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عام،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لتوجيه</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مسار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العمل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نحو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تحقيق</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هدف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لتمكينه</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تقييم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النتيجة''</w:t>
      </w:r>
      <w:r w:rsidRPr="00206B59">
        <w:rPr>
          <w:rFonts w:ascii="Simplified Arabic" w:hAnsi="Simplified Arabic" w:cs="Simplified Arabic"/>
          <w:color w:val="000000" w:themeColor="text1"/>
          <w:sz w:val="24"/>
          <w:szCs w:val="24"/>
          <w:rtl/>
          <w:lang w:val="en-US"/>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Bonnefous, 2001</w:t>
      </w:r>
      <w:r w:rsidRPr="00206B59">
        <w:rPr>
          <w:rFonts w:asciiTheme="majorBidi" w:hAnsiTheme="majorBidi" w:cstheme="majorBidi"/>
          <w:sz w:val="24"/>
          <w:szCs w:val="24"/>
          <w:rtl/>
        </w:rPr>
        <w:t>)</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يمكن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يكون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 معلمة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قيمة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مسندًا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حتى</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ملاحظة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هدفها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إعطاء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وصف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ظاهرة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موقف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 عملية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الضروري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مسبقًا تحديد</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الهدف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 انشاء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هذ</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يمكن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يتكون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متغير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واحد</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مثل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الدخل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مجموعة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المتغيرات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مثل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الناتج</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المحلي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الإجمالي</w:t>
      </w:r>
      <w:r w:rsidRPr="00206B59">
        <w:rPr>
          <w:rFonts w:ascii="Simplified Arabic" w:hAnsi="Simplified Arabic" w:cs="Simplified Arabic"/>
          <w:color w:val="000000" w:themeColor="text1"/>
          <w:sz w:val="24"/>
          <w:szCs w:val="24"/>
          <w:rtl/>
          <w:lang w:val="en-US"/>
        </w:rPr>
        <w:t>)</w:t>
      </w:r>
      <w:r w:rsidRPr="00206B59">
        <w:rPr>
          <w:rFonts w:ascii="Simplified Arabic" w:hAnsi="Simplified Arabic" w:cs="Simplified Arabic" w:hint="cs"/>
          <w:color w:val="000000" w:themeColor="text1"/>
          <w:sz w:val="24"/>
          <w:szCs w:val="24"/>
          <w:rtl/>
          <w:lang w:val="en-US"/>
        </w:rPr>
        <w:t xml:space="preserve">، </w:t>
      </w:r>
      <w:r w:rsidRPr="00206B59">
        <w:rPr>
          <w:rFonts w:ascii="Simplified Arabic" w:eastAsia="Times New Roman" w:hAnsi="Simplified Arabic" w:cs="Simplified Arabic" w:hint="cs"/>
          <w:b/>
          <w:sz w:val="24"/>
          <w:szCs w:val="24"/>
          <w:rtl/>
          <w:lang w:val="en-US" w:eastAsia="fr-FR"/>
        </w:rPr>
        <w:t>الشكل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w:t>
      </w:r>
      <w:r w:rsidR="00D87672" w:rsidRPr="00206B59">
        <w:rPr>
          <w:rFonts w:ascii="Simplified Arabic" w:eastAsia="Times New Roman" w:hAnsi="Simplified Arabic" w:cs="Simplified Arabic" w:hint="cs"/>
          <w:b/>
          <w:sz w:val="24"/>
          <w:szCs w:val="24"/>
          <w:rtl/>
          <w:lang w:val="en-US" w:eastAsia="fr-FR"/>
        </w:rPr>
        <w:t>2-11</w:t>
      </w:r>
      <w:r w:rsidRPr="00206B59">
        <w:rPr>
          <w:rFonts w:ascii="Simplified Arabic" w:eastAsia="Times New Roman" w:hAnsi="Simplified Arabic" w:cs="Simplified Arabic" w:hint="cs"/>
          <w:b/>
          <w:sz w:val="24"/>
          <w:szCs w:val="24"/>
          <w:rtl/>
          <w:lang w:val="en-US" w:eastAsia="fr-FR"/>
        </w:rPr>
        <w:t>)</w:t>
      </w:r>
      <w:r w:rsidRPr="00206B59">
        <w:rPr>
          <w:rFonts w:ascii="Simplified Arabic" w:hAnsi="Simplified Arabic" w:cs="Simplified Arabic" w:hint="cs"/>
          <w:color w:val="000000" w:themeColor="text1"/>
          <w:sz w:val="24"/>
          <w:szCs w:val="24"/>
          <w:rtl/>
          <w:lang w:val="en-US"/>
        </w:rPr>
        <w:t>.</w:t>
      </w:r>
    </w:p>
    <w:p w:rsidR="003E0F31" w:rsidRPr="00264FC1" w:rsidRDefault="003E0F31" w:rsidP="00131A88">
      <w:pPr>
        <w:pStyle w:val="fegure"/>
        <w:spacing w:before="240"/>
        <w:rPr>
          <w:szCs w:val="24"/>
          <w:rtl/>
          <w:lang w:val="en-US" w:eastAsia="fr-FR"/>
        </w:rPr>
      </w:pPr>
      <w:bookmarkStart w:id="360" w:name="_Toc157608297"/>
      <w:bookmarkStart w:id="361" w:name="_Toc171803481"/>
      <w:r w:rsidRPr="00264FC1">
        <w:rPr>
          <w:rFonts w:hint="cs"/>
          <w:szCs w:val="24"/>
          <w:rtl/>
          <w:lang w:val="en-US" w:eastAsia="fr-FR"/>
        </w:rPr>
        <w:t>الشكل</w:t>
      </w:r>
      <w:r w:rsidRPr="00264FC1">
        <w:rPr>
          <w:szCs w:val="24"/>
          <w:rtl/>
          <w:lang w:val="en-US" w:eastAsia="fr-FR"/>
        </w:rPr>
        <w:t xml:space="preserve"> </w:t>
      </w:r>
      <w:r w:rsidRPr="00264FC1">
        <w:rPr>
          <w:rFonts w:hint="cs"/>
          <w:szCs w:val="24"/>
          <w:rtl/>
          <w:lang w:val="en-US" w:eastAsia="fr-FR"/>
        </w:rPr>
        <w:t>(</w:t>
      </w:r>
      <w:r w:rsidR="00D87672" w:rsidRPr="00264FC1">
        <w:rPr>
          <w:rFonts w:hint="cs"/>
          <w:szCs w:val="24"/>
          <w:rtl/>
          <w:lang w:val="en-US" w:eastAsia="fr-FR"/>
        </w:rPr>
        <w:t>2-11</w:t>
      </w:r>
      <w:r w:rsidRPr="00264FC1">
        <w:rPr>
          <w:rFonts w:hint="cs"/>
          <w:szCs w:val="24"/>
          <w:rtl/>
          <w:lang w:val="en-US" w:eastAsia="fr-FR"/>
        </w:rPr>
        <w:t>): تمثيل بياني لبناء مؤشرات للمرونة</w:t>
      </w:r>
      <w:bookmarkEnd w:id="360"/>
      <w:bookmarkEnd w:id="361"/>
      <w:r w:rsidRPr="00264FC1">
        <w:rPr>
          <w:rFonts w:hint="cs"/>
          <w:szCs w:val="24"/>
          <w:rtl/>
          <w:lang w:val="en-US" w:eastAsia="fr-FR"/>
        </w:rPr>
        <w:t xml:space="preserve"> </w:t>
      </w:r>
    </w:p>
    <w:p w:rsidR="003E0F31" w:rsidRPr="000A623E" w:rsidRDefault="003E0F31" w:rsidP="003E0F31">
      <w:pPr>
        <w:tabs>
          <w:tab w:val="right" w:pos="281"/>
        </w:tabs>
        <w:bidi/>
        <w:spacing w:after="0" w:line="240" w:lineRule="auto"/>
        <w:ind w:firstLine="282"/>
        <w:jc w:val="center"/>
        <w:rPr>
          <w:rFonts w:asciiTheme="majorBidi" w:hAnsiTheme="majorBidi" w:cstheme="majorBidi"/>
          <w:bCs/>
          <w:sz w:val="24"/>
          <w:szCs w:val="24"/>
          <w:rtl/>
        </w:rPr>
      </w:pPr>
      <w:r w:rsidRPr="000A623E">
        <w:rPr>
          <w:rFonts w:ascii="Simplified Arabic" w:eastAsia="Times New Roman" w:hAnsi="Simplified Arabic" w:cs="Simplified Arabic" w:hint="cs"/>
          <w:bCs/>
          <w:sz w:val="24"/>
          <w:szCs w:val="24"/>
          <w:rtl/>
          <w:lang w:val="en-US" w:eastAsia="fr-FR"/>
        </w:rPr>
        <w:t xml:space="preserve">المصدر: </w:t>
      </w:r>
      <w:r w:rsidRPr="000A623E">
        <w:rPr>
          <w:rFonts w:asciiTheme="majorBidi" w:hAnsiTheme="majorBidi" w:cstheme="majorBidi"/>
          <w:bCs/>
          <w:sz w:val="24"/>
          <w:szCs w:val="24"/>
        </w:rPr>
        <w:t>Birkmann, 2006)</w:t>
      </w:r>
      <w:r w:rsidRPr="000A623E">
        <w:rPr>
          <w:rFonts w:asciiTheme="majorBidi" w:hAnsiTheme="majorBidi" w:cstheme="majorBidi"/>
          <w:bCs/>
          <w:sz w:val="24"/>
          <w:szCs w:val="24"/>
          <w:rtl/>
        </w:rPr>
        <w:t>)</w:t>
      </w:r>
    </w:p>
    <w:p w:rsidR="003E0F31" w:rsidRDefault="003E0F31" w:rsidP="00B200D9">
      <w:pPr>
        <w:tabs>
          <w:tab w:val="right" w:pos="281"/>
          <w:tab w:val="left" w:pos="3542"/>
          <w:tab w:val="left" w:pos="4959"/>
          <w:tab w:val="left" w:pos="5101"/>
          <w:tab w:val="left" w:pos="5243"/>
          <w:tab w:val="left" w:pos="6519"/>
        </w:tabs>
        <w:bidi/>
        <w:spacing w:before="240" w:line="240" w:lineRule="auto"/>
        <w:ind w:firstLine="282"/>
        <w:jc w:val="center"/>
        <w:rPr>
          <w:rFonts w:ascii="TimesNewRomanPSMT" w:eastAsia="Calibri" w:hAnsi="TimesNewRomanPSMT" w:cs="Times New Roman"/>
          <w:sz w:val="24"/>
          <w:szCs w:val="24"/>
          <w:rtl/>
          <w:lang w:eastAsia="fr-FR"/>
        </w:rPr>
      </w:pPr>
      <w:r>
        <w:rPr>
          <w:rFonts w:ascii="TimesNewRomanPSMT" w:eastAsia="Calibri" w:hAnsi="TimesNewRomanPSMT" w:cs="Times New Roman" w:hint="cs"/>
          <w:noProof/>
          <w:sz w:val="24"/>
          <w:szCs w:val="24"/>
          <w:rtl/>
          <w:lang w:eastAsia="fr-FR"/>
        </w:rPr>
        <w:drawing>
          <wp:inline distT="0" distB="0" distL="0" distR="0" wp14:anchorId="3D67EC75" wp14:editId="56E71F51">
            <wp:extent cx="4152900" cy="2371725"/>
            <wp:effectExtent l="0" t="0" r="19050" b="9525"/>
            <wp:docPr id="130" name="Diagramme 1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5" r:lo="rId116" r:qs="rId117" r:cs="rId118"/>
              </a:graphicData>
            </a:graphic>
          </wp:inline>
        </w:drawing>
      </w:r>
    </w:p>
    <w:p w:rsidR="003E0F31" w:rsidRPr="007353F0" w:rsidRDefault="003E0F31" w:rsidP="001D0548">
      <w:pPr>
        <w:pStyle w:val="Paragraphedeliste"/>
        <w:numPr>
          <w:ilvl w:val="2"/>
          <w:numId w:val="194"/>
        </w:numPr>
        <w:tabs>
          <w:tab w:val="right" w:pos="850"/>
        </w:tabs>
        <w:bidi/>
        <w:spacing w:before="240" w:after="0"/>
        <w:ind w:left="0" w:firstLine="0"/>
        <w:outlineLvl w:val="1"/>
        <w:rPr>
          <w:rFonts w:ascii="Simplified Arabic" w:hAnsi="Simplified Arabic" w:cs="Simplified Arabic"/>
          <w:b/>
          <w:bCs/>
          <w:sz w:val="24"/>
          <w:szCs w:val="24"/>
          <w:rtl/>
          <w:lang w:bidi="ar-DZ"/>
        </w:rPr>
      </w:pPr>
      <w:bookmarkStart w:id="362" w:name="_Toc171803482"/>
      <w:r w:rsidRPr="007353F0">
        <w:rPr>
          <w:rFonts w:ascii="Simplified Arabic" w:hAnsi="Simplified Arabic" w:cs="Simplified Arabic" w:hint="cs"/>
          <w:b/>
          <w:bCs/>
          <w:sz w:val="24"/>
          <w:szCs w:val="24"/>
          <w:rtl/>
          <w:lang w:bidi="ar-DZ"/>
        </w:rPr>
        <w:t>دور المؤشرات في بناء المرونة</w:t>
      </w:r>
      <w:bookmarkEnd w:id="362"/>
    </w:p>
    <w:p w:rsidR="003E0F31" w:rsidRDefault="003E0F31" w:rsidP="003166C4">
      <w:pPr>
        <w:bidi/>
        <w:spacing w:after="0"/>
        <w:ind w:firstLine="282"/>
        <w:jc w:val="both"/>
        <w:rPr>
          <w:rFonts w:ascii="Simplified Arabic" w:hAnsi="Simplified Arabic" w:cs="Simplified Arabic"/>
          <w:color w:val="000000" w:themeColor="text1"/>
          <w:sz w:val="24"/>
          <w:szCs w:val="24"/>
          <w:rtl/>
          <w:lang w:val="en-US"/>
        </w:rPr>
      </w:pPr>
      <w:r w:rsidRPr="00206B59">
        <w:rPr>
          <w:rFonts w:ascii="Simplified Arabic" w:hAnsi="Simplified Arabic" w:cs="Simplified Arabic" w:hint="cs"/>
          <w:color w:val="000000" w:themeColor="text1"/>
          <w:sz w:val="24"/>
          <w:szCs w:val="24"/>
          <w:rtl/>
          <w:lang w:val="en-US"/>
        </w:rPr>
        <w:t>المؤشرات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التي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تقيس</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مرونة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المدن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جزء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عملية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بناء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المرونة وفي نفس الوقت تفعيل للمفهوم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تجمع</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البيانات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والمعلومات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أجل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تجميع</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المعرفة،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وهو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أمر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ضروري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لتكون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قادرًا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على</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اتخاذ</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الخيارات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الصحيحة</w:t>
      </w:r>
      <w:r w:rsidRPr="00206B59">
        <w:rPr>
          <w:rFonts w:ascii="Simplified Arabic" w:hAnsi="Simplified Arabic" w:cs="Simplified Arabic"/>
          <w:color w:val="000000" w:themeColor="text1"/>
          <w:sz w:val="24"/>
          <w:szCs w:val="24"/>
          <w:rtl/>
          <w:lang w:val="en-US"/>
        </w:rPr>
        <w:t xml:space="preserve"> </w:t>
      </w:r>
      <w:r w:rsidRPr="00206B59">
        <w:rPr>
          <w:rFonts w:asciiTheme="majorBidi" w:hAnsiTheme="majorBidi" w:cstheme="majorBidi"/>
          <w:color w:val="000000" w:themeColor="text1"/>
          <w:sz w:val="24"/>
          <w:szCs w:val="24"/>
          <w:rtl/>
          <w:lang w:val="en-US"/>
        </w:rPr>
        <w:t>(</w:t>
      </w:r>
      <w:r w:rsidRPr="00206B59">
        <w:rPr>
          <w:rFonts w:asciiTheme="majorBidi" w:hAnsiTheme="majorBidi" w:cstheme="majorBidi"/>
          <w:color w:val="000000" w:themeColor="text1"/>
          <w:sz w:val="24"/>
          <w:szCs w:val="24"/>
          <w:lang w:val="en-US"/>
        </w:rPr>
        <w:t>Wisner and Walter, 2005</w:t>
      </w:r>
      <w:r w:rsidRPr="00206B59">
        <w:rPr>
          <w:rFonts w:asciiTheme="majorBidi" w:hAnsiTheme="majorBidi" w:cstheme="majorBidi"/>
          <w:color w:val="000000" w:themeColor="text1"/>
          <w:sz w:val="24"/>
          <w:szCs w:val="24"/>
          <w:rtl/>
          <w:lang w:val="en-US"/>
        </w:rPr>
        <w:t>)</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أداة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للتقييم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وتوفير للمعلومات،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يمكنهم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توجيه</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خطط</w:t>
      </w:r>
      <w:r w:rsidRPr="00206B59">
        <w:rPr>
          <w:rFonts w:ascii="Simplified Arabic" w:hAnsi="Simplified Arabic" w:cs="Simplified Arabic"/>
          <w:color w:val="000000" w:themeColor="text1"/>
          <w:sz w:val="24"/>
          <w:szCs w:val="24"/>
          <w:rtl/>
          <w:lang w:val="en-US"/>
        </w:rPr>
        <w:t xml:space="preserve"> </w:t>
      </w:r>
      <w:r w:rsidR="003166C4">
        <w:rPr>
          <w:rFonts w:ascii="Simplified Arabic" w:hAnsi="Simplified Arabic" w:cs="Simplified Arabic" w:hint="cs"/>
          <w:sz w:val="24"/>
          <w:szCs w:val="24"/>
          <w:rtl/>
        </w:rPr>
        <w:t>استعمال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الأراضي،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فضلاً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عن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زيادة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الوعي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والتواصل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بشأن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قابلية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التأثر</w:t>
      </w:r>
      <w:r w:rsidRPr="00206B59">
        <w:rPr>
          <w:rFonts w:ascii="Simplified Arabic" w:hAnsi="Simplified Arabic" w:cs="Simplified Arabic"/>
          <w:color w:val="000000" w:themeColor="text1"/>
          <w:sz w:val="24"/>
          <w:szCs w:val="24"/>
          <w:rtl/>
          <w:lang w:val="en-US"/>
        </w:rPr>
        <w:t xml:space="preserve"> </w:t>
      </w:r>
      <w:r w:rsidR="00CC6E13">
        <w:rPr>
          <w:rFonts w:ascii="Simplified Arabic" w:hAnsi="Simplified Arabic" w:cs="Simplified Arabic" w:hint="cs"/>
          <w:color w:val="000000" w:themeColor="text1"/>
          <w:sz w:val="24"/>
          <w:szCs w:val="24"/>
          <w:rtl/>
          <w:lang w:val="en-US"/>
        </w:rPr>
        <w:t>ب</w:t>
      </w:r>
      <w:r w:rsidRPr="00206B59">
        <w:rPr>
          <w:rFonts w:ascii="Simplified Arabic" w:hAnsi="Simplified Arabic" w:cs="Simplified Arabic" w:hint="cs"/>
          <w:color w:val="000000" w:themeColor="text1"/>
          <w:sz w:val="24"/>
          <w:szCs w:val="24"/>
          <w:rtl/>
          <w:lang w:val="en-US"/>
        </w:rPr>
        <w:t>المخاطر</w:t>
      </w:r>
      <w:r w:rsidRPr="00206B59">
        <w:rPr>
          <w:rFonts w:ascii="Simplified Arabic" w:hAnsi="Simplified Arabic" w:cs="Simplified Arabic"/>
          <w:color w:val="000000" w:themeColor="text1"/>
          <w:sz w:val="24"/>
          <w:szCs w:val="24"/>
          <w:rtl/>
          <w:lang w:val="en-US"/>
        </w:rPr>
        <w:t>.</w:t>
      </w:r>
      <w:r w:rsidRPr="00206B59">
        <w:rPr>
          <w:rFonts w:ascii="Simplified Arabic" w:hAnsi="Simplified Arabic" w:cs="Simplified Arabic" w:hint="cs"/>
          <w:color w:val="000000" w:themeColor="text1"/>
          <w:sz w:val="24"/>
          <w:szCs w:val="24"/>
          <w:rtl/>
          <w:lang w:val="en-US"/>
        </w:rPr>
        <w:t xml:space="preserve"> بعض</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لها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تأثير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مباشر،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سبب</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فنتيجة،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وتأثير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قابل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للتقدير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على</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المرونة،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بالنسبة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للمؤشرات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الأخرى،</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فإن</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هذا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التأثير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أقل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قابلية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للفهم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وأكثر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افتراضية</w:t>
      </w:r>
      <w:r w:rsidRPr="00206B59">
        <w:rPr>
          <w:rFonts w:ascii="Simplified Arabic" w:hAnsi="Simplified Arabic" w:cs="Simplified Arabic"/>
          <w:color w:val="000000" w:themeColor="text1"/>
          <w:sz w:val="24"/>
          <w:szCs w:val="24"/>
          <w:rtl/>
          <w:lang w:val="en-US"/>
        </w:rPr>
        <w:t xml:space="preserve"> </w:t>
      </w:r>
      <w:r w:rsidRPr="00206B59">
        <w:rPr>
          <w:rFonts w:asciiTheme="majorBidi" w:hAnsiTheme="majorBidi" w:cstheme="majorBidi"/>
          <w:color w:val="000000" w:themeColor="text1"/>
          <w:sz w:val="24"/>
          <w:szCs w:val="24"/>
          <w:lang w:val="en-US"/>
        </w:rPr>
        <w:t>(NIST, 2015)</w:t>
      </w:r>
      <w:r w:rsidRPr="00206B59">
        <w:rPr>
          <w:rFonts w:ascii="Simplified Arabic" w:hAnsi="Simplified Arabic" w:cs="Simplified Arabic"/>
          <w:color w:val="000000" w:themeColor="text1"/>
          <w:sz w:val="24"/>
          <w:szCs w:val="24"/>
          <w:rtl/>
          <w:lang w:val="en-US"/>
        </w:rPr>
        <w:t>.</w:t>
      </w:r>
      <w:r w:rsidRPr="00206B59">
        <w:rPr>
          <w:rFonts w:ascii="Simplified Arabic" w:hAnsi="Simplified Arabic" w:cs="Simplified Arabic" w:hint="cs"/>
          <w:color w:val="000000" w:themeColor="text1"/>
          <w:sz w:val="24"/>
          <w:szCs w:val="24"/>
          <w:rtl/>
          <w:lang w:val="en-US"/>
        </w:rPr>
        <w:t xml:space="preserve"> </w:t>
      </w:r>
    </w:p>
    <w:p w:rsidR="003E0F31" w:rsidRDefault="003E0F31" w:rsidP="008E533E">
      <w:pPr>
        <w:bidi/>
        <w:spacing w:after="0"/>
        <w:ind w:firstLine="282"/>
        <w:jc w:val="both"/>
        <w:rPr>
          <w:rFonts w:ascii="Simplified Arabic" w:hAnsi="Simplified Arabic" w:cs="Simplified Arabic"/>
          <w:color w:val="000000" w:themeColor="text1"/>
          <w:sz w:val="24"/>
          <w:szCs w:val="24"/>
          <w:rtl/>
          <w:lang w:val="en-US"/>
        </w:rPr>
      </w:pPr>
      <w:r w:rsidRPr="00E205C6">
        <w:rPr>
          <w:rFonts w:ascii="Simplified Arabic" w:hAnsi="Simplified Arabic" w:cs="Simplified Arabic" w:hint="cs"/>
          <w:color w:val="000000" w:themeColor="text1"/>
          <w:sz w:val="24"/>
          <w:szCs w:val="24"/>
          <w:rtl/>
          <w:lang w:val="en-US"/>
        </w:rPr>
        <w:t>كمجموعة</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عامة</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من</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الإرشادات،</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فإن</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مؤشرات</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مرونة</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البيئة</w:t>
      </w:r>
      <w:r w:rsidRPr="00E205C6">
        <w:rPr>
          <w:rFonts w:ascii="Simplified Arabic" w:hAnsi="Simplified Arabic" w:cs="Simplified Arabic"/>
          <w:color w:val="000000" w:themeColor="text1"/>
          <w:sz w:val="24"/>
          <w:szCs w:val="24"/>
          <w:rtl/>
          <w:lang w:val="en-US"/>
        </w:rPr>
        <w:t xml:space="preserve"> </w:t>
      </w:r>
      <w:r w:rsidR="008E533E">
        <w:rPr>
          <w:rFonts w:ascii="Simplified Arabic" w:hAnsi="Simplified Arabic" w:cs="Simplified Arabic" w:hint="cs"/>
          <w:sz w:val="24"/>
          <w:szCs w:val="24"/>
          <w:rtl/>
          <w:lang w:val="en-US"/>
        </w:rPr>
        <w:t>الحضرية</w:t>
      </w:r>
      <w:r w:rsidR="008E533E">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تشمل</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التعرض</w:t>
      </w:r>
      <w:r>
        <w:rPr>
          <w:rFonts w:ascii="Simplified Arabic" w:hAnsi="Simplified Arabic" w:cs="Simplified Arabic" w:hint="cs"/>
          <w:color w:val="000000" w:themeColor="text1"/>
          <w:sz w:val="24"/>
          <w:szCs w:val="24"/>
          <w:rtl/>
          <w:lang w:val="en-US"/>
        </w:rPr>
        <w:t>،</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القوة</w:t>
      </w:r>
      <w:r>
        <w:rPr>
          <w:rFonts w:ascii="Simplified Arabic" w:hAnsi="Simplified Arabic" w:cs="Simplified Arabic" w:hint="cs"/>
          <w:color w:val="000000" w:themeColor="text1"/>
          <w:sz w:val="24"/>
          <w:szCs w:val="24"/>
          <w:rtl/>
          <w:lang w:val="en-US"/>
        </w:rPr>
        <w:t>،</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التكرار</w:t>
      </w:r>
      <w:r>
        <w:rPr>
          <w:rFonts w:ascii="Simplified Arabic" w:hAnsi="Simplified Arabic" w:cs="Simplified Arabic" w:hint="cs"/>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سعة</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الحيلة</w:t>
      </w:r>
      <w:r>
        <w:rPr>
          <w:rFonts w:ascii="Simplified Arabic" w:hAnsi="Simplified Arabic" w:cs="Simplified Arabic" w:hint="cs"/>
          <w:color w:val="000000" w:themeColor="text1"/>
          <w:sz w:val="24"/>
          <w:szCs w:val="24"/>
          <w:rtl/>
          <w:lang w:val="en-US"/>
        </w:rPr>
        <w:t>،</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والقدرة</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على</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الاستئناف</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السريع</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للبيئة</w:t>
      </w:r>
      <w:r w:rsidRPr="00E205C6">
        <w:rPr>
          <w:rFonts w:ascii="Simplified Arabic" w:hAnsi="Simplified Arabic" w:cs="Simplified Arabic"/>
          <w:color w:val="000000" w:themeColor="text1"/>
          <w:sz w:val="24"/>
          <w:szCs w:val="24"/>
          <w:rtl/>
          <w:lang w:val="en-US"/>
        </w:rPr>
        <w:t xml:space="preserve"> </w:t>
      </w:r>
      <w:r w:rsidR="008E533E">
        <w:rPr>
          <w:rFonts w:ascii="Simplified Arabic" w:hAnsi="Simplified Arabic" w:cs="Simplified Arabic" w:hint="cs"/>
          <w:sz w:val="24"/>
          <w:szCs w:val="24"/>
          <w:rtl/>
          <w:lang w:val="en-US"/>
        </w:rPr>
        <w:t>الحضرية</w:t>
      </w:r>
      <w:r w:rsidR="008E533E" w:rsidRPr="00E205C6">
        <w:rPr>
          <w:rFonts w:ascii="Simplified Arabic" w:hAnsi="Simplified Arabic" w:cs="Simplified Arabic" w:hint="cs"/>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والوظائف</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الحيوية</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التي</w:t>
      </w:r>
      <w:r w:rsidRPr="00E205C6">
        <w:rPr>
          <w:rFonts w:ascii="Simplified Arabic" w:hAnsi="Simplified Arabic" w:cs="Simplified Arabic"/>
          <w:color w:val="000000" w:themeColor="text1"/>
          <w:sz w:val="24"/>
          <w:szCs w:val="24"/>
          <w:rtl/>
          <w:lang w:val="en-US"/>
        </w:rPr>
        <w:t xml:space="preserve"> </w:t>
      </w:r>
      <w:r w:rsidRPr="00E205C6">
        <w:rPr>
          <w:rFonts w:ascii="Simplified Arabic" w:hAnsi="Simplified Arabic" w:cs="Simplified Arabic" w:hint="cs"/>
          <w:color w:val="000000" w:themeColor="text1"/>
          <w:sz w:val="24"/>
          <w:szCs w:val="24"/>
          <w:rtl/>
          <w:lang w:val="en-US"/>
        </w:rPr>
        <w:t>تخدمها</w:t>
      </w:r>
      <w:r w:rsidRPr="00E205C6">
        <w:rPr>
          <w:rFonts w:ascii="Simplified Arabic" w:hAnsi="Simplified Arabic" w:cs="Simplified Arabic"/>
          <w:color w:val="000000" w:themeColor="text1"/>
          <w:sz w:val="24"/>
          <w:szCs w:val="24"/>
          <w:rtl/>
          <w:lang w:val="en-US"/>
        </w:rPr>
        <w:t>.</w:t>
      </w:r>
      <w:r>
        <w:rPr>
          <w:rFonts w:ascii="Simplified Arabic" w:hAnsi="Simplified Arabic" w:cs="Simplified Arabic" w:hint="cs"/>
          <w:color w:val="000000" w:themeColor="text1"/>
          <w:sz w:val="24"/>
          <w:szCs w:val="24"/>
          <w:rtl/>
          <w:lang w:val="en-US"/>
        </w:rPr>
        <w:t xml:space="preserve"> </w:t>
      </w:r>
    </w:p>
    <w:p w:rsidR="003E0F31" w:rsidRDefault="003E0F31" w:rsidP="00AF3D2C">
      <w:pPr>
        <w:bidi/>
        <w:spacing w:after="0"/>
        <w:ind w:firstLine="282"/>
        <w:jc w:val="both"/>
        <w:rPr>
          <w:rFonts w:ascii="Simplified Arabic" w:hAnsi="Simplified Arabic" w:cs="Simplified Arabic"/>
          <w:color w:val="000000" w:themeColor="text1"/>
          <w:sz w:val="24"/>
          <w:szCs w:val="24"/>
          <w:rtl/>
          <w:lang w:val="en-US"/>
        </w:rPr>
      </w:pPr>
      <w:r w:rsidRPr="00206B59">
        <w:rPr>
          <w:rFonts w:ascii="Simplified Arabic" w:hAnsi="Simplified Arabic" w:cs="Simplified Arabic" w:hint="cs"/>
          <w:color w:val="000000" w:themeColor="text1"/>
          <w:sz w:val="24"/>
          <w:szCs w:val="24"/>
          <w:rtl/>
          <w:lang w:val="en-US"/>
        </w:rPr>
        <w:t>تتطلب</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الافتراضات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والأحكام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التي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يتم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إجراؤها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في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اختيار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الأسئلة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والبيانات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ذات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الصلة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لبناء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وكذلك</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تقييم</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فائدة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المؤشر،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وجود</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أهداف،</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سواء</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كانت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ضمنية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أو</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صريحة،</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الشكل</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w:t>
      </w:r>
      <w:r w:rsidR="00AF3D2C" w:rsidRPr="00206B59">
        <w:rPr>
          <w:rFonts w:ascii="Simplified Arabic" w:hAnsi="Simplified Arabic" w:cs="Simplified Arabic" w:hint="cs"/>
          <w:color w:val="000000" w:themeColor="text1"/>
          <w:sz w:val="24"/>
          <w:szCs w:val="24"/>
          <w:rtl/>
          <w:lang w:val="en-US"/>
        </w:rPr>
        <w:t>2-12</w:t>
      </w:r>
      <w:r w:rsidRPr="00206B59">
        <w:rPr>
          <w:rFonts w:ascii="Simplified Arabic" w:hAnsi="Simplified Arabic" w:cs="Simplified Arabic" w:hint="cs"/>
          <w:color w:val="000000" w:themeColor="text1"/>
          <w:sz w:val="24"/>
          <w:szCs w:val="24"/>
          <w:rtl/>
          <w:lang w:val="en-US"/>
        </w:rPr>
        <w:t>)</w:t>
      </w:r>
      <w:r w:rsidRPr="00206B59">
        <w:rPr>
          <w:rFonts w:ascii="Simplified Arabic" w:hAnsi="Simplified Arabic" w:cs="Simplified Arabic"/>
          <w:color w:val="000000" w:themeColor="text1"/>
          <w:sz w:val="24"/>
          <w:szCs w:val="24"/>
          <w:rtl/>
          <w:lang w:val="en-US"/>
        </w:rPr>
        <w:t>.</w:t>
      </w:r>
      <w:r w:rsidRPr="00206B59">
        <w:rPr>
          <w:rFonts w:ascii="Simplified Arabic" w:hAnsi="Simplified Arabic" w:cs="Simplified Arabic" w:hint="cs"/>
          <w:color w:val="000000" w:themeColor="text1"/>
          <w:sz w:val="24"/>
          <w:szCs w:val="24"/>
          <w:rtl/>
          <w:lang w:val="en-US"/>
        </w:rPr>
        <w:t xml:space="preserve"> يرتبط</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القياس</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الكمي</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للمؤشر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ارتباطًا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مباشرًا</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بتوافر</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البيانات</w:t>
      </w:r>
      <w:r w:rsidRPr="00206B59">
        <w:rPr>
          <w:rFonts w:ascii="Simplified Arabic" w:hAnsi="Simplified Arabic" w:cs="Simplified Arabic"/>
          <w:color w:val="000000" w:themeColor="text1"/>
          <w:sz w:val="24"/>
          <w:szCs w:val="24"/>
          <w:rtl/>
          <w:lang w:val="en-US"/>
        </w:rPr>
        <w:t xml:space="preserve"> </w:t>
      </w:r>
      <w:r w:rsidRPr="00206B59">
        <w:rPr>
          <w:rFonts w:ascii="Simplified Arabic" w:hAnsi="Simplified Arabic" w:cs="Simplified Arabic" w:hint="cs"/>
          <w:color w:val="000000" w:themeColor="text1"/>
          <w:sz w:val="24"/>
          <w:szCs w:val="24"/>
          <w:rtl/>
          <w:lang w:val="en-US"/>
        </w:rPr>
        <w:t>وجودتها</w:t>
      </w:r>
      <w:r w:rsidRPr="00206B59">
        <w:rPr>
          <w:rFonts w:ascii="Simplified Arabic" w:hAnsi="Simplified Arabic" w:cs="Simplified Arabic"/>
          <w:color w:val="000000" w:themeColor="text1"/>
          <w:sz w:val="24"/>
          <w:szCs w:val="24"/>
          <w:rtl/>
          <w:lang w:val="en-US"/>
        </w:rPr>
        <w:t xml:space="preserve"> </w:t>
      </w:r>
      <w:r w:rsidRPr="00206B59">
        <w:rPr>
          <w:rFonts w:asciiTheme="majorBidi" w:hAnsiTheme="majorBidi" w:cstheme="majorBidi"/>
          <w:color w:val="000000" w:themeColor="text1"/>
          <w:sz w:val="24"/>
          <w:szCs w:val="24"/>
          <w:rtl/>
          <w:lang w:val="en-US"/>
        </w:rPr>
        <w:t>(</w:t>
      </w:r>
      <w:r w:rsidRPr="00206B59">
        <w:rPr>
          <w:rFonts w:asciiTheme="majorBidi" w:hAnsiTheme="majorBidi" w:cstheme="majorBidi"/>
          <w:color w:val="000000" w:themeColor="text1"/>
          <w:sz w:val="24"/>
          <w:szCs w:val="24"/>
          <w:lang w:val="en-US"/>
        </w:rPr>
        <w:t>Gudmundsson</w:t>
      </w:r>
      <w:r w:rsidRPr="00206B59">
        <w:rPr>
          <w:rFonts w:asciiTheme="majorBidi" w:hAnsiTheme="majorBidi" w:cstheme="majorBidi"/>
          <w:color w:val="000000" w:themeColor="text1"/>
          <w:sz w:val="24"/>
          <w:szCs w:val="24"/>
        </w:rPr>
        <w:t>,</w:t>
      </w:r>
      <w:r w:rsidRPr="00206B59">
        <w:rPr>
          <w:rFonts w:asciiTheme="majorBidi" w:hAnsiTheme="majorBidi" w:cstheme="majorBidi"/>
          <w:color w:val="000000" w:themeColor="text1"/>
          <w:sz w:val="24"/>
          <w:szCs w:val="24"/>
          <w:lang w:val="en-US"/>
        </w:rPr>
        <w:t xml:space="preserve"> 2004</w:t>
      </w:r>
      <w:r w:rsidRPr="00206B59">
        <w:rPr>
          <w:rFonts w:asciiTheme="majorBidi" w:hAnsiTheme="majorBidi" w:cstheme="majorBidi"/>
          <w:color w:val="000000" w:themeColor="text1"/>
          <w:sz w:val="24"/>
          <w:szCs w:val="24"/>
          <w:rtl/>
          <w:lang w:val="en-US"/>
        </w:rPr>
        <w:t>)</w:t>
      </w:r>
      <w:r w:rsidRPr="00206B59">
        <w:rPr>
          <w:rFonts w:ascii="Simplified Arabic" w:hAnsi="Simplified Arabic" w:cs="Simplified Arabic"/>
          <w:color w:val="000000" w:themeColor="text1"/>
          <w:sz w:val="24"/>
          <w:szCs w:val="24"/>
          <w:rtl/>
          <w:lang w:val="en-US"/>
        </w:rPr>
        <w:t>.</w:t>
      </w:r>
    </w:p>
    <w:p w:rsidR="003E0F31" w:rsidRDefault="003E0F31" w:rsidP="003E0F31">
      <w:pPr>
        <w:bidi/>
        <w:spacing w:after="0"/>
        <w:ind w:firstLine="282"/>
        <w:jc w:val="both"/>
        <w:rPr>
          <w:rFonts w:ascii="Simplified Arabic" w:hAnsi="Simplified Arabic" w:cs="Simplified Arabic"/>
          <w:color w:val="000000" w:themeColor="text1"/>
          <w:sz w:val="24"/>
          <w:szCs w:val="24"/>
          <w:lang w:val="en-US"/>
        </w:rPr>
      </w:pPr>
      <w:r w:rsidRPr="007F2F82">
        <w:rPr>
          <w:rFonts w:ascii="Simplified Arabic" w:hAnsi="Simplified Arabic" w:cs="Simplified Arabic" w:hint="cs"/>
          <w:color w:val="000000" w:themeColor="text1"/>
          <w:sz w:val="24"/>
          <w:szCs w:val="24"/>
          <w:rtl/>
          <w:lang w:val="en-US"/>
        </w:rPr>
        <w:lastRenderedPageBreak/>
        <w:t>ينبغي</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للمقي</w:t>
      </w:r>
      <w:r>
        <w:rPr>
          <w:rFonts w:ascii="Simplified Arabic" w:hAnsi="Simplified Arabic" w:cs="Simplified Arabic" w:hint="cs"/>
          <w:color w:val="000000" w:themeColor="text1"/>
          <w:sz w:val="24"/>
          <w:szCs w:val="24"/>
          <w:rtl/>
          <w:lang w:val="en-US"/>
        </w:rPr>
        <w:t>ّ</w:t>
      </w:r>
      <w:r w:rsidRPr="007F2F82">
        <w:rPr>
          <w:rFonts w:ascii="Simplified Arabic" w:hAnsi="Simplified Arabic" w:cs="Simplified Arabic" w:hint="cs"/>
          <w:color w:val="000000" w:themeColor="text1"/>
          <w:sz w:val="24"/>
          <w:szCs w:val="24"/>
          <w:rtl/>
          <w:lang w:val="en-US"/>
        </w:rPr>
        <w:t>م</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أن</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يتكيف</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وفقًا</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للطريقة</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التي</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تكون</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بها</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البيانات</w:t>
      </w:r>
      <w:r w:rsidRPr="007F2F82">
        <w:rPr>
          <w:rFonts w:ascii="Simplified Arabic" w:hAnsi="Simplified Arabic" w:cs="Simplified Arabic"/>
          <w:color w:val="000000" w:themeColor="text1"/>
          <w:sz w:val="24"/>
          <w:szCs w:val="24"/>
          <w:rtl/>
          <w:lang w:val="en-US"/>
        </w:rPr>
        <w:t xml:space="preserve"> </w:t>
      </w:r>
      <w:r w:rsidRPr="007F2F82">
        <w:rPr>
          <w:rFonts w:ascii="Simplified Arabic" w:hAnsi="Simplified Arabic" w:cs="Simplified Arabic" w:hint="cs"/>
          <w:color w:val="000000" w:themeColor="text1"/>
          <w:sz w:val="24"/>
          <w:szCs w:val="24"/>
          <w:rtl/>
          <w:lang w:val="en-US"/>
        </w:rPr>
        <w:t>مجدية</w:t>
      </w:r>
      <w:r w:rsidRPr="007F2F82">
        <w:rPr>
          <w:rFonts w:ascii="Simplified Arabic" w:hAnsi="Simplified Arabic" w:cs="Simplified Arabic"/>
          <w:color w:val="000000" w:themeColor="text1"/>
          <w:sz w:val="24"/>
          <w:szCs w:val="24"/>
          <w:rtl/>
          <w:lang w:val="en-US"/>
        </w:rPr>
        <w:t xml:space="preserve"> </w:t>
      </w:r>
      <w:r w:rsidRPr="00303279">
        <w:rPr>
          <w:rFonts w:asciiTheme="majorBidi" w:hAnsiTheme="majorBidi" w:cstheme="majorBidi"/>
          <w:color w:val="000000" w:themeColor="text1"/>
          <w:sz w:val="24"/>
          <w:szCs w:val="24"/>
          <w:rtl/>
          <w:lang w:val="en-US"/>
        </w:rPr>
        <w:t>(</w:t>
      </w:r>
      <w:r w:rsidRPr="00206B59">
        <w:rPr>
          <w:rFonts w:asciiTheme="majorBidi" w:hAnsiTheme="majorBidi" w:cstheme="majorBidi"/>
          <w:color w:val="000000" w:themeColor="text1"/>
          <w:sz w:val="24"/>
          <w:szCs w:val="24"/>
          <w:lang w:val="en-US"/>
        </w:rPr>
        <w:t>Campos</w:t>
      </w:r>
      <w:r w:rsidRPr="00303279">
        <w:rPr>
          <w:rFonts w:asciiTheme="majorBidi" w:hAnsiTheme="majorBidi" w:cstheme="majorBidi"/>
          <w:color w:val="000000" w:themeColor="text1"/>
          <w:sz w:val="24"/>
          <w:szCs w:val="24"/>
          <w:lang w:val="en-US"/>
        </w:rPr>
        <w:t xml:space="preserve"> and Ramos, 2005</w:t>
      </w:r>
      <w:r w:rsidRPr="00303279">
        <w:rPr>
          <w:rFonts w:asciiTheme="majorBidi" w:hAnsiTheme="majorBidi" w:cstheme="majorBidi"/>
          <w:color w:val="000000" w:themeColor="text1"/>
          <w:sz w:val="24"/>
          <w:szCs w:val="24"/>
          <w:rtl/>
          <w:lang w:val="en-US"/>
        </w:rPr>
        <w:t>)</w:t>
      </w:r>
      <w:r w:rsidRPr="007F2F82">
        <w:rPr>
          <w:rFonts w:ascii="Simplified Arabic" w:hAnsi="Simplified Arabic" w:cs="Simplified Arabic"/>
          <w:color w:val="000000" w:themeColor="text1"/>
          <w:sz w:val="24"/>
          <w:szCs w:val="24"/>
          <w:rtl/>
          <w:lang w:val="en-US"/>
        </w:rPr>
        <w:t>.</w:t>
      </w:r>
      <w:r w:rsidRPr="007F2F82">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هنا يكمن</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السبب</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في</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أن</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المؤشرات</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تشارك</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مشاركة</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كاملة</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في</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عملية</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صنع</w:t>
      </w:r>
      <w:r w:rsidRPr="00C11C09">
        <w:rPr>
          <w:rFonts w:ascii="Simplified Arabic" w:hAnsi="Simplified Arabic" w:cs="Simplified Arabic"/>
          <w:color w:val="000000" w:themeColor="text1"/>
          <w:sz w:val="24"/>
          <w:szCs w:val="24"/>
          <w:rtl/>
          <w:lang w:val="en-US"/>
        </w:rPr>
        <w:t xml:space="preserve"> </w:t>
      </w:r>
      <w:r w:rsidRPr="00C11C09">
        <w:rPr>
          <w:rFonts w:ascii="Simplified Arabic" w:hAnsi="Simplified Arabic" w:cs="Simplified Arabic" w:hint="cs"/>
          <w:color w:val="000000" w:themeColor="text1"/>
          <w:sz w:val="24"/>
          <w:szCs w:val="24"/>
          <w:rtl/>
          <w:lang w:val="en-US"/>
        </w:rPr>
        <w:t>القرار</w:t>
      </w:r>
      <w:r w:rsidRPr="00C11C09">
        <w:rPr>
          <w:rFonts w:ascii="Simplified Arabic" w:hAnsi="Simplified Arabic" w:cs="Simplified Arabic"/>
          <w:color w:val="000000" w:themeColor="text1"/>
          <w:sz w:val="24"/>
          <w:szCs w:val="24"/>
          <w:rtl/>
          <w:lang w:val="en-US"/>
        </w:rPr>
        <w:t>.</w:t>
      </w:r>
    </w:p>
    <w:p w:rsidR="003E0F31" w:rsidRPr="00264FC1" w:rsidRDefault="003E0F31" w:rsidP="00131A88">
      <w:pPr>
        <w:pStyle w:val="fegure"/>
        <w:spacing w:before="240"/>
        <w:rPr>
          <w:sz w:val="8"/>
          <w:szCs w:val="24"/>
          <w:rtl/>
        </w:rPr>
      </w:pPr>
      <w:bookmarkStart w:id="363" w:name="_Toc157608298"/>
      <w:bookmarkStart w:id="364" w:name="_Toc171803483"/>
      <w:r w:rsidRPr="00264FC1">
        <w:rPr>
          <w:rFonts w:hint="cs"/>
          <w:sz w:val="8"/>
          <w:szCs w:val="24"/>
          <w:rtl/>
        </w:rPr>
        <w:t>الشكل</w:t>
      </w:r>
      <w:r w:rsidRPr="00264FC1">
        <w:rPr>
          <w:sz w:val="8"/>
          <w:szCs w:val="24"/>
          <w:rtl/>
        </w:rPr>
        <w:t xml:space="preserve"> </w:t>
      </w:r>
      <w:r w:rsidRPr="00264FC1">
        <w:rPr>
          <w:rFonts w:hint="cs"/>
          <w:sz w:val="8"/>
          <w:szCs w:val="24"/>
          <w:rtl/>
        </w:rPr>
        <w:t>(</w:t>
      </w:r>
      <w:r w:rsidR="00AF3D2C" w:rsidRPr="00264FC1">
        <w:rPr>
          <w:rFonts w:hint="cs"/>
          <w:sz w:val="8"/>
          <w:szCs w:val="24"/>
          <w:rtl/>
        </w:rPr>
        <w:t>2-12</w:t>
      </w:r>
      <w:r w:rsidRPr="00264FC1">
        <w:rPr>
          <w:rFonts w:hint="cs"/>
          <w:sz w:val="8"/>
          <w:szCs w:val="24"/>
          <w:rtl/>
        </w:rPr>
        <w:t>)</w:t>
      </w:r>
      <w:r w:rsidRPr="00264FC1">
        <w:rPr>
          <w:sz w:val="8"/>
          <w:szCs w:val="24"/>
          <w:rtl/>
        </w:rPr>
        <w:t xml:space="preserve">: </w:t>
      </w:r>
      <w:r w:rsidRPr="00264FC1">
        <w:rPr>
          <w:rFonts w:hint="cs"/>
          <w:sz w:val="8"/>
          <w:szCs w:val="24"/>
          <w:rtl/>
        </w:rPr>
        <w:t>العلاقات</w:t>
      </w:r>
      <w:r w:rsidRPr="00264FC1">
        <w:rPr>
          <w:sz w:val="8"/>
          <w:szCs w:val="24"/>
          <w:rtl/>
        </w:rPr>
        <w:t xml:space="preserve"> </w:t>
      </w:r>
      <w:r w:rsidRPr="00264FC1">
        <w:rPr>
          <w:rFonts w:hint="cs"/>
          <w:sz w:val="8"/>
          <w:szCs w:val="24"/>
          <w:rtl/>
        </w:rPr>
        <w:t>المتبادلة</w:t>
      </w:r>
      <w:r w:rsidRPr="00264FC1">
        <w:rPr>
          <w:sz w:val="8"/>
          <w:szCs w:val="24"/>
          <w:rtl/>
        </w:rPr>
        <w:t xml:space="preserve"> </w:t>
      </w:r>
      <w:r w:rsidRPr="00264FC1">
        <w:rPr>
          <w:rFonts w:hint="cs"/>
          <w:sz w:val="8"/>
          <w:szCs w:val="24"/>
          <w:rtl/>
        </w:rPr>
        <w:t>بين</w:t>
      </w:r>
      <w:r w:rsidRPr="00264FC1">
        <w:rPr>
          <w:sz w:val="8"/>
          <w:szCs w:val="24"/>
          <w:rtl/>
        </w:rPr>
        <w:t xml:space="preserve"> </w:t>
      </w:r>
      <w:r w:rsidRPr="00264FC1">
        <w:rPr>
          <w:rFonts w:hint="cs"/>
          <w:sz w:val="8"/>
          <w:szCs w:val="24"/>
          <w:rtl/>
        </w:rPr>
        <w:t>المؤشرات</w:t>
      </w:r>
      <w:r w:rsidRPr="00264FC1">
        <w:rPr>
          <w:sz w:val="8"/>
          <w:szCs w:val="24"/>
          <w:rtl/>
        </w:rPr>
        <w:t xml:space="preserve"> </w:t>
      </w:r>
      <w:r w:rsidRPr="00264FC1">
        <w:rPr>
          <w:rFonts w:hint="cs"/>
          <w:sz w:val="8"/>
          <w:szCs w:val="24"/>
          <w:rtl/>
        </w:rPr>
        <w:t>والبيانات</w:t>
      </w:r>
      <w:r w:rsidRPr="00264FC1">
        <w:rPr>
          <w:sz w:val="8"/>
          <w:szCs w:val="24"/>
          <w:rtl/>
        </w:rPr>
        <w:t xml:space="preserve"> </w:t>
      </w:r>
      <w:r w:rsidRPr="00264FC1">
        <w:rPr>
          <w:rFonts w:hint="cs"/>
          <w:sz w:val="8"/>
          <w:szCs w:val="24"/>
          <w:rtl/>
        </w:rPr>
        <w:t>والأهداف</w:t>
      </w:r>
      <w:r w:rsidRPr="00264FC1">
        <w:rPr>
          <w:sz w:val="8"/>
          <w:szCs w:val="24"/>
          <w:rtl/>
        </w:rPr>
        <w:t xml:space="preserve"> </w:t>
      </w:r>
      <w:r w:rsidRPr="00264FC1">
        <w:rPr>
          <w:rFonts w:hint="cs"/>
          <w:sz w:val="8"/>
          <w:szCs w:val="24"/>
          <w:rtl/>
        </w:rPr>
        <w:t>النهائية</w:t>
      </w:r>
      <w:bookmarkEnd w:id="363"/>
      <w:bookmarkEnd w:id="364"/>
    </w:p>
    <w:p w:rsidR="003E0F31" w:rsidRPr="000A623E" w:rsidRDefault="003E0F31" w:rsidP="003E0F31">
      <w:pPr>
        <w:shd w:val="clear" w:color="auto" w:fill="FFFFFF" w:themeFill="background1"/>
        <w:tabs>
          <w:tab w:val="right" w:pos="281"/>
        </w:tabs>
        <w:bidi/>
        <w:spacing w:after="0" w:line="240" w:lineRule="auto"/>
        <w:ind w:firstLine="282"/>
        <w:jc w:val="center"/>
        <w:rPr>
          <w:rFonts w:asciiTheme="majorBidi" w:hAnsiTheme="majorBidi" w:cstheme="majorBidi"/>
          <w:bCs/>
          <w:sz w:val="24"/>
          <w:szCs w:val="24"/>
          <w:rtl/>
        </w:rPr>
      </w:pPr>
      <w:r w:rsidRPr="000A623E">
        <w:rPr>
          <w:rFonts w:ascii="Simplified Arabic" w:eastAsia="Times New Roman" w:hAnsi="Simplified Arabic" w:cs="Simplified Arabic" w:hint="cs"/>
          <w:bCs/>
          <w:sz w:val="24"/>
          <w:szCs w:val="24"/>
          <w:rtl/>
          <w:lang w:val="en-US" w:eastAsia="fr-FR"/>
        </w:rPr>
        <w:t xml:space="preserve">المصدر: </w:t>
      </w:r>
      <w:r w:rsidRPr="000A623E">
        <w:rPr>
          <w:rFonts w:asciiTheme="majorBidi" w:hAnsiTheme="majorBidi" w:cstheme="majorBidi"/>
          <w:bCs/>
          <w:sz w:val="24"/>
          <w:szCs w:val="24"/>
        </w:rPr>
        <w:t>Birkmann, 2006)</w:t>
      </w:r>
      <w:r w:rsidRPr="000A623E">
        <w:rPr>
          <w:rFonts w:asciiTheme="majorBidi" w:hAnsiTheme="majorBidi" w:cstheme="majorBidi"/>
          <w:bCs/>
          <w:sz w:val="24"/>
          <w:szCs w:val="24"/>
          <w:rtl/>
        </w:rPr>
        <w:t>)</w:t>
      </w:r>
    </w:p>
    <w:p w:rsidR="003E0F31" w:rsidRDefault="003E0F31" w:rsidP="00597092">
      <w:pPr>
        <w:bidi/>
        <w:spacing w:after="0"/>
        <w:ind w:firstLine="282"/>
        <w:jc w:val="center"/>
        <w:rPr>
          <w:rFonts w:ascii="Simplified Arabic" w:hAnsi="Simplified Arabic" w:cs="Simplified Arabic"/>
          <w:color w:val="000000" w:themeColor="text1"/>
          <w:sz w:val="24"/>
          <w:szCs w:val="24"/>
          <w:rtl/>
          <w:lang w:val="en-US"/>
        </w:rPr>
      </w:pPr>
      <w:r>
        <w:rPr>
          <w:noProof/>
          <w:lang w:eastAsia="fr-FR"/>
        </w:rPr>
        <w:drawing>
          <wp:inline distT="0" distB="0" distL="0" distR="0" wp14:anchorId="7BA945F5" wp14:editId="27EDB88C">
            <wp:extent cx="4847663" cy="3657600"/>
            <wp:effectExtent l="0" t="0" r="0" b="0"/>
            <wp:docPr id="131" name="Imag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0">
                      <a:extLst>
                        <a:ext uri="{28A0092B-C50C-407E-A947-70E740481C1C}">
                          <a14:useLocalDpi xmlns:a14="http://schemas.microsoft.com/office/drawing/2010/main" val="0"/>
                        </a:ext>
                      </a:extLst>
                    </a:blip>
                    <a:stretch>
                      <a:fillRect/>
                    </a:stretch>
                  </pic:blipFill>
                  <pic:spPr>
                    <a:xfrm>
                      <a:off x="0" y="0"/>
                      <a:ext cx="4851283" cy="3660331"/>
                    </a:xfrm>
                    <a:prstGeom prst="rect">
                      <a:avLst/>
                    </a:prstGeom>
                  </pic:spPr>
                </pic:pic>
              </a:graphicData>
            </a:graphic>
          </wp:inline>
        </w:drawing>
      </w:r>
    </w:p>
    <w:p w:rsidR="00131A88" w:rsidRDefault="003E0F31" w:rsidP="0063490D">
      <w:pPr>
        <w:bidi/>
        <w:spacing w:before="240" w:after="0"/>
        <w:ind w:firstLine="282"/>
        <w:jc w:val="both"/>
      </w:pPr>
      <w:r w:rsidRPr="00206B59">
        <w:rPr>
          <w:rFonts w:ascii="Simplified Arabic" w:hAnsi="Simplified Arabic" w:cs="Simplified Arabic" w:hint="cs"/>
          <w:color w:val="000000" w:themeColor="text1"/>
          <w:sz w:val="24"/>
          <w:szCs w:val="24"/>
          <w:rtl/>
        </w:rPr>
        <w:t>المؤشر</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هو</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أداة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تجعل</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من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الممكن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تحديد</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خصائص</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ظاهرة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ما،</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لتوفير</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معلومات</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عن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عملية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أو</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حالة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من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أجل</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إعلام</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الجهات</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الفاعلة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وتؤدي</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إلى</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اتخاذ</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القرار</w:t>
      </w:r>
      <w:r w:rsidRPr="00206B59">
        <w:rPr>
          <w:rFonts w:ascii="Simplified Arabic" w:hAnsi="Simplified Arabic" w:cs="Simplified Arabic"/>
          <w:color w:val="000000" w:themeColor="text1"/>
          <w:sz w:val="24"/>
          <w:szCs w:val="24"/>
          <w:rtl/>
        </w:rPr>
        <w:t xml:space="preserve">. </w:t>
      </w:r>
      <w:r w:rsidR="00B12AEF">
        <w:rPr>
          <w:rFonts w:ascii="Simplified Arabic" w:hAnsi="Simplified Arabic" w:cs="Simplified Arabic" w:hint="cs"/>
          <w:color w:val="000000" w:themeColor="text1"/>
          <w:sz w:val="24"/>
          <w:szCs w:val="24"/>
          <w:rtl/>
        </w:rPr>
        <w:t>وهو ايضا</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lang w:bidi="ar-DZ"/>
        </w:rPr>
        <w:t>عبارة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عن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بناء</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ذاتي</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لواقع</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يجعل</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من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الممكن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تفعيل</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ملاحظات</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ظاهرة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ما</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لذلك</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فإن</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هذه</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الأداة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ضرورية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في</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عملية</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صنع</w:t>
      </w:r>
      <w:r w:rsidRPr="00206B59">
        <w:rPr>
          <w:rFonts w:ascii="Simplified Arabic" w:hAnsi="Simplified Arabic" w:cs="Simplified Arabic"/>
          <w:color w:val="000000" w:themeColor="text1"/>
          <w:sz w:val="24"/>
          <w:szCs w:val="24"/>
          <w:rtl/>
        </w:rPr>
        <w:t xml:space="preserve"> </w:t>
      </w:r>
      <w:r w:rsidRPr="00206B59">
        <w:rPr>
          <w:rFonts w:ascii="Simplified Arabic" w:hAnsi="Simplified Arabic" w:cs="Simplified Arabic" w:hint="cs"/>
          <w:color w:val="000000" w:themeColor="text1"/>
          <w:sz w:val="24"/>
          <w:szCs w:val="24"/>
          <w:rtl/>
        </w:rPr>
        <w:t>القرار</w:t>
      </w:r>
      <w:r w:rsidRPr="00206B59">
        <w:rPr>
          <w:rFonts w:ascii="Simplified Arabic" w:hAnsi="Simplified Arabic" w:cs="Simplified Arabic"/>
          <w:color w:val="000000" w:themeColor="text1"/>
          <w:sz w:val="24"/>
          <w:szCs w:val="24"/>
          <w:rtl/>
        </w:rPr>
        <w:t>.</w:t>
      </w:r>
      <w:r w:rsidRPr="00206B59">
        <w:rPr>
          <w:rFonts w:hint="cs"/>
          <w:rtl/>
        </w:rPr>
        <w:t xml:space="preserve"> </w:t>
      </w:r>
    </w:p>
    <w:p w:rsidR="003E0F31" w:rsidRDefault="00B12AEF" w:rsidP="00131A88">
      <w:pPr>
        <w:bidi/>
        <w:spacing w:before="240" w:after="0"/>
        <w:ind w:firstLine="282"/>
        <w:jc w:val="both"/>
        <w:rPr>
          <w:rFonts w:ascii="Simplified Arabic" w:hAnsi="Simplified Arabic" w:cs="Simplified Arabic"/>
          <w:color w:val="000000" w:themeColor="text1"/>
          <w:sz w:val="24"/>
          <w:szCs w:val="24"/>
          <w:rtl/>
        </w:rPr>
      </w:pPr>
      <w:r>
        <w:rPr>
          <w:rFonts w:ascii="Simplified Arabic" w:hAnsi="Simplified Arabic" w:cs="Simplified Arabic" w:hint="cs"/>
          <w:color w:val="000000" w:themeColor="text1"/>
          <w:sz w:val="24"/>
          <w:szCs w:val="24"/>
          <w:rtl/>
        </w:rPr>
        <w:t>يذكر</w:t>
      </w:r>
      <w:r w:rsidR="003E0F31" w:rsidRPr="00206B59">
        <w:rPr>
          <w:rFonts w:ascii="Simplified Arabic" w:hAnsi="Simplified Arabic" w:cs="Simplified Arabic"/>
          <w:color w:val="000000" w:themeColor="text1"/>
          <w:sz w:val="24"/>
          <w:szCs w:val="24"/>
          <w:rtl/>
        </w:rPr>
        <w:t xml:space="preserve"> </w:t>
      </w:r>
      <w:r w:rsidRPr="00206B59">
        <w:rPr>
          <w:rFonts w:asciiTheme="majorBidi" w:hAnsiTheme="majorBidi" w:cstheme="majorBidi"/>
          <w:color w:val="000000" w:themeColor="text1"/>
          <w:sz w:val="24"/>
          <w:szCs w:val="24"/>
          <w:rtl/>
        </w:rPr>
        <w:t>(</w:t>
      </w:r>
      <w:r w:rsidRPr="00206B59">
        <w:rPr>
          <w:rFonts w:asciiTheme="majorBidi" w:hAnsiTheme="majorBidi" w:cstheme="majorBidi"/>
          <w:sz w:val="24"/>
          <w:szCs w:val="24"/>
          <w:lang w:val="en-US"/>
        </w:rPr>
        <w:t>Sharifi, and Yamagata, 2016b</w:t>
      </w:r>
      <w:r w:rsidRPr="00206B59">
        <w:rPr>
          <w:rFonts w:asciiTheme="majorBidi" w:hAnsiTheme="majorBidi" w:cstheme="majorBidi"/>
          <w:color w:val="000000" w:themeColor="text1"/>
          <w:sz w:val="24"/>
          <w:szCs w:val="24"/>
          <w:rtl/>
        </w:rPr>
        <w:t>)</w:t>
      </w:r>
      <w:r w:rsidRPr="00B12AEF">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أنه</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ينبغي</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استخدام</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مؤشرات</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المرونة</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لمساعدة</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المخططين</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على</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فهم</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أفضل</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السبل</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لتعزيز</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القدرات</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على</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التخطيط</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او</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الاستعداد</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للأحداث</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التخريبية</w:t>
      </w:r>
      <w:r w:rsidR="003E0F31" w:rsidRPr="00206B59">
        <w:rPr>
          <w:rFonts w:ascii="Simplified Arabic" w:hAnsi="Simplified Arabic" w:cs="Simplified Arabic"/>
          <w:color w:val="000000" w:themeColor="text1"/>
          <w:sz w:val="24"/>
          <w:szCs w:val="24"/>
          <w:rtl/>
        </w:rPr>
        <w:t xml:space="preserve"> </w:t>
      </w:r>
      <w:r w:rsidR="0063490D">
        <w:rPr>
          <w:rFonts w:ascii="Simplified Arabic" w:hAnsi="Simplified Arabic" w:cs="Simplified Arabic" w:hint="cs"/>
          <w:color w:val="000000" w:themeColor="text1"/>
          <w:sz w:val="24"/>
          <w:szCs w:val="24"/>
          <w:rtl/>
        </w:rPr>
        <w:t>ا</w:t>
      </w:r>
      <w:r w:rsidR="003E0F31" w:rsidRPr="00206B59">
        <w:rPr>
          <w:rFonts w:ascii="Simplified Arabic" w:hAnsi="Simplified Arabic" w:cs="Simplified Arabic" w:hint="cs"/>
          <w:color w:val="000000" w:themeColor="text1"/>
          <w:sz w:val="24"/>
          <w:szCs w:val="24"/>
          <w:rtl/>
        </w:rPr>
        <w:t>و</w:t>
      </w:r>
      <w:r w:rsidR="0063490D">
        <w:rPr>
          <w:rFonts w:ascii="Simplified Arabic" w:hAnsi="Simplified Arabic" w:cs="Simplified Arabic" w:hint="cs"/>
          <w:color w:val="000000" w:themeColor="text1"/>
          <w:sz w:val="24"/>
          <w:szCs w:val="24"/>
          <w:rtl/>
        </w:rPr>
        <w:t xml:space="preserve"> الاستيعاب</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والتعافي</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منها</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والتكيف</w:t>
      </w:r>
      <w:r w:rsidR="003E0F31" w:rsidRPr="00206B59">
        <w:rPr>
          <w:rFonts w:ascii="Simplified Arabic" w:hAnsi="Simplified Arabic" w:cs="Simplified Arabic"/>
          <w:color w:val="000000" w:themeColor="text1"/>
          <w:sz w:val="24"/>
          <w:szCs w:val="24"/>
          <w:rtl/>
        </w:rPr>
        <w:t xml:space="preserve"> </w:t>
      </w:r>
      <w:r w:rsidR="003E0F31" w:rsidRPr="00206B59">
        <w:rPr>
          <w:rFonts w:ascii="Simplified Arabic" w:hAnsi="Simplified Arabic" w:cs="Simplified Arabic" w:hint="cs"/>
          <w:color w:val="000000" w:themeColor="text1"/>
          <w:sz w:val="24"/>
          <w:szCs w:val="24"/>
          <w:rtl/>
        </w:rPr>
        <w:t>معها</w:t>
      </w:r>
      <w:r>
        <w:rPr>
          <w:rFonts w:ascii="Simplified Arabic" w:hAnsi="Simplified Arabic" w:cs="Simplified Arabic" w:hint="cs"/>
          <w:color w:val="000000" w:themeColor="text1"/>
          <w:sz w:val="24"/>
          <w:szCs w:val="24"/>
          <w:rtl/>
        </w:rPr>
        <w:t xml:space="preserve"> وهناك نوعين هما:</w:t>
      </w:r>
    </w:p>
    <w:p w:rsidR="003E0F31" w:rsidRPr="0063490D" w:rsidRDefault="003E0F31" w:rsidP="001D0548">
      <w:pPr>
        <w:pStyle w:val="Paragraphedeliste"/>
        <w:numPr>
          <w:ilvl w:val="3"/>
          <w:numId w:val="82"/>
        </w:numPr>
        <w:tabs>
          <w:tab w:val="right" w:pos="992"/>
        </w:tabs>
        <w:bidi/>
        <w:spacing w:before="240" w:after="0"/>
        <w:ind w:left="0" w:firstLine="0"/>
        <w:outlineLvl w:val="2"/>
        <w:rPr>
          <w:rFonts w:ascii="Simplified Arabic" w:hAnsi="Simplified Arabic" w:cs="Simplified Arabic"/>
          <w:b/>
          <w:bCs/>
          <w:sz w:val="24"/>
          <w:szCs w:val="24"/>
          <w:lang w:bidi="ar-DZ"/>
        </w:rPr>
      </w:pPr>
      <w:bookmarkStart w:id="365" w:name="_Toc171803484"/>
      <w:r w:rsidRPr="0063490D">
        <w:rPr>
          <w:rFonts w:ascii="Simplified Arabic" w:hAnsi="Simplified Arabic" w:cs="Simplified Arabic"/>
          <w:b/>
          <w:bCs/>
          <w:sz w:val="24"/>
          <w:szCs w:val="24"/>
          <w:rtl/>
          <w:lang w:bidi="ar-DZ"/>
        </w:rPr>
        <w:t xml:space="preserve">المؤشرات المباشرة </w:t>
      </w:r>
      <w:r w:rsidRPr="0063490D">
        <w:rPr>
          <w:rFonts w:ascii="Simplified Arabic" w:hAnsi="Simplified Arabic" w:cs="Simplified Arabic" w:hint="cs"/>
          <w:b/>
          <w:bCs/>
          <w:sz w:val="24"/>
          <w:szCs w:val="24"/>
          <w:rtl/>
          <w:lang w:bidi="ar-DZ"/>
        </w:rPr>
        <w:t>للمرونة (</w:t>
      </w:r>
      <w:r w:rsidRPr="0063490D">
        <w:rPr>
          <w:rFonts w:ascii="Simplified Arabic" w:hAnsi="Simplified Arabic" w:cs="Simplified Arabic"/>
          <w:b/>
          <w:bCs/>
          <w:sz w:val="24"/>
          <w:szCs w:val="24"/>
          <w:rtl/>
          <w:lang w:bidi="ar-DZ"/>
        </w:rPr>
        <w:t>قي</w:t>
      </w:r>
      <w:r w:rsidR="001C5672" w:rsidRPr="0063490D">
        <w:rPr>
          <w:rFonts w:ascii="Simplified Arabic" w:hAnsi="Simplified Arabic" w:cs="Simplified Arabic" w:hint="cs"/>
          <w:b/>
          <w:bCs/>
          <w:sz w:val="24"/>
          <w:szCs w:val="24"/>
          <w:rtl/>
          <w:lang w:bidi="ar-DZ"/>
        </w:rPr>
        <w:t>ا</w:t>
      </w:r>
      <w:r w:rsidRPr="0063490D">
        <w:rPr>
          <w:rFonts w:ascii="Simplified Arabic" w:hAnsi="Simplified Arabic" w:cs="Simplified Arabic"/>
          <w:b/>
          <w:bCs/>
          <w:sz w:val="24"/>
          <w:szCs w:val="24"/>
          <w:rtl/>
          <w:lang w:bidi="ar-DZ"/>
        </w:rPr>
        <w:t xml:space="preserve">س </w:t>
      </w:r>
      <w:r w:rsidRPr="0063490D">
        <w:rPr>
          <w:rFonts w:ascii="Simplified Arabic" w:hAnsi="Simplified Arabic" w:cs="Simplified Arabic" w:hint="cs"/>
          <w:b/>
          <w:bCs/>
          <w:sz w:val="24"/>
          <w:szCs w:val="24"/>
          <w:rtl/>
          <w:lang w:bidi="ar-DZ"/>
        </w:rPr>
        <w:t>ال</w:t>
      </w:r>
      <w:r w:rsidRPr="0063490D">
        <w:rPr>
          <w:rFonts w:ascii="Simplified Arabic" w:hAnsi="Simplified Arabic" w:cs="Simplified Arabic"/>
          <w:b/>
          <w:bCs/>
          <w:sz w:val="24"/>
          <w:szCs w:val="24"/>
          <w:rtl/>
          <w:lang w:bidi="ar-DZ"/>
        </w:rPr>
        <w:t>مر</w:t>
      </w:r>
      <w:r w:rsidRPr="0063490D">
        <w:rPr>
          <w:rFonts w:ascii="Simplified Arabic" w:hAnsi="Simplified Arabic" w:cs="Simplified Arabic" w:hint="cs"/>
          <w:b/>
          <w:bCs/>
          <w:sz w:val="24"/>
          <w:szCs w:val="24"/>
          <w:rtl/>
          <w:lang w:bidi="ar-DZ"/>
        </w:rPr>
        <w:t>و</w:t>
      </w:r>
      <w:r w:rsidRPr="0063490D">
        <w:rPr>
          <w:rFonts w:ascii="Simplified Arabic" w:hAnsi="Simplified Arabic" w:cs="Simplified Arabic"/>
          <w:b/>
          <w:bCs/>
          <w:sz w:val="24"/>
          <w:szCs w:val="24"/>
          <w:rtl/>
          <w:lang w:bidi="ar-DZ"/>
        </w:rPr>
        <w:t>نة في الماضي</w:t>
      </w:r>
      <w:r w:rsidRPr="0063490D">
        <w:rPr>
          <w:rFonts w:ascii="Simplified Arabic" w:hAnsi="Simplified Arabic" w:cs="Simplified Arabic" w:hint="cs"/>
          <w:b/>
          <w:bCs/>
          <w:sz w:val="24"/>
          <w:szCs w:val="24"/>
          <w:rtl/>
          <w:lang w:bidi="ar-DZ"/>
        </w:rPr>
        <w:t xml:space="preserve"> وحاليا)</w:t>
      </w:r>
      <w:bookmarkEnd w:id="365"/>
    </w:p>
    <w:p w:rsidR="003E0F31" w:rsidRDefault="003E0F31" w:rsidP="00131A88">
      <w:pPr>
        <w:autoSpaceDE w:val="0"/>
        <w:autoSpaceDN w:val="0"/>
        <w:bidi/>
        <w:adjustRightInd w:val="0"/>
        <w:spacing w:after="0"/>
        <w:ind w:firstLine="282"/>
        <w:jc w:val="both"/>
        <w:rPr>
          <w:rFonts w:ascii="Simplified Arabic" w:hAnsi="Simplified Arabic" w:cs="Simplified Arabic"/>
          <w:sz w:val="24"/>
          <w:szCs w:val="24"/>
        </w:rPr>
      </w:pPr>
      <w:r w:rsidRPr="00206B59">
        <w:rPr>
          <w:rFonts w:ascii="Simplified Arabic" w:hAnsi="Simplified Arabic" w:cs="Simplified Arabic"/>
          <w:sz w:val="24"/>
          <w:szCs w:val="24"/>
          <w:rtl/>
        </w:rPr>
        <w:t xml:space="preserve">يمكن أن تصف المؤشرات المباشرة للمرونة أداء المدينة في مواجهة صدمة فعلية إلى الدرجة التي تكون فيها أبعاد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قابلة للقياس الكمي، يمكن أن توفر مؤشرات المرونة المباشرة مقياسًا دقيقًا لمرونة المدينة في مواجهة الصدمة المحددة التي تعرضت لها</w:t>
      </w:r>
      <w:r w:rsidRPr="00206B59">
        <w:rPr>
          <w:rFonts w:asciiTheme="majorBidi" w:hAnsiTheme="majorBidi" w:cstheme="majorBidi"/>
          <w:sz w:val="24"/>
          <w:szCs w:val="24"/>
          <w:lang w:val="en-US"/>
        </w:rPr>
        <w:t>(OECD, 2018/02)</w:t>
      </w:r>
      <w:r w:rsidRPr="00206B59">
        <w:rPr>
          <w:rFonts w:asciiTheme="majorBidi" w:hAnsiTheme="majorBidi" w:cstheme="majorBidi" w:hint="cs"/>
          <w:color w:val="000000" w:themeColor="text1"/>
          <w:sz w:val="20"/>
          <w:szCs w:val="20"/>
          <w:rtl/>
          <w:lang w:val="en-US"/>
        </w:rPr>
        <w:t xml:space="preserve">. </w:t>
      </w:r>
      <w:r w:rsidRPr="00206B59">
        <w:rPr>
          <w:rFonts w:ascii="Simplified Arabic" w:hAnsi="Simplified Arabic" w:cs="Simplified Arabic"/>
          <w:sz w:val="24"/>
          <w:szCs w:val="24"/>
          <w:rtl/>
        </w:rPr>
        <w:t>لهذا السبب فهي مناسبة تمامًا لتقديم لمحة عامة عن درجة المرونة الفعلية التي كانت تتمتع بها المدينة في الماضي</w:t>
      </w:r>
      <w:r w:rsidRPr="00206B59">
        <w:rPr>
          <w:rFonts w:ascii="Simplified Arabic" w:hAnsi="Simplified Arabic" w:cs="Simplified Arabic" w:hint="cs"/>
          <w:sz w:val="24"/>
          <w:szCs w:val="24"/>
          <w:rtl/>
        </w:rPr>
        <w:t xml:space="preserve"> وفي الوقت الحالي، الشكل (</w:t>
      </w:r>
      <w:r w:rsidR="00AF3D2C" w:rsidRPr="00206B59">
        <w:rPr>
          <w:rFonts w:ascii="Simplified Arabic" w:hAnsi="Simplified Arabic" w:cs="Simplified Arabic" w:hint="cs"/>
          <w:sz w:val="24"/>
          <w:szCs w:val="24"/>
          <w:rtl/>
        </w:rPr>
        <w:t>2-13</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w:t>
      </w:r>
    </w:p>
    <w:p w:rsidR="003E0F31" w:rsidRPr="00264FC1" w:rsidRDefault="003E0F31" w:rsidP="00131A88">
      <w:pPr>
        <w:pStyle w:val="fegure"/>
        <w:spacing w:before="240"/>
        <w:rPr>
          <w:sz w:val="8"/>
          <w:szCs w:val="24"/>
          <w:rtl/>
          <w:lang w:bidi="ar-DZ"/>
        </w:rPr>
      </w:pPr>
      <w:bookmarkStart w:id="366" w:name="_Toc157608299"/>
      <w:bookmarkStart w:id="367" w:name="_Toc171803485"/>
      <w:r w:rsidRPr="00264FC1">
        <w:rPr>
          <w:rFonts w:hint="cs"/>
          <w:sz w:val="8"/>
          <w:szCs w:val="24"/>
          <w:rtl/>
        </w:rPr>
        <w:lastRenderedPageBreak/>
        <w:t>الشكل (</w:t>
      </w:r>
      <w:r w:rsidR="00AF3D2C" w:rsidRPr="00264FC1">
        <w:rPr>
          <w:rFonts w:hint="cs"/>
          <w:sz w:val="8"/>
          <w:szCs w:val="24"/>
          <w:rtl/>
        </w:rPr>
        <w:t>2-13</w:t>
      </w:r>
      <w:r w:rsidRPr="00264FC1">
        <w:rPr>
          <w:rFonts w:hint="cs"/>
          <w:sz w:val="8"/>
          <w:szCs w:val="24"/>
          <w:rtl/>
        </w:rPr>
        <w:t xml:space="preserve">): </w:t>
      </w:r>
      <w:r w:rsidRPr="00264FC1">
        <w:rPr>
          <w:rFonts w:hint="cs"/>
          <w:sz w:val="8"/>
          <w:szCs w:val="24"/>
          <w:rtl/>
          <w:lang w:bidi="ar-DZ"/>
        </w:rPr>
        <w:t>امثلة عن</w:t>
      </w:r>
      <w:r w:rsidRPr="00264FC1">
        <w:rPr>
          <w:sz w:val="8"/>
          <w:szCs w:val="24"/>
          <w:rtl/>
          <w:lang w:bidi="ar-DZ"/>
        </w:rPr>
        <w:t xml:space="preserve"> </w:t>
      </w:r>
      <w:r w:rsidRPr="00264FC1">
        <w:rPr>
          <w:rFonts w:hint="cs"/>
          <w:sz w:val="8"/>
          <w:szCs w:val="24"/>
          <w:rtl/>
          <w:lang w:bidi="ar-DZ"/>
        </w:rPr>
        <w:t>قياس</w:t>
      </w:r>
      <w:r w:rsidRPr="00264FC1">
        <w:rPr>
          <w:sz w:val="8"/>
          <w:szCs w:val="24"/>
          <w:rtl/>
          <w:lang w:bidi="ar-DZ"/>
        </w:rPr>
        <w:t xml:space="preserve"> </w:t>
      </w:r>
      <w:r w:rsidRPr="00264FC1">
        <w:rPr>
          <w:rFonts w:hint="cs"/>
          <w:sz w:val="8"/>
          <w:szCs w:val="24"/>
          <w:rtl/>
          <w:lang w:bidi="ar-DZ"/>
        </w:rPr>
        <w:t>المرونة</w:t>
      </w:r>
      <w:r w:rsidRPr="00264FC1">
        <w:rPr>
          <w:sz w:val="8"/>
          <w:szCs w:val="24"/>
          <w:rtl/>
          <w:lang w:bidi="ar-DZ"/>
        </w:rPr>
        <w:t xml:space="preserve"> المباشرة</w:t>
      </w:r>
      <w:bookmarkEnd w:id="366"/>
      <w:bookmarkEnd w:id="367"/>
    </w:p>
    <w:p w:rsidR="003E0F31" w:rsidRPr="000A623E" w:rsidRDefault="003E0F31" w:rsidP="003E0F31">
      <w:pPr>
        <w:autoSpaceDE w:val="0"/>
        <w:autoSpaceDN w:val="0"/>
        <w:bidi/>
        <w:adjustRightInd w:val="0"/>
        <w:spacing w:after="0" w:line="240" w:lineRule="auto"/>
        <w:ind w:firstLine="282"/>
        <w:jc w:val="center"/>
        <w:rPr>
          <w:rFonts w:asciiTheme="majorBidi" w:hAnsiTheme="majorBidi" w:cstheme="majorBidi"/>
          <w:b/>
          <w:bCs/>
          <w:sz w:val="24"/>
          <w:szCs w:val="24"/>
          <w:rtl/>
          <w:lang w:val="en-US"/>
        </w:rPr>
      </w:pPr>
      <w:r w:rsidRPr="000A623E">
        <w:rPr>
          <w:rFonts w:ascii="Simplified Arabic" w:hAnsi="Simplified Arabic" w:cs="Simplified Arabic" w:hint="cs"/>
          <w:b/>
          <w:bCs/>
          <w:sz w:val="24"/>
          <w:szCs w:val="24"/>
          <w:rtl/>
          <w:lang w:bidi="ar-DZ"/>
        </w:rPr>
        <w:t xml:space="preserve">المصدر: </w:t>
      </w:r>
      <w:r w:rsidRPr="000A623E">
        <w:rPr>
          <w:rFonts w:asciiTheme="majorBidi" w:hAnsiTheme="majorBidi" w:cstheme="majorBidi"/>
          <w:b/>
          <w:bCs/>
          <w:sz w:val="24"/>
          <w:szCs w:val="24"/>
          <w:lang w:val="en-US"/>
        </w:rPr>
        <w:t>(OECD, 2018/02)</w:t>
      </w:r>
    </w:p>
    <w:p w:rsidR="006040E6" w:rsidRPr="00CE6A43" w:rsidRDefault="006040E6" w:rsidP="000A623E">
      <w:pPr>
        <w:tabs>
          <w:tab w:val="right" w:pos="2409"/>
          <w:tab w:val="right" w:pos="6945"/>
          <w:tab w:val="right" w:pos="7087"/>
        </w:tabs>
        <w:autoSpaceDE w:val="0"/>
        <w:autoSpaceDN w:val="0"/>
        <w:bidi/>
        <w:adjustRightInd w:val="0"/>
        <w:spacing w:before="240" w:after="0" w:line="240" w:lineRule="auto"/>
        <w:ind w:firstLine="282"/>
        <w:jc w:val="center"/>
        <w:rPr>
          <w:rFonts w:ascii="Simplified Arabic" w:hAnsi="Simplified Arabic" w:cs="Simplified Arabic"/>
          <w:sz w:val="24"/>
          <w:szCs w:val="24"/>
          <w:rtl/>
        </w:rPr>
      </w:pPr>
      <w:r>
        <w:rPr>
          <w:rFonts w:ascii="Simplified Arabic" w:hAnsi="Simplified Arabic" w:cs="Simplified Arabic"/>
          <w:noProof/>
          <w:sz w:val="24"/>
          <w:szCs w:val="24"/>
          <w:rtl/>
          <w:lang w:eastAsia="fr-FR"/>
        </w:rPr>
        <w:drawing>
          <wp:inline distT="0" distB="0" distL="0" distR="0" wp14:anchorId="65CDA61A" wp14:editId="1D6A2C15">
            <wp:extent cx="3338423" cy="1949570"/>
            <wp:effectExtent l="0" t="0" r="14605" b="12700"/>
            <wp:docPr id="29" name="Diagramme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1" r:lo="rId122" r:qs="rId123" r:cs="rId124"/>
              </a:graphicData>
            </a:graphic>
          </wp:inline>
        </w:drawing>
      </w:r>
    </w:p>
    <w:p w:rsidR="003E0F31" w:rsidRPr="004F470B" w:rsidRDefault="003E0F31" w:rsidP="00182FCD">
      <w:pPr>
        <w:autoSpaceDE w:val="0"/>
        <w:autoSpaceDN w:val="0"/>
        <w:bidi/>
        <w:adjustRightInd w:val="0"/>
        <w:spacing w:before="240" w:after="0"/>
        <w:ind w:firstLine="282"/>
        <w:jc w:val="both"/>
        <w:rPr>
          <w:rFonts w:ascii="Simplified Arabic" w:hAnsi="Simplified Arabic" w:cs="Simplified Arabic"/>
          <w:sz w:val="24"/>
          <w:szCs w:val="24"/>
        </w:rPr>
      </w:pPr>
      <w:r w:rsidRPr="004F470B">
        <w:rPr>
          <w:rFonts w:ascii="Simplified Arabic" w:hAnsi="Simplified Arabic" w:cs="Simplified Arabic" w:hint="cs"/>
          <w:sz w:val="24"/>
          <w:szCs w:val="24"/>
          <w:rtl/>
        </w:rPr>
        <w:t>المؤشرات</w:t>
      </w:r>
      <w:r>
        <w:rPr>
          <w:rFonts w:ascii="Simplified Arabic" w:hAnsi="Simplified Arabic" w:cs="Simplified Arabic" w:hint="cs"/>
          <w:sz w:val="24"/>
          <w:szCs w:val="24"/>
          <w:rtl/>
        </w:rPr>
        <w:t xml:space="preserve"> المباشرة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الخاصة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عيب</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يتمثل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أنها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تظهر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فقط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الاستجابة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والضغوط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حدثت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بالفعل،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ولكنها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أقل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إفادة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بشأن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مواجهة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والضغوط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المحتملة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المستقبل</w:t>
      </w:r>
      <w:r>
        <w:rPr>
          <w:rFonts w:ascii="Simplified Arabic" w:hAnsi="Simplified Arabic" w:cs="Simplified Arabic" w:hint="cs"/>
          <w:sz w:val="24"/>
          <w:szCs w:val="24"/>
          <w:rtl/>
        </w:rPr>
        <w:t>، لذلك</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فإن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المباشرة</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للمرونة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دائمًا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للنتائج</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لقياس</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بعض</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الأبعاد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الهدف</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وراء</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السياسات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لتحسين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p>
    <w:p w:rsidR="003E0F31" w:rsidRPr="007353F0" w:rsidRDefault="003E0F31" w:rsidP="001D0548">
      <w:pPr>
        <w:pStyle w:val="Paragraphedeliste"/>
        <w:numPr>
          <w:ilvl w:val="3"/>
          <w:numId w:val="83"/>
        </w:numPr>
        <w:tabs>
          <w:tab w:val="right" w:pos="992"/>
        </w:tabs>
        <w:bidi/>
        <w:spacing w:before="240" w:after="0"/>
        <w:ind w:left="0" w:firstLine="0"/>
        <w:outlineLvl w:val="2"/>
        <w:rPr>
          <w:rFonts w:ascii="Simplified Arabic" w:hAnsi="Simplified Arabic" w:cs="Simplified Arabic"/>
          <w:b/>
          <w:bCs/>
          <w:sz w:val="24"/>
          <w:szCs w:val="24"/>
          <w:lang w:bidi="ar-DZ"/>
        </w:rPr>
      </w:pPr>
      <w:bookmarkStart w:id="368" w:name="_Toc171803486"/>
      <w:r w:rsidRPr="007353F0">
        <w:rPr>
          <w:rFonts w:ascii="Simplified Arabic" w:hAnsi="Simplified Arabic" w:cs="Simplified Arabic"/>
          <w:b/>
          <w:bCs/>
          <w:sz w:val="24"/>
          <w:szCs w:val="24"/>
          <w:rtl/>
          <w:lang w:bidi="ar-DZ"/>
        </w:rPr>
        <w:t xml:space="preserve">المؤشرات </w:t>
      </w:r>
      <w:r w:rsidRPr="007353F0">
        <w:rPr>
          <w:rFonts w:ascii="Simplified Arabic" w:hAnsi="Simplified Arabic" w:cs="Simplified Arabic" w:hint="cs"/>
          <w:b/>
          <w:bCs/>
          <w:sz w:val="24"/>
          <w:szCs w:val="24"/>
          <w:rtl/>
          <w:lang w:bidi="ar-DZ"/>
        </w:rPr>
        <w:t>غير</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المباشرة</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للمرونة</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(قي</w:t>
      </w:r>
      <w:r w:rsidR="001C5672" w:rsidRPr="007353F0">
        <w:rPr>
          <w:rFonts w:ascii="Simplified Arabic" w:hAnsi="Simplified Arabic" w:cs="Simplified Arabic" w:hint="cs"/>
          <w:b/>
          <w:bCs/>
          <w:sz w:val="24"/>
          <w:szCs w:val="24"/>
          <w:rtl/>
          <w:lang w:bidi="ar-DZ"/>
        </w:rPr>
        <w:t>ا</w:t>
      </w:r>
      <w:r w:rsidRPr="007353F0">
        <w:rPr>
          <w:rFonts w:ascii="Simplified Arabic" w:hAnsi="Simplified Arabic" w:cs="Simplified Arabic" w:hint="cs"/>
          <w:b/>
          <w:bCs/>
          <w:sz w:val="24"/>
          <w:szCs w:val="24"/>
          <w:rtl/>
          <w:lang w:bidi="ar-DZ"/>
        </w:rPr>
        <w:t>س</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المرونة</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في</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المستقبل)</w:t>
      </w:r>
      <w:bookmarkEnd w:id="368"/>
    </w:p>
    <w:p w:rsidR="003E0F31" w:rsidRDefault="003E0F31" w:rsidP="003E0F31">
      <w:pPr>
        <w:shd w:val="clear" w:color="auto" w:fill="FFFFFF" w:themeFill="background1"/>
        <w:autoSpaceDE w:val="0"/>
        <w:autoSpaceDN w:val="0"/>
        <w:bidi/>
        <w:adjustRightInd w:val="0"/>
        <w:spacing w:after="0"/>
        <w:ind w:firstLine="282"/>
        <w:jc w:val="both"/>
        <w:rPr>
          <w:rFonts w:ascii="Simplified Arabic" w:hAnsi="Simplified Arabic" w:cs="Simplified Arabic"/>
          <w:sz w:val="24"/>
          <w:szCs w:val="24"/>
          <w:rtl/>
        </w:rPr>
      </w:pPr>
      <w:r w:rsidRPr="004F470B">
        <w:rPr>
          <w:rFonts w:ascii="Simplified Arabic" w:hAnsi="Simplified Arabic" w:cs="Simplified Arabic" w:hint="cs"/>
          <w:sz w:val="24"/>
          <w:szCs w:val="24"/>
          <w:rtl/>
        </w:rPr>
        <w:t>تقيس</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غير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المباشرة</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للمرونة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الخصائص</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الحالية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لمدينة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ما</w:t>
      </w:r>
      <w:r>
        <w:rPr>
          <w:rFonts w:ascii="Simplified Arabic" w:hAnsi="Simplified Arabic" w:cs="Simplified Arabic" w:hint="cs"/>
          <w:sz w:val="24"/>
          <w:szCs w:val="24"/>
          <w:rtl/>
        </w:rPr>
        <w:t>،</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المتوقع</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تؤثر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إيجابًا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أو</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سلبًا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على</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مستوى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مواجهة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المستقبلية</w:t>
      </w:r>
      <w:r>
        <w:rPr>
          <w:rFonts w:ascii="Simplified Arabic" w:hAnsi="Simplified Arabic" w:cs="Simplified Arabic" w:hint="cs"/>
          <w:sz w:val="24"/>
          <w:szCs w:val="24"/>
          <w:rtl/>
        </w:rPr>
        <w:t xml:space="preserve"> </w:t>
      </w:r>
      <w:r w:rsidRPr="00CE6A43">
        <w:rPr>
          <w:rFonts w:asciiTheme="majorBidi" w:hAnsiTheme="majorBidi" w:cstheme="majorBidi"/>
          <w:sz w:val="24"/>
          <w:szCs w:val="24"/>
          <w:lang w:val="en-US"/>
        </w:rPr>
        <w:t>(</w:t>
      </w:r>
      <w:r w:rsidRPr="00206B59">
        <w:rPr>
          <w:rFonts w:asciiTheme="majorBidi" w:hAnsiTheme="majorBidi" w:cstheme="majorBidi"/>
          <w:sz w:val="24"/>
          <w:szCs w:val="24"/>
          <w:lang w:val="en-US"/>
        </w:rPr>
        <w:t>OECD</w:t>
      </w:r>
      <w:r w:rsidRPr="00CE6A43">
        <w:rPr>
          <w:rFonts w:asciiTheme="majorBidi" w:hAnsiTheme="majorBidi" w:cstheme="majorBidi"/>
          <w:sz w:val="24"/>
          <w:szCs w:val="24"/>
          <w:lang w:val="en-US"/>
        </w:rPr>
        <w:t>, 2018/02)</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بمعنى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آخر،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يقيسون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بشكل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مباشر،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لكنهم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يقيسون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المدخلات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والمخرجات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والنتائج</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والعمليات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ذات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الصلة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المحتمل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تؤثر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على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تعتمد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جودتها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كمؤشرات</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للمرونة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المقام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الأول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على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إذا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كانت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العوامل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يقيسونها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مرتبطة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بالفعل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بالمرونة</w:t>
      </w:r>
      <w:r w:rsidRPr="004F470B">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
    <w:p w:rsidR="00131A88" w:rsidRDefault="003E0F31" w:rsidP="00131A88">
      <w:pPr>
        <w:shd w:val="clear" w:color="auto" w:fill="FFFFFF" w:themeFill="background1"/>
        <w:autoSpaceDE w:val="0"/>
        <w:autoSpaceDN w:val="0"/>
        <w:bidi/>
        <w:adjustRightInd w:val="0"/>
        <w:spacing w:after="0"/>
        <w:ind w:firstLine="282"/>
        <w:jc w:val="both"/>
        <w:rPr>
          <w:rFonts w:ascii="Simplified Arabic" w:hAnsi="Simplified Arabic" w:cs="Simplified Arabic"/>
          <w:sz w:val="24"/>
          <w:szCs w:val="24"/>
        </w:rPr>
      </w:pPr>
      <w:r w:rsidRPr="004F470B">
        <w:rPr>
          <w:rFonts w:ascii="Simplified Arabic" w:hAnsi="Simplified Arabic" w:cs="Simplified Arabic" w:hint="cs"/>
          <w:sz w:val="24"/>
          <w:szCs w:val="24"/>
          <w:rtl/>
        </w:rPr>
        <w:t>كما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هو</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الحال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بالنسبة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لجميع</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تحاول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قياس</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الأداء</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المستقبلي،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فإن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غير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المباشرة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غير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كاملة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المستقبل</w:t>
      </w:r>
      <w:r>
        <w:rPr>
          <w:rFonts w:ascii="Simplified Arabic" w:hAnsi="Simplified Arabic" w:cs="Simplified Arabic" w:hint="cs"/>
          <w:sz w:val="24"/>
          <w:szCs w:val="24"/>
          <w:rtl/>
        </w:rPr>
        <w:t xml:space="preserve">، </w:t>
      </w:r>
      <w:r w:rsidRPr="00CE6A43">
        <w:rPr>
          <w:rFonts w:ascii="Simplified Arabic" w:hAnsi="Simplified Arabic" w:cs="Simplified Arabic" w:hint="cs"/>
          <w:sz w:val="24"/>
          <w:szCs w:val="24"/>
          <w:rtl/>
        </w:rPr>
        <w:t>الشكل (</w:t>
      </w:r>
      <w:r w:rsidR="00AF3D2C">
        <w:rPr>
          <w:rFonts w:ascii="Simplified Arabic" w:hAnsi="Simplified Arabic" w:cs="Simplified Arabic" w:hint="cs"/>
          <w:sz w:val="24"/>
          <w:szCs w:val="24"/>
          <w:rtl/>
        </w:rPr>
        <w:t>2-14</w:t>
      </w:r>
      <w:r w:rsidRPr="00CE6A43">
        <w:rPr>
          <w:rFonts w:ascii="Simplified Arabic" w:hAnsi="Simplified Arabic" w:cs="Simplified Arabic" w:hint="cs"/>
          <w:sz w:val="24"/>
          <w:szCs w:val="24"/>
          <w:rtl/>
        </w:rPr>
        <w:t>)</w:t>
      </w:r>
      <w:r w:rsidRPr="004F470B">
        <w:rPr>
          <w:rFonts w:ascii="Simplified Arabic" w:hAnsi="Simplified Arabic" w:cs="Simplified Arabic"/>
          <w:sz w:val="24"/>
          <w:szCs w:val="24"/>
          <w:rtl/>
        </w:rPr>
        <w:t xml:space="preserve">. </w:t>
      </w:r>
    </w:p>
    <w:p w:rsidR="003E0F31" w:rsidRPr="00264FC1" w:rsidRDefault="003E0F31" w:rsidP="00131A88">
      <w:pPr>
        <w:pStyle w:val="fegure"/>
        <w:spacing w:before="240"/>
        <w:rPr>
          <w:sz w:val="8"/>
          <w:szCs w:val="24"/>
          <w:rtl/>
          <w:lang w:bidi="ar-DZ"/>
        </w:rPr>
      </w:pPr>
      <w:bookmarkStart w:id="369" w:name="_Toc157608300"/>
      <w:bookmarkStart w:id="370" w:name="_Toc171803487"/>
      <w:r w:rsidRPr="00264FC1">
        <w:rPr>
          <w:rFonts w:hint="cs"/>
          <w:sz w:val="8"/>
          <w:szCs w:val="24"/>
          <w:rtl/>
        </w:rPr>
        <w:t>الشكل (</w:t>
      </w:r>
      <w:r w:rsidR="00AF3D2C" w:rsidRPr="00264FC1">
        <w:rPr>
          <w:rFonts w:hint="cs"/>
          <w:sz w:val="8"/>
          <w:szCs w:val="24"/>
          <w:rtl/>
        </w:rPr>
        <w:t>2-14</w:t>
      </w:r>
      <w:r w:rsidRPr="00264FC1">
        <w:rPr>
          <w:rFonts w:hint="cs"/>
          <w:sz w:val="8"/>
          <w:szCs w:val="24"/>
          <w:rtl/>
        </w:rPr>
        <w:t xml:space="preserve">): </w:t>
      </w:r>
      <w:r w:rsidRPr="00264FC1">
        <w:rPr>
          <w:rFonts w:hint="cs"/>
          <w:sz w:val="8"/>
          <w:szCs w:val="24"/>
          <w:rtl/>
          <w:lang w:bidi="ar-DZ"/>
        </w:rPr>
        <w:t>امثلة عن</w:t>
      </w:r>
      <w:r w:rsidRPr="00264FC1">
        <w:rPr>
          <w:sz w:val="8"/>
          <w:szCs w:val="24"/>
          <w:rtl/>
          <w:lang w:bidi="ar-DZ"/>
        </w:rPr>
        <w:t xml:space="preserve"> </w:t>
      </w:r>
      <w:r w:rsidRPr="00264FC1">
        <w:rPr>
          <w:rFonts w:hint="cs"/>
          <w:sz w:val="8"/>
          <w:szCs w:val="24"/>
          <w:rtl/>
          <w:lang w:bidi="ar-DZ"/>
        </w:rPr>
        <w:t>قياس</w:t>
      </w:r>
      <w:r w:rsidRPr="00264FC1">
        <w:rPr>
          <w:sz w:val="8"/>
          <w:szCs w:val="24"/>
          <w:rtl/>
          <w:lang w:bidi="ar-DZ"/>
        </w:rPr>
        <w:t xml:space="preserve"> </w:t>
      </w:r>
      <w:r w:rsidRPr="00264FC1">
        <w:rPr>
          <w:rFonts w:hint="cs"/>
          <w:sz w:val="8"/>
          <w:szCs w:val="24"/>
          <w:rtl/>
          <w:lang w:bidi="ar-DZ"/>
        </w:rPr>
        <w:t>المرونة</w:t>
      </w:r>
      <w:r w:rsidRPr="00264FC1">
        <w:rPr>
          <w:sz w:val="8"/>
          <w:szCs w:val="24"/>
          <w:rtl/>
          <w:lang w:bidi="ar-DZ"/>
        </w:rPr>
        <w:t xml:space="preserve"> </w:t>
      </w:r>
      <w:r w:rsidR="00157DF0" w:rsidRPr="00264FC1">
        <w:rPr>
          <w:rFonts w:hint="cs"/>
          <w:sz w:val="8"/>
          <w:szCs w:val="24"/>
          <w:rtl/>
          <w:lang w:bidi="ar-DZ"/>
        </w:rPr>
        <w:t xml:space="preserve">غير </w:t>
      </w:r>
      <w:r w:rsidRPr="00264FC1">
        <w:rPr>
          <w:sz w:val="8"/>
          <w:szCs w:val="24"/>
          <w:rtl/>
          <w:lang w:bidi="ar-DZ"/>
        </w:rPr>
        <w:t>المباشرة</w:t>
      </w:r>
      <w:bookmarkEnd w:id="369"/>
      <w:bookmarkEnd w:id="370"/>
    </w:p>
    <w:p w:rsidR="003E0F31" w:rsidRPr="000A623E" w:rsidRDefault="003E0F31" w:rsidP="003E0F31">
      <w:pPr>
        <w:autoSpaceDE w:val="0"/>
        <w:autoSpaceDN w:val="0"/>
        <w:bidi/>
        <w:adjustRightInd w:val="0"/>
        <w:spacing w:after="0" w:line="240" w:lineRule="auto"/>
        <w:ind w:firstLine="282"/>
        <w:jc w:val="center"/>
        <w:rPr>
          <w:rFonts w:asciiTheme="majorBidi" w:hAnsiTheme="majorBidi" w:cstheme="majorBidi"/>
          <w:b/>
          <w:bCs/>
          <w:sz w:val="24"/>
          <w:szCs w:val="24"/>
          <w:rtl/>
          <w:lang w:val="en-US"/>
        </w:rPr>
      </w:pPr>
      <w:r w:rsidRPr="000A623E">
        <w:rPr>
          <w:rFonts w:ascii="Simplified Arabic" w:hAnsi="Simplified Arabic" w:cs="Simplified Arabic" w:hint="cs"/>
          <w:b/>
          <w:bCs/>
          <w:sz w:val="24"/>
          <w:szCs w:val="24"/>
          <w:rtl/>
          <w:lang w:bidi="ar-DZ"/>
        </w:rPr>
        <w:t xml:space="preserve">المصدر: </w:t>
      </w:r>
      <w:r w:rsidRPr="000A623E">
        <w:rPr>
          <w:rFonts w:asciiTheme="majorBidi" w:hAnsiTheme="majorBidi" w:cstheme="majorBidi"/>
          <w:b/>
          <w:bCs/>
          <w:sz w:val="24"/>
          <w:szCs w:val="24"/>
          <w:lang w:val="en-US"/>
        </w:rPr>
        <w:t>(OECD, 2018/02)</w:t>
      </w:r>
    </w:p>
    <w:p w:rsidR="00C22BCA" w:rsidRPr="00CE6A43" w:rsidRDefault="00C22BCA" w:rsidP="000A623E">
      <w:pPr>
        <w:autoSpaceDE w:val="0"/>
        <w:autoSpaceDN w:val="0"/>
        <w:bidi/>
        <w:adjustRightInd w:val="0"/>
        <w:spacing w:before="240" w:after="0" w:line="240" w:lineRule="auto"/>
        <w:ind w:firstLine="282"/>
        <w:jc w:val="center"/>
        <w:rPr>
          <w:rFonts w:ascii="Simplified Arabic" w:hAnsi="Simplified Arabic" w:cs="Simplified Arabic"/>
          <w:sz w:val="24"/>
          <w:szCs w:val="24"/>
          <w:rtl/>
        </w:rPr>
      </w:pPr>
      <w:r>
        <w:rPr>
          <w:rFonts w:ascii="Simplified Arabic" w:hAnsi="Simplified Arabic" w:cs="Simplified Arabic"/>
          <w:noProof/>
          <w:sz w:val="24"/>
          <w:szCs w:val="24"/>
          <w:rtl/>
          <w:lang w:eastAsia="fr-FR"/>
        </w:rPr>
        <w:drawing>
          <wp:inline distT="0" distB="0" distL="0" distR="0" wp14:anchorId="0D29E60B" wp14:editId="1B6AE141">
            <wp:extent cx="3338423" cy="1923691"/>
            <wp:effectExtent l="0" t="0" r="14605" b="19685"/>
            <wp:docPr id="42" name="Diagramme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6" r:lo="rId127" r:qs="rId128" r:cs="rId129"/>
              </a:graphicData>
            </a:graphic>
          </wp:inline>
        </w:drawing>
      </w:r>
    </w:p>
    <w:p w:rsidR="003E0F31" w:rsidRPr="004F470B" w:rsidRDefault="003E0F31" w:rsidP="00AA1D2C">
      <w:pPr>
        <w:shd w:val="clear" w:color="auto" w:fill="FFFFFF" w:themeFill="background1"/>
        <w:autoSpaceDE w:val="0"/>
        <w:autoSpaceDN w:val="0"/>
        <w:bidi/>
        <w:adjustRightInd w:val="0"/>
        <w:spacing w:before="240" w:after="0"/>
        <w:ind w:firstLine="282"/>
        <w:jc w:val="both"/>
        <w:rPr>
          <w:rFonts w:ascii="Simplified Arabic" w:hAnsi="Simplified Arabic" w:cs="Simplified Arabic"/>
          <w:sz w:val="24"/>
          <w:szCs w:val="24"/>
          <w:rtl/>
        </w:rPr>
      </w:pPr>
      <w:r w:rsidRPr="004F470B">
        <w:rPr>
          <w:rFonts w:ascii="Simplified Arabic" w:hAnsi="Simplified Arabic" w:cs="Simplified Arabic" w:hint="cs"/>
          <w:sz w:val="24"/>
          <w:szCs w:val="24"/>
          <w:rtl/>
        </w:rPr>
        <w:lastRenderedPageBreak/>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الصعب</w:t>
      </w:r>
      <w:r>
        <w:rPr>
          <w:rFonts w:ascii="Simplified Arabic" w:hAnsi="Simplified Arabic" w:cs="Simplified Arabic" w:hint="cs"/>
          <w:sz w:val="24"/>
          <w:szCs w:val="24"/>
          <w:rtl/>
        </w:rPr>
        <w:t xml:space="preserve"> لدى البعض</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معرفة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والضغوط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تحتاجها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المدن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لتكون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مرنة</w:t>
      </w:r>
      <w:r>
        <w:rPr>
          <w:rFonts w:ascii="Simplified Arabic" w:hAnsi="Simplified Arabic" w:cs="Simplified Arabic" w:hint="cs"/>
          <w:sz w:val="24"/>
          <w:szCs w:val="24"/>
          <w:rtl/>
        </w:rPr>
        <w:t xml:space="preserve"> </w:t>
      </w:r>
      <w:r w:rsidRPr="00CE6A43">
        <w:rPr>
          <w:rFonts w:asciiTheme="majorBidi" w:hAnsiTheme="majorBidi" w:cstheme="majorBidi"/>
          <w:sz w:val="24"/>
          <w:szCs w:val="24"/>
          <w:lang w:val="en-US"/>
        </w:rPr>
        <w:t>(</w:t>
      </w:r>
      <w:r w:rsidRPr="00206B59">
        <w:rPr>
          <w:rFonts w:asciiTheme="majorBidi" w:hAnsiTheme="majorBidi" w:cstheme="majorBidi"/>
          <w:sz w:val="24"/>
          <w:szCs w:val="24"/>
          <w:lang w:val="en-US"/>
        </w:rPr>
        <w:t>OECD</w:t>
      </w:r>
      <w:r w:rsidRPr="00CE6A43">
        <w:rPr>
          <w:rFonts w:asciiTheme="majorBidi" w:hAnsiTheme="majorBidi" w:cstheme="majorBidi"/>
          <w:sz w:val="24"/>
          <w:szCs w:val="24"/>
          <w:lang w:val="en-US"/>
        </w:rPr>
        <w:t>, 2018/02)</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بالنسبة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لبعض</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مثل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بعض</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الكوارث</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الطبيعية،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الممكن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التنبؤ</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بدرجة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معقولة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اليقين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بكيفية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حدوث</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الصدمة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وبالمثل،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فإن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العديد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الضغوط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طويلة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الأجل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تتكشف</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ببطء،</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قد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يمنح</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وقتًا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كافيًا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للاستعداد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قبل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تصل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إلى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نسبة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الأزمة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ومع</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ذلك،</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فإن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العديد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الأخرى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أقل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قابلية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للتنبؤ</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بطبيعتها،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إما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خصائصها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يمكن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التنبؤ</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أو</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احتمال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حدوثها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غير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معروف</w:t>
      </w:r>
      <w:r w:rsidRPr="004F470B">
        <w:rPr>
          <w:rFonts w:ascii="Simplified Arabic" w:hAnsi="Simplified Arabic" w:cs="Simplified Arabic"/>
          <w:sz w:val="24"/>
          <w:szCs w:val="24"/>
          <w:rtl/>
        </w:rPr>
        <w:t xml:space="preserve">. </w:t>
      </w:r>
    </w:p>
    <w:p w:rsidR="003E0F31" w:rsidRPr="0063490D" w:rsidRDefault="003E0F31" w:rsidP="001D0548">
      <w:pPr>
        <w:pStyle w:val="Paragraphedeliste"/>
        <w:numPr>
          <w:ilvl w:val="2"/>
          <w:numId w:val="209"/>
        </w:numPr>
        <w:tabs>
          <w:tab w:val="right" w:pos="850"/>
        </w:tabs>
        <w:bidi/>
        <w:spacing w:before="240" w:after="0"/>
        <w:ind w:left="0" w:firstLine="0"/>
        <w:outlineLvl w:val="1"/>
        <w:rPr>
          <w:rFonts w:ascii="Simplified Arabic" w:hAnsi="Simplified Arabic" w:cs="Simplified Arabic"/>
          <w:b/>
          <w:bCs/>
          <w:sz w:val="24"/>
          <w:szCs w:val="24"/>
          <w:lang w:bidi="ar-DZ"/>
        </w:rPr>
      </w:pPr>
      <w:bookmarkStart w:id="371" w:name="_Toc171803488"/>
      <w:r w:rsidRPr="0063490D">
        <w:rPr>
          <w:rFonts w:ascii="Simplified Arabic" w:hAnsi="Simplified Arabic" w:cs="Simplified Arabic" w:hint="cs"/>
          <w:b/>
          <w:bCs/>
          <w:sz w:val="24"/>
          <w:szCs w:val="24"/>
          <w:rtl/>
          <w:lang w:bidi="ar-DZ"/>
        </w:rPr>
        <w:t>تحديد</w:t>
      </w:r>
      <w:r w:rsidRPr="0063490D">
        <w:rPr>
          <w:rFonts w:ascii="Simplified Arabic" w:hAnsi="Simplified Arabic" w:cs="Simplified Arabic"/>
          <w:b/>
          <w:bCs/>
          <w:sz w:val="24"/>
          <w:szCs w:val="24"/>
          <w:rtl/>
          <w:lang w:bidi="ar-DZ"/>
        </w:rPr>
        <w:t xml:space="preserve"> </w:t>
      </w:r>
      <w:r w:rsidRPr="0063490D">
        <w:rPr>
          <w:rFonts w:ascii="Simplified Arabic" w:hAnsi="Simplified Arabic" w:cs="Simplified Arabic" w:hint="cs"/>
          <w:b/>
          <w:bCs/>
          <w:sz w:val="24"/>
          <w:szCs w:val="24"/>
          <w:rtl/>
          <w:lang w:bidi="ar-DZ"/>
        </w:rPr>
        <w:t>مؤشرات</w:t>
      </w:r>
      <w:r w:rsidRPr="0063490D">
        <w:rPr>
          <w:rFonts w:ascii="Simplified Arabic" w:hAnsi="Simplified Arabic" w:cs="Simplified Arabic"/>
          <w:b/>
          <w:bCs/>
          <w:sz w:val="24"/>
          <w:szCs w:val="24"/>
          <w:rtl/>
          <w:lang w:bidi="ar-DZ"/>
        </w:rPr>
        <w:t xml:space="preserve"> </w:t>
      </w:r>
      <w:r w:rsidRPr="0063490D">
        <w:rPr>
          <w:rFonts w:ascii="Simplified Arabic" w:hAnsi="Simplified Arabic" w:cs="Simplified Arabic" w:hint="cs"/>
          <w:b/>
          <w:bCs/>
          <w:sz w:val="24"/>
          <w:szCs w:val="24"/>
          <w:rtl/>
          <w:lang w:bidi="ar-DZ"/>
        </w:rPr>
        <w:t>المرونة</w:t>
      </w:r>
      <w:r w:rsidRPr="0063490D">
        <w:rPr>
          <w:rFonts w:ascii="Simplified Arabic" w:hAnsi="Simplified Arabic" w:cs="Simplified Arabic"/>
          <w:b/>
          <w:bCs/>
          <w:sz w:val="24"/>
          <w:szCs w:val="24"/>
          <w:rtl/>
          <w:lang w:bidi="ar-DZ"/>
        </w:rPr>
        <w:t xml:space="preserve"> </w:t>
      </w:r>
      <w:r w:rsidR="00AF3D2C" w:rsidRPr="0063490D">
        <w:rPr>
          <w:rFonts w:ascii="Simplified Arabic" w:hAnsi="Simplified Arabic" w:cs="Simplified Arabic" w:hint="cs"/>
          <w:b/>
          <w:bCs/>
          <w:sz w:val="24"/>
          <w:szCs w:val="24"/>
          <w:rtl/>
          <w:lang w:bidi="ar-DZ"/>
        </w:rPr>
        <w:t xml:space="preserve">المناسبة </w:t>
      </w:r>
      <w:r w:rsidRPr="0063490D">
        <w:rPr>
          <w:rFonts w:ascii="Simplified Arabic" w:hAnsi="Simplified Arabic" w:cs="Simplified Arabic" w:hint="cs"/>
          <w:b/>
          <w:bCs/>
          <w:sz w:val="24"/>
          <w:szCs w:val="24"/>
          <w:rtl/>
          <w:lang w:bidi="ar-DZ"/>
        </w:rPr>
        <w:t>المباشرة</w:t>
      </w:r>
      <w:r w:rsidRPr="0063490D">
        <w:rPr>
          <w:rFonts w:ascii="Simplified Arabic" w:hAnsi="Simplified Arabic" w:cs="Simplified Arabic"/>
          <w:b/>
          <w:bCs/>
          <w:sz w:val="24"/>
          <w:szCs w:val="24"/>
          <w:rtl/>
          <w:lang w:bidi="ar-DZ"/>
        </w:rPr>
        <w:t xml:space="preserve"> </w:t>
      </w:r>
      <w:r w:rsidRPr="0063490D">
        <w:rPr>
          <w:rFonts w:ascii="Simplified Arabic" w:hAnsi="Simplified Arabic" w:cs="Simplified Arabic" w:hint="cs"/>
          <w:b/>
          <w:bCs/>
          <w:sz w:val="24"/>
          <w:szCs w:val="24"/>
          <w:rtl/>
          <w:lang w:bidi="ar-DZ"/>
        </w:rPr>
        <w:t>وغير</w:t>
      </w:r>
      <w:r w:rsidRPr="0063490D">
        <w:rPr>
          <w:rFonts w:ascii="Simplified Arabic" w:hAnsi="Simplified Arabic" w:cs="Simplified Arabic"/>
          <w:b/>
          <w:bCs/>
          <w:sz w:val="24"/>
          <w:szCs w:val="24"/>
          <w:rtl/>
          <w:lang w:bidi="ar-DZ"/>
        </w:rPr>
        <w:t xml:space="preserve"> </w:t>
      </w:r>
      <w:r w:rsidRPr="0063490D">
        <w:rPr>
          <w:rFonts w:ascii="Simplified Arabic" w:hAnsi="Simplified Arabic" w:cs="Simplified Arabic" w:hint="cs"/>
          <w:b/>
          <w:bCs/>
          <w:sz w:val="24"/>
          <w:szCs w:val="24"/>
          <w:rtl/>
          <w:lang w:bidi="ar-DZ"/>
        </w:rPr>
        <w:t>المباشرة</w:t>
      </w:r>
      <w:bookmarkEnd w:id="371"/>
      <w:r w:rsidRPr="0063490D">
        <w:rPr>
          <w:rFonts w:ascii="Simplified Arabic" w:hAnsi="Simplified Arabic" w:cs="Simplified Arabic"/>
          <w:b/>
          <w:bCs/>
          <w:sz w:val="24"/>
          <w:szCs w:val="24"/>
          <w:rtl/>
          <w:lang w:bidi="ar-DZ"/>
        </w:rPr>
        <w:t xml:space="preserve"> </w:t>
      </w:r>
    </w:p>
    <w:p w:rsidR="003E0F31" w:rsidRPr="009B6519" w:rsidRDefault="003E0F31" w:rsidP="009B6519">
      <w:pPr>
        <w:shd w:val="clear" w:color="auto" w:fill="FFFFFF" w:themeFill="background1"/>
        <w:autoSpaceDE w:val="0"/>
        <w:autoSpaceDN w:val="0"/>
        <w:bidi/>
        <w:adjustRightInd w:val="0"/>
        <w:spacing w:after="0"/>
        <w:ind w:firstLine="282"/>
        <w:jc w:val="both"/>
        <w:rPr>
          <w:rFonts w:ascii="Simplified Arabic" w:hAnsi="Simplified Arabic" w:cs="Simplified Arabic"/>
          <w:sz w:val="24"/>
          <w:szCs w:val="24"/>
        </w:rPr>
      </w:pP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ضوء</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عدم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اليقين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المحيط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والضغوط،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المهم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تحديد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العوامل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تساهم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بوضوح</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يتطلب</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هذا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معرفة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الذي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يحدد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بشكل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عام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وبشكل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أكثر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تحديدًا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سياق</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مدينة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معينة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يجب</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تحدث</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هذه</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العملية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جزئيًا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على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الأقل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قبل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اختيار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يحتاج</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صانعو</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السياسات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إلى</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4F470B">
        <w:rPr>
          <w:rFonts w:ascii="Simplified Arabic" w:hAnsi="Simplified Arabic" w:cs="Simplified Arabic" w:hint="cs"/>
          <w:sz w:val="24"/>
          <w:szCs w:val="24"/>
          <w:rtl/>
        </w:rPr>
        <w:t>فهم</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4F470B">
        <w:rPr>
          <w:rFonts w:ascii="Simplified Arabic" w:hAnsi="Simplified Arabic" w:cs="Simplified Arabic" w:hint="cs"/>
          <w:sz w:val="24"/>
          <w:szCs w:val="24"/>
          <w:rtl/>
        </w:rPr>
        <w:t>جي</w:t>
      </w:r>
      <w:r>
        <w:rPr>
          <w:rFonts w:ascii="Simplified Arabic" w:hAnsi="Simplified Arabic" w:cs="Simplified Arabic" w:hint="cs"/>
          <w:sz w:val="24"/>
          <w:szCs w:val="24"/>
          <w:rtl/>
        </w:rPr>
        <w:t>ّ</w:t>
      </w:r>
      <w:r w:rsidRPr="004F470B">
        <w:rPr>
          <w:rFonts w:ascii="Simplified Arabic" w:hAnsi="Simplified Arabic" w:cs="Simplified Arabic" w:hint="cs"/>
          <w:sz w:val="24"/>
          <w:szCs w:val="24"/>
          <w:rtl/>
        </w:rPr>
        <w:t>د</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من فائدة</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ت</w:t>
      </w:r>
      <w:r w:rsidRPr="004F470B">
        <w:rPr>
          <w:rFonts w:ascii="Simplified Arabic" w:hAnsi="Simplified Arabic" w:cs="Simplified Arabic" w:hint="cs"/>
          <w:sz w:val="24"/>
          <w:szCs w:val="24"/>
          <w:rtl/>
        </w:rPr>
        <w:t>حد</w:t>
      </w:r>
      <w:r>
        <w:rPr>
          <w:rFonts w:ascii="Simplified Arabic" w:hAnsi="Simplified Arabic" w:cs="Simplified Arabic" w:hint="cs"/>
          <w:sz w:val="24"/>
          <w:szCs w:val="24"/>
          <w:rtl/>
        </w:rPr>
        <w:t>ي</w:t>
      </w:r>
      <w:r w:rsidRPr="004F470B">
        <w:rPr>
          <w:rFonts w:ascii="Simplified Arabic" w:hAnsi="Simplified Arabic" w:cs="Simplified Arabic" w:hint="cs"/>
          <w:sz w:val="24"/>
          <w:szCs w:val="24"/>
          <w:rtl/>
        </w:rPr>
        <w:t>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أجل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تطوير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نظام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فعال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للمؤشرات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ي</w:t>
      </w:r>
      <w:r w:rsidRPr="004F470B">
        <w:rPr>
          <w:rFonts w:ascii="Simplified Arabic" w:hAnsi="Simplified Arabic" w:cs="Simplified Arabic" w:hint="cs"/>
          <w:sz w:val="24"/>
          <w:szCs w:val="24"/>
          <w:rtl/>
        </w:rPr>
        <w:t>قيسها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أجل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تحديد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السابقة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وتحديد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المدخلات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والمخرجات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والنتائج</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والعملية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لعبت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دورًا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مهمًا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بشكل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خاص</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خلال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الأزمات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الماضية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تحدد</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هذه</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الدراسات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حجم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وتأثيرات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الكوارث</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والصدمات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السابقة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المدينة،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بالإضافة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إلى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حساب</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احتمالية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وعواقب</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أحداث</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الكوارث</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المستقبل</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يجب</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يكون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تقرير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تقييم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المخاطر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جزءًا</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عملية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التخطيط،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لمساعدة</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مسيّري الشأن الحضري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على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فهم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الأنماط</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الأساسية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والمستقبلية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للمخاطر</w:t>
      </w:r>
      <w:r>
        <w:rPr>
          <w:rFonts w:ascii="Simplified Arabic" w:hAnsi="Simplified Arabic" w:cs="Simplified Arabic" w:hint="cs"/>
          <w:sz w:val="24"/>
          <w:szCs w:val="24"/>
          <w:rtl/>
        </w:rPr>
        <w:t xml:space="preserve"> </w:t>
      </w:r>
      <w:r w:rsidRPr="00F76107">
        <w:rPr>
          <w:rFonts w:asciiTheme="majorBidi" w:hAnsiTheme="majorBidi" w:cstheme="majorBidi"/>
          <w:sz w:val="24"/>
          <w:szCs w:val="24"/>
          <w:rtl/>
        </w:rPr>
        <w:t>(</w:t>
      </w:r>
      <w:r w:rsidR="00291101" w:rsidRPr="00206B59">
        <w:rPr>
          <w:rFonts w:asciiTheme="majorBidi" w:hAnsiTheme="majorBidi" w:cstheme="majorBidi"/>
          <w:sz w:val="24"/>
          <w:szCs w:val="24"/>
        </w:rPr>
        <w:t>Jha</w:t>
      </w:r>
      <w:r w:rsidR="00291101">
        <w:rPr>
          <w:rFonts w:asciiTheme="majorBidi" w:hAnsiTheme="majorBidi" w:cstheme="majorBidi"/>
          <w:sz w:val="24"/>
          <w:szCs w:val="24"/>
        </w:rPr>
        <w:t xml:space="preserve"> &amp;</w:t>
      </w:r>
      <w:r w:rsidRPr="00F76107">
        <w:rPr>
          <w:rFonts w:asciiTheme="majorBidi" w:hAnsiTheme="majorBidi" w:cstheme="majorBidi"/>
          <w:sz w:val="24"/>
          <w:szCs w:val="24"/>
        </w:rPr>
        <w:t xml:space="preserve"> Stanton-Geddes, 2013</w:t>
      </w:r>
      <w:r w:rsidRPr="00F76107">
        <w:rPr>
          <w:rFonts w:asciiTheme="majorBidi" w:hAnsiTheme="majorBidi" w:cstheme="majorBidi"/>
          <w:sz w:val="24"/>
          <w:szCs w:val="24"/>
          <w:rtl/>
        </w:rPr>
        <w:t>)</w:t>
      </w:r>
      <w:r w:rsidRPr="004F470B">
        <w:rPr>
          <w:rFonts w:ascii="Simplified Arabic" w:hAnsi="Simplified Arabic" w:cs="Simplified Arabic"/>
          <w:sz w:val="24"/>
          <w:szCs w:val="24"/>
          <w:rtl/>
        </w:rPr>
        <w:t xml:space="preserve">. </w:t>
      </w:r>
    </w:p>
    <w:p w:rsidR="003E0F31" w:rsidRPr="0063490D" w:rsidRDefault="003E0F31" w:rsidP="001D0548">
      <w:pPr>
        <w:pStyle w:val="Paragraphedeliste"/>
        <w:numPr>
          <w:ilvl w:val="2"/>
          <w:numId w:val="19"/>
        </w:numPr>
        <w:tabs>
          <w:tab w:val="right" w:pos="850"/>
        </w:tabs>
        <w:bidi/>
        <w:spacing w:before="240" w:after="0"/>
        <w:ind w:left="0" w:firstLine="0"/>
        <w:outlineLvl w:val="1"/>
        <w:rPr>
          <w:rFonts w:ascii="Simplified Arabic" w:hAnsi="Simplified Arabic" w:cs="Simplified Arabic"/>
          <w:b/>
          <w:bCs/>
          <w:sz w:val="24"/>
          <w:szCs w:val="24"/>
          <w:lang w:bidi="ar-DZ"/>
        </w:rPr>
      </w:pPr>
      <w:bookmarkStart w:id="372" w:name="_Toc171803489"/>
      <w:r w:rsidRPr="0063490D">
        <w:rPr>
          <w:rFonts w:ascii="Simplified Arabic" w:hAnsi="Simplified Arabic" w:cs="Simplified Arabic" w:hint="cs"/>
          <w:b/>
          <w:bCs/>
          <w:sz w:val="24"/>
          <w:szCs w:val="24"/>
          <w:rtl/>
          <w:lang w:bidi="ar-DZ"/>
        </w:rPr>
        <w:t>المؤشرات</w:t>
      </w:r>
      <w:r w:rsidRPr="0063490D">
        <w:rPr>
          <w:rFonts w:ascii="Simplified Arabic" w:hAnsi="Simplified Arabic" w:cs="Simplified Arabic"/>
          <w:b/>
          <w:bCs/>
          <w:sz w:val="24"/>
          <w:szCs w:val="24"/>
          <w:rtl/>
          <w:lang w:bidi="ar-DZ"/>
        </w:rPr>
        <w:t xml:space="preserve"> </w:t>
      </w:r>
      <w:r w:rsidRPr="0063490D">
        <w:rPr>
          <w:rFonts w:ascii="Simplified Arabic" w:hAnsi="Simplified Arabic" w:cs="Simplified Arabic" w:hint="cs"/>
          <w:b/>
          <w:bCs/>
          <w:sz w:val="24"/>
          <w:szCs w:val="24"/>
          <w:rtl/>
          <w:lang w:bidi="ar-DZ"/>
        </w:rPr>
        <w:t>الفيزيائية</w:t>
      </w:r>
      <w:bookmarkEnd w:id="372"/>
    </w:p>
    <w:p w:rsidR="003E0F31" w:rsidRDefault="003E0F31" w:rsidP="003166C4">
      <w:pPr>
        <w:autoSpaceDE w:val="0"/>
        <w:autoSpaceDN w:val="0"/>
        <w:bidi/>
        <w:adjustRightInd w:val="0"/>
        <w:spacing w:after="0"/>
        <w:ind w:firstLine="282"/>
        <w:jc w:val="both"/>
        <w:rPr>
          <w:rFonts w:ascii="Simplified Arabic" w:hAnsi="Simplified Arabic" w:cs="Simplified Arabic"/>
          <w:sz w:val="24"/>
          <w:szCs w:val="24"/>
          <w:rtl/>
        </w:rPr>
      </w:pPr>
      <w:r w:rsidRPr="004F470B">
        <w:rPr>
          <w:rFonts w:ascii="Simplified Arabic" w:hAnsi="Simplified Arabic" w:cs="Simplified Arabic"/>
          <w:sz w:val="24"/>
          <w:szCs w:val="24"/>
          <w:rtl/>
        </w:rPr>
        <w:t xml:space="preserve">المكون </w:t>
      </w:r>
      <w:r>
        <w:rPr>
          <w:rFonts w:ascii="Simplified Arabic" w:hAnsi="Simplified Arabic" w:cs="Simplified Arabic" w:hint="cs"/>
          <w:sz w:val="24"/>
          <w:szCs w:val="24"/>
          <w:rtl/>
        </w:rPr>
        <w:t>الفيزيائي</w:t>
      </w:r>
      <w:r w:rsidRPr="004F470B">
        <w:rPr>
          <w:rFonts w:ascii="Simplified Arabic" w:hAnsi="Simplified Arabic" w:cs="Simplified Arabic"/>
          <w:sz w:val="24"/>
          <w:szCs w:val="24"/>
          <w:rtl/>
        </w:rPr>
        <w:t xml:space="preserve"> هو البعد الأقل دراسة لمرونة الكوارث من حيث مؤشرات المرونة المركبة. ا</w:t>
      </w:r>
      <w:r>
        <w:rPr>
          <w:rFonts w:ascii="Simplified Arabic" w:hAnsi="Simplified Arabic" w:cs="Simplified Arabic"/>
          <w:sz w:val="24"/>
          <w:szCs w:val="24"/>
          <w:rtl/>
        </w:rPr>
        <w:t>ستنادًا إلى التعريف المشترك لل</w:t>
      </w:r>
      <w:r>
        <w:rPr>
          <w:rFonts w:ascii="Simplified Arabic" w:hAnsi="Simplified Arabic" w:cs="Simplified Arabic" w:hint="cs"/>
          <w:sz w:val="24"/>
          <w:szCs w:val="24"/>
          <w:rtl/>
        </w:rPr>
        <w:t>مرونة</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تم</w:t>
      </w:r>
      <w:r w:rsidRPr="004F470B">
        <w:rPr>
          <w:rFonts w:ascii="Simplified Arabic" w:hAnsi="Simplified Arabic" w:cs="Simplified Arabic"/>
          <w:sz w:val="24"/>
          <w:szCs w:val="24"/>
          <w:rtl/>
        </w:rPr>
        <w:t xml:space="preserve"> تعريف المرونة </w:t>
      </w:r>
      <w:r>
        <w:rPr>
          <w:rFonts w:ascii="Simplified Arabic" w:hAnsi="Simplified Arabic" w:cs="Simplified Arabic" w:hint="cs"/>
          <w:sz w:val="24"/>
          <w:szCs w:val="24"/>
          <w:rtl/>
        </w:rPr>
        <w:t>الفيزيائية</w:t>
      </w:r>
      <w:r w:rsidRPr="004F470B">
        <w:rPr>
          <w:rFonts w:ascii="Simplified Arabic" w:hAnsi="Simplified Arabic" w:cs="Simplified Arabic"/>
          <w:sz w:val="24"/>
          <w:szCs w:val="24"/>
          <w:rtl/>
        </w:rPr>
        <w:t xml:space="preserve"> بشكل فضفاض على أنها </w:t>
      </w:r>
      <w:r>
        <w:rPr>
          <w:rFonts w:ascii="Simplified Arabic" w:hAnsi="Simplified Arabic" w:cs="Simplified Arabic" w:hint="cs"/>
          <w:sz w:val="24"/>
          <w:szCs w:val="24"/>
          <w:rtl/>
        </w:rPr>
        <w:t>''</w:t>
      </w:r>
      <w:r w:rsidRPr="004F470B">
        <w:rPr>
          <w:rFonts w:ascii="Simplified Arabic" w:hAnsi="Simplified Arabic" w:cs="Simplified Arabic"/>
          <w:sz w:val="24"/>
          <w:szCs w:val="24"/>
          <w:rtl/>
        </w:rPr>
        <w:t xml:space="preserve">قدرة البيئة </w:t>
      </w:r>
      <w:r w:rsidR="008E533E">
        <w:rPr>
          <w:rFonts w:ascii="Simplified Arabic" w:hAnsi="Simplified Arabic" w:cs="Simplified Arabic" w:hint="cs"/>
          <w:sz w:val="24"/>
          <w:szCs w:val="24"/>
          <w:rtl/>
          <w:lang w:val="en-US"/>
        </w:rPr>
        <w:t>الحضرية</w:t>
      </w:r>
      <w:r w:rsidR="008E533E" w:rsidRPr="004F470B">
        <w:rPr>
          <w:rFonts w:ascii="Simplified Arabic" w:hAnsi="Simplified Arabic" w:cs="Simplified Arabic"/>
          <w:sz w:val="24"/>
          <w:szCs w:val="24"/>
          <w:rtl/>
        </w:rPr>
        <w:t xml:space="preserve"> </w:t>
      </w:r>
      <w:r w:rsidRPr="004F470B">
        <w:rPr>
          <w:rFonts w:ascii="Simplified Arabic" w:hAnsi="Simplified Arabic" w:cs="Simplified Arabic"/>
          <w:sz w:val="24"/>
          <w:szCs w:val="24"/>
          <w:rtl/>
        </w:rPr>
        <w:t xml:space="preserve">على استيعاب الآثار السلبية للصدمة على </w:t>
      </w:r>
      <w:r>
        <w:rPr>
          <w:rFonts w:ascii="Simplified Arabic" w:hAnsi="Simplified Arabic" w:cs="Simplified Arabic"/>
          <w:sz w:val="24"/>
          <w:szCs w:val="24"/>
          <w:rtl/>
        </w:rPr>
        <w:t>المجتمع</w:t>
      </w:r>
      <w:r w:rsidRPr="004F470B">
        <w:rPr>
          <w:rFonts w:ascii="Simplified Arabic" w:hAnsi="Simplified Arabic" w:cs="Simplified Arabic"/>
          <w:sz w:val="24"/>
          <w:szCs w:val="24"/>
          <w:rtl/>
        </w:rPr>
        <w:t xml:space="preserve">، والحفاظ على هياكلها الرئيسية ووظيفتها، واستعادة الهياكل المتضررة بسرعة حتى يتمكن المجتمع من القيام بذلك </w:t>
      </w:r>
      <w:r>
        <w:rPr>
          <w:rFonts w:ascii="Simplified Arabic" w:hAnsi="Simplified Arabic" w:cs="Simplified Arabic" w:hint="cs"/>
          <w:sz w:val="24"/>
          <w:szCs w:val="24"/>
          <w:rtl/>
        </w:rPr>
        <w:t>و</w:t>
      </w:r>
      <w:r w:rsidRPr="004F470B">
        <w:rPr>
          <w:rFonts w:ascii="Simplified Arabic" w:hAnsi="Simplified Arabic" w:cs="Simplified Arabic"/>
          <w:sz w:val="24"/>
          <w:szCs w:val="24"/>
          <w:rtl/>
        </w:rPr>
        <w:t>العودة إلى مستوى وظيفتها السابق</w:t>
      </w:r>
      <w:r w:rsidRPr="004F470B">
        <w:rPr>
          <w:rFonts w:ascii="Simplified Arabic" w:hAnsi="Simplified Arabic" w:cs="Simplified Arabic" w:hint="cs"/>
          <w:sz w:val="24"/>
          <w:szCs w:val="24"/>
          <w:rtl/>
        </w:rPr>
        <w:t xml:space="preserve"> </w:t>
      </w:r>
      <w:r w:rsidRPr="00303279">
        <w:rPr>
          <w:rFonts w:asciiTheme="majorBidi" w:hAnsiTheme="majorBidi" w:cstheme="majorBidi"/>
          <w:sz w:val="24"/>
          <w:szCs w:val="24"/>
        </w:rPr>
        <w:t>(</w:t>
      </w:r>
      <w:r w:rsidRPr="00206B59">
        <w:rPr>
          <w:rFonts w:asciiTheme="majorBidi" w:hAnsiTheme="majorBidi" w:cstheme="majorBidi"/>
          <w:sz w:val="24"/>
          <w:szCs w:val="24"/>
        </w:rPr>
        <w:t>Mayunga</w:t>
      </w:r>
      <w:r w:rsidRPr="00303279">
        <w:rPr>
          <w:rFonts w:asciiTheme="majorBidi" w:hAnsiTheme="majorBidi" w:cstheme="majorBidi"/>
          <w:sz w:val="24"/>
          <w:szCs w:val="24"/>
        </w:rPr>
        <w:t>, 2007)</w:t>
      </w:r>
      <w:r w:rsidRPr="004F470B">
        <w:rPr>
          <w:rFonts w:ascii="Simplified Arabic" w:hAnsi="Simplified Arabic" w:cs="Simplified Arabic" w:hint="cs"/>
          <w:sz w:val="24"/>
          <w:szCs w:val="24"/>
          <w:rtl/>
        </w:rPr>
        <w:t xml:space="preserve">. </w:t>
      </w:r>
      <w:r w:rsidRPr="004F470B">
        <w:rPr>
          <w:rFonts w:ascii="Simplified Arabic" w:hAnsi="Simplified Arabic" w:cs="Simplified Arabic"/>
          <w:sz w:val="24"/>
          <w:szCs w:val="24"/>
          <w:rtl/>
        </w:rPr>
        <w:t xml:space="preserve">نماذج مرونة البنية التحتية الحالية التي تتخذ نهجًا هندسيًا لنمذجة المرونة ليست مناسبة لتحديد متغيرات المكونات </w:t>
      </w:r>
      <w:r>
        <w:rPr>
          <w:rFonts w:ascii="Simplified Arabic" w:hAnsi="Simplified Arabic" w:cs="Simplified Arabic" w:hint="cs"/>
          <w:sz w:val="24"/>
          <w:szCs w:val="24"/>
          <w:rtl/>
        </w:rPr>
        <w:t>الفيزيائية</w:t>
      </w:r>
      <w:r w:rsidRPr="004F470B">
        <w:rPr>
          <w:rFonts w:ascii="Simplified Arabic" w:hAnsi="Simplified Arabic" w:cs="Simplified Arabic"/>
          <w:sz w:val="24"/>
          <w:szCs w:val="24"/>
          <w:rtl/>
        </w:rPr>
        <w:t xml:space="preserve"> في نموذج مرونة شامل. كتقييم شامل للمباني (</w:t>
      </w:r>
      <w:r>
        <w:rPr>
          <w:rFonts w:ascii="Simplified Arabic" w:hAnsi="Simplified Arabic" w:cs="Simplified Arabic"/>
          <w:sz w:val="24"/>
          <w:szCs w:val="24"/>
          <w:rtl/>
        </w:rPr>
        <w:t>سكنية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تجارية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صناعية </w:t>
      </w:r>
      <w:r>
        <w:rPr>
          <w:rFonts w:ascii="Simplified Arabic" w:hAnsi="Simplified Arabic" w:cs="Simplified Arabic" w:hint="cs"/>
          <w:sz w:val="24"/>
          <w:szCs w:val="24"/>
          <w:rtl/>
        </w:rPr>
        <w:t>و</w:t>
      </w:r>
      <w:r>
        <w:rPr>
          <w:rFonts w:ascii="Simplified Arabic" w:hAnsi="Simplified Arabic" w:cs="Simplified Arabic"/>
          <w:sz w:val="24"/>
          <w:szCs w:val="24"/>
          <w:rtl/>
        </w:rPr>
        <w:t>عامة)، خطوط الحياة (النقل</w:t>
      </w:r>
      <w:r w:rsidRPr="004F470B">
        <w:rPr>
          <w:rFonts w:ascii="Simplified Arabic" w:hAnsi="Simplified Arabic" w:cs="Simplified Arabic"/>
          <w:sz w:val="24"/>
          <w:szCs w:val="24"/>
          <w:rtl/>
        </w:rPr>
        <w:t xml:space="preserve">، الكهرباء، المياه والاتصالات)، البنية التحتية (الطرق والجسور والسدود)، وأنظمة الأراضي والبناء، وتخطيط </w:t>
      </w:r>
      <w:r w:rsidR="003166C4">
        <w:rPr>
          <w:rFonts w:ascii="Simplified Arabic" w:hAnsi="Simplified Arabic" w:cs="Simplified Arabic" w:hint="cs"/>
          <w:sz w:val="24"/>
          <w:szCs w:val="24"/>
          <w:rtl/>
        </w:rPr>
        <w:t>استعمال</w:t>
      </w:r>
      <w:r w:rsidRPr="004F470B">
        <w:rPr>
          <w:rFonts w:ascii="Simplified Arabic" w:hAnsi="Simplified Arabic" w:cs="Simplified Arabic"/>
          <w:sz w:val="24"/>
          <w:szCs w:val="24"/>
          <w:rtl/>
        </w:rPr>
        <w:t xml:space="preserve"> الأراضي وأيضًا هناك حاجة إلى مرافق </w:t>
      </w:r>
      <w:r>
        <w:rPr>
          <w:rFonts w:ascii="Simplified Arabic" w:hAnsi="Simplified Arabic" w:cs="Simplified Arabic" w:hint="cs"/>
          <w:sz w:val="24"/>
          <w:szCs w:val="24"/>
          <w:rtl/>
        </w:rPr>
        <w:t>عمومية هامة</w:t>
      </w:r>
      <w:r w:rsidRPr="004F470B">
        <w:rPr>
          <w:rFonts w:ascii="Simplified Arabic" w:hAnsi="Simplified Arabic" w:cs="Simplified Arabic"/>
          <w:sz w:val="24"/>
          <w:szCs w:val="24"/>
          <w:rtl/>
        </w:rPr>
        <w:t>. كما تمت مناقشته سابقًا في</w:t>
      </w:r>
      <w:r>
        <w:rPr>
          <w:rFonts w:ascii="Simplified Arabic" w:hAnsi="Simplified Arabic" w:cs="Simplified Arabic" w:hint="cs"/>
          <w:sz w:val="24"/>
          <w:szCs w:val="24"/>
          <w:rtl/>
        </w:rPr>
        <w:t>(</w:t>
      </w:r>
      <w:r w:rsidRPr="004F470B">
        <w:rPr>
          <w:rFonts w:ascii="Simplified Arabic" w:hAnsi="Simplified Arabic" w:cs="Simplified Arabic"/>
          <w:sz w:val="24"/>
          <w:szCs w:val="24"/>
          <w:rtl/>
        </w:rPr>
        <w:t xml:space="preserve"> الفصل </w:t>
      </w:r>
      <w:r>
        <w:rPr>
          <w:rFonts w:ascii="Simplified Arabic" w:hAnsi="Simplified Arabic" w:cs="Simplified Arabic" w:hint="cs"/>
          <w:sz w:val="24"/>
          <w:szCs w:val="24"/>
          <w:rtl/>
        </w:rPr>
        <w:t>1)</w:t>
      </w:r>
      <w:r w:rsidRPr="004F470B">
        <w:rPr>
          <w:rFonts w:ascii="Simplified Arabic" w:hAnsi="Simplified Arabic" w:cs="Simplified Arabic"/>
          <w:sz w:val="24"/>
          <w:szCs w:val="24"/>
          <w:rtl/>
        </w:rPr>
        <w:t xml:space="preserve">، فإن أربعة من سمات المرونة التي تمت مناقشتها أكثر صلة بالمرونة </w:t>
      </w:r>
      <w:r>
        <w:rPr>
          <w:rFonts w:ascii="Simplified Arabic" w:hAnsi="Simplified Arabic" w:cs="Simplified Arabic" w:hint="cs"/>
          <w:sz w:val="24"/>
          <w:szCs w:val="24"/>
          <w:rtl/>
        </w:rPr>
        <w:t>الفيزيائية</w:t>
      </w:r>
      <w:r w:rsidRPr="004F470B">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التي </w:t>
      </w:r>
      <w:r w:rsidRPr="004F470B">
        <w:rPr>
          <w:rFonts w:ascii="Simplified Arabic" w:hAnsi="Simplified Arabic" w:cs="Simplified Arabic"/>
          <w:sz w:val="24"/>
          <w:szCs w:val="24"/>
          <w:rtl/>
        </w:rPr>
        <w:t xml:space="preserve">توضح خصائص البيئة </w:t>
      </w:r>
      <w:r w:rsidR="008E533E">
        <w:rPr>
          <w:rFonts w:ascii="Simplified Arabic" w:hAnsi="Simplified Arabic" w:cs="Simplified Arabic" w:hint="cs"/>
          <w:sz w:val="24"/>
          <w:szCs w:val="24"/>
          <w:rtl/>
          <w:lang w:val="en-US"/>
        </w:rPr>
        <w:t>الحضرية</w:t>
      </w:r>
      <w:r w:rsidR="008E533E" w:rsidRPr="004F470B">
        <w:rPr>
          <w:rFonts w:ascii="Simplified Arabic" w:hAnsi="Simplified Arabic" w:cs="Simplified Arabic"/>
          <w:sz w:val="24"/>
          <w:szCs w:val="24"/>
          <w:rtl/>
        </w:rPr>
        <w:t xml:space="preserve"> </w:t>
      </w:r>
      <w:r w:rsidRPr="004F470B">
        <w:rPr>
          <w:rFonts w:ascii="Simplified Arabic" w:hAnsi="Simplified Arabic" w:cs="Simplified Arabic"/>
          <w:sz w:val="24"/>
          <w:szCs w:val="24"/>
          <w:rtl/>
        </w:rPr>
        <w:t>المرنة</w:t>
      </w:r>
      <w:r>
        <w:rPr>
          <w:rFonts w:ascii="Simplified Arabic" w:hAnsi="Simplified Arabic" w:cs="Simplified Arabic" w:hint="cs"/>
          <w:sz w:val="24"/>
          <w:szCs w:val="24"/>
          <w:rtl/>
        </w:rPr>
        <w:t>، الشكل (</w:t>
      </w:r>
      <w:r w:rsidR="00AF3D2C">
        <w:rPr>
          <w:rFonts w:ascii="Simplified Arabic" w:hAnsi="Simplified Arabic" w:cs="Simplified Arabic" w:hint="cs"/>
          <w:sz w:val="24"/>
          <w:szCs w:val="24"/>
          <w:rtl/>
        </w:rPr>
        <w:t>2-15</w:t>
      </w:r>
      <w:r>
        <w:rPr>
          <w:rFonts w:ascii="Simplified Arabic" w:hAnsi="Simplified Arabic" w:cs="Simplified Arabic" w:hint="cs"/>
          <w:sz w:val="24"/>
          <w:szCs w:val="24"/>
          <w:rtl/>
        </w:rPr>
        <w:t>)</w:t>
      </w:r>
      <w:r w:rsidRPr="004F470B">
        <w:rPr>
          <w:rFonts w:ascii="Simplified Arabic" w:hAnsi="Simplified Arabic" w:cs="Simplified Arabic"/>
          <w:sz w:val="24"/>
          <w:szCs w:val="24"/>
          <w:rtl/>
        </w:rPr>
        <w:t>. تُستخدم سمات</w:t>
      </w:r>
      <w:r w:rsidRPr="00FD773C">
        <w:rPr>
          <w:rFonts w:ascii="Simplified Arabic" w:hAnsi="Simplified Arabic" w:cs="Simplified Arabic"/>
          <w:sz w:val="24"/>
          <w:szCs w:val="24"/>
          <w:rtl/>
        </w:rPr>
        <w:t xml:space="preserve"> </w:t>
      </w:r>
      <w:r>
        <w:rPr>
          <w:rFonts w:ascii="Simplified Arabic" w:hAnsi="Simplified Arabic" w:cs="Simplified Arabic"/>
          <w:sz w:val="24"/>
          <w:szCs w:val="24"/>
          <w:rtl/>
        </w:rPr>
        <w:t>المرونة</w:t>
      </w:r>
      <w:r w:rsidRPr="004F470B">
        <w:rPr>
          <w:rFonts w:ascii="Simplified Arabic" w:hAnsi="Simplified Arabic" w:cs="Simplified Arabic"/>
          <w:sz w:val="24"/>
          <w:szCs w:val="24"/>
          <w:rtl/>
        </w:rPr>
        <w:t xml:space="preserve">، جنبًا إلى جنب مع </w:t>
      </w:r>
      <w:r>
        <w:rPr>
          <w:rFonts w:ascii="Simplified Arabic" w:hAnsi="Simplified Arabic" w:cs="Simplified Arabic" w:hint="cs"/>
          <w:sz w:val="24"/>
          <w:szCs w:val="24"/>
          <w:rtl/>
        </w:rPr>
        <w:t>ال</w:t>
      </w:r>
      <w:r w:rsidRPr="004F470B">
        <w:rPr>
          <w:rFonts w:ascii="Simplified Arabic" w:hAnsi="Simplified Arabic" w:cs="Simplified Arabic"/>
          <w:sz w:val="24"/>
          <w:szCs w:val="24"/>
          <w:rtl/>
        </w:rPr>
        <w:t xml:space="preserve">مبادئ الأخرى المستخرجة من </w:t>
      </w:r>
      <w:r w:rsidR="008B3E54">
        <w:rPr>
          <w:rFonts w:ascii="Simplified Arabic" w:hAnsi="Simplified Arabic" w:cs="Simplified Arabic" w:hint="cs"/>
          <w:sz w:val="24"/>
          <w:szCs w:val="24"/>
          <w:rtl/>
        </w:rPr>
        <w:t>ابحاث</w:t>
      </w:r>
      <w:r w:rsidRPr="004F470B">
        <w:rPr>
          <w:rFonts w:ascii="Simplified Arabic" w:hAnsi="Simplified Arabic" w:cs="Simplified Arabic"/>
          <w:sz w:val="24"/>
          <w:szCs w:val="24"/>
          <w:rtl/>
        </w:rPr>
        <w:t xml:space="preserve"> التخطيط الحضري، لتحديد مقاييس المرونة </w:t>
      </w:r>
      <w:r>
        <w:rPr>
          <w:rFonts w:ascii="Simplified Arabic" w:hAnsi="Simplified Arabic" w:cs="Simplified Arabic" w:hint="cs"/>
          <w:sz w:val="24"/>
          <w:szCs w:val="24"/>
          <w:rtl/>
        </w:rPr>
        <w:t>الفيزيائية التي تم مناقشتها في (الفصل 1).</w:t>
      </w:r>
    </w:p>
    <w:p w:rsidR="003E0F31" w:rsidRPr="004F470B" w:rsidRDefault="003E0F31" w:rsidP="008E533E">
      <w:pPr>
        <w:autoSpaceDE w:val="0"/>
        <w:autoSpaceDN w:val="0"/>
        <w:bidi/>
        <w:adjustRightInd w:val="0"/>
        <w:spacing w:after="0"/>
        <w:ind w:firstLine="282"/>
        <w:jc w:val="both"/>
        <w:rPr>
          <w:rFonts w:ascii="Simplified Arabic" w:hAnsi="Simplified Arabic" w:cs="Simplified Arabic"/>
          <w:rtl/>
        </w:rPr>
      </w:pPr>
      <w:r w:rsidRPr="004F470B">
        <w:rPr>
          <w:rFonts w:ascii="Simplified Arabic" w:hAnsi="Simplified Arabic" w:cs="Simplified Arabic" w:hint="cs"/>
          <w:sz w:val="24"/>
          <w:szCs w:val="24"/>
          <w:rtl/>
        </w:rPr>
        <w:t>لتقييم</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مرونة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النظام الفيزيائي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 xml:space="preserve">للبيئة </w:t>
      </w:r>
      <w:r w:rsidR="008E533E">
        <w:rPr>
          <w:rFonts w:ascii="Simplified Arabic" w:hAnsi="Simplified Arabic" w:cs="Simplified Arabic" w:hint="cs"/>
          <w:sz w:val="24"/>
          <w:szCs w:val="24"/>
          <w:rtl/>
          <w:lang w:val="en-US"/>
        </w:rPr>
        <w:t>الحضرية</w:t>
      </w:r>
      <w:r w:rsidRPr="004F470B">
        <w:rPr>
          <w:rFonts w:ascii="Simplified Arabic" w:hAnsi="Simplified Arabic" w:cs="Simplified Arabic" w:hint="cs"/>
          <w:sz w:val="24"/>
          <w:szCs w:val="24"/>
          <w:rtl/>
        </w:rPr>
        <w:t>،</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يبدو</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أن</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النماذج</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المفاهيمية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القائمة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على</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المؤشرات</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الكمية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أو</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معايير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الأداء</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هي</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الأكثر</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صلة</w:t>
      </w:r>
      <w:r w:rsidRPr="004F470B">
        <w:rPr>
          <w:rFonts w:ascii="Simplified Arabic" w:hAnsi="Simplified Arabic" w:cs="Simplified Arabic"/>
          <w:sz w:val="24"/>
          <w:szCs w:val="24"/>
          <w:rtl/>
        </w:rPr>
        <w:t xml:space="preserve">. </w:t>
      </w:r>
      <w:r w:rsidRPr="004F470B">
        <w:rPr>
          <w:rFonts w:ascii="Simplified Arabic" w:hAnsi="Simplified Arabic" w:cs="Simplified Arabic" w:hint="cs"/>
          <w:sz w:val="24"/>
          <w:szCs w:val="24"/>
          <w:rtl/>
        </w:rPr>
        <w:t xml:space="preserve">لقد </w:t>
      </w:r>
      <w:r w:rsidRPr="00DF071A">
        <w:rPr>
          <w:rFonts w:ascii="Simplified Arabic" w:hAnsi="Simplified Arabic" w:cs="Simplified Arabic"/>
          <w:sz w:val="24"/>
          <w:szCs w:val="24"/>
          <w:rtl/>
        </w:rPr>
        <w:t>درس بعض الباحثين آثار</w:t>
      </w:r>
      <w:r w:rsidRPr="00DF071A">
        <w:rPr>
          <w:rFonts w:ascii="Simplified Arabic" w:hAnsi="Simplified Arabic" w:cs="Simplified Arabic" w:hint="cs"/>
          <w:sz w:val="24"/>
          <w:szCs w:val="24"/>
          <w:rtl/>
        </w:rPr>
        <w:t xml:space="preserve"> الانظمة الفيزيائية والاجتماعية على</w:t>
      </w:r>
      <w:r w:rsidRPr="00DF071A">
        <w:rPr>
          <w:rFonts w:ascii="Simplified Arabic" w:hAnsi="Simplified Arabic" w:cs="Simplified Arabic"/>
          <w:sz w:val="24"/>
          <w:szCs w:val="24"/>
          <w:rtl/>
        </w:rPr>
        <w:t xml:space="preserve"> المرونة في القضايا الحضرية</w:t>
      </w:r>
      <w:r w:rsidRPr="004F470B">
        <w:rPr>
          <w:rFonts w:ascii="Simplified Arabic" w:hAnsi="Simplified Arabic" w:cs="Simplified Arabic" w:hint="cs"/>
          <w:rtl/>
        </w:rPr>
        <w:t xml:space="preserve"> </w:t>
      </w:r>
      <w:r w:rsidRPr="00B34603">
        <w:rPr>
          <w:rFonts w:asciiTheme="majorBidi" w:hAnsiTheme="majorBidi" w:cstheme="majorBidi"/>
          <w:sz w:val="24"/>
          <w:szCs w:val="24"/>
        </w:rPr>
        <w:t xml:space="preserve"> (</w:t>
      </w:r>
      <w:r w:rsidRPr="00206B59">
        <w:rPr>
          <w:rFonts w:asciiTheme="majorBidi" w:hAnsiTheme="majorBidi" w:cstheme="majorBidi"/>
          <w:sz w:val="24"/>
          <w:szCs w:val="24"/>
        </w:rPr>
        <w:t>Zuniga</w:t>
      </w:r>
      <w:r w:rsidRPr="00B34603">
        <w:rPr>
          <w:rFonts w:asciiTheme="majorBidi" w:hAnsiTheme="majorBidi" w:cstheme="majorBidi"/>
          <w:sz w:val="24"/>
          <w:szCs w:val="24"/>
        </w:rPr>
        <w:t>-Teran, 2020)</w:t>
      </w:r>
      <w:r w:rsidRPr="004F470B">
        <w:rPr>
          <w:rFonts w:ascii="Simplified Arabic" w:hAnsi="Simplified Arabic" w:cs="Simplified Arabic"/>
          <w:sz w:val="24"/>
          <w:szCs w:val="24"/>
        </w:rPr>
        <w:t>.</w:t>
      </w:r>
      <w:r w:rsidRPr="004F470B">
        <w:rPr>
          <w:rFonts w:ascii="Simplified Arabic" w:hAnsi="Simplified Arabic" w:cs="Simplified Arabic" w:hint="cs"/>
          <w:rtl/>
        </w:rPr>
        <w:t>.</w:t>
      </w:r>
    </w:p>
    <w:p w:rsidR="003E0F31" w:rsidRDefault="003E0F31" w:rsidP="006D0C1B">
      <w:pPr>
        <w:autoSpaceDE w:val="0"/>
        <w:autoSpaceDN w:val="0"/>
        <w:bidi/>
        <w:adjustRightInd w:val="0"/>
        <w:spacing w:after="0"/>
        <w:ind w:firstLine="282"/>
        <w:jc w:val="both"/>
        <w:rPr>
          <w:rFonts w:ascii="Simplified Arabic" w:hAnsi="Simplified Arabic" w:cs="Simplified Arabic"/>
          <w:sz w:val="24"/>
          <w:szCs w:val="24"/>
          <w:rtl/>
        </w:rPr>
      </w:pPr>
      <w:r w:rsidRPr="00206B59">
        <w:rPr>
          <w:rFonts w:ascii="Simplified Arabic" w:hAnsi="Simplified Arabic" w:cs="Simplified Arabic" w:hint="cs"/>
          <w:sz w:val="24"/>
          <w:szCs w:val="24"/>
          <w:rtl/>
        </w:rPr>
        <w:lastRenderedPageBreak/>
        <w:t>وفقًا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فإن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الوصول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مراكز الامن، أماكن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الإقامة المؤقتة، </w:t>
      </w:r>
      <w:r w:rsidRPr="00206B59">
        <w:rPr>
          <w:rFonts w:ascii="Simplified Arabic" w:hAnsi="Simplified Arabic" w:cs="Simplified Arabic"/>
          <w:sz w:val="24"/>
          <w:szCs w:val="24"/>
          <w:rtl/>
        </w:rPr>
        <w:t>التكفل الطبي</w:t>
      </w:r>
      <w:r w:rsidRPr="00206B59">
        <w:rPr>
          <w:rFonts w:ascii="Simplified Arabic" w:hAnsi="Simplified Arabic" w:cs="Simplified Arabic" w:hint="cs"/>
          <w:sz w:val="24"/>
          <w:szCs w:val="24"/>
          <w:rtl/>
        </w:rPr>
        <w:t>، التضامن، الانقاذ و الاجلاء، المسافة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محطات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الوقود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والوصول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المساحات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الخضراء و ما الى ذلك هي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عوامل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مؤثرة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معدلات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الحضرية، حسب </w:t>
      </w:r>
      <w:r w:rsidRPr="00206B59">
        <w:rPr>
          <w:rFonts w:asciiTheme="majorBidi" w:hAnsiTheme="majorBidi" w:cstheme="majorBidi"/>
          <w:sz w:val="24"/>
          <w:szCs w:val="24"/>
        </w:rPr>
        <w:t>(Reggiani, 2013)</w:t>
      </w:r>
      <w:r w:rsidRPr="00206B59">
        <w:rPr>
          <w:rFonts w:ascii="Simplified Arabic" w:hAnsi="Simplified Arabic" w:cs="Simplified Arabic" w:hint="cs"/>
          <w:sz w:val="24"/>
          <w:szCs w:val="24"/>
          <w:rtl/>
        </w:rPr>
        <w:t xml:space="preserve"> فان</w:t>
      </w:r>
      <w:r w:rsidRPr="00206B59">
        <w:rPr>
          <w:rFonts w:asciiTheme="majorBidi" w:hAnsiTheme="majorBidi" w:cstheme="majorBidi" w:hint="cs"/>
          <w:sz w:val="24"/>
          <w:szCs w:val="24"/>
          <w:rtl/>
        </w:rPr>
        <w:t xml:space="preserve"> </w:t>
      </w:r>
      <w:r w:rsidRPr="00206B59">
        <w:rPr>
          <w:rFonts w:ascii="Simplified Arabic" w:hAnsi="Simplified Arabic" w:cs="Simplified Arabic"/>
          <w:sz w:val="24"/>
          <w:szCs w:val="24"/>
          <w:rtl/>
        </w:rPr>
        <w:t xml:space="preserve">الوصول له تأثير مهم على المرونة </w:t>
      </w:r>
      <w:r w:rsidRPr="00206B59">
        <w:rPr>
          <w:rFonts w:ascii="Simplified Arabic" w:hAnsi="Simplified Arabic" w:cs="Simplified Arabic" w:hint="cs"/>
          <w:sz w:val="24"/>
          <w:szCs w:val="24"/>
          <w:rtl/>
        </w:rPr>
        <w:t>الحضرية. كما ان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كثافة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البناء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تؤثر على معدلات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 المناطق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الحضرية، تؤدي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تعقيد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خدمات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الطوارئ</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بسبب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الاحتلال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المفرط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للمنطقة </w:t>
      </w:r>
      <w:r w:rsidRPr="00206B59">
        <w:rPr>
          <w:rFonts w:asciiTheme="majorBidi" w:hAnsiTheme="majorBidi" w:cstheme="majorBidi"/>
          <w:sz w:val="24"/>
          <w:szCs w:val="24"/>
        </w:rPr>
        <w:t>(Javari et al, 2021)</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وبالتالي، يمكن تجميع عوامل المرونة </w:t>
      </w:r>
      <w:r w:rsidRPr="00206B59">
        <w:rPr>
          <w:rFonts w:ascii="Simplified Arabic" w:hAnsi="Simplified Arabic" w:cs="Simplified Arabic" w:hint="cs"/>
          <w:sz w:val="24"/>
          <w:szCs w:val="24"/>
          <w:rtl/>
        </w:rPr>
        <w:t>الحضرية</w:t>
      </w:r>
      <w:r w:rsidRPr="00206B59">
        <w:rPr>
          <w:rFonts w:ascii="Simplified Arabic" w:hAnsi="Simplified Arabic" w:cs="Simplified Arabic"/>
          <w:sz w:val="24"/>
          <w:szCs w:val="24"/>
          <w:rtl/>
        </w:rPr>
        <w:t xml:space="preserve"> القائمة على العوامل الفيزيائية </w:t>
      </w:r>
      <w:r w:rsidRPr="00206B59">
        <w:rPr>
          <w:rFonts w:ascii="Simplified Arabic" w:hAnsi="Simplified Arabic" w:cs="Simplified Arabic" w:hint="cs"/>
          <w:sz w:val="24"/>
          <w:szCs w:val="24"/>
          <w:rtl/>
        </w:rPr>
        <w:t xml:space="preserve">والاجتماعية.  </w:t>
      </w:r>
    </w:p>
    <w:p w:rsidR="003E0F31" w:rsidRDefault="003E0F31" w:rsidP="009B6519">
      <w:pPr>
        <w:autoSpaceDE w:val="0"/>
        <w:autoSpaceDN w:val="0"/>
        <w:bidi/>
        <w:adjustRightInd w:val="0"/>
        <w:spacing w:after="0"/>
        <w:ind w:firstLine="282"/>
        <w:jc w:val="both"/>
        <w:rPr>
          <w:rFonts w:ascii="Simplified Arabic" w:hAnsi="Simplified Arabic" w:cs="Simplified Arabic"/>
          <w:color w:val="000000" w:themeColor="text1"/>
          <w:sz w:val="24"/>
          <w:szCs w:val="24"/>
          <w:rtl/>
        </w:rPr>
      </w:pPr>
      <w:r w:rsidRPr="00206B59">
        <w:rPr>
          <w:rFonts w:ascii="Simplified Arabic" w:hAnsi="Simplified Arabic" w:cs="Simplified Arabic" w:hint="cs"/>
          <w:sz w:val="24"/>
          <w:szCs w:val="24"/>
          <w:rtl/>
        </w:rPr>
        <w:t>بالنسبة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لنظام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شبكة الطرق،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درجة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سبيل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المثال،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أساس</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مؤشرات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مثل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فقدان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الوصول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مناطق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معينة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قبل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المستخدمين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وخدمات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الطوارئ،</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والأثر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الاقتصادي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بعد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الانقطاع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حتى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إغلاق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بعض</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الطرق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حتى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وجود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بديلة</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Pr>
        <w:t>(</w:t>
      </w:r>
      <w:r w:rsidR="009B6519" w:rsidRPr="00206B59">
        <w:rPr>
          <w:rFonts w:asciiTheme="majorBidi" w:hAnsiTheme="majorBidi" w:cstheme="majorBidi"/>
          <w:sz w:val="24"/>
          <w:szCs w:val="24"/>
        </w:rPr>
        <w:t>Reggiani et al,</w:t>
      </w:r>
      <w:r w:rsidRPr="00206B59">
        <w:rPr>
          <w:rFonts w:asciiTheme="majorBidi" w:hAnsiTheme="majorBidi" w:cstheme="majorBidi"/>
          <w:sz w:val="24"/>
          <w:szCs w:val="24"/>
        </w:rPr>
        <w:t xml:space="preserve"> </w:t>
      </w:r>
      <w:r w:rsidR="009B6519" w:rsidRPr="00206B59">
        <w:rPr>
          <w:rFonts w:asciiTheme="majorBidi" w:hAnsiTheme="majorBidi" w:cstheme="majorBidi"/>
          <w:sz w:val="24"/>
          <w:szCs w:val="24"/>
        </w:rPr>
        <w:t>2015</w:t>
      </w:r>
      <w:r w:rsidRPr="00206B59">
        <w:rPr>
          <w:rFonts w:asciiTheme="majorBidi" w:hAnsiTheme="majorBidi" w:cstheme="majorBidi"/>
          <w:sz w:val="24"/>
          <w:szCs w:val="24"/>
        </w:rPr>
        <w:t>)</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توجد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الأمثلة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الأخرى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لتقييم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أنظمة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النقل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البري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بناءً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المؤشرات</w:t>
      </w:r>
      <w:r w:rsidRPr="00206B59">
        <w:rPr>
          <w:rFonts w:ascii="Simplified Arabic" w:hAnsi="Simplified Arabic" w:cs="Simplified Arabic"/>
          <w:color w:val="000000" w:themeColor="text1"/>
          <w:sz w:val="24"/>
          <w:szCs w:val="24"/>
        </w:rPr>
        <w:t>.</w:t>
      </w:r>
      <w:r w:rsidRPr="00206B59">
        <w:rPr>
          <w:rFonts w:asciiTheme="majorBidi" w:hAnsiTheme="majorBidi" w:cstheme="majorBidi"/>
          <w:color w:val="000000" w:themeColor="text1"/>
          <w:sz w:val="24"/>
          <w:szCs w:val="24"/>
        </w:rPr>
        <w:t>( M</w:t>
      </w:r>
      <w:r w:rsidR="00783637" w:rsidRPr="00206B59">
        <w:rPr>
          <w:rFonts w:asciiTheme="majorBidi" w:hAnsiTheme="majorBidi" w:cstheme="majorBidi"/>
          <w:color w:val="000000" w:themeColor="text1"/>
          <w:sz w:val="24"/>
          <w:szCs w:val="24"/>
        </w:rPr>
        <w:t>urray</w:t>
      </w:r>
      <w:r w:rsidRPr="00206B59">
        <w:rPr>
          <w:rFonts w:asciiTheme="majorBidi" w:hAnsiTheme="majorBidi" w:cstheme="majorBidi"/>
          <w:color w:val="000000" w:themeColor="text1"/>
          <w:sz w:val="24"/>
          <w:szCs w:val="24"/>
        </w:rPr>
        <w:t>-T</w:t>
      </w:r>
      <w:r w:rsidR="00783637" w:rsidRPr="00206B59">
        <w:rPr>
          <w:rFonts w:asciiTheme="majorBidi" w:hAnsiTheme="majorBidi" w:cstheme="majorBidi"/>
          <w:color w:val="000000" w:themeColor="text1"/>
          <w:sz w:val="24"/>
          <w:szCs w:val="24"/>
        </w:rPr>
        <w:t>uite</w:t>
      </w:r>
      <w:r w:rsidRPr="00206B59">
        <w:rPr>
          <w:rFonts w:asciiTheme="majorBidi" w:hAnsiTheme="majorBidi" w:cstheme="majorBidi"/>
          <w:color w:val="000000" w:themeColor="text1"/>
          <w:sz w:val="24"/>
          <w:szCs w:val="24"/>
        </w:rPr>
        <w:t xml:space="preserve">, 2006; </w:t>
      </w:r>
      <w:r w:rsidR="009B6519" w:rsidRPr="00206B59">
        <w:rPr>
          <w:rFonts w:asciiTheme="majorBidi" w:hAnsiTheme="majorBidi" w:cstheme="majorBidi"/>
          <w:color w:val="000000" w:themeColor="text1"/>
          <w:sz w:val="24"/>
          <w:szCs w:val="24"/>
        </w:rPr>
        <w:t>Mayada</w:t>
      </w:r>
      <w:r w:rsidRPr="00206B59">
        <w:rPr>
          <w:rFonts w:asciiTheme="majorBidi" w:hAnsiTheme="majorBidi" w:cstheme="majorBidi"/>
          <w:color w:val="000000" w:themeColor="text1"/>
          <w:sz w:val="24"/>
          <w:szCs w:val="24"/>
        </w:rPr>
        <w:t xml:space="preserve">, </w:t>
      </w:r>
      <w:r w:rsidR="009B6519" w:rsidRPr="00206B59">
        <w:rPr>
          <w:rFonts w:asciiTheme="majorBidi" w:hAnsiTheme="majorBidi" w:cstheme="majorBidi"/>
          <w:color w:val="000000" w:themeColor="text1"/>
          <w:sz w:val="24"/>
          <w:szCs w:val="24"/>
        </w:rPr>
        <w:t>2011</w:t>
      </w:r>
      <w:r w:rsidRPr="00206B59">
        <w:rPr>
          <w:rFonts w:asciiTheme="majorBidi" w:hAnsiTheme="majorBidi" w:cstheme="majorBidi"/>
          <w:color w:val="000000" w:themeColor="text1"/>
          <w:sz w:val="24"/>
          <w:szCs w:val="24"/>
        </w:rPr>
        <w:t>)</w:t>
      </w:r>
      <w:r w:rsidRPr="00206B59">
        <w:rPr>
          <w:rFonts w:ascii="Simplified Arabic" w:hAnsi="Simplified Arabic" w:cs="Simplified Arabic"/>
          <w:color w:val="000000" w:themeColor="text1"/>
          <w:sz w:val="24"/>
          <w:szCs w:val="24"/>
        </w:rPr>
        <w:t xml:space="preserve"> </w:t>
      </w:r>
    </w:p>
    <w:p w:rsidR="003E0F31" w:rsidRDefault="003E0F31" w:rsidP="000A623E">
      <w:pPr>
        <w:pStyle w:val="fegure"/>
        <w:spacing w:before="240"/>
        <w:rPr>
          <w:sz w:val="8"/>
          <w:szCs w:val="24"/>
          <w:rtl/>
          <w:lang w:val="en-US"/>
        </w:rPr>
      </w:pPr>
      <w:bookmarkStart w:id="373" w:name="_Toc157608301"/>
      <w:bookmarkStart w:id="374" w:name="_Toc171803490"/>
      <w:r w:rsidRPr="00264FC1">
        <w:rPr>
          <w:rFonts w:hint="cs"/>
          <w:sz w:val="8"/>
          <w:szCs w:val="24"/>
          <w:rtl/>
        </w:rPr>
        <w:t>الشكل (</w:t>
      </w:r>
      <w:r w:rsidR="00AF3D2C" w:rsidRPr="00264FC1">
        <w:rPr>
          <w:rFonts w:hint="cs"/>
          <w:sz w:val="8"/>
          <w:szCs w:val="24"/>
          <w:rtl/>
        </w:rPr>
        <w:t>2-15</w:t>
      </w:r>
      <w:r w:rsidRPr="00264FC1">
        <w:rPr>
          <w:rFonts w:hint="cs"/>
          <w:sz w:val="8"/>
          <w:szCs w:val="24"/>
          <w:rtl/>
        </w:rPr>
        <w:t xml:space="preserve">): اطار مفاهيمي لمرونة البيئة </w:t>
      </w:r>
      <w:r w:rsidR="008E533E" w:rsidRPr="00264FC1">
        <w:rPr>
          <w:rFonts w:hint="cs"/>
          <w:sz w:val="8"/>
          <w:szCs w:val="24"/>
          <w:rtl/>
          <w:lang w:val="en-US"/>
        </w:rPr>
        <w:t>الحضرية</w:t>
      </w:r>
      <w:bookmarkEnd w:id="373"/>
      <w:bookmarkEnd w:id="374"/>
    </w:p>
    <w:p w:rsidR="000A623E" w:rsidRPr="00264FC1" w:rsidRDefault="000A623E" w:rsidP="00264FC1">
      <w:pPr>
        <w:pStyle w:val="fegure"/>
        <w:rPr>
          <w:sz w:val="8"/>
          <w:szCs w:val="24"/>
          <w:rtl/>
          <w:lang w:val="en-US"/>
        </w:rPr>
      </w:pPr>
      <w:bookmarkStart w:id="375" w:name="_Toc171803491"/>
      <w:r>
        <w:rPr>
          <w:rFonts w:hint="cs"/>
          <w:sz w:val="8"/>
          <w:szCs w:val="24"/>
          <w:rtl/>
          <w:lang w:val="en-US"/>
        </w:rPr>
        <w:t>المصدر: (الباحث، 2022)</w:t>
      </w:r>
      <w:bookmarkEnd w:id="375"/>
    </w:p>
    <w:p w:rsidR="009D3D84" w:rsidRDefault="009D3D84" w:rsidP="000A623E">
      <w:pPr>
        <w:autoSpaceDE w:val="0"/>
        <w:autoSpaceDN w:val="0"/>
        <w:bidi/>
        <w:adjustRightInd w:val="0"/>
        <w:spacing w:after="0" w:line="240" w:lineRule="auto"/>
        <w:jc w:val="center"/>
        <w:rPr>
          <w:rFonts w:ascii="Simplified Arabic" w:hAnsi="Simplified Arabic" w:cs="Simplified Arabic"/>
          <w:sz w:val="24"/>
          <w:szCs w:val="24"/>
          <w:rtl/>
        </w:rPr>
      </w:pPr>
      <w:r>
        <w:rPr>
          <w:noProof/>
          <w:lang w:eastAsia="fr-FR"/>
        </w:rPr>
        <w:drawing>
          <wp:inline distT="0" distB="0" distL="0" distR="0" wp14:anchorId="6E50495C" wp14:editId="191B4AF5">
            <wp:extent cx="5057961" cy="1846053"/>
            <wp:effectExtent l="19050" t="19050" r="9525" b="20955"/>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1"/>
                    <a:stretch>
                      <a:fillRect/>
                    </a:stretch>
                  </pic:blipFill>
                  <pic:spPr>
                    <a:xfrm>
                      <a:off x="0" y="0"/>
                      <a:ext cx="5053562" cy="1844447"/>
                    </a:xfrm>
                    <a:prstGeom prst="rect">
                      <a:avLst/>
                    </a:prstGeom>
                    <a:ln>
                      <a:solidFill>
                        <a:schemeClr val="tx1"/>
                      </a:solidFill>
                    </a:ln>
                  </pic:spPr>
                </pic:pic>
              </a:graphicData>
            </a:graphic>
          </wp:inline>
        </w:drawing>
      </w:r>
    </w:p>
    <w:p w:rsidR="003E0F31" w:rsidRPr="007353F0" w:rsidRDefault="003E0F31" w:rsidP="001D0548">
      <w:pPr>
        <w:pStyle w:val="Paragraphedeliste"/>
        <w:numPr>
          <w:ilvl w:val="1"/>
          <w:numId w:val="121"/>
        </w:numPr>
        <w:tabs>
          <w:tab w:val="right" w:pos="567"/>
        </w:tabs>
        <w:bidi/>
        <w:spacing w:before="240" w:after="0"/>
        <w:ind w:left="0" w:firstLine="0"/>
        <w:outlineLvl w:val="0"/>
        <w:rPr>
          <w:rFonts w:ascii="Simplified Arabic" w:hAnsi="Simplified Arabic" w:cs="Simplified Arabic"/>
          <w:b/>
          <w:bCs/>
          <w:sz w:val="24"/>
          <w:szCs w:val="24"/>
          <w:rtl/>
          <w:lang w:bidi="ar-DZ"/>
        </w:rPr>
      </w:pPr>
      <w:bookmarkStart w:id="376" w:name="_Toc171803492"/>
      <w:r w:rsidRPr="007353F0">
        <w:rPr>
          <w:rFonts w:ascii="Simplified Arabic" w:hAnsi="Simplified Arabic" w:cs="Simplified Arabic" w:hint="cs"/>
          <w:b/>
          <w:bCs/>
          <w:sz w:val="24"/>
          <w:szCs w:val="24"/>
          <w:rtl/>
          <w:lang w:bidi="ar-DZ"/>
        </w:rPr>
        <w:t>تقييم</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النماذج، انتقاء عوامل تقييم وتفعيل</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المرونة</w:t>
      </w:r>
      <w:r w:rsidRPr="007353F0">
        <w:rPr>
          <w:rFonts w:ascii="Simplified Arabic" w:hAnsi="Simplified Arabic" w:cs="Simplified Arabic"/>
          <w:b/>
          <w:bCs/>
          <w:sz w:val="24"/>
          <w:szCs w:val="24"/>
          <w:rtl/>
          <w:lang w:bidi="ar-DZ"/>
        </w:rPr>
        <w:t xml:space="preserve"> </w:t>
      </w:r>
      <w:r w:rsidRPr="007353F0">
        <w:rPr>
          <w:rFonts w:ascii="Simplified Arabic" w:hAnsi="Simplified Arabic" w:cs="Simplified Arabic" w:hint="cs"/>
          <w:b/>
          <w:bCs/>
          <w:sz w:val="24"/>
          <w:szCs w:val="24"/>
          <w:rtl/>
          <w:lang w:bidi="ar-DZ"/>
        </w:rPr>
        <w:t>الحضرية</w:t>
      </w:r>
      <w:bookmarkEnd w:id="376"/>
      <w:r w:rsidRPr="007353F0">
        <w:rPr>
          <w:rFonts w:ascii="Simplified Arabic" w:hAnsi="Simplified Arabic" w:cs="Simplified Arabic" w:hint="cs"/>
          <w:b/>
          <w:bCs/>
          <w:sz w:val="24"/>
          <w:szCs w:val="24"/>
          <w:rtl/>
          <w:lang w:bidi="ar-DZ"/>
        </w:rPr>
        <w:t xml:space="preserve"> </w:t>
      </w:r>
    </w:p>
    <w:p w:rsidR="003E0F31" w:rsidRPr="005F673F" w:rsidRDefault="003E0F31" w:rsidP="001D0548">
      <w:pPr>
        <w:pStyle w:val="Paragraphedeliste"/>
        <w:numPr>
          <w:ilvl w:val="2"/>
          <w:numId w:val="196"/>
        </w:numPr>
        <w:tabs>
          <w:tab w:val="right" w:pos="850"/>
        </w:tabs>
        <w:bidi/>
        <w:spacing w:after="0"/>
        <w:ind w:left="0" w:firstLine="0"/>
        <w:jc w:val="both"/>
        <w:outlineLvl w:val="1"/>
        <w:rPr>
          <w:rFonts w:ascii="Simplified Arabic" w:hAnsi="Simplified Arabic" w:cs="Simplified Arabic"/>
          <w:color w:val="231F20"/>
          <w:sz w:val="24"/>
          <w:szCs w:val="24"/>
          <w:rtl/>
        </w:rPr>
      </w:pPr>
      <w:bookmarkStart w:id="377" w:name="_Toc171803493"/>
      <w:r w:rsidRPr="005F673F">
        <w:rPr>
          <w:rFonts w:ascii="Simplified Arabic" w:hAnsi="Simplified Arabic" w:cs="Simplified Arabic" w:hint="cs"/>
          <w:b/>
          <w:bCs/>
          <w:sz w:val="24"/>
          <w:szCs w:val="24"/>
          <w:rtl/>
          <w:lang w:bidi="ar-DZ"/>
        </w:rPr>
        <w:t>تقييم</w:t>
      </w:r>
      <w:r w:rsidRPr="005F673F">
        <w:rPr>
          <w:rFonts w:ascii="Simplified Arabic" w:hAnsi="Simplified Arabic" w:cs="Simplified Arabic"/>
          <w:b/>
          <w:bCs/>
          <w:sz w:val="24"/>
          <w:szCs w:val="24"/>
          <w:rtl/>
          <w:lang w:bidi="ar-DZ"/>
        </w:rPr>
        <w:t xml:space="preserve"> </w:t>
      </w:r>
      <w:r w:rsidRPr="005F673F">
        <w:rPr>
          <w:rFonts w:ascii="Simplified Arabic" w:hAnsi="Simplified Arabic" w:cs="Simplified Arabic" w:hint="cs"/>
          <w:b/>
          <w:bCs/>
          <w:sz w:val="24"/>
          <w:szCs w:val="24"/>
          <w:rtl/>
          <w:lang w:bidi="ar-DZ"/>
        </w:rPr>
        <w:t>النماذج</w:t>
      </w:r>
      <w:bookmarkEnd w:id="377"/>
      <w:r w:rsidRPr="005F673F">
        <w:rPr>
          <w:rFonts w:ascii="Simplified Arabic" w:hAnsi="Simplified Arabic" w:cs="Simplified Arabic"/>
          <w:color w:val="231F20"/>
          <w:sz w:val="24"/>
          <w:szCs w:val="24"/>
          <w:rtl/>
        </w:rPr>
        <w:t xml:space="preserve"> </w:t>
      </w:r>
    </w:p>
    <w:p w:rsidR="003E0F31" w:rsidRDefault="003E0F31" w:rsidP="003E0F31">
      <w:pPr>
        <w:tabs>
          <w:tab w:val="right" w:pos="281"/>
        </w:tabs>
        <w:bidi/>
        <w:spacing w:after="0"/>
        <w:ind w:firstLine="282"/>
        <w:jc w:val="both"/>
        <w:rPr>
          <w:rFonts w:ascii="Simplified Arabic" w:hAnsi="Simplified Arabic" w:cs="Simplified Arabic"/>
          <w:color w:val="231F20"/>
          <w:sz w:val="24"/>
          <w:szCs w:val="24"/>
          <w:rtl/>
        </w:rPr>
      </w:pPr>
      <w:r w:rsidRPr="00206B59">
        <w:rPr>
          <w:rFonts w:ascii="Simplified Arabic" w:hAnsi="Simplified Arabic" w:cs="Simplified Arabic"/>
          <w:color w:val="231F20"/>
          <w:sz w:val="24"/>
          <w:szCs w:val="24"/>
          <w:rtl/>
        </w:rPr>
        <w:t xml:space="preserve">يُظهر تعدد النماذج الحالية لتفعيل المرونة الأهمية المتزايدة للمفهوم. هذه النماذج، على الرغم من تنوعها </w:t>
      </w:r>
      <w:r w:rsidRPr="00206B59">
        <w:rPr>
          <w:rFonts w:ascii="Simplified Arabic" w:hAnsi="Simplified Arabic" w:cs="Simplified Arabic" w:hint="cs"/>
          <w:color w:val="231F20"/>
          <w:sz w:val="24"/>
          <w:szCs w:val="24"/>
          <w:rtl/>
        </w:rPr>
        <w:t>واختلاف محتوياتها</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تبقى</w:t>
      </w:r>
      <w:r w:rsidRPr="00206B59">
        <w:rPr>
          <w:rFonts w:ascii="Simplified Arabic" w:hAnsi="Simplified Arabic" w:cs="Simplified Arabic"/>
          <w:color w:val="231F20"/>
          <w:sz w:val="24"/>
          <w:szCs w:val="24"/>
          <w:rtl/>
        </w:rPr>
        <w:t xml:space="preserve"> ضرورية لنقل المفهوم إلى أداة </w:t>
      </w:r>
      <w:r w:rsidRPr="00206B59">
        <w:rPr>
          <w:rFonts w:asciiTheme="majorBidi" w:hAnsiTheme="majorBidi" w:cstheme="majorBidi"/>
          <w:color w:val="231F20"/>
          <w:sz w:val="24"/>
          <w:szCs w:val="24"/>
          <w:rtl/>
        </w:rPr>
        <w:t>(</w:t>
      </w:r>
      <w:r w:rsidRPr="00206B59">
        <w:rPr>
          <w:rFonts w:asciiTheme="majorBidi" w:hAnsiTheme="majorBidi" w:cstheme="majorBidi"/>
          <w:color w:val="231F20"/>
          <w:sz w:val="24"/>
          <w:szCs w:val="24"/>
        </w:rPr>
        <w:t>Gonzva, 2017</w:t>
      </w:r>
      <w:r w:rsidRPr="00206B59">
        <w:rPr>
          <w:rFonts w:asciiTheme="majorBidi" w:hAnsiTheme="majorBidi" w:cstheme="majorBidi"/>
          <w:color w:val="231F20"/>
          <w:sz w:val="24"/>
          <w:szCs w:val="24"/>
          <w:rtl/>
        </w:rPr>
        <w:t>)</w:t>
      </w:r>
      <w:r w:rsidRPr="00206B59">
        <w:rPr>
          <w:rFonts w:ascii="Simplified Arabic" w:hAnsi="Simplified Arabic" w:cs="Simplified Arabic"/>
          <w:color w:val="231F20"/>
          <w:sz w:val="24"/>
          <w:szCs w:val="24"/>
          <w:rtl/>
        </w:rPr>
        <w:t xml:space="preserve">. </w:t>
      </w:r>
      <w:r w:rsidRPr="00206B59">
        <w:rPr>
          <w:rFonts w:ascii="Simplified Arabic" w:hAnsi="Simplified Arabic" w:cs="Simplified Arabic" w:hint="cs"/>
          <w:color w:val="231F20"/>
          <w:sz w:val="24"/>
          <w:szCs w:val="24"/>
          <w:rtl/>
        </w:rPr>
        <w:t>رغم تعدد</w:t>
      </w:r>
      <w:r w:rsidRPr="00206B59">
        <w:rPr>
          <w:rFonts w:ascii="Simplified Arabic" w:hAnsi="Simplified Arabic" w:cs="Simplified Arabic"/>
          <w:color w:val="231F20"/>
          <w:sz w:val="24"/>
          <w:szCs w:val="24"/>
          <w:rtl/>
        </w:rPr>
        <w:t xml:space="preserve"> التع</w:t>
      </w:r>
      <w:r w:rsidRPr="00206B59">
        <w:rPr>
          <w:rFonts w:ascii="Simplified Arabic" w:hAnsi="Simplified Arabic" w:cs="Simplified Arabic" w:hint="cs"/>
          <w:color w:val="231F20"/>
          <w:sz w:val="24"/>
          <w:szCs w:val="24"/>
          <w:rtl/>
        </w:rPr>
        <w:t>ا</w:t>
      </w:r>
      <w:r w:rsidRPr="00206B59">
        <w:rPr>
          <w:rFonts w:ascii="Simplified Arabic" w:hAnsi="Simplified Arabic" w:cs="Simplified Arabic"/>
          <w:color w:val="231F20"/>
          <w:sz w:val="24"/>
          <w:szCs w:val="24"/>
          <w:rtl/>
        </w:rPr>
        <w:t>ريف الدقيق</w:t>
      </w:r>
      <w:r w:rsidRPr="00206B59">
        <w:rPr>
          <w:rFonts w:ascii="Simplified Arabic" w:hAnsi="Simplified Arabic" w:cs="Simplified Arabic" w:hint="cs"/>
          <w:color w:val="231F20"/>
          <w:sz w:val="24"/>
          <w:szCs w:val="24"/>
          <w:rtl/>
        </w:rPr>
        <w:t>ة</w:t>
      </w:r>
      <w:r w:rsidRPr="00206B59">
        <w:rPr>
          <w:rFonts w:ascii="Simplified Arabic" w:hAnsi="Simplified Arabic" w:cs="Simplified Arabic"/>
          <w:color w:val="231F20"/>
          <w:sz w:val="24"/>
          <w:szCs w:val="24"/>
          <w:rtl/>
        </w:rPr>
        <w:t xml:space="preserve"> للمفهوم، </w:t>
      </w:r>
      <w:r w:rsidRPr="00206B59">
        <w:rPr>
          <w:rFonts w:ascii="Simplified Arabic" w:hAnsi="Simplified Arabic" w:cs="Simplified Arabic" w:hint="cs"/>
          <w:color w:val="231F20"/>
          <w:sz w:val="24"/>
          <w:szCs w:val="24"/>
          <w:rtl/>
        </w:rPr>
        <w:t xml:space="preserve">الا ان </w:t>
      </w:r>
      <w:r w:rsidRPr="00206B59">
        <w:rPr>
          <w:rFonts w:ascii="Simplified Arabic" w:hAnsi="Simplified Arabic" w:cs="Simplified Arabic"/>
          <w:color w:val="231F20"/>
          <w:sz w:val="24"/>
          <w:szCs w:val="24"/>
          <w:rtl/>
        </w:rPr>
        <w:t xml:space="preserve">هذه النماذج تقترح تفعيل المرونة. لأن ما يهم ليس أن يكون النموذج صارمًا، بل أن يكون قابلاً للتطبيق </w:t>
      </w:r>
      <w:r w:rsidRPr="00206B59">
        <w:rPr>
          <w:rFonts w:asciiTheme="majorBidi" w:hAnsiTheme="majorBidi" w:cstheme="majorBidi"/>
          <w:color w:val="231F20"/>
          <w:sz w:val="24"/>
          <w:szCs w:val="24"/>
          <w:rtl/>
        </w:rPr>
        <w:t>(</w:t>
      </w:r>
      <w:r w:rsidRPr="00206B59">
        <w:rPr>
          <w:rFonts w:asciiTheme="majorBidi" w:hAnsiTheme="majorBidi" w:cstheme="majorBidi"/>
          <w:color w:val="231F20"/>
          <w:sz w:val="24"/>
          <w:szCs w:val="24"/>
        </w:rPr>
        <w:t>Tisseron, 2015</w:t>
      </w:r>
      <w:r w:rsidRPr="00206B59">
        <w:rPr>
          <w:rFonts w:asciiTheme="majorBidi" w:hAnsiTheme="majorBidi" w:cstheme="majorBidi"/>
          <w:color w:val="231F20"/>
          <w:sz w:val="24"/>
          <w:szCs w:val="24"/>
          <w:rtl/>
        </w:rPr>
        <w:t>)</w:t>
      </w:r>
      <w:r w:rsidRPr="00206B59">
        <w:rPr>
          <w:rFonts w:ascii="Simplified Arabic" w:hAnsi="Simplified Arabic" w:cs="Simplified Arabic"/>
          <w:color w:val="231F20"/>
          <w:sz w:val="24"/>
          <w:szCs w:val="24"/>
          <w:rtl/>
        </w:rPr>
        <w:t xml:space="preserve">. </w:t>
      </w:r>
    </w:p>
    <w:p w:rsidR="003E0F31" w:rsidRPr="00F30A8C" w:rsidRDefault="003E0F31" w:rsidP="00922CDC">
      <w:pPr>
        <w:tabs>
          <w:tab w:val="right" w:pos="281"/>
        </w:tabs>
        <w:bidi/>
        <w:ind w:firstLine="282"/>
        <w:jc w:val="both"/>
        <w:rPr>
          <w:rFonts w:ascii="Simplified Arabic" w:eastAsia="Times New Roman" w:hAnsi="Simplified Arabic" w:cs="Simplified Arabic"/>
          <w:b/>
          <w:sz w:val="24"/>
          <w:szCs w:val="24"/>
          <w:rtl/>
          <w:lang w:val="en-US" w:eastAsia="fr-FR"/>
        </w:rPr>
      </w:pPr>
      <w:r w:rsidRPr="00206B59">
        <w:rPr>
          <w:rFonts w:ascii="Simplified Arabic" w:eastAsia="Times New Roman" w:hAnsi="Simplified Arabic" w:cs="Simplified Arabic"/>
          <w:b/>
          <w:sz w:val="24"/>
          <w:szCs w:val="24"/>
          <w:rtl/>
          <w:lang w:val="en-US" w:eastAsia="fr-FR"/>
        </w:rPr>
        <w:t>اعتمدت عدة منهجيات على المؤشرات كأداة لتفعيل مفهوم المرونة</w:t>
      </w:r>
      <w:r w:rsidRPr="00206B59">
        <w:rPr>
          <w:rFonts w:ascii="Garamond" w:eastAsia="Times New Roman" w:hAnsi="Garamond" w:cs="Times New Roman"/>
          <w:b/>
          <w:sz w:val="24"/>
          <w:szCs w:val="24"/>
          <w:rtl/>
          <w:lang w:eastAsia="fr-FR"/>
        </w:rPr>
        <w:t xml:space="preserve">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themeColor="text1"/>
          <w:sz w:val="24"/>
          <w:szCs w:val="24"/>
          <w:lang w:val="en-US" w:bidi="ar-DZ"/>
        </w:rPr>
        <w:t>Heinzlef et al.</w:t>
      </w:r>
      <w:r w:rsidR="004F1363" w:rsidRPr="00206B59">
        <w:rPr>
          <w:rFonts w:asciiTheme="majorBidi" w:hAnsiTheme="majorBidi" w:cstheme="majorBidi"/>
          <w:color w:val="000000" w:themeColor="text1"/>
          <w:sz w:val="24"/>
          <w:szCs w:val="24"/>
          <w:lang w:val="en-US" w:bidi="ar-DZ"/>
        </w:rPr>
        <w:t>, 2019</w:t>
      </w:r>
      <w:r w:rsidRPr="00206B59">
        <w:rPr>
          <w:rFonts w:asciiTheme="majorBidi" w:hAnsiTheme="majorBidi" w:cstheme="majorBidi"/>
          <w:color w:val="000000" w:themeColor="text1"/>
          <w:sz w:val="24"/>
          <w:szCs w:val="24"/>
          <w:rtl/>
          <w:lang w:val="en-US" w:bidi="ar-DZ"/>
        </w:rPr>
        <w:t>)</w:t>
      </w:r>
      <w:r w:rsidRPr="00206B59">
        <w:rPr>
          <w:rFonts w:ascii="Simplified Arabic" w:eastAsia="Times New Roman" w:hAnsi="Simplified Arabic" w:cs="Simplified Arabic"/>
          <w:b/>
          <w:sz w:val="24"/>
          <w:szCs w:val="24"/>
          <w:rtl/>
          <w:lang w:val="en-US" w:eastAsia="fr-FR"/>
        </w:rPr>
        <w:t>.</w:t>
      </w:r>
      <w:r w:rsidRPr="00206B59">
        <w:rPr>
          <w:rFonts w:ascii="Arial" w:eastAsia="Times New Roman" w:hAnsi="Arial"/>
          <w:b/>
          <w:sz w:val="24"/>
          <w:szCs w:val="24"/>
          <w:rtl/>
          <w:lang w:eastAsia="fr-FR"/>
        </w:rPr>
        <w:t xml:space="preserve"> </w:t>
      </w:r>
      <w:r w:rsidRPr="00206B59">
        <w:rPr>
          <w:rFonts w:ascii="Simplified Arabic" w:eastAsia="Times New Roman" w:hAnsi="Simplified Arabic" w:cs="Simplified Arabic" w:hint="cs"/>
          <w:b/>
          <w:sz w:val="24"/>
          <w:szCs w:val="24"/>
          <w:rtl/>
          <w:lang w:val="en-US" w:eastAsia="fr-FR"/>
        </w:rPr>
        <w:t>مما يؤكد</w:t>
      </w:r>
      <w:r w:rsidRPr="00206B59">
        <w:rPr>
          <w:rFonts w:ascii="Simplified Arabic" w:eastAsia="Times New Roman" w:hAnsi="Simplified Arabic" w:cs="Simplified Arabic"/>
          <w:b/>
          <w:sz w:val="24"/>
          <w:szCs w:val="24"/>
          <w:rtl/>
          <w:lang w:val="en-US" w:eastAsia="fr-FR"/>
        </w:rPr>
        <w:t xml:space="preserve"> عدم وجود نهج موحد لقياس المرونة تجاه الكوارث</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مع ذلك، تم</w:t>
      </w:r>
      <w:r w:rsidRPr="00206B59">
        <w:rPr>
          <w:rFonts w:ascii="Simplified Arabic" w:eastAsia="Times New Roman" w:hAnsi="Simplified Arabic" w:cs="Simplified Arabic"/>
          <w:b/>
          <w:sz w:val="24"/>
          <w:szCs w:val="24"/>
          <w:rtl/>
          <w:lang w:val="en-US" w:eastAsia="fr-FR"/>
        </w:rPr>
        <w:t xml:space="preserve"> تحليل </w:t>
      </w:r>
      <w:r w:rsidRPr="00206B59">
        <w:rPr>
          <w:rFonts w:ascii="Simplified Arabic" w:eastAsia="Times New Roman" w:hAnsi="Simplified Arabic" w:cs="Simplified Arabic" w:hint="cs"/>
          <w:b/>
          <w:sz w:val="24"/>
          <w:szCs w:val="24"/>
          <w:rtl/>
          <w:lang w:val="en-US" w:eastAsia="fr-FR"/>
        </w:rPr>
        <w:t>اغلب</w:t>
      </w:r>
      <w:r w:rsidRPr="00206B59">
        <w:rPr>
          <w:rFonts w:ascii="Simplified Arabic" w:eastAsia="Times New Roman" w:hAnsi="Simplified Arabic" w:cs="Simplified Arabic"/>
          <w:b/>
          <w:sz w:val="24"/>
          <w:szCs w:val="24"/>
          <w:rtl/>
          <w:lang w:val="en-US" w:eastAsia="fr-FR"/>
        </w:rPr>
        <w:t xml:space="preserve"> النماذج الموجودة </w:t>
      </w:r>
      <w:r w:rsidRPr="00206B59">
        <w:rPr>
          <w:rFonts w:ascii="Simplified Arabic" w:eastAsia="Times New Roman" w:hAnsi="Simplified Arabic" w:cs="Simplified Arabic" w:hint="cs"/>
          <w:b/>
          <w:sz w:val="24"/>
          <w:szCs w:val="24"/>
          <w:rtl/>
          <w:lang w:val="en-US" w:eastAsia="fr-FR"/>
        </w:rPr>
        <w:t>لاختيار</w:t>
      </w:r>
      <w:r w:rsidRPr="00206B59">
        <w:rPr>
          <w:rFonts w:ascii="Simplified Arabic" w:eastAsia="Times New Roman" w:hAnsi="Simplified Arabic" w:cs="Simplified Arabic"/>
          <w:b/>
          <w:sz w:val="24"/>
          <w:szCs w:val="24"/>
          <w:rtl/>
          <w:lang w:val="en-US" w:eastAsia="fr-FR"/>
        </w:rPr>
        <w:t xml:space="preserve"> نموذج شامل. بالتالي، تم </w:t>
      </w:r>
      <w:r w:rsidRPr="00206B59">
        <w:rPr>
          <w:rFonts w:ascii="Simplified Arabic" w:eastAsia="Times New Roman" w:hAnsi="Simplified Arabic" w:cs="Simplified Arabic" w:hint="cs"/>
          <w:b/>
          <w:sz w:val="24"/>
          <w:szCs w:val="24"/>
          <w:rtl/>
          <w:lang w:val="en-US" w:eastAsia="fr-FR"/>
        </w:rPr>
        <w:t>الاستلهام من</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نموذج مرونة المكان</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الذي طوره</w:t>
      </w:r>
      <w:r w:rsidRPr="00206B59">
        <w:rPr>
          <w:rFonts w:ascii="Garamond" w:eastAsia="Times New Roman" w:hAnsi="Garamond" w:cs="Times New Roman"/>
          <w:b/>
          <w:sz w:val="24"/>
          <w:szCs w:val="24"/>
          <w:rtl/>
          <w:lang w:eastAsia="fr-FR"/>
        </w:rPr>
        <w:t xml:space="preserve"> </w:t>
      </w:r>
      <w:r w:rsidRPr="00206B59">
        <w:rPr>
          <w:rFonts w:asciiTheme="majorBidi" w:hAnsiTheme="majorBidi" w:cstheme="majorBidi"/>
          <w:color w:val="000000" w:themeColor="text1"/>
          <w:sz w:val="24"/>
          <w:szCs w:val="24"/>
          <w:rtl/>
          <w:lang w:val="en-US" w:bidi="ar-DZ"/>
        </w:rPr>
        <w:t>(2008،</w:t>
      </w:r>
      <w:r w:rsidRPr="00206B59">
        <w:rPr>
          <w:rFonts w:asciiTheme="majorBidi" w:hAnsiTheme="majorBidi" w:cstheme="majorBidi"/>
          <w:color w:val="000000" w:themeColor="text1"/>
          <w:sz w:val="24"/>
          <w:szCs w:val="24"/>
          <w:lang w:val="en-US" w:bidi="ar-DZ"/>
        </w:rPr>
        <w:t>Cutter et al.</w:t>
      </w:r>
      <w:r w:rsidRPr="00206B59">
        <w:rPr>
          <w:rFonts w:asciiTheme="majorBidi" w:hAnsiTheme="majorBidi" w:cstheme="majorBidi"/>
          <w:color w:val="000000" w:themeColor="text1"/>
          <w:sz w:val="24"/>
          <w:szCs w:val="24"/>
          <w:rtl/>
          <w:lang w:val="en-US" w:bidi="ar-DZ"/>
        </w:rPr>
        <w:t>)</w:t>
      </w:r>
      <w:r w:rsidRPr="00206B59">
        <w:rPr>
          <w:rFonts w:asciiTheme="majorBidi" w:eastAsia="Times New Roman" w:hAnsiTheme="majorBidi" w:cstheme="majorBidi" w:hint="cs"/>
          <w:bCs/>
          <w:sz w:val="24"/>
          <w:szCs w:val="24"/>
          <w:rtl/>
          <w:lang w:eastAsia="fr-FR"/>
        </w:rPr>
        <w:t xml:space="preserve"> </w:t>
      </w:r>
      <w:r w:rsidRPr="00206B59">
        <w:rPr>
          <w:rFonts w:ascii="Simplified Arabic" w:eastAsia="Times New Roman" w:hAnsi="Simplified Arabic" w:cs="Simplified Arabic"/>
          <w:b/>
          <w:sz w:val="24"/>
          <w:szCs w:val="24"/>
          <w:rtl/>
          <w:lang w:val="en-US" w:eastAsia="fr-FR"/>
        </w:rPr>
        <w:t>لتقييم وقياس المرونة في مواجهة الكوارث الطبيعية على المستوى المحلي</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 xml:space="preserve">حسب </w:t>
      </w:r>
      <w:r w:rsidRPr="00206B59">
        <w:rPr>
          <w:rFonts w:asciiTheme="majorBidi" w:eastAsia="Times New Roman" w:hAnsiTheme="majorBidi" w:cstheme="majorBidi"/>
          <w:bCs/>
          <w:sz w:val="24"/>
          <w:szCs w:val="24"/>
          <w:rtl/>
          <w:lang w:eastAsia="fr-FR"/>
        </w:rPr>
        <w:t>(</w:t>
      </w:r>
      <w:r w:rsidRPr="00206B59">
        <w:rPr>
          <w:rFonts w:asciiTheme="majorBidi" w:eastAsia="Times New Roman" w:hAnsiTheme="majorBidi" w:cstheme="majorBidi"/>
          <w:bCs/>
          <w:sz w:val="24"/>
          <w:szCs w:val="24"/>
          <w:lang w:eastAsia="fr-FR"/>
        </w:rPr>
        <w:t>Cutter</w:t>
      </w:r>
      <w:r w:rsidRPr="00206B59">
        <w:rPr>
          <w:rFonts w:asciiTheme="majorBidi" w:eastAsia="Times New Roman" w:hAnsiTheme="majorBidi" w:cstheme="majorBidi"/>
          <w:bCs/>
          <w:sz w:val="24"/>
          <w:szCs w:val="24"/>
          <w:rtl/>
          <w:lang w:eastAsia="fr-FR"/>
        </w:rPr>
        <w:t>)</w:t>
      </w:r>
      <w:r w:rsidRPr="00206B59">
        <w:rPr>
          <w:rFonts w:asciiTheme="majorBidi" w:eastAsia="Times New Roman" w:hAnsiTheme="majorBidi" w:cstheme="majorBidi" w:hint="cs"/>
          <w:bCs/>
          <w:sz w:val="24"/>
          <w:szCs w:val="24"/>
          <w:rtl/>
          <w:lang w:eastAsia="fr-FR"/>
        </w:rPr>
        <w:t xml:space="preserve">، </w:t>
      </w:r>
      <w:r w:rsidRPr="00206B59">
        <w:rPr>
          <w:rFonts w:ascii="Simplified Arabic" w:eastAsia="Times New Roman" w:hAnsi="Simplified Arabic" w:cs="Simplified Arabic" w:hint="cs"/>
          <w:b/>
          <w:sz w:val="24"/>
          <w:szCs w:val="24"/>
          <w:rtl/>
          <w:lang w:val="en-US" w:eastAsia="fr-FR"/>
        </w:rPr>
        <w:t>هناك حاجة</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 xml:space="preserve">ماسة </w:t>
      </w:r>
      <w:r w:rsidRPr="00206B59">
        <w:rPr>
          <w:rFonts w:ascii="Simplified Arabic" w:eastAsia="Times New Roman" w:hAnsi="Simplified Arabic" w:cs="Simplified Arabic"/>
          <w:b/>
          <w:sz w:val="24"/>
          <w:szCs w:val="24"/>
          <w:rtl/>
          <w:lang w:val="en-US" w:eastAsia="fr-FR"/>
        </w:rPr>
        <w:t>أكثر إلى نهج تجريبي وبحث قائم على الأدلة حول تقييم المرونة الحضرية</w:t>
      </w:r>
      <w:r w:rsidRPr="00206B59">
        <w:rPr>
          <w:rFonts w:ascii="Simplified Arabic" w:eastAsia="Times New Roman" w:hAnsi="Simplified Arabic" w:cs="Simplified Arabic" w:hint="cs"/>
          <w:b/>
          <w:sz w:val="24"/>
          <w:szCs w:val="24"/>
          <w:rtl/>
          <w:lang w:val="en-US" w:eastAsia="fr-FR"/>
        </w:rPr>
        <w:t xml:space="preserve">، حيث </w:t>
      </w:r>
      <w:r w:rsidRPr="00206B59">
        <w:rPr>
          <w:rFonts w:ascii="Simplified Arabic" w:eastAsia="Times New Roman" w:hAnsi="Simplified Arabic" w:cs="Simplified Arabic"/>
          <w:b/>
          <w:sz w:val="24"/>
          <w:szCs w:val="24"/>
          <w:rtl/>
          <w:lang w:val="en-US" w:eastAsia="fr-FR"/>
        </w:rPr>
        <w:t xml:space="preserve">سلط الضوء على </w:t>
      </w:r>
      <w:r w:rsidRPr="00206B59">
        <w:rPr>
          <w:rFonts w:ascii="Simplified Arabic" w:eastAsia="Times New Roman" w:hAnsi="Simplified Arabic" w:cs="Simplified Arabic" w:hint="cs"/>
          <w:b/>
          <w:sz w:val="24"/>
          <w:szCs w:val="24"/>
          <w:rtl/>
          <w:lang w:val="en-US" w:eastAsia="fr-FR"/>
        </w:rPr>
        <w:t xml:space="preserve">ضرورة </w:t>
      </w:r>
      <w:r w:rsidRPr="00206B59">
        <w:rPr>
          <w:rFonts w:ascii="Simplified Arabic" w:eastAsia="Times New Roman" w:hAnsi="Simplified Arabic" w:cs="Simplified Arabic"/>
          <w:b/>
          <w:sz w:val="24"/>
          <w:szCs w:val="24"/>
          <w:rtl/>
          <w:lang w:val="en-US" w:eastAsia="fr-FR"/>
        </w:rPr>
        <w:t>اقتر</w:t>
      </w:r>
      <w:r w:rsidRPr="00206B59">
        <w:rPr>
          <w:rFonts w:ascii="Simplified Arabic" w:eastAsia="Times New Roman" w:hAnsi="Simplified Arabic" w:cs="Simplified Arabic" w:hint="cs"/>
          <w:b/>
          <w:sz w:val="24"/>
          <w:szCs w:val="24"/>
          <w:rtl/>
          <w:lang w:val="en-US" w:eastAsia="fr-FR"/>
        </w:rPr>
        <w:t>ا</w:t>
      </w:r>
      <w:r w:rsidRPr="00206B59">
        <w:rPr>
          <w:rFonts w:ascii="Simplified Arabic" w:eastAsia="Times New Roman" w:hAnsi="Simplified Arabic" w:cs="Simplified Arabic"/>
          <w:b/>
          <w:sz w:val="24"/>
          <w:szCs w:val="24"/>
          <w:rtl/>
          <w:lang w:val="en-US" w:eastAsia="fr-FR"/>
        </w:rPr>
        <w:t xml:space="preserve">ح نماذج الأماكن </w:t>
      </w:r>
      <w:r w:rsidRPr="00206B59">
        <w:rPr>
          <w:rFonts w:ascii="Simplified Arabic" w:eastAsia="Times New Roman" w:hAnsi="Simplified Arabic" w:cs="Simplified Arabic" w:hint="cs"/>
          <w:b/>
          <w:sz w:val="24"/>
          <w:szCs w:val="24"/>
          <w:rtl/>
          <w:lang w:val="en-US" w:eastAsia="fr-FR"/>
        </w:rPr>
        <w:t>لتقييم ال</w:t>
      </w:r>
      <w:r w:rsidRPr="00206B59">
        <w:rPr>
          <w:rFonts w:ascii="Simplified Arabic" w:eastAsia="Times New Roman" w:hAnsi="Simplified Arabic" w:cs="Simplified Arabic"/>
          <w:b/>
          <w:sz w:val="24"/>
          <w:szCs w:val="24"/>
          <w:rtl/>
          <w:lang w:val="en-US" w:eastAsia="fr-FR"/>
        </w:rPr>
        <w:t>مرونة</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مع التركيز على التفاعلات بين متغيرات المجتمع</w:t>
      </w:r>
      <w:r w:rsidRPr="00206B59">
        <w:rPr>
          <w:rFonts w:ascii="Simplified Arabic" w:eastAsia="Times New Roman" w:hAnsi="Simplified Arabic" w:cs="Simplified Arabic" w:hint="cs"/>
          <w:b/>
          <w:sz w:val="24"/>
          <w:szCs w:val="24"/>
          <w:rtl/>
          <w:lang w:val="en-US" w:eastAsia="fr-FR" w:bidi="ar-DZ"/>
        </w:rPr>
        <w:t xml:space="preserve"> من خلال ارتياد مراكز الخدمات، خصوصا اثناء المرور بالأزمات التي تحدثها المخاطر</w:t>
      </w:r>
      <w:r w:rsidRPr="00206B59">
        <w:rPr>
          <w:rFonts w:ascii="Simplified Arabic" w:eastAsia="Times New Roman" w:hAnsi="Simplified Arabic" w:cs="Simplified Arabic"/>
          <w:b/>
          <w:sz w:val="24"/>
          <w:szCs w:val="24"/>
          <w:rtl/>
          <w:lang w:val="en-US" w:eastAsia="fr-FR"/>
        </w:rPr>
        <w:t xml:space="preserve">. </w:t>
      </w:r>
    </w:p>
    <w:p w:rsidR="003E0F31" w:rsidRPr="005F673F" w:rsidRDefault="003E0F31" w:rsidP="001D0548">
      <w:pPr>
        <w:pStyle w:val="Paragraphedeliste"/>
        <w:numPr>
          <w:ilvl w:val="2"/>
          <w:numId w:val="269"/>
        </w:numPr>
        <w:tabs>
          <w:tab w:val="right" w:pos="850"/>
        </w:tabs>
        <w:bidi/>
        <w:spacing w:before="240" w:after="0"/>
        <w:ind w:left="0" w:firstLine="0"/>
        <w:jc w:val="both"/>
        <w:outlineLvl w:val="1"/>
        <w:rPr>
          <w:rFonts w:ascii="Simplified Arabic" w:hAnsi="Simplified Arabic" w:cs="Simplified Arabic"/>
          <w:color w:val="231F20"/>
          <w:sz w:val="24"/>
          <w:szCs w:val="24"/>
          <w:rtl/>
        </w:rPr>
      </w:pPr>
      <w:bookmarkStart w:id="378" w:name="_Toc171803494"/>
      <w:r w:rsidRPr="005F673F">
        <w:rPr>
          <w:rFonts w:ascii="Simplified Arabic" w:hAnsi="Simplified Arabic" w:cs="Simplified Arabic" w:hint="cs"/>
          <w:b/>
          <w:bCs/>
          <w:sz w:val="24"/>
          <w:szCs w:val="24"/>
          <w:rtl/>
          <w:lang w:bidi="ar-DZ"/>
        </w:rPr>
        <w:lastRenderedPageBreak/>
        <w:t>انتقاء عوامل تقييم وتفعيل</w:t>
      </w:r>
      <w:r w:rsidRPr="005F673F">
        <w:rPr>
          <w:rFonts w:ascii="Simplified Arabic" w:hAnsi="Simplified Arabic" w:cs="Simplified Arabic"/>
          <w:b/>
          <w:bCs/>
          <w:sz w:val="24"/>
          <w:szCs w:val="24"/>
          <w:rtl/>
          <w:lang w:bidi="ar-DZ"/>
        </w:rPr>
        <w:t xml:space="preserve"> </w:t>
      </w:r>
      <w:r w:rsidRPr="005F673F">
        <w:rPr>
          <w:rFonts w:ascii="Simplified Arabic" w:hAnsi="Simplified Arabic" w:cs="Simplified Arabic" w:hint="cs"/>
          <w:b/>
          <w:bCs/>
          <w:sz w:val="24"/>
          <w:szCs w:val="24"/>
          <w:rtl/>
          <w:lang w:bidi="ar-DZ"/>
        </w:rPr>
        <w:t>المرونة</w:t>
      </w:r>
      <w:r w:rsidRPr="005F673F">
        <w:rPr>
          <w:rFonts w:ascii="Simplified Arabic" w:hAnsi="Simplified Arabic" w:cs="Simplified Arabic"/>
          <w:b/>
          <w:bCs/>
          <w:sz w:val="24"/>
          <w:szCs w:val="24"/>
          <w:rtl/>
          <w:lang w:bidi="ar-DZ"/>
        </w:rPr>
        <w:t xml:space="preserve"> </w:t>
      </w:r>
      <w:r w:rsidRPr="005F673F">
        <w:rPr>
          <w:rFonts w:ascii="Simplified Arabic" w:hAnsi="Simplified Arabic" w:cs="Simplified Arabic" w:hint="cs"/>
          <w:b/>
          <w:bCs/>
          <w:sz w:val="24"/>
          <w:szCs w:val="24"/>
          <w:rtl/>
          <w:lang w:bidi="ar-DZ"/>
        </w:rPr>
        <w:t>الحضرية</w:t>
      </w:r>
      <w:bookmarkEnd w:id="378"/>
    </w:p>
    <w:p w:rsidR="003E0F31" w:rsidRDefault="003E0F31" w:rsidP="008E533E">
      <w:pPr>
        <w:tabs>
          <w:tab w:val="right" w:pos="281"/>
        </w:tabs>
        <w:bidi/>
        <w:spacing w:after="0"/>
        <w:ind w:firstLine="282"/>
        <w:jc w:val="both"/>
        <w:rPr>
          <w:rFonts w:ascii="Simplified Arabic" w:eastAsia="Times New Roman" w:hAnsi="Simplified Arabic" w:cs="Simplified Arabic"/>
          <w:b/>
          <w:sz w:val="24"/>
          <w:szCs w:val="24"/>
          <w:rtl/>
          <w:lang w:val="en-US" w:eastAsia="fr-FR"/>
        </w:rPr>
      </w:pPr>
      <w:r w:rsidRPr="00F30A8C">
        <w:rPr>
          <w:rFonts w:ascii="Simplified Arabic" w:eastAsia="Times New Roman" w:hAnsi="Simplified Arabic" w:cs="Simplified Arabic"/>
          <w:b/>
          <w:sz w:val="24"/>
          <w:szCs w:val="24"/>
          <w:rtl/>
          <w:lang w:val="en-US" w:eastAsia="fr-FR"/>
        </w:rPr>
        <w:t>وفقًا لـ</w:t>
      </w:r>
      <w:r>
        <w:rPr>
          <w:rFonts w:cs="Arial"/>
          <w:color w:val="000000" w:themeColor="text1"/>
          <w:sz w:val="24"/>
          <w:szCs w:val="24"/>
          <w:rtl/>
        </w:rPr>
        <w:t xml:space="preserve"> </w:t>
      </w:r>
      <w:r w:rsidRPr="008B051A">
        <w:rPr>
          <w:rFonts w:asciiTheme="majorBidi" w:eastAsia="Times New Roman" w:hAnsiTheme="majorBidi" w:cstheme="majorBidi"/>
          <w:bCs/>
          <w:sz w:val="24"/>
          <w:szCs w:val="24"/>
          <w:rtl/>
          <w:lang w:eastAsia="fr-FR"/>
        </w:rPr>
        <w:t>(</w:t>
      </w:r>
      <w:r w:rsidRPr="008B051A">
        <w:rPr>
          <w:rFonts w:asciiTheme="majorBidi" w:eastAsia="Times New Roman" w:hAnsiTheme="majorBidi" w:cstheme="majorBidi"/>
          <w:bCs/>
          <w:sz w:val="24"/>
          <w:szCs w:val="24"/>
          <w:lang w:eastAsia="fr-FR"/>
        </w:rPr>
        <w:t>Cutter</w:t>
      </w:r>
      <w:r w:rsidRPr="008B051A">
        <w:rPr>
          <w:rFonts w:asciiTheme="majorBidi" w:eastAsia="Times New Roman" w:hAnsiTheme="majorBidi" w:cstheme="majorBidi"/>
          <w:bCs/>
          <w:sz w:val="24"/>
          <w:szCs w:val="24"/>
          <w:rtl/>
          <w:lang w:eastAsia="fr-FR"/>
        </w:rPr>
        <w:t>)</w:t>
      </w:r>
      <w:r w:rsidRPr="00F30A8C">
        <w:rPr>
          <w:rFonts w:ascii="Simplified Arabic" w:eastAsia="Times New Roman" w:hAnsi="Simplified Arabic" w:cs="Simplified Arabic"/>
          <w:b/>
          <w:sz w:val="24"/>
          <w:szCs w:val="24"/>
          <w:rtl/>
          <w:lang w:val="en-US" w:eastAsia="fr-FR"/>
        </w:rPr>
        <w:t>،</w:t>
      </w:r>
      <w:r>
        <w:rPr>
          <w:rFonts w:cs="Arial"/>
          <w:color w:val="000000" w:themeColor="text1"/>
          <w:sz w:val="24"/>
          <w:szCs w:val="24"/>
          <w:rtl/>
        </w:rPr>
        <w:t xml:space="preserve"> </w:t>
      </w:r>
      <w:r w:rsidRPr="00F30A8C">
        <w:rPr>
          <w:rFonts w:ascii="Simplified Arabic" w:eastAsia="Times New Roman" w:hAnsi="Simplified Arabic" w:cs="Simplified Arabic"/>
          <w:b/>
          <w:sz w:val="24"/>
          <w:szCs w:val="24"/>
          <w:rtl/>
          <w:lang w:val="en-US" w:eastAsia="fr-FR"/>
        </w:rPr>
        <w:t xml:space="preserve">هناك أربع مجموعات رئيسية من </w:t>
      </w:r>
      <w:r w:rsidRPr="00F30A8C">
        <w:rPr>
          <w:rFonts w:ascii="Simplified Arabic" w:eastAsia="Times New Roman" w:hAnsi="Simplified Arabic" w:cs="Simplified Arabic" w:hint="cs"/>
          <w:b/>
          <w:sz w:val="24"/>
          <w:szCs w:val="24"/>
          <w:rtl/>
          <w:lang w:val="en-US" w:eastAsia="fr-FR"/>
        </w:rPr>
        <w:t>الابعاد</w:t>
      </w:r>
      <w:r w:rsidRPr="00F30A8C">
        <w:rPr>
          <w:rFonts w:ascii="Simplified Arabic" w:eastAsia="Times New Roman" w:hAnsi="Simplified Arabic" w:cs="Simplified Arabic"/>
          <w:b/>
          <w:sz w:val="24"/>
          <w:szCs w:val="24"/>
          <w:rtl/>
          <w:lang w:val="en-US" w:eastAsia="fr-FR"/>
        </w:rPr>
        <w:t xml:space="preserve"> بما في ذلك الضعف الاجتماعي</w:t>
      </w:r>
      <w:r>
        <w:rPr>
          <w:rFonts w:ascii="Simplified Arabic" w:eastAsia="Times New Roman" w:hAnsi="Simplified Arabic" w:cs="Simplified Arabic" w:hint="cs"/>
          <w:b/>
          <w:sz w:val="24"/>
          <w:szCs w:val="24"/>
          <w:rtl/>
          <w:lang w:val="en-US" w:eastAsia="fr-FR"/>
        </w:rPr>
        <w:t>،</w:t>
      </w:r>
      <w:r w:rsidRPr="00F30A8C">
        <w:rPr>
          <w:rFonts w:ascii="Simplified Arabic" w:eastAsia="Times New Roman" w:hAnsi="Simplified Arabic" w:cs="Simplified Arabic"/>
          <w:b/>
          <w:sz w:val="24"/>
          <w:szCs w:val="24"/>
          <w:rtl/>
          <w:lang w:val="en-US" w:eastAsia="fr-FR"/>
        </w:rPr>
        <w:t xml:space="preserve"> البنى التحتية</w:t>
      </w:r>
      <w:r>
        <w:rPr>
          <w:rFonts w:ascii="Simplified Arabic" w:eastAsia="Times New Roman" w:hAnsi="Simplified Arabic" w:cs="Simplified Arabic" w:hint="cs"/>
          <w:b/>
          <w:sz w:val="24"/>
          <w:szCs w:val="24"/>
          <w:rtl/>
          <w:lang w:val="en-US" w:eastAsia="fr-FR"/>
        </w:rPr>
        <w:t>،</w:t>
      </w:r>
      <w:r w:rsidRPr="00F30A8C">
        <w:rPr>
          <w:rFonts w:ascii="Simplified Arabic" w:eastAsia="Times New Roman" w:hAnsi="Simplified Arabic" w:cs="Simplified Arabic"/>
          <w:b/>
          <w:sz w:val="24"/>
          <w:szCs w:val="24"/>
          <w:rtl/>
          <w:lang w:val="en-US" w:eastAsia="fr-FR"/>
        </w:rPr>
        <w:t xml:space="preserve"> البيئة </w:t>
      </w:r>
      <w:r w:rsidR="008E533E">
        <w:rPr>
          <w:rFonts w:ascii="Simplified Arabic" w:hAnsi="Simplified Arabic" w:cs="Simplified Arabic" w:hint="cs"/>
          <w:sz w:val="24"/>
          <w:szCs w:val="24"/>
          <w:rtl/>
          <w:lang w:val="en-US"/>
        </w:rPr>
        <w:t>الحضرية</w:t>
      </w:r>
      <w:r w:rsidR="008E533E" w:rsidRPr="00F30A8C">
        <w:rPr>
          <w:rFonts w:ascii="Simplified Arabic" w:eastAsia="Times New Roman" w:hAnsi="Simplified Arabic" w:cs="Simplified Arabic"/>
          <w:b/>
          <w:sz w:val="24"/>
          <w:szCs w:val="24"/>
          <w:rtl/>
          <w:lang w:val="en-US" w:eastAsia="fr-FR"/>
        </w:rPr>
        <w:t xml:space="preserve"> </w:t>
      </w:r>
      <w:r w:rsidRPr="00F30A8C">
        <w:rPr>
          <w:rFonts w:ascii="Simplified Arabic" w:eastAsia="Times New Roman" w:hAnsi="Simplified Arabic" w:cs="Simplified Arabic"/>
          <w:b/>
          <w:sz w:val="24"/>
          <w:szCs w:val="24"/>
          <w:rtl/>
          <w:lang w:val="en-US" w:eastAsia="fr-FR"/>
        </w:rPr>
        <w:t>والأنظمة الطبيعية المعرضة للخطر، كلها ضرورية لإنش</w:t>
      </w:r>
      <w:r>
        <w:rPr>
          <w:rFonts w:ascii="Simplified Arabic" w:eastAsia="Times New Roman" w:hAnsi="Simplified Arabic" w:cs="Simplified Arabic"/>
          <w:b/>
          <w:sz w:val="24"/>
          <w:szCs w:val="24"/>
          <w:rtl/>
          <w:lang w:val="en-US" w:eastAsia="fr-FR"/>
        </w:rPr>
        <w:t>اء إطار عمل للمرونة في المجتمع.</w:t>
      </w:r>
      <w:r>
        <w:rPr>
          <w:rFonts w:ascii="Simplified Arabic" w:eastAsia="Times New Roman" w:hAnsi="Simplified Arabic" w:cs="Simplified Arabic" w:hint="cs"/>
          <w:b/>
          <w:sz w:val="24"/>
          <w:szCs w:val="24"/>
          <w:rtl/>
          <w:lang w:val="en-US" w:eastAsia="fr-FR"/>
        </w:rPr>
        <w:t xml:space="preserve"> </w:t>
      </w:r>
      <w:r w:rsidRPr="00F30A8C">
        <w:rPr>
          <w:rFonts w:ascii="Simplified Arabic" w:eastAsia="Times New Roman" w:hAnsi="Simplified Arabic" w:cs="Simplified Arabic"/>
          <w:b/>
          <w:sz w:val="24"/>
          <w:szCs w:val="24"/>
          <w:rtl/>
          <w:lang w:val="en-US" w:eastAsia="fr-FR"/>
        </w:rPr>
        <w:t xml:space="preserve">مع التركيز على </w:t>
      </w:r>
      <w:r w:rsidRPr="00F30A8C">
        <w:rPr>
          <w:rFonts w:ascii="Simplified Arabic" w:eastAsia="Times New Roman" w:hAnsi="Simplified Arabic" w:cs="Simplified Arabic" w:hint="cs"/>
          <w:b/>
          <w:sz w:val="24"/>
          <w:szCs w:val="24"/>
          <w:rtl/>
          <w:lang w:val="en-US" w:eastAsia="fr-FR"/>
        </w:rPr>
        <w:t>عوامل</w:t>
      </w:r>
      <w:r w:rsidRPr="00F30A8C">
        <w:rPr>
          <w:rFonts w:ascii="Simplified Arabic" w:eastAsia="Times New Roman" w:hAnsi="Simplified Arabic" w:cs="Simplified Arabic"/>
          <w:b/>
          <w:sz w:val="24"/>
          <w:szCs w:val="24"/>
          <w:rtl/>
          <w:lang w:val="en-US" w:eastAsia="fr-FR"/>
        </w:rPr>
        <w:t xml:space="preserve"> البيئة </w:t>
      </w:r>
      <w:r w:rsidR="008E533E">
        <w:rPr>
          <w:rFonts w:ascii="Simplified Arabic" w:hAnsi="Simplified Arabic" w:cs="Simplified Arabic" w:hint="cs"/>
          <w:sz w:val="24"/>
          <w:szCs w:val="24"/>
          <w:rtl/>
          <w:lang w:val="en-US"/>
        </w:rPr>
        <w:t>الحضرية</w:t>
      </w:r>
      <w:r w:rsidR="008E533E" w:rsidRPr="00F30A8C">
        <w:rPr>
          <w:rFonts w:ascii="Simplified Arabic" w:eastAsia="Times New Roman" w:hAnsi="Simplified Arabic" w:cs="Simplified Arabic"/>
          <w:b/>
          <w:sz w:val="24"/>
          <w:szCs w:val="24"/>
          <w:rtl/>
          <w:lang w:val="en-US" w:eastAsia="fr-FR"/>
        </w:rPr>
        <w:t xml:space="preserve"> </w:t>
      </w:r>
      <w:r w:rsidRPr="00F30A8C">
        <w:rPr>
          <w:rFonts w:ascii="Simplified Arabic" w:eastAsia="Times New Roman" w:hAnsi="Simplified Arabic" w:cs="Simplified Arabic"/>
          <w:b/>
          <w:sz w:val="24"/>
          <w:szCs w:val="24"/>
          <w:rtl/>
          <w:lang w:val="en-US" w:eastAsia="fr-FR"/>
        </w:rPr>
        <w:t>التي تم تقديمها كبعد فيزيائي في هذ</w:t>
      </w:r>
      <w:r w:rsidRPr="00F30A8C">
        <w:rPr>
          <w:rFonts w:ascii="Simplified Arabic" w:eastAsia="Times New Roman" w:hAnsi="Simplified Arabic" w:cs="Simplified Arabic" w:hint="cs"/>
          <w:b/>
          <w:sz w:val="24"/>
          <w:szCs w:val="24"/>
          <w:rtl/>
          <w:lang w:val="en-US" w:eastAsia="fr-FR"/>
        </w:rPr>
        <w:t>ا</w:t>
      </w:r>
      <w:r w:rsidRPr="00F30A8C">
        <w:rPr>
          <w:rFonts w:ascii="Simplified Arabic" w:eastAsia="Times New Roman" w:hAnsi="Simplified Arabic" w:cs="Simplified Arabic"/>
          <w:b/>
          <w:sz w:val="24"/>
          <w:szCs w:val="24"/>
          <w:rtl/>
          <w:lang w:val="en-US" w:eastAsia="fr-FR"/>
        </w:rPr>
        <w:t xml:space="preserve"> </w:t>
      </w:r>
      <w:r w:rsidRPr="00F30A8C">
        <w:rPr>
          <w:rFonts w:ascii="Simplified Arabic" w:eastAsia="Times New Roman" w:hAnsi="Simplified Arabic" w:cs="Simplified Arabic" w:hint="cs"/>
          <w:b/>
          <w:sz w:val="24"/>
          <w:szCs w:val="24"/>
          <w:rtl/>
          <w:lang w:val="en-US" w:eastAsia="fr-FR"/>
        </w:rPr>
        <w:t>البحث</w:t>
      </w:r>
      <w:r w:rsidRPr="00F30A8C">
        <w:rPr>
          <w:rFonts w:ascii="Simplified Arabic" w:eastAsia="Times New Roman" w:hAnsi="Simplified Arabic" w:cs="Simplified Arabic"/>
          <w:b/>
          <w:sz w:val="24"/>
          <w:szCs w:val="24"/>
          <w:rtl/>
          <w:lang w:val="en-US" w:eastAsia="fr-FR"/>
        </w:rPr>
        <w:t xml:space="preserve">، سيتم تقييم المرونة الحضرية </w:t>
      </w:r>
      <w:r w:rsidRPr="00F30A8C">
        <w:rPr>
          <w:rFonts w:ascii="Simplified Arabic" w:eastAsia="Times New Roman" w:hAnsi="Simplified Arabic" w:cs="Simplified Arabic" w:hint="cs"/>
          <w:b/>
          <w:sz w:val="24"/>
          <w:szCs w:val="24"/>
          <w:rtl/>
          <w:lang w:val="en-US" w:eastAsia="fr-FR"/>
        </w:rPr>
        <w:t>لمدينة بوسعادة</w:t>
      </w:r>
      <w:r w:rsidRPr="00F30A8C">
        <w:rPr>
          <w:rFonts w:ascii="Simplified Arabic" w:eastAsia="Times New Roman" w:hAnsi="Simplified Arabic" w:cs="Simplified Arabic"/>
          <w:b/>
          <w:sz w:val="24"/>
          <w:szCs w:val="24"/>
          <w:rtl/>
          <w:lang w:val="en-US" w:eastAsia="fr-FR"/>
        </w:rPr>
        <w:t xml:space="preserve">. </w:t>
      </w:r>
    </w:p>
    <w:p w:rsidR="003E0F31" w:rsidRDefault="003E0F31" w:rsidP="00C62080">
      <w:pPr>
        <w:tabs>
          <w:tab w:val="right" w:pos="281"/>
        </w:tabs>
        <w:bidi/>
        <w:spacing w:after="0"/>
        <w:ind w:firstLine="282"/>
        <w:jc w:val="both"/>
        <w:rPr>
          <w:rFonts w:ascii="Simplified Arabic" w:eastAsia="Times New Roman" w:hAnsi="Simplified Arabic" w:cs="Simplified Arabic"/>
          <w:b/>
          <w:sz w:val="24"/>
          <w:szCs w:val="24"/>
          <w:lang w:val="en-US" w:eastAsia="fr-FR"/>
        </w:rPr>
      </w:pPr>
      <w:r w:rsidRPr="00206B59">
        <w:rPr>
          <w:rFonts w:ascii="Simplified Arabic" w:eastAsia="Times New Roman" w:hAnsi="Simplified Arabic" w:cs="Simplified Arabic"/>
          <w:b/>
          <w:sz w:val="24"/>
          <w:szCs w:val="24"/>
          <w:rtl/>
          <w:lang w:val="en-US" w:eastAsia="fr-FR"/>
        </w:rPr>
        <w:t xml:space="preserve">تجدر الإشارة إلى أن </w:t>
      </w:r>
      <w:r w:rsidRPr="00206B59">
        <w:rPr>
          <w:rFonts w:ascii="Simplified Arabic" w:eastAsia="Times New Roman" w:hAnsi="Simplified Arabic" w:cs="Simplified Arabic" w:hint="cs"/>
          <w:b/>
          <w:sz w:val="24"/>
          <w:szCs w:val="24"/>
          <w:rtl/>
          <w:lang w:val="en-US" w:eastAsia="fr-FR"/>
        </w:rPr>
        <w:t>العوامل</w:t>
      </w:r>
      <w:r w:rsidRPr="00206B59">
        <w:rPr>
          <w:rFonts w:ascii="Simplified Arabic" w:eastAsia="Times New Roman" w:hAnsi="Simplified Arabic" w:cs="Simplified Arabic"/>
          <w:b/>
          <w:sz w:val="24"/>
          <w:szCs w:val="24"/>
          <w:rtl/>
          <w:lang w:val="en-US" w:eastAsia="fr-FR"/>
        </w:rPr>
        <w:t xml:space="preserve"> التي يحققها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themeColor="text1"/>
          <w:sz w:val="24"/>
          <w:szCs w:val="24"/>
          <w:lang w:val="en-US" w:bidi="ar-DZ"/>
        </w:rPr>
        <w:t>Cutter</w:t>
      </w:r>
      <w:r w:rsidRPr="00206B59">
        <w:rPr>
          <w:rFonts w:asciiTheme="majorBidi" w:hAnsiTheme="majorBidi" w:cstheme="majorBidi"/>
          <w:color w:val="000000" w:themeColor="text1"/>
          <w:sz w:val="24"/>
          <w:szCs w:val="24"/>
          <w:rtl/>
          <w:lang w:val="en-US" w:bidi="ar-DZ"/>
        </w:rPr>
        <w:t>)</w:t>
      </w:r>
      <w:r w:rsidRPr="00206B59">
        <w:rPr>
          <w:rFonts w:asciiTheme="majorBidi" w:eastAsia="Times New Roman" w:hAnsiTheme="majorBidi" w:cstheme="majorBidi" w:hint="cs"/>
          <w:bCs/>
          <w:sz w:val="24"/>
          <w:szCs w:val="24"/>
          <w:rtl/>
          <w:lang w:eastAsia="fr-FR"/>
        </w:rPr>
        <w:t xml:space="preserve"> </w:t>
      </w:r>
      <w:r w:rsidRPr="00206B59">
        <w:rPr>
          <w:rFonts w:ascii="Simplified Arabic" w:eastAsia="Times New Roman" w:hAnsi="Simplified Arabic" w:cs="Simplified Arabic"/>
          <w:b/>
          <w:sz w:val="24"/>
          <w:szCs w:val="24"/>
          <w:rtl/>
          <w:lang w:val="en-US" w:eastAsia="fr-FR"/>
        </w:rPr>
        <w:t xml:space="preserve">تحت فئة البيئة </w:t>
      </w:r>
      <w:r w:rsidR="008E533E">
        <w:rPr>
          <w:rFonts w:ascii="Simplified Arabic" w:hAnsi="Simplified Arabic" w:cs="Simplified Arabic" w:hint="cs"/>
          <w:sz w:val="24"/>
          <w:szCs w:val="24"/>
          <w:rtl/>
          <w:lang w:val="en-US"/>
        </w:rPr>
        <w:t>الحضرية</w:t>
      </w:r>
      <w:r w:rsidR="008E533E"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b/>
          <w:sz w:val="24"/>
          <w:szCs w:val="24"/>
          <w:rtl/>
          <w:lang w:val="en-US" w:eastAsia="fr-FR"/>
        </w:rPr>
        <w:t>يمكن استخدامها عمليًا كدليل إرشادي في هذ</w:t>
      </w:r>
      <w:r w:rsidRPr="00206B59">
        <w:rPr>
          <w:rFonts w:ascii="Simplified Arabic" w:eastAsia="Times New Roman" w:hAnsi="Simplified Arabic" w:cs="Simplified Arabic" w:hint="cs"/>
          <w:b/>
          <w:sz w:val="24"/>
          <w:szCs w:val="24"/>
          <w:rtl/>
          <w:lang w:val="en-US" w:eastAsia="fr-FR"/>
        </w:rPr>
        <w:t>ا</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البحث رغم اختلافها</w:t>
      </w:r>
      <w:r w:rsidRPr="00206B59">
        <w:rPr>
          <w:rFonts w:ascii="Simplified Arabic" w:eastAsia="Times New Roman" w:hAnsi="Simplified Arabic" w:cs="Simplified Arabic"/>
          <w:b/>
          <w:sz w:val="24"/>
          <w:szCs w:val="24"/>
          <w:rtl/>
          <w:lang w:val="en-US" w:eastAsia="fr-FR"/>
        </w:rPr>
        <w:t xml:space="preserve">، لأن أبعاد المرونة، خاصة </w:t>
      </w:r>
      <w:r w:rsidRPr="00206B59">
        <w:rPr>
          <w:rFonts w:ascii="Simplified Arabic" w:eastAsia="Times New Roman" w:hAnsi="Simplified Arabic" w:cs="Simplified Arabic" w:hint="cs"/>
          <w:b/>
          <w:sz w:val="24"/>
          <w:szCs w:val="24"/>
          <w:rtl/>
          <w:lang w:val="en-US" w:eastAsia="fr-FR"/>
        </w:rPr>
        <w:t xml:space="preserve">منها </w:t>
      </w:r>
      <w:r w:rsidRPr="00206B59">
        <w:rPr>
          <w:rFonts w:ascii="Simplified Arabic" w:eastAsia="Times New Roman" w:hAnsi="Simplified Arabic" w:cs="Simplified Arabic"/>
          <w:b/>
          <w:sz w:val="24"/>
          <w:szCs w:val="24"/>
          <w:rtl/>
          <w:lang w:val="en-US" w:eastAsia="fr-FR"/>
        </w:rPr>
        <w:t>البعد الفيزيائي</w:t>
      </w:r>
      <w:r w:rsidRPr="00206B59">
        <w:rPr>
          <w:rFonts w:ascii="Simplified Arabic" w:eastAsia="Times New Roman" w:hAnsi="Simplified Arabic" w:cs="Simplified Arabic" w:hint="cs"/>
          <w:b/>
          <w:sz w:val="24"/>
          <w:szCs w:val="24"/>
          <w:rtl/>
          <w:lang w:val="en-US" w:eastAsia="fr-FR"/>
        </w:rPr>
        <w:t xml:space="preserve"> (فئة البيئة </w:t>
      </w:r>
      <w:r w:rsidR="008E533E">
        <w:rPr>
          <w:rFonts w:ascii="Simplified Arabic" w:hAnsi="Simplified Arabic" w:cs="Simplified Arabic" w:hint="cs"/>
          <w:sz w:val="24"/>
          <w:szCs w:val="24"/>
          <w:rtl/>
          <w:lang w:val="en-US"/>
        </w:rPr>
        <w:t>الحضرية</w:t>
      </w:r>
      <w:r w:rsidRPr="00206B59">
        <w:rPr>
          <w:rFonts w:ascii="Simplified Arabic" w:eastAsia="Times New Roman" w:hAnsi="Simplified Arabic" w:cs="Simplified Arabic" w:hint="cs"/>
          <w:b/>
          <w:sz w:val="24"/>
          <w:szCs w:val="24"/>
          <w:rtl/>
          <w:lang w:val="en-US" w:eastAsia="fr-FR"/>
        </w:rPr>
        <w:t>)</w:t>
      </w:r>
      <w:r w:rsidRPr="00206B59">
        <w:rPr>
          <w:rFonts w:ascii="Simplified Arabic" w:eastAsia="Times New Roman" w:hAnsi="Simplified Arabic" w:cs="Simplified Arabic"/>
          <w:b/>
          <w:sz w:val="24"/>
          <w:szCs w:val="24"/>
          <w:rtl/>
          <w:lang w:val="en-US" w:eastAsia="fr-FR"/>
        </w:rPr>
        <w:t xml:space="preserve"> تختلف </w:t>
      </w:r>
      <w:r w:rsidRPr="00206B59">
        <w:rPr>
          <w:rFonts w:ascii="Simplified Arabic" w:eastAsia="Times New Roman" w:hAnsi="Simplified Arabic" w:cs="Simplified Arabic" w:hint="cs"/>
          <w:b/>
          <w:sz w:val="24"/>
          <w:szCs w:val="24"/>
          <w:rtl/>
          <w:lang w:val="en-US" w:eastAsia="fr-FR"/>
        </w:rPr>
        <w:t>وفق</w:t>
      </w:r>
      <w:r w:rsidRPr="00206B59">
        <w:rPr>
          <w:rFonts w:ascii="Simplified Arabic" w:eastAsia="Times New Roman" w:hAnsi="Simplified Arabic" w:cs="Simplified Arabic"/>
          <w:b/>
          <w:sz w:val="24"/>
          <w:szCs w:val="24"/>
          <w:rtl/>
          <w:lang w:val="en-US" w:eastAsia="fr-FR"/>
        </w:rPr>
        <w:t xml:space="preserve"> ظروف المناطق والمجتمعات الحضرية. بالتالي، </w:t>
      </w:r>
      <w:r w:rsidRPr="00206B59">
        <w:rPr>
          <w:rFonts w:ascii="Simplified Arabic" w:eastAsia="Times New Roman" w:hAnsi="Simplified Arabic" w:cs="Simplified Arabic" w:hint="cs"/>
          <w:b/>
          <w:sz w:val="24"/>
          <w:szCs w:val="24"/>
          <w:rtl/>
          <w:lang w:val="en-US" w:eastAsia="fr-FR"/>
        </w:rPr>
        <w:t>تم</w:t>
      </w:r>
      <w:r w:rsidRPr="00206B59">
        <w:rPr>
          <w:rFonts w:ascii="Simplified Arabic" w:eastAsia="Times New Roman" w:hAnsi="Simplified Arabic" w:cs="Simplified Arabic"/>
          <w:b/>
          <w:sz w:val="24"/>
          <w:szCs w:val="24"/>
          <w:rtl/>
          <w:lang w:val="en-US" w:eastAsia="fr-FR"/>
        </w:rPr>
        <w:t xml:space="preserve"> تنسيق هذه </w:t>
      </w:r>
      <w:r w:rsidRPr="00206B59">
        <w:rPr>
          <w:rFonts w:ascii="Simplified Arabic" w:eastAsia="Times New Roman" w:hAnsi="Simplified Arabic" w:cs="Simplified Arabic" w:hint="cs"/>
          <w:b/>
          <w:sz w:val="24"/>
          <w:szCs w:val="24"/>
          <w:rtl/>
          <w:lang w:val="en-US" w:eastAsia="fr-FR"/>
        </w:rPr>
        <w:t>العوامل</w:t>
      </w:r>
      <w:r w:rsidRPr="00206B59">
        <w:rPr>
          <w:rFonts w:ascii="Simplified Arabic" w:eastAsia="Times New Roman" w:hAnsi="Simplified Arabic" w:cs="Simplified Arabic"/>
          <w:b/>
          <w:sz w:val="24"/>
          <w:szCs w:val="24"/>
          <w:rtl/>
          <w:lang w:val="en-US" w:eastAsia="fr-FR"/>
        </w:rPr>
        <w:t xml:space="preserve"> مع شروط </w:t>
      </w:r>
      <w:r w:rsidRPr="00206B59">
        <w:rPr>
          <w:rFonts w:ascii="Simplified Arabic" w:eastAsia="Times New Roman" w:hAnsi="Simplified Arabic" w:cs="Simplified Arabic" w:hint="cs"/>
          <w:b/>
          <w:sz w:val="24"/>
          <w:szCs w:val="24"/>
          <w:rtl/>
          <w:lang w:val="en-US" w:eastAsia="fr-FR"/>
        </w:rPr>
        <w:t xml:space="preserve">البيئة </w:t>
      </w:r>
      <w:r w:rsidR="00C62080">
        <w:rPr>
          <w:rFonts w:ascii="Simplified Arabic" w:hAnsi="Simplified Arabic" w:cs="Simplified Arabic" w:hint="cs"/>
          <w:sz w:val="24"/>
          <w:szCs w:val="24"/>
          <w:rtl/>
          <w:lang w:val="en-US"/>
        </w:rPr>
        <w:t>الحضرية</w:t>
      </w:r>
      <w:r w:rsidR="00C62080" w:rsidRPr="00206B59">
        <w:rPr>
          <w:rFonts w:ascii="Simplified Arabic" w:eastAsia="Times New Roman" w:hAnsi="Simplified Arabic" w:cs="Simplified Arabic" w:hint="cs"/>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المحلية لمدينة بوسعادة</w:t>
      </w:r>
      <w:r w:rsidRPr="00206B59">
        <w:rPr>
          <w:rFonts w:ascii="Simplified Arabic" w:eastAsia="Times New Roman" w:hAnsi="Simplified Arabic" w:cs="Simplified Arabic"/>
          <w:b/>
          <w:sz w:val="24"/>
          <w:szCs w:val="24"/>
          <w:rtl/>
          <w:lang w:val="en-US" w:eastAsia="fr-FR"/>
        </w:rPr>
        <w:t xml:space="preserve">. مع ذلك، فإن </w:t>
      </w:r>
      <w:r w:rsidRPr="00206B59">
        <w:rPr>
          <w:rFonts w:ascii="Simplified Arabic" w:eastAsia="Times New Roman" w:hAnsi="Simplified Arabic" w:cs="Simplified Arabic" w:hint="cs"/>
          <w:b/>
          <w:sz w:val="24"/>
          <w:szCs w:val="24"/>
          <w:rtl/>
          <w:lang w:val="en-US" w:eastAsia="fr-FR"/>
        </w:rPr>
        <w:t>العوامل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rPr>
        <w:t xml:space="preserve">الاولية، </w:t>
      </w:r>
      <w:r w:rsidR="00165B85" w:rsidRPr="00206B59">
        <w:rPr>
          <w:rFonts w:ascii="Simplified Arabic" w:eastAsia="Times New Roman" w:hAnsi="Simplified Arabic" w:cs="Simplified Arabic" w:hint="cs"/>
          <w:b/>
          <w:sz w:val="24"/>
          <w:szCs w:val="24"/>
          <w:rtl/>
          <w:lang w:val="en-US" w:eastAsia="fr-FR" w:bidi="ar-DZ"/>
        </w:rPr>
        <w:t>كما هو ب</w:t>
      </w:r>
      <w:r w:rsidRPr="00206B59">
        <w:rPr>
          <w:rFonts w:ascii="Simplified Arabic" w:eastAsia="Times New Roman" w:hAnsi="Simplified Arabic" w:cs="Simplified Arabic" w:hint="cs"/>
          <w:b/>
          <w:sz w:val="24"/>
          <w:szCs w:val="24"/>
          <w:rtl/>
          <w:lang w:val="en-US" w:eastAsia="fr-FR"/>
        </w:rPr>
        <w:t>الجدول (</w:t>
      </w:r>
      <w:r w:rsidR="00DC054D" w:rsidRPr="00206B59">
        <w:rPr>
          <w:rFonts w:ascii="Simplified Arabic" w:hAnsi="Simplified Arabic" w:cs="Simplified Arabic" w:hint="cs"/>
          <w:sz w:val="24"/>
          <w:szCs w:val="24"/>
          <w:rtl/>
        </w:rPr>
        <w:t>2-11</w:t>
      </w:r>
      <w:r w:rsidRPr="00206B59">
        <w:rPr>
          <w:rFonts w:ascii="Simplified Arabic" w:eastAsia="Times New Roman" w:hAnsi="Simplified Arabic" w:cs="Simplified Arabic" w:hint="cs"/>
          <w:b/>
          <w:sz w:val="24"/>
          <w:szCs w:val="24"/>
          <w:rtl/>
          <w:lang w:val="en-US" w:eastAsia="fr-FR"/>
        </w:rPr>
        <w:t xml:space="preserve">) </w:t>
      </w:r>
      <w:r w:rsidRPr="00206B59">
        <w:rPr>
          <w:rFonts w:ascii="Simplified Arabic" w:eastAsia="Times New Roman" w:hAnsi="Simplified Arabic" w:cs="Simplified Arabic"/>
          <w:b/>
          <w:sz w:val="24"/>
          <w:szCs w:val="24"/>
          <w:rtl/>
          <w:lang w:val="en-US" w:eastAsia="fr-FR"/>
        </w:rPr>
        <w:t xml:space="preserve">التي تم الحصول عليها </w:t>
      </w:r>
      <w:r w:rsidRPr="00206B59">
        <w:rPr>
          <w:rFonts w:ascii="Simplified Arabic" w:eastAsia="Times New Roman" w:hAnsi="Simplified Arabic" w:cs="Simplified Arabic" w:hint="cs"/>
          <w:b/>
          <w:sz w:val="24"/>
          <w:szCs w:val="24"/>
          <w:rtl/>
          <w:lang w:val="en-US" w:eastAsia="fr-FR"/>
        </w:rPr>
        <w:t>من خلال</w:t>
      </w:r>
      <w:r w:rsidRPr="00206B59">
        <w:rPr>
          <w:rFonts w:ascii="Simplified Arabic" w:eastAsia="Times New Roman" w:hAnsi="Simplified Arabic" w:cs="Simplified Arabic"/>
          <w:b/>
          <w:sz w:val="24"/>
          <w:szCs w:val="24"/>
          <w:rtl/>
          <w:lang w:val="en-US" w:eastAsia="fr-FR"/>
        </w:rPr>
        <w:t xml:space="preserve"> هذه </w:t>
      </w:r>
      <w:r w:rsidRPr="00206B59">
        <w:rPr>
          <w:rFonts w:ascii="Simplified Arabic" w:eastAsia="Times New Roman" w:hAnsi="Simplified Arabic" w:cs="Simplified Arabic" w:hint="cs"/>
          <w:b/>
          <w:sz w:val="24"/>
          <w:szCs w:val="24"/>
          <w:rtl/>
          <w:lang w:val="en-US" w:eastAsia="fr-FR"/>
        </w:rPr>
        <w:t>المراجعة</w:t>
      </w:r>
      <w:r w:rsidRPr="00206B59">
        <w:rPr>
          <w:rFonts w:ascii="Simplified Arabic" w:eastAsia="Times New Roman" w:hAnsi="Simplified Arabic" w:cs="Simplified Arabic"/>
          <w:b/>
          <w:sz w:val="24"/>
          <w:szCs w:val="24"/>
          <w:rtl/>
          <w:lang w:val="en-US" w:eastAsia="fr-FR"/>
        </w:rPr>
        <w:t xml:space="preserve"> لها العديد من الاختلافات</w:t>
      </w:r>
      <w:r w:rsidR="00165B85" w:rsidRPr="00206B59">
        <w:rPr>
          <w:rFonts w:ascii="Simplified Arabic" w:eastAsia="Times New Roman" w:hAnsi="Simplified Arabic" w:cs="Simplified Arabic" w:hint="cs"/>
          <w:b/>
          <w:sz w:val="24"/>
          <w:szCs w:val="24"/>
          <w:rtl/>
          <w:lang w:val="en-US" w:eastAsia="fr-FR"/>
        </w:rPr>
        <w:t xml:space="preserve"> و</w:t>
      </w:r>
      <w:r w:rsidRPr="00206B59">
        <w:rPr>
          <w:rFonts w:ascii="Simplified Arabic" w:eastAsia="Times New Roman" w:hAnsi="Simplified Arabic" w:cs="Simplified Arabic" w:hint="cs"/>
          <w:b/>
          <w:sz w:val="24"/>
          <w:szCs w:val="24"/>
          <w:rtl/>
          <w:lang w:val="en-US" w:eastAsia="fr-FR"/>
        </w:rPr>
        <w:t>التشابه</w:t>
      </w:r>
      <w:r w:rsidRPr="00206B59">
        <w:rPr>
          <w:rFonts w:ascii="Simplified Arabic" w:eastAsia="Times New Roman" w:hAnsi="Simplified Arabic" w:cs="Simplified Arabic"/>
          <w:b/>
          <w:sz w:val="24"/>
          <w:szCs w:val="24"/>
          <w:rtl/>
          <w:lang w:val="en-US" w:eastAsia="fr-FR"/>
        </w:rPr>
        <w:t xml:space="preserve"> مع </w:t>
      </w:r>
      <w:r w:rsidRPr="00206B59">
        <w:rPr>
          <w:rFonts w:ascii="Simplified Arabic" w:eastAsia="Times New Roman" w:hAnsi="Simplified Arabic" w:cs="Simplified Arabic" w:hint="cs"/>
          <w:b/>
          <w:sz w:val="24"/>
          <w:szCs w:val="24"/>
          <w:rtl/>
          <w:lang w:val="en-US" w:eastAsia="fr-FR"/>
        </w:rPr>
        <w:t>عوامل</w:t>
      </w:r>
      <w:r w:rsidRPr="00206B59">
        <w:rPr>
          <w:rFonts w:ascii="Simplified Arabic" w:eastAsia="Times New Roman" w:hAnsi="Simplified Arabic" w:cs="Simplified Arabic"/>
          <w:b/>
          <w:sz w:val="24"/>
          <w:szCs w:val="24"/>
          <w:rtl/>
          <w:lang w:val="en-US" w:eastAsia="fr-FR"/>
        </w:rPr>
        <w:t xml:space="preserve"> </w:t>
      </w:r>
      <w:r w:rsidRPr="00206B59">
        <w:rPr>
          <w:rFonts w:ascii="Simplified Arabic" w:eastAsia="Times New Roman" w:hAnsi="Simplified Arabic" w:cs="Simplified Arabic" w:hint="cs"/>
          <w:b/>
          <w:sz w:val="24"/>
          <w:szCs w:val="24"/>
          <w:rtl/>
          <w:lang w:val="en-US" w:eastAsia="fr-FR" w:bidi="ar-DZ"/>
        </w:rPr>
        <w:t>النماذج التي اسسها كل</w:t>
      </w:r>
      <w:r w:rsidR="00D02756" w:rsidRPr="00206B59">
        <w:rPr>
          <w:rFonts w:ascii="Simplified Arabic" w:eastAsia="Times New Roman" w:hAnsi="Simplified Arabic" w:cs="Simplified Arabic"/>
          <w:b/>
          <w:sz w:val="24"/>
          <w:szCs w:val="24"/>
          <w:lang w:val="en-US" w:eastAsia="fr-FR" w:bidi="ar-DZ"/>
        </w:rPr>
        <w:t xml:space="preserve"> </w:t>
      </w:r>
      <w:r w:rsidRPr="00206B59">
        <w:rPr>
          <w:rFonts w:ascii="Simplified Arabic" w:eastAsia="Times New Roman" w:hAnsi="Simplified Arabic" w:cs="Simplified Arabic" w:hint="cs"/>
          <w:b/>
          <w:sz w:val="24"/>
          <w:szCs w:val="24"/>
          <w:rtl/>
          <w:lang w:val="en-US" w:eastAsia="fr-FR" w:bidi="ar-DZ"/>
        </w:rPr>
        <w:t xml:space="preserve">من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themeColor="text1"/>
          <w:sz w:val="24"/>
          <w:szCs w:val="24"/>
          <w:lang w:val="en-US" w:bidi="ar-DZ"/>
        </w:rPr>
        <w:t>2022</w:t>
      </w:r>
      <w:r w:rsidRPr="00206B59">
        <w:rPr>
          <w:rFonts w:asciiTheme="majorBidi" w:hAnsiTheme="majorBidi" w:cstheme="majorBidi" w:hint="cs"/>
          <w:color w:val="000000" w:themeColor="text1"/>
          <w:sz w:val="24"/>
          <w:szCs w:val="24"/>
          <w:rtl/>
          <w:lang w:val="en-US" w:bidi="ar-DZ"/>
        </w:rPr>
        <w:t xml:space="preserve"> </w:t>
      </w:r>
      <w:r w:rsidRPr="00206B59">
        <w:rPr>
          <w:rFonts w:asciiTheme="majorBidi" w:hAnsiTheme="majorBidi" w:cstheme="majorBidi"/>
          <w:color w:val="000000" w:themeColor="text1"/>
          <w:sz w:val="24"/>
          <w:szCs w:val="24"/>
          <w:lang w:val="en-US" w:bidi="ar-DZ"/>
        </w:rPr>
        <w:t xml:space="preserve">Haghighi </w:t>
      </w:r>
      <w:r w:rsidRPr="00206B59">
        <w:rPr>
          <w:rFonts w:asciiTheme="majorBidi" w:hAnsiTheme="majorBidi" w:cstheme="majorBidi"/>
          <w:color w:val="000000" w:themeColor="text1"/>
          <w:sz w:val="24"/>
          <w:szCs w:val="24"/>
          <w:lang w:bidi="ar-DZ"/>
        </w:rPr>
        <w:t>Fard and Doratli</w:t>
      </w:r>
      <w:r w:rsidRPr="00206B59">
        <w:rPr>
          <w:rFonts w:asciiTheme="majorBidi" w:hAnsiTheme="majorBidi" w:cstheme="majorBidi"/>
          <w:color w:val="000000" w:themeColor="text1"/>
          <w:sz w:val="24"/>
          <w:szCs w:val="24"/>
          <w:lang w:val="en-US" w:bidi="ar-DZ"/>
        </w:rPr>
        <w:t>,</w:t>
      </w:r>
      <w:r w:rsidRPr="00206B59">
        <w:rPr>
          <w:rFonts w:asciiTheme="majorBidi" w:hAnsiTheme="majorBidi" w:cstheme="majorBidi" w:hint="cs"/>
          <w:color w:val="000000" w:themeColor="text1"/>
          <w:sz w:val="24"/>
          <w:szCs w:val="24"/>
          <w:rtl/>
          <w:lang w:val="en-US" w:bidi="ar-DZ"/>
        </w:rPr>
        <w:t xml:space="preserve"> </w:t>
      </w:r>
      <w:r w:rsidR="00165B85" w:rsidRPr="00206B59">
        <w:rPr>
          <w:rFonts w:asciiTheme="majorBidi" w:hAnsiTheme="majorBidi" w:cstheme="majorBidi"/>
          <w:color w:val="000000" w:themeColor="text1"/>
          <w:sz w:val="24"/>
          <w:szCs w:val="24"/>
          <w:lang w:val="en-US" w:bidi="ar-DZ"/>
        </w:rPr>
        <w:t xml:space="preserve">Heinzlef et al., </w:t>
      </w:r>
      <w:r w:rsidR="00165B85" w:rsidRPr="00206B59">
        <w:rPr>
          <w:rFonts w:asciiTheme="majorBidi" w:hAnsiTheme="majorBidi" w:cstheme="majorBidi"/>
          <w:color w:val="000000" w:themeColor="text1"/>
          <w:lang w:val="en-US" w:bidi="ar-DZ"/>
        </w:rPr>
        <w:t>2019</w:t>
      </w:r>
      <w:r w:rsidRPr="00206B59">
        <w:rPr>
          <w:rFonts w:asciiTheme="majorBidi" w:hAnsiTheme="majorBidi" w:cstheme="majorBidi"/>
          <w:color w:val="000000" w:themeColor="text1"/>
          <w:sz w:val="24"/>
          <w:szCs w:val="24"/>
          <w:lang w:bidi="ar-DZ"/>
        </w:rPr>
        <w:t>; </w:t>
      </w:r>
      <w:r w:rsidRPr="00206B59">
        <w:rPr>
          <w:rFonts w:asciiTheme="majorBidi" w:hAnsiTheme="majorBidi" w:cstheme="majorBidi"/>
          <w:color w:val="000000" w:themeColor="text1"/>
          <w:sz w:val="24"/>
          <w:szCs w:val="24"/>
          <w:lang w:val="en-US" w:bidi="ar-DZ"/>
        </w:rPr>
        <w:t>Javari</w:t>
      </w:r>
      <w:r w:rsidR="00D02756" w:rsidRPr="00206B59">
        <w:rPr>
          <w:rFonts w:asciiTheme="majorBidi" w:hAnsiTheme="majorBidi" w:cstheme="majorBidi"/>
          <w:color w:val="000000" w:themeColor="text1"/>
          <w:sz w:val="24"/>
          <w:szCs w:val="24"/>
          <w:lang w:val="en-US" w:bidi="ar-DZ"/>
        </w:rPr>
        <w:t xml:space="preserve"> et al.,</w:t>
      </w:r>
      <w:r w:rsidRPr="00206B59">
        <w:rPr>
          <w:rFonts w:asciiTheme="majorBidi" w:hAnsiTheme="majorBidi" w:cstheme="majorBidi"/>
          <w:color w:val="000000" w:themeColor="text1"/>
          <w:sz w:val="24"/>
          <w:szCs w:val="24"/>
          <w:lang w:val="en-US" w:bidi="ar-DZ"/>
        </w:rPr>
        <w:t xml:space="preserve"> 2021</w:t>
      </w:r>
      <w:r w:rsidRPr="00206B59">
        <w:rPr>
          <w:rFonts w:asciiTheme="majorBidi" w:hAnsiTheme="majorBidi" w:cstheme="majorBidi"/>
          <w:color w:val="000000" w:themeColor="text1"/>
          <w:sz w:val="24"/>
          <w:szCs w:val="24"/>
          <w:lang w:bidi="ar-DZ"/>
        </w:rPr>
        <w:t>;</w:t>
      </w:r>
      <w:r w:rsidRPr="00206B59">
        <w:rPr>
          <w:rFonts w:asciiTheme="majorBidi" w:hAnsiTheme="majorBidi" w:cstheme="majorBidi" w:hint="cs"/>
          <w:color w:val="000000" w:themeColor="text1"/>
          <w:sz w:val="24"/>
          <w:szCs w:val="24"/>
          <w:rtl/>
          <w:lang w:val="en-US" w:bidi="ar-DZ"/>
        </w:rPr>
        <w:t xml:space="preserve"> </w:t>
      </w:r>
      <w:r w:rsidRPr="00206B59">
        <w:rPr>
          <w:rFonts w:asciiTheme="majorBidi" w:hAnsiTheme="majorBidi" w:cstheme="majorBidi"/>
          <w:color w:val="000000" w:themeColor="text1"/>
          <w:sz w:val="24"/>
          <w:szCs w:val="24"/>
          <w:lang w:val="en-US" w:bidi="ar-DZ"/>
        </w:rPr>
        <w:t>Cutter, 2008;</w:t>
      </w:r>
      <w:r w:rsidRPr="00206B59">
        <w:rPr>
          <w:rFonts w:ascii="Simplified Arabic" w:eastAsia="Times New Roman" w:hAnsi="Simplified Arabic" w:cs="Simplified Arabic"/>
          <w:b/>
          <w:sz w:val="24"/>
          <w:szCs w:val="24"/>
          <w:rtl/>
          <w:lang w:val="en-US" w:eastAsia="fr-FR"/>
        </w:rPr>
        <w:t>).</w:t>
      </w:r>
      <w:r w:rsidRPr="00206B59">
        <w:rPr>
          <w:rFonts w:ascii="Simplified Arabic" w:eastAsia="Times New Roman" w:hAnsi="Simplified Arabic" w:cs="Simplified Arabic" w:hint="cs"/>
          <w:b/>
          <w:sz w:val="24"/>
          <w:szCs w:val="24"/>
          <w:rtl/>
          <w:lang w:val="en-US" w:eastAsia="fr-FR"/>
        </w:rPr>
        <w:t xml:space="preserve"> </w:t>
      </w:r>
    </w:p>
    <w:p w:rsidR="003E0F31" w:rsidRDefault="003E0F31" w:rsidP="00F76D99">
      <w:pPr>
        <w:pStyle w:val="Tableau"/>
        <w:rPr>
          <w:rtl/>
        </w:rPr>
      </w:pPr>
      <w:bookmarkStart w:id="379" w:name="_Toc157612974"/>
      <w:bookmarkStart w:id="380" w:name="_Toc171803495"/>
      <w:r>
        <w:rPr>
          <w:rFonts w:hint="cs"/>
          <w:rtl/>
        </w:rPr>
        <w:t>الجدول (</w:t>
      </w:r>
      <w:r w:rsidR="00DC054D">
        <w:rPr>
          <w:rFonts w:hint="cs"/>
          <w:rtl/>
        </w:rPr>
        <w:t>2-</w:t>
      </w:r>
      <w:r w:rsidR="00B200D9">
        <w:rPr>
          <w:rFonts w:hint="cs"/>
          <w:rtl/>
        </w:rPr>
        <w:t>10</w:t>
      </w:r>
      <w:r>
        <w:rPr>
          <w:rFonts w:hint="cs"/>
          <w:rtl/>
        </w:rPr>
        <w:t>): جدول تحديد العوامل الاولية المؤثرة على المرونة</w:t>
      </w:r>
      <w:bookmarkEnd w:id="379"/>
      <w:bookmarkEnd w:id="380"/>
      <w:r>
        <w:rPr>
          <w:rFonts w:hint="cs"/>
          <w:rtl/>
        </w:rPr>
        <w:t xml:space="preserve"> </w:t>
      </w:r>
    </w:p>
    <w:p w:rsidR="003E0F31" w:rsidRPr="000A623E" w:rsidRDefault="000A623E" w:rsidP="000A623E">
      <w:pPr>
        <w:pStyle w:val="fegure"/>
        <w:rPr>
          <w:sz w:val="8"/>
          <w:szCs w:val="24"/>
          <w:rtl/>
          <w:lang w:val="en-US"/>
        </w:rPr>
      </w:pPr>
      <w:bookmarkStart w:id="381" w:name="_Toc171803496"/>
      <w:r>
        <w:rPr>
          <w:rFonts w:hint="cs"/>
          <w:sz w:val="8"/>
          <w:szCs w:val="24"/>
          <w:rtl/>
          <w:lang w:val="en-US"/>
        </w:rPr>
        <w:t>المصدر: (الباحث، 2022)</w:t>
      </w:r>
      <w:bookmarkEnd w:id="381"/>
    </w:p>
    <w:tbl>
      <w:tblPr>
        <w:bidiVisual/>
        <w:tblW w:w="8930"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3"/>
        <w:gridCol w:w="2508"/>
        <w:gridCol w:w="1136"/>
        <w:gridCol w:w="982"/>
        <w:gridCol w:w="984"/>
        <w:gridCol w:w="2377"/>
      </w:tblGrid>
      <w:tr w:rsidR="003E0F31" w:rsidRPr="00956B56" w:rsidTr="00131A88">
        <w:tc>
          <w:tcPr>
            <w:tcW w:w="943"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rtl/>
              </w:rPr>
              <w:t>المكون</w:t>
            </w:r>
          </w:p>
        </w:tc>
        <w:tc>
          <w:tcPr>
            <w:tcW w:w="2508"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rtl/>
              </w:rPr>
              <w:t>العوامل</w:t>
            </w:r>
          </w:p>
        </w:tc>
        <w:tc>
          <w:tcPr>
            <w:tcW w:w="1136"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rtl/>
              </w:rPr>
              <w:t>التأثير(+/-)</w:t>
            </w:r>
          </w:p>
        </w:tc>
        <w:tc>
          <w:tcPr>
            <w:tcW w:w="982"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Pr>
                <w:rFonts w:ascii="Simplified Arabic" w:hAnsi="Simplified Arabic" w:cs="Simplified Arabic" w:hint="cs"/>
                <w:rtl/>
              </w:rPr>
              <w:t>عامل</w:t>
            </w:r>
            <w:r w:rsidRPr="00956B56">
              <w:rPr>
                <w:rFonts w:ascii="Simplified Arabic" w:hAnsi="Simplified Arabic" w:cs="Simplified Arabic" w:hint="cs"/>
                <w:rtl/>
              </w:rPr>
              <w:t xml:space="preserve"> مكاني</w:t>
            </w:r>
          </w:p>
        </w:tc>
        <w:tc>
          <w:tcPr>
            <w:tcW w:w="984" w:type="dxa"/>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المقاربة</w:t>
            </w:r>
          </w:p>
        </w:tc>
        <w:tc>
          <w:tcPr>
            <w:tcW w:w="2377"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Pr>
                <w:rFonts w:ascii="Simplified Arabic" w:hAnsi="Simplified Arabic" w:cs="Simplified Arabic" w:hint="cs"/>
                <w:rtl/>
              </w:rPr>
              <w:t>مراجع المؤلف</w:t>
            </w:r>
          </w:p>
        </w:tc>
      </w:tr>
      <w:tr w:rsidR="003E0F31" w:rsidRPr="00956B56" w:rsidTr="00131A88">
        <w:tc>
          <w:tcPr>
            <w:tcW w:w="943" w:type="dxa"/>
            <w:vMerge w:val="restart"/>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rtl/>
              </w:rPr>
              <w:t xml:space="preserve">مرونة </w:t>
            </w:r>
            <w:r w:rsidRPr="00956B56">
              <w:rPr>
                <w:rFonts w:ascii="Simplified Arabic" w:hAnsi="Simplified Arabic" w:cs="Simplified Arabic" w:hint="cs"/>
                <w:rtl/>
              </w:rPr>
              <w:t>المكون</w:t>
            </w:r>
            <w:r w:rsidRPr="00956B56">
              <w:rPr>
                <w:rFonts w:ascii="Simplified Arabic" w:hAnsi="Simplified Arabic" w:cs="Simplified Arabic"/>
                <w:rtl/>
              </w:rPr>
              <w:t xml:space="preserve"> الفيزيائي</w:t>
            </w:r>
            <w:r>
              <w:rPr>
                <w:rFonts w:ascii="Simplified Arabic" w:hAnsi="Simplified Arabic" w:cs="Simplified Arabic" w:hint="cs"/>
                <w:rtl/>
              </w:rPr>
              <w:t xml:space="preserve"> (فئة البيئة </w:t>
            </w:r>
            <w:r w:rsidR="00C62080">
              <w:rPr>
                <w:rFonts w:ascii="Simplified Arabic" w:hAnsi="Simplified Arabic" w:cs="Simplified Arabic" w:hint="cs"/>
                <w:sz w:val="24"/>
                <w:szCs w:val="24"/>
                <w:rtl/>
                <w:lang w:val="en-US"/>
              </w:rPr>
              <w:t>الحضرية</w:t>
            </w:r>
            <w:r>
              <w:rPr>
                <w:rFonts w:ascii="Simplified Arabic" w:hAnsi="Simplified Arabic" w:cs="Simplified Arabic" w:hint="cs"/>
                <w:rtl/>
              </w:rPr>
              <w:t>)</w:t>
            </w:r>
          </w:p>
        </w:tc>
        <w:tc>
          <w:tcPr>
            <w:tcW w:w="2508" w:type="dxa"/>
            <w:shd w:val="clear" w:color="auto" w:fill="auto"/>
            <w:vAlign w:val="center"/>
          </w:tcPr>
          <w:p w:rsidR="003E0F31" w:rsidRPr="00956B56" w:rsidRDefault="003E0F31" w:rsidP="001E12D7">
            <w:pPr>
              <w:autoSpaceDE w:val="0"/>
              <w:autoSpaceDN w:val="0"/>
              <w:bidi/>
              <w:adjustRightInd w:val="0"/>
              <w:spacing w:after="0" w:line="240" w:lineRule="auto"/>
              <w:rPr>
                <w:rFonts w:ascii="Simplified Arabic" w:hAnsi="Simplified Arabic" w:cs="Simplified Arabic"/>
                <w:rtl/>
              </w:rPr>
            </w:pPr>
            <w:r w:rsidRPr="00956B56">
              <w:rPr>
                <w:rFonts w:ascii="Simplified Arabic" w:hAnsi="Simplified Arabic" w:cs="Simplified Arabic" w:hint="cs"/>
                <w:rtl/>
              </w:rPr>
              <w:t>كثافة البناء</w:t>
            </w:r>
          </w:p>
        </w:tc>
        <w:tc>
          <w:tcPr>
            <w:tcW w:w="1136" w:type="dxa"/>
            <w:shd w:val="clear" w:color="auto" w:fill="auto"/>
            <w:vAlign w:val="center"/>
          </w:tcPr>
          <w:p w:rsidR="003E0F31" w:rsidRPr="00956B56" w:rsidRDefault="003E0F31" w:rsidP="001E12D7">
            <w:pPr>
              <w:spacing w:after="0" w:line="240" w:lineRule="auto"/>
              <w:jc w:val="center"/>
            </w:pPr>
            <w:r w:rsidRPr="00956B56">
              <w:rPr>
                <w:rFonts w:ascii="Simplified Arabic" w:hAnsi="Simplified Arabic" w:cs="Simplified Arabic"/>
                <w:rtl/>
              </w:rPr>
              <w:t>(-)</w:t>
            </w:r>
          </w:p>
        </w:tc>
        <w:tc>
          <w:tcPr>
            <w:tcW w:w="982" w:type="dxa"/>
            <w:shd w:val="clear" w:color="auto" w:fill="auto"/>
            <w:vAlign w:val="center"/>
          </w:tcPr>
          <w:p w:rsidR="003E0F31" w:rsidRDefault="003E0F31"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Pr>
                <w:rFonts w:ascii="Simplified Arabic" w:hAnsi="Simplified Arabic" w:cs="Simplified Arabic" w:hint="cs"/>
                <w:rtl/>
              </w:rPr>
              <w:t>شاملة</w:t>
            </w:r>
          </w:p>
        </w:tc>
        <w:tc>
          <w:tcPr>
            <w:tcW w:w="2377"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00165B85" w:rsidRPr="00206B59">
              <w:rPr>
                <w:rFonts w:asciiTheme="majorBidi" w:hAnsiTheme="majorBidi" w:cstheme="majorBidi"/>
                <w:color w:val="000000" w:themeColor="text1"/>
                <w:sz w:val="24"/>
                <w:szCs w:val="24"/>
                <w:lang w:val="en-US" w:bidi="ar-DZ"/>
              </w:rPr>
              <w:t>Heinzlef</w:t>
            </w:r>
            <w:r w:rsidR="00165B85" w:rsidRPr="00B55041">
              <w:rPr>
                <w:rFonts w:asciiTheme="majorBidi" w:hAnsiTheme="majorBidi" w:cstheme="majorBidi"/>
                <w:color w:val="000000" w:themeColor="text1"/>
                <w:sz w:val="24"/>
                <w:szCs w:val="24"/>
                <w:lang w:val="en-US" w:bidi="ar-DZ"/>
              </w:rPr>
              <w:t xml:space="preserve"> et al., </w:t>
            </w:r>
            <w:r w:rsidR="00165B85" w:rsidRPr="000B42BD">
              <w:rPr>
                <w:rFonts w:asciiTheme="majorBidi" w:hAnsiTheme="majorBidi" w:cstheme="majorBidi"/>
                <w:color w:val="000000" w:themeColor="text1"/>
                <w:lang w:val="en-US" w:bidi="ar-DZ"/>
              </w:rPr>
              <w:t>2019</w:t>
            </w:r>
            <w:r w:rsidRPr="00956B56">
              <w:rPr>
                <w:rFonts w:asciiTheme="majorBidi" w:eastAsia="Times New Roman" w:hAnsiTheme="majorBidi" w:cstheme="majorBidi"/>
                <w:bCs/>
                <w:rtl/>
                <w:lang w:val="en-US" w:eastAsia="fr-FR"/>
              </w:rPr>
              <w:t>)</w:t>
            </w:r>
          </w:p>
        </w:tc>
      </w:tr>
      <w:tr w:rsidR="003E0F31" w:rsidRPr="00956B56" w:rsidTr="00131A88">
        <w:tc>
          <w:tcPr>
            <w:tcW w:w="943" w:type="dxa"/>
            <w:vMerge/>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3E0F31" w:rsidRPr="00956B56" w:rsidRDefault="003E0F31" w:rsidP="001E12D7">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hint="cs"/>
                <w:rtl/>
              </w:rPr>
              <w:t>المسافة</w:t>
            </w:r>
            <w:r w:rsidRPr="00956B56">
              <w:rPr>
                <w:rFonts w:ascii="Simplified Arabic" w:hAnsi="Simplified Arabic" w:cs="Simplified Arabic" w:hint="cs"/>
                <w:rtl/>
              </w:rPr>
              <w:t xml:space="preserve"> الى </w:t>
            </w:r>
            <w:r>
              <w:rPr>
                <w:rFonts w:ascii="Simplified Arabic" w:hAnsi="Simplified Arabic" w:cs="Simplified Arabic" w:hint="cs"/>
                <w:rtl/>
              </w:rPr>
              <w:t>المرافق الصحية</w:t>
            </w:r>
          </w:p>
        </w:tc>
        <w:tc>
          <w:tcPr>
            <w:tcW w:w="1136" w:type="dxa"/>
            <w:shd w:val="clear" w:color="auto" w:fill="auto"/>
            <w:vAlign w:val="center"/>
          </w:tcPr>
          <w:p w:rsidR="003E0F31" w:rsidRPr="00956B56" w:rsidRDefault="003E0F31"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3E0F31" w:rsidRDefault="003E0F31"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Pr="00206B59">
              <w:rPr>
                <w:rFonts w:asciiTheme="majorBidi" w:hAnsiTheme="majorBidi" w:cstheme="majorBidi"/>
                <w:color w:val="000000"/>
                <w:sz w:val="21"/>
                <w:szCs w:val="21"/>
                <w:lang w:val="en-US"/>
              </w:rPr>
              <w:t>Javari</w:t>
            </w:r>
            <w:r w:rsidRPr="00EE7724">
              <w:rPr>
                <w:rFonts w:asciiTheme="majorBidi" w:hAnsiTheme="majorBidi" w:cstheme="majorBidi"/>
                <w:color w:val="000000"/>
                <w:sz w:val="21"/>
                <w:szCs w:val="21"/>
                <w:lang w:val="en-US"/>
              </w:rPr>
              <w:t xml:space="preserve"> </w:t>
            </w:r>
            <w:r w:rsidRPr="00956B56">
              <w:rPr>
                <w:rFonts w:asciiTheme="majorBidi" w:eastAsia="Times New Roman" w:hAnsiTheme="majorBidi" w:cstheme="majorBidi"/>
                <w:bCs/>
                <w:lang w:eastAsia="fr-FR"/>
              </w:rPr>
              <w:t xml:space="preserve">et al., </w:t>
            </w:r>
            <w:r>
              <w:rPr>
                <w:rFonts w:asciiTheme="majorBidi" w:eastAsia="Times New Roman" w:hAnsiTheme="majorBidi" w:cstheme="majorBidi"/>
                <w:bCs/>
                <w:lang w:eastAsia="fr-FR"/>
              </w:rPr>
              <w:t>2021</w:t>
            </w:r>
            <w:r w:rsidRPr="00956B56">
              <w:rPr>
                <w:rFonts w:asciiTheme="majorBidi" w:eastAsia="Times New Roman" w:hAnsiTheme="majorBidi" w:cstheme="majorBidi"/>
                <w:bCs/>
                <w:rtl/>
                <w:lang w:val="en-US" w:eastAsia="fr-FR"/>
              </w:rPr>
              <w:t>)</w:t>
            </w:r>
          </w:p>
        </w:tc>
      </w:tr>
      <w:tr w:rsidR="003E0F31" w:rsidRPr="00956B56" w:rsidTr="00131A88">
        <w:tc>
          <w:tcPr>
            <w:tcW w:w="943" w:type="dxa"/>
            <w:vMerge/>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3E0F31" w:rsidRPr="00956B56" w:rsidRDefault="003E0F31" w:rsidP="001E12D7">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hint="cs"/>
                <w:rtl/>
              </w:rPr>
              <w:t>المسافة</w:t>
            </w:r>
            <w:r w:rsidRPr="00956B56">
              <w:rPr>
                <w:rFonts w:ascii="Simplified Arabic" w:hAnsi="Simplified Arabic" w:cs="Simplified Arabic" w:hint="cs"/>
                <w:rtl/>
              </w:rPr>
              <w:t xml:space="preserve"> الى </w:t>
            </w:r>
            <w:r>
              <w:rPr>
                <w:rFonts w:ascii="Simplified Arabic" w:hAnsi="Simplified Arabic" w:cs="Simplified Arabic" w:hint="cs"/>
                <w:rtl/>
              </w:rPr>
              <w:t>المرافق الامنية</w:t>
            </w:r>
          </w:p>
        </w:tc>
        <w:tc>
          <w:tcPr>
            <w:tcW w:w="1136" w:type="dxa"/>
            <w:shd w:val="clear" w:color="auto" w:fill="auto"/>
            <w:vAlign w:val="center"/>
          </w:tcPr>
          <w:p w:rsidR="003E0F31" w:rsidRPr="00956B56" w:rsidRDefault="003E0F31"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3E0F31" w:rsidRDefault="003E0F31"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Pr="00206B59">
              <w:rPr>
                <w:rFonts w:asciiTheme="majorBidi" w:hAnsiTheme="majorBidi" w:cstheme="majorBidi"/>
                <w:color w:val="000000"/>
                <w:sz w:val="21"/>
                <w:szCs w:val="21"/>
                <w:lang w:val="en-US"/>
              </w:rPr>
              <w:t>Javari</w:t>
            </w:r>
            <w:r w:rsidRPr="00EE7724">
              <w:rPr>
                <w:rFonts w:asciiTheme="majorBidi" w:hAnsiTheme="majorBidi" w:cstheme="majorBidi"/>
                <w:color w:val="000000"/>
                <w:sz w:val="21"/>
                <w:szCs w:val="21"/>
                <w:lang w:val="en-US"/>
              </w:rPr>
              <w:t xml:space="preserve"> </w:t>
            </w:r>
            <w:r w:rsidRPr="00956B56">
              <w:rPr>
                <w:rFonts w:asciiTheme="majorBidi" w:eastAsia="Times New Roman" w:hAnsiTheme="majorBidi" w:cstheme="majorBidi"/>
                <w:bCs/>
                <w:lang w:eastAsia="fr-FR"/>
              </w:rPr>
              <w:t xml:space="preserve">et al., </w:t>
            </w:r>
            <w:r>
              <w:rPr>
                <w:rFonts w:asciiTheme="majorBidi" w:eastAsia="Times New Roman" w:hAnsiTheme="majorBidi" w:cstheme="majorBidi"/>
                <w:bCs/>
                <w:lang w:eastAsia="fr-FR"/>
              </w:rPr>
              <w:t>2021</w:t>
            </w:r>
            <w:r w:rsidRPr="00956B56">
              <w:rPr>
                <w:rFonts w:asciiTheme="majorBidi" w:eastAsia="Times New Roman" w:hAnsiTheme="majorBidi" w:cstheme="majorBidi"/>
                <w:bCs/>
                <w:rtl/>
                <w:lang w:val="en-US" w:eastAsia="fr-FR"/>
              </w:rPr>
              <w:t>)</w:t>
            </w:r>
          </w:p>
        </w:tc>
      </w:tr>
      <w:tr w:rsidR="003E0F31" w:rsidRPr="00956B56" w:rsidTr="00131A88">
        <w:tc>
          <w:tcPr>
            <w:tcW w:w="943" w:type="dxa"/>
            <w:vMerge/>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3E0F31" w:rsidRPr="00956B56" w:rsidRDefault="003E0F31" w:rsidP="001E12D7">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hint="cs"/>
                <w:rtl/>
              </w:rPr>
              <w:t>المسافة</w:t>
            </w:r>
            <w:r w:rsidRPr="00956B56">
              <w:rPr>
                <w:rFonts w:ascii="Simplified Arabic" w:hAnsi="Simplified Arabic" w:cs="Simplified Arabic" w:hint="cs"/>
                <w:rtl/>
              </w:rPr>
              <w:t xml:space="preserve"> الى </w:t>
            </w:r>
            <w:r>
              <w:rPr>
                <w:rFonts w:ascii="Simplified Arabic" w:hAnsi="Simplified Arabic" w:cs="Simplified Arabic" w:hint="cs"/>
                <w:rtl/>
              </w:rPr>
              <w:t>مرافق الانقاذ</w:t>
            </w:r>
          </w:p>
        </w:tc>
        <w:tc>
          <w:tcPr>
            <w:tcW w:w="1136" w:type="dxa"/>
            <w:shd w:val="clear" w:color="auto" w:fill="auto"/>
            <w:vAlign w:val="center"/>
          </w:tcPr>
          <w:p w:rsidR="003E0F31" w:rsidRPr="00956B56" w:rsidRDefault="003E0F31"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3E0F31" w:rsidRDefault="003E0F31"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Pr="00206B59">
              <w:rPr>
                <w:rFonts w:asciiTheme="majorBidi" w:hAnsiTheme="majorBidi" w:cstheme="majorBidi"/>
                <w:color w:val="000000"/>
                <w:sz w:val="21"/>
                <w:szCs w:val="21"/>
                <w:lang w:val="en-US"/>
              </w:rPr>
              <w:t>Javari</w:t>
            </w:r>
            <w:r w:rsidRPr="00EE7724">
              <w:rPr>
                <w:rFonts w:asciiTheme="majorBidi" w:hAnsiTheme="majorBidi" w:cstheme="majorBidi"/>
                <w:color w:val="000000"/>
                <w:sz w:val="21"/>
                <w:szCs w:val="21"/>
                <w:lang w:val="en-US"/>
              </w:rPr>
              <w:t xml:space="preserve"> </w:t>
            </w:r>
            <w:r w:rsidRPr="00956B56">
              <w:rPr>
                <w:rFonts w:asciiTheme="majorBidi" w:eastAsia="Times New Roman" w:hAnsiTheme="majorBidi" w:cstheme="majorBidi"/>
                <w:bCs/>
                <w:lang w:eastAsia="fr-FR"/>
              </w:rPr>
              <w:t xml:space="preserve">et al., </w:t>
            </w:r>
            <w:r>
              <w:rPr>
                <w:rFonts w:asciiTheme="majorBidi" w:eastAsia="Times New Roman" w:hAnsiTheme="majorBidi" w:cstheme="majorBidi"/>
                <w:bCs/>
                <w:lang w:eastAsia="fr-FR"/>
              </w:rPr>
              <w:t>2021</w:t>
            </w:r>
            <w:r w:rsidRPr="00956B56">
              <w:rPr>
                <w:rFonts w:asciiTheme="majorBidi" w:eastAsia="Times New Roman" w:hAnsiTheme="majorBidi" w:cstheme="majorBidi"/>
                <w:bCs/>
                <w:rtl/>
                <w:lang w:val="en-US" w:eastAsia="fr-FR"/>
              </w:rPr>
              <w:t>)</w:t>
            </w:r>
          </w:p>
        </w:tc>
      </w:tr>
      <w:tr w:rsidR="003E0F31" w:rsidRPr="00956B56" w:rsidTr="00131A88">
        <w:tc>
          <w:tcPr>
            <w:tcW w:w="943" w:type="dxa"/>
            <w:vMerge/>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3E0F31" w:rsidRPr="00956B56" w:rsidRDefault="003E0F31" w:rsidP="001E12D7">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hint="cs"/>
                <w:rtl/>
              </w:rPr>
              <w:t>المسافة</w:t>
            </w:r>
            <w:r w:rsidRPr="00956B56">
              <w:rPr>
                <w:rFonts w:ascii="Simplified Arabic" w:hAnsi="Simplified Arabic" w:cs="Simplified Arabic" w:hint="cs"/>
                <w:rtl/>
              </w:rPr>
              <w:t xml:space="preserve"> الى </w:t>
            </w:r>
            <w:r>
              <w:rPr>
                <w:rFonts w:ascii="Simplified Arabic" w:hAnsi="Simplified Arabic" w:cs="Simplified Arabic" w:hint="cs"/>
                <w:rtl/>
              </w:rPr>
              <w:t>المرافق التعليمية</w:t>
            </w:r>
          </w:p>
        </w:tc>
        <w:tc>
          <w:tcPr>
            <w:tcW w:w="1136" w:type="dxa"/>
            <w:shd w:val="clear" w:color="auto" w:fill="auto"/>
            <w:vAlign w:val="center"/>
          </w:tcPr>
          <w:p w:rsidR="003E0F31" w:rsidRPr="00956B56" w:rsidRDefault="003E0F31"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3E0F31" w:rsidRDefault="003E0F31"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Pr="00206B59">
              <w:rPr>
                <w:rFonts w:asciiTheme="majorBidi" w:hAnsiTheme="majorBidi" w:cstheme="majorBidi"/>
                <w:color w:val="000000"/>
                <w:sz w:val="21"/>
                <w:szCs w:val="21"/>
                <w:lang w:val="en-US"/>
              </w:rPr>
              <w:t>Javari</w:t>
            </w:r>
            <w:r w:rsidRPr="00EE7724">
              <w:rPr>
                <w:rFonts w:asciiTheme="majorBidi" w:hAnsiTheme="majorBidi" w:cstheme="majorBidi"/>
                <w:color w:val="000000"/>
                <w:sz w:val="21"/>
                <w:szCs w:val="21"/>
                <w:lang w:val="en-US"/>
              </w:rPr>
              <w:t xml:space="preserve"> </w:t>
            </w:r>
            <w:r w:rsidRPr="00956B56">
              <w:rPr>
                <w:rFonts w:asciiTheme="majorBidi" w:eastAsia="Times New Roman" w:hAnsiTheme="majorBidi" w:cstheme="majorBidi"/>
                <w:bCs/>
                <w:lang w:eastAsia="fr-FR"/>
              </w:rPr>
              <w:t xml:space="preserve">et al., </w:t>
            </w:r>
            <w:r>
              <w:rPr>
                <w:rFonts w:asciiTheme="majorBidi" w:eastAsia="Times New Roman" w:hAnsiTheme="majorBidi" w:cstheme="majorBidi"/>
                <w:bCs/>
                <w:lang w:eastAsia="fr-FR"/>
              </w:rPr>
              <w:t>2021</w:t>
            </w:r>
            <w:r w:rsidRPr="00956B56">
              <w:rPr>
                <w:rFonts w:asciiTheme="majorBidi" w:eastAsia="Times New Roman" w:hAnsiTheme="majorBidi" w:cstheme="majorBidi"/>
                <w:bCs/>
                <w:rtl/>
                <w:lang w:val="en-US" w:eastAsia="fr-FR"/>
              </w:rPr>
              <w:t>)</w:t>
            </w:r>
          </w:p>
        </w:tc>
      </w:tr>
      <w:tr w:rsidR="003E0F31" w:rsidRPr="00956B56" w:rsidTr="00131A88">
        <w:tc>
          <w:tcPr>
            <w:tcW w:w="943" w:type="dxa"/>
            <w:vMerge/>
            <w:shd w:val="clear" w:color="auto" w:fill="auto"/>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3E0F31" w:rsidRPr="00956B56" w:rsidRDefault="003E0F31" w:rsidP="001E12D7">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hint="cs"/>
                <w:rtl/>
              </w:rPr>
              <w:t>المسافة</w:t>
            </w:r>
            <w:r w:rsidRPr="00956B56">
              <w:rPr>
                <w:rFonts w:ascii="Simplified Arabic" w:hAnsi="Simplified Arabic" w:cs="Simplified Arabic" w:hint="cs"/>
                <w:rtl/>
              </w:rPr>
              <w:t xml:space="preserve"> الى </w:t>
            </w:r>
            <w:r>
              <w:rPr>
                <w:rFonts w:ascii="Simplified Arabic" w:hAnsi="Simplified Arabic" w:cs="Simplified Arabic" w:hint="cs"/>
                <w:rtl/>
              </w:rPr>
              <w:t>المرافق الدينية/الثقافية</w:t>
            </w:r>
          </w:p>
        </w:tc>
        <w:tc>
          <w:tcPr>
            <w:tcW w:w="1136" w:type="dxa"/>
            <w:shd w:val="clear" w:color="auto" w:fill="auto"/>
            <w:vAlign w:val="center"/>
          </w:tcPr>
          <w:p w:rsidR="003E0F31" w:rsidRPr="00956B56" w:rsidRDefault="003E0F31"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3E0F31" w:rsidRDefault="003E0F31"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3E0F31" w:rsidRPr="00956B56" w:rsidRDefault="003E0F31"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3E0F31" w:rsidRPr="00956B56" w:rsidRDefault="003E0F31"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Pr="00206B59">
              <w:rPr>
                <w:rFonts w:asciiTheme="majorBidi" w:hAnsiTheme="majorBidi" w:cstheme="majorBidi"/>
                <w:color w:val="000000"/>
                <w:sz w:val="21"/>
                <w:szCs w:val="21"/>
                <w:lang w:val="en-US"/>
              </w:rPr>
              <w:t>Javari</w:t>
            </w:r>
            <w:r w:rsidRPr="00EE7724">
              <w:rPr>
                <w:rFonts w:asciiTheme="majorBidi" w:hAnsiTheme="majorBidi" w:cstheme="majorBidi"/>
                <w:color w:val="000000"/>
                <w:sz w:val="21"/>
                <w:szCs w:val="21"/>
                <w:lang w:val="en-US"/>
              </w:rPr>
              <w:t xml:space="preserve"> </w:t>
            </w:r>
            <w:r w:rsidRPr="00956B56">
              <w:rPr>
                <w:rFonts w:asciiTheme="majorBidi" w:eastAsia="Times New Roman" w:hAnsiTheme="majorBidi" w:cstheme="majorBidi"/>
                <w:bCs/>
                <w:lang w:eastAsia="fr-FR"/>
              </w:rPr>
              <w:t xml:space="preserve">et al., </w:t>
            </w:r>
            <w:r>
              <w:rPr>
                <w:rFonts w:asciiTheme="majorBidi" w:eastAsia="Times New Roman" w:hAnsiTheme="majorBidi" w:cstheme="majorBidi"/>
                <w:bCs/>
                <w:lang w:eastAsia="fr-FR"/>
              </w:rPr>
              <w:t>2021</w:t>
            </w:r>
            <w:r w:rsidRPr="00956B56">
              <w:rPr>
                <w:rFonts w:asciiTheme="majorBidi" w:eastAsia="Times New Roman" w:hAnsiTheme="majorBidi" w:cstheme="majorBidi"/>
                <w:bCs/>
                <w:rtl/>
                <w:lang w:val="en-US" w:eastAsia="fr-FR"/>
              </w:rPr>
              <w:t>)</w:t>
            </w:r>
          </w:p>
        </w:tc>
      </w:tr>
      <w:tr w:rsidR="00BC7AB6" w:rsidRPr="00956B56" w:rsidTr="00131A88">
        <w:tc>
          <w:tcPr>
            <w:tcW w:w="943" w:type="dxa"/>
            <w:vMerge/>
            <w:shd w:val="clear" w:color="auto" w:fill="auto"/>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BC7AB6" w:rsidRPr="007A57BA" w:rsidRDefault="00BC7AB6" w:rsidP="00BC7AB6">
            <w:pPr>
              <w:autoSpaceDE w:val="0"/>
              <w:autoSpaceDN w:val="0"/>
              <w:bidi/>
              <w:adjustRightInd w:val="0"/>
              <w:spacing w:after="0" w:line="240" w:lineRule="auto"/>
              <w:rPr>
                <w:rFonts w:ascii="Simplified Arabic" w:hAnsi="Simplified Arabic" w:cs="Simplified Arabic"/>
                <w:rtl/>
              </w:rPr>
            </w:pPr>
            <w:r w:rsidRPr="007A57BA">
              <w:rPr>
                <w:rFonts w:ascii="Simplified Arabic" w:eastAsia="Times New Roman" w:hAnsi="Simplified Arabic" w:cs="Simplified Arabic" w:hint="cs"/>
                <w:color w:val="000000"/>
                <w:rtl/>
                <w:lang w:eastAsia="fr-FR"/>
              </w:rPr>
              <w:t xml:space="preserve">عمق </w:t>
            </w:r>
            <w:r w:rsidRPr="007A57BA">
              <w:rPr>
                <w:rFonts w:ascii="Simplified Arabic" w:eastAsia="Times New Roman" w:hAnsi="Simplified Arabic" w:cs="Simplified Arabic"/>
                <w:color w:val="000000"/>
                <w:rtl/>
                <w:lang w:eastAsia="fr-FR"/>
              </w:rPr>
              <w:t>الطرق</w:t>
            </w:r>
            <w:r>
              <w:rPr>
                <w:rFonts w:ascii="Simplified Arabic" w:eastAsia="Times New Roman" w:hAnsi="Simplified Arabic" w:cs="Simplified Arabic" w:hint="cs"/>
                <w:color w:val="000000"/>
                <w:rtl/>
                <w:lang w:eastAsia="fr-FR"/>
              </w:rPr>
              <w:t xml:space="preserve"> الشريانية</w:t>
            </w:r>
          </w:p>
        </w:tc>
        <w:tc>
          <w:tcPr>
            <w:tcW w:w="1136" w:type="dxa"/>
            <w:shd w:val="clear" w:color="auto" w:fill="auto"/>
            <w:vAlign w:val="center"/>
          </w:tcPr>
          <w:p w:rsidR="00BC7AB6" w:rsidRPr="00956B56" w:rsidRDefault="00BC7AB6"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r>
              <w:rPr>
                <w:rFonts w:ascii="Simplified Arabic" w:hAnsi="Simplified Arabic" w:cs="Simplified Arabic" w:hint="cs"/>
                <w:rtl/>
              </w:rPr>
              <w:t>نعم</w:t>
            </w:r>
          </w:p>
        </w:tc>
        <w:tc>
          <w:tcPr>
            <w:tcW w:w="984" w:type="dxa"/>
            <w:vAlign w:val="center"/>
          </w:tcPr>
          <w:p w:rsidR="00BC7AB6" w:rsidRPr="00956B56" w:rsidRDefault="00BC7AB6" w:rsidP="007D2D9A">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BC7AB6" w:rsidRPr="00956B56" w:rsidRDefault="00BC7AB6" w:rsidP="009007C6">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009007C6">
              <w:rPr>
                <w:rFonts w:asciiTheme="majorBidi" w:hAnsiTheme="majorBidi" w:cstheme="majorBidi"/>
                <w:color w:val="000000"/>
                <w:sz w:val="21"/>
                <w:szCs w:val="21"/>
                <w:lang w:val="en-US"/>
              </w:rPr>
              <w:t>Feliciotti</w:t>
            </w:r>
            <w:r w:rsidRPr="00956B56">
              <w:rPr>
                <w:rFonts w:asciiTheme="majorBidi" w:eastAsia="Times New Roman" w:hAnsiTheme="majorBidi" w:cstheme="majorBidi"/>
                <w:bCs/>
                <w:lang w:eastAsia="fr-FR"/>
              </w:rPr>
              <w:t xml:space="preserve">, </w:t>
            </w:r>
            <w:r w:rsidR="009007C6">
              <w:rPr>
                <w:rFonts w:asciiTheme="majorBidi" w:eastAsia="Times New Roman" w:hAnsiTheme="majorBidi" w:cstheme="majorBidi"/>
                <w:bCs/>
                <w:lang w:eastAsia="fr-FR"/>
              </w:rPr>
              <w:t>2018</w:t>
            </w:r>
            <w:r w:rsidRPr="00956B56">
              <w:rPr>
                <w:rFonts w:asciiTheme="majorBidi" w:eastAsia="Times New Roman" w:hAnsiTheme="majorBidi" w:cstheme="majorBidi"/>
                <w:bCs/>
                <w:rtl/>
                <w:lang w:val="en-US" w:eastAsia="fr-FR"/>
              </w:rPr>
              <w:t>)</w:t>
            </w:r>
          </w:p>
        </w:tc>
      </w:tr>
      <w:tr w:rsidR="00BC7AB6" w:rsidRPr="00956B56" w:rsidTr="00131A88">
        <w:tc>
          <w:tcPr>
            <w:tcW w:w="943" w:type="dxa"/>
            <w:vMerge/>
            <w:shd w:val="clear" w:color="auto" w:fill="auto"/>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BC7AB6" w:rsidRPr="00956B56" w:rsidRDefault="00BC7AB6" w:rsidP="001E12D7">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hint="cs"/>
                <w:rtl/>
              </w:rPr>
              <w:t>المسافة</w:t>
            </w:r>
            <w:r w:rsidRPr="00956B56">
              <w:rPr>
                <w:rFonts w:ascii="Simplified Arabic" w:hAnsi="Simplified Arabic" w:cs="Simplified Arabic" w:hint="cs"/>
                <w:rtl/>
              </w:rPr>
              <w:t xml:space="preserve"> الى المساحات المفتوحة</w:t>
            </w:r>
          </w:p>
        </w:tc>
        <w:tc>
          <w:tcPr>
            <w:tcW w:w="1136" w:type="dxa"/>
            <w:shd w:val="clear" w:color="auto" w:fill="auto"/>
            <w:vAlign w:val="center"/>
          </w:tcPr>
          <w:p w:rsidR="00BC7AB6" w:rsidRPr="00956B56" w:rsidRDefault="00BC7AB6" w:rsidP="001E12D7">
            <w:pPr>
              <w:spacing w:after="0" w:line="240" w:lineRule="auto"/>
              <w:jc w:val="center"/>
            </w:pPr>
            <w:r w:rsidRPr="00956B56">
              <w:rPr>
                <w:rFonts w:ascii="Simplified Arabic" w:hAnsi="Simplified Arabic" w:cs="Simplified Arabic"/>
                <w:rtl/>
              </w:rPr>
              <w:t>(+)</w:t>
            </w:r>
          </w:p>
        </w:tc>
        <w:tc>
          <w:tcPr>
            <w:tcW w:w="982" w:type="dxa"/>
            <w:shd w:val="clear" w:color="auto" w:fill="auto"/>
            <w:vAlign w:val="center"/>
          </w:tcPr>
          <w:p w:rsidR="00BC7AB6" w:rsidRDefault="00BC7AB6"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BC7AB6" w:rsidRPr="00956B56" w:rsidRDefault="00BC7AB6"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Pr="00206B59">
              <w:rPr>
                <w:rFonts w:asciiTheme="majorBidi" w:eastAsia="Times New Roman" w:hAnsiTheme="majorBidi" w:cstheme="majorBidi"/>
                <w:bCs/>
                <w:lang w:eastAsia="fr-FR"/>
              </w:rPr>
              <w:t>Sharifi et al., 2021</w:t>
            </w:r>
            <w:r w:rsidRPr="00956B56">
              <w:rPr>
                <w:rFonts w:asciiTheme="majorBidi" w:eastAsia="Times New Roman" w:hAnsiTheme="majorBidi" w:cstheme="majorBidi"/>
                <w:bCs/>
                <w:rtl/>
                <w:lang w:val="en-US" w:eastAsia="fr-FR"/>
              </w:rPr>
              <w:t>)</w:t>
            </w:r>
          </w:p>
        </w:tc>
      </w:tr>
      <w:tr w:rsidR="00BC7AB6" w:rsidRPr="00956B56" w:rsidTr="00131A88">
        <w:tc>
          <w:tcPr>
            <w:tcW w:w="943" w:type="dxa"/>
            <w:vMerge/>
            <w:shd w:val="clear" w:color="auto" w:fill="auto"/>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BC7AB6" w:rsidRPr="00956B56" w:rsidRDefault="00BC7AB6" w:rsidP="001E12D7">
            <w:pPr>
              <w:autoSpaceDE w:val="0"/>
              <w:autoSpaceDN w:val="0"/>
              <w:bidi/>
              <w:adjustRightInd w:val="0"/>
              <w:spacing w:after="0" w:line="240" w:lineRule="auto"/>
              <w:rPr>
                <w:rFonts w:ascii="Simplified Arabic" w:hAnsi="Simplified Arabic" w:cs="Simplified Arabic"/>
                <w:rtl/>
              </w:rPr>
            </w:pPr>
            <w:r>
              <w:rPr>
                <w:rFonts w:ascii="Simplified Arabic" w:hAnsi="Simplified Arabic" w:cs="Simplified Arabic" w:hint="cs"/>
                <w:rtl/>
              </w:rPr>
              <w:t>المسافة الى شبكة النقل</w:t>
            </w:r>
          </w:p>
        </w:tc>
        <w:tc>
          <w:tcPr>
            <w:tcW w:w="1136" w:type="dxa"/>
            <w:shd w:val="clear" w:color="auto" w:fill="auto"/>
            <w:vAlign w:val="center"/>
          </w:tcPr>
          <w:p w:rsidR="00BC7AB6" w:rsidRPr="00956B56" w:rsidRDefault="00BC7AB6"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r>
              <w:rPr>
                <w:rFonts w:ascii="Simplified Arabic" w:hAnsi="Simplified Arabic" w:cs="Simplified Arabic" w:hint="cs"/>
                <w:rtl/>
              </w:rPr>
              <w:t>لا</w:t>
            </w:r>
          </w:p>
        </w:tc>
        <w:tc>
          <w:tcPr>
            <w:tcW w:w="984" w:type="dxa"/>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r>
              <w:rPr>
                <w:rFonts w:ascii="Simplified Arabic" w:hAnsi="Simplified Arabic" w:cs="Simplified Arabic" w:hint="cs"/>
                <w:rtl/>
              </w:rPr>
              <w:t>شاملة</w:t>
            </w:r>
          </w:p>
        </w:tc>
        <w:tc>
          <w:tcPr>
            <w:tcW w:w="2377" w:type="dxa"/>
            <w:shd w:val="clear" w:color="auto" w:fill="auto"/>
            <w:vAlign w:val="center"/>
          </w:tcPr>
          <w:p w:rsidR="00BC7AB6" w:rsidRPr="00956B56" w:rsidRDefault="00BC7AB6" w:rsidP="001E12D7">
            <w:pPr>
              <w:autoSpaceDE w:val="0"/>
              <w:autoSpaceDN w:val="0"/>
              <w:bidi/>
              <w:adjustRightInd w:val="0"/>
              <w:spacing w:after="0" w:line="240" w:lineRule="auto"/>
              <w:jc w:val="center"/>
              <w:rPr>
                <w:rFonts w:asciiTheme="majorBidi" w:hAnsiTheme="majorBidi" w:cstheme="majorBidi"/>
                <w:rtl/>
              </w:rPr>
            </w:pPr>
            <w:r w:rsidRPr="00956B56">
              <w:rPr>
                <w:rFonts w:asciiTheme="majorBidi" w:eastAsia="Times New Roman" w:hAnsiTheme="majorBidi" w:cstheme="majorBidi"/>
                <w:bCs/>
                <w:rtl/>
                <w:lang w:val="en-US" w:eastAsia="fr-FR"/>
              </w:rPr>
              <w:t>(</w:t>
            </w:r>
            <w:r w:rsidRPr="00206B59">
              <w:rPr>
                <w:rFonts w:asciiTheme="majorBidi" w:hAnsiTheme="majorBidi" w:cstheme="majorBidi"/>
                <w:color w:val="000000" w:themeColor="text1"/>
                <w:sz w:val="24"/>
                <w:szCs w:val="24"/>
                <w:lang w:val="en-US" w:bidi="ar-DZ"/>
              </w:rPr>
              <w:t>Cutter</w:t>
            </w:r>
            <w:r w:rsidRPr="00956B56">
              <w:rPr>
                <w:rFonts w:asciiTheme="majorBidi" w:eastAsia="Times New Roman" w:hAnsiTheme="majorBidi" w:cstheme="majorBidi"/>
                <w:bCs/>
                <w:lang w:eastAsia="fr-FR"/>
              </w:rPr>
              <w:t xml:space="preserve">, </w:t>
            </w:r>
            <w:r>
              <w:rPr>
                <w:rFonts w:asciiTheme="majorBidi" w:eastAsia="Times New Roman" w:hAnsiTheme="majorBidi" w:cstheme="majorBidi"/>
                <w:bCs/>
                <w:lang w:eastAsia="fr-FR"/>
              </w:rPr>
              <w:t>2008</w:t>
            </w:r>
            <w:r w:rsidRPr="00956B56">
              <w:rPr>
                <w:rFonts w:asciiTheme="majorBidi" w:eastAsia="Times New Roman" w:hAnsiTheme="majorBidi" w:cstheme="majorBidi"/>
                <w:bCs/>
                <w:rtl/>
                <w:lang w:val="en-US" w:eastAsia="fr-FR"/>
              </w:rPr>
              <w:t>)</w:t>
            </w:r>
          </w:p>
        </w:tc>
      </w:tr>
      <w:tr w:rsidR="00BC7AB6" w:rsidRPr="00D902D8" w:rsidTr="00131A88">
        <w:tc>
          <w:tcPr>
            <w:tcW w:w="943" w:type="dxa"/>
            <w:vMerge/>
            <w:shd w:val="clear" w:color="auto" w:fill="auto"/>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p>
        </w:tc>
        <w:tc>
          <w:tcPr>
            <w:tcW w:w="2508" w:type="dxa"/>
            <w:shd w:val="clear" w:color="auto" w:fill="auto"/>
            <w:vAlign w:val="center"/>
          </w:tcPr>
          <w:p w:rsidR="00BC7AB6" w:rsidRPr="00956B56" w:rsidRDefault="00BC7AB6" w:rsidP="001E12D7">
            <w:pPr>
              <w:autoSpaceDE w:val="0"/>
              <w:autoSpaceDN w:val="0"/>
              <w:bidi/>
              <w:adjustRightInd w:val="0"/>
              <w:spacing w:after="0" w:line="240" w:lineRule="auto"/>
              <w:rPr>
                <w:rFonts w:ascii="Simplified Arabic" w:hAnsi="Simplified Arabic" w:cs="Simplified Arabic"/>
                <w:rtl/>
              </w:rPr>
            </w:pPr>
            <w:r w:rsidRPr="00A0335D">
              <w:rPr>
                <w:rFonts w:asciiTheme="minorBidi" w:hAnsiTheme="minorBidi" w:cs="Arial" w:hint="cs"/>
                <w:rtl/>
                <w:lang w:val="en-US"/>
              </w:rPr>
              <w:t>المساحة</w:t>
            </w:r>
            <w:r w:rsidRPr="00A0335D">
              <w:rPr>
                <w:rFonts w:asciiTheme="minorBidi" w:hAnsiTheme="minorBidi" w:cs="Arial"/>
                <w:rtl/>
                <w:lang w:val="en-US"/>
              </w:rPr>
              <w:t xml:space="preserve"> </w:t>
            </w:r>
            <w:r w:rsidRPr="00A0335D">
              <w:rPr>
                <w:rFonts w:asciiTheme="minorBidi" w:hAnsiTheme="minorBidi" w:cs="Arial" w:hint="cs"/>
                <w:rtl/>
                <w:lang w:val="en-US"/>
              </w:rPr>
              <w:t>الخضراء</w:t>
            </w:r>
            <w:r w:rsidRPr="00A0335D">
              <w:rPr>
                <w:rFonts w:asciiTheme="minorBidi" w:hAnsiTheme="minorBidi" w:cs="Arial"/>
                <w:rtl/>
                <w:lang w:val="en-US"/>
              </w:rPr>
              <w:t xml:space="preserve"> </w:t>
            </w:r>
            <w:r w:rsidRPr="00A0335D">
              <w:rPr>
                <w:rFonts w:asciiTheme="minorBidi" w:hAnsiTheme="minorBidi" w:cs="Arial" w:hint="cs"/>
                <w:rtl/>
                <w:lang w:val="en-US"/>
              </w:rPr>
              <w:t>للفرد</w:t>
            </w:r>
          </w:p>
        </w:tc>
        <w:tc>
          <w:tcPr>
            <w:tcW w:w="1136" w:type="dxa"/>
            <w:shd w:val="clear" w:color="auto" w:fill="auto"/>
            <w:vAlign w:val="center"/>
          </w:tcPr>
          <w:p w:rsidR="00BC7AB6" w:rsidRPr="00956B56" w:rsidRDefault="00BC7AB6" w:rsidP="001E12D7">
            <w:pPr>
              <w:spacing w:after="0" w:line="240" w:lineRule="auto"/>
              <w:jc w:val="center"/>
            </w:pPr>
            <w:r>
              <w:rPr>
                <w:rFonts w:ascii="Simplified Arabic" w:hAnsi="Simplified Arabic" w:cs="Simplified Arabic"/>
                <w:rtl/>
              </w:rPr>
              <w:t>(+</w:t>
            </w:r>
            <w:r w:rsidRPr="00956B56">
              <w:rPr>
                <w:rFonts w:ascii="Simplified Arabic" w:hAnsi="Simplified Arabic" w:cs="Simplified Arabic"/>
                <w:rtl/>
              </w:rPr>
              <w:t>)</w:t>
            </w:r>
          </w:p>
        </w:tc>
        <w:tc>
          <w:tcPr>
            <w:tcW w:w="982" w:type="dxa"/>
            <w:shd w:val="clear" w:color="auto" w:fill="auto"/>
            <w:vAlign w:val="center"/>
          </w:tcPr>
          <w:p w:rsidR="00BC7AB6" w:rsidRDefault="00BC7AB6" w:rsidP="001E12D7">
            <w:pPr>
              <w:spacing w:after="0" w:line="240" w:lineRule="auto"/>
              <w:jc w:val="center"/>
            </w:pPr>
            <w:r w:rsidRPr="00E72AFC">
              <w:rPr>
                <w:rFonts w:ascii="Simplified Arabic" w:hAnsi="Simplified Arabic" w:cs="Simplified Arabic" w:hint="cs"/>
                <w:rtl/>
              </w:rPr>
              <w:t>نعم</w:t>
            </w:r>
          </w:p>
        </w:tc>
        <w:tc>
          <w:tcPr>
            <w:tcW w:w="984" w:type="dxa"/>
            <w:vAlign w:val="center"/>
          </w:tcPr>
          <w:p w:rsidR="00BC7AB6" w:rsidRPr="00956B56" w:rsidRDefault="00BC7AB6" w:rsidP="001E12D7">
            <w:pPr>
              <w:autoSpaceDE w:val="0"/>
              <w:autoSpaceDN w:val="0"/>
              <w:bidi/>
              <w:adjustRightInd w:val="0"/>
              <w:spacing w:after="0" w:line="240" w:lineRule="auto"/>
              <w:jc w:val="center"/>
              <w:rPr>
                <w:rFonts w:ascii="Simplified Arabic" w:hAnsi="Simplified Arabic" w:cs="Simplified Arabic"/>
                <w:rtl/>
              </w:rPr>
            </w:pPr>
            <w:r w:rsidRPr="00956B56">
              <w:rPr>
                <w:rFonts w:ascii="Simplified Arabic" w:hAnsi="Simplified Arabic" w:cs="Simplified Arabic" w:hint="cs"/>
                <w:rtl/>
              </w:rPr>
              <w:t>دراسة حالة</w:t>
            </w:r>
          </w:p>
        </w:tc>
        <w:tc>
          <w:tcPr>
            <w:tcW w:w="2377" w:type="dxa"/>
            <w:shd w:val="clear" w:color="auto" w:fill="auto"/>
            <w:vAlign w:val="center"/>
          </w:tcPr>
          <w:p w:rsidR="00BC7AB6" w:rsidRPr="000D7779" w:rsidRDefault="00BC7AB6" w:rsidP="001E12D7">
            <w:pPr>
              <w:autoSpaceDE w:val="0"/>
              <w:autoSpaceDN w:val="0"/>
              <w:bidi/>
              <w:adjustRightInd w:val="0"/>
              <w:spacing w:after="0" w:line="240" w:lineRule="auto"/>
              <w:jc w:val="center"/>
              <w:rPr>
                <w:rFonts w:asciiTheme="majorBidi" w:hAnsiTheme="majorBidi" w:cstheme="majorBidi"/>
                <w:color w:val="000000" w:themeColor="text1"/>
                <w:rtl/>
                <w:lang w:val="en-US" w:bidi="ar-DZ"/>
              </w:rPr>
            </w:pPr>
            <w:r w:rsidRPr="000D7779">
              <w:rPr>
                <w:rFonts w:asciiTheme="majorBidi" w:hAnsiTheme="majorBidi" w:cstheme="majorBidi"/>
                <w:color w:val="000000" w:themeColor="text1"/>
                <w:rtl/>
                <w:lang w:val="en-US" w:bidi="ar-DZ"/>
              </w:rPr>
              <w:t>(</w:t>
            </w:r>
            <w:r w:rsidRPr="00206B59">
              <w:rPr>
                <w:rFonts w:asciiTheme="majorBidi" w:hAnsiTheme="majorBidi" w:cstheme="majorBidi"/>
                <w:color w:val="000000" w:themeColor="text1"/>
                <w:lang w:val="en-US" w:bidi="ar-DZ"/>
              </w:rPr>
              <w:t>Haghighi</w:t>
            </w:r>
            <w:r w:rsidRPr="000D7779">
              <w:rPr>
                <w:rFonts w:asciiTheme="majorBidi" w:hAnsiTheme="majorBidi" w:cstheme="majorBidi"/>
                <w:color w:val="000000" w:themeColor="text1"/>
                <w:lang w:val="en-US" w:bidi="ar-DZ"/>
              </w:rPr>
              <w:t xml:space="preserve"> Fard and Doratli, </w:t>
            </w:r>
            <w:r>
              <w:rPr>
                <w:rFonts w:asciiTheme="majorBidi" w:hAnsiTheme="majorBidi" w:cstheme="majorBidi"/>
                <w:color w:val="000000" w:themeColor="text1"/>
                <w:lang w:val="en-US" w:bidi="ar-DZ"/>
              </w:rPr>
              <w:t>2022</w:t>
            </w:r>
            <w:r w:rsidRPr="000D7779">
              <w:rPr>
                <w:rFonts w:asciiTheme="majorBidi" w:hAnsiTheme="majorBidi" w:cstheme="majorBidi"/>
                <w:color w:val="000000" w:themeColor="text1"/>
                <w:rtl/>
                <w:lang w:val="en-US" w:bidi="ar-DZ"/>
              </w:rPr>
              <w:t>)</w:t>
            </w:r>
          </w:p>
        </w:tc>
      </w:tr>
    </w:tbl>
    <w:p w:rsidR="003E0F31" w:rsidRPr="005F673F" w:rsidRDefault="003E0F31" w:rsidP="00131A88">
      <w:pPr>
        <w:pStyle w:val="Paragraphedeliste"/>
        <w:numPr>
          <w:ilvl w:val="1"/>
          <w:numId w:val="15"/>
        </w:numPr>
        <w:tabs>
          <w:tab w:val="right" w:pos="567"/>
        </w:tabs>
        <w:bidi/>
        <w:spacing w:before="240" w:after="0"/>
        <w:ind w:left="0" w:firstLine="0"/>
        <w:outlineLvl w:val="0"/>
        <w:rPr>
          <w:rFonts w:ascii="Simplified Arabic" w:hAnsi="Simplified Arabic" w:cs="Simplified Arabic"/>
          <w:b/>
          <w:bCs/>
          <w:sz w:val="24"/>
          <w:szCs w:val="24"/>
          <w:rtl/>
          <w:lang w:bidi="ar-DZ"/>
        </w:rPr>
      </w:pPr>
      <w:bookmarkStart w:id="382" w:name="_Toc171803497"/>
      <w:r w:rsidRPr="005F673F">
        <w:rPr>
          <w:rFonts w:ascii="Simplified Arabic" w:hAnsi="Simplified Arabic" w:cs="Simplified Arabic" w:hint="cs"/>
          <w:b/>
          <w:bCs/>
          <w:sz w:val="24"/>
          <w:szCs w:val="24"/>
          <w:rtl/>
          <w:lang w:bidi="ar-DZ"/>
        </w:rPr>
        <w:t>ملخص</w:t>
      </w:r>
      <w:r w:rsidRPr="005F673F">
        <w:rPr>
          <w:rFonts w:ascii="Simplified Arabic" w:hAnsi="Simplified Arabic" w:cs="Simplified Arabic"/>
          <w:b/>
          <w:bCs/>
          <w:sz w:val="24"/>
          <w:szCs w:val="24"/>
          <w:rtl/>
          <w:lang w:bidi="ar-DZ"/>
        </w:rPr>
        <w:t xml:space="preserve"> </w:t>
      </w:r>
      <w:r w:rsidRPr="005F673F">
        <w:rPr>
          <w:rFonts w:ascii="Simplified Arabic" w:hAnsi="Simplified Arabic" w:cs="Simplified Arabic" w:hint="cs"/>
          <w:b/>
          <w:bCs/>
          <w:sz w:val="24"/>
          <w:szCs w:val="24"/>
          <w:rtl/>
          <w:lang w:bidi="ar-DZ"/>
        </w:rPr>
        <w:t>الفجوة العلمية</w:t>
      </w:r>
      <w:r w:rsidRPr="005F673F">
        <w:rPr>
          <w:rFonts w:ascii="Simplified Arabic" w:hAnsi="Simplified Arabic" w:cs="Simplified Arabic"/>
          <w:b/>
          <w:bCs/>
          <w:sz w:val="24"/>
          <w:szCs w:val="24"/>
          <w:rtl/>
          <w:lang w:bidi="ar-DZ"/>
        </w:rPr>
        <w:t xml:space="preserve"> </w:t>
      </w:r>
      <w:r w:rsidRPr="005F673F">
        <w:rPr>
          <w:rFonts w:ascii="Simplified Arabic" w:hAnsi="Simplified Arabic" w:cs="Simplified Arabic" w:hint="cs"/>
          <w:b/>
          <w:bCs/>
          <w:sz w:val="24"/>
          <w:szCs w:val="24"/>
          <w:rtl/>
          <w:lang w:bidi="ar-DZ"/>
        </w:rPr>
        <w:t>وأسئلة</w:t>
      </w:r>
      <w:r w:rsidRPr="005F673F">
        <w:rPr>
          <w:rFonts w:ascii="Simplified Arabic" w:hAnsi="Simplified Arabic" w:cs="Simplified Arabic"/>
          <w:b/>
          <w:bCs/>
          <w:sz w:val="24"/>
          <w:szCs w:val="24"/>
          <w:rtl/>
          <w:lang w:bidi="ar-DZ"/>
        </w:rPr>
        <w:t xml:space="preserve"> </w:t>
      </w:r>
      <w:r w:rsidRPr="005F673F">
        <w:rPr>
          <w:rFonts w:ascii="Simplified Arabic" w:hAnsi="Simplified Arabic" w:cs="Simplified Arabic" w:hint="cs"/>
          <w:b/>
          <w:bCs/>
          <w:sz w:val="24"/>
          <w:szCs w:val="24"/>
          <w:rtl/>
          <w:lang w:bidi="ar-DZ"/>
        </w:rPr>
        <w:t>البحث</w:t>
      </w:r>
      <w:bookmarkEnd w:id="382"/>
    </w:p>
    <w:p w:rsidR="003E0F31" w:rsidRPr="00EE19D4" w:rsidRDefault="003E0F31" w:rsidP="00922CDC">
      <w:pPr>
        <w:shd w:val="clear" w:color="auto" w:fill="FFFFFF" w:themeFill="background1"/>
        <w:bidi/>
        <w:spacing w:after="0"/>
        <w:ind w:firstLine="282"/>
        <w:jc w:val="both"/>
        <w:rPr>
          <w:rFonts w:ascii="Simplified Arabic" w:hAnsi="Simplified Arabic" w:cs="Simplified Arabic"/>
          <w:sz w:val="24"/>
          <w:szCs w:val="24"/>
          <w:rtl/>
          <w:lang w:val="en-US" w:bidi="ar-DZ"/>
        </w:rPr>
      </w:pPr>
      <w:r w:rsidRPr="00D05884">
        <w:rPr>
          <w:rFonts w:ascii="Simplified Arabic" w:hAnsi="Simplified Arabic" w:cs="Simplified Arabic"/>
          <w:sz w:val="24"/>
          <w:szCs w:val="24"/>
          <w:rtl/>
          <w:lang w:val="en-US"/>
        </w:rPr>
        <w:t xml:space="preserve">كشف التحليل النقدي </w:t>
      </w:r>
      <w:r w:rsidR="00922CDC">
        <w:rPr>
          <w:rFonts w:ascii="Simplified Arabic" w:hAnsi="Simplified Arabic" w:cs="Simplified Arabic" w:hint="cs"/>
          <w:sz w:val="24"/>
          <w:szCs w:val="24"/>
          <w:rtl/>
          <w:lang w:val="en-US"/>
        </w:rPr>
        <w:t>للأطر</w:t>
      </w:r>
      <w:r>
        <w:rPr>
          <w:rFonts w:ascii="Simplified Arabic" w:hAnsi="Simplified Arabic" w:cs="Simplified Arabic" w:hint="cs"/>
          <w:sz w:val="24"/>
          <w:szCs w:val="24"/>
          <w:rtl/>
          <w:lang w:val="en-US"/>
        </w:rPr>
        <w:t xml:space="preserve"> والنماذج</w:t>
      </w:r>
      <w:r w:rsidRPr="00D05884">
        <w:rPr>
          <w:rFonts w:ascii="Simplified Arabic" w:hAnsi="Simplified Arabic" w:cs="Simplified Arabic"/>
          <w:sz w:val="24"/>
          <w:szCs w:val="24"/>
          <w:rtl/>
          <w:lang w:val="en-US"/>
        </w:rPr>
        <w:t xml:space="preserve"> الحالية عن </w:t>
      </w:r>
      <w:r>
        <w:rPr>
          <w:rFonts w:ascii="Simplified Arabic" w:hAnsi="Simplified Arabic" w:cs="Simplified Arabic" w:hint="cs"/>
          <w:sz w:val="24"/>
          <w:szCs w:val="24"/>
          <w:rtl/>
          <w:lang w:val="en-US"/>
        </w:rPr>
        <w:t>فجوات</w:t>
      </w:r>
      <w:r w:rsidRPr="00D05884">
        <w:rPr>
          <w:rFonts w:ascii="Simplified Arabic" w:hAnsi="Simplified Arabic" w:cs="Simplified Arabic"/>
          <w:sz w:val="24"/>
          <w:szCs w:val="24"/>
          <w:rtl/>
          <w:lang w:val="en-US"/>
        </w:rPr>
        <w:t xml:space="preserve"> مهمة في </w:t>
      </w:r>
      <w:r>
        <w:rPr>
          <w:rFonts w:ascii="Simplified Arabic" w:hAnsi="Simplified Arabic" w:cs="Simplified Arabic" w:hint="cs"/>
          <w:sz w:val="24"/>
          <w:szCs w:val="24"/>
          <w:rtl/>
          <w:lang w:val="en-US"/>
        </w:rPr>
        <w:t>طرق تقييم و</w:t>
      </w:r>
      <w:r w:rsidRPr="00D05884">
        <w:rPr>
          <w:rFonts w:ascii="Simplified Arabic" w:hAnsi="Simplified Arabic" w:cs="Simplified Arabic"/>
          <w:sz w:val="24"/>
          <w:szCs w:val="24"/>
          <w:rtl/>
          <w:lang w:val="en-US"/>
        </w:rPr>
        <w:t>تفعيل مفهوم المرونة، ل</w:t>
      </w:r>
      <w:r>
        <w:rPr>
          <w:rFonts w:ascii="Simplified Arabic" w:hAnsi="Simplified Arabic" w:cs="Simplified Arabic"/>
          <w:sz w:val="24"/>
          <w:szCs w:val="24"/>
          <w:rtl/>
          <w:lang w:val="en-US"/>
        </w:rPr>
        <w:t xml:space="preserve">ا سيما فيما يتعلق بنطاق </w:t>
      </w:r>
      <w:r w:rsidR="00922CDC">
        <w:rPr>
          <w:rFonts w:ascii="Simplified Arabic" w:hAnsi="Simplified Arabic" w:cs="Simplified Arabic" w:hint="cs"/>
          <w:sz w:val="24"/>
          <w:szCs w:val="24"/>
          <w:rtl/>
          <w:lang w:val="en-US"/>
        </w:rPr>
        <w:t>ال</w:t>
      </w:r>
      <w:r>
        <w:rPr>
          <w:rFonts w:ascii="Simplified Arabic" w:hAnsi="Simplified Arabic" w:cs="Simplified Arabic" w:hint="cs"/>
          <w:sz w:val="24"/>
          <w:szCs w:val="24"/>
          <w:rtl/>
          <w:lang w:val="en-US"/>
        </w:rPr>
        <w:t xml:space="preserve">تطبيق وطرق التقييم، </w:t>
      </w:r>
      <w:r w:rsidRPr="00905D5F">
        <w:rPr>
          <w:rFonts w:ascii="Simplified Arabic" w:hAnsi="Simplified Arabic" w:cs="Simplified Arabic" w:hint="cs"/>
          <w:sz w:val="24"/>
          <w:szCs w:val="24"/>
          <w:rtl/>
        </w:rPr>
        <w:t>حيث وُجد ان:</w:t>
      </w:r>
    </w:p>
    <w:p w:rsidR="003E0F31" w:rsidRPr="00DF4442" w:rsidRDefault="003E0F31" w:rsidP="001D0548">
      <w:pPr>
        <w:pStyle w:val="Paragraphedeliste"/>
        <w:numPr>
          <w:ilvl w:val="0"/>
          <w:numId w:val="3"/>
        </w:numPr>
        <w:shd w:val="clear" w:color="auto" w:fill="FFFFFF" w:themeFill="background1"/>
        <w:bidi/>
        <w:spacing w:after="0"/>
        <w:ind w:left="282" w:hanging="283"/>
        <w:jc w:val="both"/>
        <w:rPr>
          <w:rFonts w:ascii="Garamond" w:eastAsia="Times New Roman" w:hAnsi="Garamond" w:cs="Times New Roman"/>
          <w:b/>
          <w:sz w:val="24"/>
          <w:szCs w:val="24"/>
          <w:rtl/>
          <w:lang w:eastAsia="fr-FR"/>
        </w:rPr>
      </w:pPr>
      <w:r>
        <w:rPr>
          <w:rFonts w:ascii="Simplified Arabic" w:hAnsi="Simplified Arabic" w:cs="Simplified Arabic" w:hint="cs"/>
          <w:sz w:val="24"/>
          <w:szCs w:val="24"/>
          <w:rtl/>
        </w:rPr>
        <w:t xml:space="preserve">معظم </w:t>
      </w:r>
      <w:r w:rsidRPr="005320A2">
        <w:rPr>
          <w:rFonts w:ascii="Simplified Arabic" w:hAnsi="Simplified Arabic" w:cs="Simplified Arabic" w:hint="cs"/>
          <w:sz w:val="24"/>
          <w:szCs w:val="24"/>
          <w:rtl/>
        </w:rPr>
        <w:t>أطر و</w:t>
      </w:r>
      <w:r w:rsidRPr="00DF4442">
        <w:rPr>
          <w:rFonts w:ascii="Simplified Arabic" w:hAnsi="Simplified Arabic" w:cs="Simplified Arabic"/>
          <w:sz w:val="24"/>
          <w:szCs w:val="24"/>
          <w:rtl/>
        </w:rPr>
        <w:t xml:space="preserve">نماذج المرونة </w:t>
      </w:r>
      <w:r w:rsidRPr="00DF4442">
        <w:rPr>
          <w:rFonts w:ascii="Simplified Arabic" w:hAnsi="Simplified Arabic" w:cs="Simplified Arabic" w:hint="cs"/>
          <w:sz w:val="24"/>
          <w:szCs w:val="24"/>
          <w:rtl/>
        </w:rPr>
        <w:t>السابقة و</w:t>
      </w:r>
      <w:r w:rsidRPr="00DF4442">
        <w:rPr>
          <w:rFonts w:ascii="Simplified Arabic" w:hAnsi="Simplified Arabic" w:cs="Simplified Arabic"/>
          <w:sz w:val="24"/>
          <w:szCs w:val="24"/>
          <w:rtl/>
        </w:rPr>
        <w:t>الحالية ت</w:t>
      </w:r>
      <w:r w:rsidRPr="00DF4442">
        <w:rPr>
          <w:rFonts w:ascii="Simplified Arabic" w:hAnsi="Simplified Arabic" w:cs="Simplified Arabic" w:hint="cs"/>
          <w:sz w:val="24"/>
          <w:szCs w:val="24"/>
          <w:rtl/>
        </w:rPr>
        <w:t>ُ</w:t>
      </w:r>
      <w:r w:rsidRPr="00DF4442">
        <w:rPr>
          <w:rFonts w:ascii="Simplified Arabic" w:hAnsi="Simplified Arabic" w:cs="Simplified Arabic"/>
          <w:sz w:val="24"/>
          <w:szCs w:val="24"/>
          <w:rtl/>
        </w:rPr>
        <w:t>رك</w:t>
      </w:r>
      <w:r w:rsidRPr="00DF4442">
        <w:rPr>
          <w:rFonts w:ascii="Simplified Arabic" w:hAnsi="Simplified Arabic" w:cs="Simplified Arabic" w:hint="cs"/>
          <w:sz w:val="24"/>
          <w:szCs w:val="24"/>
          <w:rtl/>
        </w:rPr>
        <w:t>ّ</w:t>
      </w:r>
      <w:r w:rsidRPr="00DF4442">
        <w:rPr>
          <w:rFonts w:ascii="Simplified Arabic" w:hAnsi="Simplified Arabic" w:cs="Simplified Arabic"/>
          <w:sz w:val="24"/>
          <w:szCs w:val="24"/>
          <w:rtl/>
        </w:rPr>
        <w:t xml:space="preserve">ز على </w:t>
      </w:r>
      <w:r w:rsidRPr="00DF4442">
        <w:rPr>
          <w:rFonts w:ascii="Simplified Arabic" w:hAnsi="Simplified Arabic" w:cs="Simplified Arabic" w:hint="cs"/>
          <w:sz w:val="24"/>
          <w:szCs w:val="24"/>
          <w:rtl/>
        </w:rPr>
        <w:t>نطاق</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واسع،</w:t>
      </w:r>
      <w:r w:rsidRPr="00DF4442">
        <w:rPr>
          <w:rFonts w:asciiTheme="majorBidi" w:hAnsiTheme="majorBidi" w:cstheme="majorBidi" w:hint="cs"/>
          <w:color w:val="000000" w:themeColor="text1"/>
          <w:sz w:val="24"/>
          <w:szCs w:val="24"/>
          <w:rtl/>
        </w:rPr>
        <w:t xml:space="preserve"> </w:t>
      </w:r>
      <w:r w:rsidRPr="00DF4442">
        <w:rPr>
          <w:rFonts w:ascii="Simplified Arabic" w:hAnsi="Simplified Arabic" w:cs="Simplified Arabic"/>
          <w:sz w:val="24"/>
          <w:szCs w:val="24"/>
          <w:rtl/>
        </w:rPr>
        <w:t>لا تلبي الاحتياجات المحلية للمصممين والمخططين الحضريين،</w:t>
      </w:r>
      <w:r w:rsidRPr="00DF4442">
        <w:rPr>
          <w:rFonts w:ascii="Simplified Arabic" w:hAnsi="Simplified Arabic" w:cs="Simplified Arabic" w:hint="cs"/>
          <w:sz w:val="24"/>
          <w:szCs w:val="24"/>
          <w:rtl/>
        </w:rPr>
        <w:t xml:space="preserve"> مما</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يُعقّد</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عملية</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صنع</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القرار</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لمسيّري الشأن الحضري</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في</w:t>
      </w:r>
      <w:r w:rsidRPr="00DF4442">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DF4442">
        <w:rPr>
          <w:rFonts w:ascii="Simplified Arabic" w:hAnsi="Simplified Arabic" w:cs="Simplified Arabic" w:hint="cs"/>
          <w:sz w:val="24"/>
          <w:szCs w:val="24"/>
          <w:rtl/>
        </w:rPr>
        <w:t xml:space="preserve">توجيه </w:t>
      </w:r>
      <w:r>
        <w:rPr>
          <w:rFonts w:ascii="Simplified Arabic" w:hAnsi="Simplified Arabic" w:cs="Simplified Arabic" w:hint="cs"/>
          <w:sz w:val="24"/>
          <w:szCs w:val="24"/>
          <w:rtl/>
        </w:rPr>
        <w:t>المناسب</w:t>
      </w:r>
      <w:r w:rsidRPr="00DF4442">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ل</w:t>
      </w:r>
      <w:r w:rsidR="003166C4">
        <w:rPr>
          <w:rFonts w:ascii="Simplified Arabic" w:hAnsi="Simplified Arabic" w:cs="Simplified Arabic" w:hint="cs"/>
          <w:sz w:val="24"/>
          <w:szCs w:val="24"/>
          <w:rtl/>
        </w:rPr>
        <w:t>استعمال</w:t>
      </w:r>
      <w:r>
        <w:rPr>
          <w:rFonts w:ascii="Simplified Arabic" w:hAnsi="Simplified Arabic" w:cs="Simplified Arabic" w:hint="cs"/>
          <w:sz w:val="24"/>
          <w:szCs w:val="24"/>
          <w:rtl/>
        </w:rPr>
        <w:t xml:space="preserve"> الارض</w:t>
      </w:r>
      <w:r w:rsidRPr="00DF4442">
        <w:rPr>
          <w:rFonts w:ascii="Simplified Arabic" w:hAnsi="Simplified Arabic" w:cs="Simplified Arabic" w:hint="cs"/>
          <w:sz w:val="24"/>
          <w:szCs w:val="24"/>
          <w:rtl/>
        </w:rPr>
        <w:t>.</w:t>
      </w:r>
    </w:p>
    <w:p w:rsidR="003E0F31" w:rsidRPr="00DF4442" w:rsidRDefault="003E0F31" w:rsidP="001D0548">
      <w:pPr>
        <w:pStyle w:val="Paragraphedeliste"/>
        <w:numPr>
          <w:ilvl w:val="0"/>
          <w:numId w:val="3"/>
        </w:numPr>
        <w:shd w:val="clear" w:color="auto" w:fill="FFFFFF" w:themeFill="background1"/>
        <w:bidi/>
        <w:spacing w:after="0"/>
        <w:ind w:left="282" w:hanging="283"/>
        <w:jc w:val="both"/>
        <w:rPr>
          <w:rFonts w:asciiTheme="minorBidi" w:hAnsiTheme="minorBidi"/>
          <w:sz w:val="24"/>
          <w:szCs w:val="24"/>
          <w:rtl/>
          <w:lang w:bidi="ar-DZ"/>
        </w:rPr>
      </w:pPr>
      <w:r w:rsidRPr="00DF4442">
        <w:rPr>
          <w:rFonts w:ascii="Simplified Arabic" w:hAnsi="Simplified Arabic" w:cs="Simplified Arabic" w:hint="cs"/>
          <w:sz w:val="24"/>
          <w:szCs w:val="24"/>
          <w:rtl/>
        </w:rPr>
        <w:t>ركّز</w:t>
      </w:r>
      <w:r>
        <w:rPr>
          <w:rFonts w:ascii="Simplified Arabic" w:hAnsi="Simplified Arabic" w:cs="Simplified Arabic" w:hint="cs"/>
          <w:sz w:val="24"/>
          <w:szCs w:val="24"/>
          <w:rtl/>
        </w:rPr>
        <w:t>ت</w:t>
      </w:r>
      <w:r w:rsidRPr="00DF4442">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طريقة </w:t>
      </w:r>
      <w:r w:rsidRPr="00DF4442">
        <w:rPr>
          <w:rFonts w:ascii="Simplified Arabic" w:hAnsi="Simplified Arabic" w:cs="Simplified Arabic" w:hint="cs"/>
          <w:sz w:val="24"/>
          <w:szCs w:val="24"/>
          <w:rtl/>
        </w:rPr>
        <w:t>تحديد عوامل</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تقييم</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المرونة الحضرية</w:t>
      </w:r>
      <w:r w:rsidRPr="00DF4442">
        <w:rPr>
          <w:rFonts w:ascii="Simplified Arabic" w:hAnsi="Simplified Arabic" w:cs="Simplified Arabic"/>
          <w:sz w:val="24"/>
          <w:szCs w:val="24"/>
          <w:rtl/>
        </w:rPr>
        <w:t xml:space="preserve"> </w:t>
      </w:r>
      <w:r w:rsidRPr="00E829DF">
        <w:rPr>
          <w:rFonts w:ascii="Simplified Arabic" w:hAnsi="Simplified Arabic" w:cs="Simplified Arabic" w:hint="cs"/>
          <w:color w:val="000000" w:themeColor="text1"/>
          <w:sz w:val="24"/>
          <w:szCs w:val="24"/>
          <w:rtl/>
        </w:rPr>
        <w:t>في</w:t>
      </w:r>
      <w:r w:rsidRPr="00E829DF">
        <w:rPr>
          <w:rFonts w:ascii="Simplified Arabic" w:hAnsi="Simplified Arabic" w:cs="Simplified Arabic"/>
          <w:color w:val="000000" w:themeColor="text1"/>
          <w:sz w:val="24"/>
          <w:szCs w:val="24"/>
          <w:rtl/>
        </w:rPr>
        <w:t xml:space="preserve"> </w:t>
      </w:r>
      <w:r w:rsidRPr="00E829DF">
        <w:rPr>
          <w:rFonts w:ascii="Simplified Arabic" w:hAnsi="Simplified Arabic" w:cs="Simplified Arabic" w:hint="cs"/>
          <w:color w:val="000000" w:themeColor="text1"/>
          <w:sz w:val="24"/>
          <w:szCs w:val="24"/>
          <w:rtl/>
        </w:rPr>
        <w:t>المقام</w:t>
      </w:r>
      <w:r w:rsidRPr="00E829DF">
        <w:rPr>
          <w:rFonts w:ascii="Simplified Arabic" w:hAnsi="Simplified Arabic" w:cs="Simplified Arabic"/>
          <w:color w:val="000000" w:themeColor="text1"/>
          <w:sz w:val="24"/>
          <w:szCs w:val="24"/>
          <w:rtl/>
        </w:rPr>
        <w:t xml:space="preserve"> </w:t>
      </w:r>
      <w:r w:rsidRPr="00E829DF">
        <w:rPr>
          <w:rFonts w:ascii="Simplified Arabic" w:hAnsi="Simplified Arabic" w:cs="Simplified Arabic" w:hint="cs"/>
          <w:color w:val="000000" w:themeColor="text1"/>
          <w:sz w:val="24"/>
          <w:szCs w:val="24"/>
          <w:rtl/>
        </w:rPr>
        <w:t>الأول</w:t>
      </w:r>
      <w:r w:rsidRPr="00E829DF">
        <w:rPr>
          <w:rFonts w:ascii="Simplified Arabic" w:hAnsi="Simplified Arabic" w:cs="Simplified Arabic"/>
          <w:color w:val="000000" w:themeColor="text1"/>
          <w:sz w:val="24"/>
          <w:szCs w:val="24"/>
          <w:rtl/>
        </w:rPr>
        <w:t xml:space="preserve"> </w:t>
      </w:r>
      <w:r w:rsidRPr="00E829DF">
        <w:rPr>
          <w:rFonts w:ascii="Simplified Arabic" w:hAnsi="Simplified Arabic" w:cs="Simplified Arabic" w:hint="cs"/>
          <w:color w:val="000000" w:themeColor="text1"/>
          <w:sz w:val="24"/>
          <w:szCs w:val="24"/>
          <w:rtl/>
        </w:rPr>
        <w:t>على</w:t>
      </w:r>
      <w:r>
        <w:rPr>
          <w:rFonts w:ascii="Simplified Arabic" w:hAnsi="Simplified Arabic" w:cs="Simplified Arabic" w:hint="cs"/>
          <w:color w:val="000000" w:themeColor="text1"/>
          <w:sz w:val="24"/>
          <w:szCs w:val="24"/>
          <w:rtl/>
        </w:rPr>
        <w:t xml:space="preserve"> الدراسات السابقة</w:t>
      </w:r>
      <w:r w:rsidRPr="00E829D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دون الاخذ ب</w:t>
      </w:r>
      <w:r w:rsidRPr="00E829DF">
        <w:rPr>
          <w:rFonts w:ascii="Simplified Arabic" w:hAnsi="Simplified Arabic" w:cs="Simplified Arabic" w:hint="cs"/>
          <w:color w:val="000000" w:themeColor="text1"/>
          <w:sz w:val="24"/>
          <w:szCs w:val="24"/>
          <w:rtl/>
        </w:rPr>
        <w:t>آراء الخبراء،</w:t>
      </w:r>
      <w:r w:rsidRPr="00E829DF">
        <w:rPr>
          <w:rFonts w:ascii="Simplified Arabic" w:hAnsi="Simplified Arabic" w:cs="Simplified Arabic"/>
          <w:color w:val="000000" w:themeColor="text1"/>
          <w:sz w:val="24"/>
          <w:szCs w:val="24"/>
          <w:rtl/>
        </w:rPr>
        <w:t xml:space="preserve"> </w:t>
      </w:r>
      <w:r w:rsidRPr="00E829DF">
        <w:rPr>
          <w:rFonts w:ascii="Simplified Arabic" w:hAnsi="Simplified Arabic" w:cs="Simplified Arabic" w:hint="cs"/>
          <w:color w:val="000000" w:themeColor="text1"/>
          <w:sz w:val="24"/>
          <w:szCs w:val="24"/>
          <w:rtl/>
        </w:rPr>
        <w:t>و</w:t>
      </w:r>
      <w:r>
        <w:rPr>
          <w:rFonts w:ascii="Simplified Arabic" w:hAnsi="Simplified Arabic" w:cs="Simplified Arabic" w:hint="cs"/>
          <w:color w:val="000000" w:themeColor="text1"/>
          <w:sz w:val="24"/>
          <w:szCs w:val="24"/>
          <w:rtl/>
        </w:rPr>
        <w:t>دون التحقيق في تصورات</w:t>
      </w:r>
      <w:r w:rsidRPr="00E829DF">
        <w:rPr>
          <w:rFonts w:ascii="Simplified Arabic" w:hAnsi="Simplified Arabic" w:cs="Simplified Arabic"/>
          <w:color w:val="000000" w:themeColor="text1"/>
          <w:sz w:val="24"/>
          <w:szCs w:val="24"/>
          <w:rtl/>
        </w:rPr>
        <w:t xml:space="preserve"> </w:t>
      </w:r>
      <w:r w:rsidRPr="00DF4442">
        <w:rPr>
          <w:rFonts w:ascii="Simplified Arabic" w:hAnsi="Simplified Arabic" w:cs="Simplified Arabic" w:hint="cs"/>
          <w:sz w:val="24"/>
          <w:szCs w:val="24"/>
          <w:rtl/>
        </w:rPr>
        <w:t>الجمهور</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المستفيدين</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النهائيين</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من</w:t>
      </w:r>
      <w:r w:rsidRPr="00DF4442">
        <w:rPr>
          <w:rFonts w:ascii="Simplified Arabic" w:hAnsi="Simplified Arabic" w:cs="Simplified Arabic"/>
          <w:sz w:val="24"/>
          <w:szCs w:val="24"/>
          <w:rtl/>
        </w:rPr>
        <w:t xml:space="preserve"> </w:t>
      </w:r>
      <w:r>
        <w:rPr>
          <w:rFonts w:ascii="Simplified Arabic" w:hAnsi="Simplified Arabic" w:cs="Simplified Arabic" w:hint="cs"/>
          <w:sz w:val="24"/>
          <w:szCs w:val="24"/>
          <w:rtl/>
        </w:rPr>
        <w:t>التنمية</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الحضرية</w:t>
      </w:r>
      <w:r w:rsidRPr="00DF4442">
        <w:rPr>
          <w:rFonts w:asciiTheme="minorBidi" w:hAnsiTheme="minorBidi" w:hint="cs"/>
          <w:sz w:val="24"/>
          <w:szCs w:val="24"/>
          <w:rtl/>
          <w:lang w:bidi="ar-DZ"/>
        </w:rPr>
        <w:t>.</w:t>
      </w:r>
    </w:p>
    <w:p w:rsidR="003E0F31" w:rsidRDefault="003E0F31" w:rsidP="001D0548">
      <w:pPr>
        <w:pStyle w:val="Paragraphedeliste"/>
        <w:numPr>
          <w:ilvl w:val="0"/>
          <w:numId w:val="3"/>
        </w:numPr>
        <w:shd w:val="clear" w:color="auto" w:fill="FFFFFF" w:themeFill="background1"/>
        <w:bidi/>
        <w:spacing w:after="0"/>
        <w:ind w:left="282" w:hanging="283"/>
        <w:jc w:val="both"/>
        <w:rPr>
          <w:rFonts w:ascii="Simplified Arabic" w:hAnsi="Simplified Arabic" w:cs="Simplified Arabic"/>
          <w:sz w:val="24"/>
          <w:szCs w:val="24"/>
        </w:rPr>
      </w:pPr>
      <w:r w:rsidRPr="00DF4442">
        <w:rPr>
          <w:rFonts w:ascii="Simplified Arabic" w:hAnsi="Simplified Arabic" w:cs="Simplified Arabic" w:hint="cs"/>
          <w:sz w:val="24"/>
          <w:szCs w:val="24"/>
          <w:rtl/>
        </w:rPr>
        <w:lastRenderedPageBreak/>
        <w:t>لا</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يزال</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هناك</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نقص</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في</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البحث</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الذي</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يستكشف العلاقة بين</w:t>
      </w:r>
      <w:r w:rsidRPr="00DF4442">
        <w:rPr>
          <w:rFonts w:ascii="Simplified Arabic" w:hAnsi="Simplified Arabic" w:cs="Simplified Arabic"/>
          <w:sz w:val="24"/>
          <w:szCs w:val="24"/>
          <w:rtl/>
        </w:rPr>
        <w:t xml:space="preserve"> </w:t>
      </w:r>
      <w:r w:rsidR="003166C4">
        <w:rPr>
          <w:rFonts w:ascii="Simplified Arabic" w:hAnsi="Simplified Arabic" w:cs="Simplified Arabic" w:hint="cs"/>
          <w:sz w:val="24"/>
          <w:szCs w:val="24"/>
          <w:rtl/>
        </w:rPr>
        <w:t>استعمال</w:t>
      </w:r>
      <w:r w:rsidRPr="00DF4442">
        <w:rPr>
          <w:rFonts w:ascii="Simplified Arabic" w:hAnsi="Simplified Arabic" w:cs="Simplified Arabic" w:hint="cs"/>
          <w:sz w:val="24"/>
          <w:szCs w:val="24"/>
          <w:rtl/>
        </w:rPr>
        <w:t xml:space="preserve"> الارض </w:t>
      </w:r>
      <w:r>
        <w:rPr>
          <w:rFonts w:ascii="Simplified Arabic" w:hAnsi="Simplified Arabic" w:cs="Simplified Arabic" w:hint="cs"/>
          <w:sz w:val="24"/>
          <w:szCs w:val="24"/>
          <w:rtl/>
        </w:rPr>
        <w:t>ا</w:t>
      </w:r>
      <w:r w:rsidRPr="00DF4442">
        <w:rPr>
          <w:rFonts w:ascii="Simplified Arabic" w:hAnsi="Simplified Arabic" w:cs="Simplified Arabic" w:hint="cs"/>
          <w:sz w:val="24"/>
          <w:szCs w:val="24"/>
          <w:rtl/>
        </w:rPr>
        <w:t>لحضرية</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والمرونة</w:t>
      </w:r>
      <w:r w:rsidRPr="00DF4442">
        <w:rPr>
          <w:rFonts w:ascii="Simplified Arabic" w:hAnsi="Simplified Arabic" w:cs="Simplified Arabic"/>
          <w:sz w:val="24"/>
          <w:szCs w:val="24"/>
          <w:rtl/>
        </w:rPr>
        <w:t xml:space="preserve"> </w:t>
      </w:r>
      <w:r>
        <w:rPr>
          <w:rFonts w:ascii="Simplified Arabic" w:hAnsi="Simplified Arabic" w:cs="Simplified Arabic" w:hint="cs"/>
          <w:sz w:val="24"/>
          <w:szCs w:val="24"/>
          <w:rtl/>
        </w:rPr>
        <w:t>الحضرية</w:t>
      </w:r>
      <w:r w:rsidRPr="00DF4442">
        <w:rPr>
          <w:rFonts w:ascii="Simplified Arabic" w:hAnsi="Simplified Arabic" w:cs="Simplified Arabic" w:hint="cs"/>
          <w:sz w:val="24"/>
          <w:szCs w:val="24"/>
          <w:rtl/>
        </w:rPr>
        <w:t>، يمكن</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التعرف عليها</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عن طريق</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التحليل</w:t>
      </w:r>
      <w:r w:rsidRPr="00DF4442">
        <w:rPr>
          <w:rFonts w:ascii="Simplified Arabic" w:hAnsi="Simplified Arabic" w:cs="Simplified Arabic"/>
          <w:sz w:val="24"/>
          <w:szCs w:val="24"/>
          <w:rtl/>
        </w:rPr>
        <w:t xml:space="preserve"> </w:t>
      </w:r>
      <w:r w:rsidRPr="00DF4442">
        <w:rPr>
          <w:rFonts w:ascii="Simplified Arabic" w:hAnsi="Simplified Arabic" w:cs="Simplified Arabic" w:hint="cs"/>
          <w:sz w:val="24"/>
          <w:szCs w:val="24"/>
          <w:rtl/>
        </w:rPr>
        <w:t>المكاني</w:t>
      </w:r>
      <w:r>
        <w:rPr>
          <w:rFonts w:ascii="Simplified Arabic" w:hAnsi="Simplified Arabic" w:cs="Simplified Arabic" w:hint="cs"/>
          <w:sz w:val="24"/>
          <w:szCs w:val="24"/>
          <w:rtl/>
        </w:rPr>
        <w:t xml:space="preserve"> لعوامل التقييم</w:t>
      </w:r>
      <w:r w:rsidRPr="00443555">
        <w:rPr>
          <w:rFonts w:ascii="Simplified Arabic" w:hAnsi="Simplified Arabic" w:cs="Simplified Arabic"/>
          <w:sz w:val="24"/>
          <w:szCs w:val="24"/>
          <w:rtl/>
        </w:rPr>
        <w:t xml:space="preserve"> </w:t>
      </w:r>
      <w:r w:rsidRPr="00443555">
        <w:rPr>
          <w:rFonts w:ascii="Simplified Arabic" w:hAnsi="Simplified Arabic" w:cs="Simplified Arabic" w:hint="cs"/>
          <w:sz w:val="24"/>
          <w:szCs w:val="24"/>
          <w:rtl/>
        </w:rPr>
        <w:t>وال</w:t>
      </w:r>
      <w:r w:rsidRPr="00443555">
        <w:rPr>
          <w:rFonts w:ascii="Simplified Arabic" w:hAnsi="Simplified Arabic" w:cs="Simplified Arabic"/>
          <w:sz w:val="24"/>
          <w:szCs w:val="24"/>
          <w:rtl/>
        </w:rPr>
        <w:t xml:space="preserve">تحقيق </w:t>
      </w:r>
      <w:r>
        <w:rPr>
          <w:rFonts w:ascii="Simplified Arabic" w:hAnsi="Simplified Arabic" w:cs="Simplified Arabic" w:hint="cs"/>
          <w:sz w:val="24"/>
          <w:szCs w:val="24"/>
          <w:rtl/>
        </w:rPr>
        <w:t>في</w:t>
      </w:r>
      <w:r w:rsidRPr="00443555">
        <w:rPr>
          <w:rFonts w:ascii="Simplified Arabic" w:hAnsi="Simplified Arabic" w:cs="Simplified Arabic"/>
          <w:sz w:val="24"/>
          <w:szCs w:val="24"/>
          <w:rtl/>
        </w:rPr>
        <w:t xml:space="preserve"> مساهمة </w:t>
      </w:r>
      <w:r>
        <w:rPr>
          <w:rFonts w:ascii="Simplified Arabic" w:hAnsi="Simplified Arabic" w:cs="Simplified Arabic" w:hint="cs"/>
          <w:sz w:val="24"/>
          <w:szCs w:val="24"/>
          <w:rtl/>
        </w:rPr>
        <w:t>توافر سمات المرونة المكانية</w:t>
      </w:r>
      <w:r w:rsidRPr="00443555">
        <w:rPr>
          <w:rFonts w:ascii="Simplified Arabic" w:hAnsi="Simplified Arabic" w:cs="Simplified Arabic" w:hint="cs"/>
          <w:sz w:val="24"/>
          <w:szCs w:val="24"/>
          <w:rtl/>
        </w:rPr>
        <w:t xml:space="preserve"> </w:t>
      </w:r>
      <w:r w:rsidRPr="00443555">
        <w:rPr>
          <w:rFonts w:ascii="Simplified Arabic" w:hAnsi="Simplified Arabic" w:cs="Simplified Arabic"/>
          <w:sz w:val="24"/>
          <w:szCs w:val="24"/>
          <w:rtl/>
        </w:rPr>
        <w:t xml:space="preserve">في </w:t>
      </w:r>
      <w:r>
        <w:rPr>
          <w:rFonts w:ascii="Simplified Arabic" w:hAnsi="Simplified Arabic" w:cs="Simplified Arabic" w:hint="cs"/>
          <w:sz w:val="24"/>
          <w:szCs w:val="24"/>
          <w:rtl/>
        </w:rPr>
        <w:t xml:space="preserve">الرفع من </w:t>
      </w:r>
      <w:r w:rsidRPr="00443555">
        <w:rPr>
          <w:rFonts w:ascii="Simplified Arabic" w:hAnsi="Simplified Arabic" w:cs="Simplified Arabic" w:hint="cs"/>
          <w:sz w:val="24"/>
          <w:szCs w:val="24"/>
          <w:rtl/>
        </w:rPr>
        <w:t xml:space="preserve">قدرة استجابة النظام الفيزيائي للبيئة </w:t>
      </w:r>
      <w:r w:rsidR="008B3E54">
        <w:rPr>
          <w:rFonts w:ascii="Simplified Arabic" w:hAnsi="Simplified Arabic" w:cs="Simplified Arabic" w:hint="cs"/>
          <w:sz w:val="24"/>
          <w:szCs w:val="24"/>
          <w:rtl/>
        </w:rPr>
        <w:t>الحضرية</w:t>
      </w:r>
      <w:r w:rsidRPr="00443555">
        <w:rPr>
          <w:rFonts w:ascii="Simplified Arabic" w:hAnsi="Simplified Arabic" w:cs="Simplified Arabic" w:hint="cs"/>
          <w:sz w:val="24"/>
          <w:szCs w:val="24"/>
          <w:rtl/>
        </w:rPr>
        <w:t>.</w:t>
      </w:r>
      <w:r w:rsidRPr="00DF4442">
        <w:rPr>
          <w:rFonts w:ascii="Simplified Arabic" w:hAnsi="Simplified Arabic" w:cs="Simplified Arabic" w:hint="cs"/>
          <w:sz w:val="24"/>
          <w:szCs w:val="24"/>
          <w:rtl/>
        </w:rPr>
        <w:t xml:space="preserve"> </w:t>
      </w:r>
    </w:p>
    <w:p w:rsidR="003E0F31" w:rsidRDefault="003E0F31" w:rsidP="00C62080">
      <w:pPr>
        <w:shd w:val="clear" w:color="auto" w:fill="FFFFFF" w:themeFill="background1"/>
        <w:bidi/>
        <w:spacing w:after="0"/>
        <w:ind w:firstLine="282"/>
        <w:jc w:val="both"/>
        <w:rPr>
          <w:rFonts w:ascii="Simplified Arabic" w:hAnsi="Simplified Arabic" w:cs="Simplified Arabic"/>
          <w:sz w:val="24"/>
          <w:szCs w:val="24"/>
          <w:rtl/>
          <w:lang w:val="en-US"/>
        </w:rPr>
      </w:pPr>
      <w:r w:rsidRPr="00CD7A24">
        <w:rPr>
          <w:rFonts w:ascii="Simplified Arabic" w:hAnsi="Simplified Arabic" w:cs="Simplified Arabic"/>
          <w:sz w:val="24"/>
          <w:szCs w:val="24"/>
          <w:rtl/>
          <w:lang w:val="en-US"/>
        </w:rPr>
        <w:t xml:space="preserve">بالإضافة إلى ذلك، في سياق </w:t>
      </w:r>
      <w:r w:rsidRPr="00CD7A24">
        <w:rPr>
          <w:rFonts w:ascii="Simplified Arabic" w:hAnsi="Simplified Arabic" w:cs="Simplified Arabic" w:hint="cs"/>
          <w:sz w:val="24"/>
          <w:szCs w:val="24"/>
          <w:rtl/>
          <w:lang w:val="en-US"/>
        </w:rPr>
        <w:t>المدن الجزائرية ومنها مدينة بوسعادة</w:t>
      </w:r>
      <w:r w:rsidRPr="00CD7A24">
        <w:rPr>
          <w:rFonts w:ascii="Simplified Arabic" w:hAnsi="Simplified Arabic" w:cs="Simplified Arabic"/>
          <w:sz w:val="24"/>
          <w:szCs w:val="24"/>
          <w:rtl/>
          <w:lang w:val="en-US"/>
        </w:rPr>
        <w:t xml:space="preserve">، لا يزال هناك </w:t>
      </w:r>
      <w:r w:rsidRPr="00D05884">
        <w:rPr>
          <w:rFonts w:ascii="Simplified Arabic" w:hAnsi="Simplified Arabic" w:cs="Simplified Arabic"/>
          <w:sz w:val="24"/>
          <w:szCs w:val="24"/>
          <w:rtl/>
          <w:lang w:val="en-US"/>
        </w:rPr>
        <w:t xml:space="preserve">نقص في النماذج </w:t>
      </w:r>
      <w:r>
        <w:rPr>
          <w:rFonts w:ascii="Simplified Arabic" w:hAnsi="Simplified Arabic" w:cs="Simplified Arabic" w:hint="cs"/>
          <w:sz w:val="24"/>
          <w:szCs w:val="24"/>
          <w:rtl/>
          <w:lang w:val="en-US"/>
        </w:rPr>
        <w:t xml:space="preserve">المحلية التي تدرس مرونة المدينة خصوصا منها المرونة الفيزيائية للبيئة </w:t>
      </w:r>
      <w:r w:rsidR="00C62080">
        <w:rPr>
          <w:rFonts w:ascii="Simplified Arabic" w:hAnsi="Simplified Arabic" w:cs="Simplified Arabic" w:hint="cs"/>
          <w:sz w:val="24"/>
          <w:szCs w:val="24"/>
          <w:rtl/>
          <w:lang w:val="en-US"/>
        </w:rPr>
        <w:t>الحضرية</w:t>
      </w:r>
      <w:r w:rsidRPr="00D05884">
        <w:rPr>
          <w:rFonts w:ascii="Simplified Arabic" w:hAnsi="Simplified Arabic" w:cs="Simplified Arabic"/>
          <w:sz w:val="24"/>
          <w:szCs w:val="24"/>
          <w:rtl/>
          <w:lang w:val="en-US"/>
        </w:rPr>
        <w:t>. يمكن أن يكون نموذج</w:t>
      </w:r>
      <w:r>
        <w:rPr>
          <w:rFonts w:ascii="Simplified Arabic" w:hAnsi="Simplified Arabic" w:cs="Simplified Arabic" w:hint="cs"/>
          <w:sz w:val="24"/>
          <w:szCs w:val="24"/>
          <w:rtl/>
          <w:lang w:val="en-US"/>
        </w:rPr>
        <w:t xml:space="preserve"> تقييم</w:t>
      </w:r>
      <w:r w:rsidRPr="00D05884">
        <w:rPr>
          <w:rFonts w:ascii="Simplified Arabic" w:hAnsi="Simplified Arabic" w:cs="Simplified Arabic"/>
          <w:sz w:val="24"/>
          <w:szCs w:val="24"/>
          <w:rtl/>
          <w:lang w:val="en-US"/>
        </w:rPr>
        <w:t xml:space="preserve"> المرونة على المستوى المحلي أكثر فائدة للتخطيط والتصميم الحضريين، حيث أن المجتمعات على النطاق المكاني المحلي</w:t>
      </w:r>
      <w:r>
        <w:rPr>
          <w:rFonts w:ascii="Simplified Arabic" w:hAnsi="Simplified Arabic" w:cs="Simplified Arabic" w:hint="cs"/>
          <w:sz w:val="24"/>
          <w:szCs w:val="24"/>
          <w:rtl/>
          <w:lang w:val="en-US"/>
        </w:rPr>
        <w:t xml:space="preserve"> (المدينة)</w:t>
      </w:r>
      <w:r w:rsidRPr="00D05884">
        <w:rPr>
          <w:rFonts w:ascii="Simplified Arabic" w:hAnsi="Simplified Arabic" w:cs="Simplified Arabic"/>
          <w:sz w:val="24"/>
          <w:szCs w:val="24"/>
          <w:rtl/>
          <w:lang w:val="en-US"/>
        </w:rPr>
        <w:t xml:space="preserve">، هي بشكل أساسي محور التركيز </w:t>
      </w:r>
      <w:r>
        <w:rPr>
          <w:rFonts w:ascii="Simplified Arabic" w:hAnsi="Simplified Arabic" w:cs="Simplified Arabic" w:hint="cs"/>
          <w:sz w:val="24"/>
          <w:szCs w:val="24"/>
          <w:rtl/>
          <w:lang w:val="en-US"/>
        </w:rPr>
        <w:t>ل</w:t>
      </w:r>
      <w:r>
        <w:rPr>
          <w:rFonts w:ascii="Simplified Arabic" w:hAnsi="Simplified Arabic" w:cs="Simplified Arabic"/>
          <w:sz w:val="24"/>
          <w:szCs w:val="24"/>
          <w:rtl/>
          <w:lang w:val="en-US"/>
        </w:rPr>
        <w:t>لتخفيف من حدة المخاطر والتأهب</w:t>
      </w:r>
      <w:r>
        <w:rPr>
          <w:rFonts w:ascii="Simplified Arabic" w:hAnsi="Simplified Arabic" w:cs="Simplified Arabic" w:hint="cs"/>
          <w:sz w:val="24"/>
          <w:szCs w:val="24"/>
          <w:rtl/>
          <w:lang w:val="en-US"/>
        </w:rPr>
        <w:t>،</w:t>
      </w:r>
      <w:r w:rsidRPr="00D05884">
        <w:rPr>
          <w:rFonts w:ascii="Simplified Arabic" w:hAnsi="Simplified Arabic" w:cs="Simplified Arabic"/>
          <w:sz w:val="24"/>
          <w:szCs w:val="24"/>
          <w:rtl/>
          <w:lang w:val="en-US"/>
        </w:rPr>
        <w:t xml:space="preserve"> الاستجابة، التخطيط للتعافي من الكوارث. </w:t>
      </w:r>
    </w:p>
    <w:p w:rsidR="003E0F31" w:rsidRDefault="003E0F31" w:rsidP="00CF09A1">
      <w:pPr>
        <w:shd w:val="clear" w:color="auto" w:fill="FFFFFF" w:themeFill="background1"/>
        <w:bidi/>
        <w:spacing w:after="0"/>
        <w:ind w:firstLine="282"/>
        <w:jc w:val="both"/>
        <w:rPr>
          <w:rFonts w:ascii="Simplified Arabic" w:hAnsi="Simplified Arabic" w:cs="Simplified Arabic"/>
          <w:sz w:val="24"/>
          <w:szCs w:val="24"/>
          <w:rtl/>
        </w:rPr>
      </w:pPr>
      <w:r w:rsidRPr="00D05884">
        <w:rPr>
          <w:rFonts w:ascii="Simplified Arabic" w:hAnsi="Simplified Arabic" w:cs="Simplified Arabic"/>
          <w:sz w:val="24"/>
          <w:szCs w:val="24"/>
          <w:rtl/>
          <w:lang w:val="en-US"/>
        </w:rPr>
        <w:t>يسعى هذا البحث إلى سد هذه الفجو</w:t>
      </w:r>
      <w:r>
        <w:rPr>
          <w:rFonts w:ascii="Simplified Arabic" w:hAnsi="Simplified Arabic" w:cs="Simplified Arabic" w:hint="cs"/>
          <w:sz w:val="24"/>
          <w:szCs w:val="24"/>
          <w:rtl/>
          <w:lang w:val="en-US"/>
        </w:rPr>
        <w:t>ات</w:t>
      </w:r>
      <w:r w:rsidRPr="00D05884">
        <w:rPr>
          <w:rFonts w:ascii="Simplified Arabic" w:hAnsi="Simplified Arabic" w:cs="Simplified Arabic"/>
          <w:sz w:val="24"/>
          <w:szCs w:val="24"/>
          <w:rtl/>
          <w:lang w:val="en-US"/>
        </w:rPr>
        <w:t xml:space="preserve"> عن طريق تقليص نموذج </w:t>
      </w:r>
      <w:r w:rsidR="00922CDC">
        <w:rPr>
          <w:rFonts w:ascii="Simplified Arabic" w:hAnsi="Simplified Arabic" w:cs="Simplified Arabic" w:hint="cs"/>
          <w:sz w:val="24"/>
          <w:szCs w:val="24"/>
          <w:rtl/>
          <w:lang w:val="en-US"/>
        </w:rPr>
        <w:t>تق</w:t>
      </w:r>
      <w:r w:rsidR="00025C94">
        <w:rPr>
          <w:rFonts w:ascii="Simplified Arabic" w:hAnsi="Simplified Arabic" w:cs="Simplified Arabic" w:hint="cs"/>
          <w:sz w:val="24"/>
          <w:szCs w:val="24"/>
          <w:rtl/>
          <w:lang w:val="en-US"/>
        </w:rPr>
        <w:t xml:space="preserve">ييم </w:t>
      </w:r>
      <w:r w:rsidRPr="00D05884">
        <w:rPr>
          <w:rFonts w:ascii="Simplified Arabic" w:hAnsi="Simplified Arabic" w:cs="Simplified Arabic"/>
          <w:sz w:val="24"/>
          <w:szCs w:val="24"/>
          <w:rtl/>
          <w:lang w:val="en-US"/>
        </w:rPr>
        <w:t xml:space="preserve">المرونة </w:t>
      </w:r>
      <w:r>
        <w:rPr>
          <w:rFonts w:ascii="Simplified Arabic" w:hAnsi="Simplified Arabic" w:cs="Simplified Arabic" w:hint="cs"/>
          <w:sz w:val="24"/>
          <w:szCs w:val="24"/>
          <w:rtl/>
          <w:lang w:val="en-US"/>
        </w:rPr>
        <w:t>الى مستوى المدينة يسمح بتحليل العوامل التي تؤثر على المرونة الحضرية</w:t>
      </w:r>
      <w:r w:rsidRPr="00D05884">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في </w:t>
      </w:r>
      <w:r w:rsidRPr="00D05884">
        <w:rPr>
          <w:rFonts w:ascii="Simplified Arabic" w:hAnsi="Simplified Arabic" w:cs="Simplified Arabic"/>
          <w:sz w:val="24"/>
          <w:szCs w:val="24"/>
          <w:rtl/>
          <w:lang w:val="en-US" w:bidi="ar-DZ"/>
        </w:rPr>
        <w:t>سياق</w:t>
      </w:r>
      <w:r>
        <w:rPr>
          <w:rFonts w:ascii="Simplified Arabic" w:hAnsi="Simplified Arabic" w:cs="Simplified Arabic" w:hint="cs"/>
          <w:sz w:val="24"/>
          <w:szCs w:val="24"/>
          <w:rtl/>
          <w:lang w:val="en-US" w:bidi="ar-DZ"/>
        </w:rPr>
        <w:t xml:space="preserve"> محلي على مستوى مدينة بوسعادة التي هي حالة الدراسة</w:t>
      </w:r>
      <w:r w:rsidRPr="00D05884">
        <w:rPr>
          <w:rFonts w:ascii="Simplified Arabic" w:hAnsi="Simplified Arabic" w:cs="Simplified Arabic"/>
          <w:sz w:val="24"/>
          <w:szCs w:val="24"/>
          <w:rtl/>
          <w:lang w:val="en-US" w:bidi="ar-DZ"/>
        </w:rPr>
        <w:t xml:space="preserve">. سيحتاج هذا إلى تحديد </w:t>
      </w:r>
      <w:r>
        <w:rPr>
          <w:rFonts w:ascii="Simplified Arabic" w:hAnsi="Simplified Arabic" w:cs="Simplified Arabic" w:hint="cs"/>
          <w:sz w:val="24"/>
          <w:szCs w:val="24"/>
          <w:rtl/>
          <w:lang w:val="en-US" w:bidi="ar-DZ"/>
        </w:rPr>
        <w:t>العوامل (</w:t>
      </w:r>
      <w:r w:rsidRPr="00CD7A24">
        <w:rPr>
          <w:rFonts w:ascii="Simplified Arabic" w:hAnsi="Simplified Arabic" w:cs="Simplified Arabic"/>
          <w:sz w:val="24"/>
          <w:szCs w:val="24"/>
          <w:rtl/>
          <w:lang w:val="en-US" w:bidi="ar-DZ"/>
        </w:rPr>
        <w:t>المؤشرات</w:t>
      </w:r>
      <w:r>
        <w:rPr>
          <w:rFonts w:ascii="Simplified Arabic" w:hAnsi="Simplified Arabic" w:cs="Simplified Arabic" w:hint="cs"/>
          <w:sz w:val="24"/>
          <w:szCs w:val="24"/>
          <w:rtl/>
          <w:lang w:val="en-US" w:bidi="ar-DZ"/>
        </w:rPr>
        <w:t>)</w:t>
      </w:r>
      <w:r w:rsidRPr="00D05884">
        <w:rPr>
          <w:rFonts w:ascii="Simplified Arabic" w:hAnsi="Simplified Arabic" w:cs="Simplified Arabic"/>
          <w:sz w:val="24"/>
          <w:szCs w:val="24"/>
          <w:rtl/>
          <w:lang w:val="en-US" w:bidi="ar-DZ"/>
        </w:rPr>
        <w:t xml:space="preserve"> المناسبة لقياس المرونة على مستوى </w:t>
      </w:r>
      <w:r>
        <w:rPr>
          <w:rFonts w:ascii="Simplified Arabic" w:hAnsi="Simplified Arabic" w:cs="Simplified Arabic" w:hint="cs"/>
          <w:sz w:val="24"/>
          <w:szCs w:val="24"/>
          <w:rtl/>
          <w:lang w:val="en-US" w:bidi="ar-DZ"/>
        </w:rPr>
        <w:t>الاحياء</w:t>
      </w:r>
      <w:r w:rsidRPr="00D05884">
        <w:rPr>
          <w:rFonts w:ascii="Simplified Arabic" w:hAnsi="Simplified Arabic" w:cs="Simplified Arabic"/>
          <w:sz w:val="24"/>
          <w:szCs w:val="24"/>
          <w:rtl/>
          <w:lang w:val="en-US" w:bidi="ar-DZ"/>
        </w:rPr>
        <w:t>، وتقليل ال</w:t>
      </w:r>
      <w:r>
        <w:rPr>
          <w:rFonts w:ascii="Simplified Arabic" w:hAnsi="Simplified Arabic" w:cs="Simplified Arabic" w:hint="cs"/>
          <w:sz w:val="24"/>
          <w:szCs w:val="24"/>
          <w:rtl/>
          <w:lang w:val="en-US" w:bidi="ar-DZ"/>
        </w:rPr>
        <w:t>ا</w:t>
      </w:r>
      <w:r w:rsidRPr="00D05884">
        <w:rPr>
          <w:rFonts w:ascii="Simplified Arabic" w:hAnsi="Simplified Arabic" w:cs="Simplified Arabic"/>
          <w:sz w:val="24"/>
          <w:szCs w:val="24"/>
          <w:rtl/>
          <w:lang w:val="en-US" w:bidi="ar-DZ"/>
        </w:rPr>
        <w:t>بع</w:t>
      </w:r>
      <w:r>
        <w:rPr>
          <w:rFonts w:ascii="Simplified Arabic" w:hAnsi="Simplified Arabic" w:cs="Simplified Arabic" w:hint="cs"/>
          <w:sz w:val="24"/>
          <w:szCs w:val="24"/>
          <w:rtl/>
          <w:lang w:val="en-US" w:bidi="ar-DZ"/>
        </w:rPr>
        <w:t>ا</w:t>
      </w:r>
      <w:r w:rsidRPr="00D05884">
        <w:rPr>
          <w:rFonts w:ascii="Simplified Arabic" w:hAnsi="Simplified Arabic" w:cs="Simplified Arabic"/>
          <w:sz w:val="24"/>
          <w:szCs w:val="24"/>
          <w:rtl/>
          <w:lang w:val="en-US" w:bidi="ar-DZ"/>
        </w:rPr>
        <w:t xml:space="preserve">د </w:t>
      </w:r>
      <w:r>
        <w:rPr>
          <w:rFonts w:ascii="Simplified Arabic" w:hAnsi="Simplified Arabic" w:cs="Simplified Arabic" w:hint="cs"/>
          <w:sz w:val="24"/>
          <w:szCs w:val="24"/>
          <w:rtl/>
          <w:lang w:val="en-US" w:bidi="ar-DZ"/>
        </w:rPr>
        <w:t xml:space="preserve">الى بعد واحد وهو البعد الفيزيائي </w:t>
      </w:r>
      <w:r w:rsidRPr="00D05884">
        <w:rPr>
          <w:rFonts w:ascii="Simplified Arabic" w:hAnsi="Simplified Arabic" w:cs="Simplified Arabic"/>
          <w:sz w:val="24"/>
          <w:szCs w:val="24"/>
          <w:rtl/>
          <w:lang w:val="en-US" w:bidi="ar-DZ"/>
        </w:rPr>
        <w:t>و</w:t>
      </w:r>
      <w:r>
        <w:rPr>
          <w:rFonts w:ascii="Simplified Arabic" w:hAnsi="Simplified Arabic" w:cs="Simplified Arabic" w:hint="cs"/>
          <w:sz w:val="24"/>
          <w:szCs w:val="24"/>
          <w:rtl/>
          <w:lang w:val="en-US" w:bidi="ar-DZ"/>
        </w:rPr>
        <w:t>ترجمة</w:t>
      </w:r>
      <w:r w:rsidRPr="00D05884">
        <w:rPr>
          <w:rFonts w:ascii="Simplified Arabic" w:hAnsi="Simplified Arabic" w:cs="Simplified Arabic"/>
          <w:sz w:val="24"/>
          <w:szCs w:val="24"/>
          <w:rtl/>
          <w:lang w:val="en-US" w:bidi="ar-DZ"/>
        </w:rPr>
        <w:t xml:space="preserve"> المؤشرات إلى </w:t>
      </w:r>
      <w:r w:rsidRPr="00CD7A24">
        <w:rPr>
          <w:rFonts w:ascii="Simplified Arabic" w:hAnsi="Simplified Arabic" w:cs="Simplified Arabic" w:hint="cs"/>
          <w:sz w:val="24"/>
          <w:szCs w:val="24"/>
          <w:rtl/>
          <w:lang w:val="en-US" w:bidi="ar-DZ"/>
        </w:rPr>
        <w:t>عوامل</w:t>
      </w:r>
      <w:r w:rsidRPr="00D05884">
        <w:rPr>
          <w:rFonts w:ascii="Simplified Arabic" w:hAnsi="Simplified Arabic" w:cs="Simplified Arabic"/>
          <w:sz w:val="24"/>
          <w:szCs w:val="24"/>
          <w:rtl/>
          <w:lang w:val="en-US" w:bidi="ar-DZ"/>
        </w:rPr>
        <w:t xml:space="preserve">. </w:t>
      </w:r>
      <w:r w:rsidRPr="00D05884">
        <w:rPr>
          <w:rFonts w:ascii="Simplified Arabic" w:hAnsi="Simplified Arabic" w:cs="Simplified Arabic"/>
          <w:sz w:val="24"/>
          <w:szCs w:val="24"/>
          <w:rtl/>
          <w:lang w:val="en-US"/>
        </w:rPr>
        <w:t>لمعالجة هذه الفجوات البحثية، تسع</w:t>
      </w:r>
      <w:r>
        <w:rPr>
          <w:rFonts w:ascii="Simplified Arabic" w:hAnsi="Simplified Arabic" w:cs="Simplified Arabic"/>
          <w:sz w:val="24"/>
          <w:szCs w:val="24"/>
          <w:rtl/>
          <w:lang w:val="en-US"/>
        </w:rPr>
        <w:t xml:space="preserve">ى هذه الأطروحة للإجابة على </w:t>
      </w:r>
      <w:r>
        <w:rPr>
          <w:rFonts w:ascii="Simplified Arabic" w:hAnsi="Simplified Arabic" w:cs="Simplified Arabic" w:hint="cs"/>
          <w:sz w:val="24"/>
          <w:szCs w:val="24"/>
          <w:rtl/>
          <w:lang w:val="en-US"/>
        </w:rPr>
        <w:t>ال</w:t>
      </w:r>
      <w:r w:rsidRPr="00D05884">
        <w:rPr>
          <w:rFonts w:ascii="Simplified Arabic" w:hAnsi="Simplified Arabic" w:cs="Simplified Arabic"/>
          <w:sz w:val="24"/>
          <w:szCs w:val="24"/>
          <w:rtl/>
          <w:lang w:val="en-US"/>
        </w:rPr>
        <w:t xml:space="preserve">أسئلة </w:t>
      </w:r>
      <w:r>
        <w:rPr>
          <w:rFonts w:ascii="Simplified Arabic" w:hAnsi="Simplified Arabic" w:cs="Simplified Arabic" w:hint="cs"/>
          <w:sz w:val="24"/>
          <w:szCs w:val="24"/>
          <w:rtl/>
          <w:lang w:val="en-US"/>
        </w:rPr>
        <w:t>ال</w:t>
      </w:r>
      <w:r w:rsidRPr="00D05884">
        <w:rPr>
          <w:rFonts w:ascii="Simplified Arabic" w:hAnsi="Simplified Arabic" w:cs="Simplified Arabic"/>
          <w:sz w:val="24"/>
          <w:szCs w:val="24"/>
          <w:rtl/>
          <w:lang w:val="en-US"/>
        </w:rPr>
        <w:t xml:space="preserve">فرعية </w:t>
      </w:r>
      <w:r>
        <w:rPr>
          <w:rFonts w:ascii="Simplified Arabic" w:hAnsi="Simplified Arabic" w:cs="Simplified Arabic" w:hint="cs"/>
          <w:sz w:val="24"/>
          <w:szCs w:val="24"/>
          <w:rtl/>
          <w:lang w:val="en-US"/>
        </w:rPr>
        <w:t>ال</w:t>
      </w:r>
      <w:r w:rsidRPr="00D05884">
        <w:rPr>
          <w:rFonts w:ascii="Simplified Arabic" w:hAnsi="Simplified Arabic" w:cs="Simplified Arabic"/>
          <w:sz w:val="24"/>
          <w:szCs w:val="24"/>
          <w:rtl/>
          <w:lang w:val="en-US"/>
        </w:rPr>
        <w:t>موضحة في الشكل</w:t>
      </w:r>
      <w:r>
        <w:rPr>
          <w:rFonts w:ascii="Simplified Arabic" w:hAnsi="Simplified Arabic" w:cs="Simplified Arabic" w:hint="cs"/>
          <w:sz w:val="24"/>
          <w:szCs w:val="24"/>
          <w:rtl/>
          <w:lang w:val="en-US"/>
        </w:rPr>
        <w:t>(</w:t>
      </w:r>
      <w:r w:rsidR="00AF3D2C">
        <w:rPr>
          <w:rFonts w:ascii="Simplified Arabic" w:hAnsi="Simplified Arabic" w:cs="Simplified Arabic" w:hint="cs"/>
          <w:sz w:val="24"/>
          <w:szCs w:val="24"/>
          <w:rtl/>
          <w:lang w:val="en-US"/>
        </w:rPr>
        <w:t>2-16</w:t>
      </w:r>
      <w:r>
        <w:rPr>
          <w:rFonts w:ascii="Simplified Arabic" w:hAnsi="Simplified Arabic" w:cs="Simplified Arabic" w:hint="cs"/>
          <w:sz w:val="24"/>
          <w:szCs w:val="24"/>
          <w:rtl/>
          <w:lang w:val="en-US"/>
        </w:rPr>
        <w:t>).</w:t>
      </w:r>
      <w:r w:rsidRPr="00D05884">
        <w:rPr>
          <w:rFonts w:ascii="Simplified Arabic" w:hAnsi="Simplified Arabic" w:cs="Simplified Arabic"/>
          <w:sz w:val="24"/>
          <w:szCs w:val="24"/>
          <w:rtl/>
          <w:lang w:val="en-US"/>
        </w:rPr>
        <w:t xml:space="preserve"> </w:t>
      </w:r>
    </w:p>
    <w:p w:rsidR="003E0F31" w:rsidRDefault="003E0F31" w:rsidP="00345EA2">
      <w:pPr>
        <w:pStyle w:val="fegure"/>
        <w:spacing w:before="240"/>
        <w:rPr>
          <w:sz w:val="8"/>
          <w:szCs w:val="24"/>
          <w:rtl/>
          <w:lang w:val="en-US"/>
        </w:rPr>
      </w:pPr>
      <w:bookmarkStart w:id="383" w:name="_Toc157608302"/>
      <w:bookmarkStart w:id="384" w:name="_Toc171803498"/>
      <w:r w:rsidRPr="00264FC1">
        <w:rPr>
          <w:rFonts w:hint="cs"/>
          <w:sz w:val="8"/>
          <w:szCs w:val="24"/>
          <w:rtl/>
          <w:lang w:val="en-US"/>
        </w:rPr>
        <w:t>الشكل(</w:t>
      </w:r>
      <w:r w:rsidR="00AF3D2C" w:rsidRPr="00264FC1">
        <w:rPr>
          <w:rFonts w:hint="cs"/>
          <w:sz w:val="8"/>
          <w:szCs w:val="24"/>
          <w:rtl/>
          <w:lang w:val="en-US"/>
        </w:rPr>
        <w:t>2-16</w:t>
      </w:r>
      <w:r w:rsidRPr="00264FC1">
        <w:rPr>
          <w:rFonts w:hint="cs"/>
          <w:sz w:val="8"/>
          <w:szCs w:val="24"/>
          <w:rtl/>
          <w:lang w:val="en-US"/>
        </w:rPr>
        <w:t>):</w:t>
      </w:r>
      <w:r w:rsidRPr="00264FC1">
        <w:rPr>
          <w:sz w:val="8"/>
          <w:szCs w:val="24"/>
          <w:rtl/>
          <w:lang w:val="en-US"/>
        </w:rPr>
        <w:t xml:space="preserve"> </w:t>
      </w:r>
      <w:r w:rsidRPr="00264FC1">
        <w:rPr>
          <w:rFonts w:hint="cs"/>
          <w:sz w:val="8"/>
          <w:szCs w:val="24"/>
          <w:rtl/>
          <w:lang w:val="en-US"/>
        </w:rPr>
        <w:t>نظرة</w:t>
      </w:r>
      <w:r w:rsidRPr="00264FC1">
        <w:rPr>
          <w:sz w:val="8"/>
          <w:szCs w:val="24"/>
          <w:rtl/>
          <w:lang w:val="en-US"/>
        </w:rPr>
        <w:t xml:space="preserve"> </w:t>
      </w:r>
      <w:r w:rsidRPr="00264FC1">
        <w:rPr>
          <w:rFonts w:hint="cs"/>
          <w:sz w:val="8"/>
          <w:szCs w:val="24"/>
          <w:rtl/>
          <w:lang w:val="en-US"/>
        </w:rPr>
        <w:t>عامة</w:t>
      </w:r>
      <w:r w:rsidRPr="00264FC1">
        <w:rPr>
          <w:sz w:val="8"/>
          <w:szCs w:val="24"/>
          <w:rtl/>
          <w:lang w:val="en-US"/>
        </w:rPr>
        <w:t xml:space="preserve"> </w:t>
      </w:r>
      <w:r w:rsidRPr="00264FC1">
        <w:rPr>
          <w:rFonts w:hint="cs"/>
          <w:sz w:val="8"/>
          <w:szCs w:val="24"/>
          <w:rtl/>
          <w:lang w:val="en-US"/>
        </w:rPr>
        <w:t>على</w:t>
      </w:r>
      <w:r w:rsidRPr="00264FC1">
        <w:rPr>
          <w:sz w:val="8"/>
          <w:szCs w:val="24"/>
          <w:rtl/>
          <w:lang w:val="en-US"/>
        </w:rPr>
        <w:t xml:space="preserve"> </w:t>
      </w:r>
      <w:r w:rsidR="008B3E54" w:rsidRPr="00264FC1">
        <w:rPr>
          <w:rFonts w:hint="cs"/>
          <w:sz w:val="8"/>
          <w:szCs w:val="24"/>
          <w:rtl/>
          <w:lang w:val="en-US"/>
        </w:rPr>
        <w:t>ال</w:t>
      </w:r>
      <w:r w:rsidRPr="00264FC1">
        <w:rPr>
          <w:rFonts w:hint="cs"/>
          <w:sz w:val="8"/>
          <w:szCs w:val="24"/>
          <w:rtl/>
          <w:lang w:val="en-US"/>
        </w:rPr>
        <w:t>فجوات</w:t>
      </w:r>
      <w:r w:rsidRPr="00264FC1">
        <w:rPr>
          <w:sz w:val="8"/>
          <w:szCs w:val="24"/>
          <w:rtl/>
          <w:lang w:val="en-US"/>
        </w:rPr>
        <w:t xml:space="preserve"> </w:t>
      </w:r>
      <w:r w:rsidRPr="00264FC1">
        <w:rPr>
          <w:rFonts w:hint="cs"/>
          <w:sz w:val="8"/>
          <w:szCs w:val="24"/>
          <w:rtl/>
          <w:lang w:val="en-US"/>
        </w:rPr>
        <w:t>وأسئلة</w:t>
      </w:r>
      <w:r w:rsidRPr="00264FC1">
        <w:rPr>
          <w:sz w:val="8"/>
          <w:szCs w:val="24"/>
          <w:rtl/>
          <w:lang w:val="en-US"/>
        </w:rPr>
        <w:t xml:space="preserve"> </w:t>
      </w:r>
      <w:r w:rsidRPr="00264FC1">
        <w:rPr>
          <w:rFonts w:hint="cs"/>
          <w:sz w:val="8"/>
          <w:szCs w:val="24"/>
          <w:rtl/>
          <w:lang w:val="en-US"/>
        </w:rPr>
        <w:t>البحث</w:t>
      </w:r>
      <w:bookmarkEnd w:id="383"/>
      <w:bookmarkEnd w:id="384"/>
    </w:p>
    <w:p w:rsidR="00597092" w:rsidRPr="00264FC1" w:rsidRDefault="00597092" w:rsidP="00597092">
      <w:pPr>
        <w:pStyle w:val="fegure"/>
        <w:rPr>
          <w:sz w:val="8"/>
          <w:szCs w:val="24"/>
          <w:rtl/>
          <w:lang w:val="en-US"/>
        </w:rPr>
      </w:pPr>
      <w:bookmarkStart w:id="385" w:name="_Toc171803499"/>
      <w:r>
        <w:rPr>
          <w:rFonts w:hint="cs"/>
          <w:sz w:val="8"/>
          <w:szCs w:val="24"/>
          <w:rtl/>
          <w:lang w:val="en-US"/>
        </w:rPr>
        <w:t>المصدر: (الباحث، 2022)</w:t>
      </w:r>
      <w:bookmarkEnd w:id="385"/>
    </w:p>
    <w:p w:rsidR="005F673F" w:rsidRDefault="005F673F" w:rsidP="005F673F">
      <w:pPr>
        <w:shd w:val="clear" w:color="auto" w:fill="FFFFFF" w:themeFill="background1"/>
        <w:bidi/>
        <w:spacing w:after="0" w:line="240" w:lineRule="auto"/>
        <w:ind w:firstLine="282"/>
        <w:jc w:val="center"/>
        <w:rPr>
          <w:rFonts w:ascii="Simplified Arabic" w:hAnsi="Simplified Arabic" w:cs="Simplified Arabic"/>
          <w:sz w:val="24"/>
          <w:szCs w:val="24"/>
          <w:rtl/>
          <w:lang w:val="en-US"/>
        </w:rPr>
      </w:pPr>
      <w:r>
        <w:rPr>
          <w:rFonts w:asciiTheme="minorBidi" w:hAnsiTheme="minorBidi" w:cs="Arial" w:hint="cs"/>
          <w:b/>
          <w:bCs/>
          <w:noProof/>
          <w:sz w:val="28"/>
          <w:szCs w:val="28"/>
          <w:rtl/>
          <w:lang w:eastAsia="fr-FR"/>
        </w:rPr>
        <mc:AlternateContent>
          <mc:Choice Requires="wps">
            <w:drawing>
              <wp:anchor distT="0" distB="0" distL="114300" distR="114300" simplePos="0" relativeHeight="251888640" behindDoc="0" locked="0" layoutInCell="1" allowOverlap="1" wp14:anchorId="47174849" wp14:editId="633CE399">
                <wp:simplePos x="0" y="0"/>
                <wp:positionH relativeFrom="column">
                  <wp:posOffset>130810</wp:posOffset>
                </wp:positionH>
                <wp:positionV relativeFrom="paragraph">
                  <wp:posOffset>90170</wp:posOffset>
                </wp:positionV>
                <wp:extent cx="5571490" cy="317500"/>
                <wp:effectExtent l="0" t="0" r="10160" b="25400"/>
                <wp:wrapNone/>
                <wp:docPr id="109" name="Rectangle 109"/>
                <wp:cNvGraphicFramePr/>
                <a:graphic xmlns:a="http://schemas.openxmlformats.org/drawingml/2006/main">
                  <a:graphicData uri="http://schemas.microsoft.com/office/word/2010/wordprocessingShape">
                    <wps:wsp>
                      <wps:cNvSpPr/>
                      <wps:spPr>
                        <a:xfrm>
                          <a:off x="0" y="0"/>
                          <a:ext cx="5571490" cy="317500"/>
                        </a:xfrm>
                        <a:prstGeom prst="rect">
                          <a:avLst/>
                        </a:prstGeom>
                        <a:ln w="9525">
                          <a:solidFill>
                            <a:schemeClr val="tx1"/>
                          </a:solidFill>
                          <a:prstDash val="dash"/>
                        </a:ln>
                      </wps:spPr>
                      <wps:style>
                        <a:lnRef idx="2">
                          <a:schemeClr val="accent6"/>
                        </a:lnRef>
                        <a:fillRef idx="1">
                          <a:schemeClr val="lt1"/>
                        </a:fillRef>
                        <a:effectRef idx="0">
                          <a:schemeClr val="accent6"/>
                        </a:effectRef>
                        <a:fontRef idx="minor">
                          <a:schemeClr val="dk1"/>
                        </a:fontRef>
                      </wps:style>
                      <wps:txbx>
                        <w:txbxContent>
                          <w:p w:rsidR="00D13702" w:rsidRDefault="00D13702" w:rsidP="005F673F">
                            <w:pPr>
                              <w:bidi/>
                              <w:spacing w:after="0" w:line="240" w:lineRule="auto"/>
                              <w:jc w:val="center"/>
                              <w:rPr>
                                <w:rtl/>
                                <w:lang w:bidi="ar-DZ"/>
                              </w:rPr>
                            </w:pPr>
                            <w:r w:rsidRPr="008B3E54">
                              <w:rPr>
                                <w:rFonts w:ascii="Simplified Arabic" w:hAnsi="Simplified Arabic" w:cs="Simplified Arabic"/>
                                <w:sz w:val="24"/>
                                <w:szCs w:val="24"/>
                                <w:rtl/>
                                <w:lang w:bidi="ar-DZ"/>
                              </w:rPr>
                              <w:t>الفجوات</w:t>
                            </w:r>
                            <w:r w:rsidRPr="008B3E54">
                              <w:rPr>
                                <w:rFonts w:hint="cs"/>
                                <w:sz w:val="24"/>
                                <w:szCs w:val="24"/>
                                <w:rtl/>
                                <w:lang w:bidi="ar-DZ"/>
                              </w:rPr>
                              <w:t xml:space="preserve">        </w:t>
                            </w:r>
                            <w:r w:rsidRPr="008B3E54">
                              <w:rPr>
                                <w:rFonts w:ascii="Simplified Arabic" w:hAnsi="Simplified Arabic" w:cs="Simplified Arabic" w:hint="cs"/>
                                <w:sz w:val="24"/>
                                <w:szCs w:val="24"/>
                                <w:rtl/>
                                <w:lang w:val="en-US"/>
                              </w:rPr>
                              <w:t xml:space="preserve">                                               </w:t>
                            </w:r>
                            <w:r w:rsidRPr="00423BA0">
                              <w:rPr>
                                <w:rFonts w:ascii="Simplified Arabic" w:hAnsi="Simplified Arabic" w:cs="Simplified Arabic" w:hint="cs"/>
                                <w:sz w:val="24"/>
                                <w:szCs w:val="24"/>
                                <w:rtl/>
                                <w:lang w:val="en-US"/>
                              </w:rPr>
                              <w:t>أسئلة</w:t>
                            </w:r>
                            <w:r w:rsidRPr="00423BA0">
                              <w:rPr>
                                <w:rFonts w:ascii="Simplified Arabic" w:hAnsi="Simplified Arabic" w:cs="Simplified Arabic"/>
                                <w:sz w:val="24"/>
                                <w:szCs w:val="24"/>
                                <w:rtl/>
                                <w:lang w:val="en-US"/>
                              </w:rPr>
                              <w:t xml:space="preserve"> </w:t>
                            </w:r>
                            <w:r w:rsidRPr="00423BA0">
                              <w:rPr>
                                <w:rFonts w:ascii="Simplified Arabic" w:hAnsi="Simplified Arabic" w:cs="Simplified Arabic" w:hint="cs"/>
                                <w:sz w:val="24"/>
                                <w:szCs w:val="24"/>
                                <w:rtl/>
                                <w:lang w:val="en-US"/>
                              </w:rPr>
                              <w:t>البحث</w:t>
                            </w:r>
                          </w:p>
                          <w:p w:rsidR="00D13702" w:rsidRDefault="00D13702" w:rsidP="005F673F">
                            <w:pPr>
                              <w:bidi/>
                              <w:spacing w:line="240" w:lineRule="auto"/>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9" o:spid="_x0000_s1046" style="position:absolute;left:0;text-align:left;margin-left:10.3pt;margin-top:7.1pt;width:438.7pt;height:25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" fillcolor="white [3201]" strokecolor="black [3213]">
                <v:stroke dashstyle="dash"/>
                <v:textbox>
                  <w:txbxContent>
                    <w:p w:rsidR="00D13702" w:rsidRDefault="00D13702" w:rsidP="005F673F">
                      <w:pPr>
                        <w:bidi/>
                        <w:spacing w:after="0" w:line="240" w:lineRule="auto"/>
                        <w:jc w:val="center"/>
                        <w:rPr>
                          <w:rtl/>
                          <w:lang w:bidi="ar-DZ"/>
                        </w:rPr>
                      </w:pPr>
                      <w:r w:rsidRPr="008B3E54">
                        <w:rPr>
                          <w:rFonts w:ascii="Simplified Arabic" w:hAnsi="Simplified Arabic" w:cs="Simplified Arabic"/>
                          <w:sz w:val="24"/>
                          <w:szCs w:val="24"/>
                          <w:rtl/>
                          <w:lang w:bidi="ar-DZ"/>
                        </w:rPr>
                        <w:t>الفجوات</w:t>
                      </w:r>
                      <w:r w:rsidRPr="008B3E54">
                        <w:rPr>
                          <w:rFonts w:hint="cs"/>
                          <w:sz w:val="24"/>
                          <w:szCs w:val="24"/>
                          <w:rtl/>
                          <w:lang w:bidi="ar-DZ"/>
                        </w:rPr>
                        <w:t xml:space="preserve">        </w:t>
                      </w:r>
                      <w:r w:rsidRPr="008B3E54">
                        <w:rPr>
                          <w:rFonts w:ascii="Simplified Arabic" w:hAnsi="Simplified Arabic" w:cs="Simplified Arabic" w:hint="cs"/>
                          <w:sz w:val="24"/>
                          <w:szCs w:val="24"/>
                          <w:rtl/>
                          <w:lang w:val="en-US"/>
                        </w:rPr>
                        <w:t xml:space="preserve">                                               </w:t>
                      </w:r>
                      <w:r w:rsidRPr="00423BA0">
                        <w:rPr>
                          <w:rFonts w:ascii="Simplified Arabic" w:hAnsi="Simplified Arabic" w:cs="Simplified Arabic" w:hint="cs"/>
                          <w:sz w:val="24"/>
                          <w:szCs w:val="24"/>
                          <w:rtl/>
                          <w:lang w:val="en-US"/>
                        </w:rPr>
                        <w:t>أسئلة</w:t>
                      </w:r>
                      <w:r w:rsidRPr="00423BA0">
                        <w:rPr>
                          <w:rFonts w:ascii="Simplified Arabic" w:hAnsi="Simplified Arabic" w:cs="Simplified Arabic"/>
                          <w:sz w:val="24"/>
                          <w:szCs w:val="24"/>
                          <w:rtl/>
                          <w:lang w:val="en-US"/>
                        </w:rPr>
                        <w:t xml:space="preserve"> </w:t>
                      </w:r>
                      <w:r w:rsidRPr="00423BA0">
                        <w:rPr>
                          <w:rFonts w:ascii="Simplified Arabic" w:hAnsi="Simplified Arabic" w:cs="Simplified Arabic" w:hint="cs"/>
                          <w:sz w:val="24"/>
                          <w:szCs w:val="24"/>
                          <w:rtl/>
                          <w:lang w:val="en-US"/>
                        </w:rPr>
                        <w:t>البحث</w:t>
                      </w:r>
                    </w:p>
                    <w:p w:rsidR="00D13702" w:rsidRDefault="00D13702" w:rsidP="005F673F">
                      <w:pPr>
                        <w:bidi/>
                        <w:spacing w:line="240" w:lineRule="auto"/>
                        <w:rPr>
                          <w:lang w:bidi="ar-DZ"/>
                        </w:rPr>
                      </w:pPr>
                    </w:p>
                  </w:txbxContent>
                </v:textbox>
              </v:rect>
            </w:pict>
          </mc:Fallback>
        </mc:AlternateContent>
      </w:r>
    </w:p>
    <w:p w:rsidR="005F673F" w:rsidRDefault="003A1DB8" w:rsidP="005F673F">
      <w:pPr>
        <w:shd w:val="clear" w:color="auto" w:fill="FFFFFF" w:themeFill="background1"/>
        <w:bidi/>
        <w:spacing w:after="0" w:line="240" w:lineRule="auto"/>
        <w:ind w:firstLine="282"/>
        <w:jc w:val="center"/>
        <w:rPr>
          <w:rFonts w:ascii="Simplified Arabic" w:hAnsi="Simplified Arabic" w:cs="Simplified Arabic"/>
          <w:sz w:val="24"/>
          <w:szCs w:val="24"/>
          <w:rtl/>
          <w:lang w:val="en-US"/>
        </w:rPr>
      </w:pPr>
      <w:r>
        <w:rPr>
          <w:rFonts w:asciiTheme="minorBidi" w:hAnsiTheme="minorBidi" w:cs="Arial" w:hint="cs"/>
          <w:noProof/>
          <w:sz w:val="28"/>
          <w:szCs w:val="28"/>
          <w:rtl/>
          <w:lang w:eastAsia="fr-FR"/>
        </w:rPr>
        <mc:AlternateContent>
          <mc:Choice Requires="wps">
            <w:drawing>
              <wp:anchor distT="0" distB="0" distL="114300" distR="114300" simplePos="0" relativeHeight="251882496" behindDoc="0" locked="0" layoutInCell="1" allowOverlap="1" wp14:anchorId="31F43E92" wp14:editId="021146A7">
                <wp:simplePos x="0" y="0"/>
                <wp:positionH relativeFrom="column">
                  <wp:posOffset>3118485</wp:posOffset>
                </wp:positionH>
                <wp:positionV relativeFrom="paragraph">
                  <wp:posOffset>198491</wp:posOffset>
                </wp:positionV>
                <wp:extent cx="2527300" cy="2320290"/>
                <wp:effectExtent l="0" t="0" r="25400" b="22860"/>
                <wp:wrapNone/>
                <wp:docPr id="114" name="Rectangle à coins arrondis 114"/>
                <wp:cNvGraphicFramePr/>
                <a:graphic xmlns:a="http://schemas.openxmlformats.org/drawingml/2006/main">
                  <a:graphicData uri="http://schemas.microsoft.com/office/word/2010/wordprocessingShape">
                    <wps:wsp>
                      <wps:cNvSpPr/>
                      <wps:spPr>
                        <a:xfrm>
                          <a:off x="0" y="0"/>
                          <a:ext cx="2527300" cy="2320290"/>
                        </a:xfrm>
                        <a:prstGeom prst="roundRect">
                          <a:avLst/>
                        </a:prstGeom>
                        <a:solidFill>
                          <a:schemeClr val="bg1">
                            <a:lumMod val="95000"/>
                          </a:schemeClr>
                        </a:solidFill>
                        <a:ln w="9525"/>
                      </wps:spPr>
                      <wps:style>
                        <a:lnRef idx="2">
                          <a:schemeClr val="dk1"/>
                        </a:lnRef>
                        <a:fillRef idx="1">
                          <a:schemeClr val="lt1"/>
                        </a:fillRef>
                        <a:effectRef idx="0">
                          <a:schemeClr val="dk1"/>
                        </a:effectRef>
                        <a:fontRef idx="minor">
                          <a:schemeClr val="dk1"/>
                        </a:fontRef>
                      </wps:style>
                      <wps:txbx>
                        <w:txbxContent>
                          <w:p w:rsidR="00D13702" w:rsidRPr="003E6087" w:rsidRDefault="00D13702" w:rsidP="00345EA2">
                            <w:pPr>
                              <w:pStyle w:val="Paragraphedeliste"/>
                              <w:bidi/>
                              <w:spacing w:after="0" w:line="240" w:lineRule="auto"/>
                              <w:ind w:left="8"/>
                              <w:jc w:val="center"/>
                              <w:rPr>
                                <w:rFonts w:ascii="Simplified Arabic" w:hAnsi="Simplified Arabic" w:cs="Simplified Arabic"/>
                                <w:sz w:val="24"/>
                                <w:szCs w:val="24"/>
                              </w:rPr>
                            </w:pPr>
                            <w:r>
                              <w:rPr>
                                <w:rFonts w:ascii="Simplified Arabic" w:hAnsi="Simplified Arabic" w:cs="Simplified Arabic" w:hint="cs"/>
                                <w:sz w:val="24"/>
                                <w:szCs w:val="24"/>
                                <w:rtl/>
                              </w:rPr>
                              <w:t xml:space="preserve">- </w:t>
                            </w:r>
                            <w:r w:rsidRPr="0085248B">
                              <w:rPr>
                                <w:rFonts w:ascii="Simplified Arabic" w:hAnsi="Simplified Arabic" w:cs="Simplified Arabic"/>
                                <w:sz w:val="24"/>
                                <w:szCs w:val="24"/>
                                <w:rtl/>
                              </w:rPr>
                              <w:t xml:space="preserve">نماذج المرونة </w:t>
                            </w:r>
                            <w:r w:rsidRPr="0085248B">
                              <w:rPr>
                                <w:rFonts w:ascii="Simplified Arabic" w:hAnsi="Simplified Arabic" w:cs="Simplified Arabic" w:hint="cs"/>
                                <w:sz w:val="24"/>
                                <w:szCs w:val="24"/>
                                <w:rtl/>
                              </w:rPr>
                              <w:t>السابقة و</w:t>
                            </w:r>
                            <w:r w:rsidRPr="0085248B">
                              <w:rPr>
                                <w:rFonts w:ascii="Simplified Arabic" w:hAnsi="Simplified Arabic" w:cs="Simplified Arabic"/>
                                <w:sz w:val="24"/>
                                <w:szCs w:val="24"/>
                                <w:rtl/>
                              </w:rPr>
                              <w:t>الحالية</w:t>
                            </w:r>
                            <w:r>
                              <w:rPr>
                                <w:rFonts w:ascii="Simplified Arabic" w:hAnsi="Simplified Arabic" w:cs="Simplified Arabic" w:hint="cs"/>
                                <w:sz w:val="24"/>
                                <w:szCs w:val="24"/>
                                <w:rtl/>
                              </w:rPr>
                              <w:t xml:space="preserve"> لتقييم المرونة</w:t>
                            </w:r>
                            <w:r w:rsidRPr="0085248B">
                              <w:rPr>
                                <w:rFonts w:ascii="Simplified Arabic" w:hAnsi="Simplified Arabic" w:cs="Simplified Arabic"/>
                                <w:sz w:val="24"/>
                                <w:szCs w:val="24"/>
                                <w:rtl/>
                              </w:rPr>
                              <w:t xml:space="preserve"> ت</w:t>
                            </w:r>
                            <w:r w:rsidRPr="0085248B">
                              <w:rPr>
                                <w:rFonts w:ascii="Simplified Arabic" w:hAnsi="Simplified Arabic" w:cs="Simplified Arabic" w:hint="cs"/>
                                <w:sz w:val="24"/>
                                <w:szCs w:val="24"/>
                                <w:rtl/>
                              </w:rPr>
                              <w:t>ُ</w:t>
                            </w:r>
                            <w:r w:rsidRPr="0085248B">
                              <w:rPr>
                                <w:rFonts w:ascii="Simplified Arabic" w:hAnsi="Simplified Arabic" w:cs="Simplified Arabic"/>
                                <w:sz w:val="24"/>
                                <w:szCs w:val="24"/>
                                <w:rtl/>
                              </w:rPr>
                              <w:t>رك</w:t>
                            </w:r>
                            <w:r w:rsidRPr="0085248B">
                              <w:rPr>
                                <w:rFonts w:ascii="Simplified Arabic" w:hAnsi="Simplified Arabic" w:cs="Simplified Arabic" w:hint="cs"/>
                                <w:sz w:val="24"/>
                                <w:szCs w:val="24"/>
                                <w:rtl/>
                              </w:rPr>
                              <w:t>ّ</w:t>
                            </w:r>
                            <w:r w:rsidRPr="0085248B">
                              <w:rPr>
                                <w:rFonts w:ascii="Simplified Arabic" w:hAnsi="Simplified Arabic" w:cs="Simplified Arabic"/>
                                <w:sz w:val="24"/>
                                <w:szCs w:val="24"/>
                                <w:rtl/>
                              </w:rPr>
                              <w:t xml:space="preserve">ز على </w:t>
                            </w:r>
                            <w:r w:rsidRPr="0085248B">
                              <w:rPr>
                                <w:rFonts w:ascii="Simplified Arabic" w:hAnsi="Simplified Arabic" w:cs="Simplified Arabic" w:hint="cs"/>
                                <w:sz w:val="24"/>
                                <w:szCs w:val="24"/>
                                <w:rtl/>
                              </w:rPr>
                              <w:t>نطاق</w:t>
                            </w:r>
                            <w:r w:rsidRPr="0085248B">
                              <w:rPr>
                                <w:rFonts w:ascii="Simplified Arabic" w:hAnsi="Simplified Arabic" w:cs="Simplified Arabic"/>
                                <w:sz w:val="24"/>
                                <w:szCs w:val="24"/>
                                <w:rtl/>
                              </w:rPr>
                              <w:t xml:space="preserve"> </w:t>
                            </w:r>
                            <w:r w:rsidRPr="0085248B">
                              <w:rPr>
                                <w:rFonts w:ascii="Simplified Arabic" w:hAnsi="Simplified Arabic" w:cs="Simplified Arabic" w:hint="cs"/>
                                <w:sz w:val="24"/>
                                <w:szCs w:val="24"/>
                                <w:rtl/>
                              </w:rPr>
                              <w:t>واسع،</w:t>
                            </w:r>
                            <w:r w:rsidRPr="0085248B">
                              <w:rPr>
                                <w:rFonts w:asciiTheme="majorBidi" w:hAnsiTheme="majorBidi" w:cstheme="majorBidi" w:hint="cs"/>
                                <w:color w:val="000000" w:themeColor="text1"/>
                                <w:sz w:val="24"/>
                                <w:szCs w:val="24"/>
                                <w:rtl/>
                              </w:rPr>
                              <w:t xml:space="preserve"> </w:t>
                            </w:r>
                            <w:r w:rsidRPr="0085248B">
                              <w:rPr>
                                <w:rFonts w:ascii="Simplified Arabic" w:hAnsi="Simplified Arabic" w:cs="Simplified Arabic"/>
                                <w:sz w:val="24"/>
                                <w:szCs w:val="24"/>
                                <w:rtl/>
                              </w:rPr>
                              <w:t xml:space="preserve">لا تلبي احتياجات </w:t>
                            </w:r>
                            <w:r w:rsidRPr="0085248B">
                              <w:rPr>
                                <w:rFonts w:ascii="Simplified Arabic" w:hAnsi="Simplified Arabic" w:cs="Simplified Arabic" w:hint="cs"/>
                                <w:sz w:val="24"/>
                                <w:szCs w:val="24"/>
                                <w:rtl/>
                              </w:rPr>
                              <w:t>ل</w:t>
                            </w:r>
                            <w:r w:rsidRPr="0085248B">
                              <w:rPr>
                                <w:rFonts w:ascii="Simplified Arabic" w:hAnsi="Simplified Arabic" w:cs="Simplified Arabic"/>
                                <w:sz w:val="24"/>
                                <w:szCs w:val="24"/>
                                <w:rtl/>
                              </w:rPr>
                              <w:t xml:space="preserve">لمخططين </w:t>
                            </w:r>
                            <w:r w:rsidRPr="0085248B">
                              <w:rPr>
                                <w:rFonts w:ascii="Simplified Arabic" w:hAnsi="Simplified Arabic" w:cs="Simplified Arabic" w:hint="cs"/>
                                <w:sz w:val="24"/>
                                <w:szCs w:val="24"/>
                                <w:rtl/>
                              </w:rPr>
                              <w:t>وا</w:t>
                            </w:r>
                            <w:r w:rsidRPr="0085248B">
                              <w:rPr>
                                <w:rFonts w:ascii="Simplified Arabic" w:hAnsi="Simplified Arabic" w:cs="Simplified Arabic"/>
                                <w:sz w:val="24"/>
                                <w:szCs w:val="24"/>
                                <w:rtl/>
                              </w:rPr>
                              <w:t>لمصممين</w:t>
                            </w:r>
                            <w:r>
                              <w:rPr>
                                <w:rFonts w:ascii="Simplified Arabic" w:hAnsi="Simplified Arabic" w:cs="Simplified Arabic"/>
                                <w:sz w:val="24"/>
                                <w:szCs w:val="24"/>
                              </w:rPr>
                              <w:t xml:space="preserve"> </w:t>
                            </w:r>
                            <w:r w:rsidRPr="0085248B">
                              <w:rPr>
                                <w:rFonts w:ascii="Simplified Arabic" w:hAnsi="Simplified Arabic" w:cs="Simplified Arabic"/>
                                <w:sz w:val="24"/>
                                <w:szCs w:val="24"/>
                                <w:rtl/>
                              </w:rPr>
                              <w:t>الحضريين</w:t>
                            </w:r>
                            <w:r w:rsidRPr="0085248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 لم ت</w:t>
                            </w:r>
                            <w:r w:rsidRPr="003E6087">
                              <w:rPr>
                                <w:rFonts w:ascii="Simplified Arabic" w:hAnsi="Simplified Arabic" w:cs="Simplified Arabic"/>
                                <w:sz w:val="24"/>
                                <w:szCs w:val="24"/>
                                <w:rtl/>
                              </w:rPr>
                              <w:t xml:space="preserve">ركّز بعض الاطر في تقييم المرونة على آراء الخبراء </w:t>
                            </w:r>
                            <w:r>
                              <w:rPr>
                                <w:rFonts w:ascii="Simplified Arabic" w:hAnsi="Simplified Arabic" w:cs="Simplified Arabic" w:hint="cs"/>
                                <w:sz w:val="24"/>
                                <w:szCs w:val="24"/>
                                <w:rtl/>
                              </w:rPr>
                              <w:t>و</w:t>
                            </w:r>
                            <w:r w:rsidRPr="003E6087">
                              <w:rPr>
                                <w:rFonts w:ascii="Simplified Arabic" w:hAnsi="Simplified Arabic" w:cs="Simplified Arabic"/>
                                <w:sz w:val="24"/>
                                <w:szCs w:val="24"/>
                                <w:rtl/>
                              </w:rPr>
                              <w:t>أفراد</w:t>
                            </w:r>
                            <w:r>
                              <w:rPr>
                                <w:rFonts w:ascii="Simplified Arabic" w:hAnsi="Simplified Arabic" w:cs="Simplified Arabic" w:hint="cs"/>
                                <w:sz w:val="24"/>
                                <w:szCs w:val="24"/>
                                <w:rtl/>
                              </w:rPr>
                              <w:t xml:space="preserve"> </w:t>
                            </w:r>
                            <w:r w:rsidRPr="003E6087">
                              <w:rPr>
                                <w:rFonts w:ascii="Simplified Arabic" w:hAnsi="Simplified Arabic" w:cs="Simplified Arabic"/>
                                <w:sz w:val="24"/>
                                <w:szCs w:val="24"/>
                                <w:rtl/>
                              </w:rPr>
                              <w:t>الجمهور</w:t>
                            </w:r>
                            <w:r>
                              <w:rPr>
                                <w:rFonts w:ascii="Simplified Arabic" w:hAnsi="Simplified Arabic" w:cs="Simplified Arabic" w:hint="cs"/>
                                <w:sz w:val="24"/>
                                <w:szCs w:val="24"/>
                                <w:rtl/>
                              </w:rPr>
                              <w:t xml:space="preserve">. </w:t>
                            </w:r>
                            <w:r w:rsidRPr="003E6087">
                              <w:rPr>
                                <w:rFonts w:ascii="Simplified Arabic" w:hAnsi="Simplified Arabic" w:cs="Simplified Arabic"/>
                                <w:sz w:val="24"/>
                                <w:szCs w:val="24"/>
                                <w:rtl/>
                              </w:rPr>
                              <w:t>-</w:t>
                            </w:r>
                            <w:r w:rsidRPr="003E6087">
                              <w:rPr>
                                <w:rFonts w:ascii="Simplified Arabic" w:hAnsi="Simplified Arabic" w:cs="Simplified Arabic" w:hint="cs"/>
                                <w:sz w:val="24"/>
                                <w:szCs w:val="24"/>
                                <w:rtl/>
                              </w:rPr>
                              <w:t>هناك</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نقص</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في</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البحث</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الذي</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يستكشف العلاقة بين</w:t>
                            </w:r>
                            <w:r w:rsidRPr="003E6087">
                              <w:rPr>
                                <w:rFonts w:ascii="Simplified Arabic" w:hAnsi="Simplified Arabic" w:cs="Simplified Arabic"/>
                                <w:sz w:val="24"/>
                                <w:szCs w:val="24"/>
                                <w:rtl/>
                              </w:rPr>
                              <w:t xml:space="preserve"> </w:t>
                            </w:r>
                            <w:r>
                              <w:rPr>
                                <w:rFonts w:ascii="Simplified Arabic" w:hAnsi="Simplified Arabic" w:cs="Simplified Arabic" w:hint="cs"/>
                                <w:sz w:val="24"/>
                                <w:szCs w:val="24"/>
                                <w:rtl/>
                              </w:rPr>
                              <w:t>نمط استعمالات</w:t>
                            </w:r>
                            <w:r w:rsidRPr="003E6087">
                              <w:rPr>
                                <w:rFonts w:ascii="Simplified Arabic" w:hAnsi="Simplified Arabic" w:cs="Simplified Arabic" w:hint="cs"/>
                                <w:sz w:val="24"/>
                                <w:szCs w:val="24"/>
                                <w:rtl/>
                              </w:rPr>
                              <w:t xml:space="preserve"> الارض الحضرية</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والمرونة</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الحضرية</w:t>
                            </w:r>
                            <w:r>
                              <w:rPr>
                                <w:rFonts w:ascii="Simplified Arabic" w:hAnsi="Simplified Arabic" w:cs="Simplified Arabic" w:hint="cs"/>
                                <w:sz w:val="24"/>
                                <w:szCs w:val="24"/>
                                <w:rtl/>
                              </w:rPr>
                              <w:t>.</w:t>
                            </w:r>
                          </w:p>
                          <w:p w:rsidR="00D13702" w:rsidRPr="00131A88" w:rsidRDefault="00D13702" w:rsidP="00131A88">
                            <w:pPr>
                              <w:pStyle w:val="Paragraphedeliste"/>
                              <w:bidi/>
                              <w:spacing w:after="0" w:line="240" w:lineRule="auto"/>
                              <w:ind w:left="8"/>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4" o:spid="_x0000_s1047" style="position:absolute;left:0;text-align:left;margin-left:245.55pt;margin-top:15.65pt;width:199pt;height:182.7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" fillcolor="#f2f2f2 [3052]" strokecolor="black [3200]">
                <v:textbox>
                  <w:txbxContent>
                    <w:p w:rsidR="00D13702" w:rsidRPr="003E6087" w:rsidRDefault="00D13702" w:rsidP="00345EA2">
                      <w:pPr>
                        <w:pStyle w:val="Paragraphedeliste"/>
                        <w:bidi/>
                        <w:spacing w:after="0" w:line="240" w:lineRule="auto"/>
                        <w:ind w:left="8"/>
                        <w:jc w:val="center"/>
                        <w:rPr>
                          <w:rFonts w:ascii="Simplified Arabic" w:hAnsi="Simplified Arabic" w:cs="Simplified Arabic"/>
                          <w:sz w:val="24"/>
                          <w:szCs w:val="24"/>
                        </w:rPr>
                      </w:pPr>
                      <w:r>
                        <w:rPr>
                          <w:rFonts w:ascii="Simplified Arabic" w:hAnsi="Simplified Arabic" w:cs="Simplified Arabic" w:hint="cs"/>
                          <w:sz w:val="24"/>
                          <w:szCs w:val="24"/>
                          <w:rtl/>
                        </w:rPr>
                        <w:t xml:space="preserve">- </w:t>
                      </w:r>
                      <w:r w:rsidRPr="0085248B">
                        <w:rPr>
                          <w:rFonts w:ascii="Simplified Arabic" w:hAnsi="Simplified Arabic" w:cs="Simplified Arabic"/>
                          <w:sz w:val="24"/>
                          <w:szCs w:val="24"/>
                          <w:rtl/>
                        </w:rPr>
                        <w:t xml:space="preserve">نماذج المرونة </w:t>
                      </w:r>
                      <w:r w:rsidRPr="0085248B">
                        <w:rPr>
                          <w:rFonts w:ascii="Simplified Arabic" w:hAnsi="Simplified Arabic" w:cs="Simplified Arabic" w:hint="cs"/>
                          <w:sz w:val="24"/>
                          <w:szCs w:val="24"/>
                          <w:rtl/>
                        </w:rPr>
                        <w:t>السابقة و</w:t>
                      </w:r>
                      <w:r w:rsidRPr="0085248B">
                        <w:rPr>
                          <w:rFonts w:ascii="Simplified Arabic" w:hAnsi="Simplified Arabic" w:cs="Simplified Arabic"/>
                          <w:sz w:val="24"/>
                          <w:szCs w:val="24"/>
                          <w:rtl/>
                        </w:rPr>
                        <w:t>الحالية</w:t>
                      </w:r>
                      <w:r>
                        <w:rPr>
                          <w:rFonts w:ascii="Simplified Arabic" w:hAnsi="Simplified Arabic" w:cs="Simplified Arabic" w:hint="cs"/>
                          <w:sz w:val="24"/>
                          <w:szCs w:val="24"/>
                          <w:rtl/>
                        </w:rPr>
                        <w:t xml:space="preserve"> لتقييم المرونة</w:t>
                      </w:r>
                      <w:r w:rsidRPr="0085248B">
                        <w:rPr>
                          <w:rFonts w:ascii="Simplified Arabic" w:hAnsi="Simplified Arabic" w:cs="Simplified Arabic"/>
                          <w:sz w:val="24"/>
                          <w:szCs w:val="24"/>
                          <w:rtl/>
                        </w:rPr>
                        <w:t xml:space="preserve"> ت</w:t>
                      </w:r>
                      <w:r w:rsidRPr="0085248B">
                        <w:rPr>
                          <w:rFonts w:ascii="Simplified Arabic" w:hAnsi="Simplified Arabic" w:cs="Simplified Arabic" w:hint="cs"/>
                          <w:sz w:val="24"/>
                          <w:szCs w:val="24"/>
                          <w:rtl/>
                        </w:rPr>
                        <w:t>ُ</w:t>
                      </w:r>
                      <w:r w:rsidRPr="0085248B">
                        <w:rPr>
                          <w:rFonts w:ascii="Simplified Arabic" w:hAnsi="Simplified Arabic" w:cs="Simplified Arabic"/>
                          <w:sz w:val="24"/>
                          <w:szCs w:val="24"/>
                          <w:rtl/>
                        </w:rPr>
                        <w:t>رك</w:t>
                      </w:r>
                      <w:r w:rsidRPr="0085248B">
                        <w:rPr>
                          <w:rFonts w:ascii="Simplified Arabic" w:hAnsi="Simplified Arabic" w:cs="Simplified Arabic" w:hint="cs"/>
                          <w:sz w:val="24"/>
                          <w:szCs w:val="24"/>
                          <w:rtl/>
                        </w:rPr>
                        <w:t>ّ</w:t>
                      </w:r>
                      <w:r w:rsidRPr="0085248B">
                        <w:rPr>
                          <w:rFonts w:ascii="Simplified Arabic" w:hAnsi="Simplified Arabic" w:cs="Simplified Arabic"/>
                          <w:sz w:val="24"/>
                          <w:szCs w:val="24"/>
                          <w:rtl/>
                        </w:rPr>
                        <w:t xml:space="preserve">ز على </w:t>
                      </w:r>
                      <w:r w:rsidRPr="0085248B">
                        <w:rPr>
                          <w:rFonts w:ascii="Simplified Arabic" w:hAnsi="Simplified Arabic" w:cs="Simplified Arabic" w:hint="cs"/>
                          <w:sz w:val="24"/>
                          <w:szCs w:val="24"/>
                          <w:rtl/>
                        </w:rPr>
                        <w:t>نطاق</w:t>
                      </w:r>
                      <w:r w:rsidRPr="0085248B">
                        <w:rPr>
                          <w:rFonts w:ascii="Simplified Arabic" w:hAnsi="Simplified Arabic" w:cs="Simplified Arabic"/>
                          <w:sz w:val="24"/>
                          <w:szCs w:val="24"/>
                          <w:rtl/>
                        </w:rPr>
                        <w:t xml:space="preserve"> </w:t>
                      </w:r>
                      <w:r w:rsidRPr="0085248B">
                        <w:rPr>
                          <w:rFonts w:ascii="Simplified Arabic" w:hAnsi="Simplified Arabic" w:cs="Simplified Arabic" w:hint="cs"/>
                          <w:sz w:val="24"/>
                          <w:szCs w:val="24"/>
                          <w:rtl/>
                        </w:rPr>
                        <w:t>واسع،</w:t>
                      </w:r>
                      <w:r w:rsidRPr="0085248B">
                        <w:rPr>
                          <w:rFonts w:asciiTheme="majorBidi" w:hAnsiTheme="majorBidi" w:cstheme="majorBidi" w:hint="cs"/>
                          <w:color w:val="000000" w:themeColor="text1"/>
                          <w:sz w:val="24"/>
                          <w:szCs w:val="24"/>
                          <w:rtl/>
                        </w:rPr>
                        <w:t xml:space="preserve"> </w:t>
                      </w:r>
                      <w:r w:rsidRPr="0085248B">
                        <w:rPr>
                          <w:rFonts w:ascii="Simplified Arabic" w:hAnsi="Simplified Arabic" w:cs="Simplified Arabic"/>
                          <w:sz w:val="24"/>
                          <w:szCs w:val="24"/>
                          <w:rtl/>
                        </w:rPr>
                        <w:t xml:space="preserve">لا تلبي احتياجات </w:t>
                      </w:r>
                      <w:r w:rsidRPr="0085248B">
                        <w:rPr>
                          <w:rFonts w:ascii="Simplified Arabic" w:hAnsi="Simplified Arabic" w:cs="Simplified Arabic" w:hint="cs"/>
                          <w:sz w:val="24"/>
                          <w:szCs w:val="24"/>
                          <w:rtl/>
                        </w:rPr>
                        <w:t>ل</w:t>
                      </w:r>
                      <w:r w:rsidRPr="0085248B">
                        <w:rPr>
                          <w:rFonts w:ascii="Simplified Arabic" w:hAnsi="Simplified Arabic" w:cs="Simplified Arabic"/>
                          <w:sz w:val="24"/>
                          <w:szCs w:val="24"/>
                          <w:rtl/>
                        </w:rPr>
                        <w:t xml:space="preserve">لمخططين </w:t>
                      </w:r>
                      <w:r w:rsidRPr="0085248B">
                        <w:rPr>
                          <w:rFonts w:ascii="Simplified Arabic" w:hAnsi="Simplified Arabic" w:cs="Simplified Arabic" w:hint="cs"/>
                          <w:sz w:val="24"/>
                          <w:szCs w:val="24"/>
                          <w:rtl/>
                        </w:rPr>
                        <w:t>وا</w:t>
                      </w:r>
                      <w:r w:rsidRPr="0085248B">
                        <w:rPr>
                          <w:rFonts w:ascii="Simplified Arabic" w:hAnsi="Simplified Arabic" w:cs="Simplified Arabic"/>
                          <w:sz w:val="24"/>
                          <w:szCs w:val="24"/>
                          <w:rtl/>
                        </w:rPr>
                        <w:t>لمصممين</w:t>
                      </w:r>
                      <w:r>
                        <w:rPr>
                          <w:rFonts w:ascii="Simplified Arabic" w:hAnsi="Simplified Arabic" w:cs="Simplified Arabic"/>
                          <w:sz w:val="24"/>
                          <w:szCs w:val="24"/>
                        </w:rPr>
                        <w:t xml:space="preserve"> </w:t>
                      </w:r>
                      <w:r w:rsidRPr="0085248B">
                        <w:rPr>
                          <w:rFonts w:ascii="Simplified Arabic" w:hAnsi="Simplified Arabic" w:cs="Simplified Arabic"/>
                          <w:sz w:val="24"/>
                          <w:szCs w:val="24"/>
                          <w:rtl/>
                        </w:rPr>
                        <w:t>الحضريين</w:t>
                      </w:r>
                      <w:r w:rsidRPr="0085248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 لم ت</w:t>
                      </w:r>
                      <w:r w:rsidRPr="003E6087">
                        <w:rPr>
                          <w:rFonts w:ascii="Simplified Arabic" w:hAnsi="Simplified Arabic" w:cs="Simplified Arabic"/>
                          <w:sz w:val="24"/>
                          <w:szCs w:val="24"/>
                          <w:rtl/>
                        </w:rPr>
                        <w:t xml:space="preserve">ركّز بعض الاطر في تقييم المرونة على آراء الخبراء </w:t>
                      </w:r>
                      <w:r>
                        <w:rPr>
                          <w:rFonts w:ascii="Simplified Arabic" w:hAnsi="Simplified Arabic" w:cs="Simplified Arabic" w:hint="cs"/>
                          <w:sz w:val="24"/>
                          <w:szCs w:val="24"/>
                          <w:rtl/>
                        </w:rPr>
                        <w:t>و</w:t>
                      </w:r>
                      <w:r w:rsidRPr="003E6087">
                        <w:rPr>
                          <w:rFonts w:ascii="Simplified Arabic" w:hAnsi="Simplified Arabic" w:cs="Simplified Arabic"/>
                          <w:sz w:val="24"/>
                          <w:szCs w:val="24"/>
                          <w:rtl/>
                        </w:rPr>
                        <w:t>أفراد</w:t>
                      </w:r>
                      <w:r>
                        <w:rPr>
                          <w:rFonts w:ascii="Simplified Arabic" w:hAnsi="Simplified Arabic" w:cs="Simplified Arabic" w:hint="cs"/>
                          <w:sz w:val="24"/>
                          <w:szCs w:val="24"/>
                          <w:rtl/>
                        </w:rPr>
                        <w:t xml:space="preserve"> </w:t>
                      </w:r>
                      <w:r w:rsidRPr="003E6087">
                        <w:rPr>
                          <w:rFonts w:ascii="Simplified Arabic" w:hAnsi="Simplified Arabic" w:cs="Simplified Arabic"/>
                          <w:sz w:val="24"/>
                          <w:szCs w:val="24"/>
                          <w:rtl/>
                        </w:rPr>
                        <w:t>الجمهور</w:t>
                      </w:r>
                      <w:r>
                        <w:rPr>
                          <w:rFonts w:ascii="Simplified Arabic" w:hAnsi="Simplified Arabic" w:cs="Simplified Arabic" w:hint="cs"/>
                          <w:sz w:val="24"/>
                          <w:szCs w:val="24"/>
                          <w:rtl/>
                        </w:rPr>
                        <w:t xml:space="preserve">. </w:t>
                      </w:r>
                      <w:r w:rsidRPr="003E6087">
                        <w:rPr>
                          <w:rFonts w:ascii="Simplified Arabic" w:hAnsi="Simplified Arabic" w:cs="Simplified Arabic"/>
                          <w:sz w:val="24"/>
                          <w:szCs w:val="24"/>
                          <w:rtl/>
                        </w:rPr>
                        <w:t>-</w:t>
                      </w:r>
                      <w:r w:rsidRPr="003E6087">
                        <w:rPr>
                          <w:rFonts w:ascii="Simplified Arabic" w:hAnsi="Simplified Arabic" w:cs="Simplified Arabic" w:hint="cs"/>
                          <w:sz w:val="24"/>
                          <w:szCs w:val="24"/>
                          <w:rtl/>
                        </w:rPr>
                        <w:t>هناك</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نقص</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في</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البحث</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الذي</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يستكشف العلاقة بين</w:t>
                      </w:r>
                      <w:r w:rsidRPr="003E6087">
                        <w:rPr>
                          <w:rFonts w:ascii="Simplified Arabic" w:hAnsi="Simplified Arabic" w:cs="Simplified Arabic"/>
                          <w:sz w:val="24"/>
                          <w:szCs w:val="24"/>
                          <w:rtl/>
                        </w:rPr>
                        <w:t xml:space="preserve"> </w:t>
                      </w:r>
                      <w:r>
                        <w:rPr>
                          <w:rFonts w:ascii="Simplified Arabic" w:hAnsi="Simplified Arabic" w:cs="Simplified Arabic" w:hint="cs"/>
                          <w:sz w:val="24"/>
                          <w:szCs w:val="24"/>
                          <w:rtl/>
                        </w:rPr>
                        <w:t>نمط استعمالات</w:t>
                      </w:r>
                      <w:r w:rsidRPr="003E6087">
                        <w:rPr>
                          <w:rFonts w:ascii="Simplified Arabic" w:hAnsi="Simplified Arabic" w:cs="Simplified Arabic" w:hint="cs"/>
                          <w:sz w:val="24"/>
                          <w:szCs w:val="24"/>
                          <w:rtl/>
                        </w:rPr>
                        <w:t xml:space="preserve"> الارض الحضرية</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والمرونة</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الحضرية</w:t>
                      </w:r>
                      <w:r>
                        <w:rPr>
                          <w:rFonts w:ascii="Simplified Arabic" w:hAnsi="Simplified Arabic" w:cs="Simplified Arabic" w:hint="cs"/>
                          <w:sz w:val="24"/>
                          <w:szCs w:val="24"/>
                          <w:rtl/>
                        </w:rPr>
                        <w:t>.</w:t>
                      </w:r>
                    </w:p>
                    <w:p w:rsidR="00D13702" w:rsidRPr="00131A88" w:rsidRDefault="00D13702" w:rsidP="00131A88">
                      <w:pPr>
                        <w:pStyle w:val="Paragraphedeliste"/>
                        <w:bidi/>
                        <w:spacing w:after="0" w:line="240" w:lineRule="auto"/>
                        <w:ind w:left="8"/>
                        <w:rPr>
                          <w:sz w:val="24"/>
                          <w:szCs w:val="24"/>
                        </w:rPr>
                      </w:pPr>
                    </w:p>
                  </w:txbxContent>
                </v:textbox>
              </v:roundrect>
            </w:pict>
          </mc:Fallback>
        </mc:AlternateContent>
      </w:r>
      <w:r>
        <w:rPr>
          <w:rFonts w:asciiTheme="minorBidi" w:hAnsiTheme="minorBidi" w:cs="Arial" w:hint="cs"/>
          <w:b/>
          <w:bCs/>
          <w:noProof/>
          <w:sz w:val="28"/>
          <w:szCs w:val="28"/>
          <w:rtl/>
          <w:lang w:eastAsia="fr-FR"/>
        </w:rPr>
        <mc:AlternateContent>
          <mc:Choice Requires="wps">
            <w:drawing>
              <wp:anchor distT="0" distB="0" distL="114300" distR="114300" simplePos="0" relativeHeight="251881472" behindDoc="0" locked="0" layoutInCell="1" allowOverlap="1" wp14:anchorId="6BD01F73" wp14:editId="2A53741E">
                <wp:simplePos x="0" y="0"/>
                <wp:positionH relativeFrom="column">
                  <wp:posOffset>46726</wp:posOffset>
                </wp:positionH>
                <wp:positionV relativeFrom="paragraph">
                  <wp:posOffset>198755</wp:posOffset>
                </wp:positionV>
                <wp:extent cx="5676265" cy="2354580"/>
                <wp:effectExtent l="0" t="0" r="19685" b="26670"/>
                <wp:wrapNone/>
                <wp:docPr id="110" name="Rectangle 110"/>
                <wp:cNvGraphicFramePr/>
                <a:graphic xmlns:a="http://schemas.openxmlformats.org/drawingml/2006/main">
                  <a:graphicData uri="http://schemas.microsoft.com/office/word/2010/wordprocessingShape">
                    <wps:wsp>
                      <wps:cNvSpPr/>
                      <wps:spPr>
                        <a:xfrm>
                          <a:off x="0" y="0"/>
                          <a:ext cx="5676265" cy="2354580"/>
                        </a:xfrm>
                        <a:prstGeom prst="rect">
                          <a:avLst/>
                        </a:prstGeom>
                        <a:ln w="9525">
                          <a:solidFill>
                            <a:schemeClr val="tx1"/>
                          </a:solidFill>
                          <a:prstDash val="dash"/>
                        </a:ln>
                      </wps:spPr>
                      <wps:style>
                        <a:lnRef idx="2">
                          <a:schemeClr val="accent6"/>
                        </a:lnRef>
                        <a:fillRef idx="1">
                          <a:schemeClr val="lt1"/>
                        </a:fillRef>
                        <a:effectRef idx="0">
                          <a:schemeClr val="accent6"/>
                        </a:effectRef>
                        <a:fontRef idx="minor">
                          <a:schemeClr val="dk1"/>
                        </a:fontRef>
                      </wps:style>
                      <wps:txbx>
                        <w:txbxContent>
                          <w:p w:rsidR="00D13702" w:rsidRDefault="00D13702" w:rsidP="005F673F">
                            <w:pPr>
                              <w:spacing w:line="24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0" o:spid="_x0000_s1048" style="position:absolute;left:0;text-align:left;margin-left:3.7pt;margin-top:15.65pt;width:446.95pt;height:185.4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" fillcolor="white [3201]" strokecolor="black [3213]">
                <v:stroke dashstyle="dash"/>
                <v:textbox>
                  <w:txbxContent>
                    <w:p w:rsidR="00D13702" w:rsidRDefault="00D13702" w:rsidP="005F673F">
                      <w:pPr>
                        <w:spacing w:line="240" w:lineRule="auto"/>
                        <w:jc w:val="center"/>
                      </w:pPr>
                    </w:p>
                  </w:txbxContent>
                </v:textbox>
              </v:rect>
            </w:pict>
          </mc:Fallback>
        </mc:AlternateContent>
      </w:r>
    </w:p>
    <w:p w:rsidR="005F673F" w:rsidRDefault="00345EA2" w:rsidP="005F673F">
      <w:pPr>
        <w:shd w:val="clear" w:color="auto" w:fill="FFFFFF" w:themeFill="background1"/>
        <w:bidi/>
        <w:spacing w:after="0" w:line="240" w:lineRule="auto"/>
        <w:ind w:firstLine="282"/>
        <w:jc w:val="center"/>
        <w:rPr>
          <w:rFonts w:ascii="Simplified Arabic" w:hAnsi="Simplified Arabic" w:cs="Simplified Arabic"/>
          <w:sz w:val="24"/>
          <w:szCs w:val="24"/>
          <w:rtl/>
          <w:lang w:val="en-US"/>
        </w:rPr>
      </w:pPr>
      <w:r>
        <w:rPr>
          <w:rFonts w:asciiTheme="minorBidi" w:hAnsiTheme="minorBidi" w:cs="Arial" w:hint="cs"/>
          <w:noProof/>
          <w:sz w:val="28"/>
          <w:szCs w:val="28"/>
          <w:rtl/>
          <w:lang w:eastAsia="fr-FR"/>
        </w:rPr>
        <mc:AlternateContent>
          <mc:Choice Requires="wps">
            <w:drawing>
              <wp:anchor distT="0" distB="0" distL="114300" distR="114300" simplePos="0" relativeHeight="251883520" behindDoc="0" locked="0" layoutInCell="1" allowOverlap="1" wp14:anchorId="5E9A7EAF" wp14:editId="67FAECF8">
                <wp:simplePos x="0" y="0"/>
                <wp:positionH relativeFrom="column">
                  <wp:posOffset>90793</wp:posOffset>
                </wp:positionH>
                <wp:positionV relativeFrom="paragraph">
                  <wp:posOffset>86372</wp:posOffset>
                </wp:positionV>
                <wp:extent cx="2708275" cy="2061713"/>
                <wp:effectExtent l="0" t="0" r="15875" b="15240"/>
                <wp:wrapNone/>
                <wp:docPr id="115" name="Rectangle à coins arrondis 115"/>
                <wp:cNvGraphicFramePr/>
                <a:graphic xmlns:a="http://schemas.openxmlformats.org/drawingml/2006/main">
                  <a:graphicData uri="http://schemas.microsoft.com/office/word/2010/wordprocessingShape">
                    <wps:wsp>
                      <wps:cNvSpPr/>
                      <wps:spPr>
                        <a:xfrm>
                          <a:off x="0" y="0"/>
                          <a:ext cx="2708275" cy="2061713"/>
                        </a:xfrm>
                        <a:prstGeom prst="roundRect">
                          <a:avLst/>
                        </a:prstGeom>
                        <a:solidFill>
                          <a:schemeClr val="bg1">
                            <a:lumMod val="95000"/>
                          </a:schemeClr>
                        </a:solidFill>
                        <a:ln w="9525"/>
                      </wps:spPr>
                      <wps:style>
                        <a:lnRef idx="2">
                          <a:schemeClr val="dk1"/>
                        </a:lnRef>
                        <a:fillRef idx="1">
                          <a:schemeClr val="lt1"/>
                        </a:fillRef>
                        <a:effectRef idx="0">
                          <a:schemeClr val="dk1"/>
                        </a:effectRef>
                        <a:fontRef idx="minor">
                          <a:schemeClr val="dk1"/>
                        </a:fontRef>
                      </wps:style>
                      <wps:txbx>
                        <w:txbxContent>
                          <w:p w:rsidR="00D13702" w:rsidRPr="003E6087" w:rsidRDefault="00D13702" w:rsidP="00597092">
                            <w:pPr>
                              <w:bidi/>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 ماهي المتغيرات البديلة (المعايير) التي ت</w:t>
                            </w:r>
                            <w:r w:rsidRPr="0085248B">
                              <w:rPr>
                                <w:rFonts w:ascii="Simplified Arabic" w:hAnsi="Simplified Arabic" w:cs="Simplified Arabic" w:hint="cs"/>
                                <w:sz w:val="24"/>
                                <w:szCs w:val="24"/>
                                <w:rtl/>
                              </w:rPr>
                              <w:t>سمح بتقييم مستويات المرونة الحضرية</w:t>
                            </w:r>
                            <w:r>
                              <w:rPr>
                                <w:rFonts w:ascii="Simplified Arabic" w:hAnsi="Simplified Arabic" w:cs="Simplified Arabic" w:hint="cs"/>
                                <w:sz w:val="24"/>
                                <w:szCs w:val="24"/>
                                <w:rtl/>
                              </w:rPr>
                              <w:t xml:space="preserve"> على نطاق ضيق للمدينة</w:t>
                            </w:r>
                            <w:r w:rsidRPr="0085248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 </w:t>
                            </w:r>
                            <w:r w:rsidRPr="003E6087">
                              <w:rPr>
                                <w:rFonts w:ascii="Simplified Arabic" w:hAnsi="Simplified Arabic" w:cs="Simplified Arabic" w:hint="cs"/>
                                <w:sz w:val="24"/>
                                <w:szCs w:val="24"/>
                                <w:rtl/>
                              </w:rPr>
                              <w:t xml:space="preserve">ما هي المقاربة التي تسمح بمشاركة طلائع المجتمع </w:t>
                            </w:r>
                            <w:r>
                              <w:rPr>
                                <w:rFonts w:ascii="Simplified Arabic" w:hAnsi="Simplified Arabic" w:cs="Simplified Arabic" w:hint="cs"/>
                                <w:sz w:val="24"/>
                                <w:szCs w:val="24"/>
                                <w:rtl/>
                              </w:rPr>
                              <w:t>و</w:t>
                            </w:r>
                            <w:r w:rsidRPr="003E6087">
                              <w:rPr>
                                <w:rFonts w:ascii="Simplified Arabic" w:hAnsi="Simplified Arabic" w:cs="Simplified Arabic" w:hint="cs"/>
                                <w:sz w:val="24"/>
                                <w:szCs w:val="24"/>
                                <w:rtl/>
                              </w:rPr>
                              <w:t xml:space="preserve">افراد الجمهور </w:t>
                            </w:r>
                            <w:r>
                              <w:rPr>
                                <w:rFonts w:ascii="Simplified Arabic" w:hAnsi="Simplified Arabic" w:cs="Simplified Arabic" w:hint="cs"/>
                                <w:sz w:val="24"/>
                                <w:szCs w:val="24"/>
                                <w:rtl/>
                              </w:rPr>
                              <w:t>من اجل تقييم</w:t>
                            </w:r>
                            <w:r w:rsidRPr="003E6087">
                              <w:rPr>
                                <w:rFonts w:ascii="Simplified Arabic" w:hAnsi="Simplified Arabic" w:cs="Simplified Arabic" w:hint="cs"/>
                                <w:sz w:val="24"/>
                                <w:szCs w:val="24"/>
                                <w:rtl/>
                              </w:rPr>
                              <w:t xml:space="preserve"> المرونة الحضرية؟</w:t>
                            </w:r>
                            <w:r>
                              <w:rPr>
                                <w:rFonts w:ascii="Simplified Arabic" w:hAnsi="Simplified Arabic" w:cs="Simplified Arabic" w:hint="cs"/>
                                <w:sz w:val="24"/>
                                <w:szCs w:val="24"/>
                                <w:rtl/>
                              </w:rPr>
                              <w:t>.-ما هي السمات المكانية لاستعمالات</w:t>
                            </w:r>
                            <w:r w:rsidRPr="003E6087">
                              <w:rPr>
                                <w:rFonts w:ascii="Simplified Arabic" w:hAnsi="Simplified Arabic" w:cs="Simplified Arabic" w:hint="cs"/>
                                <w:sz w:val="24"/>
                                <w:szCs w:val="24"/>
                                <w:rtl/>
                              </w:rPr>
                              <w:t xml:space="preserve"> الارض</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الحضرية التي</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يمكن ان تؤثر على مستويات</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المرونة</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الحضرية؟</w:t>
                            </w:r>
                            <w:r>
                              <w:rPr>
                                <w:rFonts w:ascii="Simplified Arabic" w:hAnsi="Simplified Arabic" w:cs="Simplified Arabic" w:hint="cs"/>
                                <w:sz w:val="24"/>
                                <w:szCs w:val="24"/>
                                <w:rtl/>
                              </w:rPr>
                              <w:t>.</w:t>
                            </w:r>
                          </w:p>
                          <w:p w:rsidR="00D13702" w:rsidRPr="00131A88" w:rsidRDefault="00D13702" w:rsidP="00131A88">
                            <w:pPr>
                              <w:bidi/>
                              <w:spacing w:after="0" w:line="240" w:lineRule="auto"/>
                              <w:rPr>
                                <w:rFonts w:ascii="Simplified Arabic" w:hAnsi="Simplified Arabic" w:cs="Simplified Arabic"/>
                                <w:sz w:val="24"/>
                                <w:szCs w:val="24"/>
                                <w:rt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5" o:spid="_x0000_s1049" style="position:absolute;left:0;text-align:left;margin-left:7.15pt;margin-top:6.8pt;width:213.25pt;height:162.3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" fillcolor="#f2f2f2 [3052]" strokecolor="black [3200]">
                <v:textbox>
                  <w:txbxContent>
                    <w:p w:rsidR="00D13702" w:rsidRPr="003E6087" w:rsidRDefault="00D13702" w:rsidP="00597092">
                      <w:pPr>
                        <w:bidi/>
                        <w:spacing w:after="0" w:line="240" w:lineRule="auto"/>
                        <w:jc w:val="center"/>
                        <w:rPr>
                          <w:rFonts w:ascii="Simplified Arabic" w:hAnsi="Simplified Arabic" w:cs="Simplified Arabic"/>
                          <w:sz w:val="24"/>
                          <w:szCs w:val="24"/>
                        </w:rPr>
                      </w:pPr>
                      <w:r>
                        <w:rPr>
                          <w:rFonts w:ascii="Simplified Arabic" w:hAnsi="Simplified Arabic" w:cs="Simplified Arabic" w:hint="cs"/>
                          <w:sz w:val="24"/>
                          <w:szCs w:val="24"/>
                          <w:rtl/>
                        </w:rPr>
                        <w:t>- ماهي المتغيرات البديلة (المعايير) التي ت</w:t>
                      </w:r>
                      <w:r w:rsidRPr="0085248B">
                        <w:rPr>
                          <w:rFonts w:ascii="Simplified Arabic" w:hAnsi="Simplified Arabic" w:cs="Simplified Arabic" w:hint="cs"/>
                          <w:sz w:val="24"/>
                          <w:szCs w:val="24"/>
                          <w:rtl/>
                        </w:rPr>
                        <w:t>سمح بتقييم مستويات المرونة الحضرية</w:t>
                      </w:r>
                      <w:r>
                        <w:rPr>
                          <w:rFonts w:ascii="Simplified Arabic" w:hAnsi="Simplified Arabic" w:cs="Simplified Arabic" w:hint="cs"/>
                          <w:sz w:val="24"/>
                          <w:szCs w:val="24"/>
                          <w:rtl/>
                        </w:rPr>
                        <w:t xml:space="preserve"> على نطاق ضيق للمدينة</w:t>
                      </w:r>
                      <w:r w:rsidRPr="0085248B">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 </w:t>
                      </w:r>
                      <w:r w:rsidRPr="003E6087">
                        <w:rPr>
                          <w:rFonts w:ascii="Simplified Arabic" w:hAnsi="Simplified Arabic" w:cs="Simplified Arabic" w:hint="cs"/>
                          <w:sz w:val="24"/>
                          <w:szCs w:val="24"/>
                          <w:rtl/>
                        </w:rPr>
                        <w:t xml:space="preserve">ما هي المقاربة التي تسمح بمشاركة طلائع المجتمع </w:t>
                      </w:r>
                      <w:r>
                        <w:rPr>
                          <w:rFonts w:ascii="Simplified Arabic" w:hAnsi="Simplified Arabic" w:cs="Simplified Arabic" w:hint="cs"/>
                          <w:sz w:val="24"/>
                          <w:szCs w:val="24"/>
                          <w:rtl/>
                        </w:rPr>
                        <w:t>و</w:t>
                      </w:r>
                      <w:r w:rsidRPr="003E6087">
                        <w:rPr>
                          <w:rFonts w:ascii="Simplified Arabic" w:hAnsi="Simplified Arabic" w:cs="Simplified Arabic" w:hint="cs"/>
                          <w:sz w:val="24"/>
                          <w:szCs w:val="24"/>
                          <w:rtl/>
                        </w:rPr>
                        <w:t xml:space="preserve">افراد الجمهور </w:t>
                      </w:r>
                      <w:r>
                        <w:rPr>
                          <w:rFonts w:ascii="Simplified Arabic" w:hAnsi="Simplified Arabic" w:cs="Simplified Arabic" w:hint="cs"/>
                          <w:sz w:val="24"/>
                          <w:szCs w:val="24"/>
                          <w:rtl/>
                        </w:rPr>
                        <w:t>من اجل تقييم</w:t>
                      </w:r>
                      <w:r w:rsidRPr="003E6087">
                        <w:rPr>
                          <w:rFonts w:ascii="Simplified Arabic" w:hAnsi="Simplified Arabic" w:cs="Simplified Arabic" w:hint="cs"/>
                          <w:sz w:val="24"/>
                          <w:szCs w:val="24"/>
                          <w:rtl/>
                        </w:rPr>
                        <w:t xml:space="preserve"> المرونة الحضرية؟</w:t>
                      </w:r>
                      <w:r>
                        <w:rPr>
                          <w:rFonts w:ascii="Simplified Arabic" w:hAnsi="Simplified Arabic" w:cs="Simplified Arabic" w:hint="cs"/>
                          <w:sz w:val="24"/>
                          <w:szCs w:val="24"/>
                          <w:rtl/>
                        </w:rPr>
                        <w:t>.-ما هي السمات المكانية لاستعمالات</w:t>
                      </w:r>
                      <w:r w:rsidRPr="003E6087">
                        <w:rPr>
                          <w:rFonts w:ascii="Simplified Arabic" w:hAnsi="Simplified Arabic" w:cs="Simplified Arabic" w:hint="cs"/>
                          <w:sz w:val="24"/>
                          <w:szCs w:val="24"/>
                          <w:rtl/>
                        </w:rPr>
                        <w:t xml:space="preserve"> الارض</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الحضرية التي</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يمكن ان تؤثر على مستويات</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المرونة</w:t>
                      </w:r>
                      <w:r w:rsidRPr="003E6087">
                        <w:rPr>
                          <w:rFonts w:ascii="Simplified Arabic" w:hAnsi="Simplified Arabic" w:cs="Simplified Arabic"/>
                          <w:sz w:val="24"/>
                          <w:szCs w:val="24"/>
                          <w:rtl/>
                        </w:rPr>
                        <w:t xml:space="preserve"> </w:t>
                      </w:r>
                      <w:r w:rsidRPr="003E6087">
                        <w:rPr>
                          <w:rFonts w:ascii="Simplified Arabic" w:hAnsi="Simplified Arabic" w:cs="Simplified Arabic" w:hint="cs"/>
                          <w:sz w:val="24"/>
                          <w:szCs w:val="24"/>
                          <w:rtl/>
                        </w:rPr>
                        <w:t>الحضرية؟</w:t>
                      </w:r>
                      <w:r>
                        <w:rPr>
                          <w:rFonts w:ascii="Simplified Arabic" w:hAnsi="Simplified Arabic" w:cs="Simplified Arabic" w:hint="cs"/>
                          <w:sz w:val="24"/>
                          <w:szCs w:val="24"/>
                          <w:rtl/>
                        </w:rPr>
                        <w:t>.</w:t>
                      </w:r>
                    </w:p>
                    <w:p w:rsidR="00D13702" w:rsidRPr="00131A88" w:rsidRDefault="00D13702" w:rsidP="00131A88">
                      <w:pPr>
                        <w:bidi/>
                        <w:spacing w:after="0" w:line="240" w:lineRule="auto"/>
                        <w:rPr>
                          <w:rFonts w:ascii="Simplified Arabic" w:hAnsi="Simplified Arabic" w:cs="Simplified Arabic"/>
                          <w:sz w:val="24"/>
                          <w:szCs w:val="24"/>
                          <w:rtl/>
                        </w:rPr>
                      </w:pPr>
                    </w:p>
                  </w:txbxContent>
                </v:textbox>
              </v:roundrect>
            </w:pict>
          </mc:Fallback>
        </mc:AlternateContent>
      </w:r>
    </w:p>
    <w:p w:rsidR="005F673F" w:rsidRDefault="005F673F" w:rsidP="005F673F">
      <w:pPr>
        <w:shd w:val="clear" w:color="auto" w:fill="FFFFFF" w:themeFill="background1"/>
        <w:bidi/>
        <w:spacing w:after="0" w:line="240" w:lineRule="auto"/>
        <w:ind w:firstLine="282"/>
        <w:jc w:val="center"/>
        <w:rPr>
          <w:rFonts w:ascii="Simplified Arabic" w:hAnsi="Simplified Arabic" w:cs="Simplified Arabic"/>
          <w:sz w:val="24"/>
          <w:szCs w:val="24"/>
          <w:rtl/>
          <w:lang w:val="en-US"/>
        </w:rPr>
      </w:pPr>
    </w:p>
    <w:p w:rsidR="005F673F" w:rsidRDefault="005F673F" w:rsidP="005F673F">
      <w:pPr>
        <w:shd w:val="clear" w:color="auto" w:fill="FFFFFF" w:themeFill="background1"/>
        <w:bidi/>
        <w:spacing w:after="0" w:line="240" w:lineRule="auto"/>
        <w:ind w:firstLine="282"/>
        <w:jc w:val="center"/>
        <w:rPr>
          <w:rFonts w:ascii="Simplified Arabic" w:hAnsi="Simplified Arabic" w:cs="Simplified Arabic"/>
          <w:sz w:val="24"/>
          <w:szCs w:val="24"/>
          <w:rtl/>
          <w:lang w:val="en-US"/>
        </w:rPr>
      </w:pPr>
    </w:p>
    <w:p w:rsidR="005F673F" w:rsidRDefault="005F673F" w:rsidP="005F673F">
      <w:pPr>
        <w:shd w:val="clear" w:color="auto" w:fill="FFFFFF" w:themeFill="background1"/>
        <w:bidi/>
        <w:spacing w:after="0" w:line="240" w:lineRule="auto"/>
        <w:ind w:firstLine="282"/>
        <w:jc w:val="center"/>
        <w:rPr>
          <w:rFonts w:ascii="Simplified Arabic" w:hAnsi="Simplified Arabic" w:cs="Simplified Arabic"/>
          <w:sz w:val="24"/>
          <w:szCs w:val="24"/>
          <w:rtl/>
          <w:lang w:val="en-US"/>
        </w:rPr>
      </w:pPr>
    </w:p>
    <w:p w:rsidR="005F673F" w:rsidRDefault="00345EA2" w:rsidP="005F673F">
      <w:pPr>
        <w:shd w:val="clear" w:color="auto" w:fill="FFFFFF" w:themeFill="background1"/>
        <w:bidi/>
        <w:spacing w:after="0" w:line="240" w:lineRule="auto"/>
        <w:ind w:firstLine="282"/>
        <w:jc w:val="center"/>
        <w:rPr>
          <w:rFonts w:ascii="Simplified Arabic" w:hAnsi="Simplified Arabic" w:cs="Simplified Arabic"/>
          <w:sz w:val="24"/>
          <w:szCs w:val="24"/>
          <w:rtl/>
          <w:lang w:val="en-US"/>
        </w:rPr>
      </w:pPr>
      <w:r>
        <w:rPr>
          <w:rFonts w:asciiTheme="minorBidi" w:hAnsiTheme="minorBidi" w:cs="Arial" w:hint="cs"/>
          <w:noProof/>
          <w:sz w:val="28"/>
          <w:szCs w:val="28"/>
          <w:rtl/>
          <w:lang w:eastAsia="fr-FR"/>
        </w:rPr>
        <mc:AlternateContent>
          <mc:Choice Requires="wps">
            <w:drawing>
              <wp:anchor distT="0" distB="0" distL="114300" distR="114300" simplePos="0" relativeHeight="251884544" behindDoc="0" locked="0" layoutInCell="1" allowOverlap="1" wp14:anchorId="2061C76E" wp14:editId="622C7890">
                <wp:simplePos x="0" y="0"/>
                <wp:positionH relativeFrom="column">
                  <wp:posOffset>2802255</wp:posOffset>
                </wp:positionH>
                <wp:positionV relativeFrom="paragraph">
                  <wp:posOffset>66675</wp:posOffset>
                </wp:positionV>
                <wp:extent cx="301625" cy="172085"/>
                <wp:effectExtent l="0" t="0" r="22225" b="18415"/>
                <wp:wrapNone/>
                <wp:docPr id="117" name="Flèche gauche 117"/>
                <wp:cNvGraphicFramePr/>
                <a:graphic xmlns:a="http://schemas.openxmlformats.org/drawingml/2006/main">
                  <a:graphicData uri="http://schemas.microsoft.com/office/word/2010/wordprocessingShape">
                    <wps:wsp>
                      <wps:cNvSpPr/>
                      <wps:spPr>
                        <a:xfrm>
                          <a:off x="0" y="0"/>
                          <a:ext cx="301625" cy="172085"/>
                        </a:xfrm>
                        <a:prstGeom prst="leftArrow">
                          <a:avLst/>
                        </a:prstGeom>
                        <a:solidFill>
                          <a:schemeClr val="bg1">
                            <a:lumMod val="75000"/>
                          </a:schemeClr>
                        </a:solidFill>
                        <a:ln w="12700">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èche gauche 117" o:spid="_x0000_s1026" type="#_x0000_t66" style="position:absolute;margin-left:220.65pt;margin-top:5.25pt;width:23.75pt;height:13.5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" adj="6162" fillcolor="#bfbfbf [2412]" strokecolor="black [3213]" strokeweight="1pt"/>
            </w:pict>
          </mc:Fallback>
        </mc:AlternateContent>
      </w: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B859B4" w:rsidRPr="00181028" w:rsidRDefault="00182FCD" w:rsidP="00B859B4">
      <w:pPr>
        <w:shd w:val="clear" w:color="auto" w:fill="FFFFFF" w:themeFill="background1"/>
        <w:bidi/>
        <w:spacing w:after="0" w:line="240" w:lineRule="auto"/>
        <w:jc w:val="both"/>
        <w:outlineLvl w:val="0"/>
        <w:rPr>
          <w:rFonts w:ascii="Simplified Arabic" w:hAnsi="Simplified Arabic" w:cs="Simplified Arabic"/>
          <w:b/>
          <w:bCs/>
          <w:sz w:val="24"/>
          <w:szCs w:val="24"/>
          <w:rtl/>
          <w:lang w:val="en-US"/>
        </w:rPr>
      </w:pPr>
      <w:bookmarkStart w:id="386" w:name="_Toc171803500"/>
      <w:r>
        <w:rPr>
          <w:rFonts w:ascii="Simplified Arabic" w:hAnsi="Simplified Arabic" w:cs="Simplified Arabic" w:hint="cs"/>
          <w:b/>
          <w:bCs/>
          <w:sz w:val="24"/>
          <w:szCs w:val="24"/>
          <w:rtl/>
          <w:lang w:val="en-US"/>
        </w:rPr>
        <w:lastRenderedPageBreak/>
        <w:t>ا</w:t>
      </w:r>
      <w:r w:rsidR="00B859B4">
        <w:rPr>
          <w:rFonts w:ascii="Simplified Arabic" w:hAnsi="Simplified Arabic" w:cs="Simplified Arabic" w:hint="cs"/>
          <w:b/>
          <w:bCs/>
          <w:sz w:val="24"/>
          <w:szCs w:val="24"/>
          <w:rtl/>
          <w:lang w:val="en-US"/>
        </w:rPr>
        <w:t>ل</w:t>
      </w:r>
      <w:r w:rsidR="00B859B4">
        <w:rPr>
          <w:rFonts w:ascii="Simplified Arabic" w:hAnsi="Simplified Arabic" w:cs="Simplified Arabic"/>
          <w:b/>
          <w:bCs/>
          <w:sz w:val="24"/>
          <w:szCs w:val="24"/>
          <w:rtl/>
          <w:lang w:val="en-US"/>
        </w:rPr>
        <w:t>خلاصة</w:t>
      </w:r>
      <w:bookmarkEnd w:id="386"/>
    </w:p>
    <w:p w:rsidR="00B859B4" w:rsidRDefault="00B859B4" w:rsidP="00B859B4">
      <w:pPr>
        <w:bidi/>
        <w:spacing w:after="0"/>
        <w:ind w:firstLine="282"/>
        <w:jc w:val="both"/>
        <w:rPr>
          <w:rFonts w:ascii="Simplified Arabic" w:hAnsi="Simplified Arabic" w:cs="Simplified Arabic"/>
          <w:color w:val="000000" w:themeColor="text1"/>
          <w:sz w:val="24"/>
          <w:szCs w:val="24"/>
          <w:rtl/>
          <w:lang w:bidi="ar-DZ"/>
        </w:rPr>
      </w:pPr>
      <w:r w:rsidRPr="00774E1C">
        <w:rPr>
          <w:rFonts w:ascii="Simplified Arabic" w:hAnsi="Simplified Arabic" w:cs="Simplified Arabic"/>
          <w:color w:val="000000" w:themeColor="text1"/>
          <w:sz w:val="24"/>
          <w:szCs w:val="24"/>
          <w:rtl/>
          <w:lang w:bidi="ar-DZ"/>
        </w:rPr>
        <w:t xml:space="preserve">الغرض من </w:t>
      </w:r>
      <w:r>
        <w:rPr>
          <w:rFonts w:ascii="Simplified Arabic" w:hAnsi="Simplified Arabic" w:cs="Simplified Arabic" w:hint="cs"/>
          <w:color w:val="000000" w:themeColor="text1"/>
          <w:sz w:val="24"/>
          <w:szCs w:val="24"/>
          <w:rtl/>
          <w:lang w:bidi="ar-DZ"/>
        </w:rPr>
        <w:t>تحليل</w:t>
      </w:r>
      <w:r w:rsidRPr="00774E1C">
        <w:rPr>
          <w:rFonts w:ascii="Simplified Arabic" w:hAnsi="Simplified Arabic" w:cs="Simplified Arabic"/>
          <w:color w:val="000000" w:themeColor="text1"/>
          <w:sz w:val="24"/>
          <w:szCs w:val="24"/>
          <w:rtl/>
          <w:lang w:bidi="ar-DZ"/>
        </w:rPr>
        <w:t xml:space="preserve"> أطر ونماذج </w:t>
      </w:r>
      <w:r>
        <w:rPr>
          <w:rFonts w:ascii="Simplified Arabic" w:hAnsi="Simplified Arabic" w:cs="Simplified Arabic" w:hint="cs"/>
          <w:color w:val="000000" w:themeColor="text1"/>
          <w:sz w:val="24"/>
          <w:szCs w:val="24"/>
          <w:rtl/>
          <w:lang w:bidi="ar-DZ"/>
        </w:rPr>
        <w:t xml:space="preserve">تقييم </w:t>
      </w:r>
      <w:r w:rsidRPr="00774E1C">
        <w:rPr>
          <w:rFonts w:ascii="Simplified Arabic" w:hAnsi="Simplified Arabic" w:cs="Simplified Arabic"/>
          <w:color w:val="000000" w:themeColor="text1"/>
          <w:sz w:val="24"/>
          <w:szCs w:val="24"/>
          <w:rtl/>
          <w:lang w:bidi="ar-DZ"/>
        </w:rPr>
        <w:t xml:space="preserve">المرونة، هو تسليط الضوء على </w:t>
      </w:r>
      <w:r>
        <w:rPr>
          <w:rFonts w:ascii="Simplified Arabic" w:hAnsi="Simplified Arabic" w:cs="Simplified Arabic" w:hint="cs"/>
          <w:color w:val="000000" w:themeColor="text1"/>
          <w:sz w:val="24"/>
          <w:szCs w:val="24"/>
          <w:rtl/>
          <w:lang w:bidi="ar-DZ"/>
        </w:rPr>
        <w:t>الابحاث</w:t>
      </w:r>
      <w:r w:rsidRPr="00774E1C">
        <w:rPr>
          <w:rFonts w:ascii="Simplified Arabic" w:hAnsi="Simplified Arabic" w:cs="Simplified Arabic"/>
          <w:color w:val="000000" w:themeColor="text1"/>
          <w:sz w:val="24"/>
          <w:szCs w:val="24"/>
          <w:rtl/>
          <w:lang w:bidi="ar-DZ"/>
        </w:rPr>
        <w:t xml:space="preserve"> التي تكون اعتباراتهم النظرية والعملية</w:t>
      </w:r>
      <w:r>
        <w:rPr>
          <w:rFonts w:ascii="Simplified Arabic" w:hAnsi="Simplified Arabic" w:cs="Simplified Arabic" w:hint="cs"/>
          <w:color w:val="000000" w:themeColor="text1"/>
          <w:sz w:val="24"/>
          <w:szCs w:val="24"/>
          <w:rtl/>
          <w:lang w:bidi="ar-DZ"/>
        </w:rPr>
        <w:t xml:space="preserve"> والمنهجية</w:t>
      </w:r>
      <w:r w:rsidRPr="00774E1C">
        <w:rPr>
          <w:rFonts w:ascii="Simplified Arabic" w:hAnsi="Simplified Arabic" w:cs="Simplified Arabic"/>
          <w:color w:val="000000" w:themeColor="text1"/>
          <w:sz w:val="24"/>
          <w:szCs w:val="24"/>
          <w:rtl/>
          <w:lang w:bidi="ar-DZ"/>
        </w:rPr>
        <w:t xml:space="preserve"> هي الأقرب إلى هذا العمل البحثي حول </w:t>
      </w:r>
      <w:r>
        <w:rPr>
          <w:rFonts w:ascii="Simplified Arabic" w:hAnsi="Simplified Arabic" w:cs="Simplified Arabic" w:hint="cs"/>
          <w:sz w:val="24"/>
          <w:szCs w:val="24"/>
          <w:rtl/>
        </w:rPr>
        <w:t>استعمال</w:t>
      </w:r>
      <w:r w:rsidRPr="00774E1C">
        <w:rPr>
          <w:rFonts w:ascii="Simplified Arabic" w:hAnsi="Simplified Arabic" w:cs="Simplified Arabic"/>
          <w:color w:val="000000" w:themeColor="text1"/>
          <w:sz w:val="24"/>
          <w:szCs w:val="24"/>
          <w:rtl/>
          <w:lang w:bidi="ar-DZ"/>
        </w:rPr>
        <w:t xml:space="preserve"> الارض الحضرية</w:t>
      </w:r>
      <w:r>
        <w:rPr>
          <w:rFonts w:ascii="Simplified Arabic" w:hAnsi="Simplified Arabic" w:cs="Simplified Arabic" w:hint="cs"/>
          <w:color w:val="000000" w:themeColor="text1"/>
          <w:sz w:val="24"/>
          <w:szCs w:val="24"/>
          <w:rtl/>
          <w:lang w:bidi="ar-DZ"/>
        </w:rPr>
        <w:t xml:space="preserve"> واثرها على ا</w:t>
      </w:r>
      <w:r w:rsidRPr="00774E1C">
        <w:rPr>
          <w:rFonts w:ascii="Simplified Arabic" w:hAnsi="Simplified Arabic" w:cs="Simplified Arabic"/>
          <w:color w:val="000000" w:themeColor="text1"/>
          <w:sz w:val="24"/>
          <w:szCs w:val="24"/>
          <w:rtl/>
          <w:lang w:bidi="ar-DZ"/>
        </w:rPr>
        <w:t xml:space="preserve">لمرونة الحضرية </w:t>
      </w:r>
      <w:r>
        <w:rPr>
          <w:rFonts w:ascii="Simplified Arabic" w:hAnsi="Simplified Arabic" w:cs="Simplified Arabic" w:hint="cs"/>
          <w:color w:val="000000" w:themeColor="text1"/>
          <w:sz w:val="24"/>
          <w:szCs w:val="24"/>
          <w:rtl/>
          <w:lang w:bidi="ar-DZ"/>
        </w:rPr>
        <w:t xml:space="preserve">التي عالجت </w:t>
      </w:r>
      <w:r w:rsidRPr="00774E1C">
        <w:rPr>
          <w:rFonts w:ascii="Simplified Arabic" w:hAnsi="Simplified Arabic" w:cs="Simplified Arabic"/>
          <w:color w:val="000000" w:themeColor="text1"/>
          <w:sz w:val="24"/>
          <w:szCs w:val="24"/>
          <w:rtl/>
          <w:lang w:bidi="ar-DZ"/>
        </w:rPr>
        <w:t>نظم البيئة الحضرية.</w:t>
      </w:r>
      <w:r w:rsidRPr="003C4B55">
        <w:rPr>
          <w:rFonts w:ascii="Simplified Arabic" w:hAnsi="Simplified Arabic" w:cs="Simplified Arabic" w:hint="cs"/>
          <w:color w:val="000000" w:themeColor="text1"/>
          <w:sz w:val="24"/>
          <w:szCs w:val="24"/>
          <w:rtl/>
        </w:rPr>
        <w:t xml:space="preserve"> </w:t>
      </w:r>
      <w:r>
        <w:rPr>
          <w:rFonts w:ascii="Simplified Arabic" w:hAnsi="Simplified Arabic" w:cs="Simplified Arabic" w:hint="cs"/>
          <w:color w:val="000000" w:themeColor="text1"/>
          <w:sz w:val="24"/>
          <w:szCs w:val="24"/>
          <w:rtl/>
        </w:rPr>
        <w:t>في البحث الحالي، تم التركيز على البعد الفيزيائي للمرونة من خلال استكشاف وتحليل التوزيع المكاني ل</w:t>
      </w:r>
      <w:r>
        <w:rPr>
          <w:rFonts w:ascii="Simplified Arabic" w:hAnsi="Simplified Arabic" w:cs="Simplified Arabic" w:hint="cs"/>
          <w:sz w:val="24"/>
          <w:szCs w:val="24"/>
          <w:rtl/>
        </w:rPr>
        <w:t>استعمال</w:t>
      </w:r>
      <w:r>
        <w:rPr>
          <w:rFonts w:ascii="Simplified Arabic" w:hAnsi="Simplified Arabic" w:cs="Simplified Arabic" w:hint="cs"/>
          <w:color w:val="000000" w:themeColor="text1"/>
          <w:sz w:val="24"/>
          <w:szCs w:val="24"/>
          <w:rtl/>
        </w:rPr>
        <w:t xml:space="preserve"> الارض </w:t>
      </w:r>
      <w:r w:rsidRPr="00B34603">
        <w:rPr>
          <w:rFonts w:ascii="Simplified Arabic" w:hAnsi="Simplified Arabic" w:cs="Simplified Arabic" w:hint="cs"/>
          <w:color w:val="000000" w:themeColor="text1"/>
          <w:sz w:val="24"/>
          <w:szCs w:val="24"/>
          <w:rtl/>
          <w:lang w:bidi="ar-DZ"/>
        </w:rPr>
        <w:t>الحضرية</w:t>
      </w:r>
      <w:r>
        <w:rPr>
          <w:rFonts w:ascii="Simplified Arabic" w:hAnsi="Simplified Arabic" w:cs="Simplified Arabic" w:hint="cs"/>
          <w:color w:val="000000" w:themeColor="text1"/>
          <w:sz w:val="24"/>
          <w:szCs w:val="24"/>
          <w:rtl/>
          <w:lang w:bidi="ar-DZ"/>
        </w:rPr>
        <w:t xml:space="preserve"> واستكشاف اهم العوامل الفيزيائية التي يمكن ان تؤثر على مستويات المرونة الحضرية.</w:t>
      </w:r>
    </w:p>
    <w:p w:rsidR="00B859B4" w:rsidRDefault="00B859B4" w:rsidP="00B859B4">
      <w:pPr>
        <w:bidi/>
        <w:spacing w:after="0"/>
        <w:ind w:firstLine="283"/>
        <w:jc w:val="both"/>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يُ</w:t>
      </w:r>
      <w:r w:rsidRPr="004A583D">
        <w:rPr>
          <w:rFonts w:ascii="Simplified Arabic" w:hAnsi="Simplified Arabic" w:cs="Simplified Arabic" w:hint="cs"/>
          <w:color w:val="000000" w:themeColor="text1"/>
          <w:sz w:val="24"/>
          <w:szCs w:val="24"/>
          <w:rtl/>
          <w:lang w:bidi="ar-DZ"/>
        </w:rPr>
        <w:t>ظهر</w:t>
      </w:r>
      <w:r w:rsidRPr="004A583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تحليل</w:t>
      </w:r>
      <w:r w:rsidRPr="00774E1C">
        <w:rPr>
          <w:rFonts w:ascii="Simplified Arabic" w:hAnsi="Simplified Arabic" w:cs="Simplified Arabic"/>
          <w:color w:val="000000" w:themeColor="text1"/>
          <w:sz w:val="24"/>
          <w:szCs w:val="24"/>
          <w:rtl/>
          <w:lang w:bidi="ar-DZ"/>
        </w:rPr>
        <w:t xml:space="preserve"> أطر ونماذج المرونة</w:t>
      </w:r>
      <w:r w:rsidRPr="004A583D">
        <w:rPr>
          <w:rFonts w:ascii="Simplified Arabic" w:hAnsi="Simplified Arabic" w:cs="Simplified Arabic" w:hint="cs"/>
          <w:color w:val="000000" w:themeColor="text1"/>
          <w:sz w:val="24"/>
          <w:szCs w:val="24"/>
          <w:rtl/>
          <w:lang w:bidi="ar-DZ"/>
        </w:rPr>
        <w:t xml:space="preserve"> أيضًا</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أنه</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يجب</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إيلاء</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المزيد</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من</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الاهتمام</w:t>
      </w:r>
      <w:r w:rsidRPr="004A583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للأخذ بآراء الخبراء اثناء انتقاء العوامل المرتبطة بالتوزيع المكاني ل</w:t>
      </w:r>
      <w:r>
        <w:rPr>
          <w:rFonts w:ascii="Simplified Arabic" w:hAnsi="Simplified Arabic" w:cs="Simplified Arabic" w:hint="cs"/>
          <w:sz w:val="24"/>
          <w:szCs w:val="24"/>
          <w:rtl/>
        </w:rPr>
        <w:t>استعمال</w:t>
      </w:r>
      <w:r>
        <w:rPr>
          <w:rFonts w:ascii="Simplified Arabic" w:hAnsi="Simplified Arabic" w:cs="Simplified Arabic" w:hint="cs"/>
          <w:color w:val="000000" w:themeColor="text1"/>
          <w:sz w:val="24"/>
          <w:szCs w:val="24"/>
          <w:rtl/>
          <w:lang w:bidi="ar-DZ"/>
        </w:rPr>
        <w:t xml:space="preserve"> الارض الحضرية التي يمكن ان تسهم في عملية تقييم المرونة الحضرية واهمية </w:t>
      </w:r>
      <w:r w:rsidRPr="004A583D">
        <w:rPr>
          <w:rFonts w:ascii="Simplified Arabic" w:hAnsi="Simplified Arabic" w:cs="Simplified Arabic" w:hint="cs"/>
          <w:color w:val="000000" w:themeColor="text1"/>
          <w:sz w:val="24"/>
          <w:szCs w:val="24"/>
          <w:rtl/>
          <w:lang w:bidi="ar-DZ"/>
        </w:rPr>
        <w:t>مشاركة</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أصحاب</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المصلحة</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من السكان المحليين في</w:t>
      </w:r>
      <w:r w:rsidRPr="004A583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توجيه التنمية المحلية</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و</w:t>
      </w:r>
      <w:r>
        <w:rPr>
          <w:rFonts w:ascii="Simplified Arabic" w:hAnsi="Simplified Arabic" w:cs="Simplified Arabic" w:hint="cs"/>
          <w:color w:val="000000" w:themeColor="text1"/>
          <w:sz w:val="24"/>
          <w:szCs w:val="24"/>
          <w:rtl/>
          <w:lang w:bidi="ar-DZ"/>
        </w:rPr>
        <w:t>ي</w:t>
      </w:r>
      <w:r w:rsidRPr="004A583D">
        <w:rPr>
          <w:rFonts w:ascii="Simplified Arabic" w:hAnsi="Simplified Arabic" w:cs="Simplified Arabic" w:hint="cs"/>
          <w:color w:val="000000" w:themeColor="text1"/>
          <w:sz w:val="24"/>
          <w:szCs w:val="24"/>
          <w:rtl/>
          <w:lang w:bidi="ar-DZ"/>
        </w:rPr>
        <w:t>ختتم</w:t>
      </w:r>
      <w:r w:rsidRPr="004A583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الفصل</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بإلقاء</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الضوء</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على</w:t>
      </w:r>
      <w:r w:rsidRPr="004A583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الفجوة العلمية</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التي</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تحتاج</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إلى</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معالجة</w:t>
      </w:r>
      <w:r w:rsidRPr="004A583D">
        <w:rPr>
          <w:rFonts w:ascii="Simplified Arabic" w:hAnsi="Simplified Arabic" w:cs="Simplified Arabic"/>
          <w:color w:val="000000" w:themeColor="text1"/>
          <w:sz w:val="24"/>
          <w:szCs w:val="24"/>
          <w:rtl/>
          <w:lang w:bidi="ar-DZ"/>
        </w:rPr>
        <w:t xml:space="preserve"> </w:t>
      </w:r>
      <w:r w:rsidRPr="004A583D">
        <w:rPr>
          <w:rFonts w:ascii="Simplified Arabic" w:hAnsi="Simplified Arabic" w:cs="Simplified Arabic" w:hint="cs"/>
          <w:color w:val="000000" w:themeColor="text1"/>
          <w:sz w:val="24"/>
          <w:szCs w:val="24"/>
          <w:rtl/>
          <w:lang w:bidi="ar-DZ"/>
        </w:rPr>
        <w:t>ومناقشة</w:t>
      </w:r>
      <w:r w:rsidRPr="004A583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 xml:space="preserve">لتلك العلاقة القائمة بين </w:t>
      </w:r>
      <w:r>
        <w:rPr>
          <w:rFonts w:ascii="Simplified Arabic" w:hAnsi="Simplified Arabic" w:cs="Simplified Arabic" w:hint="cs"/>
          <w:sz w:val="24"/>
          <w:szCs w:val="24"/>
          <w:rtl/>
        </w:rPr>
        <w:t>استعمال</w:t>
      </w:r>
      <w:r>
        <w:rPr>
          <w:rFonts w:ascii="Simplified Arabic" w:hAnsi="Simplified Arabic" w:cs="Simplified Arabic" w:hint="cs"/>
          <w:color w:val="000000" w:themeColor="text1"/>
          <w:sz w:val="24"/>
          <w:szCs w:val="24"/>
          <w:rtl/>
          <w:lang w:bidi="ar-DZ"/>
        </w:rPr>
        <w:t>ات الارض الحضرية والمرونة الحضرية واهمية تحديد العوامل التي تؤثر في تباين مستويات المرونة الحضرية على مستوى المدينة</w:t>
      </w:r>
      <w:r w:rsidRPr="004A583D">
        <w:rPr>
          <w:rFonts w:ascii="Simplified Arabic" w:hAnsi="Simplified Arabic" w:cs="Simplified Arabic"/>
          <w:color w:val="000000" w:themeColor="text1"/>
          <w:sz w:val="24"/>
          <w:szCs w:val="24"/>
          <w:rtl/>
          <w:lang w:bidi="ar-DZ"/>
        </w:rPr>
        <w:t>.</w:t>
      </w:r>
    </w:p>
    <w:p w:rsidR="00B859B4" w:rsidRDefault="00B859B4" w:rsidP="00B859B4">
      <w:pPr>
        <w:bidi/>
        <w:spacing w:after="0"/>
        <w:jc w:val="center"/>
        <w:rPr>
          <w:rFonts w:ascii="Simplified Arabic" w:hAnsi="Simplified Arabic" w:cs="Simplified Arabic"/>
          <w:color w:val="000000" w:themeColor="text1"/>
          <w:sz w:val="24"/>
          <w:szCs w:val="24"/>
          <w:rtl/>
          <w:lang w:bidi="ar-DZ"/>
        </w:rPr>
      </w:pPr>
    </w:p>
    <w:p w:rsidR="00345EA2" w:rsidRDefault="00345EA2" w:rsidP="009911F2">
      <w:pPr>
        <w:bidi/>
        <w:spacing w:after="0"/>
        <w:jc w:val="center"/>
        <w:rPr>
          <w:rFonts w:ascii="Simplified Arabic" w:hAnsi="Simplified Arabic" w:cs="Simplified Arabic"/>
          <w:color w:val="000000" w:themeColor="text1"/>
          <w:sz w:val="24"/>
          <w:szCs w:val="24"/>
          <w:rtl/>
          <w:lang w:bidi="ar-DZ"/>
        </w:rPr>
        <w:sectPr w:rsidR="00345EA2" w:rsidSect="004065DF">
          <w:headerReference w:type="default" r:id="rId132"/>
          <w:footerReference w:type="default" r:id="rId133"/>
          <w:headerReference w:type="first" r:id="rId134"/>
          <w:footerReference w:type="first" r:id="rId135"/>
          <w:pgSz w:w="11906" w:h="16838"/>
          <w:pgMar w:top="1418" w:right="1700" w:bottom="1418" w:left="1134" w:header="709" w:footer="709" w:gutter="0"/>
          <w:pgNumType w:start="55"/>
          <w:cols w:space="708"/>
          <w:titlePg/>
          <w:docGrid w:linePitch="360"/>
        </w:sectPr>
      </w:pPr>
    </w:p>
    <w:p w:rsidR="000B42BD" w:rsidRDefault="000B42BD" w:rsidP="009911F2">
      <w:pPr>
        <w:bidi/>
        <w:spacing w:after="0"/>
        <w:jc w:val="center"/>
        <w:rPr>
          <w:rFonts w:ascii="Simplified Arabic" w:hAnsi="Simplified Arabic" w:cs="Simplified Arabic"/>
          <w:color w:val="000000" w:themeColor="text1"/>
          <w:sz w:val="24"/>
          <w:szCs w:val="24"/>
          <w:rtl/>
          <w:lang w:bidi="ar-DZ"/>
        </w:r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F90BBA" w:rsidRDefault="00F90BBA" w:rsidP="000B42BD">
      <w:pPr>
        <w:bidi/>
        <w:spacing w:after="0" w:line="360" w:lineRule="auto"/>
        <w:jc w:val="both"/>
        <w:rPr>
          <w:rFonts w:ascii="Simplified Arabic" w:hAnsi="Simplified Arabic" w:cs="Simplified Arabic"/>
          <w:b/>
          <w:bCs/>
          <w:sz w:val="24"/>
          <w:szCs w:val="24"/>
          <w:rtl/>
          <w:lang w:bidi="ar-DZ"/>
        </w:rPr>
        <w:sectPr w:rsidR="00F90BBA" w:rsidSect="00345EA2">
          <w:headerReference w:type="first" r:id="rId136"/>
          <w:footerReference w:type="first" r:id="rId137"/>
          <w:pgSz w:w="11906" w:h="16838"/>
          <w:pgMar w:top="1418" w:right="1700" w:bottom="1418" w:left="1134" w:header="709" w:footer="709" w:gutter="0"/>
          <w:pgNumType w:start="57"/>
          <w:cols w:space="708"/>
          <w:titlePg/>
          <w:docGrid w:linePitch="360"/>
        </w:sect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B34260" w:rsidRDefault="00B34260" w:rsidP="009911F2">
      <w:pPr>
        <w:bidi/>
        <w:spacing w:after="0" w:line="360" w:lineRule="auto"/>
        <w:jc w:val="center"/>
        <w:rPr>
          <w:rFonts w:ascii="Simplified Arabic" w:hAnsi="Simplified Arabic" w:cs="Simplified Arabic"/>
          <w:b/>
          <w:bCs/>
          <w:sz w:val="24"/>
          <w:szCs w:val="24"/>
          <w:rtl/>
          <w:lang w:bidi="ar-DZ"/>
        </w:r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0B42BD" w:rsidRDefault="000B42BD" w:rsidP="009911F2">
      <w:pPr>
        <w:bidi/>
        <w:spacing w:after="0" w:line="360" w:lineRule="auto"/>
        <w:jc w:val="center"/>
        <w:rPr>
          <w:rFonts w:ascii="Simplified Arabic" w:hAnsi="Simplified Arabic" w:cs="Simplified Arabic"/>
          <w:b/>
          <w:bCs/>
          <w:sz w:val="24"/>
          <w:szCs w:val="24"/>
          <w:rtl/>
          <w:lang w:bidi="ar-DZ"/>
        </w:rPr>
      </w:pPr>
    </w:p>
    <w:p w:rsidR="000B42BD" w:rsidRPr="00420034" w:rsidRDefault="000B42BD" w:rsidP="00230FAB">
      <w:pPr>
        <w:pStyle w:val="Photo"/>
        <w:bidi w:val="0"/>
        <w:spacing w:before="0"/>
        <w:rPr>
          <w:sz w:val="36"/>
          <w:szCs w:val="36"/>
          <w:lang w:val="en-US" w:bidi="ar-DZ"/>
        </w:rPr>
      </w:pPr>
      <w:bookmarkStart w:id="387" w:name="_Toc157608303"/>
      <w:bookmarkStart w:id="388" w:name="_Toc157612975"/>
      <w:bookmarkStart w:id="389" w:name="_Toc157616582"/>
      <w:bookmarkStart w:id="390" w:name="_Toc157618641"/>
      <w:bookmarkStart w:id="391" w:name="_Toc171803501"/>
      <w:r w:rsidRPr="00420034">
        <w:rPr>
          <w:sz w:val="36"/>
          <w:szCs w:val="36"/>
          <w:rtl/>
          <w:lang w:val="en-US" w:bidi="ar-DZ"/>
        </w:rPr>
        <w:t>الفصل</w:t>
      </w:r>
      <w:r w:rsidRPr="00420034">
        <w:rPr>
          <w:rFonts w:hint="cs"/>
          <w:sz w:val="36"/>
          <w:szCs w:val="36"/>
          <w:rtl/>
          <w:lang w:val="en-US" w:bidi="ar-DZ"/>
        </w:rPr>
        <w:t xml:space="preserve"> 3: </w:t>
      </w:r>
      <w:r w:rsidR="00277CB2" w:rsidRPr="00420034">
        <w:rPr>
          <w:rFonts w:hint="cs"/>
          <w:sz w:val="36"/>
          <w:szCs w:val="36"/>
          <w:rtl/>
          <w:lang w:val="en-US" w:bidi="ar-DZ"/>
        </w:rPr>
        <w:t>تطوير اطار عمل</w:t>
      </w:r>
      <w:r w:rsidR="00277CB2" w:rsidRPr="00420034">
        <w:rPr>
          <w:sz w:val="36"/>
          <w:szCs w:val="36"/>
          <w:rtl/>
          <w:lang w:val="en-US" w:bidi="ar-DZ"/>
        </w:rPr>
        <w:t xml:space="preserve"> </w:t>
      </w:r>
      <w:r w:rsidR="00277CB2" w:rsidRPr="00420034">
        <w:rPr>
          <w:rFonts w:hint="cs"/>
          <w:sz w:val="36"/>
          <w:szCs w:val="36"/>
          <w:rtl/>
          <w:lang w:val="en-US" w:bidi="ar-DZ"/>
        </w:rPr>
        <w:t>ل</w:t>
      </w:r>
      <w:r w:rsidR="00277CB2" w:rsidRPr="00420034">
        <w:rPr>
          <w:sz w:val="36"/>
          <w:szCs w:val="36"/>
          <w:rtl/>
          <w:lang w:val="en-US" w:bidi="ar-DZ"/>
        </w:rPr>
        <w:t xml:space="preserve">تقييم </w:t>
      </w:r>
      <w:r w:rsidR="00A670D4" w:rsidRPr="00420034">
        <w:rPr>
          <w:rFonts w:hint="cs"/>
          <w:sz w:val="36"/>
          <w:szCs w:val="36"/>
          <w:rtl/>
          <w:lang w:val="en-US" w:bidi="ar-DZ"/>
        </w:rPr>
        <w:t xml:space="preserve">مستويات </w:t>
      </w:r>
      <w:r w:rsidR="00277CB2" w:rsidRPr="00420034">
        <w:rPr>
          <w:rFonts w:hint="cs"/>
          <w:sz w:val="36"/>
          <w:szCs w:val="36"/>
          <w:rtl/>
          <w:lang w:val="en-US" w:bidi="ar-DZ"/>
        </w:rPr>
        <w:t>المرونة</w:t>
      </w:r>
      <w:r w:rsidR="00277CB2" w:rsidRPr="00420034">
        <w:rPr>
          <w:sz w:val="36"/>
          <w:szCs w:val="36"/>
          <w:rtl/>
          <w:lang w:val="en-US" w:bidi="ar-DZ"/>
        </w:rPr>
        <w:t xml:space="preserve"> الحضرية</w:t>
      </w:r>
      <w:bookmarkEnd w:id="387"/>
      <w:bookmarkEnd w:id="388"/>
      <w:bookmarkEnd w:id="389"/>
      <w:bookmarkEnd w:id="390"/>
      <w:bookmarkEnd w:id="391"/>
      <w:r w:rsidR="00277CB2" w:rsidRPr="00420034">
        <w:rPr>
          <w:rFonts w:hint="cs"/>
          <w:sz w:val="36"/>
          <w:szCs w:val="36"/>
          <w:rtl/>
          <w:lang w:val="en-US" w:bidi="ar-DZ"/>
        </w:rPr>
        <w:t xml:space="preserve"> </w:t>
      </w:r>
    </w:p>
    <w:p w:rsidR="000B42BD" w:rsidRPr="00B66BA7" w:rsidRDefault="000B42BD" w:rsidP="000B42BD">
      <w:pPr>
        <w:bidi/>
        <w:jc w:val="center"/>
        <w:rPr>
          <w:rFonts w:ascii="Simplified Arabic" w:hAnsi="Simplified Arabic" w:cs="Simplified Arabic"/>
          <w:b/>
          <w:bCs/>
          <w:sz w:val="36"/>
          <w:szCs w:val="36"/>
          <w:rtl/>
          <w:lang w:val="en-US" w:bidi="ar-DZ"/>
        </w:rPr>
      </w:pPr>
    </w:p>
    <w:p w:rsidR="000B42BD" w:rsidRPr="009911F2" w:rsidRDefault="000B42BD" w:rsidP="009911F2">
      <w:pPr>
        <w:bidi/>
        <w:spacing w:after="0" w:line="240" w:lineRule="auto"/>
        <w:jc w:val="center"/>
        <w:rPr>
          <w:rFonts w:ascii="Simplified Arabic" w:hAnsi="Simplified Arabic" w:cs="Simplified Arabic"/>
          <w:b/>
          <w:bCs/>
          <w:sz w:val="28"/>
          <w:szCs w:val="28"/>
          <w:rtl/>
          <w:lang w:bidi="ar-DZ"/>
        </w:rPr>
      </w:pPr>
    </w:p>
    <w:p w:rsidR="000B42BD" w:rsidRDefault="000B42BD" w:rsidP="009911F2">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9D3D84" w:rsidRDefault="009D3D84" w:rsidP="009D3D84">
      <w:pPr>
        <w:bidi/>
        <w:spacing w:after="0" w:line="240" w:lineRule="auto"/>
        <w:jc w:val="center"/>
        <w:rPr>
          <w:rFonts w:ascii="Simplified Arabic" w:hAnsi="Simplified Arabic" w:cs="Simplified Arabic"/>
          <w:b/>
          <w:bCs/>
          <w:sz w:val="28"/>
          <w:szCs w:val="28"/>
          <w:rtl/>
          <w:lang w:bidi="ar-DZ"/>
        </w:rPr>
      </w:pPr>
    </w:p>
    <w:p w:rsidR="00F06308" w:rsidRDefault="00F06308" w:rsidP="00F06308">
      <w:pPr>
        <w:bidi/>
        <w:spacing w:after="0" w:line="240" w:lineRule="auto"/>
        <w:jc w:val="center"/>
        <w:rPr>
          <w:rFonts w:ascii="Simplified Arabic" w:hAnsi="Simplified Arabic" w:cs="Simplified Arabic"/>
          <w:b/>
          <w:bCs/>
          <w:sz w:val="28"/>
          <w:szCs w:val="28"/>
          <w:rtl/>
          <w:lang w:bidi="ar-DZ"/>
        </w:rPr>
      </w:pPr>
    </w:p>
    <w:p w:rsidR="00F06308" w:rsidRDefault="00F06308" w:rsidP="00F06308">
      <w:pPr>
        <w:bidi/>
        <w:spacing w:after="0" w:line="240" w:lineRule="auto"/>
        <w:jc w:val="center"/>
        <w:rPr>
          <w:rFonts w:ascii="Simplified Arabic" w:hAnsi="Simplified Arabic" w:cs="Simplified Arabic"/>
          <w:b/>
          <w:bCs/>
          <w:sz w:val="28"/>
          <w:szCs w:val="28"/>
          <w:rtl/>
          <w:lang w:bidi="ar-DZ"/>
        </w:rPr>
      </w:pPr>
    </w:p>
    <w:p w:rsidR="00F90BBA" w:rsidRDefault="00F90BBA" w:rsidP="00F90BBA">
      <w:pPr>
        <w:tabs>
          <w:tab w:val="right" w:pos="282"/>
        </w:tabs>
        <w:bidi/>
        <w:spacing w:after="0"/>
        <w:ind w:firstLine="283"/>
        <w:jc w:val="both"/>
        <w:rPr>
          <w:rFonts w:ascii="Simplified Arabic" w:hAnsi="Simplified Arabic" w:cs="Simplified Arabic"/>
          <w:sz w:val="24"/>
          <w:szCs w:val="24"/>
          <w:rtl/>
        </w:rPr>
        <w:sectPr w:rsidR="00F90BBA" w:rsidSect="00D47DF1">
          <w:headerReference w:type="default" r:id="rId138"/>
          <w:footerReference w:type="default" r:id="rId139"/>
          <w:headerReference w:type="first" r:id="rId140"/>
          <w:footerReference w:type="first" r:id="rId141"/>
          <w:type w:val="continuous"/>
          <w:pgSz w:w="11906" w:h="16838"/>
          <w:pgMar w:top="1418" w:right="1700" w:bottom="1418" w:left="1134" w:header="709" w:footer="709" w:gutter="0"/>
          <w:pgNumType w:start="82"/>
          <w:cols w:space="708"/>
          <w:titlePg/>
          <w:docGrid w:linePitch="360"/>
        </w:sectPr>
      </w:pPr>
    </w:p>
    <w:p w:rsidR="00C401F0" w:rsidRDefault="00C401F0" w:rsidP="008111DB">
      <w:pPr>
        <w:tabs>
          <w:tab w:val="right" w:pos="282"/>
        </w:tabs>
        <w:bidi/>
        <w:spacing w:after="0"/>
        <w:ind w:firstLine="284"/>
        <w:jc w:val="both"/>
        <w:outlineLvl w:val="0"/>
        <w:rPr>
          <w:rFonts w:ascii="Simplified Arabic" w:hAnsi="Simplified Arabic" w:cs="Simplified Arabic"/>
          <w:sz w:val="24"/>
          <w:szCs w:val="24"/>
          <w:rtl/>
        </w:rPr>
      </w:pPr>
      <w:bookmarkStart w:id="392" w:name="_Toc171803502"/>
      <w:r>
        <w:rPr>
          <w:rFonts w:ascii="Simplified Arabic" w:hAnsi="Simplified Arabic" w:cs="Simplified Arabic" w:hint="cs"/>
          <w:b/>
          <w:bCs/>
          <w:sz w:val="24"/>
          <w:szCs w:val="24"/>
          <w:rtl/>
          <w:lang w:val="en-US" w:bidi="ar-DZ"/>
        </w:rPr>
        <w:lastRenderedPageBreak/>
        <w:t>تمهيد</w:t>
      </w:r>
      <w:bookmarkEnd w:id="392"/>
      <w:r w:rsidRPr="003654C9">
        <w:rPr>
          <w:rFonts w:ascii="Simplified Arabic" w:hAnsi="Simplified Arabic" w:cs="Simplified Arabic" w:hint="cs"/>
          <w:sz w:val="24"/>
          <w:szCs w:val="24"/>
          <w:rtl/>
        </w:rPr>
        <w:t xml:space="preserve"> </w:t>
      </w:r>
    </w:p>
    <w:p w:rsidR="000B42BD" w:rsidRPr="003654C9" w:rsidRDefault="000B42BD" w:rsidP="00C401F0">
      <w:pPr>
        <w:tabs>
          <w:tab w:val="right" w:pos="282"/>
        </w:tabs>
        <w:bidi/>
        <w:spacing w:after="0"/>
        <w:ind w:firstLine="283"/>
        <w:jc w:val="both"/>
        <w:rPr>
          <w:rFonts w:ascii="Simplified Arabic" w:hAnsi="Simplified Arabic" w:cs="Simplified Arabic"/>
          <w:color w:val="000000" w:themeColor="text1"/>
          <w:sz w:val="24"/>
          <w:szCs w:val="24"/>
          <w:rtl/>
          <w:lang w:val="en-US"/>
        </w:rPr>
      </w:pPr>
      <w:r w:rsidRPr="003654C9">
        <w:rPr>
          <w:rFonts w:ascii="Simplified Arabic" w:hAnsi="Simplified Arabic" w:cs="Simplified Arabic" w:hint="cs"/>
          <w:sz w:val="24"/>
          <w:szCs w:val="24"/>
          <w:rtl/>
        </w:rPr>
        <w:t>يسعى</w:t>
      </w:r>
      <w:r w:rsidRPr="003654C9">
        <w:rPr>
          <w:rFonts w:ascii="Simplified Arabic" w:hAnsi="Simplified Arabic" w:cs="Simplified Arabic"/>
          <w:sz w:val="24"/>
          <w:szCs w:val="24"/>
          <w:rtl/>
        </w:rPr>
        <w:t xml:space="preserve"> هذا الفصل، </w:t>
      </w:r>
      <w:r w:rsidRPr="003654C9">
        <w:rPr>
          <w:rFonts w:ascii="Simplified Arabic" w:hAnsi="Simplified Arabic" w:cs="Simplified Arabic" w:hint="cs"/>
          <w:sz w:val="24"/>
          <w:szCs w:val="24"/>
          <w:rtl/>
        </w:rPr>
        <w:t>الى تقديم المنهجية</w:t>
      </w:r>
      <w:r w:rsidRPr="003654C9">
        <w:rPr>
          <w:rFonts w:ascii="Simplified Arabic" w:hAnsi="Simplified Arabic" w:cs="Simplified Arabic"/>
          <w:sz w:val="24"/>
          <w:szCs w:val="24"/>
          <w:rtl/>
        </w:rPr>
        <w:t xml:space="preserve"> </w:t>
      </w:r>
      <w:r w:rsidRPr="003654C9">
        <w:rPr>
          <w:rFonts w:ascii="Simplified Arabic" w:hAnsi="Simplified Arabic" w:cs="Simplified Arabic" w:hint="cs"/>
          <w:sz w:val="24"/>
          <w:szCs w:val="24"/>
          <w:rtl/>
        </w:rPr>
        <w:t xml:space="preserve">المتبعة لتطوير </w:t>
      </w:r>
      <w:r w:rsidR="009F1DDA">
        <w:rPr>
          <w:rFonts w:ascii="Simplified Arabic" w:hAnsi="Simplified Arabic" w:cs="Simplified Arabic" w:hint="cs"/>
          <w:sz w:val="24"/>
          <w:szCs w:val="24"/>
          <w:rtl/>
        </w:rPr>
        <w:t>اطار العمل</w:t>
      </w:r>
      <w:r w:rsidRPr="003654C9">
        <w:rPr>
          <w:rFonts w:ascii="Simplified Arabic" w:hAnsi="Simplified Arabic" w:cs="Simplified Arabic"/>
          <w:sz w:val="24"/>
          <w:szCs w:val="24"/>
          <w:rtl/>
        </w:rPr>
        <w:t xml:space="preserve"> </w:t>
      </w:r>
      <w:r w:rsidRPr="003654C9">
        <w:rPr>
          <w:rFonts w:ascii="Simplified Arabic" w:hAnsi="Simplified Arabic" w:cs="Simplified Arabic" w:hint="cs"/>
          <w:sz w:val="24"/>
          <w:szCs w:val="24"/>
          <w:rtl/>
        </w:rPr>
        <w:t>المقترح</w:t>
      </w:r>
      <w:r w:rsidRPr="003654C9">
        <w:rPr>
          <w:rFonts w:ascii="Simplified Arabic" w:hAnsi="Simplified Arabic" w:cs="Simplified Arabic"/>
          <w:sz w:val="24"/>
          <w:szCs w:val="24"/>
          <w:rtl/>
        </w:rPr>
        <w:t xml:space="preserve"> </w:t>
      </w:r>
      <w:r w:rsidRPr="003654C9">
        <w:rPr>
          <w:rFonts w:ascii="Simplified Arabic" w:hAnsi="Simplified Arabic" w:cs="Simplified Arabic" w:hint="cs"/>
          <w:sz w:val="24"/>
          <w:szCs w:val="24"/>
          <w:rtl/>
        </w:rPr>
        <w:t>ل</w:t>
      </w:r>
      <w:r w:rsidRPr="003654C9">
        <w:rPr>
          <w:rFonts w:ascii="Simplified Arabic" w:hAnsi="Simplified Arabic" w:cs="Simplified Arabic"/>
          <w:sz w:val="24"/>
          <w:szCs w:val="24"/>
          <w:rtl/>
        </w:rPr>
        <w:t xml:space="preserve">تقييم </w:t>
      </w:r>
      <w:r w:rsidRPr="003654C9">
        <w:rPr>
          <w:rFonts w:ascii="Simplified Arabic" w:hAnsi="Simplified Arabic" w:cs="Simplified Arabic" w:hint="cs"/>
          <w:sz w:val="24"/>
          <w:szCs w:val="24"/>
          <w:rtl/>
        </w:rPr>
        <w:t>المرونة</w:t>
      </w:r>
      <w:r w:rsidRPr="003654C9">
        <w:rPr>
          <w:rFonts w:ascii="Simplified Arabic" w:hAnsi="Simplified Arabic" w:cs="Simplified Arabic"/>
          <w:sz w:val="24"/>
          <w:szCs w:val="24"/>
          <w:rtl/>
        </w:rPr>
        <w:t xml:space="preserve"> الحضرية</w:t>
      </w:r>
      <w:r w:rsidRPr="003654C9">
        <w:rPr>
          <w:rFonts w:ascii="Simplified Arabic" w:hAnsi="Simplified Arabic" w:cs="Simplified Arabic" w:hint="cs"/>
          <w:sz w:val="24"/>
          <w:szCs w:val="24"/>
          <w:rtl/>
        </w:rPr>
        <w:t xml:space="preserve">، من خلال </w:t>
      </w:r>
      <w:r w:rsidRPr="003654C9">
        <w:rPr>
          <w:rFonts w:ascii="Simplified Arabic" w:hAnsi="Simplified Arabic" w:cs="Simplified Arabic"/>
          <w:sz w:val="24"/>
          <w:szCs w:val="24"/>
          <w:rtl/>
        </w:rPr>
        <w:t>تبن</w:t>
      </w:r>
      <w:r w:rsidRPr="003654C9">
        <w:rPr>
          <w:rFonts w:ascii="Simplified Arabic" w:hAnsi="Simplified Arabic" w:cs="Simplified Arabic" w:hint="cs"/>
          <w:sz w:val="24"/>
          <w:szCs w:val="24"/>
          <w:rtl/>
        </w:rPr>
        <w:t>ي</w:t>
      </w:r>
      <w:r w:rsidRPr="003654C9">
        <w:rPr>
          <w:rFonts w:ascii="Simplified Arabic" w:hAnsi="Simplified Arabic" w:cs="Simplified Arabic"/>
          <w:sz w:val="24"/>
          <w:szCs w:val="24"/>
          <w:rtl/>
        </w:rPr>
        <w:t xml:space="preserve"> من</w:t>
      </w:r>
      <w:r w:rsidR="00950A2F">
        <w:rPr>
          <w:rFonts w:ascii="Simplified Arabic" w:hAnsi="Simplified Arabic" w:cs="Simplified Arabic" w:hint="cs"/>
          <w:sz w:val="24"/>
          <w:szCs w:val="24"/>
          <w:rtl/>
        </w:rPr>
        <w:t>ا</w:t>
      </w:r>
      <w:r w:rsidRPr="003654C9">
        <w:rPr>
          <w:rFonts w:ascii="Simplified Arabic" w:hAnsi="Simplified Arabic" w:cs="Simplified Arabic"/>
          <w:sz w:val="24"/>
          <w:szCs w:val="24"/>
          <w:rtl/>
        </w:rPr>
        <w:t xml:space="preserve">هج </w:t>
      </w:r>
      <w:r w:rsidR="00950A2F">
        <w:rPr>
          <w:rFonts w:ascii="Simplified Arabic" w:hAnsi="Simplified Arabic" w:cs="Simplified Arabic" w:hint="cs"/>
          <w:sz w:val="24"/>
          <w:szCs w:val="24"/>
          <w:rtl/>
        </w:rPr>
        <w:t>و</w:t>
      </w:r>
      <w:r w:rsidRPr="003654C9">
        <w:rPr>
          <w:rFonts w:ascii="Simplified Arabic" w:hAnsi="Simplified Arabic" w:cs="Simplified Arabic"/>
          <w:sz w:val="24"/>
          <w:szCs w:val="24"/>
          <w:rtl/>
        </w:rPr>
        <w:t>تقنيات</w:t>
      </w:r>
      <w:r w:rsidRPr="003654C9">
        <w:rPr>
          <w:rFonts w:ascii="Simplified Arabic" w:hAnsi="Simplified Arabic" w:cs="Simplified Arabic" w:hint="cs"/>
          <w:sz w:val="24"/>
          <w:szCs w:val="24"/>
          <w:rtl/>
        </w:rPr>
        <w:t xml:space="preserve"> </w:t>
      </w:r>
      <w:r w:rsidR="00950A2F" w:rsidRPr="003654C9">
        <w:rPr>
          <w:rFonts w:ascii="Simplified Arabic" w:hAnsi="Simplified Arabic" w:cs="Simplified Arabic"/>
          <w:sz w:val="24"/>
          <w:szCs w:val="24"/>
          <w:rtl/>
        </w:rPr>
        <w:t>متعدد</w:t>
      </w:r>
      <w:r w:rsidR="00950A2F">
        <w:rPr>
          <w:rFonts w:ascii="Simplified Arabic" w:hAnsi="Simplified Arabic" w:cs="Simplified Arabic" w:hint="cs"/>
          <w:sz w:val="24"/>
          <w:szCs w:val="24"/>
          <w:rtl/>
        </w:rPr>
        <w:t>ة</w:t>
      </w:r>
      <w:r w:rsidR="00950A2F" w:rsidRPr="003654C9">
        <w:rPr>
          <w:rFonts w:ascii="Simplified Arabic" w:hAnsi="Simplified Arabic" w:cs="Simplified Arabic"/>
          <w:sz w:val="24"/>
          <w:szCs w:val="24"/>
          <w:rtl/>
        </w:rPr>
        <w:t xml:space="preserve"> </w:t>
      </w:r>
      <w:r w:rsidRPr="003654C9">
        <w:rPr>
          <w:rFonts w:ascii="Simplified Arabic" w:hAnsi="Simplified Arabic" w:cs="Simplified Arabic" w:hint="cs"/>
          <w:sz w:val="24"/>
          <w:szCs w:val="24"/>
          <w:rtl/>
        </w:rPr>
        <w:t xml:space="preserve">(تقنية الاستبيان الالكتروني، تقنية خبراء دلفي، </w:t>
      </w:r>
      <w:r w:rsidRPr="003654C9">
        <w:rPr>
          <w:rFonts w:ascii="Simplified Arabic" w:hAnsi="Simplified Arabic" w:cs="Simplified Arabic"/>
          <w:sz w:val="24"/>
          <w:szCs w:val="24"/>
          <w:rtl/>
        </w:rPr>
        <w:t>عملية</w:t>
      </w:r>
      <w:r w:rsidRPr="003654C9">
        <w:rPr>
          <w:rFonts w:ascii="Simplified Arabic" w:hAnsi="Simplified Arabic" w:cs="Simplified Arabic"/>
          <w:color w:val="000000" w:themeColor="text1"/>
          <w:sz w:val="24"/>
          <w:szCs w:val="24"/>
          <w:rtl/>
          <w:lang w:val="en-US"/>
        </w:rPr>
        <w:t xml:space="preserve"> </w:t>
      </w:r>
      <w:r w:rsidRPr="003654C9">
        <w:rPr>
          <w:rFonts w:asciiTheme="majorBidi" w:hAnsiTheme="majorBidi" w:cstheme="majorBidi"/>
          <w:sz w:val="24"/>
          <w:szCs w:val="24"/>
          <w:rtl/>
        </w:rPr>
        <w:t>(</w:t>
      </w:r>
      <w:r w:rsidRPr="003654C9">
        <w:rPr>
          <w:rFonts w:asciiTheme="majorBidi" w:hAnsiTheme="majorBidi" w:cstheme="majorBidi"/>
          <w:sz w:val="24"/>
          <w:szCs w:val="24"/>
        </w:rPr>
        <w:t>AHP</w:t>
      </w:r>
      <w:r w:rsidRPr="003654C9">
        <w:rPr>
          <w:rFonts w:asciiTheme="majorBidi" w:hAnsiTheme="majorBidi" w:cstheme="majorBidi"/>
          <w:sz w:val="24"/>
          <w:szCs w:val="24"/>
          <w:rtl/>
        </w:rPr>
        <w:t>)</w:t>
      </w:r>
      <w:r w:rsidRPr="003654C9">
        <w:rPr>
          <w:rFonts w:ascii="Simplified Arabic" w:hAnsi="Simplified Arabic" w:cs="Simplified Arabic" w:hint="cs"/>
          <w:color w:val="000000" w:themeColor="text1"/>
          <w:sz w:val="24"/>
          <w:szCs w:val="24"/>
          <w:rtl/>
          <w:lang w:val="en-US"/>
        </w:rPr>
        <w:t xml:space="preserve">، تقنية </w:t>
      </w:r>
      <w:r w:rsidRPr="003654C9">
        <w:rPr>
          <w:rFonts w:ascii="Simplified Arabic" w:hAnsi="Simplified Arabic" w:cs="Simplified Arabic"/>
          <w:sz w:val="24"/>
          <w:szCs w:val="24"/>
          <w:rtl/>
        </w:rPr>
        <w:t>نظم المعلومات الجغرافية</w:t>
      </w:r>
      <w:r w:rsidRPr="003654C9">
        <w:rPr>
          <w:rFonts w:ascii="Simplified Arabic" w:hAnsi="Simplified Arabic" w:cs="Simplified Arabic"/>
          <w:color w:val="000000" w:themeColor="text1"/>
          <w:sz w:val="24"/>
          <w:szCs w:val="24"/>
          <w:rtl/>
          <w:lang w:val="en-US"/>
        </w:rPr>
        <w:t xml:space="preserve"> </w:t>
      </w:r>
      <w:r w:rsidRPr="003654C9">
        <w:rPr>
          <w:rFonts w:asciiTheme="majorBidi" w:hAnsiTheme="majorBidi" w:cstheme="majorBidi"/>
          <w:sz w:val="24"/>
          <w:szCs w:val="24"/>
          <w:rtl/>
        </w:rPr>
        <w:t>(</w:t>
      </w:r>
      <w:r w:rsidRPr="003654C9">
        <w:rPr>
          <w:rFonts w:asciiTheme="majorBidi" w:hAnsiTheme="majorBidi" w:cstheme="majorBidi"/>
          <w:sz w:val="24"/>
          <w:szCs w:val="24"/>
        </w:rPr>
        <w:t>GIS</w:t>
      </w:r>
      <w:r w:rsidRPr="003654C9">
        <w:rPr>
          <w:rFonts w:asciiTheme="majorBidi" w:hAnsiTheme="majorBidi" w:cstheme="majorBidi"/>
          <w:sz w:val="24"/>
          <w:szCs w:val="24"/>
          <w:rtl/>
        </w:rPr>
        <w:t>)</w:t>
      </w:r>
      <w:r w:rsidRPr="003654C9">
        <w:rPr>
          <w:rFonts w:asciiTheme="majorBidi" w:hAnsiTheme="majorBidi" w:cstheme="majorBidi" w:hint="cs"/>
          <w:sz w:val="24"/>
          <w:szCs w:val="24"/>
          <w:rtl/>
        </w:rPr>
        <w:t>)</w:t>
      </w:r>
      <w:r w:rsidRPr="003654C9">
        <w:rPr>
          <w:rFonts w:ascii="Simplified Arabic" w:hAnsi="Simplified Arabic" w:cs="Simplified Arabic" w:hint="cs"/>
          <w:sz w:val="24"/>
          <w:szCs w:val="24"/>
          <w:rtl/>
        </w:rPr>
        <w:t>.</w:t>
      </w:r>
      <w:r w:rsidRPr="003654C9">
        <w:rPr>
          <w:rFonts w:ascii="Simplified Arabic" w:hAnsi="Simplified Arabic" w:cs="Simplified Arabic"/>
          <w:sz w:val="24"/>
          <w:szCs w:val="24"/>
          <w:rtl/>
          <w:lang w:bidi="ar-DZ"/>
        </w:rPr>
        <w:t xml:space="preserve"> </w:t>
      </w:r>
      <w:r w:rsidRPr="003654C9">
        <w:rPr>
          <w:rFonts w:ascii="Simplified Arabic" w:hAnsi="Simplified Arabic" w:cs="Simplified Arabic" w:hint="cs"/>
          <w:sz w:val="24"/>
          <w:szCs w:val="24"/>
          <w:rtl/>
          <w:lang w:bidi="ar-DZ"/>
        </w:rPr>
        <w:t>ي</w:t>
      </w:r>
      <w:r w:rsidRPr="003654C9">
        <w:rPr>
          <w:rFonts w:ascii="Simplified Arabic" w:hAnsi="Simplified Arabic" w:cs="Simplified Arabic" w:hint="cs"/>
          <w:sz w:val="24"/>
          <w:szCs w:val="24"/>
          <w:rtl/>
          <w:lang w:val="en-US"/>
        </w:rPr>
        <w:t>تطرق هذا الفصل</w:t>
      </w:r>
      <w:r w:rsidRPr="003654C9">
        <w:rPr>
          <w:rFonts w:ascii="Simplified Arabic" w:hAnsi="Simplified Arabic" w:cs="Simplified Arabic"/>
          <w:sz w:val="24"/>
          <w:szCs w:val="24"/>
          <w:rtl/>
        </w:rPr>
        <w:t xml:space="preserve"> </w:t>
      </w:r>
      <w:r w:rsidRPr="003654C9">
        <w:rPr>
          <w:rFonts w:ascii="Simplified Arabic" w:hAnsi="Simplified Arabic" w:cs="Simplified Arabic" w:hint="cs"/>
          <w:sz w:val="24"/>
          <w:szCs w:val="24"/>
          <w:rtl/>
        </w:rPr>
        <w:t xml:space="preserve">الى ايضاح المراحل المتبعة لتطوير </w:t>
      </w:r>
      <w:r w:rsidR="009F1DDA">
        <w:rPr>
          <w:rFonts w:ascii="Simplified Arabic" w:hAnsi="Simplified Arabic" w:cs="Simplified Arabic" w:hint="cs"/>
          <w:sz w:val="24"/>
          <w:szCs w:val="24"/>
          <w:rtl/>
        </w:rPr>
        <w:t>اطار العمل</w:t>
      </w:r>
      <w:r w:rsidRPr="003654C9">
        <w:rPr>
          <w:rFonts w:ascii="Simplified Arabic" w:hAnsi="Simplified Arabic" w:cs="Simplified Arabic" w:hint="cs"/>
          <w:sz w:val="24"/>
          <w:szCs w:val="24"/>
          <w:rtl/>
        </w:rPr>
        <w:t xml:space="preserve"> المقترح والى شرح ال</w:t>
      </w:r>
      <w:r w:rsidRPr="003654C9">
        <w:rPr>
          <w:rFonts w:ascii="Simplified Arabic" w:hAnsi="Simplified Arabic" w:cs="Simplified Arabic"/>
          <w:sz w:val="24"/>
          <w:szCs w:val="24"/>
          <w:rtl/>
        </w:rPr>
        <w:t xml:space="preserve">تقنيات </w:t>
      </w:r>
      <w:r w:rsidRPr="003654C9">
        <w:rPr>
          <w:rFonts w:ascii="Simplified Arabic" w:hAnsi="Simplified Arabic" w:cs="Simplified Arabic" w:hint="cs"/>
          <w:sz w:val="24"/>
          <w:szCs w:val="24"/>
          <w:rtl/>
        </w:rPr>
        <w:t xml:space="preserve">المستخدمة لكل مرحلة. </w:t>
      </w:r>
      <w:r w:rsidRPr="003654C9">
        <w:rPr>
          <w:rFonts w:ascii="Simplified Arabic" w:hAnsi="Simplified Arabic" w:cs="Simplified Arabic"/>
          <w:sz w:val="24"/>
          <w:szCs w:val="24"/>
          <w:rtl/>
        </w:rPr>
        <w:t>كما يتم توضيح تكامل أساليب</w:t>
      </w:r>
      <w:r w:rsidRPr="003654C9">
        <w:rPr>
          <w:rFonts w:ascii="Simplified Arabic" w:hAnsi="Simplified Arabic" w:cs="Simplified Arabic"/>
          <w:color w:val="000000" w:themeColor="text1"/>
          <w:sz w:val="24"/>
          <w:szCs w:val="24"/>
          <w:rtl/>
          <w:lang w:val="en-US"/>
        </w:rPr>
        <w:t xml:space="preserve"> </w:t>
      </w:r>
      <w:r w:rsidRPr="003654C9">
        <w:rPr>
          <w:rFonts w:asciiTheme="majorBidi" w:hAnsiTheme="majorBidi" w:cstheme="majorBidi"/>
          <w:sz w:val="24"/>
          <w:szCs w:val="24"/>
          <w:rtl/>
        </w:rPr>
        <w:t>(</w:t>
      </w:r>
      <w:r w:rsidRPr="003654C9">
        <w:rPr>
          <w:rFonts w:asciiTheme="majorBidi" w:hAnsiTheme="majorBidi" w:cstheme="majorBidi"/>
          <w:sz w:val="24"/>
          <w:szCs w:val="24"/>
        </w:rPr>
        <w:t>MCDA</w:t>
      </w:r>
      <w:r w:rsidRPr="003654C9">
        <w:rPr>
          <w:rFonts w:asciiTheme="majorBidi" w:hAnsiTheme="majorBidi" w:cstheme="majorBidi"/>
          <w:sz w:val="24"/>
          <w:szCs w:val="24"/>
          <w:rtl/>
        </w:rPr>
        <w:t>)</w:t>
      </w:r>
      <w:r w:rsidRPr="003654C9">
        <w:rPr>
          <w:rFonts w:ascii="Simplified Arabic" w:hAnsi="Simplified Arabic" w:cs="Simplified Arabic"/>
          <w:color w:val="000000" w:themeColor="text1"/>
          <w:sz w:val="24"/>
          <w:szCs w:val="24"/>
          <w:rtl/>
          <w:lang w:val="en-US"/>
        </w:rPr>
        <w:t xml:space="preserve"> مثل عملية </w:t>
      </w:r>
      <w:r w:rsidRPr="003654C9">
        <w:rPr>
          <w:rFonts w:asciiTheme="majorBidi" w:hAnsiTheme="majorBidi" w:cstheme="majorBidi"/>
          <w:sz w:val="24"/>
          <w:szCs w:val="24"/>
          <w:rtl/>
        </w:rPr>
        <w:t>(</w:t>
      </w:r>
      <w:r w:rsidRPr="003654C9">
        <w:rPr>
          <w:rFonts w:asciiTheme="majorBidi" w:hAnsiTheme="majorBidi" w:cstheme="majorBidi"/>
          <w:sz w:val="24"/>
          <w:szCs w:val="24"/>
        </w:rPr>
        <w:t>AHP</w:t>
      </w:r>
      <w:r w:rsidRPr="003654C9">
        <w:rPr>
          <w:rFonts w:asciiTheme="majorBidi" w:hAnsiTheme="majorBidi" w:cstheme="majorBidi"/>
          <w:sz w:val="24"/>
          <w:szCs w:val="24"/>
          <w:rtl/>
        </w:rPr>
        <w:t>)</w:t>
      </w:r>
      <w:r w:rsidRPr="003654C9">
        <w:rPr>
          <w:rFonts w:ascii="Simplified Arabic" w:hAnsi="Simplified Arabic" w:cs="Simplified Arabic"/>
          <w:color w:val="000000" w:themeColor="text1"/>
          <w:sz w:val="24"/>
          <w:szCs w:val="24"/>
          <w:rtl/>
          <w:lang w:val="en-US"/>
        </w:rPr>
        <w:t xml:space="preserve"> </w:t>
      </w:r>
      <w:r w:rsidRPr="003654C9">
        <w:rPr>
          <w:rFonts w:ascii="Simplified Arabic" w:hAnsi="Simplified Arabic" w:cs="Simplified Arabic"/>
          <w:sz w:val="24"/>
          <w:szCs w:val="24"/>
          <w:rtl/>
        </w:rPr>
        <w:t>مع نظم المعلومات الجغرافية</w:t>
      </w:r>
      <w:r w:rsidRPr="003654C9">
        <w:rPr>
          <w:rFonts w:ascii="Simplified Arabic" w:hAnsi="Simplified Arabic" w:cs="Simplified Arabic"/>
          <w:color w:val="000000" w:themeColor="text1"/>
          <w:sz w:val="24"/>
          <w:szCs w:val="24"/>
          <w:rtl/>
          <w:lang w:val="en-US"/>
        </w:rPr>
        <w:t xml:space="preserve"> </w:t>
      </w:r>
      <w:r w:rsidRPr="003654C9">
        <w:rPr>
          <w:rFonts w:asciiTheme="majorBidi" w:hAnsiTheme="majorBidi" w:cstheme="majorBidi"/>
          <w:sz w:val="24"/>
          <w:szCs w:val="24"/>
          <w:rtl/>
        </w:rPr>
        <w:t>(</w:t>
      </w:r>
      <w:r w:rsidRPr="003654C9">
        <w:rPr>
          <w:rFonts w:asciiTheme="majorBidi" w:hAnsiTheme="majorBidi" w:cstheme="majorBidi"/>
          <w:sz w:val="24"/>
          <w:szCs w:val="24"/>
        </w:rPr>
        <w:t>GIS</w:t>
      </w:r>
      <w:r w:rsidRPr="003654C9">
        <w:rPr>
          <w:rFonts w:asciiTheme="majorBidi" w:hAnsiTheme="majorBidi" w:cstheme="majorBidi"/>
          <w:sz w:val="24"/>
          <w:szCs w:val="24"/>
          <w:rtl/>
        </w:rPr>
        <w:t>)</w:t>
      </w:r>
      <w:r w:rsidRPr="003654C9">
        <w:rPr>
          <w:rFonts w:ascii="Simplified Arabic" w:hAnsi="Simplified Arabic" w:cs="Simplified Arabic"/>
          <w:color w:val="000000" w:themeColor="text1"/>
          <w:sz w:val="24"/>
          <w:szCs w:val="24"/>
          <w:rtl/>
          <w:lang w:val="en-US"/>
        </w:rPr>
        <w:t xml:space="preserve"> </w:t>
      </w:r>
      <w:r w:rsidRPr="003654C9">
        <w:rPr>
          <w:rFonts w:ascii="Simplified Arabic" w:hAnsi="Simplified Arabic" w:cs="Simplified Arabic" w:hint="cs"/>
          <w:color w:val="000000" w:themeColor="text1"/>
          <w:sz w:val="24"/>
          <w:szCs w:val="24"/>
          <w:rtl/>
          <w:lang w:val="en-US"/>
        </w:rPr>
        <w:t>ل</w:t>
      </w:r>
      <w:r w:rsidRPr="003654C9">
        <w:rPr>
          <w:rFonts w:ascii="Simplified Arabic" w:hAnsi="Simplified Arabic" w:cs="Simplified Arabic"/>
          <w:sz w:val="24"/>
          <w:szCs w:val="24"/>
          <w:rtl/>
        </w:rPr>
        <w:t>ل</w:t>
      </w:r>
      <w:r w:rsidRPr="003654C9">
        <w:rPr>
          <w:rFonts w:ascii="Simplified Arabic" w:hAnsi="Simplified Arabic" w:cs="Simplified Arabic" w:hint="cs"/>
          <w:sz w:val="24"/>
          <w:szCs w:val="24"/>
          <w:rtl/>
        </w:rPr>
        <w:t>قيام بال</w:t>
      </w:r>
      <w:r w:rsidRPr="003654C9">
        <w:rPr>
          <w:rFonts w:ascii="Simplified Arabic" w:hAnsi="Simplified Arabic" w:cs="Simplified Arabic"/>
          <w:sz w:val="24"/>
          <w:szCs w:val="24"/>
          <w:rtl/>
        </w:rPr>
        <w:t>تحليل</w:t>
      </w:r>
      <w:r w:rsidRPr="003654C9">
        <w:rPr>
          <w:rFonts w:ascii="Simplified Arabic" w:hAnsi="Simplified Arabic" w:cs="Simplified Arabic" w:hint="cs"/>
          <w:sz w:val="24"/>
          <w:szCs w:val="24"/>
          <w:rtl/>
        </w:rPr>
        <w:t xml:space="preserve"> المكاني</w:t>
      </w:r>
      <w:r>
        <w:rPr>
          <w:rFonts w:ascii="Simplified Arabic" w:hAnsi="Simplified Arabic" w:cs="Simplified Arabic"/>
          <w:sz w:val="24"/>
          <w:szCs w:val="24"/>
          <w:rtl/>
        </w:rPr>
        <w:t xml:space="preserve"> و</w:t>
      </w:r>
      <w:r w:rsidRPr="003654C9">
        <w:rPr>
          <w:rFonts w:ascii="Simplified Arabic" w:hAnsi="Simplified Arabic" w:cs="Simplified Arabic"/>
          <w:sz w:val="24"/>
          <w:szCs w:val="24"/>
          <w:rtl/>
        </w:rPr>
        <w:t>نمذجة الملاءمة المكانية</w:t>
      </w:r>
      <w:r w:rsidRPr="003654C9">
        <w:rPr>
          <w:rFonts w:ascii="Simplified Arabic" w:hAnsi="Simplified Arabic" w:cs="Simplified Arabic"/>
          <w:color w:val="000000" w:themeColor="text1"/>
          <w:sz w:val="24"/>
          <w:szCs w:val="24"/>
          <w:rtl/>
          <w:lang w:val="en-US"/>
        </w:rPr>
        <w:t xml:space="preserve"> ال</w:t>
      </w:r>
      <w:r w:rsidRPr="003654C9">
        <w:rPr>
          <w:rFonts w:ascii="Simplified Arabic" w:hAnsi="Simplified Arabic" w:cs="Simplified Arabic" w:hint="cs"/>
          <w:color w:val="000000" w:themeColor="text1"/>
          <w:sz w:val="24"/>
          <w:szCs w:val="24"/>
          <w:rtl/>
          <w:lang w:val="en-US"/>
        </w:rPr>
        <w:t>ت</w:t>
      </w:r>
      <w:r w:rsidRPr="003654C9">
        <w:rPr>
          <w:rFonts w:ascii="Simplified Arabic" w:hAnsi="Simplified Arabic" w:cs="Simplified Arabic"/>
          <w:color w:val="000000" w:themeColor="text1"/>
          <w:sz w:val="24"/>
          <w:szCs w:val="24"/>
          <w:rtl/>
          <w:lang w:val="en-US"/>
        </w:rPr>
        <w:t xml:space="preserve">ي </w:t>
      </w:r>
      <w:r w:rsidRPr="003654C9">
        <w:rPr>
          <w:rFonts w:ascii="Simplified Arabic" w:hAnsi="Simplified Arabic" w:cs="Simplified Arabic" w:hint="cs"/>
          <w:color w:val="000000" w:themeColor="text1"/>
          <w:sz w:val="24"/>
          <w:szCs w:val="24"/>
          <w:rtl/>
          <w:lang w:val="en-US"/>
        </w:rPr>
        <w:t>ت</w:t>
      </w:r>
      <w:r w:rsidRPr="003654C9">
        <w:rPr>
          <w:rFonts w:ascii="Simplified Arabic" w:hAnsi="Simplified Arabic" w:cs="Simplified Arabic"/>
          <w:color w:val="000000" w:themeColor="text1"/>
          <w:sz w:val="24"/>
          <w:szCs w:val="24"/>
          <w:rtl/>
          <w:lang w:val="en-US"/>
        </w:rPr>
        <w:t xml:space="preserve">ُمكّن </w:t>
      </w:r>
      <w:r w:rsidRPr="003654C9">
        <w:rPr>
          <w:rFonts w:ascii="Simplified Arabic" w:hAnsi="Simplified Arabic" w:cs="Simplified Arabic"/>
          <w:sz w:val="24"/>
          <w:szCs w:val="24"/>
          <w:rtl/>
        </w:rPr>
        <w:t>من استخدام نظام قوي لدعم القرار</w:t>
      </w:r>
      <w:r w:rsidRPr="003654C9">
        <w:rPr>
          <w:rFonts w:ascii="Simplified Arabic" w:hAnsi="Simplified Arabic" w:cs="Simplified Arabic"/>
          <w:color w:val="000000" w:themeColor="text1"/>
          <w:sz w:val="24"/>
          <w:szCs w:val="24"/>
          <w:rtl/>
          <w:lang w:val="en-US"/>
        </w:rPr>
        <w:t xml:space="preserve"> </w:t>
      </w:r>
      <w:r w:rsidRPr="003654C9">
        <w:rPr>
          <w:rFonts w:asciiTheme="majorBidi" w:hAnsiTheme="majorBidi" w:cstheme="majorBidi"/>
          <w:sz w:val="24"/>
          <w:szCs w:val="24"/>
          <w:rtl/>
        </w:rPr>
        <w:t>(</w:t>
      </w:r>
      <w:r w:rsidRPr="003654C9">
        <w:rPr>
          <w:rFonts w:asciiTheme="majorBidi" w:hAnsiTheme="majorBidi" w:cstheme="majorBidi"/>
          <w:sz w:val="24"/>
          <w:szCs w:val="24"/>
        </w:rPr>
        <w:t>DSS</w:t>
      </w:r>
      <w:r w:rsidRPr="003654C9">
        <w:rPr>
          <w:rFonts w:asciiTheme="majorBidi" w:hAnsiTheme="majorBidi" w:cstheme="majorBidi"/>
          <w:sz w:val="24"/>
          <w:szCs w:val="24"/>
          <w:rtl/>
        </w:rPr>
        <w:t>)</w:t>
      </w:r>
      <w:r w:rsidRPr="003654C9">
        <w:rPr>
          <w:rFonts w:ascii="Simplified Arabic" w:hAnsi="Simplified Arabic" w:cs="Simplified Arabic"/>
          <w:color w:val="000000" w:themeColor="text1"/>
          <w:sz w:val="24"/>
          <w:szCs w:val="24"/>
          <w:rtl/>
          <w:lang w:val="en-US"/>
        </w:rPr>
        <w:t xml:space="preserve"> </w:t>
      </w:r>
      <w:r w:rsidRPr="003654C9">
        <w:rPr>
          <w:rFonts w:ascii="Simplified Arabic" w:hAnsi="Simplified Arabic" w:cs="Simplified Arabic"/>
          <w:sz w:val="24"/>
          <w:szCs w:val="24"/>
          <w:rtl/>
        </w:rPr>
        <w:t>لأغراض التخطيط المكاني</w:t>
      </w:r>
      <w:r w:rsidRPr="003654C9">
        <w:rPr>
          <w:rFonts w:ascii="Simplified Arabic" w:hAnsi="Simplified Arabic" w:cs="Simplified Arabic"/>
          <w:color w:val="000000" w:themeColor="text1"/>
          <w:sz w:val="24"/>
          <w:szCs w:val="24"/>
          <w:rtl/>
          <w:lang w:val="en-US"/>
        </w:rPr>
        <w:t xml:space="preserve">. </w:t>
      </w:r>
    </w:p>
    <w:p w:rsidR="000B42BD" w:rsidRDefault="000B42BD" w:rsidP="00C23656">
      <w:pPr>
        <w:tabs>
          <w:tab w:val="right" w:pos="282"/>
        </w:tabs>
        <w:bidi/>
        <w:spacing w:after="0"/>
        <w:ind w:firstLine="282"/>
        <w:jc w:val="both"/>
        <w:rPr>
          <w:rFonts w:ascii="Simplified Arabic" w:hAnsi="Simplified Arabic" w:cs="Simplified Arabic"/>
          <w:sz w:val="24"/>
          <w:szCs w:val="24"/>
          <w:rtl/>
          <w:lang w:bidi="ar-DZ"/>
        </w:rPr>
      </w:pPr>
      <w:r w:rsidRPr="003F72C1">
        <w:rPr>
          <w:rFonts w:ascii="Simplified Arabic" w:hAnsi="Simplified Arabic" w:cs="Simplified Arabic"/>
          <w:sz w:val="24"/>
          <w:szCs w:val="24"/>
          <w:rtl/>
          <w:lang w:bidi="ar-DZ"/>
        </w:rPr>
        <w:t xml:space="preserve">تهدف عملية </w:t>
      </w:r>
      <w:r w:rsidRPr="003F72C1">
        <w:rPr>
          <w:rFonts w:ascii="Simplified Arabic" w:hAnsi="Simplified Arabic" w:cs="Simplified Arabic" w:hint="cs"/>
          <w:sz w:val="24"/>
          <w:szCs w:val="24"/>
          <w:rtl/>
          <w:lang w:val="en-US"/>
        </w:rPr>
        <w:t xml:space="preserve">تطوير </w:t>
      </w:r>
      <w:r w:rsidR="009F1DDA">
        <w:rPr>
          <w:rFonts w:ascii="Simplified Arabic" w:hAnsi="Simplified Arabic" w:cs="Simplified Arabic" w:hint="cs"/>
          <w:sz w:val="24"/>
          <w:szCs w:val="24"/>
          <w:rtl/>
          <w:lang w:val="en-US"/>
        </w:rPr>
        <w:t>اطار العمل</w:t>
      </w:r>
      <w:r w:rsidRPr="003F72C1">
        <w:rPr>
          <w:rFonts w:ascii="Simplified Arabic" w:hAnsi="Simplified Arabic" w:cs="Simplified Arabic"/>
          <w:sz w:val="24"/>
          <w:szCs w:val="24"/>
          <w:rtl/>
          <w:lang w:val="en-US"/>
        </w:rPr>
        <w:t xml:space="preserve"> </w:t>
      </w:r>
      <w:r w:rsidRPr="003F72C1">
        <w:rPr>
          <w:rFonts w:ascii="Simplified Arabic" w:hAnsi="Simplified Arabic" w:cs="Simplified Arabic" w:hint="cs"/>
          <w:sz w:val="24"/>
          <w:szCs w:val="24"/>
          <w:rtl/>
          <w:lang w:val="en-US"/>
        </w:rPr>
        <w:t>المقترح</w:t>
      </w:r>
      <w:r w:rsidRPr="003F72C1">
        <w:rPr>
          <w:rFonts w:ascii="Simplified Arabic" w:hAnsi="Simplified Arabic" w:cs="Simplified Arabic"/>
          <w:sz w:val="24"/>
          <w:szCs w:val="24"/>
          <w:rtl/>
        </w:rPr>
        <w:t xml:space="preserve"> </w:t>
      </w:r>
      <w:r w:rsidRPr="003F72C1">
        <w:rPr>
          <w:rFonts w:ascii="Simplified Arabic" w:hAnsi="Simplified Arabic" w:cs="Simplified Arabic" w:hint="cs"/>
          <w:sz w:val="24"/>
          <w:szCs w:val="24"/>
          <w:rtl/>
        </w:rPr>
        <w:t xml:space="preserve">الى </w:t>
      </w:r>
      <w:r>
        <w:rPr>
          <w:rFonts w:ascii="Simplified Arabic" w:hAnsi="Simplified Arabic" w:cs="Simplified Arabic" w:hint="cs"/>
          <w:sz w:val="24"/>
          <w:szCs w:val="24"/>
          <w:rtl/>
        </w:rPr>
        <w:t xml:space="preserve">تقييم </w:t>
      </w:r>
      <w:r w:rsidRPr="00D13936">
        <w:rPr>
          <w:rFonts w:ascii="Simplified Arabic" w:hAnsi="Simplified Arabic" w:cs="Simplified Arabic"/>
          <w:sz w:val="24"/>
          <w:szCs w:val="24"/>
          <w:rtl/>
          <w:lang w:val="en-US"/>
        </w:rPr>
        <w:t>المرونة ال</w:t>
      </w:r>
      <w:r>
        <w:rPr>
          <w:rFonts w:ascii="Simplified Arabic" w:hAnsi="Simplified Arabic" w:cs="Simplified Arabic" w:hint="cs"/>
          <w:sz w:val="24"/>
          <w:szCs w:val="24"/>
          <w:rtl/>
          <w:lang w:val="en-US"/>
        </w:rPr>
        <w:t>حضرية</w:t>
      </w:r>
      <w:r w:rsidRPr="003F72C1">
        <w:rPr>
          <w:rFonts w:ascii="Simplified Arabic" w:hAnsi="Simplified Arabic" w:cs="Simplified Arabic"/>
          <w:sz w:val="24"/>
          <w:szCs w:val="24"/>
          <w:rtl/>
          <w:lang w:bidi="ar-DZ"/>
        </w:rPr>
        <w:t xml:space="preserve"> لمدينة بوسعادة.</w:t>
      </w:r>
      <w:r w:rsidRPr="003F72C1">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val="en-US"/>
        </w:rPr>
        <w:t xml:space="preserve">يستدعي </w:t>
      </w:r>
      <w:r w:rsidRPr="00D13936">
        <w:rPr>
          <w:rFonts w:ascii="Simplified Arabic" w:hAnsi="Simplified Arabic" w:cs="Simplified Arabic"/>
          <w:sz w:val="24"/>
          <w:szCs w:val="24"/>
          <w:rtl/>
          <w:lang w:val="en-US"/>
        </w:rPr>
        <w:t>تقييم</w:t>
      </w:r>
      <w:r>
        <w:rPr>
          <w:rFonts w:ascii="Simplified Arabic" w:hAnsi="Simplified Arabic" w:cs="Simplified Arabic" w:hint="cs"/>
          <w:sz w:val="24"/>
          <w:szCs w:val="24"/>
          <w:rtl/>
          <w:lang w:val="en-US"/>
        </w:rPr>
        <w:t xml:space="preserve"> المرونة الحضرية</w:t>
      </w:r>
      <w:r w:rsidRPr="00D13936">
        <w:rPr>
          <w:rFonts w:ascii="Simplified Arabic" w:hAnsi="Simplified Arabic" w:cs="Simplified Arabic"/>
          <w:sz w:val="24"/>
          <w:szCs w:val="24"/>
          <w:rtl/>
          <w:lang w:val="en-US"/>
        </w:rPr>
        <w:t xml:space="preserve"> معرفة أيُّ من انماط </w:t>
      </w:r>
      <w:r w:rsidR="003166C4">
        <w:rPr>
          <w:rFonts w:ascii="Simplified Arabic" w:hAnsi="Simplified Arabic" w:cs="Simplified Arabic" w:hint="cs"/>
          <w:sz w:val="24"/>
          <w:szCs w:val="24"/>
          <w:rtl/>
        </w:rPr>
        <w:t>استعمالات</w:t>
      </w:r>
      <w:r w:rsidRPr="00D13936">
        <w:rPr>
          <w:rFonts w:ascii="Simplified Arabic" w:hAnsi="Simplified Arabic" w:cs="Simplified Arabic"/>
          <w:sz w:val="24"/>
          <w:szCs w:val="24"/>
          <w:rtl/>
          <w:lang w:val="en-US"/>
        </w:rPr>
        <w:t xml:space="preserve"> الارض </w:t>
      </w:r>
      <w:r>
        <w:rPr>
          <w:rFonts w:ascii="Simplified Arabic" w:hAnsi="Simplified Arabic" w:cs="Simplified Arabic" w:hint="cs"/>
          <w:sz w:val="24"/>
          <w:szCs w:val="24"/>
          <w:rtl/>
          <w:lang w:val="en-US"/>
        </w:rPr>
        <w:t>التي</w:t>
      </w:r>
      <w:r w:rsidRPr="00D13936">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w:t>
      </w:r>
      <w:r w:rsidRPr="00D13936">
        <w:rPr>
          <w:rFonts w:ascii="Simplified Arabic" w:hAnsi="Simplified Arabic" w:cs="Simplified Arabic"/>
          <w:sz w:val="24"/>
          <w:szCs w:val="24"/>
          <w:rtl/>
          <w:lang w:val="en-US"/>
        </w:rPr>
        <w:t>توفر على سمات المرونة ال</w:t>
      </w:r>
      <w:r>
        <w:rPr>
          <w:rFonts w:ascii="Simplified Arabic" w:hAnsi="Simplified Arabic" w:cs="Simplified Arabic"/>
          <w:sz w:val="24"/>
          <w:szCs w:val="24"/>
          <w:rtl/>
          <w:lang w:val="en-US"/>
        </w:rPr>
        <w:t>مكانية</w:t>
      </w:r>
      <w:r>
        <w:rPr>
          <w:rFonts w:ascii="Simplified Arabic" w:hAnsi="Simplified Arabic" w:cs="Simplified Arabic" w:hint="cs"/>
          <w:sz w:val="24"/>
          <w:szCs w:val="24"/>
          <w:rtl/>
          <w:lang w:val="en-US"/>
        </w:rPr>
        <w:t xml:space="preserve"> (الكثافة، التنوع، التكرار </w:t>
      </w:r>
      <w:r w:rsidR="00C23656" w:rsidRPr="008E532E">
        <w:rPr>
          <w:rFonts w:ascii="Simplified Arabic" w:hAnsi="Simplified Arabic" w:cs="Simplified Arabic" w:hint="cs"/>
          <w:sz w:val="24"/>
          <w:szCs w:val="24"/>
          <w:rtl/>
          <w:lang w:bidi="ar-DZ"/>
        </w:rPr>
        <w:t>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Pr>
          <w:rFonts w:ascii="Simplified Arabic" w:hAnsi="Simplified Arabic" w:cs="Simplified Arabic" w:hint="cs"/>
          <w:sz w:val="24"/>
          <w:szCs w:val="24"/>
          <w:rtl/>
          <w:lang w:val="en-US"/>
        </w:rPr>
        <w:t xml:space="preserve">)، بمعنى ادق، تحليل نمط </w:t>
      </w:r>
      <w:r w:rsidR="003166C4">
        <w:rPr>
          <w:rFonts w:ascii="Simplified Arabic" w:hAnsi="Simplified Arabic" w:cs="Simplified Arabic" w:hint="cs"/>
          <w:sz w:val="24"/>
          <w:szCs w:val="24"/>
          <w:rtl/>
        </w:rPr>
        <w:t>استعمالات</w:t>
      </w:r>
      <w:r>
        <w:rPr>
          <w:rFonts w:ascii="Simplified Arabic" w:hAnsi="Simplified Arabic" w:cs="Simplified Arabic" w:hint="cs"/>
          <w:sz w:val="24"/>
          <w:szCs w:val="24"/>
          <w:rtl/>
          <w:lang w:val="en-US"/>
        </w:rPr>
        <w:t xml:space="preserve"> الارض الحضرية مرحلة مهمة من مراحل تقييم المرونة الحضرية</w:t>
      </w:r>
      <w:r w:rsidRPr="00D13936">
        <w:rPr>
          <w:rFonts w:ascii="Simplified Arabic" w:hAnsi="Simplified Arabic" w:cs="Simplified Arabic"/>
          <w:sz w:val="24"/>
          <w:szCs w:val="24"/>
          <w:rtl/>
          <w:lang w:val="en-US"/>
        </w:rPr>
        <w:t>.</w:t>
      </w:r>
      <w:r w:rsidRPr="00D13936">
        <w:rPr>
          <w:rFonts w:ascii="Simplified Arabic" w:hAnsi="Simplified Arabic" w:cs="Simplified Arabic"/>
          <w:sz w:val="24"/>
          <w:szCs w:val="24"/>
          <w:rtl/>
          <w:lang w:bidi="ar-DZ"/>
        </w:rPr>
        <w:t xml:space="preserve"> </w:t>
      </w:r>
    </w:p>
    <w:p w:rsidR="000B42BD" w:rsidRPr="00025C94" w:rsidRDefault="00950A2F" w:rsidP="001D0548">
      <w:pPr>
        <w:pStyle w:val="Paragraphedeliste"/>
        <w:numPr>
          <w:ilvl w:val="1"/>
          <w:numId w:val="33"/>
        </w:numPr>
        <w:shd w:val="clear" w:color="auto" w:fill="FFFFFF" w:themeFill="background1"/>
        <w:tabs>
          <w:tab w:val="right" w:pos="567"/>
        </w:tabs>
        <w:bidi/>
        <w:spacing w:before="240" w:after="0"/>
        <w:ind w:left="0" w:firstLine="0"/>
        <w:jc w:val="both"/>
        <w:outlineLvl w:val="0"/>
        <w:rPr>
          <w:rFonts w:ascii="Simplified Arabic" w:hAnsi="Simplified Arabic" w:cs="Simplified Arabic"/>
          <w:b/>
          <w:bCs/>
          <w:sz w:val="24"/>
          <w:szCs w:val="24"/>
        </w:rPr>
      </w:pPr>
      <w:bookmarkStart w:id="393" w:name="_Toc171803503"/>
      <w:r w:rsidRPr="00025C94">
        <w:rPr>
          <w:rFonts w:ascii="Simplified Arabic" w:hAnsi="Simplified Arabic" w:cs="Simplified Arabic" w:hint="cs"/>
          <w:b/>
          <w:bCs/>
          <w:sz w:val="24"/>
          <w:szCs w:val="24"/>
          <w:rtl/>
        </w:rPr>
        <w:t>ال</w:t>
      </w:r>
      <w:r w:rsidR="000B42BD" w:rsidRPr="00025C94">
        <w:rPr>
          <w:rFonts w:ascii="Simplified Arabic" w:hAnsi="Simplified Arabic" w:cs="Simplified Arabic" w:hint="cs"/>
          <w:b/>
          <w:bCs/>
          <w:sz w:val="24"/>
          <w:szCs w:val="24"/>
          <w:rtl/>
        </w:rPr>
        <w:t xml:space="preserve">منهجية </w:t>
      </w:r>
      <w:r w:rsidRPr="00025C94">
        <w:rPr>
          <w:rFonts w:ascii="Simplified Arabic" w:hAnsi="Simplified Arabic" w:cs="Simplified Arabic" w:hint="cs"/>
          <w:b/>
          <w:bCs/>
          <w:sz w:val="24"/>
          <w:szCs w:val="24"/>
          <w:rtl/>
        </w:rPr>
        <w:t>المتبعة</w:t>
      </w:r>
      <w:r w:rsidRPr="00025C94">
        <w:rPr>
          <w:rFonts w:ascii="Simplified Arabic" w:hAnsi="Simplified Arabic" w:cs="Simplified Arabic"/>
          <w:b/>
          <w:bCs/>
          <w:sz w:val="24"/>
          <w:szCs w:val="24"/>
          <w:rtl/>
        </w:rPr>
        <w:t xml:space="preserve"> </w:t>
      </w:r>
      <w:r w:rsidRPr="00025C94">
        <w:rPr>
          <w:rFonts w:ascii="Simplified Arabic" w:hAnsi="Simplified Arabic" w:cs="Simplified Arabic" w:hint="cs"/>
          <w:b/>
          <w:bCs/>
          <w:sz w:val="24"/>
          <w:szCs w:val="24"/>
          <w:rtl/>
        </w:rPr>
        <w:t>لاطار عمل</w:t>
      </w:r>
      <w:r w:rsidRPr="00025C94">
        <w:rPr>
          <w:rFonts w:ascii="Simplified Arabic" w:hAnsi="Simplified Arabic" w:cs="Simplified Arabic"/>
          <w:b/>
          <w:bCs/>
          <w:sz w:val="24"/>
          <w:szCs w:val="24"/>
          <w:rtl/>
        </w:rPr>
        <w:t xml:space="preserve"> </w:t>
      </w:r>
      <w:r w:rsidR="000B42BD" w:rsidRPr="00025C94">
        <w:rPr>
          <w:rFonts w:ascii="Simplified Arabic" w:hAnsi="Simplified Arabic" w:cs="Simplified Arabic"/>
          <w:b/>
          <w:bCs/>
          <w:sz w:val="24"/>
          <w:szCs w:val="24"/>
          <w:rtl/>
        </w:rPr>
        <w:t>تقييم المرونة الحضرية</w:t>
      </w:r>
      <w:bookmarkEnd w:id="393"/>
    </w:p>
    <w:p w:rsidR="000B42BD" w:rsidRPr="00D13936" w:rsidRDefault="000B42BD" w:rsidP="002E7C71">
      <w:pPr>
        <w:tabs>
          <w:tab w:val="right" w:pos="282"/>
        </w:tabs>
        <w:bidi/>
        <w:spacing w:after="0"/>
        <w:ind w:firstLine="282"/>
        <w:jc w:val="both"/>
        <w:rPr>
          <w:rFonts w:ascii="Simplified Arabic" w:hAnsi="Simplified Arabic" w:cs="Simplified Arabic"/>
          <w:sz w:val="24"/>
          <w:szCs w:val="24"/>
        </w:rPr>
      </w:pPr>
      <w:r>
        <w:rPr>
          <w:rFonts w:ascii="Simplified Arabic" w:hAnsi="Simplified Arabic" w:cs="Simplified Arabic" w:hint="cs"/>
          <w:sz w:val="24"/>
          <w:szCs w:val="24"/>
          <w:rtl/>
        </w:rPr>
        <w:t>ت</w:t>
      </w:r>
      <w:r w:rsidRPr="00D13936">
        <w:rPr>
          <w:rFonts w:ascii="Simplified Arabic" w:hAnsi="Simplified Arabic" w:cs="Simplified Arabic"/>
          <w:sz w:val="24"/>
          <w:szCs w:val="24"/>
          <w:rtl/>
        </w:rPr>
        <w:t xml:space="preserve">تضمن </w:t>
      </w:r>
      <w:r>
        <w:rPr>
          <w:rFonts w:ascii="Simplified Arabic" w:hAnsi="Simplified Arabic" w:cs="Simplified Arabic" w:hint="cs"/>
          <w:sz w:val="24"/>
          <w:szCs w:val="24"/>
          <w:rtl/>
        </w:rPr>
        <w:t>المنهجية المتبعة</w:t>
      </w:r>
      <w:r w:rsidRPr="00D13936">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009F1DDA">
        <w:rPr>
          <w:rFonts w:ascii="Simplified Arabic" w:hAnsi="Simplified Arabic" w:cs="Simplified Arabic" w:hint="cs"/>
          <w:sz w:val="24"/>
          <w:szCs w:val="24"/>
          <w:rtl/>
        </w:rPr>
        <w:t xml:space="preserve">اطار عمل </w:t>
      </w:r>
      <w:r w:rsidRPr="00D13936">
        <w:rPr>
          <w:rFonts w:ascii="Simplified Arabic" w:hAnsi="Simplified Arabic" w:cs="Simplified Arabic"/>
          <w:sz w:val="24"/>
          <w:szCs w:val="24"/>
          <w:rtl/>
        </w:rPr>
        <w:t xml:space="preserve">تقييم المرونة الحضرية تحقيقات نظرية وتجريبية مختلفة، كما هو موضح في الشكل </w:t>
      </w:r>
      <w:r w:rsidR="002E7C71" w:rsidRPr="006158D8">
        <w:rPr>
          <w:rFonts w:ascii="Simplified Arabic" w:hAnsi="Simplified Arabic" w:cs="Simplified Arabic" w:hint="cs"/>
          <w:rtl/>
        </w:rPr>
        <w:t>(</w:t>
      </w:r>
      <w:r w:rsidR="002E7C71">
        <w:rPr>
          <w:rFonts w:ascii="Simplified Arabic" w:hAnsi="Simplified Arabic" w:cs="Simplified Arabic" w:hint="cs"/>
          <w:rtl/>
        </w:rPr>
        <w:t>3-1</w:t>
      </w:r>
      <w:r w:rsidR="002E7C71" w:rsidRPr="006158D8">
        <w:rPr>
          <w:rFonts w:ascii="Simplified Arabic" w:hAnsi="Simplified Arabic" w:cs="Simplified Arabic" w:hint="cs"/>
          <w:rtl/>
        </w:rPr>
        <w:t>)</w:t>
      </w:r>
      <w:r w:rsidRPr="00D13936">
        <w:rPr>
          <w:rFonts w:ascii="Simplified Arabic" w:hAnsi="Simplified Arabic" w:cs="Simplified Arabic"/>
          <w:sz w:val="24"/>
          <w:szCs w:val="24"/>
          <w:rtl/>
        </w:rPr>
        <w:t xml:space="preserve">. </w:t>
      </w:r>
      <w:r>
        <w:rPr>
          <w:rFonts w:ascii="Simplified Arabic" w:hAnsi="Simplified Arabic" w:cs="Simplified Arabic" w:hint="cs"/>
          <w:sz w:val="24"/>
          <w:szCs w:val="24"/>
          <w:rtl/>
        </w:rPr>
        <w:t>تتضمن</w:t>
      </w:r>
      <w:r w:rsidRPr="00D13936">
        <w:rPr>
          <w:rFonts w:ascii="Simplified Arabic" w:hAnsi="Simplified Arabic" w:cs="Simplified Arabic"/>
          <w:sz w:val="24"/>
          <w:szCs w:val="24"/>
          <w:rtl/>
        </w:rPr>
        <w:t xml:space="preserve"> </w:t>
      </w:r>
      <w:r>
        <w:rPr>
          <w:rFonts w:ascii="Simplified Arabic" w:hAnsi="Simplified Arabic" w:cs="Simplified Arabic" w:hint="cs"/>
          <w:sz w:val="24"/>
          <w:szCs w:val="24"/>
          <w:rtl/>
        </w:rPr>
        <w:t>المنهجية المتبعة</w:t>
      </w:r>
      <w:r w:rsidRPr="00D13936">
        <w:rPr>
          <w:rFonts w:ascii="Simplified Arabic" w:hAnsi="Simplified Arabic" w:cs="Simplified Arabic"/>
          <w:sz w:val="24"/>
          <w:szCs w:val="24"/>
          <w:rtl/>
        </w:rPr>
        <w:t xml:space="preserve"> خمس مراحل رئيسية على النحو التالي:</w:t>
      </w:r>
    </w:p>
    <w:p w:rsidR="000B42BD" w:rsidRPr="009911F2" w:rsidRDefault="000B42BD" w:rsidP="001D0548">
      <w:pPr>
        <w:pStyle w:val="Paragraphedeliste"/>
        <w:numPr>
          <w:ilvl w:val="0"/>
          <w:numId w:val="30"/>
        </w:numPr>
        <w:tabs>
          <w:tab w:val="right" w:pos="282"/>
        </w:tabs>
        <w:bidi/>
        <w:spacing w:after="0"/>
        <w:ind w:left="-1" w:firstLine="0"/>
        <w:jc w:val="both"/>
        <w:rPr>
          <w:rFonts w:ascii="Simplified Arabic" w:hAnsi="Simplified Arabic" w:cs="Simplified Arabic"/>
          <w:sz w:val="24"/>
          <w:szCs w:val="24"/>
          <w:rtl/>
        </w:rPr>
      </w:pPr>
      <w:r w:rsidRPr="009D7228">
        <w:rPr>
          <w:rFonts w:ascii="Simplified Arabic" w:hAnsi="Simplified Arabic" w:cs="Simplified Arabic"/>
          <w:sz w:val="24"/>
          <w:szCs w:val="24"/>
          <w:rtl/>
        </w:rPr>
        <w:t xml:space="preserve">تساعد </w:t>
      </w:r>
      <w:r w:rsidR="00B34260">
        <w:rPr>
          <w:rFonts w:ascii="Simplified Arabic" w:hAnsi="Simplified Arabic" w:cs="Simplified Arabic" w:hint="cs"/>
          <w:sz w:val="24"/>
          <w:szCs w:val="24"/>
          <w:rtl/>
        </w:rPr>
        <w:t>مطالعة الابحاث</w:t>
      </w:r>
      <w:r w:rsidRPr="009D7228">
        <w:rPr>
          <w:rFonts w:ascii="Simplified Arabic" w:hAnsi="Simplified Arabic" w:cs="Simplified Arabic"/>
          <w:sz w:val="24"/>
          <w:szCs w:val="24"/>
          <w:rtl/>
        </w:rPr>
        <w:t xml:space="preserve"> السابقة في توضيح أبعاد مشكلة البحث وتحديد محور الدراسة، مما يساعد على فهم أفضل للعمل وتحديد الأعمال المماثلة والنتائج التي انبثقت عنها. يُعتقد عمومًا أن المقارنة بين العديد من </w:t>
      </w:r>
      <w:r w:rsidRPr="009D7228">
        <w:rPr>
          <w:rFonts w:ascii="Simplified Arabic" w:hAnsi="Simplified Arabic" w:cs="Simplified Arabic" w:hint="cs"/>
          <w:sz w:val="24"/>
          <w:szCs w:val="24"/>
          <w:rtl/>
        </w:rPr>
        <w:t>مناهج</w:t>
      </w:r>
      <w:r w:rsidRPr="009D7228">
        <w:rPr>
          <w:rFonts w:ascii="Simplified Arabic" w:hAnsi="Simplified Arabic" w:cs="Simplified Arabic"/>
          <w:sz w:val="24"/>
          <w:szCs w:val="24"/>
          <w:rtl/>
        </w:rPr>
        <w:t xml:space="preserve"> وادوات التقييم الحضري للمرونة الشائعة والموثوقة</w:t>
      </w:r>
      <w:r w:rsidRPr="009D7228">
        <w:rPr>
          <w:rFonts w:ascii="Simplified Arabic" w:hAnsi="Simplified Arabic" w:cs="Simplified Arabic" w:hint="cs"/>
          <w:sz w:val="24"/>
          <w:szCs w:val="24"/>
          <w:rtl/>
        </w:rPr>
        <w:t xml:space="preserve"> </w:t>
      </w:r>
      <w:r w:rsidRPr="009D7228">
        <w:rPr>
          <w:rFonts w:ascii="Simplified Arabic" w:hAnsi="Simplified Arabic" w:cs="Simplified Arabic"/>
          <w:sz w:val="24"/>
          <w:szCs w:val="24"/>
          <w:rtl/>
        </w:rPr>
        <w:t>تكشف عن مجالات التقارب والتباعد</w:t>
      </w:r>
      <w:r w:rsidRPr="009D7228">
        <w:rPr>
          <w:rFonts w:ascii="Simplified Arabic" w:hAnsi="Simplified Arabic" w:cs="Simplified Arabic" w:hint="cs"/>
          <w:sz w:val="24"/>
          <w:szCs w:val="24"/>
          <w:rtl/>
        </w:rPr>
        <w:t>،</w:t>
      </w:r>
      <w:r w:rsidRPr="009D7228">
        <w:rPr>
          <w:rFonts w:ascii="Simplified Arabic" w:hAnsi="Simplified Arabic" w:cs="Simplified Arabic"/>
          <w:sz w:val="24"/>
          <w:szCs w:val="24"/>
          <w:rtl/>
        </w:rPr>
        <w:t xml:space="preserve"> وهذه نقطة انطلاق </w:t>
      </w:r>
      <w:r w:rsidRPr="009D7228">
        <w:rPr>
          <w:rFonts w:ascii="Simplified Arabic" w:hAnsi="Simplified Arabic" w:cs="Simplified Arabic" w:hint="cs"/>
          <w:sz w:val="24"/>
          <w:szCs w:val="24"/>
          <w:rtl/>
        </w:rPr>
        <w:t xml:space="preserve">هذا البحث </w:t>
      </w:r>
      <w:r w:rsidRPr="009D7228">
        <w:rPr>
          <w:rFonts w:ascii="Simplified Arabic" w:hAnsi="Simplified Arabic" w:cs="Simplified Arabic"/>
          <w:sz w:val="24"/>
          <w:szCs w:val="24"/>
          <w:rtl/>
        </w:rPr>
        <w:t>لتطوير إطار عمل تقييم المرونة الجديد لدعم القرار</w:t>
      </w:r>
      <w:r w:rsidRPr="009D7228">
        <w:rPr>
          <w:rFonts w:ascii="Simplified Arabic" w:hAnsi="Simplified Arabic" w:cs="Simplified Arabic"/>
          <w:sz w:val="28"/>
          <w:szCs w:val="28"/>
          <w:rtl/>
        </w:rPr>
        <w:t xml:space="preserve"> </w:t>
      </w:r>
      <w:r w:rsidRPr="009D7228">
        <w:rPr>
          <w:rFonts w:asciiTheme="majorBidi" w:hAnsiTheme="majorBidi" w:cstheme="majorBidi"/>
          <w:sz w:val="24"/>
          <w:szCs w:val="24"/>
        </w:rPr>
        <w:t>(</w:t>
      </w:r>
      <w:r w:rsidRPr="00206B59">
        <w:rPr>
          <w:rFonts w:asciiTheme="majorBidi" w:hAnsiTheme="majorBidi" w:cstheme="majorBidi"/>
          <w:sz w:val="24"/>
          <w:szCs w:val="24"/>
        </w:rPr>
        <w:t>Renschler</w:t>
      </w:r>
      <w:r w:rsidRPr="009D7228">
        <w:rPr>
          <w:rFonts w:asciiTheme="majorBidi" w:hAnsiTheme="majorBidi" w:cstheme="majorBidi"/>
          <w:sz w:val="24"/>
          <w:szCs w:val="24"/>
        </w:rPr>
        <w:t xml:space="preserve"> et al., 2010)</w:t>
      </w:r>
      <w:r w:rsidRPr="009D7228">
        <w:rPr>
          <w:rFonts w:ascii="Simplified Arabic" w:hAnsi="Simplified Arabic" w:cs="Simplified Arabic"/>
          <w:sz w:val="28"/>
          <w:szCs w:val="28"/>
          <w:rtl/>
        </w:rPr>
        <w:t>.</w:t>
      </w:r>
    </w:p>
    <w:p w:rsidR="000B42BD" w:rsidRPr="009911F2" w:rsidRDefault="000B42BD" w:rsidP="001D0548">
      <w:pPr>
        <w:pStyle w:val="Paragraphedeliste"/>
        <w:numPr>
          <w:ilvl w:val="0"/>
          <w:numId w:val="30"/>
        </w:numPr>
        <w:tabs>
          <w:tab w:val="right" w:pos="282"/>
        </w:tabs>
        <w:bidi/>
        <w:spacing w:after="0"/>
        <w:ind w:left="-1" w:firstLine="0"/>
        <w:jc w:val="both"/>
        <w:rPr>
          <w:rFonts w:ascii="Simplified Arabic" w:hAnsi="Simplified Arabic" w:cs="Simplified Arabic"/>
          <w:sz w:val="24"/>
          <w:szCs w:val="24"/>
          <w:rtl/>
        </w:rPr>
      </w:pPr>
      <w:r w:rsidRPr="00206B59">
        <w:rPr>
          <w:rFonts w:ascii="Simplified Arabic" w:hAnsi="Simplified Arabic" w:cs="Simplified Arabic" w:hint="cs"/>
          <w:sz w:val="24"/>
          <w:szCs w:val="24"/>
          <w:rtl/>
        </w:rPr>
        <w:t>التشاور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فريق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المختصين في مجالات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مختلفة،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أمر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بالغ</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الأهمية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لجمع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آرائهم 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منصة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مشتركة،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مثل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الأوساط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الأكاديمية،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والحكومية،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والقطاع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الخاص</w:t>
      </w:r>
      <w:r w:rsidRPr="00206B59">
        <w:rPr>
          <w:rFonts w:ascii="Simplified Arabic" w:hAnsi="Simplified Arabic" w:cs="Simplified Arabic"/>
          <w:sz w:val="24"/>
          <w:szCs w:val="24"/>
          <w:rtl/>
        </w:rPr>
        <w:t xml:space="preserve"> لصنع القرار التفاعلي</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بناءً على مصطلح </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الذكاء الجماعي للخبراء</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Pr>
        <w:t>(Rowe &amp; George, 2001)</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يسمح</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ذلك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بتطوير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نهج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قائم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 بناءً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رأي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أعضاء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 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قضية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مشكلة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معينة.</w:t>
      </w:r>
      <w:r w:rsidRPr="00206B59">
        <w:rPr>
          <w:rFonts w:ascii="Simplified Arabic" w:hAnsi="Simplified Arabic" w:cs="Simplified Arabic"/>
          <w:sz w:val="24"/>
          <w:szCs w:val="24"/>
          <w:rtl/>
        </w:rPr>
        <w:t xml:space="preserve"> </w:t>
      </w:r>
      <w:r w:rsidR="00D542CE" w:rsidRPr="00206B59">
        <w:rPr>
          <w:rFonts w:ascii="Simplified Arabic" w:hAnsi="Simplified Arabic" w:cs="Simplified Arabic" w:hint="cs"/>
          <w:sz w:val="24"/>
          <w:szCs w:val="24"/>
          <w:rtl/>
        </w:rPr>
        <w:t>استخدم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هذا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النهج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للوص</w:t>
      </w:r>
      <w:r w:rsidR="00D542CE" w:rsidRPr="00206B59">
        <w:rPr>
          <w:rFonts w:ascii="Simplified Arabic" w:hAnsi="Simplified Arabic" w:cs="Simplified Arabic" w:hint="cs"/>
          <w:sz w:val="24"/>
          <w:szCs w:val="24"/>
          <w:rtl/>
        </w:rPr>
        <w:t>و</w:t>
      </w:r>
      <w:r w:rsidRPr="00206B59">
        <w:rPr>
          <w:rFonts w:ascii="Simplified Arabic" w:hAnsi="Simplified Arabic" w:cs="Simplified Arabic" w:hint="cs"/>
          <w:sz w:val="24"/>
          <w:szCs w:val="24"/>
          <w:rtl/>
        </w:rPr>
        <w:t>ل الى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عوامل نهائية شاملة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وفعالة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لتقييم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الحضرية</w:t>
      </w:r>
      <w:r w:rsidRPr="00206B59">
        <w:rPr>
          <w:rFonts w:asciiTheme="minorBidi" w:hAnsiTheme="minorBidi" w:cs="Arial" w:hint="cs"/>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Mayouf and Nouibat, 2022</w:t>
      </w:r>
      <w:r w:rsidRPr="00206B59">
        <w:rPr>
          <w:rFonts w:asciiTheme="majorBidi" w:hAnsiTheme="majorBidi" w:cstheme="majorBidi"/>
          <w:sz w:val="24"/>
          <w:szCs w:val="24"/>
          <w:rtl/>
        </w:rPr>
        <w:t>)</w:t>
      </w:r>
      <w:r w:rsidRPr="00206B59">
        <w:rPr>
          <w:rFonts w:asciiTheme="minorBidi" w:hAnsiTheme="minorBidi" w:cs="Arial"/>
          <w:sz w:val="24"/>
          <w:szCs w:val="24"/>
          <w:rtl/>
        </w:rPr>
        <w:t>.</w:t>
      </w:r>
      <w:r w:rsidRPr="00206B59">
        <w:rPr>
          <w:rFonts w:asciiTheme="minorBidi" w:hAnsiTheme="minorBidi" w:cs="Arial" w:hint="cs"/>
          <w:sz w:val="24"/>
          <w:szCs w:val="24"/>
          <w:rtl/>
          <w:lang w:val="en-US"/>
        </w:rPr>
        <w:t xml:space="preserve"> </w:t>
      </w:r>
    </w:p>
    <w:p w:rsidR="000B42BD" w:rsidRPr="00C74335" w:rsidRDefault="000B42BD" w:rsidP="001D0548">
      <w:pPr>
        <w:pStyle w:val="Paragraphedeliste"/>
        <w:numPr>
          <w:ilvl w:val="0"/>
          <w:numId w:val="30"/>
        </w:numPr>
        <w:tabs>
          <w:tab w:val="right" w:pos="282"/>
        </w:tabs>
        <w:bidi/>
        <w:spacing w:after="0"/>
        <w:ind w:left="-1" w:firstLine="0"/>
        <w:jc w:val="both"/>
        <w:rPr>
          <w:rFonts w:ascii="Simplified Arabic" w:hAnsi="Simplified Arabic" w:cs="Simplified Arabic"/>
          <w:sz w:val="24"/>
          <w:szCs w:val="24"/>
        </w:rPr>
      </w:pPr>
      <w:r w:rsidRPr="00206B59">
        <w:rPr>
          <w:rFonts w:ascii="Simplified Arabic" w:hAnsi="Simplified Arabic" w:cs="Simplified Arabic" w:hint="cs"/>
          <w:sz w:val="24"/>
          <w:szCs w:val="24"/>
          <w:rtl/>
        </w:rPr>
        <w:t>تطوير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نظام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ترجيح</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مناسب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وزن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كل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عامل من عوامل تقييم المرونة، عن طريق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المقارنة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الثنائية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للعوامل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من طرف الخبراء لتقليل التحيز في صنع القرار </w:t>
      </w:r>
      <w:r w:rsidRPr="00206B59">
        <w:rPr>
          <w:rFonts w:asciiTheme="majorBidi" w:hAnsiTheme="majorBidi" w:cstheme="majorBidi"/>
          <w:sz w:val="24"/>
          <w:szCs w:val="24"/>
        </w:rPr>
        <w:t>(Vizzari, 2011)</w:t>
      </w:r>
      <w:r w:rsidRPr="00206B59">
        <w:rPr>
          <w:rFonts w:ascii="Simplified Arabic" w:hAnsi="Simplified Arabic" w:cs="Simplified Arabic" w:hint="cs"/>
          <w:sz w:val="24"/>
          <w:szCs w:val="24"/>
          <w:rtl/>
        </w:rPr>
        <w:t>. 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التفضيل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بين اوزان العوامل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حسب الأولوية،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يسمح بترتيب</w:t>
      </w:r>
      <w:r w:rsidRPr="00206B59">
        <w:rPr>
          <w:rFonts w:ascii="Simplified Arabic" w:hAnsi="Simplified Arabic" w:cs="Simplified Arabic"/>
          <w:sz w:val="24"/>
          <w:szCs w:val="24"/>
          <w:rtl/>
        </w:rPr>
        <w:t xml:space="preserve"> </w:t>
      </w:r>
      <w:r w:rsidR="004C25F8" w:rsidRPr="00206B59">
        <w:rPr>
          <w:rFonts w:ascii="Simplified Arabic" w:hAnsi="Simplified Arabic" w:cs="Simplified Arabic" w:hint="cs"/>
          <w:sz w:val="24"/>
          <w:szCs w:val="24"/>
          <w:rtl/>
        </w:rPr>
        <w:t xml:space="preserve">المتغيرات </w:t>
      </w:r>
      <w:r w:rsidRPr="00206B59">
        <w:rPr>
          <w:rFonts w:ascii="Simplified Arabic" w:hAnsi="Simplified Arabic" w:cs="Simplified Arabic" w:hint="cs"/>
          <w:sz w:val="24"/>
          <w:szCs w:val="24"/>
          <w:rtl/>
        </w:rPr>
        <w:t>البد</w:t>
      </w:r>
      <w:r w:rsidR="004C25F8" w:rsidRPr="00206B59">
        <w:rPr>
          <w:rFonts w:ascii="Simplified Arabic" w:hAnsi="Simplified Arabic" w:cs="Simplified Arabic" w:hint="cs"/>
          <w:sz w:val="24"/>
          <w:szCs w:val="24"/>
          <w:rtl/>
        </w:rPr>
        <w:t>ي</w:t>
      </w:r>
      <w:r w:rsidRPr="00206B59">
        <w:rPr>
          <w:rFonts w:ascii="Simplified Arabic" w:hAnsi="Simplified Arabic" w:cs="Simplified Arabic" w:hint="cs"/>
          <w:sz w:val="24"/>
          <w:szCs w:val="24"/>
          <w:rtl/>
        </w:rPr>
        <w:t>ل</w:t>
      </w:r>
      <w:r w:rsidR="004C25F8" w:rsidRPr="00206B59">
        <w:rPr>
          <w:rFonts w:ascii="Simplified Arabic" w:hAnsi="Simplified Arabic" w:cs="Simplified Arabic" w:hint="cs"/>
          <w:sz w:val="24"/>
          <w:szCs w:val="24"/>
          <w:rtl/>
        </w:rPr>
        <w:t>ة</w:t>
      </w:r>
      <w:r w:rsidRPr="00206B59">
        <w:rPr>
          <w:rFonts w:ascii="Simplified Arabic" w:hAnsi="Simplified Arabic" w:cs="Simplified Arabic" w:hint="cs"/>
          <w:sz w:val="24"/>
          <w:szCs w:val="24"/>
          <w:rtl/>
        </w:rPr>
        <w:t xml:space="preserve"> (</w:t>
      </w:r>
      <w:r w:rsidR="004C25F8" w:rsidRPr="00206B59">
        <w:rPr>
          <w:rFonts w:ascii="Simplified Arabic" w:hAnsi="Simplified Arabic" w:cs="Simplified Arabic" w:hint="cs"/>
          <w:sz w:val="24"/>
          <w:szCs w:val="24"/>
          <w:rtl/>
        </w:rPr>
        <w:t>العوامل الفيزيائية</w:t>
      </w:r>
      <w:r w:rsidRPr="00206B59">
        <w:rPr>
          <w:rFonts w:ascii="Simplified Arabic" w:hAnsi="Simplified Arabic" w:cs="Simplified Arabic" w:hint="cs"/>
          <w:sz w:val="24"/>
          <w:szCs w:val="24"/>
          <w:rtl/>
        </w:rPr>
        <w:t>) التي تساهم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 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قدرة</w:t>
      </w:r>
      <w:r w:rsidRPr="00206B59">
        <w:rPr>
          <w:rFonts w:ascii="Simplified Arabic" w:hAnsi="Simplified Arabic" w:cs="Simplified Arabic"/>
          <w:sz w:val="24"/>
          <w:szCs w:val="24"/>
          <w:rtl/>
        </w:rPr>
        <w:t xml:space="preserve"> </w:t>
      </w:r>
      <w:r w:rsidR="004C25F8" w:rsidRPr="00206B59">
        <w:rPr>
          <w:rFonts w:ascii="Simplified Arabic" w:hAnsi="Simplified Arabic" w:cs="Simplified Arabic" w:hint="cs"/>
          <w:sz w:val="24"/>
          <w:szCs w:val="24"/>
          <w:rtl/>
        </w:rPr>
        <w:t>المدينة</w:t>
      </w:r>
      <w:r w:rsidR="004C25F8" w:rsidRPr="00206B59">
        <w:rPr>
          <w:rFonts w:ascii="Simplified Arabic" w:hAnsi="Simplified Arabic" w:cs="Simplified Arabic"/>
          <w:sz w:val="24"/>
          <w:szCs w:val="24"/>
          <w:rtl/>
        </w:rPr>
        <w:t xml:space="preserve"> </w:t>
      </w:r>
      <w:r w:rsidR="004C25F8" w:rsidRPr="00206B59">
        <w:rPr>
          <w:rFonts w:ascii="Simplified Arabic" w:hAnsi="Simplified Arabic" w:cs="Simplified Arabic" w:hint="cs"/>
          <w:sz w:val="24"/>
          <w:szCs w:val="24"/>
          <w:rtl/>
        </w:rPr>
        <w:t xml:space="preserve">على </w:t>
      </w:r>
      <w:r w:rsidRPr="00206B59">
        <w:rPr>
          <w:rFonts w:ascii="Simplified Arabic" w:hAnsi="Simplified Arabic" w:cs="Simplified Arabic" w:hint="cs"/>
          <w:sz w:val="24"/>
          <w:szCs w:val="24"/>
          <w:rtl/>
        </w:rPr>
        <w:t>الاستجابة بأكبر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قدر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ممكن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الدقة</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w:t>
      </w:r>
    </w:p>
    <w:p w:rsidR="000B42BD" w:rsidRDefault="000B42BD" w:rsidP="001D0548">
      <w:pPr>
        <w:pStyle w:val="Paragraphedeliste"/>
        <w:numPr>
          <w:ilvl w:val="0"/>
          <w:numId w:val="30"/>
        </w:numPr>
        <w:tabs>
          <w:tab w:val="right" w:pos="282"/>
        </w:tabs>
        <w:bidi/>
        <w:spacing w:after="0"/>
        <w:ind w:left="-1" w:firstLine="0"/>
        <w:jc w:val="both"/>
        <w:rPr>
          <w:rFonts w:ascii="Simplified Arabic" w:hAnsi="Simplified Arabic" w:cs="Simplified Arabic"/>
          <w:sz w:val="24"/>
          <w:szCs w:val="24"/>
        </w:rPr>
      </w:pPr>
      <w:r w:rsidRPr="00206B59">
        <w:rPr>
          <w:rFonts w:ascii="Simplified Arabic" w:hAnsi="Simplified Arabic" w:cs="Simplified Arabic" w:hint="cs"/>
          <w:sz w:val="24"/>
          <w:szCs w:val="24"/>
          <w:rtl/>
        </w:rPr>
        <w:t>التحقق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الإطار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الجديد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وتطبيقه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دراسة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الحالة، حيث 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الدراسات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تؤكد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اعتماد</w:t>
      </w:r>
      <w:r w:rsidRPr="00206B59">
        <w:rPr>
          <w:rFonts w:asciiTheme="minorBidi" w:hAnsiTheme="minorBidi"/>
          <w:color w:val="000000" w:themeColor="text1"/>
          <w:sz w:val="24"/>
          <w:szCs w:val="24"/>
          <w:rtl/>
          <w:lang w:val="en-US"/>
        </w:rPr>
        <w:t xml:space="preserve"> </w:t>
      </w:r>
      <w:r w:rsidRPr="00206B59">
        <w:rPr>
          <w:rFonts w:asciiTheme="minorBidi" w:hAnsiTheme="minorBidi" w:hint="cs"/>
          <w:color w:val="000000" w:themeColor="text1"/>
          <w:sz w:val="24"/>
          <w:szCs w:val="24"/>
          <w:rtl/>
          <w:lang w:val="en-US"/>
        </w:rPr>
        <w:t>(</w:t>
      </w:r>
      <w:r w:rsidRPr="00206B59">
        <w:rPr>
          <w:rFonts w:asciiTheme="majorBidi" w:hAnsiTheme="majorBidi" w:cstheme="majorBidi"/>
          <w:color w:val="000000" w:themeColor="text1"/>
          <w:sz w:val="24"/>
          <w:szCs w:val="24"/>
          <w:lang w:val="en-US" w:bidi="ar-DZ"/>
        </w:rPr>
        <w:t>Delphi</w:t>
      </w:r>
      <w:r w:rsidRPr="00206B59">
        <w:rPr>
          <w:rFonts w:asciiTheme="minorBidi" w:hAnsiTheme="minorBidi" w:hint="cs"/>
          <w:color w:val="000000" w:themeColor="text1"/>
          <w:sz w:val="24"/>
          <w:szCs w:val="24"/>
          <w:rtl/>
          <w:lang w:val="en-US"/>
        </w:rPr>
        <w:t>) و</w:t>
      </w:r>
      <w:r w:rsidRPr="00206B59">
        <w:rPr>
          <w:rFonts w:asciiTheme="minorBidi" w:hAnsiTheme="minorBidi"/>
          <w:color w:val="000000" w:themeColor="text1"/>
          <w:sz w:val="24"/>
          <w:szCs w:val="24"/>
          <w:rtl/>
          <w:lang w:val="en-US"/>
        </w:rPr>
        <w:t xml:space="preserve"> </w:t>
      </w:r>
      <w:r w:rsidRPr="00206B59">
        <w:rPr>
          <w:rFonts w:asciiTheme="minorBidi" w:hAnsiTheme="minorBidi" w:hint="cs"/>
          <w:color w:val="000000" w:themeColor="text1"/>
          <w:sz w:val="24"/>
          <w:szCs w:val="24"/>
          <w:rtl/>
          <w:lang w:val="en-US"/>
        </w:rPr>
        <w:t>(</w:t>
      </w:r>
      <w:r w:rsidRPr="00206B59">
        <w:rPr>
          <w:rFonts w:asciiTheme="majorBidi" w:hAnsiTheme="majorBidi" w:cstheme="majorBidi"/>
          <w:color w:val="000000" w:themeColor="text1"/>
          <w:sz w:val="24"/>
          <w:szCs w:val="24"/>
          <w:lang w:val="en-US" w:bidi="ar-DZ"/>
        </w:rPr>
        <w:t>AHP</w:t>
      </w:r>
      <w:r w:rsidRPr="00206B59">
        <w:rPr>
          <w:rFonts w:asciiTheme="minorBidi" w:hAnsiTheme="minorBidi" w:hint="cs"/>
          <w:color w:val="000000" w:themeColor="text1"/>
          <w:sz w:val="24"/>
          <w:szCs w:val="24"/>
          <w:rtl/>
          <w:lang w:val="en-US"/>
        </w:rPr>
        <w:t>)</w:t>
      </w:r>
      <w:r w:rsidRPr="00206B59">
        <w:rPr>
          <w:rFonts w:asciiTheme="minorBidi" w:hAnsiTheme="minorBidi"/>
          <w:color w:val="000000" w:themeColor="text1"/>
          <w:sz w:val="24"/>
          <w:szCs w:val="24"/>
          <w:rtl/>
          <w:lang w:val="en-US"/>
        </w:rPr>
        <w:t xml:space="preserve"> </w:t>
      </w:r>
      <w:r w:rsidRPr="00206B59">
        <w:rPr>
          <w:rFonts w:ascii="Simplified Arabic" w:hAnsi="Simplified Arabic" w:cs="Simplified Arabic" w:hint="cs"/>
          <w:sz w:val="24"/>
          <w:szCs w:val="24"/>
          <w:rtl/>
        </w:rPr>
        <w:t>أو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المزج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فيما بينهما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وبين </w:t>
      </w:r>
      <w:r w:rsidRPr="00206B59">
        <w:rPr>
          <w:rFonts w:asciiTheme="majorBidi" w:hAnsiTheme="majorBidi" w:cstheme="majorBidi"/>
          <w:color w:val="000000" w:themeColor="text1"/>
          <w:sz w:val="24"/>
          <w:szCs w:val="24"/>
          <w:rtl/>
          <w:lang w:val="en-US"/>
        </w:rPr>
        <w:t>(</w:t>
      </w:r>
      <w:r w:rsidRPr="00206B59">
        <w:rPr>
          <w:rFonts w:asciiTheme="majorBidi" w:hAnsiTheme="majorBidi" w:cstheme="majorBidi"/>
          <w:color w:val="000000" w:themeColor="text1"/>
          <w:sz w:val="24"/>
          <w:szCs w:val="24"/>
          <w:lang w:val="en-US" w:bidi="ar-DZ"/>
        </w:rPr>
        <w:t>GIS</w:t>
      </w:r>
      <w:r w:rsidRPr="00206B59">
        <w:rPr>
          <w:rFonts w:asciiTheme="majorBidi" w:hAnsiTheme="majorBidi" w:cstheme="majorBidi"/>
          <w:color w:val="000000" w:themeColor="text1"/>
          <w:sz w:val="24"/>
          <w:szCs w:val="24"/>
          <w:rtl/>
          <w:lang w:val="en-US"/>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لتحليل ونمذجة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الملاءمة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المكانية </w:t>
      </w:r>
      <w:r w:rsidRPr="00206B59">
        <w:rPr>
          <w:rFonts w:asciiTheme="majorBidi" w:hAnsiTheme="majorBidi" w:cstheme="majorBidi"/>
          <w:sz w:val="24"/>
          <w:szCs w:val="24"/>
        </w:rPr>
        <w:t>(Drobne &amp; Lisec, 2009)</w:t>
      </w:r>
      <w:r w:rsidRPr="00206B59">
        <w:rPr>
          <w:rFonts w:ascii="Simplified Arabic" w:hAnsi="Simplified Arabic" w:cs="Simplified Arabic" w:hint="cs"/>
          <w:sz w:val="24"/>
          <w:szCs w:val="24"/>
          <w:rtl/>
        </w:rPr>
        <w:t>.</w:t>
      </w:r>
      <w:r w:rsidRPr="00206B59">
        <w:rPr>
          <w:rFonts w:asciiTheme="majorBidi" w:hAnsiTheme="majorBidi" w:cstheme="majorBidi" w:hint="cs"/>
          <w:sz w:val="24"/>
          <w:szCs w:val="24"/>
          <w:rtl/>
        </w:rPr>
        <w:t xml:space="preserve"> </w:t>
      </w:r>
      <w:r w:rsidRPr="00206B59">
        <w:rPr>
          <w:rFonts w:ascii="Simplified Arabic" w:hAnsi="Simplified Arabic" w:cs="Simplified Arabic" w:hint="cs"/>
          <w:sz w:val="24"/>
          <w:szCs w:val="24"/>
          <w:rtl/>
        </w:rPr>
        <w:t>بينما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تحدد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إجراءات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صنع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القرار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متعددة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المعايير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العلاقة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بين خرائط</w:t>
      </w:r>
      <w:r w:rsidR="004C25F8" w:rsidRPr="00206B59">
        <w:rPr>
          <w:rFonts w:ascii="Simplified Arabic" w:hAnsi="Simplified Arabic" w:cs="Simplified Arabic" w:hint="cs"/>
          <w:sz w:val="24"/>
          <w:szCs w:val="24"/>
          <w:rtl/>
        </w:rPr>
        <w:t xml:space="preserve"> معايير التقييم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''المدخلات''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w:t>
      </w:r>
      <w:r w:rsidR="000337DD" w:rsidRPr="00206B59">
        <w:rPr>
          <w:rFonts w:ascii="Simplified Arabic" w:hAnsi="Simplified Arabic" w:cs="Simplified Arabic" w:hint="cs"/>
          <w:sz w:val="24"/>
          <w:szCs w:val="24"/>
          <w:rtl/>
        </w:rPr>
        <w:t>خريطة تصنيفات المرونة الح</w:t>
      </w:r>
      <w:r w:rsidR="004C25F8" w:rsidRPr="00206B59">
        <w:rPr>
          <w:rFonts w:ascii="Simplified Arabic" w:hAnsi="Simplified Arabic" w:cs="Simplified Arabic" w:hint="cs"/>
          <w:sz w:val="24"/>
          <w:szCs w:val="24"/>
          <w:rtl/>
        </w:rPr>
        <w:t xml:space="preserve">ضرية </w:t>
      </w:r>
      <w:r w:rsidRPr="00206B59">
        <w:rPr>
          <w:rFonts w:ascii="Simplified Arabic" w:hAnsi="Simplified Arabic" w:cs="Simplified Arabic" w:hint="cs"/>
          <w:sz w:val="24"/>
          <w:szCs w:val="24"/>
          <w:rtl/>
        </w:rPr>
        <w:t>''المخرجات''</w:t>
      </w:r>
      <w:r w:rsidRPr="00206B59">
        <w:rPr>
          <w:rFonts w:asciiTheme="majorBidi" w:hAnsiTheme="majorBidi" w:cstheme="majorBidi"/>
          <w:sz w:val="24"/>
          <w:szCs w:val="24"/>
        </w:rPr>
        <w:t xml:space="preserve">(Mousavi et al. , 2015) </w:t>
      </w:r>
      <w:r w:rsidRPr="00206B59">
        <w:rPr>
          <w:rFonts w:asciiTheme="majorBidi" w:hAnsiTheme="majorBidi" w:cstheme="majorBidi" w:hint="cs"/>
          <w:sz w:val="24"/>
          <w:szCs w:val="24"/>
          <w:rtl/>
        </w:rPr>
        <w:t xml:space="preserve">. </w:t>
      </w:r>
      <w:r w:rsidRPr="00206B59">
        <w:rPr>
          <w:rFonts w:ascii="Simplified Arabic" w:hAnsi="Simplified Arabic" w:cs="Simplified Arabic" w:hint="cs"/>
          <w:sz w:val="24"/>
          <w:szCs w:val="24"/>
          <w:rtl/>
        </w:rPr>
        <w:t xml:space="preserve">يتطلب ذلك، التحليل المكاني ضمن بيئة </w:t>
      </w:r>
      <w:r w:rsidRPr="00206B59">
        <w:rPr>
          <w:rFonts w:asciiTheme="majorBidi" w:hAnsiTheme="majorBidi" w:cstheme="majorBidi"/>
          <w:color w:val="000000" w:themeColor="text1"/>
          <w:sz w:val="24"/>
          <w:szCs w:val="24"/>
          <w:rtl/>
          <w:lang w:val="en-US"/>
        </w:rPr>
        <w:t>(</w:t>
      </w:r>
      <w:r w:rsidRPr="00206B59">
        <w:rPr>
          <w:rFonts w:asciiTheme="majorBidi" w:hAnsiTheme="majorBidi" w:cstheme="majorBidi"/>
          <w:color w:val="000000" w:themeColor="text1"/>
          <w:sz w:val="24"/>
          <w:szCs w:val="24"/>
          <w:lang w:val="en-US" w:bidi="ar-DZ"/>
        </w:rPr>
        <w:t>GIS</w:t>
      </w:r>
      <w:r w:rsidRPr="00206B59">
        <w:rPr>
          <w:rFonts w:asciiTheme="majorBidi" w:hAnsiTheme="majorBidi" w:cstheme="majorBidi"/>
          <w:sz w:val="24"/>
          <w:szCs w:val="24"/>
          <w:rtl/>
        </w:rPr>
        <w:t>)</w:t>
      </w:r>
      <w:r w:rsidRPr="00206B59">
        <w:rPr>
          <w:rFonts w:ascii="Simplified Arabic" w:hAnsi="Simplified Arabic" w:cs="Simplified Arabic" w:hint="cs"/>
          <w:sz w:val="24"/>
          <w:szCs w:val="24"/>
          <w:rtl/>
        </w:rPr>
        <w:t xml:space="preserve"> </w:t>
      </w:r>
      <w:r w:rsidR="000337DD" w:rsidRPr="00206B59">
        <w:rPr>
          <w:rFonts w:ascii="Simplified Arabic" w:hAnsi="Simplified Arabic" w:cs="Simplified Arabic" w:hint="cs"/>
          <w:sz w:val="24"/>
          <w:szCs w:val="24"/>
          <w:rtl/>
        </w:rPr>
        <w:t>و</w:t>
      </w:r>
      <w:r w:rsidRPr="00206B59">
        <w:rPr>
          <w:rFonts w:ascii="Simplified Arabic" w:hAnsi="Simplified Arabic" w:cs="Simplified Arabic" w:hint="cs"/>
          <w:sz w:val="24"/>
          <w:szCs w:val="24"/>
          <w:rtl/>
        </w:rPr>
        <w:t>ترجمة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نتائج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عملية </w:t>
      </w:r>
      <w:r w:rsidRPr="00206B59">
        <w:rPr>
          <w:rFonts w:asciiTheme="majorBidi" w:hAnsiTheme="majorBidi" w:cstheme="majorBidi"/>
          <w:sz w:val="24"/>
          <w:szCs w:val="24"/>
          <w:rtl/>
          <w:lang w:val="en-US"/>
        </w:rPr>
        <w:t>(</w:t>
      </w:r>
      <w:r w:rsidRPr="00206B59">
        <w:rPr>
          <w:rFonts w:asciiTheme="majorBidi" w:eastAsia="Times New Roman" w:hAnsiTheme="majorBidi" w:cstheme="majorBidi"/>
          <w:sz w:val="24"/>
          <w:szCs w:val="24"/>
          <w:lang w:eastAsia="fr-FR"/>
        </w:rPr>
        <w:t>AHP</w:t>
      </w:r>
      <w:r w:rsidRPr="00206B59">
        <w:rPr>
          <w:rFonts w:asciiTheme="majorBidi" w:hAnsiTheme="majorBidi" w:cstheme="majorBidi"/>
          <w:sz w:val="24"/>
          <w:szCs w:val="24"/>
          <w:rtl/>
          <w:lang w:val="en-US"/>
        </w:rPr>
        <w:t>)</w:t>
      </w:r>
      <w:r w:rsidRPr="00206B59">
        <w:rPr>
          <w:rFonts w:ascii="Arial" w:hAnsi="Arial" w:hint="cs"/>
          <w:sz w:val="24"/>
          <w:szCs w:val="24"/>
          <w:rtl/>
          <w:lang w:val="en-US"/>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خرائط 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برنامج</w:t>
      </w:r>
      <w:r w:rsidRPr="00206B59">
        <w:rPr>
          <w:sz w:val="24"/>
          <w:szCs w:val="24"/>
          <w:rtl/>
        </w:rPr>
        <w:t xml:space="preserve"> </w:t>
      </w:r>
      <w:r w:rsidRPr="00206B59">
        <w:rPr>
          <w:rFonts w:asciiTheme="majorBidi" w:hAnsiTheme="majorBidi" w:cstheme="majorBidi"/>
          <w:color w:val="000000" w:themeColor="text1"/>
          <w:rtl/>
        </w:rPr>
        <w:t>(</w:t>
      </w:r>
      <w:r w:rsidRPr="00206B59">
        <w:rPr>
          <w:rFonts w:asciiTheme="majorBidi" w:hAnsiTheme="majorBidi" w:cstheme="majorBidi"/>
          <w:color w:val="000000" w:themeColor="text1"/>
        </w:rPr>
        <w:t>ArcGIS</w:t>
      </w:r>
      <w:r w:rsidRPr="00206B59">
        <w:rPr>
          <w:rFonts w:asciiTheme="majorBidi" w:hAnsiTheme="majorBidi" w:cstheme="majorBidi"/>
          <w:color w:val="000000" w:themeColor="text1"/>
          <w:rtl/>
        </w:rPr>
        <w:t>)</w:t>
      </w:r>
      <w:r w:rsidRPr="00206B59">
        <w:rPr>
          <w:rFonts w:ascii="Simplified Arabic" w:hAnsi="Simplified Arabic" w:cs="Simplified Arabic" w:hint="cs"/>
          <w:color w:val="000000" w:themeColor="text1"/>
          <w:sz w:val="24"/>
          <w:szCs w:val="24"/>
          <w:rtl/>
        </w:rPr>
        <w:t>،</w:t>
      </w:r>
      <w:r w:rsidRPr="00206B59">
        <w:rPr>
          <w:rFonts w:ascii="Simplified Arabic" w:hAnsi="Simplified Arabic" w:cs="Simplified Arabic" w:hint="cs"/>
          <w:sz w:val="24"/>
          <w:szCs w:val="24"/>
          <w:rtl/>
        </w:rPr>
        <w:t xml:space="preserve"> من خلال دمج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المعلومات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والبيانات</w:t>
      </w:r>
      <w:r w:rsidR="002A52EB" w:rsidRPr="00206B59">
        <w:rPr>
          <w:rFonts w:ascii="Simplified Arabic" w:hAnsi="Simplified Arabic" w:cs="Simplified Arabic" w:hint="cs"/>
          <w:sz w:val="24"/>
          <w:szCs w:val="24"/>
          <w:rtl/>
        </w:rPr>
        <w:t xml:space="preserve"> للمعايير</w:t>
      </w:r>
      <w:r w:rsidRPr="00206B59">
        <w:rPr>
          <w:rFonts w:ascii="Simplified Arabic" w:hAnsi="Simplified Arabic" w:cs="Simplified Arabic" w:hint="cs"/>
          <w:sz w:val="24"/>
          <w:szCs w:val="24"/>
          <w:rtl/>
        </w:rPr>
        <w:t xml:space="preserve"> المستندة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lastRenderedPageBreak/>
        <w:t>الكمبيوتر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 قيمة وزن كل معيار و موقعه الجغرافي</w:t>
      </w:r>
      <w:r w:rsidR="000337DD" w:rsidRPr="00206B59">
        <w:rPr>
          <w:rFonts w:ascii="Simplified Arabic" w:hAnsi="Simplified Arabic" w:cs="Simplified Arabic" w:hint="cs"/>
          <w:sz w:val="24"/>
          <w:szCs w:val="24"/>
          <w:rtl/>
        </w:rPr>
        <w:t xml:space="preserve"> (مسا</w:t>
      </w:r>
      <w:r w:rsidR="002A52EB" w:rsidRPr="00206B59">
        <w:rPr>
          <w:rFonts w:ascii="Simplified Arabic" w:hAnsi="Simplified Arabic" w:cs="Simplified Arabic" w:hint="cs"/>
          <w:sz w:val="24"/>
          <w:szCs w:val="24"/>
          <w:rtl/>
        </w:rPr>
        <w:t>ف</w:t>
      </w:r>
      <w:r w:rsidR="000337DD" w:rsidRPr="00206B59">
        <w:rPr>
          <w:rFonts w:ascii="Simplified Arabic" w:hAnsi="Simplified Arabic" w:cs="Simplified Arabic" w:hint="cs"/>
          <w:sz w:val="24"/>
          <w:szCs w:val="24"/>
          <w:rtl/>
        </w:rPr>
        <w:t>ة التغطية</w:t>
      </w:r>
      <w:r w:rsidR="002A52EB" w:rsidRPr="00206B59">
        <w:rPr>
          <w:rFonts w:ascii="Simplified Arabic" w:hAnsi="Simplified Arabic" w:cs="Simplified Arabic" w:hint="cs"/>
          <w:sz w:val="24"/>
          <w:szCs w:val="24"/>
          <w:rtl/>
        </w:rPr>
        <w:t xml:space="preserve"> بالخدمة المثالية</w:t>
      </w:r>
      <w:r w:rsidR="000337DD" w:rsidRPr="00206B59">
        <w:rPr>
          <w:rFonts w:ascii="Simplified Arabic" w:hAnsi="Simplified Arabic" w:cs="Simplified Arabic" w:hint="cs"/>
          <w:sz w:val="24"/>
          <w:szCs w:val="24"/>
          <w:rtl/>
        </w:rPr>
        <w:t>)</w:t>
      </w:r>
      <w:r w:rsidRPr="00206B59">
        <w:rPr>
          <w:rFonts w:ascii="Simplified Arabic" w:hAnsi="Simplified Arabic" w:cs="Simplified Arabic" w:hint="cs"/>
          <w:sz w:val="24"/>
          <w:szCs w:val="24"/>
          <w:rtl/>
        </w:rPr>
        <w:t>، للمساعدة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اتخاذ</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القرارات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المكانية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الملائمة </w:t>
      </w:r>
      <w:r w:rsidR="002A52EB" w:rsidRPr="00206B59">
        <w:rPr>
          <w:rFonts w:ascii="Simplified Arabic" w:hAnsi="Simplified Arabic" w:cs="Simplified Arabic" w:hint="cs"/>
          <w:sz w:val="24"/>
          <w:szCs w:val="24"/>
          <w:rtl/>
        </w:rPr>
        <w:t>لتحديد احتياجات</w:t>
      </w:r>
      <w:r w:rsidRPr="00206B59">
        <w:rPr>
          <w:rFonts w:ascii="Simplified Arabic" w:hAnsi="Simplified Arabic" w:cs="Simplified Arabic" w:hint="cs"/>
          <w:sz w:val="24"/>
          <w:szCs w:val="24"/>
          <w:rtl/>
        </w:rPr>
        <w:t xml:space="preserve"> التنمية المحلية</w:t>
      </w:r>
      <w:r w:rsidR="000337DD" w:rsidRPr="00206B59">
        <w:rPr>
          <w:rFonts w:ascii="Simplified Arabic" w:hAnsi="Simplified Arabic" w:cs="Simplified Arabic" w:hint="cs"/>
          <w:sz w:val="24"/>
          <w:szCs w:val="24"/>
          <w:rtl/>
        </w:rPr>
        <w:t xml:space="preserve"> وتحسين مرونة المدينة</w:t>
      </w:r>
      <w:r w:rsidRPr="00206B59">
        <w:rPr>
          <w:rFonts w:ascii="Simplified Arabic" w:hAnsi="Simplified Arabic" w:cs="Simplified Arabic"/>
          <w:sz w:val="24"/>
          <w:szCs w:val="24"/>
          <w:rtl/>
        </w:rPr>
        <w:t>.</w:t>
      </w:r>
    </w:p>
    <w:p w:rsidR="00B06AA2" w:rsidRPr="009911F2" w:rsidRDefault="00B06AA2" w:rsidP="001D0548">
      <w:pPr>
        <w:pStyle w:val="Paragraphedeliste"/>
        <w:numPr>
          <w:ilvl w:val="0"/>
          <w:numId w:val="30"/>
        </w:numPr>
        <w:tabs>
          <w:tab w:val="right" w:pos="282"/>
        </w:tabs>
        <w:bidi/>
        <w:spacing w:after="0"/>
        <w:ind w:left="-1" w:firstLine="0"/>
        <w:jc w:val="both"/>
        <w:rPr>
          <w:rFonts w:asciiTheme="minorBidi" w:hAnsiTheme="minorBidi"/>
          <w:sz w:val="24"/>
          <w:szCs w:val="24"/>
        </w:rPr>
      </w:pPr>
      <w:r w:rsidRPr="00206B59">
        <w:rPr>
          <w:rFonts w:ascii="Simplified Arabic" w:hAnsi="Simplified Arabic" w:cs="Simplified Arabic" w:hint="cs"/>
          <w:sz w:val="24"/>
          <w:szCs w:val="24"/>
          <w:rtl/>
        </w:rPr>
        <w:t>يمكن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اعتبار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التحقيق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تصورات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السكان المحليين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 اضطرابات الحصول على الخدمة ب</w:t>
      </w:r>
      <w:r w:rsidRPr="00206B59">
        <w:rPr>
          <w:rFonts w:ascii="Simplified Arabic" w:hAnsi="Simplified Arabic" w:cs="Simplified Arabic"/>
          <w:sz w:val="24"/>
          <w:szCs w:val="24"/>
          <w:rtl/>
        </w:rPr>
        <w:t>مدينة بوسعادة</w:t>
      </w:r>
      <w:r w:rsidRPr="00206B59">
        <w:rPr>
          <w:rFonts w:ascii="Simplified Arabic" w:hAnsi="Simplified Arabic" w:cs="Simplified Arabic" w:hint="cs"/>
          <w:sz w:val="24"/>
          <w:szCs w:val="24"/>
          <w:rtl/>
        </w:rPr>
        <w:t xml:space="preserve"> وسيلة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للتعبير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الاحتياجات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المحلية لتحديد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أولويات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التنمية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الحضرية، للتأكد فيما اذا كانت تتناسب تلك الاحتياجات مع القرارات المكانية الناتجة عن خريطة تصنيفات المرونة الحضرية</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تزداد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صعوبة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تحقيق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 التنمية الحضرية دون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مشاركة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ودعم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جمهور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أوسع </w:t>
      </w:r>
      <w:r w:rsidRPr="00206B59">
        <w:rPr>
          <w:rFonts w:asciiTheme="majorBidi" w:hAnsiTheme="majorBidi" w:cstheme="majorBidi"/>
          <w:sz w:val="24"/>
          <w:szCs w:val="24"/>
        </w:rPr>
        <w:t>(</w:t>
      </w:r>
      <w:r w:rsidRPr="00206B59">
        <w:rPr>
          <w:rFonts w:asciiTheme="majorBidi" w:hAnsiTheme="majorBidi" w:cstheme="majorBidi"/>
          <w:sz w:val="24"/>
          <w:szCs w:val="24"/>
          <w:lang w:val="en-US"/>
        </w:rPr>
        <w:t>Kruse</w:t>
      </w:r>
      <w:r w:rsidRPr="00206B59">
        <w:rPr>
          <w:rFonts w:asciiTheme="majorBidi" w:hAnsiTheme="majorBidi" w:cstheme="majorBidi"/>
          <w:sz w:val="24"/>
          <w:szCs w:val="24"/>
        </w:rPr>
        <w:t xml:space="preserve">, 2008; </w:t>
      </w:r>
      <w:r w:rsidRPr="00206B59">
        <w:rPr>
          <w:rFonts w:asciiTheme="majorBidi" w:hAnsiTheme="majorBidi" w:cstheme="majorBidi"/>
          <w:sz w:val="24"/>
          <w:szCs w:val="24"/>
          <w:lang w:val="en-US"/>
        </w:rPr>
        <w:t>Brondizio</w:t>
      </w:r>
      <w:r w:rsidRPr="00206B59">
        <w:rPr>
          <w:rFonts w:asciiTheme="majorBidi" w:hAnsiTheme="majorBidi" w:cstheme="majorBidi"/>
          <w:sz w:val="24"/>
          <w:szCs w:val="24"/>
        </w:rPr>
        <w:t xml:space="preserve"> et al., 2009)</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لذلك، كانت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المواجهة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احداث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الفيضانات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والنقاش</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السياسي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التطورات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المثيرة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للاهتمام،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أحدها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يتعلق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بالدور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المتزايد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للمشاركة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العامة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استراتيجيات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التخطيط الحضري وتسيير المخاطر</w:t>
      </w:r>
      <w:r w:rsidRPr="00206B59">
        <w:rPr>
          <w:rFonts w:ascii="Simplified Arabic" w:hAnsi="Simplified Arabic" w:cs="Simplified Arabic"/>
          <w:sz w:val="24"/>
          <w:szCs w:val="24"/>
          <w:rtl/>
        </w:rPr>
        <w:t>.</w:t>
      </w:r>
    </w:p>
    <w:p w:rsidR="000B42BD" w:rsidRDefault="00891AB3" w:rsidP="00345EA2">
      <w:pPr>
        <w:pStyle w:val="fegure"/>
        <w:spacing w:before="240"/>
        <w:rPr>
          <w:sz w:val="8"/>
          <w:szCs w:val="24"/>
          <w:rtl/>
        </w:rPr>
      </w:pPr>
      <w:bookmarkStart w:id="394" w:name="_Toc157608304"/>
      <w:bookmarkStart w:id="395" w:name="_Toc171803504"/>
      <w:r w:rsidRPr="00264FC1">
        <w:rPr>
          <w:rFonts w:hint="cs"/>
          <w:sz w:val="8"/>
          <w:szCs w:val="24"/>
          <w:rtl/>
        </w:rPr>
        <w:t>ا</w:t>
      </w:r>
      <w:r w:rsidR="000B42BD" w:rsidRPr="00264FC1">
        <w:rPr>
          <w:sz w:val="8"/>
          <w:szCs w:val="24"/>
          <w:rtl/>
        </w:rPr>
        <w:t xml:space="preserve">لشكل </w:t>
      </w:r>
      <w:r w:rsidR="000B42BD" w:rsidRPr="00264FC1">
        <w:rPr>
          <w:rFonts w:hint="cs"/>
          <w:sz w:val="8"/>
          <w:szCs w:val="24"/>
          <w:rtl/>
        </w:rPr>
        <w:t>(</w:t>
      </w:r>
      <w:r w:rsidR="002E7C71" w:rsidRPr="00264FC1">
        <w:rPr>
          <w:rFonts w:hint="cs"/>
          <w:sz w:val="8"/>
          <w:szCs w:val="24"/>
          <w:rtl/>
        </w:rPr>
        <w:t>3-1</w:t>
      </w:r>
      <w:r w:rsidR="000B42BD" w:rsidRPr="00264FC1">
        <w:rPr>
          <w:rFonts w:hint="cs"/>
          <w:sz w:val="8"/>
          <w:szCs w:val="24"/>
          <w:rtl/>
        </w:rPr>
        <w:t>)</w:t>
      </w:r>
      <w:r w:rsidR="000B42BD" w:rsidRPr="00264FC1">
        <w:rPr>
          <w:sz w:val="8"/>
          <w:szCs w:val="24"/>
          <w:rtl/>
        </w:rPr>
        <w:t xml:space="preserve">: </w:t>
      </w:r>
      <w:r w:rsidR="0040455E" w:rsidRPr="00264FC1">
        <w:rPr>
          <w:rFonts w:hint="cs"/>
          <w:sz w:val="8"/>
          <w:szCs w:val="24"/>
          <w:rtl/>
          <w:lang w:val="en-US"/>
        </w:rPr>
        <w:t>ال</w:t>
      </w:r>
      <w:r w:rsidR="0040455E" w:rsidRPr="00264FC1">
        <w:rPr>
          <w:rFonts w:hint="cs"/>
          <w:color w:val="auto"/>
          <w:sz w:val="8"/>
          <w:szCs w:val="24"/>
          <w:rtl/>
        </w:rPr>
        <w:t>منهجية</w:t>
      </w:r>
      <w:r w:rsidR="0040455E" w:rsidRPr="00264FC1">
        <w:rPr>
          <w:color w:val="auto"/>
          <w:sz w:val="8"/>
          <w:szCs w:val="24"/>
          <w:rtl/>
        </w:rPr>
        <w:t xml:space="preserve"> </w:t>
      </w:r>
      <w:r w:rsidR="0040455E" w:rsidRPr="00264FC1">
        <w:rPr>
          <w:rFonts w:hint="cs"/>
          <w:sz w:val="8"/>
          <w:szCs w:val="24"/>
          <w:rtl/>
          <w:lang w:val="en-US"/>
        </w:rPr>
        <w:t>المتبعة لاطار عمل</w:t>
      </w:r>
      <w:r w:rsidR="0040455E" w:rsidRPr="00264FC1">
        <w:rPr>
          <w:sz w:val="8"/>
          <w:szCs w:val="24"/>
          <w:rtl/>
          <w:lang w:val="en-US"/>
        </w:rPr>
        <w:t xml:space="preserve"> </w:t>
      </w:r>
      <w:r w:rsidR="0040455E" w:rsidRPr="00264FC1">
        <w:rPr>
          <w:sz w:val="8"/>
          <w:szCs w:val="24"/>
          <w:rtl/>
        </w:rPr>
        <w:t xml:space="preserve">تقييم </w:t>
      </w:r>
      <w:r w:rsidR="0040455E" w:rsidRPr="00264FC1">
        <w:rPr>
          <w:rFonts w:hint="cs"/>
          <w:sz w:val="8"/>
          <w:szCs w:val="24"/>
          <w:rtl/>
        </w:rPr>
        <w:t>المرونة</w:t>
      </w:r>
      <w:r w:rsidR="0040455E" w:rsidRPr="00264FC1">
        <w:rPr>
          <w:sz w:val="8"/>
          <w:szCs w:val="24"/>
          <w:rtl/>
        </w:rPr>
        <w:t xml:space="preserve"> الحضرية</w:t>
      </w:r>
      <w:bookmarkEnd w:id="394"/>
      <w:bookmarkEnd w:id="395"/>
    </w:p>
    <w:p w:rsidR="000A623E" w:rsidRPr="000A623E" w:rsidRDefault="000A623E" w:rsidP="000A623E">
      <w:pPr>
        <w:pStyle w:val="fegure"/>
        <w:rPr>
          <w:sz w:val="8"/>
          <w:szCs w:val="24"/>
          <w:lang w:val="en-US"/>
        </w:rPr>
      </w:pPr>
      <w:bookmarkStart w:id="396" w:name="_Toc171803505"/>
      <w:r>
        <w:rPr>
          <w:rFonts w:hint="cs"/>
          <w:sz w:val="8"/>
          <w:szCs w:val="24"/>
          <w:rtl/>
          <w:lang w:val="en-US"/>
        </w:rPr>
        <w:t>المصدر: (الباحث، 2022)</w:t>
      </w:r>
      <w:bookmarkEnd w:id="396"/>
    </w:p>
    <w:p w:rsidR="000B42BD" w:rsidRDefault="000B42BD" w:rsidP="00025C94">
      <w:pPr>
        <w:pStyle w:val="Default"/>
        <w:tabs>
          <w:tab w:val="right" w:pos="2267"/>
        </w:tabs>
        <w:bidi/>
        <w:spacing w:after="240" w:line="276" w:lineRule="auto"/>
        <w:jc w:val="center"/>
        <w:rPr>
          <w:rFonts w:ascii="Simplified Arabic" w:hAnsi="Simplified Arabic" w:cs="Simplified Arabic"/>
          <w:rtl/>
        </w:rPr>
      </w:pPr>
      <w:r w:rsidRPr="0093259D">
        <w:rPr>
          <w:rFonts w:ascii="Simplified Arabic" w:hAnsi="Simplified Arabic" w:cs="Simplified Arabic"/>
          <w:noProof/>
          <w:color w:val="auto"/>
          <w:rtl/>
          <w:lang w:eastAsia="fr-FR"/>
        </w:rPr>
        <w:drawing>
          <wp:inline distT="0" distB="0" distL="0" distR="0" wp14:anchorId="5F1A0F97" wp14:editId="05D5078C">
            <wp:extent cx="5621572" cy="2480807"/>
            <wp:effectExtent l="0" t="19050" r="17780" b="53340"/>
            <wp:docPr id="149" name="Diagramme 1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2" r:lo="rId143" r:qs="rId144" r:cs="rId145"/>
              </a:graphicData>
            </a:graphic>
          </wp:inline>
        </w:drawing>
      </w:r>
    </w:p>
    <w:p w:rsidR="000B42BD" w:rsidRPr="009911F2" w:rsidRDefault="000B42BD" w:rsidP="001D0548">
      <w:pPr>
        <w:pStyle w:val="Paragraphedeliste"/>
        <w:numPr>
          <w:ilvl w:val="1"/>
          <w:numId w:val="83"/>
        </w:numPr>
        <w:shd w:val="clear" w:color="auto" w:fill="FFFFFF" w:themeFill="background1"/>
        <w:tabs>
          <w:tab w:val="right" w:pos="567"/>
        </w:tabs>
        <w:bidi/>
        <w:spacing w:before="240" w:after="0"/>
        <w:ind w:left="0" w:firstLine="0"/>
        <w:jc w:val="both"/>
        <w:outlineLvl w:val="0"/>
        <w:rPr>
          <w:rFonts w:ascii="Simplified Arabic" w:hAnsi="Simplified Arabic" w:cs="Simplified Arabic"/>
          <w:b/>
          <w:bCs/>
          <w:sz w:val="24"/>
          <w:szCs w:val="24"/>
          <w:rtl/>
        </w:rPr>
      </w:pPr>
      <w:bookmarkStart w:id="397" w:name="_Toc171803506"/>
      <w:r w:rsidRPr="009911F2">
        <w:rPr>
          <w:rFonts w:ascii="Simplified Arabic" w:hAnsi="Simplified Arabic" w:cs="Simplified Arabic" w:hint="cs"/>
          <w:b/>
          <w:bCs/>
          <w:sz w:val="24"/>
          <w:szCs w:val="24"/>
          <w:rtl/>
        </w:rPr>
        <w:t xml:space="preserve">مراحل تطوير </w:t>
      </w:r>
      <w:r w:rsidR="00BA42A0" w:rsidRPr="009911F2">
        <w:rPr>
          <w:rFonts w:ascii="Simplified Arabic" w:hAnsi="Simplified Arabic" w:cs="Simplified Arabic" w:hint="cs"/>
          <w:b/>
          <w:bCs/>
          <w:sz w:val="24"/>
          <w:szCs w:val="24"/>
          <w:rtl/>
        </w:rPr>
        <w:t>اطار عمل</w:t>
      </w:r>
      <w:r w:rsidRPr="009911F2">
        <w:rPr>
          <w:rFonts w:ascii="Simplified Arabic" w:hAnsi="Simplified Arabic" w:cs="Simplified Arabic" w:hint="cs"/>
          <w:b/>
          <w:bCs/>
          <w:sz w:val="24"/>
          <w:szCs w:val="24"/>
          <w:rtl/>
        </w:rPr>
        <w:t xml:space="preserve"> تقييم المرونة الحضرية</w:t>
      </w:r>
      <w:bookmarkEnd w:id="397"/>
    </w:p>
    <w:p w:rsidR="000B42BD" w:rsidRPr="00E725F4" w:rsidRDefault="000B42BD" w:rsidP="001D0548">
      <w:pPr>
        <w:pStyle w:val="Default"/>
        <w:numPr>
          <w:ilvl w:val="2"/>
          <w:numId w:val="126"/>
        </w:numPr>
        <w:tabs>
          <w:tab w:val="right" w:pos="850"/>
        </w:tabs>
        <w:bidi/>
        <w:spacing w:line="276" w:lineRule="auto"/>
        <w:ind w:left="0" w:firstLine="0"/>
        <w:jc w:val="both"/>
        <w:outlineLvl w:val="1"/>
        <w:rPr>
          <w:rFonts w:ascii="Simplified Arabic" w:hAnsi="Simplified Arabic" w:cs="Simplified Arabic"/>
          <w:b/>
          <w:bCs/>
        </w:rPr>
      </w:pPr>
      <w:bookmarkStart w:id="398" w:name="_Toc171803507"/>
      <w:r w:rsidRPr="00E725F4">
        <w:rPr>
          <w:rFonts w:ascii="Simplified Arabic" w:hAnsi="Simplified Arabic" w:cs="Simplified Arabic"/>
          <w:b/>
          <w:bCs/>
          <w:rtl/>
        </w:rPr>
        <w:t xml:space="preserve">المرحلة الأولى: مقارنة </w:t>
      </w:r>
      <w:r>
        <w:rPr>
          <w:rFonts w:ascii="Simplified Arabic" w:hAnsi="Simplified Arabic" w:cs="Simplified Arabic" w:hint="cs"/>
          <w:b/>
          <w:bCs/>
          <w:rtl/>
        </w:rPr>
        <w:t xml:space="preserve">بين </w:t>
      </w:r>
      <w:r w:rsidR="00BA42A0">
        <w:rPr>
          <w:rFonts w:ascii="Simplified Arabic" w:hAnsi="Simplified Arabic" w:cs="Simplified Arabic" w:hint="cs"/>
          <w:b/>
          <w:bCs/>
          <w:rtl/>
        </w:rPr>
        <w:t>اطر</w:t>
      </w:r>
      <w:r w:rsidRPr="00E725F4">
        <w:rPr>
          <w:rFonts w:ascii="Simplified Arabic" w:hAnsi="Simplified Arabic" w:cs="Simplified Arabic"/>
          <w:b/>
          <w:bCs/>
          <w:rtl/>
        </w:rPr>
        <w:t xml:space="preserve"> تقييم المرونة الحضرية</w:t>
      </w:r>
      <w:r>
        <w:rPr>
          <w:rFonts w:ascii="Simplified Arabic" w:hAnsi="Simplified Arabic" w:cs="Simplified Arabic" w:hint="cs"/>
          <w:b/>
          <w:bCs/>
          <w:rtl/>
        </w:rPr>
        <w:t xml:space="preserve"> </w:t>
      </w:r>
      <w:r w:rsidRPr="009035BD">
        <w:rPr>
          <w:rFonts w:asciiTheme="majorBidi" w:hAnsiTheme="majorBidi" w:cstheme="majorBidi" w:hint="cs"/>
          <w:b/>
          <w:bCs/>
          <w:color w:val="000000" w:themeColor="text1"/>
          <w:sz w:val="18"/>
          <w:szCs w:val="18"/>
          <w:rtl/>
          <w:lang w:val="en-US"/>
        </w:rPr>
        <w:t>(</w:t>
      </w:r>
      <w:r w:rsidRPr="009035BD">
        <w:rPr>
          <w:rFonts w:asciiTheme="majorBidi" w:hAnsiTheme="majorBidi" w:cstheme="majorBidi"/>
          <w:b/>
          <w:bCs/>
          <w:color w:val="000000" w:themeColor="text1"/>
          <w:sz w:val="18"/>
          <w:szCs w:val="18"/>
          <w:lang w:val="en-US"/>
        </w:rPr>
        <w:t>GURAT</w:t>
      </w:r>
      <w:r w:rsidRPr="009035BD">
        <w:rPr>
          <w:rFonts w:asciiTheme="majorBidi" w:hAnsiTheme="majorBidi" w:cstheme="majorBidi" w:hint="cs"/>
          <w:b/>
          <w:bCs/>
          <w:color w:val="000000" w:themeColor="text1"/>
          <w:sz w:val="18"/>
          <w:szCs w:val="18"/>
          <w:rtl/>
          <w:lang w:val="en-US"/>
        </w:rPr>
        <w:t>)</w:t>
      </w:r>
      <w:bookmarkEnd w:id="398"/>
    </w:p>
    <w:p w:rsidR="00345EA2" w:rsidRDefault="000B42BD" w:rsidP="003166C4">
      <w:pPr>
        <w:pStyle w:val="Default"/>
        <w:bidi/>
        <w:spacing w:line="276" w:lineRule="auto"/>
        <w:ind w:firstLine="282"/>
        <w:jc w:val="both"/>
        <w:rPr>
          <w:rFonts w:ascii="Simplified Arabic" w:hAnsi="Simplified Arabic" w:cs="Simplified Arabic"/>
          <w:color w:val="auto"/>
          <w:rtl/>
        </w:rPr>
      </w:pPr>
      <w:r w:rsidRPr="00206B59">
        <w:rPr>
          <w:rFonts w:ascii="Simplified Arabic" w:hAnsi="Simplified Arabic" w:cs="Simplified Arabic" w:hint="cs"/>
          <w:color w:val="auto"/>
          <w:rtl/>
        </w:rPr>
        <w:t>من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المهم</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عند</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تطوير</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إطار</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عمل</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جديد</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لتقييم</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المرونة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الحضرية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البدء</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بتحليل</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مقارن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لمجموعة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مختارة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من</w:t>
      </w:r>
      <w:r w:rsidRPr="00206B59">
        <w:rPr>
          <w:rFonts w:ascii="Simplified Arabic" w:hAnsi="Simplified Arabic" w:cs="Simplified Arabic"/>
          <w:color w:val="auto"/>
          <w:rtl/>
        </w:rPr>
        <w:t xml:space="preserve"> </w:t>
      </w:r>
      <w:r w:rsidR="009F1DDA" w:rsidRPr="00206B59">
        <w:rPr>
          <w:rFonts w:ascii="Simplified Arabic" w:hAnsi="Simplified Arabic" w:cs="Simplified Arabic" w:hint="cs"/>
          <w:color w:val="auto"/>
          <w:rtl/>
        </w:rPr>
        <w:t>ال</w:t>
      </w:r>
      <w:r w:rsidR="006550EA" w:rsidRPr="00206B59">
        <w:rPr>
          <w:rFonts w:ascii="Simplified Arabic" w:hAnsi="Simplified Arabic" w:cs="Simplified Arabic" w:hint="cs"/>
          <w:color w:val="auto"/>
          <w:rtl/>
        </w:rPr>
        <w:t>ا</w:t>
      </w:r>
      <w:r w:rsidR="009F1DDA" w:rsidRPr="00206B59">
        <w:rPr>
          <w:rFonts w:ascii="Simplified Arabic" w:hAnsi="Simplified Arabic" w:cs="Simplified Arabic" w:hint="cs"/>
          <w:color w:val="auto"/>
          <w:rtl/>
        </w:rPr>
        <w:t>طر و</w:t>
      </w:r>
      <w:r w:rsidRPr="00206B59">
        <w:rPr>
          <w:rFonts w:ascii="Simplified Arabic" w:hAnsi="Simplified Arabic" w:cs="Simplified Arabic" w:hint="cs"/>
          <w:color w:val="auto"/>
          <w:rtl/>
        </w:rPr>
        <w:t>النماذج</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الشاملة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في</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المجال</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المحدد</w:t>
      </w:r>
      <w:r w:rsidRPr="00206B59">
        <w:rPr>
          <w:rFonts w:ascii="Simplified Arabic" w:hAnsi="Simplified Arabic" w:cs="Simplified Arabic"/>
          <w:color w:val="auto"/>
          <w:rtl/>
        </w:rPr>
        <w:t>.</w:t>
      </w:r>
      <w:r w:rsidRPr="00206B59">
        <w:rPr>
          <w:rFonts w:asciiTheme="minorBidi" w:hAnsiTheme="minorBidi" w:cs="Arial"/>
          <w:rtl/>
        </w:rPr>
        <w:t xml:space="preserve"> </w:t>
      </w:r>
      <w:r w:rsidRPr="00206B59">
        <w:rPr>
          <w:rFonts w:ascii="Simplified Arabic" w:hAnsi="Simplified Arabic" w:cs="Simplified Arabic" w:hint="cs"/>
          <w:color w:val="auto"/>
          <w:rtl/>
        </w:rPr>
        <w:t>توفر</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النماذج ذات المقياس المحلي</w:t>
      </w:r>
      <w:r w:rsidRPr="00206B59">
        <w:rPr>
          <w:rFonts w:asciiTheme="minorBidi" w:hAnsiTheme="minorBidi" w:cs="Arial" w:hint="cs"/>
          <w:rtl/>
        </w:rPr>
        <w:t xml:space="preserve"> </w:t>
      </w:r>
      <w:r w:rsidRPr="00206B59">
        <w:rPr>
          <w:rFonts w:asciiTheme="majorBidi" w:hAnsiTheme="majorBidi" w:cstheme="majorBidi"/>
          <w:color w:val="000000" w:themeColor="text1"/>
          <w:rtl/>
          <w:lang w:val="en-US" w:bidi="ar-DZ"/>
        </w:rPr>
        <w:t>(</w:t>
      </w:r>
      <w:r w:rsidRPr="00206B59">
        <w:rPr>
          <w:rFonts w:asciiTheme="majorBidi" w:hAnsiTheme="majorBidi" w:cstheme="majorBidi"/>
          <w:color w:val="000000" w:themeColor="text1"/>
          <w:lang w:val="en-US" w:bidi="ar-DZ"/>
        </w:rPr>
        <w:t>2022</w:t>
      </w:r>
      <w:r w:rsidRPr="00206B59">
        <w:rPr>
          <w:rFonts w:asciiTheme="majorBidi" w:hAnsiTheme="majorBidi" w:cstheme="majorBidi" w:hint="cs"/>
          <w:color w:val="000000" w:themeColor="text1"/>
          <w:rtl/>
          <w:lang w:val="en-US" w:bidi="ar-DZ"/>
        </w:rPr>
        <w:t xml:space="preserve"> </w:t>
      </w:r>
      <w:r w:rsidRPr="00206B59">
        <w:rPr>
          <w:rFonts w:asciiTheme="majorBidi" w:hAnsiTheme="majorBidi" w:cstheme="majorBidi"/>
          <w:color w:val="000000" w:themeColor="text1"/>
          <w:lang w:val="en-US" w:bidi="ar-DZ"/>
        </w:rPr>
        <w:t xml:space="preserve">Haghighi Fard </w:t>
      </w:r>
      <w:r w:rsidRPr="00206B59">
        <w:rPr>
          <w:rFonts w:asciiTheme="majorBidi" w:hAnsiTheme="majorBidi" w:cstheme="majorBidi"/>
          <w:lang w:val="en-US"/>
        </w:rPr>
        <w:t xml:space="preserve">&amp; </w:t>
      </w:r>
      <w:r w:rsidRPr="00206B59">
        <w:rPr>
          <w:rFonts w:asciiTheme="majorBidi" w:hAnsiTheme="majorBidi" w:cstheme="majorBidi"/>
          <w:color w:val="000000" w:themeColor="text1"/>
          <w:lang w:val="en-US" w:bidi="ar-DZ"/>
        </w:rPr>
        <w:t>Doratli,</w:t>
      </w:r>
      <w:r w:rsidRPr="00206B59">
        <w:rPr>
          <w:rFonts w:asciiTheme="majorBidi" w:hAnsiTheme="majorBidi" w:cstheme="majorBidi" w:hint="cs"/>
          <w:color w:val="000000" w:themeColor="text1"/>
          <w:rtl/>
          <w:lang w:val="en-US" w:bidi="ar-DZ"/>
        </w:rPr>
        <w:t xml:space="preserve"> </w:t>
      </w:r>
      <w:r w:rsidR="00165B85" w:rsidRPr="00206B59">
        <w:rPr>
          <w:rFonts w:asciiTheme="majorBidi" w:hAnsiTheme="majorBidi" w:cstheme="majorBidi"/>
          <w:color w:val="000000" w:themeColor="text1"/>
          <w:lang w:val="en-US" w:bidi="ar-DZ"/>
        </w:rPr>
        <w:t>Heinzlef et al., 2019</w:t>
      </w:r>
      <w:r w:rsidRPr="00206B59">
        <w:rPr>
          <w:rFonts w:asciiTheme="majorBidi" w:hAnsiTheme="majorBidi" w:cstheme="majorBidi"/>
          <w:color w:val="000000" w:themeColor="text1"/>
          <w:lang w:bidi="ar-DZ"/>
        </w:rPr>
        <w:t>; </w:t>
      </w:r>
      <w:r w:rsidRPr="00206B59">
        <w:rPr>
          <w:rFonts w:asciiTheme="majorBidi" w:hAnsiTheme="majorBidi" w:cstheme="majorBidi"/>
          <w:color w:val="000000" w:themeColor="text1"/>
          <w:lang w:val="en-US" w:bidi="ar-DZ"/>
        </w:rPr>
        <w:t>Javari</w:t>
      </w:r>
      <w:r w:rsidR="00D02756" w:rsidRPr="00206B59">
        <w:rPr>
          <w:rFonts w:asciiTheme="majorBidi" w:hAnsiTheme="majorBidi" w:cstheme="majorBidi"/>
          <w:color w:val="000000" w:themeColor="text1"/>
          <w:lang w:val="en-US" w:bidi="ar-DZ"/>
        </w:rPr>
        <w:t xml:space="preserve"> et al.,</w:t>
      </w:r>
      <w:r w:rsidRPr="00206B59">
        <w:rPr>
          <w:rFonts w:asciiTheme="majorBidi" w:hAnsiTheme="majorBidi" w:cstheme="majorBidi"/>
          <w:color w:val="000000" w:themeColor="text1"/>
          <w:lang w:val="en-US" w:bidi="ar-DZ"/>
        </w:rPr>
        <w:t xml:space="preserve"> 2021</w:t>
      </w:r>
      <w:r w:rsidRPr="00206B59">
        <w:rPr>
          <w:rFonts w:asciiTheme="majorBidi" w:hAnsiTheme="majorBidi" w:cstheme="majorBidi"/>
          <w:color w:val="000000" w:themeColor="text1"/>
          <w:lang w:bidi="ar-DZ"/>
        </w:rPr>
        <w:t>;</w:t>
      </w:r>
      <w:r w:rsidRPr="00206B59">
        <w:rPr>
          <w:rFonts w:asciiTheme="majorBidi" w:hAnsiTheme="majorBidi" w:cstheme="majorBidi" w:hint="cs"/>
          <w:color w:val="000000" w:themeColor="text1"/>
          <w:rtl/>
          <w:lang w:val="en-US" w:bidi="ar-DZ"/>
        </w:rPr>
        <w:t xml:space="preserve"> </w:t>
      </w:r>
      <w:r w:rsidRPr="00206B59">
        <w:rPr>
          <w:rFonts w:asciiTheme="majorBidi" w:hAnsiTheme="majorBidi" w:cstheme="majorBidi"/>
          <w:color w:val="000000" w:themeColor="text1"/>
          <w:lang w:val="en-US" w:bidi="ar-DZ"/>
        </w:rPr>
        <w:t>Cutter, 2008;</w:t>
      </w:r>
      <w:r w:rsidRPr="00206B59">
        <w:rPr>
          <w:rFonts w:ascii="Simplified Arabic" w:eastAsia="Times New Roman" w:hAnsi="Simplified Arabic" w:cs="Simplified Arabic"/>
          <w:b/>
          <w:rtl/>
          <w:lang w:val="en-US" w:eastAsia="fr-FR"/>
        </w:rPr>
        <w:t>)</w:t>
      </w:r>
      <w:r w:rsidRPr="00206B59">
        <w:rPr>
          <w:rFonts w:ascii="Simplified Arabic" w:eastAsia="Times New Roman" w:hAnsi="Simplified Arabic" w:cs="Simplified Arabic" w:hint="cs"/>
          <w:b/>
          <w:rtl/>
          <w:lang w:val="en-US" w:eastAsia="fr-FR"/>
        </w:rPr>
        <w:t xml:space="preserve"> </w:t>
      </w:r>
      <w:r w:rsidRPr="00206B59">
        <w:rPr>
          <w:rFonts w:ascii="Simplified Arabic" w:hAnsi="Simplified Arabic" w:cs="Simplified Arabic" w:hint="cs"/>
          <w:color w:val="auto"/>
          <w:rtl/>
        </w:rPr>
        <w:t>المختارة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مصدرًا</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لانتقاء</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جميع</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أنواع</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المؤشرات (العوامل)</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 xml:space="preserve">الاولية المؤثرة على المرونة الحضرية. </w:t>
      </w:r>
    </w:p>
    <w:p w:rsidR="000B42BD" w:rsidRDefault="000B42BD" w:rsidP="00345EA2">
      <w:pPr>
        <w:pStyle w:val="Default"/>
        <w:bidi/>
        <w:spacing w:line="276" w:lineRule="auto"/>
        <w:ind w:firstLine="282"/>
        <w:jc w:val="both"/>
        <w:rPr>
          <w:rFonts w:ascii="Simplified Arabic" w:hAnsi="Simplified Arabic" w:cs="Simplified Arabic"/>
          <w:color w:val="auto"/>
          <w:rtl/>
        </w:rPr>
      </w:pPr>
      <w:r w:rsidRPr="00206B59">
        <w:rPr>
          <w:rFonts w:ascii="Simplified Arabic" w:hAnsi="Simplified Arabic" w:cs="Simplified Arabic" w:hint="cs"/>
          <w:color w:val="auto"/>
          <w:rtl/>
        </w:rPr>
        <w:t>تضمن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 xml:space="preserve">مرحلة </w:t>
      </w:r>
      <w:r w:rsidR="00B34260">
        <w:rPr>
          <w:rFonts w:ascii="Simplified Arabic" w:hAnsi="Simplified Arabic" w:cs="Simplified Arabic" w:hint="cs"/>
          <w:color w:val="auto"/>
          <w:rtl/>
        </w:rPr>
        <w:t>مطالعة الابحاث</w:t>
      </w:r>
      <w:r w:rsidRPr="00206B59">
        <w:rPr>
          <w:rFonts w:ascii="Simplified Arabic" w:hAnsi="Simplified Arabic" w:cs="Simplified Arabic" w:hint="cs"/>
          <w:color w:val="auto"/>
          <w:rtl/>
        </w:rPr>
        <w:t xml:space="preserve"> كما هو موضح في الشكل </w:t>
      </w:r>
      <w:r w:rsidR="002E7C71" w:rsidRPr="00206B59">
        <w:rPr>
          <w:rFonts w:ascii="Simplified Arabic" w:hAnsi="Simplified Arabic" w:cs="Simplified Arabic" w:hint="cs"/>
          <w:rtl/>
        </w:rPr>
        <w:t>(3-2)</w:t>
      </w:r>
      <w:r w:rsidRPr="00206B59">
        <w:rPr>
          <w:rFonts w:ascii="Simplified Arabic" w:hAnsi="Simplified Arabic" w:cs="Simplified Arabic" w:hint="cs"/>
          <w:color w:val="auto"/>
          <w:rtl/>
        </w:rPr>
        <w:t>،</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تحديد</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العلاقة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المحتملة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بين</w:t>
      </w:r>
      <w:r w:rsidRPr="00206B59">
        <w:rPr>
          <w:rFonts w:ascii="Simplified Arabic" w:hAnsi="Simplified Arabic" w:cs="Simplified Arabic"/>
          <w:color w:val="auto"/>
          <w:rtl/>
        </w:rPr>
        <w:t xml:space="preserve"> </w:t>
      </w:r>
      <w:r w:rsidR="003166C4">
        <w:rPr>
          <w:rFonts w:ascii="Simplified Arabic" w:hAnsi="Simplified Arabic" w:cs="Simplified Arabic" w:hint="cs"/>
          <w:rtl/>
        </w:rPr>
        <w:t>استعمالات</w:t>
      </w:r>
      <w:r w:rsidRPr="00206B59">
        <w:rPr>
          <w:rFonts w:ascii="Simplified Arabic" w:hAnsi="Simplified Arabic" w:cs="Simplified Arabic" w:hint="cs"/>
          <w:color w:val="auto"/>
          <w:rtl/>
        </w:rPr>
        <w:t xml:space="preserve"> الار</w:t>
      </w:r>
      <w:r w:rsidR="003166C4">
        <w:rPr>
          <w:rFonts w:ascii="Simplified Arabic" w:hAnsi="Simplified Arabic" w:cs="Simplified Arabic" w:hint="cs"/>
          <w:color w:val="auto"/>
          <w:rtl/>
        </w:rPr>
        <w:t>ا</w:t>
      </w:r>
      <w:r w:rsidRPr="00206B59">
        <w:rPr>
          <w:rFonts w:ascii="Simplified Arabic" w:hAnsi="Simplified Arabic" w:cs="Simplified Arabic" w:hint="cs"/>
          <w:color w:val="auto"/>
          <w:rtl/>
        </w:rPr>
        <w:t>ض</w:t>
      </w:r>
      <w:r w:rsidR="003166C4">
        <w:rPr>
          <w:rFonts w:ascii="Simplified Arabic" w:hAnsi="Simplified Arabic" w:cs="Simplified Arabic" w:hint="cs"/>
          <w:color w:val="auto"/>
          <w:rtl/>
        </w:rPr>
        <w:t>ي</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الحضرية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ومرونة ال</w:t>
      </w:r>
      <w:r w:rsidR="003166C4">
        <w:rPr>
          <w:rFonts w:ascii="Simplified Arabic" w:hAnsi="Simplified Arabic" w:cs="Simplified Arabic" w:hint="cs"/>
          <w:color w:val="auto"/>
          <w:rtl/>
        </w:rPr>
        <w:t>مدينة</w:t>
      </w:r>
      <w:r w:rsidRPr="00206B59">
        <w:rPr>
          <w:rFonts w:ascii="Simplified Arabic" w:hAnsi="Simplified Arabic" w:cs="Simplified Arabic" w:hint="cs"/>
          <w:color w:val="auto"/>
          <w:rtl/>
        </w:rPr>
        <w:t>.</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لذا</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كانت</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المرحلة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الأولى</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عبارة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عن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مقارنة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وتحليل</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حاسمين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بين النماذج والأدوات</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الشهيرة،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كما</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تم تناوله</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في</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(الفصل</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2)</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يعتمد</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اختيار</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النماذج</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على</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مصداقية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الأداة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والهيئات</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التي</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قامت بتطويرها،</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بالإضافة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إلى</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النجاح</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الذي</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تحقق</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في</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السوق</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خلال</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تطبيقها</w:t>
      </w:r>
      <w:r w:rsidRPr="00206B59">
        <w:rPr>
          <w:rFonts w:ascii="Simplified Arabic" w:hAnsi="Simplified Arabic" w:cs="Simplified Arabic"/>
          <w:color w:val="auto"/>
          <w:rtl/>
        </w:rPr>
        <w:t xml:space="preserve">. </w:t>
      </w:r>
    </w:p>
    <w:p w:rsidR="00345EA2" w:rsidRDefault="00345EA2" w:rsidP="00345EA2">
      <w:pPr>
        <w:pStyle w:val="Default"/>
        <w:bidi/>
        <w:spacing w:line="276" w:lineRule="auto"/>
        <w:ind w:firstLine="282"/>
        <w:jc w:val="both"/>
        <w:rPr>
          <w:rFonts w:ascii="Simplified Arabic" w:hAnsi="Simplified Arabic" w:cs="Simplified Arabic"/>
          <w:color w:val="auto"/>
          <w:rtl/>
        </w:rPr>
      </w:pPr>
    </w:p>
    <w:p w:rsidR="000B42BD" w:rsidRDefault="000B42BD" w:rsidP="00345EA2">
      <w:pPr>
        <w:pStyle w:val="fegure"/>
        <w:spacing w:before="240"/>
        <w:rPr>
          <w:sz w:val="8"/>
          <w:szCs w:val="24"/>
          <w:rtl/>
        </w:rPr>
      </w:pPr>
      <w:bookmarkStart w:id="399" w:name="_Toc157608305"/>
      <w:bookmarkStart w:id="400" w:name="_Toc171803508"/>
      <w:r w:rsidRPr="00264FC1">
        <w:rPr>
          <w:rFonts w:hint="cs"/>
          <w:color w:val="auto"/>
          <w:sz w:val="8"/>
          <w:szCs w:val="24"/>
          <w:rtl/>
        </w:rPr>
        <w:lastRenderedPageBreak/>
        <w:t>الش</w:t>
      </w:r>
      <w:r w:rsidRPr="00264FC1">
        <w:rPr>
          <w:rFonts w:hint="cs"/>
          <w:sz w:val="8"/>
          <w:szCs w:val="24"/>
          <w:rtl/>
          <w:lang w:val="en-US"/>
        </w:rPr>
        <w:t xml:space="preserve">كل </w:t>
      </w:r>
      <w:r w:rsidR="002E7C71" w:rsidRPr="00264FC1">
        <w:rPr>
          <w:rFonts w:hint="cs"/>
          <w:sz w:val="8"/>
          <w:szCs w:val="24"/>
          <w:rtl/>
        </w:rPr>
        <w:t>(3-2)</w:t>
      </w:r>
      <w:r w:rsidRPr="00264FC1">
        <w:rPr>
          <w:rFonts w:hint="cs"/>
          <w:sz w:val="8"/>
          <w:szCs w:val="24"/>
          <w:rtl/>
          <w:lang w:val="en-US"/>
        </w:rPr>
        <w:t xml:space="preserve">: </w:t>
      </w:r>
      <w:r w:rsidR="004357E2" w:rsidRPr="00264FC1">
        <w:rPr>
          <w:rFonts w:hint="cs"/>
          <w:sz w:val="8"/>
          <w:szCs w:val="24"/>
          <w:rtl/>
          <w:lang w:val="en-US"/>
        </w:rPr>
        <w:t>ال</w:t>
      </w:r>
      <w:r w:rsidR="004357E2" w:rsidRPr="00264FC1">
        <w:rPr>
          <w:rFonts w:hint="cs"/>
          <w:color w:val="auto"/>
          <w:sz w:val="8"/>
          <w:szCs w:val="24"/>
          <w:rtl/>
        </w:rPr>
        <w:t>منهجية</w:t>
      </w:r>
      <w:r w:rsidR="004357E2" w:rsidRPr="00264FC1">
        <w:rPr>
          <w:color w:val="auto"/>
          <w:sz w:val="8"/>
          <w:szCs w:val="24"/>
          <w:rtl/>
        </w:rPr>
        <w:t xml:space="preserve"> </w:t>
      </w:r>
      <w:r w:rsidR="004357E2" w:rsidRPr="00264FC1">
        <w:rPr>
          <w:rFonts w:hint="cs"/>
          <w:sz w:val="8"/>
          <w:szCs w:val="24"/>
          <w:rtl/>
          <w:lang w:val="en-US"/>
        </w:rPr>
        <w:t>المتبعة لاطار عمل</w:t>
      </w:r>
      <w:r w:rsidR="004357E2" w:rsidRPr="00264FC1">
        <w:rPr>
          <w:sz w:val="8"/>
          <w:szCs w:val="24"/>
          <w:rtl/>
          <w:lang w:val="en-US"/>
        </w:rPr>
        <w:t xml:space="preserve"> </w:t>
      </w:r>
      <w:r w:rsidR="004357E2" w:rsidRPr="00264FC1">
        <w:rPr>
          <w:sz w:val="8"/>
          <w:szCs w:val="24"/>
          <w:rtl/>
        </w:rPr>
        <w:t xml:space="preserve">تقييم </w:t>
      </w:r>
      <w:r w:rsidR="004357E2" w:rsidRPr="00264FC1">
        <w:rPr>
          <w:rFonts w:hint="cs"/>
          <w:sz w:val="8"/>
          <w:szCs w:val="24"/>
          <w:rtl/>
        </w:rPr>
        <w:t>المرونة</w:t>
      </w:r>
      <w:r w:rsidR="004357E2" w:rsidRPr="00264FC1">
        <w:rPr>
          <w:sz w:val="8"/>
          <w:szCs w:val="24"/>
          <w:rtl/>
        </w:rPr>
        <w:t xml:space="preserve"> الحضرية</w:t>
      </w:r>
      <w:r w:rsidR="004357E2" w:rsidRPr="00264FC1">
        <w:rPr>
          <w:rFonts w:hint="cs"/>
          <w:sz w:val="8"/>
          <w:szCs w:val="24"/>
          <w:rtl/>
        </w:rPr>
        <w:t xml:space="preserve"> </w:t>
      </w:r>
      <w:r w:rsidRPr="00264FC1">
        <w:rPr>
          <w:rFonts w:hint="cs"/>
          <w:sz w:val="8"/>
          <w:szCs w:val="24"/>
          <w:rtl/>
        </w:rPr>
        <w:t>(</w:t>
      </w:r>
      <w:r w:rsidRPr="00264FC1">
        <w:rPr>
          <w:sz w:val="8"/>
          <w:szCs w:val="24"/>
          <w:rtl/>
        </w:rPr>
        <w:t xml:space="preserve">المرحلة </w:t>
      </w:r>
      <w:r w:rsidRPr="00264FC1">
        <w:rPr>
          <w:rFonts w:hint="cs"/>
          <w:sz w:val="8"/>
          <w:szCs w:val="24"/>
          <w:rtl/>
        </w:rPr>
        <w:t>الاولى)</w:t>
      </w:r>
      <w:bookmarkEnd w:id="399"/>
      <w:bookmarkEnd w:id="400"/>
    </w:p>
    <w:p w:rsidR="000A623E" w:rsidRPr="000A623E" w:rsidRDefault="000A623E" w:rsidP="000A623E">
      <w:pPr>
        <w:pStyle w:val="fegure"/>
        <w:rPr>
          <w:sz w:val="8"/>
          <w:szCs w:val="24"/>
          <w:lang w:val="en-US"/>
        </w:rPr>
      </w:pPr>
      <w:bookmarkStart w:id="401" w:name="_Toc171803509"/>
      <w:r>
        <w:rPr>
          <w:rFonts w:hint="cs"/>
          <w:sz w:val="8"/>
          <w:szCs w:val="24"/>
          <w:rtl/>
          <w:lang w:val="en-US"/>
        </w:rPr>
        <w:t>المصدر: (الباحث، 2022)</w:t>
      </w:r>
      <w:bookmarkEnd w:id="401"/>
    </w:p>
    <w:p w:rsidR="001A1AF7" w:rsidRDefault="002F69A2" w:rsidP="001A1AF7">
      <w:pPr>
        <w:tabs>
          <w:tab w:val="right" w:pos="282"/>
        </w:tabs>
        <w:bidi/>
        <w:spacing w:after="0" w:line="240" w:lineRule="auto"/>
        <w:ind w:firstLine="283"/>
        <w:jc w:val="center"/>
        <w:rPr>
          <w:rFonts w:ascii="Simplified Arabic" w:hAnsi="Simplified Arabic" w:cs="Simplified Arabic"/>
          <w:sz w:val="24"/>
          <w:szCs w:val="24"/>
          <w:rtl/>
          <w:lang w:val="en-US"/>
        </w:rPr>
      </w:pPr>
      <w:r>
        <w:rPr>
          <w:noProof/>
          <w:lang w:eastAsia="fr-FR"/>
        </w:rPr>
        <w:drawing>
          <wp:inline distT="0" distB="0" distL="0" distR="0" wp14:anchorId="588F4AB8" wp14:editId="0C324BEA">
            <wp:extent cx="4436828" cy="1980248"/>
            <wp:effectExtent l="19050" t="19050" r="20955" b="20320"/>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7">
                      <a:extLst>
                        <a:ext uri="{28A0092B-C50C-407E-A947-70E740481C1C}">
                          <a14:useLocalDpi xmlns:a14="http://schemas.microsoft.com/office/drawing/2010/main" val="0"/>
                        </a:ext>
                      </a:extLst>
                    </a:blip>
                    <a:stretch>
                      <a:fillRect/>
                    </a:stretch>
                  </pic:blipFill>
                  <pic:spPr>
                    <a:xfrm>
                      <a:off x="0" y="0"/>
                      <a:ext cx="4437692" cy="1980634"/>
                    </a:xfrm>
                    <a:prstGeom prst="rect">
                      <a:avLst/>
                    </a:prstGeom>
                    <a:ln w="6350">
                      <a:solidFill>
                        <a:schemeClr val="tx1"/>
                      </a:solidFill>
                    </a:ln>
                  </pic:spPr>
                </pic:pic>
              </a:graphicData>
            </a:graphic>
          </wp:inline>
        </w:drawing>
      </w:r>
    </w:p>
    <w:p w:rsidR="000B42BD" w:rsidRDefault="000B42BD" w:rsidP="000B42BD">
      <w:pPr>
        <w:pStyle w:val="Default"/>
        <w:bidi/>
        <w:spacing w:line="276" w:lineRule="auto"/>
        <w:ind w:firstLine="282"/>
        <w:jc w:val="both"/>
        <w:rPr>
          <w:rFonts w:ascii="Simplified Arabic" w:eastAsia="Times New Roman" w:hAnsi="Simplified Arabic" w:cs="Simplified Arabic"/>
          <w:b/>
          <w:rtl/>
          <w:lang w:val="en-US" w:eastAsia="fr-FR"/>
        </w:rPr>
      </w:pPr>
      <w:r w:rsidRPr="0090225E">
        <w:rPr>
          <w:rFonts w:ascii="Simplified Arabic" w:hAnsi="Simplified Arabic" w:cs="Simplified Arabic" w:hint="cs"/>
          <w:color w:val="auto"/>
          <w:rtl/>
        </w:rPr>
        <w:t>سمحت</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مراجعة</w:t>
      </w:r>
      <w:r w:rsidRPr="0090225E">
        <w:rPr>
          <w:rFonts w:ascii="Simplified Arabic" w:hAnsi="Simplified Arabic" w:cs="Simplified Arabic"/>
          <w:color w:val="auto"/>
          <w:rtl/>
        </w:rPr>
        <w:t xml:space="preserve"> </w:t>
      </w:r>
      <w:r>
        <w:rPr>
          <w:rFonts w:ascii="Simplified Arabic" w:hAnsi="Simplified Arabic" w:cs="Simplified Arabic" w:hint="cs"/>
          <w:color w:val="auto"/>
          <w:rtl/>
        </w:rPr>
        <w:t>النماذج</w:t>
      </w:r>
      <w:r w:rsidRPr="0090225E">
        <w:rPr>
          <w:rFonts w:ascii="Simplified Arabic" w:hAnsi="Simplified Arabic" w:cs="Simplified Arabic"/>
          <w:color w:val="auto"/>
          <w:rtl/>
        </w:rPr>
        <w:t xml:space="preserve"> </w:t>
      </w:r>
      <w:r>
        <w:rPr>
          <w:rFonts w:ascii="Simplified Arabic" w:eastAsia="Times New Roman" w:hAnsi="Simplified Arabic" w:cs="Simplified Arabic" w:hint="cs"/>
          <w:b/>
          <w:rtl/>
          <w:lang w:val="en-US" w:eastAsia="fr-FR"/>
        </w:rPr>
        <w:t xml:space="preserve">(الفصل 2) </w:t>
      </w:r>
      <w:r w:rsidRPr="0090225E">
        <w:rPr>
          <w:rFonts w:ascii="Simplified Arabic" w:hAnsi="Simplified Arabic" w:cs="Simplified Arabic" w:hint="cs"/>
          <w:color w:val="auto"/>
          <w:rtl/>
        </w:rPr>
        <w:t>بتحديد</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المحتويات</w:t>
      </w:r>
      <w:r>
        <w:rPr>
          <w:rFonts w:ascii="Simplified Arabic" w:hAnsi="Simplified Arabic" w:cs="Simplified Arabic" w:hint="cs"/>
          <w:color w:val="auto"/>
          <w:rtl/>
        </w:rPr>
        <w:t>،</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الأهداف</w:t>
      </w:r>
      <w:r>
        <w:rPr>
          <w:rFonts w:ascii="Simplified Arabic" w:hAnsi="Simplified Arabic" w:cs="Simplified Arabic" w:hint="cs"/>
          <w:color w:val="auto"/>
          <w:rtl/>
        </w:rPr>
        <w:t>،</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الهيكل</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ومن</w:t>
      </w:r>
      <w:r>
        <w:rPr>
          <w:rFonts w:ascii="Simplified Arabic" w:hAnsi="Simplified Arabic" w:cs="Simplified Arabic" w:hint="cs"/>
          <w:color w:val="auto"/>
          <w:rtl/>
        </w:rPr>
        <w:t>ا</w:t>
      </w:r>
      <w:r w:rsidRPr="0090225E">
        <w:rPr>
          <w:rFonts w:ascii="Simplified Arabic" w:hAnsi="Simplified Arabic" w:cs="Simplified Arabic" w:hint="cs"/>
          <w:color w:val="auto"/>
          <w:rtl/>
        </w:rPr>
        <w:t>هج</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التقييم</w:t>
      </w:r>
      <w:r>
        <w:rPr>
          <w:rFonts w:ascii="Simplified Arabic" w:hAnsi="Simplified Arabic" w:cs="Simplified Arabic" w:hint="cs"/>
          <w:color w:val="auto"/>
          <w:rtl/>
        </w:rPr>
        <w:t xml:space="preserve"> و</w:t>
      </w:r>
      <w:r w:rsidRPr="0090225E">
        <w:rPr>
          <w:rFonts w:ascii="Simplified Arabic" w:hAnsi="Simplified Arabic" w:cs="Simplified Arabic" w:hint="cs"/>
          <w:color w:val="auto"/>
          <w:rtl/>
        </w:rPr>
        <w:t>تحديد عوامل التقييم</w:t>
      </w:r>
      <w:r>
        <w:rPr>
          <w:rFonts w:ascii="Simplified Arabic" w:hAnsi="Simplified Arabic" w:cs="Simplified Arabic" w:hint="cs"/>
          <w:color w:val="auto"/>
          <w:rtl/>
        </w:rPr>
        <w:t xml:space="preserve"> المستخدمة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ومدى</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ملاءمة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التطبيق</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في</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سياقات</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جغرافية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مختلفة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تم</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مناقشة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نقاط</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القوة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والضعف (الايجابيات والسلبيات)</w:t>
      </w:r>
      <w:r w:rsidRPr="0090225E">
        <w:rPr>
          <w:rFonts w:ascii="Simplified Arabic" w:hAnsi="Simplified Arabic" w:cs="Simplified Arabic"/>
          <w:color w:val="auto"/>
          <w:rtl/>
        </w:rPr>
        <w:t xml:space="preserve"> </w:t>
      </w:r>
      <w:r>
        <w:rPr>
          <w:rFonts w:ascii="Simplified Arabic" w:hAnsi="Simplified Arabic" w:cs="Simplified Arabic" w:hint="cs"/>
          <w:color w:val="auto"/>
          <w:rtl/>
        </w:rPr>
        <w:t>ل</w:t>
      </w:r>
      <w:r w:rsidRPr="0090225E">
        <w:rPr>
          <w:rFonts w:ascii="Simplified Arabic" w:hAnsi="Simplified Arabic" w:cs="Simplified Arabic" w:hint="cs"/>
          <w:color w:val="auto"/>
          <w:rtl/>
        </w:rPr>
        <w:t>كل</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نموذج</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بشكل</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نقدي</w:t>
      </w:r>
      <w:r w:rsidRPr="0090225E">
        <w:rPr>
          <w:rFonts w:ascii="Simplified Arabic" w:hAnsi="Simplified Arabic" w:cs="Simplified Arabic"/>
          <w:color w:val="auto"/>
          <w:rtl/>
        </w:rPr>
        <w:t xml:space="preserve"> </w:t>
      </w:r>
      <w:r>
        <w:rPr>
          <w:rFonts w:ascii="Simplified Arabic" w:hAnsi="Simplified Arabic" w:cs="Simplified Arabic" w:hint="cs"/>
          <w:color w:val="auto"/>
          <w:rtl/>
        </w:rPr>
        <w:t>من خلال</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إجراء</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المقارنة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من</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أجل</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تحديد</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أوجه</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التشابه</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والاختلاف</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الرئيسية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بين</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هذه</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الأساليب</w:t>
      </w:r>
      <w:r>
        <w:rPr>
          <w:rFonts w:ascii="Simplified Arabic" w:hAnsi="Simplified Arabic" w:cs="Simplified Arabic" w:hint="cs"/>
          <w:color w:val="auto"/>
          <w:rtl/>
        </w:rPr>
        <w:t>،</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بالتالي</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تحديد</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العوامل</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الحضرية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المشتركة</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في</w:t>
      </w:r>
      <w:r w:rsidRPr="0090225E">
        <w:rPr>
          <w:rFonts w:ascii="Simplified Arabic" w:hAnsi="Simplified Arabic" w:cs="Simplified Arabic"/>
          <w:color w:val="auto"/>
          <w:rtl/>
        </w:rPr>
        <w:t xml:space="preserve"> </w:t>
      </w:r>
      <w:r w:rsidRPr="0090225E">
        <w:rPr>
          <w:rFonts w:ascii="Simplified Arabic" w:hAnsi="Simplified Arabic" w:cs="Simplified Arabic" w:hint="cs"/>
          <w:color w:val="auto"/>
          <w:rtl/>
        </w:rPr>
        <w:t>النماذج السالفة الذكر</w:t>
      </w:r>
      <w:r>
        <w:rPr>
          <w:rFonts w:ascii="Simplified Arabic" w:eastAsia="Times New Roman" w:hAnsi="Simplified Arabic" w:cs="Simplified Arabic" w:hint="cs"/>
          <w:b/>
          <w:rtl/>
          <w:lang w:val="en-US" w:eastAsia="fr-FR"/>
        </w:rPr>
        <w:t xml:space="preserve">. </w:t>
      </w:r>
    </w:p>
    <w:p w:rsidR="007A3902" w:rsidRDefault="000B42BD" w:rsidP="00D02756">
      <w:pPr>
        <w:pStyle w:val="Default"/>
        <w:bidi/>
        <w:spacing w:line="276" w:lineRule="auto"/>
        <w:ind w:firstLine="282"/>
        <w:jc w:val="both"/>
        <w:rPr>
          <w:rFonts w:ascii="Simplified Arabic" w:eastAsia="Times New Roman" w:hAnsi="Simplified Arabic" w:cs="Simplified Arabic"/>
          <w:b/>
          <w:lang w:val="en-US" w:eastAsia="fr-FR" w:bidi="ar-DZ"/>
        </w:rPr>
      </w:pPr>
      <w:r>
        <w:rPr>
          <w:rFonts w:ascii="Simplified Arabic" w:eastAsia="Times New Roman" w:hAnsi="Simplified Arabic" w:cs="Simplified Arabic" w:hint="cs"/>
          <w:b/>
          <w:rtl/>
          <w:lang w:val="en-US" w:eastAsia="fr-FR"/>
        </w:rPr>
        <w:t>هناك</w:t>
      </w:r>
      <w:r w:rsidRPr="00F30A8C">
        <w:rPr>
          <w:rFonts w:ascii="Simplified Arabic" w:eastAsia="Times New Roman" w:hAnsi="Simplified Arabic" w:cs="Simplified Arabic"/>
          <w:b/>
          <w:rtl/>
          <w:lang w:val="en-US" w:eastAsia="fr-FR"/>
        </w:rPr>
        <w:t xml:space="preserve"> العديد من</w:t>
      </w:r>
      <w:r>
        <w:rPr>
          <w:rFonts w:ascii="Simplified Arabic" w:eastAsia="Times New Roman" w:hAnsi="Simplified Arabic" w:cs="Simplified Arabic" w:hint="cs"/>
          <w:b/>
          <w:rtl/>
          <w:lang w:val="en-US" w:eastAsia="fr-FR"/>
        </w:rPr>
        <w:t xml:space="preserve"> اوجه</w:t>
      </w:r>
      <w:r w:rsidRPr="00F30A8C">
        <w:rPr>
          <w:rFonts w:ascii="Simplified Arabic" w:eastAsia="Times New Roman" w:hAnsi="Simplified Arabic" w:cs="Simplified Arabic"/>
          <w:b/>
          <w:rtl/>
          <w:lang w:val="en-US" w:eastAsia="fr-FR"/>
        </w:rPr>
        <w:t xml:space="preserve"> الاختلاف</w:t>
      </w:r>
      <w:r>
        <w:rPr>
          <w:rFonts w:ascii="Simplified Arabic" w:eastAsia="Times New Roman" w:hAnsi="Simplified Arabic" w:cs="Simplified Arabic" w:hint="cs"/>
          <w:b/>
          <w:rtl/>
          <w:lang w:val="en-US" w:eastAsia="fr-FR"/>
        </w:rPr>
        <w:t xml:space="preserve"> و التشابه</w:t>
      </w:r>
      <w:r w:rsidRPr="00F30A8C">
        <w:rPr>
          <w:rFonts w:ascii="Simplified Arabic" w:eastAsia="Times New Roman" w:hAnsi="Simplified Arabic" w:cs="Simplified Arabic"/>
          <w:b/>
          <w:rtl/>
          <w:lang w:val="en-US" w:eastAsia="fr-FR"/>
        </w:rPr>
        <w:t xml:space="preserve"> </w:t>
      </w:r>
      <w:r>
        <w:rPr>
          <w:rFonts w:ascii="Simplified Arabic" w:eastAsia="Times New Roman" w:hAnsi="Simplified Arabic" w:cs="Simplified Arabic" w:hint="cs"/>
          <w:b/>
          <w:rtl/>
          <w:lang w:val="en-US" w:eastAsia="fr-FR"/>
        </w:rPr>
        <w:t>بين</w:t>
      </w:r>
      <w:r w:rsidRPr="00F30A8C">
        <w:rPr>
          <w:rFonts w:ascii="Simplified Arabic" w:eastAsia="Times New Roman" w:hAnsi="Simplified Arabic" w:cs="Simplified Arabic"/>
          <w:b/>
          <w:rtl/>
          <w:lang w:val="en-US" w:eastAsia="fr-FR"/>
        </w:rPr>
        <w:t xml:space="preserve"> </w:t>
      </w:r>
      <w:r w:rsidRPr="00F30A8C">
        <w:rPr>
          <w:rFonts w:ascii="Simplified Arabic" w:eastAsia="Times New Roman" w:hAnsi="Simplified Arabic" w:cs="Simplified Arabic" w:hint="cs"/>
          <w:b/>
          <w:rtl/>
          <w:lang w:val="en-US" w:eastAsia="fr-FR"/>
        </w:rPr>
        <w:t>عوامل</w:t>
      </w:r>
      <w:r w:rsidRPr="00F30A8C">
        <w:rPr>
          <w:rFonts w:ascii="Simplified Arabic" w:eastAsia="Times New Roman" w:hAnsi="Simplified Arabic" w:cs="Simplified Arabic"/>
          <w:b/>
          <w:rtl/>
          <w:lang w:val="en-US" w:eastAsia="fr-FR"/>
        </w:rPr>
        <w:t xml:space="preserve"> </w:t>
      </w:r>
      <w:r w:rsidRPr="00186B51">
        <w:rPr>
          <w:rFonts w:ascii="Simplified Arabic" w:hAnsi="Simplified Arabic" w:cs="Simplified Arabic" w:hint="cs"/>
          <w:color w:val="000000" w:themeColor="text1"/>
          <w:rtl/>
        </w:rPr>
        <w:t>النماذج</w:t>
      </w:r>
      <w:r>
        <w:rPr>
          <w:rFonts w:ascii="Simplified Arabic" w:eastAsia="Times New Roman" w:hAnsi="Simplified Arabic" w:cs="Simplified Arabic" w:hint="cs"/>
          <w:b/>
          <w:rtl/>
          <w:lang w:val="en-US" w:eastAsia="fr-FR" w:bidi="ar-DZ"/>
        </w:rPr>
        <w:t xml:space="preserve"> التي اسسها كل </w:t>
      </w:r>
    </w:p>
    <w:p w:rsidR="000B42BD" w:rsidRDefault="000B42BD" w:rsidP="00C62080">
      <w:pPr>
        <w:pStyle w:val="Default"/>
        <w:bidi/>
        <w:spacing w:line="276" w:lineRule="auto"/>
        <w:ind w:firstLine="282"/>
        <w:jc w:val="both"/>
        <w:rPr>
          <w:rFonts w:ascii="Simplified Arabic" w:hAnsi="Simplified Arabic" w:cs="Simplified Arabic"/>
          <w:color w:val="auto"/>
          <w:rtl/>
        </w:rPr>
      </w:pPr>
      <w:r w:rsidRPr="00206B59">
        <w:rPr>
          <w:rFonts w:ascii="Simplified Arabic" w:eastAsia="Times New Roman" w:hAnsi="Simplified Arabic" w:cs="Simplified Arabic" w:hint="cs"/>
          <w:b/>
          <w:rtl/>
          <w:lang w:val="en-US" w:eastAsia="fr-FR" w:bidi="ar-DZ"/>
        </w:rPr>
        <w:t xml:space="preserve">من </w:t>
      </w:r>
      <w:r w:rsidRPr="00206B59">
        <w:rPr>
          <w:rFonts w:asciiTheme="majorBidi" w:hAnsiTheme="majorBidi" w:cstheme="majorBidi"/>
          <w:color w:val="000000" w:themeColor="text1"/>
          <w:rtl/>
          <w:lang w:val="en-US" w:bidi="ar-DZ"/>
        </w:rPr>
        <w:t>(</w:t>
      </w:r>
      <w:r w:rsidRPr="00206B59">
        <w:rPr>
          <w:rFonts w:asciiTheme="majorBidi" w:hAnsiTheme="majorBidi" w:cstheme="majorBidi"/>
          <w:color w:val="000000" w:themeColor="text1"/>
          <w:lang w:val="en-US" w:bidi="ar-DZ"/>
        </w:rPr>
        <w:t>2022</w:t>
      </w:r>
      <w:r w:rsidRPr="00206B59">
        <w:rPr>
          <w:rFonts w:asciiTheme="majorBidi" w:hAnsiTheme="majorBidi" w:cstheme="majorBidi" w:hint="cs"/>
          <w:color w:val="000000" w:themeColor="text1"/>
          <w:rtl/>
          <w:lang w:val="en-US" w:bidi="ar-DZ"/>
        </w:rPr>
        <w:t xml:space="preserve"> </w:t>
      </w:r>
      <w:r w:rsidR="007A3902" w:rsidRPr="00206B59">
        <w:rPr>
          <w:rFonts w:asciiTheme="majorBidi" w:hAnsiTheme="majorBidi" w:cstheme="majorBidi"/>
          <w:color w:val="000000" w:themeColor="text1"/>
          <w:lang w:val="en-US" w:bidi="ar-DZ"/>
        </w:rPr>
        <w:t xml:space="preserve">Haghighi Fard </w:t>
      </w:r>
      <w:r w:rsidR="007A3902" w:rsidRPr="00206B59">
        <w:rPr>
          <w:rFonts w:asciiTheme="majorBidi" w:hAnsiTheme="majorBidi" w:cstheme="majorBidi"/>
          <w:lang w:val="en-US"/>
        </w:rPr>
        <w:t xml:space="preserve">&amp; </w:t>
      </w:r>
      <w:r w:rsidR="007A3902" w:rsidRPr="00206B59">
        <w:rPr>
          <w:rFonts w:asciiTheme="majorBidi" w:hAnsiTheme="majorBidi" w:cstheme="majorBidi"/>
          <w:color w:val="000000" w:themeColor="text1"/>
          <w:lang w:val="en-US" w:bidi="ar-DZ"/>
        </w:rPr>
        <w:t>Doratli</w:t>
      </w:r>
      <w:r w:rsidRPr="00206B59">
        <w:rPr>
          <w:rFonts w:asciiTheme="majorBidi" w:hAnsiTheme="majorBidi" w:cstheme="majorBidi"/>
          <w:color w:val="000000" w:themeColor="text1"/>
          <w:lang w:val="en-US" w:bidi="ar-DZ"/>
        </w:rPr>
        <w:t>,</w:t>
      </w:r>
      <w:r w:rsidRPr="00206B59">
        <w:rPr>
          <w:rFonts w:asciiTheme="majorBidi" w:hAnsiTheme="majorBidi" w:cstheme="majorBidi" w:hint="cs"/>
          <w:color w:val="000000" w:themeColor="text1"/>
          <w:rtl/>
          <w:lang w:val="en-US" w:bidi="ar-DZ"/>
        </w:rPr>
        <w:t xml:space="preserve"> </w:t>
      </w:r>
      <w:r w:rsidR="00165B85" w:rsidRPr="00206B59">
        <w:rPr>
          <w:rFonts w:asciiTheme="majorBidi" w:hAnsiTheme="majorBidi" w:cstheme="majorBidi"/>
          <w:color w:val="000000" w:themeColor="text1"/>
          <w:lang w:val="en-US" w:bidi="ar-DZ"/>
        </w:rPr>
        <w:t>Heinzlef et al., 2019</w:t>
      </w:r>
      <w:r w:rsidRPr="00206B59">
        <w:rPr>
          <w:rFonts w:asciiTheme="majorBidi" w:hAnsiTheme="majorBidi" w:cstheme="majorBidi"/>
          <w:color w:val="000000" w:themeColor="text1"/>
          <w:lang w:bidi="ar-DZ"/>
        </w:rPr>
        <w:t>; </w:t>
      </w:r>
      <w:r w:rsidRPr="00206B59">
        <w:rPr>
          <w:rFonts w:asciiTheme="majorBidi" w:hAnsiTheme="majorBidi" w:cstheme="majorBidi"/>
          <w:color w:val="000000" w:themeColor="text1"/>
          <w:lang w:val="en-US" w:bidi="ar-DZ"/>
        </w:rPr>
        <w:t>Javari</w:t>
      </w:r>
      <w:r w:rsidR="00D02756" w:rsidRPr="00206B59">
        <w:rPr>
          <w:rFonts w:asciiTheme="majorBidi" w:hAnsiTheme="majorBidi" w:cstheme="majorBidi"/>
          <w:color w:val="000000" w:themeColor="text1"/>
          <w:lang w:val="en-US" w:bidi="ar-DZ"/>
        </w:rPr>
        <w:t xml:space="preserve"> et al.,</w:t>
      </w:r>
      <w:r w:rsidRPr="00206B59">
        <w:rPr>
          <w:rFonts w:asciiTheme="majorBidi" w:hAnsiTheme="majorBidi" w:cstheme="majorBidi"/>
          <w:color w:val="000000" w:themeColor="text1"/>
          <w:lang w:val="en-US" w:bidi="ar-DZ"/>
        </w:rPr>
        <w:t xml:space="preserve"> 2021</w:t>
      </w:r>
      <w:r w:rsidRPr="00206B59">
        <w:rPr>
          <w:rFonts w:asciiTheme="majorBidi" w:hAnsiTheme="majorBidi" w:cstheme="majorBidi"/>
          <w:color w:val="000000" w:themeColor="text1"/>
          <w:lang w:bidi="ar-DZ"/>
        </w:rPr>
        <w:t>;</w:t>
      </w:r>
      <w:r w:rsidRPr="00206B59">
        <w:rPr>
          <w:rFonts w:asciiTheme="majorBidi" w:hAnsiTheme="majorBidi" w:cstheme="majorBidi" w:hint="cs"/>
          <w:color w:val="000000" w:themeColor="text1"/>
          <w:rtl/>
          <w:lang w:val="en-US" w:bidi="ar-DZ"/>
        </w:rPr>
        <w:t xml:space="preserve"> </w:t>
      </w:r>
      <w:r w:rsidRPr="00206B59">
        <w:rPr>
          <w:rFonts w:asciiTheme="majorBidi" w:hAnsiTheme="majorBidi" w:cstheme="majorBidi"/>
          <w:color w:val="000000" w:themeColor="text1"/>
          <w:lang w:val="en-US" w:bidi="ar-DZ"/>
        </w:rPr>
        <w:t>Cutter, 2008;</w:t>
      </w:r>
      <w:r w:rsidRPr="00206B59">
        <w:rPr>
          <w:rFonts w:ascii="Simplified Arabic" w:eastAsia="Times New Roman" w:hAnsi="Simplified Arabic" w:cs="Simplified Arabic"/>
          <w:b/>
          <w:rtl/>
          <w:lang w:val="en-US" w:eastAsia="fr-FR"/>
        </w:rPr>
        <w:t>)</w:t>
      </w:r>
      <w:r w:rsidRPr="00206B59">
        <w:rPr>
          <w:rFonts w:ascii="Simplified Arabic" w:hAnsi="Simplified Arabic" w:cs="Simplified Arabic"/>
          <w:color w:val="000000" w:themeColor="text1"/>
          <w:rtl/>
        </w:rPr>
        <w:t>.</w:t>
      </w:r>
      <w:r w:rsidRPr="00206B59">
        <w:rPr>
          <w:rFonts w:ascii="Simplified Arabic" w:hAnsi="Simplified Arabic" w:cs="Simplified Arabic" w:hint="cs"/>
          <w:color w:val="000000" w:themeColor="text1"/>
          <w:rtl/>
        </w:rPr>
        <w:t xml:space="preserve"> </w:t>
      </w:r>
      <w:r w:rsidRPr="00206B59">
        <w:rPr>
          <w:rFonts w:ascii="Simplified Arabic" w:hAnsi="Simplified Arabic" w:cs="Simplified Arabic"/>
          <w:color w:val="000000" w:themeColor="text1"/>
          <w:rtl/>
        </w:rPr>
        <w:t xml:space="preserve">تجدر الإشارة إلى أن العوامل التي </w:t>
      </w:r>
      <w:r w:rsidRPr="00206B59">
        <w:rPr>
          <w:rFonts w:ascii="Simplified Arabic" w:hAnsi="Simplified Arabic" w:cs="Simplified Arabic" w:hint="cs"/>
          <w:color w:val="000000" w:themeColor="text1"/>
          <w:rtl/>
        </w:rPr>
        <w:t>تناولتها</w:t>
      </w:r>
      <w:r w:rsidRPr="00206B59">
        <w:rPr>
          <w:rFonts w:ascii="Simplified Arabic" w:hAnsi="Simplified Arabic" w:cs="Simplified Arabic"/>
          <w:color w:val="000000" w:themeColor="text1"/>
          <w:rtl/>
        </w:rPr>
        <w:t xml:space="preserve"> </w:t>
      </w:r>
      <w:r w:rsidRPr="00206B59">
        <w:rPr>
          <w:rFonts w:ascii="Simplified Arabic" w:hAnsi="Simplified Arabic" w:cs="Simplified Arabic" w:hint="cs"/>
          <w:color w:val="000000" w:themeColor="text1"/>
          <w:rtl/>
        </w:rPr>
        <w:t xml:space="preserve">النماذج سالفة الذكر </w:t>
      </w:r>
      <w:r w:rsidRPr="00206B59">
        <w:rPr>
          <w:rFonts w:ascii="Simplified Arabic" w:hAnsi="Simplified Arabic" w:cs="Simplified Arabic"/>
          <w:color w:val="000000" w:themeColor="text1"/>
          <w:rtl/>
        </w:rPr>
        <w:t xml:space="preserve">تحت فئة البنية التحتية والبيئة </w:t>
      </w:r>
      <w:r w:rsidR="00C62080">
        <w:rPr>
          <w:rFonts w:ascii="Simplified Arabic" w:hAnsi="Simplified Arabic" w:cs="Simplified Arabic" w:hint="cs"/>
          <w:rtl/>
          <w:lang w:val="en-US"/>
        </w:rPr>
        <w:t>الحضرية</w:t>
      </w:r>
      <w:r w:rsidRPr="00206B59">
        <w:rPr>
          <w:rFonts w:ascii="Simplified Arabic" w:hAnsi="Simplified Arabic" w:cs="Simplified Arabic" w:hint="cs"/>
          <w:color w:val="000000" w:themeColor="text1"/>
          <w:rtl/>
        </w:rPr>
        <w:t>،</w:t>
      </w:r>
      <w:r w:rsidRPr="00206B59">
        <w:rPr>
          <w:rFonts w:ascii="Simplified Arabic" w:hAnsi="Simplified Arabic" w:cs="Simplified Arabic"/>
          <w:color w:val="000000" w:themeColor="text1"/>
          <w:rtl/>
        </w:rPr>
        <w:t xml:space="preserve"> يمكن استخدامها عمليًا كدليل إرشادي ومخطط تفصيلي في هذ</w:t>
      </w:r>
      <w:r w:rsidRPr="00206B59">
        <w:rPr>
          <w:rFonts w:ascii="Simplified Arabic" w:hAnsi="Simplified Arabic" w:cs="Simplified Arabic" w:hint="cs"/>
          <w:color w:val="000000" w:themeColor="text1"/>
          <w:rtl/>
        </w:rPr>
        <w:t>ا</w:t>
      </w:r>
      <w:r w:rsidRPr="00206B59">
        <w:rPr>
          <w:rFonts w:ascii="Simplified Arabic" w:hAnsi="Simplified Arabic" w:cs="Simplified Arabic"/>
          <w:color w:val="000000" w:themeColor="text1"/>
          <w:rtl/>
        </w:rPr>
        <w:t xml:space="preserve"> ال</w:t>
      </w:r>
      <w:r w:rsidRPr="00206B59">
        <w:rPr>
          <w:rFonts w:ascii="Simplified Arabic" w:hAnsi="Simplified Arabic" w:cs="Simplified Arabic" w:hint="cs"/>
          <w:color w:val="000000" w:themeColor="text1"/>
          <w:rtl/>
        </w:rPr>
        <w:t>بحث،</w:t>
      </w:r>
      <w:r w:rsidRPr="00206B59">
        <w:rPr>
          <w:rFonts w:ascii="Simplified Arabic" w:hAnsi="Simplified Arabic" w:cs="Simplified Arabic"/>
          <w:color w:val="000000" w:themeColor="text1"/>
          <w:rtl/>
        </w:rPr>
        <w:t xml:space="preserve"> لأن أبعاد المرونة</w:t>
      </w:r>
      <w:r w:rsidRPr="00206B59">
        <w:rPr>
          <w:rFonts w:ascii="Simplified Arabic" w:hAnsi="Simplified Arabic" w:cs="Simplified Arabic" w:hint="cs"/>
          <w:color w:val="000000" w:themeColor="text1"/>
          <w:rtl/>
        </w:rPr>
        <w:t>،</w:t>
      </w:r>
      <w:r w:rsidRPr="00206B59">
        <w:rPr>
          <w:rFonts w:ascii="Simplified Arabic" w:hAnsi="Simplified Arabic" w:cs="Simplified Arabic"/>
          <w:color w:val="000000" w:themeColor="text1"/>
          <w:rtl/>
        </w:rPr>
        <w:t xml:space="preserve"> خاصة </w:t>
      </w:r>
      <w:r w:rsidRPr="00206B59">
        <w:rPr>
          <w:rFonts w:ascii="Simplified Arabic" w:hAnsi="Simplified Arabic" w:cs="Simplified Arabic" w:hint="cs"/>
          <w:color w:val="000000" w:themeColor="text1"/>
          <w:rtl/>
        </w:rPr>
        <w:t xml:space="preserve">منها مكونات </w:t>
      </w:r>
      <w:r w:rsidRPr="00206B59">
        <w:rPr>
          <w:rFonts w:ascii="Simplified Arabic" w:hAnsi="Simplified Arabic" w:cs="Simplified Arabic"/>
          <w:color w:val="000000" w:themeColor="text1"/>
          <w:rtl/>
        </w:rPr>
        <w:t>البعد الفيزيائي</w:t>
      </w:r>
      <w:r w:rsidRPr="00206B59">
        <w:rPr>
          <w:rFonts w:ascii="Simplified Arabic" w:hAnsi="Simplified Arabic" w:cs="Simplified Arabic" w:hint="cs"/>
          <w:color w:val="000000" w:themeColor="text1"/>
          <w:rtl/>
        </w:rPr>
        <w:t xml:space="preserve"> ت</w:t>
      </w:r>
      <w:r w:rsidRPr="00206B59">
        <w:rPr>
          <w:rFonts w:ascii="Simplified Arabic" w:hAnsi="Simplified Arabic" w:cs="Simplified Arabic"/>
          <w:color w:val="000000" w:themeColor="text1"/>
          <w:rtl/>
        </w:rPr>
        <w:t xml:space="preserve">ختلف باختلاف ظروف المناطق والمجتمعات الحضرية. </w:t>
      </w:r>
      <w:r w:rsidRPr="00206B59">
        <w:rPr>
          <w:rFonts w:ascii="Simplified Arabic" w:hAnsi="Simplified Arabic" w:cs="Simplified Arabic" w:hint="cs"/>
          <w:color w:val="000000" w:themeColor="text1"/>
          <w:rtl/>
        </w:rPr>
        <w:t xml:space="preserve">كما </w:t>
      </w:r>
      <w:r w:rsidRPr="00206B59">
        <w:rPr>
          <w:rFonts w:ascii="Simplified Arabic" w:hAnsi="Simplified Arabic" w:cs="Simplified Arabic" w:hint="cs"/>
          <w:color w:val="auto"/>
          <w:rtl/>
        </w:rPr>
        <w:t>تم</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الاستلهام من اطار</w:t>
      </w:r>
      <w:r w:rsidRPr="00206B59">
        <w:rPr>
          <w:rFonts w:asciiTheme="minorBidi" w:hAnsiTheme="minorBidi" w:cs="Arial"/>
          <w:sz w:val="28"/>
          <w:szCs w:val="28"/>
          <w:rtl/>
        </w:rPr>
        <w:t xml:space="preserve"> </w:t>
      </w:r>
      <w:r w:rsidRPr="00206B59">
        <w:rPr>
          <w:rFonts w:asciiTheme="majorBidi" w:hAnsiTheme="majorBidi" w:cstheme="majorBidi"/>
          <w:color w:val="000000" w:themeColor="text1"/>
          <w:rtl/>
          <w:lang w:val="en-US" w:bidi="ar-DZ"/>
        </w:rPr>
        <w:t>(</w:t>
      </w:r>
      <w:r w:rsidRPr="00206B59">
        <w:rPr>
          <w:rFonts w:asciiTheme="majorBidi" w:hAnsiTheme="majorBidi" w:cstheme="majorBidi"/>
          <w:color w:val="000000" w:themeColor="text1"/>
          <w:lang w:val="en-US" w:bidi="ar-DZ"/>
        </w:rPr>
        <w:t>Cutter, 2008</w:t>
      </w:r>
      <w:r w:rsidRPr="00206B59">
        <w:rPr>
          <w:rFonts w:ascii="Simplified Arabic" w:eastAsia="Times New Roman" w:hAnsi="Simplified Arabic" w:cs="Simplified Arabic"/>
          <w:b/>
          <w:rtl/>
          <w:lang w:val="en-US" w:eastAsia="fr-FR"/>
        </w:rPr>
        <w:t>)</w:t>
      </w:r>
      <w:r w:rsidRPr="00206B59">
        <w:rPr>
          <w:rFonts w:ascii="Simplified Arabic" w:eastAsia="Times New Roman" w:hAnsi="Simplified Arabic" w:cs="Simplified Arabic" w:hint="cs"/>
          <w:b/>
          <w:rtl/>
          <w:lang w:val="en-US" w:eastAsia="fr-FR"/>
        </w:rPr>
        <w:t xml:space="preserve"> </w:t>
      </w:r>
      <w:r w:rsidRPr="00206B59">
        <w:rPr>
          <w:rFonts w:ascii="Simplified Arabic" w:hAnsi="Simplified Arabic" w:cs="Simplified Arabic" w:hint="cs"/>
          <w:color w:val="auto"/>
          <w:rtl/>
        </w:rPr>
        <w:t>لمعالجته مرونة المكان، نظرًا</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لنظام</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وزن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التقييم</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الذي</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يتضمن</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ميزات</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خاصة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تتيح</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إعطاء</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الأولوية</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للجوانب</w:t>
      </w:r>
      <w:r w:rsidRPr="00206B59">
        <w:rPr>
          <w:rFonts w:ascii="Simplified Arabic" w:hAnsi="Simplified Arabic" w:cs="Simplified Arabic"/>
          <w:color w:val="auto"/>
          <w:rtl/>
        </w:rPr>
        <w:t xml:space="preserve"> </w:t>
      </w:r>
      <w:r w:rsidRPr="00206B59">
        <w:rPr>
          <w:rFonts w:ascii="Simplified Arabic" w:hAnsi="Simplified Arabic" w:cs="Simplified Arabic" w:hint="cs"/>
          <w:color w:val="auto"/>
          <w:rtl/>
        </w:rPr>
        <w:t>الفيزيائية</w:t>
      </w:r>
      <w:r w:rsidRPr="00206B59">
        <w:rPr>
          <w:rFonts w:ascii="Simplified Arabic" w:hAnsi="Simplified Arabic" w:cs="Simplified Arabic"/>
          <w:color w:val="auto"/>
          <w:rtl/>
        </w:rPr>
        <w:t>.</w:t>
      </w:r>
      <w:r w:rsidRPr="00206B59">
        <w:rPr>
          <w:rFonts w:ascii="Simplified Arabic" w:hAnsi="Simplified Arabic" w:cs="Simplified Arabic" w:hint="cs"/>
          <w:color w:val="auto"/>
          <w:rtl/>
        </w:rPr>
        <w:t xml:space="preserve"> </w:t>
      </w:r>
    </w:p>
    <w:p w:rsidR="000B42BD" w:rsidRDefault="000B42BD" w:rsidP="00E8765E">
      <w:pPr>
        <w:pStyle w:val="Default"/>
        <w:bidi/>
        <w:spacing w:line="276" w:lineRule="auto"/>
        <w:ind w:firstLine="282"/>
        <w:jc w:val="both"/>
        <w:rPr>
          <w:rFonts w:ascii="Simplified Arabic" w:hAnsi="Simplified Arabic" w:cs="Simplified Arabic"/>
          <w:color w:val="000000" w:themeColor="text1"/>
          <w:rtl/>
        </w:rPr>
      </w:pPr>
      <w:r w:rsidRPr="00C06005">
        <w:rPr>
          <w:rFonts w:ascii="Simplified Arabic" w:hAnsi="Simplified Arabic" w:cs="Simplified Arabic"/>
          <w:color w:val="000000" w:themeColor="text1"/>
          <w:rtl/>
        </w:rPr>
        <w:t xml:space="preserve">يشمل </w:t>
      </w:r>
      <w:r w:rsidRPr="005366DD">
        <w:rPr>
          <w:rFonts w:ascii="Simplified Arabic" w:hAnsi="Simplified Arabic" w:cs="Simplified Arabic"/>
          <w:color w:val="000000" w:themeColor="text1"/>
          <w:rtl/>
        </w:rPr>
        <w:t>البعد الفيزيائي</w:t>
      </w:r>
      <w:r>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 xml:space="preserve"> </w:t>
      </w:r>
      <w:r w:rsidRPr="005366DD">
        <w:rPr>
          <w:rFonts w:ascii="Simplified Arabic" w:hAnsi="Simplified Arabic" w:cs="Simplified Arabic" w:hint="cs"/>
          <w:color w:val="000000" w:themeColor="text1"/>
          <w:rtl/>
        </w:rPr>
        <w:t>عوامل</w:t>
      </w:r>
      <w:r w:rsidRPr="005366DD">
        <w:rPr>
          <w:rFonts w:ascii="Simplified Arabic" w:hAnsi="Simplified Arabic" w:cs="Simplified Arabic"/>
          <w:color w:val="000000" w:themeColor="text1"/>
          <w:rtl/>
        </w:rPr>
        <w:t xml:space="preserve"> مثل الأنظمة </w:t>
      </w:r>
      <w:r>
        <w:rPr>
          <w:rFonts w:ascii="Simplified Arabic" w:hAnsi="Simplified Arabic" w:cs="Simplified Arabic" w:hint="cs"/>
          <w:color w:val="000000" w:themeColor="text1"/>
          <w:rtl/>
        </w:rPr>
        <w:t>الفيزيائية</w:t>
      </w:r>
      <w:r w:rsidRPr="005366DD">
        <w:rPr>
          <w:rFonts w:ascii="Simplified Arabic" w:hAnsi="Simplified Arabic" w:cs="Simplified Arabic"/>
          <w:color w:val="000000" w:themeColor="text1"/>
          <w:rtl/>
        </w:rPr>
        <w:t xml:space="preserve"> بما في ذلك متانة المباني </w:t>
      </w:r>
      <w:r>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جودة المباني، عدد الطوابق</w:t>
      </w:r>
      <w:r>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 xml:space="preserve">، </w:t>
      </w:r>
      <w:r w:rsidR="00E8765E">
        <w:rPr>
          <w:rFonts w:ascii="Simplified Arabic" w:hAnsi="Simplified Arabic" w:cs="Simplified Arabic" w:hint="cs"/>
          <w:rtl/>
        </w:rPr>
        <w:t>استعمال</w:t>
      </w:r>
      <w:r w:rsidRPr="005366DD">
        <w:rPr>
          <w:rFonts w:ascii="Simplified Arabic" w:hAnsi="Simplified Arabic" w:cs="Simplified Arabic"/>
          <w:color w:val="000000" w:themeColor="text1"/>
          <w:rtl/>
        </w:rPr>
        <w:t xml:space="preserve"> الأرض </w:t>
      </w:r>
      <w:r>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كثافة ال</w:t>
      </w:r>
      <w:r w:rsidRPr="005366DD">
        <w:rPr>
          <w:rFonts w:ascii="Simplified Arabic" w:hAnsi="Simplified Arabic" w:cs="Simplified Arabic" w:hint="cs"/>
          <w:color w:val="000000" w:themeColor="text1"/>
          <w:rtl/>
        </w:rPr>
        <w:t>بناء</w:t>
      </w:r>
      <w:r>
        <w:rPr>
          <w:rFonts w:ascii="Simplified Arabic" w:hAnsi="Simplified Arabic" w:cs="Simplified Arabic" w:hint="cs"/>
          <w:color w:val="000000" w:themeColor="text1"/>
          <w:rtl/>
        </w:rPr>
        <w:t xml:space="preserve">، </w:t>
      </w:r>
      <w:r w:rsidRPr="005366DD">
        <w:rPr>
          <w:rFonts w:ascii="Simplified Arabic" w:hAnsi="Simplified Arabic" w:cs="Simplified Arabic" w:hint="cs"/>
          <w:color w:val="000000" w:themeColor="text1"/>
          <w:rtl/>
        </w:rPr>
        <w:t>عرض</w:t>
      </w:r>
      <w:r w:rsidRPr="005366DD">
        <w:rPr>
          <w:rFonts w:ascii="Simplified Arabic" w:hAnsi="Simplified Arabic" w:cs="Simplified Arabic"/>
          <w:color w:val="000000" w:themeColor="text1"/>
          <w:rtl/>
        </w:rPr>
        <w:t xml:space="preserve"> شبكة الشوارع</w:t>
      </w:r>
      <w:r>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 xml:space="preserve"> المسافة </w:t>
      </w:r>
      <w:r w:rsidRPr="005366DD">
        <w:rPr>
          <w:rFonts w:ascii="Simplified Arabic" w:hAnsi="Simplified Arabic" w:cs="Simplified Arabic" w:hint="cs"/>
          <w:color w:val="000000" w:themeColor="text1"/>
          <w:rtl/>
        </w:rPr>
        <w:t>الى</w:t>
      </w:r>
      <w:r w:rsidRPr="005366DD">
        <w:rPr>
          <w:rFonts w:ascii="Simplified Arabic" w:hAnsi="Simplified Arabic" w:cs="Simplified Arabic"/>
          <w:color w:val="000000" w:themeColor="text1"/>
          <w:rtl/>
        </w:rPr>
        <w:t xml:space="preserve"> الوظائف</w:t>
      </w:r>
      <w:r w:rsidRPr="005366DD">
        <w:rPr>
          <w:rFonts w:ascii="Simplified Arabic" w:hAnsi="Simplified Arabic" w:cs="Simplified Arabic" w:hint="cs"/>
          <w:color w:val="000000" w:themeColor="text1"/>
          <w:rtl/>
        </w:rPr>
        <w:t xml:space="preserve"> او</w:t>
      </w:r>
      <w:r w:rsidRPr="005366DD">
        <w:rPr>
          <w:rFonts w:ascii="Simplified Arabic" w:hAnsi="Simplified Arabic" w:cs="Simplified Arabic"/>
          <w:color w:val="000000" w:themeColor="text1"/>
          <w:rtl/>
        </w:rPr>
        <w:t xml:space="preserve"> </w:t>
      </w:r>
      <w:r w:rsidRPr="005366DD">
        <w:rPr>
          <w:rFonts w:ascii="Simplified Arabic" w:hAnsi="Simplified Arabic" w:cs="Simplified Arabic" w:hint="cs"/>
          <w:color w:val="000000" w:themeColor="text1"/>
          <w:rtl/>
        </w:rPr>
        <w:t>الخدمات</w:t>
      </w:r>
      <w:r w:rsidRPr="005366DD">
        <w:rPr>
          <w:rFonts w:ascii="Simplified Arabic" w:hAnsi="Simplified Arabic" w:cs="Simplified Arabic"/>
          <w:color w:val="000000" w:themeColor="text1"/>
          <w:rtl/>
        </w:rPr>
        <w:t xml:space="preserve"> </w:t>
      </w:r>
      <w:r>
        <w:rPr>
          <w:rFonts w:ascii="Simplified Arabic" w:hAnsi="Simplified Arabic" w:cs="Simplified Arabic" w:hint="cs"/>
          <w:color w:val="000000" w:themeColor="text1"/>
          <w:rtl/>
        </w:rPr>
        <w:t>و</w:t>
      </w:r>
      <w:r w:rsidRPr="005366DD">
        <w:rPr>
          <w:rFonts w:ascii="Simplified Arabic" w:hAnsi="Simplified Arabic" w:cs="Simplified Arabic"/>
          <w:color w:val="000000" w:themeColor="text1"/>
          <w:rtl/>
        </w:rPr>
        <w:t xml:space="preserve">إمكانية الوصول إلى </w:t>
      </w:r>
      <w:r>
        <w:rPr>
          <w:rFonts w:ascii="Simplified Arabic" w:hAnsi="Simplified Arabic" w:cs="Simplified Arabic" w:hint="cs"/>
          <w:color w:val="000000" w:themeColor="text1"/>
          <w:rtl/>
        </w:rPr>
        <w:t>(</w:t>
      </w:r>
      <w:r w:rsidRPr="005366DD">
        <w:rPr>
          <w:rFonts w:ascii="Simplified Arabic" w:hAnsi="Simplified Arabic" w:cs="Simplified Arabic" w:hint="cs"/>
          <w:color w:val="000000" w:themeColor="text1"/>
          <w:rtl/>
        </w:rPr>
        <w:t xml:space="preserve">المراكز التعليمية، </w:t>
      </w:r>
      <w:r w:rsidRPr="005366DD">
        <w:rPr>
          <w:rFonts w:ascii="Simplified Arabic" w:hAnsi="Simplified Arabic" w:cs="Simplified Arabic"/>
          <w:color w:val="000000" w:themeColor="text1"/>
          <w:rtl/>
        </w:rPr>
        <w:t>خدمات الطوارئ مثل محطات الإطفاء</w:t>
      </w:r>
      <w:r>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 xml:space="preserve"> </w:t>
      </w:r>
      <w:r>
        <w:rPr>
          <w:rFonts w:ascii="Simplified Arabic" w:hAnsi="Simplified Arabic" w:cs="Simplified Arabic" w:hint="cs"/>
          <w:color w:val="000000" w:themeColor="text1"/>
          <w:rtl/>
        </w:rPr>
        <w:t>مراكز الصحة</w:t>
      </w:r>
      <w:r w:rsidRPr="005366DD">
        <w:rPr>
          <w:rFonts w:ascii="Simplified Arabic" w:hAnsi="Simplified Arabic" w:cs="Simplified Arabic" w:hint="cs"/>
          <w:color w:val="000000" w:themeColor="text1"/>
          <w:rtl/>
        </w:rPr>
        <w:t>، المراكز الامنية،</w:t>
      </w:r>
      <w:r>
        <w:rPr>
          <w:rFonts w:ascii="Simplified Arabic" w:hAnsi="Simplified Arabic" w:cs="Simplified Arabic" w:hint="cs"/>
          <w:color w:val="000000" w:themeColor="text1"/>
          <w:rtl/>
        </w:rPr>
        <w:t xml:space="preserve"> </w:t>
      </w:r>
      <w:r w:rsidRPr="005366DD">
        <w:rPr>
          <w:rFonts w:ascii="Simplified Arabic" w:hAnsi="Simplified Arabic" w:cs="Simplified Arabic"/>
          <w:color w:val="000000" w:themeColor="text1"/>
          <w:rtl/>
        </w:rPr>
        <w:t>المساحات المفتوحة</w:t>
      </w:r>
      <w:r>
        <w:rPr>
          <w:rFonts w:ascii="Simplified Arabic" w:hAnsi="Simplified Arabic" w:cs="Simplified Arabic" w:hint="cs"/>
          <w:color w:val="000000" w:themeColor="text1"/>
          <w:rtl/>
        </w:rPr>
        <w:t>، مثل</w:t>
      </w:r>
      <w:r w:rsidRPr="005366DD">
        <w:rPr>
          <w:rFonts w:ascii="Simplified Arabic" w:hAnsi="Simplified Arabic" w:cs="Simplified Arabic"/>
          <w:color w:val="000000" w:themeColor="text1"/>
          <w:rtl/>
        </w:rPr>
        <w:t xml:space="preserve"> الحدائق</w:t>
      </w:r>
      <w:r w:rsidRPr="005366DD">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 xml:space="preserve"> المساحات الخضراء، الملاعب الخارجية ومواقف السيارات المفتوحة</w:t>
      </w:r>
      <w:r w:rsidRPr="005366DD">
        <w:rPr>
          <w:rFonts w:ascii="Simplified Arabic" w:hAnsi="Simplified Arabic" w:cs="Simplified Arabic" w:hint="cs"/>
          <w:color w:val="000000" w:themeColor="text1"/>
          <w:rtl/>
        </w:rPr>
        <w:t>''</w:t>
      </w:r>
      <w:r w:rsidRPr="005366DD">
        <w:rPr>
          <w:rFonts w:ascii="Simplified Arabic" w:hAnsi="Simplified Arabic" w:cs="Simplified Arabic"/>
          <w:color w:val="000000" w:themeColor="text1"/>
          <w:rtl/>
        </w:rPr>
        <w:t>.</w:t>
      </w:r>
      <w:r>
        <w:rPr>
          <w:rFonts w:ascii="Simplified Arabic" w:hAnsi="Simplified Arabic" w:cs="Simplified Arabic" w:hint="cs"/>
          <w:color w:val="000000" w:themeColor="text1"/>
          <w:rtl/>
        </w:rPr>
        <w:t xml:space="preserve"> </w:t>
      </w:r>
      <w:r w:rsidRPr="001425EF">
        <w:rPr>
          <w:rFonts w:ascii="Simplified Arabic" w:hAnsi="Simplified Arabic" w:cs="Simplified Arabic"/>
          <w:color w:val="000000" w:themeColor="text1"/>
          <w:rtl/>
        </w:rPr>
        <w:t xml:space="preserve">بالتالي، فقد أدرك </w:t>
      </w:r>
      <w:r>
        <w:rPr>
          <w:rFonts w:ascii="Simplified Arabic" w:hAnsi="Simplified Arabic" w:cs="Simplified Arabic" w:hint="cs"/>
          <w:color w:val="000000" w:themeColor="text1"/>
          <w:rtl/>
        </w:rPr>
        <w:t>البحث</w:t>
      </w:r>
      <w:r w:rsidRPr="001425EF">
        <w:rPr>
          <w:rFonts w:ascii="Simplified Arabic" w:hAnsi="Simplified Arabic" w:cs="Simplified Arabic"/>
          <w:color w:val="000000" w:themeColor="text1"/>
          <w:rtl/>
        </w:rPr>
        <w:t xml:space="preserve"> </w:t>
      </w:r>
      <w:r>
        <w:rPr>
          <w:rFonts w:ascii="Simplified Arabic" w:hAnsi="Simplified Arabic" w:cs="Simplified Arabic" w:hint="cs"/>
          <w:color w:val="000000" w:themeColor="text1"/>
          <w:rtl/>
        </w:rPr>
        <w:t xml:space="preserve">اهمية </w:t>
      </w:r>
      <w:r w:rsidRPr="001425EF">
        <w:rPr>
          <w:rFonts w:ascii="Simplified Arabic" w:hAnsi="Simplified Arabic" w:cs="Simplified Arabic"/>
          <w:color w:val="000000" w:themeColor="text1"/>
          <w:rtl/>
        </w:rPr>
        <w:t xml:space="preserve">هذه العوامل </w:t>
      </w:r>
      <w:r>
        <w:rPr>
          <w:rFonts w:ascii="Simplified Arabic" w:hAnsi="Simplified Arabic" w:cs="Simplified Arabic" w:hint="cs"/>
          <w:color w:val="000000" w:themeColor="text1"/>
          <w:rtl/>
        </w:rPr>
        <w:t>الاولية المرتبطة بالتوزيع المكاني ل</w:t>
      </w:r>
      <w:r w:rsidR="00E8765E">
        <w:rPr>
          <w:rFonts w:ascii="Simplified Arabic" w:hAnsi="Simplified Arabic" w:cs="Simplified Arabic" w:hint="cs"/>
          <w:rtl/>
        </w:rPr>
        <w:t>استعمال</w:t>
      </w:r>
      <w:r>
        <w:rPr>
          <w:rFonts w:ascii="Simplified Arabic" w:hAnsi="Simplified Arabic" w:cs="Simplified Arabic" w:hint="cs"/>
          <w:color w:val="000000" w:themeColor="text1"/>
          <w:rtl/>
        </w:rPr>
        <w:t xml:space="preserve"> الارض، التي </w:t>
      </w:r>
      <w:r w:rsidRPr="001425EF">
        <w:rPr>
          <w:rFonts w:ascii="Simplified Arabic" w:hAnsi="Simplified Arabic" w:cs="Simplified Arabic"/>
          <w:color w:val="000000" w:themeColor="text1"/>
          <w:rtl/>
        </w:rPr>
        <w:t xml:space="preserve">تم تحليلها في عملية منطقية ثم محاولة </w:t>
      </w:r>
      <w:r>
        <w:rPr>
          <w:rFonts w:ascii="Simplified Arabic" w:hAnsi="Simplified Arabic" w:cs="Simplified Arabic" w:hint="cs"/>
          <w:color w:val="000000" w:themeColor="text1"/>
          <w:rtl/>
        </w:rPr>
        <w:t>ربط</w:t>
      </w:r>
      <w:r w:rsidRPr="001425EF">
        <w:rPr>
          <w:rFonts w:ascii="Simplified Arabic" w:hAnsi="Simplified Arabic" w:cs="Simplified Arabic"/>
          <w:color w:val="000000" w:themeColor="text1"/>
          <w:rtl/>
        </w:rPr>
        <w:t xml:space="preserve"> هذه العوامل مع </w:t>
      </w:r>
      <w:r>
        <w:rPr>
          <w:rFonts w:ascii="Simplified Arabic" w:hAnsi="Simplified Arabic" w:cs="Simplified Arabic" w:hint="cs"/>
          <w:color w:val="000000" w:themeColor="text1"/>
          <w:rtl/>
        </w:rPr>
        <w:t>الخصائص العمرانية</w:t>
      </w:r>
      <w:r w:rsidRPr="001425EF">
        <w:rPr>
          <w:rFonts w:ascii="Simplified Arabic" w:hAnsi="Simplified Arabic" w:cs="Simplified Arabic"/>
          <w:color w:val="000000" w:themeColor="text1"/>
          <w:rtl/>
        </w:rPr>
        <w:t xml:space="preserve"> </w:t>
      </w:r>
      <w:r>
        <w:rPr>
          <w:rFonts w:ascii="Simplified Arabic" w:hAnsi="Simplified Arabic" w:cs="Simplified Arabic" w:hint="cs"/>
          <w:color w:val="000000" w:themeColor="text1"/>
          <w:rtl/>
        </w:rPr>
        <w:t>ل</w:t>
      </w:r>
      <w:r w:rsidRPr="001425EF">
        <w:rPr>
          <w:rFonts w:ascii="Simplified Arabic" w:hAnsi="Simplified Arabic" w:cs="Simplified Arabic"/>
          <w:color w:val="000000" w:themeColor="text1"/>
          <w:rtl/>
        </w:rPr>
        <w:t xml:space="preserve">مدينة بوسعادة. </w:t>
      </w:r>
    </w:p>
    <w:p w:rsidR="000B42BD" w:rsidRPr="0004515E" w:rsidRDefault="000B42BD" w:rsidP="00E8765E">
      <w:pPr>
        <w:tabs>
          <w:tab w:val="right" w:pos="281"/>
          <w:tab w:val="left" w:pos="4305"/>
        </w:tabs>
        <w:bidi/>
        <w:spacing w:after="0"/>
        <w:ind w:firstLine="282"/>
        <w:jc w:val="both"/>
        <w:rPr>
          <w:rFonts w:ascii="Simplified Arabic" w:hAnsi="Simplified Arabic" w:cs="Simplified Arabic"/>
          <w:color w:val="000000" w:themeColor="text1"/>
          <w:sz w:val="24"/>
          <w:szCs w:val="24"/>
          <w:rtl/>
        </w:rPr>
      </w:pPr>
      <w:r w:rsidRPr="0004515E">
        <w:rPr>
          <w:rFonts w:ascii="Simplified Arabic" w:hAnsi="Simplified Arabic" w:cs="Simplified Arabic"/>
          <w:color w:val="000000" w:themeColor="text1"/>
          <w:sz w:val="24"/>
          <w:szCs w:val="24"/>
          <w:rtl/>
        </w:rPr>
        <w:t xml:space="preserve">في النهاية، مع الأخذ </w:t>
      </w:r>
      <w:r w:rsidRPr="0004515E">
        <w:rPr>
          <w:rFonts w:ascii="Simplified Arabic" w:hAnsi="Simplified Arabic" w:cs="Simplified Arabic" w:hint="cs"/>
          <w:color w:val="000000" w:themeColor="text1"/>
          <w:sz w:val="24"/>
          <w:szCs w:val="24"/>
          <w:rtl/>
        </w:rPr>
        <w:t>بعين</w:t>
      </w:r>
      <w:r w:rsidRPr="0004515E">
        <w:rPr>
          <w:rFonts w:ascii="Simplified Arabic" w:hAnsi="Simplified Arabic" w:cs="Simplified Arabic"/>
          <w:color w:val="000000" w:themeColor="text1"/>
          <w:sz w:val="24"/>
          <w:szCs w:val="24"/>
          <w:rtl/>
        </w:rPr>
        <w:t xml:space="preserve"> الاعتبار </w:t>
      </w:r>
      <w:r w:rsidRPr="0004515E">
        <w:rPr>
          <w:rFonts w:ascii="Simplified Arabic" w:hAnsi="Simplified Arabic" w:cs="Simplified Arabic" w:hint="cs"/>
          <w:color w:val="000000" w:themeColor="text1"/>
          <w:sz w:val="24"/>
          <w:szCs w:val="24"/>
          <w:rtl/>
        </w:rPr>
        <w:t>ل</w:t>
      </w:r>
      <w:r w:rsidRPr="0004515E">
        <w:rPr>
          <w:rFonts w:ascii="Simplified Arabic" w:hAnsi="Simplified Arabic" w:cs="Simplified Arabic"/>
          <w:color w:val="000000" w:themeColor="text1"/>
          <w:sz w:val="24"/>
          <w:szCs w:val="24"/>
          <w:rtl/>
        </w:rPr>
        <w:t xml:space="preserve">لأبعاد التي تم </w:t>
      </w:r>
      <w:r w:rsidRPr="0004515E">
        <w:rPr>
          <w:rFonts w:ascii="Simplified Arabic" w:hAnsi="Simplified Arabic" w:cs="Simplified Arabic" w:hint="cs"/>
          <w:color w:val="000000" w:themeColor="text1"/>
          <w:sz w:val="24"/>
          <w:szCs w:val="24"/>
          <w:rtl/>
        </w:rPr>
        <w:t>التعرف اليها</w:t>
      </w:r>
      <w:r w:rsidRPr="0004515E">
        <w:rPr>
          <w:rFonts w:ascii="Simplified Arabic" w:hAnsi="Simplified Arabic" w:cs="Simplified Arabic"/>
          <w:color w:val="000000" w:themeColor="text1"/>
          <w:sz w:val="24"/>
          <w:szCs w:val="24"/>
          <w:rtl/>
        </w:rPr>
        <w:t xml:space="preserve"> في البحث الحالي، </w:t>
      </w:r>
      <w:r w:rsidRPr="0004515E">
        <w:rPr>
          <w:rFonts w:ascii="Simplified Arabic" w:hAnsi="Simplified Arabic" w:cs="Simplified Arabic" w:hint="cs"/>
          <w:color w:val="000000" w:themeColor="text1"/>
          <w:sz w:val="24"/>
          <w:szCs w:val="24"/>
          <w:rtl/>
        </w:rPr>
        <w:t>ي</w:t>
      </w:r>
      <w:r w:rsidRPr="0004515E">
        <w:rPr>
          <w:rFonts w:ascii="Simplified Arabic" w:hAnsi="Simplified Arabic" w:cs="Simplified Arabic"/>
          <w:color w:val="000000" w:themeColor="text1"/>
          <w:sz w:val="24"/>
          <w:szCs w:val="24"/>
          <w:rtl/>
        </w:rPr>
        <w:t xml:space="preserve">تم </w:t>
      </w:r>
      <w:r w:rsidRPr="0004515E">
        <w:rPr>
          <w:rFonts w:ascii="Simplified Arabic" w:hAnsi="Simplified Arabic" w:cs="Simplified Arabic" w:hint="cs"/>
          <w:color w:val="000000" w:themeColor="text1"/>
          <w:sz w:val="24"/>
          <w:szCs w:val="24"/>
          <w:rtl/>
        </w:rPr>
        <w:t>مناقشة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العوامل</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 xml:space="preserve">الاولية </w:t>
      </w:r>
      <w:r w:rsidRPr="0004515E">
        <w:rPr>
          <w:rFonts w:ascii="Simplified Arabic" w:hAnsi="Simplified Arabic" w:cs="Simplified Arabic"/>
          <w:color w:val="000000" w:themeColor="text1"/>
          <w:sz w:val="24"/>
          <w:szCs w:val="24"/>
          <w:rtl/>
        </w:rPr>
        <w:t>المتوافقة مع قاعدة البيانات والمعلومات المتوفرة في مدينة بوسعادة كأساس لبرنامج</w:t>
      </w:r>
      <w:r w:rsidRPr="001425EF">
        <w:rPr>
          <w:rFonts w:ascii="Simplified Arabic" w:hAnsi="Simplified Arabic" w:cs="Simplified Arabic"/>
          <w:color w:val="000000" w:themeColor="text1"/>
          <w:rtl/>
        </w:rPr>
        <w:t xml:space="preserve"> </w:t>
      </w:r>
      <w:r w:rsidRPr="001425EF">
        <w:rPr>
          <w:rFonts w:asciiTheme="majorBidi" w:hAnsiTheme="majorBidi" w:cstheme="majorBidi"/>
          <w:color w:val="000000" w:themeColor="text1"/>
          <w:rtl/>
        </w:rPr>
        <w:t>(</w:t>
      </w:r>
      <w:r w:rsidRPr="001425EF">
        <w:rPr>
          <w:rFonts w:asciiTheme="majorBidi" w:hAnsiTheme="majorBidi" w:cstheme="majorBidi"/>
          <w:color w:val="000000" w:themeColor="text1"/>
        </w:rPr>
        <w:t>Arc GIS</w:t>
      </w:r>
      <w:r w:rsidRPr="001425EF">
        <w:rPr>
          <w:rFonts w:asciiTheme="majorBidi" w:hAnsiTheme="majorBidi" w:cstheme="majorBidi"/>
          <w:color w:val="000000" w:themeColor="text1"/>
          <w:rtl/>
        </w:rPr>
        <w:t>)</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تتعلق العوامل</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الحضرية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التي</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تم</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 xml:space="preserve">اختيارها بخصائص </w:t>
      </w:r>
      <w:r w:rsidR="00E8765E">
        <w:rPr>
          <w:rFonts w:ascii="Simplified Arabic" w:hAnsi="Simplified Arabic" w:cs="Simplified Arabic" w:hint="cs"/>
          <w:sz w:val="24"/>
          <w:szCs w:val="24"/>
          <w:rtl/>
        </w:rPr>
        <w:t>استعمال</w:t>
      </w:r>
      <w:r w:rsidRPr="0004515E">
        <w:rPr>
          <w:rFonts w:ascii="Simplified Arabic" w:hAnsi="Simplified Arabic" w:cs="Simplified Arabic" w:hint="cs"/>
          <w:color w:val="000000" w:themeColor="text1"/>
          <w:sz w:val="24"/>
          <w:szCs w:val="24"/>
          <w:rtl/>
        </w:rPr>
        <w:t xml:space="preserve"> الارض للبيئة </w:t>
      </w:r>
      <w:r w:rsidR="00C62080">
        <w:rPr>
          <w:rFonts w:ascii="Simplified Arabic" w:hAnsi="Simplified Arabic" w:cs="Simplified Arabic" w:hint="cs"/>
          <w:sz w:val="24"/>
          <w:szCs w:val="24"/>
          <w:rtl/>
          <w:lang w:val="en-US"/>
        </w:rPr>
        <w:t>الحضرية</w:t>
      </w:r>
      <w:r w:rsidRPr="0004515E">
        <w:rPr>
          <w:rFonts w:ascii="Simplified Arabic" w:hAnsi="Simplified Arabic" w:cs="Simplified Arabic" w:hint="cs"/>
          <w:color w:val="000000" w:themeColor="text1"/>
          <w:sz w:val="24"/>
          <w:szCs w:val="24"/>
          <w:rtl/>
        </w:rPr>
        <w:t>،</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تمتاز</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هذه العوامل بالوضوح</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والشمولية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كمحاولة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للحد</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من</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التداخل</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بين</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أبعاد</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المرونة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ستكون</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قائمة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العوامل</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الحضرية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هي</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الأساس</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للمراحل</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التالية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من</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هذا</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الحث،</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وهي</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تطوير</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نموذج</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لتقييم</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المرونة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الحضرية</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لمدينة بوسعادة</w:t>
      </w:r>
      <w:r w:rsidRPr="0004515E">
        <w:rPr>
          <w:rFonts w:ascii="Simplified Arabic" w:hAnsi="Simplified Arabic" w:cs="Simplified Arabic"/>
          <w:color w:val="000000" w:themeColor="text1"/>
          <w:sz w:val="24"/>
          <w:szCs w:val="24"/>
          <w:rtl/>
        </w:rPr>
        <w:t xml:space="preserve"> </w:t>
      </w:r>
      <w:r w:rsidRPr="00C06005">
        <w:rPr>
          <w:rFonts w:asciiTheme="majorBidi" w:hAnsiTheme="majorBidi" w:cstheme="majorBidi"/>
          <w:rtl/>
        </w:rPr>
        <w:t>(</w:t>
      </w:r>
      <w:r w:rsidRPr="00C06005">
        <w:rPr>
          <w:rFonts w:asciiTheme="majorBidi" w:hAnsiTheme="majorBidi" w:cstheme="majorBidi"/>
        </w:rPr>
        <w:t>URAM</w:t>
      </w:r>
      <w:r w:rsidRPr="00C06005">
        <w:rPr>
          <w:rFonts w:asciiTheme="majorBidi" w:hAnsiTheme="majorBidi" w:cstheme="majorBidi"/>
          <w:rtl/>
        </w:rPr>
        <w:t>)</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ترتبط</w:t>
      </w:r>
      <w:r w:rsidRPr="0004515E">
        <w:rPr>
          <w:rFonts w:ascii="Simplified Arabic" w:hAnsi="Simplified Arabic" w:cs="Simplified Arabic"/>
          <w:color w:val="000000" w:themeColor="text1"/>
          <w:sz w:val="24"/>
          <w:szCs w:val="24"/>
          <w:rtl/>
        </w:rPr>
        <w:t xml:space="preserve"> </w:t>
      </w:r>
      <w:r w:rsidRPr="0004515E">
        <w:rPr>
          <w:rFonts w:ascii="Simplified Arabic" w:hAnsi="Simplified Arabic" w:cs="Simplified Arabic" w:hint="cs"/>
          <w:color w:val="000000" w:themeColor="text1"/>
          <w:sz w:val="24"/>
          <w:szCs w:val="24"/>
          <w:rtl/>
        </w:rPr>
        <w:t>العوامل بأربعة</w:t>
      </w:r>
      <w:r w:rsidRPr="0004515E">
        <w:rPr>
          <w:rFonts w:ascii="Simplified Arabic" w:hAnsi="Simplified Arabic" w:cs="Simplified Arabic"/>
          <w:color w:val="000000" w:themeColor="text1"/>
          <w:sz w:val="24"/>
          <w:szCs w:val="24"/>
          <w:rtl/>
        </w:rPr>
        <w:t xml:space="preserve"> </w:t>
      </w:r>
      <w:r w:rsidR="006550EA">
        <w:rPr>
          <w:rFonts w:ascii="Simplified Arabic" w:hAnsi="Simplified Arabic" w:cs="Simplified Arabic" w:hint="cs"/>
          <w:color w:val="000000" w:themeColor="text1"/>
          <w:sz w:val="24"/>
          <w:szCs w:val="24"/>
          <w:rtl/>
        </w:rPr>
        <w:t>فئات</w:t>
      </w:r>
      <w:r w:rsidRPr="0004515E">
        <w:rPr>
          <w:rFonts w:ascii="Simplified Arabic" w:hAnsi="Simplified Arabic" w:cs="Simplified Arabic"/>
          <w:color w:val="000000" w:themeColor="text1"/>
          <w:sz w:val="24"/>
          <w:szCs w:val="24"/>
          <w:rtl/>
        </w:rPr>
        <w:t xml:space="preserve"> مختلفة </w:t>
      </w:r>
      <w:r w:rsidRPr="0004515E">
        <w:rPr>
          <w:rFonts w:ascii="Simplified Arabic" w:hAnsi="Simplified Arabic" w:cs="Simplified Arabic" w:hint="cs"/>
          <w:color w:val="000000" w:themeColor="text1"/>
          <w:sz w:val="24"/>
          <w:szCs w:val="24"/>
          <w:rtl/>
        </w:rPr>
        <w:t>للنسيج</w:t>
      </w:r>
      <w:r w:rsidRPr="0004515E">
        <w:rPr>
          <w:rFonts w:ascii="Simplified Arabic" w:hAnsi="Simplified Arabic" w:cs="Simplified Arabic"/>
          <w:color w:val="000000" w:themeColor="text1"/>
          <w:sz w:val="24"/>
          <w:szCs w:val="24"/>
          <w:rtl/>
        </w:rPr>
        <w:t xml:space="preserve"> الحضري، وهي </w:t>
      </w:r>
      <w:r w:rsidRPr="0004515E">
        <w:rPr>
          <w:rFonts w:ascii="Simplified Arabic" w:hAnsi="Simplified Arabic" w:cs="Simplified Arabic" w:hint="cs"/>
          <w:color w:val="000000" w:themeColor="text1"/>
          <w:sz w:val="24"/>
          <w:szCs w:val="24"/>
          <w:rtl/>
        </w:rPr>
        <w:t>النسيج</w:t>
      </w:r>
      <w:r>
        <w:rPr>
          <w:rFonts w:ascii="Simplified Arabic" w:hAnsi="Simplified Arabic" w:cs="Simplified Arabic" w:hint="cs"/>
          <w:rtl/>
        </w:rPr>
        <w:t xml:space="preserve"> </w:t>
      </w:r>
      <w:r w:rsidR="00266FE8" w:rsidRPr="00D70C97">
        <w:rPr>
          <w:rFonts w:ascii="Simplified Arabic" w:hAnsi="Simplified Arabic" w:cs="Simplified Arabic" w:hint="cs"/>
          <w:sz w:val="24"/>
          <w:szCs w:val="24"/>
          <w:rtl/>
        </w:rPr>
        <w:lastRenderedPageBreak/>
        <w:t>بالتحديد، التقليدي</w:t>
      </w:r>
      <w:r w:rsidR="00266FE8">
        <w:rPr>
          <w:rFonts w:ascii="Simplified Arabic" w:hAnsi="Simplified Arabic" w:cs="Simplified Arabic" w:hint="cs"/>
          <w:sz w:val="24"/>
          <w:szCs w:val="24"/>
          <w:rtl/>
        </w:rPr>
        <w:t xml:space="preserve"> (أ)</w:t>
      </w:r>
      <w:r w:rsidR="00266FE8" w:rsidRPr="00D70C97">
        <w:rPr>
          <w:rFonts w:ascii="Simplified Arabic" w:hAnsi="Simplified Arabic" w:cs="Simplified Arabic" w:hint="cs"/>
          <w:sz w:val="24"/>
          <w:szCs w:val="24"/>
          <w:rtl/>
        </w:rPr>
        <w:t>،</w:t>
      </w:r>
      <w:r w:rsidR="00266FE8" w:rsidRPr="00D70C97">
        <w:rPr>
          <w:rFonts w:ascii="Simplified Arabic" w:hAnsi="Simplified Arabic" w:cs="Simplified Arabic"/>
          <w:sz w:val="24"/>
          <w:szCs w:val="24"/>
          <w:rtl/>
        </w:rPr>
        <w:t xml:space="preserve"> </w:t>
      </w:r>
      <w:r w:rsidR="00266FE8" w:rsidRPr="00D70C97">
        <w:rPr>
          <w:rFonts w:ascii="Simplified Arabic" w:hAnsi="Simplified Arabic" w:cs="Simplified Arabic" w:hint="cs"/>
          <w:sz w:val="24"/>
          <w:szCs w:val="24"/>
          <w:rtl/>
        </w:rPr>
        <w:t>الاستيطاني</w:t>
      </w:r>
      <w:r w:rsidR="00266FE8">
        <w:rPr>
          <w:rFonts w:ascii="Simplified Arabic" w:hAnsi="Simplified Arabic" w:cs="Simplified Arabic" w:hint="cs"/>
          <w:sz w:val="24"/>
          <w:szCs w:val="24"/>
          <w:rtl/>
        </w:rPr>
        <w:t xml:space="preserve"> (ب)</w:t>
      </w:r>
      <w:r w:rsidR="00266FE8" w:rsidRPr="00D70C97">
        <w:rPr>
          <w:rFonts w:ascii="Simplified Arabic" w:hAnsi="Simplified Arabic" w:cs="Simplified Arabic" w:hint="cs"/>
          <w:sz w:val="24"/>
          <w:szCs w:val="24"/>
          <w:rtl/>
        </w:rPr>
        <w:t>، شبه</w:t>
      </w:r>
      <w:r w:rsidR="00266FE8" w:rsidRPr="00D70C97">
        <w:rPr>
          <w:rFonts w:ascii="Simplified Arabic" w:hAnsi="Simplified Arabic" w:cs="Simplified Arabic"/>
          <w:sz w:val="24"/>
          <w:szCs w:val="24"/>
          <w:rtl/>
        </w:rPr>
        <w:t xml:space="preserve"> </w:t>
      </w:r>
      <w:r w:rsidR="00266FE8" w:rsidRPr="00D70C97">
        <w:rPr>
          <w:rFonts w:ascii="Simplified Arabic" w:hAnsi="Simplified Arabic" w:cs="Simplified Arabic" w:hint="cs"/>
          <w:sz w:val="24"/>
          <w:szCs w:val="24"/>
          <w:rtl/>
        </w:rPr>
        <w:t>المخطط</w:t>
      </w:r>
      <w:r w:rsidR="00266FE8">
        <w:rPr>
          <w:rFonts w:ascii="Simplified Arabic" w:hAnsi="Simplified Arabic" w:cs="Simplified Arabic" w:hint="cs"/>
          <w:sz w:val="24"/>
          <w:szCs w:val="24"/>
          <w:rtl/>
        </w:rPr>
        <w:t xml:space="preserve"> (جـ)</w:t>
      </w:r>
      <w:r w:rsidR="00266FE8" w:rsidRPr="00D70C97">
        <w:rPr>
          <w:rFonts w:ascii="Simplified Arabic" w:hAnsi="Simplified Arabic" w:cs="Simplified Arabic"/>
          <w:sz w:val="24"/>
          <w:szCs w:val="24"/>
          <w:rtl/>
        </w:rPr>
        <w:t xml:space="preserve"> </w:t>
      </w:r>
      <w:r w:rsidR="00266FE8" w:rsidRPr="00D70C97">
        <w:rPr>
          <w:rFonts w:ascii="Simplified Arabic" w:hAnsi="Simplified Arabic" w:cs="Simplified Arabic" w:hint="cs"/>
          <w:sz w:val="24"/>
          <w:szCs w:val="24"/>
          <w:rtl/>
        </w:rPr>
        <w:t>والمخطط</w:t>
      </w:r>
      <w:r w:rsidR="00266FE8">
        <w:rPr>
          <w:rFonts w:ascii="Simplified Arabic" w:hAnsi="Simplified Arabic" w:cs="Simplified Arabic" w:hint="cs"/>
          <w:sz w:val="24"/>
          <w:szCs w:val="24"/>
          <w:rtl/>
        </w:rPr>
        <w:t xml:space="preserve"> (د) </w:t>
      </w:r>
      <w:r w:rsidRPr="0004515E">
        <w:rPr>
          <w:rFonts w:ascii="Simplified Arabic" w:hAnsi="Simplified Arabic" w:cs="Simplified Arabic"/>
          <w:color w:val="000000" w:themeColor="text1"/>
          <w:sz w:val="24"/>
          <w:szCs w:val="24"/>
          <w:rtl/>
        </w:rPr>
        <w:t xml:space="preserve">لفحص مرونة </w:t>
      </w:r>
      <w:r w:rsidRPr="0004515E">
        <w:rPr>
          <w:rFonts w:ascii="Simplified Arabic" w:hAnsi="Simplified Arabic" w:cs="Simplified Arabic" w:hint="cs"/>
          <w:color w:val="000000" w:themeColor="text1"/>
          <w:sz w:val="24"/>
          <w:szCs w:val="24"/>
          <w:rtl/>
        </w:rPr>
        <w:t>احياء مدينة بوسعادة ضمن سياق الفيضانات الحضرية المفاجئة.</w:t>
      </w:r>
    </w:p>
    <w:p w:rsidR="000B42BD" w:rsidRPr="00397D5C" w:rsidRDefault="000B42BD" w:rsidP="001D0548">
      <w:pPr>
        <w:pStyle w:val="Default"/>
        <w:numPr>
          <w:ilvl w:val="2"/>
          <w:numId w:val="125"/>
        </w:numPr>
        <w:tabs>
          <w:tab w:val="right" w:pos="850"/>
        </w:tabs>
        <w:bidi/>
        <w:spacing w:before="240" w:line="276" w:lineRule="auto"/>
        <w:ind w:left="0" w:firstLine="0"/>
        <w:jc w:val="both"/>
        <w:outlineLvl w:val="1"/>
        <w:rPr>
          <w:rFonts w:ascii="Simplified Arabic" w:hAnsi="Simplified Arabic" w:cs="Simplified Arabic"/>
          <w:b/>
          <w:bCs/>
        </w:rPr>
      </w:pPr>
      <w:bookmarkStart w:id="402" w:name="_Toc171803510"/>
      <w:r w:rsidRPr="00397D5C">
        <w:rPr>
          <w:rFonts w:ascii="Simplified Arabic" w:hAnsi="Simplified Arabic" w:cs="Simplified Arabic" w:hint="cs"/>
          <w:b/>
          <w:bCs/>
          <w:rtl/>
        </w:rPr>
        <w:t>المرحلة</w:t>
      </w:r>
      <w:r w:rsidRPr="00397D5C">
        <w:rPr>
          <w:rFonts w:ascii="Simplified Arabic" w:hAnsi="Simplified Arabic" w:cs="Simplified Arabic"/>
          <w:b/>
          <w:bCs/>
          <w:rtl/>
        </w:rPr>
        <w:t xml:space="preserve"> </w:t>
      </w:r>
      <w:r w:rsidR="0026579B">
        <w:rPr>
          <w:rFonts w:ascii="Simplified Arabic" w:hAnsi="Simplified Arabic" w:cs="Simplified Arabic" w:hint="cs"/>
          <w:b/>
          <w:bCs/>
          <w:rtl/>
        </w:rPr>
        <w:t>الثانية</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تحديد</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عوامل</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تقييم</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المرونة</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الحضرية</w:t>
      </w:r>
      <w:bookmarkEnd w:id="402"/>
    </w:p>
    <w:p w:rsidR="000B42BD" w:rsidRPr="002E2B6B" w:rsidRDefault="000B42BD" w:rsidP="002E7C71">
      <w:pPr>
        <w:bidi/>
        <w:spacing w:after="0"/>
        <w:ind w:firstLine="282"/>
        <w:jc w:val="both"/>
        <w:rPr>
          <w:rFonts w:asciiTheme="minorBidi" w:hAnsiTheme="minorBidi"/>
          <w:sz w:val="28"/>
          <w:szCs w:val="28"/>
        </w:rPr>
      </w:pPr>
      <w:r w:rsidRPr="00206B59">
        <w:rPr>
          <w:rFonts w:ascii="Simplified Arabic" w:hAnsi="Simplified Arabic" w:cs="Simplified Arabic" w:hint="cs"/>
          <w:sz w:val="24"/>
          <w:szCs w:val="24"/>
          <w:rtl/>
        </w:rPr>
        <w:t xml:space="preserve">يتم في هذه المرحلة، الشكل </w:t>
      </w:r>
      <w:r w:rsidR="002E7C71" w:rsidRPr="00206B59">
        <w:rPr>
          <w:rFonts w:ascii="Simplified Arabic" w:hAnsi="Simplified Arabic" w:cs="Simplified Arabic" w:hint="cs"/>
          <w:rtl/>
        </w:rPr>
        <w:t>(3-3)</w:t>
      </w:r>
      <w:r w:rsidRPr="00206B59">
        <w:rPr>
          <w:rFonts w:ascii="Simplified Arabic" w:hAnsi="Simplified Arabic" w:cs="Simplified Arabic" w:hint="cs"/>
          <w:sz w:val="24"/>
          <w:szCs w:val="24"/>
          <w:rtl/>
        </w:rPr>
        <w:t>، عرض طرق الاجماع التي</w:t>
      </w:r>
      <w:r w:rsidRPr="00206B59">
        <w:rPr>
          <w:rFonts w:ascii="Simplified Arabic" w:hAnsi="Simplified Arabic" w:cs="Simplified Arabic"/>
          <w:sz w:val="24"/>
          <w:szCs w:val="24"/>
          <w:rtl/>
        </w:rPr>
        <w:t xml:space="preserve"> هي أدوات قوية تستخدم </w:t>
      </w:r>
      <w:r w:rsidRPr="00206B59">
        <w:rPr>
          <w:rFonts w:ascii="Simplified Arabic" w:hAnsi="Simplified Arabic" w:cs="Simplified Arabic" w:hint="cs"/>
          <w:sz w:val="24"/>
          <w:szCs w:val="24"/>
          <w:rtl/>
        </w:rPr>
        <w:t>لإيجاد حلول مناسبة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لكثير من القضايا، بعد ا</w:t>
      </w:r>
      <w:r w:rsidRPr="00206B59">
        <w:rPr>
          <w:rFonts w:ascii="Simplified Arabic" w:hAnsi="Simplified Arabic" w:cs="Simplified Arabic"/>
          <w:sz w:val="24"/>
          <w:szCs w:val="24"/>
          <w:rtl/>
        </w:rPr>
        <w:t>لتوصل ا</w:t>
      </w:r>
      <w:r w:rsidRPr="00206B59">
        <w:rPr>
          <w:rFonts w:ascii="Simplified Arabic" w:hAnsi="Simplified Arabic" w:cs="Simplified Arabic" w:hint="cs"/>
          <w:sz w:val="24"/>
          <w:szCs w:val="24"/>
          <w:rtl/>
        </w:rPr>
        <w:t xml:space="preserve">لى توافق في </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w:t>
      </w:r>
      <w:r w:rsidRPr="00206B59">
        <w:rPr>
          <w:rFonts w:ascii="Simplified Arabic" w:hAnsi="Simplified Arabic" w:cs="Simplified Arabic"/>
          <w:sz w:val="24"/>
          <w:szCs w:val="24"/>
          <w:rtl/>
        </w:rPr>
        <w:t>لقرارات التي يتخذها الخبراء</w:t>
      </w:r>
      <w:r w:rsidRPr="00206B59">
        <w:rPr>
          <w:rFonts w:ascii="Simplified Arabic" w:hAnsi="Simplified Arabic" w:cs="Simplified Arabic" w:hint="cs"/>
          <w:sz w:val="24"/>
          <w:szCs w:val="24"/>
          <w:rtl/>
        </w:rPr>
        <w:t xml:space="preserve"> و</w:t>
      </w:r>
      <w:r w:rsidRPr="00206B59">
        <w:rPr>
          <w:rFonts w:ascii="Simplified Arabic" w:hAnsi="Simplified Arabic" w:cs="Simplified Arabic"/>
          <w:sz w:val="24"/>
          <w:szCs w:val="24"/>
          <w:rtl/>
        </w:rPr>
        <w:t xml:space="preserve">لخلق خيارات وتطوير استراتيجيات فعالة </w:t>
      </w:r>
      <w:r w:rsidRPr="00206B59">
        <w:rPr>
          <w:rFonts w:asciiTheme="majorBidi" w:hAnsiTheme="majorBidi" w:cstheme="majorBidi"/>
          <w:sz w:val="24"/>
          <w:szCs w:val="24"/>
          <w:rtl/>
        </w:rPr>
        <w:t>(</w:t>
      </w:r>
      <w:r w:rsidRPr="00206B59">
        <w:rPr>
          <w:rFonts w:asciiTheme="majorBidi" w:hAnsiTheme="majorBidi" w:cstheme="majorBidi"/>
          <w:sz w:val="24"/>
          <w:szCs w:val="24"/>
        </w:rPr>
        <w:t xml:space="preserve">Kauko </w:t>
      </w:r>
      <w:r w:rsidR="000C7020" w:rsidRPr="00206B59">
        <w:rPr>
          <w:rFonts w:asciiTheme="majorBidi" w:hAnsiTheme="majorBidi" w:cstheme="majorBidi"/>
          <w:sz w:val="24"/>
          <w:szCs w:val="24"/>
        </w:rPr>
        <w:t>&amp;</w:t>
      </w:r>
      <w:r w:rsidRPr="00206B59">
        <w:rPr>
          <w:rFonts w:asciiTheme="majorBidi" w:hAnsiTheme="majorBidi" w:cstheme="majorBidi"/>
          <w:sz w:val="24"/>
          <w:szCs w:val="24"/>
        </w:rPr>
        <w:t xml:space="preserve"> Palmroos, 2014</w:t>
      </w:r>
      <w:r w:rsidRPr="00206B59">
        <w:rPr>
          <w:rFonts w:asciiTheme="majorBidi" w:hAnsiTheme="majorBidi" w:cstheme="majorBidi"/>
          <w:sz w:val="24"/>
          <w:szCs w:val="24"/>
          <w:rtl/>
        </w:rPr>
        <w:t>)</w:t>
      </w:r>
      <w:r w:rsidRPr="00206B59">
        <w:rPr>
          <w:rFonts w:asciiTheme="minorBidi" w:hAnsiTheme="minorBidi" w:cs="Arial"/>
          <w:sz w:val="28"/>
          <w:szCs w:val="28"/>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تطبيق طرق الاجماع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عديد المجالات، مثل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الرعاية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الصحية،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الطب،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التعليم،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الفيزياء، الدراسات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الاقتصادية،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الأعمال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والتجارة</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Fink et al., 1984</w:t>
      </w:r>
      <w:r w:rsidRPr="00206B59">
        <w:rPr>
          <w:rFonts w:asciiTheme="majorBidi" w:hAnsiTheme="majorBidi" w:cstheme="majorBidi"/>
          <w:sz w:val="24"/>
          <w:szCs w:val="24"/>
          <w:rtl/>
        </w:rPr>
        <w:t xml:space="preserve"> </w:t>
      </w:r>
      <w:r w:rsidRPr="00206B59">
        <w:rPr>
          <w:rFonts w:asciiTheme="majorBidi" w:hAnsiTheme="majorBidi" w:cstheme="majorBidi"/>
          <w:sz w:val="24"/>
          <w:szCs w:val="24"/>
        </w:rPr>
        <w:t>Potter et al. 2004 ;</w:t>
      </w:r>
      <w:r w:rsidRPr="00206B59">
        <w:rPr>
          <w:rFonts w:asciiTheme="majorBidi" w:hAnsiTheme="majorBidi" w:cstheme="majorBidi"/>
          <w:sz w:val="24"/>
          <w:szCs w:val="24"/>
          <w:rtl/>
        </w:rPr>
        <w:t>)</w:t>
      </w:r>
      <w:r w:rsidRPr="00206B59">
        <w:rPr>
          <w:rFonts w:asciiTheme="minorBidi" w:hAnsiTheme="minorBidi" w:cs="Arial"/>
          <w:sz w:val="28"/>
          <w:szCs w:val="28"/>
          <w:rtl/>
        </w:rPr>
        <w:t>.</w:t>
      </w:r>
    </w:p>
    <w:p w:rsidR="000B42BD" w:rsidRDefault="000B42BD" w:rsidP="00262316">
      <w:pPr>
        <w:bidi/>
        <w:spacing w:after="0"/>
        <w:ind w:firstLine="282"/>
        <w:jc w:val="both"/>
        <w:rPr>
          <w:rFonts w:ascii="Simplified Arabic" w:hAnsi="Simplified Arabic" w:cs="Simplified Arabic"/>
          <w:sz w:val="24"/>
          <w:szCs w:val="24"/>
          <w:rtl/>
        </w:rPr>
      </w:pPr>
      <w:r w:rsidRPr="00206B59">
        <w:rPr>
          <w:rFonts w:ascii="Simplified Arabic" w:hAnsi="Simplified Arabic" w:cs="Simplified Arabic" w:hint="cs"/>
          <w:sz w:val="24"/>
          <w:szCs w:val="24"/>
          <w:rtl/>
        </w:rPr>
        <w:t>نظرًا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للاهتمام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المتزايد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بالمرونة الحضرية،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فقد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أصبحت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 وصنع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القرار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أكثر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وضوحًا،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استخدمت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لحل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المسائل المرتبطة بالمرونة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تشكل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جزءًا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يتجزأ</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الأبعاد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الرئيسية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الحضرية</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 xml:space="preserve">Rodriquez et al. </w:t>
      </w:r>
      <w:r w:rsidR="00262316" w:rsidRPr="00206B59">
        <w:rPr>
          <w:rFonts w:asciiTheme="majorBidi" w:hAnsiTheme="majorBidi" w:cstheme="majorBidi"/>
          <w:sz w:val="24"/>
          <w:szCs w:val="24"/>
        </w:rPr>
        <w:t>2022</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p>
    <w:p w:rsidR="000B42BD" w:rsidRDefault="000B42BD" w:rsidP="00264FC1">
      <w:pPr>
        <w:pStyle w:val="fegure"/>
        <w:rPr>
          <w:sz w:val="8"/>
          <w:szCs w:val="24"/>
          <w:rtl/>
        </w:rPr>
      </w:pPr>
      <w:bookmarkStart w:id="403" w:name="_Toc157608306"/>
      <w:bookmarkStart w:id="404" w:name="_Toc171803511"/>
      <w:r w:rsidRPr="00264FC1">
        <w:rPr>
          <w:rFonts w:hint="cs"/>
          <w:color w:val="auto"/>
          <w:sz w:val="8"/>
          <w:szCs w:val="24"/>
          <w:rtl/>
        </w:rPr>
        <w:t>الش</w:t>
      </w:r>
      <w:r w:rsidRPr="00264FC1">
        <w:rPr>
          <w:rFonts w:hint="cs"/>
          <w:sz w:val="8"/>
          <w:szCs w:val="24"/>
          <w:rtl/>
          <w:lang w:val="en-US"/>
        </w:rPr>
        <w:t xml:space="preserve">كل </w:t>
      </w:r>
      <w:r w:rsidR="002E7C71" w:rsidRPr="00264FC1">
        <w:rPr>
          <w:rFonts w:hint="cs"/>
          <w:sz w:val="8"/>
          <w:szCs w:val="24"/>
          <w:rtl/>
        </w:rPr>
        <w:t>(3-3)</w:t>
      </w:r>
      <w:r w:rsidRPr="00264FC1">
        <w:rPr>
          <w:rFonts w:hint="cs"/>
          <w:sz w:val="8"/>
          <w:szCs w:val="24"/>
          <w:rtl/>
          <w:lang w:val="en-US"/>
        </w:rPr>
        <w:t xml:space="preserve">: </w:t>
      </w:r>
      <w:r w:rsidR="004357E2" w:rsidRPr="00264FC1">
        <w:rPr>
          <w:rFonts w:hint="cs"/>
          <w:sz w:val="8"/>
          <w:szCs w:val="24"/>
          <w:rtl/>
          <w:lang w:val="en-US"/>
        </w:rPr>
        <w:t>ال</w:t>
      </w:r>
      <w:r w:rsidR="004357E2" w:rsidRPr="00264FC1">
        <w:rPr>
          <w:rFonts w:hint="cs"/>
          <w:color w:val="auto"/>
          <w:sz w:val="8"/>
          <w:szCs w:val="24"/>
          <w:rtl/>
        </w:rPr>
        <w:t>منهجية</w:t>
      </w:r>
      <w:r w:rsidR="004357E2" w:rsidRPr="00264FC1">
        <w:rPr>
          <w:color w:val="auto"/>
          <w:sz w:val="8"/>
          <w:szCs w:val="24"/>
          <w:rtl/>
        </w:rPr>
        <w:t xml:space="preserve"> </w:t>
      </w:r>
      <w:r w:rsidR="004357E2" w:rsidRPr="00264FC1">
        <w:rPr>
          <w:rFonts w:hint="cs"/>
          <w:sz w:val="8"/>
          <w:szCs w:val="24"/>
          <w:rtl/>
          <w:lang w:val="en-US"/>
        </w:rPr>
        <w:t>المتبعة لاطار عمل</w:t>
      </w:r>
      <w:r w:rsidR="004357E2" w:rsidRPr="00264FC1">
        <w:rPr>
          <w:sz w:val="8"/>
          <w:szCs w:val="24"/>
          <w:rtl/>
          <w:lang w:val="en-US"/>
        </w:rPr>
        <w:t xml:space="preserve"> </w:t>
      </w:r>
      <w:r w:rsidR="004357E2" w:rsidRPr="00264FC1">
        <w:rPr>
          <w:sz w:val="8"/>
          <w:szCs w:val="24"/>
          <w:rtl/>
        </w:rPr>
        <w:t xml:space="preserve">تقييم </w:t>
      </w:r>
      <w:r w:rsidR="004357E2" w:rsidRPr="00264FC1">
        <w:rPr>
          <w:rFonts w:hint="cs"/>
          <w:sz w:val="8"/>
          <w:szCs w:val="24"/>
          <w:rtl/>
        </w:rPr>
        <w:t>المرونة</w:t>
      </w:r>
      <w:r w:rsidR="004357E2" w:rsidRPr="00264FC1">
        <w:rPr>
          <w:sz w:val="8"/>
          <w:szCs w:val="24"/>
          <w:rtl/>
        </w:rPr>
        <w:t xml:space="preserve"> الحضرية</w:t>
      </w:r>
      <w:r w:rsidR="004357E2" w:rsidRPr="00264FC1">
        <w:rPr>
          <w:rFonts w:hint="cs"/>
          <w:sz w:val="8"/>
          <w:szCs w:val="24"/>
          <w:rtl/>
        </w:rPr>
        <w:t xml:space="preserve"> </w:t>
      </w:r>
      <w:r w:rsidRPr="00264FC1">
        <w:rPr>
          <w:rFonts w:hint="cs"/>
          <w:sz w:val="8"/>
          <w:szCs w:val="24"/>
          <w:rtl/>
        </w:rPr>
        <w:t>(</w:t>
      </w:r>
      <w:r w:rsidRPr="00264FC1">
        <w:rPr>
          <w:sz w:val="8"/>
          <w:szCs w:val="24"/>
          <w:rtl/>
        </w:rPr>
        <w:t xml:space="preserve">المرحلة </w:t>
      </w:r>
      <w:r w:rsidR="0026579B" w:rsidRPr="00264FC1">
        <w:rPr>
          <w:rFonts w:hint="cs"/>
          <w:sz w:val="8"/>
          <w:szCs w:val="24"/>
          <w:rtl/>
        </w:rPr>
        <w:t>الثانية</w:t>
      </w:r>
      <w:r w:rsidRPr="00264FC1">
        <w:rPr>
          <w:rFonts w:hint="cs"/>
          <w:sz w:val="8"/>
          <w:szCs w:val="24"/>
          <w:rtl/>
        </w:rPr>
        <w:t>)</w:t>
      </w:r>
      <w:bookmarkEnd w:id="403"/>
      <w:bookmarkEnd w:id="404"/>
    </w:p>
    <w:p w:rsidR="00597092" w:rsidRPr="00597092" w:rsidRDefault="00597092" w:rsidP="00597092">
      <w:pPr>
        <w:pStyle w:val="fegure"/>
        <w:rPr>
          <w:sz w:val="8"/>
          <w:szCs w:val="24"/>
          <w:lang w:val="en-US"/>
        </w:rPr>
      </w:pPr>
      <w:bookmarkStart w:id="405" w:name="_Toc171803512"/>
      <w:r>
        <w:rPr>
          <w:rFonts w:hint="cs"/>
          <w:sz w:val="8"/>
          <w:szCs w:val="24"/>
          <w:rtl/>
          <w:lang w:val="en-US"/>
        </w:rPr>
        <w:t>المصدر: (الباحث، 2022)</w:t>
      </w:r>
      <w:bookmarkEnd w:id="405"/>
    </w:p>
    <w:p w:rsidR="006312E6" w:rsidRDefault="006312E6" w:rsidP="00F90BBA">
      <w:pPr>
        <w:tabs>
          <w:tab w:val="right" w:pos="282"/>
        </w:tabs>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00970609" wp14:editId="3CCF3952">
            <wp:extent cx="4602808" cy="2057400"/>
            <wp:effectExtent l="0" t="0" r="7620" b="0"/>
            <wp:docPr id="260"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8">
                      <a:extLst>
                        <a:ext uri="{28A0092B-C50C-407E-A947-70E740481C1C}">
                          <a14:useLocalDpi xmlns:a14="http://schemas.microsoft.com/office/drawing/2010/main" val="0"/>
                        </a:ext>
                      </a:extLst>
                    </a:blip>
                    <a:stretch>
                      <a:fillRect/>
                    </a:stretch>
                  </pic:blipFill>
                  <pic:spPr>
                    <a:xfrm>
                      <a:off x="0" y="0"/>
                      <a:ext cx="4609676" cy="2060470"/>
                    </a:xfrm>
                    <a:prstGeom prst="rect">
                      <a:avLst/>
                    </a:prstGeom>
                  </pic:spPr>
                </pic:pic>
              </a:graphicData>
            </a:graphic>
          </wp:inline>
        </w:drawing>
      </w:r>
    </w:p>
    <w:p w:rsidR="000B42BD" w:rsidRDefault="000B42BD" w:rsidP="000B42BD">
      <w:pPr>
        <w:bidi/>
        <w:spacing w:after="0"/>
        <w:ind w:firstLine="282"/>
        <w:jc w:val="both"/>
        <w:rPr>
          <w:rFonts w:ascii="Simplified Arabic" w:hAnsi="Simplified Arabic" w:cs="Simplified Arabic"/>
          <w:sz w:val="24"/>
          <w:szCs w:val="24"/>
          <w:rtl/>
        </w:rPr>
      </w:pP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يُعترف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تدريجياً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بمؤشرات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كأداة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قوية،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يمكن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تساعد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مُسيّري الشأن الحضري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مثل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المخططين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والمصممين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اتخاذ</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القرارات،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لتعزيز</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القدرات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التخطيط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والاستعداد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للأحداث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التخريبية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واستيعابها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والتعافي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والتكيف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معها</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Sharifi and Yamagata, 2016</w:t>
      </w:r>
      <w:r w:rsidR="00114D83" w:rsidRPr="00206B59">
        <w:rPr>
          <w:rFonts w:asciiTheme="majorBidi" w:hAnsiTheme="majorBidi" w:cstheme="majorBidi"/>
          <w:sz w:val="24"/>
          <w:szCs w:val="24"/>
        </w:rPr>
        <w:t>a</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وجه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الخصوص</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لفهم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مكانة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المدن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حيث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مرونتها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ووضع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استراتيجيات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وخطط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عمل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لإنشاء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مدن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أكثر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مرونة</w:t>
      </w:r>
      <w:r w:rsidRPr="00206B59">
        <w:rPr>
          <w:rFonts w:ascii="Simplified Arabic" w:hAnsi="Simplified Arabic" w:cs="Simplified Arabic"/>
          <w:sz w:val="24"/>
          <w:szCs w:val="24"/>
          <w:rtl/>
        </w:rPr>
        <w:t>.</w:t>
      </w:r>
    </w:p>
    <w:p w:rsidR="000B42BD" w:rsidRPr="007E27BC" w:rsidRDefault="000B42BD" w:rsidP="001D0548">
      <w:pPr>
        <w:pStyle w:val="Default"/>
        <w:numPr>
          <w:ilvl w:val="3"/>
          <w:numId w:val="127"/>
        </w:numPr>
        <w:tabs>
          <w:tab w:val="right" w:pos="992"/>
        </w:tabs>
        <w:bidi/>
        <w:spacing w:before="240" w:line="276" w:lineRule="auto"/>
        <w:ind w:left="0" w:firstLine="0"/>
        <w:jc w:val="both"/>
        <w:outlineLvl w:val="2"/>
        <w:rPr>
          <w:rFonts w:ascii="Simplified Arabic" w:hAnsi="Simplified Arabic" w:cs="Simplified Arabic"/>
          <w:b/>
          <w:bCs/>
        </w:rPr>
      </w:pPr>
      <w:bookmarkStart w:id="406" w:name="_Toc171803513"/>
      <w:r w:rsidRPr="007E27BC">
        <w:rPr>
          <w:rFonts w:ascii="Simplified Arabic" w:hAnsi="Simplified Arabic" w:cs="Simplified Arabic" w:hint="cs"/>
          <w:b/>
          <w:bCs/>
          <w:rtl/>
        </w:rPr>
        <w:t>تقنيات</w:t>
      </w:r>
      <w:r w:rsidRPr="007E27BC">
        <w:rPr>
          <w:rFonts w:ascii="Simplified Arabic" w:hAnsi="Simplified Arabic" w:cs="Simplified Arabic"/>
          <w:b/>
          <w:bCs/>
          <w:rtl/>
        </w:rPr>
        <w:t xml:space="preserve"> </w:t>
      </w:r>
      <w:r w:rsidRPr="007E27BC">
        <w:rPr>
          <w:rFonts w:ascii="Simplified Arabic" w:hAnsi="Simplified Arabic" w:cs="Simplified Arabic" w:hint="cs"/>
          <w:b/>
          <w:bCs/>
          <w:rtl/>
        </w:rPr>
        <w:t>الإجماع</w:t>
      </w:r>
      <w:bookmarkEnd w:id="406"/>
    </w:p>
    <w:p w:rsidR="000B42BD" w:rsidRPr="00352FFD" w:rsidRDefault="000B42BD" w:rsidP="0040455E">
      <w:pPr>
        <w:bidi/>
        <w:spacing w:after="0"/>
        <w:ind w:firstLine="282"/>
        <w:jc w:val="both"/>
        <w:rPr>
          <w:rFonts w:ascii="Simplified Arabic" w:hAnsi="Simplified Arabic" w:cs="Simplified Arabic"/>
          <w:sz w:val="24"/>
          <w:szCs w:val="24"/>
        </w:rPr>
      </w:pP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الرغم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تزايد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استخدام طرق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هناك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نقص</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المعلومات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تطبيقها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0040455E">
        <w:rPr>
          <w:rFonts w:ascii="Simplified Arabic" w:hAnsi="Simplified Arabic" w:cs="Simplified Arabic" w:hint="cs"/>
          <w:sz w:val="24"/>
          <w:szCs w:val="24"/>
          <w:rtl/>
        </w:rPr>
        <w:t>الابحاث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السابقة،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مما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يصعب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العثور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مبررات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تدعم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استخدام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نهج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إضافة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نقص</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المعلومات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 مزايا وعيوب عمليات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هناك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ندرة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البيانات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المتعلقة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بالبنية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والقيود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ومجالات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التطبيق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والأداء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النسبي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لعالم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التنبؤ</w:t>
      </w:r>
      <w:r w:rsidRPr="00206B59">
        <w:rPr>
          <w:rFonts w:ascii="Simplified Arabic" w:hAnsi="Simplified Arabic" w:cs="Simplified Arabic"/>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Fink et al., 1984</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sz w:val="28"/>
          <w:szCs w:val="28"/>
          <w:rtl/>
        </w:rPr>
        <w:t xml:space="preserve"> </w:t>
      </w:r>
      <w:r w:rsidRPr="00206B59">
        <w:rPr>
          <w:rFonts w:ascii="Simplified Arabic" w:hAnsi="Simplified Arabic" w:cs="Simplified Arabic" w:hint="cs"/>
          <w:sz w:val="24"/>
          <w:szCs w:val="24"/>
          <w:rtl/>
        </w:rPr>
        <w:t>مما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يضاعف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الحاجة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نهج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توافق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أمثل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واختيار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عوامل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 الحضرية</w:t>
      </w:r>
      <w:r w:rsidRPr="00206B59">
        <w:rPr>
          <w:rFonts w:ascii="Simplified Arabic" w:hAnsi="Simplified Arabic" w:cs="Simplified Arabic"/>
          <w:sz w:val="24"/>
          <w:szCs w:val="24"/>
          <w:rtl/>
        </w:rPr>
        <w:t>.</w:t>
      </w:r>
    </w:p>
    <w:p w:rsidR="000B42BD" w:rsidRPr="00352FFD" w:rsidRDefault="000B42BD" w:rsidP="00B34260">
      <w:pPr>
        <w:bidi/>
        <w:spacing w:after="0"/>
        <w:ind w:firstLine="282"/>
        <w:jc w:val="both"/>
        <w:rPr>
          <w:rFonts w:ascii="Simplified Arabic" w:hAnsi="Simplified Arabic" w:cs="Simplified Arabic"/>
          <w:sz w:val="24"/>
          <w:szCs w:val="24"/>
        </w:rPr>
      </w:pPr>
      <w:r w:rsidRPr="00352FFD">
        <w:rPr>
          <w:rFonts w:ascii="Simplified Arabic" w:hAnsi="Simplified Arabic" w:cs="Simplified Arabic" w:hint="cs"/>
          <w:sz w:val="24"/>
          <w:szCs w:val="24"/>
          <w:rtl/>
        </w:rPr>
        <w:lastRenderedPageBreak/>
        <w:t>توفر</w:t>
      </w:r>
      <w:r w:rsidRPr="00352FFD">
        <w:rPr>
          <w:rFonts w:ascii="Simplified Arabic" w:hAnsi="Simplified Arabic" w:cs="Simplified Arabic"/>
          <w:sz w:val="24"/>
          <w:szCs w:val="24"/>
          <w:rtl/>
        </w:rPr>
        <w:t xml:space="preserve"> </w:t>
      </w:r>
      <w:r w:rsidR="00B34260">
        <w:rPr>
          <w:rFonts w:ascii="Simplified Arabic" w:hAnsi="Simplified Arabic" w:cs="Simplified Arabic" w:hint="cs"/>
          <w:sz w:val="24"/>
          <w:szCs w:val="24"/>
          <w:rtl/>
        </w:rPr>
        <w:t>مطالعة الابحاث</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لبعض</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طرق</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الإجماع</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الشائعة</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نقطة</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انطلاق</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قائمة</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على</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الأدلة</w:t>
      </w:r>
      <w:r w:rsidRPr="00352FFD">
        <w:rPr>
          <w:rFonts w:ascii="Simplified Arabic" w:hAnsi="Simplified Arabic" w:cs="Simplified Arabic"/>
          <w:sz w:val="24"/>
          <w:szCs w:val="24"/>
          <w:rtl/>
        </w:rPr>
        <w:t xml:space="preserve"> </w:t>
      </w:r>
      <w:r>
        <w:rPr>
          <w:rFonts w:ascii="Simplified Arabic" w:hAnsi="Simplified Arabic" w:cs="Simplified Arabic" w:hint="cs"/>
          <w:sz w:val="24"/>
          <w:szCs w:val="24"/>
          <w:rtl/>
        </w:rPr>
        <w:t>والايضاح للطرق</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الثلاث</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لتقنيات</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إجماع</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اتخاذ</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القرار</w:t>
      </w:r>
      <w:r w:rsidRPr="002E2B6B">
        <w:rPr>
          <w:rFonts w:asciiTheme="minorBidi" w:hAnsiTheme="minorBidi" w:cs="Arial"/>
          <w:sz w:val="28"/>
          <w:szCs w:val="28"/>
          <w:rtl/>
        </w:rPr>
        <w:t xml:space="preserve"> </w:t>
      </w:r>
      <w:r w:rsidRPr="00BE22BA">
        <w:rPr>
          <w:rFonts w:asciiTheme="majorBidi" w:hAnsiTheme="majorBidi" w:cstheme="majorBidi"/>
          <w:sz w:val="24"/>
          <w:szCs w:val="24"/>
          <w:rtl/>
        </w:rPr>
        <w:t>(</w:t>
      </w:r>
      <w:r w:rsidRPr="00206B59">
        <w:rPr>
          <w:rFonts w:asciiTheme="majorBidi" w:hAnsiTheme="majorBidi" w:cstheme="majorBidi"/>
          <w:sz w:val="24"/>
          <w:szCs w:val="24"/>
        </w:rPr>
        <w:t>Raine</w:t>
      </w:r>
      <w:r w:rsidRPr="00BE22BA">
        <w:rPr>
          <w:rFonts w:asciiTheme="majorBidi" w:hAnsiTheme="majorBidi" w:cstheme="majorBidi"/>
          <w:sz w:val="24"/>
          <w:szCs w:val="24"/>
        </w:rPr>
        <w:t xml:space="preserve"> et al</w:t>
      </w:r>
      <w:r w:rsidRPr="00D238B7">
        <w:rPr>
          <w:rFonts w:asciiTheme="majorBidi" w:hAnsiTheme="majorBidi" w:cstheme="majorBidi"/>
          <w:sz w:val="24"/>
          <w:szCs w:val="24"/>
        </w:rPr>
        <w:t>.</w:t>
      </w:r>
      <w:r>
        <w:rPr>
          <w:rFonts w:asciiTheme="majorBidi" w:hAnsiTheme="majorBidi" w:cstheme="majorBidi"/>
          <w:sz w:val="24"/>
          <w:szCs w:val="24"/>
        </w:rPr>
        <w:t>,</w:t>
      </w:r>
      <w:r w:rsidRPr="00D238B7">
        <w:rPr>
          <w:rFonts w:asciiTheme="majorBidi" w:hAnsiTheme="majorBidi" w:cstheme="majorBidi"/>
          <w:sz w:val="24"/>
          <w:szCs w:val="24"/>
        </w:rPr>
        <w:t xml:space="preserve"> </w:t>
      </w:r>
      <w:r w:rsidRPr="00BE22BA">
        <w:rPr>
          <w:rFonts w:asciiTheme="majorBidi" w:hAnsiTheme="majorBidi" w:cstheme="majorBidi"/>
          <w:sz w:val="24"/>
          <w:szCs w:val="24"/>
        </w:rPr>
        <w:t>2014</w:t>
      </w:r>
      <w:r w:rsidRPr="00BE22BA">
        <w:rPr>
          <w:rFonts w:asciiTheme="majorBidi" w:hAnsiTheme="majorBidi" w:cstheme="majorBidi"/>
          <w:sz w:val="24"/>
          <w:szCs w:val="24"/>
          <w:rtl/>
        </w:rPr>
        <w:t>)</w:t>
      </w:r>
      <w:r w:rsidRPr="002E2B6B">
        <w:rPr>
          <w:rFonts w:asciiTheme="minorBidi" w:hAnsiTheme="minorBidi" w:cs="Arial"/>
          <w:sz w:val="28"/>
          <w:szCs w:val="28"/>
          <w:rtl/>
        </w:rPr>
        <w:t xml:space="preserve"> </w:t>
      </w:r>
      <w:r w:rsidRPr="00352FFD">
        <w:rPr>
          <w:rFonts w:ascii="Simplified Arabic" w:hAnsi="Simplified Arabic" w:cs="Simplified Arabic" w:hint="cs"/>
          <w:sz w:val="24"/>
          <w:szCs w:val="24"/>
          <w:rtl/>
        </w:rPr>
        <w:t>على</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النحو</w:t>
      </w:r>
      <w:r w:rsidRPr="00352FFD">
        <w:rPr>
          <w:rFonts w:ascii="Simplified Arabic" w:hAnsi="Simplified Arabic" w:cs="Simplified Arabic"/>
          <w:sz w:val="24"/>
          <w:szCs w:val="24"/>
          <w:rtl/>
        </w:rPr>
        <w:t xml:space="preserve"> </w:t>
      </w:r>
      <w:r w:rsidRPr="00352FFD">
        <w:rPr>
          <w:rFonts w:ascii="Simplified Arabic" w:hAnsi="Simplified Arabic" w:cs="Simplified Arabic" w:hint="cs"/>
          <w:sz w:val="24"/>
          <w:szCs w:val="24"/>
          <w:rtl/>
        </w:rPr>
        <w:t>التالي</w:t>
      </w:r>
      <w:r w:rsidRPr="00352FFD">
        <w:rPr>
          <w:rFonts w:ascii="Simplified Arabic" w:hAnsi="Simplified Arabic" w:cs="Simplified Arabic"/>
          <w:sz w:val="24"/>
          <w:szCs w:val="24"/>
          <w:rtl/>
        </w:rPr>
        <w:t>:</w:t>
      </w:r>
    </w:p>
    <w:p w:rsidR="000B42BD" w:rsidRPr="000357DC" w:rsidRDefault="000B42BD" w:rsidP="001D0548">
      <w:pPr>
        <w:pStyle w:val="Paragraphedeliste"/>
        <w:numPr>
          <w:ilvl w:val="1"/>
          <w:numId w:val="128"/>
        </w:numPr>
        <w:tabs>
          <w:tab w:val="right" w:pos="850"/>
        </w:tabs>
        <w:bidi/>
        <w:spacing w:after="0"/>
        <w:ind w:left="0" w:firstLine="567"/>
        <w:jc w:val="both"/>
        <w:rPr>
          <w:rFonts w:ascii="Simplified Arabic" w:hAnsi="Simplified Arabic" w:cs="Simplified Arabic"/>
          <w:sz w:val="24"/>
          <w:szCs w:val="24"/>
          <w:rtl/>
        </w:rPr>
      </w:pPr>
      <w:r w:rsidRPr="000357DC">
        <w:rPr>
          <w:rFonts w:ascii="Simplified Arabic" w:hAnsi="Simplified Arabic" w:cs="Simplified Arabic" w:hint="cs"/>
          <w:b/>
          <w:bCs/>
          <w:sz w:val="24"/>
          <w:szCs w:val="24"/>
          <w:rtl/>
        </w:rPr>
        <w:t>الاستبيانات</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القائمة</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على</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الإجماع</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الاستبيان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وسيلة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للتواصل</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بين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فئات</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طلائع المجتمع</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لاستطلاع</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مقترحاتهم</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وأفكارهم</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والتوصل</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إلى</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قرار</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جماعي</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طريقة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دلفي</w:t>
      </w:r>
      <w:r w:rsidRPr="000357DC">
        <w:rPr>
          <w:rFonts w:ascii="Simplified Arabic" w:hAnsi="Simplified Arabic" w:cs="Simplified Arabic"/>
          <w:sz w:val="24"/>
          <w:szCs w:val="24"/>
          <w:rtl/>
        </w:rPr>
        <w:t xml:space="preserve"> </w:t>
      </w:r>
      <w:r w:rsidRPr="000357DC">
        <w:rPr>
          <w:rFonts w:asciiTheme="majorBidi" w:hAnsiTheme="majorBidi" w:cstheme="majorBidi"/>
          <w:sz w:val="24"/>
          <w:szCs w:val="24"/>
          <w:rtl/>
        </w:rPr>
        <w:t>(</w:t>
      </w:r>
      <w:r w:rsidRPr="000357DC">
        <w:rPr>
          <w:rFonts w:asciiTheme="majorBidi" w:hAnsiTheme="majorBidi" w:cstheme="majorBidi"/>
          <w:sz w:val="24"/>
          <w:szCs w:val="24"/>
        </w:rPr>
        <w:t>Delphi</w:t>
      </w:r>
      <w:r w:rsidRPr="000357DC">
        <w:rPr>
          <w:rFonts w:asciiTheme="majorBidi" w:hAnsiTheme="majorBidi" w:cstheme="majorBidi"/>
          <w:sz w:val="24"/>
          <w:szCs w:val="24"/>
          <w:rtl/>
        </w:rPr>
        <w:t>)</w:t>
      </w:r>
      <w:r w:rsidRPr="000357DC">
        <w:rPr>
          <w:rFonts w:ascii="Simplified Arabic" w:hAnsi="Simplified Arabic" w:cs="Simplified Arabic" w:hint="cs"/>
          <w:sz w:val="24"/>
          <w:szCs w:val="24"/>
          <w:rtl/>
        </w:rPr>
        <w:t xml:space="preserve"> تقنية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واسعة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الانتشار،</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تم</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تطبيقها</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في</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مختلف المجالات،</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لا</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تتطلب</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الطريقة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أي</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لقاء</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وجهاً</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لوجه</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بين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المشاركين</w:t>
      </w:r>
      <w:r w:rsidRPr="000357DC">
        <w:rPr>
          <w:rFonts w:ascii="Simplified Arabic" w:hAnsi="Simplified Arabic" w:cs="Simplified Arabic"/>
          <w:sz w:val="24"/>
          <w:szCs w:val="24"/>
          <w:rtl/>
        </w:rPr>
        <w:t>.</w:t>
      </w:r>
    </w:p>
    <w:p w:rsidR="000B42BD" w:rsidRPr="000357DC" w:rsidRDefault="000B42BD" w:rsidP="001D0548">
      <w:pPr>
        <w:pStyle w:val="Paragraphedeliste"/>
        <w:numPr>
          <w:ilvl w:val="1"/>
          <w:numId w:val="128"/>
        </w:numPr>
        <w:tabs>
          <w:tab w:val="right" w:pos="850"/>
        </w:tabs>
        <w:bidi/>
        <w:spacing w:after="0"/>
        <w:ind w:left="0" w:firstLine="567"/>
        <w:jc w:val="both"/>
        <w:rPr>
          <w:rFonts w:ascii="Simplified Arabic" w:hAnsi="Simplified Arabic" w:cs="Simplified Arabic"/>
          <w:sz w:val="24"/>
          <w:szCs w:val="24"/>
        </w:rPr>
      </w:pPr>
      <w:r w:rsidRPr="000357DC">
        <w:rPr>
          <w:rFonts w:ascii="Simplified Arabic" w:hAnsi="Simplified Arabic" w:cs="Simplified Arabic" w:hint="cs"/>
          <w:b/>
          <w:bCs/>
          <w:sz w:val="24"/>
          <w:szCs w:val="24"/>
          <w:rtl/>
        </w:rPr>
        <w:t>اجتماعات</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المجموعة</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القائمة</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على</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الإجماع</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توفر</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اجتماعات</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المجموعة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الرسمية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بأحجام</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مختلفة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الفرصة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لفريق</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الخبراء</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لتوليد</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الأفكار</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ومناقشتها</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وجهاً</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لوجه</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والتوصل</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إلى</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توافق</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في</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الآراء</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تحتوي</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هذه</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الفئة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على</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العديد</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التقنيات</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مثل،</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اجتماعات</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العصف</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الذهني</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ومجموعات</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التركيز</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وتقنية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المجموعة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الاسمية</w:t>
      </w:r>
      <w:r w:rsidRPr="000357DC">
        <w:rPr>
          <w:rFonts w:asciiTheme="minorBidi" w:hAnsiTheme="minorBidi" w:cs="Arial"/>
          <w:sz w:val="28"/>
          <w:szCs w:val="28"/>
          <w:rtl/>
        </w:rPr>
        <w:t xml:space="preserve"> </w:t>
      </w:r>
      <w:r w:rsidRPr="000357DC">
        <w:rPr>
          <w:rFonts w:asciiTheme="majorBidi" w:hAnsiTheme="majorBidi" w:cstheme="majorBidi"/>
          <w:sz w:val="24"/>
          <w:szCs w:val="24"/>
          <w:rtl/>
        </w:rPr>
        <w:t>(</w:t>
      </w:r>
      <w:r w:rsidRPr="000357DC">
        <w:rPr>
          <w:rFonts w:asciiTheme="majorBidi" w:hAnsiTheme="majorBidi" w:cstheme="majorBidi"/>
          <w:sz w:val="24"/>
          <w:szCs w:val="24"/>
        </w:rPr>
        <w:t>NGT</w:t>
      </w:r>
      <w:r w:rsidRPr="000357DC">
        <w:rPr>
          <w:rFonts w:asciiTheme="majorBidi" w:hAnsiTheme="majorBidi" w:cstheme="majorBidi"/>
          <w:sz w:val="24"/>
          <w:szCs w:val="24"/>
          <w:rtl/>
        </w:rPr>
        <w:t>)</w:t>
      </w:r>
      <w:r w:rsidRPr="000357DC">
        <w:rPr>
          <w:rFonts w:ascii="Simplified Arabic" w:hAnsi="Simplified Arabic" w:cs="Simplified Arabic"/>
          <w:sz w:val="24"/>
          <w:szCs w:val="24"/>
          <w:rtl/>
        </w:rPr>
        <w:t>.</w:t>
      </w:r>
      <w:r w:rsidRPr="000357DC">
        <w:rPr>
          <w:rFonts w:asciiTheme="minorBidi" w:hAnsiTheme="minorBidi" w:cs="Arial"/>
          <w:sz w:val="28"/>
          <w:szCs w:val="28"/>
          <w:rtl/>
        </w:rPr>
        <w:t xml:space="preserve"> </w:t>
      </w:r>
    </w:p>
    <w:p w:rsidR="000B42BD" w:rsidRPr="000357DC" w:rsidRDefault="000B42BD" w:rsidP="001D0548">
      <w:pPr>
        <w:pStyle w:val="Paragraphedeliste"/>
        <w:numPr>
          <w:ilvl w:val="1"/>
          <w:numId w:val="128"/>
        </w:numPr>
        <w:tabs>
          <w:tab w:val="right" w:pos="850"/>
        </w:tabs>
        <w:bidi/>
        <w:spacing w:after="0"/>
        <w:ind w:left="0" w:firstLine="567"/>
        <w:jc w:val="both"/>
        <w:rPr>
          <w:rFonts w:ascii="Simplified Arabic" w:hAnsi="Simplified Arabic" w:cs="Simplified Arabic"/>
          <w:sz w:val="24"/>
          <w:szCs w:val="24"/>
        </w:rPr>
      </w:pPr>
      <w:r w:rsidRPr="000357DC">
        <w:rPr>
          <w:rFonts w:ascii="Simplified Arabic" w:hAnsi="Simplified Arabic" w:cs="Simplified Arabic" w:hint="cs"/>
          <w:b/>
          <w:bCs/>
          <w:sz w:val="24"/>
          <w:szCs w:val="24"/>
          <w:rtl/>
        </w:rPr>
        <w:t>تجميع</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البيانات</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القائمة</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على</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الإجماع</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واجتماعات</w:t>
      </w:r>
      <w:r w:rsidRPr="000357DC">
        <w:rPr>
          <w:rFonts w:ascii="Simplified Arabic" w:hAnsi="Simplified Arabic" w:cs="Simplified Arabic"/>
          <w:b/>
          <w:bCs/>
          <w:sz w:val="24"/>
          <w:szCs w:val="24"/>
          <w:rtl/>
        </w:rPr>
        <w:t xml:space="preserve"> </w:t>
      </w:r>
      <w:r w:rsidRPr="000357DC">
        <w:rPr>
          <w:rFonts w:ascii="Simplified Arabic" w:hAnsi="Simplified Arabic" w:cs="Simplified Arabic" w:hint="cs"/>
          <w:b/>
          <w:bCs/>
          <w:sz w:val="24"/>
          <w:szCs w:val="24"/>
          <w:rtl/>
        </w:rPr>
        <w:t>المجموعات</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تم</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تطوير</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هذه</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الأساليب</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خلال</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الجمع</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بين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نهج</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الاستبيان</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مع</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أحكام</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الخبراء</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الجماعية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تُعد</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طريقة</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ملاءمة</w:t>
      </w:r>
      <w:r w:rsidRPr="000357DC">
        <w:rPr>
          <w:rFonts w:asciiTheme="minorBidi" w:hAnsiTheme="minorBidi" w:cs="Arial"/>
          <w:sz w:val="28"/>
          <w:szCs w:val="28"/>
          <w:rtl/>
        </w:rPr>
        <w:t xml:space="preserve"> </w:t>
      </w:r>
      <w:r w:rsidRPr="000357DC">
        <w:rPr>
          <w:rFonts w:ascii="Simplified Arabic" w:hAnsi="Simplified Arabic" w:cs="Simplified Arabic" w:hint="cs"/>
          <w:sz w:val="24"/>
          <w:szCs w:val="24"/>
          <w:rtl/>
        </w:rPr>
        <w:t>المؤسسة</w:t>
      </w:r>
      <w:r w:rsidRPr="000357DC">
        <w:rPr>
          <w:rFonts w:asciiTheme="minorBidi" w:hAnsiTheme="minorBidi" w:cs="Arial"/>
          <w:sz w:val="28"/>
          <w:szCs w:val="28"/>
          <w:rtl/>
        </w:rPr>
        <w:t xml:space="preserve"> </w:t>
      </w:r>
      <w:r w:rsidRPr="000357DC">
        <w:rPr>
          <w:rFonts w:asciiTheme="majorBidi" w:hAnsiTheme="majorBidi" w:cstheme="majorBidi"/>
          <w:sz w:val="24"/>
          <w:szCs w:val="24"/>
          <w:rtl/>
        </w:rPr>
        <w:t>(</w:t>
      </w:r>
      <w:r w:rsidRPr="000357DC">
        <w:rPr>
          <w:rFonts w:asciiTheme="majorBidi" w:hAnsiTheme="majorBidi" w:cstheme="majorBidi"/>
          <w:sz w:val="24"/>
          <w:szCs w:val="24"/>
        </w:rPr>
        <w:t>RAND / UCLA</w:t>
      </w:r>
      <w:r w:rsidRPr="000357DC">
        <w:rPr>
          <w:rFonts w:asciiTheme="majorBidi" w:hAnsiTheme="majorBidi" w:cstheme="majorBidi"/>
          <w:sz w:val="24"/>
          <w:szCs w:val="24"/>
          <w:rtl/>
        </w:rPr>
        <w:t>)</w:t>
      </w:r>
      <w:r w:rsidRPr="000357DC">
        <w:rPr>
          <w:rFonts w:asciiTheme="minorBidi" w:hAnsiTheme="minorBidi" w:cs="Arial"/>
          <w:sz w:val="28"/>
          <w:szCs w:val="28"/>
          <w:rtl/>
        </w:rPr>
        <w:t xml:space="preserve"> </w:t>
      </w:r>
      <w:r w:rsidRPr="000357DC">
        <w:rPr>
          <w:rFonts w:ascii="Simplified Arabic" w:hAnsi="Simplified Arabic" w:cs="Simplified Arabic" w:hint="cs"/>
          <w:sz w:val="24"/>
          <w:szCs w:val="24"/>
          <w:rtl/>
        </w:rPr>
        <w:t>أحد</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أهم</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الأساليب</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في</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هذه</w:t>
      </w:r>
      <w:r w:rsidRPr="000357DC">
        <w:rPr>
          <w:rFonts w:ascii="Simplified Arabic" w:hAnsi="Simplified Arabic" w:cs="Simplified Arabic"/>
          <w:sz w:val="24"/>
          <w:szCs w:val="24"/>
          <w:rtl/>
        </w:rPr>
        <w:t xml:space="preserve"> </w:t>
      </w:r>
      <w:r w:rsidRPr="000357DC">
        <w:rPr>
          <w:rFonts w:ascii="Simplified Arabic" w:hAnsi="Simplified Arabic" w:cs="Simplified Arabic" w:hint="cs"/>
          <w:sz w:val="24"/>
          <w:szCs w:val="24"/>
          <w:rtl/>
        </w:rPr>
        <w:t>الفئة</w:t>
      </w:r>
      <w:r w:rsidRPr="000357DC">
        <w:rPr>
          <w:rFonts w:ascii="Simplified Arabic" w:hAnsi="Simplified Arabic" w:cs="Simplified Arabic"/>
          <w:sz w:val="24"/>
          <w:szCs w:val="24"/>
          <w:rtl/>
        </w:rPr>
        <w:t>.</w:t>
      </w:r>
    </w:p>
    <w:p w:rsidR="000B42BD" w:rsidRPr="003E6F86" w:rsidRDefault="000B42BD" w:rsidP="001D0548">
      <w:pPr>
        <w:pStyle w:val="Default"/>
        <w:numPr>
          <w:ilvl w:val="3"/>
          <w:numId w:val="129"/>
        </w:numPr>
        <w:tabs>
          <w:tab w:val="right" w:pos="992"/>
        </w:tabs>
        <w:bidi/>
        <w:spacing w:before="240" w:line="276" w:lineRule="auto"/>
        <w:ind w:left="0" w:firstLine="0"/>
        <w:jc w:val="both"/>
        <w:outlineLvl w:val="2"/>
        <w:rPr>
          <w:rFonts w:ascii="Simplified Arabic" w:hAnsi="Simplified Arabic" w:cs="Simplified Arabic"/>
          <w:b/>
          <w:bCs/>
        </w:rPr>
      </w:pPr>
      <w:bookmarkStart w:id="407" w:name="_Toc171803514"/>
      <w:r w:rsidRPr="003E6F86">
        <w:rPr>
          <w:rFonts w:ascii="Simplified Arabic" w:hAnsi="Simplified Arabic" w:cs="Simplified Arabic" w:hint="cs"/>
          <w:b/>
          <w:bCs/>
          <w:rtl/>
        </w:rPr>
        <w:t>نظرة</w:t>
      </w:r>
      <w:r w:rsidRPr="003E6F86">
        <w:rPr>
          <w:rFonts w:ascii="Simplified Arabic" w:hAnsi="Simplified Arabic" w:cs="Simplified Arabic"/>
          <w:b/>
          <w:bCs/>
          <w:rtl/>
        </w:rPr>
        <w:t xml:space="preserve"> </w:t>
      </w:r>
      <w:r w:rsidRPr="003E6F86">
        <w:rPr>
          <w:rFonts w:ascii="Simplified Arabic" w:hAnsi="Simplified Arabic" w:cs="Simplified Arabic" w:hint="cs"/>
          <w:b/>
          <w:bCs/>
          <w:rtl/>
        </w:rPr>
        <w:t>عامة</w:t>
      </w:r>
      <w:r w:rsidRPr="003E6F86">
        <w:rPr>
          <w:rFonts w:ascii="Simplified Arabic" w:hAnsi="Simplified Arabic" w:cs="Simplified Arabic"/>
          <w:b/>
          <w:bCs/>
          <w:rtl/>
        </w:rPr>
        <w:t xml:space="preserve"> </w:t>
      </w:r>
      <w:r w:rsidRPr="003E6F86">
        <w:rPr>
          <w:rFonts w:ascii="Simplified Arabic" w:hAnsi="Simplified Arabic" w:cs="Simplified Arabic" w:hint="cs"/>
          <w:b/>
          <w:bCs/>
          <w:rtl/>
        </w:rPr>
        <w:t>على</w:t>
      </w:r>
      <w:r w:rsidRPr="003E6F86">
        <w:rPr>
          <w:rFonts w:ascii="Simplified Arabic" w:hAnsi="Simplified Arabic" w:cs="Simplified Arabic"/>
          <w:b/>
          <w:bCs/>
          <w:rtl/>
        </w:rPr>
        <w:t xml:space="preserve"> </w:t>
      </w:r>
      <w:r w:rsidRPr="003E6F86">
        <w:rPr>
          <w:rFonts w:ascii="Simplified Arabic" w:hAnsi="Simplified Arabic" w:cs="Simplified Arabic" w:hint="cs"/>
          <w:b/>
          <w:bCs/>
          <w:rtl/>
        </w:rPr>
        <w:t>تقنيات</w:t>
      </w:r>
      <w:r w:rsidRPr="003E6F86">
        <w:rPr>
          <w:rFonts w:ascii="Simplified Arabic" w:hAnsi="Simplified Arabic" w:cs="Simplified Arabic"/>
          <w:b/>
          <w:bCs/>
          <w:rtl/>
        </w:rPr>
        <w:t xml:space="preserve"> </w:t>
      </w:r>
      <w:r w:rsidRPr="003E6F86">
        <w:rPr>
          <w:rFonts w:ascii="Simplified Arabic" w:hAnsi="Simplified Arabic" w:cs="Simplified Arabic" w:hint="cs"/>
          <w:b/>
          <w:bCs/>
          <w:rtl/>
        </w:rPr>
        <w:t>الإجماع</w:t>
      </w:r>
      <w:bookmarkEnd w:id="407"/>
      <w:r w:rsidRPr="003E6F86">
        <w:rPr>
          <w:rFonts w:ascii="Simplified Arabic" w:hAnsi="Simplified Arabic" w:cs="Simplified Arabic"/>
          <w:b/>
          <w:bCs/>
          <w:rtl/>
        </w:rPr>
        <w:t xml:space="preserve"> </w:t>
      </w:r>
    </w:p>
    <w:p w:rsidR="000B42BD" w:rsidRPr="003E6F86" w:rsidRDefault="000B42BD" w:rsidP="00B34260">
      <w:pPr>
        <w:bidi/>
        <w:spacing w:after="0"/>
        <w:ind w:firstLine="282"/>
        <w:jc w:val="both"/>
        <w:rPr>
          <w:rFonts w:asciiTheme="minorBidi" w:hAnsiTheme="minorBidi"/>
          <w:sz w:val="28"/>
          <w:szCs w:val="28"/>
        </w:rPr>
      </w:pPr>
      <w:r w:rsidRPr="00206B59">
        <w:rPr>
          <w:rFonts w:ascii="Simplified Arabic" w:hAnsi="Simplified Arabic" w:cs="Simplified Arabic" w:hint="cs"/>
          <w:sz w:val="24"/>
          <w:szCs w:val="24"/>
          <w:rtl/>
        </w:rPr>
        <w:t xml:space="preserve">تم اجراء </w:t>
      </w:r>
      <w:r w:rsidR="00B34260">
        <w:rPr>
          <w:rFonts w:ascii="Simplified Arabic" w:hAnsi="Simplified Arabic" w:cs="Simplified Arabic" w:hint="cs"/>
          <w:sz w:val="24"/>
          <w:szCs w:val="24"/>
          <w:rtl/>
        </w:rPr>
        <w:t xml:space="preserve">الاطلاع على </w:t>
      </w:r>
      <w:r w:rsidRPr="00206B59">
        <w:rPr>
          <w:rFonts w:ascii="Simplified Arabic" w:hAnsi="Simplified Arabic" w:cs="Simplified Arabic" w:hint="cs"/>
          <w:sz w:val="24"/>
          <w:szCs w:val="24"/>
          <w:rtl/>
        </w:rPr>
        <w:t>ثلاث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رسمية وهي: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تقنية دلفي</w:t>
      </w:r>
      <w:r w:rsidRPr="00206B59">
        <w:rPr>
          <w:rFonts w:ascii="Simplified Arabic" w:hAnsi="Simplified Arabic" w:cs="Simplified Arabic" w:hint="cs"/>
          <w:sz w:val="24"/>
          <w:szCs w:val="24"/>
          <w:rtl/>
          <w:lang w:bidi="ar-DZ"/>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Delphi</w:t>
      </w:r>
      <w:r w:rsidRPr="00206B59">
        <w:rPr>
          <w:rFonts w:asciiTheme="majorBidi" w:hAnsiTheme="majorBidi" w:cstheme="majorBidi"/>
          <w:sz w:val="24"/>
          <w:szCs w:val="24"/>
          <w:rtl/>
        </w:rPr>
        <w:t>)</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تقنية المجموعة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الاسمية</w:t>
      </w:r>
      <w:r w:rsidRPr="00206B59">
        <w:rPr>
          <w:rFonts w:ascii="Simplified Arabic" w:hAnsi="Simplified Arabic" w:cs="Simplified Arabic"/>
          <w:sz w:val="24"/>
          <w:szCs w:val="24"/>
          <w:rtl/>
        </w:rPr>
        <w:t xml:space="preserve"> </w:t>
      </w:r>
      <w:r w:rsidRPr="00206B59">
        <w:rPr>
          <w:rFonts w:asciiTheme="minorBidi" w:hAnsiTheme="minorBidi" w:cs="Arial"/>
          <w:sz w:val="28"/>
          <w:szCs w:val="28"/>
          <w:rtl/>
        </w:rPr>
        <w:t>(</w:t>
      </w:r>
      <w:r w:rsidRPr="00206B59">
        <w:rPr>
          <w:rFonts w:asciiTheme="majorBidi" w:hAnsiTheme="majorBidi" w:cstheme="majorBidi"/>
          <w:sz w:val="24"/>
          <w:szCs w:val="24"/>
        </w:rPr>
        <w:t>NGT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ملائمة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المؤسسة</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RAND / UCLA</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Theme="minorBidi" w:hAnsiTheme="minorBidi" w:cs="Arial"/>
          <w:sz w:val="28"/>
          <w:szCs w:val="28"/>
          <w:rtl/>
        </w:rPr>
        <w:t xml:space="preserve"> </w:t>
      </w:r>
      <w:r w:rsidRPr="00206B59">
        <w:rPr>
          <w:rFonts w:ascii="Simplified Arabic" w:hAnsi="Simplified Arabic" w:cs="Simplified Arabic" w:hint="cs"/>
          <w:sz w:val="24"/>
          <w:szCs w:val="24"/>
          <w:rtl/>
        </w:rPr>
        <w:t>تركز</w:t>
      </w:r>
      <w:r w:rsidRPr="00206B59">
        <w:rPr>
          <w:rFonts w:ascii="Simplified Arabic" w:hAnsi="Simplified Arabic" w:cs="Simplified Arabic"/>
          <w:sz w:val="24"/>
          <w:szCs w:val="24"/>
          <w:rtl/>
        </w:rPr>
        <w:t xml:space="preserve"> </w:t>
      </w:r>
      <w:r w:rsidR="00B34260">
        <w:rPr>
          <w:rFonts w:ascii="Simplified Arabic" w:hAnsi="Simplified Arabic" w:cs="Simplified Arabic" w:hint="cs"/>
          <w:sz w:val="24"/>
          <w:szCs w:val="24"/>
          <w:rtl/>
        </w:rPr>
        <w:t>المطالعة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منهجية كل 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ذكر المزايا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والعيوب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النسبية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لكل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اختيار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هذه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التقنيات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نظرًا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لتطبيقها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المكثف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00B34260">
        <w:rPr>
          <w:rFonts w:ascii="Simplified Arabic" w:hAnsi="Simplified Arabic" w:cs="Simplified Arabic" w:hint="cs"/>
          <w:sz w:val="24"/>
          <w:szCs w:val="24"/>
          <w:rtl/>
        </w:rPr>
        <w:t>الابحاث</w:t>
      </w:r>
      <w:r w:rsidRPr="00206B59">
        <w:rPr>
          <w:rFonts w:ascii="Simplified Arabic" w:hAnsi="Simplified Arabic" w:cs="Simplified Arabic" w:hint="cs"/>
          <w:sz w:val="24"/>
          <w:szCs w:val="24"/>
          <w:rtl/>
        </w:rPr>
        <w:t xml:space="preserve"> لتحديد العوامل التي تستخدم لتقييم </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الحضرية </w:t>
      </w:r>
      <w:r w:rsidRPr="00206B59">
        <w:rPr>
          <w:rFonts w:asciiTheme="majorBidi" w:hAnsiTheme="majorBidi" w:cstheme="majorBidi"/>
          <w:sz w:val="24"/>
          <w:szCs w:val="24"/>
          <w:rtl/>
        </w:rPr>
        <w:t>(</w:t>
      </w:r>
      <w:r w:rsidR="00262316" w:rsidRPr="00206B59">
        <w:rPr>
          <w:rFonts w:asciiTheme="majorBidi" w:hAnsiTheme="majorBidi" w:cstheme="majorBidi"/>
          <w:sz w:val="24"/>
          <w:szCs w:val="24"/>
        </w:rPr>
        <w:t xml:space="preserve">Cerè et al., 2019 ; Pei et al., 2019; </w:t>
      </w:r>
      <w:r w:rsidRPr="00206B59">
        <w:rPr>
          <w:rFonts w:asciiTheme="majorBidi" w:hAnsiTheme="majorBidi" w:cstheme="majorBidi"/>
          <w:sz w:val="24"/>
          <w:szCs w:val="24"/>
        </w:rPr>
        <w:t xml:space="preserve">Rodriquez et al., </w:t>
      </w:r>
      <w:r w:rsidR="00262316" w:rsidRPr="00206B59">
        <w:rPr>
          <w:rFonts w:asciiTheme="majorBidi" w:hAnsiTheme="majorBidi" w:cstheme="majorBidi"/>
          <w:sz w:val="24"/>
          <w:szCs w:val="24"/>
        </w:rPr>
        <w:t>2022</w:t>
      </w:r>
      <w:r w:rsidRPr="00206B59">
        <w:rPr>
          <w:rFonts w:asciiTheme="majorBidi" w:hAnsiTheme="majorBidi" w:cstheme="majorBidi"/>
          <w:sz w:val="24"/>
          <w:szCs w:val="24"/>
          <w:rtl/>
        </w:rPr>
        <w:t>)</w:t>
      </w:r>
      <w:r w:rsidRPr="00206B59">
        <w:rPr>
          <w:rFonts w:ascii="Simplified Arabic" w:hAnsi="Simplified Arabic" w:cs="Simplified Arabic" w:hint="cs"/>
          <w:sz w:val="24"/>
          <w:szCs w:val="24"/>
          <w:rtl/>
        </w:rPr>
        <w:t xml:space="preserve"> </w:t>
      </w:r>
      <w:r w:rsidRPr="00206B59">
        <w:rPr>
          <w:rFonts w:asciiTheme="majorBidi" w:hAnsiTheme="majorBidi" w:cstheme="majorBidi"/>
          <w:sz w:val="24"/>
          <w:szCs w:val="24"/>
        </w:rPr>
        <w:t> </w:t>
      </w:r>
      <w:r w:rsidRPr="00206B59">
        <w:rPr>
          <w:rFonts w:asciiTheme="majorBidi" w:hAnsiTheme="majorBidi" w:cstheme="majorBidi" w:hint="cs"/>
          <w:sz w:val="24"/>
          <w:szCs w:val="24"/>
          <w:rtl/>
        </w:rPr>
        <w:t xml:space="preserve"> </w:t>
      </w:r>
    </w:p>
    <w:p w:rsidR="000B42BD" w:rsidRPr="000357DC" w:rsidRDefault="000B42BD" w:rsidP="001D0548">
      <w:pPr>
        <w:pStyle w:val="Paragraphedeliste"/>
        <w:numPr>
          <w:ilvl w:val="0"/>
          <w:numId w:val="210"/>
        </w:numPr>
        <w:tabs>
          <w:tab w:val="right" w:pos="1134"/>
        </w:tabs>
        <w:bidi/>
        <w:spacing w:after="0"/>
        <w:ind w:left="0" w:firstLine="992"/>
        <w:jc w:val="both"/>
        <w:outlineLvl w:val="3"/>
        <w:rPr>
          <w:rFonts w:ascii="Simplified Arabic" w:hAnsi="Simplified Arabic" w:cs="Simplified Arabic"/>
          <w:b/>
          <w:bCs/>
          <w:sz w:val="24"/>
          <w:szCs w:val="24"/>
        </w:rPr>
      </w:pPr>
      <w:r w:rsidRPr="000357DC">
        <w:rPr>
          <w:rFonts w:ascii="Simplified Arabic" w:hAnsi="Simplified Arabic" w:cs="Simplified Arabic"/>
          <w:b/>
          <w:bCs/>
          <w:sz w:val="24"/>
          <w:szCs w:val="24"/>
          <w:rtl/>
        </w:rPr>
        <w:t>تقنية دلفي</w:t>
      </w:r>
      <w:r w:rsidRPr="000357DC">
        <w:rPr>
          <w:rFonts w:ascii="Simplified Arabic" w:hAnsi="Simplified Arabic" w:cs="Simplified Arabic" w:hint="cs"/>
          <w:b/>
          <w:bCs/>
          <w:sz w:val="24"/>
          <w:szCs w:val="24"/>
          <w:rtl/>
        </w:rPr>
        <w:t xml:space="preserve"> </w:t>
      </w:r>
      <w:r w:rsidRPr="000357DC">
        <w:rPr>
          <w:rFonts w:asciiTheme="majorBidi" w:hAnsiTheme="majorBidi" w:cstheme="majorBidi"/>
          <w:b/>
          <w:bCs/>
          <w:color w:val="000000"/>
          <w:sz w:val="24"/>
          <w:szCs w:val="24"/>
          <w:rtl/>
        </w:rPr>
        <w:t>(</w:t>
      </w:r>
      <w:r w:rsidRPr="000357DC">
        <w:rPr>
          <w:rFonts w:asciiTheme="majorBidi" w:hAnsiTheme="majorBidi" w:cstheme="majorBidi"/>
          <w:b/>
          <w:bCs/>
          <w:color w:val="000000"/>
          <w:sz w:val="24"/>
          <w:szCs w:val="24"/>
        </w:rPr>
        <w:t>Delphi</w:t>
      </w:r>
      <w:r w:rsidRPr="000357DC">
        <w:rPr>
          <w:rFonts w:asciiTheme="majorBidi" w:hAnsiTheme="majorBidi" w:cstheme="majorBidi"/>
          <w:b/>
          <w:bCs/>
          <w:color w:val="000000"/>
          <w:sz w:val="24"/>
          <w:szCs w:val="24"/>
          <w:rtl/>
        </w:rPr>
        <w:t>)</w:t>
      </w:r>
      <w:r w:rsidRPr="000357DC">
        <w:rPr>
          <w:rFonts w:ascii="Simplified Arabic" w:hAnsi="Simplified Arabic" w:cs="Simplified Arabic"/>
          <w:b/>
          <w:bCs/>
          <w:sz w:val="24"/>
          <w:szCs w:val="24"/>
        </w:rPr>
        <w:t xml:space="preserve"> </w:t>
      </w:r>
    </w:p>
    <w:p w:rsidR="000B42BD" w:rsidRDefault="000B42BD" w:rsidP="000B42BD">
      <w:pPr>
        <w:bidi/>
        <w:spacing w:after="0"/>
        <w:ind w:firstLine="282"/>
        <w:jc w:val="both"/>
        <w:rPr>
          <w:rFonts w:ascii="Simplified Arabic" w:hAnsi="Simplified Arabic" w:cs="Simplified Arabic"/>
          <w:sz w:val="24"/>
          <w:szCs w:val="24"/>
          <w:rtl/>
        </w:rPr>
      </w:pP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تطوير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 من قبل أولاف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هيلمر </w:t>
      </w:r>
      <w:r w:rsidRPr="00206B59">
        <w:rPr>
          <w:rFonts w:asciiTheme="majorBidi" w:hAnsiTheme="majorBidi" w:cstheme="majorBidi" w:hint="cs"/>
          <w:sz w:val="24"/>
          <w:szCs w:val="24"/>
          <w:rtl/>
        </w:rPr>
        <w:t>(</w:t>
      </w:r>
      <w:r w:rsidRPr="00206B59">
        <w:rPr>
          <w:rFonts w:asciiTheme="majorBidi" w:hAnsiTheme="majorBidi" w:cstheme="majorBidi"/>
          <w:sz w:val="24"/>
          <w:szCs w:val="24"/>
        </w:rPr>
        <w:t>Olaf Helmer</w:t>
      </w:r>
      <w:r w:rsidRPr="00206B59">
        <w:rPr>
          <w:rFonts w:asciiTheme="majorBidi" w:hAnsiTheme="majorBidi" w:cstheme="majorBidi" w:hint="cs"/>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1950</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العامل 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مؤسسة</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Pr>
        <w:t>RAND</w:t>
      </w:r>
      <w:r w:rsidRPr="00206B59">
        <w:rPr>
          <w:rFonts w:asciiTheme="majorBidi" w:hAnsiTheme="majorBidi" w:cstheme="majorBidi" w:hint="cs"/>
          <w:sz w:val="24"/>
          <w:szCs w:val="24"/>
          <w:rtl/>
        </w:rPr>
        <w:t xml:space="preserve"> </w:t>
      </w:r>
      <w:r w:rsidRPr="00206B59">
        <w:rPr>
          <w:rFonts w:asciiTheme="majorBidi" w:hAnsiTheme="majorBidi" w:cs="Times New Roman"/>
          <w:sz w:val="24"/>
          <w:szCs w:val="24"/>
          <w:rtl/>
        </w:rPr>
        <w:t>(</w:t>
      </w:r>
      <w:r w:rsidRPr="00206B59">
        <w:rPr>
          <w:rFonts w:asciiTheme="majorBidi" w:hAnsiTheme="majorBidi" w:cstheme="majorBidi"/>
          <w:sz w:val="24"/>
          <w:szCs w:val="24"/>
        </w:rPr>
        <w:t>from Santa Monica, CA, USA</w:t>
      </w:r>
      <w:r w:rsidRPr="00206B59">
        <w:rPr>
          <w:rFonts w:asciiTheme="majorBidi" w:hAnsiTheme="majorBidi" w:cs="Times New Roman"/>
          <w:sz w:val="24"/>
          <w:szCs w:val="24"/>
          <w:rtl/>
        </w:rPr>
        <w:t>)</w:t>
      </w:r>
      <w:r w:rsidRPr="00206B59">
        <w:rPr>
          <w:rFonts w:asciiTheme="majorBidi" w:hAnsiTheme="majorBidi" w:cs="Times New Roman" w:hint="cs"/>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تقديمها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عامة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الناس</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الستينيات </w:t>
      </w:r>
      <w:r w:rsidRPr="00206B59">
        <w:rPr>
          <w:rFonts w:asciiTheme="majorBidi" w:hAnsiTheme="majorBidi" w:cstheme="majorBidi"/>
          <w:sz w:val="24"/>
          <w:szCs w:val="24"/>
        </w:rPr>
        <w:t>(Okoli &amp; Pawlowski, 2004)</w:t>
      </w:r>
      <w:r w:rsidRPr="00206B59">
        <w:rPr>
          <w:rFonts w:asciiTheme="majorBidi" w:hAnsiTheme="majorBidi" w:cstheme="majorBidi" w:hint="cs"/>
          <w:sz w:val="24"/>
          <w:szCs w:val="24"/>
          <w:rtl/>
        </w:rPr>
        <w:t xml:space="preserve"> </w:t>
      </w:r>
      <w:r w:rsidRPr="00206B59">
        <w:rPr>
          <w:rFonts w:ascii="Simplified Arabic" w:hAnsi="Simplified Arabic" w:cs="Simplified Arabic" w:hint="cs"/>
          <w:sz w:val="24"/>
          <w:szCs w:val="24"/>
          <w:rtl/>
        </w:rPr>
        <w:t>كطريقة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لبناء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موثوق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موضوع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منهجية</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الهدف منها تسليط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الضوء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تقارب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الآراء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موضوع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محدد للوصول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خلال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الاستبيانات</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Dalkey &amp; Helmer, 1963</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w:t>
      </w:r>
    </w:p>
    <w:p w:rsidR="000B42BD" w:rsidRPr="002E2B6B" w:rsidRDefault="000B42BD" w:rsidP="003A7C73">
      <w:pPr>
        <w:bidi/>
        <w:spacing w:after="0"/>
        <w:ind w:firstLine="282"/>
        <w:jc w:val="both"/>
        <w:rPr>
          <w:rFonts w:asciiTheme="minorBidi" w:hAnsiTheme="minorBidi"/>
          <w:sz w:val="28"/>
          <w:szCs w:val="28"/>
        </w:rPr>
      </w:pPr>
      <w:r>
        <w:rPr>
          <w:rFonts w:ascii="Simplified Arabic" w:hAnsi="Simplified Arabic" w:cs="Simplified Arabic" w:hint="cs"/>
          <w:sz w:val="24"/>
          <w:szCs w:val="24"/>
          <w:rtl/>
        </w:rPr>
        <w:t xml:space="preserve">يوجد اكثر من نموذج لاستخدام تقنية دلفي: نموذج دلفي السياسات، نموذج مؤتمر دلفي، نموذج دلفي القرارات، اضافة الى </w:t>
      </w:r>
      <w:r w:rsidRPr="00A8038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نموذج دلفي التقليدي الاكثر شيوعا، كل النماذج تعتمد على استبيان استقرائي، </w:t>
      </w:r>
      <w:r w:rsidRPr="00A8038F">
        <w:rPr>
          <w:rFonts w:ascii="Simplified Arabic" w:hAnsi="Simplified Arabic" w:cs="Simplified Arabic" w:hint="cs"/>
          <w:sz w:val="24"/>
          <w:szCs w:val="24"/>
          <w:rtl/>
        </w:rPr>
        <w:t>يتم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تطبيقه</w:t>
      </w:r>
      <w:r>
        <w:rPr>
          <w:rFonts w:ascii="Simplified Arabic" w:hAnsi="Simplified Arabic" w:cs="Simplified Arabic" w:hint="cs"/>
          <w:sz w:val="24"/>
          <w:szCs w:val="24"/>
          <w:rtl/>
        </w:rPr>
        <w:t>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خلال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إجراء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جولات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متتالية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الاستبيانات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لجمع</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البيانات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بناءً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على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التعليقات</w:t>
      </w:r>
      <w:r w:rsidRPr="00BD0B36">
        <w:rPr>
          <w:rFonts w:ascii="Simplified Arabic" w:hAnsi="Simplified Arabic" w:cs="Simplified Arabic"/>
          <w:sz w:val="24"/>
          <w:szCs w:val="24"/>
          <w:rtl/>
        </w:rPr>
        <w:t>.</w:t>
      </w:r>
    </w:p>
    <w:p w:rsidR="000B42BD" w:rsidRDefault="000B42BD" w:rsidP="000B42BD">
      <w:pPr>
        <w:bidi/>
        <w:spacing w:after="0"/>
        <w:ind w:firstLine="282"/>
        <w:jc w:val="both"/>
        <w:rPr>
          <w:rFonts w:ascii="Simplified Arabic" w:hAnsi="Simplified Arabic" w:cs="Simplified Arabic"/>
          <w:sz w:val="24"/>
          <w:szCs w:val="24"/>
          <w:rtl/>
        </w:rPr>
      </w:pPr>
      <w:r w:rsidRPr="00A8038F">
        <w:rPr>
          <w:rFonts w:ascii="Simplified Arabic" w:hAnsi="Simplified Arabic" w:cs="Simplified Arabic" w:hint="cs"/>
          <w:sz w:val="24"/>
          <w:szCs w:val="24"/>
          <w:rtl/>
        </w:rPr>
        <w:t>تتضمن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تقنية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دلفي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توزيع</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سلسلة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الاستبيانات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على</w:t>
      </w:r>
      <w:r w:rsidRPr="00A8038F">
        <w:rPr>
          <w:rFonts w:ascii="Simplified Arabic" w:hAnsi="Simplified Arabic" w:cs="Simplified Arabic"/>
          <w:sz w:val="24"/>
          <w:szCs w:val="24"/>
          <w:rtl/>
        </w:rPr>
        <w:t xml:space="preserve"> </w:t>
      </w:r>
      <w:r>
        <w:rPr>
          <w:rFonts w:ascii="Simplified Arabic" w:hAnsi="Simplified Arabic" w:cs="Simplified Arabic" w:hint="cs"/>
          <w:sz w:val="24"/>
          <w:szCs w:val="24"/>
          <w:rtl/>
        </w:rPr>
        <w:t>مجموعة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الخبراء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بعد</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كل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جولة،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يقدم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المسؤول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ملخصًا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مجهولاً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لأحكام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الخبراء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ويطلب</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الخبراء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مراجعة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ردودهم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السابقة</w:t>
      </w:r>
      <w:r w:rsidRPr="00A8038F">
        <w:rPr>
          <w:rFonts w:ascii="Simplified Arabic" w:hAnsi="Simplified Arabic" w:cs="Simplified Arabic"/>
          <w:sz w:val="24"/>
          <w:szCs w:val="24"/>
          <w:rtl/>
        </w:rPr>
        <w:t xml:space="preserve"> </w:t>
      </w:r>
      <w:r>
        <w:rPr>
          <w:rFonts w:ascii="Simplified Arabic" w:hAnsi="Simplified Arabic" w:cs="Simplified Arabic" w:hint="cs"/>
          <w:sz w:val="24"/>
          <w:szCs w:val="24"/>
          <w:rtl/>
        </w:rPr>
        <w:t>على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ضوء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ردود</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المشاركين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الآخرين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تستمر</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هذه</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العملية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حتى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يتم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التوصل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إلى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توافق</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في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الآراء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بشأن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المشكلة</w:t>
      </w:r>
      <w:r w:rsidRPr="00A8038F">
        <w:rPr>
          <w:rFonts w:ascii="Simplified Arabic" w:hAnsi="Simplified Arabic" w:cs="Simplified Arabic"/>
          <w:sz w:val="24"/>
          <w:szCs w:val="24"/>
          <w:rtl/>
        </w:rPr>
        <w:t xml:space="preserve">. </w:t>
      </w:r>
    </w:p>
    <w:p w:rsidR="000B42BD" w:rsidRPr="00A8038F" w:rsidRDefault="000B42BD" w:rsidP="000B42BD">
      <w:pPr>
        <w:bidi/>
        <w:spacing w:after="0"/>
        <w:ind w:firstLine="282"/>
        <w:jc w:val="both"/>
        <w:rPr>
          <w:rFonts w:ascii="Simplified Arabic" w:hAnsi="Simplified Arabic" w:cs="Simplified Arabic"/>
          <w:sz w:val="24"/>
          <w:szCs w:val="24"/>
        </w:rPr>
      </w:pPr>
      <w:r w:rsidRPr="00206B59">
        <w:rPr>
          <w:rFonts w:ascii="Simplified Arabic" w:hAnsi="Simplified Arabic" w:cs="Simplified Arabic" w:hint="cs"/>
          <w:sz w:val="24"/>
          <w:szCs w:val="24"/>
          <w:rtl/>
        </w:rPr>
        <w:t>تتميز</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بأربع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ميزات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أساسية</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Hsu and Sandford, 2007</w:t>
      </w:r>
      <w:r w:rsidRPr="00206B59">
        <w:rPr>
          <w:rFonts w:asciiTheme="majorBidi" w:hAnsiTheme="majorBidi" w:cstheme="majorBidi"/>
          <w:sz w:val="24"/>
          <w:szCs w:val="24"/>
          <w:rtl/>
        </w:rPr>
        <w:t>)</w:t>
      </w:r>
      <w:r w:rsidRPr="00206B59">
        <w:rPr>
          <w:rFonts w:asciiTheme="minorBidi" w:hAnsiTheme="minorBidi" w:cs="Arial"/>
          <w:sz w:val="28"/>
          <w:szCs w:val="28"/>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النحو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التالي</w:t>
      </w:r>
      <w:r w:rsidRPr="00206B59">
        <w:rPr>
          <w:rFonts w:ascii="Simplified Arabic" w:hAnsi="Simplified Arabic" w:cs="Simplified Arabic"/>
          <w:sz w:val="24"/>
          <w:szCs w:val="24"/>
          <w:rtl/>
        </w:rPr>
        <w:t>:</w:t>
      </w:r>
    </w:p>
    <w:p w:rsidR="000B42BD" w:rsidRPr="000D5E6D" w:rsidRDefault="000B42BD" w:rsidP="001D0548">
      <w:pPr>
        <w:pStyle w:val="Paragraphedeliste"/>
        <w:numPr>
          <w:ilvl w:val="0"/>
          <w:numId w:val="29"/>
        </w:numPr>
        <w:tabs>
          <w:tab w:val="right" w:pos="282"/>
        </w:tabs>
        <w:bidi/>
        <w:spacing w:after="0"/>
        <w:ind w:left="-1" w:firstLine="0"/>
        <w:jc w:val="both"/>
        <w:rPr>
          <w:rFonts w:ascii="Simplified Arabic" w:hAnsi="Simplified Arabic" w:cs="Simplified Arabic"/>
          <w:sz w:val="24"/>
          <w:szCs w:val="24"/>
        </w:rPr>
      </w:pPr>
      <w:r w:rsidRPr="000D5E6D">
        <w:rPr>
          <w:rFonts w:ascii="Simplified Arabic" w:hAnsi="Simplified Arabic" w:cs="Simplified Arabic" w:hint="cs"/>
          <w:b/>
          <w:bCs/>
          <w:sz w:val="24"/>
          <w:szCs w:val="24"/>
          <w:rtl/>
        </w:rPr>
        <w:t>تكرار</w:t>
      </w:r>
      <w:r w:rsidRPr="000D5E6D">
        <w:rPr>
          <w:rFonts w:ascii="Simplified Arabic" w:hAnsi="Simplified Arabic" w:cs="Simplified Arabic"/>
          <w:b/>
          <w:bCs/>
          <w:sz w:val="24"/>
          <w:szCs w:val="24"/>
          <w:rtl/>
        </w:rPr>
        <w:t xml:space="preserve"> </w:t>
      </w:r>
      <w:r w:rsidRPr="000D5E6D">
        <w:rPr>
          <w:rFonts w:ascii="Simplified Arabic" w:hAnsi="Simplified Arabic" w:cs="Simplified Arabic" w:hint="cs"/>
          <w:b/>
          <w:bCs/>
          <w:sz w:val="24"/>
          <w:szCs w:val="24"/>
          <w:rtl/>
        </w:rPr>
        <w:t>الجولات</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تقنية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دلفي</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هي</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عملية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متعددة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المراحل</w:t>
      </w:r>
      <w:r>
        <w:rPr>
          <w:rFonts w:ascii="Simplified Arabic" w:hAnsi="Simplified Arabic" w:cs="Simplified Arabic" w:hint="cs"/>
          <w:sz w:val="24"/>
          <w:szCs w:val="24"/>
          <w:rtl/>
        </w:rPr>
        <w:t>،</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تتطلب</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مواصلة المشاركة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في</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أكثر</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من</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جولة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واحدة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يسمح</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هذا</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التطبيق</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التكراري</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للمشاركين</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بمراقبة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ردود</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الخبراء</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الآخرين</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لمراجعة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قراراتهم</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وإعطاء</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نظرة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ثاقبة</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وتفاصيل</w:t>
      </w:r>
      <w:r w:rsidRPr="000D5E6D">
        <w:rPr>
          <w:rFonts w:ascii="Simplified Arabic" w:hAnsi="Simplified Arabic" w:cs="Simplified Arabic"/>
          <w:sz w:val="24"/>
          <w:szCs w:val="24"/>
          <w:rtl/>
        </w:rPr>
        <w:t xml:space="preserve"> </w:t>
      </w:r>
      <w:r w:rsidRPr="000D5E6D">
        <w:rPr>
          <w:rFonts w:ascii="Simplified Arabic" w:hAnsi="Simplified Arabic" w:cs="Simplified Arabic" w:hint="cs"/>
          <w:sz w:val="24"/>
          <w:szCs w:val="24"/>
          <w:rtl/>
        </w:rPr>
        <w:t>إضافية</w:t>
      </w:r>
      <w:r w:rsidRPr="000D5E6D">
        <w:rPr>
          <w:rFonts w:ascii="Simplified Arabic" w:hAnsi="Simplified Arabic" w:cs="Simplified Arabic"/>
          <w:sz w:val="24"/>
          <w:szCs w:val="24"/>
          <w:rtl/>
        </w:rPr>
        <w:t>.</w:t>
      </w:r>
    </w:p>
    <w:p w:rsidR="000B42BD" w:rsidRPr="00A8038F" w:rsidRDefault="000B42BD" w:rsidP="001D0548">
      <w:pPr>
        <w:pStyle w:val="Paragraphedeliste"/>
        <w:numPr>
          <w:ilvl w:val="0"/>
          <w:numId w:val="29"/>
        </w:numPr>
        <w:tabs>
          <w:tab w:val="right" w:pos="282"/>
        </w:tabs>
        <w:bidi/>
        <w:spacing w:after="0"/>
        <w:ind w:left="-1" w:firstLine="0"/>
        <w:jc w:val="both"/>
        <w:rPr>
          <w:rFonts w:ascii="Simplified Arabic" w:hAnsi="Simplified Arabic" w:cs="Simplified Arabic"/>
          <w:sz w:val="24"/>
          <w:szCs w:val="24"/>
        </w:rPr>
      </w:pPr>
      <w:r w:rsidRPr="000D5E6D">
        <w:rPr>
          <w:rFonts w:ascii="Simplified Arabic" w:hAnsi="Simplified Arabic" w:cs="Simplified Arabic" w:hint="cs"/>
          <w:b/>
          <w:bCs/>
          <w:sz w:val="24"/>
          <w:szCs w:val="24"/>
          <w:rtl/>
        </w:rPr>
        <w:lastRenderedPageBreak/>
        <w:t>عدم</w:t>
      </w:r>
      <w:r w:rsidRPr="000D5E6D">
        <w:rPr>
          <w:rFonts w:ascii="Simplified Arabic" w:hAnsi="Simplified Arabic" w:cs="Simplified Arabic"/>
          <w:b/>
          <w:bCs/>
          <w:sz w:val="24"/>
          <w:szCs w:val="24"/>
          <w:rtl/>
        </w:rPr>
        <w:t xml:space="preserve"> </w:t>
      </w:r>
      <w:r w:rsidRPr="000D5E6D">
        <w:rPr>
          <w:rFonts w:ascii="Simplified Arabic" w:hAnsi="Simplified Arabic" w:cs="Simplified Arabic" w:hint="cs"/>
          <w:b/>
          <w:bCs/>
          <w:sz w:val="24"/>
          <w:szCs w:val="24"/>
          <w:rtl/>
        </w:rPr>
        <w:t>الكشف</w:t>
      </w:r>
      <w:r w:rsidRPr="000D5E6D">
        <w:rPr>
          <w:rFonts w:ascii="Simplified Arabic" w:hAnsi="Simplified Arabic" w:cs="Simplified Arabic"/>
          <w:b/>
          <w:bCs/>
          <w:sz w:val="24"/>
          <w:szCs w:val="24"/>
          <w:rtl/>
        </w:rPr>
        <w:t xml:space="preserve"> </w:t>
      </w:r>
      <w:r w:rsidRPr="000D5E6D">
        <w:rPr>
          <w:rFonts w:ascii="Simplified Arabic" w:hAnsi="Simplified Arabic" w:cs="Simplified Arabic" w:hint="cs"/>
          <w:b/>
          <w:bCs/>
          <w:sz w:val="24"/>
          <w:szCs w:val="24"/>
          <w:rtl/>
        </w:rPr>
        <w:t>عن</w:t>
      </w:r>
      <w:r w:rsidRPr="000D5E6D">
        <w:rPr>
          <w:rFonts w:ascii="Simplified Arabic" w:hAnsi="Simplified Arabic" w:cs="Simplified Arabic"/>
          <w:b/>
          <w:bCs/>
          <w:sz w:val="24"/>
          <w:szCs w:val="24"/>
          <w:rtl/>
        </w:rPr>
        <w:t xml:space="preserve"> </w:t>
      </w:r>
      <w:r w:rsidRPr="000D5E6D">
        <w:rPr>
          <w:rFonts w:ascii="Simplified Arabic" w:hAnsi="Simplified Arabic" w:cs="Simplified Arabic" w:hint="cs"/>
          <w:b/>
          <w:bCs/>
          <w:sz w:val="24"/>
          <w:szCs w:val="24"/>
          <w:rtl/>
        </w:rPr>
        <w:t>هويته</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يجب</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أن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يحافظ</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منظم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تقنية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دلفي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على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عدم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الكشف</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هويته خلال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العملية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للقضاء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على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تأثير</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المنصب</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والطبيعة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المهيمنة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اجتماعيًا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لبعض</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الخبراء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بهذه</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الطريقة،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يمكن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للخبراء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التعبير</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آرائهم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بحرية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دون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أي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تأثير</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الآخرين</w:t>
      </w:r>
      <w:r w:rsidRPr="00A8038F">
        <w:rPr>
          <w:rFonts w:ascii="Simplified Arabic" w:hAnsi="Simplified Arabic" w:cs="Simplified Arabic"/>
          <w:sz w:val="24"/>
          <w:szCs w:val="24"/>
          <w:rtl/>
        </w:rPr>
        <w:t>.</w:t>
      </w:r>
    </w:p>
    <w:p w:rsidR="000B42BD" w:rsidRPr="00A8038F" w:rsidRDefault="000B42BD" w:rsidP="001D0548">
      <w:pPr>
        <w:pStyle w:val="Paragraphedeliste"/>
        <w:numPr>
          <w:ilvl w:val="0"/>
          <w:numId w:val="29"/>
        </w:numPr>
        <w:tabs>
          <w:tab w:val="right" w:pos="282"/>
        </w:tabs>
        <w:bidi/>
        <w:spacing w:after="0"/>
        <w:ind w:left="-1" w:firstLine="0"/>
        <w:jc w:val="both"/>
        <w:rPr>
          <w:rFonts w:ascii="Simplified Arabic" w:hAnsi="Simplified Arabic" w:cs="Simplified Arabic"/>
          <w:sz w:val="24"/>
          <w:szCs w:val="24"/>
        </w:rPr>
      </w:pPr>
      <w:r w:rsidRPr="000D5E6D">
        <w:rPr>
          <w:rFonts w:ascii="Simplified Arabic" w:hAnsi="Simplified Arabic" w:cs="Simplified Arabic" w:hint="cs"/>
          <w:b/>
          <w:bCs/>
          <w:sz w:val="24"/>
          <w:szCs w:val="24"/>
          <w:rtl/>
        </w:rPr>
        <w:t>التغذية</w:t>
      </w:r>
      <w:r w:rsidRPr="000D5E6D">
        <w:rPr>
          <w:rFonts w:ascii="Simplified Arabic" w:hAnsi="Simplified Arabic" w:cs="Simplified Arabic"/>
          <w:b/>
          <w:bCs/>
          <w:sz w:val="24"/>
          <w:szCs w:val="24"/>
          <w:rtl/>
        </w:rPr>
        <w:t xml:space="preserve"> </w:t>
      </w:r>
      <w:r w:rsidRPr="000D5E6D">
        <w:rPr>
          <w:rFonts w:ascii="Simplified Arabic" w:hAnsi="Simplified Arabic" w:cs="Simplified Arabic" w:hint="cs"/>
          <w:b/>
          <w:bCs/>
          <w:sz w:val="24"/>
          <w:szCs w:val="24"/>
          <w:rtl/>
        </w:rPr>
        <w:t>المرتدة</w:t>
      </w:r>
      <w:r w:rsidRPr="000D5E6D">
        <w:rPr>
          <w:rFonts w:ascii="Simplified Arabic" w:hAnsi="Simplified Arabic" w:cs="Simplified Arabic"/>
          <w:b/>
          <w:bCs/>
          <w:sz w:val="24"/>
          <w:szCs w:val="24"/>
          <w:rtl/>
        </w:rPr>
        <w:t xml:space="preserve"> </w:t>
      </w:r>
      <w:r w:rsidRPr="000D5E6D">
        <w:rPr>
          <w:rFonts w:ascii="Simplified Arabic" w:hAnsi="Simplified Arabic" w:cs="Simplified Arabic" w:hint="cs"/>
          <w:b/>
          <w:bCs/>
          <w:sz w:val="24"/>
          <w:szCs w:val="24"/>
          <w:rtl/>
        </w:rPr>
        <w:t>المراقبة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يخضع</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تبادل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البيانات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بين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الخبراء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للمراقبة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وال</w:t>
      </w:r>
      <w:r>
        <w:rPr>
          <w:rFonts w:ascii="Simplified Arabic" w:hAnsi="Simplified Arabic" w:cs="Simplified Arabic" w:hint="cs"/>
          <w:sz w:val="24"/>
          <w:szCs w:val="24"/>
          <w:rtl/>
        </w:rPr>
        <w:t>غ</w:t>
      </w:r>
      <w:r w:rsidRPr="00A8038F">
        <w:rPr>
          <w:rFonts w:ascii="Simplified Arabic" w:hAnsi="Simplified Arabic" w:cs="Simplified Arabic" w:hint="cs"/>
          <w:sz w:val="24"/>
          <w:szCs w:val="24"/>
          <w:rtl/>
        </w:rPr>
        <w:t>ر</w:t>
      </w:r>
      <w:r>
        <w:rPr>
          <w:rFonts w:ascii="Simplified Arabic" w:hAnsi="Simplified Arabic" w:cs="Simplified Arabic" w:hint="cs"/>
          <w:sz w:val="24"/>
          <w:szCs w:val="24"/>
          <w:rtl/>
        </w:rPr>
        <w:t>بلة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يتلقى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مسؤول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دلفي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أحكام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الخبراء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بعد</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كل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جولة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ويقوم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بإجراء</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التحليل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ذي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الصلة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للتحضير</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للجولة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التالية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هذه</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العملية</w:t>
      </w:r>
      <w:r w:rsidRPr="00A8038F">
        <w:rPr>
          <w:rFonts w:ascii="Simplified Arabic" w:hAnsi="Simplified Arabic" w:cs="Simplified Arabic"/>
          <w:sz w:val="24"/>
          <w:szCs w:val="24"/>
          <w:rtl/>
        </w:rPr>
        <w:t xml:space="preserve"> </w:t>
      </w:r>
      <w:r>
        <w:rPr>
          <w:rFonts w:ascii="Simplified Arabic" w:hAnsi="Simplified Arabic" w:cs="Simplified Arabic" w:hint="cs"/>
          <w:sz w:val="24"/>
          <w:szCs w:val="24"/>
          <w:rtl/>
        </w:rPr>
        <w:t>تتحاشى</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النقاش</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الشخصي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وتسهل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الانتقال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السلس</w:t>
      </w:r>
      <w:r w:rsidRPr="00A8038F">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A8038F">
        <w:rPr>
          <w:rFonts w:ascii="Simplified Arabic" w:hAnsi="Simplified Arabic" w:cs="Simplified Arabic" w:hint="cs"/>
          <w:sz w:val="24"/>
          <w:szCs w:val="24"/>
          <w:rtl/>
        </w:rPr>
        <w:t>لجولة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التالية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الأسئلة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يتم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استخدام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الاتصالات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الإلكترونية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لتسهيل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عملية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تبادل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المعلومات،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مما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يجعلها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فعالة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حيث</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الوقت واقتصادية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حيث</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التكلفة</w:t>
      </w:r>
      <w:r w:rsidRPr="00A8038F">
        <w:rPr>
          <w:rFonts w:ascii="Simplified Arabic" w:hAnsi="Simplified Arabic" w:cs="Simplified Arabic"/>
          <w:sz w:val="24"/>
          <w:szCs w:val="24"/>
          <w:rtl/>
        </w:rPr>
        <w:t>.</w:t>
      </w:r>
    </w:p>
    <w:p w:rsidR="000B42BD" w:rsidRPr="005F2F83" w:rsidRDefault="000B42BD" w:rsidP="001D0548">
      <w:pPr>
        <w:pStyle w:val="Paragraphedeliste"/>
        <w:numPr>
          <w:ilvl w:val="0"/>
          <w:numId w:val="29"/>
        </w:numPr>
        <w:tabs>
          <w:tab w:val="right" w:pos="282"/>
          <w:tab w:val="right" w:pos="424"/>
        </w:tabs>
        <w:bidi/>
        <w:spacing w:after="0"/>
        <w:ind w:left="-1" w:firstLine="0"/>
        <w:jc w:val="both"/>
        <w:rPr>
          <w:rFonts w:asciiTheme="minorBidi" w:hAnsiTheme="minorBidi" w:cs="Arial"/>
          <w:sz w:val="28"/>
          <w:szCs w:val="28"/>
        </w:rPr>
      </w:pPr>
      <w:r w:rsidRPr="005F2F83">
        <w:rPr>
          <w:rFonts w:ascii="Simplified Arabic" w:hAnsi="Simplified Arabic" w:cs="Simplified Arabic" w:hint="cs"/>
          <w:b/>
          <w:bCs/>
          <w:sz w:val="24"/>
          <w:szCs w:val="24"/>
          <w:rtl/>
        </w:rPr>
        <w:t>الاتفاق</w:t>
      </w:r>
      <w:r w:rsidRPr="005F2F83">
        <w:rPr>
          <w:rFonts w:ascii="Simplified Arabic" w:hAnsi="Simplified Arabic" w:cs="Simplified Arabic"/>
          <w:b/>
          <w:bCs/>
          <w:sz w:val="24"/>
          <w:szCs w:val="24"/>
          <w:rtl/>
        </w:rPr>
        <w:t xml:space="preserve"> </w:t>
      </w:r>
      <w:r w:rsidRPr="005F2F83">
        <w:rPr>
          <w:rFonts w:ascii="Simplified Arabic" w:hAnsi="Simplified Arabic" w:cs="Simplified Arabic" w:hint="cs"/>
          <w:b/>
          <w:bCs/>
          <w:sz w:val="24"/>
          <w:szCs w:val="24"/>
          <w:rtl/>
        </w:rPr>
        <w:t>الإحصائي</w:t>
      </w:r>
      <w:r w:rsidRPr="005F2F83">
        <w:rPr>
          <w:rFonts w:ascii="Simplified Arabic" w:hAnsi="Simplified Arabic" w:cs="Simplified Arabic"/>
          <w:b/>
          <w:bCs/>
          <w:sz w:val="24"/>
          <w:szCs w:val="24"/>
          <w:rtl/>
        </w:rPr>
        <w:t xml:space="preserve"> </w:t>
      </w:r>
      <w:r w:rsidRPr="005F2F83">
        <w:rPr>
          <w:rFonts w:ascii="Simplified Arabic" w:hAnsi="Simplified Arabic" w:cs="Simplified Arabic" w:hint="cs"/>
          <w:b/>
          <w:bCs/>
          <w:sz w:val="24"/>
          <w:szCs w:val="24"/>
          <w:rtl/>
        </w:rPr>
        <w:t>لاستجابة</w:t>
      </w:r>
      <w:r w:rsidRPr="005F2F83">
        <w:rPr>
          <w:rFonts w:ascii="Simplified Arabic" w:hAnsi="Simplified Arabic" w:cs="Simplified Arabic"/>
          <w:b/>
          <w:bCs/>
          <w:sz w:val="24"/>
          <w:szCs w:val="24"/>
          <w:rtl/>
        </w:rPr>
        <w:t xml:space="preserve"> </w:t>
      </w:r>
      <w:r w:rsidRPr="005F2F83">
        <w:rPr>
          <w:rFonts w:ascii="Simplified Arabic" w:hAnsi="Simplified Arabic" w:cs="Simplified Arabic" w:hint="cs"/>
          <w:b/>
          <w:bCs/>
          <w:sz w:val="24"/>
          <w:szCs w:val="24"/>
          <w:rtl/>
        </w:rPr>
        <w:t>المجموعة</w:t>
      </w:r>
      <w:r w:rsidRPr="005F2F83">
        <w:rPr>
          <w:rFonts w:ascii="Simplified Arabic" w:hAnsi="Simplified Arabic" w:cs="Simplified Arabic"/>
          <w:b/>
          <w:bCs/>
          <w:sz w:val="24"/>
          <w:szCs w:val="24"/>
          <w:rtl/>
        </w:rPr>
        <w:t>:</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نظرًا</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لأن</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تقنية</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دلفي</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غالبًا</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ما</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تتعامل</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مع</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الحالات</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المعقدة،</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فمن</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الضروري</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استخدام</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طرق</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موثوقة</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للتحليل</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الإحصائي</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لتعكس</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حكمًا</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إجماليًا</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دقيقًا</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للمجموعة</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يتم</w:t>
      </w:r>
      <w:r w:rsidRPr="005F2F83">
        <w:rPr>
          <w:rFonts w:asciiTheme="minorBidi" w:hAnsiTheme="minorBidi" w:cs="Arial"/>
          <w:sz w:val="28"/>
          <w:szCs w:val="28"/>
          <w:rtl/>
        </w:rPr>
        <w:t xml:space="preserve"> </w:t>
      </w:r>
      <w:r w:rsidRPr="005F2F83">
        <w:rPr>
          <w:rFonts w:ascii="Simplified Arabic" w:hAnsi="Simplified Arabic" w:cs="Simplified Arabic" w:hint="cs"/>
          <w:sz w:val="24"/>
          <w:szCs w:val="24"/>
          <w:rtl/>
        </w:rPr>
        <w:t>استخدام</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المؤشرات</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الإحصائية</w:t>
      </w:r>
      <w:r w:rsidRPr="005F2F83">
        <w:rPr>
          <w:rFonts w:ascii="Simplified Arabic" w:hAnsi="Simplified Arabic" w:cs="Simplified Arabic"/>
          <w:sz w:val="24"/>
          <w:szCs w:val="24"/>
          <w:rtl/>
        </w:rPr>
        <w:t xml:space="preserve"> </w:t>
      </w:r>
      <w:r>
        <w:rPr>
          <w:rFonts w:ascii="Simplified Arabic" w:hAnsi="Simplified Arabic" w:cs="Simplified Arabic" w:hint="cs"/>
          <w:sz w:val="24"/>
          <w:szCs w:val="24"/>
          <w:rtl/>
        </w:rPr>
        <w:t>كالمتوسط الحسابي</w:t>
      </w:r>
      <w:r w:rsidRPr="005F2F83">
        <w:rPr>
          <w:rFonts w:ascii="Simplified Arabic" w:hAnsi="Simplified Arabic" w:cs="Simplified Arabic"/>
          <w:sz w:val="24"/>
          <w:szCs w:val="24"/>
          <w:rtl/>
        </w:rPr>
        <w:t xml:space="preserve"> </w:t>
      </w:r>
      <w:r w:rsidRPr="00373156">
        <w:rPr>
          <w:rFonts w:asciiTheme="majorBidi" w:hAnsiTheme="majorBidi" w:cstheme="majorBidi"/>
          <w:sz w:val="24"/>
          <w:szCs w:val="24"/>
          <w:rtl/>
          <w:lang w:val="en-US"/>
        </w:rPr>
        <w:t>(</w:t>
      </w:r>
      <w:r w:rsidRPr="00373156">
        <w:rPr>
          <w:rFonts w:asciiTheme="majorBidi" w:hAnsiTheme="majorBidi" w:cstheme="majorBidi"/>
          <w:sz w:val="24"/>
          <w:szCs w:val="24"/>
          <w:lang w:val="en-US"/>
        </w:rPr>
        <w:t>x̅</w:t>
      </w:r>
      <w:r w:rsidRPr="00373156">
        <w:rPr>
          <w:rFonts w:asciiTheme="majorBidi" w:hAnsiTheme="majorBidi" w:cstheme="majorBidi"/>
          <w:sz w:val="24"/>
          <w:szCs w:val="24"/>
          <w:rtl/>
          <w:lang w:val="en-US"/>
        </w:rPr>
        <w:t>)</w:t>
      </w:r>
      <w:r w:rsidRPr="005F2F83">
        <w:rPr>
          <w:rFonts w:asciiTheme="minorBidi" w:hAnsiTheme="minorBidi" w:cs="Arial"/>
          <w:sz w:val="28"/>
          <w:szCs w:val="28"/>
          <w:rtl/>
        </w:rPr>
        <w:t xml:space="preserve"> </w:t>
      </w:r>
      <w:r w:rsidRPr="005F2F83">
        <w:rPr>
          <w:rFonts w:ascii="Simplified Arabic" w:hAnsi="Simplified Arabic" w:cs="Simplified Arabic" w:hint="cs"/>
          <w:sz w:val="24"/>
          <w:szCs w:val="24"/>
          <w:rtl/>
        </w:rPr>
        <w:t>لتحقيق</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هذا</w:t>
      </w:r>
      <w:r w:rsidRPr="005F2F83">
        <w:rPr>
          <w:rFonts w:ascii="Simplified Arabic" w:hAnsi="Simplified Arabic" w:cs="Simplified Arabic"/>
          <w:sz w:val="24"/>
          <w:szCs w:val="24"/>
          <w:rtl/>
        </w:rPr>
        <w:t xml:space="preserve"> </w:t>
      </w:r>
      <w:r w:rsidRPr="005F2F83">
        <w:rPr>
          <w:rFonts w:ascii="Simplified Arabic" w:hAnsi="Simplified Arabic" w:cs="Simplified Arabic" w:hint="cs"/>
          <w:sz w:val="24"/>
          <w:szCs w:val="24"/>
          <w:rtl/>
        </w:rPr>
        <w:t>الهدف</w:t>
      </w:r>
      <w:r w:rsidRPr="005F2F83">
        <w:rPr>
          <w:rFonts w:ascii="Simplified Arabic" w:hAnsi="Simplified Arabic" w:cs="Simplified Arabic"/>
          <w:sz w:val="24"/>
          <w:szCs w:val="24"/>
          <w:rtl/>
        </w:rPr>
        <w:t>.</w:t>
      </w:r>
    </w:p>
    <w:p w:rsidR="000B42BD" w:rsidRPr="005F2F83" w:rsidRDefault="000B42BD" w:rsidP="00B34260">
      <w:pPr>
        <w:bidi/>
        <w:spacing w:after="0"/>
        <w:ind w:firstLine="282"/>
        <w:jc w:val="both"/>
        <w:rPr>
          <w:rFonts w:ascii="Simplified Arabic" w:hAnsi="Simplified Arabic" w:cs="Simplified Arabic"/>
          <w:rtl/>
        </w:rPr>
      </w:pPr>
      <w:r w:rsidRPr="00206B59">
        <w:rPr>
          <w:rFonts w:ascii="Simplified Arabic" w:hAnsi="Simplified Arabic" w:cs="Simplified Arabic" w:hint="cs"/>
          <w:sz w:val="24"/>
          <w:szCs w:val="24"/>
          <w:rtl/>
        </w:rPr>
        <w:t>تبحث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أكبر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قدر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ممكن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المعلومات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الإضافية،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تؤدي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خلال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الجمع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واسعة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آراء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Alyami et al., 2013</w:t>
      </w:r>
      <w:r w:rsidRPr="00206B59">
        <w:rPr>
          <w:rFonts w:asciiTheme="majorBidi" w:hAnsiTheme="majorBidi" w:cstheme="majorBidi"/>
          <w:sz w:val="24"/>
          <w:szCs w:val="24"/>
          <w:rtl/>
        </w:rPr>
        <w:t>)</w:t>
      </w:r>
      <w:r w:rsidRPr="00206B59">
        <w:rPr>
          <w:rFonts w:asciiTheme="minorBidi" w:hAnsiTheme="minorBidi" w:cs="Arial"/>
          <w:sz w:val="28"/>
          <w:szCs w:val="28"/>
          <w:rtl/>
        </w:rPr>
        <w:t>.</w:t>
      </w:r>
      <w:r w:rsidRPr="00206B59">
        <w:rPr>
          <w:rFonts w:asciiTheme="minorBidi" w:hAnsiTheme="minorBidi" w:cs="Arial" w:hint="cs"/>
          <w:sz w:val="28"/>
          <w:szCs w:val="28"/>
          <w:rtl/>
        </w:rPr>
        <w:t xml:space="preserve"> </w:t>
      </w:r>
      <w:r w:rsidRPr="00206B59">
        <w:rPr>
          <w:rFonts w:ascii="Simplified Arabic" w:hAnsi="Simplified Arabic" w:cs="Simplified Arabic" w:hint="cs"/>
          <w:sz w:val="24"/>
          <w:szCs w:val="24"/>
          <w:rtl/>
        </w:rPr>
        <w:t>يتطلب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اجراء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جملة 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الخيارات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المنهجية،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بمعنى أن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المنهجية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ليست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موحدة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تطبيقها،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يعني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أنها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تفتقر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إطار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نظري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موحد،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 حيث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عدد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الجولات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(التكرارات)،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عتبة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واختيار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تقدم</w:t>
      </w:r>
      <w:r w:rsidRPr="00206B59">
        <w:rPr>
          <w:rFonts w:ascii="Simplified Arabic" w:hAnsi="Simplified Arabic" w:cs="Simplified Arabic"/>
          <w:sz w:val="24"/>
          <w:szCs w:val="24"/>
          <w:rtl/>
        </w:rPr>
        <w:t xml:space="preserve"> </w:t>
      </w:r>
      <w:r w:rsidR="00B34260">
        <w:rPr>
          <w:rFonts w:ascii="Simplified Arabic" w:hAnsi="Simplified Arabic" w:cs="Simplified Arabic" w:hint="cs"/>
          <w:sz w:val="24"/>
          <w:szCs w:val="24"/>
          <w:rtl/>
        </w:rPr>
        <w:t>الابحاث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المتاحة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إجابة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موضوعية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فيما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يتعلق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بالعدد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الأمثل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للتكرارات،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ولكن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الاجراء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الشائع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التوقف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الى الحد الذي يكون فيه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توافق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الآراء </w:t>
      </w:r>
      <w:r w:rsidRPr="00206B59">
        <w:rPr>
          <w:rFonts w:asciiTheme="majorBidi" w:hAnsiTheme="majorBidi" w:cstheme="majorBidi"/>
          <w:sz w:val="24"/>
          <w:szCs w:val="24"/>
          <w:rtl/>
        </w:rPr>
        <w:t>(</w:t>
      </w:r>
      <w:r w:rsidRPr="00206B59">
        <w:rPr>
          <w:rFonts w:asciiTheme="majorBidi" w:hAnsiTheme="majorBidi" w:cstheme="majorBidi"/>
          <w:color w:val="000000"/>
          <w:sz w:val="24"/>
          <w:szCs w:val="24"/>
          <w:lang w:val="en-US"/>
        </w:rPr>
        <w:t xml:space="preserve">Cerè </w:t>
      </w:r>
      <w:r w:rsidRPr="00206B59">
        <w:rPr>
          <w:rFonts w:asciiTheme="majorBidi" w:hAnsiTheme="majorBidi" w:cstheme="majorBidi"/>
          <w:sz w:val="24"/>
          <w:szCs w:val="24"/>
        </w:rPr>
        <w:t>et al., 2019</w:t>
      </w:r>
      <w:r w:rsidRPr="00206B59">
        <w:rPr>
          <w:rFonts w:asciiTheme="majorBidi" w:hAnsiTheme="majorBidi" w:cstheme="majorBidi"/>
          <w:sz w:val="24"/>
          <w:szCs w:val="24"/>
          <w:rtl/>
        </w:rPr>
        <w:t>)</w:t>
      </w:r>
      <w:r w:rsidR="00B34260">
        <w:rPr>
          <w:rFonts w:ascii="Simplified Arabic" w:hAnsi="Simplified Arabic" w:cs="Simplified Arabic"/>
          <w:sz w:val="24"/>
          <w:szCs w:val="24"/>
          <w:rtl/>
        </w:rPr>
        <w:t>.</w:t>
      </w:r>
    </w:p>
    <w:p w:rsidR="000B42BD" w:rsidRPr="00B86646" w:rsidRDefault="000B42BD" w:rsidP="001D0548">
      <w:pPr>
        <w:pStyle w:val="Default"/>
        <w:numPr>
          <w:ilvl w:val="1"/>
          <w:numId w:val="130"/>
        </w:numPr>
        <w:tabs>
          <w:tab w:val="right" w:pos="1134"/>
        </w:tabs>
        <w:bidi/>
        <w:spacing w:before="240" w:line="276" w:lineRule="auto"/>
        <w:ind w:left="0" w:firstLine="992"/>
        <w:jc w:val="both"/>
        <w:outlineLvl w:val="3"/>
        <w:rPr>
          <w:rFonts w:ascii="Simplified Arabic" w:hAnsi="Simplified Arabic" w:cs="Simplified Arabic"/>
          <w:b/>
          <w:bCs/>
        </w:rPr>
      </w:pPr>
      <w:r w:rsidRPr="00B86646">
        <w:rPr>
          <w:rFonts w:ascii="Simplified Arabic" w:hAnsi="Simplified Arabic" w:cs="Simplified Arabic"/>
          <w:b/>
          <w:bCs/>
          <w:rtl/>
        </w:rPr>
        <w:t xml:space="preserve">تقنية المجموعة الاسمية </w:t>
      </w:r>
      <w:r w:rsidRPr="00B86646">
        <w:rPr>
          <w:rFonts w:asciiTheme="majorBidi" w:hAnsiTheme="majorBidi" w:cstheme="majorBidi"/>
          <w:b/>
          <w:bCs/>
          <w:rtl/>
        </w:rPr>
        <w:t>(</w:t>
      </w:r>
      <w:r w:rsidRPr="00B86646">
        <w:rPr>
          <w:rFonts w:asciiTheme="majorBidi" w:hAnsiTheme="majorBidi" w:cstheme="majorBidi"/>
          <w:b/>
          <w:bCs/>
        </w:rPr>
        <w:t>NGT</w:t>
      </w:r>
      <w:r w:rsidRPr="00B86646">
        <w:rPr>
          <w:rFonts w:asciiTheme="majorBidi" w:hAnsiTheme="majorBidi" w:cstheme="majorBidi"/>
          <w:b/>
          <w:bCs/>
          <w:rtl/>
        </w:rPr>
        <w:t>)</w:t>
      </w:r>
    </w:p>
    <w:p w:rsidR="000B42BD" w:rsidRPr="00CE7678" w:rsidRDefault="000B42BD" w:rsidP="002357F4">
      <w:pPr>
        <w:bidi/>
        <w:spacing w:after="0"/>
        <w:ind w:firstLine="282"/>
        <w:jc w:val="both"/>
        <w:rPr>
          <w:rFonts w:ascii="Simplified Arabic" w:hAnsi="Simplified Arabic" w:cs="Simplified Arabic"/>
          <w:sz w:val="24"/>
          <w:szCs w:val="24"/>
        </w:rPr>
      </w:pPr>
      <w:r w:rsidRPr="005F2F83">
        <w:rPr>
          <w:rFonts w:asciiTheme="majorBidi" w:hAnsiTheme="majorBidi" w:cstheme="majorBidi"/>
          <w:sz w:val="24"/>
          <w:szCs w:val="24"/>
          <w:rtl/>
        </w:rPr>
        <w:t>(</w:t>
      </w:r>
      <w:r w:rsidRPr="005F2F83">
        <w:rPr>
          <w:rFonts w:asciiTheme="majorBidi" w:hAnsiTheme="majorBidi" w:cstheme="majorBidi"/>
          <w:sz w:val="24"/>
          <w:szCs w:val="24"/>
        </w:rPr>
        <w:t>NGT</w:t>
      </w:r>
      <w:r w:rsidRPr="005F2F83">
        <w:rPr>
          <w:rFonts w:asciiTheme="majorBidi" w:hAnsiTheme="majorBidi" w:cstheme="majorBidi"/>
          <w:sz w:val="24"/>
          <w:szCs w:val="24"/>
          <w:rtl/>
        </w:rPr>
        <w:t>)</w:t>
      </w:r>
      <w:r>
        <w:rPr>
          <w:rFonts w:asciiTheme="majorBidi" w:hAnsiTheme="majorBidi" w:cstheme="majorBidi" w:hint="cs"/>
          <w:sz w:val="24"/>
          <w:szCs w:val="24"/>
          <w:rtl/>
        </w:rPr>
        <w:t xml:space="preserve"> </w:t>
      </w:r>
      <w:r w:rsidRPr="00CE7678">
        <w:rPr>
          <w:rFonts w:ascii="Simplified Arabic" w:hAnsi="Simplified Arabic" w:cs="Simplified Arabic"/>
          <w:sz w:val="24"/>
          <w:szCs w:val="24"/>
          <w:rtl/>
        </w:rPr>
        <w:t xml:space="preserve">هي أداة اتخاذ القرار الجماعي. تم تطويره من البحوث الاجتماعية والنفسية وإدارة الدراسات الاجتماعية لتسهيل اتخاذ القرار الجماعي الفعال. وقد تم استخدامه منذ عام 1960 في مجموعة واسعة من مجالات المعرفة بما في ذلك الخدمات الاجتماعية والتعليم والصحة والمنظمات الحكومية والصناعة. </w:t>
      </w:r>
      <w:r w:rsidRPr="00CE7678">
        <w:rPr>
          <w:rFonts w:ascii="Simplified Arabic" w:hAnsi="Simplified Arabic" w:cs="Simplified Arabic" w:hint="cs"/>
          <w:sz w:val="24"/>
          <w:szCs w:val="24"/>
          <w:rtl/>
        </w:rPr>
        <w:t>تم</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استخدام</w:t>
      </w:r>
      <w:r w:rsidRPr="003C6AC1">
        <w:rPr>
          <w:rFonts w:asciiTheme="minorBidi" w:hAnsiTheme="minorBidi" w:cs="Arial"/>
          <w:sz w:val="28"/>
          <w:szCs w:val="28"/>
          <w:rtl/>
        </w:rPr>
        <w:t xml:space="preserve"> </w:t>
      </w:r>
      <w:r w:rsidRPr="005F2F83">
        <w:rPr>
          <w:rFonts w:asciiTheme="majorBidi" w:hAnsiTheme="majorBidi" w:cstheme="majorBidi"/>
          <w:sz w:val="24"/>
          <w:szCs w:val="24"/>
          <w:rtl/>
        </w:rPr>
        <w:t>(</w:t>
      </w:r>
      <w:r w:rsidRPr="005F2F83">
        <w:rPr>
          <w:rFonts w:asciiTheme="majorBidi" w:hAnsiTheme="majorBidi" w:cstheme="majorBidi"/>
          <w:sz w:val="24"/>
          <w:szCs w:val="24"/>
        </w:rPr>
        <w:t>NGT</w:t>
      </w:r>
      <w:r w:rsidRPr="005F2F83">
        <w:rPr>
          <w:rFonts w:asciiTheme="majorBidi" w:hAnsiTheme="majorBidi" w:cstheme="majorBidi"/>
          <w:sz w:val="24"/>
          <w:szCs w:val="24"/>
          <w:rtl/>
        </w:rPr>
        <w:t>)</w:t>
      </w:r>
      <w:r>
        <w:rPr>
          <w:rFonts w:asciiTheme="majorBidi" w:hAnsiTheme="majorBidi" w:cstheme="majorBidi" w:hint="cs"/>
          <w:sz w:val="24"/>
          <w:szCs w:val="24"/>
          <w:rtl/>
        </w:rPr>
        <w:t xml:space="preserve"> </w:t>
      </w:r>
      <w:r w:rsidRPr="00CE7678">
        <w:rPr>
          <w:rFonts w:ascii="Simplified Arabic" w:hAnsi="Simplified Arabic" w:cs="Simplified Arabic" w:hint="cs"/>
          <w:sz w:val="24"/>
          <w:szCs w:val="24"/>
          <w:rtl/>
        </w:rPr>
        <w:t>لتحديد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التحديات</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وتطوير</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الحلول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وتحديد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الأولويات</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الغرض</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هذه</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التقنية</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هو</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القضاء</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على</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هيمنة</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فرد</w:t>
      </w:r>
      <w:r w:rsidRPr="00CE7678">
        <w:rPr>
          <w:rFonts w:ascii="Simplified Arabic" w:hAnsi="Simplified Arabic" w:cs="Simplified Arabic"/>
          <w:sz w:val="24"/>
          <w:szCs w:val="24"/>
          <w:rtl/>
        </w:rPr>
        <w:t xml:space="preserve"> / </w:t>
      </w:r>
      <w:r w:rsidRPr="00CE7678">
        <w:rPr>
          <w:rFonts w:ascii="Simplified Arabic" w:hAnsi="Simplified Arabic" w:cs="Simplified Arabic" w:hint="cs"/>
          <w:sz w:val="24"/>
          <w:szCs w:val="24"/>
          <w:rtl/>
        </w:rPr>
        <w:t>عدد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قليل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الأفراد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في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عملية</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الاختيار</w:t>
      </w:r>
      <w:r w:rsidRPr="00CE7678">
        <w:rPr>
          <w:rFonts w:ascii="Simplified Arabic" w:hAnsi="Simplified Arabic" w:cs="Simplified Arabic"/>
          <w:sz w:val="24"/>
          <w:szCs w:val="24"/>
          <w:rtl/>
        </w:rPr>
        <w:t xml:space="preserve">. </w:t>
      </w:r>
    </w:p>
    <w:p w:rsidR="000B42BD" w:rsidRPr="00CE7678" w:rsidRDefault="000B42BD" w:rsidP="00B34260">
      <w:pPr>
        <w:bidi/>
        <w:spacing w:after="0"/>
        <w:jc w:val="both"/>
        <w:rPr>
          <w:rFonts w:ascii="Simplified Arabic" w:hAnsi="Simplified Arabic" w:cs="Simplified Arabic"/>
          <w:sz w:val="24"/>
          <w:szCs w:val="24"/>
        </w:rPr>
      </w:pPr>
      <w:r w:rsidRPr="00206B59">
        <w:rPr>
          <w:rFonts w:ascii="Simplified Arabic" w:hAnsi="Simplified Arabic" w:cs="Simplified Arabic" w:hint="cs"/>
          <w:sz w:val="24"/>
          <w:szCs w:val="24"/>
          <w:rtl/>
        </w:rPr>
        <w:t xml:space="preserve">    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الاسمية </w:t>
      </w:r>
      <w:r w:rsidRPr="00206B59">
        <w:rPr>
          <w:rFonts w:asciiTheme="majorBidi" w:hAnsiTheme="majorBidi" w:cstheme="majorBidi"/>
          <w:sz w:val="24"/>
          <w:szCs w:val="24"/>
          <w:rtl/>
        </w:rPr>
        <w:t>(</w:t>
      </w:r>
      <w:r w:rsidRPr="00206B59">
        <w:rPr>
          <w:rFonts w:asciiTheme="majorBidi" w:hAnsiTheme="majorBidi" w:cstheme="majorBidi"/>
          <w:sz w:val="24"/>
          <w:szCs w:val="24"/>
        </w:rPr>
        <w:t>NGT</w:t>
      </w:r>
      <w:r w:rsidRPr="00206B59">
        <w:rPr>
          <w:rFonts w:asciiTheme="majorBidi" w:hAnsiTheme="majorBidi" w:cstheme="majorBidi"/>
          <w:sz w:val="24"/>
          <w:szCs w:val="24"/>
          <w:rtl/>
        </w:rPr>
        <w:t>)</w:t>
      </w:r>
      <w:r w:rsidRPr="00206B59">
        <w:rPr>
          <w:rFonts w:ascii="Simplified Arabic" w:hAnsi="Simplified Arabic" w:cs="Simplified Arabic"/>
          <w:sz w:val="24"/>
          <w:szCs w:val="24"/>
          <w:rtl/>
        </w:rPr>
        <w:t>، والتي تسمى أيضًا ''العصف الذهني''</w:t>
      </w:r>
      <w:r w:rsidRPr="00206B59">
        <w:rPr>
          <w:rFonts w:ascii="Simplified Arabic" w:hAnsi="Simplified Arabic" w:cs="Simplified Arabic"/>
          <w:sz w:val="28"/>
          <w:szCs w:val="28"/>
          <w:rtl/>
        </w:rPr>
        <w:t xml:space="preserve"> </w:t>
      </w:r>
      <w:r w:rsidRPr="00206B59">
        <w:rPr>
          <w:rFonts w:ascii="Simplified Arabic" w:hAnsi="Simplified Arabic" w:cs="Simplified Arabic"/>
          <w:sz w:val="24"/>
          <w:szCs w:val="24"/>
          <w:rtl/>
        </w:rPr>
        <w:t xml:space="preserve">في بعض </w:t>
      </w:r>
      <w:r w:rsidR="00B34260">
        <w:rPr>
          <w:rFonts w:ascii="Simplified Arabic" w:hAnsi="Simplified Arabic" w:cs="Simplified Arabic" w:hint="cs"/>
          <w:sz w:val="24"/>
          <w:szCs w:val="24"/>
          <w:rtl/>
        </w:rPr>
        <w:t>الابحاث</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Hallowell and Gambatese, 2009</w:t>
      </w:r>
      <w:r w:rsidRPr="00206B59">
        <w:rPr>
          <w:rFonts w:asciiTheme="majorBidi" w:hAnsiTheme="majorBidi" w:cstheme="majorBidi"/>
          <w:sz w:val="24"/>
          <w:szCs w:val="24"/>
          <w:rtl/>
        </w:rPr>
        <w:t>)</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لتنظيم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اجتماع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وجهًا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لوجه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بقيادة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وسيط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متمرس</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Fink et al. 1984</w:t>
      </w:r>
      <w:r w:rsidRPr="00206B59">
        <w:rPr>
          <w:rFonts w:asciiTheme="majorBidi" w:hAnsiTheme="majorBidi" w:cstheme="majorBidi"/>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لتحقيق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توازن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المشاركة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للوصول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توافق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الآراء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تسعى</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NGT</w:t>
      </w:r>
      <w:r w:rsidRPr="00206B59">
        <w:rPr>
          <w:rFonts w:asciiTheme="majorBidi" w:hAnsiTheme="majorBidi" w:cstheme="majorBidi"/>
          <w:sz w:val="24"/>
          <w:szCs w:val="24"/>
          <w:rtl/>
        </w:rPr>
        <w:t>)</w:t>
      </w:r>
      <w:r w:rsidRPr="00206B59">
        <w:rPr>
          <w:rFonts w:ascii="Simplified Arabic" w:hAnsi="Simplified Arabic" w:cs="Simplified Arabic" w:hint="cs"/>
          <w:sz w:val="24"/>
          <w:szCs w:val="24"/>
          <w:rtl/>
        </w:rPr>
        <w:t xml:space="preserve"> 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توليد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أفكار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مستقلة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لتحديد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أولويات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القضايا،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باستخدام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التصويت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العددي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أربع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مراحل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مختلفة</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Potter et al. 2004</w:t>
      </w:r>
      <w:r w:rsidRPr="00206B59">
        <w:rPr>
          <w:rFonts w:asciiTheme="majorBidi" w:hAnsiTheme="majorBidi" w:cstheme="majorBidi"/>
          <w:sz w:val="24"/>
          <w:szCs w:val="24"/>
          <w:rtl/>
        </w:rPr>
        <w:t>)</w:t>
      </w:r>
      <w:r w:rsidRPr="00206B59">
        <w:rPr>
          <w:rFonts w:ascii="Simplified Arabic" w:hAnsi="Simplified Arabic" w:cs="Simplified Arabic" w:hint="cs"/>
          <w:sz w:val="24"/>
          <w:szCs w:val="24"/>
          <w:rtl/>
        </w:rPr>
        <w:t>، 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النحو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التالي</w:t>
      </w:r>
      <w:r w:rsidRPr="00206B59">
        <w:rPr>
          <w:rFonts w:ascii="Simplified Arabic" w:hAnsi="Simplified Arabic" w:cs="Simplified Arabic"/>
          <w:sz w:val="24"/>
          <w:szCs w:val="24"/>
          <w:rtl/>
        </w:rPr>
        <w:t>:</w:t>
      </w:r>
    </w:p>
    <w:p w:rsidR="000B42BD" w:rsidRPr="00612294" w:rsidRDefault="000B42BD" w:rsidP="001D0548">
      <w:pPr>
        <w:pStyle w:val="Paragraphedeliste"/>
        <w:numPr>
          <w:ilvl w:val="0"/>
          <w:numId w:val="31"/>
        </w:numPr>
        <w:tabs>
          <w:tab w:val="right" w:pos="282"/>
        </w:tabs>
        <w:bidi/>
        <w:spacing w:after="0"/>
        <w:ind w:left="-1" w:firstLine="0"/>
        <w:jc w:val="both"/>
        <w:rPr>
          <w:rFonts w:ascii="Simplified Arabic" w:hAnsi="Simplified Arabic" w:cs="Simplified Arabic"/>
          <w:sz w:val="24"/>
          <w:szCs w:val="24"/>
        </w:rPr>
      </w:pPr>
      <w:r w:rsidRPr="00612294">
        <w:rPr>
          <w:rFonts w:ascii="Simplified Arabic" w:hAnsi="Simplified Arabic" w:cs="Simplified Arabic" w:hint="cs"/>
          <w:b/>
          <w:bCs/>
          <w:sz w:val="24"/>
          <w:szCs w:val="24"/>
          <w:rtl/>
        </w:rPr>
        <w:t>توليد</w:t>
      </w:r>
      <w:r w:rsidRPr="00612294">
        <w:rPr>
          <w:rFonts w:ascii="Simplified Arabic" w:hAnsi="Simplified Arabic" w:cs="Simplified Arabic"/>
          <w:b/>
          <w:bCs/>
          <w:sz w:val="24"/>
          <w:szCs w:val="24"/>
          <w:rtl/>
        </w:rPr>
        <w:t xml:space="preserve"> </w:t>
      </w:r>
      <w:r w:rsidRPr="00612294">
        <w:rPr>
          <w:rFonts w:ascii="Simplified Arabic" w:hAnsi="Simplified Arabic" w:cs="Simplified Arabic" w:hint="cs"/>
          <w:b/>
          <w:b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يطلب</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الوسيط</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من</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كل</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مشارك</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أن</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يولد</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أفكاره</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ويدونها</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حول</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أسئلة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محددة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ويسجل</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الإجابات</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بشكل</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خاص</w:t>
      </w:r>
      <w:r w:rsidRPr="00612294">
        <w:rPr>
          <w:rFonts w:ascii="Simplified Arabic" w:hAnsi="Simplified Arabic" w:cs="Simplified Arabic"/>
          <w:sz w:val="24"/>
          <w:szCs w:val="24"/>
          <w:rtl/>
        </w:rPr>
        <w:t>.</w:t>
      </w:r>
    </w:p>
    <w:p w:rsidR="000B42BD" w:rsidRPr="00612294" w:rsidRDefault="000B42BD" w:rsidP="001D0548">
      <w:pPr>
        <w:pStyle w:val="Paragraphedeliste"/>
        <w:numPr>
          <w:ilvl w:val="0"/>
          <w:numId w:val="31"/>
        </w:numPr>
        <w:tabs>
          <w:tab w:val="right" w:pos="282"/>
        </w:tabs>
        <w:bidi/>
        <w:spacing w:after="0"/>
        <w:ind w:left="-1" w:firstLine="0"/>
        <w:jc w:val="both"/>
        <w:rPr>
          <w:rFonts w:ascii="Simplified Arabic" w:hAnsi="Simplified Arabic" w:cs="Simplified Arabic"/>
          <w:sz w:val="24"/>
          <w:szCs w:val="24"/>
        </w:rPr>
      </w:pPr>
      <w:r w:rsidRPr="00612294">
        <w:rPr>
          <w:rFonts w:ascii="Simplified Arabic" w:hAnsi="Simplified Arabic" w:cs="Simplified Arabic" w:hint="cs"/>
          <w:b/>
          <w:bCs/>
          <w:sz w:val="24"/>
          <w:szCs w:val="24"/>
          <w:rtl/>
        </w:rPr>
        <w:t>تسجيل</w:t>
      </w:r>
      <w:r w:rsidRPr="00612294">
        <w:rPr>
          <w:rFonts w:ascii="Simplified Arabic" w:hAnsi="Simplified Arabic" w:cs="Simplified Arabic"/>
          <w:b/>
          <w:bCs/>
          <w:sz w:val="24"/>
          <w:szCs w:val="24"/>
          <w:rtl/>
        </w:rPr>
        <w:t xml:space="preserve"> </w:t>
      </w:r>
      <w:r w:rsidRPr="00612294">
        <w:rPr>
          <w:rFonts w:ascii="Simplified Arabic" w:hAnsi="Simplified Arabic" w:cs="Simplified Arabic" w:hint="cs"/>
          <w:b/>
          <w:b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يلخص</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المشاركون</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في</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حلقة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النقاش</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كل</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فكرة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حتى</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يتمكن</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الجميع</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من</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الاطلاع على</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جميع</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المقدمة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لا</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يتم اجراء</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مناقشة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حتى</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يتم</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تقديم</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جميع</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وتسجيلها</w:t>
      </w:r>
      <w:r w:rsidRPr="00612294">
        <w:rPr>
          <w:rFonts w:ascii="Simplified Arabic" w:hAnsi="Simplified Arabic" w:cs="Simplified Arabic"/>
          <w:sz w:val="24"/>
          <w:szCs w:val="24"/>
          <w:rtl/>
        </w:rPr>
        <w:t>.</w:t>
      </w:r>
    </w:p>
    <w:p w:rsidR="000B42BD" w:rsidRPr="00612294" w:rsidRDefault="000B42BD" w:rsidP="001D0548">
      <w:pPr>
        <w:pStyle w:val="Paragraphedeliste"/>
        <w:numPr>
          <w:ilvl w:val="0"/>
          <w:numId w:val="31"/>
        </w:numPr>
        <w:tabs>
          <w:tab w:val="right" w:pos="282"/>
        </w:tabs>
        <w:bidi/>
        <w:spacing w:after="0"/>
        <w:ind w:left="-1" w:firstLine="0"/>
        <w:jc w:val="both"/>
        <w:rPr>
          <w:rFonts w:ascii="Simplified Arabic" w:hAnsi="Simplified Arabic" w:cs="Simplified Arabic"/>
          <w:sz w:val="24"/>
          <w:szCs w:val="24"/>
        </w:rPr>
      </w:pPr>
      <w:r w:rsidRPr="00612294">
        <w:rPr>
          <w:rFonts w:ascii="Simplified Arabic" w:hAnsi="Simplified Arabic" w:cs="Simplified Arabic" w:hint="cs"/>
          <w:b/>
          <w:bCs/>
          <w:sz w:val="24"/>
          <w:szCs w:val="24"/>
          <w:rtl/>
        </w:rPr>
        <w:t>مناقشة</w:t>
      </w:r>
      <w:r w:rsidRPr="00612294">
        <w:rPr>
          <w:rFonts w:ascii="Simplified Arabic" w:hAnsi="Simplified Arabic" w:cs="Simplified Arabic"/>
          <w:b/>
          <w:bCs/>
          <w:sz w:val="24"/>
          <w:szCs w:val="24"/>
          <w:rtl/>
        </w:rPr>
        <w:t xml:space="preserve"> </w:t>
      </w:r>
      <w:r w:rsidRPr="00612294">
        <w:rPr>
          <w:rFonts w:ascii="Simplified Arabic" w:hAnsi="Simplified Arabic" w:cs="Simplified Arabic" w:hint="cs"/>
          <w:b/>
          <w:b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يتبع</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ذلك</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مناقشة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موجزة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مفتوحة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لشرح</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وتصنيف</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أو</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العبارات</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المختلفة،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خاصة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تلك</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الأقل</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فهماً</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والأفكار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الغامضة،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لا</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يسمح</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بأي</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اقناع للمواقف أو</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الدفاع عنها</w:t>
      </w:r>
      <w:r w:rsidRPr="00612294">
        <w:rPr>
          <w:rFonts w:ascii="Simplified Arabic" w:hAnsi="Simplified Arabic" w:cs="Simplified Arabic"/>
          <w:sz w:val="24"/>
          <w:szCs w:val="24"/>
          <w:rtl/>
        </w:rPr>
        <w:t>.</w:t>
      </w:r>
    </w:p>
    <w:p w:rsidR="000B42BD" w:rsidRPr="00612294" w:rsidRDefault="000B42BD" w:rsidP="001D0548">
      <w:pPr>
        <w:pStyle w:val="Paragraphedeliste"/>
        <w:numPr>
          <w:ilvl w:val="0"/>
          <w:numId w:val="31"/>
        </w:numPr>
        <w:tabs>
          <w:tab w:val="right" w:pos="282"/>
        </w:tabs>
        <w:bidi/>
        <w:spacing w:after="0"/>
        <w:ind w:left="-1" w:firstLine="0"/>
        <w:jc w:val="both"/>
        <w:rPr>
          <w:rFonts w:ascii="Simplified Arabic" w:hAnsi="Simplified Arabic" w:cs="Simplified Arabic"/>
          <w:sz w:val="24"/>
          <w:szCs w:val="24"/>
        </w:rPr>
      </w:pPr>
      <w:r w:rsidRPr="00612294">
        <w:rPr>
          <w:rFonts w:ascii="Simplified Arabic" w:hAnsi="Simplified Arabic" w:cs="Simplified Arabic" w:hint="cs"/>
          <w:b/>
          <w:bCs/>
          <w:sz w:val="24"/>
          <w:szCs w:val="24"/>
          <w:rtl/>
        </w:rPr>
        <w:lastRenderedPageBreak/>
        <w:t>التصويت</w:t>
      </w:r>
      <w:r w:rsidRPr="00612294">
        <w:rPr>
          <w:rFonts w:ascii="Simplified Arabic" w:hAnsi="Simplified Arabic" w:cs="Simplified Arabic"/>
          <w:b/>
          <w:bCs/>
          <w:sz w:val="24"/>
          <w:szCs w:val="24"/>
          <w:rtl/>
        </w:rPr>
        <w:t xml:space="preserve"> </w:t>
      </w:r>
      <w:r w:rsidRPr="00612294">
        <w:rPr>
          <w:rFonts w:ascii="Simplified Arabic" w:hAnsi="Simplified Arabic" w:cs="Simplified Arabic" w:hint="cs"/>
          <w:b/>
          <w:bCs/>
          <w:sz w:val="24"/>
          <w:szCs w:val="24"/>
          <w:rtl/>
        </w:rPr>
        <w:t>على</w:t>
      </w:r>
      <w:r w:rsidRPr="00612294">
        <w:rPr>
          <w:rFonts w:ascii="Simplified Arabic" w:hAnsi="Simplified Arabic" w:cs="Simplified Arabic"/>
          <w:b/>
          <w:bCs/>
          <w:sz w:val="24"/>
          <w:szCs w:val="24"/>
          <w:rtl/>
        </w:rPr>
        <w:t xml:space="preserve"> </w:t>
      </w:r>
      <w:r w:rsidRPr="00612294">
        <w:rPr>
          <w:rFonts w:ascii="Simplified Arabic" w:hAnsi="Simplified Arabic" w:cs="Simplified Arabic" w:hint="cs"/>
          <w:b/>
          <w:b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تصوت</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المجموعة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سراً</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على</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الأفكار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ذات</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الترتيب</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الأعلى</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حسب</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الأولوية، يعتبر</w:t>
      </w:r>
      <w:r w:rsidRPr="00612294">
        <w:rPr>
          <w:rFonts w:asciiTheme="minorBidi" w:hAnsiTheme="minorBidi" w:cs="Arial"/>
          <w:sz w:val="28"/>
          <w:szCs w:val="28"/>
          <w:rtl/>
        </w:rPr>
        <w:t xml:space="preserve"> </w:t>
      </w:r>
      <w:r w:rsidRPr="00612294">
        <w:rPr>
          <w:rFonts w:ascii="Simplified Arabic" w:hAnsi="Simplified Arabic" w:cs="Simplified Arabic" w:hint="cs"/>
          <w:sz w:val="24"/>
          <w:szCs w:val="24"/>
          <w:rtl/>
        </w:rPr>
        <w:t>القرار</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النهائي</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لـ</w:t>
      </w:r>
      <w:r w:rsidRPr="00612294">
        <w:rPr>
          <w:rFonts w:asciiTheme="minorBidi" w:hAnsiTheme="minorBidi" w:cs="Arial"/>
          <w:sz w:val="28"/>
          <w:szCs w:val="28"/>
          <w:rtl/>
        </w:rPr>
        <w:t xml:space="preserve"> </w:t>
      </w:r>
      <w:r w:rsidRPr="00612294">
        <w:rPr>
          <w:rFonts w:asciiTheme="majorBidi" w:hAnsiTheme="majorBidi" w:cstheme="majorBidi"/>
          <w:sz w:val="24"/>
          <w:szCs w:val="24"/>
          <w:rtl/>
        </w:rPr>
        <w:t>(</w:t>
      </w:r>
      <w:r w:rsidRPr="00612294">
        <w:rPr>
          <w:rFonts w:asciiTheme="majorBidi" w:hAnsiTheme="majorBidi" w:cstheme="majorBidi"/>
          <w:sz w:val="24"/>
          <w:szCs w:val="24"/>
        </w:rPr>
        <w:t>NGT</w:t>
      </w:r>
      <w:r w:rsidRPr="00612294">
        <w:rPr>
          <w:rFonts w:asciiTheme="majorBidi" w:hAnsiTheme="majorBidi" w:cstheme="majorBidi"/>
          <w:sz w:val="24"/>
          <w:szCs w:val="24"/>
          <w:rtl/>
        </w:rPr>
        <w:t>)</w:t>
      </w:r>
      <w:r w:rsidRPr="00612294">
        <w:rPr>
          <w:rFonts w:asciiTheme="majorBidi" w:hAnsiTheme="majorBidi" w:cstheme="majorBidi" w:hint="cs"/>
          <w:sz w:val="24"/>
          <w:szCs w:val="24"/>
          <w:rtl/>
        </w:rPr>
        <w:t xml:space="preserve"> </w:t>
      </w:r>
      <w:r w:rsidRPr="00612294">
        <w:rPr>
          <w:rFonts w:ascii="Simplified Arabic" w:hAnsi="Simplified Arabic" w:cs="Simplified Arabic" w:hint="cs"/>
          <w:sz w:val="24"/>
          <w:szCs w:val="24"/>
          <w:rtl/>
        </w:rPr>
        <w:t>هو</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نتيجة</w:t>
      </w:r>
      <w:r w:rsidRPr="00612294">
        <w:rPr>
          <w:rFonts w:ascii="Simplified Arabic" w:hAnsi="Simplified Arabic" w:cs="Simplified Arabic"/>
          <w:sz w:val="24"/>
          <w:szCs w:val="24"/>
          <w:rtl/>
        </w:rPr>
        <w:t xml:space="preserve"> </w:t>
      </w:r>
      <w:r w:rsidRPr="00612294">
        <w:rPr>
          <w:rFonts w:ascii="Simplified Arabic" w:hAnsi="Simplified Arabic" w:cs="Simplified Arabic" w:hint="cs"/>
          <w:sz w:val="24"/>
          <w:szCs w:val="24"/>
          <w:rtl/>
        </w:rPr>
        <w:t>التصويت</w:t>
      </w:r>
      <w:r w:rsidRPr="00612294">
        <w:rPr>
          <w:rFonts w:ascii="Simplified Arabic" w:hAnsi="Simplified Arabic" w:cs="Simplified Arabic"/>
          <w:sz w:val="24"/>
          <w:szCs w:val="24"/>
          <w:rtl/>
        </w:rPr>
        <w:t>.</w:t>
      </w:r>
    </w:p>
    <w:p w:rsidR="000B42BD" w:rsidRPr="00CE7678" w:rsidRDefault="000B42BD" w:rsidP="000B42BD">
      <w:pPr>
        <w:bidi/>
        <w:spacing w:after="0"/>
        <w:ind w:firstLine="282"/>
        <w:jc w:val="both"/>
        <w:rPr>
          <w:rFonts w:ascii="Simplified Arabic" w:hAnsi="Simplified Arabic" w:cs="Simplified Arabic"/>
          <w:sz w:val="24"/>
          <w:szCs w:val="24"/>
          <w:rtl/>
        </w:rPr>
      </w:pPr>
      <w:r w:rsidRPr="00CE7678">
        <w:rPr>
          <w:rFonts w:ascii="Simplified Arabic" w:hAnsi="Simplified Arabic" w:cs="Simplified Arabic" w:hint="cs"/>
          <w:sz w:val="24"/>
          <w:szCs w:val="24"/>
          <w:rtl/>
        </w:rPr>
        <w:t>تتميز</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منهجية</w:t>
      </w:r>
      <w:r w:rsidRPr="00CE7678">
        <w:rPr>
          <w:rFonts w:ascii="Simplified Arabic" w:hAnsi="Simplified Arabic" w:cs="Simplified Arabic"/>
          <w:sz w:val="24"/>
          <w:szCs w:val="24"/>
          <w:rtl/>
        </w:rPr>
        <w:t xml:space="preserve"> </w:t>
      </w:r>
      <w:r w:rsidRPr="005F2F83">
        <w:rPr>
          <w:rFonts w:asciiTheme="majorBidi" w:hAnsiTheme="majorBidi" w:cstheme="majorBidi"/>
          <w:sz w:val="24"/>
          <w:szCs w:val="24"/>
          <w:rtl/>
        </w:rPr>
        <w:t>(</w:t>
      </w:r>
      <w:r w:rsidRPr="005F2F83">
        <w:rPr>
          <w:rFonts w:asciiTheme="majorBidi" w:hAnsiTheme="majorBidi" w:cstheme="majorBidi"/>
          <w:sz w:val="24"/>
          <w:szCs w:val="24"/>
        </w:rPr>
        <w:t>NGT</w:t>
      </w:r>
      <w:r w:rsidRPr="005F2F83">
        <w:rPr>
          <w:rFonts w:asciiTheme="majorBidi" w:hAnsiTheme="majorBidi" w:cstheme="majorBidi"/>
          <w:sz w:val="24"/>
          <w:szCs w:val="24"/>
          <w:rtl/>
        </w:rPr>
        <w:t>)</w:t>
      </w:r>
      <w:r>
        <w:rPr>
          <w:rFonts w:asciiTheme="majorBidi" w:hAnsiTheme="majorBidi" w:cstheme="majorBidi" w:hint="cs"/>
          <w:sz w:val="24"/>
          <w:szCs w:val="24"/>
          <w:rtl/>
        </w:rPr>
        <w:t xml:space="preserve"> </w:t>
      </w:r>
      <w:r w:rsidRPr="00CE7678">
        <w:rPr>
          <w:rFonts w:ascii="Simplified Arabic" w:hAnsi="Simplified Arabic" w:cs="Simplified Arabic" w:hint="cs"/>
          <w:sz w:val="24"/>
          <w:szCs w:val="24"/>
          <w:rtl/>
        </w:rPr>
        <w:t>بالعديد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المزايا</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إنه</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فعال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في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توليد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الأفكار</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التي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تسرع</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جمع</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البيانات</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وبالتالي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تقليل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الوقت</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اللازم</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للتوصل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إلى</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حلول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إجماع</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في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المقابل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يمكن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أن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يؤدي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استخدام</w:t>
      </w:r>
      <w:r w:rsidRPr="003C6AC1">
        <w:rPr>
          <w:rFonts w:asciiTheme="minorBidi" w:hAnsiTheme="minorBidi" w:cs="Arial"/>
          <w:sz w:val="28"/>
          <w:szCs w:val="28"/>
          <w:rtl/>
        </w:rPr>
        <w:t xml:space="preserve"> </w:t>
      </w:r>
      <w:r w:rsidRPr="005F2F83">
        <w:rPr>
          <w:rFonts w:asciiTheme="majorBidi" w:hAnsiTheme="majorBidi" w:cstheme="majorBidi"/>
          <w:sz w:val="24"/>
          <w:szCs w:val="24"/>
          <w:rtl/>
        </w:rPr>
        <w:t>(</w:t>
      </w:r>
      <w:r w:rsidRPr="005F2F83">
        <w:rPr>
          <w:rFonts w:asciiTheme="majorBidi" w:hAnsiTheme="majorBidi" w:cstheme="majorBidi"/>
          <w:sz w:val="24"/>
          <w:szCs w:val="24"/>
        </w:rPr>
        <w:t>NGT</w:t>
      </w:r>
      <w:r w:rsidRPr="005F2F83">
        <w:rPr>
          <w:rFonts w:asciiTheme="majorBidi" w:hAnsiTheme="majorBidi" w:cstheme="majorBidi"/>
          <w:sz w:val="24"/>
          <w:szCs w:val="24"/>
          <w:rtl/>
        </w:rPr>
        <w:t>)</w:t>
      </w:r>
      <w:r>
        <w:rPr>
          <w:rFonts w:asciiTheme="majorBidi" w:hAnsiTheme="majorBidi" w:cstheme="majorBidi" w:hint="cs"/>
          <w:sz w:val="24"/>
          <w:szCs w:val="24"/>
          <w:rtl/>
        </w:rPr>
        <w:t xml:space="preserve"> </w:t>
      </w:r>
      <w:r w:rsidRPr="00CE7678">
        <w:rPr>
          <w:rFonts w:ascii="Simplified Arabic" w:hAnsi="Simplified Arabic" w:cs="Simplified Arabic" w:hint="cs"/>
          <w:sz w:val="24"/>
          <w:szCs w:val="24"/>
          <w:rtl/>
        </w:rPr>
        <w:t>إلى</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نتائج</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متحيزة</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خاصةً</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عند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وجود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خبراء</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مهيمنين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تتم</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عملية</w:t>
      </w:r>
      <w:r w:rsidRPr="00CE7678">
        <w:rPr>
          <w:rFonts w:ascii="Simplified Arabic" w:hAnsi="Simplified Arabic" w:cs="Simplified Arabic"/>
          <w:sz w:val="24"/>
          <w:szCs w:val="24"/>
          <w:rtl/>
        </w:rPr>
        <w:t xml:space="preserve"> </w:t>
      </w:r>
      <w:r>
        <w:rPr>
          <w:rFonts w:ascii="Simplified Arabic" w:hAnsi="Simplified Arabic" w:cs="Simplified Arabic" w:hint="cs"/>
          <w:sz w:val="24"/>
          <w:szCs w:val="24"/>
          <w:rtl/>
        </w:rPr>
        <w:t>مراجعة الافكار</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خلال</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اجتماعات</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وجهًا</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لوجه</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والتي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يصعب</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أحيانًا</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إجراؤها</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بسبب</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القيود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الجغرافية</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كما</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تعاني</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التقنية</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نقاش</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محدود،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مما</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قد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يحد</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من</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استخلاص</w:t>
      </w:r>
      <w:r w:rsidRPr="00CE7678">
        <w:rPr>
          <w:rFonts w:ascii="Simplified Arabic" w:hAnsi="Simplified Arabic" w:cs="Simplified Arabic"/>
          <w:sz w:val="24"/>
          <w:szCs w:val="24"/>
          <w:rtl/>
        </w:rPr>
        <w:t xml:space="preserve"> </w:t>
      </w:r>
      <w:r w:rsidRPr="00CE7678">
        <w:rPr>
          <w:rFonts w:ascii="Simplified Arabic" w:hAnsi="Simplified Arabic" w:cs="Simplified Arabic" w:hint="cs"/>
          <w:sz w:val="24"/>
          <w:szCs w:val="24"/>
          <w:rtl/>
        </w:rPr>
        <w:t>الحلول</w:t>
      </w:r>
      <w:r w:rsidRPr="00CE7678">
        <w:rPr>
          <w:rFonts w:ascii="Simplified Arabic" w:hAnsi="Simplified Arabic" w:cs="Simplified Arabic"/>
          <w:sz w:val="24"/>
          <w:szCs w:val="24"/>
          <w:rtl/>
        </w:rPr>
        <w:t xml:space="preserve">. </w:t>
      </w:r>
    </w:p>
    <w:p w:rsidR="000B42BD" w:rsidRDefault="000B42BD" w:rsidP="001D0548">
      <w:pPr>
        <w:pStyle w:val="Paragraphedeliste"/>
        <w:numPr>
          <w:ilvl w:val="1"/>
          <w:numId w:val="131"/>
        </w:numPr>
        <w:tabs>
          <w:tab w:val="right" w:pos="1134"/>
        </w:tabs>
        <w:bidi/>
        <w:spacing w:after="0"/>
        <w:ind w:left="0" w:firstLine="992"/>
        <w:jc w:val="both"/>
        <w:outlineLvl w:val="3"/>
      </w:pPr>
      <w:r w:rsidRPr="00342CAA">
        <w:rPr>
          <w:rFonts w:ascii="Simplified Arabic" w:hAnsi="Simplified Arabic" w:cs="Simplified Arabic" w:hint="cs"/>
          <w:b/>
          <w:bCs/>
          <w:sz w:val="24"/>
          <w:szCs w:val="24"/>
          <w:rtl/>
        </w:rPr>
        <w:t>طريقة</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ملائمة</w:t>
      </w:r>
      <w:r w:rsidRPr="00342CAA">
        <w:rPr>
          <w:rFonts w:ascii="Simplified Arabic" w:hAnsi="Simplified Arabic" w:cs="Simplified Arabic"/>
          <w:b/>
          <w:bCs/>
          <w:sz w:val="24"/>
          <w:szCs w:val="24"/>
          <w:rtl/>
        </w:rPr>
        <w:t xml:space="preserve"> </w:t>
      </w:r>
      <w:r w:rsidRPr="00342CAA">
        <w:rPr>
          <w:rFonts w:asciiTheme="majorBidi" w:hAnsiTheme="majorBidi" w:cstheme="majorBidi"/>
          <w:b/>
          <w:bCs/>
          <w:sz w:val="24"/>
          <w:szCs w:val="24"/>
        </w:rPr>
        <w:t>RAND / UCLA</w:t>
      </w:r>
      <w:r w:rsidRPr="00342CAA">
        <w:rPr>
          <w:rFonts w:asciiTheme="majorBidi" w:hAnsiTheme="majorBidi" w:cstheme="majorBidi" w:hint="cs"/>
          <w:b/>
          <w:bCs/>
          <w:sz w:val="24"/>
          <w:szCs w:val="24"/>
          <w:rtl/>
        </w:rPr>
        <w:t xml:space="preserve"> (</w:t>
      </w:r>
      <w:r w:rsidRPr="00342CAA">
        <w:rPr>
          <w:rFonts w:asciiTheme="majorBidi" w:hAnsiTheme="majorBidi" w:cstheme="majorBidi"/>
          <w:b/>
          <w:bCs/>
          <w:sz w:val="24"/>
          <w:szCs w:val="24"/>
        </w:rPr>
        <w:t>RAM</w:t>
      </w:r>
      <w:r w:rsidRPr="00342CAA">
        <w:rPr>
          <w:rFonts w:asciiTheme="majorBidi" w:hAnsiTheme="majorBidi" w:cstheme="majorBidi" w:hint="cs"/>
          <w:b/>
          <w:bCs/>
          <w:sz w:val="24"/>
          <w:szCs w:val="24"/>
          <w:rtl/>
        </w:rPr>
        <w:t>)</w:t>
      </w:r>
      <w:r w:rsidRPr="00342CAA">
        <w:rPr>
          <w:rFonts w:asciiTheme="majorBidi" w:hAnsiTheme="majorBidi" w:cstheme="majorBidi" w:hint="cs"/>
          <w:sz w:val="18"/>
          <w:szCs w:val="18"/>
          <w:rtl/>
        </w:rPr>
        <w:t xml:space="preserve"> [</w:t>
      </w:r>
      <w:r w:rsidRPr="00342CAA">
        <w:rPr>
          <w:rFonts w:asciiTheme="majorBidi" w:hAnsiTheme="majorBidi" w:cstheme="majorBidi"/>
          <w:sz w:val="18"/>
          <w:szCs w:val="18"/>
        </w:rPr>
        <w:t>RAND/UCLA Appropriateness Method</w:t>
      </w:r>
      <w:r w:rsidRPr="00342CAA">
        <w:rPr>
          <w:rFonts w:asciiTheme="majorBidi" w:hAnsiTheme="majorBidi" w:cstheme="majorBidi" w:hint="cs"/>
          <w:sz w:val="18"/>
          <w:szCs w:val="18"/>
          <w:rtl/>
        </w:rPr>
        <w:t>]</w:t>
      </w:r>
      <w:r>
        <w:t xml:space="preserve"> </w:t>
      </w:r>
    </w:p>
    <w:p w:rsidR="000B42BD" w:rsidRPr="00CE7678" w:rsidRDefault="000B42BD" w:rsidP="007A091D">
      <w:pPr>
        <w:bidi/>
        <w:spacing w:after="0"/>
        <w:ind w:firstLine="282"/>
        <w:jc w:val="both"/>
        <w:rPr>
          <w:rFonts w:ascii="Simplified Arabic" w:hAnsi="Simplified Arabic" w:cs="Simplified Arabic"/>
          <w:sz w:val="24"/>
          <w:szCs w:val="24"/>
        </w:rPr>
      </w:pPr>
      <w:r w:rsidRPr="00206B59">
        <w:rPr>
          <w:rFonts w:asciiTheme="majorBidi" w:hAnsiTheme="majorBidi" w:cstheme="majorBidi"/>
          <w:sz w:val="24"/>
          <w:szCs w:val="24"/>
          <w:rtl/>
        </w:rPr>
        <w:t>(</w:t>
      </w:r>
      <w:r w:rsidRPr="00206B59">
        <w:rPr>
          <w:rFonts w:asciiTheme="majorBidi" w:hAnsiTheme="majorBidi" w:cstheme="majorBidi"/>
          <w:sz w:val="24"/>
          <w:szCs w:val="24"/>
        </w:rPr>
        <w:t>RAM</w:t>
      </w:r>
      <w:r w:rsidRPr="00206B59">
        <w:rPr>
          <w:rFonts w:asciiTheme="majorBidi" w:hAnsiTheme="majorBidi" w:cstheme="majorBidi"/>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جماعي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طورتها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مؤسسة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البحث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والتطوير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وجامعة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كاليفورنيا</w:t>
      </w:r>
      <w:r w:rsidRPr="00206B59">
        <w:rPr>
          <w:rFonts w:ascii="Simplified Arabic" w:hAnsi="Simplified Arabic" w:cs="Simplified Arabic"/>
          <w:sz w:val="24"/>
          <w:szCs w:val="24"/>
          <w:rtl/>
        </w:rPr>
        <w:t xml:space="preserve"> - </w:t>
      </w:r>
      <w:r w:rsidRPr="00206B59">
        <w:rPr>
          <w:rFonts w:ascii="Simplified Arabic" w:hAnsi="Simplified Arabic" w:cs="Simplified Arabic" w:hint="cs"/>
          <w:sz w:val="24"/>
          <w:szCs w:val="24"/>
          <w:rtl/>
        </w:rPr>
        <w:t>لوس</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أنجلوس</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UCLA</w:t>
      </w:r>
      <w:r w:rsidRPr="00206B59">
        <w:rPr>
          <w:rFonts w:asciiTheme="majorBidi" w:hAnsiTheme="majorBidi" w:cstheme="majorBidi"/>
          <w:sz w:val="24"/>
          <w:szCs w:val="24"/>
          <w:rtl/>
        </w:rPr>
        <w:t>)</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عام</w:t>
      </w:r>
      <w:r w:rsidRPr="00206B59">
        <w:rPr>
          <w:rFonts w:ascii="Simplified Arabic" w:hAnsi="Simplified Arabic" w:cs="Simplified Arabic"/>
          <w:sz w:val="24"/>
          <w:szCs w:val="24"/>
          <w:rtl/>
        </w:rPr>
        <w:t xml:space="preserve"> 1980</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الولايات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المتحدة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الأمريكية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إنها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رسمية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تعديلها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الاستبيانات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القائمة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وطرق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اجتماع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القائمة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لاشتقاق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مؤشرات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الإجماع</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Raine et al. 2014</w:t>
      </w:r>
      <w:r w:rsidRPr="00206B59">
        <w:rPr>
          <w:rFonts w:asciiTheme="majorBidi" w:hAnsiTheme="majorBidi" w:cstheme="majorBidi"/>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تطبيق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الطريقة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باستخدام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الأدلة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العلمية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جنبًا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جنب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آراء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المتخصصين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تتضمن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جولتين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متواصلتين</w:t>
      </w:r>
      <w:r w:rsidRPr="00206B59">
        <w:rPr>
          <w:rFonts w:ascii="Simplified Arabic" w:hAnsi="Simplified Arabic" w:cs="Simplified Arabic"/>
          <w:sz w:val="24"/>
          <w:szCs w:val="24"/>
          <w:rtl/>
        </w:rPr>
        <w:t>:</w:t>
      </w:r>
    </w:p>
    <w:p w:rsidR="000B42BD" w:rsidRPr="00BB7388" w:rsidRDefault="000B42BD" w:rsidP="001D0548">
      <w:pPr>
        <w:pStyle w:val="Paragraphedeliste"/>
        <w:numPr>
          <w:ilvl w:val="0"/>
          <w:numId w:val="28"/>
        </w:numPr>
        <w:bidi/>
        <w:spacing w:after="0"/>
        <w:ind w:left="-1" w:firstLine="283"/>
        <w:jc w:val="both"/>
        <w:rPr>
          <w:rFonts w:ascii="Simplified Arabic" w:hAnsi="Simplified Arabic" w:cs="Simplified Arabic"/>
          <w:sz w:val="24"/>
          <w:szCs w:val="24"/>
        </w:rPr>
      </w:pPr>
      <w:r w:rsidRPr="003A4E2C">
        <w:rPr>
          <w:rFonts w:ascii="Simplified Arabic" w:hAnsi="Simplified Arabic" w:cs="Simplified Arabic"/>
          <w:b/>
          <w:bCs/>
          <w:sz w:val="24"/>
          <w:szCs w:val="24"/>
          <w:rtl/>
        </w:rPr>
        <w:t>الجولة الأولى</w:t>
      </w:r>
      <w:r w:rsidRPr="00BB7388">
        <w:rPr>
          <w:rFonts w:ascii="Simplified Arabic" w:hAnsi="Simplified Arabic" w:cs="Simplified Arabic"/>
          <w:sz w:val="24"/>
          <w:szCs w:val="24"/>
          <w:rtl/>
        </w:rPr>
        <w:t xml:space="preserve">: إعداد لجنة المعلومات الأساسية وتشكيل مجموعة من الخبراء. </w:t>
      </w:r>
      <w:r>
        <w:rPr>
          <w:rFonts w:ascii="Simplified Arabic" w:hAnsi="Simplified Arabic" w:cs="Simplified Arabic" w:hint="cs"/>
          <w:sz w:val="24"/>
          <w:szCs w:val="24"/>
          <w:rtl/>
        </w:rPr>
        <w:t>تتضمن</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لوحة </w:t>
      </w:r>
      <w:r w:rsidRPr="00BB7388">
        <w:rPr>
          <w:rFonts w:ascii="Simplified Arabic" w:hAnsi="Simplified Arabic" w:cs="Simplified Arabic"/>
          <w:sz w:val="24"/>
          <w:szCs w:val="24"/>
          <w:rtl/>
        </w:rPr>
        <w:t xml:space="preserve">معلومات هي البيانات المركبة التي سيتم إرسالها أولاً إلى الخبراء. لوحة المعلومات الأساسية هي نتيجة مراجعة منهجية ومركبة </w:t>
      </w:r>
      <w:r w:rsidR="00B34260">
        <w:rPr>
          <w:rFonts w:ascii="Simplified Arabic" w:hAnsi="Simplified Arabic" w:cs="Simplified Arabic" w:hint="cs"/>
          <w:sz w:val="24"/>
          <w:szCs w:val="24"/>
          <w:rtl/>
        </w:rPr>
        <w:t>للابحاث</w:t>
      </w:r>
      <w:r w:rsidRPr="00BB7388">
        <w:rPr>
          <w:rFonts w:ascii="Simplified Arabic" w:hAnsi="Simplified Arabic" w:cs="Simplified Arabic"/>
          <w:sz w:val="24"/>
          <w:szCs w:val="24"/>
          <w:rtl/>
        </w:rPr>
        <w:t xml:space="preserve"> لتزويد مجموعة الخبراء بجميع المعلومات ذات الصلة والبيانات الكمية في الاستبيان، التي ستوجه عملية صنع القرار القائمة على الأدلة. ثم يتم استخدام التقييمات من الجولة الأولى لتطوير قائمة المؤشرات</w:t>
      </w:r>
      <w:r>
        <w:rPr>
          <w:rFonts w:ascii="Simplified Arabic" w:hAnsi="Simplified Arabic" w:cs="Simplified Arabic" w:hint="cs"/>
          <w:sz w:val="24"/>
          <w:szCs w:val="24"/>
          <w:rtl/>
        </w:rPr>
        <w:t xml:space="preserve"> </w:t>
      </w:r>
      <w:r w:rsidRPr="00BB7388">
        <w:rPr>
          <w:rFonts w:ascii="Simplified Arabic" w:hAnsi="Simplified Arabic" w:cs="Simplified Arabic"/>
          <w:sz w:val="24"/>
          <w:szCs w:val="24"/>
          <w:rtl/>
        </w:rPr>
        <w:t>الأساسية.</w:t>
      </w:r>
    </w:p>
    <w:p w:rsidR="000B42BD" w:rsidRPr="00FF5959" w:rsidRDefault="000B42BD" w:rsidP="001D0548">
      <w:pPr>
        <w:pStyle w:val="Paragraphedeliste"/>
        <w:numPr>
          <w:ilvl w:val="0"/>
          <w:numId w:val="28"/>
        </w:numPr>
        <w:bidi/>
        <w:spacing w:after="0"/>
        <w:ind w:left="-1" w:firstLine="283"/>
        <w:jc w:val="both"/>
        <w:rPr>
          <w:rFonts w:asciiTheme="minorBidi" w:hAnsiTheme="minorBidi"/>
          <w:sz w:val="28"/>
          <w:szCs w:val="28"/>
        </w:rPr>
      </w:pPr>
      <w:r w:rsidRPr="00206B59">
        <w:rPr>
          <w:rFonts w:ascii="Simplified Arabic" w:hAnsi="Simplified Arabic" w:cs="Simplified Arabic" w:hint="cs"/>
          <w:b/>
          <w:bCs/>
          <w:sz w:val="24"/>
          <w:szCs w:val="24"/>
          <w:rtl/>
        </w:rPr>
        <w:t>الجولة</w:t>
      </w:r>
      <w:r w:rsidRPr="00206B59">
        <w:rPr>
          <w:rFonts w:ascii="Simplified Arabic" w:hAnsi="Simplified Arabic" w:cs="Simplified Arabic"/>
          <w:b/>
          <w:bCs/>
          <w:sz w:val="24"/>
          <w:szCs w:val="24"/>
          <w:rtl/>
        </w:rPr>
        <w:t xml:space="preserve"> </w:t>
      </w:r>
      <w:r w:rsidRPr="00206B59">
        <w:rPr>
          <w:rFonts w:ascii="Simplified Arabic" w:hAnsi="Simplified Arabic" w:cs="Simplified Arabic" w:hint="cs"/>
          <w:b/>
          <w:bCs/>
          <w:sz w:val="24"/>
          <w:szCs w:val="24"/>
          <w:rtl/>
        </w:rPr>
        <w:t>الثانية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يُطلب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متعددي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التخصصات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حضور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اجتماع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وجهاً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لوجه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ينظمه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وسيط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متمرس، يفضل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الرقم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الفردي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لتجنب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النتيجة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المقيدة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عند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التصويت</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Potter et al. 2004</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Theme="minorBidi" w:hAnsiTheme="minorBidi" w:cs="Arial"/>
          <w:sz w:val="28"/>
          <w:szCs w:val="28"/>
          <w:rtl/>
        </w:rPr>
        <w:t xml:space="preserve"> </w:t>
      </w:r>
      <w:r w:rsidRPr="00206B59">
        <w:rPr>
          <w:rFonts w:ascii="Simplified Arabic" w:hAnsi="Simplified Arabic" w:cs="Simplified Arabic" w:hint="cs"/>
          <w:sz w:val="24"/>
          <w:szCs w:val="24"/>
          <w:rtl/>
        </w:rPr>
        <w:t>يؤدي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اختيار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لجنة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متعددة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التخصصات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تقليل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التحيز</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يزود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بتقييمات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فردية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للمتخصصين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الآخرين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لمناقشة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مدى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ملاءمتها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نهاية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المناقشة،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يمكن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لكل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خبير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إعادة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النظر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تقييمه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الأولي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وإعادة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تقييم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المؤشرات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أخيرًا،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إعداد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قائمة نهائية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بالمؤشرات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بناءً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إجماع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تلك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المناسبة</w:t>
      </w:r>
      <w:r w:rsidRPr="00206B59">
        <w:rPr>
          <w:rFonts w:ascii="Simplified Arabic" w:hAnsi="Simplified Arabic" w:cs="Simplified Arabic"/>
          <w:sz w:val="24"/>
          <w:szCs w:val="24"/>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Potter et al. 2004</w:t>
      </w:r>
      <w:r w:rsidRPr="00206B59">
        <w:rPr>
          <w:rFonts w:asciiTheme="majorBidi" w:hAnsiTheme="majorBidi" w:cstheme="majorBidi"/>
          <w:sz w:val="24"/>
          <w:szCs w:val="24"/>
          <w:rtl/>
        </w:rPr>
        <w:t>)</w:t>
      </w:r>
      <w:r w:rsidRPr="00206B59">
        <w:rPr>
          <w:rFonts w:asciiTheme="minorBidi" w:hAnsiTheme="minorBidi" w:cs="Arial"/>
          <w:sz w:val="28"/>
          <w:szCs w:val="28"/>
          <w:rtl/>
        </w:rPr>
        <w:t>.</w:t>
      </w:r>
    </w:p>
    <w:p w:rsidR="000B42BD" w:rsidRPr="00BB7388" w:rsidRDefault="000B42BD" w:rsidP="000B42BD">
      <w:pPr>
        <w:bidi/>
        <w:spacing w:after="0"/>
        <w:ind w:firstLine="282"/>
        <w:jc w:val="both"/>
        <w:rPr>
          <w:rFonts w:ascii="Simplified Arabic" w:hAnsi="Simplified Arabic" w:cs="Simplified Arabic"/>
          <w:sz w:val="24"/>
          <w:szCs w:val="24"/>
          <w:rtl/>
        </w:rPr>
      </w:pPr>
      <w:r w:rsidRPr="00BB7388">
        <w:rPr>
          <w:rFonts w:ascii="Simplified Arabic" w:hAnsi="Simplified Arabic" w:cs="Simplified Arabic" w:hint="cs"/>
          <w:sz w:val="24"/>
          <w:szCs w:val="24"/>
          <w:rtl/>
        </w:rPr>
        <w:t>على</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الرغم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مزايا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مؤسسة</w:t>
      </w:r>
      <w:r w:rsidRPr="003C6AC1">
        <w:rPr>
          <w:rFonts w:asciiTheme="minorBidi" w:hAnsiTheme="minorBidi" w:cs="Arial"/>
          <w:sz w:val="28"/>
          <w:szCs w:val="28"/>
          <w:rtl/>
        </w:rPr>
        <w:t xml:space="preserve"> </w:t>
      </w:r>
      <w:r w:rsidRPr="00CE7678">
        <w:rPr>
          <w:rFonts w:asciiTheme="majorBidi" w:hAnsiTheme="majorBidi" w:cstheme="majorBidi"/>
          <w:sz w:val="24"/>
          <w:szCs w:val="24"/>
          <w:rtl/>
        </w:rPr>
        <w:t>(</w:t>
      </w:r>
      <w:r w:rsidRPr="00CE7678">
        <w:rPr>
          <w:rFonts w:asciiTheme="majorBidi" w:hAnsiTheme="majorBidi" w:cstheme="majorBidi"/>
          <w:sz w:val="24"/>
          <w:szCs w:val="24"/>
        </w:rPr>
        <w:t>RAND / UCLA</w:t>
      </w:r>
      <w:r w:rsidRPr="00CE7678">
        <w:rPr>
          <w:rFonts w:asciiTheme="majorBidi" w:hAnsiTheme="majorBidi" w:cstheme="majorBidi"/>
          <w:sz w:val="24"/>
          <w:szCs w:val="24"/>
          <w:rtl/>
        </w:rPr>
        <w:t>)</w:t>
      </w:r>
      <w:r w:rsidRPr="00BB7388">
        <w:rPr>
          <w:rFonts w:ascii="Simplified Arabic" w:hAnsi="Simplified Arabic" w:cs="Simplified Arabic" w:hint="cs"/>
          <w:sz w:val="24"/>
          <w:szCs w:val="24"/>
          <w:rtl/>
        </w:rPr>
        <w:t>،</w:t>
      </w:r>
      <w:r w:rsidRPr="003C6AC1">
        <w:rPr>
          <w:rFonts w:asciiTheme="minorBidi" w:hAnsiTheme="minorBidi" w:cs="Arial"/>
          <w:sz w:val="28"/>
          <w:szCs w:val="28"/>
          <w:rtl/>
        </w:rPr>
        <w:t xml:space="preserve"> </w:t>
      </w:r>
      <w:r w:rsidRPr="00BB7388">
        <w:rPr>
          <w:rFonts w:ascii="Simplified Arabic" w:hAnsi="Simplified Arabic" w:cs="Simplified Arabic" w:hint="cs"/>
          <w:sz w:val="24"/>
          <w:szCs w:val="24"/>
          <w:rtl/>
        </w:rPr>
        <w:t>فقد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تحديد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بعض</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العيوب</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على</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وجه</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التحديد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فيما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يتعلق</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بندرة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التطبيقات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عدة ميادين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كما</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أن </w:t>
      </w:r>
      <w:r w:rsidRPr="00BB7388">
        <w:rPr>
          <w:rFonts w:ascii="Simplified Arabic" w:hAnsi="Simplified Arabic" w:cs="Simplified Arabic" w:hint="cs"/>
          <w:sz w:val="24"/>
          <w:szCs w:val="24"/>
          <w:rtl/>
        </w:rPr>
        <w:t>تطبيق</w:t>
      </w:r>
      <w:r>
        <w:rPr>
          <w:rFonts w:ascii="Simplified Arabic" w:hAnsi="Simplified Arabic" w:cs="Simplified Arabic" w:hint="cs"/>
          <w:sz w:val="24"/>
          <w:szCs w:val="24"/>
          <w:rtl/>
        </w:rPr>
        <w:t>ها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معقد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ويستغرق</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وقتًا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طويلاً</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يحدث ان يكون هناك</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تحيز</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اختيار</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الخبراء</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يمكن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أن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تتأثر</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على </w:t>
      </w:r>
      <w:r w:rsidRPr="00BB7388">
        <w:rPr>
          <w:rFonts w:ascii="Simplified Arabic" w:hAnsi="Simplified Arabic" w:cs="Simplified Arabic" w:hint="cs"/>
          <w:sz w:val="24"/>
          <w:szCs w:val="24"/>
          <w:rtl/>
        </w:rPr>
        <w:t>الأحكام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النهائية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يصعب</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أحيانًا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عقد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اجتماعات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جماعية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وجهًا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لوجه</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بسبب</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القيود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الجغرافية</w:t>
      </w:r>
      <w:r w:rsidRPr="00BB7388">
        <w:rPr>
          <w:rFonts w:ascii="Simplified Arabic" w:hAnsi="Simplified Arabic" w:cs="Simplified Arabic"/>
          <w:sz w:val="24"/>
          <w:szCs w:val="24"/>
          <w:rtl/>
        </w:rPr>
        <w:t>.</w:t>
      </w:r>
    </w:p>
    <w:p w:rsidR="000B42BD" w:rsidRPr="00342CAA" w:rsidRDefault="000B42BD" w:rsidP="001D0548">
      <w:pPr>
        <w:pStyle w:val="Paragraphedeliste"/>
        <w:numPr>
          <w:ilvl w:val="3"/>
          <w:numId w:val="132"/>
        </w:numPr>
        <w:tabs>
          <w:tab w:val="right" w:pos="992"/>
        </w:tabs>
        <w:bidi/>
        <w:spacing w:after="0"/>
        <w:ind w:left="0" w:firstLine="0"/>
        <w:outlineLvl w:val="2"/>
        <w:rPr>
          <w:rFonts w:ascii="Simplified Arabic" w:hAnsi="Simplified Arabic" w:cs="Simplified Arabic"/>
          <w:b/>
          <w:bCs/>
          <w:sz w:val="24"/>
          <w:szCs w:val="24"/>
        </w:rPr>
      </w:pPr>
      <w:bookmarkStart w:id="408" w:name="_Toc171803515"/>
      <w:r w:rsidRPr="00342CAA">
        <w:rPr>
          <w:rFonts w:ascii="Simplified Arabic" w:hAnsi="Simplified Arabic" w:cs="Simplified Arabic" w:hint="cs"/>
          <w:b/>
          <w:bCs/>
          <w:sz w:val="24"/>
          <w:szCs w:val="24"/>
          <w:rtl/>
        </w:rPr>
        <w:t>مقارنة</w:t>
      </w:r>
      <w:r w:rsidRPr="00342CAA">
        <w:rPr>
          <w:rFonts w:ascii="Simplified Arabic" w:hAnsi="Simplified Arabic" w:cs="Simplified Arabic"/>
          <w:b/>
          <w:bCs/>
          <w:sz w:val="24"/>
          <w:szCs w:val="24"/>
          <w:rtl/>
        </w:rPr>
        <w:t xml:space="preserve"> </w:t>
      </w:r>
      <w:r w:rsidR="00342CAA" w:rsidRPr="00342CAA">
        <w:rPr>
          <w:rFonts w:ascii="Simplified Arabic" w:hAnsi="Simplified Arabic" w:cs="Simplified Arabic" w:hint="cs"/>
          <w:b/>
          <w:bCs/>
          <w:sz w:val="24"/>
          <w:szCs w:val="24"/>
          <w:rtl/>
        </w:rPr>
        <w:t xml:space="preserve">بين </w:t>
      </w:r>
      <w:r w:rsidRPr="00342CAA">
        <w:rPr>
          <w:rFonts w:ascii="Simplified Arabic" w:hAnsi="Simplified Arabic" w:cs="Simplified Arabic" w:hint="cs"/>
          <w:b/>
          <w:bCs/>
          <w:sz w:val="24"/>
          <w:szCs w:val="24"/>
          <w:rtl/>
        </w:rPr>
        <w:t>طرق</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الإجماع</w:t>
      </w:r>
      <w:bookmarkEnd w:id="408"/>
    </w:p>
    <w:p w:rsidR="000B42BD" w:rsidRPr="00A8038F" w:rsidRDefault="000B42BD" w:rsidP="000B42BD">
      <w:pPr>
        <w:bidi/>
        <w:spacing w:after="0"/>
        <w:ind w:firstLine="282"/>
        <w:jc w:val="both"/>
        <w:rPr>
          <w:rFonts w:ascii="Simplified Arabic" w:hAnsi="Simplified Arabic" w:cs="Simplified Arabic"/>
          <w:sz w:val="24"/>
          <w:szCs w:val="24"/>
        </w:rPr>
      </w:pPr>
      <w:r w:rsidRPr="00304809">
        <w:rPr>
          <w:rFonts w:ascii="Simplified Arabic" w:hAnsi="Simplified Arabic" w:cs="Simplified Arabic" w:hint="cs"/>
          <w:sz w:val="24"/>
          <w:szCs w:val="24"/>
          <w:rtl/>
        </w:rPr>
        <w:t>من</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أجل</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اختيار</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أسلوب</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إجماع</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مناسب</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يؤدي</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إلى</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اختيار</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العوامل (المؤشرات)</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المثلى</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في</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مجال</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تقييم المرونة الحضرية،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تم</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إجراء</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مقارنة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بين</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طرق</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الإجماع</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الرسمية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الثلاثة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تقنية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دلفي،</w:t>
      </w:r>
      <w:r w:rsidRPr="00304809">
        <w:rPr>
          <w:rFonts w:ascii="Simplified Arabic" w:hAnsi="Simplified Arabic" w:cs="Simplified Arabic"/>
          <w:sz w:val="24"/>
          <w:szCs w:val="24"/>
          <w:rtl/>
        </w:rPr>
        <w:t xml:space="preserve"> </w:t>
      </w:r>
      <w:r w:rsidRPr="00304809">
        <w:rPr>
          <w:rFonts w:asciiTheme="majorBidi" w:hAnsiTheme="majorBidi" w:cstheme="majorBidi"/>
          <w:sz w:val="24"/>
          <w:szCs w:val="24"/>
          <w:rtl/>
        </w:rPr>
        <w:t>(</w:t>
      </w:r>
      <w:r w:rsidRPr="00304809">
        <w:rPr>
          <w:rFonts w:asciiTheme="majorBidi" w:hAnsiTheme="majorBidi" w:cstheme="majorBidi"/>
          <w:sz w:val="24"/>
          <w:szCs w:val="24"/>
        </w:rPr>
        <w:t>NGT</w:t>
      </w:r>
      <w:r w:rsidRPr="00304809">
        <w:rPr>
          <w:rFonts w:asciiTheme="majorBidi" w:hAnsiTheme="majorBidi" w:cstheme="majorBidi"/>
          <w:sz w:val="24"/>
          <w:szCs w:val="24"/>
          <w:rtl/>
        </w:rPr>
        <w:t>)</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و</w:t>
      </w:r>
      <w:r w:rsidRPr="00304809">
        <w:rPr>
          <w:rFonts w:asciiTheme="minorBidi" w:hAnsiTheme="minorBidi" w:cs="Arial"/>
          <w:sz w:val="28"/>
          <w:szCs w:val="28"/>
          <w:rtl/>
        </w:rPr>
        <w:t xml:space="preserve"> </w:t>
      </w:r>
      <w:r w:rsidRPr="00304809">
        <w:rPr>
          <w:rFonts w:asciiTheme="majorBidi" w:hAnsiTheme="majorBidi" w:cstheme="majorBidi"/>
          <w:sz w:val="24"/>
          <w:szCs w:val="24"/>
          <w:rtl/>
        </w:rPr>
        <w:t>(</w:t>
      </w:r>
      <w:r w:rsidRPr="00304809">
        <w:rPr>
          <w:rFonts w:asciiTheme="majorBidi" w:hAnsiTheme="majorBidi" w:cstheme="majorBidi"/>
          <w:sz w:val="24"/>
          <w:szCs w:val="24"/>
        </w:rPr>
        <w:t>RAM</w:t>
      </w:r>
      <w:r w:rsidRPr="00304809">
        <w:rPr>
          <w:rFonts w:asciiTheme="majorBidi" w:hAnsiTheme="majorBidi" w:cstheme="majorBidi"/>
          <w:sz w:val="24"/>
          <w:szCs w:val="24"/>
          <w:rtl/>
        </w:rPr>
        <w:t>)</w:t>
      </w:r>
      <w:r w:rsidRPr="00304809">
        <w:rPr>
          <w:rFonts w:ascii="Simplified Arabic" w:hAnsi="Simplified Arabic" w:cs="Simplified Arabic"/>
          <w:sz w:val="24"/>
          <w:szCs w:val="24"/>
          <w:rtl/>
        </w:rPr>
        <w:t>.</w:t>
      </w:r>
      <w:r w:rsidRPr="00304809">
        <w:rPr>
          <w:rFonts w:asciiTheme="minorBidi" w:hAnsiTheme="minorBidi" w:cs="Arial"/>
          <w:sz w:val="28"/>
          <w:szCs w:val="28"/>
          <w:rtl/>
        </w:rPr>
        <w:t xml:space="preserve"> </w:t>
      </w:r>
      <w:r w:rsidRPr="00304809">
        <w:rPr>
          <w:rFonts w:ascii="Simplified Arabic" w:hAnsi="Simplified Arabic" w:cs="Simplified Arabic" w:hint="cs"/>
          <w:sz w:val="24"/>
          <w:szCs w:val="24"/>
          <w:rtl/>
        </w:rPr>
        <w:t>استندت</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المقارنة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إلى</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سبعة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عشر</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خاصية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فنية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أساسية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يعتقد</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أنها</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تجعل</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عملية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الإجماع</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فعالة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وبناءة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في</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مجال</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المرونة</w:t>
      </w:r>
      <w:r w:rsidRPr="00304809">
        <w:rPr>
          <w:rFonts w:ascii="Simplified Arabic" w:hAnsi="Simplified Arabic" w:cs="Simplified Arabic"/>
          <w:sz w:val="24"/>
          <w:szCs w:val="24"/>
          <w:rtl/>
        </w:rPr>
        <w:t xml:space="preserve"> </w:t>
      </w:r>
      <w:r w:rsidRPr="00304809">
        <w:rPr>
          <w:rFonts w:ascii="Simplified Arabic" w:hAnsi="Simplified Arabic" w:cs="Simplified Arabic" w:hint="cs"/>
          <w:sz w:val="24"/>
          <w:szCs w:val="24"/>
          <w:rtl/>
        </w:rPr>
        <w:t>الحضرية</w:t>
      </w:r>
      <w:r w:rsidRPr="00304809">
        <w:rPr>
          <w:rFonts w:ascii="Simplified Arabic" w:hAnsi="Simplified Arabic" w:cs="Simplified Arabic"/>
          <w:sz w:val="24"/>
          <w:szCs w:val="24"/>
          <w:rtl/>
        </w:rPr>
        <w:t>.</w:t>
      </w:r>
    </w:p>
    <w:p w:rsidR="000B42BD" w:rsidRPr="00AA7856" w:rsidRDefault="000B42BD" w:rsidP="002E7C71">
      <w:pPr>
        <w:bidi/>
        <w:spacing w:after="0"/>
        <w:ind w:firstLine="282"/>
        <w:jc w:val="both"/>
        <w:rPr>
          <w:rFonts w:ascii="Simplified Arabic" w:hAnsi="Simplified Arabic" w:cs="Simplified Arabic"/>
          <w:sz w:val="24"/>
          <w:szCs w:val="24"/>
          <w:rtl/>
        </w:rPr>
      </w:pPr>
      <w:r w:rsidRPr="00A8038F">
        <w:rPr>
          <w:rFonts w:ascii="Simplified Arabic" w:hAnsi="Simplified Arabic" w:cs="Simplified Arabic" w:hint="cs"/>
          <w:sz w:val="24"/>
          <w:szCs w:val="24"/>
          <w:rtl/>
        </w:rPr>
        <w:t>كما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هو</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موضح</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في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الجدول</w:t>
      </w:r>
      <w:r w:rsidRPr="00A8038F">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002E7C71">
        <w:rPr>
          <w:rFonts w:ascii="Simplified Arabic" w:hAnsi="Simplified Arabic" w:cs="Simplified Arabic" w:hint="cs"/>
          <w:sz w:val="24"/>
          <w:szCs w:val="24"/>
          <w:rtl/>
        </w:rPr>
        <w:t>3-1</w:t>
      </w:r>
      <w:r>
        <w:rPr>
          <w:rFonts w:ascii="Simplified Arabic" w:hAnsi="Simplified Arabic" w:cs="Simplified Arabic" w:hint="cs"/>
          <w:sz w:val="24"/>
          <w:szCs w:val="24"/>
          <w:rtl/>
        </w:rPr>
        <w:t>)</w:t>
      </w:r>
      <w:r w:rsidRPr="00A8038F">
        <w:rPr>
          <w:rFonts w:ascii="Simplified Arabic" w:hAnsi="Simplified Arabic" w:cs="Simplified Arabic" w:hint="cs"/>
          <w:sz w:val="24"/>
          <w:szCs w:val="24"/>
          <w:rtl/>
        </w:rPr>
        <w:t>،</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كانت</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تقنية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دلفي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هي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الأداة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الأفضل،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حيث</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حققت</w:t>
      </w:r>
      <w:r w:rsidRPr="00A8038F">
        <w:rPr>
          <w:rFonts w:ascii="Simplified Arabic" w:hAnsi="Simplified Arabic" w:cs="Simplified Arabic"/>
          <w:sz w:val="24"/>
          <w:szCs w:val="24"/>
          <w:rtl/>
        </w:rPr>
        <w:t xml:space="preserve"> </w:t>
      </w:r>
      <w:r w:rsidR="00F32493">
        <w:rPr>
          <w:rFonts w:ascii="Simplified Arabic" w:hAnsi="Simplified Arabic" w:cs="Simplified Arabic"/>
          <w:sz w:val="24"/>
          <w:szCs w:val="24"/>
        </w:rPr>
        <w:t>70,6</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من</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التوافق</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الكامل</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مع</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قائمة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الخصائص</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التي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تم</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اختيارها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بينما</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جاءت</w:t>
      </w:r>
      <w:r w:rsidRPr="003C6AC1">
        <w:rPr>
          <w:rFonts w:asciiTheme="minorBidi" w:hAnsiTheme="minorBidi" w:cs="Arial"/>
          <w:sz w:val="28"/>
          <w:szCs w:val="28"/>
          <w:rtl/>
        </w:rPr>
        <w:t xml:space="preserve"> </w:t>
      </w:r>
      <w:r w:rsidRPr="00CE7678">
        <w:rPr>
          <w:rFonts w:asciiTheme="majorBidi" w:hAnsiTheme="majorBidi" w:cstheme="majorBidi"/>
          <w:sz w:val="24"/>
          <w:szCs w:val="24"/>
          <w:rtl/>
        </w:rPr>
        <w:t>(</w:t>
      </w:r>
      <w:r w:rsidRPr="00CE7678">
        <w:rPr>
          <w:rFonts w:asciiTheme="majorBidi" w:hAnsiTheme="majorBidi" w:cstheme="majorBidi"/>
          <w:sz w:val="24"/>
          <w:szCs w:val="24"/>
        </w:rPr>
        <w:t>RAND / UCLA</w:t>
      </w:r>
      <w:r w:rsidRPr="00CE7678">
        <w:rPr>
          <w:rFonts w:asciiTheme="majorBidi" w:hAnsiTheme="majorBidi" w:cstheme="majorBidi"/>
          <w:sz w:val="24"/>
          <w:szCs w:val="24"/>
          <w:rtl/>
        </w:rPr>
        <w:t>)</w:t>
      </w:r>
      <w:r w:rsidRPr="003C6AC1">
        <w:rPr>
          <w:rFonts w:asciiTheme="minorBidi" w:hAnsiTheme="minorBidi" w:cs="Arial"/>
          <w:sz w:val="28"/>
          <w:szCs w:val="28"/>
          <w:rtl/>
        </w:rPr>
        <w:t xml:space="preserve"> </w:t>
      </w:r>
      <w:r w:rsidRPr="00A8038F">
        <w:rPr>
          <w:rFonts w:ascii="Simplified Arabic" w:hAnsi="Simplified Arabic" w:cs="Simplified Arabic" w:hint="cs"/>
          <w:sz w:val="24"/>
          <w:szCs w:val="24"/>
          <w:rtl/>
        </w:rPr>
        <w:t>في</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المرتبة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الثانية</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حيث</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بلغت</w:t>
      </w:r>
      <w:r w:rsidRPr="00A8038F">
        <w:rPr>
          <w:rFonts w:ascii="Simplified Arabic" w:hAnsi="Simplified Arabic" w:cs="Simplified Arabic"/>
          <w:sz w:val="24"/>
          <w:szCs w:val="24"/>
          <w:rtl/>
        </w:rPr>
        <w:t xml:space="preserve"> </w:t>
      </w:r>
      <w:r w:rsidR="00F32493">
        <w:rPr>
          <w:rFonts w:ascii="Simplified Arabic" w:hAnsi="Simplified Arabic" w:cs="Simplified Arabic"/>
          <w:sz w:val="24"/>
          <w:szCs w:val="24"/>
        </w:rPr>
        <w:t>64,7</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w:t>
      </w:r>
      <w:r w:rsidRPr="00A8038F">
        <w:rPr>
          <w:rFonts w:ascii="Simplified Arabic" w:hAnsi="Simplified Arabic" w:cs="Simplified Arabic"/>
          <w:sz w:val="24"/>
          <w:szCs w:val="24"/>
          <w:rtl/>
        </w:rPr>
        <w:t xml:space="preserve"> </w:t>
      </w:r>
      <w:r w:rsidRPr="00A8038F">
        <w:rPr>
          <w:rFonts w:ascii="Simplified Arabic" w:hAnsi="Simplified Arabic" w:cs="Simplified Arabic" w:hint="cs"/>
          <w:sz w:val="24"/>
          <w:szCs w:val="24"/>
          <w:rtl/>
        </w:rPr>
        <w:t>تليها</w:t>
      </w:r>
      <w:r w:rsidRPr="00A8038F">
        <w:rPr>
          <w:rFonts w:ascii="Simplified Arabic" w:hAnsi="Simplified Arabic" w:cs="Simplified Arabic"/>
          <w:sz w:val="24"/>
          <w:szCs w:val="24"/>
          <w:rtl/>
        </w:rPr>
        <w:t xml:space="preserve"> 41.2٪ </w:t>
      </w:r>
      <w:r w:rsidRPr="00A8038F">
        <w:rPr>
          <w:rFonts w:ascii="Simplified Arabic" w:hAnsi="Simplified Arabic" w:cs="Simplified Arabic" w:hint="cs"/>
          <w:sz w:val="24"/>
          <w:szCs w:val="24"/>
          <w:rtl/>
        </w:rPr>
        <w:t>لتقنية</w:t>
      </w:r>
      <w:r w:rsidRPr="003C6AC1">
        <w:rPr>
          <w:rFonts w:asciiTheme="minorBidi" w:hAnsiTheme="minorBidi" w:cs="Arial"/>
          <w:sz w:val="28"/>
          <w:szCs w:val="28"/>
          <w:rtl/>
        </w:rPr>
        <w:t xml:space="preserve"> </w:t>
      </w:r>
      <w:r w:rsidRPr="005F2F83">
        <w:rPr>
          <w:rFonts w:asciiTheme="majorBidi" w:hAnsiTheme="majorBidi" w:cstheme="majorBidi"/>
          <w:sz w:val="24"/>
          <w:szCs w:val="24"/>
          <w:rtl/>
        </w:rPr>
        <w:t>(</w:t>
      </w:r>
      <w:r w:rsidRPr="005F2F83">
        <w:rPr>
          <w:rFonts w:asciiTheme="majorBidi" w:hAnsiTheme="majorBidi" w:cstheme="majorBidi"/>
          <w:sz w:val="24"/>
          <w:szCs w:val="24"/>
        </w:rPr>
        <w:t>NGT</w:t>
      </w:r>
      <w:r w:rsidRPr="005F2F83">
        <w:rPr>
          <w:rFonts w:asciiTheme="majorBidi" w:hAnsiTheme="majorBidi" w:cstheme="majorBidi"/>
          <w:sz w:val="24"/>
          <w:szCs w:val="24"/>
          <w:rtl/>
        </w:rPr>
        <w:t>)</w:t>
      </w:r>
      <w:r w:rsidRPr="00AA7856">
        <w:rPr>
          <w:rFonts w:ascii="Simplified Arabic" w:hAnsi="Simplified Arabic" w:cs="Simplified Arabic"/>
          <w:sz w:val="24"/>
          <w:szCs w:val="24"/>
          <w:rtl/>
        </w:rPr>
        <w:t>.</w:t>
      </w:r>
    </w:p>
    <w:p w:rsidR="000B42BD" w:rsidRDefault="000B42BD" w:rsidP="00F76D99">
      <w:pPr>
        <w:pStyle w:val="Tableau"/>
        <w:rPr>
          <w:rtl/>
        </w:rPr>
      </w:pPr>
      <w:bookmarkStart w:id="409" w:name="_Toc157612976"/>
      <w:bookmarkStart w:id="410" w:name="_Toc171803516"/>
      <w:r w:rsidRPr="00BB7388">
        <w:rPr>
          <w:rFonts w:hint="cs"/>
          <w:rtl/>
        </w:rPr>
        <w:lastRenderedPageBreak/>
        <w:t>الجدول</w:t>
      </w:r>
      <w:r w:rsidRPr="00BB7388">
        <w:rPr>
          <w:rtl/>
        </w:rPr>
        <w:t xml:space="preserve"> </w:t>
      </w:r>
      <w:r>
        <w:rPr>
          <w:rFonts w:hint="cs"/>
          <w:rtl/>
        </w:rPr>
        <w:t>(</w:t>
      </w:r>
      <w:r w:rsidR="002E7C71">
        <w:rPr>
          <w:rFonts w:hint="cs"/>
          <w:rtl/>
        </w:rPr>
        <w:t>3-1</w:t>
      </w:r>
      <w:r>
        <w:rPr>
          <w:rFonts w:hint="cs"/>
          <w:rtl/>
        </w:rPr>
        <w:t>)</w:t>
      </w:r>
      <w:r w:rsidRPr="00BB7388">
        <w:rPr>
          <w:rtl/>
        </w:rPr>
        <w:t xml:space="preserve">: </w:t>
      </w:r>
      <w:r w:rsidRPr="00BB7388">
        <w:rPr>
          <w:rFonts w:hint="cs"/>
          <w:rtl/>
        </w:rPr>
        <w:t>مقارنة</w:t>
      </w:r>
      <w:r w:rsidRPr="00BB7388">
        <w:rPr>
          <w:rtl/>
        </w:rPr>
        <w:t xml:space="preserve"> </w:t>
      </w:r>
      <w:r w:rsidRPr="00BB7388">
        <w:rPr>
          <w:rFonts w:hint="cs"/>
          <w:rtl/>
        </w:rPr>
        <w:t>بين</w:t>
      </w:r>
      <w:r w:rsidRPr="00BB7388">
        <w:rPr>
          <w:rtl/>
        </w:rPr>
        <w:t xml:space="preserve"> </w:t>
      </w:r>
      <w:r w:rsidRPr="00BB7388">
        <w:rPr>
          <w:rFonts w:hint="cs"/>
          <w:rtl/>
        </w:rPr>
        <w:t>خصائص</w:t>
      </w:r>
      <w:r w:rsidRPr="00BB7388">
        <w:rPr>
          <w:rtl/>
        </w:rPr>
        <w:t xml:space="preserve"> </w:t>
      </w:r>
      <w:r w:rsidRPr="00BB7388">
        <w:rPr>
          <w:rFonts w:hint="cs"/>
          <w:rtl/>
        </w:rPr>
        <w:t>تقنيات</w:t>
      </w:r>
      <w:r w:rsidRPr="00BB7388">
        <w:rPr>
          <w:rtl/>
        </w:rPr>
        <w:t xml:space="preserve"> </w:t>
      </w:r>
      <w:r w:rsidRPr="00BB7388">
        <w:rPr>
          <w:rFonts w:hint="cs"/>
          <w:rtl/>
        </w:rPr>
        <w:t>الإجماع</w:t>
      </w:r>
      <w:r w:rsidRPr="00BB7388">
        <w:rPr>
          <w:rtl/>
        </w:rPr>
        <w:t xml:space="preserve"> </w:t>
      </w:r>
      <w:r w:rsidRPr="00BB7388">
        <w:rPr>
          <w:rFonts w:hint="cs"/>
          <w:rtl/>
        </w:rPr>
        <w:t>الرسمي</w:t>
      </w:r>
      <w:bookmarkEnd w:id="409"/>
      <w:bookmarkEnd w:id="410"/>
    </w:p>
    <w:p w:rsidR="00597092" w:rsidRPr="00597092" w:rsidRDefault="00597092" w:rsidP="00597092">
      <w:pPr>
        <w:pStyle w:val="fegure"/>
        <w:rPr>
          <w:sz w:val="8"/>
          <w:szCs w:val="24"/>
          <w:rtl/>
          <w:lang w:val="en-US"/>
        </w:rPr>
      </w:pPr>
      <w:bookmarkStart w:id="411" w:name="_Toc171803517"/>
      <w:r>
        <w:rPr>
          <w:rFonts w:hint="cs"/>
          <w:sz w:val="8"/>
          <w:szCs w:val="24"/>
          <w:rtl/>
          <w:lang w:val="en-US"/>
        </w:rPr>
        <w:t>المصدر: (الباحث، 2022)</w:t>
      </w:r>
      <w:bookmarkEnd w:id="411"/>
    </w:p>
    <w:tbl>
      <w:tblPr>
        <w:bidiVisual/>
        <w:tblW w:w="0" w:type="auto"/>
        <w:jc w:val="center"/>
        <w:tblInd w:w="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1062"/>
        <w:gridCol w:w="525"/>
        <w:gridCol w:w="992"/>
        <w:gridCol w:w="497"/>
        <w:gridCol w:w="925"/>
        <w:gridCol w:w="448"/>
        <w:gridCol w:w="965"/>
      </w:tblGrid>
      <w:tr w:rsidR="000B42BD" w:rsidRPr="00DB07DE" w:rsidTr="001E12D7">
        <w:trPr>
          <w:jc w:val="center"/>
        </w:trPr>
        <w:tc>
          <w:tcPr>
            <w:tcW w:w="3458" w:type="dxa"/>
            <w:gridSpan w:val="2"/>
            <w:vMerge w:val="restart"/>
            <w:vAlign w:val="center"/>
          </w:tcPr>
          <w:p w:rsidR="000B42BD" w:rsidRPr="00DB07DE" w:rsidRDefault="000B42BD" w:rsidP="001E12D7">
            <w:pPr>
              <w:bidi/>
              <w:spacing w:after="0" w:line="240" w:lineRule="auto"/>
              <w:rPr>
                <w:rFonts w:ascii="Simplified Arabic" w:hAnsi="Simplified Arabic" w:cs="Simplified Arabic"/>
                <w:sz w:val="20"/>
                <w:szCs w:val="20"/>
                <w:rtl/>
                <w:lang w:bidi="ar-DZ"/>
              </w:rPr>
            </w:pPr>
            <w:r w:rsidRPr="00DB07DE">
              <w:rPr>
                <w:rFonts w:ascii="Simplified Arabic" w:hAnsi="Simplified Arabic" w:cs="Simplified Arabic"/>
                <w:sz w:val="20"/>
                <w:szCs w:val="20"/>
                <w:rtl/>
              </w:rPr>
              <w:t>مميزات</w:t>
            </w:r>
          </w:p>
        </w:tc>
        <w:tc>
          <w:tcPr>
            <w:tcW w:w="4352" w:type="dxa"/>
            <w:gridSpan w:val="6"/>
            <w:vAlign w:val="center"/>
          </w:tcPr>
          <w:p w:rsidR="000B42BD" w:rsidRPr="00DB07DE" w:rsidRDefault="000B42BD" w:rsidP="001E12D7">
            <w:pPr>
              <w:bidi/>
              <w:spacing w:after="0" w:line="240" w:lineRule="auto"/>
              <w:jc w:val="center"/>
              <w:rPr>
                <w:rFonts w:ascii="Simplified Arabic" w:hAnsi="Simplified Arabic" w:cs="Simplified Arabic"/>
                <w:sz w:val="20"/>
                <w:szCs w:val="20"/>
                <w:rtl/>
                <w:lang w:bidi="ar-DZ"/>
              </w:rPr>
            </w:pPr>
            <w:r w:rsidRPr="00DB07DE">
              <w:rPr>
                <w:rFonts w:ascii="Simplified Arabic" w:hAnsi="Simplified Arabic" w:cs="Simplified Arabic"/>
                <w:sz w:val="20"/>
                <w:szCs w:val="20"/>
                <w:rtl/>
              </w:rPr>
              <w:t>تقنيات الإجماع الرسمية</w:t>
            </w:r>
          </w:p>
        </w:tc>
      </w:tr>
      <w:tr w:rsidR="000B42BD" w:rsidRPr="00DB07DE" w:rsidTr="001E12D7">
        <w:trPr>
          <w:jc w:val="center"/>
        </w:trPr>
        <w:tc>
          <w:tcPr>
            <w:tcW w:w="3458" w:type="dxa"/>
            <w:gridSpan w:val="2"/>
            <w:vMerge/>
            <w:vAlign w:val="center"/>
          </w:tcPr>
          <w:p w:rsidR="000B42BD" w:rsidRPr="00DB07DE" w:rsidRDefault="000B42BD" w:rsidP="001E12D7">
            <w:pPr>
              <w:pStyle w:val="Default"/>
              <w:bidi/>
              <w:rPr>
                <w:rFonts w:ascii="Simplified Arabic" w:hAnsi="Simplified Arabic" w:cs="Simplified Arabic"/>
                <w:sz w:val="20"/>
                <w:szCs w:val="20"/>
              </w:rPr>
            </w:pPr>
          </w:p>
        </w:tc>
        <w:tc>
          <w:tcPr>
            <w:tcW w:w="1517" w:type="dxa"/>
            <w:gridSpan w:val="2"/>
            <w:vAlign w:val="center"/>
          </w:tcPr>
          <w:p w:rsidR="000B42BD" w:rsidRPr="00D30455" w:rsidRDefault="000B42BD" w:rsidP="001E12D7">
            <w:pPr>
              <w:bidi/>
              <w:spacing w:after="0" w:line="240" w:lineRule="auto"/>
              <w:jc w:val="center"/>
              <w:rPr>
                <w:rFonts w:ascii="Simplified Arabic" w:hAnsi="Simplified Arabic" w:cs="Simplified Arabic"/>
                <w:sz w:val="20"/>
                <w:szCs w:val="20"/>
              </w:rPr>
            </w:pPr>
            <w:r w:rsidRPr="00D30455">
              <w:rPr>
                <w:rFonts w:asciiTheme="majorBidi" w:hAnsiTheme="majorBidi" w:cstheme="majorBidi"/>
                <w:sz w:val="20"/>
                <w:szCs w:val="20"/>
              </w:rPr>
              <w:t xml:space="preserve"> (Delphi)</w:t>
            </w:r>
            <w:r>
              <w:rPr>
                <w:rFonts w:ascii="Simplified Arabic" w:hAnsi="Simplified Arabic" w:cs="Simplified Arabic"/>
                <w:sz w:val="20"/>
                <w:szCs w:val="20"/>
              </w:rPr>
              <w:t xml:space="preserve"> </w:t>
            </w:r>
          </w:p>
        </w:tc>
        <w:tc>
          <w:tcPr>
            <w:tcW w:w="1422" w:type="dxa"/>
            <w:gridSpan w:val="2"/>
            <w:vAlign w:val="center"/>
          </w:tcPr>
          <w:p w:rsidR="000B42BD" w:rsidRPr="00D30455" w:rsidRDefault="000B42BD" w:rsidP="001E12D7">
            <w:pPr>
              <w:bidi/>
              <w:spacing w:after="0" w:line="240" w:lineRule="auto"/>
              <w:jc w:val="center"/>
              <w:rPr>
                <w:rFonts w:asciiTheme="majorBidi" w:hAnsiTheme="majorBidi" w:cstheme="majorBidi"/>
                <w:sz w:val="20"/>
                <w:szCs w:val="20"/>
                <w:lang w:bidi="ar-DZ"/>
              </w:rPr>
            </w:pPr>
            <w:r w:rsidRPr="00D30455">
              <w:rPr>
                <w:rFonts w:asciiTheme="majorBidi" w:hAnsiTheme="majorBidi" w:cstheme="majorBidi"/>
                <w:sz w:val="20"/>
                <w:szCs w:val="20"/>
                <w:rtl/>
              </w:rPr>
              <w:t>(</w:t>
            </w:r>
            <w:r w:rsidRPr="00D30455">
              <w:rPr>
                <w:rFonts w:asciiTheme="majorBidi" w:hAnsiTheme="majorBidi" w:cstheme="majorBidi"/>
                <w:sz w:val="20"/>
                <w:szCs w:val="20"/>
              </w:rPr>
              <w:t>NGT</w:t>
            </w:r>
            <w:r w:rsidRPr="00D30455">
              <w:rPr>
                <w:rFonts w:asciiTheme="majorBidi" w:hAnsiTheme="majorBidi" w:cstheme="majorBidi"/>
                <w:sz w:val="20"/>
                <w:szCs w:val="20"/>
                <w:rtl/>
              </w:rPr>
              <w:t>)</w:t>
            </w:r>
          </w:p>
        </w:tc>
        <w:tc>
          <w:tcPr>
            <w:tcW w:w="1413" w:type="dxa"/>
            <w:gridSpan w:val="2"/>
            <w:vAlign w:val="center"/>
          </w:tcPr>
          <w:p w:rsidR="000B42BD" w:rsidRPr="00D30455" w:rsidRDefault="000B42BD" w:rsidP="001E12D7">
            <w:pPr>
              <w:pStyle w:val="Default"/>
              <w:bidi/>
              <w:jc w:val="center"/>
              <w:rPr>
                <w:rFonts w:asciiTheme="majorBidi" w:hAnsiTheme="majorBidi" w:cstheme="majorBidi"/>
                <w:sz w:val="20"/>
                <w:szCs w:val="20"/>
                <w:rtl/>
                <w:lang w:bidi="ar-DZ"/>
              </w:rPr>
            </w:pPr>
            <w:r w:rsidRPr="00D30455">
              <w:rPr>
                <w:rFonts w:asciiTheme="majorBidi" w:hAnsiTheme="majorBidi" w:cstheme="majorBidi"/>
                <w:sz w:val="20"/>
                <w:szCs w:val="20"/>
                <w:rtl/>
              </w:rPr>
              <w:t>(</w:t>
            </w:r>
            <w:r w:rsidRPr="00D30455">
              <w:rPr>
                <w:rFonts w:asciiTheme="majorBidi" w:hAnsiTheme="majorBidi" w:cstheme="majorBidi"/>
                <w:sz w:val="20"/>
                <w:szCs w:val="20"/>
              </w:rPr>
              <w:t>RAM</w:t>
            </w:r>
            <w:r w:rsidRPr="00D30455">
              <w:rPr>
                <w:rFonts w:asciiTheme="majorBidi" w:hAnsiTheme="majorBidi" w:cstheme="majorBidi"/>
                <w:sz w:val="20"/>
                <w:szCs w:val="20"/>
                <w:rtl/>
              </w:rPr>
              <w:t>)</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rPr>
            </w:pPr>
            <w:r w:rsidRPr="00D30455">
              <w:rPr>
                <w:rFonts w:ascii="Simplified Arabic" w:hAnsi="Simplified Arabic" w:cs="Simplified Arabic"/>
                <w:rtl/>
              </w:rPr>
              <w:t xml:space="preserve">استطلاع عبر البريد الإلكتروني </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صدرت قرارات خاصة قبل مناقشة المجموعة</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r>
      <w:tr w:rsidR="000B42BD" w:rsidRPr="001C2DC3" w:rsidTr="001E12D7">
        <w:trPr>
          <w:trHeight w:val="70"/>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عدم الكشف عن هويته</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تكرار الجولات</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كفاءة التجميع الجغرافي</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تجنب الاتصال وجهاً لوجه</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منظم التفاعل</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يتضمن الأدلة</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يولد عددًا كبيرًا من الأفكار</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تجنب التركيز على مفهوم واحد</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مساهمات متساوية من جميع أعضاء الفريق</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عملية منظمة للغاية</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تجنب اتخاذ القرار السريع</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ردود الفعل الرسمية الخاضعة للرقابة</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يقيس أهمية الأفكار المتولدة</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سرعة الانجاز</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r>
      <w:tr w:rsidR="000B42BD" w:rsidRPr="001C2DC3" w:rsidTr="001E12D7">
        <w:trPr>
          <w:jc w:val="center"/>
        </w:trPr>
        <w:tc>
          <w:tcPr>
            <w:tcW w:w="3458" w:type="dxa"/>
            <w:gridSpan w:val="2"/>
            <w:vAlign w:val="center"/>
          </w:tcPr>
          <w:p w:rsidR="000B42BD" w:rsidRPr="00D30455" w:rsidRDefault="000B42BD" w:rsidP="001E12D7">
            <w:pPr>
              <w:bidi/>
              <w:spacing w:after="0" w:line="240" w:lineRule="auto"/>
              <w:rPr>
                <w:rFonts w:ascii="Simplified Arabic" w:hAnsi="Simplified Arabic" w:cs="Simplified Arabic"/>
                <w:rtl/>
                <w:lang w:bidi="ar-DZ"/>
              </w:rPr>
            </w:pPr>
            <w:r w:rsidRPr="00D30455">
              <w:rPr>
                <w:rFonts w:ascii="Simplified Arabic" w:hAnsi="Simplified Arabic" w:cs="Simplified Arabic"/>
                <w:rtl/>
              </w:rPr>
              <w:t xml:space="preserve">اقتصاد الوقت </w:t>
            </w:r>
          </w:p>
        </w:tc>
        <w:tc>
          <w:tcPr>
            <w:tcW w:w="1517"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2</w:t>
            </w:r>
          </w:p>
        </w:tc>
        <w:tc>
          <w:tcPr>
            <w:tcW w:w="1422"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3</w:t>
            </w:r>
          </w:p>
        </w:tc>
        <w:tc>
          <w:tcPr>
            <w:tcW w:w="1413" w:type="dxa"/>
            <w:gridSpan w:val="2"/>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rtl/>
              </w:rPr>
              <w:t>1</w:t>
            </w:r>
          </w:p>
        </w:tc>
      </w:tr>
      <w:tr w:rsidR="000B42BD" w:rsidRPr="00DB07DE" w:rsidTr="001E12D7">
        <w:trPr>
          <w:jc w:val="center"/>
        </w:trPr>
        <w:tc>
          <w:tcPr>
            <w:tcW w:w="2396" w:type="dxa"/>
            <w:vMerge w:val="restart"/>
            <w:vAlign w:val="center"/>
          </w:tcPr>
          <w:p w:rsidR="000B42BD" w:rsidRPr="00D30455" w:rsidRDefault="000B42BD" w:rsidP="001E12D7">
            <w:pPr>
              <w:bidi/>
              <w:spacing w:after="0" w:line="240" w:lineRule="auto"/>
              <w:rPr>
                <w:rFonts w:ascii="Simplified Arabic" w:hAnsi="Simplified Arabic" w:cs="Simplified Arabic"/>
                <w:rtl/>
              </w:rPr>
            </w:pPr>
            <w:r w:rsidRPr="00D30455">
              <w:rPr>
                <w:rFonts w:ascii="Simplified Arabic" w:hAnsi="Simplified Arabic" w:cs="Simplified Arabic"/>
                <w:rtl/>
              </w:rPr>
              <w:t>نسبة شمول الخصائص</w:t>
            </w:r>
          </w:p>
        </w:tc>
        <w:tc>
          <w:tcPr>
            <w:tcW w:w="1062" w:type="dxa"/>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tl/>
              </w:rPr>
              <w:t>1</w:t>
            </w:r>
          </w:p>
        </w:tc>
        <w:tc>
          <w:tcPr>
            <w:tcW w:w="52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1</w:t>
            </w:r>
          </w:p>
        </w:tc>
        <w:tc>
          <w:tcPr>
            <w:tcW w:w="992"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02.18</w:t>
            </w:r>
            <w:r w:rsidRPr="00D30455">
              <w:rPr>
                <w:rFonts w:ascii="Simplified Arabic" w:hAnsi="Simplified Arabic" w:cs="Simplified Arabic"/>
                <w:lang w:bidi="ar-DZ"/>
              </w:rPr>
              <w:t>%</w:t>
            </w:r>
          </w:p>
        </w:tc>
        <w:tc>
          <w:tcPr>
            <w:tcW w:w="497"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6</w:t>
            </w:r>
          </w:p>
        </w:tc>
        <w:tc>
          <w:tcPr>
            <w:tcW w:w="92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16.66</w:t>
            </w:r>
            <w:r w:rsidRPr="00D30455">
              <w:rPr>
                <w:rFonts w:ascii="Simplified Arabic" w:hAnsi="Simplified Arabic" w:cs="Simplified Arabic"/>
                <w:lang w:bidi="ar-DZ"/>
              </w:rPr>
              <w:t>%</w:t>
            </w:r>
          </w:p>
        </w:tc>
        <w:tc>
          <w:tcPr>
            <w:tcW w:w="448"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6</w:t>
            </w:r>
          </w:p>
        </w:tc>
        <w:tc>
          <w:tcPr>
            <w:tcW w:w="96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17.64</w:t>
            </w:r>
            <w:r w:rsidRPr="00D30455">
              <w:rPr>
                <w:rFonts w:ascii="Simplified Arabic" w:hAnsi="Simplified Arabic" w:cs="Simplified Arabic"/>
                <w:lang w:bidi="ar-DZ"/>
              </w:rPr>
              <w:t>%</w:t>
            </w:r>
          </w:p>
        </w:tc>
      </w:tr>
      <w:tr w:rsidR="000B42BD" w:rsidRPr="00DB07DE" w:rsidTr="001E12D7">
        <w:trPr>
          <w:jc w:val="center"/>
        </w:trPr>
        <w:tc>
          <w:tcPr>
            <w:tcW w:w="2396" w:type="dxa"/>
            <w:vMerge/>
            <w:vAlign w:val="center"/>
          </w:tcPr>
          <w:p w:rsidR="000B42BD" w:rsidRPr="00D30455" w:rsidRDefault="000B42BD" w:rsidP="001E12D7">
            <w:pPr>
              <w:bidi/>
              <w:spacing w:after="0" w:line="240" w:lineRule="auto"/>
              <w:rPr>
                <w:rFonts w:ascii="Simplified Arabic" w:hAnsi="Simplified Arabic" w:cs="Simplified Arabic"/>
                <w:rtl/>
              </w:rPr>
            </w:pPr>
          </w:p>
        </w:tc>
        <w:tc>
          <w:tcPr>
            <w:tcW w:w="1062" w:type="dxa"/>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tl/>
              </w:rPr>
              <w:t>2</w:t>
            </w:r>
          </w:p>
        </w:tc>
        <w:tc>
          <w:tcPr>
            <w:tcW w:w="52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6</w:t>
            </w:r>
          </w:p>
        </w:tc>
        <w:tc>
          <w:tcPr>
            <w:tcW w:w="992"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13.04</w:t>
            </w:r>
            <w:r w:rsidRPr="00D30455">
              <w:rPr>
                <w:rFonts w:ascii="Simplified Arabic" w:hAnsi="Simplified Arabic" w:cs="Simplified Arabic"/>
                <w:lang w:bidi="ar-DZ"/>
              </w:rPr>
              <w:t>%</w:t>
            </w:r>
          </w:p>
        </w:tc>
        <w:tc>
          <w:tcPr>
            <w:tcW w:w="497"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6</w:t>
            </w:r>
          </w:p>
        </w:tc>
        <w:tc>
          <w:tcPr>
            <w:tcW w:w="92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16.66</w:t>
            </w:r>
            <w:r w:rsidRPr="00D30455">
              <w:rPr>
                <w:rFonts w:ascii="Simplified Arabic" w:hAnsi="Simplified Arabic" w:cs="Simplified Arabic"/>
                <w:lang w:bidi="ar-DZ"/>
              </w:rPr>
              <w:t>%</w:t>
            </w:r>
          </w:p>
        </w:tc>
        <w:tc>
          <w:tcPr>
            <w:tcW w:w="448"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4</w:t>
            </w:r>
          </w:p>
        </w:tc>
        <w:tc>
          <w:tcPr>
            <w:tcW w:w="96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11.76</w:t>
            </w:r>
            <w:r w:rsidRPr="00D30455">
              <w:rPr>
                <w:rFonts w:ascii="Simplified Arabic" w:hAnsi="Simplified Arabic" w:cs="Simplified Arabic"/>
                <w:lang w:bidi="ar-DZ"/>
              </w:rPr>
              <w:t>%</w:t>
            </w:r>
          </w:p>
        </w:tc>
      </w:tr>
      <w:tr w:rsidR="000B42BD" w:rsidRPr="00DB07DE" w:rsidTr="001E12D7">
        <w:trPr>
          <w:jc w:val="center"/>
        </w:trPr>
        <w:tc>
          <w:tcPr>
            <w:tcW w:w="2396" w:type="dxa"/>
            <w:vMerge/>
            <w:vAlign w:val="center"/>
          </w:tcPr>
          <w:p w:rsidR="000B42BD" w:rsidRPr="00D30455" w:rsidRDefault="000B42BD" w:rsidP="001E12D7">
            <w:pPr>
              <w:bidi/>
              <w:spacing w:after="0" w:line="240" w:lineRule="auto"/>
              <w:rPr>
                <w:rFonts w:ascii="Simplified Arabic" w:hAnsi="Simplified Arabic" w:cs="Simplified Arabic"/>
                <w:rtl/>
              </w:rPr>
            </w:pPr>
          </w:p>
        </w:tc>
        <w:tc>
          <w:tcPr>
            <w:tcW w:w="1062" w:type="dxa"/>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tl/>
              </w:rPr>
              <w:t>3</w:t>
            </w:r>
          </w:p>
        </w:tc>
        <w:tc>
          <w:tcPr>
            <w:tcW w:w="52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39</w:t>
            </w:r>
          </w:p>
        </w:tc>
        <w:tc>
          <w:tcPr>
            <w:tcW w:w="992"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lang w:bidi="ar-DZ"/>
              </w:rPr>
              <w:t>%84.78</w:t>
            </w:r>
          </w:p>
        </w:tc>
        <w:tc>
          <w:tcPr>
            <w:tcW w:w="497"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rtl/>
              </w:rPr>
              <w:t>24</w:t>
            </w:r>
          </w:p>
        </w:tc>
        <w:tc>
          <w:tcPr>
            <w:tcW w:w="92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66.68</w:t>
            </w:r>
            <w:r w:rsidRPr="00D30455">
              <w:rPr>
                <w:rFonts w:ascii="Simplified Arabic" w:hAnsi="Simplified Arabic" w:cs="Simplified Arabic"/>
                <w:lang w:bidi="ar-DZ"/>
              </w:rPr>
              <w:t>%</w:t>
            </w:r>
          </w:p>
        </w:tc>
        <w:tc>
          <w:tcPr>
            <w:tcW w:w="448" w:type="dxa"/>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tl/>
              </w:rPr>
              <w:t>24</w:t>
            </w:r>
          </w:p>
        </w:tc>
        <w:tc>
          <w:tcPr>
            <w:tcW w:w="96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70.60</w:t>
            </w:r>
            <w:r w:rsidRPr="00D30455">
              <w:rPr>
                <w:rFonts w:ascii="Simplified Arabic" w:hAnsi="Simplified Arabic" w:cs="Simplified Arabic"/>
                <w:lang w:bidi="ar-DZ"/>
              </w:rPr>
              <w:t>%</w:t>
            </w:r>
          </w:p>
        </w:tc>
      </w:tr>
      <w:tr w:rsidR="000B42BD" w:rsidRPr="00DB07DE" w:rsidTr="000357DC">
        <w:trPr>
          <w:jc w:val="center"/>
        </w:trPr>
        <w:tc>
          <w:tcPr>
            <w:tcW w:w="2396" w:type="dxa"/>
            <w:vMerge/>
            <w:vAlign w:val="center"/>
          </w:tcPr>
          <w:p w:rsidR="000B42BD" w:rsidRPr="00D30455" w:rsidRDefault="000B42BD" w:rsidP="001E12D7">
            <w:pPr>
              <w:bidi/>
              <w:spacing w:after="0" w:line="240" w:lineRule="auto"/>
              <w:rPr>
                <w:rFonts w:ascii="Simplified Arabic" w:hAnsi="Simplified Arabic" w:cs="Simplified Arabic"/>
                <w:rtl/>
              </w:rPr>
            </w:pPr>
          </w:p>
        </w:tc>
        <w:tc>
          <w:tcPr>
            <w:tcW w:w="1062" w:type="dxa"/>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tl/>
              </w:rPr>
              <w:t>المجموع</w:t>
            </w:r>
            <w:r w:rsidRPr="00D30455">
              <w:rPr>
                <w:rFonts w:ascii="Simplified Arabic" w:hAnsi="Simplified Arabic" w:cs="Simplified Arabic" w:hint="cs"/>
                <w:rtl/>
              </w:rPr>
              <w:t>/51</w:t>
            </w:r>
          </w:p>
        </w:tc>
        <w:tc>
          <w:tcPr>
            <w:tcW w:w="525" w:type="dxa"/>
            <w:shd w:val="clear" w:color="auto" w:fill="D9D9D9" w:themeFill="background1" w:themeFillShade="D9"/>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Pr>
              <w:t>46</w:t>
            </w:r>
          </w:p>
        </w:tc>
        <w:tc>
          <w:tcPr>
            <w:tcW w:w="992" w:type="dxa"/>
            <w:shd w:val="clear" w:color="auto" w:fill="D9D9D9" w:themeFill="background1" w:themeFillShade="D9"/>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90.19</w:t>
            </w:r>
            <w:r w:rsidRPr="00D30455">
              <w:rPr>
                <w:rFonts w:ascii="Simplified Arabic" w:hAnsi="Simplified Arabic" w:cs="Simplified Arabic"/>
                <w:lang w:bidi="ar-DZ"/>
              </w:rPr>
              <w:t>%</w:t>
            </w:r>
          </w:p>
        </w:tc>
        <w:tc>
          <w:tcPr>
            <w:tcW w:w="497" w:type="dxa"/>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Pr>
              <w:t>36</w:t>
            </w:r>
          </w:p>
        </w:tc>
        <w:tc>
          <w:tcPr>
            <w:tcW w:w="92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70.58</w:t>
            </w:r>
            <w:r w:rsidRPr="00D30455">
              <w:rPr>
                <w:rFonts w:ascii="Simplified Arabic" w:hAnsi="Simplified Arabic" w:cs="Simplified Arabic"/>
                <w:lang w:bidi="ar-DZ"/>
              </w:rPr>
              <w:t>%</w:t>
            </w:r>
          </w:p>
        </w:tc>
        <w:tc>
          <w:tcPr>
            <w:tcW w:w="448" w:type="dxa"/>
            <w:vAlign w:val="center"/>
          </w:tcPr>
          <w:p w:rsidR="000B42BD" w:rsidRPr="00D30455" w:rsidRDefault="000B42BD" w:rsidP="001E12D7">
            <w:pPr>
              <w:bidi/>
              <w:spacing w:after="0" w:line="240" w:lineRule="auto"/>
              <w:jc w:val="center"/>
              <w:rPr>
                <w:rFonts w:ascii="Simplified Arabic" w:hAnsi="Simplified Arabic" w:cs="Simplified Arabic"/>
                <w:rtl/>
              </w:rPr>
            </w:pPr>
            <w:r w:rsidRPr="00D30455">
              <w:rPr>
                <w:rFonts w:ascii="Simplified Arabic" w:hAnsi="Simplified Arabic" w:cs="Simplified Arabic"/>
              </w:rPr>
              <w:t>34</w:t>
            </w:r>
          </w:p>
        </w:tc>
        <w:tc>
          <w:tcPr>
            <w:tcW w:w="965" w:type="dxa"/>
            <w:vAlign w:val="center"/>
          </w:tcPr>
          <w:p w:rsidR="000B42BD" w:rsidRPr="00D30455" w:rsidRDefault="000B42BD" w:rsidP="001E12D7">
            <w:pPr>
              <w:bidi/>
              <w:spacing w:after="0" w:line="240" w:lineRule="auto"/>
              <w:jc w:val="center"/>
              <w:rPr>
                <w:rFonts w:ascii="Simplified Arabic" w:hAnsi="Simplified Arabic" w:cs="Simplified Arabic"/>
                <w:rtl/>
                <w:lang w:bidi="ar-DZ"/>
              </w:rPr>
            </w:pPr>
            <w:r w:rsidRPr="00D30455">
              <w:rPr>
                <w:rFonts w:ascii="Simplified Arabic" w:hAnsi="Simplified Arabic" w:cs="Simplified Arabic" w:hint="cs"/>
                <w:rtl/>
                <w:lang w:bidi="ar-DZ"/>
              </w:rPr>
              <w:t>66.66</w:t>
            </w:r>
            <w:r w:rsidRPr="00D30455">
              <w:rPr>
                <w:rFonts w:ascii="Simplified Arabic" w:hAnsi="Simplified Arabic" w:cs="Simplified Arabic"/>
                <w:lang w:bidi="ar-DZ"/>
              </w:rPr>
              <w:t>%</w:t>
            </w:r>
          </w:p>
        </w:tc>
      </w:tr>
      <w:tr w:rsidR="000B42BD" w:rsidRPr="00DB07DE" w:rsidTr="001E12D7">
        <w:trPr>
          <w:jc w:val="center"/>
        </w:trPr>
        <w:tc>
          <w:tcPr>
            <w:tcW w:w="7810" w:type="dxa"/>
            <w:gridSpan w:val="8"/>
            <w:vAlign w:val="center"/>
          </w:tcPr>
          <w:p w:rsidR="000B42BD" w:rsidRPr="001C2DC3" w:rsidRDefault="000B42BD" w:rsidP="001E12D7">
            <w:pPr>
              <w:bidi/>
              <w:spacing w:after="0" w:line="240" w:lineRule="auto"/>
              <w:jc w:val="center"/>
              <w:rPr>
                <w:rFonts w:ascii="Simplified Arabic" w:hAnsi="Simplified Arabic" w:cs="Simplified Arabic"/>
                <w:rtl/>
              </w:rPr>
            </w:pPr>
            <w:r w:rsidRPr="001C2DC3">
              <w:rPr>
                <w:rFonts w:ascii="Simplified Arabic" w:hAnsi="Simplified Arabic" w:cs="Simplified Arabic"/>
                <w:u w:val="single"/>
                <w:rtl/>
              </w:rPr>
              <w:t>المفتاح</w:t>
            </w:r>
            <w:r w:rsidRPr="001C2DC3">
              <w:rPr>
                <w:rFonts w:ascii="Simplified Arabic" w:hAnsi="Simplified Arabic" w:cs="Simplified Arabic"/>
                <w:rtl/>
              </w:rPr>
              <w:t>: غير قابل للتطبيق</w:t>
            </w:r>
            <w:r w:rsidRPr="001C2DC3">
              <w:rPr>
                <w:rFonts w:ascii="Simplified Arabic" w:hAnsi="Simplified Arabic" w:cs="Simplified Arabic" w:hint="cs"/>
                <w:rtl/>
              </w:rPr>
              <w:t xml:space="preserve"> يأخذ واحد (1)</w:t>
            </w:r>
            <w:r w:rsidRPr="001C2DC3">
              <w:rPr>
                <w:rFonts w:ascii="Simplified Arabic" w:hAnsi="Simplified Arabic" w:cs="Simplified Arabic" w:hint="cs"/>
                <w:rtl/>
                <w:lang w:bidi="ar-DZ"/>
              </w:rPr>
              <w:t xml:space="preserve">، </w:t>
            </w:r>
            <w:r w:rsidRPr="001C2DC3">
              <w:rPr>
                <w:rFonts w:ascii="Simplified Arabic" w:hAnsi="Simplified Arabic" w:cs="Simplified Arabic"/>
                <w:rtl/>
              </w:rPr>
              <w:t>قابل للتطبيق</w:t>
            </w:r>
            <w:r w:rsidRPr="001C2DC3">
              <w:rPr>
                <w:rFonts w:ascii="Simplified Arabic" w:hAnsi="Simplified Arabic" w:cs="Simplified Arabic" w:hint="cs"/>
                <w:rtl/>
              </w:rPr>
              <w:t xml:space="preserve"> يأخذ اثنتان(2)، </w:t>
            </w:r>
            <w:r w:rsidRPr="001C2DC3">
              <w:rPr>
                <w:rFonts w:ascii="Simplified Arabic" w:hAnsi="Simplified Arabic" w:cs="Simplified Arabic"/>
                <w:rtl/>
              </w:rPr>
              <w:t>قابل للتطبيق</w:t>
            </w:r>
            <w:r w:rsidRPr="001C2DC3">
              <w:rPr>
                <w:rFonts w:ascii="Simplified Arabic" w:hAnsi="Simplified Arabic" w:cs="Simplified Arabic" w:hint="cs"/>
                <w:rtl/>
              </w:rPr>
              <w:t xml:space="preserve"> كاملاً يأخذ ثلاثة (3)</w:t>
            </w:r>
          </w:p>
        </w:tc>
      </w:tr>
    </w:tbl>
    <w:p w:rsidR="000B42BD" w:rsidRPr="00342CAA" w:rsidRDefault="000B42BD" w:rsidP="001D0548">
      <w:pPr>
        <w:pStyle w:val="Paragraphedeliste"/>
        <w:numPr>
          <w:ilvl w:val="3"/>
          <w:numId w:val="133"/>
        </w:numPr>
        <w:tabs>
          <w:tab w:val="right" w:pos="992"/>
        </w:tabs>
        <w:bidi/>
        <w:spacing w:before="240" w:after="0"/>
        <w:ind w:left="0" w:firstLine="0"/>
        <w:outlineLvl w:val="2"/>
        <w:rPr>
          <w:rFonts w:ascii="Simplified Arabic" w:hAnsi="Simplified Arabic" w:cs="Simplified Arabic"/>
          <w:b/>
          <w:bCs/>
          <w:sz w:val="24"/>
          <w:szCs w:val="24"/>
        </w:rPr>
      </w:pPr>
      <w:bookmarkStart w:id="412" w:name="_Toc171803518"/>
      <w:r w:rsidRPr="00342CAA">
        <w:rPr>
          <w:rFonts w:ascii="Simplified Arabic" w:hAnsi="Simplified Arabic" w:cs="Simplified Arabic"/>
          <w:b/>
          <w:bCs/>
          <w:sz w:val="24"/>
          <w:szCs w:val="24"/>
          <w:rtl/>
        </w:rPr>
        <w:t>مبررات اختيار تقنية دلفي</w:t>
      </w:r>
      <w:bookmarkEnd w:id="412"/>
    </w:p>
    <w:p w:rsidR="000B42BD" w:rsidRPr="00AA7856" w:rsidRDefault="000B42BD" w:rsidP="000B42BD">
      <w:pPr>
        <w:bidi/>
        <w:spacing w:after="0"/>
        <w:ind w:firstLine="282"/>
        <w:jc w:val="both"/>
        <w:rPr>
          <w:rFonts w:ascii="Simplified Arabic" w:hAnsi="Simplified Arabic" w:cs="Simplified Arabic"/>
          <w:sz w:val="24"/>
          <w:szCs w:val="24"/>
        </w:rPr>
      </w:pPr>
      <w:r w:rsidRPr="00206B59">
        <w:rPr>
          <w:rFonts w:ascii="Simplified Arabic" w:hAnsi="Simplified Arabic" w:cs="Simplified Arabic"/>
          <w:sz w:val="24"/>
          <w:szCs w:val="24"/>
          <w:rtl/>
        </w:rPr>
        <w:t xml:space="preserve">تكشف نتائج المقارنة عن ثلاث خصائص تجعل من دلفي تقنية أفضل. </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المجهولية</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و </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تجنب الاتصال وجهًا لوجه</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 xml:space="preserve">وهي </w:t>
      </w:r>
      <w:r w:rsidRPr="00206B59">
        <w:rPr>
          <w:rFonts w:ascii="Simplified Arabic" w:hAnsi="Simplified Arabic" w:cs="Simplified Arabic"/>
          <w:sz w:val="24"/>
          <w:szCs w:val="24"/>
          <w:rtl/>
        </w:rPr>
        <w:t>السم</w:t>
      </w:r>
      <w:r w:rsidRPr="00206B59">
        <w:rPr>
          <w:rFonts w:ascii="Simplified Arabic" w:hAnsi="Simplified Arabic" w:cs="Simplified Arabic" w:hint="cs"/>
          <w:sz w:val="24"/>
          <w:szCs w:val="24"/>
          <w:rtl/>
        </w:rPr>
        <w:t>ة</w:t>
      </w:r>
      <w:r w:rsidRPr="00206B59">
        <w:rPr>
          <w:rFonts w:ascii="Simplified Arabic" w:hAnsi="Simplified Arabic" w:cs="Simplified Arabic"/>
          <w:sz w:val="24"/>
          <w:szCs w:val="24"/>
          <w:rtl/>
        </w:rPr>
        <w:t xml:space="preserve"> الأساسية لطريقة دلفي و</w:t>
      </w:r>
      <w:r w:rsidRPr="00206B59">
        <w:rPr>
          <w:rFonts w:ascii="Simplified Arabic" w:hAnsi="Simplified Arabic" w:cs="Simplified Arabic" w:hint="cs"/>
          <w:sz w:val="24"/>
          <w:szCs w:val="24"/>
          <w:rtl/>
        </w:rPr>
        <w:t xml:space="preserve"> ''</w:t>
      </w:r>
      <w:r w:rsidRPr="00206B59">
        <w:rPr>
          <w:rFonts w:ascii="Simplified Arabic" w:hAnsi="Simplified Arabic" w:cs="Simplified Arabic"/>
          <w:sz w:val="24"/>
          <w:szCs w:val="24"/>
          <w:rtl/>
        </w:rPr>
        <w:t>يساعد على تجنب التفكير الجماعي وتعزيز السرية</w:t>
      </w:r>
      <w:r w:rsidRPr="00206B59">
        <w:rPr>
          <w:rFonts w:ascii="Simplified Arabic" w:hAnsi="Simplified Arabic" w:cs="Simplified Arabic" w:hint="cs"/>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فريق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المستخدم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يعرفون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بعضهم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البعض،</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وعادة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يلتقوا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قط</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Somerville, 2008</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Theme="minorBidi" w:hAnsiTheme="minorBidi" w:cs="Arial"/>
          <w:sz w:val="28"/>
          <w:szCs w:val="28"/>
          <w:rtl/>
        </w:rPr>
        <w:t xml:space="preserve"> </w:t>
      </w:r>
      <w:r w:rsidRPr="00206B59">
        <w:rPr>
          <w:rFonts w:ascii="Simplified Arabic" w:hAnsi="Simplified Arabic" w:cs="Simplified Arabic" w:hint="cs"/>
          <w:sz w:val="24"/>
          <w:szCs w:val="24"/>
          <w:rtl/>
        </w:rPr>
        <w:t>تعتبر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lang w:bidi="ar-DZ"/>
        </w:rPr>
        <w:t>''</w:t>
      </w:r>
      <w:r w:rsidRPr="00206B59">
        <w:rPr>
          <w:rFonts w:ascii="Simplified Arabic" w:hAnsi="Simplified Arabic" w:cs="Simplified Arabic" w:hint="cs"/>
          <w:sz w:val="24"/>
          <w:szCs w:val="24"/>
          <w:rtl/>
        </w:rPr>
        <w:t>كفاءة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التجميع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الجغرافي''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مهمة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عندما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تكون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هناك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حاجة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توافق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الآراء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عدد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كبير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المشاركين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والذين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يستطيعون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الاجتماع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وقت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واحد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لأسباب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لوجستية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جغرافية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اقتصادية</w:t>
      </w:r>
      <w:r w:rsidRPr="00206B59">
        <w:rPr>
          <w:rFonts w:asciiTheme="minorBidi" w:hAnsiTheme="minorBidi" w:cs="Arial"/>
          <w:sz w:val="28"/>
          <w:szCs w:val="28"/>
          <w:rtl/>
        </w:rPr>
        <w:t xml:space="preserve"> </w:t>
      </w:r>
      <w:r w:rsidRPr="00206B59">
        <w:rPr>
          <w:rFonts w:asciiTheme="majorBidi" w:hAnsiTheme="majorBidi" w:cstheme="majorBidi"/>
          <w:sz w:val="24"/>
          <w:szCs w:val="24"/>
        </w:rPr>
        <w:t>(Habibi et al., 2014)</w:t>
      </w:r>
      <w:r w:rsidRPr="00206B59">
        <w:rPr>
          <w:rFonts w:asciiTheme="minorBidi" w:hAnsiTheme="minorBidi" w:cs="Arial"/>
          <w:sz w:val="28"/>
          <w:szCs w:val="28"/>
          <w:rtl/>
        </w:rPr>
        <w:t>.</w:t>
      </w:r>
    </w:p>
    <w:p w:rsidR="000B42BD" w:rsidRPr="00BB7388" w:rsidRDefault="000B42BD" w:rsidP="000B42BD">
      <w:pPr>
        <w:bidi/>
        <w:spacing w:after="0"/>
        <w:ind w:firstLine="282"/>
        <w:jc w:val="both"/>
        <w:rPr>
          <w:rFonts w:ascii="Simplified Arabic" w:hAnsi="Simplified Arabic" w:cs="Simplified Arabic"/>
          <w:sz w:val="24"/>
          <w:szCs w:val="24"/>
        </w:rPr>
      </w:pPr>
      <w:r w:rsidRPr="00BB7388">
        <w:rPr>
          <w:rFonts w:ascii="Simplified Arabic" w:hAnsi="Simplified Arabic" w:cs="Simplified Arabic" w:hint="cs"/>
          <w:sz w:val="24"/>
          <w:szCs w:val="24"/>
          <w:rtl/>
        </w:rPr>
        <w:t>كانت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بعض</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الخصائص</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قابلة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للتطبيق</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على</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جميع</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الأساليب</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الثلاثة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مثل</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BB7388">
        <w:rPr>
          <w:rFonts w:ascii="Simplified Arabic" w:hAnsi="Simplified Arabic" w:cs="Simplified Arabic" w:hint="cs"/>
          <w:sz w:val="24"/>
          <w:szCs w:val="24"/>
          <w:rtl/>
        </w:rPr>
        <w:t>تجنب</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التركيز</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على</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مفهوم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واحد</w:t>
      </w:r>
      <w:r>
        <w:rPr>
          <w:rFonts w:ascii="Simplified Arabic" w:hAnsi="Simplified Arabic" w:cs="Simplified Arabic" w:hint="cs"/>
          <w:sz w:val="24"/>
          <w:szCs w:val="24"/>
          <w:rtl/>
        </w:rPr>
        <w:t>''</w:t>
      </w:r>
      <w:r w:rsidRPr="00BB7388">
        <w:rPr>
          <w:rFonts w:ascii="Simplified Arabic" w:hAnsi="Simplified Arabic" w:cs="Simplified Arabic" w:hint="cs"/>
          <w:sz w:val="24"/>
          <w:szCs w:val="24"/>
          <w:rtl/>
        </w:rPr>
        <w:t>،</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''ت</w:t>
      </w:r>
      <w:r w:rsidRPr="00BB7388">
        <w:rPr>
          <w:rFonts w:ascii="Simplified Arabic" w:hAnsi="Simplified Arabic" w:cs="Simplified Arabic" w:hint="cs"/>
          <w:sz w:val="24"/>
          <w:szCs w:val="24"/>
          <w:rtl/>
        </w:rPr>
        <w:t>شج</w:t>
      </w:r>
      <w:r>
        <w:rPr>
          <w:rFonts w:ascii="Simplified Arabic" w:hAnsi="Simplified Arabic" w:cs="Simplified Arabic" w:hint="cs"/>
          <w:sz w:val="24"/>
          <w:szCs w:val="24"/>
          <w:rtl/>
        </w:rPr>
        <w:t>ي</w:t>
      </w:r>
      <w:r w:rsidRPr="00BB7388">
        <w:rPr>
          <w:rFonts w:ascii="Simplified Arabic" w:hAnsi="Simplified Arabic" w:cs="Simplified Arabic" w:hint="cs"/>
          <w:sz w:val="24"/>
          <w:szCs w:val="24"/>
          <w:rtl/>
        </w:rPr>
        <w:t>ع</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ا</w:t>
      </w:r>
      <w:r w:rsidRPr="00BB7388">
        <w:rPr>
          <w:rFonts w:ascii="Simplified Arabic" w:hAnsi="Simplified Arabic" w:cs="Simplified Arabic" w:hint="cs"/>
          <w:sz w:val="24"/>
          <w:szCs w:val="24"/>
          <w:rtl/>
        </w:rPr>
        <w:t>لمساهمة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المتساوية</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BB7388">
        <w:rPr>
          <w:rFonts w:ascii="Simplified Arabic" w:hAnsi="Simplified Arabic" w:cs="Simplified Arabic" w:hint="cs"/>
          <w:sz w:val="24"/>
          <w:szCs w:val="24"/>
          <w:rtl/>
        </w:rPr>
        <w:t>جميع</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أعضاء</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الفريق</w:t>
      </w:r>
      <w:r>
        <w:rPr>
          <w:rFonts w:ascii="Simplified Arabic" w:hAnsi="Simplified Arabic" w:cs="Simplified Arabic" w:hint="cs"/>
          <w:sz w:val="24"/>
          <w:szCs w:val="24"/>
          <w:rtl/>
        </w:rPr>
        <w:t>''</w:t>
      </w:r>
      <w:r w:rsidRPr="00BB7388">
        <w:rPr>
          <w:rFonts w:ascii="Simplified Arabic" w:hAnsi="Simplified Arabic" w:cs="Simplified Arabic" w:hint="cs"/>
          <w:sz w:val="24"/>
          <w:szCs w:val="24"/>
          <w:rtl/>
        </w:rPr>
        <w:t>،</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BB7388">
        <w:rPr>
          <w:rFonts w:ascii="Simplified Arabic" w:hAnsi="Simplified Arabic" w:cs="Simplified Arabic" w:hint="cs"/>
          <w:sz w:val="24"/>
          <w:szCs w:val="24"/>
          <w:rtl/>
        </w:rPr>
        <w:t>عملية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شديدة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التنظيم</w:t>
      </w:r>
      <w:r>
        <w:rPr>
          <w:rFonts w:ascii="Simplified Arabic" w:hAnsi="Simplified Arabic" w:cs="Simplified Arabic" w:hint="cs"/>
          <w:sz w:val="24"/>
          <w:szCs w:val="24"/>
          <w:rtl/>
        </w:rPr>
        <w:t>''</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w:t>
      </w:r>
      <w:r>
        <w:rPr>
          <w:rFonts w:ascii="Simplified Arabic" w:hAnsi="Simplified Arabic" w:cs="Simplified Arabic" w:hint="cs"/>
          <w:sz w:val="24"/>
          <w:szCs w:val="24"/>
          <w:rtl/>
        </w:rPr>
        <w:t xml:space="preserve"> ''</w:t>
      </w:r>
      <w:r w:rsidRPr="00BB7388">
        <w:rPr>
          <w:rFonts w:ascii="Simplified Arabic" w:hAnsi="Simplified Arabic" w:cs="Simplified Arabic" w:hint="cs"/>
          <w:sz w:val="24"/>
          <w:szCs w:val="24"/>
          <w:rtl/>
        </w:rPr>
        <w:t>التعليقات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الرسمية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خاضعة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للرقابة</w:t>
      </w:r>
      <w:r>
        <w:rPr>
          <w:rFonts w:ascii="Simplified Arabic" w:hAnsi="Simplified Arabic" w:cs="Simplified Arabic" w:hint="cs"/>
          <w:sz w:val="24"/>
          <w:szCs w:val="24"/>
          <w:rtl/>
        </w:rPr>
        <w:t>''</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تتضمن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تقنية</w:t>
      </w:r>
      <w:r w:rsidRPr="003C6AC1">
        <w:rPr>
          <w:rFonts w:asciiTheme="minorBidi" w:hAnsiTheme="minorBidi" w:cs="Arial"/>
          <w:sz w:val="28"/>
          <w:szCs w:val="28"/>
          <w:rtl/>
        </w:rPr>
        <w:t xml:space="preserve"> </w:t>
      </w:r>
      <w:r w:rsidRPr="00CE7678">
        <w:rPr>
          <w:rFonts w:asciiTheme="majorBidi" w:hAnsiTheme="majorBidi" w:cstheme="majorBidi"/>
          <w:sz w:val="24"/>
          <w:szCs w:val="24"/>
          <w:rtl/>
        </w:rPr>
        <w:t>(</w:t>
      </w:r>
      <w:r w:rsidRPr="00CE7678">
        <w:rPr>
          <w:rFonts w:asciiTheme="majorBidi" w:hAnsiTheme="majorBidi" w:cstheme="majorBidi"/>
          <w:sz w:val="24"/>
          <w:szCs w:val="24"/>
        </w:rPr>
        <w:t>RAND / UCLA</w:t>
      </w:r>
      <w:r w:rsidRPr="00CE7678">
        <w:rPr>
          <w:rFonts w:asciiTheme="majorBidi" w:hAnsiTheme="majorBidi" w:cstheme="majorBidi"/>
          <w:sz w:val="24"/>
          <w:szCs w:val="24"/>
          <w:rtl/>
        </w:rPr>
        <w:t>)</w:t>
      </w:r>
      <w:r w:rsidRPr="003C6AC1">
        <w:rPr>
          <w:rFonts w:asciiTheme="minorBidi" w:hAnsiTheme="minorBidi" w:cs="Arial"/>
          <w:sz w:val="28"/>
          <w:szCs w:val="28"/>
          <w:rtl/>
        </w:rPr>
        <w:t xml:space="preserve"> </w:t>
      </w:r>
      <w:r>
        <w:rPr>
          <w:rFonts w:ascii="Simplified Arabic" w:hAnsi="Simplified Arabic" w:cs="Simplified Arabic" w:hint="cs"/>
          <w:sz w:val="24"/>
          <w:szCs w:val="24"/>
          <w:rtl/>
        </w:rPr>
        <w:t>''</w:t>
      </w:r>
      <w:r w:rsidRPr="00BB7388">
        <w:rPr>
          <w:rFonts w:ascii="Simplified Arabic" w:hAnsi="Simplified Arabic" w:cs="Simplified Arabic" w:hint="cs"/>
          <w:sz w:val="24"/>
          <w:szCs w:val="24"/>
          <w:rtl/>
        </w:rPr>
        <w:t>القرارات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الخاصة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الحصول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عليها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قبل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المناقشة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الجماعية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BB7388">
        <w:rPr>
          <w:rFonts w:ascii="Simplified Arabic" w:hAnsi="Simplified Arabic" w:cs="Simplified Arabic" w:hint="cs"/>
          <w:sz w:val="24"/>
          <w:szCs w:val="24"/>
          <w:rtl/>
        </w:rPr>
        <w:t>تتضمن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الأدلة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بشكل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فردي</w:t>
      </w:r>
      <w:r>
        <w:rPr>
          <w:rFonts w:ascii="Simplified Arabic" w:hAnsi="Simplified Arabic" w:cs="Simplified Arabic" w:hint="cs"/>
          <w:sz w:val="24"/>
          <w:szCs w:val="24"/>
          <w:rtl/>
        </w:rPr>
        <w:t>،</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lastRenderedPageBreak/>
        <w:t>بينما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تحدد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تقنية</w:t>
      </w:r>
      <w:r w:rsidRPr="003C6AC1">
        <w:rPr>
          <w:rFonts w:asciiTheme="minorBidi" w:hAnsiTheme="minorBidi" w:cs="Arial"/>
          <w:sz w:val="28"/>
          <w:szCs w:val="28"/>
          <w:rtl/>
        </w:rPr>
        <w:t xml:space="preserve"> </w:t>
      </w:r>
      <w:r w:rsidRPr="005F2F83">
        <w:rPr>
          <w:rFonts w:asciiTheme="majorBidi" w:hAnsiTheme="majorBidi" w:cstheme="majorBidi"/>
          <w:sz w:val="24"/>
          <w:szCs w:val="24"/>
          <w:rtl/>
        </w:rPr>
        <w:t>(</w:t>
      </w:r>
      <w:r w:rsidRPr="005F2F83">
        <w:rPr>
          <w:rFonts w:asciiTheme="majorBidi" w:hAnsiTheme="majorBidi" w:cstheme="majorBidi"/>
          <w:sz w:val="24"/>
          <w:szCs w:val="24"/>
        </w:rPr>
        <w:t>NGT</w:t>
      </w:r>
      <w:r w:rsidRPr="005F2F83">
        <w:rPr>
          <w:rFonts w:asciiTheme="majorBidi" w:hAnsiTheme="majorBidi" w:cstheme="majorBidi"/>
          <w:sz w:val="24"/>
          <w:szCs w:val="24"/>
          <w:rtl/>
        </w:rPr>
        <w:t>)</w:t>
      </w:r>
      <w:r>
        <w:rPr>
          <w:rFonts w:asciiTheme="majorBidi" w:hAnsiTheme="majorBidi" w:cstheme="majorBidi" w:hint="cs"/>
          <w:sz w:val="24"/>
          <w:szCs w:val="24"/>
          <w:rtl/>
        </w:rPr>
        <w:t xml:space="preserve"> </w:t>
      </w:r>
      <w:r w:rsidRPr="00BB7388">
        <w:rPr>
          <w:rFonts w:ascii="Simplified Arabic" w:hAnsi="Simplified Arabic" w:cs="Simplified Arabic" w:hint="cs"/>
          <w:sz w:val="24"/>
          <w:szCs w:val="24"/>
          <w:rtl/>
        </w:rPr>
        <w:t>سرعة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التسليم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BB7388">
        <w:rPr>
          <w:rFonts w:ascii="Simplified Arabic" w:hAnsi="Simplified Arabic" w:cs="Simplified Arabic" w:hint="cs"/>
          <w:sz w:val="24"/>
          <w:szCs w:val="24"/>
          <w:rtl/>
        </w:rPr>
        <w:t>توفير</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الوقت</w:t>
      </w:r>
      <w:r w:rsidRPr="00BB7388">
        <w:rPr>
          <w:rFonts w:ascii="Simplified Arabic" w:hAnsi="Simplified Arabic" w:cs="Simplified Arabic"/>
          <w:sz w:val="24"/>
          <w:szCs w:val="24"/>
          <w:rtl/>
        </w:rPr>
        <w:t>''</w:t>
      </w:r>
      <w:r w:rsidRPr="00BB7388">
        <w:rPr>
          <w:rFonts w:ascii="Simplified Arabic" w:hAnsi="Simplified Arabic" w:cs="Simplified Arabic" w:hint="cs"/>
          <w:sz w:val="24"/>
          <w:szCs w:val="24"/>
          <w:rtl/>
        </w:rPr>
        <w:t>،</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مما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يجعل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تقنية</w:t>
      </w:r>
      <w:r w:rsidRPr="003C6AC1">
        <w:rPr>
          <w:rFonts w:asciiTheme="minorBidi" w:hAnsiTheme="minorBidi" w:cs="Arial"/>
          <w:sz w:val="28"/>
          <w:szCs w:val="28"/>
          <w:rtl/>
        </w:rPr>
        <w:t xml:space="preserve"> </w:t>
      </w:r>
      <w:r w:rsidRPr="005F2F83">
        <w:rPr>
          <w:rFonts w:asciiTheme="majorBidi" w:hAnsiTheme="majorBidi" w:cstheme="majorBidi"/>
          <w:sz w:val="24"/>
          <w:szCs w:val="24"/>
          <w:rtl/>
        </w:rPr>
        <w:t>(</w:t>
      </w:r>
      <w:r w:rsidRPr="005F2F83">
        <w:rPr>
          <w:rFonts w:asciiTheme="majorBidi" w:hAnsiTheme="majorBidi" w:cstheme="majorBidi"/>
          <w:sz w:val="24"/>
          <w:szCs w:val="24"/>
        </w:rPr>
        <w:t>NGT</w:t>
      </w:r>
      <w:r w:rsidRPr="005F2F83">
        <w:rPr>
          <w:rFonts w:asciiTheme="majorBidi" w:hAnsiTheme="majorBidi" w:cstheme="majorBidi"/>
          <w:sz w:val="24"/>
          <w:szCs w:val="24"/>
          <w:rtl/>
        </w:rPr>
        <w:t>)</w:t>
      </w:r>
      <w:r>
        <w:rPr>
          <w:rFonts w:asciiTheme="majorBidi" w:hAnsiTheme="majorBidi" w:cstheme="majorBidi" w:hint="cs"/>
          <w:sz w:val="24"/>
          <w:szCs w:val="24"/>
          <w:rtl/>
        </w:rPr>
        <w:t xml:space="preserve"> </w:t>
      </w:r>
      <w:r w:rsidRPr="00BB7388">
        <w:rPr>
          <w:rFonts w:ascii="Simplified Arabic" w:hAnsi="Simplified Arabic" w:cs="Simplified Arabic" w:hint="cs"/>
          <w:sz w:val="24"/>
          <w:szCs w:val="24"/>
          <w:rtl/>
        </w:rPr>
        <w:t>هي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الأسرع</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من حيث </w:t>
      </w:r>
      <w:r w:rsidRPr="00BB7388">
        <w:rPr>
          <w:rFonts w:ascii="Simplified Arabic" w:hAnsi="Simplified Arabic" w:cs="Simplified Arabic" w:hint="cs"/>
          <w:sz w:val="24"/>
          <w:szCs w:val="24"/>
          <w:rtl/>
        </w:rPr>
        <w:t>الوقت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والأكثر</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اقتصاد</w:t>
      </w:r>
      <w:r>
        <w:rPr>
          <w:rFonts w:ascii="Simplified Arabic" w:hAnsi="Simplified Arabic" w:cs="Simplified Arabic" w:hint="cs"/>
          <w:sz w:val="24"/>
          <w:szCs w:val="24"/>
          <w:rtl/>
        </w:rPr>
        <w:t>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مقارنة</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BB7388">
        <w:rPr>
          <w:rFonts w:ascii="Simplified Arabic" w:hAnsi="Simplified Arabic" w:cs="Simplified Arabic" w:hint="cs"/>
          <w:sz w:val="24"/>
          <w:szCs w:val="24"/>
          <w:rtl/>
        </w:rPr>
        <w:t>الطرق</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الأخرى</w:t>
      </w:r>
      <w:r w:rsidRPr="00BB7388">
        <w:rPr>
          <w:rFonts w:ascii="Simplified Arabic" w:hAnsi="Simplified Arabic" w:cs="Simplified Arabic"/>
          <w:sz w:val="24"/>
          <w:szCs w:val="24"/>
          <w:rtl/>
        </w:rPr>
        <w:t>.</w:t>
      </w:r>
    </w:p>
    <w:p w:rsidR="003A7C73" w:rsidRDefault="000B42BD" w:rsidP="003A7C73">
      <w:pPr>
        <w:bidi/>
        <w:spacing w:after="0"/>
        <w:ind w:firstLine="282"/>
        <w:jc w:val="both"/>
        <w:rPr>
          <w:rFonts w:ascii="Simplified Arabic" w:hAnsi="Simplified Arabic" w:cs="Simplified Arabic"/>
          <w:sz w:val="24"/>
          <w:szCs w:val="24"/>
          <w:rtl/>
        </w:rPr>
      </w:pPr>
      <w:r w:rsidRPr="00BB7388">
        <w:rPr>
          <w:rFonts w:ascii="Simplified Arabic" w:hAnsi="Simplified Arabic" w:cs="Simplified Arabic" w:hint="cs"/>
          <w:sz w:val="24"/>
          <w:szCs w:val="24"/>
          <w:rtl/>
        </w:rPr>
        <w:t>تركز</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دلفي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الكلاسيكية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على</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الحصول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على</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ردود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واكتساب</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إجماع</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بين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المتخصصين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جزء</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معين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البحث</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يتم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جمع</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البيانات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خلال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جولات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متتالية،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مما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يوفر</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نتائج</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للمشاركين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الجولات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اللاحقة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وتنتهي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العملية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بعد</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الجولة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تحقق</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التوافق</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عادة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تكون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هناك</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حاجة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لثلاث</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جولات،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ولكن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بعض</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الأحيان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أكثر</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من</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ذلك</w:t>
      </w:r>
      <w:r w:rsidRPr="00BB7388">
        <w:rPr>
          <w:rFonts w:ascii="Simplified Arabic" w:hAnsi="Simplified Arabic" w:cs="Simplified Arabic"/>
          <w:sz w:val="24"/>
          <w:szCs w:val="24"/>
          <w:rtl/>
        </w:rPr>
        <w:t xml:space="preserve">. </w:t>
      </w:r>
    </w:p>
    <w:p w:rsidR="000B42BD" w:rsidRPr="00AA7856" w:rsidRDefault="000B42BD" w:rsidP="003A7C73">
      <w:pPr>
        <w:bidi/>
        <w:spacing w:after="0"/>
        <w:ind w:firstLine="282"/>
        <w:jc w:val="both"/>
        <w:rPr>
          <w:rFonts w:ascii="Simplified Arabic" w:hAnsi="Simplified Arabic" w:cs="Simplified Arabic"/>
          <w:sz w:val="24"/>
          <w:szCs w:val="24"/>
          <w:rtl/>
        </w:rPr>
      </w:pPr>
      <w:r w:rsidRPr="00206B59">
        <w:rPr>
          <w:rFonts w:ascii="Simplified Arabic" w:hAnsi="Simplified Arabic" w:cs="Simplified Arabic" w:hint="cs"/>
          <w:sz w:val="24"/>
          <w:szCs w:val="24"/>
          <w:rtl/>
        </w:rPr>
        <w:t>تعتبر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القرار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بديلاً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الكلاسيكية،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حيث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تنظم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عمليات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صنع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القرار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للقضايا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المستقبلية،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بدلاً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مجرد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التنبؤ</w:t>
      </w:r>
      <w:r w:rsidRPr="00206B59">
        <w:rPr>
          <w:rFonts w:ascii="Simplified Arabic" w:hAnsi="Simplified Arabic" w:cs="Simplified Arabic"/>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Rowe and Wright, 1999</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sz w:val="28"/>
          <w:szCs w:val="28"/>
          <w:rtl/>
        </w:rPr>
        <w:t xml:space="preserve"> </w:t>
      </w:r>
      <w:r w:rsidRPr="00206B59">
        <w:rPr>
          <w:rFonts w:ascii="Simplified Arabic" w:hAnsi="Simplified Arabic" w:cs="Simplified Arabic" w:hint="cs"/>
          <w:sz w:val="24"/>
          <w:szCs w:val="24"/>
          <w:rtl/>
        </w:rPr>
        <w:t>تم</w:t>
      </w:r>
      <w:r w:rsidR="00F427A5" w:rsidRPr="00206B59">
        <w:rPr>
          <w:rFonts w:ascii="Simplified Arabic" w:hAnsi="Simplified Arabic" w:cs="Simplified Arabic" w:hint="cs"/>
          <w:sz w:val="24"/>
          <w:szCs w:val="24"/>
          <w:rtl/>
        </w:rPr>
        <w:t>ا</w:t>
      </w:r>
      <w:r w:rsidRPr="00206B59">
        <w:rPr>
          <w:rFonts w:ascii="Simplified Arabic" w:hAnsi="Simplified Arabic" w:cs="Simplified Arabic" w:hint="cs"/>
          <w:sz w:val="24"/>
          <w:szCs w:val="24"/>
          <w:rtl/>
        </w:rPr>
        <w:t>شيًا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هذا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الهدف،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يجب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اختيار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المشاركين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اتخاذ</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قرار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وفقًا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لموقفهم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واستعدادهم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لحل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المشكلة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لذلك،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ليس</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الضروري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تكون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هيئة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الخبراء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كبيرة،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لأنه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سيتم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تنفيذ</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العملية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لاتخاذ</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قرارات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وشيكة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قبل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الهيئة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البيانات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معالجة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الجولات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المتكررة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يختلف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عدد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الجولات،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ليس</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الضروري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اجراء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ثلاث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جولات</w:t>
      </w:r>
      <w:r w:rsidRPr="00206B59">
        <w:rPr>
          <w:rFonts w:ascii="Simplified Arabic" w:hAnsi="Simplified Arabic" w:cs="Simplified Arabic"/>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Hasson and Keeney, 2011</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sz w:val="28"/>
          <w:szCs w:val="28"/>
          <w:rtl/>
        </w:rPr>
        <w:t xml:space="preserve"> </w:t>
      </w:r>
    </w:p>
    <w:p w:rsidR="000B42BD" w:rsidRPr="00AA7856" w:rsidRDefault="000B42BD" w:rsidP="000C7020">
      <w:pPr>
        <w:bidi/>
        <w:spacing w:after="0"/>
        <w:ind w:firstLine="282"/>
        <w:jc w:val="both"/>
        <w:rPr>
          <w:rFonts w:ascii="Simplified Arabic" w:hAnsi="Simplified Arabic" w:cs="Simplified Arabic"/>
          <w:sz w:val="28"/>
          <w:szCs w:val="28"/>
          <w:rtl/>
        </w:rPr>
      </w:pPr>
      <w:r w:rsidRPr="00206B59">
        <w:rPr>
          <w:rFonts w:ascii="Simplified Arabic" w:hAnsi="Simplified Arabic" w:cs="Simplified Arabic" w:hint="cs"/>
          <w:sz w:val="24"/>
          <w:szCs w:val="24"/>
          <w:rtl/>
        </w:rPr>
        <w:t>ترتيب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أسلوب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شائع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آخر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يشترك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نفس</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المبادئ</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العامة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لإصدارات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الأخرى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ومع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ذلك،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فهو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يتضمن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ثلاث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جولات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رئيسية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العصف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الذهني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للأفكار،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حصر التفكير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والتصنيف</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العثور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هذا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النوع</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ليكون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الأكثر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ملاءمة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لهذا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البحث،</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لأنه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يتضمن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تطوير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دراسات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تقييم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وتخصيص</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عوامل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التقييم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يتطلب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مشاركة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فرد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معني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خبير</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Hanafin, 2004</w:t>
      </w:r>
      <w:r w:rsidRPr="00206B59">
        <w:rPr>
          <w:rFonts w:asciiTheme="majorBidi" w:hAnsiTheme="majorBidi" w:cstheme="majorBidi"/>
          <w:sz w:val="24"/>
          <w:szCs w:val="24"/>
          <w:rtl/>
        </w:rPr>
        <w:t>)</w:t>
      </w:r>
      <w:r w:rsidRPr="00206B59">
        <w:rPr>
          <w:rFonts w:asciiTheme="minorBidi" w:hAnsiTheme="minorBidi" w:cs="Arial"/>
          <w:sz w:val="28"/>
          <w:szCs w:val="28"/>
          <w:rtl/>
        </w:rPr>
        <w:t xml:space="preserve"> </w:t>
      </w:r>
      <w:r w:rsidRPr="00206B59">
        <w:rPr>
          <w:rFonts w:ascii="Simplified Arabic" w:hAnsi="Simplified Arabic" w:cs="Simplified Arabic" w:hint="cs"/>
          <w:sz w:val="24"/>
          <w:szCs w:val="24"/>
          <w:rtl/>
        </w:rPr>
        <w:t>الذين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يتم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اختيارهم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بناءً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تخصصهم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وموقعهم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وكفاءتهم،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بالإضافة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إلى</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المعرفة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حول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الجوانب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البيئية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المتنوعة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والاجتماعية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والاقتصادية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والتخطيط</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التصميم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والقضايا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السياسية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المتعلقة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بالمناطق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الحضرية</w:t>
      </w:r>
      <w:r w:rsidRPr="00206B59">
        <w:rPr>
          <w:rFonts w:ascii="Simplified Arabic" w:hAnsi="Simplified Arabic" w:cs="Simplified Arabic"/>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Hanafin, 2004</w:t>
      </w:r>
      <w:r w:rsidRPr="00206B59">
        <w:rPr>
          <w:rFonts w:asciiTheme="majorBidi" w:hAnsiTheme="majorBidi" w:cstheme="majorBidi"/>
          <w:sz w:val="24"/>
          <w:szCs w:val="24"/>
          <w:rtl/>
        </w:rPr>
        <w:t>)</w:t>
      </w:r>
      <w:r w:rsidRPr="00206B59">
        <w:rPr>
          <w:rFonts w:ascii="Simplified Arabic" w:hAnsi="Simplified Arabic" w:cs="Simplified Arabic"/>
          <w:sz w:val="24"/>
          <w:szCs w:val="24"/>
          <w:rtl/>
        </w:rPr>
        <w:t>.</w:t>
      </w:r>
      <w:r w:rsidRPr="00206B59">
        <w:rPr>
          <w:rFonts w:ascii="Simplified Arabic" w:hAnsi="Simplified Arabic" w:cs="Simplified Arabic"/>
          <w:sz w:val="28"/>
          <w:szCs w:val="28"/>
          <w:rtl/>
        </w:rPr>
        <w:t xml:space="preserve"> </w:t>
      </w:r>
      <w:r w:rsidRPr="00206B59">
        <w:rPr>
          <w:rFonts w:ascii="Simplified Arabic" w:hAnsi="Simplified Arabic" w:cs="Simplified Arabic" w:hint="cs"/>
          <w:sz w:val="24"/>
          <w:szCs w:val="24"/>
          <w:rtl/>
        </w:rPr>
        <w:t>يمكن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للمهنيين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إكمال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تحليل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البيانات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بشكل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فردي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غياب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التأثيرات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الاجتماعية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الخارجية</w:t>
      </w:r>
      <w:r w:rsidRPr="00206B59">
        <w:rPr>
          <w:rFonts w:asciiTheme="minorBidi" w:hAnsiTheme="minorBidi" w:cs="Arial"/>
          <w:sz w:val="28"/>
          <w:szCs w:val="28"/>
          <w:rtl/>
        </w:rPr>
        <w:t xml:space="preserve"> </w:t>
      </w:r>
      <w:r w:rsidRPr="00206B59">
        <w:rPr>
          <w:rFonts w:asciiTheme="majorBidi" w:hAnsiTheme="majorBidi" w:cstheme="majorBidi"/>
          <w:sz w:val="24"/>
          <w:szCs w:val="24"/>
          <w:rtl/>
        </w:rPr>
        <w:t>(</w:t>
      </w:r>
      <w:r w:rsidRPr="00206B59">
        <w:rPr>
          <w:rFonts w:asciiTheme="majorBidi" w:hAnsiTheme="majorBidi" w:cstheme="majorBidi"/>
          <w:sz w:val="24"/>
          <w:szCs w:val="24"/>
        </w:rPr>
        <w:t xml:space="preserve">Kauko </w:t>
      </w:r>
      <w:r w:rsidR="000C7020" w:rsidRPr="00206B59">
        <w:rPr>
          <w:rFonts w:asciiTheme="majorBidi" w:hAnsiTheme="majorBidi" w:cstheme="majorBidi"/>
          <w:sz w:val="24"/>
          <w:szCs w:val="24"/>
        </w:rPr>
        <w:t>&amp;</w:t>
      </w:r>
      <w:r w:rsidRPr="00206B59">
        <w:rPr>
          <w:rFonts w:asciiTheme="majorBidi" w:hAnsiTheme="majorBidi" w:cstheme="majorBidi"/>
          <w:sz w:val="24"/>
          <w:szCs w:val="24"/>
        </w:rPr>
        <w:t xml:space="preserve"> Palmroos, 2014</w:t>
      </w:r>
      <w:r w:rsidRPr="00206B59">
        <w:rPr>
          <w:rFonts w:asciiTheme="majorBidi" w:hAnsiTheme="majorBidi" w:cstheme="majorBidi"/>
          <w:sz w:val="24"/>
          <w:szCs w:val="24"/>
          <w:rtl/>
        </w:rPr>
        <w:t>)</w:t>
      </w:r>
      <w:r w:rsidRPr="00AA7856">
        <w:rPr>
          <w:rFonts w:ascii="Simplified Arabic" w:hAnsi="Simplified Arabic" w:cs="Simplified Arabic"/>
          <w:sz w:val="24"/>
          <w:szCs w:val="24"/>
          <w:rtl/>
        </w:rPr>
        <w:t>.</w:t>
      </w:r>
    </w:p>
    <w:p w:rsidR="000B42BD" w:rsidRPr="00342CAA" w:rsidRDefault="000B42BD" w:rsidP="001D0548">
      <w:pPr>
        <w:pStyle w:val="Paragraphedeliste"/>
        <w:numPr>
          <w:ilvl w:val="3"/>
          <w:numId w:val="134"/>
        </w:numPr>
        <w:tabs>
          <w:tab w:val="right" w:pos="992"/>
        </w:tabs>
        <w:bidi/>
        <w:spacing w:before="240" w:after="0"/>
        <w:ind w:left="0" w:firstLine="0"/>
        <w:outlineLvl w:val="2"/>
        <w:rPr>
          <w:rFonts w:ascii="Simplified Arabic" w:hAnsi="Simplified Arabic" w:cs="Simplified Arabic"/>
          <w:b/>
          <w:bCs/>
          <w:sz w:val="24"/>
          <w:szCs w:val="24"/>
        </w:rPr>
      </w:pPr>
      <w:bookmarkStart w:id="413" w:name="_Toc171803519"/>
      <w:r w:rsidRPr="00342CAA">
        <w:rPr>
          <w:rFonts w:ascii="Simplified Arabic" w:hAnsi="Simplified Arabic" w:cs="Simplified Arabic" w:hint="cs"/>
          <w:b/>
          <w:bCs/>
          <w:sz w:val="24"/>
          <w:szCs w:val="24"/>
          <w:rtl/>
        </w:rPr>
        <w:t>تطبيقات</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تقنية</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دلفي</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في</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مجال</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المرونة</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الحضرية</w:t>
      </w:r>
      <w:bookmarkEnd w:id="413"/>
    </w:p>
    <w:p w:rsidR="000B42BD" w:rsidRPr="00D1395E" w:rsidRDefault="000B42BD" w:rsidP="002357F4">
      <w:pPr>
        <w:bidi/>
        <w:spacing w:after="0"/>
        <w:ind w:firstLine="282"/>
        <w:jc w:val="both"/>
        <w:rPr>
          <w:rFonts w:ascii="Simplified Arabic" w:hAnsi="Simplified Arabic" w:cs="Simplified Arabic"/>
          <w:sz w:val="24"/>
          <w:szCs w:val="24"/>
          <w:rtl/>
        </w:rPr>
      </w:pP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تطبيق</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دراسات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مختلفة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عبر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واسعة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المجالات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الأكاديمية</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نفذ</w:t>
      </w:r>
      <w:r w:rsidRPr="00206B59">
        <w:rPr>
          <w:rFonts w:asciiTheme="minorBidi" w:hAnsiTheme="minorBidi" w:cs="Arial"/>
          <w:sz w:val="28"/>
          <w:szCs w:val="28"/>
          <w:rtl/>
        </w:rPr>
        <w:t xml:space="preserve">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sz w:val="24"/>
          <w:szCs w:val="24"/>
          <w:lang w:val="en-US"/>
        </w:rPr>
        <w:t xml:space="preserve">Javari </w:t>
      </w:r>
      <w:r w:rsidRPr="00206B59">
        <w:rPr>
          <w:rFonts w:asciiTheme="majorBidi" w:eastAsia="Times New Roman" w:hAnsiTheme="majorBidi" w:cstheme="majorBidi"/>
          <w:bCs/>
          <w:sz w:val="24"/>
          <w:szCs w:val="24"/>
          <w:lang w:eastAsia="fr-FR"/>
        </w:rPr>
        <w:t>et al., 2021</w:t>
      </w:r>
      <w:r w:rsidRPr="00206B59">
        <w:rPr>
          <w:rFonts w:asciiTheme="majorBidi" w:eastAsia="Times New Roman" w:hAnsiTheme="majorBidi" w:cstheme="majorBidi"/>
          <w:bCs/>
          <w:sz w:val="24"/>
          <w:szCs w:val="24"/>
          <w:rtl/>
          <w:lang w:val="en-US" w:eastAsia="fr-FR"/>
        </w:rPr>
        <w:t>)</w:t>
      </w:r>
      <w:r w:rsidRPr="00206B59">
        <w:rPr>
          <w:rFonts w:asciiTheme="minorBidi" w:hAnsiTheme="minorBidi" w:cs="Arial"/>
          <w:sz w:val="28"/>
          <w:szCs w:val="28"/>
          <w:rtl/>
        </w:rPr>
        <w:t xml:space="preserve"> </w:t>
      </w:r>
      <w:r w:rsidRPr="00206B59">
        <w:rPr>
          <w:rFonts w:ascii="Simplified Arabic" w:hAnsi="Simplified Arabic" w:cs="Simplified Arabic"/>
          <w:sz w:val="24"/>
          <w:szCs w:val="24"/>
          <w:rtl/>
        </w:rPr>
        <w:t>تقنية استشارة دلفي لتحديد المعايير الأكثر فاعلية لاستخدامها في تقييم المرونة الحضرية. تم استخدام خبراء محليين إيرانيين عارفين بمنطقة دراسة الحالة (ملاير -همذان) في ايران. تم النظر في 18 معيارًا، باستخدام تقنية دلفي، تم ترجيح كل معيار باستخدام طريقة</w:t>
      </w:r>
      <w:r w:rsidRPr="00206B59">
        <w:rPr>
          <w:rFonts w:ascii="Simplified Arabic" w:hAnsi="Simplified Arabic" w:cs="Simplified Arabic"/>
          <w:rtl/>
        </w:rPr>
        <w:t xml:space="preserve"> </w:t>
      </w:r>
      <w:r w:rsidRPr="00206B59">
        <w:rPr>
          <w:rStyle w:val="y2iqfc"/>
          <w:rFonts w:asciiTheme="majorBidi" w:hAnsiTheme="majorBidi" w:cstheme="majorBidi"/>
          <w:color w:val="202124"/>
          <w:sz w:val="24"/>
          <w:szCs w:val="24"/>
          <w:rtl/>
          <w:lang w:val="en-US" w:bidi="ar"/>
        </w:rPr>
        <w:t>(</w:t>
      </w:r>
      <w:r w:rsidRPr="00206B59">
        <w:rPr>
          <w:rStyle w:val="y2iqfc"/>
          <w:rFonts w:asciiTheme="majorBidi" w:hAnsiTheme="majorBidi" w:cstheme="majorBidi"/>
          <w:color w:val="202124"/>
          <w:sz w:val="24"/>
          <w:szCs w:val="24"/>
          <w:lang w:val="en-US" w:bidi="ar"/>
        </w:rPr>
        <w:t>AHP</w:t>
      </w:r>
      <w:r w:rsidRPr="00206B59">
        <w:rPr>
          <w:rStyle w:val="y2iqfc"/>
          <w:rFonts w:asciiTheme="majorBidi" w:hAnsiTheme="majorBidi" w:cstheme="majorBidi"/>
          <w:color w:val="202124"/>
          <w:sz w:val="24"/>
          <w:szCs w:val="24"/>
          <w:rtl/>
          <w:lang w:val="en-US" w:bidi="ar"/>
        </w:rPr>
        <w:t>)</w:t>
      </w:r>
      <w:r w:rsidRPr="00206B59">
        <w:rPr>
          <w:rStyle w:val="y2iqfc"/>
          <w:rFonts w:asciiTheme="majorBidi" w:hAnsiTheme="majorBidi" w:cstheme="majorBidi" w:hint="cs"/>
          <w:color w:val="202124"/>
          <w:sz w:val="24"/>
          <w:szCs w:val="24"/>
          <w:rtl/>
          <w:lang w:val="en-US" w:bidi="ar"/>
        </w:rPr>
        <w:t xml:space="preserve"> من خلا</w:t>
      </w:r>
      <w:r w:rsidR="00C66770" w:rsidRPr="00206B59">
        <w:rPr>
          <w:rStyle w:val="y2iqfc"/>
          <w:rFonts w:asciiTheme="majorBidi" w:hAnsiTheme="majorBidi" w:cstheme="majorBidi" w:hint="cs"/>
          <w:color w:val="202124"/>
          <w:sz w:val="24"/>
          <w:szCs w:val="24"/>
          <w:rtl/>
          <w:lang w:val="en-US" w:bidi="ar-DZ"/>
        </w:rPr>
        <w:t>ل</w:t>
      </w:r>
      <w:r w:rsidRPr="00206B59">
        <w:rPr>
          <w:rStyle w:val="y2iqfc"/>
          <w:rFonts w:asciiTheme="majorBidi" w:hAnsiTheme="majorBidi" w:cstheme="majorBidi" w:hint="cs"/>
          <w:color w:val="202124"/>
          <w:sz w:val="24"/>
          <w:szCs w:val="24"/>
          <w:rtl/>
          <w:lang w:val="en-US" w:bidi="ar"/>
        </w:rPr>
        <w:t xml:space="preserve"> المقارنة الزوجية حسب راي خبراء 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تضمنت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النتائج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ترتيب المعايير الاكثر اهمية حسب راي الخبراء والاكثر تأثيرا في معدلات المرونة الحضرية</w:t>
      </w:r>
      <w:r w:rsidRPr="00206B59">
        <w:rPr>
          <w:rFonts w:ascii="Simplified Arabic" w:hAnsi="Simplified Arabic" w:cs="Simplified Arabic"/>
          <w:sz w:val="24"/>
          <w:szCs w:val="24"/>
          <w:rtl/>
        </w:rPr>
        <w:t xml:space="preserve">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sz w:val="24"/>
          <w:szCs w:val="24"/>
          <w:lang w:val="en-US"/>
        </w:rPr>
        <w:t xml:space="preserve">Javari </w:t>
      </w:r>
      <w:r w:rsidRPr="00206B59">
        <w:rPr>
          <w:rFonts w:asciiTheme="majorBidi" w:eastAsia="Times New Roman" w:hAnsiTheme="majorBidi" w:cstheme="majorBidi"/>
          <w:bCs/>
          <w:sz w:val="24"/>
          <w:szCs w:val="24"/>
          <w:lang w:eastAsia="fr-FR"/>
        </w:rPr>
        <w:t>et al., 2021</w:t>
      </w:r>
      <w:r w:rsidRPr="00206B59">
        <w:rPr>
          <w:rFonts w:asciiTheme="majorBidi" w:eastAsia="Times New Roman" w:hAnsiTheme="majorBidi" w:cstheme="majorBidi"/>
          <w:bCs/>
          <w:sz w:val="24"/>
          <w:szCs w:val="24"/>
          <w:rtl/>
          <w:lang w:val="en-US" w:eastAsia="fr-FR"/>
        </w:rPr>
        <w:t>)</w:t>
      </w:r>
      <w:r w:rsidRPr="00206B59">
        <w:rPr>
          <w:rFonts w:ascii="Simplified Arabic" w:hAnsi="Simplified Arabic" w:cs="Simplified Arabic"/>
          <w:sz w:val="24"/>
          <w:szCs w:val="24"/>
          <w:rtl/>
        </w:rPr>
        <w:t>.</w:t>
      </w:r>
      <w:r w:rsidRPr="00206B59">
        <w:rPr>
          <w:rFonts w:ascii="Simplified Arabic" w:hAnsi="Simplified Arabic" w:cs="Simplified Arabic" w:hint="cs"/>
          <w:sz w:val="24"/>
          <w:szCs w:val="24"/>
          <w:rtl/>
        </w:rPr>
        <w:t xml:space="preserve"> </w:t>
      </w:r>
      <w:r w:rsidRPr="00206B59">
        <w:rPr>
          <w:rFonts w:ascii="Simplified Arabic" w:hAnsi="Simplified Arabic" w:cs="Simplified Arabic"/>
          <w:sz w:val="24"/>
          <w:szCs w:val="24"/>
          <w:rtl/>
        </w:rPr>
        <w:t xml:space="preserve">أظهرت </w:t>
      </w:r>
      <w:r w:rsidRPr="00206B59">
        <w:rPr>
          <w:rFonts w:ascii="Simplified Arabic" w:hAnsi="Simplified Arabic" w:cs="Simplified Arabic" w:hint="cs"/>
          <w:sz w:val="24"/>
          <w:szCs w:val="24"/>
          <w:rtl/>
        </w:rPr>
        <w:t xml:space="preserve">النتائج اهمية تقييم عوامل مثل، </w:t>
      </w:r>
      <w:r w:rsidRPr="00206B59">
        <w:rPr>
          <w:rFonts w:ascii="Simplified Arabic" w:hAnsi="Simplified Arabic" w:cs="Simplified Arabic"/>
          <w:sz w:val="24"/>
          <w:szCs w:val="24"/>
          <w:rtl/>
        </w:rPr>
        <w:t>إمكانية الوصول إلى الشوارع، الوصول إلى المساحات الخضراء، الوصول إلى محطات الإطفاء والوصول إلى المراكز الصحية والوصول إلى المراكز التعليمية</w:t>
      </w:r>
      <w:r w:rsidR="002357F4">
        <w:rPr>
          <w:rFonts w:ascii="Simplified Arabic" w:hAnsi="Simplified Arabic" w:cs="Simplified Arabic"/>
          <w:sz w:val="24"/>
          <w:szCs w:val="24"/>
          <w:rtl/>
        </w:rPr>
        <w:t>، والوصول إلى المساحات المفتوحة</w:t>
      </w:r>
      <w:r w:rsidRPr="00206B59">
        <w:rPr>
          <w:rFonts w:ascii="Simplified Arabic" w:hAnsi="Simplified Arabic" w:cs="Simplified Arabic"/>
          <w:sz w:val="24"/>
          <w:szCs w:val="24"/>
          <w:rtl/>
        </w:rPr>
        <w:t xml:space="preserve"> والملاجئ</w:t>
      </w:r>
      <w:r w:rsidRPr="00206B59">
        <w:rPr>
          <w:rFonts w:ascii="Simplified Arabic" w:hAnsi="Simplified Arabic" w:cs="Simplified Arabic" w:hint="cs"/>
          <w:sz w:val="24"/>
          <w:szCs w:val="24"/>
          <w:rtl/>
        </w:rPr>
        <w:t>.</w:t>
      </w:r>
    </w:p>
    <w:p w:rsidR="000B42BD" w:rsidRPr="00D1395E" w:rsidRDefault="000B42BD" w:rsidP="000B42BD">
      <w:pPr>
        <w:bidi/>
        <w:spacing w:after="0"/>
        <w:ind w:firstLine="282"/>
        <w:jc w:val="both"/>
        <w:rPr>
          <w:rFonts w:ascii="Simplified Arabic" w:hAnsi="Simplified Arabic" w:cs="Simplified Arabic"/>
          <w:sz w:val="24"/>
          <w:szCs w:val="24"/>
          <w:rtl/>
        </w:rPr>
      </w:pPr>
      <w:r w:rsidRPr="00206B59">
        <w:rPr>
          <w:rFonts w:ascii="Simplified Arabic" w:hAnsi="Simplified Arabic" w:cs="Simplified Arabic"/>
          <w:sz w:val="24"/>
          <w:szCs w:val="24"/>
          <w:rtl/>
        </w:rPr>
        <w:t xml:space="preserve">قام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themeColor="text1"/>
          <w:sz w:val="24"/>
          <w:szCs w:val="24"/>
          <w:lang w:val="en-US" w:bidi="ar-DZ"/>
        </w:rPr>
        <w:t>Haghighi Fard and Doratli, 2022</w:t>
      </w:r>
      <w:r w:rsidRPr="00206B59">
        <w:rPr>
          <w:rFonts w:asciiTheme="majorBidi" w:hAnsiTheme="majorBidi" w:cstheme="majorBidi"/>
          <w:sz w:val="24"/>
          <w:szCs w:val="24"/>
          <w:rtl/>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باستخدام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نفس</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الأسلوب</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لتطوير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مجموعة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أدوات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تقييم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المرونة الحضرية للأحياء التاريخية الواقعة بمدينة طهران 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ايران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النظر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18 </w:t>
      </w:r>
      <w:r w:rsidRPr="00206B59">
        <w:rPr>
          <w:rFonts w:ascii="Simplified Arabic" w:hAnsi="Simplified Arabic" w:cs="Simplified Arabic" w:hint="cs"/>
          <w:sz w:val="24"/>
          <w:szCs w:val="24"/>
          <w:rtl/>
        </w:rPr>
        <w:t>معيارًا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بعد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ذلك،</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باستخدام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دلفي،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اختيار</w:t>
      </w:r>
      <w:r w:rsidRPr="00206B59">
        <w:rPr>
          <w:rFonts w:ascii="Simplified Arabic" w:hAnsi="Simplified Arabic" w:cs="Simplified Arabic"/>
          <w:sz w:val="24"/>
          <w:szCs w:val="24"/>
          <w:rtl/>
        </w:rPr>
        <w:t xml:space="preserve"> 14 </w:t>
      </w:r>
      <w:r w:rsidRPr="00206B59">
        <w:rPr>
          <w:rFonts w:ascii="Simplified Arabic" w:hAnsi="Simplified Arabic" w:cs="Simplified Arabic" w:hint="cs"/>
          <w:sz w:val="24"/>
          <w:szCs w:val="24"/>
          <w:rtl/>
        </w:rPr>
        <w:t>معيارًا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بينها</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للتحليل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النهائي، باستخدام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نفس التقنية،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ترجيح</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كل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معيار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باستخدام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طريقة</w:t>
      </w:r>
      <w:r w:rsidRPr="00206B59">
        <w:rPr>
          <w:rStyle w:val="y2iqfc"/>
          <w:rFonts w:asciiTheme="minorBidi" w:hAnsiTheme="minorBidi" w:hint="cs"/>
          <w:color w:val="202124"/>
          <w:sz w:val="24"/>
          <w:szCs w:val="24"/>
          <w:rtl/>
          <w:lang w:val="en-US" w:bidi="ar"/>
        </w:rPr>
        <w:t xml:space="preserve"> </w:t>
      </w:r>
      <w:r w:rsidRPr="00206B59">
        <w:rPr>
          <w:rStyle w:val="y2iqfc"/>
          <w:rFonts w:asciiTheme="majorBidi" w:hAnsiTheme="majorBidi" w:cstheme="majorBidi"/>
          <w:color w:val="202124"/>
          <w:sz w:val="24"/>
          <w:szCs w:val="24"/>
          <w:rtl/>
          <w:lang w:val="en-US" w:bidi="ar"/>
        </w:rPr>
        <w:t>(</w:t>
      </w:r>
      <w:r w:rsidRPr="00206B59">
        <w:rPr>
          <w:rStyle w:val="y2iqfc"/>
          <w:rFonts w:asciiTheme="majorBidi" w:hAnsiTheme="majorBidi" w:cstheme="majorBidi"/>
          <w:color w:val="202124"/>
          <w:sz w:val="24"/>
          <w:szCs w:val="24"/>
          <w:lang w:val="en-US" w:bidi="ar"/>
        </w:rPr>
        <w:t>AHP</w:t>
      </w:r>
      <w:r w:rsidRPr="00206B59">
        <w:rPr>
          <w:rStyle w:val="y2iqfc"/>
          <w:rFonts w:asciiTheme="majorBidi" w:hAnsiTheme="majorBidi" w:cstheme="majorBidi"/>
          <w:color w:val="202124"/>
          <w:sz w:val="24"/>
          <w:szCs w:val="24"/>
          <w:rtl/>
          <w:lang w:val="en-US" w:bidi="ar"/>
        </w:rPr>
        <w:t>)</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تضمنت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النتائج</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ترتيب المعايير الاكثر اهمية حسب راي الخبراء الاكثر تأثيرا في معدلات المرونة الحضرية</w:t>
      </w:r>
      <w:r w:rsidRPr="00206B59">
        <w:rPr>
          <w:rFonts w:ascii="Simplified Arabic" w:hAnsi="Simplified Arabic" w:cs="Simplified Arabic"/>
          <w:sz w:val="24"/>
          <w:szCs w:val="24"/>
          <w:rtl/>
        </w:rPr>
        <w:t xml:space="preserve"> </w:t>
      </w:r>
      <w:r w:rsidRPr="00206B59">
        <w:rPr>
          <w:rFonts w:asciiTheme="majorBidi" w:hAnsiTheme="majorBidi" w:cstheme="majorBidi"/>
          <w:color w:val="000000" w:themeColor="text1"/>
          <w:sz w:val="24"/>
          <w:szCs w:val="24"/>
          <w:rtl/>
          <w:lang w:val="en-US" w:bidi="ar-DZ"/>
        </w:rPr>
        <w:t>(</w:t>
      </w:r>
      <w:r w:rsidRPr="00206B59">
        <w:rPr>
          <w:rFonts w:asciiTheme="majorBidi" w:hAnsiTheme="majorBidi" w:cstheme="majorBidi"/>
          <w:color w:val="000000" w:themeColor="text1"/>
          <w:sz w:val="24"/>
          <w:szCs w:val="24"/>
          <w:lang w:val="en-US" w:bidi="ar-DZ"/>
        </w:rPr>
        <w:t xml:space="preserve">Haghighi </w:t>
      </w:r>
      <w:r w:rsidRPr="00206B59">
        <w:rPr>
          <w:rFonts w:asciiTheme="majorBidi" w:hAnsiTheme="majorBidi" w:cstheme="majorBidi"/>
          <w:color w:val="000000" w:themeColor="text1"/>
          <w:sz w:val="24"/>
          <w:szCs w:val="24"/>
          <w:lang w:val="en-US" w:bidi="ar-DZ"/>
        </w:rPr>
        <w:lastRenderedPageBreak/>
        <w:t>Fard and Doratli, 2022</w:t>
      </w:r>
      <w:r w:rsidRPr="00206B59">
        <w:rPr>
          <w:rFonts w:asciiTheme="majorBidi" w:eastAsia="Times New Roman" w:hAnsiTheme="majorBidi" w:cstheme="majorBidi"/>
          <w:bCs/>
          <w:sz w:val="24"/>
          <w:szCs w:val="24"/>
          <w:rtl/>
          <w:lang w:val="en-US" w:eastAsia="fr-FR"/>
        </w:rPr>
        <w:t>)</w:t>
      </w:r>
      <w:r w:rsidRPr="00206B59">
        <w:rPr>
          <w:rFonts w:ascii="Simplified Arabic" w:hAnsi="Simplified Arabic" w:cs="Simplified Arabic"/>
          <w:sz w:val="24"/>
          <w:szCs w:val="24"/>
          <w:rtl/>
        </w:rPr>
        <w:t>.</w:t>
      </w:r>
      <w:r w:rsidRPr="00206B59">
        <w:rPr>
          <w:rFonts w:ascii="Simplified Arabic" w:hAnsi="Simplified Arabic" w:cs="Simplified Arabic" w:hint="cs"/>
          <w:rtl/>
        </w:rPr>
        <w:t xml:space="preserve"> </w:t>
      </w:r>
      <w:r w:rsidRPr="00206B59">
        <w:rPr>
          <w:rFonts w:ascii="Simplified Arabic" w:hAnsi="Simplified Arabic" w:cs="Simplified Arabic" w:hint="cs"/>
          <w:sz w:val="24"/>
          <w:szCs w:val="24"/>
          <w:rtl/>
        </w:rPr>
        <w:t>من</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خلال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فحص</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المعايير</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في</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الأحياء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ذات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أقل</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مرونة،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تقديم</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اقتراحات</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لتجديد</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هذه</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الأحياء</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وزيادة</w:t>
      </w:r>
      <w:r w:rsidRPr="00206B59">
        <w:rPr>
          <w:rFonts w:ascii="Simplified Arabic" w:hAnsi="Simplified Arabic" w:cs="Simplified Arabic"/>
          <w:sz w:val="24"/>
          <w:szCs w:val="24"/>
          <w:rtl/>
        </w:rPr>
        <w:t xml:space="preserve"> </w:t>
      </w:r>
      <w:r w:rsidRPr="00206B59">
        <w:rPr>
          <w:rFonts w:ascii="Simplified Arabic" w:hAnsi="Simplified Arabic" w:cs="Simplified Arabic" w:hint="cs"/>
          <w:sz w:val="24"/>
          <w:szCs w:val="24"/>
          <w:rtl/>
        </w:rPr>
        <w:t>مرونتها</w:t>
      </w:r>
      <w:r w:rsidRPr="00206B59">
        <w:rPr>
          <w:rFonts w:ascii="Simplified Arabic" w:hAnsi="Simplified Arabic" w:cs="Simplified Arabic"/>
          <w:sz w:val="24"/>
          <w:szCs w:val="24"/>
          <w:rtl/>
        </w:rPr>
        <w:t>.</w:t>
      </w:r>
    </w:p>
    <w:p w:rsidR="000B42BD" w:rsidRPr="00BB7388" w:rsidRDefault="000B42BD" w:rsidP="00AA7856">
      <w:pPr>
        <w:tabs>
          <w:tab w:val="right" w:pos="850"/>
        </w:tabs>
        <w:bidi/>
        <w:spacing w:after="0"/>
        <w:ind w:firstLine="282"/>
        <w:jc w:val="both"/>
        <w:rPr>
          <w:rFonts w:ascii="Simplified Arabic" w:hAnsi="Simplified Arabic" w:cs="Simplified Arabic"/>
          <w:sz w:val="24"/>
          <w:szCs w:val="24"/>
          <w:rtl/>
        </w:rPr>
      </w:pPr>
      <w:r w:rsidRPr="00BB7388">
        <w:rPr>
          <w:rFonts w:ascii="Simplified Arabic" w:hAnsi="Simplified Arabic" w:cs="Simplified Arabic" w:hint="cs"/>
          <w:sz w:val="24"/>
          <w:szCs w:val="24"/>
          <w:rtl/>
        </w:rPr>
        <w:t>تسمح</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نتائج</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المقارنة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مع</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الأدوات</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الأخرى</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والاستخدام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الواسع</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لهذه</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التقنية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مجال</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المرونة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الحضرية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باستخدام</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تقنية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دلفي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كعملية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إجماع</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فعالة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وبناءة</w:t>
      </w:r>
      <w:r w:rsidRPr="00BB7388">
        <w:rPr>
          <w:rFonts w:ascii="Simplified Arabic" w:hAnsi="Simplified Arabic" w:cs="Simplified Arabic"/>
          <w:sz w:val="24"/>
          <w:szCs w:val="24"/>
          <w:rtl/>
        </w:rPr>
        <w:t xml:space="preserve"> </w:t>
      </w:r>
      <w:r w:rsidR="000743B1">
        <w:rPr>
          <w:rFonts w:ascii="Simplified Arabic" w:hAnsi="Simplified Arabic" w:cs="Simplified Arabic" w:hint="cs"/>
          <w:sz w:val="24"/>
          <w:szCs w:val="24"/>
          <w:rtl/>
        </w:rPr>
        <w:t>للبحث</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الحالية</w:t>
      </w:r>
      <w:r w:rsidRPr="00BB7388">
        <w:rPr>
          <w:rFonts w:ascii="Simplified Arabic" w:hAnsi="Simplified Arabic" w:cs="Simplified Arabic"/>
          <w:sz w:val="24"/>
          <w:szCs w:val="24"/>
          <w:rtl/>
        </w:rPr>
        <w:t>.</w:t>
      </w:r>
    </w:p>
    <w:p w:rsidR="000B42BD" w:rsidRPr="00342CAA" w:rsidRDefault="000B42BD" w:rsidP="001D0548">
      <w:pPr>
        <w:pStyle w:val="Paragraphedeliste"/>
        <w:numPr>
          <w:ilvl w:val="3"/>
          <w:numId w:val="135"/>
        </w:numPr>
        <w:tabs>
          <w:tab w:val="right" w:pos="992"/>
        </w:tabs>
        <w:bidi/>
        <w:spacing w:after="0"/>
        <w:ind w:left="0" w:firstLine="0"/>
        <w:outlineLvl w:val="2"/>
        <w:rPr>
          <w:rFonts w:ascii="Simplified Arabic" w:hAnsi="Simplified Arabic" w:cs="Simplified Arabic"/>
          <w:b/>
          <w:bCs/>
          <w:sz w:val="24"/>
          <w:szCs w:val="24"/>
        </w:rPr>
      </w:pPr>
      <w:bookmarkStart w:id="414" w:name="_Toc171803520"/>
      <w:r w:rsidRPr="00342CAA">
        <w:rPr>
          <w:rFonts w:ascii="Simplified Arabic" w:hAnsi="Simplified Arabic" w:cs="Simplified Arabic" w:hint="cs"/>
          <w:b/>
          <w:bCs/>
          <w:sz w:val="24"/>
          <w:szCs w:val="24"/>
          <w:rtl/>
        </w:rPr>
        <w:t>تصميم</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تقنية</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دلفي</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في</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هذا</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البحث</w:t>
      </w:r>
      <w:bookmarkEnd w:id="414"/>
    </w:p>
    <w:p w:rsidR="000B42BD" w:rsidRPr="00342CAA" w:rsidRDefault="000B42BD" w:rsidP="001D0548">
      <w:pPr>
        <w:pStyle w:val="Paragraphedeliste"/>
        <w:numPr>
          <w:ilvl w:val="0"/>
          <w:numId w:val="211"/>
        </w:numPr>
        <w:tabs>
          <w:tab w:val="right" w:pos="1134"/>
        </w:tabs>
        <w:bidi/>
        <w:spacing w:after="0"/>
        <w:ind w:left="0" w:firstLine="992"/>
        <w:jc w:val="both"/>
        <w:outlineLvl w:val="3"/>
        <w:rPr>
          <w:rFonts w:ascii="Simplified Arabic" w:hAnsi="Simplified Arabic" w:cs="Simplified Arabic"/>
          <w:b/>
          <w:bCs/>
          <w:sz w:val="24"/>
          <w:szCs w:val="24"/>
        </w:rPr>
      </w:pPr>
      <w:r w:rsidRPr="00342CAA">
        <w:rPr>
          <w:rFonts w:ascii="Simplified Arabic" w:hAnsi="Simplified Arabic" w:cs="Simplified Arabic" w:hint="cs"/>
          <w:b/>
          <w:bCs/>
          <w:sz w:val="24"/>
          <w:szCs w:val="24"/>
          <w:rtl/>
        </w:rPr>
        <w:t>تطوير استبيان</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مسح</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دلفي</w:t>
      </w:r>
    </w:p>
    <w:p w:rsidR="000B42BD" w:rsidRDefault="000B42BD" w:rsidP="003E1563">
      <w:pPr>
        <w:bidi/>
        <w:spacing w:after="0"/>
        <w:ind w:firstLine="282"/>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تم تصميم </w:t>
      </w:r>
      <w:r w:rsidRPr="00BB7388">
        <w:rPr>
          <w:rFonts w:ascii="Simplified Arabic" w:hAnsi="Simplified Arabic" w:cs="Simplified Arabic" w:hint="cs"/>
          <w:sz w:val="24"/>
          <w:szCs w:val="24"/>
          <w:rtl/>
        </w:rPr>
        <w:t>مسح</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دلفي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من</w:t>
      </w:r>
      <w:r>
        <w:rPr>
          <w:rFonts w:ascii="Simplified Arabic" w:hAnsi="Simplified Arabic" w:cs="Simplified Arabic" w:hint="cs"/>
          <w:sz w:val="24"/>
          <w:szCs w:val="24"/>
          <w:rtl/>
        </w:rPr>
        <w:t xml:space="preserve"> خلال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عدة</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مراحل،</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كما</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هو</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موضح</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في</w:t>
      </w:r>
      <w:r w:rsidRPr="00BB7388">
        <w:rPr>
          <w:rFonts w:ascii="Simplified Arabic" w:hAnsi="Simplified Arabic" w:cs="Simplified Arabic"/>
          <w:sz w:val="24"/>
          <w:szCs w:val="24"/>
          <w:rtl/>
        </w:rPr>
        <w:t xml:space="preserve"> </w:t>
      </w:r>
      <w:r w:rsidRPr="00BB7388">
        <w:rPr>
          <w:rFonts w:ascii="Simplified Arabic" w:hAnsi="Simplified Arabic" w:cs="Simplified Arabic" w:hint="cs"/>
          <w:sz w:val="24"/>
          <w:szCs w:val="24"/>
          <w:rtl/>
        </w:rPr>
        <w:t>الشكل</w:t>
      </w:r>
      <w:r w:rsidRPr="00BB7388">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002E7C71">
        <w:rPr>
          <w:rFonts w:ascii="Simplified Arabic" w:hAnsi="Simplified Arabic" w:cs="Simplified Arabic" w:hint="cs"/>
          <w:sz w:val="24"/>
          <w:szCs w:val="24"/>
          <w:rtl/>
        </w:rPr>
        <w:t>3-4</w:t>
      </w:r>
      <w:r>
        <w:rPr>
          <w:rFonts w:ascii="Simplified Arabic" w:hAnsi="Simplified Arabic" w:cs="Simplified Arabic" w:hint="cs"/>
          <w:sz w:val="24"/>
          <w:szCs w:val="24"/>
          <w:rtl/>
        </w:rPr>
        <w:t>)</w:t>
      </w:r>
      <w:r w:rsidRPr="00BB7388">
        <w:rPr>
          <w:rFonts w:ascii="Simplified Arabic" w:hAnsi="Simplified Arabic" w:cs="Simplified Arabic"/>
          <w:sz w:val="24"/>
          <w:szCs w:val="24"/>
          <w:rtl/>
        </w:rPr>
        <w:t>.</w:t>
      </w:r>
      <w:r w:rsidR="003E1563">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يستند </w:t>
      </w:r>
      <w:r w:rsidRPr="00A4356C">
        <w:rPr>
          <w:rFonts w:ascii="Simplified Arabic" w:hAnsi="Simplified Arabic" w:cs="Simplified Arabic"/>
          <w:sz w:val="24"/>
          <w:szCs w:val="24"/>
          <w:rtl/>
        </w:rPr>
        <w:t xml:space="preserve">تصميم </w:t>
      </w:r>
      <w:r>
        <w:rPr>
          <w:rFonts w:ascii="Simplified Arabic" w:hAnsi="Simplified Arabic" w:cs="Simplified Arabic" w:hint="cs"/>
          <w:sz w:val="24"/>
          <w:szCs w:val="24"/>
          <w:rtl/>
        </w:rPr>
        <w:t>ال</w:t>
      </w:r>
      <w:r w:rsidRPr="00A4356C">
        <w:rPr>
          <w:rFonts w:ascii="Simplified Arabic" w:hAnsi="Simplified Arabic" w:cs="Simplified Arabic"/>
          <w:sz w:val="24"/>
          <w:szCs w:val="24"/>
          <w:rtl/>
        </w:rPr>
        <w:t>استبيان</w:t>
      </w:r>
      <w:r>
        <w:rPr>
          <w:rFonts w:ascii="Simplified Arabic" w:hAnsi="Simplified Arabic" w:cs="Simplified Arabic" w:hint="cs"/>
          <w:sz w:val="24"/>
          <w:szCs w:val="24"/>
          <w:rtl/>
        </w:rPr>
        <w:t xml:space="preserve"> الالكتروني الى </w:t>
      </w:r>
      <w:r w:rsidRPr="00A4356C">
        <w:rPr>
          <w:rFonts w:ascii="Simplified Arabic" w:hAnsi="Simplified Arabic" w:cs="Simplified Arabic"/>
          <w:sz w:val="24"/>
          <w:szCs w:val="24"/>
          <w:rtl/>
        </w:rPr>
        <w:t xml:space="preserve">تقنية دلفي باستخدام </w:t>
      </w:r>
      <w:r>
        <w:rPr>
          <w:rFonts w:ascii="Simplified Arabic" w:hAnsi="Simplified Arabic" w:cs="Simplified Arabic" w:hint="cs"/>
          <w:sz w:val="24"/>
          <w:szCs w:val="24"/>
          <w:rtl/>
        </w:rPr>
        <w:t>ال</w:t>
      </w:r>
      <w:r w:rsidRPr="00A4356C">
        <w:rPr>
          <w:rFonts w:ascii="Simplified Arabic" w:hAnsi="Simplified Arabic" w:cs="Simplified Arabic"/>
          <w:sz w:val="24"/>
          <w:szCs w:val="24"/>
          <w:rtl/>
        </w:rPr>
        <w:t xml:space="preserve">عوامل </w:t>
      </w:r>
      <w:r>
        <w:rPr>
          <w:rFonts w:ascii="Simplified Arabic" w:hAnsi="Simplified Arabic" w:cs="Simplified Arabic" w:hint="cs"/>
          <w:sz w:val="24"/>
          <w:szCs w:val="24"/>
          <w:rtl/>
        </w:rPr>
        <w:t>الاولية التي يمكن ان تؤثر على المرونة ال</w:t>
      </w:r>
      <w:r w:rsidRPr="00A4356C">
        <w:rPr>
          <w:rFonts w:ascii="Simplified Arabic" w:hAnsi="Simplified Arabic" w:cs="Simplified Arabic"/>
          <w:sz w:val="24"/>
          <w:szCs w:val="24"/>
          <w:rtl/>
        </w:rPr>
        <w:t>حضرية</w:t>
      </w:r>
      <w:r>
        <w:rPr>
          <w:rFonts w:ascii="Simplified Arabic" w:hAnsi="Simplified Arabic" w:cs="Simplified Arabic" w:hint="cs"/>
          <w:sz w:val="24"/>
          <w:szCs w:val="24"/>
          <w:rtl/>
        </w:rPr>
        <w:t>،</w:t>
      </w:r>
      <w:r w:rsidRPr="00A4356C">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المحددة </w:t>
      </w:r>
      <w:r w:rsidRPr="0041533C">
        <w:rPr>
          <w:rFonts w:ascii="Simplified Arabic" w:hAnsi="Simplified Arabic" w:cs="Simplified Arabic"/>
          <w:sz w:val="24"/>
          <w:szCs w:val="24"/>
          <w:rtl/>
        </w:rPr>
        <w:t>من</w:t>
      </w:r>
      <w:r w:rsidRPr="0041533C">
        <w:rPr>
          <w:rFonts w:ascii="Simplified Arabic" w:hAnsi="Simplified Arabic" w:cs="Simplified Arabic" w:hint="cs"/>
          <w:sz w:val="24"/>
          <w:szCs w:val="24"/>
          <w:rtl/>
        </w:rPr>
        <w:t xml:space="preserve"> خلال</w:t>
      </w:r>
      <w:r w:rsidRPr="0041533C">
        <w:rPr>
          <w:rFonts w:ascii="Simplified Arabic" w:hAnsi="Simplified Arabic" w:cs="Simplified Arabic"/>
          <w:sz w:val="24"/>
          <w:szCs w:val="24"/>
          <w:rtl/>
        </w:rPr>
        <w:t xml:space="preserve"> مقارنة أدوات التقييم </w:t>
      </w:r>
      <w:r w:rsidRPr="00A4356C">
        <w:rPr>
          <w:rFonts w:ascii="Simplified Arabic" w:hAnsi="Simplified Arabic" w:cs="Simplified Arabic"/>
          <w:sz w:val="24"/>
          <w:szCs w:val="24"/>
          <w:rtl/>
        </w:rPr>
        <w:t xml:space="preserve">الشامل للمرونة الحضرية. تم جمع آراء المستجيبين على مقياس 5 نقاط من نوع ليكرت </w:t>
      </w:r>
      <w:r w:rsidRPr="00A4356C">
        <w:rPr>
          <w:rFonts w:asciiTheme="majorBidi" w:hAnsiTheme="majorBidi" w:cstheme="majorBidi"/>
          <w:sz w:val="24"/>
          <w:szCs w:val="24"/>
          <w:rtl/>
        </w:rPr>
        <w:t>(</w:t>
      </w:r>
      <w:r>
        <w:rPr>
          <w:rFonts w:asciiTheme="majorBidi" w:hAnsiTheme="majorBidi" w:cstheme="majorBidi"/>
          <w:sz w:val="24"/>
          <w:szCs w:val="24"/>
        </w:rPr>
        <w:t>Likert</w:t>
      </w:r>
      <w:r w:rsidRPr="00A4356C">
        <w:rPr>
          <w:rFonts w:asciiTheme="majorBidi" w:hAnsiTheme="majorBidi" w:cstheme="majorBidi"/>
          <w:sz w:val="24"/>
          <w:szCs w:val="24"/>
          <w:rtl/>
        </w:rPr>
        <w:t>)</w:t>
      </w:r>
      <w:r w:rsidRPr="00A4356C">
        <w:rPr>
          <w:rFonts w:ascii="Simplified Arabic" w:hAnsi="Simplified Arabic" w:cs="Simplified Arabic"/>
          <w:sz w:val="24"/>
          <w:szCs w:val="24"/>
          <w:rtl/>
        </w:rPr>
        <w:t xml:space="preserve">، مرتبة من </w:t>
      </w:r>
      <w:r>
        <w:rPr>
          <w:rFonts w:ascii="Simplified Arabic" w:hAnsi="Simplified Arabic" w:cs="Simplified Arabic" w:hint="cs"/>
          <w:sz w:val="24"/>
          <w:szCs w:val="24"/>
          <w:rtl/>
        </w:rPr>
        <w:t>''</w:t>
      </w:r>
      <w:r w:rsidRPr="00A4356C">
        <w:rPr>
          <w:rFonts w:ascii="Simplified Arabic" w:hAnsi="Simplified Arabic" w:cs="Simplified Arabic"/>
          <w:sz w:val="24"/>
          <w:szCs w:val="24"/>
          <w:rtl/>
        </w:rPr>
        <w:t>غير مهم</w:t>
      </w:r>
      <w:r>
        <w:rPr>
          <w:rFonts w:ascii="Simplified Arabic" w:hAnsi="Simplified Arabic" w:cs="Simplified Arabic" w:hint="cs"/>
          <w:sz w:val="24"/>
          <w:szCs w:val="24"/>
          <w:rtl/>
        </w:rPr>
        <w:t>''</w:t>
      </w:r>
      <w:r w:rsidRPr="00A4356C">
        <w:rPr>
          <w:rFonts w:ascii="Simplified Arabic" w:hAnsi="Simplified Arabic" w:cs="Simplified Arabic"/>
          <w:sz w:val="24"/>
          <w:szCs w:val="24"/>
          <w:rtl/>
        </w:rPr>
        <w:t xml:space="preserve"> إلى </w:t>
      </w:r>
      <w:r>
        <w:rPr>
          <w:rFonts w:ascii="Simplified Arabic" w:hAnsi="Simplified Arabic" w:cs="Simplified Arabic" w:hint="cs"/>
          <w:sz w:val="24"/>
          <w:szCs w:val="24"/>
          <w:rtl/>
        </w:rPr>
        <w:t>''</w:t>
      </w:r>
      <w:r w:rsidRPr="00A4356C">
        <w:rPr>
          <w:rFonts w:ascii="Simplified Arabic" w:hAnsi="Simplified Arabic" w:cs="Simplified Arabic"/>
          <w:sz w:val="24"/>
          <w:szCs w:val="24"/>
          <w:rtl/>
        </w:rPr>
        <w:t>مهم جدًا</w:t>
      </w:r>
      <w:r>
        <w:rPr>
          <w:rFonts w:ascii="Simplified Arabic" w:hAnsi="Simplified Arabic" w:cs="Simplified Arabic" w:hint="cs"/>
          <w:sz w:val="24"/>
          <w:szCs w:val="24"/>
          <w:rtl/>
        </w:rPr>
        <w:t>''</w:t>
      </w:r>
      <w:r w:rsidRPr="00A4356C">
        <w:rPr>
          <w:rFonts w:ascii="Simplified Arabic" w:hAnsi="Simplified Arabic" w:cs="Simplified Arabic"/>
          <w:sz w:val="24"/>
          <w:szCs w:val="24"/>
          <w:rtl/>
        </w:rPr>
        <w:t>.</w:t>
      </w:r>
    </w:p>
    <w:p w:rsidR="000B42BD" w:rsidRDefault="000B42BD" w:rsidP="00264FC1">
      <w:pPr>
        <w:pStyle w:val="fegure"/>
        <w:rPr>
          <w:sz w:val="8"/>
          <w:szCs w:val="24"/>
          <w:rtl/>
        </w:rPr>
      </w:pPr>
      <w:bookmarkStart w:id="415" w:name="_Toc157608307"/>
      <w:bookmarkStart w:id="416" w:name="_Toc171803521"/>
      <w:r w:rsidRPr="00264FC1">
        <w:rPr>
          <w:sz w:val="8"/>
          <w:szCs w:val="24"/>
          <w:rtl/>
        </w:rPr>
        <w:t xml:space="preserve">الشكل </w:t>
      </w:r>
      <w:r w:rsidRPr="00264FC1">
        <w:rPr>
          <w:rFonts w:hint="cs"/>
          <w:sz w:val="8"/>
          <w:szCs w:val="24"/>
          <w:rtl/>
        </w:rPr>
        <w:t>(</w:t>
      </w:r>
      <w:r w:rsidR="002E7C71" w:rsidRPr="00264FC1">
        <w:rPr>
          <w:rFonts w:hint="cs"/>
          <w:sz w:val="8"/>
          <w:szCs w:val="24"/>
          <w:rtl/>
        </w:rPr>
        <w:t>3-4</w:t>
      </w:r>
      <w:r w:rsidRPr="00264FC1">
        <w:rPr>
          <w:rFonts w:hint="cs"/>
          <w:sz w:val="8"/>
          <w:szCs w:val="24"/>
          <w:rtl/>
        </w:rPr>
        <w:t>)</w:t>
      </w:r>
      <w:r w:rsidRPr="00264FC1">
        <w:rPr>
          <w:sz w:val="8"/>
          <w:szCs w:val="24"/>
          <w:rtl/>
        </w:rPr>
        <w:t xml:space="preserve">: </w:t>
      </w:r>
      <w:r w:rsidRPr="00264FC1">
        <w:rPr>
          <w:rFonts w:hint="cs"/>
          <w:sz w:val="8"/>
          <w:szCs w:val="24"/>
          <w:rtl/>
        </w:rPr>
        <w:t>مراحل تطوير مسح دلفي</w:t>
      </w:r>
      <w:bookmarkEnd w:id="415"/>
      <w:bookmarkEnd w:id="416"/>
    </w:p>
    <w:p w:rsidR="00597092" w:rsidRPr="00597092" w:rsidRDefault="00597092" w:rsidP="00597092">
      <w:pPr>
        <w:pStyle w:val="fegure"/>
        <w:rPr>
          <w:sz w:val="8"/>
          <w:szCs w:val="24"/>
          <w:lang w:val="en-US"/>
        </w:rPr>
      </w:pPr>
      <w:bookmarkStart w:id="417" w:name="_Toc171803522"/>
      <w:r>
        <w:rPr>
          <w:rFonts w:hint="cs"/>
          <w:sz w:val="8"/>
          <w:szCs w:val="24"/>
          <w:rtl/>
          <w:lang w:val="en-US"/>
        </w:rPr>
        <w:t>المصدر: (الباحث، 2022)</w:t>
      </w:r>
      <w:bookmarkEnd w:id="417"/>
    </w:p>
    <w:p w:rsidR="000B42BD" w:rsidRDefault="000B42BD" w:rsidP="00F90BBA">
      <w:pPr>
        <w:pStyle w:val="Default"/>
        <w:bidi/>
        <w:spacing w:after="240"/>
        <w:jc w:val="center"/>
        <w:rPr>
          <w:rFonts w:ascii="Simplified Arabic" w:hAnsi="Simplified Arabic" w:cs="Simplified Arabic"/>
          <w:noProof/>
          <w:rtl/>
          <w:lang w:eastAsia="fr-FR"/>
        </w:rPr>
      </w:pPr>
      <w:r>
        <w:rPr>
          <w:rFonts w:ascii="Simplified Arabic" w:hAnsi="Simplified Arabic" w:cs="Simplified Arabic" w:hint="cs"/>
          <w:noProof/>
          <w:rtl/>
          <w:lang w:eastAsia="fr-FR"/>
        </w:rPr>
        <w:drawing>
          <wp:inline distT="0" distB="0" distL="0" distR="0" wp14:anchorId="2CD51815" wp14:editId="0609ABEF">
            <wp:extent cx="5149970" cy="1811547"/>
            <wp:effectExtent l="0" t="0" r="12700" b="17780"/>
            <wp:docPr id="151" name="Diagramme 1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9" r:lo="rId150" r:qs="rId151" r:cs="rId152"/>
              </a:graphicData>
            </a:graphic>
          </wp:inline>
        </w:drawing>
      </w:r>
    </w:p>
    <w:p w:rsidR="000B42BD" w:rsidRPr="00D1395E" w:rsidRDefault="000B42BD" w:rsidP="000B42BD">
      <w:pPr>
        <w:bidi/>
        <w:spacing w:after="0"/>
        <w:rPr>
          <w:rFonts w:ascii="Simplified Arabic" w:hAnsi="Simplified Arabic" w:cs="Simplified Arabic"/>
          <w:sz w:val="24"/>
          <w:szCs w:val="24"/>
          <w:rtl/>
          <w:lang w:val="en-US"/>
        </w:rPr>
      </w:pPr>
      <w:r w:rsidRPr="00D1395E">
        <w:rPr>
          <w:rFonts w:ascii="Simplified Arabic" w:hAnsi="Simplified Arabic" w:cs="Simplified Arabic"/>
          <w:sz w:val="24"/>
          <w:szCs w:val="24"/>
          <w:rtl/>
          <w:lang w:val="en-US"/>
        </w:rPr>
        <w:t xml:space="preserve">    بالنسبة لهذ</w:t>
      </w:r>
      <w:r>
        <w:rPr>
          <w:rFonts w:ascii="Simplified Arabic" w:hAnsi="Simplified Arabic" w:cs="Simplified Arabic" w:hint="cs"/>
          <w:sz w:val="24"/>
          <w:szCs w:val="24"/>
          <w:rtl/>
          <w:lang w:val="en-US"/>
        </w:rPr>
        <w:t>ا</w:t>
      </w:r>
      <w:r w:rsidRPr="00D1395E">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البحث</w:t>
      </w:r>
      <w:r w:rsidRPr="00D1395E">
        <w:rPr>
          <w:rFonts w:ascii="Simplified Arabic" w:hAnsi="Simplified Arabic" w:cs="Simplified Arabic"/>
          <w:sz w:val="24"/>
          <w:szCs w:val="24"/>
          <w:rtl/>
          <w:lang w:val="en-US"/>
        </w:rPr>
        <w:t>، تألف مسح دلفي من ثلاث جولات متتالية، بما يتماشى مع تنسيق دلفي المثالي. يقدم (الفصل 5) شرحًا تفصيليًا لجولات دلفي.</w:t>
      </w:r>
    </w:p>
    <w:p w:rsidR="000B42BD" w:rsidRPr="00342CAA" w:rsidRDefault="000B42BD" w:rsidP="001D0548">
      <w:pPr>
        <w:pStyle w:val="Paragraphedeliste"/>
        <w:numPr>
          <w:ilvl w:val="1"/>
          <w:numId w:val="136"/>
        </w:numPr>
        <w:tabs>
          <w:tab w:val="right" w:pos="1134"/>
        </w:tabs>
        <w:bidi/>
        <w:spacing w:after="0"/>
        <w:ind w:left="0" w:firstLine="992"/>
        <w:outlineLvl w:val="3"/>
        <w:rPr>
          <w:rFonts w:ascii="Simplified Arabic" w:hAnsi="Simplified Arabic" w:cs="Simplified Arabic"/>
          <w:b/>
          <w:bCs/>
          <w:sz w:val="24"/>
          <w:szCs w:val="24"/>
        </w:rPr>
      </w:pPr>
      <w:r w:rsidRPr="00342CAA">
        <w:rPr>
          <w:rFonts w:ascii="Simplified Arabic" w:hAnsi="Simplified Arabic" w:cs="Simplified Arabic" w:hint="cs"/>
          <w:b/>
          <w:bCs/>
          <w:sz w:val="24"/>
          <w:szCs w:val="24"/>
          <w:rtl/>
        </w:rPr>
        <w:t>اختيار</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فريق</w:t>
      </w:r>
      <w:r w:rsidRPr="00342CAA">
        <w:rPr>
          <w:rFonts w:ascii="Simplified Arabic" w:hAnsi="Simplified Arabic" w:cs="Simplified Arabic"/>
          <w:b/>
          <w:bCs/>
          <w:sz w:val="24"/>
          <w:szCs w:val="24"/>
          <w:rtl/>
        </w:rPr>
        <w:t xml:space="preserve"> </w:t>
      </w:r>
      <w:r w:rsidRPr="00342CAA">
        <w:rPr>
          <w:rFonts w:ascii="Simplified Arabic" w:hAnsi="Simplified Arabic" w:cs="Simplified Arabic" w:hint="cs"/>
          <w:b/>
          <w:bCs/>
          <w:sz w:val="24"/>
          <w:szCs w:val="24"/>
          <w:rtl/>
        </w:rPr>
        <w:t>الخبراء</w:t>
      </w:r>
    </w:p>
    <w:p w:rsidR="000B42BD" w:rsidRPr="00BD7800" w:rsidRDefault="000B42BD" w:rsidP="0040455E">
      <w:pPr>
        <w:bidi/>
        <w:spacing w:after="0"/>
        <w:ind w:firstLine="282"/>
        <w:jc w:val="both"/>
        <w:rPr>
          <w:rFonts w:ascii="Simplified Arabic" w:hAnsi="Simplified Arabic" w:cs="Simplified Arabic"/>
          <w:sz w:val="24"/>
          <w:szCs w:val="24"/>
        </w:rPr>
      </w:pPr>
      <w:r w:rsidRPr="00C75CAD">
        <w:rPr>
          <w:rFonts w:ascii="Simplified Arabic" w:hAnsi="Simplified Arabic" w:cs="Simplified Arabic" w:hint="cs"/>
          <w:sz w:val="24"/>
          <w:szCs w:val="24"/>
          <w:rtl/>
        </w:rPr>
        <w:t>تعتبر عملية اختيار</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خبراء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مؤهلين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للمشاركة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عملية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دلفي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خطوة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مهمة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لضمان</w:t>
      </w:r>
      <w:r w:rsidRPr="00C75CAD">
        <w:rPr>
          <w:rFonts w:ascii="Simplified Arabic" w:hAnsi="Simplified Arabic" w:cs="Simplified Arabic"/>
          <w:sz w:val="24"/>
          <w:szCs w:val="24"/>
        </w:rPr>
        <w:t xml:space="preserve"> </w:t>
      </w:r>
      <w:r w:rsidRPr="00C75CAD">
        <w:rPr>
          <w:rFonts w:ascii="Simplified Arabic" w:hAnsi="Simplified Arabic" w:cs="Simplified Arabic" w:hint="cs"/>
          <w:sz w:val="24"/>
          <w:szCs w:val="24"/>
          <w:rtl/>
        </w:rPr>
        <w:t>نتائج</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موثوقة</w:t>
      </w:r>
      <w:r w:rsidRPr="00C75CAD">
        <w:rPr>
          <w:rFonts w:asciiTheme="minorBidi" w:hAnsiTheme="minorBidi" w:cs="Arial"/>
          <w:sz w:val="28"/>
          <w:szCs w:val="28"/>
          <w:rtl/>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Rowe and Wright</w:t>
      </w:r>
      <w:r w:rsidRPr="00C75CAD">
        <w:rPr>
          <w:rFonts w:asciiTheme="majorBidi" w:hAnsiTheme="majorBidi" w:cstheme="majorBidi"/>
          <w:sz w:val="24"/>
          <w:szCs w:val="24"/>
          <w:lang w:val="en-US" w:bidi="ar-DZ"/>
        </w:rPr>
        <w:t>,</w:t>
      </w:r>
      <w:r w:rsidRPr="00C75CAD">
        <w:rPr>
          <w:rFonts w:asciiTheme="majorBidi" w:hAnsiTheme="majorBidi" w:cstheme="majorBidi"/>
          <w:sz w:val="24"/>
          <w:szCs w:val="24"/>
        </w:rPr>
        <w:t xml:space="preserve"> 1999</w:t>
      </w:r>
      <w:r w:rsidRPr="00C75CAD">
        <w:rPr>
          <w:rFonts w:asciiTheme="majorBidi" w:hAnsiTheme="majorBidi" w:cstheme="majorBidi"/>
          <w:sz w:val="24"/>
          <w:szCs w:val="24"/>
          <w:rtl/>
        </w:rPr>
        <w:t>)</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كما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هو</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محدد</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0040455E">
        <w:rPr>
          <w:rFonts w:ascii="Simplified Arabic" w:hAnsi="Simplified Arabic" w:cs="Simplified Arabic" w:hint="cs"/>
          <w:sz w:val="24"/>
          <w:szCs w:val="24"/>
          <w:rtl/>
        </w:rPr>
        <w:t>الابحاث</w:t>
      </w:r>
      <w:r w:rsidRPr="00C75CAD">
        <w:rPr>
          <w:rFonts w:ascii="Simplified Arabic" w:hAnsi="Simplified Arabic" w:cs="Simplified Arabic" w:hint="cs"/>
          <w:sz w:val="24"/>
          <w:szCs w:val="24"/>
          <w:rtl/>
        </w:rPr>
        <w:t>، يجب ان تتوفر لدى الخبراء مستوى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عالٍ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المعرفة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مجال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معين</w:t>
      </w:r>
      <w:r w:rsidRPr="00C75CAD">
        <w:rPr>
          <w:rFonts w:asciiTheme="minorBidi" w:hAnsiTheme="minorBidi" w:cs="Arial"/>
          <w:sz w:val="28"/>
          <w:szCs w:val="28"/>
          <w:rtl/>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Booto Ekionea</w:t>
      </w:r>
      <w:r w:rsidRPr="00C75CAD">
        <w:rPr>
          <w:rFonts w:asciiTheme="majorBidi" w:hAnsiTheme="majorBidi" w:cstheme="majorBidi"/>
        </w:rPr>
        <w:t xml:space="preserve"> et al., 2011</w:t>
      </w:r>
      <w:r w:rsidRPr="00C75CAD">
        <w:rPr>
          <w:rFonts w:asciiTheme="majorBidi" w:hAnsiTheme="majorBidi" w:cstheme="majorBidi"/>
          <w:sz w:val="24"/>
          <w:szCs w:val="24"/>
          <w:rtl/>
        </w:rPr>
        <w:t>)</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وفق</w:t>
      </w:r>
      <w:r w:rsidRPr="00C75CAD">
        <w:rPr>
          <w:rFonts w:ascii="Simplified Arabic" w:hAnsi="Simplified Arabic" w:cs="Simplified Arabic"/>
          <w:sz w:val="24"/>
          <w:szCs w:val="24"/>
          <w:rtl/>
        </w:rPr>
        <w:t xml:space="preserve"> </w:t>
      </w:r>
      <w:r w:rsidRPr="00C75CAD">
        <w:rPr>
          <w:rFonts w:asciiTheme="majorBidi" w:eastAsia="Times New Roman" w:hAnsiTheme="majorBidi" w:cstheme="majorBidi"/>
          <w:bCs/>
          <w:color w:val="000000"/>
          <w:sz w:val="24"/>
          <w:szCs w:val="24"/>
          <w:rtl/>
          <w:lang w:eastAsia="fr-FR"/>
        </w:rPr>
        <w:t>(</w:t>
      </w:r>
      <w:r w:rsidRPr="00C75CAD">
        <w:rPr>
          <w:rFonts w:asciiTheme="majorBidi" w:eastAsia="Times New Roman" w:hAnsiTheme="majorBidi" w:cstheme="majorBidi"/>
          <w:bCs/>
          <w:color w:val="000000"/>
          <w:sz w:val="24"/>
          <w:szCs w:val="24"/>
          <w:lang w:eastAsia="fr-FR"/>
        </w:rPr>
        <w:t>Saaty and Özdemir</w:t>
      </w:r>
      <w:r w:rsidR="0044421C" w:rsidRPr="00C75CAD">
        <w:rPr>
          <w:rFonts w:asciiTheme="majorBidi" w:eastAsia="Times New Roman" w:hAnsiTheme="majorBidi" w:cstheme="majorBidi"/>
          <w:bCs/>
          <w:color w:val="000000"/>
          <w:sz w:val="24"/>
          <w:szCs w:val="24"/>
          <w:lang w:eastAsia="fr-FR"/>
        </w:rPr>
        <w:t>, 2014</w:t>
      </w:r>
      <w:r w:rsidRPr="00C75CAD">
        <w:rPr>
          <w:rFonts w:asciiTheme="majorBidi" w:hAnsiTheme="majorBidi" w:cstheme="majorBidi"/>
          <w:bCs/>
          <w:sz w:val="24"/>
          <w:szCs w:val="24"/>
          <w:rtl/>
          <w:lang w:bidi="ar-DZ"/>
        </w:rPr>
        <w:t>)</w:t>
      </w:r>
      <w:r w:rsidRPr="00C75CAD">
        <w:rPr>
          <w:rFonts w:ascii="Simplified Arabic" w:hAnsi="Simplified Arabic" w:cs="Simplified Arabic" w:hint="cs"/>
          <w:sz w:val="24"/>
          <w:szCs w:val="24"/>
          <w:rtl/>
        </w:rPr>
        <w:t>،</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رأي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فرد</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له خبرة وعلى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دراية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جيدة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بمنطقة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يمكن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الاعتماد</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على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معرفته</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لتقديم</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الآراء. تم</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اختيار</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الخبراء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هنا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بناءً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على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التعارف</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مع</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الباحثين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الأنسب</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اختيار</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المخ</w:t>
      </w:r>
      <w:r w:rsidR="00F06E46" w:rsidRPr="00C75CAD">
        <w:rPr>
          <w:rFonts w:ascii="Simplified Arabic" w:hAnsi="Simplified Arabic" w:cs="Simplified Arabic" w:hint="cs"/>
          <w:sz w:val="24"/>
          <w:szCs w:val="24"/>
          <w:rtl/>
          <w:lang w:bidi="ar-DZ"/>
        </w:rPr>
        <w:t>ت</w:t>
      </w:r>
      <w:r w:rsidRPr="00C75CAD">
        <w:rPr>
          <w:rFonts w:ascii="Simplified Arabic" w:hAnsi="Simplified Arabic" w:cs="Simplified Arabic" w:hint="cs"/>
          <w:sz w:val="24"/>
          <w:szCs w:val="24"/>
          <w:rtl/>
        </w:rPr>
        <w:t>صين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هذا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المجال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تم</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اختيار</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فريق</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الخبراء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لتقنية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دلفي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وفقًا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للمعايير</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التي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أوصى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بها</w:t>
      </w:r>
      <w:r w:rsidRPr="00C75CAD">
        <w:rPr>
          <w:rFonts w:asciiTheme="minorBidi" w:hAnsiTheme="minorBidi" w:cs="Arial"/>
          <w:sz w:val="28"/>
          <w:szCs w:val="28"/>
          <w:rtl/>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Booto Ekionea</w:t>
      </w:r>
      <w:r w:rsidRPr="00C75CAD">
        <w:rPr>
          <w:rFonts w:asciiTheme="majorBidi" w:hAnsiTheme="majorBidi" w:cstheme="majorBidi"/>
        </w:rPr>
        <w:t xml:space="preserve"> et al., 2011</w:t>
      </w:r>
      <w:r w:rsidRPr="00C75CAD">
        <w:rPr>
          <w:rFonts w:asciiTheme="majorBidi" w:hAnsiTheme="majorBidi" w:cstheme="majorBidi"/>
          <w:sz w:val="24"/>
          <w:szCs w:val="24"/>
          <w:rtl/>
        </w:rPr>
        <w:t>)</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حيث</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يجب</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على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أعضاء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الفريق</w:t>
      </w:r>
      <w:r w:rsidRPr="00C75CAD">
        <w:rPr>
          <w:rFonts w:ascii="Simplified Arabic" w:hAnsi="Simplified Arabic" w:cs="Simplified Arabic"/>
          <w:sz w:val="24"/>
          <w:szCs w:val="24"/>
          <w:rtl/>
        </w:rPr>
        <w:t>:</w:t>
      </w:r>
    </w:p>
    <w:p w:rsidR="000B42BD" w:rsidRPr="00D71E6A" w:rsidRDefault="000B42BD" w:rsidP="001D0548">
      <w:pPr>
        <w:pStyle w:val="Paragraphedeliste"/>
        <w:numPr>
          <w:ilvl w:val="0"/>
          <w:numId w:val="35"/>
        </w:numPr>
        <w:bidi/>
        <w:spacing w:after="0"/>
        <w:ind w:left="566" w:hanging="284"/>
        <w:jc w:val="both"/>
        <w:rPr>
          <w:rFonts w:ascii="Simplified Arabic" w:hAnsi="Simplified Arabic" w:cs="Simplified Arabic"/>
          <w:sz w:val="24"/>
          <w:szCs w:val="24"/>
        </w:rPr>
      </w:pPr>
      <w:r w:rsidRPr="00D71E6A">
        <w:rPr>
          <w:rFonts w:ascii="Simplified Arabic" w:hAnsi="Simplified Arabic" w:cs="Simplified Arabic" w:hint="cs"/>
          <w:sz w:val="24"/>
          <w:szCs w:val="24"/>
          <w:rtl/>
        </w:rPr>
        <w:t>أن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يكون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على</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دراية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جيدة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ومطلعة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في</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مجال</w:t>
      </w:r>
      <w:r w:rsidRPr="00D71E6A">
        <w:rPr>
          <w:rFonts w:ascii="Simplified Arabic" w:hAnsi="Simplified Arabic" w:cs="Simplified Arabic"/>
          <w:sz w:val="24"/>
          <w:szCs w:val="24"/>
          <w:rtl/>
        </w:rPr>
        <w:t xml:space="preserve"> </w:t>
      </w:r>
      <w:r>
        <w:rPr>
          <w:rFonts w:ascii="Simplified Arabic" w:hAnsi="Simplified Arabic" w:cs="Simplified Arabic" w:hint="cs"/>
          <w:sz w:val="24"/>
          <w:szCs w:val="24"/>
          <w:rtl/>
        </w:rPr>
        <w:t>البحث</w:t>
      </w:r>
      <w:r w:rsidRPr="00D71E6A">
        <w:rPr>
          <w:rFonts w:ascii="Simplified Arabic" w:hAnsi="Simplified Arabic" w:cs="Simplified Arabic"/>
          <w:sz w:val="24"/>
          <w:szCs w:val="24"/>
          <w:rtl/>
        </w:rPr>
        <w:t>.</w:t>
      </w:r>
    </w:p>
    <w:p w:rsidR="000B42BD" w:rsidRPr="009E6CD3" w:rsidRDefault="000B42BD" w:rsidP="001D0548">
      <w:pPr>
        <w:pStyle w:val="Paragraphedeliste"/>
        <w:numPr>
          <w:ilvl w:val="0"/>
          <w:numId w:val="35"/>
        </w:numPr>
        <w:bidi/>
        <w:spacing w:after="0"/>
        <w:ind w:left="566" w:hanging="284"/>
        <w:jc w:val="both"/>
        <w:rPr>
          <w:rFonts w:ascii="Simplified Arabic" w:hAnsi="Simplified Arabic" w:cs="Simplified Arabic"/>
          <w:sz w:val="24"/>
          <w:szCs w:val="24"/>
        </w:rPr>
      </w:pPr>
      <w:r w:rsidRPr="009E6CD3">
        <w:rPr>
          <w:rFonts w:ascii="Simplified Arabic" w:hAnsi="Simplified Arabic" w:cs="Simplified Arabic" w:hint="cs"/>
          <w:sz w:val="24"/>
          <w:szCs w:val="24"/>
          <w:rtl/>
        </w:rPr>
        <w:t>لديه</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خبرة</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في</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العمل</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بمنطقة</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الدراسة</w:t>
      </w:r>
    </w:p>
    <w:p w:rsidR="000B42BD" w:rsidRPr="009E6CD3" w:rsidRDefault="000B42BD" w:rsidP="001D0548">
      <w:pPr>
        <w:pStyle w:val="Paragraphedeliste"/>
        <w:numPr>
          <w:ilvl w:val="0"/>
          <w:numId w:val="35"/>
        </w:numPr>
        <w:bidi/>
        <w:spacing w:after="0"/>
        <w:ind w:left="566" w:hanging="284"/>
        <w:jc w:val="both"/>
        <w:rPr>
          <w:rFonts w:ascii="Simplified Arabic" w:hAnsi="Simplified Arabic" w:cs="Simplified Arabic"/>
          <w:sz w:val="24"/>
          <w:szCs w:val="24"/>
        </w:rPr>
      </w:pPr>
      <w:r w:rsidRPr="009E6CD3">
        <w:rPr>
          <w:rFonts w:ascii="Simplified Arabic" w:hAnsi="Simplified Arabic" w:cs="Simplified Arabic" w:hint="cs"/>
          <w:sz w:val="24"/>
          <w:szCs w:val="24"/>
          <w:rtl/>
        </w:rPr>
        <w:t>يكون</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مستعدًا</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ومتاحًا</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للمشاركة</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في</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عملية</w:t>
      </w:r>
      <w:r w:rsidRPr="009E6CD3">
        <w:rPr>
          <w:rFonts w:ascii="Simplified Arabic" w:hAnsi="Simplified Arabic" w:cs="Simplified Arabic"/>
          <w:sz w:val="24"/>
          <w:szCs w:val="24"/>
          <w:rtl/>
        </w:rPr>
        <w:t xml:space="preserve"> </w:t>
      </w:r>
      <w:r w:rsidRPr="009E6CD3">
        <w:rPr>
          <w:rFonts w:ascii="Simplified Arabic" w:hAnsi="Simplified Arabic" w:cs="Simplified Arabic" w:hint="cs"/>
          <w:sz w:val="24"/>
          <w:szCs w:val="24"/>
          <w:rtl/>
        </w:rPr>
        <w:t>دلفي</w:t>
      </w:r>
      <w:r w:rsidRPr="009E6CD3">
        <w:rPr>
          <w:rFonts w:ascii="Simplified Arabic" w:hAnsi="Simplified Arabic" w:cs="Simplified Arabic"/>
          <w:sz w:val="24"/>
          <w:szCs w:val="24"/>
          <w:rtl/>
        </w:rPr>
        <w:t>.</w:t>
      </w:r>
    </w:p>
    <w:p w:rsidR="000B42BD" w:rsidRPr="00BD7800" w:rsidRDefault="000B42BD" w:rsidP="000B42BD">
      <w:pPr>
        <w:bidi/>
        <w:spacing w:after="0"/>
        <w:ind w:firstLine="282"/>
        <w:jc w:val="both"/>
        <w:rPr>
          <w:rFonts w:ascii="Simplified Arabic" w:hAnsi="Simplified Arabic" w:cs="Simplified Arabic"/>
          <w:sz w:val="24"/>
          <w:szCs w:val="24"/>
        </w:rPr>
      </w:pPr>
      <w:r w:rsidRPr="00C75CAD">
        <w:rPr>
          <w:rFonts w:ascii="Simplified Arabic" w:hAnsi="Simplified Arabic" w:cs="Simplified Arabic" w:hint="cs"/>
          <w:sz w:val="24"/>
          <w:szCs w:val="24"/>
          <w:rtl/>
        </w:rPr>
        <w:lastRenderedPageBreak/>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دراسة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سابقة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لدلفي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بين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محترفي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المرونة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الحضرية</w:t>
      </w:r>
      <w:r w:rsidRPr="00C75CAD">
        <w:rPr>
          <w:rFonts w:asciiTheme="minorBidi" w:hAnsiTheme="minorBidi" w:cs="Arial"/>
          <w:sz w:val="28"/>
          <w:szCs w:val="28"/>
          <w:rtl/>
        </w:rPr>
        <w:t xml:space="preserve"> </w:t>
      </w:r>
      <w:r w:rsidRPr="00C75CAD">
        <w:rPr>
          <w:rFonts w:asciiTheme="majorBidi" w:hAnsiTheme="majorBidi" w:cstheme="majorBidi"/>
          <w:color w:val="000000" w:themeColor="text1"/>
          <w:sz w:val="24"/>
          <w:szCs w:val="24"/>
          <w:rtl/>
          <w:lang w:val="en-US" w:bidi="ar-DZ"/>
        </w:rPr>
        <w:t>(</w:t>
      </w:r>
      <w:r w:rsidRPr="00C75CAD">
        <w:rPr>
          <w:rFonts w:asciiTheme="majorBidi" w:hAnsiTheme="majorBidi" w:cstheme="majorBidi"/>
          <w:color w:val="000000" w:themeColor="text1"/>
          <w:sz w:val="24"/>
          <w:szCs w:val="24"/>
          <w:lang w:val="en-US" w:bidi="ar-DZ"/>
        </w:rPr>
        <w:t>Haghighi Fard and Doratli, 2022</w:t>
      </w:r>
      <w:r w:rsidRPr="00C75CAD">
        <w:rPr>
          <w:rFonts w:asciiTheme="majorBidi" w:hAnsiTheme="majorBidi" w:cstheme="majorBidi"/>
          <w:sz w:val="24"/>
          <w:szCs w:val="24"/>
          <w:rtl/>
        </w:rPr>
        <w:t>)</w:t>
      </w:r>
      <w:r w:rsidRPr="00C75CAD">
        <w:rPr>
          <w:rFonts w:asciiTheme="minorBidi" w:hAnsiTheme="minorBidi" w:cs="Arial"/>
          <w:sz w:val="28"/>
          <w:szCs w:val="28"/>
          <w:rtl/>
        </w:rPr>
        <w:t xml:space="preserve"> </w:t>
      </w:r>
      <w:r w:rsidRPr="00C75CAD">
        <w:rPr>
          <w:rFonts w:ascii="Simplified Arabic" w:hAnsi="Simplified Arabic" w:cs="Simplified Arabic" w:hint="cs"/>
          <w:sz w:val="24"/>
          <w:szCs w:val="24"/>
          <w:rtl/>
        </w:rPr>
        <w:t>اقترح</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يتكون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أعضاء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الفريق</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المجموعات</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التالية</w:t>
      </w:r>
      <w:r w:rsidRPr="00C75CAD">
        <w:rPr>
          <w:rFonts w:ascii="Simplified Arabic" w:hAnsi="Simplified Arabic" w:cs="Simplified Arabic"/>
          <w:sz w:val="24"/>
          <w:szCs w:val="24"/>
          <w:rtl/>
        </w:rPr>
        <w:t>:</w:t>
      </w:r>
    </w:p>
    <w:p w:rsidR="000B42BD" w:rsidRPr="00D71E6A" w:rsidRDefault="000B42BD" w:rsidP="001D0548">
      <w:pPr>
        <w:pStyle w:val="Paragraphedeliste"/>
        <w:numPr>
          <w:ilvl w:val="0"/>
          <w:numId w:val="27"/>
        </w:numPr>
        <w:bidi/>
        <w:spacing w:after="0"/>
        <w:ind w:left="566" w:hanging="284"/>
        <w:jc w:val="both"/>
        <w:rPr>
          <w:rFonts w:ascii="Simplified Arabic" w:hAnsi="Simplified Arabic" w:cs="Simplified Arabic"/>
          <w:sz w:val="24"/>
          <w:szCs w:val="24"/>
        </w:rPr>
      </w:pPr>
      <w:r w:rsidRPr="00D71E6A">
        <w:rPr>
          <w:rFonts w:ascii="Simplified Arabic" w:hAnsi="Simplified Arabic" w:cs="Simplified Arabic" w:hint="cs"/>
          <w:sz w:val="24"/>
          <w:szCs w:val="24"/>
          <w:rtl/>
        </w:rPr>
        <w:t>الأكاديميون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والمهنيون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والمتخصصون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في</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مجال</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المرونة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الحضرية</w:t>
      </w:r>
      <w:r w:rsidRPr="00D71E6A">
        <w:rPr>
          <w:rFonts w:ascii="Simplified Arabic" w:hAnsi="Simplified Arabic" w:cs="Simplified Arabic"/>
          <w:sz w:val="24"/>
          <w:szCs w:val="24"/>
          <w:rtl/>
        </w:rPr>
        <w:t>.</w:t>
      </w:r>
    </w:p>
    <w:p w:rsidR="000B42BD" w:rsidRPr="00D71E6A" w:rsidRDefault="000B42BD" w:rsidP="001D0548">
      <w:pPr>
        <w:pStyle w:val="Paragraphedeliste"/>
        <w:numPr>
          <w:ilvl w:val="0"/>
          <w:numId w:val="27"/>
        </w:numPr>
        <w:bidi/>
        <w:spacing w:after="0"/>
        <w:ind w:left="566" w:hanging="284"/>
        <w:jc w:val="both"/>
        <w:rPr>
          <w:rFonts w:ascii="Simplified Arabic" w:hAnsi="Simplified Arabic" w:cs="Simplified Arabic"/>
          <w:sz w:val="24"/>
          <w:szCs w:val="24"/>
        </w:rPr>
      </w:pPr>
      <w:r w:rsidRPr="00D71E6A">
        <w:rPr>
          <w:rFonts w:ascii="Simplified Arabic" w:hAnsi="Simplified Arabic" w:cs="Simplified Arabic" w:hint="cs"/>
          <w:sz w:val="24"/>
          <w:szCs w:val="24"/>
          <w:rtl/>
        </w:rPr>
        <w:t>الممارسون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والمديرون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وصناع</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القرار</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في</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مجال</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تسيير الاخطار الطبيعية والكوارث.</w:t>
      </w:r>
    </w:p>
    <w:p w:rsidR="000B42BD" w:rsidRPr="00D71E6A" w:rsidRDefault="000B42BD" w:rsidP="001D0548">
      <w:pPr>
        <w:pStyle w:val="Paragraphedeliste"/>
        <w:numPr>
          <w:ilvl w:val="0"/>
          <w:numId w:val="27"/>
        </w:numPr>
        <w:bidi/>
        <w:spacing w:after="0"/>
        <w:ind w:left="566" w:hanging="284"/>
        <w:jc w:val="both"/>
        <w:rPr>
          <w:rFonts w:ascii="Simplified Arabic" w:hAnsi="Simplified Arabic" w:cs="Simplified Arabic"/>
          <w:sz w:val="24"/>
          <w:szCs w:val="24"/>
        </w:rPr>
      </w:pPr>
      <w:r w:rsidRPr="00D71E6A">
        <w:rPr>
          <w:rFonts w:ascii="Simplified Arabic" w:hAnsi="Simplified Arabic" w:cs="Simplified Arabic" w:hint="cs"/>
          <w:sz w:val="24"/>
          <w:szCs w:val="24"/>
          <w:rtl/>
        </w:rPr>
        <w:t>المهنيين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من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المجالات</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المماثلة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الذين</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لديهم</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خبرة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عملية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ومعرفة</w:t>
      </w:r>
      <w:r w:rsidRPr="00D71E6A">
        <w:rPr>
          <w:rFonts w:ascii="Simplified Arabic" w:hAnsi="Simplified Arabic" w:cs="Simplified Arabic"/>
          <w:sz w:val="24"/>
          <w:szCs w:val="24"/>
          <w:rtl/>
        </w:rPr>
        <w:t xml:space="preserve"> </w:t>
      </w:r>
      <w:r w:rsidRPr="00D71E6A">
        <w:rPr>
          <w:rFonts w:ascii="Simplified Arabic" w:hAnsi="Simplified Arabic" w:cs="Simplified Arabic" w:hint="cs"/>
          <w:sz w:val="24"/>
          <w:szCs w:val="24"/>
          <w:rtl/>
        </w:rPr>
        <w:t>بالتخطيط والتصميم الحضريين</w:t>
      </w:r>
      <w:r w:rsidRPr="00D71E6A">
        <w:rPr>
          <w:rFonts w:ascii="Simplified Arabic" w:hAnsi="Simplified Arabic" w:cs="Simplified Arabic"/>
          <w:sz w:val="24"/>
          <w:szCs w:val="24"/>
          <w:rtl/>
        </w:rPr>
        <w:t>.</w:t>
      </w:r>
    </w:p>
    <w:p w:rsidR="000B42BD" w:rsidRDefault="000B42BD" w:rsidP="001D0548">
      <w:pPr>
        <w:pStyle w:val="Default"/>
        <w:numPr>
          <w:ilvl w:val="2"/>
          <w:numId w:val="132"/>
        </w:numPr>
        <w:tabs>
          <w:tab w:val="right" w:pos="567"/>
        </w:tabs>
        <w:bidi/>
        <w:spacing w:before="240" w:line="276" w:lineRule="auto"/>
        <w:ind w:left="0" w:firstLine="0"/>
        <w:jc w:val="both"/>
        <w:outlineLvl w:val="1"/>
        <w:rPr>
          <w:rFonts w:ascii="Simplified Arabic" w:hAnsi="Simplified Arabic" w:cs="Simplified Arabic"/>
          <w:b/>
          <w:bCs/>
          <w:rtl/>
        </w:rPr>
      </w:pPr>
      <w:bookmarkStart w:id="418" w:name="_Toc171803523"/>
      <w:r w:rsidRPr="00397D5C">
        <w:rPr>
          <w:rFonts w:ascii="Simplified Arabic" w:hAnsi="Simplified Arabic" w:cs="Simplified Arabic" w:hint="cs"/>
          <w:b/>
          <w:bCs/>
          <w:rtl/>
        </w:rPr>
        <w:t>المرحلة</w:t>
      </w:r>
      <w:r w:rsidRPr="00397D5C">
        <w:rPr>
          <w:rFonts w:ascii="Simplified Arabic" w:hAnsi="Simplified Arabic" w:cs="Simplified Arabic"/>
          <w:b/>
          <w:bCs/>
          <w:rtl/>
        </w:rPr>
        <w:t xml:space="preserve"> </w:t>
      </w:r>
      <w:r w:rsidR="0026579B">
        <w:rPr>
          <w:rFonts w:ascii="Simplified Arabic" w:hAnsi="Simplified Arabic" w:cs="Simplified Arabic" w:hint="cs"/>
          <w:b/>
          <w:bCs/>
          <w:rtl/>
        </w:rPr>
        <w:t>الثالثة</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تحديد</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أولويات</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عوامل</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تقييم</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المرونة</w:t>
      </w:r>
      <w:r w:rsidRPr="00397D5C">
        <w:rPr>
          <w:rFonts w:ascii="Simplified Arabic" w:hAnsi="Simplified Arabic" w:cs="Simplified Arabic"/>
          <w:b/>
          <w:bCs/>
          <w:rtl/>
        </w:rPr>
        <w:t xml:space="preserve"> </w:t>
      </w:r>
      <w:r w:rsidRPr="00397D5C">
        <w:rPr>
          <w:rFonts w:ascii="Simplified Arabic" w:hAnsi="Simplified Arabic" w:cs="Simplified Arabic" w:hint="cs"/>
          <w:b/>
          <w:bCs/>
          <w:rtl/>
        </w:rPr>
        <w:t>الحضرية</w:t>
      </w:r>
      <w:bookmarkEnd w:id="418"/>
    </w:p>
    <w:p w:rsidR="000B42BD" w:rsidRDefault="000B42BD" w:rsidP="002E7C71">
      <w:pPr>
        <w:bidi/>
        <w:spacing w:after="0"/>
        <w:ind w:firstLine="282"/>
        <w:jc w:val="both"/>
        <w:rPr>
          <w:rFonts w:ascii="Simplified Arabic" w:hAnsi="Simplified Arabic" w:cs="Simplified Arabic"/>
          <w:sz w:val="24"/>
          <w:szCs w:val="24"/>
          <w:rtl/>
        </w:rPr>
      </w:pPr>
      <w:r w:rsidRPr="00D971FE">
        <w:rPr>
          <w:rFonts w:ascii="Simplified Arabic" w:hAnsi="Simplified Arabic" w:cs="Simplified Arabic" w:hint="cs"/>
          <w:sz w:val="24"/>
          <w:szCs w:val="24"/>
          <w:rtl/>
        </w:rPr>
        <w:t>نظرًا</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لأن</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الهدف</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من</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هذه</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الدراسة</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هو</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تطوير</w:t>
      </w:r>
      <w:r w:rsidRPr="00D971FE">
        <w:rPr>
          <w:rFonts w:ascii="Simplified Arabic" w:hAnsi="Simplified Arabic" w:cs="Simplified Arabic"/>
          <w:sz w:val="24"/>
          <w:szCs w:val="24"/>
          <w:rtl/>
        </w:rPr>
        <w:t xml:space="preserve"> </w:t>
      </w:r>
      <w:r w:rsidR="00D971FE" w:rsidRPr="00D971FE">
        <w:rPr>
          <w:rFonts w:ascii="Simplified Arabic" w:hAnsi="Simplified Arabic" w:cs="Simplified Arabic" w:hint="cs"/>
          <w:sz w:val="24"/>
          <w:szCs w:val="24"/>
          <w:rtl/>
        </w:rPr>
        <w:t>اطار عمل</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لتقييم</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المرونة</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الحضرية،</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يستمر</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التحليل</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باستخدام</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عملية</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التحليل</w:t>
      </w:r>
      <w:r w:rsidRPr="00D971FE">
        <w:rPr>
          <w:rFonts w:ascii="Simplified Arabic" w:hAnsi="Simplified Arabic" w:cs="Simplified Arabic"/>
          <w:sz w:val="24"/>
          <w:szCs w:val="24"/>
          <w:rtl/>
        </w:rPr>
        <w:t xml:space="preserve"> </w:t>
      </w:r>
      <w:r w:rsidRPr="00D971FE">
        <w:rPr>
          <w:rFonts w:ascii="Simplified Arabic" w:hAnsi="Simplified Arabic" w:cs="Simplified Arabic" w:hint="cs"/>
          <w:sz w:val="24"/>
          <w:szCs w:val="24"/>
          <w:rtl/>
        </w:rPr>
        <w:t xml:space="preserve">الهرمي التسلسلي </w:t>
      </w:r>
      <w:r w:rsidRPr="00D971FE">
        <w:rPr>
          <w:rFonts w:asciiTheme="majorBidi" w:hAnsiTheme="majorBidi" w:cstheme="majorBidi"/>
          <w:sz w:val="24"/>
          <w:szCs w:val="24"/>
          <w:rtl/>
        </w:rPr>
        <w:t>(</w:t>
      </w:r>
      <w:r w:rsidRPr="00D971FE">
        <w:rPr>
          <w:rFonts w:asciiTheme="majorBidi" w:hAnsiTheme="majorBidi" w:cstheme="majorBidi"/>
          <w:sz w:val="24"/>
          <w:szCs w:val="24"/>
        </w:rPr>
        <w:t>AHP</w:t>
      </w:r>
      <w:r w:rsidRPr="00D971FE">
        <w:rPr>
          <w:rFonts w:asciiTheme="majorBidi" w:hAnsiTheme="majorBidi" w:cstheme="majorBidi"/>
          <w:sz w:val="24"/>
          <w:szCs w:val="24"/>
          <w:rtl/>
        </w:rPr>
        <w:t>)</w:t>
      </w:r>
      <w:r w:rsidRPr="00D971FE">
        <w:rPr>
          <w:rFonts w:ascii="Simplified Arabic" w:hAnsi="Simplified Arabic" w:cs="Simplified Arabic" w:hint="cs"/>
          <w:sz w:val="24"/>
          <w:szCs w:val="24"/>
          <w:rtl/>
        </w:rPr>
        <w:t>، كما في الشكل (</w:t>
      </w:r>
      <w:r w:rsidR="002E7C71">
        <w:rPr>
          <w:rFonts w:ascii="Simplified Arabic" w:hAnsi="Simplified Arabic" w:cs="Simplified Arabic" w:hint="cs"/>
          <w:sz w:val="24"/>
          <w:szCs w:val="24"/>
          <w:rtl/>
        </w:rPr>
        <w:t>3-5</w:t>
      </w:r>
      <w:r w:rsidRPr="00D971FE">
        <w:rPr>
          <w:rFonts w:ascii="Simplified Arabic" w:hAnsi="Simplified Arabic" w:cs="Simplified Arabic" w:hint="cs"/>
          <w:sz w:val="24"/>
          <w:szCs w:val="24"/>
          <w:rtl/>
        </w:rPr>
        <w:t>).</w:t>
      </w:r>
    </w:p>
    <w:p w:rsidR="000B42BD" w:rsidRDefault="000B42BD" w:rsidP="00345EA2">
      <w:pPr>
        <w:pStyle w:val="fegure"/>
        <w:spacing w:before="240"/>
        <w:rPr>
          <w:sz w:val="8"/>
          <w:szCs w:val="24"/>
          <w:rtl/>
        </w:rPr>
      </w:pPr>
      <w:bookmarkStart w:id="419" w:name="_Toc157608308"/>
      <w:bookmarkStart w:id="420" w:name="_Toc171803524"/>
      <w:r w:rsidRPr="00264FC1">
        <w:rPr>
          <w:rFonts w:hint="cs"/>
          <w:color w:val="auto"/>
          <w:sz w:val="8"/>
          <w:szCs w:val="24"/>
          <w:rtl/>
        </w:rPr>
        <w:t>الش</w:t>
      </w:r>
      <w:r w:rsidRPr="00264FC1">
        <w:rPr>
          <w:rFonts w:hint="cs"/>
          <w:sz w:val="8"/>
          <w:szCs w:val="24"/>
          <w:rtl/>
          <w:lang w:val="en-US"/>
        </w:rPr>
        <w:t>كل (</w:t>
      </w:r>
      <w:r w:rsidR="002E7C71" w:rsidRPr="00264FC1">
        <w:rPr>
          <w:rFonts w:hint="cs"/>
          <w:sz w:val="8"/>
          <w:szCs w:val="24"/>
          <w:rtl/>
          <w:lang w:val="en-US"/>
        </w:rPr>
        <w:t>3-5</w:t>
      </w:r>
      <w:r w:rsidRPr="00264FC1">
        <w:rPr>
          <w:rFonts w:hint="cs"/>
          <w:sz w:val="8"/>
          <w:szCs w:val="24"/>
          <w:rtl/>
          <w:lang w:val="en-US"/>
        </w:rPr>
        <w:t xml:space="preserve">): </w:t>
      </w:r>
      <w:r w:rsidR="004357E2" w:rsidRPr="00264FC1">
        <w:rPr>
          <w:rFonts w:hint="cs"/>
          <w:sz w:val="8"/>
          <w:szCs w:val="24"/>
          <w:rtl/>
          <w:lang w:val="en-US"/>
        </w:rPr>
        <w:t>ال</w:t>
      </w:r>
      <w:r w:rsidR="004357E2" w:rsidRPr="00264FC1">
        <w:rPr>
          <w:rFonts w:hint="cs"/>
          <w:color w:val="auto"/>
          <w:sz w:val="8"/>
          <w:szCs w:val="24"/>
          <w:rtl/>
        </w:rPr>
        <w:t>منهجية</w:t>
      </w:r>
      <w:r w:rsidR="004357E2" w:rsidRPr="00264FC1">
        <w:rPr>
          <w:color w:val="auto"/>
          <w:sz w:val="8"/>
          <w:szCs w:val="24"/>
          <w:rtl/>
        </w:rPr>
        <w:t xml:space="preserve"> </w:t>
      </w:r>
      <w:r w:rsidR="004357E2" w:rsidRPr="00264FC1">
        <w:rPr>
          <w:rFonts w:hint="cs"/>
          <w:sz w:val="8"/>
          <w:szCs w:val="24"/>
          <w:rtl/>
          <w:lang w:val="en-US"/>
        </w:rPr>
        <w:t>المتبعة لاطار عمل</w:t>
      </w:r>
      <w:r w:rsidR="004357E2" w:rsidRPr="00264FC1">
        <w:rPr>
          <w:sz w:val="8"/>
          <w:szCs w:val="24"/>
          <w:rtl/>
          <w:lang w:val="en-US"/>
        </w:rPr>
        <w:t xml:space="preserve"> </w:t>
      </w:r>
      <w:r w:rsidR="004357E2" w:rsidRPr="00264FC1">
        <w:rPr>
          <w:sz w:val="8"/>
          <w:szCs w:val="24"/>
          <w:rtl/>
        </w:rPr>
        <w:t xml:space="preserve">تقييم </w:t>
      </w:r>
      <w:r w:rsidR="004357E2" w:rsidRPr="00264FC1">
        <w:rPr>
          <w:rFonts w:hint="cs"/>
          <w:sz w:val="8"/>
          <w:szCs w:val="24"/>
          <w:rtl/>
        </w:rPr>
        <w:t>المرونة</w:t>
      </w:r>
      <w:r w:rsidR="004357E2" w:rsidRPr="00264FC1">
        <w:rPr>
          <w:sz w:val="8"/>
          <w:szCs w:val="24"/>
          <w:rtl/>
        </w:rPr>
        <w:t xml:space="preserve"> الحضرية</w:t>
      </w:r>
      <w:r w:rsidR="004357E2" w:rsidRPr="00264FC1">
        <w:rPr>
          <w:rFonts w:hint="cs"/>
          <w:sz w:val="8"/>
          <w:szCs w:val="24"/>
          <w:rtl/>
        </w:rPr>
        <w:t xml:space="preserve"> </w:t>
      </w:r>
      <w:r w:rsidRPr="00264FC1">
        <w:rPr>
          <w:rFonts w:hint="cs"/>
          <w:sz w:val="8"/>
          <w:szCs w:val="24"/>
          <w:rtl/>
        </w:rPr>
        <w:t>(</w:t>
      </w:r>
      <w:r w:rsidRPr="00264FC1">
        <w:rPr>
          <w:sz w:val="8"/>
          <w:szCs w:val="24"/>
          <w:rtl/>
        </w:rPr>
        <w:t xml:space="preserve">المرحلة </w:t>
      </w:r>
      <w:r w:rsidR="0026579B" w:rsidRPr="00264FC1">
        <w:rPr>
          <w:rFonts w:hint="cs"/>
          <w:sz w:val="8"/>
          <w:szCs w:val="24"/>
          <w:rtl/>
        </w:rPr>
        <w:t>الثالثة</w:t>
      </w:r>
      <w:r w:rsidRPr="00264FC1">
        <w:rPr>
          <w:rFonts w:hint="cs"/>
          <w:sz w:val="8"/>
          <w:szCs w:val="24"/>
          <w:rtl/>
        </w:rPr>
        <w:t>)</w:t>
      </w:r>
      <w:bookmarkEnd w:id="419"/>
      <w:bookmarkEnd w:id="420"/>
    </w:p>
    <w:p w:rsidR="00597092" w:rsidRPr="00597092" w:rsidRDefault="00597092" w:rsidP="00597092">
      <w:pPr>
        <w:pStyle w:val="fegure"/>
        <w:rPr>
          <w:sz w:val="8"/>
          <w:szCs w:val="24"/>
          <w:lang w:val="en-US"/>
        </w:rPr>
      </w:pPr>
      <w:bookmarkStart w:id="421" w:name="_Toc171803525"/>
      <w:r>
        <w:rPr>
          <w:rFonts w:hint="cs"/>
          <w:sz w:val="8"/>
          <w:szCs w:val="24"/>
          <w:rtl/>
          <w:lang w:val="en-US"/>
        </w:rPr>
        <w:t>المصدر: (الباحث، 2022)</w:t>
      </w:r>
      <w:bookmarkEnd w:id="421"/>
    </w:p>
    <w:p w:rsidR="0026579B" w:rsidRDefault="0026579B" w:rsidP="00BD6E25">
      <w:pPr>
        <w:tabs>
          <w:tab w:val="right" w:pos="282"/>
        </w:tabs>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3C15B32F" wp14:editId="2787F73B">
            <wp:extent cx="4553410" cy="2038350"/>
            <wp:effectExtent l="0" t="0" r="0" b="0"/>
            <wp:docPr id="263"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4">
                      <a:extLst>
                        <a:ext uri="{28A0092B-C50C-407E-A947-70E740481C1C}">
                          <a14:useLocalDpi xmlns:a14="http://schemas.microsoft.com/office/drawing/2010/main" val="0"/>
                        </a:ext>
                      </a:extLst>
                    </a:blip>
                    <a:stretch>
                      <a:fillRect/>
                    </a:stretch>
                  </pic:blipFill>
                  <pic:spPr>
                    <a:xfrm>
                      <a:off x="0" y="0"/>
                      <a:ext cx="4552243" cy="2037828"/>
                    </a:xfrm>
                    <a:prstGeom prst="rect">
                      <a:avLst/>
                    </a:prstGeom>
                  </pic:spPr>
                </pic:pic>
              </a:graphicData>
            </a:graphic>
          </wp:inline>
        </w:drawing>
      </w:r>
    </w:p>
    <w:p w:rsidR="00C26EF7" w:rsidRDefault="000B42BD" w:rsidP="002357F4">
      <w:pPr>
        <w:bidi/>
        <w:spacing w:before="240" w:after="0"/>
        <w:ind w:firstLine="282"/>
        <w:jc w:val="both"/>
        <w:rPr>
          <w:rFonts w:ascii="Simplified Arabic" w:hAnsi="Simplified Arabic" w:cs="Simplified Arabic"/>
          <w:sz w:val="24"/>
          <w:szCs w:val="24"/>
          <w:rtl/>
        </w:rPr>
      </w:pPr>
      <w:r w:rsidRPr="00C75CAD">
        <w:rPr>
          <w:rFonts w:ascii="Simplified Arabic" w:hAnsi="Simplified Arabic" w:cs="Simplified Arabic"/>
          <w:sz w:val="24"/>
          <w:szCs w:val="24"/>
          <w:rtl/>
        </w:rPr>
        <w:t>يعد برنامج</w:t>
      </w:r>
      <w:r w:rsidRPr="00C75CAD">
        <w:rPr>
          <w:rFonts w:ascii="Arial" w:hAnsi="Arial"/>
          <w:sz w:val="24"/>
          <w:szCs w:val="24"/>
          <w:rtl/>
          <w:lang w:bidi="ar-DZ"/>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AHP</w:t>
      </w:r>
      <w:r w:rsidRPr="00C75CAD">
        <w:rPr>
          <w:rFonts w:asciiTheme="majorBidi" w:hAnsiTheme="majorBidi" w:cstheme="majorBidi"/>
          <w:sz w:val="24"/>
          <w:szCs w:val="24"/>
          <w:rtl/>
        </w:rPr>
        <w:t>)</w:t>
      </w:r>
      <w:r w:rsidRPr="00C75CAD">
        <w:rPr>
          <w:rFonts w:ascii="Times New Roman" w:eastAsia="Times New Roman" w:hAnsi="Times New Roman" w:cs="Times New Roman" w:hint="cs"/>
          <w:bCs/>
          <w:color w:val="000000"/>
          <w:sz w:val="24"/>
          <w:szCs w:val="24"/>
          <w:rtl/>
          <w:lang w:eastAsia="fr-FR"/>
        </w:rPr>
        <w:t xml:space="preserve"> </w:t>
      </w:r>
      <w:r w:rsidRPr="00C75CAD">
        <w:rPr>
          <w:rFonts w:ascii="Simplified Arabic" w:hAnsi="Simplified Arabic" w:cs="Simplified Arabic"/>
          <w:sz w:val="24"/>
          <w:szCs w:val="24"/>
          <w:rtl/>
        </w:rPr>
        <w:t xml:space="preserve">من بين التقنيات الأكثر شهرة </w:t>
      </w:r>
      <w:r w:rsidRPr="00C75CAD">
        <w:rPr>
          <w:rFonts w:ascii="Simplified Arabic" w:hAnsi="Simplified Arabic" w:cs="Simplified Arabic" w:hint="cs"/>
          <w:sz w:val="24"/>
          <w:szCs w:val="24"/>
          <w:rtl/>
        </w:rPr>
        <w:t>و</w:t>
      </w:r>
      <w:r w:rsidRPr="00C75CAD">
        <w:rPr>
          <w:rFonts w:ascii="Simplified Arabic" w:hAnsi="Simplified Arabic" w:cs="Simplified Arabic"/>
          <w:sz w:val="24"/>
          <w:szCs w:val="24"/>
          <w:rtl/>
        </w:rPr>
        <w:t xml:space="preserve">استخدامًا في اتخاذ القرارات متعددة المعايير </w:t>
      </w:r>
      <w:r w:rsidRPr="00C75CAD">
        <w:rPr>
          <w:rFonts w:asciiTheme="majorBidi" w:hAnsiTheme="majorBidi" w:cstheme="majorBidi"/>
          <w:sz w:val="24"/>
          <w:szCs w:val="24"/>
          <w:lang w:val="en-US"/>
        </w:rPr>
        <w:t>(Harker and Vargas, 1987)</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sz w:val="24"/>
          <w:szCs w:val="24"/>
          <w:rtl/>
        </w:rPr>
        <w:t>ت</w:t>
      </w:r>
      <w:r w:rsidRPr="00C75CAD">
        <w:rPr>
          <w:rFonts w:ascii="Simplified Arabic" w:hAnsi="Simplified Arabic" w:cs="Simplified Arabic" w:hint="cs"/>
          <w:sz w:val="24"/>
          <w:szCs w:val="24"/>
          <w:rtl/>
        </w:rPr>
        <w:t>م</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تطويره</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وتقديمه</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 xml:space="preserve">من طرف عالم الرياضيات العراقي توماس ساعاتي </w:t>
      </w:r>
      <w:r w:rsidRPr="00C75CAD">
        <w:rPr>
          <w:rFonts w:asciiTheme="majorBidi" w:hAnsiTheme="majorBidi" w:cstheme="majorBidi"/>
          <w:sz w:val="24"/>
          <w:szCs w:val="24"/>
        </w:rPr>
        <w:t>(</w:t>
      </w:r>
      <w:r w:rsidRPr="00C75CAD">
        <w:rPr>
          <w:rFonts w:asciiTheme="majorBidi" w:hAnsiTheme="majorBidi" w:cstheme="majorBidi"/>
          <w:sz w:val="24"/>
          <w:szCs w:val="24"/>
          <w:lang w:val="en-US"/>
        </w:rPr>
        <w:t>Thomas</w:t>
      </w:r>
      <w:r w:rsidRPr="00C75CAD">
        <w:rPr>
          <w:rFonts w:asciiTheme="majorBidi" w:hAnsiTheme="majorBidi" w:cstheme="majorBidi"/>
          <w:sz w:val="24"/>
          <w:szCs w:val="24"/>
        </w:rPr>
        <w:t xml:space="preserve"> </w:t>
      </w:r>
      <w:r w:rsidRPr="00C75CAD">
        <w:rPr>
          <w:rFonts w:asciiTheme="majorBidi" w:hAnsiTheme="majorBidi" w:cstheme="majorBidi"/>
          <w:sz w:val="24"/>
          <w:szCs w:val="24"/>
          <w:lang w:val="en-US"/>
        </w:rPr>
        <w:t>Saaty</w:t>
      </w:r>
      <w:r w:rsidRPr="00C75CAD">
        <w:rPr>
          <w:rFonts w:asciiTheme="majorBidi" w:hAnsiTheme="majorBidi" w:cstheme="majorBidi"/>
          <w:sz w:val="24"/>
          <w:szCs w:val="24"/>
        </w:rPr>
        <w:t>)</w:t>
      </w:r>
      <w:r w:rsidRPr="00C75CAD">
        <w:rPr>
          <w:rFonts w:asciiTheme="minorBidi" w:hAnsiTheme="minorBidi" w:cs="Arial" w:hint="cs"/>
          <w:sz w:val="28"/>
          <w:szCs w:val="28"/>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سبعينيات القرن الماضي.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استخدم</w:t>
      </w:r>
      <w:r w:rsidRPr="00C75CAD">
        <w:rPr>
          <w:rFonts w:asciiTheme="minorBidi" w:hAnsiTheme="minorBidi" w:cs="Arial"/>
          <w:sz w:val="28"/>
          <w:szCs w:val="28"/>
          <w:rtl/>
          <w:lang w:val="en-US"/>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AHP</w:t>
      </w:r>
      <w:r w:rsidRPr="00C75CAD">
        <w:rPr>
          <w:rFonts w:asciiTheme="majorBidi" w:hAnsiTheme="majorBidi" w:cstheme="majorBidi"/>
          <w:sz w:val="24"/>
          <w:szCs w:val="24"/>
          <w:rtl/>
        </w:rPr>
        <w:t>)</w:t>
      </w:r>
      <w:r w:rsidRPr="00C75CAD">
        <w:rPr>
          <w:rFonts w:ascii="Times New Roman" w:eastAsia="Times New Roman" w:hAnsi="Times New Roman" w:cs="Times New Roman" w:hint="cs"/>
          <w:bCs/>
          <w:color w:val="000000"/>
          <w:sz w:val="24"/>
          <w:szCs w:val="24"/>
          <w:rtl/>
          <w:lang w:eastAsia="fr-FR"/>
        </w:rPr>
        <w:t xml:space="preserve"> </w:t>
      </w:r>
      <w:r w:rsidRPr="00C75CAD">
        <w:rPr>
          <w:rFonts w:ascii="Simplified Arabic" w:hAnsi="Simplified Arabic" w:cs="Simplified Arabic" w:hint="cs"/>
          <w:sz w:val="24"/>
          <w:szCs w:val="24"/>
          <w:rtl/>
        </w:rPr>
        <w:t>كمنهجية لحل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مشاكل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صنع</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القرار</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المعقدة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عن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طريق</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ترتيب</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المؤشرات</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المحتملة،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بناءً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على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أهميتها،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هيكل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هرمي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ينحدر</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الهدف</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الرئيسي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إلى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المؤشرات</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إلى</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المؤشرات</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الفرعية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المستويات</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اللاحقة</w:t>
      </w:r>
      <w:r w:rsidRPr="00C75CAD">
        <w:rPr>
          <w:rFonts w:asciiTheme="minorBidi" w:hAnsiTheme="minorBidi" w:cs="Arial"/>
          <w:sz w:val="28"/>
          <w:szCs w:val="28"/>
          <w:rtl/>
          <w:lang w:val="en-US"/>
        </w:rPr>
        <w:t xml:space="preserve"> </w:t>
      </w:r>
      <w:r w:rsidRPr="00C75CAD">
        <w:rPr>
          <w:rFonts w:asciiTheme="majorBidi" w:hAnsiTheme="majorBidi" w:cstheme="majorBidi"/>
          <w:sz w:val="24"/>
          <w:szCs w:val="24"/>
          <w:rtl/>
          <w:lang w:val="en-US"/>
        </w:rPr>
        <w:t>(</w:t>
      </w:r>
      <w:r w:rsidRPr="00C75CAD">
        <w:rPr>
          <w:rFonts w:asciiTheme="majorBidi" w:hAnsiTheme="majorBidi" w:cstheme="majorBidi"/>
          <w:sz w:val="24"/>
          <w:szCs w:val="24"/>
          <w:lang w:val="en-US"/>
        </w:rPr>
        <w:t>Saaty</w:t>
      </w:r>
      <w:r w:rsidRPr="00C75CAD">
        <w:rPr>
          <w:rFonts w:asciiTheme="majorBidi" w:hAnsiTheme="majorBidi" w:cstheme="majorBidi"/>
          <w:sz w:val="24"/>
          <w:szCs w:val="24"/>
        </w:rPr>
        <w:t>,</w:t>
      </w:r>
      <w:r w:rsidRPr="00C75CAD">
        <w:rPr>
          <w:rFonts w:asciiTheme="majorBidi" w:hAnsiTheme="majorBidi" w:cstheme="majorBidi"/>
          <w:sz w:val="24"/>
          <w:szCs w:val="24"/>
          <w:lang w:val="en-US"/>
        </w:rPr>
        <w:t xml:space="preserve"> 1994</w:t>
      </w:r>
      <w:r w:rsidRPr="00C75CAD">
        <w:rPr>
          <w:rFonts w:asciiTheme="majorBidi" w:hAnsiTheme="majorBidi" w:cstheme="majorBidi"/>
          <w:sz w:val="24"/>
          <w:szCs w:val="24"/>
          <w:rtl/>
          <w:lang w:val="en-US"/>
        </w:rPr>
        <w:t>)</w:t>
      </w:r>
      <w:r w:rsidRPr="00C75CAD">
        <w:rPr>
          <w:rFonts w:ascii="Simplified Arabic" w:hAnsi="Simplified Arabic" w:cs="Simplified Arabic"/>
          <w:sz w:val="24"/>
          <w:szCs w:val="24"/>
          <w:rtl/>
        </w:rPr>
        <w:t>.</w:t>
      </w:r>
      <w:r w:rsidRPr="00C75CAD">
        <w:rPr>
          <w:rFonts w:ascii="Simplified Arabic" w:hAnsi="Simplified Arabic" w:cs="Simplified Arabic" w:hint="cs"/>
          <w:sz w:val="24"/>
          <w:szCs w:val="24"/>
          <w:rtl/>
        </w:rPr>
        <w:t xml:space="preserve"> </w:t>
      </w:r>
    </w:p>
    <w:p w:rsidR="000B42BD" w:rsidRPr="004611C4" w:rsidRDefault="000B42BD" w:rsidP="003A1DB8">
      <w:pPr>
        <w:bidi/>
        <w:spacing w:after="0"/>
        <w:ind w:firstLine="282"/>
        <w:jc w:val="both"/>
        <w:rPr>
          <w:rFonts w:asciiTheme="minorBidi" w:hAnsiTheme="minorBidi" w:cs="Arial"/>
          <w:sz w:val="28"/>
          <w:szCs w:val="28"/>
          <w:lang w:val="en-US"/>
        </w:rPr>
      </w:pPr>
      <w:r w:rsidRPr="00C75CAD">
        <w:rPr>
          <w:rFonts w:ascii="Simplified Arabic" w:hAnsi="Simplified Arabic" w:cs="Simplified Arabic" w:hint="cs"/>
          <w:sz w:val="24"/>
          <w:szCs w:val="24"/>
          <w:rtl/>
        </w:rPr>
        <w:t>تتمثل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مزايا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برنامج</w:t>
      </w:r>
      <w:r w:rsidRPr="00C75CAD">
        <w:rPr>
          <w:rFonts w:ascii="Arial" w:hAnsi="Arial"/>
          <w:sz w:val="24"/>
          <w:szCs w:val="24"/>
          <w:rtl/>
          <w:lang w:val="en-US"/>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AHP</w:t>
      </w:r>
      <w:r w:rsidRPr="00C75CAD">
        <w:rPr>
          <w:rFonts w:asciiTheme="majorBidi" w:hAnsiTheme="majorBidi" w:cstheme="majorBidi"/>
          <w:sz w:val="24"/>
          <w:szCs w:val="24"/>
          <w:rtl/>
        </w:rPr>
        <w:t>)</w:t>
      </w:r>
      <w:r w:rsidRPr="00C75CAD">
        <w:rPr>
          <w:rFonts w:ascii="Simplified Arabic" w:hAnsi="Simplified Arabic" w:cs="Simplified Arabic" w:hint="cs"/>
          <w:sz w:val="24"/>
          <w:szCs w:val="24"/>
          <w:rtl/>
        </w:rPr>
        <w:t xml:space="preserve"> 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أنه</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يمكن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استخدامه جنبا الى جنب مع</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برامج</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تجارية</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يمكن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الوصول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إليها،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مثل</w:t>
      </w:r>
      <w:r w:rsidRPr="00C75CAD">
        <w:rPr>
          <w:rFonts w:ascii="Arial" w:hAnsi="Arial"/>
          <w:sz w:val="24"/>
          <w:szCs w:val="24"/>
          <w:rtl/>
          <w:lang w:val="en-US"/>
        </w:rPr>
        <w:t xml:space="preserve"> </w:t>
      </w:r>
      <w:r w:rsidRPr="00C75CAD">
        <w:rPr>
          <w:rFonts w:ascii="Times New Roman" w:hAnsi="Times New Roman" w:cs="Times New Roman"/>
          <w:sz w:val="24"/>
          <w:szCs w:val="24"/>
          <w:lang w:val="en-US"/>
        </w:rPr>
        <w:t>Microsoft</w:t>
      </w:r>
      <w:r w:rsidRPr="00C75CAD">
        <w:rPr>
          <w:rFonts w:ascii="Times New Roman" w:hAnsi="Times New Roman" w:cs="Times New Roman"/>
          <w:sz w:val="20"/>
          <w:szCs w:val="20"/>
          <w:lang w:val="en-US"/>
        </w:rPr>
        <w:t xml:space="preserve"> </w:t>
      </w:r>
      <w:r w:rsidRPr="00C75CAD">
        <w:rPr>
          <w:rFonts w:ascii="Times New Roman" w:hAnsi="Times New Roman" w:cs="Times New Roman"/>
          <w:sz w:val="24"/>
          <w:szCs w:val="24"/>
          <w:lang w:val="en-US"/>
        </w:rPr>
        <w:t>Excel</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أو</w:t>
      </w:r>
      <w:r w:rsidRPr="00C75CAD">
        <w:rPr>
          <w:rFonts w:ascii="Arial" w:hAnsi="Arial"/>
          <w:sz w:val="24"/>
          <w:szCs w:val="24"/>
          <w:rtl/>
          <w:lang w:val="en-US"/>
        </w:rPr>
        <w:t xml:space="preserve"> </w:t>
      </w:r>
      <w:r w:rsidRPr="00C75CAD">
        <w:rPr>
          <w:rFonts w:ascii="Times New Roman" w:hAnsi="Times New Roman" w:cs="Times New Roman"/>
          <w:sz w:val="24"/>
          <w:szCs w:val="24"/>
          <w:lang w:val="en-US"/>
        </w:rPr>
        <w:t>Expert</w:t>
      </w:r>
      <w:r w:rsidRPr="00C75CAD">
        <w:rPr>
          <w:rFonts w:ascii="Arial" w:hAnsi="Arial"/>
          <w:sz w:val="24"/>
          <w:szCs w:val="24"/>
          <w:lang w:val="en-US"/>
        </w:rPr>
        <w:t xml:space="preserve"> </w:t>
      </w:r>
      <w:r w:rsidRPr="00C75CAD">
        <w:rPr>
          <w:rFonts w:ascii="Times New Roman" w:hAnsi="Times New Roman" w:cs="Times New Roman"/>
          <w:sz w:val="24"/>
          <w:szCs w:val="24"/>
          <w:lang w:val="en-US"/>
        </w:rPr>
        <w:t>Choice</w:t>
      </w:r>
      <w:r w:rsidRPr="00C75CAD">
        <w:rPr>
          <w:rFonts w:ascii="Times New Roman" w:hAnsi="Times New Roman" w:cs="Times New Roman"/>
          <w:sz w:val="20"/>
          <w:szCs w:val="20"/>
          <w:lang w:val="en-US"/>
        </w:rPr>
        <w:t xml:space="preserve"> </w:t>
      </w:r>
      <w:r w:rsidRPr="00C75CAD">
        <w:rPr>
          <w:rFonts w:ascii="Times New Roman" w:hAnsi="Times New Roman" w:cs="Times New Roman" w:hint="cs"/>
          <w:sz w:val="20"/>
          <w:szCs w:val="20"/>
          <w:rtl/>
          <w:lang w:val="en-US"/>
        </w:rPr>
        <w:t xml:space="preserve"> </w:t>
      </w:r>
      <w:r w:rsidRPr="00C75CAD">
        <w:rPr>
          <w:rFonts w:ascii="Times New Roman" w:hAnsi="Times New Roman" w:cs="Times New Roman" w:hint="cs"/>
          <w:sz w:val="24"/>
          <w:szCs w:val="24"/>
          <w:rtl/>
          <w:lang w:val="en-US"/>
        </w:rPr>
        <w:t>(</w:t>
      </w:r>
      <w:r w:rsidRPr="00C75CAD">
        <w:rPr>
          <w:rFonts w:asciiTheme="majorBidi" w:eastAsia="CharisSIL" w:hAnsiTheme="majorBidi" w:cstheme="majorBidi"/>
          <w:sz w:val="24"/>
          <w:szCs w:val="24"/>
          <w:lang w:val="en-US"/>
        </w:rPr>
        <w:t>Mani et al., 2014</w:t>
      </w:r>
      <w:r w:rsidRPr="00C75CAD">
        <w:rPr>
          <w:rFonts w:ascii="Times New Roman" w:hAnsi="Times New Roman" w:cs="Times New Roman" w:hint="cs"/>
          <w:sz w:val="24"/>
          <w:szCs w:val="24"/>
          <w:rtl/>
          <w:lang w:val="en-US"/>
        </w:rPr>
        <w:t>)</w:t>
      </w:r>
      <w:r w:rsidRPr="00C75CAD">
        <w:rPr>
          <w:rFonts w:ascii="Simplified Arabic" w:hAnsi="Simplified Arabic" w:cs="Simplified Arabic"/>
          <w:sz w:val="24"/>
          <w:szCs w:val="24"/>
          <w:rtl/>
        </w:rPr>
        <w:t>.</w:t>
      </w:r>
      <w:r w:rsidRPr="00C75CAD">
        <w:rPr>
          <w:rFonts w:ascii="Simplified Arabic" w:hAnsi="Simplified Arabic" w:cs="Simplified Arabic" w:hint="cs"/>
          <w:sz w:val="24"/>
          <w:szCs w:val="24"/>
          <w:rtl/>
        </w:rPr>
        <w:t xml:space="preserve"> كما يمكن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أن</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يساعد</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أيضًا</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تقليل</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التحيز</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في</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صنع</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 xml:space="preserve">القرار </w:t>
      </w:r>
      <w:r w:rsidRPr="00C75CAD">
        <w:rPr>
          <w:rFonts w:asciiTheme="majorBidi" w:hAnsiTheme="majorBidi" w:cstheme="majorBidi"/>
          <w:sz w:val="24"/>
          <w:szCs w:val="24"/>
        </w:rPr>
        <w:t>(Vizzari, 2011)</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تقليل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الفوارق في الآراء</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الشائعة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بين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فريق</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الخبراء. كما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يوفر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آلية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لتحسين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الاتساق،</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لما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توجد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مقارنات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غير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متسقة</w:t>
      </w:r>
      <w:r w:rsidRPr="00C75CAD">
        <w:rPr>
          <w:rFonts w:asciiTheme="minorBidi" w:hAnsiTheme="minorBidi" w:cs="Arial"/>
          <w:sz w:val="28"/>
          <w:szCs w:val="28"/>
          <w:rtl/>
          <w:lang w:val="en-US"/>
        </w:rPr>
        <w:t xml:space="preserve"> </w:t>
      </w:r>
      <w:r w:rsidRPr="00C75CAD">
        <w:rPr>
          <w:rFonts w:asciiTheme="majorBidi" w:hAnsiTheme="majorBidi" w:cstheme="majorBidi"/>
          <w:sz w:val="24"/>
          <w:szCs w:val="24"/>
          <w:rtl/>
          <w:lang w:val="en-US"/>
        </w:rPr>
        <w:t>(</w:t>
      </w:r>
      <w:r w:rsidRPr="00C75CAD">
        <w:rPr>
          <w:rFonts w:asciiTheme="majorBidi" w:hAnsiTheme="majorBidi" w:cstheme="majorBidi"/>
          <w:sz w:val="24"/>
          <w:szCs w:val="24"/>
          <w:lang w:val="en-US"/>
        </w:rPr>
        <w:t>Saaty</w:t>
      </w:r>
      <w:r w:rsidRPr="00C75CAD">
        <w:rPr>
          <w:rFonts w:asciiTheme="majorBidi" w:hAnsiTheme="majorBidi" w:cstheme="majorBidi"/>
          <w:sz w:val="24"/>
          <w:szCs w:val="24"/>
        </w:rPr>
        <w:t>,</w:t>
      </w:r>
      <w:r w:rsidRPr="00C75CAD">
        <w:rPr>
          <w:rFonts w:asciiTheme="majorBidi" w:hAnsiTheme="majorBidi" w:cstheme="majorBidi"/>
          <w:sz w:val="24"/>
          <w:szCs w:val="24"/>
          <w:lang w:val="en-US"/>
        </w:rPr>
        <w:t xml:space="preserve"> 199</w:t>
      </w:r>
      <w:r w:rsidR="0044421C" w:rsidRPr="00C75CAD">
        <w:rPr>
          <w:rFonts w:asciiTheme="majorBidi" w:hAnsiTheme="majorBidi" w:cstheme="majorBidi"/>
          <w:sz w:val="24"/>
          <w:szCs w:val="24"/>
          <w:lang w:val="en-US"/>
        </w:rPr>
        <w:t>4</w:t>
      </w:r>
      <w:r w:rsidRPr="00C75CAD">
        <w:rPr>
          <w:rFonts w:asciiTheme="majorBidi" w:hAnsiTheme="majorBidi" w:cstheme="majorBidi"/>
          <w:sz w:val="24"/>
          <w:szCs w:val="24"/>
          <w:rtl/>
          <w:lang w:val="en-US"/>
        </w:rPr>
        <w:t>)</w:t>
      </w:r>
      <w:r w:rsidRPr="00C75CAD">
        <w:rPr>
          <w:rFonts w:ascii="Simplified Arabic" w:hAnsi="Simplified Arabic" w:cs="Simplified Arabic"/>
          <w:sz w:val="24"/>
          <w:szCs w:val="24"/>
          <w:rtl/>
          <w:lang w:val="en-US"/>
        </w:rPr>
        <w:t>.</w:t>
      </w:r>
    </w:p>
    <w:p w:rsidR="000B42BD" w:rsidRDefault="000B42BD" w:rsidP="000B42BD">
      <w:pPr>
        <w:tabs>
          <w:tab w:val="right" w:pos="282"/>
        </w:tabs>
        <w:bidi/>
        <w:spacing w:after="0"/>
        <w:ind w:firstLine="282"/>
        <w:jc w:val="both"/>
        <w:rPr>
          <w:rFonts w:ascii="Simplified Arabic" w:hAnsi="Simplified Arabic" w:cs="Simplified Arabic"/>
          <w:sz w:val="24"/>
          <w:szCs w:val="24"/>
          <w:rtl/>
          <w:lang w:val="en-US"/>
        </w:rPr>
      </w:pPr>
      <w:r w:rsidRPr="00C75CAD">
        <w:rPr>
          <w:rFonts w:ascii="Simplified Arabic" w:hAnsi="Simplified Arabic" w:cs="Simplified Arabic" w:hint="cs"/>
          <w:sz w:val="24"/>
          <w:szCs w:val="24"/>
          <w:rtl/>
          <w:lang w:val="en-US"/>
        </w:rPr>
        <w:t>استخدم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البحث</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الحالي،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برنامج</w:t>
      </w:r>
      <w:r w:rsidRPr="00C75CAD">
        <w:rPr>
          <w:rFonts w:ascii="Simplified Arabic" w:hAnsi="Simplified Arabic" w:cs="Simplified Arabic"/>
          <w:sz w:val="24"/>
          <w:szCs w:val="24"/>
          <w:rtl/>
          <w:lang w:val="en-US"/>
        </w:rPr>
        <w:t xml:space="preserve"> </w:t>
      </w:r>
      <w:r w:rsidRPr="00C75CAD">
        <w:rPr>
          <w:rFonts w:ascii="Times New Roman" w:hAnsi="Times New Roman" w:cs="Times New Roman"/>
          <w:sz w:val="24"/>
          <w:szCs w:val="24"/>
          <w:lang w:val="en-US"/>
        </w:rPr>
        <w:t>Microsoft</w:t>
      </w:r>
      <w:r w:rsidRPr="00C75CAD">
        <w:rPr>
          <w:rFonts w:ascii="Times New Roman" w:hAnsi="Times New Roman" w:cs="Times New Roman"/>
          <w:sz w:val="20"/>
          <w:szCs w:val="20"/>
          <w:lang w:val="en-US"/>
        </w:rPr>
        <w:t xml:space="preserve"> </w:t>
      </w:r>
      <w:r w:rsidRPr="00C75CAD">
        <w:rPr>
          <w:rFonts w:ascii="Times New Roman" w:hAnsi="Times New Roman" w:cs="Times New Roman"/>
          <w:sz w:val="24"/>
          <w:szCs w:val="24"/>
          <w:lang w:val="en-US"/>
        </w:rPr>
        <w:t>Excel</w:t>
      </w:r>
      <w:r w:rsidRPr="00C75CAD">
        <w:rPr>
          <w:rFonts w:ascii="Simplified Arabic" w:hAnsi="Simplified Arabic" w:cs="Simplified Arabic" w:hint="cs"/>
          <w:sz w:val="24"/>
          <w:szCs w:val="24"/>
          <w:rtl/>
          <w:lang w:val="en-US"/>
        </w:rPr>
        <w:t xml:space="preserve"> مع</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مصفوفة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المقارنات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الثنائية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والمعادلات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الحسابية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لنظام</w:t>
      </w:r>
      <w:r w:rsidRPr="00C75CAD">
        <w:rPr>
          <w:rFonts w:ascii="Simplified Arabic" w:hAnsi="Simplified Arabic" w:cs="Simplified Arabic"/>
          <w:sz w:val="24"/>
          <w:szCs w:val="24"/>
          <w:rtl/>
          <w:lang w:val="en-US"/>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AHP</w:t>
      </w:r>
      <w:r w:rsidRPr="00C75CAD">
        <w:rPr>
          <w:rFonts w:asciiTheme="majorBidi" w:hAnsiTheme="majorBidi" w:cstheme="majorBidi"/>
          <w:sz w:val="24"/>
          <w:szCs w:val="24"/>
          <w:rtl/>
        </w:rPr>
        <w:t>)</w:t>
      </w:r>
      <w:r w:rsidRPr="00C75CAD">
        <w:rPr>
          <w:rFonts w:ascii="Simplified Arabic" w:hAnsi="Simplified Arabic" w:cs="Simplified Arabic" w:hint="cs"/>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يتم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تحديد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وزن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كل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معيار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خلال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المقارنة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الثنائية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للمعايير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لتحديد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التفضيل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بينهما،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وهذا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بتشكيل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مصفوفة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lastRenderedPageBreak/>
        <w:t>مقارنة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ثنائية للمعايير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يتم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خلالها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ترتيب</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 xml:space="preserve">البدائل </w:t>
      </w:r>
      <w:r w:rsidRPr="00C75CAD">
        <w:rPr>
          <w:rFonts w:ascii="Times New Roman" w:hAnsi="Times New Roman" w:cs="Times New Roman" w:hint="cs"/>
          <w:sz w:val="24"/>
          <w:szCs w:val="24"/>
          <w:rtl/>
          <w:lang w:val="en-US"/>
        </w:rPr>
        <w:t>(</w:t>
      </w:r>
      <w:r w:rsidRPr="00C75CAD">
        <w:rPr>
          <w:rFonts w:asciiTheme="majorBidi" w:eastAsia="CharisSIL" w:hAnsiTheme="majorBidi" w:cstheme="majorBidi"/>
          <w:sz w:val="24"/>
          <w:szCs w:val="24"/>
          <w:lang w:val="en-US"/>
        </w:rPr>
        <w:t>et al., 2014</w:t>
      </w:r>
      <w:r w:rsidRPr="00C75CAD">
        <w:rPr>
          <w:rFonts w:ascii="Times New Roman" w:hAnsi="Times New Roman" w:cs="Times New Roman" w:hint="cs"/>
          <w:sz w:val="24"/>
          <w:szCs w:val="24"/>
          <w:rtl/>
          <w:lang w:val="en-US"/>
        </w:rPr>
        <w:t xml:space="preserve"> </w:t>
      </w:r>
      <w:r w:rsidRPr="00C75CAD">
        <w:rPr>
          <w:rFonts w:asciiTheme="majorBidi" w:eastAsia="CharisSIL" w:hAnsiTheme="majorBidi" w:cstheme="majorBidi"/>
          <w:sz w:val="24"/>
          <w:szCs w:val="24"/>
          <w:lang w:val="en-US"/>
        </w:rPr>
        <w:t>Maleki</w:t>
      </w:r>
      <w:r w:rsidRPr="00C75CAD">
        <w:rPr>
          <w:rFonts w:ascii="Times New Roman" w:hAnsi="Times New Roman" w:cs="Times New Roman" w:hint="cs"/>
          <w:sz w:val="24"/>
          <w:szCs w:val="24"/>
          <w:rtl/>
          <w:lang w:val="en-US"/>
        </w:rPr>
        <w:t>)</w:t>
      </w:r>
      <w:r w:rsidRPr="00C75CAD">
        <w:rPr>
          <w:rFonts w:ascii="Simplified Arabic" w:hAnsi="Simplified Arabic" w:cs="Simplified Arabic"/>
          <w:sz w:val="24"/>
          <w:szCs w:val="24"/>
          <w:rtl/>
          <w:lang w:val="en-US"/>
        </w:rPr>
        <w:t>.</w:t>
      </w:r>
      <w:r w:rsidRPr="00C75CAD">
        <w:rPr>
          <w:rFonts w:ascii="Simplified Arabic" w:hAnsi="Simplified Arabic" w:cs="Simplified Arabic" w:hint="cs"/>
          <w:sz w:val="24"/>
          <w:szCs w:val="24"/>
          <w:rtl/>
          <w:lang w:val="en-US"/>
        </w:rPr>
        <w:t xml:space="preserve"> يعتمد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الوزن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الذي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سيُعطى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لكل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عامل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استشارة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متابعة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مع</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نفس لجنة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الخبراء التي حددت القائمة النهائية لعوامل تقييم المرونة.</w:t>
      </w:r>
    </w:p>
    <w:p w:rsidR="000B42BD" w:rsidRDefault="000B42BD" w:rsidP="000B42BD">
      <w:pPr>
        <w:pStyle w:val="PrformatHTML"/>
        <w:bidi/>
        <w:spacing w:line="276" w:lineRule="auto"/>
        <w:ind w:firstLine="282"/>
        <w:jc w:val="both"/>
        <w:rPr>
          <w:rStyle w:val="y2iqfc"/>
          <w:rFonts w:ascii="Simplified Arabic" w:hAnsi="Simplified Arabic" w:cs="Simplified Arabic"/>
          <w:color w:val="202124"/>
          <w:sz w:val="24"/>
          <w:szCs w:val="24"/>
          <w:rtl/>
          <w:lang w:bidi="ar"/>
        </w:rPr>
      </w:pPr>
      <w:r w:rsidRPr="00C75CAD">
        <w:rPr>
          <w:rStyle w:val="y2iqfc"/>
          <w:rFonts w:ascii="Simplified Arabic" w:hAnsi="Simplified Arabic" w:cs="Simplified Arabic"/>
          <w:color w:val="202124"/>
          <w:sz w:val="24"/>
          <w:szCs w:val="24"/>
          <w:rtl/>
          <w:lang w:bidi="ar"/>
        </w:rPr>
        <w:t>في تحليلات المرونة الحضرية، استخدم الباحثون طرق متعددة المعايير،</w:t>
      </w:r>
      <w:r w:rsidRPr="00C75CAD">
        <w:rPr>
          <w:rFonts w:ascii="Times New Roman" w:hAnsi="Times New Roman" w:cs="Times New Roman"/>
          <w:bCs/>
          <w:color w:val="000000"/>
          <w:sz w:val="24"/>
          <w:szCs w:val="24"/>
          <w:rtl/>
        </w:rPr>
        <w:t>(</w:t>
      </w:r>
      <w:r w:rsidRPr="00C75CAD">
        <w:rPr>
          <w:rFonts w:asciiTheme="majorBidi" w:hAnsiTheme="majorBidi" w:cstheme="majorBidi"/>
          <w:bCs/>
          <w:color w:val="000000"/>
          <w:sz w:val="24"/>
          <w:szCs w:val="24"/>
        </w:rPr>
        <w:t>PA</w:t>
      </w:r>
      <w:r w:rsidRPr="00C75CAD">
        <w:rPr>
          <w:rFonts w:asciiTheme="majorBidi" w:hAnsiTheme="majorBidi" w:cstheme="majorBidi"/>
          <w:bCs/>
          <w:sz w:val="24"/>
          <w:szCs w:val="24"/>
          <w:lang w:val="en-US"/>
        </w:rPr>
        <w:t>C</w:t>
      </w:r>
      <w:r w:rsidRPr="00C75CAD">
        <w:rPr>
          <w:rFonts w:ascii="Times New Roman" w:hAnsi="Times New Roman" w:cs="Times New Roman"/>
          <w:bCs/>
          <w:color w:val="000000"/>
          <w:sz w:val="24"/>
          <w:szCs w:val="24"/>
          <w:rtl/>
        </w:rPr>
        <w:t>)</w:t>
      </w:r>
      <w:r w:rsidRPr="00C75CAD">
        <w:rPr>
          <w:rStyle w:val="y2iqfc"/>
          <w:rFonts w:ascii="Simplified Arabic" w:hAnsi="Simplified Arabic" w:cs="Simplified Arabic"/>
          <w:color w:val="202124"/>
          <w:sz w:val="24"/>
          <w:szCs w:val="24"/>
          <w:rtl/>
          <w:lang w:bidi="ar"/>
        </w:rPr>
        <w:t xml:space="preserve">، </w:t>
      </w:r>
      <w:r w:rsidRPr="00C75CAD">
        <w:rPr>
          <w:rFonts w:ascii="Times New Roman" w:hAnsi="Times New Roman" w:cs="Times New Roman"/>
          <w:bCs/>
          <w:color w:val="000000"/>
          <w:sz w:val="24"/>
          <w:szCs w:val="24"/>
          <w:rtl/>
        </w:rPr>
        <w:t>(</w:t>
      </w:r>
      <w:r w:rsidRPr="00C75CAD">
        <w:rPr>
          <w:rFonts w:ascii="Times New Roman" w:hAnsi="Times New Roman" w:cs="Times New Roman"/>
          <w:bCs/>
          <w:color w:val="000000"/>
          <w:sz w:val="24"/>
          <w:szCs w:val="24"/>
        </w:rPr>
        <w:t>AHP</w:t>
      </w:r>
      <w:r w:rsidRPr="00C75CAD">
        <w:rPr>
          <w:rFonts w:ascii="Times New Roman" w:hAnsi="Times New Roman" w:cs="Times New Roman"/>
          <w:bCs/>
          <w:color w:val="000000"/>
          <w:sz w:val="24"/>
          <w:szCs w:val="24"/>
          <w:rtl/>
        </w:rPr>
        <w:t>)</w:t>
      </w:r>
      <w:r w:rsidRPr="00C75CAD">
        <w:rPr>
          <w:rStyle w:val="y2iqfc"/>
          <w:rFonts w:ascii="Simplified Arabic" w:hAnsi="Simplified Arabic" w:cs="Simplified Arabic"/>
          <w:color w:val="202124"/>
          <w:sz w:val="24"/>
          <w:szCs w:val="24"/>
          <w:rtl/>
          <w:lang w:bidi="ar"/>
        </w:rPr>
        <w:t xml:space="preserve">، إلخ </w:t>
      </w:r>
      <w:r w:rsidRPr="00C75CAD">
        <w:rPr>
          <w:rStyle w:val="y2iqfc"/>
          <w:rFonts w:asciiTheme="majorBidi" w:hAnsiTheme="majorBidi" w:cstheme="majorBidi"/>
          <w:color w:val="202124"/>
          <w:sz w:val="24"/>
          <w:szCs w:val="24"/>
          <w:rtl/>
          <w:lang w:val="en-US" w:bidi="ar"/>
        </w:rPr>
        <w:t>(</w:t>
      </w:r>
      <w:r w:rsidRPr="00C75CAD">
        <w:rPr>
          <w:rFonts w:asciiTheme="majorBidi" w:hAnsiTheme="majorBidi" w:cstheme="majorBidi"/>
          <w:sz w:val="24"/>
          <w:szCs w:val="24"/>
          <w:lang w:val="en-US"/>
        </w:rPr>
        <w:t>Mahmodinia et al., 2021</w:t>
      </w:r>
      <w:r w:rsidRPr="00C75CAD">
        <w:rPr>
          <w:rStyle w:val="y2iqfc"/>
          <w:rFonts w:asciiTheme="majorBidi" w:hAnsiTheme="majorBidi" w:cstheme="majorBidi"/>
          <w:color w:val="202124"/>
          <w:sz w:val="24"/>
          <w:szCs w:val="24"/>
          <w:rtl/>
          <w:lang w:bidi="ar"/>
        </w:rPr>
        <w:t xml:space="preserve"> </w:t>
      </w:r>
      <w:r w:rsidRPr="00C75CAD">
        <w:rPr>
          <w:rStyle w:val="y2iqfc"/>
          <w:rFonts w:asciiTheme="majorBidi" w:hAnsiTheme="majorBidi" w:cstheme="majorBidi"/>
          <w:color w:val="202124"/>
          <w:sz w:val="24"/>
          <w:szCs w:val="24"/>
          <w:lang w:val="en-US" w:bidi="ar"/>
        </w:rPr>
        <w:t>Davoudabadi</w:t>
      </w:r>
      <w:r w:rsidRPr="00C75CAD">
        <w:rPr>
          <w:rFonts w:asciiTheme="majorBidi" w:hAnsiTheme="majorBidi" w:cstheme="majorBidi"/>
          <w:sz w:val="24"/>
          <w:szCs w:val="24"/>
          <w:lang w:val="en-US"/>
        </w:rPr>
        <w:t xml:space="preserve"> et al., 2020;</w:t>
      </w:r>
      <w:r w:rsidRPr="00C75CAD">
        <w:rPr>
          <w:rStyle w:val="y2iqfc"/>
          <w:rFonts w:asciiTheme="majorBidi" w:hAnsiTheme="majorBidi" w:cstheme="majorBidi"/>
          <w:color w:val="202124"/>
          <w:sz w:val="24"/>
          <w:szCs w:val="24"/>
          <w:rtl/>
          <w:lang w:val="en-US" w:bidi="ar"/>
        </w:rPr>
        <w:t>)</w:t>
      </w:r>
      <w:r w:rsidRPr="00C75CAD">
        <w:rPr>
          <w:rStyle w:val="y2iqfc"/>
          <w:rFonts w:ascii="Simplified Arabic" w:hAnsi="Simplified Arabic" w:cs="Simplified Arabic"/>
          <w:color w:val="202124"/>
          <w:sz w:val="24"/>
          <w:szCs w:val="24"/>
          <w:rtl/>
          <w:lang w:bidi="ar"/>
        </w:rPr>
        <w:t xml:space="preserve"> </w:t>
      </w:r>
      <w:r w:rsidRPr="00C75CAD">
        <w:rPr>
          <w:rStyle w:val="y2iqfc"/>
          <w:rFonts w:ascii="Simplified Arabic" w:hAnsi="Simplified Arabic" w:cs="Simplified Arabic" w:hint="cs"/>
          <w:color w:val="202124"/>
          <w:sz w:val="24"/>
          <w:szCs w:val="24"/>
          <w:rtl/>
          <w:lang w:bidi="ar"/>
        </w:rPr>
        <w:t xml:space="preserve">لتقييم اوزان عوامل (معايير) التقييم، </w:t>
      </w:r>
      <w:r w:rsidRPr="00C75CAD">
        <w:rPr>
          <w:rStyle w:val="y2iqfc"/>
          <w:rFonts w:ascii="Simplified Arabic" w:hAnsi="Simplified Arabic" w:cs="Simplified Arabic"/>
          <w:color w:val="202124"/>
          <w:sz w:val="24"/>
          <w:szCs w:val="24"/>
          <w:rtl/>
          <w:lang w:bidi="ar"/>
        </w:rPr>
        <w:t xml:space="preserve">استنادًا إلى التوزيع الزماني </w:t>
      </w:r>
      <w:r w:rsidRPr="00C75CAD">
        <w:rPr>
          <w:rStyle w:val="y2iqfc"/>
          <w:rFonts w:ascii="Simplified Arabic" w:hAnsi="Simplified Arabic" w:cs="Simplified Arabic" w:hint="cs"/>
          <w:color w:val="202124"/>
          <w:sz w:val="24"/>
          <w:szCs w:val="24"/>
          <w:rtl/>
          <w:lang w:bidi="ar"/>
        </w:rPr>
        <w:t>و</w:t>
      </w:r>
      <w:r w:rsidRPr="00C75CAD">
        <w:rPr>
          <w:rStyle w:val="y2iqfc"/>
          <w:rFonts w:ascii="Simplified Arabic" w:hAnsi="Simplified Arabic" w:cs="Simplified Arabic"/>
          <w:color w:val="202124"/>
          <w:sz w:val="24"/>
          <w:szCs w:val="24"/>
          <w:rtl/>
          <w:lang w:bidi="ar"/>
        </w:rPr>
        <w:t xml:space="preserve">المكاني لتقدير مرونة المناطق الحضرية. </w:t>
      </w:r>
    </w:p>
    <w:p w:rsidR="000B42BD" w:rsidRPr="005454EF" w:rsidRDefault="000B42BD" w:rsidP="001D0548">
      <w:pPr>
        <w:pStyle w:val="PrformatHTML"/>
        <w:numPr>
          <w:ilvl w:val="3"/>
          <w:numId w:val="212"/>
        </w:numPr>
        <w:tabs>
          <w:tab w:val="clear" w:pos="916"/>
          <w:tab w:val="clear" w:pos="1832"/>
          <w:tab w:val="clear" w:pos="2748"/>
          <w:tab w:val="clear" w:pos="3664"/>
          <w:tab w:val="clear" w:pos="4580"/>
          <w:tab w:val="clear" w:pos="5496"/>
          <w:tab w:val="clear" w:pos="6412"/>
          <w:tab w:val="clear" w:pos="7328"/>
          <w:tab w:val="clear" w:pos="8244"/>
          <w:tab w:val="left" w:pos="992"/>
        </w:tabs>
        <w:bidi/>
        <w:spacing w:line="276" w:lineRule="auto"/>
        <w:ind w:left="0" w:firstLine="0"/>
        <w:jc w:val="both"/>
        <w:outlineLvl w:val="2"/>
        <w:rPr>
          <w:rFonts w:ascii="Simplified Arabic" w:hAnsi="Simplified Arabic" w:cs="Simplified Arabic"/>
          <w:color w:val="202124"/>
          <w:sz w:val="24"/>
          <w:szCs w:val="24"/>
          <w:lang w:bidi="ar"/>
        </w:rPr>
      </w:pPr>
      <w:bookmarkStart w:id="422" w:name="_Toc171803526"/>
      <w:r w:rsidRPr="002C3903">
        <w:rPr>
          <w:rFonts w:ascii="Simplified Arabic" w:hAnsi="Simplified Arabic" w:cs="Simplified Arabic" w:hint="cs"/>
          <w:b/>
          <w:bCs/>
          <w:sz w:val="24"/>
          <w:szCs w:val="24"/>
          <w:rtl/>
        </w:rPr>
        <w:t>تبرير</w:t>
      </w:r>
      <w:r w:rsidRPr="002C3903">
        <w:rPr>
          <w:rFonts w:ascii="Simplified Arabic" w:hAnsi="Simplified Arabic" w:cs="Simplified Arabic"/>
          <w:b/>
          <w:bCs/>
          <w:sz w:val="24"/>
          <w:szCs w:val="24"/>
          <w:rtl/>
        </w:rPr>
        <w:t xml:space="preserve"> </w:t>
      </w:r>
      <w:r w:rsidRPr="002C3903">
        <w:rPr>
          <w:rFonts w:ascii="Simplified Arabic" w:hAnsi="Simplified Arabic" w:cs="Simplified Arabic" w:hint="cs"/>
          <w:b/>
          <w:bCs/>
          <w:sz w:val="24"/>
          <w:szCs w:val="24"/>
          <w:rtl/>
        </w:rPr>
        <w:t>استخدام</w:t>
      </w:r>
      <w:r w:rsidRPr="002C3903">
        <w:rPr>
          <w:rFonts w:ascii="Simplified Arabic" w:hAnsi="Simplified Arabic" w:cs="Simplified Arabic"/>
          <w:b/>
          <w:bCs/>
          <w:sz w:val="24"/>
          <w:szCs w:val="24"/>
          <w:rtl/>
        </w:rPr>
        <w:t xml:space="preserve"> </w:t>
      </w:r>
      <w:r w:rsidRPr="00F5741E">
        <w:rPr>
          <w:rFonts w:ascii="Times New Roman" w:hAnsi="Times New Roman" w:cs="Times New Roman"/>
          <w:bCs/>
          <w:color w:val="000000"/>
          <w:sz w:val="24"/>
          <w:szCs w:val="24"/>
          <w:rtl/>
        </w:rPr>
        <w:t>(</w:t>
      </w:r>
      <w:r w:rsidRPr="000E53F3">
        <w:rPr>
          <w:rFonts w:ascii="Times New Roman" w:hAnsi="Times New Roman" w:cs="Times New Roman"/>
          <w:bCs/>
          <w:color w:val="000000"/>
          <w:sz w:val="24"/>
          <w:szCs w:val="24"/>
        </w:rPr>
        <w:t>AHP</w:t>
      </w:r>
      <w:r w:rsidRPr="00F5741E">
        <w:rPr>
          <w:rFonts w:ascii="Times New Roman" w:hAnsi="Times New Roman" w:cs="Times New Roman"/>
          <w:bCs/>
          <w:color w:val="000000"/>
          <w:sz w:val="24"/>
          <w:szCs w:val="24"/>
          <w:rtl/>
        </w:rPr>
        <w:t>)</w:t>
      </w:r>
      <w:bookmarkEnd w:id="422"/>
    </w:p>
    <w:p w:rsidR="000B42BD" w:rsidRDefault="000B42BD" w:rsidP="000B42BD">
      <w:pPr>
        <w:bidi/>
        <w:spacing w:after="0"/>
        <w:ind w:firstLine="282"/>
        <w:jc w:val="both"/>
        <w:rPr>
          <w:rFonts w:asciiTheme="minorBidi" w:hAnsiTheme="minorBidi" w:cs="Arial"/>
          <w:sz w:val="28"/>
          <w:szCs w:val="28"/>
          <w:rtl/>
          <w:lang w:val="en-US"/>
        </w:rPr>
      </w:pPr>
      <w:r w:rsidRPr="00C75CAD">
        <w:rPr>
          <w:rFonts w:ascii="Simplified Arabic" w:hAnsi="Simplified Arabic" w:cs="Simplified Arabic" w:hint="cs"/>
          <w:sz w:val="24"/>
          <w:szCs w:val="24"/>
          <w:rtl/>
          <w:lang w:val="en-US"/>
        </w:rPr>
        <w:t>من الضروري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اختيار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برنامج</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متطور،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بهيكل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ترجيح</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يمكن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الاعتماد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عليه،</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لتحديد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مجموعة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متنوعة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w:t>
      </w:r>
      <w:r w:rsidRPr="00C75CAD">
        <w:rPr>
          <w:rFonts w:ascii="Simplified Arabic" w:hAnsi="Simplified Arabic" w:cs="Simplified Arabic"/>
          <w:sz w:val="24"/>
          <w:szCs w:val="24"/>
          <w:rtl/>
          <w:lang w:val="en-US"/>
        </w:rPr>
        <w:t>عوامل</w:t>
      </w:r>
      <w:r w:rsidRPr="00C75CAD">
        <w:rPr>
          <w:rFonts w:ascii="Simplified Arabic" w:hAnsi="Simplified Arabic" w:cs="Simplified Arabic" w:hint="cs"/>
          <w:sz w:val="24"/>
          <w:szCs w:val="24"/>
          <w:rtl/>
          <w:lang w:val="en-US"/>
        </w:rPr>
        <w:t xml:space="preserve"> </w:t>
      </w:r>
      <w:r w:rsidRPr="00C75CAD">
        <w:rPr>
          <w:rStyle w:val="y2iqfc"/>
          <w:rFonts w:ascii="Simplified Arabic" w:hAnsi="Simplified Arabic" w:cs="Simplified Arabic" w:hint="cs"/>
          <w:color w:val="202124"/>
          <w:sz w:val="24"/>
          <w:szCs w:val="24"/>
          <w:rtl/>
          <w:lang w:bidi="ar"/>
        </w:rPr>
        <w:t xml:space="preserve">(معايير) </w:t>
      </w:r>
      <w:r w:rsidRPr="00C75CAD">
        <w:rPr>
          <w:rFonts w:asciiTheme="majorBidi" w:hAnsiTheme="majorBidi" w:cstheme="majorBidi"/>
          <w:color w:val="000000" w:themeColor="text1"/>
          <w:sz w:val="24"/>
          <w:szCs w:val="24"/>
          <w:rtl/>
          <w:lang w:val="en-US" w:bidi="ar-DZ"/>
        </w:rPr>
        <w:t>(</w:t>
      </w:r>
      <w:r w:rsidRPr="00C75CAD">
        <w:rPr>
          <w:rFonts w:asciiTheme="majorBidi" w:hAnsiTheme="majorBidi" w:cstheme="majorBidi"/>
          <w:color w:val="000000" w:themeColor="text1"/>
          <w:sz w:val="24"/>
          <w:szCs w:val="24"/>
          <w:lang w:val="en-US" w:bidi="ar-DZ"/>
        </w:rPr>
        <w:t>2022</w:t>
      </w:r>
      <w:r w:rsidRPr="00C75CAD">
        <w:rPr>
          <w:rFonts w:asciiTheme="majorBidi" w:hAnsiTheme="majorBidi" w:cstheme="majorBidi"/>
          <w:color w:val="000000" w:themeColor="text1"/>
          <w:sz w:val="24"/>
          <w:szCs w:val="24"/>
          <w:rtl/>
          <w:lang w:val="en-US" w:bidi="ar-DZ"/>
        </w:rPr>
        <w:t xml:space="preserve"> </w:t>
      </w:r>
      <w:r w:rsidRPr="00C75CAD">
        <w:rPr>
          <w:rFonts w:asciiTheme="majorBidi" w:hAnsiTheme="majorBidi" w:cstheme="majorBidi"/>
          <w:color w:val="000000" w:themeColor="text1"/>
          <w:sz w:val="24"/>
          <w:szCs w:val="24"/>
          <w:lang w:val="en-US" w:bidi="ar-DZ"/>
        </w:rPr>
        <w:t xml:space="preserve">Haghighi Fard </w:t>
      </w:r>
      <w:r w:rsidRPr="00C75CAD">
        <w:rPr>
          <w:rFonts w:asciiTheme="majorBidi" w:hAnsiTheme="majorBidi" w:cstheme="majorBidi"/>
          <w:color w:val="000000"/>
          <w:sz w:val="24"/>
          <w:szCs w:val="24"/>
          <w:lang w:val="en-US"/>
        </w:rPr>
        <w:t xml:space="preserve">&amp; </w:t>
      </w:r>
      <w:r w:rsidRPr="00C75CAD">
        <w:rPr>
          <w:rFonts w:asciiTheme="majorBidi" w:hAnsiTheme="majorBidi" w:cstheme="majorBidi"/>
          <w:color w:val="000000" w:themeColor="text1"/>
          <w:sz w:val="24"/>
          <w:szCs w:val="24"/>
          <w:lang w:val="en-US" w:bidi="ar-DZ"/>
        </w:rPr>
        <w:t>Doratli,</w:t>
      </w:r>
      <w:r w:rsidRPr="00C75CAD">
        <w:rPr>
          <w:rFonts w:asciiTheme="majorBidi" w:eastAsia="Times New Roman" w:hAnsiTheme="majorBidi" w:cstheme="majorBidi"/>
          <w:b/>
          <w:sz w:val="24"/>
          <w:szCs w:val="24"/>
          <w:rtl/>
          <w:lang w:val="en-US" w:eastAsia="fr-FR"/>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توفر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طريقة</w:t>
      </w:r>
      <w:r w:rsidRPr="00C75CAD">
        <w:rPr>
          <w:rFonts w:ascii="Simplified Arabic" w:hAnsi="Simplified Arabic" w:cs="Simplified Arabic"/>
          <w:sz w:val="24"/>
          <w:szCs w:val="24"/>
          <w:rtl/>
          <w:lang w:val="en-US"/>
        </w:rPr>
        <w:t xml:space="preserve"> </w:t>
      </w:r>
      <w:r w:rsidRPr="00C75CAD">
        <w:rPr>
          <w:rFonts w:ascii="Times New Roman" w:eastAsia="Times New Roman" w:hAnsi="Times New Roman" w:cs="Times New Roman" w:hint="cs"/>
          <w:bCs/>
          <w:color w:val="000000"/>
          <w:sz w:val="24"/>
          <w:szCs w:val="24"/>
          <w:rtl/>
          <w:lang w:eastAsia="fr-FR"/>
        </w:rPr>
        <w:t>(</w:t>
      </w:r>
      <w:r w:rsidRPr="00C75CAD">
        <w:rPr>
          <w:rFonts w:ascii="Times New Roman" w:eastAsia="Times New Roman" w:hAnsi="Times New Roman" w:cs="Times New Roman"/>
          <w:bCs/>
          <w:color w:val="000000"/>
          <w:sz w:val="24"/>
          <w:szCs w:val="24"/>
          <w:lang w:eastAsia="fr-FR"/>
        </w:rPr>
        <w:t>MCDM</w:t>
      </w:r>
      <w:r w:rsidRPr="00C75CAD">
        <w:rPr>
          <w:rFonts w:ascii="Times New Roman" w:eastAsia="Times New Roman" w:hAnsi="Times New Roman" w:cs="Times New Roman" w:hint="cs"/>
          <w:bCs/>
          <w:color w:val="000000"/>
          <w:sz w:val="24"/>
          <w:szCs w:val="24"/>
          <w:rtl/>
          <w:lang w:eastAsia="fr-FR"/>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كتقنية</w:t>
      </w:r>
      <w:r w:rsidRPr="00C75CAD">
        <w:rPr>
          <w:rFonts w:ascii="Simplified Arabic" w:hAnsi="Simplified Arabic" w:cs="Simplified Arabic"/>
          <w:sz w:val="24"/>
          <w:szCs w:val="24"/>
          <w:rtl/>
          <w:lang w:val="en-US"/>
        </w:rPr>
        <w:t xml:space="preserve"> </w:t>
      </w:r>
      <w:r w:rsidRPr="00C75CAD">
        <w:rPr>
          <w:rFonts w:ascii="Times New Roman" w:eastAsia="Times New Roman" w:hAnsi="Times New Roman" w:cs="Times New Roman"/>
          <w:bCs/>
          <w:color w:val="000000"/>
          <w:sz w:val="24"/>
          <w:szCs w:val="24"/>
          <w:rtl/>
          <w:lang w:eastAsia="fr-FR"/>
        </w:rPr>
        <w:t>(</w:t>
      </w:r>
      <w:r w:rsidRPr="00C75CAD">
        <w:rPr>
          <w:rFonts w:ascii="Times New Roman" w:eastAsia="Times New Roman" w:hAnsi="Times New Roman" w:cs="Times New Roman"/>
          <w:bCs/>
          <w:color w:val="000000"/>
          <w:sz w:val="24"/>
          <w:szCs w:val="24"/>
          <w:lang w:eastAsia="fr-FR"/>
        </w:rPr>
        <w:t>AHP</w:t>
      </w:r>
      <w:r w:rsidRPr="00C75CAD">
        <w:rPr>
          <w:rFonts w:ascii="Times New Roman" w:eastAsia="Times New Roman" w:hAnsi="Times New Roman" w:cs="Times New Roman"/>
          <w:bCs/>
          <w:color w:val="000000"/>
          <w:sz w:val="24"/>
          <w:szCs w:val="24"/>
          <w:rtl/>
          <w:lang w:eastAsia="fr-FR"/>
        </w:rPr>
        <w:t>)</w:t>
      </w:r>
      <w:r w:rsidRPr="00C75CAD">
        <w:rPr>
          <w:rFonts w:ascii="Simplified Arabic" w:hAnsi="Simplified Arabic" w:cs="Simplified Arabic"/>
          <w:sz w:val="24"/>
          <w:szCs w:val="24"/>
          <w:lang w:val="en-US"/>
        </w:rPr>
        <w:t xml:space="preserve"> </w:t>
      </w:r>
      <w:r w:rsidRPr="00C75CAD">
        <w:rPr>
          <w:rFonts w:ascii="Simplified Arabic" w:hAnsi="Simplified Arabic" w:cs="Simplified Arabic" w:hint="cs"/>
          <w:sz w:val="24"/>
          <w:szCs w:val="24"/>
          <w:rtl/>
          <w:lang w:val="en-US"/>
        </w:rPr>
        <w:t>أنظمة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ترجيح</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قابلة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للتطبيق</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في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مناطق</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مختلفة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إنها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طريقة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فعالة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لتحديد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نظام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ترجيح</w:t>
      </w:r>
      <w:r w:rsidRPr="00C75CAD">
        <w:rPr>
          <w:rFonts w:ascii="Simplified Arabic" w:hAnsi="Simplified Arabic" w:cs="Simplified Arabic"/>
          <w:sz w:val="24"/>
          <w:szCs w:val="24"/>
          <w:rtl/>
          <w:lang w:val="en-US"/>
        </w:rPr>
        <w:t xml:space="preserve"> على أساس مصفوفة اتخاذ القرار</w:t>
      </w:r>
      <w:r w:rsidRPr="00C75CAD">
        <w:rPr>
          <w:rStyle w:val="y2iqfc"/>
          <w:rFonts w:asciiTheme="minorBidi" w:hAnsiTheme="minorBidi" w:hint="cs"/>
          <w:color w:val="202124"/>
          <w:sz w:val="24"/>
          <w:szCs w:val="24"/>
          <w:rtl/>
          <w:lang w:bidi="ar-DZ"/>
        </w:rPr>
        <w:t xml:space="preserve"> </w:t>
      </w:r>
      <w:r w:rsidRPr="00C75CAD">
        <w:rPr>
          <w:rFonts w:asciiTheme="majorBidi" w:hAnsiTheme="majorBidi" w:cstheme="majorBidi"/>
          <w:color w:val="0D0D0D"/>
          <w:sz w:val="24"/>
          <w:szCs w:val="24"/>
        </w:rPr>
        <w:t>2021)</w:t>
      </w:r>
      <w:r w:rsidRPr="00C75CAD">
        <w:rPr>
          <w:rFonts w:asciiTheme="majorBidi" w:hAnsiTheme="majorBidi" w:cstheme="majorBidi"/>
          <w:sz w:val="24"/>
          <w:szCs w:val="24"/>
          <w:rtl/>
          <w:lang w:bidi="ar-DZ"/>
        </w:rPr>
        <w:t xml:space="preserve"> </w:t>
      </w:r>
      <w:r w:rsidRPr="00C75CAD">
        <w:rPr>
          <w:rFonts w:asciiTheme="majorBidi" w:hAnsiTheme="majorBidi" w:cstheme="majorBidi"/>
          <w:color w:val="0D0D0D"/>
          <w:sz w:val="24"/>
          <w:szCs w:val="24"/>
        </w:rPr>
        <w:t>(</w:t>
      </w:r>
      <w:r w:rsidRPr="00C75CAD">
        <w:rPr>
          <w:rFonts w:asciiTheme="majorBidi" w:eastAsia="CharisSIL" w:hAnsiTheme="majorBidi" w:cstheme="majorBidi"/>
          <w:sz w:val="24"/>
          <w:szCs w:val="24"/>
          <w:lang w:val="en-US"/>
        </w:rPr>
        <w:t>Javari</w:t>
      </w:r>
      <w:r w:rsidRPr="00C75CAD">
        <w:rPr>
          <w:rFonts w:asciiTheme="majorBidi" w:hAnsiTheme="majorBidi" w:cstheme="majorBidi"/>
          <w:color w:val="0D0D0D"/>
          <w:sz w:val="36"/>
          <w:szCs w:val="36"/>
        </w:rPr>
        <w:t xml:space="preserve"> </w:t>
      </w:r>
      <w:r w:rsidRPr="00C75CAD">
        <w:rPr>
          <w:rFonts w:asciiTheme="majorBidi" w:hAnsiTheme="majorBidi" w:cstheme="majorBidi"/>
          <w:color w:val="0D0D0D"/>
          <w:sz w:val="24"/>
          <w:szCs w:val="24"/>
        </w:rPr>
        <w:t>et al.,</w:t>
      </w:r>
      <w:r w:rsidRPr="00C75CAD">
        <w:rPr>
          <w:rFonts w:asciiTheme="majorBidi" w:hAnsiTheme="majorBidi" w:cstheme="majorBidi" w:hint="cs"/>
          <w:color w:val="0D0D0D"/>
          <w:sz w:val="24"/>
          <w:szCs w:val="24"/>
          <w:rtl/>
        </w:rPr>
        <w:t>.</w:t>
      </w:r>
      <w:r w:rsidRPr="00C75CAD">
        <w:rPr>
          <w:rFonts w:asciiTheme="minorBidi" w:hAnsiTheme="minorBidi" w:cs="Arial" w:hint="cs"/>
          <w:sz w:val="28"/>
          <w:szCs w:val="28"/>
          <w:rtl/>
          <w:lang w:val="en-US"/>
        </w:rPr>
        <w:t xml:space="preserve"> </w:t>
      </w:r>
      <w:r w:rsidRPr="00C75CAD">
        <w:rPr>
          <w:rFonts w:ascii="Simplified Arabic" w:hAnsi="Simplified Arabic" w:cs="Simplified Arabic" w:hint="cs"/>
          <w:sz w:val="24"/>
          <w:szCs w:val="24"/>
          <w:rtl/>
          <w:lang w:val="en-US"/>
        </w:rPr>
        <w:t>وكانت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نتيجة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ذلك</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وضع نموذج تقييم المرونة الحضرية</w:t>
      </w:r>
      <w:r w:rsidRPr="00C75CAD">
        <w:rPr>
          <w:rFonts w:asciiTheme="minorBidi" w:hAnsiTheme="minorBidi" w:cs="Arial"/>
          <w:sz w:val="28"/>
          <w:szCs w:val="28"/>
          <w:rtl/>
          <w:lang w:val="en-US"/>
        </w:rPr>
        <w:t xml:space="preserve"> </w:t>
      </w:r>
      <w:r w:rsidRPr="00C75CAD">
        <w:rPr>
          <w:rFonts w:asciiTheme="majorBidi" w:hAnsiTheme="majorBidi" w:cstheme="majorBidi"/>
          <w:color w:val="0D0D0D"/>
          <w:sz w:val="24"/>
          <w:szCs w:val="24"/>
        </w:rPr>
        <w:t>2021)</w:t>
      </w:r>
      <w:r w:rsidRPr="00C75CAD">
        <w:rPr>
          <w:rFonts w:asciiTheme="majorBidi" w:hAnsiTheme="majorBidi" w:cstheme="majorBidi"/>
          <w:sz w:val="24"/>
          <w:szCs w:val="24"/>
          <w:rtl/>
          <w:lang w:bidi="ar-DZ"/>
        </w:rPr>
        <w:t xml:space="preserve"> </w:t>
      </w:r>
      <w:r w:rsidRPr="00C75CAD">
        <w:rPr>
          <w:rFonts w:asciiTheme="majorBidi" w:hAnsiTheme="majorBidi" w:cstheme="majorBidi"/>
          <w:color w:val="0D0D0D"/>
          <w:sz w:val="24"/>
          <w:szCs w:val="24"/>
        </w:rPr>
        <w:t>(</w:t>
      </w:r>
      <w:r w:rsidRPr="00C75CAD">
        <w:rPr>
          <w:rFonts w:asciiTheme="majorBidi" w:eastAsia="CharisSIL" w:hAnsiTheme="majorBidi" w:cstheme="majorBidi"/>
          <w:sz w:val="24"/>
          <w:szCs w:val="24"/>
          <w:lang w:val="en-US"/>
        </w:rPr>
        <w:t>Javari</w:t>
      </w:r>
      <w:r w:rsidRPr="00C75CAD">
        <w:rPr>
          <w:rFonts w:asciiTheme="majorBidi" w:hAnsiTheme="majorBidi" w:cstheme="majorBidi"/>
          <w:color w:val="0D0D0D"/>
          <w:sz w:val="36"/>
          <w:szCs w:val="36"/>
        </w:rPr>
        <w:t xml:space="preserve"> </w:t>
      </w:r>
      <w:r w:rsidRPr="00C75CAD">
        <w:rPr>
          <w:rFonts w:asciiTheme="majorBidi" w:hAnsiTheme="majorBidi" w:cstheme="majorBidi"/>
          <w:color w:val="0D0D0D"/>
          <w:sz w:val="24"/>
          <w:szCs w:val="24"/>
        </w:rPr>
        <w:t>et al.,</w:t>
      </w:r>
      <w:r w:rsidRPr="00C75CAD">
        <w:rPr>
          <w:rFonts w:asciiTheme="majorBidi" w:hAnsiTheme="majorBidi" w:cstheme="majorBidi" w:hint="cs"/>
          <w:color w:val="0D0D0D"/>
          <w:sz w:val="24"/>
          <w:szCs w:val="24"/>
          <w:rtl/>
        </w:rPr>
        <w:t>.</w:t>
      </w:r>
    </w:p>
    <w:p w:rsidR="000B42BD" w:rsidRDefault="000B42BD" w:rsidP="00EF4F0B">
      <w:pPr>
        <w:bidi/>
        <w:spacing w:after="0"/>
        <w:jc w:val="both"/>
        <w:rPr>
          <w:rFonts w:asciiTheme="minorBidi" w:hAnsiTheme="minorBidi" w:cs="Arial"/>
          <w:sz w:val="28"/>
          <w:szCs w:val="28"/>
          <w:rtl/>
          <w:lang w:val="en-US"/>
        </w:rPr>
      </w:pPr>
      <w:r w:rsidRPr="00C75CAD">
        <w:rPr>
          <w:rFonts w:ascii="Simplified Arabic" w:hAnsi="Simplified Arabic" w:cs="Simplified Arabic" w:hint="cs"/>
          <w:sz w:val="24"/>
          <w:szCs w:val="24"/>
          <w:rtl/>
          <w:lang w:val="en-US"/>
        </w:rPr>
        <w:t>الى جانب عملية التحليل الهرمي التسلسلي</w:t>
      </w:r>
      <w:r w:rsidRPr="00C75CAD">
        <w:rPr>
          <w:rFonts w:asciiTheme="minorBidi" w:hAnsiTheme="minorBidi" w:cs="Arial" w:hint="cs"/>
          <w:sz w:val="28"/>
          <w:szCs w:val="28"/>
          <w:rtl/>
          <w:lang w:val="en-US"/>
        </w:rPr>
        <w:t xml:space="preserve"> </w:t>
      </w:r>
      <w:r w:rsidRPr="00C75CAD">
        <w:rPr>
          <w:rFonts w:ascii="Times New Roman" w:eastAsia="Times New Roman" w:hAnsi="Times New Roman" w:cs="Times New Roman"/>
          <w:bCs/>
          <w:color w:val="000000"/>
          <w:sz w:val="24"/>
          <w:szCs w:val="24"/>
          <w:rtl/>
          <w:lang w:eastAsia="fr-FR"/>
        </w:rPr>
        <w:t>(</w:t>
      </w:r>
      <w:r w:rsidRPr="00C75CAD">
        <w:rPr>
          <w:rFonts w:ascii="Times New Roman" w:eastAsia="Times New Roman" w:hAnsi="Times New Roman" w:cs="Times New Roman"/>
          <w:bCs/>
          <w:color w:val="000000"/>
          <w:sz w:val="24"/>
          <w:szCs w:val="24"/>
          <w:lang w:eastAsia="fr-FR"/>
        </w:rPr>
        <w:t>AHP</w:t>
      </w:r>
      <w:r w:rsidRPr="00C75CAD">
        <w:rPr>
          <w:rFonts w:ascii="Times New Roman" w:eastAsia="Times New Roman" w:hAnsi="Times New Roman" w:cs="Times New Roman"/>
          <w:bCs/>
          <w:color w:val="000000"/>
          <w:sz w:val="24"/>
          <w:szCs w:val="24"/>
          <w:rtl/>
          <w:lang w:eastAsia="fr-FR"/>
        </w:rPr>
        <w:t>)</w:t>
      </w:r>
      <w:r w:rsidRPr="00C75CAD">
        <w:rPr>
          <w:rFonts w:ascii="Times New Roman" w:eastAsia="Times New Roman" w:hAnsi="Times New Roman" w:cs="Times New Roman" w:hint="cs"/>
          <w:bCs/>
          <w:color w:val="000000"/>
          <w:sz w:val="24"/>
          <w:szCs w:val="24"/>
          <w:rtl/>
          <w:lang w:eastAsia="fr-FR" w:bidi="ar-DZ"/>
        </w:rPr>
        <w:t>،</w:t>
      </w:r>
      <w:r w:rsidRPr="00C75CAD">
        <w:rPr>
          <w:rFonts w:ascii="Times New Roman" w:eastAsia="Times New Roman" w:hAnsi="Times New Roman" w:cs="Times New Roman" w:hint="cs"/>
          <w:bCs/>
          <w:color w:val="000000"/>
          <w:sz w:val="24"/>
          <w:szCs w:val="24"/>
          <w:rtl/>
          <w:lang w:eastAsia="fr-FR"/>
        </w:rPr>
        <w:t xml:space="preserve"> </w:t>
      </w:r>
      <w:r w:rsidRPr="00C75CAD">
        <w:rPr>
          <w:rFonts w:ascii="Simplified Arabic" w:hAnsi="Simplified Arabic" w:cs="Simplified Arabic" w:hint="cs"/>
          <w:sz w:val="24"/>
          <w:szCs w:val="24"/>
          <w:rtl/>
          <w:lang w:val="en-US"/>
        </w:rPr>
        <w:t>تستخدم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عملية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مماثلة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 xml:space="preserve">لطريقة </w:t>
      </w:r>
      <w:r w:rsidRPr="00C75CAD">
        <w:rPr>
          <w:rFonts w:ascii="Times New Roman" w:eastAsia="Times New Roman" w:hAnsi="Times New Roman" w:cs="Times New Roman"/>
          <w:bCs/>
          <w:color w:val="000000"/>
          <w:sz w:val="24"/>
          <w:szCs w:val="24"/>
          <w:rtl/>
          <w:lang w:eastAsia="fr-FR"/>
        </w:rPr>
        <w:t>(</w:t>
      </w:r>
      <w:r w:rsidRPr="00C75CAD">
        <w:rPr>
          <w:rFonts w:ascii="Times New Roman" w:eastAsia="Times New Roman" w:hAnsi="Times New Roman" w:cs="Times New Roman"/>
          <w:bCs/>
          <w:color w:val="000000"/>
          <w:sz w:val="24"/>
          <w:szCs w:val="24"/>
          <w:lang w:eastAsia="fr-FR"/>
        </w:rPr>
        <w:t>AHP</w:t>
      </w:r>
      <w:r w:rsidRPr="00C75CAD">
        <w:rPr>
          <w:rFonts w:ascii="Times New Roman" w:eastAsia="Times New Roman" w:hAnsi="Times New Roman" w:cs="Times New Roman"/>
          <w:bCs/>
          <w:color w:val="000000"/>
          <w:sz w:val="24"/>
          <w:szCs w:val="24"/>
          <w:rtl/>
          <w:lang w:eastAsia="fr-FR"/>
        </w:rPr>
        <w:t>)</w:t>
      </w:r>
      <w:r w:rsidRPr="00C75CAD">
        <w:rPr>
          <w:rFonts w:ascii="Simplified Arabic" w:hAnsi="Simplified Arabic" w:cs="Simplified Arabic" w:hint="cs"/>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وهي عملية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الشبكة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 xml:space="preserve">التحليلية </w:t>
      </w:r>
      <w:r w:rsidRPr="00C75CAD">
        <w:rPr>
          <w:rFonts w:asciiTheme="majorBidi" w:hAnsiTheme="majorBidi" w:cstheme="majorBidi" w:hint="cs"/>
          <w:sz w:val="24"/>
          <w:szCs w:val="24"/>
          <w:rtl/>
          <w:lang w:val="en-US"/>
        </w:rPr>
        <w:t>(</w:t>
      </w:r>
      <w:r w:rsidRPr="00C75CAD">
        <w:rPr>
          <w:rFonts w:asciiTheme="majorBidi" w:hAnsiTheme="majorBidi" w:cstheme="majorBidi"/>
          <w:sz w:val="24"/>
          <w:szCs w:val="24"/>
          <w:lang w:val="en-US"/>
        </w:rPr>
        <w:t>ANP</w:t>
      </w:r>
      <w:r w:rsidRPr="00C75CAD">
        <w:rPr>
          <w:rFonts w:asciiTheme="majorBidi" w:hAnsiTheme="majorBidi" w:cstheme="majorBidi" w:hint="cs"/>
          <w:sz w:val="24"/>
          <w:szCs w:val="24"/>
          <w:rtl/>
          <w:lang w:val="en-US"/>
        </w:rPr>
        <w:t>)</w:t>
      </w:r>
      <w:r w:rsidRPr="00C75CAD">
        <w:rPr>
          <w:rFonts w:asciiTheme="minorBidi" w:hAnsiTheme="minorBidi" w:cs="Arial"/>
          <w:sz w:val="28"/>
          <w:szCs w:val="28"/>
          <w:rtl/>
          <w:lang w:val="en-US"/>
        </w:rPr>
        <w:t xml:space="preserve"> </w:t>
      </w:r>
      <w:r w:rsidRPr="00C75CAD">
        <w:rPr>
          <w:rFonts w:asciiTheme="majorBidi" w:hAnsiTheme="majorBidi" w:cstheme="majorBidi"/>
          <w:sz w:val="24"/>
          <w:szCs w:val="24"/>
          <w:rtl/>
          <w:lang w:val="en-US"/>
        </w:rPr>
        <w:t>(</w:t>
      </w:r>
      <w:r w:rsidRPr="00C75CAD">
        <w:rPr>
          <w:rFonts w:asciiTheme="majorBidi" w:hAnsiTheme="majorBidi" w:cstheme="majorBidi"/>
          <w:sz w:val="24"/>
          <w:szCs w:val="24"/>
          <w:lang w:val="en-US"/>
        </w:rPr>
        <w:t>(Cheng and Li, 2007</w:t>
      </w:r>
      <w:r w:rsidRPr="00C75CAD">
        <w:rPr>
          <w:rFonts w:ascii="Simplified Arabic" w:hAnsi="Simplified Arabic" w:cs="Simplified Arabic"/>
          <w:sz w:val="24"/>
          <w:szCs w:val="24"/>
          <w:rtl/>
          <w:lang w:val="en-US"/>
        </w:rPr>
        <w:t>.</w:t>
      </w:r>
      <w:r w:rsidRPr="00C75CAD">
        <w:rPr>
          <w:rFonts w:asciiTheme="minorBidi" w:hAnsiTheme="minorBidi" w:cs="Arial"/>
          <w:sz w:val="28"/>
          <w:szCs w:val="28"/>
          <w:rtl/>
          <w:lang w:val="en-US"/>
        </w:rPr>
        <w:t xml:space="preserve"> </w:t>
      </w:r>
      <w:r w:rsidRPr="00C75CAD">
        <w:rPr>
          <w:rFonts w:ascii="Simplified Arabic" w:hAnsi="Simplified Arabic" w:cs="Simplified Arabic" w:hint="cs"/>
          <w:sz w:val="24"/>
          <w:szCs w:val="24"/>
          <w:rtl/>
          <w:lang w:val="en-US"/>
        </w:rPr>
        <w:t>هيكل</w:t>
      </w:r>
      <w:r w:rsidRPr="00C75CAD">
        <w:rPr>
          <w:rFonts w:ascii="Simplified Arabic" w:hAnsi="Simplified Arabic" w:cs="Simplified Arabic"/>
          <w:sz w:val="24"/>
          <w:szCs w:val="24"/>
          <w:rtl/>
          <w:lang w:val="en-US"/>
        </w:rPr>
        <w:t xml:space="preserve"> </w:t>
      </w:r>
      <w:r w:rsidRPr="00C75CAD">
        <w:rPr>
          <w:rFonts w:asciiTheme="majorBidi" w:hAnsiTheme="majorBidi" w:cstheme="majorBidi" w:hint="cs"/>
          <w:sz w:val="24"/>
          <w:szCs w:val="24"/>
          <w:rtl/>
          <w:lang w:val="en-US"/>
        </w:rPr>
        <w:t>(</w:t>
      </w:r>
      <w:r w:rsidRPr="00C75CAD">
        <w:rPr>
          <w:rFonts w:asciiTheme="majorBidi" w:hAnsiTheme="majorBidi" w:cstheme="majorBidi"/>
          <w:sz w:val="24"/>
          <w:szCs w:val="24"/>
          <w:lang w:val="en-US"/>
        </w:rPr>
        <w:t>ANP</w:t>
      </w:r>
      <w:r w:rsidRPr="00C75CAD">
        <w:rPr>
          <w:rFonts w:asciiTheme="majorBidi" w:hAnsiTheme="majorBidi" w:cstheme="majorBidi" w:hint="cs"/>
          <w:sz w:val="24"/>
          <w:szCs w:val="24"/>
          <w:rtl/>
          <w:lang w:val="en-US"/>
        </w:rPr>
        <w:t xml:space="preserve">) </w:t>
      </w:r>
      <w:r w:rsidRPr="00C75CAD">
        <w:rPr>
          <w:rFonts w:ascii="Simplified Arabic" w:hAnsi="Simplified Arabic" w:cs="Simplified Arabic" w:hint="cs"/>
          <w:sz w:val="24"/>
          <w:szCs w:val="24"/>
          <w:rtl/>
          <w:lang w:val="en-US"/>
        </w:rPr>
        <w:t>عبارة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شبكة،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مكوناته</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الرئيسية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تشتمل على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مجموعات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وعوامل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وعلاقات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متبادلة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بين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المجموعات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بين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العوامل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بينما يتكون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هيكل</w:t>
      </w:r>
      <w:r w:rsidRPr="00C75CAD">
        <w:rPr>
          <w:rFonts w:ascii="Simplified Arabic" w:hAnsi="Simplified Arabic" w:cs="Simplified Arabic"/>
          <w:sz w:val="24"/>
          <w:szCs w:val="24"/>
          <w:rtl/>
          <w:lang w:val="en-US"/>
        </w:rPr>
        <w:t xml:space="preserve"> </w:t>
      </w:r>
      <w:r w:rsidRPr="00C75CAD">
        <w:rPr>
          <w:rFonts w:ascii="Times New Roman" w:eastAsia="Times New Roman" w:hAnsi="Times New Roman" w:cs="Times New Roman"/>
          <w:bCs/>
          <w:color w:val="000000"/>
          <w:sz w:val="24"/>
          <w:szCs w:val="24"/>
          <w:rtl/>
          <w:lang w:eastAsia="fr-FR"/>
        </w:rPr>
        <w:t>(</w:t>
      </w:r>
      <w:r w:rsidRPr="00C75CAD">
        <w:rPr>
          <w:rFonts w:ascii="Times New Roman" w:eastAsia="Times New Roman" w:hAnsi="Times New Roman" w:cs="Times New Roman"/>
          <w:bCs/>
          <w:color w:val="000000"/>
          <w:sz w:val="24"/>
          <w:szCs w:val="24"/>
          <w:lang w:eastAsia="fr-FR"/>
        </w:rPr>
        <w:t>AHP</w:t>
      </w:r>
      <w:r w:rsidRPr="00C75CAD">
        <w:rPr>
          <w:rFonts w:ascii="Times New Roman" w:eastAsia="Times New Roman" w:hAnsi="Times New Roman" w:cs="Times New Roman"/>
          <w:bCs/>
          <w:color w:val="000000"/>
          <w:sz w:val="24"/>
          <w:szCs w:val="24"/>
          <w:rtl/>
          <w:lang w:eastAsia="fr-FR"/>
        </w:rPr>
        <w:t>)</w:t>
      </w:r>
      <w:r w:rsidRPr="00C75CAD">
        <w:rPr>
          <w:rFonts w:asciiTheme="minorBidi" w:hAnsiTheme="minorBidi" w:cs="Arial"/>
          <w:sz w:val="28"/>
          <w:szCs w:val="28"/>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هرم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تسلسلي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يشتمل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هدف</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ومؤشرات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أو</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معايير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ومؤشرات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فرعية</w:t>
      </w:r>
      <w:r w:rsidRPr="00C75CAD">
        <w:rPr>
          <w:rFonts w:asciiTheme="minorBidi" w:hAnsiTheme="minorBidi" w:cs="Arial"/>
          <w:sz w:val="28"/>
          <w:szCs w:val="28"/>
          <w:rtl/>
          <w:lang w:val="en-US"/>
        </w:rPr>
        <w:t>.</w:t>
      </w:r>
    </w:p>
    <w:p w:rsidR="000B42BD" w:rsidRDefault="000B42BD" w:rsidP="00EF4F0B">
      <w:pPr>
        <w:pStyle w:val="PrformatHTML"/>
        <w:bidi/>
        <w:spacing w:line="276" w:lineRule="auto"/>
        <w:ind w:firstLine="282"/>
        <w:jc w:val="both"/>
        <w:rPr>
          <w:rFonts w:asciiTheme="minorBidi" w:hAnsiTheme="minorBidi" w:cs="Arial"/>
          <w:sz w:val="28"/>
          <w:szCs w:val="28"/>
          <w:rtl/>
          <w:lang w:val="en-US"/>
        </w:rPr>
      </w:pPr>
      <w:r w:rsidRPr="00C75CAD">
        <w:rPr>
          <w:rFonts w:ascii="Simplified Arabic" w:hAnsi="Simplified Arabic" w:cs="Simplified Arabic" w:hint="cs"/>
          <w:sz w:val="24"/>
          <w:szCs w:val="24"/>
          <w:rtl/>
          <w:lang w:val="en-US"/>
        </w:rPr>
        <w:t>تظهر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الأبحاث</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أن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استخدام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تقنية</w:t>
      </w:r>
      <w:r w:rsidRPr="00C75CAD">
        <w:rPr>
          <w:rFonts w:asciiTheme="minorBidi" w:hAnsiTheme="minorBidi" w:cs="Arial"/>
          <w:sz w:val="28"/>
          <w:szCs w:val="28"/>
          <w:rtl/>
          <w:lang w:val="en-US"/>
        </w:rPr>
        <w:t xml:space="preserve"> </w:t>
      </w:r>
      <w:r w:rsidRPr="00C75CAD">
        <w:rPr>
          <w:rFonts w:ascii="Times New Roman" w:hAnsi="Times New Roman" w:cs="Times New Roman"/>
          <w:bCs/>
          <w:color w:val="000000"/>
          <w:sz w:val="24"/>
          <w:szCs w:val="24"/>
          <w:rtl/>
        </w:rPr>
        <w:t>(</w:t>
      </w:r>
      <w:r w:rsidRPr="00C75CAD">
        <w:rPr>
          <w:rFonts w:ascii="Times New Roman" w:hAnsi="Times New Roman" w:cs="Times New Roman"/>
          <w:bCs/>
          <w:color w:val="000000"/>
          <w:sz w:val="24"/>
          <w:szCs w:val="24"/>
        </w:rPr>
        <w:t>AHP</w:t>
      </w:r>
      <w:r w:rsidRPr="00C75CAD">
        <w:rPr>
          <w:rFonts w:ascii="Times New Roman" w:hAnsi="Times New Roman" w:cs="Times New Roman"/>
          <w:bCs/>
          <w:color w:val="000000"/>
          <w:sz w:val="24"/>
          <w:szCs w:val="24"/>
          <w:rtl/>
        </w:rPr>
        <w:t>)</w:t>
      </w:r>
      <w:r w:rsidRPr="00C75CAD">
        <w:rPr>
          <w:rFonts w:ascii="Simplified Arabic" w:hAnsi="Simplified Arabic" w:cs="Simplified Arabic"/>
          <w:sz w:val="24"/>
          <w:szCs w:val="24"/>
          <w:lang w:val="en-US"/>
        </w:rPr>
        <w:t xml:space="preserve"> </w:t>
      </w:r>
      <w:r w:rsidRPr="00C75CAD">
        <w:rPr>
          <w:rFonts w:ascii="Simplified Arabic" w:hAnsi="Simplified Arabic" w:cs="Simplified Arabic" w:hint="cs"/>
          <w:sz w:val="24"/>
          <w:szCs w:val="24"/>
          <w:rtl/>
          <w:lang w:val="en-US"/>
        </w:rPr>
        <w:t>قد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هيمن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وزاد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بشكل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كبير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في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مجالات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المعرفة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المتنوعة،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كل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هذا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يشير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إلى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أن</w:t>
      </w:r>
      <w:r w:rsidRPr="00C75CAD">
        <w:rPr>
          <w:rFonts w:asciiTheme="minorBidi" w:hAnsiTheme="minorBidi" w:cs="Arial"/>
          <w:sz w:val="28"/>
          <w:szCs w:val="28"/>
          <w:rtl/>
          <w:lang w:val="en-US"/>
        </w:rPr>
        <w:t xml:space="preserve"> </w:t>
      </w:r>
      <w:r w:rsidRPr="00C75CAD">
        <w:rPr>
          <w:rFonts w:ascii="Times New Roman" w:hAnsi="Times New Roman" w:cs="Times New Roman"/>
          <w:bCs/>
          <w:color w:val="000000"/>
          <w:sz w:val="24"/>
          <w:szCs w:val="24"/>
          <w:rtl/>
        </w:rPr>
        <w:t>(</w:t>
      </w:r>
      <w:r w:rsidRPr="00C75CAD">
        <w:rPr>
          <w:rFonts w:ascii="Times New Roman" w:hAnsi="Times New Roman" w:cs="Times New Roman"/>
          <w:bCs/>
          <w:color w:val="000000"/>
          <w:sz w:val="24"/>
          <w:szCs w:val="24"/>
        </w:rPr>
        <w:t>AHP</w:t>
      </w:r>
      <w:r w:rsidRPr="00C75CAD">
        <w:rPr>
          <w:rFonts w:ascii="Times New Roman" w:hAnsi="Times New Roman" w:cs="Times New Roman"/>
          <w:bCs/>
          <w:color w:val="000000"/>
          <w:sz w:val="24"/>
          <w:szCs w:val="24"/>
          <w:rtl/>
        </w:rPr>
        <w:t>)</w:t>
      </w:r>
      <w:r w:rsidRPr="00C75CAD">
        <w:rPr>
          <w:rFonts w:ascii="Simplified Arabic" w:hAnsi="Simplified Arabic" w:cs="Simplified Arabic"/>
          <w:sz w:val="24"/>
          <w:szCs w:val="24"/>
          <w:lang w:val="en-US"/>
        </w:rPr>
        <w:t xml:space="preserve"> </w:t>
      </w:r>
      <w:r w:rsidRPr="00C75CAD">
        <w:rPr>
          <w:rFonts w:ascii="Simplified Arabic" w:hAnsi="Simplified Arabic" w:cs="Simplified Arabic" w:hint="cs"/>
          <w:sz w:val="24"/>
          <w:szCs w:val="24"/>
          <w:rtl/>
          <w:lang w:val="en-US"/>
        </w:rPr>
        <w:t>هو</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النهج</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الأكثر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ملائمة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لتطوير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نظام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ترجيح</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للمؤشرات</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المرونة الحضرية</w:t>
      </w:r>
      <w:r w:rsidRPr="00C75CAD">
        <w:rPr>
          <w:rFonts w:asciiTheme="minorBidi" w:hAnsiTheme="minorBidi" w:cs="Arial"/>
          <w:sz w:val="28"/>
          <w:szCs w:val="28"/>
          <w:rtl/>
          <w:lang w:val="en-US"/>
        </w:rPr>
        <w:t xml:space="preserve"> </w:t>
      </w:r>
      <w:r w:rsidRPr="00C75CAD">
        <w:rPr>
          <w:rFonts w:asciiTheme="majorBidi" w:hAnsiTheme="majorBidi" w:cstheme="majorBidi"/>
          <w:color w:val="000000" w:themeColor="text1"/>
          <w:sz w:val="24"/>
          <w:szCs w:val="24"/>
          <w:rtl/>
          <w:lang w:val="en-US" w:bidi="ar-DZ"/>
        </w:rPr>
        <w:t>(</w:t>
      </w:r>
      <w:r w:rsidRPr="00C75CAD">
        <w:rPr>
          <w:rFonts w:asciiTheme="majorBidi" w:hAnsiTheme="majorBidi" w:cstheme="majorBidi"/>
          <w:color w:val="000000" w:themeColor="text1"/>
          <w:sz w:val="24"/>
          <w:szCs w:val="24"/>
          <w:lang w:bidi="ar-DZ"/>
        </w:rPr>
        <w:t xml:space="preserve">Haghighi Fard </w:t>
      </w:r>
      <w:r w:rsidRPr="00C75CAD">
        <w:rPr>
          <w:rFonts w:asciiTheme="majorBidi" w:hAnsiTheme="majorBidi" w:cstheme="majorBidi"/>
          <w:color w:val="000000"/>
          <w:sz w:val="24"/>
          <w:szCs w:val="24"/>
        </w:rPr>
        <w:t xml:space="preserve">&amp; </w:t>
      </w:r>
      <w:r w:rsidRPr="00C75CAD">
        <w:rPr>
          <w:rFonts w:asciiTheme="majorBidi" w:hAnsiTheme="majorBidi" w:cstheme="majorBidi"/>
          <w:color w:val="000000" w:themeColor="text1"/>
          <w:sz w:val="24"/>
          <w:szCs w:val="24"/>
          <w:lang w:bidi="ar-DZ"/>
        </w:rPr>
        <w:t>Doratli,</w:t>
      </w:r>
      <w:r w:rsidRPr="00C75CAD">
        <w:rPr>
          <w:rFonts w:asciiTheme="majorBidi" w:hAnsiTheme="majorBidi" w:cstheme="majorBidi"/>
          <w:sz w:val="24"/>
          <w:szCs w:val="24"/>
        </w:rPr>
        <w:t xml:space="preserve"> </w:t>
      </w:r>
      <w:r w:rsidRPr="00C75CAD">
        <w:rPr>
          <w:rFonts w:asciiTheme="majorBidi" w:hAnsiTheme="majorBidi" w:cstheme="majorBidi"/>
          <w:color w:val="000000" w:themeColor="text1"/>
          <w:sz w:val="24"/>
          <w:szCs w:val="24"/>
          <w:lang w:bidi="ar-DZ"/>
        </w:rPr>
        <w:t>2022</w:t>
      </w:r>
      <w:r w:rsidRPr="00C75CAD">
        <w:rPr>
          <w:rFonts w:asciiTheme="majorBidi" w:hAnsiTheme="majorBidi" w:cstheme="majorBidi" w:hint="cs"/>
          <w:color w:val="000000" w:themeColor="text1"/>
          <w:rtl/>
          <w:lang w:val="en-US" w:bidi="ar-DZ"/>
        </w:rPr>
        <w:t xml:space="preserve"> </w:t>
      </w:r>
      <w:r w:rsidRPr="00C75CAD">
        <w:rPr>
          <w:rFonts w:asciiTheme="majorBidi" w:hAnsiTheme="majorBidi" w:cstheme="majorBidi"/>
          <w:sz w:val="24"/>
          <w:szCs w:val="24"/>
        </w:rPr>
        <w:t>Mahmodinia et al., 2021;</w:t>
      </w:r>
      <w:r w:rsidRPr="00C75CAD">
        <w:rPr>
          <w:rStyle w:val="y2iqfc"/>
          <w:rFonts w:asciiTheme="majorBidi" w:hAnsiTheme="majorBidi" w:cstheme="majorBidi"/>
          <w:color w:val="202124"/>
          <w:sz w:val="24"/>
          <w:szCs w:val="24"/>
          <w:rtl/>
          <w:lang w:bidi="ar"/>
        </w:rPr>
        <w:t xml:space="preserve"> </w:t>
      </w:r>
      <w:r w:rsidRPr="00C75CAD">
        <w:rPr>
          <w:rStyle w:val="y2iqfc"/>
          <w:rFonts w:asciiTheme="majorBidi" w:hAnsiTheme="majorBidi" w:cstheme="majorBidi"/>
          <w:color w:val="202124"/>
          <w:sz w:val="24"/>
          <w:szCs w:val="24"/>
          <w:lang w:bidi="ar"/>
        </w:rPr>
        <w:t>Davoudabadi</w:t>
      </w:r>
      <w:r w:rsidRPr="00C75CAD">
        <w:rPr>
          <w:rFonts w:asciiTheme="majorBidi" w:hAnsiTheme="majorBidi" w:cstheme="majorBidi"/>
          <w:sz w:val="24"/>
          <w:szCs w:val="24"/>
        </w:rPr>
        <w:t xml:space="preserve"> et al., 2020;</w:t>
      </w:r>
      <w:r w:rsidRPr="00C75CAD">
        <w:rPr>
          <w:rStyle w:val="y2iqfc"/>
          <w:rFonts w:asciiTheme="majorBidi" w:hAnsiTheme="majorBidi" w:cstheme="majorBidi"/>
          <w:color w:val="202124"/>
          <w:sz w:val="24"/>
          <w:szCs w:val="24"/>
          <w:rtl/>
          <w:lang w:val="en-US" w:bidi="ar"/>
        </w:rPr>
        <w:t>)</w:t>
      </w:r>
      <w:r w:rsidRPr="00C75CAD">
        <w:rPr>
          <w:rFonts w:asciiTheme="minorBidi" w:hAnsiTheme="minorBidi" w:cs="Arial"/>
          <w:sz w:val="28"/>
          <w:szCs w:val="28"/>
          <w:rtl/>
          <w:lang w:val="en-US"/>
        </w:rPr>
        <w:t>.</w:t>
      </w:r>
    </w:p>
    <w:p w:rsidR="000B42BD" w:rsidRPr="00CB5D86" w:rsidRDefault="000B42BD" w:rsidP="001D0548">
      <w:pPr>
        <w:pStyle w:val="PrformatHTML"/>
        <w:numPr>
          <w:ilvl w:val="3"/>
          <w:numId w:val="137"/>
        </w:numPr>
        <w:tabs>
          <w:tab w:val="clear" w:pos="916"/>
          <w:tab w:val="clear" w:pos="1832"/>
          <w:tab w:val="clear" w:pos="2748"/>
          <w:tab w:val="clear" w:pos="3664"/>
          <w:tab w:val="clear" w:pos="4580"/>
          <w:tab w:val="clear" w:pos="5496"/>
          <w:tab w:val="clear" w:pos="6412"/>
          <w:tab w:val="clear" w:pos="7328"/>
          <w:tab w:val="clear" w:pos="8244"/>
          <w:tab w:val="clear" w:pos="9160"/>
          <w:tab w:val="left" w:pos="992"/>
        </w:tabs>
        <w:bidi/>
        <w:spacing w:before="240" w:line="276" w:lineRule="auto"/>
        <w:ind w:left="0" w:firstLine="0"/>
        <w:jc w:val="both"/>
        <w:outlineLvl w:val="2"/>
        <w:rPr>
          <w:rFonts w:ascii="Simplified Arabic" w:hAnsi="Simplified Arabic" w:cs="Simplified Arabic"/>
          <w:b/>
          <w:bCs/>
          <w:sz w:val="24"/>
          <w:szCs w:val="24"/>
        </w:rPr>
      </w:pPr>
      <w:bookmarkStart w:id="423" w:name="_Toc171803527"/>
      <w:r w:rsidRPr="002C3903">
        <w:rPr>
          <w:rFonts w:ascii="Simplified Arabic" w:hAnsi="Simplified Arabic" w:cs="Simplified Arabic" w:hint="cs"/>
          <w:b/>
          <w:bCs/>
          <w:sz w:val="24"/>
          <w:szCs w:val="24"/>
          <w:rtl/>
        </w:rPr>
        <w:t>تطبيق</w:t>
      </w:r>
      <w:r w:rsidRPr="002C3903">
        <w:rPr>
          <w:rFonts w:ascii="Simplified Arabic" w:hAnsi="Simplified Arabic" w:cs="Simplified Arabic"/>
          <w:b/>
          <w:bCs/>
          <w:sz w:val="24"/>
          <w:szCs w:val="24"/>
          <w:rtl/>
        </w:rPr>
        <w:t xml:space="preserve"> </w:t>
      </w:r>
      <w:r w:rsidRPr="000E53F3">
        <w:rPr>
          <w:rFonts w:asciiTheme="majorBidi" w:hAnsiTheme="majorBidi" w:cstheme="majorBidi"/>
          <w:b/>
          <w:bCs/>
          <w:sz w:val="24"/>
          <w:szCs w:val="24"/>
          <w:rtl/>
        </w:rPr>
        <w:t>(</w:t>
      </w:r>
      <w:r w:rsidRPr="000E53F3">
        <w:rPr>
          <w:rFonts w:asciiTheme="majorBidi" w:hAnsiTheme="majorBidi" w:cstheme="majorBidi"/>
          <w:sz w:val="24"/>
          <w:szCs w:val="24"/>
        </w:rPr>
        <w:t>AHP</w:t>
      </w:r>
      <w:r w:rsidRPr="000E53F3">
        <w:rPr>
          <w:rFonts w:asciiTheme="majorBidi" w:hAnsiTheme="majorBidi" w:cstheme="majorBidi"/>
          <w:b/>
          <w:bCs/>
          <w:sz w:val="24"/>
          <w:szCs w:val="24"/>
          <w:rtl/>
        </w:rPr>
        <w:t>)</w:t>
      </w:r>
      <w:bookmarkEnd w:id="423"/>
    </w:p>
    <w:p w:rsidR="000B42BD" w:rsidRDefault="000B42BD" w:rsidP="002E7C71">
      <w:pPr>
        <w:pStyle w:val="PrformatHTML"/>
        <w:bidi/>
        <w:spacing w:line="276" w:lineRule="auto"/>
        <w:ind w:firstLine="282"/>
        <w:jc w:val="both"/>
        <w:rPr>
          <w:rStyle w:val="y2iqfc"/>
          <w:rFonts w:ascii="Simplified Arabic" w:hAnsi="Simplified Arabic" w:cs="Simplified Arabic"/>
          <w:color w:val="202124"/>
          <w:sz w:val="24"/>
          <w:szCs w:val="24"/>
          <w:rtl/>
          <w:lang w:bidi="ar"/>
        </w:rPr>
      </w:pPr>
      <w:r w:rsidRPr="006815BF">
        <w:rPr>
          <w:rFonts w:ascii="Simplified Arabic" w:hAnsi="Simplified Arabic" w:cs="Simplified Arabic" w:hint="cs"/>
          <w:sz w:val="24"/>
          <w:szCs w:val="24"/>
          <w:rtl/>
          <w:lang w:val="en-US"/>
        </w:rPr>
        <w:t>استخدم</w:t>
      </w:r>
      <w:r w:rsidRPr="006815B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هذا البحث نظام ترجيح </w:t>
      </w:r>
      <w:r w:rsidRPr="006815BF">
        <w:rPr>
          <w:rFonts w:ascii="Simplified Arabic" w:hAnsi="Simplified Arabic" w:cs="Simplified Arabic" w:hint="cs"/>
          <w:sz w:val="24"/>
          <w:szCs w:val="24"/>
          <w:rtl/>
          <w:lang w:val="en-US"/>
        </w:rPr>
        <w:t>مناسب</w:t>
      </w:r>
      <w:r>
        <w:rPr>
          <w:rFonts w:ascii="Simplified Arabic" w:hAnsi="Simplified Arabic" w:cs="Simplified Arabic" w:hint="cs"/>
          <w:sz w:val="24"/>
          <w:szCs w:val="24"/>
          <w:rtl/>
          <w:lang w:val="en-US"/>
        </w:rPr>
        <w:t xml:space="preserve"> لأوزان العوامل</w:t>
      </w:r>
      <w:r w:rsidRPr="00034E53">
        <w:rPr>
          <w:rFonts w:ascii="Simplified Arabic" w:hAnsi="Simplified Arabic" w:cs="Simplified Arabic"/>
          <w:sz w:val="24"/>
          <w:szCs w:val="24"/>
          <w:rtl/>
          <w:lang w:val="en-US"/>
        </w:rPr>
        <w:t xml:space="preserve"> </w:t>
      </w:r>
      <w:r w:rsidRPr="00034E53">
        <w:rPr>
          <w:rFonts w:ascii="Simplified Arabic" w:hAnsi="Simplified Arabic" w:cs="Simplified Arabic" w:hint="cs"/>
          <w:sz w:val="24"/>
          <w:szCs w:val="24"/>
          <w:rtl/>
          <w:lang w:val="en-US"/>
        </w:rPr>
        <w:t>بتطبيق</w:t>
      </w:r>
      <w:r>
        <w:rPr>
          <w:rFonts w:ascii="Times New Roman" w:hAnsi="Times New Roman" w:cs="Times New Roman" w:hint="cs"/>
          <w:bCs/>
          <w:color w:val="000000"/>
          <w:sz w:val="24"/>
          <w:szCs w:val="24"/>
          <w:rtl/>
        </w:rPr>
        <w:t xml:space="preserve"> </w:t>
      </w:r>
      <w:r w:rsidRPr="00F5741E">
        <w:rPr>
          <w:rFonts w:ascii="Times New Roman" w:hAnsi="Times New Roman" w:cs="Times New Roman"/>
          <w:bCs/>
          <w:color w:val="000000"/>
          <w:sz w:val="24"/>
          <w:szCs w:val="24"/>
          <w:rtl/>
        </w:rPr>
        <w:t>(</w:t>
      </w:r>
      <w:r w:rsidRPr="00F5741E">
        <w:rPr>
          <w:rFonts w:ascii="Times New Roman" w:hAnsi="Times New Roman" w:cs="Times New Roman"/>
          <w:bCs/>
          <w:color w:val="000000"/>
          <w:sz w:val="24"/>
          <w:szCs w:val="24"/>
        </w:rPr>
        <w:t>AHP</w:t>
      </w:r>
      <w:r w:rsidRPr="00F5741E">
        <w:rPr>
          <w:rFonts w:ascii="Times New Roman" w:hAnsi="Times New Roman" w:cs="Times New Roman"/>
          <w:bCs/>
          <w:color w:val="000000"/>
          <w:sz w:val="24"/>
          <w:szCs w:val="24"/>
          <w:rtl/>
        </w:rPr>
        <w:t>)</w:t>
      </w:r>
      <w:r w:rsidRPr="006815BF">
        <w:rPr>
          <w:rFonts w:ascii="Simplified Arabic" w:hAnsi="Simplified Arabic" w:cs="Simplified Arabic" w:hint="cs"/>
          <w:sz w:val="24"/>
          <w:szCs w:val="24"/>
          <w:rtl/>
          <w:lang w:val="en-US"/>
        </w:rPr>
        <w:t>،</w:t>
      </w:r>
      <w:r w:rsidRPr="006815B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بغية ترتيب</w:t>
      </w:r>
      <w:r w:rsidRPr="006815BF">
        <w:rPr>
          <w:rFonts w:ascii="Simplified Arabic" w:hAnsi="Simplified Arabic" w:cs="Simplified Arabic"/>
          <w:sz w:val="24"/>
          <w:szCs w:val="24"/>
          <w:rtl/>
          <w:lang w:val="en-US"/>
        </w:rPr>
        <w:t xml:space="preserve"> </w:t>
      </w:r>
      <w:r w:rsidRPr="006815BF">
        <w:rPr>
          <w:rFonts w:ascii="Simplified Arabic" w:hAnsi="Simplified Arabic" w:cs="Simplified Arabic" w:hint="cs"/>
          <w:sz w:val="24"/>
          <w:szCs w:val="24"/>
          <w:rtl/>
          <w:lang w:val="en-US"/>
        </w:rPr>
        <w:t>عوامل</w:t>
      </w:r>
      <w:r w:rsidRPr="006815BF">
        <w:rPr>
          <w:rFonts w:ascii="Simplified Arabic" w:hAnsi="Simplified Arabic" w:cs="Simplified Arabic"/>
          <w:sz w:val="24"/>
          <w:szCs w:val="24"/>
          <w:rtl/>
          <w:lang w:val="en-US"/>
        </w:rPr>
        <w:t xml:space="preserve"> </w:t>
      </w:r>
      <w:r>
        <w:rPr>
          <w:rStyle w:val="y2iqfc"/>
          <w:rFonts w:ascii="Simplified Arabic" w:hAnsi="Simplified Arabic" w:cs="Simplified Arabic" w:hint="cs"/>
          <w:color w:val="202124"/>
          <w:sz w:val="24"/>
          <w:szCs w:val="24"/>
          <w:rtl/>
          <w:lang w:bidi="ar"/>
        </w:rPr>
        <w:t>(معايير)</w:t>
      </w:r>
      <w:r w:rsidRPr="003F146D">
        <w:rPr>
          <w:rStyle w:val="y2iqfc"/>
          <w:rFonts w:ascii="Simplified Arabic" w:hAnsi="Simplified Arabic" w:cs="Simplified Arabic" w:hint="cs"/>
          <w:color w:val="202124"/>
          <w:sz w:val="24"/>
          <w:szCs w:val="24"/>
          <w:rtl/>
          <w:lang w:bidi="ar"/>
        </w:rPr>
        <w:t xml:space="preserve"> </w:t>
      </w:r>
      <w:r w:rsidRPr="006815BF">
        <w:rPr>
          <w:rFonts w:ascii="Simplified Arabic" w:hAnsi="Simplified Arabic" w:cs="Simplified Arabic" w:hint="cs"/>
          <w:sz w:val="24"/>
          <w:szCs w:val="24"/>
          <w:rtl/>
          <w:lang w:val="en-US"/>
        </w:rPr>
        <w:t>تقييم</w:t>
      </w:r>
      <w:r w:rsidRPr="006815BF">
        <w:rPr>
          <w:rFonts w:ascii="Simplified Arabic" w:hAnsi="Simplified Arabic" w:cs="Simplified Arabic"/>
          <w:sz w:val="24"/>
          <w:szCs w:val="24"/>
          <w:rtl/>
          <w:lang w:val="en-US"/>
        </w:rPr>
        <w:t xml:space="preserve"> </w:t>
      </w:r>
      <w:r w:rsidRPr="006815BF">
        <w:rPr>
          <w:rFonts w:ascii="Simplified Arabic" w:hAnsi="Simplified Arabic" w:cs="Simplified Arabic" w:hint="cs"/>
          <w:sz w:val="24"/>
          <w:szCs w:val="24"/>
          <w:rtl/>
          <w:lang w:val="en-US"/>
        </w:rPr>
        <w:t>المرونة</w:t>
      </w:r>
      <w:r w:rsidRPr="006815BF">
        <w:rPr>
          <w:rFonts w:ascii="Simplified Arabic" w:hAnsi="Simplified Arabic" w:cs="Simplified Arabic"/>
          <w:sz w:val="24"/>
          <w:szCs w:val="24"/>
          <w:rtl/>
          <w:lang w:val="en-US"/>
        </w:rPr>
        <w:t xml:space="preserve"> </w:t>
      </w:r>
      <w:r w:rsidRPr="006815BF">
        <w:rPr>
          <w:rFonts w:ascii="Simplified Arabic" w:hAnsi="Simplified Arabic" w:cs="Simplified Arabic" w:hint="cs"/>
          <w:sz w:val="24"/>
          <w:szCs w:val="24"/>
          <w:rtl/>
          <w:lang w:val="en-US"/>
        </w:rPr>
        <w:t>الحضرية</w:t>
      </w:r>
      <w:r w:rsidRPr="006815B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حسب الاولوية. </w:t>
      </w:r>
      <w:r w:rsidRPr="00E548DE">
        <w:rPr>
          <w:rStyle w:val="y2iqfc"/>
          <w:rFonts w:ascii="Simplified Arabic" w:hAnsi="Simplified Arabic" w:cs="Simplified Arabic" w:hint="cs"/>
          <w:color w:val="202124"/>
          <w:sz w:val="24"/>
          <w:szCs w:val="24"/>
          <w:rtl/>
          <w:lang w:bidi="ar"/>
        </w:rPr>
        <w:t>يتم</w:t>
      </w:r>
      <w:r w:rsidRPr="00E548DE">
        <w:rPr>
          <w:rStyle w:val="y2iqfc"/>
          <w:rFonts w:ascii="Simplified Arabic" w:hAnsi="Simplified Arabic" w:cs="Simplified Arabic"/>
          <w:color w:val="202124"/>
          <w:sz w:val="24"/>
          <w:szCs w:val="24"/>
          <w:rtl/>
          <w:lang w:bidi="ar"/>
        </w:rPr>
        <w:t xml:space="preserve"> </w:t>
      </w:r>
      <w:r w:rsidRPr="00E548DE">
        <w:rPr>
          <w:rStyle w:val="y2iqfc"/>
          <w:rFonts w:ascii="Simplified Arabic" w:hAnsi="Simplified Arabic" w:cs="Simplified Arabic" w:hint="cs"/>
          <w:color w:val="202124"/>
          <w:sz w:val="24"/>
          <w:szCs w:val="24"/>
          <w:rtl/>
          <w:lang w:bidi="ar"/>
        </w:rPr>
        <w:t>توضيح</w:t>
      </w:r>
      <w:r w:rsidRPr="00E548DE">
        <w:rPr>
          <w:rStyle w:val="y2iqfc"/>
          <w:rFonts w:ascii="Simplified Arabic" w:hAnsi="Simplified Arabic" w:cs="Simplified Arabic"/>
          <w:color w:val="202124"/>
          <w:sz w:val="24"/>
          <w:szCs w:val="24"/>
          <w:rtl/>
          <w:lang w:bidi="ar"/>
        </w:rPr>
        <w:t xml:space="preserve"> </w:t>
      </w:r>
      <w:r w:rsidRPr="00E548DE">
        <w:rPr>
          <w:rStyle w:val="y2iqfc"/>
          <w:rFonts w:ascii="Simplified Arabic" w:hAnsi="Simplified Arabic" w:cs="Simplified Arabic" w:hint="cs"/>
          <w:color w:val="202124"/>
          <w:sz w:val="24"/>
          <w:szCs w:val="24"/>
          <w:rtl/>
          <w:lang w:bidi="ar"/>
        </w:rPr>
        <w:t>العملية</w:t>
      </w:r>
      <w:r w:rsidRPr="00E548DE">
        <w:rPr>
          <w:rStyle w:val="y2iqfc"/>
          <w:rFonts w:ascii="Simplified Arabic" w:hAnsi="Simplified Arabic" w:cs="Simplified Arabic"/>
          <w:color w:val="202124"/>
          <w:sz w:val="24"/>
          <w:szCs w:val="24"/>
          <w:rtl/>
          <w:lang w:bidi="ar"/>
        </w:rPr>
        <w:t xml:space="preserve"> </w:t>
      </w:r>
      <w:r w:rsidRPr="00E548DE">
        <w:rPr>
          <w:rStyle w:val="y2iqfc"/>
          <w:rFonts w:ascii="Simplified Arabic" w:hAnsi="Simplified Arabic" w:cs="Simplified Arabic" w:hint="cs"/>
          <w:color w:val="202124"/>
          <w:sz w:val="24"/>
          <w:szCs w:val="24"/>
          <w:rtl/>
          <w:lang w:bidi="ar"/>
        </w:rPr>
        <w:t>التشغيلية</w:t>
      </w:r>
      <w:r w:rsidRPr="00E548DE">
        <w:rPr>
          <w:rStyle w:val="y2iqfc"/>
          <w:rFonts w:ascii="Simplified Arabic" w:hAnsi="Simplified Arabic" w:cs="Simplified Arabic"/>
          <w:color w:val="202124"/>
          <w:sz w:val="24"/>
          <w:szCs w:val="24"/>
          <w:rtl/>
          <w:lang w:bidi="ar"/>
        </w:rPr>
        <w:t xml:space="preserve"> </w:t>
      </w:r>
      <w:r w:rsidRPr="00E548DE">
        <w:rPr>
          <w:rStyle w:val="y2iqfc"/>
          <w:rFonts w:ascii="Simplified Arabic" w:hAnsi="Simplified Arabic" w:cs="Simplified Arabic" w:hint="cs"/>
          <w:color w:val="202124"/>
          <w:sz w:val="24"/>
          <w:szCs w:val="24"/>
          <w:rtl/>
          <w:lang w:bidi="ar"/>
        </w:rPr>
        <w:t>لبرنامج</w:t>
      </w:r>
      <w:r w:rsidRPr="00E548DE">
        <w:rPr>
          <w:rStyle w:val="y2iqfc"/>
          <w:rFonts w:ascii="Simplified Arabic" w:hAnsi="Simplified Arabic" w:cs="Simplified Arabic"/>
          <w:color w:val="202124"/>
          <w:sz w:val="24"/>
          <w:szCs w:val="24"/>
          <w:lang w:bidi="ar"/>
        </w:rPr>
        <w:t xml:space="preserve"> </w:t>
      </w:r>
      <w:r w:rsidRPr="00F5741E">
        <w:rPr>
          <w:rFonts w:ascii="Times New Roman" w:hAnsi="Times New Roman" w:cs="Times New Roman"/>
          <w:bCs/>
          <w:color w:val="000000"/>
          <w:sz w:val="24"/>
          <w:szCs w:val="24"/>
          <w:rtl/>
        </w:rPr>
        <w:t>(</w:t>
      </w:r>
      <w:r w:rsidRPr="00F5741E">
        <w:rPr>
          <w:rFonts w:ascii="Times New Roman" w:hAnsi="Times New Roman" w:cs="Times New Roman"/>
          <w:bCs/>
          <w:color w:val="000000"/>
          <w:sz w:val="24"/>
          <w:szCs w:val="24"/>
        </w:rPr>
        <w:t>AHP</w:t>
      </w:r>
      <w:r w:rsidRPr="00F5741E">
        <w:rPr>
          <w:rFonts w:ascii="Times New Roman" w:hAnsi="Times New Roman" w:cs="Times New Roman"/>
          <w:bCs/>
          <w:color w:val="000000"/>
          <w:sz w:val="24"/>
          <w:szCs w:val="24"/>
          <w:rtl/>
        </w:rPr>
        <w:t>)</w:t>
      </w:r>
      <w:r>
        <w:rPr>
          <w:rFonts w:ascii="Times New Roman" w:hAnsi="Times New Roman" w:cs="Times New Roman" w:hint="cs"/>
          <w:bCs/>
          <w:color w:val="000000"/>
          <w:sz w:val="24"/>
          <w:szCs w:val="24"/>
          <w:rtl/>
        </w:rPr>
        <w:t xml:space="preserve"> </w:t>
      </w:r>
      <w:r w:rsidRPr="00E548DE">
        <w:rPr>
          <w:rStyle w:val="y2iqfc"/>
          <w:rFonts w:ascii="Simplified Arabic" w:hAnsi="Simplified Arabic" w:cs="Simplified Arabic" w:hint="cs"/>
          <w:color w:val="202124"/>
          <w:sz w:val="24"/>
          <w:szCs w:val="24"/>
          <w:rtl/>
          <w:lang w:bidi="ar"/>
        </w:rPr>
        <w:t>في</w:t>
      </w:r>
      <w:r w:rsidRPr="00E548DE">
        <w:rPr>
          <w:rStyle w:val="y2iqfc"/>
          <w:rFonts w:ascii="Simplified Arabic" w:hAnsi="Simplified Arabic" w:cs="Simplified Arabic"/>
          <w:color w:val="202124"/>
          <w:sz w:val="24"/>
          <w:szCs w:val="24"/>
          <w:rtl/>
          <w:lang w:bidi="ar"/>
        </w:rPr>
        <w:t xml:space="preserve"> </w:t>
      </w:r>
      <w:r w:rsidRPr="00E548DE">
        <w:rPr>
          <w:rStyle w:val="y2iqfc"/>
          <w:rFonts w:ascii="Simplified Arabic" w:hAnsi="Simplified Arabic" w:cs="Simplified Arabic" w:hint="cs"/>
          <w:color w:val="202124"/>
          <w:sz w:val="24"/>
          <w:szCs w:val="24"/>
          <w:rtl/>
          <w:lang w:bidi="ar"/>
        </w:rPr>
        <w:t>الشكل</w:t>
      </w:r>
      <w:r w:rsidRPr="00E548DE">
        <w:rPr>
          <w:rStyle w:val="y2iqfc"/>
          <w:rFonts w:ascii="Simplified Arabic" w:hAnsi="Simplified Arabic" w:cs="Simplified Arabic"/>
          <w:color w:val="202124"/>
          <w:sz w:val="24"/>
          <w:szCs w:val="24"/>
          <w:rtl/>
          <w:lang w:bidi="ar"/>
        </w:rPr>
        <w:t xml:space="preserve"> </w:t>
      </w:r>
      <w:r>
        <w:rPr>
          <w:rStyle w:val="y2iqfc"/>
          <w:rFonts w:ascii="Simplified Arabic" w:hAnsi="Simplified Arabic" w:cs="Simplified Arabic" w:hint="cs"/>
          <w:color w:val="202124"/>
          <w:sz w:val="24"/>
          <w:szCs w:val="24"/>
          <w:rtl/>
          <w:lang w:bidi="ar"/>
        </w:rPr>
        <w:t>(</w:t>
      </w:r>
      <w:r w:rsidR="002E7C71">
        <w:rPr>
          <w:rStyle w:val="y2iqfc"/>
          <w:rFonts w:ascii="Simplified Arabic" w:hAnsi="Simplified Arabic" w:cs="Simplified Arabic" w:hint="cs"/>
          <w:color w:val="202124"/>
          <w:sz w:val="24"/>
          <w:szCs w:val="24"/>
          <w:rtl/>
          <w:lang w:bidi="ar"/>
        </w:rPr>
        <w:t>3-6</w:t>
      </w:r>
      <w:r>
        <w:rPr>
          <w:rStyle w:val="y2iqfc"/>
          <w:rFonts w:ascii="Simplified Arabic" w:hAnsi="Simplified Arabic" w:cs="Simplified Arabic" w:hint="cs"/>
          <w:color w:val="202124"/>
          <w:sz w:val="24"/>
          <w:szCs w:val="24"/>
          <w:rtl/>
          <w:lang w:bidi="ar"/>
        </w:rPr>
        <w:t>).</w:t>
      </w:r>
    </w:p>
    <w:p w:rsidR="000B42BD" w:rsidRDefault="000B42BD" w:rsidP="003A1DB8">
      <w:pPr>
        <w:pStyle w:val="fegure"/>
        <w:spacing w:before="240"/>
        <w:rPr>
          <w:sz w:val="8"/>
          <w:szCs w:val="24"/>
          <w:rtl/>
        </w:rPr>
      </w:pPr>
      <w:bookmarkStart w:id="424" w:name="_Toc157608309"/>
      <w:bookmarkStart w:id="425" w:name="_Toc171803528"/>
      <w:r w:rsidRPr="00264FC1">
        <w:rPr>
          <w:sz w:val="8"/>
          <w:szCs w:val="24"/>
          <w:rtl/>
        </w:rPr>
        <w:t xml:space="preserve">الشكل </w:t>
      </w:r>
      <w:r w:rsidRPr="00264FC1">
        <w:rPr>
          <w:rFonts w:hint="cs"/>
          <w:sz w:val="8"/>
          <w:szCs w:val="24"/>
          <w:rtl/>
        </w:rPr>
        <w:t>(</w:t>
      </w:r>
      <w:r w:rsidR="002E7C71" w:rsidRPr="00264FC1">
        <w:rPr>
          <w:rFonts w:hint="cs"/>
          <w:sz w:val="8"/>
          <w:szCs w:val="24"/>
          <w:rtl/>
        </w:rPr>
        <w:t>3-6</w:t>
      </w:r>
      <w:r w:rsidRPr="00264FC1">
        <w:rPr>
          <w:rFonts w:hint="cs"/>
          <w:sz w:val="8"/>
          <w:szCs w:val="24"/>
          <w:rtl/>
        </w:rPr>
        <w:t>)</w:t>
      </w:r>
      <w:r w:rsidRPr="00264FC1">
        <w:rPr>
          <w:sz w:val="8"/>
          <w:szCs w:val="24"/>
          <w:rtl/>
        </w:rPr>
        <w:t xml:space="preserve">: </w:t>
      </w:r>
      <w:r w:rsidRPr="00264FC1">
        <w:rPr>
          <w:rFonts w:hint="cs"/>
          <w:sz w:val="8"/>
          <w:szCs w:val="24"/>
          <w:rtl/>
        </w:rPr>
        <w:t xml:space="preserve">خطوات </w:t>
      </w:r>
      <w:r w:rsidRPr="00264FC1">
        <w:rPr>
          <w:rStyle w:val="y2iqfc"/>
          <w:rFonts w:eastAsia="Times New Roman" w:hint="cs"/>
          <w:color w:val="202124"/>
          <w:sz w:val="8"/>
          <w:szCs w:val="24"/>
          <w:rtl/>
          <w:lang w:eastAsia="fr-FR" w:bidi="ar"/>
        </w:rPr>
        <w:t>العملية</w:t>
      </w:r>
      <w:r w:rsidRPr="00264FC1">
        <w:rPr>
          <w:rStyle w:val="y2iqfc"/>
          <w:rFonts w:eastAsia="Times New Roman"/>
          <w:color w:val="202124"/>
          <w:sz w:val="8"/>
          <w:szCs w:val="24"/>
          <w:rtl/>
          <w:lang w:eastAsia="fr-FR" w:bidi="ar"/>
        </w:rPr>
        <w:t xml:space="preserve"> </w:t>
      </w:r>
      <w:r w:rsidRPr="00264FC1">
        <w:rPr>
          <w:rStyle w:val="y2iqfc"/>
          <w:rFonts w:eastAsia="Times New Roman" w:hint="cs"/>
          <w:color w:val="202124"/>
          <w:sz w:val="8"/>
          <w:szCs w:val="24"/>
          <w:rtl/>
          <w:lang w:eastAsia="fr-FR" w:bidi="ar"/>
        </w:rPr>
        <w:t>التشغيلية</w:t>
      </w:r>
      <w:r w:rsidRPr="00264FC1">
        <w:rPr>
          <w:rStyle w:val="y2iqfc"/>
          <w:rFonts w:eastAsia="Times New Roman"/>
          <w:color w:val="202124"/>
          <w:sz w:val="8"/>
          <w:szCs w:val="24"/>
          <w:rtl/>
          <w:lang w:eastAsia="fr-FR" w:bidi="ar"/>
        </w:rPr>
        <w:t xml:space="preserve"> </w:t>
      </w:r>
      <w:r w:rsidRPr="00264FC1">
        <w:rPr>
          <w:rStyle w:val="y2iqfc"/>
          <w:rFonts w:eastAsia="Times New Roman" w:hint="cs"/>
          <w:color w:val="202124"/>
          <w:sz w:val="8"/>
          <w:szCs w:val="24"/>
          <w:rtl/>
          <w:lang w:eastAsia="fr-FR" w:bidi="ar"/>
        </w:rPr>
        <w:t>لبرنامج</w:t>
      </w:r>
      <w:r w:rsidRPr="00264FC1">
        <w:rPr>
          <w:rStyle w:val="y2iqfc"/>
          <w:rFonts w:eastAsia="Times New Roman"/>
          <w:color w:val="202124"/>
          <w:sz w:val="8"/>
          <w:szCs w:val="24"/>
          <w:lang w:eastAsia="fr-FR" w:bidi="ar"/>
        </w:rPr>
        <w:t xml:space="preserve"> </w:t>
      </w:r>
      <w:r w:rsidRPr="00264FC1">
        <w:rPr>
          <w:sz w:val="8"/>
          <w:szCs w:val="24"/>
          <w:rtl/>
        </w:rPr>
        <w:t>(</w:t>
      </w:r>
      <w:r w:rsidRPr="00597092">
        <w:rPr>
          <w:rFonts w:asciiTheme="majorBidi" w:hAnsiTheme="majorBidi" w:cstheme="majorBidi"/>
        </w:rPr>
        <w:t>AHP</w:t>
      </w:r>
      <w:r w:rsidRPr="00264FC1">
        <w:rPr>
          <w:sz w:val="8"/>
          <w:szCs w:val="24"/>
          <w:rtl/>
        </w:rPr>
        <w:t>)</w:t>
      </w:r>
      <w:bookmarkEnd w:id="424"/>
      <w:bookmarkEnd w:id="425"/>
    </w:p>
    <w:p w:rsidR="005135C8" w:rsidRPr="005135C8" w:rsidRDefault="005135C8" w:rsidP="005135C8">
      <w:pPr>
        <w:pStyle w:val="fegure"/>
        <w:rPr>
          <w:sz w:val="8"/>
          <w:szCs w:val="24"/>
          <w:lang w:val="en-US"/>
        </w:rPr>
      </w:pPr>
      <w:bookmarkStart w:id="426" w:name="_Toc171803529"/>
      <w:r>
        <w:rPr>
          <w:rFonts w:hint="cs"/>
          <w:sz w:val="8"/>
          <w:szCs w:val="24"/>
          <w:rtl/>
          <w:lang w:val="en-US"/>
        </w:rPr>
        <w:t>المصدر: (الباحث، 2022)</w:t>
      </w:r>
      <w:bookmarkEnd w:id="426"/>
    </w:p>
    <w:p w:rsidR="00C02010" w:rsidRDefault="00C02010" w:rsidP="00BD6E25">
      <w:pPr>
        <w:pStyle w:val="Default"/>
        <w:bidi/>
        <w:jc w:val="center"/>
        <w:rPr>
          <w:rFonts w:ascii="Simplified Arabic" w:hAnsi="Simplified Arabic" w:cs="Simplified Arabic"/>
          <w:noProof/>
          <w:rtl/>
          <w:lang w:eastAsia="fr-FR"/>
        </w:rPr>
      </w:pPr>
      <w:r>
        <w:rPr>
          <w:noProof/>
          <w:lang w:eastAsia="fr-FR"/>
        </w:rPr>
        <w:drawing>
          <wp:inline distT="0" distB="0" distL="0" distR="0" wp14:anchorId="26244E27" wp14:editId="59D6FF17">
            <wp:extent cx="4528868" cy="2218211"/>
            <wp:effectExtent l="19050" t="19050" r="24130" b="10795"/>
            <wp:docPr id="295" name="Imag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5"/>
                    <a:stretch>
                      <a:fillRect/>
                    </a:stretch>
                  </pic:blipFill>
                  <pic:spPr>
                    <a:xfrm>
                      <a:off x="0" y="0"/>
                      <a:ext cx="4521178" cy="2214445"/>
                    </a:xfrm>
                    <a:prstGeom prst="rect">
                      <a:avLst/>
                    </a:prstGeom>
                    <a:ln>
                      <a:solidFill>
                        <a:schemeClr val="tx1"/>
                      </a:solidFill>
                    </a:ln>
                  </pic:spPr>
                </pic:pic>
              </a:graphicData>
            </a:graphic>
          </wp:inline>
        </w:drawing>
      </w:r>
    </w:p>
    <w:p w:rsidR="000B42BD" w:rsidRPr="001B5153" w:rsidRDefault="000B42BD" w:rsidP="003A1DB8">
      <w:pPr>
        <w:pStyle w:val="Paragraphedeliste"/>
        <w:tabs>
          <w:tab w:val="right" w:pos="282"/>
          <w:tab w:val="right" w:pos="849"/>
        </w:tabs>
        <w:bidi/>
        <w:spacing w:before="240" w:after="0"/>
        <w:ind w:left="-1" w:firstLine="283"/>
        <w:jc w:val="both"/>
        <w:rPr>
          <w:rFonts w:ascii="Arial" w:hAnsi="Arial"/>
          <w:sz w:val="24"/>
          <w:szCs w:val="24"/>
          <w:rtl/>
        </w:rPr>
      </w:pPr>
      <w:r w:rsidRPr="004A7F1C">
        <w:rPr>
          <w:rFonts w:ascii="Simplified Arabic" w:hAnsi="Simplified Arabic" w:cs="Simplified Arabic" w:hint="cs"/>
          <w:sz w:val="24"/>
          <w:szCs w:val="24"/>
          <w:rtl/>
          <w:lang w:val="en-US"/>
        </w:rPr>
        <w:lastRenderedPageBreak/>
        <w:t>يعتمد</w:t>
      </w:r>
      <w:r w:rsidRPr="004A7F1C">
        <w:rPr>
          <w:rFonts w:ascii="Simplified Arabic" w:hAnsi="Simplified Arabic" w:cs="Simplified Arabic"/>
          <w:sz w:val="24"/>
          <w:szCs w:val="24"/>
          <w:rtl/>
          <w:lang w:val="en-US"/>
        </w:rPr>
        <w:t xml:space="preserve"> </w:t>
      </w:r>
      <w:r w:rsidRPr="004A7F1C">
        <w:rPr>
          <w:rFonts w:ascii="Simplified Arabic" w:hAnsi="Simplified Arabic" w:cs="Simplified Arabic" w:hint="cs"/>
          <w:sz w:val="24"/>
          <w:szCs w:val="24"/>
          <w:rtl/>
          <w:lang w:val="en-US"/>
        </w:rPr>
        <w:t>إجراء</w:t>
      </w:r>
      <w:r w:rsidRPr="008919FB">
        <w:rPr>
          <w:color w:val="000000"/>
          <w:sz w:val="24"/>
          <w:szCs w:val="24"/>
          <w:rtl/>
          <w:lang w:bidi="ar-DZ"/>
        </w:rPr>
        <w:t xml:space="preserve"> </w:t>
      </w:r>
      <w:r w:rsidRPr="005C2F43">
        <w:rPr>
          <w:rFonts w:asciiTheme="majorBidi" w:hAnsiTheme="majorBidi" w:cstheme="majorBidi"/>
          <w:b/>
          <w:color w:val="000000"/>
          <w:sz w:val="24"/>
          <w:szCs w:val="24"/>
          <w:rtl/>
        </w:rPr>
        <w:t>(</w:t>
      </w:r>
      <w:r w:rsidRPr="0074486F">
        <w:rPr>
          <w:rFonts w:asciiTheme="majorBidi" w:hAnsiTheme="majorBidi" w:cstheme="majorBidi"/>
          <w:sz w:val="24"/>
          <w:szCs w:val="24"/>
        </w:rPr>
        <w:t>AHP</w:t>
      </w:r>
      <w:r w:rsidRPr="005C2F43">
        <w:rPr>
          <w:rFonts w:asciiTheme="majorBidi" w:hAnsiTheme="majorBidi" w:cstheme="majorBidi"/>
          <w:b/>
          <w:color w:val="000000"/>
          <w:sz w:val="24"/>
          <w:szCs w:val="24"/>
          <w:rtl/>
        </w:rPr>
        <w:t>)</w:t>
      </w:r>
      <w:r w:rsidRPr="006815BF">
        <w:rPr>
          <w:rFonts w:ascii="Simplified Arabic" w:hAnsi="Simplified Arabic" w:cs="Simplified Arabic" w:hint="cs"/>
          <w:sz w:val="24"/>
          <w:szCs w:val="24"/>
          <w:rtl/>
          <w:lang w:val="en-US"/>
        </w:rPr>
        <w:t xml:space="preserve"> </w:t>
      </w:r>
      <w:r w:rsidRPr="004A7F1C">
        <w:rPr>
          <w:rFonts w:ascii="Simplified Arabic" w:hAnsi="Simplified Arabic" w:cs="Simplified Arabic" w:hint="cs"/>
          <w:sz w:val="24"/>
          <w:szCs w:val="24"/>
          <w:rtl/>
          <w:lang w:val="en-US"/>
        </w:rPr>
        <w:t>على</w:t>
      </w:r>
      <w:r w:rsidRPr="004A7F1C">
        <w:rPr>
          <w:rFonts w:ascii="Simplified Arabic" w:hAnsi="Simplified Arabic" w:cs="Simplified Arabic"/>
          <w:sz w:val="24"/>
          <w:szCs w:val="24"/>
          <w:rtl/>
          <w:lang w:val="en-US"/>
        </w:rPr>
        <w:t xml:space="preserve"> </w:t>
      </w:r>
      <w:r w:rsidRPr="004A7F1C">
        <w:rPr>
          <w:rFonts w:ascii="Simplified Arabic" w:hAnsi="Simplified Arabic" w:cs="Simplified Arabic" w:hint="cs"/>
          <w:sz w:val="24"/>
          <w:szCs w:val="24"/>
          <w:rtl/>
          <w:lang w:val="en-US"/>
        </w:rPr>
        <w:t>ثلاث</w:t>
      </w:r>
      <w:r w:rsidRPr="004A7F1C">
        <w:rPr>
          <w:rFonts w:ascii="Simplified Arabic" w:hAnsi="Simplified Arabic" w:cs="Simplified Arabic"/>
          <w:sz w:val="24"/>
          <w:szCs w:val="24"/>
          <w:rtl/>
          <w:lang w:val="en-US"/>
        </w:rPr>
        <w:t xml:space="preserve"> </w:t>
      </w:r>
      <w:r w:rsidRPr="004A7F1C">
        <w:rPr>
          <w:rFonts w:ascii="Simplified Arabic" w:hAnsi="Simplified Arabic" w:cs="Simplified Arabic" w:hint="cs"/>
          <w:sz w:val="24"/>
          <w:szCs w:val="24"/>
          <w:rtl/>
          <w:lang w:val="en-US"/>
        </w:rPr>
        <w:t>خطوات</w:t>
      </w:r>
      <w:r w:rsidRPr="004A7F1C">
        <w:rPr>
          <w:rFonts w:ascii="Simplified Arabic" w:hAnsi="Simplified Arabic" w:cs="Simplified Arabic"/>
          <w:sz w:val="24"/>
          <w:szCs w:val="24"/>
          <w:rtl/>
          <w:lang w:val="en-US"/>
        </w:rPr>
        <w:t xml:space="preserve"> </w:t>
      </w:r>
      <w:r w:rsidRPr="004A7F1C">
        <w:rPr>
          <w:rFonts w:ascii="Simplified Arabic" w:hAnsi="Simplified Arabic" w:cs="Simplified Arabic" w:hint="cs"/>
          <w:sz w:val="24"/>
          <w:szCs w:val="24"/>
          <w:rtl/>
          <w:lang w:val="en-US"/>
        </w:rPr>
        <w:t>أساسية</w:t>
      </w:r>
      <w:r>
        <w:rPr>
          <w:rFonts w:ascii="Simplified Arabic" w:hAnsi="Simplified Arabic" w:cs="Simplified Arabic" w:hint="cs"/>
          <w:sz w:val="24"/>
          <w:szCs w:val="24"/>
          <w:rtl/>
          <w:lang w:val="en-US"/>
        </w:rPr>
        <w:t xml:space="preserve"> </w:t>
      </w:r>
      <w:r w:rsidRPr="0079360E">
        <w:rPr>
          <w:rFonts w:ascii="Times New Roman" w:hAnsi="Times New Roman" w:cs="Times New Roman" w:hint="cs"/>
          <w:sz w:val="24"/>
          <w:szCs w:val="24"/>
          <w:rtl/>
          <w:lang w:val="en-US"/>
        </w:rPr>
        <w:t>(</w:t>
      </w:r>
      <w:r w:rsidRPr="00C75CAD">
        <w:rPr>
          <w:rFonts w:asciiTheme="majorBidi" w:eastAsia="CharisSIL" w:hAnsiTheme="majorBidi" w:cstheme="majorBidi"/>
          <w:sz w:val="24"/>
          <w:szCs w:val="24"/>
          <w:lang w:val="en-US"/>
        </w:rPr>
        <w:t>Krmac</w:t>
      </w:r>
      <w:r w:rsidRPr="00B24DE9">
        <w:rPr>
          <w:rFonts w:asciiTheme="majorBidi" w:eastAsia="CharisSIL" w:hAnsiTheme="majorBidi" w:cstheme="majorBidi"/>
          <w:sz w:val="24"/>
          <w:szCs w:val="24"/>
          <w:lang w:val="en-US"/>
        </w:rPr>
        <w:t xml:space="preserve"> </w:t>
      </w:r>
      <w:r w:rsidR="000C7020">
        <w:rPr>
          <w:rFonts w:asciiTheme="majorBidi" w:eastAsia="CharisSIL" w:hAnsiTheme="majorBidi" w:cstheme="majorBidi"/>
          <w:sz w:val="24"/>
          <w:szCs w:val="24"/>
          <w:lang w:val="en-US"/>
        </w:rPr>
        <w:t>&amp;</w:t>
      </w:r>
      <w:r w:rsidRPr="00B24DE9">
        <w:rPr>
          <w:rFonts w:asciiTheme="majorBidi" w:eastAsia="CharisSIL" w:hAnsiTheme="majorBidi" w:cstheme="majorBidi"/>
          <w:sz w:val="24"/>
          <w:szCs w:val="24"/>
          <w:lang w:val="en-US"/>
        </w:rPr>
        <w:t xml:space="preserve"> Djordjević</w:t>
      </w:r>
      <w:r w:rsidRPr="0079360E">
        <w:rPr>
          <w:rFonts w:asciiTheme="majorBidi" w:eastAsia="CharisSIL" w:hAnsiTheme="majorBidi" w:cstheme="majorBidi"/>
          <w:sz w:val="24"/>
          <w:szCs w:val="24"/>
          <w:lang w:val="en-US"/>
        </w:rPr>
        <w:t>, 2014</w:t>
      </w:r>
      <w:r w:rsidRPr="0079360E">
        <w:rPr>
          <w:rFonts w:ascii="Times New Roman" w:hAnsi="Times New Roman" w:cs="Times New Roman" w:hint="cs"/>
          <w:sz w:val="24"/>
          <w:szCs w:val="24"/>
          <w:rtl/>
          <w:lang w:val="en-US"/>
        </w:rPr>
        <w:t>)</w:t>
      </w:r>
      <w:r w:rsidRPr="0074486F">
        <w:rPr>
          <w:rFonts w:ascii="Simplified Arabic" w:hAnsi="Simplified Arabic" w:cs="Simplified Arabic"/>
          <w:sz w:val="24"/>
          <w:szCs w:val="24"/>
          <w:rtl/>
          <w:lang w:val="en-US"/>
        </w:rPr>
        <w:t xml:space="preserve"> </w:t>
      </w:r>
      <w:r w:rsidRPr="0074486F">
        <w:rPr>
          <w:rFonts w:ascii="Simplified Arabic" w:hAnsi="Simplified Arabic" w:cs="Simplified Arabic" w:hint="cs"/>
          <w:sz w:val="24"/>
          <w:szCs w:val="24"/>
          <w:rtl/>
          <w:lang w:val="en-US"/>
        </w:rPr>
        <w:t>كالاتي</w:t>
      </w:r>
      <w:r w:rsidRPr="0074486F">
        <w:rPr>
          <w:rFonts w:ascii="Simplified Arabic" w:hAnsi="Simplified Arabic" w:cs="Simplified Arabic"/>
          <w:sz w:val="24"/>
          <w:szCs w:val="24"/>
          <w:rtl/>
          <w:lang w:bidi="ar-DZ"/>
        </w:rPr>
        <w:t>:</w:t>
      </w:r>
      <w:r w:rsidRPr="008919FB">
        <w:rPr>
          <w:sz w:val="18"/>
          <w:szCs w:val="18"/>
        </w:rPr>
        <w:t xml:space="preserve"> </w:t>
      </w:r>
    </w:p>
    <w:p w:rsidR="000B42BD" w:rsidRPr="002F035A" w:rsidRDefault="000B42BD" w:rsidP="001D0548">
      <w:pPr>
        <w:pStyle w:val="Paragraphedeliste"/>
        <w:numPr>
          <w:ilvl w:val="0"/>
          <w:numId w:val="213"/>
        </w:numPr>
        <w:tabs>
          <w:tab w:val="right" w:pos="992"/>
        </w:tabs>
        <w:bidi/>
        <w:spacing w:before="240" w:after="0"/>
        <w:ind w:left="0" w:firstLine="851"/>
        <w:outlineLvl w:val="3"/>
        <w:rPr>
          <w:rFonts w:ascii="Simplified Arabic" w:hAnsi="Simplified Arabic" w:cs="Simplified Arabic"/>
          <w:sz w:val="24"/>
          <w:szCs w:val="24"/>
          <w:lang w:val="en-US"/>
        </w:rPr>
      </w:pPr>
      <w:r w:rsidRPr="002F035A">
        <w:rPr>
          <w:rFonts w:ascii="Simplified Arabic" w:hAnsi="Simplified Arabic" w:cs="Simplified Arabic" w:hint="cs"/>
          <w:b/>
          <w:bCs/>
          <w:sz w:val="24"/>
          <w:szCs w:val="24"/>
          <w:rtl/>
          <w:lang w:val="en-US"/>
        </w:rPr>
        <w:t>الخطوة الاولى، تحليل</w:t>
      </w:r>
      <w:r w:rsidRPr="002F035A">
        <w:rPr>
          <w:rFonts w:ascii="Simplified Arabic" w:hAnsi="Simplified Arabic" w:cs="Simplified Arabic"/>
          <w:b/>
          <w:bCs/>
          <w:sz w:val="24"/>
          <w:szCs w:val="24"/>
          <w:rtl/>
          <w:lang w:val="en-US"/>
        </w:rPr>
        <w:t xml:space="preserve"> </w:t>
      </w:r>
      <w:r w:rsidRPr="002F035A">
        <w:rPr>
          <w:rFonts w:ascii="Simplified Arabic" w:hAnsi="Simplified Arabic" w:cs="Simplified Arabic" w:hint="cs"/>
          <w:b/>
          <w:bCs/>
          <w:sz w:val="24"/>
          <w:szCs w:val="24"/>
          <w:rtl/>
          <w:lang w:val="en-US"/>
        </w:rPr>
        <w:t>المشكلة</w:t>
      </w:r>
      <w:r w:rsidRPr="002F035A">
        <w:rPr>
          <w:rFonts w:ascii="Simplified Arabic" w:hAnsi="Simplified Arabic" w:cs="Simplified Arabic" w:hint="cs"/>
          <w:sz w:val="24"/>
          <w:szCs w:val="24"/>
          <w:rtl/>
          <w:lang w:val="en-US"/>
        </w:rPr>
        <w:t xml:space="preserve">   </w:t>
      </w:r>
    </w:p>
    <w:p w:rsidR="00781B54" w:rsidRDefault="000B42BD" w:rsidP="002E7C71">
      <w:pPr>
        <w:pStyle w:val="Paragraphedeliste"/>
        <w:tabs>
          <w:tab w:val="right" w:pos="282"/>
          <w:tab w:val="right" w:pos="849"/>
        </w:tabs>
        <w:bidi/>
        <w:spacing w:after="0"/>
        <w:ind w:left="-1"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تقوم </w:t>
      </w:r>
      <w:r w:rsidRPr="00751B58">
        <w:rPr>
          <w:rFonts w:ascii="Simplified Arabic" w:hAnsi="Simplified Arabic" w:cs="Simplified Arabic" w:hint="cs"/>
          <w:sz w:val="24"/>
          <w:szCs w:val="24"/>
          <w:rtl/>
          <w:lang w:val="en-US"/>
        </w:rPr>
        <w:t>طريقة</w:t>
      </w:r>
      <w:r w:rsidRPr="00751B58">
        <w:rPr>
          <w:rFonts w:ascii="Simplified Arabic" w:hAnsi="Simplified Arabic" w:cs="Simplified Arabic"/>
          <w:sz w:val="24"/>
          <w:szCs w:val="24"/>
          <w:rtl/>
          <w:lang w:val="en-US"/>
        </w:rPr>
        <w:t xml:space="preserve"> </w:t>
      </w:r>
      <w:r w:rsidRPr="00751B58">
        <w:rPr>
          <w:rFonts w:asciiTheme="majorBidi" w:hAnsiTheme="majorBidi" w:cstheme="majorBidi"/>
          <w:sz w:val="24"/>
          <w:szCs w:val="24"/>
          <w:rtl/>
        </w:rPr>
        <w:t>(</w:t>
      </w:r>
      <w:r w:rsidRPr="00751B58">
        <w:rPr>
          <w:rFonts w:asciiTheme="majorBidi" w:hAnsiTheme="majorBidi" w:cstheme="majorBidi"/>
          <w:sz w:val="24"/>
          <w:szCs w:val="24"/>
        </w:rPr>
        <w:t>AHP</w:t>
      </w:r>
      <w:r w:rsidRPr="00751B58">
        <w:rPr>
          <w:rFonts w:asciiTheme="majorBidi" w:hAnsiTheme="majorBidi" w:cstheme="majorBidi"/>
          <w:sz w:val="24"/>
          <w:szCs w:val="24"/>
          <w:rtl/>
        </w:rPr>
        <w:t>)</w:t>
      </w:r>
      <w:r w:rsidRPr="00751B58">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ب</w:t>
      </w:r>
      <w:r w:rsidRPr="00751B58">
        <w:rPr>
          <w:rFonts w:ascii="Simplified Arabic" w:hAnsi="Simplified Arabic" w:cs="Simplified Arabic" w:hint="cs"/>
          <w:sz w:val="24"/>
          <w:szCs w:val="24"/>
          <w:rtl/>
          <w:lang w:val="en-US"/>
        </w:rPr>
        <w:t>تقس</w:t>
      </w:r>
      <w:r>
        <w:rPr>
          <w:rFonts w:ascii="Simplified Arabic" w:hAnsi="Simplified Arabic" w:cs="Simplified Arabic" w:hint="cs"/>
          <w:sz w:val="24"/>
          <w:szCs w:val="24"/>
          <w:rtl/>
          <w:lang w:val="en-US"/>
        </w:rPr>
        <w:t>ي</w:t>
      </w:r>
      <w:r w:rsidRPr="00751B58">
        <w:rPr>
          <w:rFonts w:ascii="Simplified Arabic" w:hAnsi="Simplified Arabic" w:cs="Simplified Arabic" w:hint="cs"/>
          <w:sz w:val="24"/>
          <w:szCs w:val="24"/>
          <w:rtl/>
          <w:lang w:val="en-US"/>
        </w:rPr>
        <w:t>م</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المشكلة</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إلى</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ثلاثة</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مستويات</w:t>
      </w:r>
      <w:r>
        <w:rPr>
          <w:rFonts w:ascii="Simplified Arabic" w:hAnsi="Simplified Arabic" w:cs="Simplified Arabic" w:hint="cs"/>
          <w:sz w:val="24"/>
          <w:szCs w:val="24"/>
          <w:rtl/>
          <w:lang w:val="en-US"/>
        </w:rPr>
        <w:t xml:space="preserve"> (بناء الهيكل</w:t>
      </w:r>
      <w:r w:rsidRPr="00787394">
        <w:rPr>
          <w:rFonts w:ascii="Simplified Arabic" w:hAnsi="Simplified Arabic" w:cs="Simplified Arabic"/>
          <w:sz w:val="24"/>
          <w:szCs w:val="24"/>
          <w:rtl/>
          <w:lang w:val="en-US"/>
        </w:rPr>
        <w:t xml:space="preserve"> </w:t>
      </w:r>
      <w:r w:rsidRPr="00787394">
        <w:rPr>
          <w:rFonts w:ascii="Simplified Arabic" w:hAnsi="Simplified Arabic" w:cs="Simplified Arabic" w:hint="cs"/>
          <w:sz w:val="24"/>
          <w:szCs w:val="24"/>
          <w:rtl/>
          <w:lang w:val="en-US"/>
        </w:rPr>
        <w:t>الهرمي</w:t>
      </w:r>
      <w:r w:rsidRPr="00787394">
        <w:rPr>
          <w:rFonts w:ascii="Simplified Arabic" w:hAnsi="Simplified Arabic" w:cs="Simplified Arabic"/>
          <w:sz w:val="24"/>
          <w:szCs w:val="24"/>
          <w:rtl/>
          <w:lang w:val="en-US"/>
        </w:rPr>
        <w:t xml:space="preserve"> </w:t>
      </w:r>
      <w:r w:rsidRPr="00787394">
        <w:rPr>
          <w:rFonts w:ascii="Simplified Arabic" w:hAnsi="Simplified Arabic" w:cs="Simplified Arabic" w:hint="cs"/>
          <w:sz w:val="24"/>
          <w:szCs w:val="24"/>
          <w:rtl/>
          <w:lang w:val="en-US"/>
        </w:rPr>
        <w:t>لمشكلة</w:t>
      </w:r>
      <w:r w:rsidRPr="00787394">
        <w:rPr>
          <w:rFonts w:ascii="Simplified Arabic" w:hAnsi="Simplified Arabic" w:cs="Simplified Arabic"/>
          <w:sz w:val="24"/>
          <w:szCs w:val="24"/>
          <w:rtl/>
          <w:lang w:val="en-US"/>
        </w:rPr>
        <w:t xml:space="preserve"> </w:t>
      </w:r>
      <w:r w:rsidRPr="00787394">
        <w:rPr>
          <w:rFonts w:ascii="Simplified Arabic" w:hAnsi="Simplified Arabic" w:cs="Simplified Arabic" w:hint="cs"/>
          <w:sz w:val="24"/>
          <w:szCs w:val="24"/>
          <w:rtl/>
          <w:lang w:val="en-US"/>
        </w:rPr>
        <w:t>البحث)</w:t>
      </w:r>
      <w:r>
        <w:rPr>
          <w:rFonts w:ascii="Simplified Arabic" w:hAnsi="Simplified Arabic" w:cs="Simplified Arabic" w:hint="cs"/>
          <w:sz w:val="24"/>
          <w:szCs w:val="24"/>
          <w:rtl/>
          <w:lang w:val="en-US"/>
        </w:rPr>
        <w:t xml:space="preserve"> حسب الشكل (</w:t>
      </w:r>
      <w:r w:rsidR="002E7C71">
        <w:rPr>
          <w:rFonts w:ascii="Simplified Arabic" w:hAnsi="Simplified Arabic" w:cs="Simplified Arabic" w:hint="cs"/>
          <w:sz w:val="24"/>
          <w:szCs w:val="24"/>
          <w:rtl/>
          <w:lang w:val="en-US"/>
        </w:rPr>
        <w:t>3-7</w:t>
      </w:r>
      <w:r>
        <w:rPr>
          <w:rFonts w:ascii="Simplified Arabic" w:hAnsi="Simplified Arabic" w:cs="Simplified Arabic" w:hint="cs"/>
          <w:sz w:val="24"/>
          <w:szCs w:val="24"/>
          <w:rtl/>
          <w:lang w:val="en-US"/>
        </w:rPr>
        <w:t>)</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الهدف</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والمعايير</w:t>
      </w:r>
      <w:r>
        <w:rPr>
          <w:rFonts w:ascii="Simplified Arabic" w:hAnsi="Simplified Arabic" w:cs="Simplified Arabic" w:hint="cs"/>
          <w:sz w:val="24"/>
          <w:szCs w:val="24"/>
          <w:rtl/>
          <w:lang w:val="en-US"/>
        </w:rPr>
        <w:t xml:space="preserve"> الرئيسية</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والبدائل</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الممكنة</w:t>
      </w:r>
      <w:r>
        <w:rPr>
          <w:rFonts w:ascii="Simplified Arabic" w:hAnsi="Simplified Arabic" w:cs="Simplified Arabic" w:hint="cs"/>
          <w:sz w:val="24"/>
          <w:szCs w:val="24"/>
          <w:rtl/>
          <w:lang w:val="en-US"/>
        </w:rPr>
        <w:t xml:space="preserve"> </w:t>
      </w:r>
      <w:r w:rsidRPr="003D1791">
        <w:rPr>
          <w:rFonts w:asciiTheme="majorBidi" w:eastAsia="CharisSIL" w:hAnsiTheme="majorBidi" w:cstheme="majorBidi" w:hint="cs"/>
          <w:sz w:val="24"/>
          <w:szCs w:val="24"/>
          <w:rtl/>
          <w:lang w:val="en-US"/>
        </w:rPr>
        <w:t>(</w:t>
      </w:r>
      <w:r w:rsidRPr="00C75CAD">
        <w:rPr>
          <w:rFonts w:asciiTheme="majorBidi" w:eastAsia="CharisSIL" w:hAnsiTheme="majorBidi" w:cstheme="majorBidi"/>
          <w:sz w:val="24"/>
          <w:szCs w:val="24"/>
          <w:lang w:val="en-US"/>
        </w:rPr>
        <w:t>Bojovic</w:t>
      </w:r>
      <w:r w:rsidRPr="003D1791">
        <w:rPr>
          <w:rFonts w:asciiTheme="majorBidi" w:eastAsia="CharisSIL" w:hAnsiTheme="majorBidi" w:cstheme="majorBidi"/>
          <w:sz w:val="24"/>
          <w:szCs w:val="24"/>
          <w:lang w:val="en-US"/>
        </w:rPr>
        <w:t xml:space="preserve"> </w:t>
      </w:r>
      <w:r w:rsidRPr="003D1791">
        <w:rPr>
          <w:rFonts w:asciiTheme="majorBidi" w:hAnsiTheme="majorBidi" w:cstheme="majorBidi"/>
          <w:color w:val="000000"/>
          <w:sz w:val="24"/>
          <w:szCs w:val="24"/>
          <w:lang w:val="en-US"/>
        </w:rPr>
        <w:t xml:space="preserve">&amp; </w:t>
      </w:r>
      <w:r w:rsidRPr="003D1791">
        <w:rPr>
          <w:rFonts w:asciiTheme="majorBidi" w:eastAsia="CharisSIL" w:hAnsiTheme="majorBidi" w:cstheme="majorBidi"/>
          <w:sz w:val="24"/>
          <w:szCs w:val="24"/>
          <w:lang w:val="en-US"/>
        </w:rPr>
        <w:t>Milenkovic</w:t>
      </w:r>
      <w:r>
        <w:rPr>
          <w:rFonts w:asciiTheme="majorBidi" w:eastAsia="CharisSIL" w:hAnsiTheme="majorBidi" w:cstheme="majorBidi"/>
          <w:sz w:val="24"/>
          <w:szCs w:val="24"/>
          <w:lang w:val="en-US"/>
        </w:rPr>
        <w:t>, 2008</w:t>
      </w:r>
      <w:r w:rsidRPr="003D1791">
        <w:rPr>
          <w:rFonts w:asciiTheme="majorBidi" w:eastAsia="CharisSIL" w:hAnsiTheme="majorBidi" w:cstheme="majorBidi" w:hint="cs"/>
          <w:sz w:val="24"/>
          <w:szCs w:val="24"/>
          <w:rtl/>
          <w:lang w:val="en-US"/>
        </w:rPr>
        <w:t>)</w:t>
      </w:r>
      <w:r w:rsidRPr="003D1791">
        <w:rPr>
          <w:rFonts w:ascii="Simplified Arabic" w:eastAsia="CharisSIL" w:hAnsi="Simplified Arabic" w:cs="Simplified Arabic"/>
          <w:sz w:val="24"/>
          <w:szCs w:val="24"/>
          <w:rtl/>
          <w:lang w:val="en-US"/>
        </w:rPr>
        <w:t>.</w:t>
      </w:r>
      <w:r>
        <w:rPr>
          <w:rFonts w:ascii="Simplified Arabic" w:eastAsia="CharisSIL" w:hAnsi="Simplified Arabic" w:cs="Simplified Arabic" w:hint="cs"/>
          <w:sz w:val="24"/>
          <w:szCs w:val="24"/>
          <w:rtl/>
          <w:lang w:val="en-US"/>
        </w:rPr>
        <w:t xml:space="preserve"> </w:t>
      </w:r>
      <w:r w:rsidRPr="00751B58">
        <w:rPr>
          <w:rFonts w:ascii="Simplified Arabic" w:hAnsi="Simplified Arabic" w:cs="Simplified Arabic" w:hint="cs"/>
          <w:sz w:val="24"/>
          <w:szCs w:val="24"/>
          <w:rtl/>
          <w:lang w:val="en-US"/>
        </w:rPr>
        <w:t>هذه</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المعايير</w:t>
      </w:r>
      <w:r>
        <w:rPr>
          <w:rFonts w:ascii="Simplified Arabic" w:hAnsi="Simplified Arabic" w:cs="Simplified Arabic" w:hint="cs"/>
          <w:sz w:val="24"/>
          <w:szCs w:val="24"/>
          <w:rtl/>
          <w:lang w:val="en-US"/>
        </w:rPr>
        <w:t xml:space="preserve"> الرئيسية</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والمعايير</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الفرعية قابلة</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للتقييم،</w:t>
      </w:r>
      <w:r w:rsidRPr="00751B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حيث تتساوى مجموع قيم اوزان المعايير الفرعية مع قيمة وزن المعيار الرئيسي التابعة له</w:t>
      </w:r>
      <w:r w:rsidRPr="00751B58">
        <w:rPr>
          <w:rFonts w:ascii="Simplified Arabic" w:hAnsi="Simplified Arabic" w:cs="Simplified Arabic"/>
          <w:sz w:val="24"/>
          <w:szCs w:val="24"/>
          <w:rtl/>
          <w:lang w:val="en-US"/>
        </w:rPr>
        <w:t>.</w:t>
      </w:r>
    </w:p>
    <w:p w:rsidR="000B42BD" w:rsidRPr="00264FC1" w:rsidRDefault="000B42BD" w:rsidP="003A1DB8">
      <w:pPr>
        <w:pStyle w:val="fegure"/>
        <w:spacing w:before="240"/>
        <w:rPr>
          <w:sz w:val="8"/>
          <w:szCs w:val="24"/>
          <w:rtl/>
        </w:rPr>
      </w:pPr>
      <w:bookmarkStart w:id="427" w:name="_Toc157608310"/>
      <w:bookmarkStart w:id="428" w:name="_Toc171803530"/>
      <w:r w:rsidRPr="00264FC1">
        <w:rPr>
          <w:sz w:val="8"/>
          <w:szCs w:val="24"/>
          <w:rtl/>
        </w:rPr>
        <w:t xml:space="preserve">الشكل </w:t>
      </w:r>
      <w:r w:rsidRPr="00264FC1">
        <w:rPr>
          <w:rFonts w:hint="cs"/>
          <w:sz w:val="8"/>
          <w:szCs w:val="24"/>
          <w:rtl/>
        </w:rPr>
        <w:t>(</w:t>
      </w:r>
      <w:r w:rsidR="002E7C71" w:rsidRPr="00264FC1">
        <w:rPr>
          <w:rFonts w:hint="cs"/>
          <w:sz w:val="8"/>
          <w:szCs w:val="24"/>
          <w:rtl/>
        </w:rPr>
        <w:t>3-7</w:t>
      </w:r>
      <w:r w:rsidRPr="00264FC1">
        <w:rPr>
          <w:rFonts w:hint="cs"/>
          <w:sz w:val="8"/>
          <w:szCs w:val="24"/>
          <w:rtl/>
        </w:rPr>
        <w:t>)</w:t>
      </w:r>
      <w:r w:rsidRPr="00264FC1">
        <w:rPr>
          <w:sz w:val="8"/>
          <w:szCs w:val="24"/>
          <w:rtl/>
        </w:rPr>
        <w:t xml:space="preserve">: نموذج </w:t>
      </w:r>
      <w:r w:rsidRPr="00264FC1">
        <w:rPr>
          <w:rFonts w:hint="cs"/>
          <w:sz w:val="8"/>
          <w:szCs w:val="24"/>
          <w:rtl/>
        </w:rPr>
        <w:t>لبناء الهيكل</w:t>
      </w:r>
      <w:r w:rsidRPr="00264FC1">
        <w:rPr>
          <w:sz w:val="8"/>
          <w:szCs w:val="24"/>
          <w:rtl/>
        </w:rPr>
        <w:t xml:space="preserve"> الهرمي </w:t>
      </w:r>
      <w:r w:rsidRPr="00264FC1">
        <w:rPr>
          <w:rFonts w:hint="cs"/>
          <w:sz w:val="8"/>
          <w:szCs w:val="24"/>
          <w:rtl/>
          <w:lang w:val="en-US"/>
        </w:rPr>
        <w:t>لمشكلة</w:t>
      </w:r>
      <w:r w:rsidRPr="00264FC1">
        <w:rPr>
          <w:sz w:val="8"/>
          <w:szCs w:val="24"/>
          <w:rtl/>
          <w:lang w:val="en-US"/>
        </w:rPr>
        <w:t xml:space="preserve"> </w:t>
      </w:r>
      <w:r w:rsidRPr="00264FC1">
        <w:rPr>
          <w:rFonts w:hint="cs"/>
          <w:sz w:val="8"/>
          <w:szCs w:val="24"/>
          <w:rtl/>
          <w:lang w:val="en-US"/>
        </w:rPr>
        <w:t>البحث</w:t>
      </w:r>
      <w:bookmarkEnd w:id="427"/>
      <w:bookmarkEnd w:id="428"/>
    </w:p>
    <w:p w:rsidR="000B42BD" w:rsidRPr="005135C8" w:rsidRDefault="000B42BD" w:rsidP="000B42BD">
      <w:pPr>
        <w:bidi/>
        <w:spacing w:after="0" w:line="240" w:lineRule="auto"/>
        <w:jc w:val="center"/>
        <w:rPr>
          <w:rFonts w:asciiTheme="majorBidi" w:hAnsiTheme="majorBidi" w:cs="Times New Roman"/>
          <w:b/>
          <w:bCs/>
          <w:sz w:val="28"/>
          <w:szCs w:val="28"/>
          <w:rtl/>
        </w:rPr>
      </w:pPr>
      <w:r w:rsidRPr="005135C8">
        <w:rPr>
          <w:rFonts w:ascii="Simplified Arabic" w:eastAsia="CharisSIL" w:hAnsi="Simplified Arabic" w:cs="Simplified Arabic"/>
          <w:b/>
          <w:bCs/>
          <w:sz w:val="24"/>
          <w:szCs w:val="24"/>
          <w:rtl/>
          <w:lang w:val="en-US"/>
        </w:rPr>
        <w:t>المصدر:</w:t>
      </w:r>
      <w:r w:rsidRPr="005135C8">
        <w:rPr>
          <w:rFonts w:asciiTheme="majorBidi" w:eastAsia="CharisSIL" w:hAnsiTheme="majorBidi" w:cstheme="majorBidi" w:hint="cs"/>
          <w:b/>
          <w:bCs/>
          <w:sz w:val="28"/>
          <w:szCs w:val="28"/>
          <w:rtl/>
          <w:lang w:val="en-US"/>
        </w:rPr>
        <w:t xml:space="preserve"> </w:t>
      </w:r>
      <w:r w:rsidRPr="005135C8">
        <w:rPr>
          <w:rFonts w:asciiTheme="majorBidi" w:eastAsia="CharisSIL" w:hAnsiTheme="majorBidi" w:cstheme="majorBidi" w:hint="cs"/>
          <w:b/>
          <w:bCs/>
          <w:sz w:val="24"/>
          <w:szCs w:val="24"/>
          <w:rtl/>
          <w:lang w:val="en-US"/>
        </w:rPr>
        <w:t>(</w:t>
      </w:r>
      <w:r w:rsidRPr="005135C8">
        <w:rPr>
          <w:rFonts w:asciiTheme="majorBidi" w:eastAsia="CharisSIL" w:hAnsiTheme="majorBidi" w:cstheme="majorBidi"/>
          <w:b/>
          <w:bCs/>
          <w:sz w:val="24"/>
          <w:szCs w:val="24"/>
          <w:lang w:val="en-US"/>
        </w:rPr>
        <w:t xml:space="preserve">Bojovic </w:t>
      </w:r>
      <w:r w:rsidRPr="005135C8">
        <w:rPr>
          <w:rFonts w:asciiTheme="majorBidi" w:hAnsiTheme="majorBidi" w:cstheme="majorBidi"/>
          <w:b/>
          <w:bCs/>
          <w:color w:val="000000"/>
          <w:sz w:val="24"/>
          <w:szCs w:val="24"/>
          <w:lang w:val="en-US"/>
        </w:rPr>
        <w:t xml:space="preserve">&amp; </w:t>
      </w:r>
      <w:r w:rsidRPr="005135C8">
        <w:rPr>
          <w:rFonts w:asciiTheme="majorBidi" w:eastAsia="CharisSIL" w:hAnsiTheme="majorBidi" w:cstheme="majorBidi"/>
          <w:b/>
          <w:bCs/>
          <w:sz w:val="24"/>
          <w:szCs w:val="24"/>
          <w:lang w:val="en-US"/>
        </w:rPr>
        <w:t>Milenkovic, 2008</w:t>
      </w:r>
      <w:r w:rsidRPr="005135C8">
        <w:rPr>
          <w:rFonts w:asciiTheme="majorBidi" w:eastAsia="CharisSIL" w:hAnsiTheme="majorBidi" w:cstheme="majorBidi" w:hint="cs"/>
          <w:b/>
          <w:bCs/>
          <w:sz w:val="24"/>
          <w:szCs w:val="24"/>
          <w:rtl/>
          <w:lang w:val="en-US"/>
        </w:rPr>
        <w:t>)</w:t>
      </w:r>
    </w:p>
    <w:p w:rsidR="000B42BD" w:rsidRPr="004611C4" w:rsidRDefault="000B42BD" w:rsidP="00C02010">
      <w:pPr>
        <w:bidi/>
        <w:spacing w:after="0"/>
        <w:jc w:val="center"/>
        <w:rPr>
          <w:rFonts w:asciiTheme="minorBidi" w:hAnsiTheme="minorBidi" w:cs="Arial"/>
          <w:sz w:val="28"/>
          <w:szCs w:val="28"/>
          <w:rtl/>
          <w:lang w:val="en-US"/>
        </w:rPr>
      </w:pPr>
      <w:r>
        <w:rPr>
          <w:rFonts w:asciiTheme="minorBidi" w:hAnsiTheme="minorBidi" w:cs="Arial"/>
          <w:noProof/>
          <w:sz w:val="28"/>
          <w:szCs w:val="28"/>
          <w:rtl/>
          <w:lang w:eastAsia="fr-FR"/>
        </w:rPr>
        <w:drawing>
          <wp:inline distT="0" distB="0" distL="0" distR="0" wp14:anchorId="2804F5CA" wp14:editId="61561774">
            <wp:extent cx="4761781" cy="1708030"/>
            <wp:effectExtent l="0" t="0" r="39370" b="26035"/>
            <wp:docPr id="152" name="Diagramme 1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6" r:lo="rId157" r:qs="rId158" r:cs="rId159"/>
              </a:graphicData>
            </a:graphic>
          </wp:inline>
        </w:drawing>
      </w:r>
    </w:p>
    <w:p w:rsidR="000B42BD" w:rsidRPr="00CB5D86" w:rsidRDefault="000B42BD" w:rsidP="001D0548">
      <w:pPr>
        <w:pStyle w:val="Paragraphedeliste"/>
        <w:numPr>
          <w:ilvl w:val="0"/>
          <w:numId w:val="36"/>
        </w:numPr>
        <w:tabs>
          <w:tab w:val="right" w:pos="992"/>
        </w:tabs>
        <w:bidi/>
        <w:spacing w:before="240" w:after="0"/>
        <w:ind w:left="0" w:firstLine="851"/>
        <w:jc w:val="both"/>
        <w:outlineLvl w:val="3"/>
        <w:rPr>
          <w:rFonts w:ascii="Simplified Arabic" w:hAnsi="Simplified Arabic" w:cs="Simplified Arabic"/>
          <w:b/>
          <w:bCs/>
          <w:sz w:val="24"/>
          <w:szCs w:val="24"/>
          <w:lang w:val="en-US"/>
        </w:rPr>
      </w:pPr>
      <w:r w:rsidRPr="00CB5D86">
        <w:rPr>
          <w:rFonts w:ascii="Simplified Arabic" w:hAnsi="Simplified Arabic" w:cs="Simplified Arabic" w:hint="cs"/>
          <w:b/>
          <w:bCs/>
          <w:sz w:val="24"/>
          <w:szCs w:val="24"/>
          <w:rtl/>
          <w:lang w:val="en-US"/>
        </w:rPr>
        <w:t>الخطوة الثانية، المقارنة</w:t>
      </w:r>
      <w:r w:rsidRPr="00CB5D86">
        <w:rPr>
          <w:rFonts w:ascii="Simplified Arabic" w:hAnsi="Simplified Arabic" w:cs="Simplified Arabic" w:hint="cs"/>
          <w:b/>
          <w:bCs/>
          <w:sz w:val="24"/>
          <w:szCs w:val="24"/>
          <w:rtl/>
          <w:lang w:val="en-US" w:bidi="ar-DZ"/>
        </w:rPr>
        <w:t xml:space="preserve"> الزوجية</w:t>
      </w:r>
    </w:p>
    <w:p w:rsidR="000B42BD" w:rsidRPr="006D2F1A" w:rsidRDefault="000B42BD" w:rsidP="00171E1E">
      <w:pPr>
        <w:bidi/>
        <w:spacing w:after="0"/>
        <w:ind w:firstLine="282"/>
        <w:jc w:val="both"/>
        <w:rPr>
          <w:rFonts w:ascii="Simplified Arabic" w:hAnsi="Simplified Arabic" w:cs="Simplified Arabic"/>
          <w:sz w:val="24"/>
          <w:szCs w:val="24"/>
          <w:rtl/>
          <w:lang w:val="en-US"/>
        </w:rPr>
      </w:pPr>
      <w:r w:rsidRPr="00C75CAD">
        <w:rPr>
          <w:rFonts w:ascii="Simplified Arabic" w:hAnsi="Simplified Arabic" w:cs="Simplified Arabic" w:hint="cs"/>
          <w:sz w:val="24"/>
          <w:szCs w:val="24"/>
          <w:rtl/>
          <w:lang w:val="en-US"/>
        </w:rPr>
        <w:t>تتضمن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بناء</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مصفوفة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مربعة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للمقارنة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النسبية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للمعايير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نفس</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طبيعة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ومستوى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التسلسل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الهرمي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يتم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الترجيح</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مقياس</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عددي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حيث</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يمثل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كل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رقم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درجة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الأهمية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وفقًا</w:t>
      </w:r>
      <w:r w:rsidRPr="00C75CAD">
        <w:rPr>
          <w:rFonts w:ascii="Simplified Arabic" w:hAnsi="Simplified Arabic" w:cs="Simplified Arabic"/>
          <w:sz w:val="24"/>
          <w:szCs w:val="24"/>
          <w:rtl/>
          <w:lang w:val="en-US"/>
        </w:rPr>
        <w:t xml:space="preserve"> </w:t>
      </w:r>
      <w:r w:rsidR="002521F4" w:rsidRPr="00C75CAD">
        <w:rPr>
          <w:rFonts w:ascii="Simplified Arabic" w:hAnsi="Simplified Arabic" w:cs="Simplified Arabic" w:hint="cs"/>
          <w:sz w:val="24"/>
          <w:szCs w:val="24"/>
          <w:rtl/>
          <w:lang w:val="en-US"/>
        </w:rPr>
        <w:t xml:space="preserve">لتصنيف ساعاتي </w:t>
      </w:r>
      <w:r w:rsidRPr="00C75CAD">
        <w:rPr>
          <w:rFonts w:asciiTheme="majorBidi" w:hAnsiTheme="majorBidi" w:cstheme="majorBidi"/>
          <w:sz w:val="24"/>
          <w:szCs w:val="24"/>
          <w:rtl/>
          <w:lang w:val="en-US"/>
        </w:rPr>
        <w:t>(</w:t>
      </w:r>
      <w:r w:rsidRPr="00C75CAD">
        <w:rPr>
          <w:rFonts w:asciiTheme="majorBidi" w:hAnsiTheme="majorBidi" w:cstheme="majorBidi"/>
          <w:sz w:val="24"/>
          <w:szCs w:val="24"/>
          <w:lang w:val="en-US"/>
        </w:rPr>
        <w:t>Saaty</w:t>
      </w:r>
      <w:r w:rsidRPr="00C75CAD">
        <w:rPr>
          <w:rFonts w:asciiTheme="majorBidi" w:hAnsiTheme="majorBidi" w:cstheme="majorBidi"/>
          <w:sz w:val="24"/>
          <w:szCs w:val="24"/>
        </w:rPr>
        <w:t>,</w:t>
      </w:r>
      <w:r w:rsidRPr="00C75CAD">
        <w:rPr>
          <w:rFonts w:asciiTheme="majorBidi" w:hAnsiTheme="majorBidi" w:cstheme="majorBidi"/>
          <w:sz w:val="24"/>
          <w:szCs w:val="24"/>
          <w:lang w:val="en-US"/>
        </w:rPr>
        <w:t xml:space="preserve"> 199</w:t>
      </w:r>
      <w:r w:rsidR="0044421C" w:rsidRPr="00C75CAD">
        <w:rPr>
          <w:rFonts w:asciiTheme="majorBidi" w:hAnsiTheme="majorBidi" w:cstheme="majorBidi"/>
          <w:sz w:val="24"/>
          <w:szCs w:val="24"/>
          <w:lang w:val="en-US"/>
        </w:rPr>
        <w:t>4</w:t>
      </w:r>
      <w:r w:rsidRPr="00C75CAD">
        <w:rPr>
          <w:rFonts w:asciiTheme="majorBidi" w:hAnsiTheme="majorBidi" w:cstheme="majorBidi"/>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يعتمد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الوزن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الذي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سيُعطى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لكل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معيار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استشارة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متابعة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مع</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لجنة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 xml:space="preserve">الخبراء </w:t>
      </w:r>
      <w:r w:rsidRPr="00C75CAD">
        <w:rPr>
          <w:rFonts w:ascii="Simplified Arabic" w:hAnsi="Simplified Arabic" w:cs="Simplified Arabic"/>
          <w:sz w:val="24"/>
          <w:szCs w:val="24"/>
          <w:rtl/>
          <w:lang w:val="en-US"/>
        </w:rPr>
        <w:t>(</w:t>
      </w:r>
      <w:r w:rsidRPr="00C75CAD">
        <w:rPr>
          <w:rFonts w:ascii="Simplified Arabic" w:hAnsi="Simplified Arabic" w:cs="Simplified Arabic" w:hint="cs"/>
          <w:sz w:val="24"/>
          <w:szCs w:val="24"/>
          <w:rtl/>
          <w:lang w:val="en-US"/>
        </w:rPr>
        <w:t>شدة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الأهمية</w:t>
      </w:r>
      <w:r w:rsidRPr="00C75CAD">
        <w:rPr>
          <w:rFonts w:ascii="Simplified Arabic" w:hAnsi="Simplified Arabic" w:cs="Simplified Arabic"/>
          <w:sz w:val="24"/>
          <w:szCs w:val="24"/>
          <w:rtl/>
          <w:lang w:val="en-US"/>
        </w:rPr>
        <w:t>)</w:t>
      </w:r>
      <w:r w:rsidRPr="00C75CAD">
        <w:rPr>
          <w:rFonts w:ascii="Simplified Arabic" w:hAnsi="Simplified Arabic" w:cs="Simplified Arabic" w:hint="cs"/>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اعتمادًا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النقاط</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التسع</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لـ</w:t>
      </w:r>
      <w:r w:rsidRPr="00C75CAD">
        <w:rPr>
          <w:rFonts w:ascii="Simplified Arabic" w:hAnsi="Simplified Arabic" w:cs="Simplified Arabic"/>
          <w:sz w:val="24"/>
          <w:szCs w:val="24"/>
          <w:rtl/>
          <w:lang w:val="en-US"/>
        </w:rPr>
        <w:t xml:space="preserve"> </w:t>
      </w:r>
      <w:r w:rsidRPr="00C75CAD">
        <w:rPr>
          <w:rFonts w:asciiTheme="majorBidi" w:hAnsiTheme="majorBidi" w:cstheme="majorBidi"/>
          <w:sz w:val="24"/>
          <w:szCs w:val="24"/>
          <w:lang w:val="en-US"/>
        </w:rPr>
        <w:t>Saaty</w:t>
      </w:r>
      <w:r w:rsidRPr="00C75CAD">
        <w:rPr>
          <w:rFonts w:ascii="Simplified Arabic" w:hAnsi="Simplified Arabic" w:cs="Simplified Arabic" w:hint="cs"/>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مقياس</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الأهمية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النسبية</w:t>
      </w:r>
      <w:r w:rsidRPr="00C75CAD">
        <w:rPr>
          <w:rFonts w:ascii="Simplified Arabic" w:hAnsi="Simplified Arabic" w:cs="Simplified Arabic"/>
          <w:sz w:val="24"/>
          <w:szCs w:val="24"/>
          <w:rtl/>
          <w:lang w:val="en-US"/>
        </w:rPr>
        <w:t xml:space="preserve"> (1-9)</w:t>
      </w:r>
      <w:r w:rsidRPr="00C75CAD">
        <w:rPr>
          <w:rFonts w:ascii="Simplified Arabic" w:hAnsi="Simplified Arabic" w:cs="Simplified Arabic" w:hint="cs"/>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كما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هو</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موضح</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الجدول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w:t>
      </w:r>
      <w:r w:rsidR="00171E1E" w:rsidRPr="00C75CAD">
        <w:rPr>
          <w:rFonts w:ascii="Simplified Arabic" w:hAnsi="Simplified Arabic" w:cs="Simplified Arabic" w:hint="cs"/>
          <w:sz w:val="24"/>
          <w:szCs w:val="24"/>
          <w:rtl/>
          <w:lang w:val="en-US"/>
        </w:rPr>
        <w:t>3-2</w:t>
      </w:r>
      <w:r w:rsidRPr="00C75CAD">
        <w:rPr>
          <w:rFonts w:ascii="Simplified Arabic" w:hAnsi="Simplified Arabic" w:cs="Simplified Arabic" w:hint="cs"/>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الأهمية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النسبية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للتصنيف،</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لتقييم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شدة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الأهمية</w:t>
      </w:r>
      <w:r w:rsidRPr="00C75CAD">
        <w:rPr>
          <w:rFonts w:ascii="Simplified Arabic" w:hAnsi="Simplified Arabic" w:cs="Simplified Arabic"/>
          <w:sz w:val="24"/>
          <w:szCs w:val="24"/>
          <w:rtl/>
          <w:lang w:val="en-US"/>
        </w:rPr>
        <w:t>.</w:t>
      </w:r>
      <w:r w:rsidRPr="00C75CAD">
        <w:rPr>
          <w:rFonts w:ascii="Simplified Arabic" w:hAnsi="Simplified Arabic" w:cs="Simplified Arabic" w:hint="cs"/>
          <w:sz w:val="24"/>
          <w:szCs w:val="24"/>
          <w:rtl/>
          <w:lang w:val="en-US"/>
        </w:rPr>
        <w:t xml:space="preserve"> بالإضافة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إلى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استخدام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الوظائف</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التحليلية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لبرنامج</w:t>
      </w:r>
      <w:r w:rsidRPr="00C75CAD">
        <w:rPr>
          <w:rFonts w:ascii="Simplified Arabic" w:hAnsi="Simplified Arabic" w:cs="Simplified Arabic"/>
          <w:sz w:val="24"/>
          <w:szCs w:val="24"/>
          <w:rtl/>
          <w:lang w:val="en-US"/>
        </w:rPr>
        <w:t xml:space="preserve"> </w:t>
      </w:r>
      <w:r w:rsidRPr="00C75CAD">
        <w:rPr>
          <w:rFonts w:asciiTheme="majorBidi" w:hAnsiTheme="majorBidi" w:cstheme="majorBidi"/>
          <w:sz w:val="24"/>
          <w:szCs w:val="24"/>
          <w:rtl/>
          <w:lang w:val="en-US"/>
        </w:rPr>
        <w:t>(</w:t>
      </w:r>
      <w:r w:rsidRPr="00C75CAD">
        <w:rPr>
          <w:rFonts w:asciiTheme="majorBidi" w:hAnsiTheme="majorBidi" w:cstheme="majorBidi"/>
          <w:sz w:val="24"/>
          <w:szCs w:val="24"/>
          <w:lang w:val="en-US"/>
        </w:rPr>
        <w:t>Microsoft</w:t>
      </w:r>
      <w:r w:rsidRPr="00C75CAD">
        <w:rPr>
          <w:rFonts w:asciiTheme="minorBidi" w:hAnsiTheme="minorBidi" w:cs="Arial"/>
          <w:sz w:val="28"/>
          <w:szCs w:val="28"/>
          <w:lang w:val="en-US"/>
        </w:rPr>
        <w:t xml:space="preserve"> </w:t>
      </w:r>
      <w:r w:rsidRPr="00C75CAD">
        <w:rPr>
          <w:rFonts w:asciiTheme="majorBidi" w:hAnsiTheme="majorBidi" w:cstheme="majorBidi"/>
          <w:sz w:val="24"/>
          <w:szCs w:val="24"/>
          <w:lang w:val="en-US"/>
        </w:rPr>
        <w:t>Excel</w:t>
      </w:r>
      <w:r w:rsidRPr="00C75CAD">
        <w:rPr>
          <w:rFonts w:asciiTheme="majorBidi" w:hAnsiTheme="majorBidi" w:cstheme="majorBidi"/>
          <w:sz w:val="24"/>
          <w:szCs w:val="24"/>
          <w:rtl/>
          <w:lang w:val="en-US"/>
        </w:rPr>
        <w:t>)</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لتبسيط</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تطبيق</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خطوات</w:t>
      </w:r>
      <w:r w:rsidRPr="00C75CAD">
        <w:rPr>
          <w:rFonts w:asciiTheme="minorBidi" w:hAnsiTheme="minorBidi" w:cs="Arial"/>
          <w:sz w:val="28"/>
          <w:szCs w:val="28"/>
          <w:rtl/>
          <w:lang w:val="en-US"/>
        </w:rPr>
        <w:t xml:space="preserve"> </w:t>
      </w:r>
      <w:r w:rsidRPr="00C75CAD">
        <w:rPr>
          <w:rFonts w:asciiTheme="majorBidi" w:hAnsiTheme="majorBidi" w:cstheme="majorBidi" w:hint="cs"/>
          <w:sz w:val="24"/>
          <w:szCs w:val="24"/>
          <w:rtl/>
          <w:lang w:val="en-US"/>
        </w:rPr>
        <w:t>(</w:t>
      </w:r>
      <w:r w:rsidRPr="00C75CAD">
        <w:rPr>
          <w:rFonts w:asciiTheme="majorBidi" w:hAnsiTheme="majorBidi" w:cstheme="majorBidi"/>
          <w:sz w:val="24"/>
          <w:szCs w:val="24"/>
          <w:lang w:val="en-US"/>
        </w:rPr>
        <w:t>AHP</w:t>
      </w:r>
      <w:r w:rsidRPr="00C75CAD">
        <w:rPr>
          <w:rFonts w:asciiTheme="majorBidi" w:hAnsiTheme="majorBidi" w:cstheme="majorBidi" w:hint="cs"/>
          <w:sz w:val="24"/>
          <w:szCs w:val="24"/>
          <w:rtl/>
          <w:lang w:val="en-US"/>
        </w:rPr>
        <w:t>).</w:t>
      </w:r>
    </w:p>
    <w:p w:rsidR="000B42BD" w:rsidRPr="003F42EF" w:rsidRDefault="000B42BD" w:rsidP="00F76D99">
      <w:pPr>
        <w:pStyle w:val="Tableau"/>
        <w:rPr>
          <w:rtl/>
          <w:lang w:val="en-US"/>
        </w:rPr>
      </w:pPr>
      <w:bookmarkStart w:id="429" w:name="_Toc157612977"/>
      <w:bookmarkStart w:id="430" w:name="_Toc171803531"/>
      <w:r w:rsidRPr="00751B58">
        <w:rPr>
          <w:rFonts w:hint="cs"/>
          <w:rtl/>
          <w:lang w:val="en-US"/>
        </w:rPr>
        <w:t>الجدول</w:t>
      </w:r>
      <w:r w:rsidRPr="00751B58">
        <w:rPr>
          <w:rtl/>
          <w:lang w:val="en-US"/>
        </w:rPr>
        <w:t xml:space="preserve"> </w:t>
      </w:r>
      <w:r>
        <w:rPr>
          <w:rFonts w:hint="cs"/>
          <w:rtl/>
          <w:lang w:val="en-US"/>
        </w:rPr>
        <w:t>(</w:t>
      </w:r>
      <w:r w:rsidR="00171E1E">
        <w:rPr>
          <w:rFonts w:hint="cs"/>
          <w:rtl/>
          <w:lang w:val="en-US"/>
        </w:rPr>
        <w:t>3-2</w:t>
      </w:r>
      <w:r>
        <w:rPr>
          <w:rFonts w:hint="cs"/>
          <w:rtl/>
          <w:lang w:val="en-US"/>
        </w:rPr>
        <w:t>)</w:t>
      </w:r>
      <w:r w:rsidRPr="00751B58">
        <w:rPr>
          <w:rtl/>
          <w:lang w:val="en-US"/>
        </w:rPr>
        <w:t xml:space="preserve"> </w:t>
      </w:r>
      <w:r w:rsidRPr="00751B58">
        <w:rPr>
          <w:rFonts w:hint="cs"/>
          <w:rtl/>
          <w:lang w:val="en-US"/>
        </w:rPr>
        <w:t>الأهمية</w:t>
      </w:r>
      <w:r w:rsidRPr="00751B58">
        <w:rPr>
          <w:rtl/>
          <w:lang w:val="en-US"/>
        </w:rPr>
        <w:t xml:space="preserve"> </w:t>
      </w:r>
      <w:r w:rsidRPr="00751B58">
        <w:rPr>
          <w:rFonts w:hint="cs"/>
          <w:rtl/>
          <w:lang w:val="en-US"/>
        </w:rPr>
        <w:t>النسبية</w:t>
      </w:r>
      <w:r w:rsidRPr="00751B58">
        <w:rPr>
          <w:rtl/>
          <w:lang w:val="en-US"/>
        </w:rPr>
        <w:t xml:space="preserve"> </w:t>
      </w:r>
      <w:r w:rsidRPr="00751B58">
        <w:rPr>
          <w:rFonts w:hint="cs"/>
          <w:rtl/>
          <w:lang w:val="en-US"/>
        </w:rPr>
        <w:t>للتصنيف</w:t>
      </w:r>
      <w:bookmarkEnd w:id="429"/>
      <w:bookmarkEnd w:id="430"/>
    </w:p>
    <w:p w:rsidR="000B42BD" w:rsidRPr="005135C8" w:rsidRDefault="000B42BD" w:rsidP="002357F4">
      <w:pPr>
        <w:pStyle w:val="Paragraphedeliste"/>
        <w:tabs>
          <w:tab w:val="right" w:pos="282"/>
        </w:tabs>
        <w:bidi/>
        <w:spacing w:after="0" w:line="240" w:lineRule="auto"/>
        <w:ind w:left="-1" w:firstLine="1"/>
        <w:jc w:val="center"/>
        <w:rPr>
          <w:rFonts w:ascii="Simplified Arabic" w:hAnsi="Simplified Arabic" w:cs="Simplified Arabic"/>
          <w:b/>
          <w:bCs/>
          <w:sz w:val="24"/>
          <w:szCs w:val="24"/>
          <w:rtl/>
          <w:lang w:val="en-US"/>
        </w:rPr>
      </w:pPr>
      <w:r w:rsidRPr="005135C8">
        <w:rPr>
          <w:rFonts w:ascii="Simplified Arabic" w:hAnsi="Simplified Arabic" w:cs="Simplified Arabic" w:hint="cs"/>
          <w:b/>
          <w:bCs/>
          <w:sz w:val="24"/>
          <w:szCs w:val="24"/>
          <w:rtl/>
          <w:lang w:val="en-US"/>
        </w:rPr>
        <w:t xml:space="preserve">المصدر: </w:t>
      </w:r>
      <w:r w:rsidRPr="005135C8">
        <w:rPr>
          <w:rFonts w:asciiTheme="majorBidi" w:hAnsiTheme="majorBidi" w:cstheme="majorBidi"/>
          <w:b/>
          <w:bCs/>
          <w:sz w:val="24"/>
          <w:szCs w:val="24"/>
          <w:rtl/>
          <w:lang w:val="en-US"/>
        </w:rPr>
        <w:t>(</w:t>
      </w:r>
      <w:r w:rsidRPr="005135C8">
        <w:rPr>
          <w:rFonts w:asciiTheme="majorBidi" w:hAnsiTheme="majorBidi" w:cstheme="majorBidi"/>
          <w:b/>
          <w:bCs/>
          <w:sz w:val="24"/>
          <w:szCs w:val="24"/>
          <w:lang w:val="en-US"/>
        </w:rPr>
        <w:t>Saaty</w:t>
      </w:r>
      <w:r w:rsidRPr="005135C8">
        <w:rPr>
          <w:rFonts w:asciiTheme="majorBidi" w:hAnsiTheme="majorBidi" w:cstheme="majorBidi"/>
          <w:b/>
          <w:bCs/>
          <w:sz w:val="24"/>
          <w:szCs w:val="24"/>
        </w:rPr>
        <w:t>,</w:t>
      </w:r>
      <w:r w:rsidRPr="005135C8">
        <w:rPr>
          <w:rFonts w:asciiTheme="majorBidi" w:hAnsiTheme="majorBidi" w:cstheme="majorBidi"/>
          <w:b/>
          <w:bCs/>
          <w:sz w:val="24"/>
          <w:szCs w:val="24"/>
          <w:lang w:val="en-US"/>
        </w:rPr>
        <w:t xml:space="preserve"> 199</w:t>
      </w:r>
      <w:r w:rsidR="0044421C" w:rsidRPr="005135C8">
        <w:rPr>
          <w:rFonts w:asciiTheme="majorBidi" w:hAnsiTheme="majorBidi" w:cstheme="majorBidi"/>
          <w:b/>
          <w:bCs/>
          <w:sz w:val="24"/>
          <w:szCs w:val="24"/>
          <w:lang w:val="en-US"/>
        </w:rPr>
        <w:t>4</w:t>
      </w:r>
      <w:r w:rsidRPr="005135C8">
        <w:rPr>
          <w:rFonts w:asciiTheme="majorBidi" w:hAnsiTheme="majorBidi" w:cstheme="majorBidi"/>
          <w:b/>
          <w:bCs/>
          <w:sz w:val="24"/>
          <w:szCs w:val="24"/>
          <w:rtl/>
          <w:lang w:val="en-US"/>
        </w:rPr>
        <w:t>)</w:t>
      </w:r>
    </w:p>
    <w:tbl>
      <w:tblPr>
        <w:bidiVisual/>
        <w:tblW w:w="0" w:type="auto"/>
        <w:jc w:val="center"/>
        <w:tblInd w:w="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9"/>
        <w:gridCol w:w="1410"/>
      </w:tblGrid>
      <w:tr w:rsidR="000B42BD" w:rsidRPr="003F42EF" w:rsidTr="002357F4">
        <w:trPr>
          <w:jc w:val="center"/>
        </w:trPr>
        <w:tc>
          <w:tcPr>
            <w:tcW w:w="3109" w:type="dxa"/>
            <w:shd w:val="clear" w:color="auto" w:fill="auto"/>
            <w:vAlign w:val="center"/>
          </w:tcPr>
          <w:p w:rsidR="000B42BD" w:rsidRPr="00E87978" w:rsidRDefault="000B42BD" w:rsidP="000B42BD">
            <w:pPr>
              <w:bidi/>
              <w:spacing w:after="0" w:line="240" w:lineRule="auto"/>
              <w:jc w:val="center"/>
              <w:rPr>
                <w:rFonts w:ascii="Simplified Arabic" w:eastAsia="Times New Roman" w:hAnsi="Simplified Arabic" w:cs="Simplified Arabic"/>
                <w:sz w:val="24"/>
                <w:szCs w:val="24"/>
                <w:rtl/>
                <w:lang w:val="en-US"/>
              </w:rPr>
            </w:pPr>
            <w:r w:rsidRPr="00E87978">
              <w:rPr>
                <w:rFonts w:ascii="Simplified Arabic" w:eastAsia="Times New Roman" w:hAnsi="Simplified Arabic" w:cs="Simplified Arabic" w:hint="cs"/>
                <w:sz w:val="24"/>
                <w:szCs w:val="24"/>
                <w:rtl/>
                <w:lang w:val="en-US"/>
              </w:rPr>
              <w:t>درجة</w:t>
            </w:r>
            <w:r w:rsidRPr="00E87978">
              <w:rPr>
                <w:rFonts w:ascii="Simplified Arabic" w:eastAsia="Times New Roman" w:hAnsi="Simplified Arabic" w:cs="Simplified Arabic"/>
                <w:sz w:val="24"/>
                <w:szCs w:val="24"/>
                <w:rtl/>
                <w:lang w:val="en-US"/>
              </w:rPr>
              <w:t xml:space="preserve"> </w:t>
            </w:r>
            <w:r w:rsidRPr="00E87978">
              <w:rPr>
                <w:rFonts w:ascii="Simplified Arabic" w:eastAsia="Times New Roman" w:hAnsi="Simplified Arabic" w:cs="Simplified Arabic" w:hint="cs"/>
                <w:sz w:val="24"/>
                <w:szCs w:val="24"/>
                <w:rtl/>
                <w:lang w:val="en-US"/>
              </w:rPr>
              <w:t>الاهمية</w:t>
            </w:r>
          </w:p>
        </w:tc>
        <w:tc>
          <w:tcPr>
            <w:tcW w:w="1410" w:type="dxa"/>
            <w:shd w:val="clear" w:color="auto" w:fill="auto"/>
            <w:vAlign w:val="center"/>
          </w:tcPr>
          <w:p w:rsidR="000B42BD" w:rsidRPr="00E87978" w:rsidRDefault="000B42BD" w:rsidP="000B42BD">
            <w:pPr>
              <w:bidi/>
              <w:spacing w:after="0" w:line="240" w:lineRule="auto"/>
              <w:jc w:val="center"/>
              <w:rPr>
                <w:rFonts w:ascii="Simplified Arabic" w:eastAsia="Times New Roman" w:hAnsi="Simplified Arabic" w:cs="Simplified Arabic"/>
                <w:sz w:val="24"/>
                <w:szCs w:val="24"/>
                <w:rtl/>
                <w:lang w:val="en-US"/>
              </w:rPr>
            </w:pPr>
            <w:r w:rsidRPr="00E87978">
              <w:rPr>
                <w:rFonts w:ascii="Simplified Arabic" w:eastAsia="Times New Roman" w:hAnsi="Simplified Arabic" w:cs="Simplified Arabic"/>
                <w:sz w:val="24"/>
                <w:szCs w:val="24"/>
                <w:rtl/>
                <w:lang w:val="en-US"/>
              </w:rPr>
              <w:t>القيمة</w:t>
            </w:r>
          </w:p>
        </w:tc>
      </w:tr>
      <w:tr w:rsidR="000B42BD" w:rsidRPr="003F42EF" w:rsidTr="002357F4">
        <w:trPr>
          <w:trHeight w:val="60"/>
          <w:jc w:val="center"/>
        </w:trPr>
        <w:tc>
          <w:tcPr>
            <w:tcW w:w="3109"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Pr>
                <w:rFonts w:ascii="Simplified Arabic" w:eastAsia="Times New Roman" w:hAnsi="Simplified Arabic" w:cs="Simplified Arabic" w:hint="cs"/>
                <w:sz w:val="24"/>
                <w:szCs w:val="24"/>
                <w:rtl/>
                <w:lang w:val="en-US"/>
              </w:rPr>
              <w:t>اهمية</w:t>
            </w:r>
            <w:r w:rsidRPr="003F42EF">
              <w:rPr>
                <w:rFonts w:ascii="Simplified Arabic" w:eastAsia="Times New Roman" w:hAnsi="Simplified Arabic" w:cs="Simplified Arabic"/>
                <w:sz w:val="24"/>
                <w:szCs w:val="24"/>
                <w:rtl/>
                <w:lang w:val="en-US"/>
              </w:rPr>
              <w:t xml:space="preserve"> متساوية</w:t>
            </w:r>
          </w:p>
        </w:tc>
        <w:tc>
          <w:tcPr>
            <w:tcW w:w="1410"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sidRPr="003F42EF">
              <w:rPr>
                <w:rFonts w:ascii="Simplified Arabic" w:eastAsia="Times New Roman" w:hAnsi="Simplified Arabic" w:cs="Simplified Arabic"/>
                <w:sz w:val="24"/>
                <w:szCs w:val="24"/>
                <w:rtl/>
                <w:lang w:val="en-US"/>
              </w:rPr>
              <w:t>1</w:t>
            </w:r>
          </w:p>
        </w:tc>
      </w:tr>
      <w:tr w:rsidR="000B42BD" w:rsidRPr="003F42EF" w:rsidTr="002357F4">
        <w:trPr>
          <w:jc w:val="center"/>
        </w:trPr>
        <w:tc>
          <w:tcPr>
            <w:tcW w:w="3109"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Pr>
                <w:rFonts w:ascii="Simplified Arabic" w:eastAsia="Times New Roman" w:hAnsi="Simplified Arabic" w:cs="Simplified Arabic" w:hint="cs"/>
                <w:sz w:val="24"/>
                <w:szCs w:val="24"/>
                <w:rtl/>
                <w:lang w:val="en-US"/>
              </w:rPr>
              <w:t>اهمية</w:t>
            </w:r>
            <w:r w:rsidRPr="003F42EF">
              <w:rPr>
                <w:rFonts w:ascii="Simplified Arabic" w:eastAsia="Times New Roman" w:hAnsi="Simplified Arabic" w:cs="Simplified Arabic"/>
                <w:sz w:val="24"/>
                <w:szCs w:val="24"/>
                <w:rtl/>
                <w:lang w:val="en-US"/>
              </w:rPr>
              <w:t xml:space="preserve"> متوسطة او معتدلة</w:t>
            </w:r>
          </w:p>
        </w:tc>
        <w:tc>
          <w:tcPr>
            <w:tcW w:w="1410"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sidRPr="003F42EF">
              <w:rPr>
                <w:rFonts w:ascii="Simplified Arabic" w:eastAsia="Times New Roman" w:hAnsi="Simplified Arabic" w:cs="Simplified Arabic"/>
                <w:sz w:val="24"/>
                <w:szCs w:val="24"/>
                <w:rtl/>
                <w:lang w:val="en-US"/>
              </w:rPr>
              <w:t>3</w:t>
            </w:r>
          </w:p>
        </w:tc>
      </w:tr>
      <w:tr w:rsidR="000B42BD" w:rsidRPr="003F42EF" w:rsidTr="002357F4">
        <w:trPr>
          <w:jc w:val="center"/>
        </w:trPr>
        <w:tc>
          <w:tcPr>
            <w:tcW w:w="3109"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Pr>
                <w:rFonts w:ascii="Simplified Arabic" w:eastAsia="Times New Roman" w:hAnsi="Simplified Arabic" w:cs="Simplified Arabic" w:hint="cs"/>
                <w:sz w:val="24"/>
                <w:szCs w:val="24"/>
                <w:rtl/>
                <w:lang w:val="en-US"/>
              </w:rPr>
              <w:t>اهمية</w:t>
            </w:r>
            <w:r w:rsidRPr="003F42EF">
              <w:rPr>
                <w:rFonts w:ascii="Simplified Arabic" w:eastAsia="Times New Roman" w:hAnsi="Simplified Arabic" w:cs="Simplified Arabic"/>
                <w:sz w:val="24"/>
                <w:szCs w:val="24"/>
                <w:rtl/>
                <w:lang w:val="en-US"/>
              </w:rPr>
              <w:t xml:space="preserve"> قوية</w:t>
            </w:r>
          </w:p>
        </w:tc>
        <w:tc>
          <w:tcPr>
            <w:tcW w:w="1410"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sidRPr="003F42EF">
              <w:rPr>
                <w:rFonts w:ascii="Simplified Arabic" w:eastAsia="Times New Roman" w:hAnsi="Simplified Arabic" w:cs="Simplified Arabic"/>
                <w:sz w:val="24"/>
                <w:szCs w:val="24"/>
                <w:lang w:val="en-US"/>
              </w:rPr>
              <w:t>5</w:t>
            </w:r>
          </w:p>
        </w:tc>
      </w:tr>
      <w:tr w:rsidR="000B42BD" w:rsidRPr="003F42EF" w:rsidTr="002357F4">
        <w:trPr>
          <w:trHeight w:val="166"/>
          <w:jc w:val="center"/>
        </w:trPr>
        <w:tc>
          <w:tcPr>
            <w:tcW w:w="3109"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Pr>
                <w:rFonts w:ascii="Simplified Arabic" w:eastAsia="Times New Roman" w:hAnsi="Simplified Arabic" w:cs="Simplified Arabic" w:hint="cs"/>
                <w:sz w:val="24"/>
                <w:szCs w:val="24"/>
                <w:rtl/>
                <w:lang w:val="en-US"/>
              </w:rPr>
              <w:t>اهمية</w:t>
            </w:r>
            <w:r w:rsidRPr="003F42EF">
              <w:rPr>
                <w:rFonts w:ascii="Simplified Arabic" w:eastAsia="Times New Roman" w:hAnsi="Simplified Arabic" w:cs="Simplified Arabic"/>
                <w:sz w:val="24"/>
                <w:szCs w:val="24"/>
                <w:rtl/>
                <w:lang w:val="en-US"/>
              </w:rPr>
              <w:t xml:space="preserve"> قوية جدا</w:t>
            </w:r>
          </w:p>
        </w:tc>
        <w:tc>
          <w:tcPr>
            <w:tcW w:w="1410"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sidRPr="003F42EF">
              <w:rPr>
                <w:rFonts w:ascii="Simplified Arabic" w:eastAsia="Times New Roman" w:hAnsi="Simplified Arabic" w:cs="Simplified Arabic"/>
                <w:sz w:val="24"/>
                <w:szCs w:val="24"/>
                <w:rtl/>
                <w:lang w:val="en-US"/>
              </w:rPr>
              <w:t>7</w:t>
            </w:r>
          </w:p>
        </w:tc>
      </w:tr>
      <w:tr w:rsidR="000B42BD" w:rsidRPr="003F42EF" w:rsidTr="002357F4">
        <w:trPr>
          <w:jc w:val="center"/>
        </w:trPr>
        <w:tc>
          <w:tcPr>
            <w:tcW w:w="3109"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Pr>
                <w:rFonts w:ascii="Simplified Arabic" w:eastAsia="Times New Roman" w:hAnsi="Simplified Arabic" w:cs="Simplified Arabic" w:hint="cs"/>
                <w:sz w:val="24"/>
                <w:szCs w:val="24"/>
                <w:rtl/>
                <w:lang w:val="en-US"/>
              </w:rPr>
              <w:t>اهمية</w:t>
            </w:r>
            <w:r w:rsidRPr="003F42EF">
              <w:rPr>
                <w:rFonts w:ascii="Simplified Arabic" w:eastAsia="Times New Roman" w:hAnsi="Simplified Arabic" w:cs="Simplified Arabic"/>
                <w:sz w:val="24"/>
                <w:szCs w:val="24"/>
                <w:rtl/>
                <w:lang w:val="en-US"/>
              </w:rPr>
              <w:t xml:space="preserve"> مطلقة</w:t>
            </w:r>
          </w:p>
        </w:tc>
        <w:tc>
          <w:tcPr>
            <w:tcW w:w="1410"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sidRPr="003F42EF">
              <w:rPr>
                <w:rFonts w:ascii="Simplified Arabic" w:eastAsia="Times New Roman" w:hAnsi="Simplified Arabic" w:cs="Simplified Arabic"/>
                <w:sz w:val="24"/>
                <w:szCs w:val="24"/>
                <w:rtl/>
                <w:lang w:val="en-US"/>
              </w:rPr>
              <w:t>9</w:t>
            </w:r>
          </w:p>
        </w:tc>
      </w:tr>
      <w:tr w:rsidR="000B42BD" w:rsidRPr="003F42EF" w:rsidTr="002357F4">
        <w:trPr>
          <w:jc w:val="center"/>
        </w:trPr>
        <w:tc>
          <w:tcPr>
            <w:tcW w:w="3109"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sidRPr="003F42EF">
              <w:rPr>
                <w:rFonts w:ascii="Simplified Arabic" w:eastAsia="Times New Roman" w:hAnsi="Simplified Arabic" w:cs="Simplified Arabic"/>
                <w:sz w:val="24"/>
                <w:szCs w:val="24"/>
                <w:rtl/>
                <w:lang w:val="en-US"/>
              </w:rPr>
              <w:t xml:space="preserve">قيم متوسطة بين </w:t>
            </w:r>
            <w:r>
              <w:rPr>
                <w:rFonts w:ascii="Simplified Arabic" w:eastAsia="Times New Roman" w:hAnsi="Simplified Arabic" w:cs="Simplified Arabic" w:hint="cs"/>
                <w:sz w:val="24"/>
                <w:szCs w:val="24"/>
                <w:rtl/>
                <w:lang w:val="en-US"/>
              </w:rPr>
              <w:t>درجات</w:t>
            </w:r>
            <w:r w:rsidRPr="003F42EF">
              <w:rPr>
                <w:rFonts w:ascii="Simplified Arabic" w:eastAsia="Times New Roman" w:hAnsi="Simplified Arabic" w:cs="Simplified Arabic"/>
                <w:sz w:val="24"/>
                <w:szCs w:val="24"/>
                <w:rtl/>
                <w:lang w:val="en-US"/>
              </w:rPr>
              <w:t xml:space="preserve"> </w:t>
            </w:r>
            <w:r>
              <w:rPr>
                <w:rFonts w:ascii="Simplified Arabic" w:eastAsia="Times New Roman" w:hAnsi="Simplified Arabic" w:cs="Simplified Arabic" w:hint="cs"/>
                <w:sz w:val="24"/>
                <w:szCs w:val="24"/>
                <w:rtl/>
                <w:lang w:val="en-US"/>
              </w:rPr>
              <w:t>الاهمية</w:t>
            </w:r>
          </w:p>
        </w:tc>
        <w:tc>
          <w:tcPr>
            <w:tcW w:w="1410" w:type="dxa"/>
            <w:shd w:val="clear" w:color="auto" w:fill="auto"/>
            <w:vAlign w:val="center"/>
          </w:tcPr>
          <w:p w:rsidR="000B42BD" w:rsidRPr="003F42EF" w:rsidRDefault="000B42BD" w:rsidP="000B42BD">
            <w:pPr>
              <w:bidi/>
              <w:spacing w:after="0" w:line="240" w:lineRule="auto"/>
              <w:jc w:val="center"/>
              <w:rPr>
                <w:rFonts w:ascii="Simplified Arabic" w:eastAsia="Times New Roman" w:hAnsi="Simplified Arabic" w:cs="Simplified Arabic"/>
                <w:sz w:val="24"/>
                <w:szCs w:val="24"/>
                <w:rtl/>
                <w:lang w:val="en-US"/>
              </w:rPr>
            </w:pPr>
            <w:r>
              <w:rPr>
                <w:rFonts w:ascii="Simplified Arabic" w:eastAsia="Times New Roman" w:hAnsi="Simplified Arabic" w:cs="Simplified Arabic" w:hint="cs"/>
                <w:sz w:val="24"/>
                <w:szCs w:val="24"/>
                <w:rtl/>
              </w:rPr>
              <w:t>(</w:t>
            </w:r>
            <w:r w:rsidRPr="003F42EF">
              <w:rPr>
                <w:rFonts w:ascii="Simplified Arabic" w:eastAsia="Times New Roman" w:hAnsi="Simplified Arabic" w:cs="Simplified Arabic"/>
                <w:sz w:val="24"/>
                <w:szCs w:val="24"/>
              </w:rPr>
              <w:t>2,4,6,8</w:t>
            </w:r>
            <w:r>
              <w:rPr>
                <w:rFonts w:ascii="Simplified Arabic" w:eastAsia="Times New Roman" w:hAnsi="Simplified Arabic" w:cs="Simplified Arabic" w:hint="cs"/>
                <w:sz w:val="24"/>
                <w:szCs w:val="24"/>
                <w:rtl/>
              </w:rPr>
              <w:t>)</w:t>
            </w:r>
          </w:p>
        </w:tc>
      </w:tr>
    </w:tbl>
    <w:p w:rsidR="003A1DB8" w:rsidRDefault="003A1DB8" w:rsidP="002357F4">
      <w:pPr>
        <w:pStyle w:val="Paragraphedeliste"/>
        <w:tabs>
          <w:tab w:val="right" w:pos="282"/>
        </w:tabs>
        <w:bidi/>
        <w:spacing w:before="240" w:after="0"/>
        <w:ind w:left="-1" w:firstLine="283"/>
        <w:jc w:val="both"/>
        <w:rPr>
          <w:rFonts w:ascii="Simplified Arabic" w:hAnsi="Simplified Arabic" w:cs="Simplified Arabic"/>
          <w:sz w:val="24"/>
          <w:szCs w:val="24"/>
          <w:rtl/>
          <w:lang w:val="en-US"/>
        </w:rPr>
      </w:pPr>
    </w:p>
    <w:p w:rsidR="003A1DB8" w:rsidRDefault="003A1DB8" w:rsidP="003A1DB8">
      <w:pPr>
        <w:pStyle w:val="Paragraphedeliste"/>
        <w:tabs>
          <w:tab w:val="right" w:pos="282"/>
        </w:tabs>
        <w:bidi/>
        <w:spacing w:before="240" w:after="0"/>
        <w:ind w:left="-1" w:firstLine="283"/>
        <w:jc w:val="both"/>
        <w:rPr>
          <w:rFonts w:ascii="Simplified Arabic" w:hAnsi="Simplified Arabic" w:cs="Simplified Arabic"/>
          <w:sz w:val="24"/>
          <w:szCs w:val="24"/>
          <w:rtl/>
          <w:lang w:val="en-US"/>
        </w:rPr>
      </w:pPr>
    </w:p>
    <w:p w:rsidR="000B42BD" w:rsidRDefault="000B42BD" w:rsidP="003A1DB8">
      <w:pPr>
        <w:pStyle w:val="Paragraphedeliste"/>
        <w:tabs>
          <w:tab w:val="right" w:pos="282"/>
        </w:tabs>
        <w:bidi/>
        <w:spacing w:before="240" w:after="0"/>
        <w:ind w:left="-1" w:firstLine="283"/>
        <w:jc w:val="both"/>
        <w:rPr>
          <w:rFonts w:ascii="Simplified Arabic" w:eastAsia="CharisSIL" w:hAnsi="Simplified Arabic" w:cs="Simplified Arabic"/>
          <w:sz w:val="24"/>
          <w:szCs w:val="24"/>
          <w:rtl/>
          <w:lang w:val="en-US" w:bidi="ar-DZ"/>
        </w:rPr>
      </w:pPr>
      <w:r w:rsidRPr="00751B58">
        <w:rPr>
          <w:rFonts w:ascii="Simplified Arabic" w:hAnsi="Simplified Arabic" w:cs="Simplified Arabic" w:hint="cs"/>
          <w:sz w:val="24"/>
          <w:szCs w:val="24"/>
          <w:rtl/>
          <w:lang w:val="en-US"/>
        </w:rPr>
        <w:t>تم</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استخدام</w:t>
      </w:r>
      <w:r w:rsidRPr="00751B58">
        <w:rPr>
          <w:rFonts w:ascii="Simplified Arabic" w:hAnsi="Simplified Arabic" w:cs="Simplified Arabic"/>
          <w:sz w:val="24"/>
          <w:szCs w:val="24"/>
          <w:rtl/>
          <w:lang w:val="en-US"/>
        </w:rPr>
        <w:t xml:space="preserve"> </w:t>
      </w:r>
      <w:r w:rsidRPr="00751B58">
        <w:rPr>
          <w:rFonts w:ascii="Simplified Arabic" w:hAnsi="Simplified Arabic" w:cs="Simplified Arabic" w:hint="cs"/>
          <w:sz w:val="24"/>
          <w:szCs w:val="24"/>
          <w:rtl/>
          <w:lang w:val="en-US"/>
        </w:rPr>
        <w:t>المعادلة</w:t>
      </w:r>
      <w:r w:rsidRPr="00751B58">
        <w:rPr>
          <w:rFonts w:ascii="Simplified Arabic" w:hAnsi="Simplified Arabic" w:cs="Simplified Arabic"/>
          <w:sz w:val="24"/>
          <w:szCs w:val="24"/>
          <w:rtl/>
          <w:lang w:val="en-US"/>
        </w:rPr>
        <w:t xml:space="preserve"> (1)</w:t>
      </w:r>
      <w:r w:rsidRPr="00751B58">
        <w:rPr>
          <w:rFonts w:ascii="Simplified Arabic" w:hAnsi="Simplified Arabic" w:cs="Simplified Arabic" w:hint="cs"/>
          <w:sz w:val="24"/>
          <w:szCs w:val="24"/>
          <w:rtl/>
          <w:lang w:val="en-US"/>
        </w:rPr>
        <w:t xml:space="preserve"> </w:t>
      </w:r>
      <w:r w:rsidRPr="00FE0A34">
        <w:rPr>
          <w:rFonts w:asciiTheme="majorBidi" w:eastAsia="CharisSIL" w:hAnsiTheme="majorBidi" w:cstheme="majorBidi"/>
          <w:sz w:val="24"/>
          <w:szCs w:val="24"/>
          <w:lang w:val="en-US"/>
        </w:rPr>
        <w:t>(</w:t>
      </w:r>
      <w:r w:rsidRPr="00C75CAD">
        <w:rPr>
          <w:rFonts w:asciiTheme="majorBidi" w:eastAsia="CharisSIL" w:hAnsiTheme="majorBidi" w:cstheme="majorBidi"/>
          <w:sz w:val="24"/>
          <w:szCs w:val="24"/>
          <w:lang w:val="en-US"/>
        </w:rPr>
        <w:t>Haghighi</w:t>
      </w:r>
      <w:r w:rsidRPr="00FE0A34">
        <w:rPr>
          <w:rFonts w:asciiTheme="majorBidi" w:eastAsia="CharisSIL" w:hAnsiTheme="majorBidi" w:cstheme="majorBidi"/>
          <w:sz w:val="24"/>
          <w:szCs w:val="24"/>
          <w:lang w:val="en-US"/>
        </w:rPr>
        <w:t xml:space="preserve"> Fard and Doratli, 2022)</w:t>
      </w:r>
      <w:r>
        <w:rPr>
          <w:rFonts w:ascii="Simplified Arabic" w:eastAsia="CharisSIL" w:hAnsi="Simplified Arabic" w:cs="Simplified Arabic" w:hint="cs"/>
          <w:sz w:val="24"/>
          <w:szCs w:val="24"/>
          <w:rtl/>
          <w:lang w:val="en-US" w:bidi="ar-DZ"/>
        </w:rPr>
        <w:t>.</w:t>
      </w:r>
    </w:p>
    <w:p w:rsidR="000B42BD" w:rsidRPr="00A0418B" w:rsidRDefault="000B42BD" w:rsidP="00AE4A70">
      <w:pPr>
        <w:tabs>
          <w:tab w:val="left" w:pos="8505"/>
          <w:tab w:val="left" w:pos="8789"/>
        </w:tabs>
        <w:bidi/>
        <w:spacing w:before="240" w:after="0"/>
        <w:jc w:val="center"/>
        <w:rPr>
          <w:rFonts w:ascii="Simplified Arabic" w:hAnsi="Simplified Arabic" w:cs="Simplified Arabic"/>
          <w:i/>
          <w:sz w:val="24"/>
          <w:szCs w:val="24"/>
          <w:rtl/>
          <w:lang w:val="en-US"/>
        </w:rPr>
      </w:pPr>
      <m:oMath>
        <m:r>
          <m:rPr>
            <m:sty m:val="p"/>
          </m:rPr>
          <w:rPr>
            <w:rFonts w:ascii="Cambria Math" w:eastAsia="Times New Roman" w:hAnsi="Cambria Math" w:cs="Simplified Arabic"/>
            <w:sz w:val="24"/>
            <w:szCs w:val="24"/>
            <w:lang w:val="en-US"/>
          </w:rPr>
          <m:t>M=</m:t>
        </m:r>
        <m:d>
          <m:dPr>
            <m:begChr m:val="["/>
            <m:endChr m:val="]"/>
            <m:ctrlPr>
              <w:rPr>
                <w:rFonts w:ascii="Cambria Math" w:eastAsia="Times New Roman" w:hAnsi="Cambria Math" w:cs="Simplified Arabic"/>
                <w:iCs/>
                <w:sz w:val="24"/>
                <w:szCs w:val="24"/>
              </w:rPr>
            </m:ctrlPr>
          </m:dPr>
          <m:e>
            <m:m>
              <m:mPr>
                <m:mcs>
                  <m:mc>
                    <m:mcPr>
                      <m:count m:val="3"/>
                      <m:mcJc m:val="center"/>
                    </m:mcPr>
                  </m:mc>
                </m:mcs>
                <m:ctrlPr>
                  <w:rPr>
                    <w:rFonts w:ascii="Cambria Math" w:eastAsia="Times New Roman" w:hAnsi="Cambria Math" w:cs="Simplified Arabic"/>
                    <w:iCs/>
                    <w:sz w:val="24"/>
                    <w:szCs w:val="24"/>
                  </w:rPr>
                </m:ctrlPr>
              </m:mPr>
              <m:mr>
                <m:e>
                  <m:r>
                    <m:rPr>
                      <m:sty m:val="p"/>
                    </m:rPr>
                    <w:rPr>
                      <w:rFonts w:ascii="Cambria Math" w:eastAsia="Times New Roman" w:hAnsi="Cambria Math" w:cs="Simplified Arabic"/>
                      <w:sz w:val="24"/>
                      <w:szCs w:val="24"/>
                      <w:lang w:val="en-US"/>
                    </w:rPr>
                    <m:t>1</m:t>
                  </m:r>
                </m:e>
                <m:e>
                  <m:r>
                    <m:rPr>
                      <m:sty m:val="p"/>
                    </m:rPr>
                    <w:rPr>
                      <w:rFonts w:ascii="Cambria Math" w:eastAsia="Times New Roman" w:hAnsi="Cambria Math" w:cs="Simplified Arabic"/>
                      <w:sz w:val="24"/>
                      <w:szCs w:val="24"/>
                      <w:lang w:val="en-US"/>
                    </w:rPr>
                    <m:t>c1.2</m:t>
                  </m:r>
                </m:e>
                <m:e>
                  <m:r>
                    <m:rPr>
                      <m:sty m:val="p"/>
                    </m:rPr>
                    <w:rPr>
                      <w:rFonts w:ascii="Cambria Math" w:eastAsia="Times New Roman" w:hAnsi="Cambria Math" w:cs="Simplified Arabic"/>
                      <w:sz w:val="24"/>
                      <w:szCs w:val="24"/>
                      <w:lang w:val="en-US"/>
                    </w:rPr>
                    <m:t>c1.n</m:t>
                  </m:r>
                </m:e>
              </m:mr>
              <m:mr>
                <m:e>
                  <m:r>
                    <m:rPr>
                      <m:sty m:val="p"/>
                    </m:rPr>
                    <w:rPr>
                      <w:rFonts w:ascii="Cambria Math" w:eastAsia="Times New Roman" w:hAnsi="Cambria Math" w:cs="Simplified Arabic"/>
                      <w:sz w:val="24"/>
                      <w:szCs w:val="24"/>
                      <w:lang w:val="en-US"/>
                    </w:rPr>
                    <m:t>1/c1.2</m:t>
                  </m:r>
                </m:e>
                <m:e>
                  <m:r>
                    <m:rPr>
                      <m:sty m:val="p"/>
                    </m:rPr>
                    <w:rPr>
                      <w:rFonts w:ascii="Cambria Math" w:eastAsia="Times New Roman" w:hAnsi="Cambria Math" w:cs="Simplified Arabic"/>
                      <w:sz w:val="24"/>
                      <w:szCs w:val="24"/>
                      <w:lang w:val="en-US"/>
                    </w:rPr>
                    <m:t>1</m:t>
                  </m:r>
                </m:e>
                <m:e>
                  <m:r>
                    <m:rPr>
                      <m:sty m:val="p"/>
                    </m:rPr>
                    <w:rPr>
                      <w:rFonts w:ascii="Cambria Math" w:eastAsia="Times New Roman" w:hAnsi="Cambria Math" w:cs="Simplified Arabic"/>
                      <w:sz w:val="24"/>
                      <w:szCs w:val="24"/>
                      <w:lang w:val="en-US"/>
                    </w:rPr>
                    <m:t>c2.n</m:t>
                  </m:r>
                </m:e>
              </m:mr>
              <m:mr>
                <m:e>
                  <m:r>
                    <m:rPr>
                      <m:sty m:val="p"/>
                    </m:rPr>
                    <w:rPr>
                      <w:rFonts w:ascii="Cambria Math" w:eastAsia="Times New Roman" w:hAnsi="Cambria Math" w:cs="Simplified Arabic"/>
                      <w:sz w:val="24"/>
                      <w:szCs w:val="24"/>
                      <w:lang w:val="en-US"/>
                    </w:rPr>
                    <m:t>1/c1.n</m:t>
                  </m:r>
                </m:e>
                <m:e>
                  <m:r>
                    <m:rPr>
                      <m:sty m:val="p"/>
                    </m:rPr>
                    <w:rPr>
                      <w:rFonts w:ascii="Cambria Math" w:eastAsia="Times New Roman" w:hAnsi="Cambria Math" w:cs="Simplified Arabic"/>
                      <w:sz w:val="24"/>
                      <w:szCs w:val="24"/>
                      <w:lang w:val="en-US"/>
                    </w:rPr>
                    <m:t>1/c2.n</m:t>
                  </m:r>
                </m:e>
                <m:e>
                  <m:r>
                    <m:rPr>
                      <m:sty m:val="p"/>
                    </m:rPr>
                    <w:rPr>
                      <w:rFonts w:ascii="Cambria Math" w:eastAsia="Times New Roman" w:hAnsi="Cambria Math" w:cs="Simplified Arabic"/>
                      <w:sz w:val="24"/>
                      <w:szCs w:val="24"/>
                      <w:lang w:val="en-US"/>
                    </w:rPr>
                    <m:t>1</m:t>
                  </m:r>
                </m:e>
              </m:mr>
            </m:m>
          </m:e>
        </m:d>
        <m:r>
          <m:rPr>
            <m:sty m:val="p"/>
          </m:rPr>
          <w:rPr>
            <w:rFonts w:ascii="Cambria Math" w:eastAsia="Times New Roman" w:hAnsi="Cambria Math" w:cs="Simplified Arabic"/>
            <w:sz w:val="24"/>
            <w:szCs w:val="24"/>
            <w:lang w:val="en-US"/>
          </w:rPr>
          <m:t xml:space="preserve"> </m:t>
        </m:r>
      </m:oMath>
      <w:r w:rsidRPr="00A0418B">
        <w:rPr>
          <w:rFonts w:ascii="Simplified Arabic" w:hAnsi="Simplified Arabic" w:cs="Simplified Arabic"/>
          <w:iCs/>
          <w:sz w:val="24"/>
          <w:szCs w:val="24"/>
          <w:rtl/>
          <w:lang w:val="en-US"/>
        </w:rPr>
        <w:t xml:space="preserve">    </w:t>
      </w:r>
      <w:r w:rsidRPr="00A0418B">
        <w:rPr>
          <w:rFonts w:ascii="Simplified Arabic" w:hAnsi="Simplified Arabic" w:cs="Simplified Arabic"/>
          <w:i/>
          <w:sz w:val="24"/>
          <w:szCs w:val="24"/>
          <w:rtl/>
          <w:lang w:val="en-US"/>
        </w:rPr>
        <w:t>........</w:t>
      </w:r>
      <w:r w:rsidRPr="00A0418B">
        <w:rPr>
          <w:rFonts w:ascii="Simplified Arabic" w:hAnsi="Simplified Arabic" w:cs="Simplified Arabic"/>
          <w:iCs/>
          <w:sz w:val="24"/>
          <w:szCs w:val="24"/>
          <w:rtl/>
          <w:lang w:val="en-US"/>
        </w:rPr>
        <w:t xml:space="preserve"> </w:t>
      </w:r>
      <w:r w:rsidRPr="00A0418B">
        <w:rPr>
          <w:rFonts w:ascii="Simplified Arabic" w:hAnsi="Simplified Arabic" w:cs="Simplified Arabic"/>
          <w:i/>
          <w:sz w:val="24"/>
          <w:szCs w:val="24"/>
          <w:rtl/>
          <w:lang w:val="en-US"/>
        </w:rPr>
        <w:t xml:space="preserve">المعادلة </w:t>
      </w:r>
      <w:r w:rsidRPr="00A0418B">
        <w:rPr>
          <w:rFonts w:ascii="Simplified Arabic" w:eastAsia="Times New Roman" w:hAnsi="Simplified Arabic" w:cs="Simplified Arabic"/>
          <w:bCs/>
          <w:color w:val="000000"/>
          <w:sz w:val="24"/>
          <w:szCs w:val="24"/>
          <w:lang w:val="en-US" w:eastAsia="fr-FR"/>
        </w:rPr>
        <w:t>(1)</w:t>
      </w:r>
    </w:p>
    <w:p w:rsidR="000B42BD" w:rsidRDefault="000B42BD" w:rsidP="000B42BD">
      <w:pPr>
        <w:tabs>
          <w:tab w:val="left" w:pos="8505"/>
          <w:tab w:val="left" w:pos="8789"/>
        </w:tabs>
        <w:bidi/>
        <w:spacing w:after="0"/>
        <w:ind w:firstLine="282"/>
        <w:jc w:val="both"/>
        <w:rPr>
          <w:sz w:val="24"/>
          <w:szCs w:val="24"/>
          <w:rtl/>
          <w:lang w:bidi="ar-DZ"/>
        </w:rPr>
      </w:pPr>
      <w:r w:rsidRPr="00467EC0">
        <w:rPr>
          <w:rFonts w:ascii="Simplified Arabic" w:hAnsi="Simplified Arabic" w:cs="Simplified Arabic"/>
          <w:sz w:val="24"/>
          <w:szCs w:val="24"/>
          <w:rtl/>
          <w:lang w:bidi="ar-DZ"/>
        </w:rPr>
        <w:t>حيث</w:t>
      </w:r>
      <w:r w:rsidRPr="000D1652">
        <w:rPr>
          <w:sz w:val="24"/>
          <w:szCs w:val="24"/>
          <w:rtl/>
          <w:lang w:bidi="ar-DZ"/>
        </w:rPr>
        <w:t xml:space="preserve"> </w:t>
      </w:r>
      <w:r w:rsidRPr="000D1652">
        <w:rPr>
          <w:rFonts w:ascii="Times New Roman" w:hAnsi="Times New Roman" w:cs="Times New Roman"/>
          <w:sz w:val="24"/>
          <w:szCs w:val="24"/>
          <w:lang w:bidi="ar-DZ"/>
        </w:rPr>
        <w:t>M</w:t>
      </w:r>
      <w:r w:rsidRPr="000D1652">
        <w:rPr>
          <w:sz w:val="24"/>
          <w:szCs w:val="24"/>
          <w:rtl/>
          <w:lang w:bidi="ar-DZ"/>
        </w:rPr>
        <w:t xml:space="preserve"> </w:t>
      </w:r>
      <w:r w:rsidRPr="00467EC0">
        <w:rPr>
          <w:rFonts w:ascii="Simplified Arabic" w:hAnsi="Simplified Arabic" w:cs="Simplified Arabic" w:hint="cs"/>
          <w:sz w:val="24"/>
          <w:szCs w:val="24"/>
          <w:rtl/>
          <w:lang w:bidi="ar-DZ"/>
        </w:rPr>
        <w:t>عبارة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عن</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مصفوفة</w:t>
      </w:r>
      <w:r w:rsidRPr="000D1652">
        <w:rPr>
          <w:rFonts w:hint="cs"/>
          <w:sz w:val="24"/>
          <w:szCs w:val="24"/>
          <w:rtl/>
          <w:lang w:bidi="ar-DZ"/>
        </w:rPr>
        <w:t>،</w:t>
      </w:r>
      <w:r w:rsidRPr="000D1652">
        <w:rPr>
          <w:sz w:val="24"/>
          <w:szCs w:val="24"/>
          <w:rtl/>
          <w:lang w:bidi="ar-DZ"/>
        </w:rPr>
        <w:t xml:space="preserve"> </w:t>
      </w:r>
      <w:r w:rsidRPr="000D1652">
        <w:rPr>
          <w:rFonts w:ascii="Times New Roman" w:hAnsi="Times New Roman" w:cs="Times New Roman"/>
          <w:lang w:bidi="ar-DZ"/>
        </w:rPr>
        <w:t>C1.2 ... C1.n</w:t>
      </w:r>
      <w:r w:rsidRPr="000D1652">
        <w:rPr>
          <w:sz w:val="24"/>
          <w:szCs w:val="24"/>
          <w:rtl/>
          <w:lang w:bidi="ar-DZ"/>
        </w:rPr>
        <w:t xml:space="preserve"> </w:t>
      </w:r>
      <w:r w:rsidRPr="00467EC0">
        <w:rPr>
          <w:rFonts w:ascii="Simplified Arabic" w:hAnsi="Simplified Arabic" w:cs="Simplified Arabic" w:hint="cs"/>
          <w:sz w:val="24"/>
          <w:szCs w:val="24"/>
          <w:rtl/>
          <w:lang w:bidi="ar-DZ"/>
        </w:rPr>
        <w:t>هي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مقارنة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ثنائية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بين</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المعايير،</w:t>
      </w:r>
      <w:r w:rsidRPr="000D1652">
        <w:rPr>
          <w:sz w:val="24"/>
          <w:szCs w:val="24"/>
          <w:rtl/>
          <w:lang w:bidi="ar-DZ"/>
        </w:rPr>
        <w:t xml:space="preserve"> </w:t>
      </w:r>
      <w:r w:rsidRPr="000D1652">
        <w:rPr>
          <w:rFonts w:ascii="Times New Roman" w:hAnsi="Times New Roman" w:cs="Times New Roman"/>
          <w:sz w:val="24"/>
          <w:szCs w:val="24"/>
          <w:lang w:bidi="ar-DZ"/>
        </w:rPr>
        <w:t>n</w:t>
      </w:r>
      <w:r w:rsidRPr="000D1652">
        <w:rPr>
          <w:sz w:val="24"/>
          <w:szCs w:val="24"/>
          <w:rtl/>
          <w:lang w:bidi="ar-DZ"/>
        </w:rPr>
        <w:t xml:space="preserve"> </w:t>
      </w:r>
      <w:r w:rsidRPr="00467EC0">
        <w:rPr>
          <w:rFonts w:ascii="Simplified Arabic" w:hAnsi="Simplified Arabic" w:cs="Simplified Arabic" w:hint="cs"/>
          <w:sz w:val="24"/>
          <w:szCs w:val="24"/>
          <w:rtl/>
          <w:lang w:bidi="ar-DZ"/>
        </w:rPr>
        <w:t>هي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عدد</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المعايير</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إذا</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كانت</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هناك</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عوامل</w:t>
      </w:r>
      <w:r w:rsidRPr="000D1652">
        <w:rPr>
          <w:sz w:val="24"/>
          <w:szCs w:val="24"/>
          <w:rtl/>
          <w:lang w:bidi="ar-DZ"/>
        </w:rPr>
        <w:t xml:space="preserve"> </w:t>
      </w:r>
      <w:r w:rsidRPr="000D1652">
        <w:rPr>
          <w:rFonts w:ascii="Times New Roman" w:hAnsi="Times New Roman" w:cs="Times New Roman"/>
          <w:sz w:val="24"/>
          <w:szCs w:val="24"/>
          <w:lang w:bidi="ar-DZ"/>
        </w:rPr>
        <w:t>n</w:t>
      </w:r>
      <w:r w:rsidRPr="00467EC0">
        <w:rPr>
          <w:rFonts w:ascii="Simplified Arabic" w:hAnsi="Simplified Arabic" w:cs="Simplified Arabic" w:hint="cs"/>
          <w:sz w:val="24"/>
          <w:szCs w:val="24"/>
          <w:rtl/>
          <w:lang w:bidi="ar-DZ"/>
        </w:rPr>
        <w:t>،</w:t>
      </w:r>
      <w:r w:rsidRPr="000D1652">
        <w:rPr>
          <w:sz w:val="24"/>
          <w:szCs w:val="24"/>
          <w:rtl/>
          <w:lang w:bidi="ar-DZ"/>
        </w:rPr>
        <w:t xml:space="preserve"> </w:t>
      </w:r>
      <w:r w:rsidRPr="00467EC0">
        <w:rPr>
          <w:rFonts w:ascii="Simplified Arabic" w:hAnsi="Simplified Arabic" w:cs="Simplified Arabic" w:hint="cs"/>
          <w:sz w:val="24"/>
          <w:szCs w:val="24"/>
          <w:rtl/>
          <w:lang w:bidi="ar-DZ"/>
        </w:rPr>
        <w:t>فإن</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الخطوة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الأولى</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هي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إنشاء</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مقارنة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زوجية</w:t>
      </w:r>
      <w:r w:rsidRPr="000D1652">
        <w:rPr>
          <w:sz w:val="24"/>
          <w:szCs w:val="24"/>
          <w:rtl/>
          <w:lang w:bidi="ar-DZ"/>
        </w:rPr>
        <w:t xml:space="preserve"> </w:t>
      </w:r>
      <w:r w:rsidRPr="000D1652">
        <w:rPr>
          <w:rFonts w:ascii="Times New Roman" w:hAnsi="Times New Roman" w:cs="Times New Roman"/>
          <w:sz w:val="24"/>
          <w:szCs w:val="24"/>
          <w:lang w:bidi="ar-DZ"/>
        </w:rPr>
        <w:t>n × n</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في</w:t>
      </w:r>
      <w:r w:rsidRPr="00F27C1E">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هذ</w:t>
      </w:r>
      <w:r w:rsidRPr="00F27C1E">
        <w:rPr>
          <w:rFonts w:ascii="Simplified Arabic" w:hAnsi="Simplified Arabic" w:cs="Simplified Arabic" w:hint="cs"/>
          <w:sz w:val="24"/>
          <w:szCs w:val="24"/>
          <w:rtl/>
          <w:lang w:bidi="ar-DZ"/>
        </w:rPr>
        <w:t>ه</w:t>
      </w:r>
      <w:r w:rsidRPr="00F27C1E">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المصفوفة</w:t>
      </w:r>
      <w:r w:rsidRPr="00467EC0">
        <w:rPr>
          <w:rFonts w:ascii="Simplified Arabic" w:hAnsi="Simplified Arabic" w:cs="Simplified Arabic"/>
          <w:sz w:val="24"/>
          <w:szCs w:val="24"/>
          <w:lang w:bidi="ar-DZ"/>
        </w:rPr>
        <w:t>c</w:t>
      </w:r>
      <w:r w:rsidRPr="00467EC0">
        <w:rPr>
          <w:rFonts w:ascii="Simplified Arabic" w:hAnsi="Simplified Arabic" w:cs="Simplified Arabic"/>
          <w:lang w:bidi="ar-DZ"/>
        </w:rPr>
        <w:t>1</w:t>
      </w:r>
      <w:r w:rsidRPr="000D1652">
        <w:rPr>
          <w:rFonts w:ascii="Times New Roman" w:hAnsi="Times New Roman" w:cs="Times New Roman"/>
          <w:lang w:bidi="ar-DZ"/>
        </w:rPr>
        <w:t>.2 = 1/</w:t>
      </w:r>
      <w:r w:rsidRPr="000D1652">
        <w:rPr>
          <w:rFonts w:ascii="Times New Roman" w:hAnsi="Times New Roman" w:cs="Times New Roman"/>
          <w:sz w:val="24"/>
          <w:szCs w:val="24"/>
          <w:lang w:bidi="ar-DZ"/>
        </w:rPr>
        <w:t>c</w:t>
      </w:r>
      <w:r w:rsidRPr="000D1652">
        <w:rPr>
          <w:rFonts w:ascii="Times New Roman" w:hAnsi="Times New Roman" w:cs="Times New Roman"/>
          <w:lang w:bidi="ar-DZ"/>
        </w:rPr>
        <w:t>1.2</w:t>
      </w:r>
      <w:r w:rsidRPr="000D1652">
        <w:rPr>
          <w:rFonts w:ascii="Times New Roman" w:hAnsi="Times New Roman" w:cs="Times New Roman"/>
          <w:sz w:val="24"/>
          <w:szCs w:val="24"/>
          <w:lang w:bidi="ar-DZ"/>
        </w:rPr>
        <w:t xml:space="preserve"> </w:t>
      </w:r>
      <w:r w:rsidRPr="00467EC0">
        <w:rPr>
          <w:rFonts w:ascii="Simplified Arabic" w:hAnsi="Simplified Arabic" w:cs="Simplified Arabic" w:hint="cs"/>
          <w:sz w:val="24"/>
          <w:szCs w:val="24"/>
          <w:rtl/>
          <w:lang w:bidi="ar-DZ"/>
        </w:rPr>
        <w:t>.</w:t>
      </w:r>
      <w:r w:rsidRPr="000D1652">
        <w:rPr>
          <w:sz w:val="24"/>
          <w:szCs w:val="24"/>
          <w:rtl/>
          <w:lang w:bidi="ar-DZ"/>
        </w:rPr>
        <w:t xml:space="preserve"> </w:t>
      </w:r>
    </w:p>
    <w:p w:rsidR="000B42BD" w:rsidRDefault="000B42BD" w:rsidP="000B42BD">
      <w:pPr>
        <w:tabs>
          <w:tab w:val="left" w:pos="8505"/>
          <w:tab w:val="left" w:pos="8789"/>
        </w:tabs>
        <w:bidi/>
        <w:spacing w:after="0"/>
        <w:ind w:firstLine="282"/>
        <w:jc w:val="both"/>
        <w:rPr>
          <w:rFonts w:ascii="Simplified Arabic" w:hAnsi="Simplified Arabic" w:cs="Simplified Arabic"/>
          <w:sz w:val="24"/>
          <w:szCs w:val="24"/>
          <w:lang w:bidi="ar-DZ"/>
        </w:rPr>
      </w:pPr>
      <w:r w:rsidRPr="00467EC0">
        <w:rPr>
          <w:rFonts w:ascii="Simplified Arabic" w:hAnsi="Simplified Arabic" w:cs="Simplified Arabic" w:hint="cs"/>
          <w:sz w:val="24"/>
          <w:szCs w:val="24"/>
          <w:rtl/>
          <w:lang w:bidi="ar-DZ"/>
        </w:rPr>
        <w:t>عندما</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يتم</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إنشاء</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المصفوفة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باستخدام مقارنات</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ثنائية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بين</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المعايير</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المختارة،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يتم</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إنشاء</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قيمة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لكل</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خلية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في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المصفوفة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إذا</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كانت</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المعايير</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في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الصف</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الأفقي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والصف</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العمودي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متساوية،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فإن</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الخلية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بينهما</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تأخذ</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الرقم</w:t>
      </w:r>
      <w:r w:rsidRPr="00467EC0">
        <w:rPr>
          <w:rFonts w:ascii="Simplified Arabic" w:hAnsi="Simplified Arabic" w:cs="Simplified Arabic"/>
          <w:sz w:val="24"/>
          <w:szCs w:val="24"/>
          <w:rtl/>
          <w:lang w:bidi="ar-DZ"/>
        </w:rPr>
        <w:t xml:space="preserve">1. </w:t>
      </w:r>
      <w:r w:rsidRPr="00467EC0">
        <w:rPr>
          <w:rFonts w:ascii="Simplified Arabic" w:hAnsi="Simplified Arabic" w:cs="Simplified Arabic" w:hint="cs"/>
          <w:sz w:val="24"/>
          <w:szCs w:val="24"/>
          <w:rtl/>
          <w:lang w:bidi="ar-DZ"/>
        </w:rPr>
        <w:t>يتم</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تقسيم</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قيمة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الخلية</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على</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مجموع</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القيم</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في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كل</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عمود</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للحصول</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على</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المتوسط</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الحسابي</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لكل</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صف</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من</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ثم يتم</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رسم</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أوزان</w:t>
      </w:r>
      <w:r w:rsidRPr="00467EC0">
        <w:rPr>
          <w:rFonts w:ascii="Simplified Arabic" w:hAnsi="Simplified Arabic" w:cs="Simplified Arabic"/>
          <w:sz w:val="24"/>
          <w:szCs w:val="24"/>
          <w:rtl/>
          <w:lang w:bidi="ar-DZ"/>
        </w:rPr>
        <w:t xml:space="preserve"> </w:t>
      </w:r>
      <w:r w:rsidRPr="00467EC0">
        <w:rPr>
          <w:rFonts w:ascii="Simplified Arabic" w:hAnsi="Simplified Arabic" w:cs="Simplified Arabic" w:hint="cs"/>
          <w:sz w:val="24"/>
          <w:szCs w:val="24"/>
          <w:rtl/>
          <w:lang w:bidi="ar-DZ"/>
        </w:rPr>
        <w:t>المعايير</w:t>
      </w:r>
      <w:r w:rsidRPr="00467EC0">
        <w:rPr>
          <w:rFonts w:ascii="Simplified Arabic" w:hAnsi="Simplified Arabic" w:cs="Simplified Arabic"/>
          <w:sz w:val="24"/>
          <w:szCs w:val="24"/>
          <w:lang w:bidi="ar-DZ"/>
        </w:rPr>
        <w:t>.</w:t>
      </w:r>
    </w:p>
    <w:p w:rsidR="000B42BD" w:rsidRPr="00CB5D86" w:rsidRDefault="000B42BD" w:rsidP="003A1DB8">
      <w:pPr>
        <w:pStyle w:val="Paragraphedeliste"/>
        <w:numPr>
          <w:ilvl w:val="0"/>
          <w:numId w:val="36"/>
        </w:numPr>
        <w:tabs>
          <w:tab w:val="left" w:pos="992"/>
        </w:tabs>
        <w:bidi/>
        <w:spacing w:after="0"/>
        <w:ind w:left="0" w:firstLine="851"/>
        <w:outlineLvl w:val="3"/>
        <w:rPr>
          <w:rFonts w:ascii="Simplified Arabic" w:hAnsi="Simplified Arabic" w:cs="Simplified Arabic"/>
          <w:b/>
          <w:bCs/>
          <w:sz w:val="24"/>
          <w:szCs w:val="24"/>
          <w:rtl/>
          <w:lang w:val="en-US"/>
        </w:rPr>
      </w:pPr>
      <w:r w:rsidRPr="00CB5D86">
        <w:rPr>
          <w:rFonts w:ascii="Simplified Arabic" w:hAnsi="Simplified Arabic" w:cs="Simplified Arabic" w:hint="cs"/>
          <w:b/>
          <w:bCs/>
          <w:sz w:val="24"/>
          <w:szCs w:val="24"/>
          <w:rtl/>
          <w:lang w:val="en-US"/>
        </w:rPr>
        <w:t xml:space="preserve">الخطوة الثالثة، تحليل </w:t>
      </w:r>
      <w:r w:rsidRPr="00CB5D86">
        <w:rPr>
          <w:rFonts w:ascii="Simplified Arabic" w:hAnsi="Simplified Arabic" w:cs="Simplified Arabic"/>
          <w:b/>
          <w:bCs/>
          <w:sz w:val="24"/>
          <w:szCs w:val="24"/>
          <w:rtl/>
          <w:lang w:val="en-US"/>
        </w:rPr>
        <w:t>اتساق الأحكام</w:t>
      </w:r>
    </w:p>
    <w:p w:rsidR="000B42BD" w:rsidRDefault="000B42BD" w:rsidP="00973A58">
      <w:pPr>
        <w:bidi/>
        <w:spacing w:after="0"/>
        <w:ind w:firstLine="282"/>
        <w:jc w:val="both"/>
        <w:rPr>
          <w:sz w:val="24"/>
          <w:szCs w:val="24"/>
          <w:rtl/>
          <w:lang w:bidi="ar-DZ"/>
        </w:rPr>
      </w:pPr>
      <w:r w:rsidRPr="005454EF">
        <w:rPr>
          <w:rFonts w:ascii="Simplified Arabic" w:hAnsi="Simplified Arabic" w:cs="Simplified Arabic" w:hint="cs"/>
          <w:sz w:val="24"/>
          <w:szCs w:val="24"/>
          <w:rtl/>
          <w:lang w:bidi="ar-DZ"/>
        </w:rPr>
        <w:t>الخطوة</w:t>
      </w:r>
      <w:r w:rsidRPr="005454E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الثالثة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هي</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عملية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جمع</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الأولويات</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أو</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بناء</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تصنيف</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شامل</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للأولويات</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باستخدام</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أوزان</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المعايير</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لتحديد</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أولوياتها</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بعد</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التأكد</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من</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سلامة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التوافق</w:t>
      </w:r>
      <w:r>
        <w:rPr>
          <w:rFonts w:ascii="Simplified Arabic" w:hAnsi="Simplified Arabic" w:cs="Simplified Arabic" w:hint="cs"/>
          <w:sz w:val="24"/>
          <w:szCs w:val="24"/>
          <w:rtl/>
          <w:lang w:bidi="ar-DZ"/>
        </w:rPr>
        <w:t xml:space="preserve"> واتساق الاحكام</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يتم</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ذلك</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عن</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طريق</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استخدام</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مصفوفة</w:t>
      </w:r>
      <w:r w:rsidRPr="005454E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w:t>
      </w:r>
      <w:r w:rsidRPr="005454EF">
        <w:rPr>
          <w:rFonts w:ascii="Simplified Arabic" w:hAnsi="Simplified Arabic" w:cs="Simplified Arabic" w:hint="cs"/>
          <w:sz w:val="24"/>
          <w:szCs w:val="24"/>
          <w:rtl/>
          <w:lang w:bidi="ar-DZ"/>
        </w:rPr>
        <w:t>لمقار</w:t>
      </w:r>
      <w:r>
        <w:rPr>
          <w:rFonts w:ascii="Simplified Arabic" w:hAnsi="Simplified Arabic" w:cs="Simplified Arabic" w:hint="cs"/>
          <w:sz w:val="24"/>
          <w:szCs w:val="24"/>
          <w:rtl/>
          <w:lang w:bidi="ar-DZ"/>
        </w:rPr>
        <w:t>نة</w:t>
      </w:r>
      <w:r w:rsidRPr="005454E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الزوجية</w:t>
      </w:r>
      <w:r w:rsidRPr="005454EF">
        <w:rPr>
          <w:rFonts w:ascii="Simplified Arabic" w:hAnsi="Simplified Arabic" w:cs="Simplified Arabic"/>
          <w:sz w:val="24"/>
          <w:szCs w:val="24"/>
          <w:rtl/>
          <w:lang w:bidi="ar-DZ"/>
        </w:rPr>
        <w:t>.</w:t>
      </w:r>
      <w:r w:rsidRPr="005454EF">
        <w:rPr>
          <w:rFonts w:ascii="Simplified Arabic" w:hAnsi="Simplified Arabic" w:cs="Simplified Arabic" w:hint="cs"/>
          <w:sz w:val="24"/>
          <w:szCs w:val="24"/>
          <w:rtl/>
          <w:lang w:bidi="ar-DZ"/>
        </w:rPr>
        <w:t xml:space="preserve"> </w:t>
      </w:r>
      <w:r w:rsidRPr="003F146D">
        <w:rPr>
          <w:rFonts w:ascii="Simplified Arabic" w:hAnsi="Simplified Arabic" w:cs="Simplified Arabic" w:hint="cs"/>
          <w:sz w:val="24"/>
          <w:szCs w:val="24"/>
          <w:rtl/>
          <w:lang w:bidi="ar-DZ"/>
        </w:rPr>
        <w:t>لضمان</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الاتساق</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داخل</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مصفوفة</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المقارنة</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الزوجية</w:t>
      </w:r>
      <w:r>
        <w:rPr>
          <w:rFonts w:ascii="Simplified Arabic" w:hAnsi="Simplified Arabic" w:cs="Simplified Arabic" w:hint="cs"/>
          <w:sz w:val="24"/>
          <w:szCs w:val="24"/>
          <w:rtl/>
          <w:lang w:bidi="ar-DZ"/>
        </w:rPr>
        <w:t xml:space="preserve"> </w:t>
      </w:r>
      <w:r w:rsidRPr="000D1652">
        <w:rPr>
          <w:rFonts w:ascii="Times New Roman" w:hAnsi="Times New Roman" w:cs="Times New Roman"/>
          <w:sz w:val="24"/>
          <w:szCs w:val="24"/>
          <w:lang w:bidi="ar-DZ"/>
        </w:rPr>
        <w:t>M</w:t>
      </w:r>
      <w:r w:rsidRPr="003F146D">
        <w:rPr>
          <w:rFonts w:ascii="Simplified Arabic" w:hAnsi="Simplified Arabic" w:cs="Simplified Arabic" w:hint="cs"/>
          <w:sz w:val="24"/>
          <w:szCs w:val="24"/>
          <w:rtl/>
          <w:lang w:bidi="ar-DZ"/>
        </w:rPr>
        <w:t>،</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نستخدم</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مؤشر</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الاتساق</w:t>
      </w:r>
      <w:r w:rsidRPr="003F146D">
        <w:rPr>
          <w:rFonts w:ascii="Simplified Arabic" w:hAnsi="Simplified Arabic" w:cs="Simplified Arabic"/>
          <w:sz w:val="24"/>
          <w:szCs w:val="24"/>
          <w:rtl/>
          <w:lang w:bidi="ar-DZ"/>
        </w:rPr>
        <w:t xml:space="preserve"> </w:t>
      </w:r>
      <w:r w:rsidRPr="00F27C1E">
        <w:rPr>
          <w:rFonts w:asciiTheme="majorBidi" w:hAnsiTheme="majorBidi" w:cstheme="majorBidi"/>
          <w:sz w:val="24"/>
          <w:szCs w:val="24"/>
          <w:lang w:bidi="ar-DZ"/>
        </w:rPr>
        <w:t>CI</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للتحقق</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من</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اتساق</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الأحكام</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يتم</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تحديد</w:t>
      </w:r>
      <w:r w:rsidRPr="003F146D">
        <w:rPr>
          <w:rFonts w:ascii="Simplified Arabic" w:hAnsi="Simplified Arabic" w:cs="Simplified Arabic"/>
          <w:sz w:val="24"/>
          <w:szCs w:val="24"/>
          <w:rtl/>
          <w:lang w:bidi="ar-DZ"/>
        </w:rPr>
        <w:t xml:space="preserve"> </w:t>
      </w:r>
      <w:r w:rsidRPr="00F27C1E">
        <w:rPr>
          <w:rFonts w:asciiTheme="majorBidi" w:hAnsiTheme="majorBidi" w:cstheme="majorBidi"/>
          <w:sz w:val="24"/>
          <w:szCs w:val="24"/>
          <w:lang w:bidi="ar-DZ"/>
        </w:rPr>
        <w:t>CI</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بواسطة</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hint="cs"/>
          <w:sz w:val="24"/>
          <w:szCs w:val="24"/>
          <w:rtl/>
          <w:lang w:bidi="ar-DZ"/>
        </w:rPr>
        <w:t>المعادلة</w:t>
      </w:r>
      <w:r w:rsidRPr="003F146D">
        <w:rPr>
          <w:rFonts w:ascii="Simplified Arabic" w:hAnsi="Simplified Arabic" w:cs="Simplified Arabic"/>
          <w:sz w:val="24"/>
          <w:szCs w:val="24"/>
          <w:rtl/>
          <w:lang w:bidi="ar-DZ"/>
        </w:rPr>
        <w:t xml:space="preserve"> </w:t>
      </w:r>
      <w:r w:rsidRPr="003F146D">
        <w:rPr>
          <w:rFonts w:ascii="Simplified Arabic" w:hAnsi="Simplified Arabic" w:cs="Simplified Arabic"/>
          <w:sz w:val="24"/>
          <w:szCs w:val="24"/>
          <w:lang w:bidi="ar-DZ"/>
        </w:rPr>
        <w:t>(2)</w:t>
      </w:r>
      <w:r>
        <w:rPr>
          <w:rFonts w:ascii="Times New Roman" w:eastAsia="Times New Roman" w:hAnsi="Times New Roman" w:cs="Times New Roman" w:hint="cs"/>
          <w:bCs/>
          <w:color w:val="000000"/>
          <w:sz w:val="24"/>
          <w:szCs w:val="24"/>
          <w:rtl/>
          <w:lang w:eastAsia="fr-FR"/>
        </w:rPr>
        <w:t xml:space="preserve"> </w:t>
      </w:r>
      <w:r w:rsidRPr="00FE0A34">
        <w:rPr>
          <w:rFonts w:asciiTheme="majorBidi" w:eastAsia="CharisSIL" w:hAnsiTheme="majorBidi" w:cstheme="majorBidi"/>
          <w:sz w:val="24"/>
          <w:szCs w:val="24"/>
          <w:lang w:val="en-US"/>
        </w:rPr>
        <w:t>(</w:t>
      </w:r>
      <w:r w:rsidRPr="00C75CAD">
        <w:rPr>
          <w:rFonts w:asciiTheme="majorBidi" w:eastAsia="CharisSIL" w:hAnsiTheme="majorBidi" w:cstheme="majorBidi"/>
          <w:sz w:val="24"/>
          <w:szCs w:val="24"/>
          <w:lang w:val="en-US"/>
        </w:rPr>
        <w:t>Haghighi</w:t>
      </w:r>
      <w:r w:rsidRPr="00FE0A34">
        <w:rPr>
          <w:rFonts w:asciiTheme="majorBidi" w:eastAsia="CharisSIL" w:hAnsiTheme="majorBidi" w:cstheme="majorBidi"/>
          <w:sz w:val="24"/>
          <w:szCs w:val="24"/>
          <w:lang w:val="en-US"/>
        </w:rPr>
        <w:t xml:space="preserve"> Fard </w:t>
      </w:r>
      <w:r w:rsidR="00973A58" w:rsidRPr="00F20114">
        <w:rPr>
          <w:rFonts w:asciiTheme="majorBidi" w:eastAsia="CharisSIL" w:hAnsiTheme="majorBidi" w:cstheme="majorBidi"/>
          <w:sz w:val="24"/>
          <w:szCs w:val="24"/>
        </w:rPr>
        <w:t xml:space="preserve">&amp; </w:t>
      </w:r>
      <w:r w:rsidRPr="00FE0A34">
        <w:rPr>
          <w:rFonts w:asciiTheme="majorBidi" w:eastAsia="CharisSIL" w:hAnsiTheme="majorBidi" w:cstheme="majorBidi"/>
          <w:sz w:val="24"/>
          <w:szCs w:val="24"/>
          <w:lang w:val="en-US"/>
        </w:rPr>
        <w:t>Doratli, 2022)</w:t>
      </w:r>
      <w:r>
        <w:rPr>
          <w:rFonts w:hint="cs"/>
          <w:sz w:val="24"/>
          <w:szCs w:val="24"/>
          <w:rtl/>
          <w:lang w:bidi="ar-DZ"/>
        </w:rPr>
        <w:t xml:space="preserve">. </w:t>
      </w:r>
    </w:p>
    <w:p w:rsidR="000B42BD" w:rsidRPr="006D2F1A" w:rsidRDefault="000B42BD" w:rsidP="000B42BD">
      <w:pPr>
        <w:bidi/>
        <w:spacing w:before="240"/>
        <w:jc w:val="center"/>
        <w:rPr>
          <w:rFonts w:ascii="Simplified Arabic" w:hAnsi="Simplified Arabic" w:cs="Simplified Arabic"/>
          <w:i/>
          <w:sz w:val="24"/>
          <w:szCs w:val="24"/>
          <w:rtl/>
          <w:lang w:bidi="ar-DZ"/>
        </w:rPr>
      </w:pPr>
      <m:oMath>
        <m:r>
          <m:rPr>
            <m:sty m:val="p"/>
          </m:rPr>
          <w:rPr>
            <w:rFonts w:ascii="Cambria Math" w:hAnsi="Cambria Math" w:cstheme="majorBidi"/>
            <w:sz w:val="24"/>
            <w:szCs w:val="24"/>
            <w:lang w:val="en-US" w:bidi="ar-DZ"/>
          </w:rPr>
          <m:t>CI=</m:t>
        </m:r>
        <m:f>
          <m:fPr>
            <m:ctrlPr>
              <w:rPr>
                <w:rFonts w:ascii="Cambria Math" w:hAnsi="Cambria Math" w:cstheme="majorBidi"/>
                <w:iCs/>
                <w:sz w:val="24"/>
                <w:szCs w:val="24"/>
                <w:lang w:bidi="ar-DZ"/>
              </w:rPr>
            </m:ctrlPr>
          </m:fPr>
          <m:num>
            <m:r>
              <m:rPr>
                <m:sty m:val="p"/>
              </m:rPr>
              <w:rPr>
                <w:rFonts w:ascii="Cambria Math" w:hAnsi="Cambria Math" w:cstheme="majorBidi"/>
                <w:lang w:bidi="ar-DZ"/>
              </w:rPr>
              <m:t>λ</m:t>
            </m:r>
            <m:r>
              <m:rPr>
                <m:sty m:val="p"/>
              </m:rPr>
              <w:rPr>
                <w:rFonts w:ascii="Cambria Math" w:hAnsi="Cambria Math" w:cstheme="majorBidi"/>
                <w:lang w:val="en-US" w:bidi="ar-DZ"/>
              </w:rPr>
              <m:t>max</m:t>
            </m:r>
            <m:r>
              <m:rPr>
                <m:sty m:val="p"/>
              </m:rPr>
              <w:rPr>
                <w:rFonts w:ascii="Cambria Math" w:hAnsi="Cambria Math" w:cstheme="majorBidi"/>
                <w:sz w:val="24"/>
                <w:szCs w:val="24"/>
                <w:rtl/>
                <w:lang w:bidi="ar-DZ"/>
              </w:rPr>
              <m:t xml:space="preserve"> </m:t>
            </m:r>
            <m:r>
              <m:rPr>
                <m:sty m:val="p"/>
              </m:rPr>
              <w:rPr>
                <w:rFonts w:ascii="Cambria Math" w:hAnsi="Cambria Math" w:cstheme="majorBidi"/>
                <w:sz w:val="24"/>
                <w:szCs w:val="24"/>
                <w:lang w:val="en-US" w:bidi="ar-DZ"/>
              </w:rPr>
              <m:t>-n</m:t>
            </m:r>
          </m:num>
          <m:den>
            <m:r>
              <m:rPr>
                <m:sty m:val="p"/>
              </m:rPr>
              <w:rPr>
                <w:rFonts w:ascii="Cambria Math" w:hAnsi="Cambria Math" w:cstheme="majorBidi"/>
                <w:sz w:val="24"/>
                <w:szCs w:val="24"/>
                <w:lang w:val="en-US" w:bidi="ar-DZ"/>
              </w:rPr>
              <m:t>n-1</m:t>
            </m:r>
          </m:den>
        </m:f>
      </m:oMath>
      <w:r w:rsidRPr="00D15C35">
        <w:rPr>
          <w:rFonts w:asciiTheme="majorBidi" w:hAnsiTheme="majorBidi" w:cstheme="majorBidi"/>
          <w:iCs/>
          <w:sz w:val="24"/>
          <w:szCs w:val="24"/>
          <w:lang w:val="en-US" w:bidi="ar-DZ"/>
        </w:rPr>
        <w:t xml:space="preserve">                           </w:t>
      </w:r>
      <w:r>
        <w:rPr>
          <w:rFonts w:asciiTheme="majorBidi" w:hAnsiTheme="majorBidi" w:cstheme="majorBidi" w:hint="cs"/>
          <w:iCs/>
          <w:sz w:val="24"/>
          <w:szCs w:val="24"/>
          <w:rtl/>
          <w:lang w:val="en-US" w:bidi="ar-DZ"/>
        </w:rPr>
        <w:t xml:space="preserve"> </w:t>
      </w:r>
      <w:r w:rsidRPr="00A0418B">
        <w:rPr>
          <w:rFonts w:ascii="Simplified Arabic" w:hAnsi="Simplified Arabic" w:cs="Simplified Arabic"/>
          <w:iCs/>
          <w:sz w:val="24"/>
          <w:szCs w:val="24"/>
          <w:rtl/>
          <w:lang w:val="en-US"/>
        </w:rPr>
        <w:t xml:space="preserve"> </w:t>
      </w:r>
      <w:r w:rsidRPr="00A0418B">
        <w:rPr>
          <w:rFonts w:ascii="Simplified Arabic" w:hAnsi="Simplified Arabic" w:cs="Simplified Arabic"/>
          <w:i/>
          <w:sz w:val="24"/>
          <w:szCs w:val="24"/>
          <w:rtl/>
          <w:lang w:val="en-US"/>
        </w:rPr>
        <w:t>........</w:t>
      </w:r>
      <w:r w:rsidRPr="00A0418B">
        <w:rPr>
          <w:rFonts w:ascii="Simplified Arabic" w:hAnsi="Simplified Arabic" w:cs="Simplified Arabic"/>
          <w:iCs/>
          <w:sz w:val="24"/>
          <w:szCs w:val="24"/>
          <w:rtl/>
          <w:lang w:val="en-US"/>
        </w:rPr>
        <w:t xml:space="preserve"> </w:t>
      </w:r>
      <w:r w:rsidRPr="00A0418B">
        <w:rPr>
          <w:rFonts w:ascii="Simplified Arabic" w:hAnsi="Simplified Arabic" w:cs="Simplified Arabic"/>
          <w:i/>
          <w:sz w:val="24"/>
          <w:szCs w:val="24"/>
          <w:rtl/>
          <w:lang w:val="en-US"/>
        </w:rPr>
        <w:t xml:space="preserve">المعادلة </w:t>
      </w:r>
      <w:r w:rsidRPr="00A0418B">
        <w:rPr>
          <w:rFonts w:ascii="Simplified Arabic" w:eastAsia="Times New Roman" w:hAnsi="Simplified Arabic" w:cs="Simplified Arabic"/>
          <w:bCs/>
          <w:color w:val="000000"/>
          <w:sz w:val="24"/>
          <w:szCs w:val="24"/>
          <w:lang w:val="en-US" w:eastAsia="fr-FR"/>
        </w:rPr>
        <w:t>(</w:t>
      </w:r>
      <w:r>
        <w:rPr>
          <w:rFonts w:ascii="Simplified Arabic" w:eastAsia="Times New Roman" w:hAnsi="Simplified Arabic" w:cs="Simplified Arabic"/>
          <w:bCs/>
          <w:color w:val="000000"/>
          <w:sz w:val="24"/>
          <w:szCs w:val="24"/>
          <w:lang w:val="en-US" w:eastAsia="fr-FR"/>
        </w:rPr>
        <w:t>2</w:t>
      </w:r>
      <w:r w:rsidRPr="00A0418B">
        <w:rPr>
          <w:rFonts w:ascii="Simplified Arabic" w:eastAsia="Times New Roman" w:hAnsi="Simplified Arabic" w:cs="Simplified Arabic"/>
          <w:bCs/>
          <w:color w:val="000000"/>
          <w:sz w:val="24"/>
          <w:szCs w:val="24"/>
          <w:lang w:val="en-US" w:eastAsia="fr-FR"/>
        </w:rPr>
        <w:t>)</w:t>
      </w:r>
    </w:p>
    <w:p w:rsidR="000B42BD" w:rsidRDefault="000B42BD" w:rsidP="000B42BD">
      <w:pPr>
        <w:bidi/>
        <w:spacing w:after="0"/>
        <w:ind w:firstLine="282"/>
        <w:jc w:val="both"/>
        <w:rPr>
          <w:sz w:val="24"/>
          <w:szCs w:val="24"/>
          <w:rtl/>
          <w:lang w:bidi="ar-DZ"/>
        </w:rPr>
      </w:pPr>
      <w:r w:rsidRPr="005454EF">
        <w:rPr>
          <w:rFonts w:ascii="Simplified Arabic" w:hAnsi="Simplified Arabic" w:cs="Simplified Arabic" w:hint="cs"/>
          <w:sz w:val="24"/>
          <w:szCs w:val="24"/>
          <w:rtl/>
          <w:lang w:bidi="ar-DZ"/>
        </w:rPr>
        <w:t>حيث</w:t>
      </w:r>
      <w:r w:rsidRPr="005454EF">
        <w:rPr>
          <w:rFonts w:ascii="Simplified Arabic" w:hAnsi="Simplified Arabic" w:cs="Simplified Arabic"/>
          <w:sz w:val="24"/>
          <w:szCs w:val="24"/>
          <w:rtl/>
          <w:lang w:bidi="ar-DZ"/>
        </w:rPr>
        <w:t xml:space="preserve"> </w:t>
      </w:r>
      <w:r w:rsidRPr="004E1A7B">
        <w:rPr>
          <w:rFonts w:asciiTheme="majorBidi" w:hAnsiTheme="majorBidi" w:cstheme="majorBidi"/>
          <w:sz w:val="24"/>
          <w:szCs w:val="24"/>
          <w:lang w:bidi="ar-DZ"/>
        </w:rPr>
        <w:t>CI</w:t>
      </w:r>
      <w:r w:rsidRPr="006C47D4">
        <w:rPr>
          <w:sz w:val="24"/>
          <w:szCs w:val="24"/>
          <w:rtl/>
          <w:lang w:bidi="ar-DZ"/>
        </w:rPr>
        <w:t xml:space="preserve"> </w:t>
      </w:r>
      <w:r w:rsidRPr="005454EF">
        <w:rPr>
          <w:rFonts w:ascii="Simplified Arabic" w:hAnsi="Simplified Arabic" w:cs="Simplified Arabic" w:hint="cs"/>
          <w:sz w:val="24"/>
          <w:szCs w:val="24"/>
          <w:rtl/>
          <w:lang w:bidi="ar-DZ"/>
        </w:rPr>
        <w:t>هو</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مؤشر</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الاتساق،</w:t>
      </w:r>
      <w:r w:rsidRPr="006C47D4">
        <w:rPr>
          <w:sz w:val="24"/>
          <w:szCs w:val="24"/>
          <w:rtl/>
          <w:lang w:bidi="ar-DZ"/>
        </w:rPr>
        <w:t xml:space="preserve"> </w:t>
      </w:r>
      <w:r w:rsidRPr="005B654D">
        <w:rPr>
          <w:rFonts w:ascii="Times New Roman" w:hAnsi="Times New Roman" w:cs="Times New Roman"/>
          <w:sz w:val="24"/>
          <w:szCs w:val="24"/>
          <w:lang w:bidi="ar-DZ"/>
        </w:rPr>
        <w:t>λmax</w:t>
      </w:r>
      <w:r w:rsidRPr="006C47D4">
        <w:rPr>
          <w:sz w:val="24"/>
          <w:szCs w:val="24"/>
          <w:rtl/>
          <w:lang w:bidi="ar-DZ"/>
        </w:rPr>
        <w:t xml:space="preserve"> </w:t>
      </w:r>
      <w:r w:rsidRPr="005454EF">
        <w:rPr>
          <w:rFonts w:ascii="Simplified Arabic" w:hAnsi="Simplified Arabic" w:cs="Simplified Arabic" w:hint="cs"/>
          <w:sz w:val="24"/>
          <w:szCs w:val="24"/>
          <w:rtl/>
          <w:lang w:bidi="ar-DZ"/>
        </w:rPr>
        <w:t>هو</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أكبر</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قيمة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ذاتية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للمصفوفة،</w:t>
      </w:r>
      <w:r w:rsidRPr="005454EF">
        <w:rPr>
          <w:rFonts w:ascii="Simplified Arabic" w:hAnsi="Simplified Arabic" w:cs="Simplified Arabic"/>
          <w:sz w:val="24"/>
          <w:szCs w:val="24"/>
          <w:rtl/>
          <w:lang w:bidi="ar-DZ"/>
        </w:rPr>
        <w:t xml:space="preserve"> </w:t>
      </w:r>
      <w:r>
        <w:rPr>
          <w:rFonts w:ascii="Times New Roman" w:eastAsia="Times New Roman" w:hAnsi="Times New Roman" w:cs="Times New Roman"/>
          <w:bCs/>
          <w:color w:val="000000"/>
          <w:sz w:val="24"/>
          <w:szCs w:val="24"/>
          <w:lang w:eastAsia="fr-FR"/>
        </w:rPr>
        <w:t>n</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هو</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عدد</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المعايير</w:t>
      </w:r>
      <w:r w:rsidRPr="005454E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التي تم تحديدها من قبل خبراء دلفي</w:t>
      </w:r>
      <w:r w:rsidRPr="005454EF">
        <w:rPr>
          <w:rFonts w:ascii="Simplified Arabic" w:hAnsi="Simplified Arabic" w:cs="Simplified Arabic"/>
          <w:sz w:val="24"/>
          <w:szCs w:val="24"/>
          <w:lang w:bidi="ar-DZ"/>
        </w:rPr>
        <w:t xml:space="preserve"> </w:t>
      </w:r>
      <w:r w:rsidRPr="005454EF">
        <w:rPr>
          <w:rFonts w:ascii="Simplified Arabic" w:hAnsi="Simplified Arabic" w:cs="Simplified Arabic"/>
          <w:sz w:val="24"/>
          <w:szCs w:val="24"/>
          <w:rtl/>
          <w:lang w:bidi="ar-DZ"/>
        </w:rPr>
        <w:t xml:space="preserve">. </w:t>
      </w:r>
    </w:p>
    <w:p w:rsidR="000B42BD" w:rsidRDefault="000B42BD" w:rsidP="000B42BD">
      <w:pPr>
        <w:bidi/>
        <w:spacing w:after="0"/>
        <w:ind w:firstLine="282"/>
        <w:jc w:val="both"/>
        <w:rPr>
          <w:sz w:val="24"/>
          <w:szCs w:val="24"/>
          <w:lang w:bidi="ar-DZ"/>
        </w:rPr>
      </w:pPr>
      <w:r w:rsidRPr="005454EF">
        <w:rPr>
          <w:rFonts w:ascii="Simplified Arabic" w:hAnsi="Simplified Arabic" w:cs="Simplified Arabic" w:hint="cs"/>
          <w:sz w:val="24"/>
          <w:szCs w:val="24"/>
          <w:rtl/>
          <w:lang w:bidi="ar-DZ"/>
        </w:rPr>
        <w:t>لتأكيد</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فعالية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مصفوفة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المقارنة</w:t>
      </w:r>
      <w:r w:rsidRPr="000D1652">
        <w:rPr>
          <w:rFonts w:asciiTheme="minorBidi" w:hAnsiTheme="minorBidi"/>
          <w:sz w:val="24"/>
          <w:szCs w:val="24"/>
          <w:rtl/>
          <w:lang w:val="en-US"/>
        </w:rPr>
        <w:t xml:space="preserve"> </w:t>
      </w:r>
      <w:r w:rsidRPr="003F146D">
        <w:rPr>
          <w:rFonts w:ascii="Simplified Arabic" w:hAnsi="Simplified Arabic" w:cs="Simplified Arabic" w:hint="cs"/>
          <w:sz w:val="24"/>
          <w:szCs w:val="24"/>
          <w:rtl/>
          <w:lang w:bidi="ar-DZ"/>
        </w:rPr>
        <w:t>الزوجية</w:t>
      </w:r>
      <w:r>
        <w:rPr>
          <w:rFonts w:ascii="Simplified Arabic" w:hAnsi="Simplified Arabic" w:cs="Simplified Arabic" w:hint="cs"/>
          <w:sz w:val="24"/>
          <w:szCs w:val="24"/>
          <w:rtl/>
          <w:lang w:bidi="ar-DZ"/>
        </w:rPr>
        <w:t xml:space="preserve"> </w:t>
      </w:r>
      <w:r w:rsidRPr="000D1652">
        <w:rPr>
          <w:rFonts w:ascii="Times New Roman" w:hAnsi="Times New Roman" w:cs="Times New Roman"/>
          <w:sz w:val="24"/>
          <w:szCs w:val="24"/>
          <w:lang w:bidi="ar-DZ"/>
        </w:rPr>
        <w:t>M</w:t>
      </w:r>
      <w:r w:rsidRPr="003F146D">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5454EF">
        <w:rPr>
          <w:rFonts w:ascii="Simplified Arabic" w:hAnsi="Simplified Arabic" w:cs="Simplified Arabic" w:hint="cs"/>
          <w:sz w:val="24"/>
          <w:szCs w:val="24"/>
          <w:rtl/>
          <w:lang w:bidi="ar-DZ"/>
        </w:rPr>
        <w:t>للتحقق</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من</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قيمة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نسبة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الاتساق،</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تم</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استخدام</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hint="cs"/>
          <w:sz w:val="24"/>
          <w:szCs w:val="24"/>
          <w:rtl/>
          <w:lang w:bidi="ar-DZ"/>
        </w:rPr>
        <w:t>المعادلة</w:t>
      </w:r>
      <w:r w:rsidRPr="005454EF">
        <w:rPr>
          <w:rFonts w:ascii="Simplified Arabic" w:hAnsi="Simplified Arabic" w:cs="Simplified Arabic"/>
          <w:sz w:val="24"/>
          <w:szCs w:val="24"/>
          <w:rtl/>
          <w:lang w:bidi="ar-DZ"/>
        </w:rPr>
        <w:t xml:space="preserve"> </w:t>
      </w:r>
      <w:r w:rsidRPr="005454EF">
        <w:rPr>
          <w:rFonts w:ascii="Simplified Arabic" w:hAnsi="Simplified Arabic" w:cs="Simplified Arabic"/>
          <w:sz w:val="24"/>
          <w:szCs w:val="24"/>
          <w:lang w:bidi="ar-DZ"/>
        </w:rPr>
        <w:t>(3)</w:t>
      </w:r>
      <w:r w:rsidRPr="005454EF">
        <w:rPr>
          <w:rFonts w:ascii="Simplified Arabic" w:hAnsi="Simplified Arabic" w:cs="Simplified Arabic"/>
          <w:sz w:val="24"/>
          <w:szCs w:val="24"/>
          <w:rtl/>
          <w:lang w:bidi="ar-DZ"/>
        </w:rPr>
        <w:t xml:space="preserve"> </w:t>
      </w:r>
      <w:r w:rsidRPr="00F20114">
        <w:rPr>
          <w:rFonts w:asciiTheme="majorBidi" w:eastAsia="CharisSIL" w:hAnsiTheme="majorBidi" w:cstheme="majorBidi"/>
          <w:sz w:val="24"/>
          <w:szCs w:val="24"/>
        </w:rPr>
        <w:t>(</w:t>
      </w:r>
      <w:r w:rsidRPr="00C75CAD">
        <w:rPr>
          <w:rFonts w:asciiTheme="majorBidi" w:eastAsia="CharisSIL" w:hAnsiTheme="majorBidi" w:cstheme="majorBidi"/>
          <w:sz w:val="24"/>
          <w:szCs w:val="24"/>
        </w:rPr>
        <w:t>Krmac</w:t>
      </w:r>
      <w:r w:rsidRPr="00F20114">
        <w:rPr>
          <w:rFonts w:asciiTheme="majorBidi" w:eastAsia="CharisSIL" w:hAnsiTheme="majorBidi" w:cstheme="majorBidi"/>
          <w:sz w:val="24"/>
          <w:szCs w:val="24"/>
        </w:rPr>
        <w:t xml:space="preserve"> &amp; Djordjević, 2017)</w:t>
      </w:r>
      <w:r w:rsidRPr="000D1652">
        <w:rPr>
          <w:sz w:val="24"/>
          <w:szCs w:val="24"/>
          <w:rtl/>
          <w:lang w:bidi="ar-DZ"/>
        </w:rPr>
        <w:t>:</w:t>
      </w:r>
    </w:p>
    <w:p w:rsidR="000B42BD" w:rsidRPr="006D2F1A" w:rsidRDefault="000B42BD" w:rsidP="002357F4">
      <w:pPr>
        <w:bidi/>
        <w:spacing w:before="240" w:after="0" w:line="240" w:lineRule="auto"/>
        <w:jc w:val="center"/>
        <w:rPr>
          <w:rFonts w:ascii="Simplified Arabic" w:hAnsi="Simplified Arabic" w:cs="Simplified Arabic"/>
          <w:i/>
          <w:sz w:val="24"/>
          <w:szCs w:val="24"/>
          <w:rtl/>
          <w:lang w:bidi="ar-DZ"/>
        </w:rPr>
      </w:pPr>
      <m:oMath>
        <m:r>
          <m:rPr>
            <m:sty m:val="p"/>
          </m:rPr>
          <w:rPr>
            <w:rFonts w:ascii="Cambria Math" w:hAnsi="Cambria Math" w:cstheme="majorBidi"/>
            <w:sz w:val="24"/>
            <w:szCs w:val="24"/>
            <w:lang w:bidi="ar-DZ"/>
          </w:rPr>
          <m:t>CR=</m:t>
        </m:r>
        <m:f>
          <m:fPr>
            <m:ctrlPr>
              <w:rPr>
                <w:rFonts w:ascii="Cambria Math" w:hAnsi="Cambria Math" w:cstheme="majorBidi"/>
                <w:iCs/>
                <w:sz w:val="24"/>
                <w:szCs w:val="24"/>
                <w:lang w:bidi="ar-DZ"/>
              </w:rPr>
            </m:ctrlPr>
          </m:fPr>
          <m:num>
            <m:r>
              <m:rPr>
                <m:sty m:val="p"/>
              </m:rPr>
              <w:rPr>
                <w:rFonts w:ascii="Cambria Math" w:hAnsi="Cambria Math" w:cstheme="majorBidi"/>
                <w:sz w:val="24"/>
                <w:szCs w:val="24"/>
                <w:lang w:bidi="ar-DZ"/>
              </w:rPr>
              <m:t>CI</m:t>
            </m:r>
          </m:num>
          <m:den>
            <m:r>
              <m:rPr>
                <m:sty m:val="p"/>
              </m:rPr>
              <w:rPr>
                <w:rFonts w:ascii="Cambria Math" w:hAnsi="Cambria Math" w:cstheme="majorBidi"/>
                <w:sz w:val="24"/>
                <w:szCs w:val="24"/>
                <w:lang w:bidi="ar-DZ"/>
              </w:rPr>
              <m:t>RI</m:t>
            </m:r>
          </m:den>
        </m:f>
      </m:oMath>
      <w:r w:rsidRPr="00A0418B">
        <w:rPr>
          <w:rFonts w:asciiTheme="majorBidi" w:hAnsiTheme="majorBidi" w:cstheme="majorBidi"/>
          <w:i/>
          <w:sz w:val="24"/>
          <w:szCs w:val="24"/>
          <w:lang w:bidi="ar-DZ"/>
        </w:rPr>
        <w:t xml:space="preserve"> </w:t>
      </w:r>
      <w:r w:rsidRPr="00A0418B">
        <w:rPr>
          <w:rFonts w:asciiTheme="majorBidi" w:hAnsiTheme="majorBidi" w:cstheme="majorBidi" w:hint="cs"/>
          <w:i/>
          <w:sz w:val="24"/>
          <w:szCs w:val="24"/>
          <w:rtl/>
          <w:lang w:bidi="ar-DZ"/>
        </w:rPr>
        <w:t xml:space="preserve">  </w:t>
      </w:r>
      <w:r w:rsidRPr="00A0418B">
        <w:rPr>
          <w:rFonts w:ascii="Simplified Arabic" w:hAnsi="Simplified Arabic" w:cs="Simplified Arabic"/>
          <w:i/>
          <w:sz w:val="24"/>
          <w:szCs w:val="24"/>
          <w:rtl/>
          <w:lang w:val="en-US"/>
        </w:rPr>
        <w:t xml:space="preserve"> ........</w:t>
      </w:r>
      <w:r w:rsidRPr="00A0418B">
        <w:rPr>
          <w:rFonts w:ascii="Simplified Arabic" w:hAnsi="Simplified Arabic" w:cs="Simplified Arabic"/>
          <w:iCs/>
          <w:sz w:val="24"/>
          <w:szCs w:val="24"/>
          <w:rtl/>
          <w:lang w:val="en-US"/>
        </w:rPr>
        <w:t xml:space="preserve"> </w:t>
      </w:r>
      <w:r w:rsidRPr="00A0418B">
        <w:rPr>
          <w:rFonts w:ascii="Simplified Arabic" w:hAnsi="Simplified Arabic" w:cs="Simplified Arabic"/>
          <w:i/>
          <w:sz w:val="24"/>
          <w:szCs w:val="24"/>
          <w:rtl/>
          <w:lang w:val="en-US"/>
        </w:rPr>
        <w:t xml:space="preserve">المعادلة </w:t>
      </w:r>
      <w:r w:rsidRPr="00A0418B">
        <w:rPr>
          <w:rFonts w:ascii="Simplified Arabic" w:eastAsia="Times New Roman" w:hAnsi="Simplified Arabic" w:cs="Simplified Arabic"/>
          <w:bCs/>
          <w:color w:val="000000"/>
          <w:sz w:val="24"/>
          <w:szCs w:val="24"/>
          <w:lang w:val="en-US" w:eastAsia="fr-FR"/>
        </w:rPr>
        <w:t>(</w:t>
      </w:r>
      <w:r>
        <w:rPr>
          <w:rFonts w:ascii="Simplified Arabic" w:eastAsia="Times New Roman" w:hAnsi="Simplified Arabic" w:cs="Simplified Arabic"/>
          <w:bCs/>
          <w:color w:val="000000"/>
          <w:sz w:val="24"/>
          <w:szCs w:val="24"/>
          <w:lang w:val="en-US" w:eastAsia="fr-FR"/>
        </w:rPr>
        <w:t>3</w:t>
      </w:r>
      <w:r w:rsidRPr="00A0418B">
        <w:rPr>
          <w:rFonts w:ascii="Simplified Arabic" w:eastAsia="Times New Roman" w:hAnsi="Simplified Arabic" w:cs="Simplified Arabic"/>
          <w:bCs/>
          <w:color w:val="000000"/>
          <w:sz w:val="24"/>
          <w:szCs w:val="24"/>
          <w:lang w:val="en-US" w:eastAsia="fr-FR"/>
        </w:rPr>
        <w:t>)</w:t>
      </w:r>
    </w:p>
    <w:p w:rsidR="000B42BD" w:rsidRDefault="000B42BD" w:rsidP="002357F4">
      <w:pPr>
        <w:bidi/>
        <w:spacing w:before="240" w:after="0"/>
        <w:ind w:firstLine="282"/>
        <w:jc w:val="both"/>
        <w:rPr>
          <w:rStyle w:val="y2iqfc"/>
          <w:rFonts w:ascii="Simplified Arabic" w:eastAsia="Times New Roman" w:hAnsi="Simplified Arabic" w:cs="Simplified Arabic"/>
          <w:color w:val="202124"/>
          <w:sz w:val="24"/>
          <w:szCs w:val="24"/>
          <w:rtl/>
          <w:lang w:eastAsia="fr-FR" w:bidi="ar"/>
        </w:rPr>
      </w:pPr>
      <w:r w:rsidRPr="00F20114">
        <w:rPr>
          <w:rStyle w:val="y2iqfc"/>
          <w:rFonts w:ascii="Simplified Arabic" w:eastAsia="Times New Roman" w:hAnsi="Simplified Arabic" w:cs="Simplified Arabic"/>
          <w:color w:val="202124"/>
          <w:sz w:val="24"/>
          <w:szCs w:val="24"/>
          <w:rtl/>
          <w:lang w:eastAsia="fr-FR" w:bidi="ar"/>
        </w:rPr>
        <w:t>حيث</w:t>
      </w:r>
      <w:r w:rsidRPr="00F20114">
        <w:rPr>
          <w:rFonts w:ascii="Simplified Arabic" w:hAnsi="Simplified Arabic" w:cs="Simplified Arabic"/>
          <w:sz w:val="24"/>
          <w:szCs w:val="24"/>
          <w:rtl/>
          <w:lang w:bidi="ar-DZ"/>
        </w:rPr>
        <w:t xml:space="preserve"> </w:t>
      </w:r>
      <w:r w:rsidRPr="00F20114">
        <w:rPr>
          <w:rFonts w:ascii="Times New Roman" w:hAnsi="Times New Roman" w:cs="Times New Roman"/>
          <w:sz w:val="24"/>
          <w:szCs w:val="24"/>
          <w:lang w:bidi="ar-DZ"/>
        </w:rPr>
        <w:t>CR</w:t>
      </w:r>
      <w:r w:rsidRPr="00F20114">
        <w:rPr>
          <w:rStyle w:val="y2iqfc"/>
          <w:rFonts w:ascii="Simplified Arabic" w:eastAsia="Times New Roman" w:hAnsi="Simplified Arabic" w:cs="Simplified Arabic"/>
          <w:color w:val="2021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هي</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نسبة</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الاتساق</w:t>
      </w:r>
      <w:r>
        <w:rPr>
          <w:rStyle w:val="y2iqfc"/>
          <w:rFonts w:ascii="Simplified Arabic" w:eastAsia="Times New Roman" w:hAnsi="Simplified Arabic" w:cs="Simplified Arabic" w:hint="cs"/>
          <w:color w:val="202124"/>
          <w:sz w:val="24"/>
          <w:szCs w:val="24"/>
          <w:rtl/>
          <w:lang w:eastAsia="fr-FR" w:bidi="ar"/>
        </w:rPr>
        <w:t>،</w:t>
      </w:r>
      <w:r w:rsidRPr="001D66CA">
        <w:rPr>
          <w:rFonts w:asciiTheme="minorBidi" w:hAnsiTheme="minorBidi" w:cs="Arial"/>
          <w:sz w:val="28"/>
          <w:szCs w:val="28"/>
          <w:rtl/>
          <w:lang w:val="en-US"/>
        </w:rPr>
        <w:t xml:space="preserve"> </w:t>
      </w:r>
      <w:r w:rsidRPr="00F20114">
        <w:rPr>
          <w:rFonts w:ascii="Times New Roman" w:hAnsi="Times New Roman" w:cs="Times New Roman"/>
          <w:sz w:val="24"/>
          <w:szCs w:val="24"/>
          <w:lang w:bidi="ar-DZ"/>
        </w:rPr>
        <w:t>RI</w:t>
      </w:r>
      <w:r w:rsidRPr="00F20114">
        <w:rPr>
          <w:sz w:val="24"/>
          <w:szCs w:val="24"/>
          <w:rtl/>
          <w:lang w:bidi="ar-DZ"/>
        </w:rPr>
        <w:t xml:space="preserve"> </w:t>
      </w:r>
      <w:r w:rsidRPr="00F20114">
        <w:rPr>
          <w:rStyle w:val="y2iqfc"/>
          <w:rFonts w:ascii="Simplified Arabic" w:eastAsia="Times New Roman" w:hAnsi="Simplified Arabic" w:cs="Simplified Arabic" w:hint="cs"/>
          <w:color w:val="202124"/>
          <w:sz w:val="24"/>
          <w:szCs w:val="24"/>
          <w:rtl/>
          <w:lang w:eastAsia="fr-FR" w:bidi="ar"/>
        </w:rPr>
        <w:t>هي</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مؤشر</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الاتساق العشوائي</w:t>
      </w:r>
      <w:r w:rsidRPr="00F20114">
        <w:rPr>
          <w:rStyle w:val="y2iqfc"/>
          <w:rFonts w:ascii="Simplified Arabic" w:eastAsia="Times New Roman" w:hAnsi="Simplified Arabic" w:cs="Simplified Arabic"/>
          <w:color w:val="202124"/>
          <w:sz w:val="24"/>
          <w:szCs w:val="24"/>
          <w:rtl/>
          <w:lang w:eastAsia="fr-FR" w:bidi="ar"/>
        </w:rPr>
        <w:t>.</w:t>
      </w:r>
    </w:p>
    <w:p w:rsidR="000B42BD" w:rsidRDefault="000B42BD" w:rsidP="003A1DB8">
      <w:pPr>
        <w:bidi/>
        <w:spacing w:after="0"/>
        <w:ind w:firstLine="282"/>
        <w:jc w:val="both"/>
        <w:rPr>
          <w:rStyle w:val="y2iqfc"/>
          <w:rFonts w:ascii="Simplified Arabic" w:eastAsia="Times New Roman" w:hAnsi="Simplified Arabic" w:cs="Simplified Arabic"/>
          <w:color w:val="202124"/>
          <w:sz w:val="24"/>
          <w:szCs w:val="24"/>
          <w:rtl/>
          <w:lang w:eastAsia="fr-FR" w:bidi="ar"/>
        </w:rPr>
      </w:pPr>
      <w:r w:rsidRPr="00C75CAD">
        <w:rPr>
          <w:rStyle w:val="y2iqfc"/>
          <w:rFonts w:ascii="Simplified Arabic" w:eastAsia="Times New Roman" w:hAnsi="Simplified Arabic" w:cs="Simplified Arabic" w:hint="cs"/>
          <w:color w:val="202124"/>
          <w:sz w:val="24"/>
          <w:szCs w:val="24"/>
          <w:rtl/>
          <w:lang w:eastAsia="fr-FR" w:bidi="ar"/>
        </w:rPr>
        <w:t>إذا</w:t>
      </w:r>
      <w:r w:rsidRPr="00C75CAD">
        <w:rPr>
          <w:rStyle w:val="y2iqfc"/>
          <w:rFonts w:ascii="Simplified Arabic" w:eastAsia="Times New Roman" w:hAnsi="Simplified Arabic" w:cs="Simplified Arabic"/>
          <w:color w:val="202124"/>
          <w:sz w:val="24"/>
          <w:szCs w:val="24"/>
          <w:rtl/>
          <w:lang w:eastAsia="fr-FR" w:bidi="ar"/>
        </w:rPr>
        <w:t xml:space="preserve"> </w:t>
      </w:r>
      <w:r w:rsidRPr="00C75CAD">
        <w:rPr>
          <w:rStyle w:val="y2iqfc"/>
          <w:rFonts w:ascii="Simplified Arabic" w:eastAsia="Times New Roman" w:hAnsi="Simplified Arabic" w:cs="Simplified Arabic" w:hint="cs"/>
          <w:color w:val="202124"/>
          <w:sz w:val="24"/>
          <w:szCs w:val="24"/>
          <w:rtl/>
          <w:lang w:eastAsia="fr-FR" w:bidi="ar"/>
        </w:rPr>
        <w:t>كان</w:t>
      </w:r>
      <w:r w:rsidRPr="00C75CAD">
        <w:rPr>
          <w:rFonts w:asciiTheme="minorBidi" w:hAnsiTheme="minorBidi"/>
          <w:sz w:val="28"/>
          <w:szCs w:val="28"/>
          <w:rtl/>
          <w:lang w:val="en-US"/>
        </w:rPr>
        <w:t xml:space="preserve"> </w:t>
      </w:r>
      <w:r w:rsidRPr="00C75CAD">
        <w:rPr>
          <w:rFonts w:ascii="Simplified Arabic" w:hAnsi="Simplified Arabic" w:cs="Simplified Arabic"/>
          <w:sz w:val="24"/>
          <w:szCs w:val="24"/>
          <w:rtl/>
          <w:lang w:val="en-US"/>
        </w:rPr>
        <w:t>0.10</w:t>
      </w:r>
      <m:oMath>
        <m:r>
          <m:rPr>
            <m:sty m:val="p"/>
          </m:rPr>
          <w:rPr>
            <w:rFonts w:ascii="Cambria Math" w:hAnsi="Cambria Math" w:cs="Arial"/>
            <w:sz w:val="24"/>
            <w:szCs w:val="24"/>
            <w:rtl/>
            <w:lang w:val="en-US"/>
          </w:rPr>
          <m:t>≤</m:t>
        </m:r>
      </m:oMath>
      <w:r w:rsidRPr="00C75CAD">
        <w:rPr>
          <w:rFonts w:asciiTheme="minorBidi" w:hAnsiTheme="minorBidi" w:cs="Arial"/>
          <w:sz w:val="24"/>
          <w:szCs w:val="24"/>
          <w:rtl/>
          <w:lang w:val="en-US"/>
        </w:rPr>
        <w:t xml:space="preserve"> </w:t>
      </w:r>
      <w:r w:rsidRPr="00C75CAD">
        <w:rPr>
          <w:rFonts w:asciiTheme="majorBidi" w:hAnsiTheme="majorBidi" w:cstheme="majorBidi"/>
          <w:sz w:val="24"/>
          <w:szCs w:val="24"/>
          <w:lang w:val="en-US"/>
        </w:rPr>
        <w:t>CR</w:t>
      </w:r>
      <w:r w:rsidRPr="00C75CAD">
        <w:rPr>
          <w:rFonts w:asciiTheme="majorBidi" w:eastAsiaTheme="minorEastAsia" w:hAnsiTheme="majorBidi" w:cstheme="majorBidi" w:hint="cs"/>
          <w:sz w:val="24"/>
          <w:szCs w:val="24"/>
          <w:rtl/>
          <w:lang w:val="en-US"/>
        </w:rPr>
        <w:t xml:space="preserve"> </w:t>
      </w:r>
      <w:r w:rsidRPr="00C75CAD">
        <w:rPr>
          <w:rFonts w:ascii="Simplified Arabic" w:hAnsi="Simplified Arabic" w:cs="Simplified Arabic" w:hint="cs"/>
          <w:sz w:val="24"/>
          <w:szCs w:val="24"/>
          <w:rtl/>
          <w:lang w:val="en-US"/>
        </w:rPr>
        <w:t xml:space="preserve"> </w:t>
      </w:r>
      <w:r w:rsidRPr="00C75CAD">
        <w:rPr>
          <w:rStyle w:val="y2iqfc"/>
          <w:rFonts w:ascii="Simplified Arabic" w:eastAsia="Times New Roman" w:hAnsi="Simplified Arabic" w:cs="Simplified Arabic" w:hint="cs"/>
          <w:color w:val="202124"/>
          <w:sz w:val="24"/>
          <w:szCs w:val="24"/>
          <w:rtl/>
          <w:lang w:eastAsia="fr-FR" w:bidi="ar"/>
        </w:rPr>
        <w:t>فإن</w:t>
      </w:r>
      <w:r w:rsidRPr="00C75CAD">
        <w:rPr>
          <w:rStyle w:val="y2iqfc"/>
          <w:rFonts w:ascii="Simplified Arabic" w:eastAsia="Times New Roman" w:hAnsi="Simplified Arabic" w:cs="Simplified Arabic"/>
          <w:color w:val="202124"/>
          <w:sz w:val="24"/>
          <w:szCs w:val="24"/>
          <w:rtl/>
          <w:lang w:eastAsia="fr-FR" w:bidi="ar"/>
        </w:rPr>
        <w:t xml:space="preserve"> </w:t>
      </w:r>
      <w:r w:rsidRPr="00C75CAD">
        <w:rPr>
          <w:rStyle w:val="y2iqfc"/>
          <w:rFonts w:ascii="Simplified Arabic" w:eastAsia="Times New Roman" w:hAnsi="Simplified Arabic" w:cs="Simplified Arabic" w:hint="cs"/>
          <w:color w:val="202124"/>
          <w:sz w:val="24"/>
          <w:szCs w:val="24"/>
          <w:rtl/>
          <w:lang w:eastAsia="fr-FR" w:bidi="ar"/>
        </w:rPr>
        <w:t>مصفوفة</w:t>
      </w:r>
      <w:r w:rsidRPr="00C75CAD">
        <w:rPr>
          <w:rStyle w:val="y2iqfc"/>
          <w:rFonts w:ascii="Simplified Arabic" w:eastAsia="Times New Roman" w:hAnsi="Simplified Arabic" w:cs="Simplified Arabic"/>
          <w:color w:val="202124"/>
          <w:sz w:val="24"/>
          <w:szCs w:val="24"/>
          <w:rtl/>
          <w:lang w:eastAsia="fr-FR" w:bidi="ar"/>
        </w:rPr>
        <w:t xml:space="preserve"> </w:t>
      </w:r>
      <w:r w:rsidRPr="00C75CAD">
        <w:rPr>
          <w:rStyle w:val="y2iqfc"/>
          <w:rFonts w:ascii="Simplified Arabic" w:eastAsia="Times New Roman" w:hAnsi="Simplified Arabic" w:cs="Simplified Arabic" w:hint="cs"/>
          <w:color w:val="202124"/>
          <w:sz w:val="24"/>
          <w:szCs w:val="24"/>
          <w:rtl/>
          <w:lang w:eastAsia="fr-FR" w:bidi="ar"/>
        </w:rPr>
        <w:t>المقارنة تفي</w:t>
      </w:r>
      <w:r w:rsidRPr="00C75CAD">
        <w:rPr>
          <w:rStyle w:val="y2iqfc"/>
          <w:rFonts w:ascii="Simplified Arabic" w:eastAsia="Times New Roman" w:hAnsi="Simplified Arabic" w:cs="Simplified Arabic"/>
          <w:color w:val="202124"/>
          <w:sz w:val="24"/>
          <w:szCs w:val="24"/>
          <w:rtl/>
          <w:lang w:eastAsia="fr-FR" w:bidi="ar"/>
        </w:rPr>
        <w:t xml:space="preserve"> </w:t>
      </w:r>
      <w:r w:rsidRPr="00C75CAD">
        <w:rPr>
          <w:rStyle w:val="y2iqfc"/>
          <w:rFonts w:ascii="Simplified Arabic" w:eastAsia="Times New Roman" w:hAnsi="Simplified Arabic" w:cs="Simplified Arabic" w:hint="cs"/>
          <w:color w:val="202124"/>
          <w:sz w:val="24"/>
          <w:szCs w:val="24"/>
          <w:rtl/>
          <w:lang w:eastAsia="fr-FR" w:bidi="ar"/>
        </w:rPr>
        <w:t>بمعيار</w:t>
      </w:r>
      <w:r w:rsidRPr="00C75CAD">
        <w:rPr>
          <w:rStyle w:val="y2iqfc"/>
          <w:rFonts w:ascii="Simplified Arabic" w:eastAsia="Times New Roman" w:hAnsi="Simplified Arabic" w:cs="Simplified Arabic"/>
          <w:color w:val="202124"/>
          <w:sz w:val="24"/>
          <w:szCs w:val="24"/>
          <w:rtl/>
          <w:lang w:eastAsia="fr-FR" w:bidi="ar"/>
        </w:rPr>
        <w:t xml:space="preserve"> </w:t>
      </w:r>
      <w:r w:rsidRPr="00C75CAD">
        <w:rPr>
          <w:rStyle w:val="y2iqfc"/>
          <w:rFonts w:ascii="Simplified Arabic" w:eastAsia="Times New Roman" w:hAnsi="Simplified Arabic" w:cs="Simplified Arabic" w:hint="cs"/>
          <w:color w:val="202124"/>
          <w:sz w:val="24"/>
          <w:szCs w:val="24"/>
          <w:rtl/>
          <w:lang w:eastAsia="fr-FR" w:bidi="ar"/>
        </w:rPr>
        <w:t>التوافق</w:t>
      </w:r>
      <w:r w:rsidRPr="00C75CAD">
        <w:rPr>
          <w:rFonts w:asciiTheme="minorBidi" w:hAnsiTheme="minorBidi"/>
          <w:sz w:val="24"/>
          <w:szCs w:val="24"/>
          <w:rtl/>
          <w:lang w:val="en-US"/>
        </w:rPr>
        <w:t xml:space="preserve"> </w:t>
      </w:r>
      <w:r w:rsidRPr="00C75CAD">
        <w:rPr>
          <w:rFonts w:asciiTheme="majorBidi" w:hAnsiTheme="majorBidi" w:cstheme="majorBidi"/>
          <w:sz w:val="24"/>
          <w:szCs w:val="24"/>
          <w:lang w:val="en-US"/>
        </w:rPr>
        <w:t>(Saaty</w:t>
      </w:r>
      <w:r w:rsidRPr="00C75CAD">
        <w:rPr>
          <w:rFonts w:asciiTheme="majorBidi" w:hAnsiTheme="majorBidi" w:cstheme="majorBidi"/>
          <w:sz w:val="24"/>
          <w:szCs w:val="24"/>
        </w:rPr>
        <w:t>,</w:t>
      </w:r>
      <w:r w:rsidRPr="00C75CAD">
        <w:rPr>
          <w:rFonts w:asciiTheme="majorBidi" w:hAnsiTheme="majorBidi" w:cstheme="majorBidi"/>
          <w:sz w:val="24"/>
          <w:szCs w:val="24"/>
          <w:lang w:val="en-US"/>
        </w:rPr>
        <w:t xml:space="preserve"> 1994)</w:t>
      </w:r>
      <w:r w:rsidRPr="00C75CAD">
        <w:rPr>
          <w:rStyle w:val="y2iqfc"/>
          <w:rFonts w:ascii="Simplified Arabic" w:eastAsia="Times New Roman" w:hAnsi="Simplified Arabic" w:cs="Simplified Arabic"/>
          <w:color w:val="202124"/>
          <w:rtl/>
          <w:lang w:eastAsia="fr-FR" w:bidi="ar"/>
        </w:rPr>
        <w:t>.</w:t>
      </w:r>
      <w:r w:rsidRPr="00C75CAD">
        <w:rPr>
          <w:rStyle w:val="y2iqfc"/>
          <w:rFonts w:ascii="Simplified Arabic" w:eastAsia="Times New Roman" w:hAnsi="Simplified Arabic" w:cs="Simplified Arabic" w:hint="cs"/>
          <w:color w:val="202124"/>
          <w:rtl/>
          <w:lang w:eastAsia="fr-FR" w:bidi="ar"/>
        </w:rPr>
        <w:t xml:space="preserve"> </w:t>
      </w:r>
      <w:r w:rsidRPr="00C75CAD">
        <w:rPr>
          <w:rFonts w:ascii="Simplified Arabic" w:hAnsi="Simplified Arabic" w:cs="Simplified Arabic" w:hint="cs"/>
          <w:sz w:val="24"/>
          <w:szCs w:val="24"/>
          <w:rtl/>
          <w:lang w:val="en-US"/>
        </w:rPr>
        <w:t>قد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يحدث</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تضارب</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في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الأحكام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لأن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هذا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متأصل</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في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عملية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التحكيم،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لذلك،</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إذا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تجاوز</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 xml:space="preserve">التناقض </w:t>
      </w:r>
      <w:r w:rsidRPr="00C75CAD">
        <w:rPr>
          <w:rFonts w:ascii="Simplified Arabic" w:hAnsi="Simplified Arabic" w:cs="Simplified Arabic"/>
          <w:sz w:val="24"/>
          <w:szCs w:val="24"/>
          <w:rtl/>
          <w:lang w:val="en-US"/>
        </w:rPr>
        <w:t>0.10</w:t>
      </w:r>
      <w:r w:rsidRPr="00C75CAD">
        <w:rPr>
          <w:rFonts w:asciiTheme="majorBidi" w:hAnsiTheme="majorBidi" w:cstheme="majorBidi"/>
          <w:sz w:val="24"/>
          <w:szCs w:val="24"/>
          <w:lang w:val="en-US"/>
        </w:rPr>
        <w:t>CR</w:t>
      </w:r>
      <m:oMath>
        <m:r>
          <m:rPr>
            <m:sty m:val="p"/>
          </m:rPr>
          <w:rPr>
            <w:rFonts w:ascii="Cambria Math" w:hAnsi="Cambria Math" w:cs="Arial"/>
            <w:sz w:val="24"/>
            <w:szCs w:val="24"/>
            <w:rtl/>
            <w:lang w:val="en-US"/>
          </w:rPr>
          <m:t>&gt;</m:t>
        </m:r>
      </m:oMath>
      <w:r w:rsidRPr="00C75CAD">
        <w:rPr>
          <w:rFonts w:asciiTheme="majorBidi" w:eastAsiaTheme="minorEastAsia" w:hAnsiTheme="majorBidi" w:cstheme="majorBidi" w:hint="cs"/>
          <w:sz w:val="24"/>
          <w:szCs w:val="24"/>
          <w:rtl/>
          <w:lang w:val="en-US"/>
        </w:rPr>
        <w:t xml:space="preserve"> </w:t>
      </w:r>
      <w:r w:rsidRPr="00C75CAD">
        <w:rPr>
          <w:rFonts w:ascii="Simplified Arabic" w:eastAsiaTheme="minorEastAsia"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تعتبر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الأحكام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غير</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موثوقة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لأنها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قريبة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جدًا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كونها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عشوائية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مما</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يعني</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أن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مراجعة</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أخرى</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للأحكام</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قد</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تكون</w:t>
      </w:r>
      <w:r w:rsidRPr="00C75CAD">
        <w:rPr>
          <w:rFonts w:ascii="Simplified Arabic" w:hAnsi="Simplified Arabic" w:cs="Simplified Arabic"/>
          <w:sz w:val="24"/>
          <w:szCs w:val="24"/>
          <w:rtl/>
          <w:lang w:val="en-US"/>
        </w:rPr>
        <w:t xml:space="preserve"> </w:t>
      </w:r>
      <w:r w:rsidRPr="00C75CAD">
        <w:rPr>
          <w:rFonts w:ascii="Simplified Arabic" w:hAnsi="Simplified Arabic" w:cs="Simplified Arabic" w:hint="cs"/>
          <w:sz w:val="24"/>
          <w:szCs w:val="24"/>
          <w:rtl/>
          <w:lang w:val="en-US"/>
        </w:rPr>
        <w:t>مطلوبة</w:t>
      </w:r>
      <w:r w:rsidRPr="00C75CAD">
        <w:rPr>
          <w:rFonts w:asciiTheme="minorBidi" w:hAnsiTheme="minorBidi" w:cs="Arial"/>
          <w:sz w:val="28"/>
          <w:szCs w:val="28"/>
          <w:rtl/>
          <w:lang w:val="en-US"/>
        </w:rPr>
        <w:t xml:space="preserve"> </w:t>
      </w:r>
      <w:r w:rsidRPr="00C75CAD">
        <w:rPr>
          <w:rFonts w:asciiTheme="majorBidi" w:hAnsiTheme="majorBidi" w:cstheme="majorBidi"/>
          <w:sz w:val="24"/>
          <w:szCs w:val="24"/>
          <w:lang w:val="en-US"/>
        </w:rPr>
        <w:t>(Saaty</w:t>
      </w:r>
      <w:r w:rsidRPr="00C75CAD">
        <w:rPr>
          <w:rFonts w:asciiTheme="majorBidi" w:hAnsiTheme="majorBidi" w:cstheme="majorBidi"/>
          <w:sz w:val="24"/>
          <w:szCs w:val="24"/>
        </w:rPr>
        <w:t>,</w:t>
      </w:r>
      <w:r w:rsidRPr="00C75CAD">
        <w:rPr>
          <w:rFonts w:asciiTheme="majorBidi" w:hAnsiTheme="majorBidi" w:cstheme="majorBidi"/>
          <w:sz w:val="24"/>
          <w:szCs w:val="24"/>
          <w:lang w:val="en-US"/>
        </w:rPr>
        <w:t xml:space="preserve"> 1994)</w:t>
      </w:r>
      <w:r w:rsidRPr="00C75CAD">
        <w:rPr>
          <w:rFonts w:ascii="Simplified Arabic" w:hAnsi="Simplified Arabic" w:cs="Simplified Arabic"/>
          <w:sz w:val="24"/>
          <w:szCs w:val="24"/>
          <w:rtl/>
          <w:lang w:val="en-US"/>
        </w:rPr>
        <w:t>.</w:t>
      </w:r>
      <w:r w:rsidR="003A1DB8">
        <w:rPr>
          <w:rFonts w:ascii="Simplified Arabic" w:hAnsi="Simplified Arabic" w:cs="Simplified Arabic" w:hint="cs"/>
          <w:sz w:val="24"/>
          <w:szCs w:val="24"/>
          <w:rtl/>
          <w:lang w:val="en-US"/>
        </w:rPr>
        <w:t xml:space="preserve"> </w:t>
      </w:r>
      <w:r w:rsidRPr="00F20114">
        <w:rPr>
          <w:rStyle w:val="y2iqfc"/>
          <w:rFonts w:ascii="Simplified Arabic" w:eastAsia="Times New Roman" w:hAnsi="Simplified Arabic" w:cs="Simplified Arabic" w:hint="cs"/>
          <w:color w:val="202124"/>
          <w:sz w:val="24"/>
          <w:szCs w:val="24"/>
          <w:rtl/>
          <w:lang w:eastAsia="fr-FR" w:bidi="ar"/>
        </w:rPr>
        <w:t>أرسى</w:t>
      </w:r>
      <w:r w:rsidRPr="00F20114">
        <w:rPr>
          <w:rFonts w:hint="cs"/>
          <w:sz w:val="24"/>
          <w:szCs w:val="24"/>
          <w:rtl/>
          <w:lang w:bidi="ar-DZ"/>
        </w:rPr>
        <w:t xml:space="preserve"> </w:t>
      </w:r>
      <w:r w:rsidRPr="00F20114">
        <w:rPr>
          <w:rFonts w:asciiTheme="majorBidi" w:eastAsia="Times New Roman" w:hAnsiTheme="majorBidi" w:cstheme="majorBidi"/>
          <w:bCs/>
          <w:color w:val="000000"/>
          <w:sz w:val="24"/>
          <w:szCs w:val="24"/>
          <w:rtl/>
          <w:lang w:eastAsia="fr-FR"/>
        </w:rPr>
        <w:t>(</w:t>
      </w:r>
      <w:r w:rsidRPr="00C75CAD">
        <w:rPr>
          <w:rFonts w:asciiTheme="majorBidi" w:eastAsia="Times New Roman" w:hAnsiTheme="majorBidi" w:cstheme="majorBidi"/>
          <w:bCs/>
          <w:color w:val="000000"/>
          <w:sz w:val="24"/>
          <w:szCs w:val="24"/>
          <w:lang w:eastAsia="fr-FR"/>
        </w:rPr>
        <w:t>Saaty</w:t>
      </w:r>
      <w:r w:rsidRPr="00F20114">
        <w:rPr>
          <w:rFonts w:asciiTheme="majorBidi" w:eastAsia="Times New Roman" w:hAnsiTheme="majorBidi" w:cstheme="majorBidi"/>
          <w:bCs/>
          <w:color w:val="000000"/>
          <w:sz w:val="24"/>
          <w:szCs w:val="24"/>
          <w:lang w:eastAsia="fr-FR"/>
        </w:rPr>
        <w:t>, 1980</w:t>
      </w:r>
      <w:r w:rsidRPr="00F20114">
        <w:rPr>
          <w:rFonts w:asciiTheme="majorBidi" w:hAnsiTheme="majorBidi" w:cstheme="majorBidi"/>
          <w:sz w:val="24"/>
          <w:szCs w:val="24"/>
          <w:rtl/>
          <w:lang w:bidi="ar-DZ"/>
        </w:rPr>
        <w:t>)</w:t>
      </w:r>
      <w:r w:rsidRPr="00F20114">
        <w:rPr>
          <w:rFonts w:ascii="Simplified Arabic" w:hAnsi="Simplified Arabic" w:cs="Simplified Arabic"/>
          <w:sz w:val="24"/>
          <w:szCs w:val="24"/>
          <w:rtl/>
          <w:lang w:bidi="ar-DZ"/>
        </w:rPr>
        <w:t xml:space="preserve"> </w:t>
      </w:r>
      <w:r w:rsidRPr="00F20114">
        <w:rPr>
          <w:rStyle w:val="y2iqfc"/>
          <w:rFonts w:ascii="Simplified Arabic" w:eastAsia="Times New Roman" w:hAnsi="Simplified Arabic" w:cs="Simplified Arabic" w:hint="cs"/>
          <w:color w:val="202124"/>
          <w:sz w:val="24"/>
          <w:szCs w:val="24"/>
          <w:rtl/>
          <w:lang w:eastAsia="fr-FR" w:bidi="ar"/>
        </w:rPr>
        <w:t>أًّسس</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تحديد</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قيمة</w:t>
      </w:r>
      <w:r w:rsidRPr="00F20114">
        <w:rPr>
          <w:rFonts w:ascii="Simplified Arabic" w:hAnsi="Simplified Arabic" w:cs="Simplified Arabic"/>
          <w:sz w:val="24"/>
          <w:szCs w:val="24"/>
          <w:rtl/>
          <w:lang w:bidi="ar-DZ"/>
        </w:rPr>
        <w:t xml:space="preserve"> </w:t>
      </w:r>
      <w:r w:rsidRPr="00F20114">
        <w:rPr>
          <w:rFonts w:ascii="Times New Roman" w:hAnsi="Times New Roman" w:cs="Times New Roman"/>
          <w:sz w:val="24"/>
          <w:szCs w:val="24"/>
          <w:lang w:bidi="ar-DZ"/>
        </w:rPr>
        <w:t>RI</w:t>
      </w:r>
      <w:r w:rsidRPr="00F20114">
        <w:rPr>
          <w:rFonts w:ascii="Simplified Arabic" w:hAnsi="Simplified Arabic" w:cs="Simplified Arabic"/>
          <w:sz w:val="24"/>
          <w:szCs w:val="24"/>
          <w:rtl/>
          <w:lang w:bidi="ar-DZ"/>
        </w:rPr>
        <w:t xml:space="preserve"> </w:t>
      </w:r>
      <w:r w:rsidRPr="00F20114">
        <w:rPr>
          <w:rStyle w:val="y2iqfc"/>
          <w:rFonts w:ascii="Simplified Arabic" w:eastAsia="Times New Roman" w:hAnsi="Simplified Arabic" w:cs="Simplified Arabic" w:hint="cs"/>
          <w:color w:val="202124"/>
          <w:sz w:val="24"/>
          <w:szCs w:val="24"/>
          <w:rtl/>
          <w:lang w:eastAsia="fr-FR" w:bidi="ar"/>
        </w:rPr>
        <w:t>بناءً</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على</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عدد</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المعايير</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المختارة</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لاتخاذ</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القرار</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يمكن</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تحديد</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Fonts w:ascii="Times New Roman" w:hAnsi="Times New Roman" w:cs="Times New Roman"/>
          <w:sz w:val="24"/>
          <w:szCs w:val="24"/>
          <w:lang w:bidi="ar-DZ"/>
        </w:rPr>
        <w:t>RI</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في</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الجدول</w:t>
      </w:r>
      <w:r w:rsidRPr="00F20114">
        <w:rPr>
          <w:rStyle w:val="y2iqfc"/>
          <w:rFonts w:ascii="Simplified Arabic" w:eastAsia="Times New Roman" w:hAnsi="Simplified Arabic" w:cs="Simplified Arabic"/>
          <w:color w:val="202124"/>
          <w:sz w:val="24"/>
          <w:szCs w:val="24"/>
          <w:rtl/>
          <w:lang w:eastAsia="fr-FR" w:bidi="ar"/>
        </w:rPr>
        <w:t xml:space="preserve"> </w:t>
      </w:r>
      <w:r w:rsidRPr="00F20114">
        <w:rPr>
          <w:rStyle w:val="y2iqfc"/>
          <w:rFonts w:ascii="Simplified Arabic" w:eastAsia="Times New Roman" w:hAnsi="Simplified Arabic" w:cs="Simplified Arabic" w:hint="cs"/>
          <w:color w:val="202124"/>
          <w:sz w:val="24"/>
          <w:szCs w:val="24"/>
          <w:rtl/>
          <w:lang w:eastAsia="fr-FR" w:bidi="ar"/>
        </w:rPr>
        <w:t>(</w:t>
      </w:r>
      <w:r w:rsidR="00171E1E">
        <w:rPr>
          <w:rStyle w:val="y2iqfc"/>
          <w:rFonts w:ascii="Simplified Arabic" w:eastAsia="Times New Roman" w:hAnsi="Simplified Arabic" w:cs="Simplified Arabic" w:hint="cs"/>
          <w:color w:val="202124"/>
          <w:sz w:val="24"/>
          <w:szCs w:val="24"/>
          <w:rtl/>
          <w:lang w:eastAsia="fr-FR" w:bidi="ar"/>
        </w:rPr>
        <w:t>3-3</w:t>
      </w:r>
      <w:r w:rsidRPr="00F20114">
        <w:rPr>
          <w:rStyle w:val="y2iqfc"/>
          <w:rFonts w:ascii="Simplified Arabic" w:eastAsia="Times New Roman" w:hAnsi="Simplified Arabic" w:cs="Simplified Arabic" w:hint="cs"/>
          <w:color w:val="202124"/>
          <w:sz w:val="24"/>
          <w:szCs w:val="24"/>
          <w:rtl/>
          <w:lang w:eastAsia="fr-FR" w:bidi="ar"/>
        </w:rPr>
        <w:t>):</w:t>
      </w:r>
    </w:p>
    <w:p w:rsidR="000B42BD" w:rsidRDefault="000B42BD" w:rsidP="00F76D99">
      <w:pPr>
        <w:pStyle w:val="Tableau"/>
        <w:rPr>
          <w:rtl/>
          <w:lang w:bidi="ar-DZ"/>
        </w:rPr>
      </w:pPr>
      <w:bookmarkStart w:id="431" w:name="_Toc157612978"/>
      <w:bookmarkStart w:id="432" w:name="_Toc171803532"/>
      <w:r w:rsidRPr="00F20114">
        <w:rPr>
          <w:rStyle w:val="y2iqfc"/>
          <w:rFonts w:eastAsia="Times New Roman" w:hint="cs"/>
          <w:color w:val="202124"/>
          <w:rtl/>
          <w:lang w:eastAsia="fr-FR" w:bidi="ar"/>
        </w:rPr>
        <w:t>الجدول</w:t>
      </w:r>
      <w:r w:rsidRPr="00F20114">
        <w:rPr>
          <w:rStyle w:val="y2iqfc"/>
          <w:rFonts w:eastAsia="Times New Roman"/>
          <w:color w:val="202124"/>
          <w:rtl/>
          <w:lang w:eastAsia="fr-FR" w:bidi="ar"/>
        </w:rPr>
        <w:t xml:space="preserve"> </w:t>
      </w:r>
      <w:r w:rsidRPr="00F20114">
        <w:rPr>
          <w:rStyle w:val="y2iqfc"/>
          <w:rFonts w:eastAsia="Times New Roman" w:hint="cs"/>
          <w:color w:val="202124"/>
          <w:rtl/>
          <w:lang w:eastAsia="fr-FR" w:bidi="ar"/>
        </w:rPr>
        <w:t>(</w:t>
      </w:r>
      <w:r w:rsidR="00171E1E">
        <w:rPr>
          <w:rStyle w:val="y2iqfc"/>
          <w:rFonts w:eastAsia="Times New Roman" w:hint="cs"/>
          <w:color w:val="202124"/>
          <w:rtl/>
          <w:lang w:eastAsia="fr-FR" w:bidi="ar"/>
        </w:rPr>
        <w:t>3-3</w:t>
      </w:r>
      <w:r w:rsidRPr="00F20114">
        <w:rPr>
          <w:rStyle w:val="y2iqfc"/>
          <w:rFonts w:eastAsia="Times New Roman" w:hint="cs"/>
          <w:color w:val="202124"/>
          <w:rtl/>
          <w:lang w:eastAsia="fr-FR" w:bidi="ar"/>
        </w:rPr>
        <w:t>):</w:t>
      </w:r>
      <w:r>
        <w:rPr>
          <w:rStyle w:val="y2iqfc"/>
          <w:rFonts w:eastAsia="Times New Roman" w:hint="cs"/>
          <w:color w:val="202124"/>
          <w:rtl/>
          <w:lang w:eastAsia="fr-FR" w:bidi="ar"/>
        </w:rPr>
        <w:t xml:space="preserve"> </w:t>
      </w:r>
      <w:r w:rsidRPr="00F20114">
        <w:rPr>
          <w:rStyle w:val="y2iqfc"/>
          <w:rFonts w:eastAsia="Times New Roman" w:hint="cs"/>
          <w:color w:val="202124"/>
          <w:rtl/>
          <w:lang w:eastAsia="fr-FR" w:bidi="ar"/>
        </w:rPr>
        <w:t>مؤشر</w:t>
      </w:r>
      <w:r w:rsidRPr="00F20114">
        <w:rPr>
          <w:rStyle w:val="y2iqfc"/>
          <w:rFonts w:eastAsia="Times New Roman"/>
          <w:color w:val="202124"/>
          <w:rtl/>
          <w:lang w:eastAsia="fr-FR" w:bidi="ar"/>
        </w:rPr>
        <w:t xml:space="preserve"> </w:t>
      </w:r>
      <w:r w:rsidRPr="00F20114">
        <w:rPr>
          <w:rStyle w:val="y2iqfc"/>
          <w:rFonts w:eastAsia="Times New Roman" w:hint="cs"/>
          <w:color w:val="202124"/>
          <w:rtl/>
          <w:lang w:eastAsia="fr-FR" w:bidi="ar"/>
        </w:rPr>
        <w:t>الاتساق العشوائي</w:t>
      </w:r>
      <w:r>
        <w:rPr>
          <w:rStyle w:val="y2iqfc"/>
          <w:rFonts w:eastAsia="Times New Roman" w:hint="cs"/>
          <w:color w:val="202124"/>
          <w:rtl/>
          <w:lang w:eastAsia="fr-FR" w:bidi="ar"/>
        </w:rPr>
        <w:t xml:space="preserve"> لمختلف قيم </w:t>
      </w:r>
      <w:r w:rsidRPr="000D1652">
        <w:rPr>
          <w:rFonts w:ascii="Times New Roman" w:hAnsi="Times New Roman" w:cs="Times New Roman"/>
          <w:lang w:bidi="ar-DZ"/>
        </w:rPr>
        <w:t>n</w:t>
      </w:r>
      <w:r w:rsidRPr="000D1652">
        <w:rPr>
          <w:rtl/>
          <w:lang w:bidi="ar-DZ"/>
        </w:rPr>
        <w:t xml:space="preserve"> </w:t>
      </w:r>
      <w:r>
        <w:rPr>
          <w:rFonts w:hint="cs"/>
          <w:rtl/>
          <w:lang w:bidi="ar-DZ"/>
        </w:rPr>
        <w:t>(</w:t>
      </w:r>
      <w:r w:rsidRPr="000D1652">
        <w:rPr>
          <w:rFonts w:ascii="Times New Roman" w:hAnsi="Times New Roman" w:cs="Times New Roman"/>
          <w:lang w:bidi="ar-DZ"/>
        </w:rPr>
        <w:t>n</w:t>
      </w:r>
      <w:r w:rsidRPr="000D1652">
        <w:rPr>
          <w:rtl/>
          <w:lang w:bidi="ar-DZ"/>
        </w:rPr>
        <w:t xml:space="preserve"> </w:t>
      </w:r>
      <w:r w:rsidRPr="00467EC0">
        <w:rPr>
          <w:rFonts w:hint="cs"/>
          <w:rtl/>
          <w:lang w:bidi="ar-DZ"/>
        </w:rPr>
        <w:t>هي</w:t>
      </w:r>
      <w:r w:rsidRPr="00467EC0">
        <w:rPr>
          <w:rtl/>
          <w:lang w:bidi="ar-DZ"/>
        </w:rPr>
        <w:t xml:space="preserve"> </w:t>
      </w:r>
      <w:r w:rsidRPr="00467EC0">
        <w:rPr>
          <w:rFonts w:hint="cs"/>
          <w:rtl/>
          <w:lang w:bidi="ar-DZ"/>
        </w:rPr>
        <w:t>عدد</w:t>
      </w:r>
      <w:r w:rsidRPr="00467EC0">
        <w:rPr>
          <w:rtl/>
          <w:lang w:bidi="ar-DZ"/>
        </w:rPr>
        <w:t xml:space="preserve"> </w:t>
      </w:r>
      <w:r w:rsidRPr="00467EC0">
        <w:rPr>
          <w:rFonts w:hint="cs"/>
          <w:rtl/>
          <w:lang w:bidi="ar-DZ"/>
        </w:rPr>
        <w:t>المعايير</w:t>
      </w:r>
      <w:r>
        <w:rPr>
          <w:rFonts w:hint="cs"/>
          <w:rtl/>
          <w:lang w:bidi="ar-DZ"/>
        </w:rPr>
        <w:t>)</w:t>
      </w:r>
      <w:bookmarkEnd w:id="431"/>
      <w:bookmarkEnd w:id="432"/>
    </w:p>
    <w:p w:rsidR="00B200D9" w:rsidRPr="006D2F1A" w:rsidRDefault="00B200D9" w:rsidP="00B200D9">
      <w:pPr>
        <w:pStyle w:val="Paragraphedeliste"/>
        <w:tabs>
          <w:tab w:val="right" w:pos="282"/>
        </w:tabs>
        <w:bidi/>
        <w:spacing w:after="0" w:line="240" w:lineRule="auto"/>
        <w:ind w:left="-1" w:firstLine="1"/>
        <w:jc w:val="center"/>
        <w:rPr>
          <w:rFonts w:ascii="Simplified Arabic" w:hAnsi="Simplified Arabic" w:cs="Simplified Arabic"/>
          <w:sz w:val="24"/>
          <w:szCs w:val="24"/>
          <w:rtl/>
          <w:lang w:val="en-US"/>
        </w:rPr>
      </w:pPr>
      <w:r w:rsidRPr="003F42EF">
        <w:rPr>
          <w:rFonts w:ascii="Simplified Arabic" w:hAnsi="Simplified Arabic" w:cs="Simplified Arabic" w:hint="cs"/>
          <w:sz w:val="24"/>
          <w:szCs w:val="24"/>
          <w:rtl/>
          <w:lang w:val="en-US"/>
        </w:rPr>
        <w:t xml:space="preserve">المصدر: </w:t>
      </w:r>
      <w:r w:rsidRPr="00751B58">
        <w:rPr>
          <w:rFonts w:asciiTheme="majorBidi" w:hAnsiTheme="majorBidi" w:cstheme="majorBidi"/>
          <w:sz w:val="24"/>
          <w:szCs w:val="24"/>
          <w:rtl/>
          <w:lang w:val="en-US"/>
        </w:rPr>
        <w:t>(</w:t>
      </w:r>
      <w:r w:rsidRPr="00C75CAD">
        <w:rPr>
          <w:rFonts w:asciiTheme="majorBidi" w:hAnsiTheme="majorBidi" w:cstheme="majorBidi"/>
          <w:sz w:val="24"/>
          <w:szCs w:val="24"/>
          <w:lang w:val="en-US"/>
        </w:rPr>
        <w:t>Saaty</w:t>
      </w:r>
      <w:r w:rsidRPr="00751B58">
        <w:rPr>
          <w:rFonts w:asciiTheme="majorBidi" w:hAnsiTheme="majorBidi" w:cstheme="majorBidi"/>
          <w:sz w:val="24"/>
          <w:szCs w:val="24"/>
        </w:rPr>
        <w:t>,</w:t>
      </w:r>
      <w:r w:rsidRPr="00751B58">
        <w:rPr>
          <w:rFonts w:asciiTheme="majorBidi" w:hAnsiTheme="majorBidi" w:cstheme="majorBidi"/>
          <w:sz w:val="24"/>
          <w:szCs w:val="24"/>
          <w:lang w:val="en-US"/>
        </w:rPr>
        <w:t xml:space="preserve"> 199</w:t>
      </w:r>
      <w:r>
        <w:rPr>
          <w:rFonts w:asciiTheme="majorBidi" w:hAnsiTheme="majorBidi" w:cstheme="majorBidi"/>
          <w:sz w:val="24"/>
          <w:szCs w:val="24"/>
          <w:lang w:val="en-US"/>
        </w:rPr>
        <w:t>4</w:t>
      </w:r>
      <w:r w:rsidRPr="00751B58">
        <w:rPr>
          <w:rFonts w:asciiTheme="majorBidi" w:hAnsiTheme="majorBidi" w:cstheme="majorBidi"/>
          <w:sz w:val="24"/>
          <w:szCs w:val="24"/>
          <w:rtl/>
          <w:lang w:val="en-US"/>
        </w:rPr>
        <w:t>)</w:t>
      </w:r>
    </w:p>
    <w:tbl>
      <w:tblPr>
        <w:bidiVisual/>
        <w:tblW w:w="0" w:type="auto"/>
        <w:jc w:val="center"/>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
        <w:gridCol w:w="652"/>
        <w:gridCol w:w="652"/>
        <w:gridCol w:w="652"/>
        <w:gridCol w:w="652"/>
        <w:gridCol w:w="652"/>
        <w:gridCol w:w="652"/>
        <w:gridCol w:w="652"/>
        <w:gridCol w:w="652"/>
        <w:gridCol w:w="653"/>
      </w:tblGrid>
      <w:tr w:rsidR="000B42BD" w:rsidRPr="00E548DE" w:rsidTr="000B42BD">
        <w:trPr>
          <w:jc w:val="center"/>
        </w:trPr>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9</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8</w:t>
            </w:r>
          </w:p>
        </w:tc>
        <w:tc>
          <w:tcPr>
            <w:tcW w:w="652" w:type="dxa"/>
            <w:tcBorders>
              <w:right w:val="single" w:sz="2" w:space="0" w:color="auto"/>
            </w:tcBorders>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7</w:t>
            </w:r>
          </w:p>
        </w:tc>
        <w:tc>
          <w:tcPr>
            <w:tcW w:w="652" w:type="dxa"/>
            <w:tcBorders>
              <w:top w:val="single" w:sz="2" w:space="0" w:color="auto"/>
              <w:left w:val="single" w:sz="2" w:space="0" w:color="auto"/>
              <w:bottom w:val="single" w:sz="2" w:space="0" w:color="auto"/>
              <w:right w:val="single" w:sz="2" w:space="0" w:color="auto"/>
            </w:tcBorders>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6</w:t>
            </w:r>
          </w:p>
        </w:tc>
        <w:tc>
          <w:tcPr>
            <w:tcW w:w="652" w:type="dxa"/>
            <w:tcBorders>
              <w:left w:val="single" w:sz="2" w:space="0" w:color="auto"/>
            </w:tcBorders>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5</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4</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3</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2</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1</w:t>
            </w:r>
          </w:p>
        </w:tc>
        <w:tc>
          <w:tcPr>
            <w:tcW w:w="653"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Pr>
              <w:t>n</w:t>
            </w:r>
          </w:p>
        </w:tc>
      </w:tr>
      <w:tr w:rsidR="000B42BD" w:rsidRPr="00E548DE" w:rsidTr="000B42BD">
        <w:trPr>
          <w:jc w:val="center"/>
        </w:trPr>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1.45</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1.41</w:t>
            </w:r>
          </w:p>
        </w:tc>
        <w:tc>
          <w:tcPr>
            <w:tcW w:w="652" w:type="dxa"/>
            <w:tcBorders>
              <w:right w:val="single" w:sz="2" w:space="0" w:color="auto"/>
            </w:tcBorders>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1.32</w:t>
            </w:r>
          </w:p>
        </w:tc>
        <w:tc>
          <w:tcPr>
            <w:tcW w:w="652" w:type="dxa"/>
            <w:tcBorders>
              <w:top w:val="single" w:sz="2" w:space="0" w:color="auto"/>
              <w:left w:val="single" w:sz="2" w:space="0" w:color="auto"/>
              <w:bottom w:val="single" w:sz="2" w:space="0" w:color="auto"/>
              <w:right w:val="single" w:sz="2" w:space="0" w:color="auto"/>
            </w:tcBorders>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1.24</w:t>
            </w:r>
          </w:p>
        </w:tc>
        <w:tc>
          <w:tcPr>
            <w:tcW w:w="652" w:type="dxa"/>
            <w:tcBorders>
              <w:left w:val="single" w:sz="2" w:space="0" w:color="auto"/>
            </w:tcBorders>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1.12</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0.9</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0.58</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0</w:t>
            </w:r>
          </w:p>
        </w:tc>
        <w:tc>
          <w:tcPr>
            <w:tcW w:w="652"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tl/>
                <w:lang w:bidi="ar-DZ"/>
              </w:rPr>
              <w:t>0</w:t>
            </w:r>
          </w:p>
        </w:tc>
        <w:tc>
          <w:tcPr>
            <w:tcW w:w="653" w:type="dxa"/>
            <w:shd w:val="clear" w:color="auto" w:fill="auto"/>
            <w:vAlign w:val="center"/>
          </w:tcPr>
          <w:p w:rsidR="000B42BD" w:rsidRPr="00E548DE" w:rsidRDefault="000B42BD" w:rsidP="00C02010">
            <w:pPr>
              <w:spacing w:after="0" w:line="240" w:lineRule="auto"/>
              <w:jc w:val="center"/>
              <w:rPr>
                <w:rFonts w:ascii="Times New Roman" w:eastAsia="Times New Roman" w:hAnsi="Times New Roman" w:cs="Times New Roman"/>
                <w:sz w:val="24"/>
                <w:szCs w:val="24"/>
                <w:rtl/>
                <w:lang w:bidi="ar-DZ"/>
              </w:rPr>
            </w:pPr>
            <w:r w:rsidRPr="00E548DE">
              <w:rPr>
                <w:rFonts w:ascii="Times New Roman" w:eastAsia="Times New Roman" w:hAnsi="Times New Roman" w:cs="Times New Roman"/>
                <w:sz w:val="24"/>
                <w:szCs w:val="24"/>
              </w:rPr>
              <w:t>RI</w:t>
            </w:r>
          </w:p>
        </w:tc>
      </w:tr>
    </w:tbl>
    <w:p w:rsidR="000B42BD" w:rsidRDefault="000B42BD" w:rsidP="001D0548">
      <w:pPr>
        <w:pStyle w:val="Default"/>
        <w:numPr>
          <w:ilvl w:val="2"/>
          <w:numId w:val="138"/>
        </w:numPr>
        <w:tabs>
          <w:tab w:val="right" w:pos="708"/>
        </w:tabs>
        <w:bidi/>
        <w:spacing w:before="240" w:line="276" w:lineRule="auto"/>
        <w:ind w:left="0" w:firstLine="0"/>
        <w:jc w:val="both"/>
        <w:outlineLvl w:val="1"/>
        <w:rPr>
          <w:rFonts w:ascii="Simplified Arabic" w:hAnsi="Simplified Arabic" w:cs="Simplified Arabic"/>
          <w:b/>
          <w:bCs/>
        </w:rPr>
      </w:pPr>
      <w:bookmarkStart w:id="433" w:name="_Toc171803533"/>
      <w:r w:rsidRPr="00084A0C">
        <w:rPr>
          <w:rFonts w:ascii="Simplified Arabic" w:hAnsi="Simplified Arabic" w:cs="Simplified Arabic" w:hint="cs"/>
          <w:b/>
          <w:bCs/>
          <w:rtl/>
        </w:rPr>
        <w:lastRenderedPageBreak/>
        <w:t xml:space="preserve">المرحلة </w:t>
      </w:r>
      <w:r w:rsidR="0026579B" w:rsidRPr="00084A0C">
        <w:rPr>
          <w:rFonts w:ascii="Simplified Arabic" w:hAnsi="Simplified Arabic" w:cs="Simplified Arabic" w:hint="cs"/>
          <w:b/>
          <w:bCs/>
          <w:rtl/>
        </w:rPr>
        <w:t>الرابعة</w:t>
      </w:r>
      <w:r w:rsidRPr="00084A0C">
        <w:rPr>
          <w:rFonts w:ascii="Simplified Arabic" w:hAnsi="Simplified Arabic" w:cs="Simplified Arabic" w:hint="cs"/>
          <w:b/>
          <w:bCs/>
          <w:rtl/>
        </w:rPr>
        <w:t xml:space="preserve">: نظم المعلومات الجغرافية </w:t>
      </w:r>
      <w:r w:rsidRPr="00084A0C">
        <w:rPr>
          <w:rFonts w:asciiTheme="majorBidi" w:hAnsiTheme="majorBidi" w:cstheme="majorBidi"/>
          <w:b/>
          <w:bCs/>
          <w:sz w:val="22"/>
          <w:szCs w:val="22"/>
          <w:rtl/>
        </w:rPr>
        <w:t>(</w:t>
      </w:r>
      <w:r w:rsidRPr="00084A0C">
        <w:rPr>
          <w:rFonts w:asciiTheme="majorBidi" w:hAnsiTheme="majorBidi" w:cstheme="majorBidi"/>
          <w:b/>
          <w:bCs/>
          <w:sz w:val="22"/>
          <w:szCs w:val="22"/>
        </w:rPr>
        <w:t>Geographic Information Systems (GIS)</w:t>
      </w:r>
      <w:r w:rsidRPr="00084A0C">
        <w:rPr>
          <w:rFonts w:asciiTheme="majorBidi" w:hAnsiTheme="majorBidi" w:cstheme="majorBidi"/>
          <w:b/>
          <w:bCs/>
          <w:sz w:val="22"/>
          <w:szCs w:val="22"/>
          <w:rtl/>
        </w:rPr>
        <w:t>)</w:t>
      </w:r>
      <w:r w:rsidRPr="00084A0C">
        <w:rPr>
          <w:rFonts w:ascii="Simplified Arabic" w:hAnsi="Simplified Arabic" w:cs="Simplified Arabic" w:hint="cs"/>
          <w:b/>
          <w:bCs/>
          <w:rtl/>
        </w:rPr>
        <w:t>:</w:t>
      </w:r>
      <w:bookmarkEnd w:id="433"/>
    </w:p>
    <w:p w:rsidR="000B42BD" w:rsidRDefault="000B42BD" w:rsidP="00E8765E">
      <w:pPr>
        <w:autoSpaceDE w:val="0"/>
        <w:autoSpaceDN w:val="0"/>
        <w:bidi/>
        <w:adjustRightInd w:val="0"/>
        <w:spacing w:after="0"/>
        <w:ind w:firstLine="282"/>
        <w:jc w:val="both"/>
        <w:rPr>
          <w:rFonts w:ascii="Simplified Arabic" w:hAnsi="Simplified Arabic" w:cs="Simplified Arabic"/>
          <w:sz w:val="24"/>
          <w:szCs w:val="24"/>
          <w:rtl/>
        </w:rPr>
      </w:pPr>
      <w:r w:rsidRPr="009978D1">
        <w:rPr>
          <w:rFonts w:ascii="Simplified Arabic" w:hAnsi="Simplified Arabic" w:cs="Simplified Arabic" w:hint="cs"/>
          <w:sz w:val="24"/>
          <w:szCs w:val="24"/>
          <w:rtl/>
        </w:rPr>
        <w:t>الهدف</w:t>
      </w:r>
      <w:r w:rsidRPr="009978D1">
        <w:rPr>
          <w:rFonts w:ascii="Simplified Arabic" w:hAnsi="Simplified Arabic" w:cs="Simplified Arabic"/>
          <w:sz w:val="24"/>
          <w:szCs w:val="24"/>
          <w:rtl/>
        </w:rPr>
        <w:t xml:space="preserve"> </w:t>
      </w:r>
      <w:r w:rsidRPr="009978D1">
        <w:rPr>
          <w:rFonts w:ascii="Simplified Arabic" w:hAnsi="Simplified Arabic" w:cs="Simplified Arabic" w:hint="cs"/>
          <w:sz w:val="24"/>
          <w:szCs w:val="24"/>
          <w:rtl/>
        </w:rPr>
        <w:t>الرئيسي</w:t>
      </w:r>
      <w:r w:rsidRPr="009978D1">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9978D1">
        <w:rPr>
          <w:rFonts w:ascii="Simplified Arabic" w:hAnsi="Simplified Arabic" w:cs="Simplified Arabic" w:hint="cs"/>
          <w:sz w:val="24"/>
          <w:szCs w:val="24"/>
          <w:rtl/>
        </w:rPr>
        <w:t>ل</w:t>
      </w:r>
      <w:r>
        <w:rPr>
          <w:rFonts w:ascii="Simplified Arabic" w:hAnsi="Simplified Arabic" w:cs="Simplified Arabic" w:hint="cs"/>
          <w:sz w:val="24"/>
          <w:szCs w:val="24"/>
          <w:rtl/>
        </w:rPr>
        <w:t>بحث</w:t>
      </w:r>
      <w:r w:rsidRPr="009978D1">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الحالي، </w:t>
      </w:r>
      <w:r w:rsidRPr="00886098">
        <w:rPr>
          <w:rFonts w:ascii="Simplified Arabic" w:hAnsi="Simplified Arabic" w:cs="Simplified Arabic"/>
          <w:sz w:val="24"/>
          <w:szCs w:val="24"/>
          <w:rtl/>
        </w:rPr>
        <w:t>استكشاف ا</w:t>
      </w:r>
      <w:r w:rsidRPr="00886098">
        <w:rPr>
          <w:rFonts w:ascii="Simplified Arabic" w:hAnsi="Simplified Arabic" w:cs="Simplified Arabic"/>
          <w:sz w:val="24"/>
          <w:szCs w:val="24"/>
          <w:rtl/>
          <w:lang w:val="en-US" w:bidi="ar-DZ"/>
        </w:rPr>
        <w:t>لعلاقة</w:t>
      </w:r>
      <w:r w:rsidRPr="0088609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القائمة </w:t>
      </w:r>
      <w:r w:rsidRPr="00886098">
        <w:rPr>
          <w:rFonts w:ascii="Simplified Arabic" w:hAnsi="Simplified Arabic" w:cs="Simplified Arabic"/>
          <w:sz w:val="24"/>
          <w:szCs w:val="24"/>
          <w:rtl/>
        </w:rPr>
        <w:t xml:space="preserve">بين نمط </w:t>
      </w:r>
      <w:r w:rsidR="00E8765E">
        <w:rPr>
          <w:rFonts w:ascii="Simplified Arabic" w:hAnsi="Simplified Arabic" w:cs="Simplified Arabic" w:hint="cs"/>
          <w:sz w:val="24"/>
          <w:szCs w:val="24"/>
          <w:rtl/>
        </w:rPr>
        <w:t>استعمال</w:t>
      </w:r>
      <w:r w:rsidRPr="00886098">
        <w:rPr>
          <w:rFonts w:ascii="Simplified Arabic" w:hAnsi="Simplified Arabic" w:cs="Simplified Arabic"/>
          <w:sz w:val="24"/>
          <w:szCs w:val="24"/>
          <w:rtl/>
        </w:rPr>
        <w:t xml:space="preserve"> الارض الحضرية و</w:t>
      </w:r>
      <w:r w:rsidRPr="00886098">
        <w:rPr>
          <w:rFonts w:ascii="Simplified Arabic" w:hAnsi="Simplified Arabic" w:cs="Simplified Arabic" w:hint="cs"/>
          <w:sz w:val="24"/>
          <w:szCs w:val="24"/>
          <w:rtl/>
        </w:rPr>
        <w:t xml:space="preserve">مستويات </w:t>
      </w:r>
      <w:r w:rsidRPr="00886098">
        <w:rPr>
          <w:rFonts w:ascii="Simplified Arabic" w:hAnsi="Simplified Arabic" w:cs="Simplified Arabic"/>
          <w:sz w:val="24"/>
          <w:szCs w:val="24"/>
          <w:rtl/>
        </w:rPr>
        <w:t>المرونة الحضرية</w:t>
      </w:r>
      <w:r w:rsidRPr="00886098">
        <w:rPr>
          <w:rFonts w:ascii="Simplified Arabic" w:hAnsi="Simplified Arabic" w:cs="Simplified Arabic" w:hint="cs"/>
          <w:sz w:val="24"/>
          <w:szCs w:val="24"/>
          <w:rtl/>
        </w:rPr>
        <w:t xml:space="preserve"> </w:t>
      </w:r>
      <w:r w:rsidRPr="00886098">
        <w:rPr>
          <w:rFonts w:ascii="Simplified Arabic" w:hAnsi="Simplified Arabic" w:cs="Simplified Arabic" w:hint="cs"/>
          <w:sz w:val="24"/>
          <w:szCs w:val="24"/>
          <w:rtl/>
          <w:lang w:val="en-US"/>
        </w:rPr>
        <w:t>بمدينة بوسعادة</w:t>
      </w:r>
      <w:r>
        <w:rPr>
          <w:rFonts w:ascii="Simplified Arabic" w:hAnsi="Simplified Arabic" w:cs="Simplified Arabic" w:hint="cs"/>
          <w:sz w:val="24"/>
          <w:szCs w:val="24"/>
          <w:rtl/>
          <w:lang w:val="en-US"/>
        </w:rPr>
        <w:t xml:space="preserve"> من خلال ت</w:t>
      </w:r>
      <w:r w:rsidRPr="00077F1A">
        <w:rPr>
          <w:rFonts w:ascii="Simplified Arabic" w:hAnsi="Simplified Arabic" w:cs="Simplified Arabic"/>
          <w:sz w:val="24"/>
          <w:szCs w:val="24"/>
          <w:rtl/>
          <w:lang w:val="en-US"/>
        </w:rPr>
        <w:t xml:space="preserve">طوير </w:t>
      </w:r>
      <w:r w:rsidR="00D971FE">
        <w:rPr>
          <w:rFonts w:ascii="Simplified Arabic" w:hAnsi="Simplified Arabic" w:cs="Simplified Arabic" w:hint="cs"/>
          <w:sz w:val="24"/>
          <w:szCs w:val="24"/>
          <w:rtl/>
          <w:lang w:val="en-US"/>
        </w:rPr>
        <w:t>اطار</w:t>
      </w:r>
      <w:r w:rsidRPr="00077F1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عمل ل</w:t>
      </w:r>
      <w:r w:rsidRPr="00077F1A">
        <w:rPr>
          <w:rFonts w:ascii="Simplified Arabic" w:hAnsi="Simplified Arabic" w:cs="Simplified Arabic"/>
          <w:sz w:val="24"/>
          <w:szCs w:val="24"/>
          <w:rtl/>
          <w:lang w:val="en-US"/>
        </w:rPr>
        <w:t xml:space="preserve">تقييم مرونة </w:t>
      </w:r>
      <w:r>
        <w:rPr>
          <w:rFonts w:ascii="Simplified Arabic" w:hAnsi="Simplified Arabic" w:cs="Simplified Arabic" w:hint="cs"/>
          <w:sz w:val="24"/>
          <w:szCs w:val="24"/>
          <w:rtl/>
          <w:lang w:val="en-US"/>
        </w:rPr>
        <w:t>مدينة بوسعادة.</w:t>
      </w:r>
    </w:p>
    <w:p w:rsidR="000B42BD" w:rsidRPr="006D2F1A" w:rsidRDefault="000B42BD" w:rsidP="002E7C71">
      <w:pPr>
        <w:autoSpaceDE w:val="0"/>
        <w:autoSpaceDN w:val="0"/>
        <w:bidi/>
        <w:adjustRightInd w:val="0"/>
        <w:spacing w:after="0"/>
        <w:ind w:firstLine="282"/>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خلال هذه المرحلة، كما هو مبين في </w:t>
      </w:r>
      <w:r w:rsidRPr="002D1AAE">
        <w:rPr>
          <w:rFonts w:ascii="Simplified Arabic" w:hAnsi="Simplified Arabic" w:cs="Simplified Arabic" w:hint="cs"/>
          <w:sz w:val="24"/>
          <w:szCs w:val="24"/>
          <w:rtl/>
        </w:rPr>
        <w:t>الش</w:t>
      </w:r>
      <w:r>
        <w:rPr>
          <w:rFonts w:ascii="Simplified Arabic" w:hAnsi="Simplified Arabic" w:cs="Simplified Arabic" w:hint="cs"/>
          <w:sz w:val="24"/>
          <w:szCs w:val="24"/>
          <w:rtl/>
          <w:lang w:val="en-US"/>
        </w:rPr>
        <w:t>كل (</w:t>
      </w:r>
      <w:r w:rsidR="002E7C71">
        <w:rPr>
          <w:rFonts w:ascii="Simplified Arabic" w:hAnsi="Simplified Arabic" w:cs="Simplified Arabic" w:hint="cs"/>
          <w:sz w:val="24"/>
          <w:szCs w:val="24"/>
          <w:rtl/>
          <w:lang w:val="en-US"/>
        </w:rPr>
        <w:t>3-8</w:t>
      </w:r>
      <w:r>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rPr>
        <w:t>ت</w:t>
      </w:r>
      <w:r w:rsidRPr="009978D1">
        <w:rPr>
          <w:rFonts w:ascii="Simplified Arabic" w:hAnsi="Simplified Arabic" w:cs="Simplified Arabic" w:hint="cs"/>
          <w:sz w:val="24"/>
          <w:szCs w:val="24"/>
          <w:rtl/>
        </w:rPr>
        <w:t>ستمر</w:t>
      </w:r>
      <w:r>
        <w:rPr>
          <w:rFonts w:ascii="Simplified Arabic" w:hAnsi="Simplified Arabic" w:cs="Simplified Arabic" w:hint="cs"/>
          <w:sz w:val="24"/>
          <w:szCs w:val="24"/>
          <w:rtl/>
        </w:rPr>
        <w:t xml:space="preserve"> عملية</w:t>
      </w:r>
      <w:r w:rsidRPr="009978D1">
        <w:rPr>
          <w:rFonts w:ascii="Simplified Arabic" w:hAnsi="Simplified Arabic" w:cs="Simplified Arabic"/>
          <w:sz w:val="24"/>
          <w:szCs w:val="24"/>
          <w:rtl/>
        </w:rPr>
        <w:t xml:space="preserve"> </w:t>
      </w:r>
      <w:r w:rsidR="00CB5FAF">
        <w:rPr>
          <w:rFonts w:ascii="Simplified Arabic" w:hAnsi="Simplified Arabic" w:cs="Simplified Arabic" w:hint="cs"/>
          <w:sz w:val="24"/>
          <w:szCs w:val="24"/>
          <w:rtl/>
          <w:lang w:val="en-US"/>
        </w:rPr>
        <w:t>ت</w:t>
      </w:r>
      <w:r w:rsidR="00CB5FAF" w:rsidRPr="00077F1A">
        <w:rPr>
          <w:rFonts w:ascii="Simplified Arabic" w:hAnsi="Simplified Arabic" w:cs="Simplified Arabic"/>
          <w:sz w:val="24"/>
          <w:szCs w:val="24"/>
          <w:rtl/>
          <w:lang w:val="en-US"/>
        </w:rPr>
        <w:t xml:space="preserve">طوير </w:t>
      </w:r>
      <w:r w:rsidR="00CB5FAF">
        <w:rPr>
          <w:rFonts w:ascii="Simplified Arabic" w:hAnsi="Simplified Arabic" w:cs="Simplified Arabic" w:hint="cs"/>
          <w:sz w:val="24"/>
          <w:szCs w:val="24"/>
          <w:rtl/>
          <w:lang w:val="en-US"/>
        </w:rPr>
        <w:t>اطار</w:t>
      </w:r>
      <w:r w:rsidR="00CB5FAF" w:rsidRPr="00077F1A">
        <w:rPr>
          <w:rFonts w:ascii="Simplified Arabic" w:hAnsi="Simplified Arabic" w:cs="Simplified Arabic"/>
          <w:sz w:val="24"/>
          <w:szCs w:val="24"/>
          <w:rtl/>
          <w:lang w:val="en-US"/>
        </w:rPr>
        <w:t xml:space="preserve"> </w:t>
      </w:r>
      <w:r w:rsidR="00CB5FAF">
        <w:rPr>
          <w:rFonts w:ascii="Simplified Arabic" w:hAnsi="Simplified Arabic" w:cs="Simplified Arabic" w:hint="cs"/>
          <w:sz w:val="24"/>
          <w:szCs w:val="24"/>
          <w:rtl/>
          <w:lang w:val="en-US"/>
        </w:rPr>
        <w:t>عمل ال</w:t>
      </w:r>
      <w:r w:rsidR="00CB5FAF" w:rsidRPr="00077F1A">
        <w:rPr>
          <w:rFonts w:ascii="Simplified Arabic" w:hAnsi="Simplified Arabic" w:cs="Simplified Arabic"/>
          <w:sz w:val="24"/>
          <w:szCs w:val="24"/>
          <w:rtl/>
          <w:lang w:val="en-US"/>
        </w:rPr>
        <w:t xml:space="preserve">تقييم </w:t>
      </w:r>
      <w:r w:rsidR="00CB5FAF">
        <w:rPr>
          <w:rFonts w:ascii="Simplified Arabic" w:hAnsi="Simplified Arabic" w:cs="Simplified Arabic" w:hint="cs"/>
          <w:sz w:val="24"/>
          <w:szCs w:val="24"/>
          <w:rtl/>
          <w:lang w:val="en-US"/>
        </w:rPr>
        <w:t xml:space="preserve">من خلال </w:t>
      </w:r>
      <w:r w:rsidRPr="009978D1">
        <w:rPr>
          <w:rFonts w:ascii="Simplified Arabic" w:hAnsi="Simplified Arabic" w:cs="Simplified Arabic" w:hint="cs"/>
          <w:sz w:val="24"/>
          <w:szCs w:val="24"/>
          <w:rtl/>
        </w:rPr>
        <w:t>التحليل</w:t>
      </w:r>
      <w:r w:rsidRPr="009978D1">
        <w:rPr>
          <w:rFonts w:ascii="Simplified Arabic" w:hAnsi="Simplified Arabic" w:cs="Simplified Arabic"/>
          <w:sz w:val="24"/>
          <w:szCs w:val="24"/>
          <w:rtl/>
        </w:rPr>
        <w:t xml:space="preserve"> </w:t>
      </w:r>
      <w:r w:rsidR="00CB5FAF">
        <w:rPr>
          <w:rFonts w:ascii="Simplified Arabic" w:hAnsi="Simplified Arabic" w:cs="Simplified Arabic" w:hint="cs"/>
          <w:sz w:val="24"/>
          <w:szCs w:val="24"/>
          <w:rtl/>
        </w:rPr>
        <w:t xml:space="preserve">المكاني </w:t>
      </w:r>
      <w:r>
        <w:rPr>
          <w:rFonts w:ascii="Simplified Arabic" w:hAnsi="Simplified Arabic" w:cs="Simplified Arabic" w:hint="cs"/>
          <w:sz w:val="24"/>
          <w:szCs w:val="24"/>
          <w:rtl/>
        </w:rPr>
        <w:t>التي تسمح بها</w:t>
      </w:r>
      <w:r w:rsidRPr="009978D1">
        <w:rPr>
          <w:rFonts w:ascii="Simplified Arabic" w:hAnsi="Simplified Arabic" w:cs="Simplified Arabic"/>
          <w:sz w:val="24"/>
          <w:szCs w:val="24"/>
          <w:rtl/>
        </w:rPr>
        <w:t xml:space="preserve"> </w:t>
      </w:r>
      <w:r w:rsidRPr="009978D1">
        <w:rPr>
          <w:rFonts w:ascii="Simplified Arabic" w:hAnsi="Simplified Arabic" w:cs="Simplified Arabic" w:hint="cs"/>
          <w:sz w:val="24"/>
          <w:szCs w:val="24"/>
          <w:rtl/>
        </w:rPr>
        <w:t>تقني</w:t>
      </w:r>
      <w:r>
        <w:rPr>
          <w:rFonts w:ascii="Simplified Arabic" w:hAnsi="Simplified Arabic" w:cs="Simplified Arabic" w:hint="cs"/>
          <w:sz w:val="24"/>
          <w:szCs w:val="24"/>
          <w:rtl/>
        </w:rPr>
        <w:t>ة</w:t>
      </w:r>
      <w:r w:rsidRPr="009978D1">
        <w:rPr>
          <w:rFonts w:ascii="Simplified Arabic" w:hAnsi="Simplified Arabic" w:cs="Simplified Arabic" w:hint="cs"/>
          <w:sz w:val="24"/>
          <w:szCs w:val="24"/>
          <w:rtl/>
        </w:rPr>
        <w:t xml:space="preserve"> نظم المعلومات الجغرافية</w:t>
      </w:r>
      <w:r w:rsidRPr="003438A5">
        <w:rPr>
          <w:rFonts w:ascii="Simplified Arabic" w:hAnsi="Simplified Arabic" w:cs="Simplified Arabic"/>
          <w:sz w:val="28"/>
          <w:szCs w:val="28"/>
          <w:rtl/>
          <w:lang w:val="en-US"/>
        </w:rPr>
        <w:t xml:space="preserve"> </w:t>
      </w:r>
      <w:r w:rsidRPr="004830BA">
        <w:rPr>
          <w:rFonts w:ascii="Simplified Arabic" w:hAnsi="Simplified Arabic" w:cs="Simplified Arabic" w:hint="cs"/>
          <w:sz w:val="24"/>
          <w:szCs w:val="24"/>
          <w:rtl/>
        </w:rPr>
        <w:t>(</w:t>
      </w:r>
      <w:r w:rsidRPr="004830BA">
        <w:rPr>
          <w:rFonts w:asciiTheme="majorBidi" w:hAnsiTheme="majorBidi" w:cstheme="majorBidi"/>
          <w:sz w:val="24"/>
          <w:szCs w:val="24"/>
        </w:rPr>
        <w:t>GIS</w:t>
      </w:r>
      <w:r w:rsidRPr="004830BA">
        <w:rPr>
          <w:rFonts w:ascii="Simplified Arabic" w:hAnsi="Simplified Arabic" w:cs="Simplified Arabic" w:hint="cs"/>
          <w:sz w:val="24"/>
          <w:szCs w:val="24"/>
          <w:rtl/>
        </w:rPr>
        <w:t>)</w:t>
      </w:r>
      <w:r w:rsidRPr="003438A5">
        <w:rPr>
          <w:rFonts w:ascii="Simplified Arabic" w:hAnsi="Simplified Arabic" w:cs="Simplified Arabic"/>
          <w:sz w:val="24"/>
          <w:szCs w:val="24"/>
          <w:rtl/>
        </w:rPr>
        <w:t xml:space="preserve"> </w:t>
      </w:r>
      <w:r w:rsidRPr="003438A5">
        <w:rPr>
          <w:rFonts w:ascii="Simplified Arabic" w:hAnsi="Simplified Arabic" w:cs="Simplified Arabic" w:hint="cs"/>
          <w:sz w:val="24"/>
          <w:szCs w:val="24"/>
          <w:rtl/>
        </w:rPr>
        <w:t>التي يتم تنفيذها</w:t>
      </w:r>
      <w:r>
        <w:rPr>
          <w:rFonts w:asciiTheme="minorBidi" w:hAnsiTheme="minorBidi" w:cs="Arial" w:hint="cs"/>
          <w:sz w:val="28"/>
          <w:szCs w:val="28"/>
          <w:rtl/>
          <w:lang w:val="en-US"/>
        </w:rPr>
        <w:t xml:space="preserve"> </w:t>
      </w:r>
      <w:r w:rsidR="00CB5FAF">
        <w:rPr>
          <w:rFonts w:ascii="Simplified Arabic" w:hAnsi="Simplified Arabic" w:cs="Simplified Arabic" w:hint="cs"/>
          <w:sz w:val="24"/>
          <w:szCs w:val="24"/>
          <w:rtl/>
        </w:rPr>
        <w:t>في</w:t>
      </w:r>
      <w:r w:rsidRPr="009978D1">
        <w:rPr>
          <w:rFonts w:ascii="Simplified Arabic" w:hAnsi="Simplified Arabic" w:cs="Simplified Arabic" w:hint="cs"/>
          <w:sz w:val="24"/>
          <w:szCs w:val="24"/>
          <w:rtl/>
        </w:rPr>
        <w:t xml:space="preserve"> برنامج</w:t>
      </w:r>
      <w:r>
        <w:rPr>
          <w:rFonts w:asciiTheme="minorBidi" w:hAnsiTheme="minorBidi" w:cs="Arial" w:hint="cs"/>
          <w:sz w:val="28"/>
          <w:szCs w:val="28"/>
          <w:rtl/>
          <w:lang w:val="en-US"/>
        </w:rPr>
        <w:t xml:space="preserve"> </w:t>
      </w:r>
      <w:r w:rsidRPr="00DF61CD">
        <w:rPr>
          <w:rFonts w:asciiTheme="majorBidi" w:hAnsiTheme="majorBidi" w:cstheme="majorBidi" w:hint="cs"/>
          <w:sz w:val="24"/>
          <w:szCs w:val="24"/>
          <w:rtl/>
        </w:rPr>
        <w:t>(</w:t>
      </w:r>
      <w:r w:rsidRPr="00DF61CD">
        <w:rPr>
          <w:rFonts w:asciiTheme="majorBidi" w:hAnsiTheme="majorBidi" w:cstheme="majorBidi"/>
          <w:sz w:val="24"/>
          <w:szCs w:val="24"/>
        </w:rPr>
        <w:t>ArcGIS 10.3</w:t>
      </w:r>
      <w:r w:rsidRPr="00DF61CD">
        <w:rPr>
          <w:rFonts w:asciiTheme="majorBidi" w:hAnsiTheme="majorBidi" w:cstheme="majorBidi" w:hint="cs"/>
          <w:sz w:val="24"/>
          <w:szCs w:val="24"/>
          <w:rtl/>
        </w:rPr>
        <w:t>)</w:t>
      </w:r>
      <w:r w:rsidRPr="006D2F1A">
        <w:rPr>
          <w:rFonts w:ascii="Simplified Arabic" w:hAnsi="Simplified Arabic" w:cs="Simplified Arabic"/>
          <w:sz w:val="24"/>
          <w:szCs w:val="24"/>
          <w:rtl/>
        </w:rPr>
        <w:t>.</w:t>
      </w:r>
    </w:p>
    <w:p w:rsidR="000B42BD" w:rsidRDefault="000B42BD" w:rsidP="003A1DB8">
      <w:pPr>
        <w:pStyle w:val="fegure"/>
        <w:spacing w:before="240"/>
        <w:rPr>
          <w:szCs w:val="24"/>
          <w:rtl/>
        </w:rPr>
      </w:pPr>
      <w:bookmarkStart w:id="434" w:name="_Toc157608311"/>
      <w:bookmarkStart w:id="435" w:name="_Toc171803534"/>
      <w:r w:rsidRPr="00264FC1">
        <w:rPr>
          <w:rFonts w:hint="cs"/>
          <w:color w:val="auto"/>
          <w:szCs w:val="24"/>
          <w:rtl/>
        </w:rPr>
        <w:t>الش</w:t>
      </w:r>
      <w:r w:rsidRPr="00264FC1">
        <w:rPr>
          <w:rFonts w:hint="cs"/>
          <w:szCs w:val="24"/>
          <w:rtl/>
          <w:lang w:val="en-US"/>
        </w:rPr>
        <w:t>كل (</w:t>
      </w:r>
      <w:r w:rsidR="002E7C71" w:rsidRPr="00264FC1">
        <w:rPr>
          <w:rFonts w:hint="cs"/>
          <w:szCs w:val="24"/>
          <w:rtl/>
          <w:lang w:val="en-US"/>
        </w:rPr>
        <w:t>3-8</w:t>
      </w:r>
      <w:r w:rsidRPr="00264FC1">
        <w:rPr>
          <w:rFonts w:hint="cs"/>
          <w:szCs w:val="24"/>
          <w:rtl/>
          <w:lang w:val="en-US"/>
        </w:rPr>
        <w:t xml:space="preserve">): </w:t>
      </w:r>
      <w:r w:rsidR="004357E2" w:rsidRPr="00264FC1">
        <w:rPr>
          <w:rFonts w:hint="cs"/>
          <w:szCs w:val="24"/>
          <w:rtl/>
          <w:lang w:val="en-US"/>
        </w:rPr>
        <w:t>ال</w:t>
      </w:r>
      <w:r w:rsidR="004357E2" w:rsidRPr="00264FC1">
        <w:rPr>
          <w:rFonts w:hint="cs"/>
          <w:color w:val="auto"/>
          <w:szCs w:val="24"/>
          <w:rtl/>
        </w:rPr>
        <w:t>منهجية</w:t>
      </w:r>
      <w:r w:rsidR="004357E2" w:rsidRPr="00264FC1">
        <w:rPr>
          <w:color w:val="auto"/>
          <w:szCs w:val="24"/>
          <w:rtl/>
        </w:rPr>
        <w:t xml:space="preserve"> </w:t>
      </w:r>
      <w:r w:rsidR="004357E2" w:rsidRPr="00264FC1">
        <w:rPr>
          <w:rFonts w:hint="cs"/>
          <w:szCs w:val="24"/>
          <w:rtl/>
          <w:lang w:val="en-US"/>
        </w:rPr>
        <w:t>المتبعة لاطار عمل</w:t>
      </w:r>
      <w:r w:rsidR="004357E2" w:rsidRPr="00264FC1">
        <w:rPr>
          <w:szCs w:val="24"/>
          <w:rtl/>
          <w:lang w:val="en-US"/>
        </w:rPr>
        <w:t xml:space="preserve"> </w:t>
      </w:r>
      <w:r w:rsidR="004357E2" w:rsidRPr="00264FC1">
        <w:rPr>
          <w:szCs w:val="24"/>
          <w:rtl/>
        </w:rPr>
        <w:t xml:space="preserve">تقييم </w:t>
      </w:r>
      <w:r w:rsidR="004357E2" w:rsidRPr="00264FC1">
        <w:rPr>
          <w:rFonts w:hint="cs"/>
          <w:szCs w:val="24"/>
          <w:rtl/>
        </w:rPr>
        <w:t>المرونة</w:t>
      </w:r>
      <w:r w:rsidR="004357E2" w:rsidRPr="00264FC1">
        <w:rPr>
          <w:szCs w:val="24"/>
          <w:rtl/>
        </w:rPr>
        <w:t xml:space="preserve"> الحضرية</w:t>
      </w:r>
      <w:r w:rsidR="004357E2" w:rsidRPr="00264FC1">
        <w:rPr>
          <w:rFonts w:hint="cs"/>
          <w:szCs w:val="24"/>
          <w:rtl/>
        </w:rPr>
        <w:t xml:space="preserve"> </w:t>
      </w:r>
      <w:r w:rsidRPr="00264FC1">
        <w:rPr>
          <w:rFonts w:hint="cs"/>
          <w:szCs w:val="24"/>
          <w:rtl/>
        </w:rPr>
        <w:t>(</w:t>
      </w:r>
      <w:r w:rsidRPr="00264FC1">
        <w:rPr>
          <w:szCs w:val="24"/>
          <w:rtl/>
        </w:rPr>
        <w:t xml:space="preserve">المرحلة </w:t>
      </w:r>
      <w:r w:rsidR="0026579B" w:rsidRPr="00264FC1">
        <w:rPr>
          <w:rFonts w:hint="cs"/>
          <w:szCs w:val="24"/>
          <w:rtl/>
        </w:rPr>
        <w:t>الرابعة</w:t>
      </w:r>
      <w:r w:rsidRPr="00264FC1">
        <w:rPr>
          <w:rFonts w:hint="cs"/>
          <w:szCs w:val="24"/>
          <w:rtl/>
        </w:rPr>
        <w:t>)</w:t>
      </w:r>
      <w:bookmarkEnd w:id="434"/>
      <w:bookmarkEnd w:id="435"/>
    </w:p>
    <w:p w:rsidR="005135C8" w:rsidRPr="005135C8" w:rsidRDefault="005135C8" w:rsidP="005135C8">
      <w:pPr>
        <w:pStyle w:val="fegure"/>
        <w:rPr>
          <w:sz w:val="8"/>
          <w:szCs w:val="24"/>
          <w:lang w:val="en-US"/>
        </w:rPr>
      </w:pPr>
      <w:bookmarkStart w:id="436" w:name="_Toc171803535"/>
      <w:r>
        <w:rPr>
          <w:rFonts w:hint="cs"/>
          <w:sz w:val="8"/>
          <w:szCs w:val="24"/>
          <w:rtl/>
          <w:lang w:val="en-US"/>
        </w:rPr>
        <w:t>المصدر: (الباحث، 2022)</w:t>
      </w:r>
      <w:bookmarkEnd w:id="436"/>
    </w:p>
    <w:p w:rsidR="0026579B" w:rsidRDefault="0026579B" w:rsidP="00C02010">
      <w:pPr>
        <w:tabs>
          <w:tab w:val="right" w:pos="282"/>
        </w:tabs>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3ECEAB83" wp14:editId="1996896C">
            <wp:extent cx="4774582" cy="2129051"/>
            <wp:effectExtent l="0" t="0" r="6985" b="5080"/>
            <wp:docPr id="264" name="Imag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1">
                      <a:extLst>
                        <a:ext uri="{28A0092B-C50C-407E-A947-70E740481C1C}">
                          <a14:useLocalDpi xmlns:a14="http://schemas.microsoft.com/office/drawing/2010/main" val="0"/>
                        </a:ext>
                      </a:extLst>
                    </a:blip>
                    <a:stretch>
                      <a:fillRect/>
                    </a:stretch>
                  </pic:blipFill>
                  <pic:spPr>
                    <a:xfrm>
                      <a:off x="0" y="0"/>
                      <a:ext cx="4815412" cy="2147258"/>
                    </a:xfrm>
                    <a:prstGeom prst="rect">
                      <a:avLst/>
                    </a:prstGeom>
                  </pic:spPr>
                </pic:pic>
              </a:graphicData>
            </a:graphic>
          </wp:inline>
        </w:drawing>
      </w:r>
    </w:p>
    <w:p w:rsidR="000B42BD" w:rsidRDefault="000B42BD" w:rsidP="00E8765E">
      <w:pPr>
        <w:autoSpaceDE w:val="0"/>
        <w:autoSpaceDN w:val="0"/>
        <w:bidi/>
        <w:adjustRightInd w:val="0"/>
        <w:spacing w:before="240" w:after="0"/>
        <w:ind w:firstLine="282"/>
        <w:jc w:val="both"/>
        <w:rPr>
          <w:rFonts w:ascii="Simplified Arabic" w:hAnsi="Simplified Arabic" w:cs="Simplified Arabic"/>
          <w:sz w:val="24"/>
          <w:szCs w:val="24"/>
          <w:rtl/>
        </w:rPr>
      </w:pPr>
      <w:r w:rsidRPr="00C75CAD">
        <w:rPr>
          <w:rFonts w:ascii="Simplified Arabic" w:hAnsi="Simplified Arabic" w:cs="Simplified Arabic"/>
          <w:sz w:val="24"/>
          <w:szCs w:val="24"/>
          <w:rtl/>
        </w:rPr>
        <w:t>شكلت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الخريطة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الورقية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لعقود</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من</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الزمن</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المصدر</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الأساسي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لمختلف</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المعلومات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الطبيعية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والبشرية الموجودة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على</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سطح</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 xml:space="preserve">الأرض، </w:t>
      </w:r>
      <w:r w:rsidRPr="00C75CAD">
        <w:rPr>
          <w:rFonts w:ascii="Simplified Arabic" w:hAnsi="Simplified Arabic" w:cs="Simplified Arabic" w:hint="cs"/>
          <w:sz w:val="24"/>
          <w:szCs w:val="24"/>
          <w:rtl/>
        </w:rPr>
        <w:t xml:space="preserve">لكن </w:t>
      </w:r>
      <w:r w:rsidRPr="00C75CAD">
        <w:rPr>
          <w:rFonts w:ascii="Simplified Arabic" w:hAnsi="Simplified Arabic" w:cs="Simplified Arabic"/>
          <w:sz w:val="24"/>
          <w:szCs w:val="24"/>
          <w:rtl/>
        </w:rPr>
        <w:t>مع</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ظهور</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نظم</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المعلومات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الجغرافية</w:t>
      </w:r>
      <w:r w:rsidRPr="00C75CAD">
        <w:rPr>
          <w:rFonts w:ascii="Simplified Arabic" w:hAnsi="Simplified Arabic" w:cs="Simplified Arabic" w:hint="cs"/>
          <w:sz w:val="24"/>
          <w:szCs w:val="24"/>
          <w:rtl/>
        </w:rPr>
        <w:t xml:space="preserve"> </w:t>
      </w:r>
      <w:r w:rsidRPr="00C75CAD">
        <w:rPr>
          <w:rFonts w:asciiTheme="majorBidi" w:hAnsiTheme="majorBidi" w:cstheme="majorBidi"/>
          <w:sz w:val="24"/>
          <w:szCs w:val="24"/>
          <w:rtl/>
        </w:rPr>
        <w:t>(</w:t>
      </w:r>
      <w:r w:rsidRPr="00C75CAD">
        <w:rPr>
          <w:rFonts w:asciiTheme="majorBidi" w:hAnsiTheme="majorBidi" w:cstheme="majorBidi"/>
          <w:sz w:val="24"/>
          <w:szCs w:val="24"/>
        </w:rPr>
        <w:t>GIS</w:t>
      </w:r>
      <w:r w:rsidRPr="00C75CAD">
        <w:rPr>
          <w:rFonts w:asciiTheme="majorBidi" w:hAnsiTheme="majorBidi" w:cstheme="majorBidi"/>
          <w:sz w:val="24"/>
          <w:szCs w:val="24"/>
          <w:rtl/>
        </w:rPr>
        <w:t>)</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عرفت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الخريطة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تطورات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كبيرة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حيث</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أصبح</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ممكنا إنتاج</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خرائط</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رقمية</w:t>
      </w:r>
      <w:r w:rsidRPr="00C75CAD">
        <w:rPr>
          <w:rFonts w:ascii="Simplified Arabic" w:hAnsi="Simplified Arabic" w:cs="Simplified Arabic" w:hint="cs"/>
          <w:sz w:val="24"/>
          <w:szCs w:val="24"/>
          <w:rtl/>
        </w:rPr>
        <w:t xml:space="preserve">. ربما يعد ظهور نظام المعلومات الجغرافي الكندي سنة 1964 هو الاول من نوعه في العالم، حيث قامت الحكومة الكندية بتحويل خرائط الموارد الطبيعية من صورتها الورقية الى الصورة الرقمية للاستفادة منها في تصنيف </w:t>
      </w:r>
      <w:r w:rsidR="00E8765E">
        <w:rPr>
          <w:rFonts w:ascii="Simplified Arabic" w:hAnsi="Simplified Arabic" w:cs="Simplified Arabic" w:hint="cs"/>
          <w:sz w:val="24"/>
          <w:szCs w:val="24"/>
          <w:rtl/>
        </w:rPr>
        <w:t>استعمالات</w:t>
      </w:r>
      <w:r w:rsidRPr="00C75CAD">
        <w:rPr>
          <w:rFonts w:ascii="Simplified Arabic" w:hAnsi="Simplified Arabic" w:cs="Simplified Arabic" w:hint="cs"/>
          <w:sz w:val="24"/>
          <w:szCs w:val="24"/>
          <w:rtl/>
        </w:rPr>
        <w:t xml:space="preserve"> الاراضي المتعددة و اجراء بعض القياسات عليها مثل حساب المساحات (جمعة محمد</w:t>
      </w:r>
      <w:r w:rsidRPr="00C75CAD">
        <w:rPr>
          <w:rFonts w:ascii="Simplified Arabic" w:hAnsi="Simplified Arabic" w:cs="Simplified Arabic"/>
          <w:sz w:val="24"/>
          <w:szCs w:val="24"/>
        </w:rPr>
        <w:t xml:space="preserve"> </w:t>
      </w:r>
      <w:r w:rsidRPr="00C75CAD">
        <w:rPr>
          <w:rFonts w:ascii="Simplified Arabic" w:hAnsi="Simplified Arabic" w:cs="Simplified Arabic" w:hint="cs"/>
          <w:sz w:val="24"/>
          <w:szCs w:val="24"/>
          <w:rtl/>
        </w:rPr>
        <w:t xml:space="preserve">داود، 2012). </w:t>
      </w:r>
    </w:p>
    <w:p w:rsidR="000B42BD" w:rsidRDefault="000B42BD" w:rsidP="000B42BD">
      <w:pPr>
        <w:autoSpaceDE w:val="0"/>
        <w:autoSpaceDN w:val="0"/>
        <w:bidi/>
        <w:adjustRightInd w:val="0"/>
        <w:spacing w:after="0"/>
        <w:ind w:firstLine="282"/>
        <w:jc w:val="both"/>
        <w:rPr>
          <w:rFonts w:ascii="Simplified Arabic" w:hAnsi="Simplified Arabic" w:cs="Simplified Arabic"/>
          <w:sz w:val="24"/>
          <w:szCs w:val="24"/>
          <w:rtl/>
        </w:rPr>
      </w:pPr>
      <w:r w:rsidRPr="00C75CAD">
        <w:rPr>
          <w:rFonts w:ascii="Simplified Arabic" w:hAnsi="Simplified Arabic" w:cs="Simplified Arabic" w:hint="cs"/>
          <w:sz w:val="24"/>
          <w:szCs w:val="24"/>
          <w:rtl/>
        </w:rPr>
        <w:t xml:space="preserve">في نفس الفترة، شرعت جامعة هارفارد الامريكية سنة 1964 بإنتاج نظام جديد سمته معمل هارفارد لرسوم الكمبيوتر والتحليل المكاني لإصدار عدد من التطبيقات من بينها تطوير نظام معلومات جغرافي شامل، </w:t>
      </w:r>
      <w:r w:rsidRPr="00C75CAD">
        <w:rPr>
          <w:rFonts w:ascii="Simplified Arabic" w:hAnsi="Simplified Arabic" w:cs="Simplified Arabic" w:hint="cs"/>
          <w:sz w:val="24"/>
          <w:szCs w:val="24"/>
          <w:rtl/>
          <w:lang w:bidi="ar-DZ"/>
        </w:rPr>
        <w:t xml:space="preserve">في عام 1969، </w:t>
      </w:r>
      <w:r w:rsidRPr="00C75CAD">
        <w:rPr>
          <w:rFonts w:ascii="Simplified Arabic" w:hAnsi="Simplified Arabic" w:cs="Simplified Arabic" w:hint="cs"/>
          <w:sz w:val="24"/>
          <w:szCs w:val="24"/>
          <w:rtl/>
        </w:rPr>
        <w:t xml:space="preserve">تم </w:t>
      </w:r>
      <w:r w:rsidRPr="00C75CAD">
        <w:rPr>
          <w:rFonts w:ascii="Simplified Arabic" w:hAnsi="Simplified Arabic" w:cs="Simplified Arabic" w:hint="cs"/>
          <w:sz w:val="24"/>
          <w:szCs w:val="24"/>
          <w:rtl/>
          <w:lang w:bidi="ar-DZ"/>
        </w:rPr>
        <w:t xml:space="preserve">فيما بعد </w:t>
      </w:r>
      <w:r w:rsidRPr="00C75CAD">
        <w:rPr>
          <w:rFonts w:ascii="Simplified Arabic" w:hAnsi="Simplified Arabic" w:cs="Simplified Arabic" w:hint="cs"/>
          <w:sz w:val="24"/>
          <w:szCs w:val="24"/>
          <w:rtl/>
        </w:rPr>
        <w:t xml:space="preserve">تأسيس شركة تحت اسم معهد البحوث والنظم البيئية </w:t>
      </w:r>
      <w:r w:rsidRPr="00C75CAD">
        <w:rPr>
          <w:rFonts w:ascii="Simplified Arabic" w:hAnsi="Simplified Arabic" w:cs="Simplified Arabic" w:hint="cs"/>
          <w:sz w:val="24"/>
          <w:szCs w:val="24"/>
          <w:rtl/>
          <w:lang w:bidi="ar-DZ"/>
        </w:rPr>
        <w:t>التي تعرف باسم (</w:t>
      </w:r>
      <w:r w:rsidRPr="00C75CAD">
        <w:rPr>
          <w:rFonts w:asciiTheme="majorBidi" w:hAnsiTheme="majorBidi" w:cstheme="majorBidi"/>
          <w:sz w:val="24"/>
          <w:szCs w:val="24"/>
          <w:lang w:bidi="ar-DZ"/>
        </w:rPr>
        <w:t>ESRI</w:t>
      </w:r>
      <w:r w:rsidRPr="00C75CAD">
        <w:rPr>
          <w:rFonts w:ascii="Simplified Arabic" w:hAnsi="Simplified Arabic" w:cs="Simplified Arabic" w:hint="cs"/>
          <w:sz w:val="24"/>
          <w:szCs w:val="24"/>
          <w:rtl/>
          <w:lang w:bidi="ar-DZ"/>
        </w:rPr>
        <w:t xml:space="preserve">) </w:t>
      </w:r>
      <w:r w:rsidRPr="00C75CAD">
        <w:rPr>
          <w:rFonts w:ascii="Simplified Arabic" w:hAnsi="Simplified Arabic" w:cs="Simplified Arabic"/>
          <w:sz w:val="24"/>
          <w:szCs w:val="24"/>
        </w:rPr>
        <w:t xml:space="preserve"> </w:t>
      </w:r>
      <w:r w:rsidRPr="00C75CAD">
        <w:rPr>
          <w:rFonts w:asciiTheme="majorBidi" w:hAnsiTheme="majorBidi" w:cstheme="majorBidi"/>
          <w:sz w:val="24"/>
          <w:szCs w:val="24"/>
          <w:lang w:val="en-US"/>
        </w:rPr>
        <w:t>Environmental</w:t>
      </w:r>
      <w:r w:rsidRPr="00C75CAD">
        <w:rPr>
          <w:rFonts w:asciiTheme="majorBidi" w:hAnsiTheme="majorBidi" w:cstheme="majorBidi"/>
          <w:sz w:val="24"/>
          <w:szCs w:val="24"/>
        </w:rPr>
        <w:t xml:space="preserve"> </w:t>
      </w:r>
      <w:r w:rsidRPr="00C75CAD">
        <w:rPr>
          <w:rFonts w:asciiTheme="majorBidi" w:hAnsiTheme="majorBidi" w:cstheme="majorBidi"/>
          <w:sz w:val="24"/>
          <w:szCs w:val="24"/>
          <w:lang w:val="en-US"/>
        </w:rPr>
        <w:t>Systems</w:t>
      </w:r>
      <w:r w:rsidRPr="00C75CAD">
        <w:rPr>
          <w:rFonts w:asciiTheme="majorBidi" w:hAnsiTheme="majorBidi" w:cstheme="majorBidi"/>
          <w:sz w:val="24"/>
          <w:szCs w:val="24"/>
        </w:rPr>
        <w:t xml:space="preserve"> </w:t>
      </w:r>
      <w:r w:rsidRPr="00C75CAD">
        <w:rPr>
          <w:rFonts w:asciiTheme="majorBidi" w:hAnsiTheme="majorBidi" w:cstheme="majorBidi"/>
          <w:sz w:val="24"/>
          <w:szCs w:val="24"/>
          <w:lang w:val="en-US"/>
        </w:rPr>
        <w:t>Research</w:t>
      </w:r>
      <w:r w:rsidRPr="00C75CAD">
        <w:rPr>
          <w:rFonts w:asciiTheme="majorBidi" w:hAnsiTheme="majorBidi" w:cstheme="majorBidi"/>
          <w:sz w:val="24"/>
          <w:szCs w:val="24"/>
        </w:rPr>
        <w:t xml:space="preserve"> Institute</w:t>
      </w:r>
      <w:r w:rsidRPr="00C75CAD">
        <w:rPr>
          <w:rFonts w:ascii="Simplified Arabic" w:hAnsi="Simplified Arabic" w:cs="Simplified Arabic" w:hint="cs"/>
          <w:sz w:val="24"/>
          <w:szCs w:val="24"/>
          <w:rtl/>
        </w:rPr>
        <w:t xml:space="preserve"> ، هي اول شركة خاصة لتطوير برمجيات نظم المعلومات الجغرافية (جمعة محمد</w:t>
      </w:r>
      <w:r w:rsidRPr="00C75CAD">
        <w:rPr>
          <w:rFonts w:ascii="Simplified Arabic" w:hAnsi="Simplified Arabic" w:cs="Simplified Arabic"/>
          <w:sz w:val="24"/>
          <w:szCs w:val="24"/>
        </w:rPr>
        <w:t xml:space="preserve"> </w:t>
      </w:r>
      <w:r w:rsidRPr="00C75CAD">
        <w:rPr>
          <w:rFonts w:ascii="Simplified Arabic" w:hAnsi="Simplified Arabic" w:cs="Simplified Arabic" w:hint="cs"/>
          <w:sz w:val="24"/>
          <w:szCs w:val="24"/>
          <w:rtl/>
        </w:rPr>
        <w:t xml:space="preserve">داود، 2014). </w:t>
      </w:r>
    </w:p>
    <w:p w:rsidR="00973A58" w:rsidRDefault="000B42BD" w:rsidP="00973A58">
      <w:pPr>
        <w:pStyle w:val="PrformatHTML"/>
        <w:bidi/>
        <w:spacing w:line="276" w:lineRule="auto"/>
        <w:ind w:firstLine="282"/>
        <w:jc w:val="both"/>
        <w:rPr>
          <w:rFonts w:asciiTheme="minorBidi" w:hAnsiTheme="minorBidi" w:cs="Arial"/>
          <w:sz w:val="28"/>
          <w:szCs w:val="28"/>
          <w:rtl/>
          <w:lang w:val="en-US"/>
        </w:rPr>
      </w:pPr>
      <w:r w:rsidRPr="00AB7DF0">
        <w:rPr>
          <w:rFonts w:ascii="Simplified Arabic" w:hAnsi="Simplified Arabic" w:cs="Simplified Arabic" w:hint="cs"/>
          <w:sz w:val="24"/>
          <w:szCs w:val="24"/>
          <w:rtl/>
        </w:rPr>
        <w:t>بدأت</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في</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الظهور</w:t>
      </w:r>
      <w:r w:rsidRPr="00AB7DF0">
        <w:rPr>
          <w:rFonts w:ascii="Simplified Arabic" w:hAnsi="Simplified Arabic" w:cs="Simplified Arabic"/>
          <w:sz w:val="24"/>
          <w:szCs w:val="24"/>
        </w:rPr>
        <w:t xml:space="preserve"> </w:t>
      </w:r>
      <w:r>
        <w:rPr>
          <w:rFonts w:ascii="Simplified Arabic" w:hAnsi="Simplified Arabic" w:cs="Simplified Arabic" w:hint="cs"/>
          <w:sz w:val="24"/>
          <w:szCs w:val="24"/>
          <w:rtl/>
        </w:rPr>
        <w:t>برمجيات</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جديدة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تعتمد</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ليس</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فقط</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على</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حفظ</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البيانات</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الجغرافية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في</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صورة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رقمية،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بل</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تخطتها</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إلى تحليلها</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بهدف</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الوصول</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إلى</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حلول</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علمية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وعملية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لمشكلات</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مجتمعية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قائمة</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في</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عدد</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من</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التخصصات</w:t>
      </w:r>
      <w:r w:rsidRPr="00AB7DF0">
        <w:rPr>
          <w:rFonts w:ascii="Simplified Arabic" w:hAnsi="Simplified Arabic" w:cs="Simplified Arabic"/>
          <w:sz w:val="24"/>
          <w:szCs w:val="24"/>
        </w:rPr>
        <w:t xml:space="preserve"> </w:t>
      </w:r>
      <w:r w:rsidRPr="00AB7DF0">
        <w:rPr>
          <w:rFonts w:ascii="Simplified Arabic" w:hAnsi="Simplified Arabic" w:cs="Simplified Arabic" w:hint="cs"/>
          <w:sz w:val="24"/>
          <w:szCs w:val="24"/>
          <w:rtl/>
        </w:rPr>
        <w:t>والاهتمامات.</w:t>
      </w:r>
      <w:r>
        <w:rPr>
          <w:rFonts w:ascii="Simplified Arabic" w:hAnsi="Simplified Arabic" w:cs="Simplified Arabic" w:hint="cs"/>
          <w:sz w:val="24"/>
          <w:szCs w:val="24"/>
          <w:rtl/>
        </w:rPr>
        <w:t xml:space="preserve"> استخدم البحث الحالي هذه </w:t>
      </w:r>
      <w:r w:rsidR="003A1DB8">
        <w:rPr>
          <w:rFonts w:ascii="Simplified Arabic" w:hAnsi="Simplified Arabic" w:cs="Simplified Arabic" w:hint="cs"/>
          <w:sz w:val="24"/>
          <w:szCs w:val="24"/>
          <w:rtl/>
        </w:rPr>
        <w:t>ال</w:t>
      </w:r>
      <w:r>
        <w:rPr>
          <w:rFonts w:ascii="Simplified Arabic" w:hAnsi="Simplified Arabic" w:cs="Simplified Arabic" w:hint="cs"/>
          <w:sz w:val="24"/>
          <w:szCs w:val="24"/>
          <w:rtl/>
        </w:rPr>
        <w:t>تقنية كأداة مساعدة في التحليل المكاني.</w:t>
      </w:r>
      <w:r w:rsidR="00A15CDF" w:rsidRPr="00A15CDF">
        <w:rPr>
          <w:rFonts w:ascii="Simplified Arabic" w:hAnsi="Simplified Arabic" w:cs="Simplified Arabic"/>
          <w:sz w:val="24"/>
          <w:szCs w:val="24"/>
          <w:rtl/>
        </w:rPr>
        <w:t xml:space="preserve"> عند </w:t>
      </w:r>
      <w:r w:rsidR="00A15CDF" w:rsidRPr="00A15CDF">
        <w:rPr>
          <w:rFonts w:ascii="Simplified Arabic" w:hAnsi="Simplified Arabic" w:cs="Simplified Arabic" w:hint="cs"/>
          <w:sz w:val="24"/>
          <w:szCs w:val="24"/>
          <w:rtl/>
        </w:rPr>
        <w:t>ال</w:t>
      </w:r>
      <w:r w:rsidR="00A15CDF" w:rsidRPr="00A15CDF">
        <w:rPr>
          <w:rFonts w:ascii="Simplified Arabic" w:hAnsi="Simplified Arabic" w:cs="Simplified Arabic"/>
          <w:sz w:val="24"/>
          <w:szCs w:val="24"/>
          <w:rtl/>
        </w:rPr>
        <w:t xml:space="preserve">تحليل </w:t>
      </w:r>
      <w:r w:rsidR="00A15CDF" w:rsidRPr="00A15CDF">
        <w:rPr>
          <w:rFonts w:ascii="Simplified Arabic" w:hAnsi="Simplified Arabic" w:cs="Simplified Arabic" w:hint="cs"/>
          <w:sz w:val="24"/>
          <w:szCs w:val="24"/>
          <w:rtl/>
        </w:rPr>
        <w:t>المكاني ل</w:t>
      </w:r>
      <w:r w:rsidR="00A15CDF" w:rsidRPr="00A15CDF">
        <w:rPr>
          <w:rFonts w:ascii="Simplified Arabic" w:hAnsi="Simplified Arabic" w:cs="Simplified Arabic"/>
          <w:sz w:val="24"/>
          <w:szCs w:val="24"/>
          <w:rtl/>
        </w:rPr>
        <w:t xml:space="preserve">أي موقع، </w:t>
      </w:r>
      <w:r w:rsidR="00A15CDF" w:rsidRPr="00A15CDF">
        <w:rPr>
          <w:rFonts w:ascii="Simplified Arabic" w:hAnsi="Simplified Arabic" w:cs="Simplified Arabic" w:hint="cs"/>
          <w:sz w:val="24"/>
          <w:szCs w:val="24"/>
          <w:rtl/>
        </w:rPr>
        <w:t xml:space="preserve">يتم </w:t>
      </w:r>
      <w:r w:rsidR="00A15CDF" w:rsidRPr="00A15CDF">
        <w:rPr>
          <w:rFonts w:ascii="Simplified Arabic" w:hAnsi="Simplified Arabic" w:cs="Simplified Arabic"/>
          <w:sz w:val="24"/>
          <w:szCs w:val="24"/>
          <w:rtl/>
        </w:rPr>
        <w:t>استخدام تكنولوجيات الحاسوب لإعداد البيانات والدراسات في شكل رقمي يسهم في صياغة نظام معلومات رقمي للدراسات والتحليلات المتعلقة بالمواقع، مما يؤدي إلى زيادة كفاءة عملية تحليل الموقع والحصول على نتا</w:t>
      </w:r>
      <w:r w:rsidR="00973A58">
        <w:rPr>
          <w:rFonts w:ascii="Simplified Arabic" w:hAnsi="Simplified Arabic" w:cs="Simplified Arabic"/>
          <w:sz w:val="24"/>
          <w:szCs w:val="24"/>
          <w:rtl/>
        </w:rPr>
        <w:t>ئج مرجعية دقيقة وصحيحة ومكانية</w:t>
      </w:r>
      <w:r w:rsidR="00973A58">
        <w:rPr>
          <w:rFonts w:ascii="Simplified Arabic" w:hAnsi="Simplified Arabic" w:cs="Simplified Arabic" w:hint="cs"/>
          <w:sz w:val="24"/>
          <w:szCs w:val="24"/>
          <w:rtl/>
        </w:rPr>
        <w:t xml:space="preserve"> </w:t>
      </w:r>
      <w:r w:rsidR="00973A58" w:rsidRPr="00C75CAD">
        <w:rPr>
          <w:rFonts w:asciiTheme="majorBidi" w:hAnsiTheme="majorBidi" w:cstheme="majorBidi"/>
          <w:color w:val="000000" w:themeColor="text1"/>
          <w:sz w:val="24"/>
          <w:szCs w:val="24"/>
          <w:rtl/>
          <w:lang w:val="en-US" w:bidi="ar-DZ"/>
        </w:rPr>
        <w:t>(</w:t>
      </w:r>
      <w:r w:rsidR="00973A58" w:rsidRPr="00C75CAD">
        <w:rPr>
          <w:rStyle w:val="y2iqfc"/>
          <w:rFonts w:asciiTheme="majorBidi" w:hAnsiTheme="majorBidi" w:cstheme="majorBidi"/>
          <w:color w:val="202124"/>
          <w:sz w:val="24"/>
          <w:szCs w:val="24"/>
          <w:rtl/>
          <w:lang w:bidi="ar"/>
        </w:rPr>
        <w:t xml:space="preserve"> </w:t>
      </w:r>
      <w:r w:rsidR="00973A58" w:rsidRPr="00973A58">
        <w:rPr>
          <w:rStyle w:val="y2iqfc"/>
          <w:rFonts w:asciiTheme="majorBidi" w:hAnsiTheme="majorBidi" w:cstheme="majorBidi"/>
          <w:color w:val="202124"/>
          <w:sz w:val="24"/>
          <w:szCs w:val="24"/>
          <w:lang w:bidi="ar"/>
        </w:rPr>
        <w:t>Oudina</w:t>
      </w:r>
      <w:r w:rsidR="00973A58">
        <w:rPr>
          <w:rStyle w:val="y2iqfc"/>
          <w:rFonts w:asciiTheme="majorBidi" w:hAnsiTheme="majorBidi" w:cstheme="majorBidi"/>
          <w:color w:val="202124"/>
          <w:sz w:val="24"/>
          <w:szCs w:val="24"/>
          <w:lang w:bidi="ar"/>
        </w:rPr>
        <w:t xml:space="preserve"> </w:t>
      </w:r>
      <w:r w:rsidR="00973A58" w:rsidRPr="00C75CAD">
        <w:rPr>
          <w:rFonts w:asciiTheme="majorBidi" w:hAnsiTheme="majorBidi" w:cstheme="majorBidi"/>
          <w:sz w:val="24"/>
          <w:szCs w:val="24"/>
        </w:rPr>
        <w:t xml:space="preserve">et al., </w:t>
      </w:r>
      <w:r w:rsidR="00973A58">
        <w:rPr>
          <w:rFonts w:asciiTheme="majorBidi" w:hAnsiTheme="majorBidi" w:cstheme="majorBidi"/>
          <w:sz w:val="24"/>
          <w:szCs w:val="24"/>
        </w:rPr>
        <w:t>2022</w:t>
      </w:r>
      <w:r w:rsidR="00973A58" w:rsidRPr="00C75CAD">
        <w:rPr>
          <w:rStyle w:val="y2iqfc"/>
          <w:rFonts w:asciiTheme="majorBidi" w:hAnsiTheme="majorBidi" w:cstheme="majorBidi"/>
          <w:color w:val="202124"/>
          <w:sz w:val="24"/>
          <w:szCs w:val="24"/>
          <w:rtl/>
          <w:lang w:val="en-US" w:bidi="ar"/>
        </w:rPr>
        <w:t>)</w:t>
      </w:r>
      <w:r w:rsidR="00973A58" w:rsidRPr="00C75CAD">
        <w:rPr>
          <w:rFonts w:asciiTheme="minorBidi" w:hAnsiTheme="minorBidi" w:cs="Arial"/>
          <w:sz w:val="28"/>
          <w:szCs w:val="28"/>
          <w:rtl/>
          <w:lang w:val="en-US"/>
        </w:rPr>
        <w:t>.</w:t>
      </w:r>
    </w:p>
    <w:p w:rsidR="000B42BD" w:rsidRPr="00133513" w:rsidRDefault="000B42BD" w:rsidP="00973A58">
      <w:pPr>
        <w:pStyle w:val="Paragraphedeliste"/>
        <w:numPr>
          <w:ilvl w:val="3"/>
          <w:numId w:val="139"/>
        </w:numPr>
        <w:tabs>
          <w:tab w:val="right" w:pos="992"/>
        </w:tabs>
        <w:bidi/>
        <w:spacing w:before="240" w:after="0"/>
        <w:ind w:left="0" w:firstLine="0"/>
        <w:jc w:val="both"/>
        <w:outlineLvl w:val="2"/>
        <w:rPr>
          <w:rFonts w:ascii="Simplified Arabic" w:hAnsi="Simplified Arabic" w:cs="Simplified Arabic"/>
          <w:sz w:val="24"/>
          <w:szCs w:val="24"/>
          <w:rtl/>
          <w:lang w:val="en-US"/>
        </w:rPr>
      </w:pPr>
      <w:bookmarkStart w:id="437" w:name="_Toc171803536"/>
      <w:r w:rsidRPr="00084A0C">
        <w:rPr>
          <w:rFonts w:ascii="Simplified Arabic" w:hAnsi="Simplified Arabic" w:cs="Simplified Arabic" w:hint="cs"/>
          <w:b/>
          <w:bCs/>
          <w:sz w:val="24"/>
          <w:szCs w:val="24"/>
          <w:rtl/>
          <w:lang w:val="en-US"/>
        </w:rPr>
        <w:lastRenderedPageBreak/>
        <w:t xml:space="preserve">تعريف نظم المعلومات الجغرافية </w:t>
      </w:r>
      <w:r w:rsidRPr="00084A0C">
        <w:rPr>
          <w:rFonts w:asciiTheme="majorBidi" w:hAnsiTheme="majorBidi" w:cstheme="majorBidi"/>
          <w:sz w:val="24"/>
          <w:szCs w:val="24"/>
          <w:rtl/>
        </w:rPr>
        <w:t>(</w:t>
      </w:r>
      <w:r w:rsidRPr="00084A0C">
        <w:rPr>
          <w:rFonts w:asciiTheme="majorBidi" w:hAnsiTheme="majorBidi" w:cstheme="majorBidi"/>
          <w:sz w:val="24"/>
          <w:szCs w:val="24"/>
        </w:rPr>
        <w:t>GIS</w:t>
      </w:r>
      <w:r w:rsidRPr="00084A0C">
        <w:rPr>
          <w:rFonts w:asciiTheme="majorBidi" w:hAnsiTheme="majorBidi" w:cstheme="majorBidi"/>
          <w:sz w:val="24"/>
          <w:szCs w:val="24"/>
          <w:rtl/>
        </w:rPr>
        <w:t>)</w:t>
      </w:r>
      <w:r w:rsidRPr="00133513">
        <w:rPr>
          <w:rFonts w:ascii="Simplified Arabic" w:hAnsi="Simplified Arabic" w:cs="Simplified Arabic"/>
          <w:color w:val="000000" w:themeColor="text1"/>
          <w:sz w:val="24"/>
          <w:szCs w:val="24"/>
          <w:rtl/>
        </w:rPr>
        <w:t>:</w:t>
      </w:r>
      <w:bookmarkEnd w:id="437"/>
    </w:p>
    <w:p w:rsidR="000B42BD" w:rsidRDefault="000B42BD" w:rsidP="00B02037">
      <w:pPr>
        <w:autoSpaceDE w:val="0"/>
        <w:autoSpaceDN w:val="0"/>
        <w:bidi/>
        <w:adjustRightInd w:val="0"/>
        <w:spacing w:after="0"/>
        <w:ind w:firstLine="282"/>
        <w:jc w:val="both"/>
        <w:rPr>
          <w:rFonts w:asciiTheme="majorBidi" w:hAnsiTheme="majorBidi" w:cstheme="majorBidi"/>
          <w:sz w:val="24"/>
          <w:szCs w:val="24"/>
          <w:rtl/>
        </w:rPr>
      </w:pPr>
      <w:r w:rsidRPr="007B230E">
        <w:rPr>
          <w:rFonts w:ascii="Simplified Arabic" w:hAnsi="Simplified Arabic" w:cs="Simplified Arabic" w:hint="cs"/>
          <w:sz w:val="24"/>
          <w:szCs w:val="24"/>
          <w:rtl/>
        </w:rPr>
        <w:t>ليس هناك تعريف موحد لنظم</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المعلومات</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الجغرافية، تعددت</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التعريفات</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وحاول</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كل</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طرف</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أن</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يعرفها</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وفق</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منظوره</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الخاص</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وبناء</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على</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خلفيته</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العلمية</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والفكرية و مجال تطبيقها، لكن اهم هذه التعريفات التي حاولت شرح نظم</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المعلومات</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الجغرافية</w:t>
      </w:r>
      <w:r w:rsidRPr="007B230E">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كثير</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 xml:space="preserve">منها </w:t>
      </w:r>
      <w:r>
        <w:rPr>
          <w:rFonts w:ascii="Simplified Arabic" w:hAnsi="Simplified Arabic" w:cs="Simplified Arabic" w:hint="cs"/>
          <w:sz w:val="24"/>
          <w:szCs w:val="24"/>
          <w:rtl/>
        </w:rPr>
        <w:t>''</w:t>
      </w:r>
      <w:r w:rsidRPr="006D6009">
        <w:rPr>
          <w:rFonts w:ascii="Simplified Arabic" w:hAnsi="Simplified Arabic" w:cs="Simplified Arabic" w:hint="cs"/>
          <w:sz w:val="24"/>
          <w:szCs w:val="24"/>
          <w:rtl/>
        </w:rPr>
        <w:t>تعتبر</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نظم</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المعلومات</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الجغرافية</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تدخل</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ضمن</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نظم</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اتخاذ</w:t>
      </w:r>
      <w:r w:rsidRPr="006D6009">
        <w:rPr>
          <w:rFonts w:ascii="Simplified Arabic" w:hAnsi="Simplified Arabic" w:cs="Simplified Arabic"/>
          <w:sz w:val="24"/>
          <w:szCs w:val="24"/>
        </w:rPr>
        <w:t xml:space="preserve"> </w:t>
      </w:r>
      <w:r w:rsidRPr="006D6009">
        <w:rPr>
          <w:rFonts w:ascii="Simplified Arabic" w:hAnsi="Simplified Arabic" w:cs="Simplified Arabic" w:hint="cs"/>
          <w:sz w:val="24"/>
          <w:szCs w:val="24"/>
          <w:rtl/>
        </w:rPr>
        <w:t>القرار</w:t>
      </w:r>
      <w:r>
        <w:rPr>
          <w:rFonts w:ascii="Simplified Arabic" w:hAnsi="Simplified Arabic" w:cs="Simplified Arabic" w:hint="cs"/>
          <w:sz w:val="24"/>
          <w:szCs w:val="24"/>
          <w:rtl/>
        </w:rPr>
        <w:t>''.</w:t>
      </w:r>
      <w:r w:rsidRPr="007B230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يوجد </w:t>
      </w:r>
      <w:r w:rsidRPr="007B230E">
        <w:rPr>
          <w:rFonts w:ascii="Simplified Arabic" w:hAnsi="Simplified Arabic" w:cs="Simplified Arabic" w:hint="cs"/>
          <w:sz w:val="24"/>
          <w:szCs w:val="24"/>
          <w:rtl/>
        </w:rPr>
        <w:t>على</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سبيل</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المثال</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لا</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الحصر</w:t>
      </w:r>
      <w:r w:rsidRPr="007B230E">
        <w:rPr>
          <w:rFonts w:ascii="Simplified Arabic" w:hAnsi="Simplified Arabic" w:cs="Simplified Arabic"/>
          <w:sz w:val="24"/>
          <w:szCs w:val="24"/>
        </w:rPr>
        <w:t xml:space="preserve"> </w:t>
      </w:r>
      <w:r w:rsidRPr="007B230E">
        <w:rPr>
          <w:rFonts w:ascii="Simplified Arabic" w:hAnsi="Simplified Arabic" w:cs="Simplified Arabic" w:hint="cs"/>
          <w:sz w:val="24"/>
          <w:szCs w:val="24"/>
          <w:rtl/>
        </w:rPr>
        <w:t>تعريف</w:t>
      </w:r>
      <w:r w:rsidRPr="00713508">
        <w:rPr>
          <w:rFonts w:ascii="Simplified Arabic" w:hAnsi="Simplified Arabic" w:cs="Simplified Arabic" w:hint="cs"/>
          <w:sz w:val="24"/>
          <w:szCs w:val="24"/>
          <w:rtl/>
        </w:rPr>
        <w:t xml:space="preserve"> كل</w:t>
      </w:r>
      <w:r>
        <w:rPr>
          <w:rFonts w:ascii="Simplified Arabic" w:hAnsi="Simplified Arabic" w:cs="Simplified Arabic" w:hint="cs"/>
          <w:sz w:val="24"/>
          <w:szCs w:val="24"/>
          <w:rtl/>
        </w:rPr>
        <w:t>ا</w:t>
      </w:r>
      <w:r w:rsidRPr="00713508">
        <w:rPr>
          <w:rFonts w:ascii="Simplified Arabic" w:hAnsi="Simplified Arabic" w:cs="Simplified Arabic" w:hint="cs"/>
          <w:sz w:val="24"/>
          <w:szCs w:val="24"/>
          <w:rtl/>
        </w:rPr>
        <w:t xml:space="preserve"> من</w:t>
      </w:r>
      <w:r w:rsidR="00B02037">
        <w:rPr>
          <w:rFonts w:asciiTheme="majorBidi" w:hAnsiTheme="majorBidi" w:cstheme="majorBidi"/>
          <w:sz w:val="24"/>
          <w:szCs w:val="24"/>
        </w:rPr>
        <w:t>(</w:t>
      </w:r>
      <w:r w:rsidRPr="00C75CAD">
        <w:rPr>
          <w:rFonts w:asciiTheme="majorBidi" w:hAnsiTheme="majorBidi" w:cstheme="majorBidi"/>
          <w:sz w:val="24"/>
          <w:szCs w:val="24"/>
        </w:rPr>
        <w:t>DUEKER</w:t>
      </w:r>
      <w:r w:rsidR="00B02037">
        <w:rPr>
          <w:rFonts w:asciiTheme="majorBidi" w:hAnsiTheme="majorBidi" w:cstheme="majorBidi"/>
          <w:sz w:val="24"/>
          <w:szCs w:val="24"/>
        </w:rPr>
        <w:t>, 1979)</w:t>
      </w:r>
      <w:r>
        <w:rPr>
          <w:rFonts w:ascii="TraditionalArabic" w:cs="TraditionalArabic"/>
          <w:sz w:val="28"/>
          <w:szCs w:val="28"/>
        </w:rPr>
        <w:t xml:space="preserve"> </w:t>
      </w:r>
      <w:r w:rsidR="00B02037">
        <w:rPr>
          <w:rFonts w:ascii="TraditionalArabic" w:cs="TraditionalArabic" w:hint="cs"/>
          <w:sz w:val="28"/>
          <w:szCs w:val="28"/>
          <w:rtl/>
        </w:rPr>
        <w:t xml:space="preserve"> </w:t>
      </w:r>
      <w:r w:rsidRPr="007B230E">
        <w:rPr>
          <w:rFonts w:ascii="Simplified Arabic" w:hAnsi="Simplified Arabic" w:cs="Simplified Arabic" w:hint="cs"/>
          <w:sz w:val="24"/>
          <w:szCs w:val="24"/>
          <w:rtl/>
        </w:rPr>
        <w:t>و</w:t>
      </w:r>
      <w:r w:rsidRPr="000837E9">
        <w:rPr>
          <w:rFonts w:ascii="Simplified Arabic" w:hAnsi="Simplified Arabic" w:cs="Simplified Arabic" w:hint="cs"/>
          <w:sz w:val="24"/>
          <w:szCs w:val="24"/>
          <w:rtl/>
        </w:rPr>
        <w:t>شركة</w:t>
      </w:r>
      <w:r w:rsidRPr="000837E9">
        <w:rPr>
          <w:rFonts w:ascii="Simplified Arabic" w:hAnsi="Simplified Arabic" w:cs="Simplified Arabic"/>
          <w:sz w:val="24"/>
          <w:szCs w:val="24"/>
        </w:rPr>
        <w:t xml:space="preserve"> </w:t>
      </w:r>
      <w:r w:rsidRPr="000837E9">
        <w:rPr>
          <w:rFonts w:ascii="Simplified Arabic" w:hAnsi="Simplified Arabic" w:cs="Simplified Arabic" w:hint="cs"/>
          <w:sz w:val="24"/>
          <w:szCs w:val="24"/>
          <w:rtl/>
        </w:rPr>
        <w:t>إسري</w:t>
      </w:r>
      <w:r>
        <w:rPr>
          <w:rFonts w:ascii="TraditionalArabic" w:cs="TraditionalArabic"/>
          <w:sz w:val="28"/>
          <w:szCs w:val="28"/>
        </w:rPr>
        <w:t xml:space="preserve"> </w:t>
      </w:r>
      <w:r w:rsidRPr="001D43E9">
        <w:rPr>
          <w:rFonts w:asciiTheme="majorBidi" w:hAnsiTheme="majorBidi" w:cstheme="majorBidi"/>
          <w:b/>
          <w:bCs/>
          <w:sz w:val="20"/>
          <w:szCs w:val="20"/>
          <w:rtl/>
        </w:rPr>
        <w:t>(</w:t>
      </w:r>
      <w:r w:rsidRPr="000837E9">
        <w:rPr>
          <w:rFonts w:asciiTheme="majorBidi" w:hAnsiTheme="majorBidi" w:cstheme="majorBidi"/>
          <w:sz w:val="24"/>
          <w:szCs w:val="24"/>
        </w:rPr>
        <w:t>ESRI</w:t>
      </w:r>
      <w:r w:rsidRPr="001D43E9">
        <w:rPr>
          <w:rFonts w:asciiTheme="majorBidi" w:hAnsiTheme="majorBidi" w:cstheme="majorBidi"/>
          <w:b/>
          <w:bCs/>
          <w:sz w:val="20"/>
          <w:szCs w:val="20"/>
          <w:rtl/>
        </w:rPr>
        <w:t>)</w:t>
      </w:r>
      <w:r w:rsidRPr="007B230E">
        <w:rPr>
          <w:rFonts w:ascii="Simplified Arabic" w:hAnsi="Simplified Arabic" w:cs="Simplified Arabic" w:hint="cs"/>
          <w:sz w:val="24"/>
          <w:szCs w:val="24"/>
          <w:rtl/>
        </w:rPr>
        <w:t>.</w:t>
      </w:r>
    </w:p>
    <w:p w:rsidR="000B42BD" w:rsidRPr="006409F2" w:rsidRDefault="000B42BD" w:rsidP="001D0548">
      <w:pPr>
        <w:pStyle w:val="Paragraphedeliste"/>
        <w:numPr>
          <w:ilvl w:val="0"/>
          <w:numId w:val="25"/>
        </w:numPr>
        <w:tabs>
          <w:tab w:val="right" w:pos="566"/>
        </w:tabs>
        <w:autoSpaceDE w:val="0"/>
        <w:autoSpaceDN w:val="0"/>
        <w:bidi/>
        <w:adjustRightInd w:val="0"/>
        <w:spacing w:after="0" w:line="240" w:lineRule="auto"/>
        <w:ind w:left="-1" w:firstLine="283"/>
        <w:rPr>
          <w:rFonts w:ascii="TraditionalArabic" w:cs="TraditionalArabic"/>
          <w:sz w:val="28"/>
          <w:szCs w:val="28"/>
          <w:rtl/>
        </w:rPr>
      </w:pPr>
      <w:r w:rsidRPr="006409F2">
        <w:rPr>
          <w:rFonts w:ascii="Simplified Arabic" w:hAnsi="Simplified Arabic" w:cs="Simplified Arabic"/>
          <w:b/>
          <w:bCs/>
          <w:sz w:val="24"/>
          <w:szCs w:val="24"/>
          <w:rtl/>
        </w:rPr>
        <w:t>تعريف دويكر</w:t>
      </w:r>
      <w:r w:rsidRPr="006409F2">
        <w:rPr>
          <w:rFonts w:ascii="TraditionalArabic" w:cs="TraditionalArabic" w:hint="cs"/>
          <w:sz w:val="26"/>
          <w:szCs w:val="26"/>
          <w:rtl/>
        </w:rPr>
        <w:t xml:space="preserve"> </w:t>
      </w:r>
      <w:r w:rsidRPr="006409F2">
        <w:rPr>
          <w:rFonts w:asciiTheme="majorBidi" w:hAnsiTheme="majorBidi" w:cstheme="majorBidi"/>
          <w:b/>
          <w:bCs/>
          <w:sz w:val="20"/>
          <w:szCs w:val="20"/>
          <w:rtl/>
        </w:rPr>
        <w:t>(</w:t>
      </w:r>
      <w:r w:rsidRPr="00C75CAD">
        <w:rPr>
          <w:rFonts w:asciiTheme="majorBidi" w:hAnsiTheme="majorBidi" w:cstheme="majorBidi"/>
          <w:b/>
          <w:bCs/>
          <w:sz w:val="20"/>
          <w:szCs w:val="20"/>
        </w:rPr>
        <w:t>DUEKER</w:t>
      </w:r>
      <w:r w:rsidRPr="006409F2">
        <w:rPr>
          <w:rFonts w:asciiTheme="majorBidi" w:hAnsiTheme="majorBidi" w:cstheme="majorBidi"/>
          <w:b/>
          <w:bCs/>
          <w:sz w:val="20"/>
          <w:szCs w:val="20"/>
          <w:rtl/>
        </w:rPr>
        <w:t>)</w:t>
      </w:r>
      <w:r w:rsidRPr="006409F2">
        <w:rPr>
          <w:rFonts w:ascii="TraditionalArabic" w:cs="TraditionalArabic" w:hint="cs"/>
          <w:sz w:val="28"/>
          <w:szCs w:val="28"/>
          <w:rtl/>
        </w:rPr>
        <w:t>:</w:t>
      </w:r>
    </w:p>
    <w:p w:rsidR="000B42BD" w:rsidRDefault="000B42BD" w:rsidP="00EB517D">
      <w:pPr>
        <w:autoSpaceDE w:val="0"/>
        <w:autoSpaceDN w:val="0"/>
        <w:bidi/>
        <w:adjustRightInd w:val="0"/>
        <w:spacing w:after="0"/>
        <w:ind w:firstLine="282"/>
        <w:jc w:val="both"/>
        <w:rPr>
          <w:rFonts w:ascii="Simplified Arabic" w:hAnsi="Simplified Arabic" w:cs="Simplified Arabic"/>
          <w:sz w:val="24"/>
          <w:szCs w:val="24"/>
          <w:rtl/>
        </w:rPr>
      </w:pPr>
      <w:r w:rsidRPr="00C75CAD">
        <w:rPr>
          <w:rFonts w:ascii="Simplified Arabic" w:hAnsi="Simplified Arabic" w:cs="Simplified Arabic" w:hint="cs"/>
          <w:sz w:val="24"/>
          <w:szCs w:val="24"/>
          <w:rtl/>
        </w:rPr>
        <w:t>''</w:t>
      </w:r>
      <w:r w:rsidRPr="00C75CAD">
        <w:rPr>
          <w:rFonts w:ascii="Simplified Arabic" w:hAnsi="Simplified Arabic" w:cs="Simplified Arabic"/>
          <w:sz w:val="24"/>
          <w:szCs w:val="24"/>
          <w:rtl/>
        </w:rPr>
        <w:t>نظام</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معلوماتي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متميز</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يحتوي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على</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قواعد بيانات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تعتمد</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على</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دراسة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التوزيع</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المكاني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للظواهر</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والأنشطة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والأهداف</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التي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يمكن</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تحديدها</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في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المحيط</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المكاني،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مثل النقاط</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والخطوط</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والمساحات،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حيث</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يقوم</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نظام</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المعلومات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الجغرافية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بمعالجة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البيانات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المرتبطة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بتلك</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النقاط</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أو الخطوط</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أو</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المساحات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لجعل</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البيانات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جاهزة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للاسترجاع</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من</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أجل</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تحليلها</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أو</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التعرف</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على</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بيانات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أخرى</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من خلاله</w:t>
      </w:r>
      <w:r w:rsidRPr="00C75CAD">
        <w:rPr>
          <w:rFonts w:ascii="Simplified Arabic" w:hAnsi="Simplified Arabic" w:cs="Simplified Arabic" w:hint="cs"/>
          <w:sz w:val="24"/>
          <w:szCs w:val="24"/>
          <w:rtl/>
        </w:rPr>
        <w:t>ا'' (</w:t>
      </w:r>
      <w:r w:rsidR="00EB517D" w:rsidRPr="00C75CAD">
        <w:rPr>
          <w:rFonts w:ascii="Simplified Arabic" w:hAnsi="Simplified Arabic" w:cs="Simplified Arabic"/>
          <w:sz w:val="24"/>
          <w:szCs w:val="24"/>
          <w:rtl/>
        </w:rPr>
        <w:t>الدليمي</w:t>
      </w:r>
      <w:r w:rsidR="00EB517D" w:rsidRPr="00C75CAD">
        <w:rPr>
          <w:rFonts w:ascii="Simplified Arabic" w:hAnsi="Simplified Arabic" w:cs="Simplified Arabic" w:hint="cs"/>
          <w:sz w:val="24"/>
          <w:szCs w:val="24"/>
          <w:rtl/>
        </w:rPr>
        <w:t xml:space="preserve"> </w:t>
      </w:r>
      <w:r w:rsidRPr="00C75CAD">
        <w:rPr>
          <w:rFonts w:ascii="Simplified Arabic" w:hAnsi="Simplified Arabic" w:cs="Simplified Arabic" w:hint="cs"/>
          <w:sz w:val="24"/>
          <w:szCs w:val="24"/>
          <w:rtl/>
        </w:rPr>
        <w:t>خ</w:t>
      </w:r>
      <w:r w:rsidRPr="00C75CAD">
        <w:rPr>
          <w:rFonts w:ascii="Simplified Arabic" w:hAnsi="Simplified Arabic" w:cs="Simplified Arabic"/>
          <w:sz w:val="24"/>
          <w:szCs w:val="24"/>
          <w:rtl/>
        </w:rPr>
        <w:t>لف</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حسين</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علي،</w:t>
      </w:r>
      <w:r w:rsidRPr="00C75CAD">
        <w:rPr>
          <w:rFonts w:ascii="Simplified Arabic" w:hAnsi="Simplified Arabic" w:cs="Simplified Arabic" w:hint="cs"/>
          <w:sz w:val="24"/>
          <w:szCs w:val="24"/>
          <w:rtl/>
        </w:rPr>
        <w:t xml:space="preserve"> </w:t>
      </w:r>
      <w:r w:rsidR="00EB517D" w:rsidRPr="00C75CAD">
        <w:rPr>
          <w:rFonts w:ascii="Simplified Arabic" w:hAnsi="Simplified Arabic" w:cs="Simplified Arabic"/>
          <w:sz w:val="24"/>
          <w:szCs w:val="24"/>
        </w:rPr>
        <w:t>2015</w:t>
      </w:r>
      <w:r w:rsidRPr="00C75CAD">
        <w:rPr>
          <w:rFonts w:ascii="Simplified Arabic" w:hAnsi="Simplified Arabic" w:cs="Simplified Arabic" w:hint="cs"/>
          <w:sz w:val="24"/>
          <w:szCs w:val="24"/>
          <w:rtl/>
        </w:rPr>
        <w:t>).</w:t>
      </w:r>
    </w:p>
    <w:p w:rsidR="000B42BD" w:rsidRPr="00133513" w:rsidRDefault="000B42BD" w:rsidP="001D0548">
      <w:pPr>
        <w:pStyle w:val="Paragraphedeliste"/>
        <w:numPr>
          <w:ilvl w:val="0"/>
          <w:numId w:val="25"/>
        </w:numPr>
        <w:tabs>
          <w:tab w:val="right" w:pos="566"/>
        </w:tabs>
        <w:autoSpaceDE w:val="0"/>
        <w:autoSpaceDN w:val="0"/>
        <w:bidi/>
        <w:adjustRightInd w:val="0"/>
        <w:spacing w:after="0" w:line="240" w:lineRule="auto"/>
        <w:ind w:left="-1" w:firstLine="283"/>
        <w:rPr>
          <w:rFonts w:ascii="Simplified Arabic" w:hAnsi="Simplified Arabic" w:cs="Simplified Arabic"/>
          <w:sz w:val="24"/>
          <w:szCs w:val="24"/>
          <w:rtl/>
        </w:rPr>
      </w:pPr>
      <w:r w:rsidRPr="006409F2">
        <w:rPr>
          <w:rFonts w:ascii="Simplified Arabic" w:hAnsi="Simplified Arabic" w:cs="Simplified Arabic"/>
          <w:b/>
          <w:bCs/>
          <w:sz w:val="24"/>
          <w:szCs w:val="24"/>
          <w:rtl/>
        </w:rPr>
        <w:t xml:space="preserve">تعريف </w:t>
      </w:r>
      <w:r w:rsidRPr="006409F2">
        <w:rPr>
          <w:rFonts w:ascii="Simplified Arabic" w:hAnsi="Simplified Arabic" w:cs="Simplified Arabic" w:hint="cs"/>
          <w:b/>
          <w:bCs/>
          <w:sz w:val="24"/>
          <w:szCs w:val="24"/>
          <w:rtl/>
        </w:rPr>
        <w:t>شركة</w:t>
      </w:r>
      <w:r>
        <w:rPr>
          <w:rFonts w:ascii="Simplified Arabic" w:hAnsi="Simplified Arabic" w:cs="Simplified Arabic" w:hint="cs"/>
          <w:b/>
          <w:bCs/>
          <w:sz w:val="24"/>
          <w:szCs w:val="24"/>
          <w:rtl/>
        </w:rPr>
        <w:t xml:space="preserve"> </w:t>
      </w:r>
      <w:r w:rsidRPr="006409F2">
        <w:rPr>
          <w:rFonts w:ascii="Simplified Arabic" w:hAnsi="Simplified Arabic" w:cs="Simplified Arabic" w:hint="cs"/>
          <w:b/>
          <w:bCs/>
          <w:sz w:val="24"/>
          <w:szCs w:val="24"/>
          <w:rtl/>
        </w:rPr>
        <w:t>إسري</w:t>
      </w:r>
      <w:r>
        <w:rPr>
          <w:rFonts w:ascii="Simplified Arabic" w:hAnsi="Simplified Arabic" w:cs="Simplified Arabic" w:hint="cs"/>
          <w:b/>
          <w:bCs/>
          <w:sz w:val="24"/>
          <w:szCs w:val="24"/>
          <w:rtl/>
        </w:rPr>
        <w:t xml:space="preserve">، </w:t>
      </w:r>
      <w:r w:rsidRPr="006409F2">
        <w:rPr>
          <w:rFonts w:asciiTheme="majorBidi" w:hAnsiTheme="majorBidi" w:cstheme="majorBidi"/>
          <w:b/>
          <w:bCs/>
          <w:sz w:val="20"/>
          <w:szCs w:val="20"/>
          <w:rtl/>
        </w:rPr>
        <w:t>(</w:t>
      </w:r>
      <w:r w:rsidRPr="006409F2">
        <w:rPr>
          <w:rFonts w:asciiTheme="majorBidi" w:hAnsiTheme="majorBidi" w:cstheme="majorBidi"/>
          <w:b/>
          <w:bCs/>
          <w:sz w:val="20"/>
          <w:szCs w:val="20"/>
        </w:rPr>
        <w:t>ESRI</w:t>
      </w:r>
      <w:r w:rsidRPr="006409F2">
        <w:rPr>
          <w:rFonts w:asciiTheme="majorBidi" w:hAnsiTheme="majorBidi" w:cstheme="majorBidi"/>
          <w:b/>
          <w:bCs/>
          <w:sz w:val="20"/>
          <w:szCs w:val="20"/>
          <w:rtl/>
        </w:rPr>
        <w:t>)</w:t>
      </w:r>
      <w:r w:rsidRPr="00133513">
        <w:rPr>
          <w:rFonts w:ascii="Simplified Arabic" w:hAnsi="Simplified Arabic" w:cs="Simplified Arabic"/>
          <w:sz w:val="24"/>
          <w:szCs w:val="24"/>
          <w:rtl/>
        </w:rPr>
        <w:t>:</w:t>
      </w:r>
    </w:p>
    <w:p w:rsidR="000B42BD" w:rsidRPr="003D53E7" w:rsidRDefault="000B42BD" w:rsidP="000B42BD">
      <w:pPr>
        <w:autoSpaceDE w:val="0"/>
        <w:autoSpaceDN w:val="0"/>
        <w:bidi/>
        <w:adjustRightInd w:val="0"/>
        <w:spacing w:after="0"/>
        <w:ind w:firstLine="282"/>
        <w:jc w:val="both"/>
        <w:rPr>
          <w:rFonts w:ascii="TraditionalArabic" w:cs="TraditionalArabic"/>
          <w:sz w:val="28"/>
          <w:szCs w:val="28"/>
          <w:rtl/>
        </w:rPr>
      </w:pPr>
      <w:r>
        <w:rPr>
          <w:rFonts w:ascii="Simplified Arabic" w:hAnsi="Simplified Arabic" w:cs="Simplified Arabic" w:hint="cs"/>
          <w:sz w:val="24"/>
          <w:szCs w:val="24"/>
          <w:rtl/>
        </w:rPr>
        <w:t>''</w:t>
      </w:r>
      <w:r w:rsidRPr="008C6152">
        <w:rPr>
          <w:rFonts w:ascii="Simplified Arabic" w:hAnsi="Simplified Arabic" w:cs="Simplified Arabic" w:hint="cs"/>
          <w:sz w:val="24"/>
          <w:szCs w:val="24"/>
          <w:rtl/>
        </w:rPr>
        <w:t>مجمع</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متناسق</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يضم</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مكونات</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الحاسب</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الآلي</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والبرامج</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وقواعد</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البيانات</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والأفراد</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المدربين،</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يقوم</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هذا</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المجمع</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بحصر</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دقيق</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للمعلومات</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المكانية</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وغير</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المكانية</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وتخزينها</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وتحديثها</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ومعالجتها</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وتحليلها</w:t>
      </w:r>
      <w:r>
        <w:rPr>
          <w:rFonts w:ascii="Simplified Arabic" w:hAnsi="Simplified Arabic" w:cs="Simplified Arabic" w:hint="cs"/>
          <w:sz w:val="24"/>
          <w:szCs w:val="24"/>
          <w:rtl/>
        </w:rPr>
        <w:t xml:space="preserve"> </w:t>
      </w:r>
      <w:r w:rsidRPr="008C6152">
        <w:rPr>
          <w:rFonts w:ascii="Simplified Arabic" w:hAnsi="Simplified Arabic" w:cs="Simplified Arabic" w:hint="cs"/>
          <w:sz w:val="24"/>
          <w:szCs w:val="24"/>
          <w:rtl/>
        </w:rPr>
        <w:t>وعرضها</w:t>
      </w:r>
      <w:r>
        <w:rPr>
          <w:rFonts w:ascii="Simplified Arabic" w:hAnsi="Simplified Arabic" w:cs="Simplified Arabic" w:hint="cs"/>
          <w:sz w:val="24"/>
          <w:szCs w:val="24"/>
          <w:rtl/>
        </w:rPr>
        <w:t xml:space="preserve">'' </w:t>
      </w:r>
      <w:r w:rsidRPr="003D53E7">
        <w:rPr>
          <w:rFonts w:asciiTheme="majorBidi" w:hAnsiTheme="majorBidi" w:cstheme="majorBidi"/>
          <w:sz w:val="24"/>
          <w:szCs w:val="24"/>
        </w:rPr>
        <w:t>(</w:t>
      </w:r>
      <w:r w:rsidRPr="00C75CAD">
        <w:rPr>
          <w:rFonts w:asciiTheme="majorBidi" w:hAnsiTheme="majorBidi" w:cstheme="majorBidi"/>
          <w:sz w:val="24"/>
          <w:szCs w:val="24"/>
        </w:rPr>
        <w:t>ESRI</w:t>
      </w:r>
      <w:r w:rsidRPr="003D53E7">
        <w:rPr>
          <w:rFonts w:asciiTheme="majorBidi" w:hAnsiTheme="majorBidi" w:cstheme="majorBidi"/>
          <w:sz w:val="24"/>
          <w:szCs w:val="24"/>
        </w:rPr>
        <w:t>, 2001)</w:t>
      </w:r>
      <w:r>
        <w:rPr>
          <w:rFonts w:ascii="Simplified Arabic" w:hAnsi="Simplified Arabic" w:cs="Simplified Arabic" w:hint="cs"/>
          <w:sz w:val="24"/>
          <w:szCs w:val="24"/>
          <w:rtl/>
        </w:rPr>
        <w:t>.</w:t>
      </w:r>
    </w:p>
    <w:p w:rsidR="000B42BD" w:rsidRPr="00084A0C" w:rsidRDefault="000B42BD" w:rsidP="001D0548">
      <w:pPr>
        <w:pStyle w:val="Paragraphedeliste"/>
        <w:numPr>
          <w:ilvl w:val="3"/>
          <w:numId w:val="140"/>
        </w:numPr>
        <w:tabs>
          <w:tab w:val="right" w:pos="992"/>
        </w:tabs>
        <w:bidi/>
        <w:spacing w:after="0"/>
        <w:ind w:left="0" w:firstLine="0"/>
        <w:jc w:val="both"/>
        <w:outlineLvl w:val="2"/>
        <w:rPr>
          <w:rFonts w:ascii="Simplified Arabic" w:hAnsi="Simplified Arabic" w:cs="Simplified Arabic"/>
          <w:b/>
          <w:bCs/>
          <w:sz w:val="24"/>
          <w:szCs w:val="24"/>
          <w:rtl/>
          <w:lang w:val="en-US"/>
        </w:rPr>
      </w:pPr>
      <w:bookmarkStart w:id="438" w:name="_Toc171803537"/>
      <w:r w:rsidRPr="00084A0C">
        <w:rPr>
          <w:rFonts w:ascii="Simplified Arabic" w:hAnsi="Simplified Arabic" w:cs="Simplified Arabic" w:hint="cs"/>
          <w:b/>
          <w:bCs/>
          <w:sz w:val="24"/>
          <w:szCs w:val="24"/>
          <w:rtl/>
          <w:lang w:val="en-US"/>
        </w:rPr>
        <w:t>المكونات الاساسية</w:t>
      </w:r>
      <w:r w:rsidRPr="00084A0C">
        <w:rPr>
          <w:rFonts w:ascii="Simplified Arabic" w:hAnsi="Simplified Arabic" w:cs="Simplified Arabic"/>
          <w:b/>
          <w:bCs/>
          <w:sz w:val="24"/>
          <w:szCs w:val="24"/>
          <w:lang w:val="en-US"/>
        </w:rPr>
        <w:t xml:space="preserve"> </w:t>
      </w:r>
      <w:r w:rsidRPr="00084A0C">
        <w:rPr>
          <w:rFonts w:ascii="Simplified Arabic" w:hAnsi="Simplified Arabic" w:cs="Simplified Arabic" w:hint="cs"/>
          <w:b/>
          <w:bCs/>
          <w:sz w:val="24"/>
          <w:szCs w:val="24"/>
          <w:rtl/>
          <w:lang w:val="en-US"/>
        </w:rPr>
        <w:t>التي</w:t>
      </w:r>
      <w:r w:rsidRPr="00084A0C">
        <w:rPr>
          <w:rFonts w:ascii="Simplified Arabic" w:hAnsi="Simplified Arabic" w:cs="Simplified Arabic"/>
          <w:b/>
          <w:bCs/>
          <w:sz w:val="24"/>
          <w:szCs w:val="24"/>
          <w:lang w:val="en-US"/>
        </w:rPr>
        <w:t xml:space="preserve"> </w:t>
      </w:r>
      <w:r w:rsidRPr="00084A0C">
        <w:rPr>
          <w:rFonts w:ascii="Simplified Arabic" w:hAnsi="Simplified Arabic" w:cs="Simplified Arabic" w:hint="cs"/>
          <w:b/>
          <w:bCs/>
          <w:sz w:val="24"/>
          <w:szCs w:val="24"/>
          <w:rtl/>
          <w:lang w:val="en-US"/>
        </w:rPr>
        <w:t xml:space="preserve">تقوم عليها </w:t>
      </w:r>
      <w:r w:rsidRPr="00084A0C">
        <w:rPr>
          <w:rFonts w:asciiTheme="majorBidi" w:hAnsiTheme="majorBidi" w:cstheme="majorBidi"/>
          <w:sz w:val="24"/>
          <w:szCs w:val="24"/>
          <w:rtl/>
        </w:rPr>
        <w:t>(</w:t>
      </w:r>
      <w:r w:rsidRPr="00084A0C">
        <w:rPr>
          <w:rFonts w:asciiTheme="majorBidi" w:hAnsiTheme="majorBidi" w:cstheme="majorBidi"/>
          <w:sz w:val="24"/>
          <w:szCs w:val="24"/>
        </w:rPr>
        <w:t>GIS</w:t>
      </w:r>
      <w:r w:rsidRPr="00084A0C">
        <w:rPr>
          <w:rFonts w:asciiTheme="majorBidi" w:hAnsiTheme="majorBidi" w:cstheme="majorBidi"/>
          <w:sz w:val="24"/>
          <w:szCs w:val="24"/>
          <w:rtl/>
        </w:rPr>
        <w:t>)</w:t>
      </w:r>
      <w:r w:rsidRPr="00084A0C">
        <w:rPr>
          <w:rFonts w:ascii="Simplified Arabic" w:hAnsi="Simplified Arabic" w:cs="Simplified Arabic" w:hint="cs"/>
          <w:b/>
          <w:bCs/>
          <w:sz w:val="24"/>
          <w:szCs w:val="24"/>
          <w:rtl/>
          <w:lang w:val="en-US"/>
        </w:rPr>
        <w:t>:</w:t>
      </w:r>
      <w:bookmarkEnd w:id="438"/>
    </w:p>
    <w:p w:rsidR="00D71398" w:rsidRDefault="000B42BD" w:rsidP="00D71398">
      <w:pPr>
        <w:bidi/>
        <w:spacing w:after="0"/>
        <w:ind w:firstLine="282"/>
        <w:jc w:val="both"/>
        <w:rPr>
          <w:rFonts w:ascii="Simplified Arabic" w:hAnsi="Simplified Arabic" w:cs="Simplified Arabic"/>
          <w:sz w:val="24"/>
          <w:szCs w:val="24"/>
          <w:rtl/>
        </w:rPr>
      </w:pPr>
      <w:r w:rsidRPr="00564C5F">
        <w:rPr>
          <w:rFonts w:ascii="Simplified Arabic" w:hAnsi="Simplified Arabic" w:cs="Simplified Arabic"/>
          <w:sz w:val="24"/>
          <w:szCs w:val="24"/>
          <w:rtl/>
        </w:rPr>
        <w:t>تقوم</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نظم</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المعلومات</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الجغرافية</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أساس</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مجموعة</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من</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المكونات</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الأساسية</w:t>
      </w:r>
      <w:r>
        <w:rPr>
          <w:rFonts w:ascii="Simplified Arabic" w:hAnsi="Simplified Arabic" w:cs="Simplified Arabic" w:hint="cs"/>
          <w:sz w:val="24"/>
          <w:szCs w:val="24"/>
          <w:rtl/>
        </w:rPr>
        <w:t xml:space="preserve"> </w:t>
      </w:r>
      <w:r w:rsidRPr="00564C5F">
        <w:rPr>
          <w:rFonts w:ascii="Simplified Arabic" w:hAnsi="Simplified Arabic" w:cs="Simplified Arabic"/>
          <w:sz w:val="24"/>
          <w:szCs w:val="24"/>
          <w:rtl/>
        </w:rPr>
        <w:t>والضرورية هي الحاسوب، البرامج، البيانات، المستخدمون والطريقة (</w:t>
      </w:r>
      <w:r w:rsidRPr="00C75CAD">
        <w:rPr>
          <w:rFonts w:ascii="Simplified Arabic" w:hAnsi="Simplified Arabic" w:cs="Simplified Arabic"/>
          <w:sz w:val="24"/>
          <w:szCs w:val="24"/>
          <w:rtl/>
        </w:rPr>
        <w:t>وسام</w:t>
      </w:r>
      <w:r w:rsidRPr="00564C5F">
        <w:rPr>
          <w:rFonts w:ascii="Simplified Arabic" w:hAnsi="Simplified Arabic" w:cs="Simplified Arabic"/>
          <w:sz w:val="24"/>
          <w:szCs w:val="24"/>
          <w:rtl/>
        </w:rPr>
        <w:t xml:space="preserve"> الدين محمد، </w:t>
      </w:r>
      <w:r w:rsidRPr="00564C5F">
        <w:rPr>
          <w:rFonts w:ascii="Simplified Arabic" w:hAnsi="Simplified Arabic" w:cs="Simplified Arabic"/>
          <w:sz w:val="24"/>
          <w:szCs w:val="24"/>
        </w:rPr>
        <w:t>2008</w:t>
      </w:r>
      <w:r w:rsidRPr="00564C5F">
        <w:rPr>
          <w:rFonts w:ascii="Simplified Arabic" w:hAnsi="Simplified Arabic" w:cs="Simplified Arabic"/>
          <w:sz w:val="24"/>
          <w:szCs w:val="24"/>
          <w:rtl/>
        </w:rPr>
        <w:t xml:space="preserve">)، </w:t>
      </w:r>
      <w:r w:rsidR="00D71398">
        <w:rPr>
          <w:rFonts w:ascii="Simplified Arabic" w:hAnsi="Simplified Arabic" w:cs="Simplified Arabic" w:hint="cs"/>
          <w:sz w:val="24"/>
          <w:szCs w:val="24"/>
          <w:rtl/>
        </w:rPr>
        <w:t xml:space="preserve">كما هو في </w:t>
      </w:r>
      <w:r w:rsidR="00D71398" w:rsidRPr="00564C5F">
        <w:rPr>
          <w:rFonts w:ascii="Simplified Arabic" w:hAnsi="Simplified Arabic" w:cs="Simplified Arabic"/>
          <w:sz w:val="24"/>
          <w:szCs w:val="24"/>
          <w:rtl/>
        </w:rPr>
        <w:t>الشكل (</w:t>
      </w:r>
      <w:r w:rsidR="00D71398">
        <w:rPr>
          <w:rFonts w:ascii="Simplified Arabic" w:hAnsi="Simplified Arabic" w:cs="Simplified Arabic" w:hint="cs"/>
          <w:sz w:val="24"/>
          <w:szCs w:val="24"/>
          <w:rtl/>
        </w:rPr>
        <w:t>3-9</w:t>
      </w:r>
      <w:r w:rsidR="00D71398" w:rsidRPr="00564C5F">
        <w:rPr>
          <w:rFonts w:ascii="Simplified Arabic" w:hAnsi="Simplified Arabic" w:cs="Simplified Arabic"/>
          <w:sz w:val="24"/>
          <w:szCs w:val="24"/>
          <w:rtl/>
        </w:rPr>
        <w:t>)</w:t>
      </w:r>
    </w:p>
    <w:p w:rsidR="00D71398" w:rsidRPr="00264FC1" w:rsidRDefault="00D71398" w:rsidP="00D71398">
      <w:pPr>
        <w:pStyle w:val="fegure"/>
        <w:spacing w:before="240"/>
        <w:rPr>
          <w:szCs w:val="24"/>
          <w:rtl/>
        </w:rPr>
      </w:pPr>
      <w:bookmarkStart w:id="439" w:name="_Toc157608312"/>
      <w:bookmarkStart w:id="440" w:name="_Toc171803538"/>
      <w:r w:rsidRPr="00264FC1">
        <w:rPr>
          <w:rFonts w:hint="cs"/>
          <w:szCs w:val="24"/>
          <w:rtl/>
        </w:rPr>
        <w:t>الشكل (3-9): المكونات</w:t>
      </w:r>
      <w:r w:rsidRPr="00264FC1">
        <w:rPr>
          <w:szCs w:val="24"/>
        </w:rPr>
        <w:t xml:space="preserve"> </w:t>
      </w:r>
      <w:r w:rsidRPr="00264FC1">
        <w:rPr>
          <w:rFonts w:hint="cs"/>
          <w:szCs w:val="24"/>
          <w:rtl/>
        </w:rPr>
        <w:t>التي</w:t>
      </w:r>
      <w:r w:rsidRPr="00264FC1">
        <w:rPr>
          <w:szCs w:val="24"/>
        </w:rPr>
        <w:t xml:space="preserve"> </w:t>
      </w:r>
      <w:r w:rsidRPr="00264FC1">
        <w:rPr>
          <w:rFonts w:hint="cs"/>
          <w:szCs w:val="24"/>
          <w:rtl/>
        </w:rPr>
        <w:t>تقوم</w:t>
      </w:r>
      <w:r w:rsidRPr="00264FC1">
        <w:rPr>
          <w:szCs w:val="24"/>
        </w:rPr>
        <w:t xml:space="preserve"> </w:t>
      </w:r>
      <w:r w:rsidRPr="00264FC1">
        <w:rPr>
          <w:rFonts w:hint="cs"/>
          <w:szCs w:val="24"/>
          <w:rtl/>
        </w:rPr>
        <w:t>عليها</w:t>
      </w:r>
      <w:r w:rsidRPr="00264FC1">
        <w:rPr>
          <w:szCs w:val="24"/>
        </w:rPr>
        <w:t xml:space="preserve"> </w:t>
      </w:r>
      <w:r w:rsidRPr="00264FC1">
        <w:rPr>
          <w:rFonts w:hint="cs"/>
          <w:szCs w:val="24"/>
          <w:rtl/>
        </w:rPr>
        <w:t>نظم</w:t>
      </w:r>
      <w:r w:rsidRPr="00264FC1">
        <w:rPr>
          <w:szCs w:val="24"/>
        </w:rPr>
        <w:t xml:space="preserve"> </w:t>
      </w:r>
      <w:r w:rsidRPr="00264FC1">
        <w:rPr>
          <w:rFonts w:hint="cs"/>
          <w:szCs w:val="24"/>
          <w:rtl/>
        </w:rPr>
        <w:t>المعلومات</w:t>
      </w:r>
      <w:r w:rsidRPr="00264FC1">
        <w:rPr>
          <w:szCs w:val="24"/>
        </w:rPr>
        <w:t xml:space="preserve"> </w:t>
      </w:r>
      <w:r w:rsidRPr="00264FC1">
        <w:rPr>
          <w:rFonts w:hint="cs"/>
          <w:szCs w:val="24"/>
          <w:rtl/>
        </w:rPr>
        <w:t>الجغرافية.</w:t>
      </w:r>
      <w:bookmarkEnd w:id="439"/>
      <w:bookmarkEnd w:id="440"/>
    </w:p>
    <w:p w:rsidR="00D71398" w:rsidRPr="005135C8" w:rsidRDefault="00D71398" w:rsidP="00D71398">
      <w:pPr>
        <w:bidi/>
        <w:spacing w:after="0" w:line="240" w:lineRule="auto"/>
        <w:jc w:val="center"/>
        <w:rPr>
          <w:rFonts w:ascii="Simplified Arabic" w:hAnsi="Simplified Arabic" w:cs="Simplified Arabic"/>
          <w:b/>
          <w:bCs/>
          <w:sz w:val="24"/>
          <w:szCs w:val="24"/>
          <w:rtl/>
        </w:rPr>
      </w:pPr>
      <w:r w:rsidRPr="005135C8">
        <w:rPr>
          <w:rFonts w:ascii="Simplified Arabic" w:hAnsi="Simplified Arabic" w:cs="Simplified Arabic" w:hint="cs"/>
          <w:b/>
          <w:bCs/>
          <w:sz w:val="24"/>
          <w:szCs w:val="24"/>
          <w:rtl/>
        </w:rPr>
        <w:t xml:space="preserve">المصدر: (وسام الدين محمد، </w:t>
      </w:r>
      <w:r w:rsidRPr="005135C8">
        <w:rPr>
          <w:rFonts w:ascii="Simplified Arabic" w:hAnsi="Simplified Arabic" w:cs="Simplified Arabic"/>
          <w:b/>
          <w:bCs/>
          <w:sz w:val="24"/>
          <w:szCs w:val="24"/>
        </w:rPr>
        <w:t>2008</w:t>
      </w:r>
      <w:r w:rsidRPr="005135C8">
        <w:rPr>
          <w:rFonts w:ascii="Simplified Arabic" w:hAnsi="Simplified Arabic" w:cs="Simplified Arabic" w:hint="cs"/>
          <w:b/>
          <w:bCs/>
          <w:sz w:val="24"/>
          <w:szCs w:val="24"/>
          <w:rtl/>
        </w:rPr>
        <w:t>)</w:t>
      </w:r>
    </w:p>
    <w:p w:rsidR="00D71398" w:rsidRDefault="00D71398" w:rsidP="00D71398">
      <w:pPr>
        <w:bidi/>
        <w:spacing w:after="0"/>
        <w:jc w:val="center"/>
        <w:rPr>
          <w:rFonts w:ascii="Simplified Arabic" w:hAnsi="Simplified Arabic" w:cs="Simplified Arabic"/>
          <w:b/>
          <w:bCs/>
          <w:sz w:val="24"/>
          <w:szCs w:val="24"/>
          <w:rtl/>
          <w:lang w:val="en-US"/>
        </w:rPr>
      </w:pPr>
      <w:r>
        <w:rPr>
          <w:rFonts w:ascii="Simplified Arabic" w:hAnsi="Simplified Arabic" w:cs="Simplified Arabic" w:hint="cs"/>
          <w:b/>
          <w:bCs/>
          <w:noProof/>
          <w:sz w:val="24"/>
          <w:szCs w:val="24"/>
          <w:rtl/>
          <w:lang w:eastAsia="fr-FR"/>
        </w:rPr>
        <w:drawing>
          <wp:inline distT="0" distB="0" distL="0" distR="0" wp14:anchorId="3F22BCFD" wp14:editId="32B91E10">
            <wp:extent cx="4141006" cy="3425588"/>
            <wp:effectExtent l="0" t="0" r="0" b="3810"/>
            <wp:docPr id="153"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4136410" cy="3421786"/>
                    </a:xfrm>
                    <a:prstGeom prst="rect">
                      <a:avLst/>
                    </a:prstGeom>
                    <a:noFill/>
                    <a:ln>
                      <a:noFill/>
                    </a:ln>
                  </pic:spPr>
                </pic:pic>
              </a:graphicData>
            </a:graphic>
          </wp:inline>
        </w:drawing>
      </w:r>
    </w:p>
    <w:p w:rsidR="000B42BD" w:rsidRPr="00564C5F" w:rsidRDefault="000B42BD" w:rsidP="00D71398">
      <w:pPr>
        <w:bidi/>
        <w:spacing w:after="0"/>
        <w:ind w:firstLine="282"/>
        <w:jc w:val="both"/>
        <w:rPr>
          <w:rFonts w:ascii="Simplified Arabic" w:hAnsi="Simplified Arabic" w:cs="Simplified Arabic"/>
          <w:sz w:val="24"/>
          <w:szCs w:val="24"/>
          <w:rtl/>
        </w:rPr>
      </w:pPr>
      <w:r w:rsidRPr="00564C5F">
        <w:rPr>
          <w:rFonts w:ascii="Simplified Arabic" w:hAnsi="Simplified Arabic" w:cs="Simplified Arabic"/>
          <w:sz w:val="24"/>
          <w:szCs w:val="24"/>
          <w:rtl/>
        </w:rPr>
        <w:lastRenderedPageBreak/>
        <w:t xml:space="preserve">يمكن إجمال هذه المكونات </w:t>
      </w:r>
      <w:r w:rsidR="00D71398">
        <w:rPr>
          <w:rFonts w:ascii="Simplified Arabic" w:hAnsi="Simplified Arabic" w:cs="Simplified Arabic" w:hint="cs"/>
          <w:sz w:val="24"/>
          <w:szCs w:val="24"/>
          <w:rtl/>
        </w:rPr>
        <w:t xml:space="preserve">التي تظهر في الشكل السابق </w:t>
      </w:r>
      <w:r w:rsidRPr="00564C5F">
        <w:rPr>
          <w:rFonts w:ascii="Simplified Arabic" w:hAnsi="Simplified Arabic" w:cs="Simplified Arabic"/>
          <w:sz w:val="24"/>
          <w:szCs w:val="24"/>
          <w:rtl/>
        </w:rPr>
        <w:t>كما يلي:</w:t>
      </w:r>
    </w:p>
    <w:p w:rsidR="000B42BD" w:rsidRPr="0037659A" w:rsidRDefault="000B42BD" w:rsidP="001D0548">
      <w:pPr>
        <w:pStyle w:val="Paragraphedeliste"/>
        <w:numPr>
          <w:ilvl w:val="0"/>
          <w:numId w:val="23"/>
        </w:numPr>
        <w:tabs>
          <w:tab w:val="right" w:pos="283"/>
        </w:tabs>
        <w:autoSpaceDE w:val="0"/>
        <w:autoSpaceDN w:val="0"/>
        <w:bidi/>
        <w:adjustRightInd w:val="0"/>
        <w:spacing w:after="0"/>
        <w:ind w:left="-1" w:firstLine="0"/>
        <w:jc w:val="both"/>
        <w:rPr>
          <w:rFonts w:ascii="Simplified Arabic" w:hAnsi="Simplified Arabic" w:cs="Simplified Arabic"/>
          <w:color w:val="000000"/>
          <w:sz w:val="24"/>
          <w:szCs w:val="24"/>
        </w:rPr>
      </w:pPr>
      <w:r w:rsidRPr="0037659A">
        <w:rPr>
          <w:rFonts w:ascii="Simplified Arabic" w:hAnsi="Simplified Arabic" w:cs="Simplified Arabic" w:hint="cs"/>
          <w:b/>
          <w:bCs/>
          <w:sz w:val="24"/>
          <w:szCs w:val="24"/>
          <w:rtl/>
        </w:rPr>
        <w:t xml:space="preserve">اجهزة </w:t>
      </w:r>
      <w:r w:rsidRPr="0037659A">
        <w:rPr>
          <w:rFonts w:ascii="Simplified Arabic" w:hAnsi="Simplified Arabic" w:cs="Simplified Arabic"/>
          <w:b/>
          <w:bCs/>
          <w:sz w:val="24"/>
          <w:szCs w:val="24"/>
          <w:rtl/>
        </w:rPr>
        <w:t>الحاسوب</w:t>
      </w:r>
      <w:r w:rsidRPr="0037659A">
        <w:rPr>
          <w:rFonts w:ascii="Simplified Arabic" w:hAnsi="Simplified Arabic" w:cs="Simplified Arabic" w:hint="cs"/>
          <w:b/>
          <w:bCs/>
          <w:sz w:val="24"/>
          <w:szCs w:val="24"/>
          <w:rtl/>
        </w:rPr>
        <w:t xml:space="preserve"> </w:t>
      </w:r>
      <w:r w:rsidRPr="0037659A">
        <w:rPr>
          <w:rFonts w:asciiTheme="majorBidi" w:hAnsiTheme="majorBidi" w:cstheme="majorBidi"/>
          <w:b/>
          <w:bCs/>
          <w:sz w:val="20"/>
          <w:szCs w:val="20"/>
        </w:rPr>
        <w:t>(Hardware)</w:t>
      </w:r>
      <w:r w:rsidRPr="0037659A">
        <w:rPr>
          <w:rFonts w:ascii="Simplified Arabic" w:hAnsi="Simplified Arabic" w:cs="Simplified Arabic" w:hint="cs"/>
          <w:b/>
          <w:bCs/>
          <w:sz w:val="24"/>
          <w:szCs w:val="24"/>
          <w:rtl/>
        </w:rPr>
        <w:t xml:space="preserve">: </w:t>
      </w:r>
      <w:r w:rsidRPr="0037659A">
        <w:rPr>
          <w:rFonts w:ascii="Simplified Arabic" w:hAnsi="Simplified Arabic" w:cs="Simplified Arabic" w:hint="cs"/>
          <w:sz w:val="24"/>
          <w:szCs w:val="24"/>
          <w:rtl/>
        </w:rPr>
        <w:t xml:space="preserve">لا </w:t>
      </w:r>
      <w:r w:rsidRPr="0037659A">
        <w:rPr>
          <w:rFonts w:ascii="Simplified Arabic" w:hAnsi="Simplified Arabic" w:cs="Simplified Arabic"/>
          <w:sz w:val="24"/>
          <w:szCs w:val="24"/>
          <w:rtl/>
        </w:rPr>
        <w:t>بد</w:t>
      </w:r>
      <w:r w:rsidRPr="0037659A">
        <w:rPr>
          <w:rFonts w:ascii="Simplified Arabic" w:hAnsi="Simplified Arabic" w:cs="Simplified Arabic" w:hint="cs"/>
          <w:sz w:val="24"/>
          <w:szCs w:val="24"/>
          <w:rtl/>
        </w:rPr>
        <w:t xml:space="preserve"> </w:t>
      </w:r>
      <w:r w:rsidRPr="0037659A">
        <w:rPr>
          <w:rFonts w:ascii="Simplified Arabic" w:hAnsi="Simplified Arabic" w:cs="Simplified Arabic"/>
          <w:sz w:val="24"/>
          <w:szCs w:val="24"/>
          <w:rtl/>
        </w:rPr>
        <w:t>لأي</w:t>
      </w:r>
      <w:r w:rsidRPr="0037659A">
        <w:rPr>
          <w:rFonts w:ascii="Simplified Arabic" w:hAnsi="Simplified Arabic" w:cs="Simplified Arabic" w:hint="cs"/>
          <w:sz w:val="24"/>
          <w:szCs w:val="24"/>
          <w:rtl/>
        </w:rPr>
        <w:t xml:space="preserve"> </w:t>
      </w:r>
      <w:r w:rsidRPr="0037659A">
        <w:rPr>
          <w:rFonts w:ascii="Simplified Arabic" w:hAnsi="Simplified Arabic" w:cs="Simplified Arabic"/>
          <w:sz w:val="24"/>
          <w:szCs w:val="24"/>
          <w:rtl/>
        </w:rPr>
        <w:t>شخص</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يريد</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أن</w:t>
      </w:r>
      <w:r w:rsidRPr="0037659A">
        <w:rPr>
          <w:rFonts w:ascii="Simplified Arabic" w:hAnsi="Simplified Arabic" w:cs="Simplified Arabic" w:hint="cs"/>
          <w:sz w:val="24"/>
          <w:szCs w:val="24"/>
          <w:rtl/>
        </w:rPr>
        <w:t xml:space="preserve"> ينجز بحثًا علميًا او</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ينش</w:t>
      </w:r>
      <w:r w:rsidRPr="0037659A">
        <w:rPr>
          <w:rFonts w:ascii="Simplified Arabic" w:hAnsi="Simplified Arabic" w:cs="Simplified Arabic" w:hint="cs"/>
          <w:sz w:val="24"/>
          <w:szCs w:val="24"/>
          <w:rtl/>
        </w:rPr>
        <w:t>أ</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مشروع</w:t>
      </w:r>
      <w:r w:rsidRPr="0037659A">
        <w:rPr>
          <w:rFonts w:ascii="Simplified Arabic" w:hAnsi="Simplified Arabic" w:cs="Simplified Arabic" w:hint="cs"/>
          <w:sz w:val="24"/>
          <w:szCs w:val="24"/>
          <w:rtl/>
        </w:rPr>
        <w:t>ً</w:t>
      </w:r>
      <w:r w:rsidRPr="0037659A">
        <w:rPr>
          <w:rFonts w:ascii="Simplified Arabic" w:hAnsi="Simplified Arabic" w:cs="Simplified Arabic"/>
          <w:sz w:val="24"/>
          <w:szCs w:val="24"/>
          <w:rtl/>
        </w:rPr>
        <w:t>ا</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معين</w:t>
      </w:r>
      <w:r w:rsidRPr="0037659A">
        <w:rPr>
          <w:rFonts w:ascii="Simplified Arabic" w:hAnsi="Simplified Arabic" w:cs="Simplified Arabic" w:hint="cs"/>
          <w:sz w:val="24"/>
          <w:szCs w:val="24"/>
          <w:rtl/>
        </w:rPr>
        <w:t>ً</w:t>
      </w:r>
      <w:r w:rsidRPr="0037659A">
        <w:rPr>
          <w:rFonts w:ascii="Simplified Arabic" w:hAnsi="Simplified Arabic" w:cs="Simplified Arabic"/>
          <w:sz w:val="24"/>
          <w:szCs w:val="24"/>
          <w:rtl/>
        </w:rPr>
        <w:t>ا</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في</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نظم</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المعلومات</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الجغرافية</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أن</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يتوفر</w:t>
      </w:r>
      <w:r w:rsidRPr="0037659A">
        <w:rPr>
          <w:rFonts w:ascii="Simplified Arabic" w:hAnsi="Simplified Arabic" w:cs="Simplified Arabic"/>
          <w:sz w:val="24"/>
          <w:szCs w:val="24"/>
        </w:rPr>
        <w:t xml:space="preserve"> </w:t>
      </w:r>
      <w:r w:rsidRPr="0037659A">
        <w:rPr>
          <w:rFonts w:ascii="Simplified Arabic" w:hAnsi="Simplified Arabic" w:cs="Simplified Arabic"/>
          <w:sz w:val="24"/>
          <w:szCs w:val="24"/>
          <w:rtl/>
        </w:rPr>
        <w:t>على</w:t>
      </w:r>
      <w:r w:rsidRPr="0037659A">
        <w:rPr>
          <w:rFonts w:ascii="Simplified Arabic" w:hAnsi="Simplified Arabic" w:cs="Simplified Arabic"/>
          <w:sz w:val="24"/>
          <w:szCs w:val="24"/>
        </w:rPr>
        <w:t xml:space="preserve"> </w:t>
      </w:r>
      <w:r w:rsidRPr="0037659A">
        <w:rPr>
          <w:rFonts w:ascii="Simplified Arabic" w:hAnsi="Simplified Arabic" w:cs="Simplified Arabic" w:hint="cs"/>
          <w:sz w:val="24"/>
          <w:szCs w:val="24"/>
          <w:rtl/>
        </w:rPr>
        <w:t xml:space="preserve">اجهزة </w:t>
      </w:r>
      <w:r w:rsidRPr="0037659A">
        <w:rPr>
          <w:rFonts w:ascii="Simplified Arabic" w:hAnsi="Simplified Arabic" w:cs="Simplified Arabic"/>
          <w:sz w:val="24"/>
          <w:szCs w:val="24"/>
          <w:rtl/>
        </w:rPr>
        <w:t>الحاسوب</w:t>
      </w:r>
      <w:r w:rsidRPr="0037659A">
        <w:rPr>
          <w:rFonts w:ascii="Simplified Arabic" w:hAnsi="Simplified Arabic" w:cs="Simplified Arabic" w:hint="cs"/>
          <w:sz w:val="24"/>
          <w:szCs w:val="24"/>
          <w:rtl/>
        </w:rPr>
        <w:t xml:space="preserve">، </w:t>
      </w:r>
      <w:r w:rsidRPr="0037659A">
        <w:rPr>
          <w:rFonts w:ascii="Simplified Arabic" w:hAnsi="Simplified Arabic" w:cs="Simplified Arabic"/>
          <w:color w:val="000000"/>
          <w:sz w:val="24"/>
          <w:szCs w:val="24"/>
          <w:rtl/>
        </w:rPr>
        <w:t>لتعطي</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نظاما</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واحدا</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متناسقا</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للقيام</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بوظائف</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تخزين</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ومعالجة</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البيانات</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المختلفة</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لعرضها</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على</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شاشة</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الحاسوب</w:t>
      </w:r>
      <w:r>
        <w:rPr>
          <w:rFonts w:ascii="Simplified Arabic" w:hAnsi="Simplified Arabic" w:cs="Simplified Arabic" w:hint="cs"/>
          <w:color w:val="000000"/>
          <w:sz w:val="24"/>
          <w:szCs w:val="24"/>
          <w:rtl/>
        </w:rPr>
        <w:t>،</w:t>
      </w:r>
      <w:r w:rsidRPr="0037659A">
        <w:rPr>
          <w:rFonts w:ascii="Simplified Arabic" w:hAnsi="Simplified Arabic" w:cs="Simplified Arabic" w:hint="cs"/>
          <w:color w:val="000000"/>
          <w:sz w:val="24"/>
          <w:szCs w:val="24"/>
          <w:rtl/>
        </w:rPr>
        <w:t xml:space="preserve"> </w:t>
      </w:r>
      <w:r w:rsidRPr="0037659A">
        <w:rPr>
          <w:rFonts w:ascii="Simplified Arabic" w:hAnsi="Simplified Arabic" w:cs="Simplified Arabic"/>
          <w:color w:val="000000"/>
          <w:sz w:val="24"/>
          <w:szCs w:val="24"/>
          <w:rtl/>
        </w:rPr>
        <w:t>نميز</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داخلها</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ثلاثة</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أنواع</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أساسية</w:t>
      </w:r>
      <w:r w:rsidRPr="0037659A">
        <w:rPr>
          <w:rFonts w:ascii="Simplified Arabic" w:hAnsi="Simplified Arabic" w:cs="Simplified Arabic"/>
          <w:color w:val="000000"/>
          <w:sz w:val="24"/>
          <w:szCs w:val="24"/>
        </w:rPr>
        <w:t xml:space="preserve"> </w:t>
      </w:r>
      <w:r w:rsidRPr="0037659A">
        <w:rPr>
          <w:rFonts w:ascii="Simplified Arabic" w:hAnsi="Simplified Arabic" w:cs="Simplified Arabic"/>
          <w:color w:val="000000"/>
          <w:sz w:val="24"/>
          <w:szCs w:val="24"/>
          <w:rtl/>
        </w:rPr>
        <w:t>وهي</w:t>
      </w:r>
      <w:r w:rsidRPr="0037659A">
        <w:rPr>
          <w:rFonts w:ascii="Simplified Arabic" w:hAnsi="Simplified Arabic" w:cs="Simplified Arabic"/>
          <w:color w:val="000000"/>
          <w:sz w:val="24"/>
          <w:szCs w:val="24"/>
        </w:rPr>
        <w:t>:</w:t>
      </w:r>
    </w:p>
    <w:p w:rsidR="000B42BD" w:rsidRPr="00A36123" w:rsidRDefault="000B42BD" w:rsidP="001D0548">
      <w:pPr>
        <w:pStyle w:val="Paragraphedeliste"/>
        <w:numPr>
          <w:ilvl w:val="0"/>
          <w:numId w:val="25"/>
        </w:numPr>
        <w:tabs>
          <w:tab w:val="right" w:pos="566"/>
        </w:tabs>
        <w:autoSpaceDE w:val="0"/>
        <w:autoSpaceDN w:val="0"/>
        <w:bidi/>
        <w:adjustRightInd w:val="0"/>
        <w:spacing w:after="0"/>
        <w:ind w:left="-1" w:firstLine="283"/>
        <w:jc w:val="both"/>
        <w:rPr>
          <w:rFonts w:ascii="Simplified Arabic" w:hAnsi="Simplified Arabic" w:cs="Simplified Arabic"/>
          <w:color w:val="000000"/>
          <w:sz w:val="24"/>
          <w:szCs w:val="24"/>
        </w:rPr>
      </w:pPr>
      <w:r w:rsidRPr="00A36123">
        <w:rPr>
          <w:rFonts w:ascii="Simplified Arabic" w:hAnsi="Simplified Arabic" w:cs="Simplified Arabic"/>
          <w:b/>
          <w:bCs/>
          <w:color w:val="000000"/>
          <w:sz w:val="24"/>
          <w:szCs w:val="24"/>
          <w:rtl/>
        </w:rPr>
        <w:t>أجهزة</w:t>
      </w:r>
      <w:r w:rsidRPr="00A36123">
        <w:rPr>
          <w:rFonts w:ascii="Simplified Arabic" w:hAnsi="Simplified Arabic" w:cs="Simplified Arabic"/>
          <w:b/>
          <w:bCs/>
          <w:color w:val="000000"/>
          <w:sz w:val="24"/>
          <w:szCs w:val="24"/>
        </w:rPr>
        <w:t xml:space="preserve"> </w:t>
      </w:r>
      <w:r w:rsidRPr="00A36123">
        <w:rPr>
          <w:rFonts w:ascii="Simplified Arabic" w:hAnsi="Simplified Arabic" w:cs="Simplified Arabic"/>
          <w:b/>
          <w:bCs/>
          <w:color w:val="000000"/>
          <w:sz w:val="24"/>
          <w:szCs w:val="24"/>
          <w:rtl/>
        </w:rPr>
        <w:t>جمع</w:t>
      </w:r>
      <w:r w:rsidRPr="00A36123">
        <w:rPr>
          <w:rFonts w:ascii="Simplified Arabic" w:hAnsi="Simplified Arabic" w:cs="Simplified Arabic"/>
          <w:b/>
          <w:bCs/>
          <w:color w:val="000000"/>
          <w:sz w:val="24"/>
          <w:szCs w:val="24"/>
        </w:rPr>
        <w:t xml:space="preserve"> </w:t>
      </w:r>
      <w:r w:rsidRPr="00A36123">
        <w:rPr>
          <w:rFonts w:ascii="Simplified Arabic" w:hAnsi="Simplified Arabic" w:cs="Simplified Arabic"/>
          <w:b/>
          <w:bCs/>
          <w:color w:val="000000"/>
          <w:sz w:val="24"/>
          <w:szCs w:val="24"/>
          <w:rtl/>
        </w:rPr>
        <w:t>البيانات</w:t>
      </w:r>
      <w:r w:rsidRPr="00A36123">
        <w:rPr>
          <w:rFonts w:ascii="Simplified Arabic" w:hAnsi="Simplified Arabic" w:cs="Simplified Arabic"/>
          <w:b/>
          <w:bCs/>
          <w:color w:val="000000"/>
          <w:sz w:val="24"/>
          <w:szCs w:val="24"/>
        </w:rPr>
        <w:t xml:space="preserve"> </w:t>
      </w:r>
      <w:r w:rsidRPr="00A36123">
        <w:rPr>
          <w:rFonts w:ascii="Simplified Arabic" w:hAnsi="Simplified Arabic" w:cs="Simplified Arabic"/>
          <w:b/>
          <w:bCs/>
          <w:color w:val="000000"/>
          <w:sz w:val="24"/>
          <w:szCs w:val="24"/>
          <w:rtl/>
        </w:rPr>
        <w:t>الميدانية</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وتشمل</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نظام</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تحديد</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المواقع</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العالم</w:t>
      </w:r>
      <w:r w:rsidRPr="00A36123">
        <w:rPr>
          <w:rFonts w:ascii="Simplified Arabic" w:hAnsi="Simplified Arabic" w:cs="Simplified Arabic" w:hint="cs"/>
          <w:color w:val="000000"/>
          <w:sz w:val="24"/>
          <w:szCs w:val="24"/>
          <w:rtl/>
        </w:rPr>
        <w:t>ي (</w:t>
      </w:r>
      <w:r w:rsidRPr="00A36123">
        <w:rPr>
          <w:rFonts w:asciiTheme="majorBidi" w:hAnsiTheme="majorBidi" w:cstheme="majorBidi"/>
          <w:color w:val="000000"/>
          <w:sz w:val="24"/>
          <w:szCs w:val="24"/>
        </w:rPr>
        <w:t>GPS</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محطات</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الرصد</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والقياس</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المتكاملة،</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الكاميرا</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الرقمية</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وجهاز</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التسجيل</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الآلي</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color w:val="000000"/>
          <w:sz w:val="24"/>
          <w:szCs w:val="24"/>
          <w:rtl/>
        </w:rPr>
        <w:t>للبيئة</w:t>
      </w:r>
      <w:r w:rsidRPr="00A36123">
        <w:rPr>
          <w:rFonts w:ascii="Simplified Arabic" w:hAnsi="Simplified Arabic" w:cs="Simplified Arabic"/>
          <w:color w:val="000000"/>
          <w:sz w:val="24"/>
          <w:szCs w:val="24"/>
        </w:rPr>
        <w:t>.</w:t>
      </w:r>
    </w:p>
    <w:p w:rsidR="000B42BD" w:rsidRPr="00A36123" w:rsidRDefault="000B42BD" w:rsidP="003A1DB8">
      <w:pPr>
        <w:pStyle w:val="Paragraphedeliste"/>
        <w:numPr>
          <w:ilvl w:val="0"/>
          <w:numId w:val="37"/>
        </w:numPr>
        <w:tabs>
          <w:tab w:val="right" w:pos="566"/>
        </w:tabs>
        <w:autoSpaceDE w:val="0"/>
        <w:autoSpaceDN w:val="0"/>
        <w:bidi/>
        <w:adjustRightInd w:val="0"/>
        <w:spacing w:after="0"/>
        <w:ind w:left="-1" w:firstLine="283"/>
        <w:jc w:val="both"/>
        <w:rPr>
          <w:rFonts w:ascii="Simplified Arabic" w:hAnsi="Simplified Arabic" w:cs="Simplified Arabic"/>
          <w:sz w:val="24"/>
          <w:szCs w:val="24"/>
          <w:rtl/>
        </w:rPr>
      </w:pPr>
      <w:r w:rsidRPr="00A36123">
        <w:rPr>
          <w:rFonts w:ascii="Simplified Arabic" w:hAnsi="Simplified Arabic" w:cs="Simplified Arabic"/>
          <w:b/>
          <w:bCs/>
          <w:color w:val="000000"/>
          <w:sz w:val="24"/>
          <w:szCs w:val="24"/>
          <w:rtl/>
        </w:rPr>
        <w:t>أجهزة</w:t>
      </w:r>
      <w:r w:rsidRPr="00A36123">
        <w:rPr>
          <w:rFonts w:ascii="Simplified Arabic" w:hAnsi="Simplified Arabic" w:cs="Simplified Arabic" w:hint="cs"/>
          <w:b/>
          <w:bCs/>
          <w:color w:val="000000"/>
          <w:sz w:val="24"/>
          <w:szCs w:val="24"/>
          <w:rtl/>
        </w:rPr>
        <w:t xml:space="preserve"> </w:t>
      </w:r>
      <w:r w:rsidRPr="00A36123">
        <w:rPr>
          <w:rFonts w:ascii="Simplified Arabic" w:hAnsi="Simplified Arabic" w:cs="Simplified Arabic"/>
          <w:b/>
          <w:bCs/>
          <w:color w:val="000000"/>
          <w:sz w:val="24"/>
          <w:szCs w:val="24"/>
          <w:rtl/>
        </w:rPr>
        <w:t>المعالجة</w:t>
      </w:r>
      <w:r w:rsidRPr="00A36123">
        <w:rPr>
          <w:rFonts w:ascii="Simplified Arabic" w:hAnsi="Simplified Arabic" w:cs="Simplified Arabic" w:hint="cs"/>
          <w:b/>
          <w:bCs/>
          <w:color w:val="000000"/>
          <w:sz w:val="24"/>
          <w:szCs w:val="24"/>
          <w:rtl/>
        </w:rPr>
        <w:t xml:space="preserve">: </w:t>
      </w:r>
      <w:r w:rsidRPr="00A36123">
        <w:rPr>
          <w:rFonts w:ascii="Simplified Arabic" w:hAnsi="Simplified Arabic" w:cs="Simplified Arabic"/>
          <w:color w:val="000000"/>
          <w:sz w:val="24"/>
          <w:szCs w:val="24"/>
          <w:rtl/>
        </w:rPr>
        <w:t>تضم</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أساسا</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أجهزة</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الحاسب</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الآلي</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التي</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تعمل</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على</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إدخال</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البيانات</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قصد</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إدارتها</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أو</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عرضها</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أو</w:t>
      </w:r>
      <w:r w:rsidRPr="00A36123">
        <w:rPr>
          <w:rFonts w:ascii="Simplified Arabic" w:hAnsi="Simplified Arabic" w:cs="Simplified Arabic" w:hint="cs"/>
          <w:color w:val="000000"/>
          <w:sz w:val="24"/>
          <w:szCs w:val="24"/>
          <w:rtl/>
        </w:rPr>
        <w:t xml:space="preserve"> </w:t>
      </w:r>
      <w:r w:rsidRPr="00A36123">
        <w:rPr>
          <w:rFonts w:ascii="Simplified Arabic" w:hAnsi="Simplified Arabic" w:cs="Simplified Arabic"/>
          <w:color w:val="000000"/>
          <w:sz w:val="24"/>
          <w:szCs w:val="24"/>
          <w:rtl/>
        </w:rPr>
        <w:t>تحليله</w:t>
      </w:r>
      <w:r w:rsidRPr="00A36123">
        <w:rPr>
          <w:rFonts w:ascii="Simplified Arabic" w:hAnsi="Simplified Arabic" w:cs="Simplified Arabic" w:hint="cs"/>
          <w:color w:val="000000"/>
          <w:sz w:val="24"/>
          <w:szCs w:val="24"/>
          <w:rtl/>
        </w:rPr>
        <w:t>ا</w:t>
      </w:r>
      <w:r w:rsidRPr="00A36123">
        <w:rPr>
          <w:rFonts w:ascii="Simplified Arabic" w:hAnsi="Simplified Arabic" w:cs="Simplified Arabic"/>
          <w:sz w:val="24"/>
          <w:szCs w:val="24"/>
          <w:rtl/>
        </w:rPr>
        <w:t>،</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حيث</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ظهرت</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حواسيب</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محمولة</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مجهزة</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بإمكانات</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وخصائص</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عالية</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ولها قدرة</w:t>
      </w:r>
      <w:r w:rsidRPr="00A36123">
        <w:rPr>
          <w:rFonts w:ascii="Simplified Arabic" w:hAnsi="Simplified Arabic" w:cs="Simplified Arabic" w:hint="cs"/>
          <w:sz w:val="24"/>
          <w:szCs w:val="24"/>
          <w:rtl/>
        </w:rPr>
        <w:t xml:space="preserve"> كبيرة </w:t>
      </w:r>
      <w:r w:rsidRPr="00A36123">
        <w:rPr>
          <w:rFonts w:ascii="Simplified Arabic" w:hAnsi="Simplified Arabic" w:cs="Simplified Arabic"/>
          <w:sz w:val="24"/>
          <w:szCs w:val="24"/>
          <w:rtl/>
        </w:rPr>
        <w:t>على</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التخزين</w:t>
      </w:r>
      <w:r>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وسرعة</w:t>
      </w:r>
      <w:r w:rsidRPr="00A36123">
        <w:rPr>
          <w:rFonts w:ascii="Simplified Arabic" w:hAnsi="Simplified Arabic" w:cs="Simplified Arabic" w:hint="cs"/>
          <w:sz w:val="24"/>
          <w:szCs w:val="24"/>
          <w:rtl/>
        </w:rPr>
        <w:t xml:space="preserve"> </w:t>
      </w:r>
      <w:r w:rsidRPr="00A36123">
        <w:rPr>
          <w:rFonts w:ascii="Simplified Arabic" w:hAnsi="Simplified Arabic" w:cs="Simplified Arabic"/>
          <w:sz w:val="24"/>
          <w:szCs w:val="24"/>
          <w:rtl/>
        </w:rPr>
        <w:t>الإنجا</w:t>
      </w:r>
      <w:r w:rsidRPr="00A36123">
        <w:rPr>
          <w:rFonts w:ascii="Simplified Arabic" w:hAnsi="Simplified Arabic" w:cs="Simplified Arabic" w:hint="cs"/>
          <w:sz w:val="24"/>
          <w:szCs w:val="24"/>
          <w:rtl/>
        </w:rPr>
        <w:t>ز.</w:t>
      </w:r>
    </w:p>
    <w:p w:rsidR="000B42BD" w:rsidRDefault="000B42BD" w:rsidP="003A1DB8">
      <w:pPr>
        <w:pStyle w:val="Paragraphedeliste"/>
        <w:numPr>
          <w:ilvl w:val="0"/>
          <w:numId w:val="37"/>
        </w:numPr>
        <w:tabs>
          <w:tab w:val="right" w:pos="566"/>
        </w:tabs>
        <w:autoSpaceDE w:val="0"/>
        <w:autoSpaceDN w:val="0"/>
        <w:bidi/>
        <w:adjustRightInd w:val="0"/>
        <w:spacing w:after="0"/>
        <w:ind w:left="-1" w:firstLine="283"/>
        <w:jc w:val="both"/>
        <w:rPr>
          <w:rFonts w:ascii="Simplified Arabic" w:hAnsi="Simplified Arabic" w:cs="Simplified Arabic"/>
          <w:color w:val="000000"/>
          <w:sz w:val="24"/>
          <w:szCs w:val="24"/>
        </w:rPr>
      </w:pPr>
      <w:r w:rsidRPr="00A36123">
        <w:rPr>
          <w:rFonts w:ascii="Simplified Arabic" w:hAnsi="Simplified Arabic" w:cs="Simplified Arabic" w:hint="cs"/>
          <w:b/>
          <w:bCs/>
          <w:color w:val="000000"/>
          <w:sz w:val="24"/>
          <w:szCs w:val="24"/>
          <w:rtl/>
        </w:rPr>
        <w:t>أجهزة</w:t>
      </w:r>
      <w:r w:rsidRPr="00A36123">
        <w:rPr>
          <w:rFonts w:ascii="Simplified Arabic" w:hAnsi="Simplified Arabic" w:cs="Simplified Arabic"/>
          <w:b/>
          <w:bCs/>
          <w:color w:val="000000"/>
          <w:sz w:val="24"/>
          <w:szCs w:val="24"/>
        </w:rPr>
        <w:t xml:space="preserve"> </w:t>
      </w:r>
      <w:r w:rsidRPr="00A36123">
        <w:rPr>
          <w:rFonts w:ascii="Simplified Arabic" w:hAnsi="Simplified Arabic" w:cs="Simplified Arabic" w:hint="cs"/>
          <w:b/>
          <w:bCs/>
          <w:color w:val="000000"/>
          <w:sz w:val="24"/>
          <w:szCs w:val="24"/>
          <w:rtl/>
        </w:rPr>
        <w:t>الإخراج</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تمثل</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آخر</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مرحلة،</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وتشمل</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كل</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الأجهزة</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التي</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تعمل</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على</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إخراج</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منتوج</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نظم المعلومات</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كالطابعة،</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الرسم</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الآلي،</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الشاشة</w:t>
      </w:r>
      <w:r w:rsidRPr="00A36123">
        <w:rPr>
          <w:rFonts w:ascii="Simplified Arabic" w:hAnsi="Simplified Arabic" w:cs="Simplified Arabic"/>
          <w:color w:val="000000"/>
          <w:sz w:val="24"/>
          <w:szCs w:val="24"/>
        </w:rPr>
        <w:t>...</w:t>
      </w:r>
      <w:r w:rsidRPr="00A36123">
        <w:rPr>
          <w:rFonts w:ascii="Simplified Arabic" w:hAnsi="Simplified Arabic" w:cs="Simplified Arabic" w:hint="cs"/>
          <w:color w:val="000000"/>
          <w:sz w:val="24"/>
          <w:szCs w:val="24"/>
          <w:rtl/>
        </w:rPr>
        <w:t>الخ،</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على</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شكل</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رسوم</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أو</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خرائط</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أو</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تقارير</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وتبعا</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لذلك</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فهي متعددة</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بتعدد</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مهامها</w:t>
      </w:r>
      <w:r w:rsidRPr="00A36123">
        <w:rPr>
          <w:rFonts w:ascii="Simplified Arabic" w:hAnsi="Simplified Arabic" w:cs="Simplified Arabic"/>
          <w:color w:val="000000"/>
          <w:sz w:val="24"/>
          <w:szCs w:val="24"/>
        </w:rPr>
        <w:t xml:space="preserve"> </w:t>
      </w:r>
      <w:r w:rsidRPr="00A36123">
        <w:rPr>
          <w:rFonts w:ascii="Simplified Arabic" w:hAnsi="Simplified Arabic" w:cs="Simplified Arabic" w:hint="cs"/>
          <w:color w:val="000000"/>
          <w:sz w:val="24"/>
          <w:szCs w:val="24"/>
          <w:rtl/>
        </w:rPr>
        <w:t>وأشكالها</w:t>
      </w:r>
      <w:r w:rsidRPr="00A36123">
        <w:rPr>
          <w:rFonts w:ascii="Simplified Arabic" w:hAnsi="Simplified Arabic" w:cs="Simplified Arabic"/>
          <w:color w:val="000000"/>
          <w:sz w:val="24"/>
          <w:szCs w:val="24"/>
        </w:rPr>
        <w:t>.</w:t>
      </w:r>
    </w:p>
    <w:p w:rsidR="000B42BD" w:rsidRPr="004830BA" w:rsidRDefault="000B42BD" w:rsidP="001D0548">
      <w:pPr>
        <w:pStyle w:val="Paragraphedeliste"/>
        <w:numPr>
          <w:ilvl w:val="0"/>
          <w:numId w:val="24"/>
        </w:numPr>
        <w:tabs>
          <w:tab w:val="right" w:pos="-1"/>
          <w:tab w:val="right" w:pos="282"/>
        </w:tabs>
        <w:autoSpaceDE w:val="0"/>
        <w:autoSpaceDN w:val="0"/>
        <w:bidi/>
        <w:adjustRightInd w:val="0"/>
        <w:spacing w:after="0"/>
        <w:ind w:left="-1" w:firstLine="0"/>
        <w:jc w:val="both"/>
        <w:rPr>
          <w:rFonts w:ascii="Simplified Arabic" w:hAnsi="Simplified Arabic" w:cs="Simplified Arabic"/>
          <w:color w:val="000000"/>
          <w:sz w:val="24"/>
          <w:szCs w:val="24"/>
        </w:rPr>
      </w:pPr>
      <w:r w:rsidRPr="004830BA">
        <w:rPr>
          <w:rFonts w:ascii="Simplified Arabic" w:hAnsi="Simplified Arabic" w:cs="Simplified Arabic" w:hint="cs"/>
          <w:b/>
          <w:bCs/>
          <w:sz w:val="24"/>
          <w:szCs w:val="24"/>
          <w:rtl/>
        </w:rPr>
        <w:t xml:space="preserve">البرامج </w:t>
      </w:r>
      <w:r w:rsidRPr="004830BA">
        <w:rPr>
          <w:rFonts w:asciiTheme="majorBidi" w:hAnsiTheme="majorBidi" w:cstheme="majorBidi"/>
          <w:b/>
          <w:bCs/>
          <w:sz w:val="20"/>
          <w:szCs w:val="20"/>
        </w:rPr>
        <w:t>(Software)</w:t>
      </w:r>
      <w:r w:rsidRPr="004830BA">
        <w:rPr>
          <w:rFonts w:ascii="TraditionalArabic-Bold" w:cs="TraditionalArabic-Bold" w:hint="cs"/>
          <w:b/>
          <w:bCs/>
          <w:sz w:val="28"/>
          <w:szCs w:val="28"/>
          <w:rtl/>
        </w:rPr>
        <w:t xml:space="preserve">: </w:t>
      </w:r>
      <w:r w:rsidRPr="004830BA">
        <w:rPr>
          <w:rFonts w:ascii="Simplified Arabic" w:hAnsi="Simplified Arabic" w:cs="Simplified Arabic" w:hint="cs"/>
          <w:sz w:val="24"/>
          <w:szCs w:val="24"/>
          <w:rtl/>
        </w:rPr>
        <w:t>التوفر على الحاسب</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الآلي (الكمبيوتر)</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لا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يكفي</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لوحده</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لبلورة</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مشروع</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نظم</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معلومات</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جغرافية، بل</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لا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بد</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من</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وجود</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برنامج</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مثبت</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على</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الحاسوب يمكن</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من</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خلاله</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العمل</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على</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تنفيذ</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بحثًا علميًا او</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مشروع</w:t>
      </w:r>
      <w:r w:rsidRPr="004830BA">
        <w:rPr>
          <w:rFonts w:ascii="Simplified Arabic" w:hAnsi="Simplified Arabic" w:cs="Simplified Arabic" w:hint="cs"/>
          <w:sz w:val="24"/>
          <w:szCs w:val="24"/>
          <w:rtl/>
        </w:rPr>
        <w:t>ً</w:t>
      </w:r>
      <w:r w:rsidRPr="004830BA">
        <w:rPr>
          <w:rFonts w:ascii="Simplified Arabic" w:hAnsi="Simplified Arabic" w:cs="Simplified Arabic"/>
          <w:sz w:val="24"/>
          <w:szCs w:val="24"/>
          <w:rtl/>
        </w:rPr>
        <w:t>ا</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معين</w:t>
      </w:r>
      <w:r w:rsidRPr="004830BA">
        <w:rPr>
          <w:rFonts w:ascii="Simplified Arabic" w:hAnsi="Simplified Arabic" w:cs="Simplified Arabic" w:hint="cs"/>
          <w:sz w:val="24"/>
          <w:szCs w:val="24"/>
          <w:rtl/>
        </w:rPr>
        <w:t>ً</w:t>
      </w:r>
      <w:r w:rsidRPr="004830BA">
        <w:rPr>
          <w:rFonts w:ascii="Simplified Arabic" w:hAnsi="Simplified Arabic" w:cs="Simplified Arabic"/>
          <w:sz w:val="24"/>
          <w:szCs w:val="24"/>
          <w:rtl/>
        </w:rPr>
        <w:t>ا</w:t>
      </w:r>
      <w:r w:rsidRPr="004830BA">
        <w:rPr>
          <w:rFonts w:ascii="Simplified Arabic" w:hAnsi="Simplified Arabic" w:cs="Simplified Arabic" w:hint="cs"/>
          <w:sz w:val="24"/>
          <w:szCs w:val="24"/>
          <w:rtl/>
        </w:rPr>
        <w:t>. هناك الكثير</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من</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البرامج</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المتخصصة</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في</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نظم</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المعلومات</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الجغرافية</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منها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هو</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مفتوح</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المصدر</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كبرنامج</w:t>
      </w:r>
      <w:r w:rsidRPr="004830BA">
        <w:rPr>
          <w:rFonts w:ascii="TraditionalArabic" w:cs="TraditionalArabic"/>
          <w:sz w:val="28"/>
          <w:szCs w:val="28"/>
        </w:rPr>
        <w:t xml:space="preserve"> </w:t>
      </w:r>
      <w:r w:rsidRPr="004830BA">
        <w:rPr>
          <w:rFonts w:asciiTheme="majorBidi" w:hAnsiTheme="majorBidi" w:cstheme="majorBidi" w:hint="cs"/>
          <w:sz w:val="24"/>
          <w:szCs w:val="24"/>
          <w:rtl/>
        </w:rPr>
        <w:t>(</w:t>
      </w:r>
      <w:r w:rsidRPr="004830BA">
        <w:rPr>
          <w:rFonts w:asciiTheme="majorBidi" w:hAnsiTheme="majorBidi" w:cstheme="majorBidi"/>
          <w:sz w:val="24"/>
          <w:szCs w:val="24"/>
        </w:rPr>
        <w:t>Qgis</w:t>
      </w:r>
      <w:r w:rsidRPr="004830BA">
        <w:rPr>
          <w:rFonts w:asciiTheme="majorBidi" w:hAnsiTheme="majorBidi" w:cstheme="majorBidi" w:hint="cs"/>
          <w:sz w:val="24"/>
          <w:szCs w:val="24"/>
          <w:rtl/>
        </w:rPr>
        <w:t>)</w:t>
      </w:r>
      <w:r w:rsidRPr="004830BA">
        <w:rPr>
          <w:rFonts w:ascii="TraditionalArabic" w:cs="TraditionalArabic"/>
          <w:sz w:val="26"/>
          <w:szCs w:val="26"/>
        </w:rPr>
        <w:t xml:space="preserve"> </w:t>
      </w:r>
      <w:r w:rsidRPr="004830BA">
        <w:rPr>
          <w:rFonts w:ascii="Simplified Arabic" w:hAnsi="Simplified Arabic" w:cs="Simplified Arabic" w:hint="cs"/>
          <w:sz w:val="24"/>
          <w:szCs w:val="24"/>
          <w:rtl/>
        </w:rPr>
        <w:t>أو</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تجاري كبرنامج (</w:t>
      </w:r>
      <w:r w:rsidRPr="004830BA">
        <w:rPr>
          <w:rFonts w:asciiTheme="majorBidi" w:hAnsiTheme="majorBidi" w:cstheme="majorBidi"/>
          <w:sz w:val="24"/>
          <w:szCs w:val="24"/>
        </w:rPr>
        <w:t>ArcGis</w:t>
      </w:r>
      <w:r w:rsidRPr="004830BA">
        <w:rPr>
          <w:rFonts w:ascii="Simplified Arabic" w:hAnsi="Simplified Arabic" w:cs="Simplified Arabic" w:hint="cs"/>
          <w:sz w:val="24"/>
          <w:szCs w:val="24"/>
          <w:rtl/>
        </w:rPr>
        <w:t>)</w:t>
      </w:r>
      <w:r w:rsidRPr="004830BA">
        <w:rPr>
          <w:rFonts w:ascii="TraditionalArabic" w:cs="TraditionalArabic" w:hint="cs"/>
          <w:sz w:val="28"/>
          <w:szCs w:val="28"/>
          <w:rtl/>
        </w:rPr>
        <w:t xml:space="preserve">. </w:t>
      </w:r>
      <w:r w:rsidRPr="004830BA">
        <w:rPr>
          <w:rFonts w:ascii="Simplified Arabic" w:hAnsi="Simplified Arabic" w:cs="Simplified Arabic" w:hint="cs"/>
          <w:sz w:val="24"/>
          <w:szCs w:val="24"/>
          <w:rtl/>
        </w:rPr>
        <w:t>عرفت</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هذه</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البرامج</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تطورا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كبيرا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حيث</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أصبحت</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أكثر</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كفاءة</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على</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التعامل</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مع</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مختلف البيانات</w:t>
      </w:r>
      <w:r>
        <w:rPr>
          <w:rFonts w:ascii="Simplified Arabic" w:hAnsi="Simplified Arabic" w:cs="Simplified Arabic" w:hint="cs"/>
          <w:sz w:val="24"/>
          <w:szCs w:val="24"/>
          <w:rtl/>
        </w:rPr>
        <w:t xml:space="preserve"> ل</w:t>
      </w:r>
      <w:r w:rsidRPr="004830BA">
        <w:rPr>
          <w:rFonts w:ascii="Simplified Arabic" w:hAnsi="Simplified Arabic" w:cs="Simplified Arabic" w:hint="cs"/>
          <w:sz w:val="24"/>
          <w:szCs w:val="24"/>
          <w:rtl/>
        </w:rPr>
        <w:t>عرضها</w:t>
      </w:r>
      <w:r>
        <w:rPr>
          <w:rFonts w:ascii="Simplified Arabic" w:hAnsi="Simplified Arabic" w:cs="Simplified Arabic" w:hint="cs"/>
          <w:sz w:val="24"/>
          <w:szCs w:val="24"/>
          <w:rtl/>
        </w:rPr>
        <w:t xml:space="preserve">، معالجتها </w:t>
      </w:r>
      <w:r w:rsidRPr="004830BA">
        <w:rPr>
          <w:rFonts w:ascii="Simplified Arabic" w:hAnsi="Simplified Arabic" w:cs="Simplified Arabic" w:hint="cs"/>
          <w:sz w:val="24"/>
          <w:szCs w:val="24"/>
          <w:rtl/>
        </w:rPr>
        <w:t>وتحليلها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بدقة</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 xml:space="preserve">عالية. </w:t>
      </w:r>
      <w:r w:rsidRPr="004830BA">
        <w:rPr>
          <w:rFonts w:ascii="Simplified Arabic" w:hAnsi="Simplified Arabic" w:cs="Simplified Arabic"/>
          <w:color w:val="000000"/>
          <w:sz w:val="24"/>
          <w:szCs w:val="24"/>
          <w:rtl/>
        </w:rPr>
        <w:t>فيما</w:t>
      </w:r>
      <w:r w:rsidRPr="004830BA">
        <w:rPr>
          <w:rFonts w:ascii="Simplified Arabic" w:hAnsi="Simplified Arabic" w:cs="Simplified Arabic"/>
          <w:color w:val="000000"/>
          <w:sz w:val="24"/>
          <w:szCs w:val="24"/>
        </w:rPr>
        <w:t xml:space="preserve"> </w:t>
      </w:r>
      <w:r w:rsidRPr="004830BA">
        <w:rPr>
          <w:rFonts w:ascii="Simplified Arabic" w:hAnsi="Simplified Arabic" w:cs="Simplified Arabic"/>
          <w:color w:val="000000"/>
          <w:sz w:val="24"/>
          <w:szCs w:val="24"/>
          <w:rtl/>
        </w:rPr>
        <w:t>يلي</w:t>
      </w:r>
      <w:r w:rsidRPr="004830BA">
        <w:rPr>
          <w:rFonts w:ascii="Simplified Arabic" w:hAnsi="Simplified Arabic" w:cs="Simplified Arabic"/>
          <w:color w:val="000000"/>
          <w:sz w:val="24"/>
          <w:szCs w:val="24"/>
        </w:rPr>
        <w:t xml:space="preserve"> </w:t>
      </w:r>
      <w:r w:rsidRPr="004830BA">
        <w:rPr>
          <w:rFonts w:ascii="Simplified Arabic" w:hAnsi="Simplified Arabic" w:cs="Simplified Arabic"/>
          <w:color w:val="000000"/>
          <w:sz w:val="24"/>
          <w:szCs w:val="24"/>
          <w:rtl/>
        </w:rPr>
        <w:t>أهم</w:t>
      </w:r>
      <w:r w:rsidRPr="004830BA">
        <w:rPr>
          <w:rFonts w:ascii="Simplified Arabic" w:hAnsi="Simplified Arabic" w:cs="Simplified Arabic"/>
          <w:color w:val="000000"/>
          <w:sz w:val="24"/>
          <w:szCs w:val="24"/>
        </w:rPr>
        <w:t xml:space="preserve"> </w:t>
      </w:r>
      <w:r w:rsidRPr="004830BA">
        <w:rPr>
          <w:rFonts w:ascii="Simplified Arabic" w:hAnsi="Simplified Arabic" w:cs="Simplified Arabic"/>
          <w:color w:val="000000"/>
          <w:sz w:val="24"/>
          <w:szCs w:val="24"/>
          <w:rtl/>
        </w:rPr>
        <w:t>الامكانيات</w:t>
      </w:r>
      <w:r w:rsidRPr="004830BA">
        <w:rPr>
          <w:rFonts w:ascii="Simplified Arabic" w:hAnsi="Simplified Arabic" w:cs="Simplified Arabic"/>
          <w:color w:val="000000"/>
          <w:sz w:val="24"/>
          <w:szCs w:val="24"/>
        </w:rPr>
        <w:t xml:space="preserve"> </w:t>
      </w:r>
      <w:r w:rsidRPr="004830BA">
        <w:rPr>
          <w:rFonts w:ascii="Simplified Arabic" w:hAnsi="Simplified Arabic" w:cs="Simplified Arabic"/>
          <w:color w:val="000000"/>
          <w:sz w:val="24"/>
          <w:szCs w:val="24"/>
          <w:rtl/>
        </w:rPr>
        <w:t>التي</w:t>
      </w:r>
      <w:r w:rsidRPr="004830BA">
        <w:rPr>
          <w:rFonts w:ascii="Simplified Arabic" w:hAnsi="Simplified Arabic" w:cs="Simplified Arabic"/>
          <w:color w:val="000000"/>
          <w:sz w:val="24"/>
          <w:szCs w:val="24"/>
        </w:rPr>
        <w:t xml:space="preserve"> </w:t>
      </w:r>
      <w:r w:rsidRPr="004830BA">
        <w:rPr>
          <w:rFonts w:ascii="Simplified Arabic" w:hAnsi="Simplified Arabic" w:cs="Simplified Arabic" w:hint="cs"/>
          <w:color w:val="000000"/>
          <w:sz w:val="24"/>
          <w:szCs w:val="24"/>
          <w:rtl/>
        </w:rPr>
        <w:t>تنفذها</w:t>
      </w:r>
      <w:r w:rsidRPr="004830BA">
        <w:rPr>
          <w:rFonts w:ascii="Simplified Arabic" w:hAnsi="Simplified Arabic" w:cs="Simplified Arabic"/>
          <w:color w:val="000000"/>
          <w:sz w:val="24"/>
          <w:szCs w:val="24"/>
        </w:rPr>
        <w:t xml:space="preserve"> </w:t>
      </w:r>
      <w:r w:rsidRPr="004830BA">
        <w:rPr>
          <w:rFonts w:ascii="Simplified Arabic" w:hAnsi="Simplified Arabic" w:cs="Simplified Arabic"/>
          <w:color w:val="000000"/>
          <w:sz w:val="24"/>
          <w:szCs w:val="24"/>
          <w:rtl/>
        </w:rPr>
        <w:t>هذه</w:t>
      </w:r>
      <w:r w:rsidRPr="004830BA">
        <w:rPr>
          <w:rFonts w:ascii="Simplified Arabic" w:hAnsi="Simplified Arabic" w:cs="Simplified Arabic"/>
          <w:color w:val="000000"/>
          <w:sz w:val="24"/>
          <w:szCs w:val="24"/>
        </w:rPr>
        <w:t xml:space="preserve"> </w:t>
      </w:r>
      <w:r w:rsidRPr="004830BA">
        <w:rPr>
          <w:rFonts w:ascii="Simplified Arabic" w:hAnsi="Simplified Arabic" w:cs="Simplified Arabic"/>
          <w:color w:val="000000"/>
          <w:sz w:val="24"/>
          <w:szCs w:val="24"/>
          <w:rtl/>
        </w:rPr>
        <w:t>البرامج</w:t>
      </w:r>
      <w:r w:rsidRPr="004830BA">
        <w:rPr>
          <w:rFonts w:ascii="Simplified Arabic" w:hAnsi="Simplified Arabic" w:cs="Simplified Arabic"/>
          <w:color w:val="000000"/>
          <w:sz w:val="24"/>
          <w:szCs w:val="24"/>
        </w:rPr>
        <w:t>:</w:t>
      </w:r>
    </w:p>
    <w:p w:rsidR="000B42BD" w:rsidRDefault="000B42BD" w:rsidP="000B42BD">
      <w:pPr>
        <w:tabs>
          <w:tab w:val="right" w:pos="282"/>
        </w:tabs>
        <w:autoSpaceDE w:val="0"/>
        <w:autoSpaceDN w:val="0"/>
        <w:bidi/>
        <w:adjustRightInd w:val="0"/>
        <w:spacing w:after="0"/>
        <w:jc w:val="both"/>
        <w:rPr>
          <w:rFonts w:ascii="Simplified Arabic" w:hAnsi="Simplified Arabic" w:cs="Simplified Arabic"/>
          <w:color w:val="000000"/>
          <w:sz w:val="24"/>
          <w:szCs w:val="24"/>
          <w:rtl/>
        </w:rPr>
      </w:pPr>
      <w:r>
        <w:rPr>
          <w:rFonts w:ascii="Simplified Arabic" w:hAnsi="Simplified Arabic" w:cs="Simplified Arabic" w:hint="cs"/>
          <w:color w:val="000000"/>
          <w:sz w:val="24"/>
          <w:szCs w:val="24"/>
          <w:rtl/>
        </w:rPr>
        <w:t xml:space="preserve">- </w:t>
      </w:r>
      <w:r w:rsidRPr="00B656DC">
        <w:rPr>
          <w:rFonts w:ascii="Simplified Arabic" w:hAnsi="Simplified Arabic" w:cs="Simplified Arabic"/>
          <w:color w:val="000000"/>
          <w:sz w:val="24"/>
          <w:szCs w:val="24"/>
          <w:rtl/>
        </w:rPr>
        <w:t>توفر</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إمكانيات</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إدخال</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المعلومات</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بأنواعها</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بواسطة</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مرقم</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الخرائط</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والماسح</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الضوئي،</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ونظم</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تحديد</w:t>
      </w:r>
      <w:r>
        <w:rPr>
          <w:rFonts w:ascii="Simplified Arabic" w:hAnsi="Simplified Arabic" w:cs="Simplified Arabic" w:hint="cs"/>
          <w:color w:val="000000"/>
          <w:sz w:val="24"/>
          <w:szCs w:val="24"/>
          <w:rtl/>
        </w:rPr>
        <w:t xml:space="preserve"> </w:t>
      </w:r>
      <w:r w:rsidRPr="00B656DC">
        <w:rPr>
          <w:rFonts w:ascii="Simplified Arabic" w:hAnsi="Simplified Arabic" w:cs="Simplified Arabic"/>
          <w:color w:val="000000"/>
          <w:sz w:val="24"/>
          <w:szCs w:val="24"/>
          <w:rtl/>
        </w:rPr>
        <w:t>المواقع</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العالمي</w:t>
      </w:r>
      <w:r>
        <w:rPr>
          <w:rFonts w:ascii="Simplified Arabic" w:hAnsi="Simplified Arabic" w:cs="Simplified Arabic" w:hint="cs"/>
          <w:color w:val="000000"/>
          <w:sz w:val="24"/>
          <w:szCs w:val="24"/>
          <w:rtl/>
        </w:rPr>
        <w:t xml:space="preserve"> (</w:t>
      </w:r>
      <w:r w:rsidRPr="00B656DC">
        <w:rPr>
          <w:rFonts w:asciiTheme="majorBidi" w:hAnsiTheme="majorBidi" w:cstheme="majorBidi"/>
          <w:sz w:val="24"/>
          <w:szCs w:val="24"/>
        </w:rPr>
        <w:t>GPS</w:t>
      </w:r>
      <w:r>
        <w:rPr>
          <w:rFonts w:ascii="Simplified Arabic" w:hAnsi="Simplified Arabic" w:cs="Simplified Arabic" w:hint="cs"/>
          <w:color w:val="000000"/>
          <w:sz w:val="24"/>
          <w:szCs w:val="24"/>
          <w:rtl/>
        </w:rPr>
        <w:t>).</w:t>
      </w:r>
    </w:p>
    <w:p w:rsidR="000B42BD" w:rsidRPr="00B656DC" w:rsidRDefault="000B42BD" w:rsidP="000B42BD">
      <w:pPr>
        <w:tabs>
          <w:tab w:val="right" w:pos="282"/>
        </w:tabs>
        <w:autoSpaceDE w:val="0"/>
        <w:autoSpaceDN w:val="0"/>
        <w:bidi/>
        <w:adjustRightInd w:val="0"/>
        <w:spacing w:after="0"/>
        <w:jc w:val="both"/>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 xml:space="preserve">- </w:t>
      </w:r>
      <w:r w:rsidRPr="00B656DC">
        <w:rPr>
          <w:rFonts w:ascii="Simplified Arabic" w:hAnsi="Simplified Arabic" w:cs="Simplified Arabic"/>
          <w:color w:val="000000"/>
          <w:sz w:val="24"/>
          <w:szCs w:val="24"/>
          <w:rtl/>
        </w:rPr>
        <w:t>تساعد</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على</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إجراء</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تعديلات</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على</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أساس</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رموز</w:t>
      </w:r>
      <w:r w:rsidRPr="00B656DC">
        <w:rPr>
          <w:rFonts w:ascii="Simplified Arabic" w:hAnsi="Simplified Arabic" w:cs="Simplified Arabic"/>
          <w:color w:val="000000"/>
          <w:sz w:val="24"/>
          <w:szCs w:val="24"/>
        </w:rPr>
        <w:t xml:space="preserve"> </w:t>
      </w:r>
      <w:r>
        <w:rPr>
          <w:rFonts w:ascii="Simplified Arabic" w:hAnsi="Simplified Arabic" w:cs="Simplified Arabic"/>
          <w:color w:val="000000"/>
          <w:sz w:val="24"/>
          <w:szCs w:val="24"/>
          <w:rtl/>
        </w:rPr>
        <w:t>متنوعة</w:t>
      </w:r>
      <w:r>
        <w:rPr>
          <w:rFonts w:ascii="Simplified Arabic" w:hAnsi="Simplified Arabic" w:cs="Simplified Arabic" w:hint="cs"/>
          <w:color w:val="000000"/>
          <w:sz w:val="24"/>
          <w:szCs w:val="24"/>
          <w:rtl/>
        </w:rPr>
        <w:t>.</w:t>
      </w:r>
    </w:p>
    <w:p w:rsidR="000B42BD" w:rsidRPr="00B656DC" w:rsidRDefault="000B42BD" w:rsidP="000B42BD">
      <w:pPr>
        <w:autoSpaceDE w:val="0"/>
        <w:autoSpaceDN w:val="0"/>
        <w:bidi/>
        <w:adjustRightInd w:val="0"/>
        <w:spacing w:after="0"/>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 xml:space="preserve">- </w:t>
      </w:r>
      <w:r w:rsidRPr="00B656DC">
        <w:rPr>
          <w:rFonts w:ascii="Simplified Arabic" w:hAnsi="Simplified Arabic" w:cs="Simplified Arabic"/>
          <w:color w:val="000000"/>
          <w:sz w:val="24"/>
          <w:szCs w:val="24"/>
          <w:rtl/>
        </w:rPr>
        <w:t>تمكن</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من</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تحويل</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المعطيات</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من</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نظم</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الإحداثيات</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المختلفة</w:t>
      </w:r>
      <w:r w:rsidRPr="00B656DC">
        <w:rPr>
          <w:rFonts w:ascii="Simplified Arabic" w:hAnsi="Simplified Arabic" w:cs="Simplified Arabic"/>
          <w:color w:val="000000"/>
          <w:sz w:val="24"/>
          <w:szCs w:val="24"/>
        </w:rPr>
        <w:t xml:space="preserve"> </w:t>
      </w:r>
      <w:r>
        <w:rPr>
          <w:rFonts w:ascii="Simplified Arabic" w:hAnsi="Simplified Arabic" w:cs="Simplified Arabic" w:hint="cs"/>
          <w:color w:val="000000"/>
          <w:sz w:val="24"/>
          <w:szCs w:val="24"/>
          <w:rtl/>
        </w:rPr>
        <w:t>ك</w:t>
      </w:r>
      <w:r w:rsidRPr="00B656DC">
        <w:rPr>
          <w:rFonts w:ascii="Simplified Arabic" w:hAnsi="Simplified Arabic" w:cs="Simplified Arabic"/>
          <w:color w:val="000000"/>
          <w:sz w:val="24"/>
          <w:szCs w:val="24"/>
          <w:rtl/>
        </w:rPr>
        <w:t>الجغرافية</w:t>
      </w:r>
      <w:r>
        <w:rPr>
          <w:rFonts w:ascii="Simplified Arabic" w:hAnsi="Simplified Arabic" w:cs="Simplified Arabic" w:hint="cs"/>
          <w:color w:val="000000"/>
          <w:sz w:val="24"/>
          <w:szCs w:val="24"/>
          <w:rtl/>
        </w:rPr>
        <w:t xml:space="preserve"> </w:t>
      </w:r>
      <w:r>
        <w:rPr>
          <w:rFonts w:asciiTheme="majorBidi" w:hAnsiTheme="majorBidi" w:cstheme="majorBidi" w:hint="cs"/>
          <w:color w:val="000000"/>
          <w:sz w:val="24"/>
          <w:szCs w:val="24"/>
          <w:rtl/>
        </w:rPr>
        <w:t>(</w:t>
      </w:r>
      <w:r w:rsidRPr="00B656DC">
        <w:rPr>
          <w:rFonts w:asciiTheme="majorBidi" w:hAnsiTheme="majorBidi" w:cstheme="majorBidi"/>
          <w:color w:val="000000"/>
          <w:sz w:val="24"/>
          <w:szCs w:val="24"/>
        </w:rPr>
        <w:t>GCS</w:t>
      </w:r>
      <w:r>
        <w:rPr>
          <w:rFonts w:asciiTheme="majorBidi" w:hAnsiTheme="majorBidi" w:cstheme="majorBidi" w:hint="cs"/>
          <w:color w:val="000000"/>
          <w:sz w:val="24"/>
          <w:szCs w:val="24"/>
          <w:rtl/>
        </w:rPr>
        <w:t>)</w:t>
      </w:r>
      <w:r>
        <w:rPr>
          <w:rFonts w:ascii="Simplified Arabic" w:hAnsi="Simplified Arabic" w:cs="Simplified Arabic" w:hint="cs"/>
          <w:color w:val="000000"/>
          <w:sz w:val="24"/>
          <w:szCs w:val="24"/>
          <w:rtl/>
        </w:rPr>
        <w:t xml:space="preserve"> </w:t>
      </w:r>
      <w:r w:rsidRPr="00B656DC">
        <w:rPr>
          <w:rFonts w:ascii="Simplified Arabic" w:hAnsi="Simplified Arabic" w:cs="Simplified Arabic"/>
          <w:color w:val="000000"/>
          <w:sz w:val="24"/>
          <w:szCs w:val="24"/>
          <w:rtl/>
        </w:rPr>
        <w:t>والعالمية</w:t>
      </w:r>
      <w:r>
        <w:rPr>
          <w:rFonts w:ascii="Simplified Arabic" w:hAnsi="Simplified Arabic" w:cs="Simplified Arabic" w:hint="cs"/>
          <w:color w:val="000000"/>
          <w:sz w:val="24"/>
          <w:szCs w:val="24"/>
          <w:rtl/>
        </w:rPr>
        <w:t xml:space="preserve"> </w:t>
      </w:r>
      <w:r>
        <w:rPr>
          <w:rFonts w:asciiTheme="majorBidi" w:hAnsiTheme="majorBidi" w:cstheme="majorBidi" w:hint="cs"/>
          <w:color w:val="000000"/>
          <w:sz w:val="24"/>
          <w:szCs w:val="24"/>
          <w:rtl/>
        </w:rPr>
        <w:t>(</w:t>
      </w:r>
      <w:r w:rsidRPr="00B656DC">
        <w:rPr>
          <w:rFonts w:asciiTheme="majorBidi" w:hAnsiTheme="majorBidi" w:cstheme="majorBidi"/>
          <w:color w:val="000000"/>
          <w:sz w:val="24"/>
          <w:szCs w:val="24"/>
        </w:rPr>
        <w:t>UTM</w:t>
      </w:r>
      <w:r>
        <w:rPr>
          <w:rFonts w:asciiTheme="majorBidi" w:hAnsiTheme="majorBidi" w:cstheme="majorBidi" w:hint="cs"/>
          <w:color w:val="000000"/>
          <w:sz w:val="24"/>
          <w:szCs w:val="24"/>
          <w:rtl/>
        </w:rPr>
        <w:t>)</w:t>
      </w:r>
      <w:r w:rsidRPr="00B656DC">
        <w:rPr>
          <w:rFonts w:ascii="Simplified Arabic" w:hAnsi="Simplified Arabic" w:cs="Simplified Arabic"/>
          <w:color w:val="000000"/>
          <w:sz w:val="24"/>
          <w:szCs w:val="24"/>
          <w:rtl/>
        </w:rPr>
        <w:t xml:space="preserve"> والوطنية</w:t>
      </w:r>
      <w:r>
        <w:rPr>
          <w:rFonts w:ascii="Simplified Arabic" w:hAnsi="Simplified Arabic" w:cs="Simplified Arabic" w:hint="cs"/>
          <w:color w:val="000000"/>
          <w:sz w:val="24"/>
          <w:szCs w:val="24"/>
          <w:rtl/>
        </w:rPr>
        <w:t xml:space="preserve"> (</w:t>
      </w:r>
      <w:r w:rsidRPr="00B656DC">
        <w:rPr>
          <w:rFonts w:asciiTheme="majorBidi" w:hAnsiTheme="majorBidi" w:cstheme="majorBidi"/>
          <w:color w:val="000000"/>
          <w:sz w:val="24"/>
          <w:szCs w:val="24"/>
        </w:rPr>
        <w:t>NTM</w:t>
      </w:r>
      <w:r>
        <w:rPr>
          <w:rFonts w:ascii="Simplified Arabic" w:hAnsi="Simplified Arabic" w:cs="Simplified Arabic" w:hint="cs"/>
          <w:color w:val="000000"/>
          <w:sz w:val="24"/>
          <w:szCs w:val="24"/>
          <w:rtl/>
        </w:rPr>
        <w:t>).</w:t>
      </w:r>
    </w:p>
    <w:p w:rsidR="000B42BD" w:rsidRPr="00B656DC" w:rsidRDefault="000B42BD" w:rsidP="000B42BD">
      <w:pPr>
        <w:tabs>
          <w:tab w:val="right" w:pos="282"/>
        </w:tabs>
        <w:autoSpaceDE w:val="0"/>
        <w:autoSpaceDN w:val="0"/>
        <w:bidi/>
        <w:adjustRightInd w:val="0"/>
        <w:spacing w:after="0"/>
        <w:jc w:val="both"/>
        <w:rPr>
          <w:rFonts w:ascii="Simplified Arabic" w:hAnsi="Simplified Arabic" w:cs="Simplified Arabic"/>
          <w:sz w:val="24"/>
          <w:szCs w:val="24"/>
          <w:rtl/>
        </w:rPr>
      </w:pPr>
      <w:r>
        <w:rPr>
          <w:rFonts w:ascii="Simplified Arabic" w:hAnsi="Simplified Arabic" w:cs="Simplified Arabic" w:hint="cs"/>
          <w:color w:val="000000"/>
          <w:sz w:val="24"/>
          <w:szCs w:val="24"/>
          <w:rtl/>
        </w:rPr>
        <w:t xml:space="preserve">- </w:t>
      </w:r>
      <w:r w:rsidRPr="00B656DC">
        <w:rPr>
          <w:rFonts w:ascii="Simplified Arabic" w:hAnsi="Simplified Arabic" w:cs="Simplified Arabic"/>
          <w:color w:val="000000"/>
          <w:sz w:val="24"/>
          <w:szCs w:val="24"/>
          <w:rtl/>
        </w:rPr>
        <w:t>تساعد</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على</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التحليل</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المكاني</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للبيانات</w:t>
      </w:r>
      <w:r w:rsidRPr="00B656DC">
        <w:rPr>
          <w:rFonts w:ascii="Simplified Arabic" w:hAnsi="Simplified Arabic" w:cs="Simplified Arabic"/>
          <w:color w:val="000000"/>
          <w:sz w:val="24"/>
          <w:szCs w:val="24"/>
        </w:rPr>
        <w:t xml:space="preserve"> </w:t>
      </w:r>
      <w:r w:rsidRPr="00B656DC">
        <w:rPr>
          <w:rFonts w:ascii="Simplified Arabic" w:hAnsi="Simplified Arabic" w:cs="Simplified Arabic"/>
          <w:color w:val="000000"/>
          <w:sz w:val="24"/>
          <w:szCs w:val="24"/>
          <w:rtl/>
        </w:rPr>
        <w:t>الخطية</w:t>
      </w:r>
      <w:r w:rsidRPr="00B656DC">
        <w:rPr>
          <w:rFonts w:ascii="Simplified Arabic" w:hAnsi="Simplified Arabic" w:cs="Simplified Arabic"/>
          <w:color w:val="000000"/>
          <w:sz w:val="24"/>
          <w:szCs w:val="24"/>
        </w:rPr>
        <w:t xml:space="preserve"> </w:t>
      </w:r>
      <w:r>
        <w:rPr>
          <w:rFonts w:ascii="Simplified Arabic" w:hAnsi="Simplified Arabic" w:cs="Simplified Arabic"/>
          <w:color w:val="000000"/>
          <w:sz w:val="24"/>
          <w:szCs w:val="24"/>
          <w:rtl/>
        </w:rPr>
        <w:t>والراستر</w:t>
      </w:r>
      <w:r>
        <w:rPr>
          <w:rFonts w:ascii="Simplified Arabic" w:hAnsi="Simplified Arabic" w:cs="Simplified Arabic" w:hint="cs"/>
          <w:color w:val="000000"/>
          <w:sz w:val="24"/>
          <w:szCs w:val="24"/>
          <w:rtl/>
        </w:rPr>
        <w:t>ية.</w:t>
      </w:r>
      <w:r w:rsidRPr="00B656DC">
        <w:rPr>
          <w:rFonts w:ascii="Simplified Arabic" w:hAnsi="Simplified Arabic" w:cs="Simplified Arabic"/>
          <w:color w:val="000000"/>
          <w:sz w:val="24"/>
          <w:szCs w:val="24"/>
        </w:rPr>
        <w:t xml:space="preserve"> </w:t>
      </w:r>
    </w:p>
    <w:p w:rsidR="000B42BD" w:rsidRPr="004830BA" w:rsidRDefault="000B42BD" w:rsidP="001D0548">
      <w:pPr>
        <w:pStyle w:val="Paragraphedeliste"/>
        <w:numPr>
          <w:ilvl w:val="0"/>
          <w:numId w:val="24"/>
        </w:numPr>
        <w:tabs>
          <w:tab w:val="right" w:pos="282"/>
        </w:tabs>
        <w:autoSpaceDE w:val="0"/>
        <w:autoSpaceDN w:val="0"/>
        <w:bidi/>
        <w:adjustRightInd w:val="0"/>
        <w:spacing w:after="0"/>
        <w:ind w:left="-1" w:firstLine="0"/>
        <w:jc w:val="both"/>
        <w:rPr>
          <w:rFonts w:ascii="Simplified Arabic" w:hAnsi="Simplified Arabic" w:cs="Simplified Arabic"/>
          <w:sz w:val="24"/>
          <w:szCs w:val="24"/>
          <w:rtl/>
        </w:rPr>
      </w:pPr>
      <w:r w:rsidRPr="004830BA">
        <w:rPr>
          <w:rFonts w:ascii="Simplified Arabic" w:hAnsi="Simplified Arabic" w:cs="Simplified Arabic"/>
          <w:b/>
          <w:bCs/>
          <w:sz w:val="24"/>
          <w:szCs w:val="24"/>
          <w:rtl/>
        </w:rPr>
        <w:t>البيانات</w:t>
      </w:r>
      <w:r w:rsidRPr="004830BA">
        <w:rPr>
          <w:rFonts w:ascii="Simplified Arabic" w:hAnsi="Simplified Arabic" w:cs="Simplified Arabic" w:hint="cs"/>
          <w:b/>
          <w:bCs/>
          <w:sz w:val="24"/>
          <w:szCs w:val="24"/>
          <w:rtl/>
        </w:rPr>
        <w:t xml:space="preserve"> </w:t>
      </w:r>
      <w:r w:rsidRPr="004830BA">
        <w:rPr>
          <w:rFonts w:asciiTheme="majorBidi" w:hAnsiTheme="majorBidi" w:cstheme="majorBidi"/>
          <w:b/>
          <w:bCs/>
          <w:sz w:val="20"/>
          <w:szCs w:val="20"/>
          <w:rtl/>
        </w:rPr>
        <w:t>(</w:t>
      </w:r>
      <w:r w:rsidRPr="004830BA">
        <w:rPr>
          <w:rFonts w:asciiTheme="majorBidi" w:hAnsiTheme="majorBidi" w:cstheme="majorBidi"/>
          <w:b/>
          <w:bCs/>
          <w:sz w:val="20"/>
          <w:szCs w:val="20"/>
        </w:rPr>
        <w:t>Data</w:t>
      </w:r>
      <w:r w:rsidRPr="004830BA">
        <w:rPr>
          <w:rFonts w:asciiTheme="majorBidi" w:hAnsiTheme="majorBidi" w:cstheme="majorBidi"/>
          <w:b/>
          <w:bCs/>
          <w:sz w:val="20"/>
          <w:szCs w:val="20"/>
          <w:rtl/>
        </w:rPr>
        <w:t>)</w:t>
      </w:r>
      <w:r w:rsidRPr="004830BA">
        <w:rPr>
          <w:rFonts w:ascii="Simplified Arabic" w:hAnsi="Simplified Arabic" w:cs="Simplified Arabic" w:hint="cs"/>
          <w:b/>
          <w:bCs/>
          <w:sz w:val="24"/>
          <w:szCs w:val="24"/>
          <w:rtl/>
        </w:rPr>
        <w:t xml:space="preserve">: </w:t>
      </w:r>
      <w:r w:rsidRPr="004830BA">
        <w:rPr>
          <w:rFonts w:ascii="Simplified Arabic" w:hAnsi="Simplified Arabic" w:cs="Simplified Arabic" w:hint="cs"/>
          <w:sz w:val="24"/>
          <w:szCs w:val="24"/>
          <w:rtl/>
        </w:rPr>
        <w:t>ت</w:t>
      </w:r>
      <w:r w:rsidRPr="004830BA">
        <w:rPr>
          <w:rFonts w:ascii="Simplified Arabic" w:hAnsi="Simplified Arabic" w:cs="Simplified Arabic"/>
          <w:sz w:val="24"/>
          <w:szCs w:val="24"/>
          <w:rtl/>
        </w:rPr>
        <w:t>حتل</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مكانة</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هامة</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داخل</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بيئة</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نظم</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المعلومات</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الجغرافية،</w:t>
      </w:r>
      <w:r w:rsidRPr="004830BA">
        <w:rPr>
          <w:rFonts w:ascii="Simplified Arabic" w:hAnsi="Simplified Arabic" w:cs="Simplified Arabic" w:hint="cs"/>
          <w:sz w:val="24"/>
          <w:szCs w:val="24"/>
          <w:rtl/>
        </w:rPr>
        <w:t xml:space="preserve"> </w:t>
      </w:r>
      <w:r w:rsidRPr="004830BA">
        <w:rPr>
          <w:rFonts w:ascii="Simplified Arabic" w:hAnsi="Simplified Arabic" w:cs="Simplified Arabic"/>
          <w:sz w:val="24"/>
          <w:szCs w:val="24"/>
          <w:rtl/>
        </w:rPr>
        <w:t>يمكن</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التمييز</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بين نوعين</w:t>
      </w:r>
      <w:r w:rsidRPr="004830BA">
        <w:rPr>
          <w:rFonts w:ascii="Simplified Arabic" w:hAnsi="Simplified Arabic" w:cs="Simplified Arabic" w:hint="cs"/>
          <w:sz w:val="24"/>
          <w:szCs w:val="24"/>
          <w:rtl/>
        </w:rPr>
        <w:t xml:space="preserve"> من البيانات: </w:t>
      </w:r>
    </w:p>
    <w:p w:rsidR="000B42BD" w:rsidRPr="004056D3" w:rsidRDefault="000B42BD" w:rsidP="001D0548">
      <w:pPr>
        <w:pStyle w:val="Paragraphedeliste"/>
        <w:numPr>
          <w:ilvl w:val="0"/>
          <w:numId w:val="22"/>
        </w:numPr>
        <w:autoSpaceDE w:val="0"/>
        <w:autoSpaceDN w:val="0"/>
        <w:bidi/>
        <w:adjustRightInd w:val="0"/>
        <w:spacing w:after="0"/>
        <w:ind w:left="282" w:firstLine="0"/>
        <w:jc w:val="both"/>
        <w:rPr>
          <w:rFonts w:ascii="Simplified Arabic" w:hAnsi="Simplified Arabic" w:cs="Simplified Arabic"/>
        </w:rPr>
      </w:pPr>
      <w:r>
        <w:rPr>
          <w:rFonts w:ascii="Simplified Arabic" w:hAnsi="Simplified Arabic" w:cs="Simplified Arabic" w:hint="cs"/>
          <w:b/>
          <w:bCs/>
          <w:sz w:val="24"/>
          <w:szCs w:val="24"/>
          <w:rtl/>
        </w:rPr>
        <w:t xml:space="preserve"> </w:t>
      </w:r>
      <w:r w:rsidRPr="00533DA0">
        <w:rPr>
          <w:rFonts w:ascii="Simplified Arabic" w:hAnsi="Simplified Arabic" w:cs="Simplified Arabic"/>
          <w:b/>
          <w:bCs/>
          <w:sz w:val="24"/>
          <w:szCs w:val="24"/>
          <w:rtl/>
        </w:rPr>
        <w:t>البيانات</w:t>
      </w:r>
      <w:r w:rsidRPr="00533DA0">
        <w:rPr>
          <w:rFonts w:ascii="Simplified Arabic" w:hAnsi="Simplified Arabic" w:cs="Simplified Arabic"/>
          <w:b/>
          <w:bCs/>
          <w:sz w:val="24"/>
          <w:szCs w:val="24"/>
        </w:rPr>
        <w:t xml:space="preserve"> </w:t>
      </w:r>
      <w:r w:rsidRPr="00533DA0">
        <w:rPr>
          <w:rFonts w:ascii="Simplified Arabic" w:hAnsi="Simplified Arabic" w:cs="Simplified Arabic"/>
          <w:b/>
          <w:bCs/>
          <w:sz w:val="24"/>
          <w:szCs w:val="24"/>
          <w:rtl/>
        </w:rPr>
        <w:t>المكانية</w:t>
      </w:r>
      <w:r w:rsidRPr="00533DA0">
        <w:rPr>
          <w:rFonts w:ascii="Simplified Arabic" w:hAnsi="Simplified Arabic" w:cs="Simplified Arabic" w:hint="cs"/>
          <w:b/>
          <w:bCs/>
          <w:sz w:val="24"/>
          <w:szCs w:val="24"/>
          <w:rtl/>
        </w:rPr>
        <w:t xml:space="preserve"> </w:t>
      </w:r>
      <w:r w:rsidRPr="00200CB8">
        <w:rPr>
          <w:rFonts w:asciiTheme="majorBidi" w:hAnsiTheme="majorBidi" w:cstheme="majorBidi"/>
          <w:b/>
          <w:bCs/>
          <w:sz w:val="20"/>
          <w:szCs w:val="20"/>
          <w:rtl/>
        </w:rPr>
        <w:t>(</w:t>
      </w:r>
      <w:r w:rsidRPr="00200CB8">
        <w:rPr>
          <w:rFonts w:asciiTheme="majorBidi" w:hAnsiTheme="majorBidi" w:cstheme="majorBidi"/>
          <w:b/>
          <w:bCs/>
          <w:sz w:val="20"/>
          <w:szCs w:val="20"/>
        </w:rPr>
        <w:t>Spatial Data</w:t>
      </w:r>
      <w:r w:rsidRPr="00200CB8">
        <w:rPr>
          <w:rFonts w:asciiTheme="majorBidi" w:hAnsiTheme="majorBidi" w:cstheme="majorBidi"/>
          <w:b/>
          <w:bCs/>
          <w:sz w:val="20"/>
          <w:szCs w:val="20"/>
          <w:rtl/>
        </w:rPr>
        <w:t>)</w:t>
      </w:r>
      <w:r>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تنقسم</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إلى</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قسمين</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أساسيين</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هما</w:t>
      </w:r>
      <w:r w:rsidRPr="00533DA0">
        <w:rPr>
          <w:rFonts w:ascii="Simplified Arabic" w:hAnsi="Simplified Arabic" w:cs="Simplified Arabic"/>
          <w:sz w:val="24"/>
          <w:szCs w:val="24"/>
        </w:rPr>
        <w:t>:</w:t>
      </w:r>
      <w:r w:rsidRPr="00533DA0">
        <w:rPr>
          <w:rFonts w:ascii="Simplified Arabic" w:hAnsi="Simplified Arabic" w:cs="Simplified Arabic" w:hint="cs"/>
          <w:sz w:val="24"/>
          <w:szCs w:val="24"/>
          <w:rtl/>
        </w:rPr>
        <w:t xml:space="preserve"> ب</w:t>
      </w:r>
      <w:r w:rsidRPr="00533DA0">
        <w:rPr>
          <w:rFonts w:ascii="Simplified Arabic" w:hAnsi="Simplified Arabic" w:cs="Simplified Arabic"/>
          <w:sz w:val="24"/>
          <w:szCs w:val="24"/>
          <w:rtl/>
        </w:rPr>
        <w:t>يانات</w:t>
      </w:r>
      <w:r w:rsidRPr="00533DA0">
        <w:rPr>
          <w:rFonts w:ascii="Simplified Arabic" w:hAnsi="Simplified Arabic" w:cs="Simplified Arabic"/>
          <w:sz w:val="24"/>
          <w:szCs w:val="24"/>
        </w:rPr>
        <w:t xml:space="preserve"> </w:t>
      </w:r>
      <w:r w:rsidRPr="00533DA0">
        <w:rPr>
          <w:rFonts w:ascii="Simplified Arabic" w:hAnsi="Simplified Arabic" w:cs="Simplified Arabic" w:hint="cs"/>
          <w:sz w:val="24"/>
          <w:szCs w:val="24"/>
          <w:rtl/>
        </w:rPr>
        <w:t>(</w:t>
      </w:r>
      <w:r w:rsidRPr="00533DA0">
        <w:rPr>
          <w:rFonts w:asciiTheme="majorBidi" w:hAnsiTheme="majorBidi" w:cstheme="majorBidi"/>
          <w:sz w:val="24"/>
          <w:szCs w:val="24"/>
        </w:rPr>
        <w:t>Vector</w:t>
      </w:r>
      <w:r w:rsidRPr="00533DA0">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وبيانات</w:t>
      </w:r>
      <w:r w:rsidRPr="00533DA0">
        <w:rPr>
          <w:rFonts w:ascii="Simplified Arabic" w:hAnsi="Simplified Arabic" w:cs="Simplified Arabic" w:hint="cs"/>
          <w:sz w:val="24"/>
          <w:szCs w:val="24"/>
          <w:rtl/>
        </w:rPr>
        <w:t xml:space="preserve"> (</w:t>
      </w:r>
      <w:r w:rsidRPr="00533DA0">
        <w:rPr>
          <w:rFonts w:asciiTheme="majorBidi" w:hAnsiTheme="majorBidi" w:cstheme="majorBidi"/>
          <w:sz w:val="24"/>
          <w:szCs w:val="24"/>
        </w:rPr>
        <w:t>Raster</w:t>
      </w:r>
      <w:r w:rsidRPr="00533DA0">
        <w:rPr>
          <w:rFonts w:ascii="Simplified Arabic" w:hAnsi="Simplified Arabic" w:cs="Simplified Arabic" w:hint="cs"/>
          <w:sz w:val="24"/>
          <w:szCs w:val="24"/>
          <w:rtl/>
        </w:rPr>
        <w:t>)</w:t>
      </w:r>
      <w:r w:rsidRPr="00533DA0">
        <w:rPr>
          <w:rFonts w:ascii="Simplified Arabic" w:hAnsi="Simplified Arabic" w:cs="Simplified Arabic"/>
          <w:sz w:val="24"/>
          <w:szCs w:val="24"/>
        </w:rPr>
        <w:t>.</w:t>
      </w:r>
      <w:r w:rsidRPr="00533DA0">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بالنسبة</w:t>
      </w:r>
      <w:r w:rsidRPr="00533DA0">
        <w:rPr>
          <w:rFonts w:ascii="Simplified Arabic" w:hAnsi="Simplified Arabic" w:cs="Simplified Arabic"/>
          <w:sz w:val="24"/>
          <w:szCs w:val="24"/>
        </w:rPr>
        <w:t xml:space="preserve"> </w:t>
      </w:r>
      <w:r>
        <w:rPr>
          <w:rFonts w:ascii="Simplified Arabic" w:hAnsi="Simplified Arabic" w:cs="Simplified Arabic" w:hint="cs"/>
          <w:sz w:val="24"/>
          <w:szCs w:val="24"/>
          <w:rtl/>
        </w:rPr>
        <w:t>ل</w:t>
      </w:r>
      <w:r w:rsidRPr="00533DA0">
        <w:rPr>
          <w:rFonts w:ascii="Simplified Arabic" w:hAnsi="Simplified Arabic" w:cs="Simplified Arabic" w:hint="cs"/>
          <w:sz w:val="24"/>
          <w:szCs w:val="24"/>
          <w:rtl/>
        </w:rPr>
        <w:t>ب</w:t>
      </w:r>
      <w:r w:rsidRPr="00533DA0">
        <w:rPr>
          <w:rFonts w:ascii="Simplified Arabic" w:hAnsi="Simplified Arabic" w:cs="Simplified Arabic"/>
          <w:sz w:val="24"/>
          <w:szCs w:val="24"/>
          <w:rtl/>
        </w:rPr>
        <w:t>يانات</w:t>
      </w:r>
      <w:r>
        <w:rPr>
          <w:rFonts w:ascii="Simplified Arabic" w:hAnsi="Simplified Arabic" w:cs="Simplified Arabic" w:hint="cs"/>
          <w:sz w:val="24"/>
          <w:szCs w:val="24"/>
          <w:rtl/>
        </w:rPr>
        <w:t xml:space="preserve"> </w:t>
      </w:r>
      <w:r w:rsidRPr="004056D3">
        <w:rPr>
          <w:rFonts w:asciiTheme="majorBidi" w:hAnsiTheme="majorBidi" w:cstheme="majorBidi"/>
          <w:sz w:val="24"/>
          <w:szCs w:val="24"/>
          <w:rtl/>
        </w:rPr>
        <w:t>(</w:t>
      </w:r>
      <w:r w:rsidRPr="004056D3">
        <w:rPr>
          <w:rFonts w:asciiTheme="majorBidi" w:hAnsiTheme="majorBidi" w:cstheme="majorBidi"/>
          <w:sz w:val="24"/>
          <w:szCs w:val="24"/>
        </w:rPr>
        <w:t>Vector</w:t>
      </w:r>
      <w:r w:rsidRPr="004056D3">
        <w:rPr>
          <w:rFonts w:asciiTheme="majorBidi" w:hAnsiTheme="majorBidi" w:cstheme="majorBidi"/>
          <w:sz w:val="24"/>
          <w:szCs w:val="24"/>
          <w:rtl/>
        </w:rPr>
        <w:t>)</w:t>
      </w:r>
      <w:r w:rsidRPr="00533DA0">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فيمكن</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تمثيلها</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بثلاثة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طرق</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هي</w:t>
      </w:r>
      <w:r w:rsidRPr="00533DA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التمثيل </w:t>
      </w:r>
      <w:r w:rsidRPr="00533DA0">
        <w:rPr>
          <w:rFonts w:ascii="Simplified Arabic" w:hAnsi="Simplified Arabic" w:cs="Simplified Arabic"/>
          <w:sz w:val="24"/>
          <w:szCs w:val="24"/>
          <w:rtl/>
        </w:rPr>
        <w:t>النقط</w:t>
      </w:r>
      <w:r>
        <w:rPr>
          <w:rFonts w:ascii="Simplified Arabic" w:hAnsi="Simplified Arabic" w:cs="Simplified Arabic" w:hint="cs"/>
          <w:sz w:val="24"/>
          <w:szCs w:val="24"/>
          <w:rtl/>
        </w:rPr>
        <w:t xml:space="preserve">ي، التمثيل </w:t>
      </w:r>
      <w:r w:rsidRPr="00533DA0">
        <w:rPr>
          <w:rFonts w:ascii="Simplified Arabic" w:hAnsi="Simplified Arabic" w:cs="Simplified Arabic"/>
          <w:sz w:val="24"/>
          <w:szCs w:val="24"/>
          <w:rtl/>
        </w:rPr>
        <w:t>الخط</w:t>
      </w:r>
      <w:r>
        <w:rPr>
          <w:rFonts w:ascii="Simplified Arabic" w:hAnsi="Simplified Arabic" w:cs="Simplified Arabic" w:hint="cs"/>
          <w:sz w:val="24"/>
          <w:szCs w:val="24"/>
          <w:rtl/>
        </w:rPr>
        <w:t xml:space="preserve">ي والتمثيل على شكل </w:t>
      </w:r>
      <w:r w:rsidRPr="00533DA0">
        <w:rPr>
          <w:rFonts w:ascii="Simplified Arabic" w:hAnsi="Simplified Arabic" w:cs="Simplified Arabic"/>
          <w:sz w:val="24"/>
          <w:szCs w:val="24"/>
          <w:rtl/>
        </w:rPr>
        <w:t>مضلع</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ف</w:t>
      </w:r>
      <w:r w:rsidRPr="00533DA0">
        <w:rPr>
          <w:rFonts w:ascii="Simplified Arabic" w:hAnsi="Simplified Arabic" w:cs="Simplified Arabic" w:hint="cs"/>
          <w:sz w:val="24"/>
          <w:szCs w:val="24"/>
          <w:rtl/>
        </w:rPr>
        <w:t>ي</w:t>
      </w:r>
      <w:r w:rsidRPr="00533DA0">
        <w:rPr>
          <w:rFonts w:ascii="Simplified Arabic" w:hAnsi="Simplified Arabic" w:cs="Simplified Arabic"/>
          <w:sz w:val="24"/>
          <w:szCs w:val="24"/>
          <w:rtl/>
        </w:rPr>
        <w:t>ستعمل في</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تمثيل</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كل</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ما</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هو</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مساحي</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كالأحياء</w:t>
      </w:r>
      <w:r w:rsidRPr="00533DA0">
        <w:rPr>
          <w:rFonts w:ascii="Simplified Arabic" w:hAnsi="Simplified Arabic" w:cs="Simplified Arabic"/>
          <w:sz w:val="24"/>
          <w:szCs w:val="24"/>
        </w:rPr>
        <w:t xml:space="preserve"> </w:t>
      </w:r>
      <w:r>
        <w:rPr>
          <w:rFonts w:ascii="Simplified Arabic" w:hAnsi="Simplified Arabic" w:cs="Simplified Arabic"/>
          <w:sz w:val="24"/>
          <w:szCs w:val="24"/>
          <w:rtl/>
        </w:rPr>
        <w:t>السكنية</w:t>
      </w:r>
      <w:r>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و</w:t>
      </w:r>
      <w:r w:rsidR="00E8765E">
        <w:rPr>
          <w:rFonts w:ascii="Simplified Arabic" w:hAnsi="Simplified Arabic" w:cs="Simplified Arabic" w:hint="cs"/>
          <w:sz w:val="24"/>
          <w:szCs w:val="24"/>
          <w:rtl/>
        </w:rPr>
        <w:t>استعمال</w:t>
      </w:r>
      <w:r w:rsidRPr="00533DA0">
        <w:rPr>
          <w:rFonts w:ascii="Simplified Arabic" w:hAnsi="Simplified Arabic" w:cs="Simplified Arabic"/>
          <w:sz w:val="24"/>
          <w:szCs w:val="24"/>
          <w:rtl/>
        </w:rPr>
        <w:t>ات</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الأراضي</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وغيرها</w:t>
      </w:r>
      <w:r w:rsidRPr="00533DA0">
        <w:rPr>
          <w:rFonts w:ascii="Simplified Arabic" w:hAnsi="Simplified Arabic" w:cs="Simplified Arabic"/>
          <w:sz w:val="24"/>
          <w:szCs w:val="24"/>
        </w:rPr>
        <w:t>.</w:t>
      </w:r>
      <w:r w:rsidRPr="00533DA0">
        <w:rPr>
          <w:rFonts w:ascii="Simplified Arabic" w:hAnsi="Simplified Arabic" w:cs="Simplified Arabic"/>
          <w:sz w:val="24"/>
          <w:szCs w:val="24"/>
          <w:rtl/>
        </w:rPr>
        <w:t xml:space="preserve"> أما</w:t>
      </w:r>
      <w:r>
        <w:rPr>
          <w:rFonts w:ascii="Simplified Arabic" w:hAnsi="Simplified Arabic" w:cs="Simplified Arabic" w:hint="cs"/>
          <w:sz w:val="24"/>
          <w:szCs w:val="24"/>
          <w:rtl/>
        </w:rPr>
        <w:t xml:space="preserve"> بالنسبة ل</w:t>
      </w:r>
      <w:r w:rsidRPr="00533DA0">
        <w:rPr>
          <w:rFonts w:ascii="Simplified Arabic" w:hAnsi="Simplified Arabic" w:cs="Simplified Arabic"/>
          <w:sz w:val="24"/>
          <w:szCs w:val="24"/>
          <w:rtl/>
        </w:rPr>
        <w:t>بيانات</w:t>
      </w:r>
      <w:r>
        <w:rPr>
          <w:rFonts w:ascii="Simplified Arabic" w:hAnsi="Simplified Arabic" w:cs="Simplified Arabic" w:hint="cs"/>
          <w:sz w:val="24"/>
          <w:szCs w:val="24"/>
          <w:rtl/>
        </w:rPr>
        <w:t xml:space="preserve"> </w:t>
      </w:r>
      <w:r w:rsidRPr="00533DA0">
        <w:rPr>
          <w:rFonts w:ascii="Simplified Arabic" w:hAnsi="Simplified Arabic" w:cs="Simplified Arabic" w:hint="cs"/>
          <w:sz w:val="24"/>
          <w:szCs w:val="24"/>
          <w:rtl/>
        </w:rPr>
        <w:t>(</w:t>
      </w:r>
      <w:r w:rsidRPr="00533DA0">
        <w:rPr>
          <w:rFonts w:asciiTheme="majorBidi" w:hAnsiTheme="majorBidi" w:cstheme="majorBidi"/>
          <w:sz w:val="24"/>
          <w:szCs w:val="24"/>
        </w:rPr>
        <w:t>Raster</w:t>
      </w:r>
      <w:r w:rsidRPr="00533DA0">
        <w:rPr>
          <w:rFonts w:ascii="Simplified Arabic" w:hAnsi="Simplified Arabic" w:cs="Simplified Arabic" w:hint="cs"/>
          <w:sz w:val="24"/>
          <w:szCs w:val="24"/>
          <w:rtl/>
        </w:rPr>
        <w:t>)</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فهي</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عبارة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عن</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بيانات</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شبكية</w:t>
      </w:r>
      <w:r>
        <w:rPr>
          <w:rFonts w:ascii="Simplified Arabic" w:hAnsi="Simplified Arabic" w:cs="Simplified Arabic" w:hint="cs"/>
          <w:sz w:val="24"/>
          <w:szCs w:val="24"/>
          <w:rtl/>
        </w:rPr>
        <w:t xml:space="preserve"> </w:t>
      </w:r>
      <w:r w:rsidRPr="004056D3">
        <w:rPr>
          <w:rFonts w:ascii="Simplified Arabic" w:hAnsi="Simplified Arabic" w:cs="Simplified Arabic" w:hint="cs"/>
          <w:sz w:val="24"/>
          <w:szCs w:val="24"/>
          <w:rtl/>
        </w:rPr>
        <w:t>مكونة</w:t>
      </w:r>
      <w:r w:rsidRPr="004056D3">
        <w:rPr>
          <w:rFonts w:ascii="Simplified Arabic" w:hAnsi="Simplified Arabic" w:cs="Simplified Arabic"/>
          <w:sz w:val="24"/>
          <w:szCs w:val="24"/>
        </w:rPr>
        <w:t xml:space="preserve"> </w:t>
      </w:r>
      <w:r w:rsidRPr="004056D3">
        <w:rPr>
          <w:rFonts w:ascii="Simplified Arabic" w:hAnsi="Simplified Arabic" w:cs="Simplified Arabic" w:hint="cs"/>
          <w:sz w:val="24"/>
          <w:szCs w:val="24"/>
          <w:rtl/>
        </w:rPr>
        <w:t>من</w:t>
      </w:r>
      <w:r w:rsidRPr="004056D3">
        <w:rPr>
          <w:rFonts w:ascii="Simplified Arabic" w:hAnsi="Simplified Arabic" w:cs="Simplified Arabic"/>
          <w:sz w:val="24"/>
          <w:szCs w:val="24"/>
        </w:rPr>
        <w:t xml:space="preserve"> </w:t>
      </w:r>
      <w:r w:rsidRPr="004056D3">
        <w:rPr>
          <w:rFonts w:ascii="Simplified Arabic" w:hAnsi="Simplified Arabic" w:cs="Simplified Arabic" w:hint="cs"/>
          <w:sz w:val="24"/>
          <w:szCs w:val="24"/>
          <w:rtl/>
        </w:rPr>
        <w:t>وحدات</w:t>
      </w:r>
      <w:r w:rsidRPr="004056D3">
        <w:rPr>
          <w:rFonts w:ascii="Simplified Arabic" w:hAnsi="Simplified Arabic" w:cs="Simplified Arabic"/>
          <w:sz w:val="24"/>
          <w:szCs w:val="24"/>
        </w:rPr>
        <w:t xml:space="preserve"> </w:t>
      </w:r>
      <w:r w:rsidRPr="004056D3">
        <w:rPr>
          <w:rFonts w:ascii="Simplified Arabic" w:hAnsi="Simplified Arabic" w:cs="Simplified Arabic" w:hint="cs"/>
          <w:sz w:val="24"/>
          <w:szCs w:val="24"/>
          <w:rtl/>
        </w:rPr>
        <w:t>صورية</w:t>
      </w:r>
      <w:r w:rsidRPr="004056D3">
        <w:rPr>
          <w:rFonts w:ascii="Simplified Arabic" w:hAnsi="Simplified Arabic" w:cs="Simplified Arabic"/>
          <w:sz w:val="24"/>
          <w:szCs w:val="24"/>
        </w:rPr>
        <w:t xml:space="preserve"> </w:t>
      </w:r>
      <w:r w:rsidRPr="004056D3">
        <w:rPr>
          <w:rFonts w:ascii="Simplified Arabic" w:hAnsi="Simplified Arabic" w:cs="Simplified Arabic" w:hint="cs"/>
          <w:sz w:val="24"/>
          <w:szCs w:val="24"/>
          <w:rtl/>
        </w:rPr>
        <w:t>تدعى</w:t>
      </w:r>
      <w:r w:rsidRPr="004056D3">
        <w:rPr>
          <w:rFonts w:ascii="Simplified Arabic" w:hAnsi="Simplified Arabic" w:cs="Simplified Arabic"/>
          <w:sz w:val="24"/>
          <w:szCs w:val="24"/>
        </w:rPr>
        <w:t xml:space="preserve"> </w:t>
      </w:r>
      <w:r w:rsidRPr="004056D3">
        <w:rPr>
          <w:rFonts w:ascii="Simplified Arabic" w:hAnsi="Simplified Arabic" w:cs="Simplified Arabic" w:hint="cs"/>
          <w:sz w:val="24"/>
          <w:szCs w:val="24"/>
          <w:rtl/>
        </w:rPr>
        <w:t>البيكسل</w:t>
      </w:r>
      <w:r>
        <w:rPr>
          <w:rFonts w:ascii="Simplified Arabic" w:hAnsi="Simplified Arabic" w:cs="Simplified Arabic" w:hint="cs"/>
          <w:sz w:val="24"/>
          <w:szCs w:val="24"/>
          <w:rtl/>
        </w:rPr>
        <w:t xml:space="preserve"> </w:t>
      </w:r>
      <w:r w:rsidRPr="004056D3">
        <w:rPr>
          <w:rFonts w:asciiTheme="majorBidi" w:hAnsiTheme="majorBidi" w:cstheme="majorBidi" w:hint="cs"/>
          <w:sz w:val="24"/>
          <w:szCs w:val="24"/>
          <w:rtl/>
        </w:rPr>
        <w:t>(</w:t>
      </w:r>
      <w:r w:rsidRPr="004056D3">
        <w:rPr>
          <w:rFonts w:asciiTheme="majorBidi" w:hAnsiTheme="majorBidi" w:cstheme="majorBidi"/>
          <w:sz w:val="24"/>
          <w:szCs w:val="24"/>
        </w:rPr>
        <w:t>Pixels</w:t>
      </w:r>
      <w:r w:rsidRPr="004056D3">
        <w:rPr>
          <w:rFonts w:asciiTheme="majorBidi" w:hAnsiTheme="majorBidi" w:cstheme="majorBidi" w:hint="cs"/>
          <w:sz w:val="24"/>
          <w:szCs w:val="24"/>
          <w:rtl/>
        </w:rPr>
        <w:t xml:space="preserve">) </w:t>
      </w:r>
      <w:r>
        <w:rPr>
          <w:rFonts w:asciiTheme="majorBidi" w:hAnsiTheme="majorBidi" w:cstheme="majorBidi" w:hint="cs"/>
          <w:sz w:val="24"/>
          <w:szCs w:val="24"/>
          <w:rtl/>
        </w:rPr>
        <w:t xml:space="preserve">تعتمد هذه الوحدات على </w:t>
      </w:r>
      <w:r w:rsidRPr="00533DA0">
        <w:rPr>
          <w:rFonts w:ascii="Simplified Arabic" w:hAnsi="Simplified Arabic" w:cs="Simplified Arabic"/>
          <w:sz w:val="24"/>
          <w:szCs w:val="24"/>
          <w:rtl/>
        </w:rPr>
        <w:t>الخرائط</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الطبوغرافية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الممسوحة ضوئيا</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أو</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المرئيات</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الفضائية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أو</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الصور</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الجوية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أو</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نماذج</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الارتفاعات</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الرقمي</w:t>
      </w:r>
      <w:r>
        <w:rPr>
          <w:rFonts w:ascii="Simplified Arabic" w:hAnsi="Simplified Arabic" w:cs="Simplified Arabic" w:hint="cs"/>
          <w:sz w:val="24"/>
          <w:szCs w:val="24"/>
          <w:rtl/>
        </w:rPr>
        <w:t>ة.</w:t>
      </w:r>
    </w:p>
    <w:p w:rsidR="000B42BD" w:rsidRPr="00533DA0" w:rsidRDefault="000B42BD" w:rsidP="001D0548">
      <w:pPr>
        <w:pStyle w:val="Paragraphedeliste"/>
        <w:numPr>
          <w:ilvl w:val="0"/>
          <w:numId w:val="22"/>
        </w:numPr>
        <w:autoSpaceDE w:val="0"/>
        <w:autoSpaceDN w:val="0"/>
        <w:bidi/>
        <w:adjustRightInd w:val="0"/>
        <w:spacing w:after="0"/>
        <w:ind w:left="282" w:firstLine="0"/>
        <w:jc w:val="both"/>
        <w:rPr>
          <w:rFonts w:ascii="Simplified Arabic" w:hAnsi="Simplified Arabic" w:cs="Simplified Arabic"/>
          <w:rtl/>
        </w:rPr>
      </w:pPr>
      <w:r w:rsidRPr="00533DA0">
        <w:rPr>
          <w:rFonts w:ascii="Simplified Arabic" w:hAnsi="Simplified Arabic" w:cs="Simplified Arabic"/>
          <w:sz w:val="24"/>
          <w:szCs w:val="24"/>
        </w:rPr>
        <w:t xml:space="preserve"> </w:t>
      </w:r>
      <w:r w:rsidRPr="00533DA0">
        <w:rPr>
          <w:rFonts w:ascii="Simplified Arabic" w:hAnsi="Simplified Arabic" w:cs="Simplified Arabic"/>
          <w:b/>
          <w:bCs/>
          <w:sz w:val="24"/>
          <w:szCs w:val="24"/>
          <w:rtl/>
        </w:rPr>
        <w:t>البيانات</w:t>
      </w:r>
      <w:r w:rsidRPr="00533DA0">
        <w:rPr>
          <w:rFonts w:ascii="Simplified Arabic" w:hAnsi="Simplified Arabic" w:cs="Simplified Arabic"/>
          <w:b/>
          <w:bCs/>
          <w:sz w:val="24"/>
          <w:szCs w:val="24"/>
        </w:rPr>
        <w:t xml:space="preserve"> </w:t>
      </w:r>
      <w:r w:rsidRPr="00533DA0">
        <w:rPr>
          <w:rFonts w:ascii="Simplified Arabic" w:hAnsi="Simplified Arabic" w:cs="Simplified Arabic"/>
          <w:b/>
          <w:bCs/>
          <w:sz w:val="24"/>
          <w:szCs w:val="24"/>
          <w:rtl/>
        </w:rPr>
        <w:t>الوصفية</w:t>
      </w:r>
      <w:r w:rsidRPr="00533DA0">
        <w:rPr>
          <w:rFonts w:ascii="Simplified Arabic" w:hAnsi="Simplified Arabic" w:cs="Simplified Arabic" w:hint="cs"/>
          <w:b/>
          <w:bCs/>
          <w:sz w:val="24"/>
          <w:szCs w:val="24"/>
          <w:rtl/>
        </w:rPr>
        <w:t xml:space="preserve"> </w:t>
      </w:r>
      <w:r w:rsidRPr="00200CB8">
        <w:rPr>
          <w:rFonts w:asciiTheme="majorBidi" w:hAnsiTheme="majorBidi" w:cstheme="majorBidi" w:hint="cs"/>
          <w:b/>
          <w:bCs/>
          <w:sz w:val="20"/>
          <w:szCs w:val="20"/>
          <w:rtl/>
        </w:rPr>
        <w:t>(</w:t>
      </w:r>
      <w:r w:rsidRPr="00200CB8">
        <w:rPr>
          <w:rFonts w:asciiTheme="majorBidi" w:hAnsiTheme="majorBidi" w:cstheme="majorBidi"/>
          <w:b/>
          <w:bCs/>
          <w:sz w:val="20"/>
          <w:szCs w:val="20"/>
          <w:lang w:val="en-US"/>
        </w:rPr>
        <w:t>Attributes</w:t>
      </w:r>
      <w:r w:rsidRPr="00200CB8">
        <w:rPr>
          <w:rFonts w:asciiTheme="majorBidi" w:hAnsiTheme="majorBidi" w:cstheme="majorBidi"/>
          <w:b/>
          <w:bCs/>
          <w:sz w:val="20"/>
          <w:szCs w:val="20"/>
        </w:rPr>
        <w:t xml:space="preserve"> Data</w:t>
      </w:r>
      <w:r w:rsidRPr="00200CB8">
        <w:rPr>
          <w:rFonts w:asciiTheme="majorBidi" w:hAnsiTheme="majorBidi" w:cstheme="majorBidi" w:hint="cs"/>
          <w:b/>
          <w:bCs/>
          <w:sz w:val="20"/>
          <w:szCs w:val="20"/>
          <w:rtl/>
        </w:rPr>
        <w:t>)</w:t>
      </w:r>
      <w:r>
        <w:rPr>
          <w:rFonts w:ascii="Simplified Arabic" w:hAnsi="Simplified Arabic" w:cs="Simplified Arabic" w:hint="cs"/>
          <w:sz w:val="24"/>
          <w:szCs w:val="24"/>
          <w:rtl/>
        </w:rPr>
        <w:t>: تشمل</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بيانات</w:t>
      </w:r>
      <w:r w:rsidRPr="00533DA0">
        <w:rPr>
          <w:rFonts w:ascii="Simplified Arabic" w:hAnsi="Simplified Arabic" w:cs="Simplified Arabic"/>
          <w:sz w:val="24"/>
          <w:szCs w:val="24"/>
        </w:rPr>
        <w:t xml:space="preserve"> </w:t>
      </w:r>
      <w:r w:rsidRPr="00533DA0">
        <w:rPr>
          <w:rFonts w:ascii="Simplified Arabic" w:hAnsi="Simplified Arabic" w:cs="Simplified Arabic" w:hint="cs"/>
          <w:sz w:val="24"/>
          <w:szCs w:val="24"/>
          <w:rtl/>
        </w:rPr>
        <w:t xml:space="preserve">غير كمية </w:t>
      </w:r>
      <w:r w:rsidRPr="00533DA0">
        <w:rPr>
          <w:rFonts w:ascii="Simplified Arabic" w:hAnsi="Simplified Arabic" w:cs="Simplified Arabic"/>
          <w:sz w:val="24"/>
          <w:szCs w:val="24"/>
          <w:rtl/>
        </w:rPr>
        <w:t>تصف</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الظواهر</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الجغرافية،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وتبرز</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خصائصها</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من حيث</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اسمها</w:t>
      </w:r>
      <w:r>
        <w:rPr>
          <w:rFonts w:ascii="Simplified Arabic" w:hAnsi="Simplified Arabic" w:cs="Simplified Arabic" w:hint="cs"/>
          <w:sz w:val="24"/>
          <w:szCs w:val="24"/>
          <w:rtl/>
        </w:rPr>
        <w:t>،</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نوعها</w:t>
      </w:r>
      <w:r w:rsidRPr="00533DA0">
        <w:rPr>
          <w:rFonts w:ascii="Simplified Arabic" w:hAnsi="Simplified Arabic" w:cs="Simplified Arabic"/>
          <w:sz w:val="24"/>
          <w:szCs w:val="24"/>
        </w:rPr>
        <w:t xml:space="preserve"> </w:t>
      </w:r>
      <w:r>
        <w:rPr>
          <w:rFonts w:ascii="Simplified Arabic" w:hAnsi="Simplified Arabic" w:cs="Simplified Arabic" w:hint="cs"/>
          <w:sz w:val="24"/>
          <w:szCs w:val="24"/>
          <w:rtl/>
        </w:rPr>
        <w:t>و</w:t>
      </w:r>
      <w:r w:rsidRPr="00533DA0">
        <w:rPr>
          <w:rFonts w:ascii="Simplified Arabic" w:hAnsi="Simplified Arabic" w:cs="Simplified Arabic"/>
          <w:sz w:val="24"/>
          <w:szCs w:val="24"/>
          <w:rtl/>
        </w:rPr>
        <w:t>حجمها</w:t>
      </w:r>
      <w:r w:rsidRPr="00533DA0">
        <w:rPr>
          <w:rFonts w:ascii="Simplified Arabic" w:hAnsi="Simplified Arabic" w:cs="Simplified Arabic"/>
          <w:sz w:val="24"/>
          <w:szCs w:val="24"/>
        </w:rPr>
        <w:t>...</w:t>
      </w:r>
      <w:r w:rsidRPr="00533DA0">
        <w:rPr>
          <w:rFonts w:ascii="Simplified Arabic" w:hAnsi="Simplified Arabic" w:cs="Simplified Arabic"/>
          <w:sz w:val="24"/>
          <w:szCs w:val="24"/>
          <w:rtl/>
        </w:rPr>
        <w:t>الخ</w:t>
      </w:r>
      <w:r>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هذه</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البيانات</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مهمة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للغاية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وضرورية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جدا</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لأن</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معظم</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التحليلات</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التي يتم</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إجراؤها</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تعتمد</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عليها،</w:t>
      </w:r>
      <w:r w:rsidRPr="00533DA0">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ويتم</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الاستفادة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منها</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بشكل</w:t>
      </w:r>
      <w:r w:rsidRPr="00533DA0">
        <w:rPr>
          <w:rFonts w:ascii="Simplified Arabic" w:hAnsi="Simplified Arabic" w:cs="Simplified Arabic" w:hint="cs"/>
          <w:sz w:val="24"/>
          <w:szCs w:val="24"/>
          <w:rtl/>
        </w:rPr>
        <w:t xml:space="preserve"> </w:t>
      </w:r>
      <w:r w:rsidRPr="00533DA0">
        <w:rPr>
          <w:rFonts w:ascii="Simplified Arabic" w:hAnsi="Simplified Arabic" w:cs="Simplified Arabic"/>
          <w:sz w:val="24"/>
          <w:szCs w:val="24"/>
          <w:rtl/>
        </w:rPr>
        <w:t>أكبر</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أثناء</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مرحلة</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التحليل</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المكاني</w:t>
      </w:r>
      <w:r w:rsidRPr="00533DA0">
        <w:rPr>
          <w:rFonts w:ascii="Simplified Arabic" w:hAnsi="Simplified Arabic" w:cs="Simplified Arabic"/>
          <w:sz w:val="24"/>
          <w:szCs w:val="24"/>
        </w:rPr>
        <w:t xml:space="preserve"> </w:t>
      </w:r>
      <w:r w:rsidRPr="00533DA0">
        <w:rPr>
          <w:rFonts w:ascii="Simplified Arabic" w:hAnsi="Simplified Arabic" w:cs="Simplified Arabic"/>
          <w:sz w:val="24"/>
          <w:szCs w:val="24"/>
          <w:rtl/>
        </w:rPr>
        <w:t>والمعالجة</w:t>
      </w:r>
      <w:r w:rsidRPr="00533DA0">
        <w:rPr>
          <w:rFonts w:ascii="Simplified Arabic" w:hAnsi="Simplified Arabic" w:cs="Simplified Arabic" w:hint="cs"/>
          <w:sz w:val="24"/>
          <w:szCs w:val="24"/>
          <w:rtl/>
        </w:rPr>
        <w:t>.</w:t>
      </w:r>
    </w:p>
    <w:p w:rsidR="000B42BD" w:rsidRPr="004830BA" w:rsidRDefault="000B42BD" w:rsidP="001D0548">
      <w:pPr>
        <w:pStyle w:val="Paragraphedeliste"/>
        <w:numPr>
          <w:ilvl w:val="0"/>
          <w:numId w:val="24"/>
        </w:numPr>
        <w:tabs>
          <w:tab w:val="right" w:pos="283"/>
        </w:tabs>
        <w:autoSpaceDE w:val="0"/>
        <w:autoSpaceDN w:val="0"/>
        <w:bidi/>
        <w:adjustRightInd w:val="0"/>
        <w:spacing w:after="0"/>
        <w:ind w:left="0" w:firstLine="0"/>
        <w:jc w:val="both"/>
        <w:rPr>
          <w:rFonts w:ascii="Simplified Arabic" w:hAnsi="Simplified Arabic" w:cs="Simplified Arabic"/>
          <w:rtl/>
        </w:rPr>
      </w:pPr>
      <w:r w:rsidRPr="004830BA">
        <w:rPr>
          <w:rFonts w:ascii="Simplified Arabic" w:hAnsi="Simplified Arabic" w:cs="Simplified Arabic" w:hint="cs"/>
          <w:b/>
          <w:bCs/>
          <w:sz w:val="24"/>
          <w:szCs w:val="24"/>
          <w:rtl/>
        </w:rPr>
        <w:lastRenderedPageBreak/>
        <w:t xml:space="preserve">الافراد المستخدمون </w:t>
      </w:r>
      <w:r w:rsidRPr="004830BA">
        <w:rPr>
          <w:rFonts w:asciiTheme="majorBidi" w:hAnsiTheme="majorBidi" w:cstheme="majorBidi"/>
          <w:b/>
          <w:bCs/>
          <w:sz w:val="20"/>
          <w:szCs w:val="20"/>
        </w:rPr>
        <w:t>(People organisation)</w:t>
      </w:r>
      <w:r w:rsidRPr="004830BA">
        <w:rPr>
          <w:rFonts w:ascii="Simplified Arabic" w:hAnsi="Simplified Arabic" w:cs="Simplified Arabic" w:hint="cs"/>
          <w:b/>
          <w:bCs/>
          <w:sz w:val="24"/>
          <w:szCs w:val="24"/>
          <w:rtl/>
        </w:rPr>
        <w:t>:</w:t>
      </w:r>
      <w:r w:rsidRPr="004830BA">
        <w:rPr>
          <w:rFonts w:ascii="Simplified Arabic" w:hAnsi="Simplified Arabic" w:cs="Simplified Arabic" w:hint="cs"/>
          <w:sz w:val="24"/>
          <w:szCs w:val="24"/>
          <w:rtl/>
        </w:rPr>
        <w:t xml:space="preserve"> هم</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أفراد</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مُدرّبين، لهم</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القدرة</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على</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بناء</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قواعد</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البيانات</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الجغرافية</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وإجراء</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مختلف</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التحليلات</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عليها،</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ويتشكل هؤلاء</w:t>
      </w:r>
      <w:r w:rsidRPr="004830BA">
        <w:rPr>
          <w:rFonts w:ascii="Simplified Arabic" w:hAnsi="Simplified Arabic" w:cs="Simplified Arabic"/>
          <w:sz w:val="24"/>
          <w:szCs w:val="24"/>
        </w:rPr>
        <w:t xml:space="preserve"> </w:t>
      </w:r>
      <w:r w:rsidRPr="004830BA">
        <w:rPr>
          <w:rFonts w:ascii="Simplified Arabic" w:hAnsi="Simplified Arabic" w:cs="Simplified Arabic" w:hint="cs"/>
          <w:sz w:val="24"/>
          <w:szCs w:val="24"/>
          <w:rtl/>
        </w:rPr>
        <w:t>من</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محللين</w:t>
      </w:r>
      <w:r w:rsidRPr="004830BA">
        <w:rPr>
          <w:rFonts w:ascii="Simplified Arabic" w:hAnsi="Simplified Arabic" w:cs="Simplified Arabic" w:hint="cs"/>
          <w:sz w:val="24"/>
          <w:szCs w:val="24"/>
          <w:rtl/>
        </w:rPr>
        <w:t xml:space="preserve"> </w:t>
      </w:r>
      <w:r w:rsidRPr="004830BA">
        <w:rPr>
          <w:rFonts w:ascii="Simplified Arabic" w:hAnsi="Simplified Arabic" w:cs="Simplified Arabic"/>
          <w:sz w:val="24"/>
          <w:szCs w:val="24"/>
          <w:rtl/>
        </w:rPr>
        <w:t>ومبرمجين</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ومهندسي</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المساحة</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وراسمي</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الخرائط</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والقائمين</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على</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إدخال</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البيانات</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بمختلف</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أنواعها</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المكانية</w:t>
      </w:r>
      <w:r w:rsidRPr="004830BA">
        <w:rPr>
          <w:rFonts w:ascii="Simplified Arabic" w:hAnsi="Simplified Arabic" w:cs="Simplified Arabic"/>
          <w:sz w:val="24"/>
          <w:szCs w:val="24"/>
        </w:rPr>
        <w:t xml:space="preserve"> </w:t>
      </w:r>
      <w:r w:rsidRPr="004830BA">
        <w:rPr>
          <w:rFonts w:ascii="Simplified Arabic" w:hAnsi="Simplified Arabic" w:cs="Simplified Arabic"/>
          <w:sz w:val="24"/>
          <w:szCs w:val="24"/>
          <w:rtl/>
        </w:rPr>
        <w:t>وغير</w:t>
      </w:r>
      <w:r w:rsidRPr="004830BA">
        <w:rPr>
          <w:rFonts w:ascii="Simplified Arabic" w:hAnsi="Simplified Arabic" w:cs="Simplified Arabic" w:hint="cs"/>
          <w:sz w:val="24"/>
          <w:szCs w:val="24"/>
          <w:rtl/>
        </w:rPr>
        <w:t xml:space="preserve"> </w:t>
      </w:r>
      <w:r w:rsidRPr="004830BA">
        <w:rPr>
          <w:rFonts w:ascii="Simplified Arabic" w:hAnsi="Simplified Arabic" w:cs="Simplified Arabic"/>
          <w:sz w:val="24"/>
          <w:szCs w:val="24"/>
          <w:rtl/>
        </w:rPr>
        <w:t>المكانية</w:t>
      </w:r>
      <w:r w:rsidRPr="004830BA">
        <w:rPr>
          <w:rFonts w:ascii="Simplified Arabic" w:hAnsi="Simplified Arabic" w:cs="Simplified Arabic"/>
          <w:sz w:val="24"/>
          <w:szCs w:val="24"/>
        </w:rPr>
        <w:t>.</w:t>
      </w:r>
    </w:p>
    <w:p w:rsidR="000B42BD" w:rsidRDefault="000B42BD" w:rsidP="001D0548">
      <w:pPr>
        <w:pStyle w:val="Paragraphedeliste"/>
        <w:numPr>
          <w:ilvl w:val="0"/>
          <w:numId w:val="24"/>
        </w:numPr>
        <w:tabs>
          <w:tab w:val="right" w:pos="283"/>
        </w:tabs>
        <w:autoSpaceDE w:val="0"/>
        <w:autoSpaceDN w:val="0"/>
        <w:bidi/>
        <w:adjustRightInd w:val="0"/>
        <w:spacing w:after="0"/>
        <w:ind w:left="-1" w:firstLine="0"/>
        <w:rPr>
          <w:rFonts w:ascii="Simplified Arabic" w:hAnsi="Simplified Arabic" w:cs="Simplified Arabic"/>
          <w:sz w:val="24"/>
          <w:szCs w:val="24"/>
        </w:rPr>
      </w:pPr>
      <w:r w:rsidRPr="004830BA">
        <w:rPr>
          <w:rFonts w:ascii="Simplified Arabic" w:hAnsi="Simplified Arabic" w:cs="Simplified Arabic" w:hint="cs"/>
          <w:b/>
          <w:bCs/>
          <w:sz w:val="24"/>
          <w:szCs w:val="24"/>
          <w:rtl/>
        </w:rPr>
        <w:t>الطرق والاساليب:</w:t>
      </w:r>
      <w:r w:rsidRPr="004830BA">
        <w:rPr>
          <w:rFonts w:ascii="Simplified Arabic" w:hAnsi="Simplified Arabic" w:cs="Simplified Arabic" w:hint="cs"/>
          <w:sz w:val="24"/>
          <w:szCs w:val="24"/>
          <w:rtl/>
        </w:rPr>
        <w:t xml:space="preserve"> ان نظام المعلومات الجغرافي الناجح هو الذي يتبنى الاساليب او الطرق التي يجب ان يتبعها المتخصصين لإنجاز مختلف المشاريع او وفق نماذج عمل قابلة للتطبيق.</w:t>
      </w:r>
    </w:p>
    <w:p w:rsidR="000B42BD" w:rsidRPr="00084A0C" w:rsidRDefault="000B42BD" w:rsidP="001D0548">
      <w:pPr>
        <w:pStyle w:val="Paragraphedeliste"/>
        <w:numPr>
          <w:ilvl w:val="3"/>
          <w:numId w:val="141"/>
        </w:numPr>
        <w:tabs>
          <w:tab w:val="right" w:pos="992"/>
        </w:tabs>
        <w:bidi/>
        <w:spacing w:before="240" w:after="0"/>
        <w:ind w:left="0" w:firstLine="0"/>
        <w:jc w:val="both"/>
        <w:outlineLvl w:val="2"/>
        <w:rPr>
          <w:rFonts w:ascii="Simplified Arabic" w:hAnsi="Simplified Arabic" w:cs="Simplified Arabic"/>
          <w:b/>
          <w:bCs/>
          <w:sz w:val="24"/>
          <w:szCs w:val="24"/>
          <w:rtl/>
          <w:lang w:val="en-US"/>
        </w:rPr>
      </w:pPr>
      <w:bookmarkStart w:id="441" w:name="_Toc171803539"/>
      <w:r w:rsidRPr="00084A0C">
        <w:rPr>
          <w:rFonts w:ascii="Simplified Arabic" w:hAnsi="Simplified Arabic" w:cs="Simplified Arabic" w:hint="cs"/>
          <w:b/>
          <w:bCs/>
          <w:sz w:val="24"/>
          <w:szCs w:val="24"/>
          <w:rtl/>
          <w:lang w:val="en-US"/>
        </w:rPr>
        <w:t xml:space="preserve">استخدامات تقنية </w:t>
      </w:r>
      <w:r w:rsidRPr="00084A0C">
        <w:rPr>
          <w:rFonts w:asciiTheme="majorBidi" w:hAnsiTheme="majorBidi" w:cstheme="majorBidi"/>
          <w:sz w:val="24"/>
          <w:szCs w:val="24"/>
          <w:rtl/>
        </w:rPr>
        <w:t>(</w:t>
      </w:r>
      <w:r w:rsidRPr="00084A0C">
        <w:rPr>
          <w:rFonts w:asciiTheme="majorBidi" w:hAnsiTheme="majorBidi" w:cstheme="majorBidi"/>
          <w:sz w:val="24"/>
          <w:szCs w:val="24"/>
        </w:rPr>
        <w:t>GIS</w:t>
      </w:r>
      <w:r w:rsidRPr="00084A0C">
        <w:rPr>
          <w:rFonts w:asciiTheme="majorBidi" w:hAnsiTheme="majorBidi" w:cstheme="majorBidi"/>
          <w:sz w:val="24"/>
          <w:szCs w:val="24"/>
          <w:rtl/>
        </w:rPr>
        <w:t>)</w:t>
      </w:r>
      <w:r w:rsidRPr="00084A0C">
        <w:rPr>
          <w:rFonts w:asciiTheme="majorBidi" w:hAnsiTheme="majorBidi" w:cstheme="majorBidi" w:hint="cs"/>
          <w:sz w:val="24"/>
          <w:szCs w:val="24"/>
          <w:rtl/>
        </w:rPr>
        <w:t xml:space="preserve"> </w:t>
      </w:r>
      <w:r w:rsidRPr="00084A0C">
        <w:rPr>
          <w:rFonts w:ascii="Simplified Arabic" w:hAnsi="Simplified Arabic" w:cs="Simplified Arabic" w:hint="cs"/>
          <w:b/>
          <w:bCs/>
          <w:sz w:val="24"/>
          <w:szCs w:val="24"/>
          <w:rtl/>
          <w:lang w:val="en-US"/>
        </w:rPr>
        <w:t>لتقييم المرونة الحضرية</w:t>
      </w:r>
      <w:bookmarkEnd w:id="441"/>
    </w:p>
    <w:p w:rsidR="000B42BD" w:rsidRPr="00133513" w:rsidRDefault="000B42BD" w:rsidP="000862DC">
      <w:pPr>
        <w:autoSpaceDE w:val="0"/>
        <w:autoSpaceDN w:val="0"/>
        <w:bidi/>
        <w:adjustRightInd w:val="0"/>
        <w:spacing w:after="0"/>
        <w:ind w:firstLine="282"/>
        <w:jc w:val="both"/>
        <w:rPr>
          <w:rFonts w:ascii="Simplified Arabic" w:hAnsi="Simplified Arabic" w:cs="Simplified Arabic"/>
          <w:sz w:val="24"/>
          <w:szCs w:val="24"/>
          <w:rtl/>
        </w:rPr>
      </w:pPr>
      <w:r w:rsidRPr="00C75CAD">
        <w:rPr>
          <w:rFonts w:ascii="Simplified Arabic" w:hAnsi="Simplified Arabic" w:cs="Simplified Arabic"/>
          <w:sz w:val="24"/>
          <w:szCs w:val="24"/>
          <w:rtl/>
          <w:lang w:val="en-US"/>
        </w:rPr>
        <w:t>تستخدم نظم المعلومات الجغرافية بشكل</w:t>
      </w:r>
      <w:r w:rsidRPr="00C75CAD">
        <w:rPr>
          <w:rFonts w:ascii="Simplified Arabic" w:hAnsi="Simplified Arabic" w:cs="Simplified Arabic" w:hint="cs"/>
          <w:sz w:val="24"/>
          <w:szCs w:val="24"/>
          <w:rtl/>
          <w:lang w:val="en-US"/>
        </w:rPr>
        <w:t xml:space="preserve"> </w:t>
      </w:r>
      <w:r w:rsidRPr="00C75CAD">
        <w:rPr>
          <w:rFonts w:ascii="Simplified Arabic" w:hAnsi="Simplified Arabic" w:cs="Simplified Arabic"/>
          <w:sz w:val="24"/>
          <w:szCs w:val="24"/>
          <w:rtl/>
          <w:lang w:val="en-US"/>
        </w:rPr>
        <w:t xml:space="preserve">متزايد في </w:t>
      </w:r>
      <w:r w:rsidRPr="00C75CAD">
        <w:rPr>
          <w:rFonts w:ascii="Simplified Arabic" w:hAnsi="Simplified Arabic" w:cs="Simplified Arabic" w:hint="cs"/>
          <w:sz w:val="24"/>
          <w:szCs w:val="24"/>
          <w:rtl/>
          <w:lang w:val="en-US"/>
        </w:rPr>
        <w:t>العلوم كالجغرافيا والجيولوجيا</w:t>
      </w:r>
      <w:r w:rsidRPr="00C75CAD">
        <w:rPr>
          <w:rFonts w:ascii="Simplified Arabic" w:hAnsi="Simplified Arabic" w:cs="Simplified Arabic"/>
          <w:sz w:val="24"/>
          <w:szCs w:val="24"/>
          <w:lang w:val="en-US"/>
        </w:rPr>
        <w:t xml:space="preserve"> </w:t>
      </w:r>
      <w:r w:rsidRPr="00C75CAD">
        <w:rPr>
          <w:rFonts w:ascii="Simplified Arabic" w:hAnsi="Simplified Arabic" w:cs="Simplified Arabic" w:hint="cs"/>
          <w:sz w:val="24"/>
          <w:szCs w:val="24"/>
          <w:rtl/>
          <w:lang w:val="en-US"/>
        </w:rPr>
        <w:t>وعلم</w:t>
      </w:r>
      <w:r w:rsidRPr="00C75CAD">
        <w:rPr>
          <w:rFonts w:ascii="Simplified Arabic" w:hAnsi="Simplified Arabic" w:cs="Simplified Arabic"/>
          <w:sz w:val="24"/>
          <w:szCs w:val="24"/>
          <w:lang w:val="en-US"/>
        </w:rPr>
        <w:t xml:space="preserve"> </w:t>
      </w:r>
      <w:r w:rsidRPr="00C75CAD">
        <w:rPr>
          <w:rFonts w:ascii="Simplified Arabic" w:hAnsi="Simplified Arabic" w:cs="Simplified Arabic" w:hint="cs"/>
          <w:sz w:val="24"/>
          <w:szCs w:val="24"/>
          <w:rtl/>
          <w:lang w:val="en-US"/>
        </w:rPr>
        <w:t>البيئة</w:t>
      </w:r>
      <w:r w:rsidRPr="00C75CAD">
        <w:rPr>
          <w:rFonts w:ascii="Simplified Arabic" w:hAnsi="Simplified Arabic" w:cs="Simplified Arabic"/>
          <w:sz w:val="24"/>
          <w:szCs w:val="24"/>
          <w:lang w:val="en-US"/>
        </w:rPr>
        <w:t xml:space="preserve"> </w:t>
      </w:r>
      <w:r w:rsidRPr="00C75CAD">
        <w:rPr>
          <w:rFonts w:ascii="Simplified Arabic" w:hAnsi="Simplified Arabic" w:cs="Simplified Arabic" w:hint="cs"/>
          <w:sz w:val="24"/>
          <w:szCs w:val="24"/>
          <w:rtl/>
          <w:lang w:val="en-US"/>
        </w:rPr>
        <w:t>وغيرها.</w:t>
      </w:r>
      <w:r w:rsidRPr="00C75CAD">
        <w:rPr>
          <w:rFonts w:ascii="Simplified Arabic" w:hAnsi="Simplified Arabic" w:cs="Simplified Arabic" w:hint="cs"/>
          <w:sz w:val="24"/>
          <w:szCs w:val="24"/>
          <w:rtl/>
        </w:rPr>
        <w:t xml:space="preserve"> كما انها اداة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فعالة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جدا</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في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دعم</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وتطوير</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عملية</w:t>
      </w:r>
      <w:r w:rsidRPr="00C75CAD">
        <w:rPr>
          <w:rFonts w:ascii="Simplified Arabic" w:hAnsi="Simplified Arabic" w:cs="Simplified Arabic"/>
          <w:sz w:val="24"/>
          <w:szCs w:val="24"/>
        </w:rPr>
        <w:t xml:space="preserve"> </w:t>
      </w:r>
      <w:r w:rsidRPr="00C75CAD">
        <w:rPr>
          <w:rFonts w:ascii="Simplified Arabic" w:hAnsi="Simplified Arabic" w:cs="Simplified Arabic" w:hint="cs"/>
          <w:sz w:val="24"/>
          <w:szCs w:val="24"/>
          <w:rtl/>
        </w:rPr>
        <w:t>التسيير</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واتخاذ</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القرارات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التخطيطية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في</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الدوائر</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الحكومية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التي</w:t>
      </w:r>
      <w:r w:rsidRPr="00C75CAD">
        <w:rPr>
          <w:rFonts w:ascii="Simplified Arabic" w:hAnsi="Simplified Arabic" w:cs="Simplified Arabic"/>
          <w:sz w:val="24"/>
          <w:szCs w:val="24"/>
        </w:rPr>
        <w:t xml:space="preserve"> </w:t>
      </w:r>
      <w:r w:rsidRPr="00C75CAD">
        <w:rPr>
          <w:rFonts w:ascii="Simplified Arabic" w:hAnsi="Simplified Arabic" w:cs="Simplified Arabic" w:hint="cs"/>
          <w:sz w:val="24"/>
          <w:szCs w:val="24"/>
          <w:rtl/>
        </w:rPr>
        <w:t xml:space="preserve">ترتبط </w:t>
      </w:r>
      <w:r w:rsidRPr="00C75CAD">
        <w:rPr>
          <w:rFonts w:ascii="Simplified Arabic" w:hAnsi="Simplified Arabic" w:cs="Simplified Arabic"/>
          <w:sz w:val="24"/>
          <w:szCs w:val="24"/>
          <w:rtl/>
        </w:rPr>
        <w:t>تخصصاتها</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بمجال</w:t>
      </w:r>
      <w:r w:rsidRPr="00C75CAD">
        <w:rPr>
          <w:rFonts w:ascii="Simplified Arabic" w:hAnsi="Simplified Arabic" w:cs="Simplified Arabic" w:hint="cs"/>
          <w:sz w:val="24"/>
          <w:szCs w:val="24"/>
          <w:rtl/>
        </w:rPr>
        <w:t xml:space="preserve"> تسيير </w:t>
      </w:r>
      <w:r w:rsidRPr="00C75CAD">
        <w:rPr>
          <w:rFonts w:ascii="Simplified Arabic" w:hAnsi="Simplified Arabic" w:cs="Simplified Arabic"/>
          <w:sz w:val="24"/>
          <w:szCs w:val="24"/>
          <w:rtl/>
        </w:rPr>
        <w:t>المدن</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والتخطيط</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العمران</w:t>
      </w:r>
      <w:r w:rsidRPr="00C75CAD">
        <w:rPr>
          <w:rFonts w:ascii="Simplified Arabic" w:hAnsi="Simplified Arabic" w:cs="Simplified Arabic" w:hint="cs"/>
          <w:sz w:val="24"/>
          <w:szCs w:val="24"/>
          <w:rtl/>
        </w:rPr>
        <w:t xml:space="preserve">ي </w:t>
      </w:r>
      <w:r w:rsidRPr="00C75CAD">
        <w:rPr>
          <w:rFonts w:ascii="Simplified Arabic" w:hAnsi="Simplified Arabic" w:cs="Simplified Arabic" w:hint="cs"/>
          <w:color w:val="000000" w:themeColor="text1"/>
          <w:sz w:val="24"/>
          <w:szCs w:val="24"/>
          <w:rtl/>
        </w:rPr>
        <w:t>(</w:t>
      </w:r>
      <w:r w:rsidR="00EF4F0B" w:rsidRPr="00C75CAD">
        <w:rPr>
          <w:rFonts w:ascii="Simplified Arabic" w:eastAsia="Times New Roman" w:hAnsi="Simplified Arabic" w:cs="Simplified Arabic" w:hint="cs"/>
          <w:color w:val="000000" w:themeColor="text1"/>
          <w:sz w:val="24"/>
          <w:szCs w:val="24"/>
          <w:rtl/>
          <w:lang w:eastAsia="fr-FR"/>
        </w:rPr>
        <w:t>إبراهيم علي كريم محمد</w:t>
      </w:r>
      <w:r w:rsidRPr="00C75CAD">
        <w:rPr>
          <w:rFonts w:ascii="Simplified Arabic" w:hAnsi="Simplified Arabic" w:cs="Simplified Arabic" w:hint="cs"/>
          <w:color w:val="000000" w:themeColor="text1"/>
          <w:sz w:val="24"/>
          <w:szCs w:val="24"/>
          <w:rtl/>
        </w:rPr>
        <w:t xml:space="preserve">، </w:t>
      </w:r>
      <w:r w:rsidRPr="00C75CAD">
        <w:rPr>
          <w:rFonts w:ascii="Simplified Arabic" w:hAnsi="Simplified Arabic" w:cs="Simplified Arabic"/>
          <w:color w:val="000000" w:themeColor="text1"/>
          <w:sz w:val="24"/>
          <w:szCs w:val="24"/>
        </w:rPr>
        <w:t>2010</w:t>
      </w:r>
      <w:r w:rsidRPr="00C75CAD">
        <w:rPr>
          <w:rFonts w:ascii="Simplified Arabic" w:hAnsi="Simplified Arabic" w:cs="Simplified Arabic" w:hint="cs"/>
          <w:color w:val="000000" w:themeColor="text1"/>
          <w:sz w:val="24"/>
          <w:szCs w:val="24"/>
          <w:rtl/>
        </w:rPr>
        <w:t>)</w:t>
      </w:r>
      <w:r w:rsidRPr="00C75CAD">
        <w:rPr>
          <w:rFonts w:ascii="Simplified Arabic" w:hAnsi="Simplified Arabic" w:cs="Simplified Arabic"/>
          <w:color w:val="000000" w:themeColor="text1"/>
          <w:sz w:val="24"/>
          <w:szCs w:val="24"/>
          <w:rtl/>
        </w:rPr>
        <w:t>،</w:t>
      </w:r>
      <w:r w:rsidRPr="00C75CAD">
        <w:rPr>
          <w:rFonts w:ascii="Simplified Arabic" w:hAnsi="Simplified Arabic" w:cs="Simplified Arabic"/>
          <w:color w:val="000000" w:themeColor="text1"/>
          <w:sz w:val="24"/>
          <w:szCs w:val="24"/>
        </w:rPr>
        <w:t xml:space="preserve"> </w:t>
      </w:r>
      <w:r w:rsidRPr="00C75CAD">
        <w:rPr>
          <w:rFonts w:ascii="Simplified Arabic" w:hAnsi="Simplified Arabic" w:cs="Simplified Arabic"/>
          <w:sz w:val="24"/>
          <w:szCs w:val="24"/>
          <w:rtl/>
        </w:rPr>
        <w:t>تتيح</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هذه</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التقني</w:t>
      </w:r>
      <w:r w:rsidRPr="00C75CAD">
        <w:rPr>
          <w:rFonts w:ascii="Simplified Arabic" w:hAnsi="Simplified Arabic" w:cs="Simplified Arabic" w:hint="cs"/>
          <w:sz w:val="24"/>
          <w:szCs w:val="24"/>
          <w:rtl/>
        </w:rPr>
        <w:t>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إمكانية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تحديد</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المناطق</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المهددة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بالفيضانات</w:t>
      </w:r>
      <w:r w:rsidRPr="00C75CAD">
        <w:rPr>
          <w:rFonts w:asciiTheme="majorBidi" w:hAnsiTheme="majorBidi" w:cstheme="majorBidi"/>
          <w:sz w:val="24"/>
          <w:szCs w:val="24"/>
        </w:rPr>
        <w:t>(Yalcin et al., 2011)</w:t>
      </w:r>
      <w:r w:rsidRPr="00C75CAD">
        <w:rPr>
          <w:rFonts w:ascii="Simplified Arabic" w:hAnsi="Simplified Arabic" w:cs="Simplified Arabic"/>
          <w:sz w:val="24"/>
          <w:szCs w:val="24"/>
        </w:rPr>
        <w:t xml:space="preserve"> </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ودراسة</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اتجاهات</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التوسع</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الحضري</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للمدن</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وضبط</w:t>
      </w:r>
      <w:r w:rsidRPr="00C75CAD">
        <w:rPr>
          <w:rFonts w:ascii="Simplified Arabic" w:hAnsi="Simplified Arabic" w:cs="Simplified Arabic"/>
          <w:sz w:val="24"/>
          <w:szCs w:val="24"/>
        </w:rPr>
        <w:t xml:space="preserve"> </w:t>
      </w:r>
      <w:r w:rsidRPr="00C75CAD">
        <w:rPr>
          <w:rFonts w:ascii="Simplified Arabic" w:hAnsi="Simplified Arabic" w:cs="Simplified Arabic"/>
          <w:sz w:val="24"/>
          <w:szCs w:val="24"/>
          <w:rtl/>
        </w:rPr>
        <w:t>التوزيع</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الم</w:t>
      </w:r>
      <w:r w:rsidRPr="00C75CAD">
        <w:rPr>
          <w:rFonts w:ascii="Simplified Arabic" w:hAnsi="Simplified Arabic" w:cs="Simplified Arabic" w:hint="cs"/>
          <w:sz w:val="24"/>
          <w:szCs w:val="24"/>
          <w:rtl/>
        </w:rPr>
        <w:t>ك</w:t>
      </w:r>
      <w:r w:rsidRPr="00C75CAD">
        <w:rPr>
          <w:rFonts w:ascii="Simplified Arabic" w:hAnsi="Simplified Arabic" w:cs="Simplified Arabic"/>
          <w:sz w:val="24"/>
          <w:szCs w:val="24"/>
          <w:rtl/>
        </w:rPr>
        <w:t>ا</w:t>
      </w:r>
      <w:r w:rsidRPr="00C75CAD">
        <w:rPr>
          <w:rFonts w:ascii="Simplified Arabic" w:hAnsi="Simplified Arabic" w:cs="Simplified Arabic" w:hint="cs"/>
          <w:sz w:val="24"/>
          <w:szCs w:val="24"/>
          <w:rtl/>
        </w:rPr>
        <w:t>ن</w:t>
      </w:r>
      <w:r w:rsidRPr="00C75CAD">
        <w:rPr>
          <w:rFonts w:ascii="Simplified Arabic" w:hAnsi="Simplified Arabic" w:cs="Simplified Arabic"/>
          <w:sz w:val="24"/>
          <w:szCs w:val="24"/>
          <w:rtl/>
        </w:rPr>
        <w:t>ي</w:t>
      </w:r>
      <w:r w:rsidRPr="00C75CAD">
        <w:rPr>
          <w:rFonts w:ascii="Simplified Arabic" w:hAnsi="Simplified Arabic" w:cs="Simplified Arabic" w:hint="cs"/>
          <w:sz w:val="24"/>
          <w:szCs w:val="24"/>
          <w:rtl/>
        </w:rPr>
        <w:t xml:space="preserve"> ل</w:t>
      </w:r>
      <w:r w:rsidRPr="00C75CAD">
        <w:rPr>
          <w:rFonts w:ascii="Simplified Arabic" w:hAnsi="Simplified Arabic" w:cs="Simplified Arabic"/>
          <w:sz w:val="24"/>
          <w:szCs w:val="24"/>
          <w:rtl/>
        </w:rPr>
        <w:t>لمرافق</w:t>
      </w:r>
      <w:r w:rsidRPr="00C75CAD">
        <w:rPr>
          <w:rFonts w:ascii="Simplified Arabic" w:hAnsi="Simplified Arabic" w:cs="Simplified Arabic" w:hint="cs"/>
          <w:sz w:val="24"/>
          <w:szCs w:val="24"/>
          <w:rtl/>
        </w:rPr>
        <w:t xml:space="preserve"> مثل الم</w:t>
      </w:r>
      <w:r w:rsidRPr="00C75CAD">
        <w:rPr>
          <w:rFonts w:ascii="Simplified Arabic" w:hAnsi="Simplified Arabic" w:cs="Simplified Arabic"/>
          <w:sz w:val="24"/>
          <w:szCs w:val="24"/>
          <w:rtl/>
        </w:rPr>
        <w:t>دا</w:t>
      </w:r>
      <w:r w:rsidRPr="00C75CAD">
        <w:rPr>
          <w:rFonts w:ascii="Simplified Arabic" w:hAnsi="Simplified Arabic" w:cs="Simplified Arabic" w:hint="cs"/>
          <w:sz w:val="24"/>
          <w:szCs w:val="24"/>
          <w:rtl/>
        </w:rPr>
        <w:t>ر</w:t>
      </w:r>
      <w:r w:rsidRPr="00C75CAD">
        <w:rPr>
          <w:rFonts w:ascii="Simplified Arabic" w:hAnsi="Simplified Arabic" w:cs="Simplified Arabic"/>
          <w:sz w:val="24"/>
          <w:szCs w:val="24"/>
          <w:rtl/>
        </w:rPr>
        <w:t>س،</w:t>
      </w:r>
      <w:r w:rsidRPr="00C75CAD">
        <w:rPr>
          <w:rFonts w:ascii="Simplified Arabic" w:hAnsi="Simplified Arabic" w:cs="Simplified Arabic" w:hint="cs"/>
          <w:sz w:val="24"/>
          <w:szCs w:val="24"/>
          <w:rtl/>
        </w:rPr>
        <w:t xml:space="preserve"> الم</w:t>
      </w:r>
      <w:r w:rsidRPr="00C75CAD">
        <w:rPr>
          <w:rFonts w:ascii="Simplified Arabic" w:hAnsi="Simplified Arabic" w:cs="Simplified Arabic"/>
          <w:sz w:val="24"/>
          <w:szCs w:val="24"/>
          <w:rtl/>
        </w:rPr>
        <w:t>ستشفيات،</w:t>
      </w:r>
      <w:r w:rsidRPr="00C75CAD">
        <w:rPr>
          <w:rFonts w:ascii="Simplified Arabic" w:hAnsi="Simplified Arabic" w:cs="Simplified Arabic" w:hint="cs"/>
          <w:sz w:val="24"/>
          <w:szCs w:val="24"/>
          <w:rtl/>
        </w:rPr>
        <w:t xml:space="preserve"> مراكز الامن والاطفاء</w:t>
      </w:r>
      <w:r w:rsidRPr="00C75CAD">
        <w:rPr>
          <w:rFonts w:ascii="Simplified Arabic" w:hAnsi="Simplified Arabic" w:cs="Simplified Arabic"/>
          <w:sz w:val="24"/>
          <w:szCs w:val="24"/>
          <w:rtl/>
        </w:rPr>
        <w:t>،</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ساحات</w:t>
      </w:r>
      <w:r w:rsidRPr="00C75CAD">
        <w:rPr>
          <w:rFonts w:ascii="Simplified Arabic" w:hAnsi="Simplified Arabic" w:cs="Simplified Arabic" w:hint="cs"/>
          <w:sz w:val="24"/>
          <w:szCs w:val="24"/>
          <w:rtl/>
        </w:rPr>
        <w:t xml:space="preserve"> ع</w:t>
      </w:r>
      <w:r w:rsidRPr="00C75CAD">
        <w:rPr>
          <w:rFonts w:ascii="Simplified Arabic" w:hAnsi="Simplified Arabic" w:cs="Simplified Arabic"/>
          <w:sz w:val="24"/>
          <w:szCs w:val="24"/>
          <w:rtl/>
        </w:rPr>
        <w:t>مومية،</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مساحات</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خضراء</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Pr>
        <w:t>...</w:t>
      </w:r>
      <w:r w:rsidRPr="00C75CAD">
        <w:rPr>
          <w:rFonts w:ascii="Simplified Arabic" w:hAnsi="Simplified Arabic" w:cs="Simplified Arabic"/>
          <w:sz w:val="24"/>
          <w:szCs w:val="24"/>
          <w:rtl/>
        </w:rPr>
        <w:t>الخ</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w:t>
      </w:r>
      <w:r w:rsidR="00671802" w:rsidRPr="00C75CAD">
        <w:rPr>
          <w:rFonts w:ascii="Simplified Arabic" w:eastAsia="Times New Roman" w:hAnsi="Simplified Arabic" w:cs="Simplified Arabic" w:hint="cs"/>
          <w:color w:val="000000"/>
          <w:sz w:val="24"/>
          <w:szCs w:val="24"/>
          <w:rtl/>
          <w:lang w:eastAsia="fr-FR"/>
        </w:rPr>
        <w:t>شلبي علاء</w:t>
      </w:r>
      <w:r w:rsidRPr="00C75CAD">
        <w:rPr>
          <w:rFonts w:ascii="Simplified Arabic" w:hAnsi="Simplified Arabic" w:cs="Simplified Arabic"/>
          <w:sz w:val="24"/>
          <w:szCs w:val="24"/>
          <w:rtl/>
        </w:rPr>
        <w:t xml:space="preserve">، </w:t>
      </w:r>
      <w:r w:rsidRPr="00C75CAD">
        <w:rPr>
          <w:rFonts w:ascii="Simplified Arabic" w:hAnsi="Simplified Arabic" w:cs="Simplified Arabic" w:hint="cs"/>
          <w:sz w:val="24"/>
          <w:szCs w:val="24"/>
          <w:rtl/>
        </w:rPr>
        <w:t xml:space="preserve">2015؛ </w:t>
      </w:r>
      <w:r w:rsidR="00671802" w:rsidRPr="00C75CAD">
        <w:rPr>
          <w:rFonts w:ascii="Simplified Arabic" w:eastAsia="Times New Roman" w:hAnsi="Simplified Arabic" w:cs="Simplified Arabic" w:hint="cs"/>
          <w:color w:val="000000"/>
          <w:sz w:val="24"/>
          <w:szCs w:val="24"/>
          <w:rtl/>
          <w:lang w:eastAsia="fr-FR"/>
        </w:rPr>
        <w:t>الفناطسة عبدالحميد</w:t>
      </w:r>
      <w:r w:rsidRPr="00C75CAD">
        <w:rPr>
          <w:rFonts w:ascii="Simplified Arabic" w:hAnsi="Simplified Arabic" w:cs="Simplified Arabic" w:hint="cs"/>
          <w:sz w:val="24"/>
          <w:szCs w:val="24"/>
          <w:rtl/>
        </w:rPr>
        <w:t xml:space="preserve">، 2015؛ </w:t>
      </w:r>
      <w:r w:rsidR="00671802" w:rsidRPr="00C75CAD">
        <w:rPr>
          <w:rFonts w:ascii="Simplified Arabic" w:eastAsia="Times New Roman" w:hAnsi="Simplified Arabic" w:cs="Simplified Arabic" w:hint="cs"/>
          <w:color w:val="000000"/>
          <w:sz w:val="24"/>
          <w:szCs w:val="24"/>
          <w:rtl/>
          <w:lang w:eastAsia="fr-FR"/>
        </w:rPr>
        <w:t>الفناطسة عبدالحميد</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Pr>
        <w:t>2019</w:t>
      </w:r>
      <w:r w:rsidRPr="00C75CAD">
        <w:rPr>
          <w:rFonts w:ascii="Simplified Arabic" w:hAnsi="Simplified Arabic" w:cs="Simplified Arabic" w:hint="cs"/>
          <w:sz w:val="24"/>
          <w:szCs w:val="24"/>
          <w:rtl/>
        </w:rPr>
        <w:t xml:space="preserve">). </w:t>
      </w:r>
      <w:r w:rsidRPr="00C75CAD">
        <w:rPr>
          <w:rFonts w:ascii="Simplified Arabic" w:hAnsi="Simplified Arabic" w:cs="Simplified Arabic" w:hint="cs"/>
          <w:color w:val="000000"/>
          <w:sz w:val="24"/>
          <w:szCs w:val="24"/>
          <w:rtl/>
        </w:rPr>
        <w:t>يستخدم</w:t>
      </w:r>
      <w:r w:rsidRPr="00C75CAD">
        <w:rPr>
          <w:rFonts w:ascii="Simplified Arabic" w:hAnsi="Simplified Arabic" w:cs="Simplified Arabic"/>
          <w:color w:val="000000"/>
          <w:sz w:val="24"/>
          <w:szCs w:val="24"/>
          <w:rtl/>
        </w:rPr>
        <w:t xml:space="preserve"> </w:t>
      </w:r>
      <w:r w:rsidRPr="00C75CAD">
        <w:rPr>
          <w:rStyle w:val="y2iqfc"/>
          <w:rFonts w:asciiTheme="minorBidi" w:hAnsiTheme="minorBidi"/>
          <w:color w:val="202124"/>
          <w:sz w:val="24"/>
          <w:szCs w:val="24"/>
          <w:lang w:val="en-US" w:bidi="ar"/>
        </w:rPr>
        <w:t>(</w:t>
      </w:r>
      <w:r w:rsidRPr="00C75CAD">
        <w:rPr>
          <w:rFonts w:asciiTheme="majorBidi" w:hAnsiTheme="majorBidi" w:cstheme="majorBidi"/>
        </w:rPr>
        <w:t>ArcGIS</w:t>
      </w:r>
      <w:r w:rsidRPr="00C75CAD">
        <w:rPr>
          <w:rStyle w:val="y2iqfc"/>
          <w:rFonts w:asciiTheme="minorBidi" w:hAnsiTheme="minorBidi"/>
          <w:color w:val="202124"/>
          <w:sz w:val="24"/>
          <w:szCs w:val="24"/>
          <w:lang w:val="en-US" w:bidi="ar"/>
        </w:rPr>
        <w:t>)</w:t>
      </w:r>
      <w:r w:rsidRPr="00C75CAD">
        <w:rPr>
          <w:rStyle w:val="y2iqfc"/>
          <w:rFonts w:asciiTheme="minorBidi" w:hAnsiTheme="minorBidi" w:hint="cs"/>
          <w:color w:val="202124"/>
          <w:sz w:val="24"/>
          <w:szCs w:val="24"/>
          <w:rtl/>
          <w:lang w:val="en-US" w:bidi="ar"/>
        </w:rPr>
        <w:t xml:space="preserve"> </w:t>
      </w:r>
      <w:r w:rsidRPr="00C75CAD">
        <w:rPr>
          <w:rFonts w:ascii="Simplified Arabic" w:hAnsi="Simplified Arabic" w:cs="Simplified Arabic" w:hint="cs"/>
          <w:color w:val="000000"/>
          <w:sz w:val="24"/>
          <w:szCs w:val="24"/>
          <w:rtl/>
        </w:rPr>
        <w:t>لإدارة</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كميات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كبيرة</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من البيانات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المكانية</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والتحليلات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ورسم</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الخرائط</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ومع</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ذلك،</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فإن</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البرنامج</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لديه</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أيضًا</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القدرة</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على</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أداء</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استرجاع</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البيانات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في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الوقت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الفعلي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والتحليل</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المكاني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ينظم</w:t>
      </w:r>
      <w:r w:rsidRPr="00C75CAD">
        <w:rPr>
          <w:rFonts w:ascii="Simplified Arabic" w:hAnsi="Simplified Arabic" w:cs="Simplified Arabic"/>
          <w:color w:val="000000"/>
          <w:sz w:val="24"/>
          <w:szCs w:val="24"/>
          <w:rtl/>
        </w:rPr>
        <w:t xml:space="preserve"> </w:t>
      </w:r>
      <w:r w:rsidRPr="00C75CAD">
        <w:rPr>
          <w:rStyle w:val="y2iqfc"/>
          <w:rFonts w:asciiTheme="minorBidi" w:hAnsiTheme="minorBidi"/>
          <w:color w:val="202124"/>
          <w:sz w:val="24"/>
          <w:szCs w:val="24"/>
          <w:lang w:val="en-US" w:bidi="ar"/>
        </w:rPr>
        <w:t>(</w:t>
      </w:r>
      <w:r w:rsidRPr="00C75CAD">
        <w:rPr>
          <w:rFonts w:asciiTheme="majorBidi" w:hAnsiTheme="majorBidi" w:cstheme="majorBidi"/>
        </w:rPr>
        <w:t>ArcGIS</w:t>
      </w:r>
      <w:r w:rsidRPr="00C75CAD">
        <w:rPr>
          <w:rStyle w:val="y2iqfc"/>
          <w:rFonts w:asciiTheme="minorBidi" w:hAnsiTheme="minorBidi"/>
          <w:color w:val="202124"/>
          <w:sz w:val="24"/>
          <w:szCs w:val="24"/>
          <w:lang w:val="en-US" w:bidi="ar"/>
        </w:rPr>
        <w:t>)</w:t>
      </w:r>
      <w:r w:rsidRPr="00C75CAD">
        <w:rPr>
          <w:rStyle w:val="y2iqfc"/>
          <w:rFonts w:asciiTheme="minorBidi" w:hAnsiTheme="minorBidi" w:hint="cs"/>
          <w:color w:val="202124"/>
          <w:sz w:val="24"/>
          <w:szCs w:val="24"/>
          <w:rtl/>
          <w:lang w:val="en-US" w:bidi="ar"/>
        </w:rPr>
        <w:t xml:space="preserve"> </w:t>
      </w:r>
      <w:r w:rsidRPr="00C75CAD">
        <w:rPr>
          <w:rFonts w:ascii="Simplified Arabic" w:hAnsi="Simplified Arabic" w:cs="Simplified Arabic" w:hint="cs"/>
          <w:color w:val="000000"/>
          <w:sz w:val="24"/>
          <w:szCs w:val="24"/>
          <w:rtl/>
        </w:rPr>
        <w:t>أدوات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التحليل</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المكاني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في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صناديق</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الأدوات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تحتوي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صناديق</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الأدوات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على</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مجموعات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من</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إدارة</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البيانات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ووظائف</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التحليل</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المكاني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لتعديل</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البيانات</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الجغرافية ولإجراء</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التحليل</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المكاني</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الاحصائي ومنه تقييم</w:t>
      </w:r>
      <w:r w:rsidRPr="00C75CAD">
        <w:rPr>
          <w:rFonts w:ascii="Simplified Arabic" w:hAnsi="Simplified Arabic" w:cs="Simplified Arabic"/>
          <w:color w:val="000000"/>
          <w:sz w:val="24"/>
          <w:szCs w:val="24"/>
          <w:rtl/>
        </w:rPr>
        <w:t xml:space="preserve"> </w:t>
      </w:r>
      <w:r w:rsidRPr="00C75CAD">
        <w:rPr>
          <w:rFonts w:ascii="Simplified Arabic" w:hAnsi="Simplified Arabic" w:cs="Simplified Arabic" w:hint="cs"/>
          <w:color w:val="000000"/>
          <w:sz w:val="24"/>
          <w:szCs w:val="24"/>
          <w:rtl/>
        </w:rPr>
        <w:t>المرونة</w:t>
      </w:r>
      <w:r w:rsidRPr="00C75CAD">
        <w:rPr>
          <w:rFonts w:ascii="Simplified Arabic" w:hAnsi="Simplified Arabic" w:cs="Simplified Arabic"/>
          <w:color w:val="000000"/>
          <w:sz w:val="24"/>
          <w:szCs w:val="24"/>
          <w:rtl/>
        </w:rPr>
        <w:t>.</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sz w:val="24"/>
          <w:szCs w:val="24"/>
          <w:rtl/>
        </w:rPr>
        <w:t>يُعد</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توظيف</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تقني</w:t>
      </w:r>
      <w:r w:rsidRPr="00C75CAD">
        <w:rPr>
          <w:rFonts w:ascii="Simplified Arabic" w:hAnsi="Simplified Arabic" w:cs="Simplified Arabic" w:hint="cs"/>
          <w:sz w:val="24"/>
          <w:szCs w:val="24"/>
          <w:rtl/>
        </w:rPr>
        <w:t xml:space="preserve">ة </w:t>
      </w:r>
      <w:r w:rsidRPr="00C75CAD">
        <w:rPr>
          <w:rFonts w:asciiTheme="majorBidi" w:hAnsiTheme="majorBidi" w:cstheme="majorBidi"/>
          <w:sz w:val="24"/>
          <w:szCs w:val="24"/>
        </w:rPr>
        <w:t>(GIS)</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من</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أهم</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التقنيات</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الحديثة</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في</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دعم</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البحث</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العلمي</w:t>
      </w:r>
      <w:r w:rsidRPr="00C75CAD">
        <w:rPr>
          <w:rFonts w:ascii="Simplified Arabic" w:hAnsi="Simplified Arabic" w:cs="Simplified Arabic" w:hint="cs"/>
          <w:sz w:val="24"/>
          <w:szCs w:val="24"/>
          <w:rtl/>
        </w:rPr>
        <w:t xml:space="preserve"> و</w:t>
      </w:r>
      <w:r w:rsidRPr="00C75CAD">
        <w:rPr>
          <w:rFonts w:ascii="Simplified Arabic" w:hAnsi="Simplified Arabic" w:cs="Simplified Arabic"/>
          <w:sz w:val="24"/>
          <w:szCs w:val="24"/>
          <w:rtl/>
        </w:rPr>
        <w:t>لدراسة</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التحليل</w:t>
      </w:r>
      <w:r w:rsidRPr="00C75CAD">
        <w:rPr>
          <w:rFonts w:ascii="Simplified Arabic" w:hAnsi="Simplified Arabic" w:cs="Simplified Arabic" w:hint="cs"/>
          <w:sz w:val="24"/>
          <w:szCs w:val="24"/>
          <w:rtl/>
        </w:rPr>
        <w:t xml:space="preserve"> </w:t>
      </w:r>
      <w:r w:rsidRPr="00C75CAD">
        <w:rPr>
          <w:rFonts w:ascii="Simplified Arabic" w:hAnsi="Simplified Arabic" w:cs="Simplified Arabic"/>
          <w:sz w:val="24"/>
          <w:szCs w:val="24"/>
          <w:rtl/>
        </w:rPr>
        <w:t>المكاني</w:t>
      </w:r>
      <w:r w:rsidRPr="00C75CAD">
        <w:rPr>
          <w:rFonts w:ascii="Simplified Arabic" w:hAnsi="Simplified Arabic" w:cs="Simplified Arabic" w:hint="cs"/>
          <w:sz w:val="24"/>
          <w:szCs w:val="24"/>
          <w:rtl/>
        </w:rPr>
        <w:t xml:space="preserve"> لتقييم مستويات</w:t>
      </w:r>
      <w:r w:rsidRPr="00C75CAD">
        <w:rPr>
          <w:rFonts w:ascii="Simplified Arabic" w:hAnsi="Simplified Arabic" w:cs="Simplified Arabic"/>
          <w:sz w:val="24"/>
          <w:szCs w:val="24"/>
        </w:rPr>
        <w:t xml:space="preserve"> </w:t>
      </w:r>
      <w:r w:rsidRPr="00C75CAD">
        <w:rPr>
          <w:rFonts w:ascii="Simplified Arabic" w:hAnsi="Simplified Arabic" w:cs="Simplified Arabic" w:hint="cs"/>
          <w:sz w:val="24"/>
          <w:szCs w:val="24"/>
          <w:rtl/>
          <w:lang w:bidi="ar-DZ"/>
        </w:rPr>
        <w:t xml:space="preserve">وخرائط </w:t>
      </w:r>
      <w:r w:rsidRPr="00C75CAD">
        <w:rPr>
          <w:rFonts w:ascii="Simplified Arabic" w:hAnsi="Simplified Arabic" w:cs="Simplified Arabic" w:hint="cs"/>
          <w:sz w:val="24"/>
          <w:szCs w:val="24"/>
          <w:rtl/>
        </w:rPr>
        <w:t xml:space="preserve">المرونة الحضرية </w:t>
      </w:r>
      <w:r w:rsidRPr="00C75CAD">
        <w:rPr>
          <w:rFonts w:asciiTheme="majorBidi" w:hAnsiTheme="majorBidi" w:cstheme="majorBidi"/>
          <w:sz w:val="24"/>
          <w:szCs w:val="24"/>
          <w:rtl/>
        </w:rPr>
        <w:t>(</w:t>
      </w:r>
      <w:r w:rsidRPr="00C75CAD">
        <w:rPr>
          <w:rFonts w:asciiTheme="majorBidi" w:hAnsiTheme="majorBidi" w:cstheme="majorBidi"/>
          <w:sz w:val="24"/>
          <w:szCs w:val="24"/>
        </w:rPr>
        <w:t xml:space="preserve">Renschler et al., 2010 ; Lhomme et al., 2010 ; Lhomme et al., 2013 ; </w:t>
      </w:r>
      <w:r w:rsidRPr="00C75CAD">
        <w:rPr>
          <w:rFonts w:asciiTheme="majorBidi" w:hAnsiTheme="majorBidi" w:cstheme="majorBidi"/>
          <w:color w:val="000000"/>
          <w:sz w:val="24"/>
          <w:szCs w:val="24"/>
        </w:rPr>
        <w:t>Rostami et al., 2020 </w:t>
      </w:r>
      <w:r w:rsidRPr="00C75CAD">
        <w:rPr>
          <w:rFonts w:asciiTheme="majorBidi" w:hAnsiTheme="majorBidi" w:cstheme="majorBidi"/>
          <w:sz w:val="24"/>
          <w:szCs w:val="24"/>
          <w:rtl/>
        </w:rPr>
        <w:t>)</w:t>
      </w:r>
      <w:r w:rsidRPr="00133513">
        <w:rPr>
          <w:rFonts w:ascii="Simplified Arabic" w:hAnsi="Simplified Arabic" w:cs="Simplified Arabic"/>
          <w:sz w:val="24"/>
          <w:szCs w:val="24"/>
          <w:rtl/>
        </w:rPr>
        <w:t xml:space="preserve">. </w:t>
      </w:r>
    </w:p>
    <w:p w:rsidR="000B42BD" w:rsidRPr="00084A0C" w:rsidRDefault="000B42BD" w:rsidP="003A1DB8">
      <w:pPr>
        <w:pStyle w:val="Paragraphedeliste"/>
        <w:numPr>
          <w:ilvl w:val="3"/>
          <w:numId w:val="142"/>
        </w:numPr>
        <w:tabs>
          <w:tab w:val="right" w:pos="992"/>
        </w:tabs>
        <w:bidi/>
        <w:spacing w:after="0"/>
        <w:ind w:left="0" w:firstLine="0"/>
        <w:jc w:val="both"/>
        <w:outlineLvl w:val="2"/>
        <w:rPr>
          <w:rFonts w:ascii="Simplified Arabic" w:hAnsi="Simplified Arabic" w:cs="Simplified Arabic"/>
          <w:b/>
          <w:bCs/>
          <w:sz w:val="24"/>
          <w:szCs w:val="24"/>
          <w:rtl/>
          <w:lang w:val="en-US"/>
        </w:rPr>
      </w:pPr>
      <w:bookmarkStart w:id="442" w:name="_Toc171803540"/>
      <w:r w:rsidRPr="00084A0C">
        <w:rPr>
          <w:rFonts w:ascii="Simplified Arabic" w:hAnsi="Simplified Arabic" w:cs="Simplified Arabic" w:hint="cs"/>
          <w:b/>
          <w:bCs/>
          <w:sz w:val="24"/>
          <w:szCs w:val="24"/>
          <w:rtl/>
          <w:lang w:val="en-US"/>
        </w:rPr>
        <w:t xml:space="preserve">طريقة </w:t>
      </w:r>
      <w:r w:rsidRPr="00084A0C">
        <w:rPr>
          <w:rFonts w:ascii="Simplified Arabic" w:hAnsi="Simplified Arabic" w:cs="Simplified Arabic"/>
          <w:b/>
          <w:bCs/>
          <w:sz w:val="24"/>
          <w:szCs w:val="24"/>
          <w:rtl/>
          <w:lang w:val="en-US"/>
        </w:rPr>
        <w:t>التح</w:t>
      </w:r>
      <w:r w:rsidRPr="00084A0C">
        <w:rPr>
          <w:rFonts w:ascii="Simplified Arabic" w:hAnsi="Simplified Arabic" w:cs="Simplified Arabic" w:hint="cs"/>
          <w:b/>
          <w:bCs/>
          <w:sz w:val="24"/>
          <w:szCs w:val="24"/>
          <w:rtl/>
          <w:lang w:val="en-US"/>
        </w:rPr>
        <w:t>ل</w:t>
      </w:r>
      <w:r w:rsidRPr="00084A0C">
        <w:rPr>
          <w:rFonts w:ascii="Simplified Arabic" w:hAnsi="Simplified Arabic" w:cs="Simplified Arabic"/>
          <w:b/>
          <w:bCs/>
          <w:sz w:val="24"/>
          <w:szCs w:val="24"/>
          <w:rtl/>
          <w:lang w:val="en-US"/>
        </w:rPr>
        <w:t>يل</w:t>
      </w:r>
      <w:r w:rsidRPr="00084A0C">
        <w:rPr>
          <w:rFonts w:ascii="Simplified Arabic" w:hAnsi="Simplified Arabic" w:cs="Simplified Arabic" w:hint="cs"/>
          <w:b/>
          <w:bCs/>
          <w:sz w:val="24"/>
          <w:szCs w:val="24"/>
          <w:rtl/>
          <w:lang w:val="en-US"/>
        </w:rPr>
        <w:t xml:space="preserve"> </w:t>
      </w:r>
      <w:r w:rsidRPr="00084A0C">
        <w:rPr>
          <w:rFonts w:ascii="Simplified Arabic" w:hAnsi="Simplified Arabic" w:cs="Simplified Arabic"/>
          <w:b/>
          <w:bCs/>
          <w:sz w:val="24"/>
          <w:szCs w:val="24"/>
          <w:rtl/>
          <w:lang w:val="en-US"/>
        </w:rPr>
        <w:t>المستخدمة</w:t>
      </w:r>
      <w:r w:rsidRPr="00084A0C">
        <w:rPr>
          <w:rFonts w:ascii="Simplified Arabic" w:hAnsi="Simplified Arabic" w:cs="Simplified Arabic" w:hint="cs"/>
          <w:b/>
          <w:bCs/>
          <w:sz w:val="24"/>
          <w:szCs w:val="24"/>
          <w:rtl/>
          <w:lang w:val="en-US"/>
        </w:rPr>
        <w:t xml:space="preserve"> </w:t>
      </w:r>
      <w:r w:rsidRPr="00084A0C">
        <w:rPr>
          <w:rFonts w:ascii="Simplified Arabic" w:hAnsi="Simplified Arabic" w:cs="Simplified Arabic"/>
          <w:b/>
          <w:bCs/>
          <w:sz w:val="24"/>
          <w:szCs w:val="24"/>
          <w:rtl/>
          <w:lang w:val="en-US"/>
        </w:rPr>
        <w:t>في</w:t>
      </w:r>
      <w:r w:rsidRPr="00084A0C">
        <w:rPr>
          <w:rFonts w:ascii="Simplified Arabic" w:hAnsi="Simplified Arabic" w:cs="Simplified Arabic" w:hint="cs"/>
          <w:b/>
          <w:bCs/>
          <w:sz w:val="24"/>
          <w:szCs w:val="24"/>
          <w:rtl/>
          <w:lang w:val="en-US"/>
        </w:rPr>
        <w:t xml:space="preserve"> البحث</w:t>
      </w:r>
      <w:r w:rsidRPr="00084A0C">
        <w:rPr>
          <w:rFonts w:ascii="Simplified Arabic" w:hAnsi="Simplified Arabic" w:cs="Simplified Arabic"/>
          <w:b/>
          <w:bCs/>
          <w:sz w:val="24"/>
          <w:szCs w:val="24"/>
          <w:lang w:val="en-US"/>
        </w:rPr>
        <w:t>:</w:t>
      </w:r>
      <w:bookmarkEnd w:id="442"/>
    </w:p>
    <w:p w:rsidR="000B42BD" w:rsidRDefault="000B42BD" w:rsidP="00DE78DE">
      <w:pPr>
        <w:autoSpaceDE w:val="0"/>
        <w:autoSpaceDN w:val="0"/>
        <w:bidi/>
        <w:adjustRightInd w:val="0"/>
        <w:spacing w:after="0"/>
        <w:ind w:firstLine="282"/>
        <w:jc w:val="both"/>
        <w:rPr>
          <w:rFonts w:ascii="Simplified Arabic" w:hAnsi="Simplified Arabic" w:cs="Simplified Arabic"/>
          <w:color w:val="000000"/>
          <w:sz w:val="24"/>
          <w:szCs w:val="24"/>
        </w:rPr>
      </w:pPr>
      <w:r w:rsidRPr="00382E29">
        <w:rPr>
          <w:rFonts w:ascii="Simplified Arabic" w:hAnsi="Simplified Arabic" w:cs="Simplified Arabic"/>
          <w:color w:val="000000"/>
          <w:sz w:val="24"/>
          <w:szCs w:val="24"/>
          <w:rtl/>
        </w:rPr>
        <w:t xml:space="preserve">يوفر برنامج </w:t>
      </w:r>
      <w:r w:rsidRPr="00382E29">
        <w:rPr>
          <w:rFonts w:asciiTheme="majorBidi" w:hAnsiTheme="majorBidi" w:cstheme="majorBidi"/>
        </w:rPr>
        <w:t>(</w:t>
      </w:r>
      <w:r w:rsidRPr="00FF2DD0">
        <w:rPr>
          <w:rFonts w:asciiTheme="majorBidi" w:hAnsiTheme="majorBidi" w:cstheme="majorBidi"/>
          <w:sz w:val="24"/>
          <w:szCs w:val="24"/>
          <w:lang w:val="en-US"/>
        </w:rPr>
        <w:t>ArcGIS</w:t>
      </w:r>
      <w:r w:rsidRPr="00382E29">
        <w:rPr>
          <w:rFonts w:asciiTheme="majorBidi" w:hAnsiTheme="majorBidi" w:cstheme="majorBidi"/>
        </w:rPr>
        <w:t>)</w:t>
      </w:r>
      <w:r w:rsidRPr="00382E29">
        <w:rPr>
          <w:rStyle w:val="y2iqfc"/>
          <w:rFonts w:ascii="Simplified Arabic" w:hAnsi="Simplified Arabic" w:cs="Simplified Arabic"/>
          <w:color w:val="202124"/>
          <w:sz w:val="24"/>
          <w:szCs w:val="24"/>
          <w:rtl/>
          <w:lang w:val="en-US" w:bidi="ar"/>
        </w:rPr>
        <w:t xml:space="preserve"> </w:t>
      </w:r>
      <w:r w:rsidRPr="00382E29">
        <w:rPr>
          <w:rFonts w:ascii="Simplified Arabic" w:hAnsi="Simplified Arabic" w:cs="Simplified Arabic"/>
          <w:color w:val="000000"/>
          <w:sz w:val="24"/>
          <w:szCs w:val="24"/>
          <w:rtl/>
        </w:rPr>
        <w:t xml:space="preserve">نظامًا أساسيًا قويًا للعمليات المكانية والتصور، إلا أنه يتعرض لانتقادات كبيرة لقيوده في نمذجة الديناميكيات المكانية للأنظمة المعقدة. رغم ذلك، </w:t>
      </w:r>
      <w:r>
        <w:rPr>
          <w:rFonts w:ascii="Simplified Arabic" w:hAnsi="Simplified Arabic" w:cs="Simplified Arabic" w:hint="cs"/>
          <w:color w:val="000000"/>
          <w:sz w:val="24"/>
          <w:szCs w:val="24"/>
          <w:rtl/>
        </w:rPr>
        <w:t>هو</w:t>
      </w:r>
      <w:r w:rsidRPr="00382E29">
        <w:rPr>
          <w:rFonts w:ascii="Simplified Arabic" w:hAnsi="Simplified Arabic" w:cs="Simplified Arabic"/>
          <w:color w:val="000000"/>
          <w:sz w:val="24"/>
          <w:szCs w:val="24"/>
          <w:rtl/>
        </w:rPr>
        <w:t xml:space="preserve"> اداة</w:t>
      </w:r>
      <w:r w:rsidRPr="00382E29">
        <w:rPr>
          <w:rFonts w:ascii="Simplified Arabic" w:hAnsi="Simplified Arabic" w:cs="Simplified Arabic"/>
          <w:color w:val="000000"/>
          <w:sz w:val="24"/>
          <w:szCs w:val="24"/>
        </w:rPr>
        <w:t xml:space="preserve"> </w:t>
      </w:r>
      <w:r w:rsidRPr="00382E29">
        <w:rPr>
          <w:rFonts w:ascii="Simplified Arabic" w:hAnsi="Simplified Arabic" w:cs="Simplified Arabic"/>
          <w:color w:val="000000"/>
          <w:sz w:val="24"/>
          <w:szCs w:val="24"/>
          <w:rtl/>
        </w:rPr>
        <w:t>فعالة</w:t>
      </w:r>
      <w:r w:rsidRPr="00382E29">
        <w:rPr>
          <w:rFonts w:ascii="Simplified Arabic" w:hAnsi="Simplified Arabic" w:cs="Simplified Arabic"/>
          <w:color w:val="000000"/>
          <w:sz w:val="24"/>
          <w:szCs w:val="24"/>
        </w:rPr>
        <w:t xml:space="preserve"> </w:t>
      </w:r>
      <w:r w:rsidRPr="00382E29">
        <w:rPr>
          <w:rFonts w:ascii="Simplified Arabic" w:hAnsi="Simplified Arabic" w:cs="Simplified Arabic"/>
          <w:color w:val="000000"/>
          <w:sz w:val="24"/>
          <w:szCs w:val="24"/>
          <w:rtl/>
        </w:rPr>
        <w:t>جدا</w:t>
      </w:r>
      <w:r w:rsidRPr="00382E29">
        <w:rPr>
          <w:rFonts w:ascii="Simplified Arabic" w:hAnsi="Simplified Arabic" w:cs="Simplified Arabic"/>
          <w:color w:val="000000"/>
          <w:sz w:val="24"/>
          <w:szCs w:val="24"/>
        </w:rPr>
        <w:t xml:space="preserve"> </w:t>
      </w:r>
      <w:r w:rsidRPr="00382E29">
        <w:rPr>
          <w:rFonts w:ascii="Simplified Arabic" w:hAnsi="Simplified Arabic" w:cs="Simplified Arabic"/>
          <w:color w:val="000000"/>
          <w:sz w:val="24"/>
          <w:szCs w:val="24"/>
          <w:rtl/>
        </w:rPr>
        <w:t>في</w:t>
      </w:r>
      <w:r w:rsidRPr="00382E29">
        <w:rPr>
          <w:rFonts w:ascii="Simplified Arabic" w:hAnsi="Simplified Arabic" w:cs="Simplified Arabic"/>
          <w:color w:val="000000"/>
          <w:sz w:val="24"/>
          <w:szCs w:val="24"/>
        </w:rPr>
        <w:t xml:space="preserve"> </w:t>
      </w:r>
      <w:r w:rsidRPr="00382E29">
        <w:rPr>
          <w:rFonts w:ascii="Simplified Arabic" w:hAnsi="Simplified Arabic" w:cs="Simplified Arabic"/>
          <w:color w:val="000000"/>
          <w:sz w:val="24"/>
          <w:szCs w:val="24"/>
          <w:rtl/>
        </w:rPr>
        <w:t>دعم</w:t>
      </w:r>
      <w:r w:rsidRPr="00382E29">
        <w:rPr>
          <w:rFonts w:ascii="Simplified Arabic" w:hAnsi="Simplified Arabic" w:cs="Simplified Arabic"/>
          <w:color w:val="000000"/>
          <w:sz w:val="24"/>
          <w:szCs w:val="24"/>
        </w:rPr>
        <w:t xml:space="preserve"> </w:t>
      </w:r>
      <w:r w:rsidRPr="00382E29">
        <w:rPr>
          <w:rFonts w:ascii="Simplified Arabic" w:hAnsi="Simplified Arabic" w:cs="Simplified Arabic"/>
          <w:color w:val="000000"/>
          <w:sz w:val="24"/>
          <w:szCs w:val="24"/>
          <w:rtl/>
        </w:rPr>
        <w:t>واتخاذ</w:t>
      </w:r>
      <w:r w:rsidRPr="00382E29">
        <w:rPr>
          <w:rFonts w:ascii="Simplified Arabic" w:hAnsi="Simplified Arabic" w:cs="Simplified Arabic"/>
          <w:color w:val="000000"/>
          <w:sz w:val="24"/>
          <w:szCs w:val="24"/>
        </w:rPr>
        <w:t xml:space="preserve"> </w:t>
      </w:r>
      <w:r w:rsidRPr="00382E29">
        <w:rPr>
          <w:rFonts w:ascii="Simplified Arabic" w:hAnsi="Simplified Arabic" w:cs="Simplified Arabic"/>
          <w:color w:val="000000"/>
          <w:sz w:val="24"/>
          <w:szCs w:val="24"/>
          <w:rtl/>
        </w:rPr>
        <w:t>القرارات</w:t>
      </w:r>
      <w:r w:rsidRPr="00382E29">
        <w:rPr>
          <w:rFonts w:ascii="Simplified Arabic" w:hAnsi="Simplified Arabic" w:cs="Simplified Arabic"/>
          <w:color w:val="000000"/>
          <w:sz w:val="24"/>
          <w:szCs w:val="24"/>
        </w:rPr>
        <w:t xml:space="preserve"> </w:t>
      </w:r>
      <w:r w:rsidRPr="00382E29">
        <w:rPr>
          <w:rFonts w:ascii="Simplified Arabic" w:hAnsi="Simplified Arabic" w:cs="Simplified Arabic"/>
          <w:color w:val="000000"/>
          <w:sz w:val="24"/>
          <w:szCs w:val="24"/>
          <w:rtl/>
        </w:rPr>
        <w:t xml:space="preserve">التخطيطية، حيث </w:t>
      </w:r>
      <w:r>
        <w:rPr>
          <w:rFonts w:ascii="Simplified Arabic" w:hAnsi="Simplified Arabic" w:cs="Simplified Arabic" w:hint="cs"/>
          <w:color w:val="000000"/>
          <w:sz w:val="24"/>
          <w:szCs w:val="24"/>
          <w:rtl/>
        </w:rPr>
        <w:t>جمع</w:t>
      </w:r>
      <w:r w:rsidRPr="00382E29">
        <w:rPr>
          <w:rFonts w:ascii="Simplified Arabic" w:hAnsi="Simplified Arabic" w:cs="Simplified Arabic"/>
          <w:color w:val="000000"/>
          <w:sz w:val="24"/>
          <w:szCs w:val="24"/>
          <w:rtl/>
        </w:rPr>
        <w:t xml:space="preserve"> هذا البحث </w:t>
      </w:r>
      <w:r>
        <w:rPr>
          <w:rFonts w:ascii="Simplified Arabic" w:hAnsi="Simplified Arabic" w:cs="Simplified Arabic" w:hint="cs"/>
          <w:color w:val="000000"/>
          <w:sz w:val="24"/>
          <w:szCs w:val="24"/>
          <w:rtl/>
        </w:rPr>
        <w:t>بين طريقة دلفي لحصر العوامل الفعالة للتقييم وتقنية</w:t>
      </w:r>
      <w:r w:rsidRPr="00382E29">
        <w:rPr>
          <w:rFonts w:ascii="Simplified Arabic" w:hAnsi="Simplified Arabic" w:cs="Simplified Arabic"/>
          <w:color w:val="000000"/>
          <w:sz w:val="24"/>
          <w:szCs w:val="24"/>
          <w:rtl/>
        </w:rPr>
        <w:t xml:space="preserve"> </w:t>
      </w:r>
      <w:r w:rsidRPr="00FF2DD0">
        <w:rPr>
          <w:rFonts w:asciiTheme="majorBidi" w:hAnsiTheme="majorBidi" w:cstheme="majorBidi"/>
          <w:sz w:val="24"/>
          <w:szCs w:val="24"/>
        </w:rPr>
        <w:t>(</w:t>
      </w:r>
      <w:r w:rsidRPr="00FF2DD0">
        <w:rPr>
          <w:rFonts w:asciiTheme="majorBidi" w:hAnsiTheme="majorBidi" w:cstheme="majorBidi"/>
          <w:sz w:val="24"/>
          <w:szCs w:val="24"/>
          <w:lang w:val="en-US"/>
        </w:rPr>
        <w:t>GIS</w:t>
      </w:r>
      <w:r w:rsidRPr="00FF2DD0">
        <w:rPr>
          <w:rFonts w:asciiTheme="majorBidi" w:hAnsiTheme="majorBidi" w:cstheme="majorBidi"/>
          <w:sz w:val="24"/>
          <w:szCs w:val="24"/>
        </w:rPr>
        <w:t>)</w:t>
      </w:r>
      <w:r w:rsidRPr="00382E29">
        <w:rPr>
          <w:rFonts w:ascii="Simplified Arabic" w:hAnsi="Simplified Arabic" w:cs="Simplified Arabic"/>
          <w:color w:val="000000"/>
          <w:rtl/>
        </w:rPr>
        <w:t xml:space="preserve"> </w:t>
      </w:r>
      <w:r w:rsidRPr="00382E29">
        <w:rPr>
          <w:rFonts w:ascii="Simplified Arabic" w:hAnsi="Simplified Arabic" w:cs="Simplified Arabic"/>
          <w:color w:val="000000"/>
          <w:sz w:val="24"/>
          <w:szCs w:val="24"/>
          <w:rtl/>
        </w:rPr>
        <w:t xml:space="preserve">للقيام بنمذجة التوزيع المكاني </w:t>
      </w:r>
      <w:r>
        <w:rPr>
          <w:rFonts w:ascii="Simplified Arabic" w:hAnsi="Simplified Arabic" w:cs="Simplified Arabic" w:hint="cs"/>
          <w:color w:val="000000"/>
          <w:sz w:val="24"/>
          <w:szCs w:val="24"/>
          <w:rtl/>
        </w:rPr>
        <w:t>لعوامل التقييم النهائية</w:t>
      </w:r>
      <w:r w:rsidRPr="00382E29">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rPr>
        <w:t xml:space="preserve"> من جهة. من جهة اخرى، مزج هذا البحث بين</w:t>
      </w:r>
      <w:r w:rsidRPr="00382E29">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تقنية</w:t>
      </w:r>
      <w:r w:rsidRPr="00382E29">
        <w:rPr>
          <w:rFonts w:ascii="Simplified Arabic" w:hAnsi="Simplified Arabic" w:cs="Simplified Arabic"/>
          <w:color w:val="000000"/>
          <w:sz w:val="24"/>
          <w:szCs w:val="24"/>
          <w:rtl/>
        </w:rPr>
        <w:t xml:space="preserve"> </w:t>
      </w:r>
      <w:r w:rsidRPr="00FF2DD0">
        <w:rPr>
          <w:rFonts w:asciiTheme="majorBidi" w:hAnsiTheme="majorBidi" w:cstheme="majorBidi"/>
          <w:sz w:val="24"/>
          <w:szCs w:val="24"/>
        </w:rPr>
        <w:t>(</w:t>
      </w:r>
      <w:r w:rsidRPr="00FF2DD0">
        <w:rPr>
          <w:rFonts w:asciiTheme="majorBidi" w:hAnsiTheme="majorBidi" w:cstheme="majorBidi"/>
          <w:sz w:val="24"/>
          <w:szCs w:val="24"/>
          <w:lang w:val="en-US"/>
        </w:rPr>
        <w:t>GIS</w:t>
      </w:r>
      <w:r w:rsidRPr="00FF2DD0">
        <w:rPr>
          <w:rFonts w:asciiTheme="majorBidi" w:hAnsiTheme="majorBidi" w:cstheme="majorBidi"/>
          <w:sz w:val="24"/>
          <w:szCs w:val="24"/>
        </w:rPr>
        <w:t>)</w:t>
      </w:r>
      <w:r>
        <w:rPr>
          <w:rFonts w:asciiTheme="majorBidi" w:hAnsiTheme="majorBidi" w:cstheme="majorBidi" w:hint="cs"/>
          <w:sz w:val="24"/>
          <w:szCs w:val="24"/>
          <w:rtl/>
        </w:rPr>
        <w:t xml:space="preserve"> و</w:t>
      </w:r>
      <w:r>
        <w:rPr>
          <w:rFonts w:ascii="Simplified Arabic" w:hAnsi="Simplified Arabic" w:cs="Simplified Arabic" w:hint="cs"/>
          <w:color w:val="000000"/>
          <w:sz w:val="24"/>
          <w:szCs w:val="24"/>
          <w:rtl/>
        </w:rPr>
        <w:t>نتائج عملية</w:t>
      </w:r>
      <w:r w:rsidRPr="00382E29">
        <w:rPr>
          <w:rFonts w:ascii="Simplified Arabic" w:hAnsi="Simplified Arabic" w:cs="Simplified Arabic"/>
          <w:color w:val="000000"/>
          <w:sz w:val="24"/>
          <w:szCs w:val="24"/>
          <w:rtl/>
        </w:rPr>
        <w:t xml:space="preserve"> </w:t>
      </w:r>
      <w:r w:rsidRPr="00382E29">
        <w:rPr>
          <w:rFonts w:asciiTheme="majorBidi" w:hAnsiTheme="majorBidi" w:cstheme="majorBidi"/>
          <w:sz w:val="24"/>
          <w:szCs w:val="24"/>
        </w:rPr>
        <w:t>(AHP</w:t>
      </w:r>
      <w:r w:rsidRPr="00382E29">
        <w:rPr>
          <w:rFonts w:ascii="Simplified Arabic" w:hAnsi="Simplified Arabic" w:cs="Simplified Arabic"/>
        </w:rPr>
        <w:t>)</w:t>
      </w:r>
      <w:r>
        <w:rPr>
          <w:rFonts w:ascii="Simplified Arabic" w:hAnsi="Simplified Arabic" w:cs="Simplified Arabic" w:hint="cs"/>
          <w:rtl/>
        </w:rPr>
        <w:t xml:space="preserve">، </w:t>
      </w:r>
      <w:r w:rsidRPr="00382E29">
        <w:rPr>
          <w:rFonts w:ascii="Simplified Arabic" w:hAnsi="Simplified Arabic" w:cs="Simplified Arabic"/>
          <w:color w:val="000000"/>
          <w:sz w:val="24"/>
          <w:szCs w:val="24"/>
          <w:rtl/>
        </w:rPr>
        <w:t xml:space="preserve">سمح هذا </w:t>
      </w:r>
      <w:r>
        <w:rPr>
          <w:rFonts w:ascii="Simplified Arabic" w:hAnsi="Simplified Arabic" w:cs="Simplified Arabic" w:hint="cs"/>
          <w:color w:val="000000"/>
          <w:sz w:val="24"/>
          <w:szCs w:val="24"/>
          <w:rtl/>
        </w:rPr>
        <w:t>المزج</w:t>
      </w:r>
      <w:r w:rsidRPr="00382E29">
        <w:rPr>
          <w:rFonts w:ascii="Simplified Arabic" w:hAnsi="Simplified Arabic" w:cs="Simplified Arabic"/>
          <w:color w:val="000000"/>
          <w:sz w:val="24"/>
          <w:szCs w:val="24"/>
          <w:rtl/>
        </w:rPr>
        <w:t xml:space="preserve"> بترجمة نتائج</w:t>
      </w:r>
      <w:r>
        <w:rPr>
          <w:rFonts w:ascii="Simplified Arabic" w:hAnsi="Simplified Arabic" w:cs="Simplified Arabic" w:hint="cs"/>
          <w:color w:val="000000"/>
          <w:sz w:val="24"/>
          <w:szCs w:val="24"/>
          <w:rtl/>
        </w:rPr>
        <w:t xml:space="preserve"> عملية</w:t>
      </w:r>
      <w:r w:rsidRPr="00382E29">
        <w:rPr>
          <w:rFonts w:ascii="Simplified Arabic" w:hAnsi="Simplified Arabic" w:cs="Simplified Arabic"/>
          <w:color w:val="000000"/>
          <w:sz w:val="24"/>
          <w:szCs w:val="24"/>
          <w:rtl/>
        </w:rPr>
        <w:t xml:space="preserve"> </w:t>
      </w:r>
      <w:r w:rsidRPr="00382E29">
        <w:rPr>
          <w:rFonts w:asciiTheme="majorBidi" w:hAnsiTheme="majorBidi" w:cstheme="majorBidi"/>
          <w:sz w:val="24"/>
          <w:szCs w:val="24"/>
        </w:rPr>
        <w:t>(AHP</w:t>
      </w:r>
      <w:r w:rsidRPr="00382E29">
        <w:rPr>
          <w:rFonts w:ascii="Simplified Arabic" w:hAnsi="Simplified Arabic" w:cs="Simplified Arabic"/>
        </w:rPr>
        <w:t>)</w:t>
      </w:r>
      <w:r>
        <w:rPr>
          <w:rFonts w:ascii="Simplified Arabic" w:hAnsi="Simplified Arabic" w:cs="Simplified Arabic" w:hint="cs"/>
          <w:rtl/>
        </w:rPr>
        <w:t xml:space="preserve"> </w:t>
      </w:r>
      <w:r w:rsidRPr="00382E29">
        <w:rPr>
          <w:rFonts w:ascii="Simplified Arabic" w:hAnsi="Simplified Arabic" w:cs="Simplified Arabic"/>
          <w:color w:val="000000"/>
          <w:sz w:val="24"/>
          <w:szCs w:val="24"/>
          <w:rtl/>
        </w:rPr>
        <w:t xml:space="preserve">إلى خريطة تصنيفات </w:t>
      </w:r>
      <w:r>
        <w:rPr>
          <w:rFonts w:ascii="Simplified Arabic" w:hAnsi="Simplified Arabic" w:cs="Simplified Arabic" w:hint="cs"/>
          <w:color w:val="000000"/>
          <w:sz w:val="24"/>
          <w:szCs w:val="24"/>
          <w:rtl/>
        </w:rPr>
        <w:t>ل</w:t>
      </w:r>
      <w:r w:rsidRPr="00382E29">
        <w:rPr>
          <w:rFonts w:ascii="Simplified Arabic" w:hAnsi="Simplified Arabic" w:cs="Simplified Arabic"/>
          <w:color w:val="000000"/>
          <w:sz w:val="24"/>
          <w:szCs w:val="24"/>
          <w:rtl/>
        </w:rPr>
        <w:t xml:space="preserve">لمرونة الحضرية. </w:t>
      </w:r>
      <w:r>
        <w:rPr>
          <w:rFonts w:ascii="Simplified Arabic" w:hAnsi="Simplified Arabic" w:cs="Simplified Arabic" w:hint="cs"/>
          <w:color w:val="000000"/>
          <w:sz w:val="24"/>
          <w:szCs w:val="24"/>
          <w:rtl/>
        </w:rPr>
        <w:t>لذلك</w:t>
      </w:r>
      <w:r w:rsidRPr="00382E29">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ت</w:t>
      </w:r>
      <w:r w:rsidRPr="00382E29">
        <w:rPr>
          <w:rFonts w:ascii="Simplified Arabic" w:hAnsi="Simplified Arabic" w:cs="Simplified Arabic"/>
          <w:color w:val="000000"/>
          <w:sz w:val="24"/>
          <w:szCs w:val="24"/>
          <w:rtl/>
        </w:rPr>
        <w:t>وفر المنهجية المشتركة بين</w:t>
      </w:r>
      <w:r>
        <w:rPr>
          <w:rFonts w:ascii="Simplified Arabic" w:hAnsi="Simplified Arabic" w:cs="Simplified Arabic" w:hint="cs"/>
          <w:color w:val="000000"/>
          <w:sz w:val="24"/>
          <w:szCs w:val="24"/>
          <w:rtl/>
        </w:rPr>
        <w:t xml:space="preserve"> طريقة دلفي</w:t>
      </w:r>
      <w:r w:rsidRPr="00382E29">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وتقنية </w:t>
      </w:r>
      <w:r w:rsidRPr="00382E29">
        <w:rPr>
          <w:rFonts w:asciiTheme="majorBidi" w:hAnsiTheme="majorBidi" w:cstheme="majorBidi"/>
          <w:sz w:val="24"/>
          <w:szCs w:val="24"/>
          <w:rtl/>
        </w:rPr>
        <w:t>(</w:t>
      </w:r>
      <w:r w:rsidRPr="00382E29">
        <w:rPr>
          <w:rFonts w:asciiTheme="majorBidi" w:hAnsiTheme="majorBidi" w:cstheme="majorBidi"/>
          <w:sz w:val="24"/>
          <w:szCs w:val="24"/>
        </w:rPr>
        <w:t>GIS</w:t>
      </w:r>
      <w:r w:rsidRPr="00382E29">
        <w:rPr>
          <w:rFonts w:asciiTheme="majorBidi" w:hAnsiTheme="majorBidi" w:cstheme="majorBidi"/>
          <w:sz w:val="24"/>
          <w:szCs w:val="24"/>
          <w:rtl/>
        </w:rPr>
        <w:t>)</w:t>
      </w:r>
      <w:r w:rsidRPr="00382E29">
        <w:rPr>
          <w:rFonts w:ascii="Simplified Arabic" w:hAnsi="Simplified Arabic" w:cs="Simplified Arabic"/>
          <w:sz w:val="24"/>
          <w:szCs w:val="24"/>
          <w:rtl/>
          <w:lang w:bidi="ar-DZ"/>
        </w:rPr>
        <w:t xml:space="preserve"> </w:t>
      </w:r>
      <w:r>
        <w:rPr>
          <w:rFonts w:ascii="Simplified Arabic" w:hAnsi="Simplified Arabic" w:cs="Simplified Arabic" w:hint="cs"/>
          <w:color w:val="000000"/>
          <w:sz w:val="24"/>
          <w:szCs w:val="24"/>
          <w:rtl/>
        </w:rPr>
        <w:t xml:space="preserve">وعملية </w:t>
      </w:r>
      <w:r w:rsidRPr="00382E29">
        <w:rPr>
          <w:rFonts w:asciiTheme="majorBidi" w:hAnsiTheme="majorBidi" w:cstheme="majorBidi"/>
          <w:sz w:val="24"/>
          <w:szCs w:val="24"/>
          <w:rtl/>
        </w:rPr>
        <w:t>(</w:t>
      </w:r>
      <w:r w:rsidRPr="00382E29">
        <w:rPr>
          <w:rFonts w:asciiTheme="majorBidi" w:hAnsiTheme="majorBidi" w:cstheme="majorBidi"/>
          <w:sz w:val="24"/>
          <w:szCs w:val="24"/>
        </w:rPr>
        <w:t>AHP</w:t>
      </w:r>
      <w:r w:rsidRPr="00382E29">
        <w:rPr>
          <w:rFonts w:asciiTheme="majorBidi" w:hAnsiTheme="majorBidi" w:cstheme="majorBidi"/>
          <w:sz w:val="24"/>
          <w:szCs w:val="24"/>
          <w:rtl/>
        </w:rPr>
        <w:t>)</w:t>
      </w:r>
      <w:r>
        <w:rPr>
          <w:rFonts w:ascii="Simplified Arabic" w:hAnsi="Simplified Arabic" w:cs="Simplified Arabic"/>
          <w:color w:val="000000"/>
          <w:sz w:val="24"/>
          <w:szCs w:val="24"/>
          <w:rtl/>
        </w:rPr>
        <w:t xml:space="preserve"> </w:t>
      </w:r>
      <w:r w:rsidRPr="00382E29">
        <w:rPr>
          <w:rFonts w:ascii="Simplified Arabic" w:hAnsi="Simplified Arabic" w:cs="Simplified Arabic"/>
          <w:color w:val="000000"/>
          <w:sz w:val="24"/>
          <w:szCs w:val="24"/>
          <w:rtl/>
        </w:rPr>
        <w:t>نظامًا قويًا لدعم القرار المكاني</w:t>
      </w:r>
      <w:r w:rsidRPr="00382E29">
        <w:rPr>
          <w:rFonts w:ascii="Simplified Arabic" w:hAnsi="Simplified Arabic" w:cs="Simplified Arabic"/>
          <w:sz w:val="24"/>
          <w:szCs w:val="24"/>
          <w:lang w:bidi="ar-DZ"/>
        </w:rPr>
        <w:t xml:space="preserve"> </w:t>
      </w:r>
      <w:r w:rsidRPr="00382E29">
        <w:rPr>
          <w:rFonts w:asciiTheme="majorBidi" w:hAnsiTheme="majorBidi" w:cstheme="majorBidi"/>
          <w:sz w:val="24"/>
          <w:szCs w:val="24"/>
          <w:rtl/>
        </w:rPr>
        <w:t>(</w:t>
      </w:r>
      <w:r w:rsidRPr="00C75CAD">
        <w:rPr>
          <w:rFonts w:asciiTheme="majorBidi" w:hAnsiTheme="majorBidi" w:cstheme="majorBidi"/>
          <w:sz w:val="24"/>
          <w:szCs w:val="24"/>
        </w:rPr>
        <w:t>Kazemi</w:t>
      </w:r>
      <w:r w:rsidRPr="00382E29">
        <w:rPr>
          <w:rFonts w:asciiTheme="majorBidi" w:hAnsiTheme="majorBidi" w:cstheme="majorBidi"/>
          <w:sz w:val="24"/>
          <w:szCs w:val="24"/>
        </w:rPr>
        <w:t xml:space="preserve"> et al., 2016</w:t>
      </w:r>
      <w:r w:rsidRPr="00382E29">
        <w:rPr>
          <w:rFonts w:asciiTheme="majorBidi" w:hAnsiTheme="majorBidi" w:cstheme="majorBidi"/>
          <w:sz w:val="24"/>
          <w:szCs w:val="24"/>
          <w:rtl/>
        </w:rPr>
        <w:t>)</w:t>
      </w:r>
      <w:r w:rsidRPr="00382E29">
        <w:rPr>
          <w:rFonts w:ascii="Simplified Arabic" w:hAnsi="Simplified Arabic" w:cs="Simplified Arabic"/>
          <w:color w:val="000000"/>
          <w:sz w:val="24"/>
          <w:szCs w:val="24"/>
          <w:rtl/>
        </w:rPr>
        <w:t xml:space="preserve">. </w:t>
      </w:r>
    </w:p>
    <w:p w:rsidR="000B42BD" w:rsidRPr="00E13C6A" w:rsidRDefault="000B42BD" w:rsidP="002E7C71">
      <w:pPr>
        <w:pStyle w:val="Paragraphedeliste"/>
        <w:autoSpaceDE w:val="0"/>
        <w:autoSpaceDN w:val="0"/>
        <w:bidi/>
        <w:adjustRightInd w:val="0"/>
        <w:spacing w:after="0"/>
        <w:ind w:left="-1" w:firstLine="283"/>
        <w:jc w:val="both"/>
        <w:rPr>
          <w:rFonts w:ascii="Simplified Arabic" w:hAnsi="Simplified Arabic" w:cs="Simplified Arabic"/>
          <w:color w:val="000000"/>
          <w:sz w:val="24"/>
          <w:szCs w:val="24"/>
          <w:rtl/>
        </w:rPr>
      </w:pPr>
      <w:r w:rsidRPr="00E13C6A">
        <w:rPr>
          <w:rFonts w:ascii="Simplified Arabic" w:hAnsi="Simplified Arabic" w:cs="Simplified Arabic"/>
          <w:color w:val="000000"/>
          <w:sz w:val="24"/>
          <w:szCs w:val="24"/>
          <w:rtl/>
        </w:rPr>
        <w:t xml:space="preserve">يتم توضيح العملية التشغيلية </w:t>
      </w:r>
      <w:r w:rsidRPr="00E13C6A">
        <w:rPr>
          <w:rFonts w:ascii="Simplified Arabic" w:hAnsi="Simplified Arabic" w:cs="Simplified Arabic" w:hint="cs"/>
          <w:color w:val="000000"/>
          <w:sz w:val="24"/>
          <w:szCs w:val="24"/>
          <w:rtl/>
        </w:rPr>
        <w:t xml:space="preserve">ضمن </w:t>
      </w:r>
      <w:r w:rsidRPr="00E13C6A">
        <w:rPr>
          <w:rFonts w:ascii="Simplified Arabic" w:hAnsi="Simplified Arabic" w:cs="Simplified Arabic"/>
          <w:color w:val="000000"/>
          <w:sz w:val="24"/>
          <w:szCs w:val="24"/>
          <w:rtl/>
        </w:rPr>
        <w:t>برنامج</w:t>
      </w:r>
      <w:r w:rsidRPr="00E13C6A">
        <w:rPr>
          <w:rFonts w:ascii="Simplified Arabic" w:hAnsi="Simplified Arabic" w:cs="Simplified Arabic"/>
          <w:color w:val="000000"/>
        </w:rPr>
        <w:t xml:space="preserve"> </w:t>
      </w:r>
      <w:r w:rsidRPr="00E13C6A">
        <w:rPr>
          <w:rFonts w:asciiTheme="majorBidi" w:hAnsiTheme="majorBidi" w:cstheme="majorBidi"/>
          <w:sz w:val="24"/>
          <w:szCs w:val="24"/>
          <w:rtl/>
        </w:rPr>
        <w:t>(</w:t>
      </w:r>
      <w:r w:rsidRPr="00E13C6A">
        <w:rPr>
          <w:rFonts w:asciiTheme="majorBidi" w:hAnsiTheme="majorBidi" w:cstheme="majorBidi"/>
          <w:sz w:val="24"/>
          <w:szCs w:val="24"/>
          <w:lang w:val="en-US"/>
        </w:rPr>
        <w:t>ArcGIS</w:t>
      </w:r>
      <w:r w:rsidRPr="00E13C6A">
        <w:rPr>
          <w:rFonts w:asciiTheme="majorBidi" w:hAnsiTheme="majorBidi" w:cstheme="majorBidi"/>
          <w:sz w:val="24"/>
          <w:szCs w:val="24"/>
          <w:rtl/>
        </w:rPr>
        <w:t>)</w:t>
      </w:r>
      <w:r w:rsidRPr="00E13C6A">
        <w:rPr>
          <w:rFonts w:ascii="Simplified Arabic" w:hAnsi="Simplified Arabic" w:cs="Simplified Arabic"/>
          <w:bCs/>
          <w:color w:val="000000"/>
          <w:sz w:val="24"/>
          <w:szCs w:val="24"/>
          <w:rtl/>
        </w:rPr>
        <w:t xml:space="preserve"> </w:t>
      </w:r>
      <w:r w:rsidRPr="00E13C6A">
        <w:rPr>
          <w:rFonts w:ascii="Simplified Arabic" w:hAnsi="Simplified Arabic" w:cs="Simplified Arabic"/>
          <w:color w:val="000000"/>
          <w:sz w:val="24"/>
          <w:szCs w:val="24"/>
          <w:rtl/>
        </w:rPr>
        <w:t>في الشكل (</w:t>
      </w:r>
      <w:r w:rsidR="002E7C71">
        <w:rPr>
          <w:rFonts w:ascii="Simplified Arabic" w:hAnsi="Simplified Arabic" w:cs="Simplified Arabic" w:hint="cs"/>
          <w:color w:val="000000"/>
          <w:sz w:val="24"/>
          <w:szCs w:val="24"/>
          <w:rtl/>
        </w:rPr>
        <w:t>3-10</w:t>
      </w:r>
      <w:r w:rsidRPr="00E13C6A">
        <w:rPr>
          <w:rFonts w:ascii="Simplified Arabic" w:hAnsi="Simplified Arabic" w:cs="Simplified Arabic"/>
          <w:color w:val="000000"/>
          <w:sz w:val="24"/>
          <w:szCs w:val="24"/>
          <w:rtl/>
        </w:rPr>
        <w:t>) وفق الخطوات التالية:</w:t>
      </w:r>
    </w:p>
    <w:p w:rsidR="000B42BD" w:rsidRPr="00E13C6A" w:rsidRDefault="000B42BD" w:rsidP="001D0548">
      <w:pPr>
        <w:pStyle w:val="Paragraphedeliste"/>
        <w:numPr>
          <w:ilvl w:val="0"/>
          <w:numId w:val="60"/>
        </w:numPr>
        <w:tabs>
          <w:tab w:val="right" w:pos="282"/>
        </w:tabs>
        <w:bidi/>
        <w:spacing w:after="0"/>
        <w:ind w:left="-1" w:firstLine="283"/>
        <w:jc w:val="both"/>
        <w:rPr>
          <w:rFonts w:ascii="Simplified Arabic" w:hAnsi="Simplified Arabic" w:cs="Simplified Arabic"/>
          <w:sz w:val="24"/>
          <w:szCs w:val="24"/>
          <w:rtl/>
        </w:rPr>
      </w:pPr>
      <w:r w:rsidRPr="00E13C6A">
        <w:rPr>
          <w:rFonts w:ascii="Simplified Arabic" w:hAnsi="Simplified Arabic" w:cs="Simplified Arabic"/>
          <w:sz w:val="24"/>
          <w:szCs w:val="24"/>
          <w:rtl/>
        </w:rPr>
        <w:t>يتم</w:t>
      </w:r>
      <w:r w:rsidRPr="00E13C6A">
        <w:rPr>
          <w:rFonts w:ascii="Simplified Arabic" w:hAnsi="Simplified Arabic" w:cs="Simplified Arabic"/>
          <w:sz w:val="24"/>
          <w:szCs w:val="24"/>
        </w:rPr>
        <w:t xml:space="preserve"> </w:t>
      </w:r>
      <w:r w:rsidRPr="00E13C6A">
        <w:rPr>
          <w:rFonts w:ascii="Simplified Arabic" w:hAnsi="Simplified Arabic" w:cs="Simplified Arabic"/>
          <w:sz w:val="24"/>
          <w:szCs w:val="24"/>
          <w:rtl/>
        </w:rPr>
        <w:t xml:space="preserve">إنشاء طبقة بيانات </w:t>
      </w:r>
      <w:r w:rsidR="002779DE" w:rsidRPr="00081BDD">
        <w:rPr>
          <w:rFonts w:ascii="Simplified Arabic" w:hAnsi="Simplified Arabic" w:cs="Simplified Arabic"/>
          <w:sz w:val="24"/>
          <w:szCs w:val="24"/>
          <w:rtl/>
        </w:rPr>
        <w:t xml:space="preserve">''المدخلات'' </w:t>
      </w:r>
      <w:r w:rsidRPr="00E13C6A">
        <w:rPr>
          <w:rFonts w:ascii="Simplified Arabic" w:hAnsi="Simplified Arabic" w:cs="Simplified Arabic"/>
          <w:sz w:val="24"/>
          <w:szCs w:val="24"/>
          <w:rtl/>
        </w:rPr>
        <w:t xml:space="preserve">لكل عامل من العوامل النهائية </w:t>
      </w:r>
      <w:r w:rsidRPr="00E13C6A">
        <w:rPr>
          <w:rFonts w:ascii="Simplified Arabic" w:hAnsi="Simplified Arabic" w:cs="Simplified Arabic" w:hint="cs"/>
          <w:sz w:val="24"/>
          <w:szCs w:val="24"/>
          <w:rtl/>
        </w:rPr>
        <w:t xml:space="preserve">المتحصل عليها من خلال طريقة دلفي، </w:t>
      </w:r>
      <w:r w:rsidRPr="00E13C6A">
        <w:rPr>
          <w:rFonts w:ascii="Simplified Arabic" w:hAnsi="Simplified Arabic" w:cs="Simplified Arabic"/>
          <w:sz w:val="24"/>
          <w:szCs w:val="24"/>
          <w:rtl/>
        </w:rPr>
        <w:t xml:space="preserve">التي استخدمها البحث الحالي في التحليل المكاني باستخدام برنامج </w:t>
      </w:r>
      <w:r w:rsidRPr="00E13C6A">
        <w:rPr>
          <w:rFonts w:asciiTheme="majorBidi" w:hAnsiTheme="majorBidi" w:cstheme="majorBidi"/>
          <w:sz w:val="24"/>
          <w:szCs w:val="24"/>
        </w:rPr>
        <w:t>(</w:t>
      </w:r>
      <w:r w:rsidRPr="00E13C6A">
        <w:rPr>
          <w:rFonts w:asciiTheme="majorBidi" w:hAnsiTheme="majorBidi" w:cstheme="majorBidi"/>
          <w:sz w:val="24"/>
          <w:szCs w:val="24"/>
          <w:lang w:val="en-US"/>
        </w:rPr>
        <w:t>ArcGIS</w:t>
      </w:r>
      <w:r w:rsidRPr="00E13C6A">
        <w:rPr>
          <w:rFonts w:asciiTheme="majorBidi" w:hAnsiTheme="majorBidi" w:cstheme="majorBidi"/>
          <w:sz w:val="24"/>
          <w:szCs w:val="24"/>
        </w:rPr>
        <w:t>)</w:t>
      </w:r>
      <w:r w:rsidRPr="00E13C6A">
        <w:rPr>
          <w:rFonts w:ascii="Simplified Arabic" w:hAnsi="Simplified Arabic" w:cs="Simplified Arabic"/>
          <w:sz w:val="24"/>
          <w:szCs w:val="24"/>
          <w:rtl/>
        </w:rPr>
        <w:t xml:space="preserve">. </w:t>
      </w:r>
    </w:p>
    <w:p w:rsidR="00E13C6A" w:rsidRPr="002779DE" w:rsidRDefault="000B42BD" w:rsidP="001D0548">
      <w:pPr>
        <w:pStyle w:val="Paragraphedeliste"/>
        <w:numPr>
          <w:ilvl w:val="0"/>
          <w:numId w:val="59"/>
        </w:numPr>
        <w:autoSpaceDE w:val="0"/>
        <w:autoSpaceDN w:val="0"/>
        <w:bidi/>
        <w:adjustRightInd w:val="0"/>
        <w:spacing w:after="0"/>
        <w:ind w:left="-1" w:firstLine="283"/>
        <w:jc w:val="both"/>
        <w:rPr>
          <w:rFonts w:ascii="Simplified Arabic" w:hAnsi="Simplified Arabic" w:cs="Simplified Arabic"/>
          <w:sz w:val="24"/>
          <w:szCs w:val="24"/>
        </w:rPr>
      </w:pPr>
      <w:r w:rsidRPr="002779DE">
        <w:rPr>
          <w:rFonts w:ascii="Simplified Arabic" w:hAnsi="Simplified Arabic" w:cs="Simplified Arabic"/>
          <w:sz w:val="24"/>
          <w:szCs w:val="24"/>
          <w:rtl/>
        </w:rPr>
        <w:t xml:space="preserve">يتم </w:t>
      </w:r>
      <w:r w:rsidRPr="002779DE">
        <w:rPr>
          <w:rFonts w:ascii="Simplified Arabic" w:hAnsi="Simplified Arabic" w:cs="Simplified Arabic" w:hint="cs"/>
          <w:sz w:val="24"/>
          <w:szCs w:val="24"/>
          <w:rtl/>
        </w:rPr>
        <w:t>ضرب</w:t>
      </w:r>
      <w:r w:rsidRPr="002779DE">
        <w:rPr>
          <w:rFonts w:ascii="Simplified Arabic" w:hAnsi="Simplified Arabic" w:cs="Simplified Arabic"/>
          <w:sz w:val="24"/>
          <w:szCs w:val="24"/>
          <w:rtl/>
        </w:rPr>
        <w:t xml:space="preserve"> </w:t>
      </w:r>
      <w:r w:rsidRPr="002779DE">
        <w:rPr>
          <w:rFonts w:ascii="Simplified Arabic" w:hAnsi="Simplified Arabic" w:cs="Simplified Arabic" w:hint="cs"/>
          <w:sz w:val="24"/>
          <w:szCs w:val="24"/>
          <w:rtl/>
        </w:rPr>
        <w:t>اوزان المعايير الفرعية المتحصل عليها من</w:t>
      </w:r>
      <w:r w:rsidRPr="002779DE">
        <w:rPr>
          <w:rFonts w:asciiTheme="majorBidi" w:hAnsiTheme="majorBidi" w:cstheme="majorBidi"/>
          <w:color w:val="000000" w:themeColor="text1"/>
          <w:sz w:val="24"/>
          <w:szCs w:val="24"/>
          <w:rtl/>
          <w:lang w:val="en-US"/>
        </w:rPr>
        <w:t xml:space="preserve"> (</w:t>
      </w:r>
      <w:r w:rsidRPr="002779DE">
        <w:rPr>
          <w:rFonts w:asciiTheme="majorBidi" w:hAnsiTheme="majorBidi" w:cstheme="majorBidi"/>
          <w:color w:val="000000" w:themeColor="text1"/>
          <w:sz w:val="24"/>
          <w:szCs w:val="24"/>
        </w:rPr>
        <w:t>AHP</w:t>
      </w:r>
      <w:r w:rsidRPr="002779DE">
        <w:rPr>
          <w:rFonts w:asciiTheme="majorBidi" w:hAnsiTheme="majorBidi" w:cstheme="majorBidi"/>
          <w:color w:val="000000" w:themeColor="text1"/>
          <w:sz w:val="24"/>
          <w:szCs w:val="24"/>
          <w:rtl/>
          <w:lang w:val="en-US"/>
        </w:rPr>
        <w:t>)</w:t>
      </w:r>
      <w:r w:rsidRPr="002779DE">
        <w:rPr>
          <w:rFonts w:asciiTheme="majorBidi" w:hAnsiTheme="majorBidi" w:cstheme="majorBidi" w:hint="cs"/>
          <w:color w:val="000000" w:themeColor="text1"/>
          <w:sz w:val="24"/>
          <w:szCs w:val="24"/>
          <w:rtl/>
          <w:lang w:val="en-US"/>
        </w:rPr>
        <w:t xml:space="preserve"> </w:t>
      </w:r>
      <w:r w:rsidRPr="002779DE">
        <w:rPr>
          <w:rFonts w:ascii="Simplified Arabic" w:hAnsi="Simplified Arabic" w:cs="Simplified Arabic"/>
          <w:sz w:val="24"/>
          <w:szCs w:val="24"/>
          <w:rtl/>
        </w:rPr>
        <w:t xml:space="preserve">في خريطة المعلمة </w:t>
      </w:r>
      <w:r w:rsidRPr="002779DE">
        <w:rPr>
          <w:rFonts w:ascii="Simplified Arabic" w:hAnsi="Simplified Arabic" w:cs="Simplified Arabic" w:hint="cs"/>
          <w:sz w:val="24"/>
          <w:szCs w:val="24"/>
          <w:rtl/>
        </w:rPr>
        <w:t>ل</w:t>
      </w:r>
      <w:r w:rsidRPr="002779DE">
        <w:rPr>
          <w:rFonts w:ascii="Simplified Arabic" w:hAnsi="Simplified Arabic" w:cs="Simplified Arabic"/>
          <w:sz w:val="24"/>
          <w:szCs w:val="24"/>
          <w:rtl/>
        </w:rPr>
        <w:t xml:space="preserve">كل طبقة من </w:t>
      </w:r>
      <w:r w:rsidRPr="002779DE">
        <w:rPr>
          <w:rFonts w:ascii="Simplified Arabic" w:hAnsi="Simplified Arabic" w:cs="Simplified Arabic" w:hint="cs"/>
          <w:sz w:val="24"/>
          <w:szCs w:val="24"/>
          <w:rtl/>
        </w:rPr>
        <w:t>ال</w:t>
      </w:r>
      <w:r w:rsidRPr="002779DE">
        <w:rPr>
          <w:rFonts w:ascii="Simplified Arabic" w:hAnsi="Simplified Arabic" w:cs="Simplified Arabic"/>
          <w:sz w:val="24"/>
          <w:szCs w:val="24"/>
          <w:rtl/>
        </w:rPr>
        <w:t>طبقات</w:t>
      </w:r>
      <w:r w:rsidRPr="002779DE">
        <w:rPr>
          <w:rFonts w:ascii="Simplified Arabic" w:hAnsi="Simplified Arabic" w:cs="Simplified Arabic" w:hint="cs"/>
          <w:sz w:val="24"/>
          <w:szCs w:val="24"/>
          <w:rtl/>
        </w:rPr>
        <w:t xml:space="preserve"> ضمن بيئة</w:t>
      </w:r>
      <w:r w:rsidRPr="002779DE">
        <w:rPr>
          <w:rFonts w:ascii="Simplified Arabic" w:hAnsi="Simplified Arabic" w:cs="Simplified Arabic"/>
          <w:sz w:val="24"/>
          <w:szCs w:val="24"/>
          <w:rtl/>
        </w:rPr>
        <w:t xml:space="preserve"> </w:t>
      </w:r>
      <w:r w:rsidRPr="002779DE">
        <w:rPr>
          <w:rFonts w:asciiTheme="majorBidi" w:hAnsiTheme="majorBidi" w:cstheme="majorBidi"/>
          <w:sz w:val="24"/>
          <w:szCs w:val="24"/>
        </w:rPr>
        <w:t>(GIS)</w:t>
      </w:r>
      <w:r w:rsidRPr="002779DE">
        <w:rPr>
          <w:rFonts w:ascii="Simplified Arabic" w:hAnsi="Simplified Arabic" w:cs="Simplified Arabic" w:hint="cs"/>
          <w:sz w:val="24"/>
          <w:szCs w:val="24"/>
          <w:rtl/>
        </w:rPr>
        <w:t xml:space="preserve">، </w:t>
      </w:r>
      <w:r w:rsidRPr="002779DE">
        <w:rPr>
          <w:rFonts w:ascii="Simplified Arabic" w:hAnsi="Simplified Arabic" w:cs="Simplified Arabic"/>
          <w:sz w:val="24"/>
          <w:szCs w:val="24"/>
          <w:rtl/>
        </w:rPr>
        <w:t xml:space="preserve">للحصول على خرائط التوزيع المكاني للعوامل المستخدمة </w:t>
      </w:r>
      <w:r w:rsidRPr="002779DE">
        <w:rPr>
          <w:rFonts w:ascii="Simplified Arabic" w:hAnsi="Simplified Arabic" w:cs="Simplified Arabic" w:hint="cs"/>
          <w:sz w:val="24"/>
          <w:szCs w:val="24"/>
          <w:rtl/>
        </w:rPr>
        <w:t>في ا</w:t>
      </w:r>
      <w:r w:rsidRPr="002779DE">
        <w:rPr>
          <w:rFonts w:ascii="Simplified Arabic" w:hAnsi="Simplified Arabic" w:cs="Simplified Arabic"/>
          <w:sz w:val="24"/>
          <w:szCs w:val="24"/>
          <w:rtl/>
        </w:rPr>
        <w:t>لتقييم</w:t>
      </w:r>
      <w:r w:rsidRPr="002779DE">
        <w:rPr>
          <w:rFonts w:ascii="Simplified Arabic" w:hAnsi="Simplified Arabic" w:cs="Simplified Arabic" w:hint="cs"/>
          <w:sz w:val="24"/>
          <w:szCs w:val="24"/>
          <w:rtl/>
        </w:rPr>
        <w:t>.</w:t>
      </w:r>
      <w:r w:rsidRPr="002779DE">
        <w:rPr>
          <w:rFonts w:ascii="Simplified Arabic" w:hAnsi="Simplified Arabic" w:cs="Simplified Arabic"/>
          <w:sz w:val="24"/>
          <w:szCs w:val="24"/>
          <w:rtl/>
        </w:rPr>
        <w:t xml:space="preserve"> </w:t>
      </w:r>
      <w:r w:rsidRPr="002779DE">
        <w:rPr>
          <w:rFonts w:ascii="Simplified Arabic" w:hAnsi="Simplified Arabic" w:cs="Simplified Arabic" w:hint="cs"/>
          <w:sz w:val="24"/>
          <w:szCs w:val="24"/>
          <w:rtl/>
        </w:rPr>
        <w:t xml:space="preserve">يتم </w:t>
      </w:r>
      <w:r w:rsidRPr="002779DE">
        <w:rPr>
          <w:rFonts w:ascii="Simplified Arabic" w:hAnsi="Simplified Arabic" w:cs="Simplified Arabic"/>
          <w:sz w:val="24"/>
          <w:szCs w:val="24"/>
          <w:rtl/>
        </w:rPr>
        <w:t>استخدام متوسط المعلم</w:t>
      </w:r>
      <w:r w:rsidRPr="002779DE">
        <w:rPr>
          <w:rFonts w:ascii="Simplified Arabic" w:hAnsi="Simplified Arabic" w:cs="Simplified Arabic" w:hint="cs"/>
          <w:sz w:val="24"/>
          <w:szCs w:val="24"/>
          <w:rtl/>
        </w:rPr>
        <w:t>ة</w:t>
      </w:r>
      <w:r w:rsidRPr="002779DE">
        <w:rPr>
          <w:rFonts w:ascii="Simplified Arabic" w:hAnsi="Simplified Arabic" w:cs="Simplified Arabic"/>
          <w:sz w:val="24"/>
          <w:szCs w:val="24"/>
          <w:rtl/>
        </w:rPr>
        <w:t xml:space="preserve"> والانحراف </w:t>
      </w:r>
      <w:r w:rsidRPr="002779DE">
        <w:rPr>
          <w:rFonts w:ascii="Simplified Arabic" w:hAnsi="Simplified Arabic" w:cs="Simplified Arabic"/>
          <w:sz w:val="24"/>
          <w:szCs w:val="24"/>
          <w:rtl/>
        </w:rPr>
        <w:lastRenderedPageBreak/>
        <w:t>المعياري لإعادة التصنيف</w:t>
      </w:r>
      <w:r w:rsidRPr="002779DE">
        <w:rPr>
          <w:rFonts w:asciiTheme="majorBidi" w:hAnsiTheme="majorBidi" w:cstheme="majorBidi"/>
          <w:sz w:val="24"/>
          <w:szCs w:val="24"/>
          <w:rtl/>
        </w:rPr>
        <w:t xml:space="preserve"> (</w:t>
      </w:r>
      <w:r w:rsidRPr="00C75CAD">
        <w:rPr>
          <w:rFonts w:asciiTheme="majorBidi" w:hAnsiTheme="majorBidi" w:cstheme="majorBidi"/>
          <w:sz w:val="24"/>
          <w:szCs w:val="24"/>
        </w:rPr>
        <w:t>Xu</w:t>
      </w:r>
      <w:r w:rsidRPr="002779DE">
        <w:rPr>
          <w:rFonts w:asciiTheme="majorBidi" w:hAnsiTheme="majorBidi" w:cstheme="majorBidi"/>
          <w:sz w:val="24"/>
          <w:szCs w:val="24"/>
        </w:rPr>
        <w:t xml:space="preserve"> et al., 2011</w:t>
      </w:r>
      <w:r w:rsidRPr="002779DE">
        <w:rPr>
          <w:rFonts w:asciiTheme="majorBidi" w:hAnsiTheme="majorBidi" w:cstheme="majorBidi"/>
          <w:sz w:val="24"/>
          <w:szCs w:val="24"/>
          <w:rtl/>
        </w:rPr>
        <w:t>)</w:t>
      </w:r>
      <w:r w:rsidRPr="002779DE">
        <w:rPr>
          <w:rFonts w:ascii="Simplified Arabic" w:hAnsi="Simplified Arabic" w:cs="Simplified Arabic"/>
          <w:sz w:val="24"/>
          <w:szCs w:val="24"/>
          <w:rtl/>
        </w:rPr>
        <w:t xml:space="preserve">، </w:t>
      </w:r>
      <w:r w:rsidRPr="002779DE">
        <w:rPr>
          <w:rFonts w:ascii="Simplified Arabic" w:hAnsi="Simplified Arabic" w:cs="Simplified Arabic" w:hint="cs"/>
          <w:sz w:val="24"/>
          <w:szCs w:val="24"/>
          <w:rtl/>
        </w:rPr>
        <w:t>بغية</w:t>
      </w:r>
      <w:r w:rsidRPr="002779DE">
        <w:rPr>
          <w:rFonts w:ascii="Simplified Arabic" w:hAnsi="Simplified Arabic" w:cs="Simplified Arabic"/>
          <w:sz w:val="24"/>
          <w:szCs w:val="24"/>
          <w:rtl/>
        </w:rPr>
        <w:t xml:space="preserve"> </w:t>
      </w:r>
      <w:r w:rsidRPr="002779DE">
        <w:rPr>
          <w:rFonts w:ascii="Simplified Arabic" w:hAnsi="Simplified Arabic" w:cs="Simplified Arabic" w:hint="cs"/>
          <w:sz w:val="24"/>
          <w:szCs w:val="24"/>
          <w:rtl/>
        </w:rPr>
        <w:t xml:space="preserve">تصنيف </w:t>
      </w:r>
      <w:r w:rsidRPr="002779DE">
        <w:rPr>
          <w:rFonts w:ascii="Simplified Arabic" w:hAnsi="Simplified Arabic" w:cs="Simplified Arabic"/>
          <w:sz w:val="24"/>
          <w:szCs w:val="24"/>
          <w:rtl/>
        </w:rPr>
        <w:t xml:space="preserve">كل طبقة من الطبقات إلى ثلاث </w:t>
      </w:r>
      <w:r w:rsidRPr="002779DE">
        <w:rPr>
          <w:rFonts w:ascii="Simplified Arabic" w:hAnsi="Simplified Arabic" w:cs="Simplified Arabic" w:hint="cs"/>
          <w:sz w:val="24"/>
          <w:szCs w:val="24"/>
          <w:rtl/>
        </w:rPr>
        <w:t>مجالات التي اقترحها خبراء دلفي</w:t>
      </w:r>
      <w:r w:rsidRPr="002779DE">
        <w:rPr>
          <w:rFonts w:ascii="Simplified Arabic" w:hAnsi="Simplified Arabic" w:cs="Simplified Arabic"/>
          <w:sz w:val="24"/>
          <w:szCs w:val="24"/>
          <w:rtl/>
        </w:rPr>
        <w:t xml:space="preserve"> </w:t>
      </w:r>
      <w:r w:rsidRPr="002779DE">
        <w:rPr>
          <w:rFonts w:ascii="Simplified Arabic" w:hAnsi="Simplified Arabic" w:cs="Simplified Arabic" w:hint="cs"/>
          <w:sz w:val="24"/>
          <w:szCs w:val="24"/>
          <w:rtl/>
        </w:rPr>
        <w:t>(''كثافة عالية''، ''كثافة متوسطة''، ''كثافة منخفضة''،</w:t>
      </w:r>
      <w:r w:rsidR="00081BDD" w:rsidRPr="002779DE">
        <w:rPr>
          <w:rFonts w:ascii="Simplified Arabic" w:hAnsi="Simplified Arabic" w:cs="Simplified Arabic" w:hint="cs"/>
          <w:sz w:val="24"/>
          <w:szCs w:val="24"/>
          <w:rtl/>
        </w:rPr>
        <w:t xml:space="preserve"> الى</w:t>
      </w:r>
      <w:r w:rsidRPr="002779DE">
        <w:rPr>
          <w:rFonts w:ascii="Simplified Arabic" w:hAnsi="Simplified Arabic" w:cs="Simplified Arabic" w:hint="cs"/>
          <w:sz w:val="24"/>
          <w:szCs w:val="24"/>
          <w:rtl/>
        </w:rPr>
        <w:t xml:space="preserve"> ''مغطاة</w:t>
      </w:r>
      <w:r w:rsidRPr="002779DE">
        <w:rPr>
          <w:rFonts w:ascii="Simplified Arabic" w:hAnsi="Simplified Arabic" w:cs="Simplified Arabic"/>
          <w:sz w:val="24"/>
          <w:szCs w:val="24"/>
          <w:rtl/>
        </w:rPr>
        <w:t xml:space="preserve"> </w:t>
      </w:r>
      <w:r w:rsidRPr="002779DE">
        <w:rPr>
          <w:rFonts w:ascii="Simplified Arabic" w:hAnsi="Simplified Arabic" w:cs="Simplified Arabic" w:hint="cs"/>
          <w:sz w:val="24"/>
          <w:szCs w:val="24"/>
          <w:rtl/>
        </w:rPr>
        <w:t>بالخدمة''،</w:t>
      </w:r>
      <w:r w:rsidRPr="002779DE">
        <w:rPr>
          <w:rFonts w:ascii="Simplified Arabic" w:hAnsi="Simplified Arabic" w:cs="Simplified Arabic"/>
          <w:sz w:val="24"/>
          <w:szCs w:val="24"/>
          <w:rtl/>
        </w:rPr>
        <w:t xml:space="preserve"> </w:t>
      </w:r>
      <w:r w:rsidRPr="002779DE">
        <w:rPr>
          <w:rFonts w:ascii="Simplified Arabic" w:hAnsi="Simplified Arabic" w:cs="Simplified Arabic" w:hint="cs"/>
          <w:sz w:val="24"/>
          <w:szCs w:val="24"/>
          <w:rtl/>
        </w:rPr>
        <w:t>''مغطاة جزئيا بالخدمة''، ''غير مغطاة بالخدمة''</w:t>
      </w:r>
      <w:r w:rsidR="00081BDD" w:rsidRPr="002779DE">
        <w:rPr>
          <w:rFonts w:ascii="Simplified Arabic" w:hAnsi="Simplified Arabic" w:cs="Simplified Arabic" w:hint="cs"/>
          <w:sz w:val="24"/>
          <w:szCs w:val="24"/>
          <w:rtl/>
        </w:rPr>
        <w:t xml:space="preserve"> والى ''مغطاة</w:t>
      </w:r>
      <w:r w:rsidR="00081BDD" w:rsidRPr="002779DE">
        <w:rPr>
          <w:rFonts w:ascii="Simplified Arabic" w:hAnsi="Simplified Arabic" w:cs="Simplified Arabic"/>
          <w:sz w:val="24"/>
          <w:szCs w:val="24"/>
          <w:rtl/>
        </w:rPr>
        <w:t xml:space="preserve"> </w:t>
      </w:r>
      <w:r w:rsidR="00081BDD" w:rsidRPr="002779DE">
        <w:rPr>
          <w:rFonts w:ascii="Simplified Arabic" w:hAnsi="Simplified Arabic" w:cs="Simplified Arabic" w:hint="cs"/>
          <w:sz w:val="24"/>
          <w:szCs w:val="24"/>
          <w:rtl/>
        </w:rPr>
        <w:t>بالطرق الشريانية''،</w:t>
      </w:r>
      <w:r w:rsidR="00081BDD" w:rsidRPr="002779DE">
        <w:rPr>
          <w:rFonts w:ascii="Simplified Arabic" w:hAnsi="Simplified Arabic" w:cs="Simplified Arabic"/>
          <w:sz w:val="24"/>
          <w:szCs w:val="24"/>
          <w:rtl/>
        </w:rPr>
        <w:t xml:space="preserve"> </w:t>
      </w:r>
      <w:r w:rsidR="00081BDD" w:rsidRPr="002779DE">
        <w:rPr>
          <w:rFonts w:ascii="Simplified Arabic" w:hAnsi="Simplified Arabic" w:cs="Simplified Arabic" w:hint="cs"/>
          <w:sz w:val="24"/>
          <w:szCs w:val="24"/>
          <w:rtl/>
        </w:rPr>
        <w:t>''مغطاة جزئيا بالطرق الشريانية''، ''غير مغطاة بالطرق الشريانية''</w:t>
      </w:r>
      <w:r w:rsidRPr="002779DE">
        <w:rPr>
          <w:rFonts w:ascii="Simplified Arabic" w:hAnsi="Simplified Arabic" w:cs="Simplified Arabic" w:hint="cs"/>
          <w:sz w:val="24"/>
          <w:szCs w:val="24"/>
          <w:rtl/>
        </w:rPr>
        <w:t xml:space="preserve">). </w:t>
      </w:r>
    </w:p>
    <w:p w:rsidR="000B42BD" w:rsidRPr="00E13C6A" w:rsidRDefault="000B42BD" w:rsidP="002779DE">
      <w:pPr>
        <w:autoSpaceDE w:val="0"/>
        <w:autoSpaceDN w:val="0"/>
        <w:bidi/>
        <w:adjustRightInd w:val="0"/>
        <w:spacing w:after="0"/>
        <w:ind w:firstLine="282"/>
        <w:jc w:val="both"/>
        <w:rPr>
          <w:rFonts w:ascii="Simplified Arabic" w:hAnsi="Simplified Arabic" w:cs="Simplified Arabic"/>
          <w:sz w:val="24"/>
          <w:szCs w:val="24"/>
          <w:rtl/>
        </w:rPr>
      </w:pPr>
      <w:r w:rsidRPr="00E13C6A">
        <w:rPr>
          <w:rFonts w:ascii="Simplified Arabic" w:hAnsi="Simplified Arabic" w:cs="Simplified Arabic" w:hint="cs"/>
          <w:sz w:val="24"/>
          <w:szCs w:val="24"/>
          <w:rtl/>
        </w:rPr>
        <w:t xml:space="preserve">يتم مناقشة خرائط </w:t>
      </w:r>
      <w:r w:rsidR="00794BA6" w:rsidRPr="00081BDD">
        <w:rPr>
          <w:rFonts w:ascii="Simplified Arabic" w:hAnsi="Simplified Arabic" w:cs="Simplified Arabic"/>
          <w:sz w:val="24"/>
          <w:szCs w:val="24"/>
          <w:rtl/>
        </w:rPr>
        <w:t xml:space="preserve">معايير </w:t>
      </w:r>
      <w:r w:rsidR="002779DE">
        <w:rPr>
          <w:rFonts w:ascii="Simplified Arabic" w:hAnsi="Simplified Arabic" w:cs="Simplified Arabic" w:hint="cs"/>
          <w:sz w:val="24"/>
          <w:szCs w:val="24"/>
          <w:rtl/>
        </w:rPr>
        <w:t xml:space="preserve">المستخدمة في </w:t>
      </w:r>
      <w:r w:rsidR="00794BA6" w:rsidRPr="00081BDD">
        <w:rPr>
          <w:rFonts w:ascii="Simplified Arabic" w:hAnsi="Simplified Arabic" w:cs="Simplified Arabic"/>
          <w:sz w:val="24"/>
          <w:szCs w:val="24"/>
          <w:rtl/>
        </w:rPr>
        <w:t xml:space="preserve">التقييم </w:t>
      </w:r>
      <w:r w:rsidRPr="00E13C6A">
        <w:rPr>
          <w:rFonts w:ascii="Simplified Arabic" w:hAnsi="Simplified Arabic" w:cs="Simplified Arabic" w:hint="cs"/>
          <w:sz w:val="24"/>
          <w:szCs w:val="24"/>
          <w:rtl/>
        </w:rPr>
        <w:t>من خلال مقارنتها مع اولويات واوزان المعايير الرئيسية المتحصل عليها من عملية</w:t>
      </w:r>
      <w:r w:rsidRPr="00E13C6A">
        <w:rPr>
          <w:rFonts w:ascii="Simplified Arabic" w:hAnsi="Simplified Arabic" w:cs="Simplified Arabic"/>
          <w:sz w:val="24"/>
          <w:szCs w:val="24"/>
          <w:rtl/>
        </w:rPr>
        <w:t xml:space="preserve"> </w:t>
      </w:r>
      <w:r w:rsidRPr="00E13C6A">
        <w:rPr>
          <w:rFonts w:asciiTheme="majorBidi" w:hAnsiTheme="majorBidi" w:cstheme="majorBidi"/>
          <w:color w:val="000000" w:themeColor="text1"/>
          <w:sz w:val="24"/>
          <w:szCs w:val="24"/>
          <w:rtl/>
          <w:lang w:val="en-US"/>
        </w:rPr>
        <w:t>(</w:t>
      </w:r>
      <w:r w:rsidRPr="00E13C6A">
        <w:rPr>
          <w:rFonts w:asciiTheme="majorBidi" w:hAnsiTheme="majorBidi" w:cstheme="majorBidi"/>
          <w:color w:val="000000" w:themeColor="text1"/>
          <w:sz w:val="24"/>
          <w:szCs w:val="24"/>
        </w:rPr>
        <w:t>AHP</w:t>
      </w:r>
      <w:r w:rsidRPr="00E13C6A">
        <w:rPr>
          <w:rFonts w:asciiTheme="majorBidi" w:hAnsiTheme="majorBidi" w:cstheme="majorBidi"/>
          <w:color w:val="000000" w:themeColor="text1"/>
          <w:sz w:val="24"/>
          <w:szCs w:val="24"/>
          <w:rtl/>
          <w:lang w:val="en-US"/>
        </w:rPr>
        <w:t>)</w:t>
      </w:r>
      <w:r w:rsidRPr="00E13C6A">
        <w:rPr>
          <w:rFonts w:ascii="Simplified Arabic" w:hAnsi="Simplified Arabic" w:cs="Simplified Arabic"/>
          <w:sz w:val="24"/>
          <w:szCs w:val="24"/>
          <w:rtl/>
        </w:rPr>
        <w:t xml:space="preserve">. </w:t>
      </w:r>
    </w:p>
    <w:p w:rsidR="00E13C6A" w:rsidRDefault="000B42BD" w:rsidP="001D0548">
      <w:pPr>
        <w:pStyle w:val="Paragraphedeliste"/>
        <w:numPr>
          <w:ilvl w:val="0"/>
          <w:numId w:val="59"/>
        </w:numPr>
        <w:autoSpaceDE w:val="0"/>
        <w:autoSpaceDN w:val="0"/>
        <w:bidi/>
        <w:adjustRightInd w:val="0"/>
        <w:spacing w:after="0"/>
        <w:ind w:left="-1" w:firstLine="283"/>
        <w:jc w:val="both"/>
        <w:rPr>
          <w:rFonts w:ascii="Simplified Arabic" w:hAnsi="Simplified Arabic" w:cs="Simplified Arabic"/>
          <w:color w:val="000000" w:themeColor="text1"/>
          <w:sz w:val="24"/>
          <w:szCs w:val="24"/>
        </w:rPr>
      </w:pPr>
      <w:r w:rsidRPr="00DD33ED">
        <w:rPr>
          <w:rFonts w:ascii="Simplified Arabic" w:hAnsi="Simplified Arabic" w:cs="Simplified Arabic"/>
          <w:color w:val="000000" w:themeColor="text1"/>
          <w:sz w:val="24"/>
          <w:szCs w:val="24"/>
          <w:rtl/>
        </w:rPr>
        <w:t>يقوم البرنامج بتحليل</w:t>
      </w:r>
      <w:r w:rsidRPr="00DD33ED">
        <w:rPr>
          <w:rFonts w:ascii="Simplified Arabic" w:hAnsi="Simplified Arabic" w:cs="Simplified Arabic" w:hint="cs"/>
          <w:color w:val="000000" w:themeColor="text1"/>
          <w:sz w:val="24"/>
          <w:szCs w:val="24"/>
          <w:rtl/>
        </w:rPr>
        <w:t xml:space="preserve"> خرائط المعايير</w:t>
      </w:r>
      <w:r w:rsidRPr="00DD33ED">
        <w:rPr>
          <w:rFonts w:ascii="Simplified Arabic" w:hAnsi="Simplified Arabic" w:cs="Simplified Arabic"/>
          <w:color w:val="000000" w:themeColor="text1"/>
          <w:sz w:val="24"/>
          <w:szCs w:val="24"/>
          <w:rtl/>
        </w:rPr>
        <w:t xml:space="preserve"> و</w:t>
      </w:r>
      <w:r w:rsidRPr="00DD33ED">
        <w:rPr>
          <w:rFonts w:ascii="Simplified Arabic" w:hAnsi="Simplified Arabic" w:cs="Simplified Arabic" w:hint="cs"/>
          <w:color w:val="000000" w:themeColor="text1"/>
          <w:sz w:val="24"/>
          <w:szCs w:val="24"/>
          <w:rtl/>
        </w:rPr>
        <w:t>دمجها</w:t>
      </w:r>
      <w:r w:rsidRPr="00DD33ED">
        <w:rPr>
          <w:rFonts w:ascii="Simplified Arabic" w:hAnsi="Simplified Arabic" w:cs="Simplified Arabic"/>
          <w:color w:val="000000" w:themeColor="text1"/>
          <w:sz w:val="24"/>
          <w:szCs w:val="24"/>
          <w:rtl/>
        </w:rPr>
        <w:t xml:space="preserve"> في خريطة واحدة </w:t>
      </w:r>
      <w:r w:rsidRPr="00DD33ED">
        <w:rPr>
          <w:rFonts w:ascii="Simplified Arabic" w:hAnsi="Simplified Arabic" w:cs="Simplified Arabic" w:hint="cs"/>
          <w:color w:val="000000" w:themeColor="text1"/>
          <w:sz w:val="24"/>
          <w:szCs w:val="24"/>
          <w:rtl/>
        </w:rPr>
        <w:t>ب</w:t>
      </w:r>
      <w:r w:rsidRPr="00DD33ED">
        <w:rPr>
          <w:rFonts w:ascii="Simplified Arabic" w:hAnsi="Simplified Arabic" w:cs="Simplified Arabic"/>
          <w:color w:val="000000" w:themeColor="text1"/>
          <w:sz w:val="24"/>
          <w:szCs w:val="24"/>
          <w:rtl/>
        </w:rPr>
        <w:t>استخدام ميزة</w:t>
      </w:r>
      <w:r w:rsidRPr="00DD33ED">
        <w:rPr>
          <w:rFonts w:ascii="Simplified Arabic" w:hAnsi="Simplified Arabic" w:cs="Simplified Arabic"/>
          <w:color w:val="000000" w:themeColor="text1"/>
          <w:sz w:val="24"/>
          <w:szCs w:val="24"/>
          <w:rtl/>
          <w:lang w:bidi="ar-DZ"/>
        </w:rPr>
        <w:t xml:space="preserve"> </w:t>
      </w:r>
      <w:r w:rsidRPr="00DD33ED">
        <w:rPr>
          <w:rFonts w:asciiTheme="majorBidi" w:hAnsiTheme="majorBidi" w:cstheme="majorBidi"/>
          <w:color w:val="000000" w:themeColor="text1"/>
          <w:sz w:val="24"/>
          <w:szCs w:val="24"/>
          <w:lang w:val="en-US"/>
        </w:rPr>
        <w:t>Model Builder</w:t>
      </w:r>
      <w:r w:rsidR="00081BDD" w:rsidRPr="00081BDD">
        <w:rPr>
          <w:rFonts w:ascii="Simplified Arabic" w:hAnsi="Simplified Arabic" w:cs="Simplified Arabic" w:hint="cs"/>
          <w:color w:val="000000" w:themeColor="text1"/>
          <w:sz w:val="24"/>
          <w:szCs w:val="24"/>
          <w:rtl/>
        </w:rPr>
        <w:t xml:space="preserve"> </w:t>
      </w:r>
      <w:r w:rsidR="00081BDD" w:rsidRPr="00DD33ED">
        <w:rPr>
          <w:rFonts w:ascii="Simplified Arabic" w:hAnsi="Simplified Arabic" w:cs="Simplified Arabic" w:hint="cs"/>
          <w:color w:val="000000" w:themeColor="text1"/>
          <w:sz w:val="24"/>
          <w:szCs w:val="24"/>
          <w:rtl/>
        </w:rPr>
        <w:t>ال</w:t>
      </w:r>
      <w:r w:rsidR="00081BDD">
        <w:rPr>
          <w:rFonts w:ascii="Simplified Arabic" w:hAnsi="Simplified Arabic" w:cs="Simplified Arabic" w:hint="cs"/>
          <w:color w:val="000000" w:themeColor="text1"/>
          <w:sz w:val="24"/>
          <w:szCs w:val="24"/>
          <w:rtl/>
        </w:rPr>
        <w:t>ذي</w:t>
      </w:r>
      <w:r w:rsidR="00081BDD" w:rsidRPr="00DD33ED">
        <w:rPr>
          <w:rFonts w:ascii="Simplified Arabic" w:hAnsi="Simplified Arabic" w:cs="Simplified Arabic" w:hint="cs"/>
          <w:color w:val="000000" w:themeColor="text1"/>
          <w:sz w:val="24"/>
          <w:szCs w:val="24"/>
          <w:rtl/>
        </w:rPr>
        <w:t xml:space="preserve"> </w:t>
      </w:r>
      <w:r w:rsidR="00081BDD">
        <w:rPr>
          <w:rFonts w:ascii="Simplified Arabic" w:hAnsi="Simplified Arabic" w:cs="Simplified Arabic" w:hint="cs"/>
          <w:color w:val="000000" w:themeColor="text1"/>
          <w:sz w:val="24"/>
          <w:szCs w:val="24"/>
          <w:rtl/>
        </w:rPr>
        <w:t>يسمح باشتقاق</w:t>
      </w:r>
      <w:r w:rsidR="00081BDD" w:rsidRPr="00DD33ED">
        <w:rPr>
          <w:rFonts w:ascii="Simplified Arabic" w:hAnsi="Simplified Arabic" w:cs="Simplified Arabic"/>
          <w:color w:val="000000" w:themeColor="text1"/>
          <w:sz w:val="24"/>
          <w:szCs w:val="24"/>
          <w:rtl/>
        </w:rPr>
        <w:t xml:space="preserve"> </w:t>
      </w:r>
      <w:r w:rsidR="00081BDD">
        <w:rPr>
          <w:rFonts w:ascii="Simplified Arabic" w:hAnsi="Simplified Arabic" w:cs="Simplified Arabic" w:hint="cs"/>
          <w:color w:val="000000" w:themeColor="text1"/>
          <w:sz w:val="24"/>
          <w:szCs w:val="24"/>
          <w:rtl/>
        </w:rPr>
        <w:t>مجالات المرونة</w:t>
      </w:r>
      <w:r w:rsidRPr="00DD33ED">
        <w:rPr>
          <w:rFonts w:ascii="Simplified Arabic" w:hAnsi="Simplified Arabic" w:cs="Simplified Arabic"/>
          <w:color w:val="000000" w:themeColor="text1"/>
          <w:sz w:val="24"/>
          <w:szCs w:val="24"/>
          <w:rtl/>
        </w:rPr>
        <w:t>،</w:t>
      </w:r>
      <w:r w:rsidRPr="00DD33ED">
        <w:rPr>
          <w:rFonts w:ascii="Simplified Arabic" w:hAnsi="Simplified Arabic" w:cs="Simplified Arabic"/>
          <w:color w:val="000000" w:themeColor="text1"/>
          <w:sz w:val="24"/>
          <w:szCs w:val="24"/>
          <w:rtl/>
          <w:lang w:bidi="ar-DZ"/>
        </w:rPr>
        <w:t xml:space="preserve"> </w:t>
      </w:r>
      <w:r w:rsidRPr="00DD33ED">
        <w:rPr>
          <w:rFonts w:ascii="Simplified Arabic" w:hAnsi="Simplified Arabic" w:cs="Simplified Arabic"/>
          <w:color w:val="000000" w:themeColor="text1"/>
          <w:sz w:val="24"/>
          <w:szCs w:val="24"/>
          <w:rtl/>
        </w:rPr>
        <w:t xml:space="preserve">بحيث ينتج في النهاية خريطة </w:t>
      </w:r>
      <w:r w:rsidR="00081BDD">
        <w:rPr>
          <w:rFonts w:ascii="Simplified Arabic" w:hAnsi="Simplified Arabic" w:cs="Simplified Arabic" w:hint="cs"/>
          <w:color w:val="000000" w:themeColor="text1"/>
          <w:sz w:val="24"/>
          <w:szCs w:val="24"/>
          <w:rtl/>
        </w:rPr>
        <w:t xml:space="preserve">تصنيفات </w:t>
      </w:r>
      <w:r w:rsidRPr="00DD33ED">
        <w:rPr>
          <w:rFonts w:ascii="Simplified Arabic" w:hAnsi="Simplified Arabic" w:cs="Simplified Arabic" w:hint="cs"/>
          <w:color w:val="000000" w:themeColor="text1"/>
          <w:sz w:val="24"/>
          <w:szCs w:val="24"/>
          <w:rtl/>
        </w:rPr>
        <w:t xml:space="preserve">المرونة الحضرية </w:t>
      </w:r>
      <w:r w:rsidR="00081BDD" w:rsidRPr="00081BDD">
        <w:rPr>
          <w:rFonts w:ascii="Simplified Arabic" w:hAnsi="Simplified Arabic" w:cs="Simplified Arabic"/>
          <w:sz w:val="24"/>
          <w:szCs w:val="24"/>
          <w:rtl/>
        </w:rPr>
        <w:t>''الم</w:t>
      </w:r>
      <w:r w:rsidR="00081BDD">
        <w:rPr>
          <w:rFonts w:ascii="Simplified Arabic" w:hAnsi="Simplified Arabic" w:cs="Simplified Arabic" w:hint="cs"/>
          <w:sz w:val="24"/>
          <w:szCs w:val="24"/>
          <w:rtl/>
        </w:rPr>
        <w:t>خرجات</w:t>
      </w:r>
      <w:r w:rsidR="00081BDD" w:rsidRPr="00081BDD">
        <w:rPr>
          <w:rFonts w:ascii="Simplified Arabic" w:hAnsi="Simplified Arabic" w:cs="Simplified Arabic"/>
          <w:sz w:val="24"/>
          <w:szCs w:val="24"/>
          <w:rtl/>
        </w:rPr>
        <w:t xml:space="preserve">'' </w:t>
      </w:r>
      <w:r w:rsidRPr="00DD33ED">
        <w:rPr>
          <w:rFonts w:ascii="Simplified Arabic" w:hAnsi="Simplified Arabic" w:cs="Simplified Arabic" w:hint="cs"/>
          <w:color w:val="000000" w:themeColor="text1"/>
          <w:sz w:val="24"/>
          <w:szCs w:val="24"/>
          <w:rtl/>
        </w:rPr>
        <w:t xml:space="preserve">يسهل قراءتها من حيث المساحة والموقع واستغلالها من طرف اصحاب القرار. </w:t>
      </w:r>
    </w:p>
    <w:p w:rsidR="000B42BD" w:rsidRDefault="000B42BD" w:rsidP="00E13C6A">
      <w:pPr>
        <w:pStyle w:val="Paragraphedeliste"/>
        <w:autoSpaceDE w:val="0"/>
        <w:autoSpaceDN w:val="0"/>
        <w:bidi/>
        <w:adjustRightInd w:val="0"/>
        <w:spacing w:after="0"/>
        <w:ind w:left="-1" w:firstLine="283"/>
        <w:jc w:val="both"/>
        <w:rPr>
          <w:rFonts w:ascii="Simplified Arabic" w:hAnsi="Simplified Arabic" w:cs="Simplified Arabic"/>
          <w:color w:val="000000" w:themeColor="text1"/>
          <w:sz w:val="24"/>
          <w:szCs w:val="24"/>
          <w:rtl/>
        </w:rPr>
      </w:pPr>
      <w:r w:rsidRPr="00DD33ED">
        <w:rPr>
          <w:rFonts w:ascii="Simplified Arabic" w:hAnsi="Simplified Arabic" w:cs="Simplified Arabic" w:hint="cs"/>
          <w:color w:val="000000" w:themeColor="text1"/>
          <w:sz w:val="24"/>
          <w:szCs w:val="24"/>
          <w:rtl/>
        </w:rPr>
        <w:t>يتم مناقشة تلك الخريطة ومقارنتها</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بالوضع</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العام</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للمدينة، لتحديد</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حالة</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المعايير</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في</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الأحياء</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ذات</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المرونة</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المنخفضة من خلال</w:t>
      </w:r>
      <w:r w:rsidRPr="00DD33ED">
        <w:rPr>
          <w:rFonts w:ascii="Simplified Arabic" w:hAnsi="Simplified Arabic" w:cs="Simplified Arabic" w:hint="cs"/>
          <w:color w:val="000000" w:themeColor="text1"/>
          <w:sz w:val="24"/>
          <w:szCs w:val="24"/>
          <w:rtl/>
          <w:lang w:val="en-US"/>
        </w:rPr>
        <w:t xml:space="preserve"> </w:t>
      </w:r>
      <w:r w:rsidR="00B71154">
        <w:rPr>
          <w:rFonts w:ascii="Simplified Arabic" w:hAnsi="Simplified Arabic" w:cs="Simplified Arabic" w:hint="cs"/>
          <w:color w:val="000000" w:themeColor="text1"/>
          <w:sz w:val="24"/>
          <w:szCs w:val="24"/>
          <w:rtl/>
          <w:lang w:val="en-US"/>
        </w:rPr>
        <w:t>مواصلة</w:t>
      </w:r>
      <w:r>
        <w:rPr>
          <w:rFonts w:ascii="Simplified Arabic" w:hAnsi="Simplified Arabic" w:cs="Simplified Arabic" w:hint="cs"/>
          <w:color w:val="000000" w:themeColor="text1"/>
          <w:sz w:val="24"/>
          <w:szCs w:val="24"/>
          <w:rtl/>
          <w:lang w:val="en-US"/>
        </w:rPr>
        <w:t xml:space="preserve"> </w:t>
      </w:r>
      <w:r w:rsidRPr="00DD33ED">
        <w:rPr>
          <w:rFonts w:ascii="Simplified Arabic" w:hAnsi="Simplified Arabic" w:cs="Simplified Arabic" w:hint="cs"/>
          <w:color w:val="000000" w:themeColor="text1"/>
          <w:sz w:val="24"/>
          <w:szCs w:val="24"/>
          <w:rtl/>
          <w:lang w:val="en-US"/>
        </w:rPr>
        <w:t>الكشف عن توافر سمات المرونة المكانية للمعايير</w:t>
      </w:r>
      <w:r w:rsidRPr="00DD33ED">
        <w:rPr>
          <w:rFonts w:ascii="Simplified Arabic" w:hAnsi="Simplified Arabic" w:cs="Simplified Arabic" w:hint="cs"/>
          <w:color w:val="000000" w:themeColor="text1"/>
          <w:sz w:val="24"/>
          <w:szCs w:val="24"/>
          <w:rtl/>
        </w:rPr>
        <w:t>. الغاية من ذلك، وضع</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خارطة</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طريق</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لتحسين</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مرونة</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مدينة</w:t>
      </w:r>
      <w:r w:rsidRPr="00DD33ED">
        <w:rPr>
          <w:rFonts w:ascii="Simplified Arabic" w:hAnsi="Simplified Arabic" w:cs="Simplified Arabic"/>
          <w:color w:val="000000" w:themeColor="text1"/>
          <w:sz w:val="24"/>
          <w:szCs w:val="24"/>
          <w:rtl/>
        </w:rPr>
        <w:t xml:space="preserve"> </w:t>
      </w:r>
      <w:r w:rsidR="00B71154">
        <w:rPr>
          <w:rFonts w:ascii="Simplified Arabic" w:hAnsi="Simplified Arabic" w:cs="Simplified Arabic" w:hint="cs"/>
          <w:color w:val="000000" w:themeColor="text1"/>
          <w:sz w:val="24"/>
          <w:szCs w:val="24"/>
          <w:rtl/>
        </w:rPr>
        <w:t xml:space="preserve">بوسعادة </w:t>
      </w:r>
      <w:r w:rsidRPr="00DD33ED">
        <w:rPr>
          <w:rFonts w:ascii="Simplified Arabic" w:hAnsi="Simplified Arabic" w:cs="Simplified Arabic" w:hint="cs"/>
          <w:color w:val="000000" w:themeColor="text1"/>
          <w:sz w:val="24"/>
          <w:szCs w:val="24"/>
          <w:rtl/>
        </w:rPr>
        <w:t>أمام</w:t>
      </w:r>
      <w:r w:rsidRPr="00DD33ED">
        <w:rPr>
          <w:rFonts w:ascii="Simplified Arabic" w:hAnsi="Simplified Arabic" w:cs="Simplified Arabic"/>
          <w:color w:val="000000" w:themeColor="text1"/>
          <w:sz w:val="24"/>
          <w:szCs w:val="24"/>
          <w:rtl/>
        </w:rPr>
        <w:t xml:space="preserve"> </w:t>
      </w:r>
      <w:r w:rsidRPr="00DD33ED">
        <w:rPr>
          <w:rFonts w:ascii="Simplified Arabic" w:hAnsi="Simplified Arabic" w:cs="Simplified Arabic" w:hint="cs"/>
          <w:color w:val="000000" w:themeColor="text1"/>
          <w:sz w:val="24"/>
          <w:szCs w:val="24"/>
          <w:rtl/>
        </w:rPr>
        <w:t>الاضطرابات التي تصيب وظائف</w:t>
      </w:r>
      <w:r w:rsidR="00B71154">
        <w:rPr>
          <w:rFonts w:ascii="Simplified Arabic" w:hAnsi="Simplified Arabic" w:cs="Simplified Arabic" w:hint="cs"/>
          <w:color w:val="000000" w:themeColor="text1"/>
          <w:sz w:val="24"/>
          <w:szCs w:val="24"/>
          <w:rtl/>
        </w:rPr>
        <w:t xml:space="preserve"> انظمة</w:t>
      </w:r>
      <w:r w:rsidRPr="00DD33ED">
        <w:rPr>
          <w:rFonts w:ascii="Simplified Arabic" w:hAnsi="Simplified Arabic" w:cs="Simplified Arabic" w:hint="cs"/>
          <w:color w:val="000000" w:themeColor="text1"/>
          <w:sz w:val="24"/>
          <w:szCs w:val="24"/>
          <w:rtl/>
        </w:rPr>
        <w:t xml:space="preserve"> المدينة اثناء وبعد الصدمة، حيث </w:t>
      </w:r>
      <w:r w:rsidRPr="00DD33ED">
        <w:rPr>
          <w:rFonts w:ascii="Simplified Arabic" w:hAnsi="Simplified Arabic" w:cs="Simplified Arabic"/>
          <w:color w:val="000000" w:themeColor="text1"/>
          <w:sz w:val="24"/>
          <w:szCs w:val="24"/>
          <w:rtl/>
        </w:rPr>
        <w:t xml:space="preserve">يمكن استخدام هذه الخرائط لتحديد المناطق المستهدفة لتحسين المرونة الحضرية بشكل فعال. </w:t>
      </w:r>
    </w:p>
    <w:p w:rsidR="000B42BD" w:rsidRDefault="000B42BD" w:rsidP="00D71398">
      <w:pPr>
        <w:pStyle w:val="fegure"/>
        <w:spacing w:before="240"/>
        <w:rPr>
          <w:szCs w:val="24"/>
          <w:rtl/>
        </w:rPr>
      </w:pPr>
      <w:bookmarkStart w:id="443" w:name="_Toc157608313"/>
      <w:bookmarkStart w:id="444" w:name="_Toc171803541"/>
      <w:r w:rsidRPr="00264FC1">
        <w:rPr>
          <w:szCs w:val="24"/>
          <w:rtl/>
        </w:rPr>
        <w:t xml:space="preserve">الشكل </w:t>
      </w:r>
      <w:r w:rsidRPr="00264FC1">
        <w:rPr>
          <w:rFonts w:hint="cs"/>
          <w:szCs w:val="24"/>
          <w:rtl/>
        </w:rPr>
        <w:t>(</w:t>
      </w:r>
      <w:r w:rsidR="002E7C71" w:rsidRPr="00264FC1">
        <w:rPr>
          <w:rFonts w:hint="cs"/>
          <w:szCs w:val="24"/>
          <w:rtl/>
        </w:rPr>
        <w:t>3-10</w:t>
      </w:r>
      <w:r w:rsidRPr="00264FC1">
        <w:rPr>
          <w:rFonts w:hint="cs"/>
          <w:szCs w:val="24"/>
          <w:rtl/>
        </w:rPr>
        <w:t>)</w:t>
      </w:r>
      <w:r w:rsidRPr="00264FC1">
        <w:rPr>
          <w:szCs w:val="24"/>
          <w:rtl/>
        </w:rPr>
        <w:t xml:space="preserve">: </w:t>
      </w:r>
      <w:r w:rsidR="00C92D5E" w:rsidRPr="00264FC1">
        <w:rPr>
          <w:rFonts w:hint="cs"/>
          <w:szCs w:val="24"/>
          <w:rtl/>
        </w:rPr>
        <w:t>ال</w:t>
      </w:r>
      <w:r w:rsidRPr="00264FC1">
        <w:rPr>
          <w:rFonts w:hint="cs"/>
          <w:szCs w:val="24"/>
          <w:rtl/>
        </w:rPr>
        <w:t>خطوات ال</w:t>
      </w:r>
      <w:r w:rsidRPr="00264FC1">
        <w:rPr>
          <w:rStyle w:val="y2iqfc"/>
          <w:rFonts w:eastAsia="Times New Roman" w:hint="cs"/>
          <w:color w:val="202124"/>
          <w:szCs w:val="24"/>
          <w:rtl/>
          <w:lang w:eastAsia="fr-FR" w:bidi="ar"/>
        </w:rPr>
        <w:t>عملية</w:t>
      </w:r>
      <w:r w:rsidRPr="00264FC1">
        <w:rPr>
          <w:rStyle w:val="y2iqfc"/>
          <w:rFonts w:eastAsia="Times New Roman"/>
          <w:color w:val="202124"/>
          <w:szCs w:val="24"/>
          <w:rtl/>
          <w:lang w:eastAsia="fr-FR" w:bidi="ar"/>
        </w:rPr>
        <w:t xml:space="preserve"> </w:t>
      </w:r>
      <w:r w:rsidRPr="00264FC1">
        <w:rPr>
          <w:rStyle w:val="y2iqfc"/>
          <w:rFonts w:eastAsia="Times New Roman" w:hint="cs"/>
          <w:color w:val="202124"/>
          <w:szCs w:val="24"/>
          <w:rtl/>
          <w:lang w:eastAsia="fr-FR" w:bidi="ar"/>
        </w:rPr>
        <w:t>التشغيلية</w:t>
      </w:r>
      <w:r w:rsidRPr="00264FC1">
        <w:rPr>
          <w:rStyle w:val="y2iqfc"/>
          <w:rFonts w:eastAsia="Times New Roman"/>
          <w:color w:val="202124"/>
          <w:szCs w:val="24"/>
          <w:rtl/>
          <w:lang w:eastAsia="fr-FR" w:bidi="ar"/>
        </w:rPr>
        <w:t xml:space="preserve"> </w:t>
      </w:r>
      <w:r w:rsidRPr="00264FC1">
        <w:rPr>
          <w:rStyle w:val="y2iqfc"/>
          <w:rFonts w:eastAsia="Times New Roman" w:hint="cs"/>
          <w:color w:val="202124"/>
          <w:szCs w:val="24"/>
          <w:rtl/>
          <w:lang w:eastAsia="fr-FR" w:bidi="ar"/>
        </w:rPr>
        <w:t>ضمن برنامج</w:t>
      </w:r>
      <w:r w:rsidRPr="00264FC1">
        <w:rPr>
          <w:rStyle w:val="y2iqfc"/>
          <w:rFonts w:eastAsia="Times New Roman"/>
          <w:color w:val="202124"/>
          <w:szCs w:val="24"/>
          <w:lang w:eastAsia="fr-FR" w:bidi="ar"/>
        </w:rPr>
        <w:t xml:space="preserve"> </w:t>
      </w:r>
      <w:r w:rsidRPr="00264FC1">
        <w:rPr>
          <w:szCs w:val="24"/>
          <w:rtl/>
        </w:rPr>
        <w:t>(</w:t>
      </w:r>
      <w:r w:rsidRPr="00264FC1">
        <w:rPr>
          <w:rFonts w:asciiTheme="majorBidi" w:hAnsiTheme="majorBidi" w:cstheme="majorBidi"/>
          <w:szCs w:val="24"/>
          <w:lang w:val="en-US"/>
        </w:rPr>
        <w:t>ArcGIS</w:t>
      </w:r>
      <w:r w:rsidRPr="00264FC1">
        <w:rPr>
          <w:szCs w:val="24"/>
          <w:rtl/>
        </w:rPr>
        <w:t>)</w:t>
      </w:r>
      <w:bookmarkEnd w:id="443"/>
      <w:bookmarkEnd w:id="444"/>
    </w:p>
    <w:p w:rsidR="005135C8" w:rsidRPr="005135C8" w:rsidRDefault="005135C8" w:rsidP="005135C8">
      <w:pPr>
        <w:pStyle w:val="fegure"/>
        <w:rPr>
          <w:sz w:val="8"/>
          <w:szCs w:val="24"/>
          <w:lang w:val="en-US"/>
        </w:rPr>
      </w:pPr>
      <w:bookmarkStart w:id="445" w:name="_Toc171803542"/>
      <w:r>
        <w:rPr>
          <w:rFonts w:hint="cs"/>
          <w:sz w:val="8"/>
          <w:szCs w:val="24"/>
          <w:rtl/>
          <w:lang w:val="en-US"/>
        </w:rPr>
        <w:t>المصدر: (الباحث، 2022)</w:t>
      </w:r>
      <w:bookmarkEnd w:id="445"/>
    </w:p>
    <w:p w:rsidR="000B42BD" w:rsidRDefault="002779DE" w:rsidP="00AE4A70">
      <w:pPr>
        <w:pStyle w:val="Default"/>
        <w:bidi/>
        <w:jc w:val="center"/>
        <w:rPr>
          <w:rFonts w:ascii="Simplified Arabic" w:hAnsi="Simplified Arabic" w:cs="Simplified Arabic"/>
          <w:noProof/>
          <w:rtl/>
          <w:lang w:eastAsia="fr-FR"/>
        </w:rPr>
      </w:pPr>
      <w:r>
        <w:rPr>
          <w:noProof/>
          <w:lang w:eastAsia="fr-FR"/>
        </w:rPr>
        <w:drawing>
          <wp:inline distT="0" distB="0" distL="0" distR="0" wp14:anchorId="02C311BA" wp14:editId="108BABBE">
            <wp:extent cx="3157268" cy="3617373"/>
            <wp:effectExtent l="0" t="0" r="5080" b="2540"/>
            <wp:docPr id="265" name="Imag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3"/>
                    <a:stretch>
                      <a:fillRect/>
                    </a:stretch>
                  </pic:blipFill>
                  <pic:spPr>
                    <a:xfrm>
                      <a:off x="0" y="0"/>
                      <a:ext cx="3170116" cy="3632093"/>
                    </a:xfrm>
                    <a:prstGeom prst="rect">
                      <a:avLst/>
                    </a:prstGeom>
                  </pic:spPr>
                </pic:pic>
              </a:graphicData>
            </a:graphic>
          </wp:inline>
        </w:drawing>
      </w:r>
    </w:p>
    <w:p w:rsidR="000B42BD" w:rsidRDefault="000B42BD" w:rsidP="00C23656">
      <w:pPr>
        <w:autoSpaceDE w:val="0"/>
        <w:autoSpaceDN w:val="0"/>
        <w:bidi/>
        <w:adjustRightInd w:val="0"/>
        <w:spacing w:before="240" w:after="0"/>
        <w:ind w:firstLine="282"/>
        <w:jc w:val="both"/>
        <w:rPr>
          <w:rFonts w:ascii="Simplified Arabic" w:hAnsi="Simplified Arabic" w:cs="Simplified Arabic"/>
          <w:color w:val="000000"/>
          <w:sz w:val="24"/>
          <w:szCs w:val="24"/>
          <w:rtl/>
        </w:rPr>
      </w:pPr>
      <w:r>
        <w:rPr>
          <w:rFonts w:ascii="Simplified Arabic" w:hAnsi="Simplified Arabic" w:cs="Simplified Arabic" w:hint="cs"/>
          <w:sz w:val="24"/>
          <w:szCs w:val="24"/>
          <w:rtl/>
        </w:rPr>
        <w:t>ت</w:t>
      </w:r>
      <w:r w:rsidRPr="00E07FDC">
        <w:rPr>
          <w:rFonts w:ascii="Simplified Arabic" w:hAnsi="Simplified Arabic" w:cs="Simplified Arabic"/>
          <w:color w:val="000000"/>
          <w:sz w:val="24"/>
          <w:szCs w:val="24"/>
          <w:rtl/>
        </w:rPr>
        <w:t xml:space="preserve">م الاستعانة </w:t>
      </w:r>
      <w:r w:rsidRPr="00E07FDC">
        <w:rPr>
          <w:rFonts w:ascii="Simplified Arabic" w:hAnsi="Simplified Arabic" w:cs="Simplified Arabic" w:hint="cs"/>
          <w:color w:val="000000"/>
          <w:sz w:val="24"/>
          <w:szCs w:val="24"/>
          <w:rtl/>
        </w:rPr>
        <w:t>ب</w:t>
      </w:r>
      <w:r w:rsidRPr="00E07FDC">
        <w:rPr>
          <w:rFonts w:ascii="Simplified Arabic" w:hAnsi="Simplified Arabic" w:cs="Simplified Arabic"/>
          <w:color w:val="000000"/>
          <w:sz w:val="24"/>
          <w:szCs w:val="24"/>
          <w:rtl/>
        </w:rPr>
        <w:t>بر</w:t>
      </w:r>
      <w:r w:rsidRPr="00E07FDC">
        <w:rPr>
          <w:rFonts w:ascii="Simplified Arabic" w:hAnsi="Simplified Arabic" w:cs="Simplified Arabic" w:hint="cs"/>
          <w:color w:val="000000"/>
          <w:sz w:val="24"/>
          <w:szCs w:val="24"/>
          <w:rtl/>
        </w:rPr>
        <w:t>ن</w:t>
      </w:r>
      <w:r w:rsidRPr="00E07FDC">
        <w:rPr>
          <w:rFonts w:ascii="Simplified Arabic" w:hAnsi="Simplified Arabic" w:cs="Simplified Arabic"/>
          <w:color w:val="000000"/>
          <w:sz w:val="24"/>
          <w:szCs w:val="24"/>
          <w:rtl/>
        </w:rPr>
        <w:t xml:space="preserve">امج </w:t>
      </w:r>
      <w:r w:rsidRPr="00DF61CD">
        <w:rPr>
          <w:rFonts w:asciiTheme="majorBidi" w:hAnsiTheme="majorBidi" w:cstheme="majorBidi" w:hint="cs"/>
          <w:sz w:val="24"/>
          <w:szCs w:val="24"/>
          <w:rtl/>
        </w:rPr>
        <w:t>(</w:t>
      </w:r>
      <w:r w:rsidRPr="00DC0FDE">
        <w:rPr>
          <w:rFonts w:asciiTheme="majorBidi" w:hAnsiTheme="majorBidi" w:cstheme="majorBidi"/>
          <w:sz w:val="24"/>
          <w:szCs w:val="24"/>
          <w:lang w:val="en-US"/>
        </w:rPr>
        <w:t>ArcGIS</w:t>
      </w:r>
      <w:r w:rsidRPr="00DF61CD">
        <w:rPr>
          <w:rFonts w:asciiTheme="majorBidi" w:hAnsiTheme="majorBidi" w:cstheme="majorBidi"/>
          <w:sz w:val="24"/>
          <w:szCs w:val="24"/>
        </w:rPr>
        <w:t xml:space="preserve"> 10.3</w:t>
      </w:r>
      <w:r w:rsidRPr="00DF61CD">
        <w:rPr>
          <w:rFonts w:asciiTheme="majorBidi" w:hAnsiTheme="majorBidi" w:cstheme="majorBidi" w:hint="cs"/>
          <w:sz w:val="24"/>
          <w:szCs w:val="24"/>
          <w:rtl/>
        </w:rPr>
        <w:t>)</w:t>
      </w:r>
      <w:r w:rsidRPr="00E35C76">
        <w:rPr>
          <w:rFonts w:ascii="Simplified Arabic" w:hAnsi="Simplified Arabic" w:cs="Simplified Arabic"/>
          <w:sz w:val="24"/>
          <w:szCs w:val="24"/>
          <w:rtl/>
        </w:rPr>
        <w:t xml:space="preserve"> </w:t>
      </w:r>
      <w:r w:rsidRPr="004002D5">
        <w:rPr>
          <w:rFonts w:ascii="Simplified Arabic" w:hAnsi="Simplified Arabic" w:cs="Simplified Arabic" w:hint="cs"/>
          <w:color w:val="000000"/>
          <w:sz w:val="24"/>
          <w:szCs w:val="24"/>
          <w:rtl/>
        </w:rPr>
        <w:t>وملحقاته</w:t>
      </w:r>
      <w:r w:rsidRPr="0058421D">
        <w:rPr>
          <w:rFonts w:ascii="Simplified Arabic" w:hAnsi="Simplified Arabic" w:cs="Simplified Arabic" w:hint="cs"/>
          <w:color w:val="212121"/>
          <w:sz w:val="24"/>
          <w:szCs w:val="24"/>
          <w:rtl/>
        </w:rPr>
        <w:t>، يعتبر</w:t>
      </w:r>
      <w:r>
        <w:rPr>
          <w:rFonts w:ascii="Simplified Arabic" w:hAnsi="Simplified Arabic" w:cs="Simplified Arabic" w:hint="cs"/>
          <w:color w:val="212121"/>
          <w:sz w:val="24"/>
          <w:szCs w:val="24"/>
          <w:rtl/>
        </w:rPr>
        <w:t xml:space="preserve"> هذا البرنامج </w:t>
      </w:r>
      <w:r w:rsidRPr="0058421D">
        <w:rPr>
          <w:rFonts w:ascii="Simplified Arabic" w:hAnsi="Simplified Arabic" w:cs="Simplified Arabic"/>
          <w:color w:val="212121"/>
          <w:sz w:val="24"/>
          <w:szCs w:val="24"/>
          <w:rtl/>
        </w:rPr>
        <w:t>نظام</w:t>
      </w:r>
      <w:r>
        <w:rPr>
          <w:rFonts w:ascii="Simplified Arabic" w:hAnsi="Simplified Arabic" w:cs="Simplified Arabic" w:hint="cs"/>
          <w:color w:val="212121"/>
          <w:sz w:val="24"/>
          <w:szCs w:val="24"/>
          <w:rtl/>
        </w:rPr>
        <w:t xml:space="preserve"> </w:t>
      </w:r>
      <w:r w:rsidRPr="0058421D">
        <w:rPr>
          <w:rFonts w:ascii="Simplified Arabic" w:hAnsi="Simplified Arabic" w:cs="Simplified Arabic" w:hint="cs"/>
          <w:color w:val="212121"/>
          <w:sz w:val="24"/>
          <w:szCs w:val="24"/>
          <w:rtl/>
        </w:rPr>
        <w:t>معلومات</w:t>
      </w:r>
      <w:r w:rsidRPr="0058421D">
        <w:rPr>
          <w:rFonts w:ascii="Simplified Arabic" w:hAnsi="Simplified Arabic" w:cs="Simplified Arabic"/>
          <w:color w:val="212121"/>
          <w:sz w:val="24"/>
          <w:szCs w:val="24"/>
          <w:rtl/>
        </w:rPr>
        <w:t xml:space="preserve"> </w:t>
      </w:r>
      <w:r w:rsidRPr="0058421D">
        <w:rPr>
          <w:rFonts w:ascii="Simplified Arabic" w:hAnsi="Simplified Arabic" w:cs="Simplified Arabic" w:hint="cs"/>
          <w:color w:val="212121"/>
          <w:sz w:val="24"/>
          <w:szCs w:val="24"/>
          <w:rtl/>
        </w:rPr>
        <w:t>مكتبي</w:t>
      </w:r>
      <w:r>
        <w:rPr>
          <w:rFonts w:ascii="Simplified Arabic" w:hAnsi="Simplified Arabic" w:cs="Simplified Arabic" w:hint="cs"/>
          <w:color w:val="212121"/>
          <w:sz w:val="24"/>
          <w:szCs w:val="24"/>
          <w:rtl/>
        </w:rPr>
        <w:t>،</w:t>
      </w:r>
      <w:r w:rsidRPr="0058421D">
        <w:rPr>
          <w:rFonts w:ascii="Simplified Arabic" w:hAnsi="Simplified Arabic" w:cs="Simplified Arabic" w:hint="cs"/>
          <w:color w:val="212121"/>
          <w:sz w:val="24"/>
          <w:szCs w:val="24"/>
          <w:rtl/>
        </w:rPr>
        <w:t xml:space="preserve"> يسمح بتوظيف </w:t>
      </w:r>
      <w:r>
        <w:rPr>
          <w:rFonts w:ascii="Simplified Arabic" w:hAnsi="Simplified Arabic" w:cs="Simplified Arabic"/>
          <w:color w:val="212121"/>
          <w:sz w:val="24"/>
          <w:szCs w:val="24"/>
          <w:rtl/>
        </w:rPr>
        <w:t>الصور الفتوغرافية</w:t>
      </w:r>
      <w:r>
        <w:rPr>
          <w:rFonts w:ascii="Simplified Arabic" w:hAnsi="Simplified Arabic" w:cs="Simplified Arabic" w:hint="cs"/>
          <w:color w:val="212121"/>
          <w:sz w:val="24"/>
          <w:szCs w:val="24"/>
          <w:rtl/>
        </w:rPr>
        <w:t>،</w:t>
      </w:r>
      <w:r>
        <w:rPr>
          <w:rFonts w:ascii="Simplified Arabic" w:hAnsi="Simplified Arabic" w:cs="Simplified Arabic"/>
          <w:color w:val="212121"/>
          <w:sz w:val="24"/>
          <w:szCs w:val="24"/>
          <w:rtl/>
        </w:rPr>
        <w:t xml:space="preserve"> الجوية</w:t>
      </w:r>
      <w:r>
        <w:rPr>
          <w:rFonts w:ascii="Simplified Arabic" w:hAnsi="Simplified Arabic" w:cs="Simplified Arabic" w:hint="cs"/>
          <w:color w:val="212121"/>
          <w:sz w:val="24"/>
          <w:szCs w:val="24"/>
          <w:rtl/>
        </w:rPr>
        <w:t>،</w:t>
      </w:r>
      <w:r>
        <w:rPr>
          <w:rFonts w:ascii="Simplified Arabic" w:hAnsi="Simplified Arabic" w:cs="Simplified Arabic"/>
          <w:color w:val="212121"/>
          <w:sz w:val="24"/>
          <w:szCs w:val="24"/>
          <w:rtl/>
        </w:rPr>
        <w:t xml:space="preserve"> </w:t>
      </w:r>
      <w:r w:rsidRPr="0058421D">
        <w:rPr>
          <w:rFonts w:ascii="Simplified Arabic" w:hAnsi="Simplified Arabic" w:cs="Simplified Arabic"/>
          <w:color w:val="212121"/>
          <w:sz w:val="24"/>
          <w:szCs w:val="24"/>
          <w:rtl/>
        </w:rPr>
        <w:t>الخرائط والمخططات</w:t>
      </w:r>
      <w:r w:rsidRPr="0058421D">
        <w:rPr>
          <w:rFonts w:ascii="Simplified Arabic" w:hAnsi="Simplified Arabic" w:cs="Simplified Arabic" w:hint="cs"/>
          <w:color w:val="212121"/>
          <w:sz w:val="24"/>
          <w:szCs w:val="24"/>
          <w:rtl/>
        </w:rPr>
        <w:t xml:space="preserve"> في </w:t>
      </w:r>
      <w:r>
        <w:rPr>
          <w:rFonts w:ascii="Simplified Arabic" w:hAnsi="Simplified Arabic" w:cs="Simplified Arabic" w:hint="cs"/>
          <w:color w:val="212121"/>
          <w:sz w:val="24"/>
          <w:szCs w:val="24"/>
          <w:rtl/>
        </w:rPr>
        <w:t>التقييم وال</w:t>
      </w:r>
      <w:r w:rsidRPr="0058421D">
        <w:rPr>
          <w:rFonts w:ascii="Simplified Arabic" w:hAnsi="Simplified Arabic" w:cs="Simplified Arabic" w:hint="cs"/>
          <w:color w:val="212121"/>
          <w:sz w:val="24"/>
          <w:szCs w:val="24"/>
          <w:rtl/>
        </w:rPr>
        <w:t xml:space="preserve">تحليل المكاني لظاهرة </w:t>
      </w:r>
      <w:r w:rsidR="00E8765E">
        <w:rPr>
          <w:rFonts w:ascii="Simplified Arabic" w:hAnsi="Simplified Arabic" w:cs="Simplified Arabic" w:hint="cs"/>
          <w:sz w:val="24"/>
          <w:szCs w:val="24"/>
          <w:rtl/>
        </w:rPr>
        <w:t>استعمال</w:t>
      </w:r>
      <w:r w:rsidRPr="0058421D">
        <w:rPr>
          <w:rFonts w:ascii="Simplified Arabic" w:hAnsi="Simplified Arabic" w:cs="Simplified Arabic" w:hint="cs"/>
          <w:color w:val="212121"/>
          <w:sz w:val="24"/>
          <w:szCs w:val="24"/>
          <w:rtl/>
        </w:rPr>
        <w:t xml:space="preserve"> الارض</w:t>
      </w:r>
      <w:r>
        <w:rPr>
          <w:rFonts w:ascii="Simplified Arabic" w:hAnsi="Simplified Arabic" w:cs="Simplified Arabic" w:hint="cs"/>
          <w:color w:val="212121"/>
          <w:sz w:val="24"/>
          <w:szCs w:val="24"/>
          <w:rtl/>
        </w:rPr>
        <w:t>.</w:t>
      </w:r>
      <w:r w:rsidRPr="0058421D">
        <w:rPr>
          <w:rFonts w:ascii="Simplified Arabic" w:hAnsi="Simplified Arabic" w:cs="Simplified Arabic" w:hint="cs"/>
          <w:color w:val="212121"/>
          <w:sz w:val="24"/>
          <w:szCs w:val="24"/>
          <w:rtl/>
        </w:rPr>
        <w:t xml:space="preserve"> </w:t>
      </w:r>
      <w:r>
        <w:rPr>
          <w:rFonts w:ascii="Simplified Arabic" w:hAnsi="Simplified Arabic" w:cs="Simplified Arabic" w:hint="cs"/>
          <w:color w:val="212121"/>
          <w:sz w:val="24"/>
          <w:szCs w:val="24"/>
          <w:rtl/>
        </w:rPr>
        <w:t xml:space="preserve">بمعنى ان </w:t>
      </w:r>
      <w:r w:rsidRPr="00D2286D">
        <w:rPr>
          <w:rFonts w:ascii="Simplified Arabic" w:hAnsi="Simplified Arabic" w:cs="Simplified Arabic" w:hint="cs"/>
          <w:color w:val="000000"/>
          <w:sz w:val="24"/>
          <w:szCs w:val="24"/>
          <w:rtl/>
        </w:rPr>
        <w:t xml:space="preserve">هذه </w:t>
      </w:r>
      <w:r>
        <w:rPr>
          <w:rFonts w:ascii="Simplified Arabic" w:hAnsi="Simplified Arabic" w:cs="Simplified Arabic" w:hint="cs"/>
          <w:color w:val="000000"/>
          <w:sz w:val="24"/>
          <w:szCs w:val="24"/>
          <w:rtl/>
        </w:rPr>
        <w:t>الادوات</w:t>
      </w:r>
      <w:r w:rsidRPr="00D2286D">
        <w:rPr>
          <w:rFonts w:ascii="Simplified Arabic" w:hAnsi="Simplified Arabic" w:cs="Simplified Arabic" w:hint="cs"/>
          <w:color w:val="000000"/>
          <w:sz w:val="24"/>
          <w:szCs w:val="24"/>
          <w:rtl/>
        </w:rPr>
        <w:t xml:space="preserve"> </w:t>
      </w:r>
      <w:r w:rsidRPr="00D2286D">
        <w:rPr>
          <w:rFonts w:ascii="Simplified Arabic" w:hAnsi="Simplified Arabic" w:cs="Simplified Arabic"/>
          <w:color w:val="000000"/>
          <w:sz w:val="24"/>
          <w:szCs w:val="24"/>
          <w:rtl/>
        </w:rPr>
        <w:t>تساعد</w:t>
      </w:r>
      <w:r w:rsidRPr="00D2286D">
        <w:rPr>
          <w:rFonts w:ascii="Simplified Arabic" w:hAnsi="Simplified Arabic" w:cs="Simplified Arabic"/>
          <w:color w:val="000000"/>
          <w:sz w:val="24"/>
          <w:szCs w:val="24"/>
        </w:rPr>
        <w:t xml:space="preserve"> </w:t>
      </w:r>
      <w:r w:rsidRPr="00D2286D">
        <w:rPr>
          <w:rFonts w:ascii="Simplified Arabic" w:hAnsi="Simplified Arabic" w:cs="Simplified Arabic"/>
          <w:color w:val="000000"/>
          <w:sz w:val="24"/>
          <w:szCs w:val="24"/>
          <w:rtl/>
        </w:rPr>
        <w:t>في</w:t>
      </w:r>
      <w:r w:rsidRPr="00D2286D">
        <w:rPr>
          <w:rFonts w:ascii="Simplified Arabic" w:hAnsi="Simplified Arabic" w:cs="Simplified Arabic"/>
          <w:color w:val="000000"/>
          <w:sz w:val="24"/>
          <w:szCs w:val="24"/>
        </w:rPr>
        <w:t xml:space="preserve"> </w:t>
      </w:r>
      <w:r w:rsidRPr="00D2286D">
        <w:rPr>
          <w:rFonts w:ascii="Simplified Arabic" w:hAnsi="Simplified Arabic" w:cs="Simplified Arabic"/>
          <w:color w:val="000000"/>
          <w:sz w:val="24"/>
          <w:szCs w:val="24"/>
          <w:rtl/>
        </w:rPr>
        <w:t>تحليل</w:t>
      </w:r>
      <w:r w:rsidRPr="00D2286D">
        <w:rPr>
          <w:rFonts w:ascii="Simplified Arabic" w:hAnsi="Simplified Arabic" w:cs="Simplified Arabic"/>
          <w:color w:val="000000"/>
          <w:sz w:val="24"/>
          <w:szCs w:val="24"/>
        </w:rPr>
        <w:t xml:space="preserve"> </w:t>
      </w:r>
      <w:r w:rsidRPr="00D2286D">
        <w:rPr>
          <w:rFonts w:ascii="Simplified Arabic" w:hAnsi="Simplified Arabic" w:cs="Simplified Arabic" w:hint="cs"/>
          <w:color w:val="000000"/>
          <w:sz w:val="24"/>
          <w:szCs w:val="24"/>
          <w:rtl/>
        </w:rPr>
        <w:t xml:space="preserve">التوزيع </w:t>
      </w:r>
      <w:r w:rsidRPr="00D2286D">
        <w:rPr>
          <w:rFonts w:ascii="Simplified Arabic" w:hAnsi="Simplified Arabic" w:cs="Simplified Arabic"/>
          <w:color w:val="000000"/>
          <w:sz w:val="24"/>
          <w:szCs w:val="24"/>
          <w:rtl/>
        </w:rPr>
        <w:t>المكاني</w:t>
      </w:r>
      <w:r w:rsidRPr="00D2286D">
        <w:rPr>
          <w:rFonts w:ascii="Simplified Arabic" w:hAnsi="Simplified Arabic" w:cs="Simplified Arabic"/>
          <w:color w:val="000000"/>
          <w:sz w:val="24"/>
          <w:szCs w:val="24"/>
        </w:rPr>
        <w:t xml:space="preserve"> </w:t>
      </w:r>
      <w:r w:rsidRPr="00D2286D">
        <w:rPr>
          <w:rFonts w:ascii="Simplified Arabic" w:hAnsi="Simplified Arabic" w:cs="Simplified Arabic"/>
          <w:color w:val="000000"/>
          <w:sz w:val="24"/>
          <w:szCs w:val="24"/>
          <w:rtl/>
        </w:rPr>
        <w:t>لمواقع</w:t>
      </w:r>
      <w:r w:rsidRPr="00D2286D">
        <w:rPr>
          <w:rFonts w:ascii="Simplified Arabic" w:hAnsi="Simplified Arabic" w:cs="Simplified Arabic" w:hint="cs"/>
          <w:color w:val="000000"/>
          <w:sz w:val="24"/>
          <w:szCs w:val="24"/>
          <w:rtl/>
        </w:rPr>
        <w:t xml:space="preserve"> مختلف </w:t>
      </w:r>
      <w:r>
        <w:rPr>
          <w:rFonts w:ascii="Simplified Arabic" w:hAnsi="Simplified Arabic" w:cs="Simplified Arabic" w:hint="cs"/>
          <w:color w:val="000000"/>
          <w:sz w:val="24"/>
          <w:szCs w:val="24"/>
          <w:rtl/>
        </w:rPr>
        <w:t xml:space="preserve">المرافق وشبكة الطرق من حيث (الكثافة، التنوع، التكرار </w:t>
      </w:r>
      <w:r w:rsidR="00C23656" w:rsidRPr="008E532E">
        <w:rPr>
          <w:rFonts w:ascii="Simplified Arabic" w:hAnsi="Simplified Arabic" w:cs="Simplified Arabic" w:hint="cs"/>
          <w:sz w:val="24"/>
          <w:szCs w:val="24"/>
          <w:rtl/>
          <w:lang w:bidi="ar-DZ"/>
        </w:rPr>
        <w:t>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Pr>
          <w:rFonts w:ascii="Simplified Arabic" w:hAnsi="Simplified Arabic" w:cs="Simplified Arabic" w:hint="cs"/>
          <w:color w:val="000000"/>
          <w:sz w:val="24"/>
          <w:szCs w:val="24"/>
          <w:rtl/>
        </w:rPr>
        <w:t xml:space="preserve">). </w:t>
      </w:r>
    </w:p>
    <w:p w:rsidR="000B42BD" w:rsidRDefault="000B42BD" w:rsidP="000B42BD">
      <w:pPr>
        <w:autoSpaceDE w:val="0"/>
        <w:autoSpaceDN w:val="0"/>
        <w:bidi/>
        <w:adjustRightInd w:val="0"/>
        <w:spacing w:after="0"/>
        <w:ind w:firstLine="282"/>
        <w:jc w:val="both"/>
        <w:rPr>
          <w:rFonts w:ascii="Simplified Arabic" w:hAnsi="Simplified Arabic" w:cs="Simplified Arabic"/>
          <w:color w:val="212121"/>
          <w:sz w:val="24"/>
          <w:szCs w:val="24"/>
          <w:rtl/>
        </w:rPr>
      </w:pPr>
      <w:r w:rsidRPr="00845525">
        <w:rPr>
          <w:rFonts w:ascii="Simplified Arabic" w:hAnsi="Simplified Arabic" w:cs="Simplified Arabic"/>
          <w:color w:val="000000"/>
          <w:sz w:val="24"/>
          <w:szCs w:val="24"/>
          <w:rtl/>
        </w:rPr>
        <w:lastRenderedPageBreak/>
        <w:t xml:space="preserve">لتحقيق أهداف </w:t>
      </w:r>
      <w:r w:rsidRPr="00845525">
        <w:rPr>
          <w:rFonts w:ascii="Simplified Arabic" w:hAnsi="Simplified Arabic" w:cs="Simplified Arabic" w:hint="cs"/>
          <w:color w:val="000000"/>
          <w:sz w:val="24"/>
          <w:szCs w:val="24"/>
          <w:rtl/>
        </w:rPr>
        <w:t>البحث</w:t>
      </w:r>
      <w:r w:rsidRPr="00845525">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تم </w:t>
      </w:r>
      <w:r w:rsidRPr="00845525">
        <w:rPr>
          <w:rFonts w:ascii="Simplified Arabic" w:hAnsi="Simplified Arabic" w:cs="Simplified Arabic"/>
          <w:color w:val="000000"/>
          <w:sz w:val="24"/>
          <w:szCs w:val="24"/>
          <w:rtl/>
        </w:rPr>
        <w:t xml:space="preserve">تطبيق </w:t>
      </w:r>
      <w:r>
        <w:rPr>
          <w:rFonts w:ascii="Simplified Arabic" w:hAnsi="Simplified Arabic" w:cs="Simplified Arabic" w:hint="cs"/>
          <w:color w:val="000000"/>
          <w:sz w:val="24"/>
          <w:szCs w:val="24"/>
          <w:rtl/>
        </w:rPr>
        <w:t>بعض ال</w:t>
      </w:r>
      <w:r w:rsidRPr="00845525">
        <w:rPr>
          <w:rFonts w:ascii="Simplified Arabic" w:hAnsi="Simplified Arabic" w:cs="Simplified Arabic"/>
          <w:color w:val="000000"/>
          <w:sz w:val="24"/>
          <w:szCs w:val="24"/>
          <w:rtl/>
        </w:rPr>
        <w:t xml:space="preserve">أدوات </w:t>
      </w:r>
      <w:r>
        <w:rPr>
          <w:rFonts w:ascii="Simplified Arabic" w:hAnsi="Simplified Arabic" w:cs="Simplified Arabic" w:hint="cs"/>
          <w:color w:val="000000"/>
          <w:sz w:val="24"/>
          <w:szCs w:val="24"/>
          <w:rtl/>
        </w:rPr>
        <w:t xml:space="preserve">مثل، </w:t>
      </w:r>
      <w:r w:rsidRPr="00845525">
        <w:rPr>
          <w:rFonts w:ascii="Simplified Arabic" w:hAnsi="Simplified Arabic" w:cs="Simplified Arabic"/>
          <w:color w:val="000000"/>
          <w:sz w:val="24"/>
          <w:szCs w:val="24"/>
          <w:rtl/>
        </w:rPr>
        <w:t>تحليل الشبك</w:t>
      </w:r>
      <w:r w:rsidRPr="00EC1BB2">
        <w:rPr>
          <w:rFonts w:ascii="Simplified Arabic" w:hAnsi="Simplified Arabic" w:cs="Simplified Arabic"/>
          <w:color w:val="000000"/>
          <w:sz w:val="24"/>
          <w:szCs w:val="24"/>
          <w:rtl/>
        </w:rPr>
        <w:t>ات</w:t>
      </w:r>
      <w:r w:rsidRPr="00EC1BB2">
        <w:rPr>
          <w:rFonts w:ascii="Simplified Arabic" w:hAnsi="Simplified Arabic" w:cs="Simplified Arabic"/>
          <w:rtl/>
        </w:rPr>
        <w:t xml:space="preserve"> </w:t>
      </w:r>
      <w:r w:rsidRPr="00845525">
        <w:rPr>
          <w:rFonts w:asciiTheme="majorBidi" w:hAnsiTheme="majorBidi" w:cstheme="majorBidi"/>
          <w:rtl/>
        </w:rPr>
        <w:t>(</w:t>
      </w:r>
      <w:r w:rsidRPr="00DC0FDE">
        <w:rPr>
          <w:rFonts w:asciiTheme="majorBidi" w:hAnsiTheme="majorBidi" w:cstheme="majorBidi"/>
          <w:sz w:val="24"/>
          <w:szCs w:val="24"/>
          <w:lang w:val="en-US"/>
        </w:rPr>
        <w:t>Analysis</w:t>
      </w:r>
      <w:r>
        <w:rPr>
          <w:rFonts w:asciiTheme="majorBidi" w:hAnsiTheme="majorBidi" w:cstheme="majorBidi" w:hint="cs"/>
          <w:sz w:val="24"/>
          <w:szCs w:val="24"/>
          <w:rtl/>
        </w:rPr>
        <w:t xml:space="preserve"> </w:t>
      </w:r>
      <w:r w:rsidRPr="00845525">
        <w:rPr>
          <w:rFonts w:asciiTheme="majorBidi" w:hAnsiTheme="majorBidi" w:cstheme="majorBidi"/>
          <w:sz w:val="24"/>
          <w:szCs w:val="24"/>
        </w:rPr>
        <w:t>Network</w:t>
      </w:r>
      <w:r w:rsidRPr="00845525">
        <w:rPr>
          <w:rFonts w:asciiTheme="majorBidi" w:hAnsiTheme="majorBidi" w:cstheme="majorBidi"/>
          <w:rtl/>
        </w:rPr>
        <w:t>)</w:t>
      </w:r>
      <w:r>
        <w:rPr>
          <w:rFonts w:ascii="Simplified Arabic" w:hAnsi="Simplified Arabic" w:cs="Simplified Arabic" w:hint="cs"/>
          <w:sz w:val="24"/>
          <w:szCs w:val="24"/>
          <w:rtl/>
        </w:rPr>
        <w:t xml:space="preserve">، </w:t>
      </w:r>
      <w:r w:rsidRPr="00845525">
        <w:rPr>
          <w:rFonts w:ascii="Simplified Arabic" w:hAnsi="Simplified Arabic" w:cs="Simplified Arabic"/>
          <w:color w:val="000000"/>
          <w:sz w:val="24"/>
          <w:szCs w:val="24"/>
          <w:rtl/>
        </w:rPr>
        <w:t>التحليل المكاني</w:t>
      </w:r>
      <w:r w:rsidRPr="00845525">
        <w:t xml:space="preserve"> </w:t>
      </w:r>
      <w:r w:rsidRPr="00AB2E3A">
        <w:rPr>
          <w:rFonts w:asciiTheme="majorBidi" w:hAnsiTheme="majorBidi" w:cstheme="majorBidi"/>
          <w:color w:val="000000"/>
          <w:sz w:val="24"/>
          <w:szCs w:val="24"/>
          <w:rtl/>
        </w:rPr>
        <w:t>(</w:t>
      </w:r>
      <w:r w:rsidRPr="00845525">
        <w:rPr>
          <w:rFonts w:asciiTheme="majorBidi" w:hAnsiTheme="majorBidi" w:cstheme="majorBidi"/>
          <w:sz w:val="24"/>
          <w:szCs w:val="24"/>
        </w:rPr>
        <w:t xml:space="preserve">Spatial </w:t>
      </w:r>
      <w:r w:rsidRPr="00DC0FDE">
        <w:rPr>
          <w:rFonts w:asciiTheme="majorBidi" w:hAnsiTheme="majorBidi" w:cstheme="majorBidi"/>
          <w:sz w:val="24"/>
          <w:szCs w:val="24"/>
          <w:lang w:val="en-US"/>
        </w:rPr>
        <w:t>Analysis</w:t>
      </w:r>
      <w:r w:rsidRPr="00AB2E3A">
        <w:rPr>
          <w:rFonts w:asciiTheme="majorBidi" w:hAnsiTheme="majorBidi" w:cstheme="majorBidi"/>
          <w:color w:val="000000"/>
          <w:sz w:val="24"/>
          <w:szCs w:val="24"/>
          <w:rtl/>
        </w:rPr>
        <w:t>)</w:t>
      </w:r>
      <w:r>
        <w:rPr>
          <w:rFonts w:ascii="Simplified Arabic" w:hAnsi="Simplified Arabic" w:cs="Simplified Arabic" w:hint="cs"/>
          <w:color w:val="000000"/>
          <w:sz w:val="24"/>
          <w:szCs w:val="24"/>
          <w:rtl/>
        </w:rPr>
        <w:t>،</w:t>
      </w:r>
      <w:r w:rsidRPr="00EC1BB2">
        <w:rPr>
          <w:rFonts w:ascii="Simplified Arabic" w:hAnsi="Simplified Arabic" w:cs="Simplified Arabic"/>
          <w:color w:val="000000"/>
          <w:sz w:val="24"/>
          <w:szCs w:val="24"/>
          <w:rtl/>
        </w:rPr>
        <w:t xml:space="preserve"> </w:t>
      </w:r>
      <w:r w:rsidRPr="00845525">
        <w:rPr>
          <w:rFonts w:ascii="Simplified Arabic" w:hAnsi="Simplified Arabic" w:cs="Simplified Arabic"/>
          <w:color w:val="000000"/>
          <w:sz w:val="24"/>
          <w:szCs w:val="24"/>
          <w:rtl/>
        </w:rPr>
        <w:t>بناء نماذج</w:t>
      </w:r>
      <w:r w:rsidRPr="00845525">
        <w:rPr>
          <w:rtl/>
        </w:rPr>
        <w:t xml:space="preserve"> </w:t>
      </w:r>
      <w:r w:rsidRPr="00845525">
        <w:rPr>
          <w:rFonts w:asciiTheme="majorBidi" w:hAnsiTheme="majorBidi" w:cstheme="majorBidi"/>
          <w:rtl/>
        </w:rPr>
        <w:t>(</w:t>
      </w:r>
      <w:r w:rsidRPr="00DC0FDE">
        <w:rPr>
          <w:rFonts w:asciiTheme="majorBidi" w:hAnsiTheme="majorBidi" w:cstheme="majorBidi"/>
          <w:sz w:val="24"/>
          <w:szCs w:val="24"/>
          <w:lang w:val="en-US"/>
        </w:rPr>
        <w:t>Builder</w:t>
      </w:r>
      <w:r w:rsidRPr="00845525">
        <w:rPr>
          <w:rFonts w:asciiTheme="majorBidi" w:hAnsiTheme="majorBidi" w:cstheme="majorBidi"/>
          <w:sz w:val="24"/>
          <w:szCs w:val="24"/>
        </w:rPr>
        <w:t xml:space="preserve"> Model</w:t>
      </w:r>
      <w:r w:rsidRPr="00845525">
        <w:rPr>
          <w:rFonts w:asciiTheme="majorBidi" w:hAnsiTheme="majorBidi" w:cstheme="majorBidi"/>
          <w:rtl/>
        </w:rPr>
        <w:t>)</w:t>
      </w:r>
      <w:r w:rsidRPr="00845525">
        <w:rPr>
          <w:rFonts w:hint="cs"/>
          <w:rtl/>
        </w:rPr>
        <w:t xml:space="preserve"> </w:t>
      </w:r>
      <w:r w:rsidRPr="00845525">
        <w:rPr>
          <w:rFonts w:ascii="Simplified Arabic" w:hAnsi="Simplified Arabic" w:cs="Simplified Arabic"/>
          <w:color w:val="000000"/>
          <w:sz w:val="24"/>
          <w:szCs w:val="24"/>
          <w:rtl/>
        </w:rPr>
        <w:t>المعالجة</w:t>
      </w:r>
      <w:r>
        <w:rPr>
          <w:rFonts w:ascii="Simplified Arabic" w:hAnsi="Simplified Arabic" w:cs="Simplified Arabic" w:hint="cs"/>
          <w:color w:val="000000"/>
          <w:sz w:val="24"/>
          <w:szCs w:val="24"/>
          <w:rtl/>
        </w:rPr>
        <w:t xml:space="preserve"> والتحليل</w:t>
      </w:r>
      <w:r w:rsidRPr="00845525">
        <w:rPr>
          <w:rFonts w:ascii="Simplified Arabic" w:hAnsi="Simplified Arabic" w:cs="Simplified Arabic"/>
          <w:color w:val="000000"/>
          <w:sz w:val="24"/>
          <w:szCs w:val="24"/>
          <w:rtl/>
        </w:rPr>
        <w:t xml:space="preserve"> و</w:t>
      </w:r>
      <w:r>
        <w:rPr>
          <w:rFonts w:ascii="Simplified Arabic" w:hAnsi="Simplified Arabic" w:cs="Simplified Arabic" w:hint="cs"/>
          <w:color w:val="000000"/>
          <w:sz w:val="24"/>
          <w:szCs w:val="24"/>
          <w:rtl/>
        </w:rPr>
        <w:t>اتخاذ الق</w:t>
      </w:r>
      <w:r w:rsidRPr="00845525">
        <w:rPr>
          <w:rFonts w:ascii="Simplified Arabic" w:hAnsi="Simplified Arabic" w:cs="Simplified Arabic" w:hint="cs"/>
          <w:color w:val="000000"/>
          <w:sz w:val="24"/>
          <w:szCs w:val="24"/>
          <w:rtl/>
        </w:rPr>
        <w:t>رار</w:t>
      </w:r>
      <w:r w:rsidRPr="00845525">
        <w:rPr>
          <w:rFonts w:ascii="Simplified Arabic" w:hAnsi="Simplified Arabic" w:cs="Simplified Arabic"/>
          <w:color w:val="000000"/>
          <w:sz w:val="24"/>
          <w:szCs w:val="24"/>
          <w:rtl/>
        </w:rPr>
        <w:t xml:space="preserve"> </w:t>
      </w:r>
      <w:r w:rsidRPr="00845525">
        <w:rPr>
          <w:rFonts w:ascii="Simplified Arabic" w:hAnsi="Simplified Arabic" w:cs="Simplified Arabic" w:hint="cs"/>
          <w:color w:val="000000"/>
          <w:sz w:val="24"/>
          <w:szCs w:val="24"/>
          <w:rtl/>
        </w:rPr>
        <w:t>التي توفرها</w:t>
      </w:r>
      <w:r w:rsidRPr="00845525">
        <w:rPr>
          <w:rFonts w:ascii="Simplified Arabic" w:hAnsi="Simplified Arabic" w:cs="Simplified Arabic"/>
          <w:color w:val="000000"/>
          <w:sz w:val="24"/>
          <w:szCs w:val="24"/>
          <w:rtl/>
        </w:rPr>
        <w:t xml:space="preserve"> بيئة نظم المعلومات الجغرافية</w:t>
      </w:r>
      <w:r w:rsidRPr="00845525">
        <w:rPr>
          <w:rFonts w:ascii="Simplified Arabic" w:hAnsi="Simplified Arabic" w:cs="Simplified Arabic" w:hint="cs"/>
          <w:color w:val="000000"/>
          <w:sz w:val="24"/>
          <w:szCs w:val="24"/>
          <w:rtl/>
        </w:rPr>
        <w:t xml:space="preserve"> ضمن برنامج </w:t>
      </w:r>
      <w:r w:rsidRPr="00845525">
        <w:rPr>
          <w:rFonts w:asciiTheme="majorBidi" w:hAnsiTheme="majorBidi" w:cstheme="majorBidi"/>
          <w:sz w:val="24"/>
          <w:szCs w:val="24"/>
          <w:rtl/>
        </w:rPr>
        <w:t>(</w:t>
      </w:r>
      <w:r w:rsidRPr="00DC0FDE">
        <w:rPr>
          <w:rFonts w:asciiTheme="majorBidi" w:hAnsiTheme="majorBidi" w:cstheme="majorBidi"/>
          <w:sz w:val="24"/>
          <w:szCs w:val="24"/>
          <w:lang w:val="en-US"/>
        </w:rPr>
        <w:t>ArcGIS</w:t>
      </w:r>
      <w:r w:rsidRPr="00DF61CD">
        <w:rPr>
          <w:rFonts w:asciiTheme="majorBidi" w:hAnsiTheme="majorBidi" w:cstheme="majorBidi"/>
          <w:sz w:val="24"/>
          <w:szCs w:val="24"/>
        </w:rPr>
        <w:t xml:space="preserve"> 10.3</w:t>
      </w:r>
      <w:r w:rsidRPr="00845525">
        <w:rPr>
          <w:rFonts w:asciiTheme="majorBidi" w:hAnsiTheme="majorBidi" w:cstheme="majorBidi"/>
          <w:sz w:val="24"/>
          <w:szCs w:val="24"/>
          <w:rtl/>
        </w:rPr>
        <w:t>)</w:t>
      </w:r>
      <w:r w:rsidRPr="0058421D">
        <w:rPr>
          <w:rFonts w:ascii="Simplified Arabic" w:hAnsi="Simplified Arabic" w:cs="Simplified Arabic"/>
          <w:color w:val="212121"/>
          <w:sz w:val="24"/>
          <w:szCs w:val="24"/>
          <w:rtl/>
        </w:rPr>
        <w:t>،</w:t>
      </w:r>
    </w:p>
    <w:p w:rsidR="000B42BD" w:rsidRPr="00317AE5" w:rsidRDefault="000B42BD" w:rsidP="003A1DB8">
      <w:pPr>
        <w:pStyle w:val="Paragraphedeliste"/>
        <w:numPr>
          <w:ilvl w:val="3"/>
          <w:numId w:val="143"/>
        </w:numPr>
        <w:tabs>
          <w:tab w:val="right" w:pos="992"/>
        </w:tabs>
        <w:bidi/>
        <w:spacing w:after="0"/>
        <w:ind w:left="0" w:firstLine="0"/>
        <w:jc w:val="both"/>
        <w:outlineLvl w:val="2"/>
        <w:rPr>
          <w:rFonts w:ascii="Simplified Arabic" w:hAnsi="Simplified Arabic" w:cs="Simplified Arabic"/>
          <w:b/>
          <w:bCs/>
          <w:sz w:val="24"/>
          <w:szCs w:val="24"/>
          <w:rtl/>
          <w:lang w:val="en-US"/>
        </w:rPr>
      </w:pPr>
      <w:bookmarkStart w:id="446" w:name="_Toc171803543"/>
      <w:r w:rsidRPr="00317AE5">
        <w:rPr>
          <w:rFonts w:ascii="Simplified Arabic" w:hAnsi="Simplified Arabic" w:cs="Simplified Arabic"/>
          <w:b/>
          <w:bCs/>
          <w:sz w:val="24"/>
          <w:szCs w:val="24"/>
          <w:rtl/>
          <w:lang w:val="en-US"/>
        </w:rPr>
        <w:t>أ</w:t>
      </w:r>
      <w:r w:rsidRPr="00317AE5">
        <w:rPr>
          <w:rFonts w:ascii="Simplified Arabic" w:hAnsi="Simplified Arabic" w:cs="Simplified Arabic" w:hint="cs"/>
          <w:b/>
          <w:bCs/>
          <w:sz w:val="24"/>
          <w:szCs w:val="24"/>
          <w:rtl/>
          <w:lang w:val="en-US"/>
        </w:rPr>
        <w:t>ه</w:t>
      </w:r>
      <w:r w:rsidRPr="00317AE5">
        <w:rPr>
          <w:rFonts w:ascii="Simplified Arabic" w:hAnsi="Simplified Arabic" w:cs="Simplified Arabic"/>
          <w:b/>
          <w:bCs/>
          <w:sz w:val="24"/>
          <w:szCs w:val="24"/>
          <w:rtl/>
          <w:lang w:val="en-US"/>
        </w:rPr>
        <w:t>م</w:t>
      </w:r>
      <w:r w:rsidRPr="00317AE5">
        <w:rPr>
          <w:rFonts w:ascii="Simplified Arabic" w:hAnsi="Simplified Arabic" w:cs="Simplified Arabic" w:hint="cs"/>
          <w:b/>
          <w:bCs/>
          <w:sz w:val="24"/>
          <w:szCs w:val="24"/>
          <w:rtl/>
          <w:lang w:val="en-US"/>
        </w:rPr>
        <w:t xml:space="preserve"> طرق التحليل المستخدمة في برنامج</w:t>
      </w:r>
      <w:r w:rsidRPr="00317AE5">
        <w:rPr>
          <w:rFonts w:ascii="Simplified Arabic" w:hAnsi="Simplified Arabic" w:cs="Simplified Arabic" w:hint="cs"/>
          <w:color w:val="000000"/>
          <w:sz w:val="24"/>
          <w:szCs w:val="24"/>
          <w:rtl/>
        </w:rPr>
        <w:t xml:space="preserve"> </w:t>
      </w:r>
      <w:r w:rsidRPr="00317AE5">
        <w:rPr>
          <w:rFonts w:asciiTheme="majorBidi" w:hAnsiTheme="majorBidi" w:cstheme="majorBidi"/>
          <w:sz w:val="24"/>
          <w:szCs w:val="24"/>
          <w:rtl/>
        </w:rPr>
        <w:t>(</w:t>
      </w:r>
      <w:r w:rsidRPr="00317AE5">
        <w:rPr>
          <w:rFonts w:asciiTheme="majorBidi" w:hAnsiTheme="majorBidi" w:cstheme="majorBidi"/>
          <w:sz w:val="24"/>
          <w:szCs w:val="24"/>
          <w:lang w:val="en-US"/>
        </w:rPr>
        <w:t>ArcGIS</w:t>
      </w:r>
      <w:r w:rsidRPr="00317AE5">
        <w:rPr>
          <w:rFonts w:asciiTheme="majorBidi" w:hAnsiTheme="majorBidi" w:cstheme="majorBidi"/>
          <w:sz w:val="24"/>
          <w:szCs w:val="24"/>
        </w:rPr>
        <w:t xml:space="preserve"> 10.3</w:t>
      </w:r>
      <w:r w:rsidRPr="00317AE5">
        <w:rPr>
          <w:rFonts w:asciiTheme="majorBidi" w:hAnsiTheme="majorBidi" w:cstheme="majorBidi"/>
          <w:sz w:val="24"/>
          <w:szCs w:val="24"/>
          <w:rtl/>
        </w:rPr>
        <w:t>)</w:t>
      </w:r>
      <w:bookmarkEnd w:id="446"/>
    </w:p>
    <w:p w:rsidR="000B42BD" w:rsidRPr="00A27B6E" w:rsidRDefault="000B42BD" w:rsidP="001D0548">
      <w:pPr>
        <w:pStyle w:val="Paragraphedeliste"/>
        <w:numPr>
          <w:ilvl w:val="0"/>
          <w:numId w:val="214"/>
        </w:numPr>
        <w:tabs>
          <w:tab w:val="right" w:pos="1134"/>
        </w:tabs>
        <w:bidi/>
        <w:spacing w:before="240" w:after="0"/>
        <w:ind w:left="0" w:firstLine="992"/>
        <w:outlineLvl w:val="3"/>
        <w:rPr>
          <w:rFonts w:ascii="Simplified Arabic" w:hAnsi="Simplified Arabic" w:cs="Simplified Arabic"/>
          <w:b/>
          <w:bCs/>
          <w:sz w:val="24"/>
          <w:szCs w:val="24"/>
          <w:rtl/>
          <w:lang w:val="en-US"/>
        </w:rPr>
      </w:pPr>
      <w:r w:rsidRPr="00A27B6E">
        <w:rPr>
          <w:rFonts w:ascii="Simplified Arabic" w:hAnsi="Simplified Arabic" w:cs="Simplified Arabic" w:hint="cs"/>
          <w:b/>
          <w:bCs/>
          <w:sz w:val="24"/>
          <w:szCs w:val="24"/>
          <w:rtl/>
          <w:lang w:val="en-US"/>
        </w:rPr>
        <w:t>ال</w:t>
      </w:r>
      <w:r w:rsidRPr="00A27B6E">
        <w:rPr>
          <w:rFonts w:ascii="Simplified Arabic" w:hAnsi="Simplified Arabic" w:cs="Simplified Arabic"/>
          <w:b/>
          <w:bCs/>
          <w:sz w:val="24"/>
          <w:szCs w:val="24"/>
          <w:rtl/>
          <w:lang w:val="en-US"/>
        </w:rPr>
        <w:t>تحليل</w:t>
      </w:r>
      <w:r w:rsidRPr="00A27B6E">
        <w:rPr>
          <w:rFonts w:ascii="Simplified Arabic" w:hAnsi="Simplified Arabic" w:cs="Simplified Arabic" w:hint="cs"/>
          <w:b/>
          <w:bCs/>
          <w:sz w:val="24"/>
          <w:szCs w:val="24"/>
          <w:rtl/>
          <w:lang w:val="en-US"/>
        </w:rPr>
        <w:t xml:space="preserve"> </w:t>
      </w:r>
      <w:r w:rsidRPr="00A27B6E">
        <w:rPr>
          <w:rFonts w:ascii="Simplified Arabic" w:hAnsi="Simplified Arabic" w:cs="Simplified Arabic"/>
          <w:b/>
          <w:bCs/>
          <w:sz w:val="24"/>
          <w:szCs w:val="24"/>
          <w:rtl/>
          <w:lang w:val="en-US"/>
        </w:rPr>
        <w:t>الشبك</w:t>
      </w:r>
      <w:r w:rsidRPr="00A27B6E">
        <w:rPr>
          <w:rFonts w:ascii="Simplified Arabic" w:hAnsi="Simplified Arabic" w:cs="Simplified Arabic" w:hint="cs"/>
          <w:b/>
          <w:bCs/>
          <w:sz w:val="24"/>
          <w:szCs w:val="24"/>
          <w:rtl/>
          <w:lang w:val="en-US"/>
        </w:rPr>
        <w:t xml:space="preserve">ي </w:t>
      </w:r>
      <w:r w:rsidRPr="00A27B6E">
        <w:rPr>
          <w:rFonts w:ascii="Simplified Arabic" w:hAnsi="Simplified Arabic" w:cs="Simplified Arabic"/>
          <w:b/>
          <w:bCs/>
          <w:sz w:val="24"/>
          <w:szCs w:val="24"/>
          <w:rtl/>
          <w:lang w:val="en-US"/>
        </w:rPr>
        <w:t>(</w:t>
      </w:r>
      <w:r w:rsidRPr="00A27B6E">
        <w:rPr>
          <w:rFonts w:asciiTheme="majorBidi" w:hAnsiTheme="majorBidi" w:cstheme="majorBidi"/>
          <w:b/>
          <w:bCs/>
          <w:sz w:val="20"/>
          <w:szCs w:val="20"/>
          <w:lang w:val="en-US"/>
        </w:rPr>
        <w:t>Network Analysis</w:t>
      </w:r>
      <w:r w:rsidRPr="00A27B6E">
        <w:rPr>
          <w:rFonts w:ascii="Simplified Arabic" w:hAnsi="Simplified Arabic" w:cs="Simplified Arabic"/>
          <w:b/>
          <w:bCs/>
          <w:sz w:val="24"/>
          <w:szCs w:val="24"/>
          <w:rtl/>
          <w:lang w:val="en-US"/>
        </w:rPr>
        <w:t>)</w:t>
      </w:r>
    </w:p>
    <w:p w:rsidR="000B42BD" w:rsidRDefault="000B42BD" w:rsidP="000B42BD">
      <w:pPr>
        <w:autoSpaceDE w:val="0"/>
        <w:autoSpaceDN w:val="0"/>
        <w:bidi/>
        <w:adjustRightInd w:val="0"/>
        <w:spacing w:after="0"/>
        <w:ind w:firstLine="282"/>
        <w:jc w:val="both"/>
        <w:rPr>
          <w:rFonts w:ascii="Simplified Arabic" w:hAnsi="Simplified Arabic" w:cs="Simplified Arabic"/>
          <w:color w:val="212121"/>
          <w:sz w:val="24"/>
          <w:szCs w:val="24"/>
          <w:rtl/>
        </w:rPr>
      </w:pPr>
      <w:r w:rsidRPr="0042765E">
        <w:rPr>
          <w:rFonts w:ascii="Simplified Arabic" w:hAnsi="Simplified Arabic" w:cs="Simplified Arabic" w:hint="cs"/>
          <w:color w:val="212121"/>
          <w:sz w:val="24"/>
          <w:szCs w:val="24"/>
          <w:rtl/>
        </w:rPr>
        <w:t>ت</w:t>
      </w:r>
      <w:r w:rsidRPr="00C13587">
        <w:rPr>
          <w:rFonts w:ascii="Simplified Arabic" w:hAnsi="Simplified Arabic" w:cs="Simplified Arabic"/>
          <w:color w:val="212121"/>
          <w:sz w:val="24"/>
          <w:szCs w:val="24"/>
          <w:rtl/>
        </w:rPr>
        <w:t>عتبر</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عملية</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تحليل</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الشبكات</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من</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أهم</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الوظائف</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التي</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يستطيع</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نظام</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المعلومات</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الجغرافي</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أن</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يقوم</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بها</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tl/>
        </w:rPr>
        <w:t>بكفاءة عالية</w:t>
      </w:r>
      <w:r>
        <w:rPr>
          <w:rFonts w:ascii="Simplified Arabic" w:hAnsi="Simplified Arabic" w:cs="Simplified Arabic" w:hint="cs"/>
          <w:color w:val="212121"/>
          <w:sz w:val="24"/>
          <w:szCs w:val="24"/>
          <w:rtl/>
        </w:rPr>
        <w:t xml:space="preserve">. يتم عبر شبكة الطرق تنقل الاشخاص وتوصيل البضائع والسفر الى الخدمات العمومية. بالتالي فان أداء وكفاءة شبكة الطرق الحضرية يحدد مستوى معيشة الافراد ويؤثر بشكل ملحوظ على عدالة توزيع المرافق والخدمات. </w:t>
      </w:r>
      <w:r w:rsidRPr="00C13587">
        <w:rPr>
          <w:rFonts w:ascii="Simplified Arabic" w:hAnsi="Simplified Arabic" w:cs="Simplified Arabic" w:hint="cs"/>
          <w:color w:val="212121"/>
          <w:sz w:val="24"/>
          <w:szCs w:val="24"/>
          <w:rtl/>
        </w:rPr>
        <w:t>تأتي</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برامج</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نظم</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المعلومات</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الجغرافية</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كأداة</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مهمة</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لدراسة</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hint="cs"/>
          <w:color w:val="212121"/>
          <w:sz w:val="24"/>
          <w:szCs w:val="24"/>
          <w:rtl/>
        </w:rPr>
        <w:t>وإنشاء</w:t>
      </w:r>
      <w:r>
        <w:rPr>
          <w:rFonts w:ascii="Simplified Arabic" w:hAnsi="Simplified Arabic" w:cs="Simplified Arabic" w:hint="cs"/>
          <w:color w:val="212121"/>
          <w:sz w:val="24"/>
          <w:szCs w:val="24"/>
          <w:rtl/>
        </w:rPr>
        <w:t xml:space="preserve"> هاته </w:t>
      </w:r>
      <w:r w:rsidRPr="00C13587">
        <w:rPr>
          <w:rFonts w:ascii="Simplified Arabic" w:hAnsi="Simplified Arabic" w:cs="Simplified Arabic" w:hint="cs"/>
          <w:color w:val="212121"/>
          <w:sz w:val="24"/>
          <w:szCs w:val="24"/>
          <w:rtl/>
        </w:rPr>
        <w:t>الشبك</w:t>
      </w:r>
      <w:r>
        <w:rPr>
          <w:rFonts w:ascii="Simplified Arabic" w:hAnsi="Simplified Arabic" w:cs="Simplified Arabic" w:hint="cs"/>
          <w:color w:val="212121"/>
          <w:sz w:val="24"/>
          <w:szCs w:val="24"/>
          <w:rtl/>
        </w:rPr>
        <w:t>ات</w:t>
      </w:r>
      <w:r w:rsidRPr="00C13587">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Pr>
        <w:t>)</w:t>
      </w:r>
      <w:r w:rsidRPr="00C75CAD">
        <w:rPr>
          <w:rFonts w:ascii="Simplified Arabic" w:hAnsi="Simplified Arabic" w:cs="Simplified Arabic" w:hint="cs"/>
          <w:color w:val="212121"/>
          <w:sz w:val="24"/>
          <w:szCs w:val="24"/>
          <w:rtl/>
        </w:rPr>
        <w:t>نوفل</w:t>
      </w:r>
      <w:r w:rsidR="000862DC">
        <w:rPr>
          <w:rFonts w:ascii="Simplified Arabic" w:hAnsi="Simplified Arabic" w:cs="Simplified Arabic" w:hint="cs"/>
          <w:color w:val="212121"/>
          <w:sz w:val="24"/>
          <w:szCs w:val="24"/>
          <w:rtl/>
        </w:rPr>
        <w:t xml:space="preserve"> </w:t>
      </w:r>
      <w:r w:rsidR="000862DC" w:rsidRPr="000862DC">
        <w:rPr>
          <w:rFonts w:ascii="Simplified Arabic" w:hAnsi="Simplified Arabic" w:cs="Simplified Arabic"/>
          <w:color w:val="212121"/>
          <w:sz w:val="24"/>
          <w:szCs w:val="24"/>
          <w:rtl/>
        </w:rPr>
        <w:t>رشا صاب</w:t>
      </w:r>
      <w:r w:rsidR="000862DC">
        <w:rPr>
          <w:rFonts w:ascii="Simplified Arabic" w:hAnsi="Simplified Arabic" w:cs="Simplified Arabic" w:hint="cs"/>
          <w:color w:val="212121"/>
          <w:sz w:val="24"/>
          <w:szCs w:val="24"/>
          <w:rtl/>
        </w:rPr>
        <w:t>ر</w:t>
      </w:r>
      <w:r w:rsidRPr="00C13587">
        <w:rPr>
          <w:rFonts w:ascii="Simplified Arabic" w:hAnsi="Simplified Arabic" w:cs="Simplified Arabic" w:hint="cs"/>
          <w:color w:val="212121"/>
          <w:sz w:val="24"/>
          <w:szCs w:val="24"/>
          <w:rtl/>
        </w:rPr>
        <w:t>،</w:t>
      </w:r>
      <w:r>
        <w:rPr>
          <w:rFonts w:ascii="Simplified Arabic" w:hAnsi="Simplified Arabic" w:cs="Simplified Arabic" w:hint="cs"/>
          <w:color w:val="212121"/>
          <w:sz w:val="24"/>
          <w:szCs w:val="24"/>
          <w:rtl/>
        </w:rPr>
        <w:t xml:space="preserve"> </w:t>
      </w:r>
      <w:r w:rsidRPr="00C13587">
        <w:rPr>
          <w:rFonts w:ascii="Simplified Arabic" w:hAnsi="Simplified Arabic" w:cs="Simplified Arabic"/>
          <w:color w:val="212121"/>
          <w:sz w:val="24"/>
          <w:szCs w:val="24"/>
        </w:rPr>
        <w:t>2018</w:t>
      </w:r>
      <w:r w:rsidRPr="00C13587">
        <w:rPr>
          <w:rFonts w:ascii="Simplified Arabic" w:hAnsi="Simplified Arabic" w:cs="Simplified Arabic" w:hint="cs"/>
          <w:color w:val="212121"/>
          <w:sz w:val="24"/>
          <w:szCs w:val="24"/>
          <w:rtl/>
        </w:rPr>
        <w:t>)</w:t>
      </w:r>
      <w:r>
        <w:rPr>
          <w:rFonts w:ascii="Simplified Arabic" w:hAnsi="Simplified Arabic" w:cs="Simplified Arabic" w:hint="cs"/>
          <w:color w:val="212121"/>
          <w:sz w:val="24"/>
          <w:szCs w:val="24"/>
          <w:rtl/>
        </w:rPr>
        <w:t>.</w:t>
      </w:r>
    </w:p>
    <w:p w:rsidR="000B42BD" w:rsidRDefault="000B42BD" w:rsidP="002E7C71">
      <w:pPr>
        <w:autoSpaceDE w:val="0"/>
        <w:autoSpaceDN w:val="0"/>
        <w:bidi/>
        <w:adjustRightInd w:val="0"/>
        <w:spacing w:after="0"/>
        <w:ind w:firstLine="282"/>
        <w:jc w:val="both"/>
        <w:rPr>
          <w:rFonts w:ascii="Simplified Arabic" w:hAnsi="Simplified Arabic" w:cs="Simplified Arabic"/>
          <w:color w:val="212121"/>
          <w:sz w:val="24"/>
          <w:szCs w:val="24"/>
        </w:rPr>
      </w:pPr>
      <w:r w:rsidRPr="00C75CAD">
        <w:rPr>
          <w:rFonts w:ascii="Simplified Arabic" w:hAnsi="Simplified Arabic" w:cs="Simplified Arabic" w:hint="cs"/>
          <w:color w:val="212121"/>
          <w:sz w:val="24"/>
          <w:szCs w:val="24"/>
          <w:rtl/>
        </w:rPr>
        <w:t xml:space="preserve">من الضروري تنفيذ شبكة طرق التوصيل، فهي تحدد بعد وقرب المسافة والمدة الزمنية الضرورية للوصول الى موقع الخدمة (الحافظ أمل محمد، </w:t>
      </w:r>
      <w:r w:rsidRPr="00C75CAD">
        <w:rPr>
          <w:rFonts w:ascii="Simplified Arabic" w:hAnsi="Simplified Arabic" w:cs="Simplified Arabic"/>
          <w:color w:val="212121"/>
          <w:sz w:val="24"/>
          <w:szCs w:val="24"/>
        </w:rPr>
        <w:t>2018</w:t>
      </w:r>
      <w:r w:rsidRPr="00C75CAD">
        <w:rPr>
          <w:rFonts w:ascii="Simplified Arabic" w:hAnsi="Simplified Arabic" w:cs="Simplified Arabic" w:hint="cs"/>
          <w:color w:val="212121"/>
          <w:sz w:val="24"/>
          <w:szCs w:val="24"/>
          <w:rtl/>
        </w:rPr>
        <w:t xml:space="preserve">). كلما توزعت شبكة المواصلات بشكل يسمح بسهولة الوصول إلى موقع الخدمة يكون أفضل (الحافظ أمل محمد، </w:t>
      </w:r>
      <w:r w:rsidRPr="00C75CAD">
        <w:rPr>
          <w:rFonts w:ascii="Simplified Arabic" w:hAnsi="Simplified Arabic" w:cs="Simplified Arabic"/>
          <w:color w:val="212121"/>
          <w:sz w:val="24"/>
          <w:szCs w:val="24"/>
        </w:rPr>
        <w:t>2018</w:t>
      </w:r>
      <w:r w:rsidRPr="00C75CAD">
        <w:rPr>
          <w:rFonts w:ascii="Simplified Arabic" w:hAnsi="Simplified Arabic" w:cs="Simplified Arabic" w:hint="cs"/>
          <w:color w:val="212121"/>
          <w:sz w:val="24"/>
          <w:szCs w:val="24"/>
          <w:rtl/>
        </w:rPr>
        <w:t>). اعتمد البحث على شبكة الطرق لمجال الدراسة كما هو مبين في الخريطة (</w:t>
      </w:r>
      <w:r w:rsidR="002E7C71" w:rsidRPr="00C75CAD">
        <w:rPr>
          <w:rFonts w:ascii="Simplified Arabic" w:hAnsi="Simplified Arabic" w:cs="Simplified Arabic" w:hint="cs"/>
          <w:color w:val="212121"/>
          <w:sz w:val="24"/>
          <w:szCs w:val="24"/>
          <w:rtl/>
        </w:rPr>
        <w:t>3-1</w:t>
      </w:r>
      <w:r w:rsidRPr="00C75CAD">
        <w:rPr>
          <w:rFonts w:ascii="Simplified Arabic" w:hAnsi="Simplified Arabic" w:cs="Simplified Arabic" w:hint="cs"/>
          <w:color w:val="212121"/>
          <w:sz w:val="24"/>
          <w:szCs w:val="24"/>
          <w:rtl/>
        </w:rPr>
        <w:t xml:space="preserve">) باستخدام </w:t>
      </w:r>
      <w:r w:rsidRPr="00C75CAD">
        <w:rPr>
          <w:rFonts w:ascii="Simplified Arabic" w:hAnsi="Simplified Arabic" w:cs="Simplified Arabic"/>
          <w:color w:val="212121"/>
          <w:sz w:val="24"/>
          <w:szCs w:val="24"/>
          <w:rtl/>
        </w:rPr>
        <w:t xml:space="preserve">برنامج </w:t>
      </w:r>
      <w:r w:rsidRPr="00C75CAD">
        <w:rPr>
          <w:rFonts w:asciiTheme="majorBidi" w:hAnsiTheme="majorBidi" w:cstheme="majorBidi"/>
          <w:sz w:val="24"/>
          <w:szCs w:val="24"/>
          <w:lang w:val="en-US"/>
        </w:rPr>
        <w:t>ArcGIS</w:t>
      </w:r>
      <w:r w:rsidRPr="00C75CAD">
        <w:rPr>
          <w:rFonts w:asciiTheme="majorBidi" w:hAnsiTheme="majorBidi" w:cstheme="majorBidi"/>
          <w:sz w:val="24"/>
          <w:szCs w:val="24"/>
        </w:rPr>
        <w:t xml:space="preserve"> 10.3</w:t>
      </w:r>
      <w:r w:rsidRPr="00C75CAD">
        <w:rPr>
          <w:rFonts w:ascii="Simplified Arabic" w:hAnsi="Simplified Arabic" w:cs="Simplified Arabic"/>
          <w:sz w:val="24"/>
          <w:szCs w:val="24"/>
          <w:rtl/>
        </w:rPr>
        <w:t xml:space="preserve"> </w:t>
      </w:r>
      <w:r w:rsidRPr="00C75CAD">
        <w:rPr>
          <w:rFonts w:ascii="Simplified Arabic" w:hAnsi="Simplified Arabic" w:cs="Simplified Arabic" w:hint="cs"/>
          <w:color w:val="212121"/>
          <w:sz w:val="24"/>
          <w:szCs w:val="24"/>
          <w:rtl/>
        </w:rPr>
        <w:t xml:space="preserve">والولوج الى منصة </w:t>
      </w:r>
      <w:r w:rsidRPr="00C75CAD">
        <w:rPr>
          <w:rFonts w:asciiTheme="majorBidi" w:hAnsiTheme="majorBidi" w:cstheme="majorBidi"/>
          <w:color w:val="212121"/>
          <w:sz w:val="24"/>
          <w:szCs w:val="24"/>
          <w:rtl/>
        </w:rPr>
        <w:t>(</w:t>
      </w:r>
      <w:r w:rsidRPr="00C75CAD">
        <w:rPr>
          <w:rFonts w:asciiTheme="majorBidi" w:hAnsiTheme="majorBidi" w:cstheme="majorBidi"/>
          <w:color w:val="000000"/>
          <w:sz w:val="24"/>
          <w:szCs w:val="24"/>
        </w:rPr>
        <w:t>Open</w:t>
      </w:r>
      <w:r w:rsidRPr="00C75CAD">
        <w:rPr>
          <w:rFonts w:asciiTheme="majorBidi" w:hAnsiTheme="majorBidi" w:cstheme="majorBidi"/>
          <w:color w:val="000000"/>
          <w:sz w:val="24"/>
          <w:szCs w:val="24"/>
          <w:lang w:val="en-US"/>
        </w:rPr>
        <w:t xml:space="preserve"> Street Map</w:t>
      </w:r>
      <w:r w:rsidRPr="00C75CAD">
        <w:rPr>
          <w:rFonts w:asciiTheme="majorBidi" w:hAnsiTheme="majorBidi" w:cstheme="majorBidi"/>
          <w:color w:val="212121"/>
          <w:sz w:val="24"/>
          <w:szCs w:val="24"/>
          <w:rtl/>
        </w:rPr>
        <w:t>)</w:t>
      </w:r>
      <w:r w:rsidRPr="00C75CAD">
        <w:rPr>
          <w:rFonts w:ascii="Simplified Arabic" w:hAnsi="Simplified Arabic" w:cs="Simplified Arabic" w:hint="cs"/>
          <w:color w:val="212121"/>
          <w:sz w:val="24"/>
          <w:szCs w:val="24"/>
          <w:rtl/>
        </w:rPr>
        <w:t xml:space="preserve"> الذي </w:t>
      </w:r>
      <w:r w:rsidR="0019602E" w:rsidRPr="00C75CAD">
        <w:rPr>
          <w:rFonts w:ascii="Simplified Arabic" w:hAnsi="Simplified Arabic" w:cs="Simplified Arabic" w:hint="cs"/>
          <w:color w:val="212121"/>
          <w:sz w:val="24"/>
          <w:szCs w:val="24"/>
          <w:rtl/>
        </w:rPr>
        <w:t xml:space="preserve">يمكن ان </w:t>
      </w:r>
      <w:r w:rsidRPr="00C75CAD">
        <w:rPr>
          <w:rFonts w:ascii="Simplified Arabic" w:hAnsi="Simplified Arabic" w:cs="Simplified Arabic" w:hint="cs"/>
          <w:color w:val="212121"/>
          <w:sz w:val="24"/>
          <w:szCs w:val="24"/>
          <w:rtl/>
        </w:rPr>
        <w:t xml:space="preserve">يتوفر </w:t>
      </w:r>
      <w:r w:rsidR="0019602E" w:rsidRPr="00C75CAD">
        <w:rPr>
          <w:rFonts w:ascii="Simplified Arabic" w:hAnsi="Simplified Arabic" w:cs="Simplified Arabic" w:hint="cs"/>
          <w:color w:val="212121"/>
          <w:sz w:val="24"/>
          <w:szCs w:val="24"/>
          <w:rtl/>
        </w:rPr>
        <w:t>مجانا</w:t>
      </w:r>
      <w:r w:rsidRPr="00C75CAD">
        <w:rPr>
          <w:rFonts w:ascii="Simplified Arabic" w:hAnsi="Simplified Arabic" w:cs="Simplified Arabic" w:hint="cs"/>
          <w:color w:val="212121"/>
          <w:sz w:val="24"/>
          <w:szCs w:val="24"/>
          <w:rtl/>
        </w:rPr>
        <w:t>.</w:t>
      </w:r>
    </w:p>
    <w:p w:rsidR="000B42BD" w:rsidRDefault="00AD4AEC" w:rsidP="00D71398">
      <w:pPr>
        <w:pStyle w:val="carte"/>
        <w:spacing w:before="240" w:after="0"/>
        <w:rPr>
          <w:rFonts w:asciiTheme="majorBidi" w:hAnsiTheme="majorBidi" w:cstheme="majorBidi"/>
          <w:rtl/>
        </w:rPr>
      </w:pPr>
      <w:bookmarkStart w:id="447" w:name="_Toc157616583"/>
      <w:bookmarkStart w:id="448" w:name="_Toc171803544"/>
      <w:r>
        <w:rPr>
          <w:rFonts w:hint="cs"/>
          <w:rtl/>
        </w:rPr>
        <w:t>ال</w:t>
      </w:r>
      <w:r w:rsidR="002E7C71">
        <w:rPr>
          <w:rFonts w:hint="cs"/>
          <w:rtl/>
        </w:rPr>
        <w:t>خريطة</w:t>
      </w:r>
      <w:r w:rsidR="000B42BD" w:rsidRPr="00757F46">
        <w:rPr>
          <w:rtl/>
        </w:rPr>
        <w:t xml:space="preserve"> </w:t>
      </w:r>
      <w:r w:rsidR="000B42BD">
        <w:rPr>
          <w:rFonts w:hint="cs"/>
          <w:rtl/>
        </w:rPr>
        <w:t>(</w:t>
      </w:r>
      <w:r w:rsidR="002E7C71">
        <w:rPr>
          <w:rFonts w:hint="cs"/>
          <w:rtl/>
        </w:rPr>
        <w:t>3-1</w:t>
      </w:r>
      <w:r w:rsidR="000B42BD">
        <w:rPr>
          <w:rFonts w:hint="cs"/>
          <w:rtl/>
        </w:rPr>
        <w:t>)</w:t>
      </w:r>
      <w:r w:rsidR="000B42BD" w:rsidRPr="00757F46">
        <w:rPr>
          <w:rtl/>
        </w:rPr>
        <w:t xml:space="preserve">: </w:t>
      </w:r>
      <w:r w:rsidR="000B42BD">
        <w:rPr>
          <w:rFonts w:hint="cs"/>
          <w:rtl/>
        </w:rPr>
        <w:t>تصنيف الشوارع الى طرق رئيسية، طرق ثانوية (</w:t>
      </w:r>
      <w:r w:rsidR="000B42BD" w:rsidRPr="00757F46">
        <w:rPr>
          <w:rtl/>
        </w:rPr>
        <w:t xml:space="preserve">برنامج </w:t>
      </w:r>
      <w:r w:rsidR="000B42BD" w:rsidRPr="00757F46">
        <w:t xml:space="preserve"> </w:t>
      </w:r>
      <w:r w:rsidR="000B42BD" w:rsidRPr="00757F46">
        <w:rPr>
          <w:rFonts w:asciiTheme="majorBidi" w:hAnsiTheme="majorBidi" w:cstheme="majorBidi"/>
          <w:lang w:val="en-US"/>
        </w:rPr>
        <w:t>ArcGIS</w:t>
      </w:r>
      <w:r w:rsidR="000B42BD" w:rsidRPr="00757F46">
        <w:rPr>
          <w:rFonts w:asciiTheme="majorBidi" w:hAnsiTheme="majorBidi" w:cstheme="majorBidi"/>
        </w:rPr>
        <w:t xml:space="preserve"> 10.3</w:t>
      </w:r>
      <w:r w:rsidR="000B42BD" w:rsidRPr="00757F46">
        <w:rPr>
          <w:rFonts w:asciiTheme="majorBidi" w:hAnsiTheme="majorBidi" w:cstheme="majorBidi" w:hint="cs"/>
          <w:rtl/>
        </w:rPr>
        <w:t>)</w:t>
      </w:r>
      <w:bookmarkEnd w:id="447"/>
      <w:bookmarkEnd w:id="448"/>
    </w:p>
    <w:p w:rsidR="005135C8" w:rsidRPr="005135C8" w:rsidRDefault="005135C8" w:rsidP="00D71398">
      <w:pPr>
        <w:pStyle w:val="fegure"/>
        <w:rPr>
          <w:sz w:val="8"/>
          <w:szCs w:val="24"/>
          <w:rtl/>
          <w:lang w:val="en-US"/>
        </w:rPr>
      </w:pPr>
      <w:bookmarkStart w:id="449" w:name="_Toc171803545"/>
      <w:r>
        <w:rPr>
          <w:rFonts w:hint="cs"/>
          <w:sz w:val="8"/>
          <w:szCs w:val="24"/>
          <w:rtl/>
          <w:lang w:val="en-US"/>
        </w:rPr>
        <w:t>المصدر: (الباحث، 2022)</w:t>
      </w:r>
      <w:bookmarkEnd w:id="449"/>
    </w:p>
    <w:p w:rsidR="000B42BD" w:rsidRPr="00C13587" w:rsidRDefault="000B42BD" w:rsidP="00C02010">
      <w:pPr>
        <w:autoSpaceDE w:val="0"/>
        <w:autoSpaceDN w:val="0"/>
        <w:bidi/>
        <w:adjustRightInd w:val="0"/>
        <w:spacing w:after="0"/>
        <w:jc w:val="center"/>
        <w:rPr>
          <w:rFonts w:ascii="Simplified Arabic" w:hAnsi="Simplified Arabic" w:cs="Simplified Arabic"/>
          <w:color w:val="212121"/>
        </w:rPr>
      </w:pPr>
      <w:r>
        <w:rPr>
          <w:rFonts w:ascii="Simplified Arabic" w:hAnsi="Simplified Arabic" w:cs="Simplified Arabic"/>
          <w:noProof/>
          <w:color w:val="212121"/>
          <w:rtl/>
          <w:lang w:eastAsia="fr-FR"/>
        </w:rPr>
        <w:drawing>
          <wp:inline distT="0" distB="0" distL="0" distR="0" wp14:anchorId="59486114" wp14:editId="48C130EE">
            <wp:extent cx="5690097" cy="3985146"/>
            <wp:effectExtent l="19050" t="19050" r="25400" b="15875"/>
            <wp:docPr id="154" name="Imag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a:extLst>
                        <a:ext uri="{28A0092B-C50C-407E-A947-70E740481C1C}">
                          <a14:useLocalDpi xmlns:a14="http://schemas.microsoft.com/office/drawing/2010/main" val="0"/>
                        </a:ext>
                      </a:extLst>
                    </a:blip>
                    <a:stretch>
                      <a:fillRect/>
                    </a:stretch>
                  </pic:blipFill>
                  <pic:spPr bwMode="auto">
                    <a:xfrm>
                      <a:off x="0" y="0"/>
                      <a:ext cx="5688308" cy="3983893"/>
                    </a:xfrm>
                    <a:prstGeom prst="rect">
                      <a:avLst/>
                    </a:prstGeom>
                    <a:noFill/>
                    <a:ln>
                      <a:solidFill>
                        <a:schemeClr val="tx1"/>
                      </a:solidFill>
                    </a:ln>
                  </pic:spPr>
                </pic:pic>
              </a:graphicData>
            </a:graphic>
          </wp:inline>
        </w:drawing>
      </w:r>
    </w:p>
    <w:p w:rsidR="000B42BD" w:rsidRPr="00317AE5" w:rsidRDefault="000B42BD" w:rsidP="001D0548">
      <w:pPr>
        <w:pStyle w:val="Paragraphedeliste"/>
        <w:numPr>
          <w:ilvl w:val="0"/>
          <w:numId w:val="214"/>
        </w:numPr>
        <w:tabs>
          <w:tab w:val="right" w:pos="1134"/>
        </w:tabs>
        <w:bidi/>
        <w:spacing w:before="240" w:after="0"/>
        <w:ind w:left="0" w:firstLine="992"/>
        <w:outlineLvl w:val="3"/>
        <w:rPr>
          <w:rFonts w:ascii="Simplified Arabic" w:hAnsi="Simplified Arabic" w:cs="Simplified Arabic"/>
          <w:sz w:val="24"/>
          <w:szCs w:val="24"/>
          <w:lang w:bidi="ar-DZ"/>
        </w:rPr>
      </w:pPr>
      <w:r w:rsidRPr="00317AE5">
        <w:rPr>
          <w:rFonts w:ascii="Simplified Arabic" w:hAnsi="Simplified Arabic" w:cs="Simplified Arabic"/>
          <w:b/>
          <w:bCs/>
          <w:color w:val="000000"/>
          <w:sz w:val="24"/>
          <w:szCs w:val="24"/>
          <w:rtl/>
        </w:rPr>
        <w:lastRenderedPageBreak/>
        <w:t>التح</w:t>
      </w:r>
      <w:r w:rsidRPr="00317AE5">
        <w:rPr>
          <w:rFonts w:ascii="Simplified Arabic" w:hAnsi="Simplified Arabic" w:cs="Simplified Arabic" w:hint="cs"/>
          <w:b/>
          <w:bCs/>
          <w:color w:val="000000"/>
          <w:sz w:val="24"/>
          <w:szCs w:val="24"/>
          <w:rtl/>
        </w:rPr>
        <w:t>ل</w:t>
      </w:r>
      <w:r w:rsidRPr="00317AE5">
        <w:rPr>
          <w:rFonts w:ascii="Simplified Arabic" w:hAnsi="Simplified Arabic" w:cs="Simplified Arabic"/>
          <w:b/>
          <w:bCs/>
          <w:color w:val="000000"/>
          <w:sz w:val="24"/>
          <w:szCs w:val="24"/>
          <w:rtl/>
        </w:rPr>
        <w:t>يل</w:t>
      </w:r>
      <w:r w:rsidRPr="00317AE5">
        <w:rPr>
          <w:rFonts w:ascii="Simplified Arabic" w:hAnsi="Simplified Arabic" w:cs="Simplified Arabic" w:hint="cs"/>
          <w:b/>
          <w:bCs/>
          <w:color w:val="000000"/>
          <w:sz w:val="24"/>
          <w:szCs w:val="24"/>
          <w:rtl/>
        </w:rPr>
        <w:t xml:space="preserve"> الاحصائي</w:t>
      </w:r>
      <w:r w:rsidRPr="00317AE5">
        <w:rPr>
          <w:rFonts w:ascii="Simplified Arabic" w:hAnsi="Simplified Arabic" w:cs="Simplified Arabic"/>
          <w:b/>
          <w:bCs/>
          <w:color w:val="000000"/>
          <w:sz w:val="24"/>
          <w:szCs w:val="24"/>
        </w:rPr>
        <w:t xml:space="preserve"> </w:t>
      </w:r>
      <w:r w:rsidRPr="00317AE5">
        <w:rPr>
          <w:rFonts w:ascii="Simplified Arabic" w:hAnsi="Simplified Arabic" w:cs="Simplified Arabic"/>
          <w:b/>
          <w:bCs/>
          <w:color w:val="000000"/>
          <w:sz w:val="24"/>
          <w:szCs w:val="24"/>
          <w:rtl/>
        </w:rPr>
        <w:t>المكاني</w:t>
      </w:r>
      <w:r w:rsidRPr="00317AE5">
        <w:rPr>
          <w:rFonts w:ascii="Simplified Arabic" w:hAnsi="Simplified Arabic" w:cs="Simplified Arabic" w:hint="cs"/>
          <w:color w:val="000000"/>
          <w:sz w:val="24"/>
          <w:szCs w:val="24"/>
          <w:rtl/>
        </w:rPr>
        <w:t xml:space="preserve"> </w:t>
      </w:r>
      <w:r w:rsidRPr="00317AE5">
        <w:rPr>
          <w:rFonts w:asciiTheme="majorBidi" w:hAnsiTheme="majorBidi" w:cstheme="majorBidi"/>
          <w:b/>
          <w:bCs/>
          <w:color w:val="000000"/>
          <w:sz w:val="20"/>
          <w:szCs w:val="20"/>
          <w:rtl/>
        </w:rPr>
        <w:t>(</w:t>
      </w:r>
      <w:r w:rsidRPr="00317AE5">
        <w:rPr>
          <w:rFonts w:asciiTheme="majorBidi" w:hAnsiTheme="majorBidi" w:cstheme="majorBidi"/>
          <w:b/>
          <w:bCs/>
          <w:sz w:val="20"/>
          <w:szCs w:val="20"/>
        </w:rPr>
        <w:t>Spatial</w:t>
      </w:r>
      <w:r w:rsidRPr="00317AE5">
        <w:rPr>
          <w:rFonts w:asciiTheme="majorBidi" w:hAnsiTheme="majorBidi" w:cstheme="majorBidi"/>
          <w:b/>
          <w:bCs/>
          <w:sz w:val="20"/>
          <w:szCs w:val="20"/>
          <w:lang w:val="en-US"/>
        </w:rPr>
        <w:t xml:space="preserve"> Analysis</w:t>
      </w:r>
      <w:r w:rsidRPr="00317AE5">
        <w:rPr>
          <w:rFonts w:asciiTheme="majorBidi" w:hAnsiTheme="majorBidi" w:cstheme="majorBidi"/>
          <w:b/>
          <w:bCs/>
          <w:color w:val="000000"/>
          <w:sz w:val="20"/>
          <w:szCs w:val="20"/>
          <w:rtl/>
        </w:rPr>
        <w:t>)</w:t>
      </w:r>
    </w:p>
    <w:p w:rsidR="000B42BD" w:rsidRDefault="000B42BD" w:rsidP="00E8765E">
      <w:pPr>
        <w:autoSpaceDE w:val="0"/>
        <w:autoSpaceDN w:val="0"/>
        <w:bidi/>
        <w:adjustRightInd w:val="0"/>
        <w:spacing w:after="0"/>
        <w:ind w:firstLine="282"/>
        <w:jc w:val="both"/>
        <w:rPr>
          <w:rFonts w:ascii="Simplified Arabic" w:hAnsi="Simplified Arabic" w:cs="Simplified Arabic"/>
          <w:color w:val="000000"/>
          <w:sz w:val="24"/>
          <w:szCs w:val="24"/>
          <w:rtl/>
        </w:rPr>
      </w:pPr>
      <w:r>
        <w:rPr>
          <w:rFonts w:ascii="Simplified Arabic" w:hAnsi="Simplified Arabic" w:cs="Simplified Arabic" w:hint="cs"/>
          <w:color w:val="000000"/>
          <w:sz w:val="24"/>
          <w:szCs w:val="24"/>
          <w:rtl/>
        </w:rPr>
        <w:t>ان تحويل خريطة ما الى معلومات يتطلب تحليل بصري بسيط للخرائط وتحليل حسابي لأنماط التوزيع المكاني ل</w:t>
      </w:r>
      <w:r w:rsidR="00E8765E">
        <w:rPr>
          <w:rFonts w:ascii="Simplified Arabic" w:hAnsi="Simplified Arabic" w:cs="Simplified Arabic" w:hint="cs"/>
          <w:sz w:val="24"/>
          <w:szCs w:val="24"/>
          <w:rtl/>
        </w:rPr>
        <w:t>استعمال</w:t>
      </w:r>
      <w:r>
        <w:rPr>
          <w:rFonts w:ascii="Simplified Arabic" w:hAnsi="Simplified Arabic" w:cs="Simplified Arabic" w:hint="cs"/>
          <w:color w:val="000000"/>
          <w:sz w:val="24"/>
          <w:szCs w:val="24"/>
          <w:rtl/>
        </w:rPr>
        <w:t xml:space="preserve"> الارض، بغية تحديد الاتجاهات او النمذجة المكانية المستقبلية او لاتخاذ قرارات، وهذا في حد ذاته تحليل مكاني.</w:t>
      </w:r>
    </w:p>
    <w:p w:rsidR="000B42BD" w:rsidRDefault="000B42BD" w:rsidP="00A35008">
      <w:pPr>
        <w:autoSpaceDE w:val="0"/>
        <w:autoSpaceDN w:val="0"/>
        <w:bidi/>
        <w:adjustRightInd w:val="0"/>
        <w:spacing w:after="0"/>
        <w:ind w:firstLine="282"/>
        <w:jc w:val="both"/>
        <w:rPr>
          <w:rFonts w:ascii="Simplified Arabic" w:hAnsi="Simplified Arabic" w:cs="Simplified Arabic"/>
          <w:color w:val="000000"/>
          <w:sz w:val="24"/>
          <w:szCs w:val="24"/>
          <w:rtl/>
        </w:rPr>
      </w:pPr>
      <w:r w:rsidRPr="00C75CAD">
        <w:rPr>
          <w:rFonts w:ascii="Simplified Arabic" w:hAnsi="Simplified Arabic" w:cs="Simplified Arabic"/>
          <w:color w:val="000000"/>
          <w:sz w:val="24"/>
          <w:szCs w:val="24"/>
          <w:rtl/>
        </w:rPr>
        <w:t>التحليل</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المكاني</w:t>
      </w:r>
      <w:r w:rsidRPr="00C75CAD">
        <w:rPr>
          <w:rFonts w:ascii="Simplified Arabic" w:hAnsi="Simplified Arabic" w:cs="Simplified Arabic"/>
          <w:color w:val="000000"/>
          <w:sz w:val="24"/>
          <w:szCs w:val="24"/>
        </w:rPr>
        <w:t xml:space="preserve"> </w:t>
      </w:r>
      <w:r w:rsidRPr="00C75CAD">
        <w:rPr>
          <w:rFonts w:ascii="Simplified Arabic" w:hAnsi="Simplified Arabic" w:cs="Simplified Arabic"/>
          <w:color w:val="000000"/>
          <w:sz w:val="24"/>
          <w:szCs w:val="24"/>
          <w:rtl/>
        </w:rPr>
        <w:t>هو</w:t>
      </w:r>
      <w:r w:rsidRPr="00C75CAD">
        <w:rPr>
          <w:rFonts w:ascii="Simplified Arabic" w:hAnsi="Simplified Arabic" w:cs="Simplified Arabic" w:hint="cs"/>
          <w:color w:val="000000"/>
          <w:sz w:val="24"/>
          <w:szCs w:val="24"/>
          <w:rtl/>
        </w:rPr>
        <w:t xml:space="preserve"> منهجية تحليلية </w:t>
      </w:r>
      <w:r w:rsidRPr="00C75CAD">
        <w:rPr>
          <w:rFonts w:ascii="Simplified Arabic" w:hAnsi="Simplified Arabic" w:cs="Simplified Arabic"/>
          <w:color w:val="000000"/>
          <w:sz w:val="24"/>
          <w:szCs w:val="24"/>
          <w:rtl/>
        </w:rPr>
        <w:t>لأنها</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تحتوي</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على</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التحويلات</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والطرق</w:t>
      </w:r>
      <w:r w:rsidRPr="00C75CAD">
        <w:rPr>
          <w:rFonts w:ascii="Simplified Arabic" w:hAnsi="Simplified Arabic" w:cs="Simplified Arabic" w:hint="cs"/>
          <w:color w:val="000000"/>
          <w:sz w:val="24"/>
          <w:szCs w:val="24"/>
          <w:rtl/>
        </w:rPr>
        <w:t xml:space="preserve"> ل</w:t>
      </w:r>
      <w:r w:rsidRPr="00C75CAD">
        <w:rPr>
          <w:rFonts w:ascii="Simplified Arabic" w:hAnsi="Simplified Arabic" w:cs="Simplified Arabic"/>
          <w:color w:val="000000"/>
          <w:sz w:val="24"/>
          <w:szCs w:val="24"/>
          <w:rtl/>
        </w:rPr>
        <w:t>تمثيل</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البيانات الجغرافية بإضافة</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قيمة</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معينة</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أو</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تصنيف</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ما،</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ذلك</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للمساعدة</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في</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اتخاذ</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ال</w:t>
      </w:r>
      <w:r w:rsidRPr="00C75CAD">
        <w:rPr>
          <w:rFonts w:ascii="Simplified Arabic" w:hAnsi="Simplified Arabic" w:cs="Simplified Arabic" w:hint="cs"/>
          <w:color w:val="000000"/>
          <w:sz w:val="24"/>
          <w:szCs w:val="24"/>
          <w:rtl/>
        </w:rPr>
        <w:t xml:space="preserve">قرار. </w:t>
      </w:r>
      <w:r w:rsidRPr="00C75CAD">
        <w:rPr>
          <w:rFonts w:ascii="Simplified Arabic" w:hAnsi="Simplified Arabic" w:cs="Simplified Arabic"/>
          <w:color w:val="000000"/>
          <w:sz w:val="24"/>
          <w:szCs w:val="24"/>
          <w:rtl/>
        </w:rPr>
        <w:t>لذا</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فالتحليل</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المكاني</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هو</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الإجراء الذي</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يمكن</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من خلاله</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أن</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تحول</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كميات</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البيانات</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إلى</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معلومات</w:t>
      </w:r>
      <w:r w:rsidRPr="00C75CAD">
        <w:rPr>
          <w:rFonts w:ascii="Simplified Arabic" w:hAnsi="Simplified Arabic" w:cs="Simplified Arabic" w:hint="cs"/>
          <w:color w:val="000000"/>
          <w:sz w:val="24"/>
          <w:szCs w:val="24"/>
          <w:rtl/>
        </w:rPr>
        <w:t xml:space="preserve"> </w:t>
      </w:r>
      <w:r w:rsidRPr="00C75CAD">
        <w:rPr>
          <w:rFonts w:ascii="Simplified Arabic" w:hAnsi="Simplified Arabic" w:cs="Simplified Arabic"/>
          <w:color w:val="000000"/>
          <w:sz w:val="24"/>
          <w:szCs w:val="24"/>
          <w:rtl/>
        </w:rPr>
        <w:t>نافع</w:t>
      </w:r>
      <w:r w:rsidRPr="00C75CAD">
        <w:rPr>
          <w:rFonts w:ascii="Simplified Arabic" w:hAnsi="Simplified Arabic" w:cs="Simplified Arabic" w:hint="cs"/>
          <w:color w:val="000000"/>
          <w:sz w:val="24"/>
          <w:szCs w:val="24"/>
          <w:rtl/>
        </w:rPr>
        <w:t>ة (</w:t>
      </w:r>
      <w:r w:rsidR="00A35008" w:rsidRPr="00C75CAD">
        <w:rPr>
          <w:rFonts w:ascii="Simplified Arabic" w:eastAsia="Times New Roman" w:hAnsi="Simplified Arabic" w:cs="Simplified Arabic" w:hint="cs"/>
          <w:color w:val="000000"/>
          <w:sz w:val="24"/>
          <w:szCs w:val="24"/>
          <w:rtl/>
          <w:lang w:eastAsia="fr-FR"/>
        </w:rPr>
        <w:t>قطيشات ضياء الدين امجد</w:t>
      </w:r>
      <w:r w:rsidRPr="00C75CAD">
        <w:rPr>
          <w:rFonts w:ascii="Simplified Arabic" w:hAnsi="Simplified Arabic" w:cs="Simplified Arabic" w:hint="cs"/>
          <w:color w:val="000000"/>
          <w:sz w:val="24"/>
          <w:szCs w:val="24"/>
          <w:rtl/>
        </w:rPr>
        <w:t xml:space="preserve">، 2018). </w:t>
      </w:r>
    </w:p>
    <w:p w:rsidR="000B42BD" w:rsidRPr="00317AE5" w:rsidRDefault="000B42BD" w:rsidP="001D0548">
      <w:pPr>
        <w:pStyle w:val="Paragraphedeliste"/>
        <w:numPr>
          <w:ilvl w:val="3"/>
          <w:numId w:val="144"/>
        </w:numPr>
        <w:tabs>
          <w:tab w:val="right" w:pos="992"/>
        </w:tabs>
        <w:bidi/>
        <w:spacing w:before="240" w:after="0"/>
        <w:ind w:left="0" w:firstLine="0"/>
        <w:jc w:val="both"/>
        <w:outlineLvl w:val="2"/>
        <w:rPr>
          <w:rFonts w:ascii="Simplified Arabic" w:hAnsi="Simplified Arabic" w:cs="Simplified Arabic"/>
          <w:b/>
          <w:bCs/>
          <w:sz w:val="24"/>
          <w:szCs w:val="24"/>
          <w:rtl/>
          <w:lang w:val="en-US"/>
        </w:rPr>
      </w:pPr>
      <w:bookmarkStart w:id="450" w:name="_Toc171803546"/>
      <w:r w:rsidRPr="00317AE5">
        <w:rPr>
          <w:rFonts w:ascii="Simplified Arabic" w:hAnsi="Simplified Arabic" w:cs="Simplified Arabic"/>
          <w:b/>
          <w:bCs/>
          <w:sz w:val="24"/>
          <w:szCs w:val="24"/>
          <w:rtl/>
          <w:lang w:val="en-US"/>
        </w:rPr>
        <w:t>أ</w:t>
      </w:r>
      <w:r w:rsidRPr="00317AE5">
        <w:rPr>
          <w:rFonts w:ascii="Simplified Arabic" w:hAnsi="Simplified Arabic" w:cs="Simplified Arabic" w:hint="cs"/>
          <w:b/>
          <w:bCs/>
          <w:sz w:val="24"/>
          <w:szCs w:val="24"/>
          <w:rtl/>
          <w:lang w:val="en-US"/>
        </w:rPr>
        <w:t>ه</w:t>
      </w:r>
      <w:r w:rsidRPr="00317AE5">
        <w:rPr>
          <w:rFonts w:ascii="Simplified Arabic" w:hAnsi="Simplified Arabic" w:cs="Simplified Arabic"/>
          <w:b/>
          <w:bCs/>
          <w:sz w:val="24"/>
          <w:szCs w:val="24"/>
          <w:rtl/>
          <w:lang w:val="en-US"/>
        </w:rPr>
        <w:t>م</w:t>
      </w:r>
      <w:r w:rsidRPr="00317AE5">
        <w:rPr>
          <w:rFonts w:ascii="Simplified Arabic" w:hAnsi="Simplified Arabic" w:cs="Simplified Arabic" w:hint="cs"/>
          <w:b/>
          <w:bCs/>
          <w:sz w:val="24"/>
          <w:szCs w:val="24"/>
          <w:rtl/>
          <w:lang w:val="en-US"/>
        </w:rPr>
        <w:t xml:space="preserve"> الادوات المستخدمة في التحليل</w:t>
      </w:r>
      <w:bookmarkEnd w:id="450"/>
    </w:p>
    <w:p w:rsidR="000B42BD" w:rsidRDefault="000B42BD" w:rsidP="000B42BD">
      <w:pPr>
        <w:autoSpaceDE w:val="0"/>
        <w:autoSpaceDN w:val="0"/>
        <w:bidi/>
        <w:adjustRightInd w:val="0"/>
        <w:spacing w:after="0"/>
        <w:ind w:firstLine="282"/>
        <w:jc w:val="both"/>
        <w:rPr>
          <w:rFonts w:ascii="Simplified Arabic" w:hAnsi="Simplified Arabic" w:cs="Simplified Arabic"/>
          <w:color w:val="212121"/>
          <w:sz w:val="24"/>
          <w:szCs w:val="24"/>
          <w:rtl/>
        </w:rPr>
      </w:pPr>
      <w:r>
        <w:rPr>
          <w:rFonts w:ascii="Simplified Arabic" w:hAnsi="Simplified Arabic" w:cs="Simplified Arabic" w:hint="cs"/>
          <w:color w:val="000000"/>
          <w:sz w:val="24"/>
          <w:szCs w:val="24"/>
          <w:rtl/>
        </w:rPr>
        <w:t xml:space="preserve">يتم استخدام بعض </w:t>
      </w:r>
      <w:r w:rsidRPr="0058421D">
        <w:rPr>
          <w:rFonts w:ascii="Simplified Arabic" w:hAnsi="Simplified Arabic" w:cs="Simplified Arabic"/>
          <w:color w:val="212121"/>
          <w:sz w:val="24"/>
          <w:szCs w:val="24"/>
          <w:rtl/>
        </w:rPr>
        <w:t>الأدوات</w:t>
      </w:r>
      <w:r>
        <w:rPr>
          <w:rFonts w:ascii="Simplified Arabic" w:hAnsi="Simplified Arabic" w:cs="Simplified Arabic" w:hint="cs"/>
          <w:color w:val="212121"/>
          <w:sz w:val="24"/>
          <w:szCs w:val="24"/>
          <w:rtl/>
        </w:rPr>
        <w:t xml:space="preserve"> التي تساعد في عملية التحليل الوصفي و الاحصائي وهي:</w:t>
      </w:r>
    </w:p>
    <w:p w:rsidR="000B42BD" w:rsidRPr="00317AE5" w:rsidRDefault="000B42BD" w:rsidP="001D0548">
      <w:pPr>
        <w:pStyle w:val="Paragraphedeliste"/>
        <w:numPr>
          <w:ilvl w:val="1"/>
          <w:numId w:val="244"/>
        </w:numPr>
        <w:tabs>
          <w:tab w:val="right" w:pos="1134"/>
        </w:tabs>
        <w:autoSpaceDE w:val="0"/>
        <w:autoSpaceDN w:val="0"/>
        <w:bidi/>
        <w:adjustRightInd w:val="0"/>
        <w:spacing w:after="0"/>
        <w:ind w:left="0" w:firstLine="992"/>
        <w:jc w:val="both"/>
        <w:outlineLvl w:val="3"/>
        <w:rPr>
          <w:rFonts w:ascii="Simplified Arabic" w:hAnsi="Simplified Arabic" w:cs="Simplified Arabic"/>
          <w:color w:val="000000"/>
          <w:sz w:val="24"/>
          <w:szCs w:val="24"/>
          <w:rtl/>
        </w:rPr>
      </w:pPr>
      <w:r w:rsidRPr="00317AE5">
        <w:rPr>
          <w:rFonts w:ascii="Simplified Arabic" w:hAnsi="Simplified Arabic" w:cs="Simplified Arabic" w:hint="cs"/>
          <w:b/>
          <w:bCs/>
          <w:color w:val="000000"/>
          <w:sz w:val="24"/>
          <w:szCs w:val="24"/>
          <w:rtl/>
        </w:rPr>
        <w:t xml:space="preserve">اداة انشاء مضلعات </w:t>
      </w:r>
      <w:r w:rsidRPr="00317AE5">
        <w:rPr>
          <w:rFonts w:ascii="Simplified Arabic" w:hAnsi="Simplified Arabic" w:cs="Simplified Arabic" w:hint="cs"/>
          <w:b/>
          <w:bCs/>
          <w:color w:val="000000"/>
          <w:sz w:val="24"/>
          <w:szCs w:val="24"/>
          <w:rtl/>
          <w:lang w:val="en-US" w:bidi="ar-DZ"/>
        </w:rPr>
        <w:t>ثيسون</w:t>
      </w:r>
      <w:r w:rsidRPr="00317AE5">
        <w:rPr>
          <w:rFonts w:ascii="Simplified Arabic" w:hAnsi="Simplified Arabic" w:cs="Simplified Arabic" w:hint="cs"/>
          <w:color w:val="000000"/>
          <w:sz w:val="24"/>
          <w:szCs w:val="24"/>
          <w:rtl/>
        </w:rPr>
        <w:t xml:space="preserve"> </w:t>
      </w:r>
      <w:r w:rsidRPr="00317AE5">
        <w:rPr>
          <w:rFonts w:asciiTheme="majorBidi" w:hAnsiTheme="majorBidi" w:cstheme="majorBidi" w:hint="cs"/>
          <w:b/>
          <w:bCs/>
          <w:sz w:val="20"/>
          <w:szCs w:val="20"/>
          <w:rtl/>
          <w:lang w:val="en-US"/>
        </w:rPr>
        <w:t>(</w:t>
      </w:r>
      <w:r w:rsidRPr="00317AE5">
        <w:rPr>
          <w:rFonts w:asciiTheme="majorBidi" w:hAnsiTheme="majorBidi" w:cstheme="majorBidi"/>
          <w:b/>
          <w:bCs/>
          <w:sz w:val="20"/>
          <w:szCs w:val="20"/>
          <w:lang w:val="en-US"/>
        </w:rPr>
        <w:t>Create</w:t>
      </w:r>
      <w:r w:rsidRPr="00317AE5">
        <w:rPr>
          <w:rFonts w:asciiTheme="majorBidi" w:hAnsiTheme="majorBidi" w:cstheme="majorBidi"/>
          <w:b/>
          <w:bCs/>
          <w:sz w:val="20"/>
          <w:szCs w:val="20"/>
        </w:rPr>
        <w:t xml:space="preserve"> </w:t>
      </w:r>
      <w:r w:rsidRPr="00317AE5">
        <w:rPr>
          <w:rFonts w:asciiTheme="majorBidi" w:hAnsiTheme="majorBidi" w:cstheme="majorBidi"/>
          <w:b/>
          <w:bCs/>
          <w:sz w:val="20"/>
          <w:szCs w:val="20"/>
          <w:lang w:val="en-US"/>
        </w:rPr>
        <w:t>Thiessen</w:t>
      </w:r>
      <w:r w:rsidRPr="00317AE5">
        <w:rPr>
          <w:rFonts w:asciiTheme="majorBidi" w:hAnsiTheme="majorBidi" w:cstheme="majorBidi"/>
          <w:b/>
          <w:bCs/>
          <w:sz w:val="20"/>
          <w:szCs w:val="20"/>
        </w:rPr>
        <w:t xml:space="preserve"> </w:t>
      </w:r>
      <w:r w:rsidRPr="00317AE5">
        <w:rPr>
          <w:rFonts w:asciiTheme="majorBidi" w:hAnsiTheme="majorBidi" w:cstheme="majorBidi"/>
          <w:b/>
          <w:bCs/>
          <w:sz w:val="20"/>
          <w:szCs w:val="20"/>
          <w:lang w:val="en-US"/>
        </w:rPr>
        <w:t>Polygons</w:t>
      </w:r>
      <w:r w:rsidRPr="00317AE5">
        <w:rPr>
          <w:rFonts w:asciiTheme="majorBidi" w:hAnsiTheme="majorBidi" w:cstheme="majorBidi" w:hint="cs"/>
          <w:b/>
          <w:bCs/>
          <w:sz w:val="20"/>
          <w:szCs w:val="20"/>
          <w:rtl/>
          <w:lang w:val="en-US"/>
        </w:rPr>
        <w:t>)</w:t>
      </w:r>
    </w:p>
    <w:p w:rsidR="000B42BD" w:rsidRDefault="000B42BD" w:rsidP="002E7C71">
      <w:pPr>
        <w:autoSpaceDE w:val="0"/>
        <w:autoSpaceDN w:val="0"/>
        <w:bidi/>
        <w:adjustRightInd w:val="0"/>
        <w:spacing w:after="0"/>
        <w:ind w:firstLine="282"/>
        <w:jc w:val="both"/>
        <w:rPr>
          <w:rFonts w:ascii="Simplified Arabic" w:hAnsi="Simplified Arabic" w:cs="Simplified Arabic"/>
          <w:sz w:val="24"/>
          <w:szCs w:val="24"/>
          <w:rtl/>
        </w:rPr>
      </w:pPr>
      <w:r w:rsidRPr="006525C1">
        <w:rPr>
          <w:rFonts w:ascii="Simplified Arabic" w:hAnsi="Simplified Arabic" w:cs="Simplified Arabic" w:hint="cs"/>
          <w:color w:val="000000"/>
          <w:sz w:val="24"/>
          <w:szCs w:val="24"/>
          <w:rtl/>
        </w:rPr>
        <w:t xml:space="preserve">تستخدم هذه الاداة لإنشاء </w:t>
      </w:r>
      <w:r>
        <w:rPr>
          <w:rFonts w:ascii="Simplified Arabic" w:hAnsi="Simplified Arabic" w:cs="Simplified Arabic" w:hint="cs"/>
          <w:color w:val="000000"/>
          <w:sz w:val="24"/>
          <w:szCs w:val="24"/>
          <w:rtl/>
        </w:rPr>
        <w:t>مضلعات</w:t>
      </w:r>
      <w:r w:rsidRPr="006525C1">
        <w:rPr>
          <w:rFonts w:ascii="Simplified Arabic" w:hAnsi="Simplified Arabic" w:cs="Simplified Arabic" w:hint="cs"/>
          <w:color w:val="000000"/>
          <w:sz w:val="24"/>
          <w:szCs w:val="24"/>
          <w:rtl/>
        </w:rPr>
        <w:t xml:space="preserve"> ثيسون من خلال تنفيذ طبقة من نوع نقطة </w:t>
      </w:r>
      <w:r w:rsidRPr="00DF1F6E">
        <w:rPr>
          <w:rFonts w:asciiTheme="majorBidi" w:hAnsiTheme="majorBidi" w:cstheme="majorBidi"/>
          <w:sz w:val="24"/>
          <w:szCs w:val="24"/>
          <w:rtl/>
        </w:rPr>
        <w:t>(</w:t>
      </w:r>
      <w:r w:rsidRPr="00DF1F6E">
        <w:rPr>
          <w:rFonts w:asciiTheme="majorBidi" w:hAnsiTheme="majorBidi" w:cstheme="majorBidi"/>
          <w:sz w:val="24"/>
          <w:szCs w:val="24"/>
        </w:rPr>
        <w:t>Point</w:t>
      </w:r>
      <w:r w:rsidRPr="00DF1F6E">
        <w:rPr>
          <w:rFonts w:asciiTheme="majorBidi" w:hAnsiTheme="majorBidi" w:cstheme="majorBidi"/>
          <w:sz w:val="24"/>
          <w:szCs w:val="24"/>
          <w:rtl/>
        </w:rPr>
        <w:t>)</w:t>
      </w:r>
      <w:r w:rsidRPr="006525C1">
        <w:rPr>
          <w:rFonts w:ascii="Simplified Arabic" w:hAnsi="Simplified Arabic" w:cs="Simplified Arabic" w:hint="cs"/>
          <w:color w:val="000000"/>
          <w:sz w:val="24"/>
          <w:szCs w:val="24"/>
          <w:rtl/>
        </w:rPr>
        <w:t xml:space="preserve"> لمعرفة المساحة التي يمكن ان تغطيها </w:t>
      </w:r>
      <w:r>
        <w:rPr>
          <w:rFonts w:ascii="Simplified Arabic" w:hAnsi="Simplified Arabic" w:cs="Simplified Arabic" w:hint="cs"/>
          <w:color w:val="000000"/>
          <w:sz w:val="24"/>
          <w:szCs w:val="24"/>
          <w:rtl/>
        </w:rPr>
        <w:t xml:space="preserve">كل نقطة من </w:t>
      </w:r>
      <w:r w:rsidRPr="006525C1">
        <w:rPr>
          <w:rFonts w:ascii="Simplified Arabic" w:hAnsi="Simplified Arabic" w:cs="Simplified Arabic" w:hint="cs"/>
          <w:color w:val="000000"/>
          <w:sz w:val="24"/>
          <w:szCs w:val="24"/>
          <w:rtl/>
        </w:rPr>
        <w:t>هذه النق</w:t>
      </w:r>
      <w:r>
        <w:rPr>
          <w:rFonts w:ascii="Simplified Arabic" w:hAnsi="Simplified Arabic" w:cs="Simplified Arabic" w:hint="cs"/>
          <w:color w:val="000000"/>
          <w:sz w:val="24"/>
          <w:szCs w:val="24"/>
          <w:rtl/>
        </w:rPr>
        <w:t>ا</w:t>
      </w:r>
      <w:r w:rsidRPr="006525C1">
        <w:rPr>
          <w:rFonts w:ascii="Simplified Arabic" w:hAnsi="Simplified Arabic" w:cs="Simplified Arabic" w:hint="cs"/>
          <w:color w:val="000000"/>
          <w:sz w:val="24"/>
          <w:szCs w:val="24"/>
          <w:rtl/>
        </w:rPr>
        <w:t>ط بعد تحويلها الى طبقة من نوع</w:t>
      </w:r>
      <w:r>
        <w:rPr>
          <w:rFonts w:ascii="Simplified Arabic" w:hAnsi="Simplified Arabic" w:cs="Simplified Arabic" w:hint="cs"/>
          <w:color w:val="000000"/>
          <w:sz w:val="24"/>
          <w:szCs w:val="24"/>
          <w:rtl/>
        </w:rPr>
        <w:t xml:space="preserve"> مضلع</w:t>
      </w:r>
      <w:r w:rsidRPr="00DF1F6E">
        <w:rPr>
          <w:rFonts w:ascii="SimplifiedArabic" w:cs="SimplifiedArabic" w:hint="cs"/>
          <w:sz w:val="24"/>
          <w:szCs w:val="24"/>
          <w:rtl/>
        </w:rPr>
        <w:t xml:space="preserve"> </w:t>
      </w:r>
      <w:r w:rsidRPr="006525C1">
        <w:rPr>
          <w:rFonts w:asciiTheme="majorBidi" w:hAnsiTheme="majorBidi" w:cstheme="majorBidi"/>
          <w:sz w:val="24"/>
          <w:szCs w:val="24"/>
          <w:rtl/>
        </w:rPr>
        <w:t>(</w:t>
      </w:r>
      <w:r w:rsidRPr="006525C1">
        <w:rPr>
          <w:rFonts w:asciiTheme="majorBidi" w:hAnsiTheme="majorBidi" w:cstheme="majorBidi"/>
          <w:sz w:val="24"/>
          <w:szCs w:val="24"/>
          <w:lang w:val="en-US"/>
        </w:rPr>
        <w:t>Polygon</w:t>
      </w:r>
      <w:r w:rsidRPr="006525C1">
        <w:rPr>
          <w:rFonts w:asciiTheme="majorBidi" w:hAnsiTheme="majorBidi" w:cstheme="majorBidi"/>
          <w:sz w:val="24"/>
          <w:szCs w:val="24"/>
          <w:rtl/>
        </w:rPr>
        <w:t>)</w:t>
      </w:r>
      <w:r>
        <w:rPr>
          <w:rFonts w:ascii="Simplified Arabic" w:hAnsi="Simplified Arabic" w:cs="Simplified Arabic" w:hint="cs"/>
          <w:sz w:val="24"/>
          <w:szCs w:val="24"/>
          <w:rtl/>
        </w:rPr>
        <w:t>، ينتج عن كل نقطة مضلع واحد فقط، تكون هذه النقطة هي المركز الاصلي للشكل، وان أي نقطة داخل المضلعات تعد الاقرب لنقطة المركز الاصلي للشكل بغض النظر عن مكان وجود النقطة. بالتالي تقوم هذه الاداة بحساب المساحة المؤثرة لكل موقع من المواقع الموجودة بمنطقة الدراسة (</w:t>
      </w:r>
      <w:r w:rsidRPr="00C75CAD">
        <w:rPr>
          <w:rFonts w:ascii="Simplified Arabic" w:hAnsi="Simplified Arabic" w:cs="Simplified Arabic" w:hint="cs"/>
          <w:sz w:val="24"/>
          <w:szCs w:val="24"/>
          <w:rtl/>
        </w:rPr>
        <w:t>جمعة</w:t>
      </w:r>
      <w:r>
        <w:rPr>
          <w:rFonts w:ascii="Simplified Arabic" w:hAnsi="Simplified Arabic" w:cs="Simplified Arabic" w:hint="cs"/>
          <w:sz w:val="24"/>
          <w:szCs w:val="24"/>
          <w:rtl/>
        </w:rPr>
        <w:t xml:space="preserve"> </w:t>
      </w:r>
      <w:r w:rsidRPr="00DD33ED">
        <w:rPr>
          <w:rFonts w:ascii="Simplified Arabic" w:hAnsi="Simplified Arabic" w:cs="Simplified Arabic" w:hint="cs"/>
          <w:sz w:val="24"/>
          <w:szCs w:val="24"/>
          <w:rtl/>
        </w:rPr>
        <w:t>محمد داود</w:t>
      </w:r>
      <w:r>
        <w:rPr>
          <w:rFonts w:ascii="Simplified Arabic" w:hAnsi="Simplified Arabic" w:cs="Simplified Arabic" w:hint="cs"/>
          <w:sz w:val="24"/>
          <w:szCs w:val="24"/>
          <w:rtl/>
        </w:rPr>
        <w:t>، 2012) وفق الشكل (</w:t>
      </w:r>
      <w:r w:rsidR="002E7C71">
        <w:rPr>
          <w:rFonts w:ascii="Simplified Arabic" w:hAnsi="Simplified Arabic" w:cs="Simplified Arabic" w:hint="cs"/>
          <w:sz w:val="24"/>
          <w:szCs w:val="24"/>
          <w:rtl/>
        </w:rPr>
        <w:t>3-11</w:t>
      </w:r>
      <w:r>
        <w:rPr>
          <w:rFonts w:ascii="Simplified Arabic" w:hAnsi="Simplified Arabic" w:cs="Simplified Arabic" w:hint="cs"/>
          <w:sz w:val="24"/>
          <w:szCs w:val="24"/>
          <w:rtl/>
        </w:rPr>
        <w:t xml:space="preserve">). يتم انشاء خرائط (الفصل 6) </w:t>
      </w:r>
      <w:r w:rsidRPr="00214967">
        <w:rPr>
          <w:rFonts w:ascii="Simplified Arabic" w:hAnsi="Simplified Arabic" w:cs="Simplified Arabic" w:hint="cs"/>
          <w:sz w:val="24"/>
          <w:szCs w:val="24"/>
          <w:rtl/>
        </w:rPr>
        <w:t>تبين</w:t>
      </w:r>
      <w:r>
        <w:rPr>
          <w:rFonts w:ascii="Simplified Arabic" w:hAnsi="Simplified Arabic" w:cs="Simplified Arabic" w:hint="cs"/>
          <w:sz w:val="24"/>
          <w:szCs w:val="24"/>
          <w:rtl/>
        </w:rPr>
        <w:t xml:space="preserve"> </w:t>
      </w:r>
      <w:r w:rsidRPr="00214967">
        <w:rPr>
          <w:rFonts w:ascii="Simplified Arabic" w:hAnsi="Simplified Arabic" w:cs="Simplified Arabic" w:hint="cs"/>
          <w:sz w:val="24"/>
          <w:szCs w:val="24"/>
          <w:rtl/>
        </w:rPr>
        <w:t>ناتج</w:t>
      </w:r>
      <w:r>
        <w:rPr>
          <w:rFonts w:ascii="Simplified Arabic" w:hAnsi="Simplified Arabic" w:cs="Simplified Arabic" w:hint="cs"/>
          <w:sz w:val="24"/>
          <w:szCs w:val="24"/>
          <w:rtl/>
        </w:rPr>
        <w:t xml:space="preserve"> استخدام </w:t>
      </w:r>
      <w:r w:rsidRPr="00214967">
        <w:rPr>
          <w:rFonts w:ascii="Simplified Arabic" w:hAnsi="Simplified Arabic" w:cs="Simplified Arabic" w:hint="cs"/>
          <w:sz w:val="24"/>
          <w:szCs w:val="24"/>
          <w:rtl/>
        </w:rPr>
        <w:t>الأداة</w:t>
      </w:r>
      <w:r>
        <w:rPr>
          <w:rFonts w:ascii="Simplified Arabic" w:hAnsi="Simplified Arabic" w:cs="Simplified Arabic" w:hint="cs"/>
          <w:sz w:val="24"/>
          <w:szCs w:val="24"/>
          <w:rtl/>
        </w:rPr>
        <w:t xml:space="preserve"> </w:t>
      </w:r>
      <w:r w:rsidRPr="00214967">
        <w:rPr>
          <w:rFonts w:ascii="Simplified Arabic" w:hAnsi="Simplified Arabic" w:cs="Simplified Arabic" w:hint="cs"/>
          <w:sz w:val="24"/>
          <w:szCs w:val="24"/>
          <w:rtl/>
        </w:rPr>
        <w:t>وتظهر</w:t>
      </w:r>
      <w:r>
        <w:rPr>
          <w:rFonts w:ascii="Simplified Arabic" w:hAnsi="Simplified Arabic" w:cs="Simplified Arabic" w:hint="cs"/>
          <w:sz w:val="24"/>
          <w:szCs w:val="24"/>
          <w:rtl/>
        </w:rPr>
        <w:t xml:space="preserve"> </w:t>
      </w:r>
      <w:r w:rsidRPr="00214967">
        <w:rPr>
          <w:rFonts w:ascii="Simplified Arabic" w:hAnsi="Simplified Arabic" w:cs="Simplified Arabic" w:hint="cs"/>
          <w:sz w:val="24"/>
          <w:szCs w:val="24"/>
          <w:rtl/>
        </w:rPr>
        <w:t>نقطة</w:t>
      </w:r>
      <w:r>
        <w:rPr>
          <w:rFonts w:ascii="Simplified Arabic" w:hAnsi="Simplified Arabic" w:cs="Simplified Arabic" w:hint="cs"/>
          <w:sz w:val="24"/>
          <w:szCs w:val="24"/>
          <w:rtl/>
        </w:rPr>
        <w:t xml:space="preserve"> </w:t>
      </w:r>
      <w:r w:rsidRPr="00214967">
        <w:rPr>
          <w:rFonts w:ascii="Simplified Arabic" w:hAnsi="Simplified Arabic" w:cs="Simplified Arabic" w:hint="cs"/>
          <w:sz w:val="24"/>
          <w:szCs w:val="24"/>
          <w:rtl/>
        </w:rPr>
        <w:t>المركز</w:t>
      </w:r>
      <w:r>
        <w:rPr>
          <w:rFonts w:ascii="Simplified Arabic" w:hAnsi="Simplified Arabic" w:cs="Simplified Arabic" w:hint="cs"/>
          <w:sz w:val="24"/>
          <w:szCs w:val="24"/>
          <w:rtl/>
        </w:rPr>
        <w:t xml:space="preserve"> </w:t>
      </w:r>
      <w:r>
        <w:rPr>
          <w:rFonts w:ascii="Simplified Arabic" w:hAnsi="Simplified Arabic" w:cs="Simplified Arabic" w:hint="cs"/>
          <w:color w:val="212121"/>
          <w:sz w:val="24"/>
          <w:szCs w:val="24"/>
          <w:rtl/>
        </w:rPr>
        <w:t xml:space="preserve">الاصلي </w:t>
      </w:r>
      <w:r w:rsidRPr="00214967">
        <w:rPr>
          <w:rFonts w:ascii="Simplified Arabic" w:hAnsi="Simplified Arabic" w:cs="Simplified Arabic" w:hint="cs"/>
          <w:sz w:val="24"/>
          <w:szCs w:val="24"/>
          <w:rtl/>
        </w:rPr>
        <w:t>ل</w:t>
      </w:r>
      <w:r>
        <w:rPr>
          <w:rFonts w:ascii="Simplified Arabic" w:hAnsi="Simplified Arabic" w:cs="Simplified Arabic" w:hint="cs"/>
          <w:sz w:val="24"/>
          <w:szCs w:val="24"/>
          <w:rtl/>
        </w:rPr>
        <w:t xml:space="preserve">كل عامل من </w:t>
      </w:r>
      <w:r w:rsidRPr="00214967">
        <w:rPr>
          <w:rFonts w:ascii="Simplified Arabic" w:hAnsi="Simplified Arabic" w:cs="Simplified Arabic" w:hint="cs"/>
          <w:sz w:val="24"/>
          <w:szCs w:val="24"/>
          <w:rtl/>
        </w:rPr>
        <w:t>عوامل تقييم المرونة.</w:t>
      </w:r>
    </w:p>
    <w:p w:rsidR="000B42BD" w:rsidRPr="00264FC1" w:rsidRDefault="000B42BD" w:rsidP="00C26EF7">
      <w:pPr>
        <w:pStyle w:val="fegure"/>
        <w:spacing w:before="240"/>
        <w:rPr>
          <w:szCs w:val="24"/>
          <w:rtl/>
        </w:rPr>
      </w:pPr>
      <w:bookmarkStart w:id="451" w:name="_Toc157608314"/>
      <w:bookmarkStart w:id="452" w:name="_Toc171803547"/>
      <w:r w:rsidRPr="00264FC1">
        <w:rPr>
          <w:color w:val="212121"/>
          <w:szCs w:val="24"/>
          <w:rtl/>
        </w:rPr>
        <w:t xml:space="preserve">الشكل </w:t>
      </w:r>
      <w:r w:rsidRPr="00264FC1">
        <w:rPr>
          <w:rFonts w:hint="cs"/>
          <w:color w:val="212121"/>
          <w:szCs w:val="24"/>
          <w:rtl/>
        </w:rPr>
        <w:t>(</w:t>
      </w:r>
      <w:r w:rsidR="002E7C71" w:rsidRPr="00264FC1">
        <w:rPr>
          <w:rFonts w:hint="cs"/>
          <w:color w:val="212121"/>
          <w:szCs w:val="24"/>
          <w:rtl/>
        </w:rPr>
        <w:t>3-11</w:t>
      </w:r>
      <w:r w:rsidRPr="00264FC1">
        <w:rPr>
          <w:rFonts w:hint="cs"/>
          <w:color w:val="212121"/>
          <w:szCs w:val="24"/>
          <w:rtl/>
        </w:rPr>
        <w:t>)</w:t>
      </w:r>
      <w:r w:rsidRPr="00264FC1">
        <w:rPr>
          <w:color w:val="212121"/>
          <w:szCs w:val="24"/>
          <w:rtl/>
        </w:rPr>
        <w:t xml:space="preserve">: </w:t>
      </w:r>
      <w:r w:rsidRPr="00264FC1">
        <w:rPr>
          <w:rFonts w:hint="cs"/>
          <w:szCs w:val="24"/>
          <w:rtl/>
        </w:rPr>
        <w:t>شكل ناتج عن استخدام اداة إنشاء مضلعات ثيسون</w:t>
      </w:r>
      <w:bookmarkEnd w:id="451"/>
      <w:bookmarkEnd w:id="452"/>
    </w:p>
    <w:p w:rsidR="000B42BD" w:rsidRPr="005135C8" w:rsidRDefault="000B42BD" w:rsidP="00C02010">
      <w:pPr>
        <w:autoSpaceDE w:val="0"/>
        <w:autoSpaceDN w:val="0"/>
        <w:bidi/>
        <w:adjustRightInd w:val="0"/>
        <w:spacing w:after="0" w:line="240" w:lineRule="auto"/>
        <w:jc w:val="center"/>
        <w:rPr>
          <w:rFonts w:ascii="Simplified Arabic" w:hAnsi="Simplified Arabic" w:cs="Simplified Arabic"/>
          <w:b/>
          <w:bCs/>
          <w:color w:val="212121"/>
          <w:sz w:val="24"/>
          <w:szCs w:val="24"/>
          <w:rtl/>
        </w:rPr>
      </w:pPr>
      <w:r w:rsidRPr="005135C8">
        <w:rPr>
          <w:rFonts w:ascii="Simplified Arabic" w:hAnsi="Simplified Arabic" w:cs="Simplified Arabic"/>
          <w:b/>
          <w:bCs/>
          <w:sz w:val="24"/>
          <w:szCs w:val="24"/>
          <w:rtl/>
        </w:rPr>
        <w:t>المصدر:</w:t>
      </w:r>
      <w:r w:rsidRPr="005135C8">
        <w:rPr>
          <w:rFonts w:ascii="TraditionalArabic-Bold" w:cs="TraditionalArabic-Bold" w:hint="cs"/>
          <w:b/>
          <w:bCs/>
          <w:sz w:val="24"/>
          <w:szCs w:val="24"/>
          <w:rtl/>
        </w:rPr>
        <w:t xml:space="preserve"> </w:t>
      </w:r>
      <w:r w:rsidRPr="005135C8">
        <w:rPr>
          <w:rFonts w:ascii="Simplified Arabic" w:hAnsi="Simplified Arabic" w:cs="Simplified Arabic" w:hint="cs"/>
          <w:b/>
          <w:bCs/>
          <w:sz w:val="24"/>
          <w:szCs w:val="24"/>
          <w:rtl/>
        </w:rPr>
        <w:t>(جمعة محمد داود، 2012)</w:t>
      </w:r>
    </w:p>
    <w:p w:rsidR="000B42BD" w:rsidRPr="006525C1" w:rsidRDefault="000B42BD" w:rsidP="00C02010">
      <w:pPr>
        <w:autoSpaceDE w:val="0"/>
        <w:autoSpaceDN w:val="0"/>
        <w:bidi/>
        <w:adjustRightInd w:val="0"/>
        <w:spacing w:after="0" w:line="240" w:lineRule="auto"/>
        <w:jc w:val="center"/>
        <w:rPr>
          <w:rFonts w:ascii="Simplified Arabic" w:hAnsi="Simplified Arabic" w:cs="Simplified Arabic"/>
          <w:color w:val="000000"/>
          <w:sz w:val="24"/>
          <w:szCs w:val="24"/>
          <w:rtl/>
        </w:rPr>
      </w:pPr>
      <w:r>
        <w:rPr>
          <w:noProof/>
          <w:lang w:eastAsia="fr-FR"/>
        </w:rPr>
        <w:drawing>
          <wp:inline distT="0" distB="0" distL="0" distR="0" wp14:anchorId="367EED2F" wp14:editId="3E5DEBEE">
            <wp:extent cx="2871279" cy="1162050"/>
            <wp:effectExtent l="19050" t="19050" r="24765" b="19050"/>
            <wp:docPr id="179" name="Imag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5"/>
                    <a:stretch>
                      <a:fillRect/>
                    </a:stretch>
                  </pic:blipFill>
                  <pic:spPr>
                    <a:xfrm>
                      <a:off x="0" y="0"/>
                      <a:ext cx="2906742" cy="1176402"/>
                    </a:xfrm>
                    <a:prstGeom prst="rect">
                      <a:avLst/>
                    </a:prstGeom>
                    <a:ln w="6350">
                      <a:solidFill>
                        <a:schemeClr val="tx1"/>
                      </a:solidFill>
                    </a:ln>
                  </pic:spPr>
                </pic:pic>
              </a:graphicData>
            </a:graphic>
          </wp:inline>
        </w:drawing>
      </w:r>
    </w:p>
    <w:p w:rsidR="000B42BD" w:rsidRPr="00317AE5" w:rsidRDefault="000B42BD" w:rsidP="001D0548">
      <w:pPr>
        <w:pStyle w:val="Paragraphedeliste"/>
        <w:numPr>
          <w:ilvl w:val="1"/>
          <w:numId w:val="145"/>
        </w:numPr>
        <w:tabs>
          <w:tab w:val="right" w:pos="1134"/>
        </w:tabs>
        <w:autoSpaceDE w:val="0"/>
        <w:autoSpaceDN w:val="0"/>
        <w:bidi/>
        <w:adjustRightInd w:val="0"/>
        <w:spacing w:before="240" w:after="0"/>
        <w:ind w:left="0" w:firstLine="992"/>
        <w:outlineLvl w:val="3"/>
        <w:rPr>
          <w:rFonts w:ascii="Simplified Arabic" w:hAnsi="Simplified Arabic" w:cs="Simplified Arabic"/>
          <w:b/>
          <w:bCs/>
          <w:color w:val="000000"/>
          <w:sz w:val="24"/>
          <w:szCs w:val="24"/>
          <w:rtl/>
        </w:rPr>
      </w:pPr>
      <w:r w:rsidRPr="00317AE5">
        <w:rPr>
          <w:rFonts w:ascii="Simplified Arabic" w:hAnsi="Simplified Arabic" w:cs="Simplified Arabic" w:hint="cs"/>
          <w:b/>
          <w:bCs/>
          <w:color w:val="000000"/>
          <w:sz w:val="24"/>
          <w:szCs w:val="24"/>
          <w:rtl/>
        </w:rPr>
        <w:t xml:space="preserve">اداة المتوسط المكاني </w:t>
      </w:r>
      <w:r w:rsidRPr="00317AE5">
        <w:rPr>
          <w:rFonts w:asciiTheme="majorBidi" w:hAnsiTheme="majorBidi" w:cstheme="majorBidi" w:hint="cs"/>
          <w:b/>
          <w:bCs/>
          <w:sz w:val="20"/>
          <w:szCs w:val="20"/>
          <w:rtl/>
          <w:lang w:val="en-US"/>
        </w:rPr>
        <w:t>(</w:t>
      </w:r>
      <w:r w:rsidRPr="00317AE5">
        <w:rPr>
          <w:rFonts w:asciiTheme="majorBidi" w:hAnsiTheme="majorBidi" w:cstheme="majorBidi"/>
          <w:b/>
          <w:bCs/>
          <w:sz w:val="20"/>
          <w:szCs w:val="20"/>
          <w:lang w:val="en-US"/>
        </w:rPr>
        <w:t>Standard Distance</w:t>
      </w:r>
      <w:r w:rsidRPr="00317AE5">
        <w:rPr>
          <w:rFonts w:asciiTheme="majorBidi" w:hAnsiTheme="majorBidi" w:cstheme="majorBidi" w:hint="cs"/>
          <w:b/>
          <w:bCs/>
          <w:sz w:val="20"/>
          <w:szCs w:val="20"/>
          <w:rtl/>
          <w:lang w:val="en-US"/>
        </w:rPr>
        <w:t>)</w:t>
      </w:r>
    </w:p>
    <w:p w:rsidR="008B6A98" w:rsidRDefault="00233EF3" w:rsidP="00171E1E">
      <w:pPr>
        <w:autoSpaceDE w:val="0"/>
        <w:autoSpaceDN w:val="0"/>
        <w:bidi/>
        <w:adjustRightInd w:val="0"/>
        <w:spacing w:after="0"/>
        <w:ind w:firstLine="282"/>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المتوسط المكاني </w:t>
      </w:r>
      <w:r w:rsidR="009204D0" w:rsidRPr="008B6A98">
        <w:rPr>
          <w:rFonts w:ascii="Simplified Arabic" w:hAnsi="Simplified Arabic" w:cs="Simplified Arabic" w:hint="cs"/>
          <w:sz w:val="24"/>
          <w:szCs w:val="24"/>
          <w:rtl/>
        </w:rPr>
        <w:t>هو</w:t>
      </w:r>
      <w:r>
        <w:rPr>
          <w:rFonts w:ascii="Simplified Arabic" w:hAnsi="Simplified Arabic" w:cs="Simplified Arabic" w:hint="cs"/>
          <w:sz w:val="24"/>
          <w:szCs w:val="24"/>
          <w:rtl/>
        </w:rPr>
        <w:t xml:space="preserve"> </w:t>
      </w:r>
      <w:r w:rsidR="009204D0" w:rsidRPr="008B6A98">
        <w:rPr>
          <w:rFonts w:ascii="Simplified Arabic" w:hAnsi="Simplified Arabic" w:cs="Simplified Arabic" w:hint="cs"/>
          <w:sz w:val="24"/>
          <w:szCs w:val="24"/>
          <w:rtl/>
        </w:rPr>
        <w:t>أحد</w:t>
      </w:r>
      <w:r>
        <w:rPr>
          <w:rFonts w:ascii="Simplified Arabic" w:hAnsi="Simplified Arabic" w:cs="Simplified Arabic" w:hint="cs"/>
          <w:sz w:val="24"/>
          <w:szCs w:val="24"/>
          <w:rtl/>
        </w:rPr>
        <w:t xml:space="preserve"> </w:t>
      </w:r>
      <w:r w:rsidR="009204D0" w:rsidRPr="008B6A98">
        <w:rPr>
          <w:rFonts w:ascii="Simplified Arabic" w:hAnsi="Simplified Arabic" w:cs="Simplified Arabic" w:hint="cs"/>
          <w:sz w:val="24"/>
          <w:szCs w:val="24"/>
          <w:rtl/>
        </w:rPr>
        <w:t>مقاييس</w:t>
      </w:r>
      <w:r>
        <w:rPr>
          <w:rFonts w:ascii="Simplified Arabic" w:hAnsi="Simplified Arabic" w:cs="Simplified Arabic" w:hint="cs"/>
          <w:sz w:val="24"/>
          <w:szCs w:val="24"/>
          <w:rtl/>
        </w:rPr>
        <w:t xml:space="preserve"> </w:t>
      </w:r>
      <w:r w:rsidR="009204D0" w:rsidRPr="008B6A98">
        <w:rPr>
          <w:rFonts w:ascii="Simplified Arabic" w:hAnsi="Simplified Arabic" w:cs="Simplified Arabic" w:hint="cs"/>
          <w:sz w:val="24"/>
          <w:szCs w:val="24"/>
          <w:rtl/>
        </w:rPr>
        <w:t>النزعة</w:t>
      </w:r>
      <w:r>
        <w:rPr>
          <w:rFonts w:ascii="Simplified Arabic" w:hAnsi="Simplified Arabic" w:cs="Simplified Arabic" w:hint="cs"/>
          <w:sz w:val="24"/>
          <w:szCs w:val="24"/>
          <w:rtl/>
        </w:rPr>
        <w:t xml:space="preserve"> </w:t>
      </w:r>
      <w:r w:rsidR="009204D0" w:rsidRPr="008B6A98">
        <w:rPr>
          <w:rFonts w:ascii="Simplified Arabic" w:hAnsi="Simplified Arabic" w:cs="Simplified Arabic" w:hint="cs"/>
          <w:sz w:val="24"/>
          <w:szCs w:val="24"/>
          <w:rtl/>
        </w:rPr>
        <w:t>المركزية</w:t>
      </w:r>
      <w:r>
        <w:rPr>
          <w:rFonts w:ascii="Simplified Arabic" w:hAnsi="Simplified Arabic" w:cs="Simplified Arabic" w:hint="cs"/>
          <w:sz w:val="24"/>
          <w:szCs w:val="24"/>
          <w:rtl/>
        </w:rPr>
        <w:t xml:space="preserve"> </w:t>
      </w:r>
      <w:r w:rsidR="009204D0" w:rsidRPr="008B6A98">
        <w:rPr>
          <w:rFonts w:ascii="Simplified Arabic" w:hAnsi="Simplified Arabic" w:cs="Simplified Arabic" w:hint="cs"/>
          <w:sz w:val="24"/>
          <w:szCs w:val="24"/>
          <w:rtl/>
        </w:rPr>
        <w:t>وأكثر</w:t>
      </w:r>
      <w:r>
        <w:rPr>
          <w:rFonts w:ascii="Simplified Arabic" w:hAnsi="Simplified Arabic" w:cs="Simplified Arabic" w:hint="cs"/>
          <w:sz w:val="24"/>
          <w:szCs w:val="24"/>
          <w:rtl/>
        </w:rPr>
        <w:t xml:space="preserve"> </w:t>
      </w:r>
      <w:r w:rsidR="009204D0" w:rsidRPr="008B6A98">
        <w:rPr>
          <w:rFonts w:ascii="Simplified Arabic" w:hAnsi="Simplified Arabic" w:cs="Simplified Arabic" w:hint="cs"/>
          <w:sz w:val="24"/>
          <w:szCs w:val="24"/>
          <w:rtl/>
        </w:rPr>
        <w:t>المقاييس</w:t>
      </w:r>
      <w:r>
        <w:rPr>
          <w:rFonts w:ascii="Simplified Arabic" w:hAnsi="Simplified Arabic" w:cs="Simplified Arabic" w:hint="cs"/>
          <w:sz w:val="24"/>
          <w:szCs w:val="24"/>
          <w:rtl/>
        </w:rPr>
        <w:t xml:space="preserve"> </w:t>
      </w:r>
      <w:r w:rsidR="009204D0" w:rsidRPr="008B6A98">
        <w:rPr>
          <w:rFonts w:ascii="Simplified Arabic" w:hAnsi="Simplified Arabic" w:cs="Simplified Arabic" w:hint="cs"/>
          <w:sz w:val="24"/>
          <w:szCs w:val="24"/>
          <w:rtl/>
        </w:rPr>
        <w:t>الإحصائية</w:t>
      </w:r>
      <w:r w:rsidR="009204D0" w:rsidRPr="008B6A98">
        <w:rPr>
          <w:rFonts w:ascii="Simplified Arabic" w:hAnsi="Simplified Arabic" w:cs="Simplified Arabic"/>
          <w:sz w:val="24"/>
          <w:szCs w:val="24"/>
        </w:rPr>
        <w:t xml:space="preserve"> </w:t>
      </w:r>
      <w:r w:rsidR="009204D0" w:rsidRPr="008B6A98">
        <w:rPr>
          <w:rFonts w:ascii="Simplified Arabic" w:hAnsi="Simplified Arabic" w:cs="Simplified Arabic" w:hint="cs"/>
          <w:sz w:val="24"/>
          <w:szCs w:val="24"/>
          <w:rtl/>
        </w:rPr>
        <w:t>انتشار</w:t>
      </w:r>
      <w:r>
        <w:rPr>
          <w:rFonts w:ascii="Simplified Arabic" w:hAnsi="Simplified Arabic" w:cs="Simplified Arabic" w:hint="cs"/>
          <w:sz w:val="24"/>
          <w:szCs w:val="24"/>
          <w:rtl/>
        </w:rPr>
        <w:t>ا</w:t>
      </w:r>
      <w:r w:rsidR="009204D0" w:rsidRPr="008B6A98">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لسهولة</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استخدامه</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وفائدته</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الهادفة</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إيجاد</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المتوسط</w:t>
      </w:r>
      <w:r>
        <w:rPr>
          <w:rFonts w:ascii="Simplified Arabic" w:hAnsi="Simplified Arabic" w:cs="Simplified Arabic" w:hint="cs"/>
          <w:sz w:val="24"/>
          <w:szCs w:val="24"/>
          <w:rtl/>
        </w:rPr>
        <w:t xml:space="preserve"> المكاني </w:t>
      </w:r>
      <w:r w:rsidR="009204D0" w:rsidRPr="008B6A98">
        <w:rPr>
          <w:rFonts w:ascii="Simplified Arabic" w:hAnsi="Simplified Arabic" w:cs="Simplified Arabic"/>
          <w:sz w:val="24"/>
          <w:szCs w:val="24"/>
          <w:rtl/>
        </w:rPr>
        <w:t>الذي</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يمثل</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مركز</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الثقل</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للتوزيعات</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المكانية</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أو</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إيجاد</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مركز</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ثقل</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التوزيع</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المكاني</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للنقاط</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أو</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نقطة</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الجذب</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المركزي</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لتلك</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التوزيعات</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أو</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المركز</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الجغر</w:t>
      </w:r>
      <w:r>
        <w:rPr>
          <w:rFonts w:ascii="Simplified Arabic" w:hAnsi="Simplified Arabic" w:cs="Simplified Arabic" w:hint="cs"/>
          <w:sz w:val="24"/>
          <w:szCs w:val="24"/>
          <w:rtl/>
        </w:rPr>
        <w:t>ا</w:t>
      </w:r>
      <w:r w:rsidR="009204D0" w:rsidRPr="008B6A98">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للتركيز</w:t>
      </w:r>
      <w:r>
        <w:rPr>
          <w:rFonts w:ascii="Simplified Arabic" w:hAnsi="Simplified Arabic" w:cs="Simplified Arabic" w:hint="cs"/>
          <w:sz w:val="24"/>
          <w:szCs w:val="24"/>
          <w:rtl/>
        </w:rPr>
        <w:t xml:space="preserve">. لذلك، </w:t>
      </w:r>
      <w:r w:rsidR="009204D0" w:rsidRPr="008B6A98">
        <w:rPr>
          <w:rFonts w:ascii="Simplified Arabic" w:hAnsi="Simplified Arabic" w:cs="Simplified Arabic"/>
          <w:sz w:val="24"/>
          <w:szCs w:val="24"/>
          <w:rtl/>
        </w:rPr>
        <w:t>فان</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تعريف</w:t>
      </w:r>
      <w:r>
        <w:rPr>
          <w:rFonts w:ascii="Simplified Arabic" w:hAnsi="Simplified Arabic" w:cs="Simplified Arabic" w:hint="cs"/>
          <w:sz w:val="24"/>
          <w:szCs w:val="24"/>
          <w:rtl/>
        </w:rPr>
        <w:t xml:space="preserve"> المتوسط المكاني في </w:t>
      </w:r>
      <w:r w:rsidR="009204D0" w:rsidRPr="00233EF3">
        <w:rPr>
          <w:rFonts w:asciiTheme="majorBidi" w:hAnsiTheme="majorBidi" w:cstheme="majorBidi"/>
          <w:sz w:val="24"/>
          <w:szCs w:val="24"/>
        </w:rPr>
        <w:t>GIS</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هي</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نقطة</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الاحداثيات</w:t>
      </w:r>
      <w:r>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التي</w:t>
      </w:r>
      <w:r w:rsidR="00390518">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تكون</w:t>
      </w:r>
      <w:r w:rsidR="00390518">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في</w:t>
      </w:r>
      <w:r w:rsidR="00390518">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منتصف</w:t>
      </w:r>
      <w:r w:rsidR="00390518">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مجموعه</w:t>
      </w:r>
      <w:r w:rsidR="00390518">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من</w:t>
      </w:r>
      <w:r w:rsidR="00390518">
        <w:rPr>
          <w:rFonts w:ascii="Simplified Arabic" w:hAnsi="Simplified Arabic" w:cs="Simplified Arabic" w:hint="cs"/>
          <w:sz w:val="24"/>
          <w:szCs w:val="24"/>
          <w:rtl/>
        </w:rPr>
        <w:t xml:space="preserve"> </w:t>
      </w:r>
      <w:r w:rsidR="009204D0" w:rsidRPr="008B6A98">
        <w:rPr>
          <w:rFonts w:ascii="Simplified Arabic" w:hAnsi="Simplified Arabic" w:cs="Simplified Arabic"/>
          <w:sz w:val="24"/>
          <w:szCs w:val="24"/>
          <w:rtl/>
        </w:rPr>
        <w:t>النقاط</w:t>
      </w:r>
      <w:r w:rsidR="00390518">
        <w:rPr>
          <w:rFonts w:ascii="Simplified Arabic" w:hAnsi="Simplified Arabic" w:cs="Simplified Arabic" w:hint="cs"/>
          <w:sz w:val="24"/>
          <w:szCs w:val="24"/>
          <w:rtl/>
        </w:rPr>
        <w:t>. ا</w:t>
      </w:r>
      <w:r w:rsidR="008B6A98" w:rsidRPr="008B6A98">
        <w:rPr>
          <w:rFonts w:ascii="Simplified Arabic" w:hAnsi="Simplified Arabic" w:cs="Simplified Arabic"/>
          <w:sz w:val="24"/>
          <w:szCs w:val="24"/>
          <w:rtl/>
        </w:rPr>
        <w:t>لناتج</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يكون</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عبارة</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عن</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النقطة</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التي</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تتوسط</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مجموعه</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النقاط</w:t>
      </w:r>
      <w:r>
        <w:rPr>
          <w:rFonts w:ascii="Simplified Arabic" w:hAnsi="Simplified Arabic" w:cs="Simplified Arabic" w:hint="cs"/>
          <w:sz w:val="24"/>
          <w:szCs w:val="24"/>
          <w:rtl/>
        </w:rPr>
        <w:t xml:space="preserve">، يتم </w:t>
      </w:r>
      <w:r w:rsidR="008B6A98" w:rsidRPr="008B6A98">
        <w:rPr>
          <w:rFonts w:ascii="Simplified Arabic" w:hAnsi="Simplified Arabic" w:cs="Simplified Arabic"/>
          <w:sz w:val="24"/>
          <w:szCs w:val="24"/>
          <w:rtl/>
        </w:rPr>
        <w:t>حساب</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النقطة</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التي</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تكون</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في</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منتصف</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النقاط</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لحساب</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المتوسط</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يدويا</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نقوم</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بتحويل</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ج</w:t>
      </w:r>
      <w:r w:rsidR="00390518">
        <w:rPr>
          <w:rFonts w:ascii="Simplified Arabic" w:hAnsi="Simplified Arabic" w:cs="Simplified Arabic" w:hint="cs"/>
          <w:sz w:val="24"/>
          <w:szCs w:val="24"/>
          <w:rtl/>
        </w:rPr>
        <w:t>د</w:t>
      </w:r>
      <w:r w:rsidR="008B6A98" w:rsidRPr="008B6A98">
        <w:rPr>
          <w:rFonts w:ascii="Simplified Arabic" w:hAnsi="Simplified Arabic" w:cs="Simplified Arabic"/>
          <w:sz w:val="24"/>
          <w:szCs w:val="24"/>
          <w:rtl/>
        </w:rPr>
        <w:t>ول</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البيانات</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في</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البرنامج</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الى</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ملف</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اكسل</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وذلك</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من</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خلال</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أداة</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Pr>
        <w:t xml:space="preserve"> </w:t>
      </w:r>
      <w:r w:rsidR="008B6A98" w:rsidRPr="00233EF3">
        <w:rPr>
          <w:rFonts w:asciiTheme="majorBidi" w:hAnsiTheme="majorBidi" w:cstheme="majorBidi"/>
          <w:sz w:val="24"/>
          <w:szCs w:val="24"/>
        </w:rPr>
        <w:t>Table to Exce</w:t>
      </w:r>
      <w:r w:rsidR="008B6A98" w:rsidRPr="008B6A98">
        <w:rPr>
          <w:rFonts w:ascii="Simplified Arabic" w:hAnsi="Simplified Arabic" w:cs="Simplified Arabic"/>
          <w:sz w:val="24"/>
          <w:szCs w:val="24"/>
        </w:rPr>
        <w:t>l</w:t>
      </w:r>
      <w:r w:rsidR="008B6A98" w:rsidRPr="008B6A98">
        <w:rPr>
          <w:rFonts w:ascii="Simplified Arabic" w:hAnsi="Simplified Arabic" w:cs="Simplified Arabic"/>
          <w:sz w:val="24"/>
          <w:szCs w:val="24"/>
          <w:rtl/>
        </w:rPr>
        <w:t>ال</w:t>
      </w:r>
      <w:r>
        <w:rPr>
          <w:rFonts w:ascii="Simplified Arabic" w:hAnsi="Simplified Arabic" w:cs="Simplified Arabic" w:hint="cs"/>
          <w:sz w:val="24"/>
          <w:szCs w:val="24"/>
          <w:rtl/>
        </w:rPr>
        <w:t>تي</w:t>
      </w:r>
      <w:r w:rsidR="00390518">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ت</w:t>
      </w:r>
      <w:r w:rsidR="008B6A98" w:rsidRPr="008B6A98">
        <w:rPr>
          <w:rFonts w:ascii="Simplified Arabic" w:hAnsi="Simplified Arabic" w:cs="Simplified Arabic"/>
          <w:sz w:val="24"/>
          <w:szCs w:val="24"/>
          <w:rtl/>
        </w:rPr>
        <w:t>حتوي</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على</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احداثيات</w:t>
      </w:r>
      <w:r w:rsidR="00390518">
        <w:rPr>
          <w:rFonts w:ascii="Simplified Arabic" w:hAnsi="Simplified Arabic" w:cs="Simplified Arabic" w:hint="cs"/>
          <w:sz w:val="24"/>
          <w:szCs w:val="24"/>
          <w:rtl/>
        </w:rPr>
        <w:t xml:space="preserve"> </w:t>
      </w:r>
      <w:r w:rsidR="008B6A98" w:rsidRPr="008B6A98">
        <w:rPr>
          <w:rFonts w:ascii="Simplified Arabic" w:hAnsi="Simplified Arabic" w:cs="Simplified Arabic"/>
          <w:sz w:val="24"/>
          <w:szCs w:val="24"/>
          <w:rtl/>
        </w:rPr>
        <w:t>كل</w:t>
      </w:r>
      <w:r w:rsidR="00390518">
        <w:rPr>
          <w:rFonts w:ascii="Simplified Arabic" w:hAnsi="Simplified Arabic" w:cs="Simplified Arabic" w:hint="cs"/>
          <w:sz w:val="24"/>
          <w:szCs w:val="24"/>
          <w:rtl/>
        </w:rPr>
        <w:t xml:space="preserve"> </w:t>
      </w:r>
      <w:r w:rsidR="008B6A98" w:rsidRPr="009E0BD8">
        <w:rPr>
          <w:rFonts w:ascii="Simplified Arabic" w:hAnsi="Simplified Arabic" w:cs="Simplified Arabic"/>
          <w:sz w:val="24"/>
          <w:szCs w:val="24"/>
          <w:rtl/>
        </w:rPr>
        <w:t>نقطة</w:t>
      </w:r>
      <w:r w:rsidR="00390518" w:rsidRPr="009E0BD8">
        <w:rPr>
          <w:rFonts w:ascii="Simplified Arabic" w:hAnsi="Simplified Arabic" w:cs="Simplified Arabic" w:hint="cs"/>
          <w:sz w:val="24"/>
          <w:szCs w:val="24"/>
          <w:rtl/>
        </w:rPr>
        <w:t xml:space="preserve"> (جمعة محمد داود، 2012) وفق </w:t>
      </w:r>
      <w:r w:rsidR="00390518" w:rsidRPr="009E0BD8">
        <w:rPr>
          <w:rFonts w:ascii="Simplified Arabic" w:hAnsi="Simplified Arabic" w:cs="Simplified Arabic" w:hint="cs"/>
          <w:sz w:val="24"/>
          <w:szCs w:val="24"/>
          <w:rtl/>
        </w:rPr>
        <w:lastRenderedPageBreak/>
        <w:t>الشكل (</w:t>
      </w:r>
      <w:r w:rsidR="00171E1E">
        <w:rPr>
          <w:rFonts w:ascii="Simplified Arabic" w:hAnsi="Simplified Arabic" w:cs="Simplified Arabic" w:hint="cs"/>
          <w:sz w:val="24"/>
          <w:szCs w:val="24"/>
          <w:rtl/>
        </w:rPr>
        <w:t>3-12</w:t>
      </w:r>
      <w:r w:rsidR="00390518" w:rsidRPr="009E0BD8">
        <w:rPr>
          <w:rFonts w:ascii="Simplified Arabic" w:hAnsi="Simplified Arabic" w:cs="Simplified Arabic" w:hint="cs"/>
          <w:sz w:val="24"/>
          <w:szCs w:val="24"/>
          <w:rtl/>
        </w:rPr>
        <w:t xml:space="preserve">). يتم انشاء خرائط (الفصل 6) تبين ناتج استخدام الأداة وتظهر </w:t>
      </w:r>
      <w:r w:rsidR="00390518" w:rsidRPr="009E0BD8">
        <w:rPr>
          <w:rFonts w:ascii="Simplified Arabic" w:hAnsi="Simplified Arabic" w:cs="Simplified Arabic"/>
          <w:sz w:val="24"/>
          <w:szCs w:val="24"/>
          <w:rtl/>
        </w:rPr>
        <w:t>المسافة</w:t>
      </w:r>
      <w:r w:rsidR="00390518" w:rsidRPr="009E0BD8">
        <w:rPr>
          <w:rFonts w:ascii="Simplified Arabic" w:hAnsi="Simplified Arabic" w:cs="Simplified Arabic"/>
          <w:sz w:val="24"/>
          <w:szCs w:val="24"/>
        </w:rPr>
        <w:t xml:space="preserve"> </w:t>
      </w:r>
      <w:r w:rsidR="00390518" w:rsidRPr="009E0BD8">
        <w:rPr>
          <w:rFonts w:ascii="Simplified Arabic" w:hAnsi="Simplified Arabic" w:cs="Simplified Arabic"/>
          <w:sz w:val="24"/>
          <w:szCs w:val="24"/>
          <w:rtl/>
        </w:rPr>
        <w:t>ال</w:t>
      </w:r>
      <w:r w:rsidR="00390518" w:rsidRPr="009E0BD8">
        <w:rPr>
          <w:rFonts w:ascii="Simplified Arabic" w:hAnsi="Simplified Arabic" w:cs="Simplified Arabic" w:hint="cs"/>
          <w:sz w:val="24"/>
          <w:szCs w:val="24"/>
          <w:rtl/>
        </w:rPr>
        <w:t>م</w:t>
      </w:r>
      <w:r w:rsidR="00390518" w:rsidRPr="009E0BD8">
        <w:rPr>
          <w:rFonts w:ascii="Simplified Arabic" w:hAnsi="Simplified Arabic" w:cs="Simplified Arabic"/>
          <w:sz w:val="24"/>
          <w:szCs w:val="24"/>
          <w:rtl/>
        </w:rPr>
        <w:t>عيارية</w:t>
      </w:r>
      <w:r w:rsidR="00390518" w:rsidRPr="009E0BD8">
        <w:rPr>
          <w:rFonts w:ascii="Simplified Arabic" w:hAnsi="Simplified Arabic" w:cs="Simplified Arabic" w:hint="cs"/>
          <w:sz w:val="24"/>
          <w:szCs w:val="24"/>
          <w:rtl/>
        </w:rPr>
        <w:t xml:space="preserve"> للتوزيع المكاني لكل عامل من عوامل تقييم المرونة.</w:t>
      </w:r>
    </w:p>
    <w:p w:rsidR="000B42BD" w:rsidRPr="00264FC1" w:rsidRDefault="000B42BD" w:rsidP="00C26EF7">
      <w:pPr>
        <w:pStyle w:val="fegure"/>
        <w:spacing w:before="240"/>
        <w:rPr>
          <w:szCs w:val="24"/>
          <w:rtl/>
        </w:rPr>
      </w:pPr>
      <w:bookmarkStart w:id="453" w:name="_Toc157608315"/>
      <w:bookmarkStart w:id="454" w:name="_Toc171803548"/>
      <w:r w:rsidRPr="00264FC1">
        <w:rPr>
          <w:color w:val="212121"/>
          <w:szCs w:val="24"/>
          <w:rtl/>
        </w:rPr>
        <w:t xml:space="preserve">الشكل </w:t>
      </w:r>
      <w:r w:rsidRPr="00264FC1">
        <w:rPr>
          <w:rFonts w:hint="cs"/>
          <w:color w:val="212121"/>
          <w:szCs w:val="24"/>
          <w:rtl/>
        </w:rPr>
        <w:t>(</w:t>
      </w:r>
      <w:r w:rsidR="00171E1E" w:rsidRPr="00264FC1">
        <w:rPr>
          <w:rFonts w:hint="cs"/>
          <w:color w:val="212121"/>
          <w:szCs w:val="24"/>
          <w:rtl/>
        </w:rPr>
        <w:t>3-12</w:t>
      </w:r>
      <w:r w:rsidRPr="00264FC1">
        <w:rPr>
          <w:rFonts w:hint="cs"/>
          <w:color w:val="212121"/>
          <w:szCs w:val="24"/>
          <w:rtl/>
        </w:rPr>
        <w:t>)</w:t>
      </w:r>
      <w:r w:rsidRPr="00264FC1">
        <w:rPr>
          <w:color w:val="212121"/>
          <w:szCs w:val="24"/>
          <w:rtl/>
        </w:rPr>
        <w:t xml:space="preserve">: </w:t>
      </w:r>
      <w:r w:rsidRPr="00264FC1">
        <w:rPr>
          <w:rFonts w:hint="cs"/>
          <w:szCs w:val="24"/>
          <w:rtl/>
        </w:rPr>
        <w:t xml:space="preserve">شكل ناتج عن استخدام اداة </w:t>
      </w:r>
      <w:r w:rsidR="00DF4BC9" w:rsidRPr="00264FC1">
        <w:rPr>
          <w:rFonts w:hint="cs"/>
          <w:szCs w:val="24"/>
          <w:rtl/>
        </w:rPr>
        <w:t>المتوسط المكاني</w:t>
      </w:r>
      <w:bookmarkEnd w:id="453"/>
      <w:bookmarkEnd w:id="454"/>
    </w:p>
    <w:p w:rsidR="000B42BD" w:rsidRPr="005135C8" w:rsidRDefault="000B42BD" w:rsidP="00AE4A70">
      <w:pPr>
        <w:autoSpaceDE w:val="0"/>
        <w:autoSpaceDN w:val="0"/>
        <w:bidi/>
        <w:adjustRightInd w:val="0"/>
        <w:spacing w:after="0" w:line="240" w:lineRule="auto"/>
        <w:jc w:val="center"/>
        <w:rPr>
          <w:rFonts w:ascii="Simplified Arabic" w:hAnsi="Simplified Arabic" w:cs="Simplified Arabic"/>
          <w:b/>
          <w:bCs/>
          <w:color w:val="212121"/>
          <w:sz w:val="24"/>
          <w:szCs w:val="24"/>
          <w:rtl/>
        </w:rPr>
      </w:pPr>
      <w:r w:rsidRPr="005135C8">
        <w:rPr>
          <w:rFonts w:ascii="Simplified Arabic" w:hAnsi="Simplified Arabic" w:cs="Simplified Arabic"/>
          <w:b/>
          <w:bCs/>
          <w:sz w:val="24"/>
          <w:szCs w:val="24"/>
          <w:rtl/>
        </w:rPr>
        <w:t>المصدر:</w:t>
      </w:r>
      <w:r w:rsidRPr="005135C8">
        <w:rPr>
          <w:rFonts w:ascii="TraditionalArabic-Bold" w:cs="TraditionalArabic-Bold" w:hint="cs"/>
          <w:b/>
          <w:bCs/>
          <w:sz w:val="24"/>
          <w:szCs w:val="24"/>
          <w:rtl/>
        </w:rPr>
        <w:t xml:space="preserve"> </w:t>
      </w:r>
      <w:r w:rsidRPr="005135C8">
        <w:rPr>
          <w:rFonts w:ascii="Simplified Arabic" w:hAnsi="Simplified Arabic" w:cs="Simplified Arabic" w:hint="cs"/>
          <w:b/>
          <w:bCs/>
          <w:sz w:val="24"/>
          <w:szCs w:val="24"/>
          <w:rtl/>
        </w:rPr>
        <w:t>(جمعة محمد داود، 2012)</w:t>
      </w:r>
    </w:p>
    <w:p w:rsidR="000B42BD" w:rsidRDefault="000B42BD" w:rsidP="00C02010">
      <w:pPr>
        <w:autoSpaceDE w:val="0"/>
        <w:autoSpaceDN w:val="0"/>
        <w:bidi/>
        <w:adjustRightInd w:val="0"/>
        <w:spacing w:after="0" w:line="240" w:lineRule="auto"/>
        <w:jc w:val="center"/>
        <w:rPr>
          <w:rFonts w:ascii="Simplified Arabic" w:hAnsi="Simplified Arabic" w:cs="Simplified Arabic"/>
          <w:sz w:val="24"/>
          <w:szCs w:val="24"/>
          <w:rtl/>
        </w:rPr>
      </w:pPr>
      <w:r>
        <w:rPr>
          <w:noProof/>
          <w:lang w:eastAsia="fr-FR"/>
        </w:rPr>
        <w:drawing>
          <wp:inline distT="0" distB="0" distL="0" distR="0" wp14:anchorId="3430EAB8" wp14:editId="53A965D7">
            <wp:extent cx="2921784" cy="1295400"/>
            <wp:effectExtent l="19050" t="19050" r="12065" b="19050"/>
            <wp:docPr id="181" name="Imag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6">
                      <a:extLst>
                        <a:ext uri="{28A0092B-C50C-407E-A947-70E740481C1C}">
                          <a14:useLocalDpi xmlns:a14="http://schemas.microsoft.com/office/drawing/2010/main" val="0"/>
                        </a:ext>
                      </a:extLst>
                    </a:blip>
                    <a:stretch>
                      <a:fillRect/>
                    </a:stretch>
                  </pic:blipFill>
                  <pic:spPr>
                    <a:xfrm>
                      <a:off x="0" y="0"/>
                      <a:ext cx="2949590" cy="1307728"/>
                    </a:xfrm>
                    <a:prstGeom prst="rect">
                      <a:avLst/>
                    </a:prstGeom>
                    <a:ln w="6350">
                      <a:solidFill>
                        <a:schemeClr val="tx1"/>
                      </a:solidFill>
                    </a:ln>
                  </pic:spPr>
                </pic:pic>
              </a:graphicData>
            </a:graphic>
          </wp:inline>
        </w:drawing>
      </w:r>
    </w:p>
    <w:p w:rsidR="000B42BD" w:rsidRPr="00317AE5" w:rsidRDefault="000B42BD" w:rsidP="001D0548">
      <w:pPr>
        <w:pStyle w:val="Paragraphedeliste"/>
        <w:numPr>
          <w:ilvl w:val="1"/>
          <w:numId w:val="146"/>
        </w:numPr>
        <w:tabs>
          <w:tab w:val="right" w:pos="1134"/>
        </w:tabs>
        <w:autoSpaceDE w:val="0"/>
        <w:autoSpaceDN w:val="0"/>
        <w:bidi/>
        <w:adjustRightInd w:val="0"/>
        <w:spacing w:before="240" w:after="0"/>
        <w:ind w:left="0" w:firstLine="992"/>
        <w:outlineLvl w:val="3"/>
        <w:rPr>
          <w:rFonts w:ascii="Simplified Arabic" w:hAnsi="Simplified Arabic" w:cs="Simplified Arabic"/>
          <w:b/>
          <w:bCs/>
          <w:color w:val="000000"/>
          <w:sz w:val="24"/>
          <w:szCs w:val="24"/>
          <w:rtl/>
        </w:rPr>
      </w:pPr>
      <w:r w:rsidRPr="00317AE5">
        <w:rPr>
          <w:rFonts w:ascii="Simplified Arabic" w:hAnsi="Simplified Arabic" w:cs="Simplified Arabic" w:hint="cs"/>
          <w:b/>
          <w:bCs/>
          <w:color w:val="000000"/>
          <w:sz w:val="24"/>
          <w:szCs w:val="24"/>
          <w:rtl/>
        </w:rPr>
        <w:t>اداة ا</w:t>
      </w:r>
      <w:r w:rsidRPr="00317AE5">
        <w:rPr>
          <w:rFonts w:ascii="Simplified Arabic" w:hAnsi="Simplified Arabic" w:cs="Simplified Arabic"/>
          <w:b/>
          <w:bCs/>
          <w:color w:val="000000"/>
          <w:sz w:val="24"/>
          <w:szCs w:val="24"/>
          <w:rtl/>
        </w:rPr>
        <w:t>لمسافة</w:t>
      </w:r>
      <w:r w:rsidRPr="00317AE5">
        <w:rPr>
          <w:rFonts w:ascii="Simplified Arabic" w:hAnsi="Simplified Arabic" w:cs="Simplified Arabic" w:hint="cs"/>
          <w:b/>
          <w:bCs/>
          <w:color w:val="000000"/>
          <w:sz w:val="24"/>
          <w:szCs w:val="24"/>
          <w:rtl/>
        </w:rPr>
        <w:t xml:space="preserve"> </w:t>
      </w:r>
      <w:r w:rsidRPr="00317AE5">
        <w:rPr>
          <w:rFonts w:ascii="Simplified Arabic" w:hAnsi="Simplified Arabic" w:cs="Simplified Arabic"/>
          <w:b/>
          <w:bCs/>
          <w:color w:val="000000"/>
          <w:sz w:val="24"/>
          <w:szCs w:val="24"/>
          <w:rtl/>
        </w:rPr>
        <w:t>المعيارية</w:t>
      </w:r>
      <w:r w:rsidRPr="00317AE5">
        <w:rPr>
          <w:rFonts w:ascii="Simplified Arabic" w:hAnsi="Simplified Arabic" w:cs="Simplified Arabic" w:hint="cs"/>
          <w:b/>
          <w:bCs/>
          <w:color w:val="000000"/>
          <w:sz w:val="24"/>
          <w:szCs w:val="24"/>
          <w:rtl/>
        </w:rPr>
        <w:t xml:space="preserve"> </w:t>
      </w:r>
      <w:r w:rsidRPr="00317AE5">
        <w:rPr>
          <w:rFonts w:asciiTheme="majorBidi" w:hAnsiTheme="majorBidi" w:cstheme="majorBidi" w:hint="cs"/>
          <w:b/>
          <w:bCs/>
          <w:sz w:val="20"/>
          <w:szCs w:val="20"/>
          <w:rtl/>
          <w:lang w:val="en-US"/>
        </w:rPr>
        <w:t>(</w:t>
      </w:r>
      <w:r w:rsidRPr="00317AE5">
        <w:rPr>
          <w:rFonts w:asciiTheme="majorBidi" w:hAnsiTheme="majorBidi" w:cstheme="majorBidi"/>
          <w:b/>
          <w:bCs/>
          <w:sz w:val="20"/>
          <w:szCs w:val="20"/>
          <w:lang w:val="en-US"/>
        </w:rPr>
        <w:t>Standard Distance</w:t>
      </w:r>
      <w:r w:rsidRPr="00317AE5">
        <w:rPr>
          <w:rFonts w:asciiTheme="majorBidi" w:hAnsiTheme="majorBidi" w:cstheme="majorBidi" w:hint="cs"/>
          <w:b/>
          <w:bCs/>
          <w:sz w:val="20"/>
          <w:szCs w:val="20"/>
          <w:rtl/>
          <w:lang w:val="en-US"/>
        </w:rPr>
        <w:t>)</w:t>
      </w:r>
    </w:p>
    <w:p w:rsidR="000B42BD" w:rsidRDefault="000B42BD" w:rsidP="00171E1E">
      <w:pPr>
        <w:autoSpaceDE w:val="0"/>
        <w:autoSpaceDN w:val="0"/>
        <w:bidi/>
        <w:adjustRightInd w:val="0"/>
        <w:spacing w:after="0"/>
        <w:ind w:firstLine="282"/>
        <w:jc w:val="both"/>
        <w:rPr>
          <w:rFonts w:ascii="Simplified Arabic" w:hAnsi="Simplified Arabic" w:cs="Simplified Arabic"/>
          <w:sz w:val="24"/>
          <w:szCs w:val="24"/>
          <w:rtl/>
        </w:rPr>
      </w:pPr>
      <w:r w:rsidRPr="008B6A98">
        <w:rPr>
          <w:rFonts w:ascii="Simplified Arabic" w:hAnsi="Simplified Arabic" w:cs="Simplified Arabic"/>
          <w:sz w:val="24"/>
          <w:szCs w:val="24"/>
          <w:rtl/>
        </w:rPr>
        <w:t>تعد</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المسافة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w:t>
      </w:r>
      <w:r w:rsidRPr="008B6A98">
        <w:rPr>
          <w:rFonts w:ascii="Simplified Arabic" w:hAnsi="Simplified Arabic" w:cs="Simplified Arabic" w:hint="cs"/>
          <w:sz w:val="24"/>
          <w:szCs w:val="24"/>
          <w:rtl/>
        </w:rPr>
        <w:t>م</w:t>
      </w:r>
      <w:r w:rsidRPr="008B6A98">
        <w:rPr>
          <w:rFonts w:ascii="Simplified Arabic" w:hAnsi="Simplified Arabic" w:cs="Simplified Arabic"/>
          <w:sz w:val="24"/>
          <w:szCs w:val="24"/>
          <w:rtl/>
        </w:rPr>
        <w:t>عيارية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مؤشر</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لقياس</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مدى</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تباعد</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او</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تركز</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مفردات</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الظاهرة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مكاني</w:t>
      </w:r>
      <w:r w:rsidRPr="008B6A98">
        <w:rPr>
          <w:rFonts w:ascii="Simplified Arabic" w:hAnsi="Simplified Arabic" w:cs="Simplified Arabic" w:hint="cs"/>
          <w:sz w:val="24"/>
          <w:szCs w:val="24"/>
          <w:rtl/>
        </w:rPr>
        <w:t xml:space="preserve">ا. </w:t>
      </w:r>
      <w:r w:rsidRPr="008B6A98">
        <w:rPr>
          <w:rFonts w:ascii="Simplified Arabic" w:hAnsi="Simplified Arabic" w:cs="Simplified Arabic"/>
          <w:sz w:val="24"/>
          <w:szCs w:val="24"/>
          <w:rtl/>
        </w:rPr>
        <w:t>غالبا</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يتم</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استخدام</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قيمة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المسافة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المعيارية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لرسم</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دائرة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تسمى</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الدائرة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المعيارية</w:t>
      </w:r>
      <w:r w:rsidRPr="008B6A98">
        <w:rPr>
          <w:rFonts w:ascii="Simplified Arabic" w:hAnsi="Simplified Arabic" w:cs="Simplified Arabic" w:hint="cs"/>
          <w:sz w:val="24"/>
          <w:szCs w:val="24"/>
          <w:rtl/>
        </w:rPr>
        <w:t xml:space="preserve"> </w:t>
      </w:r>
      <w:r w:rsidRPr="008B6A98">
        <w:rPr>
          <w:rFonts w:asciiTheme="majorBidi" w:hAnsiTheme="majorBidi" w:cstheme="majorBidi"/>
          <w:sz w:val="24"/>
          <w:szCs w:val="24"/>
          <w:rtl/>
        </w:rPr>
        <w:t>(</w:t>
      </w:r>
      <w:r w:rsidRPr="008B6A98">
        <w:rPr>
          <w:rFonts w:asciiTheme="majorBidi" w:hAnsiTheme="majorBidi" w:cstheme="majorBidi"/>
          <w:sz w:val="24"/>
          <w:szCs w:val="24"/>
        </w:rPr>
        <w:t>Standard Circle</w:t>
      </w:r>
      <w:r w:rsidRPr="008B6A98">
        <w:rPr>
          <w:rFonts w:asciiTheme="majorBidi" w:hAnsiTheme="majorBidi" w:cstheme="majorBidi"/>
          <w:sz w:val="24"/>
          <w:szCs w:val="24"/>
          <w:rtl/>
        </w:rPr>
        <w:t>)</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التي</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يمكن</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من</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خلالها</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معرفة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مدى</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تركز</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الظاهرة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او</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انتشار</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البعد</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المكاني</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للظاهرة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ويكون</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مركز</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هذه</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الظاهرة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هو</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موقع</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احداثيات</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المركز</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المتوسط</w:t>
      </w:r>
      <w:r w:rsidRPr="008B6A98">
        <w:rPr>
          <w:rFonts w:ascii="Simplified Arabic" w:hAnsi="Simplified Arabic" w:cs="Simplified Arabic" w:hint="cs"/>
          <w:sz w:val="24"/>
          <w:szCs w:val="24"/>
          <w:rtl/>
        </w:rPr>
        <w:t xml:space="preserve"> (</w:t>
      </w:r>
      <w:r w:rsidRPr="00C75CAD">
        <w:rPr>
          <w:rFonts w:ascii="Simplified Arabic" w:hAnsi="Simplified Arabic" w:cs="Simplified Arabic" w:hint="cs"/>
          <w:sz w:val="24"/>
          <w:szCs w:val="24"/>
          <w:rtl/>
        </w:rPr>
        <w:t>جمعة</w:t>
      </w:r>
      <w:r w:rsidRPr="008B6A98">
        <w:rPr>
          <w:rFonts w:ascii="Simplified Arabic" w:hAnsi="Simplified Arabic" w:cs="Simplified Arabic" w:hint="cs"/>
          <w:sz w:val="24"/>
          <w:szCs w:val="24"/>
          <w:rtl/>
        </w:rPr>
        <w:t xml:space="preserve"> محمد داود، 2012). </w:t>
      </w:r>
      <w:r w:rsidRPr="008B6A98">
        <w:rPr>
          <w:rFonts w:ascii="Simplified Arabic" w:hAnsi="Simplified Arabic" w:cs="Simplified Arabic"/>
          <w:sz w:val="24"/>
          <w:szCs w:val="24"/>
          <w:rtl/>
        </w:rPr>
        <w:t>يتم</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تمثيلها</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بيانياً</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على</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الخريطة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برسم</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دائرة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مركزها</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المتوسط</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المكاني</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ونصف</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قطرها</w:t>
      </w:r>
      <w:r w:rsidRPr="008B6A98">
        <w:rPr>
          <w:rFonts w:ascii="Simplified Arabic" w:hAnsi="Simplified Arabic" w:cs="Simplified Arabic" w:hint="cs"/>
          <w:sz w:val="24"/>
          <w:szCs w:val="24"/>
          <w:rtl/>
        </w:rPr>
        <w:t xml:space="preserve"> البعد المعياري، كما في الشكل (</w:t>
      </w:r>
      <w:r w:rsidR="00171E1E">
        <w:rPr>
          <w:rFonts w:ascii="Simplified Arabic" w:hAnsi="Simplified Arabic" w:cs="Simplified Arabic" w:hint="cs"/>
          <w:sz w:val="24"/>
          <w:szCs w:val="24"/>
          <w:rtl/>
        </w:rPr>
        <w:t>3-13</w:t>
      </w:r>
      <w:r w:rsidRPr="008B6A98">
        <w:rPr>
          <w:rFonts w:ascii="Simplified Arabic" w:hAnsi="Simplified Arabic" w:cs="Simplified Arabic" w:hint="cs"/>
          <w:sz w:val="24"/>
          <w:szCs w:val="24"/>
          <w:rtl/>
        </w:rPr>
        <w:t xml:space="preserve">). يتم انشاء خرائط (الفصل 6) تبين ناتج استخدام الأداة وتظهر </w:t>
      </w:r>
      <w:r w:rsidRPr="008B6A98">
        <w:rPr>
          <w:rFonts w:ascii="Simplified Arabic" w:hAnsi="Simplified Arabic" w:cs="Simplified Arabic"/>
          <w:sz w:val="24"/>
          <w:szCs w:val="24"/>
          <w:rtl/>
        </w:rPr>
        <w:t>المسافة</w:t>
      </w:r>
      <w:r w:rsidRPr="008B6A98">
        <w:rPr>
          <w:rFonts w:ascii="Simplified Arabic" w:hAnsi="Simplified Arabic" w:cs="Simplified Arabic" w:hint="cs"/>
          <w:sz w:val="24"/>
          <w:szCs w:val="24"/>
          <w:rtl/>
        </w:rPr>
        <w:t xml:space="preserve"> </w:t>
      </w:r>
      <w:r w:rsidRPr="008B6A98">
        <w:rPr>
          <w:rFonts w:ascii="Simplified Arabic" w:hAnsi="Simplified Arabic" w:cs="Simplified Arabic"/>
          <w:sz w:val="24"/>
          <w:szCs w:val="24"/>
          <w:rtl/>
        </w:rPr>
        <w:t>ال</w:t>
      </w:r>
      <w:r w:rsidRPr="008B6A98">
        <w:rPr>
          <w:rFonts w:ascii="Simplified Arabic" w:hAnsi="Simplified Arabic" w:cs="Simplified Arabic" w:hint="cs"/>
          <w:sz w:val="24"/>
          <w:szCs w:val="24"/>
          <w:rtl/>
        </w:rPr>
        <w:t>م</w:t>
      </w:r>
      <w:r w:rsidRPr="008B6A98">
        <w:rPr>
          <w:rFonts w:ascii="Simplified Arabic" w:hAnsi="Simplified Arabic" w:cs="Simplified Arabic"/>
          <w:sz w:val="24"/>
          <w:szCs w:val="24"/>
          <w:rtl/>
        </w:rPr>
        <w:t>عيارية</w:t>
      </w:r>
      <w:r w:rsidRPr="008B6A98">
        <w:rPr>
          <w:rFonts w:ascii="Simplified Arabic" w:hAnsi="Simplified Arabic" w:cs="Simplified Arabic" w:hint="cs"/>
          <w:sz w:val="24"/>
          <w:szCs w:val="24"/>
          <w:rtl/>
        </w:rPr>
        <w:t xml:space="preserve"> للتوزيع المكاني لكل عامل من عوامل تقييم المرونة.</w:t>
      </w:r>
    </w:p>
    <w:p w:rsidR="000B42BD" w:rsidRPr="00264FC1" w:rsidRDefault="000B42BD" w:rsidP="00C26EF7">
      <w:pPr>
        <w:pStyle w:val="fegure"/>
        <w:spacing w:before="240"/>
        <w:rPr>
          <w:szCs w:val="24"/>
          <w:rtl/>
        </w:rPr>
      </w:pPr>
      <w:bookmarkStart w:id="455" w:name="_Toc157608316"/>
      <w:bookmarkStart w:id="456" w:name="_Toc171803549"/>
      <w:r w:rsidRPr="00264FC1">
        <w:rPr>
          <w:color w:val="212121"/>
          <w:szCs w:val="24"/>
          <w:rtl/>
        </w:rPr>
        <w:t xml:space="preserve">الشكل </w:t>
      </w:r>
      <w:r w:rsidRPr="00264FC1">
        <w:rPr>
          <w:rFonts w:hint="cs"/>
          <w:color w:val="212121"/>
          <w:szCs w:val="24"/>
          <w:rtl/>
        </w:rPr>
        <w:t>(</w:t>
      </w:r>
      <w:r w:rsidR="00171E1E" w:rsidRPr="00264FC1">
        <w:rPr>
          <w:rFonts w:hint="cs"/>
          <w:color w:val="212121"/>
          <w:szCs w:val="24"/>
          <w:rtl/>
        </w:rPr>
        <w:t>3-13</w:t>
      </w:r>
      <w:r w:rsidRPr="00264FC1">
        <w:rPr>
          <w:rFonts w:hint="cs"/>
          <w:color w:val="212121"/>
          <w:szCs w:val="24"/>
          <w:rtl/>
        </w:rPr>
        <w:t>)</w:t>
      </w:r>
      <w:r w:rsidRPr="00264FC1">
        <w:rPr>
          <w:color w:val="212121"/>
          <w:szCs w:val="24"/>
          <w:rtl/>
        </w:rPr>
        <w:t xml:space="preserve">: </w:t>
      </w:r>
      <w:r w:rsidRPr="00264FC1">
        <w:rPr>
          <w:rFonts w:hint="cs"/>
          <w:szCs w:val="24"/>
          <w:rtl/>
        </w:rPr>
        <w:t xml:space="preserve">شكل ناتج عن استخدام اداة </w:t>
      </w:r>
      <w:r w:rsidR="00DF4BC9" w:rsidRPr="00264FC1">
        <w:rPr>
          <w:rFonts w:hint="cs"/>
          <w:szCs w:val="24"/>
          <w:rtl/>
        </w:rPr>
        <w:t>ا</w:t>
      </w:r>
      <w:r w:rsidR="00DF4BC9" w:rsidRPr="00264FC1">
        <w:rPr>
          <w:szCs w:val="24"/>
          <w:rtl/>
        </w:rPr>
        <w:t>لمسافة</w:t>
      </w:r>
      <w:r w:rsidR="00DF4BC9" w:rsidRPr="00264FC1">
        <w:rPr>
          <w:rFonts w:hint="cs"/>
          <w:szCs w:val="24"/>
          <w:rtl/>
        </w:rPr>
        <w:t xml:space="preserve"> </w:t>
      </w:r>
      <w:r w:rsidR="00DF4BC9" w:rsidRPr="00264FC1">
        <w:rPr>
          <w:szCs w:val="24"/>
          <w:rtl/>
        </w:rPr>
        <w:t>المعيارية</w:t>
      </w:r>
      <w:bookmarkEnd w:id="455"/>
      <w:bookmarkEnd w:id="456"/>
    </w:p>
    <w:p w:rsidR="000B42BD" w:rsidRPr="005135C8" w:rsidRDefault="000B42BD" w:rsidP="00AE4A70">
      <w:pPr>
        <w:autoSpaceDE w:val="0"/>
        <w:autoSpaceDN w:val="0"/>
        <w:bidi/>
        <w:adjustRightInd w:val="0"/>
        <w:spacing w:after="0" w:line="240" w:lineRule="auto"/>
        <w:jc w:val="center"/>
        <w:rPr>
          <w:rFonts w:ascii="Simplified Arabic" w:hAnsi="Simplified Arabic" w:cs="Simplified Arabic"/>
          <w:b/>
          <w:bCs/>
          <w:color w:val="212121"/>
          <w:sz w:val="24"/>
          <w:szCs w:val="24"/>
          <w:rtl/>
        </w:rPr>
      </w:pPr>
      <w:r w:rsidRPr="005135C8">
        <w:rPr>
          <w:rFonts w:ascii="Simplified Arabic" w:hAnsi="Simplified Arabic" w:cs="Simplified Arabic"/>
          <w:b/>
          <w:bCs/>
          <w:sz w:val="24"/>
          <w:szCs w:val="24"/>
          <w:rtl/>
        </w:rPr>
        <w:t>المصدر:</w:t>
      </w:r>
      <w:r w:rsidRPr="005135C8">
        <w:rPr>
          <w:rFonts w:ascii="TraditionalArabic-Bold" w:cs="TraditionalArabic-Bold" w:hint="cs"/>
          <w:b/>
          <w:bCs/>
          <w:sz w:val="24"/>
          <w:szCs w:val="24"/>
          <w:rtl/>
        </w:rPr>
        <w:t xml:space="preserve"> </w:t>
      </w:r>
      <w:r w:rsidRPr="005135C8">
        <w:rPr>
          <w:rFonts w:ascii="Simplified Arabic" w:hAnsi="Simplified Arabic" w:cs="Simplified Arabic" w:hint="cs"/>
          <w:b/>
          <w:bCs/>
          <w:sz w:val="24"/>
          <w:szCs w:val="24"/>
          <w:rtl/>
        </w:rPr>
        <w:t>(جمعة محمد داود، 2012)</w:t>
      </w:r>
    </w:p>
    <w:p w:rsidR="000B42BD" w:rsidRDefault="000B42BD" w:rsidP="00C02010">
      <w:pPr>
        <w:autoSpaceDE w:val="0"/>
        <w:autoSpaceDN w:val="0"/>
        <w:bidi/>
        <w:adjustRightInd w:val="0"/>
        <w:spacing w:after="0" w:line="240" w:lineRule="auto"/>
        <w:jc w:val="center"/>
        <w:rPr>
          <w:rFonts w:ascii="Simplified Arabic" w:hAnsi="Simplified Arabic" w:cs="Simplified Arabic"/>
          <w:sz w:val="24"/>
          <w:szCs w:val="24"/>
          <w:rtl/>
        </w:rPr>
      </w:pPr>
      <w:r>
        <w:rPr>
          <w:noProof/>
          <w:lang w:eastAsia="fr-FR"/>
        </w:rPr>
        <w:drawing>
          <wp:inline distT="0" distB="0" distL="0" distR="0" wp14:anchorId="24B4D082" wp14:editId="47AFD82E">
            <wp:extent cx="2714625" cy="1145318"/>
            <wp:effectExtent l="19050" t="19050" r="9525" b="17145"/>
            <wp:docPr id="180" name="Imag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7"/>
                    <a:stretch>
                      <a:fillRect/>
                    </a:stretch>
                  </pic:blipFill>
                  <pic:spPr>
                    <a:xfrm>
                      <a:off x="0" y="0"/>
                      <a:ext cx="2732094" cy="1152688"/>
                    </a:xfrm>
                    <a:prstGeom prst="rect">
                      <a:avLst/>
                    </a:prstGeom>
                    <a:ln w="6350">
                      <a:solidFill>
                        <a:schemeClr val="tx1"/>
                      </a:solidFill>
                    </a:ln>
                  </pic:spPr>
                </pic:pic>
              </a:graphicData>
            </a:graphic>
          </wp:inline>
        </w:drawing>
      </w:r>
    </w:p>
    <w:p w:rsidR="000B42BD" w:rsidRPr="008845EF" w:rsidRDefault="000B42BD" w:rsidP="001D0548">
      <w:pPr>
        <w:pStyle w:val="Paragraphedeliste"/>
        <w:numPr>
          <w:ilvl w:val="1"/>
          <w:numId w:val="147"/>
        </w:numPr>
        <w:tabs>
          <w:tab w:val="right" w:pos="1134"/>
        </w:tabs>
        <w:autoSpaceDE w:val="0"/>
        <w:autoSpaceDN w:val="0"/>
        <w:bidi/>
        <w:adjustRightInd w:val="0"/>
        <w:spacing w:before="240" w:after="0"/>
        <w:ind w:left="0" w:firstLine="992"/>
        <w:outlineLvl w:val="3"/>
        <w:rPr>
          <w:rFonts w:ascii="Simplified Arabic" w:hAnsi="Simplified Arabic" w:cs="Simplified Arabic"/>
          <w:b/>
          <w:bCs/>
          <w:sz w:val="24"/>
          <w:szCs w:val="24"/>
          <w:rtl/>
          <w:lang w:val="en-US" w:bidi="ar-DZ"/>
        </w:rPr>
      </w:pPr>
      <w:r w:rsidRPr="008845EF">
        <w:rPr>
          <w:rFonts w:ascii="Simplified Arabic" w:hAnsi="Simplified Arabic" w:cs="Simplified Arabic"/>
          <w:b/>
          <w:bCs/>
          <w:sz w:val="24"/>
          <w:szCs w:val="24"/>
          <w:rtl/>
          <w:lang w:bidi="ar-DZ"/>
        </w:rPr>
        <w:t>اداة تحليل</w:t>
      </w:r>
      <w:r w:rsidRPr="008845EF">
        <w:rPr>
          <w:rFonts w:ascii="Simplified Arabic" w:hAnsi="Simplified Arabic" w:cs="Simplified Arabic"/>
          <w:b/>
          <w:bCs/>
          <w:sz w:val="24"/>
          <w:szCs w:val="24"/>
          <w:lang w:bidi="ar-DZ"/>
        </w:rPr>
        <w:t xml:space="preserve"> </w:t>
      </w:r>
      <w:r w:rsidRPr="008845EF">
        <w:rPr>
          <w:rFonts w:ascii="Simplified Arabic" w:hAnsi="Simplified Arabic" w:cs="Simplified Arabic"/>
          <w:b/>
          <w:bCs/>
          <w:sz w:val="24"/>
          <w:szCs w:val="24"/>
          <w:rtl/>
          <w:lang w:bidi="ar-DZ"/>
        </w:rPr>
        <w:t>الجار</w:t>
      </w:r>
      <w:r w:rsidRPr="008845EF">
        <w:rPr>
          <w:rFonts w:ascii="Simplified Arabic" w:hAnsi="Simplified Arabic" w:cs="Simplified Arabic"/>
          <w:b/>
          <w:bCs/>
          <w:sz w:val="24"/>
          <w:szCs w:val="24"/>
          <w:lang w:bidi="ar-DZ"/>
        </w:rPr>
        <w:t xml:space="preserve"> </w:t>
      </w:r>
      <w:r w:rsidRPr="008845EF">
        <w:rPr>
          <w:rFonts w:ascii="Simplified Arabic" w:hAnsi="Simplified Arabic" w:cs="Simplified Arabic"/>
          <w:b/>
          <w:bCs/>
          <w:sz w:val="24"/>
          <w:szCs w:val="24"/>
          <w:rtl/>
          <w:lang w:bidi="ar-DZ"/>
        </w:rPr>
        <w:t>الأقرب</w:t>
      </w:r>
      <w:r w:rsidRPr="008845EF">
        <w:rPr>
          <w:rFonts w:ascii="Simplified Arabic" w:hAnsi="Simplified Arabic" w:cs="Simplified Arabic"/>
          <w:sz w:val="24"/>
          <w:szCs w:val="24"/>
          <w:rtl/>
          <w:lang w:bidi="ar-DZ"/>
        </w:rPr>
        <w:t xml:space="preserve"> </w:t>
      </w:r>
      <w:r w:rsidRPr="008845EF">
        <w:rPr>
          <w:rFonts w:asciiTheme="majorBidi" w:hAnsiTheme="majorBidi" w:cstheme="majorBidi"/>
          <w:b/>
          <w:bCs/>
          <w:sz w:val="20"/>
          <w:szCs w:val="20"/>
          <w:rtl/>
          <w:lang w:bidi="ar-DZ"/>
        </w:rPr>
        <w:t>(</w:t>
      </w:r>
      <w:r w:rsidRPr="008845EF">
        <w:rPr>
          <w:rFonts w:asciiTheme="majorBidi" w:hAnsiTheme="majorBidi" w:cstheme="majorBidi"/>
          <w:b/>
          <w:bCs/>
          <w:sz w:val="20"/>
          <w:szCs w:val="20"/>
          <w:lang w:val="en-US" w:bidi="ar-DZ"/>
        </w:rPr>
        <w:t>Nearest</w:t>
      </w:r>
      <w:r w:rsidRPr="008845EF">
        <w:rPr>
          <w:rFonts w:asciiTheme="majorBidi" w:hAnsiTheme="majorBidi" w:cstheme="majorBidi"/>
          <w:b/>
          <w:bCs/>
          <w:sz w:val="20"/>
          <w:szCs w:val="20"/>
          <w:lang w:bidi="ar-DZ"/>
        </w:rPr>
        <w:t xml:space="preserve"> </w:t>
      </w:r>
      <w:r w:rsidRPr="008845EF">
        <w:rPr>
          <w:rFonts w:asciiTheme="majorBidi" w:hAnsiTheme="majorBidi" w:cstheme="majorBidi"/>
          <w:b/>
          <w:bCs/>
          <w:sz w:val="20"/>
          <w:szCs w:val="20"/>
          <w:lang w:val="en-US" w:bidi="ar-DZ"/>
        </w:rPr>
        <w:t>Neighbor</w:t>
      </w:r>
      <w:r w:rsidRPr="008845EF">
        <w:rPr>
          <w:rFonts w:asciiTheme="majorBidi" w:hAnsiTheme="majorBidi" w:cstheme="majorBidi"/>
          <w:b/>
          <w:bCs/>
          <w:sz w:val="20"/>
          <w:szCs w:val="20"/>
          <w:lang w:bidi="ar-DZ"/>
        </w:rPr>
        <w:t xml:space="preserve"> </w:t>
      </w:r>
      <w:r w:rsidRPr="008845EF">
        <w:rPr>
          <w:rFonts w:asciiTheme="majorBidi" w:hAnsiTheme="majorBidi" w:cstheme="majorBidi"/>
          <w:b/>
          <w:bCs/>
          <w:sz w:val="20"/>
          <w:szCs w:val="20"/>
          <w:lang w:val="en-US" w:bidi="ar-DZ"/>
        </w:rPr>
        <w:t>Analysis</w:t>
      </w:r>
      <w:r w:rsidRPr="008845EF">
        <w:rPr>
          <w:rFonts w:asciiTheme="majorBidi" w:hAnsiTheme="majorBidi" w:cstheme="majorBidi"/>
          <w:b/>
          <w:bCs/>
          <w:sz w:val="20"/>
          <w:szCs w:val="20"/>
          <w:rtl/>
          <w:lang w:val="en-US" w:bidi="ar-DZ"/>
        </w:rPr>
        <w:t>)</w:t>
      </w:r>
      <w:r w:rsidRPr="008845EF">
        <w:rPr>
          <w:rFonts w:ascii="Simplified Arabic" w:hAnsi="Simplified Arabic" w:cs="Simplified Arabic"/>
          <w:b/>
          <w:bCs/>
          <w:sz w:val="24"/>
          <w:szCs w:val="24"/>
          <w:rtl/>
          <w:lang w:val="en-US" w:bidi="ar-DZ"/>
        </w:rPr>
        <w:t>:</w:t>
      </w:r>
    </w:p>
    <w:p w:rsidR="000B42BD" w:rsidRDefault="000B42BD" w:rsidP="00171E1E">
      <w:pPr>
        <w:autoSpaceDE w:val="0"/>
        <w:autoSpaceDN w:val="0"/>
        <w:bidi/>
        <w:adjustRightInd w:val="0"/>
        <w:spacing w:after="0"/>
        <w:ind w:firstLine="282"/>
        <w:jc w:val="both"/>
        <w:rPr>
          <w:rFonts w:ascii="Simplified Arabic" w:hAnsi="Simplified Arabic" w:cs="Simplified Arabic"/>
          <w:sz w:val="24"/>
          <w:szCs w:val="24"/>
          <w:rtl/>
        </w:rPr>
      </w:pPr>
      <w:r>
        <w:rPr>
          <w:rFonts w:ascii="Simplified Arabic" w:hAnsi="Simplified Arabic" w:cs="Simplified Arabic" w:hint="cs"/>
          <w:sz w:val="24"/>
          <w:szCs w:val="24"/>
          <w:rtl/>
        </w:rPr>
        <w:t>ي</w:t>
      </w:r>
      <w:r w:rsidRPr="00864A9A">
        <w:rPr>
          <w:rFonts w:ascii="Simplified Arabic" w:hAnsi="Simplified Arabic" w:cs="Simplified Arabic"/>
          <w:sz w:val="24"/>
          <w:szCs w:val="24"/>
          <w:rtl/>
        </w:rPr>
        <w:t>هدف</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تحليل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صلة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الجوار</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تحليل المسافة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الحقيقية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الفاصلة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بين</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النقاط</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الموزعة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الخريطة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ونسبة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معدلها</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معدل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المسافة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المتوقعة الفاصلة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بين</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النقاط</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نمط</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التوزيع</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العشوائي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وذلك</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بقصد</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التوصل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معيار</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كمي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يستدل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به</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نمط التوزيع</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المكاني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للنقاط</w:t>
      </w:r>
      <w:r>
        <w:rPr>
          <w:rFonts w:ascii="Simplified Arabic" w:hAnsi="Simplified Arabic" w:cs="Simplified Arabic" w:hint="cs"/>
          <w:sz w:val="24"/>
          <w:szCs w:val="24"/>
          <w:rtl/>
        </w:rPr>
        <w:t xml:space="preserve"> (عشوائي، منتظم، متمركز)، كما هو مبين في الشكل (</w:t>
      </w:r>
      <w:r w:rsidR="00171E1E">
        <w:rPr>
          <w:rFonts w:ascii="Simplified Arabic" w:hAnsi="Simplified Arabic" w:cs="Simplified Arabic" w:hint="cs"/>
          <w:sz w:val="24"/>
          <w:szCs w:val="24"/>
          <w:rtl/>
        </w:rPr>
        <w:t>3-14</w:t>
      </w:r>
      <w:r>
        <w:rPr>
          <w:rFonts w:ascii="Simplified Arabic" w:hAnsi="Simplified Arabic" w:cs="Simplified Arabic" w:hint="cs"/>
          <w:sz w:val="24"/>
          <w:szCs w:val="24"/>
          <w:rtl/>
        </w:rPr>
        <w:t xml:space="preserve">). </w:t>
      </w:r>
      <w:r w:rsidR="00030261">
        <w:rPr>
          <w:rFonts w:ascii="Simplified Arabic" w:hAnsi="Simplified Arabic" w:cs="Simplified Arabic" w:hint="cs"/>
          <w:sz w:val="24"/>
          <w:szCs w:val="24"/>
          <w:rtl/>
        </w:rPr>
        <w:t xml:space="preserve">يتم </w:t>
      </w:r>
      <w:r w:rsidRPr="00864A9A">
        <w:rPr>
          <w:rFonts w:ascii="Simplified Arabic" w:hAnsi="Simplified Arabic" w:cs="Simplified Arabic"/>
          <w:sz w:val="24"/>
          <w:szCs w:val="24"/>
          <w:rtl/>
        </w:rPr>
        <w:t>ذلك</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من</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خلال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مقارنة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التوزيع</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الفعلي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للظاهر</w:t>
      </w:r>
      <w:r>
        <w:rPr>
          <w:rFonts w:ascii="Simplified Arabic" w:hAnsi="Simplified Arabic" w:cs="Simplified Arabic" w:hint="cs"/>
          <w:sz w:val="24"/>
          <w:szCs w:val="24"/>
          <w:rtl/>
        </w:rPr>
        <w:t>ا</w:t>
      </w:r>
      <w:r w:rsidRPr="00864A9A">
        <w:rPr>
          <w:rFonts w:ascii="Simplified Arabic" w:hAnsi="Simplified Arabic" w:cs="Simplified Arabic"/>
          <w:sz w:val="24"/>
          <w:szCs w:val="24"/>
          <w:rtl/>
        </w:rPr>
        <w:t>ت</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مع</w:t>
      </w:r>
      <w:r>
        <w:rPr>
          <w:rFonts w:ascii="Simplified Arabic" w:hAnsi="Simplified Arabic" w:cs="Simplified Arabic" w:hint="cs"/>
          <w:sz w:val="24"/>
          <w:szCs w:val="24"/>
          <w:rtl/>
        </w:rPr>
        <w:t xml:space="preserve"> </w:t>
      </w:r>
      <w:r w:rsidR="00030261">
        <w:rPr>
          <w:rFonts w:ascii="Simplified Arabic" w:hAnsi="Simplified Arabic" w:cs="Simplified Arabic" w:hint="cs"/>
          <w:sz w:val="24"/>
          <w:szCs w:val="24"/>
          <w:rtl/>
        </w:rPr>
        <w:t>ال</w:t>
      </w:r>
      <w:r w:rsidRPr="00864A9A">
        <w:rPr>
          <w:rFonts w:ascii="Simplified Arabic" w:hAnsi="Simplified Arabic" w:cs="Simplified Arabic"/>
          <w:sz w:val="24"/>
          <w:szCs w:val="24"/>
          <w:rtl/>
        </w:rPr>
        <w:t>توزيع</w:t>
      </w:r>
      <w:r>
        <w:rPr>
          <w:rFonts w:ascii="Simplified Arabic" w:hAnsi="Simplified Arabic" w:cs="Simplified Arabic" w:hint="cs"/>
          <w:sz w:val="24"/>
          <w:szCs w:val="24"/>
          <w:rtl/>
        </w:rPr>
        <w:t xml:space="preserve"> </w:t>
      </w:r>
      <w:r w:rsidR="00030261">
        <w:rPr>
          <w:rFonts w:ascii="Simplified Arabic" w:hAnsi="Simplified Arabic" w:cs="Simplified Arabic" w:hint="cs"/>
          <w:sz w:val="24"/>
          <w:szCs w:val="24"/>
          <w:rtl/>
        </w:rPr>
        <w:t>ال</w:t>
      </w:r>
      <w:r w:rsidRPr="00864A9A">
        <w:rPr>
          <w:rFonts w:ascii="Simplified Arabic" w:hAnsi="Simplified Arabic" w:cs="Simplified Arabic"/>
          <w:sz w:val="24"/>
          <w:szCs w:val="24"/>
          <w:rtl/>
        </w:rPr>
        <w:t>نظري</w:t>
      </w:r>
      <w:r>
        <w:rPr>
          <w:rFonts w:ascii="Simplified Arabic" w:hAnsi="Simplified Arabic" w:cs="Simplified Arabic" w:hint="cs"/>
          <w:sz w:val="24"/>
          <w:szCs w:val="24"/>
          <w:rtl/>
        </w:rPr>
        <w:t xml:space="preserve">. </w:t>
      </w:r>
    </w:p>
    <w:p w:rsidR="000B42BD" w:rsidRDefault="000B42BD" w:rsidP="000B42BD">
      <w:pPr>
        <w:autoSpaceDE w:val="0"/>
        <w:autoSpaceDN w:val="0"/>
        <w:bidi/>
        <w:adjustRightInd w:val="0"/>
        <w:spacing w:after="0"/>
        <w:ind w:firstLine="282"/>
        <w:jc w:val="both"/>
        <w:rPr>
          <w:rFonts w:ascii="Simplified Arabic" w:hAnsi="Simplified Arabic" w:cs="Simplified Arabic"/>
          <w:sz w:val="24"/>
          <w:szCs w:val="24"/>
          <w:rtl/>
        </w:rPr>
      </w:pPr>
      <w:r w:rsidRPr="00864A9A">
        <w:rPr>
          <w:rFonts w:ascii="Simplified Arabic" w:hAnsi="Simplified Arabic" w:cs="Simplified Arabic"/>
          <w:sz w:val="24"/>
          <w:szCs w:val="24"/>
          <w:rtl/>
        </w:rPr>
        <w:lastRenderedPageBreak/>
        <w:t>للكشف</w:t>
      </w:r>
      <w:r>
        <w:rPr>
          <w:rFonts w:ascii="Simplified Arabic" w:hAnsi="Simplified Arabic" w:cs="Simplified Arabic" w:hint="cs"/>
          <w:sz w:val="24"/>
          <w:szCs w:val="24"/>
          <w:rtl/>
        </w:rPr>
        <w:t xml:space="preserve"> مثلا </w:t>
      </w:r>
      <w:r w:rsidRPr="00864A9A">
        <w:rPr>
          <w:rFonts w:ascii="Simplified Arabic" w:hAnsi="Simplified Arabic" w:cs="Simplified Arabic"/>
          <w:sz w:val="24"/>
          <w:szCs w:val="24"/>
          <w:rtl/>
        </w:rPr>
        <w:t>عن</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نمط</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توزيع</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مواقع</w:t>
      </w:r>
      <w:r>
        <w:rPr>
          <w:rFonts w:ascii="Simplified Arabic" w:hAnsi="Simplified Arabic" w:cs="Simplified Arabic" w:hint="cs"/>
          <w:sz w:val="24"/>
          <w:szCs w:val="24"/>
          <w:rtl/>
        </w:rPr>
        <w:t xml:space="preserve"> المدارس الابتدائية</w:t>
      </w:r>
      <w:r w:rsidR="0001342B">
        <w:rPr>
          <w:rFonts w:ascii="Simplified Arabic" w:hAnsi="Simplified Arabic" w:cs="Simplified Arabic" w:hint="cs"/>
          <w:sz w:val="24"/>
          <w:szCs w:val="24"/>
          <w:rtl/>
        </w:rPr>
        <w:t xml:space="preserve"> (الايواء المؤقت)</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فإنَه</w:t>
      </w:r>
      <w:r>
        <w:rPr>
          <w:rFonts w:ascii="Simplified Arabic" w:hAnsi="Simplified Arabic" w:cs="Simplified Arabic" w:hint="cs"/>
          <w:sz w:val="24"/>
          <w:szCs w:val="24"/>
          <w:rtl/>
        </w:rPr>
        <w:t xml:space="preserve"> ي</w:t>
      </w:r>
      <w:r w:rsidRPr="00864A9A">
        <w:rPr>
          <w:rFonts w:ascii="Simplified Arabic" w:hAnsi="Simplified Arabic" w:cs="Simplified Arabic"/>
          <w:sz w:val="24"/>
          <w:szCs w:val="24"/>
          <w:rtl/>
        </w:rPr>
        <w:t>تم</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الاعتماد</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طريقة الجار</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الأقرب</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بصورة</w:t>
      </w:r>
      <w:r>
        <w:rPr>
          <w:rFonts w:ascii="Simplified Arabic" w:hAnsi="Simplified Arabic" w:cs="Simplified Arabic" w:hint="cs"/>
          <w:sz w:val="24"/>
          <w:szCs w:val="24"/>
          <w:rtl/>
        </w:rPr>
        <w:t xml:space="preserve"> آ</w:t>
      </w:r>
      <w:r w:rsidRPr="00864A9A">
        <w:rPr>
          <w:rFonts w:ascii="Simplified Arabic" w:hAnsi="Simplified Arabic" w:cs="Simplified Arabic"/>
          <w:sz w:val="24"/>
          <w:szCs w:val="24"/>
          <w:rtl/>
        </w:rPr>
        <w:t>لية</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برنامج</w:t>
      </w:r>
      <w:r>
        <w:rPr>
          <w:rFonts w:ascii="Simplified Arabic" w:hAnsi="Simplified Arabic" w:cs="Simplified Arabic" w:hint="cs"/>
          <w:sz w:val="24"/>
          <w:szCs w:val="24"/>
          <w:rtl/>
        </w:rPr>
        <w:t xml:space="preserve"> </w:t>
      </w:r>
      <w:r w:rsidRPr="00446EB0">
        <w:rPr>
          <w:rFonts w:asciiTheme="majorBidi" w:hAnsiTheme="majorBidi" w:cstheme="majorBidi"/>
          <w:sz w:val="24"/>
          <w:szCs w:val="24"/>
        </w:rPr>
        <w:t>(Arc GIS10.3)</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التي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تقع</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ضمن</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أدوات</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التحليل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 xml:space="preserve">الإحصائي </w:t>
      </w:r>
      <w:r w:rsidRPr="00446EB0">
        <w:rPr>
          <w:rFonts w:asciiTheme="majorBidi" w:hAnsiTheme="majorBidi" w:cstheme="majorBidi"/>
          <w:sz w:val="24"/>
          <w:szCs w:val="24"/>
          <w:rtl/>
        </w:rPr>
        <w:t>(</w:t>
      </w:r>
      <w:r w:rsidRPr="00446EB0">
        <w:rPr>
          <w:rFonts w:asciiTheme="majorBidi" w:hAnsiTheme="majorBidi" w:cstheme="majorBidi"/>
          <w:sz w:val="24"/>
          <w:szCs w:val="24"/>
        </w:rPr>
        <w:t>(Spatial Statistics Tools</w:t>
      </w:r>
      <w:r>
        <w:rPr>
          <w:rFonts w:ascii="Simplified Arabic" w:hAnsi="Simplified Arabic" w:cs="Simplified Arabic" w:hint="cs"/>
          <w:sz w:val="24"/>
          <w:szCs w:val="24"/>
          <w:rtl/>
        </w:rPr>
        <w:t xml:space="preserve">. </w:t>
      </w:r>
      <w:r w:rsidR="00030261">
        <w:rPr>
          <w:rFonts w:ascii="Simplified Arabic" w:hAnsi="Simplified Arabic" w:cs="Simplified Arabic" w:hint="cs"/>
          <w:sz w:val="24"/>
          <w:szCs w:val="24"/>
          <w:rtl/>
        </w:rPr>
        <w:t>للإشارة</w:t>
      </w:r>
      <w:r>
        <w:rPr>
          <w:rFonts w:ascii="Simplified Arabic" w:hAnsi="Simplified Arabic" w:cs="Simplified Arabic" w:hint="cs"/>
          <w:sz w:val="24"/>
          <w:szCs w:val="24"/>
          <w:rtl/>
        </w:rPr>
        <w:t xml:space="preserve"> فان نتيجة اسلوب الجار الاقرب تنحصر بين (0-2.15) </w:t>
      </w:r>
    </w:p>
    <w:p w:rsidR="000B42BD" w:rsidRDefault="000B42BD" w:rsidP="00063AB9">
      <w:pPr>
        <w:pStyle w:val="fegure"/>
        <w:spacing w:before="240"/>
        <w:rPr>
          <w:szCs w:val="24"/>
          <w:rtl/>
        </w:rPr>
      </w:pPr>
      <w:bookmarkStart w:id="457" w:name="_Toc157608317"/>
      <w:bookmarkStart w:id="458" w:name="_Toc171803550"/>
      <w:r w:rsidRPr="00264FC1">
        <w:rPr>
          <w:color w:val="212121"/>
          <w:szCs w:val="24"/>
          <w:rtl/>
        </w:rPr>
        <w:t>ا</w:t>
      </w:r>
      <w:r w:rsidRPr="00264FC1">
        <w:rPr>
          <w:szCs w:val="24"/>
          <w:rtl/>
        </w:rPr>
        <w:t xml:space="preserve">لشكل </w:t>
      </w:r>
      <w:r w:rsidRPr="00264FC1">
        <w:rPr>
          <w:rFonts w:hint="cs"/>
          <w:szCs w:val="24"/>
          <w:rtl/>
        </w:rPr>
        <w:t>(</w:t>
      </w:r>
      <w:r w:rsidR="00171E1E" w:rsidRPr="00264FC1">
        <w:rPr>
          <w:rFonts w:hint="cs"/>
          <w:color w:val="212121"/>
          <w:szCs w:val="24"/>
          <w:rtl/>
        </w:rPr>
        <w:t>3-14</w:t>
      </w:r>
      <w:r w:rsidRPr="00264FC1">
        <w:rPr>
          <w:rFonts w:hint="cs"/>
          <w:color w:val="212121"/>
          <w:szCs w:val="24"/>
          <w:rtl/>
        </w:rPr>
        <w:t>)</w:t>
      </w:r>
      <w:r w:rsidRPr="00264FC1">
        <w:rPr>
          <w:color w:val="212121"/>
          <w:szCs w:val="24"/>
          <w:rtl/>
        </w:rPr>
        <w:t xml:space="preserve">: </w:t>
      </w:r>
      <w:r w:rsidRPr="00264FC1">
        <w:rPr>
          <w:rFonts w:hint="cs"/>
          <w:szCs w:val="24"/>
          <w:rtl/>
        </w:rPr>
        <w:t xml:space="preserve">شكل ناتج عن استخدام اداة </w:t>
      </w:r>
      <w:r w:rsidRPr="00264FC1">
        <w:rPr>
          <w:szCs w:val="24"/>
          <w:rtl/>
        </w:rPr>
        <w:t>تح</w:t>
      </w:r>
      <w:r w:rsidRPr="00264FC1">
        <w:rPr>
          <w:rFonts w:hint="cs"/>
          <w:szCs w:val="24"/>
          <w:rtl/>
        </w:rPr>
        <w:t>ل</w:t>
      </w:r>
      <w:r w:rsidRPr="00264FC1">
        <w:rPr>
          <w:szCs w:val="24"/>
          <w:rtl/>
        </w:rPr>
        <w:t>يل</w:t>
      </w:r>
      <w:r w:rsidRPr="00264FC1">
        <w:rPr>
          <w:szCs w:val="24"/>
        </w:rPr>
        <w:t xml:space="preserve"> </w:t>
      </w:r>
      <w:r w:rsidRPr="00264FC1">
        <w:rPr>
          <w:szCs w:val="24"/>
          <w:rtl/>
        </w:rPr>
        <w:t>الجار</w:t>
      </w:r>
      <w:r w:rsidRPr="00264FC1">
        <w:rPr>
          <w:szCs w:val="24"/>
        </w:rPr>
        <w:t xml:space="preserve"> </w:t>
      </w:r>
      <w:r w:rsidRPr="00264FC1">
        <w:rPr>
          <w:szCs w:val="24"/>
          <w:rtl/>
        </w:rPr>
        <w:t>الأقرب</w:t>
      </w:r>
      <w:bookmarkEnd w:id="457"/>
      <w:bookmarkEnd w:id="458"/>
    </w:p>
    <w:p w:rsidR="005135C8" w:rsidRPr="005135C8" w:rsidRDefault="005135C8" w:rsidP="005135C8">
      <w:pPr>
        <w:pStyle w:val="fegure"/>
        <w:rPr>
          <w:sz w:val="8"/>
          <w:szCs w:val="24"/>
          <w:rtl/>
          <w:lang w:val="en-US"/>
        </w:rPr>
      </w:pPr>
      <w:bookmarkStart w:id="459" w:name="_Toc171803551"/>
      <w:r>
        <w:rPr>
          <w:rFonts w:hint="cs"/>
          <w:sz w:val="8"/>
          <w:szCs w:val="24"/>
          <w:rtl/>
          <w:lang w:val="en-US"/>
        </w:rPr>
        <w:t>المصدر: (الباحث، 2022)</w:t>
      </w:r>
      <w:bookmarkEnd w:id="459"/>
    </w:p>
    <w:p w:rsidR="000B42BD" w:rsidRDefault="000B42BD" w:rsidP="000B42BD">
      <w:pPr>
        <w:autoSpaceDE w:val="0"/>
        <w:autoSpaceDN w:val="0"/>
        <w:bidi/>
        <w:adjustRightInd w:val="0"/>
        <w:spacing w:after="0"/>
        <w:jc w:val="center"/>
        <w:rPr>
          <w:rFonts w:ascii="Simplified Arabic" w:hAnsi="Simplified Arabic" w:cs="Simplified Arabic"/>
          <w:color w:val="000000"/>
          <w:sz w:val="24"/>
          <w:szCs w:val="24"/>
        </w:rPr>
      </w:pPr>
      <w:r>
        <w:rPr>
          <w:rFonts w:ascii="Simplified Arabic" w:hAnsi="Simplified Arabic" w:cs="Simplified Arabic"/>
          <w:noProof/>
          <w:color w:val="000000"/>
          <w:sz w:val="24"/>
          <w:szCs w:val="24"/>
          <w:rtl/>
          <w:lang w:eastAsia="fr-FR"/>
        </w:rPr>
        <w:drawing>
          <wp:inline distT="0" distB="0" distL="0" distR="0" wp14:anchorId="40052518" wp14:editId="206CCF08">
            <wp:extent cx="2993675" cy="4734187"/>
            <wp:effectExtent l="19050" t="19050" r="16510" b="9525"/>
            <wp:docPr id="182" name="Imag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8" cstate="print">
                      <a:extLst>
                        <a:ext uri="{28A0092B-C50C-407E-A947-70E740481C1C}">
                          <a14:useLocalDpi xmlns:a14="http://schemas.microsoft.com/office/drawing/2010/main" val="0"/>
                        </a:ext>
                      </a:extLst>
                    </a:blip>
                    <a:stretch>
                      <a:fillRect/>
                    </a:stretch>
                  </pic:blipFill>
                  <pic:spPr bwMode="auto">
                    <a:xfrm>
                      <a:off x="0" y="0"/>
                      <a:ext cx="2989827" cy="4728101"/>
                    </a:xfrm>
                    <a:prstGeom prst="rect">
                      <a:avLst/>
                    </a:prstGeom>
                    <a:noFill/>
                    <a:ln w="3175">
                      <a:solidFill>
                        <a:schemeClr val="tx1"/>
                      </a:solidFill>
                    </a:ln>
                  </pic:spPr>
                </pic:pic>
              </a:graphicData>
            </a:graphic>
          </wp:inline>
        </w:drawing>
      </w:r>
    </w:p>
    <w:p w:rsidR="000B42BD" w:rsidRPr="008845EF" w:rsidRDefault="000B42BD" w:rsidP="001D0548">
      <w:pPr>
        <w:pStyle w:val="Paragraphedeliste"/>
        <w:numPr>
          <w:ilvl w:val="1"/>
          <w:numId w:val="148"/>
        </w:numPr>
        <w:tabs>
          <w:tab w:val="right" w:pos="1134"/>
        </w:tabs>
        <w:autoSpaceDE w:val="0"/>
        <w:autoSpaceDN w:val="0"/>
        <w:bidi/>
        <w:adjustRightInd w:val="0"/>
        <w:spacing w:before="240" w:after="0"/>
        <w:ind w:left="0" w:firstLine="992"/>
        <w:outlineLvl w:val="3"/>
        <w:rPr>
          <w:rFonts w:ascii="Simplified Arabic" w:hAnsi="Simplified Arabic" w:cs="Simplified Arabic"/>
          <w:sz w:val="28"/>
          <w:szCs w:val="28"/>
          <w:rtl/>
        </w:rPr>
      </w:pPr>
      <w:r w:rsidRPr="008845EF">
        <w:rPr>
          <w:rFonts w:ascii="Simplified Arabic" w:hAnsi="Simplified Arabic" w:cs="Simplified Arabic"/>
          <w:b/>
          <w:bCs/>
          <w:sz w:val="24"/>
          <w:szCs w:val="24"/>
          <w:rtl/>
          <w:lang w:bidi="ar-DZ"/>
        </w:rPr>
        <w:t>نطاق</w:t>
      </w:r>
      <w:r w:rsidRPr="008845EF">
        <w:rPr>
          <w:rFonts w:ascii="Simplified Arabic" w:hAnsi="Simplified Arabic" w:cs="Simplified Arabic"/>
          <w:b/>
          <w:bCs/>
          <w:sz w:val="24"/>
          <w:szCs w:val="24"/>
          <w:lang w:bidi="ar-DZ"/>
        </w:rPr>
        <w:t xml:space="preserve"> </w:t>
      </w:r>
      <w:r w:rsidRPr="008845EF">
        <w:rPr>
          <w:rFonts w:ascii="Simplified Arabic" w:hAnsi="Simplified Arabic" w:cs="Simplified Arabic"/>
          <w:b/>
          <w:bCs/>
          <w:sz w:val="24"/>
          <w:szCs w:val="24"/>
          <w:rtl/>
          <w:lang w:bidi="ar-DZ"/>
        </w:rPr>
        <w:t>الخدمة</w:t>
      </w:r>
      <w:r w:rsidRPr="008845EF">
        <w:rPr>
          <w:rFonts w:ascii="Simplified Arabic" w:hAnsi="Simplified Arabic" w:cs="Simplified Arabic"/>
          <w:sz w:val="24"/>
          <w:szCs w:val="24"/>
          <w:lang w:bidi="ar-DZ"/>
        </w:rPr>
        <w:t xml:space="preserve"> </w:t>
      </w:r>
      <w:r w:rsidRPr="008845EF">
        <w:rPr>
          <w:rFonts w:asciiTheme="majorBidi" w:hAnsiTheme="majorBidi" w:cstheme="majorBidi" w:hint="cs"/>
          <w:b/>
          <w:bCs/>
          <w:sz w:val="20"/>
          <w:szCs w:val="20"/>
          <w:rtl/>
          <w:lang w:val="en-US" w:bidi="ar-DZ"/>
        </w:rPr>
        <w:t>(</w:t>
      </w:r>
      <w:r w:rsidRPr="008845EF">
        <w:rPr>
          <w:rFonts w:asciiTheme="majorBidi" w:hAnsiTheme="majorBidi" w:cstheme="majorBidi"/>
          <w:b/>
          <w:bCs/>
          <w:sz w:val="20"/>
          <w:szCs w:val="20"/>
          <w:lang w:val="en-US" w:bidi="ar-DZ"/>
        </w:rPr>
        <w:t>Buffer</w:t>
      </w:r>
      <w:r w:rsidRPr="008845EF">
        <w:rPr>
          <w:rFonts w:asciiTheme="majorBidi" w:hAnsiTheme="majorBidi" w:cstheme="majorBidi" w:hint="cs"/>
          <w:b/>
          <w:bCs/>
          <w:sz w:val="20"/>
          <w:szCs w:val="20"/>
          <w:rtl/>
          <w:lang w:val="en-US" w:bidi="ar-DZ"/>
        </w:rPr>
        <w:t>)</w:t>
      </w:r>
    </w:p>
    <w:p w:rsidR="000B42BD" w:rsidRDefault="000B42BD" w:rsidP="00A35008">
      <w:pPr>
        <w:autoSpaceDE w:val="0"/>
        <w:autoSpaceDN w:val="0"/>
        <w:bidi/>
        <w:adjustRightInd w:val="0"/>
        <w:spacing w:after="0"/>
        <w:ind w:firstLine="282"/>
        <w:jc w:val="both"/>
        <w:rPr>
          <w:rFonts w:ascii="Simplified Arabic" w:hAnsi="Simplified Arabic" w:cs="Simplified Arabic"/>
          <w:color w:val="212121"/>
          <w:sz w:val="24"/>
          <w:szCs w:val="24"/>
          <w:rtl/>
        </w:rPr>
      </w:pPr>
      <w:r w:rsidRPr="00C75CAD">
        <w:rPr>
          <w:rFonts w:ascii="Simplified Arabic" w:hAnsi="Simplified Arabic" w:cs="Simplified Arabic" w:hint="cs"/>
          <w:color w:val="212121"/>
          <w:sz w:val="24"/>
          <w:szCs w:val="24"/>
          <w:rtl/>
        </w:rPr>
        <w:t xml:space="preserve">يعد تحليل نطاق الخدمة </w:t>
      </w:r>
      <w:r w:rsidRPr="00C75CAD">
        <w:rPr>
          <w:rFonts w:asciiTheme="majorBidi" w:hAnsiTheme="majorBidi" w:cstheme="majorBidi"/>
          <w:color w:val="212121"/>
          <w:sz w:val="24"/>
          <w:szCs w:val="24"/>
        </w:rPr>
        <w:t>(Service Area)</w:t>
      </w:r>
      <w:r w:rsidRPr="00C75CAD">
        <w:rPr>
          <w:rFonts w:ascii="Simplified Arabic" w:hAnsi="Simplified Arabic" w:cs="Simplified Arabic"/>
          <w:color w:val="212121"/>
          <w:sz w:val="24"/>
          <w:szCs w:val="24"/>
          <w:rtl/>
        </w:rPr>
        <w:t xml:space="preserve"> </w:t>
      </w:r>
      <w:r w:rsidRPr="00C75CAD">
        <w:rPr>
          <w:rFonts w:ascii="Simplified Arabic" w:hAnsi="Simplified Arabic" w:cs="Simplified Arabic" w:hint="cs"/>
          <w:color w:val="212121"/>
          <w:sz w:val="24"/>
          <w:szCs w:val="24"/>
          <w:rtl/>
        </w:rPr>
        <w:t xml:space="preserve">من بين أهم ما توفره نظم المعلومات الجغرافية، لتحديد </w:t>
      </w:r>
      <w:r w:rsidRPr="00C75CAD">
        <w:rPr>
          <w:rFonts w:ascii="Simplified Arabic" w:hAnsi="Simplified Arabic" w:cs="Simplified Arabic"/>
          <w:color w:val="212121"/>
          <w:sz w:val="24"/>
          <w:szCs w:val="24"/>
          <w:rtl/>
        </w:rPr>
        <w:t>منطقة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الحزام</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لكل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خدمة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يدخل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في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تحليل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نطاق</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الخدمة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سهولة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الوصول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بالاعتماد</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على</w:t>
      </w:r>
      <w:r w:rsidRPr="00C75CAD">
        <w:rPr>
          <w:rFonts w:ascii="Simplified Arabic" w:hAnsi="Simplified Arabic" w:cs="Simplified Arabic" w:hint="cs"/>
          <w:color w:val="212121"/>
          <w:sz w:val="24"/>
          <w:szCs w:val="24"/>
          <w:rtl/>
        </w:rPr>
        <w:t xml:space="preserve"> ط</w:t>
      </w:r>
      <w:r w:rsidRPr="00C75CAD">
        <w:rPr>
          <w:rFonts w:ascii="Simplified Arabic" w:hAnsi="Simplified Arabic" w:cs="Simplified Arabic"/>
          <w:color w:val="212121"/>
          <w:sz w:val="24"/>
          <w:szCs w:val="24"/>
          <w:rtl/>
        </w:rPr>
        <w:t>ول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المسا</w:t>
      </w:r>
      <w:r w:rsidRPr="00C75CAD">
        <w:rPr>
          <w:rFonts w:ascii="Simplified Arabic" w:hAnsi="Simplified Arabic" w:cs="Simplified Arabic" w:hint="cs"/>
          <w:color w:val="212121"/>
          <w:sz w:val="24"/>
          <w:szCs w:val="24"/>
          <w:rtl/>
        </w:rPr>
        <w:t>ر</w:t>
      </w:r>
      <w:r w:rsidRPr="00C75CAD">
        <w:rPr>
          <w:rFonts w:asciiTheme="majorBidi" w:hAnsiTheme="majorBidi" w:cstheme="majorBidi"/>
          <w:color w:val="212121"/>
          <w:sz w:val="24"/>
          <w:szCs w:val="24"/>
        </w:rPr>
        <w:t>(</w:t>
      </w:r>
      <w:r w:rsidRPr="00C75CAD">
        <w:rPr>
          <w:rFonts w:asciiTheme="majorBidi" w:hAnsiTheme="majorBidi" w:cstheme="majorBidi"/>
          <w:color w:val="212121"/>
          <w:sz w:val="24"/>
          <w:szCs w:val="24"/>
          <w:lang w:val="en-US"/>
        </w:rPr>
        <w:t>Path Length</w:t>
      </w:r>
      <w:r w:rsidRPr="00C75CAD">
        <w:rPr>
          <w:rFonts w:asciiTheme="majorBidi" w:hAnsiTheme="majorBidi" w:cstheme="majorBidi"/>
          <w:color w:val="212121"/>
          <w:sz w:val="24"/>
          <w:szCs w:val="24"/>
        </w:rPr>
        <w:t>)</w:t>
      </w:r>
      <w:r w:rsidRPr="00C75CAD">
        <w:rPr>
          <w:rFonts w:ascii="Simplified Arabic" w:hAnsi="Simplified Arabic" w:cs="Simplified Arabic" w:hint="cs"/>
          <w:color w:val="212121"/>
          <w:sz w:val="24"/>
          <w:szCs w:val="24"/>
          <w:rtl/>
        </w:rPr>
        <w:t xml:space="preserve"> </w:t>
      </w:r>
      <w:r w:rsidRPr="00C75CAD">
        <w:rPr>
          <w:rFonts w:asciiTheme="majorBidi" w:hAnsiTheme="majorBidi" w:cstheme="majorBidi" w:hint="cs"/>
          <w:color w:val="212121"/>
          <w:sz w:val="24"/>
          <w:szCs w:val="24"/>
          <w:rtl/>
        </w:rPr>
        <w:t>ا</w:t>
      </w:r>
      <w:r w:rsidRPr="00C75CAD">
        <w:rPr>
          <w:rFonts w:ascii="Simplified Arabic" w:hAnsi="Simplified Arabic" w:cs="Simplified Arabic" w:hint="cs"/>
          <w:color w:val="212121"/>
          <w:sz w:val="24"/>
          <w:szCs w:val="24"/>
          <w:rtl/>
        </w:rPr>
        <w:t>و</w:t>
      </w:r>
      <w:r w:rsidRPr="00C75CAD">
        <w:rPr>
          <w:rFonts w:ascii="Simplified Arabic" w:hAnsi="Simplified Arabic" w:cs="Simplified Arabic"/>
          <w:color w:val="212121"/>
          <w:sz w:val="24"/>
          <w:szCs w:val="24"/>
          <w:rtl/>
        </w:rPr>
        <w:t xml:space="preserve"> الزمن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المقطوع</w:t>
      </w:r>
      <w:r w:rsidRPr="00C75CAD">
        <w:rPr>
          <w:rFonts w:ascii="Simplified Arabic" w:hAnsi="Simplified Arabic" w:cs="Simplified Arabic" w:hint="cs"/>
          <w:color w:val="212121"/>
          <w:sz w:val="24"/>
          <w:szCs w:val="24"/>
          <w:rtl/>
        </w:rPr>
        <w:t xml:space="preserve"> </w:t>
      </w:r>
      <w:r w:rsidRPr="00C75CAD">
        <w:rPr>
          <w:rFonts w:asciiTheme="majorBidi" w:hAnsiTheme="majorBidi" w:cstheme="majorBidi"/>
          <w:color w:val="212121"/>
          <w:sz w:val="24"/>
          <w:szCs w:val="24"/>
        </w:rPr>
        <w:t>(Time)</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يعتمد</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هذا</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الأسلوب</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في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التحليل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المكاني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لدراسة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توزيع</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الخدمات</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ونطاق</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تأثير</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كل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خدمة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على</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المحيط</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التابع</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لها،</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وتعرف</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منطقة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التأثير</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بأنها</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المنطقة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المستفيدة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الخدمة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في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زمن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معين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أو</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مسافة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محددة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كما</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يطلق</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مصطلح</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منطقة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خدمة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الشبكة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على</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المنطقة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التي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تشمل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جميع</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الشوارع</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التي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يمكن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الوصول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إليه</w:t>
      </w:r>
      <w:r w:rsidRPr="00C75CAD">
        <w:rPr>
          <w:rFonts w:ascii="Simplified Arabic" w:hAnsi="Simplified Arabic" w:cs="Simplified Arabic" w:hint="cs"/>
          <w:color w:val="212121"/>
          <w:sz w:val="24"/>
          <w:szCs w:val="24"/>
          <w:rtl/>
        </w:rPr>
        <w:t xml:space="preserve">ا، </w:t>
      </w:r>
      <w:r w:rsidRPr="00C75CAD">
        <w:rPr>
          <w:rFonts w:ascii="Simplified Arabic" w:hAnsi="Simplified Arabic" w:cs="Simplified Arabic"/>
          <w:color w:val="212121"/>
          <w:sz w:val="24"/>
          <w:szCs w:val="24"/>
          <w:rtl/>
        </w:rPr>
        <w:t>وهذه</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الشوارع</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تقع</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ضمن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عامل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محدد</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قد</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يكون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الزمن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أو</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المسافة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w:t>
      </w:r>
      <w:r w:rsidRPr="00C75CAD">
        <w:rPr>
          <w:rFonts w:ascii="Simplified Arabic" w:hAnsi="Simplified Arabic" w:cs="Simplified Arabic" w:hint="cs"/>
          <w:color w:val="212121"/>
          <w:sz w:val="24"/>
          <w:szCs w:val="24"/>
          <w:rtl/>
        </w:rPr>
        <w:t>ُ</w:t>
      </w:r>
      <w:r w:rsidRPr="00C75CAD">
        <w:rPr>
          <w:rFonts w:ascii="Simplified Arabic" w:hAnsi="Simplified Arabic" w:cs="Simplified Arabic"/>
          <w:color w:val="212121"/>
          <w:sz w:val="24"/>
          <w:szCs w:val="24"/>
          <w:rtl/>
        </w:rPr>
        <w:t>مَكِّن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محلل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الشبكات</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الذي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يوفره</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برنامج</w:t>
      </w:r>
      <w:r w:rsidRPr="00C75CAD">
        <w:rPr>
          <w:rFonts w:ascii="Simplified Arabic" w:hAnsi="Simplified Arabic" w:cs="Simplified Arabic" w:hint="cs"/>
          <w:color w:val="212121"/>
          <w:sz w:val="24"/>
          <w:szCs w:val="24"/>
          <w:rtl/>
        </w:rPr>
        <w:t xml:space="preserve"> </w:t>
      </w:r>
      <w:r w:rsidRPr="00C75CAD">
        <w:rPr>
          <w:rFonts w:asciiTheme="majorBidi" w:hAnsiTheme="majorBidi" w:cstheme="majorBidi"/>
          <w:color w:val="212121"/>
          <w:sz w:val="24"/>
          <w:szCs w:val="24"/>
          <w:rtl/>
        </w:rPr>
        <w:t>(</w:t>
      </w:r>
      <w:r w:rsidRPr="00C75CAD">
        <w:rPr>
          <w:rFonts w:asciiTheme="majorBidi" w:hAnsiTheme="majorBidi" w:cstheme="majorBidi"/>
          <w:color w:val="212121"/>
          <w:sz w:val="24"/>
          <w:szCs w:val="24"/>
        </w:rPr>
        <w:t>ArcGIS</w:t>
      </w:r>
      <w:r w:rsidRPr="00C75CAD">
        <w:rPr>
          <w:rFonts w:asciiTheme="majorBidi" w:hAnsiTheme="majorBidi" w:cstheme="majorBidi"/>
          <w:color w:val="212121"/>
          <w:sz w:val="24"/>
          <w:szCs w:val="24"/>
          <w:rtl/>
        </w:rPr>
        <w:t>)</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قياس</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إمكانية</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الوصول</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من</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حيث</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الوقت</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الذي</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يستغرقه</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السفر</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وب</w:t>
      </w:r>
      <w:r w:rsidRPr="00C75CAD">
        <w:rPr>
          <w:rFonts w:ascii="Simplified Arabic" w:hAnsi="Simplified Arabic" w:cs="Simplified Arabic" w:hint="cs"/>
          <w:color w:val="212121"/>
          <w:sz w:val="24"/>
          <w:szCs w:val="24"/>
          <w:rtl/>
        </w:rPr>
        <w:t>ُ</w:t>
      </w:r>
      <w:r w:rsidRPr="00C75CAD">
        <w:rPr>
          <w:rFonts w:ascii="Simplified Arabic" w:hAnsi="Simplified Arabic" w:cs="Simplified Arabic"/>
          <w:color w:val="212121"/>
          <w:sz w:val="24"/>
          <w:szCs w:val="24"/>
          <w:rtl/>
        </w:rPr>
        <w:t>عد</w:t>
      </w:r>
      <w:r w:rsidRPr="00C75CAD">
        <w:rPr>
          <w:rFonts w:ascii="Simplified Arabic" w:hAnsi="Simplified Arabic" w:cs="Simplified Arabic" w:hint="cs"/>
          <w:color w:val="212121"/>
          <w:sz w:val="24"/>
          <w:szCs w:val="24"/>
          <w:rtl/>
        </w:rPr>
        <w:t xml:space="preserve"> </w:t>
      </w:r>
      <w:r w:rsidRPr="00C75CAD">
        <w:rPr>
          <w:rFonts w:ascii="Simplified Arabic" w:hAnsi="Simplified Arabic" w:cs="Simplified Arabic"/>
          <w:color w:val="212121"/>
          <w:sz w:val="24"/>
          <w:szCs w:val="24"/>
          <w:rtl/>
        </w:rPr>
        <w:t>المسافة</w:t>
      </w:r>
      <w:r w:rsidRPr="00C75CAD">
        <w:rPr>
          <w:rFonts w:ascii="Simplified Arabic" w:hAnsi="Simplified Arabic" w:cs="Simplified Arabic" w:hint="cs"/>
          <w:color w:val="212121"/>
          <w:sz w:val="24"/>
          <w:szCs w:val="24"/>
          <w:rtl/>
        </w:rPr>
        <w:t xml:space="preserve"> (</w:t>
      </w:r>
      <w:r w:rsidR="00A35008" w:rsidRPr="00C75CAD">
        <w:rPr>
          <w:rFonts w:ascii="Simplified Arabic" w:eastAsia="Times New Roman" w:hAnsi="Simplified Arabic" w:cs="Simplified Arabic" w:hint="cs"/>
          <w:color w:val="000000"/>
          <w:sz w:val="24"/>
          <w:szCs w:val="24"/>
          <w:rtl/>
          <w:lang w:eastAsia="fr-FR"/>
        </w:rPr>
        <w:t>طاران عايد محمد</w:t>
      </w:r>
      <w:r w:rsidRPr="00C75CAD">
        <w:rPr>
          <w:rFonts w:ascii="Simplified Arabic" w:hAnsi="Simplified Arabic" w:cs="Simplified Arabic" w:hint="cs"/>
          <w:color w:val="212121"/>
          <w:sz w:val="24"/>
          <w:szCs w:val="24"/>
          <w:rtl/>
        </w:rPr>
        <w:t>، 2019).</w:t>
      </w:r>
    </w:p>
    <w:p w:rsidR="00C97FA4" w:rsidRPr="008845EF" w:rsidRDefault="00C97FA4" w:rsidP="001D0548">
      <w:pPr>
        <w:pStyle w:val="Default"/>
        <w:numPr>
          <w:ilvl w:val="2"/>
          <w:numId w:val="134"/>
        </w:numPr>
        <w:tabs>
          <w:tab w:val="right" w:pos="708"/>
        </w:tabs>
        <w:bidi/>
        <w:spacing w:before="240" w:line="276" w:lineRule="auto"/>
        <w:ind w:left="0" w:firstLine="0"/>
        <w:jc w:val="both"/>
        <w:outlineLvl w:val="1"/>
        <w:rPr>
          <w:rFonts w:ascii="Simplified Arabic" w:hAnsi="Simplified Arabic" w:cs="Simplified Arabic"/>
          <w:b/>
          <w:bCs/>
          <w:rtl/>
        </w:rPr>
      </w:pPr>
      <w:bookmarkStart w:id="460" w:name="_Toc171803552"/>
      <w:r w:rsidRPr="008845EF">
        <w:rPr>
          <w:rFonts w:ascii="Simplified Arabic" w:hAnsi="Simplified Arabic" w:cs="Simplified Arabic"/>
          <w:b/>
          <w:bCs/>
          <w:rtl/>
        </w:rPr>
        <w:lastRenderedPageBreak/>
        <w:t xml:space="preserve">المرحلة </w:t>
      </w:r>
      <w:r w:rsidRPr="008845EF">
        <w:rPr>
          <w:rFonts w:ascii="Simplified Arabic" w:hAnsi="Simplified Arabic" w:cs="Simplified Arabic" w:hint="cs"/>
          <w:b/>
          <w:bCs/>
          <w:rtl/>
        </w:rPr>
        <w:t>الخامسة</w:t>
      </w:r>
      <w:r w:rsidRPr="008845EF">
        <w:rPr>
          <w:rFonts w:ascii="Simplified Arabic" w:hAnsi="Simplified Arabic" w:cs="Simplified Arabic"/>
          <w:b/>
          <w:bCs/>
          <w:rtl/>
        </w:rPr>
        <w:t xml:space="preserve">: </w:t>
      </w:r>
      <w:r w:rsidRPr="008845EF">
        <w:rPr>
          <w:rFonts w:ascii="Simplified Arabic" w:hAnsi="Simplified Arabic" w:cs="Simplified Arabic" w:hint="cs"/>
          <w:b/>
          <w:bCs/>
          <w:rtl/>
        </w:rPr>
        <w:t>التحقيق</w:t>
      </w:r>
      <w:r w:rsidRPr="008845EF">
        <w:rPr>
          <w:rFonts w:ascii="Simplified Arabic" w:hAnsi="Simplified Arabic" w:cs="Simplified Arabic"/>
          <w:b/>
          <w:bCs/>
          <w:rtl/>
        </w:rPr>
        <w:t xml:space="preserve"> </w:t>
      </w:r>
      <w:r w:rsidRPr="008845EF">
        <w:rPr>
          <w:rFonts w:ascii="Simplified Arabic" w:hAnsi="Simplified Arabic" w:cs="Simplified Arabic" w:hint="cs"/>
          <w:b/>
          <w:bCs/>
          <w:rtl/>
        </w:rPr>
        <w:t>في</w:t>
      </w:r>
      <w:r w:rsidRPr="008845EF">
        <w:rPr>
          <w:rFonts w:ascii="Simplified Arabic" w:hAnsi="Simplified Arabic" w:cs="Simplified Arabic"/>
          <w:b/>
          <w:bCs/>
          <w:rtl/>
        </w:rPr>
        <w:t xml:space="preserve"> </w:t>
      </w:r>
      <w:r w:rsidRPr="008845EF">
        <w:rPr>
          <w:rFonts w:ascii="Simplified Arabic" w:hAnsi="Simplified Arabic" w:cs="Simplified Arabic" w:hint="cs"/>
          <w:b/>
          <w:bCs/>
          <w:rtl/>
        </w:rPr>
        <w:t>تصورات</w:t>
      </w:r>
      <w:r w:rsidRPr="008845EF">
        <w:rPr>
          <w:rFonts w:ascii="Simplified Arabic" w:hAnsi="Simplified Arabic" w:cs="Simplified Arabic"/>
          <w:b/>
          <w:bCs/>
          <w:rtl/>
        </w:rPr>
        <w:t xml:space="preserve"> </w:t>
      </w:r>
      <w:r w:rsidRPr="008845EF">
        <w:rPr>
          <w:rFonts w:ascii="Simplified Arabic" w:hAnsi="Simplified Arabic" w:cs="Simplified Arabic" w:hint="cs"/>
          <w:b/>
          <w:bCs/>
          <w:rtl/>
        </w:rPr>
        <w:t>السكان المحليين حول اضطرابات الحصول على الخدمة</w:t>
      </w:r>
      <w:bookmarkEnd w:id="460"/>
      <w:r w:rsidRPr="008845EF">
        <w:rPr>
          <w:rFonts w:ascii="Simplified Arabic" w:hAnsi="Simplified Arabic" w:cs="Simplified Arabic" w:hint="cs"/>
          <w:b/>
          <w:bCs/>
          <w:rtl/>
        </w:rPr>
        <w:t xml:space="preserve"> </w:t>
      </w:r>
    </w:p>
    <w:p w:rsidR="00C97FA4" w:rsidRDefault="00C97FA4" w:rsidP="003D7FDA">
      <w:pPr>
        <w:pStyle w:val="Default"/>
        <w:bidi/>
        <w:spacing w:line="276" w:lineRule="auto"/>
        <w:ind w:firstLine="283"/>
        <w:jc w:val="both"/>
        <w:rPr>
          <w:rFonts w:ascii="Simplified Arabic" w:hAnsi="Simplified Arabic" w:cs="Simplified Arabic"/>
          <w:rtl/>
        </w:rPr>
      </w:pPr>
      <w:r w:rsidRPr="00DC45B9">
        <w:rPr>
          <w:rFonts w:ascii="Simplified Arabic" w:hAnsi="Simplified Arabic" w:cs="Simplified Arabic" w:hint="cs"/>
          <w:rtl/>
        </w:rPr>
        <w:t>المرونة</w:t>
      </w:r>
      <w:r w:rsidRPr="00DC45B9">
        <w:rPr>
          <w:rFonts w:ascii="Simplified Arabic" w:hAnsi="Simplified Arabic" w:cs="Simplified Arabic"/>
          <w:rtl/>
        </w:rPr>
        <w:t xml:space="preserve"> </w:t>
      </w:r>
      <w:r>
        <w:rPr>
          <w:rFonts w:ascii="Simplified Arabic" w:hAnsi="Simplified Arabic" w:cs="Simplified Arabic" w:hint="cs"/>
          <w:rtl/>
        </w:rPr>
        <w:t>الحضرية</w:t>
      </w:r>
      <w:r w:rsidRPr="00DC45B9">
        <w:rPr>
          <w:rFonts w:ascii="Simplified Arabic" w:hAnsi="Simplified Arabic" w:cs="Simplified Arabic" w:hint="cs"/>
          <w:rtl/>
        </w:rPr>
        <w:t>،</w:t>
      </w:r>
      <w:r w:rsidRPr="00DC45B9">
        <w:rPr>
          <w:rFonts w:ascii="Simplified Arabic" w:hAnsi="Simplified Arabic" w:cs="Simplified Arabic"/>
          <w:rtl/>
        </w:rPr>
        <w:t xml:space="preserve"> </w:t>
      </w:r>
      <w:r w:rsidRPr="00DC45B9">
        <w:rPr>
          <w:rFonts w:ascii="Simplified Arabic" w:hAnsi="Simplified Arabic" w:cs="Simplified Arabic" w:hint="cs"/>
          <w:rtl/>
        </w:rPr>
        <w:t>مفهوم</w:t>
      </w:r>
      <w:r w:rsidRPr="00DC45B9">
        <w:rPr>
          <w:rFonts w:ascii="Simplified Arabic" w:hAnsi="Simplified Arabic" w:cs="Simplified Arabic"/>
          <w:rtl/>
        </w:rPr>
        <w:t xml:space="preserve"> </w:t>
      </w:r>
      <w:r w:rsidRPr="00DC45B9">
        <w:rPr>
          <w:rFonts w:ascii="Simplified Arabic" w:hAnsi="Simplified Arabic" w:cs="Simplified Arabic" w:hint="cs"/>
          <w:rtl/>
        </w:rPr>
        <w:t>اجتماعي</w:t>
      </w:r>
      <w:r w:rsidRPr="00DC45B9">
        <w:rPr>
          <w:rFonts w:ascii="Simplified Arabic" w:hAnsi="Simplified Arabic" w:cs="Simplified Arabic"/>
          <w:rtl/>
        </w:rPr>
        <w:t xml:space="preserve"> </w:t>
      </w:r>
      <w:r>
        <w:rPr>
          <w:rFonts w:ascii="Simplified Arabic" w:hAnsi="Simplified Arabic" w:cs="Simplified Arabic" w:hint="cs"/>
          <w:rtl/>
          <w:lang w:bidi="ar-DZ"/>
        </w:rPr>
        <w:t>معقد و</w:t>
      </w:r>
      <w:r w:rsidRPr="00DC45B9">
        <w:rPr>
          <w:rFonts w:ascii="Simplified Arabic" w:hAnsi="Simplified Arabic" w:cs="Simplified Arabic" w:hint="cs"/>
          <w:rtl/>
        </w:rPr>
        <w:t>شائك،</w:t>
      </w:r>
      <w:r w:rsidRPr="00DC45B9">
        <w:rPr>
          <w:rFonts w:ascii="Simplified Arabic" w:hAnsi="Simplified Arabic" w:cs="Simplified Arabic"/>
          <w:rtl/>
        </w:rPr>
        <w:t xml:space="preserve"> </w:t>
      </w:r>
      <w:r>
        <w:rPr>
          <w:rFonts w:ascii="Simplified Arabic" w:hAnsi="Simplified Arabic" w:cs="Simplified Arabic" w:hint="cs"/>
          <w:rtl/>
        </w:rPr>
        <w:t>يستدعي ذلك</w:t>
      </w:r>
      <w:r w:rsidRPr="00DC45B9">
        <w:rPr>
          <w:rFonts w:ascii="Simplified Arabic" w:hAnsi="Simplified Arabic" w:cs="Simplified Arabic"/>
          <w:rtl/>
        </w:rPr>
        <w:t xml:space="preserve"> </w:t>
      </w:r>
      <w:r w:rsidRPr="00DC45B9">
        <w:rPr>
          <w:rFonts w:ascii="Simplified Arabic" w:hAnsi="Simplified Arabic" w:cs="Simplified Arabic" w:hint="cs"/>
          <w:rtl/>
        </w:rPr>
        <w:t>مواجهة</w:t>
      </w:r>
      <w:r w:rsidRPr="00DC45B9">
        <w:rPr>
          <w:rFonts w:ascii="Simplified Arabic" w:hAnsi="Simplified Arabic" w:cs="Simplified Arabic"/>
          <w:rtl/>
        </w:rPr>
        <w:t xml:space="preserve"> </w:t>
      </w:r>
      <w:r w:rsidRPr="00DC45B9">
        <w:rPr>
          <w:rFonts w:ascii="Simplified Arabic" w:hAnsi="Simplified Arabic" w:cs="Simplified Arabic" w:hint="cs"/>
          <w:rtl/>
        </w:rPr>
        <w:t>الآراء</w:t>
      </w:r>
      <w:r w:rsidRPr="00DC45B9">
        <w:rPr>
          <w:rFonts w:ascii="Simplified Arabic" w:hAnsi="Simplified Arabic" w:cs="Simplified Arabic"/>
          <w:rtl/>
        </w:rPr>
        <w:t xml:space="preserve"> </w:t>
      </w:r>
      <w:r w:rsidRPr="00DC45B9">
        <w:rPr>
          <w:rFonts w:ascii="Simplified Arabic" w:hAnsi="Simplified Arabic" w:cs="Simplified Arabic" w:hint="cs"/>
          <w:rtl/>
        </w:rPr>
        <w:t>والمعرفة</w:t>
      </w:r>
      <w:r w:rsidRPr="00DC45B9">
        <w:rPr>
          <w:rFonts w:ascii="Simplified Arabic" w:hAnsi="Simplified Arabic" w:cs="Simplified Arabic"/>
          <w:rtl/>
        </w:rPr>
        <w:t xml:space="preserve"> </w:t>
      </w:r>
      <w:r w:rsidRPr="00DC45B9">
        <w:rPr>
          <w:rFonts w:ascii="Simplified Arabic" w:hAnsi="Simplified Arabic" w:cs="Simplified Arabic" w:hint="cs"/>
          <w:rtl/>
        </w:rPr>
        <w:t>العلمية</w:t>
      </w:r>
      <w:r w:rsidRPr="00DC45B9">
        <w:rPr>
          <w:rFonts w:ascii="Simplified Arabic" w:hAnsi="Simplified Arabic" w:cs="Simplified Arabic"/>
          <w:rtl/>
        </w:rPr>
        <w:t xml:space="preserve"> </w:t>
      </w:r>
      <w:r w:rsidRPr="00DC45B9">
        <w:rPr>
          <w:rFonts w:ascii="Simplified Arabic" w:hAnsi="Simplified Arabic" w:cs="Simplified Arabic" w:hint="cs"/>
          <w:rtl/>
        </w:rPr>
        <w:t>والعملية</w:t>
      </w:r>
      <w:r w:rsidRPr="00DC45B9">
        <w:rPr>
          <w:rFonts w:ascii="Simplified Arabic" w:hAnsi="Simplified Arabic" w:cs="Simplified Arabic"/>
          <w:rtl/>
        </w:rPr>
        <w:t xml:space="preserve"> </w:t>
      </w:r>
      <w:r w:rsidRPr="00DC45B9">
        <w:rPr>
          <w:rFonts w:ascii="Simplified Arabic" w:hAnsi="Simplified Arabic" w:cs="Simplified Arabic" w:hint="cs"/>
          <w:rtl/>
        </w:rPr>
        <w:t>و</w:t>
      </w:r>
      <w:r>
        <w:rPr>
          <w:rFonts w:ascii="Simplified Arabic" w:hAnsi="Simplified Arabic" w:cs="Simplified Arabic" w:hint="cs"/>
          <w:rtl/>
        </w:rPr>
        <w:t xml:space="preserve"> التحقيق في </w:t>
      </w:r>
      <w:r w:rsidRPr="00DC45B9">
        <w:rPr>
          <w:rFonts w:ascii="Simplified Arabic" w:hAnsi="Simplified Arabic" w:cs="Simplified Arabic" w:hint="cs"/>
          <w:rtl/>
        </w:rPr>
        <w:t>تصورات</w:t>
      </w:r>
      <w:r w:rsidRPr="00DC45B9">
        <w:rPr>
          <w:rFonts w:ascii="Simplified Arabic" w:hAnsi="Simplified Arabic" w:cs="Simplified Arabic"/>
          <w:rtl/>
        </w:rPr>
        <w:t xml:space="preserve"> </w:t>
      </w:r>
      <w:r w:rsidRPr="00DC45B9">
        <w:rPr>
          <w:rFonts w:ascii="Simplified Arabic" w:hAnsi="Simplified Arabic" w:cs="Simplified Arabic" w:hint="cs"/>
          <w:rtl/>
        </w:rPr>
        <w:t>وتفسيرات</w:t>
      </w:r>
      <w:r>
        <w:rPr>
          <w:rFonts w:ascii="Simplified Arabic" w:hAnsi="Simplified Arabic" w:cs="Simplified Arabic" w:hint="cs"/>
          <w:rtl/>
        </w:rPr>
        <w:t xml:space="preserve"> السكان المحليين</w:t>
      </w:r>
      <w:r>
        <w:rPr>
          <w:rFonts w:ascii="Simplified Arabic" w:hAnsi="Simplified Arabic" w:cs="Simplified Arabic" w:hint="cs"/>
          <w:color w:val="auto"/>
          <w:rtl/>
        </w:rPr>
        <w:t xml:space="preserve">، وهي </w:t>
      </w:r>
      <w:r w:rsidR="0069562E">
        <w:rPr>
          <w:rFonts w:ascii="Simplified Arabic" w:hAnsi="Simplified Arabic" w:cs="Simplified Arabic" w:hint="cs"/>
          <w:color w:val="auto"/>
          <w:rtl/>
        </w:rPr>
        <w:t>خامس</w:t>
      </w:r>
      <w:r>
        <w:rPr>
          <w:rFonts w:ascii="Simplified Arabic" w:hAnsi="Simplified Arabic" w:cs="Simplified Arabic" w:hint="cs"/>
          <w:color w:val="auto"/>
          <w:rtl/>
        </w:rPr>
        <w:t xml:space="preserve"> مرحلة من المنهجية، كما هو مبين في الشكل (</w:t>
      </w:r>
      <w:r w:rsidR="00171E1E">
        <w:rPr>
          <w:rFonts w:ascii="Simplified Arabic" w:hAnsi="Simplified Arabic" w:cs="Simplified Arabic" w:hint="cs"/>
          <w:color w:val="auto"/>
          <w:rtl/>
        </w:rPr>
        <w:t>3-15</w:t>
      </w:r>
      <w:r>
        <w:rPr>
          <w:rFonts w:ascii="Simplified Arabic" w:hAnsi="Simplified Arabic" w:cs="Simplified Arabic" w:hint="cs"/>
          <w:color w:val="auto"/>
          <w:rtl/>
        </w:rPr>
        <w:t>)</w:t>
      </w:r>
      <w:r>
        <w:rPr>
          <w:rFonts w:ascii="Simplified Arabic" w:hAnsi="Simplified Arabic" w:cs="Simplified Arabic"/>
          <w:rtl/>
        </w:rPr>
        <w:t>.</w:t>
      </w:r>
      <w:r>
        <w:rPr>
          <w:rFonts w:ascii="Simplified Arabic" w:hAnsi="Simplified Arabic" w:cs="Simplified Arabic" w:hint="cs"/>
          <w:rtl/>
        </w:rPr>
        <w:t xml:space="preserve"> </w:t>
      </w:r>
    </w:p>
    <w:p w:rsidR="00C97FA4" w:rsidRDefault="00C97FA4" w:rsidP="00264FC1">
      <w:pPr>
        <w:pStyle w:val="fegure"/>
        <w:rPr>
          <w:szCs w:val="24"/>
          <w:rtl/>
        </w:rPr>
      </w:pPr>
      <w:bookmarkStart w:id="461" w:name="_Toc157608318"/>
      <w:bookmarkStart w:id="462" w:name="_Toc171803553"/>
      <w:r w:rsidRPr="00264FC1">
        <w:rPr>
          <w:rFonts w:hint="cs"/>
          <w:color w:val="auto"/>
          <w:szCs w:val="24"/>
          <w:rtl/>
        </w:rPr>
        <w:t>الش</w:t>
      </w:r>
      <w:r w:rsidRPr="00264FC1">
        <w:rPr>
          <w:rFonts w:hint="cs"/>
          <w:szCs w:val="24"/>
          <w:rtl/>
          <w:lang w:val="en-US"/>
        </w:rPr>
        <w:t>كل (</w:t>
      </w:r>
      <w:r w:rsidR="00171E1E" w:rsidRPr="00264FC1">
        <w:rPr>
          <w:rFonts w:hint="cs"/>
          <w:szCs w:val="24"/>
          <w:rtl/>
          <w:lang w:val="en-US"/>
        </w:rPr>
        <w:t>3-15</w:t>
      </w:r>
      <w:r w:rsidRPr="00264FC1">
        <w:rPr>
          <w:rFonts w:hint="cs"/>
          <w:szCs w:val="24"/>
          <w:rtl/>
          <w:lang w:val="en-US"/>
        </w:rPr>
        <w:t xml:space="preserve">): </w:t>
      </w:r>
      <w:r w:rsidR="004357E2" w:rsidRPr="00264FC1">
        <w:rPr>
          <w:rFonts w:hint="cs"/>
          <w:szCs w:val="24"/>
          <w:rtl/>
          <w:lang w:val="en-US"/>
        </w:rPr>
        <w:t>ال</w:t>
      </w:r>
      <w:r w:rsidR="004357E2" w:rsidRPr="00264FC1">
        <w:rPr>
          <w:rFonts w:hint="cs"/>
          <w:color w:val="auto"/>
          <w:szCs w:val="24"/>
          <w:rtl/>
        </w:rPr>
        <w:t>منهجية</w:t>
      </w:r>
      <w:r w:rsidR="004357E2" w:rsidRPr="00264FC1">
        <w:rPr>
          <w:color w:val="auto"/>
          <w:szCs w:val="24"/>
          <w:rtl/>
        </w:rPr>
        <w:t xml:space="preserve"> </w:t>
      </w:r>
      <w:r w:rsidR="004357E2" w:rsidRPr="00264FC1">
        <w:rPr>
          <w:rFonts w:hint="cs"/>
          <w:szCs w:val="24"/>
          <w:rtl/>
          <w:lang w:val="en-US"/>
        </w:rPr>
        <w:t>المتبعة لاطار عمل</w:t>
      </w:r>
      <w:r w:rsidR="004357E2" w:rsidRPr="00264FC1">
        <w:rPr>
          <w:szCs w:val="24"/>
          <w:rtl/>
          <w:lang w:val="en-US"/>
        </w:rPr>
        <w:t xml:space="preserve"> </w:t>
      </w:r>
      <w:r w:rsidR="004357E2" w:rsidRPr="00264FC1">
        <w:rPr>
          <w:szCs w:val="24"/>
          <w:rtl/>
        </w:rPr>
        <w:t xml:space="preserve">تقييم </w:t>
      </w:r>
      <w:r w:rsidR="004357E2" w:rsidRPr="00264FC1">
        <w:rPr>
          <w:rFonts w:hint="cs"/>
          <w:szCs w:val="24"/>
          <w:rtl/>
        </w:rPr>
        <w:t>المرونة</w:t>
      </w:r>
      <w:r w:rsidR="004357E2" w:rsidRPr="00264FC1">
        <w:rPr>
          <w:szCs w:val="24"/>
          <w:rtl/>
        </w:rPr>
        <w:t xml:space="preserve"> الحضرية</w:t>
      </w:r>
      <w:r w:rsidR="004357E2" w:rsidRPr="00264FC1">
        <w:rPr>
          <w:rFonts w:hint="cs"/>
          <w:szCs w:val="24"/>
          <w:rtl/>
        </w:rPr>
        <w:t xml:space="preserve"> </w:t>
      </w:r>
      <w:r w:rsidRPr="00264FC1">
        <w:rPr>
          <w:rFonts w:hint="cs"/>
          <w:szCs w:val="24"/>
          <w:rtl/>
        </w:rPr>
        <w:t>(</w:t>
      </w:r>
      <w:r w:rsidRPr="00264FC1">
        <w:rPr>
          <w:szCs w:val="24"/>
          <w:rtl/>
        </w:rPr>
        <w:t xml:space="preserve">المرحلة </w:t>
      </w:r>
      <w:r w:rsidRPr="00264FC1">
        <w:rPr>
          <w:rFonts w:hint="cs"/>
          <w:szCs w:val="24"/>
          <w:rtl/>
        </w:rPr>
        <w:t>الخامسة)</w:t>
      </w:r>
      <w:bookmarkEnd w:id="461"/>
      <w:bookmarkEnd w:id="462"/>
    </w:p>
    <w:p w:rsidR="005135C8" w:rsidRPr="005135C8" w:rsidRDefault="005135C8" w:rsidP="005135C8">
      <w:pPr>
        <w:pStyle w:val="fegure"/>
        <w:rPr>
          <w:sz w:val="8"/>
          <w:szCs w:val="24"/>
          <w:lang w:val="en-US"/>
        </w:rPr>
      </w:pPr>
      <w:bookmarkStart w:id="463" w:name="_Toc171803554"/>
      <w:r>
        <w:rPr>
          <w:rFonts w:hint="cs"/>
          <w:sz w:val="8"/>
          <w:szCs w:val="24"/>
          <w:rtl/>
          <w:lang w:val="en-US"/>
        </w:rPr>
        <w:t>المصدر: (الباحث، 2022)</w:t>
      </w:r>
      <w:bookmarkEnd w:id="463"/>
    </w:p>
    <w:p w:rsidR="00C97FA4" w:rsidRDefault="00C97FA4" w:rsidP="00C02010">
      <w:pPr>
        <w:tabs>
          <w:tab w:val="right" w:pos="282"/>
        </w:tabs>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094F1A0F" wp14:editId="3AA7751C">
            <wp:extent cx="5207060" cy="2333767"/>
            <wp:effectExtent l="0" t="0" r="0" b="9525"/>
            <wp:docPr id="262" name="Imag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9">
                      <a:extLst>
                        <a:ext uri="{28A0092B-C50C-407E-A947-70E740481C1C}">
                          <a14:useLocalDpi xmlns:a14="http://schemas.microsoft.com/office/drawing/2010/main" val="0"/>
                        </a:ext>
                      </a:extLst>
                    </a:blip>
                    <a:stretch>
                      <a:fillRect/>
                    </a:stretch>
                  </pic:blipFill>
                  <pic:spPr>
                    <a:xfrm>
                      <a:off x="0" y="0"/>
                      <a:ext cx="5218690" cy="2338979"/>
                    </a:xfrm>
                    <a:prstGeom prst="rect">
                      <a:avLst/>
                    </a:prstGeom>
                  </pic:spPr>
                </pic:pic>
              </a:graphicData>
            </a:graphic>
          </wp:inline>
        </w:drawing>
      </w:r>
    </w:p>
    <w:p w:rsidR="00C97FA4" w:rsidRDefault="00C97FA4" w:rsidP="00590BE0">
      <w:pPr>
        <w:pStyle w:val="Default"/>
        <w:bidi/>
        <w:spacing w:before="240" w:line="276" w:lineRule="auto"/>
        <w:ind w:firstLine="282"/>
        <w:jc w:val="both"/>
        <w:rPr>
          <w:rFonts w:ascii="Simplified Arabic" w:hAnsi="Simplified Arabic" w:cs="Simplified Arabic"/>
          <w:rtl/>
        </w:rPr>
      </w:pPr>
      <w:r w:rsidRPr="00C75CAD">
        <w:rPr>
          <w:rFonts w:ascii="Simplified Arabic" w:hAnsi="Simplified Arabic" w:cs="Simplified Arabic" w:hint="cs"/>
          <w:rtl/>
        </w:rPr>
        <w:t>لا</w:t>
      </w:r>
      <w:r w:rsidRPr="00C75CAD">
        <w:rPr>
          <w:rFonts w:ascii="Simplified Arabic" w:hAnsi="Simplified Arabic" w:cs="Simplified Arabic"/>
          <w:rtl/>
        </w:rPr>
        <w:t xml:space="preserve"> </w:t>
      </w:r>
      <w:r w:rsidRPr="00C75CAD">
        <w:rPr>
          <w:rFonts w:ascii="Simplified Arabic" w:hAnsi="Simplified Arabic" w:cs="Simplified Arabic" w:hint="cs"/>
          <w:rtl/>
        </w:rPr>
        <w:t>يبدو</w:t>
      </w:r>
      <w:r w:rsidRPr="00C75CAD">
        <w:rPr>
          <w:rFonts w:ascii="Simplified Arabic" w:hAnsi="Simplified Arabic" w:cs="Simplified Arabic"/>
          <w:rtl/>
        </w:rPr>
        <w:t xml:space="preserve"> </w:t>
      </w:r>
      <w:r w:rsidRPr="00C75CAD">
        <w:rPr>
          <w:rFonts w:ascii="Simplified Arabic" w:hAnsi="Simplified Arabic" w:cs="Simplified Arabic" w:hint="cs"/>
          <w:rtl/>
        </w:rPr>
        <w:t>إشراك</w:t>
      </w:r>
      <w:r w:rsidRPr="00C75CAD">
        <w:rPr>
          <w:rFonts w:ascii="Simplified Arabic" w:hAnsi="Simplified Arabic" w:cs="Simplified Arabic"/>
          <w:rtl/>
        </w:rPr>
        <w:t xml:space="preserve"> </w:t>
      </w:r>
      <w:r w:rsidRPr="00C75CAD">
        <w:rPr>
          <w:rFonts w:ascii="Simplified Arabic" w:hAnsi="Simplified Arabic" w:cs="Simplified Arabic" w:hint="cs"/>
          <w:rtl/>
        </w:rPr>
        <w:t>السكان</w:t>
      </w:r>
      <w:r w:rsidRPr="00C75CAD">
        <w:rPr>
          <w:rFonts w:ascii="Simplified Arabic" w:hAnsi="Simplified Arabic" w:cs="Simplified Arabic"/>
          <w:rtl/>
        </w:rPr>
        <w:t xml:space="preserve"> </w:t>
      </w:r>
      <w:r w:rsidRPr="00C75CAD">
        <w:rPr>
          <w:rFonts w:ascii="Simplified Arabic" w:hAnsi="Simplified Arabic" w:cs="Simplified Arabic" w:hint="cs"/>
          <w:rtl/>
        </w:rPr>
        <w:t>المحليين</w:t>
      </w:r>
      <w:r w:rsidRPr="00C75CAD">
        <w:rPr>
          <w:rFonts w:ascii="Simplified Arabic" w:hAnsi="Simplified Arabic" w:cs="Simplified Arabic"/>
          <w:rtl/>
        </w:rPr>
        <w:t xml:space="preserve"> </w:t>
      </w:r>
      <w:r w:rsidRPr="00C75CAD">
        <w:rPr>
          <w:rFonts w:ascii="Simplified Arabic" w:hAnsi="Simplified Arabic" w:cs="Simplified Arabic" w:hint="cs"/>
          <w:rtl/>
        </w:rPr>
        <w:t>بشكل</w:t>
      </w:r>
      <w:r w:rsidRPr="00C75CAD">
        <w:rPr>
          <w:rFonts w:ascii="Simplified Arabic" w:hAnsi="Simplified Arabic" w:cs="Simplified Arabic"/>
          <w:rtl/>
        </w:rPr>
        <w:t xml:space="preserve"> </w:t>
      </w:r>
      <w:r w:rsidRPr="00C75CAD">
        <w:rPr>
          <w:rFonts w:ascii="Simplified Arabic" w:hAnsi="Simplified Arabic" w:cs="Simplified Arabic" w:hint="cs"/>
          <w:rtl/>
        </w:rPr>
        <w:t>مباشر</w:t>
      </w:r>
      <w:r w:rsidRPr="00C75CAD">
        <w:rPr>
          <w:rFonts w:ascii="Simplified Arabic" w:hAnsi="Simplified Arabic" w:cs="Simplified Arabic"/>
          <w:rtl/>
        </w:rPr>
        <w:t xml:space="preserve"> </w:t>
      </w:r>
      <w:r w:rsidRPr="00C75CAD">
        <w:rPr>
          <w:rFonts w:ascii="Simplified Arabic" w:hAnsi="Simplified Arabic" w:cs="Simplified Arabic" w:hint="cs"/>
          <w:rtl/>
        </w:rPr>
        <w:t>بالقضايا</w:t>
      </w:r>
      <w:r w:rsidRPr="00C75CAD">
        <w:rPr>
          <w:rFonts w:ascii="Simplified Arabic" w:hAnsi="Simplified Arabic" w:cs="Simplified Arabic"/>
          <w:rtl/>
        </w:rPr>
        <w:t xml:space="preserve"> </w:t>
      </w:r>
      <w:r w:rsidRPr="00C75CAD">
        <w:rPr>
          <w:rFonts w:ascii="Simplified Arabic" w:hAnsi="Simplified Arabic" w:cs="Simplified Arabic" w:hint="cs"/>
          <w:rtl/>
        </w:rPr>
        <w:t>المدروسة</w:t>
      </w:r>
      <w:r w:rsidRPr="00C75CAD">
        <w:rPr>
          <w:rFonts w:ascii="Simplified Arabic" w:hAnsi="Simplified Arabic" w:cs="Simplified Arabic"/>
          <w:rtl/>
        </w:rPr>
        <w:t xml:space="preserve"> </w:t>
      </w:r>
      <w:r w:rsidRPr="00C75CAD">
        <w:rPr>
          <w:rFonts w:ascii="Simplified Arabic" w:hAnsi="Simplified Arabic" w:cs="Simplified Arabic" w:hint="cs"/>
          <w:rtl/>
        </w:rPr>
        <w:t>امرا مستحدثا</w:t>
      </w:r>
      <w:r w:rsidRPr="00C75CAD">
        <w:rPr>
          <w:rFonts w:asciiTheme="minorBidi" w:hAnsiTheme="minorBidi" w:cs="Arial"/>
          <w:sz w:val="28"/>
          <w:szCs w:val="28"/>
          <w:rtl/>
        </w:rPr>
        <w:t xml:space="preserve"> </w:t>
      </w:r>
      <w:r w:rsidRPr="00C75CAD">
        <w:rPr>
          <w:rFonts w:asciiTheme="majorBidi" w:hAnsiTheme="majorBidi" w:cstheme="majorBidi"/>
          <w:rtl/>
        </w:rPr>
        <w:t>(</w:t>
      </w:r>
      <w:r w:rsidRPr="00C75CAD">
        <w:rPr>
          <w:rFonts w:asciiTheme="majorBidi" w:hAnsiTheme="majorBidi" w:cstheme="majorBidi"/>
        </w:rPr>
        <w:t>Toubin,  2014</w:t>
      </w:r>
      <w:r w:rsidRPr="00C75CAD">
        <w:rPr>
          <w:rFonts w:asciiTheme="majorBidi" w:hAnsiTheme="majorBidi" w:cstheme="majorBidi"/>
          <w:rtl/>
        </w:rPr>
        <w:t>)</w:t>
      </w:r>
      <w:r w:rsidRPr="00C75CAD">
        <w:rPr>
          <w:rFonts w:ascii="Simplified Arabic" w:hAnsi="Simplified Arabic" w:cs="Simplified Arabic"/>
          <w:rtl/>
        </w:rPr>
        <w:t xml:space="preserve">. </w:t>
      </w:r>
      <w:r w:rsidRPr="00C75CAD">
        <w:rPr>
          <w:rFonts w:ascii="Simplified Arabic" w:hAnsi="Simplified Arabic" w:cs="Simplified Arabic" w:hint="cs"/>
          <w:rtl/>
        </w:rPr>
        <w:t>رغم ذلك، يظل</w:t>
      </w:r>
      <w:r w:rsidRPr="00C75CAD">
        <w:rPr>
          <w:rFonts w:ascii="Simplified Arabic" w:hAnsi="Simplified Arabic" w:cs="Simplified Arabic"/>
          <w:rtl/>
        </w:rPr>
        <w:t xml:space="preserve"> </w:t>
      </w:r>
      <w:r w:rsidRPr="00C75CAD">
        <w:rPr>
          <w:rFonts w:ascii="Simplified Arabic" w:hAnsi="Simplified Arabic" w:cs="Simplified Arabic" w:hint="cs"/>
          <w:rtl/>
        </w:rPr>
        <w:t>نقص</w:t>
      </w:r>
      <w:r w:rsidRPr="00C75CAD">
        <w:rPr>
          <w:rFonts w:ascii="Simplified Arabic" w:hAnsi="Simplified Arabic" w:cs="Simplified Arabic"/>
          <w:rtl/>
        </w:rPr>
        <w:t xml:space="preserve"> </w:t>
      </w:r>
      <w:r w:rsidRPr="00C75CAD">
        <w:rPr>
          <w:rFonts w:ascii="Simplified Arabic" w:hAnsi="Simplified Arabic" w:cs="Simplified Arabic" w:hint="cs"/>
          <w:rtl/>
        </w:rPr>
        <w:t>مشاركة</w:t>
      </w:r>
      <w:r w:rsidRPr="00C75CAD">
        <w:rPr>
          <w:rFonts w:ascii="Simplified Arabic" w:hAnsi="Simplified Arabic" w:cs="Simplified Arabic"/>
          <w:rtl/>
        </w:rPr>
        <w:t xml:space="preserve"> </w:t>
      </w:r>
      <w:r w:rsidRPr="00C75CAD">
        <w:rPr>
          <w:rFonts w:ascii="Simplified Arabic" w:hAnsi="Simplified Arabic" w:cs="Simplified Arabic" w:hint="cs"/>
          <w:rtl/>
        </w:rPr>
        <w:t>السكان امرًا قائمًا</w:t>
      </w:r>
      <w:r w:rsidRPr="00C75CAD">
        <w:rPr>
          <w:rFonts w:ascii="Simplified Arabic" w:hAnsi="Simplified Arabic" w:cs="Simplified Arabic"/>
          <w:rtl/>
        </w:rPr>
        <w:t xml:space="preserve"> </w:t>
      </w:r>
      <w:r w:rsidRPr="00C75CAD">
        <w:rPr>
          <w:rFonts w:asciiTheme="majorBidi" w:hAnsiTheme="majorBidi" w:cstheme="majorBidi"/>
        </w:rPr>
        <w:t>(Kuhlicke et al., 2011)</w:t>
      </w:r>
      <w:r w:rsidRPr="00C75CAD">
        <w:rPr>
          <w:rFonts w:ascii="Simplified Arabic" w:hAnsi="Simplified Arabic" w:cs="Simplified Arabic" w:hint="cs"/>
          <w:rtl/>
        </w:rPr>
        <w:t>. السكان</w:t>
      </w:r>
      <w:r w:rsidRPr="00C75CAD">
        <w:rPr>
          <w:rFonts w:ascii="Simplified Arabic" w:hAnsi="Simplified Arabic" w:cs="Simplified Arabic"/>
          <w:rtl/>
        </w:rPr>
        <w:t xml:space="preserve"> </w:t>
      </w:r>
      <w:r w:rsidRPr="00C75CAD">
        <w:rPr>
          <w:rFonts w:ascii="Simplified Arabic" w:hAnsi="Simplified Arabic" w:cs="Simplified Arabic" w:hint="cs"/>
          <w:rtl/>
        </w:rPr>
        <w:t>في</w:t>
      </w:r>
      <w:r w:rsidRPr="00C75CAD">
        <w:rPr>
          <w:rFonts w:ascii="Simplified Arabic" w:hAnsi="Simplified Arabic" w:cs="Simplified Arabic"/>
          <w:rtl/>
        </w:rPr>
        <w:t xml:space="preserve"> </w:t>
      </w:r>
      <w:r w:rsidRPr="00C75CAD">
        <w:rPr>
          <w:rFonts w:ascii="Simplified Arabic" w:hAnsi="Simplified Arabic" w:cs="Simplified Arabic" w:hint="cs"/>
          <w:rtl/>
        </w:rPr>
        <w:t>كثير</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الأحيان</w:t>
      </w:r>
      <w:r w:rsidRPr="00C75CAD">
        <w:rPr>
          <w:rFonts w:ascii="Simplified Arabic" w:hAnsi="Simplified Arabic" w:cs="Simplified Arabic"/>
          <w:rtl/>
        </w:rPr>
        <w:t xml:space="preserve"> </w:t>
      </w:r>
      <w:r w:rsidRPr="00C75CAD">
        <w:rPr>
          <w:rFonts w:ascii="Simplified Arabic" w:hAnsi="Simplified Arabic" w:cs="Simplified Arabic" w:hint="cs"/>
          <w:rtl/>
        </w:rPr>
        <w:t>هم</w:t>
      </w:r>
      <w:r w:rsidRPr="00C75CAD">
        <w:rPr>
          <w:rFonts w:ascii="Simplified Arabic" w:hAnsi="Simplified Arabic" w:cs="Simplified Arabic"/>
          <w:rtl/>
        </w:rPr>
        <w:t xml:space="preserve"> </w:t>
      </w:r>
      <w:r w:rsidRPr="00C75CAD">
        <w:rPr>
          <w:rFonts w:ascii="Simplified Arabic" w:hAnsi="Simplified Arabic" w:cs="Simplified Arabic" w:hint="cs"/>
          <w:rtl/>
        </w:rPr>
        <w:t>أول</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يتأثر</w:t>
      </w:r>
      <w:r w:rsidRPr="00C75CAD">
        <w:rPr>
          <w:rFonts w:ascii="Simplified Arabic" w:hAnsi="Simplified Arabic" w:cs="Simplified Arabic"/>
          <w:rtl/>
        </w:rPr>
        <w:t xml:space="preserve"> </w:t>
      </w:r>
      <w:r w:rsidRPr="00C75CAD">
        <w:rPr>
          <w:rFonts w:ascii="Simplified Arabic" w:hAnsi="Simplified Arabic" w:cs="Simplified Arabic" w:hint="cs"/>
          <w:rtl/>
        </w:rPr>
        <w:t>بالاضطرابات التي يمكن ان تحدثها المخاطر</w:t>
      </w:r>
      <w:r w:rsidRPr="00C75CAD">
        <w:rPr>
          <w:rFonts w:ascii="Simplified Arabic" w:hAnsi="Simplified Arabic" w:cs="Simplified Arabic"/>
          <w:rtl/>
        </w:rPr>
        <w:t xml:space="preserve"> </w:t>
      </w:r>
      <w:r w:rsidRPr="00C75CAD">
        <w:rPr>
          <w:rFonts w:ascii="Simplified Arabic" w:hAnsi="Simplified Arabic" w:cs="Simplified Arabic" w:hint="cs"/>
          <w:rtl/>
        </w:rPr>
        <w:t>الطبيعية.</w:t>
      </w:r>
      <w:r w:rsidRPr="00C75CAD">
        <w:rPr>
          <w:rFonts w:ascii="Simplified Arabic" w:hAnsi="Simplified Arabic" w:cs="Simplified Arabic"/>
          <w:rtl/>
        </w:rPr>
        <w:t xml:space="preserve"> </w:t>
      </w:r>
      <w:r w:rsidRPr="00C75CAD">
        <w:rPr>
          <w:rFonts w:ascii="Simplified Arabic" w:hAnsi="Simplified Arabic" w:cs="Simplified Arabic" w:hint="cs"/>
          <w:rtl/>
        </w:rPr>
        <w:t xml:space="preserve">لهذا، </w:t>
      </w:r>
      <w:r w:rsidRPr="00C75CAD">
        <w:rPr>
          <w:rFonts w:ascii="Simplified Arabic" w:hAnsi="Simplified Arabic" w:cs="Simplified Arabic"/>
          <w:rtl/>
        </w:rPr>
        <w:t xml:space="preserve">وضعت استراتيجية الأمم المتحدة الدولية للحد من مخاطر الكوارث </w:t>
      </w:r>
      <w:r w:rsidRPr="00C75CAD">
        <w:rPr>
          <w:rFonts w:asciiTheme="majorBidi" w:hAnsiTheme="majorBidi" w:cstheme="majorBidi"/>
          <w:rtl/>
        </w:rPr>
        <w:t>(</w:t>
      </w:r>
      <w:r w:rsidRPr="00C75CAD">
        <w:rPr>
          <w:rFonts w:asciiTheme="majorBidi" w:hAnsiTheme="majorBidi" w:cstheme="majorBidi"/>
        </w:rPr>
        <w:t>UNISDR</w:t>
      </w:r>
      <w:r w:rsidRPr="00C75CAD">
        <w:rPr>
          <w:rFonts w:asciiTheme="majorBidi" w:hAnsiTheme="majorBidi" w:cstheme="majorBidi"/>
          <w:rtl/>
        </w:rPr>
        <w:t>)</w:t>
      </w:r>
      <w:r w:rsidRPr="00C75CAD">
        <w:rPr>
          <w:rFonts w:ascii="Simplified Arabic" w:hAnsi="Simplified Arabic" w:cs="Simplified Arabic"/>
          <w:rtl/>
        </w:rPr>
        <w:t xml:space="preserve"> عشرة (</w:t>
      </w:r>
      <w:r w:rsidRPr="00C75CAD">
        <w:rPr>
          <w:rFonts w:ascii="Simplified Arabic" w:hAnsi="Simplified Arabic" w:cs="Simplified Arabic"/>
        </w:rPr>
        <w:t>10</w:t>
      </w:r>
      <w:r w:rsidRPr="00C75CAD">
        <w:rPr>
          <w:rFonts w:ascii="Simplified Arabic" w:hAnsi="Simplified Arabic" w:cs="Simplified Arabic"/>
          <w:rtl/>
        </w:rPr>
        <w:t xml:space="preserve">) </w:t>
      </w:r>
      <w:r w:rsidRPr="00C75CAD">
        <w:rPr>
          <w:rFonts w:ascii="Simplified Arabic" w:hAnsi="Simplified Arabic" w:cs="Simplified Arabic" w:hint="cs"/>
          <w:rtl/>
        </w:rPr>
        <w:t>نقاط</w:t>
      </w:r>
      <w:r w:rsidRPr="00C75CAD">
        <w:rPr>
          <w:rFonts w:ascii="Simplified Arabic" w:hAnsi="Simplified Arabic" w:cs="Simplified Arabic"/>
          <w:rtl/>
        </w:rPr>
        <w:t xml:space="preserve"> </w:t>
      </w:r>
      <w:r w:rsidRPr="00C75CAD">
        <w:rPr>
          <w:rFonts w:ascii="Simplified Arabic" w:hAnsi="Simplified Arabic" w:cs="Simplified Arabic" w:hint="cs"/>
          <w:rtl/>
        </w:rPr>
        <w:t>أساسية</w:t>
      </w:r>
      <w:r w:rsidRPr="00C75CAD">
        <w:rPr>
          <w:rFonts w:ascii="Simplified Arabic" w:hAnsi="Simplified Arabic" w:cs="Simplified Arabic"/>
          <w:rtl/>
        </w:rPr>
        <w:t xml:space="preserve"> </w:t>
      </w:r>
      <w:r w:rsidRPr="00C75CAD">
        <w:rPr>
          <w:rFonts w:ascii="Simplified Arabic" w:hAnsi="Simplified Arabic" w:cs="Simplified Arabic" w:hint="cs"/>
          <w:rtl/>
        </w:rPr>
        <w:t>لإنشاء</w:t>
      </w:r>
      <w:r w:rsidRPr="00C75CAD">
        <w:rPr>
          <w:rFonts w:ascii="Simplified Arabic" w:hAnsi="Simplified Arabic" w:cs="Simplified Arabic"/>
          <w:rtl/>
        </w:rPr>
        <w:t xml:space="preserve"> </w:t>
      </w:r>
      <w:r w:rsidRPr="00C75CAD">
        <w:rPr>
          <w:rFonts w:ascii="Simplified Arabic" w:hAnsi="Simplified Arabic" w:cs="Simplified Arabic" w:hint="cs"/>
          <w:rtl/>
        </w:rPr>
        <w:t>مدن</w:t>
      </w:r>
      <w:r w:rsidRPr="00C75CAD">
        <w:rPr>
          <w:rFonts w:ascii="Simplified Arabic" w:hAnsi="Simplified Arabic" w:cs="Simplified Arabic"/>
          <w:rtl/>
        </w:rPr>
        <w:t xml:space="preserve"> </w:t>
      </w:r>
      <w:r w:rsidRPr="00C75CAD">
        <w:rPr>
          <w:rFonts w:ascii="Simplified Arabic" w:hAnsi="Simplified Arabic" w:cs="Simplified Arabic" w:hint="cs"/>
          <w:rtl/>
        </w:rPr>
        <w:t>مرنة</w:t>
      </w:r>
      <w:r w:rsidRPr="00C75CAD">
        <w:rPr>
          <w:rFonts w:ascii="Simplified Arabic" w:hAnsi="Simplified Arabic" w:cs="Simplified Arabic"/>
          <w:rtl/>
        </w:rPr>
        <w:t xml:space="preserve">. </w:t>
      </w:r>
      <w:r w:rsidRPr="00C75CAD">
        <w:rPr>
          <w:rFonts w:ascii="Simplified Arabic" w:hAnsi="Simplified Arabic" w:cs="Simplified Arabic" w:hint="cs"/>
          <w:rtl/>
        </w:rPr>
        <w:t>تتمثل النقطة</w:t>
      </w:r>
      <w:r w:rsidRPr="00C75CAD">
        <w:rPr>
          <w:rFonts w:ascii="Simplified Arabic" w:hAnsi="Simplified Arabic" w:cs="Simplified Arabic"/>
          <w:rtl/>
        </w:rPr>
        <w:t xml:space="preserve"> </w:t>
      </w:r>
      <w:r w:rsidRPr="00C75CAD">
        <w:rPr>
          <w:rFonts w:ascii="Simplified Arabic" w:hAnsi="Simplified Arabic" w:cs="Simplified Arabic" w:hint="cs"/>
          <w:rtl/>
        </w:rPr>
        <w:t>الاولى</w:t>
      </w:r>
      <w:r w:rsidRPr="00C75CAD">
        <w:rPr>
          <w:rFonts w:ascii="Simplified Arabic" w:hAnsi="Simplified Arabic" w:cs="Simplified Arabic"/>
          <w:rtl/>
        </w:rPr>
        <w:t xml:space="preserve"> </w:t>
      </w:r>
      <w:r w:rsidRPr="00C75CAD">
        <w:rPr>
          <w:rFonts w:ascii="Simplified Arabic" w:hAnsi="Simplified Arabic" w:cs="Simplified Arabic" w:hint="cs"/>
          <w:rtl/>
        </w:rPr>
        <w:t>في</w:t>
      </w:r>
      <w:r w:rsidRPr="00C75CAD">
        <w:rPr>
          <w:rFonts w:ascii="Simplified Arabic" w:hAnsi="Simplified Arabic" w:cs="Simplified Arabic"/>
          <w:rtl/>
        </w:rPr>
        <w:t xml:space="preserve"> </w:t>
      </w:r>
      <w:r w:rsidRPr="00C75CAD">
        <w:rPr>
          <w:rFonts w:ascii="Simplified Arabic" w:hAnsi="Simplified Arabic" w:cs="Simplified Arabic" w:hint="cs"/>
          <w:rtl/>
        </w:rPr>
        <w:t>إنشاء</w:t>
      </w:r>
      <w:r w:rsidRPr="00C75CAD">
        <w:rPr>
          <w:rFonts w:ascii="Simplified Arabic" w:hAnsi="Simplified Arabic" w:cs="Simplified Arabic"/>
          <w:rtl/>
        </w:rPr>
        <w:t xml:space="preserve"> </w:t>
      </w:r>
      <w:r w:rsidRPr="00C75CAD">
        <w:rPr>
          <w:rFonts w:ascii="Simplified Arabic" w:hAnsi="Simplified Arabic" w:cs="Simplified Arabic" w:hint="cs"/>
          <w:rtl/>
        </w:rPr>
        <w:t>منظمات</w:t>
      </w:r>
      <w:r w:rsidRPr="00C75CAD">
        <w:rPr>
          <w:rFonts w:ascii="Simplified Arabic" w:hAnsi="Simplified Arabic" w:cs="Simplified Arabic"/>
          <w:rtl/>
        </w:rPr>
        <w:t xml:space="preserve"> </w:t>
      </w:r>
      <w:r w:rsidRPr="00C75CAD">
        <w:rPr>
          <w:rFonts w:ascii="Simplified Arabic" w:hAnsi="Simplified Arabic" w:cs="Simplified Arabic" w:hint="cs"/>
          <w:rtl/>
        </w:rPr>
        <w:t>أو</w:t>
      </w:r>
      <w:r w:rsidRPr="00C75CAD">
        <w:rPr>
          <w:rFonts w:ascii="Simplified Arabic" w:hAnsi="Simplified Arabic" w:cs="Simplified Arabic"/>
          <w:rtl/>
        </w:rPr>
        <w:t xml:space="preserve"> </w:t>
      </w:r>
      <w:r w:rsidRPr="00C75CAD">
        <w:rPr>
          <w:rFonts w:ascii="Simplified Arabic" w:hAnsi="Simplified Arabic" w:cs="Simplified Arabic" w:hint="cs"/>
          <w:rtl/>
        </w:rPr>
        <w:t>التنسيق</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أجل</w:t>
      </w:r>
      <w:r w:rsidRPr="00C75CAD">
        <w:rPr>
          <w:rFonts w:ascii="Simplified Arabic" w:hAnsi="Simplified Arabic" w:cs="Simplified Arabic"/>
          <w:rtl/>
        </w:rPr>
        <w:t xml:space="preserve"> </w:t>
      </w:r>
      <w:r w:rsidRPr="00C75CAD">
        <w:rPr>
          <w:rFonts w:ascii="Simplified Arabic" w:hAnsi="Simplified Arabic" w:cs="Simplified Arabic" w:hint="cs"/>
          <w:rtl/>
        </w:rPr>
        <w:t>فهم</w:t>
      </w:r>
      <w:r w:rsidRPr="00C75CAD">
        <w:rPr>
          <w:rFonts w:ascii="Simplified Arabic" w:hAnsi="Simplified Arabic" w:cs="Simplified Arabic"/>
          <w:rtl/>
        </w:rPr>
        <w:t xml:space="preserve"> </w:t>
      </w:r>
      <w:r w:rsidRPr="00C75CAD">
        <w:rPr>
          <w:rFonts w:ascii="Simplified Arabic" w:hAnsi="Simplified Arabic" w:cs="Simplified Arabic" w:hint="cs"/>
          <w:rtl/>
        </w:rPr>
        <w:t>وتقليل</w:t>
      </w:r>
      <w:r w:rsidRPr="00C75CAD">
        <w:rPr>
          <w:rFonts w:ascii="Simplified Arabic" w:hAnsi="Simplified Arabic" w:cs="Simplified Arabic"/>
          <w:rtl/>
        </w:rPr>
        <w:t xml:space="preserve"> </w:t>
      </w:r>
      <w:r w:rsidRPr="00C75CAD">
        <w:rPr>
          <w:rFonts w:ascii="Simplified Arabic" w:hAnsi="Simplified Arabic" w:cs="Simplified Arabic" w:hint="cs"/>
          <w:rtl/>
        </w:rPr>
        <w:t>المخاطر،</w:t>
      </w:r>
      <w:r w:rsidRPr="00C75CAD">
        <w:rPr>
          <w:rFonts w:ascii="Simplified Arabic" w:hAnsi="Simplified Arabic" w:cs="Simplified Arabic"/>
          <w:rtl/>
        </w:rPr>
        <w:t xml:space="preserve"> </w:t>
      </w:r>
      <w:r w:rsidRPr="00C75CAD">
        <w:rPr>
          <w:rFonts w:ascii="Simplified Arabic" w:hAnsi="Simplified Arabic" w:cs="Simplified Arabic" w:hint="cs"/>
          <w:rtl/>
        </w:rPr>
        <w:t>بناءً</w:t>
      </w:r>
      <w:r w:rsidRPr="00C75CAD">
        <w:rPr>
          <w:rFonts w:ascii="Simplified Arabic" w:hAnsi="Simplified Arabic" w:cs="Simplified Arabic"/>
          <w:rtl/>
        </w:rPr>
        <w:t xml:space="preserve"> </w:t>
      </w:r>
      <w:r w:rsidRPr="00C75CAD">
        <w:rPr>
          <w:rFonts w:ascii="Simplified Arabic" w:hAnsi="Simplified Arabic" w:cs="Simplified Arabic" w:hint="cs"/>
          <w:rtl/>
        </w:rPr>
        <w:t>على</w:t>
      </w:r>
      <w:r w:rsidRPr="00C75CAD">
        <w:rPr>
          <w:rFonts w:ascii="Simplified Arabic" w:hAnsi="Simplified Arabic" w:cs="Simplified Arabic"/>
          <w:rtl/>
        </w:rPr>
        <w:t xml:space="preserve"> </w:t>
      </w:r>
      <w:r w:rsidRPr="00C75CAD">
        <w:rPr>
          <w:rFonts w:ascii="Simplified Arabic" w:hAnsi="Simplified Arabic" w:cs="Simplified Arabic" w:hint="cs"/>
          <w:rtl/>
        </w:rPr>
        <w:t>مشاركة</w:t>
      </w:r>
      <w:r w:rsidRPr="00C75CAD">
        <w:rPr>
          <w:rFonts w:ascii="Simplified Arabic" w:hAnsi="Simplified Arabic" w:cs="Simplified Arabic"/>
          <w:rtl/>
        </w:rPr>
        <w:t xml:space="preserve"> </w:t>
      </w:r>
      <w:r w:rsidRPr="00C75CAD">
        <w:rPr>
          <w:rFonts w:ascii="Simplified Arabic" w:hAnsi="Simplified Arabic" w:cs="Simplified Arabic" w:hint="cs"/>
          <w:rtl/>
        </w:rPr>
        <w:t>المواطنين</w:t>
      </w:r>
      <w:r w:rsidRPr="00C75CAD">
        <w:rPr>
          <w:rFonts w:ascii="Simplified Arabic" w:hAnsi="Simplified Arabic" w:cs="Simplified Arabic"/>
          <w:rtl/>
        </w:rPr>
        <w:t xml:space="preserve"> </w:t>
      </w:r>
      <w:r w:rsidRPr="00C75CAD">
        <w:rPr>
          <w:rFonts w:ascii="Simplified Arabic" w:hAnsi="Simplified Arabic" w:cs="Simplified Arabic" w:hint="cs"/>
          <w:rtl/>
        </w:rPr>
        <w:t>والمجتمعات</w:t>
      </w:r>
      <w:r w:rsidRPr="00C75CAD">
        <w:rPr>
          <w:rFonts w:ascii="Simplified Arabic" w:hAnsi="Simplified Arabic" w:cs="Simplified Arabic"/>
          <w:rtl/>
        </w:rPr>
        <w:t xml:space="preserve"> </w:t>
      </w:r>
      <w:r w:rsidRPr="00C75CAD">
        <w:rPr>
          <w:rFonts w:ascii="Simplified Arabic" w:hAnsi="Simplified Arabic" w:cs="Simplified Arabic" w:hint="cs"/>
          <w:rtl/>
        </w:rPr>
        <w:t>المدنية</w:t>
      </w:r>
      <w:r w:rsidRPr="00C75CAD">
        <w:rPr>
          <w:rFonts w:ascii="Simplified Arabic" w:hAnsi="Simplified Arabic" w:cs="Simplified Arabic"/>
          <w:rtl/>
        </w:rPr>
        <w:t xml:space="preserve"> </w:t>
      </w:r>
      <w:r w:rsidRPr="00C75CAD">
        <w:rPr>
          <w:rFonts w:asciiTheme="majorBidi" w:hAnsiTheme="majorBidi" w:cstheme="majorBidi"/>
          <w:rtl/>
        </w:rPr>
        <w:t>(</w:t>
      </w:r>
      <w:r w:rsidRPr="00C75CAD">
        <w:rPr>
          <w:rFonts w:asciiTheme="majorBidi" w:hAnsiTheme="majorBidi" w:cstheme="majorBidi"/>
        </w:rPr>
        <w:t>UNISDR, 2012</w:t>
      </w:r>
      <w:r w:rsidRPr="00C75CAD">
        <w:rPr>
          <w:rFonts w:asciiTheme="majorBidi" w:hAnsiTheme="majorBidi" w:cstheme="majorBidi"/>
          <w:rtl/>
        </w:rPr>
        <w:t>)</w:t>
      </w:r>
      <w:r w:rsidRPr="00C75CAD">
        <w:rPr>
          <w:rFonts w:ascii="Simplified Arabic" w:hAnsi="Simplified Arabic" w:cs="Simplified Arabic"/>
          <w:rtl/>
        </w:rPr>
        <w:t>.</w:t>
      </w:r>
    </w:p>
    <w:p w:rsidR="00C97FA4" w:rsidRDefault="00C97FA4" w:rsidP="00C97FA4">
      <w:pPr>
        <w:pStyle w:val="Default"/>
        <w:bidi/>
        <w:spacing w:line="276" w:lineRule="auto"/>
        <w:ind w:firstLine="282"/>
        <w:jc w:val="both"/>
        <w:rPr>
          <w:rFonts w:ascii="Simplified Arabic" w:hAnsi="Simplified Arabic" w:cs="Simplified Arabic"/>
          <w:rtl/>
        </w:rPr>
      </w:pPr>
      <w:r w:rsidRPr="00C75CAD">
        <w:rPr>
          <w:rFonts w:ascii="Simplified Arabic" w:hAnsi="Simplified Arabic" w:cs="Simplified Arabic" w:hint="cs"/>
          <w:rtl/>
        </w:rPr>
        <w:t xml:space="preserve">يرى </w:t>
      </w:r>
      <w:r w:rsidRPr="00C75CAD">
        <w:rPr>
          <w:rFonts w:asciiTheme="majorBidi" w:hAnsiTheme="majorBidi" w:cstheme="majorBidi"/>
        </w:rPr>
        <w:t>(Callon et al., 2001)</w:t>
      </w:r>
      <w:r w:rsidRPr="00C75CAD">
        <w:rPr>
          <w:rFonts w:ascii="Simplified Arabic" w:hAnsi="Simplified Arabic" w:cs="Simplified Arabic"/>
          <w:rtl/>
        </w:rPr>
        <w:t>،</w:t>
      </w:r>
      <w:r w:rsidRPr="00C75CAD">
        <w:rPr>
          <w:rFonts w:ascii="Simplified Arabic" w:hAnsi="Simplified Arabic" w:cs="Simplified Arabic" w:hint="cs"/>
          <w:rtl/>
        </w:rPr>
        <w:t xml:space="preserve"> ان وجود</w:t>
      </w:r>
      <w:r w:rsidRPr="00C75CAD">
        <w:rPr>
          <w:rFonts w:ascii="Simplified Arabic" w:hAnsi="Simplified Arabic" w:cs="Simplified Arabic"/>
          <w:rtl/>
        </w:rPr>
        <w:t xml:space="preserve"> </w:t>
      </w:r>
      <w:r w:rsidRPr="00C75CAD">
        <w:rPr>
          <w:rFonts w:ascii="Simplified Arabic" w:hAnsi="Simplified Arabic" w:cs="Simplified Arabic" w:hint="cs"/>
          <w:rtl/>
        </w:rPr>
        <w:t>أشخاص</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جميع</w:t>
      </w:r>
      <w:r w:rsidRPr="00C75CAD">
        <w:rPr>
          <w:rFonts w:ascii="Simplified Arabic" w:hAnsi="Simplified Arabic" w:cs="Simplified Arabic"/>
          <w:rtl/>
        </w:rPr>
        <w:t xml:space="preserve"> </w:t>
      </w:r>
      <w:r w:rsidRPr="00C75CAD">
        <w:rPr>
          <w:rFonts w:ascii="Simplified Arabic" w:hAnsi="Simplified Arabic" w:cs="Simplified Arabic" w:hint="cs"/>
          <w:rtl/>
        </w:rPr>
        <w:t>مناحي</w:t>
      </w:r>
      <w:r w:rsidRPr="00C75CAD">
        <w:rPr>
          <w:rFonts w:ascii="Simplified Arabic" w:hAnsi="Simplified Arabic" w:cs="Simplified Arabic"/>
          <w:rtl/>
        </w:rPr>
        <w:t xml:space="preserve"> </w:t>
      </w:r>
      <w:r w:rsidRPr="00C75CAD">
        <w:rPr>
          <w:rFonts w:ascii="Simplified Arabic" w:hAnsi="Simplified Arabic" w:cs="Simplified Arabic" w:hint="cs"/>
          <w:rtl/>
        </w:rPr>
        <w:t>الحياة</w:t>
      </w:r>
      <w:r w:rsidRPr="00C75CAD">
        <w:rPr>
          <w:rFonts w:ascii="Simplified Arabic" w:hAnsi="Simplified Arabic" w:cs="Simplified Arabic"/>
          <w:rtl/>
        </w:rPr>
        <w:t xml:space="preserve"> </w:t>
      </w:r>
      <w:r w:rsidRPr="00C75CAD">
        <w:rPr>
          <w:rFonts w:ascii="Simplified Arabic" w:hAnsi="Simplified Arabic" w:cs="Simplified Arabic" w:hint="cs"/>
          <w:rtl/>
        </w:rPr>
        <w:t>يتفاعلون</w:t>
      </w:r>
      <w:r w:rsidRPr="00C75CAD">
        <w:rPr>
          <w:rFonts w:ascii="Simplified Arabic" w:hAnsi="Simplified Arabic" w:cs="Simplified Arabic"/>
          <w:rtl/>
        </w:rPr>
        <w:t xml:space="preserve"> </w:t>
      </w:r>
      <w:r w:rsidRPr="00C75CAD">
        <w:rPr>
          <w:rFonts w:ascii="Simplified Arabic" w:hAnsi="Simplified Arabic" w:cs="Simplified Arabic" w:hint="cs"/>
          <w:rtl/>
        </w:rPr>
        <w:t>فيما بينهم يثري</w:t>
      </w:r>
      <w:r w:rsidRPr="00C75CAD">
        <w:rPr>
          <w:rFonts w:ascii="Simplified Arabic" w:hAnsi="Simplified Arabic" w:cs="Simplified Arabic"/>
          <w:rtl/>
        </w:rPr>
        <w:t xml:space="preserve"> </w:t>
      </w:r>
      <w:r w:rsidRPr="00C75CAD">
        <w:rPr>
          <w:rFonts w:ascii="Simplified Arabic" w:hAnsi="Simplified Arabic" w:cs="Simplified Arabic" w:hint="cs"/>
          <w:rtl/>
        </w:rPr>
        <w:t>النقاش</w:t>
      </w:r>
      <w:r w:rsidRPr="00C75CAD">
        <w:rPr>
          <w:rFonts w:ascii="Simplified Arabic" w:hAnsi="Simplified Arabic" w:cs="Simplified Arabic"/>
          <w:rtl/>
        </w:rPr>
        <w:t xml:space="preserve"> </w:t>
      </w:r>
      <w:r w:rsidRPr="00C75CAD">
        <w:rPr>
          <w:rFonts w:ascii="Simplified Arabic" w:hAnsi="Simplified Arabic" w:cs="Simplified Arabic" w:hint="cs"/>
          <w:rtl/>
        </w:rPr>
        <w:t>ويشجع</w:t>
      </w:r>
      <w:r w:rsidRPr="00C75CAD">
        <w:rPr>
          <w:rFonts w:ascii="Simplified Arabic" w:hAnsi="Simplified Arabic" w:cs="Simplified Arabic"/>
          <w:rtl/>
        </w:rPr>
        <w:t xml:space="preserve"> </w:t>
      </w:r>
      <w:r w:rsidRPr="00C75CAD">
        <w:rPr>
          <w:rFonts w:ascii="Simplified Arabic" w:hAnsi="Simplified Arabic" w:cs="Simplified Arabic" w:hint="cs"/>
          <w:rtl/>
        </w:rPr>
        <w:t>على الإدلاء بوجهات</w:t>
      </w:r>
      <w:r w:rsidRPr="00C75CAD">
        <w:rPr>
          <w:rFonts w:ascii="Simplified Arabic" w:hAnsi="Simplified Arabic" w:cs="Simplified Arabic"/>
          <w:rtl/>
        </w:rPr>
        <w:t xml:space="preserve"> </w:t>
      </w:r>
      <w:r w:rsidRPr="00C75CAD">
        <w:rPr>
          <w:rFonts w:ascii="Simplified Arabic" w:hAnsi="Simplified Arabic" w:cs="Simplified Arabic" w:hint="cs"/>
          <w:rtl/>
        </w:rPr>
        <w:t>نظرهم</w:t>
      </w:r>
      <w:r w:rsidRPr="00C75CAD">
        <w:rPr>
          <w:rFonts w:ascii="Simplified Arabic" w:hAnsi="Simplified Arabic" w:cs="Simplified Arabic"/>
          <w:rtl/>
        </w:rPr>
        <w:t xml:space="preserve"> </w:t>
      </w:r>
      <w:r w:rsidRPr="00C75CAD">
        <w:rPr>
          <w:rFonts w:ascii="Simplified Arabic" w:hAnsi="Simplified Arabic" w:cs="Simplified Arabic" w:hint="cs"/>
          <w:rtl/>
        </w:rPr>
        <w:t>حول</w:t>
      </w:r>
      <w:r w:rsidRPr="00C75CAD">
        <w:rPr>
          <w:rFonts w:ascii="Simplified Arabic" w:hAnsi="Simplified Arabic" w:cs="Simplified Arabic"/>
          <w:rtl/>
        </w:rPr>
        <w:t xml:space="preserve"> </w:t>
      </w:r>
      <w:r w:rsidRPr="00C75CAD">
        <w:rPr>
          <w:rFonts w:ascii="Simplified Arabic" w:hAnsi="Simplified Arabic" w:cs="Simplified Arabic" w:hint="cs"/>
          <w:rtl/>
        </w:rPr>
        <w:t>نفس</w:t>
      </w:r>
      <w:r w:rsidRPr="00C75CAD">
        <w:rPr>
          <w:rFonts w:ascii="Simplified Arabic" w:hAnsi="Simplified Arabic" w:cs="Simplified Arabic"/>
          <w:rtl/>
        </w:rPr>
        <w:t xml:space="preserve"> </w:t>
      </w:r>
      <w:r w:rsidRPr="00C75CAD">
        <w:rPr>
          <w:rFonts w:ascii="Simplified Arabic" w:hAnsi="Simplified Arabic" w:cs="Simplified Arabic" w:hint="cs"/>
          <w:rtl/>
        </w:rPr>
        <w:t>الموضوع ويجعل</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الممكن</w:t>
      </w:r>
      <w:r w:rsidRPr="00C75CAD">
        <w:rPr>
          <w:rFonts w:ascii="Simplified Arabic" w:hAnsi="Simplified Arabic" w:cs="Simplified Arabic"/>
          <w:rtl/>
        </w:rPr>
        <w:t xml:space="preserve"> </w:t>
      </w:r>
      <w:r w:rsidRPr="00C75CAD">
        <w:rPr>
          <w:rFonts w:ascii="Simplified Arabic" w:hAnsi="Simplified Arabic" w:cs="Simplified Arabic" w:hint="cs"/>
          <w:rtl/>
        </w:rPr>
        <w:t>ما يسمى بـ: ''استكشاف</w:t>
      </w:r>
      <w:r w:rsidRPr="00C75CAD">
        <w:rPr>
          <w:rFonts w:ascii="Simplified Arabic" w:hAnsi="Simplified Arabic" w:cs="Simplified Arabic"/>
          <w:rtl/>
        </w:rPr>
        <w:t xml:space="preserve"> </w:t>
      </w:r>
      <w:r w:rsidRPr="00C75CAD">
        <w:rPr>
          <w:rFonts w:ascii="Simplified Arabic" w:hAnsi="Simplified Arabic" w:cs="Simplified Arabic" w:hint="cs"/>
          <w:rtl/>
        </w:rPr>
        <w:t>عالم</w:t>
      </w:r>
      <w:r w:rsidRPr="00C75CAD">
        <w:rPr>
          <w:rFonts w:ascii="Simplified Arabic" w:hAnsi="Simplified Arabic" w:cs="Simplified Arabic"/>
          <w:rtl/>
        </w:rPr>
        <w:t xml:space="preserve"> </w:t>
      </w:r>
      <w:r w:rsidRPr="00C75CAD">
        <w:rPr>
          <w:rFonts w:ascii="Simplified Arabic" w:hAnsi="Simplified Arabic" w:cs="Simplified Arabic" w:hint="cs"/>
          <w:rtl/>
        </w:rPr>
        <w:t>الاحتمالات''. يكشف</w:t>
      </w:r>
      <w:r w:rsidRPr="00C75CAD">
        <w:rPr>
          <w:rFonts w:ascii="Simplified Arabic" w:hAnsi="Simplified Arabic" w:cs="Simplified Arabic"/>
          <w:rtl/>
        </w:rPr>
        <w:t xml:space="preserve"> </w:t>
      </w:r>
      <w:r w:rsidRPr="00C75CAD">
        <w:rPr>
          <w:rFonts w:ascii="Simplified Arabic" w:hAnsi="Simplified Arabic" w:cs="Simplified Arabic" w:hint="cs"/>
          <w:rtl/>
        </w:rPr>
        <w:t>لنا</w:t>
      </w:r>
      <w:r w:rsidRPr="00C75CAD">
        <w:rPr>
          <w:rFonts w:asciiTheme="minorBidi" w:hAnsiTheme="minorBidi" w:cs="Arial" w:hint="cs"/>
          <w:sz w:val="28"/>
          <w:szCs w:val="28"/>
          <w:rtl/>
        </w:rPr>
        <w:t xml:space="preserve"> </w:t>
      </w:r>
      <w:r w:rsidRPr="00C75CAD">
        <w:rPr>
          <w:rFonts w:asciiTheme="majorBidi" w:hAnsiTheme="majorBidi" w:cstheme="majorBidi"/>
        </w:rPr>
        <w:t>(Wehn et al., 2015)</w:t>
      </w:r>
      <w:r w:rsidRPr="00C75CAD">
        <w:rPr>
          <w:rFonts w:asciiTheme="minorBidi" w:hAnsiTheme="minorBidi" w:cs="Arial"/>
          <w:sz w:val="28"/>
          <w:szCs w:val="28"/>
          <w:rtl/>
        </w:rPr>
        <w:t xml:space="preserve"> </w:t>
      </w:r>
      <w:r w:rsidRPr="00C75CAD">
        <w:rPr>
          <w:rFonts w:ascii="Simplified Arabic" w:hAnsi="Simplified Arabic" w:cs="Simplified Arabic" w:hint="cs"/>
          <w:rtl/>
        </w:rPr>
        <w:t>الحاجة</w:t>
      </w:r>
      <w:r w:rsidRPr="00C75CAD">
        <w:rPr>
          <w:rFonts w:ascii="Simplified Arabic" w:hAnsi="Simplified Arabic" w:cs="Simplified Arabic"/>
          <w:rtl/>
        </w:rPr>
        <w:t xml:space="preserve"> </w:t>
      </w:r>
      <w:r w:rsidRPr="00C75CAD">
        <w:rPr>
          <w:rFonts w:ascii="Simplified Arabic" w:hAnsi="Simplified Arabic" w:cs="Simplified Arabic" w:hint="cs"/>
          <w:rtl/>
        </w:rPr>
        <w:t>إلى</w:t>
      </w:r>
      <w:r w:rsidRPr="00C75CAD">
        <w:rPr>
          <w:rFonts w:ascii="Simplified Arabic" w:hAnsi="Simplified Arabic" w:cs="Simplified Arabic"/>
          <w:rtl/>
        </w:rPr>
        <w:t xml:space="preserve"> </w:t>
      </w:r>
      <w:r w:rsidRPr="00C75CAD">
        <w:rPr>
          <w:rFonts w:ascii="Simplified Arabic" w:hAnsi="Simplified Arabic" w:cs="Simplified Arabic" w:hint="cs"/>
          <w:rtl/>
        </w:rPr>
        <w:t>دمج</w:t>
      </w:r>
      <w:r w:rsidRPr="00C75CAD">
        <w:rPr>
          <w:rFonts w:ascii="Simplified Arabic" w:hAnsi="Simplified Arabic" w:cs="Simplified Arabic"/>
          <w:rtl/>
        </w:rPr>
        <w:t xml:space="preserve"> </w:t>
      </w:r>
      <w:r w:rsidRPr="00C75CAD">
        <w:rPr>
          <w:rFonts w:ascii="Simplified Arabic" w:hAnsi="Simplified Arabic" w:cs="Simplified Arabic" w:hint="cs"/>
          <w:rtl/>
        </w:rPr>
        <w:t>السكان المحليين</w:t>
      </w:r>
      <w:r w:rsidRPr="00C75CAD">
        <w:rPr>
          <w:rFonts w:ascii="Simplified Arabic" w:hAnsi="Simplified Arabic" w:cs="Simplified Arabic"/>
          <w:rtl/>
        </w:rPr>
        <w:t xml:space="preserve"> </w:t>
      </w:r>
      <w:r w:rsidRPr="00C75CAD">
        <w:rPr>
          <w:rFonts w:ascii="Simplified Arabic" w:hAnsi="Simplified Arabic" w:cs="Simplified Arabic" w:hint="cs"/>
          <w:rtl/>
        </w:rPr>
        <w:t>في</w:t>
      </w:r>
      <w:r w:rsidRPr="00C75CAD">
        <w:rPr>
          <w:rFonts w:ascii="Simplified Arabic" w:hAnsi="Simplified Arabic" w:cs="Simplified Arabic"/>
          <w:rtl/>
        </w:rPr>
        <w:t xml:space="preserve"> </w:t>
      </w:r>
      <w:r w:rsidRPr="00C75CAD">
        <w:rPr>
          <w:rFonts w:ascii="Simplified Arabic" w:hAnsi="Simplified Arabic" w:cs="Simplified Arabic" w:hint="cs"/>
          <w:rtl/>
        </w:rPr>
        <w:t>عملية</w:t>
      </w:r>
      <w:r w:rsidRPr="00C75CAD">
        <w:rPr>
          <w:rFonts w:ascii="Simplified Arabic" w:hAnsi="Simplified Arabic" w:cs="Simplified Arabic"/>
          <w:rtl/>
        </w:rPr>
        <w:t xml:space="preserve"> </w:t>
      </w:r>
      <w:r w:rsidRPr="00C75CAD">
        <w:rPr>
          <w:rFonts w:ascii="Simplified Arabic" w:hAnsi="Simplified Arabic" w:cs="Simplified Arabic" w:hint="cs"/>
          <w:rtl/>
        </w:rPr>
        <w:t>تشاركية</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أجل</w:t>
      </w:r>
      <w:r w:rsidRPr="00C75CAD">
        <w:rPr>
          <w:rFonts w:ascii="Simplified Arabic" w:hAnsi="Simplified Arabic" w:cs="Simplified Arabic"/>
          <w:rtl/>
        </w:rPr>
        <w:t xml:space="preserve"> </w:t>
      </w:r>
      <w:r w:rsidRPr="00C75CAD">
        <w:rPr>
          <w:rFonts w:ascii="Simplified Arabic" w:hAnsi="Simplified Arabic" w:cs="Simplified Arabic" w:hint="cs"/>
          <w:rtl/>
        </w:rPr>
        <w:t>ضمان</w:t>
      </w:r>
      <w:r w:rsidRPr="00C75CAD">
        <w:rPr>
          <w:rFonts w:ascii="Simplified Arabic" w:hAnsi="Simplified Arabic" w:cs="Simplified Arabic"/>
          <w:rtl/>
        </w:rPr>
        <w:t xml:space="preserve"> </w:t>
      </w:r>
      <w:r w:rsidRPr="00C75CAD">
        <w:rPr>
          <w:rFonts w:ascii="Simplified Arabic" w:hAnsi="Simplified Arabic" w:cs="Simplified Arabic" w:hint="cs"/>
          <w:rtl/>
        </w:rPr>
        <w:t>مشاركتهم</w:t>
      </w:r>
      <w:r w:rsidRPr="00C75CAD">
        <w:rPr>
          <w:rFonts w:ascii="Simplified Arabic" w:hAnsi="Simplified Arabic" w:cs="Simplified Arabic"/>
          <w:rtl/>
        </w:rPr>
        <w:t xml:space="preserve"> </w:t>
      </w:r>
      <w:r w:rsidRPr="00C75CAD">
        <w:rPr>
          <w:rFonts w:ascii="Simplified Arabic" w:hAnsi="Simplified Arabic" w:cs="Simplified Arabic" w:hint="cs"/>
          <w:rtl/>
        </w:rPr>
        <w:t>مع الجهات الفاعلة في</w:t>
      </w:r>
      <w:r w:rsidRPr="00C75CAD">
        <w:rPr>
          <w:rFonts w:ascii="Simplified Arabic" w:hAnsi="Simplified Arabic" w:cs="Simplified Arabic"/>
          <w:rtl/>
        </w:rPr>
        <w:t xml:space="preserve"> </w:t>
      </w:r>
      <w:r w:rsidRPr="00C75CAD">
        <w:rPr>
          <w:rFonts w:ascii="Simplified Arabic" w:hAnsi="Simplified Arabic" w:cs="Simplified Arabic" w:hint="cs"/>
          <w:rtl/>
        </w:rPr>
        <w:t>إنشاء</w:t>
      </w:r>
      <w:r w:rsidRPr="00C75CAD">
        <w:rPr>
          <w:rFonts w:ascii="Simplified Arabic" w:hAnsi="Simplified Arabic" w:cs="Simplified Arabic"/>
          <w:rtl/>
        </w:rPr>
        <w:t xml:space="preserve"> </w:t>
      </w:r>
      <w:r w:rsidRPr="00C75CAD">
        <w:rPr>
          <w:rFonts w:ascii="Simplified Arabic" w:hAnsi="Simplified Arabic" w:cs="Simplified Arabic" w:hint="cs"/>
          <w:rtl/>
        </w:rPr>
        <w:t>استراتيجية</w:t>
      </w:r>
      <w:r w:rsidRPr="00C75CAD">
        <w:rPr>
          <w:rFonts w:ascii="Simplified Arabic" w:hAnsi="Simplified Arabic" w:cs="Simplified Arabic"/>
          <w:rtl/>
        </w:rPr>
        <w:t xml:space="preserve"> </w:t>
      </w:r>
      <w:r w:rsidRPr="00C75CAD">
        <w:rPr>
          <w:rFonts w:ascii="Simplified Arabic" w:hAnsi="Simplified Arabic" w:cs="Simplified Arabic" w:hint="cs"/>
          <w:rtl/>
        </w:rPr>
        <w:t>تسيير</w:t>
      </w:r>
      <w:r w:rsidRPr="00C75CAD">
        <w:rPr>
          <w:rFonts w:ascii="Simplified Arabic" w:hAnsi="Simplified Arabic" w:cs="Simplified Arabic"/>
          <w:rtl/>
        </w:rPr>
        <w:t xml:space="preserve"> </w:t>
      </w:r>
      <w:r w:rsidRPr="00C75CAD">
        <w:rPr>
          <w:rFonts w:ascii="Simplified Arabic" w:hAnsi="Simplified Arabic" w:cs="Simplified Arabic" w:hint="cs"/>
          <w:rtl/>
        </w:rPr>
        <w:t>مخاطر</w:t>
      </w:r>
      <w:r w:rsidRPr="00C75CAD">
        <w:rPr>
          <w:rFonts w:ascii="Simplified Arabic" w:hAnsi="Simplified Arabic" w:cs="Simplified Arabic"/>
          <w:rtl/>
        </w:rPr>
        <w:t xml:space="preserve"> </w:t>
      </w:r>
      <w:r w:rsidRPr="00C75CAD">
        <w:rPr>
          <w:rFonts w:ascii="Simplified Arabic" w:hAnsi="Simplified Arabic" w:cs="Simplified Arabic" w:hint="cs"/>
          <w:rtl/>
        </w:rPr>
        <w:t>الفيضانات</w:t>
      </w:r>
      <w:r w:rsidRPr="00C75CAD">
        <w:rPr>
          <w:rFonts w:ascii="Simplified Arabic" w:hAnsi="Simplified Arabic" w:cs="Simplified Arabic"/>
          <w:rtl/>
        </w:rPr>
        <w:t xml:space="preserve">. </w:t>
      </w:r>
      <w:r w:rsidRPr="00C75CAD">
        <w:rPr>
          <w:rFonts w:ascii="Simplified Arabic" w:hAnsi="Simplified Arabic" w:cs="Simplified Arabic" w:hint="cs"/>
          <w:rtl/>
        </w:rPr>
        <w:t>هذه الاستراتيجية للجهات</w:t>
      </w:r>
      <w:r w:rsidRPr="00C75CAD">
        <w:rPr>
          <w:rFonts w:ascii="Simplified Arabic" w:hAnsi="Simplified Arabic" w:cs="Simplified Arabic"/>
          <w:rtl/>
        </w:rPr>
        <w:t xml:space="preserve"> </w:t>
      </w:r>
      <w:r w:rsidRPr="00C75CAD">
        <w:rPr>
          <w:rFonts w:ascii="Simplified Arabic" w:hAnsi="Simplified Arabic" w:cs="Simplified Arabic" w:hint="cs"/>
          <w:rtl/>
        </w:rPr>
        <w:t>الفاعلة</w:t>
      </w:r>
      <w:r w:rsidRPr="00C75CAD">
        <w:rPr>
          <w:rFonts w:ascii="Simplified Arabic" w:hAnsi="Simplified Arabic" w:cs="Simplified Arabic"/>
          <w:rtl/>
        </w:rPr>
        <w:t xml:space="preserve"> </w:t>
      </w:r>
      <w:r w:rsidRPr="00C75CAD">
        <w:rPr>
          <w:rFonts w:ascii="Simplified Arabic" w:hAnsi="Simplified Arabic" w:cs="Simplified Arabic" w:hint="cs"/>
          <w:rtl/>
        </w:rPr>
        <w:t>في المدينة (السلطات</w:t>
      </w:r>
      <w:r w:rsidRPr="00C75CAD">
        <w:rPr>
          <w:rFonts w:ascii="Simplified Arabic" w:hAnsi="Simplified Arabic" w:cs="Simplified Arabic"/>
          <w:rtl/>
        </w:rPr>
        <w:t xml:space="preserve"> </w:t>
      </w:r>
      <w:r w:rsidRPr="00C75CAD">
        <w:rPr>
          <w:rFonts w:ascii="Simplified Arabic" w:hAnsi="Simplified Arabic" w:cs="Simplified Arabic" w:hint="cs"/>
          <w:rtl/>
        </w:rPr>
        <w:t>المحلية،</w:t>
      </w:r>
      <w:r w:rsidRPr="00C75CAD">
        <w:rPr>
          <w:rFonts w:ascii="Simplified Arabic" w:hAnsi="Simplified Arabic" w:cs="Simplified Arabic"/>
          <w:rtl/>
        </w:rPr>
        <w:t xml:space="preserve"> </w:t>
      </w:r>
      <w:r w:rsidRPr="00C75CAD">
        <w:rPr>
          <w:rFonts w:ascii="Simplified Arabic" w:hAnsi="Simplified Arabic" w:cs="Simplified Arabic" w:hint="cs"/>
          <w:rtl/>
        </w:rPr>
        <w:t>المخططين ومشاركة</w:t>
      </w:r>
      <w:r w:rsidRPr="00C75CAD">
        <w:rPr>
          <w:rFonts w:ascii="Simplified Arabic" w:hAnsi="Simplified Arabic" w:cs="Simplified Arabic"/>
          <w:rtl/>
        </w:rPr>
        <w:t xml:space="preserve"> </w:t>
      </w:r>
      <w:r w:rsidRPr="00C75CAD">
        <w:rPr>
          <w:rFonts w:ascii="Simplified Arabic" w:hAnsi="Simplified Arabic" w:cs="Simplified Arabic" w:hint="cs"/>
          <w:rtl/>
        </w:rPr>
        <w:t>السكان المحليين)</w:t>
      </w:r>
      <w:r w:rsidRPr="00C75CAD">
        <w:rPr>
          <w:rFonts w:ascii="Simplified Arabic" w:hAnsi="Simplified Arabic" w:cs="Simplified Arabic"/>
          <w:rtl/>
        </w:rPr>
        <w:t xml:space="preserve"> </w:t>
      </w:r>
      <w:r w:rsidRPr="00C75CAD">
        <w:rPr>
          <w:rFonts w:ascii="Simplified Arabic" w:hAnsi="Simplified Arabic" w:cs="Simplified Arabic" w:hint="cs"/>
          <w:rtl/>
        </w:rPr>
        <w:t>من الممكن ان تقلل من الاضطرابات داخل</w:t>
      </w:r>
      <w:r w:rsidRPr="00C75CAD">
        <w:rPr>
          <w:rFonts w:ascii="Simplified Arabic" w:hAnsi="Simplified Arabic" w:cs="Simplified Arabic"/>
          <w:rtl/>
        </w:rPr>
        <w:t xml:space="preserve"> </w:t>
      </w:r>
      <w:r w:rsidRPr="00C75CAD">
        <w:rPr>
          <w:rFonts w:ascii="Simplified Arabic" w:hAnsi="Simplified Arabic" w:cs="Simplified Arabic" w:hint="cs"/>
          <w:rtl/>
        </w:rPr>
        <w:t>المدينة</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خلال</w:t>
      </w:r>
      <w:r w:rsidRPr="00C75CAD">
        <w:rPr>
          <w:rFonts w:ascii="Simplified Arabic" w:hAnsi="Simplified Arabic" w:cs="Simplified Arabic"/>
          <w:rtl/>
        </w:rPr>
        <w:t xml:space="preserve"> </w:t>
      </w:r>
      <w:r w:rsidRPr="00C75CAD">
        <w:rPr>
          <w:rFonts w:ascii="Simplified Arabic" w:hAnsi="Simplified Arabic" w:cs="Simplified Arabic" w:hint="cs"/>
          <w:rtl/>
        </w:rPr>
        <w:t>التخطيط</w:t>
      </w:r>
      <w:r w:rsidRPr="00C75CAD">
        <w:rPr>
          <w:rFonts w:ascii="Simplified Arabic" w:hAnsi="Simplified Arabic" w:cs="Simplified Arabic"/>
          <w:rtl/>
        </w:rPr>
        <w:t xml:space="preserve"> </w:t>
      </w:r>
      <w:r w:rsidRPr="00C75CAD">
        <w:rPr>
          <w:rFonts w:ascii="Simplified Arabic" w:hAnsi="Simplified Arabic" w:cs="Simplified Arabic" w:hint="cs"/>
          <w:rtl/>
        </w:rPr>
        <w:t>الحضري</w:t>
      </w:r>
      <w:r w:rsidRPr="00C75CAD">
        <w:rPr>
          <w:rFonts w:ascii="Simplified Arabic" w:hAnsi="Simplified Arabic" w:cs="Simplified Arabic"/>
          <w:rtl/>
        </w:rPr>
        <w:t xml:space="preserve"> </w:t>
      </w:r>
      <w:r w:rsidRPr="00C75CAD">
        <w:rPr>
          <w:rFonts w:ascii="Simplified Arabic" w:hAnsi="Simplified Arabic" w:cs="Simplified Arabic" w:hint="cs"/>
          <w:rtl/>
        </w:rPr>
        <w:t>ومراجعة</w:t>
      </w:r>
      <w:r w:rsidRPr="00C75CAD">
        <w:rPr>
          <w:rFonts w:ascii="Simplified Arabic" w:hAnsi="Simplified Arabic" w:cs="Simplified Arabic"/>
          <w:rtl/>
        </w:rPr>
        <w:t xml:space="preserve"> </w:t>
      </w:r>
      <w:r w:rsidRPr="00C75CAD">
        <w:rPr>
          <w:rFonts w:ascii="Simplified Arabic" w:hAnsi="Simplified Arabic" w:cs="Simplified Arabic" w:hint="cs"/>
          <w:rtl/>
        </w:rPr>
        <w:t>ما</w:t>
      </w:r>
      <w:r w:rsidRPr="00C75CAD">
        <w:rPr>
          <w:rFonts w:ascii="Simplified Arabic" w:hAnsi="Simplified Arabic" w:cs="Simplified Arabic"/>
          <w:rtl/>
        </w:rPr>
        <w:t xml:space="preserve"> </w:t>
      </w:r>
      <w:r w:rsidRPr="00C75CAD">
        <w:rPr>
          <w:rFonts w:ascii="Simplified Arabic" w:hAnsi="Simplified Arabic" w:cs="Simplified Arabic" w:hint="cs"/>
          <w:rtl/>
        </w:rPr>
        <w:t>بعد</w:t>
      </w:r>
      <w:r w:rsidRPr="00C75CAD">
        <w:rPr>
          <w:rFonts w:ascii="Simplified Arabic" w:hAnsi="Simplified Arabic" w:cs="Simplified Arabic"/>
          <w:rtl/>
        </w:rPr>
        <w:t xml:space="preserve"> </w:t>
      </w:r>
      <w:r w:rsidRPr="00C75CAD">
        <w:rPr>
          <w:rFonts w:ascii="Simplified Arabic" w:hAnsi="Simplified Arabic" w:cs="Simplified Arabic" w:hint="cs"/>
          <w:rtl/>
        </w:rPr>
        <w:t>الاضطرابات التي يمكن ان تحدثها الفيضانات. يمكن</w:t>
      </w:r>
      <w:r w:rsidRPr="00C75CAD">
        <w:rPr>
          <w:rFonts w:ascii="Simplified Arabic" w:hAnsi="Simplified Arabic" w:cs="Simplified Arabic"/>
          <w:rtl/>
        </w:rPr>
        <w:t xml:space="preserve"> </w:t>
      </w:r>
      <w:r w:rsidRPr="00C75CAD">
        <w:rPr>
          <w:rFonts w:ascii="Simplified Arabic" w:hAnsi="Simplified Arabic" w:cs="Simplified Arabic" w:hint="cs"/>
          <w:rtl/>
        </w:rPr>
        <w:t>تحسين</w:t>
      </w:r>
      <w:r w:rsidRPr="00C75CAD">
        <w:rPr>
          <w:rFonts w:ascii="Simplified Arabic" w:hAnsi="Simplified Arabic" w:cs="Simplified Arabic"/>
          <w:rtl/>
        </w:rPr>
        <w:t xml:space="preserve"> </w:t>
      </w:r>
      <w:r w:rsidRPr="00C75CAD">
        <w:rPr>
          <w:rFonts w:ascii="Simplified Arabic" w:hAnsi="Simplified Arabic" w:cs="Simplified Arabic" w:hint="cs"/>
          <w:rtl/>
        </w:rPr>
        <w:t>مرونة</w:t>
      </w:r>
      <w:r w:rsidRPr="00C75CAD">
        <w:rPr>
          <w:rFonts w:ascii="Simplified Arabic" w:hAnsi="Simplified Arabic" w:cs="Simplified Arabic"/>
          <w:rtl/>
        </w:rPr>
        <w:t xml:space="preserve"> </w:t>
      </w:r>
      <w:r w:rsidRPr="00C75CAD">
        <w:rPr>
          <w:rFonts w:ascii="Simplified Arabic" w:hAnsi="Simplified Arabic" w:cs="Simplified Arabic" w:hint="cs"/>
          <w:rtl/>
        </w:rPr>
        <w:t>النظام</w:t>
      </w:r>
      <w:r w:rsidRPr="00C75CAD">
        <w:rPr>
          <w:rFonts w:ascii="Simplified Arabic" w:hAnsi="Simplified Arabic" w:cs="Simplified Arabic"/>
          <w:rtl/>
        </w:rPr>
        <w:t xml:space="preserve"> </w:t>
      </w:r>
      <w:r w:rsidRPr="00C75CAD">
        <w:rPr>
          <w:rFonts w:ascii="Simplified Arabic" w:hAnsi="Simplified Arabic" w:cs="Simplified Arabic" w:hint="cs"/>
          <w:rtl/>
        </w:rPr>
        <w:t>الحضري باستخدام</w:t>
      </w:r>
      <w:r w:rsidRPr="00C75CAD">
        <w:rPr>
          <w:rFonts w:ascii="Simplified Arabic" w:hAnsi="Simplified Arabic" w:cs="Simplified Arabic"/>
          <w:rtl/>
        </w:rPr>
        <w:t xml:space="preserve"> </w:t>
      </w:r>
      <w:r w:rsidRPr="00C75CAD">
        <w:rPr>
          <w:rFonts w:ascii="Simplified Arabic" w:hAnsi="Simplified Arabic" w:cs="Simplified Arabic" w:hint="cs"/>
          <w:rtl/>
        </w:rPr>
        <w:t>لوائح</w:t>
      </w:r>
      <w:r w:rsidRPr="00C75CAD">
        <w:rPr>
          <w:rFonts w:ascii="Simplified Arabic" w:hAnsi="Simplified Arabic" w:cs="Simplified Arabic"/>
          <w:rtl/>
        </w:rPr>
        <w:t xml:space="preserve"> </w:t>
      </w:r>
      <w:r w:rsidRPr="00C75CAD">
        <w:rPr>
          <w:rFonts w:ascii="Simplified Arabic" w:hAnsi="Simplified Arabic" w:cs="Simplified Arabic" w:hint="cs"/>
          <w:rtl/>
        </w:rPr>
        <w:t>متنوعة</w:t>
      </w:r>
      <w:r w:rsidRPr="00C75CAD">
        <w:rPr>
          <w:rFonts w:ascii="Simplified Arabic" w:hAnsi="Simplified Arabic" w:cs="Simplified Arabic"/>
          <w:rtl/>
        </w:rPr>
        <w:t xml:space="preserve"> </w:t>
      </w:r>
      <w:r w:rsidRPr="00C75CAD">
        <w:rPr>
          <w:rFonts w:ascii="Simplified Arabic" w:hAnsi="Simplified Arabic" w:cs="Simplified Arabic" w:hint="cs"/>
          <w:rtl/>
        </w:rPr>
        <w:t>مثل</w:t>
      </w:r>
      <w:r w:rsidRPr="00C75CAD">
        <w:rPr>
          <w:rFonts w:ascii="Simplified Arabic" w:hAnsi="Simplified Arabic" w:cs="Simplified Arabic"/>
          <w:rtl/>
        </w:rPr>
        <w:t xml:space="preserve"> </w:t>
      </w:r>
      <w:r w:rsidRPr="00C75CAD">
        <w:rPr>
          <w:rFonts w:ascii="Simplified Arabic" w:hAnsi="Simplified Arabic" w:cs="Simplified Arabic" w:hint="cs"/>
          <w:rtl/>
        </w:rPr>
        <w:t>التخطيط،</w:t>
      </w:r>
      <w:r w:rsidRPr="00C75CAD">
        <w:rPr>
          <w:rFonts w:ascii="Simplified Arabic" w:hAnsi="Simplified Arabic" w:cs="Simplified Arabic"/>
          <w:rtl/>
        </w:rPr>
        <w:t xml:space="preserve"> </w:t>
      </w:r>
      <w:r w:rsidRPr="00C75CAD">
        <w:rPr>
          <w:rFonts w:ascii="Simplified Arabic" w:hAnsi="Simplified Arabic" w:cs="Simplified Arabic" w:hint="cs"/>
          <w:rtl/>
        </w:rPr>
        <w:t>التصميم</w:t>
      </w:r>
      <w:r w:rsidRPr="00C75CAD">
        <w:rPr>
          <w:rFonts w:ascii="Simplified Arabic" w:hAnsi="Simplified Arabic" w:cs="Simplified Arabic"/>
          <w:rtl/>
        </w:rPr>
        <w:t xml:space="preserve"> </w:t>
      </w:r>
      <w:r w:rsidRPr="00C75CAD">
        <w:rPr>
          <w:rFonts w:ascii="Simplified Arabic" w:hAnsi="Simplified Arabic" w:cs="Simplified Arabic" w:hint="cs"/>
          <w:rtl/>
        </w:rPr>
        <w:t>الحضري،</w:t>
      </w:r>
      <w:r w:rsidRPr="00C75CAD">
        <w:rPr>
          <w:rFonts w:ascii="Simplified Arabic" w:hAnsi="Simplified Arabic" w:cs="Simplified Arabic"/>
          <w:rtl/>
        </w:rPr>
        <w:t xml:space="preserve"> </w:t>
      </w:r>
      <w:r w:rsidRPr="00C75CAD">
        <w:rPr>
          <w:rFonts w:ascii="Simplified Arabic" w:hAnsi="Simplified Arabic" w:cs="Simplified Arabic" w:hint="cs"/>
          <w:rtl/>
        </w:rPr>
        <w:t>المؤسسي</w:t>
      </w:r>
      <w:r w:rsidRPr="00C75CAD">
        <w:rPr>
          <w:rFonts w:ascii="Simplified Arabic" w:hAnsi="Simplified Arabic" w:cs="Simplified Arabic"/>
          <w:rtl/>
        </w:rPr>
        <w:t xml:space="preserve"> </w:t>
      </w:r>
      <w:r w:rsidRPr="00C75CAD">
        <w:rPr>
          <w:rFonts w:ascii="Simplified Arabic" w:hAnsi="Simplified Arabic" w:cs="Simplified Arabic" w:hint="cs"/>
          <w:rtl/>
        </w:rPr>
        <w:t>والمشاركة</w:t>
      </w:r>
      <w:r w:rsidRPr="00C75CAD">
        <w:rPr>
          <w:rFonts w:ascii="Simplified Arabic" w:hAnsi="Simplified Arabic" w:cs="Simplified Arabic"/>
          <w:rtl/>
        </w:rPr>
        <w:t xml:space="preserve"> </w:t>
      </w:r>
      <w:r w:rsidRPr="00C75CAD">
        <w:rPr>
          <w:rFonts w:ascii="Simplified Arabic" w:hAnsi="Simplified Arabic" w:cs="Simplified Arabic" w:hint="cs"/>
          <w:rtl/>
        </w:rPr>
        <w:t>العامة</w:t>
      </w:r>
      <w:r w:rsidRPr="00C75CAD">
        <w:rPr>
          <w:rFonts w:ascii="Simplified Arabic" w:hAnsi="Simplified Arabic" w:cs="Simplified Arabic"/>
          <w:rtl/>
        </w:rPr>
        <w:t xml:space="preserve"> </w:t>
      </w:r>
      <w:r w:rsidRPr="00C75CAD">
        <w:rPr>
          <w:rFonts w:ascii="Simplified Arabic" w:hAnsi="Simplified Arabic" w:cs="Simplified Arabic" w:hint="cs"/>
          <w:rtl/>
        </w:rPr>
        <w:t>وما</w:t>
      </w:r>
      <w:r w:rsidRPr="00C75CAD">
        <w:rPr>
          <w:rFonts w:ascii="Simplified Arabic" w:hAnsi="Simplified Arabic" w:cs="Simplified Arabic"/>
          <w:rtl/>
        </w:rPr>
        <w:t xml:space="preserve"> </w:t>
      </w:r>
      <w:r w:rsidRPr="00C75CAD">
        <w:rPr>
          <w:rFonts w:ascii="Simplified Arabic" w:hAnsi="Simplified Arabic" w:cs="Simplified Arabic" w:hint="cs"/>
          <w:rtl/>
        </w:rPr>
        <w:t>إلى</w:t>
      </w:r>
      <w:r w:rsidRPr="00C75CAD">
        <w:rPr>
          <w:rFonts w:ascii="Simplified Arabic" w:hAnsi="Simplified Arabic" w:cs="Simplified Arabic"/>
          <w:rtl/>
        </w:rPr>
        <w:t xml:space="preserve"> </w:t>
      </w:r>
      <w:r w:rsidRPr="00C75CAD">
        <w:rPr>
          <w:rFonts w:ascii="Simplified Arabic" w:hAnsi="Simplified Arabic" w:cs="Simplified Arabic" w:hint="cs"/>
          <w:rtl/>
        </w:rPr>
        <w:t xml:space="preserve">ذلك </w:t>
      </w:r>
      <w:r w:rsidRPr="00C75CAD">
        <w:rPr>
          <w:rFonts w:asciiTheme="majorBidi" w:hAnsiTheme="majorBidi" w:cstheme="majorBidi"/>
          <w:lang w:val="en-US"/>
        </w:rPr>
        <w:t>(Batica, 2015)</w:t>
      </w:r>
      <w:r w:rsidRPr="00C75CAD">
        <w:rPr>
          <w:rFonts w:ascii="Simplified Arabic" w:hAnsi="Simplified Arabic" w:cs="Simplified Arabic"/>
          <w:rtl/>
        </w:rPr>
        <w:t>.</w:t>
      </w:r>
      <w:r w:rsidRPr="00C75CAD">
        <w:rPr>
          <w:rFonts w:ascii="Simplified Arabic" w:hAnsi="Simplified Arabic" w:cs="Simplified Arabic" w:hint="cs"/>
          <w:rtl/>
        </w:rPr>
        <w:t xml:space="preserve"> </w:t>
      </w:r>
    </w:p>
    <w:p w:rsidR="00C97FA4" w:rsidRDefault="00C97FA4" w:rsidP="00E8765E">
      <w:pPr>
        <w:pStyle w:val="Default"/>
        <w:bidi/>
        <w:spacing w:line="276" w:lineRule="auto"/>
        <w:ind w:firstLine="282"/>
        <w:jc w:val="both"/>
        <w:rPr>
          <w:rFonts w:ascii="Simplified Arabic" w:hAnsi="Simplified Arabic" w:cs="Simplified Arabic"/>
          <w:rtl/>
        </w:rPr>
      </w:pPr>
      <w:r>
        <w:rPr>
          <w:rFonts w:ascii="Simplified Arabic" w:hAnsi="Simplified Arabic" w:cs="Simplified Arabic" w:hint="cs"/>
          <w:rtl/>
        </w:rPr>
        <w:t xml:space="preserve">ان </w:t>
      </w:r>
      <w:r w:rsidRPr="00E91A5A">
        <w:rPr>
          <w:rFonts w:ascii="Simplified Arabic" w:hAnsi="Simplified Arabic" w:cs="Simplified Arabic" w:hint="cs"/>
          <w:rtl/>
        </w:rPr>
        <w:t xml:space="preserve">اتخاذ القرار </w:t>
      </w:r>
      <w:r>
        <w:rPr>
          <w:rFonts w:ascii="Simplified Arabic" w:hAnsi="Simplified Arabic" w:cs="Simplified Arabic" w:hint="cs"/>
          <w:rtl/>
        </w:rPr>
        <w:t>المناسب ل</w:t>
      </w:r>
      <w:r w:rsidR="00E8765E">
        <w:rPr>
          <w:rFonts w:ascii="Simplified Arabic" w:hAnsi="Simplified Arabic" w:cs="Simplified Arabic" w:hint="cs"/>
          <w:rtl/>
        </w:rPr>
        <w:t>استعمال</w:t>
      </w:r>
      <w:r>
        <w:rPr>
          <w:rFonts w:ascii="Simplified Arabic" w:hAnsi="Simplified Arabic" w:cs="Simplified Arabic" w:hint="cs"/>
          <w:rtl/>
        </w:rPr>
        <w:t xml:space="preserve">ات الارض الحضرية </w:t>
      </w:r>
      <w:r w:rsidRPr="00E91A5A">
        <w:rPr>
          <w:rFonts w:ascii="Simplified Arabic" w:hAnsi="Simplified Arabic" w:cs="Simplified Arabic" w:hint="cs"/>
          <w:rtl/>
        </w:rPr>
        <w:t>في</w:t>
      </w:r>
      <w:r>
        <w:rPr>
          <w:rFonts w:ascii="Simplified Arabic" w:hAnsi="Simplified Arabic" w:cs="Simplified Arabic" w:hint="cs"/>
          <w:rtl/>
        </w:rPr>
        <w:t>ما يتعلق</w:t>
      </w:r>
      <w:r w:rsidRPr="00E91A5A">
        <w:rPr>
          <w:rFonts w:ascii="Simplified Arabic" w:hAnsi="Simplified Arabic" w:cs="Simplified Arabic" w:hint="cs"/>
          <w:rtl/>
        </w:rPr>
        <w:t xml:space="preserve"> </w:t>
      </w:r>
      <w:r>
        <w:rPr>
          <w:rFonts w:ascii="Simplified Arabic" w:hAnsi="Simplified Arabic" w:cs="Simplified Arabic" w:hint="cs"/>
          <w:rtl/>
        </w:rPr>
        <w:t>ب</w:t>
      </w:r>
      <w:r w:rsidRPr="00E91A5A">
        <w:rPr>
          <w:rFonts w:ascii="Simplified Arabic" w:hAnsi="Simplified Arabic" w:cs="Simplified Arabic" w:hint="cs"/>
          <w:rtl/>
        </w:rPr>
        <w:t>توجيه التنمية الحضرية</w:t>
      </w:r>
      <w:r>
        <w:rPr>
          <w:rFonts w:ascii="Simplified Arabic" w:hAnsi="Simplified Arabic" w:cs="Simplified Arabic" w:hint="cs"/>
          <w:rtl/>
        </w:rPr>
        <w:t xml:space="preserve"> من خلال</w:t>
      </w:r>
      <w:r w:rsidRPr="00E91A5A">
        <w:rPr>
          <w:rFonts w:ascii="Simplified Arabic" w:hAnsi="Simplified Arabic" w:cs="Simplified Arabic" w:hint="cs"/>
          <w:rtl/>
        </w:rPr>
        <w:t xml:space="preserve"> مشاركة </w:t>
      </w:r>
      <w:r>
        <w:rPr>
          <w:rFonts w:ascii="Simplified Arabic" w:hAnsi="Simplified Arabic" w:cs="Simplified Arabic" w:hint="cs"/>
          <w:rtl/>
        </w:rPr>
        <w:t>السكان المحليين يمكن ان</w:t>
      </w:r>
      <w:r w:rsidRPr="00E91A5A">
        <w:rPr>
          <w:rFonts w:ascii="Simplified Arabic" w:hAnsi="Simplified Arabic" w:cs="Simplified Arabic" w:hint="cs"/>
          <w:rtl/>
        </w:rPr>
        <w:t xml:space="preserve"> </w:t>
      </w:r>
      <w:r>
        <w:rPr>
          <w:rFonts w:ascii="Simplified Arabic" w:hAnsi="Simplified Arabic" w:cs="Simplified Arabic" w:hint="cs"/>
          <w:rtl/>
        </w:rPr>
        <w:t>يرفع من مستويات</w:t>
      </w:r>
      <w:r w:rsidRPr="00E91A5A">
        <w:rPr>
          <w:rFonts w:ascii="Simplified Arabic" w:hAnsi="Simplified Arabic" w:cs="Simplified Arabic" w:hint="cs"/>
          <w:rtl/>
        </w:rPr>
        <w:t xml:space="preserve"> المرونة الحضرية في بعدها الفيزيائي</w:t>
      </w:r>
      <w:r>
        <w:rPr>
          <w:rFonts w:ascii="Simplified Arabic" w:hAnsi="Simplified Arabic" w:cs="Simplified Arabic" w:hint="cs"/>
          <w:rtl/>
        </w:rPr>
        <w:t>.</w:t>
      </w:r>
      <w:r w:rsidRPr="00562462">
        <w:rPr>
          <w:rFonts w:ascii="Simplified Arabic" w:hAnsi="Simplified Arabic" w:cs="Simplified Arabic" w:hint="cs"/>
          <w:rtl/>
        </w:rPr>
        <w:t xml:space="preserve"> </w:t>
      </w:r>
    </w:p>
    <w:p w:rsidR="00C97FA4" w:rsidRPr="0090225E" w:rsidRDefault="00C97FA4" w:rsidP="00C97FA4">
      <w:pPr>
        <w:pStyle w:val="Default"/>
        <w:bidi/>
        <w:spacing w:line="276" w:lineRule="auto"/>
        <w:ind w:firstLine="282"/>
        <w:jc w:val="both"/>
        <w:rPr>
          <w:rFonts w:ascii="Simplified Arabic" w:hAnsi="Simplified Arabic" w:cs="Simplified Arabic"/>
        </w:rPr>
      </w:pPr>
      <w:r w:rsidRPr="00C75CAD">
        <w:rPr>
          <w:rFonts w:ascii="Simplified Arabic" w:hAnsi="Simplified Arabic" w:cs="Simplified Arabic"/>
          <w:rtl/>
        </w:rPr>
        <w:t>هناك</w:t>
      </w:r>
      <w:r w:rsidRPr="00C75CAD">
        <w:rPr>
          <w:rFonts w:ascii="Simplified Arabic" w:hAnsi="Simplified Arabic" w:cs="Simplified Arabic" w:hint="cs"/>
          <w:rtl/>
        </w:rPr>
        <w:t xml:space="preserve"> </w:t>
      </w:r>
      <w:r w:rsidRPr="00C75CAD">
        <w:rPr>
          <w:rFonts w:ascii="Simplified Arabic" w:hAnsi="Simplified Arabic" w:cs="Simplified Arabic"/>
          <w:rtl/>
        </w:rPr>
        <w:t>عدة</w:t>
      </w:r>
      <w:r w:rsidRPr="00C75CAD">
        <w:rPr>
          <w:rFonts w:ascii="Simplified Arabic" w:hAnsi="Simplified Arabic" w:cs="Simplified Arabic" w:hint="cs"/>
          <w:rtl/>
        </w:rPr>
        <w:t xml:space="preserve"> </w:t>
      </w:r>
      <w:r w:rsidRPr="00C75CAD">
        <w:rPr>
          <w:rFonts w:ascii="Simplified Arabic" w:hAnsi="Simplified Arabic" w:cs="Simplified Arabic"/>
          <w:rtl/>
        </w:rPr>
        <w:t>أساليب</w:t>
      </w:r>
      <w:r w:rsidRPr="00C75CAD">
        <w:rPr>
          <w:rFonts w:ascii="Simplified Arabic" w:hAnsi="Simplified Arabic" w:cs="Simplified Arabic" w:hint="cs"/>
          <w:rtl/>
        </w:rPr>
        <w:t xml:space="preserve"> </w:t>
      </w:r>
      <w:r w:rsidRPr="00C75CAD">
        <w:rPr>
          <w:rFonts w:ascii="Simplified Arabic" w:hAnsi="Simplified Arabic" w:cs="Simplified Arabic"/>
          <w:rtl/>
        </w:rPr>
        <w:t>للمشاركة</w:t>
      </w:r>
      <w:r w:rsidRPr="00C75CAD">
        <w:rPr>
          <w:rFonts w:ascii="Simplified Arabic" w:hAnsi="Simplified Arabic" w:cs="Simplified Arabic" w:hint="cs"/>
          <w:rtl/>
        </w:rPr>
        <w:t xml:space="preserve"> </w:t>
      </w:r>
      <w:r w:rsidRPr="00C75CAD">
        <w:rPr>
          <w:rFonts w:ascii="Simplified Arabic" w:hAnsi="Simplified Arabic" w:cs="Simplified Arabic"/>
          <w:rtl/>
        </w:rPr>
        <w:t>الشعبية</w:t>
      </w:r>
      <w:r w:rsidRPr="00C75CAD">
        <w:rPr>
          <w:rFonts w:ascii="Simplified Arabic" w:hAnsi="Simplified Arabic" w:cs="Simplified Arabic" w:hint="cs"/>
          <w:rtl/>
        </w:rPr>
        <w:t xml:space="preserve"> </w:t>
      </w:r>
      <w:r w:rsidRPr="00C75CAD">
        <w:rPr>
          <w:rFonts w:ascii="Simplified Arabic" w:hAnsi="Simplified Arabic" w:cs="Simplified Arabic"/>
          <w:rtl/>
        </w:rPr>
        <w:t>تتمثل</w:t>
      </w:r>
      <w:r w:rsidRPr="00C75CAD">
        <w:rPr>
          <w:rFonts w:ascii="Simplified Arabic" w:hAnsi="Simplified Arabic" w:cs="Simplified Arabic" w:hint="cs"/>
          <w:rtl/>
        </w:rPr>
        <w:t xml:space="preserve"> ف</w:t>
      </w:r>
      <w:r w:rsidRPr="00C75CAD">
        <w:rPr>
          <w:rFonts w:ascii="Simplified Arabic" w:hAnsi="Simplified Arabic" w:cs="Simplified Arabic"/>
          <w:rtl/>
        </w:rPr>
        <w:t>ي</w:t>
      </w:r>
      <w:r w:rsidRPr="00C75CAD">
        <w:rPr>
          <w:rFonts w:ascii="Simplified Arabic" w:hAnsi="Simplified Arabic" w:cs="Simplified Arabic" w:hint="cs"/>
          <w:rtl/>
        </w:rPr>
        <w:t xml:space="preserve"> </w:t>
      </w:r>
      <w:r w:rsidRPr="00C75CAD">
        <w:rPr>
          <w:rFonts w:ascii="Simplified Arabic" w:hAnsi="Simplified Arabic" w:cs="Simplified Arabic"/>
          <w:rtl/>
        </w:rPr>
        <w:t>الآتي</w:t>
      </w:r>
      <w:r w:rsidRPr="00C75CAD">
        <w:rPr>
          <w:rFonts w:ascii="Simplified Arabic" w:hAnsi="Simplified Arabic" w:cs="Simplified Arabic" w:hint="cs"/>
          <w:rtl/>
        </w:rPr>
        <w:t xml:space="preserve"> (صفاء سلطان ميَا، 2014):</w:t>
      </w:r>
    </w:p>
    <w:p w:rsidR="00C97FA4" w:rsidRPr="00E353F0" w:rsidRDefault="00C97FA4" w:rsidP="001D0548">
      <w:pPr>
        <w:pStyle w:val="Default"/>
        <w:numPr>
          <w:ilvl w:val="0"/>
          <w:numId w:val="34"/>
        </w:numPr>
        <w:bidi/>
        <w:spacing w:line="276" w:lineRule="auto"/>
        <w:ind w:left="-1" w:firstLine="283"/>
        <w:jc w:val="both"/>
        <w:rPr>
          <w:rFonts w:ascii="Simplified Arabic" w:hAnsi="Simplified Arabic" w:cs="Simplified Arabic"/>
          <w:rtl/>
          <w:lang w:bidi="ar-DZ"/>
        </w:rPr>
      </w:pPr>
      <w:r w:rsidRPr="00E353F0">
        <w:rPr>
          <w:rFonts w:ascii="Simplified Arabic" w:hAnsi="Simplified Arabic" w:cs="Simplified Arabic" w:hint="cs"/>
          <w:b/>
          <w:bCs/>
          <w:rtl/>
        </w:rPr>
        <w:t>المشاركة المباشرة</w:t>
      </w:r>
      <w:r w:rsidRPr="00E353F0">
        <w:rPr>
          <w:rFonts w:ascii="Simplified Arabic" w:hAnsi="Simplified Arabic" w:cs="Simplified Arabic" w:hint="cs"/>
          <w:rtl/>
        </w:rPr>
        <w:t xml:space="preserve">: </w:t>
      </w:r>
      <w:r w:rsidRPr="00E353F0">
        <w:rPr>
          <w:rFonts w:ascii="Simplified Arabic" w:hAnsi="Simplified Arabic" w:cs="Simplified Arabic"/>
          <w:rtl/>
        </w:rPr>
        <w:t>تختلف</w:t>
      </w:r>
      <w:r w:rsidRPr="00E353F0">
        <w:rPr>
          <w:rFonts w:ascii="Simplified Arabic" w:hAnsi="Simplified Arabic" w:cs="Simplified Arabic" w:hint="cs"/>
          <w:rtl/>
        </w:rPr>
        <w:t xml:space="preserve"> </w:t>
      </w:r>
      <w:r w:rsidRPr="00E353F0">
        <w:rPr>
          <w:rFonts w:ascii="Simplified Arabic" w:hAnsi="Simplified Arabic" w:cs="Simplified Arabic"/>
          <w:rtl/>
        </w:rPr>
        <w:t>أساليبها</w:t>
      </w:r>
      <w:r w:rsidRPr="00E353F0">
        <w:rPr>
          <w:rFonts w:ascii="Simplified Arabic" w:hAnsi="Simplified Arabic" w:cs="Simplified Arabic" w:hint="cs"/>
          <w:rtl/>
        </w:rPr>
        <w:t xml:space="preserve"> </w:t>
      </w:r>
      <w:r w:rsidRPr="00E353F0">
        <w:rPr>
          <w:rFonts w:ascii="Simplified Arabic" w:hAnsi="Simplified Arabic" w:cs="Simplified Arabic"/>
          <w:rtl/>
        </w:rPr>
        <w:t>من</w:t>
      </w:r>
      <w:r w:rsidRPr="00E353F0">
        <w:rPr>
          <w:rFonts w:ascii="Simplified Arabic" w:hAnsi="Simplified Arabic" w:cs="Simplified Arabic" w:hint="cs"/>
          <w:rtl/>
        </w:rPr>
        <w:t xml:space="preserve"> خلال </w:t>
      </w:r>
      <w:r w:rsidRPr="00E353F0">
        <w:rPr>
          <w:rFonts w:ascii="Simplified Arabic" w:hAnsi="Simplified Arabic" w:cs="Simplified Arabic"/>
          <w:rtl/>
        </w:rPr>
        <w:t>الانتخابات،</w:t>
      </w:r>
      <w:r w:rsidRPr="00E353F0">
        <w:rPr>
          <w:rFonts w:ascii="Simplified Arabic" w:hAnsi="Simplified Arabic" w:cs="Simplified Arabic" w:hint="cs"/>
          <w:rtl/>
        </w:rPr>
        <w:t xml:space="preserve"> </w:t>
      </w:r>
      <w:r w:rsidRPr="00E353F0">
        <w:rPr>
          <w:rFonts w:ascii="Simplified Arabic" w:hAnsi="Simplified Arabic" w:cs="Simplified Arabic"/>
          <w:rtl/>
        </w:rPr>
        <w:t>حضور</w:t>
      </w:r>
      <w:r w:rsidRPr="00E353F0">
        <w:rPr>
          <w:rFonts w:ascii="Simplified Arabic" w:hAnsi="Simplified Arabic" w:cs="Simplified Arabic" w:hint="cs"/>
          <w:rtl/>
        </w:rPr>
        <w:t xml:space="preserve"> </w:t>
      </w:r>
      <w:r>
        <w:rPr>
          <w:rFonts w:ascii="Simplified Arabic" w:hAnsi="Simplified Arabic" w:cs="Simplified Arabic"/>
          <w:rtl/>
        </w:rPr>
        <w:t>الاجتماعات</w:t>
      </w:r>
      <w:r w:rsidRPr="00E353F0">
        <w:rPr>
          <w:rFonts w:ascii="Simplified Arabic" w:hAnsi="Simplified Arabic" w:cs="Simplified Arabic" w:hint="cs"/>
          <w:rtl/>
        </w:rPr>
        <w:t xml:space="preserve"> والجلسات العلنية </w:t>
      </w:r>
      <w:r w:rsidRPr="00E353F0">
        <w:rPr>
          <w:rFonts w:ascii="Simplified Arabic" w:hAnsi="Simplified Arabic" w:cs="Simplified Arabic"/>
          <w:rtl/>
        </w:rPr>
        <w:t>للمجالس</w:t>
      </w:r>
      <w:r w:rsidRPr="00E353F0">
        <w:rPr>
          <w:rFonts w:ascii="Simplified Arabic" w:hAnsi="Simplified Arabic" w:cs="Simplified Arabic" w:hint="cs"/>
          <w:rtl/>
        </w:rPr>
        <w:t xml:space="preserve"> الشعبية </w:t>
      </w:r>
      <w:r w:rsidRPr="00E353F0">
        <w:rPr>
          <w:rFonts w:ascii="Simplified Arabic" w:hAnsi="Simplified Arabic" w:cs="Simplified Arabic"/>
          <w:rtl/>
        </w:rPr>
        <w:t>ال</w:t>
      </w:r>
      <w:r w:rsidRPr="00E353F0">
        <w:rPr>
          <w:rFonts w:ascii="Simplified Arabic" w:hAnsi="Simplified Arabic" w:cs="Simplified Arabic" w:hint="cs"/>
          <w:rtl/>
        </w:rPr>
        <w:t>ب</w:t>
      </w:r>
      <w:r w:rsidRPr="00E353F0">
        <w:rPr>
          <w:rFonts w:ascii="Simplified Arabic" w:hAnsi="Simplified Arabic" w:cs="Simplified Arabic"/>
          <w:rtl/>
        </w:rPr>
        <w:t>ل</w:t>
      </w:r>
      <w:r w:rsidRPr="00E353F0">
        <w:rPr>
          <w:rFonts w:ascii="Simplified Arabic" w:hAnsi="Simplified Arabic" w:cs="Simplified Arabic" w:hint="cs"/>
          <w:rtl/>
        </w:rPr>
        <w:t>د</w:t>
      </w:r>
      <w:r w:rsidRPr="00E353F0">
        <w:rPr>
          <w:rFonts w:ascii="Simplified Arabic" w:hAnsi="Simplified Arabic" w:cs="Simplified Arabic"/>
          <w:rtl/>
        </w:rPr>
        <w:t>ية</w:t>
      </w:r>
      <w:r w:rsidRPr="00E353F0">
        <w:rPr>
          <w:rFonts w:ascii="Simplified Arabic" w:hAnsi="Simplified Arabic" w:cs="Simplified Arabic" w:hint="cs"/>
          <w:rtl/>
        </w:rPr>
        <w:t xml:space="preserve"> </w:t>
      </w:r>
      <w:r w:rsidRPr="00E353F0">
        <w:rPr>
          <w:rFonts w:ascii="Simplified Arabic" w:hAnsi="Simplified Arabic" w:cs="Simplified Arabic"/>
          <w:rtl/>
        </w:rPr>
        <w:t>لسماع</w:t>
      </w:r>
      <w:r w:rsidRPr="00E353F0">
        <w:rPr>
          <w:rFonts w:ascii="Simplified Arabic" w:hAnsi="Simplified Arabic" w:cs="Simplified Arabic" w:hint="cs"/>
          <w:rtl/>
        </w:rPr>
        <w:t xml:space="preserve"> </w:t>
      </w:r>
      <w:r w:rsidRPr="00E353F0">
        <w:rPr>
          <w:rFonts w:ascii="Simplified Arabic" w:hAnsi="Simplified Arabic" w:cs="Simplified Arabic"/>
          <w:rtl/>
        </w:rPr>
        <w:t>آرا</w:t>
      </w:r>
      <w:r w:rsidRPr="00E353F0">
        <w:rPr>
          <w:rFonts w:ascii="Simplified Arabic" w:hAnsi="Simplified Arabic" w:cs="Simplified Arabic" w:hint="cs"/>
          <w:rtl/>
        </w:rPr>
        <w:t xml:space="preserve">ء </w:t>
      </w:r>
      <w:r w:rsidRPr="00E353F0">
        <w:rPr>
          <w:rFonts w:ascii="Simplified Arabic" w:hAnsi="Simplified Arabic" w:cs="Simplified Arabic"/>
          <w:rtl/>
        </w:rPr>
        <w:t>السكا</w:t>
      </w:r>
      <w:r w:rsidRPr="00E353F0">
        <w:rPr>
          <w:rFonts w:ascii="Simplified Arabic" w:hAnsi="Simplified Arabic" w:cs="Simplified Arabic" w:hint="cs"/>
          <w:rtl/>
        </w:rPr>
        <w:t>ن.</w:t>
      </w:r>
    </w:p>
    <w:p w:rsidR="00C97FA4" w:rsidRPr="0090225E" w:rsidRDefault="00C97FA4" w:rsidP="001D0548">
      <w:pPr>
        <w:pStyle w:val="Default"/>
        <w:numPr>
          <w:ilvl w:val="0"/>
          <w:numId w:val="34"/>
        </w:numPr>
        <w:bidi/>
        <w:spacing w:line="276" w:lineRule="auto"/>
        <w:ind w:left="-1" w:firstLine="283"/>
        <w:jc w:val="both"/>
        <w:rPr>
          <w:rFonts w:ascii="Simplified Arabic" w:hAnsi="Simplified Arabic" w:cs="Simplified Arabic"/>
        </w:rPr>
      </w:pPr>
      <w:r w:rsidRPr="00E353F0">
        <w:rPr>
          <w:rFonts w:ascii="Simplified Arabic" w:hAnsi="Simplified Arabic" w:cs="Simplified Arabic" w:hint="cs"/>
          <w:b/>
          <w:bCs/>
          <w:rtl/>
        </w:rPr>
        <w:lastRenderedPageBreak/>
        <w:t>المشاركة غير المباشرة:</w:t>
      </w:r>
      <w:r>
        <w:rPr>
          <w:rFonts w:ascii="Simplified Arabic" w:hAnsi="Simplified Arabic" w:cs="Simplified Arabic" w:hint="cs"/>
          <w:rtl/>
        </w:rPr>
        <w:t xml:space="preserve"> </w:t>
      </w:r>
      <w:r w:rsidRPr="0090225E">
        <w:rPr>
          <w:rFonts w:ascii="Simplified Arabic" w:hAnsi="Simplified Arabic" w:cs="Simplified Arabic"/>
          <w:rtl/>
        </w:rPr>
        <w:t>تتم</w:t>
      </w:r>
      <w:r>
        <w:rPr>
          <w:rFonts w:ascii="Simplified Arabic" w:hAnsi="Simplified Arabic" w:cs="Simplified Arabic" w:hint="cs"/>
          <w:rtl/>
        </w:rPr>
        <w:t xml:space="preserve"> </w:t>
      </w:r>
      <w:r w:rsidRPr="0090225E">
        <w:rPr>
          <w:rFonts w:ascii="Simplified Arabic" w:hAnsi="Simplified Arabic" w:cs="Simplified Arabic"/>
          <w:rtl/>
        </w:rPr>
        <w:t>بواسطة</w:t>
      </w:r>
      <w:r>
        <w:rPr>
          <w:rFonts w:ascii="Simplified Arabic" w:hAnsi="Simplified Arabic" w:cs="Simplified Arabic" w:hint="cs"/>
          <w:rtl/>
        </w:rPr>
        <w:t xml:space="preserve"> </w:t>
      </w:r>
      <w:r w:rsidRPr="0090225E">
        <w:rPr>
          <w:rFonts w:ascii="Simplified Arabic" w:hAnsi="Simplified Arabic" w:cs="Simplified Arabic"/>
          <w:rtl/>
        </w:rPr>
        <w:t>أشخاص</w:t>
      </w:r>
      <w:r>
        <w:rPr>
          <w:rFonts w:ascii="Simplified Arabic" w:hAnsi="Simplified Arabic" w:cs="Simplified Arabic" w:hint="cs"/>
          <w:rtl/>
        </w:rPr>
        <w:t xml:space="preserve"> </w:t>
      </w:r>
      <w:r w:rsidRPr="0090225E">
        <w:rPr>
          <w:rFonts w:ascii="Simplified Arabic" w:hAnsi="Simplified Arabic" w:cs="Simplified Arabic"/>
          <w:rtl/>
        </w:rPr>
        <w:t>معينين</w:t>
      </w:r>
      <w:r>
        <w:rPr>
          <w:rFonts w:ascii="Simplified Arabic" w:hAnsi="Simplified Arabic" w:cs="Simplified Arabic" w:hint="cs"/>
          <w:rtl/>
        </w:rPr>
        <w:t xml:space="preserve"> </w:t>
      </w:r>
      <w:r w:rsidRPr="0090225E">
        <w:rPr>
          <w:rFonts w:ascii="Simplified Arabic" w:hAnsi="Simplified Arabic" w:cs="Simplified Arabic"/>
          <w:rtl/>
        </w:rPr>
        <w:t>وبتكليف</w:t>
      </w:r>
      <w:r>
        <w:rPr>
          <w:rFonts w:ascii="Simplified Arabic" w:hAnsi="Simplified Arabic" w:cs="Simplified Arabic" w:hint="cs"/>
          <w:rtl/>
        </w:rPr>
        <w:t xml:space="preserve"> </w:t>
      </w:r>
      <w:r w:rsidRPr="0090225E">
        <w:rPr>
          <w:rFonts w:ascii="Simplified Arabic" w:hAnsi="Simplified Arabic" w:cs="Simplified Arabic"/>
          <w:rtl/>
        </w:rPr>
        <w:t>من</w:t>
      </w:r>
      <w:r>
        <w:rPr>
          <w:rFonts w:ascii="Simplified Arabic" w:hAnsi="Simplified Arabic" w:cs="Simplified Arabic" w:hint="cs"/>
          <w:rtl/>
        </w:rPr>
        <w:t xml:space="preserve"> </w:t>
      </w:r>
      <w:r w:rsidRPr="0090225E">
        <w:rPr>
          <w:rFonts w:ascii="Simplified Arabic" w:hAnsi="Simplified Arabic" w:cs="Simplified Arabic"/>
          <w:rtl/>
        </w:rPr>
        <w:t>جهات</w:t>
      </w:r>
      <w:r>
        <w:rPr>
          <w:rFonts w:ascii="Simplified Arabic" w:hAnsi="Simplified Arabic" w:cs="Simplified Arabic" w:hint="cs"/>
          <w:rtl/>
        </w:rPr>
        <w:t xml:space="preserve"> </w:t>
      </w:r>
      <w:r w:rsidRPr="0090225E">
        <w:rPr>
          <w:rFonts w:ascii="Simplified Arabic" w:hAnsi="Simplified Arabic" w:cs="Simplified Arabic"/>
          <w:rtl/>
        </w:rPr>
        <w:t>معينة</w:t>
      </w:r>
      <w:r>
        <w:rPr>
          <w:rFonts w:ascii="Simplified Arabic" w:hAnsi="Simplified Arabic" w:cs="Simplified Arabic" w:hint="cs"/>
          <w:rtl/>
        </w:rPr>
        <w:t xml:space="preserve"> </w:t>
      </w:r>
      <w:r w:rsidRPr="0090225E">
        <w:rPr>
          <w:rFonts w:ascii="Simplified Arabic" w:hAnsi="Simplified Arabic" w:cs="Simplified Arabic"/>
          <w:rtl/>
        </w:rPr>
        <w:t>وبدوافع</w:t>
      </w:r>
      <w:r>
        <w:rPr>
          <w:rFonts w:ascii="Simplified Arabic" w:hAnsi="Simplified Arabic" w:cs="Simplified Arabic" w:hint="cs"/>
          <w:rtl/>
        </w:rPr>
        <w:t xml:space="preserve"> </w:t>
      </w:r>
      <w:r>
        <w:rPr>
          <w:rFonts w:ascii="Simplified Arabic" w:hAnsi="Simplified Arabic" w:cs="Simplified Arabic"/>
          <w:rtl/>
        </w:rPr>
        <w:t>مختلف</w:t>
      </w:r>
      <w:r>
        <w:rPr>
          <w:rFonts w:ascii="Simplified Arabic" w:hAnsi="Simplified Arabic" w:cs="Simplified Arabic" w:hint="cs"/>
          <w:rtl/>
        </w:rPr>
        <w:t>ة.</w:t>
      </w:r>
    </w:p>
    <w:p w:rsidR="00C97FA4" w:rsidRPr="00775855" w:rsidRDefault="00C97FA4" w:rsidP="001D0548">
      <w:pPr>
        <w:pStyle w:val="Default"/>
        <w:numPr>
          <w:ilvl w:val="0"/>
          <w:numId w:val="34"/>
        </w:numPr>
        <w:bidi/>
        <w:spacing w:line="276" w:lineRule="auto"/>
        <w:ind w:left="-1" w:firstLine="283"/>
        <w:jc w:val="both"/>
        <w:rPr>
          <w:rFonts w:ascii="Simplified Arabic" w:hAnsi="Simplified Arabic" w:cs="Simplified Arabic"/>
          <w:rtl/>
        </w:rPr>
      </w:pPr>
      <w:r w:rsidRPr="00E353F0">
        <w:rPr>
          <w:rFonts w:ascii="Simplified Arabic" w:hAnsi="Simplified Arabic" w:cs="Simplified Arabic" w:hint="cs"/>
          <w:b/>
          <w:bCs/>
          <w:rtl/>
        </w:rPr>
        <w:t>الاستبيان الالكتروني</w:t>
      </w:r>
      <w:r w:rsidRPr="00E353F0">
        <w:rPr>
          <w:rFonts w:ascii="Simplified Arabic" w:hAnsi="Simplified Arabic" w:cs="Simplified Arabic"/>
          <w:b/>
          <w:bCs/>
        </w:rPr>
        <w:t>:</w:t>
      </w:r>
      <w:r>
        <w:rPr>
          <w:rFonts w:ascii="Simplified Arabic" w:hAnsi="Simplified Arabic" w:cs="Simplified Arabic" w:hint="cs"/>
          <w:rtl/>
        </w:rPr>
        <w:t xml:space="preserve"> هو </w:t>
      </w:r>
      <w:r w:rsidRPr="0090225E">
        <w:rPr>
          <w:rFonts w:ascii="Simplified Arabic" w:hAnsi="Simplified Arabic" w:cs="Simplified Arabic"/>
          <w:rtl/>
        </w:rPr>
        <w:t>من</w:t>
      </w:r>
      <w:r>
        <w:rPr>
          <w:rFonts w:ascii="Simplified Arabic" w:hAnsi="Simplified Arabic" w:cs="Simplified Arabic" w:hint="cs"/>
          <w:rtl/>
        </w:rPr>
        <w:t xml:space="preserve"> </w:t>
      </w:r>
      <w:r w:rsidRPr="0090225E">
        <w:rPr>
          <w:rFonts w:ascii="Simplified Arabic" w:hAnsi="Simplified Arabic" w:cs="Simplified Arabic"/>
          <w:rtl/>
        </w:rPr>
        <w:t>أكثر</w:t>
      </w:r>
      <w:r>
        <w:rPr>
          <w:rFonts w:ascii="Simplified Arabic" w:hAnsi="Simplified Arabic" w:cs="Simplified Arabic" w:hint="cs"/>
          <w:rtl/>
        </w:rPr>
        <w:t xml:space="preserve"> </w:t>
      </w:r>
      <w:r w:rsidRPr="0090225E">
        <w:rPr>
          <w:rFonts w:ascii="Simplified Arabic" w:hAnsi="Simplified Arabic" w:cs="Simplified Arabic"/>
          <w:rtl/>
        </w:rPr>
        <w:t>نماذج</w:t>
      </w:r>
      <w:r>
        <w:rPr>
          <w:rFonts w:ascii="Simplified Arabic" w:hAnsi="Simplified Arabic" w:cs="Simplified Arabic" w:hint="cs"/>
          <w:rtl/>
        </w:rPr>
        <w:t xml:space="preserve"> </w:t>
      </w:r>
      <w:r w:rsidRPr="0090225E">
        <w:rPr>
          <w:rFonts w:ascii="Simplified Arabic" w:hAnsi="Simplified Arabic" w:cs="Simplified Arabic"/>
          <w:rtl/>
        </w:rPr>
        <w:t>المشاركة</w:t>
      </w:r>
      <w:r>
        <w:rPr>
          <w:rFonts w:ascii="Simplified Arabic" w:hAnsi="Simplified Arabic" w:cs="Simplified Arabic" w:hint="cs"/>
          <w:rtl/>
        </w:rPr>
        <w:t xml:space="preserve"> </w:t>
      </w:r>
      <w:r w:rsidRPr="0090225E">
        <w:rPr>
          <w:rFonts w:ascii="Simplified Arabic" w:hAnsi="Simplified Arabic" w:cs="Simplified Arabic"/>
          <w:rtl/>
        </w:rPr>
        <w:t>الشعبية</w:t>
      </w:r>
      <w:r>
        <w:rPr>
          <w:rFonts w:ascii="Simplified Arabic" w:hAnsi="Simplified Arabic" w:cs="Simplified Arabic" w:hint="cs"/>
          <w:rtl/>
        </w:rPr>
        <w:t xml:space="preserve"> </w:t>
      </w:r>
      <w:r w:rsidRPr="0090225E">
        <w:rPr>
          <w:rFonts w:ascii="Simplified Arabic" w:hAnsi="Simplified Arabic" w:cs="Simplified Arabic"/>
          <w:rtl/>
        </w:rPr>
        <w:t>تطوراً</w:t>
      </w:r>
      <w:r>
        <w:rPr>
          <w:rFonts w:ascii="Simplified Arabic" w:hAnsi="Simplified Arabic" w:cs="Simplified Arabic" w:hint="cs"/>
          <w:rtl/>
        </w:rPr>
        <w:t xml:space="preserve"> </w:t>
      </w:r>
      <w:r w:rsidRPr="0090225E">
        <w:rPr>
          <w:rFonts w:ascii="Simplified Arabic" w:hAnsi="Simplified Arabic" w:cs="Simplified Arabic"/>
          <w:rtl/>
        </w:rPr>
        <w:t>من</w:t>
      </w:r>
      <w:r>
        <w:rPr>
          <w:rFonts w:ascii="Simplified Arabic" w:hAnsi="Simplified Arabic" w:cs="Simplified Arabic" w:hint="cs"/>
          <w:rtl/>
        </w:rPr>
        <w:t xml:space="preserve"> </w:t>
      </w:r>
      <w:r w:rsidRPr="0090225E">
        <w:rPr>
          <w:rFonts w:ascii="Simplified Arabic" w:hAnsi="Simplified Arabic" w:cs="Simplified Arabic"/>
          <w:rtl/>
        </w:rPr>
        <w:t>خلال</w:t>
      </w:r>
      <w:r>
        <w:rPr>
          <w:rFonts w:ascii="Simplified Arabic" w:hAnsi="Simplified Arabic" w:cs="Simplified Arabic" w:hint="cs"/>
          <w:rtl/>
        </w:rPr>
        <w:t xml:space="preserve"> </w:t>
      </w:r>
      <w:r w:rsidRPr="0090225E">
        <w:rPr>
          <w:rFonts w:ascii="Simplified Arabic" w:hAnsi="Simplified Arabic" w:cs="Simplified Arabic"/>
          <w:rtl/>
        </w:rPr>
        <w:t>تقنية</w:t>
      </w:r>
      <w:r>
        <w:rPr>
          <w:rFonts w:ascii="Simplified Arabic" w:hAnsi="Simplified Arabic" w:cs="Simplified Arabic" w:hint="cs"/>
          <w:rtl/>
        </w:rPr>
        <w:t xml:space="preserve"> </w:t>
      </w:r>
      <w:r w:rsidRPr="0090225E">
        <w:rPr>
          <w:rFonts w:ascii="Simplified Arabic" w:hAnsi="Simplified Arabic" w:cs="Simplified Arabic"/>
          <w:rtl/>
        </w:rPr>
        <w:t>المعلومات</w:t>
      </w:r>
      <w:r>
        <w:rPr>
          <w:rFonts w:ascii="Simplified Arabic" w:hAnsi="Simplified Arabic" w:cs="Simplified Arabic" w:hint="cs"/>
          <w:rtl/>
        </w:rPr>
        <w:t xml:space="preserve"> </w:t>
      </w:r>
      <w:r w:rsidRPr="0090225E">
        <w:rPr>
          <w:rFonts w:ascii="Simplified Arabic" w:hAnsi="Simplified Arabic" w:cs="Simplified Arabic"/>
          <w:rtl/>
        </w:rPr>
        <w:t>والاتصالات</w:t>
      </w:r>
      <w:r>
        <w:rPr>
          <w:rFonts w:ascii="Simplified Arabic" w:hAnsi="Simplified Arabic" w:cs="Simplified Arabic" w:hint="cs"/>
          <w:rtl/>
        </w:rPr>
        <w:t xml:space="preserve"> </w:t>
      </w:r>
      <w:r w:rsidRPr="00095926">
        <w:rPr>
          <w:rFonts w:asciiTheme="majorBidi" w:hAnsiTheme="majorBidi" w:cstheme="majorBidi"/>
          <w:rtl/>
        </w:rPr>
        <w:t>(</w:t>
      </w:r>
      <w:r>
        <w:rPr>
          <w:rFonts w:asciiTheme="majorBidi" w:hAnsiTheme="majorBidi" w:cstheme="majorBidi"/>
        </w:rPr>
        <w:t>I</w:t>
      </w:r>
      <w:r w:rsidR="00171E1E">
        <w:rPr>
          <w:rFonts w:asciiTheme="majorBidi" w:hAnsiTheme="majorBidi" w:cstheme="majorBidi"/>
        </w:rPr>
        <w:t>CT</w:t>
      </w:r>
      <w:r w:rsidRPr="00095926">
        <w:rPr>
          <w:rFonts w:asciiTheme="majorBidi" w:hAnsiTheme="majorBidi" w:cstheme="majorBidi"/>
          <w:rtl/>
        </w:rPr>
        <w:t>)</w:t>
      </w:r>
      <w:r w:rsidRPr="00775855">
        <w:rPr>
          <w:rFonts w:ascii="Simplified Arabic" w:hAnsi="Simplified Arabic" w:cs="Simplified Arabic"/>
          <w:rtl/>
        </w:rPr>
        <w:t>، تعتبر أداة جيدة لحل المشاكل الحضرية من خلال المشاركة وتتم هذه الاستشارة من خلال أدوات متعددة منها الانترنيت داخل ما يسمى بالحكومة الالكترونية.</w:t>
      </w:r>
    </w:p>
    <w:p w:rsidR="00C97FA4" w:rsidRDefault="00C97FA4" w:rsidP="00C97FA4">
      <w:pPr>
        <w:pStyle w:val="Default"/>
        <w:bidi/>
        <w:spacing w:line="276" w:lineRule="auto"/>
        <w:ind w:firstLine="282"/>
        <w:jc w:val="both"/>
        <w:rPr>
          <w:rFonts w:ascii="Simplified Arabic" w:hAnsi="Simplified Arabic" w:cs="Simplified Arabic"/>
          <w:rtl/>
        </w:rPr>
      </w:pPr>
      <w:r w:rsidRPr="0090225E">
        <w:rPr>
          <w:rFonts w:ascii="Simplified Arabic" w:hAnsi="Simplified Arabic" w:cs="Simplified Arabic"/>
          <w:rtl/>
        </w:rPr>
        <w:t>الأمر</w:t>
      </w:r>
      <w:r w:rsidRPr="0090225E">
        <w:rPr>
          <w:rFonts w:ascii="Simplified Arabic" w:hAnsi="Simplified Arabic" w:cs="Simplified Arabic"/>
        </w:rPr>
        <w:t xml:space="preserve"> </w:t>
      </w:r>
      <w:r w:rsidRPr="0090225E">
        <w:rPr>
          <w:rFonts w:ascii="Simplified Arabic" w:hAnsi="Simplified Arabic" w:cs="Simplified Arabic"/>
          <w:rtl/>
        </w:rPr>
        <w:t>المهم</w:t>
      </w:r>
      <w:r w:rsidRPr="0090225E">
        <w:rPr>
          <w:rFonts w:ascii="Simplified Arabic" w:hAnsi="Simplified Arabic" w:cs="Simplified Arabic"/>
        </w:rPr>
        <w:t xml:space="preserve"> </w:t>
      </w:r>
      <w:r w:rsidRPr="0090225E">
        <w:rPr>
          <w:rFonts w:ascii="Simplified Arabic" w:hAnsi="Simplified Arabic" w:cs="Simplified Arabic"/>
          <w:rtl/>
        </w:rPr>
        <w:t>ليس</w:t>
      </w:r>
      <w:r w:rsidRPr="0090225E">
        <w:rPr>
          <w:rFonts w:ascii="Simplified Arabic" w:hAnsi="Simplified Arabic" w:cs="Simplified Arabic"/>
        </w:rPr>
        <w:t xml:space="preserve"> </w:t>
      </w:r>
      <w:r w:rsidRPr="0090225E">
        <w:rPr>
          <w:rFonts w:ascii="Simplified Arabic" w:hAnsi="Simplified Arabic" w:cs="Simplified Arabic"/>
          <w:rtl/>
        </w:rPr>
        <w:t>بتعدد</w:t>
      </w:r>
      <w:r w:rsidRPr="0090225E">
        <w:rPr>
          <w:rFonts w:ascii="Simplified Arabic" w:hAnsi="Simplified Arabic" w:cs="Simplified Arabic"/>
        </w:rPr>
        <w:t xml:space="preserve"> </w:t>
      </w:r>
      <w:r w:rsidRPr="0090225E">
        <w:rPr>
          <w:rFonts w:ascii="Simplified Arabic" w:hAnsi="Simplified Arabic" w:cs="Simplified Arabic"/>
          <w:rtl/>
        </w:rPr>
        <w:t>الأساليب</w:t>
      </w:r>
      <w:r w:rsidRPr="0090225E">
        <w:rPr>
          <w:rFonts w:ascii="Simplified Arabic" w:hAnsi="Simplified Arabic" w:cs="Simplified Arabic"/>
        </w:rPr>
        <w:t xml:space="preserve"> </w:t>
      </w:r>
      <w:r>
        <w:rPr>
          <w:rFonts w:ascii="Simplified Arabic" w:hAnsi="Simplified Arabic" w:cs="Simplified Arabic" w:hint="cs"/>
          <w:rtl/>
        </w:rPr>
        <w:t>لل</w:t>
      </w:r>
      <w:r w:rsidRPr="0090225E">
        <w:rPr>
          <w:rFonts w:ascii="Simplified Arabic" w:hAnsi="Simplified Arabic" w:cs="Simplified Arabic"/>
          <w:rtl/>
        </w:rPr>
        <w:t>عملية</w:t>
      </w:r>
      <w:r w:rsidRPr="0090225E">
        <w:rPr>
          <w:rFonts w:ascii="Simplified Arabic" w:hAnsi="Simplified Arabic" w:cs="Simplified Arabic"/>
        </w:rPr>
        <w:t xml:space="preserve"> </w:t>
      </w:r>
      <w:r w:rsidRPr="0090225E">
        <w:rPr>
          <w:rFonts w:ascii="Simplified Arabic" w:hAnsi="Simplified Arabic" w:cs="Simplified Arabic"/>
          <w:rtl/>
        </w:rPr>
        <w:t>التشاركية</w:t>
      </w:r>
      <w:r>
        <w:rPr>
          <w:rFonts w:ascii="Simplified Arabic" w:hAnsi="Simplified Arabic" w:cs="Simplified Arabic" w:hint="cs"/>
          <w:rtl/>
        </w:rPr>
        <w:t>،</w:t>
      </w:r>
      <w:r>
        <w:rPr>
          <w:rFonts w:ascii="Simplified Arabic" w:hAnsi="Simplified Arabic" w:cs="Simplified Arabic"/>
          <w:rtl/>
        </w:rPr>
        <w:t xml:space="preserve"> </w:t>
      </w:r>
      <w:r>
        <w:rPr>
          <w:rFonts w:ascii="Simplified Arabic" w:hAnsi="Simplified Arabic" w:cs="Simplified Arabic" w:hint="cs"/>
          <w:rtl/>
        </w:rPr>
        <w:t>إ</w:t>
      </w:r>
      <w:r w:rsidRPr="0090225E">
        <w:rPr>
          <w:rFonts w:ascii="Simplified Arabic" w:hAnsi="Simplified Arabic" w:cs="Simplified Arabic"/>
          <w:rtl/>
        </w:rPr>
        <w:t>ن</w:t>
      </w:r>
      <w:r>
        <w:rPr>
          <w:rFonts w:ascii="Simplified Arabic" w:hAnsi="Simplified Arabic" w:cs="Simplified Arabic" w:hint="cs"/>
          <w:rtl/>
        </w:rPr>
        <w:t>م</w:t>
      </w:r>
      <w:r w:rsidRPr="0090225E">
        <w:rPr>
          <w:rFonts w:ascii="Simplified Arabic" w:hAnsi="Simplified Arabic" w:cs="Simplified Arabic"/>
          <w:rtl/>
        </w:rPr>
        <w:t>ا</w:t>
      </w:r>
      <w:r w:rsidRPr="0090225E">
        <w:rPr>
          <w:rFonts w:ascii="Simplified Arabic" w:hAnsi="Simplified Arabic" w:cs="Simplified Arabic"/>
        </w:rPr>
        <w:t xml:space="preserve"> </w:t>
      </w:r>
      <w:r w:rsidRPr="0090225E">
        <w:rPr>
          <w:rFonts w:ascii="Simplified Arabic" w:hAnsi="Simplified Arabic" w:cs="Simplified Arabic"/>
          <w:rtl/>
        </w:rPr>
        <w:t>في</w:t>
      </w:r>
      <w:r w:rsidRPr="0090225E">
        <w:rPr>
          <w:rFonts w:ascii="Simplified Arabic" w:hAnsi="Simplified Arabic" w:cs="Simplified Arabic"/>
        </w:rPr>
        <w:t xml:space="preserve"> </w:t>
      </w:r>
      <w:r w:rsidRPr="0090225E">
        <w:rPr>
          <w:rFonts w:ascii="Simplified Arabic" w:hAnsi="Simplified Arabic" w:cs="Simplified Arabic"/>
          <w:rtl/>
        </w:rPr>
        <w:t>الآلية</w:t>
      </w:r>
      <w:r w:rsidRPr="0090225E">
        <w:rPr>
          <w:rFonts w:ascii="Simplified Arabic" w:hAnsi="Simplified Arabic" w:cs="Simplified Arabic"/>
        </w:rPr>
        <w:t xml:space="preserve"> </w:t>
      </w:r>
      <w:r w:rsidRPr="0090225E">
        <w:rPr>
          <w:rFonts w:ascii="Simplified Arabic" w:hAnsi="Simplified Arabic" w:cs="Simplified Arabic"/>
          <w:rtl/>
        </w:rPr>
        <w:t>التي</w:t>
      </w:r>
      <w:r w:rsidRPr="0090225E">
        <w:rPr>
          <w:rFonts w:ascii="Simplified Arabic" w:hAnsi="Simplified Arabic" w:cs="Simplified Arabic"/>
        </w:rPr>
        <w:t xml:space="preserve"> </w:t>
      </w:r>
      <w:r w:rsidRPr="0090225E">
        <w:rPr>
          <w:rFonts w:ascii="Simplified Arabic" w:hAnsi="Simplified Arabic" w:cs="Simplified Arabic"/>
          <w:rtl/>
        </w:rPr>
        <w:t>تتم</w:t>
      </w:r>
      <w:r w:rsidRPr="0090225E">
        <w:rPr>
          <w:rFonts w:ascii="Simplified Arabic" w:hAnsi="Simplified Arabic" w:cs="Simplified Arabic" w:hint="cs"/>
          <w:rtl/>
        </w:rPr>
        <w:t xml:space="preserve"> </w:t>
      </w:r>
      <w:r w:rsidRPr="0090225E">
        <w:rPr>
          <w:rFonts w:ascii="Simplified Arabic" w:hAnsi="Simplified Arabic" w:cs="Simplified Arabic"/>
          <w:rtl/>
        </w:rPr>
        <w:t>فيها</w:t>
      </w:r>
      <w:r w:rsidRPr="0090225E">
        <w:rPr>
          <w:rFonts w:ascii="Simplified Arabic" w:hAnsi="Simplified Arabic" w:cs="Simplified Arabic"/>
        </w:rPr>
        <w:t xml:space="preserve"> </w:t>
      </w:r>
      <w:r w:rsidRPr="0090225E">
        <w:rPr>
          <w:rFonts w:ascii="Simplified Arabic" w:hAnsi="Simplified Arabic" w:cs="Simplified Arabic"/>
          <w:rtl/>
        </w:rPr>
        <w:t>المشاركة</w:t>
      </w:r>
      <w:r>
        <w:rPr>
          <w:rFonts w:ascii="Simplified Arabic" w:hAnsi="Simplified Arabic" w:cs="Simplified Arabic" w:hint="cs"/>
          <w:rtl/>
        </w:rPr>
        <w:t xml:space="preserve"> السكانية</w:t>
      </w:r>
      <w:r w:rsidRPr="0090225E">
        <w:rPr>
          <w:rFonts w:ascii="Simplified Arabic" w:hAnsi="Simplified Arabic" w:cs="Simplified Arabic"/>
        </w:rPr>
        <w:t xml:space="preserve"> </w:t>
      </w:r>
      <w:r w:rsidRPr="0090225E">
        <w:rPr>
          <w:rFonts w:ascii="Simplified Arabic" w:hAnsi="Simplified Arabic" w:cs="Simplified Arabic"/>
          <w:rtl/>
        </w:rPr>
        <w:t>واختيار</w:t>
      </w:r>
      <w:r w:rsidRPr="0090225E">
        <w:rPr>
          <w:rFonts w:ascii="Simplified Arabic" w:hAnsi="Simplified Arabic" w:cs="Simplified Arabic"/>
        </w:rPr>
        <w:t xml:space="preserve"> </w:t>
      </w:r>
      <w:r w:rsidRPr="0090225E">
        <w:rPr>
          <w:rFonts w:ascii="Simplified Arabic" w:hAnsi="Simplified Arabic" w:cs="Simplified Arabic"/>
          <w:rtl/>
        </w:rPr>
        <w:t>أسلوب</w:t>
      </w:r>
      <w:r w:rsidRPr="0090225E">
        <w:rPr>
          <w:rFonts w:ascii="Simplified Arabic" w:hAnsi="Simplified Arabic" w:cs="Simplified Arabic"/>
        </w:rPr>
        <w:t xml:space="preserve"> </w:t>
      </w:r>
      <w:r w:rsidRPr="0090225E">
        <w:rPr>
          <w:rFonts w:ascii="Simplified Arabic" w:hAnsi="Simplified Arabic" w:cs="Simplified Arabic"/>
          <w:rtl/>
        </w:rPr>
        <w:t>مناسب</w:t>
      </w:r>
      <w:r>
        <w:rPr>
          <w:rFonts w:ascii="Simplified Arabic" w:hAnsi="Simplified Arabic" w:cs="Simplified Arabic" w:hint="cs"/>
          <w:rtl/>
        </w:rPr>
        <w:t>،</w:t>
      </w:r>
      <w:r w:rsidRPr="0090225E">
        <w:rPr>
          <w:rFonts w:ascii="Simplified Arabic" w:hAnsi="Simplified Arabic" w:cs="Simplified Arabic"/>
        </w:rPr>
        <w:t xml:space="preserve"> </w:t>
      </w:r>
      <w:r w:rsidRPr="0090225E">
        <w:rPr>
          <w:rFonts w:ascii="Simplified Arabic" w:hAnsi="Simplified Arabic" w:cs="Simplified Arabic"/>
          <w:rtl/>
        </w:rPr>
        <w:t>يتم</w:t>
      </w:r>
      <w:r w:rsidRPr="0090225E">
        <w:rPr>
          <w:rFonts w:ascii="Simplified Arabic" w:hAnsi="Simplified Arabic" w:cs="Simplified Arabic"/>
        </w:rPr>
        <w:t xml:space="preserve"> </w:t>
      </w:r>
      <w:r w:rsidRPr="0090225E">
        <w:rPr>
          <w:rFonts w:ascii="Simplified Arabic" w:hAnsi="Simplified Arabic" w:cs="Simplified Arabic"/>
          <w:rtl/>
        </w:rPr>
        <w:t>فيه</w:t>
      </w:r>
      <w:r w:rsidRPr="0090225E">
        <w:rPr>
          <w:rFonts w:ascii="Simplified Arabic" w:hAnsi="Simplified Arabic" w:cs="Simplified Arabic"/>
        </w:rPr>
        <w:t xml:space="preserve"> </w:t>
      </w:r>
      <w:r w:rsidRPr="0090225E">
        <w:rPr>
          <w:rFonts w:ascii="Simplified Arabic" w:hAnsi="Simplified Arabic" w:cs="Simplified Arabic"/>
          <w:rtl/>
        </w:rPr>
        <w:t>الوصول</w:t>
      </w:r>
      <w:r w:rsidRPr="0090225E">
        <w:rPr>
          <w:rFonts w:ascii="Simplified Arabic" w:hAnsi="Simplified Arabic" w:cs="Simplified Arabic"/>
        </w:rPr>
        <w:t xml:space="preserve"> </w:t>
      </w:r>
      <w:r w:rsidRPr="0090225E">
        <w:rPr>
          <w:rFonts w:ascii="Simplified Arabic" w:hAnsi="Simplified Arabic" w:cs="Simplified Arabic"/>
          <w:rtl/>
        </w:rPr>
        <w:t>إلى</w:t>
      </w:r>
      <w:r>
        <w:rPr>
          <w:rFonts w:ascii="Simplified Arabic" w:hAnsi="Simplified Arabic" w:cs="Simplified Arabic" w:hint="cs"/>
          <w:rtl/>
        </w:rPr>
        <w:t xml:space="preserve"> </w:t>
      </w:r>
      <w:r w:rsidRPr="0090225E">
        <w:rPr>
          <w:rFonts w:ascii="Simplified Arabic" w:hAnsi="Simplified Arabic" w:cs="Simplified Arabic"/>
          <w:rtl/>
        </w:rPr>
        <w:t>أكبر</w:t>
      </w:r>
      <w:r w:rsidRPr="0090225E">
        <w:rPr>
          <w:rFonts w:ascii="Simplified Arabic" w:hAnsi="Simplified Arabic" w:cs="Simplified Arabic"/>
        </w:rPr>
        <w:t xml:space="preserve"> </w:t>
      </w:r>
      <w:r w:rsidRPr="0090225E">
        <w:rPr>
          <w:rFonts w:ascii="Simplified Arabic" w:hAnsi="Simplified Arabic" w:cs="Simplified Arabic"/>
          <w:rtl/>
        </w:rPr>
        <w:t>نسبة</w:t>
      </w:r>
      <w:r w:rsidRPr="0090225E">
        <w:rPr>
          <w:rFonts w:ascii="Simplified Arabic" w:hAnsi="Simplified Arabic" w:cs="Simplified Arabic"/>
        </w:rPr>
        <w:t xml:space="preserve"> </w:t>
      </w:r>
      <w:r>
        <w:rPr>
          <w:rFonts w:ascii="Simplified Arabic" w:hAnsi="Simplified Arabic" w:cs="Simplified Arabic" w:hint="cs"/>
          <w:rtl/>
        </w:rPr>
        <w:t xml:space="preserve">مشاركة </w:t>
      </w:r>
      <w:r w:rsidRPr="0090225E">
        <w:rPr>
          <w:rFonts w:ascii="Simplified Arabic" w:hAnsi="Simplified Arabic" w:cs="Simplified Arabic"/>
          <w:rtl/>
        </w:rPr>
        <w:t>سكان</w:t>
      </w:r>
      <w:r>
        <w:rPr>
          <w:rFonts w:ascii="Simplified Arabic" w:hAnsi="Simplified Arabic" w:cs="Simplified Arabic" w:hint="cs"/>
          <w:rtl/>
        </w:rPr>
        <w:t xml:space="preserve">ية </w:t>
      </w:r>
      <w:r w:rsidRPr="0090225E">
        <w:rPr>
          <w:rFonts w:ascii="Simplified Arabic" w:hAnsi="Simplified Arabic" w:cs="Simplified Arabic"/>
          <w:rtl/>
        </w:rPr>
        <w:t>والقدرة</w:t>
      </w:r>
      <w:r w:rsidRPr="0090225E">
        <w:rPr>
          <w:rFonts w:ascii="Simplified Arabic" w:hAnsi="Simplified Arabic" w:cs="Simplified Arabic"/>
        </w:rPr>
        <w:t xml:space="preserve"> </w:t>
      </w:r>
      <w:r w:rsidRPr="0090225E">
        <w:rPr>
          <w:rFonts w:ascii="Simplified Arabic" w:hAnsi="Simplified Arabic" w:cs="Simplified Arabic"/>
          <w:rtl/>
        </w:rPr>
        <w:t>على</w:t>
      </w:r>
      <w:r w:rsidRPr="0090225E">
        <w:rPr>
          <w:rFonts w:ascii="Simplified Arabic" w:hAnsi="Simplified Arabic" w:cs="Simplified Arabic"/>
        </w:rPr>
        <w:t xml:space="preserve"> </w:t>
      </w:r>
      <w:r w:rsidRPr="0090225E">
        <w:rPr>
          <w:rFonts w:ascii="Simplified Arabic" w:hAnsi="Simplified Arabic" w:cs="Simplified Arabic"/>
          <w:rtl/>
        </w:rPr>
        <w:t>جذبهم</w:t>
      </w:r>
      <w:r w:rsidRPr="0090225E">
        <w:rPr>
          <w:rFonts w:ascii="Simplified Arabic" w:hAnsi="Simplified Arabic" w:cs="Simplified Arabic"/>
        </w:rPr>
        <w:t xml:space="preserve"> </w:t>
      </w:r>
      <w:r w:rsidRPr="0090225E">
        <w:rPr>
          <w:rFonts w:ascii="Simplified Arabic" w:hAnsi="Simplified Arabic" w:cs="Simplified Arabic"/>
          <w:rtl/>
        </w:rPr>
        <w:t>للمشاركة</w:t>
      </w:r>
      <w:r w:rsidRPr="0090225E">
        <w:rPr>
          <w:rFonts w:ascii="Simplified Arabic" w:hAnsi="Simplified Arabic" w:cs="Simplified Arabic"/>
        </w:rPr>
        <w:t xml:space="preserve"> </w:t>
      </w:r>
      <w:r w:rsidRPr="0090225E">
        <w:rPr>
          <w:rFonts w:ascii="Simplified Arabic" w:hAnsi="Simplified Arabic" w:cs="Simplified Arabic"/>
          <w:rtl/>
        </w:rPr>
        <w:t>في</w:t>
      </w:r>
      <w:r w:rsidRPr="0090225E">
        <w:rPr>
          <w:rFonts w:ascii="Simplified Arabic" w:hAnsi="Simplified Arabic" w:cs="Simplified Arabic"/>
        </w:rPr>
        <w:t xml:space="preserve"> </w:t>
      </w:r>
      <w:r w:rsidRPr="0090225E">
        <w:rPr>
          <w:rFonts w:ascii="Simplified Arabic" w:hAnsi="Simplified Arabic" w:cs="Simplified Arabic"/>
          <w:rtl/>
        </w:rPr>
        <w:t>تحسين</w:t>
      </w:r>
      <w:r w:rsidRPr="0090225E">
        <w:rPr>
          <w:rFonts w:ascii="Simplified Arabic" w:hAnsi="Simplified Arabic" w:cs="Simplified Arabic"/>
        </w:rPr>
        <w:t xml:space="preserve"> </w:t>
      </w:r>
      <w:r w:rsidRPr="0090225E">
        <w:rPr>
          <w:rFonts w:ascii="Simplified Arabic" w:hAnsi="Simplified Arabic" w:cs="Simplified Arabic"/>
          <w:rtl/>
        </w:rPr>
        <w:t>وضع</w:t>
      </w:r>
      <w:r>
        <w:rPr>
          <w:rFonts w:ascii="Simplified Arabic" w:hAnsi="Simplified Arabic" w:cs="Simplified Arabic" w:hint="cs"/>
          <w:rtl/>
        </w:rPr>
        <w:t xml:space="preserve"> </w:t>
      </w:r>
      <w:r w:rsidRPr="0090225E">
        <w:rPr>
          <w:rFonts w:ascii="Simplified Arabic" w:hAnsi="Simplified Arabic" w:cs="Simplified Arabic"/>
          <w:rtl/>
        </w:rPr>
        <w:t>مدينتهم،</w:t>
      </w:r>
      <w:r w:rsidRPr="0090225E">
        <w:rPr>
          <w:rFonts w:ascii="Simplified Arabic" w:hAnsi="Simplified Arabic" w:cs="Simplified Arabic"/>
        </w:rPr>
        <w:t xml:space="preserve"> </w:t>
      </w:r>
      <w:r w:rsidRPr="0090225E">
        <w:rPr>
          <w:rFonts w:ascii="Simplified Arabic" w:hAnsi="Simplified Arabic" w:cs="Simplified Arabic"/>
          <w:rtl/>
        </w:rPr>
        <w:t>وهذ</w:t>
      </w:r>
      <w:r>
        <w:rPr>
          <w:rFonts w:ascii="Simplified Arabic" w:hAnsi="Simplified Arabic" w:cs="Simplified Arabic" w:hint="cs"/>
          <w:rtl/>
        </w:rPr>
        <w:t>ا</w:t>
      </w:r>
      <w:r w:rsidRPr="0090225E">
        <w:rPr>
          <w:rFonts w:ascii="Simplified Arabic" w:hAnsi="Simplified Arabic" w:cs="Simplified Arabic"/>
        </w:rPr>
        <w:t xml:space="preserve"> </w:t>
      </w:r>
      <w:r w:rsidRPr="0090225E">
        <w:rPr>
          <w:rFonts w:ascii="Simplified Arabic" w:hAnsi="Simplified Arabic" w:cs="Simplified Arabic"/>
          <w:rtl/>
        </w:rPr>
        <w:t>جز</w:t>
      </w:r>
      <w:r>
        <w:rPr>
          <w:rFonts w:ascii="Simplified Arabic" w:hAnsi="Simplified Arabic" w:cs="Simplified Arabic" w:hint="cs"/>
          <w:rtl/>
        </w:rPr>
        <w:t>ء</w:t>
      </w:r>
      <w:r w:rsidRPr="0090225E">
        <w:rPr>
          <w:rFonts w:ascii="Simplified Arabic" w:hAnsi="Simplified Arabic" w:cs="Simplified Arabic"/>
        </w:rPr>
        <w:t xml:space="preserve"> </w:t>
      </w:r>
      <w:r w:rsidRPr="0090225E">
        <w:rPr>
          <w:rFonts w:ascii="Simplified Arabic" w:hAnsi="Simplified Arabic" w:cs="Simplified Arabic"/>
          <w:rtl/>
        </w:rPr>
        <w:t>من</w:t>
      </w:r>
      <w:r>
        <w:rPr>
          <w:rFonts w:ascii="Simplified Arabic" w:hAnsi="Simplified Arabic" w:cs="Simplified Arabic" w:hint="cs"/>
          <w:rtl/>
        </w:rPr>
        <w:t xml:space="preserve"> </w:t>
      </w:r>
      <w:r w:rsidRPr="0090225E">
        <w:rPr>
          <w:rFonts w:ascii="Simplified Arabic" w:hAnsi="Simplified Arabic" w:cs="Simplified Arabic"/>
          <w:rtl/>
        </w:rPr>
        <w:t>مساهمة</w:t>
      </w:r>
      <w:r w:rsidRPr="0090225E">
        <w:rPr>
          <w:rFonts w:ascii="Simplified Arabic" w:hAnsi="Simplified Arabic" w:cs="Simplified Arabic"/>
        </w:rPr>
        <w:t xml:space="preserve"> </w:t>
      </w:r>
      <w:r w:rsidRPr="0090225E">
        <w:rPr>
          <w:rFonts w:ascii="Simplified Arabic" w:hAnsi="Simplified Arabic" w:cs="Simplified Arabic"/>
          <w:rtl/>
        </w:rPr>
        <w:t>البحث</w:t>
      </w:r>
      <w:r w:rsidRPr="0090225E">
        <w:rPr>
          <w:rFonts w:ascii="Simplified Arabic" w:hAnsi="Simplified Arabic" w:cs="Simplified Arabic"/>
        </w:rPr>
        <w:t xml:space="preserve"> </w:t>
      </w:r>
      <w:r>
        <w:rPr>
          <w:rFonts w:ascii="Simplified Arabic" w:hAnsi="Simplified Arabic" w:cs="Simplified Arabic" w:hint="cs"/>
          <w:rtl/>
        </w:rPr>
        <w:t xml:space="preserve">الحالي، </w:t>
      </w:r>
      <w:r w:rsidRPr="0090225E">
        <w:rPr>
          <w:rFonts w:ascii="Simplified Arabic" w:hAnsi="Simplified Arabic" w:cs="Simplified Arabic"/>
          <w:rtl/>
        </w:rPr>
        <w:t>الذي</w:t>
      </w:r>
      <w:r w:rsidRPr="0090225E">
        <w:rPr>
          <w:rFonts w:ascii="Simplified Arabic" w:hAnsi="Simplified Arabic" w:cs="Simplified Arabic"/>
        </w:rPr>
        <w:t xml:space="preserve"> </w:t>
      </w:r>
      <w:r w:rsidRPr="0090225E">
        <w:rPr>
          <w:rFonts w:ascii="Simplified Arabic" w:hAnsi="Simplified Arabic" w:cs="Simplified Arabic"/>
          <w:rtl/>
        </w:rPr>
        <w:t>يسعى</w:t>
      </w:r>
      <w:r w:rsidRPr="0090225E">
        <w:rPr>
          <w:rFonts w:ascii="Simplified Arabic" w:hAnsi="Simplified Arabic" w:cs="Simplified Arabic"/>
        </w:rPr>
        <w:t xml:space="preserve"> </w:t>
      </w:r>
      <w:r w:rsidRPr="0090225E">
        <w:rPr>
          <w:rFonts w:ascii="Simplified Arabic" w:hAnsi="Simplified Arabic" w:cs="Simplified Arabic"/>
          <w:rtl/>
        </w:rPr>
        <w:t>لإثبات</w:t>
      </w:r>
      <w:r w:rsidRPr="0090225E">
        <w:rPr>
          <w:rFonts w:ascii="Simplified Arabic" w:hAnsi="Simplified Arabic" w:cs="Simplified Arabic"/>
        </w:rPr>
        <w:t xml:space="preserve"> </w:t>
      </w:r>
      <w:r w:rsidRPr="0090225E">
        <w:rPr>
          <w:rFonts w:ascii="Simplified Arabic" w:hAnsi="Simplified Arabic" w:cs="Simplified Arabic"/>
          <w:rtl/>
        </w:rPr>
        <w:t>أهمية</w:t>
      </w:r>
      <w:r w:rsidRPr="0090225E">
        <w:rPr>
          <w:rFonts w:ascii="Simplified Arabic" w:hAnsi="Simplified Arabic" w:cs="Simplified Arabic"/>
        </w:rPr>
        <w:t xml:space="preserve"> </w:t>
      </w:r>
      <w:r w:rsidRPr="0090225E">
        <w:rPr>
          <w:rFonts w:ascii="Simplified Arabic" w:hAnsi="Simplified Arabic" w:cs="Simplified Arabic"/>
          <w:rtl/>
        </w:rPr>
        <w:t>وآلية</w:t>
      </w:r>
      <w:r w:rsidRPr="0090225E">
        <w:rPr>
          <w:rFonts w:ascii="Simplified Arabic" w:hAnsi="Simplified Arabic" w:cs="Simplified Arabic"/>
        </w:rPr>
        <w:t xml:space="preserve"> </w:t>
      </w:r>
      <w:r w:rsidRPr="0090225E">
        <w:rPr>
          <w:rFonts w:ascii="Simplified Arabic" w:hAnsi="Simplified Arabic" w:cs="Simplified Arabic"/>
          <w:rtl/>
        </w:rPr>
        <w:t>تطبيق</w:t>
      </w:r>
      <w:r w:rsidRPr="0090225E">
        <w:rPr>
          <w:rFonts w:ascii="Simplified Arabic" w:hAnsi="Simplified Arabic" w:cs="Simplified Arabic"/>
        </w:rPr>
        <w:t xml:space="preserve"> </w:t>
      </w:r>
      <w:r w:rsidRPr="0090225E">
        <w:rPr>
          <w:rFonts w:ascii="Simplified Arabic" w:hAnsi="Simplified Arabic" w:cs="Simplified Arabic"/>
          <w:rtl/>
        </w:rPr>
        <w:t>المشاركة</w:t>
      </w:r>
      <w:r w:rsidRPr="0090225E">
        <w:rPr>
          <w:rFonts w:ascii="Simplified Arabic" w:hAnsi="Simplified Arabic" w:cs="Simplified Arabic"/>
        </w:rPr>
        <w:t xml:space="preserve"> </w:t>
      </w:r>
      <w:r w:rsidRPr="0090225E">
        <w:rPr>
          <w:rFonts w:ascii="Simplified Arabic" w:hAnsi="Simplified Arabic" w:cs="Simplified Arabic"/>
          <w:rtl/>
        </w:rPr>
        <w:t>عمليا</w:t>
      </w:r>
      <w:r w:rsidRPr="0090225E">
        <w:rPr>
          <w:rFonts w:ascii="Simplified Arabic" w:hAnsi="Simplified Arabic" w:cs="Simplified Arabic"/>
        </w:rPr>
        <w:t xml:space="preserve"> </w:t>
      </w:r>
      <w:r w:rsidRPr="0090225E">
        <w:rPr>
          <w:rFonts w:ascii="Simplified Arabic" w:hAnsi="Simplified Arabic" w:cs="Simplified Arabic"/>
          <w:rtl/>
        </w:rPr>
        <w:t>باختيار</w:t>
      </w:r>
      <w:r w:rsidRPr="0090225E">
        <w:rPr>
          <w:rFonts w:ascii="Simplified Arabic" w:hAnsi="Simplified Arabic" w:cs="Simplified Arabic"/>
        </w:rPr>
        <w:t xml:space="preserve"> </w:t>
      </w:r>
      <w:r w:rsidRPr="0090225E">
        <w:rPr>
          <w:rFonts w:ascii="Simplified Arabic" w:hAnsi="Simplified Arabic" w:cs="Simplified Arabic"/>
          <w:rtl/>
        </w:rPr>
        <w:t>مدينة</w:t>
      </w:r>
      <w:r w:rsidRPr="0090225E">
        <w:rPr>
          <w:rFonts w:ascii="Simplified Arabic" w:hAnsi="Simplified Arabic" w:cs="Simplified Arabic"/>
        </w:rPr>
        <w:t xml:space="preserve"> </w:t>
      </w:r>
      <w:r>
        <w:rPr>
          <w:rFonts w:ascii="Simplified Arabic" w:hAnsi="Simplified Arabic" w:cs="Simplified Arabic" w:hint="cs"/>
          <w:rtl/>
        </w:rPr>
        <w:t>بوسعادة</w:t>
      </w:r>
      <w:r w:rsidRPr="0090225E">
        <w:rPr>
          <w:rFonts w:ascii="Simplified Arabic" w:hAnsi="Simplified Arabic" w:cs="Simplified Arabic"/>
        </w:rPr>
        <w:t xml:space="preserve"> </w:t>
      </w:r>
      <w:r w:rsidRPr="0090225E">
        <w:rPr>
          <w:rFonts w:ascii="Simplified Arabic" w:hAnsi="Simplified Arabic" w:cs="Simplified Arabic"/>
          <w:rtl/>
        </w:rPr>
        <w:t>من</w:t>
      </w:r>
      <w:r w:rsidRPr="0090225E">
        <w:rPr>
          <w:rFonts w:ascii="Simplified Arabic" w:hAnsi="Simplified Arabic" w:cs="Simplified Arabic"/>
        </w:rPr>
        <w:t xml:space="preserve"> </w:t>
      </w:r>
      <w:r w:rsidRPr="0090225E">
        <w:rPr>
          <w:rFonts w:ascii="Simplified Arabic" w:hAnsi="Simplified Arabic" w:cs="Simplified Arabic"/>
          <w:rtl/>
        </w:rPr>
        <w:t>خلال</w:t>
      </w:r>
      <w:r w:rsidRPr="0090225E">
        <w:rPr>
          <w:rFonts w:ascii="Simplified Arabic" w:hAnsi="Simplified Arabic" w:cs="Simplified Arabic"/>
        </w:rPr>
        <w:t xml:space="preserve"> </w:t>
      </w:r>
      <w:r w:rsidRPr="0090225E">
        <w:rPr>
          <w:rFonts w:ascii="Simplified Arabic" w:hAnsi="Simplified Arabic" w:cs="Simplified Arabic"/>
          <w:rtl/>
        </w:rPr>
        <w:t>استخدام</w:t>
      </w:r>
      <w:r w:rsidRPr="0090225E">
        <w:rPr>
          <w:rFonts w:ascii="Simplified Arabic" w:hAnsi="Simplified Arabic" w:cs="Simplified Arabic"/>
        </w:rPr>
        <w:t xml:space="preserve"> </w:t>
      </w:r>
      <w:r w:rsidRPr="0090225E">
        <w:rPr>
          <w:rFonts w:ascii="Simplified Arabic" w:hAnsi="Simplified Arabic" w:cs="Simplified Arabic"/>
          <w:rtl/>
        </w:rPr>
        <w:t>إحدى</w:t>
      </w:r>
      <w:r w:rsidRPr="0090225E">
        <w:rPr>
          <w:rFonts w:ascii="Simplified Arabic" w:hAnsi="Simplified Arabic" w:cs="Simplified Arabic"/>
        </w:rPr>
        <w:t xml:space="preserve"> </w:t>
      </w:r>
      <w:r w:rsidRPr="0090225E">
        <w:rPr>
          <w:rFonts w:ascii="Simplified Arabic" w:hAnsi="Simplified Arabic" w:cs="Simplified Arabic"/>
          <w:rtl/>
        </w:rPr>
        <w:t>الأدوات</w:t>
      </w:r>
      <w:r w:rsidRPr="0090225E">
        <w:rPr>
          <w:rFonts w:ascii="Simplified Arabic" w:hAnsi="Simplified Arabic" w:cs="Simplified Arabic"/>
        </w:rPr>
        <w:t xml:space="preserve"> </w:t>
      </w:r>
      <w:r w:rsidRPr="0090225E">
        <w:rPr>
          <w:rFonts w:ascii="Simplified Arabic" w:hAnsi="Simplified Arabic" w:cs="Simplified Arabic"/>
          <w:rtl/>
        </w:rPr>
        <w:t>التشاركية</w:t>
      </w:r>
      <w:r w:rsidRPr="0090225E">
        <w:rPr>
          <w:rFonts w:ascii="Simplified Arabic" w:hAnsi="Simplified Arabic" w:cs="Simplified Arabic"/>
        </w:rPr>
        <w:t xml:space="preserve"> </w:t>
      </w:r>
      <w:r w:rsidRPr="0090225E">
        <w:rPr>
          <w:rFonts w:ascii="Simplified Arabic" w:hAnsi="Simplified Arabic" w:cs="Simplified Arabic"/>
          <w:rtl/>
        </w:rPr>
        <w:t>وهي</w:t>
      </w:r>
      <w:r w:rsidRPr="0090225E">
        <w:rPr>
          <w:rFonts w:ascii="Simplified Arabic" w:hAnsi="Simplified Arabic" w:cs="Simplified Arabic"/>
        </w:rPr>
        <w:t xml:space="preserve"> </w:t>
      </w:r>
      <w:r w:rsidRPr="0090225E">
        <w:rPr>
          <w:rFonts w:ascii="Simplified Arabic" w:hAnsi="Simplified Arabic" w:cs="Simplified Arabic"/>
          <w:rtl/>
        </w:rPr>
        <w:t>الاستبيان</w:t>
      </w:r>
      <w:r>
        <w:rPr>
          <w:rFonts w:ascii="Simplified Arabic" w:hAnsi="Simplified Arabic" w:cs="Simplified Arabic" w:hint="cs"/>
          <w:rtl/>
        </w:rPr>
        <w:t xml:space="preserve"> الالكتروني</w:t>
      </w:r>
      <w:r>
        <w:rPr>
          <w:rFonts w:ascii="Simplified Arabic" w:hAnsi="Simplified Arabic" w:cs="Simplified Arabic"/>
        </w:rPr>
        <w:t>.</w:t>
      </w:r>
      <w:r>
        <w:rPr>
          <w:rFonts w:ascii="Simplified Arabic" w:hAnsi="Simplified Arabic" w:cs="Simplified Arabic" w:hint="cs"/>
          <w:rtl/>
        </w:rPr>
        <w:t xml:space="preserve"> </w:t>
      </w:r>
    </w:p>
    <w:p w:rsidR="00C97FA4" w:rsidRDefault="00C97FA4" w:rsidP="00C97FA4">
      <w:pPr>
        <w:pStyle w:val="Default"/>
        <w:bidi/>
        <w:spacing w:line="276" w:lineRule="auto"/>
        <w:ind w:firstLine="282"/>
        <w:jc w:val="both"/>
        <w:rPr>
          <w:rFonts w:ascii="Simplified Arabic" w:hAnsi="Simplified Arabic" w:cs="Simplified Arabic"/>
          <w:rtl/>
        </w:rPr>
      </w:pPr>
      <w:r w:rsidRPr="00E91A5A">
        <w:rPr>
          <w:rFonts w:ascii="Simplified Arabic" w:hAnsi="Simplified Arabic" w:cs="Simplified Arabic" w:hint="cs"/>
          <w:rtl/>
        </w:rPr>
        <w:t>أحد</w:t>
      </w:r>
      <w:r w:rsidRPr="00E91A5A">
        <w:rPr>
          <w:rFonts w:ascii="Simplified Arabic" w:hAnsi="Simplified Arabic" w:cs="Simplified Arabic"/>
          <w:rtl/>
        </w:rPr>
        <w:t xml:space="preserve"> </w:t>
      </w:r>
      <w:r w:rsidRPr="00E91A5A">
        <w:rPr>
          <w:rFonts w:ascii="Simplified Arabic" w:hAnsi="Simplified Arabic" w:cs="Simplified Arabic" w:hint="cs"/>
          <w:rtl/>
        </w:rPr>
        <w:t>الأهداف</w:t>
      </w:r>
      <w:r w:rsidRPr="00E91A5A">
        <w:rPr>
          <w:rFonts w:ascii="Simplified Arabic" w:hAnsi="Simplified Arabic" w:cs="Simplified Arabic"/>
          <w:rtl/>
        </w:rPr>
        <w:t xml:space="preserve"> </w:t>
      </w:r>
      <w:r w:rsidRPr="00E91A5A">
        <w:rPr>
          <w:rFonts w:ascii="Simplified Arabic" w:hAnsi="Simplified Arabic" w:cs="Simplified Arabic" w:hint="cs"/>
          <w:rtl/>
        </w:rPr>
        <w:t>الرئيسية</w:t>
      </w:r>
      <w:r w:rsidRPr="00E91A5A">
        <w:rPr>
          <w:rFonts w:ascii="Simplified Arabic" w:hAnsi="Simplified Arabic" w:cs="Simplified Arabic"/>
          <w:rtl/>
        </w:rPr>
        <w:t xml:space="preserve"> </w:t>
      </w:r>
      <w:r w:rsidRPr="00E91A5A">
        <w:rPr>
          <w:rFonts w:ascii="Simplified Arabic" w:hAnsi="Simplified Arabic" w:cs="Simplified Arabic" w:hint="cs"/>
          <w:rtl/>
        </w:rPr>
        <w:t>لهذ</w:t>
      </w:r>
      <w:r>
        <w:rPr>
          <w:rFonts w:ascii="Simplified Arabic" w:hAnsi="Simplified Arabic" w:cs="Simplified Arabic" w:hint="cs"/>
          <w:rtl/>
        </w:rPr>
        <w:t>ا</w:t>
      </w:r>
      <w:r w:rsidRPr="00E91A5A">
        <w:rPr>
          <w:rFonts w:ascii="Simplified Arabic" w:hAnsi="Simplified Arabic" w:cs="Simplified Arabic"/>
          <w:rtl/>
        </w:rPr>
        <w:t xml:space="preserve"> </w:t>
      </w:r>
      <w:r w:rsidRPr="00E91A5A">
        <w:rPr>
          <w:rFonts w:ascii="Simplified Arabic" w:hAnsi="Simplified Arabic" w:cs="Simplified Arabic" w:hint="cs"/>
          <w:rtl/>
        </w:rPr>
        <w:t>ال</w:t>
      </w:r>
      <w:r>
        <w:rPr>
          <w:rFonts w:ascii="Simplified Arabic" w:hAnsi="Simplified Arabic" w:cs="Simplified Arabic" w:hint="cs"/>
          <w:rtl/>
        </w:rPr>
        <w:t>بحث</w:t>
      </w:r>
      <w:r w:rsidRPr="00E91A5A">
        <w:rPr>
          <w:rFonts w:ascii="Simplified Arabic" w:hAnsi="Simplified Arabic" w:cs="Simplified Arabic" w:hint="cs"/>
          <w:rtl/>
        </w:rPr>
        <w:t>،</w:t>
      </w:r>
      <w:r w:rsidRPr="00E91A5A">
        <w:rPr>
          <w:rFonts w:ascii="Simplified Arabic" w:hAnsi="Simplified Arabic" w:cs="Simplified Arabic"/>
          <w:rtl/>
        </w:rPr>
        <w:t xml:space="preserve"> </w:t>
      </w:r>
      <w:r w:rsidRPr="00E91A5A">
        <w:rPr>
          <w:rFonts w:ascii="Simplified Arabic" w:hAnsi="Simplified Arabic" w:cs="Simplified Arabic" w:hint="cs"/>
          <w:rtl/>
        </w:rPr>
        <w:t>هو</w:t>
      </w:r>
      <w:r w:rsidRPr="00E91A5A">
        <w:rPr>
          <w:rFonts w:ascii="Simplified Arabic" w:hAnsi="Simplified Arabic" w:cs="Simplified Arabic"/>
          <w:rtl/>
        </w:rPr>
        <w:t xml:space="preserve"> </w:t>
      </w:r>
      <w:r w:rsidRPr="00E91A5A">
        <w:rPr>
          <w:rFonts w:ascii="Simplified Arabic" w:hAnsi="Simplified Arabic" w:cs="Simplified Arabic" w:hint="cs"/>
          <w:rtl/>
        </w:rPr>
        <w:t>استكشاف</w:t>
      </w:r>
      <w:r w:rsidRPr="00E91A5A">
        <w:rPr>
          <w:rFonts w:ascii="Simplified Arabic" w:hAnsi="Simplified Arabic" w:cs="Simplified Arabic"/>
          <w:rtl/>
        </w:rPr>
        <w:t xml:space="preserve"> </w:t>
      </w:r>
      <w:r w:rsidRPr="00E91A5A">
        <w:rPr>
          <w:rFonts w:ascii="Simplified Arabic" w:hAnsi="Simplified Arabic" w:cs="Simplified Arabic" w:hint="cs"/>
          <w:rtl/>
        </w:rPr>
        <w:t>وجهات</w:t>
      </w:r>
      <w:r w:rsidRPr="00E91A5A">
        <w:rPr>
          <w:rFonts w:ascii="Simplified Arabic" w:hAnsi="Simplified Arabic" w:cs="Simplified Arabic"/>
          <w:rtl/>
        </w:rPr>
        <w:t xml:space="preserve"> </w:t>
      </w:r>
      <w:r w:rsidRPr="00E91A5A">
        <w:rPr>
          <w:rFonts w:ascii="Simplified Arabic" w:hAnsi="Simplified Arabic" w:cs="Simplified Arabic" w:hint="cs"/>
          <w:rtl/>
        </w:rPr>
        <w:t>نظر</w:t>
      </w:r>
      <w:r w:rsidRPr="00E91A5A">
        <w:rPr>
          <w:rFonts w:ascii="Simplified Arabic" w:hAnsi="Simplified Arabic" w:cs="Simplified Arabic"/>
          <w:rtl/>
        </w:rPr>
        <w:t xml:space="preserve"> </w:t>
      </w:r>
      <w:r w:rsidRPr="00E91A5A">
        <w:rPr>
          <w:rFonts w:ascii="Simplified Arabic" w:hAnsi="Simplified Arabic" w:cs="Simplified Arabic" w:hint="cs"/>
          <w:rtl/>
        </w:rPr>
        <w:t>السكان المحليين</w:t>
      </w:r>
      <w:r w:rsidRPr="00E91A5A">
        <w:rPr>
          <w:rFonts w:ascii="Simplified Arabic" w:hAnsi="Simplified Arabic" w:cs="Simplified Arabic"/>
          <w:rtl/>
        </w:rPr>
        <w:t xml:space="preserve"> </w:t>
      </w:r>
      <w:r w:rsidRPr="00E91A5A">
        <w:rPr>
          <w:rFonts w:ascii="Simplified Arabic" w:hAnsi="Simplified Arabic" w:cs="Simplified Arabic" w:hint="cs"/>
          <w:rtl/>
        </w:rPr>
        <w:t>كخطوة</w:t>
      </w:r>
      <w:r w:rsidRPr="00E91A5A">
        <w:rPr>
          <w:rFonts w:ascii="Simplified Arabic" w:hAnsi="Simplified Arabic" w:cs="Simplified Arabic"/>
          <w:rtl/>
        </w:rPr>
        <w:t xml:space="preserve"> </w:t>
      </w:r>
      <w:r w:rsidRPr="00E91A5A">
        <w:rPr>
          <w:rFonts w:ascii="Simplified Arabic" w:hAnsi="Simplified Arabic" w:cs="Simplified Arabic" w:hint="cs"/>
          <w:rtl/>
        </w:rPr>
        <w:t>أولى</w:t>
      </w:r>
      <w:r w:rsidRPr="00E91A5A">
        <w:rPr>
          <w:rFonts w:ascii="Simplified Arabic" w:hAnsi="Simplified Arabic" w:cs="Simplified Arabic"/>
          <w:rtl/>
        </w:rPr>
        <w:t xml:space="preserve"> </w:t>
      </w:r>
      <w:r w:rsidRPr="00E91A5A">
        <w:rPr>
          <w:rFonts w:ascii="Simplified Arabic" w:hAnsi="Simplified Arabic" w:cs="Simplified Arabic" w:hint="cs"/>
          <w:rtl/>
        </w:rPr>
        <w:t>مهمة</w:t>
      </w:r>
      <w:r w:rsidRPr="00E91A5A">
        <w:rPr>
          <w:rFonts w:ascii="Simplified Arabic" w:hAnsi="Simplified Arabic" w:cs="Simplified Arabic"/>
          <w:rtl/>
        </w:rPr>
        <w:t xml:space="preserve"> </w:t>
      </w:r>
      <w:r w:rsidRPr="00E91A5A">
        <w:rPr>
          <w:rFonts w:ascii="Simplified Arabic" w:hAnsi="Simplified Arabic" w:cs="Simplified Arabic" w:hint="cs"/>
          <w:rtl/>
        </w:rPr>
        <w:t>نحو</w:t>
      </w:r>
      <w:r w:rsidRPr="00E91A5A">
        <w:rPr>
          <w:rFonts w:ascii="Simplified Arabic" w:hAnsi="Simplified Arabic" w:cs="Simplified Arabic"/>
          <w:rtl/>
        </w:rPr>
        <w:t xml:space="preserve"> </w:t>
      </w:r>
      <w:r w:rsidRPr="00E91A5A">
        <w:rPr>
          <w:rFonts w:ascii="Simplified Arabic" w:hAnsi="Simplified Arabic" w:cs="Simplified Arabic" w:hint="cs"/>
          <w:rtl/>
        </w:rPr>
        <w:t>تشجيع</w:t>
      </w:r>
      <w:r w:rsidRPr="00E91A5A">
        <w:rPr>
          <w:rFonts w:ascii="Simplified Arabic" w:hAnsi="Simplified Arabic" w:cs="Simplified Arabic"/>
          <w:rtl/>
        </w:rPr>
        <w:t xml:space="preserve"> </w:t>
      </w:r>
      <w:r w:rsidRPr="00E91A5A">
        <w:rPr>
          <w:rFonts w:ascii="Simplified Arabic" w:hAnsi="Simplified Arabic" w:cs="Simplified Arabic" w:hint="cs"/>
          <w:rtl/>
        </w:rPr>
        <w:t>مشاركتهم</w:t>
      </w:r>
      <w:r w:rsidRPr="00E91A5A">
        <w:rPr>
          <w:rFonts w:ascii="Simplified Arabic" w:hAnsi="Simplified Arabic" w:cs="Simplified Arabic"/>
          <w:rtl/>
        </w:rPr>
        <w:t xml:space="preserve"> </w:t>
      </w:r>
      <w:r w:rsidRPr="00E91A5A">
        <w:rPr>
          <w:rFonts w:ascii="Simplified Arabic" w:hAnsi="Simplified Arabic" w:cs="Simplified Arabic" w:hint="cs"/>
          <w:rtl/>
        </w:rPr>
        <w:t>في</w:t>
      </w:r>
      <w:r w:rsidRPr="00E91A5A">
        <w:rPr>
          <w:rFonts w:ascii="Simplified Arabic" w:hAnsi="Simplified Arabic" w:cs="Simplified Arabic"/>
          <w:rtl/>
        </w:rPr>
        <w:t xml:space="preserve"> </w:t>
      </w:r>
      <w:r w:rsidRPr="00E91A5A">
        <w:rPr>
          <w:rFonts w:ascii="Simplified Arabic" w:hAnsi="Simplified Arabic" w:cs="Simplified Arabic" w:hint="cs"/>
          <w:rtl/>
        </w:rPr>
        <w:t>مستقبل</w:t>
      </w:r>
      <w:r w:rsidRPr="00E91A5A">
        <w:rPr>
          <w:rFonts w:ascii="Simplified Arabic" w:hAnsi="Simplified Arabic" w:cs="Simplified Arabic"/>
          <w:rtl/>
        </w:rPr>
        <w:t xml:space="preserve"> </w:t>
      </w:r>
      <w:r w:rsidRPr="00E91A5A">
        <w:rPr>
          <w:rFonts w:ascii="Simplified Arabic" w:hAnsi="Simplified Arabic" w:cs="Simplified Arabic" w:hint="cs"/>
          <w:rtl/>
        </w:rPr>
        <w:t>مشترك</w:t>
      </w:r>
      <w:r>
        <w:rPr>
          <w:rFonts w:ascii="Simplified Arabic" w:hAnsi="Simplified Arabic" w:cs="Simplified Arabic" w:hint="cs"/>
          <w:rtl/>
        </w:rPr>
        <w:t>، و</w:t>
      </w:r>
      <w:r w:rsidRPr="00E91A5A">
        <w:rPr>
          <w:rFonts w:ascii="Simplified Arabic" w:hAnsi="Simplified Arabic" w:cs="Simplified Arabic" w:hint="cs"/>
          <w:rtl/>
        </w:rPr>
        <w:t>دمج</w:t>
      </w:r>
      <w:r w:rsidRPr="00E91A5A">
        <w:rPr>
          <w:rFonts w:ascii="Simplified Arabic" w:hAnsi="Simplified Arabic" w:cs="Simplified Arabic"/>
          <w:rtl/>
        </w:rPr>
        <w:t xml:space="preserve"> </w:t>
      </w:r>
      <w:r>
        <w:rPr>
          <w:rFonts w:ascii="Simplified Arabic" w:hAnsi="Simplified Arabic" w:cs="Simplified Arabic" w:hint="cs"/>
          <w:rtl/>
        </w:rPr>
        <w:t>تصوراتهم</w:t>
      </w:r>
      <w:r w:rsidRPr="00E91A5A">
        <w:rPr>
          <w:rFonts w:ascii="Simplified Arabic" w:hAnsi="Simplified Arabic" w:cs="Simplified Arabic"/>
          <w:rtl/>
        </w:rPr>
        <w:t xml:space="preserve"> </w:t>
      </w:r>
      <w:r>
        <w:rPr>
          <w:rFonts w:ascii="Simplified Arabic" w:hAnsi="Simplified Arabic" w:cs="Simplified Arabic" w:hint="cs"/>
          <w:rtl/>
        </w:rPr>
        <w:t>لتحسين المرونة الحضرية من خلال دمج</w:t>
      </w:r>
      <w:r w:rsidRPr="00E91A5A">
        <w:rPr>
          <w:rFonts w:ascii="Simplified Arabic" w:hAnsi="Simplified Arabic" w:cs="Simplified Arabic"/>
          <w:rtl/>
        </w:rPr>
        <w:t xml:space="preserve"> </w:t>
      </w:r>
      <w:r w:rsidRPr="00E91A5A">
        <w:rPr>
          <w:rFonts w:ascii="Simplified Arabic" w:hAnsi="Simplified Arabic" w:cs="Simplified Arabic" w:hint="cs"/>
          <w:rtl/>
        </w:rPr>
        <w:t>أنشطة</w:t>
      </w:r>
      <w:r>
        <w:rPr>
          <w:rFonts w:ascii="Simplified Arabic" w:hAnsi="Simplified Arabic" w:cs="Simplified Arabic" w:hint="cs"/>
          <w:rtl/>
        </w:rPr>
        <w:t xml:space="preserve"> ووظائف حضرية ملائمة</w:t>
      </w:r>
      <w:r w:rsidRPr="00E91A5A">
        <w:rPr>
          <w:rFonts w:ascii="Simplified Arabic" w:hAnsi="Simplified Arabic" w:cs="Simplified Arabic"/>
          <w:rtl/>
        </w:rPr>
        <w:t xml:space="preserve">. </w:t>
      </w:r>
    </w:p>
    <w:p w:rsidR="00C97FA4" w:rsidRPr="00293414" w:rsidRDefault="00C97FA4" w:rsidP="00C97FA4">
      <w:pPr>
        <w:pStyle w:val="Default"/>
        <w:bidi/>
        <w:spacing w:line="276" w:lineRule="auto"/>
        <w:ind w:firstLine="282"/>
        <w:jc w:val="both"/>
        <w:rPr>
          <w:rFonts w:ascii="Simplified Arabic" w:hAnsi="Simplified Arabic" w:cs="Simplified Arabic"/>
          <w:rtl/>
        </w:rPr>
      </w:pPr>
      <w:r w:rsidRPr="00C75CAD">
        <w:rPr>
          <w:rFonts w:ascii="Simplified Arabic" w:hAnsi="Simplified Arabic" w:cs="Simplified Arabic" w:hint="cs"/>
          <w:rtl/>
        </w:rPr>
        <w:t>سيتم</w:t>
      </w:r>
      <w:r w:rsidRPr="00C75CAD">
        <w:rPr>
          <w:rFonts w:ascii="Simplified Arabic" w:hAnsi="Simplified Arabic" w:cs="Simplified Arabic"/>
          <w:rtl/>
        </w:rPr>
        <w:t xml:space="preserve"> </w:t>
      </w:r>
      <w:r w:rsidRPr="00C75CAD">
        <w:rPr>
          <w:rFonts w:ascii="Simplified Arabic" w:hAnsi="Simplified Arabic" w:cs="Simplified Arabic" w:hint="cs"/>
          <w:rtl/>
        </w:rPr>
        <w:t>جمع</w:t>
      </w:r>
      <w:r w:rsidRPr="00C75CAD">
        <w:rPr>
          <w:rFonts w:ascii="Simplified Arabic" w:hAnsi="Simplified Arabic" w:cs="Simplified Arabic"/>
          <w:rtl/>
        </w:rPr>
        <w:t xml:space="preserve"> </w:t>
      </w:r>
      <w:r w:rsidRPr="00C75CAD">
        <w:rPr>
          <w:rFonts w:ascii="Simplified Arabic" w:hAnsi="Simplified Arabic" w:cs="Simplified Arabic" w:hint="cs"/>
          <w:rtl/>
        </w:rPr>
        <w:t>هذه</w:t>
      </w:r>
      <w:r w:rsidRPr="00C75CAD">
        <w:rPr>
          <w:rFonts w:ascii="Simplified Arabic" w:hAnsi="Simplified Arabic" w:cs="Simplified Arabic"/>
          <w:rtl/>
        </w:rPr>
        <w:t xml:space="preserve"> </w:t>
      </w:r>
      <w:r w:rsidRPr="00C75CAD">
        <w:rPr>
          <w:rFonts w:ascii="Simplified Arabic" w:hAnsi="Simplified Arabic" w:cs="Simplified Arabic" w:hint="cs"/>
          <w:rtl/>
        </w:rPr>
        <w:t>التصورات</w:t>
      </w:r>
      <w:r w:rsidRPr="00C75CAD">
        <w:rPr>
          <w:rFonts w:ascii="Simplified Arabic" w:hAnsi="Simplified Arabic" w:cs="Simplified Arabic"/>
          <w:rtl/>
        </w:rPr>
        <w:t xml:space="preserve"> </w:t>
      </w:r>
      <w:r w:rsidRPr="00C75CAD">
        <w:rPr>
          <w:rFonts w:ascii="Simplified Arabic" w:hAnsi="Simplified Arabic" w:cs="Simplified Arabic" w:hint="cs"/>
          <w:rtl/>
        </w:rPr>
        <w:t>باستخدام</w:t>
      </w:r>
      <w:r w:rsidRPr="00C75CAD">
        <w:rPr>
          <w:rFonts w:ascii="Simplified Arabic" w:hAnsi="Simplified Arabic" w:cs="Simplified Arabic"/>
          <w:rtl/>
        </w:rPr>
        <w:t xml:space="preserve"> </w:t>
      </w:r>
      <w:r w:rsidRPr="00C75CAD">
        <w:rPr>
          <w:rFonts w:ascii="Simplified Arabic" w:hAnsi="Simplified Arabic" w:cs="Simplified Arabic" w:hint="cs"/>
          <w:rtl/>
        </w:rPr>
        <w:t>الاستبيانات،</w:t>
      </w:r>
      <w:r w:rsidRPr="00C75CAD">
        <w:rPr>
          <w:rFonts w:ascii="Simplified Arabic" w:hAnsi="Simplified Arabic" w:cs="Simplified Arabic"/>
          <w:rtl/>
        </w:rPr>
        <w:t xml:space="preserve"> </w:t>
      </w:r>
      <w:r w:rsidRPr="00C75CAD">
        <w:rPr>
          <w:rFonts w:ascii="Simplified Arabic" w:hAnsi="Simplified Arabic" w:cs="Simplified Arabic" w:hint="cs"/>
          <w:rtl/>
        </w:rPr>
        <w:t>لأن</w:t>
      </w:r>
      <w:r w:rsidRPr="00C75CAD">
        <w:rPr>
          <w:rFonts w:ascii="Simplified Arabic" w:hAnsi="Simplified Arabic" w:cs="Simplified Arabic"/>
          <w:rtl/>
        </w:rPr>
        <w:t xml:space="preserve"> </w:t>
      </w:r>
      <w:r w:rsidRPr="00C75CAD">
        <w:rPr>
          <w:rFonts w:ascii="Simplified Arabic" w:hAnsi="Simplified Arabic" w:cs="Simplified Arabic" w:hint="cs"/>
          <w:rtl/>
        </w:rPr>
        <w:t>هذه</w:t>
      </w:r>
      <w:r w:rsidRPr="00C75CAD">
        <w:rPr>
          <w:rFonts w:ascii="Simplified Arabic" w:hAnsi="Simplified Arabic" w:cs="Simplified Arabic"/>
          <w:rtl/>
        </w:rPr>
        <w:t xml:space="preserve"> </w:t>
      </w:r>
      <w:r w:rsidRPr="00C75CAD">
        <w:rPr>
          <w:rFonts w:ascii="Simplified Arabic" w:hAnsi="Simplified Arabic" w:cs="Simplified Arabic" w:hint="cs"/>
          <w:rtl/>
        </w:rPr>
        <w:t>الطريقة</w:t>
      </w:r>
      <w:r w:rsidRPr="00C75CAD">
        <w:rPr>
          <w:rFonts w:ascii="Simplified Arabic" w:hAnsi="Simplified Arabic" w:cs="Simplified Arabic"/>
          <w:rtl/>
        </w:rPr>
        <w:t xml:space="preserve"> </w:t>
      </w:r>
      <w:r w:rsidRPr="00C75CAD">
        <w:rPr>
          <w:rFonts w:ascii="Simplified Arabic" w:hAnsi="Simplified Arabic" w:cs="Simplified Arabic" w:hint="cs"/>
          <w:rtl/>
        </w:rPr>
        <w:t>تمثل</w:t>
      </w:r>
      <w:r w:rsidRPr="00C75CAD">
        <w:rPr>
          <w:rFonts w:ascii="Simplified Arabic" w:hAnsi="Simplified Arabic" w:cs="Simplified Arabic"/>
          <w:rtl/>
        </w:rPr>
        <w:t xml:space="preserve"> </w:t>
      </w:r>
      <w:r w:rsidRPr="00C75CAD">
        <w:rPr>
          <w:rFonts w:ascii="Simplified Arabic" w:hAnsi="Simplified Arabic" w:cs="Simplified Arabic" w:hint="cs"/>
          <w:rtl/>
        </w:rPr>
        <w:t>الأسلوب</w:t>
      </w:r>
      <w:r w:rsidRPr="00C75CAD">
        <w:rPr>
          <w:rFonts w:ascii="Simplified Arabic" w:hAnsi="Simplified Arabic" w:cs="Simplified Arabic"/>
          <w:rtl/>
        </w:rPr>
        <w:t xml:space="preserve"> </w:t>
      </w:r>
      <w:r w:rsidRPr="00C75CAD">
        <w:rPr>
          <w:rFonts w:ascii="Simplified Arabic" w:hAnsi="Simplified Arabic" w:cs="Simplified Arabic" w:hint="cs"/>
          <w:rtl/>
        </w:rPr>
        <w:t>الأكثر</w:t>
      </w:r>
      <w:r w:rsidRPr="00C75CAD">
        <w:rPr>
          <w:rFonts w:ascii="Simplified Arabic" w:hAnsi="Simplified Arabic" w:cs="Simplified Arabic"/>
          <w:rtl/>
        </w:rPr>
        <w:t xml:space="preserve"> </w:t>
      </w:r>
      <w:r w:rsidRPr="00C75CAD">
        <w:rPr>
          <w:rFonts w:ascii="Simplified Arabic" w:hAnsi="Simplified Arabic" w:cs="Simplified Arabic" w:hint="cs"/>
          <w:rtl/>
        </w:rPr>
        <w:t>شيوعًا</w:t>
      </w:r>
      <w:r w:rsidRPr="00C75CAD">
        <w:rPr>
          <w:rFonts w:ascii="Simplified Arabic" w:hAnsi="Simplified Arabic" w:cs="Simplified Arabic"/>
          <w:rtl/>
        </w:rPr>
        <w:t xml:space="preserve"> </w:t>
      </w:r>
      <w:r w:rsidRPr="00C75CAD">
        <w:rPr>
          <w:rFonts w:ascii="Simplified Arabic" w:hAnsi="Simplified Arabic" w:cs="Simplified Arabic" w:hint="cs"/>
          <w:rtl/>
        </w:rPr>
        <w:t>للتحقيق</w:t>
      </w:r>
      <w:r w:rsidRPr="00C75CAD">
        <w:rPr>
          <w:rFonts w:ascii="Simplified Arabic" w:hAnsi="Simplified Arabic" w:cs="Simplified Arabic"/>
          <w:rtl/>
        </w:rPr>
        <w:t xml:space="preserve"> </w:t>
      </w:r>
      <w:r w:rsidRPr="00C75CAD">
        <w:rPr>
          <w:rFonts w:ascii="Simplified Arabic" w:hAnsi="Simplified Arabic" w:cs="Simplified Arabic" w:hint="cs"/>
          <w:rtl/>
        </w:rPr>
        <w:t>في</w:t>
      </w:r>
      <w:r w:rsidRPr="00C75CAD">
        <w:rPr>
          <w:rFonts w:ascii="Simplified Arabic" w:hAnsi="Simplified Arabic" w:cs="Simplified Arabic"/>
          <w:rtl/>
        </w:rPr>
        <w:t xml:space="preserve"> </w:t>
      </w:r>
      <w:r w:rsidRPr="00C75CAD">
        <w:rPr>
          <w:rFonts w:ascii="Simplified Arabic" w:hAnsi="Simplified Arabic" w:cs="Simplified Arabic" w:hint="cs"/>
          <w:rtl/>
        </w:rPr>
        <w:t>تصورات</w:t>
      </w:r>
      <w:r w:rsidRPr="00C75CAD">
        <w:rPr>
          <w:rFonts w:ascii="Simplified Arabic" w:hAnsi="Simplified Arabic" w:cs="Simplified Arabic"/>
          <w:rtl/>
        </w:rPr>
        <w:t xml:space="preserve"> </w:t>
      </w:r>
      <w:r w:rsidRPr="00C75CAD">
        <w:rPr>
          <w:rFonts w:ascii="Simplified Arabic" w:hAnsi="Simplified Arabic" w:cs="Simplified Arabic" w:hint="cs"/>
          <w:rtl/>
        </w:rPr>
        <w:t>السكان المحليين،</w:t>
      </w:r>
      <w:r w:rsidRPr="00C75CAD">
        <w:rPr>
          <w:rFonts w:ascii="Simplified Arabic" w:hAnsi="Simplified Arabic" w:cs="Simplified Arabic"/>
          <w:rtl/>
        </w:rPr>
        <w:t xml:space="preserve"> </w:t>
      </w:r>
      <w:r w:rsidRPr="00C75CAD">
        <w:rPr>
          <w:rFonts w:ascii="Simplified Arabic" w:hAnsi="Simplified Arabic" w:cs="Simplified Arabic" w:hint="cs"/>
          <w:rtl/>
        </w:rPr>
        <w:t>حيث</w:t>
      </w:r>
      <w:r w:rsidRPr="00C75CAD">
        <w:rPr>
          <w:rFonts w:ascii="Simplified Arabic" w:hAnsi="Simplified Arabic" w:cs="Simplified Arabic"/>
          <w:rtl/>
        </w:rPr>
        <w:t xml:space="preserve"> </w:t>
      </w:r>
      <w:r w:rsidRPr="00C75CAD">
        <w:rPr>
          <w:rFonts w:ascii="Simplified Arabic" w:hAnsi="Simplified Arabic" w:cs="Simplified Arabic" w:hint="cs"/>
          <w:rtl/>
        </w:rPr>
        <w:t>تم</w:t>
      </w:r>
      <w:r w:rsidRPr="00C75CAD">
        <w:rPr>
          <w:rFonts w:ascii="Simplified Arabic" w:hAnsi="Simplified Arabic" w:cs="Simplified Arabic"/>
          <w:rtl/>
        </w:rPr>
        <w:t xml:space="preserve"> </w:t>
      </w:r>
      <w:r w:rsidRPr="00C75CAD">
        <w:rPr>
          <w:rFonts w:ascii="Simplified Arabic" w:hAnsi="Simplified Arabic" w:cs="Simplified Arabic" w:hint="cs"/>
          <w:rtl/>
        </w:rPr>
        <w:t>استخدامها</w:t>
      </w:r>
      <w:r w:rsidRPr="00C75CAD">
        <w:rPr>
          <w:rFonts w:ascii="Simplified Arabic" w:hAnsi="Simplified Arabic" w:cs="Simplified Arabic"/>
          <w:rtl/>
        </w:rPr>
        <w:t xml:space="preserve"> </w:t>
      </w:r>
      <w:r w:rsidRPr="00C75CAD">
        <w:rPr>
          <w:rFonts w:ascii="Simplified Arabic" w:hAnsi="Simplified Arabic" w:cs="Simplified Arabic" w:hint="cs"/>
          <w:rtl/>
        </w:rPr>
        <w:t>في</w:t>
      </w:r>
      <w:r w:rsidRPr="00C75CAD">
        <w:rPr>
          <w:rFonts w:ascii="Simplified Arabic" w:hAnsi="Simplified Arabic" w:cs="Simplified Arabic"/>
          <w:rtl/>
        </w:rPr>
        <w:t xml:space="preserve"> </w:t>
      </w:r>
      <w:r w:rsidRPr="00C75CAD">
        <w:rPr>
          <w:rFonts w:ascii="Simplified Arabic" w:hAnsi="Simplified Arabic" w:cs="Simplified Arabic" w:hint="cs"/>
          <w:rtl/>
        </w:rPr>
        <w:t>العديد</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المجالات</w:t>
      </w:r>
      <w:r w:rsidRPr="00C75CAD">
        <w:rPr>
          <w:rFonts w:ascii="Simplified Arabic" w:hAnsi="Simplified Arabic" w:cs="Simplified Arabic"/>
          <w:rtl/>
        </w:rPr>
        <w:t xml:space="preserve"> </w:t>
      </w:r>
      <w:r w:rsidRPr="00C75CAD">
        <w:rPr>
          <w:rFonts w:ascii="Simplified Arabic" w:hAnsi="Simplified Arabic" w:cs="Simplified Arabic" w:hint="cs"/>
          <w:rtl/>
        </w:rPr>
        <w:t>المختلفة</w:t>
      </w:r>
      <w:r w:rsidRPr="00C75CAD">
        <w:rPr>
          <w:rFonts w:ascii="Simplified Arabic" w:hAnsi="Simplified Arabic" w:cs="Simplified Arabic"/>
          <w:rtl/>
        </w:rPr>
        <w:t xml:space="preserve"> </w:t>
      </w:r>
      <w:r w:rsidRPr="00C75CAD">
        <w:rPr>
          <w:rFonts w:asciiTheme="majorBidi" w:hAnsiTheme="majorBidi" w:cstheme="majorBidi"/>
          <w:rtl/>
        </w:rPr>
        <w:t>(</w:t>
      </w:r>
      <w:r w:rsidRPr="00C75CAD">
        <w:rPr>
          <w:rFonts w:asciiTheme="majorBidi" w:hAnsiTheme="majorBidi" w:cstheme="majorBidi"/>
        </w:rPr>
        <w:t>Huang, 2006</w:t>
      </w:r>
      <w:r w:rsidRPr="00C75CAD">
        <w:rPr>
          <w:rFonts w:asciiTheme="majorBidi" w:hAnsiTheme="majorBidi" w:cstheme="majorBidi"/>
          <w:rtl/>
        </w:rPr>
        <w:t>)</w:t>
      </w:r>
      <w:r w:rsidRPr="00C75CAD">
        <w:rPr>
          <w:rFonts w:ascii="Simplified Arabic" w:hAnsi="Simplified Arabic" w:cs="Simplified Arabic" w:hint="cs"/>
          <w:rtl/>
        </w:rPr>
        <w:t>،</w:t>
      </w:r>
      <w:r w:rsidRPr="00C75CAD">
        <w:rPr>
          <w:rFonts w:ascii="Simplified Arabic" w:hAnsi="Simplified Arabic" w:cs="Simplified Arabic"/>
          <w:rtl/>
        </w:rPr>
        <w:t xml:space="preserve"> </w:t>
      </w:r>
      <w:r w:rsidRPr="00C75CAD">
        <w:rPr>
          <w:rFonts w:ascii="Simplified Arabic" w:hAnsi="Simplified Arabic" w:cs="Simplified Arabic" w:hint="cs"/>
          <w:rtl/>
        </w:rPr>
        <w:t>بما</w:t>
      </w:r>
      <w:r w:rsidRPr="00C75CAD">
        <w:rPr>
          <w:rFonts w:ascii="Simplified Arabic" w:hAnsi="Simplified Arabic" w:cs="Simplified Arabic"/>
          <w:rtl/>
        </w:rPr>
        <w:t xml:space="preserve"> </w:t>
      </w:r>
      <w:r w:rsidRPr="00C75CAD">
        <w:rPr>
          <w:rFonts w:ascii="Simplified Arabic" w:hAnsi="Simplified Arabic" w:cs="Simplified Arabic" w:hint="cs"/>
          <w:rtl/>
        </w:rPr>
        <w:t>في</w:t>
      </w:r>
      <w:r w:rsidRPr="00C75CAD">
        <w:rPr>
          <w:rFonts w:ascii="Simplified Arabic" w:hAnsi="Simplified Arabic" w:cs="Simplified Arabic"/>
          <w:rtl/>
        </w:rPr>
        <w:t xml:space="preserve"> </w:t>
      </w:r>
      <w:r w:rsidRPr="00C75CAD">
        <w:rPr>
          <w:rFonts w:ascii="Simplified Arabic" w:hAnsi="Simplified Arabic" w:cs="Simplified Arabic" w:hint="cs"/>
          <w:rtl/>
        </w:rPr>
        <w:t>ذلك</w:t>
      </w:r>
      <w:r w:rsidRPr="00C75CAD">
        <w:rPr>
          <w:rFonts w:ascii="Simplified Arabic" w:hAnsi="Simplified Arabic" w:cs="Simplified Arabic"/>
          <w:rtl/>
        </w:rPr>
        <w:t xml:space="preserve"> </w:t>
      </w:r>
      <w:r w:rsidRPr="00C75CAD">
        <w:rPr>
          <w:rFonts w:ascii="Simplified Arabic" w:hAnsi="Simplified Arabic" w:cs="Simplified Arabic" w:hint="cs"/>
          <w:rtl/>
        </w:rPr>
        <w:t>التنمية</w:t>
      </w:r>
      <w:r w:rsidRPr="00C75CAD">
        <w:rPr>
          <w:rFonts w:ascii="Simplified Arabic" w:hAnsi="Simplified Arabic" w:cs="Simplified Arabic"/>
          <w:rtl/>
        </w:rPr>
        <w:t xml:space="preserve"> </w:t>
      </w:r>
      <w:r w:rsidRPr="00C75CAD">
        <w:rPr>
          <w:rFonts w:ascii="Simplified Arabic" w:hAnsi="Simplified Arabic" w:cs="Simplified Arabic" w:hint="cs"/>
          <w:rtl/>
        </w:rPr>
        <w:t>الحضرية</w:t>
      </w:r>
      <w:r w:rsidRPr="00C75CAD">
        <w:rPr>
          <w:rFonts w:ascii="Simplified Arabic" w:hAnsi="Simplified Arabic" w:cs="Simplified Arabic"/>
          <w:rtl/>
        </w:rPr>
        <w:t xml:space="preserve"> </w:t>
      </w:r>
      <w:r w:rsidRPr="00C75CAD">
        <w:rPr>
          <w:rFonts w:ascii="Simplified Arabic" w:hAnsi="Simplified Arabic" w:cs="Simplified Arabic" w:hint="cs"/>
          <w:rtl/>
        </w:rPr>
        <w:t>المستدامة</w:t>
      </w:r>
      <w:r w:rsidRPr="00C75CAD">
        <w:rPr>
          <w:rFonts w:asciiTheme="minorBidi" w:hAnsiTheme="minorBidi" w:cs="Arial"/>
          <w:sz w:val="28"/>
          <w:szCs w:val="28"/>
          <w:rtl/>
        </w:rPr>
        <w:t xml:space="preserve"> </w:t>
      </w:r>
      <w:r w:rsidRPr="00C75CAD">
        <w:rPr>
          <w:rFonts w:asciiTheme="majorBidi" w:hAnsiTheme="majorBidi" w:cstheme="majorBidi"/>
          <w:rtl/>
        </w:rPr>
        <w:t>(</w:t>
      </w:r>
      <w:r w:rsidRPr="00C75CAD">
        <w:rPr>
          <w:rFonts w:asciiTheme="majorBidi" w:hAnsiTheme="majorBidi" w:cstheme="majorBidi"/>
        </w:rPr>
        <w:t>Balram and Dragićević, 2005</w:t>
      </w:r>
      <w:r w:rsidRPr="00C75CAD">
        <w:rPr>
          <w:rFonts w:asciiTheme="majorBidi" w:hAnsiTheme="majorBidi" w:cstheme="majorBidi"/>
          <w:rtl/>
        </w:rPr>
        <w:t>)</w:t>
      </w:r>
      <w:r w:rsidRPr="00C75CAD">
        <w:rPr>
          <w:rFonts w:asciiTheme="minorBidi" w:hAnsiTheme="minorBidi" w:cs="Arial"/>
          <w:sz w:val="28"/>
          <w:szCs w:val="28"/>
          <w:rtl/>
        </w:rPr>
        <w:t>.</w:t>
      </w:r>
    </w:p>
    <w:p w:rsidR="00C97FA4" w:rsidRPr="00105C77" w:rsidRDefault="00C97FA4" w:rsidP="001D0548">
      <w:pPr>
        <w:pStyle w:val="Default"/>
        <w:numPr>
          <w:ilvl w:val="3"/>
          <w:numId w:val="149"/>
        </w:numPr>
        <w:tabs>
          <w:tab w:val="right" w:pos="992"/>
        </w:tabs>
        <w:bidi/>
        <w:spacing w:before="240"/>
        <w:ind w:left="0" w:firstLine="0"/>
        <w:jc w:val="both"/>
        <w:outlineLvl w:val="2"/>
        <w:rPr>
          <w:rFonts w:ascii="Simplified Arabic" w:hAnsi="Simplified Arabic" w:cs="Simplified Arabic"/>
          <w:b/>
          <w:bCs/>
          <w:rtl/>
        </w:rPr>
      </w:pPr>
      <w:bookmarkStart w:id="464" w:name="_Toc171803555"/>
      <w:r w:rsidRPr="00105C77">
        <w:rPr>
          <w:rFonts w:ascii="Simplified Arabic" w:hAnsi="Simplified Arabic" w:cs="Simplified Arabic" w:hint="cs"/>
          <w:b/>
          <w:bCs/>
          <w:rtl/>
        </w:rPr>
        <w:t>خصائص العينة الجيدة</w:t>
      </w:r>
      <w:bookmarkEnd w:id="464"/>
    </w:p>
    <w:p w:rsidR="00C97FA4" w:rsidRDefault="00C97FA4" w:rsidP="00CF3711">
      <w:pPr>
        <w:pStyle w:val="Default"/>
        <w:bidi/>
        <w:spacing w:line="276" w:lineRule="auto"/>
        <w:ind w:firstLine="282"/>
        <w:jc w:val="both"/>
        <w:rPr>
          <w:rFonts w:ascii="Simplified Arabic" w:hAnsi="Simplified Arabic" w:cs="Simplified Arabic"/>
          <w:rtl/>
        </w:rPr>
      </w:pPr>
      <w:r w:rsidRPr="00B068B9">
        <w:rPr>
          <w:rFonts w:ascii="Simplified Arabic" w:hAnsi="Simplified Arabic" w:cs="Simplified Arabic"/>
          <w:rtl/>
        </w:rPr>
        <w:t xml:space="preserve">تتمثل خصائص العينة الجيدة فيما </w:t>
      </w:r>
      <w:r w:rsidRPr="001E38CA">
        <w:rPr>
          <w:rFonts w:ascii="Simplified Arabic" w:hAnsi="Simplified Arabic" w:cs="Simplified Arabic"/>
          <w:rtl/>
        </w:rPr>
        <w:t>يلي:</w:t>
      </w:r>
    </w:p>
    <w:p w:rsidR="00C97FA4" w:rsidRPr="00105C77" w:rsidRDefault="00C97FA4" w:rsidP="001D0548">
      <w:pPr>
        <w:pStyle w:val="Default"/>
        <w:numPr>
          <w:ilvl w:val="0"/>
          <w:numId w:val="26"/>
        </w:numPr>
        <w:bidi/>
        <w:spacing w:line="276" w:lineRule="auto"/>
        <w:jc w:val="both"/>
        <w:rPr>
          <w:rFonts w:ascii="Simplified Arabic" w:hAnsi="Simplified Arabic" w:cs="Simplified Arabic"/>
          <w:b/>
          <w:bCs/>
        </w:rPr>
      </w:pPr>
      <w:r w:rsidRPr="00105C77">
        <w:rPr>
          <w:rFonts w:ascii="Simplified Arabic" w:hAnsi="Simplified Arabic" w:cs="Simplified Arabic" w:hint="cs"/>
          <w:b/>
          <w:bCs/>
          <w:rtl/>
        </w:rPr>
        <w:t xml:space="preserve">التمثيل: </w:t>
      </w:r>
      <w:r w:rsidRPr="00411460">
        <w:rPr>
          <w:rFonts w:ascii="Simplified Arabic" w:hAnsi="Simplified Arabic" w:cs="Simplified Arabic" w:hint="cs"/>
          <w:rtl/>
        </w:rPr>
        <w:t>ان تمثل المجتمع حقيقة و ان تكون صادقة</w:t>
      </w:r>
      <w:r>
        <w:rPr>
          <w:rFonts w:ascii="Simplified Arabic" w:hAnsi="Simplified Arabic" w:cs="Simplified Arabic" w:hint="cs"/>
          <w:rtl/>
        </w:rPr>
        <w:t>.</w:t>
      </w:r>
    </w:p>
    <w:p w:rsidR="00C97FA4" w:rsidRDefault="00C97FA4" w:rsidP="001D0548">
      <w:pPr>
        <w:pStyle w:val="Default"/>
        <w:numPr>
          <w:ilvl w:val="0"/>
          <w:numId w:val="26"/>
        </w:numPr>
        <w:bidi/>
        <w:spacing w:line="276" w:lineRule="auto"/>
        <w:jc w:val="both"/>
        <w:rPr>
          <w:rFonts w:ascii="Simplified Arabic" w:hAnsi="Simplified Arabic" w:cs="Simplified Arabic"/>
        </w:rPr>
      </w:pPr>
      <w:r w:rsidRPr="00105C77">
        <w:rPr>
          <w:rFonts w:ascii="Simplified Arabic" w:hAnsi="Simplified Arabic" w:cs="Simplified Arabic" w:hint="cs"/>
          <w:b/>
          <w:bCs/>
          <w:rtl/>
        </w:rPr>
        <w:t>الدقة:</w:t>
      </w:r>
      <w:r>
        <w:rPr>
          <w:rFonts w:ascii="Simplified Arabic" w:hAnsi="Simplified Arabic" w:cs="Simplified Arabic" w:hint="cs"/>
          <w:rtl/>
        </w:rPr>
        <w:t xml:space="preserve"> لا ينبغي ان يكون هناك تحيز او تأثير قد يتسبب في الحصول على فروق بين قيم المجتمع و قيم العينة.</w:t>
      </w:r>
    </w:p>
    <w:p w:rsidR="00C97FA4" w:rsidRDefault="00C97FA4" w:rsidP="001D0548">
      <w:pPr>
        <w:pStyle w:val="Default"/>
        <w:numPr>
          <w:ilvl w:val="0"/>
          <w:numId w:val="26"/>
        </w:numPr>
        <w:bidi/>
        <w:spacing w:line="276" w:lineRule="auto"/>
        <w:jc w:val="both"/>
        <w:rPr>
          <w:rFonts w:ascii="Simplified Arabic" w:hAnsi="Simplified Arabic" w:cs="Simplified Arabic"/>
        </w:rPr>
      </w:pPr>
      <w:r w:rsidRPr="00105C77">
        <w:rPr>
          <w:rFonts w:ascii="Simplified Arabic" w:hAnsi="Simplified Arabic" w:cs="Simplified Arabic" w:hint="cs"/>
          <w:b/>
          <w:bCs/>
          <w:rtl/>
        </w:rPr>
        <w:t>الاحكام والضبط:</w:t>
      </w:r>
      <w:r>
        <w:rPr>
          <w:rFonts w:ascii="Simplified Arabic" w:hAnsi="Simplified Arabic" w:cs="Simplified Arabic" w:hint="cs"/>
          <w:rtl/>
        </w:rPr>
        <w:t xml:space="preserve"> يتم حساب الانحراف المعياري لتحديد الحكم على العينة، حيث كلما قلت قيمة الخطأ في الانحراف المعياري كان الحكم افضل.</w:t>
      </w:r>
    </w:p>
    <w:p w:rsidR="00C97FA4" w:rsidRDefault="00C97FA4" w:rsidP="001D0548">
      <w:pPr>
        <w:pStyle w:val="Default"/>
        <w:numPr>
          <w:ilvl w:val="0"/>
          <w:numId w:val="26"/>
        </w:numPr>
        <w:bidi/>
        <w:spacing w:line="276" w:lineRule="auto"/>
        <w:jc w:val="both"/>
        <w:rPr>
          <w:rFonts w:ascii="Simplified Arabic" w:hAnsi="Simplified Arabic" w:cs="Simplified Arabic"/>
        </w:rPr>
      </w:pPr>
      <w:r w:rsidRPr="00105C77">
        <w:rPr>
          <w:rFonts w:ascii="Simplified Arabic" w:hAnsi="Simplified Arabic" w:cs="Simplified Arabic" w:hint="cs"/>
          <w:b/>
          <w:bCs/>
          <w:rtl/>
        </w:rPr>
        <w:t>الحجم:</w:t>
      </w:r>
      <w:r>
        <w:rPr>
          <w:rFonts w:ascii="Simplified Arabic" w:hAnsi="Simplified Arabic" w:cs="Simplified Arabic" w:hint="cs"/>
          <w:rtl/>
        </w:rPr>
        <w:t xml:space="preserve"> حجم العينة الجيدة تكون كافية بحيث تمثل حجم المجتمع الحقيقي.</w:t>
      </w:r>
    </w:p>
    <w:p w:rsidR="00C97FA4" w:rsidRPr="00B068B9" w:rsidRDefault="00C97FA4" w:rsidP="001D0548">
      <w:pPr>
        <w:pStyle w:val="Default"/>
        <w:numPr>
          <w:ilvl w:val="3"/>
          <w:numId w:val="245"/>
        </w:numPr>
        <w:tabs>
          <w:tab w:val="right" w:pos="992"/>
        </w:tabs>
        <w:bidi/>
        <w:spacing w:before="240"/>
        <w:ind w:left="0" w:firstLine="0"/>
        <w:jc w:val="both"/>
        <w:outlineLvl w:val="2"/>
        <w:rPr>
          <w:rFonts w:ascii="Simplified Arabic" w:hAnsi="Simplified Arabic" w:cs="Simplified Arabic"/>
          <w:b/>
          <w:bCs/>
        </w:rPr>
      </w:pPr>
      <w:bookmarkStart w:id="465" w:name="_Toc171803556"/>
      <w:r w:rsidRPr="00B068B9">
        <w:rPr>
          <w:rFonts w:ascii="Simplified Arabic" w:hAnsi="Simplified Arabic" w:cs="Simplified Arabic" w:hint="cs"/>
          <w:b/>
          <w:bCs/>
          <w:rtl/>
        </w:rPr>
        <w:t>تصميم</w:t>
      </w:r>
      <w:r w:rsidRPr="00B068B9">
        <w:rPr>
          <w:rFonts w:ascii="Simplified Arabic" w:hAnsi="Simplified Arabic" w:cs="Simplified Arabic"/>
          <w:b/>
          <w:bCs/>
          <w:rtl/>
        </w:rPr>
        <w:t xml:space="preserve"> </w:t>
      </w:r>
      <w:r w:rsidRPr="00B068B9">
        <w:rPr>
          <w:rFonts w:ascii="Simplified Arabic" w:hAnsi="Simplified Arabic" w:cs="Simplified Arabic" w:hint="cs"/>
          <w:b/>
          <w:bCs/>
          <w:rtl/>
        </w:rPr>
        <w:t>استبيان</w:t>
      </w:r>
      <w:r w:rsidRPr="00B068B9">
        <w:rPr>
          <w:rFonts w:ascii="Simplified Arabic" w:hAnsi="Simplified Arabic" w:cs="Simplified Arabic"/>
          <w:b/>
          <w:bCs/>
          <w:rtl/>
        </w:rPr>
        <w:t xml:space="preserve"> </w:t>
      </w:r>
      <w:r w:rsidRPr="00B068B9">
        <w:rPr>
          <w:rFonts w:ascii="Simplified Arabic" w:hAnsi="Simplified Arabic" w:cs="Simplified Arabic" w:hint="cs"/>
          <w:b/>
          <w:bCs/>
          <w:rtl/>
        </w:rPr>
        <w:t>الم</w:t>
      </w:r>
      <w:r>
        <w:rPr>
          <w:rFonts w:ascii="Simplified Arabic" w:hAnsi="Simplified Arabic" w:cs="Simplified Arabic" w:hint="cs"/>
          <w:b/>
          <w:bCs/>
          <w:rtl/>
        </w:rPr>
        <w:t>ست</w:t>
      </w:r>
      <w:r w:rsidRPr="00B068B9">
        <w:rPr>
          <w:rFonts w:ascii="Simplified Arabic" w:hAnsi="Simplified Arabic" w:cs="Simplified Arabic" w:hint="cs"/>
          <w:b/>
          <w:bCs/>
          <w:rtl/>
        </w:rPr>
        <w:t>جيبين</w:t>
      </w:r>
      <w:bookmarkEnd w:id="465"/>
    </w:p>
    <w:p w:rsidR="00C97FA4" w:rsidRPr="00293414" w:rsidRDefault="00C97FA4" w:rsidP="00C97FA4">
      <w:pPr>
        <w:pStyle w:val="Default"/>
        <w:bidi/>
        <w:spacing w:line="276" w:lineRule="auto"/>
        <w:ind w:firstLine="282"/>
        <w:jc w:val="both"/>
        <w:rPr>
          <w:rFonts w:ascii="Simplified Arabic" w:hAnsi="Simplified Arabic" w:cs="Simplified Arabic"/>
          <w:rtl/>
        </w:rPr>
      </w:pPr>
      <w:r w:rsidRPr="00C75CAD">
        <w:rPr>
          <w:rFonts w:ascii="Simplified Arabic" w:hAnsi="Simplified Arabic" w:cs="Simplified Arabic" w:hint="cs"/>
          <w:rtl/>
        </w:rPr>
        <w:t>في اغلب الاحيان، يتم</w:t>
      </w:r>
      <w:r w:rsidRPr="00C75CAD">
        <w:rPr>
          <w:rFonts w:ascii="Simplified Arabic" w:hAnsi="Simplified Arabic" w:cs="Simplified Arabic"/>
          <w:rtl/>
        </w:rPr>
        <w:t xml:space="preserve"> </w:t>
      </w:r>
      <w:r w:rsidRPr="00C75CAD">
        <w:rPr>
          <w:rFonts w:ascii="Simplified Arabic" w:hAnsi="Simplified Arabic" w:cs="Simplified Arabic" w:hint="cs"/>
          <w:rtl/>
        </w:rPr>
        <w:t>اختيار</w:t>
      </w:r>
      <w:r w:rsidRPr="00C75CAD">
        <w:rPr>
          <w:rFonts w:ascii="Simplified Arabic" w:hAnsi="Simplified Arabic" w:cs="Simplified Arabic"/>
          <w:rtl/>
        </w:rPr>
        <w:t xml:space="preserve"> </w:t>
      </w:r>
      <w:r w:rsidRPr="00C75CAD">
        <w:rPr>
          <w:rFonts w:ascii="Simplified Arabic" w:hAnsi="Simplified Arabic" w:cs="Simplified Arabic" w:hint="cs"/>
          <w:rtl/>
        </w:rPr>
        <w:t>تقنية</w:t>
      </w:r>
      <w:r w:rsidRPr="00C75CAD">
        <w:rPr>
          <w:rFonts w:ascii="Simplified Arabic" w:hAnsi="Simplified Arabic" w:cs="Simplified Arabic"/>
          <w:rtl/>
        </w:rPr>
        <w:t xml:space="preserve"> </w:t>
      </w:r>
      <w:r w:rsidRPr="00C75CAD">
        <w:rPr>
          <w:rFonts w:ascii="Simplified Arabic" w:hAnsi="Simplified Arabic" w:cs="Simplified Arabic" w:hint="cs"/>
          <w:rtl/>
        </w:rPr>
        <w:t>الاستبيان</w:t>
      </w:r>
      <w:r w:rsidRPr="00C75CAD">
        <w:rPr>
          <w:rFonts w:ascii="Simplified Arabic" w:hAnsi="Simplified Arabic" w:cs="Simplified Arabic"/>
          <w:rtl/>
        </w:rPr>
        <w:t xml:space="preserve"> </w:t>
      </w:r>
      <w:r w:rsidRPr="00C75CAD">
        <w:rPr>
          <w:rFonts w:ascii="Simplified Arabic" w:hAnsi="Simplified Arabic" w:cs="Simplified Arabic" w:hint="cs"/>
          <w:rtl/>
        </w:rPr>
        <w:t>الالكتروني لجمع</w:t>
      </w:r>
      <w:r w:rsidRPr="00C75CAD">
        <w:rPr>
          <w:rFonts w:ascii="Simplified Arabic" w:hAnsi="Simplified Arabic" w:cs="Simplified Arabic"/>
          <w:rtl/>
        </w:rPr>
        <w:t xml:space="preserve"> </w:t>
      </w:r>
      <w:r w:rsidRPr="00C75CAD">
        <w:rPr>
          <w:rFonts w:ascii="Simplified Arabic" w:hAnsi="Simplified Arabic" w:cs="Simplified Arabic" w:hint="cs"/>
          <w:rtl/>
        </w:rPr>
        <w:t>البيانات</w:t>
      </w:r>
      <w:r w:rsidRPr="00C75CAD">
        <w:rPr>
          <w:rFonts w:ascii="Simplified Arabic" w:hAnsi="Simplified Arabic" w:cs="Simplified Arabic"/>
          <w:rtl/>
        </w:rPr>
        <w:t xml:space="preserve"> </w:t>
      </w:r>
      <w:r w:rsidRPr="00C75CAD">
        <w:rPr>
          <w:rFonts w:ascii="Simplified Arabic" w:hAnsi="Simplified Arabic" w:cs="Simplified Arabic" w:hint="cs"/>
          <w:rtl/>
        </w:rPr>
        <w:t>وتحليلها</w:t>
      </w:r>
      <w:r w:rsidRPr="00C75CAD">
        <w:rPr>
          <w:rFonts w:ascii="Simplified Arabic" w:hAnsi="Simplified Arabic" w:cs="Simplified Arabic"/>
          <w:rtl/>
        </w:rPr>
        <w:t xml:space="preserve"> </w:t>
      </w:r>
      <w:r w:rsidRPr="00C75CAD">
        <w:rPr>
          <w:rFonts w:ascii="Simplified Arabic" w:hAnsi="Simplified Arabic" w:cs="Simplified Arabic" w:hint="cs"/>
          <w:rtl/>
        </w:rPr>
        <w:t>وتفسيرها،</w:t>
      </w:r>
      <w:r w:rsidRPr="00C75CAD">
        <w:rPr>
          <w:rFonts w:ascii="Simplified Arabic" w:hAnsi="Simplified Arabic" w:cs="Simplified Arabic"/>
          <w:rtl/>
        </w:rPr>
        <w:t xml:space="preserve"> </w:t>
      </w:r>
      <w:r w:rsidRPr="00C75CAD">
        <w:rPr>
          <w:rFonts w:ascii="Simplified Arabic" w:hAnsi="Simplified Arabic" w:cs="Simplified Arabic" w:hint="cs"/>
          <w:rtl/>
        </w:rPr>
        <w:t>لأنها</w:t>
      </w:r>
      <w:r w:rsidRPr="00C75CAD">
        <w:rPr>
          <w:rFonts w:ascii="Simplified Arabic" w:hAnsi="Simplified Arabic" w:cs="Simplified Arabic"/>
          <w:rtl/>
        </w:rPr>
        <w:t xml:space="preserve"> </w:t>
      </w:r>
      <w:r w:rsidRPr="00C75CAD">
        <w:rPr>
          <w:rFonts w:ascii="Simplified Arabic" w:hAnsi="Simplified Arabic" w:cs="Simplified Arabic" w:hint="cs"/>
          <w:rtl/>
        </w:rPr>
        <w:t>تعتبر</w:t>
      </w:r>
      <w:r w:rsidRPr="00C75CAD">
        <w:rPr>
          <w:rFonts w:ascii="Simplified Arabic" w:hAnsi="Simplified Arabic" w:cs="Simplified Arabic"/>
          <w:rtl/>
        </w:rPr>
        <w:t xml:space="preserve"> </w:t>
      </w:r>
      <w:r w:rsidRPr="00C75CAD">
        <w:rPr>
          <w:rFonts w:ascii="Simplified Arabic" w:hAnsi="Simplified Arabic" w:cs="Simplified Arabic" w:hint="cs"/>
          <w:rtl/>
        </w:rPr>
        <w:t>تقنية</w:t>
      </w:r>
      <w:r w:rsidRPr="00C75CAD">
        <w:rPr>
          <w:rFonts w:ascii="Simplified Arabic" w:hAnsi="Simplified Arabic" w:cs="Simplified Arabic"/>
          <w:rtl/>
        </w:rPr>
        <w:t xml:space="preserve"> </w:t>
      </w:r>
      <w:r w:rsidRPr="00C75CAD">
        <w:rPr>
          <w:rFonts w:ascii="Simplified Arabic" w:hAnsi="Simplified Arabic" w:cs="Simplified Arabic" w:hint="cs"/>
          <w:rtl/>
        </w:rPr>
        <w:t>فعالة</w:t>
      </w:r>
      <w:r w:rsidRPr="00C75CAD">
        <w:rPr>
          <w:rFonts w:ascii="Simplified Arabic" w:hAnsi="Simplified Arabic" w:cs="Simplified Arabic"/>
          <w:rtl/>
        </w:rPr>
        <w:t xml:space="preserve"> </w:t>
      </w:r>
      <w:r w:rsidRPr="00C75CAD">
        <w:rPr>
          <w:rFonts w:ascii="Simplified Arabic" w:hAnsi="Simplified Arabic" w:cs="Simplified Arabic" w:hint="cs"/>
          <w:rtl/>
        </w:rPr>
        <w:t>للحصول</w:t>
      </w:r>
      <w:r w:rsidRPr="00C75CAD">
        <w:rPr>
          <w:rFonts w:ascii="Simplified Arabic" w:hAnsi="Simplified Arabic" w:cs="Simplified Arabic"/>
          <w:rtl/>
        </w:rPr>
        <w:t xml:space="preserve"> </w:t>
      </w:r>
      <w:r w:rsidRPr="00C75CAD">
        <w:rPr>
          <w:rFonts w:ascii="Simplified Arabic" w:hAnsi="Simplified Arabic" w:cs="Simplified Arabic" w:hint="cs"/>
          <w:rtl/>
        </w:rPr>
        <w:t>على</w:t>
      </w:r>
      <w:r w:rsidRPr="00C75CAD">
        <w:rPr>
          <w:rFonts w:ascii="Simplified Arabic" w:hAnsi="Simplified Arabic" w:cs="Simplified Arabic"/>
          <w:rtl/>
        </w:rPr>
        <w:t xml:space="preserve"> </w:t>
      </w:r>
      <w:r w:rsidRPr="00C75CAD">
        <w:rPr>
          <w:rFonts w:ascii="Simplified Arabic" w:hAnsi="Simplified Arabic" w:cs="Simplified Arabic" w:hint="cs"/>
          <w:rtl/>
        </w:rPr>
        <w:t>وجهات</w:t>
      </w:r>
      <w:r w:rsidRPr="00C75CAD">
        <w:rPr>
          <w:rFonts w:ascii="Simplified Arabic" w:hAnsi="Simplified Arabic" w:cs="Simplified Arabic"/>
          <w:rtl/>
        </w:rPr>
        <w:t xml:space="preserve"> </w:t>
      </w:r>
      <w:r w:rsidRPr="00C75CAD">
        <w:rPr>
          <w:rFonts w:ascii="Simplified Arabic" w:hAnsi="Simplified Arabic" w:cs="Simplified Arabic" w:hint="cs"/>
          <w:rtl/>
        </w:rPr>
        <w:t>نظر</w:t>
      </w:r>
      <w:r w:rsidRPr="00C75CAD">
        <w:rPr>
          <w:rFonts w:ascii="Simplified Arabic" w:hAnsi="Simplified Arabic" w:cs="Simplified Arabic"/>
          <w:rtl/>
        </w:rPr>
        <w:t xml:space="preserve"> </w:t>
      </w:r>
      <w:r w:rsidRPr="00C75CAD">
        <w:rPr>
          <w:rFonts w:ascii="Simplified Arabic" w:hAnsi="Simplified Arabic" w:cs="Simplified Arabic" w:hint="cs"/>
          <w:rtl/>
        </w:rPr>
        <w:t>ومواقف</w:t>
      </w:r>
      <w:r w:rsidRPr="00C75CAD">
        <w:rPr>
          <w:rFonts w:ascii="Simplified Arabic" w:hAnsi="Simplified Arabic" w:cs="Simplified Arabic"/>
          <w:rtl/>
        </w:rPr>
        <w:t xml:space="preserve"> </w:t>
      </w:r>
      <w:r w:rsidRPr="00C75CAD">
        <w:rPr>
          <w:rFonts w:ascii="Simplified Arabic" w:hAnsi="Simplified Arabic" w:cs="Simplified Arabic" w:hint="cs"/>
          <w:rtl/>
        </w:rPr>
        <w:t>وتصورات</w:t>
      </w:r>
      <w:r w:rsidRPr="00C75CAD">
        <w:rPr>
          <w:rFonts w:ascii="Simplified Arabic" w:hAnsi="Simplified Arabic" w:cs="Simplified Arabic"/>
          <w:rtl/>
        </w:rPr>
        <w:t xml:space="preserve"> </w:t>
      </w:r>
      <w:r w:rsidRPr="00C75CAD">
        <w:rPr>
          <w:rFonts w:ascii="Simplified Arabic" w:hAnsi="Simplified Arabic" w:cs="Simplified Arabic" w:hint="cs"/>
          <w:rtl/>
        </w:rPr>
        <w:t>مختلفة</w:t>
      </w:r>
      <w:r w:rsidRPr="00C75CAD">
        <w:rPr>
          <w:rFonts w:ascii="Simplified Arabic" w:hAnsi="Simplified Arabic" w:cs="Simplified Arabic"/>
          <w:rtl/>
        </w:rPr>
        <w:t xml:space="preserve"> </w:t>
      </w:r>
      <w:r w:rsidRPr="00C75CAD">
        <w:rPr>
          <w:rFonts w:ascii="Simplified Arabic" w:hAnsi="Simplified Arabic" w:cs="Simplified Arabic" w:hint="cs"/>
          <w:rtl/>
        </w:rPr>
        <w:t>لمجموعة</w:t>
      </w:r>
      <w:r w:rsidRPr="00C75CAD">
        <w:rPr>
          <w:rFonts w:ascii="Simplified Arabic" w:hAnsi="Simplified Arabic" w:cs="Simplified Arabic"/>
          <w:rtl/>
        </w:rPr>
        <w:t xml:space="preserve"> </w:t>
      </w:r>
      <w:r w:rsidRPr="00C75CAD">
        <w:rPr>
          <w:rFonts w:ascii="Simplified Arabic" w:hAnsi="Simplified Arabic" w:cs="Simplified Arabic" w:hint="cs"/>
          <w:rtl/>
        </w:rPr>
        <w:t>متنوعة من</w:t>
      </w:r>
      <w:r w:rsidRPr="00C75CAD">
        <w:rPr>
          <w:rFonts w:ascii="Simplified Arabic" w:hAnsi="Simplified Arabic" w:cs="Simplified Arabic"/>
          <w:rtl/>
        </w:rPr>
        <w:t xml:space="preserve"> </w:t>
      </w:r>
      <w:r w:rsidRPr="00C75CAD">
        <w:rPr>
          <w:rFonts w:ascii="Simplified Arabic" w:hAnsi="Simplified Arabic" w:cs="Simplified Arabic" w:hint="cs"/>
          <w:rtl/>
        </w:rPr>
        <w:t>السكان</w:t>
      </w:r>
      <w:r w:rsidRPr="00C75CAD">
        <w:rPr>
          <w:rFonts w:asciiTheme="minorBidi" w:hAnsiTheme="minorBidi" w:cs="Arial"/>
          <w:sz w:val="28"/>
          <w:szCs w:val="28"/>
          <w:rtl/>
        </w:rPr>
        <w:t xml:space="preserve"> </w:t>
      </w:r>
      <w:r w:rsidRPr="00C75CAD">
        <w:rPr>
          <w:rFonts w:asciiTheme="majorBidi" w:hAnsiTheme="majorBidi" w:cstheme="majorBidi"/>
          <w:rtl/>
        </w:rPr>
        <w:t>(</w:t>
      </w:r>
      <w:r w:rsidRPr="00C75CAD">
        <w:rPr>
          <w:rFonts w:asciiTheme="majorBidi" w:hAnsiTheme="majorBidi" w:cstheme="majorBidi"/>
        </w:rPr>
        <w:t>Mathers et al., 2009</w:t>
      </w:r>
      <w:r w:rsidRPr="00C75CAD">
        <w:rPr>
          <w:rFonts w:asciiTheme="majorBidi" w:hAnsiTheme="majorBidi" w:cstheme="majorBidi"/>
          <w:rtl/>
        </w:rPr>
        <w:t>)</w:t>
      </w:r>
      <w:r w:rsidRPr="00C75CAD">
        <w:rPr>
          <w:rFonts w:ascii="Simplified Arabic" w:hAnsi="Simplified Arabic" w:cs="Simplified Arabic"/>
          <w:rtl/>
        </w:rPr>
        <w:t>.</w:t>
      </w:r>
      <w:r w:rsidRPr="00C75CAD">
        <w:rPr>
          <w:rFonts w:ascii="Simplified Arabic" w:hAnsi="Simplified Arabic" w:cs="Simplified Arabic" w:hint="cs"/>
          <w:rtl/>
        </w:rPr>
        <w:t xml:space="preserve"> يؤثر الاسلوب المستخدم على المشاركة السكانية، كما يؤثر ايضا</w:t>
      </w:r>
      <w:r w:rsidRPr="00C75CAD">
        <w:rPr>
          <w:rFonts w:ascii="Simplified Arabic" w:hAnsi="Simplified Arabic" w:cs="Simplified Arabic"/>
          <w:rtl/>
        </w:rPr>
        <w:t xml:space="preserve"> </w:t>
      </w:r>
      <w:r w:rsidRPr="00C75CAD">
        <w:rPr>
          <w:rFonts w:ascii="Simplified Arabic" w:hAnsi="Simplified Arabic" w:cs="Simplified Arabic" w:hint="cs"/>
          <w:rtl/>
        </w:rPr>
        <w:t>الاستبيان</w:t>
      </w:r>
      <w:r w:rsidRPr="00C75CAD">
        <w:rPr>
          <w:rFonts w:ascii="Simplified Arabic" w:hAnsi="Simplified Arabic" w:cs="Simplified Arabic"/>
          <w:rtl/>
        </w:rPr>
        <w:t xml:space="preserve"> </w:t>
      </w:r>
      <w:r w:rsidRPr="00C75CAD">
        <w:rPr>
          <w:rFonts w:ascii="Simplified Arabic" w:hAnsi="Simplified Arabic" w:cs="Simplified Arabic" w:hint="cs"/>
          <w:rtl/>
        </w:rPr>
        <w:t>المصمم</w:t>
      </w:r>
      <w:r w:rsidRPr="00C75CAD">
        <w:rPr>
          <w:rFonts w:ascii="Simplified Arabic" w:hAnsi="Simplified Arabic" w:cs="Simplified Arabic"/>
          <w:rtl/>
        </w:rPr>
        <w:t xml:space="preserve"> </w:t>
      </w:r>
      <w:r w:rsidRPr="00C75CAD">
        <w:rPr>
          <w:rFonts w:ascii="Simplified Arabic" w:hAnsi="Simplified Arabic" w:cs="Simplified Arabic" w:hint="cs"/>
          <w:rtl/>
        </w:rPr>
        <w:t>جيدًا</w:t>
      </w:r>
      <w:r w:rsidRPr="00C75CAD">
        <w:rPr>
          <w:rFonts w:ascii="Simplified Arabic" w:hAnsi="Simplified Arabic" w:cs="Simplified Arabic"/>
          <w:rtl/>
        </w:rPr>
        <w:t xml:space="preserve"> </w:t>
      </w:r>
      <w:r w:rsidRPr="00C75CAD">
        <w:rPr>
          <w:rFonts w:ascii="Simplified Arabic" w:hAnsi="Simplified Arabic" w:cs="Simplified Arabic" w:hint="cs"/>
          <w:rtl/>
        </w:rPr>
        <w:t>على</w:t>
      </w:r>
      <w:r w:rsidRPr="00C75CAD">
        <w:rPr>
          <w:rFonts w:ascii="Simplified Arabic" w:hAnsi="Simplified Arabic" w:cs="Simplified Arabic"/>
          <w:rtl/>
        </w:rPr>
        <w:t xml:space="preserve"> </w:t>
      </w:r>
      <w:r w:rsidRPr="00C75CAD">
        <w:rPr>
          <w:rFonts w:ascii="Simplified Arabic" w:hAnsi="Simplified Arabic" w:cs="Simplified Arabic" w:hint="cs"/>
          <w:rtl/>
        </w:rPr>
        <w:t>نوع</w:t>
      </w:r>
      <w:r w:rsidRPr="00C75CAD">
        <w:rPr>
          <w:rFonts w:ascii="Simplified Arabic" w:hAnsi="Simplified Arabic" w:cs="Simplified Arabic"/>
          <w:rtl/>
        </w:rPr>
        <w:t xml:space="preserve"> </w:t>
      </w:r>
      <w:r w:rsidRPr="00C75CAD">
        <w:rPr>
          <w:rFonts w:ascii="Simplified Arabic" w:hAnsi="Simplified Arabic" w:cs="Simplified Arabic" w:hint="cs"/>
          <w:rtl/>
        </w:rPr>
        <w:t>الردود</w:t>
      </w:r>
      <w:r w:rsidRPr="00C75CAD">
        <w:rPr>
          <w:rFonts w:ascii="Simplified Arabic" w:hAnsi="Simplified Arabic" w:cs="Simplified Arabic"/>
          <w:rtl/>
        </w:rPr>
        <w:t xml:space="preserve"> </w:t>
      </w:r>
      <w:r w:rsidRPr="00C75CAD">
        <w:rPr>
          <w:rFonts w:ascii="Simplified Arabic" w:hAnsi="Simplified Arabic" w:cs="Simplified Arabic" w:hint="cs"/>
          <w:rtl/>
        </w:rPr>
        <w:t>التي</w:t>
      </w:r>
      <w:r w:rsidRPr="00C75CAD">
        <w:rPr>
          <w:rFonts w:ascii="Simplified Arabic" w:hAnsi="Simplified Arabic" w:cs="Simplified Arabic"/>
          <w:rtl/>
        </w:rPr>
        <w:t xml:space="preserve"> </w:t>
      </w:r>
      <w:r w:rsidRPr="00C75CAD">
        <w:rPr>
          <w:rFonts w:ascii="Simplified Arabic" w:hAnsi="Simplified Arabic" w:cs="Simplified Arabic" w:hint="cs"/>
          <w:rtl/>
        </w:rPr>
        <w:t>يتم</w:t>
      </w:r>
      <w:r w:rsidRPr="00C75CAD">
        <w:rPr>
          <w:rFonts w:ascii="Simplified Arabic" w:hAnsi="Simplified Arabic" w:cs="Simplified Arabic"/>
          <w:rtl/>
        </w:rPr>
        <w:t xml:space="preserve"> </w:t>
      </w:r>
      <w:r w:rsidRPr="00C75CAD">
        <w:rPr>
          <w:rFonts w:ascii="Simplified Arabic" w:hAnsi="Simplified Arabic" w:cs="Simplified Arabic" w:hint="cs"/>
          <w:rtl/>
        </w:rPr>
        <w:t>الحصول</w:t>
      </w:r>
      <w:r w:rsidRPr="00C75CAD">
        <w:rPr>
          <w:rFonts w:ascii="Simplified Arabic" w:hAnsi="Simplified Arabic" w:cs="Simplified Arabic"/>
          <w:rtl/>
        </w:rPr>
        <w:t xml:space="preserve"> </w:t>
      </w:r>
      <w:r w:rsidRPr="00C75CAD">
        <w:rPr>
          <w:rFonts w:ascii="Simplified Arabic" w:hAnsi="Simplified Arabic" w:cs="Simplified Arabic" w:hint="cs"/>
          <w:rtl/>
        </w:rPr>
        <w:t>عليها،</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حيث</w:t>
      </w:r>
      <w:r w:rsidRPr="00C75CAD">
        <w:rPr>
          <w:rFonts w:ascii="Simplified Arabic" w:hAnsi="Simplified Arabic" w:cs="Simplified Arabic"/>
          <w:rtl/>
        </w:rPr>
        <w:t xml:space="preserve"> </w:t>
      </w:r>
      <w:r w:rsidRPr="00C75CAD">
        <w:rPr>
          <w:rFonts w:ascii="Simplified Arabic" w:hAnsi="Simplified Arabic" w:cs="Simplified Arabic" w:hint="cs"/>
          <w:rtl/>
        </w:rPr>
        <w:t>عددها</w:t>
      </w:r>
      <w:r w:rsidRPr="00C75CAD">
        <w:rPr>
          <w:rFonts w:ascii="Simplified Arabic" w:hAnsi="Simplified Arabic" w:cs="Simplified Arabic"/>
          <w:rtl/>
        </w:rPr>
        <w:t xml:space="preserve"> </w:t>
      </w:r>
      <w:r w:rsidRPr="00C75CAD">
        <w:rPr>
          <w:rFonts w:ascii="Simplified Arabic" w:hAnsi="Simplified Arabic" w:cs="Simplified Arabic" w:hint="cs"/>
          <w:rtl/>
        </w:rPr>
        <w:t>ودقتها</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المهم</w:t>
      </w:r>
      <w:r w:rsidRPr="00C75CAD">
        <w:rPr>
          <w:rFonts w:ascii="Simplified Arabic" w:hAnsi="Simplified Arabic" w:cs="Simplified Arabic"/>
          <w:rtl/>
        </w:rPr>
        <w:t xml:space="preserve"> </w:t>
      </w:r>
      <w:r w:rsidRPr="00C75CAD">
        <w:rPr>
          <w:rFonts w:ascii="Simplified Arabic" w:hAnsi="Simplified Arabic" w:cs="Simplified Arabic" w:hint="cs"/>
          <w:rtl/>
        </w:rPr>
        <w:t>التركيز</w:t>
      </w:r>
      <w:r w:rsidRPr="00C75CAD">
        <w:rPr>
          <w:rFonts w:ascii="Simplified Arabic" w:hAnsi="Simplified Arabic" w:cs="Simplified Arabic"/>
          <w:rtl/>
        </w:rPr>
        <w:t xml:space="preserve"> </w:t>
      </w:r>
      <w:r w:rsidRPr="00C75CAD">
        <w:rPr>
          <w:rFonts w:ascii="Simplified Arabic" w:hAnsi="Simplified Arabic" w:cs="Simplified Arabic" w:hint="cs"/>
          <w:rtl/>
        </w:rPr>
        <w:t>على</w:t>
      </w:r>
      <w:r w:rsidRPr="00C75CAD">
        <w:rPr>
          <w:rFonts w:ascii="Simplified Arabic" w:hAnsi="Simplified Arabic" w:cs="Simplified Arabic"/>
          <w:rtl/>
        </w:rPr>
        <w:t xml:space="preserve"> </w:t>
      </w:r>
      <w:r w:rsidRPr="00C75CAD">
        <w:rPr>
          <w:rFonts w:ascii="Simplified Arabic" w:hAnsi="Simplified Arabic" w:cs="Simplified Arabic" w:hint="cs"/>
          <w:rtl/>
        </w:rPr>
        <w:t>العديد</w:t>
      </w:r>
      <w:r w:rsidRPr="00C75CAD">
        <w:rPr>
          <w:rFonts w:ascii="Simplified Arabic" w:hAnsi="Simplified Arabic" w:cs="Simplified Arabic"/>
          <w:rtl/>
        </w:rPr>
        <w:t xml:space="preserve"> </w:t>
      </w:r>
      <w:r w:rsidRPr="00C75CAD">
        <w:rPr>
          <w:rFonts w:ascii="Simplified Arabic" w:hAnsi="Simplified Arabic" w:cs="Simplified Arabic" w:hint="cs"/>
          <w:rtl/>
        </w:rPr>
        <w:t>من</w:t>
      </w:r>
      <w:r w:rsidRPr="00C75CAD">
        <w:rPr>
          <w:rFonts w:ascii="Simplified Arabic" w:hAnsi="Simplified Arabic" w:cs="Simplified Arabic"/>
          <w:rtl/>
        </w:rPr>
        <w:t xml:space="preserve"> </w:t>
      </w:r>
      <w:r w:rsidRPr="00C75CAD">
        <w:rPr>
          <w:rFonts w:ascii="Simplified Arabic" w:hAnsi="Simplified Arabic" w:cs="Simplified Arabic" w:hint="cs"/>
          <w:rtl/>
        </w:rPr>
        <w:t>الجوانب</w:t>
      </w:r>
      <w:r w:rsidRPr="00C75CAD">
        <w:rPr>
          <w:rFonts w:ascii="Simplified Arabic" w:hAnsi="Simplified Arabic" w:cs="Simplified Arabic"/>
          <w:rtl/>
        </w:rPr>
        <w:t xml:space="preserve"> </w:t>
      </w:r>
      <w:r w:rsidRPr="00C75CAD">
        <w:rPr>
          <w:rFonts w:ascii="Simplified Arabic" w:hAnsi="Simplified Arabic" w:cs="Simplified Arabic" w:hint="cs"/>
          <w:rtl/>
        </w:rPr>
        <w:t>الرئيسية</w:t>
      </w:r>
      <w:r w:rsidRPr="00C75CAD">
        <w:rPr>
          <w:rFonts w:ascii="Simplified Arabic" w:hAnsi="Simplified Arabic" w:cs="Simplified Arabic"/>
          <w:rtl/>
        </w:rPr>
        <w:t xml:space="preserve"> </w:t>
      </w:r>
      <w:r w:rsidRPr="00C75CAD">
        <w:rPr>
          <w:rFonts w:ascii="Simplified Arabic" w:hAnsi="Simplified Arabic" w:cs="Simplified Arabic" w:hint="cs"/>
          <w:rtl/>
        </w:rPr>
        <w:t>للاستبيان</w:t>
      </w:r>
      <w:r w:rsidRPr="00C75CAD">
        <w:rPr>
          <w:rFonts w:ascii="Simplified Arabic" w:hAnsi="Simplified Arabic" w:cs="Simplified Arabic"/>
          <w:rtl/>
        </w:rPr>
        <w:t xml:space="preserve"> </w:t>
      </w:r>
      <w:r w:rsidRPr="00C75CAD">
        <w:rPr>
          <w:rFonts w:ascii="Simplified Arabic" w:hAnsi="Simplified Arabic" w:cs="Simplified Arabic" w:hint="cs"/>
          <w:rtl/>
        </w:rPr>
        <w:t>مثل،</w:t>
      </w:r>
      <w:r w:rsidRPr="00C75CAD">
        <w:rPr>
          <w:rFonts w:ascii="Simplified Arabic" w:hAnsi="Simplified Arabic" w:cs="Simplified Arabic"/>
          <w:rtl/>
        </w:rPr>
        <w:t xml:space="preserve"> </w:t>
      </w:r>
      <w:r w:rsidRPr="00C75CAD">
        <w:rPr>
          <w:rFonts w:ascii="Simplified Arabic" w:hAnsi="Simplified Arabic" w:cs="Simplified Arabic" w:hint="cs"/>
          <w:rtl/>
        </w:rPr>
        <w:t>البنية</w:t>
      </w:r>
      <w:r w:rsidRPr="00C75CAD">
        <w:rPr>
          <w:rFonts w:ascii="Simplified Arabic" w:hAnsi="Simplified Arabic" w:cs="Simplified Arabic"/>
          <w:rtl/>
        </w:rPr>
        <w:t xml:space="preserve"> </w:t>
      </w:r>
      <w:r w:rsidRPr="00C75CAD">
        <w:rPr>
          <w:rFonts w:ascii="Simplified Arabic" w:hAnsi="Simplified Arabic" w:cs="Simplified Arabic" w:hint="cs"/>
          <w:rtl/>
        </w:rPr>
        <w:t>البسيطة</w:t>
      </w:r>
      <w:r w:rsidRPr="00C75CAD">
        <w:rPr>
          <w:rFonts w:ascii="Simplified Arabic" w:hAnsi="Simplified Arabic" w:cs="Simplified Arabic"/>
          <w:rtl/>
        </w:rPr>
        <w:t xml:space="preserve"> </w:t>
      </w:r>
      <w:r w:rsidRPr="00C75CAD">
        <w:rPr>
          <w:rFonts w:ascii="Simplified Arabic" w:hAnsi="Simplified Arabic" w:cs="Simplified Arabic" w:hint="cs"/>
          <w:rtl/>
        </w:rPr>
        <w:t>ووضوح الاسئلة</w:t>
      </w:r>
      <w:r w:rsidRPr="00C75CAD">
        <w:rPr>
          <w:rFonts w:ascii="Simplified Arabic" w:hAnsi="Simplified Arabic" w:cs="Simplified Arabic"/>
          <w:rtl/>
        </w:rPr>
        <w:t xml:space="preserve"> </w:t>
      </w:r>
      <w:r w:rsidRPr="00C75CAD">
        <w:rPr>
          <w:rFonts w:ascii="Simplified Arabic" w:hAnsi="Simplified Arabic" w:cs="Simplified Arabic" w:hint="cs"/>
          <w:rtl/>
        </w:rPr>
        <w:t>والطول</w:t>
      </w:r>
      <w:r w:rsidRPr="00C75CAD">
        <w:rPr>
          <w:rFonts w:ascii="Simplified Arabic" w:hAnsi="Simplified Arabic" w:cs="Simplified Arabic"/>
          <w:rtl/>
        </w:rPr>
        <w:t xml:space="preserve"> </w:t>
      </w:r>
      <w:r w:rsidRPr="00C75CAD">
        <w:rPr>
          <w:rFonts w:ascii="Simplified Arabic" w:hAnsi="Simplified Arabic" w:cs="Simplified Arabic" w:hint="cs"/>
          <w:rtl/>
        </w:rPr>
        <w:t>المناسب</w:t>
      </w:r>
      <w:r w:rsidRPr="00C75CAD">
        <w:rPr>
          <w:rFonts w:ascii="Simplified Arabic" w:hAnsi="Simplified Arabic" w:cs="Simplified Arabic"/>
          <w:rtl/>
        </w:rPr>
        <w:t xml:space="preserve"> </w:t>
      </w:r>
      <w:r w:rsidRPr="00C75CAD">
        <w:rPr>
          <w:rFonts w:ascii="Simplified Arabic" w:hAnsi="Simplified Arabic" w:cs="Simplified Arabic" w:hint="cs"/>
          <w:rtl/>
        </w:rPr>
        <w:t>والاحتفاظ</w:t>
      </w:r>
      <w:r w:rsidRPr="00C75CAD">
        <w:rPr>
          <w:rFonts w:ascii="Simplified Arabic" w:hAnsi="Simplified Arabic" w:cs="Simplified Arabic"/>
          <w:rtl/>
        </w:rPr>
        <w:t xml:space="preserve"> </w:t>
      </w:r>
      <w:r w:rsidRPr="00C75CAD">
        <w:rPr>
          <w:rFonts w:ascii="Simplified Arabic" w:hAnsi="Simplified Arabic" w:cs="Simplified Arabic" w:hint="cs"/>
          <w:rtl/>
        </w:rPr>
        <w:t>بالأسئلة</w:t>
      </w:r>
      <w:r w:rsidRPr="00C75CAD">
        <w:rPr>
          <w:rFonts w:ascii="Simplified Arabic" w:hAnsi="Simplified Arabic" w:cs="Simplified Arabic"/>
          <w:rtl/>
        </w:rPr>
        <w:t xml:space="preserve"> </w:t>
      </w:r>
      <w:r w:rsidRPr="00C75CAD">
        <w:rPr>
          <w:rFonts w:ascii="Simplified Arabic" w:hAnsi="Simplified Arabic" w:cs="Simplified Arabic" w:hint="cs"/>
          <w:rtl/>
        </w:rPr>
        <w:t>والأجوبة</w:t>
      </w:r>
      <w:r w:rsidRPr="00C75CAD">
        <w:rPr>
          <w:rFonts w:ascii="Simplified Arabic" w:hAnsi="Simplified Arabic" w:cs="Simplified Arabic"/>
          <w:rtl/>
        </w:rPr>
        <w:t xml:space="preserve"> </w:t>
      </w:r>
      <w:r w:rsidRPr="00C75CAD">
        <w:rPr>
          <w:rFonts w:ascii="Simplified Arabic" w:hAnsi="Simplified Arabic" w:cs="Simplified Arabic" w:hint="cs"/>
          <w:rtl/>
        </w:rPr>
        <w:t>معًا</w:t>
      </w:r>
      <w:r w:rsidRPr="00C75CAD">
        <w:rPr>
          <w:rFonts w:asciiTheme="minorBidi" w:hAnsiTheme="minorBidi" w:cs="Arial"/>
          <w:sz w:val="28"/>
          <w:szCs w:val="28"/>
          <w:rtl/>
        </w:rPr>
        <w:t xml:space="preserve"> </w:t>
      </w:r>
      <w:r w:rsidRPr="00C75CAD">
        <w:rPr>
          <w:rFonts w:asciiTheme="majorBidi" w:hAnsiTheme="majorBidi" w:cstheme="majorBidi"/>
          <w:rtl/>
        </w:rPr>
        <w:t>(</w:t>
      </w:r>
      <w:r w:rsidRPr="00C75CAD">
        <w:rPr>
          <w:rFonts w:asciiTheme="majorBidi" w:hAnsiTheme="majorBidi" w:cstheme="majorBidi"/>
        </w:rPr>
        <w:t>Bowling, 2005</w:t>
      </w:r>
      <w:r w:rsidRPr="00C75CAD">
        <w:rPr>
          <w:rFonts w:asciiTheme="majorBidi" w:hAnsiTheme="majorBidi" w:cstheme="majorBidi"/>
          <w:rtl/>
        </w:rPr>
        <w:t>)</w:t>
      </w:r>
      <w:r w:rsidRPr="00C75CAD">
        <w:rPr>
          <w:rFonts w:ascii="Simplified Arabic" w:hAnsi="Simplified Arabic" w:cs="Simplified Arabic"/>
          <w:rtl/>
        </w:rPr>
        <w:t>.</w:t>
      </w:r>
      <w:r w:rsidRPr="00C75CAD">
        <w:rPr>
          <w:rFonts w:asciiTheme="minorBidi" w:hAnsiTheme="minorBidi" w:cs="Arial"/>
          <w:sz w:val="28"/>
          <w:szCs w:val="28"/>
          <w:rtl/>
        </w:rPr>
        <w:t xml:space="preserve"> </w:t>
      </w:r>
    </w:p>
    <w:p w:rsidR="00C97FA4" w:rsidRPr="00B068B9" w:rsidRDefault="00C97FA4" w:rsidP="00171E1E">
      <w:pPr>
        <w:pStyle w:val="Default"/>
        <w:bidi/>
        <w:spacing w:line="276" w:lineRule="auto"/>
        <w:ind w:firstLine="282"/>
        <w:jc w:val="both"/>
        <w:rPr>
          <w:rFonts w:ascii="Simplified Arabic" w:hAnsi="Simplified Arabic" w:cs="Simplified Arabic"/>
        </w:rPr>
      </w:pPr>
      <w:r w:rsidRPr="00B068B9">
        <w:rPr>
          <w:rFonts w:ascii="Simplified Arabic" w:hAnsi="Simplified Arabic" w:cs="Simplified Arabic" w:hint="cs"/>
          <w:rtl/>
        </w:rPr>
        <w:t>تم</w:t>
      </w:r>
      <w:r w:rsidRPr="00B068B9">
        <w:rPr>
          <w:rFonts w:ascii="Simplified Arabic" w:hAnsi="Simplified Arabic" w:cs="Simplified Arabic"/>
          <w:rtl/>
        </w:rPr>
        <w:t xml:space="preserve"> </w:t>
      </w:r>
      <w:r w:rsidRPr="00B068B9">
        <w:rPr>
          <w:rFonts w:ascii="Simplified Arabic" w:hAnsi="Simplified Arabic" w:cs="Simplified Arabic" w:hint="cs"/>
          <w:rtl/>
        </w:rPr>
        <w:t>تطوير</w:t>
      </w:r>
      <w:r w:rsidRPr="00B068B9">
        <w:rPr>
          <w:rFonts w:ascii="Simplified Arabic" w:hAnsi="Simplified Arabic" w:cs="Simplified Arabic"/>
          <w:rtl/>
        </w:rPr>
        <w:t xml:space="preserve"> </w:t>
      </w:r>
      <w:r w:rsidRPr="00B068B9">
        <w:rPr>
          <w:rFonts w:ascii="Simplified Arabic" w:hAnsi="Simplified Arabic" w:cs="Simplified Arabic" w:hint="cs"/>
          <w:rtl/>
        </w:rPr>
        <w:t>الاستبيان</w:t>
      </w:r>
      <w:r w:rsidRPr="00B068B9">
        <w:rPr>
          <w:rFonts w:ascii="Simplified Arabic" w:hAnsi="Simplified Arabic" w:cs="Simplified Arabic"/>
          <w:rtl/>
        </w:rPr>
        <w:t xml:space="preserve"> </w:t>
      </w:r>
      <w:r w:rsidRPr="00B068B9">
        <w:rPr>
          <w:rFonts w:ascii="Simplified Arabic" w:hAnsi="Simplified Arabic" w:cs="Simplified Arabic" w:hint="cs"/>
          <w:rtl/>
        </w:rPr>
        <w:t>الخاص</w:t>
      </w:r>
      <w:r w:rsidRPr="00B068B9">
        <w:rPr>
          <w:rFonts w:ascii="Simplified Arabic" w:hAnsi="Simplified Arabic" w:cs="Simplified Arabic"/>
          <w:rtl/>
        </w:rPr>
        <w:t xml:space="preserve"> </w:t>
      </w:r>
      <w:r>
        <w:rPr>
          <w:rFonts w:ascii="Simplified Arabic" w:hAnsi="Simplified Arabic" w:cs="Simplified Arabic" w:hint="cs"/>
          <w:rtl/>
        </w:rPr>
        <w:t>ب</w:t>
      </w:r>
      <w:r w:rsidRPr="00B068B9">
        <w:rPr>
          <w:rFonts w:ascii="Simplified Arabic" w:hAnsi="Simplified Arabic" w:cs="Simplified Arabic" w:hint="cs"/>
          <w:rtl/>
        </w:rPr>
        <w:t>ال</w:t>
      </w:r>
      <w:r>
        <w:rPr>
          <w:rFonts w:ascii="Simplified Arabic" w:hAnsi="Simplified Arabic" w:cs="Simplified Arabic" w:hint="cs"/>
          <w:rtl/>
        </w:rPr>
        <w:t>بحث</w:t>
      </w:r>
      <w:r w:rsidR="00FF558D">
        <w:rPr>
          <w:rFonts w:ascii="Simplified Arabic" w:hAnsi="Simplified Arabic" w:cs="Simplified Arabic" w:hint="cs"/>
          <w:rtl/>
        </w:rPr>
        <w:t>،</w:t>
      </w:r>
      <w:r w:rsidRPr="00B068B9">
        <w:rPr>
          <w:rFonts w:ascii="Simplified Arabic" w:hAnsi="Simplified Arabic" w:cs="Simplified Arabic"/>
          <w:rtl/>
        </w:rPr>
        <w:t xml:space="preserve"> </w:t>
      </w:r>
      <w:r w:rsidRPr="00B068B9">
        <w:rPr>
          <w:rFonts w:ascii="Simplified Arabic" w:hAnsi="Simplified Arabic" w:cs="Simplified Arabic" w:hint="cs"/>
          <w:rtl/>
        </w:rPr>
        <w:t>وفقًا</w:t>
      </w:r>
      <w:r w:rsidRPr="00B068B9">
        <w:rPr>
          <w:rFonts w:ascii="Simplified Arabic" w:hAnsi="Simplified Arabic" w:cs="Simplified Arabic"/>
          <w:rtl/>
        </w:rPr>
        <w:t xml:space="preserve"> </w:t>
      </w:r>
      <w:r w:rsidRPr="00B068B9">
        <w:rPr>
          <w:rFonts w:ascii="Simplified Arabic" w:hAnsi="Simplified Arabic" w:cs="Simplified Arabic" w:hint="cs"/>
          <w:rtl/>
        </w:rPr>
        <w:t>للخطوات</w:t>
      </w:r>
      <w:r w:rsidRPr="00B068B9">
        <w:rPr>
          <w:rFonts w:ascii="Simplified Arabic" w:hAnsi="Simplified Arabic" w:cs="Simplified Arabic"/>
          <w:rtl/>
        </w:rPr>
        <w:t xml:space="preserve"> </w:t>
      </w:r>
      <w:r w:rsidRPr="00B068B9">
        <w:rPr>
          <w:rFonts w:ascii="Simplified Arabic" w:hAnsi="Simplified Arabic" w:cs="Simplified Arabic" w:hint="cs"/>
          <w:rtl/>
        </w:rPr>
        <w:t>الموضحة</w:t>
      </w:r>
      <w:r w:rsidRPr="00B068B9">
        <w:rPr>
          <w:rFonts w:ascii="Simplified Arabic" w:hAnsi="Simplified Arabic" w:cs="Simplified Arabic"/>
          <w:rtl/>
        </w:rPr>
        <w:t xml:space="preserve"> </w:t>
      </w:r>
      <w:r w:rsidRPr="00B068B9">
        <w:rPr>
          <w:rFonts w:ascii="Simplified Arabic" w:hAnsi="Simplified Arabic" w:cs="Simplified Arabic" w:hint="cs"/>
          <w:rtl/>
        </w:rPr>
        <w:t>في</w:t>
      </w:r>
      <w:r w:rsidRPr="00B068B9">
        <w:rPr>
          <w:rFonts w:ascii="Simplified Arabic" w:hAnsi="Simplified Arabic" w:cs="Simplified Arabic"/>
          <w:rtl/>
        </w:rPr>
        <w:t xml:space="preserve"> </w:t>
      </w:r>
      <w:r>
        <w:rPr>
          <w:rFonts w:ascii="Simplified Arabic" w:hAnsi="Simplified Arabic" w:cs="Simplified Arabic" w:hint="cs"/>
          <w:rtl/>
        </w:rPr>
        <w:t>الشكل (</w:t>
      </w:r>
      <w:r w:rsidR="00171E1E">
        <w:rPr>
          <w:rFonts w:ascii="Simplified Arabic" w:hAnsi="Simplified Arabic" w:cs="Simplified Arabic" w:hint="cs"/>
          <w:rtl/>
        </w:rPr>
        <w:t>3-16</w:t>
      </w:r>
      <w:r>
        <w:rPr>
          <w:rFonts w:ascii="Simplified Arabic" w:hAnsi="Simplified Arabic" w:cs="Simplified Arabic" w:hint="cs"/>
          <w:rtl/>
        </w:rPr>
        <w:t>)،</w:t>
      </w:r>
      <w:r w:rsidRPr="00B068B9">
        <w:rPr>
          <w:rFonts w:ascii="Simplified Arabic" w:hAnsi="Simplified Arabic" w:cs="Simplified Arabic" w:hint="cs"/>
          <w:rtl/>
        </w:rPr>
        <w:t xml:space="preserve"> تم</w:t>
      </w:r>
      <w:r w:rsidRPr="00B068B9">
        <w:rPr>
          <w:rFonts w:ascii="Simplified Arabic" w:hAnsi="Simplified Arabic" w:cs="Simplified Arabic"/>
          <w:rtl/>
        </w:rPr>
        <w:t xml:space="preserve"> </w:t>
      </w:r>
      <w:r w:rsidRPr="00B068B9">
        <w:rPr>
          <w:rFonts w:ascii="Simplified Arabic" w:hAnsi="Simplified Arabic" w:cs="Simplified Arabic" w:hint="cs"/>
          <w:rtl/>
        </w:rPr>
        <w:t>تنظيم</w:t>
      </w:r>
      <w:r w:rsidRPr="00B068B9">
        <w:rPr>
          <w:rFonts w:ascii="Simplified Arabic" w:hAnsi="Simplified Arabic" w:cs="Simplified Arabic"/>
          <w:rtl/>
        </w:rPr>
        <w:t xml:space="preserve"> </w:t>
      </w:r>
      <w:r w:rsidRPr="00B068B9">
        <w:rPr>
          <w:rFonts w:ascii="Simplified Arabic" w:hAnsi="Simplified Arabic" w:cs="Simplified Arabic" w:hint="cs"/>
          <w:rtl/>
        </w:rPr>
        <w:t>الأسئلة</w:t>
      </w:r>
      <w:r w:rsidRPr="00B068B9">
        <w:rPr>
          <w:rFonts w:ascii="Simplified Arabic" w:hAnsi="Simplified Arabic" w:cs="Simplified Arabic"/>
          <w:rtl/>
        </w:rPr>
        <w:t xml:space="preserve"> </w:t>
      </w:r>
      <w:r w:rsidRPr="00B068B9">
        <w:rPr>
          <w:rFonts w:ascii="Simplified Arabic" w:hAnsi="Simplified Arabic" w:cs="Simplified Arabic" w:hint="cs"/>
          <w:rtl/>
        </w:rPr>
        <w:t>على</w:t>
      </w:r>
      <w:r w:rsidRPr="00B068B9">
        <w:rPr>
          <w:rFonts w:ascii="Simplified Arabic" w:hAnsi="Simplified Arabic" w:cs="Simplified Arabic"/>
          <w:rtl/>
        </w:rPr>
        <w:t xml:space="preserve"> </w:t>
      </w:r>
      <w:r w:rsidRPr="00B068B9">
        <w:rPr>
          <w:rFonts w:ascii="Simplified Arabic" w:hAnsi="Simplified Arabic" w:cs="Simplified Arabic" w:hint="cs"/>
          <w:rtl/>
        </w:rPr>
        <w:t>النحو</w:t>
      </w:r>
      <w:r w:rsidRPr="00B068B9">
        <w:rPr>
          <w:rFonts w:ascii="Simplified Arabic" w:hAnsi="Simplified Arabic" w:cs="Simplified Arabic"/>
          <w:rtl/>
        </w:rPr>
        <w:t xml:space="preserve"> </w:t>
      </w:r>
      <w:r w:rsidRPr="00B068B9">
        <w:rPr>
          <w:rFonts w:ascii="Simplified Arabic" w:hAnsi="Simplified Arabic" w:cs="Simplified Arabic" w:hint="cs"/>
          <w:rtl/>
        </w:rPr>
        <w:t>التالي</w:t>
      </w:r>
      <w:r w:rsidRPr="00B068B9">
        <w:rPr>
          <w:rFonts w:ascii="Simplified Arabic" w:hAnsi="Simplified Arabic" w:cs="Simplified Arabic"/>
          <w:rtl/>
        </w:rPr>
        <w:t>:</w:t>
      </w:r>
    </w:p>
    <w:p w:rsidR="00C97FA4" w:rsidRPr="00DA3D71" w:rsidRDefault="00C97FA4" w:rsidP="001D0548">
      <w:pPr>
        <w:pStyle w:val="Default"/>
        <w:numPr>
          <w:ilvl w:val="0"/>
          <w:numId w:val="27"/>
        </w:numPr>
        <w:bidi/>
        <w:ind w:left="282" w:hanging="283"/>
        <w:jc w:val="both"/>
        <w:rPr>
          <w:rFonts w:ascii="Simplified Arabic" w:hAnsi="Simplified Arabic" w:cs="Simplified Arabic"/>
        </w:rPr>
      </w:pPr>
      <w:r w:rsidRPr="00B068B9">
        <w:rPr>
          <w:rFonts w:ascii="Simplified Arabic" w:hAnsi="Simplified Arabic" w:cs="Simplified Arabic" w:hint="cs"/>
          <w:rtl/>
        </w:rPr>
        <w:t>أسئلة</w:t>
      </w:r>
      <w:r w:rsidRPr="00B068B9">
        <w:rPr>
          <w:rFonts w:ascii="Simplified Arabic" w:hAnsi="Simplified Arabic" w:cs="Simplified Arabic"/>
          <w:rtl/>
        </w:rPr>
        <w:t xml:space="preserve"> </w:t>
      </w:r>
      <w:r w:rsidRPr="00B068B9">
        <w:rPr>
          <w:rFonts w:ascii="Simplified Arabic" w:hAnsi="Simplified Arabic" w:cs="Simplified Arabic" w:hint="cs"/>
          <w:rtl/>
        </w:rPr>
        <w:t>التصنيف</w:t>
      </w:r>
      <w:r w:rsidRPr="00B068B9">
        <w:rPr>
          <w:rFonts w:ascii="Simplified Arabic" w:hAnsi="Simplified Arabic" w:cs="Simplified Arabic"/>
          <w:rtl/>
        </w:rPr>
        <w:t xml:space="preserve"> </w:t>
      </w:r>
      <w:r w:rsidRPr="00B068B9">
        <w:rPr>
          <w:rFonts w:ascii="Simplified Arabic" w:hAnsi="Simplified Arabic" w:cs="Simplified Arabic" w:hint="cs"/>
          <w:rtl/>
        </w:rPr>
        <w:t>لتحديد</w:t>
      </w:r>
      <w:r w:rsidRPr="00B068B9">
        <w:rPr>
          <w:rFonts w:ascii="Simplified Arabic" w:hAnsi="Simplified Arabic" w:cs="Simplified Arabic"/>
          <w:rtl/>
        </w:rPr>
        <w:t xml:space="preserve"> </w:t>
      </w:r>
      <w:r w:rsidRPr="00B068B9">
        <w:rPr>
          <w:rFonts w:ascii="Simplified Arabic" w:hAnsi="Simplified Arabic" w:cs="Simplified Arabic" w:hint="cs"/>
          <w:rtl/>
        </w:rPr>
        <w:t>المعلومات،</w:t>
      </w:r>
      <w:r w:rsidR="00C75CAD">
        <w:rPr>
          <w:rFonts w:ascii="Simplified Arabic" w:hAnsi="Simplified Arabic" w:cs="Simplified Arabic" w:hint="cs"/>
          <w:rtl/>
        </w:rPr>
        <w:t xml:space="preserve"> </w:t>
      </w:r>
      <w:r>
        <w:rPr>
          <w:rFonts w:ascii="Simplified Arabic" w:hAnsi="Simplified Arabic" w:cs="Simplified Arabic" w:hint="cs"/>
          <w:rtl/>
        </w:rPr>
        <w:t xml:space="preserve">نوع </w:t>
      </w:r>
      <w:r w:rsidRPr="00B068B9">
        <w:rPr>
          <w:rFonts w:ascii="Simplified Arabic" w:hAnsi="Simplified Arabic" w:cs="Simplified Arabic" w:hint="cs"/>
          <w:rtl/>
        </w:rPr>
        <w:t>الجنس</w:t>
      </w:r>
      <w:r>
        <w:rPr>
          <w:rFonts w:ascii="Simplified Arabic" w:hAnsi="Simplified Arabic" w:cs="Simplified Arabic" w:hint="cs"/>
          <w:rtl/>
        </w:rPr>
        <w:t>، الحالة الاجتماعية، الفئة العمرية،</w:t>
      </w:r>
      <w:r w:rsidRPr="00B068B9">
        <w:rPr>
          <w:rFonts w:ascii="Simplified Arabic" w:hAnsi="Simplified Arabic" w:cs="Simplified Arabic"/>
          <w:rtl/>
        </w:rPr>
        <w:t xml:space="preserve"> </w:t>
      </w:r>
      <w:r>
        <w:rPr>
          <w:rFonts w:ascii="Simplified Arabic" w:hAnsi="Simplified Arabic" w:cs="Simplified Arabic" w:hint="cs"/>
          <w:rtl/>
        </w:rPr>
        <w:t>المستوى التعليمي</w:t>
      </w:r>
      <w:r w:rsidRPr="00B068B9">
        <w:rPr>
          <w:rFonts w:ascii="Simplified Arabic" w:hAnsi="Simplified Arabic" w:cs="Simplified Arabic"/>
          <w:rtl/>
        </w:rPr>
        <w:t xml:space="preserve"> </w:t>
      </w:r>
      <w:r w:rsidRPr="00B068B9">
        <w:rPr>
          <w:rFonts w:ascii="Simplified Arabic" w:hAnsi="Simplified Arabic" w:cs="Simplified Arabic" w:hint="cs"/>
          <w:rtl/>
        </w:rPr>
        <w:t>والموقع</w:t>
      </w:r>
      <w:r w:rsidRPr="00B068B9">
        <w:rPr>
          <w:rFonts w:ascii="Simplified Arabic" w:hAnsi="Simplified Arabic" w:cs="Simplified Arabic"/>
          <w:rtl/>
        </w:rPr>
        <w:t>.</w:t>
      </w:r>
    </w:p>
    <w:p w:rsidR="00C97FA4" w:rsidRPr="00DA3D71" w:rsidRDefault="00C97FA4" w:rsidP="001D0548">
      <w:pPr>
        <w:pStyle w:val="Default"/>
        <w:numPr>
          <w:ilvl w:val="0"/>
          <w:numId w:val="27"/>
        </w:numPr>
        <w:bidi/>
        <w:ind w:left="282" w:hanging="283"/>
        <w:jc w:val="both"/>
        <w:rPr>
          <w:rFonts w:ascii="Simplified Arabic" w:hAnsi="Simplified Arabic" w:cs="Simplified Arabic"/>
        </w:rPr>
      </w:pPr>
      <w:r w:rsidRPr="00B068B9">
        <w:rPr>
          <w:rFonts w:ascii="Simplified Arabic" w:hAnsi="Simplified Arabic" w:cs="Simplified Arabic" w:hint="cs"/>
          <w:rtl/>
        </w:rPr>
        <w:t>أسئلة</w:t>
      </w:r>
      <w:r w:rsidRPr="00B068B9">
        <w:rPr>
          <w:rFonts w:ascii="Simplified Arabic" w:hAnsi="Simplified Arabic" w:cs="Simplified Arabic"/>
          <w:rtl/>
        </w:rPr>
        <w:t xml:space="preserve"> </w:t>
      </w:r>
      <w:r w:rsidRPr="00B068B9">
        <w:rPr>
          <w:rFonts w:ascii="Simplified Arabic" w:hAnsi="Simplified Arabic" w:cs="Simplified Arabic" w:hint="cs"/>
          <w:rtl/>
        </w:rPr>
        <w:t>المعرفة</w:t>
      </w:r>
      <w:r w:rsidRPr="00B068B9">
        <w:rPr>
          <w:rFonts w:ascii="Simplified Arabic" w:hAnsi="Simplified Arabic" w:cs="Simplified Arabic"/>
          <w:rtl/>
        </w:rPr>
        <w:t xml:space="preserve"> </w:t>
      </w:r>
      <w:r w:rsidRPr="00B068B9">
        <w:rPr>
          <w:rFonts w:ascii="Simplified Arabic" w:hAnsi="Simplified Arabic" w:cs="Simplified Arabic" w:hint="cs"/>
          <w:rtl/>
        </w:rPr>
        <w:t>لتحديد</w:t>
      </w:r>
      <w:r w:rsidRPr="00B068B9">
        <w:rPr>
          <w:rFonts w:ascii="Simplified Arabic" w:hAnsi="Simplified Arabic" w:cs="Simplified Arabic"/>
          <w:rtl/>
        </w:rPr>
        <w:t xml:space="preserve"> </w:t>
      </w:r>
      <w:r w:rsidRPr="006B50B0">
        <w:rPr>
          <w:rFonts w:ascii="Simplified Arabic" w:hAnsi="Simplified Arabic" w:cs="Simplified Arabic" w:hint="cs"/>
          <w:rtl/>
        </w:rPr>
        <w:t>المخاطر</w:t>
      </w:r>
      <w:r w:rsidRPr="006B50B0">
        <w:rPr>
          <w:rFonts w:ascii="Simplified Arabic" w:hAnsi="Simplified Arabic" w:cs="Simplified Arabic"/>
          <w:rtl/>
        </w:rPr>
        <w:t xml:space="preserve"> </w:t>
      </w:r>
      <w:r w:rsidRPr="006B50B0">
        <w:rPr>
          <w:rFonts w:ascii="Simplified Arabic" w:hAnsi="Simplified Arabic" w:cs="Simplified Arabic" w:hint="eastAsia"/>
          <w:rtl/>
        </w:rPr>
        <w:t>الطبيعية</w:t>
      </w:r>
      <w:r w:rsidRPr="006B50B0">
        <w:rPr>
          <w:rFonts w:ascii="Simplified Arabic" w:hAnsi="Simplified Arabic" w:cs="Simplified Arabic"/>
          <w:rtl/>
        </w:rPr>
        <w:t xml:space="preserve"> </w:t>
      </w:r>
      <w:r w:rsidRPr="006B50B0">
        <w:rPr>
          <w:rFonts w:ascii="Simplified Arabic" w:hAnsi="Simplified Arabic" w:cs="Simplified Arabic" w:hint="eastAsia"/>
          <w:rtl/>
        </w:rPr>
        <w:t>وتصور</w:t>
      </w:r>
      <w:r w:rsidRPr="006B50B0">
        <w:rPr>
          <w:rFonts w:ascii="Simplified Arabic" w:hAnsi="Simplified Arabic" w:cs="Simplified Arabic"/>
          <w:rtl/>
        </w:rPr>
        <w:t xml:space="preserve"> </w:t>
      </w:r>
      <w:r w:rsidRPr="006B50B0">
        <w:rPr>
          <w:rFonts w:ascii="Simplified Arabic" w:hAnsi="Simplified Arabic" w:cs="Simplified Arabic" w:hint="cs"/>
          <w:rtl/>
        </w:rPr>
        <w:t>اخطار</w:t>
      </w:r>
      <w:r w:rsidRPr="006B50B0">
        <w:rPr>
          <w:rFonts w:ascii="Simplified Arabic" w:hAnsi="Simplified Arabic" w:cs="Simplified Arabic"/>
          <w:rtl/>
        </w:rPr>
        <w:t xml:space="preserve"> </w:t>
      </w:r>
      <w:r w:rsidRPr="006B50B0">
        <w:rPr>
          <w:rFonts w:ascii="Simplified Arabic" w:hAnsi="Simplified Arabic" w:cs="Simplified Arabic" w:hint="eastAsia"/>
          <w:rtl/>
        </w:rPr>
        <w:t>الكوارث</w:t>
      </w:r>
      <w:r w:rsidRPr="006B50B0">
        <w:rPr>
          <w:rFonts w:ascii="Simplified Arabic" w:hAnsi="Simplified Arabic" w:cs="Simplified Arabic" w:hint="cs"/>
          <w:rtl/>
        </w:rPr>
        <w:t xml:space="preserve"> في </w:t>
      </w:r>
      <w:r>
        <w:rPr>
          <w:rFonts w:ascii="Simplified Arabic" w:hAnsi="Simplified Arabic" w:cs="Simplified Arabic" w:hint="cs"/>
          <w:rtl/>
        </w:rPr>
        <w:t>المدينة</w:t>
      </w:r>
      <w:r w:rsidRPr="006B50B0">
        <w:rPr>
          <w:rFonts w:ascii="Simplified Arabic" w:hAnsi="Simplified Arabic" w:cs="Simplified Arabic"/>
          <w:rtl/>
        </w:rPr>
        <w:t>.</w:t>
      </w:r>
    </w:p>
    <w:p w:rsidR="00C97FA4" w:rsidRPr="009C5B16" w:rsidRDefault="00C97FA4" w:rsidP="001D0548">
      <w:pPr>
        <w:pStyle w:val="Default"/>
        <w:numPr>
          <w:ilvl w:val="0"/>
          <w:numId w:val="27"/>
        </w:numPr>
        <w:bidi/>
        <w:ind w:left="282" w:hanging="283"/>
        <w:jc w:val="both"/>
        <w:rPr>
          <w:rFonts w:ascii="Simplified Arabic" w:hAnsi="Simplified Arabic" w:cs="Simplified Arabic"/>
        </w:rPr>
      </w:pPr>
      <w:r w:rsidRPr="00DA3D71">
        <w:rPr>
          <w:rFonts w:ascii="Simplified Arabic" w:hAnsi="Simplified Arabic" w:cs="Simplified Arabic" w:hint="cs"/>
          <w:rtl/>
        </w:rPr>
        <w:lastRenderedPageBreak/>
        <w:t xml:space="preserve">اسئلة تتعلق </w:t>
      </w:r>
      <w:r>
        <w:rPr>
          <w:rFonts w:ascii="Simplified Arabic" w:hAnsi="Simplified Arabic" w:cs="Simplified Arabic" w:hint="cs"/>
          <w:rtl/>
        </w:rPr>
        <w:t>بالخدمات</w:t>
      </w:r>
      <w:r w:rsidRPr="00DA3D71">
        <w:rPr>
          <w:rFonts w:ascii="Simplified Arabic" w:hAnsi="Simplified Arabic" w:cs="Simplified Arabic" w:hint="cs"/>
          <w:rtl/>
        </w:rPr>
        <w:t xml:space="preserve"> الأكثر</w:t>
      </w:r>
      <w:r w:rsidRPr="00DA3D71">
        <w:rPr>
          <w:rFonts w:ascii="Simplified Arabic" w:hAnsi="Simplified Arabic" w:cs="Simplified Arabic"/>
          <w:rtl/>
        </w:rPr>
        <w:t xml:space="preserve"> </w:t>
      </w:r>
      <w:r w:rsidRPr="00DA3D71">
        <w:rPr>
          <w:rFonts w:ascii="Simplified Arabic" w:hAnsi="Simplified Arabic" w:cs="Simplified Arabic" w:hint="cs"/>
          <w:rtl/>
        </w:rPr>
        <w:t>ضرورية</w:t>
      </w:r>
      <w:r w:rsidRPr="00DA3D71">
        <w:rPr>
          <w:rFonts w:ascii="Simplified Arabic" w:hAnsi="Simplified Arabic" w:cs="Simplified Arabic"/>
          <w:rtl/>
        </w:rPr>
        <w:t xml:space="preserve"> </w:t>
      </w:r>
      <w:r w:rsidRPr="00DA3D71">
        <w:rPr>
          <w:rFonts w:ascii="Simplified Arabic" w:hAnsi="Simplified Arabic" w:cs="Simplified Arabic" w:hint="cs"/>
          <w:rtl/>
        </w:rPr>
        <w:t>اثناء وبعد مرحلة الاضطرابات التي تحدثها الفيضانات.</w:t>
      </w:r>
    </w:p>
    <w:p w:rsidR="00C97FA4" w:rsidRPr="00DA3D71" w:rsidRDefault="00C97FA4" w:rsidP="001D0548">
      <w:pPr>
        <w:pStyle w:val="Default"/>
        <w:numPr>
          <w:ilvl w:val="0"/>
          <w:numId w:val="27"/>
        </w:numPr>
        <w:bidi/>
        <w:ind w:left="282" w:hanging="283"/>
        <w:jc w:val="both"/>
        <w:rPr>
          <w:rFonts w:ascii="Simplified Arabic" w:hAnsi="Simplified Arabic" w:cs="Simplified Arabic"/>
        </w:rPr>
      </w:pPr>
      <w:r w:rsidRPr="00DA3D71">
        <w:rPr>
          <w:rFonts w:ascii="Simplified Arabic" w:hAnsi="Simplified Arabic" w:cs="Simplified Arabic" w:hint="cs"/>
          <w:rtl/>
        </w:rPr>
        <w:t>اسئلة حول</w:t>
      </w:r>
      <w:r w:rsidRPr="00DA3D71">
        <w:rPr>
          <w:rFonts w:ascii="Simplified Arabic" w:hAnsi="Simplified Arabic" w:cs="Simplified Arabic"/>
          <w:rtl/>
        </w:rPr>
        <w:t xml:space="preserve"> </w:t>
      </w:r>
      <w:r w:rsidRPr="00DA3D71">
        <w:rPr>
          <w:rFonts w:ascii="Simplified Arabic" w:hAnsi="Simplified Arabic" w:cs="Simplified Arabic" w:hint="cs"/>
          <w:rtl/>
        </w:rPr>
        <w:t>المسافة</w:t>
      </w:r>
      <w:r w:rsidRPr="00DA3D71">
        <w:rPr>
          <w:rFonts w:ascii="Simplified Arabic" w:hAnsi="Simplified Arabic" w:cs="Simplified Arabic"/>
          <w:rtl/>
        </w:rPr>
        <w:t xml:space="preserve"> </w:t>
      </w:r>
      <w:r w:rsidRPr="00DA3D71">
        <w:rPr>
          <w:rFonts w:ascii="Simplified Arabic" w:hAnsi="Simplified Arabic" w:cs="Simplified Arabic" w:hint="cs"/>
          <w:rtl/>
        </w:rPr>
        <w:t>الملائمة</w:t>
      </w:r>
      <w:r w:rsidRPr="00DA3D71">
        <w:rPr>
          <w:rFonts w:ascii="Simplified Arabic" w:hAnsi="Simplified Arabic" w:cs="Simplified Arabic"/>
          <w:rtl/>
        </w:rPr>
        <w:t xml:space="preserve"> </w:t>
      </w:r>
      <w:r w:rsidRPr="00DA3D71">
        <w:rPr>
          <w:rFonts w:ascii="Simplified Arabic" w:hAnsi="Simplified Arabic" w:cs="Simplified Arabic" w:hint="cs"/>
          <w:rtl/>
        </w:rPr>
        <w:t>للوصول مشيا بين</w:t>
      </w:r>
      <w:r w:rsidRPr="00DA3D71">
        <w:rPr>
          <w:rFonts w:ascii="Simplified Arabic" w:hAnsi="Simplified Arabic" w:cs="Simplified Arabic"/>
          <w:rtl/>
        </w:rPr>
        <w:t xml:space="preserve"> </w:t>
      </w:r>
      <w:r w:rsidRPr="00DA3D71">
        <w:rPr>
          <w:rFonts w:ascii="Simplified Arabic" w:hAnsi="Simplified Arabic" w:cs="Simplified Arabic" w:hint="cs"/>
          <w:rtl/>
        </w:rPr>
        <w:t>المسكن</w:t>
      </w:r>
      <w:r w:rsidRPr="00DA3D71">
        <w:rPr>
          <w:rFonts w:ascii="Simplified Arabic" w:hAnsi="Simplified Arabic" w:cs="Simplified Arabic"/>
          <w:rtl/>
        </w:rPr>
        <w:t xml:space="preserve"> </w:t>
      </w:r>
      <w:r w:rsidRPr="00DA3D71">
        <w:rPr>
          <w:rFonts w:ascii="Simplified Arabic" w:hAnsi="Simplified Arabic" w:cs="Simplified Arabic" w:hint="cs"/>
          <w:rtl/>
        </w:rPr>
        <w:t xml:space="preserve">و اقرب </w:t>
      </w:r>
      <w:r>
        <w:rPr>
          <w:rFonts w:ascii="Simplified Arabic" w:hAnsi="Simplified Arabic" w:cs="Simplified Arabic" w:hint="cs"/>
          <w:rtl/>
        </w:rPr>
        <w:t>مركز خدمة</w:t>
      </w:r>
      <w:r w:rsidRPr="00DA3D71">
        <w:rPr>
          <w:rFonts w:ascii="Simplified Arabic" w:hAnsi="Simplified Arabic" w:cs="Simplified Arabic" w:hint="cs"/>
          <w:rtl/>
        </w:rPr>
        <w:t>.</w:t>
      </w:r>
    </w:p>
    <w:p w:rsidR="00C97FA4" w:rsidRDefault="00C97FA4" w:rsidP="00C97FA4">
      <w:pPr>
        <w:pStyle w:val="Default"/>
        <w:bidi/>
        <w:ind w:firstLine="282"/>
        <w:jc w:val="both"/>
        <w:rPr>
          <w:rFonts w:ascii="Simplified Arabic" w:hAnsi="Simplified Arabic" w:cs="Simplified Arabic"/>
          <w:rtl/>
        </w:rPr>
      </w:pPr>
      <w:r w:rsidRPr="00B068B9">
        <w:rPr>
          <w:rFonts w:ascii="Simplified Arabic" w:hAnsi="Simplified Arabic" w:cs="Simplified Arabic" w:hint="cs"/>
          <w:rtl/>
        </w:rPr>
        <w:t>تم</w:t>
      </w:r>
      <w:r w:rsidRPr="00B068B9">
        <w:rPr>
          <w:rFonts w:ascii="Simplified Arabic" w:hAnsi="Simplified Arabic" w:cs="Simplified Arabic"/>
          <w:rtl/>
        </w:rPr>
        <w:t xml:space="preserve"> </w:t>
      </w:r>
      <w:r w:rsidRPr="00B068B9">
        <w:rPr>
          <w:rFonts w:ascii="Simplified Arabic" w:hAnsi="Simplified Arabic" w:cs="Simplified Arabic" w:hint="cs"/>
          <w:rtl/>
        </w:rPr>
        <w:t>تصميم</w:t>
      </w:r>
      <w:r w:rsidRPr="00B068B9">
        <w:rPr>
          <w:rFonts w:ascii="Simplified Arabic" w:hAnsi="Simplified Arabic" w:cs="Simplified Arabic"/>
          <w:rtl/>
        </w:rPr>
        <w:t xml:space="preserve"> </w:t>
      </w:r>
      <w:r w:rsidRPr="00B068B9">
        <w:rPr>
          <w:rFonts w:ascii="Simplified Arabic" w:hAnsi="Simplified Arabic" w:cs="Simplified Arabic" w:hint="cs"/>
          <w:rtl/>
        </w:rPr>
        <w:t>الاستبيان</w:t>
      </w:r>
      <w:r>
        <w:rPr>
          <w:rFonts w:ascii="Simplified Arabic" w:hAnsi="Simplified Arabic" w:cs="Simplified Arabic" w:hint="cs"/>
          <w:rtl/>
        </w:rPr>
        <w:t xml:space="preserve"> الالكتروني</w:t>
      </w:r>
      <w:r w:rsidRPr="00B068B9">
        <w:rPr>
          <w:rFonts w:ascii="Simplified Arabic" w:hAnsi="Simplified Arabic" w:cs="Simplified Arabic"/>
          <w:rtl/>
        </w:rPr>
        <w:t xml:space="preserve"> </w:t>
      </w:r>
      <w:r w:rsidRPr="00B068B9">
        <w:rPr>
          <w:rFonts w:ascii="Simplified Arabic" w:hAnsi="Simplified Arabic" w:cs="Simplified Arabic" w:hint="cs"/>
          <w:rtl/>
        </w:rPr>
        <w:t>المكتمل</w:t>
      </w:r>
      <w:r w:rsidRPr="00B068B9">
        <w:rPr>
          <w:rFonts w:ascii="Simplified Arabic" w:hAnsi="Simplified Arabic" w:cs="Simplified Arabic"/>
          <w:rtl/>
        </w:rPr>
        <w:t xml:space="preserve"> </w:t>
      </w:r>
      <w:r w:rsidRPr="00B068B9">
        <w:rPr>
          <w:rFonts w:ascii="Simplified Arabic" w:hAnsi="Simplified Arabic" w:cs="Simplified Arabic" w:hint="cs"/>
          <w:rtl/>
        </w:rPr>
        <w:t>لكلا</w:t>
      </w:r>
      <w:r w:rsidRPr="00B068B9">
        <w:rPr>
          <w:rFonts w:ascii="Simplified Arabic" w:hAnsi="Simplified Arabic" w:cs="Simplified Arabic"/>
          <w:rtl/>
        </w:rPr>
        <w:t xml:space="preserve"> </w:t>
      </w:r>
      <w:r w:rsidRPr="00B068B9">
        <w:rPr>
          <w:rFonts w:ascii="Simplified Arabic" w:hAnsi="Simplified Arabic" w:cs="Simplified Arabic" w:hint="cs"/>
          <w:rtl/>
        </w:rPr>
        <w:t>الجنسين،</w:t>
      </w:r>
      <w:r w:rsidRPr="00B068B9">
        <w:rPr>
          <w:rFonts w:ascii="Simplified Arabic" w:hAnsi="Simplified Arabic" w:cs="Simplified Arabic"/>
          <w:rtl/>
        </w:rPr>
        <w:t xml:space="preserve"> </w:t>
      </w:r>
      <w:r w:rsidRPr="00B068B9">
        <w:rPr>
          <w:rFonts w:ascii="Simplified Arabic" w:hAnsi="Simplified Arabic" w:cs="Simplified Arabic" w:hint="cs"/>
          <w:rtl/>
        </w:rPr>
        <w:t>فوق</w:t>
      </w:r>
      <w:r w:rsidRPr="00B068B9">
        <w:rPr>
          <w:rFonts w:ascii="Simplified Arabic" w:hAnsi="Simplified Arabic" w:cs="Simplified Arabic"/>
          <w:rtl/>
        </w:rPr>
        <w:t xml:space="preserve"> </w:t>
      </w:r>
      <w:r w:rsidRPr="00B068B9">
        <w:rPr>
          <w:rFonts w:ascii="Simplified Arabic" w:hAnsi="Simplified Arabic" w:cs="Simplified Arabic" w:hint="cs"/>
          <w:rtl/>
        </w:rPr>
        <w:t>سن</w:t>
      </w:r>
      <w:r w:rsidRPr="00B068B9">
        <w:rPr>
          <w:rFonts w:ascii="Simplified Arabic" w:hAnsi="Simplified Arabic" w:cs="Simplified Arabic"/>
          <w:rtl/>
        </w:rPr>
        <w:t xml:space="preserve"> 18 </w:t>
      </w:r>
      <w:r w:rsidRPr="00B068B9">
        <w:rPr>
          <w:rFonts w:ascii="Simplified Arabic" w:hAnsi="Simplified Arabic" w:cs="Simplified Arabic" w:hint="cs"/>
          <w:rtl/>
        </w:rPr>
        <w:t>عامًا،</w:t>
      </w:r>
      <w:r w:rsidRPr="00B068B9">
        <w:rPr>
          <w:rFonts w:ascii="Simplified Arabic" w:hAnsi="Simplified Arabic" w:cs="Simplified Arabic"/>
          <w:rtl/>
        </w:rPr>
        <w:t xml:space="preserve"> </w:t>
      </w:r>
      <w:r w:rsidRPr="00B068B9">
        <w:rPr>
          <w:rFonts w:ascii="Simplified Arabic" w:hAnsi="Simplified Arabic" w:cs="Simplified Arabic" w:hint="cs"/>
          <w:rtl/>
        </w:rPr>
        <w:t>على</w:t>
      </w:r>
      <w:r w:rsidRPr="00B068B9">
        <w:rPr>
          <w:rFonts w:ascii="Simplified Arabic" w:hAnsi="Simplified Arabic" w:cs="Simplified Arabic"/>
          <w:rtl/>
        </w:rPr>
        <w:t xml:space="preserve"> </w:t>
      </w:r>
      <w:r w:rsidRPr="00B068B9">
        <w:rPr>
          <w:rFonts w:ascii="Simplified Arabic" w:hAnsi="Simplified Arabic" w:cs="Simplified Arabic" w:hint="cs"/>
          <w:rtl/>
        </w:rPr>
        <w:t>خلفيات</w:t>
      </w:r>
      <w:r w:rsidRPr="00B068B9">
        <w:rPr>
          <w:rFonts w:ascii="Simplified Arabic" w:hAnsi="Simplified Arabic" w:cs="Simplified Arabic"/>
          <w:rtl/>
        </w:rPr>
        <w:t xml:space="preserve"> </w:t>
      </w:r>
      <w:r w:rsidRPr="00B068B9">
        <w:rPr>
          <w:rFonts w:ascii="Simplified Arabic" w:hAnsi="Simplified Arabic" w:cs="Simplified Arabic" w:hint="cs"/>
          <w:rtl/>
        </w:rPr>
        <w:t>اجتماعية</w:t>
      </w:r>
      <w:r w:rsidRPr="00B068B9">
        <w:rPr>
          <w:rFonts w:ascii="Simplified Arabic" w:hAnsi="Simplified Arabic" w:cs="Simplified Arabic"/>
          <w:rtl/>
        </w:rPr>
        <w:t xml:space="preserve"> </w:t>
      </w:r>
      <w:r w:rsidRPr="00B068B9">
        <w:rPr>
          <w:rFonts w:ascii="Simplified Arabic" w:hAnsi="Simplified Arabic" w:cs="Simplified Arabic" w:hint="cs"/>
          <w:rtl/>
        </w:rPr>
        <w:t>ومؤهلات</w:t>
      </w:r>
      <w:r w:rsidRPr="00B068B9">
        <w:rPr>
          <w:rFonts w:ascii="Simplified Arabic" w:hAnsi="Simplified Arabic" w:cs="Simplified Arabic"/>
          <w:rtl/>
        </w:rPr>
        <w:t xml:space="preserve"> </w:t>
      </w:r>
      <w:r w:rsidRPr="00B068B9">
        <w:rPr>
          <w:rFonts w:ascii="Simplified Arabic" w:hAnsi="Simplified Arabic" w:cs="Simplified Arabic" w:hint="cs"/>
          <w:rtl/>
        </w:rPr>
        <w:t>وتخصصات</w:t>
      </w:r>
      <w:r w:rsidRPr="00B068B9">
        <w:rPr>
          <w:rFonts w:ascii="Simplified Arabic" w:hAnsi="Simplified Arabic" w:cs="Simplified Arabic"/>
          <w:rtl/>
        </w:rPr>
        <w:t xml:space="preserve"> </w:t>
      </w:r>
      <w:r w:rsidRPr="00B068B9">
        <w:rPr>
          <w:rFonts w:ascii="Simplified Arabic" w:hAnsi="Simplified Arabic" w:cs="Simplified Arabic" w:hint="cs"/>
          <w:rtl/>
        </w:rPr>
        <w:t>متنوعة</w:t>
      </w:r>
      <w:r w:rsidRPr="00B068B9">
        <w:rPr>
          <w:rFonts w:ascii="Simplified Arabic" w:hAnsi="Simplified Arabic" w:cs="Simplified Arabic"/>
          <w:rtl/>
        </w:rPr>
        <w:t>.</w:t>
      </w:r>
    </w:p>
    <w:p w:rsidR="005135C8" w:rsidRDefault="00C97FA4" w:rsidP="00264FC1">
      <w:pPr>
        <w:pStyle w:val="fegure"/>
        <w:rPr>
          <w:szCs w:val="24"/>
          <w:rtl/>
        </w:rPr>
      </w:pPr>
      <w:bookmarkStart w:id="466" w:name="_Toc157608319"/>
      <w:bookmarkStart w:id="467" w:name="_Toc171803557"/>
      <w:r w:rsidRPr="00264FC1">
        <w:rPr>
          <w:szCs w:val="24"/>
          <w:rtl/>
        </w:rPr>
        <w:t xml:space="preserve">الشكل </w:t>
      </w:r>
      <w:r w:rsidRPr="00264FC1">
        <w:rPr>
          <w:rFonts w:hint="cs"/>
          <w:szCs w:val="24"/>
          <w:rtl/>
        </w:rPr>
        <w:t>(</w:t>
      </w:r>
      <w:r w:rsidR="00171E1E" w:rsidRPr="00264FC1">
        <w:rPr>
          <w:rFonts w:hint="cs"/>
          <w:szCs w:val="24"/>
          <w:rtl/>
        </w:rPr>
        <w:t>3-16</w:t>
      </w:r>
      <w:r w:rsidRPr="00264FC1">
        <w:rPr>
          <w:rFonts w:hint="cs"/>
          <w:szCs w:val="24"/>
          <w:rtl/>
        </w:rPr>
        <w:t>)</w:t>
      </w:r>
      <w:r w:rsidRPr="00264FC1">
        <w:rPr>
          <w:szCs w:val="24"/>
          <w:rtl/>
        </w:rPr>
        <w:t xml:space="preserve">: </w:t>
      </w:r>
      <w:r w:rsidRPr="00264FC1">
        <w:rPr>
          <w:rFonts w:hint="cs"/>
          <w:szCs w:val="24"/>
          <w:rtl/>
        </w:rPr>
        <w:t xml:space="preserve">خطوات تطوير </w:t>
      </w:r>
      <w:r w:rsidRPr="00264FC1">
        <w:rPr>
          <w:szCs w:val="24"/>
          <w:rtl/>
        </w:rPr>
        <w:t>الاستبيان</w:t>
      </w:r>
      <w:bookmarkEnd w:id="466"/>
      <w:bookmarkEnd w:id="467"/>
    </w:p>
    <w:p w:rsidR="00C97FA4" w:rsidRPr="005135C8" w:rsidRDefault="005135C8" w:rsidP="005135C8">
      <w:pPr>
        <w:pStyle w:val="fegure"/>
        <w:rPr>
          <w:sz w:val="8"/>
          <w:szCs w:val="24"/>
          <w:lang w:val="en-US"/>
        </w:rPr>
      </w:pPr>
      <w:bookmarkStart w:id="468" w:name="_Toc171803558"/>
      <w:r>
        <w:rPr>
          <w:rFonts w:hint="cs"/>
          <w:sz w:val="8"/>
          <w:szCs w:val="24"/>
          <w:rtl/>
          <w:lang w:val="en-US"/>
        </w:rPr>
        <w:t>المصدر: (الباحث، 2022)</w:t>
      </w:r>
      <w:bookmarkEnd w:id="468"/>
      <w:r w:rsidR="00C97FA4" w:rsidRPr="00264FC1">
        <w:rPr>
          <w:rFonts w:hint="cs"/>
          <w:szCs w:val="24"/>
          <w:rtl/>
        </w:rPr>
        <w:t xml:space="preserve"> </w:t>
      </w:r>
    </w:p>
    <w:p w:rsidR="00C97FA4" w:rsidRDefault="00C97FA4" w:rsidP="00590BE0">
      <w:pPr>
        <w:pStyle w:val="Default"/>
        <w:bidi/>
        <w:spacing w:after="240"/>
        <w:ind w:hanging="1"/>
        <w:jc w:val="center"/>
        <w:rPr>
          <w:rFonts w:ascii="Simplified Arabic" w:hAnsi="Simplified Arabic" w:cs="Simplified Arabic"/>
          <w:noProof/>
          <w:rtl/>
          <w:lang w:eastAsia="fr-FR"/>
        </w:rPr>
      </w:pPr>
      <w:r>
        <w:rPr>
          <w:rFonts w:ascii="Simplified Arabic" w:hAnsi="Simplified Arabic" w:cs="Simplified Arabic" w:hint="cs"/>
          <w:noProof/>
          <w:rtl/>
          <w:lang w:eastAsia="fr-FR"/>
        </w:rPr>
        <w:drawing>
          <wp:inline distT="0" distB="0" distL="0" distR="0" wp14:anchorId="45448DD6" wp14:editId="72021C56">
            <wp:extent cx="5295331" cy="2006221"/>
            <wp:effectExtent l="0" t="0" r="19685" b="13335"/>
            <wp:docPr id="150" name="Diagramme 1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0" r:lo="rId171" r:qs="rId172" r:cs="rId173"/>
              </a:graphicData>
            </a:graphic>
          </wp:inline>
        </w:drawing>
      </w:r>
    </w:p>
    <w:p w:rsidR="00C97FA4" w:rsidRPr="006158D8" w:rsidRDefault="00C97FA4" w:rsidP="00140F39">
      <w:pPr>
        <w:bidi/>
        <w:spacing w:after="0"/>
        <w:ind w:firstLine="282"/>
        <w:jc w:val="both"/>
        <w:rPr>
          <w:rFonts w:ascii="Simplified Arabic" w:hAnsi="Simplified Arabic" w:cs="Simplified Arabic"/>
          <w:color w:val="000000"/>
          <w:sz w:val="24"/>
          <w:szCs w:val="24"/>
          <w:rtl/>
        </w:rPr>
      </w:pPr>
      <w:r>
        <w:rPr>
          <w:rFonts w:ascii="Simplified Arabic" w:hAnsi="Simplified Arabic" w:cs="Simplified Arabic" w:hint="cs"/>
          <w:color w:val="000000"/>
          <w:sz w:val="24"/>
          <w:szCs w:val="24"/>
          <w:rtl/>
        </w:rPr>
        <w:t>يتم نشر الاستبيان الالكتروني</w:t>
      </w:r>
      <w:r w:rsidRPr="006158D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عبر وسائل التواصل الاجتماعي لشبكة الانترنت</w:t>
      </w:r>
      <w:r w:rsidRPr="006158D8">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لتشمل</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احياء</w:t>
      </w:r>
      <w:r>
        <w:rPr>
          <w:rFonts w:ascii="Simplified Arabic" w:hAnsi="Simplified Arabic" w:cs="Simplified Arabic" w:hint="cs"/>
          <w:color w:val="000000"/>
          <w:sz w:val="24"/>
          <w:szCs w:val="24"/>
          <w:rtl/>
        </w:rPr>
        <w:t xml:space="preserve"> مدينة بوسعادة </w:t>
      </w:r>
      <w:r w:rsidRPr="006158D8">
        <w:rPr>
          <w:rFonts w:ascii="Simplified Arabic" w:hAnsi="Simplified Arabic" w:cs="Simplified Arabic" w:hint="cs"/>
          <w:color w:val="000000"/>
          <w:sz w:val="24"/>
          <w:szCs w:val="24"/>
          <w:rtl/>
        </w:rPr>
        <w:t>التي</w:t>
      </w:r>
      <w:r w:rsidRPr="006158D8">
        <w:rPr>
          <w:rFonts w:ascii="Simplified Arabic" w:hAnsi="Simplified Arabic" w:cs="Simplified Arabic"/>
          <w:color w:val="000000"/>
          <w:sz w:val="24"/>
          <w:szCs w:val="24"/>
          <w:rtl/>
        </w:rPr>
        <w:t xml:space="preserve"> </w:t>
      </w:r>
      <w:r w:rsidR="001045BF">
        <w:rPr>
          <w:rFonts w:ascii="Simplified Arabic" w:hAnsi="Simplified Arabic" w:cs="Simplified Arabic" w:hint="cs"/>
          <w:color w:val="000000"/>
          <w:sz w:val="24"/>
          <w:szCs w:val="24"/>
          <w:rtl/>
        </w:rPr>
        <w:t>تشهد مستوى مرونة متوسط ومنخفض</w:t>
      </w:r>
      <w:r w:rsidRPr="006158D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ي</w:t>
      </w:r>
      <w:r w:rsidRPr="006158D8">
        <w:rPr>
          <w:rFonts w:ascii="Simplified Arabic" w:hAnsi="Simplified Arabic" w:cs="Simplified Arabic" w:hint="cs"/>
          <w:color w:val="000000"/>
          <w:sz w:val="24"/>
          <w:szCs w:val="24"/>
          <w:rtl/>
        </w:rPr>
        <w:t>تم</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إبلاغ</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المستجيبين</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كتابيًا</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أن</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المشاركة</w:t>
      </w:r>
      <w:r w:rsidRPr="00256DB8">
        <w:rPr>
          <w:rFonts w:asciiTheme="minorBidi" w:hAnsiTheme="minorBidi" w:cs="Arial"/>
          <w:sz w:val="28"/>
          <w:szCs w:val="28"/>
          <w:rtl/>
        </w:rPr>
        <w:t xml:space="preserve"> </w:t>
      </w:r>
      <w:r w:rsidRPr="006158D8">
        <w:rPr>
          <w:rFonts w:ascii="Simplified Arabic" w:hAnsi="Simplified Arabic" w:cs="Simplified Arabic" w:hint="cs"/>
          <w:color w:val="000000"/>
          <w:sz w:val="24"/>
          <w:szCs w:val="24"/>
          <w:rtl/>
        </w:rPr>
        <w:t>في</w:t>
      </w:r>
      <w:r w:rsidRPr="006158D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الاستبيان</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طوعية</w:t>
      </w:r>
      <w:r w:rsidRPr="006158D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و</w:t>
      </w:r>
      <w:r w:rsidRPr="006158D8">
        <w:rPr>
          <w:rFonts w:ascii="Simplified Arabic" w:hAnsi="Simplified Arabic" w:cs="Simplified Arabic" w:hint="cs"/>
          <w:color w:val="000000"/>
          <w:sz w:val="24"/>
          <w:szCs w:val="24"/>
          <w:rtl/>
        </w:rPr>
        <w:t>بأن</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البيانات</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ستبقى</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سرية</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وفقًا</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لقواعد</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الموافقة</w:t>
      </w:r>
      <w:r w:rsidRPr="006158D8">
        <w:rPr>
          <w:rFonts w:ascii="Simplified Arabic" w:hAnsi="Simplified Arabic" w:cs="Simplified Arabic"/>
          <w:color w:val="000000"/>
          <w:sz w:val="24"/>
          <w:szCs w:val="24"/>
          <w:rtl/>
        </w:rPr>
        <w:t xml:space="preserve"> </w:t>
      </w:r>
      <w:r w:rsidRPr="006158D8">
        <w:rPr>
          <w:rFonts w:ascii="Simplified Arabic" w:hAnsi="Simplified Arabic" w:cs="Simplified Arabic" w:hint="cs"/>
          <w:color w:val="000000"/>
          <w:sz w:val="24"/>
          <w:szCs w:val="24"/>
          <w:rtl/>
        </w:rPr>
        <w:t>الأخلاقية (الملحق</w:t>
      </w:r>
      <w:r>
        <w:rPr>
          <w:rFonts w:ascii="Simplified Arabic" w:hAnsi="Simplified Arabic" w:cs="Simplified Arabic" w:hint="cs"/>
          <w:color w:val="000000"/>
          <w:sz w:val="24"/>
          <w:szCs w:val="24"/>
          <w:rtl/>
        </w:rPr>
        <w:t xml:space="preserve"> </w:t>
      </w:r>
      <w:r w:rsidR="00140F39">
        <w:rPr>
          <w:rFonts w:ascii="Simplified Arabic" w:hAnsi="Simplified Arabic" w:cs="Simplified Arabic"/>
          <w:color w:val="000000"/>
          <w:sz w:val="24"/>
          <w:szCs w:val="24"/>
        </w:rPr>
        <w:t>4</w:t>
      </w:r>
      <w:r w:rsidRPr="006158D8">
        <w:rPr>
          <w:rFonts w:ascii="Simplified Arabic" w:hAnsi="Simplified Arabic" w:cs="Simplified Arabic" w:hint="cs"/>
          <w:color w:val="000000"/>
          <w:sz w:val="24"/>
          <w:szCs w:val="24"/>
          <w:rtl/>
        </w:rPr>
        <w:t>)</w:t>
      </w:r>
      <w:r w:rsidRPr="006158D8">
        <w:rPr>
          <w:rFonts w:ascii="Simplified Arabic" w:hAnsi="Simplified Arabic" w:cs="Simplified Arabic"/>
          <w:color w:val="000000"/>
          <w:sz w:val="24"/>
          <w:szCs w:val="24"/>
          <w:rtl/>
        </w:rPr>
        <w:t>.</w:t>
      </w:r>
    </w:p>
    <w:p w:rsidR="00C97FA4" w:rsidRPr="00BB3C94" w:rsidRDefault="00C97FA4" w:rsidP="001D0548">
      <w:pPr>
        <w:pStyle w:val="Default"/>
        <w:numPr>
          <w:ilvl w:val="3"/>
          <w:numId w:val="246"/>
        </w:numPr>
        <w:tabs>
          <w:tab w:val="right" w:pos="992"/>
        </w:tabs>
        <w:bidi/>
        <w:spacing w:before="240"/>
        <w:ind w:left="0" w:firstLine="0"/>
        <w:jc w:val="both"/>
        <w:outlineLvl w:val="2"/>
        <w:rPr>
          <w:rFonts w:ascii="Simplified Arabic" w:hAnsi="Simplified Arabic" w:cs="Simplified Arabic"/>
          <w:b/>
          <w:bCs/>
        </w:rPr>
      </w:pPr>
      <w:bookmarkStart w:id="469" w:name="_Toc171803559"/>
      <w:r w:rsidRPr="00BB3C94">
        <w:rPr>
          <w:rFonts w:ascii="Simplified Arabic" w:hAnsi="Simplified Arabic" w:cs="Simplified Arabic" w:hint="cs"/>
          <w:b/>
          <w:bCs/>
          <w:rtl/>
        </w:rPr>
        <w:t>أنواع</w:t>
      </w:r>
      <w:r w:rsidRPr="00BB3C94">
        <w:rPr>
          <w:rFonts w:ascii="Simplified Arabic" w:hAnsi="Simplified Arabic" w:cs="Simplified Arabic"/>
          <w:b/>
          <w:bCs/>
          <w:rtl/>
        </w:rPr>
        <w:t xml:space="preserve"> </w:t>
      </w:r>
      <w:r w:rsidRPr="00BB3C94">
        <w:rPr>
          <w:rFonts w:ascii="Simplified Arabic" w:hAnsi="Simplified Arabic" w:cs="Simplified Arabic" w:hint="cs"/>
          <w:b/>
          <w:bCs/>
          <w:rtl/>
        </w:rPr>
        <w:t>الردود</w:t>
      </w:r>
      <w:bookmarkEnd w:id="469"/>
    </w:p>
    <w:p w:rsidR="00C97FA4" w:rsidRPr="00BB3C94" w:rsidRDefault="00C97FA4" w:rsidP="00C75CAD">
      <w:pPr>
        <w:bidi/>
        <w:spacing w:after="0"/>
        <w:ind w:firstLine="282"/>
        <w:jc w:val="both"/>
        <w:rPr>
          <w:rFonts w:ascii="Simplified Arabic" w:hAnsi="Simplified Arabic" w:cs="Simplified Arabic"/>
          <w:color w:val="000000"/>
          <w:sz w:val="24"/>
          <w:szCs w:val="24"/>
        </w:rPr>
      </w:pPr>
      <w:r w:rsidRPr="00BB3C94">
        <w:rPr>
          <w:rFonts w:ascii="Simplified Arabic" w:hAnsi="Simplified Arabic" w:cs="Simplified Arabic" w:hint="cs"/>
          <w:color w:val="000000"/>
          <w:sz w:val="24"/>
          <w:szCs w:val="24"/>
          <w:rtl/>
        </w:rPr>
        <w:t>أكد</w:t>
      </w:r>
      <w:r w:rsidRPr="00BB3C94">
        <w:rPr>
          <w:rFonts w:ascii="Simplified Arabic" w:hAnsi="Simplified Arabic" w:cs="Simplified Arabic"/>
          <w:color w:val="000000"/>
          <w:sz w:val="24"/>
          <w:szCs w:val="24"/>
          <w:rtl/>
        </w:rPr>
        <w:t xml:space="preserve"> </w:t>
      </w:r>
      <w:r w:rsidRPr="00BB3C94">
        <w:rPr>
          <w:rFonts w:asciiTheme="majorBidi" w:hAnsiTheme="majorBidi" w:cstheme="majorBidi" w:hint="cs"/>
          <w:color w:val="000000"/>
          <w:sz w:val="24"/>
          <w:szCs w:val="24"/>
          <w:rtl/>
        </w:rPr>
        <w:t>(</w:t>
      </w:r>
      <w:r w:rsidRPr="00C75CAD">
        <w:rPr>
          <w:rFonts w:asciiTheme="majorBidi" w:hAnsiTheme="majorBidi" w:cstheme="majorBidi"/>
          <w:color w:val="000000"/>
          <w:sz w:val="24"/>
          <w:szCs w:val="24"/>
        </w:rPr>
        <w:t>Bowling</w:t>
      </w:r>
      <w:r w:rsidRPr="00FF7A41">
        <w:rPr>
          <w:rFonts w:asciiTheme="majorBidi" w:hAnsiTheme="majorBidi" w:cstheme="majorBidi"/>
          <w:color w:val="000000"/>
          <w:sz w:val="24"/>
          <w:szCs w:val="24"/>
        </w:rPr>
        <w:t>, 2005</w:t>
      </w:r>
      <w:r w:rsidRPr="00FF7A41">
        <w:rPr>
          <w:rFonts w:asciiTheme="majorBidi" w:hAnsiTheme="majorBidi" w:cstheme="majorBidi"/>
          <w:color w:val="000000"/>
          <w:sz w:val="24"/>
          <w:szCs w:val="24"/>
          <w:rtl/>
        </w:rPr>
        <w:t>)</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على</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أهمية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وضوح</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الأسئلة</w:t>
      </w:r>
      <w:r>
        <w:rPr>
          <w:rFonts w:ascii="Simplified Arabic" w:hAnsi="Simplified Arabic" w:cs="Simplified Arabic" w:hint="cs"/>
          <w:color w:val="000000"/>
          <w:sz w:val="24"/>
          <w:szCs w:val="24"/>
          <w:rtl/>
        </w:rPr>
        <w:t>،</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لأن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هذا</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يحسن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جودة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الردود</w:t>
      </w:r>
      <w:r w:rsidRPr="00FF7A41">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ويضمن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انتباه</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المستجيبين</w:t>
      </w:r>
      <w:r w:rsidRPr="00FF7A41">
        <w:rPr>
          <w:rFonts w:ascii="Simplified Arabic" w:hAnsi="Simplified Arabic" w:cs="Simplified Arabic"/>
          <w:color w:val="000000"/>
          <w:sz w:val="24"/>
          <w:szCs w:val="24"/>
          <w:rtl/>
        </w:rPr>
        <w:t>.</w:t>
      </w:r>
      <w:r w:rsidRPr="00FF7A41">
        <w:rPr>
          <w:rFonts w:ascii="Simplified Arabic" w:hAnsi="Simplified Arabic" w:cs="Simplified Arabic" w:hint="cs"/>
          <w:color w:val="000000"/>
          <w:sz w:val="24"/>
          <w:szCs w:val="24"/>
          <w:rtl/>
        </w:rPr>
        <w:t xml:space="preserve"> بشكل</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عام،</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هناك</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نوعان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من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الأسئلة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(الأسئلة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المفتوحة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والمغلقة)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في</w:t>
      </w:r>
      <w:r w:rsidRPr="00FF7A41">
        <w:rPr>
          <w:rFonts w:ascii="Simplified Arabic" w:hAnsi="Simplified Arabic" w:cs="Simplified Arabic"/>
          <w:color w:val="000000"/>
          <w:sz w:val="24"/>
          <w:szCs w:val="24"/>
          <w:rtl/>
        </w:rPr>
        <w:t xml:space="preserve"> </w:t>
      </w:r>
      <w:r w:rsidR="00C75CAD" w:rsidRPr="00FF7A41">
        <w:rPr>
          <w:rFonts w:ascii="Simplified Arabic" w:hAnsi="Simplified Arabic" w:cs="Simplified Arabic" w:hint="cs"/>
          <w:color w:val="000000"/>
          <w:sz w:val="24"/>
          <w:szCs w:val="24"/>
          <w:rtl/>
        </w:rPr>
        <w:t>الأسئلة</w:t>
      </w:r>
      <w:r w:rsidR="00C75CAD" w:rsidRPr="00FF7A41">
        <w:rPr>
          <w:rFonts w:ascii="Simplified Arabic" w:hAnsi="Simplified Arabic" w:cs="Simplified Arabic"/>
          <w:color w:val="000000"/>
          <w:sz w:val="24"/>
          <w:szCs w:val="24"/>
          <w:rtl/>
        </w:rPr>
        <w:t xml:space="preserve"> </w:t>
      </w:r>
      <w:r w:rsidR="00C75CAD" w:rsidRPr="00FF7A41">
        <w:rPr>
          <w:rFonts w:ascii="Simplified Arabic" w:hAnsi="Simplified Arabic" w:cs="Simplified Arabic" w:hint="cs"/>
          <w:color w:val="000000"/>
          <w:sz w:val="24"/>
          <w:szCs w:val="24"/>
          <w:rtl/>
        </w:rPr>
        <w:t>المفتوحة</w:t>
      </w:r>
      <w:r w:rsidRPr="00FF7A41">
        <w:rPr>
          <w:rFonts w:ascii="Simplified Arabic" w:hAnsi="Simplified Arabic" w:cs="Simplified Arabic" w:hint="cs"/>
          <w:color w:val="000000"/>
          <w:sz w:val="24"/>
          <w:szCs w:val="24"/>
          <w:rtl/>
        </w:rPr>
        <w:t>،</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يجيب</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المستجيبون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وفقًا</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لتصوراتهم،</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بينما</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في</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الأسئلة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المغلقة،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سيختار</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المشاركون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إجابة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من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الخيارات</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المتاحة</w:t>
      </w:r>
      <w:r w:rsidRPr="00FF7A41">
        <w:rPr>
          <w:rFonts w:ascii="Simplified Arabic" w:hAnsi="Simplified Arabic" w:cs="Simplified Arabic"/>
          <w:color w:val="000000"/>
          <w:sz w:val="24"/>
          <w:szCs w:val="24"/>
          <w:rtl/>
        </w:rPr>
        <w:t>.</w:t>
      </w:r>
      <w:r w:rsidRPr="00B651AA">
        <w:rPr>
          <w:rFonts w:ascii="Simplified Arabic" w:hAnsi="Simplified Arabic" w:cs="Simplified Arabic"/>
          <w:color w:val="000000"/>
          <w:sz w:val="24"/>
          <w:szCs w:val="24"/>
          <w:rtl/>
        </w:rPr>
        <w:t xml:space="preserve"> استخدم البحث الحالي النوع </w:t>
      </w:r>
      <w:r w:rsidR="00C75CAD">
        <w:rPr>
          <w:rFonts w:ascii="Simplified Arabic" w:hAnsi="Simplified Arabic" w:cs="Simplified Arabic" w:hint="cs"/>
          <w:color w:val="000000"/>
          <w:sz w:val="24"/>
          <w:szCs w:val="24"/>
          <w:rtl/>
        </w:rPr>
        <w:t xml:space="preserve">الثاني </w:t>
      </w:r>
      <w:r w:rsidRPr="00B651AA">
        <w:rPr>
          <w:rFonts w:ascii="Simplified Arabic" w:hAnsi="Simplified Arabic" w:cs="Simplified Arabic"/>
          <w:color w:val="000000"/>
          <w:sz w:val="24"/>
          <w:szCs w:val="24"/>
          <w:rtl/>
        </w:rPr>
        <w:t>من الاسئلة في الاستبيان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من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أكثر</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الأدوات</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شيوعًا</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لقياس</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التصورات</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العامة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مقياس</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 xml:space="preserve">ليكرت </w:t>
      </w:r>
      <w:r w:rsidRPr="00FF7A41">
        <w:rPr>
          <w:rFonts w:asciiTheme="majorBidi" w:hAnsiTheme="majorBidi" w:cstheme="majorBidi"/>
          <w:color w:val="000000"/>
          <w:sz w:val="24"/>
          <w:szCs w:val="24"/>
          <w:rtl/>
        </w:rPr>
        <w:t>(</w:t>
      </w:r>
      <w:r w:rsidRPr="00FF7A41">
        <w:rPr>
          <w:rFonts w:asciiTheme="majorBidi" w:hAnsiTheme="majorBidi" w:cstheme="majorBidi"/>
          <w:color w:val="000000"/>
          <w:sz w:val="24"/>
          <w:szCs w:val="24"/>
        </w:rPr>
        <w:t>Likert</w:t>
      </w:r>
      <w:r w:rsidRPr="00FF7A41">
        <w:rPr>
          <w:rFonts w:asciiTheme="majorBidi" w:hAnsiTheme="majorBidi" w:cstheme="majorBidi"/>
          <w:color w:val="000000"/>
          <w:sz w:val="24"/>
          <w:szCs w:val="24"/>
          <w:rtl/>
        </w:rPr>
        <w:t>)</w:t>
      </w:r>
      <w:r w:rsidRPr="00FF7A41">
        <w:rPr>
          <w:rFonts w:ascii="Simplified Arabic" w:hAnsi="Simplified Arabic" w:cs="Simplified Arabic" w:hint="cs"/>
          <w:color w:val="000000"/>
          <w:sz w:val="24"/>
          <w:szCs w:val="24"/>
          <w:rtl/>
        </w:rPr>
        <w:t>،</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الذي</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طوره</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الدكتور</w:t>
      </w:r>
      <w:r w:rsidRPr="00FF7A41">
        <w:rPr>
          <w:rFonts w:ascii="Simplified Arabic" w:hAnsi="Simplified Arabic" w:cs="Simplified Arabic"/>
          <w:color w:val="000000"/>
          <w:sz w:val="24"/>
          <w:szCs w:val="24"/>
          <w:rtl/>
        </w:rPr>
        <w:t xml:space="preserve"> </w:t>
      </w:r>
      <w:r w:rsidRPr="00FF7A41">
        <w:rPr>
          <w:rFonts w:asciiTheme="majorBidi" w:hAnsiTheme="majorBidi" w:cstheme="majorBidi"/>
          <w:color w:val="000000"/>
          <w:sz w:val="24"/>
          <w:szCs w:val="24"/>
        </w:rPr>
        <w:t>(D</w:t>
      </w:r>
      <w:r w:rsidRPr="00FF7A41">
        <w:rPr>
          <w:rFonts w:asciiTheme="majorBidi" w:hAnsiTheme="majorBidi" w:cstheme="majorBidi"/>
          <w:color w:val="000000"/>
          <w:sz w:val="24"/>
          <w:szCs w:val="24"/>
          <w:vertAlign w:val="superscript"/>
        </w:rPr>
        <w:t>r</w:t>
      </w:r>
      <w:r w:rsidRPr="00FF7A41">
        <w:rPr>
          <w:rFonts w:asciiTheme="majorBidi" w:hAnsiTheme="majorBidi" w:cstheme="majorBidi"/>
          <w:color w:val="000000"/>
          <w:sz w:val="24"/>
          <w:szCs w:val="24"/>
        </w:rPr>
        <w:t xml:space="preserve"> Rensis Likert)</w:t>
      </w:r>
      <w:r w:rsidRPr="00FF7A41">
        <w:rPr>
          <w:rFonts w:hint="cs"/>
          <w:rtl/>
        </w:rPr>
        <w:t xml:space="preserve"> </w:t>
      </w:r>
      <w:r w:rsidR="0019602E">
        <w:rPr>
          <w:rFonts w:hint="cs"/>
          <w:rtl/>
        </w:rPr>
        <w:t xml:space="preserve"> </w:t>
      </w:r>
      <w:r w:rsidRPr="00FF7A41">
        <w:rPr>
          <w:rFonts w:ascii="Simplified Arabic" w:hAnsi="Simplified Arabic" w:cs="Simplified Arabic" w:hint="cs"/>
          <w:color w:val="000000"/>
          <w:sz w:val="24"/>
          <w:szCs w:val="24"/>
          <w:rtl/>
        </w:rPr>
        <w:t>من</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جامعة</w:t>
      </w:r>
      <w:r w:rsidRPr="00FF7A41">
        <w:rPr>
          <w:rFonts w:ascii="Simplified Arabic" w:hAnsi="Simplified Arabic" w:cs="Simplified Arabic"/>
          <w:color w:val="000000"/>
          <w:sz w:val="24"/>
          <w:szCs w:val="24"/>
          <w:rtl/>
        </w:rPr>
        <w:t xml:space="preserve"> </w:t>
      </w:r>
      <w:r w:rsidRPr="00FF7A41">
        <w:rPr>
          <w:rFonts w:ascii="Simplified Arabic" w:hAnsi="Simplified Arabic" w:cs="Simplified Arabic" w:hint="cs"/>
          <w:color w:val="000000"/>
          <w:sz w:val="24"/>
          <w:szCs w:val="24"/>
          <w:rtl/>
        </w:rPr>
        <w:t>ميشيغان</w:t>
      </w:r>
      <w:r w:rsidRPr="00FF7A41">
        <w:rPr>
          <w:rFonts w:ascii="Simplified Arabic" w:hAnsi="Simplified Arabic" w:cs="Simplified Arabic"/>
          <w:color w:val="000000"/>
          <w:sz w:val="24"/>
          <w:szCs w:val="24"/>
          <w:rtl/>
        </w:rPr>
        <w:t>.</w:t>
      </w:r>
      <w:r w:rsidRPr="00FF7A41">
        <w:rPr>
          <w:rFonts w:asciiTheme="minorBidi" w:hAnsiTheme="minorBidi" w:cs="Arial"/>
          <w:sz w:val="28"/>
          <w:szCs w:val="28"/>
          <w:rtl/>
        </w:rPr>
        <w:t xml:space="preserve"> </w:t>
      </w:r>
      <w:r w:rsidRPr="00FF7A41">
        <w:rPr>
          <w:rFonts w:ascii="Simplified Arabic" w:hAnsi="Simplified Arabic" w:cs="Simplified Arabic" w:hint="cs"/>
          <w:color w:val="000000"/>
          <w:sz w:val="24"/>
          <w:szCs w:val="24"/>
          <w:rtl/>
        </w:rPr>
        <w:t>في</w:t>
      </w:r>
      <w:r w:rsidRPr="00FF7A41">
        <w:rPr>
          <w:rFonts w:ascii="Simplified Arabic" w:hAnsi="Simplified Arabic" w:cs="Simplified Arabic"/>
          <w:color w:val="000000"/>
          <w:sz w:val="24"/>
          <w:szCs w:val="24"/>
          <w:rtl/>
        </w:rPr>
        <w:t xml:space="preserve"> </w:t>
      </w:r>
      <w:r w:rsidR="00C75CAD">
        <w:rPr>
          <w:rFonts w:ascii="Simplified Arabic" w:hAnsi="Simplified Arabic" w:cs="Simplified Arabic" w:hint="cs"/>
          <w:color w:val="000000"/>
          <w:sz w:val="24"/>
          <w:szCs w:val="24"/>
          <w:rtl/>
        </w:rPr>
        <w:t>السؤال الاخير من الاستبيان</w:t>
      </w:r>
      <w:r w:rsidRPr="00BB3C94">
        <w:rPr>
          <w:rFonts w:ascii="Simplified Arabic" w:hAnsi="Simplified Arabic" w:cs="Simplified Arabic" w:hint="cs"/>
          <w:color w:val="000000"/>
          <w:sz w:val="24"/>
          <w:szCs w:val="24"/>
          <w:rtl/>
        </w:rPr>
        <w:t>،</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طُلب</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من</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المشاركين</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تقييم</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تصوراتهم</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على</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مقياس</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من</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نوع</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ليكرت</w:t>
      </w:r>
      <w:r>
        <w:rPr>
          <w:rFonts w:ascii="Simplified Arabic" w:hAnsi="Simplified Arabic" w:cs="Simplified Arabic" w:hint="cs"/>
          <w:color w:val="000000"/>
          <w:sz w:val="24"/>
          <w:szCs w:val="24"/>
          <w:rtl/>
        </w:rPr>
        <w:t xml:space="preserve"> </w:t>
      </w:r>
      <w:r w:rsidRPr="0098147B">
        <w:rPr>
          <w:rFonts w:asciiTheme="majorBidi" w:hAnsiTheme="majorBidi" w:cstheme="majorBidi"/>
          <w:color w:val="000000"/>
          <w:sz w:val="24"/>
          <w:szCs w:val="24"/>
          <w:rtl/>
        </w:rPr>
        <w:t>(</w:t>
      </w:r>
      <w:r w:rsidRPr="0098147B">
        <w:rPr>
          <w:rFonts w:asciiTheme="majorBidi" w:hAnsiTheme="majorBidi" w:cstheme="majorBidi"/>
          <w:color w:val="000000"/>
          <w:sz w:val="24"/>
          <w:szCs w:val="24"/>
        </w:rPr>
        <w:t>Likert</w:t>
      </w:r>
      <w:r w:rsidRPr="0098147B">
        <w:rPr>
          <w:rFonts w:asciiTheme="majorBidi" w:hAnsiTheme="majorBidi" w:cstheme="majorBidi"/>
          <w:color w:val="000000"/>
          <w:sz w:val="24"/>
          <w:szCs w:val="24"/>
          <w:rtl/>
        </w:rPr>
        <w:t>)</w:t>
      </w:r>
      <w:r w:rsidRPr="00BB3C94">
        <w:rPr>
          <w:rFonts w:ascii="Simplified Arabic" w:hAnsi="Simplified Arabic" w:cs="Simplified Arabic" w:hint="cs"/>
          <w:color w:val="000000"/>
          <w:sz w:val="24"/>
          <w:szCs w:val="24"/>
          <w:rtl/>
        </w:rPr>
        <w:t>،</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يتراوح</w:t>
      </w:r>
      <w:r w:rsidRPr="00BB3C94">
        <w:rPr>
          <w:rFonts w:ascii="Simplified Arabic" w:hAnsi="Simplified Arabic" w:cs="Simplified Arabic"/>
          <w:color w:val="000000"/>
          <w:sz w:val="24"/>
          <w:szCs w:val="24"/>
          <w:rtl/>
        </w:rPr>
        <w:t xml:space="preserve"> </w:t>
      </w:r>
      <w:r w:rsidRPr="00BB3C94">
        <w:rPr>
          <w:rFonts w:ascii="Simplified Arabic" w:hAnsi="Simplified Arabic" w:cs="Simplified Arabic" w:hint="cs"/>
          <w:color w:val="000000"/>
          <w:sz w:val="24"/>
          <w:szCs w:val="24"/>
          <w:rtl/>
        </w:rPr>
        <w:t>من</w:t>
      </w:r>
      <w:r w:rsidRPr="00BB3C94">
        <w:rPr>
          <w:rFonts w:ascii="Simplified Arabic" w:hAnsi="Simplified Arabic" w:cs="Simplified Arabic"/>
          <w:color w:val="000000"/>
          <w:sz w:val="24"/>
          <w:szCs w:val="24"/>
          <w:rtl/>
        </w:rPr>
        <w:t xml:space="preserve"> 1 </w:t>
      </w:r>
      <w:r w:rsidRPr="00BB3C94">
        <w:rPr>
          <w:rFonts w:ascii="Simplified Arabic" w:hAnsi="Simplified Arabic" w:cs="Simplified Arabic" w:hint="cs"/>
          <w:color w:val="000000"/>
          <w:sz w:val="24"/>
          <w:szCs w:val="24"/>
          <w:rtl/>
        </w:rPr>
        <w:t>إلى</w:t>
      </w:r>
      <w:r w:rsidRPr="00BB3C94">
        <w:rPr>
          <w:rFonts w:ascii="Simplified Arabic" w:hAnsi="Simplified Arabic" w:cs="Simplified Arabic"/>
          <w:color w:val="000000"/>
          <w:sz w:val="24"/>
          <w:szCs w:val="24"/>
          <w:rtl/>
        </w:rPr>
        <w:t xml:space="preserve"> 5.</w:t>
      </w:r>
    </w:p>
    <w:p w:rsidR="00C97FA4" w:rsidRPr="002D2237" w:rsidRDefault="00C97FA4" w:rsidP="001D0548">
      <w:pPr>
        <w:pStyle w:val="Default"/>
        <w:numPr>
          <w:ilvl w:val="3"/>
          <w:numId w:val="150"/>
        </w:numPr>
        <w:tabs>
          <w:tab w:val="right" w:pos="992"/>
        </w:tabs>
        <w:bidi/>
        <w:spacing w:before="240"/>
        <w:ind w:left="0" w:firstLine="0"/>
        <w:jc w:val="both"/>
        <w:outlineLvl w:val="2"/>
        <w:rPr>
          <w:rFonts w:ascii="Simplified Arabic" w:hAnsi="Simplified Arabic" w:cs="Simplified Arabic"/>
          <w:b/>
          <w:bCs/>
        </w:rPr>
      </w:pPr>
      <w:bookmarkStart w:id="470" w:name="_Toc171803560"/>
      <w:r w:rsidRPr="002D2237">
        <w:rPr>
          <w:rFonts w:ascii="Simplified Arabic" w:hAnsi="Simplified Arabic" w:cs="Simplified Arabic" w:hint="cs"/>
          <w:b/>
          <w:bCs/>
          <w:rtl/>
        </w:rPr>
        <w:t>إجراء</w:t>
      </w:r>
      <w:r w:rsidRPr="002D2237">
        <w:rPr>
          <w:rFonts w:ascii="Simplified Arabic" w:hAnsi="Simplified Arabic" w:cs="Simplified Arabic"/>
          <w:b/>
          <w:bCs/>
          <w:rtl/>
        </w:rPr>
        <w:t xml:space="preserve"> </w:t>
      </w:r>
      <w:r w:rsidRPr="002D2237">
        <w:rPr>
          <w:rFonts w:ascii="Simplified Arabic" w:hAnsi="Simplified Arabic" w:cs="Simplified Arabic" w:hint="cs"/>
          <w:b/>
          <w:bCs/>
          <w:rtl/>
        </w:rPr>
        <w:t>الاستبيان</w:t>
      </w:r>
      <w:bookmarkEnd w:id="470"/>
    </w:p>
    <w:p w:rsidR="00C97FA4" w:rsidRDefault="00C97FA4" w:rsidP="00CF3711">
      <w:pPr>
        <w:bidi/>
        <w:spacing w:after="0"/>
        <w:ind w:firstLine="282"/>
        <w:jc w:val="both"/>
        <w:rPr>
          <w:rFonts w:ascii="Simplified Arabic" w:hAnsi="Simplified Arabic" w:cs="Simplified Arabic"/>
          <w:sz w:val="24"/>
          <w:szCs w:val="24"/>
          <w:rtl/>
        </w:rPr>
      </w:pPr>
      <w:r>
        <w:rPr>
          <w:rFonts w:ascii="Simplified Arabic" w:hAnsi="Simplified Arabic" w:cs="Simplified Arabic" w:hint="cs"/>
          <w:color w:val="000000"/>
          <w:sz w:val="24"/>
          <w:szCs w:val="24"/>
          <w:rtl/>
        </w:rPr>
        <w:t>ي</w:t>
      </w:r>
      <w:r w:rsidRPr="00A4177C">
        <w:rPr>
          <w:rFonts w:ascii="Simplified Arabic" w:hAnsi="Simplified Arabic" w:cs="Simplified Arabic" w:hint="cs"/>
          <w:color w:val="000000"/>
          <w:sz w:val="24"/>
          <w:szCs w:val="24"/>
          <w:rtl/>
        </w:rPr>
        <w:t>تم</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استخدام</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تقنية</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التوزيع</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عبر</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الإنترنت</w:t>
      </w:r>
      <w:r>
        <w:rPr>
          <w:rFonts w:ascii="Simplified Arabic" w:hAnsi="Simplified Arabic" w:cs="Simplified Arabic" w:hint="cs"/>
          <w:color w:val="000000"/>
          <w:sz w:val="24"/>
          <w:szCs w:val="24"/>
          <w:rtl/>
        </w:rPr>
        <w:t xml:space="preserve"> من خلال رابط تجاه الشبكات الاجتماعية مثل </w:t>
      </w:r>
      <w:r w:rsidRPr="001B539E">
        <w:rPr>
          <w:rFonts w:ascii="Simplified Arabic" w:hAnsi="Simplified Arabic" w:cs="Simplified Arabic" w:hint="cs"/>
          <w:color w:val="000000"/>
          <w:sz w:val="24"/>
          <w:szCs w:val="24"/>
          <w:rtl/>
        </w:rPr>
        <w:t>الفيسبوك</w:t>
      </w:r>
      <w:r>
        <w:rPr>
          <w:rFonts w:ascii="Simplified Arabic" w:hAnsi="Simplified Arabic" w:cs="Simplified Arabic" w:hint="cs"/>
          <w:color w:val="000000"/>
          <w:sz w:val="24"/>
          <w:szCs w:val="24"/>
          <w:rtl/>
        </w:rPr>
        <w:t xml:space="preserve"> </w:t>
      </w:r>
      <w:r w:rsidRPr="001B539E">
        <w:rPr>
          <w:rFonts w:asciiTheme="majorBidi" w:hAnsiTheme="majorBidi" w:cstheme="majorBidi"/>
          <w:sz w:val="24"/>
          <w:szCs w:val="24"/>
        </w:rPr>
        <w:t>«Facebook »</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إنها</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طريقة</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سريعة</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مقارنة</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باستخدام</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المسح</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اليدوي،</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فضلاً</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عن</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كونها</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أقل</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تكلفة</w:t>
      </w:r>
      <w:r w:rsidRPr="00256DB8">
        <w:rPr>
          <w:rFonts w:asciiTheme="minorBidi" w:hAnsiTheme="minorBidi" w:cs="Arial"/>
          <w:sz w:val="28"/>
          <w:szCs w:val="28"/>
          <w:rtl/>
        </w:rPr>
        <w:t xml:space="preserve"> </w:t>
      </w:r>
      <w:r w:rsidRPr="00A4177C">
        <w:rPr>
          <w:rFonts w:asciiTheme="majorBidi" w:hAnsiTheme="majorBidi" w:cstheme="majorBidi"/>
          <w:sz w:val="24"/>
          <w:szCs w:val="24"/>
          <w:rtl/>
        </w:rPr>
        <w:t>(</w:t>
      </w:r>
      <w:r w:rsidRPr="00C75CAD">
        <w:rPr>
          <w:rFonts w:asciiTheme="majorBidi" w:hAnsiTheme="majorBidi" w:cstheme="majorBidi"/>
          <w:sz w:val="24"/>
          <w:szCs w:val="24"/>
        </w:rPr>
        <w:t>Huang</w:t>
      </w:r>
      <w:r w:rsidRPr="00A4177C">
        <w:rPr>
          <w:rFonts w:asciiTheme="majorBidi" w:hAnsiTheme="majorBidi" w:cstheme="majorBidi"/>
          <w:sz w:val="24"/>
          <w:szCs w:val="24"/>
        </w:rPr>
        <w:t>, 2006</w:t>
      </w:r>
      <w:r w:rsidRPr="00A4177C">
        <w:rPr>
          <w:rFonts w:asciiTheme="majorBidi" w:hAnsiTheme="majorBidi" w:cstheme="majorBidi"/>
          <w:sz w:val="24"/>
          <w:szCs w:val="24"/>
          <w:rtl/>
        </w:rPr>
        <w:t>)</w:t>
      </w:r>
      <w:r w:rsidRPr="00A4177C">
        <w:rPr>
          <w:rFonts w:ascii="Simplified Arabic" w:hAnsi="Simplified Arabic" w:cs="Simplified Arabic" w:hint="cs"/>
          <w:color w:val="000000"/>
          <w:sz w:val="24"/>
          <w:szCs w:val="24"/>
          <w:rtl/>
        </w:rPr>
        <w:t>،</w:t>
      </w:r>
      <w:r w:rsidRPr="00256DB8">
        <w:rPr>
          <w:rFonts w:asciiTheme="minorBidi" w:hAnsiTheme="minorBidi" w:cs="Arial"/>
          <w:sz w:val="28"/>
          <w:szCs w:val="28"/>
          <w:rtl/>
        </w:rPr>
        <w:t xml:space="preserve"> </w:t>
      </w:r>
      <w:r w:rsidRPr="00A4177C">
        <w:rPr>
          <w:rFonts w:ascii="Simplified Arabic" w:hAnsi="Simplified Arabic" w:cs="Simplified Arabic" w:hint="cs"/>
          <w:color w:val="000000"/>
          <w:sz w:val="24"/>
          <w:szCs w:val="24"/>
          <w:rtl/>
        </w:rPr>
        <w:t>خاصةً</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عندما</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تحتاج</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إلى</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توزيعها</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على</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مناطق</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متعددة</w:t>
      </w:r>
      <w:r w:rsidRPr="00A4177C">
        <w:rPr>
          <w:rFonts w:ascii="Simplified Arabic" w:hAnsi="Simplified Arabic" w:cs="Simplified Arabic"/>
          <w:color w:val="000000"/>
          <w:sz w:val="24"/>
          <w:szCs w:val="24"/>
          <w:rtl/>
        </w:rPr>
        <w:t>.</w:t>
      </w:r>
      <w:r w:rsidRPr="001B539E">
        <w:rPr>
          <w:rFonts w:ascii="Simplified Arabic" w:hAnsi="Simplified Arabic" w:cs="Simplified Arabic"/>
          <w:sz w:val="24"/>
          <w:szCs w:val="24"/>
          <w:rtl/>
        </w:rPr>
        <w:t xml:space="preserve"> </w:t>
      </w:r>
    </w:p>
    <w:p w:rsidR="00C97FA4" w:rsidRPr="00A4177C" w:rsidRDefault="00C97FA4" w:rsidP="00C75CAD">
      <w:pPr>
        <w:bidi/>
        <w:spacing w:after="0"/>
        <w:ind w:firstLine="282"/>
        <w:jc w:val="both"/>
        <w:rPr>
          <w:rFonts w:ascii="Simplified Arabic" w:hAnsi="Simplified Arabic" w:cs="Simplified Arabic"/>
          <w:color w:val="000000"/>
          <w:sz w:val="24"/>
          <w:szCs w:val="24"/>
        </w:rPr>
      </w:pPr>
      <w:r w:rsidRPr="001B539E">
        <w:rPr>
          <w:rFonts w:ascii="Simplified Arabic" w:hAnsi="Simplified Arabic" w:cs="Simplified Arabic"/>
          <w:sz w:val="24"/>
          <w:szCs w:val="24"/>
          <w:rtl/>
        </w:rPr>
        <w:t>ي</w:t>
      </w:r>
      <w:r w:rsidRPr="001B539E">
        <w:rPr>
          <w:rFonts w:ascii="Simplified Arabic" w:hAnsi="Simplified Arabic" w:cs="Simplified Arabic"/>
          <w:color w:val="000000"/>
          <w:sz w:val="24"/>
          <w:szCs w:val="24"/>
          <w:rtl/>
        </w:rPr>
        <w:t xml:space="preserve">تم </w:t>
      </w:r>
      <w:r w:rsidRPr="00A4177C">
        <w:rPr>
          <w:rFonts w:ascii="Simplified Arabic" w:hAnsi="Simplified Arabic" w:cs="Simplified Arabic" w:hint="cs"/>
          <w:color w:val="000000"/>
          <w:sz w:val="24"/>
          <w:szCs w:val="24"/>
          <w:rtl/>
        </w:rPr>
        <w:t>إجراء</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الاستبيان</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عبر</w:t>
      </w:r>
      <w:r w:rsidRPr="00256DB8">
        <w:rPr>
          <w:rFonts w:asciiTheme="minorBidi" w:hAnsiTheme="minorBidi" w:cs="Arial"/>
          <w:sz w:val="28"/>
          <w:szCs w:val="28"/>
          <w:rtl/>
        </w:rPr>
        <w:t xml:space="preserve"> </w:t>
      </w:r>
      <w:r w:rsidRPr="001B539E">
        <w:rPr>
          <w:rFonts w:asciiTheme="majorBidi" w:hAnsiTheme="majorBidi" w:cstheme="majorBidi"/>
          <w:sz w:val="24"/>
          <w:szCs w:val="24"/>
          <w:rtl/>
        </w:rPr>
        <w:t>"</w:t>
      </w:r>
      <w:r w:rsidRPr="001B539E">
        <w:rPr>
          <w:rFonts w:asciiTheme="majorBidi" w:hAnsiTheme="majorBidi" w:cstheme="majorBidi"/>
          <w:sz w:val="24"/>
          <w:szCs w:val="24"/>
        </w:rPr>
        <w:t>SurveyMonkey</w:t>
      </w:r>
      <w:r w:rsidRPr="001B539E">
        <w:rPr>
          <w:rFonts w:asciiTheme="majorBidi" w:hAnsiTheme="majorBidi" w:cstheme="majorBidi"/>
          <w:sz w:val="24"/>
          <w:szCs w:val="24"/>
          <w:rtl/>
        </w:rPr>
        <w:t>"</w:t>
      </w:r>
      <w:r>
        <w:rPr>
          <w:rFonts w:asciiTheme="majorBidi" w:hAnsiTheme="majorBidi" w:cstheme="majorBidi" w:hint="cs"/>
          <w:sz w:val="24"/>
          <w:szCs w:val="24"/>
          <w:rtl/>
        </w:rPr>
        <w:t xml:space="preserve"> من خلال تطبيقية "</w:t>
      </w:r>
      <w:r w:rsidRPr="001B539E">
        <w:rPr>
          <w:rFonts w:asciiTheme="majorBidi" w:hAnsiTheme="majorBidi" w:cstheme="majorBidi"/>
          <w:sz w:val="24"/>
          <w:szCs w:val="24"/>
        </w:rPr>
        <w:t xml:space="preserve">Google formes </w:t>
      </w:r>
      <w:r>
        <w:rPr>
          <w:rFonts w:asciiTheme="majorBidi" w:hAnsiTheme="majorBidi" w:cstheme="majorBidi" w:hint="cs"/>
          <w:sz w:val="24"/>
          <w:szCs w:val="24"/>
          <w:rtl/>
        </w:rPr>
        <w:t>"</w:t>
      </w:r>
      <w:r w:rsidRPr="001B539E">
        <w:rPr>
          <w:rFonts w:ascii="Simplified Arabic" w:hAnsi="Simplified Arabic" w:cs="Simplified Arabic"/>
          <w:sz w:val="24"/>
          <w:szCs w:val="24"/>
          <w:rtl/>
        </w:rPr>
        <w:t>.</w:t>
      </w:r>
      <w:r w:rsidRPr="001B539E">
        <w:rPr>
          <w:rFonts w:ascii="Simplified Arabic" w:hAnsi="Simplified Arabic" w:cs="Simplified Arabic"/>
          <w:sz w:val="28"/>
          <w:szCs w:val="28"/>
          <w:rtl/>
        </w:rPr>
        <w:t xml:space="preserve"> </w:t>
      </w:r>
      <w:r w:rsidRPr="00A4177C">
        <w:rPr>
          <w:rFonts w:ascii="Simplified Arabic" w:hAnsi="Simplified Arabic" w:cs="Simplified Arabic" w:hint="cs"/>
          <w:color w:val="000000"/>
          <w:sz w:val="24"/>
          <w:szCs w:val="24"/>
          <w:rtl/>
        </w:rPr>
        <w:t>تسهل</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أداة</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الويب</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هذه</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التوزيع</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الواسع</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للاستبيانات</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وت</w:t>
      </w:r>
      <w:r>
        <w:rPr>
          <w:rFonts w:ascii="Simplified Arabic" w:hAnsi="Simplified Arabic" w:cs="Simplified Arabic" w:hint="cs"/>
          <w:color w:val="000000"/>
          <w:sz w:val="24"/>
          <w:szCs w:val="24"/>
          <w:rtl/>
        </w:rPr>
        <w:t>ُ</w:t>
      </w:r>
      <w:r w:rsidRPr="00A4177C">
        <w:rPr>
          <w:rFonts w:ascii="Simplified Arabic" w:hAnsi="Simplified Arabic" w:cs="Simplified Arabic" w:hint="cs"/>
          <w:color w:val="000000"/>
          <w:sz w:val="24"/>
          <w:szCs w:val="24"/>
          <w:rtl/>
        </w:rPr>
        <w:t>مك</w:t>
      </w:r>
      <w:r>
        <w:rPr>
          <w:rFonts w:ascii="Simplified Arabic" w:hAnsi="Simplified Arabic" w:cs="Simplified Arabic" w:hint="cs"/>
          <w:color w:val="000000"/>
          <w:sz w:val="24"/>
          <w:szCs w:val="24"/>
          <w:rtl/>
        </w:rPr>
        <w:t>ّ</w:t>
      </w:r>
      <w:r w:rsidRPr="00A4177C">
        <w:rPr>
          <w:rFonts w:ascii="Simplified Arabic" w:hAnsi="Simplified Arabic" w:cs="Simplified Arabic" w:hint="cs"/>
          <w:color w:val="000000"/>
          <w:sz w:val="24"/>
          <w:szCs w:val="24"/>
          <w:rtl/>
        </w:rPr>
        <w:t>ن</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الباحث</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من</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مراقبة</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الردود</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والبدء</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في</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تحليل</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أولي</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للبيانات</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في</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وقت</w:t>
      </w:r>
      <w:r w:rsidRPr="00A4177C">
        <w:rPr>
          <w:rFonts w:ascii="Simplified Arabic" w:hAnsi="Simplified Arabic" w:cs="Simplified Arabic"/>
          <w:color w:val="000000"/>
          <w:sz w:val="24"/>
          <w:szCs w:val="24"/>
          <w:rtl/>
        </w:rPr>
        <w:t xml:space="preserve"> </w:t>
      </w:r>
      <w:r w:rsidRPr="00A4177C">
        <w:rPr>
          <w:rFonts w:ascii="Simplified Arabic" w:hAnsi="Simplified Arabic" w:cs="Simplified Arabic" w:hint="cs"/>
          <w:color w:val="000000"/>
          <w:sz w:val="24"/>
          <w:szCs w:val="24"/>
          <w:rtl/>
        </w:rPr>
        <w:t>قصير</w:t>
      </w:r>
      <w:r w:rsidRPr="00A4177C">
        <w:rPr>
          <w:rFonts w:ascii="Simplified Arabic" w:hAnsi="Simplified Arabic" w:cs="Simplified Arabic"/>
          <w:color w:val="000000"/>
          <w:sz w:val="24"/>
          <w:szCs w:val="24"/>
          <w:rtl/>
        </w:rPr>
        <w:t>.</w:t>
      </w:r>
    </w:p>
    <w:p w:rsidR="00C97FA4" w:rsidRPr="007E27BC" w:rsidRDefault="00C97FA4" w:rsidP="001D0548">
      <w:pPr>
        <w:pStyle w:val="Default"/>
        <w:numPr>
          <w:ilvl w:val="3"/>
          <w:numId w:val="151"/>
        </w:numPr>
        <w:tabs>
          <w:tab w:val="right" w:pos="992"/>
        </w:tabs>
        <w:bidi/>
        <w:spacing w:before="240"/>
        <w:ind w:left="0" w:firstLine="0"/>
        <w:jc w:val="both"/>
        <w:outlineLvl w:val="2"/>
        <w:rPr>
          <w:rFonts w:ascii="Simplified Arabic" w:hAnsi="Simplified Arabic" w:cs="Simplified Arabic"/>
          <w:b/>
          <w:bCs/>
        </w:rPr>
      </w:pPr>
      <w:bookmarkStart w:id="471" w:name="_Toc171803561"/>
      <w:r w:rsidRPr="007E27BC">
        <w:rPr>
          <w:rFonts w:ascii="Simplified Arabic" w:hAnsi="Simplified Arabic" w:cs="Simplified Arabic"/>
          <w:b/>
          <w:bCs/>
          <w:rtl/>
        </w:rPr>
        <w:lastRenderedPageBreak/>
        <w:t>تحليل بيانات</w:t>
      </w:r>
      <w:r>
        <w:rPr>
          <w:rFonts w:ascii="Simplified Arabic" w:hAnsi="Simplified Arabic" w:cs="Simplified Arabic" w:hint="cs"/>
          <w:b/>
          <w:bCs/>
          <w:rtl/>
        </w:rPr>
        <w:t xml:space="preserve"> الاستبيان</w:t>
      </w:r>
      <w:bookmarkEnd w:id="471"/>
    </w:p>
    <w:p w:rsidR="00C97FA4" w:rsidRPr="00A4177C" w:rsidRDefault="00C97FA4" w:rsidP="00C97FA4">
      <w:pPr>
        <w:bidi/>
        <w:spacing w:after="0"/>
        <w:jc w:val="both"/>
        <w:rPr>
          <w:rFonts w:ascii="Simplified Arabic" w:hAnsi="Simplified Arabic" w:cs="Simplified Arabic"/>
          <w:color w:val="000000"/>
          <w:sz w:val="24"/>
          <w:szCs w:val="24"/>
          <w:rtl/>
        </w:rPr>
      </w:pPr>
      <w:r w:rsidRPr="001C7E22">
        <w:rPr>
          <w:rFonts w:ascii="Simplified Arabic" w:hAnsi="Simplified Arabic" w:cs="Simplified Arabic" w:hint="cs"/>
          <w:color w:val="000000" w:themeColor="text1"/>
          <w:sz w:val="24"/>
          <w:szCs w:val="24"/>
          <w:rtl/>
          <w:lang w:bidi="ar-DZ"/>
        </w:rPr>
        <w:t>تم</w:t>
      </w:r>
      <w:r w:rsidRPr="001C7E22">
        <w:rPr>
          <w:rFonts w:ascii="Simplified Arabic" w:hAnsi="Simplified Arabic" w:cs="Simplified Arabic"/>
          <w:color w:val="000000" w:themeColor="text1"/>
          <w:sz w:val="24"/>
          <w:szCs w:val="24"/>
          <w:rtl/>
          <w:lang w:bidi="ar-DZ"/>
        </w:rPr>
        <w:t xml:space="preserve"> </w:t>
      </w:r>
      <w:r w:rsidRPr="001C7E22">
        <w:rPr>
          <w:rFonts w:ascii="Simplified Arabic" w:hAnsi="Simplified Arabic" w:cs="Simplified Arabic" w:hint="cs"/>
          <w:color w:val="000000" w:themeColor="text1"/>
          <w:sz w:val="24"/>
          <w:szCs w:val="24"/>
          <w:rtl/>
          <w:lang w:bidi="ar-DZ"/>
        </w:rPr>
        <w:t>استخدام</w:t>
      </w:r>
      <w:r w:rsidRPr="001C7E22">
        <w:rPr>
          <w:rFonts w:ascii="Simplified Arabic" w:hAnsi="Simplified Arabic" w:cs="Simplified Arabic"/>
          <w:color w:val="000000" w:themeColor="text1"/>
          <w:sz w:val="24"/>
          <w:szCs w:val="24"/>
          <w:rtl/>
          <w:lang w:bidi="ar-DZ"/>
        </w:rPr>
        <w:t xml:space="preserve"> </w:t>
      </w:r>
      <w:r w:rsidRPr="001C7E22">
        <w:rPr>
          <w:rFonts w:ascii="Simplified Arabic" w:hAnsi="Simplified Arabic" w:cs="Simplified Arabic" w:hint="cs"/>
          <w:color w:val="000000" w:themeColor="text1"/>
          <w:sz w:val="24"/>
          <w:szCs w:val="24"/>
          <w:rtl/>
          <w:lang w:bidi="ar-DZ"/>
        </w:rPr>
        <w:t>الوظيفة</w:t>
      </w:r>
      <w:r w:rsidRPr="001C7E22">
        <w:rPr>
          <w:rFonts w:ascii="Simplified Arabic" w:hAnsi="Simplified Arabic" w:cs="Simplified Arabic"/>
          <w:color w:val="000000" w:themeColor="text1"/>
          <w:sz w:val="24"/>
          <w:szCs w:val="24"/>
          <w:rtl/>
          <w:lang w:bidi="ar-DZ"/>
        </w:rPr>
        <w:t xml:space="preserve"> </w:t>
      </w:r>
      <w:r w:rsidRPr="001C7E22">
        <w:rPr>
          <w:rFonts w:ascii="Simplified Arabic" w:hAnsi="Simplified Arabic" w:cs="Simplified Arabic" w:hint="cs"/>
          <w:color w:val="000000" w:themeColor="text1"/>
          <w:sz w:val="24"/>
          <w:szCs w:val="24"/>
          <w:rtl/>
          <w:lang w:bidi="ar-DZ"/>
        </w:rPr>
        <w:t>التحليلية</w:t>
      </w:r>
      <w:r w:rsidRPr="001C7E22">
        <w:rPr>
          <w:rFonts w:ascii="Simplified Arabic" w:hAnsi="Simplified Arabic" w:cs="Simplified Arabic"/>
          <w:color w:val="000000" w:themeColor="text1"/>
          <w:sz w:val="24"/>
          <w:szCs w:val="24"/>
          <w:rtl/>
          <w:lang w:bidi="ar-DZ"/>
        </w:rPr>
        <w:t xml:space="preserve"> </w:t>
      </w:r>
      <w:r w:rsidRPr="001C7E22">
        <w:rPr>
          <w:rFonts w:ascii="Simplified Arabic" w:hAnsi="Simplified Arabic" w:cs="Simplified Arabic" w:hint="cs"/>
          <w:color w:val="000000" w:themeColor="text1"/>
          <w:sz w:val="24"/>
          <w:szCs w:val="24"/>
          <w:rtl/>
          <w:lang w:bidi="ar-DZ"/>
        </w:rPr>
        <w:t>لبرنامج</w:t>
      </w:r>
      <w:r w:rsidRPr="001C7E22">
        <w:rPr>
          <w:rFonts w:asciiTheme="minorBidi" w:hAnsiTheme="minorBidi" w:cs="Arial"/>
          <w:sz w:val="24"/>
          <w:szCs w:val="24"/>
          <w:rtl/>
          <w:lang w:val="en-US"/>
        </w:rPr>
        <w:t xml:space="preserve"> </w:t>
      </w:r>
      <w:r w:rsidRPr="001C7E22">
        <w:rPr>
          <w:rFonts w:asciiTheme="majorBidi" w:hAnsiTheme="majorBidi" w:cstheme="majorBidi"/>
          <w:sz w:val="24"/>
          <w:szCs w:val="24"/>
          <w:lang w:val="en-US"/>
        </w:rPr>
        <w:t>Excel</w:t>
      </w:r>
      <w:r w:rsidRPr="001C7E22">
        <w:rPr>
          <w:rFonts w:asciiTheme="minorBidi" w:hAnsiTheme="minorBidi" w:cs="Arial"/>
          <w:sz w:val="24"/>
          <w:szCs w:val="24"/>
          <w:lang w:val="en-US"/>
        </w:rPr>
        <w:t xml:space="preserve"> </w:t>
      </w:r>
      <w:r w:rsidRPr="001C7E22">
        <w:rPr>
          <w:rFonts w:asciiTheme="majorBidi" w:hAnsiTheme="majorBidi" w:cstheme="majorBidi"/>
          <w:sz w:val="24"/>
          <w:szCs w:val="24"/>
          <w:lang w:val="en-US"/>
        </w:rPr>
        <w:t>Microsoft</w:t>
      </w:r>
      <w:r w:rsidRPr="001C7E22">
        <w:rPr>
          <w:rFonts w:asciiTheme="minorBidi" w:hAnsiTheme="minorBidi" w:cs="Arial"/>
          <w:sz w:val="24"/>
          <w:szCs w:val="24"/>
          <w:rtl/>
          <w:lang w:val="en-US"/>
        </w:rPr>
        <w:t xml:space="preserve"> </w:t>
      </w:r>
      <w:r w:rsidRPr="001C7E22">
        <w:rPr>
          <w:rFonts w:ascii="Simplified Arabic" w:hAnsi="Simplified Arabic" w:cs="Simplified Arabic" w:hint="cs"/>
          <w:color w:val="000000" w:themeColor="text1"/>
          <w:sz w:val="24"/>
          <w:szCs w:val="24"/>
          <w:rtl/>
          <w:lang w:bidi="ar-DZ"/>
        </w:rPr>
        <w:t>لتحليل</w:t>
      </w:r>
      <w:r w:rsidRPr="001C7E22">
        <w:rPr>
          <w:rFonts w:ascii="Simplified Arabic" w:hAnsi="Simplified Arabic" w:cs="Simplified Arabic"/>
          <w:color w:val="000000" w:themeColor="text1"/>
          <w:sz w:val="24"/>
          <w:szCs w:val="24"/>
          <w:rtl/>
          <w:lang w:bidi="ar-DZ"/>
        </w:rPr>
        <w:t xml:space="preserve"> </w:t>
      </w:r>
      <w:r w:rsidRPr="001C7E22">
        <w:rPr>
          <w:rFonts w:ascii="Simplified Arabic" w:hAnsi="Simplified Arabic" w:cs="Simplified Arabic" w:hint="cs"/>
          <w:color w:val="000000" w:themeColor="text1"/>
          <w:sz w:val="24"/>
          <w:szCs w:val="24"/>
          <w:rtl/>
          <w:lang w:bidi="ar-DZ"/>
        </w:rPr>
        <w:t>بيانات</w:t>
      </w:r>
      <w:r w:rsidRPr="001C7E22">
        <w:rPr>
          <w:rFonts w:ascii="Simplified Arabic" w:hAnsi="Simplified Arabic" w:cs="Simplified Arabic"/>
          <w:color w:val="000000" w:themeColor="text1"/>
          <w:sz w:val="24"/>
          <w:szCs w:val="24"/>
          <w:rtl/>
          <w:lang w:bidi="ar-DZ"/>
        </w:rPr>
        <w:t xml:space="preserve"> </w:t>
      </w:r>
      <w:r w:rsidRPr="001C7E22">
        <w:rPr>
          <w:rFonts w:ascii="Simplified Arabic" w:hAnsi="Simplified Arabic" w:cs="Simplified Arabic" w:hint="cs"/>
          <w:color w:val="000000" w:themeColor="text1"/>
          <w:sz w:val="24"/>
          <w:szCs w:val="24"/>
          <w:rtl/>
          <w:lang w:bidi="ar-DZ"/>
        </w:rPr>
        <w:t xml:space="preserve">الإدخال، </w:t>
      </w:r>
      <w:r w:rsidRPr="001C7E22">
        <w:rPr>
          <w:rFonts w:ascii="Simplified Arabic" w:hAnsi="Simplified Arabic" w:cs="Simplified Arabic" w:hint="cs"/>
          <w:color w:val="000000"/>
          <w:sz w:val="24"/>
          <w:szCs w:val="24"/>
          <w:rtl/>
        </w:rPr>
        <w:t>يحتوي</w:t>
      </w:r>
      <w:r w:rsidRPr="001C7E22">
        <w:rPr>
          <w:rFonts w:asciiTheme="minorBidi" w:hAnsiTheme="minorBidi" w:cs="Arial"/>
          <w:sz w:val="28"/>
          <w:szCs w:val="28"/>
          <w:rtl/>
        </w:rPr>
        <w:t xml:space="preserve"> </w:t>
      </w:r>
      <w:r w:rsidRPr="001C7E22">
        <w:rPr>
          <w:rFonts w:asciiTheme="majorBidi" w:hAnsiTheme="majorBidi" w:cstheme="majorBidi"/>
          <w:sz w:val="24"/>
          <w:szCs w:val="24"/>
        </w:rPr>
        <w:t>SurveyMonkey</w:t>
      </w:r>
      <w:r w:rsidRPr="001C7E22">
        <w:rPr>
          <w:rFonts w:asciiTheme="minorBidi" w:hAnsiTheme="minorBidi" w:cs="Arial"/>
          <w:sz w:val="28"/>
          <w:szCs w:val="28"/>
          <w:rtl/>
        </w:rPr>
        <w:t xml:space="preserve"> </w:t>
      </w:r>
      <w:r w:rsidRPr="001C7E22">
        <w:rPr>
          <w:rFonts w:ascii="Simplified Arabic" w:hAnsi="Simplified Arabic" w:cs="Simplified Arabic" w:hint="cs"/>
          <w:color w:val="000000"/>
          <w:sz w:val="24"/>
          <w:szCs w:val="24"/>
          <w:rtl/>
        </w:rPr>
        <w:t>على</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مرفق</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تصدير</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جداول</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بيانات</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متقدم</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وهو</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خيار</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مناسب</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حينما تكون</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البيانات</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بتنسيق</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رقمي</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تتمثل</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إحدى</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المزايا</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الرئيسية</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في استخدام</w:t>
      </w:r>
      <w:r w:rsidRPr="001C7E22">
        <w:rPr>
          <w:rFonts w:asciiTheme="minorBidi" w:hAnsiTheme="minorBidi" w:cs="Arial"/>
          <w:sz w:val="28"/>
          <w:szCs w:val="28"/>
          <w:rtl/>
        </w:rPr>
        <w:t xml:space="preserve"> </w:t>
      </w:r>
      <w:r w:rsidRPr="001C7E22">
        <w:rPr>
          <w:rFonts w:asciiTheme="majorBidi" w:hAnsiTheme="majorBidi" w:cstheme="majorBidi"/>
          <w:sz w:val="24"/>
          <w:szCs w:val="24"/>
        </w:rPr>
        <w:t>SurveyMonkey</w:t>
      </w:r>
      <w:r w:rsidRPr="001C7E22">
        <w:rPr>
          <w:rFonts w:asciiTheme="minorBidi" w:hAnsiTheme="minorBidi" w:cs="Arial"/>
          <w:sz w:val="28"/>
          <w:szCs w:val="28"/>
          <w:rtl/>
        </w:rPr>
        <w:t xml:space="preserve"> </w:t>
      </w:r>
      <w:r w:rsidRPr="001C7E22">
        <w:rPr>
          <w:rFonts w:ascii="Simplified Arabic" w:hAnsi="Simplified Arabic" w:cs="Simplified Arabic" w:hint="cs"/>
          <w:color w:val="000000"/>
          <w:sz w:val="24"/>
          <w:szCs w:val="24"/>
          <w:rtl/>
        </w:rPr>
        <w:t>انه يتيح</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إمكانية</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نقل</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البيانات</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إلى</w:t>
      </w:r>
      <w:r w:rsidRPr="001C7E22">
        <w:rPr>
          <w:rFonts w:asciiTheme="minorBidi" w:hAnsiTheme="minorBidi" w:cs="Arial"/>
          <w:sz w:val="28"/>
          <w:szCs w:val="28"/>
          <w:rtl/>
        </w:rPr>
        <w:t xml:space="preserve"> </w:t>
      </w:r>
      <w:r w:rsidRPr="001C7E22">
        <w:rPr>
          <w:rFonts w:asciiTheme="majorBidi" w:hAnsiTheme="majorBidi" w:cstheme="majorBidi"/>
          <w:sz w:val="24"/>
          <w:szCs w:val="24"/>
          <w:lang w:val="en-US"/>
        </w:rPr>
        <w:t>Excel</w:t>
      </w:r>
      <w:r w:rsidRPr="001C7E22">
        <w:rPr>
          <w:rFonts w:asciiTheme="minorBidi" w:hAnsiTheme="minorBidi" w:cs="Arial"/>
          <w:sz w:val="24"/>
          <w:szCs w:val="24"/>
          <w:lang w:val="en-US"/>
        </w:rPr>
        <w:t xml:space="preserve"> </w:t>
      </w:r>
      <w:r w:rsidRPr="001C7E22">
        <w:rPr>
          <w:rFonts w:asciiTheme="majorBidi" w:hAnsiTheme="majorBidi" w:cstheme="majorBidi"/>
          <w:sz w:val="24"/>
          <w:szCs w:val="24"/>
          <w:lang w:val="en-US"/>
        </w:rPr>
        <w:t>Microsoft</w:t>
      </w:r>
      <w:r w:rsidRPr="001C7E22">
        <w:rPr>
          <w:rFonts w:ascii="Simplified Arabic" w:hAnsi="Simplified Arabic" w:cs="Simplified Arabic" w:hint="cs"/>
          <w:color w:val="000000"/>
          <w:sz w:val="24"/>
          <w:szCs w:val="24"/>
          <w:rtl/>
        </w:rPr>
        <w:t>، يسهل</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هذا</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الخيار</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أيضًا</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حفظ</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البيانات</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وبالتالي</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يوفر</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الوقت</w:t>
      </w:r>
      <w:r w:rsidRPr="001C7E22">
        <w:rPr>
          <w:rFonts w:ascii="Simplified Arabic" w:hAnsi="Simplified Arabic" w:cs="Simplified Arabic"/>
          <w:color w:val="000000"/>
          <w:sz w:val="24"/>
          <w:szCs w:val="24"/>
          <w:rtl/>
        </w:rPr>
        <w:t xml:space="preserve"> </w:t>
      </w:r>
      <w:r w:rsidRPr="001C7E22">
        <w:rPr>
          <w:rFonts w:ascii="Simplified Arabic" w:hAnsi="Simplified Arabic" w:cs="Simplified Arabic" w:hint="cs"/>
          <w:color w:val="000000"/>
          <w:sz w:val="24"/>
          <w:szCs w:val="24"/>
          <w:rtl/>
        </w:rPr>
        <w:t>والجهد</w:t>
      </w:r>
      <w:r w:rsidRPr="001C7E22">
        <w:rPr>
          <w:rFonts w:ascii="Simplified Arabic" w:hAnsi="Simplified Arabic" w:cs="Simplified Arabic"/>
          <w:color w:val="000000"/>
          <w:sz w:val="24"/>
          <w:szCs w:val="24"/>
          <w:rtl/>
        </w:rPr>
        <w:t>.</w:t>
      </w:r>
    </w:p>
    <w:p w:rsidR="00063AB9" w:rsidRDefault="00063AB9" w:rsidP="00182FCD">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063AB9" w:rsidRDefault="00063AB9" w:rsidP="00063AB9">
      <w:pPr>
        <w:bidi/>
        <w:spacing w:before="240"/>
        <w:outlineLvl w:val="0"/>
        <w:rPr>
          <w:rFonts w:ascii="Simplified Arabic" w:hAnsi="Simplified Arabic" w:cs="Simplified Arabic"/>
          <w:b/>
          <w:bCs/>
          <w:sz w:val="24"/>
          <w:szCs w:val="24"/>
          <w:rtl/>
          <w:lang w:val="en-US"/>
        </w:rPr>
      </w:pPr>
    </w:p>
    <w:p w:rsidR="00182FCD" w:rsidRPr="002F1462" w:rsidRDefault="00182FCD" w:rsidP="00063AB9">
      <w:pPr>
        <w:bidi/>
        <w:spacing w:before="240"/>
        <w:outlineLvl w:val="0"/>
        <w:rPr>
          <w:rFonts w:ascii="Simplified Arabic" w:hAnsi="Simplified Arabic" w:cs="Simplified Arabic"/>
          <w:b/>
          <w:bCs/>
          <w:sz w:val="24"/>
          <w:szCs w:val="24"/>
          <w:lang w:val="en-US"/>
        </w:rPr>
      </w:pPr>
      <w:bookmarkStart w:id="472" w:name="_Toc171803562"/>
      <w:r>
        <w:rPr>
          <w:rFonts w:ascii="Simplified Arabic" w:hAnsi="Simplified Arabic" w:cs="Simplified Arabic" w:hint="cs"/>
          <w:b/>
          <w:bCs/>
          <w:sz w:val="24"/>
          <w:szCs w:val="24"/>
          <w:rtl/>
          <w:lang w:val="en-US"/>
        </w:rPr>
        <w:lastRenderedPageBreak/>
        <w:t>ال</w:t>
      </w:r>
      <w:r w:rsidRPr="007D4545">
        <w:rPr>
          <w:rFonts w:ascii="Simplified Arabic" w:hAnsi="Simplified Arabic" w:cs="Simplified Arabic"/>
          <w:b/>
          <w:bCs/>
          <w:sz w:val="24"/>
          <w:szCs w:val="24"/>
          <w:rtl/>
          <w:lang w:val="en-US"/>
        </w:rPr>
        <w:t>خ</w:t>
      </w:r>
      <w:r>
        <w:rPr>
          <w:rFonts w:ascii="Simplified Arabic" w:hAnsi="Simplified Arabic" w:cs="Simplified Arabic" w:hint="cs"/>
          <w:b/>
          <w:bCs/>
          <w:sz w:val="24"/>
          <w:szCs w:val="24"/>
          <w:rtl/>
          <w:lang w:val="en-US"/>
        </w:rPr>
        <w:t>لا</w:t>
      </w:r>
      <w:r w:rsidRPr="007D4545">
        <w:rPr>
          <w:rFonts w:ascii="Simplified Arabic" w:hAnsi="Simplified Arabic" w:cs="Simplified Arabic"/>
          <w:b/>
          <w:bCs/>
          <w:sz w:val="24"/>
          <w:szCs w:val="24"/>
          <w:rtl/>
          <w:lang w:val="en-US"/>
        </w:rPr>
        <w:t>ص</w:t>
      </w:r>
      <w:r>
        <w:rPr>
          <w:rFonts w:ascii="Simplified Arabic" w:hAnsi="Simplified Arabic" w:cs="Simplified Arabic" w:hint="cs"/>
          <w:b/>
          <w:bCs/>
          <w:sz w:val="24"/>
          <w:szCs w:val="24"/>
          <w:rtl/>
          <w:lang w:val="en-US"/>
        </w:rPr>
        <w:t>ة</w:t>
      </w:r>
      <w:bookmarkEnd w:id="472"/>
    </w:p>
    <w:p w:rsidR="00182FCD" w:rsidRDefault="00182FCD" w:rsidP="00182FCD">
      <w:pPr>
        <w:bidi/>
        <w:spacing w:after="0"/>
        <w:ind w:firstLine="282"/>
        <w:jc w:val="both"/>
        <w:rPr>
          <w:rFonts w:ascii="Simplified Arabic" w:hAnsi="Simplified Arabic" w:cs="Simplified Arabic"/>
          <w:sz w:val="24"/>
          <w:szCs w:val="24"/>
          <w:rtl/>
          <w:lang w:val="en-US"/>
        </w:rPr>
      </w:pPr>
      <w:r w:rsidRPr="007D4545">
        <w:rPr>
          <w:rFonts w:ascii="Simplified Arabic" w:hAnsi="Simplified Arabic" w:cs="Simplified Arabic"/>
          <w:sz w:val="24"/>
          <w:szCs w:val="24"/>
          <w:rtl/>
          <w:lang w:val="en-US"/>
        </w:rPr>
        <w:t>قدم هذا الفصل عرضاً للمنهجيات المختلفة المستخدمة من أجل تحقيق أهداف البحث. بالنظر إلى أن مجال تقييم المرونة الحضرية يتضمن فحص مجموعة من العوامل الحضرية</w:t>
      </w:r>
      <w:r w:rsidRPr="007D4545">
        <w:rPr>
          <w:rFonts w:ascii="Simplified Arabic" w:hAnsi="Simplified Arabic" w:cs="Simplified Arabic" w:hint="cs"/>
          <w:sz w:val="24"/>
          <w:szCs w:val="24"/>
          <w:rtl/>
          <w:lang w:val="en-US"/>
        </w:rPr>
        <w:t xml:space="preserve"> المرتبطة بالتوزيع المكاني ل</w:t>
      </w:r>
      <w:r>
        <w:rPr>
          <w:rFonts w:ascii="Simplified Arabic" w:hAnsi="Simplified Arabic" w:cs="Simplified Arabic" w:hint="cs"/>
          <w:sz w:val="24"/>
          <w:szCs w:val="24"/>
          <w:rtl/>
        </w:rPr>
        <w:t>استعمالات</w:t>
      </w:r>
      <w:r w:rsidRPr="007D4545">
        <w:rPr>
          <w:rFonts w:ascii="Simplified Arabic" w:hAnsi="Simplified Arabic" w:cs="Simplified Arabic" w:hint="cs"/>
          <w:sz w:val="24"/>
          <w:szCs w:val="24"/>
          <w:rtl/>
          <w:lang w:val="en-US"/>
        </w:rPr>
        <w:t xml:space="preserve"> الار</w:t>
      </w:r>
      <w:r>
        <w:rPr>
          <w:rFonts w:ascii="Simplified Arabic" w:hAnsi="Simplified Arabic" w:cs="Simplified Arabic" w:hint="cs"/>
          <w:sz w:val="24"/>
          <w:szCs w:val="24"/>
          <w:rtl/>
          <w:lang w:val="en-US"/>
        </w:rPr>
        <w:t>ا</w:t>
      </w:r>
      <w:r w:rsidRPr="007D4545">
        <w:rPr>
          <w:rFonts w:ascii="Simplified Arabic" w:hAnsi="Simplified Arabic" w:cs="Simplified Arabic" w:hint="cs"/>
          <w:sz w:val="24"/>
          <w:szCs w:val="24"/>
          <w:rtl/>
          <w:lang w:val="en-US"/>
        </w:rPr>
        <w:t>ض</w:t>
      </w:r>
      <w:r>
        <w:rPr>
          <w:rFonts w:ascii="Simplified Arabic" w:hAnsi="Simplified Arabic" w:cs="Simplified Arabic" w:hint="cs"/>
          <w:sz w:val="24"/>
          <w:szCs w:val="24"/>
          <w:rtl/>
          <w:lang w:val="en-US"/>
        </w:rPr>
        <w:t>ي</w:t>
      </w:r>
      <w:r w:rsidRPr="007D4545">
        <w:rPr>
          <w:rFonts w:ascii="Simplified Arabic" w:hAnsi="Simplified Arabic" w:cs="Simplified Arabic" w:hint="cs"/>
          <w:sz w:val="24"/>
          <w:szCs w:val="24"/>
          <w:rtl/>
          <w:lang w:val="en-US"/>
        </w:rPr>
        <w:t xml:space="preserve"> الحضرية</w:t>
      </w:r>
      <w:r w:rsidRPr="007D4545">
        <w:rPr>
          <w:rFonts w:ascii="Simplified Arabic" w:hAnsi="Simplified Arabic" w:cs="Simplified Arabic"/>
          <w:sz w:val="24"/>
          <w:szCs w:val="24"/>
          <w:rtl/>
          <w:lang w:val="en-US"/>
        </w:rPr>
        <w:t xml:space="preserve">، فقد تم اختيار منهجية مختلطة على النحو المناسب. اشتمل ذلك على خمس مراحل: (أ) مرحلة نظرية، تضمنت مراجعة شاملة </w:t>
      </w:r>
      <w:r>
        <w:rPr>
          <w:rFonts w:ascii="Simplified Arabic" w:hAnsi="Simplified Arabic" w:cs="Simplified Arabic" w:hint="cs"/>
          <w:sz w:val="24"/>
          <w:szCs w:val="24"/>
          <w:rtl/>
          <w:lang w:val="en-US"/>
        </w:rPr>
        <w:t>للمرونة</w:t>
      </w:r>
      <w:r w:rsidRPr="007D4545">
        <w:rPr>
          <w:rFonts w:ascii="Simplified Arabic" w:hAnsi="Simplified Arabic" w:cs="Simplified Arabic"/>
          <w:sz w:val="24"/>
          <w:szCs w:val="24"/>
          <w:rtl/>
          <w:lang w:val="en-US"/>
        </w:rPr>
        <w:t xml:space="preserve"> الحضرية مع التركيز على مقارنة أدوات التقييم الشاملة. (</w:t>
      </w:r>
      <w:r>
        <w:rPr>
          <w:rFonts w:ascii="Simplified Arabic" w:hAnsi="Simplified Arabic" w:cs="Simplified Arabic" w:hint="cs"/>
          <w:sz w:val="24"/>
          <w:szCs w:val="24"/>
          <w:rtl/>
          <w:lang w:val="en-US"/>
        </w:rPr>
        <w:t>ب</w:t>
      </w:r>
      <w:r w:rsidRPr="007D4545">
        <w:rPr>
          <w:rFonts w:ascii="Simplified Arabic" w:hAnsi="Simplified Arabic" w:cs="Simplified Arabic"/>
          <w:sz w:val="24"/>
          <w:szCs w:val="24"/>
          <w:rtl/>
          <w:lang w:val="en-US"/>
        </w:rPr>
        <w:t xml:space="preserve">) </w:t>
      </w:r>
      <w:r w:rsidRPr="007D4545">
        <w:rPr>
          <w:rFonts w:ascii="Simplified Arabic" w:hAnsi="Simplified Arabic" w:cs="Simplified Arabic" w:hint="cs"/>
          <w:sz w:val="24"/>
          <w:szCs w:val="24"/>
          <w:rtl/>
          <w:lang w:val="en-US"/>
        </w:rPr>
        <w:t xml:space="preserve">مرحلة </w:t>
      </w:r>
      <w:r w:rsidRPr="007D4545">
        <w:rPr>
          <w:rFonts w:ascii="Simplified Arabic" w:hAnsi="Simplified Arabic" w:cs="Simplified Arabic"/>
          <w:sz w:val="24"/>
          <w:szCs w:val="24"/>
          <w:rtl/>
          <w:lang w:val="en-US"/>
        </w:rPr>
        <w:t>التشاور مع فريق من الخبراء، باستخدام تقنية دلفي، لبناء قائمة بعوامل التقييم المحلية. (</w:t>
      </w:r>
      <w:r>
        <w:rPr>
          <w:rFonts w:ascii="Simplified Arabic" w:hAnsi="Simplified Arabic" w:cs="Simplified Arabic" w:hint="cs"/>
          <w:sz w:val="24"/>
          <w:szCs w:val="24"/>
          <w:rtl/>
          <w:lang w:val="en-US"/>
        </w:rPr>
        <w:t>ج</w:t>
      </w:r>
      <w:r w:rsidRPr="007D4545">
        <w:rPr>
          <w:rFonts w:ascii="Simplified Arabic" w:hAnsi="Simplified Arabic" w:cs="Simplified Arabic"/>
          <w:sz w:val="24"/>
          <w:szCs w:val="24"/>
          <w:rtl/>
          <w:lang w:val="en-US"/>
        </w:rPr>
        <w:t xml:space="preserve">) تطبيق </w:t>
      </w:r>
      <w:r w:rsidRPr="007D4545">
        <w:rPr>
          <w:rFonts w:asciiTheme="majorBidi" w:hAnsiTheme="majorBidi" w:cstheme="majorBidi"/>
          <w:sz w:val="24"/>
          <w:szCs w:val="24"/>
          <w:rtl/>
          <w:lang w:val="en-US"/>
        </w:rPr>
        <w:t>(</w:t>
      </w:r>
      <w:r w:rsidRPr="007D4545">
        <w:rPr>
          <w:rFonts w:asciiTheme="majorBidi" w:hAnsiTheme="majorBidi" w:cstheme="majorBidi"/>
          <w:sz w:val="24"/>
          <w:szCs w:val="24"/>
          <w:lang w:val="en-US"/>
        </w:rPr>
        <w:t>AHP</w:t>
      </w:r>
      <w:r w:rsidRPr="007D4545">
        <w:rPr>
          <w:rFonts w:asciiTheme="majorBidi" w:hAnsiTheme="majorBidi" w:cstheme="majorBidi"/>
          <w:sz w:val="24"/>
          <w:szCs w:val="24"/>
          <w:rtl/>
          <w:lang w:val="en-US"/>
        </w:rPr>
        <w:t>)</w:t>
      </w:r>
      <w:r w:rsidRPr="007D4545">
        <w:rPr>
          <w:rFonts w:asciiTheme="majorBidi" w:hAnsiTheme="majorBidi" w:cstheme="majorBidi" w:hint="cs"/>
          <w:sz w:val="24"/>
          <w:szCs w:val="24"/>
          <w:rtl/>
          <w:lang w:val="en-US"/>
        </w:rPr>
        <w:t xml:space="preserve"> </w:t>
      </w:r>
      <w:r w:rsidRPr="007D4545">
        <w:rPr>
          <w:rFonts w:ascii="Simplified Arabic" w:hAnsi="Simplified Arabic" w:cs="Simplified Arabic"/>
          <w:sz w:val="24"/>
          <w:szCs w:val="24"/>
          <w:rtl/>
          <w:lang w:val="en-US"/>
        </w:rPr>
        <w:t xml:space="preserve">لتقديم نظام ترجيح مناسب لكل عامل </w:t>
      </w:r>
      <w:r w:rsidRPr="007D4545">
        <w:rPr>
          <w:rFonts w:ascii="Simplified Arabic" w:hAnsi="Simplified Arabic" w:cs="Simplified Arabic" w:hint="cs"/>
          <w:sz w:val="24"/>
          <w:szCs w:val="24"/>
          <w:rtl/>
          <w:lang w:val="en-US"/>
        </w:rPr>
        <w:t>من العوامل المستخدمة</w:t>
      </w:r>
      <w:r w:rsidRPr="007D4545">
        <w:rPr>
          <w:rFonts w:ascii="Simplified Arabic" w:hAnsi="Simplified Arabic" w:cs="Simplified Arabic"/>
          <w:sz w:val="24"/>
          <w:szCs w:val="24"/>
          <w:rtl/>
          <w:lang w:val="en-US"/>
        </w:rPr>
        <w:t xml:space="preserve"> في </w:t>
      </w:r>
      <w:r w:rsidRPr="007D4545">
        <w:rPr>
          <w:rFonts w:ascii="Simplified Arabic" w:hAnsi="Simplified Arabic" w:cs="Simplified Arabic" w:hint="cs"/>
          <w:sz w:val="24"/>
          <w:szCs w:val="24"/>
          <w:rtl/>
          <w:lang w:val="en-US"/>
        </w:rPr>
        <w:t>نموذج التقييم.</w:t>
      </w:r>
      <w:r w:rsidRPr="007D4545">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د</w:t>
      </w:r>
      <w:r w:rsidRPr="007D4545">
        <w:rPr>
          <w:rFonts w:ascii="Simplified Arabic" w:hAnsi="Simplified Arabic" w:cs="Simplified Arabic"/>
          <w:sz w:val="24"/>
          <w:szCs w:val="24"/>
          <w:rtl/>
          <w:lang w:val="en-US"/>
        </w:rPr>
        <w:t xml:space="preserve">) التحقق من النموذج من خلال تطبيق الأداة المناسبة و تقنيات نظم المعلومات الجغرافية </w:t>
      </w:r>
      <w:r w:rsidRPr="00B736E1">
        <w:rPr>
          <w:rFonts w:ascii="Simplified Arabic" w:hAnsi="Simplified Arabic" w:cs="Simplified Arabic"/>
          <w:color w:val="212121"/>
          <w:sz w:val="24"/>
          <w:szCs w:val="24"/>
          <w:rtl/>
        </w:rPr>
        <w:t>الذي</w:t>
      </w:r>
      <w:r>
        <w:rPr>
          <w:rFonts w:ascii="Simplified Arabic" w:hAnsi="Simplified Arabic" w:cs="Simplified Arabic" w:hint="cs"/>
          <w:color w:val="212121"/>
          <w:sz w:val="24"/>
          <w:szCs w:val="24"/>
          <w:rtl/>
        </w:rPr>
        <w:t xml:space="preserve"> </w:t>
      </w:r>
      <w:r w:rsidRPr="00B736E1">
        <w:rPr>
          <w:rFonts w:ascii="Simplified Arabic" w:hAnsi="Simplified Arabic" w:cs="Simplified Arabic"/>
          <w:color w:val="212121"/>
          <w:sz w:val="24"/>
          <w:szCs w:val="24"/>
          <w:rtl/>
        </w:rPr>
        <w:t>يوفره</w:t>
      </w:r>
      <w:r>
        <w:rPr>
          <w:rFonts w:ascii="Simplified Arabic" w:hAnsi="Simplified Arabic" w:cs="Simplified Arabic" w:hint="cs"/>
          <w:color w:val="212121"/>
          <w:sz w:val="24"/>
          <w:szCs w:val="24"/>
          <w:rtl/>
        </w:rPr>
        <w:t xml:space="preserve"> </w:t>
      </w:r>
      <w:r w:rsidRPr="00B736E1">
        <w:rPr>
          <w:rFonts w:ascii="Simplified Arabic" w:hAnsi="Simplified Arabic" w:cs="Simplified Arabic"/>
          <w:color w:val="212121"/>
          <w:sz w:val="24"/>
          <w:szCs w:val="24"/>
          <w:rtl/>
        </w:rPr>
        <w:t>برنامج</w:t>
      </w:r>
      <w:r>
        <w:rPr>
          <w:rFonts w:ascii="Simplified Arabic" w:hAnsi="Simplified Arabic" w:cs="Simplified Arabic" w:hint="cs"/>
          <w:color w:val="212121"/>
          <w:sz w:val="24"/>
          <w:szCs w:val="24"/>
          <w:rtl/>
        </w:rPr>
        <w:t xml:space="preserve"> </w:t>
      </w:r>
      <w:r w:rsidRPr="002E719A">
        <w:rPr>
          <w:rFonts w:asciiTheme="majorBidi" w:hAnsiTheme="majorBidi" w:cstheme="majorBidi"/>
          <w:color w:val="212121"/>
          <w:sz w:val="24"/>
          <w:szCs w:val="24"/>
          <w:rtl/>
        </w:rPr>
        <w:t>(</w:t>
      </w:r>
      <w:r w:rsidRPr="002E719A">
        <w:rPr>
          <w:rFonts w:asciiTheme="majorBidi" w:hAnsiTheme="majorBidi" w:cstheme="majorBidi"/>
          <w:color w:val="212121"/>
          <w:sz w:val="24"/>
          <w:szCs w:val="24"/>
        </w:rPr>
        <w:t>Arc GIS</w:t>
      </w:r>
      <w:r w:rsidRPr="002E719A">
        <w:rPr>
          <w:rFonts w:asciiTheme="majorBidi" w:hAnsiTheme="majorBidi" w:cstheme="majorBidi"/>
          <w:color w:val="212121"/>
          <w:sz w:val="24"/>
          <w:szCs w:val="24"/>
          <w:rtl/>
        </w:rPr>
        <w:t>)</w:t>
      </w:r>
      <w:r w:rsidRPr="007D4545">
        <w:rPr>
          <w:rFonts w:ascii="Simplified Arabic" w:hAnsi="Simplified Arabic" w:cs="Simplified Arabic"/>
          <w:sz w:val="24"/>
          <w:szCs w:val="24"/>
          <w:rtl/>
          <w:lang w:val="en-US"/>
        </w:rPr>
        <w:t>.</w:t>
      </w:r>
      <w:r w:rsidRPr="00D971FE">
        <w:rPr>
          <w:rFonts w:ascii="Simplified Arabic" w:hAnsi="Simplified Arabic" w:cs="Simplified Arabic"/>
          <w:sz w:val="24"/>
          <w:szCs w:val="24"/>
          <w:rtl/>
          <w:lang w:val="en-US"/>
        </w:rPr>
        <w:t xml:space="preserve"> </w:t>
      </w:r>
      <w:r w:rsidRPr="007D4545">
        <w:rPr>
          <w:rFonts w:ascii="Simplified Arabic" w:hAnsi="Simplified Arabic" w:cs="Simplified Arabic" w:hint="cs"/>
          <w:sz w:val="24"/>
          <w:szCs w:val="24"/>
          <w:rtl/>
          <w:lang w:val="en-US"/>
        </w:rPr>
        <w:t>اخيرا،</w:t>
      </w:r>
      <w:r w:rsidRPr="007D4545">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ه</w:t>
      </w:r>
      <w:r w:rsidRPr="007D4545">
        <w:rPr>
          <w:rFonts w:ascii="Simplified Arabic" w:hAnsi="Simplified Arabic" w:cs="Simplified Arabic"/>
          <w:sz w:val="24"/>
          <w:szCs w:val="24"/>
          <w:rtl/>
          <w:lang w:val="en-US"/>
        </w:rPr>
        <w:t xml:space="preserve">) </w:t>
      </w:r>
      <w:r w:rsidRPr="007D4545">
        <w:rPr>
          <w:rFonts w:ascii="Simplified Arabic" w:hAnsi="Simplified Arabic" w:cs="Simplified Arabic" w:hint="cs"/>
          <w:sz w:val="24"/>
          <w:szCs w:val="24"/>
          <w:rtl/>
          <w:lang w:val="en-US"/>
        </w:rPr>
        <w:t xml:space="preserve">مرحلة </w:t>
      </w:r>
      <w:r w:rsidRPr="007D4545">
        <w:rPr>
          <w:rFonts w:ascii="Simplified Arabic" w:hAnsi="Simplified Arabic" w:cs="Simplified Arabic"/>
          <w:sz w:val="24"/>
          <w:szCs w:val="24"/>
          <w:rtl/>
          <w:lang w:val="en-US"/>
        </w:rPr>
        <w:t xml:space="preserve">إجراء استبيان على الصعيد المحلي للتحقيق في تصورات السكان المحليين </w:t>
      </w:r>
      <w:r>
        <w:rPr>
          <w:rFonts w:ascii="Simplified Arabic" w:hAnsi="Simplified Arabic" w:cs="Simplified Arabic" w:hint="cs"/>
          <w:sz w:val="24"/>
          <w:szCs w:val="24"/>
          <w:rtl/>
          <w:lang w:val="en-US"/>
        </w:rPr>
        <w:t>للأحياء السكنية التي تعاني مستوى متدنِّ من المرونة</w:t>
      </w:r>
      <w:r w:rsidRPr="007D4545">
        <w:rPr>
          <w:rFonts w:ascii="Simplified Arabic" w:hAnsi="Simplified Arabic" w:cs="Simplified Arabic"/>
          <w:sz w:val="24"/>
          <w:szCs w:val="24"/>
          <w:rtl/>
          <w:lang w:val="en-US"/>
        </w:rPr>
        <w:t>.</w:t>
      </w:r>
    </w:p>
    <w:p w:rsidR="00B85CB7" w:rsidRDefault="00B85CB7" w:rsidP="00B85CB7">
      <w:pPr>
        <w:bidi/>
        <w:spacing w:after="0"/>
        <w:ind w:firstLine="282"/>
        <w:jc w:val="both"/>
        <w:rPr>
          <w:rFonts w:ascii="Simplified Arabic" w:hAnsi="Simplified Arabic" w:cs="Simplified Arabic"/>
          <w:b/>
          <w:bCs/>
          <w:sz w:val="32"/>
          <w:szCs w:val="32"/>
          <w:rtl/>
        </w:rPr>
        <w:sectPr w:rsidR="00B85CB7" w:rsidSect="004065DF">
          <w:headerReference w:type="default" r:id="rId175"/>
          <w:footerReference w:type="default" r:id="rId176"/>
          <w:footerReference w:type="first" r:id="rId177"/>
          <w:type w:val="continuous"/>
          <w:pgSz w:w="11906" w:h="16838"/>
          <w:pgMar w:top="1418" w:right="1700" w:bottom="1418" w:left="1134" w:header="709" w:footer="709" w:gutter="0"/>
          <w:pgNumType w:start="83"/>
          <w:cols w:space="708"/>
          <w:docGrid w:linePitch="360"/>
        </w:sectPr>
      </w:pPr>
    </w:p>
    <w:p w:rsidR="006B12FB" w:rsidRPr="00293414" w:rsidRDefault="006B12FB"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Default="000635D8" w:rsidP="006B12FB">
      <w:pPr>
        <w:bidi/>
        <w:spacing w:after="0"/>
        <w:jc w:val="both"/>
        <w:rPr>
          <w:rFonts w:ascii="Simplified Arabic" w:hAnsi="Simplified Arabic" w:cs="Simplified Arabic"/>
          <w:b/>
          <w:bCs/>
          <w:sz w:val="28"/>
          <w:szCs w:val="28"/>
          <w:rtl/>
          <w:lang w:bidi="ar-DZ"/>
        </w:rPr>
      </w:pPr>
    </w:p>
    <w:p w:rsidR="00671224" w:rsidRDefault="00671224" w:rsidP="00671224">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671224" w:rsidRDefault="00671224" w:rsidP="00671224">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182FCD" w:rsidRDefault="00182FCD" w:rsidP="00182FCD">
      <w:pPr>
        <w:bidi/>
        <w:spacing w:after="0"/>
        <w:jc w:val="both"/>
        <w:rPr>
          <w:rFonts w:ascii="Simplified Arabic" w:hAnsi="Simplified Arabic" w:cs="Simplified Arabic"/>
          <w:b/>
          <w:bCs/>
          <w:sz w:val="28"/>
          <w:szCs w:val="28"/>
          <w:rtl/>
          <w:lang w:bidi="ar-DZ"/>
        </w:rPr>
      </w:pPr>
    </w:p>
    <w:p w:rsidR="00671224" w:rsidRPr="00293414" w:rsidRDefault="00671224" w:rsidP="00671224">
      <w:pPr>
        <w:bidi/>
        <w:spacing w:after="0"/>
        <w:jc w:val="both"/>
        <w:rPr>
          <w:rFonts w:ascii="Simplified Arabic" w:hAnsi="Simplified Arabic" w:cs="Simplified Arabic"/>
          <w:b/>
          <w:bCs/>
          <w:sz w:val="28"/>
          <w:szCs w:val="28"/>
          <w:rtl/>
          <w:lang w:bidi="ar-DZ"/>
        </w:rPr>
      </w:pPr>
    </w:p>
    <w:p w:rsidR="00173D34" w:rsidRPr="00260DDA" w:rsidRDefault="000635D8" w:rsidP="00260DDA">
      <w:pPr>
        <w:bidi/>
        <w:spacing w:after="0" w:line="240" w:lineRule="auto"/>
        <w:jc w:val="center"/>
        <w:rPr>
          <w:rFonts w:ascii="Simplified Arabic" w:hAnsi="Simplified Arabic" w:cs="Simplified Arabic"/>
          <w:b/>
          <w:bCs/>
          <w:sz w:val="40"/>
          <w:szCs w:val="40"/>
          <w:rtl/>
          <w:lang w:val="en-US"/>
        </w:rPr>
      </w:pPr>
      <w:bookmarkStart w:id="473" w:name="_Toc157608320"/>
      <w:bookmarkStart w:id="474" w:name="_Toc157612979"/>
      <w:bookmarkStart w:id="475" w:name="_Toc157616584"/>
      <w:bookmarkStart w:id="476" w:name="_Toc157618642"/>
      <w:r w:rsidRPr="00260DDA">
        <w:rPr>
          <w:rFonts w:ascii="Simplified Arabic" w:hAnsi="Simplified Arabic" w:cs="Simplified Arabic"/>
          <w:b/>
          <w:bCs/>
          <w:sz w:val="40"/>
          <w:szCs w:val="40"/>
          <w:rtl/>
          <w:lang w:val="en-US"/>
        </w:rPr>
        <w:t>الجزء الثالث</w:t>
      </w:r>
      <w:r w:rsidR="00173D34" w:rsidRPr="00260DDA">
        <w:rPr>
          <w:rFonts w:ascii="Simplified Arabic" w:hAnsi="Simplified Arabic" w:cs="Simplified Arabic"/>
          <w:b/>
          <w:bCs/>
          <w:sz w:val="40"/>
          <w:szCs w:val="40"/>
          <w:rtl/>
          <w:lang w:val="en-US"/>
        </w:rPr>
        <w:t>:</w:t>
      </w:r>
      <w:bookmarkEnd w:id="473"/>
      <w:bookmarkEnd w:id="474"/>
      <w:bookmarkEnd w:id="475"/>
      <w:bookmarkEnd w:id="476"/>
    </w:p>
    <w:p w:rsidR="000635D8" w:rsidRPr="00260DDA" w:rsidRDefault="000635D8" w:rsidP="00260DDA">
      <w:pPr>
        <w:bidi/>
        <w:spacing w:after="0" w:line="240" w:lineRule="auto"/>
        <w:jc w:val="center"/>
        <w:rPr>
          <w:rFonts w:ascii="Simplified Arabic" w:hAnsi="Simplified Arabic" w:cs="Simplified Arabic"/>
          <w:sz w:val="56"/>
          <w:szCs w:val="56"/>
          <w:rtl/>
          <w:lang w:val="en-US"/>
        </w:rPr>
      </w:pPr>
      <w:bookmarkStart w:id="477" w:name="_Toc157608321"/>
      <w:bookmarkStart w:id="478" w:name="_Toc157612980"/>
      <w:bookmarkStart w:id="479" w:name="_Toc157616585"/>
      <w:bookmarkStart w:id="480" w:name="_Toc157618643"/>
      <w:r w:rsidRPr="00260DDA">
        <w:rPr>
          <w:rFonts w:ascii="Simplified Arabic" w:hAnsi="Simplified Arabic" w:cs="Simplified Arabic"/>
          <w:b/>
          <w:bCs/>
          <w:sz w:val="40"/>
          <w:szCs w:val="40"/>
          <w:rtl/>
          <w:lang w:val="en-US"/>
        </w:rPr>
        <w:t xml:space="preserve">الاطار التطبيقي </w:t>
      </w:r>
      <w:r w:rsidR="000743B1" w:rsidRPr="00260DDA">
        <w:rPr>
          <w:rFonts w:ascii="Simplified Arabic" w:hAnsi="Simplified Arabic" w:cs="Simplified Arabic"/>
          <w:b/>
          <w:bCs/>
          <w:sz w:val="40"/>
          <w:szCs w:val="40"/>
          <w:rtl/>
          <w:lang w:val="en-US"/>
        </w:rPr>
        <w:t>للبحث</w:t>
      </w:r>
      <w:bookmarkEnd w:id="477"/>
      <w:bookmarkEnd w:id="478"/>
      <w:bookmarkEnd w:id="479"/>
      <w:bookmarkEnd w:id="480"/>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0635D8" w:rsidRPr="00293414" w:rsidRDefault="000635D8" w:rsidP="006B12FB">
      <w:pPr>
        <w:bidi/>
        <w:spacing w:after="0"/>
        <w:jc w:val="both"/>
        <w:rPr>
          <w:rFonts w:ascii="Simplified Arabic" w:hAnsi="Simplified Arabic" w:cs="Simplified Arabic"/>
          <w:b/>
          <w:bCs/>
          <w:sz w:val="28"/>
          <w:szCs w:val="28"/>
          <w:rtl/>
          <w:lang w:bidi="ar-DZ"/>
        </w:rPr>
      </w:pPr>
    </w:p>
    <w:p w:rsidR="00293414" w:rsidRPr="00293414" w:rsidRDefault="00293414" w:rsidP="006B12FB">
      <w:pPr>
        <w:bidi/>
        <w:spacing w:after="0"/>
        <w:jc w:val="both"/>
        <w:rPr>
          <w:rFonts w:ascii="Simplified Arabic" w:hAnsi="Simplified Arabic" w:cs="Simplified Arabic"/>
          <w:b/>
          <w:bCs/>
          <w:sz w:val="28"/>
          <w:szCs w:val="28"/>
          <w:rtl/>
          <w:lang w:bidi="ar-DZ"/>
        </w:rPr>
      </w:pPr>
    </w:p>
    <w:p w:rsidR="000635D8" w:rsidRPr="006B12FB" w:rsidRDefault="000635D8" w:rsidP="00293414">
      <w:pPr>
        <w:bidi/>
        <w:spacing w:after="0"/>
        <w:jc w:val="both"/>
        <w:rPr>
          <w:rFonts w:ascii="Simplified Arabic" w:hAnsi="Simplified Arabic" w:cs="Simplified Arabic"/>
          <w:b/>
          <w:bCs/>
          <w:sz w:val="28"/>
          <w:szCs w:val="28"/>
          <w:rtl/>
          <w:lang w:bidi="ar-DZ"/>
        </w:rPr>
      </w:pPr>
    </w:p>
    <w:p w:rsidR="000635D8" w:rsidRPr="006B12FB" w:rsidRDefault="000635D8" w:rsidP="000635D8">
      <w:pPr>
        <w:bidi/>
        <w:rPr>
          <w:rFonts w:ascii="Simplified Arabic" w:hAnsi="Simplified Arabic" w:cs="Simplified Arabic"/>
          <w:b/>
          <w:bCs/>
          <w:sz w:val="24"/>
          <w:szCs w:val="24"/>
          <w:rtl/>
          <w:lang w:val="en-US" w:bidi="ar-DZ"/>
        </w:rPr>
      </w:pPr>
    </w:p>
    <w:p w:rsidR="000635D8" w:rsidRPr="006B12FB" w:rsidRDefault="000635D8" w:rsidP="000635D8">
      <w:pPr>
        <w:bidi/>
        <w:rPr>
          <w:rFonts w:ascii="Simplified Arabic" w:hAnsi="Simplified Arabic" w:cs="Simplified Arabic"/>
          <w:b/>
          <w:bCs/>
          <w:sz w:val="32"/>
          <w:szCs w:val="32"/>
          <w:rtl/>
          <w:lang w:val="en-US" w:bidi="ar-DZ"/>
        </w:rPr>
      </w:pPr>
    </w:p>
    <w:p w:rsidR="000635D8" w:rsidRPr="006B12FB" w:rsidRDefault="000635D8" w:rsidP="000635D8">
      <w:pPr>
        <w:bidi/>
        <w:rPr>
          <w:rFonts w:ascii="Simplified Arabic" w:hAnsi="Simplified Arabic" w:cs="Simplified Arabic"/>
          <w:b/>
          <w:bCs/>
          <w:sz w:val="32"/>
          <w:szCs w:val="32"/>
          <w:rtl/>
          <w:lang w:val="en-US" w:bidi="ar-DZ"/>
        </w:rPr>
      </w:pP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671224" w:rsidRDefault="00671224" w:rsidP="00671224">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182FCD" w:rsidRDefault="00182FCD" w:rsidP="00182FCD">
      <w:pPr>
        <w:bidi/>
        <w:rPr>
          <w:rFonts w:ascii="Simplified Arabic" w:hAnsi="Simplified Arabic" w:cs="Simplified Arabic"/>
          <w:b/>
          <w:bCs/>
          <w:sz w:val="24"/>
          <w:szCs w:val="24"/>
          <w:rtl/>
          <w:lang w:val="en-US" w:bidi="ar-DZ"/>
        </w:rPr>
      </w:pPr>
    </w:p>
    <w:p w:rsidR="00182FCD" w:rsidRDefault="00182FCD" w:rsidP="00182FCD">
      <w:pPr>
        <w:bidi/>
        <w:rPr>
          <w:rFonts w:ascii="Simplified Arabic" w:hAnsi="Simplified Arabic" w:cs="Simplified Arabic"/>
          <w:b/>
          <w:bCs/>
          <w:sz w:val="24"/>
          <w:szCs w:val="24"/>
          <w:rtl/>
          <w:lang w:val="en-US" w:bidi="ar-DZ"/>
        </w:rPr>
      </w:pPr>
    </w:p>
    <w:p w:rsidR="000635D8" w:rsidRPr="000635D8" w:rsidRDefault="000635D8" w:rsidP="000635D8">
      <w:pPr>
        <w:bidi/>
        <w:rPr>
          <w:rFonts w:ascii="Simplified Arabic" w:hAnsi="Simplified Arabic" w:cs="Simplified Arabic"/>
          <w:b/>
          <w:bCs/>
          <w:sz w:val="24"/>
          <w:szCs w:val="24"/>
          <w:rtl/>
          <w:lang w:val="en-US" w:bidi="ar-DZ"/>
        </w:rPr>
      </w:pPr>
    </w:p>
    <w:p w:rsidR="00EA3438" w:rsidRPr="00420034" w:rsidRDefault="000635D8" w:rsidP="00BB4E96">
      <w:pPr>
        <w:pStyle w:val="Photo"/>
        <w:spacing w:before="0"/>
        <w:rPr>
          <w:sz w:val="36"/>
          <w:szCs w:val="36"/>
          <w:rtl/>
          <w:lang w:val="en-US" w:bidi="ar-DZ"/>
        </w:rPr>
      </w:pPr>
      <w:bookmarkStart w:id="481" w:name="_Toc157608322"/>
      <w:bookmarkStart w:id="482" w:name="_Toc157612981"/>
      <w:bookmarkStart w:id="483" w:name="_Toc157616586"/>
      <w:bookmarkStart w:id="484" w:name="_Toc157618644"/>
      <w:bookmarkStart w:id="485" w:name="_Toc171803563"/>
      <w:r w:rsidRPr="00420034">
        <w:rPr>
          <w:rFonts w:hint="cs"/>
          <w:sz w:val="36"/>
          <w:szCs w:val="36"/>
          <w:rtl/>
          <w:lang w:val="en-US" w:bidi="ar-DZ"/>
        </w:rPr>
        <w:t>الفصل</w:t>
      </w:r>
      <w:r w:rsidRPr="00420034">
        <w:rPr>
          <w:sz w:val="36"/>
          <w:szCs w:val="36"/>
          <w:rtl/>
          <w:lang w:val="en-US" w:bidi="ar-DZ"/>
        </w:rPr>
        <w:t xml:space="preserve"> </w:t>
      </w:r>
      <w:r w:rsidR="00AA0719" w:rsidRPr="00420034">
        <w:rPr>
          <w:rFonts w:hint="cs"/>
          <w:sz w:val="36"/>
          <w:szCs w:val="36"/>
          <w:rtl/>
          <w:lang w:val="en-US" w:bidi="ar-DZ"/>
        </w:rPr>
        <w:t xml:space="preserve">4: </w:t>
      </w:r>
      <w:r w:rsidR="00EA3438" w:rsidRPr="00420034">
        <w:rPr>
          <w:rFonts w:hint="cs"/>
          <w:sz w:val="36"/>
          <w:szCs w:val="36"/>
          <w:rtl/>
          <w:lang w:val="en-US" w:bidi="ar-DZ"/>
        </w:rPr>
        <w:t xml:space="preserve">علاقة </w:t>
      </w:r>
      <w:r w:rsidR="00E8765E" w:rsidRPr="00420034">
        <w:rPr>
          <w:rFonts w:hint="cs"/>
          <w:sz w:val="36"/>
          <w:szCs w:val="36"/>
          <w:rtl/>
          <w:lang w:val="en-US" w:bidi="ar-DZ"/>
        </w:rPr>
        <w:t>استعمالات</w:t>
      </w:r>
      <w:r w:rsidR="00601A76" w:rsidRPr="00420034">
        <w:rPr>
          <w:rFonts w:hint="cs"/>
          <w:sz w:val="36"/>
          <w:szCs w:val="36"/>
          <w:rtl/>
          <w:lang w:val="en-US" w:bidi="ar-DZ"/>
        </w:rPr>
        <w:t xml:space="preserve"> الار</w:t>
      </w:r>
      <w:r w:rsidR="00E8765E" w:rsidRPr="00420034">
        <w:rPr>
          <w:rFonts w:hint="cs"/>
          <w:sz w:val="36"/>
          <w:szCs w:val="36"/>
          <w:rtl/>
          <w:lang w:val="en-US" w:bidi="ar-DZ"/>
        </w:rPr>
        <w:t>ا</w:t>
      </w:r>
      <w:r w:rsidR="00601A76" w:rsidRPr="00420034">
        <w:rPr>
          <w:rFonts w:hint="cs"/>
          <w:sz w:val="36"/>
          <w:szCs w:val="36"/>
          <w:rtl/>
          <w:lang w:val="en-US" w:bidi="ar-DZ"/>
        </w:rPr>
        <w:t>ض</w:t>
      </w:r>
      <w:r w:rsidR="00E8765E" w:rsidRPr="00420034">
        <w:rPr>
          <w:rFonts w:hint="cs"/>
          <w:sz w:val="36"/>
          <w:szCs w:val="36"/>
          <w:rtl/>
          <w:lang w:val="en-US" w:bidi="ar-DZ"/>
        </w:rPr>
        <w:t>ي</w:t>
      </w:r>
      <w:r w:rsidR="00601A76" w:rsidRPr="00420034">
        <w:rPr>
          <w:rFonts w:hint="cs"/>
          <w:sz w:val="36"/>
          <w:szCs w:val="36"/>
          <w:rtl/>
          <w:lang w:val="en-US" w:bidi="ar-DZ"/>
        </w:rPr>
        <w:t xml:space="preserve"> </w:t>
      </w:r>
      <w:r w:rsidR="002728B2" w:rsidRPr="00420034">
        <w:rPr>
          <w:rFonts w:hint="cs"/>
          <w:sz w:val="36"/>
          <w:szCs w:val="36"/>
          <w:rtl/>
          <w:lang w:val="en-US" w:bidi="ar-DZ"/>
        </w:rPr>
        <w:t xml:space="preserve">الحضرية </w:t>
      </w:r>
      <w:r w:rsidR="00BB4E96" w:rsidRPr="00420034">
        <w:rPr>
          <w:rFonts w:hint="cs"/>
          <w:sz w:val="36"/>
          <w:szCs w:val="36"/>
          <w:rtl/>
          <w:lang w:val="en-US" w:bidi="ar-DZ"/>
        </w:rPr>
        <w:t xml:space="preserve">مع </w:t>
      </w:r>
      <w:r w:rsidR="00E8765E" w:rsidRPr="00420034">
        <w:rPr>
          <w:rFonts w:hint="cs"/>
          <w:sz w:val="36"/>
          <w:szCs w:val="36"/>
          <w:rtl/>
          <w:lang w:val="en-US" w:bidi="ar-DZ"/>
        </w:rPr>
        <w:t>تكوين</w:t>
      </w:r>
      <w:r w:rsidR="00EA3438" w:rsidRPr="00420034">
        <w:rPr>
          <w:rFonts w:hint="cs"/>
          <w:sz w:val="36"/>
          <w:szCs w:val="36"/>
          <w:rtl/>
          <w:lang w:val="en-US" w:bidi="ar-DZ"/>
        </w:rPr>
        <w:t xml:space="preserve"> المرونة المكانية</w:t>
      </w:r>
      <w:bookmarkEnd w:id="481"/>
      <w:bookmarkEnd w:id="482"/>
      <w:bookmarkEnd w:id="483"/>
      <w:bookmarkEnd w:id="484"/>
      <w:bookmarkEnd w:id="485"/>
      <w:r w:rsidR="00EA3438" w:rsidRPr="00420034">
        <w:rPr>
          <w:rFonts w:hint="cs"/>
          <w:sz w:val="36"/>
          <w:szCs w:val="36"/>
          <w:rtl/>
          <w:lang w:val="en-US" w:bidi="ar-DZ"/>
        </w:rPr>
        <w:t xml:space="preserve"> </w:t>
      </w:r>
    </w:p>
    <w:p w:rsidR="000635D8" w:rsidRPr="00420034" w:rsidRDefault="00EA3438" w:rsidP="00C23656">
      <w:pPr>
        <w:pStyle w:val="Photo"/>
        <w:spacing w:before="0"/>
        <w:rPr>
          <w:sz w:val="28"/>
          <w:szCs w:val="28"/>
          <w:rtl/>
          <w:lang w:val="en-US" w:bidi="ar-DZ"/>
        </w:rPr>
      </w:pPr>
      <w:bookmarkStart w:id="486" w:name="_Toc157608323"/>
      <w:bookmarkStart w:id="487" w:name="_Toc157612982"/>
      <w:bookmarkStart w:id="488" w:name="_Toc157616587"/>
      <w:bookmarkStart w:id="489" w:name="_Toc157618645"/>
      <w:bookmarkStart w:id="490" w:name="_Toc171803564"/>
      <w:r w:rsidRPr="00420034">
        <w:rPr>
          <w:rFonts w:hint="cs"/>
          <w:sz w:val="28"/>
          <w:szCs w:val="28"/>
          <w:rtl/>
          <w:lang w:val="en-US" w:bidi="ar-DZ"/>
        </w:rPr>
        <w:t xml:space="preserve">- </w:t>
      </w:r>
      <w:r w:rsidR="00601A76" w:rsidRPr="00420034">
        <w:rPr>
          <w:rFonts w:hint="cs"/>
          <w:sz w:val="28"/>
          <w:szCs w:val="28"/>
          <w:rtl/>
          <w:lang w:val="en-US" w:bidi="ar-DZ"/>
        </w:rPr>
        <w:t>مدينة</w:t>
      </w:r>
      <w:r w:rsidR="00601A76" w:rsidRPr="00420034">
        <w:rPr>
          <w:sz w:val="28"/>
          <w:szCs w:val="28"/>
          <w:rtl/>
          <w:lang w:val="en-US" w:bidi="ar-DZ"/>
        </w:rPr>
        <w:t xml:space="preserve"> </w:t>
      </w:r>
      <w:r w:rsidR="00601A76" w:rsidRPr="00420034">
        <w:rPr>
          <w:rFonts w:hint="cs"/>
          <w:sz w:val="28"/>
          <w:szCs w:val="28"/>
          <w:rtl/>
          <w:lang w:val="en-US" w:bidi="ar-DZ"/>
        </w:rPr>
        <w:t xml:space="preserve">بوسعادة بين </w:t>
      </w:r>
      <w:r w:rsidR="002728B2" w:rsidRPr="00420034">
        <w:rPr>
          <w:rFonts w:hint="cs"/>
          <w:sz w:val="28"/>
          <w:szCs w:val="28"/>
          <w:rtl/>
          <w:lang w:val="en-US" w:bidi="ar-DZ"/>
        </w:rPr>
        <w:t>الكثافة،</w:t>
      </w:r>
      <w:r w:rsidR="00601A76" w:rsidRPr="00420034">
        <w:rPr>
          <w:rFonts w:hint="cs"/>
          <w:sz w:val="28"/>
          <w:szCs w:val="28"/>
          <w:rtl/>
          <w:lang w:val="en-US" w:bidi="ar-DZ"/>
        </w:rPr>
        <w:t xml:space="preserve"> </w:t>
      </w:r>
      <w:r w:rsidR="000C7BFD" w:rsidRPr="00420034">
        <w:rPr>
          <w:rFonts w:hint="cs"/>
          <w:sz w:val="28"/>
          <w:szCs w:val="28"/>
          <w:rtl/>
          <w:lang w:val="en-US" w:bidi="ar-DZ"/>
        </w:rPr>
        <w:t>التنوع</w:t>
      </w:r>
      <w:r w:rsidR="00C01173" w:rsidRPr="00420034">
        <w:rPr>
          <w:rFonts w:hint="cs"/>
          <w:sz w:val="28"/>
          <w:szCs w:val="28"/>
          <w:rtl/>
          <w:lang w:val="en-US" w:bidi="ar-DZ"/>
        </w:rPr>
        <w:t xml:space="preserve">، </w:t>
      </w:r>
      <w:r w:rsidR="00C23656" w:rsidRPr="00420034">
        <w:rPr>
          <w:rFonts w:hint="cs"/>
          <w:sz w:val="28"/>
          <w:szCs w:val="28"/>
          <w:rtl/>
          <w:lang w:bidi="ar-DZ"/>
        </w:rPr>
        <w:t>و</w:t>
      </w:r>
      <w:r w:rsidR="00C23656" w:rsidRPr="00420034">
        <w:rPr>
          <w:rFonts w:hint="cs"/>
          <w:sz w:val="28"/>
          <w:szCs w:val="28"/>
          <w:rtl/>
        </w:rPr>
        <w:t>الاتصالية</w:t>
      </w:r>
      <w:r w:rsidR="00D86821" w:rsidRPr="00420034">
        <w:rPr>
          <w:rFonts w:hint="cs"/>
          <w:sz w:val="28"/>
          <w:szCs w:val="28"/>
          <w:rtl/>
          <w:lang w:val="en-US" w:bidi="ar-DZ"/>
        </w:rPr>
        <w:t xml:space="preserve"> </w:t>
      </w:r>
      <w:r w:rsidR="000C7BFD" w:rsidRPr="00420034">
        <w:rPr>
          <w:rFonts w:hint="cs"/>
          <w:sz w:val="28"/>
          <w:szCs w:val="28"/>
          <w:rtl/>
          <w:lang w:val="en-US" w:bidi="ar-DZ"/>
        </w:rPr>
        <w:t>و</w:t>
      </w:r>
      <w:r w:rsidR="00601A76" w:rsidRPr="00420034">
        <w:rPr>
          <w:rFonts w:hint="cs"/>
          <w:sz w:val="28"/>
          <w:szCs w:val="28"/>
          <w:rtl/>
          <w:lang w:val="en-US" w:bidi="ar-DZ"/>
        </w:rPr>
        <w:t>التكرار</w:t>
      </w:r>
      <w:r w:rsidRPr="00420034">
        <w:rPr>
          <w:rFonts w:hint="cs"/>
          <w:sz w:val="28"/>
          <w:szCs w:val="28"/>
          <w:rtl/>
          <w:lang w:val="en-US" w:bidi="ar-DZ"/>
        </w:rPr>
        <w:t>-</w:t>
      </w:r>
      <w:bookmarkEnd w:id="486"/>
      <w:bookmarkEnd w:id="487"/>
      <w:bookmarkEnd w:id="488"/>
      <w:bookmarkEnd w:id="489"/>
      <w:bookmarkEnd w:id="490"/>
      <w:r w:rsidRPr="00420034">
        <w:rPr>
          <w:rFonts w:hint="cs"/>
          <w:sz w:val="28"/>
          <w:szCs w:val="28"/>
          <w:rtl/>
          <w:lang w:val="en-US" w:bidi="ar-DZ"/>
        </w:rPr>
        <w:t xml:space="preserve"> </w:t>
      </w: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293414" w:rsidRDefault="00293414" w:rsidP="00293414">
      <w:pPr>
        <w:bidi/>
        <w:rPr>
          <w:rFonts w:ascii="Simplified Arabic" w:hAnsi="Simplified Arabic" w:cs="Simplified Arabic"/>
          <w:b/>
          <w:bCs/>
          <w:sz w:val="24"/>
          <w:szCs w:val="24"/>
          <w:rtl/>
          <w:lang w:val="en-US" w:bidi="ar-DZ"/>
        </w:rPr>
      </w:pPr>
    </w:p>
    <w:p w:rsidR="006B12FB" w:rsidRDefault="006B12FB" w:rsidP="006B12FB">
      <w:pPr>
        <w:bidi/>
        <w:rPr>
          <w:rFonts w:ascii="Simplified Arabic" w:hAnsi="Simplified Arabic" w:cs="Simplified Arabic"/>
          <w:b/>
          <w:bCs/>
          <w:sz w:val="24"/>
          <w:szCs w:val="24"/>
          <w:rtl/>
          <w:lang w:val="en-US" w:bidi="ar-DZ"/>
        </w:rPr>
      </w:pPr>
    </w:p>
    <w:p w:rsidR="000635D8" w:rsidRDefault="000635D8" w:rsidP="000635D8">
      <w:pPr>
        <w:bidi/>
        <w:rPr>
          <w:rFonts w:ascii="Simplified Arabic" w:hAnsi="Simplified Arabic" w:cs="Simplified Arabic"/>
          <w:b/>
          <w:bCs/>
          <w:sz w:val="24"/>
          <w:szCs w:val="24"/>
          <w:rtl/>
          <w:lang w:val="en-US" w:bidi="ar-DZ"/>
        </w:rPr>
      </w:pPr>
    </w:p>
    <w:p w:rsidR="0080260C" w:rsidRDefault="0080260C" w:rsidP="005A4E89">
      <w:pPr>
        <w:bidi/>
        <w:spacing w:after="0"/>
        <w:ind w:firstLine="283"/>
        <w:jc w:val="both"/>
        <w:rPr>
          <w:rFonts w:ascii="Simplified Arabic" w:hAnsi="Simplified Arabic" w:cs="Simplified Arabic"/>
          <w:sz w:val="24"/>
          <w:szCs w:val="24"/>
          <w:rtl/>
          <w:lang w:val="en-US" w:bidi="ar-DZ"/>
        </w:rPr>
        <w:sectPr w:rsidR="0080260C" w:rsidSect="00C01173">
          <w:headerReference w:type="default" r:id="rId178"/>
          <w:footerReference w:type="default" r:id="rId179"/>
          <w:headerReference w:type="first" r:id="rId180"/>
          <w:footerReference w:type="first" r:id="rId181"/>
          <w:type w:val="continuous"/>
          <w:pgSz w:w="11906" w:h="16838"/>
          <w:pgMar w:top="1418" w:right="1700" w:bottom="1418" w:left="1134" w:header="709" w:footer="709" w:gutter="0"/>
          <w:pgNumType w:start="112"/>
          <w:cols w:space="708"/>
          <w:titlePg/>
          <w:docGrid w:linePitch="360"/>
        </w:sectPr>
      </w:pPr>
    </w:p>
    <w:p w:rsidR="00293414" w:rsidRDefault="00293414" w:rsidP="00AA0719">
      <w:pPr>
        <w:bidi/>
        <w:spacing w:after="0"/>
        <w:outlineLvl w:val="0"/>
        <w:rPr>
          <w:rFonts w:ascii="Simplified Arabic" w:hAnsi="Simplified Arabic" w:cs="Simplified Arabic"/>
          <w:b/>
          <w:bCs/>
          <w:sz w:val="24"/>
          <w:szCs w:val="24"/>
          <w:rtl/>
          <w:lang w:val="en-US" w:bidi="ar-DZ"/>
        </w:rPr>
      </w:pPr>
      <w:bookmarkStart w:id="491" w:name="_Toc171803565"/>
      <w:r>
        <w:rPr>
          <w:rFonts w:ascii="Simplified Arabic" w:hAnsi="Simplified Arabic" w:cs="Simplified Arabic" w:hint="cs"/>
          <w:b/>
          <w:bCs/>
          <w:sz w:val="24"/>
          <w:szCs w:val="24"/>
          <w:rtl/>
          <w:lang w:val="en-US" w:bidi="ar-DZ"/>
        </w:rPr>
        <w:lastRenderedPageBreak/>
        <w:t>تمهيد</w:t>
      </w:r>
      <w:bookmarkEnd w:id="491"/>
    </w:p>
    <w:p w:rsidR="000635D8" w:rsidRDefault="000635D8" w:rsidP="00E8765E">
      <w:pPr>
        <w:bidi/>
        <w:spacing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خلال</w:t>
      </w:r>
      <w:r w:rsidRPr="00165ACF">
        <w:rPr>
          <w:rFonts w:ascii="Simplified Arabic" w:hAnsi="Simplified Arabic" w:cs="Simplified Arabic"/>
          <w:sz w:val="24"/>
          <w:szCs w:val="24"/>
          <w:rtl/>
          <w:lang w:val="en-US" w:bidi="ar-DZ"/>
        </w:rPr>
        <w:t xml:space="preserve"> </w:t>
      </w:r>
      <w:r w:rsidRPr="00165ACF">
        <w:rPr>
          <w:rFonts w:ascii="Simplified Arabic" w:hAnsi="Simplified Arabic" w:cs="Simplified Arabic" w:hint="cs"/>
          <w:sz w:val="24"/>
          <w:szCs w:val="24"/>
          <w:rtl/>
          <w:lang w:val="en-US" w:bidi="ar-DZ"/>
        </w:rPr>
        <w:t>هذا</w:t>
      </w:r>
      <w:r w:rsidRPr="00165ACF">
        <w:rPr>
          <w:rFonts w:ascii="Simplified Arabic" w:hAnsi="Simplified Arabic" w:cs="Simplified Arabic"/>
          <w:sz w:val="24"/>
          <w:szCs w:val="24"/>
          <w:rtl/>
          <w:lang w:val="en-US" w:bidi="ar-DZ"/>
        </w:rPr>
        <w:t xml:space="preserve"> </w:t>
      </w:r>
      <w:r w:rsidRPr="00165ACF">
        <w:rPr>
          <w:rFonts w:ascii="Simplified Arabic" w:hAnsi="Simplified Arabic" w:cs="Simplified Arabic" w:hint="cs"/>
          <w:sz w:val="24"/>
          <w:szCs w:val="24"/>
          <w:rtl/>
          <w:lang w:val="en-US" w:bidi="ar-DZ"/>
        </w:rPr>
        <w:t>الفصل</w:t>
      </w:r>
      <w:r>
        <w:rPr>
          <w:rFonts w:ascii="Simplified Arabic" w:hAnsi="Simplified Arabic" w:cs="Simplified Arabic" w:hint="cs"/>
          <w:sz w:val="24"/>
          <w:szCs w:val="24"/>
          <w:rtl/>
          <w:lang w:val="en-US" w:bidi="ar-DZ"/>
        </w:rPr>
        <w:t>، يتم تقديم</w:t>
      </w:r>
      <w:r w:rsidRPr="00165ACF">
        <w:rPr>
          <w:rFonts w:ascii="Simplified Arabic" w:hAnsi="Simplified Arabic" w:cs="Simplified Arabic"/>
          <w:sz w:val="24"/>
          <w:szCs w:val="24"/>
          <w:rtl/>
          <w:lang w:val="en-US" w:bidi="ar-DZ"/>
        </w:rPr>
        <w:t xml:space="preserve"> </w:t>
      </w:r>
      <w:r w:rsidRPr="00165ACF">
        <w:rPr>
          <w:rFonts w:ascii="Simplified Arabic" w:hAnsi="Simplified Arabic" w:cs="Simplified Arabic" w:hint="cs"/>
          <w:sz w:val="24"/>
          <w:szCs w:val="24"/>
          <w:rtl/>
          <w:lang w:val="en-US" w:bidi="ar-DZ"/>
        </w:rPr>
        <w:t>حالة</w:t>
      </w:r>
      <w:r w:rsidRPr="00165ACF">
        <w:rPr>
          <w:rFonts w:ascii="Simplified Arabic" w:hAnsi="Simplified Arabic" w:cs="Simplified Arabic"/>
          <w:sz w:val="24"/>
          <w:szCs w:val="24"/>
          <w:rtl/>
          <w:lang w:val="en-US" w:bidi="ar-DZ"/>
        </w:rPr>
        <w:t xml:space="preserve"> </w:t>
      </w:r>
      <w:r w:rsidRPr="00165ACF">
        <w:rPr>
          <w:rFonts w:ascii="Simplified Arabic" w:hAnsi="Simplified Arabic" w:cs="Simplified Arabic" w:hint="cs"/>
          <w:sz w:val="24"/>
          <w:szCs w:val="24"/>
          <w:rtl/>
          <w:lang w:val="en-US" w:bidi="ar-DZ"/>
        </w:rPr>
        <w:t>الدراسة</w:t>
      </w:r>
      <w:r w:rsidRPr="00165AC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مع التطرق الى دراسة الخصائص الطبيعية، المناخية، السكانية والسوسيو-اقتصادية ونشأة الفيضانات بالمدينة. يتم</w:t>
      </w:r>
      <w:r w:rsidRPr="00165ACF">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معرفة المراحل التاريخية لتطور المجال الحضري لمدينة بوسعادة، يلي ذلك،</w:t>
      </w:r>
      <w:r w:rsidRPr="00165AC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w:t>
      </w:r>
      <w:r w:rsidRPr="00165ACF">
        <w:rPr>
          <w:rFonts w:ascii="Simplified Arabic" w:hAnsi="Simplified Arabic" w:cs="Simplified Arabic" w:hint="cs"/>
          <w:sz w:val="24"/>
          <w:szCs w:val="24"/>
          <w:rtl/>
          <w:lang w:val="en-US" w:bidi="ar-DZ"/>
        </w:rPr>
        <w:t>تحليل</w:t>
      </w:r>
      <w:r>
        <w:rPr>
          <w:rFonts w:ascii="Simplified Arabic" w:hAnsi="Simplified Arabic" w:cs="Simplified Arabic" w:hint="cs"/>
          <w:sz w:val="24"/>
          <w:szCs w:val="24"/>
          <w:rtl/>
          <w:lang w:val="en-US" w:bidi="ar-DZ"/>
        </w:rPr>
        <w:t xml:space="preserve"> العمراني للتعرف على مختلف فئات النسيج الحضري ومعرفة </w:t>
      </w:r>
      <w:r w:rsidRPr="00165ACF">
        <w:rPr>
          <w:rFonts w:ascii="Simplified Arabic" w:hAnsi="Simplified Arabic" w:cs="Simplified Arabic" w:hint="cs"/>
          <w:sz w:val="24"/>
          <w:szCs w:val="24"/>
          <w:rtl/>
          <w:lang w:val="en-US" w:bidi="ar-DZ"/>
        </w:rPr>
        <w:t>نمط</w:t>
      </w:r>
      <w:r w:rsidRPr="00165ACF">
        <w:rPr>
          <w:rFonts w:ascii="Simplified Arabic" w:hAnsi="Simplified Arabic" w:cs="Simplified Arabic"/>
          <w:sz w:val="24"/>
          <w:szCs w:val="24"/>
          <w:rtl/>
          <w:lang w:val="en-US" w:bidi="ar-DZ"/>
        </w:rPr>
        <w:t xml:space="preserve"> </w:t>
      </w:r>
      <w:r w:rsidR="00E8765E">
        <w:rPr>
          <w:rFonts w:ascii="Simplified Arabic" w:hAnsi="Simplified Arabic" w:cs="Simplified Arabic" w:hint="cs"/>
          <w:sz w:val="24"/>
          <w:szCs w:val="24"/>
          <w:rtl/>
        </w:rPr>
        <w:t>استعمال</w:t>
      </w:r>
      <w:r w:rsidRPr="00165ACF">
        <w:rPr>
          <w:rFonts w:ascii="Simplified Arabic" w:hAnsi="Simplified Arabic" w:cs="Simplified Arabic"/>
          <w:sz w:val="24"/>
          <w:szCs w:val="24"/>
          <w:rtl/>
          <w:lang w:val="en-US" w:bidi="ar-DZ"/>
        </w:rPr>
        <w:t xml:space="preserve"> </w:t>
      </w:r>
      <w:r w:rsidRPr="00165ACF">
        <w:rPr>
          <w:rFonts w:ascii="Simplified Arabic" w:hAnsi="Simplified Arabic" w:cs="Simplified Arabic" w:hint="cs"/>
          <w:sz w:val="24"/>
          <w:szCs w:val="24"/>
          <w:rtl/>
          <w:lang w:val="en-US" w:bidi="ar-DZ"/>
        </w:rPr>
        <w:t>الأرض</w:t>
      </w:r>
      <w:r w:rsidRPr="00165AC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الحضرية</w:t>
      </w:r>
      <w:r w:rsidRPr="00165AC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للأحياء السكنية، </w:t>
      </w:r>
      <w:r w:rsidRPr="00165ACF">
        <w:rPr>
          <w:rFonts w:ascii="Simplified Arabic" w:hAnsi="Simplified Arabic" w:cs="Simplified Arabic" w:hint="cs"/>
          <w:sz w:val="24"/>
          <w:szCs w:val="24"/>
          <w:rtl/>
          <w:lang w:val="en-US" w:bidi="ar-DZ"/>
        </w:rPr>
        <w:t>من</w:t>
      </w:r>
      <w:r w:rsidRPr="00165ACF">
        <w:rPr>
          <w:rFonts w:ascii="Simplified Arabic" w:hAnsi="Simplified Arabic" w:cs="Simplified Arabic"/>
          <w:sz w:val="24"/>
          <w:szCs w:val="24"/>
          <w:rtl/>
          <w:lang w:val="en-US" w:bidi="ar-DZ"/>
        </w:rPr>
        <w:t xml:space="preserve"> </w:t>
      </w:r>
      <w:r w:rsidRPr="00165ACF">
        <w:rPr>
          <w:rFonts w:ascii="Simplified Arabic" w:hAnsi="Simplified Arabic" w:cs="Simplified Arabic" w:hint="cs"/>
          <w:sz w:val="24"/>
          <w:szCs w:val="24"/>
          <w:rtl/>
          <w:lang w:val="en-US" w:bidi="ar-DZ"/>
        </w:rPr>
        <w:t>حيث</w:t>
      </w:r>
      <w:r w:rsidRPr="00165AC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التوزيع المكاني</w:t>
      </w:r>
      <w:r w:rsidRPr="00165AC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للكثافة السكنية والسكانية</w:t>
      </w:r>
      <w:r w:rsidR="00EA3438">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w:t>
      </w:r>
      <w:r>
        <w:rPr>
          <w:rFonts w:ascii="Simplified Arabic" w:hAnsi="Simplified Arabic" w:cs="Simplified Arabic" w:hint="cs"/>
          <w:color w:val="000000"/>
          <w:sz w:val="24"/>
          <w:szCs w:val="24"/>
          <w:rtl/>
        </w:rPr>
        <w:t>المرافق</w:t>
      </w:r>
      <w:r w:rsidRPr="00165ACF">
        <w:rPr>
          <w:rFonts w:ascii="Simplified Arabic" w:hAnsi="Simplified Arabic" w:cs="Simplified Arabic" w:hint="cs"/>
          <w:sz w:val="24"/>
          <w:szCs w:val="24"/>
          <w:rtl/>
          <w:lang w:val="en-US" w:bidi="ar-DZ"/>
        </w:rPr>
        <w:t xml:space="preserve"> العامة</w:t>
      </w:r>
      <w:r w:rsidRPr="00165AC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و شبكة الطرق</w:t>
      </w:r>
      <w:r w:rsidRPr="00165ACF">
        <w:rPr>
          <w:rFonts w:ascii="Simplified Arabic" w:hAnsi="Simplified Arabic" w:cs="Simplified Arabic"/>
          <w:sz w:val="24"/>
          <w:szCs w:val="24"/>
          <w:rtl/>
          <w:lang w:val="en-US" w:bidi="ar-DZ"/>
        </w:rPr>
        <w:t>.</w:t>
      </w:r>
    </w:p>
    <w:p w:rsidR="000635D8" w:rsidRPr="003F7A7A" w:rsidRDefault="000635D8" w:rsidP="001D0548">
      <w:pPr>
        <w:pStyle w:val="Paragraphedeliste"/>
        <w:numPr>
          <w:ilvl w:val="1"/>
          <w:numId w:val="212"/>
        </w:numPr>
        <w:tabs>
          <w:tab w:val="right" w:pos="567"/>
        </w:tabs>
        <w:bidi/>
        <w:spacing w:before="240" w:after="0"/>
        <w:ind w:left="839" w:hanging="839"/>
        <w:outlineLvl w:val="0"/>
        <w:rPr>
          <w:rFonts w:ascii="Simplified Arabic" w:hAnsi="Simplified Arabic" w:cs="Simplified Arabic"/>
          <w:b/>
          <w:bCs/>
          <w:sz w:val="24"/>
          <w:szCs w:val="24"/>
          <w:rtl/>
          <w:lang w:val="en-US" w:bidi="ar-DZ"/>
        </w:rPr>
      </w:pPr>
      <w:bookmarkStart w:id="492" w:name="_Toc171803566"/>
      <w:r w:rsidRPr="003F7A7A">
        <w:rPr>
          <w:rFonts w:ascii="Simplified Arabic" w:hAnsi="Simplified Arabic" w:cs="Simplified Arabic" w:hint="cs"/>
          <w:b/>
          <w:bCs/>
          <w:sz w:val="24"/>
          <w:szCs w:val="24"/>
          <w:rtl/>
          <w:lang w:val="en-US" w:bidi="ar-DZ"/>
        </w:rPr>
        <w:t>تقديم حالة الدراسة</w:t>
      </w:r>
      <w:bookmarkEnd w:id="492"/>
    </w:p>
    <w:p w:rsidR="000635D8" w:rsidRDefault="000635D8" w:rsidP="000635D8">
      <w:pPr>
        <w:bidi/>
        <w:spacing w:after="0"/>
        <w:ind w:firstLine="283"/>
        <w:jc w:val="both"/>
        <w:rPr>
          <w:rFonts w:ascii="Simplified Arabic" w:hAnsi="Simplified Arabic" w:cs="Simplified Arabic"/>
          <w:sz w:val="24"/>
          <w:szCs w:val="24"/>
          <w:rtl/>
          <w:lang w:val="en-US" w:bidi="ar-DZ"/>
        </w:rPr>
      </w:pPr>
      <w:r w:rsidRPr="00A02B4F">
        <w:rPr>
          <w:rFonts w:ascii="Simplified Arabic" w:hAnsi="Simplified Arabic" w:cs="Simplified Arabic"/>
          <w:sz w:val="24"/>
          <w:szCs w:val="24"/>
          <w:rtl/>
          <w:lang w:val="en-US" w:bidi="ar-DZ"/>
        </w:rPr>
        <w:t>تعتبر مدينة بوسعادة من المدن الجزائرية</w:t>
      </w:r>
      <w:r>
        <w:rPr>
          <w:rFonts w:ascii="Simplified Arabic" w:hAnsi="Simplified Arabic" w:cs="Simplified Arabic" w:hint="cs"/>
          <w:sz w:val="24"/>
          <w:szCs w:val="24"/>
          <w:rtl/>
          <w:lang w:val="en-US" w:bidi="ar-DZ"/>
        </w:rPr>
        <w:t xml:space="preserve"> قديمة النشأة، حيث يعود تأسيسها الى حوالي 6 قرون تقريبا،</w:t>
      </w:r>
      <w:r w:rsidRPr="00A02B4F">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ظهر</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المركز</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القديم</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للمدينة</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في</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الواحة</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الواقعة</w:t>
      </w:r>
      <w:r w:rsidRPr="004E75CD">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ب</w:t>
      </w:r>
      <w:r w:rsidRPr="004E75CD">
        <w:rPr>
          <w:rFonts w:ascii="Simplified Arabic" w:hAnsi="Simplified Arabic" w:cs="Simplified Arabic" w:hint="cs"/>
          <w:sz w:val="24"/>
          <w:szCs w:val="24"/>
          <w:rtl/>
          <w:lang w:val="en-US" w:bidi="ar-DZ"/>
        </w:rPr>
        <w:t>ممر</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منخفض</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على</w:t>
      </w:r>
      <w:r w:rsidRPr="004E75CD">
        <w:rPr>
          <w:rFonts w:ascii="Simplified Arabic" w:hAnsi="Simplified Arabic" w:cs="Simplified Arabic"/>
          <w:sz w:val="24"/>
          <w:szCs w:val="24"/>
          <w:rtl/>
          <w:lang w:val="en-US" w:bidi="ar-DZ"/>
        </w:rPr>
        <w:t xml:space="preserve"> </w:t>
      </w:r>
      <w:r w:rsidRPr="004E75CD">
        <w:rPr>
          <w:rFonts w:ascii="Simplified Arabic" w:hAnsi="Simplified Arabic" w:cs="Simplified Arabic" w:hint="cs"/>
          <w:sz w:val="24"/>
          <w:szCs w:val="24"/>
          <w:rtl/>
          <w:lang w:val="en-US" w:bidi="ar-DZ"/>
        </w:rPr>
        <w:t>ارتفاع</w:t>
      </w:r>
      <w:r w:rsidRPr="004E75CD">
        <w:rPr>
          <w:rFonts w:ascii="Simplified Arabic" w:hAnsi="Simplified Arabic" w:cs="Simplified Arabic"/>
          <w:sz w:val="24"/>
          <w:szCs w:val="24"/>
          <w:rtl/>
          <w:lang w:val="en-US" w:bidi="ar-DZ"/>
        </w:rPr>
        <w:t xml:space="preserve"> 461-550 </w:t>
      </w:r>
      <w:r w:rsidRPr="004E75CD">
        <w:rPr>
          <w:rFonts w:ascii="Simplified Arabic" w:hAnsi="Simplified Arabic" w:cs="Simplified Arabic" w:hint="cs"/>
          <w:sz w:val="24"/>
          <w:szCs w:val="24"/>
          <w:rtl/>
          <w:lang w:val="en-US" w:bidi="ar-DZ"/>
        </w:rPr>
        <w:t>م</w:t>
      </w:r>
      <w:r w:rsidRPr="004E75CD">
        <w:rPr>
          <w:rFonts w:ascii="Simplified Arabic" w:hAnsi="Simplified Arabic" w:cs="Simplified Arabic"/>
          <w:sz w:val="24"/>
          <w:szCs w:val="24"/>
          <w:rtl/>
          <w:lang w:val="en-US" w:bidi="ar-DZ"/>
        </w:rPr>
        <w:t>.</w:t>
      </w:r>
      <w:r>
        <w:rPr>
          <w:rFonts w:ascii="Simplified Arabic" w:hAnsi="Simplified Arabic" w:cs="Simplified Arabic" w:hint="cs"/>
          <w:sz w:val="24"/>
          <w:szCs w:val="24"/>
          <w:rtl/>
          <w:lang w:val="en-US" w:bidi="ar-DZ"/>
        </w:rPr>
        <w:t xml:space="preserve"> </w:t>
      </w:r>
      <w:r w:rsidRPr="00A02B4F">
        <w:rPr>
          <w:rFonts w:ascii="Simplified Arabic" w:hAnsi="Simplified Arabic" w:cs="Simplified Arabic"/>
          <w:sz w:val="24"/>
          <w:szCs w:val="24"/>
          <w:rtl/>
          <w:lang w:val="en-US" w:bidi="ar-DZ"/>
        </w:rPr>
        <w:t>تتوفر على موقع استراتيجي هام</w:t>
      </w:r>
      <w:r>
        <w:rPr>
          <w:rFonts w:ascii="Simplified Arabic" w:hAnsi="Simplified Arabic" w:cs="Simplified Arabic" w:hint="cs"/>
          <w:sz w:val="24"/>
          <w:szCs w:val="24"/>
          <w:rtl/>
          <w:lang w:val="en-US" w:bidi="ar-DZ"/>
        </w:rPr>
        <w:t xml:space="preserve"> و</w:t>
      </w:r>
      <w:r w:rsidRPr="00A02B4F">
        <w:rPr>
          <w:rFonts w:ascii="Simplified Arabic" w:hAnsi="Simplified Arabic" w:cs="Simplified Arabic"/>
          <w:sz w:val="24"/>
          <w:szCs w:val="24"/>
          <w:rtl/>
          <w:lang w:val="en-US" w:bidi="ar-DZ"/>
        </w:rPr>
        <w:t xml:space="preserve">تتوسط عدة مدن </w:t>
      </w:r>
      <w:r>
        <w:rPr>
          <w:rFonts w:ascii="Simplified Arabic" w:hAnsi="Simplified Arabic" w:cs="Simplified Arabic" w:hint="cs"/>
          <w:sz w:val="24"/>
          <w:szCs w:val="24"/>
          <w:rtl/>
          <w:lang w:val="en-US" w:bidi="ar-DZ"/>
        </w:rPr>
        <w:t>(</w:t>
      </w:r>
      <w:r w:rsidRPr="00A02B4F">
        <w:rPr>
          <w:rFonts w:ascii="Simplified Arabic" w:hAnsi="Simplified Arabic" w:cs="Simplified Arabic"/>
          <w:sz w:val="24"/>
          <w:szCs w:val="24"/>
          <w:rtl/>
          <w:lang w:val="en-US" w:bidi="ar-DZ"/>
        </w:rPr>
        <w:t xml:space="preserve">المسيلة، </w:t>
      </w:r>
      <w:r w:rsidRPr="003F7A7A">
        <w:rPr>
          <w:rFonts w:ascii="Simplified Arabic" w:hAnsi="Simplified Arabic" w:cs="Simplified Arabic"/>
          <w:sz w:val="24"/>
          <w:szCs w:val="24"/>
          <w:rtl/>
          <w:lang w:val="en-US" w:bidi="ar-DZ"/>
        </w:rPr>
        <w:t>الجلفة</w:t>
      </w:r>
      <w:r w:rsidRPr="00A02B4F">
        <w:rPr>
          <w:rFonts w:ascii="Simplified Arabic" w:hAnsi="Simplified Arabic" w:cs="Simplified Arabic"/>
          <w:sz w:val="24"/>
          <w:szCs w:val="24"/>
          <w:rtl/>
          <w:lang w:val="en-US" w:bidi="ar-DZ"/>
        </w:rPr>
        <w:t>، بسكرة</w:t>
      </w:r>
      <w:r>
        <w:rPr>
          <w:rFonts w:ascii="Simplified Arabic" w:hAnsi="Simplified Arabic" w:cs="Simplified Arabic" w:hint="cs"/>
          <w:sz w:val="24"/>
          <w:szCs w:val="24"/>
          <w:rtl/>
          <w:lang w:val="en-US" w:bidi="ar-DZ"/>
        </w:rPr>
        <w:t>)،</w:t>
      </w:r>
      <w:r w:rsidRPr="00A02B4F">
        <w:rPr>
          <w:rFonts w:ascii="Simplified Arabic" w:hAnsi="Simplified Arabic" w:cs="Simplified Arabic"/>
          <w:sz w:val="24"/>
          <w:szCs w:val="24"/>
          <w:rtl/>
          <w:lang w:val="en-US" w:bidi="ar-DZ"/>
        </w:rPr>
        <w:t xml:space="preserve"> وهي بذلك ت</w:t>
      </w:r>
      <w:r>
        <w:rPr>
          <w:rFonts w:ascii="Simplified Arabic" w:hAnsi="Simplified Arabic" w:cs="Simplified Arabic"/>
          <w:sz w:val="24"/>
          <w:szCs w:val="24"/>
          <w:rtl/>
          <w:lang w:val="en-US" w:bidi="ar-DZ"/>
        </w:rPr>
        <w:t>شكل مفترق طرق</w:t>
      </w:r>
      <w:r w:rsidRPr="00A02B4F">
        <w:rPr>
          <w:rFonts w:ascii="Simplified Arabic" w:hAnsi="Simplified Arabic" w:cs="Simplified Arabic"/>
          <w:sz w:val="24"/>
          <w:szCs w:val="24"/>
          <w:rtl/>
          <w:lang w:val="en-US" w:bidi="ar-DZ"/>
        </w:rPr>
        <w:t>، جعل</w:t>
      </w:r>
      <w:r>
        <w:rPr>
          <w:rFonts w:ascii="Simplified Arabic" w:hAnsi="Simplified Arabic" w:cs="Simplified Arabic" w:hint="cs"/>
          <w:sz w:val="24"/>
          <w:szCs w:val="24"/>
          <w:rtl/>
          <w:lang w:val="en-US" w:bidi="ar-DZ"/>
        </w:rPr>
        <w:t xml:space="preserve"> منها</w:t>
      </w:r>
      <w:r>
        <w:rPr>
          <w:rFonts w:ascii="Simplified Arabic" w:hAnsi="Simplified Arabic" w:cs="Simplified Arabic"/>
          <w:sz w:val="24"/>
          <w:szCs w:val="24"/>
          <w:rtl/>
          <w:lang w:val="en-US" w:bidi="ar-DZ"/>
        </w:rPr>
        <w:t xml:space="preserve"> مركز جذب و</w:t>
      </w:r>
      <w:r w:rsidRPr="00A02B4F">
        <w:rPr>
          <w:rFonts w:ascii="Simplified Arabic" w:hAnsi="Simplified Arabic" w:cs="Simplified Arabic"/>
          <w:sz w:val="24"/>
          <w:szCs w:val="24"/>
          <w:rtl/>
          <w:lang w:val="en-US" w:bidi="ar-DZ"/>
        </w:rPr>
        <w:t xml:space="preserve">استقطاب بشري </w:t>
      </w:r>
      <w:r>
        <w:rPr>
          <w:rFonts w:ascii="Simplified Arabic" w:hAnsi="Simplified Arabic" w:cs="Simplified Arabic" w:hint="cs"/>
          <w:sz w:val="24"/>
          <w:szCs w:val="24"/>
          <w:rtl/>
          <w:lang w:val="en-US" w:bidi="ar-DZ"/>
        </w:rPr>
        <w:t>و</w:t>
      </w:r>
      <w:r w:rsidRPr="00A02B4F">
        <w:rPr>
          <w:rFonts w:ascii="Simplified Arabic" w:hAnsi="Simplified Arabic" w:cs="Simplified Arabic"/>
          <w:sz w:val="24"/>
          <w:szCs w:val="24"/>
          <w:rtl/>
          <w:lang w:val="en-US" w:bidi="ar-DZ"/>
        </w:rPr>
        <w:t>اقتصادي</w:t>
      </w:r>
      <w:r>
        <w:rPr>
          <w:rFonts w:ascii="Simplified Arabic" w:hAnsi="Simplified Arabic" w:cs="Simplified Arabic" w:hint="cs"/>
          <w:sz w:val="24"/>
          <w:szCs w:val="24"/>
          <w:rtl/>
          <w:lang w:val="en-US" w:bidi="ar-DZ"/>
        </w:rPr>
        <w:t xml:space="preserve"> هامين. شهدت السنوات الاخيرة توسعات حضرية غير مسبوقة رغم العوائق الطبيعية التي تسود المنطقة. </w:t>
      </w:r>
    </w:p>
    <w:p w:rsidR="000635D8" w:rsidRPr="00AE4B8B" w:rsidRDefault="000635D8" w:rsidP="00AE4B8B">
      <w:pPr>
        <w:bidi/>
        <w:spacing w:after="0"/>
        <w:ind w:firstLine="283"/>
        <w:jc w:val="both"/>
        <w:rPr>
          <w:rFonts w:asciiTheme="majorBidi" w:hAnsiTheme="majorBidi" w:cstheme="majorBidi"/>
          <w:sz w:val="24"/>
          <w:szCs w:val="24"/>
          <w:rtl/>
          <w:lang w:val="en-US" w:bidi="ar-DZ"/>
        </w:rPr>
      </w:pPr>
      <w:r>
        <w:rPr>
          <w:rFonts w:ascii="Simplified Arabic" w:hAnsi="Simplified Arabic" w:cs="Simplified Arabic" w:hint="cs"/>
          <w:sz w:val="24"/>
          <w:szCs w:val="24"/>
          <w:rtl/>
          <w:lang w:val="en-US" w:bidi="ar-DZ"/>
        </w:rPr>
        <w:t>ك</w:t>
      </w:r>
      <w:r w:rsidRPr="00C660F2">
        <w:rPr>
          <w:rFonts w:ascii="Simplified Arabic" w:hAnsi="Simplified Arabic" w:cs="Simplified Arabic" w:hint="cs"/>
          <w:sz w:val="24"/>
          <w:szCs w:val="24"/>
          <w:rtl/>
          <w:lang w:val="en-US" w:bidi="ar-DZ"/>
        </w:rPr>
        <w:t>غيرها</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من</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المدن</w:t>
      </w:r>
      <w:r w:rsidRPr="00C660F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الجزائرية</w:t>
      </w:r>
      <w:r w:rsidRPr="00C660F2">
        <w:rPr>
          <w:rFonts w:ascii="Simplified Arabic" w:hAnsi="Simplified Arabic" w:cs="Simplified Arabic" w:hint="cs"/>
          <w:sz w:val="24"/>
          <w:szCs w:val="24"/>
          <w:rtl/>
          <w:lang w:val="en-US" w:bidi="ar-DZ"/>
        </w:rPr>
        <w:t>،</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تتميز</w:t>
      </w:r>
      <w:r w:rsidRPr="00C660F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مدينة بوسعادة</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بأنماط</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حضرية</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مختلفة،</w:t>
      </w:r>
      <w:r w:rsidRPr="00C660F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شكل نسيجها القديم (القصر او المدينة القديمة) النواة الاولى للمدينة، اثناء الهيمنة الفرنسية، شهد نسيجها الحضري ظهور اول حي مخطط بنمطه الاوربي، غير انه في بداية الثورة التحريرية سنة 1954 وما قبلها، ظهرت عدة احياء غير مخططة، نتيجة التهجير القسري لسكان الارياف نحو المدن. في بداية الاستقلال نشأت </w:t>
      </w:r>
      <w:r w:rsidR="00AE4B8B" w:rsidRPr="00AE4B8B">
        <w:rPr>
          <w:rFonts w:ascii="Simplified Arabic" w:hAnsi="Simplified Arabic" w:cs="Simplified Arabic"/>
          <w:sz w:val="24"/>
          <w:szCs w:val="24"/>
          <w:rtl/>
          <w:lang w:val="en-US" w:bidi="ar-DZ"/>
        </w:rPr>
        <w:t>السلطات مجموعة واسعة</w:t>
      </w:r>
      <w:r w:rsidR="00AE4B8B" w:rsidRPr="00AE4B8B">
        <w:rPr>
          <w:rFonts w:ascii="Simplified Arabic" w:hAnsi="Simplified Arabic" w:cs="Simplified Arabic" w:hint="cs"/>
          <w:sz w:val="24"/>
          <w:szCs w:val="24"/>
          <w:rtl/>
          <w:lang w:val="en-US" w:bidi="ar-DZ"/>
        </w:rPr>
        <w:t xml:space="preserve"> من</w:t>
      </w:r>
      <w:r w:rsidR="00AE4B8B" w:rsidRPr="00AE4B8B">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الاحياء المخططة الناتجة عن التقسيمات الفرعية كالتجزئة الترابية </w:t>
      </w:r>
      <w:r w:rsidRPr="00656704">
        <w:rPr>
          <w:rFonts w:asciiTheme="majorBidi" w:hAnsiTheme="majorBidi" w:cstheme="majorBidi" w:hint="cs"/>
          <w:sz w:val="24"/>
          <w:szCs w:val="24"/>
          <w:rtl/>
          <w:lang w:val="en-US" w:bidi="ar-DZ"/>
        </w:rPr>
        <w:t>(</w:t>
      </w:r>
      <w:r w:rsidRPr="00AE4B8B">
        <w:rPr>
          <w:rFonts w:asciiTheme="majorBidi" w:hAnsiTheme="majorBidi" w:cstheme="majorBidi"/>
          <w:sz w:val="24"/>
          <w:szCs w:val="24"/>
          <w:lang w:bidi="ar-DZ"/>
        </w:rPr>
        <w:t>L</w:t>
      </w:r>
      <w:r w:rsidR="00AE4B8B" w:rsidRPr="00AE4B8B">
        <w:rPr>
          <w:rFonts w:asciiTheme="majorBidi" w:hAnsiTheme="majorBidi" w:cstheme="majorBidi"/>
          <w:sz w:val="24"/>
          <w:szCs w:val="24"/>
          <w:lang w:bidi="ar-DZ"/>
        </w:rPr>
        <w:t>otissements</w:t>
      </w:r>
      <w:r w:rsidRPr="00656704">
        <w:rPr>
          <w:rFonts w:asciiTheme="majorBidi" w:hAnsiTheme="majorBidi" w:cstheme="majorBidi" w:hint="cs"/>
          <w:sz w:val="24"/>
          <w:szCs w:val="24"/>
          <w:rtl/>
          <w:lang w:val="en-US" w:bidi="ar-DZ"/>
        </w:rPr>
        <w:t>)</w:t>
      </w:r>
      <w:r>
        <w:rPr>
          <w:rFonts w:ascii="Simplified Arabic" w:hAnsi="Simplified Arabic" w:cs="Simplified Arabic" w:hint="cs"/>
          <w:sz w:val="24"/>
          <w:szCs w:val="24"/>
          <w:rtl/>
          <w:lang w:val="en-US" w:bidi="ar-DZ"/>
        </w:rPr>
        <w:t xml:space="preserve"> والمناطق </w:t>
      </w:r>
      <w:r w:rsidR="009D0A60">
        <w:rPr>
          <w:rFonts w:ascii="Simplified Arabic" w:hAnsi="Simplified Arabic" w:cs="Simplified Arabic" w:hint="cs"/>
          <w:sz w:val="24"/>
          <w:szCs w:val="24"/>
          <w:rtl/>
          <w:lang w:val="en-US" w:bidi="ar-DZ"/>
        </w:rPr>
        <w:t xml:space="preserve">السكنية </w:t>
      </w:r>
      <w:r>
        <w:rPr>
          <w:rFonts w:ascii="Simplified Arabic" w:hAnsi="Simplified Arabic" w:cs="Simplified Arabic" w:hint="cs"/>
          <w:sz w:val="24"/>
          <w:szCs w:val="24"/>
          <w:rtl/>
          <w:lang w:val="en-US" w:bidi="ar-DZ"/>
        </w:rPr>
        <w:t xml:space="preserve">الحضرية الجديدة </w:t>
      </w:r>
      <w:r w:rsidRPr="00BC17C8">
        <w:rPr>
          <w:rFonts w:asciiTheme="majorBidi" w:hAnsiTheme="majorBidi" w:cstheme="majorBidi"/>
          <w:sz w:val="24"/>
          <w:szCs w:val="24"/>
          <w:rtl/>
          <w:lang w:val="en-US" w:bidi="ar-DZ"/>
        </w:rPr>
        <w:t>(</w:t>
      </w:r>
      <w:r w:rsidRPr="00BC17C8">
        <w:rPr>
          <w:rFonts w:asciiTheme="majorBidi" w:hAnsiTheme="majorBidi" w:cstheme="majorBidi"/>
          <w:sz w:val="24"/>
          <w:szCs w:val="24"/>
          <w:lang w:val="en-US" w:bidi="ar-DZ"/>
        </w:rPr>
        <w:t>ZHUN</w:t>
      </w:r>
      <w:r w:rsidRPr="00BC17C8">
        <w:rPr>
          <w:rFonts w:asciiTheme="majorBidi" w:hAnsiTheme="majorBidi" w:cstheme="majorBidi"/>
          <w:sz w:val="24"/>
          <w:szCs w:val="24"/>
          <w:rtl/>
          <w:lang w:val="en-US" w:bidi="ar-DZ"/>
        </w:rPr>
        <w:t>)</w:t>
      </w:r>
      <w:r w:rsidR="00AE4B8B">
        <w:rPr>
          <w:rFonts w:asciiTheme="majorBidi" w:hAnsiTheme="majorBidi" w:cstheme="majorBidi" w:hint="cs"/>
          <w:sz w:val="24"/>
          <w:szCs w:val="24"/>
          <w:rtl/>
          <w:lang w:val="en-US" w:bidi="ar-DZ"/>
        </w:rPr>
        <w:t xml:space="preserve"> </w:t>
      </w:r>
      <w:r w:rsidR="00AE4B8B" w:rsidRPr="00AE4B8B">
        <w:rPr>
          <w:rFonts w:asciiTheme="majorBidi" w:hAnsiTheme="majorBidi" w:cstheme="majorBidi"/>
          <w:sz w:val="24"/>
          <w:szCs w:val="24"/>
        </w:rPr>
        <w:t>(Mili et al., 2015)</w:t>
      </w:r>
      <w:r w:rsidR="00AE4B8B" w:rsidRPr="00AE4B8B">
        <w:rPr>
          <w:rFonts w:ascii="Simplified Arabic" w:hAnsi="Simplified Arabic" w:cs="Simplified Arabic"/>
          <w:sz w:val="24"/>
          <w:szCs w:val="24"/>
          <w:rtl/>
        </w:rPr>
        <w:t xml:space="preserve">. </w:t>
      </w:r>
      <w:r w:rsidRPr="00191CA7">
        <w:rPr>
          <w:rFonts w:ascii="Simplified Arabic" w:hAnsi="Simplified Arabic" w:cs="Simplified Arabic" w:hint="cs"/>
          <w:sz w:val="24"/>
          <w:szCs w:val="24"/>
          <w:rtl/>
          <w:lang w:val="en-US" w:bidi="ar-DZ"/>
        </w:rPr>
        <w:t>في</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الوقت</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الحالي،</w:t>
      </w:r>
      <w:r w:rsidRPr="00191CA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ت</w:t>
      </w:r>
      <w:r w:rsidRPr="00191CA7">
        <w:rPr>
          <w:rFonts w:ascii="Simplified Arabic" w:hAnsi="Simplified Arabic" w:cs="Simplified Arabic" w:hint="cs"/>
          <w:sz w:val="24"/>
          <w:szCs w:val="24"/>
          <w:rtl/>
          <w:lang w:val="en-US" w:bidi="ar-DZ"/>
        </w:rPr>
        <w:t>مر</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بوسع</w:t>
      </w:r>
      <w:r>
        <w:rPr>
          <w:rFonts w:ascii="Simplified Arabic" w:hAnsi="Simplified Arabic" w:cs="Simplified Arabic" w:hint="cs"/>
          <w:sz w:val="24"/>
          <w:szCs w:val="24"/>
          <w:rtl/>
          <w:lang w:val="en-US" w:bidi="ar-DZ"/>
        </w:rPr>
        <w:t>ا</w:t>
      </w:r>
      <w:r w:rsidRPr="00191CA7">
        <w:rPr>
          <w:rFonts w:ascii="Simplified Arabic" w:hAnsi="Simplified Arabic" w:cs="Simplified Arabic" w:hint="cs"/>
          <w:sz w:val="24"/>
          <w:szCs w:val="24"/>
          <w:rtl/>
          <w:lang w:val="en-US" w:bidi="ar-DZ"/>
        </w:rPr>
        <w:t>د</w:t>
      </w:r>
      <w:r>
        <w:rPr>
          <w:rFonts w:ascii="Simplified Arabic" w:hAnsi="Simplified Arabic" w:cs="Simplified Arabic" w:hint="cs"/>
          <w:sz w:val="24"/>
          <w:szCs w:val="24"/>
          <w:rtl/>
          <w:lang w:val="en-US" w:bidi="ar-DZ"/>
        </w:rPr>
        <w:t>ة</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بتغير</w:t>
      </w:r>
      <w:r w:rsidRPr="00191CA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مظهرها الحضري</w:t>
      </w:r>
      <w:r w:rsidRPr="00191CA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w:t>
      </w:r>
      <w:r w:rsidRPr="00191CA7">
        <w:rPr>
          <w:rFonts w:ascii="Simplified Arabic" w:hAnsi="Simplified Arabic" w:cs="Simplified Arabic" w:hint="cs"/>
          <w:sz w:val="24"/>
          <w:szCs w:val="24"/>
          <w:rtl/>
          <w:lang w:val="en-US" w:bidi="ar-DZ"/>
        </w:rPr>
        <w:t>ن</w:t>
      </w:r>
      <w:r>
        <w:rPr>
          <w:rFonts w:ascii="Simplified Arabic" w:hAnsi="Simplified Arabic" w:cs="Simplified Arabic" w:hint="cs"/>
          <w:sz w:val="24"/>
          <w:szCs w:val="24"/>
          <w:rtl/>
          <w:lang w:val="en-US" w:bidi="ar-DZ"/>
        </w:rPr>
        <w:t>ا</w:t>
      </w:r>
      <w:r w:rsidRPr="00191CA7">
        <w:rPr>
          <w:rFonts w:ascii="Simplified Arabic" w:hAnsi="Simplified Arabic" w:cs="Simplified Arabic" w:hint="cs"/>
          <w:sz w:val="24"/>
          <w:szCs w:val="24"/>
          <w:rtl/>
          <w:lang w:val="en-US" w:bidi="ar-DZ"/>
        </w:rPr>
        <w:t>تج</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عن</w:t>
      </w:r>
      <w:r w:rsidRPr="00191CA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التمدد</w:t>
      </w:r>
      <w:r w:rsidRPr="00191CA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w:t>
      </w:r>
      <w:r w:rsidRPr="00191CA7">
        <w:rPr>
          <w:rFonts w:ascii="Simplified Arabic" w:hAnsi="Simplified Arabic" w:cs="Simplified Arabic" w:hint="cs"/>
          <w:sz w:val="24"/>
          <w:szCs w:val="24"/>
          <w:rtl/>
          <w:lang w:val="en-US" w:bidi="ar-DZ"/>
        </w:rPr>
        <w:t>حضري</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بطريقة</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فوضوية</w:t>
      </w:r>
      <w:r>
        <w:rPr>
          <w:rFonts w:ascii="Simplified Arabic" w:hAnsi="Simplified Arabic" w:cs="Simplified Arabic" w:hint="cs"/>
          <w:sz w:val="24"/>
          <w:szCs w:val="24"/>
          <w:rtl/>
          <w:lang w:val="en-US" w:bidi="ar-DZ"/>
        </w:rPr>
        <w:t xml:space="preserve"> وعلى اساس تفكير سلبي</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يصعب</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السيطرة</w:t>
      </w:r>
      <w:r w:rsidRPr="00191CA7">
        <w:rPr>
          <w:rFonts w:ascii="Simplified Arabic" w:hAnsi="Simplified Arabic" w:cs="Simplified Arabic"/>
          <w:sz w:val="24"/>
          <w:szCs w:val="24"/>
          <w:rtl/>
          <w:lang w:val="en-US" w:bidi="ar-DZ"/>
        </w:rPr>
        <w:t xml:space="preserve"> </w:t>
      </w:r>
      <w:r w:rsidRPr="00191CA7">
        <w:rPr>
          <w:rFonts w:ascii="Simplified Arabic" w:hAnsi="Simplified Arabic" w:cs="Simplified Arabic" w:hint="cs"/>
          <w:sz w:val="24"/>
          <w:szCs w:val="24"/>
          <w:rtl/>
          <w:lang w:val="en-US" w:bidi="ar-DZ"/>
        </w:rPr>
        <w:t>عليه</w:t>
      </w:r>
      <w:r w:rsidRPr="00191CA7">
        <w:rPr>
          <w:rFonts w:ascii="Simplified Arabic" w:hAnsi="Simplified Arabic" w:cs="Simplified Arabic"/>
          <w:sz w:val="24"/>
          <w:szCs w:val="24"/>
          <w:rtl/>
          <w:lang w:val="en-US" w:bidi="ar-DZ"/>
        </w:rPr>
        <w:t>.</w:t>
      </w:r>
      <w:r>
        <w:rPr>
          <w:rFonts w:ascii="Simplified Arabic" w:hAnsi="Simplified Arabic" w:cs="Simplified Arabic" w:hint="cs"/>
          <w:sz w:val="24"/>
          <w:szCs w:val="24"/>
          <w:rtl/>
          <w:lang w:val="en-US" w:bidi="ar-DZ"/>
        </w:rPr>
        <w:t xml:space="preserve"> </w:t>
      </w:r>
      <w:r w:rsidRPr="00C660F2">
        <w:rPr>
          <w:rFonts w:ascii="Simplified Arabic" w:hAnsi="Simplified Arabic" w:cs="Simplified Arabic" w:hint="cs"/>
          <w:sz w:val="24"/>
          <w:szCs w:val="24"/>
          <w:rtl/>
          <w:lang w:val="en-US" w:bidi="ar-DZ"/>
        </w:rPr>
        <w:t>مما</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جعل</w:t>
      </w:r>
      <w:r>
        <w:rPr>
          <w:rFonts w:ascii="Simplified Arabic" w:hAnsi="Simplified Arabic" w:cs="Simplified Arabic" w:hint="cs"/>
          <w:sz w:val="24"/>
          <w:szCs w:val="24"/>
          <w:rtl/>
          <w:lang w:val="en-US" w:bidi="ar-DZ"/>
        </w:rPr>
        <w:t xml:space="preserve"> مدينة بوسعادة</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حالة</w:t>
      </w:r>
      <w:r w:rsidRPr="00C660F2">
        <w:rPr>
          <w:rFonts w:ascii="Simplified Arabic" w:hAnsi="Simplified Arabic" w:cs="Simplified Arabic"/>
          <w:sz w:val="24"/>
          <w:szCs w:val="24"/>
          <w:rtl/>
          <w:lang w:val="en-US" w:bidi="ar-DZ"/>
        </w:rPr>
        <w:t xml:space="preserve"> </w:t>
      </w:r>
      <w:r w:rsidRPr="00C660F2">
        <w:rPr>
          <w:rFonts w:ascii="Simplified Arabic" w:hAnsi="Simplified Arabic" w:cs="Simplified Arabic" w:hint="cs"/>
          <w:sz w:val="24"/>
          <w:szCs w:val="24"/>
          <w:rtl/>
          <w:lang w:val="en-US" w:bidi="ar-DZ"/>
        </w:rPr>
        <w:t>مناسبة</w:t>
      </w:r>
      <w:r>
        <w:rPr>
          <w:rFonts w:ascii="Simplified Arabic" w:hAnsi="Simplified Arabic" w:cs="Simplified Arabic" w:hint="cs"/>
          <w:sz w:val="24"/>
          <w:szCs w:val="24"/>
          <w:rtl/>
          <w:lang w:val="en-US" w:bidi="ar-DZ"/>
        </w:rPr>
        <w:t xml:space="preserve"> للبحث ولفهم مستوى مرونة</w:t>
      </w:r>
      <w:r w:rsidRPr="00C660F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مختلف انماط </w:t>
      </w:r>
      <w:r w:rsidR="00E8765E">
        <w:rPr>
          <w:rFonts w:ascii="Simplified Arabic" w:hAnsi="Simplified Arabic" w:cs="Simplified Arabic" w:hint="cs"/>
          <w:sz w:val="24"/>
          <w:szCs w:val="24"/>
          <w:rtl/>
        </w:rPr>
        <w:t>استعمال</w:t>
      </w:r>
      <w:r>
        <w:rPr>
          <w:rFonts w:ascii="Simplified Arabic" w:hAnsi="Simplified Arabic" w:cs="Simplified Arabic" w:hint="cs"/>
          <w:sz w:val="24"/>
          <w:szCs w:val="24"/>
          <w:rtl/>
          <w:lang w:val="en-US" w:bidi="ar-DZ"/>
        </w:rPr>
        <w:t>ات الارض الحضرية</w:t>
      </w:r>
      <w:r w:rsidRPr="00C660F2">
        <w:rPr>
          <w:rFonts w:ascii="Simplified Arabic" w:hAnsi="Simplified Arabic" w:cs="Simplified Arabic"/>
          <w:sz w:val="24"/>
          <w:szCs w:val="24"/>
          <w:rtl/>
          <w:lang w:val="en-US" w:bidi="ar-DZ"/>
        </w:rPr>
        <w:t>.</w:t>
      </w:r>
      <w:r>
        <w:rPr>
          <w:rFonts w:ascii="Simplified Arabic" w:hAnsi="Simplified Arabic" w:cs="Simplified Arabic" w:hint="cs"/>
          <w:sz w:val="24"/>
          <w:szCs w:val="24"/>
          <w:rtl/>
          <w:lang w:val="en-US" w:bidi="ar-DZ"/>
        </w:rPr>
        <w:t xml:space="preserve"> </w:t>
      </w:r>
    </w:p>
    <w:p w:rsidR="000635D8" w:rsidRPr="00D32AC3" w:rsidRDefault="000635D8" w:rsidP="001D0548">
      <w:pPr>
        <w:pStyle w:val="Paragraphedeliste"/>
        <w:numPr>
          <w:ilvl w:val="1"/>
          <w:numId w:val="137"/>
        </w:numPr>
        <w:tabs>
          <w:tab w:val="right" w:pos="567"/>
        </w:tabs>
        <w:bidi/>
        <w:spacing w:after="0"/>
        <w:ind w:left="0" w:firstLine="0"/>
        <w:jc w:val="both"/>
        <w:outlineLvl w:val="0"/>
        <w:rPr>
          <w:rFonts w:ascii="Simplified Arabic" w:hAnsi="Simplified Arabic" w:cs="Simplified Arabic"/>
          <w:sz w:val="24"/>
          <w:szCs w:val="24"/>
          <w:rtl/>
          <w:lang w:val="en-US" w:bidi="ar-DZ"/>
        </w:rPr>
      </w:pPr>
      <w:bookmarkStart w:id="493" w:name="_Toc171803567"/>
      <w:r w:rsidRPr="00D32AC3">
        <w:rPr>
          <w:rFonts w:ascii="Simplified Arabic" w:hAnsi="Simplified Arabic" w:cs="Simplified Arabic" w:hint="cs"/>
          <w:b/>
          <w:bCs/>
          <w:sz w:val="24"/>
          <w:szCs w:val="24"/>
          <w:rtl/>
          <w:lang w:val="en-US" w:bidi="ar-DZ"/>
        </w:rPr>
        <w:t>خصائص الموقع</w:t>
      </w:r>
      <w:bookmarkEnd w:id="493"/>
    </w:p>
    <w:p w:rsidR="000635D8" w:rsidRPr="0013404D" w:rsidRDefault="000635D8" w:rsidP="000635D8">
      <w:pPr>
        <w:tabs>
          <w:tab w:val="right" w:pos="281"/>
        </w:tabs>
        <w:bidi/>
        <w:spacing w:after="0"/>
        <w:ind w:firstLine="283"/>
        <w:jc w:val="both"/>
        <w:rPr>
          <w:rFonts w:ascii="Simplified Arabic" w:hAnsi="Simplified Arabic" w:cs="Simplified Arabic"/>
          <w:sz w:val="24"/>
          <w:szCs w:val="24"/>
        </w:rPr>
      </w:pPr>
      <w:r w:rsidRPr="00C96EFE">
        <w:rPr>
          <w:rStyle w:val="y2iqfc"/>
          <w:rFonts w:ascii="Simplified Arabic" w:hAnsi="Simplified Arabic" w:cs="Simplified Arabic"/>
          <w:color w:val="202124"/>
          <w:sz w:val="24"/>
          <w:szCs w:val="24"/>
          <w:rtl/>
          <w:lang w:val="en-US" w:bidi="ar"/>
        </w:rPr>
        <w:t xml:space="preserve">بوسعادة </w:t>
      </w:r>
      <w:r w:rsidRPr="00C96EFE">
        <w:rPr>
          <w:rFonts w:ascii="Simplified Arabic" w:hAnsi="Simplified Arabic" w:cs="Simplified Arabic"/>
          <w:sz w:val="24"/>
          <w:szCs w:val="24"/>
          <w:rtl/>
        </w:rPr>
        <w:t>مدينة جزائرية</w:t>
      </w:r>
      <w:r>
        <w:rPr>
          <w:rFonts w:ascii="Simplified Arabic" w:hAnsi="Simplified Arabic" w:cs="Simplified Arabic" w:hint="cs"/>
          <w:sz w:val="24"/>
          <w:szCs w:val="24"/>
          <w:rtl/>
        </w:rPr>
        <w:t>، تبعد عن الجزائر العاصمة بمسافة 250 كلم نحو الجنوب الشرقي، تقع في الجزء الجنوبي لولاية المسيلة، و</w:t>
      </w:r>
      <w:r w:rsidRPr="00CC4CD2">
        <w:rPr>
          <w:rFonts w:ascii="Simplified Arabic" w:hAnsi="Simplified Arabic" w:cs="Simplified Arabic"/>
          <w:sz w:val="24"/>
          <w:szCs w:val="24"/>
          <w:rtl/>
        </w:rPr>
        <w:t>هي نقطة تقاطع</w:t>
      </w:r>
      <w:r>
        <w:rPr>
          <w:rFonts w:ascii="Simplified Arabic" w:hAnsi="Simplified Arabic" w:cs="Simplified Arabic" w:hint="cs"/>
          <w:sz w:val="24"/>
          <w:szCs w:val="24"/>
          <w:rtl/>
        </w:rPr>
        <w:t xml:space="preserve"> محاور ثلاثة طرق وطنية هامة، هي</w:t>
      </w:r>
      <w:r w:rsidRPr="00CC4CD2">
        <w:rPr>
          <w:rFonts w:ascii="Simplified Arabic" w:hAnsi="Simplified Arabic" w:cs="Simplified Arabic"/>
          <w:sz w:val="24"/>
          <w:szCs w:val="24"/>
          <w:rtl/>
        </w:rPr>
        <w:t xml:space="preserve"> الطريق الوطني رقم </w:t>
      </w:r>
      <w:r>
        <w:rPr>
          <w:rFonts w:ascii="Simplified Arabic" w:hAnsi="Simplified Arabic" w:cs="Simplified Arabic" w:hint="cs"/>
          <w:sz w:val="24"/>
          <w:szCs w:val="24"/>
          <w:rtl/>
        </w:rPr>
        <w:t>(8)</w:t>
      </w:r>
      <w:r w:rsidRPr="00CC4CD2">
        <w:rPr>
          <w:rFonts w:ascii="Simplified Arabic" w:hAnsi="Simplified Arabic" w:cs="Simplified Arabic"/>
          <w:sz w:val="24"/>
          <w:szCs w:val="24"/>
          <w:rtl/>
        </w:rPr>
        <w:t>، الطريق الوطني</w:t>
      </w:r>
      <w:r w:rsidRPr="00CC4CD2">
        <w:rPr>
          <w:rFonts w:ascii="Simplified Arabic" w:hAnsi="Simplified Arabic" w:cs="Simplified Arabic" w:hint="cs"/>
          <w:sz w:val="24"/>
          <w:szCs w:val="24"/>
          <w:rtl/>
        </w:rPr>
        <w:t xml:space="preserve"> رقم</w:t>
      </w:r>
      <w:r w:rsidRPr="00CC4CD2">
        <w:rPr>
          <w:rFonts w:ascii="Simplified Arabic" w:hAnsi="Simplified Arabic" w:cs="Simplified Arabic"/>
          <w:sz w:val="24"/>
          <w:szCs w:val="24"/>
          <w:rtl/>
        </w:rPr>
        <w:t xml:space="preserve"> </w:t>
      </w:r>
      <w:r>
        <w:rPr>
          <w:rFonts w:ascii="Simplified Arabic" w:hAnsi="Simplified Arabic" w:cs="Simplified Arabic" w:hint="cs"/>
          <w:sz w:val="24"/>
          <w:szCs w:val="24"/>
          <w:rtl/>
        </w:rPr>
        <w:t>(46) و</w:t>
      </w:r>
      <w:r w:rsidRPr="00CC4CD2">
        <w:rPr>
          <w:rFonts w:ascii="Simplified Arabic" w:hAnsi="Simplified Arabic" w:cs="Simplified Arabic"/>
          <w:sz w:val="24"/>
          <w:szCs w:val="24"/>
          <w:rtl/>
        </w:rPr>
        <w:t>الطريق الوطني</w:t>
      </w:r>
      <w:r w:rsidRPr="00CC4CD2">
        <w:rPr>
          <w:rFonts w:ascii="Simplified Arabic" w:hAnsi="Simplified Arabic" w:cs="Simplified Arabic" w:hint="cs"/>
          <w:sz w:val="24"/>
          <w:szCs w:val="24"/>
          <w:rtl/>
        </w:rPr>
        <w:t xml:space="preserve"> رقم</w:t>
      </w:r>
      <w:r w:rsidRPr="00CC4CD2">
        <w:rPr>
          <w:rFonts w:ascii="Simplified Arabic" w:hAnsi="Simplified Arabic" w:cs="Simplified Arabic"/>
          <w:sz w:val="24"/>
          <w:szCs w:val="24"/>
          <w:rtl/>
        </w:rPr>
        <w:t xml:space="preserve"> </w:t>
      </w:r>
      <w:r>
        <w:rPr>
          <w:rFonts w:ascii="Simplified Arabic" w:hAnsi="Simplified Arabic" w:cs="Simplified Arabic" w:hint="cs"/>
          <w:sz w:val="24"/>
          <w:szCs w:val="24"/>
          <w:rtl/>
        </w:rPr>
        <w:t>(89).</w:t>
      </w:r>
      <w:r w:rsidRPr="00CC4CD2">
        <w:rPr>
          <w:rFonts w:ascii="Simplified Arabic" w:hAnsi="Simplified Arabic" w:cs="Simplified Arabic" w:hint="cs"/>
          <w:sz w:val="24"/>
          <w:szCs w:val="24"/>
          <w:rtl/>
        </w:rPr>
        <w:t xml:space="preserve"> يعتبر </w:t>
      </w:r>
      <w:r w:rsidRPr="00CC4CD2">
        <w:rPr>
          <w:rFonts w:ascii="Simplified Arabic" w:hAnsi="Simplified Arabic" w:cs="Simplified Arabic"/>
          <w:sz w:val="24"/>
          <w:szCs w:val="24"/>
          <w:rtl/>
        </w:rPr>
        <w:t xml:space="preserve">المجرى المائي </w:t>
      </w:r>
      <w:r>
        <w:rPr>
          <w:rFonts w:ascii="Simplified Arabic" w:hAnsi="Simplified Arabic" w:cs="Simplified Arabic"/>
          <w:sz w:val="24"/>
          <w:szCs w:val="24"/>
          <w:rtl/>
        </w:rPr>
        <w:t xml:space="preserve">واد </w:t>
      </w:r>
      <w:r>
        <w:rPr>
          <w:rFonts w:ascii="Simplified Arabic" w:hAnsi="Simplified Arabic" w:cs="Simplified Arabic" w:hint="cs"/>
          <w:sz w:val="24"/>
          <w:szCs w:val="24"/>
          <w:rtl/>
        </w:rPr>
        <w:t xml:space="preserve">بوسعادة </w:t>
      </w:r>
      <w:r w:rsidRPr="00CC4CD2">
        <w:rPr>
          <w:rFonts w:ascii="Simplified Arabic" w:hAnsi="Simplified Arabic" w:cs="Simplified Arabic"/>
          <w:sz w:val="24"/>
          <w:szCs w:val="24"/>
          <w:rtl/>
        </w:rPr>
        <w:t xml:space="preserve">من أهم الأسباب التي جعلت مدينة </w:t>
      </w:r>
      <w:r>
        <w:rPr>
          <w:rFonts w:ascii="Simplified Arabic" w:hAnsi="Simplified Arabic" w:cs="Simplified Arabic" w:hint="cs"/>
          <w:sz w:val="24"/>
          <w:szCs w:val="24"/>
          <w:rtl/>
        </w:rPr>
        <w:t>بوسعادة</w:t>
      </w:r>
      <w:r w:rsidRPr="00CC4CD2">
        <w:rPr>
          <w:rFonts w:ascii="Simplified Arabic" w:hAnsi="Simplified Arabic" w:cs="Simplified Arabic"/>
          <w:sz w:val="24"/>
          <w:szCs w:val="24"/>
          <w:rtl/>
        </w:rPr>
        <w:t xml:space="preserve"> تنشأ و</w:t>
      </w:r>
      <w:r w:rsidRPr="00CC4CD2">
        <w:rPr>
          <w:rFonts w:ascii="Simplified Arabic" w:hAnsi="Simplified Arabic" w:cs="Simplified Arabic" w:hint="cs"/>
          <w:sz w:val="24"/>
          <w:szCs w:val="24"/>
          <w:rtl/>
        </w:rPr>
        <w:t xml:space="preserve"> </w:t>
      </w:r>
      <w:r w:rsidRPr="00CC4CD2">
        <w:rPr>
          <w:rFonts w:ascii="Simplified Arabic" w:hAnsi="Simplified Arabic" w:cs="Simplified Arabic"/>
          <w:sz w:val="24"/>
          <w:szCs w:val="24"/>
          <w:rtl/>
        </w:rPr>
        <w:t>تتطور عبر مراحل زمن</w:t>
      </w:r>
      <w:r>
        <w:rPr>
          <w:rFonts w:ascii="Simplified Arabic" w:hAnsi="Simplified Arabic" w:cs="Simplified Arabic" w:hint="cs"/>
          <w:sz w:val="24"/>
          <w:szCs w:val="24"/>
          <w:rtl/>
        </w:rPr>
        <w:t>ية</w:t>
      </w:r>
      <w:r w:rsidRPr="00CC4CD2">
        <w:rPr>
          <w:rFonts w:ascii="Simplified Arabic" w:hAnsi="Simplified Arabic" w:cs="Simplified Arabic"/>
          <w:sz w:val="24"/>
          <w:szCs w:val="24"/>
          <w:rtl/>
        </w:rPr>
        <w:t xml:space="preserve"> مختلفة.</w:t>
      </w:r>
      <w:r>
        <w:rPr>
          <w:rFonts w:ascii="Simplified Arabic" w:hAnsi="Simplified Arabic" w:cs="Simplified Arabic" w:hint="cs"/>
          <w:sz w:val="24"/>
          <w:szCs w:val="24"/>
          <w:rtl/>
        </w:rPr>
        <w:t xml:space="preserve"> حدودها الادارية </w:t>
      </w:r>
      <w:r w:rsidRPr="0013404D">
        <w:rPr>
          <w:rFonts w:ascii="Simplified Arabic" w:hAnsi="Simplified Arabic" w:cs="Simplified Arabic" w:hint="cs"/>
          <w:sz w:val="24"/>
          <w:szCs w:val="24"/>
          <w:rtl/>
        </w:rPr>
        <w:t>على</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النحو</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التالي</w:t>
      </w:r>
      <w:r w:rsidRPr="0013404D">
        <w:rPr>
          <w:rFonts w:ascii="Simplified Arabic" w:hAnsi="Simplified Arabic" w:cs="Simplified Arabic"/>
          <w:sz w:val="24"/>
          <w:szCs w:val="24"/>
          <w:rtl/>
        </w:rPr>
        <w:t>:</w:t>
      </w:r>
    </w:p>
    <w:p w:rsidR="000635D8" w:rsidRPr="0013404D" w:rsidRDefault="000635D8" w:rsidP="000635D8">
      <w:pPr>
        <w:tabs>
          <w:tab w:val="right" w:pos="281"/>
          <w:tab w:val="right" w:pos="4677"/>
        </w:tabs>
        <w:bidi/>
        <w:spacing w:after="0"/>
        <w:ind w:firstLine="283"/>
        <w:jc w:val="both"/>
        <w:rPr>
          <w:rFonts w:ascii="Simplified Arabic" w:hAnsi="Simplified Arabic" w:cs="Simplified Arabic"/>
          <w:sz w:val="24"/>
          <w:szCs w:val="24"/>
        </w:rPr>
      </w:pPr>
      <w:r>
        <w:rPr>
          <w:rFonts w:ascii="Simplified Arabic" w:hAnsi="Simplified Arabic" w:cs="Simplified Arabic" w:hint="cs"/>
          <w:sz w:val="24"/>
          <w:szCs w:val="24"/>
          <w:rtl/>
        </w:rPr>
        <w:t>من</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الش</w:t>
      </w:r>
      <w:r>
        <w:rPr>
          <w:rFonts w:ascii="Simplified Arabic" w:hAnsi="Simplified Arabic" w:cs="Simplified Arabic" w:hint="cs"/>
          <w:sz w:val="24"/>
          <w:szCs w:val="24"/>
          <w:rtl/>
        </w:rPr>
        <w:t>ــــــــــــــــــــــــــــــــــــــ</w:t>
      </w:r>
      <w:r w:rsidRPr="0013404D">
        <w:rPr>
          <w:rFonts w:ascii="Simplified Arabic" w:hAnsi="Simplified Arabic" w:cs="Simplified Arabic" w:hint="cs"/>
          <w:sz w:val="24"/>
          <w:szCs w:val="24"/>
          <w:rtl/>
        </w:rPr>
        <w:t>مال</w:t>
      </w:r>
      <w:r>
        <w:rPr>
          <w:rFonts w:ascii="Simplified Arabic" w:hAnsi="Simplified Arabic" w:cs="Simplified Arabic" w:hint="cs"/>
          <w:sz w:val="24"/>
          <w:szCs w:val="24"/>
          <w:rtl/>
        </w:rPr>
        <w:t>:</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بلدية</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أولاد</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سيدي</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إبراه</w:t>
      </w:r>
      <w:r>
        <w:rPr>
          <w:rFonts w:ascii="Simplified Arabic" w:hAnsi="Simplified Arabic" w:cs="Simplified Arabic" w:hint="cs"/>
          <w:sz w:val="24"/>
          <w:szCs w:val="24"/>
          <w:rtl/>
        </w:rPr>
        <w:t>ــ</w:t>
      </w:r>
      <w:r w:rsidRPr="0013404D">
        <w:rPr>
          <w:rFonts w:ascii="Simplified Arabic" w:hAnsi="Simplified Arabic" w:cs="Simplified Arabic" w:hint="cs"/>
          <w:sz w:val="24"/>
          <w:szCs w:val="24"/>
          <w:rtl/>
        </w:rPr>
        <w:t>يم</w:t>
      </w:r>
      <w:r w:rsidRPr="0013404D">
        <w:rPr>
          <w:rFonts w:ascii="Simplified Arabic" w:hAnsi="Simplified Arabic" w:cs="Simplified Arabic"/>
          <w:sz w:val="24"/>
          <w:szCs w:val="24"/>
          <w:rtl/>
        </w:rPr>
        <w:t>.</w:t>
      </w:r>
    </w:p>
    <w:p w:rsidR="000635D8" w:rsidRPr="0013404D" w:rsidRDefault="000635D8" w:rsidP="000635D8">
      <w:pPr>
        <w:tabs>
          <w:tab w:val="right" w:pos="281"/>
        </w:tabs>
        <w:bidi/>
        <w:spacing w:after="0"/>
        <w:ind w:firstLine="283"/>
        <w:jc w:val="both"/>
        <w:rPr>
          <w:rFonts w:ascii="Simplified Arabic" w:hAnsi="Simplified Arabic" w:cs="Simplified Arabic"/>
          <w:sz w:val="24"/>
          <w:szCs w:val="24"/>
        </w:rPr>
      </w:pPr>
      <w:r>
        <w:rPr>
          <w:rFonts w:ascii="Simplified Arabic" w:hAnsi="Simplified Arabic" w:cs="Simplified Arabic" w:hint="cs"/>
          <w:sz w:val="24"/>
          <w:szCs w:val="24"/>
          <w:rtl/>
        </w:rPr>
        <w:t>من</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الشمال</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الشرقي</w:t>
      </w:r>
      <w:r>
        <w:rPr>
          <w:rFonts w:ascii="Simplified Arabic" w:hAnsi="Simplified Arabic" w:cs="Simplified Arabic" w:hint="cs"/>
          <w:sz w:val="24"/>
          <w:szCs w:val="24"/>
          <w:rtl/>
        </w:rPr>
        <w:t>:</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بلدية</w:t>
      </w:r>
      <w:r w:rsidRPr="0013404D">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13404D">
        <w:rPr>
          <w:rFonts w:ascii="Simplified Arabic" w:hAnsi="Simplified Arabic" w:cs="Simplified Arabic" w:hint="cs"/>
          <w:sz w:val="24"/>
          <w:szCs w:val="24"/>
          <w:rtl/>
        </w:rPr>
        <w:t>معارف</w:t>
      </w:r>
      <w:r w:rsidRPr="0013404D">
        <w:rPr>
          <w:rFonts w:ascii="Simplified Arabic" w:hAnsi="Simplified Arabic" w:cs="Simplified Arabic"/>
          <w:sz w:val="24"/>
          <w:szCs w:val="24"/>
          <w:rtl/>
        </w:rPr>
        <w:t>.</w:t>
      </w:r>
    </w:p>
    <w:p w:rsidR="000635D8" w:rsidRPr="0013404D" w:rsidRDefault="000635D8" w:rsidP="000635D8">
      <w:pPr>
        <w:tabs>
          <w:tab w:val="right" w:pos="281"/>
        </w:tabs>
        <w:bidi/>
        <w:spacing w:after="0"/>
        <w:ind w:firstLine="283"/>
        <w:jc w:val="both"/>
        <w:rPr>
          <w:rFonts w:ascii="Simplified Arabic" w:hAnsi="Simplified Arabic" w:cs="Simplified Arabic"/>
          <w:sz w:val="24"/>
          <w:szCs w:val="24"/>
        </w:rPr>
      </w:pPr>
      <w:r>
        <w:rPr>
          <w:rFonts w:ascii="Simplified Arabic" w:hAnsi="Simplified Arabic" w:cs="Simplified Arabic" w:hint="cs"/>
          <w:sz w:val="24"/>
          <w:szCs w:val="24"/>
          <w:rtl/>
        </w:rPr>
        <w:t>من</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الش</w:t>
      </w:r>
      <w:r>
        <w:rPr>
          <w:rFonts w:ascii="Simplified Arabic" w:hAnsi="Simplified Arabic" w:cs="Simplified Arabic" w:hint="cs"/>
          <w:sz w:val="24"/>
          <w:szCs w:val="24"/>
          <w:rtl/>
        </w:rPr>
        <w:t>ـــــــــــــــــــــــــــــــــــــــــــــ</w:t>
      </w:r>
      <w:r w:rsidRPr="0013404D">
        <w:rPr>
          <w:rFonts w:ascii="Simplified Arabic" w:hAnsi="Simplified Arabic" w:cs="Simplified Arabic" w:hint="cs"/>
          <w:sz w:val="24"/>
          <w:szCs w:val="24"/>
          <w:rtl/>
        </w:rPr>
        <w:t>رق</w:t>
      </w:r>
      <w:r>
        <w:rPr>
          <w:rFonts w:ascii="Simplified Arabic" w:hAnsi="Simplified Arabic" w:cs="Simplified Arabic" w:hint="cs"/>
          <w:sz w:val="24"/>
          <w:szCs w:val="24"/>
          <w:rtl/>
        </w:rPr>
        <w:t>:</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بلدية</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الحوامد</w:t>
      </w:r>
      <w:r w:rsidRPr="0013404D">
        <w:rPr>
          <w:rFonts w:ascii="Simplified Arabic" w:hAnsi="Simplified Arabic" w:cs="Simplified Arabic"/>
          <w:sz w:val="24"/>
          <w:szCs w:val="24"/>
          <w:rtl/>
        </w:rPr>
        <w:t>.</w:t>
      </w:r>
    </w:p>
    <w:p w:rsidR="000635D8" w:rsidRPr="0013404D" w:rsidRDefault="000635D8" w:rsidP="000635D8">
      <w:pPr>
        <w:tabs>
          <w:tab w:val="right" w:pos="281"/>
        </w:tabs>
        <w:bidi/>
        <w:spacing w:after="0"/>
        <w:ind w:firstLine="283"/>
        <w:jc w:val="both"/>
        <w:rPr>
          <w:rFonts w:ascii="Simplified Arabic" w:hAnsi="Simplified Arabic" w:cs="Simplified Arabic"/>
          <w:sz w:val="24"/>
          <w:szCs w:val="24"/>
        </w:rPr>
      </w:pPr>
      <w:r>
        <w:rPr>
          <w:rFonts w:ascii="Simplified Arabic" w:hAnsi="Simplified Arabic" w:cs="Simplified Arabic" w:hint="cs"/>
          <w:sz w:val="24"/>
          <w:szCs w:val="24"/>
          <w:rtl/>
        </w:rPr>
        <w:t>من</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الغ</w:t>
      </w:r>
      <w:r>
        <w:rPr>
          <w:rFonts w:ascii="Simplified Arabic" w:hAnsi="Simplified Arabic" w:cs="Simplified Arabic" w:hint="cs"/>
          <w:sz w:val="24"/>
          <w:szCs w:val="24"/>
          <w:rtl/>
        </w:rPr>
        <w:t>ــــــــــــــــــــــــــــــــــــــــــــــ</w:t>
      </w:r>
      <w:r w:rsidRPr="0013404D">
        <w:rPr>
          <w:rFonts w:ascii="Simplified Arabic" w:hAnsi="Simplified Arabic" w:cs="Simplified Arabic" w:hint="cs"/>
          <w:sz w:val="24"/>
          <w:szCs w:val="24"/>
          <w:rtl/>
        </w:rPr>
        <w:t>رب</w:t>
      </w:r>
      <w:r>
        <w:rPr>
          <w:rFonts w:ascii="Simplified Arabic" w:hAnsi="Simplified Arabic" w:cs="Simplified Arabic" w:hint="cs"/>
          <w:sz w:val="24"/>
          <w:szCs w:val="24"/>
          <w:rtl/>
        </w:rPr>
        <w:t>:</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بلدية</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ت</w:t>
      </w:r>
      <w:r>
        <w:rPr>
          <w:rFonts w:ascii="Simplified Arabic" w:hAnsi="Simplified Arabic" w:cs="Simplified Arabic" w:hint="cs"/>
          <w:sz w:val="24"/>
          <w:szCs w:val="24"/>
          <w:rtl/>
        </w:rPr>
        <w:t>ا</w:t>
      </w:r>
      <w:r w:rsidRPr="0013404D">
        <w:rPr>
          <w:rFonts w:ascii="Simplified Arabic" w:hAnsi="Simplified Arabic" w:cs="Simplified Arabic" w:hint="cs"/>
          <w:sz w:val="24"/>
          <w:szCs w:val="24"/>
          <w:rtl/>
        </w:rPr>
        <w:t>مس</w:t>
      </w:r>
      <w:r>
        <w:rPr>
          <w:rFonts w:ascii="Simplified Arabic" w:hAnsi="Simplified Arabic" w:cs="Simplified Arabic" w:hint="cs"/>
          <w:sz w:val="24"/>
          <w:szCs w:val="24"/>
          <w:rtl/>
        </w:rPr>
        <w:t>ة</w:t>
      </w:r>
      <w:r w:rsidRPr="0013404D">
        <w:rPr>
          <w:rFonts w:ascii="Simplified Arabic" w:hAnsi="Simplified Arabic" w:cs="Simplified Arabic"/>
          <w:sz w:val="24"/>
          <w:szCs w:val="24"/>
          <w:rtl/>
        </w:rPr>
        <w:t>.</w:t>
      </w:r>
    </w:p>
    <w:p w:rsidR="000635D8" w:rsidRPr="00C96EFE" w:rsidRDefault="000635D8" w:rsidP="006B12FB">
      <w:pPr>
        <w:tabs>
          <w:tab w:val="right" w:pos="281"/>
        </w:tabs>
        <w:bidi/>
        <w:spacing w:after="0"/>
        <w:ind w:firstLine="283"/>
        <w:jc w:val="both"/>
        <w:rPr>
          <w:rFonts w:ascii="Simplified Arabic" w:hAnsi="Simplified Arabic" w:cs="Simplified Arabic"/>
          <w:sz w:val="24"/>
          <w:szCs w:val="24"/>
          <w:rtl/>
        </w:rPr>
      </w:pPr>
      <w:r w:rsidRPr="0013404D">
        <w:rPr>
          <w:rFonts w:ascii="Simplified Arabic" w:hAnsi="Simplified Arabic" w:cs="Simplified Arabic" w:hint="cs"/>
          <w:sz w:val="24"/>
          <w:szCs w:val="24"/>
          <w:rtl/>
        </w:rPr>
        <w:t>و</w:t>
      </w:r>
      <w:r>
        <w:rPr>
          <w:rFonts w:ascii="Simplified Arabic" w:hAnsi="Simplified Arabic" w:cs="Simplified Arabic" w:hint="cs"/>
          <w:sz w:val="24"/>
          <w:szCs w:val="24"/>
          <w:rtl/>
        </w:rPr>
        <w:t>من</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الجنوب</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الشرقي</w:t>
      </w:r>
      <w:r w:rsidRPr="0013404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بلدية </w:t>
      </w:r>
      <w:r w:rsidRPr="0013404D">
        <w:rPr>
          <w:rFonts w:ascii="Simplified Arabic" w:hAnsi="Simplified Arabic" w:cs="Simplified Arabic" w:hint="cs"/>
          <w:sz w:val="24"/>
          <w:szCs w:val="24"/>
          <w:rtl/>
        </w:rPr>
        <w:t>و</w:t>
      </w:r>
      <w:r>
        <w:rPr>
          <w:rFonts w:ascii="Simplified Arabic" w:hAnsi="Simplified Arabic" w:cs="Simplified Arabic" w:hint="cs"/>
          <w:sz w:val="24"/>
          <w:szCs w:val="24"/>
          <w:rtl/>
        </w:rPr>
        <w:t>لتام</w:t>
      </w:r>
      <w:r w:rsidRPr="0013404D">
        <w:rPr>
          <w:rFonts w:ascii="Simplified Arabic" w:hAnsi="Simplified Arabic" w:cs="Simplified Arabic" w:hint="cs"/>
          <w:sz w:val="24"/>
          <w:szCs w:val="24"/>
          <w:rtl/>
        </w:rPr>
        <w:t xml:space="preserve"> و</w:t>
      </w:r>
      <w:r>
        <w:rPr>
          <w:rFonts w:ascii="Simplified Arabic" w:hAnsi="Simplified Arabic" w:cs="Simplified Arabic" w:hint="cs"/>
          <w:sz w:val="24"/>
          <w:szCs w:val="24"/>
          <w:rtl/>
        </w:rPr>
        <w:t xml:space="preserve">من </w:t>
      </w:r>
      <w:r w:rsidRPr="0013404D">
        <w:rPr>
          <w:rFonts w:ascii="Simplified Arabic" w:hAnsi="Simplified Arabic" w:cs="Simplified Arabic" w:hint="cs"/>
          <w:sz w:val="24"/>
          <w:szCs w:val="24"/>
          <w:rtl/>
        </w:rPr>
        <w:t>الجنوب</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الغربي</w:t>
      </w:r>
      <w:r w:rsidRPr="0013404D">
        <w:rPr>
          <w:rFonts w:ascii="Simplified Arabic" w:hAnsi="Simplified Arabic" w:cs="Simplified Arabic"/>
          <w:sz w:val="24"/>
          <w:szCs w:val="24"/>
          <w:rtl/>
        </w:rPr>
        <w:t xml:space="preserve"> </w:t>
      </w:r>
      <w:r w:rsidRPr="0013404D">
        <w:rPr>
          <w:rFonts w:ascii="Simplified Arabic" w:hAnsi="Simplified Arabic" w:cs="Simplified Arabic" w:hint="cs"/>
          <w:sz w:val="24"/>
          <w:szCs w:val="24"/>
          <w:rtl/>
        </w:rPr>
        <w:t>بلدية</w:t>
      </w:r>
      <w:r w:rsidRPr="0013404D">
        <w:rPr>
          <w:rFonts w:ascii="Simplified Arabic" w:hAnsi="Simplified Arabic" w:cs="Simplified Arabic"/>
          <w:sz w:val="24"/>
          <w:szCs w:val="24"/>
          <w:rtl/>
        </w:rPr>
        <w:t xml:space="preserve"> </w:t>
      </w:r>
      <w:r>
        <w:rPr>
          <w:rFonts w:ascii="Simplified Arabic" w:hAnsi="Simplified Arabic" w:cs="Simplified Arabic" w:hint="cs"/>
          <w:sz w:val="24"/>
          <w:szCs w:val="24"/>
          <w:rtl/>
        </w:rPr>
        <w:t>اله</w:t>
      </w:r>
      <w:r w:rsidRPr="0013404D">
        <w:rPr>
          <w:rFonts w:ascii="Simplified Arabic" w:hAnsi="Simplified Arabic" w:cs="Simplified Arabic" w:hint="cs"/>
          <w:sz w:val="24"/>
          <w:szCs w:val="24"/>
          <w:rtl/>
        </w:rPr>
        <w:t>امل</w:t>
      </w:r>
      <w:r w:rsidRPr="0013404D">
        <w:rPr>
          <w:rFonts w:ascii="Simplified Arabic" w:hAnsi="Simplified Arabic" w:cs="Simplified Arabic"/>
          <w:sz w:val="24"/>
          <w:szCs w:val="24"/>
          <w:rtl/>
        </w:rPr>
        <w:t>.</w:t>
      </w:r>
      <w:r w:rsidR="006B12FB">
        <w:rPr>
          <w:rFonts w:ascii="Simplified Arabic" w:hAnsi="Simplified Arabic" w:cs="Simplified Arabic" w:hint="cs"/>
          <w:sz w:val="24"/>
          <w:szCs w:val="24"/>
          <w:rtl/>
        </w:rPr>
        <w:t xml:space="preserve"> </w:t>
      </w:r>
      <w:r w:rsidRPr="00C96EFE">
        <w:rPr>
          <w:rFonts w:ascii="Simplified Arabic" w:hAnsi="Simplified Arabic" w:cs="Simplified Arabic"/>
          <w:sz w:val="24"/>
          <w:szCs w:val="24"/>
          <w:rtl/>
        </w:rPr>
        <w:t xml:space="preserve">تقع </w:t>
      </w:r>
      <w:r>
        <w:rPr>
          <w:rFonts w:ascii="Simplified Arabic" w:hAnsi="Simplified Arabic" w:cs="Simplified Arabic" w:hint="cs"/>
          <w:sz w:val="24"/>
          <w:szCs w:val="24"/>
          <w:rtl/>
        </w:rPr>
        <w:t xml:space="preserve">مدينة بوسعادة </w:t>
      </w:r>
      <w:r w:rsidRPr="00C96EFE">
        <w:rPr>
          <w:rFonts w:ascii="Simplified Arabic" w:hAnsi="Simplified Arabic" w:cs="Simplified Arabic"/>
          <w:sz w:val="24"/>
          <w:szCs w:val="24"/>
          <w:rtl/>
        </w:rPr>
        <w:t>ضمن الإحداثيات الجغرافية بين خطي العرض (35.1</w:t>
      </w:r>
      <w:r>
        <w:rPr>
          <w:rFonts w:ascii="Simplified Arabic" w:hAnsi="Simplified Arabic" w:cs="Simplified Arabic" w:hint="cs"/>
          <w:sz w:val="24"/>
          <w:szCs w:val="24"/>
          <w:rtl/>
        </w:rPr>
        <w:t>3</w:t>
      </w:r>
      <w:r w:rsidRPr="00C96EFE">
        <w:rPr>
          <w:rFonts w:ascii="Simplified Arabic" w:hAnsi="Simplified Arabic" w:cs="Simplified Arabic"/>
          <w:sz w:val="24"/>
          <w:szCs w:val="24"/>
          <w:rtl/>
        </w:rPr>
        <w:t xml:space="preserve"> درجة و 35.26 درجة) شمال خط الاستواء وبين خطي الطول (4.1</w:t>
      </w:r>
      <w:r>
        <w:rPr>
          <w:rFonts w:ascii="Simplified Arabic" w:hAnsi="Simplified Arabic" w:cs="Simplified Arabic" w:hint="cs"/>
          <w:sz w:val="24"/>
          <w:szCs w:val="24"/>
          <w:rtl/>
        </w:rPr>
        <w:t>1</w:t>
      </w:r>
      <w:r w:rsidRPr="00C96EFE">
        <w:rPr>
          <w:rFonts w:ascii="Simplified Arabic" w:hAnsi="Simplified Arabic" w:cs="Simplified Arabic"/>
          <w:sz w:val="24"/>
          <w:szCs w:val="24"/>
          <w:rtl/>
        </w:rPr>
        <w:t xml:space="preserve"> درجة و 4.22 درجة) شرق غرينتش ميريديان.</w:t>
      </w:r>
      <w:r w:rsidRPr="00C96EFE">
        <w:rPr>
          <w:rStyle w:val="y2iqfc"/>
          <w:rFonts w:ascii="Simplified Arabic" w:hAnsi="Simplified Arabic" w:cs="Simplified Arabic"/>
          <w:color w:val="202124"/>
          <w:sz w:val="24"/>
          <w:szCs w:val="24"/>
          <w:rtl/>
          <w:lang w:val="en-US" w:bidi="ar"/>
        </w:rPr>
        <w:t xml:space="preserve"> وفق بيانات المكتب البلدي للإحصاء </w:t>
      </w:r>
      <w:r>
        <w:rPr>
          <w:rStyle w:val="y2iqfc"/>
          <w:rFonts w:ascii="Simplified Arabic" w:hAnsi="Simplified Arabic" w:cs="Simplified Arabic" w:hint="cs"/>
          <w:color w:val="202124"/>
          <w:sz w:val="24"/>
          <w:szCs w:val="24"/>
          <w:rtl/>
          <w:lang w:val="en-US" w:bidi="ar"/>
        </w:rPr>
        <w:t xml:space="preserve">لبلدية بوسعادة </w:t>
      </w:r>
      <w:r w:rsidRPr="000765C6">
        <w:rPr>
          <w:rStyle w:val="y2iqfc"/>
          <w:rFonts w:asciiTheme="majorBidi" w:hAnsiTheme="majorBidi" w:cstheme="majorBidi"/>
          <w:color w:val="202124"/>
          <w:sz w:val="24"/>
          <w:szCs w:val="24"/>
          <w:rtl/>
          <w:lang w:val="en-US" w:bidi="ar"/>
        </w:rPr>
        <w:t>(</w:t>
      </w:r>
      <w:r w:rsidR="009761F5" w:rsidRPr="009761F5">
        <w:rPr>
          <w:rFonts w:asciiTheme="majorBidi" w:hAnsiTheme="majorBidi" w:cstheme="majorBidi"/>
          <w:sz w:val="24"/>
          <w:szCs w:val="24"/>
        </w:rPr>
        <w:t>NSO</w:t>
      </w:r>
      <w:r w:rsidRPr="000765C6">
        <w:rPr>
          <w:rStyle w:val="y2iqfc"/>
          <w:rFonts w:asciiTheme="majorBidi" w:hAnsiTheme="majorBidi" w:cstheme="majorBidi"/>
          <w:color w:val="202124"/>
          <w:sz w:val="24"/>
          <w:szCs w:val="24"/>
          <w:lang w:bidi="ar"/>
        </w:rPr>
        <w:t>, 2022</w:t>
      </w:r>
      <w:r w:rsidRPr="000765C6">
        <w:rPr>
          <w:rStyle w:val="y2iqfc"/>
          <w:rFonts w:asciiTheme="majorBidi" w:hAnsiTheme="majorBidi" w:cstheme="majorBidi"/>
          <w:color w:val="202124"/>
          <w:sz w:val="24"/>
          <w:szCs w:val="24"/>
          <w:rtl/>
          <w:lang w:val="en-US" w:bidi="ar"/>
        </w:rPr>
        <w:t>)</w:t>
      </w:r>
      <w:r>
        <w:rPr>
          <w:rStyle w:val="y2iqfc"/>
          <w:rFonts w:ascii="Simplified Arabic" w:hAnsi="Simplified Arabic" w:cs="Simplified Arabic" w:hint="cs"/>
          <w:color w:val="202124"/>
          <w:sz w:val="24"/>
          <w:szCs w:val="24"/>
          <w:rtl/>
          <w:lang w:val="en-US" w:bidi="ar"/>
        </w:rPr>
        <w:t>،</w:t>
      </w:r>
      <w:r w:rsidRPr="00C96EFE">
        <w:rPr>
          <w:rStyle w:val="y2iqfc"/>
          <w:rFonts w:ascii="Simplified Arabic" w:hAnsi="Simplified Arabic" w:cs="Simplified Arabic"/>
          <w:color w:val="202124"/>
          <w:sz w:val="24"/>
          <w:szCs w:val="24"/>
          <w:rtl/>
          <w:lang w:val="en-US" w:bidi="ar"/>
        </w:rPr>
        <w:t xml:space="preserve"> فان </w:t>
      </w:r>
      <w:r w:rsidRPr="00C96EFE">
        <w:rPr>
          <w:rFonts w:ascii="Simplified Arabic" w:hAnsi="Simplified Arabic" w:cs="Simplified Arabic"/>
          <w:sz w:val="24"/>
          <w:szCs w:val="24"/>
          <w:rtl/>
        </w:rPr>
        <w:t xml:space="preserve">منطقة الدراسة هي </w:t>
      </w:r>
      <w:r w:rsidRPr="00C96EFE">
        <w:rPr>
          <w:rFonts w:ascii="Simplified Arabic" w:hAnsi="Simplified Arabic" w:cs="Simplified Arabic"/>
          <w:sz w:val="24"/>
          <w:szCs w:val="24"/>
          <w:rtl/>
        </w:rPr>
        <w:lastRenderedPageBreak/>
        <w:t>التجمع الحضري الرئيسي لبلدية بوسعادة، بمساحة قدرها</w:t>
      </w:r>
      <w:r w:rsidRPr="00C96EFE">
        <w:rPr>
          <w:rFonts w:ascii="Simplified Arabic" w:hAnsi="Simplified Arabic" w:cs="Simplified Arabic"/>
          <w:sz w:val="24"/>
          <w:szCs w:val="24"/>
          <w:lang w:val="en-US"/>
        </w:rPr>
        <w:t xml:space="preserve">2,054 </w:t>
      </w:r>
      <w:r w:rsidRPr="00C96EFE">
        <w:rPr>
          <w:rFonts w:ascii="Simplified Arabic" w:hAnsi="Simplified Arabic" w:cs="Simplified Arabic"/>
          <w:sz w:val="24"/>
          <w:szCs w:val="24"/>
          <w:rtl/>
          <w:lang w:val="en-US"/>
        </w:rPr>
        <w:t xml:space="preserve"> </w:t>
      </w:r>
      <w:r w:rsidRPr="00C96EFE">
        <w:rPr>
          <w:rFonts w:ascii="Simplified Arabic" w:hAnsi="Simplified Arabic" w:cs="Simplified Arabic"/>
          <w:sz w:val="24"/>
          <w:szCs w:val="24"/>
          <w:rtl/>
        </w:rPr>
        <w:t xml:space="preserve">هكتار ويبلغ عدد سكانها </w:t>
      </w:r>
      <w:r>
        <w:rPr>
          <w:rFonts w:ascii="Simplified Arabic" w:hAnsi="Simplified Arabic" w:cs="Simplified Arabic"/>
          <w:sz w:val="24"/>
          <w:szCs w:val="24"/>
          <w:lang w:val="en-US"/>
        </w:rPr>
        <w:t>187</w:t>
      </w:r>
      <w:r w:rsidRPr="00060AC3">
        <w:rPr>
          <w:rFonts w:ascii="Simplified Arabic" w:hAnsi="Simplified Arabic" w:cs="Simplified Arabic"/>
          <w:sz w:val="24"/>
          <w:szCs w:val="24"/>
          <w:lang w:val="en-US"/>
        </w:rPr>
        <w:t>,</w:t>
      </w:r>
      <w:r>
        <w:rPr>
          <w:rFonts w:ascii="Simplified Arabic" w:hAnsi="Simplified Arabic" w:cs="Simplified Arabic"/>
          <w:sz w:val="24"/>
          <w:szCs w:val="24"/>
          <w:lang w:val="en-US"/>
        </w:rPr>
        <w:t>408</w:t>
      </w:r>
      <w:r w:rsidRPr="00C96EFE">
        <w:rPr>
          <w:rFonts w:ascii="Simplified Arabic" w:hAnsi="Simplified Arabic" w:cs="Simplified Arabic"/>
          <w:sz w:val="24"/>
          <w:szCs w:val="24"/>
          <w:rtl/>
          <w:lang w:val="en-US"/>
        </w:rPr>
        <w:t xml:space="preserve"> </w:t>
      </w:r>
      <w:r w:rsidRPr="00C96EFE">
        <w:rPr>
          <w:rFonts w:ascii="Simplified Arabic" w:hAnsi="Simplified Arabic" w:cs="Simplified Arabic"/>
          <w:sz w:val="24"/>
          <w:szCs w:val="24"/>
          <w:rtl/>
        </w:rPr>
        <w:t>نسمة</w:t>
      </w:r>
      <w:r>
        <w:rPr>
          <w:rFonts w:ascii="Simplified Arabic" w:hAnsi="Simplified Arabic" w:cs="Simplified Arabic" w:hint="cs"/>
          <w:sz w:val="24"/>
          <w:szCs w:val="24"/>
          <w:rtl/>
        </w:rPr>
        <w:t xml:space="preserve"> حسب الاحصاء العام للسكن والسكان لسنة 2022</w:t>
      </w:r>
      <w:r w:rsidRPr="00C96EFE">
        <w:rPr>
          <w:rFonts w:ascii="Simplified Arabic" w:hAnsi="Simplified Arabic" w:cs="Simplified Arabic"/>
          <w:sz w:val="24"/>
          <w:szCs w:val="24"/>
          <w:rtl/>
        </w:rPr>
        <w:t xml:space="preserve">. تحتوي مدينة بوسعادة على </w:t>
      </w:r>
      <w:r w:rsidRPr="00C96EFE">
        <w:rPr>
          <w:rFonts w:ascii="Simplified Arabic" w:hAnsi="Simplified Arabic" w:cs="Simplified Arabic"/>
          <w:sz w:val="24"/>
          <w:szCs w:val="24"/>
        </w:rPr>
        <w:t>13</w:t>
      </w:r>
      <w:r w:rsidRPr="00C96EFE">
        <w:rPr>
          <w:rFonts w:ascii="Simplified Arabic" w:hAnsi="Simplified Arabic" w:cs="Simplified Arabic"/>
          <w:sz w:val="24"/>
          <w:szCs w:val="24"/>
          <w:rtl/>
        </w:rPr>
        <w:t xml:space="preserve"> حيًا ومنطقة ل</w:t>
      </w:r>
      <w:r w:rsidRPr="00C96EFE">
        <w:rPr>
          <w:rFonts w:ascii="Simplified Arabic" w:hAnsi="Simplified Arabic" w:cs="Simplified Arabic"/>
          <w:sz w:val="24"/>
          <w:szCs w:val="24"/>
          <w:rtl/>
          <w:lang w:bidi="ar-DZ"/>
        </w:rPr>
        <w:t>لتخزين ول</w:t>
      </w:r>
      <w:r w:rsidRPr="00C96EFE">
        <w:rPr>
          <w:rFonts w:ascii="Simplified Arabic" w:hAnsi="Simplified Arabic" w:cs="Simplified Arabic"/>
          <w:sz w:val="24"/>
          <w:szCs w:val="24"/>
          <w:rtl/>
        </w:rPr>
        <w:t xml:space="preserve">لنشاطات، </w:t>
      </w:r>
      <w:r>
        <w:rPr>
          <w:rFonts w:ascii="Simplified Arabic" w:hAnsi="Simplified Arabic" w:cs="Simplified Arabic" w:hint="cs"/>
          <w:sz w:val="24"/>
          <w:szCs w:val="24"/>
          <w:rtl/>
        </w:rPr>
        <w:t xml:space="preserve">الخريطة </w:t>
      </w:r>
      <w:r w:rsidR="00AD4AEC" w:rsidRPr="0063639A">
        <w:rPr>
          <w:rFonts w:ascii="Simplified Arabic" w:hAnsi="Simplified Arabic" w:cs="Simplified Arabic" w:hint="cs"/>
          <w:sz w:val="24"/>
          <w:szCs w:val="24"/>
          <w:rtl/>
        </w:rPr>
        <w:t>(</w:t>
      </w:r>
      <w:r w:rsidR="00AD4AEC">
        <w:rPr>
          <w:rFonts w:ascii="Simplified Arabic" w:hAnsi="Simplified Arabic" w:cs="Simplified Arabic" w:hint="cs"/>
          <w:sz w:val="24"/>
          <w:szCs w:val="24"/>
          <w:rtl/>
        </w:rPr>
        <w:t>4-1</w:t>
      </w:r>
      <w:r w:rsidR="00AD4AEC" w:rsidRPr="0063639A">
        <w:rPr>
          <w:rFonts w:ascii="Simplified Arabic" w:hAnsi="Simplified Arabic" w:cs="Simplified Arabic" w:hint="cs"/>
          <w:sz w:val="24"/>
          <w:szCs w:val="24"/>
          <w:rtl/>
        </w:rPr>
        <w:t>)</w:t>
      </w:r>
      <w:r w:rsidRPr="00C96EFE">
        <w:rPr>
          <w:rFonts w:ascii="Simplified Arabic" w:hAnsi="Simplified Arabic" w:cs="Simplified Arabic"/>
          <w:sz w:val="24"/>
          <w:szCs w:val="24"/>
          <w:rtl/>
        </w:rPr>
        <w:t>.</w:t>
      </w:r>
      <w:r w:rsidRPr="00060AC3">
        <w:rPr>
          <w:rFonts w:ascii="Simplified Arabic" w:hAnsi="Simplified Arabic" w:cs="Simplified Arabic" w:hint="cs"/>
          <w:sz w:val="24"/>
          <w:szCs w:val="24"/>
          <w:rtl/>
        </w:rPr>
        <w:t xml:space="preserve"> </w:t>
      </w:r>
    </w:p>
    <w:p w:rsidR="000635D8" w:rsidRPr="00B87B8B" w:rsidRDefault="000635D8" w:rsidP="000635D8">
      <w:pPr>
        <w:tabs>
          <w:tab w:val="right" w:pos="281"/>
        </w:tabs>
        <w:bidi/>
        <w:spacing w:after="0"/>
        <w:ind w:firstLine="283"/>
        <w:jc w:val="both"/>
        <w:rPr>
          <w:rFonts w:ascii="Simplified Arabic" w:hAnsi="Simplified Arabic" w:cs="Simplified Arabic"/>
          <w:sz w:val="24"/>
          <w:szCs w:val="24"/>
          <w:rtl/>
        </w:rPr>
      </w:pPr>
      <w:r w:rsidRPr="00B87B8B">
        <w:rPr>
          <w:rFonts w:ascii="Simplified Arabic" w:hAnsi="Simplified Arabic" w:cs="Simplified Arabic"/>
          <w:sz w:val="24"/>
          <w:szCs w:val="24"/>
          <w:rtl/>
        </w:rPr>
        <w:t xml:space="preserve">يتبين ان مدينة بوسعادة تتوفر على موقع جغرافي مميز، </w:t>
      </w:r>
      <w:r>
        <w:rPr>
          <w:rFonts w:ascii="Simplified Arabic" w:hAnsi="Simplified Arabic" w:cs="Simplified Arabic" w:hint="cs"/>
          <w:sz w:val="24"/>
          <w:szCs w:val="24"/>
          <w:rtl/>
        </w:rPr>
        <w:t>باعتبارها</w:t>
      </w:r>
      <w:r w:rsidRPr="00B87B8B">
        <w:rPr>
          <w:rFonts w:ascii="Simplified Arabic" w:hAnsi="Simplified Arabic" w:cs="Simplified Arabic"/>
          <w:sz w:val="24"/>
          <w:szCs w:val="24"/>
          <w:rtl/>
        </w:rPr>
        <w:t xml:space="preserve"> نقطة ربط بين الشمال والجنوب من جهة، و بين الشرق والغرب من جهة اخرى، حيث يتقاطع عبر مجالها الحضري ثلاثة محاور طرق وطنية </w:t>
      </w:r>
      <w:r>
        <w:rPr>
          <w:rFonts w:ascii="Simplified Arabic" w:hAnsi="Simplified Arabic" w:cs="Simplified Arabic" w:hint="cs"/>
          <w:sz w:val="24"/>
          <w:szCs w:val="24"/>
          <w:rtl/>
        </w:rPr>
        <w:t>مهمة، اولا،</w:t>
      </w:r>
      <w:r w:rsidRPr="00B87B8B">
        <w:rPr>
          <w:rFonts w:ascii="Simplified Arabic" w:hAnsi="Simplified Arabic" w:cs="Simplified Arabic"/>
          <w:sz w:val="24"/>
          <w:szCs w:val="24"/>
          <w:rtl/>
        </w:rPr>
        <w:t xml:space="preserve"> الطريق الوطني رقم (8)</w:t>
      </w:r>
      <w:r>
        <w:rPr>
          <w:rFonts w:ascii="Simplified Arabic" w:hAnsi="Simplified Arabic" w:cs="Simplified Arabic" w:hint="cs"/>
          <w:sz w:val="24"/>
          <w:szCs w:val="24"/>
          <w:rtl/>
        </w:rPr>
        <w:t xml:space="preserve"> يربط بين العاصمة وبوسعادة</w:t>
      </w:r>
      <w:r w:rsidRPr="00B87B8B">
        <w:rPr>
          <w:rFonts w:ascii="Simplified Arabic" w:hAnsi="Simplified Arabic" w:cs="Simplified Arabic"/>
          <w:sz w:val="24"/>
          <w:szCs w:val="24"/>
          <w:rtl/>
        </w:rPr>
        <w:t>،</w:t>
      </w:r>
      <w:r>
        <w:rPr>
          <w:rFonts w:ascii="Simplified Arabic" w:hAnsi="Simplified Arabic" w:cs="Simplified Arabic" w:hint="cs"/>
          <w:sz w:val="24"/>
          <w:szCs w:val="24"/>
          <w:rtl/>
        </w:rPr>
        <w:t xml:space="preserve"> ثانيا،</w:t>
      </w:r>
      <w:r w:rsidRPr="00B87B8B">
        <w:rPr>
          <w:rFonts w:ascii="Simplified Arabic" w:hAnsi="Simplified Arabic" w:cs="Simplified Arabic"/>
          <w:sz w:val="24"/>
          <w:szCs w:val="24"/>
          <w:rtl/>
        </w:rPr>
        <w:t xml:space="preserve"> الطريق الوطني رقم (46)</w:t>
      </w:r>
      <w:r w:rsidRPr="00B87B8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يمر بمدينة بوسعادة باتجاه بسكرة</w:t>
      </w:r>
      <w:r w:rsidRPr="00B87B8B">
        <w:rPr>
          <w:rFonts w:ascii="Simplified Arabic" w:hAnsi="Simplified Arabic" w:cs="Simplified Arabic"/>
          <w:sz w:val="24"/>
          <w:szCs w:val="24"/>
          <w:rtl/>
        </w:rPr>
        <w:t xml:space="preserve"> </w:t>
      </w:r>
      <w:r>
        <w:rPr>
          <w:rFonts w:ascii="Simplified Arabic" w:hAnsi="Simplified Arabic" w:cs="Simplified Arabic" w:hint="cs"/>
          <w:sz w:val="24"/>
          <w:szCs w:val="24"/>
          <w:rtl/>
        </w:rPr>
        <w:t>من جهة وباتجاه الجلفة</w:t>
      </w:r>
      <w:r w:rsidRPr="00B87B8B">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من جهة اخرى، ثالثا، </w:t>
      </w:r>
      <w:r w:rsidRPr="00B87B8B">
        <w:rPr>
          <w:rFonts w:ascii="Simplified Arabic" w:hAnsi="Simplified Arabic" w:cs="Simplified Arabic"/>
          <w:sz w:val="24"/>
          <w:szCs w:val="24"/>
          <w:rtl/>
        </w:rPr>
        <w:t>الطريق الوطني رقم (89)</w:t>
      </w:r>
      <w:r>
        <w:rPr>
          <w:rFonts w:ascii="Simplified Arabic" w:hAnsi="Simplified Arabic" w:cs="Simplified Arabic" w:hint="cs"/>
          <w:sz w:val="24"/>
          <w:szCs w:val="24"/>
          <w:rtl/>
        </w:rPr>
        <w:t xml:space="preserve"> الرابط بين بوسعادة و الجلفة</w:t>
      </w:r>
      <w:r w:rsidRPr="00B87B8B">
        <w:rPr>
          <w:rFonts w:ascii="Simplified Arabic" w:hAnsi="Simplified Arabic" w:cs="Simplified Arabic"/>
          <w:sz w:val="24"/>
          <w:szCs w:val="24"/>
          <w:rtl/>
        </w:rPr>
        <w:t>، يشكل</w:t>
      </w:r>
      <w:r>
        <w:rPr>
          <w:rFonts w:ascii="Simplified Arabic" w:hAnsi="Simplified Arabic" w:cs="Simplified Arabic" w:hint="cs"/>
          <w:sz w:val="24"/>
          <w:szCs w:val="24"/>
          <w:rtl/>
        </w:rPr>
        <w:t>و</w:t>
      </w:r>
      <w:r w:rsidRPr="00B87B8B">
        <w:rPr>
          <w:rFonts w:ascii="Simplified Arabic" w:hAnsi="Simplified Arabic" w:cs="Simplified Arabic"/>
          <w:sz w:val="24"/>
          <w:szCs w:val="24"/>
          <w:rtl/>
        </w:rPr>
        <w:t xml:space="preserve">ن في الوقت نفسه </w:t>
      </w:r>
      <w:r>
        <w:rPr>
          <w:rFonts w:ascii="Simplified Arabic" w:hAnsi="Simplified Arabic" w:cs="Simplified Arabic" w:hint="cs"/>
          <w:sz w:val="24"/>
          <w:szCs w:val="24"/>
          <w:rtl/>
        </w:rPr>
        <w:t xml:space="preserve">احد عناصر </w:t>
      </w:r>
      <w:r w:rsidRPr="00B87B8B">
        <w:rPr>
          <w:rFonts w:ascii="Simplified Arabic" w:hAnsi="Simplified Arabic" w:cs="Simplified Arabic"/>
          <w:sz w:val="24"/>
          <w:szCs w:val="24"/>
          <w:rtl/>
        </w:rPr>
        <w:t>الهيكل الحضري للمدينة.</w:t>
      </w:r>
    </w:p>
    <w:p w:rsidR="000635D8" w:rsidRPr="00A9318D" w:rsidRDefault="000635D8" w:rsidP="00A9318D">
      <w:pPr>
        <w:pStyle w:val="carte"/>
        <w:rPr>
          <w:rtl/>
        </w:rPr>
      </w:pPr>
      <w:bookmarkStart w:id="494" w:name="_Toc157616588"/>
      <w:bookmarkStart w:id="495" w:name="_Toc171803568"/>
      <w:r w:rsidRPr="00A9318D">
        <w:rPr>
          <w:rFonts w:hint="cs"/>
          <w:rtl/>
        </w:rPr>
        <w:t>الخريطة (</w:t>
      </w:r>
      <w:r w:rsidR="00AD4AEC" w:rsidRPr="00A9318D">
        <w:rPr>
          <w:rFonts w:hint="cs"/>
          <w:rtl/>
        </w:rPr>
        <w:t>4-1</w:t>
      </w:r>
      <w:r w:rsidRPr="00A9318D">
        <w:rPr>
          <w:rFonts w:hint="cs"/>
          <w:rtl/>
        </w:rPr>
        <w:t>)</w:t>
      </w:r>
      <w:r w:rsidRPr="00A9318D">
        <w:rPr>
          <w:rtl/>
        </w:rPr>
        <w:t>:</w:t>
      </w:r>
      <w:r w:rsidRPr="00A9318D">
        <w:rPr>
          <w:rFonts w:hint="cs"/>
          <w:rtl/>
        </w:rPr>
        <w:t xml:space="preserve"> الموقع والحدود الادارية لبلدية بوسعادة</w:t>
      </w:r>
      <w:bookmarkEnd w:id="494"/>
      <w:bookmarkEnd w:id="495"/>
    </w:p>
    <w:p w:rsidR="000635D8" w:rsidRPr="005135C8" w:rsidRDefault="000635D8" w:rsidP="00C02010">
      <w:pPr>
        <w:tabs>
          <w:tab w:val="right" w:pos="281"/>
        </w:tabs>
        <w:bidi/>
        <w:spacing w:after="0" w:line="240" w:lineRule="auto"/>
        <w:jc w:val="center"/>
        <w:rPr>
          <w:b/>
          <w:bCs/>
          <w:noProof/>
          <w:rtl/>
          <w:lang w:eastAsia="fr-FR"/>
        </w:rPr>
      </w:pPr>
      <w:r w:rsidRPr="005135C8">
        <w:rPr>
          <w:rFonts w:ascii="Simplified Arabic" w:hAnsi="Simplified Arabic" w:cs="Simplified Arabic" w:hint="cs"/>
          <w:b/>
          <w:bCs/>
          <w:sz w:val="24"/>
          <w:szCs w:val="24"/>
          <w:rtl/>
        </w:rPr>
        <w:t xml:space="preserve">المصدر: </w:t>
      </w:r>
      <w:r w:rsidRPr="005135C8">
        <w:rPr>
          <w:rFonts w:asciiTheme="majorBidi" w:hAnsiTheme="majorBidi" w:cstheme="majorBidi"/>
          <w:b/>
          <w:bCs/>
          <w:sz w:val="24"/>
          <w:szCs w:val="24"/>
          <w:rtl/>
        </w:rPr>
        <w:t xml:space="preserve">( </w:t>
      </w:r>
      <w:r w:rsidRPr="005135C8">
        <w:rPr>
          <w:rFonts w:asciiTheme="majorBidi" w:hAnsiTheme="majorBidi" w:cstheme="majorBidi"/>
          <w:b/>
          <w:bCs/>
          <w:sz w:val="24"/>
          <w:szCs w:val="24"/>
        </w:rPr>
        <w:t>Mayouf et Nouibat, 2022</w:t>
      </w:r>
      <w:r w:rsidRPr="005135C8">
        <w:rPr>
          <w:rFonts w:asciiTheme="majorBidi" w:hAnsiTheme="majorBidi" w:cstheme="majorBidi"/>
          <w:b/>
          <w:bCs/>
          <w:sz w:val="24"/>
          <w:szCs w:val="24"/>
          <w:rtl/>
        </w:rPr>
        <w:t>)</w:t>
      </w:r>
    </w:p>
    <w:p w:rsidR="000635D8" w:rsidRDefault="000635D8" w:rsidP="003F7A7A">
      <w:pPr>
        <w:tabs>
          <w:tab w:val="right" w:pos="281"/>
        </w:tabs>
        <w:bidi/>
        <w:jc w:val="center"/>
        <w:rPr>
          <w:rFonts w:ascii="Simplified Arabic" w:hAnsi="Simplified Arabic" w:cs="Simplified Arabic"/>
          <w:sz w:val="24"/>
          <w:szCs w:val="24"/>
          <w:rtl/>
        </w:rPr>
      </w:pPr>
      <w:r w:rsidRPr="00051F6D">
        <w:rPr>
          <w:rFonts w:asciiTheme="majorBidi" w:hAnsiTheme="majorBidi" w:cstheme="majorBidi"/>
          <w:noProof/>
          <w:color w:val="000000" w:themeColor="text1"/>
          <w:lang w:eastAsia="fr-FR"/>
        </w:rPr>
        <w:drawing>
          <wp:inline distT="0" distB="0" distL="0" distR="0" wp14:anchorId="56060807" wp14:editId="406EC6E4">
            <wp:extent cx="5244054" cy="3709358"/>
            <wp:effectExtent l="0" t="0" r="0" b="5715"/>
            <wp:docPr id="155" name="Image 155" descr="C:\Users\NTC\Downloads\الموق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TC\Downloads\الموقع.jpg"/>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249768" cy="3713400"/>
                    </a:xfrm>
                    <a:prstGeom prst="rect">
                      <a:avLst/>
                    </a:prstGeom>
                    <a:noFill/>
                    <a:ln>
                      <a:noFill/>
                    </a:ln>
                  </pic:spPr>
                </pic:pic>
              </a:graphicData>
            </a:graphic>
          </wp:inline>
        </w:drawing>
      </w:r>
    </w:p>
    <w:p w:rsidR="00614DA0" w:rsidRPr="00614DA0" w:rsidRDefault="00614DA0" w:rsidP="001D0548">
      <w:pPr>
        <w:pStyle w:val="Paragraphedeliste"/>
        <w:numPr>
          <w:ilvl w:val="0"/>
          <w:numId w:val="272"/>
        </w:numPr>
        <w:tabs>
          <w:tab w:val="right" w:pos="567"/>
        </w:tabs>
        <w:bidi/>
        <w:spacing w:before="240" w:after="0"/>
        <w:jc w:val="both"/>
        <w:rPr>
          <w:rFonts w:ascii="Simplified Arabic" w:hAnsi="Simplified Arabic" w:cs="Simplified Arabic"/>
          <w:b/>
          <w:bCs/>
          <w:vanish/>
          <w:sz w:val="24"/>
          <w:szCs w:val="24"/>
          <w:rtl/>
          <w:lang w:val="en-US" w:bidi="ar-DZ"/>
        </w:rPr>
      </w:pPr>
    </w:p>
    <w:p w:rsidR="00614DA0" w:rsidRPr="00614DA0" w:rsidRDefault="00614DA0" w:rsidP="001D0548">
      <w:pPr>
        <w:pStyle w:val="Paragraphedeliste"/>
        <w:numPr>
          <w:ilvl w:val="0"/>
          <w:numId w:val="272"/>
        </w:numPr>
        <w:tabs>
          <w:tab w:val="right" w:pos="567"/>
        </w:tabs>
        <w:bidi/>
        <w:spacing w:before="240" w:after="0"/>
        <w:jc w:val="both"/>
        <w:rPr>
          <w:rFonts w:ascii="Simplified Arabic" w:hAnsi="Simplified Arabic" w:cs="Simplified Arabic"/>
          <w:b/>
          <w:bCs/>
          <w:vanish/>
          <w:sz w:val="24"/>
          <w:szCs w:val="24"/>
          <w:rtl/>
          <w:lang w:val="en-US" w:bidi="ar-DZ"/>
        </w:rPr>
      </w:pPr>
    </w:p>
    <w:p w:rsidR="00614DA0" w:rsidRPr="00614DA0" w:rsidRDefault="00614DA0" w:rsidP="001D0548">
      <w:pPr>
        <w:pStyle w:val="Paragraphedeliste"/>
        <w:numPr>
          <w:ilvl w:val="1"/>
          <w:numId w:val="272"/>
        </w:numPr>
        <w:tabs>
          <w:tab w:val="right" w:pos="567"/>
        </w:tabs>
        <w:bidi/>
        <w:spacing w:before="240" w:after="0"/>
        <w:jc w:val="both"/>
        <w:rPr>
          <w:rFonts w:ascii="Simplified Arabic" w:hAnsi="Simplified Arabic" w:cs="Simplified Arabic"/>
          <w:b/>
          <w:bCs/>
          <w:vanish/>
          <w:sz w:val="24"/>
          <w:szCs w:val="24"/>
          <w:rtl/>
          <w:lang w:val="en-US" w:bidi="ar-DZ"/>
        </w:rPr>
      </w:pPr>
    </w:p>
    <w:p w:rsidR="000635D8" w:rsidRPr="00D32AC3" w:rsidRDefault="000635D8" w:rsidP="001D0548">
      <w:pPr>
        <w:pStyle w:val="Paragraphedeliste"/>
        <w:numPr>
          <w:ilvl w:val="1"/>
          <w:numId w:val="272"/>
        </w:numPr>
        <w:tabs>
          <w:tab w:val="right" w:pos="567"/>
        </w:tabs>
        <w:bidi/>
        <w:spacing w:before="240" w:after="0"/>
        <w:ind w:left="839" w:hanging="839"/>
        <w:jc w:val="both"/>
        <w:outlineLvl w:val="0"/>
        <w:rPr>
          <w:rFonts w:ascii="Simplified Arabic" w:hAnsi="Simplified Arabic" w:cs="Simplified Arabic"/>
          <w:sz w:val="24"/>
          <w:szCs w:val="24"/>
          <w:rtl/>
          <w:lang w:val="en-US" w:bidi="ar-DZ"/>
        </w:rPr>
      </w:pPr>
      <w:bookmarkStart w:id="496" w:name="_Toc171803569"/>
      <w:r w:rsidRPr="00D32AC3">
        <w:rPr>
          <w:rFonts w:ascii="Simplified Arabic" w:hAnsi="Simplified Arabic" w:cs="Simplified Arabic" w:hint="cs"/>
          <w:b/>
          <w:bCs/>
          <w:sz w:val="24"/>
          <w:szCs w:val="24"/>
          <w:rtl/>
          <w:lang w:val="en-US" w:bidi="ar-DZ"/>
        </w:rPr>
        <w:t>خصائص الموضع</w:t>
      </w:r>
      <w:bookmarkEnd w:id="496"/>
    </w:p>
    <w:p w:rsidR="00B72F63" w:rsidRDefault="000635D8" w:rsidP="00B72F63">
      <w:pPr>
        <w:tabs>
          <w:tab w:val="right" w:pos="281"/>
        </w:tabs>
        <w:bidi/>
        <w:spacing w:after="0"/>
        <w:ind w:firstLine="283"/>
        <w:jc w:val="both"/>
        <w:rPr>
          <w:rFonts w:ascii="Simplified Arabic" w:hAnsi="Simplified Arabic" w:cs="Simplified Arabic"/>
          <w:sz w:val="24"/>
          <w:szCs w:val="24"/>
          <w:rtl/>
        </w:rPr>
      </w:pPr>
      <w:r w:rsidRPr="0063639A">
        <w:rPr>
          <w:rFonts w:ascii="Simplified Arabic" w:hAnsi="Simplified Arabic" w:cs="Simplified Arabic"/>
          <w:sz w:val="24"/>
          <w:szCs w:val="24"/>
          <w:rtl/>
        </w:rPr>
        <w:t>عادة</w:t>
      </w:r>
      <w:r>
        <w:rPr>
          <w:rFonts w:ascii="Simplified Arabic" w:hAnsi="Simplified Arabic" w:cs="Simplified Arabic" w:hint="cs"/>
          <w:sz w:val="24"/>
          <w:szCs w:val="24"/>
          <w:rtl/>
        </w:rPr>
        <w:t>،</w:t>
      </w:r>
      <w:r w:rsidRPr="0063639A">
        <w:rPr>
          <w:rFonts w:ascii="Simplified Arabic" w:hAnsi="Simplified Arabic" w:cs="Simplified Arabic"/>
          <w:sz w:val="24"/>
          <w:szCs w:val="24"/>
          <w:rtl/>
        </w:rPr>
        <w:t xml:space="preserve"> خصائص</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الموضع</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لا</w:t>
      </w:r>
      <w:r>
        <w:rPr>
          <w:rFonts w:ascii="Simplified Arabic" w:hAnsi="Simplified Arabic" w:cs="Simplified Arabic" w:hint="cs"/>
          <w:sz w:val="24"/>
          <w:szCs w:val="24"/>
          <w:rtl/>
        </w:rPr>
        <w:t xml:space="preserve"> ت</w:t>
      </w:r>
      <w:r w:rsidRPr="0063639A">
        <w:rPr>
          <w:rFonts w:ascii="Simplified Arabic" w:hAnsi="Simplified Arabic" w:cs="Simplified Arabic"/>
          <w:sz w:val="24"/>
          <w:szCs w:val="24"/>
          <w:rtl/>
        </w:rPr>
        <w:t>تكرر</w:t>
      </w:r>
      <w:r w:rsidRPr="0063639A">
        <w:rPr>
          <w:rFonts w:ascii="Simplified Arabic" w:hAnsi="Simplified Arabic" w:cs="Simplified Arabic" w:hint="cs"/>
          <w:sz w:val="24"/>
          <w:szCs w:val="24"/>
          <w:rtl/>
        </w:rPr>
        <w:t>،</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فلكل</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مدينة</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جوانبها</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الموضعية</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الخاصة</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بها</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والتي</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تؤثر</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في</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نموها</w:t>
      </w:r>
      <w:r w:rsidRPr="0063639A">
        <w:rPr>
          <w:rFonts w:ascii="Simplified Arabic" w:hAnsi="Simplified Arabic" w:cs="Simplified Arabic" w:hint="cs"/>
          <w:sz w:val="24"/>
          <w:szCs w:val="24"/>
          <w:rtl/>
        </w:rPr>
        <w:t xml:space="preserve"> </w:t>
      </w:r>
      <w:r w:rsidRPr="0063639A">
        <w:rPr>
          <w:rFonts w:ascii="Simplified Arabic" w:hAnsi="Simplified Arabic" w:cs="Simplified Arabic"/>
          <w:sz w:val="24"/>
          <w:szCs w:val="24"/>
          <w:rtl/>
        </w:rPr>
        <w:t>و</w:t>
      </w:r>
      <w:r w:rsidRPr="0063639A">
        <w:rPr>
          <w:rFonts w:ascii="Simplified Arabic" w:hAnsi="Simplified Arabic" w:cs="Simplified Arabic" w:hint="cs"/>
          <w:sz w:val="24"/>
          <w:szCs w:val="24"/>
          <w:rtl/>
        </w:rPr>
        <w:t xml:space="preserve"> </w:t>
      </w:r>
      <w:r w:rsidRPr="0063639A">
        <w:rPr>
          <w:rFonts w:ascii="Simplified Arabic" w:hAnsi="Simplified Arabic" w:cs="Simplified Arabic"/>
          <w:sz w:val="24"/>
          <w:szCs w:val="24"/>
          <w:rtl/>
        </w:rPr>
        <w:t>تطورها</w:t>
      </w:r>
      <w:r w:rsidRPr="0063639A">
        <w:rPr>
          <w:rFonts w:ascii="Simplified Arabic" w:hAnsi="Simplified Arabic" w:cs="Simplified Arabic" w:hint="cs"/>
          <w:sz w:val="24"/>
          <w:szCs w:val="24"/>
          <w:rtl/>
        </w:rPr>
        <w:t>، و</w:t>
      </w:r>
      <w:r w:rsidRPr="0063639A">
        <w:rPr>
          <w:rFonts w:ascii="Simplified Arabic" w:hAnsi="Simplified Arabic" w:cs="Simplified Arabic"/>
          <w:sz w:val="24"/>
          <w:szCs w:val="24"/>
          <w:rtl/>
        </w:rPr>
        <w:t>ي</w:t>
      </w:r>
      <w:r>
        <w:rPr>
          <w:rFonts w:ascii="Simplified Arabic" w:hAnsi="Simplified Arabic" w:cs="Simplified Arabic" w:hint="cs"/>
          <w:sz w:val="24"/>
          <w:szCs w:val="24"/>
          <w:rtl/>
        </w:rPr>
        <w:t>ُ</w:t>
      </w:r>
      <w:r w:rsidRPr="0063639A">
        <w:rPr>
          <w:rFonts w:ascii="Simplified Arabic" w:hAnsi="Simplified Arabic" w:cs="Simplified Arabic"/>
          <w:sz w:val="24"/>
          <w:szCs w:val="24"/>
          <w:rtl/>
        </w:rPr>
        <w:t>عر</w:t>
      </w:r>
      <w:r>
        <w:rPr>
          <w:rFonts w:ascii="Simplified Arabic" w:hAnsi="Simplified Arabic" w:cs="Simplified Arabic" w:hint="cs"/>
          <w:sz w:val="24"/>
          <w:szCs w:val="24"/>
          <w:rtl/>
        </w:rPr>
        <w:t>ّ</w:t>
      </w:r>
      <w:r w:rsidRPr="0063639A">
        <w:rPr>
          <w:rFonts w:ascii="Simplified Arabic" w:hAnsi="Simplified Arabic" w:cs="Simplified Arabic"/>
          <w:sz w:val="24"/>
          <w:szCs w:val="24"/>
          <w:rtl/>
        </w:rPr>
        <w:t xml:space="preserve">ف الموضع بأنه الأرض التي </w:t>
      </w:r>
      <w:r w:rsidRPr="0063639A">
        <w:rPr>
          <w:rFonts w:ascii="Simplified Arabic" w:hAnsi="Simplified Arabic" w:cs="Simplified Arabic" w:hint="cs"/>
          <w:sz w:val="24"/>
          <w:szCs w:val="24"/>
          <w:rtl/>
        </w:rPr>
        <w:t xml:space="preserve">لا </w:t>
      </w:r>
      <w:r w:rsidRPr="0063639A">
        <w:rPr>
          <w:rFonts w:ascii="Simplified Arabic" w:hAnsi="Simplified Arabic" w:cs="Simplified Arabic"/>
          <w:sz w:val="24"/>
          <w:szCs w:val="24"/>
          <w:rtl/>
        </w:rPr>
        <w:t xml:space="preserve">تقام عليها المدينة و المنطقة التي </w:t>
      </w:r>
      <w:r w:rsidRPr="0063639A">
        <w:rPr>
          <w:rFonts w:ascii="Simplified Arabic" w:hAnsi="Simplified Arabic" w:cs="Simplified Arabic" w:hint="cs"/>
          <w:sz w:val="24"/>
          <w:szCs w:val="24"/>
          <w:rtl/>
        </w:rPr>
        <w:t xml:space="preserve">لا </w:t>
      </w:r>
      <w:r w:rsidRPr="0063639A">
        <w:rPr>
          <w:rFonts w:ascii="Simplified Arabic" w:hAnsi="Simplified Arabic" w:cs="Simplified Arabic"/>
          <w:sz w:val="24"/>
          <w:szCs w:val="24"/>
          <w:rtl/>
        </w:rPr>
        <w:t>تشغلها فعلا الكتلة المبنية</w:t>
      </w:r>
      <w:r w:rsidRPr="0063639A">
        <w:rPr>
          <w:rFonts w:ascii="Simplified Arabic" w:hAnsi="Simplified Arabic" w:cs="Simplified Arabic" w:hint="cs"/>
          <w:sz w:val="24"/>
          <w:szCs w:val="24"/>
          <w:rtl/>
        </w:rPr>
        <w:t>،</w:t>
      </w:r>
      <w:r w:rsidRPr="0063639A">
        <w:rPr>
          <w:rFonts w:ascii="Simplified Arabic" w:hAnsi="Simplified Arabic" w:cs="Simplified Arabic"/>
          <w:sz w:val="24"/>
          <w:szCs w:val="24"/>
          <w:rtl/>
        </w:rPr>
        <w:t xml:space="preserve"> وعند دراسة موضع مدينة </w:t>
      </w:r>
      <w:r w:rsidRPr="0063639A">
        <w:rPr>
          <w:rFonts w:ascii="Simplified Arabic" w:hAnsi="Simplified Arabic" w:cs="Simplified Arabic" w:hint="cs"/>
          <w:sz w:val="24"/>
          <w:szCs w:val="24"/>
          <w:rtl/>
        </w:rPr>
        <w:t>بوسعادة</w:t>
      </w:r>
      <w:r>
        <w:rPr>
          <w:rFonts w:ascii="Simplified Arabic" w:hAnsi="Simplified Arabic" w:cs="Simplified Arabic" w:hint="cs"/>
          <w:sz w:val="24"/>
          <w:szCs w:val="24"/>
          <w:rtl/>
        </w:rPr>
        <w:t>،</w:t>
      </w:r>
      <w:r w:rsidRPr="0063639A">
        <w:rPr>
          <w:rFonts w:ascii="Simplified Arabic" w:hAnsi="Simplified Arabic" w:cs="Simplified Arabic"/>
          <w:sz w:val="24"/>
          <w:szCs w:val="24"/>
          <w:rtl/>
        </w:rPr>
        <w:t xml:space="preserve"> تبين أنها قامت </w:t>
      </w:r>
      <w:r w:rsidR="00E451F2">
        <w:rPr>
          <w:rFonts w:ascii="Simplified Arabic" w:hAnsi="Simplified Arabic" w:cs="Simplified Arabic" w:hint="cs"/>
          <w:sz w:val="24"/>
          <w:szCs w:val="24"/>
          <w:rtl/>
        </w:rPr>
        <w:t>على</w:t>
      </w:r>
      <w:r w:rsidRPr="0063639A">
        <w:rPr>
          <w:rFonts w:ascii="Simplified Arabic" w:hAnsi="Simplified Arabic" w:cs="Simplified Arabic"/>
          <w:sz w:val="24"/>
          <w:szCs w:val="24"/>
          <w:rtl/>
        </w:rPr>
        <w:t xml:space="preserve"> موضع جد هام لقربها من منابع مائية  مثل واد </w:t>
      </w:r>
      <w:r w:rsidRPr="0063639A">
        <w:rPr>
          <w:rFonts w:ascii="Simplified Arabic" w:hAnsi="Simplified Arabic" w:cs="Simplified Arabic" w:hint="cs"/>
          <w:sz w:val="24"/>
          <w:szCs w:val="24"/>
          <w:rtl/>
        </w:rPr>
        <w:t>بوسعادة</w:t>
      </w:r>
      <w:r w:rsidRPr="0063639A">
        <w:rPr>
          <w:rFonts w:ascii="Simplified Arabic" w:hAnsi="Simplified Arabic" w:cs="Simplified Arabic"/>
          <w:sz w:val="24"/>
          <w:szCs w:val="24"/>
          <w:rtl/>
        </w:rPr>
        <w:t xml:space="preserve"> الذي يعبر</w:t>
      </w:r>
      <w:r w:rsidRPr="0063639A">
        <w:rPr>
          <w:rFonts w:ascii="Simplified Arabic" w:hAnsi="Simplified Arabic" w:cs="Simplified Arabic" w:hint="cs"/>
          <w:sz w:val="24"/>
          <w:szCs w:val="24"/>
          <w:rtl/>
        </w:rPr>
        <w:t xml:space="preserve"> نسيجها الحضري و توفرها على الاراضي الخصبة التي تحيط بها.</w:t>
      </w:r>
      <w:r w:rsidRPr="0063639A">
        <w:rPr>
          <w:rFonts w:ascii="Simplified Arabic" w:hAnsi="Simplified Arabic" w:cs="Simplified Arabic"/>
          <w:sz w:val="24"/>
          <w:szCs w:val="24"/>
          <w:rtl/>
        </w:rPr>
        <w:t xml:space="preserve"> </w:t>
      </w:r>
      <w:r w:rsidRPr="0063639A">
        <w:rPr>
          <w:rFonts w:ascii="Simplified Arabic" w:hAnsi="Simplified Arabic" w:cs="Simplified Arabic" w:hint="cs"/>
          <w:sz w:val="24"/>
          <w:szCs w:val="24"/>
          <w:rtl/>
        </w:rPr>
        <w:t>غير ان خصائص الموضع الاخرى التي تحيط بالمدينة، أ</w:t>
      </w:r>
      <w:r w:rsidRPr="0063639A">
        <w:rPr>
          <w:rFonts w:ascii="Simplified Arabic" w:hAnsi="Simplified Arabic" w:cs="Simplified Arabic"/>
          <w:sz w:val="24"/>
          <w:szCs w:val="24"/>
          <w:rtl/>
        </w:rPr>
        <w:t>ثر</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في</w:t>
      </w:r>
      <w:r w:rsidRPr="0063639A">
        <w:rPr>
          <w:rFonts w:ascii="Simplified Arabic" w:hAnsi="Simplified Arabic" w:cs="Simplified Arabic" w:hint="cs"/>
          <w:sz w:val="24"/>
          <w:szCs w:val="24"/>
          <w:rtl/>
        </w:rPr>
        <w:t xml:space="preserve"> توجيه </w:t>
      </w:r>
      <w:r w:rsidRPr="0063639A">
        <w:rPr>
          <w:rFonts w:ascii="Simplified Arabic" w:hAnsi="Simplified Arabic" w:cs="Simplified Arabic"/>
          <w:sz w:val="24"/>
          <w:szCs w:val="24"/>
          <w:rtl/>
        </w:rPr>
        <w:t>شكل</w:t>
      </w:r>
      <w:r w:rsidRPr="0063639A">
        <w:rPr>
          <w:rFonts w:ascii="Simplified Arabic" w:hAnsi="Simplified Arabic" w:cs="Simplified Arabic"/>
          <w:sz w:val="24"/>
          <w:szCs w:val="24"/>
        </w:rPr>
        <w:t xml:space="preserve"> </w:t>
      </w:r>
      <w:r w:rsidRPr="0063639A">
        <w:rPr>
          <w:rFonts w:ascii="Simplified Arabic" w:hAnsi="Simplified Arabic" w:cs="Simplified Arabic"/>
          <w:sz w:val="24"/>
          <w:szCs w:val="24"/>
          <w:rtl/>
        </w:rPr>
        <w:t>نمو</w:t>
      </w:r>
      <w:r w:rsidRPr="0063639A">
        <w:rPr>
          <w:rFonts w:ascii="Simplified Arabic" w:hAnsi="Simplified Arabic" w:cs="Simplified Arabic" w:hint="cs"/>
          <w:sz w:val="24"/>
          <w:szCs w:val="24"/>
          <w:rtl/>
        </w:rPr>
        <w:t>ها</w:t>
      </w:r>
      <w:r>
        <w:rPr>
          <w:rFonts w:ascii="Simplified Arabic" w:hAnsi="Simplified Arabic" w:cs="Simplified Arabic" w:hint="cs"/>
          <w:sz w:val="24"/>
          <w:szCs w:val="24"/>
          <w:rtl/>
        </w:rPr>
        <w:t xml:space="preserve"> الحضري</w:t>
      </w:r>
      <w:r w:rsidRPr="0063639A">
        <w:rPr>
          <w:rFonts w:ascii="Simplified Arabic" w:hAnsi="Simplified Arabic" w:cs="Simplified Arabic" w:hint="cs"/>
          <w:sz w:val="24"/>
          <w:szCs w:val="24"/>
          <w:rtl/>
        </w:rPr>
        <w:t>، المتمثلة في سلسلة من الكثبان الرملية والجبال (جبل كردادة من الجهة الشرقية، جبل موبخ</w:t>
      </w:r>
      <w:r>
        <w:rPr>
          <w:rFonts w:ascii="Simplified Arabic" w:hAnsi="Simplified Arabic" w:cs="Simplified Arabic" w:hint="cs"/>
          <w:sz w:val="24"/>
          <w:szCs w:val="24"/>
          <w:rtl/>
        </w:rPr>
        <w:t>ي</w:t>
      </w:r>
      <w:r w:rsidRPr="0063639A">
        <w:rPr>
          <w:rFonts w:ascii="Simplified Arabic" w:hAnsi="Simplified Arabic" w:cs="Simplified Arabic" w:hint="cs"/>
          <w:sz w:val="24"/>
          <w:szCs w:val="24"/>
          <w:rtl/>
        </w:rPr>
        <w:t>رة من الجهة الغربية وجبل عزالدين من الجهة الشمالية الغربية)</w:t>
      </w:r>
      <w:r w:rsidRPr="0063639A">
        <w:rPr>
          <w:rFonts w:ascii="Simplified Arabic" w:hAnsi="Simplified Arabic" w:cs="Simplified Arabic"/>
          <w:sz w:val="24"/>
          <w:szCs w:val="24"/>
          <w:rtl/>
        </w:rPr>
        <w:t xml:space="preserve">، </w:t>
      </w:r>
      <w:r w:rsidRPr="0063639A">
        <w:rPr>
          <w:rFonts w:ascii="Simplified Arabic" w:hAnsi="Simplified Arabic" w:cs="Simplified Arabic" w:hint="cs"/>
          <w:sz w:val="24"/>
          <w:szCs w:val="24"/>
          <w:rtl/>
        </w:rPr>
        <w:t xml:space="preserve">الخريطة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4-2</w:t>
      </w:r>
      <w:r w:rsidR="00BA11BE" w:rsidRPr="0063639A">
        <w:rPr>
          <w:rFonts w:ascii="Simplified Arabic" w:hAnsi="Simplified Arabic" w:cs="Simplified Arabic" w:hint="cs"/>
          <w:sz w:val="24"/>
          <w:szCs w:val="24"/>
          <w:rtl/>
        </w:rPr>
        <w:t>)</w:t>
      </w:r>
      <w:r w:rsidRPr="0063639A">
        <w:rPr>
          <w:rFonts w:ascii="Simplified Arabic" w:hAnsi="Simplified Arabic" w:cs="Simplified Arabic"/>
          <w:sz w:val="24"/>
          <w:szCs w:val="24"/>
          <w:rtl/>
        </w:rPr>
        <w:t>.</w:t>
      </w:r>
    </w:p>
    <w:p w:rsidR="000635D8" w:rsidRPr="00A9318D" w:rsidRDefault="000635D8" w:rsidP="00A9318D">
      <w:pPr>
        <w:pStyle w:val="carte"/>
        <w:rPr>
          <w:rtl/>
        </w:rPr>
      </w:pPr>
      <w:bookmarkStart w:id="497" w:name="_Toc157616589"/>
      <w:bookmarkStart w:id="498" w:name="_Toc171803570"/>
      <w:r w:rsidRPr="00A9318D">
        <w:rPr>
          <w:rFonts w:hint="cs"/>
          <w:rtl/>
        </w:rPr>
        <w:lastRenderedPageBreak/>
        <w:t xml:space="preserve">الخريطة </w:t>
      </w:r>
      <w:r w:rsidR="00BA11BE" w:rsidRPr="00A9318D">
        <w:rPr>
          <w:rFonts w:hint="cs"/>
          <w:rtl/>
        </w:rPr>
        <w:t>(4-2)</w:t>
      </w:r>
      <w:r w:rsidRPr="00A9318D">
        <w:rPr>
          <w:rtl/>
        </w:rPr>
        <w:t>:</w:t>
      </w:r>
      <w:r w:rsidRPr="00A9318D">
        <w:rPr>
          <w:rFonts w:hint="cs"/>
          <w:rtl/>
        </w:rPr>
        <w:t xml:space="preserve"> خصائص الموضع لمدينة بوسعادة</w:t>
      </w:r>
      <w:bookmarkEnd w:id="497"/>
      <w:bookmarkEnd w:id="498"/>
    </w:p>
    <w:p w:rsidR="000635D8" w:rsidRPr="005135C8" w:rsidRDefault="000635D8" w:rsidP="00AE4A70">
      <w:pPr>
        <w:tabs>
          <w:tab w:val="right" w:pos="281"/>
        </w:tabs>
        <w:bidi/>
        <w:spacing w:after="0"/>
        <w:jc w:val="center"/>
        <w:rPr>
          <w:rFonts w:ascii="Simplified Arabic" w:hAnsi="Simplified Arabic" w:cs="Simplified Arabic"/>
          <w:b/>
          <w:bCs/>
          <w:sz w:val="24"/>
          <w:szCs w:val="24"/>
          <w:rtl/>
        </w:rPr>
      </w:pPr>
      <w:r w:rsidRPr="005135C8">
        <w:rPr>
          <w:rFonts w:ascii="Simplified Arabic" w:hAnsi="Simplified Arabic" w:cs="Simplified Arabic" w:hint="cs"/>
          <w:b/>
          <w:bCs/>
          <w:sz w:val="24"/>
          <w:szCs w:val="24"/>
          <w:rtl/>
        </w:rPr>
        <w:t>المصدر: (عبد الكريم، 2021)</w:t>
      </w:r>
    </w:p>
    <w:p w:rsidR="000635D8" w:rsidRDefault="000635D8" w:rsidP="00C02010">
      <w:pPr>
        <w:tabs>
          <w:tab w:val="right" w:pos="281"/>
        </w:tabs>
        <w:bidi/>
        <w:spacing w:after="0"/>
        <w:jc w:val="center"/>
        <w:rPr>
          <w:noProof/>
          <w:rtl/>
          <w:lang w:eastAsia="fr-FR"/>
        </w:rPr>
      </w:pPr>
      <w:r>
        <w:rPr>
          <w:noProof/>
          <w:lang w:eastAsia="fr-FR"/>
        </w:rPr>
        <w:drawing>
          <wp:inline distT="0" distB="0" distL="0" distR="0" wp14:anchorId="74D0E434" wp14:editId="0CCF94C2">
            <wp:extent cx="4706173" cy="3433314"/>
            <wp:effectExtent l="0" t="0" r="0" b="0"/>
            <wp:docPr id="156" name="Imag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3"/>
                    <a:stretch>
                      <a:fillRect/>
                    </a:stretch>
                  </pic:blipFill>
                  <pic:spPr>
                    <a:xfrm>
                      <a:off x="0" y="0"/>
                      <a:ext cx="4711960" cy="3437536"/>
                    </a:xfrm>
                    <a:prstGeom prst="rect">
                      <a:avLst/>
                    </a:prstGeom>
                  </pic:spPr>
                </pic:pic>
              </a:graphicData>
            </a:graphic>
          </wp:inline>
        </w:drawing>
      </w:r>
    </w:p>
    <w:p w:rsidR="000635D8" w:rsidRPr="003F7A7A" w:rsidRDefault="000635D8" w:rsidP="001D0548">
      <w:pPr>
        <w:pStyle w:val="Paragraphedeliste"/>
        <w:numPr>
          <w:ilvl w:val="1"/>
          <w:numId w:val="215"/>
        </w:numPr>
        <w:tabs>
          <w:tab w:val="right" w:pos="567"/>
        </w:tabs>
        <w:bidi/>
        <w:spacing w:before="240" w:after="0"/>
        <w:ind w:left="0" w:firstLine="0"/>
        <w:jc w:val="both"/>
        <w:outlineLvl w:val="0"/>
        <w:rPr>
          <w:rFonts w:ascii="Simplified Arabic" w:hAnsi="Simplified Arabic" w:cs="Simplified Arabic"/>
          <w:sz w:val="24"/>
          <w:szCs w:val="24"/>
          <w:rtl/>
          <w:lang w:val="en-US" w:bidi="ar-DZ"/>
        </w:rPr>
      </w:pPr>
      <w:bookmarkStart w:id="499" w:name="_Toc171803571"/>
      <w:r w:rsidRPr="003F7A7A">
        <w:rPr>
          <w:rFonts w:ascii="Simplified Arabic" w:hAnsi="Simplified Arabic" w:cs="Simplified Arabic" w:hint="cs"/>
          <w:b/>
          <w:bCs/>
          <w:sz w:val="24"/>
          <w:szCs w:val="24"/>
          <w:rtl/>
          <w:lang w:val="en-US" w:bidi="ar-DZ"/>
        </w:rPr>
        <w:t>الخصائص الطبيعية</w:t>
      </w:r>
      <w:bookmarkEnd w:id="499"/>
    </w:p>
    <w:p w:rsidR="000635D8" w:rsidRPr="003F7A7A" w:rsidRDefault="000635D8" w:rsidP="001D0548">
      <w:pPr>
        <w:pStyle w:val="Paragraphedeliste"/>
        <w:numPr>
          <w:ilvl w:val="2"/>
          <w:numId w:val="216"/>
        </w:numPr>
        <w:tabs>
          <w:tab w:val="right" w:pos="850"/>
        </w:tabs>
        <w:bidi/>
        <w:spacing w:after="0"/>
        <w:ind w:left="0" w:firstLine="0"/>
        <w:jc w:val="both"/>
        <w:outlineLvl w:val="1"/>
        <w:rPr>
          <w:rFonts w:ascii="Simplified Arabic" w:hAnsi="Simplified Arabic" w:cs="Simplified Arabic"/>
          <w:sz w:val="24"/>
          <w:szCs w:val="24"/>
          <w:lang w:val="en-US" w:bidi="ar-DZ"/>
        </w:rPr>
      </w:pPr>
      <w:bookmarkStart w:id="500" w:name="_Toc171803572"/>
      <w:r w:rsidRPr="003F7A7A">
        <w:rPr>
          <w:rFonts w:ascii="Simplified Arabic" w:hAnsi="Simplified Arabic" w:cs="Simplified Arabic" w:hint="cs"/>
          <w:b/>
          <w:bCs/>
          <w:sz w:val="24"/>
          <w:szCs w:val="24"/>
          <w:rtl/>
          <w:lang w:val="en-US" w:bidi="ar-DZ"/>
        </w:rPr>
        <w:t>خصائص التضاريس</w:t>
      </w:r>
      <w:bookmarkEnd w:id="500"/>
    </w:p>
    <w:p w:rsidR="000635D8" w:rsidRPr="00A57967" w:rsidRDefault="000635D8" w:rsidP="00BA11BE">
      <w:pPr>
        <w:pStyle w:val="Paragraphedeliste"/>
        <w:tabs>
          <w:tab w:val="right" w:pos="281"/>
        </w:tabs>
        <w:bidi/>
        <w:spacing w:after="0"/>
        <w:ind w:left="0" w:firstLine="283"/>
        <w:jc w:val="both"/>
        <w:rPr>
          <w:rFonts w:ascii="Simplified Arabic" w:hAnsi="Simplified Arabic" w:cs="Simplified Arabic"/>
          <w:sz w:val="24"/>
          <w:szCs w:val="24"/>
          <w:rtl/>
        </w:rPr>
      </w:pPr>
      <w:r w:rsidRPr="00A57967">
        <w:rPr>
          <w:rFonts w:ascii="Simplified Arabic" w:hAnsi="Simplified Arabic" w:cs="Simplified Arabic" w:hint="cs"/>
          <w:sz w:val="24"/>
          <w:szCs w:val="24"/>
          <w:rtl/>
        </w:rPr>
        <w:t>في السابق كانت مدينة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بوسعادة الحضنية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تمثل</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أقرب</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واحة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للجزائر</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العاصمة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بمسافة</w:t>
      </w:r>
      <w:r w:rsidRPr="00A57967">
        <w:rPr>
          <w:rFonts w:ascii="Simplified Arabic" w:hAnsi="Simplified Arabic" w:cs="Simplified Arabic"/>
          <w:sz w:val="24"/>
          <w:szCs w:val="24"/>
          <w:rtl/>
        </w:rPr>
        <w:t xml:space="preserve"> 250 </w:t>
      </w:r>
      <w:r w:rsidRPr="00A57967">
        <w:rPr>
          <w:rFonts w:ascii="Simplified Arabic" w:hAnsi="Simplified Arabic" w:cs="Simplified Arabic" w:hint="cs"/>
          <w:sz w:val="24"/>
          <w:szCs w:val="24"/>
          <w:rtl/>
        </w:rPr>
        <w:t>كم</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نحو الجنوب الشرقي منها،</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كما كانت تمثل مفترق</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طرق</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هام</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للتبادل</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الثقافي</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والاقتصادي</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بين</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تلال</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الجزائر الشمالية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والمرتفعات</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الوسطى</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ومنطقة الزّاب</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وميزاب. تقع في السفح الشمالي لجبال الاطلس الصحراوي (</w:t>
      </w:r>
      <w:r>
        <w:rPr>
          <w:rFonts w:ascii="Simplified Arabic" w:hAnsi="Simplified Arabic" w:cs="Simplified Arabic" w:hint="cs"/>
          <w:sz w:val="24"/>
          <w:szCs w:val="24"/>
          <w:rtl/>
        </w:rPr>
        <w:t xml:space="preserve">تسمى </w:t>
      </w:r>
      <w:r w:rsidRPr="00A57967">
        <w:rPr>
          <w:rFonts w:ascii="Simplified Arabic" w:hAnsi="Simplified Arabic" w:cs="Simplified Arabic" w:hint="cs"/>
          <w:sz w:val="24"/>
          <w:szCs w:val="24"/>
          <w:rtl/>
        </w:rPr>
        <w:t>جبال اولاد نايل)، تطل واجهة المدينة الشمالية على شط الحضنة.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لذلك</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تتميز مدينة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بوسعادة</w:t>
      </w:r>
      <w:r w:rsidRPr="00A57967">
        <w:rPr>
          <w:rFonts w:ascii="Simplified Arabic" w:hAnsi="Simplified Arabic" w:cs="Simplified Arabic"/>
          <w:sz w:val="24"/>
          <w:szCs w:val="24"/>
          <w:rtl/>
        </w:rPr>
        <w:t xml:space="preserve"> </w:t>
      </w:r>
      <w:r w:rsidRPr="00A57967">
        <w:rPr>
          <w:rFonts w:ascii="Simplified Arabic" w:hAnsi="Simplified Arabic" w:cs="Simplified Arabic" w:hint="cs"/>
          <w:sz w:val="24"/>
          <w:szCs w:val="24"/>
          <w:rtl/>
        </w:rPr>
        <w:t>ب</w:t>
      </w:r>
      <w:r>
        <w:rPr>
          <w:rFonts w:ascii="Simplified Arabic" w:hAnsi="Simplified Arabic" w:cs="Simplified Arabic" w:hint="cs"/>
          <w:sz w:val="24"/>
          <w:szCs w:val="24"/>
          <w:rtl/>
        </w:rPr>
        <w:t xml:space="preserve">جملة من </w:t>
      </w:r>
      <w:r w:rsidRPr="00A57967">
        <w:rPr>
          <w:rFonts w:ascii="Simplified Arabic" w:hAnsi="Simplified Arabic" w:cs="Simplified Arabic" w:hint="cs"/>
          <w:sz w:val="24"/>
          <w:szCs w:val="24"/>
          <w:rtl/>
        </w:rPr>
        <w:t>الخصائص التضاريسية</w:t>
      </w:r>
      <w:r>
        <w:rPr>
          <w:rFonts w:ascii="Simplified Arabic" w:hAnsi="Simplified Arabic" w:cs="Simplified Arabic" w:hint="cs"/>
          <w:sz w:val="24"/>
          <w:szCs w:val="24"/>
          <w:rtl/>
        </w:rPr>
        <w:t>، تتمثل في وجود عدة مستويات كالارتفاعات (الجبال) و الكثبان الرملية، الانخفاضات (الشعاب والوديان) و السهول،</w:t>
      </w:r>
      <w:r w:rsidRPr="00B802A9">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الخريطة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4-3</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w:t>
      </w:r>
      <w:r w:rsidRPr="00B34506">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وفق ما يلي</w:t>
      </w:r>
      <w:r w:rsidRPr="00A57967">
        <w:rPr>
          <w:rFonts w:ascii="Simplified Arabic" w:hAnsi="Simplified Arabic" w:cs="Simplified Arabic" w:hint="cs"/>
          <w:sz w:val="24"/>
          <w:szCs w:val="24"/>
          <w:rtl/>
        </w:rPr>
        <w:t xml:space="preserve">: </w:t>
      </w:r>
    </w:p>
    <w:p w:rsidR="000635D8" w:rsidRPr="00DE6E5C" w:rsidRDefault="000635D8" w:rsidP="001D0548">
      <w:pPr>
        <w:pStyle w:val="Paragraphedeliste"/>
        <w:numPr>
          <w:ilvl w:val="3"/>
          <w:numId w:val="217"/>
        </w:numPr>
        <w:tabs>
          <w:tab w:val="right" w:pos="992"/>
        </w:tabs>
        <w:bidi/>
        <w:spacing w:before="240" w:after="0"/>
        <w:ind w:left="0" w:firstLine="0"/>
        <w:outlineLvl w:val="2"/>
        <w:rPr>
          <w:rFonts w:ascii="Simplified Arabic" w:hAnsi="Simplified Arabic" w:cs="Simplified Arabic"/>
          <w:b/>
          <w:bCs/>
          <w:sz w:val="24"/>
          <w:szCs w:val="24"/>
          <w:rtl/>
          <w:lang w:val="en-US"/>
        </w:rPr>
      </w:pPr>
      <w:bookmarkStart w:id="501" w:name="_Toc171803573"/>
      <w:r w:rsidRPr="00DE6E5C">
        <w:rPr>
          <w:rFonts w:ascii="Simplified Arabic" w:hAnsi="Simplified Arabic" w:cs="Simplified Arabic" w:hint="cs"/>
          <w:b/>
          <w:bCs/>
          <w:sz w:val="24"/>
          <w:szCs w:val="24"/>
          <w:rtl/>
          <w:lang w:val="en-US"/>
        </w:rPr>
        <w:t>الارتفاعات و الكثبان الرملية</w:t>
      </w:r>
      <w:bookmarkEnd w:id="501"/>
    </w:p>
    <w:p w:rsidR="000635D8" w:rsidRPr="00DE6E5C" w:rsidRDefault="000635D8" w:rsidP="001D0548">
      <w:pPr>
        <w:pStyle w:val="Paragraphedeliste"/>
        <w:numPr>
          <w:ilvl w:val="0"/>
          <w:numId w:val="218"/>
        </w:numPr>
        <w:tabs>
          <w:tab w:val="right" w:pos="1134"/>
        </w:tabs>
        <w:bidi/>
        <w:spacing w:after="0"/>
        <w:ind w:left="0" w:firstLine="992"/>
        <w:jc w:val="both"/>
        <w:rPr>
          <w:rFonts w:ascii="Simplified Arabic" w:hAnsi="Simplified Arabic" w:cs="Simplified Arabic"/>
          <w:sz w:val="24"/>
          <w:szCs w:val="24"/>
          <w:rtl/>
        </w:rPr>
      </w:pPr>
      <w:r w:rsidRPr="00DE6E5C">
        <w:rPr>
          <w:rFonts w:ascii="Simplified Arabic" w:hAnsi="Simplified Arabic" w:cs="Simplified Arabic" w:hint="cs"/>
          <w:b/>
          <w:bCs/>
          <w:sz w:val="24"/>
          <w:szCs w:val="24"/>
          <w:rtl/>
        </w:rPr>
        <w:t>الارتفاعات:</w:t>
      </w:r>
      <w:r w:rsidRPr="00DE6E5C">
        <w:rPr>
          <w:rFonts w:ascii="Simplified Arabic" w:hAnsi="Simplified Arabic" w:cs="Simplified Arabic" w:hint="cs"/>
          <w:sz w:val="24"/>
          <w:szCs w:val="24"/>
          <w:rtl/>
        </w:rPr>
        <w:t xml:space="preserve"> للارتفاع </w:t>
      </w:r>
      <w:r w:rsidRPr="00DE6E5C">
        <w:rPr>
          <w:rFonts w:ascii="Simplified Arabic" w:hAnsi="Simplified Arabic" w:cs="Simplified Arabic"/>
          <w:sz w:val="24"/>
          <w:szCs w:val="24"/>
          <w:rtl/>
        </w:rPr>
        <w:t>دور</w:t>
      </w:r>
      <w:r w:rsidRPr="00DE6E5C">
        <w:rPr>
          <w:rFonts w:ascii="Simplified Arabic" w:hAnsi="Simplified Arabic" w:cs="Simplified Arabic"/>
          <w:sz w:val="24"/>
          <w:szCs w:val="24"/>
        </w:rPr>
        <w:t xml:space="preserve"> </w:t>
      </w:r>
      <w:r w:rsidRPr="00DE6E5C">
        <w:rPr>
          <w:rFonts w:ascii="Simplified Arabic" w:hAnsi="Simplified Arabic" w:cs="Simplified Arabic"/>
          <w:sz w:val="24"/>
          <w:szCs w:val="24"/>
          <w:rtl/>
        </w:rPr>
        <w:t>أساسي</w:t>
      </w:r>
      <w:r w:rsidRPr="00DE6E5C">
        <w:rPr>
          <w:rFonts w:ascii="Simplified Arabic" w:hAnsi="Simplified Arabic" w:cs="Simplified Arabic"/>
          <w:sz w:val="24"/>
          <w:szCs w:val="24"/>
        </w:rPr>
        <w:t xml:space="preserve"> </w:t>
      </w:r>
      <w:r w:rsidRPr="00DE6E5C">
        <w:rPr>
          <w:rFonts w:ascii="Simplified Arabic" w:hAnsi="Simplified Arabic" w:cs="Simplified Arabic"/>
          <w:sz w:val="24"/>
          <w:szCs w:val="24"/>
          <w:rtl/>
        </w:rPr>
        <w:t>في</w:t>
      </w:r>
      <w:r w:rsidRPr="00DE6E5C">
        <w:rPr>
          <w:rFonts w:ascii="Simplified Arabic" w:hAnsi="Simplified Arabic" w:cs="Simplified Arabic"/>
          <w:sz w:val="24"/>
          <w:szCs w:val="24"/>
        </w:rPr>
        <w:t xml:space="preserve"> </w:t>
      </w:r>
      <w:r w:rsidRPr="00DE6E5C">
        <w:rPr>
          <w:rFonts w:ascii="Simplified Arabic" w:hAnsi="Simplified Arabic" w:cs="Simplified Arabic"/>
          <w:sz w:val="24"/>
          <w:szCs w:val="24"/>
          <w:rtl/>
        </w:rPr>
        <w:t>تحديد</w:t>
      </w:r>
      <w:r w:rsidRPr="00DE6E5C">
        <w:rPr>
          <w:rFonts w:ascii="Simplified Arabic" w:hAnsi="Simplified Arabic" w:cs="Simplified Arabic"/>
          <w:sz w:val="24"/>
          <w:szCs w:val="24"/>
        </w:rPr>
        <w:t xml:space="preserve"> </w:t>
      </w:r>
      <w:r w:rsidRPr="00DE6E5C">
        <w:rPr>
          <w:rFonts w:ascii="Simplified Arabic" w:hAnsi="Simplified Arabic" w:cs="Simplified Arabic"/>
          <w:sz w:val="24"/>
          <w:szCs w:val="24"/>
          <w:rtl/>
        </w:rPr>
        <w:t>حجم</w:t>
      </w:r>
      <w:r w:rsidRPr="00DE6E5C">
        <w:rPr>
          <w:rFonts w:ascii="Simplified Arabic" w:hAnsi="Simplified Arabic" w:cs="Simplified Arabic"/>
          <w:sz w:val="24"/>
          <w:szCs w:val="24"/>
        </w:rPr>
        <w:t xml:space="preserve"> </w:t>
      </w:r>
      <w:r w:rsidRPr="00DE6E5C">
        <w:rPr>
          <w:rFonts w:ascii="Simplified Arabic" w:hAnsi="Simplified Arabic" w:cs="Simplified Arabic"/>
          <w:sz w:val="24"/>
          <w:szCs w:val="24"/>
          <w:rtl/>
        </w:rPr>
        <w:t>الجريان</w:t>
      </w:r>
      <w:r w:rsidRPr="00DE6E5C">
        <w:rPr>
          <w:rFonts w:ascii="Simplified Arabic" w:hAnsi="Simplified Arabic" w:cs="Simplified Arabic" w:hint="cs"/>
          <w:sz w:val="24"/>
          <w:szCs w:val="24"/>
          <w:rtl/>
        </w:rPr>
        <w:t xml:space="preserve">، حيث يبلغ متوسط ارتفاع مدينة بوسعادة عن مستوى سطح البحر 496 م، تقع </w:t>
      </w:r>
      <w:r w:rsidRPr="00DE6E5C">
        <w:rPr>
          <w:rFonts w:ascii="Simplified Arabic" w:hAnsi="Simplified Arabic" w:cs="Simplified Arabic"/>
          <w:sz w:val="24"/>
          <w:szCs w:val="24"/>
          <w:rtl/>
        </w:rPr>
        <w:t xml:space="preserve">المدينة </w:t>
      </w:r>
      <w:r w:rsidRPr="00DE6E5C">
        <w:rPr>
          <w:rFonts w:ascii="Simplified Arabic" w:hAnsi="Simplified Arabic" w:cs="Simplified Arabic" w:hint="cs"/>
          <w:sz w:val="24"/>
          <w:szCs w:val="24"/>
          <w:rtl/>
        </w:rPr>
        <w:t>ب</w:t>
      </w:r>
      <w:r w:rsidRPr="00DE6E5C">
        <w:rPr>
          <w:rFonts w:ascii="Simplified Arabic" w:hAnsi="Simplified Arabic" w:cs="Simplified Arabic"/>
          <w:sz w:val="24"/>
          <w:szCs w:val="24"/>
          <w:rtl/>
        </w:rPr>
        <w:t>منخفض</w:t>
      </w:r>
      <w:r w:rsidRPr="00DE6E5C">
        <w:rPr>
          <w:rFonts w:ascii="Simplified Arabic" w:hAnsi="Simplified Arabic" w:cs="Simplified Arabic" w:hint="cs"/>
          <w:sz w:val="24"/>
          <w:szCs w:val="24"/>
          <w:rtl/>
        </w:rPr>
        <w:t xml:space="preserve"> </w:t>
      </w:r>
      <w:r w:rsidRPr="00DE6E5C">
        <w:rPr>
          <w:rFonts w:ascii="Simplified Arabic" w:hAnsi="Simplified Arabic" w:cs="Simplified Arabic"/>
          <w:sz w:val="24"/>
          <w:szCs w:val="24"/>
          <w:rtl/>
        </w:rPr>
        <w:t>ذو</w:t>
      </w:r>
      <w:r w:rsidRPr="00DE6E5C">
        <w:rPr>
          <w:rFonts w:ascii="Simplified Arabic" w:hAnsi="Simplified Arabic" w:cs="Simplified Arabic" w:hint="cs"/>
          <w:sz w:val="24"/>
          <w:szCs w:val="24"/>
          <w:rtl/>
        </w:rPr>
        <w:t xml:space="preserve"> </w:t>
      </w:r>
      <w:r w:rsidRPr="00DE6E5C">
        <w:rPr>
          <w:rFonts w:ascii="Simplified Arabic" w:hAnsi="Simplified Arabic" w:cs="Simplified Arabic"/>
          <w:sz w:val="24"/>
          <w:szCs w:val="24"/>
          <w:rtl/>
        </w:rPr>
        <w:t>انحدار</w:t>
      </w:r>
      <w:r w:rsidRPr="00DE6E5C">
        <w:rPr>
          <w:rFonts w:ascii="Simplified Arabic" w:hAnsi="Simplified Arabic" w:cs="Simplified Arabic" w:hint="cs"/>
          <w:sz w:val="24"/>
          <w:szCs w:val="24"/>
          <w:rtl/>
        </w:rPr>
        <w:t>ا</w:t>
      </w:r>
      <w:r w:rsidRPr="00DE6E5C">
        <w:rPr>
          <w:rFonts w:ascii="Simplified Arabic" w:hAnsi="Simplified Arabic" w:cs="Simplified Arabic"/>
          <w:sz w:val="24"/>
          <w:szCs w:val="24"/>
          <w:rtl/>
        </w:rPr>
        <w:t>ت</w:t>
      </w:r>
      <w:r w:rsidRPr="00DE6E5C">
        <w:rPr>
          <w:rFonts w:ascii="Simplified Arabic" w:hAnsi="Simplified Arabic" w:cs="Simplified Arabic" w:hint="cs"/>
          <w:sz w:val="24"/>
          <w:szCs w:val="24"/>
          <w:rtl/>
        </w:rPr>
        <w:t xml:space="preserve"> تت</w:t>
      </w:r>
      <w:r w:rsidRPr="00DE6E5C">
        <w:rPr>
          <w:rFonts w:ascii="Simplified Arabic" w:hAnsi="Simplified Arabic" w:cs="Simplified Arabic"/>
          <w:sz w:val="24"/>
          <w:szCs w:val="24"/>
          <w:rtl/>
        </w:rPr>
        <w:t>ر</w:t>
      </w:r>
      <w:r w:rsidRPr="00DE6E5C">
        <w:rPr>
          <w:rFonts w:ascii="Simplified Arabic" w:hAnsi="Simplified Arabic" w:cs="Simplified Arabic" w:hint="cs"/>
          <w:sz w:val="24"/>
          <w:szCs w:val="24"/>
          <w:rtl/>
        </w:rPr>
        <w:t>ا</w:t>
      </w:r>
      <w:r w:rsidRPr="00DE6E5C">
        <w:rPr>
          <w:rFonts w:ascii="Simplified Arabic" w:hAnsi="Simplified Arabic" w:cs="Simplified Arabic"/>
          <w:sz w:val="24"/>
          <w:szCs w:val="24"/>
          <w:rtl/>
        </w:rPr>
        <w:t>وح</w:t>
      </w:r>
      <w:r w:rsidRPr="00DE6E5C">
        <w:rPr>
          <w:rFonts w:ascii="Simplified Arabic" w:hAnsi="Simplified Arabic" w:cs="Simplified Arabic" w:hint="cs"/>
          <w:sz w:val="24"/>
          <w:szCs w:val="24"/>
          <w:rtl/>
        </w:rPr>
        <w:t xml:space="preserve"> </w:t>
      </w:r>
      <w:r w:rsidRPr="00DE6E5C">
        <w:rPr>
          <w:rFonts w:ascii="Simplified Arabic" w:hAnsi="Simplified Arabic" w:cs="Simplified Arabic"/>
          <w:sz w:val="24"/>
          <w:szCs w:val="24"/>
          <w:rtl/>
        </w:rPr>
        <w:t>بين</w:t>
      </w:r>
      <w:r w:rsidRPr="00DE6E5C">
        <w:rPr>
          <w:rFonts w:ascii="Simplified Arabic" w:hAnsi="Simplified Arabic" w:cs="Simplified Arabic" w:hint="cs"/>
          <w:sz w:val="24"/>
          <w:szCs w:val="24"/>
          <w:rtl/>
        </w:rPr>
        <w:t xml:space="preserve"> </w:t>
      </w:r>
      <w:r w:rsidRPr="00DE6E5C">
        <w:rPr>
          <w:rFonts w:ascii="Simplified Arabic" w:hAnsi="Simplified Arabic" w:cs="Simplified Arabic"/>
          <w:sz w:val="24"/>
          <w:szCs w:val="24"/>
        </w:rPr>
        <w:t>%3</w:t>
      </w:r>
      <w:r w:rsidRPr="00DE6E5C">
        <w:rPr>
          <w:rFonts w:ascii="Simplified Arabic" w:hAnsi="Simplified Arabic" w:cs="Simplified Arabic" w:hint="cs"/>
          <w:sz w:val="24"/>
          <w:szCs w:val="24"/>
          <w:rtl/>
        </w:rPr>
        <w:t xml:space="preserve"> الى 8</w:t>
      </w:r>
      <w:r w:rsidRPr="00DE6E5C">
        <w:rPr>
          <w:rFonts w:ascii="Simplified Arabic" w:hAnsi="Simplified Arabic" w:cs="Simplified Arabic"/>
          <w:sz w:val="24"/>
          <w:szCs w:val="24"/>
        </w:rPr>
        <w:t>%</w:t>
      </w:r>
      <w:r w:rsidRPr="00DE6E5C">
        <w:rPr>
          <w:rFonts w:ascii="Simplified Arabic" w:hAnsi="Simplified Arabic" w:cs="Simplified Arabic" w:hint="cs"/>
          <w:sz w:val="24"/>
          <w:szCs w:val="24"/>
          <w:rtl/>
        </w:rPr>
        <w:t>، محصورة</w:t>
      </w:r>
      <w:r w:rsidRPr="00DE6E5C">
        <w:rPr>
          <w:rFonts w:ascii="Simplified Arabic" w:hAnsi="Simplified Arabic" w:cs="Simplified Arabic"/>
          <w:sz w:val="24"/>
          <w:szCs w:val="24"/>
          <w:rtl/>
        </w:rPr>
        <w:t xml:space="preserve"> </w:t>
      </w:r>
      <w:r w:rsidRPr="00DE6E5C">
        <w:rPr>
          <w:rFonts w:ascii="Simplified Arabic" w:hAnsi="Simplified Arabic" w:cs="Simplified Arabic" w:hint="cs"/>
          <w:sz w:val="24"/>
          <w:szCs w:val="24"/>
          <w:rtl/>
        </w:rPr>
        <w:t>بين</w:t>
      </w:r>
      <w:r w:rsidRPr="00DE6E5C">
        <w:rPr>
          <w:rFonts w:ascii="Simplified Arabic" w:hAnsi="Simplified Arabic" w:cs="Simplified Arabic"/>
          <w:sz w:val="24"/>
          <w:szCs w:val="24"/>
          <w:rtl/>
        </w:rPr>
        <w:t xml:space="preserve"> </w:t>
      </w:r>
      <w:r w:rsidRPr="00DE6E5C">
        <w:rPr>
          <w:rFonts w:ascii="Simplified Arabic" w:hAnsi="Simplified Arabic" w:cs="Simplified Arabic" w:hint="cs"/>
          <w:sz w:val="24"/>
          <w:szCs w:val="24"/>
          <w:rtl/>
        </w:rPr>
        <w:t>سلسلة</w:t>
      </w:r>
      <w:r w:rsidRPr="00DE6E5C">
        <w:rPr>
          <w:rFonts w:ascii="Simplified Arabic" w:hAnsi="Simplified Arabic" w:cs="Simplified Arabic"/>
          <w:sz w:val="24"/>
          <w:szCs w:val="24"/>
          <w:rtl/>
        </w:rPr>
        <w:t xml:space="preserve"> </w:t>
      </w:r>
      <w:r w:rsidRPr="00DE6E5C">
        <w:rPr>
          <w:rFonts w:ascii="Simplified Arabic" w:hAnsi="Simplified Arabic" w:cs="Simplified Arabic" w:hint="cs"/>
          <w:sz w:val="24"/>
          <w:szCs w:val="24"/>
          <w:rtl/>
        </w:rPr>
        <w:t>جبلية</w:t>
      </w:r>
      <w:r w:rsidRPr="00DE6E5C">
        <w:rPr>
          <w:rFonts w:ascii="Simplified Arabic" w:hAnsi="Simplified Arabic" w:cs="Simplified Arabic"/>
          <w:sz w:val="24"/>
          <w:szCs w:val="24"/>
          <w:rtl/>
        </w:rPr>
        <w:t xml:space="preserve"> </w:t>
      </w:r>
      <w:r w:rsidRPr="00DE6E5C">
        <w:rPr>
          <w:rFonts w:ascii="Simplified Arabic" w:hAnsi="Simplified Arabic" w:cs="Simplified Arabic" w:hint="cs"/>
          <w:sz w:val="24"/>
          <w:szCs w:val="24"/>
          <w:rtl/>
        </w:rPr>
        <w:t>وهي</w:t>
      </w:r>
      <w:r w:rsidRPr="00DE6E5C">
        <w:rPr>
          <w:rFonts w:ascii="Simplified Arabic" w:hAnsi="Simplified Arabic" w:cs="Simplified Arabic"/>
          <w:sz w:val="24"/>
          <w:szCs w:val="24"/>
          <w:rtl/>
        </w:rPr>
        <w:t xml:space="preserve">: </w:t>
      </w:r>
    </w:p>
    <w:p w:rsidR="000635D8" w:rsidRPr="007A3091" w:rsidRDefault="000635D8" w:rsidP="000635D8">
      <w:pPr>
        <w:tabs>
          <w:tab w:val="right" w:pos="281"/>
        </w:tabs>
        <w:bidi/>
        <w:spacing w:after="0"/>
        <w:ind w:firstLine="283"/>
        <w:jc w:val="both"/>
        <w:rPr>
          <w:rFonts w:ascii="Simplified Arabic" w:hAnsi="Simplified Arabic" w:cs="Simplified Arabic"/>
          <w:sz w:val="24"/>
          <w:szCs w:val="24"/>
        </w:rPr>
      </w:pP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جبل</w:t>
      </w:r>
      <w:r w:rsidRPr="007A3091">
        <w:rPr>
          <w:rFonts w:ascii="Simplified Arabic" w:hAnsi="Simplified Arabic" w:cs="Simplified Arabic"/>
          <w:sz w:val="24"/>
          <w:szCs w:val="24"/>
          <w:rtl/>
        </w:rPr>
        <w:t xml:space="preserve"> </w:t>
      </w:r>
      <w:r>
        <w:rPr>
          <w:rFonts w:ascii="Simplified Arabic" w:hAnsi="Simplified Arabic" w:cs="Simplified Arabic" w:hint="cs"/>
          <w:sz w:val="24"/>
          <w:szCs w:val="24"/>
          <w:rtl/>
        </w:rPr>
        <w:t>عزالدين</w:t>
      </w:r>
      <w:r w:rsidRPr="007A3091">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7A3091">
        <w:rPr>
          <w:rFonts w:ascii="Simplified Arabic" w:hAnsi="Simplified Arabic" w:cs="Simplified Arabic" w:hint="cs"/>
          <w:sz w:val="24"/>
          <w:szCs w:val="24"/>
          <w:rtl/>
        </w:rPr>
        <w:t>الشمال</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الغربي</w:t>
      </w:r>
      <w:r w:rsidRPr="007A3091">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للمدينة، </w:t>
      </w:r>
      <w:r w:rsidRPr="007A3091">
        <w:rPr>
          <w:rFonts w:ascii="Simplified Arabic" w:hAnsi="Simplified Arabic" w:cs="Simplified Arabic" w:hint="cs"/>
          <w:sz w:val="24"/>
          <w:szCs w:val="24"/>
          <w:rtl/>
        </w:rPr>
        <w:t>يتميز</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بمنحدرات</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شديدة</w:t>
      </w:r>
      <w:r w:rsidRPr="007A3091">
        <w:rPr>
          <w:rFonts w:ascii="Simplified Arabic" w:hAnsi="Simplified Arabic" w:cs="Simplified Arabic"/>
          <w:sz w:val="24"/>
          <w:szCs w:val="24"/>
          <w:rtl/>
        </w:rPr>
        <w:t xml:space="preserve"> </w:t>
      </w:r>
      <w:r>
        <w:rPr>
          <w:rFonts w:ascii="Simplified Arabic" w:hAnsi="Simplified Arabic" w:cs="Simplified Arabic" w:hint="cs"/>
          <w:sz w:val="24"/>
          <w:szCs w:val="24"/>
          <w:rtl/>
        </w:rPr>
        <w:t>نحو</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الجنوب</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المنحدر</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الجنوبي</w:t>
      </w:r>
      <w:r w:rsidRPr="007A3091">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7A3091">
        <w:rPr>
          <w:rFonts w:ascii="Simplified Arabic" w:hAnsi="Simplified Arabic" w:cs="Simplified Arabic" w:hint="cs"/>
          <w:sz w:val="24"/>
          <w:szCs w:val="24"/>
          <w:rtl/>
        </w:rPr>
        <w:t>ارتفاع</w:t>
      </w:r>
      <w:r>
        <w:rPr>
          <w:rFonts w:ascii="Simplified Arabic" w:hAnsi="Simplified Arabic" w:cs="Simplified Arabic" w:hint="cs"/>
          <w:sz w:val="24"/>
          <w:szCs w:val="24"/>
          <w:rtl/>
        </w:rPr>
        <w:t xml:space="preserve"> </w:t>
      </w:r>
      <w:r w:rsidRPr="007A3091">
        <w:rPr>
          <w:rFonts w:ascii="Simplified Arabic" w:hAnsi="Simplified Arabic" w:cs="Simplified Arabic"/>
          <w:sz w:val="24"/>
          <w:szCs w:val="24"/>
          <w:rtl/>
        </w:rPr>
        <w:t xml:space="preserve">1029 </w:t>
      </w:r>
      <w:r w:rsidRPr="007A3091">
        <w:rPr>
          <w:rFonts w:ascii="Simplified Arabic" w:hAnsi="Simplified Arabic" w:cs="Simplified Arabic" w:hint="cs"/>
          <w:sz w:val="24"/>
          <w:szCs w:val="24"/>
          <w:rtl/>
        </w:rPr>
        <w:t>م</w:t>
      </w:r>
      <w:r w:rsidRPr="007A3091">
        <w:rPr>
          <w:rFonts w:ascii="Simplified Arabic" w:hAnsi="Simplified Arabic" w:cs="Simplified Arabic"/>
          <w:sz w:val="24"/>
          <w:szCs w:val="24"/>
          <w:rtl/>
        </w:rPr>
        <w:t>.</w:t>
      </w:r>
      <w:r w:rsidRPr="007A3091">
        <w:rPr>
          <w:rFonts w:ascii="Simplified Arabic" w:hAnsi="Simplified Arabic" w:cs="Simplified Arabic" w:hint="cs"/>
          <w:sz w:val="24"/>
          <w:szCs w:val="24"/>
          <w:rtl/>
        </w:rPr>
        <w:t xml:space="preserve"> </w:t>
      </w:r>
    </w:p>
    <w:p w:rsidR="000635D8" w:rsidRDefault="000635D8" w:rsidP="000635D8">
      <w:pPr>
        <w:tabs>
          <w:tab w:val="right" w:pos="281"/>
        </w:tabs>
        <w:bidi/>
        <w:spacing w:after="0"/>
        <w:ind w:firstLine="283"/>
        <w:jc w:val="both"/>
        <w:rPr>
          <w:rFonts w:ascii="Simplified Arabic" w:hAnsi="Simplified Arabic" w:cs="Simplified Arabic"/>
          <w:sz w:val="24"/>
          <w:szCs w:val="24"/>
          <w:rtl/>
        </w:rPr>
      </w:pP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جبل</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م</w:t>
      </w:r>
      <w:r>
        <w:rPr>
          <w:rFonts w:ascii="Simplified Arabic" w:hAnsi="Simplified Arabic" w:cs="Simplified Arabic" w:hint="cs"/>
          <w:sz w:val="24"/>
          <w:szCs w:val="24"/>
          <w:rtl/>
        </w:rPr>
        <w:t>و</w:t>
      </w:r>
      <w:r w:rsidRPr="007A3091">
        <w:rPr>
          <w:rFonts w:ascii="Simplified Arabic" w:hAnsi="Simplified Arabic" w:cs="Simplified Arabic" w:hint="cs"/>
          <w:sz w:val="24"/>
          <w:szCs w:val="24"/>
          <w:rtl/>
        </w:rPr>
        <w:t>بخ</w:t>
      </w:r>
      <w:r>
        <w:rPr>
          <w:rFonts w:ascii="Simplified Arabic" w:hAnsi="Simplified Arabic" w:cs="Simplified Arabic" w:hint="cs"/>
          <w:sz w:val="24"/>
          <w:szCs w:val="24"/>
          <w:rtl/>
        </w:rPr>
        <w:t>ي</w:t>
      </w:r>
      <w:r w:rsidRPr="007A3091">
        <w:rPr>
          <w:rFonts w:ascii="Simplified Arabic" w:hAnsi="Simplified Arabic" w:cs="Simplified Arabic" w:hint="cs"/>
          <w:sz w:val="24"/>
          <w:szCs w:val="24"/>
          <w:rtl/>
        </w:rPr>
        <w:t>رة</w:t>
      </w:r>
      <w:r w:rsidRPr="007A3091">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7A3091">
        <w:rPr>
          <w:rFonts w:ascii="Simplified Arabic" w:hAnsi="Simplified Arabic" w:cs="Simplified Arabic" w:hint="cs"/>
          <w:sz w:val="24"/>
          <w:szCs w:val="24"/>
          <w:rtl/>
        </w:rPr>
        <w:t>غرب</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المدينة</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بارتفاع</w:t>
      </w:r>
      <w:r w:rsidRPr="007A3091">
        <w:rPr>
          <w:rFonts w:ascii="Simplified Arabic" w:hAnsi="Simplified Arabic" w:cs="Simplified Arabic"/>
          <w:sz w:val="24"/>
          <w:szCs w:val="24"/>
          <w:rtl/>
        </w:rPr>
        <w:t xml:space="preserve"> 772 </w:t>
      </w:r>
      <w:r w:rsidRPr="007A3091">
        <w:rPr>
          <w:rFonts w:ascii="Simplified Arabic" w:hAnsi="Simplified Arabic" w:cs="Simplified Arabic" w:hint="cs"/>
          <w:sz w:val="24"/>
          <w:szCs w:val="24"/>
          <w:rtl/>
        </w:rPr>
        <w:t>م</w:t>
      </w:r>
      <w:r w:rsidRPr="007A3091">
        <w:rPr>
          <w:rFonts w:ascii="Simplified Arabic" w:hAnsi="Simplified Arabic" w:cs="Simplified Arabic"/>
          <w:sz w:val="24"/>
          <w:szCs w:val="24"/>
          <w:rtl/>
        </w:rPr>
        <w:t>.</w:t>
      </w:r>
    </w:p>
    <w:p w:rsidR="00C97AE9" w:rsidRDefault="000635D8" w:rsidP="00BD4AC8">
      <w:pPr>
        <w:tabs>
          <w:tab w:val="right" w:pos="281"/>
        </w:tabs>
        <w:bidi/>
        <w:spacing w:after="0"/>
        <w:ind w:firstLine="283"/>
        <w:jc w:val="both"/>
        <w:rPr>
          <w:rFonts w:ascii="Simplified Arabic" w:hAnsi="Simplified Arabic" w:cs="Simplified Arabic"/>
          <w:sz w:val="24"/>
          <w:szCs w:val="24"/>
          <w:rtl/>
        </w:rPr>
      </w:pP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جبل</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كرد</w:t>
      </w:r>
      <w:r>
        <w:rPr>
          <w:rFonts w:ascii="Simplified Arabic" w:hAnsi="Simplified Arabic" w:cs="Simplified Arabic" w:hint="cs"/>
          <w:sz w:val="24"/>
          <w:szCs w:val="24"/>
          <w:rtl/>
        </w:rPr>
        <w:t>ا</w:t>
      </w:r>
      <w:r w:rsidRPr="007A3091">
        <w:rPr>
          <w:rFonts w:ascii="Simplified Arabic" w:hAnsi="Simplified Arabic" w:cs="Simplified Arabic" w:hint="cs"/>
          <w:sz w:val="24"/>
          <w:szCs w:val="24"/>
          <w:rtl/>
        </w:rPr>
        <w:t>دة</w:t>
      </w:r>
      <w:r>
        <w:rPr>
          <w:rFonts w:ascii="Simplified Arabic" w:hAnsi="Simplified Arabic" w:cs="Simplified Arabic" w:hint="cs"/>
          <w:sz w:val="24"/>
          <w:szCs w:val="24"/>
          <w:rtl/>
        </w:rPr>
        <w:t xml:space="preserve"> ب</w:t>
      </w:r>
      <w:r w:rsidRPr="007A3091">
        <w:rPr>
          <w:rFonts w:ascii="Simplified Arabic" w:hAnsi="Simplified Arabic" w:cs="Simplified Arabic" w:hint="cs"/>
          <w:sz w:val="24"/>
          <w:szCs w:val="24"/>
          <w:rtl/>
        </w:rPr>
        <w:t>شرق</w:t>
      </w:r>
      <w:r>
        <w:rPr>
          <w:rFonts w:ascii="Simplified Arabic" w:hAnsi="Simplified Arabic" w:cs="Simplified Arabic" w:hint="cs"/>
          <w:sz w:val="24"/>
          <w:szCs w:val="24"/>
          <w:rtl/>
        </w:rPr>
        <w:t xml:space="preserve"> المدينة</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بارتفاع</w:t>
      </w:r>
      <w:r w:rsidRPr="007A3091">
        <w:rPr>
          <w:rFonts w:ascii="Simplified Arabic" w:hAnsi="Simplified Arabic" w:cs="Simplified Arabic"/>
          <w:sz w:val="24"/>
          <w:szCs w:val="24"/>
          <w:rtl/>
        </w:rPr>
        <w:t xml:space="preserve"> 947 </w:t>
      </w:r>
      <w:r w:rsidRPr="007A3091">
        <w:rPr>
          <w:rFonts w:ascii="Simplified Arabic" w:hAnsi="Simplified Arabic" w:cs="Simplified Arabic" w:hint="cs"/>
          <w:sz w:val="24"/>
          <w:szCs w:val="24"/>
          <w:rtl/>
        </w:rPr>
        <w:t xml:space="preserve">م </w:t>
      </w:r>
      <w:r>
        <w:rPr>
          <w:rFonts w:ascii="Simplified Arabic" w:hAnsi="Simplified Arabic" w:cs="Simplified Arabic" w:hint="cs"/>
          <w:sz w:val="24"/>
          <w:szCs w:val="24"/>
          <w:rtl/>
        </w:rPr>
        <w:t>ومنه</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يمتد</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جبل</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منكب</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سيدي</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إبراهيم</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بأعلى</w:t>
      </w:r>
      <w:r w:rsidRPr="007A3091">
        <w:rPr>
          <w:rFonts w:ascii="Simplified Arabic" w:hAnsi="Simplified Arabic" w:cs="Simplified Arabic"/>
          <w:sz w:val="24"/>
          <w:szCs w:val="24"/>
          <w:rtl/>
        </w:rPr>
        <w:t xml:space="preserve"> </w:t>
      </w:r>
      <w:r w:rsidRPr="007A3091">
        <w:rPr>
          <w:rFonts w:ascii="Simplified Arabic" w:hAnsi="Simplified Arabic" w:cs="Simplified Arabic" w:hint="cs"/>
          <w:sz w:val="24"/>
          <w:szCs w:val="24"/>
          <w:rtl/>
        </w:rPr>
        <w:t>نقطة</w:t>
      </w:r>
      <w:r w:rsidRPr="007A3091">
        <w:rPr>
          <w:rFonts w:ascii="Simplified Arabic" w:hAnsi="Simplified Arabic" w:cs="Simplified Arabic"/>
          <w:sz w:val="24"/>
          <w:szCs w:val="24"/>
          <w:rtl/>
        </w:rPr>
        <w:t xml:space="preserve"> 719 </w:t>
      </w:r>
      <w:r w:rsidRPr="007A3091">
        <w:rPr>
          <w:rFonts w:ascii="Simplified Arabic" w:hAnsi="Simplified Arabic" w:cs="Simplified Arabic" w:hint="cs"/>
          <w:sz w:val="24"/>
          <w:szCs w:val="24"/>
          <w:rtl/>
        </w:rPr>
        <w:t>م</w:t>
      </w:r>
      <w:r w:rsidRPr="007A3091">
        <w:rPr>
          <w:rFonts w:ascii="Simplified Arabic" w:hAnsi="Simplified Arabic" w:cs="Simplified Arabic"/>
          <w:sz w:val="24"/>
          <w:szCs w:val="24"/>
          <w:rtl/>
        </w:rPr>
        <w:t>.</w:t>
      </w:r>
    </w:p>
    <w:p w:rsidR="000635D8" w:rsidRPr="00C97AE9" w:rsidRDefault="000635D8" w:rsidP="001D0548">
      <w:pPr>
        <w:pStyle w:val="Paragraphedeliste"/>
        <w:numPr>
          <w:ilvl w:val="0"/>
          <w:numId w:val="213"/>
        </w:numPr>
        <w:tabs>
          <w:tab w:val="right" w:pos="1134"/>
        </w:tabs>
        <w:bidi/>
        <w:spacing w:after="0"/>
        <w:ind w:left="0" w:firstLine="992"/>
        <w:jc w:val="both"/>
        <w:rPr>
          <w:rFonts w:ascii="Simplified Arabic" w:hAnsi="Simplified Arabic" w:cs="Simplified Arabic"/>
          <w:sz w:val="24"/>
          <w:szCs w:val="24"/>
          <w:rtl/>
        </w:rPr>
      </w:pPr>
      <w:r w:rsidRPr="00C97AE9">
        <w:rPr>
          <w:rFonts w:ascii="Simplified Arabic" w:hAnsi="Simplified Arabic" w:cs="Simplified Arabic" w:hint="cs"/>
          <w:b/>
          <w:bCs/>
          <w:sz w:val="24"/>
          <w:szCs w:val="24"/>
          <w:rtl/>
        </w:rPr>
        <w:t>الكثبان الرملية:</w:t>
      </w:r>
      <w:r w:rsidRPr="00C97AE9">
        <w:rPr>
          <w:rFonts w:ascii="Simplified Arabic" w:hAnsi="Simplified Arabic" w:cs="Simplified Arabic" w:hint="cs"/>
          <w:sz w:val="24"/>
          <w:szCs w:val="24"/>
          <w:rtl/>
        </w:rPr>
        <w:t xml:space="preserve"> موقع المدينة في منفذ بين سلسلة من جبال الاطلس الصحراوي، جعلها معرضة لحركة الرمال الناتجة عن تأثيرات عدة انواع من الرياح، التي تقف عائقا طبيعيا امام توسعها الحضري.</w:t>
      </w:r>
    </w:p>
    <w:p w:rsidR="000635D8" w:rsidRPr="00A9318D" w:rsidRDefault="000635D8" w:rsidP="00A9318D">
      <w:pPr>
        <w:pStyle w:val="carte"/>
        <w:rPr>
          <w:rtl/>
        </w:rPr>
      </w:pPr>
      <w:bookmarkStart w:id="502" w:name="_Toc157616590"/>
      <w:bookmarkStart w:id="503" w:name="_Toc171803574"/>
      <w:r w:rsidRPr="00A9318D">
        <w:rPr>
          <w:rFonts w:hint="cs"/>
          <w:rtl/>
        </w:rPr>
        <w:lastRenderedPageBreak/>
        <w:t xml:space="preserve">الخريطة </w:t>
      </w:r>
      <w:r w:rsidR="00BA11BE" w:rsidRPr="00A9318D">
        <w:rPr>
          <w:rFonts w:hint="cs"/>
          <w:rtl/>
        </w:rPr>
        <w:t>(4-3)</w:t>
      </w:r>
      <w:r w:rsidRPr="00A9318D">
        <w:rPr>
          <w:rtl/>
        </w:rPr>
        <w:t>:</w:t>
      </w:r>
      <w:r w:rsidRPr="00A9318D">
        <w:rPr>
          <w:rFonts w:hint="cs"/>
          <w:rtl/>
        </w:rPr>
        <w:t xml:space="preserve"> مقياس الارتفاع لمحيط مدينة بوسعادة</w:t>
      </w:r>
      <w:bookmarkEnd w:id="502"/>
      <w:bookmarkEnd w:id="503"/>
      <w:r w:rsidRPr="00A9318D">
        <w:rPr>
          <w:rFonts w:hint="cs"/>
          <w:rtl/>
        </w:rPr>
        <w:t xml:space="preserve"> </w:t>
      </w:r>
    </w:p>
    <w:p w:rsidR="000635D8" w:rsidRPr="005135C8" w:rsidRDefault="000635D8" w:rsidP="00C02010">
      <w:pPr>
        <w:tabs>
          <w:tab w:val="right" w:pos="281"/>
        </w:tabs>
        <w:bidi/>
        <w:spacing w:after="0" w:line="240" w:lineRule="auto"/>
        <w:jc w:val="center"/>
        <w:rPr>
          <w:rFonts w:ascii="Simplified Arabic" w:hAnsi="Simplified Arabic" w:cs="Simplified Arabic"/>
          <w:b/>
          <w:bCs/>
          <w:sz w:val="24"/>
          <w:szCs w:val="24"/>
          <w:rtl/>
        </w:rPr>
      </w:pPr>
      <w:r w:rsidRPr="005135C8">
        <w:rPr>
          <w:rFonts w:ascii="Simplified Arabic" w:hAnsi="Simplified Arabic" w:cs="Simplified Arabic" w:hint="cs"/>
          <w:b/>
          <w:bCs/>
          <w:sz w:val="24"/>
          <w:szCs w:val="24"/>
          <w:rtl/>
        </w:rPr>
        <w:t xml:space="preserve">المصدر: </w:t>
      </w:r>
      <w:r w:rsidRPr="005135C8">
        <w:rPr>
          <w:rFonts w:asciiTheme="majorBidi" w:hAnsiTheme="majorBidi" w:cstheme="majorBidi"/>
          <w:b/>
          <w:bCs/>
          <w:sz w:val="24"/>
          <w:szCs w:val="24"/>
        </w:rPr>
        <w:t>(</w:t>
      </w:r>
      <w:r w:rsidRPr="005135C8">
        <w:rPr>
          <w:rFonts w:asciiTheme="majorBidi" w:hAnsiTheme="majorBidi" w:cstheme="majorBidi"/>
          <w:b/>
          <w:bCs/>
          <w:sz w:val="24"/>
          <w:szCs w:val="24"/>
          <w:lang w:val="en-US"/>
        </w:rPr>
        <w:t>Grecu</w:t>
      </w:r>
      <w:r w:rsidRPr="005135C8">
        <w:rPr>
          <w:rFonts w:asciiTheme="majorBidi" w:hAnsiTheme="majorBidi" w:cstheme="majorBidi"/>
          <w:b/>
          <w:bCs/>
          <w:sz w:val="24"/>
          <w:szCs w:val="24"/>
        </w:rPr>
        <w:t xml:space="preserve"> et al., 2012 a)</w:t>
      </w:r>
    </w:p>
    <w:p w:rsidR="000635D8" w:rsidRDefault="000635D8" w:rsidP="003F7A7A">
      <w:pPr>
        <w:tabs>
          <w:tab w:val="right" w:pos="281"/>
        </w:tabs>
        <w:bidi/>
        <w:jc w:val="center"/>
        <w:rPr>
          <w:rFonts w:ascii="Simplified Arabic" w:hAnsi="Simplified Arabic" w:cs="Simplified Arabic"/>
          <w:sz w:val="24"/>
          <w:szCs w:val="24"/>
          <w:rtl/>
        </w:rPr>
      </w:pPr>
      <w:r>
        <w:rPr>
          <w:noProof/>
          <w:lang w:eastAsia="fr-FR"/>
        </w:rPr>
        <w:drawing>
          <wp:inline distT="0" distB="0" distL="0" distR="0" wp14:anchorId="128A7F51" wp14:editId="6642F9AD">
            <wp:extent cx="4075835" cy="3571336"/>
            <wp:effectExtent l="19050" t="19050" r="20320" b="10160"/>
            <wp:docPr id="157" name="Imag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4">
                      <a:extLst>
                        <a:ext uri="{28A0092B-C50C-407E-A947-70E740481C1C}">
                          <a14:useLocalDpi xmlns:a14="http://schemas.microsoft.com/office/drawing/2010/main" val="0"/>
                        </a:ext>
                      </a:extLst>
                    </a:blip>
                    <a:stretch>
                      <a:fillRect/>
                    </a:stretch>
                  </pic:blipFill>
                  <pic:spPr>
                    <a:xfrm>
                      <a:off x="0" y="0"/>
                      <a:ext cx="4085768" cy="3580039"/>
                    </a:xfrm>
                    <a:prstGeom prst="rect">
                      <a:avLst/>
                    </a:prstGeom>
                    <a:ln>
                      <a:solidFill>
                        <a:schemeClr val="tx1"/>
                      </a:solidFill>
                    </a:ln>
                  </pic:spPr>
                </pic:pic>
              </a:graphicData>
            </a:graphic>
          </wp:inline>
        </w:drawing>
      </w:r>
    </w:p>
    <w:p w:rsidR="000635D8" w:rsidRPr="00E050E2" w:rsidRDefault="000635D8" w:rsidP="001D0548">
      <w:pPr>
        <w:pStyle w:val="Paragraphedeliste"/>
        <w:numPr>
          <w:ilvl w:val="3"/>
          <w:numId w:val="220"/>
        </w:numPr>
        <w:tabs>
          <w:tab w:val="right" w:pos="992"/>
        </w:tabs>
        <w:bidi/>
        <w:spacing w:before="240" w:after="0"/>
        <w:ind w:left="0" w:firstLine="0"/>
        <w:outlineLvl w:val="2"/>
        <w:rPr>
          <w:rFonts w:ascii="Simplified Arabic" w:hAnsi="Simplified Arabic" w:cs="Simplified Arabic"/>
          <w:b/>
          <w:bCs/>
          <w:sz w:val="24"/>
          <w:szCs w:val="24"/>
          <w:lang w:val="en-US"/>
        </w:rPr>
      </w:pPr>
      <w:bookmarkStart w:id="504" w:name="_Toc171803575"/>
      <w:r w:rsidRPr="00E050E2">
        <w:rPr>
          <w:rFonts w:ascii="Simplified Arabic" w:hAnsi="Simplified Arabic" w:cs="Simplified Arabic" w:hint="cs"/>
          <w:b/>
          <w:bCs/>
          <w:sz w:val="24"/>
          <w:szCs w:val="24"/>
          <w:rtl/>
          <w:lang w:val="en-US"/>
        </w:rPr>
        <w:t>المنخفضات و السهول</w:t>
      </w:r>
      <w:bookmarkEnd w:id="504"/>
    </w:p>
    <w:p w:rsidR="000635D8" w:rsidRPr="00C7683B" w:rsidRDefault="000635D8" w:rsidP="001D0548">
      <w:pPr>
        <w:pStyle w:val="Paragraphedeliste"/>
        <w:numPr>
          <w:ilvl w:val="0"/>
          <w:numId w:val="219"/>
        </w:numPr>
        <w:tabs>
          <w:tab w:val="right" w:pos="1134"/>
        </w:tabs>
        <w:bidi/>
        <w:spacing w:after="0"/>
        <w:ind w:left="0" w:firstLine="992"/>
        <w:jc w:val="both"/>
        <w:rPr>
          <w:rFonts w:ascii="Simplified Arabic" w:hAnsi="Simplified Arabic" w:cs="Simplified Arabic"/>
          <w:sz w:val="28"/>
          <w:szCs w:val="28"/>
          <w:rtl/>
        </w:rPr>
      </w:pPr>
      <w:r w:rsidRPr="00C7683B">
        <w:rPr>
          <w:rFonts w:ascii="Simplified Arabic" w:hAnsi="Simplified Arabic" w:cs="Simplified Arabic" w:hint="cs"/>
          <w:b/>
          <w:bCs/>
          <w:sz w:val="28"/>
          <w:szCs w:val="28"/>
          <w:rtl/>
        </w:rPr>
        <w:t>المنخفضات:</w:t>
      </w:r>
      <w:r w:rsidRPr="00C7683B">
        <w:rPr>
          <w:rFonts w:ascii="Simplified Arabic" w:hAnsi="Simplified Arabic" w:cs="Simplified Arabic" w:hint="cs"/>
          <w:sz w:val="28"/>
          <w:szCs w:val="28"/>
          <w:rtl/>
        </w:rPr>
        <w:t xml:space="preserve"> تتميز المنطقة بوجود شبكة من المنخفضات المتمثلة في الاودية و الشعاب:</w:t>
      </w:r>
    </w:p>
    <w:p w:rsidR="000635D8" w:rsidRPr="00C7683B" w:rsidRDefault="000635D8" w:rsidP="000635D8">
      <w:pPr>
        <w:tabs>
          <w:tab w:val="right" w:pos="281"/>
        </w:tabs>
        <w:bidi/>
        <w:spacing w:after="0"/>
        <w:ind w:firstLine="283"/>
        <w:jc w:val="both"/>
        <w:rPr>
          <w:rFonts w:ascii="Simplified Arabic" w:hAnsi="Simplified Arabic" w:cs="Simplified Arabic"/>
          <w:sz w:val="28"/>
          <w:szCs w:val="28"/>
          <w:lang w:bidi="ar-DZ"/>
        </w:rPr>
      </w:pP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منخفض واد بوسعادة الذي يمر بجانب جبل كردادة ، بارتفاع متوسط</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600 م على مستوى سطح البحر، يبدأ في الاتساع عند المصب في السهول الشمالية للبلدية</w:t>
      </w:r>
      <w:r w:rsidRPr="00C7683B">
        <w:rPr>
          <w:rFonts w:ascii="Simplified Arabic" w:hAnsi="Simplified Arabic" w:cs="Simplified Arabic"/>
          <w:sz w:val="28"/>
          <w:szCs w:val="28"/>
          <w:rtl/>
        </w:rPr>
        <w:t>.</w:t>
      </w:r>
      <w:r w:rsidRPr="00C7683B">
        <w:rPr>
          <w:rFonts w:ascii="Simplified Arabic" w:hAnsi="Simplified Arabic" w:cs="Simplified Arabic" w:hint="cs"/>
          <w:sz w:val="28"/>
          <w:szCs w:val="28"/>
          <w:rtl/>
        </w:rPr>
        <w:t xml:space="preserve"> جزء من الواد الذي يعبر النسيج الحضري للمدينة ويقسمها الى جزأين اثنين (جزء شرقي، جزء غربي) يتكون</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من</w:t>
      </w:r>
      <w:r w:rsidRPr="00C7683B">
        <w:rPr>
          <w:rFonts w:ascii="Simplified Arabic" w:hAnsi="Simplified Arabic" w:cs="Simplified Arabic"/>
          <w:sz w:val="28"/>
          <w:szCs w:val="28"/>
          <w:rtl/>
        </w:rPr>
        <w:t xml:space="preserve"> </w:t>
      </w:r>
      <w:r w:rsidRPr="00C7683B">
        <w:rPr>
          <w:rFonts w:asciiTheme="majorBidi" w:hAnsiTheme="majorBidi" w:cstheme="majorBidi"/>
          <w:sz w:val="28"/>
          <w:szCs w:val="28"/>
          <w:rtl/>
        </w:rPr>
        <w:t>(</w:t>
      </w:r>
      <w:r w:rsidRPr="00C7683B">
        <w:rPr>
          <w:rFonts w:asciiTheme="majorBidi" w:hAnsiTheme="majorBidi" w:cstheme="majorBidi"/>
          <w:sz w:val="28"/>
          <w:szCs w:val="28"/>
        </w:rPr>
        <w:t>calcaires, grès et lentilles de marnes stratifiés</w:t>
      </w:r>
      <w:r w:rsidRPr="00C7683B">
        <w:rPr>
          <w:rFonts w:asciiTheme="majorBidi" w:hAnsiTheme="majorBidi" w:cstheme="majorBidi"/>
          <w:sz w:val="28"/>
          <w:szCs w:val="28"/>
          <w:rtl/>
        </w:rPr>
        <w:t>)</w:t>
      </w:r>
      <w:r w:rsidRPr="00C7683B">
        <w:rPr>
          <w:rFonts w:ascii="Simplified Arabic" w:hAnsi="Simplified Arabic" w:cs="Simplified Arabic" w:hint="cs"/>
          <w:sz w:val="28"/>
          <w:szCs w:val="28"/>
          <w:rtl/>
        </w:rPr>
        <w:t>،</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مكوناته بدرجة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متقدمة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من</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التلف والتفكك،</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عناصر</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طبقة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التجوية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الجافة سمكها يتراوح</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من</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بضعة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سنتيمترات</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إلى</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عشرات</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من</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السنتيمترات.</w:t>
      </w:r>
    </w:p>
    <w:p w:rsidR="000635D8" w:rsidRPr="00C7683B" w:rsidRDefault="000635D8" w:rsidP="000635D8">
      <w:pPr>
        <w:tabs>
          <w:tab w:val="right" w:pos="281"/>
        </w:tabs>
        <w:bidi/>
        <w:spacing w:after="0"/>
        <w:ind w:firstLine="283"/>
        <w:jc w:val="both"/>
        <w:rPr>
          <w:rFonts w:ascii="Simplified Arabic" w:hAnsi="Simplified Arabic" w:cs="Simplified Arabic"/>
          <w:sz w:val="28"/>
          <w:szCs w:val="28"/>
          <w:rtl/>
        </w:rPr>
      </w:pP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منخفض واد ميطر الذي</w:t>
      </w:r>
      <w:r w:rsidRPr="00C7683B">
        <w:rPr>
          <w:rFonts w:ascii="Simplified Arabic" w:hAnsi="Simplified Arabic" w:cs="Simplified Arabic" w:hint="cs"/>
          <w:b/>
          <w:bCs/>
          <w:sz w:val="28"/>
          <w:szCs w:val="28"/>
          <w:rtl/>
        </w:rPr>
        <w:t xml:space="preserve"> </w:t>
      </w:r>
      <w:r w:rsidRPr="00C7683B">
        <w:rPr>
          <w:rFonts w:ascii="Simplified Arabic" w:hAnsi="Simplified Arabic" w:cs="Simplified Arabic" w:hint="cs"/>
          <w:sz w:val="28"/>
          <w:szCs w:val="28"/>
          <w:rtl/>
        </w:rPr>
        <w:t>يمر بالقرب من جبل موبخيرة ويعبر النسيج الحضري للمدينة ويقسمها الى جزأين اثنين (جزء شمالي، جزء جنوبي)، بارتفاع يتراوح بين 547 م و 587 م، يبدأ في الاتساع في وسط المدينة وعند المصب في السهول الشمالية للبلدية</w:t>
      </w:r>
      <w:r w:rsidRPr="00C7683B">
        <w:rPr>
          <w:rFonts w:ascii="Simplified Arabic" w:hAnsi="Simplified Arabic" w:cs="Simplified Arabic"/>
          <w:sz w:val="28"/>
          <w:szCs w:val="28"/>
          <w:rtl/>
        </w:rPr>
        <w:t>.</w:t>
      </w:r>
      <w:r w:rsidRPr="00C7683B">
        <w:rPr>
          <w:rFonts w:ascii="Simplified Arabic" w:hAnsi="Simplified Arabic" w:cs="Simplified Arabic" w:hint="cs"/>
          <w:sz w:val="28"/>
          <w:szCs w:val="28"/>
          <w:rtl/>
        </w:rPr>
        <w:t xml:space="preserve"> يمكن ان يصل ممر الوادي الى 3 كلم و سرير فيضي الى 1 كلم، الممر يشكل جانب تضاريسي، بارتفاع متوسط</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500 م على مستوى سطح البحر، عزز</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هذا الممر توجيه</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الكتل</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الهوائية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والرياح</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الغربية،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ساهمت في</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تكوين</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سلسلة من</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الكثبان</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الرملية</w:t>
      </w:r>
      <w:r w:rsidRPr="00C7683B">
        <w:rPr>
          <w:rFonts w:ascii="Simplified Arabic" w:hAnsi="Simplified Arabic" w:cs="Simplified Arabic"/>
          <w:sz w:val="28"/>
          <w:szCs w:val="28"/>
          <w:rtl/>
        </w:rPr>
        <w:t xml:space="preserve"> </w:t>
      </w:r>
      <w:r w:rsidRPr="00C7683B">
        <w:rPr>
          <w:rFonts w:ascii="Simplified Arabic" w:hAnsi="Simplified Arabic" w:cs="Simplified Arabic" w:hint="cs"/>
          <w:sz w:val="28"/>
          <w:szCs w:val="28"/>
          <w:rtl/>
        </w:rPr>
        <w:t>الزاحفة</w:t>
      </w:r>
      <w:r w:rsidRPr="00C7683B">
        <w:rPr>
          <w:rFonts w:ascii="Simplified Arabic" w:hAnsi="Simplified Arabic" w:cs="Simplified Arabic"/>
          <w:sz w:val="28"/>
          <w:szCs w:val="28"/>
          <w:rtl/>
        </w:rPr>
        <w:t>.</w:t>
      </w:r>
    </w:p>
    <w:p w:rsidR="00F83BFC" w:rsidRPr="001B6915" w:rsidRDefault="000635D8" w:rsidP="001D0548">
      <w:pPr>
        <w:pStyle w:val="Paragraphedeliste"/>
        <w:numPr>
          <w:ilvl w:val="0"/>
          <w:numId w:val="219"/>
        </w:numPr>
        <w:tabs>
          <w:tab w:val="right" w:pos="1134"/>
        </w:tabs>
        <w:bidi/>
        <w:spacing w:after="0"/>
        <w:ind w:left="0" w:firstLine="992"/>
        <w:jc w:val="both"/>
        <w:rPr>
          <w:rFonts w:ascii="Simplified Arabic" w:hAnsi="Simplified Arabic" w:cs="Simplified Arabic"/>
          <w:sz w:val="24"/>
          <w:szCs w:val="24"/>
          <w:rtl/>
        </w:rPr>
      </w:pPr>
      <w:r w:rsidRPr="001B6915">
        <w:rPr>
          <w:rFonts w:ascii="Simplified Arabic" w:hAnsi="Simplified Arabic" w:cs="Simplified Arabic" w:hint="cs"/>
          <w:b/>
          <w:bCs/>
          <w:sz w:val="24"/>
          <w:szCs w:val="24"/>
          <w:rtl/>
        </w:rPr>
        <w:lastRenderedPageBreak/>
        <w:t xml:space="preserve">السهول: </w:t>
      </w:r>
      <w:r w:rsidRPr="001B6915">
        <w:rPr>
          <w:rFonts w:ascii="Simplified Arabic" w:hAnsi="Simplified Arabic" w:cs="Simplified Arabic" w:hint="cs"/>
          <w:sz w:val="24"/>
          <w:szCs w:val="24"/>
          <w:rtl/>
        </w:rPr>
        <w:t>ت</w:t>
      </w:r>
      <w:r w:rsidRPr="001B6915">
        <w:rPr>
          <w:rFonts w:ascii="Simplified Arabic" w:hAnsi="Simplified Arabic" w:cs="Simplified Arabic"/>
          <w:sz w:val="24"/>
          <w:szCs w:val="24"/>
          <w:rtl/>
        </w:rPr>
        <w:t>تميز</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الس</w:t>
      </w:r>
      <w:r w:rsidRPr="001B6915">
        <w:rPr>
          <w:rFonts w:ascii="Simplified Arabic" w:hAnsi="Simplified Arabic" w:cs="Simplified Arabic" w:hint="cs"/>
          <w:sz w:val="24"/>
          <w:szCs w:val="24"/>
          <w:rtl/>
        </w:rPr>
        <w:t>هو</w:t>
      </w:r>
      <w:r w:rsidRPr="001B6915">
        <w:rPr>
          <w:rFonts w:ascii="Simplified Arabic" w:hAnsi="Simplified Arabic" w:cs="Simplified Arabic"/>
          <w:sz w:val="24"/>
          <w:szCs w:val="24"/>
          <w:rtl/>
        </w:rPr>
        <w:t>ل</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الحضني</w:t>
      </w:r>
      <w:r w:rsidRPr="001B6915">
        <w:rPr>
          <w:rFonts w:ascii="Simplified Arabic" w:hAnsi="Simplified Arabic" w:cs="Simplified Arabic" w:hint="cs"/>
          <w:sz w:val="24"/>
          <w:szCs w:val="24"/>
          <w:rtl/>
        </w:rPr>
        <w:t xml:space="preserve">ة </w:t>
      </w:r>
      <w:r w:rsidRPr="001B6915">
        <w:rPr>
          <w:rFonts w:ascii="Simplified Arabic" w:hAnsi="Simplified Arabic" w:cs="Simplified Arabic"/>
          <w:sz w:val="24"/>
          <w:szCs w:val="24"/>
          <w:rtl/>
        </w:rPr>
        <w:t>بانفتاح</w:t>
      </w:r>
      <w:r w:rsidRPr="001B6915">
        <w:rPr>
          <w:rFonts w:ascii="Simplified Arabic" w:hAnsi="Simplified Arabic" w:cs="Simplified Arabic" w:hint="cs"/>
          <w:sz w:val="24"/>
          <w:szCs w:val="24"/>
          <w:rtl/>
        </w:rPr>
        <w:t xml:space="preserve">ها </w:t>
      </w:r>
      <w:r w:rsidRPr="001B6915">
        <w:rPr>
          <w:rFonts w:ascii="Simplified Arabic" w:hAnsi="Simplified Arabic" w:cs="Simplified Arabic"/>
          <w:sz w:val="24"/>
          <w:szCs w:val="24"/>
          <w:rtl/>
        </w:rPr>
        <w:t>من</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ج</w:t>
      </w:r>
      <w:r w:rsidRPr="001B6915">
        <w:rPr>
          <w:rFonts w:ascii="Simplified Arabic" w:hAnsi="Simplified Arabic" w:cs="Simplified Arabic" w:hint="cs"/>
          <w:sz w:val="24"/>
          <w:szCs w:val="24"/>
          <w:rtl/>
        </w:rPr>
        <w:t>ه</w:t>
      </w:r>
      <w:r w:rsidRPr="001B6915">
        <w:rPr>
          <w:rFonts w:ascii="Simplified Arabic" w:hAnsi="Simplified Arabic" w:cs="Simplified Arabic"/>
          <w:sz w:val="24"/>
          <w:szCs w:val="24"/>
          <w:rtl/>
        </w:rPr>
        <w:t>ة</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الشرق</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ع</w:t>
      </w:r>
      <w:r w:rsidRPr="001B6915">
        <w:rPr>
          <w:rFonts w:ascii="Simplified Arabic" w:hAnsi="Simplified Arabic" w:cs="Simplified Arabic" w:hint="cs"/>
          <w:sz w:val="24"/>
          <w:szCs w:val="24"/>
          <w:rtl/>
        </w:rPr>
        <w:t>ل</w:t>
      </w:r>
      <w:r w:rsidRPr="001B6915">
        <w:rPr>
          <w:rFonts w:ascii="Simplified Arabic" w:hAnsi="Simplified Arabic" w:cs="Simplified Arabic"/>
          <w:sz w:val="24"/>
          <w:szCs w:val="24"/>
          <w:rtl/>
        </w:rPr>
        <w:t>ى</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ال</w:t>
      </w:r>
      <w:r w:rsidRPr="001B6915">
        <w:rPr>
          <w:rFonts w:ascii="Simplified Arabic" w:hAnsi="Simplified Arabic" w:cs="Simplified Arabic" w:hint="cs"/>
          <w:sz w:val="24"/>
          <w:szCs w:val="24"/>
          <w:rtl/>
        </w:rPr>
        <w:t>ه</w:t>
      </w:r>
      <w:r w:rsidRPr="001B6915">
        <w:rPr>
          <w:rFonts w:ascii="Simplified Arabic" w:hAnsi="Simplified Arabic" w:cs="Simplified Arabic"/>
          <w:sz w:val="24"/>
          <w:szCs w:val="24"/>
          <w:rtl/>
        </w:rPr>
        <w:t>ضاب</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الع</w:t>
      </w:r>
      <w:r w:rsidRPr="001B6915">
        <w:rPr>
          <w:rFonts w:ascii="Simplified Arabic" w:hAnsi="Simplified Arabic" w:cs="Simplified Arabic" w:hint="cs"/>
          <w:sz w:val="24"/>
          <w:szCs w:val="24"/>
          <w:rtl/>
        </w:rPr>
        <w:t>ل</w:t>
      </w:r>
      <w:r w:rsidRPr="001B6915">
        <w:rPr>
          <w:rFonts w:ascii="Simplified Arabic" w:hAnsi="Simplified Arabic" w:cs="Simplified Arabic"/>
          <w:sz w:val="24"/>
          <w:szCs w:val="24"/>
          <w:rtl/>
        </w:rPr>
        <w:t>يا</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لقسنطينة</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و</w:t>
      </w:r>
      <w:r w:rsidRPr="001B6915">
        <w:rPr>
          <w:rFonts w:ascii="Simplified Arabic" w:hAnsi="Simplified Arabic" w:cs="Simplified Arabic" w:hint="cs"/>
          <w:sz w:val="24"/>
          <w:szCs w:val="24"/>
          <w:rtl/>
        </w:rPr>
        <w:t>ا</w:t>
      </w:r>
      <w:r w:rsidRPr="001B6915">
        <w:rPr>
          <w:rFonts w:ascii="Simplified Arabic" w:hAnsi="Simplified Arabic" w:cs="Simplified Arabic"/>
          <w:sz w:val="24"/>
          <w:szCs w:val="24"/>
          <w:rtl/>
        </w:rPr>
        <w:t>لت</w:t>
      </w:r>
      <w:r w:rsidRPr="001B6915">
        <w:rPr>
          <w:rFonts w:ascii="Simplified Arabic" w:hAnsi="Simplified Arabic" w:cs="Simplified Arabic" w:hint="cs"/>
          <w:sz w:val="24"/>
          <w:szCs w:val="24"/>
          <w:rtl/>
        </w:rPr>
        <w:t xml:space="preserve">ل </w:t>
      </w:r>
      <w:r w:rsidRPr="001B6915">
        <w:rPr>
          <w:rFonts w:ascii="Simplified Arabic" w:hAnsi="Simplified Arabic" w:cs="Simplified Arabic"/>
          <w:sz w:val="24"/>
          <w:szCs w:val="24"/>
          <w:rtl/>
        </w:rPr>
        <w:t>العاصمي</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من</w:t>
      </w:r>
      <w:r w:rsidRPr="001B6915">
        <w:rPr>
          <w:rFonts w:ascii="Simplified Arabic" w:hAnsi="Simplified Arabic" w:cs="Simplified Arabic" w:hint="cs"/>
          <w:sz w:val="24"/>
          <w:szCs w:val="24"/>
          <w:rtl/>
        </w:rPr>
        <w:t xml:space="preserve"> ا</w:t>
      </w:r>
      <w:r w:rsidRPr="001B6915">
        <w:rPr>
          <w:rFonts w:ascii="Simplified Arabic" w:hAnsi="Simplified Arabic" w:cs="Simplified Arabic"/>
          <w:sz w:val="24"/>
          <w:szCs w:val="24"/>
          <w:rtl/>
        </w:rPr>
        <w:t>لغرب</w:t>
      </w:r>
      <w:r w:rsidRPr="001B6915">
        <w:rPr>
          <w:rFonts w:ascii="Simplified Arabic" w:hAnsi="Simplified Arabic" w:cs="Simplified Arabic" w:hint="cs"/>
          <w:sz w:val="24"/>
          <w:szCs w:val="24"/>
          <w:rtl/>
        </w:rPr>
        <w:t>، ح</w:t>
      </w:r>
      <w:r w:rsidRPr="001B6915">
        <w:rPr>
          <w:rFonts w:ascii="Simplified Arabic" w:hAnsi="Simplified Arabic" w:cs="Simplified Arabic"/>
          <w:sz w:val="24"/>
          <w:szCs w:val="24"/>
          <w:rtl/>
        </w:rPr>
        <w:t>يث</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توجد</w:t>
      </w:r>
      <w:r w:rsidRPr="001B6915">
        <w:rPr>
          <w:rFonts w:ascii="Simplified Arabic" w:hAnsi="Simplified Arabic" w:cs="Simplified Arabic" w:hint="cs"/>
          <w:sz w:val="24"/>
          <w:szCs w:val="24"/>
          <w:rtl/>
        </w:rPr>
        <w:t xml:space="preserve"> بلدية </w:t>
      </w:r>
      <w:r w:rsidRPr="001B6915">
        <w:rPr>
          <w:rFonts w:ascii="Simplified Arabic" w:hAnsi="Simplified Arabic" w:cs="Simplified Arabic"/>
          <w:sz w:val="24"/>
          <w:szCs w:val="24"/>
          <w:rtl/>
        </w:rPr>
        <w:t>بوسعادة</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في</w:t>
      </w:r>
      <w:r w:rsidRPr="001B6915">
        <w:rPr>
          <w:rFonts w:ascii="Simplified Arabic" w:hAnsi="Simplified Arabic" w:cs="Simplified Arabic" w:hint="cs"/>
          <w:sz w:val="24"/>
          <w:szCs w:val="24"/>
          <w:rtl/>
        </w:rPr>
        <w:t xml:space="preserve"> </w:t>
      </w:r>
      <w:r w:rsidRPr="001B6915">
        <w:rPr>
          <w:rFonts w:ascii="Simplified Arabic" w:hAnsi="Simplified Arabic" w:cs="Simplified Arabic"/>
          <w:sz w:val="24"/>
          <w:szCs w:val="24"/>
          <w:rtl/>
        </w:rPr>
        <w:t>جنوب</w:t>
      </w:r>
      <w:r w:rsidRPr="001B6915">
        <w:rPr>
          <w:rFonts w:ascii="Simplified Arabic" w:hAnsi="Simplified Arabic" w:cs="Simplified Arabic" w:hint="cs"/>
          <w:sz w:val="24"/>
          <w:szCs w:val="24"/>
          <w:rtl/>
        </w:rPr>
        <w:t xml:space="preserve">ه </w:t>
      </w:r>
      <w:r w:rsidRPr="001B6915">
        <w:rPr>
          <w:rFonts w:ascii="Simplified Arabic" w:hAnsi="Simplified Arabic" w:cs="Simplified Arabic"/>
          <w:sz w:val="24"/>
          <w:szCs w:val="24"/>
          <w:rtl/>
        </w:rPr>
        <w:t>الغربي</w:t>
      </w:r>
      <w:r w:rsidRPr="001B6915">
        <w:rPr>
          <w:rFonts w:ascii="Simplified Arabic" w:hAnsi="Simplified Arabic" w:cs="Simplified Arabic" w:hint="cs"/>
          <w:sz w:val="24"/>
          <w:szCs w:val="24"/>
          <w:rtl/>
        </w:rPr>
        <w:t xml:space="preserve"> (منطقة المعذر)، يعود تكوينها</w:t>
      </w:r>
      <w:r w:rsidR="001B6915" w:rsidRPr="001B6915">
        <w:rPr>
          <w:rFonts w:ascii="Simplified Arabic" w:hAnsi="Simplified Arabic" w:cs="Simplified Arabic" w:hint="cs"/>
          <w:sz w:val="24"/>
          <w:szCs w:val="24"/>
          <w:rtl/>
        </w:rPr>
        <w:t xml:space="preserve"> للزمن الجيولوجي الرابع، يتراوح</w:t>
      </w:r>
      <w:r w:rsidR="001B6915">
        <w:rPr>
          <w:rFonts w:ascii="Simplified Arabic" w:hAnsi="Simplified Arabic" w:cs="Simplified Arabic" w:hint="cs"/>
          <w:sz w:val="24"/>
          <w:szCs w:val="24"/>
          <w:rtl/>
        </w:rPr>
        <w:t xml:space="preserve"> </w:t>
      </w:r>
      <w:r w:rsidRPr="001B6915">
        <w:rPr>
          <w:rFonts w:ascii="Simplified Arabic" w:hAnsi="Simplified Arabic" w:cs="Simplified Arabic" w:hint="cs"/>
          <w:sz w:val="24"/>
          <w:szCs w:val="24"/>
          <w:rtl/>
        </w:rPr>
        <w:t>ارتفاعها عن مستوى سطح البحر بين 460 م الى 496 م، يمر عبر هذه السهول الطريق الوطني رقم 46، كما تخترقه ثلاثة اودية، هي واد الرمانة من الجهة الشرق للسهول، واد ميطر من الغرب وواد بوسعادة في الوسط</w:t>
      </w:r>
    </w:p>
    <w:p w:rsidR="000635D8" w:rsidRPr="00E050E2" w:rsidRDefault="000635D8" w:rsidP="001D0548">
      <w:pPr>
        <w:pStyle w:val="Paragraphedeliste"/>
        <w:numPr>
          <w:ilvl w:val="1"/>
          <w:numId w:val="221"/>
        </w:numPr>
        <w:tabs>
          <w:tab w:val="right" w:pos="567"/>
        </w:tabs>
        <w:bidi/>
        <w:spacing w:before="240" w:after="0"/>
        <w:ind w:left="0" w:firstLine="0"/>
        <w:jc w:val="both"/>
        <w:outlineLvl w:val="0"/>
        <w:rPr>
          <w:rFonts w:ascii="Simplified Arabic" w:hAnsi="Simplified Arabic" w:cs="Simplified Arabic"/>
          <w:sz w:val="24"/>
          <w:szCs w:val="24"/>
          <w:rtl/>
          <w:lang w:val="en-US" w:bidi="ar-DZ"/>
        </w:rPr>
      </w:pPr>
      <w:bookmarkStart w:id="505" w:name="_Toc171803576"/>
      <w:r w:rsidRPr="00E050E2">
        <w:rPr>
          <w:rFonts w:ascii="Simplified Arabic" w:hAnsi="Simplified Arabic" w:cs="Simplified Arabic" w:hint="cs"/>
          <w:b/>
          <w:bCs/>
          <w:sz w:val="24"/>
          <w:szCs w:val="24"/>
          <w:rtl/>
          <w:lang w:val="en-US" w:bidi="ar-DZ"/>
        </w:rPr>
        <w:t>الخصائص الجيولوجية</w:t>
      </w:r>
      <w:bookmarkEnd w:id="505"/>
    </w:p>
    <w:p w:rsidR="000635D8" w:rsidRDefault="000635D8" w:rsidP="00173D34">
      <w:pPr>
        <w:bidi/>
        <w:spacing w:after="0"/>
        <w:ind w:firstLine="283"/>
        <w:jc w:val="both"/>
        <w:rPr>
          <w:rFonts w:ascii="Simplified Arabic" w:hAnsi="Simplified Arabic" w:cs="Simplified Arabic"/>
          <w:sz w:val="24"/>
          <w:szCs w:val="24"/>
          <w:rtl/>
          <w:lang w:val="fr" w:bidi="ar-DZ"/>
        </w:rPr>
      </w:pPr>
      <w:r w:rsidRPr="00173D34">
        <w:rPr>
          <w:rFonts w:ascii="Simplified Arabic" w:hAnsi="Simplified Arabic" w:cs="Simplified Arabic" w:hint="cs"/>
          <w:sz w:val="24"/>
          <w:szCs w:val="24"/>
          <w:rtl/>
          <w:lang w:val="fr" w:bidi="ar-DZ"/>
        </w:rPr>
        <w:t>تعرض الاطلس الصحراوي خلال العصور الجيولوجية الاولى الى حركات تكتونية واسعة، ادى الى انزلاقات الصفائح التكتونية الافريقية مع الاوراسية ضمن حركات بطيئة. يمثل</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منخفض</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الحضنة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الواقع</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في</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الجزء</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الشمالي</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من</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المدينة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الرمل</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حوض</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ترسيب</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من</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العصر</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النيوجيني</w:t>
      </w:r>
      <w:r w:rsidRPr="00173D34">
        <w:rPr>
          <w:rFonts w:ascii="Simplified Arabic" w:hAnsi="Simplified Arabic" w:cs="Simplified Arabic"/>
          <w:sz w:val="24"/>
          <w:szCs w:val="24"/>
          <w:rtl/>
          <w:lang w:val="fr" w:bidi="ar-DZ"/>
        </w:rPr>
        <w:t xml:space="preserve"> - </w:t>
      </w:r>
      <w:r w:rsidRPr="00173D34">
        <w:rPr>
          <w:rFonts w:ascii="Simplified Arabic" w:hAnsi="Simplified Arabic" w:cs="Simplified Arabic" w:hint="cs"/>
          <w:sz w:val="24"/>
          <w:szCs w:val="24"/>
          <w:rtl/>
          <w:lang w:val="fr" w:bidi="ar-DZ"/>
        </w:rPr>
        <w:t>الرباعي</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مع</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ترسبات</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من</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الحجر</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الجيري</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والجبس</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مغطى</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بطبقات</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سميكة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من</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الطين</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والرمال</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الطينية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للعصر</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 xml:space="preserve">الرباعي </w:t>
      </w:r>
      <w:r w:rsidR="005A2336" w:rsidRPr="00173D34">
        <w:rPr>
          <w:rFonts w:asciiTheme="majorBidi" w:hAnsiTheme="majorBidi" w:cstheme="majorBidi"/>
          <w:sz w:val="24"/>
          <w:szCs w:val="24"/>
          <w:lang w:val="en-US"/>
        </w:rPr>
        <w:t>(Grecu et al., 2012a; Hadjab &amp;</w:t>
      </w:r>
      <w:r w:rsidRPr="00173D34">
        <w:rPr>
          <w:rFonts w:asciiTheme="majorBidi" w:hAnsiTheme="majorBidi" w:cstheme="majorBidi"/>
          <w:sz w:val="24"/>
          <w:szCs w:val="24"/>
          <w:lang w:val="en-US"/>
        </w:rPr>
        <w:t xml:space="preserve"> Ouali, 2007)</w:t>
      </w:r>
      <w:r w:rsidRPr="00173D34">
        <w:rPr>
          <w:rFonts w:asciiTheme="majorBidi" w:hAnsiTheme="majorBidi" w:cstheme="majorBidi" w:hint="cs"/>
          <w:sz w:val="24"/>
          <w:szCs w:val="24"/>
          <w:rtl/>
          <w:lang w:val="en-US"/>
        </w:rPr>
        <w:t xml:space="preserve">. </w:t>
      </w:r>
      <w:r w:rsidRPr="00173D34">
        <w:rPr>
          <w:rFonts w:ascii="Simplified Arabic" w:hAnsi="Simplified Arabic" w:cs="Simplified Arabic" w:hint="cs"/>
          <w:sz w:val="24"/>
          <w:szCs w:val="24"/>
          <w:rtl/>
          <w:lang w:val="fr" w:bidi="ar-DZ"/>
        </w:rPr>
        <w:t>الصخور</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متشققة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بشدة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ومصدوعة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ومفككة،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تحت ظروف</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الجاذبية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يحدث انفلات</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الكتل الصخرية،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وانهيارها وسقوطها</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على</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المنحدرات.</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مشكلة بذلك</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شبكة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سميكة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نسبيًا</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من</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الأخاديد</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والسيول</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الحجرية</w:t>
      </w:r>
      <w:r w:rsidRPr="00173D34">
        <w:rPr>
          <w:rFonts w:ascii="Simplified Arabic" w:hAnsi="Simplified Arabic" w:cs="Simplified Arabic"/>
          <w:sz w:val="24"/>
          <w:szCs w:val="24"/>
          <w:rtl/>
          <w:lang w:val="fr" w:bidi="ar-DZ"/>
        </w:rPr>
        <w:t xml:space="preserve"> </w:t>
      </w:r>
      <w:r w:rsidRPr="00173D34">
        <w:rPr>
          <w:rFonts w:ascii="Simplified Arabic" w:hAnsi="Simplified Arabic" w:cs="Simplified Arabic" w:hint="cs"/>
          <w:sz w:val="24"/>
          <w:szCs w:val="24"/>
          <w:rtl/>
          <w:lang w:val="fr" w:bidi="ar-DZ"/>
        </w:rPr>
        <w:t>والمخاريط</w:t>
      </w:r>
      <w:r w:rsidRPr="00173D34">
        <w:rPr>
          <w:rFonts w:ascii="Simplified Arabic" w:hAnsi="Simplified Arabic" w:cs="Simplified Arabic" w:hint="cs"/>
          <w:sz w:val="24"/>
          <w:szCs w:val="24"/>
          <w:rtl/>
        </w:rPr>
        <w:t xml:space="preserve">، الخريطة </w:t>
      </w:r>
      <w:r w:rsidR="00BA11BE" w:rsidRPr="00173D34">
        <w:rPr>
          <w:rFonts w:ascii="Simplified Arabic" w:hAnsi="Simplified Arabic" w:cs="Simplified Arabic" w:hint="cs"/>
          <w:sz w:val="24"/>
          <w:szCs w:val="24"/>
          <w:rtl/>
        </w:rPr>
        <w:t>(4-4)</w:t>
      </w:r>
      <w:r w:rsidRPr="00173D34">
        <w:rPr>
          <w:rFonts w:ascii="Simplified Arabic" w:hAnsi="Simplified Arabic" w:cs="Simplified Arabic"/>
          <w:sz w:val="24"/>
          <w:szCs w:val="24"/>
          <w:rtl/>
          <w:lang w:val="fr" w:bidi="ar-DZ"/>
        </w:rPr>
        <w:t>.</w:t>
      </w:r>
    </w:p>
    <w:p w:rsidR="000635D8" w:rsidRDefault="000635D8" w:rsidP="000635D8">
      <w:pPr>
        <w:bidi/>
        <w:spacing w:after="0"/>
        <w:ind w:firstLine="283"/>
        <w:jc w:val="both"/>
        <w:rPr>
          <w:rFonts w:ascii="Simplified Arabic" w:hAnsi="Simplified Arabic" w:cs="Simplified Arabic"/>
          <w:sz w:val="24"/>
          <w:szCs w:val="24"/>
          <w:rtl/>
          <w:lang w:val="fr" w:bidi="ar-DZ"/>
        </w:rPr>
      </w:pPr>
      <w:r>
        <w:rPr>
          <w:rFonts w:ascii="Simplified Arabic" w:hAnsi="Simplified Arabic" w:cs="Simplified Arabic" w:hint="cs"/>
          <w:sz w:val="24"/>
          <w:szCs w:val="24"/>
          <w:rtl/>
          <w:lang w:val="fr" w:bidi="ar-DZ"/>
        </w:rPr>
        <w:t>تتميز جيولوجيا الاطلس الصحراوي بالنتوءات الطباشيرية التي تشتهر بها منطقة بوسعادة، وتشكيلات القشرة السطحية للصخور الجيرية</w:t>
      </w:r>
      <w:r>
        <w:rPr>
          <w:rFonts w:ascii="Simplified Arabic" w:hAnsi="Simplified Arabic" w:cs="Simplified Arabic" w:hint="cs"/>
          <w:sz w:val="24"/>
          <w:szCs w:val="24"/>
          <w:rtl/>
        </w:rPr>
        <w:t>،</w:t>
      </w:r>
      <w:r>
        <w:rPr>
          <w:rFonts w:ascii="Simplified Arabic" w:hAnsi="Simplified Arabic" w:cs="Simplified Arabic" w:hint="cs"/>
          <w:sz w:val="24"/>
          <w:szCs w:val="24"/>
          <w:rtl/>
          <w:lang w:val="fr" w:bidi="ar-DZ"/>
        </w:rPr>
        <w:t xml:space="preserve"> التي تنقسم درجة نفاذيتها الى ثلاثة انواع وهي</w:t>
      </w:r>
      <w:r w:rsidRPr="00534BBB">
        <w:rPr>
          <w:rFonts w:ascii="Simplified Arabic" w:hAnsi="Simplified Arabic" w:cs="Simplified Arabic"/>
          <w:sz w:val="24"/>
          <w:szCs w:val="24"/>
          <w:rtl/>
          <w:lang w:val="fr" w:bidi="ar-DZ"/>
        </w:rPr>
        <w:t xml:space="preserve"> </w:t>
      </w:r>
      <w:r>
        <w:rPr>
          <w:rFonts w:ascii="Simplified Arabic" w:hAnsi="Simplified Arabic" w:cs="Simplified Arabic" w:hint="cs"/>
          <w:sz w:val="24"/>
          <w:szCs w:val="24"/>
          <w:rtl/>
          <w:lang w:val="fr" w:bidi="ar-DZ"/>
        </w:rPr>
        <w:t>(</w:t>
      </w:r>
      <w:r w:rsidRPr="00534BBB">
        <w:rPr>
          <w:rFonts w:ascii="Simplified Arabic" w:hAnsi="Simplified Arabic" w:cs="Simplified Arabic" w:hint="cs"/>
          <w:sz w:val="24"/>
          <w:szCs w:val="24"/>
          <w:rtl/>
          <w:lang w:val="fr" w:bidi="ar-DZ"/>
        </w:rPr>
        <w:t>تشكيلات صخرية غير نفوذة</w:t>
      </w:r>
      <w:r>
        <w:rPr>
          <w:rFonts w:ascii="Simplified Arabic" w:hAnsi="Simplified Arabic" w:cs="Simplified Arabic" w:hint="cs"/>
          <w:sz w:val="24"/>
          <w:szCs w:val="24"/>
          <w:rtl/>
          <w:lang w:val="fr" w:bidi="ar-DZ"/>
        </w:rPr>
        <w:t xml:space="preserve">، </w:t>
      </w:r>
      <w:r w:rsidRPr="00534BBB">
        <w:rPr>
          <w:rFonts w:ascii="Simplified Arabic" w:hAnsi="Simplified Arabic" w:cs="Simplified Arabic" w:hint="cs"/>
          <w:sz w:val="24"/>
          <w:szCs w:val="24"/>
          <w:rtl/>
          <w:lang w:val="fr" w:bidi="ar-DZ"/>
        </w:rPr>
        <w:t>تشكيلات صخرية ذات نفاذية متوسطة</w:t>
      </w:r>
      <w:r>
        <w:rPr>
          <w:rFonts w:ascii="Simplified Arabic" w:hAnsi="Simplified Arabic" w:cs="Simplified Arabic" w:hint="cs"/>
          <w:sz w:val="24"/>
          <w:szCs w:val="24"/>
          <w:rtl/>
          <w:lang w:val="fr" w:bidi="ar-DZ"/>
        </w:rPr>
        <w:t xml:space="preserve"> و</w:t>
      </w:r>
      <w:r w:rsidRPr="00534BBB">
        <w:rPr>
          <w:rFonts w:ascii="Simplified Arabic" w:hAnsi="Simplified Arabic" w:cs="Simplified Arabic" w:hint="cs"/>
          <w:sz w:val="24"/>
          <w:szCs w:val="24"/>
          <w:rtl/>
          <w:lang w:val="fr" w:bidi="ar-DZ"/>
        </w:rPr>
        <w:t>تشكيلات</w:t>
      </w:r>
      <w:r>
        <w:rPr>
          <w:rFonts w:ascii="Simplified Arabic" w:hAnsi="Simplified Arabic" w:cs="Simplified Arabic" w:hint="cs"/>
          <w:sz w:val="24"/>
          <w:szCs w:val="24"/>
          <w:rtl/>
          <w:lang w:val="fr" w:bidi="ar-DZ"/>
        </w:rPr>
        <w:t xml:space="preserve"> صخرية</w:t>
      </w:r>
      <w:r w:rsidRPr="00534BBB">
        <w:rPr>
          <w:rFonts w:ascii="Simplified Arabic" w:hAnsi="Simplified Arabic" w:cs="Simplified Arabic" w:hint="cs"/>
          <w:sz w:val="24"/>
          <w:szCs w:val="24"/>
          <w:rtl/>
          <w:lang w:val="fr" w:bidi="ar-DZ"/>
        </w:rPr>
        <w:t xml:space="preserve"> ذات نفاذية عالية</w:t>
      </w:r>
      <w:r>
        <w:rPr>
          <w:rFonts w:ascii="Simplified Arabic" w:hAnsi="Simplified Arabic" w:cs="Simplified Arabic" w:hint="cs"/>
          <w:sz w:val="24"/>
          <w:szCs w:val="24"/>
          <w:rtl/>
          <w:lang w:val="fr" w:bidi="ar-DZ"/>
        </w:rPr>
        <w:t>)</w:t>
      </w:r>
      <w:r w:rsidRPr="00534BBB">
        <w:rPr>
          <w:rFonts w:ascii="Simplified Arabic" w:hAnsi="Simplified Arabic" w:cs="Simplified Arabic" w:hint="cs"/>
          <w:sz w:val="24"/>
          <w:szCs w:val="24"/>
          <w:rtl/>
          <w:lang w:val="fr" w:bidi="ar-DZ"/>
        </w:rPr>
        <w:t>.</w:t>
      </w:r>
      <w:r>
        <w:rPr>
          <w:rFonts w:ascii="Simplified Arabic" w:hAnsi="Simplified Arabic" w:cs="Simplified Arabic" w:hint="cs"/>
          <w:sz w:val="24"/>
          <w:szCs w:val="24"/>
          <w:rtl/>
          <w:lang w:val="fr" w:bidi="ar-DZ"/>
        </w:rPr>
        <w:t xml:space="preserve"> </w:t>
      </w:r>
      <w:r w:rsidRPr="002F2B07">
        <w:rPr>
          <w:rFonts w:ascii="Simplified Arabic" w:hAnsi="Simplified Arabic" w:cs="Simplified Arabic" w:hint="cs"/>
          <w:sz w:val="24"/>
          <w:szCs w:val="24"/>
          <w:rtl/>
          <w:lang w:val="fr" w:bidi="ar-DZ"/>
        </w:rPr>
        <w:t>بسبب</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مناخها</w:t>
      </w:r>
      <w:r>
        <w:rPr>
          <w:rFonts w:ascii="Simplified Arabic" w:hAnsi="Simplified Arabic" w:cs="Simplified Arabic" w:hint="cs"/>
          <w:sz w:val="24"/>
          <w:szCs w:val="24"/>
          <w:rtl/>
          <w:lang w:val="fr" w:bidi="ar-DZ"/>
        </w:rPr>
        <w:t xml:space="preserve"> الذي يتميز بالأمطار الفجائية </w:t>
      </w:r>
      <w:r w:rsidRPr="002F2B07">
        <w:rPr>
          <w:rFonts w:ascii="Simplified Arabic" w:hAnsi="Simplified Arabic" w:cs="Simplified Arabic" w:hint="cs"/>
          <w:sz w:val="24"/>
          <w:szCs w:val="24"/>
          <w:rtl/>
          <w:lang w:val="fr" w:bidi="ar-DZ"/>
        </w:rPr>
        <w:t>وعدم</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نفاذية</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تربتها</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نسبيًا،</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تمتلك</w:t>
      </w:r>
      <w:r w:rsidRPr="002F2B07">
        <w:rPr>
          <w:rFonts w:ascii="Simplified Arabic" w:hAnsi="Simplified Arabic" w:cs="Simplified Arabic"/>
          <w:sz w:val="24"/>
          <w:szCs w:val="24"/>
          <w:rtl/>
          <w:lang w:val="fr" w:bidi="ar-DZ"/>
        </w:rPr>
        <w:t xml:space="preserve"> </w:t>
      </w:r>
      <w:r>
        <w:rPr>
          <w:rFonts w:ascii="Simplified Arabic" w:hAnsi="Simplified Arabic" w:cs="Simplified Arabic" w:hint="cs"/>
          <w:sz w:val="24"/>
          <w:szCs w:val="24"/>
          <w:rtl/>
          <w:lang w:val="fr" w:bidi="ar-DZ"/>
        </w:rPr>
        <w:t>بوسعادة</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شبكة</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هيدروغرافية،</w:t>
      </w:r>
      <w:r w:rsidRPr="002F2B07">
        <w:rPr>
          <w:rFonts w:ascii="Simplified Arabic" w:hAnsi="Simplified Arabic" w:cs="Simplified Arabic"/>
          <w:sz w:val="24"/>
          <w:szCs w:val="24"/>
          <w:rtl/>
          <w:lang w:val="fr" w:bidi="ar-DZ"/>
        </w:rPr>
        <w:t xml:space="preserve"> </w:t>
      </w:r>
      <w:r>
        <w:rPr>
          <w:rFonts w:ascii="Simplified Arabic" w:hAnsi="Simplified Arabic" w:cs="Simplified Arabic" w:hint="cs"/>
          <w:sz w:val="24"/>
          <w:szCs w:val="24"/>
          <w:rtl/>
          <w:lang w:val="fr" w:bidi="ar-DZ"/>
        </w:rPr>
        <w:t xml:space="preserve">نادرا ما تحدث </w:t>
      </w:r>
      <w:r w:rsidRPr="002F2B07">
        <w:rPr>
          <w:rFonts w:ascii="Simplified Arabic" w:hAnsi="Simplified Arabic" w:cs="Simplified Arabic" w:hint="cs"/>
          <w:sz w:val="24"/>
          <w:szCs w:val="24"/>
          <w:rtl/>
          <w:lang w:val="fr" w:bidi="ar-DZ"/>
        </w:rPr>
        <w:t>تدفقات</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عالية</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في</w:t>
      </w:r>
      <w:r w:rsidRPr="002F2B07">
        <w:rPr>
          <w:rFonts w:ascii="Simplified Arabic" w:hAnsi="Simplified Arabic" w:cs="Simplified Arabic"/>
          <w:sz w:val="24"/>
          <w:szCs w:val="24"/>
          <w:rtl/>
          <w:lang w:val="fr" w:bidi="ar-DZ"/>
        </w:rPr>
        <w:t xml:space="preserve"> </w:t>
      </w:r>
      <w:r>
        <w:rPr>
          <w:rFonts w:ascii="Simplified Arabic" w:hAnsi="Simplified Arabic" w:cs="Simplified Arabic" w:hint="cs"/>
          <w:sz w:val="24"/>
          <w:szCs w:val="24"/>
          <w:rtl/>
          <w:lang w:val="fr" w:bidi="ar-DZ"/>
        </w:rPr>
        <w:t>الخريف</w:t>
      </w:r>
      <w:r w:rsidRPr="002F2B07">
        <w:rPr>
          <w:rFonts w:ascii="Simplified Arabic" w:hAnsi="Simplified Arabic" w:cs="Simplified Arabic"/>
          <w:sz w:val="24"/>
          <w:szCs w:val="24"/>
          <w:rtl/>
          <w:lang w:val="fr" w:bidi="ar-DZ"/>
        </w:rPr>
        <w:t xml:space="preserve"> </w:t>
      </w:r>
      <w:r>
        <w:rPr>
          <w:rFonts w:ascii="Simplified Arabic" w:hAnsi="Simplified Arabic" w:cs="Simplified Arabic" w:hint="cs"/>
          <w:sz w:val="24"/>
          <w:szCs w:val="24"/>
          <w:rtl/>
          <w:lang w:val="fr" w:bidi="ar-DZ"/>
        </w:rPr>
        <w:t>وجفاف</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المياه</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في</w:t>
      </w:r>
      <w:r w:rsidRPr="002F2B07">
        <w:rPr>
          <w:rFonts w:ascii="Simplified Arabic" w:hAnsi="Simplified Arabic" w:cs="Simplified Arabic"/>
          <w:sz w:val="24"/>
          <w:szCs w:val="24"/>
          <w:rtl/>
          <w:lang w:val="fr" w:bidi="ar-DZ"/>
        </w:rPr>
        <w:t xml:space="preserve"> </w:t>
      </w:r>
      <w:r w:rsidRPr="002F2B07">
        <w:rPr>
          <w:rFonts w:ascii="Simplified Arabic" w:hAnsi="Simplified Arabic" w:cs="Simplified Arabic" w:hint="cs"/>
          <w:sz w:val="24"/>
          <w:szCs w:val="24"/>
          <w:rtl/>
          <w:lang w:val="fr" w:bidi="ar-DZ"/>
        </w:rPr>
        <w:t>الصيف</w:t>
      </w:r>
      <w:r w:rsidR="00BA4046">
        <w:rPr>
          <w:rFonts w:ascii="Simplified Arabic" w:hAnsi="Simplified Arabic" w:cs="Simplified Arabic" w:hint="cs"/>
          <w:sz w:val="24"/>
          <w:szCs w:val="24"/>
          <w:rtl/>
          <w:lang w:val="fr" w:bidi="ar-DZ"/>
        </w:rPr>
        <w:t>.</w:t>
      </w:r>
    </w:p>
    <w:p w:rsidR="000635D8" w:rsidRDefault="000635D8" w:rsidP="00A9318D">
      <w:pPr>
        <w:pStyle w:val="carte"/>
        <w:rPr>
          <w:rtl/>
        </w:rPr>
      </w:pPr>
      <w:bookmarkStart w:id="506" w:name="_Toc157616591"/>
      <w:bookmarkStart w:id="507" w:name="_Toc171803577"/>
      <w:r w:rsidRPr="0063639A">
        <w:rPr>
          <w:rFonts w:hint="cs"/>
          <w:rtl/>
        </w:rPr>
        <w:t xml:space="preserve">الخريطة </w:t>
      </w:r>
      <w:r w:rsidR="00BA11BE" w:rsidRPr="0063639A">
        <w:rPr>
          <w:rFonts w:hint="cs"/>
          <w:rtl/>
        </w:rPr>
        <w:t>(</w:t>
      </w:r>
      <w:r w:rsidR="00BA11BE">
        <w:rPr>
          <w:rFonts w:hint="cs"/>
          <w:rtl/>
        </w:rPr>
        <w:t>4-4</w:t>
      </w:r>
      <w:r w:rsidR="00BA11BE" w:rsidRPr="0063639A">
        <w:rPr>
          <w:rFonts w:hint="cs"/>
          <w:rtl/>
        </w:rPr>
        <w:t>)</w:t>
      </w:r>
      <w:r w:rsidRPr="0063639A">
        <w:rPr>
          <w:rtl/>
        </w:rPr>
        <w:t>:</w:t>
      </w:r>
      <w:r w:rsidRPr="0063639A">
        <w:rPr>
          <w:rFonts w:hint="cs"/>
          <w:rtl/>
        </w:rPr>
        <w:t xml:space="preserve"> </w:t>
      </w:r>
      <w:r>
        <w:rPr>
          <w:rFonts w:hint="cs"/>
          <w:rtl/>
        </w:rPr>
        <w:t>جيولوجيا منطقة</w:t>
      </w:r>
      <w:r w:rsidRPr="0063639A">
        <w:rPr>
          <w:rFonts w:hint="cs"/>
          <w:rtl/>
        </w:rPr>
        <w:t xml:space="preserve"> بوسعادة</w:t>
      </w:r>
      <w:bookmarkEnd w:id="506"/>
      <w:bookmarkEnd w:id="507"/>
    </w:p>
    <w:p w:rsidR="000635D8" w:rsidRPr="002A100D" w:rsidRDefault="000635D8" w:rsidP="00C02010">
      <w:pPr>
        <w:tabs>
          <w:tab w:val="right" w:pos="281"/>
        </w:tabs>
        <w:bidi/>
        <w:spacing w:after="0" w:line="240" w:lineRule="auto"/>
        <w:jc w:val="center"/>
        <w:rPr>
          <w:rFonts w:ascii="Simplified Arabic" w:hAnsi="Simplified Arabic" w:cs="Simplified Arabic"/>
          <w:b/>
          <w:bCs/>
          <w:sz w:val="24"/>
          <w:szCs w:val="24"/>
          <w:rtl/>
        </w:rPr>
      </w:pPr>
      <w:r w:rsidRPr="002A100D">
        <w:rPr>
          <w:rFonts w:ascii="Simplified Arabic" w:hAnsi="Simplified Arabic" w:cs="Simplified Arabic" w:hint="cs"/>
          <w:b/>
          <w:bCs/>
          <w:sz w:val="24"/>
          <w:szCs w:val="24"/>
          <w:rtl/>
        </w:rPr>
        <w:t xml:space="preserve">المصدر: </w:t>
      </w:r>
      <w:r w:rsidRPr="002A100D">
        <w:rPr>
          <w:rFonts w:asciiTheme="majorBidi" w:hAnsiTheme="majorBidi" w:cstheme="majorBidi"/>
          <w:b/>
          <w:bCs/>
          <w:sz w:val="24"/>
          <w:szCs w:val="24"/>
        </w:rPr>
        <w:t>(</w:t>
      </w:r>
      <w:r w:rsidRPr="002A100D">
        <w:rPr>
          <w:rFonts w:asciiTheme="majorBidi" w:hAnsiTheme="majorBidi" w:cstheme="majorBidi"/>
          <w:b/>
          <w:bCs/>
          <w:sz w:val="24"/>
          <w:szCs w:val="24"/>
          <w:lang w:val="en-US"/>
        </w:rPr>
        <w:t>Grecu</w:t>
      </w:r>
      <w:r w:rsidRPr="002A100D">
        <w:rPr>
          <w:rFonts w:asciiTheme="majorBidi" w:hAnsiTheme="majorBidi" w:cstheme="majorBidi"/>
          <w:b/>
          <w:bCs/>
          <w:sz w:val="24"/>
          <w:szCs w:val="24"/>
        </w:rPr>
        <w:t xml:space="preserve"> et al., 2012 a)</w:t>
      </w:r>
    </w:p>
    <w:p w:rsidR="000635D8" w:rsidRDefault="000635D8" w:rsidP="00E050E2">
      <w:pPr>
        <w:tabs>
          <w:tab w:val="right" w:pos="281"/>
        </w:tabs>
        <w:bidi/>
        <w:jc w:val="center"/>
        <w:rPr>
          <w:rFonts w:ascii="Simplified Arabic" w:hAnsi="Simplified Arabic" w:cs="Simplified Arabic"/>
          <w:sz w:val="24"/>
          <w:szCs w:val="24"/>
          <w:rtl/>
        </w:rPr>
      </w:pPr>
      <w:r>
        <w:rPr>
          <w:noProof/>
          <w:lang w:eastAsia="fr-FR"/>
        </w:rPr>
        <w:drawing>
          <wp:inline distT="0" distB="0" distL="0" distR="0" wp14:anchorId="327144FB" wp14:editId="3E701093">
            <wp:extent cx="2999090" cy="3657600"/>
            <wp:effectExtent l="19050" t="19050" r="11430" b="19050"/>
            <wp:docPr id="158" name="Imag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5"/>
                    <a:stretch>
                      <a:fillRect/>
                    </a:stretch>
                  </pic:blipFill>
                  <pic:spPr>
                    <a:xfrm>
                      <a:off x="0" y="0"/>
                      <a:ext cx="3060329" cy="3732285"/>
                    </a:xfrm>
                    <a:prstGeom prst="rect">
                      <a:avLst/>
                    </a:prstGeom>
                    <a:ln>
                      <a:solidFill>
                        <a:schemeClr val="tx1"/>
                      </a:solidFill>
                    </a:ln>
                  </pic:spPr>
                </pic:pic>
              </a:graphicData>
            </a:graphic>
          </wp:inline>
        </w:drawing>
      </w:r>
    </w:p>
    <w:p w:rsidR="00C97AE9" w:rsidRPr="00C97AE9" w:rsidRDefault="000635D8" w:rsidP="001D0548">
      <w:pPr>
        <w:pStyle w:val="Paragraphedeliste"/>
        <w:numPr>
          <w:ilvl w:val="1"/>
          <w:numId w:val="250"/>
        </w:numPr>
        <w:tabs>
          <w:tab w:val="right" w:pos="567"/>
        </w:tabs>
        <w:bidi/>
        <w:spacing w:before="240" w:after="0"/>
        <w:ind w:left="0" w:firstLine="0"/>
        <w:jc w:val="both"/>
        <w:outlineLvl w:val="0"/>
        <w:rPr>
          <w:rFonts w:ascii="Simplified Arabic" w:hAnsi="Simplified Arabic" w:cs="Simplified Arabic"/>
          <w:sz w:val="24"/>
          <w:szCs w:val="24"/>
        </w:rPr>
      </w:pPr>
      <w:bookmarkStart w:id="508" w:name="_Toc171803578"/>
      <w:r w:rsidRPr="00D32AC3">
        <w:rPr>
          <w:rFonts w:ascii="Simplified Arabic" w:hAnsi="Simplified Arabic" w:cs="Simplified Arabic" w:hint="cs"/>
          <w:b/>
          <w:bCs/>
          <w:sz w:val="24"/>
          <w:szCs w:val="24"/>
          <w:rtl/>
          <w:lang w:val="en-US" w:bidi="ar-DZ"/>
        </w:rPr>
        <w:lastRenderedPageBreak/>
        <w:t>خصائص الشبكة الهيدروغرافية</w:t>
      </w:r>
      <w:bookmarkEnd w:id="508"/>
    </w:p>
    <w:p w:rsidR="000635D8" w:rsidRPr="008C5D31" w:rsidRDefault="000635D8" w:rsidP="00C97AE9">
      <w:pPr>
        <w:pStyle w:val="Paragraphedeliste"/>
        <w:tabs>
          <w:tab w:val="right" w:pos="567"/>
        </w:tabs>
        <w:bidi/>
        <w:spacing w:before="240" w:after="0"/>
        <w:ind w:left="0" w:firstLine="283"/>
        <w:jc w:val="both"/>
        <w:rPr>
          <w:rFonts w:ascii="Simplified Arabic" w:hAnsi="Simplified Arabic" w:cs="Simplified Arabic"/>
          <w:sz w:val="24"/>
          <w:szCs w:val="24"/>
          <w:rtl/>
        </w:rPr>
      </w:pPr>
      <w:r w:rsidRPr="008C5D31">
        <w:rPr>
          <w:rFonts w:ascii="Simplified Arabic" w:hAnsi="Simplified Arabic" w:cs="Simplified Arabic" w:hint="cs"/>
          <w:sz w:val="24"/>
          <w:szCs w:val="24"/>
          <w:rtl/>
        </w:rPr>
        <w:t xml:space="preserve">تتميز المنطقة بوجود شبكة </w:t>
      </w:r>
      <w:r>
        <w:rPr>
          <w:rFonts w:ascii="Simplified Arabic" w:hAnsi="Simplified Arabic" w:cs="Simplified Arabic" w:hint="cs"/>
          <w:sz w:val="24"/>
          <w:szCs w:val="24"/>
          <w:rtl/>
        </w:rPr>
        <w:t>هيدروغرافية بتدفقات تصل الى حوالي 100 م</w:t>
      </w:r>
      <w:r w:rsidRPr="00046A77">
        <w:rPr>
          <w:rFonts w:ascii="Simplified Arabic" w:hAnsi="Simplified Arabic" w:cs="Simplified Arabic" w:hint="cs"/>
          <w:sz w:val="24"/>
          <w:szCs w:val="24"/>
          <w:vertAlign w:val="superscript"/>
          <w:rtl/>
        </w:rPr>
        <w:t>3</w:t>
      </w:r>
      <w:r>
        <w:rPr>
          <w:rFonts w:ascii="Simplified Arabic" w:hAnsi="Simplified Arabic" w:cs="Simplified Arabic" w:hint="cs"/>
          <w:sz w:val="24"/>
          <w:szCs w:val="24"/>
          <w:rtl/>
        </w:rPr>
        <w:t>/ثا</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 xml:space="preserve">الخريطة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4-5</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 المتمثلة في الشعاب والواديين الرئيسيين اللذان يعبران اقليم بلدية بوسعادة ويخترقان مجالها الحضري:</w:t>
      </w:r>
    </w:p>
    <w:p w:rsidR="000635D8" w:rsidRPr="000B467A" w:rsidRDefault="000635D8" w:rsidP="000635D8">
      <w:pPr>
        <w:tabs>
          <w:tab w:val="right" w:pos="281"/>
        </w:tabs>
        <w:bidi/>
        <w:spacing w:after="0"/>
        <w:jc w:val="both"/>
        <w:rPr>
          <w:rFonts w:ascii="Simplified Arabic" w:hAnsi="Simplified Arabic" w:cs="Simplified Arabic"/>
          <w:sz w:val="24"/>
          <w:szCs w:val="24"/>
        </w:rPr>
      </w:pPr>
      <w:r w:rsidRPr="007A3091">
        <w:rPr>
          <w:rFonts w:ascii="Simplified Arabic" w:hAnsi="Simplified Arabic" w:cs="Simplified Arabic"/>
          <w:sz w:val="24"/>
          <w:szCs w:val="24"/>
          <w:rtl/>
        </w:rPr>
        <w:t xml:space="preserve">- </w:t>
      </w:r>
      <w:r w:rsidRPr="000B467A">
        <w:rPr>
          <w:rFonts w:ascii="Simplified Arabic" w:hAnsi="Simplified Arabic" w:cs="Simplified Arabic" w:hint="cs"/>
          <w:sz w:val="24"/>
          <w:szCs w:val="24"/>
          <w:rtl/>
        </w:rPr>
        <w:t>واد بوسعادة</w:t>
      </w:r>
      <w:r>
        <w:rPr>
          <w:rFonts w:ascii="Simplified Arabic" w:hAnsi="Simplified Arabic" w:cs="Simplified Arabic" w:hint="cs"/>
          <w:sz w:val="24"/>
          <w:szCs w:val="24"/>
          <w:rtl/>
        </w:rPr>
        <w:t>: ينبع من قمم جبال بودنزير الذي يصل ارتفاعه 1416 م فوق مستوى سطح البحر</w:t>
      </w:r>
      <w:r w:rsidRPr="000B467A">
        <w:rPr>
          <w:rFonts w:ascii="Simplified Arabic" w:hAnsi="Simplified Arabic" w:cs="Simplified Arabic" w:hint="cs"/>
          <w:sz w:val="24"/>
          <w:szCs w:val="24"/>
          <w:rtl/>
        </w:rPr>
        <w:t>، يبدأ في الاتساع عند المصب في السهول الشمالية للبلدية</w:t>
      </w:r>
      <w:r>
        <w:rPr>
          <w:rFonts w:ascii="Simplified Arabic" w:hAnsi="Simplified Arabic" w:cs="Simplified Arabic" w:hint="cs"/>
          <w:sz w:val="24"/>
          <w:szCs w:val="24"/>
          <w:rtl/>
        </w:rPr>
        <w:t>، بعدها تتجمع في شط الحضنة الذي يرتفع عن مستوى سطح البحر بحوالي 400 م</w:t>
      </w:r>
      <w:r w:rsidRPr="000B467A">
        <w:rPr>
          <w:rFonts w:ascii="Simplified Arabic" w:hAnsi="Simplified Arabic" w:cs="Simplified Arabic"/>
          <w:sz w:val="24"/>
          <w:szCs w:val="24"/>
          <w:rtl/>
        </w:rPr>
        <w:t>.</w:t>
      </w:r>
      <w:r w:rsidRPr="000B467A">
        <w:rPr>
          <w:rFonts w:ascii="Simplified Arabic" w:hAnsi="Simplified Arabic" w:cs="Simplified Arabic" w:hint="cs"/>
          <w:sz w:val="24"/>
          <w:szCs w:val="24"/>
          <w:rtl/>
        </w:rPr>
        <w:t xml:space="preserve"> </w:t>
      </w:r>
    </w:p>
    <w:p w:rsidR="000635D8" w:rsidRDefault="000635D8" w:rsidP="000635D8">
      <w:pPr>
        <w:tabs>
          <w:tab w:val="right" w:pos="281"/>
        </w:tabs>
        <w:bidi/>
        <w:spacing w:after="0"/>
        <w:jc w:val="both"/>
        <w:rPr>
          <w:rFonts w:ascii="Simplified Arabic" w:hAnsi="Simplified Arabic" w:cs="Simplified Arabic"/>
          <w:sz w:val="24"/>
          <w:szCs w:val="24"/>
          <w:rtl/>
        </w:rPr>
      </w:pPr>
      <w:r w:rsidRPr="007A3091">
        <w:rPr>
          <w:rFonts w:ascii="Simplified Arabic" w:hAnsi="Simplified Arabic" w:cs="Simplified Arabic"/>
          <w:sz w:val="24"/>
          <w:szCs w:val="24"/>
          <w:rtl/>
        </w:rPr>
        <w:t xml:space="preserve">- </w:t>
      </w:r>
      <w:r w:rsidRPr="000B467A">
        <w:rPr>
          <w:rFonts w:ascii="Simplified Arabic" w:hAnsi="Simplified Arabic" w:cs="Simplified Arabic" w:hint="cs"/>
          <w:sz w:val="24"/>
          <w:szCs w:val="24"/>
          <w:rtl/>
        </w:rPr>
        <w:t xml:space="preserve">واد </w:t>
      </w:r>
      <w:r>
        <w:rPr>
          <w:rFonts w:ascii="Simplified Arabic" w:hAnsi="Simplified Arabic" w:cs="Simplified Arabic" w:hint="cs"/>
          <w:sz w:val="24"/>
          <w:szCs w:val="24"/>
          <w:rtl/>
        </w:rPr>
        <w:t>ميطر: ينبع من قمم جبال عين غراب الذي يصل ارتفاعه 1500 م فوق مستوى سطح البحر</w:t>
      </w:r>
      <w:r w:rsidRPr="000B467A">
        <w:rPr>
          <w:rFonts w:ascii="Simplified Arabic" w:hAnsi="Simplified Arabic" w:cs="Simplified Arabic" w:hint="cs"/>
          <w:sz w:val="24"/>
          <w:szCs w:val="24"/>
          <w:rtl/>
        </w:rPr>
        <w:t xml:space="preserve">، يبدأ </w:t>
      </w:r>
      <w:r>
        <w:rPr>
          <w:rFonts w:ascii="Simplified Arabic" w:hAnsi="Simplified Arabic" w:cs="Simplified Arabic" w:hint="cs"/>
          <w:sz w:val="24"/>
          <w:szCs w:val="24"/>
          <w:rtl/>
        </w:rPr>
        <w:t xml:space="preserve">ايضا </w:t>
      </w:r>
      <w:r w:rsidRPr="000B467A">
        <w:rPr>
          <w:rFonts w:ascii="Simplified Arabic" w:hAnsi="Simplified Arabic" w:cs="Simplified Arabic" w:hint="cs"/>
          <w:sz w:val="24"/>
          <w:szCs w:val="24"/>
          <w:rtl/>
        </w:rPr>
        <w:t>في الاتساع عند المصب في السهول الشمالية للبلدية</w:t>
      </w:r>
      <w:r>
        <w:rPr>
          <w:rFonts w:ascii="Simplified Arabic" w:hAnsi="Simplified Arabic" w:cs="Simplified Arabic" w:hint="cs"/>
          <w:sz w:val="24"/>
          <w:szCs w:val="24"/>
          <w:rtl/>
        </w:rPr>
        <w:t>، بعدها تتجمع ايضا في شط الحضنة</w:t>
      </w:r>
      <w:r w:rsidRPr="000B467A">
        <w:rPr>
          <w:rFonts w:ascii="Simplified Arabic" w:hAnsi="Simplified Arabic" w:cs="Simplified Arabic"/>
          <w:sz w:val="24"/>
          <w:szCs w:val="24"/>
          <w:rtl/>
        </w:rPr>
        <w:t>.</w:t>
      </w:r>
      <w:r w:rsidRPr="000B467A">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للإشارة ان الطبقات السفلية للوادين عبارة عن تشكيلات غير نفوذة، نتيجة الترسبات الجيولوجية التي حدثت اثناء سلسلة من العصور الجيولوجية.</w:t>
      </w:r>
    </w:p>
    <w:p w:rsidR="000635D8" w:rsidRDefault="000635D8" w:rsidP="002A100D">
      <w:pPr>
        <w:pStyle w:val="carte"/>
        <w:spacing w:after="0"/>
        <w:rPr>
          <w:rtl/>
        </w:rPr>
      </w:pPr>
      <w:bookmarkStart w:id="509" w:name="_Toc157616592"/>
      <w:bookmarkStart w:id="510" w:name="_Toc171803579"/>
      <w:r w:rsidRPr="004A4454">
        <w:rPr>
          <w:rFonts w:hint="cs"/>
          <w:rtl/>
        </w:rPr>
        <w:t xml:space="preserve">الخريطة </w:t>
      </w:r>
      <w:r w:rsidR="00BA11BE" w:rsidRPr="0063639A">
        <w:rPr>
          <w:rFonts w:hint="cs"/>
          <w:rtl/>
        </w:rPr>
        <w:t>(</w:t>
      </w:r>
      <w:r w:rsidR="00BA11BE">
        <w:rPr>
          <w:rFonts w:hint="cs"/>
          <w:rtl/>
        </w:rPr>
        <w:t>4-5</w:t>
      </w:r>
      <w:r w:rsidR="00BA11BE" w:rsidRPr="0063639A">
        <w:rPr>
          <w:rFonts w:hint="cs"/>
          <w:rtl/>
        </w:rPr>
        <w:t>)</w:t>
      </w:r>
      <w:r w:rsidRPr="004A4454">
        <w:rPr>
          <w:rtl/>
        </w:rPr>
        <w:t>:</w:t>
      </w:r>
      <w:r w:rsidRPr="004A4454">
        <w:rPr>
          <w:rFonts w:hint="cs"/>
          <w:rtl/>
        </w:rPr>
        <w:t xml:space="preserve"> الشبكة الهيدروغرافية </w:t>
      </w:r>
      <w:r w:rsidR="004A4454">
        <w:rPr>
          <w:rFonts w:hint="cs"/>
          <w:rtl/>
        </w:rPr>
        <w:t>التي تمر عبر النسيج الحضري لمدينة</w:t>
      </w:r>
      <w:r w:rsidRPr="004A4454">
        <w:rPr>
          <w:rFonts w:hint="cs"/>
          <w:rtl/>
        </w:rPr>
        <w:t xml:space="preserve"> بوسعادة</w:t>
      </w:r>
      <w:bookmarkEnd w:id="509"/>
      <w:bookmarkEnd w:id="510"/>
    </w:p>
    <w:p w:rsidR="002A100D" w:rsidRPr="002A100D" w:rsidRDefault="002A100D" w:rsidP="002A100D">
      <w:pPr>
        <w:pStyle w:val="fegure"/>
        <w:rPr>
          <w:sz w:val="8"/>
          <w:szCs w:val="24"/>
          <w:rtl/>
          <w:lang w:val="en-US"/>
        </w:rPr>
      </w:pPr>
      <w:bookmarkStart w:id="511" w:name="_Toc171803580"/>
      <w:r>
        <w:rPr>
          <w:rFonts w:hint="cs"/>
          <w:sz w:val="8"/>
          <w:szCs w:val="24"/>
          <w:rtl/>
          <w:lang w:val="en-US"/>
        </w:rPr>
        <w:t>المصدر: (الباحث، 2022)</w:t>
      </w:r>
      <w:bookmarkEnd w:id="511"/>
    </w:p>
    <w:p w:rsidR="004A4454" w:rsidRDefault="004A4454" w:rsidP="00E050E2">
      <w:pPr>
        <w:tabs>
          <w:tab w:val="right" w:pos="281"/>
        </w:tabs>
        <w:bidi/>
        <w:jc w:val="center"/>
        <w:rPr>
          <w:rFonts w:ascii="Simplified Arabic" w:hAnsi="Simplified Arabic" w:cs="Simplified Arabic"/>
          <w:sz w:val="24"/>
          <w:szCs w:val="24"/>
          <w:rtl/>
        </w:rPr>
      </w:pPr>
      <w:r>
        <w:rPr>
          <w:rFonts w:ascii="Simplified Arabic" w:hAnsi="Simplified Arabic" w:cs="Simplified Arabic"/>
          <w:noProof/>
          <w:sz w:val="24"/>
          <w:szCs w:val="24"/>
          <w:rtl/>
          <w:lang w:eastAsia="fr-FR"/>
        </w:rPr>
        <w:drawing>
          <wp:inline distT="0" distB="0" distL="0" distR="0" wp14:anchorId="6C38A480" wp14:editId="540BBF2E">
            <wp:extent cx="5576118" cy="3867150"/>
            <wp:effectExtent l="19050" t="19050" r="24765" b="19050"/>
            <wp:docPr id="113" name="Image 113" descr="C:\Users\NTC\Desktop\cumule\hydrograph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TC\Desktop\cumule\hydrographie.JPG"/>
                    <pic:cNvPicPr>
                      <a:picLocks noChangeAspect="1" noChangeArrowheads="1"/>
                    </pic:cNvPicPr>
                  </pic:nvPicPr>
                  <pic:blipFill rotWithShape="1">
                    <a:blip r:embed="rId186">
                      <a:extLst>
                        <a:ext uri="{28A0092B-C50C-407E-A947-70E740481C1C}">
                          <a14:useLocalDpi xmlns:a14="http://schemas.microsoft.com/office/drawing/2010/main" val="0"/>
                        </a:ext>
                      </a:extLst>
                    </a:blip>
                    <a:srcRect l="-1802" t="-2681" r="-1082" b="-3485"/>
                    <a:stretch/>
                  </pic:blipFill>
                  <pic:spPr bwMode="auto">
                    <a:xfrm>
                      <a:off x="0" y="0"/>
                      <a:ext cx="5577922" cy="386840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635D8" w:rsidRPr="00D32AC3" w:rsidRDefault="000635D8" w:rsidP="001D0548">
      <w:pPr>
        <w:pStyle w:val="Paragraphedeliste"/>
        <w:numPr>
          <w:ilvl w:val="1"/>
          <w:numId w:val="251"/>
        </w:numPr>
        <w:tabs>
          <w:tab w:val="right" w:pos="567"/>
        </w:tabs>
        <w:bidi/>
        <w:spacing w:before="240" w:after="0"/>
        <w:ind w:left="0" w:firstLine="0"/>
        <w:jc w:val="both"/>
        <w:outlineLvl w:val="0"/>
        <w:rPr>
          <w:rFonts w:ascii="Simplified Arabic" w:hAnsi="Simplified Arabic" w:cs="Simplified Arabic"/>
          <w:b/>
          <w:bCs/>
          <w:sz w:val="24"/>
          <w:szCs w:val="24"/>
          <w:rtl/>
          <w:lang w:val="en-US" w:bidi="ar-DZ"/>
        </w:rPr>
      </w:pPr>
      <w:bookmarkStart w:id="512" w:name="_Toc171803581"/>
      <w:r w:rsidRPr="00D32AC3">
        <w:rPr>
          <w:rFonts w:ascii="Simplified Arabic" w:hAnsi="Simplified Arabic" w:cs="Simplified Arabic" w:hint="cs"/>
          <w:b/>
          <w:bCs/>
          <w:sz w:val="24"/>
          <w:szCs w:val="24"/>
          <w:rtl/>
          <w:lang w:val="en-US" w:bidi="ar-DZ"/>
        </w:rPr>
        <w:t>الخصائص المناخية</w:t>
      </w:r>
      <w:bookmarkEnd w:id="512"/>
    </w:p>
    <w:p w:rsidR="000635D8" w:rsidRPr="0048100C" w:rsidRDefault="000635D8" w:rsidP="0017364D">
      <w:pPr>
        <w:bidi/>
        <w:spacing w:after="0"/>
        <w:ind w:firstLine="283"/>
        <w:jc w:val="both"/>
        <w:rPr>
          <w:rFonts w:ascii="Simplified Arabic" w:hAnsi="Simplified Arabic" w:cs="Simplified Arabic"/>
          <w:sz w:val="24"/>
          <w:szCs w:val="24"/>
        </w:rPr>
      </w:pPr>
      <w:r w:rsidRPr="00173D34">
        <w:rPr>
          <w:rFonts w:ascii="Simplified Arabic" w:hAnsi="Simplified Arabic" w:cs="Simplified Arabic"/>
          <w:sz w:val="24"/>
          <w:szCs w:val="24"/>
          <w:rtl/>
        </w:rPr>
        <w:t>تتعرض مدينة بو</w:t>
      </w:r>
      <w:r w:rsidRPr="00173D34">
        <w:rPr>
          <w:rFonts w:ascii="Simplified Arabic" w:hAnsi="Simplified Arabic" w:cs="Simplified Arabic" w:hint="cs"/>
          <w:sz w:val="24"/>
          <w:szCs w:val="24"/>
          <w:rtl/>
        </w:rPr>
        <w:t>س</w:t>
      </w:r>
      <w:r w:rsidRPr="00173D34">
        <w:rPr>
          <w:rFonts w:ascii="Simplified Arabic" w:hAnsi="Simplified Arabic" w:cs="Simplified Arabic"/>
          <w:sz w:val="24"/>
          <w:szCs w:val="24"/>
          <w:rtl/>
        </w:rPr>
        <w:t>ع</w:t>
      </w:r>
      <w:r w:rsidRPr="00173D34">
        <w:rPr>
          <w:rFonts w:ascii="Simplified Arabic" w:hAnsi="Simplified Arabic" w:cs="Simplified Arabic" w:hint="cs"/>
          <w:sz w:val="24"/>
          <w:szCs w:val="24"/>
          <w:rtl/>
        </w:rPr>
        <w:t>ا</w:t>
      </w:r>
      <w:r w:rsidRPr="00173D34">
        <w:rPr>
          <w:rFonts w:ascii="Simplified Arabic" w:hAnsi="Simplified Arabic" w:cs="Simplified Arabic"/>
          <w:sz w:val="24"/>
          <w:szCs w:val="24"/>
          <w:rtl/>
        </w:rPr>
        <w:t xml:space="preserve">دة الواقعة في منطقة شبه </w:t>
      </w:r>
      <w:r w:rsidRPr="00173D34">
        <w:rPr>
          <w:rFonts w:ascii="Simplified Arabic" w:hAnsi="Simplified Arabic" w:cs="Simplified Arabic" w:hint="cs"/>
          <w:sz w:val="24"/>
          <w:szCs w:val="24"/>
          <w:rtl/>
        </w:rPr>
        <w:t>جافة</w:t>
      </w:r>
      <w:r w:rsidRPr="00173D34">
        <w:rPr>
          <w:rFonts w:ascii="Simplified Arabic" w:hAnsi="Simplified Arabic" w:cs="Simplified Arabic"/>
          <w:sz w:val="24"/>
          <w:szCs w:val="24"/>
          <w:rtl/>
        </w:rPr>
        <w:t xml:space="preserve"> لآثار جفاف المناخ الصحراوي والاضطرابات المناخية التي تؤثر على حوض البحر الأبيض المتوسط. موقعها في ممر جبلي يسمح لها بالاستفادة من اضطرابات هطول الأمطار</w:t>
      </w:r>
      <w:r w:rsidRPr="00173D34">
        <w:rPr>
          <w:rFonts w:ascii="Simplified Arabic" w:hAnsi="Simplified Arabic" w:cs="Simplified Arabic" w:hint="cs"/>
          <w:sz w:val="24"/>
          <w:szCs w:val="24"/>
          <w:rtl/>
        </w:rPr>
        <w:t xml:space="preserve"> </w:t>
      </w:r>
      <w:r w:rsidRPr="00173D34">
        <w:rPr>
          <w:rFonts w:ascii="Simplified Arabic" w:hAnsi="Simplified Arabic" w:cs="Simplified Arabic"/>
          <w:sz w:val="24"/>
          <w:szCs w:val="24"/>
          <w:rtl/>
        </w:rPr>
        <w:t xml:space="preserve">المصحوبة برياح جافة وباردة من الغرب والشمال الغربي </w:t>
      </w:r>
      <w:r w:rsidRPr="00173D34">
        <w:rPr>
          <w:rFonts w:asciiTheme="majorBidi" w:hAnsiTheme="majorBidi" w:cstheme="majorBidi"/>
          <w:sz w:val="24"/>
          <w:szCs w:val="24"/>
          <w:rtl/>
        </w:rPr>
        <w:t>(</w:t>
      </w:r>
      <w:r w:rsidRPr="00173D34">
        <w:rPr>
          <w:rFonts w:asciiTheme="majorBidi" w:hAnsiTheme="majorBidi" w:cstheme="majorBidi"/>
          <w:sz w:val="24"/>
          <w:szCs w:val="24"/>
        </w:rPr>
        <w:t>U</w:t>
      </w:r>
      <w:r w:rsidR="00B43930" w:rsidRPr="00173D34">
        <w:rPr>
          <w:rFonts w:asciiTheme="majorBidi" w:hAnsiTheme="majorBidi" w:cstheme="majorBidi"/>
          <w:sz w:val="24"/>
          <w:szCs w:val="24"/>
        </w:rPr>
        <w:t>.</w:t>
      </w:r>
      <w:r w:rsidRPr="00173D34">
        <w:rPr>
          <w:rFonts w:asciiTheme="majorBidi" w:hAnsiTheme="majorBidi" w:cstheme="majorBidi"/>
          <w:sz w:val="24"/>
          <w:szCs w:val="24"/>
        </w:rPr>
        <w:t>R</w:t>
      </w:r>
      <w:r w:rsidR="00B43930" w:rsidRPr="00173D34">
        <w:rPr>
          <w:rFonts w:asciiTheme="majorBidi" w:hAnsiTheme="majorBidi" w:cstheme="majorBidi"/>
          <w:sz w:val="24"/>
          <w:szCs w:val="24"/>
        </w:rPr>
        <w:t>.</w:t>
      </w:r>
      <w:r w:rsidRPr="00173D34">
        <w:rPr>
          <w:rFonts w:asciiTheme="majorBidi" w:hAnsiTheme="majorBidi" w:cstheme="majorBidi"/>
          <w:sz w:val="24"/>
          <w:szCs w:val="24"/>
        </w:rPr>
        <w:t>B</w:t>
      </w:r>
      <w:r w:rsidR="00B43930" w:rsidRPr="00173D34">
        <w:rPr>
          <w:rFonts w:asciiTheme="majorBidi" w:hAnsiTheme="majorBidi" w:cstheme="majorBidi"/>
          <w:sz w:val="24"/>
          <w:szCs w:val="24"/>
        </w:rPr>
        <w:t>.</w:t>
      </w:r>
      <w:r w:rsidRPr="00173D34">
        <w:rPr>
          <w:rFonts w:asciiTheme="majorBidi" w:hAnsiTheme="majorBidi" w:cstheme="majorBidi"/>
          <w:sz w:val="24"/>
          <w:szCs w:val="24"/>
        </w:rPr>
        <w:t>A</w:t>
      </w:r>
      <w:r w:rsidR="00B43930" w:rsidRPr="00173D34">
        <w:rPr>
          <w:rFonts w:asciiTheme="majorBidi" w:hAnsiTheme="majorBidi" w:cstheme="majorBidi"/>
          <w:sz w:val="24"/>
          <w:szCs w:val="24"/>
        </w:rPr>
        <w:t xml:space="preserve">, </w:t>
      </w:r>
      <w:r w:rsidR="0017364D" w:rsidRPr="00173D34">
        <w:rPr>
          <w:rFonts w:asciiTheme="majorBidi" w:hAnsiTheme="majorBidi" w:cstheme="majorBidi"/>
          <w:sz w:val="24"/>
          <w:szCs w:val="24"/>
        </w:rPr>
        <w:t>2007</w:t>
      </w:r>
      <w:r w:rsidRPr="00173D34">
        <w:rPr>
          <w:rFonts w:asciiTheme="majorBidi" w:hAnsiTheme="majorBidi" w:cstheme="majorBidi"/>
          <w:sz w:val="24"/>
          <w:szCs w:val="24"/>
          <w:rtl/>
        </w:rPr>
        <w:t>)</w:t>
      </w:r>
      <w:r w:rsidRPr="00173D34">
        <w:rPr>
          <w:rFonts w:asciiTheme="majorBidi" w:hAnsiTheme="majorBidi" w:cstheme="majorBidi" w:hint="cs"/>
          <w:sz w:val="24"/>
          <w:szCs w:val="24"/>
          <w:rtl/>
        </w:rPr>
        <w:t xml:space="preserve">. </w:t>
      </w:r>
      <w:r w:rsidRPr="00173D34">
        <w:rPr>
          <w:rFonts w:asciiTheme="majorBidi" w:hAnsiTheme="majorBidi" w:cs="Times New Roman" w:hint="cs"/>
          <w:sz w:val="24"/>
          <w:szCs w:val="24"/>
          <w:rtl/>
        </w:rPr>
        <w:t>يشير</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تحليل</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العناصر</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المناخية</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إلى</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ان خصائص المناخ</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شبه</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جاف يساعد على</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إحداث أنواع</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مختلفة</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من</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المخاطر التي تولدها العمليات</w:t>
      </w:r>
      <w:r w:rsidRPr="00173D34">
        <w:rPr>
          <w:rFonts w:asciiTheme="majorBidi" w:hAnsiTheme="majorBidi" w:cs="Times New Roman"/>
          <w:sz w:val="24"/>
          <w:szCs w:val="24"/>
          <w:rtl/>
        </w:rPr>
        <w:t xml:space="preserve"> </w:t>
      </w:r>
      <w:r w:rsidRPr="00173D34">
        <w:rPr>
          <w:rFonts w:asciiTheme="majorBidi" w:hAnsiTheme="majorBidi" w:cs="Times New Roman" w:hint="cs"/>
          <w:sz w:val="24"/>
          <w:szCs w:val="24"/>
          <w:rtl/>
        </w:rPr>
        <w:t>المناخية-الجيومورفولوجية</w:t>
      </w:r>
      <w:r w:rsidRPr="00173D34">
        <w:rPr>
          <w:rFonts w:asciiTheme="majorBidi" w:hAnsiTheme="majorBidi" w:cs="Times New Roman"/>
          <w:sz w:val="24"/>
          <w:szCs w:val="24"/>
          <w:rtl/>
        </w:rPr>
        <w:t xml:space="preserve"> </w:t>
      </w:r>
      <w:r w:rsidRPr="00173D34">
        <w:rPr>
          <w:rFonts w:asciiTheme="majorBidi" w:hAnsiTheme="majorBidi" w:cstheme="majorBidi"/>
          <w:sz w:val="24"/>
          <w:szCs w:val="24"/>
        </w:rPr>
        <w:t>(</w:t>
      </w:r>
      <w:r w:rsidRPr="00173D34">
        <w:rPr>
          <w:rFonts w:asciiTheme="majorBidi" w:hAnsiTheme="majorBidi" w:cstheme="majorBidi"/>
          <w:sz w:val="24"/>
          <w:szCs w:val="24"/>
          <w:lang w:val="en-US"/>
        </w:rPr>
        <w:t>Grecu</w:t>
      </w:r>
      <w:r w:rsidRPr="00173D34">
        <w:rPr>
          <w:rFonts w:asciiTheme="majorBidi" w:hAnsiTheme="majorBidi" w:cstheme="majorBidi"/>
          <w:sz w:val="24"/>
          <w:szCs w:val="24"/>
        </w:rPr>
        <w:t xml:space="preserve"> et al., 2012 a)</w:t>
      </w:r>
      <w:r w:rsidRPr="00173D34">
        <w:rPr>
          <w:rFonts w:asciiTheme="majorBidi" w:hAnsiTheme="majorBidi" w:cs="Times New Roman"/>
          <w:sz w:val="24"/>
          <w:szCs w:val="24"/>
          <w:rtl/>
        </w:rPr>
        <w:t>.</w:t>
      </w:r>
    </w:p>
    <w:p w:rsidR="000635D8" w:rsidRPr="00E050E2" w:rsidRDefault="000635D8" w:rsidP="001D0548">
      <w:pPr>
        <w:pStyle w:val="Paragraphedeliste"/>
        <w:numPr>
          <w:ilvl w:val="2"/>
          <w:numId w:val="222"/>
        </w:numPr>
        <w:tabs>
          <w:tab w:val="right" w:pos="850"/>
        </w:tabs>
        <w:bidi/>
        <w:spacing w:before="240" w:after="0"/>
        <w:ind w:left="0" w:firstLine="0"/>
        <w:jc w:val="both"/>
        <w:outlineLvl w:val="1"/>
        <w:rPr>
          <w:rFonts w:ascii="Simplified Arabic" w:hAnsi="Simplified Arabic" w:cs="Simplified Arabic"/>
          <w:b/>
          <w:bCs/>
          <w:sz w:val="24"/>
          <w:szCs w:val="24"/>
          <w:lang w:val="en-US" w:bidi="ar-DZ"/>
        </w:rPr>
      </w:pPr>
      <w:bookmarkStart w:id="513" w:name="_Toc171803582"/>
      <w:r w:rsidRPr="00E050E2">
        <w:rPr>
          <w:rFonts w:ascii="Simplified Arabic" w:hAnsi="Simplified Arabic" w:cs="Simplified Arabic"/>
          <w:b/>
          <w:bCs/>
          <w:sz w:val="24"/>
          <w:szCs w:val="24"/>
          <w:rtl/>
          <w:lang w:val="en-US" w:bidi="ar-DZ"/>
        </w:rPr>
        <w:lastRenderedPageBreak/>
        <w:t>الرياح</w:t>
      </w:r>
      <w:bookmarkEnd w:id="513"/>
    </w:p>
    <w:p w:rsidR="000635D8" w:rsidRDefault="000635D8" w:rsidP="000635D8">
      <w:pPr>
        <w:bidi/>
        <w:spacing w:after="0"/>
        <w:ind w:firstLine="283"/>
        <w:jc w:val="both"/>
        <w:rPr>
          <w:rFonts w:ascii="Simplified Arabic" w:hAnsi="Simplified Arabic" w:cs="Simplified Arabic"/>
          <w:sz w:val="24"/>
          <w:szCs w:val="24"/>
          <w:rtl/>
        </w:rPr>
      </w:pPr>
      <w:r w:rsidRPr="0048100C">
        <w:rPr>
          <w:rFonts w:ascii="Simplified Arabic" w:hAnsi="Simplified Arabic" w:cs="Simplified Arabic"/>
          <w:sz w:val="24"/>
          <w:szCs w:val="24"/>
          <w:rtl/>
        </w:rPr>
        <w:t xml:space="preserve">في </w:t>
      </w:r>
      <w:r>
        <w:rPr>
          <w:rFonts w:ascii="Simplified Arabic" w:hAnsi="Simplified Arabic" w:cs="Simplified Arabic" w:hint="cs"/>
          <w:sz w:val="24"/>
          <w:szCs w:val="24"/>
          <w:rtl/>
        </w:rPr>
        <w:t xml:space="preserve">فصل </w:t>
      </w:r>
      <w:r w:rsidRPr="0048100C">
        <w:rPr>
          <w:rFonts w:ascii="Simplified Arabic" w:hAnsi="Simplified Arabic" w:cs="Simplified Arabic"/>
          <w:sz w:val="24"/>
          <w:szCs w:val="24"/>
          <w:rtl/>
        </w:rPr>
        <w:t>الصيف</w:t>
      </w:r>
      <w:r>
        <w:rPr>
          <w:rFonts w:ascii="Simplified Arabic" w:hAnsi="Simplified Arabic" w:cs="Simplified Arabic" w:hint="cs"/>
          <w:sz w:val="24"/>
          <w:szCs w:val="24"/>
          <w:rtl/>
        </w:rPr>
        <w:t>،</w:t>
      </w:r>
      <w:r w:rsidRPr="0048100C">
        <w:rPr>
          <w:rFonts w:ascii="Simplified Arabic" w:hAnsi="Simplified Arabic" w:cs="Simplified Arabic"/>
          <w:sz w:val="24"/>
          <w:szCs w:val="24"/>
          <w:rtl/>
        </w:rPr>
        <w:t xml:space="preserve"> </w:t>
      </w:r>
      <w:r>
        <w:rPr>
          <w:rFonts w:ascii="Simplified Arabic" w:hAnsi="Simplified Arabic" w:cs="Simplified Arabic" w:hint="cs"/>
          <w:sz w:val="24"/>
          <w:szCs w:val="24"/>
          <w:rtl/>
        </w:rPr>
        <w:t>ت</w:t>
      </w:r>
      <w:r w:rsidRPr="0048100C">
        <w:rPr>
          <w:rFonts w:ascii="Simplified Arabic" w:hAnsi="Simplified Arabic" w:cs="Simplified Arabic"/>
          <w:sz w:val="24"/>
          <w:szCs w:val="24"/>
          <w:rtl/>
        </w:rPr>
        <w:t>كون</w:t>
      </w:r>
      <w:r>
        <w:rPr>
          <w:rFonts w:ascii="Simplified Arabic" w:hAnsi="Simplified Arabic" w:cs="Simplified Arabic" w:hint="cs"/>
          <w:sz w:val="24"/>
          <w:szCs w:val="24"/>
          <w:rtl/>
        </w:rPr>
        <w:t xml:space="preserve"> المنطقة</w:t>
      </w:r>
      <w:r w:rsidRPr="0048100C">
        <w:rPr>
          <w:rFonts w:ascii="Simplified Arabic" w:hAnsi="Simplified Arabic" w:cs="Simplified Arabic"/>
          <w:sz w:val="24"/>
          <w:szCs w:val="24"/>
          <w:rtl/>
        </w:rPr>
        <w:t xml:space="preserve"> تحت تأثير الرياح الجافة والحارة من الجنوب. أكثرها </w:t>
      </w:r>
      <w:r>
        <w:rPr>
          <w:rFonts w:ascii="Simplified Arabic" w:hAnsi="Simplified Arabic" w:cs="Simplified Arabic" w:hint="cs"/>
          <w:sz w:val="24"/>
          <w:szCs w:val="24"/>
          <w:rtl/>
        </w:rPr>
        <w:t>قساوة</w:t>
      </w:r>
      <w:r w:rsidRPr="0048100C">
        <w:rPr>
          <w:rFonts w:ascii="Simplified Arabic" w:hAnsi="Simplified Arabic" w:cs="Simplified Arabic"/>
          <w:sz w:val="24"/>
          <w:szCs w:val="24"/>
          <w:rtl/>
        </w:rPr>
        <w:t xml:space="preserve"> هي الرياح الجنوبية</w:t>
      </w:r>
      <w:r>
        <w:rPr>
          <w:rFonts w:ascii="Simplified Arabic" w:hAnsi="Simplified Arabic" w:cs="Simplified Arabic" w:hint="cs"/>
          <w:sz w:val="24"/>
          <w:szCs w:val="24"/>
          <w:rtl/>
        </w:rPr>
        <w:t xml:space="preserve"> </w:t>
      </w:r>
      <w:r w:rsidRPr="0048100C">
        <w:rPr>
          <w:rFonts w:ascii="Simplified Arabic" w:hAnsi="Simplified Arabic" w:cs="Simplified Arabic"/>
          <w:sz w:val="24"/>
          <w:szCs w:val="24"/>
          <w:rtl/>
        </w:rPr>
        <w:t xml:space="preserve">الغربية، تجفف الهواء والغطاء النباتي. </w:t>
      </w:r>
    </w:p>
    <w:p w:rsidR="00C97AE9" w:rsidRDefault="000635D8" w:rsidP="00C97AE9">
      <w:pPr>
        <w:bidi/>
        <w:spacing w:after="0"/>
        <w:ind w:firstLine="283"/>
        <w:rPr>
          <w:rFonts w:ascii="Simplified Arabic" w:hAnsi="Simplified Arabic" w:cs="Simplified Arabic"/>
          <w:sz w:val="24"/>
          <w:szCs w:val="24"/>
          <w:rtl/>
        </w:rPr>
      </w:pPr>
      <w:r w:rsidRPr="0048100C">
        <w:rPr>
          <w:rFonts w:ascii="Simplified Arabic" w:hAnsi="Simplified Arabic" w:cs="Simplified Arabic"/>
          <w:sz w:val="24"/>
          <w:szCs w:val="24"/>
          <w:rtl/>
        </w:rPr>
        <w:t xml:space="preserve">تخضع منطقة </w:t>
      </w:r>
      <w:r>
        <w:rPr>
          <w:rFonts w:ascii="Simplified Arabic" w:hAnsi="Simplified Arabic" w:cs="Simplified Arabic" w:hint="cs"/>
          <w:sz w:val="24"/>
          <w:szCs w:val="24"/>
          <w:rtl/>
        </w:rPr>
        <w:t>بوسعادة</w:t>
      </w:r>
      <w:r w:rsidRPr="0048100C">
        <w:rPr>
          <w:rFonts w:ascii="Simplified Arabic" w:hAnsi="Simplified Arabic" w:cs="Simplified Arabic"/>
          <w:sz w:val="24"/>
          <w:szCs w:val="24"/>
          <w:rtl/>
        </w:rPr>
        <w:t xml:space="preserve"> عمومًا لتأثير </w:t>
      </w:r>
      <w:r>
        <w:rPr>
          <w:rFonts w:ascii="Simplified Arabic" w:hAnsi="Simplified Arabic" w:cs="Simplified Arabic" w:hint="cs"/>
          <w:sz w:val="24"/>
          <w:szCs w:val="24"/>
          <w:rtl/>
        </w:rPr>
        <w:t>عدة اتجاهات من</w:t>
      </w:r>
      <w:r w:rsidRPr="0048100C">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48100C">
        <w:rPr>
          <w:rFonts w:ascii="Simplified Arabic" w:hAnsi="Simplified Arabic" w:cs="Simplified Arabic"/>
          <w:sz w:val="24"/>
          <w:szCs w:val="24"/>
          <w:rtl/>
        </w:rPr>
        <w:t>رياح</w:t>
      </w:r>
      <w:r>
        <w:rPr>
          <w:rFonts w:ascii="Simplified Arabic" w:hAnsi="Simplified Arabic" w:cs="Simplified Arabic" w:hint="cs"/>
          <w:sz w:val="24"/>
          <w:szCs w:val="24"/>
          <w:rtl/>
        </w:rPr>
        <w:t>،</w:t>
      </w:r>
      <w:r w:rsidRPr="0066769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الشكل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4-1</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 حسب ما يلي</w:t>
      </w:r>
      <w:r w:rsidRPr="0048100C">
        <w:rPr>
          <w:rFonts w:ascii="Simplified Arabic" w:hAnsi="Simplified Arabic" w:cs="Simplified Arabic"/>
          <w:sz w:val="24"/>
          <w:szCs w:val="24"/>
          <w:rtl/>
        </w:rPr>
        <w:t>:</w:t>
      </w:r>
    </w:p>
    <w:p w:rsidR="000635D8" w:rsidRPr="0048100C" w:rsidRDefault="000635D8" w:rsidP="00C97AE9">
      <w:pPr>
        <w:bidi/>
        <w:spacing w:after="0"/>
        <w:ind w:firstLine="283"/>
        <w:rPr>
          <w:rFonts w:ascii="Simplified Arabic" w:hAnsi="Simplified Arabic" w:cs="Simplified Arabic"/>
          <w:sz w:val="24"/>
          <w:szCs w:val="24"/>
          <w:rtl/>
        </w:rPr>
      </w:pPr>
      <w:r w:rsidRPr="0048100C">
        <w:rPr>
          <w:rFonts w:ascii="Simplified Arabic" w:hAnsi="Simplified Arabic" w:cs="Simplified Arabic"/>
          <w:sz w:val="24"/>
          <w:szCs w:val="24"/>
          <w:rtl/>
        </w:rPr>
        <w:t>-</w:t>
      </w:r>
      <w:r w:rsidRPr="00A346BD">
        <w:rPr>
          <w:rFonts w:ascii="Simplified Arabic" w:hAnsi="Simplified Arabic" w:cs="Simplified Arabic" w:hint="cs"/>
          <w:sz w:val="24"/>
          <w:szCs w:val="24"/>
          <w:rtl/>
        </w:rPr>
        <w:t xml:space="preserve"> الرياح</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الشمالية</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الغربية</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تحتل</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النسبة</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الأكبر</w:t>
      </w:r>
      <w:r w:rsidRPr="00A346BD">
        <w:rPr>
          <w:rFonts w:ascii="Simplified Arabic" w:hAnsi="Simplified Arabic" w:cs="Simplified Arabic"/>
          <w:sz w:val="24"/>
          <w:szCs w:val="24"/>
          <w:rtl/>
        </w:rPr>
        <w:t xml:space="preserve"> (25٪)</w:t>
      </w:r>
      <w:r>
        <w:rPr>
          <w:rFonts w:ascii="Simplified Arabic" w:hAnsi="Simplified Arabic" w:cs="Simplified Arabic" w:hint="cs"/>
          <w:sz w:val="24"/>
          <w:szCs w:val="24"/>
          <w:rtl/>
        </w:rPr>
        <w:t xml:space="preserve">، </w:t>
      </w:r>
      <w:r w:rsidRPr="0048100C">
        <w:rPr>
          <w:rFonts w:ascii="Simplified Arabic" w:hAnsi="Simplified Arabic" w:cs="Simplified Arabic"/>
          <w:sz w:val="24"/>
          <w:szCs w:val="24"/>
          <w:rtl/>
        </w:rPr>
        <w:t>تسمى "البحري". إنها رياح بحرية باردة ورطبة يمكن أن تجلب المطر والثلج.</w:t>
      </w:r>
    </w:p>
    <w:p w:rsidR="000635D8" w:rsidRDefault="000635D8" w:rsidP="000635D8">
      <w:pPr>
        <w:bidi/>
        <w:spacing w:after="0"/>
        <w:jc w:val="both"/>
        <w:rPr>
          <w:rFonts w:ascii="Simplified Arabic" w:hAnsi="Simplified Arabic" w:cs="Simplified Arabic"/>
          <w:sz w:val="24"/>
          <w:szCs w:val="24"/>
          <w:rtl/>
        </w:rPr>
      </w:pPr>
      <w:r w:rsidRPr="0048100C">
        <w:rPr>
          <w:rFonts w:ascii="Simplified Arabic" w:hAnsi="Simplified Arabic" w:cs="Simplified Arabic"/>
          <w:sz w:val="24"/>
          <w:szCs w:val="24"/>
          <w:rtl/>
        </w:rPr>
        <w:t>-</w:t>
      </w:r>
      <w:r w:rsidRPr="00A346BD">
        <w:rPr>
          <w:rFonts w:ascii="Simplified Arabic" w:hAnsi="Simplified Arabic" w:cs="Simplified Arabic" w:hint="cs"/>
          <w:sz w:val="24"/>
          <w:szCs w:val="24"/>
          <w:rtl/>
        </w:rPr>
        <w:t xml:space="preserve"> الرياح</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الشمالية</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تحتل</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النسبة</w:t>
      </w:r>
      <w:r w:rsidRPr="00A346BD">
        <w:rPr>
          <w:rFonts w:ascii="Simplified Arabic" w:hAnsi="Simplified Arabic" w:cs="Simplified Arabic"/>
          <w:sz w:val="24"/>
          <w:szCs w:val="24"/>
          <w:rtl/>
        </w:rPr>
        <w:t xml:space="preserve"> </w:t>
      </w:r>
      <w:r w:rsidRPr="00A346BD">
        <w:rPr>
          <w:rFonts w:ascii="Simplified Arabic" w:hAnsi="Simplified Arabic" w:cs="Simplified Arabic" w:hint="cs"/>
          <w:sz w:val="24"/>
          <w:szCs w:val="24"/>
          <w:rtl/>
        </w:rPr>
        <w:t>الأكبر</w:t>
      </w:r>
      <w:r w:rsidRPr="00A346BD">
        <w:rPr>
          <w:rFonts w:ascii="Simplified Arabic" w:hAnsi="Simplified Arabic" w:cs="Simplified Arabic"/>
          <w:sz w:val="24"/>
          <w:szCs w:val="24"/>
          <w:rtl/>
        </w:rPr>
        <w:t xml:space="preserve"> (</w:t>
      </w:r>
      <w:r>
        <w:rPr>
          <w:rFonts w:ascii="Simplified Arabic" w:hAnsi="Simplified Arabic" w:cs="Simplified Arabic" w:hint="cs"/>
          <w:sz w:val="24"/>
          <w:szCs w:val="24"/>
          <w:rtl/>
        </w:rPr>
        <w:t>23</w:t>
      </w:r>
      <w:r w:rsidRPr="00A346BD">
        <w:rPr>
          <w:rFonts w:ascii="Simplified Arabic" w:hAnsi="Simplified Arabic" w:cs="Simplified Arabic"/>
          <w:sz w:val="24"/>
          <w:szCs w:val="24"/>
          <w:rtl/>
        </w:rPr>
        <w:t>٪)</w:t>
      </w:r>
      <w:r>
        <w:rPr>
          <w:rFonts w:ascii="Simplified Arabic" w:hAnsi="Simplified Arabic" w:cs="Simplified Arabic" w:hint="cs"/>
          <w:sz w:val="24"/>
          <w:szCs w:val="24"/>
          <w:rtl/>
        </w:rPr>
        <w:t xml:space="preserve">، ادت الى </w:t>
      </w:r>
      <w:r w:rsidRPr="0066769B">
        <w:rPr>
          <w:rFonts w:ascii="Simplified Arabic" w:hAnsi="Simplified Arabic" w:cs="Simplified Arabic" w:hint="cs"/>
          <w:sz w:val="24"/>
          <w:szCs w:val="24"/>
          <w:rtl/>
        </w:rPr>
        <w:t>تراكمات</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الرمال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في</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الجزء</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الجنوبي</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من</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منخفض</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الحضنة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شمال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وشمال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غرب</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المدينة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واتجاه</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الكثبان</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الرملية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من</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الشمال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الغربي</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إلى</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الجنوب</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الشرقي</w:t>
      </w:r>
      <w:r>
        <w:rPr>
          <w:rFonts w:ascii="Simplified Arabic" w:hAnsi="Simplified Arabic" w:cs="Simplified Arabic" w:hint="cs"/>
          <w:sz w:val="24"/>
          <w:szCs w:val="24"/>
          <w:rtl/>
        </w:rPr>
        <w:t>.</w:t>
      </w:r>
    </w:p>
    <w:p w:rsidR="000635D8" w:rsidRDefault="000635D8" w:rsidP="008E533E">
      <w:pPr>
        <w:bidi/>
        <w:spacing w:after="0"/>
        <w:jc w:val="both"/>
        <w:rPr>
          <w:rFonts w:ascii="Simplified Arabic" w:hAnsi="Simplified Arabic" w:cs="Simplified Arabic"/>
          <w:sz w:val="24"/>
          <w:szCs w:val="24"/>
          <w:rtl/>
        </w:rPr>
      </w:pPr>
      <w:r w:rsidRPr="0048100C">
        <w:rPr>
          <w:rFonts w:ascii="Simplified Arabic" w:hAnsi="Simplified Arabic" w:cs="Simplified Arabic"/>
          <w:sz w:val="24"/>
          <w:szCs w:val="24"/>
          <w:rtl/>
        </w:rPr>
        <w:t>- رياح</w:t>
      </w:r>
      <w:r>
        <w:rPr>
          <w:rFonts w:ascii="Simplified Arabic" w:hAnsi="Simplified Arabic" w:cs="Simplified Arabic" w:hint="cs"/>
          <w:sz w:val="24"/>
          <w:szCs w:val="24"/>
          <w:rtl/>
        </w:rPr>
        <w:t xml:space="preserve"> </w:t>
      </w:r>
      <w:r w:rsidRPr="0066769B">
        <w:rPr>
          <w:rFonts w:ascii="Simplified Arabic" w:hAnsi="Simplified Arabic" w:cs="Simplified Arabic" w:hint="cs"/>
          <w:sz w:val="24"/>
          <w:szCs w:val="24"/>
          <w:rtl/>
        </w:rPr>
        <w:t>الكتل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الهوائية</w:t>
      </w:r>
      <w:r w:rsidRPr="0066769B">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القادمة </w:t>
      </w:r>
      <w:r w:rsidRPr="0066769B">
        <w:rPr>
          <w:rFonts w:ascii="Simplified Arabic" w:hAnsi="Simplified Arabic" w:cs="Simplified Arabic" w:hint="cs"/>
          <w:sz w:val="24"/>
          <w:szCs w:val="24"/>
          <w:rtl/>
        </w:rPr>
        <w:t>من</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الجهة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الغربية</w:t>
      </w:r>
      <w:r>
        <w:rPr>
          <w:rFonts w:ascii="Simplified Arabic" w:hAnsi="Simplified Arabic" w:cs="Simplified Arabic"/>
          <w:sz w:val="24"/>
          <w:szCs w:val="24"/>
          <w:rtl/>
        </w:rPr>
        <w:t xml:space="preserve"> (20٪)</w:t>
      </w:r>
      <w:r w:rsidRPr="0066769B">
        <w:rPr>
          <w:rFonts w:ascii="Simplified Arabic" w:hAnsi="Simplified Arabic" w:cs="Simplified Arabic" w:hint="cs"/>
          <w:sz w:val="24"/>
          <w:szCs w:val="24"/>
          <w:rtl/>
        </w:rPr>
        <w:t>،</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يتم</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توجيهها</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على</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ممر</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وادي</w:t>
      </w:r>
      <w:r w:rsidRPr="0066769B">
        <w:rPr>
          <w:rFonts w:ascii="Simplified Arabic" w:hAnsi="Simplified Arabic" w:cs="Simplified Arabic"/>
          <w:sz w:val="24"/>
          <w:szCs w:val="24"/>
          <w:rtl/>
        </w:rPr>
        <w:t xml:space="preserve"> </w:t>
      </w:r>
      <w:r>
        <w:rPr>
          <w:rFonts w:ascii="Simplified Arabic" w:hAnsi="Simplified Arabic" w:cs="Simplified Arabic" w:hint="cs"/>
          <w:sz w:val="24"/>
          <w:szCs w:val="24"/>
          <w:rtl/>
        </w:rPr>
        <w:t>م</w:t>
      </w:r>
      <w:r w:rsidRPr="0066769B">
        <w:rPr>
          <w:rFonts w:ascii="Simplified Arabic" w:hAnsi="Simplified Arabic" w:cs="Simplified Arabic" w:hint="cs"/>
          <w:sz w:val="24"/>
          <w:szCs w:val="24"/>
          <w:rtl/>
        </w:rPr>
        <w:t>يطر</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بين</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جبل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عزالدين</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وجبل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موبخ</w:t>
      </w:r>
      <w:r>
        <w:rPr>
          <w:rFonts w:ascii="Simplified Arabic" w:hAnsi="Simplified Arabic" w:cs="Simplified Arabic" w:hint="cs"/>
          <w:sz w:val="24"/>
          <w:szCs w:val="24"/>
          <w:rtl/>
        </w:rPr>
        <w:t>ي</w:t>
      </w:r>
      <w:r w:rsidRPr="0066769B">
        <w:rPr>
          <w:rFonts w:ascii="Simplified Arabic" w:hAnsi="Simplified Arabic" w:cs="Simplified Arabic" w:hint="cs"/>
          <w:sz w:val="24"/>
          <w:szCs w:val="24"/>
          <w:rtl/>
        </w:rPr>
        <w:t>رة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وتغطي</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التراكمات</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الرملية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لمنطقة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التوسع</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بالمدينة</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خصوصا</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المباني</w:t>
      </w:r>
      <w:r w:rsidRPr="0066769B">
        <w:rPr>
          <w:rFonts w:ascii="Simplified Arabic" w:hAnsi="Simplified Arabic" w:cs="Simplified Arabic"/>
          <w:sz w:val="24"/>
          <w:szCs w:val="24"/>
          <w:rtl/>
        </w:rPr>
        <w:t xml:space="preserve"> </w:t>
      </w:r>
      <w:r w:rsidR="008E533E">
        <w:rPr>
          <w:rFonts w:ascii="Simplified Arabic" w:hAnsi="Simplified Arabic" w:cs="Simplified Arabic" w:hint="cs"/>
          <w:sz w:val="24"/>
          <w:szCs w:val="24"/>
          <w:rtl/>
        </w:rPr>
        <w:t>التي اقيمت</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بشكل</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غير</w:t>
      </w:r>
      <w:r w:rsidRPr="0066769B">
        <w:rPr>
          <w:rFonts w:ascii="Simplified Arabic" w:hAnsi="Simplified Arabic" w:cs="Simplified Arabic"/>
          <w:sz w:val="24"/>
          <w:szCs w:val="24"/>
          <w:rtl/>
        </w:rPr>
        <w:t xml:space="preserve"> </w:t>
      </w:r>
      <w:r w:rsidRPr="0066769B">
        <w:rPr>
          <w:rFonts w:ascii="Simplified Arabic" w:hAnsi="Simplified Arabic" w:cs="Simplified Arabic" w:hint="cs"/>
          <w:sz w:val="24"/>
          <w:szCs w:val="24"/>
          <w:rtl/>
        </w:rPr>
        <w:t>قانوني</w:t>
      </w:r>
      <w:r w:rsidRPr="0066769B">
        <w:rPr>
          <w:rFonts w:ascii="Simplified Arabic" w:hAnsi="Simplified Arabic" w:cs="Simplified Arabic"/>
          <w:sz w:val="24"/>
          <w:szCs w:val="24"/>
          <w:rtl/>
        </w:rPr>
        <w:t>.</w:t>
      </w:r>
    </w:p>
    <w:p w:rsidR="000635D8" w:rsidRPr="00264FC1" w:rsidRDefault="000635D8" w:rsidP="00264FC1">
      <w:pPr>
        <w:pStyle w:val="fegure"/>
        <w:rPr>
          <w:sz w:val="8"/>
          <w:szCs w:val="24"/>
          <w:rtl/>
        </w:rPr>
      </w:pPr>
      <w:bookmarkStart w:id="514" w:name="_Toc157608324"/>
      <w:bookmarkStart w:id="515" w:name="_Toc171803583"/>
      <w:r w:rsidRPr="00264FC1">
        <w:rPr>
          <w:rFonts w:hint="cs"/>
          <w:sz w:val="8"/>
          <w:szCs w:val="24"/>
          <w:rtl/>
        </w:rPr>
        <w:t xml:space="preserve">الشكل </w:t>
      </w:r>
      <w:r w:rsidR="00BA11BE" w:rsidRPr="00264FC1">
        <w:rPr>
          <w:rFonts w:hint="cs"/>
          <w:sz w:val="8"/>
          <w:szCs w:val="24"/>
          <w:rtl/>
        </w:rPr>
        <w:t>(4-1)</w:t>
      </w:r>
      <w:r w:rsidRPr="00264FC1">
        <w:rPr>
          <w:sz w:val="8"/>
          <w:szCs w:val="24"/>
          <w:rtl/>
        </w:rPr>
        <w:t>:</w:t>
      </w:r>
      <w:r w:rsidRPr="00264FC1">
        <w:rPr>
          <w:rFonts w:hint="cs"/>
          <w:sz w:val="8"/>
          <w:szCs w:val="24"/>
          <w:rtl/>
        </w:rPr>
        <w:t xml:space="preserve"> اتجاهات</w:t>
      </w:r>
      <w:r w:rsidRPr="00264FC1">
        <w:rPr>
          <w:sz w:val="8"/>
          <w:szCs w:val="24"/>
          <w:rtl/>
        </w:rPr>
        <w:t xml:space="preserve"> </w:t>
      </w:r>
      <w:r w:rsidRPr="00264FC1">
        <w:rPr>
          <w:rFonts w:hint="cs"/>
          <w:sz w:val="8"/>
          <w:szCs w:val="24"/>
          <w:rtl/>
        </w:rPr>
        <w:t>الرياح</w:t>
      </w:r>
      <w:r w:rsidRPr="00264FC1">
        <w:rPr>
          <w:sz w:val="8"/>
          <w:szCs w:val="24"/>
          <w:rtl/>
        </w:rPr>
        <w:t xml:space="preserve"> </w:t>
      </w:r>
      <w:r w:rsidRPr="00264FC1">
        <w:rPr>
          <w:rFonts w:hint="cs"/>
          <w:sz w:val="8"/>
          <w:szCs w:val="24"/>
          <w:rtl/>
        </w:rPr>
        <w:t>السائدة في منطقة بوسعادة</w:t>
      </w:r>
      <w:bookmarkEnd w:id="514"/>
      <w:bookmarkEnd w:id="515"/>
    </w:p>
    <w:p w:rsidR="000635D8" w:rsidRPr="002A100D" w:rsidRDefault="000635D8" w:rsidP="00C02010">
      <w:pPr>
        <w:tabs>
          <w:tab w:val="right" w:pos="281"/>
        </w:tabs>
        <w:bidi/>
        <w:spacing w:after="0" w:line="240" w:lineRule="auto"/>
        <w:jc w:val="center"/>
        <w:rPr>
          <w:rFonts w:ascii="Simplified Arabic" w:hAnsi="Simplified Arabic" w:cs="Simplified Arabic"/>
          <w:b/>
          <w:bCs/>
          <w:sz w:val="24"/>
          <w:szCs w:val="24"/>
          <w:rtl/>
        </w:rPr>
      </w:pPr>
      <w:r w:rsidRPr="002A100D">
        <w:rPr>
          <w:rFonts w:ascii="Simplified Arabic" w:hAnsi="Simplified Arabic" w:cs="Simplified Arabic" w:hint="cs"/>
          <w:b/>
          <w:bCs/>
          <w:sz w:val="24"/>
          <w:szCs w:val="24"/>
          <w:rtl/>
        </w:rPr>
        <w:t xml:space="preserve">المصدر: </w:t>
      </w:r>
      <w:r w:rsidRPr="002A100D">
        <w:rPr>
          <w:rFonts w:asciiTheme="majorBidi" w:hAnsiTheme="majorBidi" w:cstheme="majorBidi"/>
          <w:b/>
          <w:bCs/>
          <w:sz w:val="24"/>
          <w:szCs w:val="24"/>
        </w:rPr>
        <w:t>(</w:t>
      </w:r>
      <w:r w:rsidRPr="002A100D">
        <w:rPr>
          <w:rFonts w:asciiTheme="majorBidi" w:hAnsiTheme="majorBidi" w:cstheme="majorBidi"/>
          <w:b/>
          <w:bCs/>
          <w:sz w:val="24"/>
          <w:szCs w:val="24"/>
          <w:lang w:val="en-US"/>
        </w:rPr>
        <w:t>Grecu</w:t>
      </w:r>
      <w:r w:rsidRPr="002A100D">
        <w:rPr>
          <w:rFonts w:asciiTheme="majorBidi" w:hAnsiTheme="majorBidi" w:cstheme="majorBidi"/>
          <w:b/>
          <w:bCs/>
          <w:sz w:val="24"/>
          <w:szCs w:val="24"/>
        </w:rPr>
        <w:t xml:space="preserve"> et al., 2012 a)</w:t>
      </w:r>
    </w:p>
    <w:p w:rsidR="000635D8" w:rsidRDefault="000635D8" w:rsidP="000635D8">
      <w:pPr>
        <w:bidi/>
        <w:jc w:val="center"/>
        <w:rPr>
          <w:rFonts w:cs="Arial"/>
          <w:b/>
          <w:bCs/>
          <w:sz w:val="28"/>
          <w:szCs w:val="28"/>
          <w:rtl/>
        </w:rPr>
      </w:pPr>
      <w:r>
        <w:rPr>
          <w:noProof/>
          <w:lang w:eastAsia="fr-FR"/>
        </w:rPr>
        <w:drawing>
          <wp:inline distT="0" distB="0" distL="0" distR="0" wp14:anchorId="61B22B24" wp14:editId="0B2DDF58">
            <wp:extent cx="3091704" cy="3343275"/>
            <wp:effectExtent l="19050" t="19050" r="13970" b="9525"/>
            <wp:docPr id="160" name="Imag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7"/>
                    <a:stretch>
                      <a:fillRect/>
                    </a:stretch>
                  </pic:blipFill>
                  <pic:spPr>
                    <a:xfrm>
                      <a:off x="0" y="0"/>
                      <a:ext cx="3122530" cy="3376609"/>
                    </a:xfrm>
                    <a:prstGeom prst="rect">
                      <a:avLst/>
                    </a:prstGeom>
                    <a:ln>
                      <a:solidFill>
                        <a:schemeClr val="tx1"/>
                      </a:solidFill>
                    </a:ln>
                  </pic:spPr>
                </pic:pic>
              </a:graphicData>
            </a:graphic>
          </wp:inline>
        </w:drawing>
      </w:r>
    </w:p>
    <w:p w:rsidR="000635D8" w:rsidRPr="00E050E2" w:rsidRDefault="000635D8" w:rsidP="001D0548">
      <w:pPr>
        <w:pStyle w:val="Paragraphedeliste"/>
        <w:numPr>
          <w:ilvl w:val="2"/>
          <w:numId w:val="223"/>
        </w:numPr>
        <w:tabs>
          <w:tab w:val="right" w:pos="850"/>
        </w:tabs>
        <w:bidi/>
        <w:spacing w:before="240" w:after="0"/>
        <w:ind w:left="0" w:firstLine="0"/>
        <w:jc w:val="both"/>
        <w:outlineLvl w:val="1"/>
        <w:rPr>
          <w:rFonts w:ascii="Simplified Arabic" w:hAnsi="Simplified Arabic" w:cs="Simplified Arabic"/>
          <w:b/>
          <w:bCs/>
          <w:sz w:val="24"/>
          <w:szCs w:val="24"/>
          <w:lang w:val="en-US" w:bidi="ar-DZ"/>
        </w:rPr>
      </w:pPr>
      <w:bookmarkStart w:id="516" w:name="_Toc171803584"/>
      <w:r w:rsidRPr="00E050E2">
        <w:rPr>
          <w:rFonts w:ascii="Simplified Arabic" w:hAnsi="Simplified Arabic" w:cs="Simplified Arabic" w:hint="cs"/>
          <w:b/>
          <w:bCs/>
          <w:sz w:val="24"/>
          <w:szCs w:val="24"/>
          <w:rtl/>
          <w:lang w:val="en-US" w:bidi="ar-DZ"/>
        </w:rPr>
        <w:t>التساقط</w:t>
      </w:r>
      <w:bookmarkEnd w:id="516"/>
    </w:p>
    <w:p w:rsidR="00C97AE9" w:rsidRDefault="000635D8" w:rsidP="00F654B9">
      <w:pPr>
        <w:bidi/>
        <w:spacing w:after="0"/>
        <w:ind w:firstLine="283"/>
        <w:jc w:val="both"/>
        <w:rPr>
          <w:rFonts w:ascii="Simplified Arabic" w:hAnsi="Simplified Arabic" w:cs="Simplified Arabic"/>
          <w:sz w:val="24"/>
          <w:szCs w:val="24"/>
          <w:rtl/>
        </w:rPr>
      </w:pPr>
      <w:r w:rsidRPr="00DF66D0">
        <w:rPr>
          <w:rFonts w:ascii="Simplified Arabic" w:hAnsi="Simplified Arabic" w:cs="Simplified Arabic" w:hint="cs"/>
          <w:sz w:val="24"/>
          <w:szCs w:val="24"/>
          <w:rtl/>
        </w:rPr>
        <w:t>تقع</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بوسعادة في منطقة شبه جافة، </w:t>
      </w:r>
      <w:r w:rsidRPr="00DF66D0">
        <w:rPr>
          <w:rFonts w:ascii="Simplified Arabic" w:hAnsi="Simplified Arabic" w:cs="Simplified Arabic" w:hint="cs"/>
          <w:sz w:val="24"/>
          <w:szCs w:val="24"/>
          <w:rtl/>
        </w:rPr>
        <w:t>هي</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معرضة</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بشكل</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خاص</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لاضطرابات</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المحيط</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الأطلسي</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في</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الواقع</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تهيمن</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الرياح</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الشمالية </w:t>
      </w:r>
      <w:r w:rsidRPr="00DF66D0">
        <w:rPr>
          <w:rFonts w:ascii="Simplified Arabic" w:hAnsi="Simplified Arabic" w:cs="Simplified Arabic" w:hint="cs"/>
          <w:sz w:val="24"/>
          <w:szCs w:val="24"/>
          <w:rtl/>
        </w:rPr>
        <w:t>الغربية</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و</w:t>
      </w:r>
      <w:r w:rsidRPr="00DF66D0">
        <w:rPr>
          <w:rFonts w:ascii="Simplified Arabic" w:hAnsi="Simplified Arabic" w:cs="Simplified Arabic" w:hint="cs"/>
          <w:sz w:val="24"/>
          <w:szCs w:val="24"/>
          <w:rtl/>
        </w:rPr>
        <w:t>الغربية</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في</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اكتوبر</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ونوفمبر</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ويصاحبها</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هطول</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أمطار</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غزيرة</w:t>
      </w:r>
      <w:r>
        <w:rPr>
          <w:rFonts w:ascii="Simplified Arabic" w:hAnsi="Simplified Arabic" w:cs="Simplified Arabic" w:hint="cs"/>
          <w:sz w:val="24"/>
          <w:szCs w:val="24"/>
          <w:rtl/>
        </w:rPr>
        <w:t xml:space="preserve">. </w:t>
      </w:r>
      <w:r w:rsidRPr="00127A58">
        <w:rPr>
          <w:rFonts w:ascii="Simplified Arabic" w:hAnsi="Simplified Arabic" w:cs="Simplified Arabic" w:hint="cs"/>
          <w:sz w:val="24"/>
          <w:szCs w:val="24"/>
          <w:rtl/>
        </w:rPr>
        <w:t>شهدت</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منطقة</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بو</w:t>
      </w:r>
      <w:r>
        <w:rPr>
          <w:rFonts w:ascii="Simplified Arabic" w:hAnsi="Simplified Arabic" w:cs="Simplified Arabic" w:hint="cs"/>
          <w:sz w:val="24"/>
          <w:szCs w:val="24"/>
          <w:rtl/>
        </w:rPr>
        <w:t>س</w:t>
      </w:r>
      <w:r w:rsidRPr="00127A58">
        <w:rPr>
          <w:rFonts w:ascii="Simplified Arabic" w:hAnsi="Simplified Arabic" w:cs="Simplified Arabic" w:hint="cs"/>
          <w:sz w:val="24"/>
          <w:szCs w:val="24"/>
          <w:rtl/>
        </w:rPr>
        <w:t>ع</w:t>
      </w:r>
      <w:r>
        <w:rPr>
          <w:rFonts w:ascii="Simplified Arabic" w:hAnsi="Simplified Arabic" w:cs="Simplified Arabic" w:hint="cs"/>
          <w:sz w:val="24"/>
          <w:szCs w:val="24"/>
          <w:rtl/>
        </w:rPr>
        <w:t>ا</w:t>
      </w:r>
      <w:r w:rsidRPr="00127A58">
        <w:rPr>
          <w:rFonts w:ascii="Simplified Arabic" w:hAnsi="Simplified Arabic" w:cs="Simplified Arabic" w:hint="cs"/>
          <w:sz w:val="24"/>
          <w:szCs w:val="24"/>
          <w:rtl/>
        </w:rPr>
        <w:t>دة</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هطول</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أمطار</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بمعدل</w:t>
      </w:r>
      <w:r w:rsidRPr="00127A58">
        <w:rPr>
          <w:rFonts w:ascii="Simplified Arabic" w:hAnsi="Simplified Arabic" w:cs="Simplified Arabic"/>
          <w:sz w:val="24"/>
          <w:szCs w:val="24"/>
          <w:rtl/>
        </w:rPr>
        <w:t xml:space="preserve"> 200-255 </w:t>
      </w:r>
      <w:r w:rsidRPr="00127A58">
        <w:rPr>
          <w:rFonts w:ascii="Simplified Arabic" w:hAnsi="Simplified Arabic" w:cs="Simplified Arabic" w:hint="cs"/>
          <w:sz w:val="24"/>
          <w:szCs w:val="24"/>
          <w:rtl/>
        </w:rPr>
        <w:t>ملم</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خلال</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الفترة</w:t>
      </w:r>
      <w:r w:rsidRPr="00127A58">
        <w:rPr>
          <w:rFonts w:ascii="Simplified Arabic" w:hAnsi="Simplified Arabic" w:cs="Simplified Arabic"/>
          <w:sz w:val="24"/>
          <w:szCs w:val="24"/>
          <w:rtl/>
        </w:rPr>
        <w:t xml:space="preserve"> (1934</w:t>
      </w:r>
      <w:r w:rsidRPr="00127A58">
        <w:rPr>
          <w:rFonts w:ascii="Simplified Arabic" w:hAnsi="Simplified Arabic" w:cs="Simplified Arabic" w:hint="cs"/>
          <w:sz w:val="24"/>
          <w:szCs w:val="24"/>
          <w:rtl/>
        </w:rPr>
        <w:t>،</w:t>
      </w:r>
      <w:r>
        <w:rPr>
          <w:rFonts w:ascii="Simplified Arabic" w:hAnsi="Simplified Arabic" w:cs="Simplified Arabic"/>
          <w:sz w:val="24"/>
          <w:szCs w:val="24"/>
          <w:rtl/>
        </w:rPr>
        <w:t xml:space="preserve"> 1971)</w:t>
      </w:r>
      <w:r w:rsidRPr="00127A58">
        <w:rPr>
          <w:rFonts w:ascii="Simplified Arabic" w:hAnsi="Simplified Arabic" w:cs="Simplified Arabic" w:hint="cs"/>
          <w:sz w:val="24"/>
          <w:szCs w:val="24"/>
          <w:rtl/>
        </w:rPr>
        <w:t>،</w:t>
      </w:r>
      <w:r w:rsidRPr="00127A5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بينما في الفترة (1971، 2016)، الجدول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4-1</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بين ان كمية التساقط </w:t>
      </w:r>
      <w:r w:rsidRPr="00127A58">
        <w:rPr>
          <w:rFonts w:ascii="Simplified Arabic" w:hAnsi="Simplified Arabic" w:cs="Simplified Arabic" w:hint="cs"/>
          <w:sz w:val="24"/>
          <w:szCs w:val="24"/>
          <w:rtl/>
        </w:rPr>
        <w:t>لم</w:t>
      </w:r>
      <w:r>
        <w:rPr>
          <w:rFonts w:ascii="Simplified Arabic" w:hAnsi="Simplified Arabic" w:cs="Simplified Arabic" w:hint="cs"/>
          <w:sz w:val="24"/>
          <w:szCs w:val="24"/>
          <w:rtl/>
        </w:rPr>
        <w:t xml:space="preserve"> </w:t>
      </w:r>
      <w:r w:rsidRPr="00127A58">
        <w:rPr>
          <w:rFonts w:ascii="Simplified Arabic" w:hAnsi="Simplified Arabic" w:cs="Simplified Arabic" w:hint="cs"/>
          <w:sz w:val="24"/>
          <w:szCs w:val="24"/>
          <w:rtl/>
        </w:rPr>
        <w:t>تتجاوز</w:t>
      </w:r>
      <w:r>
        <w:rPr>
          <w:rFonts w:ascii="Simplified Arabic" w:hAnsi="Simplified Arabic" w:cs="Simplified Arabic" w:hint="cs"/>
          <w:sz w:val="24"/>
          <w:szCs w:val="24"/>
          <w:rtl/>
        </w:rPr>
        <w:t xml:space="preserve"> معدل</w:t>
      </w:r>
      <w:r w:rsidRPr="00127A58">
        <w:rPr>
          <w:rFonts w:ascii="Simplified Arabic" w:hAnsi="Simplified Arabic" w:cs="Simplified Arabic"/>
          <w:sz w:val="24"/>
          <w:szCs w:val="24"/>
          <w:rtl/>
        </w:rPr>
        <w:t xml:space="preserve"> </w:t>
      </w:r>
      <w:r>
        <w:rPr>
          <w:rFonts w:ascii="Simplified Arabic" w:hAnsi="Simplified Arabic" w:cs="Simplified Arabic" w:hint="cs"/>
          <w:sz w:val="24"/>
          <w:szCs w:val="24"/>
          <w:rtl/>
        </w:rPr>
        <w:t>180</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ملم</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كانت</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بشكل</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عام</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حوالي</w:t>
      </w:r>
      <w:r>
        <w:rPr>
          <w:rFonts w:ascii="Simplified Arabic" w:hAnsi="Simplified Arabic" w:cs="Simplified Arabic"/>
          <w:sz w:val="24"/>
          <w:szCs w:val="24"/>
          <w:rtl/>
        </w:rPr>
        <w:t xml:space="preserve"> 130</w:t>
      </w:r>
      <w:r w:rsidRPr="00127A58">
        <w:rPr>
          <w:rFonts w:ascii="Simplified Arabic" w:hAnsi="Simplified Arabic" w:cs="Simplified Arabic" w:hint="cs"/>
          <w:sz w:val="24"/>
          <w:szCs w:val="24"/>
          <w:rtl/>
        </w:rPr>
        <w:t>،</w:t>
      </w:r>
      <w:r>
        <w:rPr>
          <w:rFonts w:ascii="Simplified Arabic" w:hAnsi="Simplified Arabic" w:cs="Simplified Arabic"/>
          <w:sz w:val="24"/>
          <w:szCs w:val="24"/>
          <w:rtl/>
        </w:rPr>
        <w:t xml:space="preserve"> 140</w:t>
      </w:r>
      <w:r w:rsidRPr="00127A58">
        <w:rPr>
          <w:rFonts w:ascii="Simplified Arabic" w:hAnsi="Simplified Arabic" w:cs="Simplified Arabic" w:hint="cs"/>
          <w:sz w:val="24"/>
          <w:szCs w:val="24"/>
          <w:rtl/>
        </w:rPr>
        <w:t>،</w:t>
      </w:r>
      <w:r w:rsidRPr="00127A58">
        <w:rPr>
          <w:rFonts w:ascii="Simplified Arabic" w:hAnsi="Simplified Arabic" w:cs="Simplified Arabic"/>
          <w:sz w:val="24"/>
          <w:szCs w:val="24"/>
          <w:rtl/>
        </w:rPr>
        <w:t xml:space="preserve"> 150 </w:t>
      </w:r>
      <w:r w:rsidRPr="00127A58">
        <w:rPr>
          <w:rFonts w:ascii="Simplified Arabic" w:hAnsi="Simplified Arabic" w:cs="Simplified Arabic" w:hint="cs"/>
          <w:sz w:val="24"/>
          <w:szCs w:val="24"/>
          <w:rtl/>
        </w:rPr>
        <w:t>ملم</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في</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السنة</w:t>
      </w:r>
      <w:r w:rsidRPr="00127A58">
        <w:rPr>
          <w:rFonts w:ascii="Simplified Arabic" w:hAnsi="Simplified Arabic" w:cs="Simplified Arabic"/>
          <w:sz w:val="24"/>
          <w:szCs w:val="24"/>
          <w:rtl/>
        </w:rPr>
        <w:t>)</w:t>
      </w:r>
      <w:r w:rsidRPr="00127A58">
        <w:rPr>
          <w:rFonts w:ascii="Simplified Arabic" w:hAnsi="Simplified Arabic" w:cs="Simplified Arabic" w:hint="cs"/>
          <w:sz w:val="24"/>
          <w:szCs w:val="24"/>
          <w:rtl/>
        </w:rPr>
        <w:t>،</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فهي</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نادرة</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وغير</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منتظمة</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وتمثل</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lastRenderedPageBreak/>
        <w:t>متوسط</w:t>
      </w:r>
      <w:r w:rsidRPr="00127A58">
        <w:rPr>
          <w:rFonts w:ascii="Simplified Arabic" w:hAnsi="Simplified Arabic" w:cs="Simplified Arabic"/>
          <w:sz w:val="24"/>
          <w:szCs w:val="24"/>
          <w:rtl/>
        </w:rPr>
        <w:t xml:space="preserve"> 45 </w:t>
      </w:r>
      <w:r w:rsidRPr="00127A58">
        <w:rPr>
          <w:rFonts w:ascii="Simplified Arabic" w:hAnsi="Simplified Arabic" w:cs="Simplified Arabic" w:hint="cs"/>
          <w:sz w:val="24"/>
          <w:szCs w:val="24"/>
          <w:rtl/>
        </w:rPr>
        <w:t>يومًا</w:t>
      </w:r>
      <w:r w:rsidRPr="00127A5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من التساقط </w:t>
      </w:r>
      <w:r w:rsidRPr="00127A58">
        <w:rPr>
          <w:rFonts w:ascii="Simplified Arabic" w:hAnsi="Simplified Arabic" w:cs="Simplified Arabic" w:hint="cs"/>
          <w:sz w:val="24"/>
          <w:szCs w:val="24"/>
          <w:rtl/>
        </w:rPr>
        <w:t>في</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السنة</w:t>
      </w:r>
      <w:r w:rsidRPr="00127A58">
        <w:rPr>
          <w:rFonts w:ascii="Simplified Arabic" w:hAnsi="Simplified Arabic" w:cs="Simplified Arabic"/>
          <w:sz w:val="24"/>
          <w:szCs w:val="24"/>
          <w:rtl/>
        </w:rPr>
        <w:t xml:space="preserve"> (</w:t>
      </w:r>
      <w:r>
        <w:rPr>
          <w:rFonts w:ascii="Simplified Arabic" w:hAnsi="Simplified Arabic" w:cs="Simplified Arabic" w:hint="cs"/>
          <w:sz w:val="24"/>
          <w:szCs w:val="24"/>
          <w:rtl/>
        </w:rPr>
        <w:t>بما يعادل</w:t>
      </w:r>
      <w:r w:rsidRPr="00127A58">
        <w:rPr>
          <w:rFonts w:ascii="Simplified Arabic" w:hAnsi="Simplified Arabic" w:cs="Simplified Arabic"/>
          <w:sz w:val="24"/>
          <w:szCs w:val="24"/>
          <w:rtl/>
        </w:rPr>
        <w:t xml:space="preserve"> 4 </w:t>
      </w:r>
      <w:r w:rsidRPr="00127A58">
        <w:rPr>
          <w:rFonts w:ascii="Simplified Arabic" w:hAnsi="Simplified Arabic" w:cs="Simplified Arabic" w:hint="cs"/>
          <w:sz w:val="24"/>
          <w:szCs w:val="24"/>
          <w:rtl/>
        </w:rPr>
        <w:t>أيام</w:t>
      </w:r>
      <w:r w:rsidRPr="00127A5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تساقط </w:t>
      </w:r>
      <w:r w:rsidRPr="00127A58">
        <w:rPr>
          <w:rFonts w:ascii="Simplified Arabic" w:hAnsi="Simplified Arabic" w:cs="Simplified Arabic" w:hint="cs"/>
          <w:sz w:val="24"/>
          <w:szCs w:val="24"/>
          <w:rtl/>
        </w:rPr>
        <w:t>في</w:t>
      </w:r>
      <w:r w:rsidRPr="00127A58">
        <w:rPr>
          <w:rFonts w:ascii="Simplified Arabic" w:hAnsi="Simplified Arabic" w:cs="Simplified Arabic"/>
          <w:sz w:val="24"/>
          <w:szCs w:val="24"/>
          <w:rtl/>
        </w:rPr>
        <w:t xml:space="preserve"> </w:t>
      </w:r>
      <w:r w:rsidRPr="00127A58">
        <w:rPr>
          <w:rFonts w:ascii="Simplified Arabic" w:hAnsi="Simplified Arabic" w:cs="Simplified Arabic" w:hint="cs"/>
          <w:sz w:val="24"/>
          <w:szCs w:val="24"/>
          <w:rtl/>
        </w:rPr>
        <w:t>الشهر</w:t>
      </w:r>
      <w:r w:rsidRPr="00127A58">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DF66D0">
        <w:rPr>
          <w:rFonts w:ascii="Simplified Arabic" w:hAnsi="Simplified Arabic" w:cs="Simplified Arabic" w:hint="cs"/>
          <w:sz w:val="24"/>
          <w:szCs w:val="24"/>
          <w:rtl/>
        </w:rPr>
        <w:t>تظهر</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تواريخ</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الفيضانات</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في بوسعادة </w:t>
      </w:r>
      <w:r w:rsidRPr="00DF66D0">
        <w:rPr>
          <w:rFonts w:ascii="Simplified Arabic" w:hAnsi="Simplified Arabic" w:cs="Simplified Arabic" w:hint="cs"/>
          <w:sz w:val="24"/>
          <w:szCs w:val="24"/>
          <w:rtl/>
        </w:rPr>
        <w:t>أنها</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تحدث</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بشكل</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عام</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خلال</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فصل</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الخريف</w:t>
      </w:r>
      <w:r w:rsidRPr="00DF66D0">
        <w:rPr>
          <w:rFonts w:ascii="Simplified Arabic" w:hAnsi="Simplified Arabic" w:cs="Simplified Arabic" w:hint="cs"/>
          <w:sz w:val="24"/>
          <w:szCs w:val="24"/>
          <w:rtl/>
        </w:rPr>
        <w:t>،</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بين</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اكتوبر</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و</w:t>
      </w:r>
      <w:r>
        <w:rPr>
          <w:rFonts w:ascii="Simplified Arabic" w:hAnsi="Simplified Arabic" w:cs="Simplified Arabic" w:hint="cs"/>
          <w:sz w:val="24"/>
          <w:szCs w:val="24"/>
          <w:rtl/>
        </w:rPr>
        <w:t>نوفمبر</w:t>
      </w:r>
      <w:r w:rsidRPr="00DF66D0">
        <w:rPr>
          <w:rFonts w:ascii="Simplified Arabic" w:hAnsi="Simplified Arabic" w:cs="Simplified Arabic" w:hint="cs"/>
          <w:sz w:val="24"/>
          <w:szCs w:val="24"/>
          <w:rtl/>
        </w:rPr>
        <w:t>،</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مع</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ذروتها</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في</w:t>
      </w:r>
      <w:r w:rsidRPr="00DF66D0">
        <w:rPr>
          <w:rFonts w:ascii="Simplified Arabic" w:hAnsi="Simplified Arabic" w:cs="Simplified Arabic"/>
          <w:sz w:val="24"/>
          <w:szCs w:val="24"/>
          <w:rtl/>
        </w:rPr>
        <w:t xml:space="preserve"> </w:t>
      </w:r>
      <w:r>
        <w:rPr>
          <w:rFonts w:ascii="Simplified Arabic" w:hAnsi="Simplified Arabic" w:cs="Simplified Arabic" w:hint="cs"/>
          <w:sz w:val="24"/>
          <w:szCs w:val="24"/>
          <w:rtl/>
        </w:rPr>
        <w:t>مارس</w:t>
      </w:r>
      <w:r w:rsidRPr="00DF66D0">
        <w:rPr>
          <w:rFonts w:ascii="Simplified Arabic" w:hAnsi="Simplified Arabic" w:cs="Simplified Arabic" w:hint="cs"/>
          <w:sz w:val="24"/>
          <w:szCs w:val="24"/>
          <w:rtl/>
        </w:rPr>
        <w:t>،</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وهو</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ما</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تفسر</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ظروف</w:t>
      </w:r>
      <w:r w:rsidRPr="00DF66D0">
        <w:rPr>
          <w:rFonts w:ascii="Simplified Arabic" w:hAnsi="Simplified Arabic" w:cs="Simplified Arabic"/>
          <w:sz w:val="24"/>
          <w:szCs w:val="24"/>
          <w:rtl/>
        </w:rPr>
        <w:t xml:space="preserve"> </w:t>
      </w:r>
      <w:r w:rsidRPr="00DF66D0">
        <w:rPr>
          <w:rFonts w:ascii="Simplified Arabic" w:hAnsi="Simplified Arabic" w:cs="Simplified Arabic" w:hint="cs"/>
          <w:sz w:val="24"/>
          <w:szCs w:val="24"/>
          <w:rtl/>
        </w:rPr>
        <w:t>تكوينها</w:t>
      </w:r>
      <w:r w:rsidRPr="00DF66D0">
        <w:rPr>
          <w:rFonts w:ascii="Simplified Arabic" w:hAnsi="Simplified Arabic" w:cs="Simplified Arabic"/>
          <w:sz w:val="24"/>
          <w:szCs w:val="24"/>
          <w:rtl/>
        </w:rPr>
        <w:t>.</w:t>
      </w:r>
      <w:r w:rsidRPr="00887B78">
        <w:rPr>
          <w:rFonts w:ascii="Simplified Arabic" w:hAnsi="Simplified Arabic" w:cs="Simplified Arabic" w:hint="cs"/>
          <w:sz w:val="24"/>
          <w:szCs w:val="24"/>
          <w:rtl/>
        </w:rPr>
        <w:t xml:space="preserve"> </w:t>
      </w:r>
    </w:p>
    <w:p w:rsidR="00C97AE9" w:rsidRDefault="000635D8" w:rsidP="00C97AE9">
      <w:pPr>
        <w:bidi/>
        <w:spacing w:after="0"/>
        <w:ind w:firstLine="283"/>
        <w:jc w:val="both"/>
        <w:rPr>
          <w:rFonts w:ascii="Simplified Arabic" w:hAnsi="Simplified Arabic" w:cs="Simplified Arabic"/>
          <w:sz w:val="24"/>
          <w:szCs w:val="24"/>
          <w:rtl/>
        </w:rPr>
      </w:pPr>
      <w:r w:rsidRPr="00887B78">
        <w:rPr>
          <w:rFonts w:ascii="Simplified Arabic" w:hAnsi="Simplified Arabic" w:cs="Simplified Arabic" w:hint="cs"/>
          <w:sz w:val="24"/>
          <w:szCs w:val="24"/>
          <w:rtl/>
        </w:rPr>
        <w:t>يمكن</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أن</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تؤدي</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الأمطار</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الغزيرة</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التي</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تحدث</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خلال</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فترة</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زمنية</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قصيرة</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إلى</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حدوث</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فيضانات</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مفاجئة</w:t>
      </w:r>
      <w:r w:rsidRPr="00887B78">
        <w:rPr>
          <w:rFonts w:ascii="Simplified Arabic" w:hAnsi="Simplified Arabic" w:cs="Simplified Arabic"/>
          <w:sz w:val="24"/>
          <w:szCs w:val="24"/>
          <w:rtl/>
        </w:rPr>
        <w:t xml:space="preserve"> </w:t>
      </w:r>
      <w:r w:rsidR="00B43930">
        <w:rPr>
          <w:rFonts w:ascii="Simplified Arabic" w:hAnsi="Simplified Arabic" w:cs="Simplified Arabic" w:hint="cs"/>
          <w:sz w:val="24"/>
          <w:szCs w:val="24"/>
          <w:rtl/>
        </w:rPr>
        <w:t>و</w:t>
      </w:r>
      <w:r w:rsidRPr="00887B78">
        <w:rPr>
          <w:rFonts w:ascii="Simplified Arabic" w:hAnsi="Simplified Arabic" w:cs="Simplified Arabic" w:hint="cs"/>
          <w:sz w:val="24"/>
          <w:szCs w:val="24"/>
          <w:rtl/>
        </w:rPr>
        <w:t>تدفق</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مياه</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غزيرة</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إلى</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المناطق</w:t>
      </w:r>
      <w:r w:rsidRPr="00887B78">
        <w:rPr>
          <w:rFonts w:ascii="Simplified Arabic" w:hAnsi="Simplified Arabic" w:cs="Simplified Arabic"/>
          <w:sz w:val="24"/>
          <w:szCs w:val="24"/>
          <w:rtl/>
        </w:rPr>
        <w:t xml:space="preserve"> </w:t>
      </w:r>
      <w:r w:rsidRPr="00887B78">
        <w:rPr>
          <w:rFonts w:ascii="Simplified Arabic" w:hAnsi="Simplified Arabic" w:cs="Simplified Arabic" w:hint="cs"/>
          <w:sz w:val="24"/>
          <w:szCs w:val="24"/>
          <w:rtl/>
        </w:rPr>
        <w:t>المبنية</w:t>
      </w:r>
      <w:r>
        <w:rPr>
          <w:rFonts w:ascii="Simplified Arabic" w:hAnsi="Simplified Arabic" w:cs="Simplified Arabic" w:hint="cs"/>
          <w:sz w:val="24"/>
          <w:szCs w:val="24"/>
          <w:rtl/>
        </w:rPr>
        <w:t xml:space="preserve">ـ مسببة فيضانات حضرية ناتجة عن طبوغرافية البيئة </w:t>
      </w:r>
      <w:r w:rsidR="008E533E">
        <w:rPr>
          <w:rFonts w:ascii="Simplified Arabic" w:hAnsi="Simplified Arabic" w:cs="Simplified Arabic" w:hint="cs"/>
          <w:sz w:val="24"/>
          <w:szCs w:val="24"/>
          <w:rtl/>
        </w:rPr>
        <w:t>الحضرية</w:t>
      </w:r>
      <w:r>
        <w:rPr>
          <w:rFonts w:ascii="Simplified Arabic" w:hAnsi="Simplified Arabic" w:cs="Simplified Arabic" w:hint="cs"/>
          <w:sz w:val="24"/>
          <w:szCs w:val="24"/>
          <w:rtl/>
        </w:rPr>
        <w:t xml:space="preserve"> و انخفاض نفاذية التربة.</w:t>
      </w:r>
    </w:p>
    <w:p w:rsidR="000635D8" w:rsidRDefault="000635D8" w:rsidP="00F76D99">
      <w:pPr>
        <w:pStyle w:val="Tableau"/>
        <w:rPr>
          <w:rtl/>
        </w:rPr>
      </w:pPr>
      <w:bookmarkStart w:id="517" w:name="_Toc157612983"/>
      <w:bookmarkStart w:id="518" w:name="_Toc171803585"/>
      <w:r>
        <w:rPr>
          <w:rFonts w:hint="cs"/>
          <w:rtl/>
        </w:rPr>
        <w:t xml:space="preserve">الجدول </w:t>
      </w:r>
      <w:r w:rsidR="00BA11BE" w:rsidRPr="0063639A">
        <w:rPr>
          <w:rFonts w:hint="cs"/>
          <w:rtl/>
        </w:rPr>
        <w:t>(</w:t>
      </w:r>
      <w:r w:rsidR="00BA11BE">
        <w:rPr>
          <w:rFonts w:hint="cs"/>
          <w:rtl/>
        </w:rPr>
        <w:t>4-1</w:t>
      </w:r>
      <w:r w:rsidR="00BA11BE" w:rsidRPr="0063639A">
        <w:rPr>
          <w:rFonts w:hint="cs"/>
          <w:rtl/>
        </w:rPr>
        <w:t>)</w:t>
      </w:r>
      <w:r>
        <w:rPr>
          <w:rFonts w:hint="cs"/>
          <w:rtl/>
        </w:rPr>
        <w:t>: كمية التساقط المتوسطة في الفترة (1971، 2016)</w:t>
      </w:r>
      <w:bookmarkEnd w:id="517"/>
      <w:bookmarkEnd w:id="518"/>
    </w:p>
    <w:p w:rsidR="000635D8" w:rsidRPr="002A100D" w:rsidRDefault="000635D8" w:rsidP="00C02010">
      <w:pPr>
        <w:tabs>
          <w:tab w:val="right" w:pos="281"/>
        </w:tabs>
        <w:bidi/>
        <w:spacing w:after="0"/>
        <w:jc w:val="center"/>
        <w:rPr>
          <w:rFonts w:ascii="Simplified Arabic" w:hAnsi="Simplified Arabic" w:cs="Simplified Arabic"/>
          <w:b/>
          <w:bCs/>
          <w:sz w:val="24"/>
          <w:szCs w:val="24"/>
          <w:rtl/>
        </w:rPr>
      </w:pPr>
      <w:r w:rsidRPr="002A100D">
        <w:rPr>
          <w:rFonts w:ascii="Simplified Arabic" w:hAnsi="Simplified Arabic" w:cs="Simplified Arabic" w:hint="cs"/>
          <w:b/>
          <w:bCs/>
          <w:sz w:val="24"/>
          <w:szCs w:val="24"/>
          <w:rtl/>
        </w:rPr>
        <w:t>المصدر: (</w:t>
      </w:r>
      <w:r w:rsidR="00B81242" w:rsidRPr="002A100D">
        <w:rPr>
          <w:rFonts w:ascii="Simplified Arabic" w:hAnsi="Simplified Arabic" w:cs="Simplified Arabic" w:hint="cs"/>
          <w:b/>
          <w:bCs/>
          <w:sz w:val="24"/>
          <w:szCs w:val="24"/>
          <w:rtl/>
        </w:rPr>
        <w:t>2016</w:t>
      </w:r>
      <w:r w:rsidRPr="002A100D">
        <w:rPr>
          <w:rFonts w:ascii="Simplified Arabic" w:hAnsi="Simplified Arabic" w:cs="Simplified Arabic" w:hint="cs"/>
          <w:b/>
          <w:bCs/>
          <w:sz w:val="24"/>
          <w:szCs w:val="24"/>
          <w:rtl/>
        </w:rPr>
        <w:t xml:space="preserve">، </w:t>
      </w:r>
      <w:r w:rsidR="00B81242" w:rsidRPr="002A100D">
        <w:rPr>
          <w:rFonts w:asciiTheme="majorBidi" w:hAnsiTheme="majorBidi" w:cstheme="majorBidi"/>
          <w:b/>
          <w:bCs/>
          <w:sz w:val="24"/>
          <w:szCs w:val="24"/>
        </w:rPr>
        <w:t>A.N.R.H</w:t>
      </w:r>
      <w:r w:rsidRPr="002A100D">
        <w:rPr>
          <w:rFonts w:ascii="Simplified Arabic" w:hAnsi="Simplified Arabic" w:cs="Simplified Arabic" w:hint="cs"/>
          <w:b/>
          <w:bCs/>
          <w:sz w:val="24"/>
          <w:szCs w:val="24"/>
          <w:rtl/>
        </w:rPr>
        <w:t>)</w:t>
      </w:r>
    </w:p>
    <w:tbl>
      <w:tblPr>
        <w:tblStyle w:val="Grilledutableau"/>
        <w:bidiVisual/>
        <w:tblW w:w="8471" w:type="dxa"/>
        <w:jc w:val="center"/>
        <w:tblLayout w:type="fixed"/>
        <w:tblLook w:val="04A0" w:firstRow="1" w:lastRow="0" w:firstColumn="1" w:lastColumn="0" w:noHBand="0" w:noVBand="1"/>
      </w:tblPr>
      <w:tblGrid>
        <w:gridCol w:w="1242"/>
        <w:gridCol w:w="992"/>
        <w:gridCol w:w="992"/>
        <w:gridCol w:w="992"/>
        <w:gridCol w:w="1276"/>
        <w:gridCol w:w="992"/>
        <w:gridCol w:w="993"/>
        <w:gridCol w:w="992"/>
      </w:tblGrid>
      <w:tr w:rsidR="000635D8" w:rsidRPr="00F72B27" w:rsidTr="000635D8">
        <w:trPr>
          <w:jc w:val="center"/>
        </w:trPr>
        <w:tc>
          <w:tcPr>
            <w:tcW w:w="1242"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السنوات</w:t>
            </w:r>
          </w:p>
        </w:tc>
        <w:tc>
          <w:tcPr>
            <w:tcW w:w="992"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محطة بوسعادة</w:t>
            </w:r>
          </w:p>
        </w:tc>
        <w:tc>
          <w:tcPr>
            <w:tcW w:w="992"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 xml:space="preserve">محطة عين خرمام </w:t>
            </w:r>
          </w:p>
        </w:tc>
        <w:tc>
          <w:tcPr>
            <w:tcW w:w="992"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 xml:space="preserve">محطة سيدي عامر </w:t>
            </w:r>
          </w:p>
        </w:tc>
        <w:tc>
          <w:tcPr>
            <w:tcW w:w="1276"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السنوات</w:t>
            </w:r>
          </w:p>
        </w:tc>
        <w:tc>
          <w:tcPr>
            <w:tcW w:w="992"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محطة بوسعادة</w:t>
            </w:r>
          </w:p>
        </w:tc>
        <w:tc>
          <w:tcPr>
            <w:tcW w:w="993"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 xml:space="preserve">محطة عين خرمام </w:t>
            </w:r>
          </w:p>
        </w:tc>
        <w:tc>
          <w:tcPr>
            <w:tcW w:w="992"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 xml:space="preserve">محطة سيدي عامر  </w:t>
            </w:r>
          </w:p>
        </w:tc>
      </w:tr>
      <w:tr w:rsidR="000635D8" w:rsidRPr="00273D62" w:rsidTr="000635D8">
        <w:trPr>
          <w:jc w:val="center"/>
        </w:trPr>
        <w:tc>
          <w:tcPr>
            <w:tcW w:w="1242" w:type="dxa"/>
            <w:vAlign w:val="center"/>
          </w:tcPr>
          <w:p w:rsidR="000635D8" w:rsidRPr="00F72B27" w:rsidRDefault="000635D8" w:rsidP="000635D8">
            <w:pPr>
              <w:bidi/>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rtl/>
                <w:lang w:eastAsia="fr-FR"/>
              </w:rPr>
              <w:t>1971-1970</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318,0</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324,5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301,7</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1991-1990</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215,9</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244,4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194,4</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1972-1971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183,4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225,3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203,2</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1992-1991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109,6</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96,5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172</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1973-1972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154,7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175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161</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1993-1992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145,8</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107,2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169,6</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1974-1973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122,2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146,6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87,8</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1994-1993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115,1</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141,7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237,7</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1975-1974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201,3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233,2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165</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1995-1994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294,9</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299,1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160,4</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1976-1975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263,9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276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274,3</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1996-1995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187,0</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184,6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134,9</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1977-1976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110,2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89,5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52,7</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1999-1998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174,8</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187,9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98,5</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1978-1977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113,5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122,5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135</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2000-1999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92,4</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91,3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168,3</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1979-1978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187,8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183,6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95,4</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2001-2000</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95,0</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110,3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146,8</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1980-1979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120,7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147,6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rtl/>
                <w:lang w:eastAsia="fr-FR"/>
              </w:rPr>
              <w:t>84</w:t>
            </w:r>
            <w:r w:rsidRPr="00273D62">
              <w:rPr>
                <w:rFonts w:ascii="Simplified Arabic" w:eastAsia="Times New Roman" w:hAnsi="Simplified Arabic" w:cs="Simplified Arabic"/>
                <w:sz w:val="24"/>
                <w:szCs w:val="24"/>
                <w:lang w:eastAsia="fr-FR"/>
              </w:rPr>
              <w:t>,2</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2002-2001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186,8</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172,4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243,6</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1981-1980</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158,3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189,8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138,9</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2003-2002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282,0</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327,6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294,4</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1982-1981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141,1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165,4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91,4</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2004-2003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124,6</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126,1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154,9</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1983-1982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95,9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68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56,9</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2005-2004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246,0</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255,4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260,6</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1984-1983</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142,6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159,1</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2006-2005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280,7</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299,8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253,8</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1985-1984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164,6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207,4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203</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2007-2006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138,2</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195,4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178</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1986-1985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161,8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178,4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169</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2008-2007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279,1</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295,7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306,8</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1987-1986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104,2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123,8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125,9</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2009-2008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248,6</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296,7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312,2</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1988-1987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117,4</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309,6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121,1</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2010-2009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168,1</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216,8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125,2</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1989-1988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209,7</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217,6</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168,2</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2011-2010</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189,2</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154,5</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154,5</w:t>
            </w:r>
          </w:p>
        </w:tc>
      </w:tr>
      <w:tr w:rsidR="000635D8" w:rsidRPr="00273D62" w:rsidTr="000635D8">
        <w:trPr>
          <w:jc w:val="center"/>
        </w:trPr>
        <w:tc>
          <w:tcPr>
            <w:tcW w:w="1242"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1990-1989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158,2</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160,9</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180,7</w:t>
            </w:r>
          </w:p>
        </w:tc>
        <w:tc>
          <w:tcPr>
            <w:tcW w:w="1276" w:type="dxa"/>
            <w:vAlign w:val="center"/>
          </w:tcPr>
          <w:p w:rsidR="000635D8" w:rsidRPr="00F72B27" w:rsidRDefault="000635D8" w:rsidP="000635D8">
            <w:pPr>
              <w:jc w:val="center"/>
              <w:rPr>
                <w:rFonts w:ascii="Simplified Arabic" w:eastAsia="Times New Roman" w:hAnsi="Simplified Arabic" w:cs="Simplified Arabic"/>
                <w:sz w:val="20"/>
                <w:szCs w:val="20"/>
                <w:lang w:eastAsia="fr-FR"/>
              </w:rPr>
            </w:pPr>
            <w:r w:rsidRPr="00F72B27">
              <w:rPr>
                <w:rFonts w:ascii="Simplified Arabic" w:eastAsia="Times New Roman" w:hAnsi="Simplified Arabic" w:cs="Simplified Arabic"/>
                <w:sz w:val="20"/>
                <w:szCs w:val="20"/>
                <w:lang w:eastAsia="fr-FR"/>
              </w:rPr>
              <w:t>2012-2011</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176,0</w:t>
            </w:r>
          </w:p>
        </w:tc>
        <w:tc>
          <w:tcPr>
            <w:tcW w:w="993"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188,8</w:t>
            </w:r>
          </w:p>
        </w:tc>
        <w:tc>
          <w:tcPr>
            <w:tcW w:w="992" w:type="dxa"/>
            <w:vAlign w:val="center"/>
          </w:tcPr>
          <w:p w:rsidR="000635D8" w:rsidRPr="00273D62" w:rsidRDefault="000635D8" w:rsidP="000635D8">
            <w:pPr>
              <w:jc w:val="center"/>
              <w:rPr>
                <w:rFonts w:ascii="Simplified Arabic" w:eastAsia="Times New Roman" w:hAnsi="Simplified Arabic" w:cs="Simplified Arabic"/>
                <w:sz w:val="24"/>
                <w:szCs w:val="24"/>
                <w:lang w:eastAsia="fr-FR"/>
              </w:rPr>
            </w:pPr>
            <w:r w:rsidRPr="00273D62">
              <w:rPr>
                <w:rFonts w:ascii="Simplified Arabic" w:eastAsia="Times New Roman" w:hAnsi="Simplified Arabic" w:cs="Simplified Arabic"/>
                <w:sz w:val="24"/>
                <w:szCs w:val="24"/>
                <w:lang w:eastAsia="fr-FR"/>
              </w:rPr>
              <w:t>188,8</w:t>
            </w:r>
          </w:p>
        </w:tc>
      </w:tr>
    </w:tbl>
    <w:p w:rsidR="000635D8" w:rsidRPr="003720D9" w:rsidRDefault="000635D8" w:rsidP="001D0548">
      <w:pPr>
        <w:pStyle w:val="Paragraphedeliste"/>
        <w:numPr>
          <w:ilvl w:val="1"/>
          <w:numId w:val="224"/>
        </w:numPr>
        <w:tabs>
          <w:tab w:val="right" w:pos="567"/>
        </w:tabs>
        <w:bidi/>
        <w:spacing w:before="240" w:after="0"/>
        <w:ind w:left="0" w:firstLine="0"/>
        <w:jc w:val="both"/>
        <w:outlineLvl w:val="0"/>
        <w:rPr>
          <w:rFonts w:ascii="Simplified Arabic" w:hAnsi="Simplified Arabic" w:cs="Simplified Arabic"/>
          <w:b/>
          <w:bCs/>
          <w:sz w:val="24"/>
          <w:szCs w:val="24"/>
          <w:rtl/>
          <w:lang w:val="en-US" w:bidi="ar-DZ"/>
        </w:rPr>
      </w:pPr>
      <w:bookmarkStart w:id="519" w:name="_Toc171803586"/>
      <w:r w:rsidRPr="003720D9">
        <w:rPr>
          <w:rFonts w:ascii="Simplified Arabic" w:hAnsi="Simplified Arabic" w:cs="Simplified Arabic" w:hint="cs"/>
          <w:b/>
          <w:bCs/>
          <w:sz w:val="24"/>
          <w:szCs w:val="24"/>
          <w:rtl/>
          <w:lang w:val="en-US" w:bidi="ar-DZ"/>
        </w:rPr>
        <w:t>الخصائص السكانية والسوسيو-اقتصادية و نشأة الفيضانات</w:t>
      </w:r>
      <w:bookmarkEnd w:id="519"/>
    </w:p>
    <w:p w:rsidR="00C97AE9" w:rsidRDefault="000635D8" w:rsidP="00E520B1">
      <w:pPr>
        <w:bidi/>
        <w:spacing w:after="0"/>
        <w:ind w:firstLine="283"/>
        <w:jc w:val="both"/>
        <w:rPr>
          <w:rFonts w:ascii="Simplified Arabic" w:hAnsi="Simplified Arabic" w:cs="Simplified Arabic"/>
          <w:sz w:val="24"/>
          <w:szCs w:val="24"/>
          <w:rtl/>
        </w:rPr>
      </w:pPr>
      <w:r w:rsidRPr="00932049">
        <w:rPr>
          <w:rFonts w:ascii="Simplified Arabic" w:hAnsi="Simplified Arabic" w:cs="Simplified Arabic" w:hint="cs"/>
          <w:sz w:val="24"/>
          <w:szCs w:val="24"/>
          <w:rtl/>
        </w:rPr>
        <w:t>شهدت</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مدينة</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بوسعادة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نموًا</w:t>
      </w:r>
      <w:r w:rsidRPr="00932049">
        <w:rPr>
          <w:rFonts w:ascii="Simplified Arabic" w:hAnsi="Simplified Arabic" w:cs="Simplified Arabic"/>
          <w:sz w:val="24"/>
          <w:szCs w:val="24"/>
          <w:rtl/>
        </w:rPr>
        <w:t xml:space="preserve"> </w:t>
      </w:r>
      <w:r w:rsidR="00E520B1">
        <w:rPr>
          <w:rFonts w:ascii="Simplified Arabic" w:hAnsi="Simplified Arabic" w:cs="Simplified Arabic" w:hint="cs"/>
          <w:sz w:val="24"/>
          <w:szCs w:val="24"/>
          <w:rtl/>
        </w:rPr>
        <w:t xml:space="preserve">حضريًا </w:t>
      </w:r>
      <w:r w:rsidRPr="00932049">
        <w:rPr>
          <w:rFonts w:ascii="Simplified Arabic" w:hAnsi="Simplified Arabic" w:cs="Simplified Arabic" w:hint="cs"/>
          <w:sz w:val="24"/>
          <w:szCs w:val="24"/>
          <w:rtl/>
        </w:rPr>
        <w:t>سريعًا</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في</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العقود</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الأخيرة،</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على حساب الاراضي المعرضة للفيضانات، </w:t>
      </w:r>
      <w:r w:rsidRPr="00932049">
        <w:rPr>
          <w:rFonts w:ascii="Simplified Arabic" w:hAnsi="Simplified Arabic" w:cs="Simplified Arabic" w:hint="cs"/>
          <w:sz w:val="24"/>
          <w:szCs w:val="24"/>
          <w:rtl/>
        </w:rPr>
        <w:t>مما</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أدى</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إلى</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زيادة</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درجة التعرض</w:t>
      </w:r>
      <w:r w:rsidRPr="00932049">
        <w:rPr>
          <w:rFonts w:ascii="Simplified Arabic" w:hAnsi="Simplified Arabic" w:cs="Simplified Arabic" w:hint="cs"/>
          <w:sz w:val="24"/>
          <w:szCs w:val="24"/>
          <w:rtl/>
        </w:rPr>
        <w:t>،</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قابله</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انخفاض</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مستوى</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مرونة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النظام</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الحضري</w:t>
      </w:r>
      <w:r>
        <w:rPr>
          <w:rFonts w:ascii="Simplified Arabic" w:hAnsi="Simplified Arabic" w:cs="Simplified Arabic" w:hint="cs"/>
          <w:sz w:val="24"/>
          <w:szCs w:val="24"/>
          <w:rtl/>
        </w:rPr>
        <w:t>.</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تواجه</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السلطات</w:t>
      </w:r>
      <w:r>
        <w:rPr>
          <w:rFonts w:ascii="Simplified Arabic" w:hAnsi="Simplified Arabic" w:cs="Simplified Arabic" w:hint="cs"/>
          <w:sz w:val="24"/>
          <w:szCs w:val="24"/>
          <w:rtl/>
        </w:rPr>
        <w:t xml:space="preserve"> المحلية</w:t>
      </w:r>
      <w:r w:rsidR="00E520B1">
        <w:rPr>
          <w:rFonts w:ascii="Simplified Arabic" w:hAnsi="Simplified Arabic" w:cs="Simplified Arabic" w:hint="cs"/>
          <w:sz w:val="24"/>
          <w:szCs w:val="24"/>
          <w:rtl/>
        </w:rPr>
        <w:t xml:space="preserve"> </w:t>
      </w:r>
      <w:r w:rsidR="00E520B1" w:rsidRPr="00932049">
        <w:rPr>
          <w:rFonts w:ascii="Simplified Arabic" w:hAnsi="Simplified Arabic" w:cs="Simplified Arabic" w:hint="cs"/>
          <w:sz w:val="24"/>
          <w:szCs w:val="24"/>
          <w:rtl/>
        </w:rPr>
        <w:t>تحديات</w:t>
      </w:r>
      <w:r w:rsidR="00E520B1" w:rsidRPr="00932049">
        <w:rPr>
          <w:rFonts w:ascii="Simplified Arabic" w:hAnsi="Simplified Arabic" w:cs="Simplified Arabic"/>
          <w:sz w:val="24"/>
          <w:szCs w:val="24"/>
          <w:rtl/>
        </w:rPr>
        <w:t xml:space="preserve"> </w:t>
      </w:r>
      <w:r w:rsidR="00E520B1">
        <w:rPr>
          <w:rFonts w:ascii="Simplified Arabic" w:hAnsi="Simplified Arabic" w:cs="Simplified Arabic" w:hint="cs"/>
          <w:sz w:val="24"/>
          <w:szCs w:val="24"/>
          <w:rtl/>
        </w:rPr>
        <w:t xml:space="preserve">حضرية بسبب النمو السكاني، </w:t>
      </w:r>
      <w:r>
        <w:rPr>
          <w:rFonts w:ascii="Simplified Arabic" w:hAnsi="Simplified Arabic" w:cs="Simplified Arabic" w:hint="cs"/>
          <w:sz w:val="24"/>
          <w:szCs w:val="24"/>
          <w:rtl/>
        </w:rPr>
        <w:t>وجدت نفسها</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بين</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تقديم</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جميع</w:t>
      </w:r>
      <w:r w:rsidRPr="00932049">
        <w:rPr>
          <w:rFonts w:ascii="Simplified Arabic" w:hAnsi="Simplified Arabic" w:cs="Simplified Arabic"/>
          <w:sz w:val="24"/>
          <w:szCs w:val="24"/>
          <w:rtl/>
        </w:rPr>
        <w:t xml:space="preserve"> </w:t>
      </w:r>
      <w:r>
        <w:rPr>
          <w:rFonts w:ascii="Simplified Arabic" w:hAnsi="Simplified Arabic" w:cs="Simplified Arabic" w:hint="cs"/>
          <w:color w:val="000000"/>
          <w:sz w:val="24"/>
          <w:szCs w:val="24"/>
          <w:rtl/>
        </w:rPr>
        <w:t>المرافق</w:t>
      </w:r>
      <w:r w:rsidRPr="00932049">
        <w:rPr>
          <w:rFonts w:ascii="Simplified Arabic" w:hAnsi="Simplified Arabic" w:cs="Simplified Arabic" w:hint="cs"/>
          <w:sz w:val="24"/>
          <w:szCs w:val="24"/>
          <w:rtl/>
        </w:rPr>
        <w:t xml:space="preserve"> الحضرية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من</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جهة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وتحقيق</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الحماية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والأمن</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من</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جهة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أخرى</w:t>
      </w:r>
      <w:r w:rsidRPr="00932049">
        <w:rPr>
          <w:rFonts w:ascii="Simplified Arabic" w:hAnsi="Simplified Arabic" w:cs="Simplified Arabic"/>
          <w:sz w:val="24"/>
          <w:szCs w:val="24"/>
          <w:rtl/>
        </w:rPr>
        <w:t xml:space="preserve">. </w:t>
      </w:r>
    </w:p>
    <w:p w:rsidR="000635D8" w:rsidRDefault="000635D8" w:rsidP="00E8765E">
      <w:pPr>
        <w:bidi/>
        <w:spacing w:after="0"/>
        <w:ind w:firstLine="283"/>
        <w:jc w:val="both"/>
        <w:rPr>
          <w:rtl/>
        </w:rPr>
      </w:pPr>
      <w:r w:rsidRPr="00932049">
        <w:rPr>
          <w:rFonts w:ascii="Simplified Arabic" w:hAnsi="Simplified Arabic" w:cs="Simplified Arabic" w:hint="cs"/>
          <w:sz w:val="24"/>
          <w:szCs w:val="24"/>
          <w:rtl/>
        </w:rPr>
        <w:lastRenderedPageBreak/>
        <w:t>تهدف</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دراسة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الخصائص</w:t>
      </w:r>
      <w:r>
        <w:rPr>
          <w:rFonts w:ascii="Simplified Arabic" w:hAnsi="Simplified Arabic" w:cs="Simplified Arabic" w:hint="cs"/>
          <w:sz w:val="24"/>
          <w:szCs w:val="24"/>
          <w:rtl/>
        </w:rPr>
        <w:t xml:space="preserve"> السكانية والسوسيو-اقتصادية</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إلى</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تحديد</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اهم </w:t>
      </w:r>
      <w:r w:rsidRPr="00932049">
        <w:rPr>
          <w:rFonts w:ascii="Simplified Arabic" w:hAnsi="Simplified Arabic" w:cs="Simplified Arabic" w:hint="cs"/>
          <w:sz w:val="24"/>
          <w:szCs w:val="24"/>
          <w:rtl/>
        </w:rPr>
        <w:t>العناصر</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الحضرية</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المكونة لمدينة بوسعادة وفق الشكل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4-2</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932049">
        <w:rPr>
          <w:rFonts w:ascii="Simplified Arabic" w:hAnsi="Simplified Arabic" w:cs="Simplified Arabic" w:hint="cs"/>
          <w:sz w:val="24"/>
          <w:szCs w:val="24"/>
          <w:rtl/>
        </w:rPr>
        <w:t>من</w:t>
      </w:r>
      <w:r w:rsidRPr="00932049">
        <w:rPr>
          <w:rFonts w:ascii="Simplified Arabic" w:hAnsi="Simplified Arabic" w:cs="Simplified Arabic"/>
          <w:sz w:val="24"/>
          <w:szCs w:val="24"/>
          <w:rtl/>
        </w:rPr>
        <w:t xml:space="preserve"> </w:t>
      </w:r>
      <w:r w:rsidR="00B43930">
        <w:rPr>
          <w:rFonts w:ascii="Simplified Arabic" w:hAnsi="Simplified Arabic" w:cs="Simplified Arabic" w:hint="cs"/>
          <w:sz w:val="24"/>
          <w:szCs w:val="24"/>
          <w:rtl/>
        </w:rPr>
        <w:t xml:space="preserve">خلال معرفة </w:t>
      </w:r>
      <w:r w:rsidR="00E8765E">
        <w:rPr>
          <w:rFonts w:ascii="Simplified Arabic" w:hAnsi="Simplified Arabic" w:cs="Simplified Arabic" w:hint="cs"/>
          <w:sz w:val="24"/>
          <w:szCs w:val="24"/>
          <w:rtl/>
        </w:rPr>
        <w:t>استعمال</w:t>
      </w:r>
      <w:r w:rsidR="00B43930">
        <w:rPr>
          <w:rFonts w:ascii="Simplified Arabic" w:hAnsi="Simplified Arabic" w:cs="Simplified Arabic" w:hint="cs"/>
          <w:sz w:val="24"/>
          <w:szCs w:val="24"/>
          <w:rtl/>
        </w:rPr>
        <w:t>ات الارض و</w:t>
      </w:r>
      <w:r>
        <w:rPr>
          <w:rFonts w:ascii="Simplified Arabic" w:hAnsi="Simplified Arabic" w:cs="Simplified Arabic" w:hint="cs"/>
          <w:sz w:val="24"/>
          <w:szCs w:val="24"/>
          <w:rtl/>
        </w:rPr>
        <w:t xml:space="preserve">التوزيع المكاني للسكن والسكان </w:t>
      </w:r>
      <w:r w:rsidRPr="00932049">
        <w:rPr>
          <w:rFonts w:ascii="Simplified Arabic" w:hAnsi="Simplified Arabic" w:cs="Simplified Arabic" w:hint="cs"/>
          <w:sz w:val="24"/>
          <w:szCs w:val="24"/>
          <w:rtl/>
        </w:rPr>
        <w:t>و</w:t>
      </w:r>
      <w:r>
        <w:rPr>
          <w:rFonts w:ascii="Simplified Arabic" w:hAnsi="Simplified Arabic" w:cs="Simplified Arabic" w:hint="cs"/>
          <w:color w:val="000000"/>
          <w:sz w:val="24"/>
          <w:szCs w:val="24"/>
          <w:rtl/>
        </w:rPr>
        <w:t>المرافق</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العامة وشبكة الطرق الحضرية،</w:t>
      </w:r>
      <w:r w:rsidRPr="00932049">
        <w:rPr>
          <w:rFonts w:ascii="Simplified Arabic" w:hAnsi="Simplified Arabic" w:cs="Simplified Arabic"/>
          <w:sz w:val="24"/>
          <w:szCs w:val="24"/>
          <w:rtl/>
        </w:rPr>
        <w:t xml:space="preserve"> </w:t>
      </w:r>
      <w:r>
        <w:rPr>
          <w:rFonts w:ascii="Simplified Arabic" w:hAnsi="Simplified Arabic" w:cs="Simplified Arabic" w:hint="cs"/>
          <w:sz w:val="24"/>
          <w:szCs w:val="24"/>
          <w:rtl/>
        </w:rPr>
        <w:t>يتم بعدها استعراض نشأة ا</w:t>
      </w:r>
      <w:r w:rsidRPr="00932049">
        <w:rPr>
          <w:rFonts w:ascii="Simplified Arabic" w:hAnsi="Simplified Arabic" w:cs="Simplified Arabic" w:hint="cs"/>
          <w:sz w:val="24"/>
          <w:szCs w:val="24"/>
          <w:rtl/>
        </w:rPr>
        <w:t>لفيضانات</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في</w:t>
      </w:r>
      <w:r w:rsidRPr="00932049">
        <w:rPr>
          <w:rFonts w:ascii="Simplified Arabic" w:hAnsi="Simplified Arabic" w:cs="Simplified Arabic"/>
          <w:sz w:val="24"/>
          <w:szCs w:val="24"/>
          <w:rtl/>
        </w:rPr>
        <w:t xml:space="preserve"> </w:t>
      </w:r>
      <w:r w:rsidRPr="00932049">
        <w:rPr>
          <w:rFonts w:ascii="Simplified Arabic" w:hAnsi="Simplified Arabic" w:cs="Simplified Arabic" w:hint="cs"/>
          <w:sz w:val="24"/>
          <w:szCs w:val="24"/>
          <w:rtl/>
        </w:rPr>
        <w:t>المدينة</w:t>
      </w:r>
      <w:r w:rsidRPr="00932049">
        <w:rPr>
          <w:rFonts w:ascii="Simplified Arabic" w:hAnsi="Simplified Arabic" w:cs="Simplified Arabic"/>
          <w:sz w:val="24"/>
          <w:szCs w:val="24"/>
          <w:rtl/>
        </w:rPr>
        <w:t>.</w:t>
      </w:r>
      <w:r w:rsidRPr="00891DCD">
        <w:rPr>
          <w:rFonts w:hint="cs"/>
          <w:rtl/>
        </w:rPr>
        <w:t xml:space="preserve"> </w:t>
      </w:r>
    </w:p>
    <w:p w:rsidR="000635D8" w:rsidRPr="00891DCD" w:rsidRDefault="000635D8" w:rsidP="008E533E">
      <w:pPr>
        <w:bidi/>
        <w:spacing w:after="0"/>
        <w:ind w:firstLine="283"/>
        <w:jc w:val="both"/>
        <w:rPr>
          <w:rFonts w:ascii="Simplified Arabic" w:hAnsi="Simplified Arabic" w:cs="Simplified Arabic"/>
          <w:sz w:val="24"/>
          <w:szCs w:val="24"/>
        </w:rPr>
      </w:pPr>
      <w:r w:rsidRPr="00891DCD">
        <w:rPr>
          <w:rFonts w:ascii="Simplified Arabic" w:hAnsi="Simplified Arabic" w:cs="Simplified Arabic" w:hint="cs"/>
          <w:sz w:val="24"/>
          <w:szCs w:val="24"/>
          <w:rtl/>
        </w:rPr>
        <w:t>اثناء</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الكوارث</w:t>
      </w:r>
      <w:r w:rsidRPr="00891DCD">
        <w:rPr>
          <w:rFonts w:ascii="Simplified Arabic" w:hAnsi="Simplified Arabic" w:cs="Simplified Arabic"/>
          <w:sz w:val="24"/>
          <w:szCs w:val="24"/>
          <w:rtl/>
        </w:rPr>
        <w:t xml:space="preserve"> </w:t>
      </w:r>
      <w:r>
        <w:rPr>
          <w:rFonts w:ascii="Simplified Arabic" w:hAnsi="Simplified Arabic" w:cs="Simplified Arabic" w:hint="cs"/>
          <w:sz w:val="24"/>
          <w:szCs w:val="24"/>
          <w:rtl/>
        </w:rPr>
        <w:t>التي اصابت مدن العالم</w:t>
      </w:r>
      <w:r w:rsidRPr="00891DCD">
        <w:rPr>
          <w:rFonts w:ascii="Simplified Arabic" w:hAnsi="Simplified Arabic" w:cs="Simplified Arabic" w:hint="cs"/>
          <w:sz w:val="24"/>
          <w:szCs w:val="24"/>
          <w:rtl/>
        </w:rPr>
        <w:t>،</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مثل</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إعصار</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كاترينا</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في</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نيو</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أورلينز،</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والزلازل</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في</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هايتي</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ثم</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اليابان،</w:t>
      </w:r>
      <w:r w:rsidRPr="00891DC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فيضان باب الواد 2001، </w:t>
      </w:r>
      <w:r w:rsidRPr="00891DCD">
        <w:rPr>
          <w:rFonts w:ascii="Simplified Arabic" w:hAnsi="Simplified Arabic" w:cs="Simplified Arabic" w:hint="cs"/>
          <w:sz w:val="24"/>
          <w:szCs w:val="24"/>
          <w:rtl/>
        </w:rPr>
        <w:t>أثيرت</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أسئلة</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كثيرة</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حول</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قدرة</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المجتمعات</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على</w:t>
      </w:r>
      <w:r w:rsidRPr="00891DCD">
        <w:rPr>
          <w:rFonts w:ascii="Simplified Arabic" w:hAnsi="Simplified Arabic" w:cs="Simplified Arabic"/>
          <w:sz w:val="24"/>
          <w:szCs w:val="24"/>
          <w:rtl/>
        </w:rPr>
        <w:t xml:space="preserve"> </w:t>
      </w:r>
      <w:r>
        <w:rPr>
          <w:rFonts w:ascii="Simplified Arabic" w:hAnsi="Simplified Arabic" w:cs="Simplified Arabic" w:hint="cs"/>
          <w:sz w:val="24"/>
          <w:szCs w:val="24"/>
          <w:rtl/>
        </w:rPr>
        <w:t>الاستجابة و التكيف مع ا</w:t>
      </w:r>
      <w:r w:rsidRPr="00891DCD">
        <w:rPr>
          <w:rFonts w:ascii="Simplified Arabic" w:hAnsi="Simplified Arabic" w:cs="Simplified Arabic" w:hint="cs"/>
          <w:sz w:val="24"/>
          <w:szCs w:val="24"/>
          <w:rtl/>
        </w:rPr>
        <w:t>لأحداث</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والتغلب</w:t>
      </w:r>
      <w:r w:rsidRPr="00891DCD">
        <w:rPr>
          <w:rFonts w:ascii="Simplified Arabic" w:hAnsi="Simplified Arabic" w:cs="Simplified Arabic"/>
          <w:sz w:val="24"/>
          <w:szCs w:val="24"/>
          <w:rtl/>
        </w:rPr>
        <w:t xml:space="preserve"> </w:t>
      </w:r>
      <w:r w:rsidRPr="00891DCD">
        <w:rPr>
          <w:rFonts w:ascii="Simplified Arabic" w:hAnsi="Simplified Arabic" w:cs="Simplified Arabic" w:hint="cs"/>
          <w:sz w:val="24"/>
          <w:szCs w:val="24"/>
          <w:rtl/>
        </w:rPr>
        <w:t>عليها</w:t>
      </w:r>
      <w:r w:rsidRPr="00891DC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اظهرت </w:t>
      </w:r>
      <w:r w:rsidR="008E533E">
        <w:rPr>
          <w:rFonts w:ascii="Simplified Arabic" w:hAnsi="Simplified Arabic" w:cs="Simplified Arabic" w:hint="cs"/>
          <w:sz w:val="24"/>
          <w:szCs w:val="24"/>
          <w:rtl/>
        </w:rPr>
        <w:t>عجز</w:t>
      </w:r>
      <w:r>
        <w:rPr>
          <w:rFonts w:ascii="Simplified Arabic" w:hAnsi="Simplified Arabic" w:cs="Simplified Arabic" w:hint="cs"/>
          <w:sz w:val="24"/>
          <w:szCs w:val="24"/>
          <w:rtl/>
        </w:rPr>
        <w:t xml:space="preserve"> انظمتها </w:t>
      </w:r>
      <w:r w:rsidR="008E533E">
        <w:rPr>
          <w:rFonts w:ascii="Simplified Arabic" w:hAnsi="Simplified Arabic" w:cs="Simplified Arabic" w:hint="cs"/>
          <w:sz w:val="24"/>
          <w:szCs w:val="24"/>
          <w:rtl/>
        </w:rPr>
        <w:t>الحضرية</w:t>
      </w:r>
      <w:r>
        <w:rPr>
          <w:rFonts w:ascii="Simplified Arabic" w:hAnsi="Simplified Arabic" w:cs="Simplified Arabic" w:hint="cs"/>
          <w:sz w:val="24"/>
          <w:szCs w:val="24"/>
          <w:rtl/>
        </w:rPr>
        <w:t xml:space="preserve"> على الاستجابة</w:t>
      </w:r>
      <w:r w:rsidRPr="00891DCD">
        <w:rPr>
          <w:rFonts w:ascii="Simplified Arabic" w:hAnsi="Simplified Arabic" w:cs="Simplified Arabic"/>
          <w:sz w:val="24"/>
          <w:szCs w:val="24"/>
          <w:rtl/>
        </w:rPr>
        <w:t>.</w:t>
      </w:r>
    </w:p>
    <w:p w:rsidR="000635D8" w:rsidRDefault="00E520B1" w:rsidP="00E520B1">
      <w:pPr>
        <w:bidi/>
        <w:spacing w:after="0"/>
        <w:ind w:firstLine="283"/>
        <w:jc w:val="both"/>
        <w:rPr>
          <w:rFonts w:ascii="Simplified Arabic" w:hAnsi="Simplified Arabic" w:cs="Simplified Arabic"/>
          <w:sz w:val="24"/>
          <w:szCs w:val="24"/>
          <w:rtl/>
        </w:rPr>
      </w:pPr>
      <w:r>
        <w:rPr>
          <w:rFonts w:ascii="Simplified Arabic" w:hAnsi="Simplified Arabic" w:cs="Simplified Arabic" w:hint="cs"/>
          <w:sz w:val="24"/>
          <w:szCs w:val="24"/>
          <w:rtl/>
        </w:rPr>
        <w:t>تشكل</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مدينة</w:t>
      </w:r>
      <w:r w:rsidR="000635D8" w:rsidRPr="00891DCD">
        <w:rPr>
          <w:rFonts w:ascii="Simplified Arabic" w:hAnsi="Simplified Arabic" w:cs="Simplified Arabic"/>
          <w:sz w:val="24"/>
          <w:szCs w:val="24"/>
          <w:rtl/>
        </w:rPr>
        <w:t xml:space="preserve"> </w:t>
      </w:r>
      <w:r w:rsidR="000635D8">
        <w:rPr>
          <w:rFonts w:ascii="Simplified Arabic" w:hAnsi="Simplified Arabic" w:cs="Simplified Arabic" w:hint="cs"/>
          <w:sz w:val="24"/>
          <w:szCs w:val="24"/>
          <w:rtl/>
        </w:rPr>
        <w:t>بوسعادة</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كغيرها</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من</w:t>
      </w:r>
      <w:r w:rsidR="000635D8" w:rsidRPr="00891DCD">
        <w:rPr>
          <w:rFonts w:ascii="Simplified Arabic" w:hAnsi="Simplified Arabic" w:cs="Simplified Arabic"/>
          <w:sz w:val="24"/>
          <w:szCs w:val="24"/>
          <w:rtl/>
        </w:rPr>
        <w:t xml:space="preserve"> </w:t>
      </w:r>
      <w:r w:rsidR="000635D8">
        <w:rPr>
          <w:rFonts w:ascii="Simplified Arabic" w:hAnsi="Simplified Arabic" w:cs="Simplified Arabic" w:hint="cs"/>
          <w:sz w:val="24"/>
          <w:szCs w:val="24"/>
          <w:rtl/>
        </w:rPr>
        <w:t>ال</w:t>
      </w:r>
      <w:r w:rsidR="000635D8" w:rsidRPr="00891DCD">
        <w:rPr>
          <w:rFonts w:ascii="Simplified Arabic" w:hAnsi="Simplified Arabic" w:cs="Simplified Arabic" w:hint="cs"/>
          <w:sz w:val="24"/>
          <w:szCs w:val="24"/>
          <w:rtl/>
        </w:rPr>
        <w:t>مدن،</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نظامًا</w:t>
      </w:r>
      <w:r w:rsidR="000635D8" w:rsidRPr="00891DC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حضريًا </w:t>
      </w:r>
      <w:r w:rsidR="000635D8" w:rsidRPr="00891DCD">
        <w:rPr>
          <w:rFonts w:ascii="Simplified Arabic" w:hAnsi="Simplified Arabic" w:cs="Simplified Arabic" w:hint="cs"/>
          <w:sz w:val="24"/>
          <w:szCs w:val="24"/>
          <w:rtl/>
        </w:rPr>
        <w:t>معقدًا،</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يحتوي</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على</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عدة</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عناصر،</w:t>
      </w:r>
      <w:r w:rsidR="000635D8" w:rsidRPr="00891DCD">
        <w:rPr>
          <w:rFonts w:ascii="Simplified Arabic" w:hAnsi="Simplified Arabic" w:cs="Simplified Arabic"/>
          <w:sz w:val="24"/>
          <w:szCs w:val="24"/>
          <w:rtl/>
        </w:rPr>
        <w:t xml:space="preserve"> </w:t>
      </w:r>
      <w:r w:rsidR="000635D8">
        <w:rPr>
          <w:rFonts w:ascii="Simplified Arabic" w:hAnsi="Simplified Arabic" w:cs="Simplified Arabic" w:hint="cs"/>
          <w:sz w:val="24"/>
          <w:szCs w:val="24"/>
          <w:rtl/>
        </w:rPr>
        <w:t>يمكن اعتباره</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نظم</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فرعية</w:t>
      </w:r>
      <w:r w:rsidR="000635D8">
        <w:rPr>
          <w:rFonts w:ascii="Simplified Arabic" w:hAnsi="Simplified Arabic" w:cs="Simplified Arabic" w:hint="cs"/>
          <w:sz w:val="24"/>
          <w:szCs w:val="24"/>
          <w:rtl/>
        </w:rPr>
        <w:t>،</w:t>
      </w:r>
      <w:r w:rsidR="000635D8" w:rsidRPr="00891DC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اذ تعتبر </w:t>
      </w:r>
      <w:r w:rsidR="000635D8" w:rsidRPr="00891DCD">
        <w:rPr>
          <w:rFonts w:ascii="Simplified Arabic" w:hAnsi="Simplified Arabic" w:cs="Simplified Arabic" w:hint="cs"/>
          <w:sz w:val="24"/>
          <w:szCs w:val="24"/>
          <w:rtl/>
        </w:rPr>
        <w:t>المكونات</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الحضرية</w:t>
      </w:r>
      <w:r w:rsidR="000635D8" w:rsidRPr="00891DCD">
        <w:rPr>
          <w:rFonts w:ascii="Simplified Arabic" w:hAnsi="Simplified Arabic" w:cs="Simplified Arabic"/>
          <w:sz w:val="24"/>
          <w:szCs w:val="24"/>
          <w:rtl/>
        </w:rPr>
        <w:t xml:space="preserve"> </w:t>
      </w:r>
      <w:r w:rsidR="000635D8">
        <w:rPr>
          <w:rFonts w:ascii="Simplified Arabic" w:hAnsi="Simplified Arabic" w:cs="Simplified Arabic" w:hint="cs"/>
          <w:sz w:val="24"/>
          <w:szCs w:val="24"/>
          <w:rtl/>
        </w:rPr>
        <w:t>لمدينة بوسعادة المتمثلة في</w:t>
      </w:r>
      <w:r w:rsidR="000635D8" w:rsidRPr="00891DCD">
        <w:rPr>
          <w:rFonts w:ascii="Simplified Arabic" w:hAnsi="Simplified Arabic" w:cs="Simplified Arabic"/>
          <w:sz w:val="24"/>
          <w:szCs w:val="24"/>
          <w:rtl/>
        </w:rPr>
        <w:t xml:space="preserve"> </w:t>
      </w:r>
      <w:r w:rsidR="00232D64">
        <w:rPr>
          <w:rFonts w:ascii="Simplified Arabic" w:hAnsi="Simplified Arabic" w:cs="Simplified Arabic" w:hint="cs"/>
          <w:sz w:val="24"/>
          <w:szCs w:val="24"/>
          <w:rtl/>
        </w:rPr>
        <w:t>السكن</w:t>
      </w:r>
      <w:r w:rsidR="000635D8" w:rsidRPr="00891DCD">
        <w:rPr>
          <w:rFonts w:ascii="Simplified Arabic" w:hAnsi="Simplified Arabic" w:cs="Simplified Arabic" w:hint="cs"/>
          <w:sz w:val="24"/>
          <w:szCs w:val="24"/>
          <w:rtl/>
        </w:rPr>
        <w:t>،</w:t>
      </w:r>
      <w:r w:rsidR="000635D8" w:rsidRPr="00891DCD">
        <w:rPr>
          <w:rFonts w:ascii="Simplified Arabic" w:hAnsi="Simplified Arabic" w:cs="Simplified Arabic"/>
          <w:sz w:val="24"/>
          <w:szCs w:val="24"/>
          <w:rtl/>
        </w:rPr>
        <w:t xml:space="preserve"> </w:t>
      </w:r>
      <w:r w:rsidR="000635D8">
        <w:rPr>
          <w:rFonts w:ascii="Simplified Arabic" w:hAnsi="Simplified Arabic" w:cs="Simplified Arabic" w:hint="cs"/>
          <w:color w:val="000000"/>
          <w:sz w:val="24"/>
          <w:szCs w:val="24"/>
          <w:rtl/>
        </w:rPr>
        <w:t>المرافق</w:t>
      </w:r>
      <w:r w:rsidR="000635D8" w:rsidRPr="00891DCD">
        <w:rPr>
          <w:rFonts w:ascii="Simplified Arabic" w:hAnsi="Simplified Arabic" w:cs="Simplified Arabic" w:hint="cs"/>
          <w:sz w:val="24"/>
          <w:szCs w:val="24"/>
          <w:rtl/>
        </w:rPr>
        <w:t>،</w:t>
      </w:r>
      <w:r w:rsidR="000635D8" w:rsidRPr="00891DCD">
        <w:rPr>
          <w:rFonts w:ascii="Simplified Arabic" w:hAnsi="Simplified Arabic" w:cs="Simplified Arabic"/>
          <w:sz w:val="24"/>
          <w:szCs w:val="24"/>
          <w:rtl/>
        </w:rPr>
        <w:t xml:space="preserve"> </w:t>
      </w:r>
      <w:r w:rsidR="000635D8">
        <w:rPr>
          <w:rFonts w:ascii="Simplified Arabic" w:hAnsi="Simplified Arabic" w:cs="Simplified Arabic" w:hint="cs"/>
          <w:sz w:val="24"/>
          <w:szCs w:val="24"/>
          <w:rtl/>
        </w:rPr>
        <w:t>شبكة الطرق الحضرية</w:t>
      </w:r>
      <w:r w:rsidR="000635D8" w:rsidRPr="00891DCD">
        <w:rPr>
          <w:rFonts w:ascii="Simplified Arabic" w:hAnsi="Simplified Arabic" w:cs="Simplified Arabic"/>
          <w:sz w:val="24"/>
          <w:szCs w:val="24"/>
          <w:rtl/>
        </w:rPr>
        <w:t xml:space="preserve"> .</w:t>
      </w:r>
      <w:r w:rsidR="00B43930">
        <w:rPr>
          <w:rFonts w:ascii="Simplified Arabic" w:hAnsi="Simplified Arabic" w:cs="Simplified Arabic" w:hint="cs"/>
          <w:sz w:val="24"/>
          <w:szCs w:val="24"/>
          <w:rtl/>
        </w:rPr>
        <w:t>..</w:t>
      </w:r>
      <w:r w:rsidR="000635D8" w:rsidRPr="00891DCD">
        <w:rPr>
          <w:rFonts w:ascii="Simplified Arabic" w:hAnsi="Simplified Arabic" w:cs="Simplified Arabic" w:hint="cs"/>
          <w:sz w:val="24"/>
          <w:szCs w:val="24"/>
          <w:rtl/>
        </w:rPr>
        <w:t>إلخ</w:t>
      </w:r>
      <w:r w:rsidR="000635D8" w:rsidRPr="00891DCD">
        <w:rPr>
          <w:rFonts w:ascii="Simplified Arabic" w:hAnsi="Simplified Arabic" w:cs="Simplified Arabic"/>
          <w:sz w:val="24"/>
          <w:szCs w:val="24"/>
          <w:rtl/>
        </w:rPr>
        <w:t xml:space="preserve"> </w:t>
      </w:r>
      <w:r w:rsidR="000635D8" w:rsidRPr="00891DCD">
        <w:rPr>
          <w:rFonts w:ascii="Simplified Arabic" w:hAnsi="Simplified Arabic" w:cs="Simplified Arabic" w:hint="cs"/>
          <w:sz w:val="24"/>
          <w:szCs w:val="24"/>
          <w:rtl/>
        </w:rPr>
        <w:t>،</w:t>
      </w:r>
      <w:r w:rsidR="000635D8" w:rsidRPr="00891DC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نظما فرعية </w:t>
      </w:r>
      <w:r w:rsidR="000635D8">
        <w:rPr>
          <w:rFonts w:ascii="Simplified Arabic" w:hAnsi="Simplified Arabic" w:cs="Simplified Arabic" w:hint="cs"/>
          <w:sz w:val="24"/>
          <w:szCs w:val="24"/>
          <w:rtl/>
        </w:rPr>
        <w:t>تتفاعل فيما بينها.</w:t>
      </w:r>
      <w:r w:rsidR="000635D8" w:rsidRPr="004F5D5A">
        <w:rPr>
          <w:rFonts w:ascii="Simplified Arabic" w:hAnsi="Simplified Arabic" w:cs="Simplified Arabic" w:hint="cs"/>
          <w:sz w:val="24"/>
          <w:szCs w:val="24"/>
          <w:rtl/>
        </w:rPr>
        <w:t xml:space="preserve"> </w:t>
      </w:r>
    </w:p>
    <w:p w:rsidR="000635D8" w:rsidRDefault="000635D8" w:rsidP="00264FC1">
      <w:pPr>
        <w:pStyle w:val="fegure"/>
        <w:rPr>
          <w:szCs w:val="24"/>
          <w:rtl/>
        </w:rPr>
      </w:pPr>
      <w:bookmarkStart w:id="520" w:name="_Toc157608325"/>
      <w:bookmarkStart w:id="521" w:name="_Toc171803587"/>
      <w:r w:rsidRPr="00264FC1">
        <w:rPr>
          <w:rFonts w:hint="cs"/>
          <w:szCs w:val="24"/>
          <w:rtl/>
        </w:rPr>
        <w:t xml:space="preserve">الشكل </w:t>
      </w:r>
      <w:r w:rsidR="00BA11BE" w:rsidRPr="00264FC1">
        <w:rPr>
          <w:rFonts w:hint="cs"/>
          <w:szCs w:val="24"/>
          <w:rtl/>
        </w:rPr>
        <w:t>(4-2)</w:t>
      </w:r>
      <w:r w:rsidRPr="00264FC1">
        <w:rPr>
          <w:rFonts w:hint="cs"/>
          <w:szCs w:val="24"/>
          <w:rtl/>
        </w:rPr>
        <w:t>: المكونات الحضرية لمدينة بوسعادة</w:t>
      </w:r>
      <w:bookmarkEnd w:id="520"/>
      <w:bookmarkEnd w:id="521"/>
    </w:p>
    <w:p w:rsidR="00E520B1" w:rsidRPr="00E520B1" w:rsidRDefault="00E520B1" w:rsidP="00E520B1">
      <w:pPr>
        <w:pStyle w:val="fegure"/>
        <w:rPr>
          <w:sz w:val="8"/>
          <w:szCs w:val="24"/>
          <w:rtl/>
          <w:lang w:val="en-US"/>
        </w:rPr>
      </w:pPr>
      <w:bookmarkStart w:id="522" w:name="_Toc171803588"/>
      <w:r>
        <w:rPr>
          <w:rFonts w:hint="cs"/>
          <w:sz w:val="8"/>
          <w:szCs w:val="24"/>
          <w:rtl/>
          <w:lang w:val="en-US"/>
        </w:rPr>
        <w:t>المصدر: (الباحث، 2022)</w:t>
      </w:r>
      <w:bookmarkEnd w:id="522"/>
    </w:p>
    <w:p w:rsidR="000635D8" w:rsidRDefault="000635D8" w:rsidP="00AE4A70">
      <w:pPr>
        <w:bidi/>
        <w:spacing w:after="0"/>
        <w:jc w:val="center"/>
        <w:rPr>
          <w:rFonts w:ascii="Simplified Arabic" w:hAnsi="Simplified Arabic" w:cs="Simplified Arabic"/>
          <w:sz w:val="24"/>
          <w:szCs w:val="24"/>
          <w:rtl/>
        </w:rPr>
      </w:pPr>
      <w:r>
        <w:rPr>
          <w:rFonts w:ascii="Simplified Arabic" w:hAnsi="Simplified Arabic" w:cs="Simplified Arabic"/>
          <w:noProof/>
          <w:sz w:val="24"/>
          <w:szCs w:val="24"/>
          <w:rtl/>
          <w:lang w:eastAsia="fr-FR"/>
        </w:rPr>
        <w:drawing>
          <wp:inline distT="0" distB="0" distL="0" distR="0" wp14:anchorId="79DDEF95" wp14:editId="523D254F">
            <wp:extent cx="3157268" cy="2881222"/>
            <wp:effectExtent l="0" t="0" r="24130" b="14605"/>
            <wp:docPr id="161" name="Diagramme 1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8" r:lo="rId189" r:qs="rId190" r:cs="rId191"/>
              </a:graphicData>
            </a:graphic>
          </wp:inline>
        </w:drawing>
      </w:r>
    </w:p>
    <w:p w:rsidR="000635D8" w:rsidRPr="00BD4AC8" w:rsidRDefault="000635D8" w:rsidP="001D0548">
      <w:pPr>
        <w:pStyle w:val="Paragraphedeliste"/>
        <w:numPr>
          <w:ilvl w:val="2"/>
          <w:numId w:val="252"/>
        </w:numPr>
        <w:tabs>
          <w:tab w:val="right" w:pos="850"/>
        </w:tabs>
        <w:bidi/>
        <w:spacing w:before="240" w:after="0"/>
        <w:ind w:left="0" w:firstLine="0"/>
        <w:jc w:val="both"/>
        <w:outlineLvl w:val="1"/>
        <w:rPr>
          <w:rFonts w:ascii="Simplified Arabic" w:hAnsi="Simplified Arabic" w:cs="Simplified Arabic"/>
          <w:b/>
          <w:bCs/>
          <w:sz w:val="24"/>
          <w:szCs w:val="24"/>
          <w:rtl/>
          <w:lang w:val="en-US" w:bidi="ar-DZ"/>
        </w:rPr>
      </w:pPr>
      <w:bookmarkStart w:id="523" w:name="_Toc171803589"/>
      <w:r w:rsidRPr="00BD4AC8">
        <w:rPr>
          <w:rFonts w:ascii="Simplified Arabic" w:hAnsi="Simplified Arabic" w:cs="Simplified Arabic" w:hint="cs"/>
          <w:b/>
          <w:bCs/>
          <w:sz w:val="24"/>
          <w:szCs w:val="24"/>
          <w:rtl/>
          <w:lang w:val="en-US" w:bidi="ar-DZ"/>
        </w:rPr>
        <w:t xml:space="preserve">دراسة </w:t>
      </w:r>
      <w:r w:rsidR="00635769" w:rsidRPr="00BD4AC8">
        <w:rPr>
          <w:rFonts w:ascii="Simplified Arabic" w:hAnsi="Simplified Arabic" w:cs="Simplified Arabic" w:hint="cs"/>
          <w:b/>
          <w:bCs/>
          <w:sz w:val="24"/>
          <w:szCs w:val="24"/>
          <w:rtl/>
          <w:lang w:val="en-US" w:bidi="ar-DZ"/>
        </w:rPr>
        <w:t xml:space="preserve">المعطيات </w:t>
      </w:r>
      <w:r w:rsidRPr="00BD4AC8">
        <w:rPr>
          <w:rFonts w:ascii="Simplified Arabic" w:hAnsi="Simplified Arabic" w:cs="Simplified Arabic" w:hint="cs"/>
          <w:b/>
          <w:bCs/>
          <w:sz w:val="24"/>
          <w:szCs w:val="24"/>
          <w:rtl/>
          <w:lang w:val="en-US" w:bidi="ar-DZ"/>
        </w:rPr>
        <w:t>السكانية</w:t>
      </w:r>
      <w:bookmarkEnd w:id="523"/>
    </w:p>
    <w:p w:rsidR="000635D8" w:rsidRDefault="000635D8" w:rsidP="00E8765E">
      <w:pPr>
        <w:bidi/>
        <w:spacing w:after="0"/>
        <w:ind w:firstLine="283"/>
        <w:jc w:val="both"/>
        <w:rPr>
          <w:rFonts w:ascii="Simplified Arabic" w:hAnsi="Simplified Arabic" w:cs="Simplified Arabic"/>
          <w:sz w:val="24"/>
          <w:szCs w:val="24"/>
          <w:rtl/>
        </w:rPr>
      </w:pPr>
      <w:r>
        <w:rPr>
          <w:rFonts w:ascii="Simplified Arabic" w:hAnsi="Simplified Arabic" w:cs="Simplified Arabic" w:hint="cs"/>
          <w:sz w:val="24"/>
          <w:szCs w:val="24"/>
          <w:rtl/>
        </w:rPr>
        <w:t>تسمح هذه الدراسة</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بإعطاء</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لمحة</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عامة</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عن</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سكان</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بلدية</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بوسع</w:t>
      </w:r>
      <w:r>
        <w:rPr>
          <w:rFonts w:ascii="Simplified Arabic" w:hAnsi="Simplified Arabic" w:cs="Simplified Arabic" w:hint="cs"/>
          <w:sz w:val="24"/>
          <w:szCs w:val="24"/>
          <w:rtl/>
        </w:rPr>
        <w:t>ا</w:t>
      </w:r>
      <w:r w:rsidRPr="004A7693">
        <w:rPr>
          <w:rFonts w:ascii="Simplified Arabic" w:hAnsi="Simplified Arabic" w:cs="Simplified Arabic" w:hint="cs"/>
          <w:sz w:val="24"/>
          <w:szCs w:val="24"/>
          <w:rtl/>
        </w:rPr>
        <w:t>د</w:t>
      </w:r>
      <w:r>
        <w:rPr>
          <w:rFonts w:ascii="Simplified Arabic" w:hAnsi="Simplified Arabic" w:cs="Simplified Arabic" w:hint="cs"/>
          <w:sz w:val="24"/>
          <w:szCs w:val="24"/>
          <w:rtl/>
        </w:rPr>
        <w:t>ة</w:t>
      </w:r>
      <w:r w:rsidRPr="004A7693">
        <w:rPr>
          <w:rFonts w:ascii="Simplified Arabic" w:hAnsi="Simplified Arabic" w:cs="Simplified Arabic" w:hint="cs"/>
          <w:sz w:val="24"/>
          <w:szCs w:val="24"/>
          <w:rtl/>
        </w:rPr>
        <w:t>،</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حجمها،</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وتطورها</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من</w:t>
      </w:r>
      <w:r w:rsidRPr="004A7693">
        <w:rPr>
          <w:rFonts w:ascii="Simplified Arabic" w:hAnsi="Simplified Arabic" w:cs="Simplified Arabic"/>
          <w:sz w:val="24"/>
          <w:szCs w:val="24"/>
          <w:rtl/>
        </w:rPr>
        <w:t xml:space="preserve"> 1966 </w:t>
      </w:r>
      <w:r w:rsidRPr="004A7693">
        <w:rPr>
          <w:rFonts w:ascii="Simplified Arabic" w:hAnsi="Simplified Arabic" w:cs="Simplified Arabic" w:hint="cs"/>
          <w:sz w:val="24"/>
          <w:szCs w:val="24"/>
          <w:rtl/>
        </w:rPr>
        <w:t>إلى</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2022</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آ</w:t>
      </w:r>
      <w:r w:rsidRPr="004A7693">
        <w:rPr>
          <w:rFonts w:ascii="Simplified Arabic" w:hAnsi="Simplified Arabic" w:cs="Simplified Arabic" w:hint="cs"/>
          <w:sz w:val="24"/>
          <w:szCs w:val="24"/>
          <w:rtl/>
        </w:rPr>
        <w:t>خر</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احصاء</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للسكن والسكان</w:t>
      </w:r>
      <w:r>
        <w:rPr>
          <w:rFonts w:ascii="Simplified Arabic" w:hAnsi="Simplified Arabic" w:cs="Simplified Arabic"/>
          <w:sz w:val="24"/>
          <w:szCs w:val="24"/>
        </w:rPr>
        <w:t xml:space="preserve"> </w:t>
      </w:r>
      <w:r w:rsidRPr="000765C6">
        <w:rPr>
          <w:rStyle w:val="y2iqfc"/>
          <w:rFonts w:asciiTheme="majorBidi" w:hAnsiTheme="majorBidi" w:cstheme="majorBidi"/>
          <w:color w:val="202124"/>
          <w:sz w:val="24"/>
          <w:szCs w:val="24"/>
          <w:rtl/>
          <w:lang w:val="en-US" w:bidi="ar"/>
        </w:rPr>
        <w:t>(</w:t>
      </w:r>
      <w:r w:rsidR="009761F5" w:rsidRPr="009761F5">
        <w:rPr>
          <w:rFonts w:asciiTheme="majorBidi" w:hAnsiTheme="majorBidi" w:cstheme="majorBidi"/>
          <w:sz w:val="24"/>
          <w:szCs w:val="24"/>
        </w:rPr>
        <w:t>NSO</w:t>
      </w:r>
      <w:r w:rsidRPr="000765C6">
        <w:rPr>
          <w:rStyle w:val="y2iqfc"/>
          <w:rFonts w:asciiTheme="majorBidi" w:hAnsiTheme="majorBidi" w:cstheme="majorBidi"/>
          <w:color w:val="202124"/>
          <w:sz w:val="24"/>
          <w:szCs w:val="24"/>
          <w:lang w:bidi="ar"/>
        </w:rPr>
        <w:t>, 2022</w:t>
      </w:r>
      <w:r w:rsidRPr="000765C6">
        <w:rPr>
          <w:rStyle w:val="y2iqfc"/>
          <w:rFonts w:asciiTheme="majorBidi" w:hAnsiTheme="majorBidi" w:cstheme="majorBidi"/>
          <w:color w:val="202124"/>
          <w:sz w:val="24"/>
          <w:szCs w:val="24"/>
          <w:rtl/>
          <w:lang w:val="en-US" w:bidi="ar"/>
        </w:rPr>
        <w:t>)</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وتوزيعها</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على</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الأراضي</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البلدية</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من</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أجل</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فهم</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ميزاتها</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الخاصة</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التي</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تساهم</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في</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تحديد</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w:t>
      </w:r>
      <w:r w:rsidR="00E8765E">
        <w:rPr>
          <w:rFonts w:ascii="Simplified Arabic" w:hAnsi="Simplified Arabic" w:cs="Simplified Arabic" w:hint="cs"/>
          <w:sz w:val="24"/>
          <w:szCs w:val="24"/>
          <w:rtl/>
        </w:rPr>
        <w:t>استعمال</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الأمثل</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للأراضي</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الحضرية</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بطريقة تسمح بتحسين قدرات التكيف </w:t>
      </w:r>
      <w:r w:rsidRPr="004A7693">
        <w:rPr>
          <w:rFonts w:ascii="Simplified Arabic" w:hAnsi="Simplified Arabic" w:cs="Simplified Arabic" w:hint="cs"/>
          <w:sz w:val="24"/>
          <w:szCs w:val="24"/>
          <w:rtl/>
        </w:rPr>
        <w:t>مع</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الظروف</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المختلفة</w:t>
      </w:r>
      <w:r w:rsidRPr="004A7693">
        <w:rPr>
          <w:rFonts w:ascii="Simplified Arabic" w:hAnsi="Simplified Arabic" w:cs="Simplified Arabic"/>
          <w:sz w:val="24"/>
          <w:szCs w:val="24"/>
          <w:rtl/>
        </w:rPr>
        <w:t xml:space="preserve"> </w:t>
      </w:r>
      <w:r w:rsidRPr="004A7693">
        <w:rPr>
          <w:rFonts w:ascii="Simplified Arabic" w:hAnsi="Simplified Arabic" w:cs="Simplified Arabic" w:hint="cs"/>
          <w:sz w:val="24"/>
          <w:szCs w:val="24"/>
          <w:rtl/>
        </w:rPr>
        <w:t>للمنطقة</w:t>
      </w:r>
      <w:r w:rsidRPr="004A769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وفق الجدول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4-2</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w:t>
      </w:r>
    </w:p>
    <w:p w:rsidR="00182FCD" w:rsidRDefault="00182FCD" w:rsidP="00F76D99">
      <w:pPr>
        <w:pStyle w:val="Tableau"/>
        <w:rPr>
          <w:rtl/>
        </w:rPr>
      </w:pPr>
      <w:bookmarkStart w:id="524" w:name="_Toc157612984"/>
    </w:p>
    <w:p w:rsidR="00182FCD" w:rsidRDefault="00182FCD" w:rsidP="00F76D99">
      <w:pPr>
        <w:pStyle w:val="Tableau"/>
        <w:rPr>
          <w:rtl/>
        </w:rPr>
      </w:pPr>
    </w:p>
    <w:p w:rsidR="00182FCD" w:rsidRDefault="00182FCD" w:rsidP="00F76D99">
      <w:pPr>
        <w:pStyle w:val="Tableau"/>
        <w:rPr>
          <w:rtl/>
        </w:rPr>
      </w:pPr>
    </w:p>
    <w:p w:rsidR="000635D8" w:rsidRDefault="000635D8" w:rsidP="00F76D99">
      <w:pPr>
        <w:pStyle w:val="Tableau"/>
        <w:rPr>
          <w:rtl/>
        </w:rPr>
      </w:pPr>
      <w:bookmarkStart w:id="525" w:name="_Toc171803590"/>
      <w:r>
        <w:rPr>
          <w:rFonts w:hint="cs"/>
          <w:rtl/>
        </w:rPr>
        <w:lastRenderedPageBreak/>
        <w:t xml:space="preserve">الجدول </w:t>
      </w:r>
      <w:r w:rsidR="00BA11BE" w:rsidRPr="0063639A">
        <w:rPr>
          <w:rFonts w:hint="cs"/>
          <w:rtl/>
        </w:rPr>
        <w:t>(</w:t>
      </w:r>
      <w:r w:rsidR="00BA11BE">
        <w:rPr>
          <w:rFonts w:hint="cs"/>
          <w:rtl/>
        </w:rPr>
        <w:t>4-2</w:t>
      </w:r>
      <w:r w:rsidR="00BA11BE" w:rsidRPr="0063639A">
        <w:rPr>
          <w:rFonts w:hint="cs"/>
          <w:rtl/>
        </w:rPr>
        <w:t>)</w:t>
      </w:r>
      <w:r>
        <w:rPr>
          <w:rFonts w:hint="cs"/>
          <w:rtl/>
        </w:rPr>
        <w:t>: التطور</w:t>
      </w:r>
      <w:r w:rsidRPr="00193CA3">
        <w:rPr>
          <w:rtl/>
        </w:rPr>
        <w:t xml:space="preserve"> </w:t>
      </w:r>
      <w:r>
        <w:rPr>
          <w:rFonts w:hint="cs"/>
          <w:rtl/>
        </w:rPr>
        <w:t>ال</w:t>
      </w:r>
      <w:r w:rsidRPr="00193CA3">
        <w:rPr>
          <w:rFonts w:hint="cs"/>
          <w:rtl/>
        </w:rPr>
        <w:t>سكان</w:t>
      </w:r>
      <w:r>
        <w:rPr>
          <w:rFonts w:hint="cs"/>
          <w:rtl/>
        </w:rPr>
        <w:t>ي</w:t>
      </w:r>
      <w:r w:rsidRPr="00193CA3">
        <w:rPr>
          <w:rtl/>
        </w:rPr>
        <w:t xml:space="preserve"> </w:t>
      </w:r>
      <w:r>
        <w:rPr>
          <w:rFonts w:hint="cs"/>
          <w:rtl/>
        </w:rPr>
        <w:t>لمدينة بوسعادة</w:t>
      </w:r>
      <w:bookmarkEnd w:id="524"/>
      <w:bookmarkEnd w:id="525"/>
    </w:p>
    <w:p w:rsidR="000635D8" w:rsidRPr="00370143" w:rsidRDefault="000635D8" w:rsidP="00AE4A70">
      <w:pPr>
        <w:bidi/>
        <w:spacing w:after="0"/>
        <w:jc w:val="center"/>
        <w:rPr>
          <w:rFonts w:ascii="Simplified Arabic" w:hAnsi="Simplified Arabic" w:cs="Simplified Arabic"/>
          <w:b/>
          <w:bCs/>
          <w:sz w:val="24"/>
          <w:szCs w:val="24"/>
          <w:rtl/>
        </w:rPr>
      </w:pPr>
      <w:r w:rsidRPr="00370143">
        <w:rPr>
          <w:rFonts w:ascii="Simplified Arabic" w:hAnsi="Simplified Arabic" w:cs="Simplified Arabic" w:hint="cs"/>
          <w:b/>
          <w:bCs/>
          <w:sz w:val="24"/>
          <w:szCs w:val="24"/>
          <w:rtl/>
        </w:rPr>
        <w:t>المصدر</w:t>
      </w:r>
      <w:r w:rsidRPr="00370143">
        <w:rPr>
          <w:rFonts w:ascii="Simplified Arabic" w:hAnsi="Simplified Arabic" w:cs="Simplified Arabic"/>
          <w:b/>
          <w:bCs/>
          <w:sz w:val="24"/>
          <w:szCs w:val="24"/>
          <w:rtl/>
        </w:rPr>
        <w:t>:</w:t>
      </w:r>
      <w:r w:rsidRPr="00370143">
        <w:rPr>
          <w:rFonts w:ascii="Simplified Arabic" w:hAnsi="Simplified Arabic" w:cs="Simplified Arabic" w:hint="cs"/>
          <w:b/>
          <w:bCs/>
          <w:sz w:val="24"/>
          <w:szCs w:val="24"/>
          <w:rtl/>
        </w:rPr>
        <w:t xml:space="preserve"> </w:t>
      </w:r>
      <w:r w:rsidRPr="00370143">
        <w:rPr>
          <w:rFonts w:asciiTheme="majorBidi" w:hAnsiTheme="majorBidi" w:cstheme="majorBidi"/>
          <w:b/>
          <w:bCs/>
          <w:sz w:val="24"/>
          <w:szCs w:val="24"/>
        </w:rPr>
        <w:t xml:space="preserve">Nouibat, 2007; </w:t>
      </w:r>
      <w:r w:rsidR="009761F5" w:rsidRPr="00370143">
        <w:rPr>
          <w:rFonts w:asciiTheme="majorBidi" w:hAnsiTheme="majorBidi" w:cstheme="majorBidi"/>
          <w:b/>
          <w:bCs/>
          <w:sz w:val="24"/>
          <w:szCs w:val="24"/>
        </w:rPr>
        <w:t>NSO</w:t>
      </w:r>
      <w:r w:rsidRPr="00370143">
        <w:rPr>
          <w:rFonts w:asciiTheme="majorBidi" w:hAnsiTheme="majorBidi" w:cstheme="majorBidi"/>
          <w:b/>
          <w:bCs/>
          <w:sz w:val="24"/>
          <w:szCs w:val="24"/>
        </w:rPr>
        <w:t>, 2008, 2022)</w:t>
      </w:r>
      <w:r w:rsidRPr="00370143">
        <w:rPr>
          <w:rFonts w:asciiTheme="majorBidi" w:hAnsiTheme="majorBidi" w:cstheme="majorBidi"/>
          <w:b/>
          <w:bCs/>
          <w:sz w:val="24"/>
          <w:szCs w:val="24"/>
          <w:rtl/>
        </w:rPr>
        <w:t>)</w:t>
      </w:r>
    </w:p>
    <w:tbl>
      <w:tblPr>
        <w:tblStyle w:val="Grilledutableau"/>
        <w:bidiVisual/>
        <w:tblW w:w="8551" w:type="dxa"/>
        <w:jc w:val="center"/>
        <w:tblInd w:w="-951" w:type="dxa"/>
        <w:tblLayout w:type="fixed"/>
        <w:tblLook w:val="04A0" w:firstRow="1" w:lastRow="0" w:firstColumn="1" w:lastColumn="0" w:noHBand="0" w:noVBand="1"/>
      </w:tblPr>
      <w:tblGrid>
        <w:gridCol w:w="2456"/>
        <w:gridCol w:w="992"/>
        <w:gridCol w:w="992"/>
        <w:gridCol w:w="992"/>
        <w:gridCol w:w="1112"/>
        <w:gridCol w:w="992"/>
        <w:gridCol w:w="1015"/>
      </w:tblGrid>
      <w:tr w:rsidR="000635D8" w:rsidRPr="00547ECF" w:rsidTr="000635D8">
        <w:trPr>
          <w:trHeight w:val="410"/>
          <w:jc w:val="center"/>
        </w:trPr>
        <w:tc>
          <w:tcPr>
            <w:tcW w:w="2456" w:type="dxa"/>
            <w:vAlign w:val="center"/>
          </w:tcPr>
          <w:p w:rsidR="000635D8" w:rsidRPr="00547ECF" w:rsidRDefault="000635D8" w:rsidP="000635D8">
            <w:pPr>
              <w:autoSpaceDE w:val="0"/>
              <w:autoSpaceDN w:val="0"/>
              <w:bidi/>
              <w:adjustRightInd w:val="0"/>
              <w:rPr>
                <w:rFonts w:ascii="Simplified Arabic" w:hAnsi="Simplified Arabic" w:cs="Simplified Arabic"/>
                <w:sz w:val="24"/>
                <w:szCs w:val="24"/>
                <w:rtl/>
                <w:lang w:bidi="ar-DZ"/>
              </w:rPr>
            </w:pPr>
            <w:r w:rsidRPr="00547ECF">
              <w:rPr>
                <w:rFonts w:ascii="Simplified Arabic" w:hAnsi="Simplified Arabic" w:cs="Simplified Arabic"/>
                <w:sz w:val="24"/>
                <w:szCs w:val="24"/>
                <w:rtl/>
              </w:rPr>
              <w:t>الفترة</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sz w:val="24"/>
                <w:szCs w:val="24"/>
              </w:rPr>
              <w:t>1966</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sz w:val="24"/>
                <w:szCs w:val="24"/>
              </w:rPr>
              <w:t>1977</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sz w:val="24"/>
                <w:szCs w:val="24"/>
              </w:rPr>
              <w:t>1987</w:t>
            </w:r>
          </w:p>
        </w:tc>
        <w:tc>
          <w:tcPr>
            <w:tcW w:w="111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sz w:val="24"/>
                <w:szCs w:val="24"/>
              </w:rPr>
              <w:t>1998</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2008</w:t>
            </w:r>
          </w:p>
        </w:tc>
        <w:tc>
          <w:tcPr>
            <w:tcW w:w="1015"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2022</w:t>
            </w:r>
          </w:p>
        </w:tc>
      </w:tr>
      <w:tr w:rsidR="000635D8" w:rsidRPr="00547ECF" w:rsidTr="000635D8">
        <w:trPr>
          <w:trHeight w:val="410"/>
          <w:jc w:val="center"/>
        </w:trPr>
        <w:tc>
          <w:tcPr>
            <w:tcW w:w="2456" w:type="dxa"/>
            <w:vAlign w:val="center"/>
          </w:tcPr>
          <w:p w:rsidR="000635D8" w:rsidRPr="00547ECF" w:rsidRDefault="000635D8" w:rsidP="000635D8">
            <w:pPr>
              <w:bidi/>
              <w:rPr>
                <w:rFonts w:ascii="Simplified Arabic" w:hAnsi="Simplified Arabic" w:cs="Simplified Arabic"/>
                <w:sz w:val="24"/>
                <w:szCs w:val="24"/>
                <w:rtl/>
              </w:rPr>
            </w:pPr>
            <w:r w:rsidRPr="00547ECF">
              <w:rPr>
                <w:rFonts w:ascii="Simplified Arabic" w:hAnsi="Simplified Arabic" w:cs="Simplified Arabic" w:hint="cs"/>
                <w:sz w:val="24"/>
                <w:szCs w:val="24"/>
                <w:rtl/>
              </w:rPr>
              <w:t>عدد السكان</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26021</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50800</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69620</w:t>
            </w:r>
          </w:p>
        </w:tc>
        <w:tc>
          <w:tcPr>
            <w:tcW w:w="111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103202</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123236</w:t>
            </w:r>
          </w:p>
        </w:tc>
        <w:tc>
          <w:tcPr>
            <w:tcW w:w="1015"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187407</w:t>
            </w:r>
          </w:p>
        </w:tc>
      </w:tr>
      <w:tr w:rsidR="000635D8" w:rsidRPr="00547ECF" w:rsidTr="000635D8">
        <w:trPr>
          <w:trHeight w:val="410"/>
          <w:jc w:val="center"/>
        </w:trPr>
        <w:tc>
          <w:tcPr>
            <w:tcW w:w="2456" w:type="dxa"/>
            <w:vAlign w:val="center"/>
          </w:tcPr>
          <w:p w:rsidR="000635D8" w:rsidRPr="00547ECF" w:rsidRDefault="000635D8" w:rsidP="000635D8">
            <w:pPr>
              <w:bidi/>
              <w:rPr>
                <w:rFonts w:ascii="Simplified Arabic" w:hAnsi="Simplified Arabic" w:cs="Simplified Arabic"/>
                <w:sz w:val="24"/>
                <w:szCs w:val="24"/>
                <w:rtl/>
              </w:rPr>
            </w:pPr>
            <w:r w:rsidRPr="00547ECF">
              <w:rPr>
                <w:rFonts w:ascii="Simplified Arabic" w:hAnsi="Simplified Arabic" w:cs="Simplified Arabic" w:hint="cs"/>
                <w:sz w:val="24"/>
                <w:szCs w:val="24"/>
                <w:rtl/>
              </w:rPr>
              <w:t>معدل الزيادة السنوية (البلدية)</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6.50</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6.75</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4.40</w:t>
            </w:r>
          </w:p>
        </w:tc>
        <w:tc>
          <w:tcPr>
            <w:tcW w:w="111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3.40</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2.39</w:t>
            </w:r>
          </w:p>
        </w:tc>
        <w:tc>
          <w:tcPr>
            <w:tcW w:w="1015"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2.44</w:t>
            </w:r>
          </w:p>
        </w:tc>
      </w:tr>
      <w:tr w:rsidR="000635D8" w:rsidRPr="00547ECF" w:rsidTr="000635D8">
        <w:trPr>
          <w:trHeight w:val="410"/>
          <w:jc w:val="center"/>
        </w:trPr>
        <w:tc>
          <w:tcPr>
            <w:tcW w:w="2456" w:type="dxa"/>
            <w:vAlign w:val="center"/>
          </w:tcPr>
          <w:p w:rsidR="000635D8" w:rsidRPr="00547ECF" w:rsidRDefault="000635D8" w:rsidP="000635D8">
            <w:pPr>
              <w:bidi/>
              <w:rPr>
                <w:rFonts w:ascii="Simplified Arabic" w:hAnsi="Simplified Arabic" w:cs="Simplified Arabic"/>
                <w:sz w:val="24"/>
                <w:szCs w:val="24"/>
                <w:rtl/>
              </w:rPr>
            </w:pPr>
            <w:r w:rsidRPr="00547ECF">
              <w:rPr>
                <w:rFonts w:ascii="Simplified Arabic" w:hAnsi="Simplified Arabic" w:cs="Simplified Arabic" w:hint="cs"/>
                <w:sz w:val="24"/>
                <w:szCs w:val="24"/>
                <w:rtl/>
              </w:rPr>
              <w:t>معدل الزيادة السنوية (الوطن)</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3.14</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4.05</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4.62</w:t>
            </w:r>
          </w:p>
        </w:tc>
        <w:tc>
          <w:tcPr>
            <w:tcW w:w="111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3.00</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3.26</w:t>
            </w:r>
          </w:p>
        </w:tc>
        <w:tc>
          <w:tcPr>
            <w:tcW w:w="1015"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3.4</w:t>
            </w:r>
          </w:p>
        </w:tc>
      </w:tr>
      <w:tr w:rsidR="000635D8" w:rsidRPr="00547ECF" w:rsidTr="000635D8">
        <w:trPr>
          <w:trHeight w:val="410"/>
          <w:jc w:val="center"/>
        </w:trPr>
        <w:tc>
          <w:tcPr>
            <w:tcW w:w="2456" w:type="dxa"/>
            <w:vAlign w:val="center"/>
          </w:tcPr>
          <w:p w:rsidR="000635D8" w:rsidRPr="00547ECF" w:rsidRDefault="000635D8" w:rsidP="000635D8">
            <w:pPr>
              <w:bidi/>
              <w:rPr>
                <w:rFonts w:ascii="Simplified Arabic" w:hAnsi="Simplified Arabic" w:cs="Simplified Arabic"/>
                <w:sz w:val="24"/>
                <w:szCs w:val="24"/>
                <w:rtl/>
              </w:rPr>
            </w:pPr>
            <w:r w:rsidRPr="00547ECF">
              <w:rPr>
                <w:rFonts w:ascii="Simplified Arabic" w:hAnsi="Simplified Arabic" w:cs="Simplified Arabic" w:hint="cs"/>
                <w:sz w:val="24"/>
                <w:szCs w:val="24"/>
                <w:rtl/>
              </w:rPr>
              <w:t>معدل الهجرة السنوية</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(+3.76)</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(-0.85)</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(-0.22)</w:t>
            </w:r>
          </w:p>
        </w:tc>
        <w:tc>
          <w:tcPr>
            <w:tcW w:w="111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w:t>
            </w:r>
          </w:p>
        </w:tc>
        <w:tc>
          <w:tcPr>
            <w:tcW w:w="992"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w:t>
            </w:r>
          </w:p>
        </w:tc>
        <w:tc>
          <w:tcPr>
            <w:tcW w:w="1015" w:type="dxa"/>
            <w:vAlign w:val="center"/>
          </w:tcPr>
          <w:p w:rsidR="000635D8" w:rsidRPr="00547ECF" w:rsidRDefault="000635D8" w:rsidP="000635D8">
            <w:pPr>
              <w:bidi/>
              <w:jc w:val="center"/>
              <w:rPr>
                <w:rFonts w:ascii="Simplified Arabic" w:hAnsi="Simplified Arabic" w:cs="Simplified Arabic"/>
                <w:sz w:val="24"/>
                <w:szCs w:val="24"/>
                <w:rtl/>
              </w:rPr>
            </w:pPr>
            <w:r w:rsidRPr="00547ECF">
              <w:rPr>
                <w:rFonts w:ascii="Simplified Arabic" w:hAnsi="Simplified Arabic" w:cs="Simplified Arabic" w:hint="cs"/>
                <w:sz w:val="24"/>
                <w:szCs w:val="24"/>
                <w:rtl/>
              </w:rPr>
              <w:t>-</w:t>
            </w:r>
          </w:p>
        </w:tc>
      </w:tr>
    </w:tbl>
    <w:p w:rsidR="004A6317" w:rsidRDefault="004A6317" w:rsidP="00370143">
      <w:pPr>
        <w:bidi/>
        <w:spacing w:before="240" w:after="0"/>
        <w:ind w:firstLine="283"/>
        <w:jc w:val="both"/>
        <w:rPr>
          <w:rFonts w:ascii="Simplified Arabic" w:hAnsi="Simplified Arabic" w:cs="Simplified Arabic"/>
          <w:sz w:val="24"/>
          <w:szCs w:val="24"/>
          <w:rtl/>
        </w:rPr>
      </w:pPr>
      <w:r w:rsidRPr="001F2054">
        <w:rPr>
          <w:rFonts w:ascii="Simplified Arabic" w:hAnsi="Simplified Arabic" w:cs="Simplified Arabic"/>
          <w:sz w:val="24"/>
          <w:szCs w:val="24"/>
          <w:rtl/>
        </w:rPr>
        <w:t>بعد</w:t>
      </w:r>
      <w:r w:rsidRPr="001F2054">
        <w:rPr>
          <w:rFonts w:ascii="Simplified Arabic" w:hAnsi="Simplified Arabic" w:cs="Simplified Arabic"/>
          <w:sz w:val="24"/>
          <w:szCs w:val="24"/>
        </w:rPr>
        <w:t xml:space="preserve"> </w:t>
      </w:r>
      <w:r w:rsidRPr="001F2054">
        <w:rPr>
          <w:rFonts w:ascii="Simplified Arabic" w:hAnsi="Simplified Arabic" w:cs="Simplified Arabic"/>
          <w:sz w:val="24"/>
          <w:szCs w:val="24"/>
          <w:rtl/>
        </w:rPr>
        <w:t>الاستقلال</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ظ</w:t>
      </w:r>
      <w:r w:rsidRPr="001F2054">
        <w:rPr>
          <w:rFonts w:ascii="Simplified Arabic" w:hAnsi="Simplified Arabic" w:cs="Simplified Arabic" w:hint="cs"/>
          <w:sz w:val="24"/>
          <w:szCs w:val="24"/>
          <w:rtl/>
        </w:rPr>
        <w:t>ه</w:t>
      </w:r>
      <w:r w:rsidRPr="001F2054">
        <w:rPr>
          <w:rFonts w:ascii="Simplified Arabic" w:hAnsi="Simplified Arabic" w:cs="Simplified Arabic"/>
          <w:sz w:val="24"/>
          <w:szCs w:val="24"/>
          <w:rtl/>
        </w:rPr>
        <w:t>ر</w:t>
      </w:r>
      <w:r w:rsidRPr="001F2054">
        <w:rPr>
          <w:rFonts w:ascii="Simplified Arabic" w:hAnsi="Simplified Arabic" w:cs="Simplified Arabic"/>
          <w:sz w:val="24"/>
          <w:szCs w:val="24"/>
        </w:rPr>
        <w:t xml:space="preserve"> </w:t>
      </w:r>
      <w:r w:rsidRPr="001F2054">
        <w:rPr>
          <w:rFonts w:ascii="Simplified Arabic" w:hAnsi="Simplified Arabic" w:cs="Simplified Arabic"/>
          <w:sz w:val="24"/>
          <w:szCs w:val="24"/>
          <w:rtl/>
        </w:rPr>
        <w:t>التوزيع</w:t>
      </w:r>
      <w:r w:rsidRPr="001F2054">
        <w:rPr>
          <w:rFonts w:ascii="Simplified Arabic" w:hAnsi="Simplified Arabic" w:cs="Simplified Arabic"/>
          <w:sz w:val="24"/>
          <w:szCs w:val="24"/>
        </w:rPr>
        <w:t xml:space="preserve"> </w:t>
      </w:r>
      <w:r w:rsidRPr="001F2054">
        <w:rPr>
          <w:rFonts w:ascii="Simplified Arabic" w:hAnsi="Simplified Arabic" w:cs="Simplified Arabic"/>
          <w:sz w:val="24"/>
          <w:szCs w:val="24"/>
          <w:rtl/>
        </w:rPr>
        <w:t>المتباين</w:t>
      </w:r>
      <w:r w:rsidRPr="001F2054">
        <w:rPr>
          <w:rFonts w:ascii="Simplified Arabic" w:hAnsi="Simplified Arabic" w:cs="Simplified Arabic"/>
          <w:sz w:val="24"/>
          <w:szCs w:val="24"/>
        </w:rPr>
        <w:t xml:space="preserve"> </w:t>
      </w:r>
      <w:r w:rsidRPr="001F2054">
        <w:rPr>
          <w:rFonts w:ascii="Simplified Arabic" w:hAnsi="Simplified Arabic" w:cs="Simplified Arabic"/>
          <w:sz w:val="24"/>
          <w:szCs w:val="24"/>
          <w:rtl/>
        </w:rPr>
        <w:t>وغير</w:t>
      </w:r>
      <w:r w:rsidRPr="001F2054">
        <w:rPr>
          <w:rFonts w:ascii="Simplified Arabic" w:hAnsi="Simplified Arabic" w:cs="Simplified Arabic"/>
          <w:sz w:val="24"/>
          <w:szCs w:val="24"/>
        </w:rPr>
        <w:t xml:space="preserve"> </w:t>
      </w:r>
      <w:r w:rsidRPr="001F2054">
        <w:rPr>
          <w:rFonts w:ascii="Simplified Arabic" w:hAnsi="Simplified Arabic" w:cs="Simplified Arabic"/>
          <w:sz w:val="24"/>
          <w:szCs w:val="24"/>
          <w:rtl/>
        </w:rPr>
        <w:t>المتجانس</w:t>
      </w:r>
      <w:r w:rsidRPr="001F2054">
        <w:rPr>
          <w:rFonts w:ascii="Simplified Arabic" w:hAnsi="Simplified Arabic" w:cs="Simplified Arabic"/>
          <w:sz w:val="24"/>
          <w:szCs w:val="24"/>
        </w:rPr>
        <w:t xml:space="preserve"> </w:t>
      </w:r>
      <w:r w:rsidRPr="001F2054">
        <w:rPr>
          <w:rFonts w:ascii="Simplified Arabic" w:hAnsi="Simplified Arabic" w:cs="Simplified Arabic" w:hint="cs"/>
          <w:sz w:val="24"/>
          <w:szCs w:val="24"/>
          <w:rtl/>
        </w:rPr>
        <w:t>للسكان</w:t>
      </w:r>
      <w:r w:rsidRPr="001F2054">
        <w:rPr>
          <w:rFonts w:ascii="Simplified Arabic" w:hAnsi="Simplified Arabic" w:cs="Simplified Arabic"/>
          <w:sz w:val="24"/>
          <w:szCs w:val="24"/>
        </w:rPr>
        <w:t xml:space="preserve"> </w:t>
      </w:r>
      <w:r w:rsidRPr="001F2054">
        <w:rPr>
          <w:rFonts w:ascii="Simplified Arabic" w:hAnsi="Simplified Arabic" w:cs="Simplified Arabic" w:hint="cs"/>
          <w:sz w:val="24"/>
          <w:szCs w:val="24"/>
          <w:rtl/>
        </w:rPr>
        <w:t>بسبب غ</w:t>
      </w:r>
      <w:r w:rsidRPr="001F2054">
        <w:rPr>
          <w:rFonts w:ascii="Simplified Arabic" w:hAnsi="Simplified Arabic" w:cs="Simplified Arabic"/>
          <w:sz w:val="24"/>
          <w:szCs w:val="24"/>
          <w:rtl/>
        </w:rPr>
        <w:t>ياب</w:t>
      </w:r>
      <w:r w:rsidRPr="001F2054">
        <w:rPr>
          <w:rFonts w:ascii="Simplified Arabic" w:hAnsi="Simplified Arabic" w:cs="Simplified Arabic"/>
          <w:sz w:val="24"/>
          <w:szCs w:val="24"/>
        </w:rPr>
        <w:t xml:space="preserve"> </w:t>
      </w:r>
      <w:r w:rsidRPr="001F2054">
        <w:rPr>
          <w:rFonts w:ascii="Simplified Arabic" w:hAnsi="Simplified Arabic" w:cs="Simplified Arabic" w:hint="cs"/>
          <w:sz w:val="24"/>
          <w:szCs w:val="24"/>
          <w:rtl/>
        </w:rPr>
        <w:t>تام ل</w:t>
      </w:r>
      <w:r w:rsidRPr="001F2054">
        <w:rPr>
          <w:rFonts w:ascii="Simplified Arabic" w:hAnsi="Simplified Arabic" w:cs="Simplified Arabic"/>
          <w:sz w:val="24"/>
          <w:szCs w:val="24"/>
          <w:rtl/>
        </w:rPr>
        <w:t>تصور</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تنمية</w:t>
      </w:r>
      <w:r w:rsidRPr="001F2054">
        <w:rPr>
          <w:rFonts w:ascii="Simplified Arabic" w:hAnsi="Simplified Arabic" w:cs="Simplified Arabic"/>
          <w:sz w:val="24"/>
          <w:szCs w:val="24"/>
        </w:rPr>
        <w:t xml:space="preserve"> </w:t>
      </w:r>
      <w:r w:rsidRPr="001F2054">
        <w:rPr>
          <w:rFonts w:ascii="Simplified Arabic" w:hAnsi="Simplified Arabic" w:cs="Simplified Arabic" w:hint="cs"/>
          <w:sz w:val="24"/>
          <w:szCs w:val="24"/>
          <w:rtl/>
        </w:rPr>
        <w:t>إقليميه</w:t>
      </w:r>
      <w:r w:rsidRPr="001F2054">
        <w:rPr>
          <w:rFonts w:ascii="Simplified Arabic" w:hAnsi="Simplified Arabic" w:cs="Simplified Arabic"/>
          <w:sz w:val="24"/>
          <w:szCs w:val="24"/>
        </w:rPr>
        <w:t xml:space="preserve"> </w:t>
      </w:r>
      <w:r w:rsidRPr="001F2054">
        <w:rPr>
          <w:rFonts w:ascii="Simplified Arabic" w:hAnsi="Simplified Arabic" w:cs="Simplified Arabic"/>
          <w:sz w:val="24"/>
          <w:szCs w:val="24"/>
          <w:rtl/>
        </w:rPr>
        <w:t>لمنطقة</w:t>
      </w:r>
      <w:r w:rsidRPr="001F2054">
        <w:rPr>
          <w:rFonts w:ascii="Simplified Arabic" w:hAnsi="Simplified Arabic" w:cs="Simplified Arabic" w:hint="cs"/>
          <w:sz w:val="24"/>
          <w:szCs w:val="24"/>
          <w:rtl/>
        </w:rPr>
        <w:t xml:space="preserve"> ال</w:t>
      </w:r>
      <w:r w:rsidRPr="001F2054">
        <w:rPr>
          <w:rFonts w:ascii="Simplified Arabic" w:hAnsi="Simplified Arabic" w:cs="Simplified Arabic"/>
          <w:sz w:val="24"/>
          <w:szCs w:val="24"/>
          <w:rtl/>
        </w:rPr>
        <w:t>جنوب</w:t>
      </w:r>
      <w:r w:rsidRPr="001F2054">
        <w:rPr>
          <w:rFonts w:ascii="Simplified Arabic" w:hAnsi="Simplified Arabic" w:cs="Simplified Arabic" w:hint="cs"/>
          <w:sz w:val="24"/>
          <w:szCs w:val="24"/>
          <w:rtl/>
        </w:rPr>
        <w:t xml:space="preserve"> من </w:t>
      </w:r>
      <w:r w:rsidRPr="001F2054">
        <w:rPr>
          <w:rFonts w:ascii="Simplified Arabic" w:hAnsi="Simplified Arabic" w:cs="Simplified Arabic"/>
          <w:sz w:val="24"/>
          <w:szCs w:val="24"/>
          <w:rtl/>
        </w:rPr>
        <w:t>ا</w:t>
      </w:r>
      <w:r w:rsidRPr="001F2054">
        <w:rPr>
          <w:rFonts w:ascii="Simplified Arabic" w:hAnsi="Simplified Arabic" w:cs="Simplified Arabic" w:hint="cs"/>
          <w:sz w:val="24"/>
          <w:szCs w:val="24"/>
          <w:rtl/>
        </w:rPr>
        <w:t>ل</w:t>
      </w:r>
      <w:r w:rsidRPr="001F2054">
        <w:rPr>
          <w:rFonts w:ascii="Simplified Arabic" w:hAnsi="Simplified Arabic" w:cs="Simplified Arabic"/>
          <w:sz w:val="24"/>
          <w:szCs w:val="24"/>
          <w:rtl/>
        </w:rPr>
        <w:t>ولاية</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وتركزت</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التنمية</w:t>
      </w:r>
      <w:r w:rsidRPr="001F2054">
        <w:rPr>
          <w:rFonts w:ascii="Simplified Arabic" w:hAnsi="Simplified Arabic" w:cs="Simplified Arabic" w:hint="cs"/>
          <w:sz w:val="24"/>
          <w:szCs w:val="24"/>
          <w:rtl/>
        </w:rPr>
        <w:t xml:space="preserve"> في </w:t>
      </w:r>
      <w:r w:rsidRPr="001F2054">
        <w:rPr>
          <w:rFonts w:ascii="Simplified Arabic" w:hAnsi="Simplified Arabic" w:cs="Simplified Arabic"/>
          <w:sz w:val="24"/>
          <w:szCs w:val="24"/>
          <w:rtl/>
        </w:rPr>
        <w:t>مدينة</w:t>
      </w:r>
      <w:r w:rsidRPr="001F2054">
        <w:rPr>
          <w:rFonts w:ascii="Simplified Arabic" w:hAnsi="Simplified Arabic" w:cs="Simplified Arabic" w:hint="cs"/>
          <w:sz w:val="24"/>
          <w:szCs w:val="24"/>
          <w:rtl/>
        </w:rPr>
        <w:t xml:space="preserve"> ب</w:t>
      </w:r>
      <w:r w:rsidRPr="001F2054">
        <w:rPr>
          <w:rFonts w:ascii="Simplified Arabic" w:hAnsi="Simplified Arabic" w:cs="Simplified Arabic"/>
          <w:sz w:val="24"/>
          <w:szCs w:val="24"/>
          <w:rtl/>
        </w:rPr>
        <w:t>وسعادة</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فقط</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بالتالي</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أحد</w:t>
      </w:r>
      <w:r w:rsidRPr="001F2054">
        <w:rPr>
          <w:rFonts w:ascii="Simplified Arabic" w:hAnsi="Simplified Arabic" w:cs="Simplified Arabic" w:hint="cs"/>
          <w:sz w:val="24"/>
          <w:szCs w:val="24"/>
          <w:rtl/>
        </w:rPr>
        <w:t>ث ه</w:t>
      </w:r>
      <w:r w:rsidRPr="001F2054">
        <w:rPr>
          <w:rFonts w:ascii="Simplified Arabic" w:hAnsi="Simplified Arabic" w:cs="Simplified Arabic"/>
          <w:sz w:val="24"/>
          <w:szCs w:val="24"/>
          <w:rtl/>
        </w:rPr>
        <w:t>ذا</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فارقا</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في</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مستويات</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الخدمة</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التي</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تقدم</w:t>
      </w:r>
      <w:r w:rsidRPr="001F2054">
        <w:rPr>
          <w:rFonts w:ascii="Simplified Arabic" w:hAnsi="Simplified Arabic" w:cs="Simplified Arabic" w:hint="cs"/>
          <w:sz w:val="24"/>
          <w:szCs w:val="24"/>
          <w:rtl/>
        </w:rPr>
        <w:t>ه</w:t>
      </w:r>
      <w:r w:rsidRPr="001F2054">
        <w:rPr>
          <w:rFonts w:ascii="Simplified Arabic" w:hAnsi="Simplified Arabic" w:cs="Simplified Arabic"/>
          <w:sz w:val="24"/>
          <w:szCs w:val="24"/>
          <w:rtl/>
        </w:rPr>
        <w:t>ا</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التج</w:t>
      </w:r>
      <w:r w:rsidRPr="001F2054">
        <w:rPr>
          <w:rFonts w:ascii="Simplified Arabic" w:hAnsi="Simplified Arabic" w:cs="Simplified Arabic" w:hint="cs"/>
          <w:sz w:val="24"/>
          <w:szCs w:val="24"/>
          <w:rtl/>
        </w:rPr>
        <w:t>ه</w:t>
      </w:r>
      <w:r w:rsidRPr="001F2054">
        <w:rPr>
          <w:rFonts w:ascii="Simplified Arabic" w:hAnsi="Simplified Arabic" w:cs="Simplified Arabic"/>
          <w:sz w:val="24"/>
          <w:szCs w:val="24"/>
          <w:rtl/>
        </w:rPr>
        <w:t>يز</w:t>
      </w:r>
      <w:r w:rsidRPr="001F2054">
        <w:rPr>
          <w:rFonts w:ascii="Simplified Arabic" w:hAnsi="Simplified Arabic" w:cs="Simplified Arabic" w:hint="cs"/>
          <w:sz w:val="24"/>
          <w:szCs w:val="24"/>
          <w:rtl/>
        </w:rPr>
        <w:t>ا</w:t>
      </w:r>
      <w:r w:rsidRPr="001F2054">
        <w:rPr>
          <w:rFonts w:ascii="Simplified Arabic" w:hAnsi="Simplified Arabic" w:cs="Simplified Arabic"/>
          <w:sz w:val="24"/>
          <w:szCs w:val="24"/>
          <w:rtl/>
        </w:rPr>
        <w:t>ت</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وال</w:t>
      </w:r>
      <w:r w:rsidRPr="001F2054">
        <w:rPr>
          <w:rFonts w:ascii="Simplified Arabic" w:hAnsi="Simplified Arabic" w:cs="Simplified Arabic" w:hint="cs"/>
          <w:sz w:val="24"/>
          <w:szCs w:val="24"/>
          <w:rtl/>
        </w:rPr>
        <w:t>ه</w:t>
      </w:r>
      <w:r w:rsidRPr="001F2054">
        <w:rPr>
          <w:rFonts w:ascii="Simplified Arabic" w:hAnsi="Simplified Arabic" w:cs="Simplified Arabic"/>
          <w:sz w:val="24"/>
          <w:szCs w:val="24"/>
          <w:rtl/>
        </w:rPr>
        <w:t>ياكل</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القاعدية</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مقارنة</w:t>
      </w:r>
      <w:r w:rsidRPr="001F2054">
        <w:rPr>
          <w:rFonts w:ascii="Simplified Arabic" w:hAnsi="Simplified Arabic" w:cs="Simplified Arabic" w:hint="cs"/>
          <w:sz w:val="24"/>
          <w:szCs w:val="24"/>
          <w:rtl/>
        </w:rPr>
        <w:t xml:space="preserve"> مع </w:t>
      </w:r>
      <w:r w:rsidRPr="001F2054">
        <w:rPr>
          <w:rFonts w:ascii="Simplified Arabic" w:hAnsi="Simplified Arabic" w:cs="Simplified Arabic"/>
          <w:sz w:val="24"/>
          <w:szCs w:val="24"/>
          <w:rtl/>
        </w:rPr>
        <w:t>ما</w:t>
      </w:r>
      <w:r w:rsidRPr="001F2054">
        <w:rPr>
          <w:rFonts w:ascii="Simplified Arabic" w:hAnsi="Simplified Arabic" w:cs="Simplified Arabic" w:hint="cs"/>
          <w:sz w:val="24"/>
          <w:szCs w:val="24"/>
          <w:rtl/>
        </w:rPr>
        <w:t xml:space="preserve"> ه</w:t>
      </w:r>
      <w:r w:rsidRPr="001F2054">
        <w:rPr>
          <w:rFonts w:ascii="Simplified Arabic" w:hAnsi="Simplified Arabic" w:cs="Simplified Arabic"/>
          <w:sz w:val="24"/>
          <w:szCs w:val="24"/>
          <w:rtl/>
        </w:rPr>
        <w:t>و</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موجود</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في</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المناطق</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المجاورة</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و</w:t>
      </w:r>
      <w:r w:rsidRPr="001F2054">
        <w:rPr>
          <w:rFonts w:ascii="Simplified Arabic" w:hAnsi="Simplified Arabic" w:cs="Simplified Arabic" w:hint="cs"/>
          <w:sz w:val="24"/>
          <w:szCs w:val="24"/>
          <w:rtl/>
        </w:rPr>
        <w:t>ه</w:t>
      </w:r>
      <w:r w:rsidRPr="001F2054">
        <w:rPr>
          <w:rFonts w:ascii="Simplified Arabic" w:hAnsi="Simplified Arabic" w:cs="Simplified Arabic"/>
          <w:sz w:val="24"/>
          <w:szCs w:val="24"/>
          <w:rtl/>
        </w:rPr>
        <w:t>ذا</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ما</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دفع</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الكثيرين</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ل</w:t>
      </w:r>
      <w:r w:rsidRPr="001F2054">
        <w:rPr>
          <w:rFonts w:ascii="Simplified Arabic" w:hAnsi="Simplified Arabic" w:cs="Simplified Arabic" w:hint="cs"/>
          <w:sz w:val="24"/>
          <w:szCs w:val="24"/>
          <w:rtl/>
        </w:rPr>
        <w:t>ل</w:t>
      </w:r>
      <w:r w:rsidRPr="001F2054">
        <w:rPr>
          <w:rFonts w:ascii="Simplified Arabic" w:hAnsi="Simplified Arabic" w:cs="Simplified Arabic"/>
          <w:sz w:val="24"/>
          <w:szCs w:val="24"/>
          <w:rtl/>
        </w:rPr>
        <w:t>نزوح</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نحو</w:t>
      </w:r>
      <w:r w:rsidRPr="001F2054">
        <w:rPr>
          <w:rFonts w:ascii="Simplified Arabic" w:hAnsi="Simplified Arabic" w:cs="Simplified Arabic" w:hint="cs"/>
          <w:sz w:val="24"/>
          <w:szCs w:val="24"/>
          <w:rtl/>
        </w:rPr>
        <w:t xml:space="preserve"> </w:t>
      </w:r>
      <w:r w:rsidRPr="001F2054">
        <w:rPr>
          <w:rFonts w:ascii="Simplified Arabic" w:hAnsi="Simplified Arabic" w:cs="Simplified Arabic"/>
          <w:sz w:val="24"/>
          <w:szCs w:val="24"/>
          <w:rtl/>
        </w:rPr>
        <w:t>المدينة</w:t>
      </w:r>
      <w:r w:rsidRPr="001F2054">
        <w:rPr>
          <w:rFonts w:ascii="Simplified Arabic" w:hAnsi="Simplified Arabic" w:cs="Simplified Arabic"/>
          <w:sz w:val="24"/>
          <w:szCs w:val="24"/>
        </w:rPr>
        <w:t>.</w:t>
      </w:r>
    </w:p>
    <w:p w:rsidR="000635D8" w:rsidRDefault="000635D8" w:rsidP="004A6317">
      <w:pPr>
        <w:autoSpaceDE w:val="0"/>
        <w:autoSpaceDN w:val="0"/>
        <w:bidi/>
        <w:adjustRightInd w:val="0"/>
        <w:spacing w:after="0"/>
        <w:ind w:firstLine="283"/>
        <w:jc w:val="both"/>
        <w:rPr>
          <w:rFonts w:ascii="Simplified Arabic" w:hAnsi="Simplified Arabic" w:cs="Simplified Arabic"/>
          <w:sz w:val="24"/>
          <w:szCs w:val="24"/>
        </w:rPr>
      </w:pPr>
      <w:r w:rsidRPr="008254EA">
        <w:rPr>
          <w:rFonts w:ascii="Simplified Arabic" w:hAnsi="Simplified Arabic" w:cs="Simplified Arabic" w:hint="cs"/>
          <w:sz w:val="24"/>
          <w:szCs w:val="24"/>
          <w:rtl/>
        </w:rPr>
        <w:t>الدراسة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التحليلية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لمعدل</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الزيادة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السكان</w:t>
      </w:r>
      <w:r>
        <w:rPr>
          <w:rFonts w:ascii="Simplified Arabic" w:hAnsi="Simplified Arabic" w:cs="Simplified Arabic" w:hint="cs"/>
          <w:sz w:val="24"/>
          <w:szCs w:val="24"/>
          <w:rtl/>
        </w:rPr>
        <w:t>ية</w:t>
      </w:r>
      <w:r w:rsidRPr="008254EA">
        <w:rPr>
          <w:rFonts w:ascii="Simplified Arabic" w:hAnsi="Simplified Arabic" w:cs="Simplified Arabic" w:hint="cs"/>
          <w:sz w:val="24"/>
          <w:szCs w:val="24"/>
          <w:rtl/>
        </w:rPr>
        <w:t>،</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بين ان </w:t>
      </w:r>
      <w:r>
        <w:rPr>
          <w:rFonts w:ascii="Simplified Arabic" w:hAnsi="Simplified Arabic" w:cs="Simplified Arabic" w:hint="cs"/>
          <w:sz w:val="24"/>
          <w:szCs w:val="24"/>
          <w:rtl/>
        </w:rPr>
        <w:t>ميزان</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الهجرة</w:t>
      </w:r>
      <w:r w:rsidRPr="008254EA">
        <w:rPr>
          <w:rFonts w:ascii="Simplified Arabic" w:hAnsi="Simplified Arabic" w:cs="Simplified Arabic"/>
          <w:sz w:val="24"/>
          <w:szCs w:val="24"/>
          <w:rtl/>
        </w:rPr>
        <w:t xml:space="preserve"> </w:t>
      </w:r>
      <w:r w:rsidRPr="007B79FD">
        <w:rPr>
          <w:rFonts w:asciiTheme="majorBidi" w:hAnsiTheme="majorBidi" w:cstheme="majorBidi"/>
          <w:sz w:val="24"/>
          <w:szCs w:val="24"/>
          <w:rtl/>
        </w:rPr>
        <w:t>(</w:t>
      </w:r>
      <w:r>
        <w:rPr>
          <w:rFonts w:asciiTheme="majorBidi" w:hAnsiTheme="majorBidi" w:cstheme="majorBidi"/>
          <w:sz w:val="24"/>
          <w:szCs w:val="24"/>
        </w:rPr>
        <w:t>MB</w:t>
      </w:r>
      <w:r w:rsidRPr="007B79FD">
        <w:rPr>
          <w:rFonts w:asciiTheme="majorBidi" w:hAnsiTheme="majorBidi" w:cstheme="majorBidi"/>
          <w:sz w:val="24"/>
          <w:szCs w:val="24"/>
          <w:rtl/>
        </w:rPr>
        <w:t>)</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بين</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عامي</w:t>
      </w:r>
      <w:r w:rsidRPr="008254EA">
        <w:rPr>
          <w:rFonts w:ascii="Simplified Arabic" w:hAnsi="Simplified Arabic" w:cs="Simplified Arabic"/>
          <w:sz w:val="24"/>
          <w:szCs w:val="24"/>
          <w:rtl/>
        </w:rPr>
        <w:t xml:space="preserve"> 1966 </w:t>
      </w:r>
      <w:r w:rsidRPr="008254EA">
        <w:rPr>
          <w:rFonts w:ascii="Simplified Arabic" w:hAnsi="Simplified Arabic" w:cs="Simplified Arabic" w:hint="cs"/>
          <w:sz w:val="24"/>
          <w:szCs w:val="24"/>
          <w:rtl/>
        </w:rPr>
        <w:t>و</w:t>
      </w:r>
      <w:r w:rsidRPr="008254EA">
        <w:rPr>
          <w:rFonts w:ascii="Simplified Arabic" w:hAnsi="Simplified Arabic" w:cs="Simplified Arabic"/>
          <w:sz w:val="24"/>
          <w:szCs w:val="24"/>
          <w:rtl/>
        </w:rPr>
        <w:t xml:space="preserve"> 1977 </w:t>
      </w:r>
      <w:r>
        <w:rPr>
          <w:rFonts w:ascii="Simplified Arabic" w:hAnsi="Simplified Arabic" w:cs="Simplified Arabic" w:hint="cs"/>
          <w:sz w:val="24"/>
          <w:szCs w:val="24"/>
          <w:rtl/>
        </w:rPr>
        <w:t xml:space="preserve">كان مرتفعا </w:t>
      </w:r>
      <w:r w:rsidRPr="008254EA">
        <w:rPr>
          <w:rFonts w:ascii="Simplified Arabic" w:hAnsi="Simplified Arabic" w:cs="Simplified Arabic" w:hint="cs"/>
          <w:sz w:val="24"/>
          <w:szCs w:val="24"/>
          <w:rtl/>
        </w:rPr>
        <w:t>والذي</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يساوي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3.76</w:t>
      </w:r>
      <w:r w:rsidRPr="008254EA">
        <w:rPr>
          <w:rFonts w:ascii="Simplified Arabic" w:hAnsi="Simplified Arabic" w:cs="Simplified Arabic" w:hint="cs"/>
          <w:sz w:val="24"/>
          <w:szCs w:val="24"/>
          <w:rtl/>
        </w:rPr>
        <w:t>،</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مما</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يعني</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أن</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بلدية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بوسع</w:t>
      </w:r>
      <w:r>
        <w:rPr>
          <w:rFonts w:ascii="Simplified Arabic" w:hAnsi="Simplified Arabic" w:cs="Simplified Arabic" w:hint="cs"/>
          <w:sz w:val="24"/>
          <w:szCs w:val="24"/>
          <w:rtl/>
        </w:rPr>
        <w:t>ا</w:t>
      </w:r>
      <w:r w:rsidRPr="008254EA">
        <w:rPr>
          <w:rFonts w:ascii="Simplified Arabic" w:hAnsi="Simplified Arabic" w:cs="Simplified Arabic" w:hint="cs"/>
          <w:sz w:val="24"/>
          <w:szCs w:val="24"/>
          <w:rtl/>
        </w:rPr>
        <w:t>د</w:t>
      </w:r>
      <w:r>
        <w:rPr>
          <w:rFonts w:ascii="Simplified Arabic" w:hAnsi="Simplified Arabic" w:cs="Simplified Arabic" w:hint="cs"/>
          <w:sz w:val="24"/>
          <w:szCs w:val="24"/>
          <w:rtl/>
        </w:rPr>
        <w:t>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كانت</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جذابة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للغاية</w:t>
      </w:r>
      <w:r>
        <w:rPr>
          <w:rFonts w:ascii="Simplified Arabic" w:hAnsi="Simplified Arabic" w:cs="Simplified Arabic" w:hint="cs"/>
          <w:sz w:val="24"/>
          <w:szCs w:val="24"/>
          <w:rtl/>
        </w:rPr>
        <w:t xml:space="preserve"> </w:t>
      </w:r>
      <w:r w:rsidRPr="00A3248C">
        <w:rPr>
          <w:rFonts w:asciiTheme="majorBidi" w:hAnsiTheme="majorBidi" w:cstheme="majorBidi"/>
          <w:sz w:val="24"/>
          <w:szCs w:val="24"/>
          <w:rtl/>
        </w:rPr>
        <w:t>(</w:t>
      </w:r>
      <w:r w:rsidRPr="00173D34">
        <w:rPr>
          <w:rFonts w:asciiTheme="majorBidi" w:hAnsiTheme="majorBidi" w:cstheme="majorBidi"/>
          <w:sz w:val="24"/>
          <w:szCs w:val="24"/>
        </w:rPr>
        <w:t>Nouibat</w:t>
      </w:r>
      <w:r w:rsidRPr="00A3248C">
        <w:rPr>
          <w:rFonts w:asciiTheme="majorBidi" w:hAnsiTheme="majorBidi" w:cstheme="majorBidi"/>
          <w:sz w:val="24"/>
          <w:szCs w:val="24"/>
        </w:rPr>
        <w:t xml:space="preserve">, </w:t>
      </w:r>
      <w:r>
        <w:rPr>
          <w:rFonts w:asciiTheme="majorBidi" w:hAnsiTheme="majorBidi" w:cstheme="majorBidi"/>
          <w:sz w:val="24"/>
          <w:szCs w:val="24"/>
        </w:rPr>
        <w:t>2007</w:t>
      </w:r>
      <w:r w:rsidRPr="00A3248C">
        <w:rPr>
          <w:rFonts w:asciiTheme="majorBidi" w:hAnsiTheme="majorBidi" w:cstheme="majorBidi"/>
          <w:sz w:val="24"/>
          <w:szCs w:val="24"/>
          <w:rtl/>
        </w:rPr>
        <w:t>)</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مما</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أدى</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إلى</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ظهور</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أحياء</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غير</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مخططة،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فضلاً</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عن</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انتشارها</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السريع</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والمفكك</w:t>
      </w:r>
      <w:r w:rsidRPr="008254EA">
        <w:rPr>
          <w:rFonts w:ascii="Simplified Arabic" w:hAnsi="Simplified Arabic" w:cs="Simplified Arabic"/>
          <w:sz w:val="24"/>
          <w:szCs w:val="24"/>
          <w:rtl/>
        </w:rPr>
        <w:t>.</w:t>
      </w:r>
      <w:r w:rsidRPr="007B79FD">
        <w:rPr>
          <w:rFonts w:ascii="Simplified Arabic" w:hAnsi="Simplified Arabic" w:cs="Simplified Arabic" w:hint="cs"/>
          <w:sz w:val="24"/>
          <w:szCs w:val="24"/>
          <w:rtl/>
        </w:rPr>
        <w:t xml:space="preserve"> </w:t>
      </w:r>
    </w:p>
    <w:p w:rsidR="000635D8" w:rsidRDefault="000635D8" w:rsidP="004A6317">
      <w:pPr>
        <w:autoSpaceDE w:val="0"/>
        <w:autoSpaceDN w:val="0"/>
        <w:bidi/>
        <w:adjustRightInd w:val="0"/>
        <w:ind w:firstLine="283"/>
        <w:jc w:val="both"/>
        <w:rPr>
          <w:rFonts w:ascii="Simplified Arabic" w:hAnsi="Simplified Arabic" w:cs="Simplified Arabic"/>
          <w:sz w:val="24"/>
          <w:szCs w:val="24"/>
          <w:rtl/>
        </w:rPr>
      </w:pPr>
      <w:r>
        <w:rPr>
          <w:rFonts w:ascii="Simplified Arabic" w:hAnsi="Simplified Arabic" w:cs="Simplified Arabic" w:hint="cs"/>
          <w:sz w:val="24"/>
          <w:szCs w:val="24"/>
          <w:rtl/>
          <w:lang w:bidi="ar-DZ"/>
        </w:rPr>
        <w:t>بين</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عامي</w:t>
      </w:r>
      <w:r w:rsidRPr="005B47A0">
        <w:rPr>
          <w:rFonts w:ascii="Simplified Arabic" w:hAnsi="Simplified Arabic" w:cs="Simplified Arabic"/>
          <w:sz w:val="24"/>
          <w:szCs w:val="24"/>
          <w:rtl/>
          <w:lang w:bidi="ar-DZ"/>
        </w:rPr>
        <w:t xml:space="preserve"> 1977 </w:t>
      </w:r>
      <w:r w:rsidRPr="005B47A0">
        <w:rPr>
          <w:rFonts w:ascii="Simplified Arabic" w:hAnsi="Simplified Arabic" w:cs="Simplified Arabic" w:hint="cs"/>
          <w:sz w:val="24"/>
          <w:szCs w:val="24"/>
          <w:rtl/>
          <w:lang w:bidi="ar-DZ"/>
        </w:rPr>
        <w:t>و</w:t>
      </w:r>
      <w:r>
        <w:rPr>
          <w:rFonts w:ascii="Simplified Arabic" w:hAnsi="Simplified Arabic" w:cs="Simplified Arabic"/>
          <w:sz w:val="24"/>
          <w:szCs w:val="24"/>
          <w:rtl/>
          <w:lang w:bidi="ar-DZ"/>
        </w:rPr>
        <w:t xml:space="preserve"> 1991</w:t>
      </w:r>
      <w:r w:rsidRPr="005B47A0">
        <w:rPr>
          <w:rFonts w:ascii="Simplified Arabic" w:hAnsi="Simplified Arabic" w:cs="Simplified Arabic" w:hint="cs"/>
          <w:sz w:val="24"/>
          <w:szCs w:val="24"/>
          <w:rtl/>
          <w:lang w:bidi="ar-DZ"/>
        </w:rPr>
        <w:t>،</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شهد</w:t>
      </w:r>
      <w:r w:rsidRPr="005B47A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rPr>
        <w:t>ميزان</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الهجرة</w:t>
      </w:r>
      <w:r w:rsidRPr="008254EA">
        <w:rPr>
          <w:rFonts w:ascii="Simplified Arabic" w:hAnsi="Simplified Arabic" w:cs="Simplified Arabic"/>
          <w:sz w:val="24"/>
          <w:szCs w:val="24"/>
          <w:rtl/>
        </w:rPr>
        <w:t xml:space="preserve"> </w:t>
      </w:r>
      <w:r w:rsidRPr="007B79FD">
        <w:rPr>
          <w:rFonts w:asciiTheme="majorBidi" w:hAnsiTheme="majorBidi" w:cstheme="majorBidi"/>
          <w:sz w:val="24"/>
          <w:szCs w:val="24"/>
          <w:rtl/>
        </w:rPr>
        <w:t>(</w:t>
      </w:r>
      <w:r>
        <w:rPr>
          <w:rFonts w:asciiTheme="majorBidi" w:hAnsiTheme="majorBidi" w:cstheme="majorBidi"/>
          <w:sz w:val="24"/>
          <w:szCs w:val="24"/>
        </w:rPr>
        <w:t>MB</w:t>
      </w:r>
      <w:r w:rsidRPr="007B79FD">
        <w:rPr>
          <w:rFonts w:asciiTheme="majorBidi" w:hAnsiTheme="majorBidi" w:cstheme="majorBidi"/>
          <w:sz w:val="24"/>
          <w:szCs w:val="24"/>
          <w:rtl/>
        </w:rPr>
        <w:t>)</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تراجعًا</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طفيفًا</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تراوح</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بين</w:t>
      </w:r>
      <w:r w:rsidRPr="005B47A0">
        <w:rPr>
          <w:rFonts w:ascii="Simplified Arabic" w:hAnsi="Simplified Arabic" w:cs="Simplified Arabic"/>
          <w:sz w:val="24"/>
          <w:szCs w:val="24"/>
          <w:rtl/>
          <w:lang w:bidi="ar-DZ"/>
        </w:rPr>
        <w:t xml:space="preserve"> -0.22٪ </w:t>
      </w:r>
      <w:r w:rsidRPr="005B47A0">
        <w:rPr>
          <w:rFonts w:ascii="Simplified Arabic" w:hAnsi="Simplified Arabic" w:cs="Simplified Arabic" w:hint="cs"/>
          <w:sz w:val="24"/>
          <w:szCs w:val="24"/>
          <w:rtl/>
          <w:lang w:bidi="ar-DZ"/>
        </w:rPr>
        <w:t>و</w:t>
      </w:r>
      <w:r w:rsidRPr="005B47A0">
        <w:rPr>
          <w:rFonts w:ascii="Simplified Arabic" w:hAnsi="Simplified Arabic" w:cs="Simplified Arabic"/>
          <w:sz w:val="24"/>
          <w:szCs w:val="24"/>
          <w:rtl/>
          <w:lang w:bidi="ar-DZ"/>
        </w:rPr>
        <w:t xml:space="preserve"> -0.85٪ </w:t>
      </w:r>
      <w:r w:rsidRPr="005B47A0">
        <w:rPr>
          <w:rFonts w:ascii="Simplified Arabic" w:hAnsi="Simplified Arabic" w:cs="Simplified Arabic" w:hint="cs"/>
          <w:sz w:val="24"/>
          <w:szCs w:val="24"/>
          <w:rtl/>
          <w:lang w:bidi="ar-DZ"/>
        </w:rPr>
        <w:t>على</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الرغم</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من</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أهمية</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معدل</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الزيادة</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الطبيعية</w:t>
      </w:r>
      <w:r w:rsidRPr="005B47A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w:t>
      </w:r>
      <w:r w:rsidRPr="005B47A0">
        <w:rPr>
          <w:rFonts w:ascii="Simplified Arabic" w:hAnsi="Simplified Arabic" w:cs="Simplified Arabic" w:hint="cs"/>
          <w:sz w:val="24"/>
          <w:szCs w:val="24"/>
          <w:rtl/>
          <w:lang w:bidi="ar-DZ"/>
        </w:rPr>
        <w:t>نفس</w:t>
      </w:r>
      <w:r w:rsidRPr="005B47A0">
        <w:rPr>
          <w:rFonts w:ascii="Simplified Arabic" w:hAnsi="Simplified Arabic" w:cs="Simplified Arabic"/>
          <w:sz w:val="24"/>
          <w:szCs w:val="24"/>
          <w:rtl/>
          <w:lang w:bidi="ar-DZ"/>
        </w:rPr>
        <w:t xml:space="preserve"> </w:t>
      </w:r>
      <w:r w:rsidRPr="005B47A0">
        <w:rPr>
          <w:rFonts w:ascii="Simplified Arabic" w:hAnsi="Simplified Arabic" w:cs="Simplified Arabic" w:hint="cs"/>
          <w:sz w:val="24"/>
          <w:szCs w:val="24"/>
          <w:rtl/>
          <w:lang w:bidi="ar-DZ"/>
        </w:rPr>
        <w:t>الفتر</w:t>
      </w:r>
      <w:r>
        <w:rPr>
          <w:rFonts w:ascii="Simplified Arabic" w:hAnsi="Simplified Arabic" w:cs="Simplified Arabic" w:hint="cs"/>
          <w:sz w:val="24"/>
          <w:szCs w:val="24"/>
          <w:rtl/>
          <w:lang w:bidi="ar-DZ"/>
        </w:rPr>
        <w:t>ة</w:t>
      </w:r>
      <w:r w:rsidRPr="005B47A0">
        <w:rPr>
          <w:rFonts w:ascii="Simplified Arabic" w:hAnsi="Simplified Arabic" w:cs="Simplified Arabic" w:hint="cs"/>
          <w:sz w:val="24"/>
          <w:szCs w:val="24"/>
          <w:rtl/>
          <w:lang w:bidi="ar-DZ"/>
        </w:rPr>
        <w:t>،</w:t>
      </w:r>
      <w:r w:rsidRPr="005B47A0">
        <w:rPr>
          <w:rFonts w:ascii="Simplified Arabic" w:hAnsi="Simplified Arabic" w:cs="Simplified Arabic"/>
          <w:sz w:val="24"/>
          <w:szCs w:val="24"/>
          <w:rtl/>
          <w:lang w:bidi="ar-DZ"/>
        </w:rPr>
        <w:t xml:space="preserve"> </w:t>
      </w:r>
      <w:r w:rsidRPr="008254EA">
        <w:rPr>
          <w:rFonts w:ascii="Simplified Arabic" w:hAnsi="Simplified Arabic" w:cs="Simplified Arabic" w:hint="cs"/>
          <w:sz w:val="24"/>
          <w:szCs w:val="24"/>
          <w:rtl/>
        </w:rPr>
        <w:t>والتي</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س</w:t>
      </w:r>
      <w:r w:rsidRPr="008254EA">
        <w:rPr>
          <w:rFonts w:ascii="Simplified Arabic" w:hAnsi="Simplified Arabic" w:cs="Simplified Arabic" w:hint="cs"/>
          <w:sz w:val="24"/>
          <w:szCs w:val="24"/>
          <w:rtl/>
        </w:rPr>
        <w:t>جلت</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استهلاك كبير للعقار وسوء </w:t>
      </w:r>
      <w:r w:rsidR="00E8765E">
        <w:rPr>
          <w:rFonts w:ascii="Simplified Arabic" w:hAnsi="Simplified Arabic" w:cs="Simplified Arabic" w:hint="cs"/>
          <w:sz w:val="24"/>
          <w:szCs w:val="24"/>
          <w:rtl/>
        </w:rPr>
        <w:t>استعمال</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الأرض،</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و</w:t>
      </w:r>
      <w:r w:rsidRPr="008254EA">
        <w:rPr>
          <w:rFonts w:ascii="Simplified Arabic" w:hAnsi="Simplified Arabic" w:cs="Simplified Arabic" w:hint="cs"/>
          <w:sz w:val="24"/>
          <w:szCs w:val="24"/>
          <w:rtl/>
        </w:rPr>
        <w:t>إنشاء</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أحياء</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غير</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مخططة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تسمى</w:t>
      </w:r>
      <w:r w:rsidRPr="008254EA">
        <w:rPr>
          <w:rFonts w:ascii="Simplified Arabic" w:hAnsi="Simplified Arabic" w:cs="Simplified Arabic"/>
          <w:sz w:val="24"/>
          <w:szCs w:val="24"/>
          <w:rtl/>
        </w:rPr>
        <w:t xml:space="preserve"> " </w:t>
      </w:r>
      <w:r w:rsidRPr="008254EA">
        <w:rPr>
          <w:rFonts w:ascii="Simplified Arabic" w:hAnsi="Simplified Arabic" w:cs="Simplified Arabic" w:hint="cs"/>
          <w:sz w:val="24"/>
          <w:szCs w:val="24"/>
          <w:rtl/>
        </w:rPr>
        <w:t>غير</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شرعية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تقع</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داخل</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حدود</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المدينة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مثل</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القيسة، ال</w:t>
      </w:r>
      <w:r w:rsidRPr="008254EA">
        <w:rPr>
          <w:rFonts w:ascii="Simplified Arabic" w:hAnsi="Simplified Arabic" w:cs="Simplified Arabic" w:hint="cs"/>
          <w:sz w:val="24"/>
          <w:szCs w:val="24"/>
          <w:rtl/>
        </w:rPr>
        <w:t>كوشة</w:t>
      </w:r>
      <w:r>
        <w:rPr>
          <w:rFonts w:ascii="Simplified Arabic" w:hAnsi="Simplified Arabic" w:cs="Simplified Arabic" w:hint="cs"/>
          <w:sz w:val="24"/>
          <w:szCs w:val="24"/>
          <w:rtl/>
        </w:rPr>
        <w:t>، ال</w:t>
      </w:r>
      <w:r w:rsidRPr="008254EA">
        <w:rPr>
          <w:rFonts w:ascii="Simplified Arabic" w:hAnsi="Simplified Arabic" w:cs="Simplified Arabic" w:hint="cs"/>
          <w:sz w:val="24"/>
          <w:szCs w:val="24"/>
          <w:rtl/>
        </w:rPr>
        <w:t>عوين</w:t>
      </w:r>
      <w:r>
        <w:rPr>
          <w:rFonts w:ascii="Simplified Arabic" w:hAnsi="Simplified Arabic" w:cs="Simplified Arabic" w:hint="cs"/>
          <w:sz w:val="24"/>
          <w:szCs w:val="24"/>
          <w:rtl/>
        </w:rPr>
        <w:t>ا</w:t>
      </w:r>
      <w:r w:rsidRPr="008254EA">
        <w:rPr>
          <w:rFonts w:ascii="Simplified Arabic" w:hAnsi="Simplified Arabic" w:cs="Simplified Arabic" w:hint="cs"/>
          <w:sz w:val="24"/>
          <w:szCs w:val="24"/>
          <w:rtl/>
        </w:rPr>
        <w:t>ت</w:t>
      </w:r>
      <w:r>
        <w:rPr>
          <w:rFonts w:ascii="Simplified Arabic" w:hAnsi="Simplified Arabic" w:cs="Simplified Arabic" w:hint="cs"/>
          <w:sz w:val="24"/>
          <w:szCs w:val="24"/>
          <w:rtl/>
        </w:rPr>
        <w:t xml:space="preserve">، </w:t>
      </w:r>
      <w:r w:rsidRPr="008254EA">
        <w:rPr>
          <w:rFonts w:ascii="Simplified Arabic" w:hAnsi="Simplified Arabic" w:cs="Simplified Arabic" w:hint="cs"/>
          <w:sz w:val="24"/>
          <w:szCs w:val="24"/>
          <w:rtl/>
        </w:rPr>
        <w:t>سيدي</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سليمان</w:t>
      </w:r>
      <w:r>
        <w:rPr>
          <w:rFonts w:ascii="Simplified Arabic" w:hAnsi="Simplified Arabic" w:cs="Simplified Arabic" w:hint="cs"/>
          <w:sz w:val="24"/>
          <w:szCs w:val="24"/>
          <w:rtl/>
        </w:rPr>
        <w:t xml:space="preserve">، </w:t>
      </w:r>
      <w:r w:rsidRPr="008254EA">
        <w:rPr>
          <w:rFonts w:ascii="Simplified Arabic" w:hAnsi="Simplified Arabic" w:cs="Simplified Arabic" w:hint="cs"/>
          <w:sz w:val="24"/>
          <w:szCs w:val="24"/>
          <w:rtl/>
        </w:rPr>
        <w:t>ميطر</w:t>
      </w:r>
      <w:r>
        <w:rPr>
          <w:rFonts w:ascii="Simplified Arabic" w:hAnsi="Simplified Arabic" w:cs="Simplified Arabic" w:hint="cs"/>
          <w:sz w:val="24"/>
          <w:szCs w:val="24"/>
          <w:rtl/>
        </w:rPr>
        <w:t>،</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8254EA">
        <w:rPr>
          <w:rFonts w:ascii="Simplified Arabic" w:hAnsi="Simplified Arabic" w:cs="Simplified Arabic" w:hint="cs"/>
          <w:sz w:val="24"/>
          <w:szCs w:val="24"/>
          <w:rtl/>
        </w:rPr>
        <w:t>دشر</w:t>
      </w:r>
      <w:r>
        <w:rPr>
          <w:rFonts w:ascii="Simplified Arabic" w:hAnsi="Simplified Arabic" w:cs="Simplified Arabic" w:hint="cs"/>
          <w:sz w:val="24"/>
          <w:szCs w:val="24"/>
          <w:rtl/>
        </w:rPr>
        <w:t>ة</w:t>
      </w:r>
      <w:r w:rsidRPr="008254EA">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8254EA">
        <w:rPr>
          <w:rFonts w:ascii="Simplified Arabic" w:hAnsi="Simplified Arabic" w:cs="Simplified Arabic" w:hint="cs"/>
          <w:sz w:val="24"/>
          <w:szCs w:val="24"/>
          <w:rtl/>
        </w:rPr>
        <w:t>قبلية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و</w:t>
      </w:r>
      <w:r>
        <w:rPr>
          <w:rFonts w:ascii="Simplified Arabic" w:hAnsi="Simplified Arabic" w:cs="Simplified Arabic" w:hint="cs"/>
          <w:sz w:val="24"/>
          <w:szCs w:val="24"/>
          <w:rtl/>
        </w:rPr>
        <w:t>ال</w:t>
      </w:r>
      <w:r w:rsidRPr="008254EA">
        <w:rPr>
          <w:rFonts w:ascii="Simplified Arabic" w:hAnsi="Simplified Arabic" w:cs="Simplified Arabic" w:hint="cs"/>
          <w:sz w:val="24"/>
          <w:szCs w:val="24"/>
          <w:rtl/>
        </w:rPr>
        <w:t>رصفة</w:t>
      </w:r>
      <w:r>
        <w:rPr>
          <w:rFonts w:ascii="Simplified Arabic" w:hAnsi="Simplified Arabic" w:cs="Simplified Arabic" w:hint="cs"/>
          <w:sz w:val="24"/>
          <w:szCs w:val="24"/>
          <w:rtl/>
        </w:rPr>
        <w:t xml:space="preserve"> </w:t>
      </w:r>
      <w:r w:rsidRPr="008254EA">
        <w:rPr>
          <w:rFonts w:ascii="Simplified Arabic" w:hAnsi="Simplified Arabic" w:cs="Simplified Arabic" w:hint="cs"/>
          <w:sz w:val="24"/>
          <w:szCs w:val="24"/>
          <w:rtl/>
        </w:rPr>
        <w:t>لا</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تلبي</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الظروف</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الصحية</w:t>
      </w:r>
      <w:r w:rsidRPr="008254EA">
        <w:rPr>
          <w:rFonts w:ascii="Simplified Arabic" w:hAnsi="Simplified Arabic" w:cs="Simplified Arabic"/>
          <w:sz w:val="24"/>
          <w:szCs w:val="24"/>
          <w:rtl/>
        </w:rPr>
        <w:t xml:space="preserve"> </w:t>
      </w:r>
      <w:r w:rsidRPr="008254EA">
        <w:rPr>
          <w:rFonts w:ascii="Simplified Arabic" w:hAnsi="Simplified Arabic" w:cs="Simplified Arabic" w:hint="cs"/>
          <w:sz w:val="24"/>
          <w:szCs w:val="24"/>
          <w:rtl/>
        </w:rPr>
        <w:t xml:space="preserve">والمعيشية </w:t>
      </w:r>
      <w:r w:rsidRPr="00A3248C">
        <w:rPr>
          <w:rFonts w:asciiTheme="majorBidi" w:hAnsiTheme="majorBidi" w:cstheme="majorBidi"/>
          <w:sz w:val="24"/>
          <w:szCs w:val="24"/>
          <w:rtl/>
        </w:rPr>
        <w:t>(</w:t>
      </w:r>
      <w:r w:rsidRPr="00173D34">
        <w:rPr>
          <w:rFonts w:asciiTheme="majorBidi" w:hAnsiTheme="majorBidi" w:cstheme="majorBidi"/>
          <w:sz w:val="24"/>
          <w:szCs w:val="24"/>
        </w:rPr>
        <w:t>Nouibat</w:t>
      </w:r>
      <w:r w:rsidRPr="00A3248C">
        <w:rPr>
          <w:rFonts w:asciiTheme="majorBidi" w:hAnsiTheme="majorBidi" w:cstheme="majorBidi"/>
          <w:sz w:val="24"/>
          <w:szCs w:val="24"/>
        </w:rPr>
        <w:t xml:space="preserve">, </w:t>
      </w:r>
      <w:r>
        <w:rPr>
          <w:rFonts w:asciiTheme="majorBidi" w:hAnsiTheme="majorBidi" w:cstheme="majorBidi"/>
          <w:sz w:val="24"/>
          <w:szCs w:val="24"/>
        </w:rPr>
        <w:t>2007</w:t>
      </w:r>
      <w:r w:rsidRPr="00A3248C">
        <w:rPr>
          <w:rFonts w:asciiTheme="majorBidi" w:hAnsiTheme="majorBidi" w:cstheme="majorBidi"/>
          <w:sz w:val="24"/>
          <w:szCs w:val="24"/>
          <w:rtl/>
        </w:rPr>
        <w:t>)</w:t>
      </w:r>
      <w:r>
        <w:rPr>
          <w:rFonts w:asciiTheme="majorBidi" w:hAnsiTheme="majorBidi" w:cstheme="majorBidi" w:hint="cs"/>
          <w:sz w:val="24"/>
          <w:szCs w:val="24"/>
          <w:rtl/>
        </w:rPr>
        <w:t xml:space="preserve">، </w:t>
      </w:r>
      <w:r>
        <w:rPr>
          <w:rFonts w:ascii="Simplified Arabic" w:hAnsi="Simplified Arabic" w:cs="Simplified Arabic" w:hint="cs"/>
          <w:sz w:val="24"/>
          <w:szCs w:val="24"/>
          <w:rtl/>
        </w:rPr>
        <w:t xml:space="preserve">كما لوحظ نها تفتقد الى </w:t>
      </w:r>
      <w:r w:rsidRPr="00957CB1">
        <w:rPr>
          <w:rFonts w:ascii="Simplified Arabic" w:hAnsi="Simplified Arabic" w:cs="Simplified Arabic" w:hint="cs"/>
          <w:sz w:val="24"/>
          <w:szCs w:val="24"/>
          <w:rtl/>
        </w:rPr>
        <w:t>المرافق</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العامة</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والخدمات</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الأساسية،</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مما</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أدى</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إلى</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زيادة</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الإقصاء</w:t>
      </w:r>
      <w:r w:rsidRPr="00957CB1">
        <w:rPr>
          <w:rFonts w:ascii="Simplified Arabic" w:hAnsi="Simplified Arabic" w:cs="Simplified Arabic"/>
          <w:sz w:val="24"/>
          <w:szCs w:val="24"/>
          <w:rtl/>
        </w:rPr>
        <w:t xml:space="preserve"> </w:t>
      </w:r>
      <w:r w:rsidRPr="00957CB1">
        <w:rPr>
          <w:rFonts w:ascii="Simplified Arabic" w:hAnsi="Simplified Arabic" w:cs="Simplified Arabic" w:hint="cs"/>
          <w:sz w:val="24"/>
          <w:szCs w:val="24"/>
          <w:rtl/>
        </w:rPr>
        <w:t>الحضري</w:t>
      </w:r>
      <w:r>
        <w:rPr>
          <w:rFonts w:ascii="Simplified Arabic" w:hAnsi="Simplified Arabic" w:cs="Simplified Arabic" w:hint="cs"/>
          <w:sz w:val="24"/>
          <w:szCs w:val="24"/>
          <w:rtl/>
        </w:rPr>
        <w:t xml:space="preserve"> وضعف قدرة الاستجابة اثناء الاضطرابات التي نحدثها الفيضانات الحضرية. </w:t>
      </w:r>
    </w:p>
    <w:p w:rsidR="000635D8" w:rsidRPr="003720D9" w:rsidRDefault="000635D8" w:rsidP="001D0548">
      <w:pPr>
        <w:pStyle w:val="Paragraphedeliste"/>
        <w:numPr>
          <w:ilvl w:val="3"/>
          <w:numId w:val="225"/>
        </w:numPr>
        <w:tabs>
          <w:tab w:val="right" w:pos="992"/>
        </w:tabs>
        <w:bidi/>
        <w:spacing w:before="240" w:after="0"/>
        <w:ind w:left="0" w:firstLine="0"/>
        <w:jc w:val="both"/>
        <w:outlineLvl w:val="2"/>
        <w:rPr>
          <w:rFonts w:ascii="Simplified Arabic" w:hAnsi="Simplified Arabic" w:cs="Simplified Arabic"/>
          <w:b/>
          <w:bCs/>
          <w:sz w:val="24"/>
          <w:szCs w:val="24"/>
          <w:lang w:val="en-US" w:bidi="ar-DZ"/>
        </w:rPr>
      </w:pPr>
      <w:bookmarkStart w:id="526" w:name="_Toc171803591"/>
      <w:r w:rsidRPr="003720D9">
        <w:rPr>
          <w:rFonts w:ascii="Simplified Arabic" w:hAnsi="Simplified Arabic" w:cs="Simplified Arabic" w:hint="cs"/>
          <w:b/>
          <w:bCs/>
          <w:sz w:val="24"/>
          <w:szCs w:val="24"/>
          <w:rtl/>
          <w:lang w:val="en-US" w:bidi="ar-DZ"/>
        </w:rPr>
        <w:t>كثافة التوزيع المكاني للسكن</w:t>
      </w:r>
      <w:bookmarkEnd w:id="526"/>
    </w:p>
    <w:p w:rsidR="0098748C" w:rsidRDefault="000635D8" w:rsidP="00E8765E">
      <w:pPr>
        <w:autoSpaceDE w:val="0"/>
        <w:autoSpaceDN w:val="0"/>
        <w:bidi/>
        <w:adjustRightInd w:val="0"/>
        <w:spacing w:after="0"/>
        <w:ind w:firstLine="283"/>
        <w:jc w:val="both"/>
        <w:rPr>
          <w:rFonts w:ascii="Simplified Arabic" w:hAnsi="Simplified Arabic" w:cs="Simplified Arabic"/>
          <w:sz w:val="24"/>
          <w:szCs w:val="24"/>
          <w:rtl/>
        </w:rPr>
      </w:pPr>
      <w:r w:rsidRPr="00F314D3">
        <w:rPr>
          <w:rFonts w:ascii="Simplified Arabic" w:hAnsi="Simplified Arabic" w:cs="Simplified Arabic" w:hint="cs"/>
          <w:sz w:val="24"/>
          <w:szCs w:val="24"/>
          <w:rtl/>
        </w:rPr>
        <w:t xml:space="preserve">تم </w:t>
      </w:r>
      <w:r>
        <w:rPr>
          <w:rFonts w:ascii="Simplified Arabic" w:hAnsi="Simplified Arabic" w:cs="Simplified Arabic" w:hint="cs"/>
          <w:sz w:val="24"/>
          <w:szCs w:val="24"/>
          <w:rtl/>
        </w:rPr>
        <w:t>الحصول على</w:t>
      </w:r>
      <w:r w:rsidRPr="00F314D3">
        <w:rPr>
          <w:rFonts w:ascii="Simplified Arabic" w:hAnsi="Simplified Arabic" w:cs="Simplified Arabic" w:hint="cs"/>
          <w:sz w:val="24"/>
          <w:szCs w:val="24"/>
          <w:rtl/>
        </w:rPr>
        <w:t xml:space="preserve"> معطيات </w:t>
      </w:r>
      <w:r w:rsidRPr="00173D34">
        <w:rPr>
          <w:rFonts w:ascii="Simplified Arabic" w:hAnsi="Simplified Arabic" w:cs="Simplified Arabic" w:hint="cs"/>
          <w:sz w:val="24"/>
          <w:szCs w:val="24"/>
          <w:rtl/>
        </w:rPr>
        <w:t>الديوان</w:t>
      </w:r>
      <w:r w:rsidRPr="00F314D3">
        <w:rPr>
          <w:rFonts w:ascii="Simplified Arabic" w:hAnsi="Simplified Arabic" w:cs="Simplified Arabic" w:hint="cs"/>
          <w:sz w:val="24"/>
          <w:szCs w:val="24"/>
          <w:rtl/>
        </w:rPr>
        <w:t xml:space="preserve"> الوطني للإحصاء</w:t>
      </w:r>
      <w:r>
        <w:rPr>
          <w:rFonts w:ascii="Simplified Arabic" w:hAnsi="Simplified Arabic" w:cs="Simplified Arabic" w:hint="cs"/>
          <w:sz w:val="24"/>
          <w:szCs w:val="24"/>
          <w:rtl/>
        </w:rPr>
        <w:t xml:space="preserve"> </w:t>
      </w:r>
      <w:r w:rsidR="00340760">
        <w:rPr>
          <w:rFonts w:ascii="Simplified Arabic" w:hAnsi="Simplified Arabic" w:cs="Simplified Arabic"/>
          <w:sz w:val="24"/>
          <w:szCs w:val="24"/>
        </w:rPr>
        <w:t xml:space="preserve"> </w:t>
      </w:r>
      <w:r w:rsidR="00340760" w:rsidRPr="000765C6">
        <w:rPr>
          <w:rStyle w:val="y2iqfc"/>
          <w:rFonts w:asciiTheme="majorBidi" w:hAnsiTheme="majorBidi" w:cstheme="majorBidi"/>
          <w:color w:val="202124"/>
          <w:sz w:val="24"/>
          <w:szCs w:val="24"/>
          <w:rtl/>
          <w:lang w:val="en-US" w:bidi="ar"/>
        </w:rPr>
        <w:t>(</w:t>
      </w:r>
      <w:r w:rsidR="00340760" w:rsidRPr="009761F5">
        <w:rPr>
          <w:rFonts w:asciiTheme="majorBidi" w:hAnsiTheme="majorBidi" w:cstheme="majorBidi"/>
          <w:sz w:val="24"/>
          <w:szCs w:val="24"/>
        </w:rPr>
        <w:t>NSO</w:t>
      </w:r>
      <w:r w:rsidR="00340760" w:rsidRPr="000765C6">
        <w:rPr>
          <w:rStyle w:val="y2iqfc"/>
          <w:rFonts w:asciiTheme="majorBidi" w:hAnsiTheme="majorBidi" w:cstheme="majorBidi"/>
          <w:color w:val="202124"/>
          <w:sz w:val="24"/>
          <w:szCs w:val="24"/>
          <w:lang w:bidi="ar"/>
        </w:rPr>
        <w:t>, 2022</w:t>
      </w:r>
      <w:r w:rsidR="00340760" w:rsidRPr="000765C6">
        <w:rPr>
          <w:rStyle w:val="y2iqfc"/>
          <w:rFonts w:asciiTheme="majorBidi" w:hAnsiTheme="majorBidi" w:cstheme="majorBidi"/>
          <w:color w:val="202124"/>
          <w:sz w:val="24"/>
          <w:szCs w:val="24"/>
          <w:rtl/>
          <w:lang w:val="en-US" w:bidi="ar"/>
        </w:rPr>
        <w:t>)</w:t>
      </w:r>
      <w:r w:rsidRPr="00F314D3">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من مكتب الاحصاء لبلدية بوسعادة و المتعلقة ب</w:t>
      </w:r>
      <w:r w:rsidR="00C10F5A">
        <w:rPr>
          <w:rFonts w:ascii="Simplified Arabic" w:hAnsi="Simplified Arabic" w:cs="Simplified Arabic" w:hint="cs"/>
          <w:sz w:val="24"/>
          <w:szCs w:val="24"/>
          <w:rtl/>
        </w:rPr>
        <w:t>آخر احصاء للسكن و السكان</w:t>
      </w:r>
      <w:r w:rsidRPr="00F314D3">
        <w:rPr>
          <w:rFonts w:ascii="Simplified Arabic" w:hAnsi="Simplified Arabic" w:cs="Simplified Arabic" w:hint="cs"/>
          <w:sz w:val="24"/>
          <w:szCs w:val="24"/>
          <w:rtl/>
        </w:rPr>
        <w:t xml:space="preserve"> لسنة 2022</w:t>
      </w:r>
      <w:r>
        <w:rPr>
          <w:rFonts w:ascii="Simplified Arabic" w:hAnsi="Simplified Arabic" w:cs="Simplified Arabic" w:hint="cs"/>
          <w:sz w:val="24"/>
          <w:szCs w:val="24"/>
          <w:rtl/>
        </w:rPr>
        <w:t>. يبين</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تحليل</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خريطة</w:t>
      </w:r>
      <w:r w:rsidRPr="00B270FF">
        <w:rPr>
          <w:rFonts w:ascii="Simplified Arabic" w:hAnsi="Simplified Arabic" w:cs="Simplified Arabic"/>
          <w:sz w:val="24"/>
          <w:szCs w:val="24"/>
          <w:rtl/>
        </w:rPr>
        <w:t xml:space="preserve"> </w:t>
      </w:r>
      <w:r w:rsidR="00E8765E">
        <w:rPr>
          <w:rFonts w:ascii="Simplified Arabic" w:hAnsi="Simplified Arabic" w:cs="Simplified Arabic" w:hint="cs"/>
          <w:sz w:val="24"/>
          <w:szCs w:val="24"/>
          <w:rtl/>
        </w:rPr>
        <w:t>استعمال</w:t>
      </w:r>
      <w:r>
        <w:rPr>
          <w:rFonts w:ascii="Simplified Arabic" w:hAnsi="Simplified Arabic" w:cs="Simplified Arabic" w:hint="cs"/>
          <w:sz w:val="24"/>
          <w:szCs w:val="24"/>
          <w:rtl/>
        </w:rPr>
        <w:t>ات</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الأرض</w:t>
      </w:r>
      <w:r w:rsidRPr="00B270FF">
        <w:rPr>
          <w:rFonts w:ascii="Simplified Arabic" w:hAnsi="Simplified Arabic" w:cs="Simplified Arabic"/>
          <w:sz w:val="24"/>
          <w:szCs w:val="24"/>
          <w:rtl/>
        </w:rPr>
        <w:t xml:space="preserve"> </w:t>
      </w:r>
      <w:r w:rsidR="00D35B2A" w:rsidRPr="00D35B2A">
        <w:rPr>
          <w:rFonts w:ascii="Simplified Arabic" w:hAnsi="Simplified Arabic" w:cs="Simplified Arabic"/>
          <w:sz w:val="24"/>
          <w:szCs w:val="24"/>
          <w:rtl/>
        </w:rPr>
        <w:t>(الخريطة (4-6))</w:t>
      </w:r>
      <w:r w:rsidR="00D35B2A">
        <w:rPr>
          <w:rFonts w:hint="cs"/>
          <w:rtl/>
        </w:rPr>
        <w:t xml:space="preserve"> </w:t>
      </w:r>
      <w:r w:rsidRPr="00B270FF">
        <w:rPr>
          <w:rFonts w:ascii="Simplified Arabic" w:hAnsi="Simplified Arabic" w:cs="Simplified Arabic" w:hint="cs"/>
          <w:sz w:val="24"/>
          <w:szCs w:val="24"/>
          <w:rtl/>
        </w:rPr>
        <w:t>أن</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ال</w:t>
      </w:r>
      <w:r>
        <w:rPr>
          <w:rFonts w:ascii="Simplified Arabic" w:hAnsi="Simplified Arabic" w:cs="Simplified Arabic" w:hint="cs"/>
          <w:sz w:val="24"/>
          <w:szCs w:val="24"/>
          <w:rtl/>
        </w:rPr>
        <w:t xml:space="preserve">سكن </w:t>
      </w:r>
      <w:r w:rsidRPr="00B270FF">
        <w:rPr>
          <w:rFonts w:ascii="Simplified Arabic" w:hAnsi="Simplified Arabic" w:cs="Simplified Arabic" w:hint="cs"/>
          <w:sz w:val="24"/>
          <w:szCs w:val="24"/>
          <w:rtl/>
        </w:rPr>
        <w:t>يمثل</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الوظيفة</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الحضرية</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الأكثر</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هيمنة</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حيث</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يتجاوز</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نصف</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إجمالي</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مساحة</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المدينة</w:t>
      </w:r>
      <w:r w:rsidRPr="00B270FF">
        <w:rPr>
          <w:rFonts w:ascii="Simplified Arabic" w:hAnsi="Simplified Arabic" w:cs="Simplified Arabic"/>
          <w:sz w:val="24"/>
          <w:szCs w:val="24"/>
          <w:rtl/>
        </w:rPr>
        <w:t xml:space="preserve">. </w:t>
      </w:r>
      <w:r w:rsidRPr="00B270FF">
        <w:rPr>
          <w:rFonts w:ascii="Simplified Arabic" w:hAnsi="Simplified Arabic" w:cs="Simplified Arabic" w:hint="cs"/>
          <w:sz w:val="24"/>
          <w:szCs w:val="24"/>
          <w:rtl/>
        </w:rPr>
        <w:t>و</w:t>
      </w:r>
      <w:r>
        <w:rPr>
          <w:rFonts w:ascii="Simplified Arabic" w:hAnsi="Simplified Arabic" w:cs="Simplified Arabic" w:hint="cs"/>
          <w:sz w:val="24"/>
          <w:szCs w:val="24"/>
          <w:rtl/>
        </w:rPr>
        <w:t>السكن الفردي</w:t>
      </w:r>
      <w:r w:rsidRPr="00B270FF">
        <w:rPr>
          <w:rFonts w:ascii="Simplified Arabic" w:hAnsi="Simplified Arabic" w:cs="Simplified Arabic"/>
          <w:sz w:val="24"/>
          <w:szCs w:val="24"/>
          <w:rtl/>
        </w:rPr>
        <w:t xml:space="preserve"> </w:t>
      </w:r>
      <w:r>
        <w:rPr>
          <w:rFonts w:ascii="Simplified Arabic" w:hAnsi="Simplified Arabic" w:cs="Simplified Arabic" w:hint="cs"/>
          <w:sz w:val="24"/>
          <w:szCs w:val="24"/>
          <w:rtl/>
        </w:rPr>
        <w:t>هو الطابع العمراني الذي يغلب على المدينة</w:t>
      </w:r>
      <w:r w:rsidRPr="00B270FF">
        <w:rPr>
          <w:rFonts w:ascii="Simplified Arabic" w:hAnsi="Simplified Arabic" w:cs="Simplified Arabic"/>
          <w:sz w:val="24"/>
          <w:szCs w:val="24"/>
          <w:rtl/>
        </w:rPr>
        <w:t>.</w:t>
      </w:r>
      <w:r>
        <w:rPr>
          <w:rFonts w:ascii="Simplified Arabic" w:hAnsi="Simplified Arabic" w:cs="Simplified Arabic" w:hint="cs"/>
          <w:sz w:val="24"/>
          <w:szCs w:val="24"/>
          <w:rtl/>
        </w:rPr>
        <w:t xml:space="preserve"> من خلال الجدول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4-3</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يتبين ان التوزيع المكاني للكثافة السكنية تختلف من حي سكني الى آخر، حيث كانت مرتفعة في اغلب الاحياء غير المخططة </w:t>
      </w:r>
      <w:r w:rsidRPr="00127248">
        <w:rPr>
          <w:rFonts w:ascii="Simplified Arabic" w:hAnsi="Simplified Arabic" w:cs="Simplified Arabic" w:hint="cs"/>
          <w:sz w:val="24"/>
          <w:szCs w:val="24"/>
          <w:rtl/>
        </w:rPr>
        <w:t>(</w:t>
      </w:r>
      <w:r w:rsidRPr="009B428B">
        <w:rPr>
          <w:rFonts w:ascii="Simplified Arabic" w:hAnsi="Simplified Arabic" w:cs="Simplified Arabic"/>
          <w:sz w:val="24"/>
          <w:szCs w:val="24"/>
          <w:rtl/>
        </w:rPr>
        <w:t>القصر (المدينة القديمة)</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الكوشة و القيسة</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سيدي سليمان</w:t>
      </w:r>
      <w:r w:rsidRPr="0065467E">
        <w:rPr>
          <w:rFonts w:ascii="Simplified Arabic" w:hAnsi="Simplified Arabic" w:cs="Simplified Arabic" w:hint="cs"/>
          <w:sz w:val="24"/>
          <w:szCs w:val="24"/>
          <w:rtl/>
        </w:rPr>
        <w:t>، ميطر)</w:t>
      </w:r>
      <w:r>
        <w:rPr>
          <w:rFonts w:ascii="Simplified Arabic" w:hAnsi="Simplified Arabic" w:cs="Simplified Arabic" w:hint="cs"/>
          <w:sz w:val="24"/>
          <w:szCs w:val="24"/>
          <w:rtl/>
        </w:rPr>
        <w:t>،</w:t>
      </w:r>
      <w:r w:rsidRPr="0065467E">
        <w:rPr>
          <w:rFonts w:ascii="Simplified Arabic" w:hAnsi="Simplified Arabic" w:cs="Simplified Arabic" w:hint="cs"/>
          <w:sz w:val="24"/>
          <w:szCs w:val="24"/>
          <w:rtl/>
        </w:rPr>
        <w:t xml:space="preserve"> تراوح</w:t>
      </w:r>
      <w:r>
        <w:rPr>
          <w:rFonts w:ascii="Simplified Arabic" w:hAnsi="Simplified Arabic" w:cs="Simplified Arabic" w:hint="cs"/>
          <w:sz w:val="24"/>
          <w:szCs w:val="24"/>
          <w:rtl/>
        </w:rPr>
        <w:t>ت</w:t>
      </w:r>
      <w:r w:rsidRPr="0065467E">
        <w:rPr>
          <w:rFonts w:ascii="Simplified Arabic" w:hAnsi="Simplified Arabic" w:cs="Simplified Arabic" w:hint="cs"/>
          <w:sz w:val="24"/>
          <w:szCs w:val="24"/>
          <w:rtl/>
        </w:rPr>
        <w:t xml:space="preserve"> بين </w:t>
      </w:r>
      <w:r>
        <w:rPr>
          <w:rFonts w:ascii="Simplified Arabic" w:hAnsi="Simplified Arabic" w:cs="Simplified Arabic"/>
          <w:sz w:val="24"/>
          <w:szCs w:val="24"/>
        </w:rPr>
        <w:t>19</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مسكن/هك</w:t>
      </w:r>
      <w:r w:rsidRPr="0065467E">
        <w:rPr>
          <w:rFonts w:ascii="Simplified Arabic" w:hAnsi="Simplified Arabic" w:cs="Simplified Arabic" w:hint="cs"/>
          <w:sz w:val="24"/>
          <w:szCs w:val="24"/>
          <w:rtl/>
        </w:rPr>
        <w:t xml:space="preserve"> و </w:t>
      </w:r>
      <w:r>
        <w:rPr>
          <w:rFonts w:ascii="Simplified Arabic" w:hAnsi="Simplified Arabic" w:cs="Simplified Arabic"/>
          <w:sz w:val="24"/>
          <w:szCs w:val="24"/>
        </w:rPr>
        <w:t>55</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مسكن/هك</w:t>
      </w:r>
      <w:r w:rsidRPr="0065467E">
        <w:rPr>
          <w:rFonts w:ascii="Simplified Arabic" w:hAnsi="Simplified Arabic" w:cs="Simplified Arabic" w:hint="cs"/>
          <w:sz w:val="24"/>
          <w:szCs w:val="24"/>
          <w:rtl/>
        </w:rPr>
        <w:t xml:space="preserve">، باستثناء حي جنان البطم </w:t>
      </w:r>
      <w:r>
        <w:rPr>
          <w:rFonts w:ascii="Simplified Arabic" w:hAnsi="Simplified Arabic" w:cs="Simplified Arabic" w:hint="cs"/>
          <w:sz w:val="24"/>
          <w:szCs w:val="24"/>
          <w:rtl/>
        </w:rPr>
        <w:t>(4</w:t>
      </w:r>
      <w:r w:rsidRPr="0065467E">
        <w:rPr>
          <w:rFonts w:ascii="Simplified Arabic" w:hAnsi="Simplified Arabic" w:cs="Simplified Arabic" w:hint="cs"/>
          <w:sz w:val="24"/>
          <w:szCs w:val="24"/>
          <w:rtl/>
        </w:rPr>
        <w:t xml:space="preserve"> مسكن/هك</w:t>
      </w:r>
      <w:r>
        <w:rPr>
          <w:rFonts w:ascii="Simplified Arabic" w:hAnsi="Simplified Arabic" w:cs="Simplified Arabic" w:hint="cs"/>
          <w:sz w:val="24"/>
          <w:szCs w:val="24"/>
          <w:rtl/>
        </w:rPr>
        <w:t>)</w:t>
      </w:r>
      <w:r w:rsidRPr="0065467E">
        <w:rPr>
          <w:rFonts w:ascii="Simplified Arabic" w:hAnsi="Simplified Arabic" w:cs="Simplified Arabic" w:hint="cs"/>
          <w:sz w:val="24"/>
          <w:szCs w:val="24"/>
          <w:rtl/>
        </w:rPr>
        <w:t xml:space="preserve"> لاحتوائه على مساحات</w:t>
      </w:r>
      <w:r>
        <w:rPr>
          <w:rFonts w:ascii="Simplified Arabic" w:hAnsi="Simplified Arabic" w:cs="Simplified Arabic" w:hint="cs"/>
          <w:sz w:val="24"/>
          <w:szCs w:val="24"/>
          <w:rtl/>
        </w:rPr>
        <w:t xml:space="preserve"> خضراء</w:t>
      </w:r>
      <w:r w:rsidRPr="006546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مكونة من اشجار النحيل</w:t>
      </w:r>
      <w:r w:rsidRPr="0065467E">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بينما كانت الكثافة السكنية منخفضة في باقي الاحياء خصوصا منها المخططة (</w:t>
      </w:r>
      <w:r w:rsidRPr="009B428B">
        <w:rPr>
          <w:rFonts w:ascii="Simplified Arabic" w:hAnsi="Simplified Arabic" w:cs="Simplified Arabic"/>
          <w:sz w:val="24"/>
          <w:szCs w:val="24"/>
          <w:rtl/>
        </w:rPr>
        <w:t>بلاتو</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20 أوت</w:t>
      </w:r>
      <w:r w:rsidRPr="0065467E">
        <w:rPr>
          <w:rFonts w:ascii="Simplified Arabic" w:hAnsi="Simplified Arabic" w:cs="Simplified Arabic" w:hint="cs"/>
          <w:sz w:val="24"/>
          <w:szCs w:val="24"/>
          <w:rtl/>
        </w:rPr>
        <w:t xml:space="preserve">، الحمايد، كادات وسطيح، الباطن)، </w:t>
      </w:r>
      <w:r>
        <w:rPr>
          <w:rFonts w:ascii="Simplified Arabic" w:hAnsi="Simplified Arabic" w:cs="Simplified Arabic" w:hint="cs"/>
          <w:sz w:val="24"/>
          <w:szCs w:val="24"/>
          <w:rtl/>
        </w:rPr>
        <w:t xml:space="preserve">حيث </w:t>
      </w:r>
      <w:r w:rsidRPr="0065467E">
        <w:rPr>
          <w:rFonts w:ascii="Simplified Arabic" w:hAnsi="Simplified Arabic" w:cs="Simplified Arabic" w:hint="cs"/>
          <w:sz w:val="24"/>
          <w:szCs w:val="24"/>
          <w:rtl/>
        </w:rPr>
        <w:t>تراوح</w:t>
      </w:r>
      <w:r>
        <w:rPr>
          <w:rFonts w:ascii="Simplified Arabic" w:hAnsi="Simplified Arabic" w:cs="Simplified Arabic" w:hint="cs"/>
          <w:sz w:val="24"/>
          <w:szCs w:val="24"/>
          <w:rtl/>
        </w:rPr>
        <w:t>ت</w:t>
      </w:r>
      <w:r w:rsidRPr="0065467E">
        <w:rPr>
          <w:rFonts w:ascii="Simplified Arabic" w:hAnsi="Simplified Arabic" w:cs="Simplified Arabic" w:hint="cs"/>
          <w:sz w:val="24"/>
          <w:szCs w:val="24"/>
          <w:rtl/>
        </w:rPr>
        <w:t xml:space="preserve"> بين </w:t>
      </w:r>
      <w:r>
        <w:rPr>
          <w:rFonts w:ascii="Simplified Arabic" w:hAnsi="Simplified Arabic" w:cs="Simplified Arabic" w:hint="cs"/>
          <w:sz w:val="24"/>
          <w:szCs w:val="24"/>
          <w:rtl/>
        </w:rPr>
        <w:t>13</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مسكن/هك</w:t>
      </w:r>
      <w:r w:rsidRPr="0065467E">
        <w:rPr>
          <w:rFonts w:ascii="Simplified Arabic" w:hAnsi="Simplified Arabic" w:cs="Simplified Arabic" w:hint="cs"/>
          <w:sz w:val="24"/>
          <w:szCs w:val="24"/>
          <w:rtl/>
        </w:rPr>
        <w:t xml:space="preserve"> و </w:t>
      </w:r>
      <w:r>
        <w:rPr>
          <w:rFonts w:ascii="Simplified Arabic" w:hAnsi="Simplified Arabic" w:cs="Simplified Arabic" w:hint="cs"/>
          <w:sz w:val="24"/>
          <w:szCs w:val="24"/>
          <w:rtl/>
        </w:rPr>
        <w:t>26</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مسكن/هك</w:t>
      </w:r>
      <w:r>
        <w:rPr>
          <w:rFonts w:ascii="Simplified Arabic" w:hAnsi="Simplified Arabic" w:cs="Simplified Arabic" w:hint="cs"/>
          <w:sz w:val="24"/>
          <w:szCs w:val="24"/>
          <w:rtl/>
        </w:rPr>
        <w:t>، باستثناء حي الباطن المخطط (28</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مسكن/هك</w:t>
      </w:r>
      <w:r>
        <w:rPr>
          <w:rFonts w:ascii="Simplified Arabic" w:hAnsi="Simplified Arabic" w:cs="Simplified Arabic" w:hint="cs"/>
          <w:sz w:val="24"/>
          <w:szCs w:val="24"/>
          <w:rtl/>
        </w:rPr>
        <w:t>) والذي يغلب عليه طابع السكن الجماعي</w:t>
      </w:r>
      <w:r w:rsidRPr="0065467E">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p>
    <w:p w:rsidR="0098748C" w:rsidRDefault="0098748C" w:rsidP="00F76D99">
      <w:pPr>
        <w:pStyle w:val="Tableau"/>
        <w:rPr>
          <w:rtl/>
        </w:rPr>
      </w:pPr>
      <w:bookmarkStart w:id="527" w:name="_Toc157612985"/>
      <w:bookmarkStart w:id="528" w:name="_Toc171803592"/>
      <w:r>
        <w:rPr>
          <w:rFonts w:hint="cs"/>
          <w:rtl/>
        </w:rPr>
        <w:lastRenderedPageBreak/>
        <w:t xml:space="preserve">الجدول </w:t>
      </w:r>
      <w:r w:rsidRPr="0063639A">
        <w:rPr>
          <w:rFonts w:hint="cs"/>
          <w:rtl/>
        </w:rPr>
        <w:t>(</w:t>
      </w:r>
      <w:r>
        <w:rPr>
          <w:rFonts w:hint="cs"/>
          <w:rtl/>
        </w:rPr>
        <w:t>4-3</w:t>
      </w:r>
      <w:r w:rsidRPr="0063639A">
        <w:rPr>
          <w:rFonts w:hint="cs"/>
          <w:rtl/>
        </w:rPr>
        <w:t>)</w:t>
      </w:r>
      <w:r>
        <w:rPr>
          <w:rFonts w:hint="cs"/>
          <w:rtl/>
        </w:rPr>
        <w:t>: الكثافة السكنية لأحياء مدينة بوسعادة</w:t>
      </w:r>
      <w:bookmarkEnd w:id="527"/>
      <w:bookmarkEnd w:id="528"/>
    </w:p>
    <w:p w:rsidR="0098748C" w:rsidRPr="00370143" w:rsidRDefault="0098748C" w:rsidP="0014132D">
      <w:pPr>
        <w:bidi/>
        <w:spacing w:after="0" w:line="240" w:lineRule="auto"/>
        <w:jc w:val="center"/>
        <w:rPr>
          <w:rFonts w:ascii="Simplified Arabic" w:hAnsi="Simplified Arabic" w:cs="Simplified Arabic"/>
          <w:b/>
          <w:bCs/>
          <w:sz w:val="24"/>
          <w:szCs w:val="24"/>
          <w:rtl/>
        </w:rPr>
      </w:pPr>
      <w:r w:rsidRPr="00370143">
        <w:rPr>
          <w:rFonts w:ascii="Simplified Arabic" w:hAnsi="Simplified Arabic" w:cs="Simplified Arabic" w:hint="cs"/>
          <w:b/>
          <w:bCs/>
          <w:sz w:val="24"/>
          <w:szCs w:val="24"/>
          <w:rtl/>
        </w:rPr>
        <w:t>المصدر</w:t>
      </w:r>
      <w:r w:rsidRPr="00370143">
        <w:rPr>
          <w:rFonts w:ascii="Simplified Arabic" w:hAnsi="Simplified Arabic" w:cs="Simplified Arabic"/>
          <w:b/>
          <w:bCs/>
          <w:sz w:val="24"/>
          <w:szCs w:val="24"/>
          <w:rtl/>
        </w:rPr>
        <w:t>:</w:t>
      </w:r>
      <w:r w:rsidRPr="00370143">
        <w:rPr>
          <w:rFonts w:asciiTheme="majorBidi" w:hAnsiTheme="majorBidi" w:cstheme="majorBidi"/>
          <w:b/>
          <w:bCs/>
          <w:sz w:val="24"/>
          <w:szCs w:val="24"/>
        </w:rPr>
        <w:t xml:space="preserve"> URBA, 2015; NSO, 2022)</w:t>
      </w:r>
      <w:r w:rsidRPr="00370143">
        <w:rPr>
          <w:rFonts w:asciiTheme="majorBidi" w:hAnsiTheme="majorBidi" w:cstheme="majorBidi"/>
          <w:b/>
          <w:bCs/>
          <w:sz w:val="24"/>
          <w:szCs w:val="24"/>
          <w:rtl/>
        </w:rPr>
        <w:t>)</w:t>
      </w:r>
    </w:p>
    <w:tbl>
      <w:tblPr>
        <w:bidiVisual/>
        <w:tblW w:w="6550" w:type="dxa"/>
        <w:jc w:val="center"/>
        <w:tblInd w:w="-258" w:type="dxa"/>
        <w:tblCellMar>
          <w:left w:w="70" w:type="dxa"/>
          <w:right w:w="70" w:type="dxa"/>
        </w:tblCellMar>
        <w:tblLook w:val="04A0" w:firstRow="1" w:lastRow="0" w:firstColumn="1" w:lastColumn="0" w:noHBand="0" w:noVBand="1"/>
      </w:tblPr>
      <w:tblGrid>
        <w:gridCol w:w="1970"/>
        <w:gridCol w:w="1293"/>
        <w:gridCol w:w="1059"/>
        <w:gridCol w:w="1788"/>
        <w:gridCol w:w="440"/>
      </w:tblGrid>
      <w:tr w:rsidR="0098748C" w:rsidRPr="00654FD1" w:rsidTr="00C10F5A">
        <w:trPr>
          <w:trHeight w:val="117"/>
          <w:jc w:val="center"/>
        </w:trPr>
        <w:tc>
          <w:tcPr>
            <w:tcW w:w="1970" w:type="dxa"/>
            <w:tcBorders>
              <w:top w:val="single" w:sz="12" w:space="0" w:color="auto"/>
              <w:left w:val="single" w:sz="12" w:space="0" w:color="auto"/>
              <w:bottom w:val="single" w:sz="12" w:space="0" w:color="auto"/>
              <w:right w:val="single" w:sz="4" w:space="0" w:color="auto"/>
            </w:tcBorders>
            <w:shd w:val="clear" w:color="auto" w:fill="auto"/>
            <w:vAlign w:val="center"/>
          </w:tcPr>
          <w:p w:rsidR="0098748C"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 xml:space="preserve">اسم </w:t>
            </w:r>
            <w:r w:rsidRPr="00654FD1">
              <w:rPr>
                <w:rFonts w:ascii="Simplified Arabic" w:eastAsia="Times New Roman" w:hAnsi="Simplified Arabic" w:cs="Simplified Arabic"/>
                <w:color w:val="000000"/>
                <w:sz w:val="24"/>
                <w:szCs w:val="24"/>
                <w:rtl/>
                <w:lang w:eastAsia="fr-FR"/>
              </w:rPr>
              <w:t>الحي</w:t>
            </w:r>
          </w:p>
        </w:tc>
        <w:tc>
          <w:tcPr>
            <w:tcW w:w="1293"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98748C" w:rsidRPr="00654FD1"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المساحة بالهكتار</w:t>
            </w:r>
          </w:p>
        </w:tc>
        <w:tc>
          <w:tcPr>
            <w:tcW w:w="1059"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98748C" w:rsidRPr="00654FD1"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عدد السكنات</w:t>
            </w:r>
          </w:p>
        </w:tc>
        <w:tc>
          <w:tcPr>
            <w:tcW w:w="2228" w:type="dxa"/>
            <w:gridSpan w:val="2"/>
            <w:tcBorders>
              <w:top w:val="single" w:sz="12" w:space="0" w:color="auto"/>
              <w:left w:val="single" w:sz="4" w:space="0" w:color="auto"/>
              <w:bottom w:val="single" w:sz="12" w:space="0" w:color="auto"/>
              <w:right w:val="single" w:sz="12" w:space="0" w:color="auto"/>
            </w:tcBorders>
            <w:shd w:val="clear" w:color="auto" w:fill="auto"/>
            <w:noWrap/>
            <w:vAlign w:val="center"/>
          </w:tcPr>
          <w:p w:rsidR="0098748C" w:rsidRPr="00654FD1"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الكثافة السكنية (مسكن/هك)</w:t>
            </w:r>
          </w:p>
        </w:tc>
      </w:tr>
      <w:tr w:rsidR="00C10F5A" w:rsidRPr="00654FD1" w:rsidTr="0098748C">
        <w:trPr>
          <w:trHeight w:val="117"/>
          <w:jc w:val="center"/>
        </w:trPr>
        <w:tc>
          <w:tcPr>
            <w:tcW w:w="1970" w:type="dxa"/>
            <w:tcBorders>
              <w:top w:val="single" w:sz="12" w:space="0" w:color="auto"/>
              <w:left w:val="single" w:sz="12" w:space="0" w:color="auto"/>
              <w:bottom w:val="single" w:sz="12" w:space="0" w:color="auto"/>
              <w:right w:val="single" w:sz="4" w:space="0" w:color="auto"/>
            </w:tcBorders>
            <w:shd w:val="clear" w:color="auto" w:fill="auto"/>
            <w:vAlign w:val="center"/>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القصر (المدينة القديمة)</w:t>
            </w:r>
          </w:p>
        </w:tc>
        <w:tc>
          <w:tcPr>
            <w:tcW w:w="1293"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C10F5A" w:rsidRPr="00654FD1" w:rsidRDefault="004A6317" w:rsidP="00FD3D45">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30</w:t>
            </w:r>
            <w:r w:rsidR="00C10F5A" w:rsidRPr="00654FD1">
              <w:rPr>
                <w:rFonts w:ascii="Simplified Arabic" w:eastAsia="Times New Roman" w:hAnsi="Simplified Arabic" w:cs="Simplified Arabic"/>
                <w:color w:val="000000"/>
                <w:sz w:val="24"/>
                <w:szCs w:val="24"/>
                <w:lang w:eastAsia="fr-FR"/>
              </w:rPr>
              <w:t>,</w:t>
            </w:r>
            <w:r>
              <w:rPr>
                <w:rFonts w:ascii="Simplified Arabic" w:eastAsia="Times New Roman" w:hAnsi="Simplified Arabic" w:cs="Simplified Arabic"/>
                <w:color w:val="000000"/>
                <w:sz w:val="24"/>
                <w:szCs w:val="24"/>
                <w:lang w:eastAsia="fr-FR"/>
              </w:rPr>
              <w:t>94</w:t>
            </w:r>
          </w:p>
        </w:tc>
        <w:tc>
          <w:tcPr>
            <w:tcW w:w="1059"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C10F5A" w:rsidRPr="00654FD1"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1265</w:t>
            </w:r>
          </w:p>
        </w:tc>
        <w:tc>
          <w:tcPr>
            <w:tcW w:w="2228" w:type="dxa"/>
            <w:gridSpan w:val="2"/>
            <w:tcBorders>
              <w:top w:val="single" w:sz="12" w:space="0" w:color="auto"/>
              <w:left w:val="single" w:sz="4" w:space="0" w:color="auto"/>
              <w:bottom w:val="single" w:sz="12" w:space="0" w:color="auto"/>
              <w:right w:val="single" w:sz="12" w:space="0" w:color="auto"/>
            </w:tcBorders>
            <w:shd w:val="clear" w:color="auto" w:fill="auto"/>
            <w:noWrap/>
            <w:vAlign w:val="center"/>
          </w:tcPr>
          <w:p w:rsidR="00C10F5A" w:rsidRPr="00654FD1"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47</w:t>
            </w:r>
          </w:p>
        </w:tc>
      </w:tr>
      <w:tr w:rsidR="00C10F5A" w:rsidRPr="00654FD1" w:rsidTr="0098748C">
        <w:trPr>
          <w:trHeight w:val="343"/>
          <w:jc w:val="center"/>
        </w:trPr>
        <w:tc>
          <w:tcPr>
            <w:tcW w:w="1970" w:type="dxa"/>
            <w:tcBorders>
              <w:top w:val="single" w:sz="12" w:space="0" w:color="auto"/>
              <w:left w:val="single" w:sz="12" w:space="0" w:color="auto"/>
              <w:bottom w:val="single" w:sz="12" w:space="0" w:color="auto"/>
              <w:right w:val="single" w:sz="4" w:space="0" w:color="auto"/>
            </w:tcBorders>
            <w:shd w:val="clear" w:color="auto" w:fill="auto"/>
            <w:noWrap/>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بلاتو</w:t>
            </w:r>
          </w:p>
        </w:tc>
        <w:tc>
          <w:tcPr>
            <w:tcW w:w="1293"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61,50</w:t>
            </w:r>
          </w:p>
        </w:tc>
        <w:tc>
          <w:tcPr>
            <w:tcW w:w="10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816</w:t>
            </w:r>
          </w:p>
        </w:tc>
        <w:tc>
          <w:tcPr>
            <w:tcW w:w="2228" w:type="dxa"/>
            <w:gridSpan w:val="2"/>
            <w:tcBorders>
              <w:top w:val="single" w:sz="12" w:space="0" w:color="auto"/>
              <w:left w:val="single" w:sz="4" w:space="0" w:color="auto"/>
              <w:bottom w:val="single" w:sz="12"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13</w:t>
            </w:r>
          </w:p>
        </w:tc>
      </w:tr>
      <w:tr w:rsidR="00C10F5A" w:rsidRPr="00654FD1" w:rsidTr="0098748C">
        <w:trPr>
          <w:trHeight w:val="343"/>
          <w:jc w:val="center"/>
        </w:trPr>
        <w:tc>
          <w:tcPr>
            <w:tcW w:w="1970" w:type="dxa"/>
            <w:tcBorders>
              <w:top w:val="single" w:sz="12" w:space="0" w:color="auto"/>
              <w:left w:val="single" w:sz="12" w:space="0" w:color="auto"/>
              <w:bottom w:val="single" w:sz="4" w:space="0" w:color="auto"/>
              <w:right w:val="single" w:sz="4" w:space="0" w:color="auto"/>
            </w:tcBorders>
            <w:shd w:val="clear" w:color="auto" w:fill="auto"/>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الكوشة و القيسة</w:t>
            </w:r>
          </w:p>
        </w:tc>
        <w:tc>
          <w:tcPr>
            <w:tcW w:w="1293"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55,20</w:t>
            </w:r>
          </w:p>
        </w:tc>
        <w:tc>
          <w:tcPr>
            <w:tcW w:w="1059"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2350</w:t>
            </w:r>
          </w:p>
        </w:tc>
        <w:tc>
          <w:tcPr>
            <w:tcW w:w="2228" w:type="dxa"/>
            <w:gridSpan w:val="2"/>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43</w:t>
            </w:r>
          </w:p>
        </w:tc>
      </w:tr>
      <w:tr w:rsidR="00C10F5A" w:rsidRPr="00654FD1" w:rsidTr="0098748C">
        <w:trPr>
          <w:trHeight w:val="343"/>
          <w:jc w:val="center"/>
        </w:trPr>
        <w:tc>
          <w:tcPr>
            <w:tcW w:w="197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جنان البطم</w:t>
            </w:r>
          </w:p>
        </w:tc>
        <w:tc>
          <w:tcPr>
            <w:tcW w:w="129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119,00</w:t>
            </w: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523</w:t>
            </w:r>
          </w:p>
        </w:tc>
        <w:tc>
          <w:tcPr>
            <w:tcW w:w="2228" w:type="dxa"/>
            <w:gridSpan w:val="2"/>
            <w:tcBorders>
              <w:top w:val="single" w:sz="4"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4</w:t>
            </w:r>
          </w:p>
        </w:tc>
      </w:tr>
      <w:tr w:rsidR="00C10F5A" w:rsidRPr="00654FD1" w:rsidTr="0098748C">
        <w:trPr>
          <w:trHeight w:val="343"/>
          <w:jc w:val="center"/>
        </w:trPr>
        <w:tc>
          <w:tcPr>
            <w:tcW w:w="197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الموامين</w:t>
            </w:r>
          </w:p>
        </w:tc>
        <w:tc>
          <w:tcPr>
            <w:tcW w:w="1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38,20</w:t>
            </w: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993</w:t>
            </w:r>
          </w:p>
        </w:tc>
        <w:tc>
          <w:tcPr>
            <w:tcW w:w="2228" w:type="dxa"/>
            <w:gridSpan w:val="2"/>
            <w:tcBorders>
              <w:top w:val="single" w:sz="4"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26</w:t>
            </w:r>
          </w:p>
        </w:tc>
      </w:tr>
      <w:tr w:rsidR="00C10F5A" w:rsidRPr="00654FD1" w:rsidTr="0098748C">
        <w:trPr>
          <w:trHeight w:val="343"/>
          <w:jc w:val="center"/>
        </w:trPr>
        <w:tc>
          <w:tcPr>
            <w:tcW w:w="197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سيدي سليمان</w:t>
            </w:r>
          </w:p>
        </w:tc>
        <w:tc>
          <w:tcPr>
            <w:tcW w:w="1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104,00</w:t>
            </w: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4636</w:t>
            </w:r>
          </w:p>
        </w:tc>
        <w:tc>
          <w:tcPr>
            <w:tcW w:w="2228" w:type="dxa"/>
            <w:gridSpan w:val="2"/>
            <w:tcBorders>
              <w:top w:val="single" w:sz="4"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45</w:t>
            </w:r>
          </w:p>
        </w:tc>
      </w:tr>
      <w:tr w:rsidR="00C10F5A" w:rsidRPr="00654FD1" w:rsidTr="0098748C">
        <w:trPr>
          <w:trHeight w:val="343"/>
          <w:jc w:val="center"/>
        </w:trPr>
        <w:tc>
          <w:tcPr>
            <w:tcW w:w="197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العوينات</w:t>
            </w:r>
          </w:p>
        </w:tc>
        <w:tc>
          <w:tcPr>
            <w:tcW w:w="1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71,20</w:t>
            </w: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1360</w:t>
            </w:r>
          </w:p>
        </w:tc>
        <w:tc>
          <w:tcPr>
            <w:tcW w:w="2228" w:type="dxa"/>
            <w:gridSpan w:val="2"/>
            <w:tcBorders>
              <w:top w:val="single" w:sz="4"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19</w:t>
            </w:r>
          </w:p>
        </w:tc>
      </w:tr>
      <w:tr w:rsidR="00C10F5A" w:rsidRPr="00654FD1" w:rsidTr="0098748C">
        <w:trPr>
          <w:trHeight w:val="343"/>
          <w:jc w:val="center"/>
        </w:trPr>
        <w:tc>
          <w:tcPr>
            <w:tcW w:w="197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الدشرة القبلية والرصفة</w:t>
            </w:r>
          </w:p>
        </w:tc>
        <w:tc>
          <w:tcPr>
            <w:tcW w:w="1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41,90</w:t>
            </w: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1336</w:t>
            </w:r>
          </w:p>
        </w:tc>
        <w:tc>
          <w:tcPr>
            <w:tcW w:w="2228" w:type="dxa"/>
            <w:gridSpan w:val="2"/>
            <w:tcBorders>
              <w:top w:val="single" w:sz="4"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32</w:t>
            </w:r>
          </w:p>
        </w:tc>
      </w:tr>
      <w:tr w:rsidR="00C10F5A" w:rsidRPr="00654FD1" w:rsidTr="00FD3D45">
        <w:trPr>
          <w:trHeight w:val="64"/>
          <w:jc w:val="center"/>
        </w:trPr>
        <w:tc>
          <w:tcPr>
            <w:tcW w:w="1970" w:type="dxa"/>
            <w:tcBorders>
              <w:top w:val="single" w:sz="4" w:space="0" w:color="auto"/>
              <w:left w:val="single" w:sz="12" w:space="0" w:color="auto"/>
              <w:bottom w:val="single" w:sz="12" w:space="0" w:color="auto"/>
              <w:right w:val="single" w:sz="4" w:space="0" w:color="auto"/>
            </w:tcBorders>
            <w:shd w:val="clear" w:color="auto" w:fill="auto"/>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ميطر</w:t>
            </w:r>
          </w:p>
        </w:tc>
        <w:tc>
          <w:tcPr>
            <w:tcW w:w="1293"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30,20</w:t>
            </w:r>
          </w:p>
        </w:tc>
        <w:tc>
          <w:tcPr>
            <w:tcW w:w="1059" w:type="dxa"/>
            <w:tcBorders>
              <w:top w:val="single" w:sz="4" w:space="0" w:color="auto"/>
              <w:left w:val="single" w:sz="4" w:space="0" w:color="auto"/>
              <w:bottom w:val="single" w:sz="12"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1774</w:t>
            </w:r>
          </w:p>
        </w:tc>
        <w:tc>
          <w:tcPr>
            <w:tcW w:w="2228" w:type="dxa"/>
            <w:gridSpan w:val="2"/>
            <w:tcBorders>
              <w:top w:val="single" w:sz="4" w:space="0" w:color="auto"/>
              <w:left w:val="single" w:sz="4" w:space="0" w:color="auto"/>
              <w:bottom w:val="single" w:sz="12"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55</w:t>
            </w:r>
          </w:p>
        </w:tc>
      </w:tr>
      <w:tr w:rsidR="00C10F5A" w:rsidRPr="00654FD1" w:rsidTr="0098748C">
        <w:trPr>
          <w:trHeight w:val="343"/>
          <w:jc w:val="center"/>
        </w:trPr>
        <w:tc>
          <w:tcPr>
            <w:tcW w:w="1970" w:type="dxa"/>
            <w:tcBorders>
              <w:top w:val="single" w:sz="12" w:space="0" w:color="auto"/>
              <w:left w:val="single" w:sz="12" w:space="0" w:color="auto"/>
              <w:bottom w:val="single" w:sz="4" w:space="0" w:color="auto"/>
              <w:right w:val="single" w:sz="4" w:space="0" w:color="auto"/>
            </w:tcBorders>
            <w:shd w:val="clear" w:color="auto" w:fill="auto"/>
            <w:noWrap/>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20 أوت</w:t>
            </w:r>
          </w:p>
        </w:tc>
        <w:tc>
          <w:tcPr>
            <w:tcW w:w="1293"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80,50</w:t>
            </w:r>
          </w:p>
        </w:tc>
        <w:tc>
          <w:tcPr>
            <w:tcW w:w="1059"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2114</w:t>
            </w:r>
          </w:p>
        </w:tc>
        <w:tc>
          <w:tcPr>
            <w:tcW w:w="2228" w:type="dxa"/>
            <w:gridSpan w:val="2"/>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26</w:t>
            </w:r>
          </w:p>
        </w:tc>
      </w:tr>
      <w:tr w:rsidR="00C10F5A" w:rsidRPr="00654FD1" w:rsidTr="0098748C">
        <w:trPr>
          <w:trHeight w:val="343"/>
          <w:jc w:val="center"/>
        </w:trPr>
        <w:tc>
          <w:tcPr>
            <w:tcW w:w="197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الحمايد</w:t>
            </w:r>
          </w:p>
        </w:tc>
        <w:tc>
          <w:tcPr>
            <w:tcW w:w="1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90,70</w:t>
            </w: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1907</w:t>
            </w:r>
          </w:p>
        </w:tc>
        <w:tc>
          <w:tcPr>
            <w:tcW w:w="2228" w:type="dxa"/>
            <w:gridSpan w:val="2"/>
            <w:tcBorders>
              <w:top w:val="single" w:sz="4"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21</w:t>
            </w:r>
          </w:p>
        </w:tc>
      </w:tr>
      <w:tr w:rsidR="00C10F5A" w:rsidRPr="00654FD1" w:rsidTr="0098748C">
        <w:trPr>
          <w:trHeight w:val="343"/>
          <w:jc w:val="center"/>
        </w:trPr>
        <w:tc>
          <w:tcPr>
            <w:tcW w:w="197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كادات وسطيح</w:t>
            </w:r>
          </w:p>
        </w:tc>
        <w:tc>
          <w:tcPr>
            <w:tcW w:w="1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130,00</w:t>
            </w:r>
          </w:p>
        </w:tc>
        <w:tc>
          <w:tcPr>
            <w:tcW w:w="10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2513</w:t>
            </w:r>
          </w:p>
        </w:tc>
        <w:tc>
          <w:tcPr>
            <w:tcW w:w="2228" w:type="dxa"/>
            <w:gridSpan w:val="2"/>
            <w:tcBorders>
              <w:top w:val="single" w:sz="4" w:space="0" w:color="auto"/>
              <w:left w:val="single" w:sz="4" w:space="0" w:color="auto"/>
              <w:bottom w:val="single" w:sz="4" w:space="0" w:color="auto"/>
              <w:right w:val="single" w:sz="12" w:space="0" w:color="auto"/>
            </w:tcBorders>
            <w:shd w:val="clear" w:color="auto" w:fill="auto"/>
            <w:noWrap/>
            <w:vAlign w:val="center"/>
            <w:hideMark/>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19</w:t>
            </w:r>
          </w:p>
        </w:tc>
      </w:tr>
      <w:tr w:rsidR="00C10F5A" w:rsidRPr="00654FD1" w:rsidTr="0098748C">
        <w:trPr>
          <w:trHeight w:val="343"/>
          <w:jc w:val="center"/>
        </w:trPr>
        <w:tc>
          <w:tcPr>
            <w:tcW w:w="1970" w:type="dxa"/>
            <w:tcBorders>
              <w:top w:val="single" w:sz="4" w:space="0" w:color="auto"/>
              <w:left w:val="single" w:sz="12" w:space="0" w:color="auto"/>
              <w:bottom w:val="single" w:sz="12" w:space="0" w:color="auto"/>
              <w:right w:val="single" w:sz="4" w:space="0" w:color="auto"/>
            </w:tcBorders>
            <w:shd w:val="clear" w:color="auto" w:fill="auto"/>
            <w:noWrap/>
            <w:vAlign w:val="center"/>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الباطن</w:t>
            </w:r>
          </w:p>
        </w:tc>
        <w:tc>
          <w:tcPr>
            <w:tcW w:w="1293" w:type="dxa"/>
            <w:tcBorders>
              <w:top w:val="single" w:sz="4" w:space="0" w:color="auto"/>
              <w:left w:val="single" w:sz="4" w:space="0" w:color="auto"/>
              <w:bottom w:val="single" w:sz="12" w:space="0" w:color="auto"/>
              <w:right w:val="single" w:sz="4" w:space="0" w:color="auto"/>
            </w:tcBorders>
            <w:shd w:val="clear" w:color="auto" w:fill="auto"/>
            <w:noWrap/>
            <w:vAlign w:val="center"/>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325,00</w:t>
            </w:r>
          </w:p>
        </w:tc>
        <w:tc>
          <w:tcPr>
            <w:tcW w:w="1059" w:type="dxa"/>
            <w:tcBorders>
              <w:top w:val="single" w:sz="4" w:space="0" w:color="auto"/>
              <w:left w:val="single" w:sz="4" w:space="0" w:color="auto"/>
              <w:bottom w:val="single" w:sz="12" w:space="0" w:color="auto"/>
              <w:right w:val="single" w:sz="4" w:space="0" w:color="auto"/>
            </w:tcBorders>
            <w:shd w:val="clear" w:color="auto" w:fill="auto"/>
            <w:noWrap/>
            <w:vAlign w:val="center"/>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9064</w:t>
            </w:r>
          </w:p>
        </w:tc>
        <w:tc>
          <w:tcPr>
            <w:tcW w:w="2228" w:type="dxa"/>
            <w:gridSpan w:val="2"/>
            <w:tcBorders>
              <w:top w:val="single" w:sz="4" w:space="0" w:color="auto"/>
              <w:left w:val="single" w:sz="4" w:space="0" w:color="auto"/>
              <w:bottom w:val="single" w:sz="12" w:space="0" w:color="auto"/>
              <w:right w:val="single" w:sz="12" w:space="0" w:color="auto"/>
            </w:tcBorders>
            <w:shd w:val="clear" w:color="auto" w:fill="auto"/>
            <w:noWrap/>
            <w:vAlign w:val="center"/>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28</w:t>
            </w:r>
          </w:p>
        </w:tc>
      </w:tr>
      <w:tr w:rsidR="00C10F5A" w:rsidRPr="00654FD1" w:rsidTr="0098748C">
        <w:trPr>
          <w:trHeight w:val="343"/>
          <w:jc w:val="center"/>
        </w:trPr>
        <w:tc>
          <w:tcPr>
            <w:tcW w:w="1970" w:type="dxa"/>
            <w:tcBorders>
              <w:top w:val="single" w:sz="12" w:space="0" w:color="auto"/>
              <w:left w:val="single" w:sz="12" w:space="0" w:color="auto"/>
              <w:bottom w:val="single" w:sz="12" w:space="0" w:color="auto"/>
              <w:right w:val="single" w:sz="4" w:space="0" w:color="auto"/>
            </w:tcBorders>
            <w:shd w:val="clear" w:color="auto" w:fill="auto"/>
            <w:noWrap/>
            <w:vAlign w:val="center"/>
          </w:tcPr>
          <w:p w:rsidR="00C10F5A" w:rsidRPr="00654FD1" w:rsidRDefault="00C10F5A" w:rsidP="00FD3D45">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المجموع</w:t>
            </w:r>
          </w:p>
        </w:tc>
        <w:tc>
          <w:tcPr>
            <w:tcW w:w="1293"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lang w:eastAsia="fr-FR"/>
              </w:rPr>
              <w:t>1176,50</w:t>
            </w:r>
          </w:p>
        </w:tc>
        <w:tc>
          <w:tcPr>
            <w:tcW w:w="1059"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hint="cs"/>
                <w:color w:val="000000"/>
                <w:sz w:val="24"/>
                <w:szCs w:val="24"/>
                <w:rtl/>
                <w:lang w:eastAsia="fr-FR"/>
              </w:rPr>
              <w:t>30651</w:t>
            </w:r>
          </w:p>
        </w:tc>
        <w:tc>
          <w:tcPr>
            <w:tcW w:w="1788" w:type="dxa"/>
            <w:tcBorders>
              <w:top w:val="single" w:sz="12" w:space="0" w:color="auto"/>
              <w:left w:val="single" w:sz="4" w:space="0" w:color="auto"/>
              <w:bottom w:val="single" w:sz="12" w:space="0" w:color="auto"/>
              <w:right w:val="single" w:sz="12" w:space="0" w:color="auto"/>
            </w:tcBorders>
            <w:shd w:val="clear" w:color="auto" w:fill="D9D9D9" w:themeFill="background1" w:themeFillShade="D9"/>
            <w:noWrap/>
            <w:vAlign w:val="center"/>
          </w:tcPr>
          <w:p w:rsidR="00C10F5A" w:rsidRPr="00FD3D45"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FD3D45">
              <w:rPr>
                <w:rFonts w:ascii="Simplified Arabic" w:eastAsia="Times New Roman" w:hAnsi="Simplified Arabic" w:cs="Simplified Arabic"/>
                <w:color w:val="000000"/>
                <w:sz w:val="24"/>
                <w:szCs w:val="24"/>
                <w:rtl/>
                <w:lang w:eastAsia="fr-FR"/>
              </w:rPr>
              <w:t>معدل الكثافة السكنية</w:t>
            </w:r>
          </w:p>
        </w:tc>
        <w:tc>
          <w:tcPr>
            <w:tcW w:w="440" w:type="dxa"/>
            <w:tcBorders>
              <w:top w:val="single" w:sz="12" w:space="0" w:color="auto"/>
              <w:left w:val="single" w:sz="4" w:space="0" w:color="auto"/>
              <w:bottom w:val="single" w:sz="12" w:space="0" w:color="auto"/>
              <w:right w:val="single" w:sz="12" w:space="0" w:color="auto"/>
            </w:tcBorders>
            <w:shd w:val="clear" w:color="auto" w:fill="D9D9D9" w:themeFill="background1" w:themeFillShade="D9"/>
            <w:vAlign w:val="center"/>
          </w:tcPr>
          <w:p w:rsidR="00C10F5A" w:rsidRPr="00654FD1" w:rsidRDefault="00C10F5A" w:rsidP="00FD3D45">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26</w:t>
            </w:r>
          </w:p>
        </w:tc>
      </w:tr>
    </w:tbl>
    <w:p w:rsidR="0014132D" w:rsidRDefault="00D35B2A" w:rsidP="00370143">
      <w:pPr>
        <w:pStyle w:val="carte"/>
        <w:spacing w:after="0"/>
        <w:rPr>
          <w:rtl/>
        </w:rPr>
      </w:pPr>
      <w:bookmarkStart w:id="529" w:name="_Toc157616593"/>
      <w:bookmarkStart w:id="530" w:name="_Toc171803593"/>
      <w:r>
        <w:rPr>
          <w:rFonts w:hint="cs"/>
          <w:rtl/>
        </w:rPr>
        <w:t>ال</w:t>
      </w:r>
      <w:r w:rsidR="0098748C" w:rsidRPr="004E006F">
        <w:rPr>
          <w:rFonts w:hint="cs"/>
          <w:rtl/>
        </w:rPr>
        <w:t>خريطة (4-</w:t>
      </w:r>
      <w:r>
        <w:rPr>
          <w:rFonts w:hint="cs"/>
          <w:rtl/>
        </w:rPr>
        <w:t>6</w:t>
      </w:r>
      <w:r w:rsidR="0098748C" w:rsidRPr="004E006F">
        <w:rPr>
          <w:rFonts w:hint="cs"/>
          <w:rtl/>
        </w:rPr>
        <w:t>): الكثافة السكنية لأحياء مدينة بوسعادة</w:t>
      </w:r>
      <w:bookmarkEnd w:id="529"/>
      <w:bookmarkEnd w:id="530"/>
    </w:p>
    <w:p w:rsidR="00370143" w:rsidRPr="00E520B1" w:rsidRDefault="00370143" w:rsidP="00370143">
      <w:pPr>
        <w:pStyle w:val="fegure"/>
        <w:rPr>
          <w:sz w:val="8"/>
          <w:szCs w:val="24"/>
          <w:rtl/>
          <w:lang w:val="en-US"/>
        </w:rPr>
      </w:pPr>
      <w:bookmarkStart w:id="531" w:name="_Toc171803594"/>
      <w:r>
        <w:rPr>
          <w:rFonts w:hint="cs"/>
          <w:sz w:val="8"/>
          <w:szCs w:val="24"/>
          <w:rtl/>
          <w:lang w:val="en-US"/>
        </w:rPr>
        <w:t>المصدر: (الباحث، 2022)</w:t>
      </w:r>
      <w:bookmarkEnd w:id="531"/>
    </w:p>
    <w:p w:rsidR="0014132D" w:rsidRPr="0098748C" w:rsidRDefault="0014132D" w:rsidP="0014132D">
      <w:pPr>
        <w:autoSpaceDE w:val="0"/>
        <w:autoSpaceDN w:val="0"/>
        <w:bidi/>
        <w:adjustRightInd w:val="0"/>
        <w:spacing w:after="0"/>
        <w:jc w:val="center"/>
        <w:rPr>
          <w:rFonts w:ascii="Simplified Arabic" w:hAnsi="Simplified Arabic" w:cs="Simplified Arabic"/>
          <w:b/>
          <w:bCs/>
          <w:sz w:val="24"/>
          <w:szCs w:val="24"/>
          <w:lang w:val="en-US" w:bidi="ar-DZ"/>
        </w:rPr>
      </w:pPr>
      <w:r>
        <w:rPr>
          <w:noProof/>
          <w:lang w:eastAsia="fr-FR"/>
        </w:rPr>
        <w:drawing>
          <wp:inline distT="0" distB="0" distL="0" distR="0" wp14:anchorId="158C60FB" wp14:editId="4571312F">
            <wp:extent cx="2820055" cy="3441940"/>
            <wp:effectExtent l="19050" t="19050" r="18415" b="2540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3" cstate="print">
                      <a:extLst>
                        <a:ext uri="{28A0092B-C50C-407E-A947-70E740481C1C}">
                          <a14:useLocalDpi xmlns:a14="http://schemas.microsoft.com/office/drawing/2010/main" val="0"/>
                        </a:ext>
                      </a:extLst>
                    </a:blip>
                    <a:srcRect t="8484"/>
                    <a:stretch/>
                  </pic:blipFill>
                  <pic:spPr bwMode="auto">
                    <a:xfrm>
                      <a:off x="0" y="0"/>
                      <a:ext cx="2820055" cy="344194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635D8" w:rsidRPr="003720D9" w:rsidRDefault="000635D8" w:rsidP="001D0548">
      <w:pPr>
        <w:pStyle w:val="Paragraphedeliste"/>
        <w:numPr>
          <w:ilvl w:val="3"/>
          <w:numId w:val="226"/>
        </w:numPr>
        <w:tabs>
          <w:tab w:val="right" w:pos="992"/>
        </w:tabs>
        <w:bidi/>
        <w:spacing w:before="240" w:after="0"/>
        <w:ind w:left="0" w:firstLine="0"/>
        <w:jc w:val="both"/>
        <w:outlineLvl w:val="2"/>
        <w:rPr>
          <w:rFonts w:ascii="Simplified Arabic" w:hAnsi="Simplified Arabic" w:cs="Simplified Arabic"/>
          <w:b/>
          <w:bCs/>
          <w:sz w:val="24"/>
          <w:szCs w:val="24"/>
          <w:lang w:val="en-US" w:bidi="ar-DZ"/>
        </w:rPr>
      </w:pPr>
      <w:bookmarkStart w:id="532" w:name="_Toc171803595"/>
      <w:r w:rsidRPr="003720D9">
        <w:rPr>
          <w:rFonts w:ascii="Simplified Arabic" w:hAnsi="Simplified Arabic" w:cs="Simplified Arabic" w:hint="cs"/>
          <w:b/>
          <w:bCs/>
          <w:sz w:val="24"/>
          <w:szCs w:val="24"/>
          <w:rtl/>
          <w:lang w:val="en-US" w:bidi="ar-DZ"/>
        </w:rPr>
        <w:lastRenderedPageBreak/>
        <w:t>كثافة التوزيع المكاني للسكان</w:t>
      </w:r>
      <w:bookmarkEnd w:id="532"/>
    </w:p>
    <w:p w:rsidR="001F3518" w:rsidRDefault="000635D8" w:rsidP="00D35B2A">
      <w:pPr>
        <w:autoSpaceDE w:val="0"/>
        <w:autoSpaceDN w:val="0"/>
        <w:bidi/>
        <w:adjustRightInd w:val="0"/>
        <w:spacing w:after="0"/>
        <w:ind w:firstLine="283"/>
        <w:jc w:val="both"/>
        <w:rPr>
          <w:rFonts w:ascii="Simplified Arabic" w:hAnsi="Simplified Arabic" w:cs="Simplified Arabic"/>
          <w:sz w:val="24"/>
          <w:szCs w:val="24"/>
          <w:rtl/>
        </w:rPr>
      </w:pPr>
      <w:r w:rsidRPr="00F314D3">
        <w:rPr>
          <w:rFonts w:ascii="Simplified Arabic" w:hAnsi="Simplified Arabic" w:cs="Simplified Arabic" w:hint="cs"/>
          <w:sz w:val="24"/>
          <w:szCs w:val="24"/>
          <w:rtl/>
        </w:rPr>
        <w:t xml:space="preserve">تم </w:t>
      </w:r>
      <w:r>
        <w:rPr>
          <w:rFonts w:ascii="Simplified Arabic" w:hAnsi="Simplified Arabic" w:cs="Simplified Arabic" w:hint="cs"/>
          <w:sz w:val="24"/>
          <w:szCs w:val="24"/>
          <w:rtl/>
        </w:rPr>
        <w:t>الحصول على</w:t>
      </w:r>
      <w:r w:rsidRPr="00F314D3">
        <w:rPr>
          <w:rFonts w:ascii="Simplified Arabic" w:hAnsi="Simplified Arabic" w:cs="Simplified Arabic" w:hint="cs"/>
          <w:sz w:val="24"/>
          <w:szCs w:val="24"/>
          <w:rtl/>
        </w:rPr>
        <w:t xml:space="preserve"> معطيات </w:t>
      </w:r>
      <w:r>
        <w:rPr>
          <w:rFonts w:ascii="Simplified Arabic" w:hAnsi="Simplified Arabic" w:cs="Simplified Arabic" w:hint="cs"/>
          <w:sz w:val="24"/>
          <w:szCs w:val="24"/>
          <w:rtl/>
        </w:rPr>
        <w:t>ا</w:t>
      </w:r>
      <w:r w:rsidRPr="00F314D3">
        <w:rPr>
          <w:rFonts w:ascii="Simplified Arabic" w:hAnsi="Simplified Arabic" w:cs="Simplified Arabic" w:hint="cs"/>
          <w:sz w:val="24"/>
          <w:szCs w:val="24"/>
          <w:rtl/>
        </w:rPr>
        <w:t>لديوان الوطني للإحصاء</w:t>
      </w:r>
      <w:r>
        <w:rPr>
          <w:rFonts w:ascii="Simplified Arabic" w:hAnsi="Simplified Arabic" w:cs="Simplified Arabic" w:hint="cs"/>
          <w:sz w:val="24"/>
          <w:szCs w:val="24"/>
          <w:rtl/>
        </w:rPr>
        <w:t xml:space="preserve"> </w:t>
      </w:r>
      <w:r w:rsidR="00340760">
        <w:rPr>
          <w:rFonts w:ascii="Simplified Arabic" w:hAnsi="Simplified Arabic" w:cs="Simplified Arabic"/>
          <w:sz w:val="24"/>
          <w:szCs w:val="24"/>
        </w:rPr>
        <w:t xml:space="preserve"> </w:t>
      </w:r>
      <w:r w:rsidR="00340760" w:rsidRPr="009761F5">
        <w:rPr>
          <w:rFonts w:asciiTheme="majorBidi" w:hAnsiTheme="majorBidi" w:cstheme="majorBidi"/>
          <w:sz w:val="24"/>
          <w:szCs w:val="24"/>
        </w:rPr>
        <w:t>NSO</w:t>
      </w:r>
      <w:r w:rsidR="00340760" w:rsidRPr="000765C6">
        <w:rPr>
          <w:rStyle w:val="y2iqfc"/>
          <w:rFonts w:asciiTheme="majorBidi" w:hAnsiTheme="majorBidi" w:cstheme="majorBidi"/>
          <w:color w:val="202124"/>
          <w:sz w:val="24"/>
          <w:szCs w:val="24"/>
          <w:lang w:bidi="ar"/>
        </w:rPr>
        <w:t>, 2022</w:t>
      </w:r>
      <w:r w:rsidR="00340760" w:rsidRPr="000765C6">
        <w:rPr>
          <w:rStyle w:val="y2iqfc"/>
          <w:rFonts w:asciiTheme="majorBidi" w:hAnsiTheme="majorBidi" w:cstheme="majorBidi"/>
          <w:color w:val="202124"/>
          <w:sz w:val="24"/>
          <w:szCs w:val="24"/>
          <w:rtl/>
          <w:lang w:val="en-US" w:bidi="ar"/>
        </w:rPr>
        <w:t>)</w:t>
      </w:r>
      <w:r w:rsidRPr="00F314D3">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من مكتب الاحصاء لبلدية بوسعادة والمتعلقة ب</w:t>
      </w:r>
      <w:r w:rsidRPr="00F314D3">
        <w:rPr>
          <w:rFonts w:ascii="Simplified Arabic" w:hAnsi="Simplified Arabic" w:cs="Simplified Arabic" w:hint="cs"/>
          <w:sz w:val="24"/>
          <w:szCs w:val="24"/>
          <w:rtl/>
        </w:rPr>
        <w:t>آخر احصاء للسكن والسكان لسنة 2022</w:t>
      </w:r>
      <w:r>
        <w:rPr>
          <w:rFonts w:ascii="Simplified Arabic" w:hAnsi="Simplified Arabic" w:cs="Simplified Arabic" w:hint="cs"/>
          <w:sz w:val="24"/>
          <w:szCs w:val="24"/>
          <w:rtl/>
        </w:rPr>
        <w:t xml:space="preserve">. من خلال </w:t>
      </w:r>
      <w:r w:rsidR="00D35B2A" w:rsidRPr="00D35B2A">
        <w:rPr>
          <w:rFonts w:ascii="Simplified Arabic" w:hAnsi="Simplified Arabic" w:cs="Simplified Arabic"/>
          <w:sz w:val="24"/>
          <w:szCs w:val="24"/>
          <w:rtl/>
        </w:rPr>
        <w:t>الخريطة (4-6)</w:t>
      </w:r>
      <w:r w:rsidR="00D35B2A">
        <w:rPr>
          <w:rFonts w:hint="cs"/>
          <w:rtl/>
        </w:rPr>
        <w:t xml:space="preserve"> و</w:t>
      </w:r>
      <w:r>
        <w:rPr>
          <w:rFonts w:ascii="Simplified Arabic" w:hAnsi="Simplified Arabic" w:cs="Simplified Arabic" w:hint="cs"/>
          <w:sz w:val="24"/>
          <w:szCs w:val="24"/>
          <w:rtl/>
        </w:rPr>
        <w:t xml:space="preserve">الجدول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4-4</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يتبين ان التوزيع المكاني للكثافة </w:t>
      </w:r>
      <w:r w:rsidR="00D35B2A">
        <w:rPr>
          <w:rFonts w:ascii="Simplified Arabic" w:hAnsi="Simplified Arabic" w:cs="Simplified Arabic" w:hint="cs"/>
          <w:sz w:val="24"/>
          <w:szCs w:val="24"/>
          <w:rtl/>
        </w:rPr>
        <w:t>السكنية</w:t>
      </w:r>
      <w:r>
        <w:rPr>
          <w:rFonts w:ascii="Simplified Arabic" w:hAnsi="Simplified Arabic" w:cs="Simplified Arabic" w:hint="cs"/>
          <w:sz w:val="24"/>
          <w:szCs w:val="24"/>
          <w:rtl/>
        </w:rPr>
        <w:t xml:space="preserve"> تختلف</w:t>
      </w:r>
      <w:r w:rsidR="00F355C6">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من حي سكني الى آخر، حيث تكون مرتفعة في اغلب الاحياء غير المخططة </w:t>
      </w:r>
      <w:r w:rsidRPr="00127248">
        <w:rPr>
          <w:rFonts w:ascii="Simplified Arabic" w:hAnsi="Simplified Arabic" w:cs="Simplified Arabic" w:hint="cs"/>
          <w:sz w:val="24"/>
          <w:szCs w:val="24"/>
          <w:rtl/>
        </w:rPr>
        <w:t>(</w:t>
      </w:r>
      <w:r w:rsidRPr="009B428B">
        <w:rPr>
          <w:rFonts w:ascii="Simplified Arabic" w:hAnsi="Simplified Arabic" w:cs="Simplified Arabic"/>
          <w:sz w:val="24"/>
          <w:szCs w:val="24"/>
          <w:rtl/>
        </w:rPr>
        <w:t>القصر (المدينة القديمة)</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الكوشة</w:t>
      </w:r>
      <w:r w:rsidR="00EE00B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والقيسة</w:t>
      </w:r>
      <w:r w:rsidRPr="0065467E">
        <w:rPr>
          <w:rFonts w:ascii="Simplified Arabic" w:hAnsi="Simplified Arabic" w:cs="Simplified Arabic" w:hint="cs"/>
          <w:sz w:val="24"/>
          <w:szCs w:val="24"/>
          <w:rtl/>
        </w:rPr>
        <w:t>،</w:t>
      </w:r>
      <w:r w:rsidR="007C10D1">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سيدي سليمان</w:t>
      </w:r>
      <w:r w:rsidRPr="0065467E">
        <w:rPr>
          <w:rFonts w:ascii="Simplified Arabic" w:hAnsi="Simplified Arabic" w:cs="Simplified Arabic" w:hint="cs"/>
          <w:sz w:val="24"/>
          <w:szCs w:val="24"/>
          <w:rtl/>
        </w:rPr>
        <w:t>، ميطر)</w:t>
      </w:r>
      <w:r>
        <w:rPr>
          <w:rFonts w:ascii="Simplified Arabic" w:hAnsi="Simplified Arabic" w:cs="Simplified Arabic" w:hint="cs"/>
          <w:sz w:val="24"/>
          <w:szCs w:val="24"/>
          <w:rtl/>
        </w:rPr>
        <w:t>،</w:t>
      </w:r>
      <w:r w:rsidRPr="0065467E">
        <w:rPr>
          <w:rFonts w:ascii="Simplified Arabic" w:hAnsi="Simplified Arabic" w:cs="Simplified Arabic" w:hint="cs"/>
          <w:sz w:val="24"/>
          <w:szCs w:val="24"/>
          <w:rtl/>
        </w:rPr>
        <w:t xml:space="preserve"> تراوح</w:t>
      </w:r>
      <w:r>
        <w:rPr>
          <w:rFonts w:ascii="Simplified Arabic" w:hAnsi="Simplified Arabic" w:cs="Simplified Arabic" w:hint="cs"/>
          <w:sz w:val="24"/>
          <w:szCs w:val="24"/>
          <w:rtl/>
        </w:rPr>
        <w:t>ت</w:t>
      </w:r>
      <w:r w:rsidRPr="0065467E">
        <w:rPr>
          <w:rFonts w:ascii="Simplified Arabic" w:hAnsi="Simplified Arabic" w:cs="Simplified Arabic" w:hint="cs"/>
          <w:sz w:val="24"/>
          <w:szCs w:val="24"/>
          <w:rtl/>
        </w:rPr>
        <w:t xml:space="preserve"> بين </w:t>
      </w:r>
      <w:r>
        <w:rPr>
          <w:rFonts w:ascii="Simplified Arabic" w:hAnsi="Simplified Arabic" w:cs="Simplified Arabic" w:hint="cs"/>
          <w:sz w:val="24"/>
          <w:szCs w:val="24"/>
          <w:rtl/>
        </w:rPr>
        <w:t>134</w:t>
      </w:r>
      <w:r w:rsidRPr="006546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ساكن</w:t>
      </w:r>
      <w:r w:rsidRPr="009B428B">
        <w:rPr>
          <w:rFonts w:ascii="Simplified Arabic" w:hAnsi="Simplified Arabic" w:cs="Simplified Arabic"/>
          <w:sz w:val="24"/>
          <w:szCs w:val="24"/>
          <w:rtl/>
        </w:rPr>
        <w:t>/هك</w:t>
      </w:r>
      <w:r>
        <w:rPr>
          <w:rFonts w:ascii="Simplified Arabic" w:hAnsi="Simplified Arabic" w:cs="Simplified Arabic" w:hint="cs"/>
          <w:sz w:val="24"/>
          <w:szCs w:val="24"/>
          <w:rtl/>
          <w:lang w:bidi="ar-DZ"/>
        </w:rPr>
        <w:t>تار</w:t>
      </w:r>
      <w:r w:rsidRPr="0065467E">
        <w:rPr>
          <w:rFonts w:ascii="Simplified Arabic" w:hAnsi="Simplified Arabic" w:cs="Simplified Arabic" w:hint="cs"/>
          <w:sz w:val="24"/>
          <w:szCs w:val="24"/>
          <w:rtl/>
        </w:rPr>
        <w:t xml:space="preserve"> و </w:t>
      </w:r>
      <w:r>
        <w:rPr>
          <w:rFonts w:ascii="Simplified Arabic" w:hAnsi="Simplified Arabic" w:cs="Simplified Arabic" w:hint="cs"/>
          <w:sz w:val="24"/>
          <w:szCs w:val="24"/>
          <w:rtl/>
        </w:rPr>
        <w:t>411</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س</w:t>
      </w:r>
      <w:r>
        <w:rPr>
          <w:rFonts w:ascii="Simplified Arabic" w:hAnsi="Simplified Arabic" w:cs="Simplified Arabic" w:hint="cs"/>
          <w:sz w:val="24"/>
          <w:szCs w:val="24"/>
          <w:rtl/>
        </w:rPr>
        <w:t>ا</w:t>
      </w:r>
      <w:r w:rsidRPr="009B428B">
        <w:rPr>
          <w:rFonts w:ascii="Simplified Arabic" w:hAnsi="Simplified Arabic" w:cs="Simplified Arabic"/>
          <w:sz w:val="24"/>
          <w:szCs w:val="24"/>
          <w:rtl/>
        </w:rPr>
        <w:t>كن/هك</w:t>
      </w:r>
      <w:r>
        <w:rPr>
          <w:rFonts w:ascii="Simplified Arabic" w:hAnsi="Simplified Arabic" w:cs="Simplified Arabic" w:hint="cs"/>
          <w:sz w:val="24"/>
          <w:szCs w:val="24"/>
          <w:rtl/>
        </w:rPr>
        <w:t>تار</w:t>
      </w:r>
      <w:r w:rsidRPr="0065467E">
        <w:rPr>
          <w:rFonts w:ascii="Simplified Arabic" w:hAnsi="Simplified Arabic" w:cs="Simplified Arabic" w:hint="cs"/>
          <w:sz w:val="24"/>
          <w:szCs w:val="24"/>
          <w:rtl/>
        </w:rPr>
        <w:t xml:space="preserve">، باستثناء حي جنان البطم </w:t>
      </w:r>
      <w:r>
        <w:rPr>
          <w:rFonts w:ascii="Simplified Arabic" w:hAnsi="Simplified Arabic" w:cs="Simplified Arabic" w:hint="cs"/>
          <w:sz w:val="24"/>
          <w:szCs w:val="24"/>
          <w:rtl/>
        </w:rPr>
        <w:t>(20</w:t>
      </w:r>
      <w:r w:rsidRPr="006546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ساكن</w:t>
      </w:r>
      <w:r w:rsidRPr="0065467E">
        <w:rPr>
          <w:rFonts w:ascii="Simplified Arabic" w:hAnsi="Simplified Arabic" w:cs="Simplified Arabic" w:hint="cs"/>
          <w:sz w:val="24"/>
          <w:szCs w:val="24"/>
          <w:rtl/>
        </w:rPr>
        <w:t xml:space="preserve"> /هك</w:t>
      </w:r>
      <w:r>
        <w:rPr>
          <w:rFonts w:ascii="Simplified Arabic" w:hAnsi="Simplified Arabic" w:cs="Simplified Arabic" w:hint="cs"/>
          <w:sz w:val="24"/>
          <w:szCs w:val="24"/>
          <w:rtl/>
        </w:rPr>
        <w:t>تار)</w:t>
      </w:r>
      <w:r w:rsidRPr="0065467E">
        <w:rPr>
          <w:rFonts w:ascii="Simplified Arabic" w:hAnsi="Simplified Arabic" w:cs="Simplified Arabic" w:hint="cs"/>
          <w:sz w:val="24"/>
          <w:szCs w:val="24"/>
          <w:rtl/>
        </w:rPr>
        <w:t xml:space="preserve"> لاحتوائه على مساحات</w:t>
      </w:r>
      <w:r>
        <w:rPr>
          <w:rFonts w:ascii="Simplified Arabic" w:hAnsi="Simplified Arabic" w:cs="Simplified Arabic" w:hint="cs"/>
          <w:sz w:val="24"/>
          <w:szCs w:val="24"/>
          <w:rtl/>
        </w:rPr>
        <w:t xml:space="preserve"> خضراء</w:t>
      </w:r>
      <w:r w:rsidRPr="006546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مكونة من اشجار النحيل</w:t>
      </w:r>
      <w:r w:rsidRPr="0065467E">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بينما كانت الكثافة الحضرية منخفضة في باقي الاحياء</w:t>
      </w:r>
      <w:r w:rsidR="006A78F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خصوصا منها المخططة (</w:t>
      </w:r>
      <w:r w:rsidRPr="009B428B">
        <w:rPr>
          <w:rFonts w:ascii="Simplified Arabic" w:hAnsi="Simplified Arabic" w:cs="Simplified Arabic"/>
          <w:sz w:val="24"/>
          <w:szCs w:val="24"/>
          <w:rtl/>
        </w:rPr>
        <w:t>بلاتو</w:t>
      </w:r>
      <w:r w:rsidRPr="0065467E">
        <w:rPr>
          <w:rFonts w:ascii="Simplified Arabic" w:hAnsi="Simplified Arabic" w:cs="Simplified Arabic" w:hint="cs"/>
          <w:sz w:val="24"/>
          <w:szCs w:val="24"/>
          <w:rtl/>
        </w:rPr>
        <w:t xml:space="preserve">، </w:t>
      </w:r>
      <w:r w:rsidRPr="009B428B">
        <w:rPr>
          <w:rFonts w:ascii="Simplified Arabic" w:hAnsi="Simplified Arabic" w:cs="Simplified Arabic"/>
          <w:sz w:val="24"/>
          <w:szCs w:val="24"/>
          <w:rtl/>
        </w:rPr>
        <w:t>20 أوت</w:t>
      </w:r>
      <w:r w:rsidRPr="0065467E">
        <w:rPr>
          <w:rFonts w:ascii="Simplified Arabic" w:hAnsi="Simplified Arabic" w:cs="Simplified Arabic" w:hint="cs"/>
          <w:sz w:val="24"/>
          <w:szCs w:val="24"/>
          <w:rtl/>
        </w:rPr>
        <w:t xml:space="preserve">، الحمايد، كادات وسطيح، الباطن)، </w:t>
      </w:r>
      <w:r>
        <w:rPr>
          <w:rFonts w:ascii="Simplified Arabic" w:hAnsi="Simplified Arabic" w:cs="Simplified Arabic" w:hint="cs"/>
          <w:sz w:val="24"/>
          <w:szCs w:val="24"/>
          <w:rtl/>
        </w:rPr>
        <w:t xml:space="preserve">حيث </w:t>
      </w:r>
      <w:r w:rsidRPr="0065467E">
        <w:rPr>
          <w:rFonts w:ascii="Simplified Arabic" w:hAnsi="Simplified Arabic" w:cs="Simplified Arabic" w:hint="cs"/>
          <w:sz w:val="24"/>
          <w:szCs w:val="24"/>
          <w:rtl/>
        </w:rPr>
        <w:t xml:space="preserve">تتراوح بين </w:t>
      </w:r>
      <w:r>
        <w:rPr>
          <w:rFonts w:ascii="Simplified Arabic" w:hAnsi="Simplified Arabic" w:cs="Simplified Arabic" w:hint="cs"/>
          <w:sz w:val="24"/>
          <w:szCs w:val="24"/>
          <w:rtl/>
        </w:rPr>
        <w:t>93</w:t>
      </w:r>
      <w:r w:rsidRPr="006546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ساكن</w:t>
      </w:r>
      <w:r w:rsidRPr="009B428B">
        <w:rPr>
          <w:rFonts w:ascii="Simplified Arabic" w:hAnsi="Simplified Arabic" w:cs="Simplified Arabic"/>
          <w:sz w:val="24"/>
          <w:szCs w:val="24"/>
          <w:rtl/>
        </w:rPr>
        <w:t>/هك</w:t>
      </w:r>
      <w:r>
        <w:rPr>
          <w:rFonts w:ascii="Simplified Arabic" w:hAnsi="Simplified Arabic" w:cs="Simplified Arabic" w:hint="cs"/>
          <w:sz w:val="24"/>
          <w:szCs w:val="24"/>
          <w:rtl/>
        </w:rPr>
        <w:t>تار</w:t>
      </w:r>
      <w:r w:rsidRPr="0065467E">
        <w:rPr>
          <w:rFonts w:ascii="Simplified Arabic" w:hAnsi="Simplified Arabic" w:cs="Simplified Arabic" w:hint="cs"/>
          <w:sz w:val="24"/>
          <w:szCs w:val="24"/>
          <w:rtl/>
        </w:rPr>
        <w:t xml:space="preserve"> و </w:t>
      </w:r>
      <w:r>
        <w:rPr>
          <w:rFonts w:ascii="Simplified Arabic" w:hAnsi="Simplified Arabic" w:cs="Simplified Arabic" w:hint="cs"/>
          <w:sz w:val="24"/>
          <w:szCs w:val="24"/>
          <w:rtl/>
        </w:rPr>
        <w:t>153</w:t>
      </w:r>
      <w:r w:rsidRPr="006546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ساكن</w:t>
      </w:r>
      <w:r w:rsidRPr="009B428B">
        <w:rPr>
          <w:rFonts w:ascii="Simplified Arabic" w:hAnsi="Simplified Arabic" w:cs="Simplified Arabic"/>
          <w:sz w:val="24"/>
          <w:szCs w:val="24"/>
          <w:rtl/>
        </w:rPr>
        <w:t>/هك</w:t>
      </w:r>
      <w:r>
        <w:rPr>
          <w:rFonts w:ascii="Simplified Arabic" w:hAnsi="Simplified Arabic" w:cs="Simplified Arabic" w:hint="cs"/>
          <w:sz w:val="24"/>
          <w:szCs w:val="24"/>
          <w:rtl/>
        </w:rPr>
        <w:t>تار، باستثناء حي 20 أوت الاكثر كثافة (178</w:t>
      </w:r>
      <w:r w:rsidRPr="0065467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ساكن</w:t>
      </w:r>
      <w:r w:rsidRPr="009B428B">
        <w:rPr>
          <w:rFonts w:ascii="Simplified Arabic" w:hAnsi="Simplified Arabic" w:cs="Simplified Arabic"/>
          <w:sz w:val="24"/>
          <w:szCs w:val="24"/>
          <w:rtl/>
        </w:rPr>
        <w:t>/هك</w:t>
      </w:r>
      <w:r>
        <w:rPr>
          <w:rFonts w:ascii="Simplified Arabic" w:hAnsi="Simplified Arabic" w:cs="Simplified Arabic" w:hint="cs"/>
          <w:sz w:val="24"/>
          <w:szCs w:val="24"/>
          <w:rtl/>
        </w:rPr>
        <w:t xml:space="preserve">تار) الذي يغلب عليه طابع السكن الجماعي بالإضافة الى تقسيمات الارض للتجزئة السكنية </w:t>
      </w:r>
      <w:r w:rsidR="00417C24">
        <w:rPr>
          <w:rFonts w:ascii="Simplified Arabic" w:hAnsi="Simplified Arabic" w:cs="Simplified Arabic" w:hint="cs"/>
          <w:sz w:val="24"/>
          <w:szCs w:val="24"/>
          <w:rtl/>
        </w:rPr>
        <w:t xml:space="preserve">وفق مخطط مسبق </w:t>
      </w:r>
      <w:r>
        <w:rPr>
          <w:rFonts w:ascii="Simplified Arabic" w:hAnsi="Simplified Arabic" w:cs="Simplified Arabic" w:hint="cs"/>
          <w:sz w:val="24"/>
          <w:szCs w:val="24"/>
          <w:rtl/>
        </w:rPr>
        <w:t xml:space="preserve">بمساحة تقل عن </w:t>
      </w:r>
      <w:r>
        <w:rPr>
          <w:rFonts w:ascii="Simplified Arabic" w:hAnsi="Simplified Arabic" w:cs="Simplified Arabic" w:hint="cs"/>
          <w:sz w:val="24"/>
          <w:szCs w:val="24"/>
          <w:rtl/>
          <w:lang w:bidi="ar-DZ"/>
        </w:rPr>
        <w:t>180 م</w:t>
      </w:r>
      <w:r w:rsidRPr="0063304D">
        <w:rPr>
          <w:rFonts w:ascii="Simplified Arabic" w:hAnsi="Simplified Arabic" w:cs="Simplified Arabic" w:hint="cs"/>
          <w:sz w:val="24"/>
          <w:szCs w:val="24"/>
          <w:vertAlign w:val="superscript"/>
          <w:rtl/>
          <w:lang w:bidi="ar-DZ"/>
        </w:rPr>
        <w:t>2</w:t>
      </w:r>
      <w:r>
        <w:rPr>
          <w:rFonts w:ascii="Simplified Arabic" w:hAnsi="Simplified Arabic" w:cs="Simplified Arabic" w:hint="cs"/>
          <w:sz w:val="24"/>
          <w:szCs w:val="24"/>
          <w:rtl/>
        </w:rPr>
        <w:t xml:space="preserve"> والمرتبطة ب</w:t>
      </w:r>
      <w:r w:rsidR="00E8765E">
        <w:rPr>
          <w:rFonts w:ascii="Simplified Arabic" w:hAnsi="Simplified Arabic" w:cs="Simplified Arabic" w:hint="cs"/>
          <w:sz w:val="24"/>
          <w:szCs w:val="24"/>
          <w:rtl/>
        </w:rPr>
        <w:t>استعمال</w:t>
      </w:r>
      <w:r>
        <w:rPr>
          <w:rFonts w:ascii="Simplified Arabic" w:hAnsi="Simplified Arabic" w:cs="Simplified Arabic" w:hint="cs"/>
          <w:sz w:val="24"/>
          <w:szCs w:val="24"/>
          <w:rtl/>
        </w:rPr>
        <w:t xml:space="preserve"> الارض</w:t>
      </w:r>
      <w:r w:rsidRPr="0065467E">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في حين، </w:t>
      </w:r>
      <w:r w:rsidRPr="009C3E29">
        <w:rPr>
          <w:rFonts w:ascii="Simplified Arabic" w:hAnsi="Simplified Arabic" w:cs="Simplified Arabic" w:hint="cs"/>
          <w:sz w:val="24"/>
          <w:szCs w:val="24"/>
          <w:rtl/>
        </w:rPr>
        <w:t>يبلغ</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متوسط</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الكثافة</w:t>
      </w:r>
      <w:r w:rsidRPr="009C3E29">
        <w:rPr>
          <w:rFonts w:ascii="Simplified Arabic" w:hAnsi="Simplified Arabic" w:cs="Simplified Arabic"/>
          <w:sz w:val="24"/>
          <w:szCs w:val="24"/>
          <w:rtl/>
        </w:rPr>
        <w:t xml:space="preserve"> </w:t>
      </w:r>
      <w:r>
        <w:rPr>
          <w:rFonts w:ascii="Simplified Arabic" w:hAnsi="Simplified Arabic" w:cs="Simplified Arabic" w:hint="cs"/>
          <w:sz w:val="24"/>
          <w:szCs w:val="24"/>
          <w:rtl/>
        </w:rPr>
        <w:t>السكانية</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الحالية</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في</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الجزائر</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حوالي</w:t>
      </w:r>
      <w:r w:rsidRPr="009C3E29">
        <w:rPr>
          <w:rFonts w:ascii="Simplified Arabic" w:hAnsi="Simplified Arabic" w:cs="Simplified Arabic"/>
          <w:sz w:val="24"/>
          <w:szCs w:val="24"/>
          <w:rtl/>
        </w:rPr>
        <w:t xml:space="preserve"> 65 </w:t>
      </w:r>
      <w:r>
        <w:rPr>
          <w:rFonts w:ascii="Simplified Arabic" w:hAnsi="Simplified Arabic" w:cs="Simplified Arabic" w:hint="cs"/>
          <w:sz w:val="24"/>
          <w:szCs w:val="24"/>
          <w:rtl/>
        </w:rPr>
        <w:t>ساكن</w:t>
      </w:r>
      <w:r w:rsidRPr="009C3E29">
        <w:rPr>
          <w:rFonts w:ascii="Simplified Arabic" w:hAnsi="Simplified Arabic" w:cs="Simplified Arabic"/>
          <w:sz w:val="24"/>
          <w:szCs w:val="24"/>
          <w:rtl/>
        </w:rPr>
        <w:t>/</w:t>
      </w:r>
      <w:r w:rsidRPr="009C3E29">
        <w:rPr>
          <w:rFonts w:ascii="Simplified Arabic" w:hAnsi="Simplified Arabic" w:cs="Simplified Arabic" w:hint="cs"/>
          <w:sz w:val="24"/>
          <w:szCs w:val="24"/>
          <w:rtl/>
        </w:rPr>
        <w:t>هكتار،</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حسب</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تقدير</w:t>
      </w:r>
      <w:r>
        <w:rPr>
          <w:rFonts w:ascii="Simplified Arabic" w:hAnsi="Simplified Arabic" w:cs="Simplified Arabic" w:hint="cs"/>
          <w:sz w:val="24"/>
          <w:szCs w:val="24"/>
          <w:rtl/>
        </w:rPr>
        <w:t xml:space="preserve"> </w:t>
      </w:r>
      <w:r w:rsidRPr="00173D34">
        <w:rPr>
          <w:rFonts w:asciiTheme="majorBidi" w:hAnsiTheme="majorBidi" w:cstheme="majorBidi"/>
          <w:sz w:val="24"/>
          <w:szCs w:val="24"/>
        </w:rPr>
        <w:t>Hadjou</w:t>
      </w:r>
      <w:r w:rsidRPr="008037EB">
        <w:rPr>
          <w:rFonts w:asciiTheme="majorBidi" w:hAnsiTheme="majorBidi" w:cstheme="majorBidi"/>
          <w:sz w:val="24"/>
          <w:szCs w:val="24"/>
        </w:rPr>
        <w:t xml:space="preserve">, </w:t>
      </w:r>
      <w:r>
        <w:rPr>
          <w:rFonts w:asciiTheme="majorBidi" w:hAnsiTheme="majorBidi" w:cstheme="majorBidi"/>
          <w:sz w:val="24"/>
          <w:szCs w:val="24"/>
        </w:rPr>
        <w:t>2012</w:t>
      </w:r>
      <w:r w:rsidRPr="008037EB">
        <w:rPr>
          <w:rFonts w:asciiTheme="majorBidi" w:hAnsiTheme="majorBidi" w:cstheme="majorBidi"/>
          <w:sz w:val="24"/>
          <w:szCs w:val="24"/>
        </w:rPr>
        <w:t>)</w:t>
      </w:r>
      <w:r w:rsidRPr="008037EB">
        <w:rPr>
          <w:rFonts w:asciiTheme="majorBidi" w:hAnsiTheme="majorBidi" w:cstheme="majorBidi"/>
          <w:sz w:val="24"/>
          <w:szCs w:val="24"/>
          <w:rtl/>
        </w:rPr>
        <w:t>)</w:t>
      </w:r>
      <w:r w:rsidRPr="009C3E29">
        <w:rPr>
          <w:rFonts w:ascii="Simplified Arabic" w:hAnsi="Simplified Arabic" w:cs="Simplified Arabic"/>
          <w:sz w:val="24"/>
          <w:szCs w:val="24"/>
          <w:rtl/>
        </w:rPr>
        <w:t>.</w:t>
      </w:r>
    </w:p>
    <w:p w:rsidR="001F3518" w:rsidRDefault="000635D8" w:rsidP="00F76D99">
      <w:pPr>
        <w:pStyle w:val="Tableau"/>
        <w:rPr>
          <w:rtl/>
        </w:rPr>
      </w:pPr>
      <w:bookmarkStart w:id="533" w:name="_Toc157612986"/>
      <w:bookmarkStart w:id="534" w:name="_Toc171803596"/>
      <w:r>
        <w:rPr>
          <w:rFonts w:hint="cs"/>
          <w:rtl/>
        </w:rPr>
        <w:t xml:space="preserve">الجدول </w:t>
      </w:r>
      <w:r w:rsidR="00BA11BE" w:rsidRPr="0063639A">
        <w:rPr>
          <w:rFonts w:hint="cs"/>
          <w:rtl/>
        </w:rPr>
        <w:t>(</w:t>
      </w:r>
      <w:r w:rsidR="00BA11BE">
        <w:rPr>
          <w:rFonts w:hint="cs"/>
          <w:rtl/>
        </w:rPr>
        <w:t>4-4</w:t>
      </w:r>
      <w:r w:rsidR="00BA11BE" w:rsidRPr="0063639A">
        <w:rPr>
          <w:rFonts w:hint="cs"/>
          <w:rtl/>
        </w:rPr>
        <w:t>)</w:t>
      </w:r>
      <w:r>
        <w:rPr>
          <w:rFonts w:hint="cs"/>
          <w:rtl/>
        </w:rPr>
        <w:t>: الكثافة السكانية لأحياء مدينة بوسعادة</w:t>
      </w:r>
      <w:bookmarkEnd w:id="533"/>
      <w:bookmarkEnd w:id="534"/>
    </w:p>
    <w:p w:rsidR="000635D8" w:rsidRPr="00370143" w:rsidRDefault="000635D8" w:rsidP="001F3518">
      <w:pPr>
        <w:autoSpaceDE w:val="0"/>
        <w:autoSpaceDN w:val="0"/>
        <w:bidi/>
        <w:adjustRightInd w:val="0"/>
        <w:spacing w:after="0"/>
        <w:ind w:firstLine="283"/>
        <w:jc w:val="center"/>
        <w:rPr>
          <w:rFonts w:ascii="Simplified Arabic" w:hAnsi="Simplified Arabic" w:cs="Simplified Arabic"/>
          <w:b/>
          <w:bCs/>
          <w:sz w:val="24"/>
          <w:szCs w:val="24"/>
          <w:rtl/>
        </w:rPr>
      </w:pPr>
      <w:r w:rsidRPr="00370143">
        <w:rPr>
          <w:rFonts w:ascii="Simplified Arabic" w:hAnsi="Simplified Arabic" w:cs="Simplified Arabic" w:hint="cs"/>
          <w:b/>
          <w:bCs/>
          <w:sz w:val="24"/>
          <w:szCs w:val="24"/>
          <w:rtl/>
        </w:rPr>
        <w:t>المصدر</w:t>
      </w:r>
      <w:r w:rsidRPr="00370143">
        <w:rPr>
          <w:rFonts w:ascii="Simplified Arabic" w:hAnsi="Simplified Arabic" w:cs="Simplified Arabic"/>
          <w:b/>
          <w:bCs/>
          <w:sz w:val="24"/>
          <w:szCs w:val="24"/>
          <w:rtl/>
        </w:rPr>
        <w:t>:</w:t>
      </w:r>
      <w:r w:rsidRPr="00370143">
        <w:rPr>
          <w:rFonts w:asciiTheme="majorBidi" w:hAnsiTheme="majorBidi" w:cstheme="majorBidi"/>
          <w:b/>
          <w:bCs/>
          <w:sz w:val="24"/>
          <w:szCs w:val="24"/>
        </w:rPr>
        <w:t xml:space="preserve"> URBA, 2015; </w:t>
      </w:r>
      <w:r w:rsidR="003F2E93" w:rsidRPr="00370143">
        <w:rPr>
          <w:rFonts w:asciiTheme="majorBidi" w:hAnsiTheme="majorBidi" w:cstheme="majorBidi"/>
          <w:b/>
          <w:bCs/>
          <w:sz w:val="24"/>
          <w:szCs w:val="24"/>
        </w:rPr>
        <w:t>NSO</w:t>
      </w:r>
      <w:r w:rsidRPr="00370143">
        <w:rPr>
          <w:rFonts w:asciiTheme="majorBidi" w:hAnsiTheme="majorBidi" w:cstheme="majorBidi"/>
          <w:b/>
          <w:bCs/>
          <w:sz w:val="24"/>
          <w:szCs w:val="24"/>
        </w:rPr>
        <w:t>, 2022)</w:t>
      </w:r>
      <w:r w:rsidRPr="00370143">
        <w:rPr>
          <w:rFonts w:asciiTheme="majorBidi" w:hAnsiTheme="majorBidi" w:cstheme="majorBidi"/>
          <w:b/>
          <w:bCs/>
          <w:sz w:val="24"/>
          <w:szCs w:val="24"/>
          <w:rtl/>
        </w:rPr>
        <w:t>)</w:t>
      </w:r>
    </w:p>
    <w:tbl>
      <w:tblPr>
        <w:bidiVisual/>
        <w:tblW w:w="6767" w:type="dxa"/>
        <w:jc w:val="center"/>
        <w:tblCellMar>
          <w:left w:w="70" w:type="dxa"/>
          <w:right w:w="70" w:type="dxa"/>
        </w:tblCellMar>
        <w:tblLook w:val="04A0" w:firstRow="1" w:lastRow="0" w:firstColumn="1" w:lastColumn="0" w:noHBand="0" w:noVBand="1"/>
      </w:tblPr>
      <w:tblGrid>
        <w:gridCol w:w="2033"/>
        <w:gridCol w:w="1266"/>
        <w:gridCol w:w="993"/>
        <w:gridCol w:w="1927"/>
        <w:gridCol w:w="548"/>
      </w:tblGrid>
      <w:tr w:rsidR="000635D8" w:rsidRPr="00654FD1" w:rsidTr="007C10D1">
        <w:trPr>
          <w:trHeight w:val="224"/>
          <w:jc w:val="center"/>
        </w:trPr>
        <w:tc>
          <w:tcPr>
            <w:tcW w:w="2033" w:type="dxa"/>
            <w:tcBorders>
              <w:top w:val="single" w:sz="12" w:space="0" w:color="auto"/>
              <w:left w:val="single" w:sz="12"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 xml:space="preserve">اسم </w:t>
            </w:r>
            <w:r w:rsidRPr="00654FD1">
              <w:rPr>
                <w:rFonts w:ascii="Simplified Arabic" w:eastAsia="Times New Roman" w:hAnsi="Simplified Arabic" w:cs="Simplified Arabic"/>
                <w:color w:val="000000"/>
                <w:sz w:val="24"/>
                <w:szCs w:val="24"/>
                <w:rtl/>
                <w:lang w:eastAsia="fr-FR"/>
              </w:rPr>
              <w:t>الحي</w:t>
            </w:r>
          </w:p>
        </w:tc>
        <w:tc>
          <w:tcPr>
            <w:tcW w:w="1266" w:type="dxa"/>
            <w:tcBorders>
              <w:top w:val="single" w:sz="12" w:space="0" w:color="auto"/>
              <w:left w:val="single" w:sz="4" w:space="0" w:color="auto"/>
              <w:bottom w:val="single" w:sz="12" w:space="0" w:color="auto"/>
              <w:right w:val="single" w:sz="4" w:space="0" w:color="auto"/>
            </w:tcBorders>
            <w:shd w:val="clear" w:color="auto" w:fill="auto"/>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المساحة بالهكتار</w:t>
            </w:r>
          </w:p>
        </w:tc>
        <w:tc>
          <w:tcPr>
            <w:tcW w:w="993"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عدد السكان</w:t>
            </w:r>
          </w:p>
        </w:tc>
        <w:tc>
          <w:tcPr>
            <w:tcW w:w="2475" w:type="dxa"/>
            <w:gridSpan w:val="2"/>
            <w:tcBorders>
              <w:top w:val="single" w:sz="12" w:space="0" w:color="auto"/>
              <w:left w:val="single" w:sz="4" w:space="0" w:color="auto"/>
              <w:bottom w:val="single" w:sz="12" w:space="0" w:color="auto"/>
              <w:right w:val="single" w:sz="12" w:space="0" w:color="auto"/>
            </w:tcBorders>
            <w:shd w:val="clear" w:color="auto" w:fill="auto"/>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 xml:space="preserve">الكثافة السكانية </w:t>
            </w:r>
            <w:r w:rsidRPr="00654FD1">
              <w:rPr>
                <w:rFonts w:ascii="Simplified Arabic" w:eastAsia="Times New Roman" w:hAnsi="Simplified Arabic" w:cs="Simplified Arabic" w:hint="cs"/>
                <w:color w:val="000000"/>
                <w:sz w:val="24"/>
                <w:szCs w:val="24"/>
                <w:rtl/>
                <w:lang w:eastAsia="fr-FR"/>
              </w:rPr>
              <w:t>(</w:t>
            </w:r>
            <w:r w:rsidRPr="00654FD1">
              <w:rPr>
                <w:rFonts w:ascii="Simplified Arabic" w:eastAsia="Times New Roman" w:hAnsi="Simplified Arabic" w:cs="Simplified Arabic"/>
                <w:color w:val="000000"/>
                <w:sz w:val="24"/>
                <w:szCs w:val="24"/>
                <w:rtl/>
                <w:lang w:eastAsia="fr-FR"/>
              </w:rPr>
              <w:t>ساكن/هك</w:t>
            </w:r>
            <w:r>
              <w:rPr>
                <w:rFonts w:ascii="Simplified Arabic" w:eastAsia="Times New Roman" w:hAnsi="Simplified Arabic" w:cs="Simplified Arabic" w:hint="cs"/>
                <w:color w:val="000000"/>
                <w:sz w:val="24"/>
                <w:szCs w:val="24"/>
                <w:rtl/>
                <w:lang w:eastAsia="fr-FR"/>
              </w:rPr>
              <w:t>تار</w:t>
            </w:r>
            <w:r w:rsidRPr="00654FD1">
              <w:rPr>
                <w:rFonts w:ascii="Simplified Arabic" w:eastAsia="Times New Roman" w:hAnsi="Simplified Arabic" w:cs="Simplified Arabic" w:hint="cs"/>
                <w:color w:val="000000"/>
                <w:sz w:val="24"/>
                <w:szCs w:val="24"/>
                <w:rtl/>
                <w:lang w:eastAsia="fr-FR"/>
              </w:rPr>
              <w:t>)</w:t>
            </w:r>
          </w:p>
        </w:tc>
      </w:tr>
      <w:tr w:rsidR="000635D8" w:rsidRPr="00654FD1" w:rsidTr="007C10D1">
        <w:trPr>
          <w:trHeight w:val="107"/>
          <w:jc w:val="center"/>
        </w:trPr>
        <w:tc>
          <w:tcPr>
            <w:tcW w:w="2033" w:type="dxa"/>
            <w:tcBorders>
              <w:top w:val="single" w:sz="12" w:space="0" w:color="auto"/>
              <w:left w:val="single" w:sz="12" w:space="0" w:color="auto"/>
              <w:bottom w:val="single" w:sz="12"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القصر (المدينة القديمة)</w:t>
            </w:r>
          </w:p>
        </w:tc>
        <w:tc>
          <w:tcPr>
            <w:tcW w:w="1266"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27,10</w:t>
            </w:r>
          </w:p>
        </w:tc>
        <w:tc>
          <w:tcPr>
            <w:tcW w:w="993"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6324</w:t>
            </w:r>
          </w:p>
        </w:tc>
        <w:tc>
          <w:tcPr>
            <w:tcW w:w="2475" w:type="dxa"/>
            <w:gridSpan w:val="2"/>
            <w:tcBorders>
              <w:top w:val="single" w:sz="12" w:space="0" w:color="auto"/>
              <w:left w:val="single" w:sz="4" w:space="0" w:color="auto"/>
              <w:bottom w:val="single" w:sz="12"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233</w:t>
            </w:r>
          </w:p>
        </w:tc>
      </w:tr>
      <w:tr w:rsidR="000635D8" w:rsidRPr="00654FD1" w:rsidTr="007C10D1">
        <w:trPr>
          <w:trHeight w:val="315"/>
          <w:jc w:val="center"/>
        </w:trPr>
        <w:tc>
          <w:tcPr>
            <w:tcW w:w="2033" w:type="dxa"/>
            <w:tcBorders>
              <w:top w:val="single" w:sz="12" w:space="0" w:color="auto"/>
              <w:left w:val="single" w:sz="12"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بلاتو</w:t>
            </w:r>
          </w:p>
        </w:tc>
        <w:tc>
          <w:tcPr>
            <w:tcW w:w="1266"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61,50</w:t>
            </w:r>
          </w:p>
        </w:tc>
        <w:tc>
          <w:tcPr>
            <w:tcW w:w="993"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5710</w:t>
            </w:r>
          </w:p>
        </w:tc>
        <w:tc>
          <w:tcPr>
            <w:tcW w:w="2475" w:type="dxa"/>
            <w:gridSpan w:val="2"/>
            <w:tcBorders>
              <w:top w:val="single" w:sz="12" w:space="0" w:color="auto"/>
              <w:left w:val="single" w:sz="4" w:space="0" w:color="auto"/>
              <w:bottom w:val="single" w:sz="12"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93</w:t>
            </w:r>
          </w:p>
        </w:tc>
      </w:tr>
      <w:tr w:rsidR="000635D8" w:rsidRPr="00654FD1" w:rsidTr="007C10D1">
        <w:trPr>
          <w:trHeight w:val="315"/>
          <w:jc w:val="center"/>
        </w:trPr>
        <w:tc>
          <w:tcPr>
            <w:tcW w:w="2033" w:type="dxa"/>
            <w:tcBorders>
              <w:top w:val="single" w:sz="12" w:space="0" w:color="auto"/>
              <w:left w:val="single" w:sz="12" w:space="0" w:color="auto"/>
              <w:bottom w:val="single" w:sz="4"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الكوشة و القيسة</w:t>
            </w:r>
          </w:p>
        </w:tc>
        <w:tc>
          <w:tcPr>
            <w:tcW w:w="1266" w:type="dxa"/>
            <w:tcBorders>
              <w:top w:val="single" w:sz="12"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55,20</w:t>
            </w:r>
          </w:p>
        </w:tc>
        <w:tc>
          <w:tcPr>
            <w:tcW w:w="993" w:type="dxa"/>
            <w:tcBorders>
              <w:top w:val="single" w:sz="12"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21321</w:t>
            </w:r>
          </w:p>
        </w:tc>
        <w:tc>
          <w:tcPr>
            <w:tcW w:w="2475" w:type="dxa"/>
            <w:gridSpan w:val="2"/>
            <w:tcBorders>
              <w:top w:val="single" w:sz="12"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386</w:t>
            </w:r>
          </w:p>
        </w:tc>
      </w:tr>
      <w:tr w:rsidR="000635D8" w:rsidRPr="00654FD1" w:rsidTr="007C10D1">
        <w:trPr>
          <w:trHeight w:val="315"/>
          <w:jc w:val="center"/>
        </w:trPr>
        <w:tc>
          <w:tcPr>
            <w:tcW w:w="2033" w:type="dxa"/>
            <w:tcBorders>
              <w:top w:val="single" w:sz="4" w:space="0" w:color="auto"/>
              <w:left w:val="single" w:sz="12" w:space="0" w:color="auto"/>
              <w:bottom w:val="single" w:sz="4"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جنان البطم</w:t>
            </w:r>
          </w:p>
        </w:tc>
        <w:tc>
          <w:tcPr>
            <w:tcW w:w="1266" w:type="dxa"/>
            <w:tcBorders>
              <w:top w:val="single" w:sz="4" w:space="0" w:color="auto"/>
              <w:left w:val="single" w:sz="4" w:space="0" w:color="auto"/>
              <w:bottom w:val="single" w:sz="4" w:space="0" w:color="auto"/>
              <w:right w:val="single" w:sz="4" w:space="0" w:color="auto"/>
            </w:tcBorders>
            <w:shd w:val="clear" w:color="auto" w:fill="auto"/>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119,00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2354</w:t>
            </w:r>
          </w:p>
        </w:tc>
        <w:tc>
          <w:tcPr>
            <w:tcW w:w="2475" w:type="dxa"/>
            <w:gridSpan w:val="2"/>
            <w:tcBorders>
              <w:top w:val="single" w:sz="4"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20</w:t>
            </w:r>
          </w:p>
        </w:tc>
      </w:tr>
      <w:tr w:rsidR="000635D8" w:rsidRPr="00654FD1" w:rsidTr="007C10D1">
        <w:trPr>
          <w:trHeight w:val="315"/>
          <w:jc w:val="center"/>
        </w:trPr>
        <w:tc>
          <w:tcPr>
            <w:tcW w:w="2033" w:type="dxa"/>
            <w:tcBorders>
              <w:top w:val="single" w:sz="4" w:space="0" w:color="auto"/>
              <w:left w:val="single" w:sz="12" w:space="0" w:color="auto"/>
              <w:bottom w:val="single" w:sz="4"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الموامين</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38,20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6952</w:t>
            </w:r>
          </w:p>
        </w:tc>
        <w:tc>
          <w:tcPr>
            <w:tcW w:w="2475" w:type="dxa"/>
            <w:gridSpan w:val="2"/>
            <w:tcBorders>
              <w:top w:val="single" w:sz="4"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182</w:t>
            </w:r>
          </w:p>
        </w:tc>
      </w:tr>
      <w:tr w:rsidR="000635D8" w:rsidRPr="00654FD1" w:rsidTr="007C10D1">
        <w:trPr>
          <w:trHeight w:val="315"/>
          <w:jc w:val="center"/>
        </w:trPr>
        <w:tc>
          <w:tcPr>
            <w:tcW w:w="2033" w:type="dxa"/>
            <w:tcBorders>
              <w:top w:val="single" w:sz="4" w:space="0" w:color="auto"/>
              <w:left w:val="single" w:sz="12" w:space="0" w:color="auto"/>
              <w:bottom w:val="single" w:sz="4"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سيدي سليمان</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104,00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29653</w:t>
            </w:r>
          </w:p>
        </w:tc>
        <w:tc>
          <w:tcPr>
            <w:tcW w:w="2475" w:type="dxa"/>
            <w:gridSpan w:val="2"/>
            <w:tcBorders>
              <w:top w:val="single" w:sz="4"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285</w:t>
            </w:r>
          </w:p>
        </w:tc>
      </w:tr>
      <w:tr w:rsidR="000635D8" w:rsidRPr="00654FD1" w:rsidTr="007C10D1">
        <w:trPr>
          <w:trHeight w:val="315"/>
          <w:jc w:val="center"/>
        </w:trPr>
        <w:tc>
          <w:tcPr>
            <w:tcW w:w="2033" w:type="dxa"/>
            <w:tcBorders>
              <w:top w:val="single" w:sz="4" w:space="0" w:color="auto"/>
              <w:left w:val="single" w:sz="12" w:space="0" w:color="auto"/>
              <w:bottom w:val="single" w:sz="4"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العوينات</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71,20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9522</w:t>
            </w:r>
          </w:p>
        </w:tc>
        <w:tc>
          <w:tcPr>
            <w:tcW w:w="2475" w:type="dxa"/>
            <w:gridSpan w:val="2"/>
            <w:tcBorders>
              <w:top w:val="single" w:sz="4"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134</w:t>
            </w:r>
          </w:p>
        </w:tc>
      </w:tr>
      <w:tr w:rsidR="000635D8" w:rsidRPr="00654FD1" w:rsidTr="007C10D1">
        <w:trPr>
          <w:trHeight w:val="315"/>
          <w:jc w:val="center"/>
        </w:trPr>
        <w:tc>
          <w:tcPr>
            <w:tcW w:w="2033" w:type="dxa"/>
            <w:tcBorders>
              <w:top w:val="single" w:sz="4" w:space="0" w:color="auto"/>
              <w:left w:val="single" w:sz="12" w:space="0" w:color="auto"/>
              <w:bottom w:val="single" w:sz="4"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الدشرة القبلية والرصفة</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41,90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9350</w:t>
            </w:r>
          </w:p>
        </w:tc>
        <w:tc>
          <w:tcPr>
            <w:tcW w:w="2475" w:type="dxa"/>
            <w:gridSpan w:val="2"/>
            <w:tcBorders>
              <w:top w:val="single" w:sz="4"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223</w:t>
            </w:r>
          </w:p>
        </w:tc>
      </w:tr>
      <w:tr w:rsidR="000635D8" w:rsidRPr="00654FD1" w:rsidTr="007C10D1">
        <w:trPr>
          <w:trHeight w:val="315"/>
          <w:jc w:val="center"/>
        </w:trPr>
        <w:tc>
          <w:tcPr>
            <w:tcW w:w="2033" w:type="dxa"/>
            <w:tcBorders>
              <w:top w:val="single" w:sz="4" w:space="0" w:color="auto"/>
              <w:left w:val="single" w:sz="12" w:space="0" w:color="auto"/>
              <w:bottom w:val="single" w:sz="12" w:space="0" w:color="auto"/>
              <w:right w:val="single" w:sz="4" w:space="0" w:color="auto"/>
            </w:tcBorders>
            <w:shd w:val="clear" w:color="auto" w:fill="auto"/>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ميطر</w:t>
            </w:r>
          </w:p>
        </w:tc>
        <w:tc>
          <w:tcPr>
            <w:tcW w:w="1266" w:type="dxa"/>
            <w:tcBorders>
              <w:top w:val="single" w:sz="4"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30,20</w:t>
            </w:r>
          </w:p>
        </w:tc>
        <w:tc>
          <w:tcPr>
            <w:tcW w:w="993" w:type="dxa"/>
            <w:tcBorders>
              <w:top w:val="single" w:sz="4"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12415</w:t>
            </w:r>
          </w:p>
        </w:tc>
        <w:tc>
          <w:tcPr>
            <w:tcW w:w="2475" w:type="dxa"/>
            <w:gridSpan w:val="2"/>
            <w:tcBorders>
              <w:top w:val="single" w:sz="4" w:space="0" w:color="auto"/>
              <w:left w:val="single" w:sz="4" w:space="0" w:color="auto"/>
              <w:bottom w:val="single" w:sz="12"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411</w:t>
            </w:r>
          </w:p>
        </w:tc>
      </w:tr>
      <w:tr w:rsidR="000635D8" w:rsidRPr="00654FD1" w:rsidTr="007C10D1">
        <w:trPr>
          <w:trHeight w:val="315"/>
          <w:jc w:val="center"/>
        </w:trPr>
        <w:tc>
          <w:tcPr>
            <w:tcW w:w="2033"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20 أوت</w:t>
            </w:r>
          </w:p>
        </w:tc>
        <w:tc>
          <w:tcPr>
            <w:tcW w:w="1266" w:type="dxa"/>
            <w:tcBorders>
              <w:top w:val="single" w:sz="12"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80,50</w:t>
            </w:r>
          </w:p>
        </w:tc>
        <w:tc>
          <w:tcPr>
            <w:tcW w:w="993" w:type="dxa"/>
            <w:tcBorders>
              <w:top w:val="single" w:sz="12"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14352</w:t>
            </w:r>
          </w:p>
        </w:tc>
        <w:tc>
          <w:tcPr>
            <w:tcW w:w="2475" w:type="dxa"/>
            <w:gridSpan w:val="2"/>
            <w:tcBorders>
              <w:top w:val="single" w:sz="12"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178</w:t>
            </w:r>
          </w:p>
        </w:tc>
      </w:tr>
      <w:tr w:rsidR="000635D8" w:rsidRPr="00654FD1" w:rsidTr="007C10D1">
        <w:trPr>
          <w:trHeight w:val="315"/>
          <w:jc w:val="center"/>
        </w:trPr>
        <w:tc>
          <w:tcPr>
            <w:tcW w:w="2033" w:type="dxa"/>
            <w:tcBorders>
              <w:top w:val="single" w:sz="4" w:space="0" w:color="auto"/>
              <w:left w:val="single" w:sz="12"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الحمايد</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90,70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13350</w:t>
            </w:r>
          </w:p>
        </w:tc>
        <w:tc>
          <w:tcPr>
            <w:tcW w:w="2475" w:type="dxa"/>
            <w:gridSpan w:val="2"/>
            <w:tcBorders>
              <w:top w:val="single" w:sz="4"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147</w:t>
            </w:r>
          </w:p>
        </w:tc>
      </w:tr>
      <w:tr w:rsidR="000635D8" w:rsidRPr="00654FD1" w:rsidTr="007C10D1">
        <w:trPr>
          <w:trHeight w:val="315"/>
          <w:jc w:val="center"/>
        </w:trPr>
        <w:tc>
          <w:tcPr>
            <w:tcW w:w="2033" w:type="dxa"/>
            <w:tcBorders>
              <w:top w:val="single" w:sz="4" w:space="0" w:color="auto"/>
              <w:left w:val="single" w:sz="12"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كادات وسطيح</w:t>
            </w:r>
          </w:p>
        </w:tc>
        <w:tc>
          <w:tcPr>
            <w:tcW w:w="1266"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130,00</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19851</w:t>
            </w:r>
          </w:p>
        </w:tc>
        <w:tc>
          <w:tcPr>
            <w:tcW w:w="2475" w:type="dxa"/>
            <w:gridSpan w:val="2"/>
            <w:tcBorders>
              <w:top w:val="single" w:sz="4" w:space="0" w:color="auto"/>
              <w:left w:val="single" w:sz="4" w:space="0" w:color="auto"/>
              <w:bottom w:val="single" w:sz="4"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153</w:t>
            </w:r>
          </w:p>
        </w:tc>
      </w:tr>
      <w:tr w:rsidR="000635D8" w:rsidRPr="00654FD1" w:rsidTr="007C10D1">
        <w:trPr>
          <w:trHeight w:val="315"/>
          <w:jc w:val="center"/>
        </w:trPr>
        <w:tc>
          <w:tcPr>
            <w:tcW w:w="2033" w:type="dxa"/>
            <w:tcBorders>
              <w:top w:val="single" w:sz="4" w:space="0" w:color="auto"/>
              <w:left w:val="single" w:sz="12"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 xml:space="preserve">الباطن </w:t>
            </w:r>
          </w:p>
        </w:tc>
        <w:tc>
          <w:tcPr>
            <w:tcW w:w="1266" w:type="dxa"/>
            <w:tcBorders>
              <w:top w:val="single" w:sz="4"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325</w:t>
            </w:r>
            <w:r w:rsidRPr="00654FD1">
              <w:rPr>
                <w:rFonts w:ascii="Simplified Arabic" w:eastAsia="Times New Roman" w:hAnsi="Simplified Arabic" w:cs="Simplified Arabic"/>
                <w:color w:val="000000"/>
                <w:sz w:val="24"/>
                <w:szCs w:val="24"/>
                <w:lang w:eastAsia="fr-FR"/>
              </w:rPr>
              <w:t>,00</w:t>
            </w:r>
          </w:p>
        </w:tc>
        <w:tc>
          <w:tcPr>
            <w:tcW w:w="993" w:type="dxa"/>
            <w:tcBorders>
              <w:top w:val="single" w:sz="4"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36254</w:t>
            </w:r>
          </w:p>
        </w:tc>
        <w:tc>
          <w:tcPr>
            <w:tcW w:w="2475" w:type="dxa"/>
            <w:gridSpan w:val="2"/>
            <w:tcBorders>
              <w:top w:val="single" w:sz="4" w:space="0" w:color="auto"/>
              <w:left w:val="single" w:sz="4" w:space="0" w:color="auto"/>
              <w:bottom w:val="single" w:sz="12" w:space="0" w:color="auto"/>
              <w:right w:val="single" w:sz="12"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112</w:t>
            </w:r>
          </w:p>
        </w:tc>
      </w:tr>
      <w:tr w:rsidR="000635D8" w:rsidRPr="00654FD1" w:rsidTr="007C10D1">
        <w:trPr>
          <w:trHeight w:val="315"/>
          <w:jc w:val="center"/>
        </w:trPr>
        <w:tc>
          <w:tcPr>
            <w:tcW w:w="2033" w:type="dxa"/>
            <w:tcBorders>
              <w:top w:val="single" w:sz="12" w:space="0" w:color="auto"/>
              <w:left w:val="single" w:sz="12"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rtl/>
                <w:lang w:eastAsia="fr-FR"/>
              </w:rPr>
              <w:t>المجموع</w:t>
            </w:r>
          </w:p>
        </w:tc>
        <w:tc>
          <w:tcPr>
            <w:tcW w:w="1266"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color w:val="000000"/>
                <w:sz w:val="24"/>
                <w:szCs w:val="24"/>
                <w:lang w:eastAsia="fr-FR"/>
              </w:rPr>
              <w:t>1</w:t>
            </w:r>
            <w:r w:rsidRPr="00654FD1">
              <w:rPr>
                <w:rFonts w:ascii="Simplified Arabic" w:eastAsia="Times New Roman" w:hAnsi="Simplified Arabic" w:cs="Simplified Arabic" w:hint="cs"/>
                <w:color w:val="000000"/>
                <w:sz w:val="24"/>
                <w:szCs w:val="24"/>
                <w:rtl/>
                <w:lang w:eastAsia="fr-FR"/>
              </w:rPr>
              <w:t>176</w:t>
            </w:r>
            <w:r w:rsidRPr="00654FD1">
              <w:rPr>
                <w:rFonts w:ascii="Simplified Arabic" w:eastAsia="Times New Roman" w:hAnsi="Simplified Arabic" w:cs="Simplified Arabic"/>
                <w:color w:val="000000"/>
                <w:sz w:val="24"/>
                <w:szCs w:val="24"/>
                <w:lang w:eastAsia="fr-FR"/>
              </w:rPr>
              <w:t>,50</w:t>
            </w:r>
          </w:p>
        </w:tc>
        <w:tc>
          <w:tcPr>
            <w:tcW w:w="993" w:type="dxa"/>
            <w:tcBorders>
              <w:top w:val="single" w:sz="12" w:space="0" w:color="auto"/>
              <w:left w:val="single" w:sz="4" w:space="0" w:color="auto"/>
              <w:bottom w:val="single" w:sz="12" w:space="0" w:color="auto"/>
              <w:right w:val="single" w:sz="4" w:space="0" w:color="auto"/>
            </w:tcBorders>
            <w:shd w:val="clear" w:color="auto" w:fill="auto"/>
            <w:noWrap/>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187408</w:t>
            </w:r>
          </w:p>
        </w:tc>
        <w:tc>
          <w:tcPr>
            <w:tcW w:w="1927" w:type="dxa"/>
            <w:tcBorders>
              <w:top w:val="single" w:sz="12" w:space="0" w:color="auto"/>
              <w:left w:val="single" w:sz="4" w:space="0" w:color="auto"/>
              <w:bottom w:val="single" w:sz="12" w:space="0" w:color="auto"/>
              <w:right w:val="single" w:sz="4" w:space="0" w:color="auto"/>
            </w:tcBorders>
            <w:shd w:val="clear" w:color="auto" w:fill="D9D9D9" w:themeFill="background1" w:themeFillShade="D9"/>
            <w:noWrap/>
            <w:vAlign w:val="center"/>
          </w:tcPr>
          <w:p w:rsidR="000635D8" w:rsidRPr="00EE00BE"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EE00BE">
              <w:rPr>
                <w:rFonts w:ascii="Simplified Arabic" w:eastAsia="Times New Roman" w:hAnsi="Simplified Arabic" w:cs="Simplified Arabic"/>
                <w:color w:val="000000"/>
                <w:sz w:val="24"/>
                <w:szCs w:val="24"/>
                <w:rtl/>
                <w:lang w:eastAsia="fr-FR"/>
              </w:rPr>
              <w:t xml:space="preserve">معدل الكثافة </w:t>
            </w:r>
            <w:r w:rsidRPr="00EE00BE">
              <w:rPr>
                <w:rFonts w:ascii="Simplified Arabic" w:eastAsia="Times New Roman" w:hAnsi="Simplified Arabic" w:cs="Simplified Arabic" w:hint="cs"/>
                <w:color w:val="000000"/>
                <w:sz w:val="24"/>
                <w:szCs w:val="24"/>
                <w:rtl/>
                <w:lang w:eastAsia="fr-FR"/>
              </w:rPr>
              <w:t>السكانية</w:t>
            </w:r>
          </w:p>
        </w:tc>
        <w:tc>
          <w:tcPr>
            <w:tcW w:w="548" w:type="dxa"/>
            <w:tcBorders>
              <w:top w:val="single" w:sz="12" w:space="0" w:color="auto"/>
              <w:left w:val="single" w:sz="4" w:space="0" w:color="auto"/>
              <w:bottom w:val="single" w:sz="12" w:space="0" w:color="auto"/>
              <w:right w:val="single" w:sz="12" w:space="0" w:color="auto"/>
            </w:tcBorders>
            <w:shd w:val="clear" w:color="auto" w:fill="D9D9D9" w:themeFill="background1" w:themeFillShade="D9"/>
            <w:vAlign w:val="center"/>
          </w:tcPr>
          <w:p w:rsidR="000635D8" w:rsidRPr="00654FD1" w:rsidRDefault="000635D8" w:rsidP="007C10D1">
            <w:pPr>
              <w:bidi/>
              <w:spacing w:after="0" w:line="240" w:lineRule="auto"/>
              <w:jc w:val="center"/>
              <w:rPr>
                <w:rFonts w:ascii="Simplified Arabic" w:eastAsia="Times New Roman" w:hAnsi="Simplified Arabic" w:cs="Simplified Arabic"/>
                <w:color w:val="000000"/>
                <w:sz w:val="24"/>
                <w:szCs w:val="24"/>
                <w:lang w:eastAsia="fr-FR"/>
              </w:rPr>
            </w:pPr>
            <w:r w:rsidRPr="00654FD1">
              <w:rPr>
                <w:rFonts w:ascii="Simplified Arabic" w:eastAsia="Times New Roman" w:hAnsi="Simplified Arabic" w:cs="Simplified Arabic" w:hint="cs"/>
                <w:color w:val="000000"/>
                <w:sz w:val="24"/>
                <w:szCs w:val="24"/>
                <w:rtl/>
                <w:lang w:eastAsia="fr-FR"/>
              </w:rPr>
              <w:t>159</w:t>
            </w:r>
          </w:p>
        </w:tc>
      </w:tr>
    </w:tbl>
    <w:p w:rsidR="00FD3D45" w:rsidRDefault="00FD3D45" w:rsidP="00370143">
      <w:pPr>
        <w:pStyle w:val="carte"/>
        <w:spacing w:after="0" w:line="276" w:lineRule="auto"/>
        <w:rPr>
          <w:rtl/>
        </w:rPr>
      </w:pPr>
      <w:bookmarkStart w:id="535" w:name="_Toc157616594"/>
    </w:p>
    <w:p w:rsidR="00FD3D45" w:rsidRDefault="00FD3D45" w:rsidP="00370143">
      <w:pPr>
        <w:pStyle w:val="carte"/>
        <w:spacing w:after="0" w:line="276" w:lineRule="auto"/>
        <w:rPr>
          <w:rtl/>
        </w:rPr>
      </w:pPr>
    </w:p>
    <w:p w:rsidR="0098748C" w:rsidRDefault="00D35B2A" w:rsidP="00370143">
      <w:pPr>
        <w:pStyle w:val="carte"/>
        <w:spacing w:after="0" w:line="276" w:lineRule="auto"/>
        <w:rPr>
          <w:rtl/>
        </w:rPr>
      </w:pPr>
      <w:bookmarkStart w:id="536" w:name="_Toc171803597"/>
      <w:r>
        <w:rPr>
          <w:rFonts w:hint="cs"/>
          <w:rtl/>
        </w:rPr>
        <w:lastRenderedPageBreak/>
        <w:t>ال</w:t>
      </w:r>
      <w:r w:rsidR="0098748C" w:rsidRPr="004E006F">
        <w:rPr>
          <w:rFonts w:hint="cs"/>
          <w:rtl/>
        </w:rPr>
        <w:t>خريطة (4-</w:t>
      </w:r>
      <w:r>
        <w:rPr>
          <w:rFonts w:hint="cs"/>
          <w:rtl/>
        </w:rPr>
        <w:t>7</w:t>
      </w:r>
      <w:r w:rsidR="0098748C" w:rsidRPr="004E006F">
        <w:rPr>
          <w:rFonts w:hint="cs"/>
          <w:rtl/>
        </w:rPr>
        <w:t>): الكثافة السكانية لأحياء مدينة بوسعادة</w:t>
      </w:r>
      <w:bookmarkEnd w:id="535"/>
      <w:bookmarkEnd w:id="536"/>
    </w:p>
    <w:p w:rsidR="00370143" w:rsidRPr="00E520B1" w:rsidRDefault="00370143" w:rsidP="00370143">
      <w:pPr>
        <w:pStyle w:val="fegure"/>
        <w:rPr>
          <w:sz w:val="8"/>
          <w:szCs w:val="24"/>
          <w:rtl/>
          <w:lang w:val="en-US"/>
        </w:rPr>
      </w:pPr>
      <w:bookmarkStart w:id="537" w:name="_Toc171803598"/>
      <w:r>
        <w:rPr>
          <w:rFonts w:hint="cs"/>
          <w:sz w:val="8"/>
          <w:szCs w:val="24"/>
          <w:rtl/>
          <w:lang w:val="en-US"/>
        </w:rPr>
        <w:t>المصدر: (الباحث، 2022)</w:t>
      </w:r>
      <w:bookmarkEnd w:id="537"/>
    </w:p>
    <w:p w:rsidR="0098748C" w:rsidRPr="0098748C" w:rsidRDefault="0098748C" w:rsidP="005D35CA">
      <w:pPr>
        <w:bidi/>
        <w:jc w:val="center"/>
        <w:rPr>
          <w:rFonts w:ascii="Simplified Arabic" w:hAnsi="Simplified Arabic" w:cs="Simplified Arabic"/>
          <w:b/>
          <w:bCs/>
          <w:sz w:val="24"/>
          <w:szCs w:val="24"/>
          <w:lang w:val="en-US" w:bidi="ar-DZ"/>
        </w:rPr>
      </w:pPr>
      <w:r>
        <w:rPr>
          <w:noProof/>
          <w:lang w:eastAsia="fr-FR"/>
        </w:rPr>
        <w:drawing>
          <wp:inline distT="0" distB="0" distL="0" distR="0" wp14:anchorId="4D21DC53" wp14:editId="270E4CFF">
            <wp:extent cx="3978685" cy="4807441"/>
            <wp:effectExtent l="19050" t="19050" r="22225" b="1270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4" cstate="print">
                      <a:extLst>
                        <a:ext uri="{28A0092B-C50C-407E-A947-70E740481C1C}">
                          <a14:useLocalDpi xmlns:a14="http://schemas.microsoft.com/office/drawing/2010/main" val="0"/>
                        </a:ext>
                      </a:extLst>
                    </a:blip>
                    <a:srcRect t="8623" b="769"/>
                    <a:stretch/>
                  </pic:blipFill>
                  <pic:spPr bwMode="auto">
                    <a:xfrm>
                      <a:off x="0" y="0"/>
                      <a:ext cx="4009751" cy="4844978"/>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635D8" w:rsidRPr="00BD4AC8" w:rsidRDefault="000635D8" w:rsidP="001D0548">
      <w:pPr>
        <w:pStyle w:val="Paragraphedeliste"/>
        <w:numPr>
          <w:ilvl w:val="2"/>
          <w:numId w:val="253"/>
        </w:numPr>
        <w:tabs>
          <w:tab w:val="right" w:pos="850"/>
        </w:tabs>
        <w:bidi/>
        <w:spacing w:before="240" w:after="0"/>
        <w:ind w:left="0" w:firstLine="0"/>
        <w:jc w:val="both"/>
        <w:outlineLvl w:val="1"/>
        <w:rPr>
          <w:rFonts w:ascii="Simplified Arabic" w:hAnsi="Simplified Arabic" w:cs="Simplified Arabic"/>
          <w:b/>
          <w:bCs/>
          <w:sz w:val="24"/>
          <w:szCs w:val="24"/>
          <w:rtl/>
          <w:lang w:val="en-US" w:bidi="ar-DZ"/>
        </w:rPr>
      </w:pPr>
      <w:bookmarkStart w:id="538" w:name="_Toc171803599"/>
      <w:r w:rsidRPr="00BD4AC8">
        <w:rPr>
          <w:rFonts w:ascii="Simplified Arabic" w:hAnsi="Simplified Arabic" w:cs="Simplified Arabic" w:hint="cs"/>
          <w:b/>
          <w:bCs/>
          <w:sz w:val="24"/>
          <w:szCs w:val="24"/>
          <w:rtl/>
          <w:lang w:val="en-US" w:bidi="ar-DZ"/>
        </w:rPr>
        <w:t>دراسة المعطيات السوسيو-اقتصادية</w:t>
      </w:r>
      <w:bookmarkEnd w:id="538"/>
    </w:p>
    <w:p w:rsidR="000635D8" w:rsidRPr="005D35CA" w:rsidRDefault="000635D8" w:rsidP="001D0548">
      <w:pPr>
        <w:pStyle w:val="Paragraphedeliste"/>
        <w:numPr>
          <w:ilvl w:val="3"/>
          <w:numId w:val="227"/>
        </w:numPr>
        <w:tabs>
          <w:tab w:val="right" w:pos="992"/>
        </w:tabs>
        <w:bidi/>
        <w:spacing w:after="0"/>
        <w:ind w:left="0" w:firstLine="0"/>
        <w:jc w:val="both"/>
        <w:outlineLvl w:val="2"/>
        <w:rPr>
          <w:rFonts w:ascii="Simplified Arabic" w:hAnsi="Simplified Arabic" w:cs="Simplified Arabic"/>
          <w:b/>
          <w:bCs/>
          <w:sz w:val="24"/>
          <w:szCs w:val="24"/>
          <w:rtl/>
          <w:lang w:val="en-US" w:bidi="ar-DZ"/>
        </w:rPr>
      </w:pPr>
      <w:bookmarkStart w:id="539" w:name="_Toc171803600"/>
      <w:r w:rsidRPr="005D35CA">
        <w:rPr>
          <w:rFonts w:ascii="Simplified Arabic" w:hAnsi="Simplified Arabic" w:cs="Simplified Arabic" w:hint="cs"/>
          <w:b/>
          <w:bCs/>
          <w:color w:val="000000"/>
          <w:sz w:val="24"/>
          <w:szCs w:val="24"/>
          <w:rtl/>
        </w:rPr>
        <w:t>المرافق</w:t>
      </w:r>
      <w:r w:rsidRPr="005D35CA">
        <w:rPr>
          <w:rFonts w:ascii="Simplified Arabic" w:hAnsi="Simplified Arabic" w:cs="Simplified Arabic" w:hint="cs"/>
          <w:b/>
          <w:bCs/>
          <w:sz w:val="24"/>
          <w:szCs w:val="24"/>
          <w:rtl/>
          <w:lang w:val="en-US" w:bidi="ar-DZ"/>
        </w:rPr>
        <w:t xml:space="preserve"> في مدينة بوسعادة بين التنوع والكثافة</w:t>
      </w:r>
      <w:bookmarkEnd w:id="539"/>
    </w:p>
    <w:p w:rsidR="000635D8" w:rsidRDefault="000635D8" w:rsidP="00E8765E">
      <w:pPr>
        <w:autoSpaceDE w:val="0"/>
        <w:autoSpaceDN w:val="0"/>
        <w:bidi/>
        <w:adjustRightInd w:val="0"/>
        <w:spacing w:after="0"/>
        <w:ind w:firstLine="283"/>
        <w:jc w:val="both"/>
        <w:rPr>
          <w:rFonts w:ascii="Simplified Arabic" w:hAnsi="Simplified Arabic" w:cs="Simplified Arabic"/>
          <w:sz w:val="24"/>
          <w:szCs w:val="24"/>
          <w:rtl/>
        </w:rPr>
      </w:pPr>
      <w:r>
        <w:rPr>
          <w:rFonts w:ascii="Simplified Arabic" w:hAnsi="Simplified Arabic" w:cs="Simplified Arabic" w:hint="cs"/>
          <w:sz w:val="24"/>
          <w:szCs w:val="24"/>
          <w:rtl/>
        </w:rPr>
        <w:t>تضم</w:t>
      </w:r>
      <w:r w:rsidRPr="00825750">
        <w:rPr>
          <w:rFonts w:ascii="Simplified Arabic" w:hAnsi="Simplified Arabic" w:cs="Simplified Arabic"/>
          <w:sz w:val="24"/>
          <w:szCs w:val="24"/>
          <w:rtl/>
        </w:rPr>
        <w:t xml:space="preserve"> مدينة </w:t>
      </w:r>
      <w:r>
        <w:rPr>
          <w:rFonts w:ascii="Simplified Arabic" w:hAnsi="Simplified Arabic" w:cs="Simplified Arabic" w:hint="cs"/>
          <w:sz w:val="24"/>
          <w:szCs w:val="24"/>
          <w:rtl/>
        </w:rPr>
        <w:t>بوسعادة</w:t>
      </w:r>
      <w:r w:rsidRPr="00825750">
        <w:rPr>
          <w:rFonts w:ascii="Simplified Arabic" w:hAnsi="Simplified Arabic" w:cs="Simplified Arabic"/>
          <w:sz w:val="24"/>
          <w:szCs w:val="24"/>
          <w:rtl/>
        </w:rPr>
        <w:t xml:space="preserve"> عددًا من </w:t>
      </w:r>
      <w:r>
        <w:rPr>
          <w:rFonts w:ascii="Simplified Arabic" w:hAnsi="Simplified Arabic" w:cs="Simplified Arabic" w:hint="cs"/>
          <w:color w:val="000000"/>
          <w:sz w:val="24"/>
          <w:szCs w:val="24"/>
          <w:rtl/>
        </w:rPr>
        <w:t>المرافق</w:t>
      </w:r>
      <w:r w:rsidRPr="00825750">
        <w:rPr>
          <w:rFonts w:ascii="Simplified Arabic" w:hAnsi="Simplified Arabic" w:cs="Simplified Arabic"/>
          <w:sz w:val="24"/>
          <w:szCs w:val="24"/>
          <w:rtl/>
        </w:rPr>
        <w:t xml:space="preserve"> التعليمية، الصحية</w:t>
      </w:r>
      <w:r>
        <w:rPr>
          <w:rFonts w:ascii="Simplified Arabic" w:hAnsi="Simplified Arabic" w:cs="Simplified Arabic" w:hint="cs"/>
          <w:sz w:val="24"/>
          <w:szCs w:val="24"/>
          <w:rtl/>
        </w:rPr>
        <w:t xml:space="preserve">ـ الامنية و الدينية و خدمات الطوارئ </w:t>
      </w:r>
      <w:r w:rsidRPr="00825750">
        <w:rPr>
          <w:rFonts w:ascii="Simplified Arabic" w:hAnsi="Simplified Arabic" w:cs="Simplified Arabic"/>
          <w:sz w:val="24"/>
          <w:szCs w:val="24"/>
          <w:rtl/>
        </w:rPr>
        <w:t xml:space="preserve">وغيرها. من المهم </w:t>
      </w:r>
      <w:r>
        <w:rPr>
          <w:rFonts w:ascii="Simplified Arabic" w:hAnsi="Simplified Arabic" w:cs="Simplified Arabic" w:hint="cs"/>
          <w:sz w:val="24"/>
          <w:szCs w:val="24"/>
          <w:rtl/>
        </w:rPr>
        <w:t xml:space="preserve">تحليل التوزيع المكاني </w:t>
      </w:r>
      <w:r w:rsidR="00417C24">
        <w:rPr>
          <w:rFonts w:ascii="Simplified Arabic" w:hAnsi="Simplified Arabic" w:cs="Simplified Arabic" w:hint="cs"/>
          <w:sz w:val="24"/>
          <w:szCs w:val="24"/>
          <w:rtl/>
        </w:rPr>
        <w:t>ل</w:t>
      </w:r>
      <w:r w:rsidR="00E8765E">
        <w:rPr>
          <w:rFonts w:ascii="Simplified Arabic" w:hAnsi="Simplified Arabic" w:cs="Simplified Arabic" w:hint="cs"/>
          <w:sz w:val="24"/>
          <w:szCs w:val="24"/>
          <w:rtl/>
        </w:rPr>
        <w:t>استعمال</w:t>
      </w:r>
      <w:r w:rsidR="00417C24">
        <w:rPr>
          <w:rFonts w:ascii="Simplified Arabic" w:hAnsi="Simplified Arabic" w:cs="Simplified Arabic" w:hint="cs"/>
          <w:sz w:val="24"/>
          <w:szCs w:val="24"/>
          <w:rtl/>
        </w:rPr>
        <w:t>ات الار</w:t>
      </w:r>
      <w:r w:rsidR="00E8765E">
        <w:rPr>
          <w:rFonts w:ascii="Simplified Arabic" w:hAnsi="Simplified Arabic" w:cs="Simplified Arabic" w:hint="cs"/>
          <w:sz w:val="24"/>
          <w:szCs w:val="24"/>
          <w:rtl/>
        </w:rPr>
        <w:t>ا</w:t>
      </w:r>
      <w:r w:rsidR="00417C24">
        <w:rPr>
          <w:rFonts w:ascii="Simplified Arabic" w:hAnsi="Simplified Arabic" w:cs="Simplified Arabic" w:hint="cs"/>
          <w:sz w:val="24"/>
          <w:szCs w:val="24"/>
          <w:rtl/>
        </w:rPr>
        <w:t>ض</w:t>
      </w:r>
      <w:r w:rsidR="00E8765E">
        <w:rPr>
          <w:rFonts w:ascii="Simplified Arabic" w:hAnsi="Simplified Arabic" w:cs="Simplified Arabic" w:hint="cs"/>
          <w:sz w:val="24"/>
          <w:szCs w:val="24"/>
          <w:rtl/>
        </w:rPr>
        <w:t>ي</w:t>
      </w:r>
      <w:r w:rsidR="00417C24">
        <w:rPr>
          <w:rFonts w:ascii="Simplified Arabic" w:hAnsi="Simplified Arabic" w:cs="Simplified Arabic" w:hint="cs"/>
          <w:sz w:val="24"/>
          <w:szCs w:val="24"/>
          <w:rtl/>
        </w:rPr>
        <w:t xml:space="preserve"> الحضرية</w:t>
      </w:r>
      <w:r>
        <w:rPr>
          <w:rFonts w:ascii="Simplified Arabic" w:hAnsi="Simplified Arabic" w:cs="Simplified Arabic" w:hint="cs"/>
          <w:sz w:val="24"/>
          <w:szCs w:val="24"/>
          <w:rtl/>
        </w:rPr>
        <w:t xml:space="preserve">، </w:t>
      </w:r>
      <w:r w:rsidR="00417C24">
        <w:rPr>
          <w:rFonts w:ascii="Simplified Arabic" w:hAnsi="Simplified Arabic" w:cs="Simplified Arabic" w:hint="cs"/>
          <w:sz w:val="24"/>
          <w:szCs w:val="24"/>
          <w:rtl/>
        </w:rPr>
        <w:t>الذي يسمح لاحقًا ب</w:t>
      </w:r>
      <w:r w:rsidRPr="00825750">
        <w:rPr>
          <w:rFonts w:ascii="Simplified Arabic" w:hAnsi="Simplified Arabic" w:cs="Simplified Arabic"/>
          <w:sz w:val="24"/>
          <w:szCs w:val="24"/>
          <w:rtl/>
        </w:rPr>
        <w:t xml:space="preserve">تحديد </w:t>
      </w:r>
      <w:r>
        <w:rPr>
          <w:rFonts w:ascii="Simplified Arabic" w:hAnsi="Simplified Arabic" w:cs="Simplified Arabic" w:hint="cs"/>
          <w:sz w:val="24"/>
          <w:szCs w:val="24"/>
          <w:rtl/>
        </w:rPr>
        <w:t>مستويات مرونة احياء</w:t>
      </w:r>
      <w:r w:rsidRPr="00825750">
        <w:rPr>
          <w:rFonts w:ascii="Simplified Arabic" w:hAnsi="Simplified Arabic" w:cs="Simplified Arabic"/>
          <w:sz w:val="24"/>
          <w:szCs w:val="24"/>
          <w:rtl/>
        </w:rPr>
        <w:t xml:space="preserve"> مدينة </w:t>
      </w:r>
      <w:r>
        <w:rPr>
          <w:rFonts w:ascii="Simplified Arabic" w:hAnsi="Simplified Arabic" w:cs="Simplified Arabic" w:hint="cs"/>
          <w:sz w:val="24"/>
          <w:szCs w:val="24"/>
          <w:rtl/>
        </w:rPr>
        <w:t>بوسعادة</w:t>
      </w:r>
      <w:r w:rsidRPr="00825750">
        <w:rPr>
          <w:rFonts w:ascii="Simplified Arabic" w:hAnsi="Simplified Arabic" w:cs="Simplified Arabic"/>
          <w:sz w:val="24"/>
          <w:szCs w:val="24"/>
          <w:rtl/>
        </w:rPr>
        <w:t xml:space="preserve">. </w:t>
      </w:r>
      <w:r w:rsidR="00417C24">
        <w:rPr>
          <w:rFonts w:ascii="Simplified Arabic" w:hAnsi="Simplified Arabic" w:cs="Simplified Arabic" w:hint="cs"/>
          <w:sz w:val="24"/>
          <w:szCs w:val="24"/>
          <w:rtl/>
        </w:rPr>
        <w:t>ت</w:t>
      </w:r>
      <w:r w:rsidR="00417C24" w:rsidRPr="00825750">
        <w:rPr>
          <w:rFonts w:ascii="Simplified Arabic" w:hAnsi="Simplified Arabic" w:cs="Simplified Arabic" w:hint="cs"/>
          <w:sz w:val="24"/>
          <w:szCs w:val="24"/>
          <w:rtl/>
        </w:rPr>
        <w:t>مثل</w:t>
      </w:r>
      <w:r w:rsidR="00417C24" w:rsidRPr="00825750">
        <w:rPr>
          <w:rFonts w:ascii="Simplified Arabic" w:hAnsi="Simplified Arabic" w:cs="Simplified Arabic"/>
          <w:sz w:val="24"/>
          <w:szCs w:val="24"/>
          <w:rtl/>
        </w:rPr>
        <w:t xml:space="preserve"> </w:t>
      </w:r>
      <w:r>
        <w:rPr>
          <w:rFonts w:ascii="Simplified Arabic" w:hAnsi="Simplified Arabic" w:cs="Simplified Arabic" w:hint="cs"/>
          <w:sz w:val="24"/>
          <w:szCs w:val="24"/>
          <w:rtl/>
        </w:rPr>
        <w:t>مراكز التعليم</w:t>
      </w:r>
      <w:r w:rsidRPr="00825750">
        <w:rPr>
          <w:rFonts w:ascii="Simplified Arabic" w:hAnsi="Simplified Arabic" w:cs="Simplified Arabic"/>
          <w:sz w:val="24"/>
          <w:szCs w:val="24"/>
          <w:rtl/>
        </w:rPr>
        <w:t xml:space="preserve"> </w:t>
      </w:r>
      <w:r>
        <w:rPr>
          <w:rFonts w:ascii="Simplified Arabic" w:hAnsi="Simplified Arabic" w:cs="Simplified Arabic" w:hint="cs"/>
          <w:sz w:val="24"/>
          <w:szCs w:val="24"/>
          <w:rtl/>
        </w:rPr>
        <w:t>والصحة والامن والانقاذ التي تم مراجعتها في (الفصل 3)، عوامل</w:t>
      </w:r>
      <w:r w:rsidRPr="00825750">
        <w:rPr>
          <w:rFonts w:ascii="Simplified Arabic" w:hAnsi="Simplified Arabic" w:cs="Simplified Arabic"/>
          <w:sz w:val="24"/>
          <w:szCs w:val="24"/>
          <w:rtl/>
        </w:rPr>
        <w:t xml:space="preserve"> </w:t>
      </w:r>
      <w:r>
        <w:rPr>
          <w:rFonts w:ascii="Simplified Arabic" w:hAnsi="Simplified Arabic" w:cs="Simplified Arabic" w:hint="cs"/>
          <w:sz w:val="24"/>
          <w:szCs w:val="24"/>
          <w:rtl/>
        </w:rPr>
        <w:t>أساسية</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يمكن</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أن</w:t>
      </w:r>
      <w:r w:rsidRPr="00825750">
        <w:rPr>
          <w:rFonts w:ascii="Simplified Arabic" w:hAnsi="Simplified Arabic" w:cs="Simplified Arabic"/>
          <w:sz w:val="24"/>
          <w:szCs w:val="24"/>
          <w:rtl/>
        </w:rPr>
        <w:t xml:space="preserve"> </w:t>
      </w:r>
      <w:r>
        <w:rPr>
          <w:rFonts w:ascii="Simplified Arabic" w:hAnsi="Simplified Arabic" w:cs="Simplified Arabic" w:hint="cs"/>
          <w:sz w:val="24"/>
          <w:szCs w:val="24"/>
          <w:rtl/>
        </w:rPr>
        <w:t>ت</w:t>
      </w:r>
      <w:r w:rsidRPr="00825750">
        <w:rPr>
          <w:rFonts w:ascii="Simplified Arabic" w:hAnsi="Simplified Arabic" w:cs="Simplified Arabic" w:hint="cs"/>
          <w:sz w:val="24"/>
          <w:szCs w:val="24"/>
          <w:rtl/>
        </w:rPr>
        <w:t>لعب</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دورا</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هاما</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فيما</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يتعلق</w:t>
      </w:r>
      <w:r w:rsidRPr="00825750">
        <w:rPr>
          <w:rFonts w:ascii="Simplified Arabic" w:hAnsi="Simplified Arabic" w:cs="Simplified Arabic"/>
          <w:sz w:val="24"/>
          <w:szCs w:val="24"/>
          <w:rtl/>
        </w:rPr>
        <w:t xml:space="preserve"> </w:t>
      </w:r>
      <w:r>
        <w:rPr>
          <w:rFonts w:ascii="Simplified Arabic" w:hAnsi="Simplified Arabic" w:cs="Simplified Arabic" w:hint="cs"/>
          <w:sz w:val="24"/>
          <w:szCs w:val="24"/>
          <w:rtl/>
        </w:rPr>
        <w:t>بقدرة استجابة المدينة</w:t>
      </w:r>
      <w:r w:rsidRPr="00825750">
        <w:rPr>
          <w:rFonts w:ascii="Simplified Arabic" w:hAnsi="Simplified Arabic" w:cs="Simplified Arabic"/>
          <w:sz w:val="24"/>
          <w:szCs w:val="24"/>
          <w:rtl/>
        </w:rPr>
        <w:t xml:space="preserve"> </w:t>
      </w:r>
      <w:r>
        <w:rPr>
          <w:rFonts w:ascii="Simplified Arabic" w:hAnsi="Simplified Arabic" w:cs="Simplified Arabic" w:hint="cs"/>
          <w:sz w:val="24"/>
          <w:szCs w:val="24"/>
          <w:rtl/>
        </w:rPr>
        <w:t>تجاه</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مخاطر</w:t>
      </w:r>
      <w:r w:rsidRPr="00825750">
        <w:rPr>
          <w:rFonts w:ascii="Simplified Arabic" w:hAnsi="Simplified Arabic" w:cs="Simplified Arabic"/>
          <w:sz w:val="24"/>
          <w:szCs w:val="24"/>
          <w:rtl/>
        </w:rPr>
        <w:t xml:space="preserve"> </w:t>
      </w:r>
      <w:r w:rsidRPr="00825750">
        <w:rPr>
          <w:rFonts w:ascii="Simplified Arabic" w:hAnsi="Simplified Arabic" w:cs="Simplified Arabic" w:hint="cs"/>
          <w:sz w:val="24"/>
          <w:szCs w:val="24"/>
          <w:rtl/>
        </w:rPr>
        <w:t>الفيضانات</w:t>
      </w:r>
      <w:r w:rsidRPr="00480597">
        <w:rPr>
          <w:rFonts w:ascii="Simplified Arabic" w:hAnsi="Simplified Arabic" w:cs="Simplified Arabic" w:hint="cs"/>
          <w:sz w:val="24"/>
          <w:szCs w:val="24"/>
          <w:rtl/>
        </w:rPr>
        <w:t>.</w:t>
      </w:r>
    </w:p>
    <w:p w:rsidR="000635D8" w:rsidRPr="00E612F7" w:rsidRDefault="000635D8" w:rsidP="007778DE">
      <w:pPr>
        <w:pStyle w:val="Paragraphedeliste"/>
        <w:numPr>
          <w:ilvl w:val="0"/>
          <w:numId w:val="39"/>
        </w:numPr>
        <w:tabs>
          <w:tab w:val="right" w:pos="567"/>
        </w:tabs>
        <w:autoSpaceDE w:val="0"/>
        <w:autoSpaceDN w:val="0"/>
        <w:bidi/>
        <w:adjustRightInd w:val="0"/>
        <w:spacing w:after="0"/>
        <w:ind w:left="-1" w:firstLine="284"/>
        <w:jc w:val="both"/>
        <w:rPr>
          <w:rFonts w:ascii="Simplified Arabic" w:hAnsi="Simplified Arabic" w:cs="Simplified Arabic"/>
          <w:color w:val="242021"/>
          <w:sz w:val="24"/>
          <w:szCs w:val="24"/>
        </w:rPr>
      </w:pPr>
      <w:r>
        <w:rPr>
          <w:rFonts w:ascii="Simplified Arabic" w:hAnsi="Simplified Arabic" w:cs="Simplified Arabic" w:hint="cs"/>
          <w:b/>
          <w:bCs/>
          <w:color w:val="242021"/>
          <w:sz w:val="24"/>
          <w:szCs w:val="24"/>
          <w:rtl/>
        </w:rPr>
        <w:t xml:space="preserve">مراكز </w:t>
      </w:r>
      <w:r w:rsidRPr="00963E16">
        <w:rPr>
          <w:rFonts w:ascii="Simplified Arabic" w:hAnsi="Simplified Arabic" w:cs="Simplified Arabic" w:hint="cs"/>
          <w:b/>
          <w:bCs/>
          <w:color w:val="000000"/>
          <w:sz w:val="24"/>
          <w:szCs w:val="24"/>
          <w:rtl/>
        </w:rPr>
        <w:t>المرافق</w:t>
      </w:r>
      <w:r w:rsidRPr="00252658">
        <w:rPr>
          <w:rFonts w:ascii="Simplified Arabic" w:hAnsi="Simplified Arabic" w:cs="Simplified Arabic"/>
          <w:b/>
          <w:bCs/>
          <w:color w:val="242021"/>
          <w:sz w:val="24"/>
          <w:szCs w:val="24"/>
          <w:rtl/>
        </w:rPr>
        <w:t xml:space="preserve"> التعليمية:</w:t>
      </w:r>
      <w:r w:rsidRPr="00252658">
        <w:rPr>
          <w:rFonts w:ascii="Simplified Arabic" w:hAnsi="Simplified Arabic" w:cs="Simplified Arabic"/>
          <w:color w:val="242021"/>
          <w:sz w:val="24"/>
          <w:szCs w:val="24"/>
          <w:rtl/>
        </w:rPr>
        <w:t xml:space="preserve"> شهد</w:t>
      </w:r>
      <w:r w:rsidRPr="00252658">
        <w:rPr>
          <w:rFonts w:ascii="Simplified Arabic" w:hAnsi="Simplified Arabic" w:cs="Simplified Arabic" w:hint="cs"/>
          <w:color w:val="242021"/>
          <w:sz w:val="24"/>
          <w:szCs w:val="24"/>
          <w:rtl/>
        </w:rPr>
        <w:t>ت</w:t>
      </w:r>
      <w:r w:rsidR="00D0651D">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000000"/>
          <w:sz w:val="24"/>
          <w:szCs w:val="24"/>
          <w:rtl/>
        </w:rPr>
        <w:t>مدينة بوسعادة</w:t>
      </w:r>
      <w:r w:rsidR="00D0651D">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خلال</w:t>
      </w:r>
      <w:r w:rsidR="00D0651D">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العقود</w:t>
      </w:r>
      <w:r w:rsidR="00D0651D">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الأخيرة</w:t>
      </w:r>
      <w:r w:rsidR="00D0651D">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242021"/>
          <w:sz w:val="24"/>
          <w:szCs w:val="24"/>
          <w:rtl/>
        </w:rPr>
        <w:t>تطورات،</w:t>
      </w:r>
      <w:r w:rsidR="00D0651D">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رافقتها</w:t>
      </w:r>
      <w:r w:rsidR="00D0651D">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تطورات</w:t>
      </w:r>
      <w:r w:rsidR="00D0651D">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في</w:t>
      </w:r>
      <w:r w:rsidR="00D0651D">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مجال</w:t>
      </w:r>
      <w:r w:rsidR="00D0651D">
        <w:rPr>
          <w:rFonts w:ascii="Simplified Arabic" w:hAnsi="Simplified Arabic" w:cs="Simplified Arabic" w:hint="cs"/>
          <w:color w:val="242021"/>
          <w:sz w:val="24"/>
          <w:szCs w:val="24"/>
          <w:rtl/>
        </w:rPr>
        <w:t xml:space="preserve"> </w:t>
      </w:r>
      <w:r>
        <w:rPr>
          <w:rFonts w:ascii="Simplified Arabic" w:hAnsi="Simplified Arabic" w:cs="Simplified Arabic" w:hint="cs"/>
          <w:color w:val="000000"/>
          <w:sz w:val="24"/>
          <w:szCs w:val="24"/>
          <w:rtl/>
        </w:rPr>
        <w:t>المرافق</w:t>
      </w:r>
      <w:r w:rsidR="00D0651D">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242021"/>
          <w:sz w:val="24"/>
          <w:szCs w:val="24"/>
          <w:rtl/>
        </w:rPr>
        <w:t>التعليمية</w:t>
      </w:r>
      <w:r>
        <w:rPr>
          <w:rFonts w:ascii="Simplified Arabic" w:hAnsi="Simplified Arabic" w:cs="Simplified Arabic" w:hint="cs"/>
          <w:color w:val="242021"/>
          <w:sz w:val="24"/>
          <w:szCs w:val="24"/>
          <w:rtl/>
        </w:rPr>
        <w:t xml:space="preserve">، </w:t>
      </w:r>
      <w:r>
        <w:rPr>
          <w:rFonts w:ascii="Simplified Arabic" w:hAnsi="Simplified Arabic" w:cs="Simplified Arabic" w:hint="cs"/>
          <w:sz w:val="24"/>
          <w:szCs w:val="24"/>
          <w:rtl/>
        </w:rPr>
        <w:t xml:space="preserve">الجدول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4-5</w:t>
      </w:r>
      <w:r w:rsidR="00BA11BE" w:rsidRPr="0063639A">
        <w:rPr>
          <w:rFonts w:ascii="Simplified Arabic" w:hAnsi="Simplified Arabic" w:cs="Simplified Arabic" w:hint="cs"/>
          <w:sz w:val="24"/>
          <w:szCs w:val="24"/>
          <w:rtl/>
        </w:rPr>
        <w:t>)</w:t>
      </w:r>
      <w:r w:rsidRPr="003B7A81">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إلا</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أن</w:t>
      </w:r>
      <w:r w:rsidRPr="003B7A81">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مواكبة</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هذه</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التطورات</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من</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الناحية المكانية</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لا</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تزال</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تشكل</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تحديا</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حتى</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الوقت</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الحاضر</w:t>
      </w:r>
      <w:r w:rsidRPr="003B7A81">
        <w:rPr>
          <w:rFonts w:ascii="Simplified Arabic" w:hAnsi="Simplified Arabic" w:cs="Simplified Arabic" w:hint="cs"/>
          <w:color w:val="242021"/>
          <w:sz w:val="24"/>
          <w:szCs w:val="24"/>
          <w:rtl/>
        </w:rPr>
        <w:t>.</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hint="cs"/>
          <w:color w:val="242021"/>
          <w:sz w:val="24"/>
          <w:szCs w:val="24"/>
          <w:rtl/>
        </w:rPr>
        <w:t>العديد من الدراسات اشارت الى اهمية كفاءة توزيع مراكز التعليم التي تستخدم كمراكز استقبال وملاجئ للإقامة المؤقتة اثناء وبعد الازمة التي تحدثها الفيضانات، باعتبارها عامل محدد لمستوى ا</w:t>
      </w:r>
      <w:r w:rsidRPr="003B7A81">
        <w:rPr>
          <w:rFonts w:ascii="Simplified Arabic" w:hAnsi="Simplified Arabic" w:cs="Simplified Arabic" w:hint="cs"/>
          <w:color w:val="000000"/>
          <w:sz w:val="24"/>
          <w:szCs w:val="24"/>
          <w:rtl/>
        </w:rPr>
        <w:t>لمرونة الحضرية. ي</w:t>
      </w:r>
      <w:r w:rsidRPr="003B7A81">
        <w:rPr>
          <w:rFonts w:ascii="Simplified Arabic" w:hAnsi="Simplified Arabic" w:cs="Simplified Arabic"/>
          <w:color w:val="242021"/>
          <w:sz w:val="24"/>
          <w:szCs w:val="24"/>
          <w:rtl/>
        </w:rPr>
        <w:t>هدف</w:t>
      </w:r>
      <w:r w:rsidRPr="003B7A81">
        <w:rPr>
          <w:rFonts w:ascii="Simplified Arabic" w:hAnsi="Simplified Arabic" w:cs="Simplified Arabic" w:hint="cs"/>
          <w:color w:val="242021"/>
          <w:sz w:val="24"/>
          <w:szCs w:val="24"/>
          <w:rtl/>
        </w:rPr>
        <w:t xml:space="preserve"> التحليل المكاني لخدمات التعليم </w:t>
      </w:r>
      <w:r w:rsidRPr="003B7A81">
        <w:rPr>
          <w:rFonts w:ascii="Simplified Arabic" w:hAnsi="Simplified Arabic" w:cs="Simplified Arabic"/>
          <w:color w:val="242021"/>
          <w:sz w:val="24"/>
          <w:szCs w:val="24"/>
          <w:rtl/>
        </w:rPr>
        <w:t>إلى</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إعطاء</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صورة</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مفصلة</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عن</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واقع</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التوزيع</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color w:val="242021"/>
          <w:sz w:val="24"/>
          <w:szCs w:val="24"/>
          <w:rtl/>
        </w:rPr>
        <w:t>المكاني</w:t>
      </w:r>
      <w:r w:rsidR="00D0651D">
        <w:rPr>
          <w:rFonts w:ascii="Simplified Arabic" w:hAnsi="Simplified Arabic" w:cs="Simplified Arabic" w:hint="cs"/>
          <w:color w:val="242021"/>
          <w:sz w:val="24"/>
          <w:szCs w:val="24"/>
          <w:rtl/>
        </w:rPr>
        <w:t xml:space="preserve"> </w:t>
      </w:r>
      <w:r w:rsidRPr="003B7A81">
        <w:rPr>
          <w:rFonts w:ascii="Simplified Arabic" w:hAnsi="Simplified Arabic" w:cs="Simplified Arabic" w:hint="cs"/>
          <w:color w:val="242021"/>
          <w:sz w:val="24"/>
          <w:szCs w:val="24"/>
          <w:rtl/>
        </w:rPr>
        <w:t>لمراكز</w:t>
      </w:r>
      <w:r w:rsidRPr="003B7A81">
        <w:rPr>
          <w:rFonts w:ascii="Simplified Arabic" w:hAnsi="Simplified Arabic" w:cs="Simplified Arabic"/>
          <w:color w:val="242021"/>
          <w:sz w:val="24"/>
          <w:szCs w:val="24"/>
          <w:rtl/>
        </w:rPr>
        <w:t xml:space="preserve"> </w:t>
      </w:r>
      <w:r>
        <w:rPr>
          <w:rFonts w:ascii="Simplified Arabic" w:hAnsi="Simplified Arabic" w:cs="Simplified Arabic"/>
          <w:color w:val="242021"/>
          <w:sz w:val="24"/>
          <w:szCs w:val="24"/>
          <w:rtl/>
        </w:rPr>
        <w:t>التعليم</w:t>
      </w:r>
      <w:r w:rsidRPr="003B7A81">
        <w:rPr>
          <w:rFonts w:ascii="Simplified Arabic" w:hAnsi="Simplified Arabic" w:cs="Simplified Arabic"/>
          <w:color w:val="242021"/>
          <w:sz w:val="24"/>
          <w:szCs w:val="24"/>
          <w:rtl/>
        </w:rPr>
        <w:t>،</w:t>
      </w:r>
      <w:r w:rsidRPr="003B7A81">
        <w:rPr>
          <w:rFonts w:ascii="Simplified Arabic" w:hAnsi="Simplified Arabic" w:cs="Simplified Arabic" w:hint="cs"/>
          <w:color w:val="242021"/>
          <w:sz w:val="24"/>
          <w:szCs w:val="24"/>
          <w:rtl/>
        </w:rPr>
        <w:t xml:space="preserve"> </w:t>
      </w:r>
      <w:r w:rsidRPr="00E612F7">
        <w:rPr>
          <w:rFonts w:ascii="Simplified Arabic" w:hAnsi="Simplified Arabic" w:cs="Simplified Arabic" w:hint="cs"/>
          <w:color w:val="242021"/>
          <w:sz w:val="24"/>
          <w:szCs w:val="24"/>
          <w:rtl/>
        </w:rPr>
        <w:t xml:space="preserve">من خلال </w:t>
      </w:r>
      <w:r w:rsidRPr="00E612F7">
        <w:rPr>
          <w:rFonts w:ascii="Simplified Arabic" w:hAnsi="Simplified Arabic" w:cs="Simplified Arabic"/>
          <w:color w:val="242021"/>
          <w:sz w:val="24"/>
          <w:szCs w:val="24"/>
          <w:rtl/>
        </w:rPr>
        <w:t>خرائط رقمية</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تبين</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التوزيع</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lastRenderedPageBreak/>
        <w:t>المكاني</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لهذه</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hint="cs"/>
          <w:color w:val="242021"/>
          <w:sz w:val="24"/>
          <w:szCs w:val="24"/>
          <w:rtl/>
        </w:rPr>
        <w:t xml:space="preserve">المرافق، </w:t>
      </w:r>
      <w:r w:rsidRPr="00E612F7">
        <w:rPr>
          <w:rFonts w:ascii="Simplified Arabic" w:hAnsi="Simplified Arabic" w:cs="Simplified Arabic"/>
          <w:color w:val="242021"/>
          <w:sz w:val="24"/>
          <w:szCs w:val="24"/>
          <w:rtl/>
        </w:rPr>
        <w:t>ومعرفة نطاق</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التأثير،</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كفاءة</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توزيع</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أماكنها،</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hint="cs"/>
          <w:color w:val="242021"/>
          <w:sz w:val="24"/>
          <w:szCs w:val="24"/>
          <w:rtl/>
        </w:rPr>
        <w:t>والكشف عن ال</w:t>
      </w:r>
      <w:r w:rsidRPr="00E612F7">
        <w:rPr>
          <w:rFonts w:ascii="Simplified Arabic" w:hAnsi="Simplified Arabic" w:cs="Simplified Arabic"/>
          <w:color w:val="242021"/>
          <w:sz w:val="24"/>
          <w:szCs w:val="24"/>
          <w:rtl/>
        </w:rPr>
        <w:t>تفاوت</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hint="cs"/>
          <w:color w:val="242021"/>
          <w:sz w:val="24"/>
          <w:szCs w:val="24"/>
          <w:rtl/>
        </w:rPr>
        <w:t>ل</w:t>
      </w:r>
      <w:r w:rsidRPr="00E612F7">
        <w:rPr>
          <w:rFonts w:ascii="Simplified Arabic" w:hAnsi="Simplified Arabic" w:cs="Simplified Arabic"/>
          <w:color w:val="242021"/>
          <w:sz w:val="24"/>
          <w:szCs w:val="24"/>
          <w:rtl/>
        </w:rPr>
        <w:t>لمساحات</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التي</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تخدمها</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كل</w:t>
      </w:r>
      <w:r w:rsidR="00D0651D" w:rsidRPr="00E612F7">
        <w:rPr>
          <w:rFonts w:ascii="Simplified Arabic" w:hAnsi="Simplified Arabic" w:cs="Simplified Arabic" w:hint="cs"/>
          <w:color w:val="242021"/>
          <w:sz w:val="24"/>
          <w:szCs w:val="24"/>
          <w:rtl/>
        </w:rPr>
        <w:t xml:space="preserve"> </w:t>
      </w:r>
      <w:r w:rsidRPr="00E612F7">
        <w:rPr>
          <w:rFonts w:ascii="Simplified Arabic" w:hAnsi="Simplified Arabic" w:cs="Simplified Arabic"/>
          <w:color w:val="242021"/>
          <w:sz w:val="24"/>
          <w:szCs w:val="24"/>
          <w:rtl/>
        </w:rPr>
        <w:t>مدرسة</w:t>
      </w:r>
      <w:r w:rsidR="00D0651D" w:rsidRPr="00E612F7">
        <w:rPr>
          <w:rFonts w:ascii="Simplified Arabic" w:hAnsi="Simplified Arabic" w:cs="Simplified Arabic" w:hint="cs"/>
          <w:color w:val="242021"/>
          <w:sz w:val="24"/>
          <w:szCs w:val="24"/>
          <w:rtl/>
        </w:rPr>
        <w:t>.</w:t>
      </w:r>
      <w:r w:rsidR="00E612F7" w:rsidRPr="00E612F7">
        <w:rPr>
          <w:rFonts w:ascii="Simplified Arabic" w:hAnsi="Simplified Arabic" w:cs="Simplified Arabic"/>
          <w:color w:val="242021"/>
          <w:sz w:val="24"/>
          <w:szCs w:val="24"/>
          <w:rtl/>
        </w:rPr>
        <w:t xml:space="preserve"> </w:t>
      </w:r>
      <w:r w:rsidR="007778DE">
        <w:rPr>
          <w:rFonts w:ascii="Simplified Arabic" w:hAnsi="Simplified Arabic" w:cs="Simplified Arabic" w:hint="cs"/>
          <w:color w:val="242021"/>
          <w:sz w:val="24"/>
          <w:szCs w:val="24"/>
          <w:rtl/>
        </w:rPr>
        <w:t>كما ا</w:t>
      </w:r>
      <w:r w:rsidR="00E612F7" w:rsidRPr="00E612F7">
        <w:rPr>
          <w:rFonts w:ascii="Simplified Arabic" w:hAnsi="Simplified Arabic" w:cs="Simplified Arabic" w:hint="cs"/>
          <w:color w:val="242021"/>
          <w:sz w:val="24"/>
          <w:szCs w:val="24"/>
          <w:rtl/>
        </w:rPr>
        <w:t xml:space="preserve">ن </w:t>
      </w:r>
      <w:r w:rsidR="00E612F7" w:rsidRPr="00E612F7">
        <w:rPr>
          <w:rFonts w:ascii="Simplified Arabic" w:hAnsi="Simplified Arabic" w:cs="Simplified Arabic"/>
          <w:color w:val="242021"/>
          <w:sz w:val="24"/>
          <w:szCs w:val="24"/>
          <w:rtl/>
        </w:rPr>
        <w:t xml:space="preserve">اختلال التوزيع الديمغرافي لأحياء </w:t>
      </w:r>
      <w:r w:rsidR="007778DE">
        <w:rPr>
          <w:rFonts w:ascii="Simplified Arabic" w:hAnsi="Simplified Arabic" w:cs="Simplified Arabic" w:hint="cs"/>
          <w:color w:val="242021"/>
          <w:sz w:val="24"/>
          <w:szCs w:val="24"/>
          <w:rtl/>
        </w:rPr>
        <w:t>ا</w:t>
      </w:r>
      <w:r w:rsidR="00E612F7" w:rsidRPr="00E612F7">
        <w:rPr>
          <w:rFonts w:ascii="Simplified Arabic" w:hAnsi="Simplified Arabic" w:cs="Simplified Arabic" w:hint="cs"/>
          <w:color w:val="242021"/>
          <w:sz w:val="24"/>
          <w:szCs w:val="24"/>
          <w:rtl/>
        </w:rPr>
        <w:t>ل</w:t>
      </w:r>
      <w:r w:rsidR="007778DE">
        <w:rPr>
          <w:rFonts w:ascii="Simplified Arabic" w:hAnsi="Simplified Arabic" w:cs="Simplified Arabic" w:hint="cs"/>
          <w:color w:val="242021"/>
          <w:sz w:val="24"/>
          <w:szCs w:val="24"/>
          <w:rtl/>
        </w:rPr>
        <w:t>مدينة</w:t>
      </w:r>
      <w:r w:rsidR="00E612F7" w:rsidRPr="00E612F7">
        <w:rPr>
          <w:rFonts w:ascii="Simplified Arabic" w:hAnsi="Simplified Arabic" w:cs="Simplified Arabic"/>
          <w:color w:val="242021"/>
          <w:sz w:val="24"/>
          <w:szCs w:val="24"/>
          <w:rtl/>
        </w:rPr>
        <w:t xml:space="preserve">، </w:t>
      </w:r>
      <w:r w:rsidR="00E612F7" w:rsidRPr="00E612F7">
        <w:rPr>
          <w:rFonts w:ascii="Simplified Arabic" w:hAnsi="Simplified Arabic" w:cs="Simplified Arabic" w:hint="cs"/>
          <w:color w:val="242021"/>
          <w:sz w:val="24"/>
          <w:szCs w:val="24"/>
          <w:rtl/>
        </w:rPr>
        <w:t xml:space="preserve">اثر سلبا </w:t>
      </w:r>
      <w:r w:rsidR="00E612F7" w:rsidRPr="00E612F7">
        <w:rPr>
          <w:rFonts w:ascii="Simplified Arabic" w:hAnsi="Simplified Arabic" w:cs="Simplified Arabic"/>
          <w:color w:val="242021"/>
          <w:sz w:val="24"/>
          <w:szCs w:val="24"/>
          <w:rtl/>
        </w:rPr>
        <w:t xml:space="preserve">مستوى </w:t>
      </w:r>
      <w:r w:rsidR="00E612F7" w:rsidRPr="00E612F7">
        <w:rPr>
          <w:rFonts w:ascii="Simplified Arabic" w:hAnsi="Simplified Arabic" w:cs="Simplified Arabic" w:hint="cs"/>
          <w:color w:val="242021"/>
          <w:sz w:val="24"/>
          <w:szCs w:val="24"/>
          <w:rtl/>
        </w:rPr>
        <w:t>المرافق</w:t>
      </w:r>
      <w:r w:rsidR="00E612F7" w:rsidRPr="00E612F7">
        <w:rPr>
          <w:rFonts w:ascii="Simplified Arabic" w:hAnsi="Simplified Arabic" w:cs="Simplified Arabic"/>
          <w:color w:val="242021"/>
          <w:sz w:val="24"/>
          <w:szCs w:val="24"/>
          <w:rtl/>
        </w:rPr>
        <w:t xml:space="preserve"> </w:t>
      </w:r>
      <w:r w:rsidR="00E612F7" w:rsidRPr="00E612F7">
        <w:rPr>
          <w:rFonts w:ascii="Simplified Arabic" w:hAnsi="Simplified Arabic" w:cs="Simplified Arabic" w:hint="cs"/>
          <w:color w:val="242021"/>
          <w:sz w:val="24"/>
          <w:szCs w:val="24"/>
          <w:rtl/>
        </w:rPr>
        <w:t xml:space="preserve">التعليمية </w:t>
      </w:r>
      <w:r w:rsidR="00E612F7" w:rsidRPr="00E612F7">
        <w:rPr>
          <w:rFonts w:asciiTheme="majorBidi" w:hAnsiTheme="majorBidi" w:cstheme="majorBidi"/>
          <w:color w:val="242021"/>
          <w:sz w:val="24"/>
          <w:szCs w:val="24"/>
          <w:rtl/>
        </w:rPr>
        <w:t>(</w:t>
      </w:r>
      <w:r w:rsidR="00E612F7" w:rsidRPr="00E612F7">
        <w:rPr>
          <w:rFonts w:asciiTheme="majorBidi" w:hAnsiTheme="majorBidi" w:cstheme="majorBidi"/>
          <w:sz w:val="24"/>
          <w:szCs w:val="24"/>
        </w:rPr>
        <w:t>Thaibaoui et Al., 2022</w:t>
      </w:r>
      <w:r w:rsidR="00E612F7" w:rsidRPr="00E612F7">
        <w:rPr>
          <w:rFonts w:asciiTheme="majorBidi" w:hAnsiTheme="majorBidi" w:cstheme="majorBidi"/>
          <w:color w:val="242021"/>
          <w:sz w:val="24"/>
          <w:szCs w:val="24"/>
          <w:rtl/>
        </w:rPr>
        <w:t>)</w:t>
      </w:r>
    </w:p>
    <w:p w:rsidR="000635D8" w:rsidRDefault="000635D8" w:rsidP="00F76D99">
      <w:pPr>
        <w:pStyle w:val="Tableau"/>
        <w:rPr>
          <w:rtl/>
        </w:rPr>
      </w:pPr>
      <w:bookmarkStart w:id="540" w:name="_Toc157612987"/>
      <w:bookmarkStart w:id="541" w:name="_Toc171803601"/>
      <w:r w:rsidRPr="003B7A81">
        <w:rPr>
          <w:rFonts w:hint="cs"/>
          <w:rtl/>
        </w:rPr>
        <w:t xml:space="preserve">الجدول </w:t>
      </w:r>
      <w:r w:rsidR="00BA11BE" w:rsidRPr="0063639A">
        <w:rPr>
          <w:rFonts w:hint="cs"/>
          <w:rtl/>
        </w:rPr>
        <w:t>(</w:t>
      </w:r>
      <w:r w:rsidR="00BA11BE">
        <w:rPr>
          <w:rFonts w:hint="cs"/>
          <w:rtl/>
        </w:rPr>
        <w:t>4-5</w:t>
      </w:r>
      <w:r w:rsidR="00BA11BE" w:rsidRPr="0063639A">
        <w:rPr>
          <w:rFonts w:hint="cs"/>
          <w:rtl/>
        </w:rPr>
        <w:t>)</w:t>
      </w:r>
      <w:r w:rsidRPr="003B7A81">
        <w:rPr>
          <w:rFonts w:hint="cs"/>
          <w:rtl/>
        </w:rPr>
        <w:t>:</w:t>
      </w:r>
      <w:r>
        <w:rPr>
          <w:rFonts w:hint="cs"/>
          <w:rtl/>
        </w:rPr>
        <w:t xml:space="preserve"> </w:t>
      </w:r>
      <w:r>
        <w:rPr>
          <w:rFonts w:hint="cs"/>
          <w:color w:val="000000"/>
          <w:rtl/>
        </w:rPr>
        <w:t>المرافق</w:t>
      </w:r>
      <w:r>
        <w:rPr>
          <w:rFonts w:hint="cs"/>
          <w:rtl/>
        </w:rPr>
        <w:t xml:space="preserve"> التعليمة بمدينة بوسعادة</w:t>
      </w:r>
      <w:bookmarkEnd w:id="540"/>
      <w:bookmarkEnd w:id="541"/>
    </w:p>
    <w:p w:rsidR="000635D8" w:rsidRPr="00370143" w:rsidRDefault="000635D8" w:rsidP="003F2E93">
      <w:pPr>
        <w:bidi/>
        <w:spacing w:after="0" w:line="240" w:lineRule="auto"/>
        <w:ind w:firstLine="283"/>
        <w:jc w:val="center"/>
        <w:rPr>
          <w:rFonts w:ascii="Simplified Arabic" w:hAnsi="Simplified Arabic" w:cs="Simplified Arabic"/>
          <w:b/>
          <w:bCs/>
          <w:sz w:val="24"/>
          <w:szCs w:val="24"/>
          <w:rtl/>
        </w:rPr>
      </w:pPr>
      <w:r w:rsidRPr="00370143">
        <w:rPr>
          <w:rFonts w:ascii="Simplified Arabic" w:hAnsi="Simplified Arabic" w:cs="Simplified Arabic"/>
          <w:b/>
          <w:bCs/>
          <w:sz w:val="24"/>
          <w:szCs w:val="24"/>
          <w:rtl/>
        </w:rPr>
        <w:t>المصدر:(</w:t>
      </w:r>
      <w:r w:rsidR="003F2E93" w:rsidRPr="00370143">
        <w:rPr>
          <w:rFonts w:asciiTheme="majorBidi" w:hAnsiTheme="majorBidi" w:cstheme="majorBidi"/>
          <w:b/>
          <w:bCs/>
          <w:sz w:val="24"/>
          <w:szCs w:val="24"/>
        </w:rPr>
        <w:t xml:space="preserve"> NSO, 2022</w:t>
      </w:r>
      <w:r w:rsidRPr="00370143">
        <w:rPr>
          <w:rFonts w:ascii="Simplified Arabic" w:hAnsi="Simplified Arabic" w:cs="Simplified Arabic"/>
          <w:b/>
          <w:bCs/>
          <w:sz w:val="24"/>
          <w:szCs w:val="24"/>
          <w:rtl/>
        </w:rPr>
        <w:t>)</w:t>
      </w:r>
    </w:p>
    <w:tbl>
      <w:tblPr>
        <w:tblStyle w:val="Grilledutableau"/>
        <w:bidiVisual/>
        <w:tblW w:w="0" w:type="auto"/>
        <w:jc w:val="center"/>
        <w:tblInd w:w="-316" w:type="dxa"/>
        <w:tblLook w:val="04A0" w:firstRow="1" w:lastRow="0" w:firstColumn="1" w:lastColumn="0" w:noHBand="0" w:noVBand="1"/>
      </w:tblPr>
      <w:tblGrid>
        <w:gridCol w:w="1467"/>
        <w:gridCol w:w="1352"/>
        <w:gridCol w:w="1418"/>
        <w:gridCol w:w="1417"/>
        <w:gridCol w:w="1685"/>
      </w:tblGrid>
      <w:tr w:rsidR="000635D8" w:rsidRPr="003B63CB" w:rsidTr="000635D8">
        <w:trPr>
          <w:jc w:val="center"/>
        </w:trPr>
        <w:tc>
          <w:tcPr>
            <w:tcW w:w="146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sidRPr="003B63CB">
              <w:rPr>
                <w:rFonts w:ascii="Simplified Arabic" w:hAnsi="Simplified Arabic" w:cs="Simplified Arabic" w:hint="cs"/>
                <w:noProof/>
                <w:sz w:val="24"/>
                <w:szCs w:val="24"/>
                <w:rtl/>
                <w:lang w:eastAsia="fr-FR" w:bidi="ar-DZ"/>
              </w:rPr>
              <w:t xml:space="preserve">نوع </w:t>
            </w:r>
            <w:r w:rsidRPr="003B63CB">
              <w:rPr>
                <w:rFonts w:ascii="Simplified Arabic" w:hAnsi="Simplified Arabic" w:cs="Simplified Arabic"/>
                <w:noProof/>
                <w:sz w:val="24"/>
                <w:szCs w:val="24"/>
                <w:rtl/>
                <w:lang w:eastAsia="fr-FR" w:bidi="ar-DZ"/>
              </w:rPr>
              <w:t>التجهيزات</w:t>
            </w:r>
            <w:r w:rsidRPr="003B63CB">
              <w:rPr>
                <w:rFonts w:ascii="Simplified Arabic" w:hAnsi="Simplified Arabic" w:cs="Simplified Arabic"/>
                <w:noProof/>
                <w:sz w:val="24"/>
                <w:szCs w:val="24"/>
                <w:lang w:eastAsia="fr-FR" w:bidi="ar-DZ"/>
              </w:rPr>
              <w:t xml:space="preserve"> </w:t>
            </w:r>
            <w:r w:rsidRPr="003B63CB">
              <w:rPr>
                <w:rFonts w:ascii="Simplified Arabic" w:hAnsi="Simplified Arabic" w:cs="Simplified Arabic"/>
                <w:noProof/>
                <w:sz w:val="24"/>
                <w:szCs w:val="24"/>
                <w:rtl/>
                <w:lang w:eastAsia="fr-FR" w:bidi="ar-DZ"/>
              </w:rPr>
              <w:t>التعليمية</w:t>
            </w:r>
          </w:p>
        </w:tc>
        <w:tc>
          <w:tcPr>
            <w:tcW w:w="1352"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sidRPr="003B63CB">
              <w:rPr>
                <w:rFonts w:ascii="Simplified Arabic" w:hAnsi="Simplified Arabic" w:cs="Simplified Arabic"/>
                <w:noProof/>
                <w:sz w:val="24"/>
                <w:szCs w:val="24"/>
                <w:rtl/>
                <w:lang w:eastAsia="fr-FR" w:bidi="ar-DZ"/>
              </w:rPr>
              <w:t>عدد التجهيزات</w:t>
            </w:r>
          </w:p>
        </w:tc>
        <w:tc>
          <w:tcPr>
            <w:tcW w:w="1418"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sidRPr="003B63CB">
              <w:rPr>
                <w:rFonts w:ascii="Simplified Arabic" w:hAnsi="Simplified Arabic" w:cs="Simplified Arabic"/>
                <w:noProof/>
                <w:sz w:val="24"/>
                <w:szCs w:val="24"/>
                <w:rtl/>
                <w:lang w:eastAsia="fr-FR" w:bidi="ar-DZ"/>
              </w:rPr>
              <w:t>عدد القاعات</w:t>
            </w:r>
          </w:p>
        </w:tc>
        <w:tc>
          <w:tcPr>
            <w:tcW w:w="141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sidRPr="003B63CB">
              <w:rPr>
                <w:rFonts w:ascii="Simplified Arabic" w:hAnsi="Simplified Arabic" w:cs="Simplified Arabic"/>
                <w:noProof/>
                <w:sz w:val="24"/>
                <w:szCs w:val="24"/>
                <w:rtl/>
                <w:lang w:eastAsia="fr-FR" w:bidi="ar-DZ"/>
              </w:rPr>
              <w:t>عدد التلاميذ</w:t>
            </w:r>
          </w:p>
        </w:tc>
        <w:tc>
          <w:tcPr>
            <w:tcW w:w="1685"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lang w:eastAsia="fr-FR" w:bidi="ar-DZ"/>
              </w:rPr>
            </w:pPr>
            <w:r w:rsidRPr="003B63CB">
              <w:rPr>
                <w:rFonts w:ascii="Simplified Arabic" w:hAnsi="Simplified Arabic" w:cs="Simplified Arabic"/>
                <w:noProof/>
                <w:sz w:val="24"/>
                <w:szCs w:val="24"/>
                <w:rtl/>
                <w:lang w:eastAsia="fr-FR" w:bidi="ar-DZ"/>
              </w:rPr>
              <w:t>معدل</w:t>
            </w:r>
            <w:r w:rsidRPr="003B63CB">
              <w:rPr>
                <w:rFonts w:ascii="Simplified Arabic" w:hAnsi="Simplified Arabic" w:cs="Simplified Arabic"/>
                <w:noProof/>
                <w:sz w:val="24"/>
                <w:szCs w:val="24"/>
                <w:lang w:eastAsia="fr-FR" w:bidi="ar-DZ"/>
              </w:rPr>
              <w:t xml:space="preserve"> </w:t>
            </w:r>
            <w:r w:rsidRPr="003B63CB">
              <w:rPr>
                <w:rFonts w:ascii="Simplified Arabic" w:hAnsi="Simplified Arabic" w:cs="Simplified Arabic"/>
                <w:noProof/>
                <w:sz w:val="24"/>
                <w:szCs w:val="24"/>
                <w:rtl/>
                <w:lang w:eastAsia="fr-FR" w:bidi="ar-DZ"/>
              </w:rPr>
              <w:t>التلاميذ</w:t>
            </w:r>
            <w:r w:rsidRPr="003B63CB">
              <w:rPr>
                <w:rFonts w:ascii="Simplified Arabic" w:hAnsi="Simplified Arabic" w:cs="Simplified Arabic"/>
                <w:noProof/>
                <w:sz w:val="24"/>
                <w:szCs w:val="24"/>
                <w:lang w:eastAsia="fr-FR" w:bidi="ar-DZ"/>
              </w:rPr>
              <w:t xml:space="preserve"> </w:t>
            </w:r>
            <w:r w:rsidRPr="003B63CB">
              <w:rPr>
                <w:rFonts w:ascii="Simplified Arabic" w:hAnsi="Simplified Arabic" w:cs="Simplified Arabic"/>
                <w:noProof/>
                <w:sz w:val="24"/>
                <w:szCs w:val="24"/>
                <w:rtl/>
                <w:lang w:eastAsia="fr-FR" w:bidi="ar-DZ"/>
              </w:rPr>
              <w:t>داخل</w:t>
            </w:r>
            <w:r w:rsidRPr="003B63CB">
              <w:rPr>
                <w:rFonts w:ascii="Simplified Arabic" w:hAnsi="Simplified Arabic" w:cs="Simplified Arabic"/>
                <w:noProof/>
                <w:sz w:val="24"/>
                <w:szCs w:val="24"/>
                <w:lang w:eastAsia="fr-FR" w:bidi="ar-DZ"/>
              </w:rPr>
              <w:t xml:space="preserve"> </w:t>
            </w:r>
            <w:r w:rsidRPr="003B63CB">
              <w:rPr>
                <w:rFonts w:ascii="Simplified Arabic" w:hAnsi="Simplified Arabic" w:cs="Simplified Arabic"/>
                <w:noProof/>
                <w:sz w:val="24"/>
                <w:szCs w:val="24"/>
                <w:rtl/>
                <w:lang w:eastAsia="fr-FR" w:bidi="ar-DZ"/>
              </w:rPr>
              <w:t xml:space="preserve">القاعة </w:t>
            </w:r>
            <w:r w:rsidRPr="003B63CB">
              <w:rPr>
                <w:rFonts w:asciiTheme="majorBidi" w:hAnsiTheme="majorBidi" w:cstheme="majorBidi"/>
                <w:noProof/>
                <w:sz w:val="24"/>
                <w:szCs w:val="24"/>
                <w:lang w:eastAsia="fr-FR" w:bidi="ar-DZ"/>
              </w:rPr>
              <w:t>(TOC)</w:t>
            </w:r>
          </w:p>
        </w:tc>
      </w:tr>
      <w:tr w:rsidR="000635D8" w:rsidRPr="003B63CB" w:rsidTr="000635D8">
        <w:trPr>
          <w:jc w:val="center"/>
        </w:trPr>
        <w:tc>
          <w:tcPr>
            <w:tcW w:w="146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طور ابتدائي</w:t>
            </w:r>
          </w:p>
        </w:tc>
        <w:tc>
          <w:tcPr>
            <w:tcW w:w="1352"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38</w:t>
            </w:r>
          </w:p>
        </w:tc>
        <w:tc>
          <w:tcPr>
            <w:tcW w:w="1418"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295</w:t>
            </w:r>
          </w:p>
        </w:tc>
        <w:tc>
          <w:tcPr>
            <w:tcW w:w="141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25612</w:t>
            </w:r>
          </w:p>
        </w:tc>
        <w:tc>
          <w:tcPr>
            <w:tcW w:w="1685"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87</w:t>
            </w:r>
          </w:p>
        </w:tc>
      </w:tr>
      <w:tr w:rsidR="000635D8" w:rsidRPr="003B63CB" w:rsidTr="000635D8">
        <w:trPr>
          <w:jc w:val="center"/>
        </w:trPr>
        <w:tc>
          <w:tcPr>
            <w:tcW w:w="146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طور متوسط</w:t>
            </w:r>
          </w:p>
        </w:tc>
        <w:tc>
          <w:tcPr>
            <w:tcW w:w="1352"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14</w:t>
            </w:r>
          </w:p>
        </w:tc>
        <w:tc>
          <w:tcPr>
            <w:tcW w:w="1418"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168</w:t>
            </w:r>
          </w:p>
        </w:tc>
        <w:tc>
          <w:tcPr>
            <w:tcW w:w="141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13115</w:t>
            </w:r>
          </w:p>
        </w:tc>
        <w:tc>
          <w:tcPr>
            <w:tcW w:w="1685"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78</w:t>
            </w:r>
          </w:p>
        </w:tc>
      </w:tr>
      <w:tr w:rsidR="000635D8" w:rsidRPr="003B63CB" w:rsidTr="000635D8">
        <w:trPr>
          <w:jc w:val="center"/>
        </w:trPr>
        <w:tc>
          <w:tcPr>
            <w:tcW w:w="146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طور ثانوي</w:t>
            </w:r>
          </w:p>
        </w:tc>
        <w:tc>
          <w:tcPr>
            <w:tcW w:w="1352"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10</w:t>
            </w:r>
          </w:p>
        </w:tc>
        <w:tc>
          <w:tcPr>
            <w:tcW w:w="1418"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169</w:t>
            </w:r>
          </w:p>
        </w:tc>
        <w:tc>
          <w:tcPr>
            <w:tcW w:w="141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5408</w:t>
            </w:r>
          </w:p>
        </w:tc>
        <w:tc>
          <w:tcPr>
            <w:tcW w:w="1685"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32</w:t>
            </w:r>
          </w:p>
        </w:tc>
      </w:tr>
      <w:tr w:rsidR="000635D8" w:rsidRPr="003B63CB" w:rsidTr="000635D8">
        <w:trPr>
          <w:jc w:val="center"/>
        </w:trPr>
        <w:tc>
          <w:tcPr>
            <w:tcW w:w="146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 xml:space="preserve">تكوين مهني </w:t>
            </w:r>
          </w:p>
        </w:tc>
        <w:tc>
          <w:tcPr>
            <w:tcW w:w="1352"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8</w:t>
            </w:r>
          </w:p>
        </w:tc>
        <w:tc>
          <w:tcPr>
            <w:tcW w:w="1418"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75</w:t>
            </w:r>
          </w:p>
        </w:tc>
        <w:tc>
          <w:tcPr>
            <w:tcW w:w="1417"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560</w:t>
            </w:r>
          </w:p>
        </w:tc>
        <w:tc>
          <w:tcPr>
            <w:tcW w:w="1685" w:type="dxa"/>
            <w:vAlign w:val="center"/>
          </w:tcPr>
          <w:p w:rsidR="000635D8" w:rsidRPr="003B63CB" w:rsidRDefault="000635D8" w:rsidP="000635D8">
            <w:pPr>
              <w:autoSpaceDE w:val="0"/>
              <w:autoSpaceDN w:val="0"/>
              <w:bidi/>
              <w:adjustRightInd w:val="0"/>
              <w:jc w:val="center"/>
              <w:rPr>
                <w:rFonts w:ascii="Simplified Arabic" w:hAnsi="Simplified Arabic" w:cs="Simplified Arabic"/>
                <w:noProof/>
                <w:sz w:val="24"/>
                <w:szCs w:val="24"/>
                <w:rtl/>
                <w:lang w:eastAsia="fr-FR" w:bidi="ar-DZ"/>
              </w:rPr>
            </w:pPr>
            <w:r>
              <w:rPr>
                <w:rFonts w:ascii="Simplified Arabic" w:hAnsi="Simplified Arabic" w:cs="Simplified Arabic" w:hint="cs"/>
                <w:noProof/>
                <w:sz w:val="24"/>
                <w:szCs w:val="24"/>
                <w:rtl/>
                <w:lang w:eastAsia="fr-FR" w:bidi="ar-DZ"/>
              </w:rPr>
              <w:t>-</w:t>
            </w:r>
          </w:p>
        </w:tc>
      </w:tr>
    </w:tbl>
    <w:p w:rsidR="000635D8" w:rsidRPr="00800AD7" w:rsidRDefault="000635D8" w:rsidP="001D0548">
      <w:pPr>
        <w:pStyle w:val="Paragraphedeliste"/>
        <w:numPr>
          <w:ilvl w:val="0"/>
          <w:numId w:val="39"/>
        </w:numPr>
        <w:tabs>
          <w:tab w:val="right" w:pos="567"/>
        </w:tabs>
        <w:autoSpaceDE w:val="0"/>
        <w:autoSpaceDN w:val="0"/>
        <w:bidi/>
        <w:adjustRightInd w:val="0"/>
        <w:spacing w:before="240" w:after="0"/>
        <w:ind w:left="-1" w:firstLine="284"/>
        <w:jc w:val="both"/>
        <w:rPr>
          <w:noProof/>
          <w:lang w:eastAsia="fr-FR"/>
        </w:rPr>
      </w:pPr>
      <w:r w:rsidRPr="00252658">
        <w:rPr>
          <w:rFonts w:ascii="Simplified Arabic" w:hAnsi="Simplified Arabic" w:cs="Simplified Arabic" w:hint="cs"/>
          <w:b/>
          <w:bCs/>
          <w:color w:val="242021"/>
          <w:sz w:val="24"/>
          <w:szCs w:val="24"/>
          <w:rtl/>
        </w:rPr>
        <w:t xml:space="preserve">مراكز </w:t>
      </w:r>
      <w:r w:rsidRPr="00963E16">
        <w:rPr>
          <w:rFonts w:ascii="Simplified Arabic" w:hAnsi="Simplified Arabic" w:cs="Simplified Arabic" w:hint="cs"/>
          <w:b/>
          <w:bCs/>
          <w:color w:val="000000"/>
          <w:sz w:val="24"/>
          <w:szCs w:val="24"/>
          <w:rtl/>
        </w:rPr>
        <w:t>المرافق</w:t>
      </w:r>
      <w:r w:rsidRPr="00252658">
        <w:rPr>
          <w:rFonts w:ascii="Simplified Arabic" w:hAnsi="Simplified Arabic" w:cs="Simplified Arabic" w:hint="cs"/>
          <w:b/>
          <w:bCs/>
          <w:color w:val="242021"/>
          <w:sz w:val="24"/>
          <w:szCs w:val="24"/>
          <w:rtl/>
        </w:rPr>
        <w:t xml:space="preserve"> الصحية</w:t>
      </w:r>
      <w:r w:rsidRPr="00252658">
        <w:rPr>
          <w:rFonts w:ascii="Simplified Arabic" w:hAnsi="Simplified Arabic" w:cs="Simplified Arabic"/>
          <w:b/>
          <w:bCs/>
          <w:color w:val="242021"/>
          <w:sz w:val="24"/>
          <w:szCs w:val="24"/>
          <w:rtl/>
        </w:rPr>
        <w:t>:</w:t>
      </w:r>
      <w:r>
        <w:rPr>
          <w:rFonts w:ascii="Simplified Arabic" w:hAnsi="Simplified Arabic" w:cs="Simplified Arabic" w:hint="cs"/>
          <w:b/>
          <w:bCs/>
          <w:color w:val="242021"/>
          <w:sz w:val="24"/>
          <w:szCs w:val="24"/>
          <w:rtl/>
        </w:rPr>
        <w:t xml:space="preserve"> </w:t>
      </w:r>
      <w:r w:rsidRPr="00252658">
        <w:rPr>
          <w:rFonts w:ascii="Simplified Arabic" w:hAnsi="Simplified Arabic" w:cs="Simplified Arabic" w:hint="cs"/>
          <w:color w:val="000000"/>
          <w:sz w:val="24"/>
          <w:szCs w:val="24"/>
          <w:rtl/>
        </w:rPr>
        <w:t>تعتبر</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معرفة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المرافق</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الصحية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المتوفرة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على</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مستوى</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المدينة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في</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غاية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الأهمية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خاصة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من</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حيث</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الوقاية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من</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المخاطر</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الطبيعية،</w:t>
      </w:r>
      <w:r w:rsidRPr="0025265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باعتبارها عامل محدد</w:t>
      </w:r>
      <w:r w:rsidRPr="0025265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ل</w:t>
      </w:r>
      <w:r w:rsidRPr="00252658">
        <w:rPr>
          <w:rFonts w:ascii="Simplified Arabic" w:hAnsi="Simplified Arabic" w:cs="Simplified Arabic" w:hint="cs"/>
          <w:color w:val="000000"/>
          <w:sz w:val="24"/>
          <w:szCs w:val="24"/>
          <w:rtl/>
        </w:rPr>
        <w:t>تحسين</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نظام</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التدخل</w:t>
      </w:r>
      <w:r w:rsidRPr="0025265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اثناء و</w:t>
      </w:r>
      <w:r w:rsidRPr="00252658">
        <w:rPr>
          <w:rFonts w:ascii="Simplified Arabic" w:hAnsi="Simplified Arabic" w:cs="Simplified Arabic" w:hint="cs"/>
          <w:color w:val="000000"/>
          <w:sz w:val="24"/>
          <w:szCs w:val="24"/>
          <w:rtl/>
        </w:rPr>
        <w:t>بعد</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الفيضانات</w:t>
      </w:r>
      <w:r>
        <w:rPr>
          <w:rFonts w:ascii="Simplified Arabic" w:hAnsi="Simplified Arabic" w:cs="Simplified Arabic" w:hint="cs"/>
          <w:color w:val="000000"/>
          <w:sz w:val="24"/>
          <w:szCs w:val="24"/>
          <w:rtl/>
        </w:rPr>
        <w:t xml:space="preserve"> و</w:t>
      </w:r>
      <w:r>
        <w:rPr>
          <w:rFonts w:ascii="Simplified Arabic" w:hAnsi="Simplified Arabic" w:cs="Simplified Arabic" w:hint="cs"/>
          <w:color w:val="242021"/>
          <w:sz w:val="24"/>
          <w:szCs w:val="24"/>
          <w:rtl/>
        </w:rPr>
        <w:t>مراكز استقبال للتكفل الطبي و النفسي في حالة الازمة.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تحتوي</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مدينة</w:t>
      </w:r>
      <w:r w:rsidRPr="0025265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بوسعادة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على</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مجموعة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متنوعة</w:t>
      </w:r>
      <w:r w:rsidRPr="00252658">
        <w:rPr>
          <w:rFonts w:ascii="Simplified Arabic" w:hAnsi="Simplified Arabic" w:cs="Simplified Arabic"/>
          <w:color w:val="000000"/>
          <w:sz w:val="24"/>
          <w:szCs w:val="24"/>
          <w:rtl/>
        </w:rPr>
        <w:t xml:space="preserve"> </w:t>
      </w:r>
      <w:r w:rsidRPr="00252658">
        <w:rPr>
          <w:rFonts w:ascii="Simplified Arabic" w:hAnsi="Simplified Arabic" w:cs="Simplified Arabic" w:hint="cs"/>
          <w:color w:val="000000"/>
          <w:sz w:val="24"/>
          <w:szCs w:val="24"/>
          <w:rtl/>
        </w:rPr>
        <w:t>من</w:t>
      </w:r>
      <w:r w:rsidRPr="0025265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المراكز الصحية من حيث طبيعة الهيكل</w:t>
      </w:r>
      <w:r w:rsidRPr="00252658">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rPr>
        <w:t xml:space="preserve"> ي</w:t>
      </w:r>
      <w:r w:rsidRPr="00252658">
        <w:rPr>
          <w:rFonts w:ascii="Simplified Arabic" w:hAnsi="Simplified Arabic" w:cs="Simplified Arabic"/>
          <w:color w:val="242021"/>
          <w:sz w:val="24"/>
          <w:szCs w:val="24"/>
          <w:rtl/>
        </w:rPr>
        <w:t>هدف</w:t>
      </w:r>
      <w:r>
        <w:rPr>
          <w:rFonts w:ascii="Simplified Arabic" w:hAnsi="Simplified Arabic" w:cs="Simplified Arabic" w:hint="cs"/>
          <w:color w:val="242021"/>
          <w:sz w:val="24"/>
          <w:szCs w:val="24"/>
          <w:rtl/>
        </w:rPr>
        <w:t xml:space="preserve"> التحليل المكاني لخدمات</w:t>
      </w:r>
      <w:r w:rsidR="00417C24">
        <w:rPr>
          <w:rFonts w:ascii="Simplified Arabic" w:hAnsi="Simplified Arabic" w:cs="Simplified Arabic" w:hint="cs"/>
          <w:color w:val="242021"/>
          <w:sz w:val="24"/>
          <w:szCs w:val="24"/>
          <w:rtl/>
        </w:rPr>
        <w:t xml:space="preserve"> </w:t>
      </w:r>
      <w:r>
        <w:rPr>
          <w:rFonts w:ascii="Simplified Arabic" w:hAnsi="Simplified Arabic" w:cs="Simplified Arabic" w:hint="cs"/>
          <w:color w:val="242021"/>
          <w:sz w:val="24"/>
          <w:szCs w:val="24"/>
          <w:rtl/>
        </w:rPr>
        <w:t xml:space="preserve">الصحة </w:t>
      </w:r>
      <w:r w:rsidRPr="00252658">
        <w:rPr>
          <w:rFonts w:ascii="Simplified Arabic" w:hAnsi="Simplified Arabic" w:cs="Simplified Arabic"/>
          <w:color w:val="242021"/>
          <w:sz w:val="24"/>
          <w:szCs w:val="24"/>
          <w:rtl/>
        </w:rPr>
        <w:t>إلى</w:t>
      </w:r>
      <w:r w:rsidR="00417C24">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إعطاء</w:t>
      </w:r>
      <w:r w:rsidR="00417C24">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صورة</w:t>
      </w:r>
      <w:r w:rsidR="00417C24">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مفصلة</w:t>
      </w:r>
      <w:r w:rsidR="00417C24">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عن</w:t>
      </w:r>
      <w:r w:rsidR="00417C24">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واقع</w:t>
      </w:r>
      <w:r w:rsidR="00417C24">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التوزيع</w:t>
      </w:r>
      <w:r w:rsidR="00417C24">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242021"/>
          <w:sz w:val="24"/>
          <w:szCs w:val="24"/>
          <w:rtl/>
        </w:rPr>
        <w:t>المكاني</w:t>
      </w:r>
      <w:r w:rsidR="00417C24">
        <w:rPr>
          <w:rFonts w:ascii="Simplified Arabic" w:hAnsi="Simplified Arabic" w:cs="Simplified Arabic" w:hint="cs"/>
          <w:color w:val="242021"/>
          <w:sz w:val="24"/>
          <w:szCs w:val="24"/>
          <w:rtl/>
        </w:rPr>
        <w:t xml:space="preserve"> </w:t>
      </w:r>
      <w:r>
        <w:rPr>
          <w:rFonts w:ascii="Simplified Arabic" w:hAnsi="Simplified Arabic" w:cs="Simplified Arabic" w:hint="cs"/>
          <w:color w:val="242021"/>
          <w:sz w:val="24"/>
          <w:szCs w:val="24"/>
          <w:rtl/>
        </w:rPr>
        <w:t>للمراكز</w:t>
      </w:r>
      <w:r w:rsidRPr="00252658">
        <w:rPr>
          <w:rFonts w:ascii="Simplified Arabic" w:hAnsi="Simplified Arabic" w:cs="Simplified Arabic"/>
          <w:color w:val="242021"/>
          <w:sz w:val="24"/>
          <w:szCs w:val="24"/>
          <w:rtl/>
        </w:rPr>
        <w:t xml:space="preserve"> </w:t>
      </w:r>
      <w:r>
        <w:rPr>
          <w:rFonts w:ascii="Simplified Arabic" w:hAnsi="Simplified Arabic" w:cs="Simplified Arabic" w:hint="cs"/>
          <w:color w:val="242021"/>
          <w:sz w:val="24"/>
          <w:szCs w:val="24"/>
          <w:rtl/>
        </w:rPr>
        <w:t>الصحية</w:t>
      </w:r>
      <w:r w:rsidRPr="00252658">
        <w:rPr>
          <w:rFonts w:ascii="Simplified Arabic" w:hAnsi="Simplified Arabic" w:cs="Simplified Arabic"/>
          <w:color w:val="242021"/>
          <w:sz w:val="24"/>
          <w:szCs w:val="24"/>
          <w:rtl/>
        </w:rPr>
        <w:t>،</w:t>
      </w:r>
      <w:r>
        <w:rPr>
          <w:rFonts w:ascii="Simplified Arabic" w:hAnsi="Simplified Arabic" w:cs="Simplified Arabic" w:hint="cs"/>
          <w:color w:val="242021"/>
          <w:sz w:val="24"/>
          <w:szCs w:val="24"/>
          <w:rtl/>
        </w:rPr>
        <w:t xml:space="preserve"> </w:t>
      </w:r>
      <w:r w:rsidRPr="00252658">
        <w:rPr>
          <w:rFonts w:ascii="Simplified Arabic" w:hAnsi="Simplified Arabic" w:cs="Simplified Arabic"/>
          <w:color w:val="000000"/>
          <w:sz w:val="24"/>
          <w:szCs w:val="24"/>
          <w:rtl/>
        </w:rPr>
        <w:t>وذلك</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باستخدام</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نظم</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المعلومات</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الجغرافية</w:t>
      </w:r>
      <w:r>
        <w:rPr>
          <w:rFonts w:ascii="Simplified Arabic" w:hAnsi="Simplified Arabic" w:cs="Simplified Arabic" w:hint="cs"/>
          <w:color w:val="000000"/>
          <w:sz w:val="24"/>
          <w:szCs w:val="24"/>
          <w:rtl/>
        </w:rPr>
        <w:t xml:space="preserve"> (الفصل </w:t>
      </w:r>
      <w:r w:rsidR="00301390">
        <w:rPr>
          <w:rFonts w:ascii="Simplified Arabic" w:hAnsi="Simplified Arabic" w:cs="Simplified Arabic"/>
          <w:color w:val="000000"/>
          <w:sz w:val="24"/>
          <w:szCs w:val="24"/>
        </w:rPr>
        <w:t>05</w:t>
      </w:r>
      <w:r>
        <w:rPr>
          <w:rFonts w:ascii="Simplified Arabic" w:hAnsi="Simplified Arabic" w:cs="Simplified Arabic" w:hint="cs"/>
          <w:color w:val="000000"/>
          <w:sz w:val="24"/>
          <w:szCs w:val="24"/>
          <w:rtl/>
        </w:rPr>
        <w:t xml:space="preserve">) من خلال </w:t>
      </w:r>
      <w:r w:rsidRPr="00252658">
        <w:rPr>
          <w:rFonts w:ascii="Simplified Arabic" w:hAnsi="Simplified Arabic" w:cs="Simplified Arabic"/>
          <w:color w:val="000000"/>
          <w:sz w:val="24"/>
          <w:szCs w:val="24"/>
          <w:rtl/>
        </w:rPr>
        <w:t>خرائط رقمية</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تبين</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التوزيع</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المكاني</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لهذه</w:t>
      </w:r>
      <w:r w:rsidR="00417C24">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 xml:space="preserve">المرافق، </w:t>
      </w:r>
      <w:r w:rsidRPr="00252658">
        <w:rPr>
          <w:rFonts w:ascii="Simplified Arabic" w:hAnsi="Simplified Arabic" w:cs="Simplified Arabic"/>
          <w:color w:val="000000"/>
          <w:sz w:val="24"/>
          <w:szCs w:val="24"/>
          <w:rtl/>
        </w:rPr>
        <w:t>ومعرفة نطاق</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التأثير،</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لمعرفة كفاءة</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توزيع</w:t>
      </w:r>
      <w:r w:rsidR="00417C24">
        <w:rPr>
          <w:rFonts w:ascii="Simplified Arabic" w:hAnsi="Simplified Arabic" w:cs="Simplified Arabic" w:hint="cs"/>
          <w:color w:val="000000"/>
          <w:sz w:val="24"/>
          <w:szCs w:val="24"/>
          <w:rtl/>
        </w:rPr>
        <w:t xml:space="preserve"> </w:t>
      </w:r>
      <w:r w:rsidRPr="00252658">
        <w:rPr>
          <w:rFonts w:ascii="Simplified Arabic" w:hAnsi="Simplified Arabic" w:cs="Simplified Arabic"/>
          <w:color w:val="000000"/>
          <w:sz w:val="24"/>
          <w:szCs w:val="24"/>
          <w:rtl/>
        </w:rPr>
        <w:t>أماكنها،</w:t>
      </w:r>
      <w:r w:rsidR="00417C24">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والكشف عن ال</w:t>
      </w:r>
      <w:r w:rsidRPr="00252658">
        <w:rPr>
          <w:rFonts w:ascii="Simplified Arabic" w:hAnsi="Simplified Arabic" w:cs="Simplified Arabic"/>
          <w:color w:val="000000"/>
          <w:sz w:val="24"/>
          <w:szCs w:val="24"/>
          <w:rtl/>
        </w:rPr>
        <w:t>تفاوت</w:t>
      </w:r>
      <w:r w:rsidR="00417C24">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ل</w:t>
      </w:r>
      <w:r w:rsidRPr="00252658">
        <w:rPr>
          <w:rFonts w:ascii="Simplified Arabic" w:hAnsi="Simplified Arabic" w:cs="Simplified Arabic"/>
          <w:color w:val="000000"/>
          <w:sz w:val="24"/>
          <w:szCs w:val="24"/>
          <w:rtl/>
        </w:rPr>
        <w:t>لمساحات</w:t>
      </w:r>
      <w:r w:rsidR="00417C24">
        <w:rPr>
          <w:rFonts w:ascii="Simplified Arabic" w:hAnsi="Simplified Arabic" w:cs="Simplified Arabic" w:hint="cs"/>
          <w:color w:val="000000"/>
          <w:sz w:val="24"/>
          <w:szCs w:val="24"/>
          <w:rtl/>
        </w:rPr>
        <w:t xml:space="preserve"> ا</w:t>
      </w:r>
      <w:r w:rsidRPr="00252658">
        <w:rPr>
          <w:rFonts w:ascii="Simplified Arabic" w:hAnsi="Simplified Arabic" w:cs="Simplified Arabic"/>
          <w:color w:val="000000"/>
          <w:sz w:val="24"/>
          <w:szCs w:val="24"/>
          <w:rtl/>
        </w:rPr>
        <w:t>لتي</w:t>
      </w:r>
      <w:r w:rsidR="00417C24">
        <w:rPr>
          <w:rFonts w:ascii="Simplified Arabic" w:hAnsi="Simplified Arabic" w:cs="Simplified Arabic" w:hint="cs"/>
          <w:color w:val="000000"/>
          <w:sz w:val="24"/>
          <w:szCs w:val="24"/>
          <w:rtl/>
        </w:rPr>
        <w:t xml:space="preserve"> تغطيها.</w:t>
      </w:r>
      <w:r w:rsidRPr="00252658">
        <w:rPr>
          <w:rFonts w:ascii="Simplified Arabic" w:hAnsi="Simplified Arabic" w:cs="Simplified Arabic" w:hint="cs"/>
          <w:color w:val="000000"/>
          <w:sz w:val="24"/>
          <w:szCs w:val="24"/>
          <w:rtl/>
        </w:rPr>
        <w:t xml:space="preserve"> </w:t>
      </w:r>
    </w:p>
    <w:p w:rsidR="000635D8" w:rsidRPr="007C4E85" w:rsidRDefault="000635D8" w:rsidP="001D0548">
      <w:pPr>
        <w:pStyle w:val="Paragraphedeliste"/>
        <w:numPr>
          <w:ilvl w:val="0"/>
          <w:numId w:val="39"/>
        </w:numPr>
        <w:tabs>
          <w:tab w:val="right" w:pos="567"/>
        </w:tabs>
        <w:autoSpaceDE w:val="0"/>
        <w:autoSpaceDN w:val="0"/>
        <w:bidi/>
        <w:adjustRightInd w:val="0"/>
        <w:spacing w:after="0"/>
        <w:ind w:left="-1" w:firstLine="284"/>
        <w:jc w:val="both"/>
        <w:rPr>
          <w:rFonts w:ascii="Simplified Arabic" w:hAnsi="Simplified Arabic" w:cs="Simplified Arabic"/>
          <w:color w:val="000000"/>
          <w:sz w:val="24"/>
          <w:szCs w:val="24"/>
          <w:rtl/>
        </w:rPr>
      </w:pPr>
      <w:r w:rsidRPr="007C4E85">
        <w:rPr>
          <w:rFonts w:ascii="Simplified Arabic" w:hAnsi="Simplified Arabic" w:cs="Simplified Arabic" w:hint="cs"/>
          <w:b/>
          <w:bCs/>
          <w:color w:val="242021"/>
          <w:sz w:val="24"/>
          <w:szCs w:val="24"/>
          <w:rtl/>
        </w:rPr>
        <w:t xml:space="preserve">مراكز العبادة ومكاتب الجمعيات: </w:t>
      </w:r>
      <w:r w:rsidRPr="007C4E85">
        <w:rPr>
          <w:rFonts w:ascii="Simplified Arabic" w:hAnsi="Simplified Arabic" w:cs="Simplified Arabic" w:hint="cs"/>
          <w:color w:val="000000"/>
          <w:sz w:val="24"/>
          <w:szCs w:val="24"/>
          <w:rtl/>
        </w:rPr>
        <w:t>المساجد</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ودور</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العبادة</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اهمية بالغة في التكفل الاجتماعي وتقديم المساعدة والاعانات في</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حالة</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الطوارئ</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باعتبارها عامل محدد</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لتحسين</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نظام</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التدخل</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اثناء وبعد</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242021"/>
          <w:sz w:val="24"/>
          <w:szCs w:val="24"/>
          <w:rtl/>
        </w:rPr>
        <w:t>الازمة.</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تحتوي</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مدينة</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بوسعادة</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على</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مجموعة</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متنوعة</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من</w:t>
      </w:r>
      <w:r w:rsidRPr="007C4E85">
        <w:rPr>
          <w:rFonts w:ascii="Simplified Arabic" w:hAnsi="Simplified Arabic" w:cs="Simplified Arabic"/>
          <w:color w:val="000000"/>
          <w:sz w:val="24"/>
          <w:szCs w:val="24"/>
          <w:rtl/>
        </w:rPr>
        <w:t xml:space="preserve"> </w:t>
      </w:r>
      <w:r w:rsidRPr="007C4E85">
        <w:rPr>
          <w:rFonts w:ascii="Simplified Arabic" w:hAnsi="Simplified Arabic" w:cs="Simplified Arabic" w:hint="cs"/>
          <w:color w:val="000000"/>
          <w:sz w:val="24"/>
          <w:szCs w:val="24"/>
          <w:rtl/>
        </w:rPr>
        <w:t>مراكز العبادة كالمساجد و المدارس القرآنية و مكاتب الجمعيات والتكافل الاجتماعي من حيث طبيعة الهيكل</w:t>
      </w:r>
      <w:r w:rsidRPr="007C4E85">
        <w:rPr>
          <w:rFonts w:ascii="Simplified Arabic" w:hAnsi="Simplified Arabic" w:cs="Simplified Arabic"/>
          <w:color w:val="000000"/>
          <w:sz w:val="24"/>
          <w:szCs w:val="24"/>
          <w:rtl/>
        </w:rPr>
        <w:t>.</w:t>
      </w:r>
      <w:r w:rsidRPr="007C4E85">
        <w:rPr>
          <w:rFonts w:ascii="Simplified Arabic" w:hAnsi="Simplified Arabic" w:cs="Simplified Arabic" w:hint="cs"/>
          <w:color w:val="000000"/>
          <w:sz w:val="24"/>
          <w:szCs w:val="24"/>
          <w:rtl/>
        </w:rPr>
        <w:t xml:space="preserve"> ي</w:t>
      </w:r>
      <w:r w:rsidRPr="007C4E85">
        <w:rPr>
          <w:rFonts w:ascii="Simplified Arabic" w:hAnsi="Simplified Arabic" w:cs="Simplified Arabic"/>
          <w:color w:val="242021"/>
          <w:sz w:val="24"/>
          <w:szCs w:val="24"/>
          <w:rtl/>
        </w:rPr>
        <w:t>هدف</w:t>
      </w:r>
      <w:r w:rsidRPr="007C4E85">
        <w:rPr>
          <w:rFonts w:ascii="Simplified Arabic" w:hAnsi="Simplified Arabic" w:cs="Simplified Arabic" w:hint="cs"/>
          <w:color w:val="242021"/>
          <w:sz w:val="24"/>
          <w:szCs w:val="24"/>
          <w:rtl/>
        </w:rPr>
        <w:t xml:space="preserve"> التحليل المكاني لخدمات الصحة </w:t>
      </w:r>
      <w:r w:rsidRPr="007C4E85">
        <w:rPr>
          <w:rFonts w:ascii="Simplified Arabic" w:hAnsi="Simplified Arabic" w:cs="Simplified Arabic"/>
          <w:color w:val="242021"/>
          <w:sz w:val="24"/>
          <w:szCs w:val="24"/>
          <w:rtl/>
        </w:rPr>
        <w:t>إلى</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242021"/>
          <w:sz w:val="24"/>
          <w:szCs w:val="24"/>
          <w:rtl/>
        </w:rPr>
        <w:t>إعطاء</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242021"/>
          <w:sz w:val="24"/>
          <w:szCs w:val="24"/>
          <w:rtl/>
        </w:rPr>
        <w:t>صورة</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242021"/>
          <w:sz w:val="24"/>
          <w:szCs w:val="24"/>
          <w:rtl/>
        </w:rPr>
        <w:t>مفصلة</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242021"/>
          <w:sz w:val="24"/>
          <w:szCs w:val="24"/>
          <w:rtl/>
        </w:rPr>
        <w:t>عن</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242021"/>
          <w:sz w:val="24"/>
          <w:szCs w:val="24"/>
          <w:rtl/>
        </w:rPr>
        <w:t>واقع</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242021"/>
          <w:sz w:val="24"/>
          <w:szCs w:val="24"/>
          <w:rtl/>
        </w:rPr>
        <w:t>التوزيع</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242021"/>
          <w:sz w:val="24"/>
          <w:szCs w:val="24"/>
          <w:rtl/>
        </w:rPr>
        <w:t>المكاني</w:t>
      </w:r>
      <w:r w:rsidR="00D0651D">
        <w:rPr>
          <w:rFonts w:ascii="Simplified Arabic" w:hAnsi="Simplified Arabic" w:cs="Simplified Arabic" w:hint="cs"/>
          <w:color w:val="242021"/>
          <w:sz w:val="24"/>
          <w:szCs w:val="24"/>
          <w:rtl/>
        </w:rPr>
        <w:t xml:space="preserve"> </w:t>
      </w:r>
      <w:r>
        <w:rPr>
          <w:rFonts w:ascii="Simplified Arabic" w:hAnsi="Simplified Arabic" w:cs="Simplified Arabic" w:hint="cs"/>
          <w:color w:val="242021"/>
          <w:sz w:val="24"/>
          <w:szCs w:val="24"/>
          <w:rtl/>
        </w:rPr>
        <w:t>ل</w:t>
      </w:r>
      <w:r w:rsidRPr="007C4E85">
        <w:rPr>
          <w:rFonts w:ascii="Simplified Arabic" w:hAnsi="Simplified Arabic" w:cs="Simplified Arabic" w:hint="cs"/>
          <w:color w:val="242021"/>
          <w:sz w:val="24"/>
          <w:szCs w:val="24"/>
          <w:rtl/>
        </w:rPr>
        <w:t>لمراكز</w:t>
      </w:r>
      <w:r w:rsidRPr="007C4E85">
        <w:rPr>
          <w:rFonts w:ascii="Simplified Arabic" w:hAnsi="Simplified Arabic" w:cs="Simplified Arabic"/>
          <w:color w:val="242021"/>
          <w:sz w:val="24"/>
          <w:szCs w:val="24"/>
          <w:rtl/>
        </w:rPr>
        <w:t xml:space="preserve"> </w:t>
      </w:r>
      <w:r w:rsidRPr="007C4E85">
        <w:rPr>
          <w:rFonts w:ascii="Simplified Arabic" w:hAnsi="Simplified Arabic" w:cs="Simplified Arabic" w:hint="cs"/>
          <w:color w:val="242021"/>
          <w:sz w:val="24"/>
          <w:szCs w:val="24"/>
          <w:rtl/>
        </w:rPr>
        <w:t>الصحية</w:t>
      </w:r>
      <w:r w:rsidR="00D0651D">
        <w:rPr>
          <w:rFonts w:ascii="Simplified Arabic" w:hAnsi="Simplified Arabic" w:cs="Simplified Arabic" w:hint="cs"/>
          <w:color w:val="242021"/>
          <w:sz w:val="24"/>
          <w:szCs w:val="24"/>
          <w:rtl/>
        </w:rPr>
        <w:t xml:space="preserve"> </w:t>
      </w:r>
      <w:r w:rsidRPr="007C4E85">
        <w:rPr>
          <w:rFonts w:ascii="Simplified Arabic" w:hAnsi="Simplified Arabic" w:cs="Simplified Arabic"/>
          <w:color w:val="000000"/>
          <w:sz w:val="24"/>
          <w:szCs w:val="24"/>
          <w:rtl/>
        </w:rPr>
        <w:t>وذلك</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باستخدام</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نظم</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المعلومات</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الجغرافية</w:t>
      </w:r>
      <w:r w:rsidRPr="007C4E85">
        <w:rPr>
          <w:rFonts w:ascii="Simplified Arabic" w:hAnsi="Simplified Arabic" w:cs="Simplified Arabic" w:hint="cs"/>
          <w:color w:val="000000"/>
          <w:sz w:val="24"/>
          <w:szCs w:val="24"/>
          <w:rtl/>
        </w:rPr>
        <w:t xml:space="preserve"> (الفصل </w:t>
      </w:r>
      <w:r w:rsidR="00301390">
        <w:rPr>
          <w:rFonts w:ascii="Simplified Arabic" w:hAnsi="Simplified Arabic" w:cs="Simplified Arabic"/>
          <w:color w:val="000000"/>
          <w:sz w:val="24"/>
          <w:szCs w:val="24"/>
        </w:rPr>
        <w:t>05</w:t>
      </w:r>
      <w:r w:rsidRPr="007C4E85">
        <w:rPr>
          <w:rFonts w:ascii="Simplified Arabic" w:hAnsi="Simplified Arabic" w:cs="Simplified Arabic" w:hint="cs"/>
          <w:color w:val="000000"/>
          <w:sz w:val="24"/>
          <w:szCs w:val="24"/>
          <w:rtl/>
        </w:rPr>
        <w:t xml:space="preserve">) من خلال </w:t>
      </w:r>
      <w:r w:rsidRPr="007C4E85">
        <w:rPr>
          <w:rFonts w:ascii="Simplified Arabic" w:hAnsi="Simplified Arabic" w:cs="Simplified Arabic"/>
          <w:color w:val="000000"/>
          <w:sz w:val="24"/>
          <w:szCs w:val="24"/>
          <w:rtl/>
        </w:rPr>
        <w:t>خرائط رقمية</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تبين</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التوزيع</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المكاني</w:t>
      </w:r>
      <w:r w:rsidR="00D0651D">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للمرافق</w:t>
      </w:r>
      <w:r w:rsidRPr="007C4E85">
        <w:rPr>
          <w:rFonts w:ascii="Simplified Arabic" w:hAnsi="Simplified Arabic" w:cs="Simplified Arabic" w:hint="cs"/>
          <w:color w:val="000000"/>
          <w:sz w:val="24"/>
          <w:szCs w:val="24"/>
          <w:rtl/>
        </w:rPr>
        <w:t>،</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معرفة نطاق</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التأثير،</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لمعرفة كفاءة</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توزيع</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أماكنها</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hint="cs"/>
          <w:color w:val="000000"/>
          <w:sz w:val="24"/>
          <w:szCs w:val="24"/>
          <w:rtl/>
        </w:rPr>
        <w:t>والكشف عن ال</w:t>
      </w:r>
      <w:r w:rsidRPr="007C4E85">
        <w:rPr>
          <w:rFonts w:ascii="Simplified Arabic" w:hAnsi="Simplified Arabic" w:cs="Simplified Arabic"/>
          <w:color w:val="000000"/>
          <w:sz w:val="24"/>
          <w:szCs w:val="24"/>
          <w:rtl/>
        </w:rPr>
        <w:t>تفاوت</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hint="cs"/>
          <w:color w:val="000000"/>
          <w:sz w:val="24"/>
          <w:szCs w:val="24"/>
          <w:rtl/>
        </w:rPr>
        <w:t>ل</w:t>
      </w:r>
      <w:r w:rsidRPr="007C4E85">
        <w:rPr>
          <w:rFonts w:ascii="Simplified Arabic" w:hAnsi="Simplified Arabic" w:cs="Simplified Arabic"/>
          <w:color w:val="000000"/>
          <w:sz w:val="24"/>
          <w:szCs w:val="24"/>
          <w:rtl/>
        </w:rPr>
        <w:t>لمساحات</w:t>
      </w:r>
      <w:r w:rsidR="00D0651D">
        <w:rPr>
          <w:rFonts w:ascii="Simplified Arabic" w:hAnsi="Simplified Arabic" w:cs="Simplified Arabic" w:hint="cs"/>
          <w:color w:val="000000"/>
          <w:sz w:val="24"/>
          <w:szCs w:val="24"/>
          <w:rtl/>
        </w:rPr>
        <w:t xml:space="preserve"> </w:t>
      </w:r>
      <w:r w:rsidRPr="007C4E85">
        <w:rPr>
          <w:rFonts w:ascii="Simplified Arabic" w:hAnsi="Simplified Arabic" w:cs="Simplified Arabic"/>
          <w:color w:val="000000"/>
          <w:sz w:val="24"/>
          <w:szCs w:val="24"/>
          <w:rtl/>
        </w:rPr>
        <w:t>التي</w:t>
      </w:r>
      <w:r w:rsidR="00D0651D">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تغطيه</w:t>
      </w:r>
      <w:r w:rsidR="00D0651D">
        <w:rPr>
          <w:rFonts w:ascii="Simplified Arabic" w:hAnsi="Simplified Arabic" w:cs="Simplified Arabic" w:hint="cs"/>
          <w:color w:val="000000"/>
          <w:sz w:val="24"/>
          <w:szCs w:val="24"/>
          <w:rtl/>
        </w:rPr>
        <w:t>ا.</w:t>
      </w:r>
    </w:p>
    <w:p w:rsidR="000635D8" w:rsidRPr="002409F7" w:rsidRDefault="000635D8" w:rsidP="001D0548">
      <w:pPr>
        <w:pStyle w:val="Paragraphedeliste"/>
        <w:numPr>
          <w:ilvl w:val="0"/>
          <w:numId w:val="39"/>
        </w:numPr>
        <w:tabs>
          <w:tab w:val="right" w:pos="567"/>
        </w:tabs>
        <w:autoSpaceDE w:val="0"/>
        <w:autoSpaceDN w:val="0"/>
        <w:bidi/>
        <w:adjustRightInd w:val="0"/>
        <w:spacing w:after="0"/>
        <w:ind w:left="-1" w:firstLine="284"/>
        <w:jc w:val="both"/>
        <w:rPr>
          <w:rFonts w:ascii="Simplified Arabic" w:hAnsi="Simplified Arabic" w:cs="Simplified Arabic"/>
          <w:color w:val="000000"/>
          <w:sz w:val="24"/>
          <w:szCs w:val="24"/>
          <w:rtl/>
        </w:rPr>
      </w:pPr>
      <w:r w:rsidRPr="002409F7">
        <w:rPr>
          <w:rFonts w:ascii="Simplified Arabic" w:hAnsi="Simplified Arabic" w:cs="Simplified Arabic" w:hint="cs"/>
          <w:b/>
          <w:bCs/>
          <w:color w:val="242021"/>
          <w:sz w:val="24"/>
          <w:szCs w:val="24"/>
          <w:rtl/>
        </w:rPr>
        <w:t xml:space="preserve">مراكز </w:t>
      </w:r>
      <w:r w:rsidRPr="002409F7">
        <w:rPr>
          <w:rFonts w:ascii="Simplified Arabic" w:hAnsi="Simplified Arabic" w:cs="Simplified Arabic"/>
          <w:b/>
          <w:bCs/>
          <w:color w:val="242021"/>
          <w:sz w:val="24"/>
          <w:szCs w:val="24"/>
          <w:rtl/>
        </w:rPr>
        <w:t>الإنقاذ والإجلاء</w:t>
      </w:r>
      <w:r w:rsidRPr="002409F7">
        <w:rPr>
          <w:rFonts w:ascii="Simplified Arabic" w:hAnsi="Simplified Arabic" w:cs="Simplified Arabic" w:hint="cs"/>
          <w:b/>
          <w:bCs/>
          <w:color w:val="242021"/>
          <w:sz w:val="24"/>
          <w:szCs w:val="24"/>
          <w:rtl/>
        </w:rPr>
        <w:t xml:space="preserve">: </w:t>
      </w:r>
      <w:r>
        <w:rPr>
          <w:rFonts w:ascii="Simplified Arabic" w:hAnsi="Simplified Arabic" w:cs="Simplified Arabic" w:hint="cs"/>
          <w:color w:val="000000"/>
          <w:sz w:val="24"/>
          <w:szCs w:val="24"/>
          <w:rtl/>
        </w:rPr>
        <w:t>مراكز الحماية المدنية</w:t>
      </w:r>
      <w:r w:rsidRPr="002409F7">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لها </w:t>
      </w:r>
      <w:r w:rsidRPr="002409F7">
        <w:rPr>
          <w:rFonts w:ascii="Simplified Arabic" w:hAnsi="Simplified Arabic" w:cs="Simplified Arabic" w:hint="cs"/>
          <w:color w:val="000000"/>
          <w:sz w:val="24"/>
          <w:szCs w:val="24"/>
          <w:rtl/>
        </w:rPr>
        <w:t xml:space="preserve">اهمية بالغة في تقديم المساعدة </w:t>
      </w:r>
      <w:r>
        <w:rPr>
          <w:rFonts w:ascii="Simplified Arabic" w:hAnsi="Simplified Arabic" w:cs="Simplified Arabic" w:hint="cs"/>
          <w:color w:val="000000"/>
          <w:sz w:val="24"/>
          <w:szCs w:val="24"/>
          <w:rtl/>
        </w:rPr>
        <w:t>من اجل الانقاذ والاجلاء</w:t>
      </w:r>
      <w:r w:rsidRPr="002409F7">
        <w:rPr>
          <w:rFonts w:ascii="Simplified Arabic" w:hAnsi="Simplified Arabic" w:cs="Simplified Arabic" w:hint="cs"/>
          <w:color w:val="000000"/>
          <w:sz w:val="24"/>
          <w:szCs w:val="24"/>
          <w:rtl/>
        </w:rPr>
        <w:t xml:space="preserve"> في</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حالة</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الطوارئ</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باعتبارها عامل محدد</w:t>
      </w:r>
      <w:r w:rsidRPr="002409F7">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لتفعيل</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نظام</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التدخل</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اثناء وبعد</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242021"/>
          <w:sz w:val="24"/>
          <w:szCs w:val="24"/>
          <w:rtl/>
        </w:rPr>
        <w:t>الازمة.</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تحتوي</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مدينة</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بوسعادة</w:t>
      </w:r>
      <w:r w:rsidRPr="002409F7">
        <w:rPr>
          <w:rFonts w:ascii="Simplified Arabic" w:hAnsi="Simplified Arabic" w:cs="Simplified Arabic"/>
          <w:color w:val="000000"/>
          <w:sz w:val="24"/>
          <w:szCs w:val="24"/>
          <w:rtl/>
        </w:rPr>
        <w:t xml:space="preserve"> </w:t>
      </w:r>
      <w:r w:rsidRPr="002409F7">
        <w:rPr>
          <w:rFonts w:ascii="Simplified Arabic" w:hAnsi="Simplified Arabic" w:cs="Simplified Arabic" w:hint="cs"/>
          <w:color w:val="000000"/>
          <w:sz w:val="24"/>
          <w:szCs w:val="24"/>
          <w:rtl/>
        </w:rPr>
        <w:t>على</w:t>
      </w:r>
      <w:r w:rsidRPr="002409F7">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مركزين للحماية المدنية</w:t>
      </w:r>
      <w:r w:rsidRPr="002409F7">
        <w:rPr>
          <w:rFonts w:ascii="Simplified Arabic" w:hAnsi="Simplified Arabic" w:cs="Simplified Arabic"/>
          <w:color w:val="000000"/>
          <w:sz w:val="24"/>
          <w:szCs w:val="24"/>
          <w:rtl/>
        </w:rPr>
        <w:t>.</w:t>
      </w:r>
      <w:r w:rsidRPr="002409F7">
        <w:rPr>
          <w:rFonts w:ascii="Simplified Arabic" w:hAnsi="Simplified Arabic" w:cs="Simplified Arabic" w:hint="cs"/>
          <w:color w:val="000000"/>
          <w:sz w:val="24"/>
          <w:szCs w:val="24"/>
          <w:rtl/>
        </w:rPr>
        <w:t xml:space="preserve"> ي</w:t>
      </w:r>
      <w:r w:rsidRPr="002409F7">
        <w:rPr>
          <w:rFonts w:ascii="Simplified Arabic" w:hAnsi="Simplified Arabic" w:cs="Simplified Arabic"/>
          <w:color w:val="242021"/>
          <w:sz w:val="24"/>
          <w:szCs w:val="24"/>
          <w:rtl/>
        </w:rPr>
        <w:t>هدف</w:t>
      </w:r>
      <w:r w:rsidRPr="002409F7">
        <w:rPr>
          <w:rFonts w:ascii="Simplified Arabic" w:hAnsi="Simplified Arabic" w:cs="Simplified Arabic" w:hint="cs"/>
          <w:color w:val="242021"/>
          <w:sz w:val="24"/>
          <w:szCs w:val="24"/>
          <w:rtl/>
        </w:rPr>
        <w:t xml:space="preserve"> التحليل المكاني </w:t>
      </w:r>
      <w:r>
        <w:rPr>
          <w:rFonts w:ascii="Simplified Arabic" w:hAnsi="Simplified Arabic" w:cs="Simplified Arabic" w:hint="cs"/>
          <w:color w:val="242021"/>
          <w:sz w:val="24"/>
          <w:szCs w:val="24"/>
          <w:rtl/>
        </w:rPr>
        <w:t>لمراكز الانقاذ</w:t>
      </w:r>
      <w:r w:rsidRPr="002409F7">
        <w:rPr>
          <w:rFonts w:ascii="Simplified Arabic" w:hAnsi="Simplified Arabic" w:cs="Simplified Arabic" w:hint="cs"/>
          <w:color w:val="242021"/>
          <w:sz w:val="24"/>
          <w:szCs w:val="24"/>
          <w:rtl/>
        </w:rPr>
        <w:t xml:space="preserve"> </w:t>
      </w:r>
      <w:r>
        <w:rPr>
          <w:rFonts w:ascii="Simplified Arabic" w:hAnsi="Simplified Arabic" w:cs="Simplified Arabic" w:hint="cs"/>
          <w:color w:val="242021"/>
          <w:sz w:val="24"/>
          <w:szCs w:val="24"/>
          <w:rtl/>
        </w:rPr>
        <w:t>ل</w:t>
      </w:r>
      <w:r w:rsidRPr="002409F7">
        <w:rPr>
          <w:rFonts w:ascii="Simplified Arabic" w:hAnsi="Simplified Arabic" w:cs="Simplified Arabic"/>
          <w:color w:val="242021"/>
          <w:sz w:val="24"/>
          <w:szCs w:val="24"/>
          <w:rtl/>
        </w:rPr>
        <w:t>إعطاء</w:t>
      </w:r>
      <w:r w:rsidR="00744927">
        <w:rPr>
          <w:rFonts w:ascii="Simplified Arabic" w:hAnsi="Simplified Arabic" w:cs="Simplified Arabic" w:hint="cs"/>
          <w:color w:val="242021"/>
          <w:sz w:val="24"/>
          <w:szCs w:val="24"/>
          <w:rtl/>
        </w:rPr>
        <w:t xml:space="preserve"> </w:t>
      </w:r>
      <w:r w:rsidRPr="002409F7">
        <w:rPr>
          <w:rFonts w:ascii="Simplified Arabic" w:hAnsi="Simplified Arabic" w:cs="Simplified Arabic"/>
          <w:color w:val="242021"/>
          <w:sz w:val="24"/>
          <w:szCs w:val="24"/>
          <w:rtl/>
        </w:rPr>
        <w:t>صورة</w:t>
      </w:r>
      <w:r w:rsidR="00744927">
        <w:rPr>
          <w:rFonts w:ascii="Simplified Arabic" w:hAnsi="Simplified Arabic" w:cs="Simplified Arabic" w:hint="cs"/>
          <w:color w:val="242021"/>
          <w:sz w:val="24"/>
          <w:szCs w:val="24"/>
          <w:rtl/>
        </w:rPr>
        <w:t xml:space="preserve"> </w:t>
      </w:r>
      <w:r w:rsidRPr="002409F7">
        <w:rPr>
          <w:rFonts w:ascii="Simplified Arabic" w:hAnsi="Simplified Arabic" w:cs="Simplified Arabic"/>
          <w:color w:val="242021"/>
          <w:sz w:val="24"/>
          <w:szCs w:val="24"/>
          <w:rtl/>
        </w:rPr>
        <w:t>مفصلة</w:t>
      </w:r>
      <w:r w:rsidR="00744927">
        <w:rPr>
          <w:rFonts w:ascii="Simplified Arabic" w:hAnsi="Simplified Arabic" w:cs="Simplified Arabic" w:hint="cs"/>
          <w:color w:val="242021"/>
          <w:sz w:val="24"/>
          <w:szCs w:val="24"/>
          <w:rtl/>
        </w:rPr>
        <w:t xml:space="preserve"> </w:t>
      </w:r>
      <w:r w:rsidRPr="002409F7">
        <w:rPr>
          <w:rFonts w:ascii="Simplified Arabic" w:hAnsi="Simplified Arabic" w:cs="Simplified Arabic"/>
          <w:color w:val="242021"/>
          <w:sz w:val="24"/>
          <w:szCs w:val="24"/>
          <w:rtl/>
        </w:rPr>
        <w:t>عن</w:t>
      </w:r>
      <w:r w:rsidR="00744927">
        <w:rPr>
          <w:rFonts w:ascii="Simplified Arabic" w:hAnsi="Simplified Arabic" w:cs="Simplified Arabic" w:hint="cs"/>
          <w:color w:val="242021"/>
          <w:sz w:val="24"/>
          <w:szCs w:val="24"/>
          <w:rtl/>
        </w:rPr>
        <w:t xml:space="preserve"> </w:t>
      </w:r>
      <w:r w:rsidRPr="002409F7">
        <w:rPr>
          <w:rFonts w:ascii="Simplified Arabic" w:hAnsi="Simplified Arabic" w:cs="Simplified Arabic"/>
          <w:color w:val="242021"/>
          <w:sz w:val="24"/>
          <w:szCs w:val="24"/>
          <w:rtl/>
        </w:rPr>
        <w:t>واقع</w:t>
      </w:r>
      <w:r w:rsidR="00744927">
        <w:rPr>
          <w:rFonts w:ascii="Simplified Arabic" w:hAnsi="Simplified Arabic" w:cs="Simplified Arabic" w:hint="cs"/>
          <w:color w:val="242021"/>
          <w:sz w:val="24"/>
          <w:szCs w:val="24"/>
          <w:rtl/>
        </w:rPr>
        <w:t xml:space="preserve"> </w:t>
      </w:r>
      <w:r w:rsidRPr="002409F7">
        <w:rPr>
          <w:rFonts w:ascii="Simplified Arabic" w:hAnsi="Simplified Arabic" w:cs="Simplified Arabic"/>
          <w:color w:val="242021"/>
          <w:sz w:val="24"/>
          <w:szCs w:val="24"/>
          <w:rtl/>
        </w:rPr>
        <w:t>التوزيع</w:t>
      </w:r>
      <w:r w:rsidR="00744927">
        <w:rPr>
          <w:rFonts w:ascii="Simplified Arabic" w:hAnsi="Simplified Arabic" w:cs="Simplified Arabic" w:hint="cs"/>
          <w:color w:val="242021"/>
          <w:sz w:val="24"/>
          <w:szCs w:val="24"/>
          <w:rtl/>
        </w:rPr>
        <w:t xml:space="preserve"> </w:t>
      </w:r>
      <w:r w:rsidRPr="002409F7">
        <w:rPr>
          <w:rFonts w:ascii="Simplified Arabic" w:hAnsi="Simplified Arabic" w:cs="Simplified Arabic"/>
          <w:color w:val="242021"/>
          <w:sz w:val="24"/>
          <w:szCs w:val="24"/>
          <w:rtl/>
        </w:rPr>
        <w:t>المكاني</w:t>
      </w:r>
      <w:r w:rsidR="00744927">
        <w:rPr>
          <w:rFonts w:ascii="Simplified Arabic" w:hAnsi="Simplified Arabic" w:cs="Simplified Arabic" w:hint="cs"/>
          <w:color w:val="242021"/>
          <w:sz w:val="24"/>
          <w:szCs w:val="24"/>
          <w:rtl/>
        </w:rPr>
        <w:t xml:space="preserve"> </w:t>
      </w:r>
      <w:r w:rsidRPr="002409F7">
        <w:rPr>
          <w:rFonts w:ascii="Simplified Arabic" w:hAnsi="Simplified Arabic" w:cs="Simplified Arabic" w:hint="cs"/>
          <w:color w:val="242021"/>
          <w:sz w:val="24"/>
          <w:szCs w:val="24"/>
          <w:rtl/>
        </w:rPr>
        <w:t>لمراكز</w:t>
      </w:r>
      <w:r w:rsidRPr="002409F7">
        <w:rPr>
          <w:rFonts w:ascii="Simplified Arabic" w:hAnsi="Simplified Arabic" w:cs="Simplified Arabic"/>
          <w:color w:val="242021"/>
          <w:sz w:val="24"/>
          <w:szCs w:val="24"/>
          <w:rtl/>
        </w:rPr>
        <w:t xml:space="preserve"> </w:t>
      </w:r>
      <w:r>
        <w:rPr>
          <w:rFonts w:ascii="Simplified Arabic" w:hAnsi="Simplified Arabic" w:cs="Simplified Arabic" w:hint="cs"/>
          <w:color w:val="242021"/>
          <w:sz w:val="24"/>
          <w:szCs w:val="24"/>
          <w:rtl/>
        </w:rPr>
        <w:t>الانقاذ</w:t>
      </w:r>
      <w:r w:rsidRPr="002409F7">
        <w:rPr>
          <w:rFonts w:ascii="Simplified Arabic" w:hAnsi="Simplified Arabic" w:cs="Simplified Arabic" w:hint="cs"/>
          <w:color w:val="242021"/>
          <w:sz w:val="24"/>
          <w:szCs w:val="24"/>
          <w:rtl/>
        </w:rPr>
        <w:t xml:space="preserve"> </w:t>
      </w:r>
      <w:r w:rsidRPr="002409F7">
        <w:rPr>
          <w:rFonts w:ascii="Simplified Arabic" w:hAnsi="Simplified Arabic" w:cs="Simplified Arabic"/>
          <w:color w:val="000000"/>
          <w:sz w:val="24"/>
          <w:szCs w:val="24"/>
          <w:rtl/>
        </w:rPr>
        <w:t>وذلك</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باستخدام</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نظم</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المعلومات</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الجغرافية</w:t>
      </w:r>
      <w:r w:rsidRPr="002409F7">
        <w:rPr>
          <w:rFonts w:ascii="Simplified Arabic" w:hAnsi="Simplified Arabic" w:cs="Simplified Arabic" w:hint="cs"/>
          <w:color w:val="000000"/>
          <w:sz w:val="24"/>
          <w:szCs w:val="24"/>
          <w:rtl/>
        </w:rPr>
        <w:t xml:space="preserve"> (الفصل </w:t>
      </w:r>
      <w:r w:rsidR="00301390">
        <w:rPr>
          <w:rFonts w:ascii="Simplified Arabic" w:hAnsi="Simplified Arabic" w:cs="Simplified Arabic"/>
          <w:color w:val="000000"/>
          <w:sz w:val="24"/>
          <w:szCs w:val="24"/>
        </w:rPr>
        <w:t>05</w:t>
      </w:r>
      <w:r w:rsidRPr="002409F7">
        <w:rPr>
          <w:rFonts w:ascii="Simplified Arabic" w:hAnsi="Simplified Arabic" w:cs="Simplified Arabic" w:hint="cs"/>
          <w:color w:val="000000"/>
          <w:sz w:val="24"/>
          <w:szCs w:val="24"/>
          <w:rtl/>
        </w:rPr>
        <w:t xml:space="preserve">) من خلال </w:t>
      </w:r>
      <w:r w:rsidRPr="002409F7">
        <w:rPr>
          <w:rFonts w:ascii="Simplified Arabic" w:hAnsi="Simplified Arabic" w:cs="Simplified Arabic"/>
          <w:color w:val="000000"/>
          <w:sz w:val="24"/>
          <w:szCs w:val="24"/>
          <w:rtl/>
        </w:rPr>
        <w:t>خرائط رقمية</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تبين</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التوزيع</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المكاني</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لهذه</w:t>
      </w:r>
      <w:r w:rsidR="00744927">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المرافق</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ومعرفة نطاق</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التأثير،</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لمعرفة كفاءة</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توزيع</w:t>
      </w:r>
      <w:r w:rsidR="00744927">
        <w:rPr>
          <w:rFonts w:ascii="Simplified Arabic" w:hAnsi="Simplified Arabic" w:cs="Simplified Arabic" w:hint="cs"/>
          <w:color w:val="000000"/>
          <w:sz w:val="24"/>
          <w:szCs w:val="24"/>
          <w:rtl/>
        </w:rPr>
        <w:t xml:space="preserve"> </w:t>
      </w:r>
      <w:r w:rsidR="00744927">
        <w:rPr>
          <w:rFonts w:ascii="Simplified Arabic" w:hAnsi="Simplified Arabic" w:cs="Simplified Arabic"/>
          <w:color w:val="000000"/>
          <w:sz w:val="24"/>
          <w:szCs w:val="24"/>
          <w:rtl/>
        </w:rPr>
        <w:t>أماكنها</w:t>
      </w:r>
      <w:r w:rsidR="00744927">
        <w:rPr>
          <w:rFonts w:ascii="Simplified Arabic" w:hAnsi="Simplified Arabic" w:cs="Simplified Arabic" w:hint="cs"/>
          <w:color w:val="000000"/>
          <w:sz w:val="24"/>
          <w:szCs w:val="24"/>
          <w:rtl/>
        </w:rPr>
        <w:t xml:space="preserve"> </w:t>
      </w:r>
      <w:r w:rsidRPr="002409F7">
        <w:rPr>
          <w:rFonts w:ascii="Simplified Arabic" w:hAnsi="Simplified Arabic" w:cs="Simplified Arabic" w:hint="cs"/>
          <w:color w:val="000000"/>
          <w:sz w:val="24"/>
          <w:szCs w:val="24"/>
          <w:rtl/>
        </w:rPr>
        <w:t>والكشف عن ال</w:t>
      </w:r>
      <w:r w:rsidRPr="002409F7">
        <w:rPr>
          <w:rFonts w:ascii="Simplified Arabic" w:hAnsi="Simplified Arabic" w:cs="Simplified Arabic"/>
          <w:color w:val="000000"/>
          <w:sz w:val="24"/>
          <w:szCs w:val="24"/>
          <w:rtl/>
        </w:rPr>
        <w:t>تفاوت</w:t>
      </w:r>
      <w:r w:rsidR="00D0651D">
        <w:rPr>
          <w:rFonts w:ascii="Simplified Arabic" w:hAnsi="Simplified Arabic" w:cs="Simplified Arabic" w:hint="cs"/>
          <w:color w:val="000000"/>
          <w:sz w:val="24"/>
          <w:szCs w:val="24"/>
          <w:rtl/>
        </w:rPr>
        <w:t xml:space="preserve"> </w:t>
      </w:r>
      <w:r w:rsidRPr="002409F7">
        <w:rPr>
          <w:rFonts w:ascii="Simplified Arabic" w:hAnsi="Simplified Arabic" w:cs="Simplified Arabic" w:hint="cs"/>
          <w:color w:val="000000"/>
          <w:sz w:val="24"/>
          <w:szCs w:val="24"/>
          <w:rtl/>
        </w:rPr>
        <w:t>ل</w:t>
      </w:r>
      <w:r w:rsidRPr="002409F7">
        <w:rPr>
          <w:rFonts w:ascii="Simplified Arabic" w:hAnsi="Simplified Arabic" w:cs="Simplified Arabic"/>
          <w:color w:val="000000"/>
          <w:sz w:val="24"/>
          <w:szCs w:val="24"/>
          <w:rtl/>
        </w:rPr>
        <w:t>لمساحات</w:t>
      </w:r>
      <w:r w:rsidR="00D0651D">
        <w:rPr>
          <w:rFonts w:ascii="Simplified Arabic" w:hAnsi="Simplified Arabic" w:cs="Simplified Arabic" w:hint="cs"/>
          <w:color w:val="000000"/>
          <w:sz w:val="24"/>
          <w:szCs w:val="24"/>
          <w:rtl/>
        </w:rPr>
        <w:t xml:space="preserve"> </w:t>
      </w:r>
      <w:r w:rsidRPr="002409F7">
        <w:rPr>
          <w:rFonts w:ascii="Simplified Arabic" w:hAnsi="Simplified Arabic" w:cs="Simplified Arabic"/>
          <w:color w:val="000000"/>
          <w:sz w:val="24"/>
          <w:szCs w:val="24"/>
          <w:rtl/>
        </w:rPr>
        <w:t>التي</w:t>
      </w:r>
      <w:r w:rsidR="00D0651D">
        <w:rPr>
          <w:rFonts w:ascii="Simplified Arabic" w:hAnsi="Simplified Arabic" w:cs="Simplified Arabic" w:hint="cs"/>
          <w:color w:val="000000"/>
          <w:sz w:val="24"/>
          <w:szCs w:val="24"/>
          <w:rtl/>
        </w:rPr>
        <w:t xml:space="preserve"> تغطيها.</w:t>
      </w:r>
    </w:p>
    <w:p w:rsidR="000635D8" w:rsidRDefault="000635D8" w:rsidP="001D0548">
      <w:pPr>
        <w:pStyle w:val="Paragraphedeliste"/>
        <w:numPr>
          <w:ilvl w:val="0"/>
          <w:numId w:val="39"/>
        </w:numPr>
        <w:tabs>
          <w:tab w:val="right" w:pos="567"/>
        </w:tabs>
        <w:autoSpaceDE w:val="0"/>
        <w:autoSpaceDN w:val="0"/>
        <w:bidi/>
        <w:adjustRightInd w:val="0"/>
        <w:spacing w:after="0"/>
        <w:ind w:left="-1" w:firstLine="284"/>
        <w:jc w:val="both"/>
        <w:rPr>
          <w:rFonts w:ascii="Simplified Arabic" w:hAnsi="Simplified Arabic" w:cs="Simplified Arabic"/>
          <w:color w:val="000000"/>
          <w:sz w:val="24"/>
          <w:szCs w:val="24"/>
        </w:rPr>
      </w:pPr>
      <w:r w:rsidRPr="00800AD7">
        <w:rPr>
          <w:rFonts w:ascii="Simplified Arabic" w:hAnsi="Simplified Arabic" w:cs="Simplified Arabic" w:hint="cs"/>
          <w:b/>
          <w:bCs/>
          <w:color w:val="242021"/>
          <w:sz w:val="24"/>
          <w:szCs w:val="24"/>
          <w:rtl/>
        </w:rPr>
        <w:t xml:space="preserve">مراكز </w:t>
      </w:r>
      <w:r>
        <w:rPr>
          <w:rFonts w:ascii="Simplified Arabic" w:hAnsi="Simplified Arabic" w:cs="Simplified Arabic" w:hint="cs"/>
          <w:b/>
          <w:bCs/>
          <w:color w:val="242021"/>
          <w:sz w:val="24"/>
          <w:szCs w:val="24"/>
          <w:rtl/>
        </w:rPr>
        <w:t>الامن و الحماية</w:t>
      </w:r>
      <w:r w:rsidRPr="00800AD7">
        <w:rPr>
          <w:rFonts w:ascii="Simplified Arabic" w:hAnsi="Simplified Arabic" w:cs="Simplified Arabic" w:hint="cs"/>
          <w:b/>
          <w:bCs/>
          <w:color w:val="242021"/>
          <w:sz w:val="24"/>
          <w:szCs w:val="24"/>
          <w:rtl/>
        </w:rPr>
        <w:t xml:space="preserve">: </w:t>
      </w:r>
      <w:r>
        <w:rPr>
          <w:rFonts w:ascii="Simplified Arabic" w:hAnsi="Simplified Arabic" w:cs="Simplified Arabic" w:hint="cs"/>
          <w:color w:val="000000"/>
          <w:sz w:val="24"/>
          <w:szCs w:val="24"/>
          <w:rtl/>
        </w:rPr>
        <w:t>لمراكز الامن</w:t>
      </w:r>
      <w:r w:rsidRPr="00800AD7">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اهمية بالغة في توفير الامن والحماية للمواطنين خصوصا </w:t>
      </w:r>
      <w:r w:rsidRPr="00800AD7">
        <w:rPr>
          <w:rFonts w:ascii="Simplified Arabic" w:hAnsi="Simplified Arabic" w:cs="Simplified Arabic" w:hint="cs"/>
          <w:color w:val="000000"/>
          <w:sz w:val="24"/>
          <w:szCs w:val="24"/>
          <w:rtl/>
        </w:rPr>
        <w:t>في</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حالة</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الطوارئ</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باعتبارها عامل محدد</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لتحسين</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نظام</w:t>
      </w:r>
      <w:r w:rsidRPr="00800AD7">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الحماية</w:t>
      </w:r>
      <w:r w:rsidRPr="00800AD7">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اثناء و</w:t>
      </w:r>
      <w:r w:rsidRPr="00800AD7">
        <w:rPr>
          <w:rFonts w:ascii="Simplified Arabic" w:hAnsi="Simplified Arabic" w:cs="Simplified Arabic" w:hint="cs"/>
          <w:color w:val="000000"/>
          <w:sz w:val="24"/>
          <w:szCs w:val="24"/>
          <w:rtl/>
        </w:rPr>
        <w:t>بعد</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242021"/>
          <w:sz w:val="24"/>
          <w:szCs w:val="24"/>
          <w:rtl/>
        </w:rPr>
        <w:t>الازمة.</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تحتوي</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مدينة</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بوسعادة</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على</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مجموعة</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من</w:t>
      </w:r>
      <w:r w:rsidRPr="00800AD7">
        <w:rPr>
          <w:rFonts w:ascii="Simplified Arabic" w:hAnsi="Simplified Arabic" w:cs="Simplified Arabic"/>
          <w:color w:val="000000"/>
          <w:sz w:val="24"/>
          <w:szCs w:val="24"/>
          <w:rtl/>
        </w:rPr>
        <w:t xml:space="preserve"> </w:t>
      </w:r>
      <w:r w:rsidRPr="00800AD7">
        <w:rPr>
          <w:rFonts w:ascii="Simplified Arabic" w:hAnsi="Simplified Arabic" w:cs="Simplified Arabic" w:hint="cs"/>
          <w:color w:val="000000"/>
          <w:sz w:val="24"/>
          <w:szCs w:val="24"/>
          <w:rtl/>
        </w:rPr>
        <w:t xml:space="preserve">مراكز </w:t>
      </w:r>
      <w:r>
        <w:rPr>
          <w:rFonts w:ascii="Simplified Arabic" w:hAnsi="Simplified Arabic" w:cs="Simplified Arabic" w:hint="cs"/>
          <w:color w:val="000000"/>
          <w:sz w:val="24"/>
          <w:szCs w:val="24"/>
          <w:rtl/>
        </w:rPr>
        <w:t>الامن والحماية</w:t>
      </w:r>
      <w:r w:rsidRPr="00800AD7">
        <w:rPr>
          <w:rFonts w:ascii="Simplified Arabic" w:hAnsi="Simplified Arabic" w:cs="Simplified Arabic"/>
          <w:color w:val="000000"/>
          <w:sz w:val="24"/>
          <w:szCs w:val="24"/>
          <w:rtl/>
        </w:rPr>
        <w:t>.</w:t>
      </w:r>
      <w:r w:rsidRPr="00800AD7">
        <w:rPr>
          <w:rFonts w:ascii="Simplified Arabic" w:hAnsi="Simplified Arabic" w:cs="Simplified Arabic" w:hint="cs"/>
          <w:color w:val="000000"/>
          <w:sz w:val="24"/>
          <w:szCs w:val="24"/>
          <w:rtl/>
        </w:rPr>
        <w:t xml:space="preserve"> ي</w:t>
      </w:r>
      <w:r w:rsidRPr="00800AD7">
        <w:rPr>
          <w:rFonts w:ascii="Simplified Arabic" w:hAnsi="Simplified Arabic" w:cs="Simplified Arabic"/>
          <w:color w:val="242021"/>
          <w:sz w:val="24"/>
          <w:szCs w:val="24"/>
          <w:rtl/>
        </w:rPr>
        <w:t>هدف</w:t>
      </w:r>
      <w:r w:rsidRPr="00800AD7">
        <w:rPr>
          <w:rFonts w:ascii="Simplified Arabic" w:hAnsi="Simplified Arabic" w:cs="Simplified Arabic" w:hint="cs"/>
          <w:color w:val="242021"/>
          <w:sz w:val="24"/>
          <w:szCs w:val="24"/>
          <w:rtl/>
        </w:rPr>
        <w:t xml:space="preserve"> التحليل المكاني لخدمات </w:t>
      </w:r>
      <w:r>
        <w:rPr>
          <w:rFonts w:ascii="Simplified Arabic" w:hAnsi="Simplified Arabic" w:cs="Simplified Arabic" w:hint="cs"/>
          <w:color w:val="242021"/>
          <w:sz w:val="24"/>
          <w:szCs w:val="24"/>
          <w:rtl/>
        </w:rPr>
        <w:t>الامن والحماية</w:t>
      </w:r>
      <w:r w:rsidRPr="00800AD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إلى</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إعطاء</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صورة</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مفصلة</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عن</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واقع</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التوزيع</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242021"/>
          <w:sz w:val="24"/>
          <w:szCs w:val="24"/>
          <w:rtl/>
        </w:rPr>
        <w:t>المكاني</w:t>
      </w:r>
      <w:r w:rsidR="00744927">
        <w:rPr>
          <w:rFonts w:ascii="Simplified Arabic" w:hAnsi="Simplified Arabic" w:cs="Simplified Arabic" w:hint="cs"/>
          <w:color w:val="242021"/>
          <w:sz w:val="24"/>
          <w:szCs w:val="24"/>
          <w:rtl/>
        </w:rPr>
        <w:t xml:space="preserve"> </w:t>
      </w:r>
      <w:r w:rsidRPr="00800AD7">
        <w:rPr>
          <w:rFonts w:ascii="Simplified Arabic" w:hAnsi="Simplified Arabic" w:cs="Simplified Arabic" w:hint="cs"/>
          <w:color w:val="242021"/>
          <w:sz w:val="24"/>
          <w:szCs w:val="24"/>
          <w:rtl/>
        </w:rPr>
        <w:t>لمراكز</w:t>
      </w:r>
      <w:r w:rsidRPr="00800AD7">
        <w:rPr>
          <w:rFonts w:ascii="Simplified Arabic" w:hAnsi="Simplified Arabic" w:cs="Simplified Arabic"/>
          <w:color w:val="242021"/>
          <w:sz w:val="24"/>
          <w:szCs w:val="24"/>
          <w:rtl/>
        </w:rPr>
        <w:t xml:space="preserve"> </w:t>
      </w:r>
      <w:r>
        <w:rPr>
          <w:rFonts w:ascii="Simplified Arabic" w:hAnsi="Simplified Arabic" w:cs="Simplified Arabic" w:hint="cs"/>
          <w:color w:val="000000"/>
          <w:sz w:val="24"/>
          <w:szCs w:val="24"/>
          <w:rtl/>
        </w:rPr>
        <w:t xml:space="preserve">الامن </w:t>
      </w:r>
      <w:r>
        <w:rPr>
          <w:rFonts w:ascii="Simplified Arabic" w:hAnsi="Simplified Arabic" w:cs="Simplified Arabic" w:hint="cs"/>
          <w:color w:val="000000"/>
          <w:sz w:val="24"/>
          <w:szCs w:val="24"/>
          <w:rtl/>
        </w:rPr>
        <w:lastRenderedPageBreak/>
        <w:t>والحماية</w:t>
      </w:r>
      <w:r w:rsidRPr="00800AD7">
        <w:rPr>
          <w:rFonts w:ascii="Simplified Arabic" w:hAnsi="Simplified Arabic" w:cs="Simplified Arabic" w:hint="cs"/>
          <w:color w:val="242021"/>
          <w:sz w:val="24"/>
          <w:szCs w:val="24"/>
          <w:rtl/>
        </w:rPr>
        <w:t xml:space="preserve"> </w:t>
      </w:r>
      <w:r w:rsidRPr="00800AD7">
        <w:rPr>
          <w:rFonts w:ascii="Simplified Arabic" w:hAnsi="Simplified Arabic" w:cs="Simplified Arabic"/>
          <w:color w:val="000000"/>
          <w:sz w:val="24"/>
          <w:szCs w:val="24"/>
          <w:rtl/>
        </w:rPr>
        <w:t>وذلك</w:t>
      </w:r>
      <w:r w:rsidRPr="00800AD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باستخدام</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نظم</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المعلومات</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الجغرافية</w:t>
      </w:r>
      <w:r w:rsidRPr="00800AD7">
        <w:rPr>
          <w:rFonts w:ascii="Simplified Arabic" w:hAnsi="Simplified Arabic" w:cs="Simplified Arabic" w:hint="cs"/>
          <w:color w:val="000000"/>
          <w:sz w:val="24"/>
          <w:szCs w:val="24"/>
          <w:rtl/>
        </w:rPr>
        <w:t xml:space="preserve"> (الفصل </w:t>
      </w:r>
      <w:r w:rsidR="00301390">
        <w:rPr>
          <w:rFonts w:ascii="Simplified Arabic" w:hAnsi="Simplified Arabic" w:cs="Simplified Arabic"/>
          <w:color w:val="000000"/>
          <w:sz w:val="24"/>
          <w:szCs w:val="24"/>
        </w:rPr>
        <w:t>05</w:t>
      </w:r>
      <w:r w:rsidRPr="00800AD7">
        <w:rPr>
          <w:rFonts w:ascii="Simplified Arabic" w:hAnsi="Simplified Arabic" w:cs="Simplified Arabic" w:hint="cs"/>
          <w:color w:val="000000"/>
          <w:sz w:val="24"/>
          <w:szCs w:val="24"/>
          <w:rtl/>
        </w:rPr>
        <w:t xml:space="preserve">) من خلال </w:t>
      </w:r>
      <w:r w:rsidRPr="00800AD7">
        <w:rPr>
          <w:rFonts w:ascii="Simplified Arabic" w:hAnsi="Simplified Arabic" w:cs="Simplified Arabic"/>
          <w:color w:val="000000"/>
          <w:sz w:val="24"/>
          <w:szCs w:val="24"/>
          <w:rtl/>
        </w:rPr>
        <w:t>خرائط رقمية</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تبين</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التوزيع</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المكاني</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لهذه</w:t>
      </w:r>
      <w:r w:rsidR="00744927">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المرافق</w:t>
      </w:r>
      <w:r w:rsidRPr="00800AD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ومعرفة نطاق</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التأثير،</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لمعرفة كفاءة</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توزيع</w:t>
      </w:r>
      <w:r w:rsidR="00744927">
        <w:rPr>
          <w:rFonts w:ascii="Simplified Arabic" w:hAnsi="Simplified Arabic" w:cs="Simplified Arabic" w:hint="cs"/>
          <w:color w:val="000000"/>
          <w:sz w:val="24"/>
          <w:szCs w:val="24"/>
          <w:rtl/>
        </w:rPr>
        <w:t xml:space="preserve"> </w:t>
      </w:r>
      <w:r w:rsidR="00744927">
        <w:rPr>
          <w:rFonts w:ascii="Simplified Arabic" w:hAnsi="Simplified Arabic" w:cs="Simplified Arabic"/>
          <w:color w:val="000000"/>
          <w:sz w:val="24"/>
          <w:szCs w:val="24"/>
          <w:rtl/>
        </w:rPr>
        <w:t>أماكنها</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hint="cs"/>
          <w:color w:val="000000"/>
          <w:sz w:val="24"/>
          <w:szCs w:val="24"/>
          <w:rtl/>
        </w:rPr>
        <w:t>والكشف عن ال</w:t>
      </w:r>
      <w:r w:rsidRPr="00800AD7">
        <w:rPr>
          <w:rFonts w:ascii="Simplified Arabic" w:hAnsi="Simplified Arabic" w:cs="Simplified Arabic"/>
          <w:color w:val="000000"/>
          <w:sz w:val="24"/>
          <w:szCs w:val="24"/>
          <w:rtl/>
        </w:rPr>
        <w:t>تفاوت</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hint="cs"/>
          <w:color w:val="000000"/>
          <w:sz w:val="24"/>
          <w:szCs w:val="24"/>
          <w:rtl/>
        </w:rPr>
        <w:t>ل</w:t>
      </w:r>
      <w:r w:rsidRPr="00800AD7">
        <w:rPr>
          <w:rFonts w:ascii="Simplified Arabic" w:hAnsi="Simplified Arabic" w:cs="Simplified Arabic"/>
          <w:color w:val="000000"/>
          <w:sz w:val="24"/>
          <w:szCs w:val="24"/>
          <w:rtl/>
        </w:rPr>
        <w:t>لمساحات</w:t>
      </w:r>
      <w:r w:rsidR="00744927">
        <w:rPr>
          <w:rFonts w:ascii="Simplified Arabic" w:hAnsi="Simplified Arabic" w:cs="Simplified Arabic" w:hint="cs"/>
          <w:color w:val="000000"/>
          <w:sz w:val="24"/>
          <w:szCs w:val="24"/>
          <w:rtl/>
        </w:rPr>
        <w:t xml:space="preserve"> </w:t>
      </w:r>
      <w:r w:rsidRPr="00800AD7">
        <w:rPr>
          <w:rFonts w:ascii="Simplified Arabic" w:hAnsi="Simplified Arabic" w:cs="Simplified Arabic"/>
          <w:color w:val="000000"/>
          <w:sz w:val="24"/>
          <w:szCs w:val="24"/>
          <w:rtl/>
        </w:rPr>
        <w:t>التي</w:t>
      </w:r>
      <w:r w:rsidR="00744927">
        <w:rPr>
          <w:rFonts w:ascii="Simplified Arabic" w:hAnsi="Simplified Arabic" w:cs="Simplified Arabic" w:hint="cs"/>
          <w:color w:val="000000"/>
          <w:sz w:val="24"/>
          <w:szCs w:val="24"/>
          <w:rtl/>
        </w:rPr>
        <w:t xml:space="preserve"> تغطيها.</w:t>
      </w:r>
    </w:p>
    <w:p w:rsidR="000635D8" w:rsidRPr="005D35CA" w:rsidRDefault="000635D8" w:rsidP="004A6317">
      <w:pPr>
        <w:pStyle w:val="Paragraphedeliste"/>
        <w:numPr>
          <w:ilvl w:val="3"/>
          <w:numId w:val="228"/>
        </w:numPr>
        <w:tabs>
          <w:tab w:val="right" w:pos="992"/>
        </w:tabs>
        <w:bidi/>
        <w:spacing w:before="240" w:after="0"/>
        <w:ind w:left="0" w:firstLine="0"/>
        <w:jc w:val="both"/>
        <w:outlineLvl w:val="2"/>
        <w:rPr>
          <w:rFonts w:ascii="Simplified Arabic" w:hAnsi="Simplified Arabic" w:cs="Simplified Arabic"/>
          <w:b/>
          <w:bCs/>
          <w:sz w:val="24"/>
          <w:szCs w:val="24"/>
          <w:rtl/>
          <w:lang w:val="en-US" w:bidi="ar-DZ"/>
        </w:rPr>
      </w:pPr>
      <w:bookmarkStart w:id="542" w:name="_Toc171803602"/>
      <w:r w:rsidRPr="005D35CA">
        <w:rPr>
          <w:rFonts w:ascii="Simplified Arabic" w:hAnsi="Simplified Arabic" w:cs="Simplified Arabic" w:hint="cs"/>
          <w:b/>
          <w:bCs/>
          <w:sz w:val="24"/>
          <w:szCs w:val="24"/>
          <w:rtl/>
          <w:lang w:val="en-US" w:bidi="ar-DZ"/>
        </w:rPr>
        <w:t>شبكة طرق مدينة بوسعادة بين التنوع وسهولة الوصول</w:t>
      </w:r>
      <w:bookmarkEnd w:id="542"/>
    </w:p>
    <w:p w:rsidR="000635D8" w:rsidRDefault="000635D8" w:rsidP="005506ED">
      <w:pPr>
        <w:autoSpaceDE w:val="0"/>
        <w:autoSpaceDN w:val="0"/>
        <w:bidi/>
        <w:adjustRightInd w:val="0"/>
        <w:spacing w:after="0"/>
        <w:ind w:firstLine="283"/>
        <w:jc w:val="both"/>
        <w:rPr>
          <w:rFonts w:ascii="Simplified Arabic" w:hAnsi="Simplified Arabic" w:cs="Simplified Arabic"/>
          <w:color w:val="000000"/>
          <w:sz w:val="24"/>
          <w:szCs w:val="24"/>
          <w:rtl/>
        </w:rPr>
      </w:pPr>
      <w:r w:rsidRPr="007205A5">
        <w:rPr>
          <w:rFonts w:ascii="Simplified Arabic" w:hAnsi="Simplified Arabic" w:cs="Simplified Arabic" w:hint="cs"/>
          <w:color w:val="000000"/>
          <w:sz w:val="24"/>
          <w:szCs w:val="24"/>
          <w:rtl/>
        </w:rPr>
        <w:t>تضم</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شبكة</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الطرق</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لمدينة</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بوسعادة</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ما</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يقرب</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من</w:t>
      </w:r>
      <w:r w:rsidRPr="007205A5">
        <w:rPr>
          <w:rFonts w:ascii="Simplified Arabic" w:hAnsi="Simplified Arabic" w:cs="Simplified Arabic"/>
          <w:color w:val="000000"/>
          <w:sz w:val="24"/>
          <w:szCs w:val="24"/>
          <w:rtl/>
        </w:rPr>
        <w:t xml:space="preserve"> 2786</w:t>
      </w:r>
      <w:r w:rsidRPr="007205A5">
        <w:rPr>
          <w:rFonts w:ascii="Simplified Arabic" w:hAnsi="Simplified Arabic" w:cs="Simplified Arabic" w:hint="cs"/>
          <w:color w:val="000000"/>
          <w:sz w:val="24"/>
          <w:szCs w:val="24"/>
          <w:rtl/>
        </w:rPr>
        <w:t xml:space="preserve"> كم</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من</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الطرق</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الوطنية</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والولائية</w:t>
      </w:r>
      <w:r w:rsidRPr="007205A5">
        <w:rPr>
          <w:rFonts w:ascii="Simplified Arabic" w:hAnsi="Simplified Arabic" w:cs="Simplified Arabic"/>
          <w:color w:val="000000"/>
          <w:sz w:val="24"/>
          <w:szCs w:val="24"/>
          <w:rtl/>
        </w:rPr>
        <w:t xml:space="preserve"> </w:t>
      </w:r>
      <w:r w:rsidRPr="007205A5">
        <w:rPr>
          <w:rFonts w:ascii="Simplified Arabic" w:hAnsi="Simplified Arabic" w:cs="Simplified Arabic" w:hint="cs"/>
          <w:color w:val="000000"/>
          <w:sz w:val="24"/>
          <w:szCs w:val="24"/>
          <w:rtl/>
        </w:rPr>
        <w:t>والحضرية التي تقع ضمن مجالها الحضري</w:t>
      </w:r>
      <w:r w:rsidRPr="007205A5">
        <w:rPr>
          <w:rFonts w:ascii="Simplified Arabic" w:hAnsi="Simplified Arabic" w:cs="Simplified Arabic"/>
          <w:color w:val="000000"/>
          <w:sz w:val="24"/>
          <w:szCs w:val="24"/>
          <w:rtl/>
        </w:rPr>
        <w:t>.</w:t>
      </w:r>
      <w:r w:rsidRPr="007205A5">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 xml:space="preserve">هناك شبكة من الطرق الحضرية التي تمثل هيكل المدينة كالطرق الرئيسية التي تربط بين الاحياء، الطرق الثانوية داخل الاحياء و طرق </w:t>
      </w:r>
      <w:r w:rsidR="005E0182">
        <w:rPr>
          <w:rFonts w:ascii="Simplified Arabic" w:hAnsi="Simplified Arabic" w:cs="Simplified Arabic" w:hint="cs"/>
          <w:color w:val="000000"/>
          <w:sz w:val="24"/>
          <w:szCs w:val="24"/>
          <w:rtl/>
        </w:rPr>
        <w:t xml:space="preserve">الداخلية من </w:t>
      </w:r>
      <w:r>
        <w:rPr>
          <w:rFonts w:ascii="Simplified Arabic" w:hAnsi="Simplified Arabic" w:cs="Simplified Arabic" w:hint="cs"/>
          <w:color w:val="000000"/>
          <w:sz w:val="24"/>
          <w:szCs w:val="24"/>
          <w:rtl/>
        </w:rPr>
        <w:t>الدرجة الثالثة</w:t>
      </w:r>
      <w:r w:rsidR="00AB3087">
        <w:rPr>
          <w:rFonts w:ascii="Simplified Arabic" w:hAnsi="Simplified Arabic" w:cs="Simplified Arabic" w:hint="cs"/>
          <w:color w:val="000000"/>
          <w:sz w:val="24"/>
          <w:szCs w:val="24"/>
          <w:rtl/>
        </w:rPr>
        <w:t xml:space="preserve"> التي تساعد على احتواء المكان</w:t>
      </w:r>
      <w:r>
        <w:rPr>
          <w:rFonts w:ascii="Simplified Arabic" w:hAnsi="Simplified Arabic" w:cs="Simplified Arabic"/>
          <w:color w:val="000000"/>
          <w:sz w:val="24"/>
          <w:szCs w:val="24"/>
        </w:rPr>
        <w:t>.</w:t>
      </w:r>
      <w:r w:rsidR="005506ED">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 xml:space="preserve">بينما تضم الاحياء العتيقة كقصر بوسعادة </w:t>
      </w:r>
      <w:r w:rsidRPr="007105A9">
        <w:rPr>
          <w:rFonts w:ascii="Simplified Arabic" w:hAnsi="Simplified Arabic" w:cs="Simplified Arabic" w:hint="cs"/>
          <w:color w:val="000000"/>
          <w:sz w:val="24"/>
          <w:szCs w:val="24"/>
          <w:rtl/>
        </w:rPr>
        <w:t>شبكة</w:t>
      </w:r>
      <w:r w:rsidRPr="007105A9">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من الطرق ال</w:t>
      </w:r>
      <w:r w:rsidRPr="007105A9">
        <w:rPr>
          <w:rFonts w:ascii="Simplified Arabic" w:hAnsi="Simplified Arabic" w:cs="Simplified Arabic" w:hint="cs"/>
          <w:color w:val="000000"/>
          <w:sz w:val="24"/>
          <w:szCs w:val="24"/>
          <w:rtl/>
        </w:rPr>
        <w:t>معقدة</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و</w:t>
      </w:r>
      <w:r>
        <w:rPr>
          <w:rFonts w:ascii="Simplified Arabic" w:hAnsi="Simplified Arabic" w:cs="Simplified Arabic" w:hint="cs"/>
          <w:color w:val="000000"/>
          <w:sz w:val="24"/>
          <w:szCs w:val="24"/>
          <w:rtl/>
        </w:rPr>
        <w:t>ال</w:t>
      </w:r>
      <w:r w:rsidRPr="007105A9">
        <w:rPr>
          <w:rFonts w:ascii="Simplified Arabic" w:hAnsi="Simplified Arabic" w:cs="Simplified Arabic" w:hint="cs"/>
          <w:color w:val="000000"/>
          <w:sz w:val="24"/>
          <w:szCs w:val="24"/>
          <w:rtl/>
        </w:rPr>
        <w:t>متعرجة</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التي</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تؤمن</w:t>
      </w:r>
      <w:r w:rsidRPr="007105A9">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حركة التنقل بين </w:t>
      </w:r>
      <w:r w:rsidRPr="007105A9">
        <w:rPr>
          <w:rFonts w:ascii="Simplified Arabic" w:hAnsi="Simplified Arabic" w:cs="Simplified Arabic" w:hint="cs"/>
          <w:color w:val="000000"/>
          <w:sz w:val="24"/>
          <w:szCs w:val="24"/>
          <w:rtl/>
        </w:rPr>
        <w:t>الوحدات</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السكنية</w:t>
      </w:r>
      <w:r>
        <w:rPr>
          <w:rFonts w:ascii="Simplified Arabic" w:hAnsi="Simplified Arabic" w:cs="Simplified Arabic" w:hint="cs"/>
          <w:color w:val="000000"/>
          <w:sz w:val="24"/>
          <w:szCs w:val="24"/>
          <w:rtl/>
        </w:rPr>
        <w:t>،</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تتكون</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من</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مجموعة</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طرق</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مرتبطة</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ببعضها</w:t>
      </w:r>
      <w:r w:rsidRPr="007105A9">
        <w:rPr>
          <w:rFonts w:ascii="Simplified Arabic" w:hAnsi="Simplified Arabic" w:cs="Simplified Arabic"/>
          <w:color w:val="000000"/>
          <w:sz w:val="24"/>
          <w:szCs w:val="24"/>
          <w:rtl/>
        </w:rPr>
        <w:t xml:space="preserve"> </w:t>
      </w:r>
      <w:r w:rsidRPr="007105A9">
        <w:rPr>
          <w:rFonts w:ascii="Simplified Arabic" w:hAnsi="Simplified Arabic" w:cs="Simplified Arabic" w:hint="cs"/>
          <w:color w:val="000000"/>
          <w:sz w:val="24"/>
          <w:szCs w:val="24"/>
          <w:rtl/>
        </w:rPr>
        <w:t>البعض</w:t>
      </w:r>
      <w:r w:rsidRPr="007105A9">
        <w:rPr>
          <w:rFonts w:ascii="Simplified Arabic" w:hAnsi="Simplified Arabic" w:cs="Simplified Arabic"/>
          <w:color w:val="000000"/>
          <w:sz w:val="24"/>
          <w:szCs w:val="24"/>
          <w:rtl/>
        </w:rPr>
        <w:t xml:space="preserve"> </w:t>
      </w:r>
      <w:r w:rsidRPr="00173D34">
        <w:rPr>
          <w:rFonts w:asciiTheme="majorBidi" w:hAnsiTheme="majorBidi" w:cstheme="majorBidi"/>
          <w:sz w:val="24"/>
          <w:szCs w:val="24"/>
        </w:rPr>
        <w:t>Nouibat</w:t>
      </w:r>
      <w:r w:rsidRPr="00A3248C">
        <w:rPr>
          <w:rFonts w:asciiTheme="majorBidi" w:hAnsiTheme="majorBidi" w:cstheme="majorBidi"/>
          <w:sz w:val="24"/>
          <w:szCs w:val="24"/>
        </w:rPr>
        <w:t xml:space="preserve">, </w:t>
      </w:r>
      <w:r>
        <w:rPr>
          <w:rFonts w:asciiTheme="majorBidi" w:hAnsiTheme="majorBidi" w:cstheme="majorBidi"/>
          <w:sz w:val="24"/>
          <w:szCs w:val="24"/>
        </w:rPr>
        <w:t>2007</w:t>
      </w:r>
      <w:r w:rsidRPr="008037EB">
        <w:rPr>
          <w:rFonts w:asciiTheme="majorBidi" w:hAnsiTheme="majorBidi" w:cstheme="majorBidi"/>
          <w:sz w:val="24"/>
          <w:szCs w:val="24"/>
        </w:rPr>
        <w:t>)</w:t>
      </w:r>
      <w:r w:rsidRPr="008037EB">
        <w:rPr>
          <w:rFonts w:asciiTheme="majorBidi" w:hAnsiTheme="majorBidi" w:cstheme="majorBidi"/>
          <w:sz w:val="24"/>
          <w:szCs w:val="24"/>
          <w:rtl/>
        </w:rPr>
        <w:t>)</w:t>
      </w:r>
      <w:r w:rsidRPr="007105A9">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تتمثل هذه الشبكة فيما يلي</w:t>
      </w:r>
      <w:r w:rsidRPr="007105A9">
        <w:rPr>
          <w:rFonts w:ascii="Simplified Arabic" w:hAnsi="Simplified Arabic" w:cs="Simplified Arabic"/>
          <w:color w:val="000000"/>
          <w:sz w:val="24"/>
          <w:szCs w:val="24"/>
          <w:rtl/>
        </w:rPr>
        <w:t>:</w:t>
      </w:r>
    </w:p>
    <w:p w:rsidR="000635D8" w:rsidRDefault="000635D8" w:rsidP="001D0548">
      <w:pPr>
        <w:pStyle w:val="Paragraphedeliste"/>
        <w:numPr>
          <w:ilvl w:val="0"/>
          <w:numId w:val="40"/>
        </w:numPr>
        <w:autoSpaceDE w:val="0"/>
        <w:autoSpaceDN w:val="0"/>
        <w:bidi/>
        <w:adjustRightInd w:val="0"/>
        <w:spacing w:after="0"/>
        <w:ind w:left="-1" w:firstLine="283"/>
        <w:jc w:val="both"/>
        <w:rPr>
          <w:rFonts w:ascii="Simplified Arabic" w:hAnsi="Simplified Arabic" w:cs="Simplified Arabic"/>
          <w:color w:val="000000"/>
          <w:sz w:val="24"/>
          <w:szCs w:val="24"/>
        </w:rPr>
      </w:pPr>
      <w:r w:rsidRPr="008C33CC">
        <w:rPr>
          <w:rFonts w:ascii="Simplified Arabic" w:hAnsi="Simplified Arabic" w:cs="Simplified Arabic" w:hint="cs"/>
          <w:b/>
          <w:bCs/>
          <w:color w:val="000000"/>
          <w:sz w:val="24"/>
          <w:szCs w:val="24"/>
          <w:rtl/>
        </w:rPr>
        <w:t>الشارع</w:t>
      </w:r>
      <w:r>
        <w:rPr>
          <w:rFonts w:ascii="Simplified Arabic" w:hAnsi="Simplified Arabic" w:cs="Simplified Arabic" w:hint="cs"/>
          <w:b/>
          <w:bCs/>
          <w:color w:val="000000"/>
          <w:sz w:val="24"/>
          <w:szCs w:val="24"/>
          <w:rtl/>
        </w:rPr>
        <w:t xml:space="preserve">: </w:t>
      </w:r>
      <w:r w:rsidRPr="008C33CC">
        <w:rPr>
          <w:rFonts w:ascii="Simplified Arabic" w:hAnsi="Simplified Arabic" w:cs="Simplified Arabic" w:hint="cs"/>
          <w:color w:val="000000"/>
          <w:sz w:val="24"/>
          <w:szCs w:val="24"/>
          <w:rtl/>
        </w:rPr>
        <w:t>وهي</w:t>
      </w:r>
      <w:r w:rsidRPr="008C33CC">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تؤمن الربط بين الرحبات (ساحات عمومية) </w:t>
      </w:r>
      <w:r w:rsidRPr="008C33CC">
        <w:rPr>
          <w:rFonts w:ascii="Simplified Arabic" w:hAnsi="Simplified Arabic" w:cs="Simplified Arabic" w:hint="cs"/>
          <w:color w:val="000000"/>
          <w:sz w:val="24"/>
          <w:szCs w:val="24"/>
          <w:rtl/>
        </w:rPr>
        <w:t>والأماكن</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العامة</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مثل</w:t>
      </w:r>
      <w:r w:rsidRPr="008C33CC">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دور</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القرآن</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والمسجد</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والسوق</w:t>
      </w:r>
      <w:r w:rsidRPr="008C33CC">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rPr>
        <w:t xml:space="preserve"> </w:t>
      </w:r>
      <w:r w:rsidRPr="008C33CC">
        <w:rPr>
          <w:rFonts w:ascii="Simplified Arabic" w:hAnsi="Simplified Arabic" w:cs="Simplified Arabic" w:hint="cs"/>
          <w:color w:val="000000"/>
          <w:sz w:val="24"/>
          <w:szCs w:val="24"/>
          <w:rtl/>
        </w:rPr>
        <w:t>يتراوح</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عرض</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هذه</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الشوارع</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بين</w:t>
      </w:r>
      <w:r w:rsidRPr="008C33CC">
        <w:rPr>
          <w:rFonts w:ascii="Simplified Arabic" w:hAnsi="Simplified Arabic" w:cs="Simplified Arabic"/>
          <w:color w:val="000000"/>
          <w:sz w:val="24"/>
          <w:szCs w:val="24"/>
          <w:rtl/>
        </w:rPr>
        <w:t xml:space="preserve"> 3 </w:t>
      </w:r>
      <w:r w:rsidRPr="008C33CC">
        <w:rPr>
          <w:rFonts w:ascii="Simplified Arabic" w:hAnsi="Simplified Arabic" w:cs="Simplified Arabic" w:hint="cs"/>
          <w:color w:val="000000"/>
          <w:sz w:val="24"/>
          <w:szCs w:val="24"/>
          <w:rtl/>
        </w:rPr>
        <w:t>و</w:t>
      </w:r>
      <w:r w:rsidRPr="008C33CC">
        <w:rPr>
          <w:rFonts w:ascii="Simplified Arabic" w:hAnsi="Simplified Arabic" w:cs="Simplified Arabic"/>
          <w:color w:val="000000"/>
          <w:sz w:val="24"/>
          <w:szCs w:val="24"/>
          <w:rtl/>
        </w:rPr>
        <w:t xml:space="preserve"> 4 </w:t>
      </w:r>
      <w:r>
        <w:rPr>
          <w:rFonts w:ascii="Simplified Arabic" w:hAnsi="Simplified Arabic" w:cs="Simplified Arabic" w:hint="cs"/>
          <w:color w:val="000000"/>
          <w:sz w:val="24"/>
          <w:szCs w:val="24"/>
          <w:rtl/>
        </w:rPr>
        <w:t>م</w:t>
      </w:r>
      <w:r w:rsidRPr="008C33CC">
        <w:rPr>
          <w:rFonts w:ascii="Simplified Arabic" w:hAnsi="Simplified Arabic" w:cs="Simplified Arabic" w:hint="cs"/>
          <w:color w:val="000000"/>
          <w:sz w:val="24"/>
          <w:szCs w:val="24"/>
          <w:rtl/>
        </w:rPr>
        <w:t>،</w:t>
      </w:r>
      <w:r w:rsidRPr="008C33CC">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لا تسمح بالحركة الميكانيكية، الصورة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4-1</w:t>
      </w:r>
      <w:r w:rsidR="00BA11BE" w:rsidRPr="0063639A">
        <w:rPr>
          <w:rFonts w:ascii="Simplified Arabic" w:hAnsi="Simplified Arabic" w:cs="Simplified Arabic" w:hint="cs"/>
          <w:sz w:val="24"/>
          <w:szCs w:val="24"/>
          <w:rtl/>
        </w:rPr>
        <w:t>)</w:t>
      </w:r>
      <w:r>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rPr>
        <w:t xml:space="preserve"> كان في السابق</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يعتمد</w:t>
      </w:r>
      <w:r w:rsidRPr="008C33CC">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في التوزيع المكاني ل</w:t>
      </w:r>
      <w:r w:rsidR="00E8765E">
        <w:rPr>
          <w:rFonts w:ascii="Simplified Arabic" w:hAnsi="Simplified Arabic" w:cs="Simplified Arabic" w:hint="cs"/>
          <w:sz w:val="24"/>
          <w:szCs w:val="24"/>
          <w:rtl/>
        </w:rPr>
        <w:t>استعمال</w:t>
      </w:r>
      <w:r>
        <w:rPr>
          <w:rFonts w:ascii="Simplified Arabic" w:hAnsi="Simplified Arabic" w:cs="Simplified Arabic" w:hint="cs"/>
          <w:color w:val="000000"/>
          <w:sz w:val="24"/>
          <w:szCs w:val="24"/>
          <w:rtl/>
        </w:rPr>
        <w:t xml:space="preserve"> الارض الحضرية</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على</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العامل</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البشري</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وليس</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على</w:t>
      </w:r>
      <w:r w:rsidRPr="008C33CC">
        <w:rPr>
          <w:rFonts w:ascii="Simplified Arabic" w:hAnsi="Simplified Arabic" w:cs="Simplified Arabic"/>
          <w:color w:val="000000"/>
          <w:sz w:val="24"/>
          <w:szCs w:val="24"/>
          <w:rtl/>
        </w:rPr>
        <w:t xml:space="preserve"> </w:t>
      </w:r>
      <w:r w:rsidRPr="008C33CC">
        <w:rPr>
          <w:rFonts w:ascii="Simplified Arabic" w:hAnsi="Simplified Arabic" w:cs="Simplified Arabic" w:hint="cs"/>
          <w:color w:val="000000"/>
          <w:sz w:val="24"/>
          <w:szCs w:val="24"/>
          <w:rtl/>
        </w:rPr>
        <w:t>عامل</w:t>
      </w:r>
      <w:r w:rsidRPr="008C33CC">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الحركة </w:t>
      </w:r>
      <w:r w:rsidRPr="008C33CC">
        <w:rPr>
          <w:rFonts w:ascii="Simplified Arabic" w:hAnsi="Simplified Arabic" w:cs="Simplified Arabic" w:hint="cs"/>
          <w:color w:val="000000"/>
          <w:sz w:val="24"/>
          <w:szCs w:val="24"/>
          <w:rtl/>
        </w:rPr>
        <w:t>الميكانيكي</w:t>
      </w:r>
      <w:r>
        <w:rPr>
          <w:rFonts w:ascii="Simplified Arabic" w:hAnsi="Simplified Arabic" w:cs="Simplified Arabic" w:hint="cs"/>
          <w:color w:val="000000"/>
          <w:sz w:val="24"/>
          <w:szCs w:val="24"/>
          <w:rtl/>
        </w:rPr>
        <w:t>ة</w:t>
      </w:r>
      <w:r w:rsidRPr="008C33CC">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rPr>
        <w:t xml:space="preserve"> مما يقلل من فرص الانقاذ والاجلاء اثناء الكوارث الطبيعية.</w:t>
      </w:r>
    </w:p>
    <w:p w:rsidR="000635D8" w:rsidRPr="002C3DEA" w:rsidRDefault="000635D8" w:rsidP="00230FAB">
      <w:pPr>
        <w:pStyle w:val="Photo"/>
        <w:rPr>
          <w:rtl/>
        </w:rPr>
      </w:pPr>
      <w:bookmarkStart w:id="543" w:name="_Toc157618646"/>
      <w:bookmarkStart w:id="544" w:name="_Toc171803603"/>
      <w:r w:rsidRPr="00FD3D45">
        <w:rPr>
          <w:rFonts w:hint="cs"/>
          <w:rtl/>
        </w:rPr>
        <w:t xml:space="preserve">الصورة </w:t>
      </w:r>
      <w:r w:rsidR="00BA11BE" w:rsidRPr="00FD3D45">
        <w:rPr>
          <w:rFonts w:hint="cs"/>
          <w:rtl/>
        </w:rPr>
        <w:t>(4-1)</w:t>
      </w:r>
      <w:r w:rsidRPr="00FD3D45">
        <w:rPr>
          <w:rFonts w:hint="cs"/>
          <w:rtl/>
        </w:rPr>
        <w:t>: شوارع الربط بين الرحبة و الاماكن العمومية بقصر بوسعادة</w:t>
      </w:r>
      <w:bookmarkEnd w:id="543"/>
      <w:bookmarkEnd w:id="544"/>
    </w:p>
    <w:p w:rsidR="000635D8" w:rsidRPr="002C3DEA" w:rsidRDefault="000635D8" w:rsidP="001B3B52">
      <w:pPr>
        <w:pStyle w:val="Paragraphedeliste"/>
        <w:bidi/>
        <w:spacing w:after="0" w:line="240" w:lineRule="auto"/>
        <w:ind w:left="0"/>
        <w:jc w:val="center"/>
        <w:rPr>
          <w:rFonts w:ascii="Simplified Arabic" w:hAnsi="Simplified Arabic" w:cs="Simplified Arabic"/>
          <w:sz w:val="24"/>
          <w:szCs w:val="24"/>
          <w:rtl/>
        </w:rPr>
      </w:pPr>
      <w:r w:rsidRPr="002C3DEA">
        <w:rPr>
          <w:rFonts w:ascii="Simplified Arabic" w:hAnsi="Simplified Arabic" w:cs="Simplified Arabic"/>
          <w:sz w:val="24"/>
          <w:szCs w:val="24"/>
          <w:rtl/>
        </w:rPr>
        <w:t>المصدر:(</w:t>
      </w:r>
      <w:r w:rsidR="004E006F" w:rsidRPr="004E006F">
        <w:rPr>
          <w:rFonts w:asciiTheme="majorBidi" w:hAnsiTheme="majorBidi" w:cstheme="majorBidi"/>
          <w:sz w:val="24"/>
          <w:szCs w:val="24"/>
          <w:rtl/>
        </w:rPr>
        <w:t>2007</w:t>
      </w:r>
      <w:r w:rsidRPr="004E006F">
        <w:rPr>
          <w:rFonts w:asciiTheme="majorBidi" w:hAnsiTheme="majorBidi" w:cstheme="majorBidi"/>
          <w:sz w:val="24"/>
          <w:szCs w:val="24"/>
          <w:rtl/>
        </w:rPr>
        <w:t xml:space="preserve">، </w:t>
      </w:r>
      <w:r w:rsidR="004E006F" w:rsidRPr="004E006F">
        <w:rPr>
          <w:rFonts w:asciiTheme="majorBidi" w:hAnsiTheme="majorBidi" w:cstheme="majorBidi"/>
          <w:sz w:val="24"/>
          <w:szCs w:val="24"/>
        </w:rPr>
        <w:t>Nouibat</w:t>
      </w:r>
      <w:r w:rsidRPr="002C3DEA">
        <w:rPr>
          <w:rFonts w:ascii="Simplified Arabic" w:hAnsi="Simplified Arabic" w:cs="Simplified Arabic"/>
          <w:sz w:val="24"/>
          <w:szCs w:val="24"/>
          <w:rtl/>
        </w:rPr>
        <w:t>)</w:t>
      </w:r>
    </w:p>
    <w:p w:rsidR="000635D8" w:rsidRPr="002C3DEA" w:rsidRDefault="000635D8" w:rsidP="000635D8">
      <w:pPr>
        <w:autoSpaceDE w:val="0"/>
        <w:autoSpaceDN w:val="0"/>
        <w:bidi/>
        <w:adjustRightInd w:val="0"/>
        <w:spacing w:after="0"/>
        <w:jc w:val="center"/>
        <w:rPr>
          <w:rFonts w:ascii="Simplified Arabic" w:hAnsi="Simplified Arabic" w:cs="Simplified Arabic"/>
          <w:color w:val="000000"/>
          <w:sz w:val="24"/>
          <w:szCs w:val="24"/>
          <w:rtl/>
          <w:lang w:bidi="ar-DZ"/>
        </w:rPr>
      </w:pPr>
      <w:r>
        <w:rPr>
          <w:noProof/>
          <w:lang w:eastAsia="fr-FR"/>
        </w:rPr>
        <w:drawing>
          <wp:inline distT="0" distB="0" distL="0" distR="0" wp14:anchorId="72FA7529" wp14:editId="0D6D9A1D">
            <wp:extent cx="3648926" cy="1461259"/>
            <wp:effectExtent l="0" t="0" r="8890" b="5715"/>
            <wp:docPr id="162" name="Imag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5"/>
                    <a:stretch>
                      <a:fillRect/>
                    </a:stretch>
                  </pic:blipFill>
                  <pic:spPr>
                    <a:xfrm>
                      <a:off x="0" y="0"/>
                      <a:ext cx="3654739" cy="1463587"/>
                    </a:xfrm>
                    <a:prstGeom prst="rect">
                      <a:avLst/>
                    </a:prstGeom>
                  </pic:spPr>
                </pic:pic>
              </a:graphicData>
            </a:graphic>
          </wp:inline>
        </w:drawing>
      </w:r>
    </w:p>
    <w:p w:rsidR="007F64E7" w:rsidRDefault="000635D8" w:rsidP="001D0548">
      <w:pPr>
        <w:pStyle w:val="Paragraphedeliste"/>
        <w:numPr>
          <w:ilvl w:val="0"/>
          <w:numId w:val="40"/>
        </w:numPr>
        <w:autoSpaceDE w:val="0"/>
        <w:autoSpaceDN w:val="0"/>
        <w:bidi/>
        <w:adjustRightInd w:val="0"/>
        <w:ind w:left="-1" w:firstLine="283"/>
        <w:jc w:val="both"/>
        <w:rPr>
          <w:rFonts w:ascii="Simplified Arabic" w:hAnsi="Simplified Arabic" w:cs="Simplified Arabic"/>
          <w:color w:val="000000"/>
          <w:sz w:val="24"/>
          <w:szCs w:val="24"/>
        </w:rPr>
      </w:pPr>
      <w:r w:rsidRPr="007F64E7">
        <w:rPr>
          <w:rFonts w:ascii="Simplified Arabic" w:hAnsi="Simplified Arabic" w:cs="Simplified Arabic" w:hint="cs"/>
          <w:b/>
          <w:bCs/>
          <w:color w:val="000000"/>
          <w:sz w:val="24"/>
          <w:szCs w:val="24"/>
          <w:rtl/>
        </w:rPr>
        <w:t>الأزقة:</w:t>
      </w:r>
      <w:r w:rsidRPr="007F64E7">
        <w:rPr>
          <w:rFonts w:ascii="Simplified Arabic" w:hAnsi="Simplified Arabic" w:cs="Simplified Arabic" w:hint="cs"/>
          <w:color w:val="000000"/>
          <w:sz w:val="24"/>
          <w:szCs w:val="24"/>
          <w:rtl/>
        </w:rPr>
        <w:t xml:space="preserve"> هذا</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النوع</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من</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الشوارع</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له</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أدوار</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متعددة،</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يضمن</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الربط</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بين</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الوحدات</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السكنية</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والشوارع</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الرئيسية</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المؤدية</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إلى</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الساحات</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والأماكن</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 xml:space="preserve">العامة، الصورة </w:t>
      </w:r>
      <w:r w:rsidR="00BA11BE" w:rsidRPr="007F64E7">
        <w:rPr>
          <w:rFonts w:ascii="Simplified Arabic" w:hAnsi="Simplified Arabic" w:cs="Simplified Arabic" w:hint="cs"/>
          <w:sz w:val="24"/>
          <w:szCs w:val="24"/>
          <w:rtl/>
        </w:rPr>
        <w:t>(4-2)</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هذه</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الأزقة</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ليست</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طويلة</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ويبلغ</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عرضها</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color w:val="000000"/>
          <w:sz w:val="24"/>
          <w:szCs w:val="24"/>
        </w:rPr>
        <w:t>2,5</w:t>
      </w:r>
      <w:r w:rsidRPr="007F64E7">
        <w:rPr>
          <w:rFonts w:ascii="Simplified Arabic" w:hAnsi="Simplified Arabic" w:cs="Simplified Arabic"/>
          <w:color w:val="000000"/>
          <w:sz w:val="24"/>
          <w:szCs w:val="24"/>
          <w:rtl/>
        </w:rPr>
        <w:t xml:space="preserve"> </w:t>
      </w:r>
      <w:r w:rsidRPr="007F64E7">
        <w:rPr>
          <w:rFonts w:ascii="Simplified Arabic" w:hAnsi="Simplified Arabic" w:cs="Simplified Arabic" w:hint="cs"/>
          <w:color w:val="000000"/>
          <w:sz w:val="24"/>
          <w:szCs w:val="24"/>
          <w:rtl/>
        </w:rPr>
        <w:t>م.</w:t>
      </w:r>
    </w:p>
    <w:p w:rsidR="000635D8" w:rsidRPr="002C3DEA" w:rsidRDefault="000635D8" w:rsidP="00230FAB">
      <w:pPr>
        <w:pStyle w:val="Photo"/>
        <w:rPr>
          <w:rtl/>
        </w:rPr>
      </w:pPr>
      <w:bookmarkStart w:id="545" w:name="_Toc157618647"/>
      <w:bookmarkStart w:id="546" w:name="_Toc171803604"/>
      <w:r w:rsidRPr="00FD3D45">
        <w:rPr>
          <w:rFonts w:hint="cs"/>
          <w:rtl/>
        </w:rPr>
        <w:t xml:space="preserve">الصورة </w:t>
      </w:r>
      <w:r w:rsidR="00BA11BE" w:rsidRPr="00FD3D45">
        <w:rPr>
          <w:rFonts w:hint="cs"/>
          <w:rtl/>
        </w:rPr>
        <w:t>(4-2)</w:t>
      </w:r>
      <w:r w:rsidRPr="00FD3D45">
        <w:rPr>
          <w:rFonts w:hint="cs"/>
          <w:rtl/>
        </w:rPr>
        <w:t xml:space="preserve">: </w:t>
      </w:r>
      <w:r w:rsidR="00301390" w:rsidRPr="00FD3D45">
        <w:rPr>
          <w:rFonts w:hint="cs"/>
          <w:rtl/>
        </w:rPr>
        <w:t>ازقة</w:t>
      </w:r>
      <w:r w:rsidRPr="00FD3D45">
        <w:rPr>
          <w:rFonts w:hint="cs"/>
          <w:rtl/>
        </w:rPr>
        <w:t xml:space="preserve"> الربط </w:t>
      </w:r>
      <w:r w:rsidR="00301390" w:rsidRPr="00FD3D45">
        <w:rPr>
          <w:rFonts w:hint="cs"/>
          <w:rtl/>
          <w:lang w:bidi="ar-DZ"/>
        </w:rPr>
        <w:t>ب</w:t>
      </w:r>
      <w:r w:rsidRPr="00FD3D45">
        <w:rPr>
          <w:rFonts w:hint="cs"/>
          <w:color w:val="000000"/>
          <w:rtl/>
        </w:rPr>
        <w:t>الوحدات</w:t>
      </w:r>
      <w:r w:rsidRPr="00FD3D45">
        <w:rPr>
          <w:color w:val="000000"/>
          <w:rtl/>
        </w:rPr>
        <w:t xml:space="preserve"> </w:t>
      </w:r>
      <w:r w:rsidRPr="00FD3D45">
        <w:rPr>
          <w:rFonts w:hint="cs"/>
          <w:color w:val="000000"/>
          <w:rtl/>
        </w:rPr>
        <w:t>السكنية</w:t>
      </w:r>
      <w:r w:rsidRPr="00FD3D45">
        <w:rPr>
          <w:color w:val="000000"/>
          <w:rtl/>
        </w:rPr>
        <w:t xml:space="preserve"> </w:t>
      </w:r>
      <w:r w:rsidRPr="00FD3D45">
        <w:rPr>
          <w:rFonts w:hint="cs"/>
          <w:color w:val="000000"/>
          <w:rtl/>
        </w:rPr>
        <w:t>والشوارع</w:t>
      </w:r>
      <w:r w:rsidRPr="00FD3D45">
        <w:rPr>
          <w:color w:val="000000"/>
          <w:rtl/>
        </w:rPr>
        <w:t xml:space="preserve"> </w:t>
      </w:r>
      <w:r w:rsidRPr="00FD3D45">
        <w:rPr>
          <w:rFonts w:hint="cs"/>
          <w:color w:val="000000"/>
          <w:rtl/>
        </w:rPr>
        <w:t>الرئيسية</w:t>
      </w:r>
      <w:r w:rsidRPr="00FD3D45">
        <w:rPr>
          <w:rFonts w:hint="cs"/>
          <w:rtl/>
        </w:rPr>
        <w:t xml:space="preserve"> بقصر بوسعادة</w:t>
      </w:r>
      <w:bookmarkEnd w:id="545"/>
      <w:bookmarkEnd w:id="546"/>
    </w:p>
    <w:p w:rsidR="004E006F" w:rsidRPr="002C3DEA" w:rsidRDefault="004E006F" w:rsidP="001B3B52">
      <w:pPr>
        <w:pStyle w:val="Paragraphedeliste"/>
        <w:bidi/>
        <w:spacing w:after="0" w:line="240" w:lineRule="auto"/>
        <w:ind w:left="0"/>
        <w:jc w:val="center"/>
        <w:rPr>
          <w:rFonts w:ascii="Simplified Arabic" w:hAnsi="Simplified Arabic" w:cs="Simplified Arabic"/>
          <w:sz w:val="24"/>
          <w:szCs w:val="24"/>
          <w:rtl/>
        </w:rPr>
      </w:pPr>
      <w:r w:rsidRPr="002C3DEA">
        <w:rPr>
          <w:rFonts w:ascii="Simplified Arabic" w:hAnsi="Simplified Arabic" w:cs="Simplified Arabic"/>
          <w:sz w:val="24"/>
          <w:szCs w:val="24"/>
          <w:rtl/>
        </w:rPr>
        <w:t>المصدر:(</w:t>
      </w:r>
      <w:r w:rsidRPr="004E006F">
        <w:rPr>
          <w:rFonts w:asciiTheme="majorBidi" w:hAnsiTheme="majorBidi" w:cstheme="majorBidi"/>
          <w:sz w:val="24"/>
          <w:szCs w:val="24"/>
          <w:rtl/>
        </w:rPr>
        <w:t xml:space="preserve">2007، </w:t>
      </w:r>
      <w:r w:rsidRPr="004E006F">
        <w:rPr>
          <w:rFonts w:asciiTheme="majorBidi" w:hAnsiTheme="majorBidi" w:cstheme="majorBidi"/>
          <w:sz w:val="24"/>
          <w:szCs w:val="24"/>
        </w:rPr>
        <w:t>Nouibat</w:t>
      </w:r>
      <w:r w:rsidRPr="002C3DEA">
        <w:rPr>
          <w:rFonts w:ascii="Simplified Arabic" w:hAnsi="Simplified Arabic" w:cs="Simplified Arabic"/>
          <w:sz w:val="24"/>
          <w:szCs w:val="24"/>
          <w:rtl/>
        </w:rPr>
        <w:t>)</w:t>
      </w:r>
    </w:p>
    <w:p w:rsidR="000635D8" w:rsidRPr="002C3DEA" w:rsidRDefault="000635D8" w:rsidP="001B3B52">
      <w:pPr>
        <w:pStyle w:val="Paragraphedeliste"/>
        <w:autoSpaceDE w:val="0"/>
        <w:autoSpaceDN w:val="0"/>
        <w:bidi/>
        <w:adjustRightInd w:val="0"/>
        <w:spacing w:after="0"/>
        <w:ind w:left="0"/>
        <w:jc w:val="center"/>
        <w:rPr>
          <w:rFonts w:ascii="Simplified Arabic" w:hAnsi="Simplified Arabic" w:cs="Simplified Arabic"/>
          <w:color w:val="000000"/>
          <w:sz w:val="24"/>
          <w:szCs w:val="24"/>
          <w:rtl/>
        </w:rPr>
      </w:pPr>
      <w:r>
        <w:rPr>
          <w:noProof/>
          <w:lang w:eastAsia="fr-FR"/>
        </w:rPr>
        <w:drawing>
          <wp:inline distT="0" distB="0" distL="0" distR="0" wp14:anchorId="40BDF385" wp14:editId="52341CDE">
            <wp:extent cx="1441577" cy="1914525"/>
            <wp:effectExtent l="0" t="0" r="6350" b="0"/>
            <wp:docPr id="163" name="Imag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6"/>
                    <a:stretch>
                      <a:fillRect/>
                    </a:stretch>
                  </pic:blipFill>
                  <pic:spPr>
                    <a:xfrm>
                      <a:off x="0" y="0"/>
                      <a:ext cx="1445413" cy="1919620"/>
                    </a:xfrm>
                    <a:prstGeom prst="rect">
                      <a:avLst/>
                    </a:prstGeom>
                  </pic:spPr>
                </pic:pic>
              </a:graphicData>
            </a:graphic>
          </wp:inline>
        </w:drawing>
      </w:r>
    </w:p>
    <w:p w:rsidR="008769EE" w:rsidRDefault="000635D8" w:rsidP="008769EE">
      <w:pPr>
        <w:autoSpaceDE w:val="0"/>
        <w:autoSpaceDN w:val="0"/>
        <w:bidi/>
        <w:adjustRightInd w:val="0"/>
        <w:spacing w:after="0"/>
        <w:ind w:firstLine="283"/>
        <w:jc w:val="both"/>
        <w:rPr>
          <w:rFonts w:ascii="Simplified Arabic" w:hAnsi="Simplified Arabic" w:cs="Simplified Arabic"/>
          <w:color w:val="000000"/>
          <w:sz w:val="24"/>
          <w:szCs w:val="24"/>
          <w:rtl/>
        </w:rPr>
      </w:pPr>
      <w:r w:rsidRPr="00ED6C87">
        <w:rPr>
          <w:rFonts w:ascii="Simplified Arabic" w:hAnsi="Simplified Arabic" w:cs="Simplified Arabic" w:hint="cs"/>
          <w:color w:val="000000"/>
          <w:sz w:val="24"/>
          <w:szCs w:val="24"/>
          <w:rtl/>
        </w:rPr>
        <w:lastRenderedPageBreak/>
        <w:t>من</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خلال</w:t>
      </w:r>
      <w:r w:rsidRPr="00ED6C87">
        <w:rPr>
          <w:rFonts w:ascii="Simplified Arabic" w:hAnsi="Simplified Arabic" w:cs="Simplified Arabic"/>
          <w:color w:val="000000"/>
          <w:sz w:val="24"/>
          <w:szCs w:val="24"/>
          <w:rtl/>
        </w:rPr>
        <w:t xml:space="preserve"> </w:t>
      </w:r>
      <w:r w:rsidR="005E0182">
        <w:rPr>
          <w:rFonts w:ascii="Simplified Arabic" w:hAnsi="Simplified Arabic" w:cs="Simplified Arabic" w:hint="cs"/>
          <w:color w:val="000000"/>
          <w:sz w:val="24"/>
          <w:szCs w:val="24"/>
          <w:rtl/>
        </w:rPr>
        <w:t>ال</w:t>
      </w:r>
      <w:r w:rsidRPr="00ED6C87">
        <w:rPr>
          <w:rFonts w:ascii="Simplified Arabic" w:hAnsi="Simplified Arabic" w:cs="Simplified Arabic" w:hint="cs"/>
          <w:color w:val="000000"/>
          <w:sz w:val="24"/>
          <w:szCs w:val="24"/>
          <w:rtl/>
        </w:rPr>
        <w:t>خريطة</w:t>
      </w:r>
      <w:r w:rsidRPr="00ED6C87">
        <w:rPr>
          <w:rFonts w:ascii="Simplified Arabic" w:hAnsi="Simplified Arabic" w:cs="Simplified Arabic"/>
          <w:color w:val="000000"/>
          <w:sz w:val="24"/>
          <w:szCs w:val="24"/>
          <w:rtl/>
        </w:rPr>
        <w:t xml:space="preserve">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4-6</w:t>
      </w:r>
      <w:r w:rsidR="00BA11BE" w:rsidRPr="0063639A">
        <w:rPr>
          <w:rFonts w:ascii="Simplified Arabic" w:hAnsi="Simplified Arabic" w:cs="Simplified Arabic" w:hint="cs"/>
          <w:sz w:val="24"/>
          <w:szCs w:val="24"/>
          <w:rtl/>
        </w:rPr>
        <w:t>)</w:t>
      </w:r>
      <w:r w:rsidR="005E0182">
        <w:rPr>
          <w:rFonts w:ascii="Simplified Arabic" w:hAnsi="Simplified Arabic" w:cs="Simplified Arabic" w:hint="cs"/>
          <w:sz w:val="24"/>
          <w:szCs w:val="24"/>
          <w:rtl/>
        </w:rPr>
        <w:t xml:space="preserve"> فان </w:t>
      </w:r>
      <w:r w:rsidRPr="00ED6C87">
        <w:rPr>
          <w:rFonts w:ascii="Simplified Arabic" w:hAnsi="Simplified Arabic" w:cs="Simplified Arabic" w:hint="cs"/>
          <w:color w:val="000000"/>
          <w:sz w:val="24"/>
          <w:szCs w:val="24"/>
          <w:rtl/>
        </w:rPr>
        <w:t>شبكة</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الطرق</w:t>
      </w:r>
      <w:r w:rsidRPr="00ED6C87">
        <w:rPr>
          <w:rFonts w:ascii="Simplified Arabic" w:hAnsi="Simplified Arabic" w:cs="Simplified Arabic"/>
          <w:color w:val="000000"/>
          <w:sz w:val="24"/>
          <w:szCs w:val="24"/>
          <w:rtl/>
        </w:rPr>
        <w:t xml:space="preserve"> </w:t>
      </w:r>
      <w:r w:rsidR="005E0182">
        <w:rPr>
          <w:rFonts w:ascii="Simplified Arabic" w:hAnsi="Simplified Arabic" w:cs="Simplified Arabic" w:hint="cs"/>
          <w:color w:val="000000"/>
          <w:sz w:val="24"/>
          <w:szCs w:val="24"/>
          <w:rtl/>
        </w:rPr>
        <w:t>ت</w:t>
      </w:r>
      <w:r w:rsidRPr="00ED6C87">
        <w:rPr>
          <w:rFonts w:ascii="Simplified Arabic" w:hAnsi="Simplified Arabic" w:cs="Simplified Arabic" w:hint="cs"/>
          <w:color w:val="000000"/>
          <w:sz w:val="24"/>
          <w:szCs w:val="24"/>
          <w:rtl/>
        </w:rPr>
        <w:t>تميز</w:t>
      </w:r>
      <w:r w:rsidRPr="00ED6C87">
        <w:rPr>
          <w:rFonts w:ascii="Simplified Arabic" w:hAnsi="Simplified Arabic" w:cs="Simplified Arabic"/>
          <w:color w:val="000000"/>
          <w:sz w:val="24"/>
          <w:szCs w:val="24"/>
          <w:rtl/>
        </w:rPr>
        <w:t xml:space="preserve"> </w:t>
      </w:r>
      <w:r w:rsidR="005E0182">
        <w:rPr>
          <w:rFonts w:ascii="Simplified Arabic" w:hAnsi="Simplified Arabic" w:cs="Simplified Arabic" w:hint="cs"/>
          <w:color w:val="000000"/>
          <w:sz w:val="24"/>
          <w:szCs w:val="24"/>
          <w:rtl/>
        </w:rPr>
        <w:t>بنوعين مهمين</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من</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الطرق</w:t>
      </w:r>
      <w:r w:rsidR="005E0182">
        <w:rPr>
          <w:rFonts w:ascii="Simplified Arabic" w:hAnsi="Simplified Arabic" w:cs="Simplified Arabic" w:hint="cs"/>
          <w:color w:val="000000"/>
          <w:sz w:val="24"/>
          <w:szCs w:val="24"/>
          <w:rtl/>
        </w:rPr>
        <w:t xml:space="preserve"> الرئيسية والثانوية</w:t>
      </w:r>
      <w:r w:rsidRPr="00ED6C87">
        <w:rPr>
          <w:rFonts w:ascii="Simplified Arabic" w:hAnsi="Simplified Arabic" w:cs="Simplified Arabic" w:hint="cs"/>
          <w:color w:val="000000"/>
          <w:sz w:val="24"/>
          <w:szCs w:val="24"/>
          <w:rtl/>
        </w:rPr>
        <w:t>،</w:t>
      </w:r>
      <w:r>
        <w:rPr>
          <w:rFonts w:ascii="Simplified Arabic" w:hAnsi="Simplified Arabic" w:cs="Simplified Arabic" w:hint="cs"/>
          <w:color w:val="000000"/>
          <w:sz w:val="24"/>
          <w:szCs w:val="24"/>
          <w:rtl/>
          <w:lang w:bidi="ar-DZ"/>
        </w:rPr>
        <w:t xml:space="preserve"> </w:t>
      </w:r>
      <w:r w:rsidR="005E0182">
        <w:rPr>
          <w:rFonts w:ascii="Simplified Arabic" w:hAnsi="Simplified Arabic" w:cs="Simplified Arabic" w:hint="cs"/>
          <w:color w:val="000000"/>
          <w:sz w:val="24"/>
          <w:szCs w:val="24"/>
          <w:rtl/>
          <w:lang w:bidi="ar-DZ"/>
        </w:rPr>
        <w:t xml:space="preserve">اضافة الطرق الداخلية يمنح المدينة </w:t>
      </w:r>
      <w:r w:rsidRPr="00ED6C87">
        <w:rPr>
          <w:rFonts w:ascii="Simplified Arabic" w:hAnsi="Simplified Arabic" w:cs="Simplified Arabic" w:hint="cs"/>
          <w:color w:val="000000"/>
          <w:sz w:val="24"/>
          <w:szCs w:val="24"/>
          <w:rtl/>
        </w:rPr>
        <w:t>تنوع</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شبكة</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الطرق</w:t>
      </w:r>
      <w:r w:rsidR="005E0182">
        <w:rPr>
          <w:rFonts w:ascii="Simplified Arabic" w:hAnsi="Simplified Arabic" w:cs="Simplified Arabic" w:hint="cs"/>
          <w:color w:val="000000"/>
          <w:sz w:val="24"/>
          <w:szCs w:val="24"/>
          <w:rtl/>
        </w:rPr>
        <w:t xml:space="preserve">، مع ان معظم </w:t>
      </w:r>
      <w:r w:rsidRPr="00ED6C87">
        <w:rPr>
          <w:rFonts w:ascii="Simplified Arabic" w:hAnsi="Simplified Arabic" w:cs="Simplified Arabic" w:hint="cs"/>
          <w:color w:val="000000"/>
          <w:sz w:val="24"/>
          <w:szCs w:val="24"/>
          <w:rtl/>
        </w:rPr>
        <w:t>شكل</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شبكة</w:t>
      </w:r>
      <w:r w:rsidRPr="00ED6C87">
        <w:rPr>
          <w:rFonts w:ascii="Simplified Arabic" w:hAnsi="Simplified Arabic" w:cs="Simplified Arabic"/>
          <w:color w:val="000000"/>
          <w:sz w:val="24"/>
          <w:szCs w:val="24"/>
          <w:rtl/>
        </w:rPr>
        <w:t xml:space="preserve"> </w:t>
      </w:r>
      <w:r w:rsidR="005E0182">
        <w:rPr>
          <w:rFonts w:ascii="Simplified Arabic" w:hAnsi="Simplified Arabic" w:cs="Simplified Arabic" w:hint="cs"/>
          <w:color w:val="000000"/>
          <w:sz w:val="24"/>
          <w:szCs w:val="24"/>
          <w:rtl/>
        </w:rPr>
        <w:t>ال</w:t>
      </w:r>
      <w:r w:rsidRPr="00ED6C87">
        <w:rPr>
          <w:rFonts w:ascii="Simplified Arabic" w:hAnsi="Simplified Arabic" w:cs="Simplified Arabic" w:hint="cs"/>
          <w:color w:val="000000"/>
          <w:sz w:val="24"/>
          <w:szCs w:val="24"/>
          <w:rtl/>
        </w:rPr>
        <w:t>طرق</w:t>
      </w:r>
      <w:r w:rsidRPr="00ED6C87">
        <w:rPr>
          <w:rFonts w:ascii="Simplified Arabic" w:hAnsi="Simplified Arabic" w:cs="Simplified Arabic"/>
          <w:color w:val="000000"/>
          <w:sz w:val="24"/>
          <w:szCs w:val="24"/>
          <w:rtl/>
        </w:rPr>
        <w:t xml:space="preserve"> </w:t>
      </w:r>
      <w:r w:rsidR="005E0182">
        <w:rPr>
          <w:rFonts w:ascii="Simplified Arabic" w:hAnsi="Simplified Arabic" w:cs="Simplified Arabic" w:hint="cs"/>
          <w:color w:val="000000"/>
          <w:sz w:val="24"/>
          <w:szCs w:val="24"/>
          <w:rtl/>
        </w:rPr>
        <w:t xml:space="preserve">الداخلية </w:t>
      </w:r>
      <w:r w:rsidRPr="00ED6C87">
        <w:rPr>
          <w:rFonts w:ascii="Simplified Arabic" w:hAnsi="Simplified Arabic" w:cs="Simplified Arabic" w:hint="cs"/>
          <w:color w:val="000000"/>
          <w:sz w:val="24"/>
          <w:szCs w:val="24"/>
          <w:rtl/>
        </w:rPr>
        <w:t>شديدة</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التعقيد</w:t>
      </w:r>
      <w:r w:rsidRPr="00ED6C87">
        <w:rPr>
          <w:rFonts w:ascii="Simplified Arabic" w:hAnsi="Simplified Arabic" w:cs="Simplified Arabic"/>
          <w:color w:val="000000"/>
          <w:sz w:val="24"/>
          <w:szCs w:val="24"/>
          <w:rtl/>
        </w:rPr>
        <w:t xml:space="preserve"> </w:t>
      </w:r>
      <w:r w:rsidRPr="00ED6C87">
        <w:rPr>
          <w:rFonts w:ascii="Simplified Arabic" w:hAnsi="Simplified Arabic" w:cs="Simplified Arabic" w:hint="cs"/>
          <w:color w:val="000000"/>
          <w:sz w:val="24"/>
          <w:szCs w:val="24"/>
          <w:rtl/>
        </w:rPr>
        <w:t>و</w:t>
      </w:r>
      <w:r>
        <w:rPr>
          <w:rFonts w:ascii="Simplified Arabic" w:hAnsi="Simplified Arabic" w:cs="Simplified Arabic" w:hint="cs"/>
          <w:color w:val="000000"/>
          <w:sz w:val="24"/>
          <w:szCs w:val="24"/>
          <w:rtl/>
        </w:rPr>
        <w:t xml:space="preserve">على درجة </w:t>
      </w:r>
      <w:r w:rsidR="001E0670">
        <w:rPr>
          <w:rFonts w:ascii="Simplified Arabic" w:hAnsi="Simplified Arabic" w:cs="Simplified Arabic" w:hint="cs"/>
          <w:color w:val="000000"/>
          <w:sz w:val="24"/>
          <w:szCs w:val="24"/>
          <w:rtl/>
        </w:rPr>
        <w:t xml:space="preserve">متفاوتة </w:t>
      </w:r>
      <w:r>
        <w:rPr>
          <w:rFonts w:ascii="Simplified Arabic" w:hAnsi="Simplified Arabic" w:cs="Simplified Arabic" w:hint="cs"/>
          <w:color w:val="000000"/>
          <w:sz w:val="24"/>
          <w:szCs w:val="24"/>
          <w:rtl/>
        </w:rPr>
        <w:t xml:space="preserve">من </w:t>
      </w:r>
      <w:r w:rsidRPr="00ED6C87">
        <w:rPr>
          <w:rFonts w:ascii="Simplified Arabic" w:hAnsi="Simplified Arabic" w:cs="Simplified Arabic" w:hint="cs"/>
          <w:color w:val="000000"/>
          <w:sz w:val="24"/>
          <w:szCs w:val="24"/>
          <w:rtl/>
        </w:rPr>
        <w:t>الكثافة</w:t>
      </w:r>
      <w:r w:rsidRPr="00ED6C87">
        <w:rPr>
          <w:rFonts w:ascii="Simplified Arabic" w:hAnsi="Simplified Arabic" w:cs="Simplified Arabic"/>
          <w:color w:val="000000"/>
          <w:sz w:val="24"/>
          <w:szCs w:val="24"/>
          <w:rtl/>
        </w:rPr>
        <w:t>.</w:t>
      </w:r>
    </w:p>
    <w:p w:rsidR="000635D8" w:rsidRDefault="000635D8" w:rsidP="00370143">
      <w:pPr>
        <w:pStyle w:val="carte"/>
        <w:spacing w:after="0"/>
        <w:rPr>
          <w:rtl/>
        </w:rPr>
      </w:pPr>
      <w:bookmarkStart w:id="547" w:name="_Toc157616595"/>
      <w:bookmarkStart w:id="548" w:name="_Toc171803605"/>
      <w:r w:rsidRPr="00D35B2A">
        <w:rPr>
          <w:rFonts w:hint="cs"/>
          <w:rtl/>
        </w:rPr>
        <w:t xml:space="preserve">الخريطة </w:t>
      </w:r>
      <w:r w:rsidR="00BA11BE" w:rsidRPr="00D35B2A">
        <w:rPr>
          <w:rFonts w:hint="cs"/>
          <w:rtl/>
        </w:rPr>
        <w:t>(4-</w:t>
      </w:r>
      <w:r w:rsidR="00D35B2A" w:rsidRPr="00D35B2A">
        <w:rPr>
          <w:rFonts w:hint="cs"/>
          <w:rtl/>
        </w:rPr>
        <w:t>8</w:t>
      </w:r>
      <w:r w:rsidR="00BA11BE" w:rsidRPr="00D35B2A">
        <w:rPr>
          <w:rFonts w:hint="cs"/>
          <w:rtl/>
        </w:rPr>
        <w:t>)</w:t>
      </w:r>
      <w:r w:rsidRPr="00D35B2A">
        <w:rPr>
          <w:rtl/>
        </w:rPr>
        <w:t>:</w:t>
      </w:r>
      <w:r w:rsidRPr="00D35B2A">
        <w:rPr>
          <w:rFonts w:hint="cs"/>
          <w:rtl/>
        </w:rPr>
        <w:t xml:space="preserve"> شبكة الطرق </w:t>
      </w:r>
      <w:r w:rsidR="005E0182" w:rsidRPr="00D35B2A">
        <w:rPr>
          <w:rFonts w:hint="cs"/>
          <w:rtl/>
        </w:rPr>
        <w:t xml:space="preserve">الرئيسية والثانوية </w:t>
      </w:r>
      <w:r w:rsidR="007A57BA" w:rsidRPr="00D35B2A">
        <w:rPr>
          <w:rFonts w:hint="cs"/>
          <w:rtl/>
        </w:rPr>
        <w:t xml:space="preserve">والداخلية </w:t>
      </w:r>
      <w:r w:rsidR="000C7FAA" w:rsidRPr="00D35B2A">
        <w:rPr>
          <w:rFonts w:hint="cs"/>
          <w:rtl/>
        </w:rPr>
        <w:t>عبر احياء مدينة بوسعادة</w:t>
      </w:r>
      <w:bookmarkEnd w:id="547"/>
      <w:bookmarkEnd w:id="548"/>
    </w:p>
    <w:p w:rsidR="00370143" w:rsidRPr="00370143" w:rsidRDefault="00370143" w:rsidP="00370143">
      <w:pPr>
        <w:pStyle w:val="fegure"/>
        <w:rPr>
          <w:sz w:val="8"/>
          <w:szCs w:val="24"/>
          <w:rtl/>
          <w:lang w:val="en-US"/>
        </w:rPr>
      </w:pPr>
      <w:bookmarkStart w:id="549" w:name="_Toc171803606"/>
      <w:r>
        <w:rPr>
          <w:rFonts w:hint="cs"/>
          <w:sz w:val="8"/>
          <w:szCs w:val="24"/>
          <w:rtl/>
          <w:lang w:val="en-US"/>
        </w:rPr>
        <w:t>المصدر: (الباحث، 2022)</w:t>
      </w:r>
      <w:bookmarkEnd w:id="549"/>
    </w:p>
    <w:p w:rsidR="000635D8" w:rsidRDefault="000635D8" w:rsidP="000635D8">
      <w:pPr>
        <w:bidi/>
        <w:jc w:val="center"/>
        <w:rPr>
          <w:noProof/>
          <w:rtl/>
          <w:lang w:eastAsia="fr-FR"/>
        </w:rPr>
      </w:pPr>
      <w:r w:rsidRPr="00E20848">
        <w:rPr>
          <w:rFonts w:cs="Arial"/>
          <w:noProof/>
          <w:rtl/>
          <w:lang w:eastAsia="fr-FR"/>
        </w:rPr>
        <w:drawing>
          <wp:inline distT="0" distB="0" distL="0" distR="0" wp14:anchorId="34444B8A" wp14:editId="3B12AD46">
            <wp:extent cx="4681779" cy="5713041"/>
            <wp:effectExtent l="19050" t="19050" r="24130" b="21590"/>
            <wp:docPr id="164" name="Imag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7">
                      <a:extLst>
                        <a:ext uri="{28A0092B-C50C-407E-A947-70E740481C1C}">
                          <a14:useLocalDpi xmlns:a14="http://schemas.microsoft.com/office/drawing/2010/main" val="0"/>
                        </a:ext>
                      </a:extLst>
                    </a:blip>
                    <a:srcRect t="8457"/>
                    <a:stretch/>
                  </pic:blipFill>
                  <pic:spPr bwMode="auto">
                    <a:xfrm>
                      <a:off x="0" y="0"/>
                      <a:ext cx="4679304" cy="571002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635D8" w:rsidRPr="005D35CA" w:rsidRDefault="000635D8" w:rsidP="001D0548">
      <w:pPr>
        <w:pStyle w:val="Paragraphedeliste"/>
        <w:numPr>
          <w:ilvl w:val="2"/>
          <w:numId w:val="254"/>
        </w:numPr>
        <w:tabs>
          <w:tab w:val="right" w:pos="850"/>
        </w:tabs>
        <w:bidi/>
        <w:spacing w:after="0"/>
        <w:ind w:left="0" w:firstLine="0"/>
        <w:jc w:val="both"/>
        <w:outlineLvl w:val="1"/>
        <w:rPr>
          <w:rFonts w:ascii="Simplified Arabic" w:hAnsi="Simplified Arabic" w:cs="Simplified Arabic"/>
          <w:b/>
          <w:bCs/>
          <w:sz w:val="24"/>
          <w:szCs w:val="24"/>
          <w:rtl/>
          <w:lang w:val="en-US" w:bidi="ar-DZ"/>
        </w:rPr>
      </w:pPr>
      <w:bookmarkStart w:id="550" w:name="_Toc171803607"/>
      <w:r w:rsidRPr="005D35CA">
        <w:rPr>
          <w:rFonts w:ascii="Simplified Arabic" w:hAnsi="Simplified Arabic" w:cs="Simplified Arabic" w:hint="cs"/>
          <w:b/>
          <w:bCs/>
          <w:sz w:val="24"/>
          <w:szCs w:val="24"/>
          <w:rtl/>
          <w:lang w:val="en-US" w:bidi="ar-DZ"/>
        </w:rPr>
        <w:t>نشأة</w:t>
      </w:r>
      <w:r w:rsidRPr="005D35CA">
        <w:rPr>
          <w:rFonts w:ascii="Simplified Arabic" w:hAnsi="Simplified Arabic" w:cs="Simplified Arabic"/>
          <w:b/>
          <w:bCs/>
          <w:sz w:val="24"/>
          <w:szCs w:val="24"/>
          <w:rtl/>
          <w:lang w:val="en-US" w:bidi="ar-DZ"/>
        </w:rPr>
        <w:t xml:space="preserve"> </w:t>
      </w:r>
      <w:r w:rsidRPr="005D35CA">
        <w:rPr>
          <w:rFonts w:ascii="Simplified Arabic" w:hAnsi="Simplified Arabic" w:cs="Simplified Arabic" w:hint="cs"/>
          <w:b/>
          <w:bCs/>
          <w:sz w:val="24"/>
          <w:szCs w:val="24"/>
          <w:rtl/>
          <w:lang w:val="en-US" w:bidi="ar-DZ"/>
        </w:rPr>
        <w:t>الفيضانات</w:t>
      </w:r>
      <w:r w:rsidRPr="005D35CA">
        <w:rPr>
          <w:rFonts w:ascii="Simplified Arabic" w:hAnsi="Simplified Arabic" w:cs="Simplified Arabic"/>
          <w:b/>
          <w:bCs/>
          <w:sz w:val="24"/>
          <w:szCs w:val="24"/>
          <w:rtl/>
          <w:lang w:val="en-US" w:bidi="ar-DZ"/>
        </w:rPr>
        <w:t xml:space="preserve"> </w:t>
      </w:r>
      <w:r w:rsidRPr="005D35CA">
        <w:rPr>
          <w:rFonts w:ascii="Simplified Arabic" w:hAnsi="Simplified Arabic" w:cs="Simplified Arabic" w:hint="cs"/>
          <w:b/>
          <w:bCs/>
          <w:sz w:val="24"/>
          <w:szCs w:val="24"/>
          <w:rtl/>
          <w:lang w:val="en-US" w:bidi="ar-DZ"/>
        </w:rPr>
        <w:t>في</w:t>
      </w:r>
      <w:r w:rsidRPr="005D35CA">
        <w:rPr>
          <w:rFonts w:ascii="Simplified Arabic" w:hAnsi="Simplified Arabic" w:cs="Simplified Arabic"/>
          <w:b/>
          <w:bCs/>
          <w:sz w:val="24"/>
          <w:szCs w:val="24"/>
          <w:rtl/>
          <w:lang w:val="en-US" w:bidi="ar-DZ"/>
        </w:rPr>
        <w:t xml:space="preserve"> </w:t>
      </w:r>
      <w:r w:rsidRPr="005D35CA">
        <w:rPr>
          <w:rFonts w:ascii="Simplified Arabic" w:hAnsi="Simplified Arabic" w:cs="Simplified Arabic" w:hint="cs"/>
          <w:b/>
          <w:bCs/>
          <w:sz w:val="24"/>
          <w:szCs w:val="24"/>
          <w:rtl/>
          <w:lang w:val="en-US" w:bidi="ar-DZ"/>
        </w:rPr>
        <w:t>مدينة بوسعادة</w:t>
      </w:r>
      <w:r w:rsidRPr="005D35CA">
        <w:rPr>
          <w:rFonts w:ascii="Simplified Arabic" w:hAnsi="Simplified Arabic" w:cs="Simplified Arabic"/>
          <w:b/>
          <w:bCs/>
          <w:sz w:val="24"/>
          <w:szCs w:val="24"/>
          <w:rtl/>
          <w:lang w:val="en-US" w:bidi="ar-DZ"/>
        </w:rPr>
        <w:t>:</w:t>
      </w:r>
      <w:bookmarkEnd w:id="550"/>
    </w:p>
    <w:p w:rsidR="000635D8" w:rsidRDefault="000635D8" w:rsidP="008B208D">
      <w:pPr>
        <w:bidi/>
        <w:spacing w:after="0"/>
        <w:ind w:firstLine="283"/>
        <w:jc w:val="both"/>
        <w:rPr>
          <w:rFonts w:ascii="Simplified Arabic" w:hAnsi="Simplified Arabic" w:cs="Simplified Arabic"/>
          <w:sz w:val="24"/>
          <w:szCs w:val="24"/>
          <w:rtl/>
          <w:lang w:val="en-US" w:bidi="ar-DZ"/>
        </w:rPr>
      </w:pPr>
      <w:r w:rsidRPr="00751762">
        <w:rPr>
          <w:rFonts w:ascii="Simplified Arabic" w:hAnsi="Simplified Arabic" w:cs="Simplified Arabic" w:hint="cs"/>
          <w:sz w:val="24"/>
          <w:szCs w:val="24"/>
          <w:rtl/>
          <w:lang w:val="en-US" w:bidi="ar-DZ"/>
        </w:rPr>
        <w:t xml:space="preserve">يعد </w:t>
      </w:r>
      <w:r w:rsidR="005071CB">
        <w:rPr>
          <w:rFonts w:ascii="Simplified Arabic" w:hAnsi="Simplified Arabic" w:cs="Simplified Arabic" w:hint="cs"/>
          <w:sz w:val="24"/>
          <w:szCs w:val="24"/>
          <w:rtl/>
        </w:rPr>
        <w:t>استعمال</w:t>
      </w:r>
      <w:r w:rsidRPr="00751762">
        <w:rPr>
          <w:rFonts w:ascii="Simplified Arabic" w:hAnsi="Simplified Arabic" w:cs="Simplified Arabic" w:hint="cs"/>
          <w:sz w:val="24"/>
          <w:szCs w:val="24"/>
          <w:rtl/>
          <w:lang w:val="en-US" w:bidi="ar-DZ"/>
        </w:rPr>
        <w:t xml:space="preserve"> الأرض الحضرية غير المناسبة التي تقلل من نفاذية الاسطح الى جانب نظام الصرف الصحي السيئ</w:t>
      </w:r>
      <w:r>
        <w:rPr>
          <w:rFonts w:ascii="Simplified Arabic" w:hAnsi="Simplified Arabic" w:cs="Simplified Arabic" w:hint="cs"/>
          <w:sz w:val="24"/>
          <w:szCs w:val="24"/>
          <w:rtl/>
          <w:lang w:val="en-US" w:bidi="ar-DZ"/>
        </w:rPr>
        <w:t>، هي</w:t>
      </w:r>
      <w:r w:rsidRPr="00751762">
        <w:rPr>
          <w:rFonts w:ascii="Simplified Arabic" w:hAnsi="Simplified Arabic" w:cs="Simplified Arabic" w:hint="cs"/>
          <w:sz w:val="24"/>
          <w:szCs w:val="24"/>
          <w:rtl/>
          <w:lang w:val="en-US" w:bidi="ar-DZ"/>
        </w:rPr>
        <w:t xml:space="preserve"> احد الاسباب التي تزيد من</w:t>
      </w:r>
      <w:r>
        <w:rPr>
          <w:rFonts w:ascii="Simplified Arabic" w:hAnsi="Simplified Arabic" w:cs="Simplified Arabic" w:hint="cs"/>
          <w:sz w:val="24"/>
          <w:szCs w:val="24"/>
          <w:rtl/>
          <w:lang w:val="en-US" w:bidi="ar-DZ"/>
        </w:rPr>
        <w:t xml:space="preserve"> السيلان السطحي لمياه الامطار وغيرها</w:t>
      </w:r>
      <w:r w:rsidRPr="00751762">
        <w:rPr>
          <w:rFonts w:ascii="Simplified Arabic" w:hAnsi="Simplified Arabic" w:cs="Simplified Arabic"/>
          <w:sz w:val="24"/>
          <w:szCs w:val="24"/>
          <w:rtl/>
          <w:lang w:val="en-US" w:bidi="ar-DZ"/>
        </w:rPr>
        <w:t>.</w:t>
      </w:r>
      <w:r w:rsidRPr="001351ED">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الفيضانات الحضرية عادة ما تكون ناجمة عن الامطار الشديدة بالإضافة الى انسداد انظمة الصرف الصحي </w:t>
      </w:r>
      <w:r w:rsidRPr="008269EA">
        <w:rPr>
          <w:rFonts w:asciiTheme="majorBidi" w:hAnsiTheme="majorBidi" w:cstheme="majorBidi"/>
          <w:sz w:val="24"/>
          <w:szCs w:val="24"/>
        </w:rPr>
        <w:t>(</w:t>
      </w:r>
      <w:r w:rsidRPr="00173D34">
        <w:rPr>
          <w:rFonts w:asciiTheme="majorBidi" w:hAnsiTheme="majorBidi" w:cstheme="majorBidi"/>
          <w:sz w:val="24"/>
          <w:szCs w:val="24"/>
        </w:rPr>
        <w:t>Balica</w:t>
      </w:r>
      <w:r w:rsidRPr="008269EA">
        <w:rPr>
          <w:rFonts w:asciiTheme="majorBidi" w:hAnsiTheme="majorBidi" w:cstheme="majorBidi"/>
          <w:sz w:val="24"/>
          <w:szCs w:val="24"/>
        </w:rPr>
        <w:t xml:space="preserve"> </w:t>
      </w:r>
      <w:r w:rsidRPr="008269EA">
        <w:rPr>
          <w:rFonts w:asciiTheme="majorBidi" w:eastAsia="Corbel-Identity-H" w:hAnsiTheme="majorBidi" w:cstheme="majorBidi"/>
          <w:sz w:val="24"/>
          <w:szCs w:val="24"/>
          <w:lang w:eastAsia="fr-FR"/>
        </w:rPr>
        <w:t>et al., 2012</w:t>
      </w:r>
      <w:r w:rsidRPr="008B208D">
        <w:rPr>
          <w:rFonts w:ascii="Simplified Arabic" w:hAnsi="Simplified Arabic" w:cs="Simplified Arabic"/>
          <w:sz w:val="24"/>
          <w:szCs w:val="24"/>
          <w:lang w:val="en-US" w:bidi="ar-DZ"/>
        </w:rPr>
        <w:t>)</w:t>
      </w:r>
      <w:r w:rsidRPr="008B208D">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w:t>
      </w:r>
      <w:r w:rsidR="008B208D">
        <w:rPr>
          <w:rFonts w:ascii="Simplified Arabic" w:hAnsi="Simplified Arabic" w:cs="Simplified Arabic" w:hint="cs"/>
          <w:sz w:val="24"/>
          <w:szCs w:val="24"/>
          <w:rtl/>
          <w:lang w:val="en-US" w:bidi="ar-DZ"/>
        </w:rPr>
        <w:t xml:space="preserve">كما </w:t>
      </w:r>
      <w:r w:rsidR="007778DE" w:rsidRPr="008B208D">
        <w:rPr>
          <w:rFonts w:ascii="Simplified Arabic" w:hAnsi="Simplified Arabic" w:cs="Simplified Arabic" w:hint="cs"/>
          <w:sz w:val="24"/>
          <w:szCs w:val="24"/>
          <w:rtl/>
          <w:lang w:val="en-US" w:bidi="ar-DZ"/>
        </w:rPr>
        <w:t xml:space="preserve"> </w:t>
      </w:r>
      <w:r w:rsidR="008B208D" w:rsidRPr="008B208D">
        <w:rPr>
          <w:rFonts w:ascii="Simplified Arabic" w:hAnsi="Simplified Arabic" w:cs="Simplified Arabic" w:hint="cs"/>
          <w:sz w:val="24"/>
          <w:szCs w:val="24"/>
          <w:rtl/>
          <w:lang w:val="en-US" w:bidi="ar-DZ"/>
        </w:rPr>
        <w:t>ال</w:t>
      </w:r>
      <w:r w:rsidR="007778DE" w:rsidRPr="008B208D">
        <w:rPr>
          <w:rFonts w:ascii="Simplified Arabic" w:hAnsi="Simplified Arabic" w:cs="Simplified Arabic"/>
          <w:sz w:val="24"/>
          <w:szCs w:val="24"/>
          <w:rtl/>
          <w:lang w:val="en-US" w:bidi="ar-DZ"/>
        </w:rPr>
        <w:t xml:space="preserve">بناء في المناطق المعرضة للأخطار الطبيعية (الفيضانات) </w:t>
      </w:r>
      <w:r w:rsidR="008B208D">
        <w:rPr>
          <w:rFonts w:ascii="Simplified Arabic" w:hAnsi="Simplified Arabic" w:cs="Simplified Arabic" w:hint="cs"/>
          <w:sz w:val="24"/>
          <w:szCs w:val="24"/>
          <w:rtl/>
          <w:lang w:val="en-US" w:bidi="ar-DZ"/>
        </w:rPr>
        <w:t>ي</w:t>
      </w:r>
      <w:r w:rsidR="007778DE" w:rsidRPr="008B208D">
        <w:rPr>
          <w:rFonts w:ascii="Simplified Arabic" w:hAnsi="Simplified Arabic" w:cs="Simplified Arabic"/>
          <w:sz w:val="24"/>
          <w:szCs w:val="24"/>
          <w:rtl/>
          <w:lang w:val="en-US" w:bidi="ar-DZ"/>
        </w:rPr>
        <w:t>ؤدي إلى مضاعفة حجم الكارثة إن وجدت</w:t>
      </w:r>
      <w:r w:rsidR="008B208D" w:rsidRPr="008B208D">
        <w:rPr>
          <w:rFonts w:ascii="Simplified Arabic" w:hAnsi="Simplified Arabic" w:cs="Simplified Arabic" w:hint="cs"/>
          <w:sz w:val="24"/>
          <w:szCs w:val="24"/>
          <w:rtl/>
          <w:lang w:val="en-US" w:bidi="ar-DZ"/>
        </w:rPr>
        <w:t xml:space="preserve"> </w:t>
      </w:r>
      <w:r w:rsidR="008B208D" w:rsidRPr="008B208D">
        <w:rPr>
          <w:rFonts w:asciiTheme="majorBidi" w:eastAsia="Times New Roman" w:hAnsiTheme="majorBidi" w:cstheme="majorBidi"/>
          <w:color w:val="000000"/>
          <w:sz w:val="24"/>
          <w:szCs w:val="24"/>
          <w:lang w:val="en-US" w:eastAsia="fr-FR"/>
        </w:rPr>
        <w:t>Ramadane Chikouche &amp; Hadjab, 2022)</w:t>
      </w:r>
      <w:r w:rsidR="008B208D" w:rsidRPr="008B208D">
        <w:rPr>
          <w:rFonts w:asciiTheme="majorBidi" w:hAnsiTheme="majorBidi" w:cstheme="majorBidi"/>
          <w:sz w:val="24"/>
          <w:szCs w:val="24"/>
          <w:rtl/>
          <w:lang w:val="en-US" w:bidi="ar-DZ"/>
        </w:rPr>
        <w:t>)</w:t>
      </w:r>
      <w:r w:rsidR="007778DE" w:rsidRPr="008B208D">
        <w:rPr>
          <w:rFonts w:ascii="Simplified Arabic" w:hAnsi="Simplified Arabic" w:cs="Simplified Arabic"/>
          <w:sz w:val="24"/>
          <w:szCs w:val="24"/>
          <w:lang w:val="en-US" w:bidi="ar-DZ"/>
        </w:rPr>
        <w:t>.</w:t>
      </w:r>
    </w:p>
    <w:p w:rsidR="000635D8" w:rsidRDefault="000635D8" w:rsidP="00AB3087">
      <w:pPr>
        <w:bidi/>
        <w:spacing w:after="0"/>
        <w:ind w:firstLine="283"/>
        <w:jc w:val="both"/>
        <w:rPr>
          <w:rFonts w:ascii="Simplified Arabic" w:eastAsia="Times New Roman" w:hAnsi="Simplified Arabic" w:cs="Simplified Arabic"/>
          <w:b/>
          <w:color w:val="000000" w:themeColor="text1"/>
          <w:sz w:val="24"/>
          <w:szCs w:val="24"/>
          <w:rtl/>
          <w:lang w:eastAsia="fr-FR"/>
        </w:rPr>
      </w:pPr>
      <w:r>
        <w:rPr>
          <w:rFonts w:ascii="Simplified Arabic" w:hAnsi="Simplified Arabic" w:cs="Simplified Arabic" w:hint="cs"/>
          <w:sz w:val="24"/>
          <w:szCs w:val="24"/>
          <w:rtl/>
          <w:lang w:val="en-US" w:bidi="ar-DZ"/>
        </w:rPr>
        <w:lastRenderedPageBreak/>
        <w:t>الفيضانات الحضرية</w:t>
      </w:r>
      <w:r w:rsidRPr="00751762">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 xml:space="preserve">بمدينة بوسعادة، غالبا ما تكون من النوع الذي يحدث بشدة، متسببة في خسائر بشرية ومادية، الجدول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4-6</w:t>
      </w:r>
      <w:r w:rsidR="00BA11BE" w:rsidRPr="0063639A">
        <w:rPr>
          <w:rFonts w:ascii="Simplified Arabic" w:hAnsi="Simplified Arabic" w:cs="Simplified Arabic" w:hint="cs"/>
          <w:sz w:val="24"/>
          <w:szCs w:val="24"/>
          <w:rtl/>
        </w:rPr>
        <w:t>)</w:t>
      </w:r>
      <w:r>
        <w:rPr>
          <w:rFonts w:ascii="Simplified Arabic" w:hAnsi="Simplified Arabic" w:cs="Simplified Arabic" w:hint="cs"/>
          <w:sz w:val="24"/>
          <w:szCs w:val="24"/>
          <w:rtl/>
          <w:lang w:val="en-US" w:bidi="ar-DZ"/>
        </w:rPr>
        <w:t>، اضافة الى ال</w:t>
      </w:r>
      <w:r w:rsidR="00E61FD9">
        <w:rPr>
          <w:rFonts w:ascii="Simplified Arabic" w:hAnsi="Simplified Arabic" w:cs="Simplified Arabic" w:hint="cs"/>
          <w:sz w:val="24"/>
          <w:szCs w:val="24"/>
          <w:rtl/>
          <w:lang w:val="en-US" w:bidi="ar-DZ"/>
        </w:rPr>
        <w:t>فوضى و اضطراب أداء نظام خدماتها</w:t>
      </w:r>
      <w:r>
        <w:rPr>
          <w:rFonts w:ascii="Simplified Arabic" w:hAnsi="Simplified Arabic" w:cs="Simplified Arabic" w:hint="cs"/>
          <w:sz w:val="24"/>
          <w:szCs w:val="24"/>
          <w:rtl/>
          <w:lang w:val="en-US" w:bidi="ar-DZ"/>
        </w:rPr>
        <w:t>، تحت ظروف طبوغرافية تتميز بالانحدارات الشديدة</w:t>
      </w:r>
      <w:r w:rsidRPr="00455888">
        <w:rPr>
          <w:rFonts w:ascii="Simplified Arabic" w:eastAsia="Times New Roman" w:hAnsi="Simplified Arabic" w:cs="Simplified Arabic"/>
          <w:b/>
          <w:color w:val="000000" w:themeColor="text1"/>
          <w:sz w:val="24"/>
          <w:szCs w:val="24"/>
          <w:rtl/>
          <w:lang w:eastAsia="fr-FR"/>
        </w:rPr>
        <w:t>.</w:t>
      </w:r>
    </w:p>
    <w:p w:rsidR="000635D8" w:rsidRDefault="000635D8" w:rsidP="00F76D99">
      <w:pPr>
        <w:pStyle w:val="Tableau"/>
        <w:rPr>
          <w:rtl/>
          <w:lang w:eastAsia="fr-FR"/>
        </w:rPr>
      </w:pPr>
      <w:bookmarkStart w:id="551" w:name="_Toc157612988"/>
      <w:bookmarkStart w:id="552" w:name="_Toc171803608"/>
      <w:r>
        <w:rPr>
          <w:rFonts w:hint="cs"/>
          <w:rtl/>
          <w:lang w:eastAsia="fr-FR"/>
        </w:rPr>
        <w:t xml:space="preserve">الجدول </w:t>
      </w:r>
      <w:r w:rsidR="00BA11BE" w:rsidRPr="0063639A">
        <w:rPr>
          <w:rFonts w:hint="cs"/>
          <w:rtl/>
        </w:rPr>
        <w:t>(</w:t>
      </w:r>
      <w:r w:rsidR="00BA11BE">
        <w:rPr>
          <w:rFonts w:hint="cs"/>
          <w:rtl/>
        </w:rPr>
        <w:t>4-6</w:t>
      </w:r>
      <w:r w:rsidR="00BA11BE" w:rsidRPr="0063639A">
        <w:rPr>
          <w:rFonts w:hint="cs"/>
          <w:rtl/>
        </w:rPr>
        <w:t>)</w:t>
      </w:r>
      <w:r>
        <w:rPr>
          <w:rFonts w:hint="cs"/>
          <w:rtl/>
          <w:lang w:eastAsia="fr-FR"/>
        </w:rPr>
        <w:t>: توزيع عدد تدخلات</w:t>
      </w:r>
      <w:r w:rsidRPr="005660C4">
        <w:rPr>
          <w:rtl/>
          <w:lang w:eastAsia="fr-FR"/>
        </w:rPr>
        <w:t xml:space="preserve"> </w:t>
      </w:r>
      <w:r>
        <w:rPr>
          <w:rFonts w:hint="cs"/>
          <w:rtl/>
          <w:lang w:eastAsia="fr-FR"/>
        </w:rPr>
        <w:t>الحماية المدنية</w:t>
      </w:r>
      <w:bookmarkEnd w:id="551"/>
      <w:bookmarkEnd w:id="552"/>
    </w:p>
    <w:p w:rsidR="000635D8" w:rsidRPr="00370143" w:rsidRDefault="000635D8" w:rsidP="005506ED">
      <w:pPr>
        <w:bidi/>
        <w:spacing w:line="240" w:lineRule="auto"/>
        <w:jc w:val="center"/>
        <w:rPr>
          <w:rFonts w:ascii="Simplified Arabic" w:hAnsi="Simplified Arabic" w:cs="Simplified Arabic"/>
          <w:bCs/>
          <w:sz w:val="24"/>
          <w:szCs w:val="24"/>
          <w:rtl/>
          <w:lang w:val="en-US" w:bidi="ar-DZ"/>
        </w:rPr>
      </w:pPr>
      <w:r w:rsidRPr="00370143">
        <w:rPr>
          <w:rFonts w:ascii="Simplified Arabic" w:eastAsia="Times New Roman" w:hAnsi="Simplified Arabic" w:cs="Simplified Arabic"/>
          <w:bCs/>
          <w:color w:val="000000" w:themeColor="text1"/>
          <w:sz w:val="24"/>
          <w:szCs w:val="24"/>
          <w:rtl/>
          <w:lang w:eastAsia="fr-FR"/>
        </w:rPr>
        <w:t>المصدر: (</w:t>
      </w:r>
      <w:r w:rsidRPr="00370143">
        <w:rPr>
          <w:rFonts w:ascii="Simplified Arabic" w:eastAsia="Corbel-Identity-H" w:hAnsi="Simplified Arabic" w:cs="Simplified Arabic"/>
          <w:bCs/>
          <w:sz w:val="24"/>
          <w:szCs w:val="24"/>
          <w:rtl/>
          <w:lang w:eastAsia="fr-FR"/>
        </w:rPr>
        <w:t>مديرية الحماية المدنية بالمسيلة، 2022</w:t>
      </w:r>
      <w:r w:rsidRPr="00370143">
        <w:rPr>
          <w:rFonts w:ascii="Simplified Arabic" w:eastAsia="Times New Roman" w:hAnsi="Simplified Arabic" w:cs="Simplified Arabic"/>
          <w:bCs/>
          <w:color w:val="000000" w:themeColor="text1"/>
          <w:sz w:val="24"/>
          <w:szCs w:val="24"/>
          <w:rtl/>
          <w:lang w:eastAsia="fr-FR"/>
        </w:rPr>
        <w:t>)</w:t>
      </w:r>
      <w:r w:rsidRPr="00370143">
        <w:rPr>
          <w:rFonts w:ascii="Simplified Arabic" w:eastAsia="Corbel-Identity-H" w:hAnsi="Simplified Arabic" w:cs="Simplified Arabic"/>
          <w:bCs/>
          <w:sz w:val="24"/>
          <w:szCs w:val="24"/>
          <w:rtl/>
          <w:lang w:eastAsia="fr-FR"/>
        </w:rPr>
        <w:t xml:space="preserve"> </w:t>
      </w:r>
    </w:p>
    <w:tbl>
      <w:tblPr>
        <w:tblStyle w:val="Grilledutableau"/>
        <w:bidiVisual/>
        <w:tblW w:w="0" w:type="auto"/>
        <w:jc w:val="center"/>
        <w:tblInd w:w="108" w:type="dxa"/>
        <w:tblLook w:val="04A0" w:firstRow="1" w:lastRow="0" w:firstColumn="1" w:lastColumn="0" w:noHBand="0" w:noVBand="1"/>
      </w:tblPr>
      <w:tblGrid>
        <w:gridCol w:w="2150"/>
        <w:gridCol w:w="1276"/>
        <w:gridCol w:w="2126"/>
        <w:gridCol w:w="2835"/>
      </w:tblGrid>
      <w:tr w:rsidR="000635D8" w:rsidRPr="00654FD1" w:rsidTr="001B3B52">
        <w:trPr>
          <w:trHeight w:val="398"/>
          <w:jc w:val="center"/>
        </w:trPr>
        <w:tc>
          <w:tcPr>
            <w:tcW w:w="2150"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السنة</w:t>
            </w:r>
          </w:p>
        </w:tc>
        <w:tc>
          <w:tcPr>
            <w:tcW w:w="1276"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عدد التدخلات</w:t>
            </w:r>
          </w:p>
        </w:tc>
        <w:tc>
          <w:tcPr>
            <w:tcW w:w="2126"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الاضرار البشرية</w:t>
            </w:r>
          </w:p>
        </w:tc>
        <w:tc>
          <w:tcPr>
            <w:tcW w:w="2835"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الاضرار المادية</w:t>
            </w:r>
          </w:p>
        </w:tc>
      </w:tr>
      <w:tr w:rsidR="000635D8" w:rsidRPr="00654FD1" w:rsidTr="001B3B52">
        <w:trPr>
          <w:trHeight w:val="398"/>
          <w:jc w:val="center"/>
        </w:trPr>
        <w:tc>
          <w:tcPr>
            <w:tcW w:w="2150"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 xml:space="preserve">10 </w:t>
            </w:r>
            <w:r w:rsidRPr="00654FD1">
              <w:rPr>
                <w:rFonts w:ascii="Simplified Arabic" w:hAnsi="Simplified Arabic" w:cs="Simplified Arabic"/>
                <w:sz w:val="24"/>
                <w:szCs w:val="24"/>
                <w:rtl/>
                <w:lang w:bidi="ar-DZ"/>
              </w:rPr>
              <w:t>سبتمبر 1992</w:t>
            </w:r>
          </w:p>
        </w:tc>
        <w:tc>
          <w:tcPr>
            <w:tcW w:w="1276"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01</w:t>
            </w:r>
          </w:p>
        </w:tc>
        <w:tc>
          <w:tcPr>
            <w:tcW w:w="2126"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 xml:space="preserve">01 قتيل، 01 </w:t>
            </w:r>
            <w:r>
              <w:rPr>
                <w:rFonts w:ascii="Simplified Arabic" w:hAnsi="Simplified Arabic" w:cs="Simplified Arabic" w:hint="cs"/>
                <w:sz w:val="24"/>
                <w:szCs w:val="24"/>
                <w:rtl/>
                <w:lang w:bidi="ar-DZ"/>
              </w:rPr>
              <w:t>جريح</w:t>
            </w:r>
          </w:p>
        </w:tc>
        <w:tc>
          <w:tcPr>
            <w:tcW w:w="2835"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انهيار 09 منازل</w:t>
            </w:r>
          </w:p>
        </w:tc>
      </w:tr>
      <w:tr w:rsidR="000635D8" w:rsidRPr="00654FD1" w:rsidTr="001B3B52">
        <w:trPr>
          <w:trHeight w:val="398"/>
          <w:jc w:val="center"/>
        </w:trPr>
        <w:tc>
          <w:tcPr>
            <w:tcW w:w="2150"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 xml:space="preserve">27 سبتمبر </w:t>
            </w:r>
            <w:r w:rsidRPr="00654FD1">
              <w:rPr>
                <w:rFonts w:ascii="Simplified Arabic" w:hAnsi="Simplified Arabic" w:cs="Simplified Arabic"/>
                <w:sz w:val="24"/>
                <w:szCs w:val="24"/>
                <w:rtl/>
                <w:lang w:bidi="ar-DZ"/>
              </w:rPr>
              <w:t>2000</w:t>
            </w:r>
          </w:p>
        </w:tc>
        <w:tc>
          <w:tcPr>
            <w:tcW w:w="1276"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07</w:t>
            </w:r>
          </w:p>
        </w:tc>
        <w:tc>
          <w:tcPr>
            <w:tcW w:w="2126"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 xml:space="preserve">02 </w:t>
            </w:r>
            <w:r>
              <w:rPr>
                <w:rFonts w:ascii="Simplified Arabic" w:hAnsi="Simplified Arabic" w:cs="Simplified Arabic" w:hint="cs"/>
                <w:sz w:val="24"/>
                <w:szCs w:val="24"/>
                <w:rtl/>
                <w:lang w:bidi="ar-DZ"/>
              </w:rPr>
              <w:t>قتلى</w:t>
            </w:r>
          </w:p>
        </w:tc>
        <w:tc>
          <w:tcPr>
            <w:tcW w:w="2835"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34</w:t>
            </w:r>
            <w:r w:rsidRPr="00654FD1">
              <w:rPr>
                <w:rFonts w:ascii="Simplified Arabic" w:hAnsi="Simplified Arabic" w:cs="Simplified Arabic"/>
                <w:sz w:val="24"/>
                <w:szCs w:val="24"/>
                <w:rtl/>
                <w:lang w:bidi="ar-DZ"/>
              </w:rPr>
              <w:t xml:space="preserve"> اسرة بلا مأوى،</w:t>
            </w:r>
            <w:r w:rsidRPr="00654FD1">
              <w:rPr>
                <w:rFonts w:ascii="Simplified Arabic" w:hAnsi="Simplified Arabic" w:cs="Simplified Arabic" w:hint="cs"/>
                <w:sz w:val="24"/>
                <w:szCs w:val="24"/>
                <w:rtl/>
                <w:lang w:bidi="ar-DZ"/>
              </w:rPr>
              <w:t>31</w:t>
            </w:r>
            <w:r w:rsidRPr="00654FD1">
              <w:rPr>
                <w:rFonts w:ascii="Simplified Arabic" w:hAnsi="Simplified Arabic" w:cs="Simplified Arabic"/>
                <w:sz w:val="24"/>
                <w:szCs w:val="24"/>
                <w:rtl/>
                <w:lang w:bidi="ar-DZ"/>
              </w:rPr>
              <w:t xml:space="preserve"> مبنى منهار</w:t>
            </w:r>
          </w:p>
        </w:tc>
      </w:tr>
      <w:tr w:rsidR="000635D8" w:rsidRPr="00654FD1" w:rsidTr="001B3B52">
        <w:trPr>
          <w:trHeight w:val="398"/>
          <w:jc w:val="center"/>
        </w:trPr>
        <w:tc>
          <w:tcPr>
            <w:tcW w:w="2150"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 xml:space="preserve">15 نوفمبر </w:t>
            </w:r>
            <w:r w:rsidRPr="00654FD1">
              <w:rPr>
                <w:rFonts w:ascii="Simplified Arabic" w:hAnsi="Simplified Arabic" w:cs="Simplified Arabic"/>
                <w:sz w:val="24"/>
                <w:szCs w:val="24"/>
                <w:rtl/>
                <w:lang w:bidi="ar-DZ"/>
              </w:rPr>
              <w:t>2001</w:t>
            </w:r>
          </w:p>
        </w:tc>
        <w:tc>
          <w:tcPr>
            <w:tcW w:w="1276"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03</w:t>
            </w:r>
          </w:p>
        </w:tc>
        <w:tc>
          <w:tcPr>
            <w:tcW w:w="2126"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w:t>
            </w:r>
          </w:p>
        </w:tc>
        <w:tc>
          <w:tcPr>
            <w:tcW w:w="2835"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6 اسر بلا مأوى، انهيار جسر</w:t>
            </w:r>
          </w:p>
        </w:tc>
      </w:tr>
      <w:tr w:rsidR="000635D8" w:rsidRPr="00654FD1" w:rsidTr="001B3B52">
        <w:trPr>
          <w:trHeight w:val="398"/>
          <w:jc w:val="center"/>
        </w:trPr>
        <w:tc>
          <w:tcPr>
            <w:tcW w:w="2150"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 xml:space="preserve">21 و 23 سبتمبر </w:t>
            </w:r>
            <w:r w:rsidRPr="00654FD1">
              <w:rPr>
                <w:rFonts w:ascii="Simplified Arabic" w:hAnsi="Simplified Arabic" w:cs="Simplified Arabic"/>
                <w:sz w:val="24"/>
                <w:szCs w:val="24"/>
                <w:rtl/>
                <w:lang w:bidi="ar-DZ"/>
              </w:rPr>
              <w:t>2007</w:t>
            </w:r>
          </w:p>
        </w:tc>
        <w:tc>
          <w:tcPr>
            <w:tcW w:w="1276"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05</w:t>
            </w:r>
          </w:p>
        </w:tc>
        <w:tc>
          <w:tcPr>
            <w:tcW w:w="2126"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 xml:space="preserve">2 </w:t>
            </w:r>
            <w:r>
              <w:rPr>
                <w:rFonts w:ascii="Simplified Arabic" w:hAnsi="Simplified Arabic" w:cs="Simplified Arabic" w:hint="cs"/>
                <w:sz w:val="24"/>
                <w:szCs w:val="24"/>
                <w:rtl/>
                <w:lang w:bidi="ar-DZ"/>
              </w:rPr>
              <w:t>قتلى</w:t>
            </w:r>
            <w:r w:rsidRPr="00654FD1">
              <w:rPr>
                <w:rFonts w:ascii="Simplified Arabic" w:hAnsi="Simplified Arabic" w:cs="Simplified Arabic"/>
                <w:sz w:val="24"/>
                <w:szCs w:val="24"/>
                <w:rtl/>
                <w:lang w:bidi="ar-DZ"/>
              </w:rPr>
              <w:t>، انقاذ 3اشخاص</w:t>
            </w:r>
          </w:p>
        </w:tc>
        <w:tc>
          <w:tcPr>
            <w:tcW w:w="2835"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خسائر في المباني والطرقات</w:t>
            </w:r>
          </w:p>
        </w:tc>
      </w:tr>
      <w:tr w:rsidR="000635D8" w:rsidRPr="00654FD1" w:rsidTr="001B3B52">
        <w:trPr>
          <w:trHeight w:val="398"/>
          <w:jc w:val="center"/>
        </w:trPr>
        <w:tc>
          <w:tcPr>
            <w:tcW w:w="2150"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 xml:space="preserve">05 و 06 ماي </w:t>
            </w:r>
            <w:r w:rsidRPr="00654FD1">
              <w:rPr>
                <w:rFonts w:ascii="Simplified Arabic" w:hAnsi="Simplified Arabic" w:cs="Simplified Arabic"/>
                <w:sz w:val="24"/>
                <w:szCs w:val="24"/>
                <w:rtl/>
                <w:lang w:bidi="ar-DZ"/>
              </w:rPr>
              <w:t>2021</w:t>
            </w:r>
          </w:p>
        </w:tc>
        <w:tc>
          <w:tcPr>
            <w:tcW w:w="1276" w:type="dxa"/>
            <w:vAlign w:val="center"/>
          </w:tcPr>
          <w:p w:rsidR="000635D8" w:rsidRPr="00654FD1" w:rsidRDefault="000635D8" w:rsidP="000635D8">
            <w:pPr>
              <w:bidi/>
              <w:jc w:val="center"/>
              <w:rPr>
                <w:rFonts w:ascii="Simplified Arabic" w:hAnsi="Simplified Arabic" w:cs="Simplified Arabic"/>
                <w:sz w:val="24"/>
                <w:szCs w:val="24"/>
                <w:rtl/>
                <w:lang w:bidi="ar-DZ"/>
              </w:rPr>
            </w:pPr>
            <w:r w:rsidRPr="00654FD1">
              <w:rPr>
                <w:rFonts w:ascii="Simplified Arabic" w:hAnsi="Simplified Arabic" w:cs="Simplified Arabic" w:hint="cs"/>
                <w:sz w:val="24"/>
                <w:szCs w:val="24"/>
                <w:rtl/>
                <w:lang w:bidi="ar-DZ"/>
              </w:rPr>
              <w:t>04</w:t>
            </w:r>
          </w:p>
        </w:tc>
        <w:tc>
          <w:tcPr>
            <w:tcW w:w="2126"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9 قتلى</w:t>
            </w:r>
          </w:p>
        </w:tc>
        <w:tc>
          <w:tcPr>
            <w:tcW w:w="2835" w:type="dxa"/>
            <w:vAlign w:val="center"/>
          </w:tcPr>
          <w:p w:rsidR="000635D8" w:rsidRPr="00654FD1" w:rsidRDefault="000635D8" w:rsidP="000635D8">
            <w:pPr>
              <w:bidi/>
              <w:rPr>
                <w:rFonts w:ascii="Simplified Arabic" w:hAnsi="Simplified Arabic" w:cs="Simplified Arabic"/>
                <w:sz w:val="24"/>
                <w:szCs w:val="24"/>
                <w:rtl/>
                <w:lang w:bidi="ar-DZ"/>
              </w:rPr>
            </w:pPr>
            <w:r w:rsidRPr="00654FD1">
              <w:rPr>
                <w:rFonts w:ascii="Simplified Arabic" w:hAnsi="Simplified Arabic" w:cs="Simplified Arabic"/>
                <w:sz w:val="24"/>
                <w:szCs w:val="24"/>
                <w:rtl/>
                <w:lang w:bidi="ar-DZ"/>
              </w:rPr>
              <w:t>3 سيارات محطمة</w:t>
            </w:r>
          </w:p>
        </w:tc>
      </w:tr>
    </w:tbl>
    <w:p w:rsidR="000635D8" w:rsidRDefault="000635D8" w:rsidP="005506ED">
      <w:pPr>
        <w:bidi/>
        <w:spacing w:before="240" w:after="0"/>
        <w:ind w:firstLine="283"/>
        <w:jc w:val="both"/>
        <w:rPr>
          <w:rFonts w:ascii="Simplified Arabic" w:eastAsia="Times New Roman" w:hAnsi="Simplified Arabic" w:cs="Simplified Arabic"/>
          <w:b/>
          <w:color w:val="000000" w:themeColor="text1"/>
          <w:sz w:val="24"/>
          <w:szCs w:val="24"/>
          <w:rtl/>
          <w:lang w:eastAsia="fr-FR"/>
        </w:rPr>
      </w:pPr>
      <w:r w:rsidRPr="003E1BBD">
        <w:rPr>
          <w:rFonts w:ascii="Simplified Arabic" w:eastAsia="Times New Roman" w:hAnsi="Simplified Arabic" w:cs="Simplified Arabic"/>
          <w:b/>
          <w:color w:val="000000" w:themeColor="text1"/>
          <w:sz w:val="24"/>
          <w:szCs w:val="24"/>
          <w:rtl/>
          <w:lang w:eastAsia="fr-FR"/>
        </w:rPr>
        <w:t xml:space="preserve">عرفت مدينة بوسعادة كمثيلتها من مدن الجزائر، فترات نمو حضري عبر ازمنة مختلفة، أدت هذه الحقيقة إلى </w:t>
      </w:r>
      <w:r>
        <w:rPr>
          <w:rFonts w:ascii="Simplified Arabic" w:eastAsia="Times New Roman" w:hAnsi="Simplified Arabic" w:cs="Simplified Arabic"/>
          <w:b/>
          <w:color w:val="000000" w:themeColor="text1"/>
          <w:sz w:val="24"/>
          <w:szCs w:val="24"/>
          <w:rtl/>
          <w:lang w:eastAsia="fr-FR"/>
        </w:rPr>
        <w:t>ظهور أحياء مخططة</w:t>
      </w:r>
      <w:r>
        <w:rPr>
          <w:rFonts w:ascii="Simplified Arabic" w:eastAsia="Times New Roman" w:hAnsi="Simplified Arabic" w:cs="Simplified Arabic" w:hint="cs"/>
          <w:b/>
          <w:color w:val="000000" w:themeColor="text1"/>
          <w:sz w:val="24"/>
          <w:szCs w:val="24"/>
          <w:rtl/>
          <w:lang w:eastAsia="fr-FR"/>
        </w:rPr>
        <w:t xml:space="preserve"> و</w:t>
      </w:r>
      <w:r w:rsidRPr="003E1BBD">
        <w:rPr>
          <w:rFonts w:ascii="Simplified Arabic" w:eastAsia="Times New Roman" w:hAnsi="Simplified Arabic" w:cs="Simplified Arabic"/>
          <w:b/>
          <w:color w:val="000000" w:themeColor="text1"/>
          <w:sz w:val="24"/>
          <w:szCs w:val="24"/>
          <w:rtl/>
          <w:lang w:eastAsia="fr-FR"/>
        </w:rPr>
        <w:t>اخرى غير مخططة</w:t>
      </w:r>
      <w:r>
        <w:rPr>
          <w:rFonts w:ascii="Simplified Arabic" w:eastAsia="Times New Roman" w:hAnsi="Simplified Arabic" w:cs="Simplified Arabic" w:hint="cs"/>
          <w:b/>
          <w:color w:val="000000" w:themeColor="text1"/>
          <w:sz w:val="24"/>
          <w:szCs w:val="24"/>
          <w:rtl/>
          <w:lang w:eastAsia="fr-FR"/>
        </w:rPr>
        <w:t>،</w:t>
      </w:r>
      <w:r w:rsidRPr="003E1BBD">
        <w:rPr>
          <w:rFonts w:ascii="Simplified Arabic" w:eastAsia="Times New Roman" w:hAnsi="Simplified Arabic" w:cs="Simplified Arabic"/>
          <w:b/>
          <w:color w:val="000000" w:themeColor="text1"/>
          <w:sz w:val="24"/>
          <w:szCs w:val="24"/>
          <w:rtl/>
          <w:lang w:eastAsia="fr-FR"/>
        </w:rPr>
        <w:t xml:space="preserve"> </w:t>
      </w:r>
      <w:r w:rsidRPr="00832AFA">
        <w:rPr>
          <w:rFonts w:ascii="Simplified Arabic" w:eastAsia="Times New Roman" w:hAnsi="Simplified Arabic" w:cs="Simplified Arabic" w:hint="cs"/>
          <w:b/>
          <w:color w:val="000000" w:themeColor="text1"/>
          <w:sz w:val="24"/>
          <w:szCs w:val="24"/>
          <w:rtl/>
          <w:lang w:eastAsia="fr-FR"/>
        </w:rPr>
        <w:t>لا</w:t>
      </w:r>
      <w:r w:rsidRPr="00832AFA">
        <w:rPr>
          <w:rFonts w:ascii="Simplified Arabic" w:eastAsia="Times New Roman" w:hAnsi="Simplified Arabic" w:cs="Simplified Arabic"/>
          <w:b/>
          <w:color w:val="000000" w:themeColor="text1"/>
          <w:sz w:val="24"/>
          <w:szCs w:val="24"/>
          <w:rtl/>
          <w:lang w:eastAsia="fr-FR"/>
        </w:rPr>
        <w:t xml:space="preserve"> </w:t>
      </w:r>
      <w:r w:rsidRPr="00832AFA">
        <w:rPr>
          <w:rFonts w:ascii="Simplified Arabic" w:eastAsia="Times New Roman" w:hAnsi="Simplified Arabic" w:cs="Simplified Arabic" w:hint="cs"/>
          <w:b/>
          <w:color w:val="000000" w:themeColor="text1"/>
          <w:sz w:val="24"/>
          <w:szCs w:val="24"/>
          <w:rtl/>
          <w:lang w:eastAsia="fr-FR"/>
        </w:rPr>
        <w:t>تحترم</w:t>
      </w:r>
      <w:r w:rsidRPr="00832AFA">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مسافة الحماية</w:t>
      </w:r>
      <w:r w:rsidRPr="00832AFA">
        <w:rPr>
          <w:rFonts w:ascii="Simplified Arabic" w:eastAsia="Times New Roman" w:hAnsi="Simplified Arabic" w:cs="Simplified Arabic"/>
          <w:b/>
          <w:color w:val="000000" w:themeColor="text1"/>
          <w:sz w:val="24"/>
          <w:szCs w:val="24"/>
          <w:rtl/>
          <w:lang w:eastAsia="fr-FR"/>
        </w:rPr>
        <w:t xml:space="preserve"> </w:t>
      </w:r>
      <w:r w:rsidRPr="00832AFA">
        <w:rPr>
          <w:rFonts w:ascii="Simplified Arabic" w:eastAsia="Times New Roman" w:hAnsi="Simplified Arabic" w:cs="Simplified Arabic" w:hint="cs"/>
          <w:b/>
          <w:color w:val="000000" w:themeColor="text1"/>
          <w:sz w:val="24"/>
          <w:szCs w:val="24"/>
          <w:rtl/>
          <w:lang w:eastAsia="fr-FR"/>
        </w:rPr>
        <w:t>بين</w:t>
      </w:r>
      <w:r w:rsidRPr="00832AFA">
        <w:rPr>
          <w:rFonts w:ascii="Simplified Arabic" w:eastAsia="Times New Roman" w:hAnsi="Simplified Arabic" w:cs="Simplified Arabic"/>
          <w:b/>
          <w:color w:val="000000" w:themeColor="text1"/>
          <w:sz w:val="24"/>
          <w:szCs w:val="24"/>
          <w:rtl/>
          <w:lang w:eastAsia="fr-FR"/>
        </w:rPr>
        <w:t xml:space="preserve"> </w:t>
      </w:r>
      <w:r w:rsidRPr="00832AFA">
        <w:rPr>
          <w:rFonts w:ascii="Simplified Arabic" w:eastAsia="Times New Roman" w:hAnsi="Simplified Arabic" w:cs="Simplified Arabic" w:hint="cs"/>
          <w:b/>
          <w:color w:val="000000" w:themeColor="text1"/>
          <w:sz w:val="24"/>
          <w:szCs w:val="24"/>
          <w:rtl/>
          <w:lang w:eastAsia="fr-FR"/>
        </w:rPr>
        <w:t>الفضاء</w:t>
      </w:r>
      <w:r w:rsidRPr="00832AFA">
        <w:rPr>
          <w:rFonts w:ascii="Simplified Arabic" w:eastAsia="Times New Roman" w:hAnsi="Simplified Arabic" w:cs="Simplified Arabic"/>
          <w:b/>
          <w:color w:val="000000" w:themeColor="text1"/>
          <w:sz w:val="24"/>
          <w:szCs w:val="24"/>
          <w:rtl/>
          <w:lang w:eastAsia="fr-FR"/>
        </w:rPr>
        <w:t xml:space="preserve"> </w:t>
      </w:r>
      <w:r w:rsidRPr="00832AFA">
        <w:rPr>
          <w:rFonts w:ascii="Simplified Arabic" w:eastAsia="Times New Roman" w:hAnsi="Simplified Arabic" w:cs="Simplified Arabic" w:hint="cs"/>
          <w:b/>
          <w:color w:val="000000" w:themeColor="text1"/>
          <w:sz w:val="24"/>
          <w:szCs w:val="24"/>
          <w:rtl/>
          <w:lang w:eastAsia="fr-FR"/>
        </w:rPr>
        <w:t>الحضري</w:t>
      </w:r>
      <w:r w:rsidRPr="00832AFA">
        <w:rPr>
          <w:rFonts w:ascii="Simplified Arabic" w:eastAsia="Times New Roman" w:hAnsi="Simplified Arabic" w:cs="Simplified Arabic"/>
          <w:b/>
          <w:color w:val="000000" w:themeColor="text1"/>
          <w:sz w:val="24"/>
          <w:szCs w:val="24"/>
          <w:rtl/>
          <w:lang w:eastAsia="fr-FR"/>
        </w:rPr>
        <w:t xml:space="preserve"> </w:t>
      </w:r>
      <w:r w:rsidRPr="00832AFA">
        <w:rPr>
          <w:rFonts w:ascii="Simplified Arabic" w:eastAsia="Times New Roman" w:hAnsi="Simplified Arabic" w:cs="Simplified Arabic" w:hint="cs"/>
          <w:b/>
          <w:color w:val="000000" w:themeColor="text1"/>
          <w:sz w:val="24"/>
          <w:szCs w:val="24"/>
          <w:rtl/>
          <w:lang w:eastAsia="fr-FR"/>
        </w:rPr>
        <w:t>والمساحات</w:t>
      </w:r>
      <w:r w:rsidRPr="00832AFA">
        <w:rPr>
          <w:rFonts w:ascii="Simplified Arabic" w:eastAsia="Times New Roman" w:hAnsi="Simplified Arabic" w:cs="Simplified Arabic"/>
          <w:b/>
          <w:color w:val="000000" w:themeColor="text1"/>
          <w:sz w:val="24"/>
          <w:szCs w:val="24"/>
          <w:rtl/>
          <w:lang w:eastAsia="fr-FR"/>
        </w:rPr>
        <w:t xml:space="preserve"> </w:t>
      </w:r>
      <w:r w:rsidRPr="00832AFA">
        <w:rPr>
          <w:rFonts w:ascii="Simplified Arabic" w:eastAsia="Times New Roman" w:hAnsi="Simplified Arabic" w:cs="Simplified Arabic" w:hint="cs"/>
          <w:b/>
          <w:color w:val="000000" w:themeColor="text1"/>
          <w:sz w:val="24"/>
          <w:szCs w:val="24"/>
          <w:rtl/>
          <w:lang w:eastAsia="fr-FR"/>
        </w:rPr>
        <w:t>الطبيعية</w:t>
      </w:r>
      <w:r w:rsidRPr="00B82366">
        <w:rPr>
          <w:rFonts w:ascii="Simplified Arabic" w:eastAsia="Times New Roman" w:hAnsi="Simplified Arabic" w:cs="Simplified Arabic"/>
          <w:b/>
          <w:color w:val="000000" w:themeColor="text1"/>
          <w:sz w:val="24"/>
          <w:szCs w:val="24"/>
          <w:rtl/>
          <w:lang w:eastAsia="fr-FR"/>
        </w:rPr>
        <w:t xml:space="preserve"> </w:t>
      </w:r>
      <w:r w:rsidRPr="005660C4">
        <w:rPr>
          <w:rFonts w:asciiTheme="majorBidi" w:hAnsiTheme="majorBidi" w:cstheme="majorBidi"/>
          <w:sz w:val="24"/>
          <w:szCs w:val="24"/>
        </w:rPr>
        <w:t>(</w:t>
      </w:r>
      <w:r w:rsidRPr="00173D34">
        <w:rPr>
          <w:rFonts w:asciiTheme="majorBidi" w:hAnsiTheme="majorBidi" w:cstheme="majorBidi"/>
          <w:sz w:val="24"/>
          <w:szCs w:val="24"/>
        </w:rPr>
        <w:t>Nouibat</w:t>
      </w:r>
      <w:r w:rsidRPr="005660C4">
        <w:rPr>
          <w:rFonts w:asciiTheme="majorBidi" w:hAnsiTheme="majorBidi" w:cstheme="majorBidi"/>
          <w:sz w:val="24"/>
          <w:szCs w:val="24"/>
        </w:rPr>
        <w:t xml:space="preserve"> </w:t>
      </w:r>
      <w:r w:rsidRPr="005660C4">
        <w:rPr>
          <w:rFonts w:asciiTheme="majorBidi" w:eastAsia="Corbel-Identity-H" w:hAnsiTheme="majorBidi" w:cstheme="majorBidi"/>
          <w:sz w:val="24"/>
          <w:szCs w:val="24"/>
          <w:lang w:eastAsia="fr-FR"/>
        </w:rPr>
        <w:t>et al., 2014</w:t>
      </w:r>
      <w:r w:rsidRPr="005660C4">
        <w:rPr>
          <w:rFonts w:asciiTheme="majorBidi" w:eastAsia="Times New Roman" w:hAnsiTheme="majorBidi" w:cstheme="majorBidi"/>
          <w:b/>
          <w:color w:val="000000" w:themeColor="text1"/>
          <w:sz w:val="24"/>
          <w:szCs w:val="24"/>
          <w:lang w:eastAsia="fr-FR"/>
        </w:rPr>
        <w:t>)</w:t>
      </w:r>
      <w:r>
        <w:rPr>
          <w:rFonts w:ascii="Simplified Arabic" w:eastAsia="Times New Roman" w:hAnsi="Simplified Arabic" w:cs="Simplified Arabic" w:hint="cs"/>
          <w:b/>
          <w:color w:val="000000" w:themeColor="text1"/>
          <w:sz w:val="24"/>
          <w:szCs w:val="24"/>
          <w:rtl/>
          <w:lang w:eastAsia="fr-FR"/>
        </w:rPr>
        <w:t>.</w:t>
      </w:r>
      <w:r w:rsidRPr="00832AFA">
        <w:rPr>
          <w:rFonts w:ascii="Simplified Arabic" w:eastAsia="Times New Roman" w:hAnsi="Simplified Arabic" w:cs="Simplified Arabic" w:hint="cs"/>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كما انها</w:t>
      </w:r>
      <w:r w:rsidRPr="00832AFA">
        <w:rPr>
          <w:rFonts w:ascii="Simplified Arabic" w:eastAsia="Times New Roman" w:hAnsi="Simplified Arabic" w:cs="Simplified Arabic" w:hint="cs"/>
          <w:b/>
          <w:color w:val="000000" w:themeColor="text1"/>
          <w:sz w:val="24"/>
          <w:szCs w:val="24"/>
          <w:rtl/>
          <w:lang w:eastAsia="fr-FR"/>
        </w:rPr>
        <w:t xml:space="preserve"> لا</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تستفيد</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من</w:t>
      </w:r>
      <w:r w:rsidRPr="00B82366">
        <w:rPr>
          <w:rFonts w:ascii="Simplified Arabic" w:eastAsia="Times New Roman" w:hAnsi="Simplified Arabic" w:cs="Simplified Arabic"/>
          <w:b/>
          <w:color w:val="000000" w:themeColor="text1"/>
          <w:sz w:val="24"/>
          <w:szCs w:val="24"/>
          <w:rtl/>
          <w:lang w:eastAsia="fr-FR"/>
        </w:rPr>
        <w:t xml:space="preserve"> </w:t>
      </w:r>
      <w:r>
        <w:rPr>
          <w:rFonts w:ascii="Simplified Arabic" w:hAnsi="Simplified Arabic" w:cs="Simplified Arabic" w:hint="cs"/>
          <w:color w:val="000000"/>
          <w:sz w:val="24"/>
          <w:szCs w:val="24"/>
          <w:rtl/>
        </w:rPr>
        <w:t>المرافق</w:t>
      </w:r>
      <w:r w:rsidRPr="00B82366">
        <w:rPr>
          <w:rFonts w:ascii="Simplified Arabic" w:eastAsia="Times New Roman" w:hAnsi="Simplified Arabic" w:cs="Simplified Arabic" w:hint="cs"/>
          <w:b/>
          <w:color w:val="000000" w:themeColor="text1"/>
          <w:sz w:val="24"/>
          <w:szCs w:val="24"/>
          <w:rtl/>
          <w:lang w:eastAsia="fr-FR"/>
        </w:rPr>
        <w:t xml:space="preserve"> الأساسية</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الكافية</w:t>
      </w:r>
      <w:r>
        <w:rPr>
          <w:rFonts w:ascii="Simplified Arabic" w:eastAsia="Times New Roman" w:hAnsi="Simplified Arabic" w:cs="Simplified Arabic" w:hint="cs"/>
          <w:b/>
          <w:color w:val="000000" w:themeColor="text1"/>
          <w:sz w:val="24"/>
          <w:szCs w:val="24"/>
          <w:rtl/>
          <w:lang w:eastAsia="fr-FR"/>
        </w:rPr>
        <w:t>،</w:t>
      </w:r>
      <w:r w:rsidRPr="00B82366">
        <w:rPr>
          <w:rFonts w:ascii="Simplified Arabic" w:eastAsia="Times New Roman" w:hAnsi="Simplified Arabic" w:cs="Simplified Arabic"/>
          <w:b/>
          <w:color w:val="000000" w:themeColor="text1"/>
          <w:sz w:val="24"/>
          <w:szCs w:val="24"/>
          <w:rtl/>
          <w:lang w:eastAsia="fr-FR"/>
        </w:rPr>
        <w:t xml:space="preserve"> </w:t>
      </w:r>
      <w:r w:rsidRPr="003E1BBD">
        <w:rPr>
          <w:rFonts w:ascii="Simplified Arabic" w:eastAsia="Times New Roman" w:hAnsi="Simplified Arabic" w:cs="Simplified Arabic"/>
          <w:b/>
          <w:color w:val="000000" w:themeColor="text1"/>
          <w:sz w:val="24"/>
          <w:szCs w:val="24"/>
          <w:rtl/>
          <w:lang w:eastAsia="fr-FR"/>
        </w:rPr>
        <w:t>تسبب</w:t>
      </w:r>
      <w:r>
        <w:rPr>
          <w:rFonts w:ascii="Simplified Arabic" w:eastAsia="Times New Roman" w:hAnsi="Simplified Arabic" w:cs="Simplified Arabic" w:hint="cs"/>
          <w:b/>
          <w:color w:val="000000" w:themeColor="text1"/>
          <w:sz w:val="24"/>
          <w:szCs w:val="24"/>
          <w:rtl/>
          <w:lang w:eastAsia="fr-FR"/>
        </w:rPr>
        <w:t xml:space="preserve"> ذلك</w:t>
      </w:r>
      <w:r w:rsidRPr="003E1BBD">
        <w:rPr>
          <w:rFonts w:ascii="Simplified Arabic" w:eastAsia="Times New Roman" w:hAnsi="Simplified Arabic" w:cs="Simplified Arabic"/>
          <w:b/>
          <w:color w:val="000000" w:themeColor="text1"/>
          <w:sz w:val="24"/>
          <w:szCs w:val="24"/>
          <w:rtl/>
          <w:lang w:eastAsia="fr-FR"/>
        </w:rPr>
        <w:t xml:space="preserve"> في تفاقم ظاهرة التفاوت </w:t>
      </w:r>
      <w:r>
        <w:rPr>
          <w:rFonts w:ascii="Simplified Arabic" w:eastAsia="Times New Roman" w:hAnsi="Simplified Arabic" w:cs="Simplified Arabic" w:hint="cs"/>
          <w:b/>
          <w:color w:val="000000" w:themeColor="text1"/>
          <w:sz w:val="24"/>
          <w:szCs w:val="24"/>
          <w:rtl/>
          <w:lang w:eastAsia="fr-FR"/>
        </w:rPr>
        <w:t xml:space="preserve">المكاني </w:t>
      </w:r>
      <w:r w:rsidRPr="003E1BBD">
        <w:rPr>
          <w:rFonts w:ascii="Simplified Arabic" w:eastAsia="Times New Roman" w:hAnsi="Simplified Arabic" w:cs="Simplified Arabic"/>
          <w:b/>
          <w:color w:val="000000" w:themeColor="text1"/>
          <w:sz w:val="24"/>
          <w:szCs w:val="24"/>
          <w:rtl/>
          <w:lang w:eastAsia="fr-FR"/>
        </w:rPr>
        <w:t xml:space="preserve">بين الاحياء من خلال مرونتها تجاه </w:t>
      </w:r>
      <w:r>
        <w:rPr>
          <w:rFonts w:ascii="Simplified Arabic" w:eastAsia="Times New Roman" w:hAnsi="Simplified Arabic" w:cs="Simplified Arabic" w:hint="cs"/>
          <w:b/>
          <w:color w:val="000000" w:themeColor="text1"/>
          <w:sz w:val="24"/>
          <w:szCs w:val="24"/>
          <w:rtl/>
          <w:lang w:eastAsia="fr-FR"/>
        </w:rPr>
        <w:t>الاضطرابات التي تحدثها مخاطر</w:t>
      </w:r>
      <w:r w:rsidRPr="003E1BBD">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الفيضانات.</w:t>
      </w:r>
      <w:r w:rsidRPr="003E1BBD">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ال</w:t>
      </w:r>
      <w:r w:rsidRPr="003E1BBD">
        <w:rPr>
          <w:rFonts w:ascii="Simplified Arabic" w:eastAsia="Times New Roman" w:hAnsi="Simplified Arabic" w:cs="Simplified Arabic"/>
          <w:b/>
          <w:color w:val="000000" w:themeColor="text1"/>
          <w:sz w:val="24"/>
          <w:szCs w:val="24"/>
          <w:rtl/>
          <w:lang w:eastAsia="fr-FR"/>
        </w:rPr>
        <w:t xml:space="preserve">أمطار </w:t>
      </w:r>
      <w:r>
        <w:rPr>
          <w:rFonts w:ascii="Simplified Arabic" w:eastAsia="Times New Roman" w:hAnsi="Simplified Arabic" w:cs="Simplified Arabic" w:hint="cs"/>
          <w:b/>
          <w:color w:val="000000" w:themeColor="text1"/>
          <w:sz w:val="24"/>
          <w:szCs w:val="24"/>
          <w:rtl/>
          <w:lang w:eastAsia="fr-FR"/>
        </w:rPr>
        <w:t>ال</w:t>
      </w:r>
      <w:r w:rsidRPr="003E1BBD">
        <w:rPr>
          <w:rFonts w:ascii="Simplified Arabic" w:eastAsia="Times New Roman" w:hAnsi="Simplified Arabic" w:cs="Simplified Arabic"/>
          <w:b/>
          <w:color w:val="000000" w:themeColor="text1"/>
          <w:sz w:val="24"/>
          <w:szCs w:val="24"/>
          <w:rtl/>
          <w:lang w:eastAsia="fr-FR"/>
        </w:rPr>
        <w:t xml:space="preserve">غزيرة </w:t>
      </w:r>
      <w:r>
        <w:rPr>
          <w:rFonts w:ascii="Simplified Arabic" w:eastAsia="Times New Roman" w:hAnsi="Simplified Arabic" w:cs="Simplified Arabic" w:hint="cs"/>
          <w:b/>
          <w:color w:val="000000" w:themeColor="text1"/>
          <w:sz w:val="24"/>
          <w:szCs w:val="24"/>
          <w:rtl/>
          <w:lang w:eastAsia="fr-FR"/>
        </w:rPr>
        <w:t xml:space="preserve">التي </w:t>
      </w:r>
      <w:r w:rsidRPr="003E1BBD">
        <w:rPr>
          <w:rFonts w:ascii="Simplified Arabic" w:eastAsia="Times New Roman" w:hAnsi="Simplified Arabic" w:cs="Simplified Arabic"/>
          <w:b/>
          <w:color w:val="000000" w:themeColor="text1"/>
          <w:sz w:val="24"/>
          <w:szCs w:val="24"/>
          <w:rtl/>
          <w:lang w:eastAsia="fr-FR"/>
        </w:rPr>
        <w:t>ضربت مدينة بوسعادة</w:t>
      </w:r>
      <w:r w:rsidRPr="002A311B">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 xml:space="preserve">في </w:t>
      </w:r>
      <w:r w:rsidRPr="003E1BBD">
        <w:rPr>
          <w:rFonts w:ascii="Simplified Arabic" w:eastAsia="Times New Roman" w:hAnsi="Simplified Arabic" w:cs="Simplified Arabic"/>
          <w:b/>
          <w:color w:val="000000" w:themeColor="text1"/>
          <w:sz w:val="24"/>
          <w:szCs w:val="24"/>
          <w:rtl/>
          <w:lang w:eastAsia="fr-FR"/>
        </w:rPr>
        <w:t>أكتوبر 2021</w:t>
      </w:r>
      <w:r>
        <w:rPr>
          <w:rFonts w:ascii="Simplified Arabic" w:eastAsia="Times New Roman" w:hAnsi="Simplified Arabic" w:cs="Simplified Arabic" w:hint="cs"/>
          <w:b/>
          <w:color w:val="000000" w:themeColor="text1"/>
          <w:sz w:val="24"/>
          <w:szCs w:val="24"/>
          <w:rtl/>
          <w:lang w:eastAsia="fr-FR"/>
        </w:rPr>
        <w:t>، احدثت فيضانات حضرية</w:t>
      </w:r>
      <w:r w:rsidRPr="003E1BBD">
        <w:rPr>
          <w:rFonts w:ascii="Simplified Arabic" w:eastAsia="Times New Roman" w:hAnsi="Simplified Arabic" w:cs="Simplified Arabic"/>
          <w:b/>
          <w:color w:val="000000" w:themeColor="text1"/>
          <w:sz w:val="24"/>
          <w:szCs w:val="24"/>
          <w:rtl/>
          <w:lang w:eastAsia="fr-FR"/>
        </w:rPr>
        <w:t>، لوحظ في بعض الأحياء سيلان كبير في الشوارع</w:t>
      </w:r>
      <w:r>
        <w:rPr>
          <w:rFonts w:ascii="Simplified Arabic" w:eastAsia="Times New Roman" w:hAnsi="Simplified Arabic" w:cs="Simplified Arabic" w:hint="cs"/>
          <w:b/>
          <w:color w:val="000000" w:themeColor="text1"/>
          <w:sz w:val="24"/>
          <w:szCs w:val="24"/>
          <w:rtl/>
          <w:lang w:eastAsia="fr-FR"/>
        </w:rPr>
        <w:t>، كما هو مبين في</w:t>
      </w:r>
      <w:r>
        <w:rPr>
          <w:rFonts w:ascii="Simplified Arabic" w:eastAsia="Times New Roman" w:hAnsi="Simplified Arabic" w:cs="Simplified Arabic" w:hint="cs"/>
          <w:b/>
          <w:color w:val="000000" w:themeColor="text1"/>
          <w:sz w:val="24"/>
          <w:szCs w:val="24"/>
          <w:rtl/>
          <w:lang w:eastAsia="fr-FR" w:bidi="ar-DZ"/>
        </w:rPr>
        <w:t xml:space="preserve"> الصورة </w:t>
      </w:r>
      <w:r w:rsidR="0056498E" w:rsidRPr="0063639A">
        <w:rPr>
          <w:rFonts w:ascii="Simplified Arabic" w:hAnsi="Simplified Arabic" w:cs="Simplified Arabic" w:hint="cs"/>
          <w:sz w:val="24"/>
          <w:szCs w:val="24"/>
          <w:rtl/>
        </w:rPr>
        <w:t>(</w:t>
      </w:r>
      <w:r w:rsidR="0056498E">
        <w:rPr>
          <w:rFonts w:ascii="Simplified Arabic" w:hAnsi="Simplified Arabic" w:cs="Simplified Arabic" w:hint="cs"/>
          <w:sz w:val="24"/>
          <w:szCs w:val="24"/>
          <w:rtl/>
        </w:rPr>
        <w:t>4-3</w:t>
      </w:r>
      <w:r w:rsidR="0056498E" w:rsidRPr="0063639A">
        <w:rPr>
          <w:rFonts w:ascii="Simplified Arabic" w:hAnsi="Simplified Arabic" w:cs="Simplified Arabic" w:hint="cs"/>
          <w:sz w:val="24"/>
          <w:szCs w:val="24"/>
          <w:rtl/>
        </w:rPr>
        <w:t>)</w:t>
      </w:r>
      <w:r>
        <w:rPr>
          <w:rFonts w:ascii="Simplified Arabic" w:eastAsia="Times New Roman" w:hAnsi="Simplified Arabic" w:cs="Simplified Arabic" w:hint="cs"/>
          <w:b/>
          <w:color w:val="000000" w:themeColor="text1"/>
          <w:sz w:val="24"/>
          <w:szCs w:val="24"/>
          <w:rtl/>
          <w:lang w:eastAsia="fr-FR" w:bidi="ar-DZ"/>
        </w:rPr>
        <w:t>-(أ، ب)</w:t>
      </w:r>
      <w:r>
        <w:rPr>
          <w:rFonts w:ascii="Simplified Arabic" w:eastAsia="Times New Roman" w:hAnsi="Simplified Arabic" w:cs="Simplified Arabic" w:hint="cs"/>
          <w:b/>
          <w:color w:val="000000" w:themeColor="text1"/>
          <w:sz w:val="24"/>
          <w:szCs w:val="24"/>
          <w:rtl/>
          <w:lang w:eastAsia="fr-FR"/>
        </w:rPr>
        <w:t xml:space="preserve">، لكن درجة تعرض بنسب متفاوتة، الشكل </w:t>
      </w:r>
      <w:r w:rsidR="00BA11BE" w:rsidRPr="0063639A">
        <w:rPr>
          <w:rFonts w:ascii="Simplified Arabic" w:hAnsi="Simplified Arabic" w:cs="Simplified Arabic" w:hint="cs"/>
          <w:sz w:val="24"/>
          <w:szCs w:val="24"/>
          <w:rtl/>
        </w:rPr>
        <w:t>(</w:t>
      </w:r>
      <w:r w:rsidR="00BA11BE">
        <w:rPr>
          <w:rFonts w:ascii="Simplified Arabic" w:hAnsi="Simplified Arabic" w:cs="Simplified Arabic" w:hint="cs"/>
          <w:sz w:val="24"/>
          <w:szCs w:val="24"/>
          <w:rtl/>
        </w:rPr>
        <w:t>4-3</w:t>
      </w:r>
      <w:r w:rsidR="00BA11BE" w:rsidRPr="0063639A">
        <w:rPr>
          <w:rFonts w:ascii="Simplified Arabic" w:hAnsi="Simplified Arabic" w:cs="Simplified Arabic" w:hint="cs"/>
          <w:sz w:val="24"/>
          <w:szCs w:val="24"/>
          <w:rtl/>
        </w:rPr>
        <w:t>)</w:t>
      </w:r>
      <w:r w:rsidRPr="003E1BBD">
        <w:rPr>
          <w:rFonts w:ascii="Simplified Arabic" w:eastAsia="Times New Roman" w:hAnsi="Simplified Arabic" w:cs="Simplified Arabic"/>
          <w:b/>
          <w:color w:val="000000" w:themeColor="text1"/>
          <w:sz w:val="24"/>
          <w:szCs w:val="24"/>
          <w:rtl/>
          <w:lang w:eastAsia="fr-FR"/>
        </w:rPr>
        <w:t>.</w:t>
      </w:r>
      <w:r w:rsidRPr="00455888">
        <w:rPr>
          <w:rFonts w:ascii="Simplified Arabic" w:eastAsia="Times New Roman" w:hAnsi="Simplified Arabic" w:cs="Simplified Arabic"/>
          <w:b/>
          <w:color w:val="000000" w:themeColor="text1"/>
          <w:sz w:val="24"/>
          <w:szCs w:val="24"/>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تسبب</w:t>
      </w:r>
      <w:r>
        <w:rPr>
          <w:rFonts w:ascii="Simplified Arabic" w:eastAsia="Times New Roman" w:hAnsi="Simplified Arabic" w:cs="Simplified Arabic" w:hint="cs"/>
          <w:b/>
          <w:color w:val="000000" w:themeColor="text1"/>
          <w:sz w:val="24"/>
          <w:szCs w:val="24"/>
          <w:rtl/>
          <w:lang w:eastAsia="fr-FR"/>
        </w:rPr>
        <w:t>ت</w:t>
      </w:r>
      <w:r w:rsidRPr="00455888">
        <w:rPr>
          <w:rFonts w:ascii="Simplified Arabic" w:eastAsia="Times New Roman" w:hAnsi="Simplified Arabic" w:cs="Simplified Arabic" w:hint="cs"/>
          <w:b/>
          <w:color w:val="000000" w:themeColor="text1"/>
          <w:sz w:val="24"/>
          <w:szCs w:val="24"/>
          <w:rtl/>
          <w:lang w:eastAsia="fr-FR"/>
        </w:rPr>
        <w:t xml:space="preserve"> في ازدحام</w:t>
      </w:r>
      <w:r w:rsidRPr="00455888">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 xml:space="preserve">شبكة </w:t>
      </w:r>
      <w:r w:rsidRPr="00455888">
        <w:rPr>
          <w:rFonts w:ascii="Simplified Arabic" w:eastAsia="Times New Roman" w:hAnsi="Simplified Arabic" w:cs="Simplified Arabic" w:hint="cs"/>
          <w:b/>
          <w:color w:val="000000" w:themeColor="text1"/>
          <w:sz w:val="24"/>
          <w:szCs w:val="24"/>
          <w:rtl/>
          <w:lang w:eastAsia="fr-FR"/>
        </w:rPr>
        <w:t>الطرق</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الحضرية</w:t>
      </w:r>
      <w:r w:rsidRPr="00455888">
        <w:rPr>
          <w:rFonts w:ascii="Simplified Arabic" w:eastAsia="Times New Roman" w:hAnsi="Simplified Arabic" w:cs="Simplified Arabic"/>
          <w:b/>
          <w:color w:val="000000" w:themeColor="text1"/>
          <w:sz w:val="24"/>
          <w:szCs w:val="24"/>
          <w:rtl/>
          <w:lang w:eastAsia="fr-FR"/>
        </w:rPr>
        <w:t xml:space="preserve"> </w:t>
      </w:r>
      <w:r w:rsidR="00301390">
        <w:rPr>
          <w:rFonts w:ascii="Simplified Arabic" w:eastAsia="Times New Roman" w:hAnsi="Simplified Arabic" w:cs="Simplified Arabic" w:hint="cs"/>
          <w:b/>
          <w:color w:val="000000" w:themeColor="text1"/>
          <w:sz w:val="24"/>
          <w:szCs w:val="24"/>
          <w:rtl/>
          <w:lang w:eastAsia="fr-FR"/>
        </w:rPr>
        <w:t>ل</w:t>
      </w:r>
      <w:r>
        <w:rPr>
          <w:rFonts w:ascii="Simplified Arabic" w:eastAsia="Times New Roman" w:hAnsi="Simplified Arabic" w:cs="Simplified Arabic" w:hint="cs"/>
          <w:b/>
          <w:color w:val="000000" w:themeColor="text1"/>
          <w:sz w:val="24"/>
          <w:szCs w:val="24"/>
          <w:rtl/>
          <w:lang w:eastAsia="fr-FR"/>
        </w:rPr>
        <w:t>عدم</w:t>
      </w:r>
      <w:r w:rsidRPr="00455888">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كفاءة</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نظام</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الصرف</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الصحي</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على</w:t>
      </w:r>
      <w:r w:rsidRPr="00455888">
        <w:rPr>
          <w:rFonts w:ascii="Simplified Arabic" w:eastAsia="Times New Roman" w:hAnsi="Simplified Arabic" w:cs="Simplified Arabic"/>
          <w:b/>
          <w:color w:val="000000" w:themeColor="text1"/>
          <w:sz w:val="24"/>
          <w:szCs w:val="24"/>
          <w:rtl/>
          <w:lang w:eastAsia="fr-FR"/>
        </w:rPr>
        <w:t xml:space="preserve"> </w:t>
      </w:r>
      <w:r w:rsidR="00301390">
        <w:rPr>
          <w:rFonts w:ascii="Simplified Arabic" w:eastAsia="Times New Roman" w:hAnsi="Simplified Arabic" w:cs="Simplified Arabic" w:hint="cs"/>
          <w:b/>
          <w:color w:val="000000" w:themeColor="text1"/>
          <w:sz w:val="24"/>
          <w:szCs w:val="24"/>
          <w:rtl/>
          <w:lang w:eastAsia="fr-FR"/>
        </w:rPr>
        <w:t>تصريف</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مياه</w:t>
      </w:r>
      <w:r w:rsidR="00301390">
        <w:rPr>
          <w:rFonts w:ascii="Simplified Arabic" w:eastAsia="Times New Roman" w:hAnsi="Simplified Arabic" w:cs="Simplified Arabic" w:hint="cs"/>
          <w:b/>
          <w:color w:val="000000" w:themeColor="text1"/>
          <w:sz w:val="24"/>
          <w:szCs w:val="24"/>
          <w:rtl/>
          <w:lang w:eastAsia="fr-FR"/>
        </w:rPr>
        <w:t xml:space="preserve"> الامطار</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أثناء</w:t>
      </w:r>
      <w:r w:rsidRPr="00455888">
        <w:rPr>
          <w:rFonts w:ascii="Simplified Arabic" w:eastAsia="Times New Roman" w:hAnsi="Simplified Arabic" w:cs="Simplified Arabic"/>
          <w:b/>
          <w:color w:val="000000" w:themeColor="text1"/>
          <w:sz w:val="24"/>
          <w:szCs w:val="24"/>
          <w:rtl/>
          <w:lang w:eastAsia="fr-FR"/>
        </w:rPr>
        <w:t xml:space="preserve"> </w:t>
      </w:r>
      <w:r w:rsidRPr="00455888">
        <w:rPr>
          <w:rFonts w:ascii="Simplified Arabic" w:eastAsia="Times New Roman" w:hAnsi="Simplified Arabic" w:cs="Simplified Arabic" w:hint="cs"/>
          <w:b/>
          <w:color w:val="000000" w:themeColor="text1"/>
          <w:sz w:val="24"/>
          <w:szCs w:val="24"/>
          <w:rtl/>
          <w:lang w:eastAsia="fr-FR"/>
        </w:rPr>
        <w:t>الفيضانات</w:t>
      </w:r>
      <w:r>
        <w:rPr>
          <w:rFonts w:ascii="Simplified Arabic" w:eastAsia="Times New Roman" w:hAnsi="Simplified Arabic" w:cs="Simplified Arabic" w:hint="cs"/>
          <w:b/>
          <w:color w:val="000000" w:themeColor="text1"/>
          <w:sz w:val="24"/>
          <w:szCs w:val="24"/>
          <w:rtl/>
          <w:lang w:eastAsia="fr-FR" w:bidi="ar-DZ"/>
        </w:rPr>
        <w:t>.</w:t>
      </w:r>
      <w:r w:rsidRPr="003E1BBD">
        <w:rPr>
          <w:rFonts w:ascii="Simplified Arabic" w:eastAsia="Times New Roman" w:hAnsi="Simplified Arabic" w:cs="Simplified Arabic"/>
          <w:b/>
          <w:color w:val="000000" w:themeColor="text1"/>
          <w:sz w:val="24"/>
          <w:szCs w:val="24"/>
          <w:rtl/>
          <w:lang w:eastAsia="fr-FR"/>
        </w:rPr>
        <w:t xml:space="preserve"> مما جعل هيكلها وعناصرها الحضرية في مواجهة حتمية التكيف مع الخصائص الجديدة لتغيرات المناخ</w:t>
      </w:r>
      <w:r w:rsidRPr="00B82366">
        <w:rPr>
          <w:rFonts w:ascii="Simplified Arabic" w:eastAsia="Times New Roman" w:hAnsi="Simplified Arabic" w:cs="Simplified Arabic" w:hint="cs"/>
          <w:b/>
          <w:color w:val="000000" w:themeColor="text1"/>
          <w:sz w:val="24"/>
          <w:szCs w:val="24"/>
          <w:rtl/>
          <w:lang w:eastAsia="fr-FR"/>
        </w:rPr>
        <w:t>،</w:t>
      </w:r>
      <w:r w:rsidRPr="00B82366">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 xml:space="preserve">امام </w:t>
      </w:r>
      <w:r w:rsidRPr="00B82366">
        <w:rPr>
          <w:rFonts w:ascii="Simplified Arabic" w:eastAsia="Times New Roman" w:hAnsi="Simplified Arabic" w:cs="Simplified Arabic" w:hint="cs"/>
          <w:b/>
          <w:color w:val="000000" w:themeColor="text1"/>
          <w:sz w:val="24"/>
          <w:szCs w:val="24"/>
          <w:rtl/>
          <w:lang w:eastAsia="fr-FR"/>
        </w:rPr>
        <w:t>نظام</w:t>
      </w:r>
      <w:r w:rsidRPr="00B82366">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تسيير</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مخاطر</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ضعيف</w:t>
      </w:r>
      <w:r w:rsidR="00635769">
        <w:rPr>
          <w:rFonts w:ascii="Simplified Arabic" w:eastAsia="Times New Roman" w:hAnsi="Simplified Arabic" w:cs="Simplified Arabic" w:hint="cs"/>
          <w:b/>
          <w:color w:val="000000" w:themeColor="text1"/>
          <w:sz w:val="24"/>
          <w:szCs w:val="24"/>
          <w:rtl/>
          <w:lang w:eastAsia="fr-FR"/>
        </w:rPr>
        <w:t>،</w:t>
      </w:r>
      <w:r w:rsidRPr="00B82366">
        <w:rPr>
          <w:rFonts w:ascii="Simplified Arabic" w:eastAsia="Times New Roman" w:hAnsi="Simplified Arabic" w:cs="Simplified Arabic"/>
          <w:b/>
          <w:color w:val="000000" w:themeColor="text1"/>
          <w:sz w:val="24"/>
          <w:szCs w:val="24"/>
          <w:rtl/>
          <w:lang w:eastAsia="fr-FR"/>
        </w:rPr>
        <w:t xml:space="preserve"> </w:t>
      </w:r>
      <w:r>
        <w:rPr>
          <w:rFonts w:ascii="Simplified Arabic" w:eastAsia="Times New Roman" w:hAnsi="Simplified Arabic" w:cs="Simplified Arabic" w:hint="cs"/>
          <w:b/>
          <w:color w:val="000000" w:themeColor="text1"/>
          <w:sz w:val="24"/>
          <w:szCs w:val="24"/>
          <w:rtl/>
          <w:lang w:eastAsia="fr-FR"/>
        </w:rPr>
        <w:t xml:space="preserve">مبدئيا </w:t>
      </w:r>
      <w:r w:rsidRPr="00B82366">
        <w:rPr>
          <w:rFonts w:ascii="Simplified Arabic" w:eastAsia="Times New Roman" w:hAnsi="Simplified Arabic" w:cs="Simplified Arabic" w:hint="cs"/>
          <w:b/>
          <w:color w:val="000000" w:themeColor="text1"/>
          <w:sz w:val="24"/>
          <w:szCs w:val="24"/>
          <w:rtl/>
          <w:lang w:eastAsia="fr-FR"/>
        </w:rPr>
        <w:t>للعديد</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من</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الجهات</w:t>
      </w:r>
      <w:r w:rsidRPr="00B82366">
        <w:rPr>
          <w:rFonts w:ascii="Simplified Arabic" w:eastAsia="Times New Roman" w:hAnsi="Simplified Arabic" w:cs="Simplified Arabic"/>
          <w:b/>
          <w:color w:val="000000" w:themeColor="text1"/>
          <w:sz w:val="24"/>
          <w:szCs w:val="24"/>
          <w:rtl/>
          <w:lang w:eastAsia="fr-FR"/>
        </w:rPr>
        <w:t xml:space="preserve"> </w:t>
      </w:r>
      <w:r w:rsidRPr="00B82366">
        <w:rPr>
          <w:rFonts w:ascii="Simplified Arabic" w:eastAsia="Times New Roman" w:hAnsi="Simplified Arabic" w:cs="Simplified Arabic" w:hint="cs"/>
          <w:b/>
          <w:color w:val="000000" w:themeColor="text1"/>
          <w:sz w:val="24"/>
          <w:szCs w:val="24"/>
          <w:rtl/>
          <w:lang w:eastAsia="fr-FR"/>
        </w:rPr>
        <w:t>الفاعلة</w:t>
      </w:r>
      <w:r w:rsidRPr="00B82366">
        <w:rPr>
          <w:rFonts w:ascii="Simplified Arabic" w:eastAsia="Times New Roman" w:hAnsi="Simplified Arabic" w:cs="Simplified Arabic"/>
          <w:b/>
          <w:color w:val="000000" w:themeColor="text1"/>
          <w:sz w:val="24"/>
          <w:szCs w:val="24"/>
          <w:rtl/>
          <w:lang w:eastAsia="fr-FR"/>
        </w:rPr>
        <w:t>.</w:t>
      </w:r>
    </w:p>
    <w:p w:rsidR="000635D8" w:rsidRPr="00673112" w:rsidRDefault="000635D8" w:rsidP="00230FAB">
      <w:pPr>
        <w:pStyle w:val="Photo"/>
        <w:rPr>
          <w:lang w:eastAsia="fr-FR"/>
        </w:rPr>
      </w:pPr>
      <w:bookmarkStart w:id="553" w:name="_Toc157618648"/>
      <w:bookmarkStart w:id="554" w:name="_Toc171803609"/>
      <w:r w:rsidRPr="00673112">
        <w:rPr>
          <w:rFonts w:hint="cs"/>
          <w:rtl/>
          <w:lang w:eastAsia="fr-FR"/>
        </w:rPr>
        <w:t xml:space="preserve">الصورة </w:t>
      </w:r>
      <w:r w:rsidR="0056498E" w:rsidRPr="0063639A">
        <w:rPr>
          <w:rFonts w:hint="cs"/>
          <w:rtl/>
        </w:rPr>
        <w:t>(</w:t>
      </w:r>
      <w:r w:rsidR="0056498E">
        <w:rPr>
          <w:rFonts w:hint="cs"/>
          <w:rtl/>
        </w:rPr>
        <w:t>4-3</w:t>
      </w:r>
      <w:r w:rsidR="0056498E" w:rsidRPr="0063639A">
        <w:rPr>
          <w:rFonts w:hint="cs"/>
          <w:rtl/>
        </w:rPr>
        <w:t>)</w:t>
      </w:r>
      <w:r w:rsidRPr="00673112">
        <w:rPr>
          <w:rFonts w:hint="cs"/>
          <w:rtl/>
          <w:lang w:eastAsia="fr-FR"/>
        </w:rPr>
        <w:t>، (أ، ب)</w:t>
      </w:r>
      <w:r w:rsidRPr="00673112">
        <w:rPr>
          <w:rtl/>
          <w:lang w:eastAsia="fr-FR"/>
        </w:rPr>
        <w:t xml:space="preserve">: </w:t>
      </w:r>
      <w:r w:rsidRPr="00673112">
        <w:rPr>
          <w:rFonts w:hint="cs"/>
          <w:rtl/>
          <w:lang w:eastAsia="fr-FR"/>
        </w:rPr>
        <w:t>فيضانات</w:t>
      </w:r>
      <w:r w:rsidRPr="00673112">
        <w:rPr>
          <w:rtl/>
          <w:lang w:eastAsia="fr-FR"/>
        </w:rPr>
        <w:t xml:space="preserve"> </w:t>
      </w:r>
      <w:r w:rsidRPr="00673112">
        <w:rPr>
          <w:rFonts w:hint="cs"/>
          <w:rtl/>
          <w:lang w:eastAsia="fr-FR"/>
        </w:rPr>
        <w:t>بوسعادة</w:t>
      </w:r>
      <w:r w:rsidRPr="00673112">
        <w:rPr>
          <w:rtl/>
          <w:lang w:eastAsia="fr-FR"/>
        </w:rPr>
        <w:t xml:space="preserve"> </w:t>
      </w:r>
      <w:r w:rsidRPr="00673112">
        <w:rPr>
          <w:rFonts w:hint="cs"/>
          <w:rtl/>
          <w:lang w:eastAsia="fr-FR"/>
        </w:rPr>
        <w:t>عام</w:t>
      </w:r>
      <w:r w:rsidRPr="00673112">
        <w:rPr>
          <w:rtl/>
          <w:lang w:eastAsia="fr-FR"/>
        </w:rPr>
        <w:t xml:space="preserve"> 2021. </w:t>
      </w:r>
      <w:r w:rsidRPr="00673112">
        <w:rPr>
          <w:rFonts w:hint="cs"/>
          <w:rtl/>
          <w:lang w:eastAsia="fr-FR"/>
        </w:rPr>
        <w:t>صورة مأخوذة</w:t>
      </w:r>
      <w:r w:rsidRPr="00673112">
        <w:rPr>
          <w:rtl/>
          <w:lang w:eastAsia="fr-FR"/>
        </w:rPr>
        <w:t xml:space="preserve"> </w:t>
      </w:r>
      <w:r w:rsidRPr="00673112">
        <w:rPr>
          <w:rFonts w:hint="cs"/>
          <w:rtl/>
          <w:lang w:eastAsia="fr-FR"/>
        </w:rPr>
        <w:t>من</w:t>
      </w:r>
      <w:r w:rsidRPr="00673112">
        <w:rPr>
          <w:rtl/>
          <w:lang w:eastAsia="fr-FR"/>
        </w:rPr>
        <w:t xml:space="preserve"> </w:t>
      </w:r>
      <w:r w:rsidRPr="00673112">
        <w:rPr>
          <w:rFonts w:hint="cs"/>
          <w:rtl/>
          <w:lang w:eastAsia="fr-FR"/>
        </w:rPr>
        <w:t>الفيديو</w:t>
      </w:r>
      <w:bookmarkEnd w:id="553"/>
      <w:bookmarkEnd w:id="554"/>
    </w:p>
    <w:p w:rsidR="00AE42BA" w:rsidRDefault="00AE42BA" w:rsidP="00AE42BA">
      <w:pPr>
        <w:bidi/>
        <w:jc w:val="center"/>
        <w:rPr>
          <w:rFonts w:asciiTheme="majorBidi" w:hAnsiTheme="majorBidi" w:cs="Times New Roman"/>
          <w:sz w:val="24"/>
          <w:szCs w:val="24"/>
          <w:rtl/>
        </w:rPr>
      </w:pPr>
      <w:r w:rsidRPr="00AE42BA">
        <w:rPr>
          <w:rFonts w:asciiTheme="majorBidi" w:hAnsiTheme="majorBidi" w:cstheme="majorBidi"/>
          <w:sz w:val="24"/>
          <w:szCs w:val="24"/>
          <w:shd w:val="clear" w:color="auto" w:fill="F2F2F2" w:themeFill="background1" w:themeFillShade="F2"/>
        </w:rPr>
        <w:t>http://www.youtube.com/watchinondation (05/05/2021). Inondation Bou-Saâda</w:t>
      </w:r>
      <w:r w:rsidRPr="00AE42BA">
        <w:rPr>
          <w:rFonts w:asciiTheme="majorBidi" w:hAnsiTheme="majorBidi" w:cs="Times New Roman" w:hint="cs"/>
          <w:sz w:val="24"/>
          <w:szCs w:val="24"/>
          <w:rtl/>
        </w:rPr>
        <w:t xml:space="preserve"> </w:t>
      </w:r>
    </w:p>
    <w:p w:rsidR="000635D8" w:rsidRDefault="000635D8" w:rsidP="00AE42BA">
      <w:pPr>
        <w:bidi/>
        <w:jc w:val="center"/>
        <w:rPr>
          <w:rFonts w:asciiTheme="majorBidi" w:hAnsiTheme="majorBidi" w:cstheme="majorBidi"/>
          <w:sz w:val="24"/>
          <w:szCs w:val="24"/>
          <w:rtl/>
        </w:rPr>
      </w:pPr>
      <w:r>
        <w:rPr>
          <w:rFonts w:ascii="Simplified Arabic" w:hAnsi="Simplified Arabic" w:cs="Simplified Arabic" w:hint="cs"/>
          <w:noProof/>
          <w:sz w:val="24"/>
          <w:szCs w:val="24"/>
          <w:rtl/>
          <w:lang w:eastAsia="fr-FR"/>
        </w:rPr>
        <w:drawing>
          <wp:inline distT="0" distB="0" distL="0" distR="0" wp14:anchorId="568E1C7D" wp14:editId="24E7BAE2">
            <wp:extent cx="5184475" cy="2424023"/>
            <wp:effectExtent l="0" t="0" r="16510" b="14605"/>
            <wp:docPr id="165" name="Diagramme 16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8" r:lo="rId199" r:qs="rId200" r:cs="rId201"/>
              </a:graphicData>
            </a:graphic>
          </wp:inline>
        </w:drawing>
      </w:r>
    </w:p>
    <w:p w:rsidR="000635D8" w:rsidRPr="00ED1C8F" w:rsidRDefault="000635D8" w:rsidP="004A6317">
      <w:pPr>
        <w:pStyle w:val="fegure"/>
        <w:spacing w:before="240"/>
        <w:rPr>
          <w:sz w:val="8"/>
          <w:szCs w:val="24"/>
          <w:rtl/>
          <w:lang w:eastAsia="fr-FR"/>
        </w:rPr>
      </w:pPr>
      <w:bookmarkStart w:id="555" w:name="_Toc157608326"/>
      <w:bookmarkStart w:id="556" w:name="_Toc171803610"/>
      <w:r w:rsidRPr="00ED1C8F">
        <w:rPr>
          <w:rFonts w:hint="cs"/>
          <w:sz w:val="8"/>
          <w:szCs w:val="24"/>
          <w:rtl/>
          <w:lang w:eastAsia="fr-FR"/>
        </w:rPr>
        <w:lastRenderedPageBreak/>
        <w:t xml:space="preserve">الشكل </w:t>
      </w:r>
      <w:r w:rsidR="00BA11BE" w:rsidRPr="00ED1C8F">
        <w:rPr>
          <w:rFonts w:hint="cs"/>
          <w:sz w:val="8"/>
          <w:szCs w:val="24"/>
          <w:rtl/>
        </w:rPr>
        <w:t>(4-3)</w:t>
      </w:r>
      <w:r w:rsidRPr="00ED1C8F">
        <w:rPr>
          <w:rFonts w:hint="cs"/>
          <w:sz w:val="8"/>
          <w:szCs w:val="24"/>
          <w:rtl/>
          <w:lang w:eastAsia="fr-FR"/>
        </w:rPr>
        <w:t>: نسبة</w:t>
      </w:r>
      <w:r w:rsidRPr="00ED1C8F">
        <w:rPr>
          <w:sz w:val="8"/>
          <w:szCs w:val="24"/>
          <w:rtl/>
          <w:lang w:eastAsia="fr-FR"/>
        </w:rPr>
        <w:t xml:space="preserve"> </w:t>
      </w:r>
      <w:r w:rsidRPr="00ED1C8F">
        <w:rPr>
          <w:rFonts w:hint="cs"/>
          <w:sz w:val="8"/>
          <w:szCs w:val="24"/>
          <w:rtl/>
          <w:lang w:eastAsia="fr-FR"/>
        </w:rPr>
        <w:t>تعرض الاحياء لخطر الفيضانات</w:t>
      </w:r>
      <w:bookmarkEnd w:id="555"/>
      <w:bookmarkEnd w:id="556"/>
    </w:p>
    <w:p w:rsidR="000635D8" w:rsidRPr="00370143" w:rsidRDefault="000635D8" w:rsidP="005506ED">
      <w:pPr>
        <w:bidi/>
        <w:spacing w:line="240" w:lineRule="auto"/>
        <w:jc w:val="center"/>
        <w:rPr>
          <w:rFonts w:ascii="Simplified Arabic" w:hAnsi="Simplified Arabic" w:cs="Simplified Arabic"/>
          <w:bCs/>
          <w:sz w:val="24"/>
          <w:szCs w:val="24"/>
          <w:rtl/>
          <w:lang w:val="en-US" w:bidi="ar-DZ"/>
        </w:rPr>
      </w:pPr>
      <w:r w:rsidRPr="00370143">
        <w:rPr>
          <w:rFonts w:ascii="Simplified Arabic" w:eastAsia="Times New Roman" w:hAnsi="Simplified Arabic" w:cs="Simplified Arabic" w:hint="cs"/>
          <w:bCs/>
          <w:color w:val="000000" w:themeColor="text1"/>
          <w:sz w:val="24"/>
          <w:szCs w:val="24"/>
          <w:rtl/>
          <w:lang w:eastAsia="fr-FR"/>
        </w:rPr>
        <w:t xml:space="preserve">المصدر: </w:t>
      </w:r>
      <w:r w:rsidRPr="00370143">
        <w:rPr>
          <w:rFonts w:asciiTheme="majorBidi" w:hAnsiTheme="majorBidi" w:cstheme="majorBidi"/>
          <w:bCs/>
          <w:sz w:val="24"/>
          <w:szCs w:val="24"/>
        </w:rPr>
        <w:t xml:space="preserve">(Nouibat </w:t>
      </w:r>
      <w:r w:rsidRPr="00370143">
        <w:rPr>
          <w:rFonts w:asciiTheme="majorBidi" w:eastAsia="Corbel-Identity-H" w:hAnsiTheme="majorBidi" w:cstheme="majorBidi"/>
          <w:bCs/>
          <w:sz w:val="24"/>
          <w:szCs w:val="24"/>
          <w:lang w:eastAsia="fr-FR"/>
        </w:rPr>
        <w:t>et al., 2014</w:t>
      </w:r>
      <w:r w:rsidRPr="00370143">
        <w:rPr>
          <w:rFonts w:asciiTheme="majorBidi" w:eastAsia="Times New Roman" w:hAnsiTheme="majorBidi" w:cstheme="majorBidi"/>
          <w:bCs/>
          <w:color w:val="000000" w:themeColor="text1"/>
          <w:sz w:val="24"/>
          <w:szCs w:val="24"/>
          <w:lang w:eastAsia="fr-FR"/>
        </w:rPr>
        <w:t>)</w:t>
      </w:r>
    </w:p>
    <w:p w:rsidR="000635D8" w:rsidRDefault="000635D8" w:rsidP="000635D8">
      <w:pPr>
        <w:bidi/>
        <w:jc w:val="center"/>
        <w:rPr>
          <w:rFonts w:ascii="Simplified Arabic" w:hAnsi="Simplified Arabic" w:cs="Simplified Arabic"/>
          <w:sz w:val="24"/>
          <w:szCs w:val="24"/>
          <w:rtl/>
          <w:lang w:val="en-US" w:bidi="ar-DZ"/>
        </w:rPr>
      </w:pPr>
      <w:r>
        <w:rPr>
          <w:noProof/>
          <w:lang w:eastAsia="fr-FR"/>
        </w:rPr>
        <w:drawing>
          <wp:inline distT="0" distB="0" distL="0" distR="0" wp14:anchorId="68F930EA" wp14:editId="3AD65F6B">
            <wp:extent cx="4138857" cy="2496162"/>
            <wp:effectExtent l="19050" t="19050" r="14605" b="19050"/>
            <wp:docPr id="166" name="Imag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3">
                      <a:extLst>
                        <a:ext uri="{28A0092B-C50C-407E-A947-70E740481C1C}">
                          <a14:useLocalDpi xmlns:a14="http://schemas.microsoft.com/office/drawing/2010/main" val="0"/>
                        </a:ext>
                      </a:extLst>
                    </a:blip>
                    <a:stretch>
                      <a:fillRect/>
                    </a:stretch>
                  </pic:blipFill>
                  <pic:spPr>
                    <a:xfrm>
                      <a:off x="0" y="0"/>
                      <a:ext cx="4138857" cy="2496162"/>
                    </a:xfrm>
                    <a:prstGeom prst="rect">
                      <a:avLst/>
                    </a:prstGeom>
                    <a:ln>
                      <a:solidFill>
                        <a:schemeClr val="tx1"/>
                      </a:solidFill>
                    </a:ln>
                  </pic:spPr>
                </pic:pic>
              </a:graphicData>
            </a:graphic>
          </wp:inline>
        </w:drawing>
      </w:r>
    </w:p>
    <w:p w:rsidR="000635D8" w:rsidRPr="005D35CA" w:rsidRDefault="004074DE" w:rsidP="001D0548">
      <w:pPr>
        <w:pStyle w:val="Paragraphedeliste"/>
        <w:numPr>
          <w:ilvl w:val="1"/>
          <w:numId w:val="229"/>
        </w:numPr>
        <w:tabs>
          <w:tab w:val="right" w:pos="567"/>
        </w:tabs>
        <w:bidi/>
        <w:spacing w:before="240" w:after="0"/>
        <w:ind w:left="0" w:firstLine="0"/>
        <w:jc w:val="both"/>
        <w:outlineLvl w:val="0"/>
        <w:rPr>
          <w:rFonts w:ascii="Simplified Arabic" w:hAnsi="Simplified Arabic" w:cs="Simplified Arabic"/>
          <w:b/>
          <w:bCs/>
          <w:sz w:val="24"/>
          <w:szCs w:val="24"/>
          <w:lang w:val="en-US" w:bidi="ar-DZ"/>
        </w:rPr>
      </w:pPr>
      <w:bookmarkStart w:id="557" w:name="_Toc171803611"/>
      <w:r>
        <w:rPr>
          <w:rFonts w:ascii="Simplified Arabic" w:hAnsi="Simplified Arabic" w:cs="Simplified Arabic" w:hint="cs"/>
          <w:b/>
          <w:bCs/>
          <w:sz w:val="24"/>
          <w:szCs w:val="24"/>
          <w:rtl/>
          <w:lang w:val="en-US" w:bidi="ar-DZ"/>
        </w:rPr>
        <w:t>فترات</w:t>
      </w:r>
      <w:r w:rsidR="000635D8" w:rsidRPr="005D35CA">
        <w:rPr>
          <w:rFonts w:ascii="Simplified Arabic" w:hAnsi="Simplified Arabic" w:cs="Simplified Arabic" w:hint="cs"/>
          <w:b/>
          <w:bCs/>
          <w:sz w:val="24"/>
          <w:szCs w:val="24"/>
          <w:rtl/>
          <w:lang w:val="en-US" w:bidi="ar-DZ"/>
        </w:rPr>
        <w:t xml:space="preserve"> تطور النمو الحضري لمدينة بوسعادة</w:t>
      </w:r>
      <w:bookmarkEnd w:id="557"/>
    </w:p>
    <w:p w:rsidR="000635D8" w:rsidRPr="004146CF" w:rsidRDefault="000635D8" w:rsidP="00C901B3">
      <w:pPr>
        <w:bidi/>
        <w:spacing w:after="0"/>
        <w:ind w:firstLine="283"/>
        <w:jc w:val="both"/>
        <w:rPr>
          <w:rFonts w:ascii="Simplified Arabic" w:hAnsi="Simplified Arabic" w:cs="Simplified Arabic"/>
          <w:sz w:val="24"/>
          <w:szCs w:val="24"/>
          <w:rtl/>
        </w:rPr>
      </w:pPr>
      <w:r w:rsidRPr="004146CF">
        <w:rPr>
          <w:rFonts w:ascii="Simplified Arabic" w:hAnsi="Simplified Arabic" w:cs="Simplified Arabic"/>
          <w:sz w:val="24"/>
          <w:szCs w:val="24"/>
          <w:rtl/>
        </w:rPr>
        <w:t xml:space="preserve">لفهم </w:t>
      </w:r>
      <w:r>
        <w:rPr>
          <w:rFonts w:ascii="Simplified Arabic" w:hAnsi="Simplified Arabic" w:cs="Simplified Arabic" w:hint="cs"/>
          <w:sz w:val="24"/>
          <w:szCs w:val="24"/>
          <w:rtl/>
        </w:rPr>
        <w:t>ال</w:t>
      </w:r>
      <w:r w:rsidRPr="004146CF">
        <w:rPr>
          <w:rFonts w:ascii="Simplified Arabic" w:hAnsi="Simplified Arabic" w:cs="Simplified Arabic"/>
          <w:sz w:val="24"/>
          <w:szCs w:val="24"/>
          <w:rtl/>
        </w:rPr>
        <w:t>دينام</w:t>
      </w:r>
      <w:r>
        <w:rPr>
          <w:rFonts w:ascii="Simplified Arabic" w:hAnsi="Simplified Arabic" w:cs="Simplified Arabic" w:hint="cs"/>
          <w:sz w:val="24"/>
          <w:szCs w:val="24"/>
          <w:rtl/>
        </w:rPr>
        <w:t>يك</w:t>
      </w:r>
      <w:r w:rsidRPr="004146CF">
        <w:rPr>
          <w:rFonts w:ascii="Simplified Arabic" w:hAnsi="Simplified Arabic" w:cs="Simplified Arabic"/>
          <w:sz w:val="24"/>
          <w:szCs w:val="24"/>
          <w:rtl/>
        </w:rPr>
        <w:t xml:space="preserve">يات </w:t>
      </w:r>
      <w:r>
        <w:rPr>
          <w:rFonts w:ascii="Simplified Arabic" w:hAnsi="Simplified Arabic" w:cs="Simplified Arabic" w:hint="cs"/>
          <w:sz w:val="24"/>
          <w:szCs w:val="24"/>
          <w:rtl/>
        </w:rPr>
        <w:t>المجالية ومستويات</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المرونة</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الحضرية لمدينة بوسعادة</w:t>
      </w:r>
      <w:r w:rsidRPr="004146CF">
        <w:rPr>
          <w:rFonts w:ascii="Simplified Arabic" w:hAnsi="Simplified Arabic" w:cs="Simplified Arabic"/>
          <w:sz w:val="24"/>
          <w:szCs w:val="24"/>
          <w:rtl/>
        </w:rPr>
        <w:t xml:space="preserve">، من المهم فهم ديناميكيات تطور المدينة. وبالتالي، من الضروري وضع جدول زمني تاريخي لتاريخها من منظور الخطط التي شكلت </w:t>
      </w:r>
      <w:r>
        <w:rPr>
          <w:rFonts w:ascii="Simplified Arabic" w:hAnsi="Simplified Arabic" w:cs="Simplified Arabic" w:hint="cs"/>
          <w:sz w:val="24"/>
          <w:szCs w:val="24"/>
          <w:rtl/>
        </w:rPr>
        <w:t>مرفولوجيتها</w:t>
      </w:r>
      <w:r w:rsidRPr="004146CF">
        <w:rPr>
          <w:rFonts w:ascii="Simplified Arabic" w:hAnsi="Simplified Arabic" w:cs="Simplified Arabic"/>
          <w:sz w:val="24"/>
          <w:szCs w:val="24"/>
          <w:rtl/>
        </w:rPr>
        <w:t xml:space="preserve"> الحضري</w:t>
      </w:r>
      <w:r>
        <w:rPr>
          <w:rFonts w:ascii="Simplified Arabic" w:hAnsi="Simplified Arabic" w:cs="Simplified Arabic" w:hint="cs"/>
          <w:sz w:val="24"/>
          <w:szCs w:val="24"/>
          <w:rtl/>
        </w:rPr>
        <w:t>ة</w:t>
      </w:r>
      <w:r w:rsidRPr="004146CF">
        <w:rPr>
          <w:rFonts w:ascii="Simplified Arabic" w:hAnsi="Simplified Arabic" w:cs="Simplified Arabic"/>
          <w:sz w:val="24"/>
          <w:szCs w:val="24"/>
          <w:rtl/>
        </w:rPr>
        <w:t>. في موازاة ذلك، يساهم الارتباط بالتطور التاريخي في فهم الديناميكيات الاجتماعية</w:t>
      </w:r>
      <w:r>
        <w:rPr>
          <w:rFonts w:ascii="Simplified Arabic" w:hAnsi="Simplified Arabic" w:cs="Simplified Arabic" w:hint="cs"/>
          <w:sz w:val="24"/>
          <w:szCs w:val="24"/>
          <w:rtl/>
        </w:rPr>
        <w:t xml:space="preserve"> و الاقتصادية</w:t>
      </w:r>
      <w:r w:rsidR="00C901B3">
        <w:rPr>
          <w:rFonts w:ascii="Simplified Arabic" w:hAnsi="Simplified Arabic" w:cs="Simplified Arabic" w:hint="cs"/>
          <w:sz w:val="24"/>
          <w:szCs w:val="24"/>
          <w:rtl/>
        </w:rPr>
        <w:t xml:space="preserve"> </w:t>
      </w:r>
      <w:r w:rsidRPr="004146CF">
        <w:rPr>
          <w:rFonts w:ascii="Simplified Arabic" w:hAnsi="Simplified Arabic" w:cs="Simplified Arabic"/>
          <w:sz w:val="24"/>
          <w:szCs w:val="24"/>
          <w:rtl/>
        </w:rPr>
        <w:t>الداخلية للمدينة</w:t>
      </w:r>
      <w:r w:rsidR="00C901B3">
        <w:rPr>
          <w:rFonts w:ascii="Simplified Arabic" w:hAnsi="Simplified Arabic" w:cs="Simplified Arabic" w:hint="cs"/>
          <w:sz w:val="24"/>
          <w:szCs w:val="24"/>
          <w:rtl/>
        </w:rPr>
        <w:t xml:space="preserve"> </w:t>
      </w:r>
      <w:r w:rsidR="00C901B3" w:rsidRPr="00C901B3">
        <w:rPr>
          <w:rFonts w:asciiTheme="majorBidi" w:hAnsiTheme="majorBidi" w:cstheme="majorBidi"/>
          <w:sz w:val="24"/>
          <w:szCs w:val="24"/>
          <w:rtl/>
        </w:rPr>
        <w:t>(</w:t>
      </w:r>
      <w:r w:rsidR="00C901B3" w:rsidRPr="00C901B3">
        <w:rPr>
          <w:rFonts w:asciiTheme="majorBidi" w:hAnsiTheme="majorBidi" w:cstheme="majorBidi"/>
          <w:sz w:val="24"/>
          <w:szCs w:val="24"/>
        </w:rPr>
        <w:t>Dechaicha &amp; Alkama, 2021</w:t>
      </w:r>
      <w:r w:rsidR="00C901B3" w:rsidRPr="00C901B3">
        <w:rPr>
          <w:rFonts w:asciiTheme="majorBidi" w:hAnsiTheme="majorBidi" w:cstheme="majorBidi"/>
          <w:sz w:val="24"/>
          <w:szCs w:val="24"/>
          <w:rtl/>
        </w:rPr>
        <w:t>)</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بوسعادة</w:t>
      </w:r>
      <w:r w:rsidRPr="004146CF">
        <w:rPr>
          <w:rFonts w:ascii="Simplified Arabic" w:hAnsi="Simplified Arabic" w:cs="Simplified Arabic"/>
          <w:sz w:val="24"/>
          <w:szCs w:val="24"/>
          <w:rtl/>
        </w:rPr>
        <w:t xml:space="preserve"> هي مدينة </w:t>
      </w:r>
      <w:r>
        <w:rPr>
          <w:rFonts w:ascii="Simplified Arabic" w:hAnsi="Simplified Arabic" w:cs="Simplified Arabic" w:hint="cs"/>
          <w:sz w:val="24"/>
          <w:szCs w:val="24"/>
          <w:rtl/>
        </w:rPr>
        <w:t>جزائرية</w:t>
      </w:r>
      <w:r w:rsidRPr="004146CF">
        <w:rPr>
          <w:rFonts w:ascii="Simplified Arabic" w:hAnsi="Simplified Arabic" w:cs="Simplified Arabic"/>
          <w:sz w:val="24"/>
          <w:szCs w:val="24"/>
          <w:rtl/>
        </w:rPr>
        <w:t xml:space="preserve"> متوسطة الحجم، وهي ثاني أكبر مدينة </w:t>
      </w:r>
      <w:r>
        <w:rPr>
          <w:rFonts w:ascii="Simplified Arabic" w:hAnsi="Simplified Arabic" w:cs="Simplified Arabic" w:hint="cs"/>
          <w:sz w:val="24"/>
          <w:szCs w:val="24"/>
          <w:rtl/>
        </w:rPr>
        <w:t>من حيث السكان</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بعد </w:t>
      </w:r>
      <w:r w:rsidRPr="004146CF">
        <w:rPr>
          <w:rFonts w:ascii="Simplified Arabic" w:hAnsi="Simplified Arabic" w:cs="Simplified Arabic"/>
          <w:sz w:val="24"/>
          <w:szCs w:val="24"/>
          <w:rtl/>
        </w:rPr>
        <w:t xml:space="preserve">عاصمة </w:t>
      </w:r>
      <w:r>
        <w:rPr>
          <w:rFonts w:ascii="Simplified Arabic" w:hAnsi="Simplified Arabic" w:cs="Simplified Arabic" w:hint="cs"/>
          <w:sz w:val="24"/>
          <w:szCs w:val="24"/>
          <w:rtl/>
        </w:rPr>
        <w:t xml:space="preserve">ولاية المسيلة، مر بنائها </w:t>
      </w:r>
      <w:r w:rsidR="008769EE">
        <w:rPr>
          <w:rFonts w:ascii="Simplified Arabic" w:hAnsi="Simplified Arabic" w:cs="Simplified Arabic" w:hint="cs"/>
          <w:sz w:val="24"/>
          <w:szCs w:val="24"/>
          <w:rtl/>
        </w:rPr>
        <w:t>بثلاثة فترات:</w:t>
      </w:r>
    </w:p>
    <w:p w:rsidR="000635D8" w:rsidRPr="008769EE" w:rsidRDefault="000635D8" w:rsidP="001D0548">
      <w:pPr>
        <w:pStyle w:val="Paragraphedeliste"/>
        <w:numPr>
          <w:ilvl w:val="2"/>
          <w:numId w:val="255"/>
        </w:numPr>
        <w:tabs>
          <w:tab w:val="right" w:pos="850"/>
        </w:tabs>
        <w:bidi/>
        <w:spacing w:before="240" w:after="0"/>
        <w:ind w:left="0" w:firstLine="0"/>
        <w:jc w:val="both"/>
        <w:outlineLvl w:val="1"/>
        <w:rPr>
          <w:rFonts w:ascii="Simplified Arabic" w:hAnsi="Simplified Arabic" w:cs="Simplified Arabic"/>
          <w:b/>
          <w:bCs/>
          <w:sz w:val="24"/>
          <w:szCs w:val="24"/>
          <w:rtl/>
          <w:lang w:val="en-US" w:bidi="ar-DZ"/>
        </w:rPr>
      </w:pPr>
      <w:bookmarkStart w:id="558" w:name="_Toc171803612"/>
      <w:r w:rsidRPr="008769EE">
        <w:rPr>
          <w:rFonts w:ascii="Simplified Arabic" w:hAnsi="Simplified Arabic" w:cs="Simplified Arabic" w:hint="cs"/>
          <w:b/>
          <w:bCs/>
          <w:sz w:val="24"/>
          <w:szCs w:val="24"/>
          <w:rtl/>
          <w:lang w:val="en-US" w:bidi="ar-DZ"/>
        </w:rPr>
        <w:t>الفترة الاولى: نشأة النواة ما قبل 1830.</w:t>
      </w:r>
      <w:bookmarkEnd w:id="558"/>
    </w:p>
    <w:p w:rsidR="000635D8" w:rsidRDefault="000635D8" w:rsidP="00E61FD9">
      <w:pPr>
        <w:bidi/>
        <w:spacing w:after="0"/>
        <w:ind w:firstLine="283"/>
        <w:jc w:val="both"/>
        <w:rPr>
          <w:rFonts w:ascii="Simplified Arabic" w:hAnsi="Simplified Arabic" w:cs="Simplified Arabic"/>
          <w:noProof/>
          <w:sz w:val="24"/>
          <w:szCs w:val="24"/>
          <w:rtl/>
          <w:lang w:eastAsia="fr-FR"/>
        </w:rPr>
      </w:pPr>
      <w:r w:rsidRPr="008C35CB">
        <w:rPr>
          <w:rFonts w:ascii="Simplified Arabic" w:hAnsi="Simplified Arabic" w:cs="Simplified Arabic"/>
          <w:noProof/>
          <w:sz w:val="24"/>
          <w:szCs w:val="24"/>
          <w:rtl/>
          <w:lang w:eastAsia="fr-FR"/>
        </w:rPr>
        <w:t xml:space="preserve">وفقا </w:t>
      </w:r>
      <w:r>
        <w:rPr>
          <w:rFonts w:ascii="Simplified Arabic" w:hAnsi="Simplified Arabic" w:cs="Simplified Arabic" w:hint="cs"/>
          <w:noProof/>
          <w:sz w:val="24"/>
          <w:szCs w:val="24"/>
          <w:rtl/>
          <w:lang w:eastAsia="fr-FR"/>
        </w:rPr>
        <w:t>ل</w:t>
      </w:r>
      <w:r w:rsidRPr="008C35CB">
        <w:rPr>
          <w:rFonts w:ascii="Simplified Arabic" w:hAnsi="Simplified Arabic" w:cs="Simplified Arabic"/>
          <w:noProof/>
          <w:sz w:val="24"/>
          <w:szCs w:val="24"/>
          <w:rtl/>
          <w:lang w:eastAsia="fr-FR"/>
        </w:rPr>
        <w:t>لمؤرخين، تاسست النواة الاولى لمدينة بوسعادة في نهاية القرن الخامس عشر و بداية القرن السادس عشر. يذكر ان رجلين من رجال الدين</w:t>
      </w:r>
      <w:r>
        <w:rPr>
          <w:rFonts w:ascii="Simplified Arabic" w:hAnsi="Simplified Arabic" w:cs="Simplified Arabic" w:hint="cs"/>
          <w:noProof/>
          <w:sz w:val="24"/>
          <w:szCs w:val="24"/>
          <w:rtl/>
          <w:lang w:eastAsia="fr-FR"/>
        </w:rPr>
        <w:t>،</w:t>
      </w:r>
      <w:r w:rsidRPr="008C35CB">
        <w:rPr>
          <w:rFonts w:ascii="Simplified Arabic" w:hAnsi="Simplified Arabic" w:cs="Simplified Arabic"/>
          <w:noProof/>
          <w:sz w:val="24"/>
          <w:szCs w:val="24"/>
          <w:rtl/>
          <w:lang w:eastAsia="fr-FR"/>
        </w:rPr>
        <w:t xml:space="preserve"> هما سيدي سليمان بن ربيعة و سيدي ثامر بن احمد أتيا من الاندلس</w:t>
      </w:r>
      <w:r>
        <w:rPr>
          <w:rFonts w:ascii="Simplified Arabic" w:hAnsi="Simplified Arabic" w:cs="Simplified Arabic" w:hint="cs"/>
          <w:noProof/>
          <w:sz w:val="24"/>
          <w:szCs w:val="24"/>
          <w:rtl/>
          <w:lang w:eastAsia="fr-FR"/>
        </w:rPr>
        <w:t>،</w:t>
      </w:r>
      <w:r w:rsidRPr="008C35CB">
        <w:rPr>
          <w:rFonts w:ascii="Simplified Arabic" w:hAnsi="Simplified Arabic" w:cs="Simplified Arabic"/>
          <w:noProof/>
          <w:sz w:val="24"/>
          <w:szCs w:val="24"/>
          <w:rtl/>
          <w:lang w:eastAsia="fr-FR"/>
        </w:rPr>
        <w:t xml:space="preserve"> قاما ببناء اول مسجد في تلك الفترة</w:t>
      </w:r>
      <w:r>
        <w:rPr>
          <w:rFonts w:ascii="Simplified Arabic" w:hAnsi="Simplified Arabic" w:cs="Simplified Arabic" w:hint="cs"/>
          <w:noProof/>
          <w:sz w:val="24"/>
          <w:szCs w:val="24"/>
          <w:rtl/>
          <w:lang w:eastAsia="fr-FR"/>
        </w:rPr>
        <w:t xml:space="preserve"> و</w:t>
      </w:r>
      <w:r w:rsidRPr="004818A6">
        <w:rPr>
          <w:rFonts w:ascii="Simplified Arabic" w:hAnsi="Simplified Arabic" w:cs="Simplified Arabic" w:hint="cs"/>
          <w:noProof/>
          <w:sz w:val="24"/>
          <w:szCs w:val="24"/>
          <w:rtl/>
          <w:lang w:eastAsia="fr-FR"/>
        </w:rPr>
        <w:t>استقر</w:t>
      </w:r>
      <w:r>
        <w:rPr>
          <w:rFonts w:ascii="Simplified Arabic" w:hAnsi="Simplified Arabic" w:cs="Simplified Arabic" w:hint="cs"/>
          <w:noProof/>
          <w:sz w:val="24"/>
          <w:szCs w:val="24"/>
          <w:rtl/>
          <w:lang w:eastAsia="fr-FR"/>
        </w:rPr>
        <w:t>ا</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بشكل</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دائم</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مع</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مجموعة</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من</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الناس</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عائلته</w:t>
      </w:r>
      <w:r>
        <w:rPr>
          <w:rFonts w:ascii="Simplified Arabic" w:hAnsi="Simplified Arabic" w:cs="Simplified Arabic" w:hint="cs"/>
          <w:noProof/>
          <w:sz w:val="24"/>
          <w:szCs w:val="24"/>
          <w:rtl/>
          <w:lang w:eastAsia="fr-FR"/>
        </w:rPr>
        <w:t>ما</w:t>
      </w:r>
      <w:r w:rsidRPr="004818A6">
        <w:rPr>
          <w:rFonts w:ascii="Simplified Arabic" w:hAnsi="Simplified Arabic" w:cs="Simplified Arabic" w:hint="cs"/>
          <w:noProof/>
          <w:sz w:val="24"/>
          <w:szCs w:val="24"/>
          <w:rtl/>
          <w:lang w:eastAsia="fr-FR"/>
        </w:rPr>
        <w:t>،</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w:t>
      </w:r>
      <w:r>
        <w:rPr>
          <w:rFonts w:ascii="Simplified Arabic" w:hAnsi="Simplified Arabic" w:cs="Simplified Arabic" w:hint="cs"/>
          <w:noProof/>
          <w:sz w:val="24"/>
          <w:szCs w:val="24"/>
          <w:rtl/>
          <w:lang w:eastAsia="fr-FR"/>
        </w:rPr>
        <w:t>ال</w:t>
      </w:r>
      <w:r w:rsidRPr="004818A6">
        <w:rPr>
          <w:rFonts w:ascii="Simplified Arabic" w:hAnsi="Simplified Arabic" w:cs="Simplified Arabic" w:hint="cs"/>
          <w:noProof/>
          <w:sz w:val="24"/>
          <w:szCs w:val="24"/>
          <w:rtl/>
          <w:lang w:eastAsia="fr-FR"/>
        </w:rPr>
        <w:t>تلاميذ</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w:t>
      </w:r>
      <w:r>
        <w:rPr>
          <w:rFonts w:ascii="Simplified Arabic" w:hAnsi="Simplified Arabic" w:cs="Simplified Arabic" w:hint="cs"/>
          <w:noProof/>
          <w:sz w:val="24"/>
          <w:szCs w:val="24"/>
          <w:rtl/>
          <w:lang w:eastAsia="fr-FR"/>
        </w:rPr>
        <w:t>ال</w:t>
      </w:r>
      <w:r w:rsidRPr="004818A6">
        <w:rPr>
          <w:rFonts w:ascii="Simplified Arabic" w:hAnsi="Simplified Arabic" w:cs="Simplified Arabic" w:hint="cs"/>
          <w:noProof/>
          <w:sz w:val="24"/>
          <w:szCs w:val="24"/>
          <w:rtl/>
          <w:lang w:eastAsia="fr-FR"/>
        </w:rPr>
        <w:t>أنصار</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الذين</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اتخذوا</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بوسع</w:t>
      </w:r>
      <w:r>
        <w:rPr>
          <w:rFonts w:ascii="Simplified Arabic" w:hAnsi="Simplified Arabic" w:cs="Simplified Arabic" w:hint="cs"/>
          <w:noProof/>
          <w:sz w:val="24"/>
          <w:szCs w:val="24"/>
          <w:rtl/>
          <w:lang w:eastAsia="fr-FR"/>
        </w:rPr>
        <w:t>ا</w:t>
      </w:r>
      <w:r w:rsidRPr="004818A6">
        <w:rPr>
          <w:rFonts w:ascii="Simplified Arabic" w:hAnsi="Simplified Arabic" w:cs="Simplified Arabic" w:hint="cs"/>
          <w:noProof/>
          <w:sz w:val="24"/>
          <w:szCs w:val="24"/>
          <w:rtl/>
          <w:lang w:eastAsia="fr-FR"/>
        </w:rPr>
        <w:t>د</w:t>
      </w:r>
      <w:r>
        <w:rPr>
          <w:rFonts w:ascii="Simplified Arabic" w:hAnsi="Simplified Arabic" w:cs="Simplified Arabic" w:hint="cs"/>
          <w:noProof/>
          <w:sz w:val="24"/>
          <w:szCs w:val="24"/>
          <w:rtl/>
          <w:lang w:eastAsia="fr-FR"/>
        </w:rPr>
        <w:t>ة</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مكان</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إقامتهم</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الأخير</w:t>
      </w:r>
      <w:r w:rsidRPr="004818A6">
        <w:rPr>
          <w:rFonts w:ascii="Simplified Arabic" w:hAnsi="Simplified Arabic" w:cs="Simplified Arabic"/>
          <w:noProof/>
          <w:sz w:val="24"/>
          <w:szCs w:val="24"/>
          <w:rtl/>
          <w:lang w:eastAsia="fr-FR"/>
        </w:rPr>
        <w:t xml:space="preserve">. </w:t>
      </w:r>
      <w:r w:rsidRPr="008C35CB">
        <w:rPr>
          <w:rFonts w:ascii="Simplified Arabic" w:hAnsi="Simplified Arabic" w:cs="Simplified Arabic"/>
          <w:noProof/>
          <w:sz w:val="24"/>
          <w:szCs w:val="24"/>
          <w:rtl/>
          <w:lang w:eastAsia="fr-FR"/>
        </w:rPr>
        <w:t xml:space="preserve">حاليا، يعتبر اقدم مسجد بالمدينة تحت مسمى جامع النخلة. </w:t>
      </w:r>
      <w:r w:rsidRPr="008C35CB">
        <w:rPr>
          <w:rFonts w:ascii="Simplified Arabic" w:hAnsi="Simplified Arabic" w:cs="Simplified Arabic" w:hint="cs"/>
          <w:noProof/>
          <w:sz w:val="24"/>
          <w:szCs w:val="24"/>
          <w:rtl/>
          <w:lang w:eastAsia="fr-FR"/>
        </w:rPr>
        <w:t>تطور</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مركز</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المدينة</w:t>
      </w:r>
      <w:r w:rsidRPr="008C35CB">
        <w:rPr>
          <w:rFonts w:ascii="Simplified Arabic" w:hAnsi="Simplified Arabic" w:cs="Simplified Arabic"/>
          <w:noProof/>
          <w:sz w:val="24"/>
          <w:szCs w:val="24"/>
          <w:rtl/>
          <w:lang w:eastAsia="fr-FR"/>
        </w:rPr>
        <w:t xml:space="preserve"> </w:t>
      </w:r>
      <w:r>
        <w:rPr>
          <w:rFonts w:ascii="Simplified Arabic" w:hAnsi="Simplified Arabic" w:cs="Simplified Arabic" w:hint="cs"/>
          <w:noProof/>
          <w:sz w:val="24"/>
          <w:szCs w:val="24"/>
          <w:rtl/>
          <w:lang w:eastAsia="fr-FR"/>
        </w:rPr>
        <w:t>القديمة</w:t>
      </w:r>
      <w:r w:rsidRPr="008C35CB">
        <w:rPr>
          <w:rFonts w:ascii="Simplified Arabic" w:hAnsi="Simplified Arabic" w:cs="Simplified Arabic"/>
          <w:noProof/>
          <w:sz w:val="24"/>
          <w:szCs w:val="24"/>
          <w:rtl/>
          <w:lang w:eastAsia="fr-FR"/>
        </w:rPr>
        <w:t xml:space="preserve"> </w:t>
      </w:r>
      <w:r>
        <w:rPr>
          <w:rFonts w:ascii="Simplified Arabic" w:hAnsi="Simplified Arabic" w:cs="Simplified Arabic" w:hint="cs"/>
          <w:noProof/>
          <w:sz w:val="24"/>
          <w:szCs w:val="24"/>
          <w:rtl/>
          <w:lang w:eastAsia="fr-FR"/>
        </w:rPr>
        <w:t xml:space="preserve">(أو </w:t>
      </w:r>
      <w:r w:rsidRPr="008C35CB">
        <w:rPr>
          <w:rFonts w:ascii="Simplified Arabic" w:hAnsi="Simplified Arabic" w:cs="Simplified Arabic" w:hint="cs"/>
          <w:noProof/>
          <w:sz w:val="24"/>
          <w:szCs w:val="24"/>
          <w:rtl/>
          <w:lang w:eastAsia="fr-FR"/>
        </w:rPr>
        <w:t>قصر</w:t>
      </w:r>
      <w:r>
        <w:rPr>
          <w:rFonts w:ascii="Simplified Arabic" w:hAnsi="Simplified Arabic" w:cs="Simplified Arabic" w:hint="cs"/>
          <w:noProof/>
          <w:sz w:val="24"/>
          <w:szCs w:val="24"/>
          <w:rtl/>
          <w:lang w:eastAsia="fr-FR"/>
        </w:rPr>
        <w:t xml:space="preserve"> بوسعادة)</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حول</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المسجد</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الذي</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بناه</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سيدي</w:t>
      </w:r>
      <w:r w:rsidRPr="008C35CB">
        <w:rPr>
          <w:rFonts w:ascii="Simplified Arabic" w:hAnsi="Simplified Arabic" w:cs="Simplified Arabic"/>
          <w:noProof/>
          <w:sz w:val="24"/>
          <w:szCs w:val="24"/>
          <w:rtl/>
          <w:lang w:eastAsia="fr-FR"/>
        </w:rPr>
        <w:t xml:space="preserve"> </w:t>
      </w:r>
      <w:r w:rsidRPr="008C35CB">
        <w:rPr>
          <w:rFonts w:ascii="Simplified Arabic" w:hAnsi="Simplified Arabic" w:cs="Simplified Arabic" w:hint="cs"/>
          <w:noProof/>
          <w:sz w:val="24"/>
          <w:szCs w:val="24"/>
          <w:rtl/>
          <w:lang w:eastAsia="fr-FR"/>
        </w:rPr>
        <w:t>ثامر</w:t>
      </w:r>
      <w:r>
        <w:rPr>
          <w:rFonts w:ascii="Simplified Arabic" w:hAnsi="Simplified Arabic" w:cs="Simplified Arabic" w:hint="cs"/>
          <w:noProof/>
          <w:sz w:val="24"/>
          <w:szCs w:val="24"/>
          <w:rtl/>
          <w:lang w:eastAsia="fr-FR"/>
        </w:rPr>
        <w:t>، كانت في السابق محاطة بالاسوار التي تعتبر سمة من سمات مدن العصور الوسطى.</w:t>
      </w:r>
      <w:r w:rsidRPr="00C04504">
        <w:rPr>
          <w:rFonts w:ascii="Simplified Arabic" w:hAnsi="Simplified Arabic" w:cs="Simplified Arabic" w:hint="cs"/>
          <w:noProof/>
          <w:sz w:val="24"/>
          <w:szCs w:val="24"/>
          <w:rtl/>
          <w:lang w:eastAsia="fr-FR"/>
        </w:rPr>
        <w:t xml:space="preserve"> </w:t>
      </w:r>
      <w:r w:rsidRPr="004818A6">
        <w:rPr>
          <w:rFonts w:ascii="Simplified Arabic" w:hAnsi="Simplified Arabic" w:cs="Simplified Arabic" w:hint="cs"/>
          <w:noProof/>
          <w:sz w:val="24"/>
          <w:szCs w:val="24"/>
          <w:rtl/>
          <w:lang w:eastAsia="fr-FR"/>
        </w:rPr>
        <w:t>لأن</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مناطق</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جديدة</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ولدت</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وهي</w:t>
      </w:r>
      <w:r w:rsidRPr="004818A6">
        <w:rPr>
          <w:rFonts w:ascii="Simplified Arabic" w:hAnsi="Simplified Arabic" w:cs="Simplified Arabic"/>
          <w:noProof/>
          <w:sz w:val="24"/>
          <w:szCs w:val="24"/>
          <w:rtl/>
          <w:lang w:eastAsia="fr-FR"/>
        </w:rPr>
        <w:t xml:space="preserve">: </w:t>
      </w:r>
      <w:r>
        <w:rPr>
          <w:rFonts w:ascii="Simplified Arabic" w:hAnsi="Simplified Arabic" w:cs="Simplified Arabic" w:hint="cs"/>
          <w:noProof/>
          <w:sz w:val="24"/>
          <w:szCs w:val="24"/>
          <w:rtl/>
          <w:lang w:eastAsia="fr-FR"/>
        </w:rPr>
        <w:t>العشاشة</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النواة</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الأولى</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لتثبيت</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سيدي</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ثامر</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وتلاميذه</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وأنصاره</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ثم</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حي</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أولاد</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عتيق</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أحفاد</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سيدي</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ثامر</w:t>
      </w:r>
      <w:r w:rsidRPr="004818A6">
        <w:rPr>
          <w:rFonts w:ascii="Simplified Arabic" w:hAnsi="Simplified Arabic" w:cs="Simplified Arabic"/>
          <w:noProof/>
          <w:sz w:val="24"/>
          <w:szCs w:val="24"/>
          <w:rtl/>
          <w:lang w:eastAsia="fr-FR"/>
        </w:rPr>
        <w:t>)</w:t>
      </w:r>
      <w:r w:rsidRPr="004818A6">
        <w:rPr>
          <w:rFonts w:ascii="Simplified Arabic" w:hAnsi="Simplified Arabic" w:cs="Simplified Arabic" w:hint="cs"/>
          <w:noProof/>
          <w:sz w:val="24"/>
          <w:szCs w:val="24"/>
          <w:rtl/>
          <w:lang w:eastAsia="fr-FR"/>
        </w:rPr>
        <w:t>،</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ثم</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أولاد</w:t>
      </w:r>
      <w:r w:rsidRPr="004818A6">
        <w:rPr>
          <w:rFonts w:ascii="Simplified Arabic" w:hAnsi="Simplified Arabic" w:cs="Simplified Arabic"/>
          <w:noProof/>
          <w:sz w:val="24"/>
          <w:szCs w:val="24"/>
          <w:rtl/>
          <w:lang w:eastAsia="fr-FR"/>
        </w:rPr>
        <w:t xml:space="preserve"> </w:t>
      </w:r>
      <w:r>
        <w:rPr>
          <w:rFonts w:ascii="Simplified Arabic" w:hAnsi="Simplified Arabic" w:cs="Simplified Arabic" w:hint="cs"/>
          <w:noProof/>
          <w:sz w:val="24"/>
          <w:szCs w:val="24"/>
          <w:rtl/>
          <w:lang w:eastAsia="fr-FR"/>
        </w:rPr>
        <w:t>حركات</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w:t>
      </w:r>
      <w:r>
        <w:rPr>
          <w:rFonts w:ascii="Simplified Arabic" w:hAnsi="Simplified Arabic" w:cs="Simplified Arabic" w:hint="cs"/>
          <w:noProof/>
          <w:sz w:val="24"/>
          <w:szCs w:val="24"/>
          <w:rtl/>
          <w:lang w:eastAsia="fr-FR"/>
        </w:rPr>
        <w:t>ا</w:t>
      </w:r>
      <w:r w:rsidRPr="004818A6">
        <w:rPr>
          <w:rFonts w:ascii="Simplified Arabic" w:hAnsi="Simplified Arabic" w:cs="Simplified Arabic" w:hint="cs"/>
          <w:noProof/>
          <w:sz w:val="24"/>
          <w:szCs w:val="24"/>
          <w:rtl/>
          <w:lang w:eastAsia="fr-FR"/>
        </w:rPr>
        <w:t>ل</w:t>
      </w:r>
      <w:r>
        <w:rPr>
          <w:rFonts w:ascii="Simplified Arabic" w:hAnsi="Simplified Arabic" w:cs="Simplified Arabic" w:hint="cs"/>
          <w:noProof/>
          <w:sz w:val="24"/>
          <w:szCs w:val="24"/>
          <w:rtl/>
          <w:lang w:eastAsia="fr-FR"/>
        </w:rPr>
        <w:t>م</w:t>
      </w:r>
      <w:r w:rsidRPr="004818A6">
        <w:rPr>
          <w:rFonts w:ascii="Simplified Arabic" w:hAnsi="Simplified Arabic" w:cs="Simplified Arabic" w:hint="cs"/>
          <w:noProof/>
          <w:sz w:val="24"/>
          <w:szCs w:val="24"/>
          <w:rtl/>
          <w:lang w:eastAsia="fr-FR"/>
        </w:rPr>
        <w:t>و</w:t>
      </w:r>
      <w:r>
        <w:rPr>
          <w:rFonts w:ascii="Simplified Arabic" w:hAnsi="Simplified Arabic" w:cs="Simplified Arabic" w:hint="cs"/>
          <w:noProof/>
          <w:sz w:val="24"/>
          <w:szCs w:val="24"/>
          <w:rtl/>
          <w:lang w:eastAsia="fr-FR"/>
        </w:rPr>
        <w:t>ا</w:t>
      </w:r>
      <w:r w:rsidRPr="004818A6">
        <w:rPr>
          <w:rFonts w:ascii="Simplified Arabic" w:hAnsi="Simplified Arabic" w:cs="Simplified Arabic" w:hint="cs"/>
          <w:noProof/>
          <w:sz w:val="24"/>
          <w:szCs w:val="24"/>
          <w:rtl/>
          <w:lang w:eastAsia="fr-FR"/>
        </w:rPr>
        <w:t>مين</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w:t>
      </w:r>
      <w:r>
        <w:rPr>
          <w:rFonts w:ascii="Simplified Arabic" w:hAnsi="Simplified Arabic" w:cs="Simplified Arabic" w:hint="cs"/>
          <w:noProof/>
          <w:sz w:val="24"/>
          <w:szCs w:val="24"/>
          <w:rtl/>
          <w:lang w:eastAsia="fr-FR"/>
        </w:rPr>
        <w:t>ال</w:t>
      </w:r>
      <w:r w:rsidRPr="004818A6">
        <w:rPr>
          <w:rFonts w:ascii="Simplified Arabic" w:hAnsi="Simplified Arabic" w:cs="Simplified Arabic" w:hint="cs"/>
          <w:noProof/>
          <w:sz w:val="24"/>
          <w:szCs w:val="24"/>
          <w:rtl/>
          <w:lang w:eastAsia="fr-FR"/>
        </w:rPr>
        <w:t>ز</w:t>
      </w:r>
      <w:r>
        <w:rPr>
          <w:rFonts w:ascii="Simplified Arabic" w:hAnsi="Simplified Arabic" w:cs="Simplified Arabic" w:hint="cs"/>
          <w:noProof/>
          <w:sz w:val="24"/>
          <w:szCs w:val="24"/>
          <w:rtl/>
          <w:lang w:eastAsia="fr-FR"/>
        </w:rPr>
        <w:t>قاق</w:t>
      </w:r>
      <w:r w:rsidRPr="004818A6">
        <w:rPr>
          <w:rFonts w:ascii="Simplified Arabic" w:hAnsi="Simplified Arabic" w:cs="Simplified Arabic" w:hint="cs"/>
          <w:noProof/>
          <w:sz w:val="24"/>
          <w:szCs w:val="24"/>
          <w:rtl/>
          <w:lang w:eastAsia="fr-FR"/>
        </w:rPr>
        <w:t>م</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وأخيراً</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أولاد</w:t>
      </w:r>
      <w:r w:rsidRPr="004818A6">
        <w:rPr>
          <w:rFonts w:ascii="Simplified Arabic" w:hAnsi="Simplified Arabic" w:cs="Simplified Arabic"/>
          <w:noProof/>
          <w:sz w:val="24"/>
          <w:szCs w:val="24"/>
          <w:rtl/>
          <w:lang w:eastAsia="fr-FR"/>
        </w:rPr>
        <w:t xml:space="preserve"> </w:t>
      </w:r>
      <w:r w:rsidRPr="004818A6">
        <w:rPr>
          <w:rFonts w:ascii="Simplified Arabic" w:hAnsi="Simplified Arabic" w:cs="Simplified Arabic" w:hint="cs"/>
          <w:noProof/>
          <w:sz w:val="24"/>
          <w:szCs w:val="24"/>
          <w:rtl/>
          <w:lang w:eastAsia="fr-FR"/>
        </w:rPr>
        <w:t>أحميدة</w:t>
      </w:r>
      <w:r w:rsidRPr="004818A6">
        <w:rPr>
          <w:rFonts w:ascii="Simplified Arabic" w:hAnsi="Simplified Arabic" w:cs="Simplified Arabic"/>
          <w:noProof/>
          <w:sz w:val="24"/>
          <w:szCs w:val="24"/>
          <w:rtl/>
          <w:lang w:eastAsia="fr-FR"/>
        </w:rPr>
        <w:t>.</w:t>
      </w:r>
    </w:p>
    <w:p w:rsidR="000635D8" w:rsidRPr="008769EE" w:rsidRDefault="000635D8" w:rsidP="001D0548">
      <w:pPr>
        <w:pStyle w:val="Paragraphedeliste"/>
        <w:numPr>
          <w:ilvl w:val="2"/>
          <w:numId w:val="256"/>
        </w:numPr>
        <w:tabs>
          <w:tab w:val="right" w:pos="850"/>
        </w:tabs>
        <w:bidi/>
        <w:spacing w:before="240" w:after="0"/>
        <w:ind w:left="0" w:firstLine="0"/>
        <w:jc w:val="both"/>
        <w:outlineLvl w:val="1"/>
        <w:rPr>
          <w:rFonts w:ascii="Simplified Arabic" w:hAnsi="Simplified Arabic" w:cs="Simplified Arabic"/>
          <w:b/>
          <w:bCs/>
          <w:sz w:val="24"/>
          <w:szCs w:val="24"/>
          <w:rtl/>
          <w:lang w:val="en-US" w:bidi="ar-DZ"/>
        </w:rPr>
      </w:pPr>
      <w:bookmarkStart w:id="559" w:name="_Toc171803613"/>
      <w:r w:rsidRPr="008769EE">
        <w:rPr>
          <w:rFonts w:ascii="Simplified Arabic" w:hAnsi="Simplified Arabic" w:cs="Simplified Arabic" w:hint="cs"/>
          <w:b/>
          <w:bCs/>
          <w:sz w:val="24"/>
          <w:szCs w:val="24"/>
          <w:rtl/>
          <w:lang w:val="en-US" w:bidi="ar-DZ"/>
        </w:rPr>
        <w:t>الفترة الثانية: الهيمنة الاستعمارية بين 1849-1962</w:t>
      </w:r>
      <w:bookmarkEnd w:id="559"/>
    </w:p>
    <w:p w:rsidR="000635D8" w:rsidRPr="00C66DE6" w:rsidRDefault="000635D8" w:rsidP="00555689">
      <w:pPr>
        <w:autoSpaceDE w:val="0"/>
        <w:autoSpaceDN w:val="0"/>
        <w:bidi/>
        <w:adjustRightInd w:val="0"/>
        <w:spacing w:after="0"/>
        <w:ind w:firstLine="283"/>
        <w:jc w:val="both"/>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 xml:space="preserve">لم </w:t>
      </w:r>
      <w:r w:rsidR="00323763">
        <w:rPr>
          <w:rFonts w:ascii="Simplified Arabic" w:hAnsi="Simplified Arabic" w:cs="Simplified Arabic" w:hint="cs"/>
          <w:color w:val="000000"/>
          <w:sz w:val="24"/>
          <w:szCs w:val="24"/>
          <w:rtl/>
        </w:rPr>
        <w:t>ت</w:t>
      </w:r>
      <w:r>
        <w:rPr>
          <w:rFonts w:ascii="Simplified Arabic" w:hAnsi="Simplified Arabic" w:cs="Simplified Arabic" w:hint="cs"/>
          <w:color w:val="000000"/>
          <w:sz w:val="24"/>
          <w:szCs w:val="24"/>
          <w:rtl/>
        </w:rPr>
        <w:t xml:space="preserve">كتمل الهيمنة على مدينة بوسعادة حتى سنة 1849، حيث خضع توسع المدينة لمنطق هيمنة العدو الفرنسي، </w:t>
      </w:r>
      <w:r w:rsidRPr="00C66DE6">
        <w:rPr>
          <w:rFonts w:ascii="Simplified Arabic" w:hAnsi="Simplified Arabic" w:cs="Simplified Arabic"/>
          <w:color w:val="000000"/>
          <w:sz w:val="24"/>
          <w:szCs w:val="24"/>
          <w:rtl/>
        </w:rPr>
        <w:t>لقد</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خضع</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تطور</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المدينة</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في</w:t>
      </w:r>
      <w:r>
        <w:rPr>
          <w:rFonts w:ascii="Simplified Arabic" w:hAnsi="Simplified Arabic" w:cs="Simplified Arabic" w:hint="cs"/>
          <w:color w:val="000000"/>
          <w:sz w:val="24"/>
          <w:szCs w:val="24"/>
          <w:rtl/>
        </w:rPr>
        <w:t xml:space="preserve"> ه</w:t>
      </w:r>
      <w:r w:rsidRPr="00C66DE6">
        <w:rPr>
          <w:rFonts w:ascii="Simplified Arabic" w:hAnsi="Simplified Arabic" w:cs="Simplified Arabic"/>
          <w:color w:val="000000"/>
          <w:sz w:val="24"/>
          <w:szCs w:val="24"/>
          <w:rtl/>
        </w:rPr>
        <w:t>ذه</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الفترة</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إلى</w:t>
      </w:r>
      <w:r w:rsidRPr="00C66DE6">
        <w:rPr>
          <w:rFonts w:ascii="Simplified Arabic" w:hAnsi="Simplified Arabic" w:cs="Simplified Arabic"/>
          <w:color w:val="000000"/>
          <w:sz w:val="24"/>
          <w:szCs w:val="24"/>
        </w:rPr>
        <w:t xml:space="preserve"> </w:t>
      </w:r>
      <w:r w:rsidR="00555689">
        <w:rPr>
          <w:rFonts w:ascii="Simplified Arabic" w:hAnsi="Simplified Arabic" w:cs="Simplified Arabic" w:hint="cs"/>
          <w:color w:val="000000"/>
          <w:sz w:val="24"/>
          <w:szCs w:val="24"/>
          <w:rtl/>
        </w:rPr>
        <w:t>اربعة</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م</w:t>
      </w:r>
      <w:r>
        <w:rPr>
          <w:rFonts w:ascii="Simplified Arabic" w:hAnsi="Simplified Arabic" w:cs="Simplified Arabic" w:hint="cs"/>
          <w:color w:val="000000"/>
          <w:sz w:val="24"/>
          <w:szCs w:val="24"/>
          <w:rtl/>
        </w:rPr>
        <w:t>راحل</w:t>
      </w:r>
      <w:r w:rsidR="0056498E">
        <w:rPr>
          <w:rFonts w:ascii="Simplified Arabic" w:hAnsi="Simplified Arabic" w:cs="Simplified Arabic" w:hint="cs"/>
          <w:color w:val="000000"/>
          <w:sz w:val="24"/>
          <w:szCs w:val="24"/>
          <w:rtl/>
        </w:rPr>
        <w:t>،</w:t>
      </w:r>
      <w:r>
        <w:rPr>
          <w:rFonts w:ascii="Simplified Arabic" w:hAnsi="Simplified Arabic" w:cs="Simplified Arabic" w:hint="cs"/>
          <w:color w:val="000000"/>
          <w:sz w:val="24"/>
          <w:szCs w:val="24"/>
          <w:rtl/>
        </w:rPr>
        <w:t xml:space="preserve"> </w:t>
      </w:r>
      <w:r w:rsidR="0056498E">
        <w:rPr>
          <w:rFonts w:ascii="Simplified Arabic" w:hAnsi="Simplified Arabic" w:cs="Simplified Arabic" w:hint="cs"/>
          <w:color w:val="000000"/>
          <w:sz w:val="24"/>
          <w:szCs w:val="24"/>
          <w:rtl/>
        </w:rPr>
        <w:t>كما هو موضح في</w:t>
      </w:r>
      <w:r w:rsidR="0056498E" w:rsidRPr="00557150">
        <w:rPr>
          <w:rFonts w:ascii="Simplified Arabic" w:hAnsi="Simplified Arabic" w:cs="Simplified Arabic" w:hint="cs"/>
          <w:sz w:val="24"/>
          <w:szCs w:val="24"/>
          <w:rtl/>
        </w:rPr>
        <w:t xml:space="preserve"> </w:t>
      </w:r>
      <w:r w:rsidR="0056498E" w:rsidRPr="0063639A">
        <w:rPr>
          <w:rFonts w:ascii="Simplified Arabic" w:hAnsi="Simplified Arabic" w:cs="Simplified Arabic" w:hint="cs"/>
          <w:sz w:val="24"/>
          <w:szCs w:val="24"/>
          <w:rtl/>
        </w:rPr>
        <w:t>الخريطة (</w:t>
      </w:r>
      <w:r w:rsidR="0056498E">
        <w:rPr>
          <w:rFonts w:ascii="Simplified Arabic" w:hAnsi="Simplified Arabic" w:cs="Simplified Arabic" w:hint="cs"/>
          <w:sz w:val="24"/>
          <w:szCs w:val="24"/>
          <w:rtl/>
        </w:rPr>
        <w:t>4-7</w:t>
      </w:r>
      <w:r w:rsidR="0056498E" w:rsidRPr="0063639A">
        <w:rPr>
          <w:rFonts w:ascii="Simplified Arabic" w:hAnsi="Simplified Arabic" w:cs="Simplified Arabic" w:hint="cs"/>
          <w:sz w:val="24"/>
          <w:szCs w:val="24"/>
          <w:rtl/>
        </w:rPr>
        <w:t>)</w:t>
      </w:r>
      <w:r w:rsidR="0056498E">
        <w:rPr>
          <w:rFonts w:ascii="Simplified Arabic" w:hAnsi="Simplified Arabic" w:cs="Simplified Arabic" w:hint="cs"/>
          <w:sz w:val="24"/>
          <w:szCs w:val="24"/>
          <w:rtl/>
        </w:rPr>
        <w:t xml:space="preserve">، </w:t>
      </w:r>
      <w:r w:rsidR="00323763" w:rsidRPr="0063639A">
        <w:rPr>
          <w:rFonts w:ascii="Simplified Arabic" w:hAnsi="Simplified Arabic" w:cs="Simplified Arabic" w:hint="cs"/>
          <w:sz w:val="24"/>
          <w:szCs w:val="24"/>
          <w:rtl/>
        </w:rPr>
        <w:t>الخريطة (</w:t>
      </w:r>
      <w:r w:rsidR="00323763">
        <w:rPr>
          <w:rFonts w:ascii="Simplified Arabic" w:hAnsi="Simplified Arabic" w:cs="Simplified Arabic" w:hint="cs"/>
          <w:sz w:val="24"/>
          <w:szCs w:val="24"/>
          <w:rtl/>
        </w:rPr>
        <w:t>4-</w:t>
      </w:r>
      <w:r w:rsidR="00555689">
        <w:rPr>
          <w:rFonts w:ascii="Simplified Arabic" w:hAnsi="Simplified Arabic" w:cs="Simplified Arabic" w:hint="cs"/>
          <w:sz w:val="24"/>
          <w:szCs w:val="24"/>
          <w:rtl/>
        </w:rPr>
        <w:t>8</w:t>
      </w:r>
      <w:r w:rsidR="00323763" w:rsidRPr="0063639A">
        <w:rPr>
          <w:rFonts w:ascii="Simplified Arabic" w:hAnsi="Simplified Arabic" w:cs="Simplified Arabic" w:hint="cs"/>
          <w:sz w:val="24"/>
          <w:szCs w:val="24"/>
          <w:rtl/>
        </w:rPr>
        <w:t>)</w:t>
      </w:r>
      <w:r w:rsidR="00555689">
        <w:rPr>
          <w:rFonts w:ascii="Simplified Arabic" w:hAnsi="Simplified Arabic" w:cs="Simplified Arabic" w:hint="cs"/>
          <w:sz w:val="24"/>
          <w:szCs w:val="24"/>
          <w:rtl/>
        </w:rPr>
        <w:t>:</w:t>
      </w:r>
    </w:p>
    <w:p w:rsidR="000635D8" w:rsidRDefault="000635D8" w:rsidP="001D0548">
      <w:pPr>
        <w:pStyle w:val="Paragraphedeliste"/>
        <w:numPr>
          <w:ilvl w:val="0"/>
          <w:numId w:val="38"/>
        </w:numPr>
        <w:tabs>
          <w:tab w:val="right" w:pos="567"/>
        </w:tabs>
        <w:autoSpaceDE w:val="0"/>
        <w:autoSpaceDN w:val="0"/>
        <w:bidi/>
        <w:adjustRightInd w:val="0"/>
        <w:spacing w:after="0"/>
        <w:ind w:left="0" w:firstLine="283"/>
        <w:jc w:val="both"/>
        <w:rPr>
          <w:rFonts w:ascii="Simplified Arabic" w:hAnsi="Simplified Arabic" w:cs="Simplified Arabic"/>
          <w:color w:val="000000"/>
          <w:sz w:val="24"/>
          <w:szCs w:val="24"/>
        </w:rPr>
      </w:pPr>
      <w:r w:rsidRPr="00C66DE6">
        <w:rPr>
          <w:rFonts w:ascii="Simplified Arabic" w:hAnsi="Simplified Arabic" w:cs="Simplified Arabic"/>
          <w:color w:val="000000"/>
          <w:sz w:val="24"/>
          <w:szCs w:val="24"/>
          <w:rtl/>
        </w:rPr>
        <w:lastRenderedPageBreak/>
        <w:t>المرح</w:t>
      </w:r>
      <w:r>
        <w:rPr>
          <w:rFonts w:ascii="Simplified Arabic" w:hAnsi="Simplified Arabic" w:cs="Simplified Arabic" w:hint="cs"/>
          <w:color w:val="000000"/>
          <w:sz w:val="24"/>
          <w:szCs w:val="24"/>
          <w:rtl/>
        </w:rPr>
        <w:t>ل</w:t>
      </w:r>
      <w:r w:rsidRPr="00C66DE6">
        <w:rPr>
          <w:rFonts w:ascii="Simplified Arabic" w:hAnsi="Simplified Arabic" w:cs="Simplified Arabic"/>
          <w:color w:val="000000"/>
          <w:sz w:val="24"/>
          <w:szCs w:val="24"/>
          <w:rtl/>
        </w:rPr>
        <w:t>ة</w:t>
      </w:r>
      <w:r w:rsidRPr="00C66DE6">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الأولى</w:t>
      </w:r>
      <w:r w:rsidRPr="00C66DE6">
        <w:rPr>
          <w:rFonts w:ascii="Simplified Arabic" w:hAnsi="Simplified Arabic" w:cs="Simplified Arabic" w:hint="cs"/>
          <w:color w:val="000000"/>
          <w:sz w:val="24"/>
          <w:szCs w:val="24"/>
          <w:rtl/>
        </w:rPr>
        <w:t xml:space="preserve"> ما بين (1849-1860): </w:t>
      </w:r>
      <w:r w:rsidRPr="00C66DE6">
        <w:rPr>
          <w:rFonts w:ascii="Simplified Arabic" w:hAnsi="Simplified Arabic" w:cs="Simplified Arabic"/>
          <w:color w:val="000000"/>
          <w:sz w:val="24"/>
          <w:szCs w:val="24"/>
          <w:rtl/>
        </w:rPr>
        <w:t>في</w:t>
      </w:r>
      <w:r w:rsidRPr="00C66DE6">
        <w:rPr>
          <w:rFonts w:ascii="Simplified Arabic" w:hAnsi="Simplified Arabic" w:cs="Simplified Arabic" w:hint="cs"/>
          <w:color w:val="000000"/>
          <w:sz w:val="24"/>
          <w:szCs w:val="24"/>
          <w:rtl/>
        </w:rPr>
        <w:t xml:space="preserve"> ه</w:t>
      </w:r>
      <w:r w:rsidRPr="00C66DE6">
        <w:rPr>
          <w:rFonts w:ascii="Simplified Arabic" w:hAnsi="Simplified Arabic" w:cs="Simplified Arabic"/>
          <w:color w:val="000000"/>
          <w:sz w:val="24"/>
          <w:szCs w:val="24"/>
          <w:rtl/>
        </w:rPr>
        <w:t>ذه</w:t>
      </w:r>
      <w:r w:rsidRPr="00C66DE6">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المرح</w:t>
      </w:r>
      <w:r w:rsidRPr="00C66DE6">
        <w:rPr>
          <w:rFonts w:ascii="Simplified Arabic" w:hAnsi="Simplified Arabic" w:cs="Simplified Arabic" w:hint="cs"/>
          <w:color w:val="000000"/>
          <w:sz w:val="24"/>
          <w:szCs w:val="24"/>
          <w:rtl/>
        </w:rPr>
        <w:t>ل</w:t>
      </w:r>
      <w:r w:rsidRPr="00C66DE6">
        <w:rPr>
          <w:rFonts w:ascii="Simplified Arabic" w:hAnsi="Simplified Arabic" w:cs="Simplified Arabic"/>
          <w:color w:val="000000"/>
          <w:sz w:val="24"/>
          <w:szCs w:val="24"/>
          <w:rtl/>
        </w:rPr>
        <w:t>ة</w:t>
      </w:r>
      <w:r w:rsidRPr="00C66DE6">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توسعت</w:t>
      </w:r>
      <w:r w:rsidRPr="00C66DE6">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المدينة</w:t>
      </w:r>
      <w:r w:rsidRPr="00C66DE6">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نحو</w:t>
      </w:r>
      <w:r w:rsidRPr="00C66DE6">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الجنوب</w:t>
      </w:r>
      <w:r w:rsidRPr="00C66DE6">
        <w:rPr>
          <w:rFonts w:ascii="Simplified Arabic" w:hAnsi="Simplified Arabic" w:cs="Simplified Arabic" w:hint="cs"/>
          <w:color w:val="000000"/>
          <w:sz w:val="24"/>
          <w:szCs w:val="24"/>
          <w:rtl/>
        </w:rPr>
        <w:t>، اين</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تم</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إنشاء</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حي</w:t>
      </w:r>
      <w:r>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أولاد</w:t>
      </w:r>
      <w:r>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حميدة</w:t>
      </w:r>
      <w:r>
        <w:rPr>
          <w:rFonts w:ascii="Simplified Arabic" w:hAnsi="Simplified Arabic" w:cs="Simplified Arabic" w:hint="cs"/>
          <w:color w:val="000000"/>
          <w:sz w:val="24"/>
          <w:szCs w:val="24"/>
          <w:rtl/>
        </w:rPr>
        <w:t xml:space="preserve"> ا</w:t>
      </w:r>
      <w:r w:rsidRPr="00C66DE6">
        <w:rPr>
          <w:rFonts w:ascii="Simplified Arabic" w:hAnsi="Simplified Arabic" w:cs="Simplified Arabic"/>
          <w:color w:val="000000"/>
          <w:sz w:val="24"/>
          <w:szCs w:val="24"/>
          <w:rtl/>
        </w:rPr>
        <w:t>لذي</w:t>
      </w:r>
      <w:r>
        <w:rPr>
          <w:rFonts w:ascii="Simplified Arabic" w:hAnsi="Simplified Arabic" w:cs="Simplified Arabic" w:hint="cs"/>
          <w:color w:val="000000"/>
          <w:sz w:val="24"/>
          <w:szCs w:val="24"/>
          <w:rtl/>
        </w:rPr>
        <w:t xml:space="preserve"> يحمل نفس </w:t>
      </w:r>
      <w:r w:rsidRPr="00C66DE6">
        <w:rPr>
          <w:rFonts w:ascii="Simplified Arabic" w:hAnsi="Simplified Arabic" w:cs="Simplified Arabic"/>
          <w:color w:val="000000"/>
          <w:sz w:val="24"/>
          <w:szCs w:val="24"/>
          <w:rtl/>
        </w:rPr>
        <w:t>خصوصي</w:t>
      </w:r>
      <w:r>
        <w:rPr>
          <w:rFonts w:ascii="Simplified Arabic" w:hAnsi="Simplified Arabic" w:cs="Simplified Arabic" w:hint="cs"/>
          <w:color w:val="000000"/>
          <w:sz w:val="24"/>
          <w:szCs w:val="24"/>
          <w:rtl/>
        </w:rPr>
        <w:t xml:space="preserve">ات </w:t>
      </w:r>
      <w:r w:rsidRPr="00C66DE6">
        <w:rPr>
          <w:rFonts w:ascii="Simplified Arabic" w:hAnsi="Simplified Arabic" w:cs="Simplified Arabic"/>
          <w:color w:val="000000"/>
          <w:sz w:val="24"/>
          <w:szCs w:val="24"/>
          <w:rtl/>
        </w:rPr>
        <w:t>النسيج</w:t>
      </w:r>
      <w:r>
        <w:rPr>
          <w:rFonts w:ascii="Simplified Arabic" w:hAnsi="Simplified Arabic" w:cs="Simplified Arabic" w:hint="cs"/>
          <w:color w:val="000000"/>
          <w:sz w:val="24"/>
          <w:szCs w:val="24"/>
          <w:rtl/>
        </w:rPr>
        <w:t xml:space="preserve"> </w:t>
      </w:r>
      <w:r w:rsidRPr="00C66DE6">
        <w:rPr>
          <w:rFonts w:ascii="Simplified Arabic" w:hAnsi="Simplified Arabic" w:cs="Simplified Arabic"/>
          <w:color w:val="000000"/>
          <w:sz w:val="24"/>
          <w:szCs w:val="24"/>
          <w:rtl/>
        </w:rPr>
        <w:t>القديم</w:t>
      </w:r>
      <w:r w:rsidRPr="00C66DE6">
        <w:rPr>
          <w:rFonts w:ascii="Simplified Arabic" w:hAnsi="Simplified Arabic" w:cs="Simplified Arabic"/>
          <w:color w:val="000000"/>
          <w:sz w:val="24"/>
          <w:szCs w:val="24"/>
        </w:rPr>
        <w:t>.</w:t>
      </w:r>
    </w:p>
    <w:p w:rsidR="000635D8" w:rsidRDefault="000635D8" w:rsidP="001D0548">
      <w:pPr>
        <w:pStyle w:val="Paragraphedeliste"/>
        <w:numPr>
          <w:ilvl w:val="0"/>
          <w:numId w:val="38"/>
        </w:numPr>
        <w:tabs>
          <w:tab w:val="right" w:pos="567"/>
        </w:tabs>
        <w:autoSpaceDE w:val="0"/>
        <w:autoSpaceDN w:val="0"/>
        <w:bidi/>
        <w:adjustRightInd w:val="0"/>
        <w:spacing w:after="0"/>
        <w:ind w:left="0" w:firstLine="283"/>
        <w:jc w:val="both"/>
        <w:rPr>
          <w:rFonts w:ascii="Simplified Arabic" w:hAnsi="Simplified Arabic" w:cs="Simplified Arabic"/>
          <w:color w:val="000000"/>
          <w:sz w:val="24"/>
          <w:szCs w:val="24"/>
        </w:rPr>
      </w:pPr>
      <w:r w:rsidRPr="00754CEA">
        <w:rPr>
          <w:rFonts w:ascii="Simplified Arabic" w:hAnsi="Simplified Arabic" w:cs="Simplified Arabic" w:hint="cs"/>
          <w:color w:val="000000"/>
          <w:sz w:val="24"/>
          <w:szCs w:val="24"/>
          <w:rtl/>
        </w:rPr>
        <w:t xml:space="preserve">المرحلة الثانية ما بين (1860-1876): </w:t>
      </w:r>
      <w:r>
        <w:rPr>
          <w:rFonts w:ascii="Simplified Arabic" w:hAnsi="Simplified Arabic" w:cs="Simplified Arabic" w:hint="cs"/>
          <w:color w:val="000000"/>
          <w:sz w:val="24"/>
          <w:szCs w:val="24"/>
          <w:rtl/>
        </w:rPr>
        <w:t>خلال</w:t>
      </w:r>
      <w:r w:rsidRPr="00754CEA">
        <w:rPr>
          <w:rFonts w:ascii="Simplified Arabic" w:hAnsi="Simplified Arabic" w:cs="Simplified Arabic" w:hint="cs"/>
          <w:color w:val="000000"/>
          <w:sz w:val="24"/>
          <w:szCs w:val="24"/>
          <w:rtl/>
        </w:rPr>
        <w:t xml:space="preserve"> ه</w:t>
      </w:r>
      <w:r w:rsidRPr="00754CEA">
        <w:rPr>
          <w:rFonts w:ascii="Simplified Arabic" w:hAnsi="Simplified Arabic" w:cs="Simplified Arabic"/>
          <w:color w:val="000000"/>
          <w:sz w:val="24"/>
          <w:szCs w:val="24"/>
          <w:rtl/>
        </w:rPr>
        <w:t>ذه</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المرح</w:t>
      </w:r>
      <w:r>
        <w:rPr>
          <w:rFonts w:ascii="Simplified Arabic" w:hAnsi="Simplified Arabic" w:cs="Simplified Arabic" w:hint="cs"/>
          <w:color w:val="000000"/>
          <w:sz w:val="24"/>
          <w:szCs w:val="24"/>
          <w:rtl/>
        </w:rPr>
        <w:t>ل</w:t>
      </w:r>
      <w:r w:rsidRPr="00754CEA">
        <w:rPr>
          <w:rFonts w:ascii="Simplified Arabic" w:hAnsi="Simplified Arabic" w:cs="Simplified Arabic"/>
          <w:color w:val="000000"/>
          <w:sz w:val="24"/>
          <w:szCs w:val="24"/>
          <w:rtl/>
        </w:rPr>
        <w:t>ة</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استمر</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التوسع</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نحو</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الجنوب</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الشرقي</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وأسس</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في</w:t>
      </w:r>
      <w:r>
        <w:rPr>
          <w:rFonts w:ascii="Simplified Arabic" w:hAnsi="Simplified Arabic" w:cs="Simplified Arabic" w:hint="cs"/>
          <w:color w:val="000000"/>
          <w:sz w:val="24"/>
          <w:szCs w:val="24"/>
          <w:rtl/>
        </w:rPr>
        <w:t>ه</w:t>
      </w:r>
      <w:r w:rsidRPr="00754CEA">
        <w:rPr>
          <w:rFonts w:ascii="Simplified Arabic" w:hAnsi="Simplified Arabic" w:cs="Simplified Arabic"/>
          <w:color w:val="000000"/>
          <w:sz w:val="24"/>
          <w:szCs w:val="24"/>
          <w:rtl/>
        </w:rPr>
        <w:t>ا</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حي</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بلاطو</w:t>
      </w:r>
      <w:r>
        <w:rPr>
          <w:rFonts w:ascii="Simplified Arabic" w:hAnsi="Simplified Arabic" w:cs="Simplified Arabic" w:hint="cs"/>
          <w:color w:val="000000"/>
          <w:sz w:val="24"/>
          <w:szCs w:val="24"/>
          <w:rtl/>
        </w:rPr>
        <w:t xml:space="preserve"> بنمطه الاوربي</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شوارع</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واسعة</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ومساحات</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خضر</w:t>
      </w:r>
      <w:r w:rsidRPr="00754CEA">
        <w:rPr>
          <w:rFonts w:ascii="Simplified Arabic" w:hAnsi="Simplified Arabic" w:cs="Simplified Arabic" w:hint="cs"/>
          <w:color w:val="000000"/>
          <w:sz w:val="24"/>
          <w:szCs w:val="24"/>
          <w:rtl/>
        </w:rPr>
        <w:t>ا</w:t>
      </w:r>
      <w:r w:rsidRPr="00754CEA">
        <w:rPr>
          <w:rFonts w:ascii="Simplified Arabic" w:hAnsi="Simplified Arabic" w:cs="Simplified Arabic"/>
          <w:color w:val="000000"/>
          <w:sz w:val="24"/>
          <w:szCs w:val="24"/>
          <w:rtl/>
        </w:rPr>
        <w:t>ء</w:t>
      </w:r>
      <w:r w:rsidRPr="00754CEA">
        <w:rPr>
          <w:rFonts w:ascii="Simplified Arabic" w:hAnsi="Simplified Arabic" w:cs="Simplified Arabic" w:hint="cs"/>
          <w:color w:val="000000"/>
          <w:sz w:val="24"/>
          <w:szCs w:val="24"/>
          <w:rtl/>
        </w:rPr>
        <w:t>)</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وإنشاء</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شارع</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قابوري</w:t>
      </w:r>
      <w:r w:rsidRPr="00754CEA">
        <w:rPr>
          <w:rFonts w:ascii="Simplified Arabic" w:hAnsi="Simplified Arabic" w:cs="Simplified Arabic" w:hint="cs"/>
          <w:color w:val="000000"/>
          <w:sz w:val="24"/>
          <w:szCs w:val="24"/>
          <w:rtl/>
        </w:rPr>
        <w:t>و</w:t>
      </w:r>
      <w:r>
        <w:rPr>
          <w:rFonts w:ascii="Simplified Arabic" w:hAnsi="Simplified Arabic" w:cs="Simplified Arabic" w:hint="cs"/>
          <w:color w:val="000000"/>
          <w:sz w:val="24"/>
          <w:szCs w:val="24"/>
          <w:rtl/>
        </w:rPr>
        <w:t>،</w:t>
      </w:r>
      <w:r w:rsidRPr="00754CEA">
        <w:rPr>
          <w:rFonts w:ascii="Simplified Arabic" w:hAnsi="Simplified Arabic" w:cs="Simplified Arabic"/>
          <w:color w:val="000000"/>
          <w:sz w:val="24"/>
          <w:szCs w:val="24"/>
          <w:rtl/>
        </w:rPr>
        <w:t xml:space="preserve"> وت</w:t>
      </w:r>
      <w:r w:rsidRPr="00754CEA">
        <w:rPr>
          <w:rFonts w:ascii="Simplified Arabic" w:hAnsi="Simplified Arabic" w:cs="Simplified Arabic" w:hint="cs"/>
          <w:color w:val="000000"/>
          <w:sz w:val="24"/>
          <w:szCs w:val="24"/>
          <w:rtl/>
        </w:rPr>
        <w:t>ه</w:t>
      </w:r>
      <w:r w:rsidRPr="00754CEA">
        <w:rPr>
          <w:rFonts w:ascii="Simplified Arabic" w:hAnsi="Simplified Arabic" w:cs="Simplified Arabic"/>
          <w:color w:val="000000"/>
          <w:sz w:val="24"/>
          <w:szCs w:val="24"/>
          <w:rtl/>
        </w:rPr>
        <w:t>يئة</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الرحبة</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التي</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أخذت</w:t>
      </w:r>
      <w:r w:rsidRPr="00754CEA">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اسم</w:t>
      </w:r>
      <w:r w:rsidRPr="00754CEA">
        <w:rPr>
          <w:rFonts w:ascii="Simplified Arabic" w:hAnsi="Simplified Arabic" w:cs="Simplified Arabic" w:hint="cs"/>
          <w:color w:val="000000"/>
          <w:sz w:val="24"/>
          <w:szCs w:val="24"/>
          <w:rtl/>
        </w:rPr>
        <w:t xml:space="preserve"> </w:t>
      </w:r>
      <w:r>
        <w:rPr>
          <w:rFonts w:ascii="Simplified Arabic" w:hAnsi="Simplified Arabic" w:cs="Simplified Arabic"/>
          <w:color w:val="000000"/>
          <w:sz w:val="24"/>
          <w:szCs w:val="24"/>
          <w:rtl/>
        </w:rPr>
        <w:t>ساح</w:t>
      </w:r>
      <w:r>
        <w:rPr>
          <w:rFonts w:ascii="Simplified Arabic" w:hAnsi="Simplified Arabic" w:cs="Simplified Arabic" w:hint="cs"/>
          <w:color w:val="000000"/>
          <w:sz w:val="24"/>
          <w:szCs w:val="24"/>
          <w:rtl/>
        </w:rPr>
        <w:t xml:space="preserve">ة </w:t>
      </w:r>
      <w:r w:rsidRPr="00754CEA">
        <w:rPr>
          <w:rFonts w:asciiTheme="majorBidi" w:hAnsiTheme="majorBidi" w:cstheme="majorBidi"/>
          <w:color w:val="000000"/>
          <w:sz w:val="24"/>
          <w:szCs w:val="24"/>
        </w:rPr>
        <w:t>(colonel Pein)</w:t>
      </w:r>
      <w:r w:rsidRPr="00557150">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rPr>
        <w:t xml:space="preserve"> حاليا، تحمل هذه الساحة اسم الامير عبد القادر</w:t>
      </w:r>
      <w:r w:rsidRPr="00754CEA">
        <w:rPr>
          <w:rFonts w:ascii="Simplified Arabic" w:hAnsi="Simplified Arabic" w:cs="Simplified Arabic" w:hint="cs"/>
          <w:color w:val="000000"/>
          <w:sz w:val="24"/>
          <w:szCs w:val="24"/>
          <w:rtl/>
        </w:rPr>
        <w:t>.</w:t>
      </w:r>
    </w:p>
    <w:p w:rsidR="000635D8" w:rsidRDefault="000635D8" w:rsidP="001D0548">
      <w:pPr>
        <w:pStyle w:val="Paragraphedeliste"/>
        <w:numPr>
          <w:ilvl w:val="0"/>
          <w:numId w:val="38"/>
        </w:numPr>
        <w:tabs>
          <w:tab w:val="right" w:pos="567"/>
        </w:tabs>
        <w:autoSpaceDE w:val="0"/>
        <w:autoSpaceDN w:val="0"/>
        <w:bidi/>
        <w:adjustRightInd w:val="0"/>
        <w:spacing w:after="0"/>
        <w:ind w:left="0" w:firstLine="283"/>
        <w:jc w:val="both"/>
        <w:rPr>
          <w:rFonts w:ascii="Simplified Arabic" w:hAnsi="Simplified Arabic" w:cs="Simplified Arabic"/>
          <w:color w:val="000000"/>
          <w:sz w:val="24"/>
          <w:szCs w:val="24"/>
        </w:rPr>
      </w:pPr>
      <w:r w:rsidRPr="003A521E">
        <w:rPr>
          <w:rFonts w:ascii="Simplified Arabic" w:hAnsi="Simplified Arabic" w:cs="Simplified Arabic" w:hint="cs"/>
          <w:color w:val="000000"/>
          <w:sz w:val="24"/>
          <w:szCs w:val="24"/>
          <w:rtl/>
        </w:rPr>
        <w:t>المرحلة الثا</w:t>
      </w:r>
      <w:r>
        <w:rPr>
          <w:rFonts w:ascii="Simplified Arabic" w:hAnsi="Simplified Arabic" w:cs="Simplified Arabic" w:hint="cs"/>
          <w:color w:val="000000"/>
          <w:sz w:val="24"/>
          <w:szCs w:val="24"/>
          <w:rtl/>
        </w:rPr>
        <w:t>لث</w:t>
      </w:r>
      <w:r w:rsidRPr="003A521E">
        <w:rPr>
          <w:rFonts w:ascii="Simplified Arabic" w:hAnsi="Simplified Arabic" w:cs="Simplified Arabic" w:hint="cs"/>
          <w:color w:val="000000"/>
          <w:sz w:val="24"/>
          <w:szCs w:val="24"/>
          <w:rtl/>
        </w:rPr>
        <w:t xml:space="preserve">ة ما بين (1876-1920): </w:t>
      </w:r>
      <w:r>
        <w:rPr>
          <w:rFonts w:ascii="Simplified Arabic" w:hAnsi="Simplified Arabic" w:cs="Simplified Arabic" w:hint="cs"/>
          <w:color w:val="000000"/>
          <w:sz w:val="24"/>
          <w:szCs w:val="24"/>
          <w:rtl/>
        </w:rPr>
        <w:t xml:space="preserve">شهدت </w:t>
      </w:r>
      <w:r w:rsidRPr="003A521E">
        <w:rPr>
          <w:rFonts w:ascii="Simplified Arabic" w:hAnsi="Simplified Arabic" w:cs="Simplified Arabic" w:hint="cs"/>
          <w:color w:val="000000"/>
          <w:sz w:val="24"/>
          <w:szCs w:val="24"/>
          <w:rtl/>
        </w:rPr>
        <w:t>هذه المرحلة بناء عدة فنادق وسط المدينة (تعليمية، ادارية، حديقة عامة، ...الخ)، مع بداية سنة 1920 تم انشاء عدة فنادق بشارع قابوريو، ظهرت المدينة كموقع جذب سياحي، نظرا للمواقع الاثرية والطبيع</w:t>
      </w:r>
      <w:r>
        <w:rPr>
          <w:rFonts w:ascii="Simplified Arabic" w:hAnsi="Simplified Arabic" w:cs="Simplified Arabic" w:hint="cs"/>
          <w:color w:val="000000"/>
          <w:sz w:val="24"/>
          <w:szCs w:val="24"/>
          <w:rtl/>
        </w:rPr>
        <w:t xml:space="preserve">ية الخلابة، </w:t>
      </w:r>
      <w:r w:rsidRPr="003A521E">
        <w:rPr>
          <w:rFonts w:ascii="Simplified Arabic" w:hAnsi="Simplified Arabic" w:cs="Simplified Arabic"/>
          <w:color w:val="000000"/>
          <w:sz w:val="24"/>
          <w:szCs w:val="24"/>
          <w:rtl/>
        </w:rPr>
        <w:t>كما</w:t>
      </w:r>
      <w:r>
        <w:rPr>
          <w:rFonts w:ascii="Simplified Arabic" w:hAnsi="Simplified Arabic" w:cs="Simplified Arabic" w:hint="cs"/>
          <w:color w:val="000000"/>
          <w:sz w:val="24"/>
          <w:szCs w:val="24"/>
          <w:rtl/>
        </w:rPr>
        <w:t xml:space="preserve"> </w:t>
      </w:r>
      <w:r>
        <w:rPr>
          <w:rFonts w:ascii="Simplified Arabic" w:hAnsi="Simplified Arabic" w:cs="Simplified Arabic"/>
          <w:color w:val="000000"/>
          <w:sz w:val="24"/>
          <w:szCs w:val="24"/>
          <w:rtl/>
        </w:rPr>
        <w:t>ظ</w:t>
      </w:r>
      <w:r>
        <w:rPr>
          <w:rFonts w:ascii="Simplified Arabic" w:hAnsi="Simplified Arabic" w:cs="Simplified Arabic" w:hint="cs"/>
          <w:color w:val="000000"/>
          <w:sz w:val="24"/>
          <w:szCs w:val="24"/>
          <w:rtl/>
        </w:rPr>
        <w:t>ه</w:t>
      </w:r>
      <w:r w:rsidRPr="003A521E">
        <w:rPr>
          <w:rFonts w:ascii="Simplified Arabic" w:hAnsi="Simplified Arabic" w:cs="Simplified Arabic"/>
          <w:color w:val="000000"/>
          <w:sz w:val="24"/>
          <w:szCs w:val="24"/>
          <w:rtl/>
        </w:rPr>
        <w:t>ر</w:t>
      </w:r>
      <w:r>
        <w:rPr>
          <w:rFonts w:ascii="Simplified Arabic" w:hAnsi="Simplified Arabic" w:cs="Simplified Arabic" w:hint="cs"/>
          <w:color w:val="000000"/>
          <w:sz w:val="24"/>
          <w:szCs w:val="24"/>
          <w:rtl/>
        </w:rPr>
        <w:t xml:space="preserve"> في هذه المرحلة </w:t>
      </w:r>
      <w:r w:rsidRPr="003A521E">
        <w:rPr>
          <w:rFonts w:ascii="Simplified Arabic" w:hAnsi="Simplified Arabic" w:cs="Simplified Arabic"/>
          <w:color w:val="000000"/>
          <w:sz w:val="24"/>
          <w:szCs w:val="24"/>
          <w:rtl/>
        </w:rPr>
        <w:t>حي</w:t>
      </w:r>
      <w:r>
        <w:rPr>
          <w:rFonts w:ascii="Simplified Arabic" w:hAnsi="Simplified Arabic" w:cs="Simplified Arabic" w:hint="cs"/>
          <w:color w:val="000000"/>
          <w:sz w:val="24"/>
          <w:szCs w:val="24"/>
          <w:rtl/>
        </w:rPr>
        <w:t xml:space="preserve"> ا</w:t>
      </w:r>
      <w:r w:rsidRPr="003A521E">
        <w:rPr>
          <w:rFonts w:ascii="Simplified Arabic" w:hAnsi="Simplified Arabic" w:cs="Simplified Arabic"/>
          <w:color w:val="000000"/>
          <w:sz w:val="24"/>
          <w:szCs w:val="24"/>
          <w:rtl/>
        </w:rPr>
        <w:t>لدشرة</w:t>
      </w:r>
      <w:r>
        <w:rPr>
          <w:rFonts w:ascii="Simplified Arabic" w:hAnsi="Simplified Arabic" w:cs="Simplified Arabic" w:hint="cs"/>
          <w:color w:val="000000"/>
          <w:sz w:val="24"/>
          <w:szCs w:val="24"/>
          <w:rtl/>
        </w:rPr>
        <w:t xml:space="preserve"> </w:t>
      </w:r>
      <w:r w:rsidRPr="003A521E">
        <w:rPr>
          <w:rFonts w:ascii="Simplified Arabic" w:hAnsi="Simplified Arabic" w:cs="Simplified Arabic"/>
          <w:color w:val="000000"/>
          <w:sz w:val="24"/>
          <w:szCs w:val="24"/>
          <w:rtl/>
        </w:rPr>
        <w:t>القب</w:t>
      </w:r>
      <w:r>
        <w:rPr>
          <w:rFonts w:ascii="Simplified Arabic" w:hAnsi="Simplified Arabic" w:cs="Simplified Arabic" w:hint="cs"/>
          <w:color w:val="000000"/>
          <w:sz w:val="24"/>
          <w:szCs w:val="24"/>
          <w:rtl/>
        </w:rPr>
        <w:t>ل</w:t>
      </w:r>
      <w:r w:rsidRPr="003A521E">
        <w:rPr>
          <w:rFonts w:ascii="Simplified Arabic" w:hAnsi="Simplified Arabic" w:cs="Simplified Arabic"/>
          <w:color w:val="000000"/>
          <w:sz w:val="24"/>
          <w:szCs w:val="24"/>
          <w:rtl/>
        </w:rPr>
        <w:t>ية</w:t>
      </w:r>
      <w:r>
        <w:rPr>
          <w:rFonts w:ascii="Simplified Arabic" w:hAnsi="Simplified Arabic" w:cs="Simplified Arabic" w:hint="cs"/>
          <w:color w:val="000000"/>
          <w:sz w:val="24"/>
          <w:szCs w:val="24"/>
          <w:rtl/>
        </w:rPr>
        <w:t xml:space="preserve"> </w:t>
      </w:r>
      <w:r w:rsidRPr="003A521E">
        <w:rPr>
          <w:rFonts w:ascii="Simplified Arabic" w:hAnsi="Simplified Arabic" w:cs="Simplified Arabic"/>
          <w:color w:val="000000"/>
          <w:sz w:val="24"/>
          <w:szCs w:val="24"/>
          <w:rtl/>
        </w:rPr>
        <w:t>بالناحية</w:t>
      </w:r>
      <w:r>
        <w:rPr>
          <w:rFonts w:ascii="Simplified Arabic" w:hAnsi="Simplified Arabic" w:cs="Simplified Arabic" w:hint="cs"/>
          <w:color w:val="000000"/>
          <w:sz w:val="24"/>
          <w:szCs w:val="24"/>
          <w:rtl/>
        </w:rPr>
        <w:t xml:space="preserve"> </w:t>
      </w:r>
      <w:r w:rsidRPr="003A521E">
        <w:rPr>
          <w:rFonts w:ascii="Simplified Arabic" w:hAnsi="Simplified Arabic" w:cs="Simplified Arabic"/>
          <w:color w:val="000000"/>
          <w:sz w:val="24"/>
          <w:szCs w:val="24"/>
          <w:rtl/>
        </w:rPr>
        <w:t>الشرقية</w:t>
      </w:r>
      <w:r>
        <w:rPr>
          <w:rFonts w:ascii="Simplified Arabic" w:hAnsi="Simplified Arabic" w:cs="Simplified Arabic" w:hint="cs"/>
          <w:color w:val="000000"/>
          <w:sz w:val="24"/>
          <w:szCs w:val="24"/>
          <w:rtl/>
        </w:rPr>
        <w:t>.</w:t>
      </w:r>
    </w:p>
    <w:p w:rsidR="00BA4046" w:rsidRDefault="000635D8" w:rsidP="001D0548">
      <w:pPr>
        <w:pStyle w:val="Paragraphedeliste"/>
        <w:numPr>
          <w:ilvl w:val="0"/>
          <w:numId w:val="38"/>
        </w:numPr>
        <w:tabs>
          <w:tab w:val="right" w:pos="567"/>
        </w:tabs>
        <w:autoSpaceDE w:val="0"/>
        <w:autoSpaceDN w:val="0"/>
        <w:bidi/>
        <w:adjustRightInd w:val="0"/>
        <w:spacing w:after="0"/>
        <w:ind w:left="0" w:firstLine="283"/>
        <w:jc w:val="both"/>
        <w:rPr>
          <w:rFonts w:ascii="Simplified Arabic" w:hAnsi="Simplified Arabic" w:cs="Simplified Arabic"/>
          <w:color w:val="000000"/>
          <w:sz w:val="24"/>
          <w:szCs w:val="24"/>
        </w:rPr>
      </w:pPr>
      <w:r w:rsidRPr="00173D34">
        <w:rPr>
          <w:rFonts w:ascii="Simplified Arabic" w:hAnsi="Simplified Arabic" w:cs="Simplified Arabic" w:hint="cs"/>
          <w:color w:val="000000"/>
          <w:sz w:val="24"/>
          <w:szCs w:val="24"/>
          <w:rtl/>
        </w:rPr>
        <w:t xml:space="preserve">المرحلة الرابعة ما بين (1920-1962): </w:t>
      </w:r>
      <w:r w:rsidRPr="00173D34">
        <w:rPr>
          <w:rFonts w:ascii="Simplified Arabic" w:hAnsi="Simplified Arabic" w:cs="Simplified Arabic"/>
          <w:color w:val="000000"/>
          <w:sz w:val="24"/>
          <w:szCs w:val="24"/>
          <w:rtl/>
        </w:rPr>
        <w:t>أصبحت</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المدينة</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خ</w:t>
      </w:r>
      <w:r w:rsidRPr="00173D34">
        <w:rPr>
          <w:rFonts w:ascii="Simplified Arabic" w:hAnsi="Simplified Arabic" w:cs="Simplified Arabic" w:hint="cs"/>
          <w:color w:val="000000"/>
          <w:sz w:val="24"/>
          <w:szCs w:val="24"/>
          <w:rtl/>
        </w:rPr>
        <w:t>ل</w:t>
      </w:r>
      <w:r w:rsidRPr="00173D34">
        <w:rPr>
          <w:rFonts w:ascii="Simplified Arabic" w:hAnsi="Simplified Arabic" w:cs="Simplified Arabic"/>
          <w:color w:val="000000"/>
          <w:sz w:val="24"/>
          <w:szCs w:val="24"/>
          <w:rtl/>
        </w:rPr>
        <w:t>يط</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من</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الأحياء</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الأوربية</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hint="cs"/>
          <w:color w:val="000000"/>
          <w:sz w:val="24"/>
          <w:szCs w:val="24"/>
          <w:rtl/>
        </w:rPr>
        <w:t xml:space="preserve">التي استمرت </w:t>
      </w:r>
      <w:r w:rsidRPr="00173D34">
        <w:rPr>
          <w:rFonts w:ascii="Simplified Arabic" w:hAnsi="Simplified Arabic" w:cs="Simplified Arabic"/>
          <w:color w:val="000000"/>
          <w:sz w:val="24"/>
          <w:szCs w:val="24"/>
          <w:rtl/>
        </w:rPr>
        <w:t>في</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التطور</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من</w:t>
      </w:r>
      <w:r w:rsidRPr="00173D34">
        <w:rPr>
          <w:rFonts w:ascii="Simplified Arabic" w:hAnsi="Simplified Arabic" w:cs="Simplified Arabic" w:hint="cs"/>
          <w:color w:val="000000"/>
          <w:sz w:val="24"/>
          <w:szCs w:val="24"/>
          <w:rtl/>
        </w:rPr>
        <w:t xml:space="preserve"> </w:t>
      </w:r>
      <w:r w:rsidRPr="00173D34">
        <w:rPr>
          <w:rFonts w:ascii="Simplified Arabic" w:hAnsi="Simplified Arabic" w:cs="Simplified Arabic"/>
          <w:color w:val="000000"/>
          <w:sz w:val="24"/>
          <w:szCs w:val="24"/>
          <w:rtl/>
        </w:rPr>
        <w:t>الج</w:t>
      </w:r>
      <w:r w:rsidRPr="00173D34">
        <w:rPr>
          <w:rFonts w:ascii="Simplified Arabic" w:hAnsi="Simplified Arabic" w:cs="Simplified Arabic" w:hint="cs"/>
          <w:color w:val="000000"/>
          <w:sz w:val="24"/>
          <w:szCs w:val="24"/>
          <w:rtl/>
        </w:rPr>
        <w:t>ه</w:t>
      </w:r>
      <w:r w:rsidRPr="00173D34">
        <w:rPr>
          <w:rFonts w:ascii="Simplified Arabic" w:hAnsi="Simplified Arabic" w:cs="Simplified Arabic"/>
          <w:color w:val="000000"/>
          <w:sz w:val="24"/>
          <w:szCs w:val="24"/>
          <w:rtl/>
        </w:rPr>
        <w:t>ة</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الجنوبية</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الغربية</w:t>
      </w:r>
      <w:r w:rsidRPr="00173D34">
        <w:rPr>
          <w:rFonts w:ascii="Simplified Arabic" w:hAnsi="Simplified Arabic" w:cs="Simplified Arabic" w:hint="cs"/>
          <w:color w:val="000000"/>
          <w:sz w:val="24"/>
          <w:szCs w:val="24"/>
          <w:rtl/>
        </w:rPr>
        <w:t xml:space="preserve"> المتمثلة في</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حي</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سطيح</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وحي</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بلاطو،</w:t>
      </w:r>
      <w:r w:rsidRPr="00173D34">
        <w:rPr>
          <w:rFonts w:ascii="Simplified Arabic" w:hAnsi="Simplified Arabic" w:cs="Simplified Arabic"/>
          <w:color w:val="000000"/>
          <w:sz w:val="24"/>
          <w:szCs w:val="24"/>
        </w:rPr>
        <w:t xml:space="preserve"> </w:t>
      </w:r>
      <w:r w:rsidR="0077622D">
        <w:rPr>
          <w:rFonts w:ascii="Simplified Arabic" w:hAnsi="Simplified Arabic" w:cs="Simplified Arabic" w:hint="cs"/>
          <w:color w:val="000000"/>
          <w:sz w:val="24"/>
          <w:szCs w:val="24"/>
          <w:rtl/>
        </w:rPr>
        <w:t>ومع</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ارتفاع</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نسبة</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الم</w:t>
      </w:r>
      <w:r w:rsidRPr="00173D34">
        <w:rPr>
          <w:rFonts w:ascii="Simplified Arabic" w:hAnsi="Simplified Arabic" w:cs="Simplified Arabic" w:hint="cs"/>
          <w:color w:val="000000"/>
          <w:sz w:val="24"/>
          <w:szCs w:val="24"/>
          <w:rtl/>
        </w:rPr>
        <w:t>ه</w:t>
      </w:r>
      <w:r w:rsidRPr="00173D34">
        <w:rPr>
          <w:rFonts w:ascii="Simplified Arabic" w:hAnsi="Simplified Arabic" w:cs="Simplified Arabic"/>
          <w:color w:val="000000"/>
          <w:sz w:val="24"/>
          <w:szCs w:val="24"/>
          <w:rtl/>
        </w:rPr>
        <w:t>اجرين</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hint="cs"/>
          <w:color w:val="000000"/>
          <w:sz w:val="24"/>
          <w:szCs w:val="24"/>
          <w:rtl/>
        </w:rPr>
        <w:t>من الجزائريين القرويين سنة 1945 وسياسة التهجير القسري لسكان الريف نحو المدن بعد اندلاع الثورة التحريرية 1954</w:t>
      </w:r>
      <w:r w:rsidR="0077622D">
        <w:rPr>
          <w:rFonts w:ascii="Simplified Arabic" w:hAnsi="Simplified Arabic" w:cs="Simplified Arabic" w:hint="cs"/>
          <w:color w:val="000000"/>
          <w:sz w:val="24"/>
          <w:szCs w:val="24"/>
          <w:rtl/>
        </w:rPr>
        <w:t>،</w:t>
      </w:r>
      <w:r w:rsidRPr="00173D34">
        <w:rPr>
          <w:rFonts w:ascii="Simplified Arabic" w:hAnsi="Simplified Arabic" w:cs="Simplified Arabic" w:hint="cs"/>
          <w:color w:val="000000"/>
          <w:sz w:val="24"/>
          <w:szCs w:val="24"/>
          <w:rtl/>
        </w:rPr>
        <w:t xml:space="preserve"> </w:t>
      </w:r>
      <w:r w:rsidRPr="00173D34">
        <w:rPr>
          <w:rFonts w:ascii="Simplified Arabic" w:hAnsi="Simplified Arabic" w:cs="Simplified Arabic"/>
          <w:color w:val="000000"/>
          <w:sz w:val="24"/>
          <w:szCs w:val="24"/>
          <w:rtl/>
        </w:rPr>
        <w:t>تم</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hint="cs"/>
          <w:color w:val="000000"/>
          <w:sz w:val="24"/>
          <w:szCs w:val="24"/>
          <w:rtl/>
        </w:rPr>
        <w:t xml:space="preserve">انشاء </w:t>
      </w:r>
      <w:r w:rsidRPr="00173D34">
        <w:rPr>
          <w:rFonts w:ascii="Simplified Arabic" w:hAnsi="Simplified Arabic" w:cs="Simplified Arabic"/>
          <w:color w:val="000000"/>
          <w:sz w:val="24"/>
          <w:szCs w:val="24"/>
          <w:rtl/>
        </w:rPr>
        <w:t>أحياء</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أخرى</w:t>
      </w:r>
      <w:r w:rsidR="0056498E" w:rsidRPr="00173D34">
        <w:rPr>
          <w:rFonts w:ascii="Simplified Arabic" w:hAnsi="Simplified Arabic" w:cs="Simplified Arabic" w:hint="cs"/>
          <w:color w:val="000000"/>
          <w:sz w:val="24"/>
          <w:szCs w:val="24"/>
          <w:rtl/>
        </w:rPr>
        <w:t xml:space="preserve"> </w:t>
      </w:r>
      <w:r w:rsidRPr="00173D34">
        <w:rPr>
          <w:rFonts w:asciiTheme="majorBidi" w:hAnsiTheme="majorBidi" w:cstheme="majorBidi"/>
          <w:color w:val="000000"/>
          <w:sz w:val="24"/>
          <w:szCs w:val="24"/>
        </w:rPr>
        <w:t xml:space="preserve"> </w:t>
      </w:r>
      <w:r w:rsidRPr="00173D34">
        <w:rPr>
          <w:rFonts w:asciiTheme="majorBidi" w:hAnsiTheme="majorBidi" w:cstheme="majorBidi"/>
          <w:sz w:val="24"/>
          <w:szCs w:val="24"/>
        </w:rPr>
        <w:t>(Araba, 2012)</w:t>
      </w:r>
      <w:r w:rsidRPr="00173D34">
        <w:rPr>
          <w:rFonts w:ascii="Simplified Arabic" w:hAnsi="Simplified Arabic" w:cs="Simplified Arabic" w:hint="cs"/>
          <w:color w:val="000000"/>
          <w:sz w:val="24"/>
          <w:szCs w:val="24"/>
          <w:rtl/>
        </w:rPr>
        <w:t xml:space="preserve">، مثل حي </w:t>
      </w:r>
      <w:r w:rsidRPr="00173D34">
        <w:rPr>
          <w:rFonts w:ascii="Simplified Arabic" w:hAnsi="Simplified Arabic" w:cs="Simplified Arabic"/>
          <w:color w:val="000000"/>
          <w:sz w:val="24"/>
          <w:szCs w:val="24"/>
          <w:rtl/>
        </w:rPr>
        <w:t>القيسة</w:t>
      </w:r>
      <w:r w:rsidRPr="00173D34">
        <w:rPr>
          <w:rFonts w:ascii="Simplified Arabic" w:hAnsi="Simplified Arabic" w:cs="Simplified Arabic" w:hint="cs"/>
          <w:color w:val="000000"/>
          <w:sz w:val="24"/>
          <w:szCs w:val="24"/>
          <w:rtl/>
        </w:rPr>
        <w:t xml:space="preserve"> وحي ا</w:t>
      </w:r>
      <w:r w:rsidRPr="00173D34">
        <w:rPr>
          <w:rFonts w:ascii="Simplified Arabic" w:hAnsi="Simplified Arabic" w:cs="Simplified Arabic"/>
          <w:color w:val="000000"/>
          <w:sz w:val="24"/>
          <w:szCs w:val="24"/>
          <w:rtl/>
        </w:rPr>
        <w:t>لكوشة</w:t>
      </w:r>
      <w:r w:rsidRPr="00173D34">
        <w:rPr>
          <w:rFonts w:ascii="Simplified Arabic" w:hAnsi="Simplified Arabic" w:cs="Simplified Arabic" w:hint="cs"/>
          <w:color w:val="000000"/>
          <w:sz w:val="24"/>
          <w:szCs w:val="24"/>
          <w:rtl/>
        </w:rPr>
        <w:t xml:space="preserve"> غ</w:t>
      </w:r>
      <w:r w:rsidRPr="00173D34">
        <w:rPr>
          <w:rFonts w:ascii="Simplified Arabic" w:hAnsi="Simplified Arabic" w:cs="Simplified Arabic"/>
          <w:color w:val="000000"/>
          <w:sz w:val="24"/>
          <w:szCs w:val="24"/>
          <w:rtl/>
        </w:rPr>
        <w:t>رب</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النسيج</w:t>
      </w:r>
      <w:r w:rsidRPr="00173D34">
        <w:rPr>
          <w:rFonts w:ascii="Simplified Arabic" w:hAnsi="Simplified Arabic" w:cs="Simplified Arabic"/>
          <w:color w:val="000000"/>
          <w:sz w:val="24"/>
          <w:szCs w:val="24"/>
        </w:rPr>
        <w:t xml:space="preserve"> </w:t>
      </w:r>
      <w:r w:rsidRPr="00173D34">
        <w:rPr>
          <w:rFonts w:ascii="Simplified Arabic" w:hAnsi="Simplified Arabic" w:cs="Simplified Arabic"/>
          <w:color w:val="000000"/>
          <w:sz w:val="24"/>
          <w:szCs w:val="24"/>
          <w:rtl/>
        </w:rPr>
        <w:t>القديم</w:t>
      </w:r>
      <w:r w:rsidRPr="00173D34">
        <w:rPr>
          <w:rFonts w:ascii="Simplified Arabic" w:hAnsi="Simplified Arabic" w:cs="Simplified Arabic" w:hint="cs"/>
          <w:color w:val="000000"/>
          <w:sz w:val="24"/>
          <w:szCs w:val="24"/>
          <w:rtl/>
        </w:rPr>
        <w:t xml:space="preserve"> </w:t>
      </w:r>
      <w:r w:rsidRPr="00173D34">
        <w:rPr>
          <w:rFonts w:asciiTheme="majorBidi" w:hAnsiTheme="majorBidi" w:cstheme="majorBidi"/>
          <w:sz w:val="24"/>
          <w:szCs w:val="24"/>
        </w:rPr>
        <w:t>(Araba, 2012)</w:t>
      </w:r>
      <w:r w:rsidRPr="00173D34">
        <w:rPr>
          <w:rFonts w:ascii="Simplified Arabic" w:hAnsi="Simplified Arabic" w:cs="Simplified Arabic"/>
          <w:color w:val="000000"/>
          <w:sz w:val="24"/>
          <w:szCs w:val="24"/>
          <w:rtl/>
        </w:rPr>
        <w:t>.</w:t>
      </w:r>
      <w:r w:rsidRPr="00173D34">
        <w:rPr>
          <w:rFonts w:ascii="Simplified Arabic" w:hAnsi="Simplified Arabic" w:cs="Simplified Arabic" w:hint="cs"/>
          <w:color w:val="000000"/>
          <w:sz w:val="24"/>
          <w:szCs w:val="24"/>
          <w:rtl/>
        </w:rPr>
        <w:t xml:space="preserve"> الأحياء</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التي</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يسكنها</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العرب</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هي تجمعات</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شعبية</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 xml:space="preserve">لم يخضع </w:t>
      </w:r>
      <w:r w:rsidR="005071CB">
        <w:rPr>
          <w:rFonts w:ascii="Simplified Arabic" w:hAnsi="Simplified Arabic" w:cs="Simplified Arabic" w:hint="cs"/>
          <w:sz w:val="24"/>
          <w:szCs w:val="24"/>
          <w:rtl/>
        </w:rPr>
        <w:t>استعمال</w:t>
      </w:r>
      <w:r w:rsidRPr="00173D34">
        <w:rPr>
          <w:rFonts w:ascii="Simplified Arabic" w:hAnsi="Simplified Arabic" w:cs="Simplified Arabic" w:hint="cs"/>
          <w:color w:val="000000"/>
          <w:sz w:val="24"/>
          <w:szCs w:val="24"/>
          <w:rtl/>
        </w:rPr>
        <w:t xml:space="preserve"> الارض فيها</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إلى</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أي</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تنظيم</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مكاني</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مخطط</w:t>
      </w:r>
      <w:r w:rsidRPr="00173D34">
        <w:rPr>
          <w:rFonts w:ascii="Simplified Arabic" w:hAnsi="Simplified Arabic" w:cs="Simplified Arabic"/>
          <w:color w:val="000000"/>
          <w:sz w:val="24"/>
          <w:szCs w:val="24"/>
          <w:rtl/>
        </w:rPr>
        <w:t xml:space="preserve"> </w:t>
      </w:r>
      <w:r w:rsidRPr="00173D34">
        <w:rPr>
          <w:rFonts w:ascii="Simplified Arabic" w:hAnsi="Simplified Arabic" w:cs="Simplified Arabic" w:hint="cs"/>
          <w:color w:val="000000"/>
          <w:sz w:val="24"/>
          <w:szCs w:val="24"/>
          <w:rtl/>
        </w:rPr>
        <w:t>له</w:t>
      </w:r>
      <w:r w:rsidRPr="00173D34">
        <w:rPr>
          <w:rFonts w:ascii="Simplified Arabic" w:hAnsi="Simplified Arabic" w:cs="Simplified Arabic"/>
          <w:color w:val="000000"/>
          <w:sz w:val="24"/>
          <w:szCs w:val="24"/>
          <w:rtl/>
        </w:rPr>
        <w:t>.</w:t>
      </w:r>
      <w:r w:rsidRPr="00173D34">
        <w:rPr>
          <w:rFonts w:ascii="Simplified Arabic" w:hAnsi="Simplified Arabic" w:cs="Simplified Arabic" w:hint="cs"/>
          <w:color w:val="000000"/>
          <w:sz w:val="24"/>
          <w:szCs w:val="24"/>
          <w:rtl/>
        </w:rPr>
        <w:t xml:space="preserve"> كان في كل مرة يتم التعامل مع الحواجز الطبيعية المتمثلة في جبل كردادة وجبل عزالدين وواد بوسعادة، التي حالت دون التوسع المستمر للمدينة.</w:t>
      </w:r>
    </w:p>
    <w:p w:rsidR="00D35B2A" w:rsidRDefault="007245F7" w:rsidP="00D35B2A">
      <w:pPr>
        <w:pStyle w:val="Paragraphedeliste"/>
        <w:tabs>
          <w:tab w:val="right" w:pos="567"/>
        </w:tabs>
        <w:autoSpaceDE w:val="0"/>
        <w:autoSpaceDN w:val="0"/>
        <w:bidi/>
        <w:adjustRightInd w:val="0"/>
        <w:spacing w:after="0"/>
        <w:ind w:left="283"/>
        <w:jc w:val="both"/>
        <w:rPr>
          <w:rFonts w:ascii="Simplified Arabic" w:hAnsi="Simplified Arabic" w:cs="Simplified Arabic"/>
          <w:color w:val="000000"/>
          <w:sz w:val="24"/>
          <w:szCs w:val="24"/>
        </w:rPr>
      </w:pPr>
      <w:r>
        <w:rPr>
          <w:rFonts w:ascii="Simplified Arabic" w:hAnsi="Simplified Arabic" w:cs="Simplified Arabic"/>
          <w:noProof/>
          <w:color w:val="000000"/>
          <w:sz w:val="24"/>
          <w:szCs w:val="24"/>
          <w:lang w:eastAsia="fr-FR"/>
        </w:rPr>
        <mc:AlternateContent>
          <mc:Choice Requires="wps">
            <w:drawing>
              <wp:anchor distT="0" distB="0" distL="114300" distR="114300" simplePos="0" relativeHeight="251894784" behindDoc="0" locked="0" layoutInCell="1" allowOverlap="1" wp14:anchorId="4D17609D" wp14:editId="14E25196">
                <wp:simplePos x="0" y="0"/>
                <wp:positionH relativeFrom="column">
                  <wp:posOffset>194310</wp:posOffset>
                </wp:positionH>
                <wp:positionV relativeFrom="paragraph">
                  <wp:posOffset>166370</wp:posOffset>
                </wp:positionV>
                <wp:extent cx="2571750" cy="914400"/>
                <wp:effectExtent l="0" t="0" r="0" b="0"/>
                <wp:wrapNone/>
                <wp:docPr id="243" name="Zone de texte 243"/>
                <wp:cNvGraphicFramePr/>
                <a:graphic xmlns:a="http://schemas.openxmlformats.org/drawingml/2006/main">
                  <a:graphicData uri="http://schemas.microsoft.com/office/word/2010/wordprocessingShape">
                    <wps:wsp>
                      <wps:cNvSpPr txBox="1"/>
                      <wps:spPr>
                        <a:xfrm>
                          <a:off x="0" y="0"/>
                          <a:ext cx="2571750" cy="914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D35B2A">
                            <w:pPr>
                              <w:tabs>
                                <w:tab w:val="right" w:pos="281"/>
                              </w:tabs>
                              <w:bidi/>
                              <w:spacing w:after="0" w:line="240" w:lineRule="auto"/>
                              <w:jc w:val="center"/>
                              <w:rPr>
                                <w:rFonts w:ascii="Simplified Arabic" w:hAnsi="Simplified Arabic" w:cs="Simplified Arabic"/>
                                <w:sz w:val="24"/>
                                <w:szCs w:val="24"/>
                                <w:rtl/>
                              </w:rPr>
                            </w:pPr>
                            <w:bookmarkStart w:id="560" w:name="_Toc157616597"/>
                            <w:bookmarkStart w:id="561" w:name="_Toc170520655"/>
                            <w:bookmarkStart w:id="562" w:name="_Toc171803614"/>
                            <w:r w:rsidRPr="00D35B2A">
                              <w:rPr>
                                <w:rStyle w:val="carteCar"/>
                                <w:rFonts w:hint="cs"/>
                                <w:rtl/>
                              </w:rPr>
                              <w:t>الخريطة (4-</w:t>
                            </w:r>
                            <w:r>
                              <w:rPr>
                                <w:rStyle w:val="carteCar"/>
                                <w:rFonts w:hint="cs"/>
                                <w:rtl/>
                              </w:rPr>
                              <w:t>10</w:t>
                            </w:r>
                            <w:r w:rsidRPr="00D35B2A">
                              <w:rPr>
                                <w:rStyle w:val="carteCar"/>
                                <w:rFonts w:hint="cs"/>
                                <w:rtl/>
                              </w:rPr>
                              <w:t>)</w:t>
                            </w:r>
                            <w:r w:rsidRPr="00D35B2A">
                              <w:rPr>
                                <w:rStyle w:val="carteCar"/>
                                <w:rtl/>
                              </w:rPr>
                              <w:t>:</w:t>
                            </w:r>
                            <w:r w:rsidRPr="00D35B2A">
                              <w:rPr>
                                <w:rStyle w:val="carteCar"/>
                                <w:rFonts w:hint="cs"/>
                                <w:rtl/>
                              </w:rPr>
                              <w:t xml:space="preserve"> تطور</w:t>
                            </w:r>
                            <w:r w:rsidRPr="00D35B2A">
                              <w:rPr>
                                <w:rStyle w:val="carteCar"/>
                                <w:rtl/>
                              </w:rPr>
                              <w:t xml:space="preserve"> </w:t>
                            </w:r>
                            <w:r w:rsidRPr="00D35B2A">
                              <w:rPr>
                                <w:rStyle w:val="carteCar"/>
                                <w:rFonts w:hint="cs"/>
                                <w:rtl/>
                              </w:rPr>
                              <w:t>التمدد</w:t>
                            </w:r>
                            <w:r w:rsidRPr="00D35B2A">
                              <w:rPr>
                                <w:rStyle w:val="carteCar"/>
                                <w:rtl/>
                              </w:rPr>
                              <w:t xml:space="preserve"> </w:t>
                            </w:r>
                            <w:r w:rsidRPr="00D35B2A">
                              <w:rPr>
                                <w:rStyle w:val="carteCar"/>
                                <w:rFonts w:hint="cs"/>
                                <w:rtl/>
                              </w:rPr>
                              <w:t>الحضري</w:t>
                            </w:r>
                            <w:r w:rsidRPr="00D35B2A">
                              <w:rPr>
                                <w:rStyle w:val="carteCar"/>
                                <w:rtl/>
                              </w:rPr>
                              <w:t xml:space="preserve"> </w:t>
                            </w:r>
                            <w:r w:rsidRPr="00D35B2A">
                              <w:rPr>
                                <w:rStyle w:val="carteCar"/>
                                <w:rFonts w:hint="cs"/>
                                <w:rtl/>
                              </w:rPr>
                              <w:t>لمدينة بوسعادة</w:t>
                            </w:r>
                            <w:r w:rsidRPr="00D35B2A">
                              <w:rPr>
                                <w:rStyle w:val="carteCar"/>
                                <w:rtl/>
                              </w:rPr>
                              <w:t xml:space="preserve"> </w:t>
                            </w:r>
                            <w:r w:rsidRPr="00D35B2A">
                              <w:rPr>
                                <w:rStyle w:val="carteCar"/>
                                <w:rFonts w:hint="cs"/>
                                <w:rtl/>
                              </w:rPr>
                              <w:t>الى غاية سنة</w:t>
                            </w:r>
                            <w:r w:rsidRPr="00D35B2A">
                              <w:rPr>
                                <w:rStyle w:val="carteCar"/>
                                <w:rtl/>
                              </w:rPr>
                              <w:t xml:space="preserve"> </w:t>
                            </w:r>
                            <w:r w:rsidRPr="00D35B2A">
                              <w:rPr>
                                <w:rStyle w:val="carteCar"/>
                                <w:rFonts w:hint="cs"/>
                                <w:rtl/>
                              </w:rPr>
                              <w:t>1962</w:t>
                            </w:r>
                            <w:bookmarkEnd w:id="560"/>
                            <w:bookmarkEnd w:id="561"/>
                            <w:bookmarkEnd w:id="562"/>
                            <w:r>
                              <w:rPr>
                                <w:rFonts w:ascii="Simplified Arabic" w:hAnsi="Simplified Arabic" w:cs="Simplified Arabic" w:hint="cs"/>
                                <w:sz w:val="24"/>
                                <w:szCs w:val="24"/>
                                <w:rtl/>
                              </w:rPr>
                              <w:t xml:space="preserve"> </w:t>
                            </w:r>
                            <w:r>
                              <w:rPr>
                                <w:rFonts w:asciiTheme="majorBidi" w:hAnsiTheme="majorBidi" w:cstheme="majorBidi" w:hint="cs"/>
                                <w:sz w:val="24"/>
                                <w:szCs w:val="24"/>
                                <w:rtl/>
                              </w:rPr>
                              <w:t xml:space="preserve"> </w:t>
                            </w:r>
                            <w:r>
                              <w:rPr>
                                <w:rFonts w:ascii="Simplified Arabic" w:hAnsi="Simplified Arabic" w:cs="Simplified Arabic" w:hint="cs"/>
                                <w:sz w:val="24"/>
                                <w:szCs w:val="24"/>
                                <w:rtl/>
                              </w:rPr>
                              <w:t xml:space="preserve">المصدر: </w:t>
                            </w:r>
                            <w:r w:rsidRPr="00A6547A">
                              <w:rPr>
                                <w:rFonts w:asciiTheme="majorBidi" w:hAnsiTheme="majorBidi" w:cstheme="majorBidi"/>
                                <w:sz w:val="24"/>
                                <w:szCs w:val="24"/>
                              </w:rPr>
                              <w:t xml:space="preserve">( Nacib Y. 1986, </w:t>
                            </w:r>
                            <w:r w:rsidRPr="00173D34">
                              <w:rPr>
                                <w:rFonts w:asciiTheme="majorBidi" w:hAnsiTheme="majorBidi" w:cstheme="majorBidi"/>
                                <w:sz w:val="24"/>
                                <w:szCs w:val="24"/>
                              </w:rPr>
                              <w:t>Nouibat</w:t>
                            </w:r>
                            <w:r w:rsidRPr="00A6547A">
                              <w:rPr>
                                <w:rFonts w:asciiTheme="majorBidi" w:hAnsiTheme="majorBidi" w:cstheme="majorBidi"/>
                                <w:sz w:val="24"/>
                                <w:szCs w:val="24"/>
                              </w:rPr>
                              <w:t>, 2007)</w:t>
                            </w:r>
                          </w:p>
                          <w:p w:rsidR="00D13702" w:rsidRDefault="00D13702" w:rsidP="00A9318D">
                            <w:pPr>
                              <w:tabs>
                                <w:tab w:val="right" w:pos="281"/>
                              </w:tabs>
                              <w:bidi/>
                              <w:spacing w:after="0" w:line="240" w:lineRule="auto"/>
                              <w:rPr>
                                <w:rFonts w:ascii="Simplified Arabic" w:hAnsi="Simplified Arabic" w:cs="Simplified Arabic"/>
                                <w:sz w:val="24"/>
                                <w:szCs w:val="24"/>
                                <w:rtl/>
                              </w:rPr>
                            </w:pPr>
                          </w:p>
                          <w:p w:rsidR="00D13702" w:rsidRDefault="00D13702" w:rsidP="00A9318D">
                            <w:pPr>
                              <w:tabs>
                                <w:tab w:val="right" w:pos="281"/>
                              </w:tabs>
                              <w:bidi/>
                              <w:spacing w:before="240" w:after="0" w:line="240" w:lineRule="auto"/>
                              <w:rPr>
                                <w:rFonts w:ascii="Simplified Arabic" w:hAnsi="Simplified Arabic" w:cs="Simplified Arabic"/>
                                <w:sz w:val="24"/>
                                <w:szCs w:val="24"/>
                                <w:rtl/>
                              </w:rPr>
                            </w:pPr>
                          </w:p>
                          <w:p w:rsidR="00D13702" w:rsidRDefault="00D13702" w:rsidP="00A9318D">
                            <w:pPr>
                              <w:bidi/>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43" o:spid="_x0000_s1050" type="#_x0000_t202" style="position:absolute;left:0;text-align:left;margin-left:15.3pt;margin-top:13.1pt;width:202.5pt;height:1in;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" fillcolor="white [3201]" stroked="f" strokeweight=".5pt">
                <v:textbox>
                  <w:txbxContent>
                    <w:p w:rsidR="00D13702" w:rsidRDefault="00D13702" w:rsidP="00D35B2A">
                      <w:pPr>
                        <w:tabs>
                          <w:tab w:val="right" w:pos="281"/>
                        </w:tabs>
                        <w:bidi/>
                        <w:spacing w:after="0" w:line="240" w:lineRule="auto"/>
                        <w:jc w:val="center"/>
                        <w:rPr>
                          <w:rFonts w:ascii="Simplified Arabic" w:hAnsi="Simplified Arabic" w:cs="Simplified Arabic"/>
                          <w:sz w:val="24"/>
                          <w:szCs w:val="24"/>
                          <w:rtl/>
                        </w:rPr>
                      </w:pPr>
                      <w:bookmarkStart w:id="563" w:name="_Toc157616597"/>
                      <w:bookmarkStart w:id="564" w:name="_Toc170520655"/>
                      <w:bookmarkStart w:id="565" w:name="_Toc171803614"/>
                      <w:r w:rsidRPr="00D35B2A">
                        <w:rPr>
                          <w:rStyle w:val="carteCar"/>
                          <w:rFonts w:hint="cs"/>
                          <w:rtl/>
                        </w:rPr>
                        <w:t>الخريطة (4-</w:t>
                      </w:r>
                      <w:r>
                        <w:rPr>
                          <w:rStyle w:val="carteCar"/>
                          <w:rFonts w:hint="cs"/>
                          <w:rtl/>
                        </w:rPr>
                        <w:t>10</w:t>
                      </w:r>
                      <w:r w:rsidRPr="00D35B2A">
                        <w:rPr>
                          <w:rStyle w:val="carteCar"/>
                          <w:rFonts w:hint="cs"/>
                          <w:rtl/>
                        </w:rPr>
                        <w:t>)</w:t>
                      </w:r>
                      <w:r w:rsidRPr="00D35B2A">
                        <w:rPr>
                          <w:rStyle w:val="carteCar"/>
                          <w:rtl/>
                        </w:rPr>
                        <w:t>:</w:t>
                      </w:r>
                      <w:r w:rsidRPr="00D35B2A">
                        <w:rPr>
                          <w:rStyle w:val="carteCar"/>
                          <w:rFonts w:hint="cs"/>
                          <w:rtl/>
                        </w:rPr>
                        <w:t xml:space="preserve"> تطور</w:t>
                      </w:r>
                      <w:r w:rsidRPr="00D35B2A">
                        <w:rPr>
                          <w:rStyle w:val="carteCar"/>
                          <w:rtl/>
                        </w:rPr>
                        <w:t xml:space="preserve"> </w:t>
                      </w:r>
                      <w:r w:rsidRPr="00D35B2A">
                        <w:rPr>
                          <w:rStyle w:val="carteCar"/>
                          <w:rFonts w:hint="cs"/>
                          <w:rtl/>
                        </w:rPr>
                        <w:t>التمدد</w:t>
                      </w:r>
                      <w:r w:rsidRPr="00D35B2A">
                        <w:rPr>
                          <w:rStyle w:val="carteCar"/>
                          <w:rtl/>
                        </w:rPr>
                        <w:t xml:space="preserve"> </w:t>
                      </w:r>
                      <w:r w:rsidRPr="00D35B2A">
                        <w:rPr>
                          <w:rStyle w:val="carteCar"/>
                          <w:rFonts w:hint="cs"/>
                          <w:rtl/>
                        </w:rPr>
                        <w:t>الحضري</w:t>
                      </w:r>
                      <w:r w:rsidRPr="00D35B2A">
                        <w:rPr>
                          <w:rStyle w:val="carteCar"/>
                          <w:rtl/>
                        </w:rPr>
                        <w:t xml:space="preserve"> </w:t>
                      </w:r>
                      <w:r w:rsidRPr="00D35B2A">
                        <w:rPr>
                          <w:rStyle w:val="carteCar"/>
                          <w:rFonts w:hint="cs"/>
                          <w:rtl/>
                        </w:rPr>
                        <w:t>لمدينة بوسعادة</w:t>
                      </w:r>
                      <w:r w:rsidRPr="00D35B2A">
                        <w:rPr>
                          <w:rStyle w:val="carteCar"/>
                          <w:rtl/>
                        </w:rPr>
                        <w:t xml:space="preserve"> </w:t>
                      </w:r>
                      <w:r w:rsidRPr="00D35B2A">
                        <w:rPr>
                          <w:rStyle w:val="carteCar"/>
                          <w:rFonts w:hint="cs"/>
                          <w:rtl/>
                        </w:rPr>
                        <w:t>الى غاية سنة</w:t>
                      </w:r>
                      <w:r w:rsidRPr="00D35B2A">
                        <w:rPr>
                          <w:rStyle w:val="carteCar"/>
                          <w:rtl/>
                        </w:rPr>
                        <w:t xml:space="preserve"> </w:t>
                      </w:r>
                      <w:r w:rsidRPr="00D35B2A">
                        <w:rPr>
                          <w:rStyle w:val="carteCar"/>
                          <w:rFonts w:hint="cs"/>
                          <w:rtl/>
                        </w:rPr>
                        <w:t>1962</w:t>
                      </w:r>
                      <w:bookmarkEnd w:id="563"/>
                      <w:bookmarkEnd w:id="564"/>
                      <w:bookmarkEnd w:id="565"/>
                      <w:r>
                        <w:rPr>
                          <w:rFonts w:ascii="Simplified Arabic" w:hAnsi="Simplified Arabic" w:cs="Simplified Arabic" w:hint="cs"/>
                          <w:sz w:val="24"/>
                          <w:szCs w:val="24"/>
                          <w:rtl/>
                        </w:rPr>
                        <w:t xml:space="preserve"> </w:t>
                      </w:r>
                      <w:r>
                        <w:rPr>
                          <w:rFonts w:asciiTheme="majorBidi" w:hAnsiTheme="majorBidi" w:cstheme="majorBidi" w:hint="cs"/>
                          <w:sz w:val="24"/>
                          <w:szCs w:val="24"/>
                          <w:rtl/>
                        </w:rPr>
                        <w:t xml:space="preserve"> </w:t>
                      </w:r>
                      <w:r>
                        <w:rPr>
                          <w:rFonts w:ascii="Simplified Arabic" w:hAnsi="Simplified Arabic" w:cs="Simplified Arabic" w:hint="cs"/>
                          <w:sz w:val="24"/>
                          <w:szCs w:val="24"/>
                          <w:rtl/>
                        </w:rPr>
                        <w:t xml:space="preserve">المصدر: </w:t>
                      </w:r>
                      <w:r w:rsidRPr="00A6547A">
                        <w:rPr>
                          <w:rFonts w:asciiTheme="majorBidi" w:hAnsiTheme="majorBidi" w:cstheme="majorBidi"/>
                          <w:sz w:val="24"/>
                          <w:szCs w:val="24"/>
                        </w:rPr>
                        <w:t xml:space="preserve">( Nacib Y. 1986, </w:t>
                      </w:r>
                      <w:r w:rsidRPr="00173D34">
                        <w:rPr>
                          <w:rFonts w:asciiTheme="majorBidi" w:hAnsiTheme="majorBidi" w:cstheme="majorBidi"/>
                          <w:sz w:val="24"/>
                          <w:szCs w:val="24"/>
                        </w:rPr>
                        <w:t>Nouibat</w:t>
                      </w:r>
                      <w:r w:rsidRPr="00A6547A">
                        <w:rPr>
                          <w:rFonts w:asciiTheme="majorBidi" w:hAnsiTheme="majorBidi" w:cstheme="majorBidi"/>
                          <w:sz w:val="24"/>
                          <w:szCs w:val="24"/>
                        </w:rPr>
                        <w:t>, 2007)</w:t>
                      </w:r>
                    </w:p>
                    <w:p w:rsidR="00D13702" w:rsidRDefault="00D13702" w:rsidP="00A9318D">
                      <w:pPr>
                        <w:tabs>
                          <w:tab w:val="right" w:pos="281"/>
                        </w:tabs>
                        <w:bidi/>
                        <w:spacing w:after="0" w:line="240" w:lineRule="auto"/>
                        <w:rPr>
                          <w:rFonts w:ascii="Simplified Arabic" w:hAnsi="Simplified Arabic" w:cs="Simplified Arabic"/>
                          <w:sz w:val="24"/>
                          <w:szCs w:val="24"/>
                          <w:rtl/>
                        </w:rPr>
                      </w:pPr>
                    </w:p>
                    <w:p w:rsidR="00D13702" w:rsidRDefault="00D13702" w:rsidP="00A9318D">
                      <w:pPr>
                        <w:tabs>
                          <w:tab w:val="right" w:pos="281"/>
                        </w:tabs>
                        <w:bidi/>
                        <w:spacing w:before="240" w:after="0" w:line="240" w:lineRule="auto"/>
                        <w:rPr>
                          <w:rFonts w:ascii="Simplified Arabic" w:hAnsi="Simplified Arabic" w:cs="Simplified Arabic"/>
                          <w:sz w:val="24"/>
                          <w:szCs w:val="24"/>
                          <w:rtl/>
                        </w:rPr>
                      </w:pPr>
                    </w:p>
                    <w:p w:rsidR="00D13702" w:rsidRDefault="00D13702" w:rsidP="00A9318D">
                      <w:pPr>
                        <w:bidi/>
                        <w:jc w:val="center"/>
                      </w:pPr>
                    </w:p>
                  </w:txbxContent>
                </v:textbox>
              </v:shape>
            </w:pict>
          </mc:Fallback>
        </mc:AlternateContent>
      </w:r>
      <w:r>
        <w:rPr>
          <w:rFonts w:ascii="Simplified Arabic" w:hAnsi="Simplified Arabic" w:cs="Simplified Arabic"/>
          <w:noProof/>
          <w:color w:val="000000"/>
          <w:sz w:val="24"/>
          <w:szCs w:val="24"/>
          <w:lang w:eastAsia="fr-FR"/>
        </w:rPr>
        <mc:AlternateContent>
          <mc:Choice Requires="wps">
            <w:drawing>
              <wp:anchor distT="0" distB="0" distL="114300" distR="114300" simplePos="0" relativeHeight="251892736" behindDoc="0" locked="0" layoutInCell="1" allowOverlap="1" wp14:anchorId="4960A635" wp14:editId="1BD51A5F">
                <wp:simplePos x="0" y="0"/>
                <wp:positionH relativeFrom="column">
                  <wp:posOffset>3442335</wp:posOffset>
                </wp:positionH>
                <wp:positionV relativeFrom="paragraph">
                  <wp:posOffset>118745</wp:posOffset>
                </wp:positionV>
                <wp:extent cx="2295525" cy="952500"/>
                <wp:effectExtent l="0" t="0" r="9525" b="0"/>
                <wp:wrapNone/>
                <wp:docPr id="236" name="Zone de texte 236"/>
                <wp:cNvGraphicFramePr/>
                <a:graphic xmlns:a="http://schemas.openxmlformats.org/drawingml/2006/main">
                  <a:graphicData uri="http://schemas.microsoft.com/office/word/2010/wordprocessingShape">
                    <wps:wsp>
                      <wps:cNvSpPr txBox="1"/>
                      <wps:spPr>
                        <a:xfrm>
                          <a:off x="0" y="0"/>
                          <a:ext cx="2295525" cy="9525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D35B2A">
                            <w:pPr>
                              <w:bidi/>
                              <w:jc w:val="center"/>
                            </w:pPr>
                            <w:bookmarkStart w:id="563" w:name="_Toc157616596"/>
                            <w:bookmarkStart w:id="564" w:name="_Toc170520654"/>
                            <w:bookmarkStart w:id="565" w:name="_Toc171803615"/>
                            <w:r w:rsidRPr="00D35B2A">
                              <w:rPr>
                                <w:rStyle w:val="carteCar"/>
                                <w:rFonts w:hint="cs"/>
                                <w:rtl/>
                              </w:rPr>
                              <w:t>الخريطة (4-</w:t>
                            </w:r>
                            <w:r>
                              <w:rPr>
                                <w:rStyle w:val="carteCar"/>
                                <w:rFonts w:hint="cs"/>
                                <w:rtl/>
                              </w:rPr>
                              <w:t>9</w:t>
                            </w:r>
                            <w:r w:rsidRPr="00D35B2A">
                              <w:rPr>
                                <w:rStyle w:val="carteCar"/>
                                <w:rFonts w:hint="cs"/>
                                <w:rtl/>
                              </w:rPr>
                              <w:t>)</w:t>
                            </w:r>
                            <w:r w:rsidRPr="00D35B2A">
                              <w:rPr>
                                <w:rStyle w:val="carteCar"/>
                                <w:rtl/>
                              </w:rPr>
                              <w:t>:</w:t>
                            </w:r>
                            <w:r w:rsidRPr="00D35B2A">
                              <w:rPr>
                                <w:rStyle w:val="carteCar"/>
                                <w:rFonts w:hint="cs"/>
                                <w:rtl/>
                              </w:rPr>
                              <w:t xml:space="preserve"> تطور التمدد الحضري لمدينة بوسعادة الى غاية سنة 1942</w:t>
                            </w:r>
                            <w:bookmarkEnd w:id="563"/>
                            <w:bookmarkEnd w:id="564"/>
                            <w:bookmarkEnd w:id="565"/>
                            <w:r w:rsidRPr="00A9318D">
                              <w:rPr>
                                <w:rFonts w:ascii="Simplified Arabic" w:hAnsi="Simplified Arabic" w:cs="Simplified Arabic" w:hint="cs"/>
                                <w:sz w:val="24"/>
                                <w:szCs w:val="24"/>
                                <w:rtl/>
                              </w:rPr>
                              <w:t xml:space="preserve"> </w:t>
                            </w:r>
                            <w:r w:rsidRPr="00443591">
                              <w:rPr>
                                <w:rFonts w:ascii="Simplified Arabic" w:hAnsi="Simplified Arabic" w:cs="Simplified Arabic" w:hint="cs"/>
                                <w:sz w:val="24"/>
                                <w:szCs w:val="24"/>
                                <w:rtl/>
                              </w:rPr>
                              <w:t>المصدر:</w:t>
                            </w:r>
                            <w:r>
                              <w:rPr>
                                <w:rFonts w:hint="cs"/>
                                <w:noProof/>
                                <w:rtl/>
                                <w:lang w:eastAsia="fr-FR"/>
                              </w:rPr>
                              <w:t xml:space="preserve"> </w:t>
                            </w:r>
                            <w:r w:rsidRPr="008269EA">
                              <w:rPr>
                                <w:rFonts w:asciiTheme="majorBidi" w:hAnsiTheme="majorBidi" w:cstheme="majorBidi"/>
                                <w:sz w:val="24"/>
                                <w:szCs w:val="24"/>
                              </w:rPr>
                              <w:t>(</w:t>
                            </w:r>
                            <w:r w:rsidRPr="00173D34">
                              <w:rPr>
                                <w:rFonts w:asciiTheme="majorBidi" w:hAnsiTheme="majorBidi" w:cstheme="majorBidi"/>
                                <w:sz w:val="24"/>
                                <w:szCs w:val="24"/>
                              </w:rPr>
                              <w:t>Araba</w:t>
                            </w:r>
                            <w:r w:rsidRPr="008269EA">
                              <w:rPr>
                                <w:rFonts w:asciiTheme="majorBidi" w:hAnsiTheme="majorBidi" w:cstheme="majorBidi"/>
                                <w:sz w:val="24"/>
                                <w:szCs w:val="24"/>
                              </w:rPr>
                              <w:t>,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36" o:spid="_x0000_s1051" type="#_x0000_t202" style="position:absolute;left:0;text-align:left;margin-left:271.05pt;margin-top:9.35pt;width:180.75pt;height:75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" fillcolor="white [3201]" stroked="f" strokeweight=".5pt">
                <v:textbox>
                  <w:txbxContent>
                    <w:p w:rsidR="00D13702" w:rsidRDefault="00D13702" w:rsidP="00D35B2A">
                      <w:pPr>
                        <w:bidi/>
                        <w:jc w:val="center"/>
                      </w:pPr>
                      <w:bookmarkStart w:id="569" w:name="_Toc157616596"/>
                      <w:bookmarkStart w:id="570" w:name="_Toc170520654"/>
                      <w:bookmarkStart w:id="571" w:name="_Toc171803615"/>
                      <w:r w:rsidRPr="00D35B2A">
                        <w:rPr>
                          <w:rStyle w:val="carteCar"/>
                          <w:rFonts w:hint="cs"/>
                          <w:rtl/>
                        </w:rPr>
                        <w:t>الخريطة (4-</w:t>
                      </w:r>
                      <w:r>
                        <w:rPr>
                          <w:rStyle w:val="carteCar"/>
                          <w:rFonts w:hint="cs"/>
                          <w:rtl/>
                        </w:rPr>
                        <w:t>9</w:t>
                      </w:r>
                      <w:r w:rsidRPr="00D35B2A">
                        <w:rPr>
                          <w:rStyle w:val="carteCar"/>
                          <w:rFonts w:hint="cs"/>
                          <w:rtl/>
                        </w:rPr>
                        <w:t>)</w:t>
                      </w:r>
                      <w:r w:rsidRPr="00D35B2A">
                        <w:rPr>
                          <w:rStyle w:val="carteCar"/>
                          <w:rtl/>
                        </w:rPr>
                        <w:t>:</w:t>
                      </w:r>
                      <w:r w:rsidRPr="00D35B2A">
                        <w:rPr>
                          <w:rStyle w:val="carteCar"/>
                          <w:rFonts w:hint="cs"/>
                          <w:rtl/>
                        </w:rPr>
                        <w:t xml:space="preserve"> تطور التمدد الحضري لمدينة بوسعادة الى غاية سنة 1942</w:t>
                      </w:r>
                      <w:bookmarkEnd w:id="569"/>
                      <w:bookmarkEnd w:id="570"/>
                      <w:bookmarkEnd w:id="571"/>
                      <w:r w:rsidRPr="00A9318D">
                        <w:rPr>
                          <w:rFonts w:ascii="Simplified Arabic" w:hAnsi="Simplified Arabic" w:cs="Simplified Arabic" w:hint="cs"/>
                          <w:sz w:val="24"/>
                          <w:szCs w:val="24"/>
                          <w:rtl/>
                        </w:rPr>
                        <w:t xml:space="preserve"> </w:t>
                      </w:r>
                      <w:r w:rsidRPr="00443591">
                        <w:rPr>
                          <w:rFonts w:ascii="Simplified Arabic" w:hAnsi="Simplified Arabic" w:cs="Simplified Arabic" w:hint="cs"/>
                          <w:sz w:val="24"/>
                          <w:szCs w:val="24"/>
                          <w:rtl/>
                        </w:rPr>
                        <w:t>المصدر:</w:t>
                      </w:r>
                      <w:r>
                        <w:rPr>
                          <w:rFonts w:hint="cs"/>
                          <w:noProof/>
                          <w:rtl/>
                          <w:lang w:eastAsia="fr-FR"/>
                        </w:rPr>
                        <w:t xml:space="preserve"> </w:t>
                      </w:r>
                      <w:r w:rsidRPr="008269EA">
                        <w:rPr>
                          <w:rFonts w:asciiTheme="majorBidi" w:hAnsiTheme="majorBidi" w:cstheme="majorBidi"/>
                          <w:sz w:val="24"/>
                          <w:szCs w:val="24"/>
                        </w:rPr>
                        <w:t>(</w:t>
                      </w:r>
                      <w:r w:rsidRPr="00173D34">
                        <w:rPr>
                          <w:rFonts w:asciiTheme="majorBidi" w:hAnsiTheme="majorBidi" w:cstheme="majorBidi"/>
                          <w:sz w:val="24"/>
                          <w:szCs w:val="24"/>
                        </w:rPr>
                        <w:t>Araba</w:t>
                      </w:r>
                      <w:r w:rsidRPr="008269EA">
                        <w:rPr>
                          <w:rFonts w:asciiTheme="majorBidi" w:hAnsiTheme="majorBidi" w:cstheme="majorBidi"/>
                          <w:sz w:val="24"/>
                          <w:szCs w:val="24"/>
                        </w:rPr>
                        <w:t>, 2012)</w:t>
                      </w:r>
                    </w:p>
                  </w:txbxContent>
                </v:textbox>
              </v:shape>
            </w:pict>
          </mc:Fallback>
        </mc:AlternateContent>
      </w:r>
    </w:p>
    <w:p w:rsidR="00A9318D" w:rsidRDefault="00A9318D" w:rsidP="00A9318D">
      <w:pPr>
        <w:pStyle w:val="Paragraphedeliste"/>
        <w:tabs>
          <w:tab w:val="right" w:pos="567"/>
        </w:tabs>
        <w:autoSpaceDE w:val="0"/>
        <w:autoSpaceDN w:val="0"/>
        <w:bidi/>
        <w:adjustRightInd w:val="0"/>
        <w:spacing w:after="0"/>
        <w:ind w:left="283"/>
        <w:jc w:val="both"/>
        <w:rPr>
          <w:rFonts w:ascii="Simplified Arabic" w:hAnsi="Simplified Arabic" w:cs="Simplified Arabic"/>
          <w:color w:val="000000"/>
          <w:sz w:val="24"/>
          <w:szCs w:val="24"/>
        </w:rPr>
      </w:pPr>
    </w:p>
    <w:p w:rsidR="00A9318D" w:rsidRDefault="00A9318D" w:rsidP="00A9318D">
      <w:pPr>
        <w:pStyle w:val="Paragraphedeliste"/>
        <w:tabs>
          <w:tab w:val="right" w:pos="567"/>
        </w:tabs>
        <w:autoSpaceDE w:val="0"/>
        <w:autoSpaceDN w:val="0"/>
        <w:bidi/>
        <w:adjustRightInd w:val="0"/>
        <w:spacing w:after="0"/>
        <w:ind w:left="283"/>
        <w:jc w:val="both"/>
        <w:rPr>
          <w:rFonts w:ascii="Simplified Arabic" w:hAnsi="Simplified Arabic" w:cs="Simplified Arabic"/>
          <w:color w:val="000000"/>
          <w:sz w:val="24"/>
          <w:szCs w:val="24"/>
          <w:rtl/>
        </w:rPr>
      </w:pPr>
    </w:p>
    <w:p w:rsidR="00A9318D" w:rsidRDefault="00A9318D" w:rsidP="00A9318D">
      <w:pPr>
        <w:pStyle w:val="Paragraphedeliste"/>
        <w:tabs>
          <w:tab w:val="right" w:pos="567"/>
        </w:tabs>
        <w:autoSpaceDE w:val="0"/>
        <w:autoSpaceDN w:val="0"/>
        <w:bidi/>
        <w:adjustRightInd w:val="0"/>
        <w:spacing w:after="0"/>
        <w:ind w:left="283"/>
        <w:jc w:val="both"/>
        <w:rPr>
          <w:rFonts w:ascii="Simplified Arabic" w:hAnsi="Simplified Arabic" w:cs="Simplified Arabic"/>
          <w:color w:val="000000"/>
          <w:sz w:val="24"/>
          <w:szCs w:val="24"/>
        </w:rPr>
      </w:pPr>
    </w:p>
    <w:p w:rsidR="00323763" w:rsidRDefault="000635D8" w:rsidP="004A6317">
      <w:pPr>
        <w:bidi/>
        <w:rPr>
          <w:rFonts w:ascii="Simplified Arabic" w:hAnsi="Simplified Arabic" w:cs="Simplified Arabic"/>
          <w:sz w:val="24"/>
          <w:szCs w:val="24"/>
          <w:lang w:val="en-US" w:bidi="ar-DZ"/>
        </w:rPr>
      </w:pPr>
      <w:r>
        <w:rPr>
          <w:noProof/>
          <w:lang w:eastAsia="fr-FR"/>
        </w:rPr>
        <w:drawing>
          <wp:inline distT="0" distB="0" distL="0" distR="0" wp14:anchorId="59615D31" wp14:editId="074100DD">
            <wp:extent cx="2175411" cy="3593393"/>
            <wp:effectExtent l="19050" t="19050" r="15875" b="26670"/>
            <wp:docPr id="167" name="Imag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4"/>
                    <a:stretch>
                      <a:fillRect/>
                    </a:stretch>
                  </pic:blipFill>
                  <pic:spPr>
                    <a:xfrm>
                      <a:off x="0" y="0"/>
                      <a:ext cx="2192296" cy="3621285"/>
                    </a:xfrm>
                    <a:prstGeom prst="rect">
                      <a:avLst/>
                    </a:prstGeom>
                    <a:ln>
                      <a:solidFill>
                        <a:schemeClr val="tx1"/>
                      </a:solidFill>
                    </a:ln>
                  </pic:spPr>
                </pic:pic>
              </a:graphicData>
            </a:graphic>
          </wp:inline>
        </w:drawing>
      </w:r>
      <w:r w:rsidR="00DA2C2B">
        <w:rPr>
          <w:rFonts w:ascii="Simplified Arabic" w:hAnsi="Simplified Arabic" w:cs="Simplified Arabic" w:hint="cs"/>
          <w:sz w:val="24"/>
          <w:szCs w:val="24"/>
          <w:rtl/>
          <w:lang w:val="en-US" w:bidi="ar-DZ"/>
        </w:rPr>
        <w:t xml:space="preserve">  </w:t>
      </w:r>
      <w:r w:rsidR="00323763">
        <w:rPr>
          <w:noProof/>
          <w:lang w:eastAsia="fr-FR"/>
        </w:rPr>
        <w:drawing>
          <wp:inline distT="0" distB="0" distL="0" distR="0" wp14:anchorId="63CACC84" wp14:editId="7614C090">
            <wp:extent cx="3398807" cy="3597215"/>
            <wp:effectExtent l="0" t="0" r="0" b="3810"/>
            <wp:docPr id="169" name="Imag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5"/>
                    <a:stretch>
                      <a:fillRect/>
                    </a:stretch>
                  </pic:blipFill>
                  <pic:spPr>
                    <a:xfrm>
                      <a:off x="0" y="0"/>
                      <a:ext cx="3398807" cy="3597215"/>
                    </a:xfrm>
                    <a:prstGeom prst="rect">
                      <a:avLst/>
                    </a:prstGeom>
                  </pic:spPr>
                </pic:pic>
              </a:graphicData>
            </a:graphic>
          </wp:inline>
        </w:drawing>
      </w:r>
    </w:p>
    <w:p w:rsidR="000635D8" w:rsidRPr="004074DE" w:rsidRDefault="000635D8" w:rsidP="001D0548">
      <w:pPr>
        <w:pStyle w:val="Paragraphedeliste"/>
        <w:numPr>
          <w:ilvl w:val="2"/>
          <w:numId w:val="6"/>
        </w:numPr>
        <w:tabs>
          <w:tab w:val="right" w:pos="850"/>
        </w:tabs>
        <w:bidi/>
        <w:spacing w:before="240" w:after="0"/>
        <w:ind w:left="0" w:firstLine="0"/>
        <w:jc w:val="both"/>
        <w:outlineLvl w:val="1"/>
        <w:rPr>
          <w:rFonts w:ascii="Simplified Arabic" w:hAnsi="Simplified Arabic" w:cs="Simplified Arabic"/>
          <w:b/>
          <w:bCs/>
          <w:sz w:val="24"/>
          <w:szCs w:val="24"/>
          <w:rtl/>
          <w:lang w:val="en-US" w:bidi="ar-DZ"/>
        </w:rPr>
      </w:pPr>
      <w:bookmarkStart w:id="566" w:name="_Toc171803616"/>
      <w:r w:rsidRPr="004074DE">
        <w:rPr>
          <w:rFonts w:ascii="Simplified Arabic" w:hAnsi="Simplified Arabic" w:cs="Simplified Arabic" w:hint="cs"/>
          <w:b/>
          <w:bCs/>
          <w:sz w:val="24"/>
          <w:szCs w:val="24"/>
          <w:rtl/>
          <w:lang w:val="en-US" w:bidi="ar-DZ"/>
        </w:rPr>
        <w:lastRenderedPageBreak/>
        <w:t xml:space="preserve">الفترة </w:t>
      </w:r>
      <w:r w:rsidR="004074DE" w:rsidRPr="004074DE">
        <w:rPr>
          <w:rFonts w:ascii="Simplified Arabic" w:hAnsi="Simplified Arabic" w:cs="Simplified Arabic" w:hint="cs"/>
          <w:b/>
          <w:bCs/>
          <w:sz w:val="24"/>
          <w:szCs w:val="24"/>
          <w:rtl/>
          <w:lang w:val="en-US" w:bidi="ar-DZ"/>
        </w:rPr>
        <w:t>الثالثة</w:t>
      </w:r>
      <w:r w:rsidRPr="004074DE">
        <w:rPr>
          <w:rFonts w:ascii="Simplified Arabic" w:hAnsi="Simplified Arabic" w:cs="Simplified Arabic" w:hint="cs"/>
          <w:b/>
          <w:bCs/>
          <w:sz w:val="24"/>
          <w:szCs w:val="24"/>
          <w:rtl/>
          <w:lang w:val="en-US" w:bidi="ar-DZ"/>
        </w:rPr>
        <w:t xml:space="preserve"> 1962-</w:t>
      </w:r>
      <w:r w:rsidR="00614DA0">
        <w:rPr>
          <w:rFonts w:ascii="Simplified Arabic" w:hAnsi="Simplified Arabic" w:cs="Simplified Arabic" w:hint="cs"/>
          <w:b/>
          <w:bCs/>
          <w:sz w:val="24"/>
          <w:szCs w:val="24"/>
          <w:rtl/>
          <w:lang w:val="en-US" w:bidi="ar-DZ"/>
        </w:rPr>
        <w:t>2012</w:t>
      </w:r>
      <w:bookmarkEnd w:id="566"/>
    </w:p>
    <w:p w:rsidR="000635D8" w:rsidRPr="00C66DE6" w:rsidRDefault="000635D8" w:rsidP="000635D8">
      <w:pPr>
        <w:autoSpaceDE w:val="0"/>
        <w:autoSpaceDN w:val="0"/>
        <w:bidi/>
        <w:adjustRightInd w:val="0"/>
        <w:spacing w:after="0"/>
        <w:ind w:firstLine="283"/>
        <w:rPr>
          <w:rFonts w:ascii="Simplified Arabic" w:hAnsi="Simplified Arabic" w:cs="Simplified Arabic"/>
          <w:color w:val="000000"/>
          <w:sz w:val="24"/>
          <w:szCs w:val="24"/>
        </w:rPr>
      </w:pPr>
      <w:r>
        <w:rPr>
          <w:rFonts w:ascii="Simplified Arabic" w:hAnsi="Simplified Arabic" w:cs="Simplified Arabic" w:hint="cs"/>
          <w:color w:val="000000"/>
          <w:sz w:val="24"/>
          <w:szCs w:val="24"/>
          <w:rtl/>
        </w:rPr>
        <w:t xml:space="preserve">تزايد اعداد هجرة السكان من الريف نحو المدن لتحسن ظروفهم الاجتماعية و الاقتصادية، </w:t>
      </w:r>
      <w:r w:rsidRPr="00C66DE6">
        <w:rPr>
          <w:rFonts w:ascii="Simplified Arabic" w:hAnsi="Simplified Arabic" w:cs="Simplified Arabic"/>
          <w:color w:val="000000"/>
          <w:sz w:val="24"/>
          <w:szCs w:val="24"/>
          <w:rtl/>
        </w:rPr>
        <w:t>لقد</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خضع</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تطور</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المدينة</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في</w:t>
      </w:r>
      <w:r>
        <w:rPr>
          <w:rFonts w:ascii="Simplified Arabic" w:hAnsi="Simplified Arabic" w:cs="Simplified Arabic" w:hint="cs"/>
          <w:color w:val="000000"/>
          <w:sz w:val="24"/>
          <w:szCs w:val="24"/>
          <w:rtl/>
        </w:rPr>
        <w:t xml:space="preserve"> ه</w:t>
      </w:r>
      <w:r w:rsidRPr="00C66DE6">
        <w:rPr>
          <w:rFonts w:ascii="Simplified Arabic" w:hAnsi="Simplified Arabic" w:cs="Simplified Arabic"/>
          <w:color w:val="000000"/>
          <w:sz w:val="24"/>
          <w:szCs w:val="24"/>
          <w:rtl/>
        </w:rPr>
        <w:t>ذه</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الفترة</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إلى</w:t>
      </w:r>
      <w:r w:rsidRPr="00C66DE6">
        <w:rPr>
          <w:rFonts w:ascii="Simplified Arabic" w:hAnsi="Simplified Arabic" w:cs="Simplified Arabic"/>
          <w:color w:val="000000"/>
          <w:sz w:val="24"/>
          <w:szCs w:val="24"/>
        </w:rPr>
        <w:t xml:space="preserve"> </w:t>
      </w:r>
      <w:r>
        <w:rPr>
          <w:rFonts w:ascii="Simplified Arabic" w:hAnsi="Simplified Arabic" w:cs="Simplified Arabic" w:hint="cs"/>
          <w:color w:val="000000"/>
          <w:sz w:val="24"/>
          <w:szCs w:val="24"/>
          <w:rtl/>
        </w:rPr>
        <w:t>3</w:t>
      </w:r>
      <w:r w:rsidRPr="00C66DE6">
        <w:rPr>
          <w:rFonts w:ascii="Simplified Arabic" w:hAnsi="Simplified Arabic" w:cs="Simplified Arabic"/>
          <w:color w:val="000000"/>
          <w:sz w:val="24"/>
          <w:szCs w:val="24"/>
        </w:rPr>
        <w:t xml:space="preserve"> </w:t>
      </w:r>
      <w:r w:rsidRPr="00C66DE6">
        <w:rPr>
          <w:rFonts w:ascii="Simplified Arabic" w:hAnsi="Simplified Arabic" w:cs="Simplified Arabic"/>
          <w:color w:val="000000"/>
          <w:sz w:val="24"/>
          <w:szCs w:val="24"/>
          <w:rtl/>
        </w:rPr>
        <w:t>م</w:t>
      </w:r>
      <w:r>
        <w:rPr>
          <w:rFonts w:ascii="Simplified Arabic" w:hAnsi="Simplified Arabic" w:cs="Simplified Arabic" w:hint="cs"/>
          <w:color w:val="000000"/>
          <w:sz w:val="24"/>
          <w:szCs w:val="24"/>
          <w:rtl/>
        </w:rPr>
        <w:t>راحل ه</w:t>
      </w:r>
      <w:r w:rsidRPr="00C66DE6">
        <w:rPr>
          <w:rFonts w:ascii="Simplified Arabic" w:hAnsi="Simplified Arabic" w:cs="Simplified Arabic"/>
          <w:color w:val="000000"/>
          <w:sz w:val="24"/>
          <w:szCs w:val="24"/>
          <w:rtl/>
        </w:rPr>
        <w:t>ي</w:t>
      </w:r>
      <w:r w:rsidRPr="00C66DE6">
        <w:rPr>
          <w:rFonts w:ascii="Simplified Arabic" w:hAnsi="Simplified Arabic" w:cs="Simplified Arabic"/>
          <w:color w:val="000000"/>
          <w:sz w:val="24"/>
          <w:szCs w:val="24"/>
        </w:rPr>
        <w:t>:</w:t>
      </w:r>
    </w:p>
    <w:p w:rsidR="000635D8" w:rsidRPr="00A41D52" w:rsidRDefault="000635D8" w:rsidP="001D0548">
      <w:pPr>
        <w:pStyle w:val="Paragraphedeliste"/>
        <w:numPr>
          <w:ilvl w:val="0"/>
          <w:numId w:val="38"/>
        </w:numPr>
        <w:autoSpaceDE w:val="0"/>
        <w:autoSpaceDN w:val="0"/>
        <w:bidi/>
        <w:adjustRightInd w:val="0"/>
        <w:spacing w:before="240" w:after="0"/>
        <w:ind w:left="283" w:hanging="283"/>
        <w:jc w:val="both"/>
        <w:rPr>
          <w:rFonts w:ascii="Simplified Arabic" w:hAnsi="Simplified Arabic" w:cs="Simplified Arabic"/>
          <w:color w:val="000000"/>
          <w:sz w:val="24"/>
          <w:szCs w:val="24"/>
        </w:rPr>
      </w:pPr>
      <w:r w:rsidRPr="00A41D52">
        <w:rPr>
          <w:rFonts w:ascii="Simplified Arabic" w:hAnsi="Simplified Arabic" w:cs="Simplified Arabic"/>
          <w:b/>
          <w:bCs/>
          <w:color w:val="000000"/>
          <w:sz w:val="24"/>
          <w:szCs w:val="24"/>
          <w:rtl/>
        </w:rPr>
        <w:t>مرح</w:t>
      </w:r>
      <w:r w:rsidRPr="00A41D52">
        <w:rPr>
          <w:rFonts w:ascii="Simplified Arabic" w:hAnsi="Simplified Arabic" w:cs="Simplified Arabic" w:hint="cs"/>
          <w:b/>
          <w:bCs/>
          <w:color w:val="000000"/>
          <w:sz w:val="24"/>
          <w:szCs w:val="24"/>
          <w:rtl/>
        </w:rPr>
        <w:t>ل</w:t>
      </w:r>
      <w:r w:rsidRPr="00A41D52">
        <w:rPr>
          <w:rFonts w:ascii="Simplified Arabic" w:hAnsi="Simplified Arabic" w:cs="Simplified Arabic"/>
          <w:b/>
          <w:bCs/>
          <w:color w:val="000000"/>
          <w:sz w:val="24"/>
          <w:szCs w:val="24"/>
          <w:rtl/>
        </w:rPr>
        <w:t>ة</w:t>
      </w:r>
      <w:r w:rsidRPr="00A41D52">
        <w:rPr>
          <w:rFonts w:ascii="Simplified Arabic" w:hAnsi="Simplified Arabic" w:cs="Simplified Arabic" w:hint="cs"/>
          <w:b/>
          <w:bCs/>
          <w:color w:val="000000"/>
          <w:sz w:val="24"/>
          <w:szCs w:val="24"/>
          <w:rtl/>
        </w:rPr>
        <w:t xml:space="preserve"> الركود ما بين (1962-1974):</w:t>
      </w:r>
      <w:r w:rsidRPr="00A41D52">
        <w:rPr>
          <w:rFonts w:ascii="Simplified Arabic" w:hAnsi="Simplified Arabic" w:cs="Simplified Arabic" w:hint="cs"/>
          <w:color w:val="000000"/>
          <w:sz w:val="24"/>
          <w:szCs w:val="24"/>
          <w:rtl/>
        </w:rPr>
        <w:t xml:space="preserve"> تميزت ه</w:t>
      </w:r>
      <w:r w:rsidRPr="00A41D52">
        <w:rPr>
          <w:rFonts w:ascii="Simplified Arabic" w:hAnsi="Simplified Arabic" w:cs="Simplified Arabic"/>
          <w:color w:val="000000"/>
          <w:sz w:val="24"/>
          <w:szCs w:val="24"/>
          <w:rtl/>
        </w:rPr>
        <w:t>ذه</w:t>
      </w:r>
      <w:r w:rsidRPr="00A41D52">
        <w:rPr>
          <w:rFonts w:ascii="Simplified Arabic" w:hAnsi="Simplified Arabic" w:cs="Simplified Arabic" w:hint="cs"/>
          <w:color w:val="000000"/>
          <w:sz w:val="24"/>
          <w:szCs w:val="24"/>
          <w:rtl/>
        </w:rPr>
        <w:t xml:space="preserve"> </w:t>
      </w:r>
      <w:r w:rsidRPr="00A41D52">
        <w:rPr>
          <w:rFonts w:ascii="Simplified Arabic" w:hAnsi="Simplified Arabic" w:cs="Simplified Arabic"/>
          <w:color w:val="000000"/>
          <w:sz w:val="24"/>
          <w:szCs w:val="24"/>
          <w:rtl/>
        </w:rPr>
        <w:t>المرح</w:t>
      </w:r>
      <w:r w:rsidRPr="00A41D52">
        <w:rPr>
          <w:rFonts w:ascii="Simplified Arabic" w:hAnsi="Simplified Arabic" w:cs="Simplified Arabic" w:hint="cs"/>
          <w:color w:val="000000"/>
          <w:sz w:val="24"/>
          <w:szCs w:val="24"/>
          <w:rtl/>
        </w:rPr>
        <w:t>ل</w:t>
      </w:r>
      <w:r w:rsidRPr="00A41D52">
        <w:rPr>
          <w:rFonts w:ascii="Simplified Arabic" w:hAnsi="Simplified Arabic" w:cs="Simplified Arabic"/>
          <w:color w:val="000000"/>
          <w:sz w:val="24"/>
          <w:szCs w:val="24"/>
          <w:rtl/>
        </w:rPr>
        <w:t>ة</w:t>
      </w:r>
      <w:r w:rsidRPr="00A41D52">
        <w:rPr>
          <w:rFonts w:ascii="Simplified Arabic" w:hAnsi="Simplified Arabic" w:cs="Simplified Arabic" w:hint="cs"/>
          <w:color w:val="000000"/>
          <w:sz w:val="24"/>
          <w:szCs w:val="24"/>
          <w:rtl/>
        </w:rPr>
        <w:t xml:space="preserve"> بالركود</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في</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جميع</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المجالات</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و</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خاصة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تلك</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المتعلقة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بتخطيط</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المدن</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والإسكان،</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 xml:space="preserve">بقي عمران المدينة على حاله، الصورة </w:t>
      </w:r>
      <w:r w:rsidR="0056498E" w:rsidRPr="00A41D52">
        <w:rPr>
          <w:rFonts w:ascii="Simplified Arabic" w:hAnsi="Simplified Arabic" w:cs="Simplified Arabic" w:hint="cs"/>
          <w:sz w:val="24"/>
          <w:szCs w:val="24"/>
          <w:rtl/>
        </w:rPr>
        <w:t>(4-4)</w:t>
      </w:r>
      <w:r w:rsidRPr="00A41D52">
        <w:rPr>
          <w:rFonts w:ascii="Simplified Arabic" w:hAnsi="Simplified Arabic" w:cs="Simplified Arabic" w:hint="cs"/>
          <w:color w:val="000000"/>
          <w:sz w:val="24"/>
          <w:szCs w:val="24"/>
          <w:rtl/>
        </w:rPr>
        <w:t>، يرجع</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ذلك إلى</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طبيعة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المرحلة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الانتقالية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من</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الهيمنة الاستعمارية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إلى</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الدولة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المستقلة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التي</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تميزت</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بالاحتلال</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التلقائي</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للمساكن</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الشاغرة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من</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قبل</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السكان</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الجزائريين، رافق تلك المرحلة</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محاولات</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التشريع</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وتسيير</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الارث</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الاستعماري</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من</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قبل</w:t>
      </w:r>
      <w:r w:rsidRPr="00A41D52">
        <w:rPr>
          <w:rFonts w:ascii="Simplified Arabic" w:hAnsi="Simplified Arabic" w:cs="Simplified Arabic"/>
          <w:color w:val="000000"/>
          <w:sz w:val="24"/>
          <w:szCs w:val="24"/>
          <w:rtl/>
        </w:rPr>
        <w:t xml:space="preserve"> </w:t>
      </w:r>
      <w:r w:rsidRPr="00A41D52">
        <w:rPr>
          <w:rFonts w:ascii="Simplified Arabic" w:hAnsi="Simplified Arabic" w:cs="Simplified Arabic" w:hint="cs"/>
          <w:color w:val="000000"/>
          <w:sz w:val="24"/>
          <w:szCs w:val="24"/>
          <w:rtl/>
        </w:rPr>
        <w:t>الإدارة. من بين تلك التشريعات، انشاء احتياطات عقارية بلدية، بناء على الامر رقم 74-</w:t>
      </w:r>
      <w:r w:rsidR="00A41D52">
        <w:rPr>
          <w:rFonts w:ascii="Simplified Arabic" w:hAnsi="Simplified Arabic" w:cs="Simplified Arabic" w:hint="cs"/>
          <w:color w:val="000000"/>
          <w:sz w:val="24"/>
          <w:szCs w:val="24"/>
          <w:rtl/>
        </w:rPr>
        <w:t>26</w:t>
      </w:r>
      <w:r w:rsidRPr="00A41D52">
        <w:rPr>
          <w:rFonts w:ascii="Simplified Arabic" w:hAnsi="Simplified Arabic" w:cs="Simplified Arabic" w:hint="cs"/>
          <w:color w:val="000000"/>
          <w:sz w:val="24"/>
          <w:szCs w:val="24"/>
          <w:rtl/>
        </w:rPr>
        <w:t xml:space="preserve"> المؤرخ في 20- 02 </w:t>
      </w:r>
      <w:r w:rsidRPr="00A41D52">
        <w:rPr>
          <w:rFonts w:ascii="Simplified Arabic" w:hAnsi="Simplified Arabic" w:cs="Simplified Arabic"/>
          <w:color w:val="000000"/>
          <w:sz w:val="24"/>
          <w:szCs w:val="24"/>
          <w:rtl/>
        </w:rPr>
        <w:t>–</w:t>
      </w:r>
      <w:r w:rsidRPr="00A41D52">
        <w:rPr>
          <w:rFonts w:ascii="Simplified Arabic" w:hAnsi="Simplified Arabic" w:cs="Simplified Arabic" w:hint="cs"/>
          <w:color w:val="000000"/>
          <w:sz w:val="24"/>
          <w:szCs w:val="24"/>
          <w:rtl/>
        </w:rPr>
        <w:t xml:space="preserve"> 1974 المتضمن تكوين احتياطات عقارية لصالح البلديات</w:t>
      </w:r>
      <w:r w:rsidRPr="00A41D52">
        <w:rPr>
          <w:rFonts w:ascii="Simplified Arabic" w:hAnsi="Simplified Arabic" w:cs="Simplified Arabic"/>
          <w:color w:val="000000"/>
          <w:sz w:val="24"/>
          <w:szCs w:val="24"/>
        </w:rPr>
        <w:t>.</w:t>
      </w:r>
    </w:p>
    <w:p w:rsidR="000635D8" w:rsidRPr="00813A64" w:rsidRDefault="000635D8" w:rsidP="00230FAB">
      <w:pPr>
        <w:pStyle w:val="Photo"/>
        <w:rPr>
          <w:rtl/>
        </w:rPr>
      </w:pPr>
      <w:bookmarkStart w:id="567" w:name="_Toc157618649"/>
      <w:bookmarkStart w:id="568" w:name="_Toc171803617"/>
      <w:r w:rsidRPr="00813A64">
        <w:rPr>
          <w:rFonts w:hint="cs"/>
          <w:rtl/>
        </w:rPr>
        <w:t xml:space="preserve">الصورة </w:t>
      </w:r>
      <w:r w:rsidR="0056498E" w:rsidRPr="0063639A">
        <w:rPr>
          <w:rFonts w:hint="cs"/>
          <w:rtl/>
        </w:rPr>
        <w:t>(</w:t>
      </w:r>
      <w:r w:rsidR="0056498E">
        <w:rPr>
          <w:rFonts w:hint="cs"/>
          <w:rtl/>
        </w:rPr>
        <w:t>4-4</w:t>
      </w:r>
      <w:r w:rsidR="0056498E" w:rsidRPr="0063639A">
        <w:rPr>
          <w:rFonts w:hint="cs"/>
          <w:rtl/>
        </w:rPr>
        <w:t>)</w:t>
      </w:r>
      <w:r w:rsidRPr="00813A64">
        <w:rPr>
          <w:rtl/>
        </w:rPr>
        <w:t>:</w:t>
      </w:r>
      <w:r w:rsidRPr="00813A64">
        <w:rPr>
          <w:rFonts w:hint="cs"/>
          <w:rtl/>
        </w:rPr>
        <w:t xml:space="preserve"> صورة جوية لمدينة بوسعادة (1972)</w:t>
      </w:r>
      <w:bookmarkEnd w:id="567"/>
      <w:bookmarkEnd w:id="568"/>
    </w:p>
    <w:p w:rsidR="000635D8" w:rsidRPr="00813A64" w:rsidRDefault="000635D8" w:rsidP="000635D8">
      <w:pPr>
        <w:pStyle w:val="Paragraphedeliste"/>
        <w:tabs>
          <w:tab w:val="right" w:pos="281"/>
        </w:tabs>
        <w:bidi/>
        <w:spacing w:after="0" w:line="240" w:lineRule="auto"/>
        <w:ind w:left="435"/>
        <w:jc w:val="center"/>
        <w:rPr>
          <w:rFonts w:ascii="Simplified Arabic" w:hAnsi="Simplified Arabic" w:cs="Simplified Arabic"/>
          <w:sz w:val="24"/>
          <w:szCs w:val="24"/>
          <w:rtl/>
        </w:rPr>
      </w:pPr>
      <w:r w:rsidRPr="00813A64">
        <w:rPr>
          <w:rFonts w:ascii="Simplified Arabic" w:hAnsi="Simplified Arabic" w:cs="Simplified Arabic" w:hint="cs"/>
          <w:sz w:val="24"/>
          <w:szCs w:val="24"/>
          <w:rtl/>
        </w:rPr>
        <w:t>المصدر: المعهد الوطني للخرائط و الاستشعار عن بعد</w:t>
      </w:r>
    </w:p>
    <w:p w:rsidR="000635D8" w:rsidRDefault="000635D8" w:rsidP="009C43FD">
      <w:pPr>
        <w:pStyle w:val="Paragraphedeliste"/>
        <w:bidi/>
        <w:ind w:left="435"/>
        <w:jc w:val="center"/>
        <w:rPr>
          <w:noProof/>
          <w:rtl/>
          <w:lang w:eastAsia="fr-FR"/>
        </w:rPr>
      </w:pPr>
      <w:r>
        <w:rPr>
          <w:noProof/>
          <w:lang w:eastAsia="fr-FR"/>
        </w:rPr>
        <w:drawing>
          <wp:inline distT="0" distB="0" distL="0" distR="0" wp14:anchorId="152C41A3" wp14:editId="5DDEBE4A">
            <wp:extent cx="3030250" cy="4213323"/>
            <wp:effectExtent l="18097" t="20003" r="16828" b="16827"/>
            <wp:docPr id="168" name="Imag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6"/>
                    <a:stretch>
                      <a:fillRect/>
                    </a:stretch>
                  </pic:blipFill>
                  <pic:spPr>
                    <a:xfrm rot="5400000">
                      <a:off x="0" y="0"/>
                      <a:ext cx="3030055" cy="4213051"/>
                    </a:xfrm>
                    <a:prstGeom prst="rect">
                      <a:avLst/>
                    </a:prstGeom>
                    <a:ln>
                      <a:solidFill>
                        <a:schemeClr val="tx1"/>
                      </a:solidFill>
                    </a:ln>
                  </pic:spPr>
                </pic:pic>
              </a:graphicData>
            </a:graphic>
          </wp:inline>
        </w:drawing>
      </w:r>
    </w:p>
    <w:p w:rsidR="007F64E7" w:rsidRDefault="000635D8" w:rsidP="001D0548">
      <w:pPr>
        <w:pStyle w:val="Paragraphedeliste"/>
        <w:numPr>
          <w:ilvl w:val="0"/>
          <w:numId w:val="38"/>
        </w:numPr>
        <w:autoSpaceDE w:val="0"/>
        <w:autoSpaceDN w:val="0"/>
        <w:bidi/>
        <w:adjustRightInd w:val="0"/>
        <w:spacing w:before="240" w:after="0"/>
        <w:ind w:left="283" w:hanging="283"/>
        <w:jc w:val="both"/>
        <w:rPr>
          <w:rFonts w:ascii="Simplified Arabic" w:hAnsi="Simplified Arabic" w:cs="Simplified Arabic"/>
          <w:color w:val="000000"/>
          <w:sz w:val="24"/>
          <w:szCs w:val="24"/>
        </w:rPr>
      </w:pPr>
      <w:r w:rsidRPr="00CF75BA">
        <w:rPr>
          <w:rFonts w:ascii="Simplified Arabic" w:hAnsi="Simplified Arabic" w:cs="Simplified Arabic" w:hint="cs"/>
          <w:b/>
          <w:bCs/>
          <w:color w:val="000000"/>
          <w:sz w:val="24"/>
          <w:szCs w:val="24"/>
          <w:rtl/>
        </w:rPr>
        <w:t>مرحلة النمو المتسارع  ما بين (1974-1990):</w:t>
      </w:r>
      <w:r w:rsidRPr="00754CEA">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خلال</w:t>
      </w:r>
      <w:r w:rsidRPr="00754CEA">
        <w:rPr>
          <w:rFonts w:ascii="Simplified Arabic" w:hAnsi="Simplified Arabic" w:cs="Simplified Arabic" w:hint="cs"/>
          <w:color w:val="000000"/>
          <w:sz w:val="24"/>
          <w:szCs w:val="24"/>
          <w:rtl/>
        </w:rPr>
        <w:t xml:space="preserve"> ه</w:t>
      </w:r>
      <w:r w:rsidRPr="00754CEA">
        <w:rPr>
          <w:rFonts w:ascii="Simplified Arabic" w:hAnsi="Simplified Arabic" w:cs="Simplified Arabic"/>
          <w:color w:val="000000"/>
          <w:sz w:val="24"/>
          <w:szCs w:val="24"/>
          <w:rtl/>
        </w:rPr>
        <w:t>ذه</w:t>
      </w:r>
      <w:r>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المرح</w:t>
      </w:r>
      <w:r>
        <w:rPr>
          <w:rFonts w:ascii="Simplified Arabic" w:hAnsi="Simplified Arabic" w:cs="Simplified Arabic" w:hint="cs"/>
          <w:color w:val="000000"/>
          <w:sz w:val="24"/>
          <w:szCs w:val="24"/>
          <w:rtl/>
        </w:rPr>
        <w:t>ل</w:t>
      </w:r>
      <w:r w:rsidRPr="00754CEA">
        <w:rPr>
          <w:rFonts w:ascii="Simplified Arabic" w:hAnsi="Simplified Arabic" w:cs="Simplified Arabic"/>
          <w:color w:val="000000"/>
          <w:sz w:val="24"/>
          <w:szCs w:val="24"/>
          <w:rtl/>
        </w:rPr>
        <w:t>ة</w:t>
      </w:r>
      <w:r>
        <w:rPr>
          <w:rFonts w:ascii="Simplified Arabic" w:hAnsi="Simplified Arabic" w:cs="Simplified Arabic" w:hint="cs"/>
          <w:color w:val="000000"/>
          <w:sz w:val="24"/>
          <w:szCs w:val="24"/>
          <w:rtl/>
        </w:rPr>
        <w:t xml:space="preserve"> تم ترقية بلدية بوسعادة الى دائرة ادارية، </w:t>
      </w:r>
      <w:r w:rsidRPr="00A966DD">
        <w:rPr>
          <w:rFonts w:ascii="Simplified Arabic" w:hAnsi="Simplified Arabic" w:cs="Simplified Arabic" w:hint="cs"/>
          <w:color w:val="000000"/>
          <w:sz w:val="24"/>
          <w:szCs w:val="24"/>
          <w:rtl/>
        </w:rPr>
        <w:t>ساهم</w:t>
      </w:r>
      <w:r>
        <w:rPr>
          <w:rFonts w:ascii="Simplified Arabic" w:hAnsi="Simplified Arabic" w:cs="Simplified Arabic" w:hint="cs"/>
          <w:color w:val="000000"/>
          <w:sz w:val="24"/>
          <w:szCs w:val="24"/>
          <w:rtl/>
        </w:rPr>
        <w:t xml:space="preserve"> ذلك</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في</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تطور</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العمران</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وإنشاء</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مشاريع</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جديدة</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للمدينة</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بشكل</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أسرع</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من</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ذي</w:t>
      </w:r>
      <w:r w:rsidRPr="00A966DD">
        <w:rPr>
          <w:rFonts w:ascii="Simplified Arabic" w:hAnsi="Simplified Arabic" w:cs="Simplified Arabic"/>
          <w:color w:val="000000"/>
          <w:sz w:val="24"/>
          <w:szCs w:val="24"/>
          <w:rtl/>
        </w:rPr>
        <w:t xml:space="preserve"> </w:t>
      </w:r>
      <w:r w:rsidRPr="00A966DD">
        <w:rPr>
          <w:rFonts w:ascii="Simplified Arabic" w:hAnsi="Simplified Arabic" w:cs="Simplified Arabic" w:hint="cs"/>
          <w:color w:val="000000"/>
          <w:sz w:val="24"/>
          <w:szCs w:val="24"/>
          <w:rtl/>
        </w:rPr>
        <w:t>قبل</w:t>
      </w:r>
      <w:r>
        <w:rPr>
          <w:rFonts w:ascii="Simplified Arabic" w:hAnsi="Simplified Arabic" w:cs="Simplified Arabic" w:hint="cs"/>
          <w:color w:val="000000"/>
          <w:sz w:val="24"/>
          <w:szCs w:val="24"/>
          <w:rtl/>
        </w:rPr>
        <w:t>،</w:t>
      </w:r>
      <w:r w:rsidRPr="00A966DD">
        <w:rPr>
          <w:rFonts w:ascii="Simplified Arabic" w:hAnsi="Simplified Arabic" w:cs="Simplified Arabic" w:hint="cs"/>
          <w:color w:val="000000"/>
          <w:sz w:val="24"/>
          <w:szCs w:val="24"/>
          <w:rtl/>
        </w:rPr>
        <w:t xml:space="preserve"> </w:t>
      </w:r>
      <w:r w:rsidRPr="00754CEA">
        <w:rPr>
          <w:rFonts w:ascii="Simplified Arabic" w:hAnsi="Simplified Arabic" w:cs="Simplified Arabic"/>
          <w:color w:val="000000"/>
          <w:sz w:val="24"/>
          <w:szCs w:val="24"/>
          <w:rtl/>
        </w:rPr>
        <w:t>استمر</w:t>
      </w:r>
      <w:r>
        <w:rPr>
          <w:rFonts w:ascii="Simplified Arabic" w:hAnsi="Simplified Arabic" w:cs="Simplified Arabic" w:hint="cs"/>
          <w:color w:val="000000"/>
          <w:sz w:val="24"/>
          <w:szCs w:val="24"/>
          <w:rtl/>
        </w:rPr>
        <w:t xml:space="preserve"> التمدد الحضري للمدينة</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في</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جميع</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الاتجاهات،</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سواء</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العمليات</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الطوعية</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التي</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جاءت</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ضمن المخطط</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العمراني</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التوجيهي السابق</w:t>
      </w:r>
      <w:r>
        <w:rPr>
          <w:rFonts w:ascii="Simplified Arabic" w:hAnsi="Simplified Arabic" w:cs="Simplified Arabic" w:hint="cs"/>
          <w:color w:val="000000"/>
          <w:sz w:val="24"/>
          <w:szCs w:val="24"/>
          <w:rtl/>
          <w:lang w:bidi="ar-DZ"/>
        </w:rPr>
        <w:t xml:space="preserve"> </w:t>
      </w:r>
      <w:r w:rsidRPr="00F55FCC">
        <w:rPr>
          <w:rFonts w:asciiTheme="majorBidi" w:hAnsiTheme="majorBidi" w:cstheme="majorBidi"/>
          <w:sz w:val="20"/>
          <w:szCs w:val="20"/>
        </w:rPr>
        <w:t>(P.U.D)</w:t>
      </w:r>
      <w:r>
        <w:rPr>
          <w:rFonts w:asciiTheme="majorBidi" w:hAnsiTheme="majorBidi" w:cstheme="majorBidi" w:hint="cs"/>
          <w:b/>
          <w:bCs/>
          <w:color w:val="000000"/>
          <w:sz w:val="24"/>
          <w:szCs w:val="24"/>
          <w:rtl/>
        </w:rPr>
        <w:t xml:space="preserve"> </w:t>
      </w:r>
      <w:r w:rsidRPr="000A7A84">
        <w:rPr>
          <w:rFonts w:ascii="Simplified Arabic" w:hAnsi="Simplified Arabic" w:cs="Simplified Arabic"/>
          <w:color w:val="000000"/>
          <w:sz w:val="24"/>
          <w:szCs w:val="24"/>
          <w:rtl/>
          <w:lang w:bidi="ar-DZ"/>
        </w:rPr>
        <w:t>أو</w:t>
      </w:r>
      <w:r w:rsidRPr="000A7A84">
        <w:rPr>
          <w:rFonts w:ascii="Simplified Arabic" w:hAnsi="Simplified Arabic" w:cs="Simplified Arabic"/>
          <w:color w:val="000000"/>
          <w:sz w:val="24"/>
          <w:szCs w:val="24"/>
          <w:lang w:bidi="ar-DZ"/>
        </w:rPr>
        <w:t xml:space="preserve"> </w:t>
      </w:r>
      <w:r>
        <w:rPr>
          <w:rFonts w:ascii="Simplified Arabic" w:hAnsi="Simplified Arabic" w:cs="Simplified Arabic" w:hint="cs"/>
          <w:color w:val="000000"/>
          <w:sz w:val="24"/>
          <w:szCs w:val="24"/>
          <w:rtl/>
          <w:lang w:bidi="ar-DZ"/>
        </w:rPr>
        <w:t xml:space="preserve">تلك </w:t>
      </w:r>
      <w:r w:rsidRPr="000A7A84">
        <w:rPr>
          <w:rFonts w:ascii="Simplified Arabic" w:hAnsi="Simplified Arabic" w:cs="Simplified Arabic"/>
          <w:color w:val="000000"/>
          <w:sz w:val="24"/>
          <w:szCs w:val="24"/>
          <w:rtl/>
          <w:lang w:bidi="ar-DZ"/>
        </w:rPr>
        <w:t>العمليات</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التلقائية</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التي</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قام</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بها</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الاشخاص من</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الفئات</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السكانية عن</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طريق</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عملية</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البناء غير</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الشرعي، الذي</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استولى</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على</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مساحات</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هامة</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من</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المدينة</w:t>
      </w:r>
      <w:r w:rsidRPr="000A7A84">
        <w:rPr>
          <w:rFonts w:ascii="Simplified Arabic" w:hAnsi="Simplified Arabic" w:cs="Simplified Arabic"/>
          <w:color w:val="000000"/>
          <w:sz w:val="24"/>
          <w:szCs w:val="24"/>
          <w:lang w:bidi="ar-DZ"/>
        </w:rPr>
        <w:t xml:space="preserve"> </w:t>
      </w:r>
      <w:r w:rsidRPr="000A7A84">
        <w:rPr>
          <w:rFonts w:ascii="Simplified Arabic" w:hAnsi="Simplified Arabic" w:cs="Simplified Arabic"/>
          <w:color w:val="000000"/>
          <w:sz w:val="24"/>
          <w:szCs w:val="24"/>
          <w:rtl/>
          <w:lang w:bidi="ar-DZ"/>
        </w:rPr>
        <w:t>شكل</w:t>
      </w:r>
      <w:r w:rsidRPr="000A7A84">
        <w:rPr>
          <w:rFonts w:ascii="Simplified Arabic" w:hAnsi="Simplified Arabic" w:cs="Simplified Arabic"/>
          <w:color w:val="000000"/>
          <w:sz w:val="24"/>
          <w:szCs w:val="24"/>
          <w:lang w:bidi="ar-DZ"/>
        </w:rPr>
        <w:t xml:space="preserve"> </w:t>
      </w:r>
      <w:r>
        <w:rPr>
          <w:rFonts w:ascii="Simplified Arabic" w:hAnsi="Simplified Arabic" w:cs="Simplified Arabic" w:hint="cs"/>
          <w:color w:val="000000"/>
          <w:sz w:val="24"/>
          <w:szCs w:val="24"/>
          <w:rtl/>
        </w:rPr>
        <w:t>عدة احياء عشوائية ك</w:t>
      </w:r>
      <w:r w:rsidRPr="00754CEA">
        <w:rPr>
          <w:rFonts w:ascii="Simplified Arabic" w:hAnsi="Simplified Arabic" w:cs="Simplified Arabic"/>
          <w:color w:val="000000"/>
          <w:sz w:val="24"/>
          <w:szCs w:val="24"/>
          <w:rtl/>
        </w:rPr>
        <w:t>حي</w:t>
      </w:r>
      <w:r w:rsidRPr="00754CEA">
        <w:rPr>
          <w:rFonts w:ascii="Simplified Arabic" w:hAnsi="Simplified Arabic" w:cs="Simplified Arabic" w:hint="cs"/>
          <w:color w:val="000000"/>
          <w:sz w:val="24"/>
          <w:szCs w:val="24"/>
          <w:rtl/>
        </w:rPr>
        <w:t xml:space="preserve"> </w:t>
      </w:r>
      <w:r>
        <w:rPr>
          <w:rFonts w:ascii="Simplified Arabic" w:hAnsi="Simplified Arabic" w:cs="Simplified Arabic" w:hint="cs"/>
          <w:color w:val="000000"/>
          <w:sz w:val="24"/>
          <w:szCs w:val="24"/>
          <w:rtl/>
        </w:rPr>
        <w:t xml:space="preserve">سيدي سليمان، حي ميطر وحي الرصفة، </w:t>
      </w:r>
      <w:r w:rsidRPr="009216FB">
        <w:rPr>
          <w:rFonts w:ascii="Simplified Arabic" w:hAnsi="Simplified Arabic" w:cs="Simplified Arabic" w:hint="cs"/>
          <w:color w:val="000000"/>
          <w:sz w:val="24"/>
          <w:szCs w:val="24"/>
          <w:rtl/>
        </w:rPr>
        <w:t xml:space="preserve">كما هو موضح في </w:t>
      </w:r>
      <w:r>
        <w:rPr>
          <w:rFonts w:ascii="Simplified Arabic" w:hAnsi="Simplified Arabic" w:cs="Simplified Arabic" w:hint="cs"/>
          <w:color w:val="000000"/>
          <w:sz w:val="24"/>
          <w:szCs w:val="24"/>
          <w:rtl/>
        </w:rPr>
        <w:t>الصورة</w:t>
      </w:r>
      <w:r w:rsidRPr="009216FB">
        <w:rPr>
          <w:rFonts w:ascii="Simplified Arabic" w:hAnsi="Simplified Arabic" w:cs="Simplified Arabic" w:hint="cs"/>
          <w:color w:val="000000"/>
          <w:sz w:val="24"/>
          <w:szCs w:val="24"/>
          <w:rtl/>
        </w:rPr>
        <w:t xml:space="preserve"> </w:t>
      </w:r>
      <w:r w:rsidR="00555689" w:rsidRPr="0063639A">
        <w:rPr>
          <w:rFonts w:ascii="Simplified Arabic" w:hAnsi="Simplified Arabic" w:cs="Simplified Arabic" w:hint="cs"/>
          <w:sz w:val="24"/>
          <w:szCs w:val="24"/>
          <w:rtl/>
        </w:rPr>
        <w:t>(</w:t>
      </w:r>
      <w:r w:rsidR="00555689">
        <w:rPr>
          <w:rFonts w:ascii="Simplified Arabic" w:hAnsi="Simplified Arabic" w:cs="Simplified Arabic" w:hint="cs"/>
          <w:sz w:val="24"/>
          <w:szCs w:val="24"/>
          <w:rtl/>
        </w:rPr>
        <w:t>4-5</w:t>
      </w:r>
      <w:r w:rsidR="00555689" w:rsidRPr="0063639A">
        <w:rPr>
          <w:rFonts w:ascii="Simplified Arabic" w:hAnsi="Simplified Arabic" w:cs="Simplified Arabic" w:hint="cs"/>
          <w:sz w:val="24"/>
          <w:szCs w:val="24"/>
          <w:rtl/>
        </w:rPr>
        <w:t>)</w:t>
      </w:r>
      <w:r w:rsidRPr="009216FB">
        <w:rPr>
          <w:rFonts w:ascii="Simplified Arabic" w:hAnsi="Simplified Arabic" w:cs="Simplified Arabic" w:hint="cs"/>
          <w:color w:val="000000"/>
          <w:sz w:val="24"/>
          <w:szCs w:val="24"/>
          <w:rtl/>
        </w:rPr>
        <w:t>. في نفس هذه المرحلة، اعتمدت السلطات المحلية سياسة تقسيم الارض عن طريق انشاء تجزئات سكنية مخططة ومتوازنة كحي محمد شعباني، وهو اول جهد لتنظيم البناء، لكن اهمل فيها الجانب الوظيفي من حيث</w:t>
      </w:r>
      <w:r>
        <w:rPr>
          <w:rFonts w:ascii="Simplified Arabic" w:hAnsi="Simplified Arabic" w:cs="Simplified Arabic" w:hint="cs"/>
          <w:color w:val="000000"/>
          <w:sz w:val="24"/>
          <w:szCs w:val="24"/>
          <w:rtl/>
        </w:rPr>
        <w:t xml:space="preserve"> التوزيع المكاني للخدمات العامة</w:t>
      </w:r>
      <w:r w:rsidRPr="009216FB">
        <w:rPr>
          <w:rFonts w:ascii="Simplified Arabic" w:hAnsi="Simplified Arabic" w:cs="Simplified Arabic" w:hint="cs"/>
          <w:color w:val="000000"/>
          <w:sz w:val="24"/>
          <w:szCs w:val="24"/>
          <w:rtl/>
        </w:rPr>
        <w:t>.</w:t>
      </w:r>
      <w:r w:rsidRPr="000A7A84">
        <w:rPr>
          <w:rFonts w:ascii="Simplified Arabic" w:hAnsi="Simplified Arabic" w:cs="Simplified Arabic"/>
          <w:color w:val="000000"/>
          <w:sz w:val="24"/>
          <w:szCs w:val="24"/>
          <w:lang w:bidi="ar-DZ"/>
        </w:rPr>
        <w:t xml:space="preserve"> </w:t>
      </w:r>
    </w:p>
    <w:p w:rsidR="000635D8" w:rsidRPr="00C133F5" w:rsidRDefault="000635D8" w:rsidP="00C22773">
      <w:pPr>
        <w:pStyle w:val="Photo"/>
        <w:spacing w:before="0"/>
        <w:rPr>
          <w:rtl/>
        </w:rPr>
      </w:pPr>
      <w:bookmarkStart w:id="569" w:name="_Toc157618650"/>
      <w:bookmarkStart w:id="570" w:name="_Toc171803618"/>
      <w:r w:rsidRPr="00C133F5">
        <w:rPr>
          <w:rFonts w:hint="cs"/>
          <w:rtl/>
        </w:rPr>
        <w:lastRenderedPageBreak/>
        <w:t xml:space="preserve">الصورة </w:t>
      </w:r>
      <w:r w:rsidR="00555689" w:rsidRPr="0063639A">
        <w:rPr>
          <w:rFonts w:hint="cs"/>
          <w:rtl/>
        </w:rPr>
        <w:t>(</w:t>
      </w:r>
      <w:r w:rsidR="00555689">
        <w:rPr>
          <w:rFonts w:hint="cs"/>
          <w:rtl/>
        </w:rPr>
        <w:t>4-5</w:t>
      </w:r>
      <w:r w:rsidR="00555689" w:rsidRPr="0063639A">
        <w:rPr>
          <w:rFonts w:hint="cs"/>
          <w:rtl/>
        </w:rPr>
        <w:t>)</w:t>
      </w:r>
      <w:r w:rsidRPr="00C133F5">
        <w:rPr>
          <w:rtl/>
        </w:rPr>
        <w:t>:</w:t>
      </w:r>
      <w:r w:rsidRPr="00C133F5">
        <w:rPr>
          <w:rFonts w:hint="cs"/>
          <w:rtl/>
        </w:rPr>
        <w:t xml:space="preserve"> صورة جوية لمدينة بوسعادة (2001)</w:t>
      </w:r>
      <w:bookmarkEnd w:id="569"/>
      <w:bookmarkEnd w:id="570"/>
    </w:p>
    <w:p w:rsidR="000635D8" w:rsidRPr="00C133F5" w:rsidRDefault="000635D8" w:rsidP="00C22773">
      <w:pPr>
        <w:pStyle w:val="Paragraphedeliste"/>
        <w:tabs>
          <w:tab w:val="right" w:pos="281"/>
        </w:tabs>
        <w:bidi/>
        <w:spacing w:after="0" w:line="240" w:lineRule="auto"/>
        <w:ind w:left="0"/>
        <w:jc w:val="center"/>
        <w:rPr>
          <w:rFonts w:ascii="Simplified Arabic" w:hAnsi="Simplified Arabic" w:cs="Simplified Arabic"/>
          <w:sz w:val="24"/>
          <w:szCs w:val="24"/>
          <w:rtl/>
        </w:rPr>
      </w:pPr>
      <w:r w:rsidRPr="00C133F5">
        <w:rPr>
          <w:rFonts w:ascii="Simplified Arabic" w:hAnsi="Simplified Arabic" w:cs="Simplified Arabic" w:hint="cs"/>
          <w:sz w:val="24"/>
          <w:szCs w:val="24"/>
          <w:rtl/>
        </w:rPr>
        <w:t>المصدر: المعهد الوطني للخرائط و الاستشعار عن بعد</w:t>
      </w:r>
    </w:p>
    <w:p w:rsidR="000635D8" w:rsidRPr="00C133F5" w:rsidRDefault="000635D8" w:rsidP="009C43FD">
      <w:pPr>
        <w:pStyle w:val="Paragraphedeliste"/>
        <w:bidi/>
        <w:ind w:left="0"/>
        <w:jc w:val="center"/>
        <w:rPr>
          <w:noProof/>
          <w:rtl/>
          <w:lang w:eastAsia="fr-FR"/>
        </w:rPr>
      </w:pPr>
      <w:r>
        <w:rPr>
          <w:noProof/>
          <w:lang w:eastAsia="fr-FR"/>
        </w:rPr>
        <w:drawing>
          <wp:inline distT="0" distB="0" distL="0" distR="0" wp14:anchorId="4536FFF0" wp14:editId="6A0578F8">
            <wp:extent cx="4588829" cy="2561761"/>
            <wp:effectExtent l="19050" t="19050" r="21590" b="10160"/>
            <wp:docPr id="170" name="Imag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7"/>
                    <a:stretch>
                      <a:fillRect/>
                    </a:stretch>
                  </pic:blipFill>
                  <pic:spPr>
                    <a:xfrm>
                      <a:off x="0" y="0"/>
                      <a:ext cx="4587600" cy="2561075"/>
                    </a:xfrm>
                    <a:prstGeom prst="rect">
                      <a:avLst/>
                    </a:prstGeom>
                    <a:ln>
                      <a:solidFill>
                        <a:schemeClr val="tx1"/>
                      </a:solidFill>
                    </a:ln>
                  </pic:spPr>
                </pic:pic>
              </a:graphicData>
            </a:graphic>
          </wp:inline>
        </w:drawing>
      </w:r>
    </w:p>
    <w:p w:rsidR="000635D8" w:rsidRDefault="000635D8" w:rsidP="001D0548">
      <w:pPr>
        <w:pStyle w:val="Paragraphedeliste"/>
        <w:numPr>
          <w:ilvl w:val="0"/>
          <w:numId w:val="38"/>
        </w:numPr>
        <w:autoSpaceDE w:val="0"/>
        <w:autoSpaceDN w:val="0"/>
        <w:bidi/>
        <w:adjustRightInd w:val="0"/>
        <w:spacing w:before="240" w:after="0"/>
        <w:ind w:left="283" w:hanging="283"/>
        <w:jc w:val="both"/>
        <w:rPr>
          <w:rFonts w:ascii="Simplified Arabic" w:hAnsi="Simplified Arabic" w:cs="Simplified Arabic"/>
          <w:color w:val="000000"/>
          <w:sz w:val="24"/>
          <w:szCs w:val="24"/>
          <w:lang w:bidi="ar-DZ"/>
        </w:rPr>
      </w:pPr>
      <w:r w:rsidRPr="00CB51C2">
        <w:rPr>
          <w:rFonts w:ascii="Simplified Arabic" w:hAnsi="Simplified Arabic" w:cs="Simplified Arabic"/>
          <w:b/>
          <w:bCs/>
          <w:color w:val="000000"/>
          <w:sz w:val="24"/>
          <w:szCs w:val="24"/>
          <w:rtl/>
        </w:rPr>
        <w:t>مرحلة</w:t>
      </w:r>
      <w:r w:rsidRPr="00CB51C2">
        <w:rPr>
          <w:rFonts w:ascii="Simplified Arabic" w:hAnsi="Simplified Arabic" w:cs="Simplified Arabic" w:hint="cs"/>
          <w:b/>
          <w:bCs/>
          <w:color w:val="000000"/>
          <w:sz w:val="24"/>
          <w:szCs w:val="24"/>
          <w:rtl/>
        </w:rPr>
        <w:t xml:space="preserve"> بداية </w:t>
      </w:r>
      <w:r w:rsidRPr="00CB51C2">
        <w:rPr>
          <w:rFonts w:ascii="Simplified Arabic" w:hAnsi="Simplified Arabic" w:cs="Simplified Arabic"/>
          <w:b/>
          <w:bCs/>
          <w:color w:val="000000"/>
          <w:sz w:val="24"/>
          <w:szCs w:val="24"/>
          <w:rtl/>
        </w:rPr>
        <w:t>تشبع</w:t>
      </w:r>
      <w:r w:rsidRPr="00CB51C2">
        <w:rPr>
          <w:rFonts w:ascii="Simplified Arabic" w:hAnsi="Simplified Arabic" w:cs="Simplified Arabic"/>
          <w:b/>
          <w:bCs/>
          <w:color w:val="000000"/>
          <w:sz w:val="24"/>
          <w:szCs w:val="24"/>
        </w:rPr>
        <w:t xml:space="preserve"> </w:t>
      </w:r>
      <w:r w:rsidRPr="00CB51C2">
        <w:rPr>
          <w:rFonts w:ascii="Simplified Arabic" w:hAnsi="Simplified Arabic" w:cs="Simplified Arabic"/>
          <w:b/>
          <w:bCs/>
          <w:color w:val="000000"/>
          <w:sz w:val="24"/>
          <w:szCs w:val="24"/>
          <w:rtl/>
        </w:rPr>
        <w:t>النسيج</w:t>
      </w:r>
      <w:r w:rsidRPr="00CB51C2">
        <w:rPr>
          <w:rFonts w:ascii="Simplified Arabic" w:hAnsi="Simplified Arabic" w:cs="Simplified Arabic"/>
          <w:b/>
          <w:bCs/>
          <w:color w:val="000000"/>
          <w:sz w:val="24"/>
          <w:szCs w:val="24"/>
        </w:rPr>
        <w:t xml:space="preserve"> </w:t>
      </w:r>
      <w:r w:rsidRPr="00CB51C2">
        <w:rPr>
          <w:rFonts w:ascii="Simplified Arabic" w:hAnsi="Simplified Arabic" w:cs="Simplified Arabic"/>
          <w:b/>
          <w:bCs/>
          <w:color w:val="000000"/>
          <w:sz w:val="24"/>
          <w:szCs w:val="24"/>
          <w:rtl/>
        </w:rPr>
        <w:t>الحضري</w:t>
      </w:r>
      <w:r w:rsidRPr="00CB51C2">
        <w:rPr>
          <w:rFonts w:ascii="Simplified Arabic" w:hAnsi="Simplified Arabic" w:cs="Simplified Arabic" w:hint="cs"/>
          <w:b/>
          <w:bCs/>
          <w:color w:val="000000"/>
          <w:sz w:val="24"/>
          <w:szCs w:val="24"/>
          <w:rtl/>
        </w:rPr>
        <w:t xml:space="preserve"> ما بين (1990-2012)</w:t>
      </w:r>
      <w:r w:rsidRPr="00CB51C2">
        <w:rPr>
          <w:rFonts w:ascii="Simplified Arabic" w:hAnsi="Simplified Arabic" w:cs="Simplified Arabic" w:hint="cs"/>
          <w:color w:val="000000"/>
          <w:sz w:val="24"/>
          <w:szCs w:val="24"/>
          <w:rtl/>
          <w:lang w:bidi="ar-DZ"/>
        </w:rPr>
        <w:t>:</w:t>
      </w:r>
      <w:r w:rsidRPr="00CB51C2">
        <w:rPr>
          <w:rFonts w:ascii="Simplified Arabic" w:hAnsi="Simplified Arabic" w:cs="Simplified Arabic" w:hint="cs"/>
          <w:color w:val="000000"/>
          <w:sz w:val="24"/>
          <w:szCs w:val="24"/>
          <w:rtl/>
        </w:rPr>
        <w:t xml:space="preserve"> </w:t>
      </w:r>
      <w:r w:rsidRPr="00CB51C2">
        <w:rPr>
          <w:rFonts w:ascii="Simplified Arabic" w:hAnsi="Simplified Arabic" w:cs="Simplified Arabic" w:hint="cs"/>
          <w:color w:val="000000"/>
          <w:sz w:val="24"/>
          <w:szCs w:val="24"/>
          <w:rtl/>
          <w:lang w:bidi="ar-DZ"/>
        </w:rPr>
        <w:t>تميزت</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هذه</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الفترة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ببدء</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نشأة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المدينة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الجديدة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w:t>
      </w:r>
      <w:r>
        <w:rPr>
          <w:rFonts w:ascii="Simplified Arabic" w:hAnsi="Simplified Arabic" w:cs="Simplified Arabic" w:hint="cs"/>
          <w:color w:val="000000"/>
          <w:sz w:val="24"/>
          <w:szCs w:val="24"/>
          <w:rtl/>
          <w:lang w:bidi="ar-DZ"/>
        </w:rPr>
        <w:t>باط</w:t>
      </w:r>
      <w:r w:rsidRPr="00CB51C2">
        <w:rPr>
          <w:rFonts w:ascii="Simplified Arabic" w:hAnsi="Simplified Arabic" w:cs="Simplified Arabic" w:hint="cs"/>
          <w:color w:val="000000"/>
          <w:sz w:val="24"/>
          <w:szCs w:val="24"/>
          <w:rtl/>
          <w:lang w:bidi="ar-DZ"/>
        </w:rPr>
        <w:t>ن</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في</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محور</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الجزائر</w:t>
      </w:r>
      <w:r w:rsidRPr="00CB51C2">
        <w:rPr>
          <w:rFonts w:ascii="Simplified Arabic" w:hAnsi="Simplified Arabic" w:cs="Simplified Arabic"/>
          <w:color w:val="000000"/>
          <w:sz w:val="24"/>
          <w:szCs w:val="24"/>
          <w:rtl/>
          <w:lang w:bidi="ar-DZ"/>
        </w:rPr>
        <w:t>-</w:t>
      </w:r>
      <w:r w:rsidRPr="00CB51C2">
        <w:rPr>
          <w:rFonts w:ascii="Simplified Arabic" w:hAnsi="Simplified Arabic" w:cs="Simplified Arabic" w:hint="cs"/>
          <w:color w:val="000000"/>
          <w:sz w:val="24"/>
          <w:szCs w:val="24"/>
          <w:rtl/>
          <w:lang w:bidi="ar-DZ"/>
        </w:rPr>
        <w:t>سيدي</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عامر،</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نتيجة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الضغط</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الديموغرافي</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والرغبة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في</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تلبية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الاحتياجات</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السكنية،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مما</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أجبر</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السلطات</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على</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برمجة</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هذا</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الامتداد</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الكبير</w:t>
      </w:r>
      <w:r w:rsidRPr="00CB51C2">
        <w:rPr>
          <w:rFonts w:ascii="Simplified Arabic" w:hAnsi="Simplified Arabic" w:cs="Simplified Arabic"/>
          <w:color w:val="000000"/>
          <w:sz w:val="24"/>
          <w:szCs w:val="24"/>
          <w:rtl/>
          <w:lang w:bidi="ar-DZ"/>
        </w:rPr>
        <w:t xml:space="preserve"> </w:t>
      </w:r>
      <w:r w:rsidRPr="00CB51C2">
        <w:rPr>
          <w:rFonts w:ascii="Simplified Arabic" w:hAnsi="Simplified Arabic" w:cs="Simplified Arabic" w:hint="cs"/>
          <w:color w:val="000000"/>
          <w:sz w:val="24"/>
          <w:szCs w:val="24"/>
          <w:rtl/>
          <w:lang w:bidi="ar-DZ"/>
        </w:rPr>
        <w:t>بنحو</w:t>
      </w:r>
      <w:r w:rsidRPr="00CB51C2">
        <w:rPr>
          <w:rFonts w:ascii="Simplified Arabic" w:hAnsi="Simplified Arabic" w:cs="Simplified Arabic"/>
          <w:color w:val="000000"/>
          <w:sz w:val="24"/>
          <w:szCs w:val="24"/>
          <w:rtl/>
          <w:lang w:bidi="ar-DZ"/>
        </w:rPr>
        <w:t xml:space="preserve"> 100 </w:t>
      </w:r>
      <w:r w:rsidRPr="00CB51C2">
        <w:rPr>
          <w:rFonts w:ascii="Simplified Arabic" w:hAnsi="Simplified Arabic" w:cs="Simplified Arabic" w:hint="cs"/>
          <w:color w:val="000000"/>
          <w:sz w:val="24"/>
          <w:szCs w:val="24"/>
          <w:rtl/>
          <w:lang w:bidi="ar-DZ"/>
        </w:rPr>
        <w:t>هكتار. ت</w:t>
      </w:r>
      <w:r w:rsidRPr="00CB51C2">
        <w:rPr>
          <w:rFonts w:ascii="Simplified Arabic" w:hAnsi="Simplified Arabic" w:cs="Simplified Arabic"/>
          <w:color w:val="000000"/>
          <w:sz w:val="24"/>
          <w:szCs w:val="24"/>
          <w:rtl/>
          <w:lang w:bidi="ar-DZ"/>
        </w:rPr>
        <w:t>توافق هذ</w:t>
      </w:r>
      <w:r w:rsidRPr="00CB51C2">
        <w:rPr>
          <w:rFonts w:ascii="Simplified Arabic" w:hAnsi="Simplified Arabic" w:cs="Simplified Arabic" w:hint="cs"/>
          <w:color w:val="000000"/>
          <w:sz w:val="24"/>
          <w:szCs w:val="24"/>
          <w:rtl/>
          <w:lang w:bidi="ar-DZ"/>
        </w:rPr>
        <w:t>ه</w:t>
      </w:r>
      <w:r w:rsidRPr="00CB51C2">
        <w:rPr>
          <w:rFonts w:ascii="Simplified Arabic" w:hAnsi="Simplified Arabic" w:cs="Simplified Arabic"/>
          <w:color w:val="000000"/>
          <w:sz w:val="24"/>
          <w:szCs w:val="24"/>
          <w:rtl/>
          <w:lang w:bidi="ar-DZ"/>
        </w:rPr>
        <w:t xml:space="preserve"> ال</w:t>
      </w:r>
      <w:r w:rsidRPr="00CB51C2">
        <w:rPr>
          <w:rFonts w:ascii="Simplified Arabic" w:hAnsi="Simplified Arabic" w:cs="Simplified Arabic" w:hint="cs"/>
          <w:color w:val="000000"/>
          <w:sz w:val="24"/>
          <w:szCs w:val="24"/>
          <w:rtl/>
          <w:lang w:bidi="ar-DZ"/>
        </w:rPr>
        <w:t>مرحلة</w:t>
      </w:r>
      <w:r w:rsidRPr="00CB51C2">
        <w:rPr>
          <w:rFonts w:ascii="Simplified Arabic" w:hAnsi="Simplified Arabic" w:cs="Simplified Arabic"/>
          <w:color w:val="000000"/>
          <w:sz w:val="24"/>
          <w:szCs w:val="24"/>
          <w:rtl/>
          <w:lang w:bidi="ar-DZ"/>
        </w:rPr>
        <w:t xml:space="preserve"> مع </w:t>
      </w:r>
      <w:r w:rsidRPr="00A41D52">
        <w:rPr>
          <w:rFonts w:ascii="Simplified Arabic" w:hAnsi="Simplified Arabic" w:cs="Simplified Arabic"/>
          <w:color w:val="000000"/>
          <w:sz w:val="24"/>
          <w:szCs w:val="24"/>
          <w:rtl/>
          <w:lang w:bidi="ar-DZ"/>
        </w:rPr>
        <w:t>صدور القانون</w:t>
      </w:r>
      <w:r w:rsidRPr="00A41D52">
        <w:rPr>
          <w:rFonts w:ascii="Simplified Arabic" w:hAnsi="Simplified Arabic" w:cs="Simplified Arabic"/>
          <w:color w:val="000000"/>
          <w:sz w:val="24"/>
          <w:szCs w:val="24"/>
          <w:lang w:bidi="ar-DZ"/>
        </w:rPr>
        <w:t xml:space="preserve"> </w:t>
      </w:r>
      <w:r w:rsidRPr="00A41D52">
        <w:rPr>
          <w:rFonts w:ascii="Simplified Arabic" w:hAnsi="Simplified Arabic" w:cs="Simplified Arabic"/>
          <w:color w:val="000000"/>
          <w:sz w:val="24"/>
          <w:szCs w:val="24"/>
          <w:rtl/>
          <w:lang w:bidi="ar-DZ"/>
        </w:rPr>
        <w:t>رقم 90-29،</w:t>
      </w:r>
      <w:r w:rsidRPr="00CB51C2">
        <w:rPr>
          <w:rFonts w:ascii="Simplified Arabic" w:hAnsi="Simplified Arabic" w:cs="Simplified Arabic"/>
          <w:color w:val="000000"/>
          <w:sz w:val="24"/>
          <w:szCs w:val="24"/>
          <w:rtl/>
          <w:lang w:bidi="ar-DZ"/>
        </w:rPr>
        <w:t xml:space="preserve"> وهو أول</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قانون</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متخصص</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و متكامل</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في</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مجال</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التشريع</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والتخطيط</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العمراني</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في</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الجزائر</w:t>
      </w:r>
      <w:r w:rsidR="00235E1C">
        <w:rPr>
          <w:rFonts w:ascii="Simplified Arabic" w:hAnsi="Simplified Arabic" w:cs="Simplified Arabic" w:hint="cs"/>
          <w:color w:val="000000"/>
          <w:sz w:val="24"/>
          <w:szCs w:val="24"/>
          <w:rtl/>
          <w:lang w:bidi="ar-DZ"/>
        </w:rPr>
        <w:t>.</w:t>
      </w:r>
      <w:r w:rsidRPr="00CB51C2">
        <w:rPr>
          <w:rFonts w:ascii="Simplified Arabic" w:hAnsi="Simplified Arabic" w:cs="Simplified Arabic" w:hint="cs"/>
          <w:color w:val="000000"/>
          <w:sz w:val="24"/>
          <w:szCs w:val="24"/>
          <w:rtl/>
          <w:lang w:bidi="ar-DZ"/>
        </w:rPr>
        <w:t>، بعد ان</w:t>
      </w:r>
      <w:r w:rsidRPr="00CB51C2">
        <w:rPr>
          <w:rFonts w:ascii="Simplified Arabic" w:hAnsi="Simplified Arabic" w:cs="Simplified Arabic"/>
          <w:color w:val="000000"/>
          <w:sz w:val="24"/>
          <w:szCs w:val="24"/>
          <w:rtl/>
          <w:lang w:bidi="ar-DZ"/>
        </w:rPr>
        <w:t xml:space="preserve"> مرت </w:t>
      </w:r>
      <w:r w:rsidRPr="00CB51C2">
        <w:rPr>
          <w:rFonts w:ascii="Simplified Arabic" w:hAnsi="Simplified Arabic" w:cs="Simplified Arabic" w:hint="cs"/>
          <w:color w:val="000000"/>
          <w:sz w:val="24"/>
          <w:szCs w:val="24"/>
          <w:rtl/>
          <w:lang w:bidi="ar-DZ"/>
        </w:rPr>
        <w:t xml:space="preserve">المدينة </w:t>
      </w:r>
      <w:r w:rsidRPr="00CB51C2">
        <w:rPr>
          <w:rFonts w:ascii="Simplified Arabic" w:hAnsi="Simplified Arabic" w:cs="Simplified Arabic"/>
          <w:color w:val="000000"/>
          <w:sz w:val="24"/>
          <w:szCs w:val="24"/>
          <w:rtl/>
          <w:lang w:bidi="ar-DZ"/>
        </w:rPr>
        <w:t xml:space="preserve">بمرحلة غياب </w:t>
      </w:r>
      <w:r w:rsidRPr="00CB51C2">
        <w:rPr>
          <w:rFonts w:ascii="Simplified Arabic" w:hAnsi="Simplified Arabic" w:cs="Simplified Arabic" w:hint="cs"/>
          <w:color w:val="000000"/>
          <w:sz w:val="24"/>
          <w:szCs w:val="24"/>
          <w:rtl/>
          <w:lang w:bidi="ar-DZ"/>
        </w:rPr>
        <w:t>في</w:t>
      </w:r>
      <w:r w:rsidRPr="00CB51C2">
        <w:rPr>
          <w:rFonts w:ascii="Simplified Arabic" w:hAnsi="Simplified Arabic" w:cs="Simplified Arabic"/>
          <w:color w:val="000000"/>
          <w:sz w:val="24"/>
          <w:szCs w:val="24"/>
          <w:rtl/>
          <w:lang w:bidi="ar-DZ"/>
        </w:rPr>
        <w:t xml:space="preserve"> اداتها التخطيطية، خصوصا الفترة الممتدة من 1989 الى </w:t>
      </w:r>
      <w:r w:rsidRPr="00CB51C2">
        <w:rPr>
          <w:rFonts w:ascii="Simplified Arabic" w:hAnsi="Simplified Arabic" w:cs="Simplified Arabic" w:hint="cs"/>
          <w:color w:val="000000"/>
          <w:sz w:val="24"/>
          <w:szCs w:val="24"/>
          <w:rtl/>
          <w:lang w:bidi="ar-DZ"/>
        </w:rPr>
        <w:t>1996</w:t>
      </w:r>
      <w:r w:rsidRPr="00CB51C2">
        <w:rPr>
          <w:rFonts w:ascii="Simplified Arabic" w:hAnsi="Simplified Arabic" w:cs="Simplified Arabic"/>
          <w:color w:val="000000"/>
          <w:sz w:val="24"/>
          <w:szCs w:val="24"/>
          <w:rtl/>
          <w:lang w:bidi="ar-DZ"/>
        </w:rPr>
        <w:t xml:space="preserve"> التي لم تعتمد فيها اية اداة تعمير فعالة،</w:t>
      </w:r>
      <w:r w:rsidRPr="00CB51C2">
        <w:rPr>
          <w:rFonts w:ascii="Simplified Arabic" w:hAnsi="Simplified Arabic" w:cs="Simplified Arabic" w:hint="cs"/>
          <w:color w:val="000000"/>
          <w:sz w:val="24"/>
          <w:szCs w:val="24"/>
          <w:rtl/>
          <w:lang w:bidi="ar-DZ"/>
        </w:rPr>
        <w:t xml:space="preserve"> </w:t>
      </w:r>
      <w:r w:rsidRPr="00CB51C2">
        <w:rPr>
          <w:rFonts w:ascii="Simplified Arabic" w:hAnsi="Simplified Arabic" w:cs="Simplified Arabic"/>
          <w:color w:val="000000"/>
          <w:sz w:val="24"/>
          <w:szCs w:val="24"/>
          <w:rtl/>
          <w:lang w:bidi="ar-DZ"/>
        </w:rPr>
        <w:t xml:space="preserve">لتأخر اعداد و مصادقة المخطط التوجيهي للتهيئة و التعمير الذي كان سنة </w:t>
      </w:r>
      <w:r w:rsidRPr="00CB51C2">
        <w:rPr>
          <w:rFonts w:ascii="Simplified Arabic" w:hAnsi="Simplified Arabic" w:cs="Simplified Arabic" w:hint="cs"/>
          <w:color w:val="000000"/>
          <w:sz w:val="24"/>
          <w:szCs w:val="24"/>
          <w:rtl/>
          <w:lang w:bidi="ar-DZ"/>
        </w:rPr>
        <w:t>1996</w:t>
      </w:r>
      <w:r w:rsidRPr="00CB51C2">
        <w:rPr>
          <w:rFonts w:ascii="Simplified Arabic" w:hAnsi="Simplified Arabic" w:cs="Simplified Arabic"/>
          <w:color w:val="000000"/>
          <w:sz w:val="24"/>
          <w:szCs w:val="24"/>
          <w:rtl/>
          <w:lang w:bidi="ar-DZ"/>
        </w:rPr>
        <w:t>، نتج عنه توسع</w:t>
      </w:r>
      <w:r w:rsidRPr="00CB51C2">
        <w:rPr>
          <w:rFonts w:ascii="Simplified Arabic" w:hAnsi="Simplified Arabic" w:cs="Simplified Arabic" w:hint="cs"/>
          <w:color w:val="000000"/>
          <w:sz w:val="24"/>
          <w:szCs w:val="24"/>
          <w:rtl/>
          <w:lang w:bidi="ar-DZ"/>
        </w:rPr>
        <w:t xml:space="preserve"> </w:t>
      </w:r>
      <w:r w:rsidRPr="00CB51C2">
        <w:rPr>
          <w:rFonts w:ascii="Simplified Arabic" w:hAnsi="Simplified Arabic" w:cs="Simplified Arabic"/>
          <w:color w:val="000000"/>
          <w:sz w:val="24"/>
          <w:szCs w:val="24"/>
          <w:rtl/>
          <w:lang w:bidi="ar-DZ"/>
        </w:rPr>
        <w:t>غير مخطط</w:t>
      </w:r>
      <w:r w:rsidRPr="00CB51C2">
        <w:rPr>
          <w:rFonts w:ascii="Simplified Arabic" w:hAnsi="Simplified Arabic" w:cs="Simplified Arabic" w:hint="cs"/>
          <w:color w:val="000000"/>
          <w:sz w:val="24"/>
          <w:szCs w:val="24"/>
          <w:rtl/>
          <w:lang w:bidi="ar-DZ"/>
        </w:rPr>
        <w:t xml:space="preserve"> افضى الى </w:t>
      </w:r>
      <w:r w:rsidRPr="00CB51C2">
        <w:rPr>
          <w:rFonts w:ascii="Simplified Arabic" w:hAnsi="Simplified Arabic" w:cs="Simplified Arabic"/>
          <w:color w:val="000000"/>
          <w:sz w:val="24"/>
          <w:szCs w:val="24"/>
          <w:rtl/>
          <w:lang w:bidi="ar-DZ"/>
        </w:rPr>
        <w:t>عدة</w:t>
      </w:r>
      <w:r w:rsidRPr="00CB51C2">
        <w:rPr>
          <w:rFonts w:ascii="Simplified Arabic" w:hAnsi="Simplified Arabic" w:cs="Simplified Arabic" w:hint="cs"/>
          <w:color w:val="000000"/>
          <w:sz w:val="24"/>
          <w:szCs w:val="24"/>
          <w:rtl/>
          <w:lang w:bidi="ar-DZ"/>
        </w:rPr>
        <w:t xml:space="preserve"> </w:t>
      </w:r>
      <w:r w:rsidRPr="00CB51C2">
        <w:rPr>
          <w:rFonts w:ascii="Simplified Arabic" w:hAnsi="Simplified Arabic" w:cs="Simplified Arabic"/>
          <w:color w:val="000000"/>
          <w:sz w:val="24"/>
          <w:szCs w:val="24"/>
          <w:rtl/>
          <w:lang w:bidi="ar-DZ"/>
        </w:rPr>
        <w:t>مشاكل</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hint="cs"/>
          <w:color w:val="000000"/>
          <w:sz w:val="24"/>
          <w:szCs w:val="24"/>
          <w:rtl/>
          <w:lang w:bidi="ar-DZ"/>
        </w:rPr>
        <w:t>منها صعوبة ا</w:t>
      </w:r>
      <w:r w:rsidRPr="00CB51C2">
        <w:rPr>
          <w:rFonts w:ascii="Simplified Arabic" w:hAnsi="Simplified Arabic" w:cs="Simplified Arabic"/>
          <w:color w:val="000000"/>
          <w:sz w:val="24"/>
          <w:szCs w:val="24"/>
          <w:rtl/>
          <w:lang w:bidi="ar-DZ"/>
        </w:rPr>
        <w:t>دماج</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هذه</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hint="cs"/>
          <w:color w:val="000000"/>
          <w:sz w:val="24"/>
          <w:szCs w:val="24"/>
          <w:rtl/>
          <w:lang w:bidi="ar-DZ"/>
        </w:rPr>
        <w:t xml:space="preserve">الاحياء </w:t>
      </w:r>
      <w:r w:rsidRPr="00CB51C2">
        <w:rPr>
          <w:rFonts w:ascii="Simplified Arabic" w:hAnsi="Simplified Arabic" w:cs="Simplified Arabic"/>
          <w:color w:val="000000"/>
          <w:sz w:val="24"/>
          <w:szCs w:val="24"/>
          <w:rtl/>
          <w:lang w:bidi="ar-DZ"/>
        </w:rPr>
        <w:t>بمركز</w:t>
      </w:r>
      <w:r w:rsidRPr="00CB51C2">
        <w:rPr>
          <w:rFonts w:ascii="Simplified Arabic" w:hAnsi="Simplified Arabic" w:cs="Simplified Arabic" w:hint="cs"/>
          <w:color w:val="000000"/>
          <w:sz w:val="24"/>
          <w:szCs w:val="24"/>
          <w:rtl/>
          <w:lang w:bidi="ar-DZ"/>
        </w:rPr>
        <w:t xml:space="preserve"> المدينة،</w:t>
      </w:r>
      <w:r w:rsidRPr="00CB51C2">
        <w:rPr>
          <w:rFonts w:ascii="Simplified Arabic" w:hAnsi="Simplified Arabic" w:cs="Simplified Arabic"/>
          <w:color w:val="000000"/>
          <w:sz w:val="24"/>
          <w:szCs w:val="24"/>
          <w:rtl/>
          <w:lang w:bidi="ar-DZ"/>
        </w:rPr>
        <w:t xml:space="preserve"> نمو</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أحياء</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الضواحي</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بدون</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color w:val="000000"/>
          <w:sz w:val="24"/>
          <w:szCs w:val="24"/>
          <w:rtl/>
          <w:lang w:bidi="ar-DZ"/>
        </w:rPr>
        <w:t>تجهيزات</w:t>
      </w:r>
      <w:r w:rsidRPr="00CB51C2">
        <w:rPr>
          <w:rFonts w:ascii="Simplified Arabic" w:hAnsi="Simplified Arabic" w:cs="Simplified Arabic" w:hint="cs"/>
          <w:color w:val="000000"/>
          <w:sz w:val="24"/>
          <w:szCs w:val="24"/>
          <w:rtl/>
          <w:lang w:bidi="ar-DZ"/>
        </w:rPr>
        <w:t xml:space="preserve"> خدماتية</w:t>
      </w:r>
      <w:r w:rsidRPr="00CB51C2">
        <w:rPr>
          <w:rFonts w:ascii="Simplified Arabic" w:hAnsi="Simplified Arabic" w:cs="Simplified Arabic"/>
          <w:color w:val="000000"/>
          <w:sz w:val="24"/>
          <w:szCs w:val="24"/>
          <w:lang w:bidi="ar-DZ"/>
        </w:rPr>
        <w:t xml:space="preserve"> </w:t>
      </w:r>
      <w:r w:rsidRPr="00CB51C2">
        <w:rPr>
          <w:rFonts w:ascii="Simplified Arabic" w:hAnsi="Simplified Arabic" w:cs="Simplified Arabic" w:hint="cs"/>
          <w:color w:val="000000"/>
          <w:sz w:val="24"/>
          <w:szCs w:val="24"/>
          <w:rtl/>
          <w:lang w:bidi="ar-DZ"/>
        </w:rPr>
        <w:t>أ</w:t>
      </w:r>
      <w:r w:rsidRPr="00CB51C2">
        <w:rPr>
          <w:rFonts w:ascii="Simplified Arabic" w:hAnsi="Simplified Arabic" w:cs="Simplified Arabic"/>
          <w:color w:val="000000"/>
          <w:sz w:val="24"/>
          <w:szCs w:val="24"/>
          <w:rtl/>
          <w:lang w:bidi="ar-DZ"/>
        </w:rPr>
        <w:t>و</w:t>
      </w:r>
      <w:r w:rsidRPr="00CB51C2">
        <w:rPr>
          <w:rFonts w:ascii="Simplified Arabic" w:hAnsi="Simplified Arabic" w:cs="Simplified Arabic" w:hint="cs"/>
          <w:color w:val="000000"/>
          <w:sz w:val="24"/>
          <w:szCs w:val="24"/>
          <w:rtl/>
          <w:lang w:bidi="ar-DZ"/>
        </w:rPr>
        <w:t xml:space="preserve"> </w:t>
      </w:r>
      <w:r w:rsidRPr="00CB51C2">
        <w:rPr>
          <w:rFonts w:ascii="Simplified Arabic" w:hAnsi="Simplified Arabic" w:cs="Simplified Arabic"/>
          <w:color w:val="000000"/>
          <w:sz w:val="24"/>
          <w:szCs w:val="24"/>
          <w:rtl/>
          <w:lang w:bidi="ar-DZ"/>
        </w:rPr>
        <w:t>هياكل</w:t>
      </w:r>
      <w:r w:rsidRPr="00CB51C2">
        <w:rPr>
          <w:rFonts w:ascii="Simplified Arabic" w:hAnsi="Simplified Arabic" w:cs="Simplified Arabic" w:hint="cs"/>
          <w:color w:val="000000"/>
          <w:sz w:val="24"/>
          <w:szCs w:val="24"/>
          <w:rtl/>
          <w:lang w:bidi="ar-DZ"/>
        </w:rPr>
        <w:t xml:space="preserve"> </w:t>
      </w:r>
      <w:r w:rsidRPr="00CB51C2">
        <w:rPr>
          <w:rFonts w:ascii="Simplified Arabic" w:hAnsi="Simplified Arabic" w:cs="Simplified Arabic"/>
          <w:color w:val="000000"/>
          <w:sz w:val="24"/>
          <w:szCs w:val="24"/>
          <w:rtl/>
          <w:lang w:bidi="ar-DZ"/>
        </w:rPr>
        <w:t>قاعدي</w:t>
      </w:r>
      <w:r w:rsidRPr="00CB51C2">
        <w:rPr>
          <w:rFonts w:ascii="Simplified Arabic" w:hAnsi="Simplified Arabic" w:cs="Simplified Arabic" w:hint="cs"/>
          <w:color w:val="000000"/>
          <w:sz w:val="24"/>
          <w:szCs w:val="24"/>
          <w:rtl/>
          <w:lang w:bidi="ar-DZ"/>
        </w:rPr>
        <w:t>ة.</w:t>
      </w:r>
      <w:r>
        <w:rPr>
          <w:rFonts w:ascii="Simplified Arabic" w:hAnsi="Simplified Arabic" w:cs="Simplified Arabic" w:hint="cs"/>
          <w:color w:val="000000"/>
          <w:sz w:val="24"/>
          <w:szCs w:val="24"/>
          <w:rtl/>
          <w:lang w:bidi="ar-DZ"/>
        </w:rPr>
        <w:t xml:space="preserve"> </w:t>
      </w:r>
    </w:p>
    <w:p w:rsidR="00235E1C" w:rsidRDefault="000635D8" w:rsidP="005071CB">
      <w:pPr>
        <w:pStyle w:val="Paragraphedeliste"/>
        <w:autoSpaceDE w:val="0"/>
        <w:autoSpaceDN w:val="0"/>
        <w:bidi/>
        <w:adjustRightInd w:val="0"/>
        <w:spacing w:after="0"/>
        <w:ind w:left="283" w:firstLine="284"/>
        <w:jc w:val="both"/>
        <w:rPr>
          <w:rFonts w:ascii="Simplified Arabic" w:hAnsi="Simplified Arabic" w:cs="Simplified Arabic"/>
          <w:color w:val="000000"/>
          <w:sz w:val="24"/>
          <w:szCs w:val="24"/>
          <w:rtl/>
          <w:lang w:bidi="ar-DZ"/>
        </w:rPr>
      </w:pPr>
      <w:r w:rsidRPr="00110EF7">
        <w:rPr>
          <w:rFonts w:asciiTheme="majorBidi" w:hAnsiTheme="majorBidi" w:cstheme="majorBidi" w:hint="cs"/>
          <w:color w:val="000000"/>
          <w:sz w:val="24"/>
          <w:szCs w:val="24"/>
          <w:rtl/>
          <w:lang w:bidi="ar-DZ"/>
        </w:rPr>
        <w:t>ا</w:t>
      </w:r>
      <w:r w:rsidRPr="00110EF7">
        <w:rPr>
          <w:rFonts w:ascii="Simplified Arabic" w:hAnsi="Simplified Arabic" w:cs="Simplified Arabic" w:hint="cs"/>
          <w:color w:val="000000"/>
          <w:sz w:val="24"/>
          <w:szCs w:val="24"/>
          <w:rtl/>
          <w:lang w:bidi="ar-DZ"/>
        </w:rPr>
        <w:t>ظهرت</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المقارنة</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بين</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البرمجة</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الحضرية</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(المشروع الحضري) في</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إطار</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 xml:space="preserve">مخططات </w:t>
      </w:r>
      <w:r w:rsidRPr="00110EF7">
        <w:rPr>
          <w:rFonts w:asciiTheme="majorBidi" w:hAnsiTheme="majorBidi" w:cstheme="majorBidi"/>
          <w:sz w:val="20"/>
          <w:szCs w:val="20"/>
          <w:rtl/>
        </w:rPr>
        <w:t>(</w:t>
      </w:r>
      <w:r w:rsidRPr="00110EF7">
        <w:rPr>
          <w:rFonts w:asciiTheme="majorBidi" w:hAnsiTheme="majorBidi" w:cstheme="majorBidi"/>
          <w:sz w:val="20"/>
          <w:szCs w:val="20"/>
        </w:rPr>
        <w:t>P.D.A.U</w:t>
      </w:r>
      <w:r w:rsidRPr="00110EF7">
        <w:rPr>
          <w:rFonts w:asciiTheme="majorBidi" w:hAnsiTheme="majorBidi" w:cstheme="majorBidi"/>
          <w:sz w:val="20"/>
          <w:szCs w:val="20"/>
          <w:rtl/>
        </w:rPr>
        <w:t>)</w:t>
      </w:r>
      <w:r w:rsidRPr="00110EF7">
        <w:rPr>
          <w:rFonts w:asciiTheme="majorBidi" w:hAnsiTheme="majorBidi" w:cstheme="majorBidi" w:hint="cs"/>
          <w:sz w:val="20"/>
          <w:szCs w:val="20"/>
          <w:rtl/>
        </w:rPr>
        <w:t xml:space="preserve"> </w:t>
      </w:r>
      <w:r w:rsidRPr="00110EF7">
        <w:rPr>
          <w:rFonts w:ascii="Simplified Arabic" w:hAnsi="Simplified Arabic" w:cs="Simplified Arabic" w:hint="cs"/>
          <w:color w:val="000000"/>
          <w:sz w:val="24"/>
          <w:szCs w:val="24"/>
          <w:rtl/>
          <w:lang w:bidi="ar-DZ"/>
        </w:rPr>
        <w:t>و</w:t>
      </w:r>
      <w:r w:rsidRPr="00110EF7">
        <w:rPr>
          <w:rFonts w:ascii="Simplified Arabic" w:hAnsi="Simplified Arabic" w:cs="Simplified Arabic"/>
          <w:color w:val="000000"/>
          <w:sz w:val="24"/>
          <w:szCs w:val="24"/>
          <w:rtl/>
          <w:lang w:bidi="ar-DZ"/>
        </w:rPr>
        <w:t xml:space="preserve"> </w:t>
      </w:r>
      <w:r w:rsidRPr="00110EF7">
        <w:rPr>
          <w:rFonts w:asciiTheme="majorBidi" w:hAnsiTheme="majorBidi" w:cstheme="majorBidi"/>
          <w:sz w:val="20"/>
          <w:szCs w:val="20"/>
          <w:rtl/>
        </w:rPr>
        <w:t>(</w:t>
      </w:r>
      <w:r w:rsidRPr="00110EF7">
        <w:rPr>
          <w:rFonts w:asciiTheme="majorBidi" w:hAnsiTheme="majorBidi" w:cstheme="majorBidi"/>
          <w:sz w:val="20"/>
          <w:szCs w:val="20"/>
        </w:rPr>
        <w:t>POS</w:t>
      </w:r>
      <w:r w:rsidRPr="00110EF7">
        <w:rPr>
          <w:rFonts w:asciiTheme="majorBidi" w:hAnsiTheme="majorBidi" w:cstheme="majorBidi"/>
          <w:sz w:val="20"/>
          <w:szCs w:val="20"/>
          <w:rtl/>
        </w:rPr>
        <w:t>)</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وبين الممارسات</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على</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أرض</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الواقع ل</w:t>
      </w:r>
      <w:r w:rsidR="005071CB">
        <w:rPr>
          <w:rFonts w:ascii="Simplified Arabic" w:hAnsi="Simplified Arabic" w:cs="Simplified Arabic" w:hint="cs"/>
          <w:sz w:val="24"/>
          <w:szCs w:val="24"/>
          <w:rtl/>
        </w:rPr>
        <w:t>استعمال</w:t>
      </w:r>
      <w:r w:rsidRPr="00110EF7">
        <w:rPr>
          <w:rFonts w:ascii="Simplified Arabic" w:hAnsi="Simplified Arabic" w:cs="Simplified Arabic" w:hint="cs"/>
          <w:color w:val="000000"/>
          <w:sz w:val="24"/>
          <w:szCs w:val="24"/>
          <w:rtl/>
          <w:lang w:bidi="ar-DZ"/>
        </w:rPr>
        <w:t>ات الارض الحضرية،</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ان</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استهلاك</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المساحة</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للمدى</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القصير</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والمتوسط</w:t>
      </w:r>
      <w:r w:rsidRPr="00110EF7">
        <w:rPr>
          <w:rFonts w:ascii="Simplified Arabic" w:hAnsi="Simplified Arabic" w:cs="Simplified Arabic"/>
          <w:color w:val="000000"/>
          <w:sz w:val="24"/>
          <w:szCs w:val="24"/>
          <w:rtl/>
          <w:lang w:bidi="ar-DZ"/>
        </w:rPr>
        <w:t xml:space="preserve"> </w:t>
      </w:r>
      <w:r w:rsidRPr="00110EF7">
        <w:rPr>
          <w:rFonts w:ascii="Times New Roman" w:hAnsi="Times New Roman" w:cs="Times New Roman" w:hint="cs"/>
          <w:color w:val="000000"/>
          <w:sz w:val="24"/>
          <w:szCs w:val="24"/>
          <w:rtl/>
          <w:lang w:bidi="ar-DZ"/>
        </w:rPr>
        <w:t xml:space="preserve">تمت قبل اوانها والمعبر عنها في مخطط شغل الاراضي رقم </w:t>
      </w:r>
      <w:r w:rsidRPr="00110EF7">
        <w:rPr>
          <w:rFonts w:ascii="Simplified Arabic" w:hAnsi="Simplified Arabic" w:cs="Simplified Arabic"/>
          <w:color w:val="000000"/>
          <w:sz w:val="24"/>
          <w:szCs w:val="24"/>
          <w:rtl/>
          <w:lang w:bidi="ar-DZ"/>
        </w:rPr>
        <w:t>(</w:t>
      </w:r>
      <w:r w:rsidRPr="00110EF7">
        <w:rPr>
          <w:rFonts w:ascii="Simplified Arabic" w:hAnsi="Simplified Arabic" w:cs="Simplified Arabic" w:hint="cs"/>
          <w:color w:val="000000"/>
          <w:sz w:val="24"/>
          <w:szCs w:val="24"/>
          <w:rtl/>
          <w:lang w:bidi="ar-DZ"/>
        </w:rPr>
        <w:t>6، 7، 8، 9</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بمساحة</w:t>
      </w:r>
      <w:r w:rsidRPr="00110EF7">
        <w:rPr>
          <w:rFonts w:ascii="Simplified Arabic" w:hAnsi="Simplified Arabic" w:cs="Simplified Arabic"/>
          <w:color w:val="000000"/>
          <w:sz w:val="24"/>
          <w:szCs w:val="24"/>
          <w:rtl/>
          <w:lang w:bidi="ar-DZ"/>
        </w:rPr>
        <w:t xml:space="preserve"> 205 </w:t>
      </w:r>
      <w:r w:rsidRPr="00110EF7">
        <w:rPr>
          <w:rFonts w:ascii="Simplified Arabic" w:hAnsi="Simplified Arabic" w:cs="Simplified Arabic" w:hint="cs"/>
          <w:color w:val="000000"/>
          <w:sz w:val="24"/>
          <w:szCs w:val="24"/>
          <w:rtl/>
          <w:lang w:bidi="ar-DZ"/>
        </w:rPr>
        <w:t>هكتار،</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يرجع</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ذلك</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إلى</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الحركة</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المتسارعة</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للتمدد</w:t>
      </w:r>
      <w:r w:rsidRPr="00110EF7">
        <w:rPr>
          <w:rFonts w:ascii="Simplified Arabic" w:hAnsi="Simplified Arabic" w:cs="Simplified Arabic"/>
          <w:color w:val="000000"/>
          <w:sz w:val="24"/>
          <w:szCs w:val="24"/>
          <w:rtl/>
          <w:lang w:bidi="ar-DZ"/>
        </w:rPr>
        <w:t xml:space="preserve"> </w:t>
      </w:r>
      <w:r w:rsidRPr="00110EF7">
        <w:rPr>
          <w:rFonts w:ascii="Simplified Arabic" w:hAnsi="Simplified Arabic" w:cs="Simplified Arabic" w:hint="cs"/>
          <w:color w:val="000000"/>
          <w:sz w:val="24"/>
          <w:szCs w:val="24"/>
          <w:rtl/>
          <w:lang w:bidi="ar-DZ"/>
        </w:rPr>
        <w:t>الحضري (</w:t>
      </w:r>
      <w:r w:rsidRPr="0077622D">
        <w:rPr>
          <w:rFonts w:ascii="Simplified Arabic" w:hAnsi="Simplified Arabic" w:cs="Simplified Arabic" w:hint="cs"/>
          <w:color w:val="000000"/>
          <w:sz w:val="24"/>
          <w:szCs w:val="24"/>
          <w:rtl/>
          <w:lang w:bidi="ar-DZ"/>
        </w:rPr>
        <w:t>لمخلطي</w:t>
      </w:r>
      <w:r w:rsidR="009F2AF3">
        <w:rPr>
          <w:rFonts w:ascii="Simplified Arabic" w:hAnsi="Simplified Arabic" w:cs="Simplified Arabic" w:hint="cs"/>
          <w:color w:val="000000"/>
          <w:sz w:val="24"/>
          <w:szCs w:val="24"/>
          <w:rtl/>
          <w:lang w:bidi="ar-DZ"/>
        </w:rPr>
        <w:t xml:space="preserve"> احمد</w:t>
      </w:r>
      <w:r w:rsidRPr="00110EF7">
        <w:rPr>
          <w:rFonts w:ascii="Simplified Arabic" w:hAnsi="Simplified Arabic" w:cs="Simplified Arabic" w:hint="cs"/>
          <w:color w:val="000000"/>
          <w:sz w:val="24"/>
          <w:szCs w:val="24"/>
          <w:rtl/>
          <w:lang w:bidi="ar-DZ"/>
        </w:rPr>
        <w:t>، 2008).</w:t>
      </w:r>
      <w:r w:rsidR="00235E1C" w:rsidRPr="00235E1C">
        <w:rPr>
          <w:rFonts w:ascii="Simplified Arabic" w:hAnsi="Simplified Arabic" w:cs="Simplified Arabic" w:hint="cs"/>
          <w:color w:val="000000"/>
          <w:sz w:val="24"/>
          <w:szCs w:val="24"/>
          <w:rtl/>
          <w:lang w:bidi="ar-DZ"/>
        </w:rPr>
        <w:t xml:space="preserve"> </w:t>
      </w:r>
    </w:p>
    <w:p w:rsidR="000635D8" w:rsidRDefault="000635D8" w:rsidP="00555689">
      <w:pPr>
        <w:pStyle w:val="Paragraphedeliste"/>
        <w:autoSpaceDE w:val="0"/>
        <w:autoSpaceDN w:val="0"/>
        <w:bidi/>
        <w:adjustRightInd w:val="0"/>
        <w:spacing w:after="0"/>
        <w:ind w:left="283" w:firstLine="284"/>
        <w:jc w:val="both"/>
        <w:rPr>
          <w:rFonts w:ascii="Simplified Arabic" w:hAnsi="Simplified Arabic" w:cs="Simplified Arabic"/>
          <w:color w:val="000000"/>
          <w:sz w:val="24"/>
          <w:szCs w:val="24"/>
          <w:rtl/>
          <w:lang w:bidi="ar-DZ"/>
        </w:rPr>
      </w:pPr>
      <w:r w:rsidRPr="0017136A">
        <w:rPr>
          <w:rFonts w:ascii="Simplified Arabic" w:hAnsi="Simplified Arabic" w:cs="Simplified Arabic" w:hint="cs"/>
          <w:color w:val="000000"/>
          <w:sz w:val="24"/>
          <w:szCs w:val="24"/>
          <w:rtl/>
          <w:lang w:bidi="ar-DZ"/>
        </w:rPr>
        <w:t>فيما</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يتعلق</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بتطور</w:t>
      </w:r>
      <w:r w:rsidRPr="0017136A">
        <w:rPr>
          <w:rFonts w:ascii="Simplified Arabic" w:hAnsi="Simplified Arabic" w:cs="Simplified Arabic"/>
          <w:color w:val="000000"/>
          <w:sz w:val="24"/>
          <w:szCs w:val="24"/>
          <w:rtl/>
          <w:lang w:bidi="ar-DZ"/>
        </w:rPr>
        <w:t xml:space="preserve"> </w:t>
      </w:r>
      <w:r>
        <w:rPr>
          <w:rFonts w:ascii="Simplified Arabic" w:hAnsi="Simplified Arabic" w:cs="Simplified Arabic" w:hint="cs"/>
          <w:color w:val="000000"/>
          <w:sz w:val="24"/>
          <w:szCs w:val="24"/>
          <w:rtl/>
          <w:lang w:bidi="ar-DZ"/>
        </w:rPr>
        <w:t xml:space="preserve">التمدد الحضري، </w:t>
      </w:r>
      <w:r w:rsidRPr="00466698">
        <w:rPr>
          <w:rFonts w:ascii="Simplified Arabic" w:hAnsi="Simplified Arabic" w:cs="Simplified Arabic"/>
          <w:sz w:val="24"/>
          <w:szCs w:val="24"/>
          <w:rtl/>
        </w:rPr>
        <w:t xml:space="preserve">الخريطة </w:t>
      </w:r>
      <w:r w:rsidR="00555689" w:rsidRPr="0063639A">
        <w:rPr>
          <w:rFonts w:ascii="Simplified Arabic" w:hAnsi="Simplified Arabic" w:cs="Simplified Arabic" w:hint="cs"/>
          <w:sz w:val="24"/>
          <w:szCs w:val="24"/>
          <w:rtl/>
        </w:rPr>
        <w:t>(</w:t>
      </w:r>
      <w:r w:rsidR="00555689">
        <w:rPr>
          <w:rFonts w:ascii="Simplified Arabic" w:hAnsi="Simplified Arabic" w:cs="Simplified Arabic" w:hint="cs"/>
          <w:sz w:val="24"/>
          <w:szCs w:val="24"/>
          <w:rtl/>
        </w:rPr>
        <w:t>4-9</w:t>
      </w:r>
      <w:r w:rsidR="00555689" w:rsidRPr="0063639A">
        <w:rPr>
          <w:rFonts w:ascii="Simplified Arabic" w:hAnsi="Simplified Arabic" w:cs="Simplified Arabic" w:hint="cs"/>
          <w:sz w:val="24"/>
          <w:szCs w:val="24"/>
          <w:rtl/>
        </w:rPr>
        <w:t>)</w:t>
      </w:r>
      <w:r w:rsidRPr="0017136A">
        <w:rPr>
          <w:rFonts w:ascii="Simplified Arabic" w:hAnsi="Simplified Arabic" w:cs="Simplified Arabic" w:hint="cs"/>
          <w:color w:val="000000"/>
          <w:sz w:val="24"/>
          <w:szCs w:val="24"/>
          <w:rtl/>
          <w:lang w:bidi="ar-DZ"/>
        </w:rPr>
        <w:t>،</w:t>
      </w:r>
      <w:r w:rsidRPr="0017136A">
        <w:rPr>
          <w:rFonts w:ascii="Simplified Arabic" w:hAnsi="Simplified Arabic" w:cs="Simplified Arabic"/>
          <w:color w:val="000000"/>
          <w:sz w:val="24"/>
          <w:szCs w:val="24"/>
          <w:rtl/>
          <w:lang w:bidi="ar-DZ"/>
        </w:rPr>
        <w:t xml:space="preserve"> </w:t>
      </w:r>
      <w:r>
        <w:rPr>
          <w:rFonts w:ascii="Simplified Arabic" w:hAnsi="Simplified Arabic" w:cs="Simplified Arabic" w:hint="cs"/>
          <w:color w:val="000000"/>
          <w:sz w:val="24"/>
          <w:szCs w:val="24"/>
          <w:rtl/>
          <w:lang w:bidi="ar-DZ"/>
        </w:rPr>
        <w:t>قد عرفت</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مدينة</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بو</w:t>
      </w:r>
      <w:r>
        <w:rPr>
          <w:rFonts w:ascii="Simplified Arabic" w:hAnsi="Simplified Arabic" w:cs="Simplified Arabic" w:hint="cs"/>
          <w:color w:val="000000"/>
          <w:sz w:val="24"/>
          <w:szCs w:val="24"/>
          <w:rtl/>
          <w:lang w:bidi="ar-DZ"/>
        </w:rPr>
        <w:t>س</w:t>
      </w:r>
      <w:r w:rsidRPr="0017136A">
        <w:rPr>
          <w:rFonts w:ascii="Simplified Arabic" w:hAnsi="Simplified Arabic" w:cs="Simplified Arabic" w:hint="cs"/>
          <w:color w:val="000000"/>
          <w:sz w:val="24"/>
          <w:szCs w:val="24"/>
          <w:rtl/>
          <w:lang w:bidi="ar-DZ"/>
        </w:rPr>
        <w:t>عادة</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نمو</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سكاني</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سريع،</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أدى</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إلى</w:t>
      </w:r>
      <w:r w:rsidRPr="0017136A">
        <w:rPr>
          <w:rFonts w:ascii="Simplified Arabic" w:hAnsi="Simplified Arabic" w:cs="Simplified Arabic"/>
          <w:color w:val="000000"/>
          <w:sz w:val="24"/>
          <w:szCs w:val="24"/>
          <w:rtl/>
          <w:lang w:bidi="ar-DZ"/>
        </w:rPr>
        <w:t xml:space="preserve"> </w:t>
      </w:r>
      <w:r>
        <w:rPr>
          <w:rFonts w:ascii="Simplified Arabic" w:hAnsi="Simplified Arabic" w:cs="Simplified Arabic" w:hint="cs"/>
          <w:color w:val="000000"/>
          <w:sz w:val="24"/>
          <w:szCs w:val="24"/>
          <w:rtl/>
          <w:lang w:bidi="ar-DZ"/>
        </w:rPr>
        <w:t>زيادة مساحتها المبنية، ت</w:t>
      </w:r>
      <w:r>
        <w:rPr>
          <w:rFonts w:ascii="Simplified Arabic" w:hAnsi="Simplified Arabic" w:cs="Simplified Arabic" w:hint="cs"/>
          <w:sz w:val="24"/>
          <w:szCs w:val="24"/>
          <w:rtl/>
        </w:rPr>
        <w:t xml:space="preserve">تناسب هذه الزيادة مع ظهور </w:t>
      </w:r>
      <w:r w:rsidRPr="0017136A">
        <w:rPr>
          <w:rFonts w:ascii="Simplified Arabic" w:hAnsi="Simplified Arabic" w:cs="Simplified Arabic"/>
          <w:color w:val="000000"/>
          <w:sz w:val="24"/>
          <w:szCs w:val="24"/>
          <w:rtl/>
          <w:lang w:bidi="ar-DZ"/>
        </w:rPr>
        <w:t xml:space="preserve">5 </w:t>
      </w:r>
      <w:r w:rsidRPr="0017136A">
        <w:rPr>
          <w:rFonts w:ascii="Simplified Arabic" w:hAnsi="Simplified Arabic" w:cs="Simplified Arabic" w:hint="cs"/>
          <w:color w:val="000000"/>
          <w:sz w:val="24"/>
          <w:szCs w:val="24"/>
          <w:rtl/>
          <w:lang w:bidi="ar-DZ"/>
        </w:rPr>
        <w:t>أحياء</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في</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عام</w:t>
      </w:r>
      <w:r>
        <w:rPr>
          <w:rFonts w:ascii="Simplified Arabic" w:hAnsi="Simplified Arabic" w:cs="Simplified Arabic"/>
          <w:color w:val="000000"/>
          <w:sz w:val="24"/>
          <w:szCs w:val="24"/>
          <w:rtl/>
          <w:lang w:bidi="ar-DZ"/>
        </w:rPr>
        <w:t xml:space="preserve"> 1972</w:t>
      </w:r>
      <w:r w:rsidRPr="0017136A">
        <w:rPr>
          <w:rFonts w:ascii="Simplified Arabic" w:hAnsi="Simplified Arabic" w:cs="Simplified Arabic" w:hint="cs"/>
          <w:color w:val="000000"/>
          <w:sz w:val="24"/>
          <w:szCs w:val="24"/>
          <w:rtl/>
          <w:lang w:bidi="ar-DZ"/>
        </w:rPr>
        <w:t>،</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و</w:t>
      </w:r>
      <w:r w:rsidRPr="0017136A">
        <w:rPr>
          <w:rFonts w:ascii="Simplified Arabic" w:hAnsi="Simplified Arabic" w:cs="Simplified Arabic"/>
          <w:color w:val="000000"/>
          <w:sz w:val="24"/>
          <w:szCs w:val="24"/>
          <w:rtl/>
          <w:lang w:bidi="ar-DZ"/>
        </w:rPr>
        <w:t xml:space="preserve"> 10 </w:t>
      </w:r>
      <w:r w:rsidRPr="0017136A">
        <w:rPr>
          <w:rFonts w:ascii="Simplified Arabic" w:hAnsi="Simplified Arabic" w:cs="Simplified Arabic" w:hint="cs"/>
          <w:color w:val="000000"/>
          <w:sz w:val="24"/>
          <w:szCs w:val="24"/>
          <w:rtl/>
          <w:lang w:bidi="ar-DZ"/>
        </w:rPr>
        <w:t>أحياء</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في</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عام</w:t>
      </w:r>
      <w:r w:rsidRPr="0017136A">
        <w:rPr>
          <w:rFonts w:ascii="Simplified Arabic" w:hAnsi="Simplified Arabic" w:cs="Simplified Arabic"/>
          <w:color w:val="000000"/>
          <w:sz w:val="24"/>
          <w:szCs w:val="24"/>
          <w:rtl/>
          <w:lang w:bidi="ar-DZ"/>
        </w:rPr>
        <w:t xml:space="preserve"> 1983 </w:t>
      </w:r>
      <w:r>
        <w:rPr>
          <w:rFonts w:ascii="Simplified Arabic" w:hAnsi="Simplified Arabic" w:cs="Simplified Arabic" w:hint="cs"/>
          <w:color w:val="000000"/>
          <w:sz w:val="24"/>
          <w:szCs w:val="24"/>
          <w:rtl/>
          <w:lang w:bidi="ar-DZ"/>
        </w:rPr>
        <w:t>و 13</w:t>
      </w:r>
      <w:r w:rsidRPr="0017136A">
        <w:rPr>
          <w:rFonts w:ascii="Simplified Arabic" w:hAnsi="Simplified Arabic" w:cs="Simplified Arabic"/>
          <w:color w:val="000000"/>
          <w:sz w:val="24"/>
          <w:szCs w:val="24"/>
          <w:rtl/>
          <w:lang w:bidi="ar-DZ"/>
        </w:rPr>
        <w:t xml:space="preserve"> </w:t>
      </w:r>
      <w:r>
        <w:rPr>
          <w:rFonts w:ascii="Simplified Arabic" w:hAnsi="Simplified Arabic" w:cs="Simplified Arabic" w:hint="cs"/>
          <w:color w:val="000000"/>
          <w:sz w:val="24"/>
          <w:szCs w:val="24"/>
          <w:rtl/>
          <w:lang w:bidi="ar-DZ"/>
        </w:rPr>
        <w:t>حي</w:t>
      </w:r>
      <w:r w:rsidRPr="0017136A">
        <w:rPr>
          <w:rFonts w:ascii="Simplified Arabic" w:hAnsi="Simplified Arabic" w:cs="Simplified Arabic"/>
          <w:color w:val="000000"/>
          <w:sz w:val="24"/>
          <w:szCs w:val="24"/>
          <w:rtl/>
          <w:lang w:bidi="ar-DZ"/>
        </w:rPr>
        <w:t xml:space="preserve"> </w:t>
      </w:r>
      <w:r>
        <w:rPr>
          <w:rFonts w:ascii="Simplified Arabic" w:hAnsi="Simplified Arabic" w:cs="Simplified Arabic" w:hint="cs"/>
          <w:color w:val="000000"/>
          <w:sz w:val="24"/>
          <w:szCs w:val="24"/>
          <w:rtl/>
          <w:lang w:bidi="ar-DZ"/>
        </w:rPr>
        <w:t xml:space="preserve">بعد </w:t>
      </w:r>
      <w:r w:rsidRPr="0017136A">
        <w:rPr>
          <w:rFonts w:ascii="Simplified Arabic" w:hAnsi="Simplified Arabic" w:cs="Simplified Arabic" w:hint="cs"/>
          <w:color w:val="000000"/>
          <w:sz w:val="24"/>
          <w:szCs w:val="24"/>
          <w:rtl/>
          <w:lang w:bidi="ar-DZ"/>
        </w:rPr>
        <w:t>عام</w:t>
      </w:r>
      <w:r w:rsidRPr="0017136A">
        <w:rPr>
          <w:rFonts w:ascii="Simplified Arabic" w:hAnsi="Simplified Arabic" w:cs="Simplified Arabic"/>
          <w:color w:val="000000"/>
          <w:sz w:val="24"/>
          <w:szCs w:val="24"/>
          <w:rtl/>
          <w:lang w:bidi="ar-DZ"/>
        </w:rPr>
        <w:t xml:space="preserve"> 2001</w:t>
      </w:r>
      <w:r>
        <w:rPr>
          <w:rFonts w:ascii="Simplified Arabic" w:hAnsi="Simplified Arabic" w:cs="Simplified Arabic" w:hint="cs"/>
          <w:color w:val="000000"/>
          <w:sz w:val="24"/>
          <w:szCs w:val="24"/>
          <w:rtl/>
          <w:lang w:bidi="ar-DZ"/>
        </w:rPr>
        <w:t xml:space="preserve">، </w:t>
      </w:r>
      <w:r w:rsidR="00555689">
        <w:rPr>
          <w:rFonts w:ascii="Simplified Arabic" w:hAnsi="Simplified Arabic" w:cs="Simplified Arabic" w:hint="cs"/>
          <w:color w:val="000000"/>
          <w:sz w:val="24"/>
          <w:szCs w:val="24"/>
          <w:rtl/>
          <w:lang w:bidi="ar-DZ"/>
        </w:rPr>
        <w:t>ال</w:t>
      </w:r>
      <w:r>
        <w:rPr>
          <w:rFonts w:ascii="Simplified Arabic" w:hAnsi="Simplified Arabic" w:cs="Simplified Arabic" w:hint="cs"/>
          <w:color w:val="000000"/>
          <w:sz w:val="24"/>
          <w:szCs w:val="24"/>
          <w:rtl/>
          <w:lang w:bidi="ar-DZ"/>
        </w:rPr>
        <w:t xml:space="preserve">جدول </w:t>
      </w:r>
      <w:r w:rsidR="00555689" w:rsidRPr="0063639A">
        <w:rPr>
          <w:rFonts w:ascii="Simplified Arabic" w:hAnsi="Simplified Arabic" w:cs="Simplified Arabic" w:hint="cs"/>
          <w:sz w:val="24"/>
          <w:szCs w:val="24"/>
          <w:rtl/>
        </w:rPr>
        <w:t>(</w:t>
      </w:r>
      <w:r w:rsidR="00555689">
        <w:rPr>
          <w:rFonts w:ascii="Simplified Arabic" w:hAnsi="Simplified Arabic" w:cs="Simplified Arabic" w:hint="cs"/>
          <w:sz w:val="24"/>
          <w:szCs w:val="24"/>
          <w:rtl/>
        </w:rPr>
        <w:t>4-7</w:t>
      </w:r>
      <w:r w:rsidR="00555689" w:rsidRPr="0063639A">
        <w:rPr>
          <w:rFonts w:ascii="Simplified Arabic" w:hAnsi="Simplified Arabic" w:cs="Simplified Arabic" w:hint="cs"/>
          <w:sz w:val="24"/>
          <w:szCs w:val="24"/>
          <w:rtl/>
        </w:rPr>
        <w:t>)</w:t>
      </w:r>
      <w:r w:rsidRPr="0017136A">
        <w:rPr>
          <w:rFonts w:ascii="Simplified Arabic" w:hAnsi="Simplified Arabic" w:cs="Simplified Arabic"/>
          <w:color w:val="000000"/>
          <w:sz w:val="24"/>
          <w:szCs w:val="24"/>
          <w:rtl/>
          <w:lang w:bidi="ar-DZ"/>
        </w:rPr>
        <w:t xml:space="preserve">. </w:t>
      </w:r>
    </w:p>
    <w:p w:rsidR="000635D8" w:rsidRDefault="00555689" w:rsidP="00876E26">
      <w:pPr>
        <w:pStyle w:val="Tableau"/>
        <w:rPr>
          <w:rtl/>
          <w:lang w:bidi="ar-DZ"/>
        </w:rPr>
      </w:pPr>
      <w:bookmarkStart w:id="571" w:name="_Toc157612989"/>
      <w:bookmarkStart w:id="572" w:name="_Toc171803619"/>
      <w:r w:rsidRPr="00F76D99">
        <w:rPr>
          <w:rtl/>
          <w:lang w:bidi="ar-DZ"/>
        </w:rPr>
        <w:t>ال</w:t>
      </w:r>
      <w:r w:rsidR="000635D8" w:rsidRPr="00F76D99">
        <w:rPr>
          <w:rtl/>
          <w:lang w:bidi="ar-DZ"/>
        </w:rPr>
        <w:t xml:space="preserve">جدول </w:t>
      </w:r>
      <w:r w:rsidRPr="00F76D99">
        <w:rPr>
          <w:rtl/>
        </w:rPr>
        <w:t>(4-7)</w:t>
      </w:r>
      <w:r w:rsidR="000635D8" w:rsidRPr="00F76D99">
        <w:rPr>
          <w:rtl/>
          <w:lang w:bidi="ar-DZ"/>
        </w:rPr>
        <w:t>: تطور المساحة المبنية لبوسعادة</w:t>
      </w:r>
      <w:bookmarkEnd w:id="571"/>
      <w:bookmarkEnd w:id="572"/>
    </w:p>
    <w:p w:rsidR="00876E26" w:rsidRPr="00F76D99" w:rsidRDefault="00876E26" w:rsidP="00876E26">
      <w:pPr>
        <w:pStyle w:val="Tableau"/>
        <w:spacing w:before="0"/>
        <w:rPr>
          <w:rtl/>
          <w:lang w:bidi="ar-DZ"/>
        </w:rPr>
      </w:pPr>
      <w:bookmarkStart w:id="573" w:name="_Toc171803620"/>
      <w:r w:rsidRPr="00173D34">
        <w:rPr>
          <w:rFonts w:asciiTheme="majorBidi" w:hAnsiTheme="majorBidi" w:cstheme="majorBidi"/>
          <w:rtl/>
        </w:rPr>
        <w:t>(</w:t>
      </w:r>
      <w:r w:rsidRPr="00173D34">
        <w:rPr>
          <w:rFonts w:asciiTheme="majorBidi" w:hAnsiTheme="majorBidi" w:cstheme="majorBidi"/>
        </w:rPr>
        <w:t>U.R.B.A, 2007</w:t>
      </w:r>
      <w:r w:rsidRPr="00173D34">
        <w:rPr>
          <w:rFonts w:asciiTheme="majorBidi" w:hAnsiTheme="majorBidi" w:cstheme="majorBidi"/>
          <w:rtl/>
        </w:rPr>
        <w:t>)</w:t>
      </w:r>
      <w:bookmarkEnd w:id="573"/>
    </w:p>
    <w:tbl>
      <w:tblPr>
        <w:tblStyle w:val="Grilledutableau"/>
        <w:bidiVisual/>
        <w:tblW w:w="0" w:type="auto"/>
        <w:jc w:val="center"/>
        <w:tblInd w:w="675" w:type="dxa"/>
        <w:tblLook w:val="04A0" w:firstRow="1" w:lastRow="0" w:firstColumn="1" w:lastColumn="0" w:noHBand="0" w:noVBand="1"/>
      </w:tblPr>
      <w:tblGrid>
        <w:gridCol w:w="1737"/>
        <w:gridCol w:w="1098"/>
        <w:gridCol w:w="1098"/>
        <w:gridCol w:w="1098"/>
        <w:gridCol w:w="1098"/>
        <w:gridCol w:w="1099"/>
      </w:tblGrid>
      <w:tr w:rsidR="000635D8" w:rsidRPr="00B6608D" w:rsidTr="009C43FD">
        <w:trPr>
          <w:trHeight w:val="398"/>
          <w:jc w:val="center"/>
        </w:trPr>
        <w:tc>
          <w:tcPr>
            <w:tcW w:w="1737"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1972</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1983</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2001</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2004</w:t>
            </w:r>
          </w:p>
        </w:tc>
        <w:tc>
          <w:tcPr>
            <w:tcW w:w="1099"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2007</w:t>
            </w:r>
          </w:p>
        </w:tc>
      </w:tr>
      <w:tr w:rsidR="000635D8" w:rsidRPr="00B6608D" w:rsidTr="009C43FD">
        <w:trPr>
          <w:trHeight w:val="398"/>
          <w:jc w:val="center"/>
        </w:trPr>
        <w:tc>
          <w:tcPr>
            <w:tcW w:w="1737"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المساحة بالهكتار</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121</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250</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662</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1008</w:t>
            </w:r>
          </w:p>
        </w:tc>
        <w:tc>
          <w:tcPr>
            <w:tcW w:w="1099"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1018</w:t>
            </w:r>
          </w:p>
        </w:tc>
      </w:tr>
      <w:tr w:rsidR="000635D8" w:rsidRPr="00B6608D" w:rsidTr="009C43FD">
        <w:trPr>
          <w:trHeight w:val="398"/>
          <w:jc w:val="center"/>
        </w:trPr>
        <w:tc>
          <w:tcPr>
            <w:tcW w:w="1737"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الزيادة بالهكتار</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129</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412</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346</w:t>
            </w:r>
          </w:p>
        </w:tc>
        <w:tc>
          <w:tcPr>
            <w:tcW w:w="1099"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10</w:t>
            </w:r>
          </w:p>
        </w:tc>
      </w:tr>
      <w:tr w:rsidR="000635D8" w:rsidRPr="00B6608D" w:rsidTr="009C43FD">
        <w:trPr>
          <w:trHeight w:val="398"/>
          <w:jc w:val="center"/>
        </w:trPr>
        <w:tc>
          <w:tcPr>
            <w:tcW w:w="1737"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عدد الاحياء</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5</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10</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12</w:t>
            </w:r>
          </w:p>
        </w:tc>
        <w:tc>
          <w:tcPr>
            <w:tcW w:w="1098"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13</w:t>
            </w:r>
          </w:p>
        </w:tc>
        <w:tc>
          <w:tcPr>
            <w:tcW w:w="1099" w:type="dxa"/>
            <w:vAlign w:val="center"/>
          </w:tcPr>
          <w:p w:rsidR="000635D8" w:rsidRPr="00B6608D" w:rsidRDefault="000635D8" w:rsidP="00D35B2A">
            <w:pPr>
              <w:pStyle w:val="Paragraphedeliste"/>
              <w:autoSpaceDE w:val="0"/>
              <w:autoSpaceDN w:val="0"/>
              <w:bidi/>
              <w:adjustRightInd w:val="0"/>
              <w:ind w:left="0"/>
              <w:jc w:val="center"/>
              <w:rPr>
                <w:rFonts w:ascii="Simplified Arabic" w:hAnsi="Simplified Arabic" w:cs="Simplified Arabic"/>
                <w:color w:val="000000"/>
                <w:sz w:val="24"/>
                <w:szCs w:val="24"/>
                <w:rtl/>
                <w:lang w:bidi="ar-DZ"/>
              </w:rPr>
            </w:pPr>
            <w:r w:rsidRPr="00B6608D">
              <w:rPr>
                <w:rFonts w:ascii="Simplified Arabic" w:hAnsi="Simplified Arabic" w:cs="Simplified Arabic" w:hint="cs"/>
                <w:color w:val="000000"/>
                <w:sz w:val="24"/>
                <w:szCs w:val="24"/>
                <w:rtl/>
                <w:lang w:bidi="ar-DZ"/>
              </w:rPr>
              <w:t>/</w:t>
            </w:r>
          </w:p>
        </w:tc>
      </w:tr>
    </w:tbl>
    <w:p w:rsidR="000635D8" w:rsidRPr="00466698" w:rsidRDefault="000635D8" w:rsidP="00D35B2A">
      <w:pPr>
        <w:pStyle w:val="carte"/>
        <w:rPr>
          <w:rtl/>
        </w:rPr>
      </w:pPr>
      <w:bookmarkStart w:id="574" w:name="_Toc157616598"/>
      <w:bookmarkStart w:id="575" w:name="_Toc171803621"/>
      <w:r w:rsidRPr="00466698">
        <w:rPr>
          <w:rtl/>
        </w:rPr>
        <w:lastRenderedPageBreak/>
        <w:t xml:space="preserve">الخريطة </w:t>
      </w:r>
      <w:r w:rsidR="00235E1C" w:rsidRPr="0063639A">
        <w:rPr>
          <w:rFonts w:hint="cs"/>
          <w:rtl/>
        </w:rPr>
        <w:t>(</w:t>
      </w:r>
      <w:r w:rsidR="00235E1C">
        <w:rPr>
          <w:rFonts w:hint="cs"/>
          <w:rtl/>
        </w:rPr>
        <w:t>4-</w:t>
      </w:r>
      <w:r w:rsidR="00D35B2A">
        <w:rPr>
          <w:rFonts w:hint="cs"/>
          <w:rtl/>
        </w:rPr>
        <w:t>11</w:t>
      </w:r>
      <w:r w:rsidR="00235E1C" w:rsidRPr="0063639A">
        <w:rPr>
          <w:rFonts w:hint="cs"/>
          <w:rtl/>
        </w:rPr>
        <w:t>)</w:t>
      </w:r>
      <w:r w:rsidRPr="00466698">
        <w:rPr>
          <w:rtl/>
        </w:rPr>
        <w:t>: تطور التمدد الحضري لمدينة بوسعادة بين عامي 1972 و 2006.</w:t>
      </w:r>
      <w:bookmarkEnd w:id="574"/>
      <w:bookmarkEnd w:id="575"/>
    </w:p>
    <w:p w:rsidR="000635D8" w:rsidRDefault="000635D8" w:rsidP="009C43FD">
      <w:pPr>
        <w:tabs>
          <w:tab w:val="right" w:pos="281"/>
        </w:tabs>
        <w:bidi/>
        <w:spacing w:after="0" w:line="240" w:lineRule="auto"/>
        <w:jc w:val="center"/>
        <w:rPr>
          <w:rFonts w:ascii="Simplified Arabic" w:hAnsi="Simplified Arabic" w:cs="Simplified Arabic"/>
          <w:sz w:val="24"/>
          <w:szCs w:val="24"/>
          <w:rtl/>
        </w:rPr>
      </w:pPr>
      <w:r w:rsidRPr="00466698">
        <w:rPr>
          <w:rFonts w:ascii="Simplified Arabic" w:hAnsi="Simplified Arabic" w:cs="Simplified Arabic"/>
          <w:sz w:val="24"/>
          <w:szCs w:val="24"/>
          <w:rtl/>
        </w:rPr>
        <w:t>المصدر:</w:t>
      </w:r>
      <w:r>
        <w:rPr>
          <w:rFonts w:ascii="Simplified Arabic" w:hAnsi="Simplified Arabic" w:cs="Simplified Arabic" w:hint="cs"/>
          <w:sz w:val="24"/>
          <w:szCs w:val="24"/>
          <w:rtl/>
        </w:rPr>
        <w:t xml:space="preserve"> </w:t>
      </w:r>
      <w:r w:rsidRPr="00C553B3">
        <w:rPr>
          <w:rFonts w:asciiTheme="majorBidi" w:hAnsiTheme="majorBidi" w:cstheme="majorBidi"/>
          <w:sz w:val="24"/>
          <w:szCs w:val="24"/>
        </w:rPr>
        <w:t>(</w:t>
      </w:r>
      <w:r w:rsidRPr="0077622D">
        <w:rPr>
          <w:rFonts w:asciiTheme="majorBidi" w:hAnsiTheme="majorBidi" w:cstheme="majorBidi"/>
          <w:sz w:val="24"/>
          <w:szCs w:val="24"/>
          <w:lang w:val="en-US"/>
        </w:rPr>
        <w:t>Grecu</w:t>
      </w:r>
      <w:r w:rsidRPr="00C553B3">
        <w:rPr>
          <w:rFonts w:asciiTheme="majorBidi" w:hAnsiTheme="majorBidi" w:cstheme="majorBidi"/>
          <w:sz w:val="24"/>
          <w:szCs w:val="24"/>
        </w:rPr>
        <w:t xml:space="preserve"> et al</w:t>
      </w:r>
      <w:r>
        <w:rPr>
          <w:rFonts w:asciiTheme="majorBidi" w:hAnsiTheme="majorBidi" w:cstheme="majorBidi"/>
          <w:sz w:val="24"/>
          <w:szCs w:val="24"/>
        </w:rPr>
        <w:t>.</w:t>
      </w:r>
      <w:r w:rsidRPr="00C553B3">
        <w:rPr>
          <w:rFonts w:asciiTheme="majorBidi" w:hAnsiTheme="majorBidi" w:cstheme="majorBidi"/>
          <w:sz w:val="24"/>
          <w:szCs w:val="24"/>
        </w:rPr>
        <w:t>, 2012 a)</w:t>
      </w:r>
    </w:p>
    <w:p w:rsidR="000635D8" w:rsidRDefault="000635D8" w:rsidP="000635D8">
      <w:pPr>
        <w:bidi/>
        <w:jc w:val="center"/>
        <w:rPr>
          <w:rFonts w:cs="Arial"/>
          <w:b/>
          <w:bCs/>
          <w:sz w:val="28"/>
          <w:szCs w:val="28"/>
        </w:rPr>
      </w:pPr>
      <w:r>
        <w:rPr>
          <w:rFonts w:cs="Arial"/>
          <w:b/>
          <w:bCs/>
          <w:noProof/>
          <w:sz w:val="28"/>
          <w:szCs w:val="28"/>
          <w:rtl/>
          <w:lang w:eastAsia="fr-FR"/>
        </w:rPr>
        <w:drawing>
          <wp:inline distT="0" distB="0" distL="0" distR="0" wp14:anchorId="6EFEB9AD" wp14:editId="3D261E27">
            <wp:extent cx="4014733" cy="3088257"/>
            <wp:effectExtent l="19050" t="19050" r="24130" b="17145"/>
            <wp:docPr id="171" name="Image 171" descr="C:\Users\NTC\Desktop\11111111111111111111111111111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TC\Desktop\11111111111111111111111111111111111.JPG"/>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4017572" cy="3090441"/>
                    </a:xfrm>
                    <a:prstGeom prst="rect">
                      <a:avLst/>
                    </a:prstGeom>
                    <a:noFill/>
                    <a:ln>
                      <a:solidFill>
                        <a:schemeClr val="tx1"/>
                      </a:solidFill>
                    </a:ln>
                  </pic:spPr>
                </pic:pic>
              </a:graphicData>
            </a:graphic>
          </wp:inline>
        </w:drawing>
      </w:r>
    </w:p>
    <w:p w:rsidR="000635D8" w:rsidRDefault="000635D8" w:rsidP="00C810A2">
      <w:pPr>
        <w:pStyle w:val="Paragraphedeliste"/>
        <w:autoSpaceDE w:val="0"/>
        <w:autoSpaceDN w:val="0"/>
        <w:bidi/>
        <w:adjustRightInd w:val="0"/>
        <w:ind w:left="283" w:firstLine="284"/>
        <w:jc w:val="both"/>
        <w:rPr>
          <w:rFonts w:ascii="Simplified Arabic" w:hAnsi="Simplified Arabic" w:cs="Simplified Arabic"/>
          <w:color w:val="000000"/>
          <w:sz w:val="24"/>
          <w:szCs w:val="24"/>
          <w:rtl/>
          <w:lang w:bidi="ar-DZ"/>
        </w:rPr>
      </w:pPr>
      <w:r w:rsidRPr="0017136A">
        <w:rPr>
          <w:rFonts w:ascii="Simplified Arabic" w:hAnsi="Simplified Arabic" w:cs="Simplified Arabic"/>
          <w:color w:val="000000"/>
          <w:sz w:val="24"/>
          <w:szCs w:val="24"/>
          <w:rtl/>
          <w:lang w:bidi="ar-DZ"/>
        </w:rPr>
        <w:t xml:space="preserve">تشبع </w:t>
      </w:r>
      <w:r w:rsidRPr="0017136A">
        <w:rPr>
          <w:rFonts w:ascii="Simplified Arabic" w:hAnsi="Simplified Arabic" w:cs="Simplified Arabic" w:hint="cs"/>
          <w:color w:val="000000"/>
          <w:sz w:val="24"/>
          <w:szCs w:val="24"/>
          <w:rtl/>
          <w:lang w:bidi="ar-DZ"/>
        </w:rPr>
        <w:t>المساحة</w:t>
      </w:r>
      <w:r w:rsidRPr="0017136A">
        <w:rPr>
          <w:rFonts w:ascii="Simplified Arabic" w:hAnsi="Simplified Arabic" w:cs="Simplified Arabic"/>
          <w:color w:val="000000"/>
          <w:sz w:val="24"/>
          <w:szCs w:val="24"/>
          <w:rtl/>
          <w:lang w:bidi="ar-DZ"/>
        </w:rPr>
        <w:t xml:space="preserve"> المبرمجة للتعمير المستقبلي قبل اوانها</w:t>
      </w:r>
      <w:r w:rsidRPr="0017136A">
        <w:rPr>
          <w:rFonts w:ascii="Simplified Arabic" w:hAnsi="Simplified Arabic" w:cs="Simplified Arabic" w:hint="cs"/>
          <w:color w:val="000000"/>
          <w:sz w:val="24"/>
          <w:szCs w:val="24"/>
          <w:rtl/>
          <w:lang w:bidi="ar-DZ"/>
        </w:rPr>
        <w:t xml:space="preserve"> المحددة بـ</w:t>
      </w:r>
      <w:r w:rsidRPr="0017136A">
        <w:rPr>
          <w:rFonts w:ascii="Simplified Arabic" w:hAnsi="Simplified Arabic" w:cs="Simplified Arabic"/>
          <w:color w:val="000000"/>
          <w:sz w:val="24"/>
          <w:szCs w:val="24"/>
          <w:rtl/>
          <w:lang w:bidi="ar-DZ"/>
        </w:rPr>
        <w:t xml:space="preserve">10 </w:t>
      </w:r>
      <w:r w:rsidRPr="0017136A">
        <w:rPr>
          <w:rFonts w:ascii="Simplified Arabic" w:hAnsi="Simplified Arabic" w:cs="Simplified Arabic" w:hint="cs"/>
          <w:color w:val="000000"/>
          <w:sz w:val="24"/>
          <w:szCs w:val="24"/>
          <w:rtl/>
          <w:lang w:bidi="ar-DZ"/>
        </w:rPr>
        <w:t>سنوات</w:t>
      </w:r>
      <w:r w:rsidRPr="0017136A">
        <w:rPr>
          <w:rFonts w:ascii="Simplified Arabic" w:hAnsi="Simplified Arabic" w:cs="Simplified Arabic"/>
          <w:color w:val="000000"/>
          <w:sz w:val="24"/>
          <w:szCs w:val="24"/>
          <w:rtl/>
          <w:lang w:bidi="ar-DZ"/>
        </w:rPr>
        <w:t>، جعل</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المدينة</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تتخبط</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في</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أزمة</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عقارية</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 xml:space="preserve">وما مراجعة المخطط التوجيهي للتهيئة و التعمير لسنة 2007 </w:t>
      </w:r>
      <w:r w:rsidRPr="0017136A">
        <w:rPr>
          <w:rFonts w:ascii="Simplified Arabic" w:hAnsi="Simplified Arabic" w:cs="Simplified Arabic" w:hint="cs"/>
          <w:color w:val="000000"/>
          <w:sz w:val="24"/>
          <w:szCs w:val="24"/>
          <w:rtl/>
          <w:lang w:bidi="ar-DZ"/>
        </w:rPr>
        <w:t xml:space="preserve">قبل الوقت القانوني، </w:t>
      </w:r>
      <w:r w:rsidR="00097583">
        <w:rPr>
          <w:rFonts w:ascii="Simplified Arabic" w:hAnsi="Simplified Arabic" w:cs="Simplified Arabic" w:hint="cs"/>
          <w:color w:val="000000"/>
          <w:sz w:val="24"/>
          <w:szCs w:val="24"/>
          <w:rtl/>
          <w:lang w:bidi="ar-DZ"/>
        </w:rPr>
        <w:t xml:space="preserve">الا </w:t>
      </w:r>
      <w:r w:rsidRPr="0017136A">
        <w:rPr>
          <w:rFonts w:ascii="Simplified Arabic" w:hAnsi="Simplified Arabic" w:cs="Simplified Arabic"/>
          <w:color w:val="000000"/>
          <w:sz w:val="24"/>
          <w:szCs w:val="24"/>
          <w:rtl/>
          <w:lang w:bidi="ar-DZ"/>
        </w:rPr>
        <w:t xml:space="preserve">دليل للبحث عن </w:t>
      </w:r>
      <w:r w:rsidRPr="0017136A">
        <w:rPr>
          <w:rFonts w:ascii="Simplified Arabic" w:hAnsi="Simplified Arabic" w:cs="Simplified Arabic" w:hint="cs"/>
          <w:color w:val="000000"/>
          <w:sz w:val="24"/>
          <w:szCs w:val="24"/>
          <w:rtl/>
          <w:lang w:bidi="ar-DZ"/>
        </w:rPr>
        <w:t>مساحات</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 xml:space="preserve">اخرى </w:t>
      </w:r>
      <w:r w:rsidRPr="0017136A">
        <w:rPr>
          <w:rFonts w:ascii="Simplified Arabic" w:hAnsi="Simplified Arabic" w:cs="Simplified Arabic"/>
          <w:color w:val="000000"/>
          <w:sz w:val="24"/>
          <w:szCs w:val="24"/>
          <w:rtl/>
          <w:lang w:bidi="ar-DZ"/>
        </w:rPr>
        <w:t>لتعميرها في أطراف</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المدينة</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و</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نحو</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البلديات</w:t>
      </w:r>
      <w:r w:rsidRPr="0017136A">
        <w:rPr>
          <w:rFonts w:ascii="Simplified Arabic" w:hAnsi="Simplified Arabic" w:cs="Simplified Arabic"/>
          <w:color w:val="000000"/>
          <w:sz w:val="24"/>
          <w:szCs w:val="24"/>
          <w:lang w:bidi="ar-DZ"/>
        </w:rPr>
        <w:t xml:space="preserve"> </w:t>
      </w:r>
      <w:r w:rsidRPr="0017136A">
        <w:rPr>
          <w:rFonts w:ascii="Simplified Arabic" w:hAnsi="Simplified Arabic" w:cs="Simplified Arabic"/>
          <w:color w:val="000000"/>
          <w:sz w:val="24"/>
          <w:szCs w:val="24"/>
          <w:rtl/>
          <w:lang w:bidi="ar-DZ"/>
        </w:rPr>
        <w:t>الحدودية</w:t>
      </w:r>
      <w:r w:rsidRPr="0017136A">
        <w:rPr>
          <w:rFonts w:ascii="Simplified Arabic" w:hAnsi="Simplified Arabic" w:cs="Simplified Arabic"/>
          <w:color w:val="000000"/>
          <w:sz w:val="24"/>
          <w:szCs w:val="24"/>
          <w:lang w:bidi="ar-DZ"/>
        </w:rPr>
        <w:t>.</w:t>
      </w:r>
      <w:r w:rsidRPr="0017136A">
        <w:rPr>
          <w:rFonts w:ascii="Simplified Arabic" w:hAnsi="Simplified Arabic" w:cs="Simplified Arabic" w:hint="cs"/>
          <w:color w:val="000000"/>
          <w:sz w:val="24"/>
          <w:szCs w:val="24"/>
          <w:rtl/>
          <w:lang w:bidi="ar-DZ"/>
        </w:rPr>
        <w:t xml:space="preserve"> يبدو ان مخططات </w:t>
      </w:r>
      <w:r w:rsidRPr="0017136A">
        <w:rPr>
          <w:rFonts w:asciiTheme="majorBidi" w:hAnsiTheme="majorBidi" w:cstheme="majorBidi"/>
          <w:sz w:val="20"/>
          <w:szCs w:val="20"/>
          <w:rtl/>
        </w:rPr>
        <w:t>(</w:t>
      </w:r>
      <w:r w:rsidRPr="0017136A">
        <w:rPr>
          <w:rFonts w:asciiTheme="majorBidi" w:hAnsiTheme="majorBidi" w:cstheme="majorBidi"/>
          <w:sz w:val="20"/>
          <w:szCs w:val="20"/>
        </w:rPr>
        <w:t>P.D.A.U</w:t>
      </w:r>
      <w:r w:rsidRPr="0017136A">
        <w:rPr>
          <w:rFonts w:asciiTheme="majorBidi" w:hAnsiTheme="majorBidi" w:cstheme="majorBidi"/>
          <w:sz w:val="20"/>
          <w:szCs w:val="20"/>
          <w:rtl/>
        </w:rPr>
        <w:t>)</w:t>
      </w:r>
      <w:r w:rsidRPr="0017136A">
        <w:rPr>
          <w:rFonts w:asciiTheme="majorBidi" w:hAnsiTheme="majorBidi" w:cstheme="majorBidi" w:hint="cs"/>
          <w:sz w:val="20"/>
          <w:szCs w:val="20"/>
          <w:rtl/>
        </w:rPr>
        <w:t xml:space="preserve"> </w:t>
      </w:r>
      <w:r w:rsidRPr="0017136A">
        <w:rPr>
          <w:rFonts w:ascii="Simplified Arabic" w:hAnsi="Simplified Arabic" w:cs="Simplified Arabic" w:hint="cs"/>
          <w:color w:val="000000"/>
          <w:sz w:val="24"/>
          <w:szCs w:val="24"/>
          <w:rtl/>
          <w:lang w:bidi="ar-DZ"/>
        </w:rPr>
        <w:t>و</w:t>
      </w:r>
      <w:r w:rsidRPr="0017136A">
        <w:rPr>
          <w:rFonts w:ascii="Simplified Arabic" w:hAnsi="Simplified Arabic" w:cs="Simplified Arabic"/>
          <w:color w:val="000000"/>
          <w:sz w:val="24"/>
          <w:szCs w:val="24"/>
          <w:rtl/>
          <w:lang w:bidi="ar-DZ"/>
        </w:rPr>
        <w:t xml:space="preserve"> </w:t>
      </w:r>
      <w:r w:rsidRPr="0017136A">
        <w:rPr>
          <w:rFonts w:asciiTheme="majorBidi" w:hAnsiTheme="majorBidi" w:cstheme="majorBidi"/>
          <w:sz w:val="20"/>
          <w:szCs w:val="20"/>
          <w:rtl/>
        </w:rPr>
        <w:t>(</w:t>
      </w:r>
      <w:r w:rsidRPr="0017136A">
        <w:rPr>
          <w:rFonts w:asciiTheme="majorBidi" w:hAnsiTheme="majorBidi" w:cstheme="majorBidi"/>
          <w:sz w:val="20"/>
          <w:szCs w:val="20"/>
        </w:rPr>
        <w:t>POS</w:t>
      </w:r>
      <w:r w:rsidRPr="0017136A">
        <w:rPr>
          <w:rFonts w:asciiTheme="majorBidi" w:hAnsiTheme="majorBidi" w:cstheme="majorBidi"/>
          <w:sz w:val="20"/>
          <w:szCs w:val="20"/>
          <w:rtl/>
        </w:rPr>
        <w:t>)</w:t>
      </w:r>
      <w:r w:rsidRPr="0017136A">
        <w:rPr>
          <w:rFonts w:ascii="Simplified Arabic" w:hAnsi="Simplified Arabic" w:cs="Simplified Arabic"/>
          <w:color w:val="000000"/>
          <w:sz w:val="24"/>
          <w:szCs w:val="24"/>
          <w:rtl/>
          <w:lang w:bidi="ar-DZ"/>
        </w:rPr>
        <w:t xml:space="preserve"> </w:t>
      </w:r>
      <w:r w:rsidRPr="0017136A">
        <w:rPr>
          <w:rFonts w:ascii="Simplified Arabic" w:hAnsi="Simplified Arabic" w:cs="Simplified Arabic" w:hint="cs"/>
          <w:color w:val="000000"/>
          <w:sz w:val="24"/>
          <w:szCs w:val="24"/>
          <w:rtl/>
          <w:lang w:bidi="ar-DZ"/>
        </w:rPr>
        <w:t>لهذه المرحلة لم يكن الا اداة نظرية، التوزيع المكاني ل</w:t>
      </w:r>
      <w:r w:rsidR="005071CB">
        <w:rPr>
          <w:rFonts w:ascii="Simplified Arabic" w:hAnsi="Simplified Arabic" w:cs="Simplified Arabic" w:hint="cs"/>
          <w:sz w:val="24"/>
          <w:szCs w:val="24"/>
          <w:rtl/>
        </w:rPr>
        <w:t>استعمال</w:t>
      </w:r>
      <w:r w:rsidRPr="0017136A">
        <w:rPr>
          <w:rFonts w:ascii="Simplified Arabic" w:hAnsi="Simplified Arabic" w:cs="Simplified Arabic" w:hint="cs"/>
          <w:color w:val="000000"/>
          <w:sz w:val="24"/>
          <w:szCs w:val="24"/>
          <w:rtl/>
          <w:lang w:bidi="ar-DZ"/>
        </w:rPr>
        <w:t xml:space="preserve">ات الارض لم تكن لتلعب دورها الحقيقي، </w:t>
      </w:r>
      <w:r>
        <w:rPr>
          <w:rFonts w:ascii="Simplified Arabic" w:hAnsi="Simplified Arabic" w:cs="Simplified Arabic" w:hint="cs"/>
          <w:color w:val="000000"/>
          <w:sz w:val="24"/>
          <w:szCs w:val="24"/>
          <w:rtl/>
          <w:lang w:bidi="ar-DZ"/>
        </w:rPr>
        <w:t>ودليل ذلك ال</w:t>
      </w:r>
      <w:r w:rsidRPr="0017136A">
        <w:rPr>
          <w:rFonts w:ascii="Simplified Arabic" w:hAnsi="Simplified Arabic" w:cs="Simplified Arabic" w:hint="cs"/>
          <w:color w:val="000000"/>
          <w:sz w:val="24"/>
          <w:szCs w:val="24"/>
          <w:rtl/>
          <w:lang w:bidi="ar-DZ"/>
        </w:rPr>
        <w:t>فوضى على مستوى الوظائف الحضرية</w:t>
      </w:r>
      <w:r>
        <w:rPr>
          <w:rFonts w:ascii="Simplified Arabic" w:hAnsi="Simplified Arabic" w:cs="Simplified Arabic" w:hint="cs"/>
          <w:color w:val="000000"/>
          <w:sz w:val="24"/>
          <w:szCs w:val="24"/>
          <w:rtl/>
          <w:lang w:bidi="ar-DZ"/>
        </w:rPr>
        <w:t xml:space="preserve"> التي</w:t>
      </w:r>
      <w:r w:rsidRPr="0017136A">
        <w:rPr>
          <w:rFonts w:ascii="Simplified Arabic" w:hAnsi="Simplified Arabic" w:cs="Simplified Arabic" w:hint="cs"/>
          <w:color w:val="000000"/>
          <w:sz w:val="24"/>
          <w:szCs w:val="24"/>
          <w:rtl/>
          <w:lang w:bidi="ar-DZ"/>
        </w:rPr>
        <w:t xml:space="preserve"> احدثت</w:t>
      </w:r>
      <w:r>
        <w:rPr>
          <w:rFonts w:ascii="Simplified Arabic" w:hAnsi="Simplified Arabic" w:cs="Simplified Arabic" w:hint="cs"/>
          <w:color w:val="000000"/>
          <w:sz w:val="24"/>
          <w:szCs w:val="24"/>
          <w:rtl/>
          <w:lang w:bidi="ar-DZ"/>
        </w:rPr>
        <w:t>ها</w:t>
      </w:r>
      <w:r w:rsidRPr="0017136A">
        <w:rPr>
          <w:rFonts w:ascii="Simplified Arabic" w:hAnsi="Simplified Arabic" w:cs="Simplified Arabic" w:hint="cs"/>
          <w:color w:val="000000"/>
          <w:sz w:val="24"/>
          <w:szCs w:val="24"/>
          <w:rtl/>
          <w:lang w:bidi="ar-DZ"/>
        </w:rPr>
        <w:t xml:space="preserve"> فيضانات بوسعادة</w:t>
      </w:r>
      <w:r>
        <w:rPr>
          <w:rFonts w:ascii="Simplified Arabic" w:hAnsi="Simplified Arabic" w:cs="Simplified Arabic" w:hint="cs"/>
          <w:color w:val="000000"/>
          <w:sz w:val="24"/>
          <w:szCs w:val="24"/>
          <w:rtl/>
          <w:lang w:bidi="ar-DZ"/>
        </w:rPr>
        <w:t xml:space="preserve"> لسنة 2007 و</w:t>
      </w:r>
      <w:r w:rsidRPr="0017136A">
        <w:rPr>
          <w:rFonts w:ascii="Simplified Arabic" w:hAnsi="Simplified Arabic" w:cs="Simplified Arabic" w:hint="cs"/>
          <w:color w:val="000000"/>
          <w:sz w:val="24"/>
          <w:szCs w:val="24"/>
          <w:rtl/>
          <w:lang w:bidi="ar-DZ"/>
        </w:rPr>
        <w:t xml:space="preserve"> 2021.</w:t>
      </w:r>
    </w:p>
    <w:p w:rsidR="00C810A2" w:rsidRPr="00C810A2" w:rsidRDefault="00C810A2" w:rsidP="00C810A2">
      <w:pPr>
        <w:pStyle w:val="Paragraphedeliste"/>
        <w:autoSpaceDE w:val="0"/>
        <w:autoSpaceDN w:val="0"/>
        <w:bidi/>
        <w:adjustRightInd w:val="0"/>
        <w:ind w:left="283" w:firstLine="284"/>
        <w:jc w:val="both"/>
        <w:rPr>
          <w:rFonts w:ascii="Simplified Arabic" w:hAnsi="Simplified Arabic" w:cs="Simplified Arabic"/>
          <w:color w:val="000000"/>
          <w:sz w:val="14"/>
          <w:szCs w:val="14"/>
          <w:rtl/>
          <w:lang w:bidi="ar-DZ"/>
        </w:rPr>
      </w:pPr>
    </w:p>
    <w:p w:rsidR="000635D8" w:rsidRPr="004074DE" w:rsidRDefault="000635D8" w:rsidP="001D0548">
      <w:pPr>
        <w:pStyle w:val="Paragraphedeliste"/>
        <w:numPr>
          <w:ilvl w:val="1"/>
          <w:numId w:val="257"/>
        </w:numPr>
        <w:tabs>
          <w:tab w:val="right" w:pos="708"/>
        </w:tabs>
        <w:bidi/>
        <w:spacing w:before="240" w:after="0"/>
        <w:ind w:left="0" w:firstLine="0"/>
        <w:jc w:val="both"/>
        <w:outlineLvl w:val="0"/>
        <w:rPr>
          <w:rFonts w:ascii="Simplified Arabic" w:hAnsi="Simplified Arabic" w:cs="Simplified Arabic"/>
          <w:b/>
          <w:bCs/>
          <w:sz w:val="24"/>
          <w:szCs w:val="24"/>
          <w:lang w:val="en-US" w:bidi="ar-DZ"/>
        </w:rPr>
      </w:pPr>
      <w:bookmarkStart w:id="576" w:name="_Toc171803622"/>
      <w:r w:rsidRPr="004074DE">
        <w:rPr>
          <w:rFonts w:ascii="Simplified Arabic" w:hAnsi="Simplified Arabic" w:cs="Simplified Arabic" w:hint="cs"/>
          <w:b/>
          <w:bCs/>
          <w:sz w:val="24"/>
          <w:szCs w:val="24"/>
          <w:rtl/>
          <w:lang w:val="en-US" w:bidi="ar-DZ"/>
        </w:rPr>
        <w:t>التحليل العمراني للمدينة</w:t>
      </w:r>
      <w:r w:rsidRPr="004074DE">
        <w:rPr>
          <w:rFonts w:ascii="Simplified Arabic" w:hAnsi="Simplified Arabic" w:cs="Simplified Arabic"/>
          <w:b/>
          <w:bCs/>
          <w:sz w:val="24"/>
          <w:szCs w:val="24"/>
          <w:rtl/>
          <w:lang w:val="en-US" w:bidi="ar-DZ"/>
        </w:rPr>
        <w:t>.</w:t>
      </w:r>
      <w:bookmarkEnd w:id="576"/>
    </w:p>
    <w:p w:rsidR="000635D8" w:rsidRDefault="000635D8" w:rsidP="005071CB">
      <w:pPr>
        <w:bidi/>
        <w:spacing w:after="0"/>
        <w:ind w:firstLine="283"/>
        <w:jc w:val="both"/>
        <w:rPr>
          <w:rFonts w:ascii="Simplified Arabic" w:hAnsi="Simplified Arabic" w:cs="Simplified Arabic"/>
          <w:sz w:val="24"/>
          <w:szCs w:val="24"/>
          <w:rtl/>
        </w:rPr>
      </w:pPr>
      <w:r w:rsidRPr="008C55E6">
        <w:rPr>
          <w:rFonts w:ascii="Simplified Arabic" w:hAnsi="Simplified Arabic" w:cs="Simplified Arabic" w:hint="cs"/>
          <w:sz w:val="24"/>
          <w:szCs w:val="24"/>
          <w:rtl/>
        </w:rPr>
        <w:t>اعتمادًا</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على</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السياق</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الجغرافي</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والتاريخي</w:t>
      </w:r>
      <w:r>
        <w:rPr>
          <w:rFonts w:ascii="Simplified Arabic" w:hAnsi="Simplified Arabic" w:cs="Simplified Arabic" w:hint="cs"/>
          <w:sz w:val="24"/>
          <w:szCs w:val="24"/>
          <w:rtl/>
        </w:rPr>
        <w:t xml:space="preserve"> و التيبو-مورفولوجي</w:t>
      </w:r>
      <w:r w:rsidRPr="008C55E6">
        <w:rPr>
          <w:rFonts w:ascii="Simplified Arabic" w:hAnsi="Simplified Arabic" w:cs="Simplified Arabic" w:hint="cs"/>
          <w:sz w:val="24"/>
          <w:szCs w:val="24"/>
          <w:rtl/>
        </w:rPr>
        <w:t>،</w:t>
      </w:r>
      <w:r w:rsidRPr="008C55E6">
        <w:rPr>
          <w:rFonts w:ascii="Simplified Arabic" w:hAnsi="Simplified Arabic" w:cs="Simplified Arabic"/>
          <w:sz w:val="24"/>
          <w:szCs w:val="24"/>
          <w:rtl/>
        </w:rPr>
        <w:t xml:space="preserve"> </w:t>
      </w:r>
      <w:r>
        <w:rPr>
          <w:rFonts w:ascii="Simplified Arabic" w:hAnsi="Simplified Arabic" w:cs="Simplified Arabic" w:hint="cs"/>
          <w:sz w:val="24"/>
          <w:szCs w:val="24"/>
          <w:rtl/>
        </w:rPr>
        <w:t>تتوسع</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المدينة</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عن</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طريق</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إضافة</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حلقة</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حضرية</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جديدة</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إلى</w:t>
      </w:r>
      <w:r w:rsidRPr="008C55E6">
        <w:rPr>
          <w:rFonts w:ascii="Simplified Arabic" w:hAnsi="Simplified Arabic" w:cs="Simplified Arabic"/>
          <w:sz w:val="24"/>
          <w:szCs w:val="24"/>
          <w:rtl/>
        </w:rPr>
        <w:t xml:space="preserve"> </w:t>
      </w:r>
      <w:r w:rsidRPr="008C55E6">
        <w:rPr>
          <w:rFonts w:ascii="Simplified Arabic" w:hAnsi="Simplified Arabic" w:cs="Simplified Arabic" w:hint="cs"/>
          <w:sz w:val="24"/>
          <w:szCs w:val="24"/>
          <w:rtl/>
        </w:rPr>
        <w:t>حلقات</w:t>
      </w:r>
      <w:r w:rsidRPr="008C55E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التطور </w:t>
      </w:r>
      <w:r w:rsidRPr="008C55E6">
        <w:rPr>
          <w:rFonts w:ascii="Simplified Arabic" w:hAnsi="Simplified Arabic" w:cs="Simplified Arabic" w:hint="cs"/>
          <w:sz w:val="24"/>
          <w:szCs w:val="24"/>
          <w:rtl/>
        </w:rPr>
        <w:t>السابقة</w:t>
      </w:r>
      <w:r>
        <w:rPr>
          <w:rFonts w:ascii="Simplified Arabic" w:hAnsi="Simplified Arabic" w:cs="Simplified Arabic" w:hint="cs"/>
          <w:sz w:val="24"/>
          <w:szCs w:val="24"/>
          <w:rtl/>
        </w:rPr>
        <w:t>. اذ يمكن تجميع عناصر مشتركة لتكوين مرحلة معينة من مراحل تطور المدينة، ترتبط هذه العناصر ب</w:t>
      </w:r>
      <w:r w:rsidRPr="005B6583">
        <w:rPr>
          <w:rFonts w:ascii="Simplified Arabic" w:hAnsi="Simplified Arabic" w:cs="Simplified Arabic" w:hint="cs"/>
          <w:sz w:val="24"/>
          <w:szCs w:val="24"/>
          <w:rtl/>
        </w:rPr>
        <w:t>الهياكل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الثلاثة</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للشكل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الحضري</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المخطط،</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rPr>
        <w:t>نسيج البناء</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و</w:t>
      </w:r>
      <w:r w:rsidR="005071CB">
        <w:rPr>
          <w:rFonts w:ascii="Simplified Arabic" w:hAnsi="Simplified Arabic" w:cs="Simplified Arabic" w:hint="cs"/>
          <w:sz w:val="24"/>
          <w:szCs w:val="24"/>
          <w:rtl/>
        </w:rPr>
        <w:t>استعمال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الأرض</w:t>
      </w:r>
      <w:r>
        <w:rPr>
          <w:rFonts w:ascii="Simplified Arabic" w:hAnsi="Simplified Arabic" w:cs="Simplified Arabic" w:hint="cs"/>
          <w:sz w:val="24"/>
          <w:szCs w:val="24"/>
          <w:rtl/>
        </w:rPr>
        <w:t xml:space="preserve"> (</w:t>
      </w:r>
      <w:r>
        <w:rPr>
          <w:rFonts w:ascii="Times New Roman" w:hAnsi="Times New Roman" w:cs="Times New Roman"/>
          <w:sz w:val="24"/>
          <w:szCs w:val="24"/>
        </w:rPr>
        <w:t>(</w:t>
      </w:r>
      <w:r w:rsidRPr="0077622D">
        <w:rPr>
          <w:rFonts w:ascii="Times New Roman" w:hAnsi="Times New Roman" w:cs="Times New Roman"/>
          <w:sz w:val="24"/>
          <w:szCs w:val="24"/>
        </w:rPr>
        <w:t>Conzen</w:t>
      </w:r>
      <w:r>
        <w:rPr>
          <w:rFonts w:ascii="Times New Roman" w:hAnsi="Times New Roman" w:cs="Times New Roman"/>
          <w:sz w:val="24"/>
          <w:szCs w:val="24"/>
        </w:rPr>
        <w:t xml:space="preserve">, </w:t>
      </w:r>
      <w:r w:rsidR="00DA491C">
        <w:rPr>
          <w:rFonts w:ascii="Times New Roman" w:hAnsi="Times New Roman" w:cs="Times New Roman"/>
          <w:sz w:val="24"/>
          <w:szCs w:val="24"/>
        </w:rPr>
        <w:t>1960</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يتم </w:t>
      </w:r>
      <w:r w:rsidR="009F2AF3">
        <w:rPr>
          <w:rFonts w:ascii="Simplified Arabic" w:hAnsi="Simplified Arabic" w:cs="Simplified Arabic" w:hint="cs"/>
          <w:b/>
          <w:bCs/>
          <w:sz w:val="24"/>
          <w:szCs w:val="24"/>
          <w:rtl/>
        </w:rPr>
        <w:t>''</w:t>
      </w:r>
      <w:r>
        <w:rPr>
          <w:rFonts w:ascii="Simplified Arabic" w:hAnsi="Simplified Arabic" w:cs="Simplified Arabic" w:hint="cs"/>
          <w:sz w:val="24"/>
          <w:szCs w:val="24"/>
          <w:rtl/>
        </w:rPr>
        <w:t>تقسيم المدينة جغرافيا</w:t>
      </w:r>
      <w:r w:rsidR="009F2AF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من خلال المخطط العام للمدينة، اما نسيج البناء فهي </w:t>
      </w:r>
      <w:r w:rsidR="009F2AF3">
        <w:rPr>
          <w:rFonts w:ascii="Simplified Arabic" w:hAnsi="Simplified Arabic" w:cs="Simplified Arabic" w:hint="cs"/>
          <w:sz w:val="24"/>
          <w:szCs w:val="24"/>
          <w:rtl/>
        </w:rPr>
        <w:t>''</w:t>
      </w:r>
      <w:r>
        <w:rPr>
          <w:rFonts w:ascii="Simplified Arabic" w:hAnsi="Simplified Arabic" w:cs="Simplified Arabic" w:hint="cs"/>
          <w:sz w:val="24"/>
          <w:szCs w:val="24"/>
          <w:rtl/>
        </w:rPr>
        <w:t>العلاقة بين الاطار المبني و غير المبني</w:t>
      </w:r>
      <w:r w:rsidR="009F2AF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D725CF">
        <w:rPr>
          <w:rFonts w:ascii="Simplified Arabic" w:hAnsi="Simplified Arabic" w:cs="Simplified Arabic" w:hint="cs"/>
          <w:sz w:val="24"/>
          <w:szCs w:val="24"/>
          <w:rtl/>
        </w:rPr>
        <w:t>التي</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تولد</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بنية</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يمكن</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تسميتها</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بالنسيج</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الحضري</w:t>
      </w:r>
      <w:r>
        <w:rPr>
          <w:rFonts w:ascii="Simplified Arabic" w:hAnsi="Simplified Arabic" w:cs="Simplified Arabic" w:hint="cs"/>
          <w:sz w:val="24"/>
          <w:szCs w:val="24"/>
          <w:rtl/>
        </w:rPr>
        <w:t xml:space="preserve">، اما </w:t>
      </w:r>
      <w:r w:rsidR="005071CB">
        <w:rPr>
          <w:rFonts w:ascii="Simplified Arabic" w:hAnsi="Simplified Arabic" w:cs="Simplified Arabic" w:hint="cs"/>
          <w:sz w:val="24"/>
          <w:szCs w:val="24"/>
          <w:rtl/>
        </w:rPr>
        <w:t>استعمال</w:t>
      </w:r>
      <w:r>
        <w:rPr>
          <w:rFonts w:ascii="Simplified Arabic" w:hAnsi="Simplified Arabic" w:cs="Simplified Arabic" w:hint="cs"/>
          <w:sz w:val="24"/>
          <w:szCs w:val="24"/>
          <w:rtl/>
        </w:rPr>
        <w:t xml:space="preserve"> الارض هي </w:t>
      </w:r>
      <w:r w:rsidR="009F2AF3">
        <w:rPr>
          <w:rFonts w:ascii="Simplified Arabic" w:hAnsi="Simplified Arabic" w:cs="Simplified Arabic" w:hint="cs"/>
          <w:sz w:val="24"/>
          <w:szCs w:val="24"/>
          <w:rtl/>
        </w:rPr>
        <w:t>''</w:t>
      </w:r>
      <w:r w:rsidRPr="00D725CF">
        <w:rPr>
          <w:rFonts w:ascii="Simplified Arabic" w:hAnsi="Simplified Arabic" w:cs="Simplified Arabic" w:hint="cs"/>
          <w:sz w:val="24"/>
          <w:szCs w:val="24"/>
          <w:rtl/>
        </w:rPr>
        <w:t>مجموعات</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وظيفية</w:t>
      </w:r>
      <w:r w:rsidR="009F2AF3">
        <w:rPr>
          <w:rFonts w:ascii="Simplified Arabic" w:hAnsi="Simplified Arabic" w:cs="Simplified Arabic" w:hint="cs"/>
          <w:sz w:val="24"/>
          <w:szCs w:val="24"/>
          <w:rtl/>
        </w:rPr>
        <w:t>''</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في</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المدينة</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سكنية</w:t>
      </w:r>
      <w:r>
        <w:rPr>
          <w:rFonts w:ascii="Simplified Arabic" w:hAnsi="Simplified Arabic" w:cs="Simplified Arabic" w:hint="cs"/>
          <w:sz w:val="24"/>
          <w:szCs w:val="24"/>
          <w:rtl/>
        </w:rPr>
        <w:t xml:space="preserve">، تجارية، </w:t>
      </w:r>
      <w:r w:rsidRPr="00D725CF">
        <w:rPr>
          <w:rFonts w:ascii="Simplified Arabic" w:hAnsi="Simplified Arabic" w:cs="Simplified Arabic" w:hint="cs"/>
          <w:sz w:val="24"/>
          <w:szCs w:val="24"/>
          <w:rtl/>
        </w:rPr>
        <w:t>صناعية</w:t>
      </w:r>
      <w:r w:rsidRPr="00D725CF">
        <w:rPr>
          <w:rFonts w:ascii="Simplified Arabic" w:hAnsi="Simplified Arabic" w:cs="Simplified Arabic"/>
          <w:sz w:val="24"/>
          <w:szCs w:val="24"/>
          <w:rtl/>
        </w:rPr>
        <w:t xml:space="preserve"> </w:t>
      </w:r>
      <w:r w:rsidRPr="00D725CF">
        <w:rPr>
          <w:rFonts w:ascii="Simplified Arabic" w:hAnsi="Simplified Arabic" w:cs="Simplified Arabic" w:hint="cs"/>
          <w:sz w:val="24"/>
          <w:szCs w:val="24"/>
          <w:rtl/>
        </w:rPr>
        <w:t>وترفيهية</w:t>
      </w:r>
      <w:r>
        <w:rPr>
          <w:rFonts w:ascii="Simplified Arabic" w:hAnsi="Simplified Arabic" w:cs="Simplified Arabic" w:hint="cs"/>
          <w:sz w:val="24"/>
          <w:szCs w:val="24"/>
          <w:rtl/>
        </w:rPr>
        <w:t xml:space="preserve"> ...الخ</w:t>
      </w:r>
      <w:r w:rsidRPr="00D725CF">
        <w:rPr>
          <w:rFonts w:ascii="Simplified Arabic" w:hAnsi="Simplified Arabic" w:cs="Simplified Arabic"/>
          <w:sz w:val="24"/>
          <w:szCs w:val="24"/>
          <w:rtl/>
        </w:rPr>
        <w:t>).</w:t>
      </w:r>
    </w:p>
    <w:p w:rsidR="000635D8" w:rsidRPr="00DF61CD" w:rsidRDefault="000635D8" w:rsidP="008E533E">
      <w:pPr>
        <w:bidi/>
        <w:spacing w:after="0"/>
        <w:ind w:firstLine="283"/>
        <w:jc w:val="both"/>
        <w:rPr>
          <w:rFonts w:ascii="Simplified Arabic" w:hAnsi="Simplified Arabic" w:cs="Simplified Arabic"/>
          <w:sz w:val="24"/>
          <w:szCs w:val="24"/>
          <w:lang w:bidi="ar-DZ"/>
        </w:rPr>
      </w:pPr>
      <w:r w:rsidRPr="00891556">
        <w:rPr>
          <w:rFonts w:ascii="Simplified Arabic" w:hAnsi="Simplified Arabic" w:cs="Simplified Arabic" w:hint="cs"/>
          <w:sz w:val="24"/>
          <w:szCs w:val="24"/>
          <w:rtl/>
        </w:rPr>
        <w:t>في</w:t>
      </w:r>
      <w:r>
        <w:rPr>
          <w:rFonts w:ascii="Simplified Arabic" w:hAnsi="Simplified Arabic" w:cs="Simplified Arabic" w:hint="cs"/>
          <w:sz w:val="24"/>
          <w:szCs w:val="24"/>
          <w:rtl/>
        </w:rPr>
        <w:t xml:space="preserve"> تحليل</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البعد</w:t>
      </w:r>
      <w:r w:rsidRPr="0089155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الفيزيائي للبيئة </w:t>
      </w:r>
      <w:r w:rsidR="008E533E">
        <w:rPr>
          <w:rFonts w:ascii="Simplified Arabic" w:hAnsi="Simplified Arabic" w:cs="Simplified Arabic" w:hint="cs"/>
          <w:sz w:val="24"/>
          <w:szCs w:val="24"/>
          <w:rtl/>
        </w:rPr>
        <w:t>الحضرية</w:t>
      </w:r>
      <w:r w:rsidRPr="00891556">
        <w:rPr>
          <w:rFonts w:ascii="Simplified Arabic" w:hAnsi="Simplified Arabic" w:cs="Simplified Arabic" w:hint="cs"/>
          <w:sz w:val="24"/>
          <w:szCs w:val="24"/>
          <w:rtl/>
        </w:rPr>
        <w:t>،</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تلعب</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المعلومات</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التاريخية</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والتي</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تم</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جمعها</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من</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خلال</w:t>
      </w:r>
      <w:r w:rsidRPr="00891556">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الصور الجوية المأخوذة في فترات زمنية متباعدة تارة </w:t>
      </w:r>
      <w:r w:rsidRPr="00891556">
        <w:rPr>
          <w:rFonts w:ascii="Simplified Arabic" w:hAnsi="Simplified Arabic" w:cs="Simplified Arabic" w:hint="cs"/>
          <w:sz w:val="24"/>
          <w:szCs w:val="24"/>
          <w:rtl/>
        </w:rPr>
        <w:t>ونظم</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المعلومات</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الجغرافية</w:t>
      </w:r>
      <w:r w:rsidRPr="00891556">
        <w:rPr>
          <w:rFonts w:ascii="Simplified Arabic" w:hAnsi="Simplified Arabic" w:cs="Simplified Arabic"/>
          <w:sz w:val="24"/>
          <w:szCs w:val="24"/>
          <w:rtl/>
        </w:rPr>
        <w:t xml:space="preserve"> </w:t>
      </w:r>
      <w:r w:rsidRPr="00306864">
        <w:rPr>
          <w:rFonts w:asciiTheme="majorBidi" w:hAnsiTheme="majorBidi" w:cstheme="majorBidi"/>
          <w:sz w:val="24"/>
          <w:szCs w:val="24"/>
          <w:rtl/>
        </w:rPr>
        <w:t>(</w:t>
      </w:r>
      <w:r w:rsidRPr="00306864">
        <w:rPr>
          <w:rFonts w:asciiTheme="majorBidi" w:hAnsiTheme="majorBidi" w:cstheme="majorBidi"/>
          <w:sz w:val="24"/>
          <w:szCs w:val="24"/>
        </w:rPr>
        <w:t>GIS</w:t>
      </w:r>
      <w:r w:rsidRPr="00306864">
        <w:rPr>
          <w:rFonts w:asciiTheme="majorBidi" w:hAnsiTheme="majorBidi" w:cstheme="majorBidi"/>
          <w:sz w:val="24"/>
          <w:szCs w:val="24"/>
          <w:rtl/>
        </w:rPr>
        <w:t>)</w:t>
      </w:r>
      <w:r w:rsidRPr="00891556">
        <w:rPr>
          <w:rFonts w:ascii="Simplified Arabic" w:hAnsi="Simplified Arabic" w:cs="Simplified Arabic"/>
          <w:sz w:val="24"/>
          <w:szCs w:val="24"/>
          <w:rtl/>
        </w:rPr>
        <w:t xml:space="preserve"> </w:t>
      </w:r>
      <w:r>
        <w:rPr>
          <w:rFonts w:ascii="Simplified Arabic" w:hAnsi="Simplified Arabic" w:cs="Simplified Arabic" w:hint="cs"/>
          <w:sz w:val="24"/>
          <w:szCs w:val="24"/>
          <w:rtl/>
        </w:rPr>
        <w:t>تارة اخرى</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دورًا</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رئيسيًا</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في</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تقييم</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مرونة</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جميع</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الأنظمة</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المتكاملة</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و</w:t>
      </w:r>
      <w:r>
        <w:rPr>
          <w:rFonts w:ascii="Simplified Arabic" w:hAnsi="Simplified Arabic" w:cs="Simplified Arabic" w:hint="cs"/>
          <w:sz w:val="24"/>
          <w:szCs w:val="24"/>
          <w:rtl/>
        </w:rPr>
        <w:t>يزود</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نموذج</w:t>
      </w:r>
      <w:r w:rsidRPr="00891556">
        <w:rPr>
          <w:rFonts w:ascii="Simplified Arabic" w:hAnsi="Simplified Arabic" w:cs="Simplified Arabic"/>
          <w:sz w:val="24"/>
          <w:szCs w:val="24"/>
          <w:rtl/>
        </w:rPr>
        <w:t xml:space="preserve"> </w:t>
      </w:r>
      <w:r w:rsidRPr="00891556">
        <w:rPr>
          <w:rFonts w:ascii="Simplified Arabic" w:hAnsi="Simplified Arabic" w:cs="Simplified Arabic" w:hint="cs"/>
          <w:sz w:val="24"/>
          <w:szCs w:val="24"/>
          <w:rtl/>
        </w:rPr>
        <w:t>المرونة</w:t>
      </w:r>
      <w:r w:rsidRPr="00891556">
        <w:rPr>
          <w:rFonts w:ascii="Simplified Arabic" w:hAnsi="Simplified Arabic" w:cs="Simplified Arabic"/>
          <w:sz w:val="24"/>
          <w:szCs w:val="24"/>
          <w:rtl/>
        </w:rPr>
        <w:t xml:space="preserve"> </w:t>
      </w:r>
      <w:r>
        <w:rPr>
          <w:rFonts w:ascii="Simplified Arabic" w:hAnsi="Simplified Arabic" w:cs="Simplified Arabic" w:hint="cs"/>
          <w:sz w:val="24"/>
          <w:szCs w:val="24"/>
          <w:rtl/>
        </w:rPr>
        <w:t>الاستقرائية</w:t>
      </w:r>
      <w:r w:rsidRPr="00891556">
        <w:rPr>
          <w:rFonts w:ascii="Simplified Arabic" w:hAnsi="Simplified Arabic" w:cs="Simplified Arabic"/>
          <w:sz w:val="24"/>
          <w:szCs w:val="24"/>
          <w:rtl/>
        </w:rPr>
        <w:t xml:space="preserve"> </w:t>
      </w:r>
      <w:r w:rsidRPr="00725DEF">
        <w:rPr>
          <w:rFonts w:asciiTheme="majorBidi" w:hAnsiTheme="majorBidi" w:cstheme="majorBidi"/>
          <w:sz w:val="24"/>
          <w:szCs w:val="24"/>
          <w:rtl/>
        </w:rPr>
        <w:t>(</w:t>
      </w:r>
      <w:r w:rsidRPr="0077622D">
        <w:rPr>
          <w:rFonts w:asciiTheme="majorBidi" w:hAnsiTheme="majorBidi" w:cstheme="majorBidi"/>
          <w:sz w:val="24"/>
          <w:szCs w:val="24"/>
        </w:rPr>
        <w:t>Renschler</w:t>
      </w:r>
      <w:r w:rsidRPr="00725DEF">
        <w:rPr>
          <w:rFonts w:asciiTheme="majorBidi" w:hAnsiTheme="majorBidi" w:cstheme="majorBidi"/>
          <w:sz w:val="24"/>
          <w:szCs w:val="24"/>
        </w:rPr>
        <w:t xml:space="preserve"> et al., 2010</w:t>
      </w:r>
      <w:r w:rsidRPr="00725DEF">
        <w:rPr>
          <w:rFonts w:asciiTheme="majorBidi" w:hAnsiTheme="majorBidi" w:cstheme="majorBidi"/>
          <w:sz w:val="24"/>
          <w:szCs w:val="24"/>
          <w:rtl/>
        </w:rPr>
        <w:t>)</w:t>
      </w:r>
      <w:r w:rsidRPr="00891556">
        <w:rPr>
          <w:rFonts w:ascii="Simplified Arabic" w:hAnsi="Simplified Arabic" w:cs="Simplified Arabic"/>
          <w:sz w:val="24"/>
          <w:szCs w:val="24"/>
          <w:rtl/>
        </w:rPr>
        <w:t>.</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من خلال البحث الحالي</w:t>
      </w:r>
      <w:r w:rsidRPr="004146CF">
        <w:rPr>
          <w:rFonts w:ascii="Simplified Arabic" w:hAnsi="Simplified Arabic" w:cs="Simplified Arabic" w:hint="cs"/>
          <w:sz w:val="24"/>
          <w:szCs w:val="24"/>
          <w:rtl/>
        </w:rPr>
        <w:t>،</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ي</w:t>
      </w:r>
      <w:r w:rsidRPr="004146CF">
        <w:rPr>
          <w:rFonts w:ascii="Simplified Arabic" w:hAnsi="Simplified Arabic" w:cs="Simplified Arabic" w:hint="cs"/>
          <w:sz w:val="24"/>
          <w:szCs w:val="24"/>
          <w:rtl/>
        </w:rPr>
        <w:t>تم</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النظر</w:t>
      </w:r>
      <w:r>
        <w:rPr>
          <w:rFonts w:ascii="Simplified Arabic" w:hAnsi="Simplified Arabic" w:cs="Simplified Arabic" w:hint="cs"/>
          <w:sz w:val="24"/>
          <w:szCs w:val="24"/>
          <w:rtl/>
        </w:rPr>
        <w:t xml:space="preserve"> في التحليل </w:t>
      </w:r>
      <w:r>
        <w:rPr>
          <w:rFonts w:ascii="Simplified Arabic" w:hAnsi="Simplified Arabic" w:cs="Simplified Arabic" w:hint="cs"/>
          <w:sz w:val="24"/>
          <w:szCs w:val="24"/>
          <w:rtl/>
        </w:rPr>
        <w:lastRenderedPageBreak/>
        <w:t>العمراني لمدينة بوسعادة بالاعتماد على سياقها التاريخي والجغرافي والتيبو</w:t>
      </w:r>
      <w:r w:rsidR="00D26F8A">
        <w:rPr>
          <w:rFonts w:ascii="Simplified Arabic" w:hAnsi="Simplified Arabic" w:cs="Simplified Arabic" w:hint="cs"/>
          <w:sz w:val="24"/>
          <w:szCs w:val="24"/>
          <w:rtl/>
        </w:rPr>
        <w:t>-</w:t>
      </w:r>
      <w:r>
        <w:rPr>
          <w:rFonts w:ascii="Simplified Arabic" w:hAnsi="Simplified Arabic" w:cs="Simplified Arabic" w:hint="cs"/>
          <w:sz w:val="24"/>
          <w:szCs w:val="24"/>
          <w:rtl/>
        </w:rPr>
        <w:t>مورف</w:t>
      </w:r>
      <w:r w:rsidR="00D26F8A">
        <w:rPr>
          <w:rFonts w:ascii="Simplified Arabic" w:hAnsi="Simplified Arabic" w:cs="Simplified Arabic" w:hint="cs"/>
          <w:sz w:val="24"/>
          <w:szCs w:val="24"/>
          <w:rtl/>
        </w:rPr>
        <w:t>و</w:t>
      </w:r>
      <w:r>
        <w:rPr>
          <w:rFonts w:ascii="Simplified Arabic" w:hAnsi="Simplified Arabic" w:cs="Simplified Arabic" w:hint="cs"/>
          <w:sz w:val="24"/>
          <w:szCs w:val="24"/>
          <w:rtl/>
        </w:rPr>
        <w:t xml:space="preserve">لوجي لتحديد مختلف فئات النسيج الحضري. </w:t>
      </w:r>
    </w:p>
    <w:p w:rsidR="000635D8" w:rsidRPr="004074DE" w:rsidRDefault="000635D8" w:rsidP="00C810A2">
      <w:pPr>
        <w:pStyle w:val="Paragraphedeliste"/>
        <w:numPr>
          <w:ilvl w:val="2"/>
          <w:numId w:val="258"/>
        </w:numPr>
        <w:tabs>
          <w:tab w:val="right" w:pos="850"/>
        </w:tabs>
        <w:bidi/>
        <w:spacing w:after="0"/>
        <w:ind w:left="0" w:firstLine="0"/>
        <w:jc w:val="both"/>
        <w:outlineLvl w:val="1"/>
        <w:rPr>
          <w:rFonts w:ascii="Simplified Arabic" w:hAnsi="Simplified Arabic" w:cs="Simplified Arabic"/>
          <w:b/>
          <w:bCs/>
          <w:sz w:val="24"/>
          <w:szCs w:val="24"/>
          <w:lang w:val="en-US" w:bidi="ar-DZ"/>
        </w:rPr>
      </w:pPr>
      <w:bookmarkStart w:id="577" w:name="_Toc171803623"/>
      <w:r w:rsidRPr="004074DE">
        <w:rPr>
          <w:rFonts w:ascii="Simplified Arabic" w:hAnsi="Simplified Arabic" w:cs="Simplified Arabic" w:hint="cs"/>
          <w:b/>
          <w:bCs/>
          <w:sz w:val="24"/>
          <w:szCs w:val="24"/>
          <w:rtl/>
        </w:rPr>
        <w:t>التحليل العمراني لفئات الانسجة الحضرية</w:t>
      </w:r>
      <w:r w:rsidRPr="004074DE">
        <w:rPr>
          <w:rFonts w:ascii="Simplified Arabic" w:hAnsi="Simplified Arabic" w:cs="Simplified Arabic"/>
          <w:b/>
          <w:bCs/>
          <w:sz w:val="24"/>
          <w:szCs w:val="24"/>
          <w:rtl/>
          <w:lang w:val="en-US" w:bidi="ar-DZ"/>
        </w:rPr>
        <w:t>.</w:t>
      </w:r>
      <w:bookmarkEnd w:id="577"/>
    </w:p>
    <w:p w:rsidR="00E32314" w:rsidRDefault="000635D8" w:rsidP="00AF2071">
      <w:pPr>
        <w:bidi/>
        <w:spacing w:after="0"/>
        <w:ind w:firstLine="283"/>
        <w:jc w:val="both"/>
        <w:rPr>
          <w:rFonts w:ascii="Simplified Arabic" w:hAnsi="Simplified Arabic" w:cs="Simplified Arabic"/>
          <w:sz w:val="24"/>
          <w:szCs w:val="24"/>
          <w:rtl/>
        </w:rPr>
      </w:pPr>
      <w:r w:rsidRPr="004146CF">
        <w:rPr>
          <w:rFonts w:ascii="Simplified Arabic" w:hAnsi="Simplified Arabic" w:cs="Simplified Arabic" w:hint="cs"/>
          <w:sz w:val="24"/>
          <w:szCs w:val="24"/>
          <w:rtl/>
        </w:rPr>
        <w:t>بالنظر</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إلى</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طبيعة</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الدراسات</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المورفولوجية</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الحضرية،</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فإن</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التركيز</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الأساسي</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للتحليل العمراني</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ي</w:t>
      </w:r>
      <w:r w:rsidRPr="004146CF">
        <w:rPr>
          <w:rFonts w:ascii="Simplified Arabic" w:hAnsi="Simplified Arabic" w:cs="Simplified Arabic" w:hint="cs"/>
          <w:sz w:val="24"/>
          <w:szCs w:val="24"/>
          <w:rtl/>
        </w:rPr>
        <w:t>ك</w:t>
      </w:r>
      <w:r>
        <w:rPr>
          <w:rFonts w:ascii="Simplified Arabic" w:hAnsi="Simplified Arabic" w:cs="Simplified Arabic" w:hint="cs"/>
          <w:sz w:val="24"/>
          <w:szCs w:val="24"/>
          <w:rtl/>
        </w:rPr>
        <w:t>و</w:t>
      </w:r>
      <w:r w:rsidRPr="004146CF">
        <w:rPr>
          <w:rFonts w:ascii="Simplified Arabic" w:hAnsi="Simplified Arabic" w:cs="Simplified Arabic" w:hint="cs"/>
          <w:sz w:val="24"/>
          <w:szCs w:val="24"/>
          <w:rtl/>
        </w:rPr>
        <w:t>ن</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على</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دور</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الوحدات</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المورفولوجية</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التي</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تشكل</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النسيج</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العمراني</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للمدينة،</w:t>
      </w:r>
      <w:r w:rsidRPr="004146CF">
        <w:rPr>
          <w:rFonts w:ascii="Simplified Arabic" w:hAnsi="Simplified Arabic" w:cs="Simplified Arabic"/>
          <w:sz w:val="24"/>
          <w:szCs w:val="24"/>
          <w:rtl/>
        </w:rPr>
        <w:t xml:space="preserve"> </w:t>
      </w:r>
      <w:r>
        <w:rPr>
          <w:rFonts w:ascii="Simplified Arabic" w:hAnsi="Simplified Arabic" w:cs="Simplified Arabic" w:hint="cs"/>
          <w:sz w:val="24"/>
          <w:szCs w:val="24"/>
          <w:rtl/>
        </w:rPr>
        <w:t>بمعنى</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المباني،</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قطع</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الأراضي،</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الكتل</w:t>
      </w:r>
      <w:r w:rsidRPr="004146CF">
        <w:rPr>
          <w:rFonts w:ascii="Simplified Arabic" w:hAnsi="Simplified Arabic" w:cs="Simplified Arabic"/>
          <w:sz w:val="24"/>
          <w:szCs w:val="24"/>
          <w:rtl/>
        </w:rPr>
        <w:t xml:space="preserve"> </w:t>
      </w:r>
      <w:r w:rsidRPr="004146CF">
        <w:rPr>
          <w:rFonts w:ascii="Simplified Arabic" w:hAnsi="Simplified Arabic" w:cs="Simplified Arabic" w:hint="cs"/>
          <w:sz w:val="24"/>
          <w:szCs w:val="24"/>
          <w:rtl/>
        </w:rPr>
        <w:t>والشوارع</w:t>
      </w:r>
      <w:r w:rsidRPr="004146CF">
        <w:rPr>
          <w:rFonts w:ascii="Simplified Arabic" w:hAnsi="Simplified Arabic" w:cs="Simplified Arabic"/>
          <w:sz w:val="24"/>
          <w:szCs w:val="24"/>
          <w:rtl/>
        </w:rPr>
        <w:t xml:space="preserve"> </w:t>
      </w:r>
      <w:r w:rsidRPr="00B45B8C">
        <w:rPr>
          <w:rFonts w:asciiTheme="majorBidi" w:hAnsiTheme="majorBidi" w:cstheme="majorBidi"/>
          <w:sz w:val="24"/>
          <w:szCs w:val="24"/>
          <w:rtl/>
        </w:rPr>
        <w:t>(</w:t>
      </w:r>
      <w:r w:rsidRPr="0077622D">
        <w:rPr>
          <w:rFonts w:asciiTheme="majorBidi" w:eastAsia="CharisSIL" w:hAnsiTheme="majorBidi" w:cstheme="majorBidi"/>
          <w:sz w:val="24"/>
          <w:szCs w:val="24"/>
          <w:lang w:val="en-US"/>
        </w:rPr>
        <w:t>Moudon</w:t>
      </w:r>
      <w:r w:rsidRPr="00B45B8C">
        <w:rPr>
          <w:rFonts w:asciiTheme="majorBidi" w:eastAsia="CharisSIL" w:hAnsiTheme="majorBidi" w:cstheme="majorBidi"/>
          <w:sz w:val="24"/>
          <w:szCs w:val="24"/>
          <w:lang w:val="en-US"/>
        </w:rPr>
        <w:t>,1994</w:t>
      </w:r>
      <w:r w:rsidRPr="00B45B8C">
        <w:rPr>
          <w:rFonts w:asciiTheme="majorBidi" w:hAnsiTheme="majorBidi" w:cstheme="majorBidi"/>
          <w:sz w:val="24"/>
          <w:szCs w:val="24"/>
          <w:rtl/>
        </w:rPr>
        <w:t>)</w:t>
      </w:r>
      <w:r w:rsidRPr="004146CF">
        <w:rPr>
          <w:rFonts w:ascii="Simplified Arabic" w:hAnsi="Simplified Arabic" w:cs="Simplified Arabic"/>
          <w:sz w:val="24"/>
          <w:szCs w:val="24"/>
          <w:rtl/>
        </w:rPr>
        <w:t xml:space="preserve">. </w:t>
      </w:r>
    </w:p>
    <w:p w:rsidR="000635D8" w:rsidRDefault="00AF2071" w:rsidP="004D6FB3">
      <w:pPr>
        <w:bidi/>
        <w:spacing w:after="0"/>
        <w:ind w:firstLine="283"/>
        <w:jc w:val="both"/>
        <w:rPr>
          <w:rFonts w:ascii="Simplified Arabic" w:hAnsi="Simplified Arabic" w:cs="Simplified Arabic"/>
          <w:sz w:val="24"/>
          <w:szCs w:val="24"/>
          <w:rtl/>
        </w:rPr>
      </w:pPr>
      <w:r w:rsidRPr="0077622D">
        <w:rPr>
          <w:rFonts w:ascii="Simplified Arabic" w:hAnsi="Simplified Arabic" w:cs="Simplified Arabic" w:hint="cs"/>
          <w:sz w:val="24"/>
          <w:szCs w:val="24"/>
          <w:rtl/>
          <w:lang w:bidi="ar-DZ"/>
        </w:rPr>
        <w:t>في هذا</w:t>
      </w:r>
      <w:r w:rsidRPr="0077622D">
        <w:rPr>
          <w:rFonts w:ascii="Simplified Arabic" w:hAnsi="Simplified Arabic" w:cs="Simplified Arabic" w:hint="cs"/>
          <w:sz w:val="24"/>
          <w:szCs w:val="24"/>
          <w:rtl/>
        </w:rPr>
        <w:t xml:space="preserve"> البحث</w:t>
      </w:r>
      <w:r w:rsidR="000635D8" w:rsidRPr="0077622D">
        <w:rPr>
          <w:rFonts w:ascii="Simplified Arabic" w:hAnsi="Simplified Arabic" w:cs="Simplified Arabic" w:hint="cs"/>
          <w:sz w:val="24"/>
          <w:szCs w:val="24"/>
          <w:rtl/>
        </w:rPr>
        <w:t>،</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تم</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النظر</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في</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الاعتبارات</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المكانية،</w:t>
      </w:r>
      <w:r w:rsidR="000635D8" w:rsidRPr="0077622D">
        <w:rPr>
          <w:rFonts w:ascii="Simplified Arabic" w:hAnsi="Simplified Arabic" w:cs="Simplified Arabic"/>
          <w:sz w:val="24"/>
          <w:szCs w:val="24"/>
          <w:rtl/>
        </w:rPr>
        <w:t xml:space="preserve"> </w:t>
      </w:r>
      <w:r w:rsidR="00E32314" w:rsidRPr="0077622D">
        <w:rPr>
          <w:rFonts w:ascii="Simplified Arabic" w:hAnsi="Simplified Arabic" w:cs="Simplified Arabic" w:hint="cs"/>
          <w:sz w:val="24"/>
          <w:szCs w:val="24"/>
          <w:rtl/>
        </w:rPr>
        <w:t>ك</w:t>
      </w:r>
      <w:r w:rsidR="004D6FB3">
        <w:rPr>
          <w:rFonts w:ascii="Simplified Arabic" w:hAnsi="Simplified Arabic" w:cs="Simplified Arabic" w:hint="cs"/>
          <w:sz w:val="24"/>
          <w:szCs w:val="24"/>
          <w:rtl/>
        </w:rPr>
        <w:t>استعمال</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الأرض</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والتوزيع المكاني للمسكن والمرافق</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العامة</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وشبكة الطرق،</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لأنها</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غالبًا</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ما</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ترتبط</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ارتباطًا</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وثيقًا</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بشكل النسيج</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الحضري</w:t>
      </w:r>
      <w:r w:rsidR="000635D8" w:rsidRPr="0077622D">
        <w:rPr>
          <w:rFonts w:ascii="Simplified Arabic" w:hAnsi="Simplified Arabic" w:cs="Simplified Arabic"/>
          <w:sz w:val="24"/>
          <w:szCs w:val="24"/>
          <w:rtl/>
        </w:rPr>
        <w:t xml:space="preserve"> </w:t>
      </w:r>
      <w:r w:rsidR="000635D8" w:rsidRPr="0077622D">
        <w:rPr>
          <w:rFonts w:ascii="Simplified Arabic" w:hAnsi="Simplified Arabic" w:cs="Simplified Arabic" w:hint="cs"/>
          <w:sz w:val="24"/>
          <w:szCs w:val="24"/>
          <w:rtl/>
        </w:rPr>
        <w:t>للمدينة</w:t>
      </w:r>
      <w:r w:rsidRPr="0077622D">
        <w:rPr>
          <w:rFonts w:ascii="Simplified Arabic" w:hAnsi="Simplified Arabic" w:cs="Simplified Arabic"/>
          <w:sz w:val="24"/>
          <w:szCs w:val="24"/>
        </w:rPr>
        <w:t xml:space="preserve"> </w:t>
      </w:r>
      <w:r w:rsidR="000635D8" w:rsidRPr="0077622D">
        <w:rPr>
          <w:rFonts w:asciiTheme="majorBidi" w:hAnsiTheme="majorBidi" w:cstheme="majorBidi"/>
          <w:sz w:val="24"/>
          <w:szCs w:val="24"/>
          <w:rtl/>
        </w:rPr>
        <w:t>(</w:t>
      </w:r>
      <w:r w:rsidR="000635D8" w:rsidRPr="0077622D">
        <w:rPr>
          <w:rFonts w:asciiTheme="majorBidi" w:hAnsiTheme="majorBidi" w:cstheme="majorBidi"/>
          <w:sz w:val="24"/>
          <w:szCs w:val="24"/>
        </w:rPr>
        <w:t>Van Nes, 2021</w:t>
      </w:r>
      <w:r w:rsidR="000635D8" w:rsidRPr="0077622D">
        <w:rPr>
          <w:rFonts w:asciiTheme="majorBidi" w:hAnsiTheme="majorBidi" w:cstheme="majorBidi"/>
          <w:sz w:val="24"/>
          <w:szCs w:val="24"/>
          <w:rtl/>
        </w:rPr>
        <w:t> </w:t>
      </w:r>
      <w:r w:rsidR="000635D8" w:rsidRPr="0077622D">
        <w:rPr>
          <w:rFonts w:asciiTheme="majorBidi" w:hAnsiTheme="majorBidi" w:cstheme="majorBidi"/>
          <w:sz w:val="24"/>
          <w:szCs w:val="24"/>
        </w:rPr>
        <w:t>Sevtsuk, 2010;</w:t>
      </w:r>
      <w:r w:rsidR="000635D8" w:rsidRPr="0077622D">
        <w:rPr>
          <w:rFonts w:asciiTheme="majorBidi" w:hAnsiTheme="majorBidi" w:cstheme="majorBidi"/>
          <w:sz w:val="24"/>
          <w:szCs w:val="24"/>
          <w:rtl/>
        </w:rPr>
        <w:t>)</w:t>
      </w:r>
      <w:r w:rsidR="000635D8" w:rsidRPr="0077622D">
        <w:rPr>
          <w:rFonts w:ascii="Simplified Arabic" w:hAnsi="Simplified Arabic" w:cs="Simplified Arabic"/>
          <w:sz w:val="24"/>
          <w:szCs w:val="24"/>
          <w:rtl/>
        </w:rPr>
        <w:t xml:space="preserve">. </w:t>
      </w:r>
    </w:p>
    <w:p w:rsidR="000635D8" w:rsidRDefault="000635D8" w:rsidP="004D6FB3">
      <w:pPr>
        <w:bidi/>
        <w:spacing w:after="0"/>
        <w:ind w:firstLine="283"/>
        <w:jc w:val="both"/>
        <w:rPr>
          <w:rFonts w:ascii="Simplified Arabic" w:hAnsi="Simplified Arabic" w:cs="Simplified Arabic"/>
          <w:sz w:val="24"/>
          <w:szCs w:val="24"/>
          <w:rtl/>
        </w:rPr>
      </w:pPr>
      <w:r w:rsidRPr="00725DEF">
        <w:rPr>
          <w:rFonts w:ascii="Simplified Arabic" w:hAnsi="Simplified Arabic" w:cs="Simplified Arabic" w:hint="cs"/>
          <w:sz w:val="24"/>
          <w:szCs w:val="24"/>
          <w:rtl/>
        </w:rPr>
        <w:t>يهدف</w:t>
      </w:r>
      <w:r w:rsidRPr="00725DEF">
        <w:rPr>
          <w:rFonts w:ascii="Simplified Arabic" w:hAnsi="Simplified Arabic" w:cs="Simplified Arabic"/>
          <w:sz w:val="24"/>
          <w:szCs w:val="24"/>
          <w:rtl/>
        </w:rPr>
        <w:t xml:space="preserve"> </w:t>
      </w:r>
      <w:r w:rsidRPr="00725DEF">
        <w:rPr>
          <w:rFonts w:ascii="Simplified Arabic" w:hAnsi="Simplified Arabic" w:cs="Simplified Arabic" w:hint="cs"/>
          <w:sz w:val="24"/>
          <w:szCs w:val="24"/>
          <w:rtl/>
        </w:rPr>
        <w:t>هذا</w:t>
      </w:r>
      <w:r w:rsidRPr="00725DE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البحث الى </w:t>
      </w:r>
      <w:r w:rsidRPr="00725DEF">
        <w:rPr>
          <w:rFonts w:ascii="Simplified Arabic" w:hAnsi="Simplified Arabic" w:cs="Simplified Arabic" w:hint="cs"/>
          <w:sz w:val="24"/>
          <w:szCs w:val="24"/>
          <w:rtl/>
        </w:rPr>
        <w:t>تحليل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نمط</w:t>
      </w:r>
      <w:r w:rsidRPr="005B6583">
        <w:rPr>
          <w:rFonts w:ascii="Simplified Arabic" w:hAnsi="Simplified Arabic" w:cs="Simplified Arabic"/>
          <w:sz w:val="24"/>
          <w:szCs w:val="24"/>
          <w:rtl/>
        </w:rPr>
        <w:t xml:space="preserve"> </w:t>
      </w:r>
      <w:r w:rsidR="004D6FB3">
        <w:rPr>
          <w:rFonts w:ascii="Simplified Arabic" w:hAnsi="Simplified Arabic" w:cs="Simplified Arabic" w:hint="cs"/>
          <w:sz w:val="24"/>
          <w:szCs w:val="24"/>
          <w:rtl/>
        </w:rPr>
        <w:t>استعمال</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الأرض</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على</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مستوى </w:t>
      </w:r>
      <w:r w:rsidRPr="005B6583">
        <w:rPr>
          <w:rFonts w:ascii="Simplified Arabic" w:hAnsi="Simplified Arabic" w:cs="Simplified Arabic" w:hint="cs"/>
          <w:sz w:val="24"/>
          <w:szCs w:val="24"/>
          <w:rtl/>
        </w:rPr>
        <w:t>المخطط</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العمراني</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من</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حيث</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الكثافة</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rPr>
        <w:t>السكنية</w:t>
      </w:r>
      <w:r w:rsidRPr="005B6583">
        <w:rPr>
          <w:rFonts w:ascii="Simplified Arabic" w:hAnsi="Simplified Arabic" w:cs="Simplified Arabic" w:hint="cs"/>
          <w:sz w:val="24"/>
          <w:szCs w:val="24"/>
          <w:rtl/>
        </w:rPr>
        <w:t>،</w:t>
      </w:r>
      <w:r w:rsidRPr="005B6583">
        <w:rPr>
          <w:rFonts w:ascii="Simplified Arabic" w:hAnsi="Simplified Arabic" w:cs="Simplified Arabic"/>
          <w:sz w:val="24"/>
          <w:szCs w:val="24"/>
          <w:rtl/>
        </w:rPr>
        <w:t xml:space="preserve"> </w:t>
      </w:r>
      <w:r>
        <w:rPr>
          <w:rFonts w:ascii="Simplified Arabic" w:hAnsi="Simplified Arabic" w:cs="Simplified Arabic" w:hint="cs"/>
          <w:sz w:val="24"/>
          <w:szCs w:val="24"/>
          <w:rtl/>
        </w:rPr>
        <w:t>التوزيع المكاني للخدمات العامة و شبكة الطرق</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لمختلف</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فئات</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الأحياء</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من</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جهة،</w:t>
      </w:r>
      <w:r w:rsidRPr="005B6583">
        <w:rPr>
          <w:rFonts w:ascii="Simplified Arabic" w:hAnsi="Simplified Arabic" w:cs="Simplified Arabic"/>
          <w:sz w:val="24"/>
          <w:szCs w:val="24"/>
          <w:rtl/>
        </w:rPr>
        <w:t xml:space="preserve"> </w:t>
      </w:r>
      <w:r w:rsidRPr="006C0C7F">
        <w:rPr>
          <w:rFonts w:ascii="Simplified Arabic" w:hAnsi="Simplified Arabic" w:cs="Simplified Arabic" w:hint="cs"/>
          <w:sz w:val="24"/>
          <w:szCs w:val="24"/>
          <w:rtl/>
        </w:rPr>
        <w:t>وعلاقة</w:t>
      </w:r>
      <w:r>
        <w:rPr>
          <w:rFonts w:ascii="Simplified Arabic" w:hAnsi="Simplified Arabic" w:cs="Simplified Arabic" w:hint="cs"/>
          <w:sz w:val="24"/>
          <w:szCs w:val="24"/>
          <w:rtl/>
        </w:rPr>
        <w:t xml:space="preserve"> ذلك بالمرونة الحضرية لمدينة بوسعادة </w:t>
      </w:r>
      <w:r w:rsidRPr="005B6583">
        <w:rPr>
          <w:rFonts w:ascii="Simplified Arabic" w:hAnsi="Simplified Arabic" w:cs="Simplified Arabic" w:hint="cs"/>
          <w:sz w:val="24"/>
          <w:szCs w:val="24"/>
          <w:rtl/>
        </w:rPr>
        <w:t>من</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ناحية</w:t>
      </w:r>
      <w:r w:rsidRPr="005B6583">
        <w:rPr>
          <w:rFonts w:ascii="Simplified Arabic" w:hAnsi="Simplified Arabic" w:cs="Simplified Arabic"/>
          <w:sz w:val="24"/>
          <w:szCs w:val="24"/>
          <w:rtl/>
        </w:rPr>
        <w:t xml:space="preserve"> </w:t>
      </w:r>
      <w:r w:rsidRPr="005B6583">
        <w:rPr>
          <w:rFonts w:ascii="Simplified Arabic" w:hAnsi="Simplified Arabic" w:cs="Simplified Arabic" w:hint="cs"/>
          <w:sz w:val="24"/>
          <w:szCs w:val="24"/>
          <w:rtl/>
        </w:rPr>
        <w:t>أخرى</w:t>
      </w:r>
      <w:r w:rsidRPr="005B6583">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861F89">
        <w:rPr>
          <w:rFonts w:ascii="Simplified Arabic" w:hAnsi="Simplified Arabic" w:cs="Simplified Arabic" w:hint="cs"/>
          <w:sz w:val="24"/>
          <w:szCs w:val="24"/>
          <w:rtl/>
        </w:rPr>
        <w:t>لقد</w:t>
      </w:r>
      <w:r w:rsidRPr="00861F89">
        <w:rPr>
          <w:rFonts w:ascii="Simplified Arabic" w:hAnsi="Simplified Arabic" w:cs="Simplified Arabic"/>
          <w:sz w:val="24"/>
          <w:szCs w:val="24"/>
          <w:rtl/>
        </w:rPr>
        <w:t xml:space="preserve"> </w:t>
      </w:r>
      <w:r w:rsidR="00DA2C2B">
        <w:rPr>
          <w:rFonts w:ascii="Simplified Arabic" w:hAnsi="Simplified Arabic" w:cs="Simplified Arabic" w:hint="cs"/>
          <w:sz w:val="24"/>
          <w:szCs w:val="24"/>
          <w:rtl/>
        </w:rPr>
        <w:t>تم</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تقسيم</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مدينة</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بوسع</w:t>
      </w:r>
      <w:r>
        <w:rPr>
          <w:rFonts w:ascii="Simplified Arabic" w:hAnsi="Simplified Arabic" w:cs="Simplified Arabic" w:hint="cs"/>
          <w:sz w:val="24"/>
          <w:szCs w:val="24"/>
          <w:rtl/>
        </w:rPr>
        <w:t>ا</w:t>
      </w:r>
      <w:r w:rsidRPr="00861F89">
        <w:rPr>
          <w:rFonts w:ascii="Simplified Arabic" w:hAnsi="Simplified Arabic" w:cs="Simplified Arabic" w:hint="cs"/>
          <w:sz w:val="24"/>
          <w:szCs w:val="24"/>
          <w:rtl/>
        </w:rPr>
        <w:t>د</w:t>
      </w:r>
      <w:r>
        <w:rPr>
          <w:rFonts w:ascii="Simplified Arabic" w:hAnsi="Simplified Arabic" w:cs="Simplified Arabic" w:hint="cs"/>
          <w:sz w:val="24"/>
          <w:szCs w:val="24"/>
          <w:rtl/>
        </w:rPr>
        <w:t>ة</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جغرافيًا</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لإظهار</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فئات</w:t>
      </w:r>
      <w:r w:rsidRPr="00861F89">
        <w:rPr>
          <w:rFonts w:ascii="Simplified Arabic" w:hAnsi="Simplified Arabic" w:cs="Simplified Arabic"/>
          <w:sz w:val="24"/>
          <w:szCs w:val="24"/>
          <w:rtl/>
        </w:rPr>
        <w:t xml:space="preserve"> </w:t>
      </w:r>
      <w:r>
        <w:rPr>
          <w:rFonts w:ascii="Simplified Arabic" w:hAnsi="Simplified Arabic" w:cs="Simplified Arabic" w:hint="cs"/>
          <w:sz w:val="24"/>
          <w:szCs w:val="24"/>
          <w:rtl/>
        </w:rPr>
        <w:t>النسيج الحضري</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المختلفة</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وكذلك</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الأحياء</w:t>
      </w:r>
      <w:r w:rsidRPr="00861F89">
        <w:rPr>
          <w:rFonts w:ascii="Simplified Arabic" w:hAnsi="Simplified Arabic" w:cs="Simplified Arabic"/>
          <w:sz w:val="24"/>
          <w:szCs w:val="24"/>
          <w:rtl/>
        </w:rPr>
        <w:t xml:space="preserve"> </w:t>
      </w:r>
      <w:r>
        <w:rPr>
          <w:rFonts w:ascii="Simplified Arabic" w:hAnsi="Simplified Arabic" w:cs="Simplified Arabic" w:hint="cs"/>
          <w:sz w:val="24"/>
          <w:szCs w:val="24"/>
          <w:rtl/>
        </w:rPr>
        <w:t>المكونة</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له</w:t>
      </w:r>
      <w:r>
        <w:rPr>
          <w:rFonts w:ascii="Simplified Arabic" w:hAnsi="Simplified Arabic" w:cs="Simplified Arabic" w:hint="cs"/>
          <w:sz w:val="24"/>
          <w:szCs w:val="24"/>
          <w:rtl/>
        </w:rPr>
        <w:t xml:space="preserve">، الشكل </w:t>
      </w:r>
      <w:r w:rsidR="00097583">
        <w:rPr>
          <w:rFonts w:ascii="Simplified Arabic" w:hAnsi="Simplified Arabic" w:cs="Simplified Arabic" w:hint="cs"/>
          <w:sz w:val="24"/>
          <w:szCs w:val="24"/>
          <w:rtl/>
        </w:rPr>
        <w:t>(4-4)</w:t>
      </w:r>
      <w:r w:rsidRPr="00861F89">
        <w:rPr>
          <w:rFonts w:ascii="Simplified Arabic" w:hAnsi="Simplified Arabic" w:cs="Simplified Arabic" w:hint="cs"/>
          <w:sz w:val="24"/>
          <w:szCs w:val="24"/>
          <w:rtl/>
        </w:rPr>
        <w:t>،</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بناءً</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على</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معايير</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تاريخية</w:t>
      </w:r>
      <w:r w:rsidRPr="00861F89">
        <w:rPr>
          <w:rFonts w:ascii="Simplified Arabic" w:hAnsi="Simplified Arabic" w:cs="Simplified Arabic"/>
          <w:sz w:val="24"/>
          <w:szCs w:val="24"/>
          <w:rtl/>
        </w:rPr>
        <w:t xml:space="preserve"> </w:t>
      </w:r>
      <w:r>
        <w:rPr>
          <w:rFonts w:ascii="Simplified Arabic" w:hAnsi="Simplified Arabic" w:cs="Simplified Arabic" w:hint="cs"/>
          <w:sz w:val="24"/>
          <w:szCs w:val="24"/>
          <w:rtl/>
        </w:rPr>
        <w:t>وجغرافية وتيبو-مورفولوجية</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على</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النحو</w:t>
      </w:r>
      <w:r w:rsidRPr="00861F89">
        <w:rPr>
          <w:rFonts w:ascii="Simplified Arabic" w:hAnsi="Simplified Arabic" w:cs="Simplified Arabic"/>
          <w:sz w:val="24"/>
          <w:szCs w:val="24"/>
          <w:rtl/>
        </w:rPr>
        <w:t xml:space="preserve"> </w:t>
      </w:r>
      <w:r w:rsidRPr="00861F89">
        <w:rPr>
          <w:rFonts w:ascii="Simplified Arabic" w:hAnsi="Simplified Arabic" w:cs="Simplified Arabic" w:hint="cs"/>
          <w:sz w:val="24"/>
          <w:szCs w:val="24"/>
          <w:rtl/>
        </w:rPr>
        <w:t>التالي</w:t>
      </w:r>
      <w:r w:rsidRPr="00861F89">
        <w:rPr>
          <w:rFonts w:ascii="Simplified Arabic" w:hAnsi="Simplified Arabic" w:cs="Simplified Arabic"/>
          <w:sz w:val="24"/>
          <w:szCs w:val="24"/>
          <w:rtl/>
        </w:rPr>
        <w:t>:</w:t>
      </w:r>
    </w:p>
    <w:p w:rsidR="000635D8" w:rsidRDefault="000635D8" w:rsidP="00ED1C8F">
      <w:pPr>
        <w:pStyle w:val="fegure"/>
        <w:rPr>
          <w:szCs w:val="24"/>
          <w:rtl/>
        </w:rPr>
      </w:pPr>
      <w:bookmarkStart w:id="578" w:name="_Toc157608327"/>
      <w:bookmarkStart w:id="579" w:name="_Toc171803624"/>
      <w:r w:rsidRPr="00ED1C8F">
        <w:rPr>
          <w:rFonts w:hint="cs"/>
          <w:szCs w:val="24"/>
          <w:rtl/>
        </w:rPr>
        <w:t xml:space="preserve">الشكل </w:t>
      </w:r>
      <w:r w:rsidR="00097583" w:rsidRPr="00ED1C8F">
        <w:rPr>
          <w:rFonts w:hint="cs"/>
          <w:szCs w:val="24"/>
          <w:rtl/>
        </w:rPr>
        <w:t>(4-4)</w:t>
      </w:r>
      <w:r w:rsidRPr="00ED1C8F">
        <w:rPr>
          <w:szCs w:val="24"/>
          <w:rtl/>
        </w:rPr>
        <w:t>:</w:t>
      </w:r>
      <w:r w:rsidRPr="00ED1C8F">
        <w:rPr>
          <w:rFonts w:hint="cs"/>
          <w:szCs w:val="24"/>
          <w:rtl/>
        </w:rPr>
        <w:t xml:space="preserve"> فئات النسيج الحضري</w:t>
      </w:r>
      <w:r w:rsidRPr="00ED1C8F">
        <w:rPr>
          <w:szCs w:val="24"/>
          <w:rtl/>
        </w:rPr>
        <w:t xml:space="preserve"> </w:t>
      </w:r>
      <w:r w:rsidRPr="00ED1C8F">
        <w:rPr>
          <w:rFonts w:hint="cs"/>
          <w:szCs w:val="24"/>
          <w:rtl/>
        </w:rPr>
        <w:t>لمدينة بوسعادة</w:t>
      </w:r>
      <w:bookmarkEnd w:id="578"/>
      <w:bookmarkEnd w:id="579"/>
    </w:p>
    <w:p w:rsidR="00876E26" w:rsidRPr="00876E26" w:rsidRDefault="00876E26" w:rsidP="00876E26">
      <w:pPr>
        <w:pStyle w:val="fegure"/>
        <w:rPr>
          <w:sz w:val="8"/>
          <w:szCs w:val="24"/>
          <w:lang w:val="en-US"/>
        </w:rPr>
      </w:pPr>
      <w:bookmarkStart w:id="580" w:name="_Toc171803625"/>
      <w:r>
        <w:rPr>
          <w:rFonts w:hint="cs"/>
          <w:sz w:val="8"/>
          <w:szCs w:val="24"/>
          <w:rtl/>
          <w:lang w:val="en-US"/>
        </w:rPr>
        <w:t>المصدر: (الباحث، 2022)</w:t>
      </w:r>
      <w:bookmarkEnd w:id="580"/>
    </w:p>
    <w:p w:rsidR="000635D8" w:rsidRDefault="000635D8" w:rsidP="000635D8">
      <w:pPr>
        <w:bidi/>
        <w:jc w:val="center"/>
        <w:rPr>
          <w:rFonts w:cs="Arial"/>
          <w:b/>
          <w:bCs/>
          <w:sz w:val="28"/>
          <w:szCs w:val="28"/>
          <w:rtl/>
        </w:rPr>
      </w:pPr>
      <w:r>
        <w:rPr>
          <w:noProof/>
          <w:lang w:eastAsia="fr-FR"/>
        </w:rPr>
        <w:drawing>
          <wp:inline distT="0" distB="0" distL="0" distR="0" wp14:anchorId="7A5FA531" wp14:editId="42513FA3">
            <wp:extent cx="3821502" cy="2555556"/>
            <wp:effectExtent l="19050" t="19050" r="26670" b="16510"/>
            <wp:docPr id="174" name="Imag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9">
                      <a:extLst>
                        <a:ext uri="{28A0092B-C50C-407E-A947-70E740481C1C}">
                          <a14:useLocalDpi xmlns:a14="http://schemas.microsoft.com/office/drawing/2010/main" val="0"/>
                        </a:ext>
                      </a:extLst>
                    </a:blip>
                    <a:stretch>
                      <a:fillRect/>
                    </a:stretch>
                  </pic:blipFill>
                  <pic:spPr>
                    <a:xfrm>
                      <a:off x="0" y="0"/>
                      <a:ext cx="3831825" cy="2562459"/>
                    </a:xfrm>
                    <a:prstGeom prst="rect">
                      <a:avLst/>
                    </a:prstGeom>
                    <a:ln>
                      <a:solidFill>
                        <a:schemeClr val="tx1"/>
                      </a:solidFill>
                    </a:ln>
                  </pic:spPr>
                </pic:pic>
              </a:graphicData>
            </a:graphic>
          </wp:inline>
        </w:drawing>
      </w:r>
    </w:p>
    <w:p w:rsidR="000635D8" w:rsidRPr="00E11355" w:rsidRDefault="000635D8" w:rsidP="001D0548">
      <w:pPr>
        <w:pStyle w:val="Paragraphedeliste"/>
        <w:numPr>
          <w:ilvl w:val="3"/>
          <w:numId w:val="230"/>
        </w:numPr>
        <w:tabs>
          <w:tab w:val="right" w:pos="1134"/>
        </w:tabs>
        <w:bidi/>
        <w:spacing w:after="0"/>
        <w:ind w:left="0" w:firstLine="0"/>
        <w:jc w:val="both"/>
        <w:outlineLvl w:val="2"/>
        <w:rPr>
          <w:rFonts w:ascii="Simplified Arabic" w:hAnsi="Simplified Arabic" w:cs="Simplified Arabic"/>
          <w:b/>
          <w:bCs/>
          <w:sz w:val="24"/>
          <w:szCs w:val="24"/>
          <w:rtl/>
        </w:rPr>
      </w:pPr>
      <w:bookmarkStart w:id="581" w:name="_Toc171803626"/>
      <w:r w:rsidRPr="00E11355">
        <w:rPr>
          <w:rFonts w:ascii="Simplified Arabic" w:hAnsi="Simplified Arabic" w:cs="Simplified Arabic" w:hint="cs"/>
          <w:b/>
          <w:bCs/>
          <w:sz w:val="24"/>
          <w:szCs w:val="24"/>
          <w:rtl/>
        </w:rPr>
        <w:t>فئة النسيج الحضري القديم</w:t>
      </w:r>
      <w:r w:rsidR="00D86155" w:rsidRPr="00E11355">
        <w:rPr>
          <w:rFonts w:ascii="Simplified Arabic" w:hAnsi="Simplified Arabic" w:cs="Simplified Arabic" w:hint="cs"/>
          <w:b/>
          <w:bCs/>
          <w:sz w:val="24"/>
          <w:szCs w:val="24"/>
          <w:rtl/>
        </w:rPr>
        <w:t xml:space="preserve"> </w:t>
      </w:r>
      <w:r w:rsidR="00283D00" w:rsidRPr="00E11355">
        <w:rPr>
          <w:rFonts w:ascii="Simplified Arabic" w:hAnsi="Simplified Arabic" w:cs="Simplified Arabic" w:hint="cs"/>
          <w:b/>
          <w:bCs/>
          <w:sz w:val="24"/>
          <w:szCs w:val="24"/>
          <w:rtl/>
        </w:rPr>
        <w:t>(</w:t>
      </w:r>
      <w:r w:rsidR="00283D00" w:rsidRPr="00E11355">
        <w:rPr>
          <w:rFonts w:ascii="Simplified Arabic" w:hAnsi="Simplified Arabic" w:cs="Simplified Arabic"/>
          <w:b/>
          <w:bCs/>
          <w:sz w:val="24"/>
          <w:szCs w:val="24"/>
          <w:rtl/>
        </w:rPr>
        <w:t>أ</w:t>
      </w:r>
      <w:r w:rsidR="00283D00" w:rsidRPr="00E11355">
        <w:rPr>
          <w:rFonts w:ascii="Simplified Arabic" w:hAnsi="Simplified Arabic" w:cs="Simplified Arabic" w:hint="cs"/>
          <w:b/>
          <w:bCs/>
          <w:sz w:val="24"/>
          <w:szCs w:val="24"/>
          <w:rtl/>
        </w:rPr>
        <w:t>)</w:t>
      </w:r>
      <w:r w:rsidRPr="00E11355">
        <w:rPr>
          <w:rFonts w:ascii="Simplified Arabic" w:hAnsi="Simplified Arabic" w:cs="Simplified Arabic" w:hint="cs"/>
          <w:b/>
          <w:bCs/>
          <w:sz w:val="24"/>
          <w:szCs w:val="24"/>
          <w:rtl/>
        </w:rPr>
        <w:t>:</w:t>
      </w:r>
      <w:bookmarkEnd w:id="581"/>
      <w:r w:rsidRPr="00E11355">
        <w:rPr>
          <w:rFonts w:ascii="Simplified Arabic" w:hAnsi="Simplified Arabic" w:cs="Simplified Arabic" w:hint="cs"/>
          <w:b/>
          <w:bCs/>
          <w:sz w:val="24"/>
          <w:szCs w:val="24"/>
          <w:rtl/>
        </w:rPr>
        <w:t xml:space="preserve"> </w:t>
      </w:r>
    </w:p>
    <w:p w:rsidR="000635D8" w:rsidRDefault="000635D8" w:rsidP="004D6FB3">
      <w:pPr>
        <w:bidi/>
        <w:spacing w:after="0"/>
        <w:ind w:firstLine="283"/>
        <w:jc w:val="both"/>
        <w:rPr>
          <w:rFonts w:ascii="Simplified Arabic" w:hAnsi="Simplified Arabic" w:cs="Simplified Arabic"/>
          <w:sz w:val="24"/>
          <w:szCs w:val="24"/>
          <w:rtl/>
          <w:lang w:val="en-US"/>
        </w:rPr>
      </w:pPr>
      <w:r w:rsidRPr="00D25CC7">
        <w:rPr>
          <w:rFonts w:ascii="Simplified Arabic" w:hAnsi="Simplified Arabic" w:cs="Simplified Arabic"/>
          <w:sz w:val="24"/>
          <w:szCs w:val="24"/>
          <w:rtl/>
          <w:lang w:val="en-US"/>
        </w:rPr>
        <w:t xml:space="preserve">كانت المدينة القديمة </w:t>
      </w:r>
      <w:r w:rsidRPr="001F1ACC">
        <w:rPr>
          <w:rFonts w:asciiTheme="majorBidi" w:hAnsiTheme="majorBidi" w:cstheme="majorBidi"/>
          <w:sz w:val="24"/>
          <w:szCs w:val="24"/>
          <w:rtl/>
          <w:lang w:val="en-US"/>
        </w:rPr>
        <w:t>(</w:t>
      </w:r>
      <w:r w:rsidRPr="001F1ACC">
        <w:rPr>
          <w:rFonts w:asciiTheme="majorBidi" w:hAnsiTheme="majorBidi" w:cstheme="majorBidi"/>
          <w:sz w:val="24"/>
          <w:szCs w:val="24"/>
          <w:lang w:val="en-US"/>
        </w:rPr>
        <w:t>Vielle Ville</w:t>
      </w:r>
      <w:r w:rsidRPr="001F1ACC">
        <w:rPr>
          <w:rFonts w:asciiTheme="majorBidi" w:hAnsiTheme="majorBidi" w:cstheme="majorBidi"/>
          <w:sz w:val="24"/>
          <w:szCs w:val="24"/>
          <w:rtl/>
          <w:lang w:val="en-US"/>
        </w:rPr>
        <w:t>)</w:t>
      </w:r>
      <w:r>
        <w:rPr>
          <w:rFonts w:ascii="Simplified Arabic" w:hAnsi="Simplified Arabic" w:cs="Simplified Arabic" w:hint="cs"/>
          <w:sz w:val="24"/>
          <w:szCs w:val="24"/>
          <w:rtl/>
          <w:lang w:val="en-US"/>
        </w:rPr>
        <w:t xml:space="preserve"> </w:t>
      </w:r>
      <w:r w:rsidRPr="00D25CC7">
        <w:rPr>
          <w:rFonts w:ascii="Simplified Arabic" w:hAnsi="Simplified Arabic" w:cs="Simplified Arabic"/>
          <w:sz w:val="24"/>
          <w:szCs w:val="24"/>
          <w:rtl/>
          <w:lang w:val="en-US"/>
        </w:rPr>
        <w:t>أو قصر بوسعادة موجودة منذ نهاية العصور الوسطى عندما كان هناك بناء للقصر مع بستان النخيل، لإيواء السكان العرب والمسلمين، وكانت مدينة محددة ومحمية بسياج ضد الأجانب والغزوات.</w:t>
      </w:r>
      <w:r w:rsidRPr="00015EE0">
        <w:rPr>
          <w:rFonts w:hint="cs"/>
          <w:rtl/>
        </w:rPr>
        <w:t xml:space="preserve"> </w:t>
      </w:r>
      <w:r w:rsidRPr="00015EE0">
        <w:rPr>
          <w:rFonts w:ascii="Simplified Arabic" w:hAnsi="Simplified Arabic" w:cs="Simplified Arabic" w:hint="cs"/>
          <w:sz w:val="24"/>
          <w:szCs w:val="24"/>
          <w:rtl/>
          <w:lang w:val="en-US"/>
        </w:rPr>
        <w:t>تتميز</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المنطقة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بمساحة</w:t>
      </w:r>
      <w:r w:rsidRPr="00015EE0">
        <w:rPr>
          <w:rFonts w:ascii="Simplified Arabic" w:hAnsi="Simplified Arabic" w:cs="Simplified Arabic"/>
          <w:sz w:val="24"/>
          <w:szCs w:val="24"/>
          <w:rtl/>
          <w:lang w:val="en-US"/>
        </w:rPr>
        <w:t xml:space="preserve"> 27.1 </w:t>
      </w:r>
      <w:r w:rsidRPr="00015EE0">
        <w:rPr>
          <w:rFonts w:ascii="Simplified Arabic" w:hAnsi="Simplified Arabic" w:cs="Simplified Arabic" w:hint="cs"/>
          <w:sz w:val="24"/>
          <w:szCs w:val="24"/>
          <w:rtl/>
          <w:lang w:val="en-US"/>
        </w:rPr>
        <w:t>هكتار،</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و</w:t>
      </w:r>
      <w:r w:rsidRPr="00015EE0">
        <w:rPr>
          <w:rFonts w:ascii="Simplified Arabic" w:hAnsi="Simplified Arabic" w:cs="Simplified Arabic"/>
          <w:sz w:val="24"/>
          <w:szCs w:val="24"/>
          <w:rtl/>
          <w:lang w:val="en-US"/>
        </w:rPr>
        <w:t xml:space="preserve"> </w:t>
      </w:r>
      <w:r w:rsidRPr="00654FD1">
        <w:rPr>
          <w:rFonts w:ascii="Simplified Arabic" w:eastAsia="Times New Roman" w:hAnsi="Simplified Arabic" w:cs="Simplified Arabic"/>
          <w:color w:val="000000"/>
          <w:sz w:val="24"/>
          <w:szCs w:val="24"/>
          <w:lang w:eastAsia="fr-FR"/>
        </w:rPr>
        <w:t>1265</w:t>
      </w:r>
      <w:r>
        <w:rPr>
          <w:rFonts w:ascii="Simplified Arabic" w:eastAsia="Times New Roman" w:hAnsi="Simplified Arabic" w:cs="Simplified Arabic" w:hint="cs"/>
          <w:color w:val="000000"/>
          <w:sz w:val="24"/>
          <w:szCs w:val="24"/>
          <w:rtl/>
          <w:lang w:eastAsia="fr-FR"/>
        </w:rPr>
        <w:t xml:space="preserve"> </w:t>
      </w:r>
      <w:r w:rsidRPr="00015EE0">
        <w:rPr>
          <w:rFonts w:ascii="Simplified Arabic" w:hAnsi="Simplified Arabic" w:cs="Simplified Arabic" w:hint="cs"/>
          <w:sz w:val="24"/>
          <w:szCs w:val="24"/>
          <w:rtl/>
          <w:lang w:val="en-US"/>
        </w:rPr>
        <w:t>وحدة</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سكنية </w:t>
      </w:r>
      <w:r w:rsidRPr="00015EE0">
        <w:rPr>
          <w:rFonts w:ascii="Simplified Arabic" w:hAnsi="Simplified Arabic" w:cs="Simplified Arabic" w:hint="cs"/>
          <w:sz w:val="24"/>
          <w:szCs w:val="24"/>
          <w:rtl/>
          <w:lang w:val="en-US"/>
        </w:rPr>
        <w:t>بكثافة</w:t>
      </w:r>
      <w:r>
        <w:rPr>
          <w:rFonts w:ascii="Simplified Arabic" w:hAnsi="Simplified Arabic" w:cs="Simplified Arabic" w:hint="cs"/>
          <w:sz w:val="24"/>
          <w:szCs w:val="24"/>
          <w:rtl/>
          <w:lang w:val="en-US"/>
        </w:rPr>
        <w:t xml:space="preserve"> سكنية</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47</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مسكن</w:t>
      </w:r>
      <w:r>
        <w:rPr>
          <w:rFonts w:ascii="Simplified Arabic" w:hAnsi="Simplified Arabic" w:cs="Simplified Arabic"/>
          <w:sz w:val="24"/>
          <w:szCs w:val="24"/>
          <w:rtl/>
          <w:lang w:val="en-US"/>
        </w:rPr>
        <w:t>/</w:t>
      </w:r>
      <w:r w:rsidRPr="00015EE0">
        <w:rPr>
          <w:rFonts w:ascii="Simplified Arabic" w:hAnsi="Simplified Arabic" w:cs="Simplified Arabic" w:hint="cs"/>
          <w:sz w:val="24"/>
          <w:szCs w:val="24"/>
          <w:rtl/>
          <w:lang w:val="en-US"/>
        </w:rPr>
        <w:t>هكتار</w:t>
      </w:r>
      <w:r>
        <w:rPr>
          <w:rFonts w:ascii="Simplified Arabic" w:hAnsi="Simplified Arabic" w:cs="Simplified Arabic" w:hint="cs"/>
          <w:sz w:val="24"/>
          <w:szCs w:val="24"/>
          <w:rtl/>
          <w:lang w:val="en-US"/>
        </w:rPr>
        <w:t xml:space="preserve"> او</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233 ساكن/</w:t>
      </w:r>
      <w:r w:rsidRPr="00015EE0">
        <w:rPr>
          <w:rFonts w:ascii="Simplified Arabic" w:hAnsi="Simplified Arabic" w:cs="Simplified Arabic" w:hint="cs"/>
          <w:sz w:val="24"/>
          <w:szCs w:val="24"/>
          <w:rtl/>
          <w:lang w:val="en-US"/>
        </w:rPr>
        <w:t>هكتار</w:t>
      </w:r>
      <w:r>
        <w:rPr>
          <w:rFonts w:ascii="Simplified Arabic" w:hAnsi="Simplified Arabic" w:cs="Simplified Arabic" w:hint="cs"/>
          <w:sz w:val="24"/>
          <w:szCs w:val="24"/>
          <w:rtl/>
          <w:lang w:val="en-US"/>
        </w:rPr>
        <w:t xml:space="preserve">. </w:t>
      </w:r>
      <w:r w:rsidRPr="00D25CC7">
        <w:rPr>
          <w:rFonts w:ascii="Simplified Arabic" w:hAnsi="Simplified Arabic" w:cs="Simplified Arabic"/>
          <w:sz w:val="24"/>
          <w:szCs w:val="24"/>
          <w:rtl/>
          <w:lang w:val="en-US"/>
        </w:rPr>
        <w:t>تميز القصر بمنازله المكتظة و المتراصة المبنية من الطين</w:t>
      </w:r>
      <w:r>
        <w:rPr>
          <w:rFonts w:ascii="Simplified Arabic" w:hAnsi="Simplified Arabic" w:cs="Simplified Arabic" w:hint="cs"/>
          <w:sz w:val="24"/>
          <w:szCs w:val="24"/>
          <w:rtl/>
          <w:lang w:val="en-US"/>
        </w:rPr>
        <w:t xml:space="preserve"> التبن</w:t>
      </w:r>
      <w:r w:rsidRPr="00D25CC7">
        <w:rPr>
          <w:rFonts w:ascii="Simplified Arabic" w:hAnsi="Simplified Arabic" w:cs="Simplified Arabic"/>
          <w:sz w:val="24"/>
          <w:szCs w:val="24"/>
          <w:rtl/>
          <w:lang w:val="en-US"/>
        </w:rPr>
        <w:t xml:space="preserve"> أو الآجر، وشوارع </w:t>
      </w:r>
      <w:r>
        <w:rPr>
          <w:rFonts w:ascii="Simplified Arabic" w:hAnsi="Simplified Arabic" w:cs="Simplified Arabic" w:hint="cs"/>
          <w:sz w:val="24"/>
          <w:szCs w:val="24"/>
          <w:rtl/>
          <w:lang w:val="en-US"/>
        </w:rPr>
        <w:t xml:space="preserve">وازقة </w:t>
      </w:r>
      <w:r w:rsidRPr="00D25CC7">
        <w:rPr>
          <w:rFonts w:ascii="Simplified Arabic" w:hAnsi="Simplified Arabic" w:cs="Simplified Arabic"/>
          <w:sz w:val="24"/>
          <w:szCs w:val="24"/>
          <w:rtl/>
          <w:lang w:val="en-US"/>
        </w:rPr>
        <w:t>ضيقة ومتعرجة التي تزدحم بأنشطة الحياة اليومية</w:t>
      </w:r>
      <w:r>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rPr>
        <w:t xml:space="preserve">الشكل </w:t>
      </w:r>
      <w:r w:rsidR="00097583">
        <w:rPr>
          <w:rFonts w:ascii="Simplified Arabic" w:hAnsi="Simplified Arabic" w:cs="Simplified Arabic" w:hint="cs"/>
          <w:sz w:val="24"/>
          <w:szCs w:val="24"/>
          <w:rtl/>
        </w:rPr>
        <w:t>(4-5)</w:t>
      </w:r>
      <w:r w:rsidRPr="00D25CC7">
        <w:rPr>
          <w:rFonts w:ascii="Simplified Arabic" w:hAnsi="Simplified Arabic" w:cs="Simplified Arabic"/>
          <w:sz w:val="24"/>
          <w:szCs w:val="24"/>
          <w:rtl/>
          <w:lang w:val="en-US"/>
        </w:rPr>
        <w:t xml:space="preserve">. أهم ما يميز النسيج </w:t>
      </w:r>
      <w:r>
        <w:rPr>
          <w:rFonts w:ascii="Simplified Arabic" w:hAnsi="Simplified Arabic" w:cs="Simplified Arabic" w:hint="cs"/>
          <w:sz w:val="24"/>
          <w:szCs w:val="24"/>
          <w:rtl/>
          <w:lang w:val="en-US"/>
        </w:rPr>
        <w:t>الحضري</w:t>
      </w:r>
      <w:r w:rsidRPr="00D25CC7">
        <w:rPr>
          <w:rFonts w:ascii="Simplified Arabic" w:hAnsi="Simplified Arabic" w:cs="Simplified Arabic"/>
          <w:sz w:val="24"/>
          <w:szCs w:val="24"/>
          <w:rtl/>
          <w:lang w:val="en-US"/>
        </w:rPr>
        <w:t xml:space="preserve"> للقصر هو المبنى الأول وهو مسجد النخلة</w:t>
      </w:r>
      <w:r>
        <w:rPr>
          <w:rFonts w:ascii="Simplified Arabic" w:hAnsi="Simplified Arabic" w:cs="Simplified Arabic" w:hint="cs"/>
          <w:sz w:val="24"/>
          <w:szCs w:val="24"/>
          <w:rtl/>
          <w:lang w:val="en-US"/>
        </w:rPr>
        <w:t>،</w:t>
      </w:r>
      <w:r w:rsidRPr="00D25CC7">
        <w:rPr>
          <w:rFonts w:ascii="Simplified Arabic" w:hAnsi="Simplified Arabic" w:cs="Simplified Arabic"/>
          <w:sz w:val="24"/>
          <w:szCs w:val="24"/>
          <w:rtl/>
          <w:lang w:val="en-US"/>
        </w:rPr>
        <w:t xml:space="preserve"> اكتسب هذا القصر بشكل عام صورة وخصائص المدينة التقليدية.</w:t>
      </w:r>
      <w:r w:rsidRPr="003159C2">
        <w:rPr>
          <w:rFonts w:ascii="Simplified Arabic" w:hAnsi="Simplified Arabic" w:cs="Simplified Arabic" w:hint="cs"/>
          <w:sz w:val="24"/>
          <w:szCs w:val="24"/>
          <w:rtl/>
          <w:lang w:val="en-US"/>
        </w:rPr>
        <w:t xml:space="preserve"> يتم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الأر</w:t>
      </w:r>
      <w:r w:rsidRPr="00A90F9B">
        <w:rPr>
          <w:rFonts w:ascii="Simplified Arabic" w:hAnsi="Simplified Arabic" w:cs="Simplified Arabic" w:hint="cs"/>
          <w:sz w:val="24"/>
          <w:szCs w:val="24"/>
          <w:rtl/>
          <w:lang w:val="en-US"/>
        </w:rPr>
        <w:t>ض</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لفئة النسيج الحضري للمدينة القديمة </w:t>
      </w:r>
      <w:r w:rsidRPr="00A90F9B">
        <w:rPr>
          <w:rFonts w:ascii="Simplified Arabic" w:hAnsi="Simplified Arabic" w:cs="Simplified Arabic" w:hint="cs"/>
          <w:sz w:val="24"/>
          <w:szCs w:val="24"/>
          <w:rtl/>
          <w:lang w:val="en-US"/>
        </w:rPr>
        <w:t>من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خلال</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A90F9B">
        <w:rPr>
          <w:rFonts w:ascii="Simplified Arabic" w:hAnsi="Simplified Arabic" w:cs="Simplified Arabic" w:hint="cs"/>
          <w:sz w:val="24"/>
          <w:szCs w:val="24"/>
          <w:rtl/>
          <w:lang w:val="en-US"/>
        </w:rPr>
        <w:t>توزيع</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المكاني </w:t>
      </w:r>
      <w:r w:rsidR="00097583">
        <w:rPr>
          <w:rFonts w:ascii="Simplified Arabic" w:hAnsi="Simplified Arabic" w:cs="Simplified Arabic" w:hint="cs"/>
          <w:sz w:val="24"/>
          <w:szCs w:val="24"/>
          <w:rtl/>
          <w:lang w:val="en-US"/>
        </w:rPr>
        <w:t>ل</w:t>
      </w:r>
      <w:r w:rsidRPr="00A90F9B">
        <w:rPr>
          <w:rFonts w:ascii="Simplified Arabic" w:hAnsi="Simplified Arabic" w:cs="Simplified Arabic" w:hint="cs"/>
          <w:sz w:val="24"/>
          <w:szCs w:val="24"/>
          <w:rtl/>
          <w:lang w:val="en-US"/>
        </w:rPr>
        <w:t>لسكن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والمرافق</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شبكة الطرق</w:t>
      </w:r>
      <w:r w:rsidRPr="00A90F9B">
        <w:rPr>
          <w:rFonts w:ascii="Simplified Arabic" w:hAnsi="Simplified Arabic" w:cs="Simplified Arabic"/>
          <w:sz w:val="24"/>
          <w:szCs w:val="24"/>
          <w:rtl/>
          <w:lang w:val="en-US"/>
        </w:rPr>
        <w:t>.</w:t>
      </w:r>
    </w:p>
    <w:p w:rsidR="000635D8" w:rsidRDefault="000635D8" w:rsidP="001D0548">
      <w:pPr>
        <w:pStyle w:val="Paragraphedeliste"/>
        <w:numPr>
          <w:ilvl w:val="0"/>
          <w:numId w:val="2"/>
        </w:numPr>
        <w:bidi/>
        <w:spacing w:after="0"/>
        <w:ind w:left="0" w:firstLine="283"/>
        <w:jc w:val="both"/>
        <w:rPr>
          <w:rFonts w:ascii="Simplified Arabic" w:hAnsi="Simplified Arabic" w:cs="Simplified Arabic"/>
          <w:sz w:val="24"/>
          <w:szCs w:val="24"/>
          <w:lang w:val="en-US"/>
        </w:rPr>
      </w:pPr>
      <w:r>
        <w:rPr>
          <w:rFonts w:ascii="Simplified Arabic" w:hAnsi="Simplified Arabic" w:cs="Simplified Arabic" w:hint="cs"/>
          <w:b/>
          <w:bCs/>
          <w:sz w:val="24"/>
          <w:szCs w:val="24"/>
          <w:rtl/>
          <w:lang w:val="en-US"/>
        </w:rPr>
        <w:lastRenderedPageBreak/>
        <w:t>السكن</w:t>
      </w:r>
    </w:p>
    <w:p w:rsidR="000635D8" w:rsidRPr="0056477F" w:rsidRDefault="000635D8" w:rsidP="000635D8">
      <w:pPr>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ت</w:t>
      </w:r>
      <w:r w:rsidRPr="00015EE0">
        <w:rPr>
          <w:rFonts w:ascii="Simplified Arabic" w:hAnsi="Simplified Arabic" w:cs="Simplified Arabic" w:hint="cs"/>
          <w:sz w:val="24"/>
          <w:szCs w:val="24"/>
          <w:rtl/>
          <w:lang w:val="en-US"/>
        </w:rPr>
        <w:t>شغل</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w:t>
      </w:r>
      <w:r>
        <w:rPr>
          <w:rFonts w:ascii="Simplified Arabic" w:hAnsi="Simplified Arabic" w:cs="Simplified Arabic" w:hint="cs"/>
          <w:sz w:val="24"/>
          <w:szCs w:val="24"/>
          <w:rtl/>
          <w:lang w:val="en-US"/>
        </w:rPr>
        <w:t>م</w:t>
      </w:r>
      <w:r w:rsidRPr="00015EE0">
        <w:rPr>
          <w:rFonts w:ascii="Simplified Arabic" w:hAnsi="Simplified Arabic" w:cs="Simplified Arabic" w:hint="cs"/>
          <w:sz w:val="24"/>
          <w:szCs w:val="24"/>
          <w:rtl/>
          <w:lang w:val="en-US"/>
        </w:rPr>
        <w:t>س</w:t>
      </w:r>
      <w:r>
        <w:rPr>
          <w:rFonts w:ascii="Simplified Arabic" w:hAnsi="Simplified Arabic" w:cs="Simplified Arabic" w:hint="cs"/>
          <w:sz w:val="24"/>
          <w:szCs w:val="24"/>
          <w:rtl/>
          <w:lang w:val="en-US"/>
        </w:rPr>
        <w:t>ا</w:t>
      </w:r>
      <w:r w:rsidRPr="00015EE0">
        <w:rPr>
          <w:rFonts w:ascii="Simplified Arabic" w:hAnsi="Simplified Arabic" w:cs="Simplified Arabic" w:hint="cs"/>
          <w:sz w:val="24"/>
          <w:szCs w:val="24"/>
          <w:rtl/>
          <w:lang w:val="en-US"/>
        </w:rPr>
        <w:t>ح</w:t>
      </w:r>
      <w:r>
        <w:rPr>
          <w:rFonts w:ascii="Simplified Arabic" w:hAnsi="Simplified Arabic" w:cs="Simplified Arabic" w:hint="cs"/>
          <w:sz w:val="24"/>
          <w:szCs w:val="24"/>
          <w:rtl/>
          <w:lang w:val="en-US"/>
        </w:rPr>
        <w:t>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المبني</w:t>
      </w:r>
      <w:r>
        <w:rPr>
          <w:rFonts w:ascii="Simplified Arabic" w:hAnsi="Simplified Arabic" w:cs="Simplified Arabic" w:hint="cs"/>
          <w:sz w:val="24"/>
          <w:szCs w:val="24"/>
          <w:rtl/>
          <w:lang w:val="en-US"/>
        </w:rPr>
        <w:t>ة</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w:t>
      </w:r>
      <w:r w:rsidRPr="00015EE0">
        <w:rPr>
          <w:rFonts w:ascii="Simplified Arabic" w:hAnsi="Simplified Arabic" w:cs="Simplified Arabic" w:hint="cs"/>
          <w:sz w:val="24"/>
          <w:szCs w:val="24"/>
          <w:rtl/>
          <w:lang w:val="en-US"/>
        </w:rPr>
        <w:t>لقصر</w:t>
      </w:r>
      <w:r w:rsidRPr="00015EE0">
        <w:rPr>
          <w:rFonts w:ascii="Simplified Arabic" w:hAnsi="Simplified Arabic" w:cs="Simplified Arabic"/>
          <w:sz w:val="24"/>
          <w:szCs w:val="24"/>
          <w:rtl/>
          <w:lang w:val="en-US"/>
        </w:rPr>
        <w:t xml:space="preserve"> 58٪ </w:t>
      </w:r>
      <w:r w:rsidRPr="00015EE0">
        <w:rPr>
          <w:rFonts w:ascii="Simplified Arabic" w:hAnsi="Simplified Arabic" w:cs="Simplified Arabic" w:hint="cs"/>
          <w:sz w:val="24"/>
          <w:szCs w:val="24"/>
          <w:rtl/>
          <w:lang w:val="en-US"/>
        </w:rPr>
        <w:t>من</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إجمالي</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المساحة</w:t>
      </w:r>
      <w:r>
        <w:rPr>
          <w:rFonts w:ascii="Simplified Arabic" w:hAnsi="Simplified Arabic" w:cs="Simplified Arabic" w:hint="cs"/>
          <w:sz w:val="24"/>
          <w:szCs w:val="24"/>
          <w:rtl/>
          <w:lang w:val="en-US"/>
        </w:rPr>
        <w:t>،</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بمساحة</w:t>
      </w:r>
      <w:r w:rsidRPr="00015EE0">
        <w:rPr>
          <w:rFonts w:ascii="Simplified Arabic" w:hAnsi="Simplified Arabic" w:cs="Simplified Arabic"/>
          <w:sz w:val="24"/>
          <w:szCs w:val="24"/>
          <w:rtl/>
          <w:lang w:val="en-US"/>
        </w:rPr>
        <w:t xml:space="preserve"> 15.76 </w:t>
      </w:r>
      <w:r w:rsidRPr="00015EE0">
        <w:rPr>
          <w:rFonts w:ascii="Simplified Arabic" w:hAnsi="Simplified Arabic" w:cs="Simplified Arabic" w:hint="cs"/>
          <w:sz w:val="24"/>
          <w:szCs w:val="24"/>
          <w:rtl/>
          <w:lang w:val="en-US"/>
        </w:rPr>
        <w:t>هكتار</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اما باقي المساحة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غير</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015EE0">
        <w:rPr>
          <w:rFonts w:ascii="Simplified Arabic" w:hAnsi="Simplified Arabic" w:cs="Simplified Arabic" w:hint="cs"/>
          <w:sz w:val="24"/>
          <w:szCs w:val="24"/>
          <w:rtl/>
          <w:lang w:val="en-US"/>
        </w:rPr>
        <w:t>مبني</w:t>
      </w:r>
      <w:r>
        <w:rPr>
          <w:rFonts w:ascii="Simplified Arabic" w:hAnsi="Simplified Arabic" w:cs="Simplified Arabic" w:hint="cs"/>
          <w:sz w:val="24"/>
          <w:szCs w:val="24"/>
          <w:rtl/>
          <w:lang w:val="en-US"/>
        </w:rPr>
        <w:t xml:space="preserve">ة فهي تمثل </w:t>
      </w:r>
      <w:r w:rsidRPr="00015EE0">
        <w:rPr>
          <w:rFonts w:ascii="Simplified Arabic" w:hAnsi="Simplified Arabic" w:cs="Simplified Arabic"/>
          <w:sz w:val="24"/>
          <w:szCs w:val="24"/>
          <w:rtl/>
          <w:lang w:val="en-US"/>
        </w:rPr>
        <w:t xml:space="preserve">42٪. </w:t>
      </w:r>
      <w:r w:rsidRPr="00015EE0">
        <w:rPr>
          <w:rFonts w:ascii="Simplified Arabic" w:hAnsi="Simplified Arabic" w:cs="Simplified Arabic" w:hint="cs"/>
          <w:sz w:val="24"/>
          <w:szCs w:val="24"/>
          <w:rtl/>
          <w:lang w:val="en-US"/>
        </w:rPr>
        <w:t>النسبة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المبنية</w:t>
      </w:r>
      <w:r w:rsidRPr="00015EE0">
        <w:rPr>
          <w:rFonts w:ascii="Simplified Arabic" w:hAnsi="Simplified Arabic" w:cs="Simplified Arabic"/>
          <w:sz w:val="24"/>
          <w:szCs w:val="24"/>
          <w:rtl/>
          <w:lang w:val="en-US"/>
        </w:rPr>
        <w:t>/</w:t>
      </w:r>
      <w:r w:rsidRPr="00015EE0">
        <w:rPr>
          <w:rFonts w:ascii="Simplified Arabic" w:hAnsi="Simplified Arabic" w:cs="Simplified Arabic" w:hint="cs"/>
          <w:sz w:val="24"/>
          <w:szCs w:val="24"/>
          <w:rtl/>
          <w:lang w:val="en-US"/>
        </w:rPr>
        <w:t>غير</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المبنية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تساوي</w:t>
      </w:r>
      <w:r w:rsidRPr="00015EE0">
        <w:rPr>
          <w:rFonts w:ascii="Simplified Arabic" w:hAnsi="Simplified Arabic" w:cs="Simplified Arabic"/>
          <w:sz w:val="24"/>
          <w:szCs w:val="24"/>
          <w:rtl/>
          <w:lang w:val="en-US"/>
        </w:rPr>
        <w:t xml:space="preserve"> 1.38 </w:t>
      </w:r>
      <w:r w:rsidRPr="00015EE0">
        <w:rPr>
          <w:rFonts w:ascii="Simplified Arabic" w:hAnsi="Simplified Arabic" w:cs="Simplified Arabic" w:hint="cs"/>
          <w:sz w:val="24"/>
          <w:szCs w:val="24"/>
          <w:rtl/>
          <w:lang w:val="en-US"/>
        </w:rPr>
        <w:t>وهي</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تمثل</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أعلى</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نسبة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في</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المدينة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بسبب</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المساحات</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الحضرية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الصغيرة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والضيقة</w:t>
      </w:r>
      <w:r w:rsidRPr="00015EE0">
        <w:rPr>
          <w:rFonts w:ascii="Simplified Arabic" w:hAnsi="Simplified Arabic" w:cs="Simplified Arabic"/>
          <w:sz w:val="24"/>
          <w:szCs w:val="24"/>
          <w:rtl/>
          <w:lang w:val="en-US"/>
        </w:rPr>
        <w:t>.</w:t>
      </w:r>
      <w:r w:rsidRPr="00015EE0">
        <w:rPr>
          <w:rFonts w:ascii="Simplified Arabic" w:hAnsi="Simplified Arabic" w:cs="Simplified Arabic" w:hint="cs"/>
          <w:sz w:val="24"/>
          <w:szCs w:val="24"/>
          <w:rtl/>
          <w:lang w:val="en-US"/>
        </w:rPr>
        <w:t xml:space="preserve"> </w:t>
      </w:r>
      <w:r w:rsidRPr="0056477F">
        <w:rPr>
          <w:rFonts w:ascii="Simplified Arabic" w:hAnsi="Simplified Arabic" w:cs="Simplified Arabic" w:hint="cs"/>
          <w:sz w:val="24"/>
          <w:szCs w:val="24"/>
          <w:rtl/>
          <w:lang w:val="en-US"/>
        </w:rPr>
        <w:t>تشغل</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المساحة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السكنية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المتمثلة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في الوحدات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السكنية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الجزء</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الأكبر</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من</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المساحة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المبنية</w:t>
      </w:r>
      <w:r w:rsidRPr="0056477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تساوي</w:t>
      </w:r>
      <w:r w:rsidRPr="0056477F">
        <w:rPr>
          <w:rFonts w:ascii="Simplified Arabic" w:hAnsi="Simplified Arabic" w:cs="Simplified Arabic"/>
          <w:sz w:val="24"/>
          <w:szCs w:val="24"/>
          <w:rtl/>
          <w:lang w:val="en-US"/>
        </w:rPr>
        <w:t xml:space="preserve"> 9.92 </w:t>
      </w:r>
      <w:r w:rsidRPr="0056477F">
        <w:rPr>
          <w:rFonts w:ascii="Simplified Arabic" w:hAnsi="Simplified Arabic" w:cs="Simplified Arabic" w:hint="cs"/>
          <w:sz w:val="24"/>
          <w:szCs w:val="24"/>
          <w:rtl/>
          <w:lang w:val="en-US"/>
        </w:rPr>
        <w:t>هكتار</w:t>
      </w:r>
      <w:r w:rsidRPr="0056477F">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اما </w:t>
      </w:r>
      <w:r w:rsidRPr="0056477F">
        <w:rPr>
          <w:rFonts w:ascii="Simplified Arabic" w:hAnsi="Simplified Arabic" w:cs="Simplified Arabic" w:hint="cs"/>
          <w:sz w:val="24"/>
          <w:szCs w:val="24"/>
          <w:rtl/>
          <w:lang w:val="en-US"/>
        </w:rPr>
        <w:t>غير</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المبنية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والمتمثلة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في الطرق</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والساحات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ومواقف</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السيارات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والمساحات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الخضراء لا تشغل</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سوى</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36</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من</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المساحة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الكلية،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مما</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يدل</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على</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أن</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النسيج</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الحضري</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للقصر</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متراص</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ومكثف</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من</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حيث</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البناء</w:t>
      </w:r>
      <w:r w:rsidRPr="0056477F">
        <w:rPr>
          <w:rFonts w:ascii="Simplified Arabic" w:hAnsi="Simplified Arabic" w:cs="Simplified Arabic"/>
          <w:sz w:val="24"/>
          <w:szCs w:val="24"/>
          <w:rtl/>
          <w:lang w:val="en-US"/>
        </w:rPr>
        <w:t>.</w:t>
      </w:r>
      <w:r w:rsidRPr="0056477F">
        <w:rPr>
          <w:rFonts w:ascii="Simplified Arabic" w:hAnsi="Simplified Arabic" w:cs="Simplified Arabic" w:hint="cs"/>
          <w:sz w:val="24"/>
          <w:szCs w:val="24"/>
          <w:rtl/>
          <w:lang w:val="en-US"/>
        </w:rPr>
        <w:t xml:space="preserve"> </w:t>
      </w:r>
    </w:p>
    <w:p w:rsidR="000635D8" w:rsidRPr="007E116E" w:rsidRDefault="000635D8" w:rsidP="001D0548">
      <w:pPr>
        <w:pStyle w:val="Paragraphedeliste"/>
        <w:numPr>
          <w:ilvl w:val="0"/>
          <w:numId w:val="2"/>
        </w:numPr>
        <w:bidi/>
        <w:spacing w:after="0"/>
        <w:ind w:left="0" w:firstLine="283"/>
        <w:jc w:val="both"/>
        <w:rPr>
          <w:rFonts w:ascii="Simplified Arabic" w:hAnsi="Simplified Arabic" w:cs="Simplified Arabic"/>
          <w:b/>
          <w:bCs/>
          <w:sz w:val="24"/>
          <w:szCs w:val="24"/>
          <w:lang w:val="en-US"/>
        </w:rPr>
      </w:pPr>
      <w:r w:rsidRPr="006842CF">
        <w:rPr>
          <w:rFonts w:ascii="Simplified Arabic" w:hAnsi="Simplified Arabic" w:cs="Simplified Arabic" w:hint="cs"/>
          <w:b/>
          <w:bCs/>
          <w:sz w:val="24"/>
          <w:szCs w:val="24"/>
          <w:rtl/>
          <w:lang w:val="en-US"/>
        </w:rPr>
        <w:t>المرافق</w:t>
      </w:r>
    </w:p>
    <w:p w:rsidR="000635D8" w:rsidRDefault="000635D8" w:rsidP="00D26F8A">
      <w:pPr>
        <w:bidi/>
        <w:spacing w:after="0"/>
        <w:ind w:firstLine="283"/>
        <w:jc w:val="both"/>
        <w:rPr>
          <w:rFonts w:ascii="Simplified Arabic" w:hAnsi="Simplified Arabic" w:cs="Simplified Arabic"/>
          <w:sz w:val="24"/>
          <w:szCs w:val="24"/>
          <w:rtl/>
          <w:lang w:val="en-US"/>
        </w:rPr>
      </w:pPr>
      <w:r w:rsidRPr="006A1858">
        <w:rPr>
          <w:rFonts w:ascii="Simplified Arabic" w:hAnsi="Simplified Arabic" w:cs="Simplified Arabic" w:hint="cs"/>
          <w:sz w:val="24"/>
          <w:szCs w:val="24"/>
          <w:rtl/>
          <w:lang w:val="en-US"/>
        </w:rPr>
        <w:t>يوجد</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في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قصر</w:t>
      </w:r>
      <w:r w:rsidRPr="006A18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بوسعادة </w:t>
      </w:r>
      <w:r w:rsidRPr="006A1858">
        <w:rPr>
          <w:rFonts w:ascii="Simplified Arabic" w:hAnsi="Simplified Arabic" w:cs="Simplified Arabic" w:hint="cs"/>
          <w:sz w:val="24"/>
          <w:szCs w:val="24"/>
          <w:rtl/>
          <w:lang w:val="en-US"/>
        </w:rPr>
        <w:t>عدد</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كبير</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من</w:t>
      </w:r>
      <w:r w:rsidRPr="006A1858">
        <w:rPr>
          <w:rFonts w:ascii="Simplified Arabic" w:hAnsi="Simplified Arabic" w:cs="Simplified Arabic"/>
          <w:sz w:val="24"/>
          <w:szCs w:val="24"/>
          <w:rtl/>
          <w:lang w:val="en-US"/>
        </w:rPr>
        <w:t xml:space="preserve"> </w:t>
      </w:r>
      <w:r>
        <w:rPr>
          <w:rFonts w:ascii="Simplified Arabic" w:hAnsi="Simplified Arabic" w:cs="Simplified Arabic" w:hint="cs"/>
          <w:color w:val="000000"/>
          <w:sz w:val="24"/>
          <w:szCs w:val="24"/>
          <w:rtl/>
        </w:rPr>
        <w:t>المرافق</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تتمثل</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في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ثلاث</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مدارس</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بين</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ابتدائي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وثانوي،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أربعة</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مساجد،</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فندق،</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سوق،</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مكتب</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سياحي،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مركز</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أمني،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مركز</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تأمين</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ومركز</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صحي</w:t>
      </w:r>
      <w:r w:rsidRPr="006A18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و</w:t>
      </w:r>
      <w:r w:rsidRPr="006A1858">
        <w:rPr>
          <w:rFonts w:ascii="Simplified Arabic" w:hAnsi="Simplified Arabic" w:cs="Simplified Arabic" w:hint="cs"/>
          <w:sz w:val="24"/>
          <w:szCs w:val="24"/>
          <w:rtl/>
          <w:lang w:val="en-US"/>
        </w:rPr>
        <w:t>ذلك</w:t>
      </w:r>
      <w:r w:rsidRPr="006A18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لموقع</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القصر</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في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وسط</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مدينة</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بوسع</w:t>
      </w:r>
      <w:r>
        <w:rPr>
          <w:rFonts w:ascii="Simplified Arabic" w:hAnsi="Simplified Arabic" w:cs="Simplified Arabic" w:hint="cs"/>
          <w:sz w:val="24"/>
          <w:szCs w:val="24"/>
          <w:rtl/>
          <w:lang w:val="en-US"/>
        </w:rPr>
        <w:t>ادة</w:t>
      </w:r>
      <w:r>
        <w:rPr>
          <w:rFonts w:ascii="Simplified Arabic" w:hAnsi="Simplified Arabic" w:cs="Simplified Arabic"/>
          <w:sz w:val="24"/>
          <w:szCs w:val="24"/>
          <w:rtl/>
          <w:lang w:val="en-US"/>
        </w:rPr>
        <w:t>.</w:t>
      </w:r>
    </w:p>
    <w:p w:rsidR="000635D8" w:rsidRDefault="000635D8" w:rsidP="004D6FB3">
      <w:pPr>
        <w:bidi/>
        <w:spacing w:after="0"/>
        <w:ind w:firstLine="283"/>
        <w:jc w:val="both"/>
        <w:rPr>
          <w:rFonts w:ascii="Simplified Arabic" w:hAnsi="Simplified Arabic" w:cs="Simplified Arabic"/>
          <w:sz w:val="24"/>
          <w:szCs w:val="24"/>
          <w:rtl/>
          <w:lang w:val="en-US"/>
        </w:rPr>
      </w:pPr>
      <w:r w:rsidRPr="006A1858">
        <w:rPr>
          <w:rFonts w:ascii="Simplified Arabic" w:hAnsi="Simplified Arabic" w:cs="Simplified Arabic" w:hint="cs"/>
          <w:sz w:val="24"/>
          <w:szCs w:val="24"/>
          <w:rtl/>
          <w:lang w:val="en-US"/>
        </w:rPr>
        <w:t>تشغل</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مساحة</w:t>
      </w:r>
      <w:r w:rsidRPr="006A1858">
        <w:rPr>
          <w:rFonts w:ascii="Simplified Arabic" w:hAnsi="Simplified Arabic" w:cs="Simplified Arabic"/>
          <w:sz w:val="24"/>
          <w:szCs w:val="24"/>
          <w:rtl/>
          <w:lang w:val="en-US"/>
        </w:rPr>
        <w:t xml:space="preserve"> </w:t>
      </w:r>
      <w:r>
        <w:rPr>
          <w:rFonts w:ascii="Simplified Arabic" w:hAnsi="Simplified Arabic" w:cs="Simplified Arabic" w:hint="cs"/>
          <w:color w:val="000000"/>
          <w:sz w:val="24"/>
          <w:szCs w:val="24"/>
          <w:rtl/>
        </w:rPr>
        <w:t>المرافق</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العامة</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نسبة</w:t>
      </w:r>
      <w:r w:rsidRPr="006A1858">
        <w:rPr>
          <w:rFonts w:ascii="Simplified Arabic" w:hAnsi="Simplified Arabic" w:cs="Simplified Arabic"/>
          <w:sz w:val="24"/>
          <w:szCs w:val="24"/>
          <w:rtl/>
          <w:lang w:val="en-US"/>
        </w:rPr>
        <w:t xml:space="preserve"> 12٪ </w:t>
      </w:r>
      <w:r w:rsidRPr="006A1858">
        <w:rPr>
          <w:rFonts w:ascii="Simplified Arabic" w:hAnsi="Simplified Arabic" w:cs="Simplified Arabic" w:hint="cs"/>
          <w:sz w:val="24"/>
          <w:szCs w:val="24"/>
          <w:rtl/>
          <w:lang w:val="en-US"/>
        </w:rPr>
        <w:t>من</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إجمالي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مساحة</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المنطقة،</w:t>
      </w:r>
      <w:r w:rsidRPr="006A18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المقدرة بحوالي</w:t>
      </w:r>
      <w:r w:rsidRPr="006A1858">
        <w:rPr>
          <w:rFonts w:ascii="Simplified Arabic" w:hAnsi="Simplified Arabic" w:cs="Simplified Arabic"/>
          <w:sz w:val="24"/>
          <w:szCs w:val="24"/>
          <w:rtl/>
          <w:lang w:val="en-US"/>
        </w:rPr>
        <w:t xml:space="preserve"> 2.19 </w:t>
      </w:r>
      <w:r w:rsidRPr="006A1858">
        <w:rPr>
          <w:rFonts w:ascii="Simplified Arabic" w:hAnsi="Simplified Arabic" w:cs="Simplified Arabic" w:hint="cs"/>
          <w:sz w:val="24"/>
          <w:szCs w:val="24"/>
          <w:rtl/>
          <w:lang w:val="en-US"/>
        </w:rPr>
        <w:t>هكتار</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تحتل</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المساجد</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مساحة</w:t>
      </w:r>
      <w:r w:rsidRPr="006A1858">
        <w:rPr>
          <w:rFonts w:ascii="Simplified Arabic" w:hAnsi="Simplified Arabic" w:cs="Simplified Arabic"/>
          <w:sz w:val="24"/>
          <w:szCs w:val="24"/>
          <w:rtl/>
          <w:lang w:val="en-US"/>
        </w:rPr>
        <w:t xml:space="preserve"> 0.56 </w:t>
      </w:r>
      <w:r w:rsidRPr="006A1858">
        <w:rPr>
          <w:rFonts w:ascii="Simplified Arabic" w:hAnsi="Simplified Arabic" w:cs="Simplified Arabic" w:hint="cs"/>
          <w:sz w:val="24"/>
          <w:szCs w:val="24"/>
          <w:rtl/>
          <w:lang w:val="en-US"/>
        </w:rPr>
        <w:t>هكتار</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بشكل</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عام،</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نجد</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أن</w:t>
      </w:r>
      <w:r w:rsidRPr="006A1858">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الأرض</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من</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حيث</w:t>
      </w:r>
      <w:r w:rsidRPr="006A18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المرافق والخدمات</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في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منطقة</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القصر</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كاف</w:t>
      </w:r>
      <w:r>
        <w:rPr>
          <w:rFonts w:ascii="Simplified Arabic" w:hAnsi="Simplified Arabic" w:cs="Simplified Arabic" w:hint="cs"/>
          <w:sz w:val="24"/>
          <w:szCs w:val="24"/>
          <w:rtl/>
          <w:lang w:val="en-US"/>
        </w:rPr>
        <w:t>ية</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نسبيًا</w:t>
      </w:r>
      <w:r w:rsidRPr="006A18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ومتكيفة</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مع</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احتياجات</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المجتمع</w:t>
      </w:r>
      <w:r w:rsidRPr="006A1858">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من </w:t>
      </w:r>
      <w:r w:rsidRPr="006A1858">
        <w:rPr>
          <w:rFonts w:ascii="Simplified Arabic" w:hAnsi="Simplified Arabic" w:cs="Simplified Arabic" w:hint="cs"/>
          <w:sz w:val="24"/>
          <w:szCs w:val="24"/>
          <w:rtl/>
          <w:lang w:val="en-US"/>
        </w:rPr>
        <w:t>حيث</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التنوع،</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التي</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لا</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يزال</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يتعين</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التحقق</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من</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صحتها</w:t>
      </w:r>
      <w:r w:rsidRPr="006A1858">
        <w:rPr>
          <w:rFonts w:ascii="Simplified Arabic" w:hAnsi="Simplified Arabic" w:cs="Simplified Arabic"/>
          <w:sz w:val="24"/>
          <w:szCs w:val="24"/>
          <w:rtl/>
          <w:lang w:val="en-US"/>
        </w:rPr>
        <w:t xml:space="preserve"> </w:t>
      </w:r>
      <w:r w:rsidRPr="006A1858">
        <w:rPr>
          <w:rFonts w:ascii="Simplified Arabic" w:hAnsi="Simplified Arabic" w:cs="Simplified Arabic" w:hint="cs"/>
          <w:sz w:val="24"/>
          <w:szCs w:val="24"/>
          <w:rtl/>
          <w:lang w:val="en-US"/>
        </w:rPr>
        <w:t>لاحقًا</w:t>
      </w:r>
      <w:r w:rsidRPr="006A1858">
        <w:rPr>
          <w:rFonts w:ascii="Simplified Arabic" w:hAnsi="Simplified Arabic" w:cs="Simplified Arabic"/>
          <w:sz w:val="24"/>
          <w:szCs w:val="24"/>
          <w:rtl/>
          <w:lang w:val="en-US"/>
        </w:rPr>
        <w:t>.</w:t>
      </w:r>
    </w:p>
    <w:p w:rsidR="000635D8" w:rsidRPr="0056477F" w:rsidRDefault="000635D8" w:rsidP="001D0548">
      <w:pPr>
        <w:pStyle w:val="Paragraphedeliste"/>
        <w:numPr>
          <w:ilvl w:val="0"/>
          <w:numId w:val="2"/>
        </w:numPr>
        <w:bidi/>
        <w:spacing w:after="0"/>
        <w:ind w:left="0" w:firstLine="283"/>
        <w:jc w:val="both"/>
        <w:rPr>
          <w:rFonts w:ascii="Simplified Arabic" w:hAnsi="Simplified Arabic" w:cs="Simplified Arabic"/>
          <w:sz w:val="24"/>
          <w:szCs w:val="24"/>
          <w:lang w:val="en-US"/>
        </w:rPr>
      </w:pPr>
      <w:r>
        <w:rPr>
          <w:rFonts w:ascii="Simplified Arabic" w:hAnsi="Simplified Arabic" w:cs="Simplified Arabic" w:hint="cs"/>
          <w:b/>
          <w:bCs/>
          <w:sz w:val="24"/>
          <w:szCs w:val="24"/>
          <w:rtl/>
          <w:lang w:val="en-US"/>
        </w:rPr>
        <w:t>شبكة الطرق</w:t>
      </w:r>
      <w:r w:rsidRPr="0056477F">
        <w:rPr>
          <w:rFonts w:ascii="Simplified Arabic" w:hAnsi="Simplified Arabic" w:cs="Simplified Arabic"/>
          <w:b/>
          <w:bCs/>
          <w:sz w:val="24"/>
          <w:szCs w:val="24"/>
          <w:rtl/>
          <w:lang w:val="en-US"/>
        </w:rPr>
        <w:t xml:space="preserve"> </w:t>
      </w:r>
    </w:p>
    <w:p w:rsidR="00F708F8" w:rsidRPr="00F708F8" w:rsidRDefault="000635D8" w:rsidP="009C43FD">
      <w:pPr>
        <w:bidi/>
        <w:spacing w:after="0"/>
        <w:ind w:firstLine="283"/>
        <w:jc w:val="both"/>
        <w:rPr>
          <w:rFonts w:ascii="Simplified Arabic" w:hAnsi="Simplified Arabic" w:cs="Simplified Arabic"/>
          <w:sz w:val="24"/>
          <w:szCs w:val="24"/>
          <w:rtl/>
          <w:lang w:val="en-US"/>
        </w:rPr>
      </w:pPr>
      <w:r w:rsidRPr="00F708F8">
        <w:rPr>
          <w:rFonts w:ascii="Simplified Arabic" w:hAnsi="Simplified Arabic" w:cs="Simplified Arabic" w:hint="cs"/>
          <w:sz w:val="24"/>
          <w:szCs w:val="24"/>
          <w:rtl/>
          <w:lang w:val="en-US"/>
        </w:rPr>
        <w:t>المساحة</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غير</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المبنية،</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المتمثلة</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في الطرق،</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الساحات، مواقف</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السيارات</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والمساحات</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الخضراء</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تشغل</w:t>
      </w:r>
      <w:r w:rsidRPr="00F708F8">
        <w:rPr>
          <w:rFonts w:ascii="Simplified Arabic" w:hAnsi="Simplified Arabic" w:cs="Simplified Arabic"/>
          <w:sz w:val="24"/>
          <w:szCs w:val="24"/>
          <w:rtl/>
          <w:lang w:val="en-US"/>
        </w:rPr>
        <w:t xml:space="preserve"> 42٪ </w:t>
      </w:r>
      <w:r w:rsidRPr="00F708F8">
        <w:rPr>
          <w:rFonts w:ascii="Simplified Arabic" w:hAnsi="Simplified Arabic" w:cs="Simplified Arabic" w:hint="cs"/>
          <w:sz w:val="24"/>
          <w:szCs w:val="24"/>
          <w:rtl/>
          <w:lang w:val="en-US"/>
        </w:rPr>
        <w:t>من</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المساحة</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الكلية،</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مما</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يدل</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على</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أن</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النسيج</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الحضري</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للقصر</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متراص</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ومكثف</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من</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حيث</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البناء</w:t>
      </w:r>
      <w:r w:rsidR="009C43FD">
        <w:rPr>
          <w:rFonts w:ascii="Simplified Arabic" w:hAnsi="Simplified Arabic" w:cs="Simplified Arabic"/>
          <w:sz w:val="24"/>
          <w:szCs w:val="24"/>
          <w:rtl/>
          <w:lang w:val="en-US"/>
        </w:rPr>
        <w:t>.</w:t>
      </w:r>
    </w:p>
    <w:p w:rsidR="000635D8" w:rsidRDefault="003F6961" w:rsidP="002161B2">
      <w:pPr>
        <w:bidi/>
        <w:spacing w:after="0"/>
        <w:ind w:firstLine="283"/>
        <w:jc w:val="both"/>
        <w:rPr>
          <w:rFonts w:ascii="Simplified Arabic" w:hAnsi="Simplified Arabic" w:cs="Simplified Arabic"/>
          <w:sz w:val="24"/>
          <w:szCs w:val="24"/>
          <w:rtl/>
          <w:lang w:val="en-US"/>
        </w:rPr>
      </w:pPr>
      <w:r w:rsidRPr="00F708F8">
        <w:rPr>
          <w:rFonts w:ascii="Simplified Arabic" w:hAnsi="Simplified Arabic" w:cs="Simplified Arabic" w:hint="cs"/>
          <w:sz w:val="24"/>
          <w:szCs w:val="24"/>
          <w:rtl/>
          <w:lang w:val="en-US"/>
        </w:rPr>
        <w:t>يوضح</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هذا</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التحليل</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أن</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شبكة</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الطرق</w:t>
      </w:r>
      <w:r w:rsidRPr="00F708F8">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لها</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هيكل</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حضري</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غير</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منتظم</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تخدمه</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شبكة</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من</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الطرق</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الداخلية</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الشوارع</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والأزقة</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والطرق</w:t>
      </w:r>
      <w:r w:rsidR="00F708F8" w:rsidRPr="009B3B72">
        <w:rPr>
          <w:rFonts w:ascii="Simplified Arabic" w:hAnsi="Simplified Arabic" w:cs="Simplified Arabic"/>
          <w:sz w:val="24"/>
          <w:szCs w:val="24"/>
          <w:rtl/>
          <w:lang w:val="en-US"/>
        </w:rPr>
        <w:t xml:space="preserve"> </w:t>
      </w:r>
      <w:r w:rsidR="00F708F8" w:rsidRPr="009B3B72">
        <w:rPr>
          <w:rFonts w:ascii="Simplified Arabic" w:hAnsi="Simplified Arabic" w:cs="Simplified Arabic" w:hint="cs"/>
          <w:sz w:val="24"/>
          <w:szCs w:val="24"/>
          <w:rtl/>
          <w:lang w:val="en-US"/>
        </w:rPr>
        <w:t>المسدودة</w:t>
      </w:r>
      <w:r w:rsidR="00F708F8" w:rsidRPr="009B3B72">
        <w:rPr>
          <w:rFonts w:ascii="Simplified Arabic" w:hAnsi="Simplified Arabic" w:cs="Simplified Arabic"/>
          <w:sz w:val="24"/>
          <w:szCs w:val="24"/>
          <w:rtl/>
          <w:lang w:val="en-US"/>
        </w:rPr>
        <w:t>)</w:t>
      </w:r>
      <w:r w:rsidR="00F708F8">
        <w:rPr>
          <w:rFonts w:ascii="Simplified Arabic" w:hAnsi="Simplified Arabic" w:cs="Simplified Arabic" w:hint="cs"/>
          <w:sz w:val="24"/>
          <w:szCs w:val="24"/>
          <w:rtl/>
          <w:lang w:val="en-US"/>
        </w:rPr>
        <w:t xml:space="preserve">، </w:t>
      </w:r>
      <w:r w:rsidRPr="00F708F8">
        <w:rPr>
          <w:rFonts w:ascii="Simplified Arabic" w:hAnsi="Simplified Arabic" w:cs="Simplified Arabic" w:hint="cs"/>
          <w:sz w:val="24"/>
          <w:szCs w:val="24"/>
          <w:rtl/>
          <w:lang w:val="en-US"/>
        </w:rPr>
        <w:t>لم</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تعد</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تتكيف</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مع</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 xml:space="preserve">الظروف الاقتصادية بسبب </w:t>
      </w:r>
      <w:r w:rsidR="00F708F8">
        <w:rPr>
          <w:rFonts w:ascii="Simplified Arabic" w:hAnsi="Simplified Arabic" w:cs="Simplified Arabic" w:hint="cs"/>
          <w:sz w:val="24"/>
          <w:szCs w:val="24"/>
          <w:rtl/>
          <w:lang w:val="en-US"/>
        </w:rPr>
        <w:t>ان</w:t>
      </w:r>
      <w:r w:rsidRPr="00F708F8">
        <w:rPr>
          <w:rFonts w:ascii="Simplified Arabic" w:hAnsi="Simplified Arabic" w:cs="Simplified Arabic"/>
          <w:sz w:val="24"/>
          <w:szCs w:val="24"/>
          <w:rtl/>
          <w:lang w:val="en-US"/>
        </w:rPr>
        <w:t xml:space="preserve"> </w:t>
      </w:r>
      <w:r w:rsidR="00F708F8">
        <w:rPr>
          <w:rFonts w:ascii="Simplified Arabic" w:hAnsi="Simplified Arabic" w:cs="Simplified Arabic" w:hint="cs"/>
          <w:sz w:val="24"/>
          <w:szCs w:val="24"/>
          <w:rtl/>
          <w:lang w:val="en-US"/>
        </w:rPr>
        <w:t>ال</w:t>
      </w:r>
      <w:r w:rsidR="00F708F8" w:rsidRPr="00D25CC7">
        <w:rPr>
          <w:rFonts w:ascii="Simplified Arabic" w:hAnsi="Simplified Arabic" w:cs="Simplified Arabic"/>
          <w:sz w:val="24"/>
          <w:szCs w:val="24"/>
          <w:rtl/>
          <w:lang w:val="en-US"/>
        </w:rPr>
        <w:t xml:space="preserve">شوارع </w:t>
      </w:r>
      <w:r w:rsidR="00F708F8">
        <w:rPr>
          <w:rFonts w:ascii="Simplified Arabic" w:hAnsi="Simplified Arabic" w:cs="Simplified Arabic" w:hint="cs"/>
          <w:sz w:val="24"/>
          <w:szCs w:val="24"/>
          <w:rtl/>
          <w:lang w:val="en-US"/>
        </w:rPr>
        <w:t>والازقة تتميّز بال</w:t>
      </w:r>
      <w:r w:rsidR="00F708F8" w:rsidRPr="00D25CC7">
        <w:rPr>
          <w:rFonts w:ascii="Simplified Arabic" w:hAnsi="Simplified Arabic" w:cs="Simplified Arabic"/>
          <w:sz w:val="24"/>
          <w:szCs w:val="24"/>
          <w:rtl/>
          <w:lang w:val="en-US"/>
        </w:rPr>
        <w:t>ضيق و</w:t>
      </w:r>
      <w:r w:rsidR="00F708F8">
        <w:rPr>
          <w:rFonts w:ascii="Simplified Arabic" w:hAnsi="Simplified Arabic" w:cs="Simplified Arabic" w:hint="cs"/>
          <w:sz w:val="24"/>
          <w:szCs w:val="24"/>
          <w:rtl/>
          <w:lang w:val="en-US"/>
        </w:rPr>
        <w:t>ال</w:t>
      </w:r>
      <w:r w:rsidR="00F708F8" w:rsidRPr="00D25CC7">
        <w:rPr>
          <w:rFonts w:ascii="Simplified Arabic" w:hAnsi="Simplified Arabic" w:cs="Simplified Arabic"/>
          <w:sz w:val="24"/>
          <w:szCs w:val="24"/>
          <w:rtl/>
          <w:lang w:val="en-US"/>
        </w:rPr>
        <w:t>تعرج التي تزدحم بأنشطة الحياة اليومية</w:t>
      </w:r>
      <w:r w:rsidR="00F708F8" w:rsidRPr="00F708F8">
        <w:rPr>
          <w:rFonts w:ascii="Simplified Arabic" w:hAnsi="Simplified Arabic" w:cs="Simplified Arabic" w:hint="cs"/>
          <w:sz w:val="24"/>
          <w:szCs w:val="24"/>
          <w:rtl/>
          <w:lang w:val="en-US"/>
        </w:rPr>
        <w:t xml:space="preserve"> </w:t>
      </w:r>
      <w:r w:rsidR="00F708F8">
        <w:rPr>
          <w:rFonts w:ascii="Simplified Arabic" w:hAnsi="Simplified Arabic" w:cs="Simplified Arabic" w:hint="cs"/>
          <w:sz w:val="24"/>
          <w:szCs w:val="24"/>
          <w:rtl/>
          <w:lang w:val="en-US"/>
        </w:rPr>
        <w:t xml:space="preserve">ومع الظروف </w:t>
      </w:r>
      <w:r w:rsidRPr="00F708F8">
        <w:rPr>
          <w:rFonts w:ascii="Simplified Arabic" w:hAnsi="Simplified Arabic" w:cs="Simplified Arabic" w:hint="cs"/>
          <w:sz w:val="24"/>
          <w:szCs w:val="24"/>
          <w:rtl/>
          <w:lang w:val="en-US"/>
        </w:rPr>
        <w:t>المناخية</w:t>
      </w:r>
      <w:r w:rsidRPr="00F708F8">
        <w:rPr>
          <w:rFonts w:ascii="Simplified Arabic" w:hAnsi="Simplified Arabic" w:cs="Simplified Arabic"/>
          <w:sz w:val="24"/>
          <w:szCs w:val="24"/>
          <w:rtl/>
          <w:lang w:val="en-US"/>
        </w:rPr>
        <w:t xml:space="preserve"> </w:t>
      </w:r>
      <w:r w:rsidR="00F708F8">
        <w:rPr>
          <w:rFonts w:ascii="Simplified Arabic" w:hAnsi="Simplified Arabic" w:cs="Simplified Arabic" w:hint="cs"/>
          <w:sz w:val="24"/>
          <w:szCs w:val="24"/>
          <w:rtl/>
          <w:lang w:val="en-US"/>
        </w:rPr>
        <w:t xml:space="preserve">بسبب </w:t>
      </w:r>
      <w:r w:rsidRPr="00F708F8">
        <w:rPr>
          <w:rFonts w:ascii="Simplified Arabic" w:hAnsi="Simplified Arabic" w:cs="Simplified Arabic" w:hint="cs"/>
          <w:sz w:val="24"/>
          <w:szCs w:val="24"/>
          <w:rtl/>
          <w:lang w:val="en-US"/>
        </w:rPr>
        <w:t>غمر شبكة الطرق بمياه سيلان الامطار،</w:t>
      </w:r>
      <w:r w:rsidRPr="00F708F8">
        <w:rPr>
          <w:rFonts w:ascii="Simplified Arabic" w:hAnsi="Simplified Arabic" w:cs="Simplified Arabic"/>
          <w:sz w:val="24"/>
          <w:szCs w:val="24"/>
          <w:rtl/>
          <w:lang w:val="en-US"/>
        </w:rPr>
        <w:t xml:space="preserve"> </w:t>
      </w:r>
      <w:r w:rsidRPr="00F708F8">
        <w:rPr>
          <w:rFonts w:ascii="Simplified Arabic" w:hAnsi="Simplified Arabic" w:cs="Simplified Arabic" w:hint="cs"/>
          <w:sz w:val="24"/>
          <w:szCs w:val="24"/>
          <w:rtl/>
          <w:lang w:val="en-US"/>
        </w:rPr>
        <w:t xml:space="preserve">مما يؤدي الى الاختناق المروري </w:t>
      </w:r>
      <w:r w:rsidR="00F708F8">
        <w:rPr>
          <w:rFonts w:ascii="Simplified Arabic" w:hAnsi="Simplified Arabic" w:cs="Simplified Arabic" w:hint="cs"/>
          <w:sz w:val="24"/>
          <w:szCs w:val="24"/>
          <w:rtl/>
          <w:lang w:val="en-US"/>
        </w:rPr>
        <w:t>واضطراب ن</w:t>
      </w:r>
      <w:r w:rsidRPr="00F708F8">
        <w:rPr>
          <w:rFonts w:ascii="Simplified Arabic" w:hAnsi="Simplified Arabic" w:cs="Simplified Arabic" w:hint="cs"/>
          <w:sz w:val="24"/>
          <w:szCs w:val="24"/>
          <w:rtl/>
          <w:lang w:val="en-US"/>
        </w:rPr>
        <w:t>ظ</w:t>
      </w:r>
      <w:r w:rsidR="00F708F8">
        <w:rPr>
          <w:rFonts w:ascii="Simplified Arabic" w:hAnsi="Simplified Arabic" w:cs="Simplified Arabic" w:hint="cs"/>
          <w:sz w:val="24"/>
          <w:szCs w:val="24"/>
          <w:rtl/>
          <w:lang w:val="en-US"/>
        </w:rPr>
        <w:t>ا</w:t>
      </w:r>
      <w:r w:rsidRPr="00F708F8">
        <w:rPr>
          <w:rFonts w:ascii="Simplified Arabic" w:hAnsi="Simplified Arabic" w:cs="Simplified Arabic" w:hint="cs"/>
          <w:sz w:val="24"/>
          <w:szCs w:val="24"/>
          <w:rtl/>
          <w:lang w:val="en-US"/>
        </w:rPr>
        <w:t>م التنقل حتى في الحالة العادية</w:t>
      </w:r>
      <w:r w:rsidRPr="00F708F8">
        <w:rPr>
          <w:rFonts w:ascii="Simplified Arabic" w:hAnsi="Simplified Arabic" w:cs="Simplified Arabic"/>
          <w:sz w:val="24"/>
          <w:szCs w:val="24"/>
          <w:rtl/>
          <w:lang w:val="en-US"/>
        </w:rPr>
        <w:t>.</w:t>
      </w:r>
      <w:r w:rsidRPr="00F708F8">
        <w:rPr>
          <w:rFonts w:ascii="Simplified Arabic" w:hAnsi="Simplified Arabic" w:cs="Simplified Arabic" w:hint="cs"/>
          <w:sz w:val="24"/>
          <w:szCs w:val="24"/>
          <w:rtl/>
          <w:lang w:val="en-US"/>
        </w:rPr>
        <w:t xml:space="preserve"> </w:t>
      </w:r>
    </w:p>
    <w:p w:rsidR="000635D8" w:rsidRDefault="000635D8" w:rsidP="00ED1C8F">
      <w:pPr>
        <w:pStyle w:val="fegure"/>
        <w:rPr>
          <w:szCs w:val="24"/>
          <w:rtl/>
        </w:rPr>
      </w:pPr>
      <w:bookmarkStart w:id="582" w:name="_Toc157608328"/>
      <w:bookmarkStart w:id="583" w:name="_Toc171803627"/>
      <w:r w:rsidRPr="00ED1C8F">
        <w:rPr>
          <w:rFonts w:hint="cs"/>
          <w:szCs w:val="24"/>
          <w:rtl/>
        </w:rPr>
        <w:t xml:space="preserve">الشكل </w:t>
      </w:r>
      <w:r w:rsidR="00097583" w:rsidRPr="00ED1C8F">
        <w:rPr>
          <w:rFonts w:hint="cs"/>
          <w:szCs w:val="24"/>
          <w:rtl/>
        </w:rPr>
        <w:t>(4-5)</w:t>
      </w:r>
      <w:r w:rsidRPr="00ED1C8F">
        <w:rPr>
          <w:szCs w:val="24"/>
          <w:rtl/>
        </w:rPr>
        <w:t>:</w:t>
      </w:r>
      <w:r w:rsidRPr="00ED1C8F">
        <w:rPr>
          <w:rFonts w:hint="cs"/>
          <w:szCs w:val="24"/>
          <w:rtl/>
        </w:rPr>
        <w:t xml:space="preserve"> فئة النسيج الحضري</w:t>
      </w:r>
      <w:r w:rsidRPr="00ED1C8F">
        <w:rPr>
          <w:szCs w:val="24"/>
          <w:rtl/>
        </w:rPr>
        <w:t xml:space="preserve"> </w:t>
      </w:r>
      <w:r w:rsidRPr="00ED1C8F">
        <w:rPr>
          <w:rFonts w:hint="cs"/>
          <w:szCs w:val="24"/>
          <w:rtl/>
        </w:rPr>
        <w:t>القديم</w:t>
      </w:r>
      <w:r w:rsidR="00D86155" w:rsidRPr="00ED1C8F">
        <w:rPr>
          <w:rFonts w:hint="cs"/>
          <w:szCs w:val="24"/>
          <w:rtl/>
        </w:rPr>
        <w:t xml:space="preserve"> </w:t>
      </w:r>
      <w:r w:rsidR="00D86155" w:rsidRPr="00ED1C8F">
        <w:rPr>
          <w:rFonts w:hint="cs"/>
          <w:b/>
          <w:szCs w:val="24"/>
          <w:rtl/>
        </w:rPr>
        <w:t>(أ)</w:t>
      </w:r>
      <w:r w:rsidRPr="00ED1C8F">
        <w:rPr>
          <w:rFonts w:hint="cs"/>
          <w:szCs w:val="24"/>
          <w:rtl/>
        </w:rPr>
        <w:t xml:space="preserve"> (قصر بوسعادة)</w:t>
      </w:r>
      <w:bookmarkEnd w:id="582"/>
      <w:bookmarkEnd w:id="583"/>
    </w:p>
    <w:p w:rsidR="006B38DD" w:rsidRPr="006B38DD" w:rsidRDefault="006B38DD" w:rsidP="006B38DD">
      <w:pPr>
        <w:pStyle w:val="fegure"/>
        <w:rPr>
          <w:sz w:val="8"/>
          <w:szCs w:val="24"/>
          <w:lang w:val="en-US"/>
        </w:rPr>
      </w:pPr>
      <w:bookmarkStart w:id="584" w:name="_Toc171803628"/>
      <w:r>
        <w:rPr>
          <w:rFonts w:hint="cs"/>
          <w:sz w:val="8"/>
          <w:szCs w:val="24"/>
          <w:rtl/>
          <w:lang w:val="en-US"/>
        </w:rPr>
        <w:t xml:space="preserve">المصدر: </w:t>
      </w:r>
      <w:r w:rsidRPr="00876E26">
        <w:rPr>
          <w:sz w:val="8"/>
          <w:szCs w:val="24"/>
          <w:rtl/>
          <w:lang w:val="en-US"/>
        </w:rPr>
        <w:t>(</w:t>
      </w:r>
      <w:r w:rsidRPr="00876E26">
        <w:rPr>
          <w:rFonts w:asciiTheme="majorBidi" w:hAnsiTheme="majorBidi" w:cstheme="majorBidi"/>
          <w:lang w:val="en-US"/>
        </w:rPr>
        <w:t>U.R.B.A, 2007</w:t>
      </w:r>
      <w:r w:rsidRPr="00876E26">
        <w:rPr>
          <w:sz w:val="8"/>
          <w:szCs w:val="24"/>
          <w:rtl/>
          <w:lang w:val="en-US"/>
        </w:rPr>
        <w:t>)</w:t>
      </w:r>
      <w:r>
        <w:rPr>
          <w:rFonts w:hint="cs"/>
          <w:sz w:val="8"/>
          <w:szCs w:val="24"/>
          <w:rtl/>
          <w:lang w:val="en-US"/>
        </w:rPr>
        <w:t xml:space="preserve"> +</w:t>
      </w:r>
      <w:r w:rsidRPr="00876E26">
        <w:rPr>
          <w:rFonts w:hint="cs"/>
          <w:sz w:val="8"/>
          <w:szCs w:val="24"/>
          <w:rtl/>
          <w:lang w:val="en-US"/>
        </w:rPr>
        <w:t xml:space="preserve"> </w:t>
      </w:r>
      <w:r>
        <w:rPr>
          <w:rFonts w:hint="cs"/>
          <w:sz w:val="8"/>
          <w:szCs w:val="24"/>
          <w:rtl/>
          <w:lang w:val="en-US"/>
        </w:rPr>
        <w:t>معالجة (الباحث، 2022)</w:t>
      </w:r>
      <w:bookmarkEnd w:id="584"/>
    </w:p>
    <w:p w:rsidR="000635D8" w:rsidRDefault="000635D8" w:rsidP="009C43FD">
      <w:pPr>
        <w:tabs>
          <w:tab w:val="left" w:pos="3679"/>
        </w:tabs>
        <w:bidi/>
        <w:spacing w:after="0"/>
        <w:jc w:val="center"/>
        <w:rPr>
          <w:rFonts w:asciiTheme="minorBidi" w:hAnsiTheme="minorBidi" w:cs="Arial"/>
          <w:sz w:val="28"/>
          <w:szCs w:val="28"/>
          <w:rtl/>
          <w:lang w:val="en-US"/>
        </w:rPr>
      </w:pPr>
      <w:r>
        <w:rPr>
          <w:noProof/>
          <w:lang w:eastAsia="fr-FR"/>
        </w:rPr>
        <w:drawing>
          <wp:inline distT="0" distB="0" distL="0" distR="0" wp14:anchorId="42032D5A" wp14:editId="0EEFA712">
            <wp:extent cx="2803459" cy="2835254"/>
            <wp:effectExtent l="0" t="0" r="0" b="3810"/>
            <wp:docPr id="183" name="Imag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a:extLst>
                        <a:ext uri="{BEBA8EAE-BF5A-486C-A8C5-ECC9F3942E4B}">
                          <a14:imgProps xmlns:a14="http://schemas.microsoft.com/office/drawing/2010/main">
                            <a14:imgLayer r:embed="rId91">
                              <a14:imgEffect>
                                <a14:sharpenSoften amount="50000"/>
                              </a14:imgEffect>
                              <a14:imgEffect>
                                <a14:saturation sat="0"/>
                              </a14:imgEffect>
                            </a14:imgLayer>
                          </a14:imgProps>
                        </a:ext>
                      </a:extLst>
                    </a:blip>
                    <a:stretch>
                      <a:fillRect/>
                    </a:stretch>
                  </pic:blipFill>
                  <pic:spPr>
                    <a:xfrm>
                      <a:off x="0" y="0"/>
                      <a:ext cx="2844386" cy="2876645"/>
                    </a:xfrm>
                    <a:prstGeom prst="rect">
                      <a:avLst/>
                    </a:prstGeom>
                  </pic:spPr>
                </pic:pic>
              </a:graphicData>
            </a:graphic>
          </wp:inline>
        </w:drawing>
      </w:r>
    </w:p>
    <w:p w:rsidR="000635D8" w:rsidRPr="00E11355" w:rsidRDefault="000635D8" w:rsidP="001D0548">
      <w:pPr>
        <w:pStyle w:val="Paragraphedeliste"/>
        <w:numPr>
          <w:ilvl w:val="3"/>
          <w:numId w:val="231"/>
        </w:numPr>
        <w:tabs>
          <w:tab w:val="right" w:pos="1134"/>
        </w:tabs>
        <w:bidi/>
        <w:spacing w:after="0"/>
        <w:ind w:left="0" w:firstLine="0"/>
        <w:jc w:val="both"/>
        <w:outlineLvl w:val="2"/>
        <w:rPr>
          <w:rFonts w:ascii="Simplified Arabic" w:hAnsi="Simplified Arabic" w:cs="Simplified Arabic"/>
          <w:b/>
          <w:bCs/>
          <w:sz w:val="24"/>
          <w:szCs w:val="24"/>
        </w:rPr>
      </w:pPr>
      <w:bookmarkStart w:id="585" w:name="_Toc171803629"/>
      <w:r w:rsidRPr="00E11355">
        <w:rPr>
          <w:rFonts w:ascii="Simplified Arabic" w:hAnsi="Simplified Arabic" w:cs="Simplified Arabic" w:hint="cs"/>
          <w:b/>
          <w:bCs/>
          <w:sz w:val="24"/>
          <w:szCs w:val="24"/>
          <w:rtl/>
        </w:rPr>
        <w:lastRenderedPageBreak/>
        <w:t>فئة النسيج الحضري الاستيطاني</w:t>
      </w:r>
      <w:r w:rsidR="00283D00" w:rsidRPr="00E11355">
        <w:rPr>
          <w:rFonts w:ascii="Simplified Arabic" w:hAnsi="Simplified Arabic" w:cs="Simplified Arabic" w:hint="cs"/>
          <w:b/>
          <w:bCs/>
          <w:sz w:val="24"/>
          <w:szCs w:val="24"/>
          <w:rtl/>
        </w:rPr>
        <w:t xml:space="preserve"> (</w:t>
      </w:r>
      <w:r w:rsidR="00283D00" w:rsidRPr="00E11355">
        <w:rPr>
          <w:rFonts w:ascii="Simplified Arabic" w:hAnsi="Simplified Arabic" w:cs="Simplified Arabic"/>
          <w:b/>
          <w:bCs/>
          <w:sz w:val="24"/>
          <w:szCs w:val="24"/>
          <w:rtl/>
        </w:rPr>
        <w:t>ب</w:t>
      </w:r>
      <w:r w:rsidR="00283D00" w:rsidRPr="00E11355">
        <w:rPr>
          <w:rFonts w:ascii="Simplified Arabic" w:hAnsi="Simplified Arabic" w:cs="Simplified Arabic" w:hint="cs"/>
          <w:b/>
          <w:bCs/>
          <w:sz w:val="24"/>
          <w:szCs w:val="24"/>
          <w:rtl/>
        </w:rPr>
        <w:t>)</w:t>
      </w:r>
      <w:r w:rsidRPr="00E11355">
        <w:rPr>
          <w:rFonts w:ascii="Simplified Arabic" w:hAnsi="Simplified Arabic" w:cs="Simplified Arabic" w:hint="cs"/>
          <w:b/>
          <w:bCs/>
          <w:sz w:val="24"/>
          <w:szCs w:val="24"/>
          <w:rtl/>
        </w:rPr>
        <w:t>:</w:t>
      </w:r>
      <w:bookmarkEnd w:id="585"/>
    </w:p>
    <w:p w:rsidR="000635D8" w:rsidRDefault="000635D8" w:rsidP="004D6FB3">
      <w:pPr>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ي</w:t>
      </w:r>
      <w:r w:rsidRPr="00D25CC7">
        <w:rPr>
          <w:rFonts w:ascii="Simplified Arabic" w:hAnsi="Simplified Arabic" w:cs="Simplified Arabic"/>
          <w:sz w:val="24"/>
          <w:szCs w:val="24"/>
          <w:rtl/>
          <w:lang w:val="en-US"/>
        </w:rPr>
        <w:t xml:space="preserve">مثل </w:t>
      </w:r>
      <w:r>
        <w:rPr>
          <w:rFonts w:ascii="Simplified Arabic" w:hAnsi="Simplified Arabic" w:cs="Simplified Arabic" w:hint="cs"/>
          <w:sz w:val="24"/>
          <w:szCs w:val="24"/>
          <w:rtl/>
          <w:lang w:val="en-US"/>
        </w:rPr>
        <w:t>الحي الاستيطاني</w:t>
      </w:r>
      <w:r w:rsidRPr="00D25CC7">
        <w:rPr>
          <w:rFonts w:ascii="Simplified Arabic" w:hAnsi="Simplified Arabic" w:cs="Simplified Arabic"/>
          <w:sz w:val="24"/>
          <w:szCs w:val="24"/>
          <w:rtl/>
          <w:lang w:val="en-US"/>
        </w:rPr>
        <w:t xml:space="preserve"> </w:t>
      </w:r>
      <w:r w:rsidRPr="001F1ACC">
        <w:rPr>
          <w:rFonts w:asciiTheme="majorBidi" w:hAnsiTheme="majorBidi" w:cstheme="majorBidi"/>
          <w:sz w:val="24"/>
          <w:szCs w:val="24"/>
          <w:rtl/>
          <w:lang w:val="en-US"/>
        </w:rPr>
        <w:t>(</w:t>
      </w:r>
      <w:r>
        <w:rPr>
          <w:rFonts w:asciiTheme="majorBidi" w:hAnsiTheme="majorBidi" w:cstheme="majorBidi"/>
          <w:sz w:val="24"/>
          <w:szCs w:val="24"/>
          <w:lang w:val="en-US"/>
        </w:rPr>
        <w:t xml:space="preserve">Quartier </w:t>
      </w:r>
      <w:r w:rsidRPr="001F1ACC">
        <w:rPr>
          <w:rFonts w:asciiTheme="majorBidi" w:hAnsiTheme="majorBidi" w:cstheme="majorBidi"/>
          <w:sz w:val="24"/>
          <w:szCs w:val="24"/>
        </w:rPr>
        <w:t>Européen</w:t>
      </w:r>
      <w:r w:rsidRPr="001F1ACC">
        <w:rPr>
          <w:rFonts w:asciiTheme="majorBidi" w:hAnsiTheme="majorBidi" w:cstheme="majorBidi"/>
          <w:sz w:val="24"/>
          <w:szCs w:val="24"/>
          <w:rtl/>
          <w:lang w:val="en-US"/>
        </w:rPr>
        <w:t>)</w:t>
      </w:r>
      <w:r>
        <w:rPr>
          <w:rFonts w:asciiTheme="majorBidi" w:hAnsiTheme="majorBidi" w:cstheme="majorBidi"/>
          <w:sz w:val="24"/>
          <w:szCs w:val="24"/>
          <w:lang w:val="en-US"/>
        </w:rPr>
        <w:t xml:space="preserve"> </w:t>
      </w:r>
      <w:r w:rsidRPr="00D25CC7">
        <w:rPr>
          <w:rFonts w:ascii="Simplified Arabic" w:hAnsi="Simplified Arabic" w:cs="Simplified Arabic"/>
          <w:sz w:val="24"/>
          <w:szCs w:val="24"/>
          <w:rtl/>
          <w:lang w:val="en-US"/>
        </w:rPr>
        <w:t xml:space="preserve">أو </w:t>
      </w:r>
      <w:r>
        <w:rPr>
          <w:rFonts w:ascii="Simplified Arabic" w:hAnsi="Simplified Arabic" w:cs="Simplified Arabic" w:hint="cs"/>
          <w:sz w:val="24"/>
          <w:szCs w:val="24"/>
          <w:rtl/>
          <w:lang w:val="en-US"/>
        </w:rPr>
        <w:t>حي بلاطو</w:t>
      </w:r>
      <w:r w:rsidRPr="00D25CC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1F1ACC">
        <w:rPr>
          <w:rFonts w:asciiTheme="majorBidi" w:hAnsiTheme="majorBidi" w:cstheme="majorBidi"/>
          <w:sz w:val="24"/>
          <w:szCs w:val="24"/>
        </w:rPr>
        <w:t>plateau</w:t>
      </w:r>
      <w:r>
        <w:rPr>
          <w:rFonts w:ascii="Simplified Arabic" w:hAnsi="Simplified Arabic" w:cs="Simplified Arabic" w:hint="cs"/>
          <w:sz w:val="24"/>
          <w:szCs w:val="24"/>
          <w:rtl/>
          <w:lang w:val="en-US"/>
        </w:rPr>
        <w:t xml:space="preserve">) </w:t>
      </w:r>
      <w:r w:rsidRPr="00D25CC7">
        <w:rPr>
          <w:rFonts w:ascii="Simplified Arabic" w:hAnsi="Simplified Arabic" w:cs="Simplified Arabic"/>
          <w:sz w:val="24"/>
          <w:szCs w:val="24"/>
          <w:rtl/>
          <w:lang w:val="en-US"/>
        </w:rPr>
        <w:t xml:space="preserve">مع جزء من </w:t>
      </w:r>
      <w:r>
        <w:rPr>
          <w:rFonts w:ascii="Simplified Arabic" w:hAnsi="Simplified Arabic" w:cs="Simplified Arabic" w:hint="cs"/>
          <w:sz w:val="24"/>
          <w:szCs w:val="24"/>
          <w:rtl/>
          <w:lang w:val="en-US"/>
        </w:rPr>
        <w:t>حي</w:t>
      </w:r>
      <w:r w:rsidRPr="00D25CC7">
        <w:rPr>
          <w:rFonts w:ascii="Simplified Arabic" w:hAnsi="Simplified Arabic" w:cs="Simplified Arabic"/>
          <w:sz w:val="24"/>
          <w:szCs w:val="24"/>
          <w:rtl/>
          <w:lang w:val="en-US"/>
        </w:rPr>
        <w:t xml:space="preserve"> سطيح المرحلة الثانية من تطور مدينة بوسع</w:t>
      </w:r>
      <w:r>
        <w:rPr>
          <w:rFonts w:ascii="Simplified Arabic" w:hAnsi="Simplified Arabic" w:cs="Simplified Arabic" w:hint="cs"/>
          <w:sz w:val="24"/>
          <w:szCs w:val="24"/>
          <w:rtl/>
          <w:lang w:val="en-US"/>
        </w:rPr>
        <w:t>ا</w:t>
      </w:r>
      <w:r w:rsidRPr="00D25CC7">
        <w:rPr>
          <w:rFonts w:ascii="Simplified Arabic" w:hAnsi="Simplified Arabic" w:cs="Simplified Arabic"/>
          <w:sz w:val="24"/>
          <w:szCs w:val="24"/>
          <w:rtl/>
          <w:lang w:val="en-US"/>
        </w:rPr>
        <w:t>د</w:t>
      </w:r>
      <w:r>
        <w:rPr>
          <w:rFonts w:ascii="Simplified Arabic" w:hAnsi="Simplified Arabic" w:cs="Simplified Arabic" w:hint="cs"/>
          <w:sz w:val="24"/>
          <w:szCs w:val="24"/>
          <w:rtl/>
          <w:lang w:val="en-US"/>
        </w:rPr>
        <w:t>ة،</w:t>
      </w:r>
      <w:r w:rsidRPr="00D25CC7">
        <w:rPr>
          <w:rFonts w:ascii="Simplified Arabic" w:hAnsi="Simplified Arabic" w:cs="Simplified Arabic"/>
          <w:sz w:val="24"/>
          <w:szCs w:val="24"/>
          <w:rtl/>
          <w:lang w:val="en-US"/>
        </w:rPr>
        <w:t xml:space="preserve"> وهي مرحلة </w:t>
      </w:r>
      <w:r>
        <w:rPr>
          <w:rFonts w:ascii="Simplified Arabic" w:hAnsi="Simplified Arabic" w:cs="Simplified Arabic" w:hint="cs"/>
          <w:sz w:val="24"/>
          <w:szCs w:val="24"/>
          <w:rtl/>
          <w:lang w:val="en-US"/>
        </w:rPr>
        <w:t>الهيمنة</w:t>
      </w:r>
      <w:r w:rsidRPr="00D25CC7">
        <w:rPr>
          <w:rFonts w:ascii="Simplified Arabic" w:hAnsi="Simplified Arabic" w:cs="Simplified Arabic"/>
          <w:sz w:val="24"/>
          <w:szCs w:val="24"/>
          <w:rtl/>
          <w:lang w:val="en-US"/>
        </w:rPr>
        <w:t xml:space="preserve"> الفرنسي</w:t>
      </w:r>
      <w:r>
        <w:rPr>
          <w:rFonts w:ascii="Simplified Arabic" w:hAnsi="Simplified Arabic" w:cs="Simplified Arabic" w:hint="cs"/>
          <w:sz w:val="24"/>
          <w:szCs w:val="24"/>
          <w:rtl/>
          <w:lang w:val="en-US"/>
        </w:rPr>
        <w:t>ة</w:t>
      </w:r>
      <w:r w:rsidRPr="00D25CC7">
        <w:rPr>
          <w:rFonts w:ascii="Simplified Arabic" w:hAnsi="Simplified Arabic" w:cs="Simplified Arabic"/>
          <w:sz w:val="24"/>
          <w:szCs w:val="24"/>
          <w:rtl/>
          <w:lang w:val="en-US"/>
        </w:rPr>
        <w:t xml:space="preserve"> (1949). مثلت هذه المدينة نموًا ح</w:t>
      </w:r>
      <w:r>
        <w:rPr>
          <w:rFonts w:ascii="Simplified Arabic" w:hAnsi="Simplified Arabic" w:cs="Simplified Arabic"/>
          <w:sz w:val="24"/>
          <w:szCs w:val="24"/>
          <w:rtl/>
          <w:lang w:val="en-US"/>
        </w:rPr>
        <w:t>ضريًا نحو الجنوب الغربي للقصر</w:t>
      </w:r>
      <w:r w:rsidRPr="00D25CC7">
        <w:rPr>
          <w:rFonts w:ascii="Simplified Arabic" w:hAnsi="Simplified Arabic" w:cs="Simplified Arabic"/>
          <w:sz w:val="24"/>
          <w:szCs w:val="24"/>
          <w:rtl/>
          <w:lang w:val="en-US"/>
        </w:rPr>
        <w:t>، وقد طورت ثقافة حضرية مختلفة عن القصر</w:t>
      </w:r>
      <w:r>
        <w:rPr>
          <w:rFonts w:ascii="Simplified Arabic" w:hAnsi="Simplified Arabic" w:cs="Simplified Arabic" w:hint="cs"/>
          <w:sz w:val="24"/>
          <w:szCs w:val="24"/>
          <w:rtl/>
          <w:lang w:val="en-US"/>
        </w:rPr>
        <w:t>، حيث</w:t>
      </w:r>
      <w:r w:rsidRPr="00D25CC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w:t>
      </w:r>
      <w:r w:rsidRPr="00D25CC7">
        <w:rPr>
          <w:rFonts w:ascii="Simplified Arabic" w:hAnsi="Simplified Arabic" w:cs="Simplified Arabic"/>
          <w:sz w:val="24"/>
          <w:szCs w:val="24"/>
          <w:rtl/>
          <w:lang w:val="en-US"/>
        </w:rPr>
        <w:t>تميز</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rtl/>
          <w:lang w:val="en-US"/>
        </w:rPr>
        <w:t>طوبولوجي</w:t>
      </w:r>
      <w:r>
        <w:rPr>
          <w:rFonts w:ascii="Simplified Arabic" w:hAnsi="Simplified Arabic" w:cs="Simplified Arabic" w:hint="cs"/>
          <w:sz w:val="24"/>
          <w:szCs w:val="24"/>
          <w:rtl/>
          <w:lang w:val="en-US"/>
        </w:rPr>
        <w:t>ة</w:t>
      </w:r>
      <w:r w:rsidRPr="003159C2">
        <w:rPr>
          <w:rFonts w:ascii="Simplified Arabic" w:hAnsi="Simplified Arabic" w:cs="Simplified Arabic" w:hint="cs"/>
          <w:sz w:val="24"/>
          <w:szCs w:val="24"/>
          <w:rtl/>
          <w:lang w:val="en-US"/>
        </w:rPr>
        <w:t xml:space="preserve"> النسيج الحضري الاستيطاني</w:t>
      </w:r>
      <w:r w:rsidRPr="00D25CC7">
        <w:rPr>
          <w:rFonts w:ascii="Simplified Arabic" w:hAnsi="Simplified Arabic" w:cs="Simplified Arabic"/>
          <w:sz w:val="24"/>
          <w:szCs w:val="24"/>
          <w:rtl/>
          <w:lang w:val="en-US"/>
        </w:rPr>
        <w:t xml:space="preserve"> بالخصوصية والبنية الحضرية المستقيمة </w:t>
      </w:r>
      <w:r>
        <w:rPr>
          <w:rFonts w:ascii="Simplified Arabic" w:hAnsi="Simplified Arabic" w:cs="Simplified Arabic" w:hint="cs"/>
          <w:sz w:val="24"/>
          <w:szCs w:val="24"/>
          <w:rtl/>
          <w:lang w:val="en-US"/>
        </w:rPr>
        <w:t>وفق خطة</w:t>
      </w:r>
      <w:r w:rsidRPr="00D25CC7">
        <w:rPr>
          <w:rFonts w:ascii="Simplified Arabic" w:hAnsi="Simplified Arabic" w:cs="Simplified Arabic"/>
          <w:sz w:val="24"/>
          <w:szCs w:val="24"/>
          <w:rtl/>
          <w:lang w:val="en-US"/>
        </w:rPr>
        <w:t xml:space="preserve"> شطرنج</w:t>
      </w:r>
      <w:r>
        <w:rPr>
          <w:rFonts w:ascii="Simplified Arabic" w:hAnsi="Simplified Arabic" w:cs="Simplified Arabic" w:hint="cs"/>
          <w:sz w:val="24"/>
          <w:szCs w:val="24"/>
          <w:rtl/>
          <w:lang w:val="en-US"/>
        </w:rPr>
        <w:t>ية</w:t>
      </w:r>
      <w:r w:rsidRPr="00D25CC7">
        <w:rPr>
          <w:rFonts w:ascii="Simplified Arabic" w:hAnsi="Simplified Arabic" w:cs="Simplified Arabic"/>
          <w:sz w:val="24"/>
          <w:szCs w:val="24"/>
          <w:rtl/>
          <w:lang w:val="en-US"/>
        </w:rPr>
        <w:t xml:space="preserve"> (</w:t>
      </w:r>
      <w:r w:rsidRPr="00977F57">
        <w:rPr>
          <w:rFonts w:asciiTheme="majorBidi" w:hAnsiTheme="majorBidi" w:cstheme="majorBidi"/>
          <w:sz w:val="24"/>
          <w:szCs w:val="24"/>
        </w:rPr>
        <w:t>Damier</w:t>
      </w:r>
      <w:r w:rsidRPr="00D25CC7">
        <w:rPr>
          <w:rFonts w:ascii="Simplified Arabic" w:hAnsi="Simplified Arabic" w:cs="Simplified Arabic"/>
          <w:sz w:val="24"/>
          <w:szCs w:val="24"/>
          <w:rtl/>
          <w:lang w:val="en-US"/>
        </w:rPr>
        <w:t>) ونسيج حضري أقل كثافة</w:t>
      </w:r>
      <w:r>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rPr>
        <w:t xml:space="preserve">الشكل </w:t>
      </w:r>
      <w:r w:rsidR="00097583">
        <w:rPr>
          <w:rFonts w:ascii="Simplified Arabic" w:hAnsi="Simplified Arabic" w:cs="Simplified Arabic" w:hint="cs"/>
          <w:sz w:val="24"/>
          <w:szCs w:val="24"/>
          <w:rtl/>
        </w:rPr>
        <w:t>(4-6)</w:t>
      </w:r>
      <w:r w:rsidRPr="00D25CC7">
        <w:rPr>
          <w:rFonts w:ascii="Simplified Arabic" w:hAnsi="Simplified Arabic" w:cs="Simplified Arabic"/>
          <w:sz w:val="24"/>
          <w:szCs w:val="24"/>
          <w:rtl/>
          <w:lang w:val="en-US"/>
        </w:rPr>
        <w:t>.</w:t>
      </w:r>
      <w:r w:rsidRPr="00A90F9B">
        <w:rPr>
          <w:rFonts w:hint="cs"/>
          <w:rtl/>
        </w:rPr>
        <w:t xml:space="preserve"> </w:t>
      </w:r>
      <w:r w:rsidRPr="003159C2">
        <w:rPr>
          <w:rFonts w:ascii="Simplified Arabic" w:hAnsi="Simplified Arabic" w:cs="Simplified Arabic" w:hint="cs"/>
          <w:sz w:val="24"/>
          <w:szCs w:val="24"/>
          <w:rtl/>
          <w:lang w:val="en-US"/>
        </w:rPr>
        <w:t xml:space="preserve">يتم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الأر</w:t>
      </w:r>
      <w:r w:rsidRPr="00A90F9B">
        <w:rPr>
          <w:rFonts w:ascii="Simplified Arabic" w:hAnsi="Simplified Arabic" w:cs="Simplified Arabic" w:hint="cs"/>
          <w:sz w:val="24"/>
          <w:szCs w:val="24"/>
          <w:rtl/>
          <w:lang w:val="en-US"/>
        </w:rPr>
        <w:t>ض</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لفئة النسيج الحضري الاستيطاني</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من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خلال</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A90F9B">
        <w:rPr>
          <w:rFonts w:ascii="Simplified Arabic" w:hAnsi="Simplified Arabic" w:cs="Simplified Arabic" w:hint="cs"/>
          <w:sz w:val="24"/>
          <w:szCs w:val="24"/>
          <w:rtl/>
          <w:lang w:val="en-US"/>
        </w:rPr>
        <w:t>توزيع</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المكاني </w:t>
      </w:r>
      <w:r w:rsidR="00097583">
        <w:rPr>
          <w:rFonts w:ascii="Simplified Arabic" w:hAnsi="Simplified Arabic" w:cs="Simplified Arabic" w:hint="cs"/>
          <w:sz w:val="24"/>
          <w:szCs w:val="24"/>
          <w:rtl/>
          <w:lang w:val="en-US"/>
        </w:rPr>
        <w:t>ل</w:t>
      </w:r>
      <w:r w:rsidRPr="00A90F9B">
        <w:rPr>
          <w:rFonts w:ascii="Simplified Arabic" w:hAnsi="Simplified Arabic" w:cs="Simplified Arabic" w:hint="cs"/>
          <w:sz w:val="24"/>
          <w:szCs w:val="24"/>
          <w:rtl/>
          <w:lang w:val="en-US"/>
        </w:rPr>
        <w:t>لسكن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والمرافق</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شبكة الطرق</w:t>
      </w:r>
      <w:r w:rsidRPr="00A90F9B">
        <w:rPr>
          <w:rFonts w:ascii="Simplified Arabic" w:hAnsi="Simplified Arabic" w:cs="Simplified Arabic"/>
          <w:sz w:val="24"/>
          <w:szCs w:val="24"/>
          <w:rtl/>
          <w:lang w:val="en-US"/>
        </w:rPr>
        <w:t>.</w:t>
      </w:r>
    </w:p>
    <w:p w:rsidR="000635D8" w:rsidRPr="006842CF" w:rsidRDefault="000635D8" w:rsidP="001D0548">
      <w:pPr>
        <w:pStyle w:val="Paragraphedeliste"/>
        <w:numPr>
          <w:ilvl w:val="0"/>
          <w:numId w:val="2"/>
        </w:numPr>
        <w:bidi/>
        <w:spacing w:after="0"/>
        <w:ind w:left="0" w:firstLine="283"/>
        <w:jc w:val="both"/>
        <w:rPr>
          <w:rFonts w:ascii="Simplified Arabic" w:hAnsi="Simplified Arabic" w:cs="Simplified Arabic"/>
          <w:b/>
          <w:bCs/>
          <w:sz w:val="24"/>
          <w:szCs w:val="24"/>
          <w:lang w:val="en-US"/>
        </w:rPr>
      </w:pPr>
      <w:r>
        <w:rPr>
          <w:rFonts w:ascii="Simplified Arabic" w:hAnsi="Simplified Arabic" w:cs="Simplified Arabic" w:hint="cs"/>
          <w:b/>
          <w:bCs/>
          <w:sz w:val="24"/>
          <w:szCs w:val="24"/>
          <w:rtl/>
          <w:lang w:val="en-US"/>
        </w:rPr>
        <w:t>السكن</w:t>
      </w:r>
    </w:p>
    <w:p w:rsidR="000635D8" w:rsidRPr="0056477F" w:rsidRDefault="000635D8" w:rsidP="00D26F8A">
      <w:pPr>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تقدر مساحة حي بلاطو</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ب</w:t>
      </w:r>
      <w:r>
        <w:rPr>
          <w:rFonts w:ascii="Simplified Arabic" w:hAnsi="Simplified Arabic" w:cs="Simplified Arabic" w:hint="cs"/>
          <w:sz w:val="24"/>
          <w:szCs w:val="24"/>
          <w:rtl/>
          <w:lang w:val="en-US"/>
        </w:rPr>
        <w:t>حوالي</w:t>
      </w:r>
      <w:r w:rsidRPr="007E4A92">
        <w:rPr>
          <w:rFonts w:ascii="Simplified Arabic" w:hAnsi="Simplified Arabic" w:cs="Simplified Arabic"/>
          <w:sz w:val="24"/>
          <w:szCs w:val="24"/>
          <w:rtl/>
          <w:lang w:val="en-US"/>
        </w:rPr>
        <w:t xml:space="preserve"> 61.47 </w:t>
      </w:r>
      <w:r w:rsidRPr="007E4A92">
        <w:rPr>
          <w:rFonts w:ascii="Simplified Arabic" w:hAnsi="Simplified Arabic" w:cs="Simplified Arabic" w:hint="cs"/>
          <w:sz w:val="24"/>
          <w:szCs w:val="24"/>
          <w:rtl/>
          <w:lang w:val="en-US"/>
        </w:rPr>
        <w:t>هكتار</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بها</w:t>
      </w:r>
      <w:r w:rsidRPr="007E4A92">
        <w:rPr>
          <w:rFonts w:ascii="Simplified Arabic" w:hAnsi="Simplified Arabic" w:cs="Simplified Arabic"/>
          <w:sz w:val="24"/>
          <w:szCs w:val="24"/>
          <w:rtl/>
          <w:lang w:val="en-US"/>
        </w:rPr>
        <w:t xml:space="preserve"> </w:t>
      </w:r>
      <w:r w:rsidRPr="00654FD1">
        <w:rPr>
          <w:rFonts w:ascii="Simplified Arabic" w:eastAsia="Times New Roman" w:hAnsi="Simplified Arabic" w:cs="Simplified Arabic"/>
          <w:color w:val="000000"/>
          <w:sz w:val="24"/>
          <w:szCs w:val="24"/>
          <w:lang w:eastAsia="fr-FR"/>
        </w:rPr>
        <w:t>816</w:t>
      </w:r>
      <w:r>
        <w:rPr>
          <w:rFonts w:ascii="Simplified Arabic" w:eastAsia="Times New Roman" w:hAnsi="Simplified Arabic" w:cs="Simplified Arabic" w:hint="cs"/>
          <w:color w:val="000000"/>
          <w:sz w:val="24"/>
          <w:szCs w:val="24"/>
          <w:rtl/>
          <w:lang w:eastAsia="fr-FR"/>
        </w:rPr>
        <w:t xml:space="preserve"> </w:t>
      </w:r>
      <w:r w:rsidRPr="007E4A92">
        <w:rPr>
          <w:rFonts w:ascii="Simplified Arabic" w:hAnsi="Simplified Arabic" w:cs="Simplified Arabic" w:hint="cs"/>
          <w:sz w:val="24"/>
          <w:szCs w:val="24"/>
          <w:rtl/>
          <w:lang w:val="en-US"/>
        </w:rPr>
        <w:t>وحدة</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سكنية</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ب</w:t>
      </w:r>
      <w:r>
        <w:rPr>
          <w:rFonts w:ascii="Simplified Arabic" w:hAnsi="Simplified Arabic" w:cs="Simplified Arabic" w:hint="cs"/>
          <w:sz w:val="24"/>
          <w:szCs w:val="24"/>
          <w:rtl/>
          <w:lang w:val="en-US"/>
        </w:rPr>
        <w:t xml:space="preserve">معدل </w:t>
      </w:r>
      <w:r w:rsidRPr="007E4A92">
        <w:rPr>
          <w:rFonts w:ascii="Simplified Arabic" w:hAnsi="Simplified Arabic" w:cs="Simplified Arabic" w:hint="cs"/>
          <w:sz w:val="24"/>
          <w:szCs w:val="24"/>
          <w:rtl/>
          <w:lang w:val="en-US"/>
        </w:rPr>
        <w:t>كثافة</w:t>
      </w:r>
      <w:r>
        <w:rPr>
          <w:rFonts w:ascii="Simplified Arabic" w:hAnsi="Simplified Arabic" w:cs="Simplified Arabic" w:hint="cs"/>
          <w:sz w:val="24"/>
          <w:szCs w:val="24"/>
          <w:rtl/>
          <w:lang w:val="en-US"/>
        </w:rPr>
        <w:t xml:space="preserve"> سكنية</w:t>
      </w:r>
      <w:r w:rsidRPr="007E4A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13</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مسكن</w:t>
      </w:r>
      <w:r>
        <w:rPr>
          <w:rFonts w:ascii="Simplified Arabic" w:hAnsi="Simplified Arabic" w:cs="Simplified Arabic"/>
          <w:sz w:val="24"/>
          <w:szCs w:val="24"/>
          <w:rtl/>
          <w:lang w:val="en-US"/>
        </w:rPr>
        <w:t>/</w:t>
      </w:r>
      <w:r w:rsidRPr="007E4A92">
        <w:rPr>
          <w:rFonts w:ascii="Simplified Arabic" w:hAnsi="Simplified Arabic" w:cs="Simplified Arabic" w:hint="cs"/>
          <w:sz w:val="24"/>
          <w:szCs w:val="24"/>
          <w:rtl/>
          <w:lang w:val="en-US"/>
        </w:rPr>
        <w:t>هكتار</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أو</w:t>
      </w:r>
      <w:r w:rsidRPr="007E4A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93</w:t>
      </w:r>
      <w:r w:rsidRPr="007E4A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ساكن</w:t>
      </w:r>
      <w:r>
        <w:rPr>
          <w:rFonts w:ascii="Simplified Arabic" w:hAnsi="Simplified Arabic" w:cs="Simplified Arabic"/>
          <w:sz w:val="24"/>
          <w:szCs w:val="24"/>
          <w:rtl/>
          <w:lang w:val="en-US"/>
        </w:rPr>
        <w:t>/</w:t>
      </w:r>
      <w:r w:rsidRPr="007E4A92">
        <w:rPr>
          <w:rFonts w:ascii="Simplified Arabic" w:hAnsi="Simplified Arabic" w:cs="Simplified Arabic" w:hint="cs"/>
          <w:sz w:val="24"/>
          <w:szCs w:val="24"/>
          <w:rtl/>
          <w:lang w:val="en-US"/>
        </w:rPr>
        <w:t>هكتار</w:t>
      </w:r>
      <w:r>
        <w:rPr>
          <w:rFonts w:ascii="Simplified Arabic" w:hAnsi="Simplified Arabic" w:cs="Simplified Arabic" w:hint="cs"/>
          <w:sz w:val="24"/>
          <w:szCs w:val="24"/>
          <w:rtl/>
          <w:lang w:val="en-US"/>
        </w:rPr>
        <w:t>،</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وهي</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ذات</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كثافة</w:t>
      </w:r>
      <w:r w:rsidRPr="007E4A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مرتفعة</w:t>
      </w:r>
      <w:r w:rsidRPr="007E4A92">
        <w:rPr>
          <w:rFonts w:ascii="Simplified Arabic" w:hAnsi="Simplified Arabic" w:cs="Simplified Arabic"/>
          <w:sz w:val="24"/>
          <w:szCs w:val="24"/>
          <w:rtl/>
          <w:lang w:val="en-US"/>
        </w:rPr>
        <w:t xml:space="preserve"> </w:t>
      </w:r>
      <w:r w:rsidRPr="007E4A92">
        <w:rPr>
          <w:rFonts w:ascii="Simplified Arabic" w:hAnsi="Simplified Arabic" w:cs="Simplified Arabic" w:hint="cs"/>
          <w:sz w:val="24"/>
          <w:szCs w:val="24"/>
          <w:rtl/>
          <w:lang w:val="en-US"/>
        </w:rPr>
        <w:t>مقارنة</w:t>
      </w:r>
      <w:r w:rsidRPr="007E4A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rPr>
        <w:t>مع</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متوسط</w:t>
      </w:r>
      <w:r w:rsidRPr="009C3E29">
        <w:rPr>
          <w:rFonts w:ascii="Simplified Arabic" w:hAnsi="Simplified Arabic" w:cs="Simplified Arabic"/>
          <w:sz w:val="24"/>
          <w:szCs w:val="24"/>
          <w:rtl/>
        </w:rPr>
        <w:t xml:space="preserve"> </w:t>
      </w:r>
      <w:r w:rsidRPr="009C3E29">
        <w:rPr>
          <w:rFonts w:ascii="Times New Roman" w:hAnsi="Times New Roman" w:cs="Times New Roman" w:hint="cs"/>
          <w:sz w:val="24"/>
          <w:szCs w:val="24"/>
          <w:rtl/>
        </w:rPr>
        <w:t>​​</w:t>
      </w:r>
      <w:r w:rsidRPr="009C3E29">
        <w:rPr>
          <w:rFonts w:ascii="Simplified Arabic" w:hAnsi="Simplified Arabic" w:cs="Simplified Arabic" w:hint="cs"/>
          <w:sz w:val="24"/>
          <w:szCs w:val="24"/>
          <w:rtl/>
        </w:rPr>
        <w:t>الكثافة</w:t>
      </w:r>
      <w:r w:rsidRPr="009C3E29">
        <w:rPr>
          <w:rFonts w:ascii="Simplified Arabic" w:hAnsi="Simplified Arabic" w:cs="Simplified Arabic"/>
          <w:sz w:val="24"/>
          <w:szCs w:val="24"/>
          <w:rtl/>
        </w:rPr>
        <w:t xml:space="preserve"> </w:t>
      </w:r>
      <w:r>
        <w:rPr>
          <w:rFonts w:ascii="Simplified Arabic" w:hAnsi="Simplified Arabic" w:cs="Simplified Arabic" w:hint="cs"/>
          <w:sz w:val="24"/>
          <w:szCs w:val="24"/>
          <w:rtl/>
        </w:rPr>
        <w:t>السكانية</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الحالية</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في</w:t>
      </w:r>
      <w:r w:rsidRPr="009C3E29">
        <w:rPr>
          <w:rFonts w:ascii="Simplified Arabic" w:hAnsi="Simplified Arabic" w:cs="Simplified Arabic"/>
          <w:sz w:val="24"/>
          <w:szCs w:val="24"/>
          <w:rtl/>
        </w:rPr>
        <w:t xml:space="preserve"> </w:t>
      </w:r>
      <w:r w:rsidRPr="009C3E29">
        <w:rPr>
          <w:rFonts w:ascii="Simplified Arabic" w:hAnsi="Simplified Arabic" w:cs="Simplified Arabic" w:hint="cs"/>
          <w:sz w:val="24"/>
          <w:szCs w:val="24"/>
          <w:rtl/>
        </w:rPr>
        <w:t>الجزائر</w:t>
      </w:r>
      <w:r w:rsidRPr="009C3E29">
        <w:rPr>
          <w:rFonts w:ascii="Simplified Arabic" w:hAnsi="Simplified Arabic" w:cs="Simplified Arabic"/>
          <w:sz w:val="24"/>
          <w:szCs w:val="24"/>
          <w:rtl/>
        </w:rPr>
        <w:t xml:space="preserve"> </w:t>
      </w:r>
      <w:r>
        <w:rPr>
          <w:rFonts w:ascii="Simplified Arabic" w:hAnsi="Simplified Arabic" w:cs="Simplified Arabic" w:hint="cs"/>
          <w:sz w:val="24"/>
          <w:szCs w:val="24"/>
          <w:rtl/>
        </w:rPr>
        <w:t>المقدرة ب</w:t>
      </w:r>
      <w:r w:rsidRPr="009C3E29">
        <w:rPr>
          <w:rFonts w:ascii="Simplified Arabic" w:hAnsi="Simplified Arabic" w:cs="Simplified Arabic" w:hint="cs"/>
          <w:sz w:val="24"/>
          <w:szCs w:val="24"/>
          <w:rtl/>
        </w:rPr>
        <w:t>حوالي</w:t>
      </w:r>
      <w:r w:rsidRPr="009C3E29">
        <w:rPr>
          <w:rFonts w:ascii="Simplified Arabic" w:hAnsi="Simplified Arabic" w:cs="Simplified Arabic"/>
          <w:sz w:val="24"/>
          <w:szCs w:val="24"/>
          <w:rtl/>
        </w:rPr>
        <w:t xml:space="preserve"> 65 </w:t>
      </w:r>
      <w:r>
        <w:rPr>
          <w:rFonts w:ascii="Simplified Arabic" w:hAnsi="Simplified Arabic" w:cs="Simplified Arabic" w:hint="cs"/>
          <w:sz w:val="24"/>
          <w:szCs w:val="24"/>
          <w:rtl/>
        </w:rPr>
        <w:t>ساكن</w:t>
      </w:r>
      <w:r w:rsidRPr="009C3E29">
        <w:rPr>
          <w:rFonts w:ascii="Simplified Arabic" w:hAnsi="Simplified Arabic" w:cs="Simplified Arabic"/>
          <w:sz w:val="24"/>
          <w:szCs w:val="24"/>
          <w:rtl/>
        </w:rPr>
        <w:t>/</w:t>
      </w:r>
      <w:r w:rsidRPr="009C3E29">
        <w:rPr>
          <w:rFonts w:ascii="Simplified Arabic" w:hAnsi="Simplified Arabic" w:cs="Simplified Arabic" w:hint="cs"/>
          <w:sz w:val="24"/>
          <w:szCs w:val="24"/>
          <w:rtl/>
        </w:rPr>
        <w:t>هكتار</w:t>
      </w:r>
      <w:r w:rsidRPr="007E4A92">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تمثل المساحة المبنية </w:t>
      </w:r>
      <w:r w:rsidRPr="0056477F">
        <w:rPr>
          <w:rFonts w:ascii="Simplified Arabic" w:hAnsi="Simplified Arabic" w:cs="Simplified Arabic" w:hint="cs"/>
          <w:sz w:val="24"/>
          <w:szCs w:val="24"/>
          <w:rtl/>
          <w:lang w:val="en-US"/>
        </w:rPr>
        <w:t>سوى</w:t>
      </w:r>
      <w:r w:rsidRPr="0056477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نسبة 41</w:t>
      </w:r>
      <w:r>
        <w:rPr>
          <w:rFonts w:ascii="Simplified Arabic" w:hAnsi="Simplified Arabic" w:cs="Simplified Arabic"/>
          <w:sz w:val="24"/>
          <w:szCs w:val="24"/>
        </w:rPr>
        <w:t>%</w:t>
      </w:r>
      <w:r>
        <w:rPr>
          <w:rFonts w:ascii="Simplified Arabic" w:hAnsi="Simplified Arabic" w:cs="Simplified Arabic" w:hint="cs"/>
          <w:sz w:val="24"/>
          <w:szCs w:val="24"/>
          <w:rtl/>
          <w:lang w:bidi="ar-DZ"/>
        </w:rPr>
        <w:t xml:space="preserve"> من المساحة الكلية، حيث </w:t>
      </w:r>
      <w:r w:rsidRPr="0056477F">
        <w:rPr>
          <w:rFonts w:ascii="Simplified Arabic" w:hAnsi="Simplified Arabic" w:cs="Simplified Arabic" w:hint="cs"/>
          <w:sz w:val="24"/>
          <w:szCs w:val="24"/>
          <w:rtl/>
          <w:lang w:val="en-US"/>
        </w:rPr>
        <w:t>تشغل</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المساحة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السكنية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المتمثلة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في الوحدات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السكنية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الجزء</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الأكبر</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من</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المساحة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المبنية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وهي</w:t>
      </w:r>
      <w:r w:rsidRPr="0056477F">
        <w:rPr>
          <w:rFonts w:ascii="Simplified Arabic" w:hAnsi="Simplified Arabic" w:cs="Simplified Arabic"/>
          <w:sz w:val="24"/>
          <w:szCs w:val="24"/>
          <w:rtl/>
          <w:lang w:val="en-US"/>
        </w:rPr>
        <w:t xml:space="preserve"> </w:t>
      </w:r>
      <w:r w:rsidRPr="002C637B">
        <w:rPr>
          <w:rFonts w:ascii="Simplified Arabic" w:hAnsi="Simplified Arabic" w:cs="Simplified Arabic"/>
          <w:sz w:val="24"/>
          <w:szCs w:val="24"/>
          <w:lang w:val="en-US"/>
        </w:rPr>
        <w:t>24,91</w:t>
      </w:r>
      <w:r w:rsidRPr="0056477F">
        <w:rPr>
          <w:rFonts w:ascii="Simplified Arabic" w:hAnsi="Simplified Arabic" w:cs="Simplified Arabic" w:hint="cs"/>
          <w:sz w:val="24"/>
          <w:szCs w:val="24"/>
          <w:rtl/>
          <w:lang w:val="en-US"/>
        </w:rPr>
        <w:t xml:space="preserve"> هكتار</w:t>
      </w:r>
      <w:r w:rsidRPr="0056477F">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اما عن المساحة </w:t>
      </w:r>
      <w:r w:rsidRPr="0056477F">
        <w:rPr>
          <w:rFonts w:ascii="Simplified Arabic" w:hAnsi="Simplified Arabic" w:cs="Simplified Arabic" w:hint="cs"/>
          <w:sz w:val="24"/>
          <w:szCs w:val="24"/>
          <w:rtl/>
          <w:lang w:val="en-US"/>
        </w:rPr>
        <w:t>غير</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المبنية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والمتمثلة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في الطرق</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والساحات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ومواقف</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السيارات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والمساحات</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 xml:space="preserve">الخضراء </w:t>
      </w:r>
      <w:r>
        <w:rPr>
          <w:rFonts w:ascii="Simplified Arabic" w:hAnsi="Simplified Arabic" w:cs="Simplified Arabic" w:hint="cs"/>
          <w:sz w:val="24"/>
          <w:szCs w:val="24"/>
          <w:rtl/>
          <w:lang w:val="en-US"/>
        </w:rPr>
        <w:t>فهي</w:t>
      </w:r>
      <w:r w:rsidRPr="0056477F">
        <w:rPr>
          <w:rFonts w:ascii="Simplified Arabic" w:hAnsi="Simplified Arabic" w:cs="Simplified Arabic" w:hint="cs"/>
          <w:sz w:val="24"/>
          <w:szCs w:val="24"/>
          <w:rtl/>
          <w:lang w:val="en-US"/>
        </w:rPr>
        <w:t xml:space="preserve"> تشغل</w:t>
      </w:r>
      <w:r w:rsidRPr="0056477F">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59</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من</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المساحة</w:t>
      </w:r>
      <w:r w:rsidRPr="0056477F">
        <w:rPr>
          <w:rFonts w:ascii="Simplified Arabic" w:hAnsi="Simplified Arabic" w:cs="Simplified Arabic"/>
          <w:sz w:val="24"/>
          <w:szCs w:val="24"/>
          <w:rtl/>
          <w:lang w:val="en-US"/>
        </w:rPr>
        <w:t xml:space="preserve"> </w:t>
      </w:r>
      <w:r w:rsidRPr="0056477F">
        <w:rPr>
          <w:rFonts w:ascii="Simplified Arabic" w:hAnsi="Simplified Arabic" w:cs="Simplified Arabic" w:hint="cs"/>
          <w:sz w:val="24"/>
          <w:szCs w:val="24"/>
          <w:rtl/>
          <w:lang w:val="en-US"/>
        </w:rPr>
        <w:t>الكلية،</w:t>
      </w:r>
      <w:r w:rsidRPr="0056477F">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النسبة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المبنية</w:t>
      </w:r>
      <w:r w:rsidRPr="00015EE0">
        <w:rPr>
          <w:rFonts w:ascii="Simplified Arabic" w:hAnsi="Simplified Arabic" w:cs="Simplified Arabic"/>
          <w:sz w:val="24"/>
          <w:szCs w:val="24"/>
          <w:rtl/>
          <w:lang w:val="en-US"/>
        </w:rPr>
        <w:t>/</w:t>
      </w:r>
      <w:r w:rsidRPr="00015EE0">
        <w:rPr>
          <w:rFonts w:ascii="Simplified Arabic" w:hAnsi="Simplified Arabic" w:cs="Simplified Arabic" w:hint="cs"/>
          <w:sz w:val="24"/>
          <w:szCs w:val="24"/>
          <w:rtl/>
          <w:lang w:val="en-US"/>
        </w:rPr>
        <w:t>غير</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المبنية</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تساوي</w:t>
      </w:r>
      <w:r>
        <w:rPr>
          <w:rFonts w:ascii="Simplified Arabic" w:hAnsi="Simplified Arabic" w:cs="Simplified Arabic" w:hint="cs"/>
          <w:sz w:val="24"/>
          <w:szCs w:val="24"/>
          <w:rtl/>
          <w:lang w:val="en-US"/>
        </w:rPr>
        <w:t xml:space="preserve"> 0.69 ،و</w:t>
      </w:r>
      <w:r w:rsidRPr="00015EE0">
        <w:rPr>
          <w:rFonts w:ascii="Simplified Arabic" w:hAnsi="Simplified Arabic" w:cs="Simplified Arabic" w:hint="cs"/>
          <w:sz w:val="24"/>
          <w:szCs w:val="24"/>
          <w:rtl/>
          <w:lang w:val="en-US"/>
        </w:rPr>
        <w:t>هي</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نسبة</w:t>
      </w:r>
      <w:r w:rsidRPr="00015EE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متوسطة </w:t>
      </w:r>
      <w:r w:rsidRPr="00015EE0">
        <w:rPr>
          <w:rFonts w:ascii="Simplified Arabic" w:hAnsi="Simplified Arabic" w:cs="Simplified Arabic" w:hint="cs"/>
          <w:sz w:val="24"/>
          <w:szCs w:val="24"/>
          <w:rtl/>
          <w:lang w:val="en-US"/>
        </w:rPr>
        <w:t>في</w:t>
      </w:r>
      <w:r w:rsidRPr="00015EE0">
        <w:rPr>
          <w:rFonts w:ascii="Simplified Arabic" w:hAnsi="Simplified Arabic" w:cs="Simplified Arabic"/>
          <w:sz w:val="24"/>
          <w:szCs w:val="24"/>
          <w:rtl/>
          <w:lang w:val="en-US"/>
        </w:rPr>
        <w:t xml:space="preserve"> </w:t>
      </w:r>
      <w:r w:rsidRPr="00015EE0">
        <w:rPr>
          <w:rFonts w:ascii="Simplified Arabic" w:hAnsi="Simplified Arabic" w:cs="Simplified Arabic" w:hint="cs"/>
          <w:sz w:val="24"/>
          <w:szCs w:val="24"/>
          <w:rtl/>
          <w:lang w:val="en-US"/>
        </w:rPr>
        <w:t>المدينة</w:t>
      </w:r>
      <w:r w:rsidRPr="00015EE0">
        <w:rPr>
          <w:rFonts w:ascii="Simplified Arabic" w:hAnsi="Simplified Arabic" w:cs="Simplified Arabic"/>
          <w:sz w:val="24"/>
          <w:szCs w:val="24"/>
          <w:rtl/>
          <w:lang w:val="en-US"/>
        </w:rPr>
        <w:t xml:space="preserve"> </w:t>
      </w:r>
      <w:r w:rsidRPr="007B2EB1">
        <w:rPr>
          <w:rFonts w:ascii="Times New Roman" w:hAnsi="Times New Roman" w:cs="Times New Roman" w:hint="cs"/>
          <w:sz w:val="24"/>
          <w:szCs w:val="24"/>
          <w:rtl/>
          <w:lang w:val="en-US"/>
        </w:rPr>
        <w:t>​​</w:t>
      </w:r>
      <w:r w:rsidRPr="007B2EB1">
        <w:rPr>
          <w:rFonts w:ascii="Simplified Arabic" w:hAnsi="Simplified Arabic" w:cs="Simplified Arabic" w:hint="cs"/>
          <w:sz w:val="24"/>
          <w:szCs w:val="24"/>
          <w:rtl/>
          <w:lang w:val="en-US"/>
        </w:rPr>
        <w:t>بسبب</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اتساع</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الطرق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والمساحات</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المفتوحة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والحدائق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الشاسعة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على</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مستوى</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المرافق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العامة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الرئيسية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مثل</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فندق</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7B2EB1">
        <w:rPr>
          <w:rFonts w:ascii="Simplified Arabic" w:hAnsi="Simplified Arabic" w:cs="Simplified Arabic" w:hint="cs"/>
          <w:sz w:val="24"/>
          <w:szCs w:val="24"/>
          <w:rtl/>
          <w:lang w:val="en-US"/>
        </w:rPr>
        <w:t>كردادا</w:t>
      </w:r>
      <w:r>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ومق</w:t>
      </w:r>
      <w:r>
        <w:rPr>
          <w:rFonts w:ascii="Simplified Arabic" w:hAnsi="Simplified Arabic" w:cs="Simplified Arabic" w:hint="cs"/>
          <w:sz w:val="24"/>
          <w:szCs w:val="24"/>
          <w:rtl/>
          <w:lang w:val="en-US"/>
        </w:rPr>
        <w:t>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الدائرة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والقضاء</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والقطاع</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العسكري</w:t>
      </w:r>
      <w:r w:rsidRPr="007B2EB1">
        <w:rPr>
          <w:rFonts w:ascii="Simplified Arabic" w:hAnsi="Simplified Arabic" w:cs="Simplified Arabic"/>
          <w:sz w:val="24"/>
          <w:szCs w:val="24"/>
          <w:rtl/>
          <w:lang w:val="en-US"/>
        </w:rPr>
        <w:t>.</w:t>
      </w:r>
      <w:r w:rsidRPr="0056477F">
        <w:rPr>
          <w:rFonts w:ascii="Simplified Arabic" w:hAnsi="Simplified Arabic" w:cs="Simplified Arabic" w:hint="cs"/>
          <w:sz w:val="24"/>
          <w:szCs w:val="24"/>
          <w:rtl/>
          <w:lang w:val="en-US"/>
        </w:rPr>
        <w:t xml:space="preserve"> </w:t>
      </w:r>
    </w:p>
    <w:p w:rsidR="000635D8" w:rsidRPr="007E116E" w:rsidRDefault="000635D8" w:rsidP="001D0548">
      <w:pPr>
        <w:pStyle w:val="Paragraphedeliste"/>
        <w:numPr>
          <w:ilvl w:val="0"/>
          <w:numId w:val="2"/>
        </w:numPr>
        <w:bidi/>
        <w:spacing w:after="0"/>
        <w:ind w:left="0" w:firstLine="283"/>
        <w:jc w:val="both"/>
        <w:rPr>
          <w:rFonts w:ascii="Simplified Arabic" w:hAnsi="Simplified Arabic" w:cs="Simplified Arabic"/>
          <w:b/>
          <w:bCs/>
          <w:sz w:val="24"/>
          <w:szCs w:val="24"/>
          <w:lang w:val="en-US"/>
        </w:rPr>
      </w:pPr>
      <w:r w:rsidRPr="006842CF">
        <w:rPr>
          <w:rFonts w:ascii="Simplified Arabic" w:hAnsi="Simplified Arabic" w:cs="Simplified Arabic" w:hint="cs"/>
          <w:b/>
          <w:bCs/>
          <w:sz w:val="24"/>
          <w:szCs w:val="24"/>
          <w:rtl/>
          <w:lang w:val="en-US"/>
        </w:rPr>
        <w:t>المرافق</w:t>
      </w:r>
    </w:p>
    <w:p w:rsidR="000635D8" w:rsidRDefault="000635D8" w:rsidP="004D6FB3">
      <w:pPr>
        <w:tabs>
          <w:tab w:val="right" w:pos="2126"/>
        </w:tabs>
        <w:bidi/>
        <w:spacing w:after="0"/>
        <w:ind w:firstLine="283"/>
        <w:jc w:val="both"/>
        <w:rPr>
          <w:rFonts w:ascii="Simplified Arabic" w:hAnsi="Simplified Arabic" w:cs="Simplified Arabic"/>
          <w:sz w:val="24"/>
          <w:szCs w:val="24"/>
          <w:rtl/>
          <w:lang w:val="en-US"/>
        </w:rPr>
      </w:pPr>
      <w:r w:rsidRPr="007B2EB1">
        <w:rPr>
          <w:rFonts w:ascii="Simplified Arabic" w:hAnsi="Simplified Arabic" w:cs="Simplified Arabic" w:hint="cs"/>
          <w:sz w:val="24"/>
          <w:szCs w:val="24"/>
          <w:rtl/>
          <w:lang w:val="en-US"/>
        </w:rPr>
        <w:t>يوجد</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عدد</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كبير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المرافق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العامة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في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منطقة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بلاتو</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ممثلة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في</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2</w:t>
      </w:r>
      <w:r>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مدرسة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التعليم المتوسط،</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مدرسة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تكوين متخصص</w:t>
      </w:r>
      <w:r w:rsidRPr="007B2EB1">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ثانوية،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روضة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أطفال،</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(1) </w:t>
      </w:r>
      <w:r w:rsidRPr="007B2EB1">
        <w:rPr>
          <w:rFonts w:ascii="Simplified Arabic" w:hAnsi="Simplified Arabic" w:cs="Simplified Arabic" w:hint="cs"/>
          <w:sz w:val="24"/>
          <w:szCs w:val="24"/>
          <w:rtl/>
          <w:lang w:val="en-US"/>
        </w:rPr>
        <w:t>ملعب،</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w:t>
      </w:r>
      <w:r w:rsidRPr="007B2EB1">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(1) </w:t>
      </w:r>
      <w:r w:rsidRPr="007B2EB1">
        <w:rPr>
          <w:rFonts w:ascii="Simplified Arabic" w:hAnsi="Simplified Arabic" w:cs="Simplified Arabic" w:hint="cs"/>
          <w:sz w:val="24"/>
          <w:szCs w:val="24"/>
          <w:rtl/>
          <w:lang w:val="en-US"/>
        </w:rPr>
        <w:t>دار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ثقافية،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(1) </w:t>
      </w:r>
      <w:r w:rsidRPr="007B2EB1">
        <w:rPr>
          <w:rFonts w:ascii="Simplified Arabic" w:hAnsi="Simplified Arabic" w:cs="Simplified Arabic" w:hint="cs"/>
          <w:sz w:val="24"/>
          <w:szCs w:val="24"/>
          <w:rtl/>
          <w:lang w:val="en-US"/>
        </w:rPr>
        <w:t>معرض،</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(1) </w:t>
      </w:r>
      <w:r w:rsidRPr="007B2EB1">
        <w:rPr>
          <w:rFonts w:ascii="Simplified Arabic" w:hAnsi="Simplified Arabic" w:cs="Simplified Arabic" w:hint="cs"/>
          <w:sz w:val="24"/>
          <w:szCs w:val="24"/>
          <w:rtl/>
          <w:lang w:val="en-US"/>
        </w:rPr>
        <w:t>سوق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مغطى،</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مقرات</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لمختلف</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المنظمات</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الشبيبة</w:t>
      </w:r>
      <w:r w:rsidRPr="007B2EB1">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المجاهدين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والأحزاب</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السياسية</w:t>
      </w:r>
      <w:r>
        <w:rPr>
          <w:rFonts w:ascii="Simplified Arabic" w:hAnsi="Simplified Arabic" w:cs="Simplified Arabic"/>
          <w:sz w:val="24"/>
          <w:szCs w:val="24"/>
          <w:rtl/>
          <w:lang w:val="en-US"/>
        </w:rPr>
        <w:t>)</w:t>
      </w:r>
      <w:r w:rsidRPr="007B2EB1">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(1) </w:t>
      </w:r>
      <w:r w:rsidRPr="007B2EB1">
        <w:rPr>
          <w:rFonts w:ascii="Simplified Arabic" w:hAnsi="Simplified Arabic" w:cs="Simplified Arabic" w:hint="cs"/>
          <w:sz w:val="24"/>
          <w:szCs w:val="24"/>
          <w:rtl/>
          <w:lang w:val="en-US"/>
        </w:rPr>
        <w:t>فندق</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كردادة</w:t>
      </w:r>
      <w:r>
        <w:rPr>
          <w:rFonts w:ascii="Simplified Arabic" w:hAnsi="Simplified Arabic" w:cs="Simplified Arabic"/>
          <w:sz w:val="24"/>
          <w:szCs w:val="24"/>
          <w:rtl/>
          <w:lang w:val="en-US"/>
        </w:rPr>
        <w:t>)</w:t>
      </w:r>
      <w:r w:rsidRPr="007B2EB1">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مقر</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الاقسام</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الف</w:t>
      </w:r>
      <w:r>
        <w:rPr>
          <w:rFonts w:ascii="Simplified Arabic" w:hAnsi="Simplified Arabic" w:cs="Simplified Arabic" w:hint="cs"/>
          <w:sz w:val="24"/>
          <w:szCs w:val="24"/>
          <w:rtl/>
          <w:lang w:val="en-US"/>
        </w:rPr>
        <w:t>رع</w:t>
      </w:r>
      <w:r w:rsidRPr="007B2EB1">
        <w:rPr>
          <w:rFonts w:ascii="Simplified Arabic" w:hAnsi="Simplified Arabic" w:cs="Simplified Arabic" w:hint="cs"/>
          <w:sz w:val="24"/>
          <w:szCs w:val="24"/>
          <w:rtl/>
          <w:lang w:val="en-US"/>
        </w:rPr>
        <w:t>ية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السكن</w:t>
      </w:r>
      <w:r w:rsidRPr="007B2EB1">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rPr>
        <w:t xml:space="preserve"> التعمير والهندسة المعمارية،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الموارد المائية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والأشغال</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العمومية </w:t>
      </w:r>
      <w:r w:rsidRPr="007B2EB1">
        <w:rPr>
          <w:rFonts w:ascii="Simplified Arabic" w:hAnsi="Simplified Arabic" w:cs="Simplified Arabic" w:hint="cs"/>
          <w:sz w:val="24"/>
          <w:szCs w:val="24"/>
          <w:rtl/>
          <w:lang w:val="en-US"/>
        </w:rPr>
        <w:t>والضرائب</w:t>
      </w:r>
      <w:r>
        <w:rPr>
          <w:rFonts w:ascii="Simplified Arabic" w:hAnsi="Simplified Arabic" w:cs="Simplified Arabic"/>
          <w:sz w:val="24"/>
          <w:szCs w:val="24"/>
          <w:rtl/>
          <w:lang w:val="en-US"/>
        </w:rPr>
        <w:t>)</w:t>
      </w:r>
      <w:r w:rsidRPr="007B2EB1">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(3)</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مساجد،</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(1) </w:t>
      </w:r>
      <w:r w:rsidRPr="007B2EB1">
        <w:rPr>
          <w:rFonts w:ascii="Simplified Arabic" w:hAnsi="Simplified Arabic" w:cs="Simplified Arabic" w:hint="cs"/>
          <w:sz w:val="24"/>
          <w:szCs w:val="24"/>
          <w:rtl/>
          <w:lang w:val="en-US"/>
        </w:rPr>
        <w:t>قطاع</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عسكري،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مقر</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فرقة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الدرك</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اوطني</w:t>
      </w:r>
      <w:r w:rsidRPr="007B2EB1">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sidR="00D26F8A">
        <w:rPr>
          <w:rFonts w:ascii="Simplified Arabic" w:hAnsi="Simplified Arabic" w:cs="Simplified Arabic" w:hint="cs"/>
          <w:sz w:val="24"/>
          <w:szCs w:val="24"/>
          <w:rtl/>
          <w:lang w:val="en-US"/>
        </w:rPr>
        <w:t>مكتب بريد</w:t>
      </w:r>
      <w:r w:rsidRPr="007B2EB1">
        <w:rPr>
          <w:rFonts w:ascii="Simplified Arabic" w:hAnsi="Simplified Arabic" w:cs="Simplified Arabic" w:hint="cs"/>
          <w:sz w:val="24"/>
          <w:szCs w:val="24"/>
          <w:rtl/>
          <w:lang w:val="en-US"/>
        </w:rPr>
        <w:t>،</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مقر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الدارة،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مقر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الحماية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المدنية،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مقر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سونل</w:t>
      </w:r>
      <w:r>
        <w:rPr>
          <w:rFonts w:ascii="Simplified Arabic" w:hAnsi="Simplified Arabic" w:cs="Simplified Arabic" w:hint="cs"/>
          <w:sz w:val="24"/>
          <w:szCs w:val="24"/>
          <w:rtl/>
          <w:lang w:val="en-US"/>
        </w:rPr>
        <w:t>غ</w:t>
      </w:r>
      <w:r w:rsidRPr="007B2EB1">
        <w:rPr>
          <w:rFonts w:ascii="Simplified Arabic" w:hAnsi="Simplified Arabic" w:cs="Simplified Arabic" w:hint="cs"/>
          <w:sz w:val="24"/>
          <w:szCs w:val="24"/>
          <w:rtl/>
          <w:lang w:val="en-US"/>
        </w:rPr>
        <w:t>از</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ومحكمة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بالتالي</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w:t>
      </w:r>
      <w:r w:rsidRPr="007B2EB1">
        <w:rPr>
          <w:rFonts w:ascii="Simplified Arabic" w:hAnsi="Simplified Arabic" w:cs="Simplified Arabic" w:hint="cs"/>
          <w:sz w:val="24"/>
          <w:szCs w:val="24"/>
          <w:rtl/>
          <w:lang w:val="en-US"/>
        </w:rPr>
        <w:t>مثل</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 بلاطو</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جزءًا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كبيرًا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وسط</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المدينة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لأن</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مساحة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هذه</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المرافق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العامة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تحتل</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نسبة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كبيرة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المساحة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الإجمالية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للحي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تساوي</w:t>
      </w:r>
      <w:r w:rsidRPr="007B2EB1">
        <w:rPr>
          <w:rFonts w:ascii="Simplified Arabic" w:hAnsi="Simplified Arabic" w:cs="Simplified Arabic"/>
          <w:sz w:val="24"/>
          <w:szCs w:val="24"/>
          <w:rtl/>
          <w:lang w:val="en-US"/>
        </w:rPr>
        <w:t xml:space="preserve"> 12٪ </w:t>
      </w:r>
      <w:r>
        <w:rPr>
          <w:rFonts w:ascii="Simplified Arabic" w:hAnsi="Simplified Arabic" w:cs="Simplified Arabic" w:hint="cs"/>
          <w:sz w:val="24"/>
          <w:szCs w:val="24"/>
          <w:rtl/>
          <w:lang w:val="en-US"/>
        </w:rPr>
        <w:t>ما يعادل مساحة</w:t>
      </w:r>
      <w:r w:rsidRPr="007B2EB1">
        <w:rPr>
          <w:rFonts w:ascii="Simplified Arabic" w:hAnsi="Simplified Arabic" w:cs="Simplified Arabic"/>
          <w:sz w:val="24"/>
          <w:szCs w:val="24"/>
          <w:rtl/>
          <w:lang w:val="en-US"/>
        </w:rPr>
        <w:t xml:space="preserve"> 6.83 </w:t>
      </w:r>
      <w:r w:rsidRPr="007B2EB1">
        <w:rPr>
          <w:rFonts w:ascii="Simplified Arabic" w:hAnsi="Simplified Arabic" w:cs="Simplified Arabic" w:hint="cs"/>
          <w:sz w:val="24"/>
          <w:szCs w:val="24"/>
          <w:rtl/>
          <w:lang w:val="en-US"/>
        </w:rPr>
        <w:t>هكتارًا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تشغلها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مرافق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الطابق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الأرضي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فقط،</w:t>
      </w:r>
      <w:r>
        <w:rPr>
          <w:rFonts w:ascii="Simplified Arabic" w:hAnsi="Simplified Arabic" w:cs="Simplified Arabic" w:hint="cs"/>
          <w:sz w:val="24"/>
          <w:szCs w:val="24"/>
          <w:rtl/>
          <w:lang w:val="en-US"/>
        </w:rPr>
        <w:t xml:space="preserve"> </w:t>
      </w:r>
      <w:r w:rsidRPr="007B2EB1">
        <w:rPr>
          <w:rFonts w:ascii="Simplified Arabic" w:hAnsi="Simplified Arabic" w:cs="Simplified Arabic" w:hint="cs"/>
          <w:sz w:val="24"/>
          <w:szCs w:val="24"/>
          <w:rtl/>
          <w:lang w:val="en-US"/>
        </w:rPr>
        <w:t>و</w:t>
      </w:r>
      <w:r w:rsidRPr="007B2EB1">
        <w:rPr>
          <w:rFonts w:ascii="Simplified Arabic" w:hAnsi="Simplified Arabic" w:cs="Simplified Arabic"/>
          <w:sz w:val="24"/>
          <w:szCs w:val="24"/>
          <w:rtl/>
          <w:lang w:val="en-US"/>
        </w:rPr>
        <w:t xml:space="preserve"> 0.36 </w:t>
      </w:r>
      <w:r w:rsidRPr="007B2EB1">
        <w:rPr>
          <w:rFonts w:ascii="Simplified Arabic" w:hAnsi="Simplified Arabic" w:cs="Simplified Arabic" w:hint="cs"/>
          <w:sz w:val="24"/>
          <w:szCs w:val="24"/>
          <w:rtl/>
          <w:lang w:val="en-US"/>
        </w:rPr>
        <w:t>هكتار</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ذات </w:t>
      </w:r>
      <w:r w:rsidRPr="008A5225">
        <w:rPr>
          <w:rFonts w:asciiTheme="majorBidi" w:hAnsiTheme="majorBidi" w:cstheme="majorBidi"/>
          <w:sz w:val="24"/>
          <w:szCs w:val="24"/>
          <w:rtl/>
          <w:lang w:val="en-US"/>
        </w:rPr>
        <w:t>(</w:t>
      </w:r>
      <w:r w:rsidR="00D26F8A">
        <w:rPr>
          <w:rFonts w:asciiTheme="majorBidi" w:hAnsiTheme="majorBidi" w:cstheme="majorBidi" w:hint="cs"/>
          <w:sz w:val="24"/>
          <w:szCs w:val="24"/>
          <w:rtl/>
          <w:lang w:val="en-US"/>
        </w:rPr>
        <w:t>طابق+1</w:t>
      </w:r>
      <w:r w:rsidRPr="008A5225">
        <w:rPr>
          <w:rFonts w:asciiTheme="majorBidi" w:hAnsiTheme="majorBidi" w:cstheme="majorBidi"/>
          <w:sz w:val="24"/>
          <w:szCs w:val="24"/>
          <w:rtl/>
          <w:lang w:val="en-US"/>
        </w:rPr>
        <w:t>)</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w:t>
      </w:r>
      <w:r w:rsidRPr="007B2EB1">
        <w:rPr>
          <w:rFonts w:ascii="Simplified Arabic" w:hAnsi="Simplified Arabic" w:cs="Simplified Arabic"/>
          <w:sz w:val="24"/>
          <w:szCs w:val="24"/>
          <w:rtl/>
          <w:lang w:val="en-US"/>
        </w:rPr>
        <w:t xml:space="preserve"> 0.041 </w:t>
      </w:r>
      <w:r w:rsidRPr="007B2EB1">
        <w:rPr>
          <w:rFonts w:ascii="Simplified Arabic" w:hAnsi="Simplified Arabic" w:cs="Simplified Arabic" w:hint="cs"/>
          <w:sz w:val="24"/>
          <w:szCs w:val="24"/>
          <w:rtl/>
          <w:lang w:val="en-US"/>
        </w:rPr>
        <w:t>هكتار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بالمرافق</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ذات</w:t>
      </w:r>
      <w:r w:rsidRPr="007B2EB1">
        <w:rPr>
          <w:rFonts w:ascii="Simplified Arabic" w:hAnsi="Simplified Arabic" w:cs="Simplified Arabic"/>
          <w:sz w:val="24"/>
          <w:szCs w:val="24"/>
          <w:rtl/>
          <w:lang w:val="en-US"/>
        </w:rPr>
        <w:t xml:space="preserve"> </w:t>
      </w:r>
      <w:r w:rsidRPr="008A5225">
        <w:rPr>
          <w:rFonts w:asciiTheme="majorBidi" w:hAnsiTheme="majorBidi" w:cstheme="majorBidi"/>
          <w:sz w:val="24"/>
          <w:szCs w:val="24"/>
          <w:rtl/>
          <w:lang w:val="en-US"/>
        </w:rPr>
        <w:t>(</w:t>
      </w:r>
      <w:r w:rsidR="00D26F8A">
        <w:rPr>
          <w:rFonts w:asciiTheme="majorBidi" w:hAnsiTheme="majorBidi" w:cstheme="majorBidi" w:hint="cs"/>
          <w:sz w:val="24"/>
          <w:szCs w:val="24"/>
          <w:rtl/>
          <w:lang w:val="en-US"/>
        </w:rPr>
        <w:t>طابق+2</w:t>
      </w:r>
      <w:r w:rsidRPr="008A5225">
        <w:rPr>
          <w:rFonts w:asciiTheme="majorBidi" w:hAnsiTheme="majorBidi" w:cstheme="majorBidi"/>
          <w:sz w:val="24"/>
          <w:szCs w:val="24"/>
          <w:rtl/>
          <w:lang w:val="en-US"/>
        </w:rPr>
        <w:t>)</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تحتل</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المساجد</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مساحة</w:t>
      </w:r>
      <w:r w:rsidRPr="007B2EB1">
        <w:rPr>
          <w:rFonts w:ascii="Simplified Arabic" w:hAnsi="Simplified Arabic" w:cs="Simplified Arabic"/>
          <w:sz w:val="24"/>
          <w:szCs w:val="24"/>
          <w:rtl/>
          <w:lang w:val="en-US"/>
        </w:rPr>
        <w:t xml:space="preserve"> 0.35 </w:t>
      </w:r>
      <w:r w:rsidRPr="007B2EB1">
        <w:rPr>
          <w:rFonts w:ascii="Simplified Arabic" w:hAnsi="Simplified Arabic" w:cs="Simplified Arabic" w:hint="cs"/>
          <w:sz w:val="24"/>
          <w:szCs w:val="24"/>
          <w:rtl/>
          <w:lang w:val="en-US"/>
        </w:rPr>
        <w:t>هكتار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بشكل</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عام،</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يمكن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ملاحظة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أن</w:t>
      </w:r>
      <w:r w:rsidRPr="007B2EB1">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الأرض</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حيث</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المرافق العامة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داخل</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الحي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أمر</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بالغ</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الأهمية،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يتردد</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على </w:t>
      </w:r>
      <w:r w:rsidRPr="007B2EB1">
        <w:rPr>
          <w:rFonts w:ascii="Simplified Arabic" w:hAnsi="Simplified Arabic" w:cs="Simplified Arabic" w:hint="cs"/>
          <w:sz w:val="24"/>
          <w:szCs w:val="24"/>
          <w:rtl/>
          <w:lang w:val="en-US"/>
        </w:rPr>
        <w:t>هذه</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المرافق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جميع</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سكان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المدينة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وليس</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فقط</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سكان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الحي</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المرافق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كافية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تمامًا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ومتكيفة</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مع</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احتياجات</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المجتمع</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في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الحي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سواء</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حيث</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التغطية المجالية</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بالخدمة </w:t>
      </w:r>
      <w:r w:rsidRPr="007B2EB1">
        <w:rPr>
          <w:rFonts w:ascii="Simplified Arabic" w:hAnsi="Simplified Arabic" w:cs="Simplified Arabic" w:hint="cs"/>
          <w:sz w:val="24"/>
          <w:szCs w:val="24"/>
          <w:rtl/>
          <w:lang w:val="en-US"/>
        </w:rPr>
        <w:t>أو</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التنوع،</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والتي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لا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يزال</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يتعين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التحقق</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صحتها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لاحقًا</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من</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خلال</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التحليل</w:t>
      </w:r>
      <w:r w:rsidRPr="007B2EB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المكاني</w:t>
      </w:r>
      <w:r w:rsidRPr="007B2EB1">
        <w:rPr>
          <w:rFonts w:ascii="Simplified Arabic" w:hAnsi="Simplified Arabic" w:cs="Simplified Arabic"/>
          <w:sz w:val="24"/>
          <w:szCs w:val="24"/>
          <w:rtl/>
          <w:lang w:val="en-US"/>
        </w:rPr>
        <w:t xml:space="preserve"> </w:t>
      </w:r>
      <w:r w:rsidRPr="007B2EB1">
        <w:rPr>
          <w:rFonts w:ascii="Simplified Arabic" w:hAnsi="Simplified Arabic" w:cs="Simplified Arabic" w:hint="cs"/>
          <w:sz w:val="24"/>
          <w:szCs w:val="24"/>
          <w:rtl/>
          <w:lang w:val="en-US"/>
        </w:rPr>
        <w:t>للحي</w:t>
      </w:r>
      <w:r w:rsidRPr="007B2EB1">
        <w:rPr>
          <w:rFonts w:ascii="Simplified Arabic" w:hAnsi="Simplified Arabic" w:cs="Simplified Arabic"/>
          <w:sz w:val="24"/>
          <w:szCs w:val="24"/>
          <w:rtl/>
          <w:lang w:val="en-US"/>
        </w:rPr>
        <w:t>.</w:t>
      </w:r>
      <w:r>
        <w:rPr>
          <w:rFonts w:ascii="Simplified Arabic" w:hAnsi="Simplified Arabic" w:cs="Simplified Arabic"/>
          <w:sz w:val="24"/>
          <w:szCs w:val="24"/>
          <w:rtl/>
          <w:lang w:val="en-US"/>
        </w:rPr>
        <w:tab/>
      </w:r>
    </w:p>
    <w:p w:rsidR="000635D8" w:rsidRPr="0056477F" w:rsidRDefault="000635D8" w:rsidP="001D0548">
      <w:pPr>
        <w:pStyle w:val="Paragraphedeliste"/>
        <w:numPr>
          <w:ilvl w:val="0"/>
          <w:numId w:val="2"/>
        </w:numPr>
        <w:bidi/>
        <w:spacing w:after="0"/>
        <w:ind w:left="0" w:firstLine="283"/>
        <w:jc w:val="both"/>
        <w:rPr>
          <w:rFonts w:ascii="Simplified Arabic" w:hAnsi="Simplified Arabic" w:cs="Simplified Arabic"/>
          <w:sz w:val="24"/>
          <w:szCs w:val="24"/>
          <w:lang w:val="en-US"/>
        </w:rPr>
      </w:pPr>
      <w:r>
        <w:rPr>
          <w:rFonts w:ascii="Simplified Arabic" w:hAnsi="Simplified Arabic" w:cs="Simplified Arabic" w:hint="cs"/>
          <w:b/>
          <w:bCs/>
          <w:sz w:val="24"/>
          <w:szCs w:val="24"/>
          <w:rtl/>
          <w:lang w:val="en-US"/>
        </w:rPr>
        <w:t>شبكة الطرق</w:t>
      </w:r>
      <w:r w:rsidRPr="0056477F">
        <w:rPr>
          <w:rFonts w:ascii="Simplified Arabic" w:hAnsi="Simplified Arabic" w:cs="Simplified Arabic"/>
          <w:b/>
          <w:bCs/>
          <w:sz w:val="24"/>
          <w:szCs w:val="24"/>
          <w:rtl/>
          <w:lang w:val="en-US"/>
        </w:rPr>
        <w:t xml:space="preserve"> </w:t>
      </w:r>
    </w:p>
    <w:p w:rsidR="003F6961" w:rsidRDefault="003F6961" w:rsidP="00F708F8">
      <w:pPr>
        <w:bidi/>
        <w:spacing w:after="0"/>
        <w:ind w:firstLine="283"/>
        <w:jc w:val="both"/>
        <w:rPr>
          <w:rFonts w:ascii="Simplified Arabic" w:hAnsi="Simplified Arabic" w:cs="Simplified Arabic"/>
          <w:sz w:val="24"/>
          <w:szCs w:val="24"/>
          <w:rtl/>
          <w:lang w:val="en-US"/>
        </w:rPr>
      </w:pPr>
      <w:r w:rsidRPr="00292169">
        <w:rPr>
          <w:rFonts w:ascii="Simplified Arabic" w:hAnsi="Simplified Arabic" w:cs="Simplified Arabic" w:hint="cs"/>
          <w:sz w:val="24"/>
          <w:szCs w:val="24"/>
          <w:rtl/>
          <w:lang w:val="en-US"/>
        </w:rPr>
        <w:t>يوضح</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التحليل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أن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شبكة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الطرق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لم</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تعد</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تتكيف</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مع</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الظروف</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المناخية</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كالفيضانات وغمر جزئي لشبكة الطرق بمياه سيلان الامطار بسبب عامل الانحدار،</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مما يؤدي الى اضطراب نظام التنقل حتى في الحالة العادية</w:t>
      </w:r>
      <w:r w:rsidRPr="00292169">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مع ذلك تتميز بطول شبكة طرق شريانية مهمة وعدد عقد كبير من تقاطعات شبكة الطرق مما يسمح بالتنقل وبسهولة الوصول الى المرافق.</w:t>
      </w:r>
    </w:p>
    <w:p w:rsidR="000635D8" w:rsidRDefault="000635D8" w:rsidP="00ED1C8F">
      <w:pPr>
        <w:pStyle w:val="fegure"/>
        <w:rPr>
          <w:szCs w:val="24"/>
          <w:rtl/>
        </w:rPr>
      </w:pPr>
      <w:bookmarkStart w:id="586" w:name="_Toc157608329"/>
      <w:bookmarkStart w:id="587" w:name="_Toc171803630"/>
      <w:r w:rsidRPr="00ED1C8F">
        <w:rPr>
          <w:rFonts w:hint="cs"/>
          <w:szCs w:val="24"/>
          <w:rtl/>
        </w:rPr>
        <w:lastRenderedPageBreak/>
        <w:t xml:space="preserve">الشكل </w:t>
      </w:r>
      <w:r w:rsidR="00097583" w:rsidRPr="00ED1C8F">
        <w:rPr>
          <w:rFonts w:hint="cs"/>
          <w:szCs w:val="24"/>
          <w:rtl/>
        </w:rPr>
        <w:t>(4-6)</w:t>
      </w:r>
      <w:r w:rsidRPr="00ED1C8F">
        <w:rPr>
          <w:szCs w:val="24"/>
          <w:rtl/>
        </w:rPr>
        <w:t>:</w:t>
      </w:r>
      <w:r w:rsidRPr="00ED1C8F">
        <w:rPr>
          <w:rFonts w:hint="cs"/>
          <w:szCs w:val="24"/>
          <w:rtl/>
        </w:rPr>
        <w:t xml:space="preserve"> فئة النسيج الحضري</w:t>
      </w:r>
      <w:r w:rsidRPr="00ED1C8F">
        <w:rPr>
          <w:szCs w:val="24"/>
          <w:rtl/>
        </w:rPr>
        <w:t xml:space="preserve"> </w:t>
      </w:r>
      <w:r w:rsidRPr="00ED1C8F">
        <w:rPr>
          <w:rFonts w:hint="cs"/>
          <w:szCs w:val="24"/>
          <w:rtl/>
        </w:rPr>
        <w:t>الاستيطاني</w:t>
      </w:r>
      <w:r w:rsidR="00D86155" w:rsidRPr="00ED1C8F">
        <w:rPr>
          <w:rFonts w:hint="cs"/>
          <w:szCs w:val="24"/>
          <w:rtl/>
        </w:rPr>
        <w:t xml:space="preserve"> </w:t>
      </w:r>
      <w:r w:rsidR="00D86155" w:rsidRPr="00ED1C8F">
        <w:rPr>
          <w:rFonts w:hint="cs"/>
          <w:b/>
          <w:szCs w:val="24"/>
          <w:rtl/>
        </w:rPr>
        <w:t>(ب)</w:t>
      </w:r>
      <w:r w:rsidR="00FF712C" w:rsidRPr="00ED1C8F">
        <w:rPr>
          <w:rFonts w:hint="cs"/>
          <w:szCs w:val="24"/>
          <w:rtl/>
        </w:rPr>
        <w:t xml:space="preserve"> (حي بلاتو)</w:t>
      </w:r>
      <w:bookmarkEnd w:id="586"/>
      <w:bookmarkEnd w:id="587"/>
    </w:p>
    <w:p w:rsidR="006B38DD" w:rsidRPr="006B38DD" w:rsidRDefault="006B38DD" w:rsidP="006B38DD">
      <w:pPr>
        <w:pStyle w:val="fegure"/>
        <w:rPr>
          <w:sz w:val="8"/>
          <w:szCs w:val="24"/>
          <w:lang w:val="en-US"/>
        </w:rPr>
      </w:pPr>
      <w:bookmarkStart w:id="588" w:name="_Toc171803631"/>
      <w:r>
        <w:rPr>
          <w:rFonts w:hint="cs"/>
          <w:sz w:val="8"/>
          <w:szCs w:val="24"/>
          <w:rtl/>
          <w:lang w:val="en-US"/>
        </w:rPr>
        <w:t xml:space="preserve">المصدر: </w:t>
      </w:r>
      <w:r w:rsidRPr="00876E26">
        <w:rPr>
          <w:sz w:val="8"/>
          <w:szCs w:val="24"/>
          <w:rtl/>
          <w:lang w:val="en-US"/>
        </w:rPr>
        <w:t>(</w:t>
      </w:r>
      <w:r w:rsidRPr="00876E26">
        <w:rPr>
          <w:rFonts w:asciiTheme="majorBidi" w:hAnsiTheme="majorBidi" w:cstheme="majorBidi"/>
          <w:lang w:val="en-US"/>
        </w:rPr>
        <w:t>U.R.B.A, 2007</w:t>
      </w:r>
      <w:r w:rsidRPr="00876E26">
        <w:rPr>
          <w:sz w:val="8"/>
          <w:szCs w:val="24"/>
          <w:rtl/>
          <w:lang w:val="en-US"/>
        </w:rPr>
        <w:t>)</w:t>
      </w:r>
      <w:r>
        <w:rPr>
          <w:rFonts w:hint="cs"/>
          <w:sz w:val="8"/>
          <w:szCs w:val="24"/>
          <w:rtl/>
          <w:lang w:val="en-US"/>
        </w:rPr>
        <w:t xml:space="preserve"> +</w:t>
      </w:r>
      <w:r w:rsidRPr="00876E26">
        <w:rPr>
          <w:rFonts w:hint="cs"/>
          <w:sz w:val="8"/>
          <w:szCs w:val="24"/>
          <w:rtl/>
          <w:lang w:val="en-US"/>
        </w:rPr>
        <w:t xml:space="preserve"> </w:t>
      </w:r>
      <w:r>
        <w:rPr>
          <w:rFonts w:hint="cs"/>
          <w:sz w:val="8"/>
          <w:szCs w:val="24"/>
          <w:rtl/>
          <w:lang w:val="en-US"/>
        </w:rPr>
        <w:t>معالجة (الباحث، 2022)</w:t>
      </w:r>
      <w:bookmarkEnd w:id="588"/>
    </w:p>
    <w:p w:rsidR="000635D8" w:rsidRPr="00D25CC7" w:rsidRDefault="000635D8" w:rsidP="009C43FD">
      <w:pPr>
        <w:bidi/>
        <w:spacing w:after="0"/>
        <w:jc w:val="center"/>
        <w:rPr>
          <w:rFonts w:ascii="Simplified Arabic" w:hAnsi="Simplified Arabic" w:cs="Simplified Arabic"/>
          <w:sz w:val="24"/>
          <w:szCs w:val="24"/>
          <w:rtl/>
          <w:lang w:val="en-US"/>
        </w:rPr>
      </w:pPr>
      <w:r>
        <w:rPr>
          <w:noProof/>
          <w:lang w:eastAsia="fr-FR"/>
        </w:rPr>
        <w:drawing>
          <wp:inline distT="0" distB="0" distL="0" distR="0" wp14:anchorId="1AE91B0F" wp14:editId="7BBFC6CB">
            <wp:extent cx="3545090" cy="2838091"/>
            <wp:effectExtent l="19050" t="19050" r="17780" b="19685"/>
            <wp:docPr id="184" name="Imag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0"/>
                    <a:stretch>
                      <a:fillRect/>
                    </a:stretch>
                  </pic:blipFill>
                  <pic:spPr>
                    <a:xfrm>
                      <a:off x="0" y="0"/>
                      <a:ext cx="3549435" cy="2841570"/>
                    </a:xfrm>
                    <a:prstGeom prst="rect">
                      <a:avLst/>
                    </a:prstGeom>
                    <a:ln>
                      <a:solidFill>
                        <a:schemeClr val="tx1"/>
                      </a:solidFill>
                    </a:ln>
                  </pic:spPr>
                </pic:pic>
              </a:graphicData>
            </a:graphic>
          </wp:inline>
        </w:drawing>
      </w:r>
    </w:p>
    <w:p w:rsidR="000635D8" w:rsidRPr="00E11355" w:rsidRDefault="000635D8" w:rsidP="001D0548">
      <w:pPr>
        <w:pStyle w:val="Paragraphedeliste"/>
        <w:numPr>
          <w:ilvl w:val="3"/>
          <w:numId w:val="232"/>
        </w:numPr>
        <w:tabs>
          <w:tab w:val="right" w:pos="1134"/>
        </w:tabs>
        <w:bidi/>
        <w:spacing w:after="0"/>
        <w:ind w:left="0" w:firstLine="0"/>
        <w:jc w:val="both"/>
        <w:outlineLvl w:val="2"/>
        <w:rPr>
          <w:rFonts w:ascii="Simplified Arabic" w:hAnsi="Simplified Arabic" w:cs="Simplified Arabic"/>
          <w:b/>
          <w:bCs/>
          <w:sz w:val="24"/>
          <w:szCs w:val="24"/>
          <w:rtl/>
          <w:lang w:val="en-US"/>
        </w:rPr>
      </w:pPr>
      <w:bookmarkStart w:id="589" w:name="_Toc171803632"/>
      <w:r w:rsidRPr="00E11355">
        <w:rPr>
          <w:rFonts w:ascii="Simplified Arabic" w:hAnsi="Simplified Arabic" w:cs="Simplified Arabic" w:hint="cs"/>
          <w:b/>
          <w:bCs/>
          <w:sz w:val="24"/>
          <w:szCs w:val="24"/>
          <w:rtl/>
        </w:rPr>
        <w:t xml:space="preserve">فئة </w:t>
      </w:r>
      <w:r w:rsidRPr="00E11355">
        <w:rPr>
          <w:rFonts w:ascii="Simplified Arabic" w:hAnsi="Simplified Arabic" w:cs="Simplified Arabic"/>
          <w:b/>
          <w:bCs/>
          <w:sz w:val="24"/>
          <w:szCs w:val="24"/>
          <w:rtl/>
        </w:rPr>
        <w:t>النسيج الحضري غير المخطط</w:t>
      </w:r>
      <w:r w:rsidR="00283D00" w:rsidRPr="00E11355">
        <w:rPr>
          <w:rFonts w:ascii="Simplified Arabic" w:hAnsi="Simplified Arabic" w:cs="Simplified Arabic" w:hint="cs"/>
          <w:b/>
          <w:bCs/>
          <w:sz w:val="24"/>
          <w:szCs w:val="24"/>
          <w:rtl/>
        </w:rPr>
        <w:t xml:space="preserve"> (</w:t>
      </w:r>
      <w:r w:rsidR="00283D00" w:rsidRPr="00E11355">
        <w:rPr>
          <w:rFonts w:ascii="Simplified Arabic" w:hAnsi="Simplified Arabic" w:cs="Simplified Arabic"/>
          <w:b/>
          <w:bCs/>
          <w:sz w:val="24"/>
          <w:szCs w:val="24"/>
          <w:rtl/>
        </w:rPr>
        <w:t>جـ</w:t>
      </w:r>
      <w:r w:rsidR="00283D00" w:rsidRPr="00E11355">
        <w:rPr>
          <w:rFonts w:ascii="Simplified Arabic" w:hAnsi="Simplified Arabic" w:cs="Simplified Arabic" w:hint="cs"/>
          <w:b/>
          <w:bCs/>
          <w:sz w:val="24"/>
          <w:szCs w:val="24"/>
          <w:rtl/>
        </w:rPr>
        <w:t>)</w:t>
      </w:r>
      <w:r w:rsidRPr="00E11355">
        <w:rPr>
          <w:rFonts w:ascii="Simplified Arabic" w:hAnsi="Simplified Arabic" w:cs="Simplified Arabic"/>
          <w:b/>
          <w:bCs/>
          <w:sz w:val="24"/>
          <w:szCs w:val="24"/>
          <w:rtl/>
        </w:rPr>
        <w:t>:</w:t>
      </w:r>
      <w:bookmarkEnd w:id="589"/>
    </w:p>
    <w:p w:rsidR="000635D8" w:rsidRDefault="000635D8" w:rsidP="004D6FB3">
      <w:pPr>
        <w:bidi/>
        <w:spacing w:after="0"/>
        <w:ind w:firstLine="283"/>
        <w:jc w:val="both"/>
        <w:rPr>
          <w:rFonts w:ascii="Simplified Arabic" w:hAnsi="Simplified Arabic" w:cs="Simplified Arabic"/>
          <w:sz w:val="24"/>
          <w:szCs w:val="24"/>
          <w:rtl/>
          <w:lang w:val="en-US"/>
        </w:rPr>
      </w:pPr>
      <w:r w:rsidRPr="009B3B72">
        <w:rPr>
          <w:rFonts w:ascii="Simplified Arabic" w:hAnsi="Simplified Arabic" w:cs="Simplified Arabic" w:hint="cs"/>
          <w:sz w:val="24"/>
          <w:szCs w:val="24"/>
          <w:rtl/>
          <w:lang w:val="en-US"/>
        </w:rPr>
        <w:t>امتدت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المدينة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نحو</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الغرب</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والجنوب</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على</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الرغم</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عقبة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جبل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كردادة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التي</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احاطت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الواحة</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w:t>
      </w:r>
      <w:r w:rsidRPr="009B3B72">
        <w:rPr>
          <w:rFonts w:ascii="Simplified Arabic" w:hAnsi="Simplified Arabic" w:cs="Simplified Arabic" w:hint="cs"/>
          <w:sz w:val="24"/>
          <w:szCs w:val="24"/>
          <w:rtl/>
          <w:lang w:val="en-US"/>
        </w:rPr>
        <w:t>الأحياء</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العشوائية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للمرحلة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الأولى</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سنوات</w:t>
      </w:r>
      <w:r w:rsidRPr="009B3B72">
        <w:rPr>
          <w:rFonts w:ascii="Simplified Arabic" w:hAnsi="Simplified Arabic" w:cs="Simplified Arabic"/>
          <w:sz w:val="24"/>
          <w:szCs w:val="24"/>
          <w:rtl/>
          <w:lang w:val="en-US"/>
        </w:rPr>
        <w:t xml:space="preserve"> 1950) </w:t>
      </w:r>
      <w:r w:rsidRPr="009B3B72">
        <w:rPr>
          <w:rFonts w:ascii="Simplified Arabic" w:hAnsi="Simplified Arabic" w:cs="Simplified Arabic" w:hint="cs"/>
          <w:sz w:val="24"/>
          <w:szCs w:val="24"/>
          <w:rtl/>
          <w:lang w:val="en-US"/>
        </w:rPr>
        <w:t>والتي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تطورت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بالتوازي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مع</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المناطق</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الاستعمارية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بلاتو،</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س</w:t>
      </w:r>
      <w:r>
        <w:rPr>
          <w:rFonts w:ascii="Simplified Arabic" w:hAnsi="Simplified Arabic" w:cs="Simplified Arabic" w:hint="cs"/>
          <w:sz w:val="24"/>
          <w:szCs w:val="24"/>
          <w:rtl/>
          <w:lang w:val="en-US"/>
        </w:rPr>
        <w:t>ط</w:t>
      </w:r>
      <w:r w:rsidRPr="009B3B72">
        <w:rPr>
          <w:rFonts w:ascii="Simplified Arabic" w:hAnsi="Simplified Arabic" w:cs="Simplified Arabic" w:hint="cs"/>
          <w:sz w:val="24"/>
          <w:szCs w:val="24"/>
          <w:rtl/>
          <w:lang w:val="en-US"/>
        </w:rPr>
        <w:t>يح</w:t>
      </w:r>
      <w:r>
        <w:rPr>
          <w:rFonts w:ascii="Simplified Arabic" w:hAnsi="Simplified Arabic" w:cs="Simplified Arabic"/>
          <w:sz w:val="24"/>
          <w:szCs w:val="24"/>
          <w:rtl/>
          <w:lang w:val="en-US"/>
        </w:rPr>
        <w:t>)</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هذه</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الأحياء</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هي</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قيسه</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وال</w:t>
      </w:r>
      <w:r w:rsidRPr="009B3B72">
        <w:rPr>
          <w:rFonts w:ascii="Simplified Arabic" w:hAnsi="Simplified Arabic" w:cs="Simplified Arabic" w:hint="cs"/>
          <w:sz w:val="24"/>
          <w:szCs w:val="24"/>
          <w:rtl/>
          <w:lang w:val="en-US"/>
        </w:rPr>
        <w:t>كوشة،</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دشره</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الق</w:t>
      </w:r>
      <w:r w:rsidRPr="009B3B72">
        <w:rPr>
          <w:rFonts w:ascii="Simplified Arabic" w:hAnsi="Simplified Arabic" w:cs="Simplified Arabic" w:hint="cs"/>
          <w:sz w:val="24"/>
          <w:szCs w:val="24"/>
          <w:rtl/>
          <w:lang w:val="en-US"/>
        </w:rPr>
        <w:t>بلية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عوين</w:t>
      </w:r>
      <w:r>
        <w:rPr>
          <w:rFonts w:ascii="Simplified Arabic" w:hAnsi="Simplified Arabic" w:cs="Simplified Arabic" w:hint="cs"/>
          <w:sz w:val="24"/>
          <w:szCs w:val="24"/>
          <w:rtl/>
          <w:lang w:val="en-US"/>
        </w:rPr>
        <w:t>ا</w:t>
      </w:r>
      <w:r w:rsidRPr="009B3B72">
        <w:rPr>
          <w:rFonts w:ascii="Simplified Arabic" w:hAnsi="Simplified Arabic" w:cs="Simplified Arabic" w:hint="cs"/>
          <w:sz w:val="24"/>
          <w:szCs w:val="24"/>
          <w:rtl/>
          <w:lang w:val="en-US"/>
        </w:rPr>
        <w:t>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ثم</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أحياء</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المرحلة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الثانية</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بداية </w:t>
      </w:r>
      <w:r w:rsidRPr="009B3B72">
        <w:rPr>
          <w:rFonts w:ascii="Simplified Arabic" w:hAnsi="Simplified Arabic" w:cs="Simplified Arabic" w:hint="cs"/>
          <w:sz w:val="24"/>
          <w:szCs w:val="24"/>
          <w:rtl/>
          <w:lang w:val="en-US"/>
        </w:rPr>
        <w:t>من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عام</w:t>
      </w:r>
      <w:r w:rsidRPr="009B3B72">
        <w:rPr>
          <w:rFonts w:ascii="Simplified Arabic" w:hAnsi="Simplified Arabic" w:cs="Simplified Arabic"/>
          <w:sz w:val="24"/>
          <w:szCs w:val="24"/>
          <w:rtl/>
          <w:lang w:val="en-US"/>
        </w:rPr>
        <w:t xml:space="preserve"> 1972) </w:t>
      </w:r>
      <w:r w:rsidRPr="009B3B72">
        <w:rPr>
          <w:rFonts w:ascii="Simplified Arabic" w:hAnsi="Simplified Arabic" w:cs="Simplified Arabic" w:hint="cs"/>
          <w:sz w:val="24"/>
          <w:szCs w:val="24"/>
          <w:rtl/>
          <w:lang w:val="en-US"/>
        </w:rPr>
        <w:t>والتي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تقع</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داخل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حدود</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المدينة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مثل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سيدي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سليمان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رصف</w:t>
      </w:r>
      <w:r>
        <w:rPr>
          <w:rFonts w:ascii="Simplified Arabic" w:hAnsi="Simplified Arabic" w:cs="Simplified Arabic" w:hint="cs"/>
          <w:sz w:val="24"/>
          <w:szCs w:val="24"/>
          <w:rtl/>
          <w:lang w:val="en-US"/>
        </w:rPr>
        <w:t>ة</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 من غير حي </w:t>
      </w:r>
      <w:r w:rsidRPr="009B3B72">
        <w:rPr>
          <w:rFonts w:ascii="Simplified Arabic" w:hAnsi="Simplified Arabic" w:cs="Simplified Arabic" w:hint="cs"/>
          <w:sz w:val="24"/>
          <w:szCs w:val="24"/>
          <w:rtl/>
          <w:lang w:val="en-US"/>
        </w:rPr>
        <w:t>ميطر</w:t>
      </w:r>
      <w:r>
        <w:rPr>
          <w:rFonts w:ascii="Simplified Arabic" w:hAnsi="Simplified Arabic" w:cs="Simplified Arabic" w:hint="cs"/>
          <w:sz w:val="24"/>
          <w:szCs w:val="24"/>
          <w:rtl/>
          <w:lang w:val="en-US"/>
        </w:rPr>
        <w:t xml:space="preserve"> الذي انشا فيما بعد خارج حدود المدينة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تحتل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هذه</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الأحياء</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جزءًا</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كبيرًا</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المدينة</w:t>
      </w:r>
      <w:r>
        <w:rPr>
          <w:rFonts w:ascii="Simplified Arabic" w:hAnsi="Simplified Arabic" w:cs="Simplified Arabic" w:hint="cs"/>
          <w:sz w:val="24"/>
          <w:szCs w:val="24"/>
          <w:rtl/>
          <w:lang w:val="en-US"/>
        </w:rPr>
        <w:t>،</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w:t>
      </w:r>
      <w:r>
        <w:rPr>
          <w:rFonts w:ascii="Simplified Arabic" w:hAnsi="Simplified Arabic" w:cs="Simplified Arabic" w:hint="cs"/>
          <w:sz w:val="24"/>
          <w:szCs w:val="24"/>
          <w:rtl/>
          <w:lang w:val="en-US"/>
        </w:rPr>
        <w:t>ُ</w:t>
      </w:r>
      <w:r w:rsidRPr="009B3B72">
        <w:rPr>
          <w:rFonts w:ascii="Simplified Arabic" w:hAnsi="Simplified Arabic" w:cs="Simplified Arabic" w:hint="cs"/>
          <w:sz w:val="24"/>
          <w:szCs w:val="24"/>
          <w:rtl/>
          <w:lang w:val="en-US"/>
        </w:rPr>
        <w:t>كو</w:t>
      </w:r>
      <w:r>
        <w:rPr>
          <w:rFonts w:ascii="Simplified Arabic" w:hAnsi="Simplified Arabic" w:cs="Simplified Arabic" w:hint="cs"/>
          <w:sz w:val="24"/>
          <w:szCs w:val="24"/>
          <w:rtl/>
          <w:lang w:val="en-US"/>
        </w:rPr>
        <w:t>ّ</w:t>
      </w:r>
      <w:r w:rsidRPr="009B3B72">
        <w:rPr>
          <w:rFonts w:ascii="Simplified Arabic" w:hAnsi="Simplified Arabic" w:cs="Simplified Arabic" w:hint="cs"/>
          <w:sz w:val="24"/>
          <w:szCs w:val="24"/>
          <w:rtl/>
          <w:lang w:val="en-US"/>
        </w:rPr>
        <w:t>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بيئتها</w:t>
      </w:r>
      <w:r w:rsidRPr="009B3B72">
        <w:rPr>
          <w:rFonts w:ascii="Simplified Arabic" w:hAnsi="Simplified Arabic" w:cs="Simplified Arabic"/>
          <w:sz w:val="24"/>
          <w:szCs w:val="24"/>
          <w:rtl/>
          <w:lang w:val="en-US"/>
        </w:rPr>
        <w:t xml:space="preserve"> </w:t>
      </w:r>
      <w:r w:rsidR="008E533E">
        <w:rPr>
          <w:rFonts w:ascii="Simplified Arabic" w:hAnsi="Simplified Arabic" w:cs="Simplified Arabic" w:hint="cs"/>
          <w:sz w:val="24"/>
          <w:szCs w:val="24"/>
          <w:rtl/>
          <w:lang w:val="en-US"/>
        </w:rPr>
        <w:t>الحضرية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غير</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متجانسة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بشكل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عام،</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لها</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هيكل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حضري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غير</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منتظم</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تخدمه</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شبكة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الطرق</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الداخلية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الشوارع</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والأزقة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والطرق</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المسدودة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والطرق</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الرئيسية</w:t>
      </w:r>
      <w:r>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rPr>
        <w:t xml:space="preserve">الشكل </w:t>
      </w:r>
      <w:r w:rsidR="00D86155">
        <w:rPr>
          <w:rFonts w:ascii="Simplified Arabic" w:hAnsi="Simplified Arabic" w:cs="Simplified Arabic" w:hint="cs"/>
          <w:sz w:val="24"/>
          <w:szCs w:val="24"/>
          <w:rtl/>
        </w:rPr>
        <w:t>(4-7)</w:t>
      </w:r>
      <w:r w:rsidRPr="009B3B72">
        <w:rPr>
          <w:rFonts w:ascii="Simplified Arabic" w:hAnsi="Simplified Arabic" w:cs="Simplified Arabic"/>
          <w:sz w:val="24"/>
          <w:szCs w:val="24"/>
          <w:rtl/>
          <w:lang w:val="en-US"/>
        </w:rPr>
        <w:t>.</w:t>
      </w:r>
      <w:r w:rsidRPr="003159C2">
        <w:rPr>
          <w:rFonts w:ascii="Simplified Arabic" w:hAnsi="Simplified Arabic" w:cs="Simplified Arabic" w:hint="cs"/>
          <w:sz w:val="24"/>
          <w:szCs w:val="24"/>
          <w:rtl/>
          <w:lang w:val="en-US"/>
        </w:rPr>
        <w:t xml:space="preserve"> يتم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الأر</w:t>
      </w:r>
      <w:r w:rsidRPr="00A90F9B">
        <w:rPr>
          <w:rFonts w:ascii="Simplified Arabic" w:hAnsi="Simplified Arabic" w:cs="Simplified Arabic" w:hint="cs"/>
          <w:sz w:val="24"/>
          <w:szCs w:val="24"/>
          <w:rtl/>
          <w:lang w:val="en-US"/>
        </w:rPr>
        <w:t>ض</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لفئة النسيج الحضري غير المخطط</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من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خلال</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A90F9B">
        <w:rPr>
          <w:rFonts w:ascii="Simplified Arabic" w:hAnsi="Simplified Arabic" w:cs="Simplified Arabic" w:hint="cs"/>
          <w:sz w:val="24"/>
          <w:szCs w:val="24"/>
          <w:rtl/>
          <w:lang w:val="en-US"/>
        </w:rPr>
        <w:t>توزيع</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المكاني </w:t>
      </w:r>
      <w:r w:rsidR="00D86155">
        <w:rPr>
          <w:rFonts w:ascii="Simplified Arabic" w:hAnsi="Simplified Arabic" w:cs="Simplified Arabic" w:hint="cs"/>
          <w:sz w:val="24"/>
          <w:szCs w:val="24"/>
          <w:rtl/>
          <w:lang w:val="en-US"/>
        </w:rPr>
        <w:t>ل</w:t>
      </w:r>
      <w:r w:rsidRPr="00A90F9B">
        <w:rPr>
          <w:rFonts w:ascii="Simplified Arabic" w:hAnsi="Simplified Arabic" w:cs="Simplified Arabic" w:hint="cs"/>
          <w:sz w:val="24"/>
          <w:szCs w:val="24"/>
          <w:rtl/>
          <w:lang w:val="en-US"/>
        </w:rPr>
        <w:t>لسكن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والمرافق</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شبكة الطرق</w:t>
      </w:r>
      <w:r w:rsidRPr="00A90F9B">
        <w:rPr>
          <w:rFonts w:ascii="Simplified Arabic" w:hAnsi="Simplified Arabic" w:cs="Simplified Arabic"/>
          <w:sz w:val="24"/>
          <w:szCs w:val="24"/>
          <w:rtl/>
          <w:lang w:val="en-US"/>
        </w:rPr>
        <w:t>.</w:t>
      </w:r>
    </w:p>
    <w:p w:rsidR="000635D8" w:rsidRDefault="000635D8" w:rsidP="001D0548">
      <w:pPr>
        <w:pStyle w:val="Paragraphedeliste"/>
        <w:numPr>
          <w:ilvl w:val="0"/>
          <w:numId w:val="2"/>
        </w:numPr>
        <w:bidi/>
        <w:spacing w:after="0"/>
        <w:ind w:left="0" w:firstLine="283"/>
        <w:jc w:val="both"/>
        <w:rPr>
          <w:rFonts w:ascii="Simplified Arabic" w:hAnsi="Simplified Arabic" w:cs="Simplified Arabic"/>
          <w:sz w:val="24"/>
          <w:szCs w:val="24"/>
          <w:lang w:val="en-US"/>
        </w:rPr>
      </w:pPr>
      <w:r>
        <w:rPr>
          <w:rFonts w:ascii="Simplified Arabic" w:hAnsi="Simplified Arabic" w:cs="Simplified Arabic" w:hint="cs"/>
          <w:b/>
          <w:bCs/>
          <w:sz w:val="24"/>
          <w:szCs w:val="24"/>
          <w:rtl/>
          <w:lang w:val="en-US"/>
        </w:rPr>
        <w:t>السكن</w:t>
      </w:r>
    </w:p>
    <w:p w:rsidR="000635D8" w:rsidRPr="00B805E4" w:rsidRDefault="000635D8" w:rsidP="000635D8">
      <w:pPr>
        <w:bidi/>
        <w:spacing w:after="0"/>
        <w:ind w:firstLine="283"/>
        <w:jc w:val="both"/>
        <w:rPr>
          <w:rFonts w:ascii="Simplified Arabic" w:hAnsi="Simplified Arabic" w:cs="Simplified Arabic"/>
          <w:sz w:val="24"/>
          <w:szCs w:val="24"/>
          <w:lang w:val="en-US"/>
        </w:rPr>
      </w:pPr>
      <w:r w:rsidRPr="00B805E4">
        <w:rPr>
          <w:rFonts w:ascii="Simplified Arabic" w:hAnsi="Simplified Arabic" w:cs="Simplified Arabic" w:hint="cs"/>
          <w:sz w:val="24"/>
          <w:szCs w:val="24"/>
          <w:rtl/>
          <w:lang w:val="en-US"/>
        </w:rPr>
        <w:t>تتميز</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الأحياء</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غير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المخططة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بمساحات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كبيرة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تتراوح</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بين</w:t>
      </w:r>
      <w:r w:rsidRPr="00B805E4">
        <w:rPr>
          <w:rFonts w:ascii="Simplified Arabic" w:hAnsi="Simplified Arabic" w:cs="Simplified Arabic"/>
          <w:sz w:val="24"/>
          <w:szCs w:val="24"/>
          <w:rtl/>
          <w:lang w:val="en-US"/>
        </w:rPr>
        <w:t xml:space="preserve"> 30 </w:t>
      </w:r>
      <w:r w:rsidRPr="00B805E4">
        <w:rPr>
          <w:rFonts w:ascii="Simplified Arabic" w:hAnsi="Simplified Arabic" w:cs="Simplified Arabic" w:hint="cs"/>
          <w:sz w:val="24"/>
          <w:szCs w:val="24"/>
          <w:rtl/>
          <w:lang w:val="en-US"/>
        </w:rPr>
        <w:t>هكتارًا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و</w:t>
      </w:r>
      <w:r w:rsidRPr="00B805E4">
        <w:rPr>
          <w:rFonts w:ascii="Simplified Arabic" w:hAnsi="Simplified Arabic" w:cs="Simplified Arabic"/>
          <w:sz w:val="24"/>
          <w:szCs w:val="24"/>
          <w:rtl/>
          <w:lang w:val="en-US"/>
        </w:rPr>
        <w:t xml:space="preserve"> 119 </w:t>
      </w:r>
      <w:r w:rsidRPr="00B805E4">
        <w:rPr>
          <w:rFonts w:ascii="Simplified Arabic" w:hAnsi="Simplified Arabic" w:cs="Simplified Arabic" w:hint="cs"/>
          <w:sz w:val="24"/>
          <w:szCs w:val="24"/>
          <w:rtl/>
          <w:lang w:val="en-US"/>
        </w:rPr>
        <w:t>هكتارًا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موزعة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على</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النحو</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التالي</w:t>
      </w:r>
      <w:r w:rsidRPr="00B805E4">
        <w:rPr>
          <w:rFonts w:ascii="Simplified Arabic" w:hAnsi="Simplified Arabic" w:cs="Simplified Arabic"/>
          <w:sz w:val="24"/>
          <w:szCs w:val="24"/>
          <w:rtl/>
          <w:lang w:val="en-US"/>
        </w:rPr>
        <w:t>:</w:t>
      </w:r>
    </w:p>
    <w:p w:rsidR="000635D8" w:rsidRPr="00B805E4" w:rsidRDefault="000635D8" w:rsidP="00D26F8A">
      <w:pPr>
        <w:bidi/>
        <w:spacing w:after="0"/>
        <w:ind w:firstLine="283"/>
        <w:jc w:val="both"/>
        <w:rPr>
          <w:rFonts w:ascii="Simplified Arabic" w:hAnsi="Simplified Arabic" w:cs="Simplified Arabic"/>
          <w:sz w:val="24"/>
          <w:szCs w:val="24"/>
          <w:lang w:val="en-US"/>
        </w:rPr>
      </w:pPr>
      <w:r w:rsidRPr="00B805E4">
        <w:rPr>
          <w:rFonts w:ascii="Simplified Arabic" w:hAnsi="Simplified Arabic" w:cs="Simplified Arabic"/>
          <w:sz w:val="24"/>
          <w:szCs w:val="24"/>
          <w:rtl/>
          <w:lang w:val="en-US"/>
        </w:rPr>
        <w:t xml:space="preserve">* 30 </w:t>
      </w:r>
      <w:r w:rsidRPr="00B805E4">
        <w:rPr>
          <w:rFonts w:ascii="Simplified Arabic" w:hAnsi="Simplified Arabic" w:cs="Simplified Arabic" w:hint="cs"/>
          <w:sz w:val="24"/>
          <w:szCs w:val="24"/>
          <w:rtl/>
          <w:lang w:val="en-US"/>
        </w:rPr>
        <w:t>هكتارًا</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لحي ميطر، ي</w:t>
      </w:r>
      <w:r w:rsidRPr="00B805E4">
        <w:rPr>
          <w:rFonts w:ascii="Simplified Arabic" w:hAnsi="Simplified Arabic" w:cs="Simplified Arabic" w:hint="cs"/>
          <w:sz w:val="24"/>
          <w:szCs w:val="24"/>
          <w:rtl/>
          <w:lang w:val="en-US"/>
        </w:rPr>
        <w:t>شغل</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أكثر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w:t>
      </w:r>
      <w:r w:rsidRPr="00B805E4">
        <w:rPr>
          <w:rFonts w:ascii="Simplified Arabic" w:hAnsi="Simplified Arabic" w:cs="Simplified Arabic"/>
          <w:sz w:val="24"/>
          <w:szCs w:val="24"/>
          <w:rtl/>
          <w:lang w:val="en-US"/>
        </w:rPr>
        <w:t xml:space="preserve"> 80 </w:t>
      </w:r>
      <w:r w:rsidRPr="00B805E4">
        <w:rPr>
          <w:rFonts w:ascii="Simplified Arabic" w:hAnsi="Simplified Arabic" w:cs="Simplified Arabic" w:hint="cs"/>
          <w:sz w:val="24"/>
          <w:szCs w:val="24"/>
          <w:rtl/>
          <w:lang w:val="en-US"/>
        </w:rPr>
        <w:t>هكتارًا</w:t>
      </w:r>
      <w:r w:rsidR="00136E2F">
        <w:rPr>
          <w:rFonts w:ascii="Simplified Arabic" w:hAnsi="Simplified Arabic" w:cs="Simplified Arabic" w:hint="cs"/>
          <w:sz w:val="24"/>
          <w:szCs w:val="24"/>
          <w:rtl/>
          <w:lang w:val="en-US"/>
        </w:rPr>
        <w:t>،</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في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الواقع</w:t>
      </w:r>
      <w:r w:rsidRPr="00B805E4">
        <w:rPr>
          <w:rFonts w:ascii="Simplified Arabic" w:hAnsi="Simplified Arabic" w:cs="Simplified Arabic"/>
          <w:sz w:val="24"/>
          <w:szCs w:val="24"/>
          <w:rtl/>
          <w:lang w:val="en-US"/>
        </w:rPr>
        <w:t xml:space="preserve"> </w:t>
      </w:r>
      <w:r w:rsidR="00136E2F">
        <w:rPr>
          <w:rFonts w:ascii="Simplified Arabic" w:hAnsi="Simplified Arabic" w:cs="Simplified Arabic" w:hint="cs"/>
          <w:sz w:val="24"/>
          <w:szCs w:val="24"/>
          <w:rtl/>
          <w:lang w:val="en-US"/>
        </w:rPr>
        <w:t>تم تخفيض</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أكثر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w:t>
      </w:r>
      <w:r w:rsidRPr="00B805E4">
        <w:rPr>
          <w:rFonts w:ascii="Simplified Arabic" w:hAnsi="Simplified Arabic" w:cs="Simplified Arabic"/>
          <w:sz w:val="24"/>
          <w:szCs w:val="24"/>
          <w:rtl/>
          <w:lang w:val="en-US"/>
        </w:rPr>
        <w:t xml:space="preserve"> 50 </w:t>
      </w:r>
      <w:r w:rsidRPr="00B805E4">
        <w:rPr>
          <w:rFonts w:ascii="Simplified Arabic" w:hAnsi="Simplified Arabic" w:cs="Simplified Arabic" w:hint="cs"/>
          <w:sz w:val="24"/>
          <w:szCs w:val="24"/>
          <w:rtl/>
          <w:lang w:val="en-US"/>
        </w:rPr>
        <w:t>هكتارًا</w:t>
      </w:r>
      <w:r w:rsidRPr="00B805E4">
        <w:rPr>
          <w:rFonts w:ascii="Simplified Arabic" w:hAnsi="Simplified Arabic" w:cs="Simplified Arabic"/>
          <w:sz w:val="24"/>
          <w:szCs w:val="24"/>
          <w:rtl/>
          <w:lang w:val="en-US"/>
        </w:rPr>
        <w:t xml:space="preserve"> </w:t>
      </w:r>
      <w:r w:rsidR="00136E2F">
        <w:rPr>
          <w:rFonts w:ascii="Simplified Arabic" w:hAnsi="Simplified Arabic" w:cs="Simplified Arabic" w:hint="cs"/>
          <w:sz w:val="24"/>
          <w:szCs w:val="24"/>
          <w:rtl/>
          <w:lang w:val="en-US"/>
        </w:rPr>
        <w:t>مخصصة</w:t>
      </w:r>
      <w:r w:rsidRPr="00B805E4">
        <w:rPr>
          <w:rFonts w:ascii="Simplified Arabic" w:hAnsi="Simplified Arabic" w:cs="Simplified Arabic"/>
          <w:sz w:val="24"/>
          <w:szCs w:val="24"/>
          <w:rtl/>
          <w:lang w:val="en-US"/>
        </w:rPr>
        <w:t xml:space="preserve"> </w:t>
      </w:r>
      <w:r w:rsidR="00136E2F">
        <w:rPr>
          <w:rFonts w:ascii="Simplified Arabic" w:hAnsi="Simplified Arabic" w:cs="Simplified Arabic" w:hint="cs"/>
          <w:sz w:val="24"/>
          <w:szCs w:val="24"/>
          <w:rtl/>
          <w:lang w:val="en-US"/>
        </w:rPr>
        <w:t>ك</w:t>
      </w:r>
      <w:r w:rsidRPr="00B805E4">
        <w:rPr>
          <w:rFonts w:ascii="Simplified Arabic" w:hAnsi="Simplified Arabic" w:cs="Simplified Arabic" w:hint="cs"/>
          <w:sz w:val="24"/>
          <w:szCs w:val="24"/>
          <w:rtl/>
          <w:lang w:val="en-US"/>
        </w:rPr>
        <w:t>منطقة</w:t>
      </w:r>
      <w:r w:rsidRPr="00B805E4">
        <w:rPr>
          <w:rFonts w:ascii="Simplified Arabic" w:hAnsi="Simplified Arabic" w:cs="Simplified Arabic"/>
          <w:sz w:val="24"/>
          <w:szCs w:val="24"/>
          <w:rtl/>
          <w:lang w:val="en-US"/>
        </w:rPr>
        <w:t xml:space="preserve"> </w:t>
      </w:r>
      <w:r w:rsidR="00D26F8A">
        <w:rPr>
          <w:rFonts w:ascii="Simplified Arabic" w:hAnsi="Simplified Arabic" w:cs="Simplified Arabic" w:hint="cs"/>
          <w:sz w:val="24"/>
          <w:szCs w:val="24"/>
          <w:rtl/>
          <w:lang w:val="en-US"/>
        </w:rPr>
        <w:t>نشاطات وتخزين</w:t>
      </w:r>
      <w:r w:rsidRPr="00B805E4">
        <w:rPr>
          <w:rFonts w:ascii="Simplified Arabic" w:hAnsi="Simplified Arabic" w:cs="Simplified Arabic"/>
          <w:sz w:val="24"/>
          <w:szCs w:val="24"/>
          <w:rtl/>
          <w:lang w:val="en-US"/>
        </w:rPr>
        <w:t>.</w:t>
      </w:r>
    </w:p>
    <w:p w:rsidR="000635D8" w:rsidRPr="00B805E4" w:rsidRDefault="000635D8" w:rsidP="000635D8">
      <w:pPr>
        <w:bidi/>
        <w:spacing w:after="0"/>
        <w:ind w:firstLine="283"/>
        <w:jc w:val="both"/>
        <w:rPr>
          <w:rFonts w:ascii="Simplified Arabic" w:hAnsi="Simplified Arabic" w:cs="Simplified Arabic"/>
          <w:sz w:val="24"/>
          <w:szCs w:val="24"/>
          <w:lang w:val="en-US"/>
        </w:rPr>
      </w:pPr>
      <w:r w:rsidRPr="00B805E4">
        <w:rPr>
          <w:rFonts w:ascii="Simplified Arabic" w:hAnsi="Simplified Arabic" w:cs="Simplified Arabic"/>
          <w:sz w:val="24"/>
          <w:szCs w:val="24"/>
          <w:rtl/>
          <w:lang w:val="en-US"/>
        </w:rPr>
        <w:t xml:space="preserve">* 119 </w:t>
      </w:r>
      <w:r w:rsidRPr="00B805E4">
        <w:rPr>
          <w:rFonts w:ascii="Simplified Arabic" w:hAnsi="Simplified Arabic" w:cs="Simplified Arabic" w:hint="cs"/>
          <w:sz w:val="24"/>
          <w:szCs w:val="24"/>
          <w:rtl/>
          <w:lang w:val="en-US"/>
        </w:rPr>
        <w:t>هكتاراً</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لحي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جنان</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B805E4">
        <w:rPr>
          <w:rFonts w:ascii="Simplified Arabic" w:hAnsi="Simplified Arabic" w:cs="Simplified Arabic" w:hint="cs"/>
          <w:sz w:val="24"/>
          <w:szCs w:val="24"/>
          <w:rtl/>
          <w:lang w:val="en-US"/>
        </w:rPr>
        <w:t>بطم</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ل</w:t>
      </w:r>
      <w:r>
        <w:rPr>
          <w:rFonts w:ascii="Simplified Arabic" w:hAnsi="Simplified Arabic" w:cs="Simplified Arabic" w:hint="cs"/>
          <w:sz w:val="24"/>
          <w:szCs w:val="24"/>
          <w:rtl/>
          <w:lang w:val="en-US"/>
        </w:rPr>
        <w:t>يس</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منطقة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سكنية،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بل</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تمثل</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حدائق</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الواحات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التي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تخللتها</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بعض</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الوحدات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السكنية</w:t>
      </w:r>
      <w:r w:rsidRPr="00B805E4">
        <w:rPr>
          <w:rFonts w:ascii="Simplified Arabic" w:hAnsi="Simplified Arabic" w:cs="Simplified Arabic"/>
          <w:sz w:val="24"/>
          <w:szCs w:val="24"/>
          <w:rtl/>
          <w:lang w:val="en-US"/>
        </w:rPr>
        <w:t>).</w:t>
      </w:r>
    </w:p>
    <w:p w:rsidR="000635D8" w:rsidRPr="00B805E4" w:rsidRDefault="000635D8" w:rsidP="000635D8">
      <w:pPr>
        <w:bidi/>
        <w:spacing w:after="0"/>
        <w:ind w:firstLine="283"/>
        <w:jc w:val="both"/>
        <w:rPr>
          <w:rFonts w:ascii="Simplified Arabic" w:hAnsi="Simplified Arabic" w:cs="Simplified Arabic"/>
          <w:sz w:val="24"/>
          <w:szCs w:val="24"/>
          <w:lang w:val="en-US"/>
        </w:rPr>
      </w:pP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المناطق</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الأخرى</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كثيفة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للغاية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حيث</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المساكن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الفردية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التي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تشغل</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المناطق</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التالية</w:t>
      </w:r>
      <w:r w:rsidRPr="00B805E4">
        <w:rPr>
          <w:rFonts w:ascii="Simplified Arabic" w:hAnsi="Simplified Arabic" w:cs="Simplified Arabic"/>
          <w:sz w:val="24"/>
          <w:szCs w:val="24"/>
          <w:rtl/>
          <w:lang w:val="en-US"/>
        </w:rPr>
        <w:t xml:space="preserve">: 41.9 </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 ا</w:t>
      </w:r>
      <w:r w:rsidRPr="00B805E4">
        <w:rPr>
          <w:rFonts w:ascii="Simplified Arabic" w:hAnsi="Simplified Arabic" w:cs="Simplified Arabic" w:hint="cs"/>
          <w:sz w:val="24"/>
          <w:szCs w:val="24"/>
          <w:rtl/>
          <w:lang w:val="en-US"/>
        </w:rPr>
        <w:t>لدشر</w:t>
      </w:r>
      <w:r>
        <w:rPr>
          <w:rFonts w:ascii="Simplified Arabic" w:hAnsi="Simplified Arabic" w:cs="Simplified Arabic" w:hint="cs"/>
          <w:sz w:val="24"/>
          <w:szCs w:val="24"/>
          <w:rtl/>
          <w:lang w:val="en-US"/>
        </w:rPr>
        <w:t>ة</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القبلية/</w:t>
      </w:r>
      <w:r w:rsidRPr="00B805E4">
        <w:rPr>
          <w:rFonts w:ascii="Simplified Arabic" w:hAnsi="Simplified Arabic" w:cs="Simplified Arabic" w:hint="cs"/>
          <w:sz w:val="24"/>
          <w:szCs w:val="24"/>
          <w:rtl/>
          <w:lang w:val="en-US"/>
        </w:rPr>
        <w:t>الرصفة،</w:t>
      </w:r>
      <w:r w:rsidRPr="00B805E4">
        <w:rPr>
          <w:rFonts w:ascii="Simplified Arabic" w:hAnsi="Simplified Arabic" w:cs="Simplified Arabic"/>
          <w:sz w:val="24"/>
          <w:szCs w:val="24"/>
          <w:rtl/>
          <w:lang w:val="en-US"/>
        </w:rPr>
        <w:t xml:space="preserve"> 38.5 </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لحي الموامين</w:t>
      </w:r>
      <w:r w:rsidRPr="00B805E4">
        <w:rPr>
          <w:rFonts w:ascii="Simplified Arabic" w:hAnsi="Simplified Arabic" w:cs="Simplified Arabic" w:hint="cs"/>
          <w:sz w:val="24"/>
          <w:szCs w:val="24"/>
          <w:rtl/>
          <w:lang w:val="en-US"/>
        </w:rPr>
        <w:t>،</w:t>
      </w:r>
      <w:r w:rsidRPr="00B805E4">
        <w:rPr>
          <w:rFonts w:ascii="Simplified Arabic" w:hAnsi="Simplified Arabic" w:cs="Simplified Arabic"/>
          <w:sz w:val="24"/>
          <w:szCs w:val="24"/>
          <w:rtl/>
          <w:lang w:val="en-US"/>
        </w:rPr>
        <w:t xml:space="preserve"> 71.2 </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ل</w:t>
      </w:r>
      <w:r>
        <w:rPr>
          <w:rFonts w:ascii="Simplified Arabic" w:hAnsi="Simplified Arabic" w:cs="Simplified Arabic" w:hint="cs"/>
          <w:sz w:val="24"/>
          <w:szCs w:val="24"/>
          <w:rtl/>
          <w:lang w:val="en-US"/>
        </w:rPr>
        <w:t xml:space="preserve">حي </w:t>
      </w:r>
      <w:r w:rsidRPr="00B805E4">
        <w:rPr>
          <w:rFonts w:ascii="Simplified Arabic" w:hAnsi="Simplified Arabic" w:cs="Simplified Arabic" w:hint="cs"/>
          <w:sz w:val="24"/>
          <w:szCs w:val="24"/>
          <w:rtl/>
          <w:lang w:val="en-US"/>
        </w:rPr>
        <w:t>لعوينات،</w:t>
      </w:r>
      <w:r w:rsidRPr="00B805E4">
        <w:rPr>
          <w:rFonts w:ascii="Simplified Arabic" w:hAnsi="Simplified Arabic" w:cs="Simplified Arabic"/>
          <w:sz w:val="24"/>
          <w:szCs w:val="24"/>
          <w:rtl/>
          <w:lang w:val="en-US"/>
        </w:rPr>
        <w:t xml:space="preserve"> 56.2 </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لحي الق</w:t>
      </w:r>
      <w:r w:rsidRPr="00B805E4">
        <w:rPr>
          <w:rFonts w:ascii="Simplified Arabic" w:hAnsi="Simplified Arabic" w:cs="Simplified Arabic" w:hint="cs"/>
          <w:sz w:val="24"/>
          <w:szCs w:val="24"/>
          <w:rtl/>
          <w:lang w:val="en-US"/>
        </w:rPr>
        <w:t>يسة</w:t>
      </w:r>
      <w:r>
        <w:rPr>
          <w:rFonts w:ascii="Simplified Arabic" w:hAnsi="Simplified Arabic" w:cs="Simplified Arabic" w:hint="cs"/>
          <w:sz w:val="24"/>
          <w:szCs w:val="24"/>
          <w:rtl/>
          <w:lang w:val="en-US"/>
        </w:rPr>
        <w:t>/</w:t>
      </w:r>
      <w:r w:rsidRPr="00B805E4">
        <w:rPr>
          <w:rFonts w:ascii="Simplified Arabic" w:hAnsi="Simplified Arabic" w:cs="Simplified Arabic" w:hint="cs"/>
          <w:sz w:val="24"/>
          <w:szCs w:val="24"/>
          <w:rtl/>
          <w:lang w:val="en-US"/>
        </w:rPr>
        <w:t>الكوشة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و</w:t>
      </w:r>
      <w:r w:rsidRPr="00B805E4">
        <w:rPr>
          <w:rFonts w:ascii="Simplified Arabic" w:hAnsi="Simplified Arabic" w:cs="Simplified Arabic"/>
          <w:sz w:val="24"/>
          <w:szCs w:val="24"/>
          <w:rtl/>
          <w:lang w:val="en-US"/>
        </w:rPr>
        <w:t xml:space="preserve"> 103.9 </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ل</w:t>
      </w:r>
      <w:r>
        <w:rPr>
          <w:rFonts w:ascii="Simplified Arabic" w:hAnsi="Simplified Arabic" w:cs="Simplified Arabic" w:hint="cs"/>
          <w:sz w:val="24"/>
          <w:szCs w:val="24"/>
          <w:rtl/>
          <w:lang w:val="en-US"/>
        </w:rPr>
        <w:t xml:space="preserve">حي </w:t>
      </w:r>
      <w:r w:rsidRPr="00B805E4">
        <w:rPr>
          <w:rFonts w:ascii="Simplified Arabic" w:hAnsi="Simplified Arabic" w:cs="Simplified Arabic" w:hint="cs"/>
          <w:sz w:val="24"/>
          <w:szCs w:val="24"/>
          <w:rtl/>
          <w:lang w:val="en-US"/>
        </w:rPr>
        <w:t>سيدي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سليمان</w:t>
      </w:r>
      <w:r w:rsidRPr="00B805E4">
        <w:rPr>
          <w:rFonts w:ascii="Simplified Arabic" w:hAnsi="Simplified Arabic" w:cs="Simplified Arabic"/>
          <w:sz w:val="24"/>
          <w:szCs w:val="24"/>
          <w:rtl/>
          <w:lang w:val="en-US"/>
        </w:rPr>
        <w:t>.</w:t>
      </w:r>
    </w:p>
    <w:p w:rsidR="000635D8" w:rsidRPr="00B805E4" w:rsidRDefault="000635D8" w:rsidP="002C0E1D">
      <w:pPr>
        <w:bidi/>
        <w:spacing w:after="0"/>
        <w:ind w:firstLine="283"/>
        <w:rPr>
          <w:rFonts w:ascii="Simplified Arabic" w:hAnsi="Simplified Arabic" w:cs="Simplified Arabic"/>
          <w:sz w:val="24"/>
          <w:szCs w:val="24"/>
          <w:lang w:val="en-US"/>
        </w:rPr>
      </w:pPr>
      <w:r w:rsidRPr="00B805E4">
        <w:rPr>
          <w:rFonts w:ascii="Simplified Arabic" w:hAnsi="Simplified Arabic" w:cs="Simplified Arabic" w:hint="cs"/>
          <w:sz w:val="24"/>
          <w:szCs w:val="24"/>
          <w:rtl/>
          <w:lang w:val="en-US"/>
        </w:rPr>
        <w:t>تتراوح</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الكثافة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بين</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134</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و</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411</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ساكن/ا</w:t>
      </w:r>
      <w:r w:rsidRPr="00B805E4">
        <w:rPr>
          <w:rFonts w:ascii="Simplified Arabic" w:hAnsi="Simplified Arabic" w:cs="Simplified Arabic" w:hint="cs"/>
          <w:sz w:val="24"/>
          <w:szCs w:val="24"/>
          <w:rtl/>
          <w:lang w:val="en-US"/>
        </w:rPr>
        <w:t>لهكتار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يمكن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تفسير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هذا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التناقض</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ان</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العوين</w:t>
      </w:r>
      <w:r>
        <w:rPr>
          <w:rFonts w:ascii="Simplified Arabic" w:hAnsi="Simplified Arabic" w:cs="Simplified Arabic" w:hint="cs"/>
          <w:sz w:val="24"/>
          <w:szCs w:val="24"/>
          <w:rtl/>
          <w:lang w:val="en-US"/>
        </w:rPr>
        <w:t>ا</w:t>
      </w:r>
      <w:r w:rsidRPr="00B805E4">
        <w:rPr>
          <w:rFonts w:ascii="Simplified Arabic" w:hAnsi="Simplified Arabic" w:cs="Simplified Arabic" w:hint="cs"/>
          <w:sz w:val="24"/>
          <w:szCs w:val="24"/>
          <w:rtl/>
          <w:lang w:val="en-US"/>
        </w:rPr>
        <w:t>ت</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w:t>
      </w:r>
      <w:r w:rsidRPr="00B805E4">
        <w:rPr>
          <w:rFonts w:ascii="Simplified Arabic" w:hAnsi="Simplified Arabic" w:cs="Simplified Arabic" w:hint="cs"/>
          <w:sz w:val="24"/>
          <w:szCs w:val="24"/>
          <w:rtl/>
          <w:lang w:val="en-US"/>
        </w:rPr>
        <w:t>ضم</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مجموعة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كبيرة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المرافق</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العامة</w:t>
      </w:r>
      <w:r w:rsidRPr="00B805E4">
        <w:rPr>
          <w:rFonts w:ascii="Simplified Arabic" w:hAnsi="Simplified Arabic" w:cs="Simplified Arabic"/>
          <w:sz w:val="24"/>
          <w:szCs w:val="24"/>
          <w:rtl/>
          <w:lang w:val="en-US"/>
        </w:rPr>
        <w:t xml:space="preserve"> </w:t>
      </w:r>
      <w:r w:rsidR="003F6961">
        <w:rPr>
          <w:rFonts w:ascii="Simplified Arabic" w:hAnsi="Simplified Arabic" w:cs="Simplified Arabic" w:hint="cs"/>
          <w:sz w:val="24"/>
          <w:szCs w:val="24"/>
          <w:rtl/>
          <w:lang w:val="en-US"/>
        </w:rPr>
        <w:t>و</w:t>
      </w:r>
      <w:r w:rsidRPr="00B805E4">
        <w:rPr>
          <w:rFonts w:ascii="Simplified Arabic" w:hAnsi="Simplified Arabic" w:cs="Simplified Arabic" w:hint="cs"/>
          <w:sz w:val="24"/>
          <w:szCs w:val="24"/>
          <w:rtl/>
          <w:lang w:val="en-US"/>
        </w:rPr>
        <w:t>مساحات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وحدات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سكنية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شاسعة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بكثافة</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134</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ساكن</w:t>
      </w:r>
      <w:r w:rsidRPr="00B805E4">
        <w:rPr>
          <w:rFonts w:ascii="Simplified Arabic" w:hAnsi="Simplified Arabic" w:cs="Simplified Arabic"/>
          <w:sz w:val="24"/>
          <w:szCs w:val="24"/>
          <w:rtl/>
          <w:lang w:val="en-US"/>
        </w:rPr>
        <w:t>/</w:t>
      </w:r>
      <w:r w:rsidRPr="00B805E4">
        <w:rPr>
          <w:rFonts w:ascii="Simplified Arabic" w:hAnsi="Simplified Arabic" w:cs="Simplified Arabic" w:hint="cs"/>
          <w:sz w:val="24"/>
          <w:szCs w:val="24"/>
          <w:rtl/>
          <w:lang w:val="en-US"/>
        </w:rPr>
        <w:t>هكتار</w:t>
      </w:r>
      <w:r w:rsidR="003F6961">
        <w:rPr>
          <w:rFonts w:ascii="Simplified Arabic" w:hAnsi="Simplified Arabic" w:cs="Simplified Arabic" w:hint="cs"/>
          <w:sz w:val="24"/>
          <w:szCs w:val="24"/>
          <w:rtl/>
          <w:lang w:val="en-US"/>
        </w:rPr>
        <w:t>،</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بينما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حي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w:t>
      </w:r>
      <w:r>
        <w:rPr>
          <w:rFonts w:ascii="Simplified Arabic" w:hAnsi="Simplified Arabic" w:cs="Simplified Arabic" w:hint="cs"/>
          <w:sz w:val="24"/>
          <w:szCs w:val="24"/>
          <w:rtl/>
          <w:lang w:val="en-US"/>
        </w:rPr>
        <w:t>ق</w:t>
      </w:r>
      <w:r w:rsidRPr="00B805E4">
        <w:rPr>
          <w:rFonts w:ascii="Simplified Arabic" w:hAnsi="Simplified Arabic" w:cs="Simplified Arabic" w:hint="cs"/>
          <w:sz w:val="24"/>
          <w:szCs w:val="24"/>
          <w:rtl/>
          <w:lang w:val="en-US"/>
        </w:rPr>
        <w:t>يسة</w:t>
      </w:r>
      <w:r>
        <w:rPr>
          <w:rFonts w:ascii="Simplified Arabic" w:hAnsi="Simplified Arabic" w:cs="Simplified Arabic" w:hint="cs"/>
          <w:sz w:val="24"/>
          <w:szCs w:val="24"/>
          <w:rtl/>
          <w:lang w:val="en-US"/>
        </w:rPr>
        <w:t>/</w:t>
      </w:r>
      <w:r w:rsidRPr="00B805E4">
        <w:rPr>
          <w:rFonts w:ascii="Simplified Arabic" w:hAnsi="Simplified Arabic" w:cs="Simplified Arabic" w:hint="cs"/>
          <w:sz w:val="24"/>
          <w:szCs w:val="24"/>
          <w:rtl/>
          <w:lang w:val="en-US"/>
        </w:rPr>
        <w:t>الكوش</w:t>
      </w:r>
      <w:r>
        <w:rPr>
          <w:rFonts w:ascii="Simplified Arabic" w:hAnsi="Simplified Arabic" w:cs="Simplified Arabic" w:hint="cs"/>
          <w:sz w:val="24"/>
          <w:szCs w:val="24"/>
          <w:rtl/>
          <w:lang w:val="en-US"/>
        </w:rPr>
        <w:t>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بكثافة</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386</w:t>
      </w:r>
      <w:r w:rsidR="002C0E1D">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lastRenderedPageBreak/>
        <w:t>ساكن</w:t>
      </w:r>
      <w:r w:rsidRPr="00B805E4">
        <w:rPr>
          <w:rFonts w:ascii="Simplified Arabic" w:hAnsi="Simplified Arabic" w:cs="Simplified Arabic"/>
          <w:sz w:val="24"/>
          <w:szCs w:val="24"/>
          <w:rtl/>
          <w:lang w:val="en-US"/>
        </w:rPr>
        <w:t>/</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لذلك يشكلان </w:t>
      </w:r>
      <w:r w:rsidRPr="00B805E4">
        <w:rPr>
          <w:rFonts w:ascii="Simplified Arabic" w:hAnsi="Simplified Arabic" w:cs="Simplified Arabic" w:hint="cs"/>
          <w:sz w:val="24"/>
          <w:szCs w:val="24"/>
          <w:rtl/>
          <w:lang w:val="en-US"/>
        </w:rPr>
        <w:t>كثا</w:t>
      </w:r>
      <w:r>
        <w:rPr>
          <w:rFonts w:ascii="Simplified Arabic" w:hAnsi="Simplified Arabic" w:cs="Simplified Arabic" w:hint="cs"/>
          <w:sz w:val="24"/>
          <w:szCs w:val="24"/>
          <w:rtl/>
          <w:lang w:val="en-US"/>
        </w:rPr>
        <w:t>فة</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عالية للغاية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حيث</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الوحدات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السكنية</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w:t>
      </w:r>
      <w:r w:rsidRPr="00B805E4">
        <w:rPr>
          <w:rFonts w:ascii="Simplified Arabic" w:hAnsi="Simplified Arabic" w:cs="Simplified Arabic" w:hint="cs"/>
          <w:sz w:val="24"/>
          <w:szCs w:val="24"/>
          <w:rtl/>
          <w:lang w:val="en-US"/>
        </w:rPr>
        <w:t>مساحة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صغيرة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جدًا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تشبه</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وحدات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القصر</w:t>
      </w:r>
      <w:r w:rsidRPr="00B805E4">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بينما اعلى كثافة سكانية توجد بحي ميطر بكثافة 411 ساكن/هكتار.</w:t>
      </w:r>
    </w:p>
    <w:p w:rsidR="000635D8" w:rsidRPr="0056477F" w:rsidRDefault="000635D8" w:rsidP="000635D8">
      <w:pPr>
        <w:bidi/>
        <w:spacing w:after="0"/>
        <w:ind w:firstLine="283"/>
        <w:jc w:val="both"/>
        <w:rPr>
          <w:rFonts w:ascii="Simplified Arabic" w:hAnsi="Simplified Arabic" w:cs="Simplified Arabic"/>
          <w:sz w:val="24"/>
          <w:szCs w:val="24"/>
          <w:rtl/>
          <w:lang w:val="en-US"/>
        </w:rPr>
      </w:pP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الاحياء</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العشوائية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الاخرى</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متجانسة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حيث</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كثافتها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تتراوح</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بين</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182</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نسمة</w:t>
      </w:r>
      <w:r w:rsidRPr="00B805E4">
        <w:rPr>
          <w:rFonts w:ascii="Simplified Arabic" w:hAnsi="Simplified Arabic" w:cs="Simplified Arabic"/>
          <w:sz w:val="24"/>
          <w:szCs w:val="24"/>
          <w:rtl/>
          <w:lang w:val="en-US"/>
        </w:rPr>
        <w:t>/</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في</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 الموامين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الى</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285</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في</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حي </w:t>
      </w:r>
      <w:r w:rsidRPr="00B805E4">
        <w:rPr>
          <w:rFonts w:ascii="Simplified Arabic" w:hAnsi="Simplified Arabic" w:cs="Simplified Arabic" w:hint="cs"/>
          <w:sz w:val="24"/>
          <w:szCs w:val="24"/>
          <w:rtl/>
          <w:lang w:val="en-US"/>
        </w:rPr>
        <w:t>سيدي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سليمان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كثافة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السكن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لكل</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هي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نفسها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تلقائيًا،</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تتراوح</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بين</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26</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مسكن</w:t>
      </w:r>
      <w:r w:rsidRPr="00B805E4">
        <w:rPr>
          <w:rFonts w:ascii="Simplified Arabic" w:hAnsi="Simplified Arabic" w:cs="Simplified Arabic"/>
          <w:sz w:val="24"/>
          <w:szCs w:val="24"/>
          <w:rtl/>
          <w:lang w:val="en-US"/>
        </w:rPr>
        <w:t>/</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و</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45</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مسكن</w:t>
      </w:r>
      <w:r w:rsidRPr="00B805E4">
        <w:rPr>
          <w:rFonts w:ascii="Simplified Arabic" w:hAnsi="Simplified Arabic" w:cs="Simplified Arabic"/>
          <w:sz w:val="24"/>
          <w:szCs w:val="24"/>
          <w:rtl/>
          <w:lang w:val="en-US"/>
        </w:rPr>
        <w:t>/</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تبلغ</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الكثافة</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السكانية </w:t>
      </w:r>
      <w:r w:rsidRPr="00B805E4">
        <w:rPr>
          <w:rFonts w:ascii="Simplified Arabic" w:hAnsi="Simplified Arabic" w:cs="Simplified Arabic" w:hint="cs"/>
          <w:sz w:val="24"/>
          <w:szCs w:val="24"/>
          <w:rtl/>
          <w:lang w:val="en-US"/>
        </w:rPr>
        <w:t>في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منطقة</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جنان</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B805E4">
        <w:rPr>
          <w:rFonts w:ascii="Simplified Arabic" w:hAnsi="Simplified Arabic" w:cs="Simplified Arabic" w:hint="cs"/>
          <w:sz w:val="24"/>
          <w:szCs w:val="24"/>
          <w:rtl/>
          <w:lang w:val="en-US"/>
        </w:rPr>
        <w:t>بطم</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20</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ساكن</w:t>
      </w:r>
      <w:r w:rsidRPr="00B805E4">
        <w:rPr>
          <w:rFonts w:ascii="Simplified Arabic" w:hAnsi="Simplified Arabic" w:cs="Simplified Arabic"/>
          <w:sz w:val="24"/>
          <w:szCs w:val="24"/>
          <w:rtl/>
          <w:lang w:val="en-US"/>
        </w:rPr>
        <w:t>/</w:t>
      </w:r>
      <w:r w:rsidRPr="00B805E4">
        <w:rPr>
          <w:rFonts w:ascii="Simplified Arabic" w:hAnsi="Simplified Arabic" w:cs="Simplified Arabic" w:hint="cs"/>
          <w:sz w:val="24"/>
          <w:szCs w:val="24"/>
          <w:rtl/>
          <w:lang w:val="en-US"/>
        </w:rPr>
        <w:t>هكتار</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بعد غزو البناء</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للواحة و</w:t>
      </w:r>
      <w:r w:rsidRPr="00B805E4">
        <w:rPr>
          <w:rFonts w:ascii="Simplified Arabic" w:hAnsi="Simplified Arabic" w:cs="Simplified Arabic" w:hint="cs"/>
          <w:sz w:val="24"/>
          <w:szCs w:val="24"/>
          <w:rtl/>
          <w:lang w:val="en-US"/>
        </w:rPr>
        <w:t>لأن</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هذه</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السكنات</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مبعثرة</w:t>
      </w:r>
      <w:r w:rsidRPr="00B805E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في</w:t>
      </w:r>
      <w:r w:rsidRPr="00B805E4">
        <w:rPr>
          <w:rFonts w:ascii="Simplified Arabic" w:hAnsi="Simplified Arabic" w:cs="Simplified Arabic"/>
          <w:sz w:val="24"/>
          <w:szCs w:val="24"/>
          <w:rtl/>
          <w:lang w:val="en-US"/>
        </w:rPr>
        <w:t xml:space="preserve"> </w:t>
      </w:r>
      <w:r w:rsidRPr="00B805E4">
        <w:rPr>
          <w:rFonts w:ascii="Simplified Arabic" w:hAnsi="Simplified Arabic" w:cs="Simplified Arabic" w:hint="cs"/>
          <w:sz w:val="24"/>
          <w:szCs w:val="24"/>
          <w:rtl/>
          <w:lang w:val="en-US"/>
        </w:rPr>
        <w:t>حدائق</w:t>
      </w:r>
      <w:r>
        <w:rPr>
          <w:rFonts w:ascii="Simplified Arabic" w:hAnsi="Simplified Arabic" w:cs="Simplified Arabic" w:hint="cs"/>
          <w:sz w:val="24"/>
          <w:szCs w:val="24"/>
          <w:rtl/>
          <w:lang w:val="en-US"/>
        </w:rPr>
        <w:t>ها</w:t>
      </w:r>
      <w:r w:rsidRPr="00B805E4">
        <w:rPr>
          <w:rFonts w:ascii="Simplified Arabic" w:hAnsi="Simplified Arabic" w:cs="Simplified Arabic"/>
          <w:sz w:val="24"/>
          <w:szCs w:val="24"/>
          <w:rtl/>
          <w:lang w:val="en-US"/>
        </w:rPr>
        <w:t>.</w:t>
      </w:r>
    </w:p>
    <w:p w:rsidR="000635D8" w:rsidRPr="00942453" w:rsidRDefault="000635D8" w:rsidP="001D0548">
      <w:pPr>
        <w:pStyle w:val="Paragraphedeliste"/>
        <w:numPr>
          <w:ilvl w:val="0"/>
          <w:numId w:val="2"/>
        </w:numPr>
        <w:bidi/>
        <w:spacing w:after="0"/>
        <w:ind w:left="0" w:firstLine="283"/>
        <w:jc w:val="both"/>
        <w:rPr>
          <w:rFonts w:ascii="Simplified Arabic" w:hAnsi="Simplified Arabic" w:cs="Simplified Arabic"/>
          <w:b/>
          <w:bCs/>
          <w:sz w:val="24"/>
          <w:szCs w:val="24"/>
          <w:lang w:val="en-US"/>
        </w:rPr>
      </w:pPr>
      <w:r w:rsidRPr="00942453">
        <w:rPr>
          <w:rFonts w:ascii="Simplified Arabic" w:hAnsi="Simplified Arabic" w:cs="Simplified Arabic" w:hint="cs"/>
          <w:b/>
          <w:bCs/>
          <w:color w:val="000000"/>
          <w:sz w:val="24"/>
          <w:szCs w:val="24"/>
          <w:rtl/>
        </w:rPr>
        <w:t>المرافق</w:t>
      </w:r>
    </w:p>
    <w:p w:rsidR="000635D8" w:rsidRPr="00942453" w:rsidRDefault="000635D8" w:rsidP="000635D8">
      <w:pPr>
        <w:bidi/>
        <w:spacing w:after="0"/>
        <w:ind w:firstLine="283"/>
        <w:jc w:val="both"/>
        <w:rPr>
          <w:rFonts w:ascii="Simplified Arabic" w:hAnsi="Simplified Arabic" w:cs="Simplified Arabic"/>
          <w:sz w:val="24"/>
          <w:szCs w:val="24"/>
          <w:lang w:val="en-US"/>
        </w:rPr>
      </w:pPr>
      <w:r>
        <w:rPr>
          <w:rFonts w:ascii="Simplified Arabic" w:hAnsi="Simplified Arabic" w:cs="Simplified Arabic" w:hint="cs"/>
          <w:sz w:val="24"/>
          <w:szCs w:val="24"/>
          <w:rtl/>
          <w:lang w:val="en-US"/>
        </w:rPr>
        <w:t xml:space="preserve">تضم </w:t>
      </w:r>
      <w:r w:rsidRPr="00942453">
        <w:rPr>
          <w:rFonts w:ascii="Simplified Arabic" w:hAnsi="Simplified Arabic" w:cs="Simplified Arabic" w:hint="cs"/>
          <w:sz w:val="24"/>
          <w:szCs w:val="24"/>
          <w:rtl/>
          <w:lang w:val="en-US"/>
        </w:rPr>
        <w:t>الأحياء</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942453">
        <w:rPr>
          <w:rFonts w:ascii="Simplified Arabic" w:hAnsi="Simplified Arabic" w:cs="Simplified Arabic" w:hint="cs"/>
          <w:sz w:val="24"/>
          <w:szCs w:val="24"/>
          <w:rtl/>
          <w:lang w:val="en-US"/>
        </w:rPr>
        <w:t>ثلاث</w:t>
      </w:r>
      <w:r>
        <w:rPr>
          <w:rFonts w:ascii="Simplified Arabic" w:hAnsi="Simplified Arabic" w:cs="Simplified Arabic" w:hint="cs"/>
          <w:sz w:val="24"/>
          <w:szCs w:val="24"/>
          <w:rtl/>
          <w:lang w:val="en-US"/>
        </w:rPr>
        <w:t>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غير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المخططة،</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الموامين، الكوشة/القيسة </w:t>
      </w:r>
      <w:r w:rsidRPr="00942453">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ل</w:t>
      </w:r>
      <w:r w:rsidRPr="00942453">
        <w:rPr>
          <w:rFonts w:ascii="Simplified Arabic" w:hAnsi="Simplified Arabic" w:cs="Simplified Arabic" w:hint="cs"/>
          <w:sz w:val="24"/>
          <w:szCs w:val="24"/>
          <w:rtl/>
          <w:lang w:val="en-US"/>
        </w:rPr>
        <w:t>عوين</w:t>
      </w:r>
      <w:r>
        <w:rPr>
          <w:rFonts w:ascii="Simplified Arabic" w:hAnsi="Simplified Arabic" w:cs="Simplified Arabic" w:hint="cs"/>
          <w:sz w:val="24"/>
          <w:szCs w:val="24"/>
          <w:rtl/>
          <w:lang w:val="en-US"/>
        </w:rPr>
        <w:t>ا</w:t>
      </w:r>
      <w:r w:rsidRPr="00942453">
        <w:rPr>
          <w:rFonts w:ascii="Simplified Arabic" w:hAnsi="Simplified Arabic" w:cs="Simplified Arabic" w:hint="cs"/>
          <w:sz w:val="24"/>
          <w:szCs w:val="24"/>
          <w:rtl/>
          <w:lang w:val="en-US"/>
        </w:rPr>
        <w:t>ت</w:t>
      </w:r>
      <w:r>
        <w:rPr>
          <w:rFonts w:ascii="Simplified Arabic" w:hAnsi="Simplified Arabic" w:cs="Simplified Arabic" w:hint="cs"/>
          <w:sz w:val="24"/>
          <w:szCs w:val="24"/>
          <w:rtl/>
          <w:lang w:val="en-US"/>
        </w:rPr>
        <w:t xml:space="preserve">، </w:t>
      </w:r>
      <w:r w:rsidRPr="00942453">
        <w:rPr>
          <w:rFonts w:ascii="Simplified Arabic" w:hAnsi="Simplified Arabic" w:cs="Simplified Arabic" w:hint="cs"/>
          <w:sz w:val="24"/>
          <w:szCs w:val="24"/>
          <w:rtl/>
          <w:lang w:val="en-US"/>
        </w:rPr>
        <w:t>عدد</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كبير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المرافق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العامة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ممثلة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على</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النحو</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التالي</w:t>
      </w:r>
      <w:r w:rsidRPr="00942453">
        <w:rPr>
          <w:rFonts w:ascii="Simplified Arabic" w:hAnsi="Simplified Arabic" w:cs="Simplified Arabic"/>
          <w:sz w:val="24"/>
          <w:szCs w:val="24"/>
          <w:rtl/>
          <w:lang w:val="en-US"/>
        </w:rPr>
        <w:t>:</w:t>
      </w:r>
    </w:p>
    <w:p w:rsidR="000635D8" w:rsidRPr="00942453" w:rsidRDefault="000635D8" w:rsidP="00D86155">
      <w:pPr>
        <w:bidi/>
        <w:spacing w:after="0"/>
        <w:ind w:firstLine="283"/>
        <w:jc w:val="both"/>
        <w:rPr>
          <w:rFonts w:ascii="Simplified Arabic" w:hAnsi="Simplified Arabic" w:cs="Simplified Arabic"/>
          <w:sz w:val="24"/>
          <w:szCs w:val="24"/>
          <w:lang w:val="en-US"/>
        </w:rPr>
      </w:pP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يوجد</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في</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 ال</w:t>
      </w:r>
      <w:r w:rsidRPr="00942453">
        <w:rPr>
          <w:rFonts w:ascii="Simplified Arabic" w:hAnsi="Simplified Arabic" w:cs="Simplified Arabic" w:hint="cs"/>
          <w:sz w:val="24"/>
          <w:szCs w:val="24"/>
          <w:rtl/>
          <w:lang w:val="en-US"/>
        </w:rPr>
        <w:t>م</w:t>
      </w:r>
      <w:r>
        <w:rPr>
          <w:rFonts w:ascii="Simplified Arabic" w:hAnsi="Simplified Arabic" w:cs="Simplified Arabic" w:hint="cs"/>
          <w:sz w:val="24"/>
          <w:szCs w:val="24"/>
          <w:rtl/>
          <w:lang w:val="en-US"/>
        </w:rPr>
        <w:t>وا</w:t>
      </w:r>
      <w:r w:rsidRPr="00942453">
        <w:rPr>
          <w:rFonts w:ascii="Simplified Arabic" w:hAnsi="Simplified Arabic" w:cs="Simplified Arabic" w:hint="cs"/>
          <w:sz w:val="24"/>
          <w:szCs w:val="24"/>
          <w:rtl/>
          <w:lang w:val="en-US"/>
        </w:rPr>
        <w:t>م</w:t>
      </w:r>
      <w:r>
        <w:rPr>
          <w:rFonts w:ascii="Simplified Arabic" w:hAnsi="Simplified Arabic" w:cs="Simplified Arabic" w:hint="cs"/>
          <w:sz w:val="24"/>
          <w:szCs w:val="24"/>
          <w:rtl/>
          <w:lang w:val="en-US"/>
        </w:rPr>
        <w:t>ي</w:t>
      </w:r>
      <w:r w:rsidRPr="00942453">
        <w:rPr>
          <w:rFonts w:ascii="Simplified Arabic" w:hAnsi="Simplified Arabic" w:cs="Simplified Arabic" w:hint="cs"/>
          <w:sz w:val="24"/>
          <w:szCs w:val="24"/>
          <w:rtl/>
          <w:lang w:val="en-US"/>
        </w:rPr>
        <w:t>ن</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04</w:t>
      </w:r>
      <w:r>
        <w:rPr>
          <w:rFonts w:ascii="Simplified Arabic" w:hAnsi="Simplified Arabic" w:cs="Simplified Arabic" w:hint="cs"/>
          <w:sz w:val="24"/>
          <w:szCs w:val="24"/>
          <w:rtl/>
          <w:lang w:val="en-US"/>
        </w:rPr>
        <w:t>)</w:t>
      </w:r>
      <w:r w:rsidRPr="00942453">
        <w:rPr>
          <w:rFonts w:ascii="Simplified Arabic" w:hAnsi="Simplified Arabic" w:cs="Simplified Arabic" w:hint="cs"/>
          <w:sz w:val="24"/>
          <w:szCs w:val="24"/>
          <w:rtl/>
          <w:lang w:val="en-US"/>
        </w:rPr>
        <w:t>مد</w:t>
      </w:r>
      <w:r>
        <w:rPr>
          <w:rFonts w:ascii="Simplified Arabic" w:hAnsi="Simplified Arabic" w:cs="Simplified Arabic" w:hint="cs"/>
          <w:sz w:val="24"/>
          <w:szCs w:val="24"/>
          <w:rtl/>
          <w:lang w:val="en-US"/>
        </w:rPr>
        <w:t>ا</w:t>
      </w:r>
      <w:r w:rsidRPr="00942453">
        <w:rPr>
          <w:rFonts w:ascii="Simplified Arabic" w:hAnsi="Simplified Arabic" w:cs="Simplified Arabic" w:hint="cs"/>
          <w:sz w:val="24"/>
          <w:szCs w:val="24"/>
          <w:rtl/>
          <w:lang w:val="en-US"/>
        </w:rPr>
        <w:t>رس</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w:t>
      </w:r>
      <w:r w:rsidRPr="00942453">
        <w:rPr>
          <w:rFonts w:ascii="Simplified Arabic" w:hAnsi="Simplified Arabic" w:cs="Simplified Arabic" w:hint="cs"/>
          <w:sz w:val="24"/>
          <w:szCs w:val="24"/>
          <w:rtl/>
          <w:lang w:val="en-US"/>
        </w:rPr>
        <w:t>ثانوية</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w:t>
      </w:r>
      <w:r w:rsidRPr="00942453">
        <w:rPr>
          <w:rFonts w:ascii="Simplified Arabic" w:hAnsi="Simplified Arabic" w:cs="Simplified Arabic" w:hint="cs"/>
          <w:sz w:val="24"/>
          <w:szCs w:val="24"/>
          <w:rtl/>
          <w:lang w:val="en-US"/>
        </w:rPr>
        <w:t>مسجد</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 xml:space="preserve">) </w:t>
      </w:r>
      <w:r w:rsidRPr="00942453">
        <w:rPr>
          <w:rFonts w:ascii="Simplified Arabic" w:hAnsi="Simplified Arabic" w:cs="Simplified Arabic" w:hint="cs"/>
          <w:sz w:val="24"/>
          <w:szCs w:val="24"/>
          <w:rtl/>
          <w:lang w:val="en-US"/>
        </w:rPr>
        <w:t>متحف</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w:t>
      </w:r>
      <w:r w:rsidRPr="00942453">
        <w:rPr>
          <w:rFonts w:ascii="Simplified Arabic" w:hAnsi="Simplified Arabic" w:cs="Simplified Arabic" w:hint="cs"/>
          <w:sz w:val="24"/>
          <w:szCs w:val="24"/>
          <w:rtl/>
          <w:lang w:val="en-US"/>
        </w:rPr>
        <w:t>مركز</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صحي</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مقر المجلس الشعبي البلدي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مقرات</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إدارية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أخرى</w:t>
      </w:r>
      <w:r w:rsidRPr="00942453">
        <w:rPr>
          <w:rFonts w:ascii="Simplified Arabic" w:hAnsi="Simplified Arabic" w:cs="Simplified Arabic"/>
          <w:sz w:val="24"/>
          <w:szCs w:val="24"/>
          <w:rtl/>
          <w:lang w:val="en-US"/>
        </w:rPr>
        <w:t>.</w:t>
      </w:r>
    </w:p>
    <w:p w:rsidR="000635D8" w:rsidRPr="00942453" w:rsidRDefault="000635D8" w:rsidP="00D86155">
      <w:pPr>
        <w:bidi/>
        <w:spacing w:after="0"/>
        <w:ind w:firstLine="283"/>
        <w:jc w:val="both"/>
        <w:rPr>
          <w:rFonts w:ascii="Simplified Arabic" w:hAnsi="Simplified Arabic" w:cs="Simplified Arabic"/>
          <w:sz w:val="24"/>
          <w:szCs w:val="24"/>
          <w:lang w:val="en-US"/>
        </w:rPr>
      </w:pP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يوجد</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في</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 الكوشة/القيسة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عدة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مدارس</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ومساجد</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(5)</w:t>
      </w:r>
      <w:r w:rsidRPr="00942453">
        <w:rPr>
          <w:rFonts w:ascii="Simplified Arabic" w:hAnsi="Simplified Arabic" w:cs="Simplified Arabic" w:hint="cs"/>
          <w:sz w:val="24"/>
          <w:szCs w:val="24"/>
          <w:rtl/>
          <w:lang w:val="en-US"/>
        </w:rPr>
        <w:t>مد</w:t>
      </w:r>
      <w:r>
        <w:rPr>
          <w:rFonts w:ascii="Simplified Arabic" w:hAnsi="Simplified Arabic" w:cs="Simplified Arabic" w:hint="cs"/>
          <w:sz w:val="24"/>
          <w:szCs w:val="24"/>
          <w:rtl/>
          <w:lang w:val="en-US"/>
        </w:rPr>
        <w:t>ا</w:t>
      </w:r>
      <w:r w:rsidRPr="00942453">
        <w:rPr>
          <w:rFonts w:ascii="Simplified Arabic" w:hAnsi="Simplified Arabic" w:cs="Simplified Arabic" w:hint="cs"/>
          <w:sz w:val="24"/>
          <w:szCs w:val="24"/>
          <w:rtl/>
          <w:lang w:val="en-US"/>
        </w:rPr>
        <w:t>رس،</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)مركز التكوين المهني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)مركز التكوين والتمهين،</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05</w:t>
      </w:r>
      <w:r>
        <w:rPr>
          <w:rFonts w:ascii="Simplified Arabic" w:hAnsi="Simplified Arabic" w:cs="Simplified Arabic" w:hint="cs"/>
          <w:sz w:val="24"/>
          <w:szCs w:val="24"/>
          <w:rtl/>
          <w:lang w:val="en-US"/>
        </w:rPr>
        <w:t>)</w:t>
      </w:r>
      <w:r w:rsidRPr="00942453">
        <w:rPr>
          <w:rFonts w:ascii="Simplified Arabic" w:hAnsi="Simplified Arabic" w:cs="Simplified Arabic" w:hint="cs"/>
          <w:sz w:val="24"/>
          <w:szCs w:val="24"/>
          <w:rtl/>
          <w:lang w:val="en-US"/>
        </w:rPr>
        <w:t>مس</w:t>
      </w:r>
      <w:r>
        <w:rPr>
          <w:rFonts w:ascii="Simplified Arabic" w:hAnsi="Simplified Arabic" w:cs="Simplified Arabic" w:hint="cs"/>
          <w:sz w:val="24"/>
          <w:szCs w:val="24"/>
          <w:rtl/>
          <w:lang w:val="en-US"/>
        </w:rPr>
        <w:t>ا</w:t>
      </w:r>
      <w:r w:rsidRPr="00942453">
        <w:rPr>
          <w:rFonts w:ascii="Simplified Arabic" w:hAnsi="Simplified Arabic" w:cs="Simplified Arabic" w:hint="cs"/>
          <w:sz w:val="24"/>
          <w:szCs w:val="24"/>
          <w:rtl/>
          <w:lang w:val="en-US"/>
        </w:rPr>
        <w:t>جد،</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w:t>
      </w:r>
      <w:r w:rsidRPr="00942453">
        <w:rPr>
          <w:rFonts w:ascii="Simplified Arabic" w:hAnsi="Simplified Arabic" w:cs="Simplified Arabic" w:hint="cs"/>
          <w:sz w:val="24"/>
          <w:szCs w:val="24"/>
          <w:rtl/>
          <w:lang w:val="en-US"/>
        </w:rPr>
        <w:t>سوق،</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 xml:space="preserve">) </w:t>
      </w:r>
      <w:r w:rsidRPr="00942453">
        <w:rPr>
          <w:rFonts w:ascii="Simplified Arabic" w:hAnsi="Simplified Arabic" w:cs="Simplified Arabic" w:hint="cs"/>
          <w:sz w:val="24"/>
          <w:szCs w:val="24"/>
          <w:rtl/>
          <w:lang w:val="en-US"/>
        </w:rPr>
        <w:t>مركز</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صحي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w:t>
      </w:r>
      <w:r w:rsidRPr="00942453">
        <w:rPr>
          <w:rFonts w:ascii="Simplified Arabic" w:hAnsi="Simplified Arabic" w:cs="Simplified Arabic" w:hint="cs"/>
          <w:sz w:val="24"/>
          <w:szCs w:val="24"/>
          <w:rtl/>
          <w:lang w:val="en-US"/>
        </w:rPr>
        <w:t>محطة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خدم</w:t>
      </w:r>
      <w:r>
        <w:rPr>
          <w:rFonts w:ascii="Simplified Arabic" w:hAnsi="Simplified Arabic" w:cs="Simplified Arabic" w:hint="cs"/>
          <w:sz w:val="24"/>
          <w:szCs w:val="24"/>
          <w:rtl/>
          <w:lang w:val="en-US"/>
        </w:rPr>
        <w:t>ات برية</w:t>
      </w:r>
      <w:r w:rsidRPr="00942453">
        <w:rPr>
          <w:rFonts w:ascii="Simplified Arabic" w:hAnsi="Simplified Arabic" w:cs="Simplified Arabic"/>
          <w:sz w:val="24"/>
          <w:szCs w:val="24"/>
          <w:rtl/>
          <w:lang w:val="en-US"/>
        </w:rPr>
        <w:t>.</w:t>
      </w:r>
    </w:p>
    <w:p w:rsidR="000635D8" w:rsidRPr="00942453" w:rsidRDefault="000635D8" w:rsidP="00D86155">
      <w:pPr>
        <w:bidi/>
        <w:spacing w:after="0"/>
        <w:ind w:firstLine="283"/>
        <w:jc w:val="both"/>
        <w:rPr>
          <w:rFonts w:ascii="Simplified Arabic" w:hAnsi="Simplified Arabic" w:cs="Simplified Arabic"/>
          <w:sz w:val="24"/>
          <w:szCs w:val="24"/>
          <w:lang w:val="en-US"/>
        </w:rPr>
      </w:pP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يوجد</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في</w:t>
      </w:r>
      <w:r>
        <w:rPr>
          <w:rFonts w:ascii="Simplified Arabic" w:hAnsi="Simplified Arabic" w:cs="Simplified Arabic" w:hint="cs"/>
          <w:sz w:val="24"/>
          <w:szCs w:val="24"/>
          <w:rtl/>
          <w:lang w:val="en-US"/>
        </w:rPr>
        <w:t xml:space="preserve"> لعوينات (2)مدارس التعليم المتوسط</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sidR="00D86155">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rPr>
        <w:t>مدرسة التكوين المتخصص</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w:t>
      </w:r>
      <w:r w:rsidRPr="00942453">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w:t>
      </w:r>
      <w:r w:rsidRPr="00942453">
        <w:rPr>
          <w:rFonts w:ascii="Simplified Arabic" w:hAnsi="Simplified Arabic" w:cs="Simplified Arabic" w:hint="cs"/>
          <w:sz w:val="24"/>
          <w:szCs w:val="24"/>
          <w:rtl/>
          <w:lang w:val="en-US"/>
        </w:rPr>
        <w:t>ثانوية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ومعرض</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سوبر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ماركت</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ومستشفى</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المدينة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هذه</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الأحياء</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الثلاثة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قريبة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وسط</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المدينة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وتمثل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جزءًا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كبيرًا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منه</w:t>
      </w:r>
      <w:r>
        <w:rPr>
          <w:rFonts w:ascii="Simplified Arabic" w:hAnsi="Simplified Arabic" w:cs="Simplified Arabic" w:hint="cs"/>
          <w:sz w:val="24"/>
          <w:szCs w:val="24"/>
          <w:rtl/>
          <w:lang w:val="en-US"/>
        </w:rPr>
        <w:t>ا</w:t>
      </w:r>
      <w:r w:rsidRPr="00942453">
        <w:rPr>
          <w:rFonts w:ascii="Simplified Arabic" w:hAnsi="Simplified Arabic" w:cs="Simplified Arabic"/>
          <w:sz w:val="24"/>
          <w:szCs w:val="24"/>
          <w:rtl/>
          <w:lang w:val="en-US"/>
        </w:rPr>
        <w:t>.</w:t>
      </w:r>
    </w:p>
    <w:p w:rsidR="000635D8" w:rsidRPr="00942453" w:rsidRDefault="000635D8" w:rsidP="000635D8">
      <w:pPr>
        <w:bidi/>
        <w:spacing w:after="0"/>
        <w:ind w:firstLine="283"/>
        <w:jc w:val="both"/>
        <w:rPr>
          <w:rFonts w:ascii="Simplified Arabic" w:hAnsi="Simplified Arabic" w:cs="Simplified Arabic"/>
          <w:sz w:val="24"/>
          <w:szCs w:val="24"/>
          <w:lang w:val="en-US"/>
        </w:rPr>
      </w:pPr>
      <w:r w:rsidRPr="00942453">
        <w:rPr>
          <w:rFonts w:ascii="Simplified Arabic" w:hAnsi="Simplified Arabic" w:cs="Simplified Arabic" w:hint="cs"/>
          <w:sz w:val="24"/>
          <w:szCs w:val="24"/>
          <w:rtl/>
          <w:lang w:val="en-US"/>
        </w:rPr>
        <w:t>المناطق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الأخرى</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غير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المخططة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وهي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جنان</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البطم، حي الدشرة القبلية، حي</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الر</w:t>
      </w:r>
      <w:r w:rsidRPr="00942453">
        <w:rPr>
          <w:rFonts w:ascii="Simplified Arabic" w:hAnsi="Simplified Arabic" w:cs="Simplified Arabic" w:hint="cs"/>
          <w:sz w:val="24"/>
          <w:szCs w:val="24"/>
          <w:rtl/>
          <w:lang w:val="en-US"/>
        </w:rPr>
        <w:t>صفة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 xml:space="preserve"> حي </w:t>
      </w:r>
      <w:r w:rsidRPr="00942453">
        <w:rPr>
          <w:rFonts w:ascii="Simplified Arabic" w:hAnsi="Simplified Arabic" w:cs="Simplified Arabic" w:hint="cs"/>
          <w:sz w:val="24"/>
          <w:szCs w:val="24"/>
          <w:rtl/>
          <w:lang w:val="en-US"/>
        </w:rPr>
        <w:t>م</w:t>
      </w:r>
      <w:r>
        <w:rPr>
          <w:rFonts w:ascii="Simplified Arabic" w:hAnsi="Simplified Arabic" w:cs="Simplified Arabic" w:hint="cs"/>
          <w:sz w:val="24"/>
          <w:szCs w:val="24"/>
          <w:rtl/>
          <w:lang w:val="en-US"/>
        </w:rPr>
        <w:t>ي</w:t>
      </w:r>
      <w:r w:rsidRPr="00942453">
        <w:rPr>
          <w:rFonts w:ascii="Simplified Arabic" w:hAnsi="Simplified Arabic" w:cs="Simplified Arabic" w:hint="cs"/>
          <w:sz w:val="24"/>
          <w:szCs w:val="24"/>
          <w:rtl/>
          <w:lang w:val="en-US"/>
        </w:rPr>
        <w:t>طر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بعيدة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عن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وسط</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المدينة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ولا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تمثل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المرافق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 xml:space="preserve">العامة </w:t>
      </w:r>
      <w:r>
        <w:rPr>
          <w:rFonts w:ascii="Simplified Arabic" w:hAnsi="Simplified Arabic" w:cs="Simplified Arabic" w:hint="cs"/>
          <w:sz w:val="24"/>
          <w:szCs w:val="24"/>
          <w:rtl/>
          <w:lang w:val="en-US"/>
        </w:rPr>
        <w:t xml:space="preserve">بها </w:t>
      </w:r>
      <w:r w:rsidRPr="00942453">
        <w:rPr>
          <w:rFonts w:ascii="Simplified Arabic" w:hAnsi="Simplified Arabic" w:cs="Simplified Arabic" w:hint="cs"/>
          <w:sz w:val="24"/>
          <w:szCs w:val="24"/>
          <w:rtl/>
          <w:lang w:val="en-US"/>
        </w:rPr>
        <w:t>سوى</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عددًا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محدودًا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وغير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كافٍ</w:t>
      </w:r>
      <w:r w:rsidRPr="00942453">
        <w:rPr>
          <w:rFonts w:ascii="Simplified Arabic" w:hAnsi="Simplified Arabic" w:cs="Simplified Arabic"/>
          <w:sz w:val="24"/>
          <w:szCs w:val="24"/>
          <w:rtl/>
          <w:lang w:val="en-US"/>
        </w:rPr>
        <w:t>.</w:t>
      </w:r>
    </w:p>
    <w:p w:rsidR="000635D8" w:rsidRDefault="000635D8" w:rsidP="004D6FB3">
      <w:pPr>
        <w:bidi/>
        <w:spacing w:after="0"/>
        <w:ind w:firstLine="283"/>
        <w:jc w:val="both"/>
        <w:rPr>
          <w:rFonts w:ascii="Simplified Arabic" w:hAnsi="Simplified Arabic" w:cs="Simplified Arabic"/>
          <w:sz w:val="24"/>
          <w:szCs w:val="24"/>
          <w:rtl/>
          <w:lang w:val="en-US"/>
        </w:rPr>
      </w:pPr>
      <w:r w:rsidRPr="00942453">
        <w:rPr>
          <w:rFonts w:ascii="Simplified Arabic" w:hAnsi="Simplified Arabic" w:cs="Simplified Arabic" w:hint="cs"/>
          <w:sz w:val="24"/>
          <w:szCs w:val="24"/>
          <w:rtl/>
          <w:lang w:val="en-US"/>
        </w:rPr>
        <w:t>تتراوح</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المساحة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التي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تشغلها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مساحة</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المرافق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بين</w:t>
      </w:r>
      <w:r w:rsidRPr="00942453">
        <w:rPr>
          <w:rFonts w:ascii="Simplified Arabic" w:hAnsi="Simplified Arabic" w:cs="Simplified Arabic"/>
          <w:sz w:val="24"/>
          <w:szCs w:val="24"/>
          <w:rtl/>
          <w:lang w:val="en-US"/>
        </w:rPr>
        <w:t xml:space="preserve"> 1.2 </w:t>
      </w:r>
      <w:r w:rsidRPr="00942453">
        <w:rPr>
          <w:rFonts w:ascii="Simplified Arabic" w:hAnsi="Simplified Arabic" w:cs="Simplified Arabic" w:hint="cs"/>
          <w:sz w:val="24"/>
          <w:szCs w:val="24"/>
          <w:rtl/>
          <w:lang w:val="en-US"/>
        </w:rPr>
        <w:t>هكتار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sidRPr="00942453">
        <w:rPr>
          <w:rFonts w:ascii="Simplified Arabic" w:hAnsi="Simplified Arabic" w:cs="Simplified Arabic"/>
          <w:sz w:val="24"/>
          <w:szCs w:val="24"/>
          <w:rtl/>
          <w:lang w:val="en-US"/>
        </w:rPr>
        <w:t xml:space="preserve"> 3.7 </w:t>
      </w:r>
      <w:r w:rsidRPr="00942453">
        <w:rPr>
          <w:rFonts w:ascii="Simplified Arabic" w:hAnsi="Simplified Arabic" w:cs="Simplified Arabic" w:hint="cs"/>
          <w:sz w:val="24"/>
          <w:szCs w:val="24"/>
          <w:rtl/>
          <w:lang w:val="en-US"/>
        </w:rPr>
        <w:t>هكتار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في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الأحياء</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القريبة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وسط</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المدينة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وبين</w:t>
      </w:r>
      <w:r w:rsidRPr="00942453">
        <w:rPr>
          <w:rFonts w:ascii="Simplified Arabic" w:hAnsi="Simplified Arabic" w:cs="Simplified Arabic"/>
          <w:sz w:val="24"/>
          <w:szCs w:val="24"/>
          <w:rtl/>
          <w:lang w:val="en-US"/>
        </w:rPr>
        <w:t xml:space="preserve"> 0.22 </w:t>
      </w:r>
      <w:r w:rsidRPr="00942453">
        <w:rPr>
          <w:rFonts w:ascii="Simplified Arabic" w:hAnsi="Simplified Arabic" w:cs="Simplified Arabic" w:hint="cs"/>
          <w:sz w:val="24"/>
          <w:szCs w:val="24"/>
          <w:rtl/>
          <w:lang w:val="en-US"/>
        </w:rPr>
        <w:t>هكتار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sidRPr="00942453">
        <w:rPr>
          <w:rFonts w:ascii="Simplified Arabic" w:hAnsi="Simplified Arabic" w:cs="Simplified Arabic"/>
          <w:sz w:val="24"/>
          <w:szCs w:val="24"/>
          <w:rtl/>
          <w:lang w:val="en-US"/>
        </w:rPr>
        <w:t xml:space="preserve"> 0.9 </w:t>
      </w:r>
      <w:r w:rsidRPr="00942453">
        <w:rPr>
          <w:rFonts w:ascii="Simplified Arabic" w:hAnsi="Simplified Arabic" w:cs="Simplified Arabic" w:hint="cs"/>
          <w:sz w:val="24"/>
          <w:szCs w:val="24"/>
          <w:rtl/>
          <w:lang w:val="en-US"/>
        </w:rPr>
        <w:t>هكتار</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w:t>
      </w:r>
      <w:r w:rsidRPr="00942453">
        <w:rPr>
          <w:rFonts w:ascii="Simplified Arabic" w:hAnsi="Simplified Arabic" w:cs="Simplified Arabic" w:hint="cs"/>
          <w:sz w:val="24"/>
          <w:szCs w:val="24"/>
          <w:rtl/>
          <w:lang w:val="en-US"/>
        </w:rPr>
        <w:t>الأحياء</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في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أطراف</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المدينة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تشغل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المساجد</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مساحة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تتراوح</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بين</w:t>
      </w:r>
      <w:r w:rsidRPr="00942453">
        <w:rPr>
          <w:rFonts w:ascii="Simplified Arabic" w:hAnsi="Simplified Arabic" w:cs="Simplified Arabic"/>
          <w:sz w:val="24"/>
          <w:szCs w:val="24"/>
          <w:rtl/>
          <w:lang w:val="en-US"/>
        </w:rPr>
        <w:t xml:space="preserve"> 0.13 </w:t>
      </w:r>
      <w:r w:rsidRPr="00942453">
        <w:rPr>
          <w:rFonts w:ascii="Simplified Arabic" w:hAnsi="Simplified Arabic" w:cs="Simplified Arabic" w:hint="cs"/>
          <w:sz w:val="24"/>
          <w:szCs w:val="24"/>
          <w:rtl/>
          <w:lang w:val="en-US"/>
        </w:rPr>
        <w:t>هكتار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w:t>
      </w:r>
      <w:r w:rsidRPr="00942453">
        <w:rPr>
          <w:rFonts w:ascii="Simplified Arabic" w:hAnsi="Simplified Arabic" w:cs="Simplified Arabic"/>
          <w:sz w:val="24"/>
          <w:szCs w:val="24"/>
          <w:rtl/>
          <w:lang w:val="en-US"/>
        </w:rPr>
        <w:t xml:space="preserve"> 0.05 </w:t>
      </w:r>
      <w:r w:rsidRPr="00942453">
        <w:rPr>
          <w:rFonts w:ascii="Simplified Arabic" w:hAnsi="Simplified Arabic" w:cs="Simplified Arabic" w:hint="cs"/>
          <w:sz w:val="24"/>
          <w:szCs w:val="24"/>
          <w:rtl/>
          <w:lang w:val="en-US"/>
        </w:rPr>
        <w:t>هكتار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وهو</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يكفي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نسبيًا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بشكل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عام،</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يمكن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ملاحظة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أن</w:t>
      </w:r>
      <w:r w:rsidRPr="00942453">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الأرض</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حيث</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المرافق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في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هذه</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المناطق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غير</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كافٍ</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للغاية</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ويتم</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توقيعها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بشكل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سيء</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ضمن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فئة هذ</w:t>
      </w:r>
      <w:r>
        <w:rPr>
          <w:rFonts w:ascii="Simplified Arabic" w:hAnsi="Simplified Arabic" w:cs="Simplified Arabic" w:hint="cs"/>
          <w:sz w:val="24"/>
          <w:szCs w:val="24"/>
          <w:rtl/>
          <w:lang w:val="en-US"/>
        </w:rPr>
        <w:t>ا النوع 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النسيج</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الحضري،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التي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لا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يزال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يتعين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التحقق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صحتها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لاحقًا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خلال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تحليل</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التوزيع المكاني لها مقارنة مع الكثافة السكانية</w:t>
      </w:r>
      <w:r w:rsidRPr="00942453">
        <w:rPr>
          <w:rFonts w:ascii="Simplified Arabic" w:hAnsi="Simplified Arabic" w:cs="Simplified Arabic"/>
          <w:sz w:val="24"/>
          <w:szCs w:val="24"/>
          <w:rtl/>
          <w:lang w:val="en-US"/>
        </w:rPr>
        <w:t>.</w:t>
      </w:r>
      <w:r>
        <w:rPr>
          <w:rFonts w:ascii="Simplified Arabic" w:hAnsi="Simplified Arabic" w:cs="Simplified Arabic"/>
          <w:sz w:val="24"/>
          <w:szCs w:val="24"/>
          <w:rtl/>
          <w:lang w:val="en-US"/>
        </w:rPr>
        <w:tab/>
      </w:r>
    </w:p>
    <w:p w:rsidR="000635D8" w:rsidRPr="0056477F" w:rsidRDefault="000635D8" w:rsidP="001D0548">
      <w:pPr>
        <w:pStyle w:val="Paragraphedeliste"/>
        <w:numPr>
          <w:ilvl w:val="0"/>
          <w:numId w:val="2"/>
        </w:numPr>
        <w:bidi/>
        <w:spacing w:after="0"/>
        <w:ind w:left="0" w:firstLine="283"/>
        <w:jc w:val="both"/>
        <w:rPr>
          <w:rFonts w:ascii="Simplified Arabic" w:hAnsi="Simplified Arabic" w:cs="Simplified Arabic"/>
          <w:sz w:val="24"/>
          <w:szCs w:val="24"/>
          <w:lang w:val="en-US"/>
        </w:rPr>
      </w:pPr>
      <w:r>
        <w:rPr>
          <w:rFonts w:ascii="Simplified Arabic" w:hAnsi="Simplified Arabic" w:cs="Simplified Arabic" w:hint="cs"/>
          <w:b/>
          <w:bCs/>
          <w:sz w:val="24"/>
          <w:szCs w:val="24"/>
          <w:rtl/>
          <w:lang w:val="en-US"/>
        </w:rPr>
        <w:t>شبكة الطرق</w:t>
      </w:r>
      <w:r w:rsidRPr="0056477F">
        <w:rPr>
          <w:rFonts w:ascii="Simplified Arabic" w:hAnsi="Simplified Arabic" w:cs="Simplified Arabic"/>
          <w:b/>
          <w:bCs/>
          <w:sz w:val="24"/>
          <w:szCs w:val="24"/>
          <w:rtl/>
          <w:lang w:val="en-US"/>
        </w:rPr>
        <w:t xml:space="preserve"> </w:t>
      </w:r>
    </w:p>
    <w:p w:rsidR="000635D8" w:rsidRPr="001175E2" w:rsidRDefault="000635D8" w:rsidP="000635D8">
      <w:pPr>
        <w:bidi/>
        <w:spacing w:after="0"/>
        <w:ind w:firstLine="283"/>
        <w:jc w:val="both"/>
        <w:rPr>
          <w:rFonts w:ascii="Simplified Arabic" w:hAnsi="Simplified Arabic" w:cs="Simplified Arabic"/>
          <w:sz w:val="24"/>
          <w:szCs w:val="24"/>
          <w:lang w:val="en-US"/>
        </w:rPr>
      </w:pPr>
      <w:r w:rsidRPr="001175E2">
        <w:rPr>
          <w:rFonts w:ascii="Simplified Arabic" w:hAnsi="Simplified Arabic" w:cs="Simplified Arabic" w:hint="cs"/>
          <w:sz w:val="24"/>
          <w:szCs w:val="24"/>
          <w:rtl/>
          <w:lang w:val="en-US"/>
        </w:rPr>
        <w:t>الهيكل</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الحضري</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لهذه</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المناطق</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مدمج</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بشكل</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عام</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سواء</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على</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مستوى</w:t>
      </w:r>
      <w:r w:rsidRPr="001175E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شبكة الطرق</w:t>
      </w:r>
      <w:r w:rsidRPr="001175E2">
        <w:rPr>
          <w:rFonts w:ascii="Simplified Arabic" w:hAnsi="Simplified Arabic" w:cs="Simplified Arabic" w:hint="cs"/>
          <w:sz w:val="24"/>
          <w:szCs w:val="24"/>
          <w:rtl/>
          <w:lang w:val="en-US"/>
        </w:rPr>
        <w:t>،</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يتميز</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بما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يلي</w:t>
      </w:r>
      <w:r w:rsidRPr="001175E2">
        <w:rPr>
          <w:rFonts w:ascii="Simplified Arabic" w:hAnsi="Simplified Arabic" w:cs="Simplified Arabic"/>
          <w:sz w:val="24"/>
          <w:szCs w:val="24"/>
          <w:rtl/>
          <w:lang w:val="en-US"/>
        </w:rPr>
        <w:t>:</w:t>
      </w:r>
    </w:p>
    <w:p w:rsidR="000635D8" w:rsidRDefault="000635D8" w:rsidP="006C61D8">
      <w:pPr>
        <w:bidi/>
        <w:spacing w:after="0"/>
        <w:ind w:firstLine="283"/>
        <w:jc w:val="both"/>
        <w:rPr>
          <w:rFonts w:ascii="Simplified Arabic" w:hAnsi="Simplified Arabic" w:cs="Simplified Arabic"/>
          <w:sz w:val="24"/>
          <w:szCs w:val="24"/>
          <w:rtl/>
          <w:lang w:val="en-US"/>
        </w:rPr>
      </w:pPr>
      <w:r w:rsidRPr="001175E2">
        <w:rPr>
          <w:rFonts w:ascii="Simplified Arabic" w:hAnsi="Simplified Arabic" w:cs="Simplified Arabic" w:hint="cs"/>
          <w:sz w:val="24"/>
          <w:szCs w:val="24"/>
          <w:rtl/>
          <w:lang w:val="en-US"/>
        </w:rPr>
        <w:t>تمثل</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شبكة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الطرق</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التي</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تؤمن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المساكن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شبكة</w:t>
      </w:r>
      <w:r w:rsidRPr="001175E2">
        <w:rPr>
          <w:rFonts w:ascii="Simplified Arabic" w:hAnsi="Simplified Arabic" w:cs="Simplified Arabic"/>
          <w:sz w:val="24"/>
          <w:szCs w:val="24"/>
          <w:rtl/>
          <w:lang w:val="en-US"/>
        </w:rPr>
        <w:t xml:space="preserve"> </w:t>
      </w:r>
      <w:r w:rsidR="006C61D8">
        <w:rPr>
          <w:rFonts w:ascii="Simplified Arabic" w:hAnsi="Simplified Arabic" w:cs="Simplified Arabic" w:hint="cs"/>
          <w:sz w:val="24"/>
          <w:szCs w:val="24"/>
          <w:rtl/>
          <w:lang w:val="en-US"/>
        </w:rPr>
        <w:t xml:space="preserve">طرق شطرنجية، احيانا تميل الى ان تكون </w:t>
      </w:r>
      <w:r w:rsidRPr="001175E2">
        <w:rPr>
          <w:rFonts w:ascii="Simplified Arabic" w:hAnsi="Simplified Arabic" w:cs="Simplified Arabic" w:hint="cs"/>
          <w:sz w:val="24"/>
          <w:szCs w:val="24"/>
          <w:rtl/>
          <w:lang w:val="en-US"/>
        </w:rPr>
        <w:t>ضيقة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ومتعرجة،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الشوارع</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هرمية،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مستوحاة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الهيكل</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الخطي</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للقصر</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شارع،</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زقاق،</w:t>
      </w:r>
      <w:r w:rsidRPr="001175E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ممر</w:t>
      </w:r>
      <w:r>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و</w:t>
      </w:r>
      <w:r w:rsidRPr="001175E2">
        <w:rPr>
          <w:rFonts w:ascii="Simplified Arabic" w:hAnsi="Simplified Arabic" w:cs="Simplified Arabic" w:hint="cs"/>
          <w:sz w:val="24"/>
          <w:szCs w:val="24"/>
          <w:rtl/>
          <w:lang w:val="en-US"/>
        </w:rPr>
        <w:t>تواجد</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الأماكن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العامة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مكان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إلى</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آخر</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على</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الرغم</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أنها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غير</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مطورة،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إلا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أنها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تلعب</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دورًا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اجتماعيًا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وترابطيًا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وترفيهيًا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لسكان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هذه</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الأحياء،</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كما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أنها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تستمد</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الإلهام</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من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القصر</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وتحمل</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نفس</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الاسم</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الرحبة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كما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أنها</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تضمن</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بعض</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الأنشطة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الاقتصادية</w:t>
      </w:r>
      <w:r w:rsidRPr="001175E2">
        <w:rPr>
          <w:rFonts w:ascii="Simplified Arabic" w:hAnsi="Simplified Arabic" w:cs="Simplified Arabic"/>
          <w:sz w:val="24"/>
          <w:szCs w:val="24"/>
          <w:rtl/>
          <w:lang w:val="en-US"/>
        </w:rPr>
        <w:t xml:space="preserve"> </w:t>
      </w:r>
      <w:r w:rsidRPr="001175E2">
        <w:rPr>
          <w:rFonts w:ascii="Simplified Arabic" w:hAnsi="Simplified Arabic" w:cs="Simplified Arabic" w:hint="cs"/>
          <w:sz w:val="24"/>
          <w:szCs w:val="24"/>
          <w:rtl/>
          <w:lang w:val="en-US"/>
        </w:rPr>
        <w:t>والتجارية</w:t>
      </w:r>
      <w:r w:rsidRPr="001175E2">
        <w:rPr>
          <w:rFonts w:ascii="Simplified Arabic" w:hAnsi="Simplified Arabic" w:cs="Simplified Arabic"/>
          <w:sz w:val="24"/>
          <w:szCs w:val="24"/>
          <w:rtl/>
          <w:lang w:val="en-US"/>
        </w:rPr>
        <w:t>.</w:t>
      </w:r>
      <w:r w:rsidR="006C61D8">
        <w:rPr>
          <w:rFonts w:ascii="Simplified Arabic" w:hAnsi="Simplified Arabic" w:cs="Simplified Arabic" w:hint="cs"/>
          <w:sz w:val="24"/>
          <w:szCs w:val="24"/>
          <w:rtl/>
          <w:lang w:val="en-US"/>
        </w:rPr>
        <w:t xml:space="preserve"> </w:t>
      </w:r>
    </w:p>
    <w:p w:rsidR="00144824" w:rsidRDefault="00144824" w:rsidP="002C0E1D">
      <w:pPr>
        <w:bidi/>
        <w:spacing w:after="0"/>
        <w:ind w:firstLine="283"/>
        <w:jc w:val="both"/>
        <w:rPr>
          <w:rFonts w:ascii="Simplified Arabic" w:hAnsi="Simplified Arabic" w:cs="Simplified Arabic"/>
          <w:sz w:val="24"/>
          <w:szCs w:val="24"/>
          <w:rtl/>
          <w:lang w:val="en-US"/>
        </w:rPr>
      </w:pPr>
      <w:r w:rsidRPr="00292169">
        <w:rPr>
          <w:rFonts w:ascii="Simplified Arabic" w:hAnsi="Simplified Arabic" w:cs="Simplified Arabic" w:hint="cs"/>
          <w:sz w:val="24"/>
          <w:szCs w:val="24"/>
          <w:rtl/>
          <w:lang w:val="en-US"/>
        </w:rPr>
        <w:t>يوضح</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التحليل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أن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شبكة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الطرق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لم</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تعد</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تتكيف</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مع</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الظروف</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الاقتصادية والاجتماعية و</w:t>
      </w:r>
      <w:r w:rsidRPr="00292169">
        <w:rPr>
          <w:rFonts w:ascii="Simplified Arabic" w:hAnsi="Simplified Arabic" w:cs="Simplified Arabic" w:hint="cs"/>
          <w:sz w:val="24"/>
          <w:szCs w:val="24"/>
          <w:rtl/>
          <w:lang w:val="en-US"/>
        </w:rPr>
        <w:t>المناخية</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كالفيضانات. في حالة غمر شبكة الطرق بمياه سيلان الامطار</w:t>
      </w:r>
      <w:r w:rsidR="003F6961">
        <w:rPr>
          <w:rFonts w:ascii="Simplified Arabic" w:hAnsi="Simplified Arabic" w:cs="Simplified Arabic" w:hint="cs"/>
          <w:sz w:val="24"/>
          <w:szCs w:val="24"/>
          <w:rtl/>
          <w:lang w:val="en-US"/>
        </w:rPr>
        <w:t xml:space="preserve"> بسبب عامل الانحدار وقلة كفاءة شبكة القرف الصحي او غيابها في بعض</w:t>
      </w:r>
      <w:r w:rsidR="002C0E1D">
        <w:rPr>
          <w:rFonts w:ascii="Simplified Arabic" w:hAnsi="Simplified Arabic" w:cs="Simplified Arabic" w:hint="cs"/>
          <w:sz w:val="24"/>
          <w:szCs w:val="24"/>
          <w:rtl/>
          <w:lang w:val="en-US"/>
        </w:rPr>
        <w:t xml:space="preserve"> </w:t>
      </w:r>
      <w:r w:rsidR="003F6961">
        <w:rPr>
          <w:rFonts w:ascii="Simplified Arabic" w:hAnsi="Simplified Arabic" w:cs="Simplified Arabic" w:hint="cs"/>
          <w:sz w:val="24"/>
          <w:szCs w:val="24"/>
          <w:rtl/>
          <w:lang w:val="en-US"/>
        </w:rPr>
        <w:lastRenderedPageBreak/>
        <w:t>الاحيان</w:t>
      </w:r>
      <w:r>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مما يؤدي الى الاختناق المروري واضطراب نظام التنقل حتى في الحالة العادية</w:t>
      </w:r>
      <w:r w:rsidRPr="00292169">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مع ذلك تتميز بطول شبكة طرق شريانية </w:t>
      </w:r>
      <w:r w:rsidR="003F6961">
        <w:rPr>
          <w:rFonts w:ascii="Simplified Arabic" w:hAnsi="Simplified Arabic" w:cs="Simplified Arabic" w:hint="cs"/>
          <w:sz w:val="24"/>
          <w:szCs w:val="24"/>
          <w:rtl/>
          <w:lang w:val="en-US"/>
        </w:rPr>
        <w:t>مقبولة</w:t>
      </w:r>
      <w:r>
        <w:rPr>
          <w:rFonts w:ascii="Simplified Arabic" w:hAnsi="Simplified Arabic" w:cs="Simplified Arabic" w:hint="cs"/>
          <w:sz w:val="24"/>
          <w:szCs w:val="24"/>
          <w:rtl/>
          <w:lang w:val="en-US"/>
        </w:rPr>
        <w:t xml:space="preserve"> وعدد عقد كبير من تقاطعات شبكة الطرق مما يسمح بسهولة الوصول الى المرافق .</w:t>
      </w:r>
    </w:p>
    <w:p w:rsidR="000635D8" w:rsidRDefault="000635D8" w:rsidP="00C22773">
      <w:pPr>
        <w:pStyle w:val="fegure"/>
        <w:spacing w:before="240"/>
        <w:rPr>
          <w:b/>
          <w:szCs w:val="24"/>
          <w:rtl/>
        </w:rPr>
      </w:pPr>
      <w:bookmarkStart w:id="590" w:name="_Toc157608330"/>
      <w:bookmarkStart w:id="591" w:name="_Toc171803633"/>
      <w:r w:rsidRPr="00ED1C8F">
        <w:rPr>
          <w:rFonts w:hint="cs"/>
          <w:szCs w:val="24"/>
          <w:rtl/>
        </w:rPr>
        <w:t xml:space="preserve">الشكل </w:t>
      </w:r>
      <w:r w:rsidR="00D86155" w:rsidRPr="00ED1C8F">
        <w:rPr>
          <w:rFonts w:hint="cs"/>
          <w:szCs w:val="24"/>
          <w:rtl/>
        </w:rPr>
        <w:t>(4-7)</w:t>
      </w:r>
      <w:r w:rsidRPr="00ED1C8F">
        <w:rPr>
          <w:szCs w:val="24"/>
          <w:rtl/>
        </w:rPr>
        <w:t>:</w:t>
      </w:r>
      <w:r w:rsidRPr="00ED1C8F">
        <w:rPr>
          <w:rFonts w:hint="cs"/>
          <w:szCs w:val="24"/>
          <w:rtl/>
        </w:rPr>
        <w:t xml:space="preserve"> فئة النسيج الحضري</w:t>
      </w:r>
      <w:r w:rsidRPr="00ED1C8F">
        <w:rPr>
          <w:szCs w:val="24"/>
          <w:rtl/>
        </w:rPr>
        <w:t xml:space="preserve"> </w:t>
      </w:r>
      <w:r w:rsidRPr="00ED1C8F">
        <w:rPr>
          <w:rFonts w:hint="cs"/>
          <w:szCs w:val="24"/>
          <w:rtl/>
        </w:rPr>
        <w:t>غير المخطط</w:t>
      </w:r>
      <w:r w:rsidR="00D86155" w:rsidRPr="00ED1C8F">
        <w:rPr>
          <w:rFonts w:hint="cs"/>
          <w:szCs w:val="24"/>
          <w:rtl/>
        </w:rPr>
        <w:t xml:space="preserve"> </w:t>
      </w:r>
      <w:r w:rsidR="00D86155" w:rsidRPr="00ED1C8F">
        <w:rPr>
          <w:rFonts w:hint="cs"/>
          <w:b/>
          <w:szCs w:val="24"/>
          <w:rtl/>
        </w:rPr>
        <w:t>(جـ)</w:t>
      </w:r>
      <w:bookmarkEnd w:id="590"/>
      <w:bookmarkEnd w:id="591"/>
    </w:p>
    <w:p w:rsidR="006B38DD" w:rsidRPr="006B38DD" w:rsidRDefault="006B38DD" w:rsidP="006B38DD">
      <w:pPr>
        <w:pStyle w:val="fegure"/>
        <w:rPr>
          <w:sz w:val="8"/>
          <w:szCs w:val="24"/>
          <w:lang w:val="en-US"/>
        </w:rPr>
      </w:pPr>
      <w:bookmarkStart w:id="592" w:name="_Toc171803634"/>
      <w:r>
        <w:rPr>
          <w:rFonts w:hint="cs"/>
          <w:sz w:val="8"/>
          <w:szCs w:val="24"/>
          <w:rtl/>
          <w:lang w:val="en-US"/>
        </w:rPr>
        <w:t xml:space="preserve">المصدر: </w:t>
      </w:r>
      <w:r w:rsidRPr="00876E26">
        <w:rPr>
          <w:sz w:val="8"/>
          <w:szCs w:val="24"/>
          <w:rtl/>
          <w:lang w:val="en-US"/>
        </w:rPr>
        <w:t>(</w:t>
      </w:r>
      <w:r w:rsidRPr="00876E26">
        <w:rPr>
          <w:rFonts w:asciiTheme="majorBidi" w:hAnsiTheme="majorBidi" w:cstheme="majorBidi"/>
          <w:lang w:val="en-US"/>
        </w:rPr>
        <w:t>U.R.B.A, 2007</w:t>
      </w:r>
      <w:r w:rsidRPr="00876E26">
        <w:rPr>
          <w:sz w:val="8"/>
          <w:szCs w:val="24"/>
          <w:rtl/>
          <w:lang w:val="en-US"/>
        </w:rPr>
        <w:t>)</w:t>
      </w:r>
      <w:r>
        <w:rPr>
          <w:rFonts w:hint="cs"/>
          <w:sz w:val="8"/>
          <w:szCs w:val="24"/>
          <w:rtl/>
          <w:lang w:val="en-US"/>
        </w:rPr>
        <w:t xml:space="preserve"> +</w:t>
      </w:r>
      <w:r w:rsidRPr="00876E26">
        <w:rPr>
          <w:rFonts w:hint="cs"/>
          <w:sz w:val="8"/>
          <w:szCs w:val="24"/>
          <w:rtl/>
          <w:lang w:val="en-US"/>
        </w:rPr>
        <w:t xml:space="preserve"> </w:t>
      </w:r>
      <w:r>
        <w:rPr>
          <w:rFonts w:hint="cs"/>
          <w:sz w:val="8"/>
          <w:szCs w:val="24"/>
          <w:rtl/>
          <w:lang w:val="en-US"/>
        </w:rPr>
        <w:t>معالجة (الباحث، 2022)</w:t>
      </w:r>
      <w:bookmarkEnd w:id="592"/>
    </w:p>
    <w:p w:rsidR="000635D8" w:rsidRDefault="000635D8" w:rsidP="000635D8">
      <w:pPr>
        <w:bidi/>
        <w:spacing w:after="0"/>
        <w:ind w:firstLine="283"/>
        <w:jc w:val="center"/>
        <w:rPr>
          <w:rFonts w:ascii="Simplified Arabic" w:hAnsi="Simplified Arabic" w:cs="Simplified Arabic"/>
          <w:sz w:val="24"/>
          <w:szCs w:val="24"/>
          <w:rtl/>
          <w:lang w:val="en-US"/>
        </w:rPr>
      </w:pPr>
      <w:r>
        <w:rPr>
          <w:noProof/>
          <w:lang w:eastAsia="fr-FR"/>
        </w:rPr>
        <w:drawing>
          <wp:inline distT="0" distB="0" distL="0" distR="0" wp14:anchorId="073A4A5E" wp14:editId="6243ABEC">
            <wp:extent cx="3494202" cy="2790825"/>
            <wp:effectExtent l="19050" t="19050" r="11430" b="9525"/>
            <wp:docPr id="185" name="Imag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1"/>
                    <a:stretch>
                      <a:fillRect/>
                    </a:stretch>
                  </pic:blipFill>
                  <pic:spPr>
                    <a:xfrm>
                      <a:off x="0" y="0"/>
                      <a:ext cx="3498782" cy="2794483"/>
                    </a:xfrm>
                    <a:prstGeom prst="rect">
                      <a:avLst/>
                    </a:prstGeom>
                    <a:ln w="6350">
                      <a:solidFill>
                        <a:schemeClr val="tx1"/>
                      </a:solidFill>
                    </a:ln>
                  </pic:spPr>
                </pic:pic>
              </a:graphicData>
            </a:graphic>
          </wp:inline>
        </w:drawing>
      </w:r>
    </w:p>
    <w:p w:rsidR="000635D8" w:rsidRPr="00E11355" w:rsidRDefault="000635D8" w:rsidP="00C22773">
      <w:pPr>
        <w:pStyle w:val="Paragraphedeliste"/>
        <w:numPr>
          <w:ilvl w:val="3"/>
          <w:numId w:val="233"/>
        </w:numPr>
        <w:tabs>
          <w:tab w:val="right" w:pos="1134"/>
        </w:tabs>
        <w:bidi/>
        <w:spacing w:before="240" w:after="0"/>
        <w:ind w:left="0" w:firstLine="0"/>
        <w:jc w:val="both"/>
        <w:outlineLvl w:val="2"/>
        <w:rPr>
          <w:rFonts w:ascii="Simplified Arabic" w:hAnsi="Simplified Arabic" w:cs="Simplified Arabic"/>
          <w:b/>
          <w:bCs/>
          <w:sz w:val="24"/>
          <w:szCs w:val="24"/>
          <w:rtl/>
          <w:lang w:val="en-US"/>
        </w:rPr>
      </w:pPr>
      <w:bookmarkStart w:id="593" w:name="_Toc171803635"/>
      <w:r w:rsidRPr="00E11355">
        <w:rPr>
          <w:rFonts w:ascii="Simplified Arabic" w:hAnsi="Simplified Arabic" w:cs="Simplified Arabic" w:hint="cs"/>
          <w:b/>
          <w:bCs/>
          <w:sz w:val="24"/>
          <w:szCs w:val="24"/>
          <w:rtl/>
        </w:rPr>
        <w:t xml:space="preserve">فئة </w:t>
      </w:r>
      <w:r w:rsidRPr="00E11355">
        <w:rPr>
          <w:rFonts w:ascii="Simplified Arabic" w:hAnsi="Simplified Arabic" w:cs="Simplified Arabic"/>
          <w:b/>
          <w:bCs/>
          <w:sz w:val="24"/>
          <w:szCs w:val="24"/>
          <w:rtl/>
        </w:rPr>
        <w:t>النسيج الحضري المخطط</w:t>
      </w:r>
      <w:r w:rsidR="00283D00" w:rsidRPr="00E11355">
        <w:rPr>
          <w:rFonts w:ascii="Simplified Arabic" w:hAnsi="Simplified Arabic" w:cs="Simplified Arabic" w:hint="cs"/>
          <w:b/>
          <w:bCs/>
          <w:sz w:val="24"/>
          <w:szCs w:val="24"/>
          <w:rtl/>
        </w:rPr>
        <w:t xml:space="preserve"> (</w:t>
      </w:r>
      <w:r w:rsidR="00283D00" w:rsidRPr="00E11355">
        <w:rPr>
          <w:rFonts w:ascii="Simplified Arabic" w:hAnsi="Simplified Arabic" w:cs="Simplified Arabic"/>
          <w:b/>
          <w:bCs/>
          <w:sz w:val="24"/>
          <w:szCs w:val="24"/>
          <w:rtl/>
        </w:rPr>
        <w:t>د</w:t>
      </w:r>
      <w:r w:rsidR="00283D00" w:rsidRPr="00E11355">
        <w:rPr>
          <w:rFonts w:ascii="Simplified Arabic" w:hAnsi="Simplified Arabic" w:cs="Simplified Arabic" w:hint="cs"/>
          <w:b/>
          <w:bCs/>
          <w:sz w:val="24"/>
          <w:szCs w:val="24"/>
          <w:rtl/>
        </w:rPr>
        <w:t>)</w:t>
      </w:r>
      <w:r w:rsidRPr="00E11355">
        <w:rPr>
          <w:rFonts w:ascii="Simplified Arabic" w:hAnsi="Simplified Arabic" w:cs="Simplified Arabic"/>
          <w:b/>
          <w:bCs/>
          <w:sz w:val="24"/>
          <w:szCs w:val="24"/>
          <w:rtl/>
        </w:rPr>
        <w:t>:</w:t>
      </w:r>
      <w:bookmarkEnd w:id="593"/>
    </w:p>
    <w:p w:rsidR="000635D8" w:rsidRDefault="000635D8" w:rsidP="004D6FB3">
      <w:pPr>
        <w:bidi/>
        <w:spacing w:after="0"/>
        <w:ind w:firstLine="283"/>
        <w:jc w:val="both"/>
        <w:rPr>
          <w:rFonts w:ascii="Simplified Arabic" w:hAnsi="Simplified Arabic" w:cs="Simplified Arabic"/>
          <w:sz w:val="24"/>
          <w:szCs w:val="24"/>
          <w:rtl/>
          <w:lang w:val="en-US"/>
        </w:rPr>
      </w:pPr>
      <w:r w:rsidRPr="009B3B72">
        <w:rPr>
          <w:rFonts w:ascii="Simplified Arabic" w:hAnsi="Simplified Arabic" w:cs="Simplified Arabic" w:hint="cs"/>
          <w:sz w:val="24"/>
          <w:szCs w:val="24"/>
          <w:rtl/>
          <w:lang w:val="en-US"/>
        </w:rPr>
        <w:t>تشكل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المناطق</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السكنية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في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هذه</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الفئة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أجزاء</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الامتداد</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العمراني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بناءً</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على</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عمليات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التخطيط</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الحضري،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حيث</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تقدم</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مخططات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منتظمة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خلال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محاور</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رئيسية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موزعة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على</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كلا</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الجانبين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متعامدة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وشوارع</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متوازية</w:t>
      </w:r>
      <w:r>
        <w:rPr>
          <w:rFonts w:ascii="Simplified Arabic" w:hAnsi="Simplified Arabic" w:cs="Simplified Arabic" w:hint="cs"/>
          <w:sz w:val="24"/>
          <w:szCs w:val="24"/>
          <w:rtl/>
          <w:lang w:val="en-US"/>
        </w:rPr>
        <w:t>،</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تخدم</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بشكل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عام</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جزرًا</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بعرض</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ضعف</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طول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قطعة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الأرض،</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ويبلغ</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طوله</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w:t>
      </w:r>
      <w:r w:rsidRPr="009B3B72">
        <w:rPr>
          <w:rFonts w:ascii="Simplified Arabic" w:hAnsi="Simplified Arabic" w:cs="Simplified Arabic"/>
          <w:sz w:val="24"/>
          <w:szCs w:val="24"/>
          <w:rtl/>
          <w:lang w:val="en-US"/>
        </w:rPr>
        <w:t xml:space="preserve"> 5 </w:t>
      </w:r>
      <w:r w:rsidRPr="009B3B72">
        <w:rPr>
          <w:rFonts w:ascii="Simplified Arabic" w:hAnsi="Simplified Arabic" w:cs="Simplified Arabic" w:hint="cs"/>
          <w:sz w:val="24"/>
          <w:szCs w:val="24"/>
          <w:rtl/>
          <w:lang w:val="en-US"/>
        </w:rPr>
        <w:t>إلى</w:t>
      </w:r>
      <w:r w:rsidRPr="009B3B72">
        <w:rPr>
          <w:rFonts w:ascii="Simplified Arabic" w:hAnsi="Simplified Arabic" w:cs="Simplified Arabic"/>
          <w:sz w:val="24"/>
          <w:szCs w:val="24"/>
          <w:rtl/>
          <w:lang w:val="en-US"/>
        </w:rPr>
        <w:t xml:space="preserve"> 10 </w:t>
      </w:r>
      <w:r w:rsidRPr="009B3B72">
        <w:rPr>
          <w:rFonts w:ascii="Simplified Arabic" w:hAnsi="Simplified Arabic" w:cs="Simplified Arabic" w:hint="cs"/>
          <w:sz w:val="24"/>
          <w:szCs w:val="24"/>
          <w:rtl/>
          <w:lang w:val="en-US"/>
        </w:rPr>
        <w:t>أضعاف</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عرض</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قطعة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الأرض</w:t>
      </w:r>
      <w:r>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rPr>
        <w:t xml:space="preserve">الشكل </w:t>
      </w:r>
      <w:r w:rsidR="00D86155">
        <w:rPr>
          <w:rFonts w:ascii="Simplified Arabic" w:hAnsi="Simplified Arabic" w:cs="Simplified Arabic" w:hint="cs"/>
          <w:sz w:val="24"/>
          <w:szCs w:val="24"/>
          <w:rtl/>
        </w:rPr>
        <w:t>(4-8)</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تشكل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هذه</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الأحياء</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التي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تتنوع</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أحجام</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وحدات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مكونات</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9B3B72">
        <w:rPr>
          <w:rFonts w:ascii="Simplified Arabic" w:hAnsi="Simplified Arabic" w:cs="Simplified Arabic" w:hint="cs"/>
          <w:sz w:val="24"/>
          <w:szCs w:val="24"/>
          <w:rtl/>
          <w:lang w:val="en-US"/>
        </w:rPr>
        <w:t>أساسية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ضمن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النسيج</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العمراني،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كل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وحدة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أو</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مكون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مجهز</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بخدمات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جماعية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ومرافق</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عامة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تلبي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الاحتياجات</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اليومية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للسكان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كالمدارس</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والمساجد</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والتجارية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المحلية.</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إلخ</w:t>
      </w:r>
      <w:r w:rsidRPr="009B3B72">
        <w:rPr>
          <w:rFonts w:ascii="Simplified Arabic" w:hAnsi="Simplified Arabic" w:cs="Simplified Arabic"/>
          <w:sz w:val="24"/>
          <w:szCs w:val="24"/>
          <w:rtl/>
          <w:lang w:val="en-US"/>
        </w:rPr>
        <w:t xml:space="preserve">. </w:t>
      </w:r>
      <w:r w:rsidRPr="003159C2">
        <w:rPr>
          <w:rFonts w:ascii="Simplified Arabic" w:hAnsi="Simplified Arabic" w:cs="Simplified Arabic" w:hint="cs"/>
          <w:sz w:val="24"/>
          <w:szCs w:val="24"/>
          <w:rtl/>
          <w:lang w:val="en-US"/>
        </w:rPr>
        <w:t xml:space="preserve">يتم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الأر</w:t>
      </w:r>
      <w:r w:rsidRPr="00A90F9B">
        <w:rPr>
          <w:rFonts w:ascii="Simplified Arabic" w:hAnsi="Simplified Arabic" w:cs="Simplified Arabic" w:hint="cs"/>
          <w:sz w:val="24"/>
          <w:szCs w:val="24"/>
          <w:rtl/>
          <w:lang w:val="en-US"/>
        </w:rPr>
        <w:t>ض</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لفئة النسيج الحضري المخطط</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من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خلال</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تحليل</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A90F9B">
        <w:rPr>
          <w:rFonts w:ascii="Simplified Arabic" w:hAnsi="Simplified Arabic" w:cs="Simplified Arabic" w:hint="cs"/>
          <w:sz w:val="24"/>
          <w:szCs w:val="24"/>
          <w:rtl/>
          <w:lang w:val="en-US"/>
        </w:rPr>
        <w:t>توزيع</w:t>
      </w:r>
      <w:r w:rsidRPr="00A90F9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المكاني </w:t>
      </w:r>
      <w:r w:rsidR="00D86155">
        <w:rPr>
          <w:rFonts w:ascii="Simplified Arabic" w:hAnsi="Simplified Arabic" w:cs="Simplified Arabic" w:hint="cs"/>
          <w:sz w:val="24"/>
          <w:szCs w:val="24"/>
          <w:rtl/>
          <w:lang w:val="en-US"/>
        </w:rPr>
        <w:t>ل</w:t>
      </w:r>
      <w:r w:rsidRPr="00A90F9B">
        <w:rPr>
          <w:rFonts w:ascii="Simplified Arabic" w:hAnsi="Simplified Arabic" w:cs="Simplified Arabic" w:hint="cs"/>
          <w:sz w:val="24"/>
          <w:szCs w:val="24"/>
          <w:rtl/>
          <w:lang w:val="en-US"/>
        </w:rPr>
        <w:t>لسكن</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والمرافق</w:t>
      </w:r>
      <w:r w:rsidRPr="00A90F9B">
        <w:rPr>
          <w:rFonts w:ascii="Simplified Arabic" w:hAnsi="Simplified Arabic" w:cs="Simplified Arabic"/>
          <w:sz w:val="24"/>
          <w:szCs w:val="24"/>
          <w:rtl/>
          <w:lang w:val="en-US"/>
        </w:rPr>
        <w:t xml:space="preserve"> </w:t>
      </w:r>
      <w:r w:rsidRPr="00A90F9B">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شبكة الطرق</w:t>
      </w:r>
      <w:r w:rsidRPr="00A90F9B">
        <w:rPr>
          <w:rFonts w:ascii="Simplified Arabic" w:hAnsi="Simplified Arabic" w:cs="Simplified Arabic"/>
          <w:sz w:val="24"/>
          <w:szCs w:val="24"/>
          <w:rtl/>
          <w:lang w:val="en-US"/>
        </w:rPr>
        <w:t>.</w:t>
      </w:r>
    </w:p>
    <w:p w:rsidR="000635D8" w:rsidRDefault="000635D8" w:rsidP="001D0548">
      <w:pPr>
        <w:pStyle w:val="Paragraphedeliste"/>
        <w:numPr>
          <w:ilvl w:val="0"/>
          <w:numId w:val="2"/>
        </w:numPr>
        <w:bidi/>
        <w:spacing w:after="0"/>
        <w:ind w:left="0" w:firstLine="283"/>
        <w:jc w:val="both"/>
        <w:rPr>
          <w:rFonts w:ascii="Simplified Arabic" w:hAnsi="Simplified Arabic" w:cs="Simplified Arabic"/>
          <w:sz w:val="24"/>
          <w:szCs w:val="24"/>
          <w:lang w:val="en-US"/>
        </w:rPr>
      </w:pPr>
      <w:r>
        <w:rPr>
          <w:rFonts w:ascii="Simplified Arabic" w:hAnsi="Simplified Arabic" w:cs="Simplified Arabic" w:hint="cs"/>
          <w:b/>
          <w:bCs/>
          <w:sz w:val="24"/>
          <w:szCs w:val="24"/>
          <w:rtl/>
          <w:lang w:val="en-US"/>
        </w:rPr>
        <w:t>السكن</w:t>
      </w:r>
    </w:p>
    <w:p w:rsidR="000635D8" w:rsidRDefault="000635D8" w:rsidP="004D6FB3">
      <w:pPr>
        <w:bidi/>
        <w:spacing w:after="0"/>
        <w:ind w:firstLine="283"/>
        <w:jc w:val="both"/>
        <w:rPr>
          <w:rFonts w:ascii="Simplified Arabic" w:hAnsi="Simplified Arabic" w:cs="Simplified Arabic"/>
          <w:sz w:val="24"/>
          <w:szCs w:val="24"/>
          <w:rtl/>
          <w:lang w:val="en-US"/>
        </w:rPr>
      </w:pPr>
      <w:r w:rsidRPr="006D357A">
        <w:rPr>
          <w:rFonts w:ascii="Simplified Arabic" w:hAnsi="Simplified Arabic" w:cs="Simplified Arabic" w:hint="cs"/>
          <w:sz w:val="24"/>
          <w:szCs w:val="24"/>
          <w:rtl/>
          <w:lang w:val="en-US"/>
        </w:rPr>
        <w:t>يتطلب</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تحليل</w:t>
      </w:r>
      <w:r w:rsidRPr="006D357A">
        <w:rPr>
          <w:rFonts w:ascii="Simplified Arabic" w:hAnsi="Simplified Arabic" w:cs="Simplified Arabic"/>
          <w:sz w:val="24"/>
          <w:szCs w:val="24"/>
          <w:rtl/>
          <w:lang w:val="en-US"/>
        </w:rPr>
        <w:t xml:space="preserve"> </w:t>
      </w:r>
      <w:r w:rsidR="004D6FB3">
        <w:rPr>
          <w:rFonts w:ascii="Simplified Arabic" w:hAnsi="Simplified Arabic" w:cs="Simplified Arabic" w:hint="cs"/>
          <w:sz w:val="24"/>
          <w:szCs w:val="24"/>
          <w:rtl/>
        </w:rPr>
        <w:t>استعمال</w:t>
      </w:r>
      <w:r>
        <w:rPr>
          <w:rFonts w:ascii="Simplified Arabic" w:hAnsi="Simplified Arabic" w:cs="Simplified Arabic" w:hint="cs"/>
          <w:sz w:val="24"/>
          <w:szCs w:val="24"/>
          <w:rtl/>
          <w:lang w:val="en-US"/>
        </w:rPr>
        <w:t xml:space="preserve"> الارض</w:t>
      </w:r>
      <w:r w:rsidRPr="006D357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للأحياء</w:t>
      </w:r>
      <w:r w:rsidRPr="006D357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المخططة</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وهي</w:t>
      </w:r>
      <w:r w:rsidRPr="006D357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لحمايد</w:t>
      </w:r>
      <w:r w:rsidRPr="006D357A">
        <w:rPr>
          <w:rFonts w:ascii="Simplified Arabic" w:hAnsi="Simplified Arabic" w:cs="Simplified Arabic"/>
          <w:sz w:val="24"/>
          <w:szCs w:val="24"/>
          <w:rtl/>
          <w:lang w:val="en-US"/>
        </w:rPr>
        <w:t xml:space="preserve"> 20 </w:t>
      </w:r>
      <w:r>
        <w:rPr>
          <w:rFonts w:ascii="Simplified Arabic" w:hAnsi="Simplified Arabic" w:cs="Simplified Arabic" w:hint="cs"/>
          <w:sz w:val="24"/>
          <w:szCs w:val="24"/>
          <w:rtl/>
          <w:lang w:val="en-US"/>
        </w:rPr>
        <w:t>اوت</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وكادات</w:t>
      </w:r>
      <w:r>
        <w:rPr>
          <w:rFonts w:ascii="Simplified Arabic" w:hAnsi="Simplified Arabic" w:cs="Simplified Arabic" w:hint="cs"/>
          <w:sz w:val="24"/>
          <w:szCs w:val="24"/>
          <w:rtl/>
          <w:lang w:val="en-US"/>
        </w:rPr>
        <w:t>/</w:t>
      </w:r>
      <w:r w:rsidRPr="006D357A">
        <w:rPr>
          <w:rFonts w:ascii="Simplified Arabic" w:hAnsi="Simplified Arabic" w:cs="Simplified Arabic" w:hint="cs"/>
          <w:sz w:val="24"/>
          <w:szCs w:val="24"/>
          <w:rtl/>
          <w:lang w:val="en-US"/>
        </w:rPr>
        <w:t>سطيح</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تحليل</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معايير</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الكثافة</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ودرجة</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التحضر</w:t>
      </w:r>
      <w:r w:rsidRPr="006D357A">
        <w:rPr>
          <w:rFonts w:ascii="Simplified Arabic" w:hAnsi="Simplified Arabic" w:cs="Simplified Arabic"/>
          <w:sz w:val="24"/>
          <w:szCs w:val="24"/>
          <w:rtl/>
          <w:lang w:val="en-US"/>
        </w:rPr>
        <w:t xml:space="preserve"> </w:t>
      </w:r>
      <w:r w:rsidRPr="006D357A">
        <w:rPr>
          <w:rFonts w:ascii="Simplified Arabic" w:hAnsi="Simplified Arabic" w:cs="Simplified Arabic" w:hint="cs"/>
          <w:sz w:val="24"/>
          <w:szCs w:val="24"/>
          <w:rtl/>
          <w:lang w:val="en-US"/>
        </w:rPr>
        <w:t>لقياسها</w:t>
      </w:r>
      <w:r w:rsidRPr="006D357A">
        <w:rPr>
          <w:rFonts w:ascii="Simplified Arabic" w:hAnsi="Simplified Arabic" w:cs="Simplified Arabic"/>
          <w:sz w:val="24"/>
          <w:szCs w:val="24"/>
          <w:rtl/>
          <w:lang w:val="en-US"/>
        </w:rPr>
        <w:t>.</w:t>
      </w:r>
      <w:r w:rsidRPr="008644F0">
        <w:rPr>
          <w:rFonts w:hint="cs"/>
          <w:rtl/>
        </w:rPr>
        <w:t xml:space="preserve"> </w:t>
      </w:r>
      <w:r w:rsidRPr="008644F0">
        <w:rPr>
          <w:rFonts w:ascii="Simplified Arabic" w:hAnsi="Simplified Arabic" w:cs="Simplified Arabic" w:hint="cs"/>
          <w:sz w:val="24"/>
          <w:szCs w:val="24"/>
          <w:rtl/>
          <w:lang w:val="en-US"/>
        </w:rPr>
        <w:t>تتميز</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هذه</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الأحياء</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المخطط</w:t>
      </w:r>
      <w:r>
        <w:rPr>
          <w:rFonts w:ascii="Simplified Arabic" w:hAnsi="Simplified Arabic" w:cs="Simplified Arabic" w:hint="cs"/>
          <w:sz w:val="24"/>
          <w:szCs w:val="24"/>
          <w:rtl/>
          <w:lang w:val="en-US"/>
        </w:rPr>
        <w:t>ة</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لها</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بمساحات</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كبيرة</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تتراوح</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بين</w:t>
      </w:r>
      <w:r w:rsidRPr="008644F0">
        <w:rPr>
          <w:rFonts w:ascii="Simplified Arabic" w:hAnsi="Simplified Arabic" w:cs="Simplified Arabic"/>
          <w:sz w:val="24"/>
          <w:szCs w:val="24"/>
          <w:rtl/>
          <w:lang w:val="en-US"/>
        </w:rPr>
        <w:t xml:space="preserve"> 80 </w:t>
      </w:r>
      <w:r w:rsidRPr="008644F0">
        <w:rPr>
          <w:rFonts w:ascii="Simplified Arabic" w:hAnsi="Simplified Arabic" w:cs="Simplified Arabic" w:hint="cs"/>
          <w:sz w:val="24"/>
          <w:szCs w:val="24"/>
          <w:rtl/>
          <w:lang w:val="en-US"/>
        </w:rPr>
        <w:t>و</w:t>
      </w:r>
      <w:r w:rsidRPr="008644F0">
        <w:rPr>
          <w:rFonts w:ascii="Simplified Arabic" w:hAnsi="Simplified Arabic" w:cs="Simplified Arabic"/>
          <w:sz w:val="24"/>
          <w:szCs w:val="24"/>
          <w:rtl/>
          <w:lang w:val="en-US"/>
        </w:rPr>
        <w:t xml:space="preserve"> 130 </w:t>
      </w:r>
      <w:r w:rsidRPr="008644F0">
        <w:rPr>
          <w:rFonts w:ascii="Simplified Arabic" w:hAnsi="Simplified Arabic" w:cs="Simplified Arabic" w:hint="cs"/>
          <w:sz w:val="24"/>
          <w:szCs w:val="24"/>
          <w:rtl/>
          <w:lang w:val="en-US"/>
        </w:rPr>
        <w:t>هكتار</w:t>
      </w:r>
      <w:r>
        <w:rPr>
          <w:rFonts w:ascii="Simplified Arabic" w:hAnsi="Simplified Arabic" w:cs="Simplified Arabic" w:hint="cs"/>
          <w:sz w:val="24"/>
          <w:szCs w:val="24"/>
          <w:rtl/>
          <w:lang w:val="en-US"/>
        </w:rPr>
        <w:t>،</w:t>
      </w:r>
      <w:r w:rsidRPr="008644F0">
        <w:rPr>
          <w:rFonts w:ascii="Simplified Arabic" w:hAnsi="Simplified Arabic" w:cs="Simplified Arabic"/>
          <w:sz w:val="24"/>
          <w:szCs w:val="24"/>
          <w:rtl/>
          <w:lang w:val="en-US"/>
        </w:rPr>
        <w:t xml:space="preserve"> (80.5 </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sidRPr="008644F0">
        <w:rPr>
          <w:rFonts w:ascii="Simplified Arabic" w:hAnsi="Simplified Arabic" w:cs="Simplified Arabic"/>
          <w:sz w:val="24"/>
          <w:szCs w:val="24"/>
          <w:rtl/>
          <w:lang w:val="en-US"/>
        </w:rPr>
        <w:t xml:space="preserve"> 20 </w:t>
      </w:r>
      <w:r w:rsidRPr="008644F0">
        <w:rPr>
          <w:rFonts w:ascii="Simplified Arabic" w:hAnsi="Simplified Arabic" w:cs="Simplified Arabic" w:hint="cs"/>
          <w:sz w:val="24"/>
          <w:szCs w:val="24"/>
          <w:rtl/>
          <w:lang w:val="en-US"/>
        </w:rPr>
        <w:t>أ</w:t>
      </w:r>
      <w:r>
        <w:rPr>
          <w:rFonts w:ascii="Simplified Arabic" w:hAnsi="Simplified Arabic" w:cs="Simplified Arabic" w:hint="cs"/>
          <w:sz w:val="24"/>
          <w:szCs w:val="24"/>
          <w:rtl/>
          <w:lang w:val="en-US"/>
        </w:rPr>
        <w:t>وت،</w:t>
      </w:r>
      <w:r w:rsidRPr="008644F0">
        <w:rPr>
          <w:rFonts w:ascii="Simplified Arabic" w:hAnsi="Simplified Arabic" w:cs="Simplified Arabic"/>
          <w:sz w:val="24"/>
          <w:szCs w:val="24"/>
          <w:rtl/>
          <w:lang w:val="en-US"/>
        </w:rPr>
        <w:t xml:space="preserve"> 90.7 </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حي </w:t>
      </w:r>
      <w:r w:rsidRPr="008644F0">
        <w:rPr>
          <w:rFonts w:ascii="Simplified Arabic" w:hAnsi="Simplified Arabic" w:cs="Simplified Arabic" w:hint="cs"/>
          <w:sz w:val="24"/>
          <w:szCs w:val="24"/>
          <w:rtl/>
          <w:lang w:val="en-US"/>
        </w:rPr>
        <w:t>لحم</w:t>
      </w:r>
      <w:r>
        <w:rPr>
          <w:rFonts w:ascii="Simplified Arabic" w:hAnsi="Simplified Arabic" w:cs="Simplified Arabic" w:hint="cs"/>
          <w:sz w:val="24"/>
          <w:szCs w:val="24"/>
          <w:rtl/>
          <w:lang w:val="en-US"/>
        </w:rPr>
        <w:t>ا</w:t>
      </w:r>
      <w:r w:rsidRPr="008644F0">
        <w:rPr>
          <w:rFonts w:ascii="Simplified Arabic" w:hAnsi="Simplified Arabic" w:cs="Simplified Arabic" w:hint="cs"/>
          <w:sz w:val="24"/>
          <w:szCs w:val="24"/>
          <w:rtl/>
          <w:lang w:val="en-US"/>
        </w:rPr>
        <w:t>يد</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و</w:t>
      </w:r>
      <w:r w:rsidRPr="008644F0">
        <w:rPr>
          <w:rFonts w:ascii="Simplified Arabic" w:hAnsi="Simplified Arabic" w:cs="Simplified Arabic"/>
          <w:sz w:val="24"/>
          <w:szCs w:val="24"/>
          <w:rtl/>
          <w:lang w:val="en-US"/>
        </w:rPr>
        <w:t xml:space="preserve"> 129.8 </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حي </w:t>
      </w:r>
      <w:r w:rsidRPr="008644F0">
        <w:rPr>
          <w:rFonts w:ascii="Simplified Arabic" w:hAnsi="Simplified Arabic" w:cs="Simplified Arabic" w:hint="cs"/>
          <w:sz w:val="24"/>
          <w:szCs w:val="24"/>
          <w:rtl/>
          <w:lang w:val="en-US"/>
        </w:rPr>
        <w:t>كادات</w:t>
      </w:r>
      <w:r>
        <w:rPr>
          <w:rFonts w:ascii="Simplified Arabic" w:hAnsi="Simplified Arabic" w:cs="Simplified Arabic" w:hint="cs"/>
          <w:sz w:val="24"/>
          <w:szCs w:val="24"/>
          <w:rtl/>
          <w:lang w:val="en-US"/>
        </w:rPr>
        <w:t>/</w:t>
      </w:r>
      <w:r w:rsidRPr="008644F0">
        <w:rPr>
          <w:rFonts w:ascii="Simplified Arabic" w:hAnsi="Simplified Arabic" w:cs="Simplified Arabic" w:hint="cs"/>
          <w:sz w:val="24"/>
          <w:szCs w:val="24"/>
          <w:rtl/>
          <w:lang w:val="en-US"/>
        </w:rPr>
        <w:t>سطيح</w:t>
      </w:r>
      <w:r w:rsidRPr="008644F0">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r w:rsidRPr="008644F0">
        <w:rPr>
          <w:rFonts w:ascii="Simplified Arabic" w:hAnsi="Simplified Arabic" w:cs="Simplified Arabic" w:hint="cs"/>
          <w:sz w:val="24"/>
          <w:szCs w:val="24"/>
          <w:rtl/>
          <w:lang w:val="en-US"/>
        </w:rPr>
        <w:t>تقع</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احياء</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كادات</w:t>
      </w:r>
      <w:r>
        <w:rPr>
          <w:rFonts w:ascii="Simplified Arabic" w:hAnsi="Simplified Arabic" w:cs="Simplified Arabic" w:hint="cs"/>
          <w:sz w:val="24"/>
          <w:szCs w:val="24"/>
          <w:rtl/>
          <w:lang w:val="en-US"/>
        </w:rPr>
        <w:t>/</w:t>
      </w:r>
      <w:r w:rsidRPr="008644F0">
        <w:rPr>
          <w:rFonts w:ascii="Simplified Arabic" w:hAnsi="Simplified Arabic" w:cs="Simplified Arabic" w:hint="cs"/>
          <w:sz w:val="24"/>
          <w:szCs w:val="24"/>
          <w:rtl/>
          <w:lang w:val="en-US"/>
        </w:rPr>
        <w:t>س</w:t>
      </w:r>
      <w:r>
        <w:rPr>
          <w:rFonts w:ascii="Simplified Arabic" w:hAnsi="Simplified Arabic" w:cs="Simplified Arabic" w:hint="cs"/>
          <w:sz w:val="24"/>
          <w:szCs w:val="24"/>
          <w:rtl/>
          <w:lang w:val="en-US"/>
        </w:rPr>
        <w:t>طيح</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و</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حي </w:t>
      </w:r>
      <w:r w:rsidRPr="008644F0">
        <w:rPr>
          <w:rFonts w:ascii="Simplified Arabic" w:hAnsi="Simplified Arabic" w:cs="Simplified Arabic"/>
          <w:sz w:val="24"/>
          <w:szCs w:val="24"/>
          <w:rtl/>
          <w:lang w:val="en-US"/>
        </w:rPr>
        <w:t xml:space="preserve">20 </w:t>
      </w:r>
      <w:r>
        <w:rPr>
          <w:rFonts w:ascii="Simplified Arabic" w:hAnsi="Simplified Arabic" w:cs="Simplified Arabic" w:hint="cs"/>
          <w:sz w:val="24"/>
          <w:szCs w:val="24"/>
          <w:rtl/>
          <w:lang w:val="en-US"/>
        </w:rPr>
        <w:t xml:space="preserve">أوت </w:t>
      </w:r>
      <w:r w:rsidRPr="008644F0">
        <w:rPr>
          <w:rFonts w:ascii="Simplified Arabic" w:hAnsi="Simplified Arabic" w:cs="Simplified Arabic" w:hint="cs"/>
          <w:sz w:val="24"/>
          <w:szCs w:val="24"/>
          <w:rtl/>
          <w:lang w:val="en-US"/>
        </w:rPr>
        <w:t>بالقرب</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من</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وسط</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المدينة،</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من</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ناحية</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أخرى</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تقع</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منطقة</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w:t>
      </w:r>
      <w:r w:rsidRPr="008644F0">
        <w:rPr>
          <w:rFonts w:ascii="Simplified Arabic" w:hAnsi="Simplified Arabic" w:cs="Simplified Arabic" w:hint="cs"/>
          <w:sz w:val="24"/>
          <w:szCs w:val="24"/>
          <w:rtl/>
          <w:lang w:val="en-US"/>
        </w:rPr>
        <w:t>حم</w:t>
      </w:r>
      <w:r>
        <w:rPr>
          <w:rFonts w:ascii="Simplified Arabic" w:hAnsi="Simplified Arabic" w:cs="Simplified Arabic" w:hint="cs"/>
          <w:sz w:val="24"/>
          <w:szCs w:val="24"/>
          <w:rtl/>
          <w:lang w:val="en-US"/>
        </w:rPr>
        <w:t>ا</w:t>
      </w:r>
      <w:r w:rsidRPr="008644F0">
        <w:rPr>
          <w:rFonts w:ascii="Simplified Arabic" w:hAnsi="Simplified Arabic" w:cs="Simplified Arabic" w:hint="cs"/>
          <w:sz w:val="24"/>
          <w:szCs w:val="24"/>
          <w:rtl/>
          <w:lang w:val="en-US"/>
        </w:rPr>
        <w:t>يد</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نهاية</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المدينة</w:t>
      </w:r>
      <w:r w:rsidRPr="008644F0">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r w:rsidRPr="009B3B72">
        <w:rPr>
          <w:rFonts w:ascii="Simplified Arabic" w:hAnsi="Simplified Arabic" w:cs="Simplified Arabic" w:hint="cs"/>
          <w:sz w:val="24"/>
          <w:szCs w:val="24"/>
          <w:rtl/>
          <w:lang w:val="en-US"/>
        </w:rPr>
        <w:t>إن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وجود</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السكن</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الجماعي</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مهمًا</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جدًا</w:t>
      </w:r>
      <w:r w:rsidRPr="009B3B7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ويشك</w:t>
      </w:r>
      <w:r w:rsidRPr="009B3B72">
        <w:rPr>
          <w:rFonts w:ascii="Simplified Arabic" w:hAnsi="Simplified Arabic" w:cs="Simplified Arabic" w:hint="cs"/>
          <w:sz w:val="24"/>
          <w:szCs w:val="24"/>
          <w:rtl/>
          <w:lang w:val="en-US"/>
        </w:rPr>
        <w:t>ل</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هذا</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النوع</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من</w:t>
      </w:r>
      <w:r>
        <w:rPr>
          <w:rFonts w:ascii="Simplified Arabic" w:hAnsi="Simplified Arabic" w:cs="Simplified Arabic" w:hint="cs"/>
          <w:sz w:val="24"/>
          <w:szCs w:val="24"/>
          <w:rtl/>
          <w:lang w:val="en-US"/>
        </w:rPr>
        <w:t xml:space="preserve"> السكن اغلب</w:t>
      </w:r>
      <w:r w:rsidRPr="009B3B72">
        <w:rPr>
          <w:rFonts w:ascii="Simplified Arabic" w:hAnsi="Simplified Arabic" w:cs="Simplified Arabic"/>
          <w:sz w:val="24"/>
          <w:szCs w:val="24"/>
          <w:rtl/>
          <w:lang w:val="en-US"/>
        </w:rPr>
        <w:t xml:space="preserve"> </w:t>
      </w:r>
      <w:r w:rsidRPr="009B3B72">
        <w:rPr>
          <w:rFonts w:ascii="Simplified Arabic" w:hAnsi="Simplified Arabic" w:cs="Simplified Arabic" w:hint="cs"/>
          <w:sz w:val="24"/>
          <w:szCs w:val="24"/>
          <w:rtl/>
          <w:lang w:val="en-US"/>
        </w:rPr>
        <w:t>الأحيا</w:t>
      </w:r>
      <w:r>
        <w:rPr>
          <w:rFonts w:ascii="Simplified Arabic" w:hAnsi="Simplified Arabic" w:cs="Simplified Arabic" w:hint="cs"/>
          <w:sz w:val="24"/>
          <w:szCs w:val="24"/>
          <w:rtl/>
          <w:lang w:val="en-US"/>
        </w:rPr>
        <w:t>ء المخططة</w:t>
      </w:r>
      <w:r w:rsidRPr="009B3B72">
        <w:rPr>
          <w:rFonts w:ascii="Simplified Arabic" w:hAnsi="Simplified Arabic" w:cs="Simplified Arabic"/>
          <w:sz w:val="24"/>
          <w:szCs w:val="24"/>
          <w:rtl/>
          <w:lang w:val="en-US"/>
        </w:rPr>
        <w:t>.</w:t>
      </w:r>
    </w:p>
    <w:p w:rsidR="000635D8" w:rsidRDefault="000635D8" w:rsidP="00144824">
      <w:pPr>
        <w:bidi/>
        <w:spacing w:after="0"/>
        <w:ind w:firstLine="283"/>
        <w:jc w:val="both"/>
        <w:rPr>
          <w:rFonts w:ascii="Simplified Arabic" w:hAnsi="Simplified Arabic" w:cs="Simplified Arabic"/>
          <w:sz w:val="24"/>
          <w:szCs w:val="24"/>
          <w:rtl/>
          <w:lang w:val="en-US"/>
        </w:rPr>
      </w:pPr>
      <w:r w:rsidRPr="008644F0">
        <w:rPr>
          <w:rFonts w:ascii="Simplified Arabic" w:hAnsi="Simplified Arabic" w:cs="Simplified Arabic" w:hint="cs"/>
          <w:sz w:val="24"/>
          <w:szCs w:val="24"/>
          <w:rtl/>
          <w:lang w:val="en-US"/>
        </w:rPr>
        <w:t>الكثافة</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متجانسة،</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فهي</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تساوي</w:t>
      </w:r>
      <w:r w:rsidR="00144824">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147</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ساكن</w:t>
      </w:r>
      <w:r w:rsidRPr="008644F0">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أو</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21</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مسكن</w:t>
      </w:r>
      <w:r w:rsidR="00A90F73">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Pr>
          <w:rFonts w:ascii="Simplified Arabic" w:hAnsi="Simplified Arabic" w:cs="Simplified Arabic" w:hint="cs"/>
          <w:sz w:val="24"/>
          <w:szCs w:val="24"/>
          <w:rtl/>
          <w:lang w:val="en-US"/>
        </w:rPr>
        <w:t xml:space="preserve"> حي</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w:t>
      </w:r>
      <w:r w:rsidRPr="008644F0">
        <w:rPr>
          <w:rFonts w:ascii="Simplified Arabic" w:hAnsi="Simplified Arabic" w:cs="Simplified Arabic" w:hint="cs"/>
          <w:sz w:val="24"/>
          <w:szCs w:val="24"/>
          <w:rtl/>
          <w:lang w:val="en-US"/>
        </w:rPr>
        <w:t>حم</w:t>
      </w:r>
      <w:r>
        <w:rPr>
          <w:rFonts w:ascii="Simplified Arabic" w:hAnsi="Simplified Arabic" w:cs="Simplified Arabic" w:hint="cs"/>
          <w:sz w:val="24"/>
          <w:szCs w:val="24"/>
          <w:rtl/>
          <w:lang w:val="en-US"/>
        </w:rPr>
        <w:t>ا</w:t>
      </w:r>
      <w:r w:rsidRPr="008644F0">
        <w:rPr>
          <w:rFonts w:ascii="Simplified Arabic" w:hAnsi="Simplified Arabic" w:cs="Simplified Arabic" w:hint="cs"/>
          <w:sz w:val="24"/>
          <w:szCs w:val="24"/>
          <w:rtl/>
          <w:lang w:val="en-US"/>
        </w:rPr>
        <w:t>يد</w:t>
      </w:r>
      <w:r w:rsidR="00144824">
        <w:rPr>
          <w:rFonts w:ascii="Simplified Arabic" w:hAnsi="Simplified Arabic" w:cs="Simplified Arabic" w:hint="cs"/>
          <w:sz w:val="24"/>
          <w:szCs w:val="24"/>
          <w:rtl/>
          <w:lang w:val="en-US"/>
        </w:rPr>
        <w:t>)</w:t>
      </w:r>
      <w:r w:rsidRPr="008644F0">
        <w:rPr>
          <w:rFonts w:ascii="Simplified Arabic" w:hAnsi="Simplified Arabic" w:cs="Simplified Arabic" w:hint="cs"/>
          <w:sz w:val="24"/>
          <w:szCs w:val="24"/>
          <w:rtl/>
          <w:lang w:val="en-US"/>
        </w:rPr>
        <w:t>،</w:t>
      </w:r>
      <w:r w:rsidRPr="008644F0">
        <w:rPr>
          <w:rFonts w:ascii="Simplified Arabic" w:hAnsi="Simplified Arabic" w:cs="Simplified Arabic"/>
          <w:sz w:val="24"/>
          <w:szCs w:val="24"/>
          <w:rtl/>
          <w:lang w:val="en-US"/>
        </w:rPr>
        <w:t xml:space="preserve"> </w:t>
      </w:r>
      <w:r w:rsidR="00144824">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rPr>
        <w:t>153</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ساكن</w:t>
      </w:r>
      <w:r w:rsidRPr="008644F0">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أو</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19</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مسكن</w:t>
      </w:r>
      <w:r w:rsidRPr="008644F0">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Pr>
          <w:rFonts w:ascii="Simplified Arabic" w:hAnsi="Simplified Arabic" w:cs="Simplified Arabic" w:hint="cs"/>
          <w:sz w:val="24"/>
          <w:szCs w:val="24"/>
          <w:rtl/>
          <w:lang w:val="en-US"/>
        </w:rPr>
        <w:t xml:space="preserve"> حي</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كادات</w:t>
      </w:r>
      <w:r>
        <w:rPr>
          <w:rFonts w:ascii="Simplified Arabic" w:hAnsi="Simplified Arabic" w:cs="Simplified Arabic" w:hint="cs"/>
          <w:sz w:val="24"/>
          <w:szCs w:val="24"/>
          <w:rtl/>
          <w:lang w:val="en-US"/>
        </w:rPr>
        <w:t>/</w:t>
      </w:r>
      <w:r w:rsidRPr="008644F0">
        <w:rPr>
          <w:rFonts w:ascii="Simplified Arabic" w:hAnsi="Simplified Arabic" w:cs="Simplified Arabic" w:hint="cs"/>
          <w:sz w:val="24"/>
          <w:szCs w:val="24"/>
          <w:rtl/>
          <w:lang w:val="en-US"/>
        </w:rPr>
        <w:t>س</w:t>
      </w:r>
      <w:r>
        <w:rPr>
          <w:rFonts w:ascii="Simplified Arabic" w:hAnsi="Simplified Arabic" w:cs="Simplified Arabic" w:hint="cs"/>
          <w:sz w:val="24"/>
          <w:szCs w:val="24"/>
          <w:rtl/>
          <w:lang w:val="en-US"/>
        </w:rPr>
        <w:t>ط</w:t>
      </w:r>
      <w:r w:rsidRPr="008644F0">
        <w:rPr>
          <w:rFonts w:ascii="Simplified Arabic" w:hAnsi="Simplified Arabic" w:cs="Simplified Arabic" w:hint="cs"/>
          <w:sz w:val="24"/>
          <w:szCs w:val="24"/>
          <w:rtl/>
          <w:lang w:val="en-US"/>
        </w:rPr>
        <w:t>ي</w:t>
      </w:r>
      <w:r>
        <w:rPr>
          <w:rFonts w:ascii="Simplified Arabic" w:hAnsi="Simplified Arabic" w:cs="Simplified Arabic" w:hint="cs"/>
          <w:sz w:val="24"/>
          <w:szCs w:val="24"/>
          <w:rtl/>
          <w:lang w:val="en-US"/>
        </w:rPr>
        <w:t>ح</w:t>
      </w:r>
      <w:r w:rsidR="00144824">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rPr>
        <w:t>،</w:t>
      </w:r>
      <w:r w:rsidRPr="008644F0">
        <w:rPr>
          <w:rFonts w:ascii="Simplified Arabic" w:hAnsi="Simplified Arabic" w:cs="Simplified Arabic"/>
          <w:sz w:val="24"/>
          <w:szCs w:val="24"/>
          <w:rtl/>
          <w:lang w:val="en-US"/>
        </w:rPr>
        <w:t xml:space="preserve"> </w:t>
      </w:r>
      <w:r w:rsidR="00144824">
        <w:rPr>
          <w:rFonts w:ascii="Simplified Arabic" w:hAnsi="Simplified Arabic" w:cs="Simplified Arabic" w:hint="cs"/>
          <w:sz w:val="24"/>
          <w:szCs w:val="24"/>
          <w:rtl/>
          <w:lang w:val="en-US"/>
        </w:rPr>
        <w:t>(</w:t>
      </w:r>
      <w:r w:rsidRPr="008644F0">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7</w:t>
      </w:r>
      <w:r w:rsidRPr="008644F0">
        <w:rPr>
          <w:rFonts w:ascii="Simplified Arabic" w:hAnsi="Simplified Arabic" w:cs="Simplified Arabic"/>
          <w:sz w:val="24"/>
          <w:szCs w:val="24"/>
          <w:rtl/>
          <w:lang w:val="en-US"/>
        </w:rPr>
        <w:t xml:space="preserve">8 </w:t>
      </w:r>
      <w:r w:rsidRPr="008644F0">
        <w:rPr>
          <w:rFonts w:ascii="Simplified Arabic" w:hAnsi="Simplified Arabic" w:cs="Simplified Arabic" w:hint="cs"/>
          <w:sz w:val="24"/>
          <w:szCs w:val="24"/>
          <w:rtl/>
          <w:lang w:val="en-US"/>
        </w:rPr>
        <w:t>س</w:t>
      </w:r>
      <w:r w:rsidR="00144824">
        <w:rPr>
          <w:rFonts w:ascii="Simplified Arabic" w:hAnsi="Simplified Arabic" w:cs="Simplified Arabic" w:hint="cs"/>
          <w:sz w:val="24"/>
          <w:szCs w:val="24"/>
          <w:rtl/>
          <w:lang w:val="en-US"/>
        </w:rPr>
        <w:t>اكن</w:t>
      </w:r>
      <w:r>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أو</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26</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مسكن</w:t>
      </w:r>
      <w:r w:rsidRPr="008644F0">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Pr>
          <w:rFonts w:ascii="Simplified Arabic" w:hAnsi="Simplified Arabic" w:cs="Simplified Arabic" w:hint="cs"/>
          <w:sz w:val="24"/>
          <w:szCs w:val="24"/>
          <w:rtl/>
          <w:lang w:val="en-US"/>
        </w:rPr>
        <w:t xml:space="preserve"> حي</w:t>
      </w:r>
      <w:r w:rsidRPr="008644F0">
        <w:rPr>
          <w:rFonts w:ascii="Simplified Arabic" w:hAnsi="Simplified Arabic" w:cs="Simplified Arabic"/>
          <w:sz w:val="24"/>
          <w:szCs w:val="24"/>
          <w:rtl/>
          <w:lang w:val="en-US"/>
        </w:rPr>
        <w:t xml:space="preserve"> 20 </w:t>
      </w:r>
      <w:r w:rsidRPr="008644F0">
        <w:rPr>
          <w:rFonts w:ascii="Simplified Arabic" w:hAnsi="Simplified Arabic" w:cs="Simplified Arabic" w:hint="cs"/>
          <w:sz w:val="24"/>
          <w:szCs w:val="24"/>
          <w:rtl/>
          <w:lang w:val="en-US"/>
        </w:rPr>
        <w:t>أ</w:t>
      </w:r>
      <w:r>
        <w:rPr>
          <w:rFonts w:ascii="Simplified Arabic" w:hAnsi="Simplified Arabic" w:cs="Simplified Arabic" w:hint="cs"/>
          <w:sz w:val="24"/>
          <w:szCs w:val="24"/>
          <w:rtl/>
          <w:lang w:val="en-US"/>
        </w:rPr>
        <w:t>وت</w:t>
      </w:r>
      <w:r w:rsidR="00144824">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rPr>
        <w:t xml:space="preserve"> و</w:t>
      </w:r>
      <w:r w:rsidR="00144824">
        <w:rPr>
          <w:rFonts w:ascii="Simplified Arabic" w:hAnsi="Simplified Arabic" w:cs="Simplified Arabic" w:hint="cs"/>
          <w:sz w:val="24"/>
          <w:szCs w:val="24"/>
          <w:rtl/>
          <w:lang w:val="en-US"/>
        </w:rPr>
        <w:t xml:space="preserve"> (</w:t>
      </w:r>
      <w:r w:rsidRPr="008644F0">
        <w:rPr>
          <w:rFonts w:ascii="Simplified Arabic" w:hAnsi="Simplified Arabic" w:cs="Simplified Arabic"/>
          <w:sz w:val="24"/>
          <w:szCs w:val="24"/>
          <w:rtl/>
          <w:lang w:val="en-US"/>
        </w:rPr>
        <w:t>1</w:t>
      </w:r>
      <w:r>
        <w:rPr>
          <w:rFonts w:ascii="Simplified Arabic" w:hAnsi="Simplified Arabic" w:cs="Simplified Arabic" w:hint="cs"/>
          <w:sz w:val="24"/>
          <w:szCs w:val="24"/>
          <w:rtl/>
          <w:lang w:val="en-US"/>
        </w:rPr>
        <w:t>12</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س</w:t>
      </w:r>
      <w:r w:rsidR="00144824">
        <w:rPr>
          <w:rFonts w:ascii="Simplified Arabic" w:hAnsi="Simplified Arabic" w:cs="Simplified Arabic" w:hint="cs"/>
          <w:sz w:val="24"/>
          <w:szCs w:val="24"/>
          <w:rtl/>
          <w:lang w:val="en-US"/>
        </w:rPr>
        <w:t>ا</w:t>
      </w:r>
      <w:r w:rsidRPr="008644F0">
        <w:rPr>
          <w:rFonts w:ascii="Simplified Arabic" w:hAnsi="Simplified Arabic" w:cs="Simplified Arabic" w:hint="cs"/>
          <w:sz w:val="24"/>
          <w:szCs w:val="24"/>
          <w:rtl/>
          <w:lang w:val="en-US"/>
        </w:rPr>
        <w:t>كن</w:t>
      </w:r>
      <w:r>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أو</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28</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مسكن</w:t>
      </w:r>
      <w:r w:rsidRPr="008644F0">
        <w:rPr>
          <w:rFonts w:ascii="Simplified Arabic" w:hAnsi="Simplified Arabic" w:cs="Simplified Arabic"/>
          <w:sz w:val="24"/>
          <w:szCs w:val="24"/>
          <w:rtl/>
          <w:lang w:val="en-US"/>
        </w:rPr>
        <w:t>/</w:t>
      </w:r>
      <w:r w:rsidRPr="008644F0">
        <w:rPr>
          <w:rFonts w:ascii="Simplified Arabic" w:hAnsi="Simplified Arabic" w:cs="Simplified Arabic" w:hint="cs"/>
          <w:sz w:val="24"/>
          <w:szCs w:val="24"/>
          <w:rtl/>
          <w:lang w:val="en-US"/>
        </w:rPr>
        <w:t>هكتار</w:t>
      </w:r>
      <w:r w:rsidRPr="008644F0">
        <w:rPr>
          <w:rFonts w:ascii="Simplified Arabic" w:hAnsi="Simplified Arabic" w:cs="Simplified Arabic"/>
          <w:sz w:val="24"/>
          <w:szCs w:val="24"/>
          <w:rtl/>
          <w:lang w:val="en-US"/>
        </w:rPr>
        <w:t xml:space="preserve"> </w:t>
      </w:r>
      <w:r w:rsidRPr="008644F0">
        <w:rPr>
          <w:rFonts w:ascii="Simplified Arabic" w:hAnsi="Simplified Arabic" w:cs="Simplified Arabic" w:hint="cs"/>
          <w:sz w:val="24"/>
          <w:szCs w:val="24"/>
          <w:rtl/>
          <w:lang w:val="en-US"/>
        </w:rPr>
        <w:t>في</w:t>
      </w:r>
      <w:r>
        <w:rPr>
          <w:rFonts w:ascii="Simplified Arabic" w:hAnsi="Simplified Arabic" w:cs="Simplified Arabic" w:hint="cs"/>
          <w:sz w:val="24"/>
          <w:szCs w:val="24"/>
          <w:rtl/>
          <w:lang w:val="en-US"/>
        </w:rPr>
        <w:t xml:space="preserve"> حي</w:t>
      </w:r>
      <w:r w:rsidRPr="008644F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الباطن</w:t>
      </w:r>
      <w:r w:rsidR="00144824">
        <w:rPr>
          <w:rFonts w:ascii="Simplified Arabic" w:hAnsi="Simplified Arabic" w:cs="Simplified Arabic" w:hint="cs"/>
          <w:sz w:val="24"/>
          <w:szCs w:val="24"/>
          <w:rtl/>
          <w:lang w:val="en-US"/>
        </w:rPr>
        <w:t>)</w:t>
      </w:r>
      <w:r w:rsidRPr="008644F0">
        <w:rPr>
          <w:rFonts w:ascii="Simplified Arabic" w:hAnsi="Simplified Arabic" w:cs="Simplified Arabic"/>
          <w:sz w:val="24"/>
          <w:szCs w:val="24"/>
          <w:rtl/>
          <w:lang w:val="en-US"/>
        </w:rPr>
        <w:t>.</w:t>
      </w:r>
    </w:p>
    <w:p w:rsidR="000635D8" w:rsidRPr="007E116E" w:rsidRDefault="000635D8" w:rsidP="001D0548">
      <w:pPr>
        <w:pStyle w:val="Paragraphedeliste"/>
        <w:numPr>
          <w:ilvl w:val="0"/>
          <w:numId w:val="2"/>
        </w:numPr>
        <w:bidi/>
        <w:spacing w:after="0"/>
        <w:ind w:left="0" w:firstLine="283"/>
        <w:jc w:val="both"/>
        <w:rPr>
          <w:rFonts w:ascii="Simplified Arabic" w:hAnsi="Simplified Arabic" w:cs="Simplified Arabic"/>
          <w:b/>
          <w:bCs/>
          <w:sz w:val="24"/>
          <w:szCs w:val="24"/>
          <w:lang w:val="en-US"/>
        </w:rPr>
      </w:pPr>
      <w:r w:rsidRPr="006842CF">
        <w:rPr>
          <w:rFonts w:ascii="Simplified Arabic" w:hAnsi="Simplified Arabic" w:cs="Simplified Arabic" w:hint="cs"/>
          <w:b/>
          <w:bCs/>
          <w:sz w:val="24"/>
          <w:szCs w:val="24"/>
          <w:rtl/>
          <w:lang w:val="en-US"/>
        </w:rPr>
        <w:lastRenderedPageBreak/>
        <w:t>المرافق</w:t>
      </w:r>
    </w:p>
    <w:p w:rsidR="000635D8" w:rsidRDefault="000635D8" w:rsidP="004D6FB3">
      <w:pPr>
        <w:bidi/>
        <w:spacing w:after="0"/>
        <w:ind w:firstLine="283"/>
        <w:jc w:val="both"/>
        <w:rPr>
          <w:rFonts w:ascii="Simplified Arabic" w:hAnsi="Simplified Arabic" w:cs="Simplified Arabic"/>
          <w:sz w:val="24"/>
          <w:szCs w:val="24"/>
          <w:rtl/>
          <w:lang w:val="en-US"/>
        </w:rPr>
      </w:pPr>
      <w:r w:rsidRPr="00292169">
        <w:rPr>
          <w:rFonts w:ascii="Simplified Arabic" w:hAnsi="Simplified Arabic" w:cs="Simplified Arabic" w:hint="cs"/>
          <w:sz w:val="24"/>
          <w:szCs w:val="24"/>
          <w:rtl/>
          <w:lang w:val="en-US"/>
        </w:rPr>
        <w:t>تحتل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هذه</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الاحياء</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إلى</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حد</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عددًا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كبيرًا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المرافق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العامة،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تقع</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احياء </w:t>
      </w:r>
      <w:r w:rsidRPr="000027F5">
        <w:rPr>
          <w:rFonts w:ascii="Simplified Arabic" w:hAnsi="Simplified Arabic" w:cs="Simplified Arabic" w:hint="cs"/>
          <w:sz w:val="24"/>
          <w:szCs w:val="24"/>
          <w:rtl/>
          <w:lang w:val="en-US"/>
        </w:rPr>
        <w:t>كادات</w:t>
      </w:r>
      <w:r w:rsidRPr="000027F5">
        <w:rPr>
          <w:rFonts w:ascii="Simplified Arabic" w:hAnsi="Simplified Arabic" w:cs="Simplified Arabic"/>
          <w:sz w:val="24"/>
          <w:szCs w:val="24"/>
          <w:rtl/>
          <w:lang w:val="en-US"/>
        </w:rPr>
        <w:t>/</w:t>
      </w:r>
      <w:r w:rsidRPr="000027F5">
        <w:rPr>
          <w:rFonts w:ascii="Simplified Arabic" w:hAnsi="Simplified Arabic" w:cs="Simplified Arabic" w:hint="cs"/>
          <w:sz w:val="24"/>
          <w:szCs w:val="24"/>
          <w:rtl/>
          <w:lang w:val="en-US"/>
        </w:rPr>
        <w:t>سطيح</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w:t>
      </w:r>
      <w:r w:rsidRPr="00292169">
        <w:rPr>
          <w:rFonts w:ascii="Simplified Arabic" w:hAnsi="Simplified Arabic" w:cs="Simplified Arabic"/>
          <w:sz w:val="24"/>
          <w:szCs w:val="24"/>
          <w:rtl/>
          <w:lang w:val="en-US"/>
        </w:rPr>
        <w:t xml:space="preserve"> 20 </w:t>
      </w:r>
      <w:r w:rsidRPr="00292169">
        <w:rPr>
          <w:rFonts w:ascii="Simplified Arabic" w:hAnsi="Simplified Arabic" w:cs="Simplified Arabic" w:hint="cs"/>
          <w:sz w:val="24"/>
          <w:szCs w:val="24"/>
          <w:rtl/>
          <w:lang w:val="en-US"/>
        </w:rPr>
        <w:t>أغسطس</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بالقرب</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وسط</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المدينة</w:t>
      </w:r>
      <w:r>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w:t>
      </w:r>
      <w:r>
        <w:rPr>
          <w:rFonts w:ascii="Simplified Arabic" w:hAnsi="Simplified Arabic" w:cs="Simplified Arabic" w:hint="cs"/>
          <w:sz w:val="24"/>
          <w:szCs w:val="24"/>
          <w:rtl/>
          <w:lang w:val="en-US"/>
        </w:rPr>
        <w:t>ت</w:t>
      </w:r>
      <w:r w:rsidRPr="00292169">
        <w:rPr>
          <w:rFonts w:ascii="Simplified Arabic" w:hAnsi="Simplified Arabic" w:cs="Simplified Arabic" w:hint="cs"/>
          <w:sz w:val="24"/>
          <w:szCs w:val="24"/>
          <w:rtl/>
          <w:lang w:val="en-US"/>
        </w:rPr>
        <w:t>مثل</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هذه </w:t>
      </w:r>
      <w:r w:rsidRPr="00292169">
        <w:rPr>
          <w:rFonts w:ascii="Simplified Arabic" w:hAnsi="Simplified Arabic" w:cs="Simplified Arabic" w:hint="cs"/>
          <w:sz w:val="24"/>
          <w:szCs w:val="24"/>
          <w:rtl/>
          <w:lang w:val="en-US"/>
        </w:rPr>
        <w:t>المرافق</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في</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5</w:t>
      </w:r>
      <w:r>
        <w:rPr>
          <w:rFonts w:ascii="Simplified Arabic" w:hAnsi="Simplified Arabic" w:cs="Simplified Arabic" w:hint="cs"/>
          <w:sz w:val="24"/>
          <w:szCs w:val="24"/>
          <w:rtl/>
          <w:lang w:val="en-US"/>
        </w:rPr>
        <w:t>)مدارس ابتدائية</w:t>
      </w:r>
      <w:r w:rsidRPr="00292169">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3</w:t>
      </w:r>
      <w:r>
        <w:rPr>
          <w:rFonts w:ascii="Simplified Arabic" w:hAnsi="Simplified Arabic" w:cs="Simplified Arabic" w:hint="cs"/>
          <w:sz w:val="24"/>
          <w:szCs w:val="24"/>
          <w:rtl/>
          <w:lang w:val="en-US"/>
        </w:rPr>
        <w:t>)مدارس التعليم المتوسط</w:t>
      </w:r>
      <w:r w:rsidRPr="00292169">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w:t>
      </w:r>
      <w:r w:rsidRPr="00292169">
        <w:rPr>
          <w:rFonts w:ascii="Simplified Arabic" w:hAnsi="Simplified Arabic" w:cs="Simplified Arabic" w:hint="cs"/>
          <w:sz w:val="24"/>
          <w:szCs w:val="24"/>
          <w:rtl/>
          <w:lang w:val="en-US"/>
        </w:rPr>
        <w:t>ثانوية،</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4</w:t>
      </w:r>
      <w:r>
        <w:rPr>
          <w:rFonts w:ascii="Simplified Arabic" w:hAnsi="Simplified Arabic" w:cs="Simplified Arabic" w:hint="cs"/>
          <w:sz w:val="24"/>
          <w:szCs w:val="24"/>
          <w:rtl/>
          <w:lang w:val="en-US"/>
        </w:rPr>
        <w:t>)</w:t>
      </w:r>
      <w:r w:rsidRPr="00292169">
        <w:rPr>
          <w:rFonts w:ascii="Simplified Arabic" w:hAnsi="Simplified Arabic" w:cs="Simplified Arabic" w:hint="cs"/>
          <w:sz w:val="24"/>
          <w:szCs w:val="24"/>
          <w:rtl/>
          <w:lang w:val="en-US"/>
        </w:rPr>
        <w:t>مساجد،</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w:t>
      </w:r>
      <w:r w:rsidR="00D86155">
        <w:rPr>
          <w:rFonts w:ascii="Simplified Arabic" w:hAnsi="Simplified Arabic" w:cs="Simplified Arabic" w:hint="cs"/>
          <w:sz w:val="24"/>
          <w:szCs w:val="24"/>
          <w:rtl/>
          <w:lang w:val="en-US"/>
        </w:rPr>
        <w:t>ا</w:t>
      </w:r>
      <w:r>
        <w:rPr>
          <w:rFonts w:ascii="Simplified Arabic" w:hAnsi="Simplified Arabic" w:cs="Simplified Arabic" w:hint="cs"/>
          <w:sz w:val="24"/>
          <w:szCs w:val="24"/>
          <w:rtl/>
          <w:lang w:val="en-US"/>
        </w:rPr>
        <w:t>قسام تقنية</w:t>
      </w:r>
      <w:r w:rsidRPr="00292169">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(1)</w:t>
      </w:r>
      <w:r w:rsidRPr="00292169">
        <w:rPr>
          <w:rFonts w:ascii="Simplified Arabic" w:hAnsi="Simplified Arabic" w:cs="Simplified Arabic" w:hint="cs"/>
          <w:sz w:val="24"/>
          <w:szCs w:val="24"/>
          <w:rtl/>
          <w:lang w:val="en-US"/>
        </w:rPr>
        <w:t>مركز</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صحي،</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(2)</w:t>
      </w:r>
      <w:r w:rsidRPr="00292169">
        <w:rPr>
          <w:rFonts w:ascii="Simplified Arabic" w:hAnsi="Simplified Arabic" w:cs="Simplified Arabic" w:hint="cs"/>
          <w:sz w:val="24"/>
          <w:szCs w:val="24"/>
          <w:rtl/>
          <w:lang w:val="en-US"/>
        </w:rPr>
        <w:t>حضانتان،</w:t>
      </w:r>
      <w:r w:rsidRPr="00292169">
        <w:rPr>
          <w:rFonts w:ascii="Simplified Arabic" w:hAnsi="Simplified Arabic" w:cs="Simplified Arabic"/>
          <w:sz w:val="24"/>
          <w:szCs w:val="24"/>
          <w:rtl/>
          <w:lang w:val="en-US"/>
        </w:rPr>
        <w:t xml:space="preserve"> </w:t>
      </w:r>
      <w:r w:rsidR="00D86155">
        <w:rPr>
          <w:rFonts w:ascii="Simplified Arabic" w:hAnsi="Simplified Arabic" w:cs="Simplified Arabic" w:hint="cs"/>
          <w:sz w:val="24"/>
          <w:szCs w:val="24"/>
          <w:rtl/>
          <w:lang w:val="en-US"/>
        </w:rPr>
        <w:t>(2)</w:t>
      </w:r>
      <w:r w:rsidRPr="00292169">
        <w:rPr>
          <w:rFonts w:ascii="Simplified Arabic" w:hAnsi="Simplified Arabic" w:cs="Simplified Arabic" w:hint="cs"/>
          <w:sz w:val="24"/>
          <w:szCs w:val="24"/>
          <w:rtl/>
          <w:lang w:val="en-US"/>
        </w:rPr>
        <w:t>نزل،</w:t>
      </w:r>
      <w:r w:rsidRPr="00292169">
        <w:rPr>
          <w:rFonts w:ascii="Simplified Arabic" w:hAnsi="Simplified Arabic" w:cs="Simplified Arabic"/>
          <w:sz w:val="24"/>
          <w:szCs w:val="24"/>
          <w:rtl/>
          <w:lang w:val="en-US"/>
        </w:rPr>
        <w:t xml:space="preserve"> </w:t>
      </w:r>
      <w:r w:rsidR="00D86155">
        <w:rPr>
          <w:rFonts w:ascii="Simplified Arabic" w:hAnsi="Simplified Arabic" w:cs="Simplified Arabic" w:hint="cs"/>
          <w:sz w:val="24"/>
          <w:szCs w:val="24"/>
          <w:rtl/>
          <w:lang w:val="en-US"/>
        </w:rPr>
        <w:t>(2)</w:t>
      </w:r>
      <w:r w:rsidRPr="00292169">
        <w:rPr>
          <w:rFonts w:ascii="Simplified Arabic" w:hAnsi="Simplified Arabic" w:cs="Simplified Arabic" w:hint="cs"/>
          <w:sz w:val="24"/>
          <w:szCs w:val="24"/>
          <w:rtl/>
          <w:lang w:val="en-US"/>
        </w:rPr>
        <w:t>مركز</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للشباب،</w:t>
      </w:r>
      <w:r w:rsidRPr="00292169">
        <w:rPr>
          <w:rFonts w:ascii="Simplified Arabic" w:hAnsi="Simplified Arabic" w:cs="Simplified Arabic"/>
          <w:sz w:val="24"/>
          <w:szCs w:val="24"/>
          <w:rtl/>
          <w:lang w:val="en-US"/>
        </w:rPr>
        <w:t xml:space="preserve"> </w:t>
      </w:r>
      <w:r w:rsidR="00D86155">
        <w:rPr>
          <w:rFonts w:ascii="Simplified Arabic" w:hAnsi="Simplified Arabic" w:cs="Simplified Arabic" w:hint="cs"/>
          <w:sz w:val="24"/>
          <w:szCs w:val="24"/>
          <w:rtl/>
          <w:lang w:val="en-US"/>
        </w:rPr>
        <w:t>(2)</w:t>
      </w:r>
      <w:r w:rsidRPr="00292169">
        <w:rPr>
          <w:rFonts w:ascii="Simplified Arabic" w:hAnsi="Simplified Arabic" w:cs="Simplified Arabic" w:hint="cs"/>
          <w:sz w:val="24"/>
          <w:szCs w:val="24"/>
          <w:rtl/>
          <w:lang w:val="en-US"/>
        </w:rPr>
        <w:t>مركز</w:t>
      </w:r>
      <w:r w:rsidRPr="00292169">
        <w:rPr>
          <w:rFonts w:ascii="Simplified Arabic" w:hAnsi="Simplified Arabic" w:cs="Simplified Arabic"/>
          <w:sz w:val="24"/>
          <w:szCs w:val="24"/>
          <w:rtl/>
          <w:lang w:val="en-US"/>
        </w:rPr>
        <w:t xml:space="preserve"> </w:t>
      </w:r>
      <w:r w:rsidR="00D86155">
        <w:rPr>
          <w:rFonts w:ascii="Simplified Arabic" w:hAnsi="Simplified Arabic" w:cs="Simplified Arabic" w:hint="cs"/>
          <w:sz w:val="24"/>
          <w:szCs w:val="24"/>
          <w:rtl/>
          <w:lang w:val="en-US"/>
        </w:rPr>
        <w:t>أمني</w:t>
      </w:r>
      <w:r w:rsidRPr="00292169">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sidR="00D86155">
        <w:rPr>
          <w:rFonts w:ascii="Simplified Arabic" w:hAnsi="Simplified Arabic" w:cs="Simplified Arabic" w:hint="cs"/>
          <w:sz w:val="24"/>
          <w:szCs w:val="24"/>
          <w:rtl/>
          <w:lang w:val="en-US"/>
        </w:rPr>
        <w:t>(1)</w:t>
      </w:r>
      <w:r w:rsidRPr="00292169">
        <w:rPr>
          <w:rFonts w:ascii="Simplified Arabic" w:hAnsi="Simplified Arabic" w:cs="Simplified Arabic" w:hint="cs"/>
          <w:sz w:val="24"/>
          <w:szCs w:val="24"/>
          <w:rtl/>
          <w:lang w:val="en-US"/>
        </w:rPr>
        <w:t>مركز</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شرطة،</w:t>
      </w:r>
      <w:r w:rsidRPr="00292169">
        <w:rPr>
          <w:rFonts w:ascii="Simplified Arabic" w:hAnsi="Simplified Arabic" w:cs="Simplified Arabic"/>
          <w:sz w:val="24"/>
          <w:szCs w:val="24"/>
          <w:rtl/>
          <w:lang w:val="en-US"/>
        </w:rPr>
        <w:t xml:space="preserve"> </w:t>
      </w:r>
      <w:r w:rsidR="00D86155">
        <w:rPr>
          <w:rFonts w:ascii="Simplified Arabic" w:hAnsi="Simplified Arabic" w:cs="Simplified Arabic" w:hint="cs"/>
          <w:sz w:val="24"/>
          <w:szCs w:val="24"/>
          <w:rtl/>
          <w:lang w:val="en-US"/>
        </w:rPr>
        <w:t>(1)</w:t>
      </w:r>
      <w:r w:rsidRPr="00292169">
        <w:rPr>
          <w:rFonts w:ascii="Simplified Arabic" w:hAnsi="Simplified Arabic" w:cs="Simplified Arabic" w:hint="cs"/>
          <w:sz w:val="24"/>
          <w:szCs w:val="24"/>
          <w:rtl/>
          <w:lang w:val="en-US"/>
        </w:rPr>
        <w:t>محطة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حافلات،</w:t>
      </w:r>
      <w:r w:rsidRPr="00292169">
        <w:rPr>
          <w:rFonts w:ascii="Simplified Arabic" w:hAnsi="Simplified Arabic" w:cs="Simplified Arabic"/>
          <w:sz w:val="24"/>
          <w:szCs w:val="24"/>
          <w:rtl/>
          <w:lang w:val="en-US"/>
        </w:rPr>
        <w:t xml:space="preserve"> </w:t>
      </w:r>
      <w:r w:rsidR="00D86155">
        <w:rPr>
          <w:rFonts w:ascii="Simplified Arabic" w:hAnsi="Simplified Arabic" w:cs="Simplified Arabic" w:hint="cs"/>
          <w:sz w:val="24"/>
          <w:szCs w:val="24"/>
          <w:rtl/>
          <w:lang w:val="en-US"/>
        </w:rPr>
        <w:t>(1)</w:t>
      </w:r>
      <w:r>
        <w:rPr>
          <w:rFonts w:ascii="Simplified Arabic" w:hAnsi="Simplified Arabic" w:cs="Simplified Arabic" w:hint="cs"/>
          <w:sz w:val="24"/>
          <w:szCs w:val="24"/>
          <w:rtl/>
          <w:lang w:val="en-US"/>
        </w:rPr>
        <w:t>قاعة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رياضية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(1)مركز رياضي جواري</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تلعب</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هذه</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المرافق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دورًا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مهمًا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على</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مستوى نطاق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المدينة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أكثر</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مما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تلعبه</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على</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نطاق</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الاحياء،</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كونها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جزءًا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وسط</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المدينة</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w:t>
      </w:r>
      <w:r w:rsidRPr="00292169">
        <w:rPr>
          <w:rFonts w:ascii="Simplified Arabic" w:hAnsi="Simplified Arabic" w:cs="Simplified Arabic" w:hint="cs"/>
          <w:sz w:val="24"/>
          <w:szCs w:val="24"/>
          <w:rtl/>
          <w:lang w:val="en-US"/>
        </w:rPr>
        <w:t>حم</w:t>
      </w:r>
      <w:r>
        <w:rPr>
          <w:rFonts w:ascii="Simplified Arabic" w:hAnsi="Simplified Arabic" w:cs="Simplified Arabic" w:hint="cs"/>
          <w:sz w:val="24"/>
          <w:szCs w:val="24"/>
          <w:rtl/>
          <w:lang w:val="en-US"/>
        </w:rPr>
        <w:t>ا</w:t>
      </w:r>
      <w:r w:rsidRPr="00292169">
        <w:rPr>
          <w:rFonts w:ascii="Simplified Arabic" w:hAnsi="Simplified Arabic" w:cs="Simplified Arabic" w:hint="cs"/>
          <w:sz w:val="24"/>
          <w:szCs w:val="24"/>
          <w:rtl/>
          <w:lang w:val="en-US"/>
        </w:rPr>
        <w:t>يد</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w:t>
      </w:r>
      <w:r>
        <w:rPr>
          <w:rFonts w:ascii="Simplified Arabic" w:hAnsi="Simplified Arabic" w:cs="Simplified Arabic" w:hint="cs"/>
          <w:sz w:val="24"/>
          <w:szCs w:val="24"/>
          <w:rtl/>
          <w:lang w:val="en-US"/>
        </w:rPr>
        <w:t>ذ</w:t>
      </w:r>
      <w:r w:rsidRPr="00292169">
        <w:rPr>
          <w:rFonts w:ascii="Simplified Arabic" w:hAnsi="Simplified Arabic" w:cs="Simplified Arabic" w:hint="cs"/>
          <w:sz w:val="24"/>
          <w:szCs w:val="24"/>
          <w:rtl/>
          <w:lang w:val="en-US"/>
        </w:rPr>
        <w:t>ي</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w:t>
      </w:r>
      <w:r w:rsidRPr="00292169">
        <w:rPr>
          <w:rFonts w:ascii="Simplified Arabic" w:hAnsi="Simplified Arabic" w:cs="Simplified Arabic" w:hint="cs"/>
          <w:sz w:val="24"/>
          <w:szCs w:val="24"/>
          <w:rtl/>
          <w:lang w:val="en-US"/>
        </w:rPr>
        <w:t>بتعد</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عن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وسط</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المدينة</w:t>
      </w:r>
      <w:r>
        <w:rPr>
          <w:rFonts w:ascii="Simplified Arabic" w:hAnsi="Simplified Arabic" w:cs="Simplified Arabic" w:hint="cs"/>
          <w:sz w:val="24"/>
          <w:szCs w:val="24"/>
          <w:rtl/>
          <w:lang w:val="en-US"/>
        </w:rPr>
        <w:t>، تتواجد به</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عددًا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محدودًا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وغير</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كافٍ</w:t>
      </w:r>
      <w:r w:rsidR="007323C9">
        <w:rPr>
          <w:rFonts w:ascii="Simplified Arabic" w:hAnsi="Simplified Arabic" w:cs="Simplified Arabic" w:hint="cs"/>
          <w:sz w:val="24"/>
          <w:szCs w:val="24"/>
          <w:rtl/>
          <w:lang w:val="en-US"/>
        </w:rPr>
        <w:t xml:space="preserve"> </w:t>
      </w:r>
      <w:r w:rsidRPr="00292169">
        <w:rPr>
          <w:rFonts w:ascii="Simplified Arabic" w:hAnsi="Simplified Arabic" w:cs="Simplified Arabic" w:hint="cs"/>
          <w:sz w:val="24"/>
          <w:szCs w:val="24"/>
          <w:rtl/>
          <w:lang w:val="en-US"/>
        </w:rPr>
        <w:t>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المرافق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العامة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المخصصة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تتراوح</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المساحة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التي</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تشغلها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w:t>
      </w:r>
      <w:r>
        <w:rPr>
          <w:rFonts w:ascii="Simplified Arabic" w:hAnsi="Simplified Arabic" w:cs="Simplified Arabic" w:hint="cs"/>
          <w:sz w:val="24"/>
          <w:szCs w:val="24"/>
          <w:rtl/>
          <w:lang w:val="en-US"/>
        </w:rPr>
        <w:t>ر</w:t>
      </w:r>
      <w:r w:rsidRPr="00292169">
        <w:rPr>
          <w:rFonts w:ascii="Simplified Arabic" w:hAnsi="Simplified Arabic" w:cs="Simplified Arabic" w:hint="cs"/>
          <w:sz w:val="24"/>
          <w:szCs w:val="24"/>
          <w:rtl/>
          <w:lang w:val="en-US"/>
        </w:rPr>
        <w:t>ا</w:t>
      </w:r>
      <w:r>
        <w:rPr>
          <w:rFonts w:ascii="Simplified Arabic" w:hAnsi="Simplified Arabic" w:cs="Simplified Arabic" w:hint="cs"/>
          <w:sz w:val="24"/>
          <w:szCs w:val="24"/>
          <w:rtl/>
          <w:lang w:val="en-US"/>
        </w:rPr>
        <w:t>فق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بين</w:t>
      </w:r>
      <w:r w:rsidRPr="00292169">
        <w:rPr>
          <w:rFonts w:ascii="Simplified Arabic" w:hAnsi="Simplified Arabic" w:cs="Simplified Arabic"/>
          <w:sz w:val="24"/>
          <w:szCs w:val="24"/>
          <w:rtl/>
          <w:lang w:val="en-US"/>
        </w:rPr>
        <w:t xml:space="preserve"> 1.2 </w:t>
      </w:r>
      <w:r w:rsidRPr="00292169">
        <w:rPr>
          <w:rFonts w:ascii="Simplified Arabic" w:hAnsi="Simplified Arabic" w:cs="Simplified Arabic" w:hint="cs"/>
          <w:sz w:val="24"/>
          <w:szCs w:val="24"/>
          <w:rtl/>
          <w:lang w:val="en-US"/>
        </w:rPr>
        <w:t>هكتار</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w:t>
      </w:r>
      <w:r w:rsidRPr="00292169">
        <w:rPr>
          <w:rFonts w:ascii="Simplified Arabic" w:hAnsi="Simplified Arabic" w:cs="Simplified Arabic"/>
          <w:sz w:val="24"/>
          <w:szCs w:val="24"/>
          <w:rtl/>
          <w:lang w:val="en-US"/>
        </w:rPr>
        <w:t xml:space="preserve"> 3.6 </w:t>
      </w:r>
      <w:r w:rsidRPr="00292169">
        <w:rPr>
          <w:rFonts w:ascii="Simplified Arabic" w:hAnsi="Simplified Arabic" w:cs="Simplified Arabic" w:hint="cs"/>
          <w:sz w:val="24"/>
          <w:szCs w:val="24"/>
          <w:rtl/>
          <w:lang w:val="en-US"/>
        </w:rPr>
        <w:t>هكتار</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بما يعادل </w:t>
      </w:r>
      <w:r w:rsidRPr="00292169">
        <w:rPr>
          <w:rFonts w:ascii="Simplified Arabic" w:hAnsi="Simplified Arabic" w:cs="Simplified Arabic"/>
          <w:sz w:val="24"/>
          <w:szCs w:val="24"/>
          <w:rtl/>
          <w:lang w:val="en-US"/>
        </w:rPr>
        <w:t xml:space="preserve">2 ٪ </w:t>
      </w:r>
      <w:r w:rsidRPr="00292169">
        <w:rPr>
          <w:rFonts w:ascii="Simplified Arabic" w:hAnsi="Simplified Arabic" w:cs="Simplified Arabic" w:hint="cs"/>
          <w:sz w:val="24"/>
          <w:szCs w:val="24"/>
          <w:rtl/>
          <w:lang w:val="en-US"/>
        </w:rPr>
        <w:t>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المساحة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الإجمالية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بالتالي</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فإن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هذا</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004D6FB3">
        <w:rPr>
          <w:rFonts w:ascii="Simplified Arabic" w:hAnsi="Simplified Arabic" w:cs="Simplified Arabic" w:hint="cs"/>
          <w:sz w:val="24"/>
          <w:szCs w:val="24"/>
          <w:rtl/>
        </w:rPr>
        <w:t>استعمال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غير</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كاف</w:t>
      </w:r>
      <w:r>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تم</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ضخها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بشكل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سيئ</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في</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النسيج</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الحضري</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لهذه</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الاحياء</w:t>
      </w:r>
      <w:r w:rsidRPr="00292169">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التي</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لا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يزال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يتعين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التحقق</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صحتها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لاحقًا</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من</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خلال</w:t>
      </w:r>
      <w:r w:rsidRPr="00942453">
        <w:rPr>
          <w:rFonts w:ascii="Simplified Arabic" w:hAnsi="Simplified Arabic" w:cs="Simplified Arabic"/>
          <w:sz w:val="24"/>
          <w:szCs w:val="24"/>
          <w:rtl/>
          <w:lang w:val="en-US"/>
        </w:rPr>
        <w:t xml:space="preserve"> </w:t>
      </w:r>
      <w:r w:rsidRPr="00942453">
        <w:rPr>
          <w:rFonts w:ascii="Simplified Arabic" w:hAnsi="Simplified Arabic" w:cs="Simplified Arabic" w:hint="cs"/>
          <w:sz w:val="24"/>
          <w:szCs w:val="24"/>
          <w:rtl/>
          <w:lang w:val="en-US"/>
        </w:rPr>
        <w:t>تحليل</w:t>
      </w:r>
      <w:r w:rsidRPr="0094245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التوزيع المكاني لها مقارنة مع الكثافة السكانية</w:t>
      </w:r>
      <w:r w:rsidRPr="00942453">
        <w:rPr>
          <w:rFonts w:ascii="Simplified Arabic" w:hAnsi="Simplified Arabic" w:cs="Simplified Arabic"/>
          <w:sz w:val="24"/>
          <w:szCs w:val="24"/>
          <w:rtl/>
          <w:lang w:val="en-US"/>
        </w:rPr>
        <w:t>.</w:t>
      </w:r>
      <w:r>
        <w:rPr>
          <w:rFonts w:ascii="Simplified Arabic" w:hAnsi="Simplified Arabic" w:cs="Simplified Arabic"/>
          <w:sz w:val="24"/>
          <w:szCs w:val="24"/>
          <w:rtl/>
          <w:lang w:val="en-US"/>
        </w:rPr>
        <w:tab/>
      </w:r>
    </w:p>
    <w:p w:rsidR="000635D8" w:rsidRPr="0056477F" w:rsidRDefault="000635D8" w:rsidP="001D0548">
      <w:pPr>
        <w:pStyle w:val="Paragraphedeliste"/>
        <w:numPr>
          <w:ilvl w:val="0"/>
          <w:numId w:val="2"/>
        </w:numPr>
        <w:bidi/>
        <w:spacing w:after="0"/>
        <w:ind w:left="0" w:firstLine="283"/>
        <w:jc w:val="both"/>
        <w:rPr>
          <w:rFonts w:ascii="Simplified Arabic" w:hAnsi="Simplified Arabic" w:cs="Simplified Arabic"/>
          <w:sz w:val="24"/>
          <w:szCs w:val="24"/>
          <w:lang w:val="en-US"/>
        </w:rPr>
      </w:pPr>
      <w:r>
        <w:rPr>
          <w:rFonts w:ascii="Simplified Arabic" w:hAnsi="Simplified Arabic" w:cs="Simplified Arabic" w:hint="cs"/>
          <w:b/>
          <w:bCs/>
          <w:sz w:val="24"/>
          <w:szCs w:val="24"/>
          <w:rtl/>
          <w:lang w:val="en-US"/>
        </w:rPr>
        <w:t>شبكة الطرق</w:t>
      </w:r>
      <w:r w:rsidRPr="0056477F">
        <w:rPr>
          <w:rFonts w:ascii="Simplified Arabic" w:hAnsi="Simplified Arabic" w:cs="Simplified Arabic"/>
          <w:b/>
          <w:bCs/>
          <w:sz w:val="24"/>
          <w:szCs w:val="24"/>
          <w:rtl/>
          <w:lang w:val="en-US"/>
        </w:rPr>
        <w:t xml:space="preserve"> </w:t>
      </w:r>
    </w:p>
    <w:p w:rsidR="000635D8" w:rsidRPr="00292169" w:rsidRDefault="000635D8" w:rsidP="00D86155">
      <w:pPr>
        <w:bidi/>
        <w:spacing w:after="0"/>
        <w:ind w:firstLine="283"/>
        <w:jc w:val="both"/>
        <w:rPr>
          <w:rFonts w:ascii="Simplified Arabic" w:hAnsi="Simplified Arabic" w:cs="Simplified Arabic"/>
          <w:sz w:val="24"/>
          <w:szCs w:val="24"/>
          <w:lang w:val="en-US"/>
        </w:rPr>
      </w:pPr>
      <w:r w:rsidRPr="00292169">
        <w:rPr>
          <w:rFonts w:ascii="Simplified Arabic" w:hAnsi="Simplified Arabic" w:cs="Simplified Arabic" w:hint="cs"/>
          <w:sz w:val="24"/>
          <w:szCs w:val="24"/>
          <w:rtl/>
          <w:lang w:val="en-US"/>
        </w:rPr>
        <w:t>لم</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يعد</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الهيكل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الحضري</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مضغوطًا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سواء</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على</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مستوى</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العناصر</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الخطية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أو</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النقطية</w:t>
      </w:r>
      <w:r w:rsidRPr="00292169">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يتميز</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بما</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يلي</w:t>
      </w:r>
      <w:r w:rsidRPr="00292169">
        <w:rPr>
          <w:rFonts w:ascii="Simplified Arabic" w:hAnsi="Simplified Arabic" w:cs="Simplified Arabic"/>
          <w:sz w:val="24"/>
          <w:szCs w:val="24"/>
          <w:rtl/>
          <w:lang w:val="en-US"/>
        </w:rPr>
        <w:t>:</w:t>
      </w:r>
    </w:p>
    <w:p w:rsidR="00F708F8" w:rsidRDefault="000635D8" w:rsidP="007C10D1">
      <w:pPr>
        <w:bidi/>
        <w:spacing w:after="0"/>
        <w:ind w:firstLine="283"/>
        <w:jc w:val="both"/>
        <w:rPr>
          <w:rFonts w:ascii="Simplified Arabic" w:hAnsi="Simplified Arabic" w:cs="Simplified Arabic"/>
          <w:sz w:val="24"/>
          <w:szCs w:val="24"/>
          <w:rtl/>
          <w:lang w:val="en-US"/>
        </w:rPr>
      </w:pPr>
      <w:r w:rsidRPr="00292169">
        <w:rPr>
          <w:rFonts w:ascii="Simplified Arabic" w:hAnsi="Simplified Arabic" w:cs="Simplified Arabic" w:hint="cs"/>
          <w:sz w:val="24"/>
          <w:szCs w:val="24"/>
          <w:rtl/>
          <w:lang w:val="en-US"/>
        </w:rPr>
        <w:t>تمثل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العناصر</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الخطية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للطرق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بشكل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عام</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شبكة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رقعة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شطرنج</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مكونة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مجموعة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الطرق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وهي</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الطرق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الرئيسية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والشوارع</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الثانوية</w:t>
      </w:r>
      <w:r w:rsidR="000321FF">
        <w:rPr>
          <w:rFonts w:ascii="Simplified Arabic" w:hAnsi="Simplified Arabic" w:cs="Simplified Arabic" w:hint="cs"/>
          <w:sz w:val="24"/>
          <w:szCs w:val="24"/>
          <w:rtl/>
          <w:lang w:val="en-US"/>
        </w:rPr>
        <w:t xml:space="preserve"> والطرق الداخلية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تضمن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الطرق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الرئيسية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الربط</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بين</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الوحدات</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السكنية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والمرافق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العامة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والتجارية</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بينما </w:t>
      </w:r>
      <w:r w:rsidRPr="00292169">
        <w:rPr>
          <w:rFonts w:ascii="Simplified Arabic" w:hAnsi="Simplified Arabic" w:cs="Simplified Arabic" w:hint="cs"/>
          <w:sz w:val="24"/>
          <w:szCs w:val="24"/>
          <w:rtl/>
          <w:lang w:val="en-US"/>
        </w:rPr>
        <w:t>تضمن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الشوارع</w:t>
      </w:r>
      <w:r w:rsidRPr="00292169">
        <w:rPr>
          <w:rFonts w:ascii="Simplified Arabic" w:hAnsi="Simplified Arabic" w:cs="Simplified Arabic"/>
          <w:sz w:val="24"/>
          <w:szCs w:val="24"/>
          <w:rtl/>
          <w:lang w:val="en-US"/>
        </w:rPr>
        <w:t xml:space="preserve"> </w:t>
      </w:r>
      <w:r w:rsidR="000321FF">
        <w:rPr>
          <w:rFonts w:ascii="Simplified Arabic" w:hAnsi="Simplified Arabic" w:cs="Simplified Arabic" w:hint="cs"/>
          <w:sz w:val="24"/>
          <w:szCs w:val="24"/>
          <w:rtl/>
          <w:lang w:val="en-US"/>
        </w:rPr>
        <w:t>الث</w:t>
      </w:r>
      <w:r w:rsidR="00D86155">
        <w:rPr>
          <w:rFonts w:ascii="Simplified Arabic" w:hAnsi="Simplified Arabic" w:cs="Simplified Arabic" w:hint="cs"/>
          <w:sz w:val="24"/>
          <w:szCs w:val="24"/>
          <w:rtl/>
          <w:lang w:val="en-US"/>
        </w:rPr>
        <w:t>انوية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الربط</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فيما </w:t>
      </w:r>
      <w:r w:rsidRPr="00292169">
        <w:rPr>
          <w:rFonts w:ascii="Simplified Arabic" w:hAnsi="Simplified Arabic" w:cs="Simplified Arabic" w:hint="cs"/>
          <w:sz w:val="24"/>
          <w:szCs w:val="24"/>
          <w:rtl/>
          <w:lang w:val="en-US"/>
        </w:rPr>
        <w:t>بين</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الوحدات السكنية</w:t>
      </w:r>
      <w:r w:rsidRPr="00292169">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و</w:t>
      </w:r>
      <w:r w:rsidR="000321FF">
        <w:rPr>
          <w:rFonts w:ascii="Simplified Arabic" w:hAnsi="Simplified Arabic" w:cs="Simplified Arabic" w:hint="cs"/>
          <w:sz w:val="24"/>
          <w:szCs w:val="24"/>
          <w:rtl/>
          <w:lang w:val="en-US"/>
        </w:rPr>
        <w:t xml:space="preserve">الطرق الداخلية </w:t>
      </w:r>
      <w:r w:rsidRPr="00292169">
        <w:rPr>
          <w:rFonts w:ascii="Simplified Arabic" w:hAnsi="Simplified Arabic" w:cs="Simplified Arabic" w:hint="cs"/>
          <w:sz w:val="24"/>
          <w:szCs w:val="24"/>
          <w:rtl/>
          <w:lang w:val="en-US"/>
        </w:rPr>
        <w:t>بين</w:t>
      </w:r>
      <w:r w:rsidRPr="00292169">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الوحدات السكنية</w:t>
      </w:r>
      <w:r w:rsidRPr="00292169">
        <w:rPr>
          <w:rFonts w:ascii="Simplified Arabic" w:hAnsi="Simplified Arabic" w:cs="Simplified Arabic" w:hint="cs"/>
          <w:sz w:val="24"/>
          <w:szCs w:val="24"/>
          <w:rtl/>
          <w:lang w:val="en-US"/>
        </w:rPr>
        <w:t xml:space="preserve"> والمساكن</w:t>
      </w:r>
      <w:r w:rsidRPr="00292169">
        <w:rPr>
          <w:rFonts w:ascii="Simplified Arabic" w:hAnsi="Simplified Arabic" w:cs="Simplified Arabic"/>
          <w:sz w:val="24"/>
          <w:szCs w:val="24"/>
          <w:rtl/>
          <w:lang w:val="en-US"/>
        </w:rPr>
        <w:t xml:space="preserve">. </w:t>
      </w:r>
    </w:p>
    <w:p w:rsidR="000635D8" w:rsidRDefault="000635D8" w:rsidP="00F708F8">
      <w:pPr>
        <w:bidi/>
        <w:spacing w:after="0"/>
        <w:ind w:firstLine="283"/>
        <w:jc w:val="both"/>
        <w:rPr>
          <w:rFonts w:ascii="Simplified Arabic" w:hAnsi="Simplified Arabic" w:cs="Simplified Arabic"/>
          <w:sz w:val="24"/>
          <w:szCs w:val="24"/>
          <w:rtl/>
          <w:lang w:val="en-US"/>
        </w:rPr>
      </w:pPr>
      <w:r w:rsidRPr="00292169">
        <w:rPr>
          <w:rFonts w:ascii="Simplified Arabic" w:hAnsi="Simplified Arabic" w:cs="Simplified Arabic" w:hint="cs"/>
          <w:sz w:val="24"/>
          <w:szCs w:val="24"/>
          <w:rtl/>
          <w:lang w:val="en-US"/>
        </w:rPr>
        <w:t>يوضح</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التحليل</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أن</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شبكة</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الطرق</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لم</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تعد</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تتكيف</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مع</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الظروف</w:t>
      </w:r>
      <w:r w:rsidRPr="00292169">
        <w:rPr>
          <w:rFonts w:ascii="Simplified Arabic" w:hAnsi="Simplified Arabic" w:cs="Simplified Arabic"/>
          <w:sz w:val="24"/>
          <w:szCs w:val="24"/>
          <w:rtl/>
          <w:lang w:val="en-US"/>
        </w:rPr>
        <w:t xml:space="preserve"> </w:t>
      </w:r>
      <w:r w:rsidRPr="00292169">
        <w:rPr>
          <w:rFonts w:ascii="Simplified Arabic" w:hAnsi="Simplified Arabic" w:cs="Simplified Arabic" w:hint="cs"/>
          <w:sz w:val="24"/>
          <w:szCs w:val="24"/>
          <w:rtl/>
          <w:lang w:val="en-US"/>
        </w:rPr>
        <w:t>المناخية</w:t>
      </w:r>
      <w:r w:rsidRPr="00292169">
        <w:rPr>
          <w:rFonts w:ascii="Simplified Arabic" w:hAnsi="Simplified Arabic" w:cs="Simplified Arabic"/>
          <w:sz w:val="24"/>
          <w:szCs w:val="24"/>
          <w:rtl/>
          <w:lang w:val="en-US"/>
        </w:rPr>
        <w:t xml:space="preserve"> </w:t>
      </w:r>
      <w:r w:rsidR="000321FF">
        <w:rPr>
          <w:rFonts w:ascii="Simplified Arabic" w:hAnsi="Simplified Arabic" w:cs="Simplified Arabic" w:hint="cs"/>
          <w:sz w:val="24"/>
          <w:szCs w:val="24"/>
          <w:rtl/>
          <w:lang w:val="en-US"/>
        </w:rPr>
        <w:t>كالفيضانات وغمر شبكة الطرق بمياه سيلان الامطار</w:t>
      </w:r>
      <w:r w:rsidR="00144824">
        <w:rPr>
          <w:rFonts w:ascii="Simplified Arabic" w:hAnsi="Simplified Arabic" w:cs="Simplified Arabic" w:hint="cs"/>
          <w:sz w:val="24"/>
          <w:szCs w:val="24"/>
          <w:rtl/>
          <w:lang w:val="en-US"/>
        </w:rPr>
        <w:t>،</w:t>
      </w:r>
      <w:r w:rsidRPr="00292169">
        <w:rPr>
          <w:rFonts w:ascii="Simplified Arabic" w:hAnsi="Simplified Arabic" w:cs="Simplified Arabic"/>
          <w:sz w:val="24"/>
          <w:szCs w:val="24"/>
          <w:rtl/>
          <w:lang w:val="en-US"/>
        </w:rPr>
        <w:t xml:space="preserve"> </w:t>
      </w:r>
      <w:r w:rsidR="000321FF">
        <w:rPr>
          <w:rFonts w:ascii="Simplified Arabic" w:hAnsi="Simplified Arabic" w:cs="Simplified Arabic" w:hint="cs"/>
          <w:sz w:val="24"/>
          <w:szCs w:val="24"/>
          <w:rtl/>
          <w:lang w:val="en-US"/>
        </w:rPr>
        <w:t xml:space="preserve">مما يؤدي الى الاختناق المروري </w:t>
      </w:r>
      <w:r w:rsidR="00144824">
        <w:rPr>
          <w:rFonts w:ascii="Simplified Arabic" w:hAnsi="Simplified Arabic" w:cs="Simplified Arabic" w:hint="cs"/>
          <w:sz w:val="24"/>
          <w:szCs w:val="24"/>
          <w:rtl/>
          <w:lang w:val="en-US"/>
        </w:rPr>
        <w:t xml:space="preserve">واضطراب نظام التنقل </w:t>
      </w:r>
      <w:r w:rsidR="000321FF">
        <w:rPr>
          <w:rFonts w:ascii="Simplified Arabic" w:hAnsi="Simplified Arabic" w:cs="Simplified Arabic" w:hint="cs"/>
          <w:sz w:val="24"/>
          <w:szCs w:val="24"/>
          <w:rtl/>
          <w:lang w:val="en-US"/>
        </w:rPr>
        <w:t>حتى في الحالة العادية</w:t>
      </w:r>
      <w:r w:rsidRPr="00292169">
        <w:rPr>
          <w:rFonts w:ascii="Simplified Arabic" w:hAnsi="Simplified Arabic" w:cs="Simplified Arabic"/>
          <w:sz w:val="24"/>
          <w:szCs w:val="24"/>
          <w:rtl/>
          <w:lang w:val="en-US"/>
        </w:rPr>
        <w:t>.</w:t>
      </w:r>
      <w:r w:rsidR="000321FF">
        <w:rPr>
          <w:rFonts w:ascii="Simplified Arabic" w:hAnsi="Simplified Arabic" w:cs="Simplified Arabic" w:hint="cs"/>
          <w:sz w:val="24"/>
          <w:szCs w:val="24"/>
          <w:rtl/>
          <w:lang w:val="en-US"/>
        </w:rPr>
        <w:t xml:space="preserve"> مع ذلك تتميز بطول شبكة طرق شريانية مهمة وعدد </w:t>
      </w:r>
      <w:r w:rsidR="00144824">
        <w:rPr>
          <w:rFonts w:ascii="Simplified Arabic" w:hAnsi="Simplified Arabic" w:cs="Simplified Arabic" w:hint="cs"/>
          <w:sz w:val="24"/>
          <w:szCs w:val="24"/>
          <w:rtl/>
          <w:lang w:val="en-US"/>
        </w:rPr>
        <w:t>عقد كبير من تقاطعات شبكة الطرق مما يسمح بسهولة الوصول الى المرافق.</w:t>
      </w:r>
    </w:p>
    <w:p w:rsidR="000635D8" w:rsidRDefault="000635D8" w:rsidP="00ED1C8F">
      <w:pPr>
        <w:pStyle w:val="fegure"/>
        <w:rPr>
          <w:b/>
          <w:sz w:val="8"/>
          <w:szCs w:val="24"/>
          <w:rtl/>
        </w:rPr>
      </w:pPr>
      <w:bookmarkStart w:id="594" w:name="_Toc157608331"/>
      <w:bookmarkStart w:id="595" w:name="_Toc171803636"/>
      <w:r w:rsidRPr="00ED1C8F">
        <w:rPr>
          <w:rFonts w:hint="cs"/>
          <w:sz w:val="8"/>
          <w:szCs w:val="24"/>
          <w:rtl/>
        </w:rPr>
        <w:t xml:space="preserve">الشكل </w:t>
      </w:r>
      <w:r w:rsidR="00D86155" w:rsidRPr="00ED1C8F">
        <w:rPr>
          <w:rFonts w:hint="cs"/>
          <w:sz w:val="8"/>
          <w:szCs w:val="24"/>
          <w:rtl/>
        </w:rPr>
        <w:t>(4-8)</w:t>
      </w:r>
      <w:r w:rsidRPr="00ED1C8F">
        <w:rPr>
          <w:sz w:val="8"/>
          <w:szCs w:val="24"/>
          <w:rtl/>
        </w:rPr>
        <w:t>:</w:t>
      </w:r>
      <w:r w:rsidRPr="00ED1C8F">
        <w:rPr>
          <w:rFonts w:hint="cs"/>
          <w:sz w:val="8"/>
          <w:szCs w:val="24"/>
          <w:rtl/>
        </w:rPr>
        <w:t xml:space="preserve"> فئة النسيج الحضري</w:t>
      </w:r>
      <w:r w:rsidRPr="00ED1C8F">
        <w:rPr>
          <w:sz w:val="8"/>
          <w:szCs w:val="24"/>
          <w:rtl/>
        </w:rPr>
        <w:t xml:space="preserve"> </w:t>
      </w:r>
      <w:r w:rsidRPr="00ED1C8F">
        <w:rPr>
          <w:rFonts w:hint="cs"/>
          <w:sz w:val="8"/>
          <w:szCs w:val="24"/>
          <w:rtl/>
        </w:rPr>
        <w:t>المخطط</w:t>
      </w:r>
      <w:r w:rsidR="00D86155" w:rsidRPr="00ED1C8F">
        <w:rPr>
          <w:rFonts w:hint="cs"/>
          <w:sz w:val="8"/>
          <w:szCs w:val="24"/>
          <w:rtl/>
        </w:rPr>
        <w:t xml:space="preserve"> </w:t>
      </w:r>
      <w:r w:rsidR="00D86155" w:rsidRPr="00ED1C8F">
        <w:rPr>
          <w:rFonts w:hint="cs"/>
          <w:b/>
          <w:sz w:val="8"/>
          <w:szCs w:val="24"/>
          <w:rtl/>
        </w:rPr>
        <w:t>(</w:t>
      </w:r>
      <w:r w:rsidR="00D86155" w:rsidRPr="00ED1C8F">
        <w:rPr>
          <w:b/>
          <w:sz w:val="8"/>
          <w:szCs w:val="24"/>
          <w:rtl/>
        </w:rPr>
        <w:t>د</w:t>
      </w:r>
      <w:r w:rsidR="00D86155" w:rsidRPr="00ED1C8F">
        <w:rPr>
          <w:rFonts w:hint="cs"/>
          <w:b/>
          <w:sz w:val="8"/>
          <w:szCs w:val="24"/>
          <w:rtl/>
        </w:rPr>
        <w:t>)</w:t>
      </w:r>
      <w:bookmarkEnd w:id="594"/>
      <w:bookmarkEnd w:id="595"/>
    </w:p>
    <w:p w:rsidR="006B38DD" w:rsidRPr="006B38DD" w:rsidRDefault="006B38DD" w:rsidP="006B38DD">
      <w:pPr>
        <w:pStyle w:val="fegure"/>
        <w:rPr>
          <w:sz w:val="8"/>
          <w:szCs w:val="24"/>
          <w:rtl/>
          <w:lang w:val="en-US" w:bidi="ar-DZ"/>
        </w:rPr>
      </w:pPr>
      <w:bookmarkStart w:id="596" w:name="_Toc171803637"/>
      <w:r>
        <w:rPr>
          <w:rFonts w:hint="cs"/>
          <w:sz w:val="8"/>
          <w:szCs w:val="24"/>
          <w:rtl/>
          <w:lang w:val="en-US"/>
        </w:rPr>
        <w:t xml:space="preserve">المصدر: </w:t>
      </w:r>
      <w:r w:rsidRPr="00876E26">
        <w:rPr>
          <w:sz w:val="8"/>
          <w:szCs w:val="24"/>
          <w:rtl/>
          <w:lang w:val="en-US"/>
        </w:rPr>
        <w:t>(</w:t>
      </w:r>
      <w:r w:rsidRPr="00876E26">
        <w:rPr>
          <w:rFonts w:asciiTheme="majorBidi" w:hAnsiTheme="majorBidi" w:cstheme="majorBidi"/>
          <w:lang w:val="en-US"/>
        </w:rPr>
        <w:t>U.R.B.A, 2007</w:t>
      </w:r>
      <w:r w:rsidRPr="00876E26">
        <w:rPr>
          <w:sz w:val="8"/>
          <w:szCs w:val="24"/>
          <w:rtl/>
          <w:lang w:val="en-US"/>
        </w:rPr>
        <w:t>)</w:t>
      </w:r>
      <w:r>
        <w:rPr>
          <w:rFonts w:hint="cs"/>
          <w:sz w:val="8"/>
          <w:szCs w:val="24"/>
          <w:rtl/>
          <w:lang w:val="en-US"/>
        </w:rPr>
        <w:t xml:space="preserve"> +</w:t>
      </w:r>
      <w:r w:rsidRPr="00876E26">
        <w:rPr>
          <w:rFonts w:hint="cs"/>
          <w:sz w:val="8"/>
          <w:szCs w:val="24"/>
          <w:rtl/>
          <w:lang w:val="en-US"/>
        </w:rPr>
        <w:t xml:space="preserve"> </w:t>
      </w:r>
      <w:r>
        <w:rPr>
          <w:rFonts w:hint="cs"/>
          <w:sz w:val="8"/>
          <w:szCs w:val="24"/>
          <w:rtl/>
          <w:lang w:val="en-US"/>
        </w:rPr>
        <w:t>معالجة (الباحث، 2022)</w:t>
      </w:r>
      <w:bookmarkEnd w:id="596"/>
    </w:p>
    <w:p w:rsidR="00095F2B" w:rsidRPr="005C1B18" w:rsidRDefault="00FF712C" w:rsidP="009C43FD">
      <w:pPr>
        <w:tabs>
          <w:tab w:val="right" w:pos="281"/>
        </w:tabs>
        <w:bidi/>
        <w:spacing w:after="0" w:line="240" w:lineRule="auto"/>
        <w:jc w:val="center"/>
        <w:rPr>
          <w:rFonts w:ascii="Simplified Arabic" w:hAnsi="Simplified Arabic" w:cs="Simplified Arabic"/>
          <w:sz w:val="24"/>
          <w:szCs w:val="24"/>
          <w:rtl/>
        </w:rPr>
      </w:pPr>
      <w:r>
        <w:rPr>
          <w:noProof/>
          <w:lang w:eastAsia="fr-FR"/>
        </w:rPr>
        <w:drawing>
          <wp:inline distT="0" distB="0" distL="0" distR="0" wp14:anchorId="59276A47" wp14:editId="5825150F">
            <wp:extent cx="4732395" cy="2191110"/>
            <wp:effectExtent l="19050" t="19050" r="11430" b="19050"/>
            <wp:docPr id="252" name="Imag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2"/>
                    <a:stretch>
                      <a:fillRect/>
                    </a:stretch>
                  </pic:blipFill>
                  <pic:spPr>
                    <a:xfrm>
                      <a:off x="0" y="0"/>
                      <a:ext cx="4738331" cy="2193858"/>
                    </a:xfrm>
                    <a:prstGeom prst="rect">
                      <a:avLst/>
                    </a:prstGeom>
                    <a:ln w="6350">
                      <a:solidFill>
                        <a:schemeClr val="tx1"/>
                      </a:solidFill>
                    </a:ln>
                  </pic:spPr>
                </pic:pic>
              </a:graphicData>
            </a:graphic>
          </wp:inline>
        </w:drawing>
      </w:r>
    </w:p>
    <w:p w:rsidR="000635D8" w:rsidRDefault="000635D8" w:rsidP="002C0E1D">
      <w:pPr>
        <w:tabs>
          <w:tab w:val="right" w:pos="281"/>
        </w:tabs>
        <w:bidi/>
        <w:spacing w:after="0"/>
        <w:rPr>
          <w:noProof/>
          <w:rtl/>
          <w:lang w:eastAsia="fr-FR"/>
        </w:rPr>
      </w:pPr>
    </w:p>
    <w:p w:rsidR="00FF712C" w:rsidRDefault="00FF712C" w:rsidP="002C0E1D">
      <w:pPr>
        <w:tabs>
          <w:tab w:val="right" w:pos="281"/>
        </w:tabs>
        <w:bidi/>
        <w:spacing w:after="0"/>
        <w:rPr>
          <w:noProof/>
          <w:rtl/>
          <w:lang w:eastAsia="fr-FR"/>
        </w:rPr>
      </w:pPr>
    </w:p>
    <w:p w:rsidR="00FF712C" w:rsidRDefault="00FF712C" w:rsidP="002C0E1D">
      <w:pPr>
        <w:tabs>
          <w:tab w:val="right" w:pos="281"/>
        </w:tabs>
        <w:bidi/>
        <w:spacing w:after="0"/>
        <w:rPr>
          <w:rFonts w:ascii="Simplified Arabic" w:hAnsi="Simplified Arabic" w:cs="Simplified Arabic"/>
          <w:sz w:val="24"/>
          <w:szCs w:val="24"/>
          <w:rtl/>
        </w:rPr>
      </w:pPr>
    </w:p>
    <w:p w:rsidR="000635D8" w:rsidRDefault="000635D8" w:rsidP="000635D8">
      <w:pPr>
        <w:autoSpaceDE w:val="0"/>
        <w:autoSpaceDN w:val="0"/>
        <w:bidi/>
        <w:adjustRightInd w:val="0"/>
        <w:spacing w:after="0"/>
        <w:rPr>
          <w:rFonts w:ascii="Simplified Arabic" w:hAnsi="Simplified Arabic" w:cs="Simplified Arabic"/>
          <w:b/>
          <w:bCs/>
          <w:sz w:val="24"/>
          <w:szCs w:val="24"/>
          <w:rtl/>
        </w:rPr>
      </w:pPr>
    </w:p>
    <w:p w:rsidR="002C0E1D" w:rsidRDefault="002C0E1D" w:rsidP="002C0E1D">
      <w:pPr>
        <w:autoSpaceDE w:val="0"/>
        <w:autoSpaceDN w:val="0"/>
        <w:bidi/>
        <w:adjustRightInd w:val="0"/>
        <w:spacing w:after="0"/>
        <w:rPr>
          <w:rFonts w:ascii="Simplified Arabic" w:hAnsi="Simplified Arabic" w:cs="Simplified Arabic"/>
          <w:b/>
          <w:bCs/>
          <w:sz w:val="24"/>
          <w:szCs w:val="24"/>
          <w:rtl/>
        </w:rPr>
      </w:pPr>
    </w:p>
    <w:p w:rsidR="000635D8" w:rsidRPr="00C95F00" w:rsidRDefault="00E05A47" w:rsidP="00D81B0D">
      <w:pPr>
        <w:autoSpaceDE w:val="0"/>
        <w:autoSpaceDN w:val="0"/>
        <w:bidi/>
        <w:adjustRightInd w:val="0"/>
        <w:spacing w:after="0"/>
        <w:outlineLvl w:val="0"/>
        <w:rPr>
          <w:rFonts w:ascii="Simplified Arabic" w:hAnsi="Simplified Arabic" w:cs="Simplified Arabic"/>
          <w:b/>
          <w:bCs/>
          <w:sz w:val="24"/>
          <w:szCs w:val="24"/>
        </w:rPr>
      </w:pPr>
      <w:bookmarkStart w:id="597" w:name="_Toc171803638"/>
      <w:r>
        <w:rPr>
          <w:rFonts w:ascii="Simplified Arabic" w:hAnsi="Simplified Arabic" w:cs="Simplified Arabic" w:hint="cs"/>
          <w:b/>
          <w:bCs/>
          <w:sz w:val="24"/>
          <w:szCs w:val="24"/>
          <w:rtl/>
        </w:rPr>
        <w:lastRenderedPageBreak/>
        <w:t>ال</w:t>
      </w:r>
      <w:r w:rsidR="000635D8" w:rsidRPr="006842CF">
        <w:rPr>
          <w:rFonts w:ascii="Simplified Arabic" w:hAnsi="Simplified Arabic" w:cs="Simplified Arabic"/>
          <w:b/>
          <w:bCs/>
          <w:sz w:val="24"/>
          <w:szCs w:val="24"/>
          <w:rtl/>
        </w:rPr>
        <w:t>خلاصة</w:t>
      </w:r>
      <w:bookmarkEnd w:id="597"/>
      <w:r w:rsidR="000635D8" w:rsidRPr="006842CF">
        <w:rPr>
          <w:rFonts w:ascii="Simplified Arabic" w:hAnsi="Simplified Arabic" w:cs="Simplified Arabic"/>
          <w:b/>
          <w:bCs/>
          <w:sz w:val="24"/>
          <w:szCs w:val="24"/>
          <w:rtl/>
        </w:rPr>
        <w:t xml:space="preserve"> </w:t>
      </w:r>
    </w:p>
    <w:p w:rsidR="000635D8" w:rsidRPr="00C95F00" w:rsidRDefault="000635D8" w:rsidP="000F350B">
      <w:pPr>
        <w:autoSpaceDE w:val="0"/>
        <w:autoSpaceDN w:val="0"/>
        <w:bidi/>
        <w:adjustRightInd w:val="0"/>
        <w:spacing w:after="0"/>
        <w:ind w:firstLine="283"/>
        <w:jc w:val="both"/>
        <w:rPr>
          <w:rFonts w:ascii="Simplified Arabic" w:hAnsi="Simplified Arabic" w:cs="Simplified Arabic"/>
          <w:sz w:val="24"/>
          <w:szCs w:val="24"/>
        </w:rPr>
      </w:pPr>
      <w:r w:rsidRPr="006842CF">
        <w:rPr>
          <w:rFonts w:ascii="Simplified Arabic" w:hAnsi="Simplified Arabic" w:cs="Simplified Arabic"/>
          <w:sz w:val="24"/>
          <w:szCs w:val="24"/>
          <w:rtl/>
        </w:rPr>
        <w:t>في</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هذا</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الفصل</w:t>
      </w:r>
      <w:r w:rsidRPr="006842CF">
        <w:rPr>
          <w:rFonts w:ascii="Simplified Arabic" w:hAnsi="Simplified Arabic" w:cs="Simplified Arabic" w:hint="cs"/>
          <w:sz w:val="24"/>
          <w:szCs w:val="24"/>
          <w:rtl/>
        </w:rPr>
        <w:t>،</w:t>
      </w:r>
      <w:r w:rsidRPr="006842CF">
        <w:rPr>
          <w:rFonts w:ascii="Simplified Arabic" w:hAnsi="Simplified Arabic" w:cs="Simplified Arabic"/>
          <w:sz w:val="24"/>
          <w:szCs w:val="24"/>
        </w:rPr>
        <w:t xml:space="preserve"> </w:t>
      </w:r>
      <w:r w:rsidR="000F350B">
        <w:rPr>
          <w:rFonts w:ascii="Simplified Arabic" w:hAnsi="Simplified Arabic" w:cs="Simplified Arabic" w:hint="cs"/>
          <w:sz w:val="24"/>
          <w:szCs w:val="24"/>
          <w:rtl/>
        </w:rPr>
        <w:t>تم</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الوقوف</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على</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واقع</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النمو</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الحضري لمدينة</w:t>
      </w:r>
      <w:r w:rsidRPr="006842CF">
        <w:rPr>
          <w:rFonts w:ascii="Simplified Arabic" w:hAnsi="Simplified Arabic" w:cs="Simplified Arabic"/>
          <w:sz w:val="24"/>
          <w:szCs w:val="24"/>
        </w:rPr>
        <w:t xml:space="preserve"> </w:t>
      </w:r>
      <w:r w:rsidRPr="006842CF">
        <w:rPr>
          <w:rFonts w:ascii="Simplified Arabic" w:hAnsi="Simplified Arabic" w:cs="Simplified Arabic" w:hint="cs"/>
          <w:sz w:val="24"/>
          <w:szCs w:val="24"/>
          <w:rtl/>
        </w:rPr>
        <w:t>بوسعادة</w:t>
      </w:r>
      <w:r w:rsidRPr="006842CF">
        <w:rPr>
          <w:rFonts w:ascii="Simplified Arabic" w:hAnsi="Simplified Arabic" w:cs="Simplified Arabic"/>
          <w:sz w:val="24"/>
          <w:szCs w:val="24"/>
          <w:rtl/>
        </w:rPr>
        <w:t>، و</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مختلف</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العوامل</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التي</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أدت</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إلى تطورها</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بوتيرة</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سريعة</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سواء</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كانت</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مجالية،</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اقتصادية</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و</w:t>
      </w:r>
      <w:r w:rsidR="00CB4D42">
        <w:rPr>
          <w:rFonts w:ascii="Simplified Arabic" w:hAnsi="Simplified Arabic" w:cs="Simplified Arabic" w:hint="cs"/>
          <w:sz w:val="24"/>
          <w:szCs w:val="24"/>
          <w:rtl/>
        </w:rPr>
        <w:t>ا</w:t>
      </w:r>
      <w:r w:rsidRPr="006842CF">
        <w:rPr>
          <w:rFonts w:ascii="Simplified Arabic" w:hAnsi="Simplified Arabic" w:cs="Simplified Arabic"/>
          <w:sz w:val="24"/>
          <w:szCs w:val="24"/>
          <w:rtl/>
        </w:rPr>
        <w:t>جتماعية،</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تضافرت</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هذه</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العوامل</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لتحدث</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أزمة نمو</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ل</w:t>
      </w:r>
      <w:r w:rsidRPr="006842CF">
        <w:rPr>
          <w:rFonts w:ascii="Simplified Arabic" w:hAnsi="Simplified Arabic" w:cs="Simplified Arabic" w:hint="cs"/>
          <w:sz w:val="24"/>
          <w:szCs w:val="24"/>
          <w:rtl/>
        </w:rPr>
        <w:t>ل</w:t>
      </w:r>
      <w:r w:rsidRPr="006842CF">
        <w:rPr>
          <w:rFonts w:ascii="Simplified Arabic" w:hAnsi="Simplified Arabic" w:cs="Simplified Arabic"/>
          <w:sz w:val="24"/>
          <w:szCs w:val="24"/>
          <w:rtl/>
        </w:rPr>
        <w:t>مدينة</w:t>
      </w:r>
      <w:r w:rsidRPr="006842CF">
        <w:rPr>
          <w:rFonts w:ascii="Simplified Arabic" w:hAnsi="Simplified Arabic" w:cs="Simplified Arabic" w:hint="cs"/>
          <w:sz w:val="24"/>
          <w:szCs w:val="24"/>
          <w:rtl/>
        </w:rPr>
        <w:t>،</w:t>
      </w:r>
      <w:r w:rsidRPr="006842CF">
        <w:rPr>
          <w:rFonts w:ascii="Simplified Arabic" w:hAnsi="Simplified Arabic" w:cs="Simplified Arabic"/>
          <w:sz w:val="24"/>
          <w:szCs w:val="24"/>
        </w:rPr>
        <w:t xml:space="preserve"> </w:t>
      </w:r>
      <w:r w:rsidRPr="006842CF">
        <w:rPr>
          <w:rFonts w:ascii="Simplified Arabic" w:hAnsi="Simplified Arabic" w:cs="Simplified Arabic" w:hint="cs"/>
          <w:sz w:val="24"/>
          <w:szCs w:val="24"/>
          <w:rtl/>
        </w:rPr>
        <w:t xml:space="preserve">تميزت بخصائص عمرانية كتفكك مجالها الحضري، </w:t>
      </w:r>
      <w:r w:rsidR="00CB4D42">
        <w:rPr>
          <w:rFonts w:ascii="Simplified Arabic" w:hAnsi="Simplified Arabic" w:cs="Simplified Arabic" w:hint="cs"/>
          <w:sz w:val="24"/>
          <w:szCs w:val="24"/>
          <w:rtl/>
        </w:rPr>
        <w:t xml:space="preserve">احياء معزولة </w:t>
      </w:r>
      <w:r w:rsidRPr="006842CF">
        <w:rPr>
          <w:rFonts w:ascii="Simplified Arabic" w:hAnsi="Simplified Arabic" w:cs="Simplified Arabic"/>
          <w:sz w:val="24"/>
          <w:szCs w:val="24"/>
          <w:rtl/>
        </w:rPr>
        <w:t>وهذا</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راجع</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إلى</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أن</w:t>
      </w:r>
      <w:r w:rsidRPr="006842CF">
        <w:rPr>
          <w:rFonts w:ascii="Simplified Arabic" w:hAnsi="Simplified Arabic" w:cs="Simplified Arabic"/>
          <w:sz w:val="24"/>
          <w:szCs w:val="24"/>
        </w:rPr>
        <w:t xml:space="preserve"> </w:t>
      </w:r>
      <w:r w:rsidRPr="006842CF">
        <w:rPr>
          <w:rFonts w:ascii="Simplified Arabic" w:hAnsi="Simplified Arabic" w:cs="Simplified Arabic"/>
          <w:sz w:val="24"/>
          <w:szCs w:val="24"/>
          <w:rtl/>
        </w:rPr>
        <w:t xml:space="preserve">المدينة كما سبق </w:t>
      </w:r>
      <w:r w:rsidR="00CB4D42">
        <w:rPr>
          <w:rFonts w:ascii="Simplified Arabic" w:hAnsi="Simplified Arabic" w:cs="Simplified Arabic" w:hint="cs"/>
          <w:sz w:val="24"/>
          <w:szCs w:val="24"/>
          <w:rtl/>
        </w:rPr>
        <w:t>ذكره</w:t>
      </w:r>
      <w:r w:rsidRPr="006842CF">
        <w:rPr>
          <w:rFonts w:ascii="Simplified Arabic" w:hAnsi="Simplified Arabic" w:cs="Simplified Arabic"/>
          <w:sz w:val="24"/>
          <w:szCs w:val="24"/>
        </w:rPr>
        <w:t xml:space="preserve"> </w:t>
      </w:r>
      <w:r w:rsidRPr="006842CF">
        <w:rPr>
          <w:rFonts w:ascii="Simplified Arabic" w:hAnsi="Simplified Arabic" w:cs="Simplified Arabic" w:hint="cs"/>
          <w:sz w:val="24"/>
          <w:szCs w:val="24"/>
          <w:rtl/>
        </w:rPr>
        <w:t>ل</w:t>
      </w:r>
      <w:r w:rsidRPr="006842CF">
        <w:rPr>
          <w:rFonts w:ascii="Simplified Arabic" w:hAnsi="Simplified Arabic" w:cs="Simplified Arabic"/>
          <w:sz w:val="24"/>
          <w:szCs w:val="24"/>
          <w:rtl/>
        </w:rPr>
        <w:t>موضعها</w:t>
      </w:r>
      <w:r w:rsidRPr="006842CF">
        <w:rPr>
          <w:rFonts w:ascii="Simplified Arabic" w:hAnsi="Simplified Arabic" w:cs="Simplified Arabic"/>
          <w:sz w:val="24"/>
          <w:szCs w:val="24"/>
        </w:rPr>
        <w:t xml:space="preserve"> </w:t>
      </w:r>
      <w:r w:rsidRPr="006842CF">
        <w:rPr>
          <w:rFonts w:ascii="Simplified Arabic" w:hAnsi="Simplified Arabic" w:cs="Simplified Arabic" w:hint="cs"/>
          <w:sz w:val="24"/>
          <w:szCs w:val="24"/>
          <w:rtl/>
        </w:rPr>
        <w:t>الجغرافي بالقرب من</w:t>
      </w:r>
      <w:r w:rsidRPr="006842CF">
        <w:rPr>
          <w:rFonts w:ascii="Simplified Arabic" w:hAnsi="Simplified Arabic" w:cs="Simplified Arabic"/>
          <w:sz w:val="24"/>
          <w:szCs w:val="24"/>
        </w:rPr>
        <w:t xml:space="preserve"> </w:t>
      </w:r>
      <w:r w:rsidRPr="006842CF">
        <w:rPr>
          <w:rFonts w:ascii="Simplified Arabic" w:hAnsi="Simplified Arabic" w:cs="Simplified Arabic" w:hint="cs"/>
          <w:sz w:val="24"/>
          <w:szCs w:val="24"/>
          <w:rtl/>
        </w:rPr>
        <w:t xml:space="preserve">حواجز طبيعية المتمثلة في الجبال و الكثبان الرملية و الوديان، </w:t>
      </w:r>
      <w:r w:rsidR="00CB4D42">
        <w:rPr>
          <w:rFonts w:ascii="Simplified Arabic" w:hAnsi="Simplified Arabic" w:cs="Simplified Arabic" w:hint="cs"/>
          <w:sz w:val="24"/>
          <w:szCs w:val="24"/>
          <w:rtl/>
        </w:rPr>
        <w:t xml:space="preserve">كما انها تعاني من نقص </w:t>
      </w:r>
      <w:r w:rsidR="00495CA2">
        <w:rPr>
          <w:rFonts w:ascii="Simplified Arabic" w:hAnsi="Simplified Arabic" w:cs="Simplified Arabic" w:hint="cs"/>
          <w:sz w:val="24"/>
          <w:szCs w:val="24"/>
          <w:rtl/>
        </w:rPr>
        <w:t xml:space="preserve">تنوع </w:t>
      </w:r>
      <w:r w:rsidR="00CB4D42">
        <w:rPr>
          <w:rFonts w:ascii="Simplified Arabic" w:hAnsi="Simplified Arabic" w:cs="Simplified Arabic" w:hint="cs"/>
          <w:sz w:val="24"/>
          <w:szCs w:val="24"/>
          <w:rtl/>
        </w:rPr>
        <w:t xml:space="preserve">الخدمات </w:t>
      </w:r>
      <w:r w:rsidR="00495CA2">
        <w:rPr>
          <w:rFonts w:ascii="Simplified Arabic" w:hAnsi="Simplified Arabic" w:cs="Simplified Arabic" w:hint="cs"/>
          <w:sz w:val="24"/>
          <w:szCs w:val="24"/>
          <w:rtl/>
        </w:rPr>
        <w:t xml:space="preserve">واحيانا غيابها وبنية شبكة الطرق غير متسلسلة </w:t>
      </w:r>
      <w:r w:rsidR="00260DDA">
        <w:rPr>
          <w:rFonts w:ascii="Simplified Arabic" w:hAnsi="Simplified Arabic" w:cs="Simplified Arabic" w:hint="cs"/>
          <w:sz w:val="24"/>
          <w:szCs w:val="24"/>
          <w:rtl/>
        </w:rPr>
        <w:t xml:space="preserve">بمناطق التوسع الحضري </w:t>
      </w:r>
      <w:r w:rsidRPr="006842CF">
        <w:rPr>
          <w:rFonts w:ascii="Simplified Arabic" w:hAnsi="Simplified Arabic" w:cs="Simplified Arabic"/>
          <w:sz w:val="24"/>
          <w:szCs w:val="24"/>
          <w:rtl/>
        </w:rPr>
        <w:t>في غياب أداة</w:t>
      </w:r>
      <w:r w:rsidRPr="006842CF">
        <w:rPr>
          <w:rFonts w:ascii="Simplified Arabic" w:hAnsi="Simplified Arabic" w:cs="Simplified Arabic" w:hint="cs"/>
          <w:sz w:val="24"/>
          <w:szCs w:val="24"/>
          <w:rtl/>
        </w:rPr>
        <w:t xml:space="preserve"> تخطيط</w:t>
      </w:r>
      <w:r w:rsidRPr="006842CF">
        <w:rPr>
          <w:rFonts w:ascii="Simplified Arabic" w:hAnsi="Simplified Arabic" w:cs="Simplified Arabic"/>
          <w:sz w:val="24"/>
          <w:szCs w:val="24"/>
          <w:rtl/>
        </w:rPr>
        <w:t xml:space="preserve"> محكم</w:t>
      </w:r>
      <w:r w:rsidR="00CB4D42">
        <w:rPr>
          <w:rFonts w:ascii="Simplified Arabic" w:hAnsi="Simplified Arabic" w:cs="Simplified Arabic" w:hint="cs"/>
          <w:sz w:val="24"/>
          <w:szCs w:val="24"/>
          <w:rtl/>
        </w:rPr>
        <w:t>ة</w:t>
      </w:r>
      <w:r w:rsidRPr="006842CF">
        <w:rPr>
          <w:rFonts w:ascii="Simplified Arabic" w:hAnsi="Simplified Arabic" w:cs="Simplified Arabic"/>
          <w:sz w:val="24"/>
          <w:szCs w:val="24"/>
          <w:rtl/>
        </w:rPr>
        <w:t xml:space="preserve"> و فعال</w:t>
      </w:r>
      <w:r w:rsidR="00CB4D42">
        <w:rPr>
          <w:rFonts w:ascii="Simplified Arabic" w:hAnsi="Simplified Arabic" w:cs="Simplified Arabic" w:hint="cs"/>
          <w:sz w:val="24"/>
          <w:szCs w:val="24"/>
          <w:rtl/>
        </w:rPr>
        <w:t>ة</w:t>
      </w:r>
      <w:r w:rsidRPr="006842CF">
        <w:rPr>
          <w:rFonts w:ascii="Simplified Arabic" w:hAnsi="Simplified Arabic" w:cs="Simplified Arabic" w:hint="cs"/>
          <w:sz w:val="24"/>
          <w:szCs w:val="24"/>
          <w:rtl/>
        </w:rPr>
        <w:t>.</w:t>
      </w:r>
    </w:p>
    <w:p w:rsidR="000635D8" w:rsidRPr="006842CF" w:rsidRDefault="000635D8" w:rsidP="00260DDA">
      <w:pPr>
        <w:autoSpaceDE w:val="0"/>
        <w:autoSpaceDN w:val="0"/>
        <w:bidi/>
        <w:adjustRightInd w:val="0"/>
        <w:spacing w:after="0"/>
        <w:ind w:firstLine="283"/>
        <w:jc w:val="both"/>
        <w:rPr>
          <w:rFonts w:ascii="Simplified Arabic" w:hAnsi="Simplified Arabic" w:cs="Simplified Arabic"/>
          <w:sz w:val="24"/>
          <w:szCs w:val="24"/>
          <w:rtl/>
        </w:rPr>
      </w:pP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من</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الناحية</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الاقتصادية</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فالمدينة</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تعتبر</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القطب</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المحرك</w:t>
      </w:r>
      <w:r w:rsidRPr="00C95F00">
        <w:rPr>
          <w:rFonts w:ascii="Simplified Arabic" w:hAnsi="Simplified Arabic" w:cs="Simplified Arabic"/>
          <w:sz w:val="24"/>
          <w:szCs w:val="24"/>
        </w:rPr>
        <w:t xml:space="preserve"> </w:t>
      </w:r>
      <w:r>
        <w:rPr>
          <w:rFonts w:ascii="Simplified Arabic" w:hAnsi="Simplified Arabic" w:cs="Simplified Arabic" w:hint="cs"/>
          <w:sz w:val="24"/>
          <w:szCs w:val="24"/>
          <w:rtl/>
        </w:rPr>
        <w:t>للمنطقة</w:t>
      </w:r>
      <w:r w:rsidRPr="00C95F00">
        <w:rPr>
          <w:rFonts w:ascii="Simplified Arabic" w:hAnsi="Simplified Arabic" w:cs="Simplified Arabic" w:hint="cs"/>
          <w:sz w:val="24"/>
          <w:szCs w:val="24"/>
          <w:rtl/>
        </w:rPr>
        <w:t xml:space="preserve">، </w:t>
      </w:r>
      <w:r w:rsidRPr="00C95F00">
        <w:rPr>
          <w:rFonts w:ascii="Simplified Arabic" w:hAnsi="Simplified Arabic" w:cs="Simplified Arabic"/>
          <w:sz w:val="24"/>
          <w:szCs w:val="24"/>
          <w:rtl/>
        </w:rPr>
        <w:t>أدى</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إلى</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توافد</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السكان</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إليها</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من</w:t>
      </w:r>
      <w:r>
        <w:rPr>
          <w:rFonts w:ascii="Simplified Arabic" w:hAnsi="Simplified Arabic" w:cs="Simplified Arabic" w:hint="cs"/>
          <w:sz w:val="24"/>
          <w:szCs w:val="24"/>
          <w:rtl/>
        </w:rPr>
        <w:t xml:space="preserve"> </w:t>
      </w:r>
      <w:r w:rsidRPr="00C95F00">
        <w:rPr>
          <w:rFonts w:ascii="Simplified Arabic" w:hAnsi="Simplified Arabic" w:cs="Simplified Arabic"/>
          <w:sz w:val="24"/>
          <w:szCs w:val="24"/>
          <w:rtl/>
        </w:rPr>
        <w:t>البلديات</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المجاورة</w:t>
      </w:r>
      <w:r w:rsidRPr="00C95F00">
        <w:rPr>
          <w:rFonts w:ascii="Simplified Arabic" w:hAnsi="Simplified Arabic" w:cs="Simplified Arabic"/>
          <w:sz w:val="24"/>
          <w:szCs w:val="24"/>
        </w:rPr>
        <w:t xml:space="preserve"> </w:t>
      </w:r>
      <w:r>
        <w:rPr>
          <w:rFonts w:ascii="Simplified Arabic" w:hAnsi="Simplified Arabic" w:cs="Simplified Arabic" w:hint="cs"/>
          <w:sz w:val="24"/>
          <w:szCs w:val="24"/>
          <w:rtl/>
        </w:rPr>
        <w:t>و</w:t>
      </w:r>
      <w:r w:rsidRPr="00C95F00">
        <w:rPr>
          <w:rFonts w:ascii="Simplified Arabic" w:hAnsi="Simplified Arabic" w:cs="Simplified Arabic"/>
          <w:sz w:val="24"/>
          <w:szCs w:val="24"/>
          <w:rtl/>
        </w:rPr>
        <w:t>من</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خارج</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الولاية</w:t>
      </w:r>
      <w:r w:rsidRPr="00C95F00">
        <w:rPr>
          <w:rFonts w:ascii="Simplified Arabic" w:hAnsi="Simplified Arabic" w:cs="Simplified Arabic" w:hint="cs"/>
          <w:sz w:val="24"/>
          <w:szCs w:val="24"/>
          <w:rtl/>
        </w:rPr>
        <w:t>،</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حيث</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وصل</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عدد</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سكان</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المدينة</w:t>
      </w:r>
      <w:r w:rsidRPr="00C95F00">
        <w:rPr>
          <w:rFonts w:ascii="Simplified Arabic" w:hAnsi="Simplified Arabic" w:cs="Simplified Arabic"/>
          <w:sz w:val="24"/>
          <w:szCs w:val="24"/>
        </w:rPr>
        <w:t xml:space="preserve"> </w:t>
      </w:r>
      <w:r>
        <w:rPr>
          <w:rFonts w:ascii="Simplified Arabic" w:hAnsi="Simplified Arabic" w:cs="Simplified Arabic" w:hint="cs"/>
          <w:color w:val="000000"/>
          <w:sz w:val="24"/>
          <w:szCs w:val="24"/>
          <w:rtl/>
        </w:rPr>
        <w:t>187.409</w:t>
      </w:r>
      <w:r w:rsidRPr="00C95F00">
        <w:rPr>
          <w:rFonts w:ascii="Simplified Arabic" w:hAnsi="Simplified Arabic" w:cs="Simplified Arabic"/>
          <w:color w:val="000000"/>
          <w:sz w:val="24"/>
          <w:szCs w:val="24"/>
          <w:rtl/>
        </w:rPr>
        <w:t xml:space="preserve"> </w:t>
      </w:r>
      <w:r w:rsidRPr="00C95F00">
        <w:rPr>
          <w:rFonts w:ascii="Simplified Arabic" w:hAnsi="Simplified Arabic" w:cs="Simplified Arabic"/>
          <w:sz w:val="24"/>
          <w:szCs w:val="24"/>
          <w:rtl/>
        </w:rPr>
        <w:t xml:space="preserve">نسمة سنة </w:t>
      </w:r>
      <w:r>
        <w:rPr>
          <w:rFonts w:ascii="Simplified Arabic" w:hAnsi="Simplified Arabic" w:cs="Simplified Arabic" w:hint="cs"/>
          <w:sz w:val="24"/>
          <w:szCs w:val="24"/>
          <w:rtl/>
        </w:rPr>
        <w:t>2022</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هذا</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الأخير</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يعرف</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تزايدا</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مستمرا</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مما</w:t>
      </w:r>
      <w:r w:rsidRPr="00C95F00">
        <w:rPr>
          <w:rFonts w:ascii="Simplified Arabic" w:hAnsi="Simplified Arabic" w:cs="Simplified Arabic"/>
          <w:sz w:val="24"/>
          <w:szCs w:val="24"/>
        </w:rPr>
        <w:t xml:space="preserve"> </w:t>
      </w:r>
      <w:r w:rsidRPr="00C95F00">
        <w:rPr>
          <w:rFonts w:ascii="Simplified Arabic" w:hAnsi="Simplified Arabic" w:cs="Simplified Arabic" w:hint="cs"/>
          <w:sz w:val="24"/>
          <w:szCs w:val="24"/>
          <w:rtl/>
        </w:rPr>
        <w:t>اذكى</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حدة</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الطلب</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على</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الموارد</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الموضعية</w:t>
      </w:r>
      <w:r w:rsidR="006842CF">
        <w:rPr>
          <w:rFonts w:ascii="Simplified Arabic" w:hAnsi="Simplified Arabic" w:cs="Simplified Arabic" w:hint="cs"/>
          <w:sz w:val="24"/>
          <w:szCs w:val="24"/>
          <w:rtl/>
        </w:rPr>
        <w:t xml:space="preserve"> </w:t>
      </w:r>
      <w:r w:rsidRPr="00C95F00">
        <w:rPr>
          <w:rFonts w:ascii="Simplified Arabic" w:hAnsi="Simplified Arabic" w:cs="Simplified Arabic"/>
          <w:sz w:val="24"/>
          <w:szCs w:val="24"/>
          <w:rtl/>
        </w:rPr>
        <w:t>(العقار)، لإقامة بنايات فوضوية في غياب الرقابة</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او مشاريع طوعية</w:t>
      </w:r>
      <w:r w:rsidRPr="00C95F00">
        <w:rPr>
          <w:rFonts w:ascii="Simplified Arabic" w:hAnsi="Simplified Arabic" w:cs="Simplified Arabic" w:hint="cs"/>
          <w:sz w:val="24"/>
          <w:szCs w:val="24"/>
          <w:rtl/>
        </w:rPr>
        <w:t xml:space="preserve"> عشوائية</w:t>
      </w:r>
      <w:r w:rsidRPr="00C95F00">
        <w:rPr>
          <w:rFonts w:ascii="Simplified Arabic" w:hAnsi="Simplified Arabic" w:cs="Simplified Arabic"/>
          <w:sz w:val="24"/>
          <w:szCs w:val="24"/>
          <w:rtl/>
        </w:rPr>
        <w:t xml:space="preserve"> لتلبية الاحتياجات</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 xml:space="preserve">المستقبلية، </w:t>
      </w:r>
      <w:r w:rsidRPr="00C95F00">
        <w:rPr>
          <w:rFonts w:ascii="Simplified Arabic" w:hAnsi="Simplified Arabic" w:cs="Simplified Arabic" w:hint="cs"/>
          <w:sz w:val="24"/>
          <w:szCs w:val="24"/>
          <w:rtl/>
        </w:rPr>
        <w:t>هذا</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يؤكد</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أن</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المدينة</w:t>
      </w:r>
      <w:r w:rsidRPr="00C95F0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قد </w:t>
      </w:r>
      <w:r w:rsidRPr="00C95F00">
        <w:rPr>
          <w:rFonts w:ascii="Simplified Arabic" w:hAnsi="Simplified Arabic" w:cs="Simplified Arabic"/>
          <w:sz w:val="24"/>
          <w:szCs w:val="24"/>
          <w:rtl/>
        </w:rPr>
        <w:t>نمت</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تحت</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دعم</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و</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ضغط</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القرارات</w:t>
      </w:r>
      <w:r w:rsidRPr="00C95F00">
        <w:rPr>
          <w:rFonts w:ascii="Simplified Arabic" w:hAnsi="Simplified Arabic" w:cs="Simplified Arabic"/>
          <w:sz w:val="24"/>
          <w:szCs w:val="24"/>
        </w:rPr>
        <w:t xml:space="preserve"> </w:t>
      </w:r>
      <w:r w:rsidRPr="00C95F00">
        <w:rPr>
          <w:rFonts w:ascii="Simplified Arabic" w:hAnsi="Simplified Arabic" w:cs="Simplified Arabic"/>
          <w:sz w:val="24"/>
          <w:szCs w:val="24"/>
          <w:rtl/>
        </w:rPr>
        <w:t>الإدارية والفوضى</w:t>
      </w:r>
      <w:r w:rsidR="00CB4D42">
        <w:rPr>
          <w:rFonts w:ascii="Simplified Arabic" w:hAnsi="Simplified Arabic" w:cs="Simplified Arabic" w:hint="cs"/>
          <w:sz w:val="24"/>
          <w:szCs w:val="24"/>
          <w:rtl/>
        </w:rPr>
        <w:t>،</w:t>
      </w:r>
      <w:r w:rsidRPr="00F05A00">
        <w:rPr>
          <w:rFonts w:ascii="Simplified Arabic" w:hAnsi="Simplified Arabic" w:cs="Simplified Arabic" w:hint="cs"/>
          <w:sz w:val="24"/>
          <w:szCs w:val="24"/>
          <w:rtl/>
        </w:rPr>
        <w:t xml:space="preserve"> </w:t>
      </w:r>
      <w:r w:rsidR="00260DDA">
        <w:rPr>
          <w:rFonts w:ascii="Simplified Arabic" w:hAnsi="Simplified Arabic" w:cs="Simplified Arabic" w:hint="cs"/>
          <w:sz w:val="24"/>
          <w:szCs w:val="24"/>
          <w:rtl/>
          <w:lang w:bidi="ar-DZ"/>
        </w:rPr>
        <w:t>ساهم في ت</w:t>
      </w:r>
      <w:r w:rsidR="006842CF">
        <w:rPr>
          <w:rFonts w:ascii="Simplified Arabic" w:hAnsi="Simplified Arabic" w:cs="Simplified Arabic" w:hint="cs"/>
          <w:sz w:val="24"/>
          <w:szCs w:val="24"/>
          <w:rtl/>
          <w:lang w:bidi="ar-DZ"/>
        </w:rPr>
        <w:t>قل</w:t>
      </w:r>
      <w:r w:rsidR="00260DDA">
        <w:rPr>
          <w:rFonts w:ascii="Simplified Arabic" w:hAnsi="Simplified Arabic" w:cs="Simplified Arabic" w:hint="cs"/>
          <w:sz w:val="24"/>
          <w:szCs w:val="24"/>
          <w:rtl/>
          <w:lang w:bidi="ar-DZ"/>
        </w:rPr>
        <w:t>ي</w:t>
      </w:r>
      <w:r w:rsidR="006842CF">
        <w:rPr>
          <w:rFonts w:ascii="Simplified Arabic" w:hAnsi="Simplified Arabic" w:cs="Simplified Arabic" w:hint="cs"/>
          <w:sz w:val="24"/>
          <w:szCs w:val="24"/>
          <w:rtl/>
          <w:lang w:bidi="ar-DZ"/>
        </w:rPr>
        <w:t>ل</w:t>
      </w:r>
      <w:r w:rsidRPr="00F05A00">
        <w:rPr>
          <w:rFonts w:ascii="Simplified Arabic" w:hAnsi="Simplified Arabic" w:cs="Simplified Arabic" w:hint="cs"/>
          <w:sz w:val="24"/>
          <w:szCs w:val="24"/>
          <w:rtl/>
          <w:lang w:bidi="ar-DZ"/>
        </w:rPr>
        <w:t xml:space="preserve"> قدرة المدينة على مواجهة الاضطرابات</w:t>
      </w:r>
      <w:r w:rsidR="006842CF">
        <w:rPr>
          <w:rFonts w:ascii="Simplified Arabic" w:hAnsi="Simplified Arabic" w:cs="Simplified Arabic" w:hint="cs"/>
          <w:sz w:val="24"/>
          <w:szCs w:val="24"/>
          <w:rtl/>
          <w:lang w:bidi="ar-DZ"/>
        </w:rPr>
        <w:t xml:space="preserve"> التي تحدثها تغيّرات المناخ</w:t>
      </w:r>
      <w:r w:rsidRPr="00F05A00">
        <w:rPr>
          <w:rFonts w:ascii="Simplified Arabic" w:hAnsi="Simplified Arabic" w:cs="Simplified Arabic" w:hint="cs"/>
          <w:sz w:val="24"/>
          <w:szCs w:val="24"/>
          <w:rtl/>
        </w:rPr>
        <w:t>.</w:t>
      </w:r>
    </w:p>
    <w:p w:rsidR="00105CB7" w:rsidRPr="002C0E1D" w:rsidRDefault="00105CB7" w:rsidP="00105CB7">
      <w:pPr>
        <w:bidi/>
        <w:spacing w:after="0"/>
        <w:ind w:firstLine="282"/>
        <w:jc w:val="both"/>
        <w:rPr>
          <w:rFonts w:ascii="Simplified Arabic" w:hAnsi="Simplified Arabic" w:cs="Simplified Arabic"/>
          <w:sz w:val="24"/>
          <w:szCs w:val="24"/>
          <w:rtl/>
          <w:lang w:bidi="ar-DZ"/>
        </w:rPr>
      </w:pPr>
    </w:p>
    <w:p w:rsidR="00105CB7" w:rsidRPr="002C0E1D" w:rsidRDefault="00105CB7" w:rsidP="00105CB7">
      <w:pPr>
        <w:bidi/>
        <w:spacing w:after="0"/>
        <w:ind w:firstLine="282"/>
        <w:jc w:val="both"/>
        <w:rPr>
          <w:rFonts w:ascii="Simplified Arabic" w:hAnsi="Simplified Arabic" w:cs="Simplified Arabic"/>
          <w:sz w:val="24"/>
          <w:szCs w:val="24"/>
          <w:rtl/>
          <w:lang w:bidi="ar-DZ"/>
        </w:rPr>
      </w:pPr>
    </w:p>
    <w:p w:rsidR="00105CB7" w:rsidRPr="002C0E1D" w:rsidRDefault="00105CB7" w:rsidP="00105CB7">
      <w:pPr>
        <w:bidi/>
        <w:spacing w:after="0"/>
        <w:ind w:firstLine="282"/>
        <w:jc w:val="both"/>
        <w:rPr>
          <w:rFonts w:ascii="Simplified Arabic" w:hAnsi="Simplified Arabic" w:cs="Simplified Arabic"/>
          <w:sz w:val="24"/>
          <w:szCs w:val="24"/>
          <w:rtl/>
          <w:lang w:bidi="ar-DZ"/>
        </w:rPr>
      </w:pPr>
    </w:p>
    <w:p w:rsidR="00105CB7" w:rsidRPr="002C0E1D" w:rsidRDefault="00105CB7" w:rsidP="00105CB7">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CB4D42" w:rsidRPr="002C0E1D" w:rsidRDefault="00CB4D42" w:rsidP="00CB4D42">
      <w:pPr>
        <w:bidi/>
        <w:spacing w:after="0"/>
        <w:ind w:firstLine="282"/>
        <w:jc w:val="both"/>
        <w:rPr>
          <w:rFonts w:ascii="Simplified Arabic" w:hAnsi="Simplified Arabic" w:cs="Simplified Arabic"/>
          <w:sz w:val="24"/>
          <w:szCs w:val="24"/>
          <w:rtl/>
          <w:lang w:bidi="ar-DZ"/>
        </w:rPr>
      </w:pPr>
    </w:p>
    <w:p w:rsidR="00105CB7" w:rsidRPr="002C0E1D" w:rsidRDefault="00105CB7" w:rsidP="00105CB7">
      <w:pPr>
        <w:bidi/>
        <w:spacing w:after="0"/>
        <w:ind w:firstLine="282"/>
        <w:jc w:val="both"/>
        <w:rPr>
          <w:rFonts w:ascii="Simplified Arabic" w:hAnsi="Simplified Arabic" w:cs="Simplified Arabic"/>
          <w:sz w:val="24"/>
          <w:szCs w:val="24"/>
          <w:rtl/>
          <w:lang w:bidi="ar-DZ"/>
        </w:rPr>
      </w:pPr>
    </w:p>
    <w:p w:rsidR="00105CB7" w:rsidRDefault="00105CB7" w:rsidP="00105CB7">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671224" w:rsidRDefault="00671224" w:rsidP="00C22773">
      <w:pPr>
        <w:bidi/>
        <w:spacing w:after="0"/>
        <w:ind w:firstLine="282"/>
        <w:jc w:val="both"/>
        <w:rPr>
          <w:rFonts w:ascii="Simplified Arabic" w:hAnsi="Simplified Arabic" w:cs="Simplified Arabic"/>
          <w:sz w:val="24"/>
          <w:szCs w:val="24"/>
          <w:rtl/>
          <w:lang w:bidi="ar-DZ"/>
        </w:rPr>
        <w:sectPr w:rsidR="00671224" w:rsidSect="004E4512">
          <w:headerReference w:type="default" r:id="rId213"/>
          <w:footerReference w:type="default" r:id="rId214"/>
          <w:headerReference w:type="first" r:id="rId215"/>
          <w:type w:val="continuous"/>
          <w:pgSz w:w="11906" w:h="16838"/>
          <w:pgMar w:top="1418" w:right="1700" w:bottom="1418" w:left="1134" w:header="709" w:footer="709" w:gutter="0"/>
          <w:pgNumType w:start="111"/>
          <w:cols w:space="708"/>
          <w:docGrid w:linePitch="360"/>
        </w:sect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Default="00C22773" w:rsidP="00C22773">
      <w:pPr>
        <w:bidi/>
        <w:spacing w:after="0"/>
        <w:ind w:firstLine="282"/>
        <w:jc w:val="both"/>
        <w:rPr>
          <w:rFonts w:ascii="Simplified Arabic" w:hAnsi="Simplified Arabic" w:cs="Simplified Arabic"/>
          <w:sz w:val="24"/>
          <w:szCs w:val="24"/>
          <w:rtl/>
          <w:lang w:bidi="ar-DZ"/>
        </w:rPr>
      </w:pPr>
    </w:p>
    <w:p w:rsidR="00C22773" w:rsidRPr="002C0E1D" w:rsidRDefault="00C22773" w:rsidP="00C22773">
      <w:pPr>
        <w:bidi/>
        <w:spacing w:after="0"/>
        <w:ind w:firstLine="282"/>
        <w:jc w:val="both"/>
        <w:rPr>
          <w:rFonts w:ascii="Simplified Arabic" w:hAnsi="Simplified Arabic" w:cs="Simplified Arabic"/>
          <w:sz w:val="24"/>
          <w:szCs w:val="24"/>
          <w:rtl/>
          <w:lang w:bidi="ar-DZ"/>
        </w:rPr>
      </w:pPr>
    </w:p>
    <w:p w:rsidR="00703DF4" w:rsidRPr="002C0E1D" w:rsidRDefault="00703DF4" w:rsidP="00703DF4">
      <w:pPr>
        <w:bidi/>
        <w:spacing w:after="0"/>
        <w:ind w:firstLine="282"/>
        <w:jc w:val="both"/>
        <w:rPr>
          <w:rStyle w:val="y2iqfc"/>
          <w:rFonts w:ascii="Simplified Arabic" w:hAnsi="Simplified Arabic" w:cs="Simplified Arabic"/>
          <w:color w:val="202124"/>
          <w:sz w:val="20"/>
          <w:szCs w:val="20"/>
          <w:rtl/>
          <w:lang w:bidi="ar"/>
        </w:rPr>
      </w:pPr>
    </w:p>
    <w:p w:rsidR="00703DF4" w:rsidRPr="002C0E1D" w:rsidRDefault="00703DF4" w:rsidP="00703DF4">
      <w:pPr>
        <w:bidi/>
        <w:spacing w:after="0"/>
        <w:ind w:firstLine="282"/>
        <w:jc w:val="both"/>
        <w:rPr>
          <w:rStyle w:val="y2iqfc"/>
          <w:rFonts w:ascii="Simplified Arabic" w:hAnsi="Simplified Arabic" w:cs="Simplified Arabic"/>
          <w:color w:val="202124"/>
          <w:sz w:val="24"/>
          <w:szCs w:val="24"/>
          <w:rtl/>
          <w:lang w:bidi="ar"/>
        </w:rPr>
      </w:pPr>
    </w:p>
    <w:p w:rsidR="00703DF4" w:rsidRDefault="00703DF4" w:rsidP="00703DF4">
      <w:pPr>
        <w:bidi/>
        <w:spacing w:after="0"/>
        <w:ind w:firstLine="282"/>
        <w:jc w:val="both"/>
        <w:rPr>
          <w:rStyle w:val="y2iqfc"/>
          <w:rFonts w:ascii="Simplified Arabic" w:hAnsi="Simplified Arabic" w:cs="Simplified Arabic"/>
          <w:color w:val="202124"/>
          <w:sz w:val="24"/>
          <w:szCs w:val="24"/>
          <w:rtl/>
          <w:lang w:bidi="ar"/>
        </w:rPr>
      </w:pPr>
    </w:p>
    <w:p w:rsidR="00553B7A" w:rsidRDefault="00553B7A" w:rsidP="00553B7A">
      <w:pPr>
        <w:bidi/>
        <w:spacing w:after="0"/>
        <w:ind w:firstLine="282"/>
        <w:jc w:val="both"/>
        <w:rPr>
          <w:rStyle w:val="y2iqfc"/>
          <w:rFonts w:ascii="Simplified Arabic" w:hAnsi="Simplified Arabic" w:cs="Simplified Arabic"/>
          <w:color w:val="202124"/>
          <w:sz w:val="24"/>
          <w:szCs w:val="24"/>
          <w:rtl/>
          <w:lang w:bidi="ar"/>
        </w:rPr>
      </w:pPr>
    </w:p>
    <w:p w:rsidR="00553B7A" w:rsidRPr="002C0E1D" w:rsidRDefault="00553B7A" w:rsidP="00553B7A">
      <w:pPr>
        <w:bidi/>
        <w:spacing w:after="0"/>
        <w:ind w:firstLine="282"/>
        <w:jc w:val="both"/>
        <w:rPr>
          <w:rStyle w:val="y2iqfc"/>
          <w:rFonts w:ascii="Simplified Arabic" w:hAnsi="Simplified Arabic" w:cs="Simplified Arabic"/>
          <w:color w:val="202124"/>
          <w:sz w:val="24"/>
          <w:szCs w:val="24"/>
          <w:rtl/>
          <w:lang w:bidi="ar"/>
        </w:rPr>
      </w:pPr>
    </w:p>
    <w:p w:rsidR="002C0E1D" w:rsidRPr="002C0E1D" w:rsidRDefault="002C0E1D" w:rsidP="002C0E1D">
      <w:pPr>
        <w:bidi/>
        <w:spacing w:after="0"/>
        <w:ind w:firstLine="282"/>
        <w:jc w:val="both"/>
        <w:rPr>
          <w:rStyle w:val="y2iqfc"/>
          <w:rFonts w:ascii="Simplified Arabic" w:hAnsi="Simplified Arabic" w:cs="Simplified Arabic"/>
          <w:color w:val="202124"/>
          <w:sz w:val="24"/>
          <w:szCs w:val="24"/>
          <w:rtl/>
          <w:lang w:bidi="ar"/>
        </w:rPr>
      </w:pPr>
    </w:p>
    <w:p w:rsidR="00C121B0" w:rsidRPr="007245F7" w:rsidRDefault="00C121B0" w:rsidP="00230FAB">
      <w:pPr>
        <w:pStyle w:val="Photo"/>
        <w:spacing w:before="0"/>
        <w:rPr>
          <w:rFonts w:asciiTheme="minorBidi" w:hAnsiTheme="minorBidi" w:cs="Arial"/>
          <w:sz w:val="36"/>
          <w:szCs w:val="36"/>
          <w:lang w:val="en-US"/>
        </w:rPr>
      </w:pPr>
      <w:bookmarkStart w:id="598" w:name="_Toc157608332"/>
      <w:bookmarkStart w:id="599" w:name="_Toc157612990"/>
      <w:bookmarkStart w:id="600" w:name="_Toc157616599"/>
      <w:bookmarkStart w:id="601" w:name="_Toc157618651"/>
      <w:bookmarkStart w:id="602" w:name="_Toc171803639"/>
      <w:r w:rsidRPr="007245F7">
        <w:rPr>
          <w:sz w:val="36"/>
          <w:szCs w:val="36"/>
          <w:rtl/>
          <w:lang w:val="en-US" w:bidi="ar-DZ"/>
        </w:rPr>
        <w:t xml:space="preserve">الفصل </w:t>
      </w:r>
      <w:r w:rsidR="00D81B0D" w:rsidRPr="007245F7">
        <w:rPr>
          <w:rFonts w:hint="cs"/>
          <w:sz w:val="36"/>
          <w:szCs w:val="36"/>
          <w:rtl/>
          <w:lang w:val="en-US" w:bidi="ar-DZ"/>
        </w:rPr>
        <w:t xml:space="preserve">5: </w:t>
      </w:r>
      <w:r w:rsidRPr="007245F7">
        <w:rPr>
          <w:rFonts w:hint="cs"/>
          <w:sz w:val="36"/>
          <w:szCs w:val="36"/>
          <w:rtl/>
          <w:lang w:val="en-US"/>
        </w:rPr>
        <w:t>تنفيذ اطار عمل</w:t>
      </w:r>
      <w:r w:rsidRPr="007245F7">
        <w:rPr>
          <w:sz w:val="36"/>
          <w:szCs w:val="36"/>
          <w:rtl/>
          <w:lang w:val="en-US"/>
        </w:rPr>
        <w:t xml:space="preserve"> </w:t>
      </w:r>
      <w:r w:rsidRPr="007245F7">
        <w:rPr>
          <w:rFonts w:hint="cs"/>
          <w:sz w:val="36"/>
          <w:szCs w:val="36"/>
          <w:rtl/>
          <w:lang w:val="en-US"/>
        </w:rPr>
        <w:t>تقييم</w:t>
      </w:r>
      <w:r w:rsidRPr="007245F7">
        <w:rPr>
          <w:sz w:val="36"/>
          <w:szCs w:val="36"/>
          <w:rtl/>
          <w:lang w:val="en-US"/>
        </w:rPr>
        <w:t xml:space="preserve"> </w:t>
      </w:r>
      <w:r w:rsidRPr="007245F7">
        <w:rPr>
          <w:rFonts w:hint="cs"/>
          <w:sz w:val="36"/>
          <w:szCs w:val="36"/>
          <w:rtl/>
          <w:lang w:val="en-US"/>
        </w:rPr>
        <w:t>مرونة</w:t>
      </w:r>
      <w:r w:rsidRPr="007245F7">
        <w:rPr>
          <w:sz w:val="36"/>
          <w:szCs w:val="36"/>
          <w:rtl/>
          <w:lang w:val="en-US"/>
        </w:rPr>
        <w:t xml:space="preserve"> </w:t>
      </w:r>
      <w:r w:rsidR="000C7BFD" w:rsidRPr="007245F7">
        <w:rPr>
          <w:rFonts w:hint="cs"/>
          <w:sz w:val="36"/>
          <w:szCs w:val="36"/>
          <w:rtl/>
          <w:lang w:val="en-US"/>
        </w:rPr>
        <w:t>مدينة بوسعادة</w:t>
      </w:r>
      <w:bookmarkEnd w:id="598"/>
      <w:bookmarkEnd w:id="599"/>
      <w:bookmarkEnd w:id="600"/>
      <w:bookmarkEnd w:id="601"/>
      <w:bookmarkEnd w:id="602"/>
      <w:r w:rsidR="000C7BFD" w:rsidRPr="007245F7">
        <w:rPr>
          <w:rFonts w:hint="cs"/>
          <w:sz w:val="36"/>
          <w:szCs w:val="36"/>
          <w:rtl/>
          <w:lang w:val="en-US"/>
        </w:rPr>
        <w:t xml:space="preserve"> </w:t>
      </w: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121B0" w:rsidRDefault="00C121B0" w:rsidP="00C121B0">
      <w:pPr>
        <w:bidi/>
        <w:spacing w:after="0"/>
        <w:rPr>
          <w:rFonts w:asciiTheme="minorBidi" w:hAnsiTheme="minorBidi" w:cs="Arial"/>
          <w:sz w:val="28"/>
          <w:szCs w:val="28"/>
          <w:rtl/>
          <w:lang w:val="en-US"/>
        </w:rPr>
      </w:pPr>
    </w:p>
    <w:p w:rsidR="00C22773" w:rsidRDefault="00C22773" w:rsidP="00C22773">
      <w:pPr>
        <w:bidi/>
        <w:spacing w:after="0"/>
        <w:rPr>
          <w:rFonts w:asciiTheme="minorBidi" w:hAnsiTheme="minorBidi" w:cs="Arial"/>
          <w:sz w:val="28"/>
          <w:szCs w:val="28"/>
          <w:rtl/>
          <w:lang w:val="en-US"/>
        </w:rPr>
      </w:pPr>
    </w:p>
    <w:p w:rsidR="00C22773" w:rsidRDefault="00C22773" w:rsidP="00C22773">
      <w:pPr>
        <w:bidi/>
        <w:spacing w:after="0"/>
        <w:rPr>
          <w:rFonts w:asciiTheme="minorBidi" w:hAnsiTheme="minorBidi" w:cs="Arial"/>
          <w:sz w:val="28"/>
          <w:szCs w:val="28"/>
          <w:rtl/>
          <w:lang w:val="en-US"/>
        </w:rPr>
      </w:pPr>
    </w:p>
    <w:p w:rsidR="00260ADC" w:rsidRDefault="00260ADC" w:rsidP="00C22773">
      <w:pPr>
        <w:bidi/>
        <w:spacing w:after="0"/>
        <w:rPr>
          <w:rFonts w:asciiTheme="minorBidi" w:hAnsiTheme="minorBidi" w:cs="Arial"/>
          <w:sz w:val="28"/>
          <w:szCs w:val="28"/>
          <w:rtl/>
          <w:lang w:val="en-US"/>
        </w:rPr>
        <w:sectPr w:rsidR="00260ADC" w:rsidSect="00260ADC">
          <w:headerReference w:type="default" r:id="rId216"/>
          <w:footerReference w:type="default" r:id="rId217"/>
          <w:headerReference w:type="first" r:id="rId218"/>
          <w:footerReference w:type="first" r:id="rId219"/>
          <w:pgSz w:w="11906" w:h="16838"/>
          <w:pgMar w:top="1418" w:right="1700" w:bottom="1418" w:left="1134" w:header="709" w:footer="709" w:gutter="0"/>
          <w:pgNumType w:start="142"/>
          <w:cols w:space="708"/>
          <w:titlePg/>
          <w:docGrid w:linePitch="360"/>
        </w:sectPr>
      </w:pPr>
    </w:p>
    <w:p w:rsidR="00C121B0" w:rsidRPr="00A91AEA" w:rsidRDefault="00441373" w:rsidP="00260ADC">
      <w:pPr>
        <w:bidi/>
        <w:spacing w:after="0"/>
        <w:outlineLvl w:val="0"/>
        <w:rPr>
          <w:rFonts w:ascii="Simplified Arabic" w:hAnsi="Simplified Arabic" w:cs="Simplified Arabic"/>
          <w:b/>
          <w:bCs/>
          <w:sz w:val="24"/>
          <w:szCs w:val="24"/>
          <w:rtl/>
          <w:lang w:val="en-US"/>
        </w:rPr>
      </w:pPr>
      <w:bookmarkStart w:id="603" w:name="_Toc171803640"/>
      <w:r>
        <w:rPr>
          <w:rFonts w:ascii="Simplified Arabic" w:hAnsi="Simplified Arabic" w:cs="Simplified Arabic" w:hint="cs"/>
          <w:b/>
          <w:bCs/>
          <w:sz w:val="24"/>
          <w:szCs w:val="24"/>
          <w:rtl/>
          <w:lang w:val="en-US"/>
        </w:rPr>
        <w:lastRenderedPageBreak/>
        <w:t>تمهيد</w:t>
      </w:r>
      <w:r w:rsidR="00C121B0" w:rsidRPr="00A91AEA">
        <w:rPr>
          <w:rFonts w:ascii="Simplified Arabic" w:hAnsi="Simplified Arabic" w:cs="Simplified Arabic" w:hint="cs"/>
          <w:b/>
          <w:bCs/>
          <w:sz w:val="24"/>
          <w:szCs w:val="24"/>
          <w:rtl/>
          <w:lang w:val="en-US"/>
        </w:rPr>
        <w:t>:</w:t>
      </w:r>
      <w:bookmarkEnd w:id="603"/>
    </w:p>
    <w:p w:rsidR="00C121B0" w:rsidRDefault="00C121B0" w:rsidP="008E533E">
      <w:pPr>
        <w:tabs>
          <w:tab w:val="right" w:pos="282"/>
        </w:tabs>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ي</w:t>
      </w:r>
      <w:r w:rsidRPr="00663FB7">
        <w:rPr>
          <w:rFonts w:ascii="Simplified Arabic" w:hAnsi="Simplified Arabic" w:cs="Simplified Arabic" w:hint="cs"/>
          <w:sz w:val="24"/>
          <w:szCs w:val="24"/>
          <w:rtl/>
          <w:lang w:val="en-US"/>
        </w:rPr>
        <w:t xml:space="preserve">عرض </w:t>
      </w:r>
      <w:r w:rsidRPr="00663FB7">
        <w:rPr>
          <w:rFonts w:ascii="Simplified Arabic" w:hAnsi="Simplified Arabic" w:cs="Simplified Arabic"/>
          <w:sz w:val="24"/>
          <w:szCs w:val="24"/>
          <w:rtl/>
          <w:lang w:val="en-US"/>
        </w:rPr>
        <w:t>هذا الفصل</w:t>
      </w:r>
      <w:r>
        <w:rPr>
          <w:rFonts w:ascii="Simplified Arabic" w:hAnsi="Simplified Arabic" w:cs="Simplified Arabic" w:hint="cs"/>
          <w:sz w:val="24"/>
          <w:szCs w:val="24"/>
          <w:rtl/>
          <w:lang w:val="en-US"/>
        </w:rPr>
        <w:t>،</w:t>
      </w:r>
      <w:r w:rsidRPr="00663FB7">
        <w:rPr>
          <w:rFonts w:ascii="Simplified Arabic" w:hAnsi="Simplified Arabic" w:cs="Simplified Arabic"/>
          <w:sz w:val="24"/>
          <w:szCs w:val="24"/>
          <w:rtl/>
          <w:lang w:val="en-US"/>
        </w:rPr>
        <w:t xml:space="preserve"> </w:t>
      </w:r>
      <w:r w:rsidRPr="00046CC3">
        <w:rPr>
          <w:rFonts w:ascii="Simplified Arabic" w:hAnsi="Simplified Arabic" w:cs="Simplified Arabic" w:hint="cs"/>
          <w:sz w:val="24"/>
          <w:szCs w:val="24"/>
          <w:rtl/>
          <w:lang w:val="en-US"/>
        </w:rPr>
        <w:t xml:space="preserve">طريقة </w:t>
      </w:r>
      <w:r>
        <w:rPr>
          <w:rFonts w:ascii="Simplified Arabic" w:hAnsi="Simplified Arabic" w:cs="Simplified Arabic" w:hint="cs"/>
          <w:sz w:val="24"/>
          <w:szCs w:val="24"/>
          <w:rtl/>
          <w:lang w:val="en-US"/>
        </w:rPr>
        <w:t>تنفيذ اطار عمل</w:t>
      </w:r>
      <w:r w:rsidRPr="00046CC3">
        <w:rPr>
          <w:rFonts w:ascii="Simplified Arabic" w:hAnsi="Simplified Arabic" w:cs="Simplified Arabic"/>
          <w:sz w:val="24"/>
          <w:szCs w:val="24"/>
          <w:rtl/>
          <w:lang w:val="en-US"/>
        </w:rPr>
        <w:t xml:space="preserve"> </w:t>
      </w:r>
      <w:r w:rsidRPr="00046CC3">
        <w:rPr>
          <w:rFonts w:ascii="Simplified Arabic" w:hAnsi="Simplified Arabic" w:cs="Simplified Arabic" w:hint="cs"/>
          <w:sz w:val="24"/>
          <w:szCs w:val="24"/>
          <w:rtl/>
          <w:lang w:val="en-US"/>
        </w:rPr>
        <w:t>تقييم</w:t>
      </w:r>
      <w:r w:rsidRPr="00046CC3">
        <w:rPr>
          <w:rFonts w:ascii="Simplified Arabic" w:hAnsi="Simplified Arabic" w:cs="Simplified Arabic"/>
          <w:sz w:val="24"/>
          <w:szCs w:val="24"/>
          <w:rtl/>
          <w:lang w:val="en-US"/>
        </w:rPr>
        <w:t xml:space="preserve"> </w:t>
      </w:r>
      <w:r w:rsidRPr="00046CC3">
        <w:rPr>
          <w:rFonts w:ascii="Simplified Arabic" w:hAnsi="Simplified Arabic" w:cs="Simplified Arabic" w:hint="cs"/>
          <w:sz w:val="24"/>
          <w:szCs w:val="24"/>
          <w:rtl/>
          <w:lang w:val="en-US"/>
        </w:rPr>
        <w:t>مرونة</w:t>
      </w:r>
      <w:r w:rsidRPr="00046CC3">
        <w:rPr>
          <w:rFonts w:ascii="Simplified Arabic" w:hAnsi="Simplified Arabic" w:cs="Simplified Arabic"/>
          <w:sz w:val="24"/>
          <w:szCs w:val="24"/>
          <w:rtl/>
          <w:lang w:val="en-US"/>
        </w:rPr>
        <w:t xml:space="preserve"> </w:t>
      </w:r>
      <w:r w:rsidRPr="00663FB7">
        <w:rPr>
          <w:rFonts w:ascii="Simplified Arabic" w:hAnsi="Simplified Arabic" w:cs="Simplified Arabic"/>
          <w:sz w:val="24"/>
          <w:szCs w:val="24"/>
          <w:rtl/>
          <w:lang w:val="en-US"/>
        </w:rPr>
        <w:t>مدينة بوسعادة</w:t>
      </w:r>
      <w:r w:rsidRPr="00663FB7">
        <w:rPr>
          <w:rFonts w:ascii="Simplified Arabic" w:hAnsi="Simplified Arabic" w:cs="Simplified Arabic" w:hint="cs"/>
          <w:sz w:val="24"/>
          <w:szCs w:val="24"/>
          <w:rtl/>
          <w:lang w:val="en-US"/>
        </w:rPr>
        <w:t>.</w:t>
      </w:r>
      <w:r w:rsidRPr="00663FB7">
        <w:rPr>
          <w:rFonts w:ascii="Simplified Arabic" w:hAnsi="Simplified Arabic" w:cs="Simplified Arabic"/>
          <w:sz w:val="24"/>
          <w:szCs w:val="24"/>
          <w:rtl/>
          <w:lang w:val="en-US"/>
        </w:rPr>
        <w:t xml:space="preserve"> بالنظر إلى أن مجال تقييم </w:t>
      </w:r>
      <w:r w:rsidRPr="00663FB7">
        <w:rPr>
          <w:rFonts w:ascii="Simplified Arabic" w:hAnsi="Simplified Arabic" w:cs="Simplified Arabic" w:hint="cs"/>
          <w:sz w:val="24"/>
          <w:szCs w:val="24"/>
          <w:rtl/>
          <w:lang w:val="en-US"/>
        </w:rPr>
        <w:t>المرونة</w:t>
      </w:r>
      <w:r w:rsidRPr="00663FB7">
        <w:rPr>
          <w:rFonts w:ascii="Simplified Arabic" w:hAnsi="Simplified Arabic" w:cs="Simplified Arabic"/>
          <w:sz w:val="24"/>
          <w:szCs w:val="24"/>
          <w:rtl/>
          <w:lang w:val="en-US"/>
        </w:rPr>
        <w:t xml:space="preserve"> الحضرية يتضمن فحص </w:t>
      </w:r>
      <w:r>
        <w:rPr>
          <w:rFonts w:ascii="Simplified Arabic" w:hAnsi="Simplified Arabic" w:cs="Simplified Arabic" w:hint="cs"/>
          <w:sz w:val="24"/>
          <w:szCs w:val="24"/>
          <w:rtl/>
          <w:lang w:val="en-US"/>
        </w:rPr>
        <w:t>مجموعة من العوامل التي تؤثر على مستويات المرونة الحضرية. لذا تم فحص القائمة النهائية</w:t>
      </w:r>
      <w:r w:rsidRPr="00663FB7">
        <w:rPr>
          <w:rFonts w:ascii="Simplified Arabic" w:hAnsi="Simplified Arabic" w:cs="Simplified Arabic"/>
          <w:sz w:val="24"/>
          <w:szCs w:val="24"/>
          <w:rtl/>
          <w:lang w:val="en-US"/>
        </w:rPr>
        <w:t xml:space="preserve"> </w:t>
      </w:r>
      <w:r w:rsidRPr="00307763">
        <w:rPr>
          <w:rFonts w:ascii="Simplified Arabic" w:hAnsi="Simplified Arabic" w:cs="Simplified Arabic"/>
          <w:sz w:val="24"/>
          <w:szCs w:val="24"/>
          <w:rtl/>
          <w:lang w:val="en-US"/>
        </w:rPr>
        <w:t xml:space="preserve">لعوامل </w:t>
      </w:r>
      <w:r>
        <w:rPr>
          <w:rFonts w:ascii="Simplified Arabic" w:hAnsi="Simplified Arabic" w:cs="Simplified Arabic" w:hint="cs"/>
          <w:sz w:val="24"/>
          <w:szCs w:val="24"/>
          <w:rtl/>
          <w:lang w:val="en-US"/>
        </w:rPr>
        <w:t>ال</w:t>
      </w:r>
      <w:r w:rsidRPr="00307763">
        <w:rPr>
          <w:rFonts w:ascii="Simplified Arabic" w:hAnsi="Simplified Arabic" w:cs="Simplified Arabic"/>
          <w:sz w:val="24"/>
          <w:szCs w:val="24"/>
          <w:rtl/>
          <w:lang w:val="en-US"/>
        </w:rPr>
        <w:t>تقييم التي تم إنشاؤها والموافقة عل</w:t>
      </w:r>
      <w:r>
        <w:rPr>
          <w:rFonts w:ascii="Simplified Arabic" w:hAnsi="Simplified Arabic" w:cs="Simplified Arabic"/>
          <w:sz w:val="24"/>
          <w:szCs w:val="24"/>
          <w:rtl/>
          <w:lang w:val="en-US"/>
        </w:rPr>
        <w:t xml:space="preserve">يها </w:t>
      </w:r>
      <w:r>
        <w:rPr>
          <w:rFonts w:ascii="Simplified Arabic" w:hAnsi="Simplified Arabic" w:cs="Simplified Arabic" w:hint="cs"/>
          <w:sz w:val="24"/>
          <w:szCs w:val="24"/>
          <w:rtl/>
          <w:lang w:val="en-US"/>
        </w:rPr>
        <w:t>بواسطة</w:t>
      </w:r>
      <w:r>
        <w:rPr>
          <w:rFonts w:ascii="Simplified Arabic" w:hAnsi="Simplified Arabic" w:cs="Simplified Arabic"/>
          <w:sz w:val="24"/>
          <w:szCs w:val="24"/>
          <w:rtl/>
          <w:lang w:val="en-US"/>
        </w:rPr>
        <w:t xml:space="preserve"> عملية استشارة دلفي</w:t>
      </w:r>
      <w:r w:rsidRPr="003C0643">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و</w:t>
      </w:r>
      <w:r w:rsidRPr="003C0643">
        <w:rPr>
          <w:rFonts w:ascii="Simplified Arabic" w:hAnsi="Simplified Arabic" w:cs="Simplified Arabic" w:hint="cs"/>
          <w:sz w:val="24"/>
          <w:szCs w:val="24"/>
          <w:rtl/>
          <w:lang w:val="en-US"/>
        </w:rPr>
        <w:t xml:space="preserve">التي تُؤثر </w:t>
      </w:r>
      <w:r>
        <w:rPr>
          <w:rFonts w:ascii="Simplified Arabic" w:hAnsi="Simplified Arabic" w:cs="Simplified Arabic" w:hint="cs"/>
          <w:sz w:val="24"/>
          <w:szCs w:val="24"/>
          <w:rtl/>
          <w:lang w:val="en-US"/>
        </w:rPr>
        <w:t>على</w:t>
      </w:r>
      <w:r w:rsidRPr="003C0643">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مرونة </w:t>
      </w:r>
      <w:r w:rsidRPr="003C0643">
        <w:rPr>
          <w:rFonts w:ascii="Simplified Arabic" w:hAnsi="Simplified Arabic" w:cs="Simplified Arabic"/>
          <w:sz w:val="24"/>
          <w:szCs w:val="24"/>
          <w:rtl/>
          <w:lang w:val="en-US"/>
        </w:rPr>
        <w:t xml:space="preserve">البعد الفيزيائي </w:t>
      </w:r>
      <w:r>
        <w:rPr>
          <w:rFonts w:ascii="Simplified Arabic" w:hAnsi="Simplified Arabic" w:cs="Simplified Arabic" w:hint="cs"/>
          <w:sz w:val="24"/>
          <w:szCs w:val="24"/>
          <w:rtl/>
          <w:lang w:val="en-US"/>
        </w:rPr>
        <w:t xml:space="preserve">لفئة البيئة </w:t>
      </w:r>
      <w:r w:rsidR="008E533E">
        <w:rPr>
          <w:rFonts w:ascii="Simplified Arabic" w:hAnsi="Simplified Arabic" w:cs="Simplified Arabic" w:hint="cs"/>
          <w:sz w:val="24"/>
          <w:szCs w:val="24"/>
          <w:rtl/>
          <w:lang w:val="en-US"/>
        </w:rPr>
        <w:t>الحضرية</w:t>
      </w:r>
      <w:r w:rsidRPr="003C0643">
        <w:rPr>
          <w:rFonts w:ascii="Simplified Arabic" w:hAnsi="Simplified Arabic" w:cs="Simplified Arabic"/>
          <w:sz w:val="24"/>
          <w:szCs w:val="24"/>
          <w:rtl/>
          <w:lang w:val="en-US"/>
        </w:rPr>
        <w:t xml:space="preserve"> من خلال </w:t>
      </w:r>
      <w:r>
        <w:rPr>
          <w:rFonts w:ascii="Simplified Arabic" w:hAnsi="Simplified Arabic" w:cs="Simplified Arabic" w:hint="cs"/>
          <w:sz w:val="24"/>
          <w:szCs w:val="24"/>
          <w:rtl/>
          <w:lang w:val="en-US"/>
        </w:rPr>
        <w:t xml:space="preserve">تحليل </w:t>
      </w:r>
      <w:r w:rsidRPr="003C0643">
        <w:rPr>
          <w:rFonts w:ascii="Simplified Arabic" w:hAnsi="Simplified Arabic" w:cs="Simplified Arabic"/>
          <w:sz w:val="24"/>
          <w:szCs w:val="24"/>
          <w:rtl/>
          <w:lang w:val="en-US"/>
        </w:rPr>
        <w:t>التوزيع المكاني</w:t>
      </w:r>
      <w:r>
        <w:rPr>
          <w:rFonts w:ascii="Simplified Arabic" w:hAnsi="Simplified Arabic" w:cs="Simplified Arabic" w:hint="cs"/>
          <w:sz w:val="24"/>
          <w:szCs w:val="24"/>
          <w:rtl/>
          <w:lang w:val="en-US"/>
        </w:rPr>
        <w:t xml:space="preserve"> للمرافق</w:t>
      </w:r>
      <w:r w:rsidRPr="003C064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وا</w:t>
      </w:r>
      <w:r w:rsidRPr="003C0643">
        <w:rPr>
          <w:rFonts w:ascii="Simplified Arabic" w:hAnsi="Simplified Arabic" w:cs="Simplified Arabic"/>
          <w:sz w:val="24"/>
          <w:szCs w:val="24"/>
          <w:rtl/>
          <w:lang w:val="en-US"/>
        </w:rPr>
        <w:t>لخدمات</w:t>
      </w:r>
      <w:r>
        <w:rPr>
          <w:rFonts w:ascii="Simplified Arabic" w:hAnsi="Simplified Arabic" w:cs="Simplified Arabic" w:hint="cs"/>
          <w:sz w:val="24"/>
          <w:szCs w:val="24"/>
          <w:rtl/>
          <w:lang w:val="en-US"/>
        </w:rPr>
        <w:t>،</w:t>
      </w:r>
      <w:r w:rsidRPr="003C064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3C0643">
        <w:rPr>
          <w:rFonts w:ascii="Simplified Arabic" w:hAnsi="Simplified Arabic" w:cs="Simplified Arabic"/>
          <w:sz w:val="24"/>
          <w:szCs w:val="24"/>
          <w:rtl/>
          <w:lang w:val="en-US"/>
        </w:rPr>
        <w:t xml:space="preserve">كثافة </w:t>
      </w:r>
      <w:r>
        <w:rPr>
          <w:rFonts w:ascii="Simplified Arabic" w:hAnsi="Simplified Arabic" w:cs="Simplified Arabic" w:hint="cs"/>
          <w:sz w:val="24"/>
          <w:szCs w:val="24"/>
          <w:rtl/>
          <w:lang w:val="en-US"/>
        </w:rPr>
        <w:t>السكنية</w:t>
      </w:r>
      <w:r w:rsidRPr="003C064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للأحياء </w:t>
      </w:r>
      <w:r w:rsidRPr="003C0643">
        <w:rPr>
          <w:rFonts w:ascii="Simplified Arabic" w:hAnsi="Simplified Arabic" w:cs="Simplified Arabic"/>
          <w:sz w:val="24"/>
          <w:szCs w:val="24"/>
          <w:rtl/>
          <w:lang w:val="en-US"/>
        </w:rPr>
        <w:t>و</w:t>
      </w:r>
      <w:r>
        <w:rPr>
          <w:rFonts w:ascii="Simplified Arabic" w:hAnsi="Simplified Arabic" w:cs="Simplified Arabic" w:hint="cs"/>
          <w:sz w:val="24"/>
          <w:szCs w:val="24"/>
          <w:rtl/>
          <w:lang w:val="en-US"/>
        </w:rPr>
        <w:t>شبكة الطرق الشريانية.</w:t>
      </w:r>
      <w:r w:rsidRPr="00663FB7">
        <w:rPr>
          <w:rFonts w:ascii="Simplified Arabic" w:hAnsi="Simplified Arabic" w:cs="Simplified Arabic"/>
          <w:sz w:val="24"/>
          <w:szCs w:val="24"/>
          <w:rtl/>
          <w:lang w:val="en-US"/>
        </w:rPr>
        <w:t xml:space="preserve"> </w:t>
      </w:r>
    </w:p>
    <w:p w:rsidR="00C121B0" w:rsidRDefault="00C121B0" w:rsidP="00C23656">
      <w:pPr>
        <w:tabs>
          <w:tab w:val="right" w:pos="282"/>
        </w:tabs>
        <w:bidi/>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ال</w:t>
      </w:r>
      <w:r w:rsidRPr="00663FB7">
        <w:rPr>
          <w:rFonts w:ascii="Simplified Arabic" w:hAnsi="Simplified Arabic" w:cs="Simplified Arabic"/>
          <w:sz w:val="24"/>
          <w:szCs w:val="24"/>
          <w:rtl/>
          <w:lang w:val="en-US"/>
        </w:rPr>
        <w:t xml:space="preserve">هدف </w:t>
      </w:r>
      <w:r>
        <w:rPr>
          <w:rFonts w:ascii="Simplified Arabic" w:hAnsi="Simplified Arabic" w:cs="Simplified Arabic" w:hint="cs"/>
          <w:sz w:val="24"/>
          <w:szCs w:val="24"/>
          <w:rtl/>
          <w:lang w:val="en-US"/>
        </w:rPr>
        <w:t xml:space="preserve">من </w:t>
      </w:r>
      <w:r w:rsidR="004357E2">
        <w:rPr>
          <w:rFonts w:ascii="Simplified Arabic" w:hAnsi="Simplified Arabic" w:cs="Simplified Arabic" w:hint="cs"/>
          <w:sz w:val="24"/>
          <w:szCs w:val="24"/>
          <w:rtl/>
          <w:lang w:val="en-US"/>
        </w:rPr>
        <w:t>اطار العمل</w:t>
      </w:r>
      <w:r>
        <w:rPr>
          <w:rFonts w:ascii="Simplified Arabic" w:hAnsi="Simplified Arabic" w:cs="Simplified Arabic" w:hint="cs"/>
          <w:sz w:val="24"/>
          <w:szCs w:val="24"/>
          <w:rtl/>
          <w:lang w:val="en-US"/>
        </w:rPr>
        <w:t xml:space="preserve"> المقترح هو </w:t>
      </w:r>
      <w:r>
        <w:rPr>
          <w:rFonts w:ascii="Simplified Arabic" w:hAnsi="Simplified Arabic" w:cs="Simplified Arabic" w:hint="cs"/>
          <w:sz w:val="24"/>
          <w:szCs w:val="24"/>
          <w:rtl/>
          <w:lang w:val="en-US" w:bidi="ar-DZ"/>
        </w:rPr>
        <w:t>تحديد</w:t>
      </w:r>
      <w:r w:rsidRPr="0077044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العوامل</w:t>
      </w:r>
      <w:r w:rsidRPr="0077044F">
        <w:rPr>
          <w:rFonts w:ascii="Simplified Arabic" w:hAnsi="Simplified Arabic" w:cs="Simplified Arabic"/>
          <w:sz w:val="24"/>
          <w:szCs w:val="24"/>
          <w:rtl/>
          <w:lang w:val="en-US" w:bidi="ar-DZ"/>
        </w:rPr>
        <w:t xml:space="preserve"> </w:t>
      </w:r>
      <w:r w:rsidRPr="0077044F">
        <w:rPr>
          <w:rFonts w:ascii="Simplified Arabic" w:hAnsi="Simplified Arabic" w:cs="Simplified Arabic" w:hint="cs"/>
          <w:sz w:val="24"/>
          <w:szCs w:val="24"/>
          <w:rtl/>
          <w:lang w:val="en-US" w:bidi="ar-DZ"/>
        </w:rPr>
        <w:t xml:space="preserve">التي </w:t>
      </w:r>
      <w:r w:rsidRPr="0077044F">
        <w:rPr>
          <w:rFonts w:ascii="Simplified Arabic" w:hAnsi="Simplified Arabic" w:cs="Simplified Arabic"/>
          <w:sz w:val="24"/>
          <w:szCs w:val="24"/>
          <w:rtl/>
          <w:lang w:val="en-US" w:bidi="ar-DZ"/>
        </w:rPr>
        <w:t xml:space="preserve">لديها الشروط المكانية اللازمة </w:t>
      </w:r>
      <w:r>
        <w:rPr>
          <w:rFonts w:ascii="Simplified Arabic" w:hAnsi="Simplified Arabic" w:cs="Simplified Arabic" w:hint="cs"/>
          <w:sz w:val="24"/>
          <w:szCs w:val="24"/>
          <w:rtl/>
          <w:lang w:val="en-US" w:bidi="ar-DZ"/>
        </w:rPr>
        <w:t>التي تؤثر على مستويات</w:t>
      </w:r>
      <w:r w:rsidRPr="0077044F">
        <w:rPr>
          <w:rFonts w:ascii="Simplified Arabic" w:hAnsi="Simplified Arabic" w:cs="Simplified Arabic"/>
          <w:sz w:val="24"/>
          <w:szCs w:val="24"/>
          <w:rtl/>
          <w:lang w:val="en-US" w:bidi="ar-DZ"/>
        </w:rPr>
        <w:t xml:space="preserve"> المرونة </w:t>
      </w:r>
      <w:r w:rsidRPr="0077044F">
        <w:rPr>
          <w:rFonts w:ascii="Simplified Arabic" w:hAnsi="Simplified Arabic" w:cs="Simplified Arabic" w:hint="cs"/>
          <w:sz w:val="24"/>
          <w:szCs w:val="24"/>
          <w:rtl/>
          <w:lang w:val="en-US" w:bidi="ar-DZ"/>
        </w:rPr>
        <w:t>الحضرية</w:t>
      </w:r>
      <w:r w:rsidRPr="0077044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rPr>
        <w:t>بمعنى ادق هو</w:t>
      </w:r>
      <w:r w:rsidRPr="004B3B71">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البحث عن</w:t>
      </w:r>
      <w:r w:rsidRPr="004B3B71">
        <w:rPr>
          <w:rFonts w:ascii="Simplified Arabic" w:hAnsi="Simplified Arabic" w:cs="Simplified Arabic" w:hint="cs"/>
          <w:sz w:val="24"/>
          <w:szCs w:val="24"/>
          <w:rtl/>
          <w:lang w:val="en-US"/>
        </w:rPr>
        <w:t xml:space="preserve"> </w:t>
      </w:r>
      <w:r w:rsidRPr="0077044F">
        <w:rPr>
          <w:rFonts w:ascii="Simplified Arabic" w:hAnsi="Simplified Arabic" w:cs="Simplified Arabic"/>
          <w:sz w:val="24"/>
          <w:szCs w:val="24"/>
          <w:rtl/>
          <w:lang w:val="en-US" w:bidi="ar-DZ"/>
        </w:rPr>
        <w:t xml:space="preserve">أنماط </w:t>
      </w:r>
      <w:r>
        <w:rPr>
          <w:rFonts w:ascii="Simplified Arabic" w:hAnsi="Simplified Arabic" w:cs="Simplified Arabic" w:hint="cs"/>
          <w:sz w:val="24"/>
          <w:szCs w:val="24"/>
          <w:rtl/>
          <w:lang w:val="en-US" w:bidi="ar-DZ"/>
        </w:rPr>
        <w:t>التوزيع المكاني ل</w:t>
      </w:r>
      <w:r w:rsidR="004D6FB3">
        <w:rPr>
          <w:rFonts w:ascii="Simplified Arabic" w:hAnsi="Simplified Arabic" w:cs="Simplified Arabic" w:hint="cs"/>
          <w:sz w:val="24"/>
          <w:szCs w:val="24"/>
          <w:rtl/>
        </w:rPr>
        <w:t>استعمالات</w:t>
      </w:r>
      <w:r w:rsidRPr="004B3B71">
        <w:rPr>
          <w:rFonts w:ascii="Simplified Arabic" w:hAnsi="Simplified Arabic" w:cs="Simplified Arabic" w:hint="cs"/>
          <w:sz w:val="24"/>
          <w:szCs w:val="24"/>
          <w:rtl/>
          <w:lang w:val="en-US"/>
        </w:rPr>
        <w:t xml:space="preserve"> الار</w:t>
      </w:r>
      <w:r w:rsidR="004D6FB3">
        <w:rPr>
          <w:rFonts w:ascii="Simplified Arabic" w:hAnsi="Simplified Arabic" w:cs="Simplified Arabic" w:hint="cs"/>
          <w:sz w:val="24"/>
          <w:szCs w:val="24"/>
          <w:rtl/>
          <w:lang w:val="en-US"/>
        </w:rPr>
        <w:t>ا</w:t>
      </w:r>
      <w:r w:rsidRPr="004B3B71">
        <w:rPr>
          <w:rFonts w:ascii="Simplified Arabic" w:hAnsi="Simplified Arabic" w:cs="Simplified Arabic" w:hint="cs"/>
          <w:sz w:val="24"/>
          <w:szCs w:val="24"/>
          <w:rtl/>
          <w:lang w:val="en-US"/>
        </w:rPr>
        <w:t>ض</w:t>
      </w:r>
      <w:r w:rsidR="004D6FB3">
        <w:rPr>
          <w:rFonts w:ascii="Simplified Arabic" w:hAnsi="Simplified Arabic" w:cs="Simplified Arabic" w:hint="cs"/>
          <w:sz w:val="24"/>
          <w:szCs w:val="24"/>
          <w:rtl/>
          <w:lang w:val="en-US"/>
        </w:rPr>
        <w:t>ي</w:t>
      </w:r>
      <w:r w:rsidRPr="004B3B71">
        <w:rPr>
          <w:rFonts w:ascii="Simplified Arabic" w:hAnsi="Simplified Arabic" w:cs="Simplified Arabic" w:hint="cs"/>
          <w:sz w:val="24"/>
          <w:szCs w:val="24"/>
          <w:rtl/>
          <w:lang w:val="en-US"/>
        </w:rPr>
        <w:t xml:space="preserve"> ال</w:t>
      </w:r>
      <w:r>
        <w:rPr>
          <w:rFonts w:ascii="Simplified Arabic" w:hAnsi="Simplified Arabic" w:cs="Simplified Arabic" w:hint="cs"/>
          <w:sz w:val="24"/>
          <w:szCs w:val="24"/>
          <w:rtl/>
          <w:lang w:val="en-US"/>
        </w:rPr>
        <w:t>ت</w:t>
      </w:r>
      <w:r w:rsidRPr="004B3B71">
        <w:rPr>
          <w:rFonts w:ascii="Simplified Arabic" w:hAnsi="Simplified Arabic" w:cs="Simplified Arabic" w:hint="cs"/>
          <w:sz w:val="24"/>
          <w:szCs w:val="24"/>
          <w:rtl/>
          <w:lang w:val="en-US"/>
        </w:rPr>
        <w:t xml:space="preserve">ي </w:t>
      </w:r>
      <w:r>
        <w:rPr>
          <w:rFonts w:ascii="Simplified Arabic" w:hAnsi="Simplified Arabic" w:cs="Simplified Arabic" w:hint="cs"/>
          <w:sz w:val="24"/>
          <w:szCs w:val="24"/>
          <w:rtl/>
          <w:lang w:val="en-US"/>
        </w:rPr>
        <w:t>ت</w:t>
      </w:r>
      <w:r w:rsidRPr="004B3B71">
        <w:rPr>
          <w:rFonts w:ascii="Simplified Arabic" w:hAnsi="Simplified Arabic" w:cs="Simplified Arabic" w:hint="cs"/>
          <w:sz w:val="24"/>
          <w:szCs w:val="24"/>
          <w:rtl/>
          <w:lang w:val="en-US"/>
        </w:rPr>
        <w:t xml:space="preserve">توفر على </w:t>
      </w:r>
      <w:r>
        <w:rPr>
          <w:rFonts w:ascii="Simplified Arabic" w:hAnsi="Simplified Arabic" w:cs="Simplified Arabic" w:hint="cs"/>
          <w:sz w:val="24"/>
          <w:szCs w:val="24"/>
          <w:rtl/>
          <w:lang w:val="en-US"/>
        </w:rPr>
        <w:t>سمات</w:t>
      </w:r>
      <w:r w:rsidRPr="004B3B71">
        <w:rPr>
          <w:rFonts w:ascii="Simplified Arabic" w:hAnsi="Simplified Arabic" w:cs="Simplified Arabic" w:hint="cs"/>
          <w:sz w:val="24"/>
          <w:szCs w:val="24"/>
          <w:rtl/>
          <w:lang w:val="en-US"/>
        </w:rPr>
        <w:t xml:space="preserve"> المرونة </w:t>
      </w:r>
      <w:r>
        <w:rPr>
          <w:rFonts w:ascii="Simplified Arabic" w:hAnsi="Simplified Arabic" w:cs="Simplified Arabic" w:hint="cs"/>
          <w:sz w:val="24"/>
          <w:szCs w:val="24"/>
          <w:rtl/>
          <w:lang w:val="en-US"/>
        </w:rPr>
        <w:t xml:space="preserve">المكانية </w:t>
      </w:r>
      <w:r w:rsidRPr="004B3B71">
        <w:rPr>
          <w:rFonts w:ascii="Simplified Arabic" w:hAnsi="Simplified Arabic" w:cs="Simplified Arabic" w:hint="cs"/>
          <w:sz w:val="24"/>
          <w:szCs w:val="24"/>
          <w:rtl/>
          <w:lang w:val="en-US"/>
        </w:rPr>
        <w:t>(الكثافة، التنوع،</w:t>
      </w:r>
      <w:r>
        <w:rPr>
          <w:rFonts w:ascii="Simplified Arabic" w:hAnsi="Simplified Arabic" w:cs="Simplified Arabic" w:hint="cs"/>
          <w:sz w:val="24"/>
          <w:szCs w:val="24"/>
          <w:rtl/>
          <w:lang w:val="en-US"/>
        </w:rPr>
        <w:t xml:space="preserve"> التكرار </w:t>
      </w:r>
      <w:r w:rsidR="00C23656" w:rsidRPr="008E532E">
        <w:rPr>
          <w:rFonts w:ascii="Simplified Arabic" w:hAnsi="Simplified Arabic" w:cs="Simplified Arabic" w:hint="cs"/>
          <w:sz w:val="24"/>
          <w:szCs w:val="24"/>
          <w:rtl/>
          <w:lang w:bidi="ar-DZ"/>
        </w:rPr>
        <w:t>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Pr="004B3B71">
        <w:rPr>
          <w:rFonts w:ascii="Simplified Arabic" w:hAnsi="Simplified Arabic" w:cs="Simplified Arabic" w:hint="cs"/>
          <w:sz w:val="24"/>
          <w:szCs w:val="24"/>
          <w:rtl/>
          <w:lang w:val="en-US"/>
        </w:rPr>
        <w:t xml:space="preserve">) </w:t>
      </w:r>
      <w:r w:rsidRPr="0077044F">
        <w:rPr>
          <w:rFonts w:ascii="Simplified Arabic" w:hAnsi="Simplified Arabic" w:cs="Simplified Arabic" w:hint="cs"/>
          <w:sz w:val="24"/>
          <w:szCs w:val="24"/>
          <w:rtl/>
          <w:lang w:val="en-US"/>
        </w:rPr>
        <w:t xml:space="preserve">التي تدعم حقيقةً </w:t>
      </w:r>
      <w:r>
        <w:rPr>
          <w:rFonts w:ascii="Simplified Arabic" w:hAnsi="Simplified Arabic" w:cs="Simplified Arabic" w:hint="cs"/>
          <w:sz w:val="24"/>
          <w:szCs w:val="24"/>
          <w:rtl/>
          <w:lang w:val="en-US"/>
        </w:rPr>
        <w:t>ال</w:t>
      </w:r>
      <w:r w:rsidRPr="0077044F">
        <w:rPr>
          <w:rFonts w:ascii="Simplified Arabic" w:hAnsi="Simplified Arabic" w:cs="Simplified Arabic" w:hint="cs"/>
          <w:sz w:val="24"/>
          <w:szCs w:val="24"/>
          <w:rtl/>
          <w:lang w:val="en-US"/>
        </w:rPr>
        <w:t xml:space="preserve">قدرة </w:t>
      </w:r>
      <w:r>
        <w:rPr>
          <w:rFonts w:ascii="Simplified Arabic" w:hAnsi="Simplified Arabic" w:cs="Simplified Arabic" w:hint="cs"/>
          <w:sz w:val="24"/>
          <w:szCs w:val="24"/>
          <w:rtl/>
          <w:lang w:val="en-US"/>
        </w:rPr>
        <w:t>على</w:t>
      </w:r>
      <w:r w:rsidRPr="00C31848">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الاستجابة</w:t>
      </w:r>
      <w:r w:rsidRPr="0077044F">
        <w:rPr>
          <w:rFonts w:ascii="Simplified Arabic" w:hAnsi="Simplified Arabic" w:cs="Simplified Arabic" w:hint="cs"/>
          <w:sz w:val="24"/>
          <w:szCs w:val="24"/>
          <w:rtl/>
          <w:lang w:val="en-US"/>
        </w:rPr>
        <w:t xml:space="preserve"> المكاني</w:t>
      </w:r>
      <w:r>
        <w:rPr>
          <w:rFonts w:ascii="Simplified Arabic" w:hAnsi="Simplified Arabic" w:cs="Simplified Arabic" w:hint="cs"/>
          <w:sz w:val="24"/>
          <w:szCs w:val="24"/>
          <w:rtl/>
          <w:lang w:val="en-US"/>
        </w:rPr>
        <w:t>ة</w:t>
      </w:r>
      <w:r w:rsidRPr="0077044F">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لتلك العوامل، حيث يمكن </w:t>
      </w:r>
      <w:r w:rsidRPr="004B3B71">
        <w:rPr>
          <w:rFonts w:ascii="Simplified Arabic" w:hAnsi="Simplified Arabic" w:cs="Simplified Arabic" w:hint="cs"/>
          <w:sz w:val="24"/>
          <w:szCs w:val="24"/>
          <w:rtl/>
          <w:lang w:val="en-US"/>
        </w:rPr>
        <w:t xml:space="preserve">استنباط مبادئ </w:t>
      </w:r>
      <w:r>
        <w:rPr>
          <w:rFonts w:ascii="Simplified Arabic" w:hAnsi="Simplified Arabic" w:cs="Simplified Arabic" w:hint="cs"/>
          <w:sz w:val="24"/>
          <w:szCs w:val="24"/>
          <w:rtl/>
          <w:lang w:val="en-US"/>
        </w:rPr>
        <w:t>ال</w:t>
      </w:r>
      <w:r w:rsidRPr="004B3B71">
        <w:rPr>
          <w:rFonts w:ascii="Simplified Arabic" w:hAnsi="Simplified Arabic" w:cs="Simplified Arabic" w:hint="cs"/>
          <w:sz w:val="24"/>
          <w:szCs w:val="24"/>
          <w:rtl/>
          <w:lang w:val="en-US"/>
        </w:rPr>
        <w:t xml:space="preserve">تصميم </w:t>
      </w:r>
      <w:r>
        <w:rPr>
          <w:rFonts w:ascii="Simplified Arabic" w:hAnsi="Simplified Arabic" w:cs="Simplified Arabic" w:hint="cs"/>
          <w:sz w:val="24"/>
          <w:szCs w:val="24"/>
          <w:rtl/>
          <w:lang w:val="en-US"/>
        </w:rPr>
        <w:t xml:space="preserve">الحضري </w:t>
      </w:r>
      <w:r w:rsidRPr="004B3B71">
        <w:rPr>
          <w:rFonts w:ascii="Simplified Arabic" w:hAnsi="Simplified Arabic" w:cs="Simplified Arabic" w:hint="cs"/>
          <w:sz w:val="24"/>
          <w:szCs w:val="24"/>
          <w:rtl/>
          <w:lang w:val="en-US"/>
        </w:rPr>
        <w:t xml:space="preserve">لتحسين قدرة </w:t>
      </w:r>
      <w:r>
        <w:rPr>
          <w:rFonts w:ascii="Simplified Arabic" w:hAnsi="Simplified Arabic" w:cs="Simplified Arabic" w:hint="cs"/>
          <w:sz w:val="24"/>
          <w:szCs w:val="24"/>
          <w:rtl/>
          <w:lang w:val="en-US"/>
        </w:rPr>
        <w:t>المدن على</w:t>
      </w:r>
      <w:r w:rsidRPr="00C31848">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ال</w:t>
      </w:r>
      <w:r w:rsidRPr="004B3B71">
        <w:rPr>
          <w:rFonts w:ascii="Simplified Arabic" w:hAnsi="Simplified Arabic" w:cs="Simplified Arabic" w:hint="cs"/>
          <w:sz w:val="24"/>
          <w:szCs w:val="24"/>
          <w:rtl/>
          <w:lang w:val="en-US"/>
        </w:rPr>
        <w:t>استجابة.</w:t>
      </w:r>
    </w:p>
    <w:p w:rsidR="00C121B0" w:rsidRPr="00E11355" w:rsidRDefault="00C121B0" w:rsidP="001D0548">
      <w:pPr>
        <w:pStyle w:val="Paragraphedeliste"/>
        <w:numPr>
          <w:ilvl w:val="1"/>
          <w:numId w:val="216"/>
        </w:numPr>
        <w:tabs>
          <w:tab w:val="right" w:pos="567"/>
        </w:tabs>
        <w:bidi/>
        <w:spacing w:before="240" w:after="0"/>
        <w:ind w:left="0" w:firstLine="0"/>
        <w:jc w:val="both"/>
        <w:outlineLvl w:val="0"/>
        <w:rPr>
          <w:rFonts w:ascii="Simplified Arabic" w:hAnsi="Simplified Arabic" w:cs="Simplified Arabic"/>
          <w:b/>
          <w:bCs/>
          <w:sz w:val="24"/>
          <w:szCs w:val="24"/>
          <w:rtl/>
          <w:lang w:val="en-US"/>
        </w:rPr>
      </w:pPr>
      <w:bookmarkStart w:id="604" w:name="_Toc171803641"/>
      <w:r w:rsidRPr="00E11355">
        <w:rPr>
          <w:rFonts w:ascii="Simplified Arabic" w:hAnsi="Simplified Arabic" w:cs="Simplified Arabic" w:hint="cs"/>
          <w:b/>
          <w:bCs/>
          <w:sz w:val="24"/>
          <w:szCs w:val="24"/>
          <w:rtl/>
          <w:lang w:val="en-US"/>
        </w:rPr>
        <w:t>مكونات المرونة الحضرية لمدينة بوسعادة</w:t>
      </w:r>
      <w:bookmarkEnd w:id="604"/>
    </w:p>
    <w:p w:rsidR="00C121B0" w:rsidRDefault="00C121B0" w:rsidP="00775E11">
      <w:pPr>
        <w:tabs>
          <w:tab w:val="right" w:pos="282"/>
        </w:tabs>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ضمن</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(الفصل 2)، </w:t>
      </w:r>
      <w:r w:rsidRPr="00A1082D">
        <w:rPr>
          <w:rFonts w:ascii="Simplified Arabic" w:hAnsi="Simplified Arabic" w:cs="Simplified Arabic" w:hint="cs"/>
          <w:sz w:val="24"/>
          <w:szCs w:val="24"/>
          <w:rtl/>
          <w:lang w:val="en-US"/>
        </w:rPr>
        <w:t>تم</w:t>
      </w:r>
      <w:r w:rsidR="00775E11">
        <w:rPr>
          <w:rFonts w:ascii="Simplified Arabic" w:hAnsi="Simplified Arabic" w:cs="Simplified Arabic" w:hint="cs"/>
          <w:sz w:val="24"/>
          <w:szCs w:val="24"/>
          <w:rtl/>
          <w:lang w:val="en-US"/>
        </w:rPr>
        <w:t xml:space="preserve"> </w:t>
      </w:r>
      <w:r w:rsidRPr="00A1082D">
        <w:rPr>
          <w:rFonts w:ascii="Simplified Arabic" w:hAnsi="Simplified Arabic" w:cs="Simplified Arabic" w:hint="cs"/>
          <w:sz w:val="24"/>
          <w:szCs w:val="24"/>
          <w:rtl/>
          <w:lang w:val="en-US"/>
        </w:rPr>
        <w:t>ت</w:t>
      </w:r>
      <w:r w:rsidR="00775E11">
        <w:rPr>
          <w:rFonts w:ascii="Simplified Arabic" w:hAnsi="Simplified Arabic" w:cs="Simplified Arabic" w:hint="cs"/>
          <w:sz w:val="24"/>
          <w:szCs w:val="24"/>
          <w:rtl/>
          <w:lang w:val="en-US"/>
        </w:rPr>
        <w:t>حليل</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العديد</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من</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المناهج</w:t>
      </w:r>
      <w:r>
        <w:rPr>
          <w:rFonts w:ascii="Simplified Arabic" w:hAnsi="Simplified Arabic" w:cs="Simplified Arabic" w:hint="cs"/>
          <w:sz w:val="24"/>
          <w:szCs w:val="24"/>
          <w:rtl/>
          <w:lang w:val="en-US"/>
        </w:rPr>
        <w:t xml:space="preserve"> والاطر والنماذج </w:t>
      </w:r>
      <w:r w:rsidRPr="00A1082D">
        <w:rPr>
          <w:rFonts w:ascii="Simplified Arabic" w:hAnsi="Simplified Arabic" w:cs="Simplified Arabic" w:hint="cs"/>
          <w:sz w:val="24"/>
          <w:szCs w:val="24"/>
          <w:rtl/>
          <w:lang w:val="en-US"/>
        </w:rPr>
        <w:t>المختلفة</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للمرونة</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لتحديد</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تطو</w:t>
      </w:r>
      <w:r>
        <w:rPr>
          <w:rFonts w:ascii="Simplified Arabic" w:hAnsi="Simplified Arabic" w:cs="Simplified Arabic" w:hint="cs"/>
          <w:sz w:val="24"/>
          <w:szCs w:val="24"/>
          <w:rtl/>
          <w:lang w:val="en-US"/>
        </w:rPr>
        <w:t>ّ</w:t>
      </w:r>
      <w:r w:rsidRPr="00A1082D">
        <w:rPr>
          <w:rFonts w:ascii="Simplified Arabic" w:hAnsi="Simplified Arabic" w:cs="Simplified Arabic" w:hint="cs"/>
          <w:sz w:val="24"/>
          <w:szCs w:val="24"/>
          <w:rtl/>
          <w:lang w:val="en-US"/>
        </w:rPr>
        <w:t>ر</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المفهوم</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وتعقيد</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دلالاته</w:t>
      </w:r>
      <w:r>
        <w:rPr>
          <w:rFonts w:ascii="Simplified Arabic" w:hAnsi="Simplified Arabic" w:cs="Simplified Arabic" w:hint="cs"/>
          <w:sz w:val="24"/>
          <w:szCs w:val="24"/>
          <w:rtl/>
          <w:lang w:val="en-US"/>
        </w:rPr>
        <w:t xml:space="preserve"> وصعوبة ايجاد تعريف موحد</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من</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الأهمية</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بمكان</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ان </w:t>
      </w:r>
      <w:r w:rsidRPr="00A1082D">
        <w:rPr>
          <w:rFonts w:ascii="Simplified Arabic" w:hAnsi="Simplified Arabic" w:cs="Simplified Arabic" w:hint="cs"/>
          <w:sz w:val="24"/>
          <w:szCs w:val="24"/>
          <w:rtl/>
          <w:lang w:val="en-US"/>
        </w:rPr>
        <w:t>كل</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بحث</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ي</w:t>
      </w:r>
      <w:r>
        <w:rPr>
          <w:rFonts w:ascii="Simplified Arabic" w:hAnsi="Simplified Arabic" w:cs="Simplified Arabic" w:hint="cs"/>
          <w:sz w:val="24"/>
          <w:szCs w:val="24"/>
          <w:rtl/>
          <w:lang w:val="en-US"/>
        </w:rPr>
        <w:t>قوم على مفهوم ال</w:t>
      </w:r>
      <w:r w:rsidRPr="00A1082D">
        <w:rPr>
          <w:rFonts w:ascii="Simplified Arabic" w:hAnsi="Simplified Arabic" w:cs="Simplified Arabic" w:hint="cs"/>
          <w:sz w:val="24"/>
          <w:szCs w:val="24"/>
          <w:rtl/>
          <w:lang w:val="en-US"/>
        </w:rPr>
        <w:t>مرونة</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أن</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يحدد</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بوضوح</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مقاربته</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بشأن</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المفهوم،</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وتعريفه</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لها</w:t>
      </w:r>
      <w:r w:rsidRPr="00A1082D">
        <w:rPr>
          <w:rFonts w:ascii="Simplified Arabic" w:hAnsi="Simplified Arabic" w:cs="Simplified Arabic" w:hint="cs"/>
          <w:sz w:val="24"/>
          <w:szCs w:val="24"/>
          <w:rtl/>
          <w:lang w:val="en-US"/>
        </w:rPr>
        <w:t>،</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 xml:space="preserve">ان يحدد </w:t>
      </w:r>
      <w:r w:rsidRPr="00A1082D">
        <w:rPr>
          <w:rFonts w:ascii="Simplified Arabic" w:hAnsi="Simplified Arabic" w:cs="Simplified Arabic" w:hint="cs"/>
          <w:sz w:val="24"/>
          <w:szCs w:val="24"/>
          <w:rtl/>
          <w:lang w:val="en-US"/>
        </w:rPr>
        <w:t>إطار</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تحليل</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المرونة </w:t>
      </w:r>
      <w:r w:rsidRPr="00A1082D">
        <w:rPr>
          <w:rFonts w:ascii="Simplified Arabic" w:hAnsi="Simplified Arabic" w:cs="Simplified Arabic" w:hint="cs"/>
          <w:sz w:val="24"/>
          <w:szCs w:val="24"/>
          <w:rtl/>
          <w:lang w:val="en-US"/>
        </w:rPr>
        <w:t>الخاص</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به</w:t>
      </w:r>
      <w:r w:rsidRPr="00A1082D">
        <w:rPr>
          <w:rFonts w:ascii="Simplified Arabic" w:hAnsi="Simplified Arabic" w:cs="Simplified Arabic"/>
          <w:sz w:val="24"/>
          <w:szCs w:val="24"/>
          <w:rtl/>
          <w:lang w:val="en-US"/>
        </w:rPr>
        <w:t xml:space="preserve">. </w:t>
      </w:r>
    </w:p>
    <w:p w:rsidR="00C121B0" w:rsidRDefault="00C121B0" w:rsidP="00C121B0">
      <w:pPr>
        <w:tabs>
          <w:tab w:val="right" w:pos="282"/>
        </w:tabs>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يشتمل</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اي</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إطار</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على </w:t>
      </w:r>
      <w:r w:rsidRPr="00A1082D">
        <w:rPr>
          <w:rFonts w:ascii="Simplified Arabic" w:hAnsi="Simplified Arabic" w:cs="Simplified Arabic" w:hint="cs"/>
          <w:sz w:val="24"/>
          <w:szCs w:val="24"/>
          <w:rtl/>
          <w:lang w:val="en-US"/>
        </w:rPr>
        <w:t>المكونات</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المختلفة</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للمرونة</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والبعد</w:t>
      </w:r>
      <w:r>
        <w:rPr>
          <w:rFonts w:ascii="Simplified Arabic" w:hAnsi="Simplified Arabic" w:cs="Simplified Arabic" w:hint="cs"/>
          <w:sz w:val="24"/>
          <w:szCs w:val="24"/>
          <w:rtl/>
          <w:lang w:val="en-US"/>
        </w:rPr>
        <w:t>ين</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المكاني</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والزماني</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لها، </w:t>
      </w:r>
      <w:r w:rsidRPr="00A1082D">
        <w:rPr>
          <w:rFonts w:ascii="Simplified Arabic" w:hAnsi="Simplified Arabic" w:cs="Simplified Arabic" w:hint="cs"/>
          <w:sz w:val="24"/>
          <w:szCs w:val="24"/>
          <w:rtl/>
          <w:lang w:val="en-US"/>
        </w:rPr>
        <w:t>التي</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ي</w:t>
      </w:r>
      <w:r>
        <w:rPr>
          <w:rFonts w:ascii="Simplified Arabic" w:hAnsi="Simplified Arabic" w:cs="Simplified Arabic" w:hint="cs"/>
          <w:sz w:val="24"/>
          <w:szCs w:val="24"/>
          <w:rtl/>
          <w:lang w:val="en-US"/>
        </w:rPr>
        <w:t>قوم أي باحث</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w:t>
      </w:r>
      <w:r w:rsidRPr="00A1082D">
        <w:rPr>
          <w:rFonts w:ascii="Simplified Arabic" w:hAnsi="Simplified Arabic" w:cs="Simplified Arabic" w:hint="cs"/>
          <w:sz w:val="24"/>
          <w:szCs w:val="24"/>
          <w:rtl/>
          <w:lang w:val="en-US"/>
        </w:rPr>
        <w:t>استكشافها</w:t>
      </w:r>
      <w:r>
        <w:rPr>
          <w:rFonts w:ascii="Simplified Arabic" w:hAnsi="Simplified Arabic" w:cs="Simplified Arabic" w:hint="cs"/>
          <w:sz w:val="24"/>
          <w:szCs w:val="24"/>
          <w:rtl/>
          <w:lang w:val="en-US"/>
        </w:rPr>
        <w:t>، مثلما تم مناقشة ذلك في (الفصل 1)</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هذا</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مهم</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بشكل</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خاص</w:t>
      </w:r>
      <w:r>
        <w:rPr>
          <w:rFonts w:ascii="Simplified Arabic" w:hAnsi="Simplified Arabic" w:cs="Simplified Arabic" w:hint="cs"/>
          <w:sz w:val="24"/>
          <w:szCs w:val="24"/>
          <w:rtl/>
          <w:lang w:val="en-US"/>
        </w:rPr>
        <w:t>،</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حيث</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أن</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إطار</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w:t>
      </w:r>
      <w:r w:rsidRPr="00A1082D">
        <w:rPr>
          <w:rFonts w:ascii="Simplified Arabic" w:hAnsi="Simplified Arabic" w:cs="Simplified Arabic" w:hint="cs"/>
          <w:sz w:val="24"/>
          <w:szCs w:val="24"/>
          <w:rtl/>
          <w:lang w:val="en-US"/>
        </w:rPr>
        <w:t>حليل</w:t>
      </w:r>
      <w:r>
        <w:rPr>
          <w:rFonts w:ascii="Simplified Arabic" w:hAnsi="Simplified Arabic" w:cs="Simplified Arabic" w:hint="cs"/>
          <w:sz w:val="24"/>
          <w:szCs w:val="24"/>
          <w:rtl/>
          <w:lang w:val="en-US"/>
        </w:rPr>
        <w:t xml:space="preserve">ها </w:t>
      </w:r>
      <w:r w:rsidRPr="00A1082D">
        <w:rPr>
          <w:rFonts w:ascii="Simplified Arabic" w:hAnsi="Simplified Arabic" w:cs="Simplified Arabic" w:hint="cs"/>
          <w:sz w:val="24"/>
          <w:szCs w:val="24"/>
          <w:rtl/>
          <w:lang w:val="en-US"/>
        </w:rPr>
        <w:t>هو</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الأساس</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الذي</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سيتم</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على اساسه </w:t>
      </w:r>
      <w:r w:rsidRPr="00A1082D">
        <w:rPr>
          <w:rFonts w:ascii="Simplified Arabic" w:hAnsi="Simplified Arabic" w:cs="Simplified Arabic" w:hint="cs"/>
          <w:sz w:val="24"/>
          <w:szCs w:val="24"/>
          <w:rtl/>
          <w:lang w:val="en-US"/>
        </w:rPr>
        <w:t>بناء</w:t>
      </w:r>
      <w:r w:rsidRPr="00A1082D">
        <w:rPr>
          <w:rFonts w:ascii="Simplified Arabic" w:hAnsi="Simplified Arabic" w:cs="Simplified Arabic"/>
          <w:sz w:val="24"/>
          <w:szCs w:val="24"/>
          <w:rtl/>
          <w:lang w:val="en-US"/>
        </w:rPr>
        <w:t xml:space="preserve"> </w:t>
      </w:r>
      <w:r w:rsidRPr="00A1082D">
        <w:rPr>
          <w:rFonts w:ascii="Simplified Arabic" w:hAnsi="Simplified Arabic" w:cs="Simplified Arabic" w:hint="cs"/>
          <w:sz w:val="24"/>
          <w:szCs w:val="24"/>
          <w:rtl/>
          <w:lang w:val="en-US"/>
        </w:rPr>
        <w:t>مؤشرات</w:t>
      </w:r>
      <w:r w:rsidRPr="00A108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مكانية كمية</w:t>
      </w:r>
      <w:r w:rsidRPr="00905E08">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ومنه تفعيلها</w:t>
      </w:r>
      <w:r w:rsidRPr="00A1082D">
        <w:rPr>
          <w:rFonts w:ascii="Simplified Arabic" w:hAnsi="Simplified Arabic" w:cs="Simplified Arabic"/>
          <w:sz w:val="24"/>
          <w:szCs w:val="24"/>
          <w:rtl/>
          <w:lang w:val="en-US"/>
        </w:rPr>
        <w:t xml:space="preserve">. </w:t>
      </w:r>
    </w:p>
    <w:p w:rsidR="00C121B0" w:rsidRDefault="00C121B0" w:rsidP="004D6FB3">
      <w:pPr>
        <w:tabs>
          <w:tab w:val="right" w:pos="282"/>
        </w:tabs>
        <w:bidi/>
        <w:spacing w:after="0"/>
        <w:ind w:firstLine="283"/>
        <w:jc w:val="both"/>
        <w:rPr>
          <w:rFonts w:ascii="Simplified Arabic" w:hAnsi="Simplified Arabic" w:cs="Simplified Arabic"/>
          <w:sz w:val="24"/>
          <w:szCs w:val="24"/>
          <w:rtl/>
          <w:lang w:val="en-US"/>
        </w:rPr>
      </w:pPr>
      <w:r w:rsidRPr="00C94ED5">
        <w:rPr>
          <w:rFonts w:ascii="Simplified Arabic" w:hAnsi="Simplified Arabic" w:cs="Simplified Arabic" w:hint="cs"/>
          <w:sz w:val="24"/>
          <w:szCs w:val="24"/>
          <w:rtl/>
          <w:lang w:val="en-US"/>
        </w:rPr>
        <w:t>بالنظر</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إلى</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أن</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البحث</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حول</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المرونة</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لا</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يزال</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في</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خطواته</w:t>
      </w:r>
      <w:r w:rsidRPr="00C94ED5">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الأولى</w:t>
      </w:r>
      <w:r w:rsidRPr="00C94ED5">
        <w:rPr>
          <w:rFonts w:ascii="Simplified Arabic" w:hAnsi="Simplified Arabic" w:cs="Simplified Arabic" w:hint="cs"/>
          <w:sz w:val="24"/>
          <w:szCs w:val="24"/>
          <w:rtl/>
          <w:lang w:val="en-US"/>
        </w:rPr>
        <w:t>،</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فإن</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الدراسات</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التطبيقية</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مثل</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البحث</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الحالي</w:t>
      </w:r>
      <w:r>
        <w:rPr>
          <w:rFonts w:ascii="Simplified Arabic" w:hAnsi="Simplified Arabic" w:cs="Simplified Arabic" w:hint="cs"/>
          <w:sz w:val="24"/>
          <w:szCs w:val="24"/>
          <w:rtl/>
          <w:lang w:val="en-US"/>
        </w:rPr>
        <w:t>،</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ضرورية</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لتحسين</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فهم</w:t>
      </w:r>
      <w:r w:rsidRPr="00C94ED5">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العلاقة بين </w:t>
      </w:r>
      <w:r w:rsidR="004D6FB3">
        <w:rPr>
          <w:rFonts w:ascii="Simplified Arabic" w:hAnsi="Simplified Arabic" w:cs="Simplified Arabic" w:hint="cs"/>
          <w:sz w:val="24"/>
          <w:szCs w:val="24"/>
          <w:rtl/>
        </w:rPr>
        <w:t>استعمال</w:t>
      </w:r>
      <w:r>
        <w:rPr>
          <w:rFonts w:ascii="Simplified Arabic" w:hAnsi="Simplified Arabic" w:cs="Simplified Arabic" w:hint="cs"/>
          <w:sz w:val="24"/>
          <w:szCs w:val="24"/>
          <w:rtl/>
          <w:lang w:val="en-US"/>
        </w:rPr>
        <w:t xml:space="preserve"> الارض الحضرية والمرونة الحضرية</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الأهم</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من</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ذلك،</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من</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الضروري</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توفير</w:t>
      </w:r>
      <w:r w:rsidRPr="00C94ED5">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الاجراءات</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التي</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يسهل</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تحقيقها</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وتطبيقها</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في</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عملية</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صنع</w:t>
      </w:r>
      <w:r w:rsidRPr="00C94ED5">
        <w:rPr>
          <w:rFonts w:ascii="Simplified Arabic" w:hAnsi="Simplified Arabic" w:cs="Simplified Arabic"/>
          <w:sz w:val="24"/>
          <w:szCs w:val="24"/>
          <w:rtl/>
          <w:lang w:val="en-US"/>
        </w:rPr>
        <w:t xml:space="preserve"> </w:t>
      </w:r>
      <w:r w:rsidRPr="00C94ED5">
        <w:rPr>
          <w:rFonts w:ascii="Simplified Arabic" w:hAnsi="Simplified Arabic" w:cs="Simplified Arabic" w:hint="cs"/>
          <w:sz w:val="24"/>
          <w:szCs w:val="24"/>
          <w:rtl/>
          <w:lang w:val="en-US"/>
        </w:rPr>
        <w:t>القرار</w:t>
      </w:r>
      <w:r>
        <w:rPr>
          <w:rFonts w:ascii="Simplified Arabic" w:hAnsi="Simplified Arabic" w:cs="Simplified Arabic" w:hint="cs"/>
          <w:sz w:val="24"/>
          <w:szCs w:val="24"/>
          <w:rtl/>
          <w:lang w:val="en-US"/>
        </w:rPr>
        <w:t xml:space="preserve"> مثلا، التخطيط و التصميم الحضريين.</w:t>
      </w:r>
    </w:p>
    <w:p w:rsidR="007E2476" w:rsidRDefault="00C121B0" w:rsidP="0040455E">
      <w:pPr>
        <w:tabs>
          <w:tab w:val="right" w:pos="282"/>
        </w:tabs>
        <w:bidi/>
        <w:spacing w:after="0"/>
        <w:ind w:firstLine="283"/>
        <w:jc w:val="both"/>
        <w:rPr>
          <w:rFonts w:ascii="Simplified Arabic" w:hAnsi="Simplified Arabic" w:cs="Simplified Arabic"/>
          <w:sz w:val="24"/>
          <w:szCs w:val="24"/>
          <w:rtl/>
          <w:lang w:val="en-US"/>
        </w:rPr>
      </w:pPr>
      <w:r w:rsidRPr="00AB1F18">
        <w:rPr>
          <w:rFonts w:ascii="Simplified Arabic" w:hAnsi="Simplified Arabic" w:cs="Simplified Arabic" w:hint="cs"/>
          <w:sz w:val="24"/>
          <w:szCs w:val="24"/>
          <w:rtl/>
          <w:lang w:val="en-US"/>
        </w:rPr>
        <w:t>من</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بين</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المكونات</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الخمسة</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الرئيسية</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للمرونة</w:t>
      </w:r>
      <w:r w:rsidR="00033C3C">
        <w:rPr>
          <w:rFonts w:ascii="Simplified Arabic" w:hAnsi="Simplified Arabic" w:cs="Simplified Arabic" w:hint="cs"/>
          <w:sz w:val="24"/>
          <w:szCs w:val="24"/>
          <w:rtl/>
          <w:lang w:val="en-US"/>
        </w:rPr>
        <w:t xml:space="preserve">، الشكل (1-5) </w:t>
      </w:r>
      <w:r>
        <w:rPr>
          <w:rFonts w:ascii="Simplified Arabic" w:hAnsi="Simplified Arabic" w:cs="Simplified Arabic" w:hint="cs"/>
          <w:sz w:val="24"/>
          <w:szCs w:val="24"/>
          <w:rtl/>
          <w:lang w:val="en-US"/>
        </w:rPr>
        <w:t>التي تم مناقشتها في</w:t>
      </w:r>
      <w:r w:rsidRPr="00AB1F18">
        <w:rPr>
          <w:rFonts w:ascii="Simplified Arabic" w:hAnsi="Simplified Arabic" w:cs="Simplified Arabic" w:hint="cs"/>
          <w:sz w:val="24"/>
          <w:szCs w:val="24"/>
          <w:rtl/>
          <w:lang w:val="en-US"/>
        </w:rPr>
        <w:t xml:space="preserve"> </w:t>
      </w:r>
      <w:r w:rsidRPr="00A1082D">
        <w:rPr>
          <w:rFonts w:ascii="Simplified Arabic" w:hAnsi="Simplified Arabic" w:cs="Simplified Arabic"/>
          <w:sz w:val="24"/>
          <w:szCs w:val="24"/>
          <w:rtl/>
          <w:lang w:val="en-US"/>
        </w:rPr>
        <w:t>(</w:t>
      </w:r>
      <w:r w:rsidRPr="00A1082D">
        <w:rPr>
          <w:rFonts w:ascii="Simplified Arabic" w:hAnsi="Simplified Arabic" w:cs="Simplified Arabic" w:hint="cs"/>
          <w:sz w:val="24"/>
          <w:szCs w:val="24"/>
          <w:rtl/>
          <w:lang w:val="en-US"/>
        </w:rPr>
        <w:t>الفصل</w:t>
      </w:r>
      <w:r>
        <w:rPr>
          <w:rFonts w:ascii="Simplified Arabic" w:hAnsi="Simplified Arabic" w:cs="Simplified Arabic" w:hint="cs"/>
          <w:sz w:val="24"/>
          <w:szCs w:val="24"/>
          <w:rtl/>
          <w:lang w:val="en-US"/>
        </w:rPr>
        <w:t>1)</w:t>
      </w:r>
      <w:r w:rsidRPr="00AB1F18">
        <w:rPr>
          <w:rFonts w:ascii="Simplified Arabic" w:hAnsi="Simplified Arabic" w:cs="Simplified Arabic" w:hint="cs"/>
          <w:sz w:val="24"/>
          <w:szCs w:val="24"/>
          <w:rtl/>
          <w:lang w:val="en-US"/>
        </w:rPr>
        <w:t>،</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ربما</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يكون</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المكون</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الفيزيائي</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هو</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الأقل</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دراسة</w:t>
      </w:r>
      <w:r w:rsidRPr="00AB1F18">
        <w:rPr>
          <w:rFonts w:ascii="Simplified Arabic" w:hAnsi="Simplified Arabic" w:cs="Simplified Arabic"/>
          <w:sz w:val="24"/>
          <w:szCs w:val="24"/>
          <w:rtl/>
          <w:lang w:val="en-US"/>
        </w:rPr>
        <w:t xml:space="preserve"> </w:t>
      </w:r>
      <w:r w:rsidRPr="00AB1F18">
        <w:rPr>
          <w:rFonts w:ascii="Simplified Arabic" w:hAnsi="Simplified Arabic" w:cs="Simplified Arabic" w:hint="cs"/>
          <w:sz w:val="24"/>
          <w:szCs w:val="24"/>
          <w:rtl/>
          <w:lang w:val="en-US"/>
        </w:rPr>
        <w:t>في</w:t>
      </w:r>
      <w:r w:rsidRPr="00AB1F18">
        <w:rPr>
          <w:rFonts w:ascii="Simplified Arabic" w:hAnsi="Simplified Arabic" w:cs="Simplified Arabic"/>
          <w:sz w:val="24"/>
          <w:szCs w:val="24"/>
          <w:rtl/>
          <w:lang w:val="en-US"/>
        </w:rPr>
        <w:t xml:space="preserve"> </w:t>
      </w:r>
      <w:r w:rsidR="0040455E">
        <w:rPr>
          <w:rFonts w:ascii="Simplified Arabic" w:hAnsi="Simplified Arabic" w:cs="Simplified Arabic" w:hint="cs"/>
          <w:sz w:val="24"/>
          <w:szCs w:val="24"/>
          <w:rtl/>
          <w:lang w:val="en-US"/>
        </w:rPr>
        <w:t>الابحاث</w:t>
      </w:r>
      <w:r>
        <w:rPr>
          <w:rFonts w:ascii="Simplified Arabic" w:hAnsi="Simplified Arabic" w:cs="Simplified Arabic" w:hint="cs"/>
          <w:sz w:val="24"/>
          <w:szCs w:val="24"/>
          <w:rtl/>
          <w:lang w:val="en-US"/>
        </w:rPr>
        <w:t xml:space="preserve">. </w:t>
      </w:r>
    </w:p>
    <w:p w:rsidR="00C121B0" w:rsidRDefault="00C121B0" w:rsidP="008E533E">
      <w:pPr>
        <w:tabs>
          <w:tab w:val="right" w:pos="282"/>
        </w:tabs>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في البحث الحالي، تم دراسة المكون الفيزيائي</w:t>
      </w:r>
      <w:r w:rsidRPr="00F71C16">
        <w:rPr>
          <w:rFonts w:ascii="Simplified Arabic" w:hAnsi="Simplified Arabic" w:cs="Simplified Arabic" w:hint="cs"/>
          <w:sz w:val="24"/>
          <w:szCs w:val="24"/>
          <w:rtl/>
          <w:lang w:val="en-US"/>
        </w:rPr>
        <w:t xml:space="preserve"> </w:t>
      </w:r>
      <w:r w:rsidR="00033C3C">
        <w:rPr>
          <w:rFonts w:ascii="Simplified Arabic" w:hAnsi="Simplified Arabic" w:cs="Simplified Arabic" w:hint="cs"/>
          <w:sz w:val="24"/>
          <w:szCs w:val="24"/>
          <w:rtl/>
          <w:lang w:val="en-US"/>
        </w:rPr>
        <w:t xml:space="preserve">(فئة البيئة </w:t>
      </w:r>
      <w:r w:rsidR="008E533E">
        <w:rPr>
          <w:rFonts w:ascii="Simplified Arabic" w:hAnsi="Simplified Arabic" w:cs="Simplified Arabic" w:hint="cs"/>
          <w:sz w:val="24"/>
          <w:szCs w:val="24"/>
          <w:rtl/>
          <w:lang w:val="en-US"/>
        </w:rPr>
        <w:t>الحضرية</w:t>
      </w:r>
      <w:r w:rsidR="00033C3C">
        <w:rPr>
          <w:rFonts w:ascii="Simplified Arabic" w:hAnsi="Simplified Arabic" w:cs="Simplified Arabic" w:hint="cs"/>
          <w:sz w:val="24"/>
          <w:szCs w:val="24"/>
          <w:rtl/>
          <w:lang w:val="en-US"/>
        </w:rPr>
        <w:t xml:space="preserve">) </w:t>
      </w:r>
      <w:r w:rsidRPr="00F71C16">
        <w:rPr>
          <w:rFonts w:ascii="Simplified Arabic" w:hAnsi="Simplified Arabic" w:cs="Simplified Arabic" w:hint="cs"/>
          <w:sz w:val="24"/>
          <w:szCs w:val="24"/>
          <w:rtl/>
          <w:lang w:val="en-US"/>
        </w:rPr>
        <w:t>ال</w:t>
      </w:r>
      <w:r w:rsidR="00033C3C">
        <w:rPr>
          <w:rFonts w:ascii="Simplified Arabic" w:hAnsi="Simplified Arabic" w:cs="Simplified Arabic" w:hint="cs"/>
          <w:sz w:val="24"/>
          <w:szCs w:val="24"/>
          <w:rtl/>
          <w:lang w:val="en-US"/>
        </w:rPr>
        <w:t>ذ</w:t>
      </w:r>
      <w:r w:rsidRPr="00F71C16">
        <w:rPr>
          <w:rFonts w:ascii="Simplified Arabic" w:hAnsi="Simplified Arabic" w:cs="Simplified Arabic" w:hint="cs"/>
          <w:sz w:val="24"/>
          <w:szCs w:val="24"/>
          <w:rtl/>
          <w:lang w:val="en-US"/>
        </w:rPr>
        <w:t>ي</w:t>
      </w:r>
      <w:r w:rsidRPr="00F71C16">
        <w:rPr>
          <w:rFonts w:ascii="Simplified Arabic" w:hAnsi="Simplified Arabic" w:cs="Simplified Arabic"/>
          <w:sz w:val="24"/>
          <w:szCs w:val="24"/>
          <w:rtl/>
          <w:lang w:val="en-US"/>
        </w:rPr>
        <w:t xml:space="preserve"> </w:t>
      </w:r>
      <w:r w:rsidR="00033C3C">
        <w:rPr>
          <w:rFonts w:ascii="Simplified Arabic" w:hAnsi="Simplified Arabic" w:cs="Simplified Arabic" w:hint="cs"/>
          <w:sz w:val="24"/>
          <w:szCs w:val="24"/>
          <w:rtl/>
          <w:lang w:val="en-US"/>
        </w:rPr>
        <w:t>ي</w:t>
      </w:r>
      <w:r w:rsidRPr="00F71C16">
        <w:rPr>
          <w:rFonts w:ascii="Simplified Arabic" w:hAnsi="Simplified Arabic" w:cs="Simplified Arabic" w:hint="cs"/>
          <w:sz w:val="24"/>
          <w:szCs w:val="24"/>
          <w:rtl/>
          <w:lang w:val="en-US"/>
        </w:rPr>
        <w:t>عتبر</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بالغ</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الأهمية</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لتقييم</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المرونة</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في</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منطقة</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حضرية</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معرضة</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للفيضانات</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مثل</w:t>
      </w:r>
      <w:r w:rsidRPr="00F71C16">
        <w:rPr>
          <w:rFonts w:ascii="Simplified Arabic" w:hAnsi="Simplified Arabic" w:cs="Simplified Arabic"/>
          <w:sz w:val="24"/>
          <w:szCs w:val="24"/>
          <w:rtl/>
          <w:lang w:val="en-US"/>
        </w:rPr>
        <w:t xml:space="preserve"> </w:t>
      </w:r>
      <w:r w:rsidRPr="00F71C16">
        <w:rPr>
          <w:rFonts w:ascii="Simplified Arabic" w:hAnsi="Simplified Arabic" w:cs="Simplified Arabic" w:hint="cs"/>
          <w:sz w:val="24"/>
          <w:szCs w:val="24"/>
          <w:rtl/>
          <w:lang w:val="en-US"/>
        </w:rPr>
        <w:t>مدينة بوسعادة</w:t>
      </w:r>
      <w:r w:rsidRPr="00AB1F18">
        <w:rPr>
          <w:rFonts w:ascii="Simplified Arabic" w:hAnsi="Simplified Arabic" w:cs="Simplified Arabic"/>
          <w:sz w:val="24"/>
          <w:szCs w:val="24"/>
          <w:rtl/>
          <w:lang w:val="en-US"/>
        </w:rPr>
        <w:t xml:space="preserve">. </w:t>
      </w:r>
    </w:p>
    <w:p w:rsidR="00C121B0" w:rsidRDefault="00C121B0" w:rsidP="00C62080">
      <w:pPr>
        <w:tabs>
          <w:tab w:val="right" w:pos="282"/>
        </w:tabs>
        <w:bidi/>
        <w:spacing w:after="0"/>
        <w:ind w:firstLine="283"/>
        <w:jc w:val="both"/>
        <w:rPr>
          <w:rFonts w:ascii="Simplified Arabic" w:hAnsi="Simplified Arabic" w:cs="Simplified Arabic"/>
          <w:sz w:val="24"/>
          <w:szCs w:val="24"/>
          <w:rtl/>
          <w:lang w:val="en-US"/>
        </w:rPr>
      </w:pPr>
      <w:r w:rsidRPr="00905E08">
        <w:rPr>
          <w:rFonts w:ascii="Simplified Arabic" w:hAnsi="Simplified Arabic" w:cs="Simplified Arabic" w:hint="cs"/>
          <w:sz w:val="24"/>
          <w:szCs w:val="24"/>
          <w:rtl/>
          <w:lang w:val="en-US"/>
        </w:rPr>
        <w:t>استنادًا</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إلى</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التعريف</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المشترك</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للمرونة،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يمكن</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تعريف</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المرونة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على</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أنها</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''قدرة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البيئة</w:t>
      </w:r>
      <w:r w:rsidRPr="00905E08">
        <w:rPr>
          <w:rFonts w:ascii="Simplified Arabic" w:hAnsi="Simplified Arabic" w:cs="Simplified Arabic"/>
          <w:sz w:val="24"/>
          <w:szCs w:val="24"/>
          <w:rtl/>
          <w:lang w:val="en-US"/>
        </w:rPr>
        <w:t xml:space="preserve"> </w:t>
      </w:r>
      <w:r w:rsidR="00C62080">
        <w:rPr>
          <w:rFonts w:ascii="Simplified Arabic" w:hAnsi="Simplified Arabic" w:cs="Simplified Arabic" w:hint="cs"/>
          <w:sz w:val="24"/>
          <w:szCs w:val="24"/>
          <w:rtl/>
          <w:lang w:val="en-US"/>
        </w:rPr>
        <w:t>الحضرية</w:t>
      </w:r>
      <w:r w:rsidR="00C62080" w:rsidRPr="00905E08">
        <w:rPr>
          <w:rFonts w:ascii="Simplified Arabic" w:hAnsi="Simplified Arabic" w:cs="Simplified Arabic" w:hint="cs"/>
          <w:sz w:val="24"/>
          <w:szCs w:val="24"/>
          <w:rtl/>
          <w:lang w:val="en-US"/>
        </w:rPr>
        <w:t xml:space="preserve"> </w:t>
      </w:r>
      <w:r w:rsidRPr="00905E08">
        <w:rPr>
          <w:rFonts w:ascii="Simplified Arabic" w:hAnsi="Simplified Arabic" w:cs="Simplified Arabic" w:hint="cs"/>
          <w:sz w:val="24"/>
          <w:szCs w:val="24"/>
          <w:rtl/>
          <w:lang w:val="en-US"/>
        </w:rPr>
        <w:t>على</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استيعاب</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الآثار</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السلبية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للصدمة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على</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المجتمع،</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والحفاظ</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على</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هيكلها</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ووظائفها</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المهمة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واستعادة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المواقع</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المتأثرة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بسرعة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من</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أجل</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مساعدة</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أن</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يعود</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المجتمع</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إلى</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مستوى</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وظيفته</w:t>
      </w:r>
      <w:r w:rsidRPr="00905E08">
        <w:rPr>
          <w:rFonts w:ascii="Simplified Arabic" w:hAnsi="Simplified Arabic" w:cs="Simplified Arabic"/>
          <w:sz w:val="24"/>
          <w:szCs w:val="24"/>
          <w:rtl/>
          <w:lang w:val="en-US"/>
        </w:rPr>
        <w:t xml:space="preserve"> </w:t>
      </w:r>
      <w:r w:rsidRPr="00905E08">
        <w:rPr>
          <w:rFonts w:ascii="Simplified Arabic" w:hAnsi="Simplified Arabic" w:cs="Simplified Arabic" w:hint="cs"/>
          <w:sz w:val="24"/>
          <w:szCs w:val="24"/>
          <w:rtl/>
          <w:lang w:val="en-US"/>
        </w:rPr>
        <w:t>السابق''</w:t>
      </w:r>
      <w:r w:rsidRPr="00905E08">
        <w:rPr>
          <w:rFonts w:asciiTheme="minorBidi" w:hAnsiTheme="minorBidi" w:cs="Arial"/>
          <w:sz w:val="24"/>
          <w:szCs w:val="24"/>
          <w:rtl/>
          <w:lang w:bidi="ar-DZ"/>
        </w:rPr>
        <w:t xml:space="preserve"> </w:t>
      </w:r>
      <w:r w:rsidRPr="00905E08">
        <w:rPr>
          <w:rFonts w:asciiTheme="majorBidi" w:hAnsiTheme="majorBidi" w:cstheme="majorBidi"/>
          <w:sz w:val="24"/>
          <w:szCs w:val="24"/>
          <w:rtl/>
          <w:lang w:bidi="ar-DZ"/>
        </w:rPr>
        <w:t>(</w:t>
      </w:r>
      <w:r w:rsidRPr="0077622D">
        <w:rPr>
          <w:rFonts w:asciiTheme="majorBidi" w:hAnsiTheme="majorBidi" w:cstheme="majorBidi"/>
          <w:sz w:val="24"/>
          <w:szCs w:val="24"/>
          <w:lang w:bidi="ar-DZ"/>
        </w:rPr>
        <w:t>Mayunga</w:t>
      </w:r>
      <w:r w:rsidRPr="00905E08">
        <w:rPr>
          <w:rFonts w:asciiTheme="majorBidi" w:hAnsiTheme="majorBidi" w:cstheme="majorBidi"/>
          <w:sz w:val="24"/>
          <w:szCs w:val="24"/>
          <w:lang w:bidi="ar-DZ"/>
        </w:rPr>
        <w:t>, 2007</w:t>
      </w:r>
      <w:r w:rsidRPr="00905E08">
        <w:rPr>
          <w:rFonts w:asciiTheme="majorBidi" w:hAnsiTheme="majorBidi" w:cstheme="majorBidi"/>
          <w:sz w:val="24"/>
          <w:szCs w:val="24"/>
          <w:rtl/>
          <w:lang w:bidi="ar-DZ"/>
        </w:rPr>
        <w:t>)</w:t>
      </w:r>
      <w:r w:rsidRPr="00905E08">
        <w:rPr>
          <w:rFonts w:asciiTheme="minorBidi" w:hAnsiTheme="minorBidi" w:cs="Arial"/>
          <w:sz w:val="24"/>
          <w:szCs w:val="24"/>
          <w:rtl/>
          <w:lang w:bidi="ar-DZ"/>
        </w:rPr>
        <w:t>.</w:t>
      </w:r>
      <w:r w:rsidRPr="00AB1F18">
        <w:rPr>
          <w:rFonts w:ascii="Simplified Arabic" w:hAnsi="Simplified Arabic" w:cs="Simplified Arabic" w:hint="cs"/>
          <w:sz w:val="24"/>
          <w:szCs w:val="24"/>
          <w:rtl/>
          <w:lang w:val="en-US"/>
        </w:rPr>
        <w:t xml:space="preserve"> </w:t>
      </w:r>
    </w:p>
    <w:p w:rsidR="00553B7A" w:rsidRDefault="00553B7A" w:rsidP="00553B7A">
      <w:pPr>
        <w:tabs>
          <w:tab w:val="right" w:pos="282"/>
        </w:tabs>
        <w:bidi/>
        <w:spacing w:after="0"/>
        <w:ind w:firstLine="283"/>
        <w:jc w:val="both"/>
        <w:rPr>
          <w:rFonts w:ascii="Simplified Arabic" w:hAnsi="Simplified Arabic" w:cs="Simplified Arabic"/>
          <w:sz w:val="24"/>
          <w:szCs w:val="24"/>
          <w:rtl/>
          <w:lang w:val="en-US"/>
        </w:rPr>
      </w:pPr>
    </w:p>
    <w:p w:rsidR="00553B7A" w:rsidRDefault="00553B7A" w:rsidP="00553B7A">
      <w:pPr>
        <w:tabs>
          <w:tab w:val="right" w:pos="282"/>
        </w:tabs>
        <w:bidi/>
        <w:spacing w:after="0"/>
        <w:ind w:firstLine="283"/>
        <w:jc w:val="both"/>
        <w:rPr>
          <w:rFonts w:ascii="Simplified Arabic" w:hAnsi="Simplified Arabic" w:cs="Simplified Arabic"/>
          <w:sz w:val="24"/>
          <w:szCs w:val="24"/>
          <w:rtl/>
          <w:lang w:val="en-US"/>
        </w:rPr>
      </w:pPr>
    </w:p>
    <w:p w:rsidR="00553B7A" w:rsidRDefault="00553B7A" w:rsidP="00553B7A">
      <w:pPr>
        <w:tabs>
          <w:tab w:val="right" w:pos="282"/>
        </w:tabs>
        <w:bidi/>
        <w:spacing w:after="0"/>
        <w:ind w:firstLine="283"/>
        <w:jc w:val="both"/>
        <w:rPr>
          <w:rFonts w:ascii="Simplified Arabic" w:hAnsi="Simplified Arabic" w:cs="Simplified Arabic"/>
          <w:sz w:val="24"/>
          <w:szCs w:val="24"/>
          <w:rtl/>
          <w:lang w:val="en-US"/>
        </w:rPr>
      </w:pPr>
    </w:p>
    <w:p w:rsidR="00C121B0" w:rsidRDefault="00C121B0" w:rsidP="00C22773">
      <w:pPr>
        <w:pStyle w:val="fegure"/>
        <w:spacing w:before="240"/>
        <w:rPr>
          <w:sz w:val="8"/>
          <w:szCs w:val="24"/>
          <w:rtl/>
          <w:lang w:val="en-US"/>
        </w:rPr>
      </w:pPr>
      <w:bookmarkStart w:id="605" w:name="_Toc157608333"/>
      <w:bookmarkStart w:id="606" w:name="_Toc171803642"/>
      <w:r w:rsidRPr="00ED1C8F">
        <w:rPr>
          <w:rFonts w:hint="cs"/>
          <w:sz w:val="8"/>
          <w:szCs w:val="24"/>
          <w:rtl/>
          <w:lang w:val="en-US"/>
        </w:rPr>
        <w:lastRenderedPageBreak/>
        <w:t xml:space="preserve">الشكل </w:t>
      </w:r>
      <w:r w:rsidR="00033C3C" w:rsidRPr="00ED1C8F">
        <w:rPr>
          <w:rFonts w:hint="cs"/>
          <w:sz w:val="8"/>
          <w:szCs w:val="24"/>
          <w:rtl/>
          <w:lang w:val="en-US"/>
        </w:rPr>
        <w:t>(</w:t>
      </w:r>
      <w:r w:rsidR="00F27C67" w:rsidRPr="00ED1C8F">
        <w:rPr>
          <w:rFonts w:hint="cs"/>
          <w:sz w:val="8"/>
          <w:szCs w:val="24"/>
          <w:rtl/>
          <w:lang w:val="en-US"/>
        </w:rPr>
        <w:t>5-1</w:t>
      </w:r>
      <w:r w:rsidR="00033C3C" w:rsidRPr="00ED1C8F">
        <w:rPr>
          <w:rFonts w:hint="cs"/>
          <w:sz w:val="8"/>
          <w:szCs w:val="24"/>
          <w:rtl/>
          <w:lang w:val="en-US"/>
        </w:rPr>
        <w:t>)</w:t>
      </w:r>
      <w:r w:rsidRPr="00ED1C8F">
        <w:rPr>
          <w:rFonts w:hint="cs"/>
          <w:sz w:val="8"/>
          <w:szCs w:val="24"/>
          <w:rtl/>
          <w:lang w:val="en-US"/>
        </w:rPr>
        <w:t>: دراسة مرونة المكون الفيزيائي لمدينة بوسعادة</w:t>
      </w:r>
      <w:bookmarkEnd w:id="605"/>
      <w:bookmarkEnd w:id="606"/>
    </w:p>
    <w:p w:rsidR="006B38DD" w:rsidRPr="006B38DD" w:rsidRDefault="006B38DD" w:rsidP="006B38DD">
      <w:pPr>
        <w:pStyle w:val="fegure"/>
        <w:rPr>
          <w:sz w:val="8"/>
          <w:szCs w:val="24"/>
          <w:rtl/>
          <w:lang w:val="en-US" w:bidi="ar-DZ"/>
        </w:rPr>
      </w:pPr>
      <w:bookmarkStart w:id="607" w:name="_Toc171803643"/>
      <w:r>
        <w:rPr>
          <w:rFonts w:hint="cs"/>
          <w:sz w:val="8"/>
          <w:szCs w:val="24"/>
          <w:rtl/>
          <w:lang w:val="en-US"/>
        </w:rPr>
        <w:t>المصدر: (الباحث، 2022)</w:t>
      </w:r>
      <w:bookmarkEnd w:id="607"/>
    </w:p>
    <w:p w:rsidR="00C121B0" w:rsidRDefault="00C121B0" w:rsidP="00E11355">
      <w:pPr>
        <w:tabs>
          <w:tab w:val="right" w:pos="282"/>
        </w:tabs>
        <w:bidi/>
        <w:spacing w:before="240"/>
        <w:jc w:val="center"/>
        <w:rPr>
          <w:rFonts w:ascii="Simplified Arabic" w:hAnsi="Simplified Arabic" w:cs="Simplified Arabic"/>
          <w:sz w:val="24"/>
          <w:szCs w:val="24"/>
          <w:rtl/>
          <w:lang w:val="en-US"/>
        </w:rPr>
      </w:pPr>
      <w:r>
        <w:rPr>
          <w:rFonts w:ascii="Simplified Arabic" w:hAnsi="Simplified Arabic" w:cs="Simplified Arabic"/>
          <w:noProof/>
          <w:sz w:val="24"/>
          <w:szCs w:val="24"/>
          <w:rtl/>
          <w:lang w:eastAsia="fr-FR"/>
        </w:rPr>
        <w:drawing>
          <wp:inline distT="0" distB="0" distL="0" distR="0" wp14:anchorId="21A5D68A" wp14:editId="722429CC">
            <wp:extent cx="3713259" cy="2790908"/>
            <wp:effectExtent l="0" t="0" r="20955" b="9525"/>
            <wp:docPr id="85" name="Diagramme 8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0" r:lo="rId221" r:qs="rId222" r:cs="rId223"/>
              </a:graphicData>
            </a:graphic>
          </wp:inline>
        </w:drawing>
      </w:r>
    </w:p>
    <w:p w:rsidR="00C121B0" w:rsidRPr="007323C9" w:rsidRDefault="00C121B0" w:rsidP="001D0548">
      <w:pPr>
        <w:pStyle w:val="Paragraphedeliste"/>
        <w:numPr>
          <w:ilvl w:val="1"/>
          <w:numId w:val="137"/>
        </w:numPr>
        <w:tabs>
          <w:tab w:val="right" w:pos="567"/>
        </w:tabs>
        <w:bidi/>
        <w:spacing w:before="240" w:after="0"/>
        <w:ind w:left="0" w:firstLine="0"/>
        <w:jc w:val="both"/>
        <w:outlineLvl w:val="0"/>
        <w:rPr>
          <w:rFonts w:ascii="Simplified Arabic" w:hAnsi="Simplified Arabic" w:cs="Simplified Arabic"/>
          <w:b/>
          <w:bCs/>
          <w:sz w:val="24"/>
          <w:szCs w:val="24"/>
          <w:rtl/>
          <w:lang w:val="en-US"/>
        </w:rPr>
      </w:pPr>
      <w:bookmarkStart w:id="608" w:name="_Toc171803644"/>
      <w:r w:rsidRPr="007323C9">
        <w:rPr>
          <w:rFonts w:ascii="Simplified Arabic" w:hAnsi="Simplified Arabic" w:cs="Simplified Arabic" w:hint="cs"/>
          <w:b/>
          <w:bCs/>
          <w:sz w:val="24"/>
          <w:szCs w:val="24"/>
          <w:rtl/>
          <w:lang w:val="en-US"/>
        </w:rPr>
        <w:t>الاطار الزمني لتحليل المرونة الحضرية</w:t>
      </w:r>
      <w:bookmarkEnd w:id="608"/>
    </w:p>
    <w:p w:rsidR="00C121B0" w:rsidRDefault="00C121B0" w:rsidP="00E11355">
      <w:pPr>
        <w:tabs>
          <w:tab w:val="right" w:pos="282"/>
        </w:tabs>
        <w:bidi/>
        <w:spacing w:after="0"/>
        <w:ind w:firstLine="283"/>
        <w:jc w:val="both"/>
        <w:rPr>
          <w:rFonts w:ascii="Simplified Arabic" w:hAnsi="Simplified Arabic" w:cs="Simplified Arabic"/>
          <w:sz w:val="24"/>
          <w:szCs w:val="24"/>
          <w:rtl/>
          <w:lang w:val="en-US" w:bidi="ar-DZ"/>
        </w:rPr>
      </w:pPr>
      <w:r w:rsidRPr="007D191A">
        <w:rPr>
          <w:rFonts w:ascii="Simplified Arabic" w:hAnsi="Simplified Arabic" w:cs="Simplified Arabic" w:hint="cs"/>
          <w:sz w:val="24"/>
          <w:szCs w:val="24"/>
          <w:rtl/>
          <w:lang w:val="en-US"/>
        </w:rPr>
        <w:t>يستكشف</w:t>
      </w:r>
      <w:r>
        <w:rPr>
          <w:rFonts w:ascii="Simplified Arabic" w:hAnsi="Simplified Arabic" w:cs="Simplified Arabic" w:hint="cs"/>
          <w:sz w:val="24"/>
          <w:szCs w:val="24"/>
          <w:rtl/>
          <w:lang w:val="en-US"/>
        </w:rPr>
        <w:t xml:space="preserve"> هذا</w:t>
      </w:r>
      <w:r w:rsidRPr="007D191A">
        <w:rPr>
          <w:rFonts w:ascii="Simplified Arabic" w:hAnsi="Simplified Arabic" w:cs="Simplified Arabic"/>
          <w:sz w:val="24"/>
          <w:szCs w:val="24"/>
          <w:rtl/>
          <w:lang w:val="en-US"/>
        </w:rPr>
        <w:t xml:space="preserve"> </w:t>
      </w:r>
      <w:r w:rsidRPr="007D191A">
        <w:rPr>
          <w:rFonts w:ascii="Simplified Arabic" w:hAnsi="Simplified Arabic" w:cs="Simplified Arabic" w:hint="cs"/>
          <w:sz w:val="24"/>
          <w:szCs w:val="24"/>
          <w:rtl/>
          <w:lang w:val="en-US"/>
        </w:rPr>
        <w:t>البحث</w:t>
      </w:r>
      <w:r>
        <w:rPr>
          <w:rFonts w:ascii="Simplified Arabic" w:hAnsi="Simplified Arabic" w:cs="Simplified Arabic" w:hint="cs"/>
          <w:sz w:val="24"/>
          <w:szCs w:val="24"/>
          <w:rtl/>
          <w:lang w:val="en-US"/>
        </w:rPr>
        <w:t>،</w:t>
      </w:r>
      <w:r w:rsidRPr="007D191A">
        <w:rPr>
          <w:rFonts w:ascii="Simplified Arabic" w:hAnsi="Simplified Arabic" w:cs="Simplified Arabic" w:hint="cs"/>
          <w:sz w:val="24"/>
          <w:szCs w:val="24"/>
          <w:rtl/>
          <w:lang w:val="en-US"/>
        </w:rPr>
        <w:t xml:space="preserve"> الإطار</w:t>
      </w:r>
      <w:r w:rsidRPr="007D191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الزمني للمرونة الحضرية</w:t>
      </w:r>
      <w:r w:rsidRPr="007D191A">
        <w:rPr>
          <w:rFonts w:ascii="Simplified Arabic" w:hAnsi="Simplified Arabic" w:cs="Simplified Arabic"/>
          <w:sz w:val="24"/>
          <w:szCs w:val="24"/>
          <w:rtl/>
          <w:lang w:val="en-US"/>
        </w:rPr>
        <w:t xml:space="preserve"> </w:t>
      </w:r>
      <w:r w:rsidRPr="007D191A">
        <w:rPr>
          <w:rFonts w:ascii="Simplified Arabic" w:hAnsi="Simplified Arabic" w:cs="Simplified Arabic" w:hint="cs"/>
          <w:sz w:val="24"/>
          <w:szCs w:val="24"/>
          <w:rtl/>
          <w:lang w:val="en-US"/>
        </w:rPr>
        <w:t>أمام</w:t>
      </w:r>
      <w:r w:rsidRPr="007D191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خطر الفيضانات</w:t>
      </w:r>
      <w:r w:rsidRPr="007D191A">
        <w:rPr>
          <w:rFonts w:ascii="Simplified Arabic" w:hAnsi="Simplified Arabic" w:cs="Simplified Arabic" w:hint="cs"/>
          <w:sz w:val="24"/>
          <w:szCs w:val="24"/>
          <w:rtl/>
          <w:lang w:val="en-US"/>
        </w:rPr>
        <w:t>،</w:t>
      </w:r>
      <w:r w:rsidRPr="007D191A">
        <w:rPr>
          <w:rFonts w:ascii="Simplified Arabic" w:hAnsi="Simplified Arabic" w:cs="Simplified Arabic"/>
          <w:sz w:val="24"/>
          <w:szCs w:val="24"/>
          <w:rtl/>
          <w:lang w:val="en-US"/>
        </w:rPr>
        <w:t xml:space="preserve"> </w:t>
      </w:r>
      <w:r w:rsidRPr="007D191A">
        <w:rPr>
          <w:rFonts w:ascii="Simplified Arabic" w:hAnsi="Simplified Arabic" w:cs="Simplified Arabic" w:hint="cs"/>
          <w:sz w:val="24"/>
          <w:szCs w:val="24"/>
          <w:rtl/>
          <w:lang w:val="en-US"/>
        </w:rPr>
        <w:t>من</w:t>
      </w:r>
      <w:r w:rsidRPr="007D191A">
        <w:rPr>
          <w:rFonts w:ascii="Simplified Arabic" w:hAnsi="Simplified Arabic" w:cs="Simplified Arabic"/>
          <w:sz w:val="24"/>
          <w:szCs w:val="24"/>
          <w:rtl/>
          <w:lang w:val="en-US"/>
        </w:rPr>
        <w:t xml:space="preserve"> </w:t>
      </w:r>
      <w:r w:rsidRPr="007D191A">
        <w:rPr>
          <w:rFonts w:ascii="Simplified Arabic" w:hAnsi="Simplified Arabic" w:cs="Simplified Arabic" w:hint="cs"/>
          <w:sz w:val="24"/>
          <w:szCs w:val="24"/>
          <w:rtl/>
          <w:lang w:val="en-US"/>
        </w:rPr>
        <w:t>خلال</w:t>
      </w:r>
      <w:r w:rsidRPr="007D191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تقييم مرونة المكون</w:t>
      </w:r>
      <w:r w:rsidRPr="007D191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الفيزيائي</w:t>
      </w:r>
      <w:r w:rsidRPr="007D191A">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(فئة البيئة </w:t>
      </w:r>
      <w:r w:rsidR="008E533E">
        <w:rPr>
          <w:rFonts w:ascii="Simplified Arabic" w:hAnsi="Simplified Arabic" w:cs="Simplified Arabic" w:hint="cs"/>
          <w:sz w:val="24"/>
          <w:szCs w:val="24"/>
          <w:rtl/>
          <w:lang w:val="en-US"/>
        </w:rPr>
        <w:t>الحضرية</w:t>
      </w:r>
      <w:r>
        <w:rPr>
          <w:rFonts w:ascii="Simplified Arabic" w:hAnsi="Simplified Arabic" w:cs="Simplified Arabic" w:hint="cs"/>
          <w:sz w:val="24"/>
          <w:szCs w:val="24"/>
          <w:rtl/>
          <w:lang w:val="en-US"/>
        </w:rPr>
        <w:t>)</w:t>
      </w:r>
      <w:r w:rsidRPr="007D191A">
        <w:rPr>
          <w:rFonts w:ascii="Simplified Arabic" w:hAnsi="Simplified Arabic" w:cs="Simplified Arabic"/>
          <w:sz w:val="24"/>
          <w:szCs w:val="24"/>
          <w:rtl/>
          <w:lang w:val="en-US"/>
        </w:rPr>
        <w:t xml:space="preserve"> </w:t>
      </w:r>
      <w:r w:rsidRPr="007D191A">
        <w:rPr>
          <w:rFonts w:ascii="Simplified Arabic" w:hAnsi="Simplified Arabic" w:cs="Simplified Arabic" w:hint="cs"/>
          <w:sz w:val="24"/>
          <w:szCs w:val="24"/>
          <w:rtl/>
          <w:lang w:val="en-US"/>
        </w:rPr>
        <w:t>في</w:t>
      </w:r>
      <w:r w:rsidRPr="007D191A">
        <w:rPr>
          <w:rFonts w:ascii="Simplified Arabic" w:hAnsi="Simplified Arabic" w:cs="Simplified Arabic"/>
          <w:sz w:val="24"/>
          <w:szCs w:val="24"/>
          <w:rtl/>
          <w:lang w:val="en-US"/>
        </w:rPr>
        <w:t xml:space="preserve"> </w:t>
      </w:r>
      <w:r w:rsidRPr="007D191A">
        <w:rPr>
          <w:rFonts w:ascii="Simplified Arabic" w:hAnsi="Simplified Arabic" w:cs="Simplified Arabic" w:hint="cs"/>
          <w:sz w:val="24"/>
          <w:szCs w:val="24"/>
          <w:rtl/>
          <w:lang w:val="en-US"/>
        </w:rPr>
        <w:t>فتر</w:t>
      </w:r>
      <w:r>
        <w:rPr>
          <w:rFonts w:ascii="Simplified Arabic" w:hAnsi="Simplified Arabic" w:cs="Simplified Arabic" w:hint="cs"/>
          <w:sz w:val="24"/>
          <w:szCs w:val="24"/>
          <w:rtl/>
          <w:lang w:val="en-US"/>
        </w:rPr>
        <w:t>ة</w:t>
      </w:r>
      <w:r w:rsidRPr="007D191A">
        <w:rPr>
          <w:rFonts w:ascii="Simplified Arabic" w:hAnsi="Simplified Arabic" w:cs="Simplified Arabic"/>
          <w:sz w:val="24"/>
          <w:szCs w:val="24"/>
          <w:rtl/>
          <w:lang w:val="en-US"/>
        </w:rPr>
        <w:t xml:space="preserve"> </w:t>
      </w:r>
      <w:r w:rsidRPr="007D191A">
        <w:rPr>
          <w:rFonts w:ascii="Simplified Arabic" w:hAnsi="Simplified Arabic" w:cs="Simplified Arabic" w:hint="cs"/>
          <w:sz w:val="24"/>
          <w:szCs w:val="24"/>
          <w:rtl/>
          <w:lang w:val="en-US"/>
        </w:rPr>
        <w:t>زمنية</w:t>
      </w:r>
      <w:r w:rsidRPr="007D191A">
        <w:rPr>
          <w:rFonts w:ascii="Simplified Arabic" w:hAnsi="Simplified Arabic" w:cs="Simplified Arabic"/>
          <w:sz w:val="24"/>
          <w:szCs w:val="24"/>
          <w:rtl/>
          <w:lang w:val="en-US"/>
        </w:rPr>
        <w:t xml:space="preserve"> </w:t>
      </w:r>
      <w:r w:rsidR="00E11355">
        <w:rPr>
          <w:rFonts w:ascii="Simplified Arabic" w:hAnsi="Simplified Arabic" w:cs="Simplified Arabic" w:hint="cs"/>
          <w:sz w:val="24"/>
          <w:szCs w:val="24"/>
          <w:rtl/>
          <w:lang w:val="en-US"/>
        </w:rPr>
        <w:t>ت</w:t>
      </w:r>
      <w:r w:rsidRPr="007D191A">
        <w:rPr>
          <w:rFonts w:ascii="Simplified Arabic" w:hAnsi="Simplified Arabic" w:cs="Simplified Arabic" w:hint="cs"/>
          <w:sz w:val="24"/>
          <w:szCs w:val="24"/>
          <w:rtl/>
          <w:lang w:val="en-US"/>
        </w:rPr>
        <w:t>عكس</w:t>
      </w:r>
      <w:r w:rsidRPr="007D191A">
        <w:rPr>
          <w:rFonts w:ascii="Simplified Arabic" w:hAnsi="Simplified Arabic" w:cs="Simplified Arabic"/>
          <w:sz w:val="24"/>
          <w:szCs w:val="24"/>
          <w:rtl/>
          <w:lang w:val="en-US"/>
        </w:rPr>
        <w:t xml:space="preserve"> </w:t>
      </w:r>
      <w:r w:rsidR="00B70189">
        <w:rPr>
          <w:rFonts w:ascii="Simplified Arabic" w:hAnsi="Simplified Arabic" w:cs="Simplified Arabic" w:hint="cs"/>
          <w:sz w:val="24"/>
          <w:szCs w:val="24"/>
          <w:rtl/>
          <w:lang w:val="en-US"/>
        </w:rPr>
        <w:t>قدرة</w:t>
      </w:r>
      <w:r w:rsidR="00B70189" w:rsidRPr="007D191A">
        <w:rPr>
          <w:rFonts w:ascii="Simplified Arabic" w:hAnsi="Simplified Arabic" w:cs="Simplified Arabic"/>
          <w:sz w:val="24"/>
          <w:szCs w:val="24"/>
          <w:rtl/>
          <w:lang w:val="en-US"/>
        </w:rPr>
        <w:t xml:space="preserve"> </w:t>
      </w:r>
      <w:r w:rsidR="00B70189" w:rsidRPr="007D191A">
        <w:rPr>
          <w:rFonts w:ascii="Simplified Arabic" w:hAnsi="Simplified Arabic" w:cs="Simplified Arabic" w:hint="cs"/>
          <w:sz w:val="24"/>
          <w:szCs w:val="24"/>
          <w:rtl/>
          <w:lang w:val="en-US"/>
        </w:rPr>
        <w:t>المدينة</w:t>
      </w:r>
      <w:r w:rsidR="00B70189">
        <w:rPr>
          <w:rFonts w:ascii="Simplified Arabic" w:hAnsi="Simplified Arabic" w:cs="Simplified Arabic" w:hint="cs"/>
          <w:sz w:val="24"/>
          <w:szCs w:val="24"/>
          <w:rtl/>
          <w:lang w:val="en-US"/>
        </w:rPr>
        <w:t xml:space="preserve"> </w:t>
      </w:r>
      <w:r w:rsidRPr="007D191A">
        <w:rPr>
          <w:rFonts w:ascii="Simplified Arabic" w:hAnsi="Simplified Arabic" w:cs="Simplified Arabic" w:hint="cs"/>
          <w:sz w:val="24"/>
          <w:szCs w:val="24"/>
          <w:rtl/>
          <w:lang w:val="en-US"/>
        </w:rPr>
        <w:t>على</w:t>
      </w:r>
      <w:r>
        <w:rPr>
          <w:rFonts w:ascii="Simplified Arabic" w:hAnsi="Simplified Arabic" w:cs="Simplified Arabic" w:hint="cs"/>
          <w:sz w:val="24"/>
          <w:szCs w:val="24"/>
          <w:rtl/>
          <w:lang w:val="en-US"/>
        </w:rPr>
        <w:t xml:space="preserve"> </w:t>
      </w:r>
      <w:r w:rsidR="00B70189">
        <w:rPr>
          <w:rFonts w:ascii="Simplified Arabic" w:hAnsi="Simplified Arabic" w:cs="Simplified Arabic" w:hint="cs"/>
          <w:sz w:val="24"/>
          <w:szCs w:val="24"/>
          <w:rtl/>
          <w:lang w:val="en-US"/>
        </w:rPr>
        <w:t>ال</w:t>
      </w:r>
      <w:r>
        <w:rPr>
          <w:rFonts w:ascii="Simplified Arabic" w:hAnsi="Simplified Arabic" w:cs="Simplified Arabic" w:hint="cs"/>
          <w:sz w:val="24"/>
          <w:szCs w:val="24"/>
          <w:rtl/>
          <w:lang w:val="en-US"/>
        </w:rPr>
        <w:t xml:space="preserve">استجابة </w:t>
      </w:r>
      <w:r w:rsidR="00033C3C">
        <w:rPr>
          <w:rFonts w:ascii="Simplified Arabic" w:hAnsi="Simplified Arabic" w:cs="Simplified Arabic" w:hint="cs"/>
          <w:sz w:val="24"/>
          <w:szCs w:val="24"/>
          <w:rtl/>
          <w:lang w:val="en-US"/>
        </w:rPr>
        <w:t>في</w:t>
      </w:r>
      <w:r>
        <w:rPr>
          <w:rFonts w:ascii="Simplified Arabic" w:hAnsi="Simplified Arabic" w:cs="Simplified Arabic" w:hint="cs"/>
          <w:sz w:val="24"/>
          <w:szCs w:val="24"/>
          <w:rtl/>
          <w:lang w:val="en-US"/>
        </w:rPr>
        <w:t xml:space="preserve"> المدى القصير</w:t>
      </w:r>
      <w:r w:rsidRPr="007D191A">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p>
    <w:p w:rsidR="00C121B0" w:rsidRDefault="00C121B0" w:rsidP="0040455E">
      <w:pPr>
        <w:tabs>
          <w:tab w:val="right" w:pos="282"/>
        </w:tabs>
        <w:bidi/>
        <w:spacing w:after="0"/>
        <w:ind w:firstLine="283"/>
        <w:jc w:val="both"/>
        <w:rPr>
          <w:rFonts w:ascii="Simplified Arabic" w:hAnsi="Simplified Arabic" w:cs="Simplified Arabic"/>
          <w:sz w:val="24"/>
          <w:szCs w:val="24"/>
          <w:rtl/>
          <w:lang w:val="en-US"/>
        </w:rPr>
      </w:pPr>
      <w:r w:rsidRPr="0077622D">
        <w:rPr>
          <w:rFonts w:ascii="Simplified Arabic" w:hAnsi="Simplified Arabic" w:cs="Simplified Arabic" w:hint="cs"/>
          <w:sz w:val="24"/>
          <w:szCs w:val="24"/>
          <w:rtl/>
          <w:lang w:val="en-US"/>
        </w:rPr>
        <w:t>في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البحث</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الحالي،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يركز</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السؤال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الزمني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على</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الوقت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w:t>
      </w:r>
      <w:r w:rsidR="00B70189">
        <w:rPr>
          <w:rFonts w:ascii="Simplified Arabic" w:hAnsi="Simplified Arabic" w:cs="Simplified Arabic" w:hint="cs"/>
          <w:sz w:val="24"/>
          <w:szCs w:val="24"/>
          <w:rtl/>
          <w:lang w:val="en-US"/>
        </w:rPr>
        <w:t>ذ</w:t>
      </w:r>
      <w:r w:rsidRPr="0077622D">
        <w:rPr>
          <w:rFonts w:ascii="Simplified Arabic" w:hAnsi="Simplified Arabic" w:cs="Simplified Arabic" w:hint="cs"/>
          <w:sz w:val="24"/>
          <w:szCs w:val="24"/>
          <w:rtl/>
          <w:lang w:val="en-US"/>
        </w:rPr>
        <w:t>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تتكشف</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فيها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مرونة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المكون الفيزيائي</w:t>
      </w:r>
      <w:r w:rsidRPr="0077622D">
        <w:rPr>
          <w:rFonts w:ascii="Simplified Arabic" w:hAnsi="Simplified Arabic" w:cs="Simplified Arabic"/>
          <w:sz w:val="24"/>
          <w:szCs w:val="24"/>
          <w:rtl/>
          <w:lang w:val="en-US"/>
        </w:rPr>
        <w:t>.</w:t>
      </w:r>
      <w:r w:rsidRPr="0077622D">
        <w:rPr>
          <w:rFonts w:ascii="Simplified Arabic" w:hAnsi="Simplified Arabic" w:cs="Simplified Arabic" w:hint="cs"/>
          <w:sz w:val="24"/>
          <w:szCs w:val="24"/>
          <w:rtl/>
          <w:lang w:val="en-US"/>
        </w:rPr>
        <w:t xml:space="preserve"> في حين، يتم</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تحديد</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قدرة</w:t>
      </w:r>
      <w:r w:rsidRPr="0077622D">
        <w:rPr>
          <w:rFonts w:ascii="Simplified Arabic" w:hAnsi="Simplified Arabic" w:cs="Simplified Arabic"/>
          <w:sz w:val="24"/>
          <w:szCs w:val="24"/>
          <w:rtl/>
          <w:lang w:val="en-US"/>
        </w:rPr>
        <w:t xml:space="preserve"> </w:t>
      </w:r>
      <w:r w:rsidR="00033C3C" w:rsidRPr="0077622D">
        <w:rPr>
          <w:rFonts w:ascii="Simplified Arabic" w:hAnsi="Simplified Arabic" w:cs="Simplified Arabic" w:hint="cs"/>
          <w:sz w:val="24"/>
          <w:szCs w:val="24"/>
          <w:rtl/>
          <w:lang w:val="en-US"/>
        </w:rPr>
        <w:t>المدينة</w:t>
      </w:r>
      <w:r w:rsidR="00033C3C" w:rsidRPr="0077622D">
        <w:rPr>
          <w:rFonts w:ascii="Simplified Arabic" w:hAnsi="Simplified Arabic" w:cs="Simplified Arabic"/>
          <w:sz w:val="24"/>
          <w:szCs w:val="24"/>
          <w:rtl/>
          <w:lang w:val="en-US"/>
        </w:rPr>
        <w:t xml:space="preserve"> </w:t>
      </w:r>
      <w:r w:rsidR="00033C3C" w:rsidRPr="0077622D">
        <w:rPr>
          <w:rFonts w:ascii="Simplified Arabic" w:hAnsi="Simplified Arabic" w:cs="Simplified Arabic" w:hint="cs"/>
          <w:sz w:val="24"/>
          <w:szCs w:val="24"/>
          <w:rtl/>
          <w:lang w:val="en-US"/>
        </w:rPr>
        <w:t>على ال</w:t>
      </w:r>
      <w:r w:rsidRPr="0077622D">
        <w:rPr>
          <w:rFonts w:ascii="Simplified Arabic" w:hAnsi="Simplified Arabic" w:cs="Simplified Arabic" w:hint="cs"/>
          <w:sz w:val="24"/>
          <w:szCs w:val="24"/>
          <w:rtl/>
          <w:lang w:val="en-US"/>
        </w:rPr>
        <w:t>استجابة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في</w:t>
      </w:r>
      <w:r w:rsidRPr="0077622D">
        <w:rPr>
          <w:rFonts w:ascii="Simplified Arabic" w:hAnsi="Simplified Arabic" w:cs="Simplified Arabic"/>
          <w:sz w:val="24"/>
          <w:szCs w:val="24"/>
          <w:rtl/>
          <w:lang w:val="en-US"/>
        </w:rPr>
        <w:t xml:space="preserve"> </w:t>
      </w:r>
      <w:r w:rsidR="0040455E">
        <w:rPr>
          <w:rFonts w:ascii="Simplified Arabic" w:hAnsi="Simplified Arabic" w:cs="Simplified Arabic" w:hint="cs"/>
          <w:sz w:val="24"/>
          <w:szCs w:val="24"/>
          <w:rtl/>
          <w:lang w:val="en-US"/>
        </w:rPr>
        <w:t>الابحاث</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من</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خلال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المتغيرات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البديلة (المعايير)</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مثل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مراكز الامن</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والانقاذ ومكافحة الحرائق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وخدمات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الإغاثة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في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حالات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الطوارئ</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والملاجئ</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المؤقتة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لأفراد المجتمع</w:t>
      </w:r>
      <w:r w:rsidRPr="0077622D">
        <w:rPr>
          <w:rFonts w:asciiTheme="minorBidi" w:hAnsiTheme="minorBidi" w:cs="Arial"/>
          <w:sz w:val="24"/>
          <w:szCs w:val="24"/>
          <w:rtl/>
          <w:lang w:bidi="ar-DZ"/>
        </w:rPr>
        <w:t xml:space="preserve"> </w:t>
      </w:r>
      <w:r w:rsidRPr="0077622D">
        <w:rPr>
          <w:rFonts w:asciiTheme="majorBidi" w:hAnsiTheme="majorBidi" w:cstheme="majorBidi"/>
          <w:sz w:val="24"/>
          <w:szCs w:val="24"/>
          <w:rtl/>
          <w:lang w:bidi="ar-DZ"/>
        </w:rPr>
        <w:t>(</w:t>
      </w:r>
      <w:r w:rsidRPr="0077622D">
        <w:rPr>
          <w:rFonts w:asciiTheme="majorBidi" w:hAnsiTheme="majorBidi" w:cstheme="majorBidi"/>
          <w:sz w:val="24"/>
          <w:szCs w:val="24"/>
          <w:lang w:bidi="ar-DZ"/>
        </w:rPr>
        <w:t>Chang, 2010</w:t>
      </w:r>
      <w:r w:rsidRPr="0077622D">
        <w:rPr>
          <w:rFonts w:asciiTheme="majorBidi" w:hAnsiTheme="majorBidi" w:cstheme="majorBidi" w:hint="cs"/>
          <w:sz w:val="24"/>
          <w:szCs w:val="24"/>
          <w:rtl/>
          <w:lang w:bidi="ar-DZ"/>
        </w:rPr>
        <w:t> </w:t>
      </w:r>
      <w:r w:rsidRPr="0077622D">
        <w:rPr>
          <w:rFonts w:asciiTheme="majorBidi" w:hAnsiTheme="majorBidi" w:cstheme="majorBidi"/>
          <w:sz w:val="24"/>
          <w:szCs w:val="24"/>
          <w:lang w:bidi="ar-DZ"/>
        </w:rPr>
        <w:t>Cutter et al., 2008 ;</w:t>
      </w:r>
      <w:r w:rsidRPr="0077622D">
        <w:rPr>
          <w:rFonts w:asciiTheme="majorBidi" w:hAnsiTheme="majorBidi" w:cstheme="majorBidi"/>
          <w:sz w:val="24"/>
          <w:szCs w:val="24"/>
          <w:rtl/>
          <w:lang w:bidi="ar-DZ"/>
        </w:rPr>
        <w:t>)</w:t>
      </w:r>
      <w:r w:rsidRPr="0077622D">
        <w:rPr>
          <w:rFonts w:ascii="Simplified Arabic" w:hAnsi="Simplified Arabic" w:cs="Simplified Arabic"/>
          <w:sz w:val="24"/>
          <w:szCs w:val="24"/>
          <w:rtl/>
          <w:lang w:val="en-US"/>
        </w:rPr>
        <w:t>.</w:t>
      </w:r>
      <w:r w:rsidRPr="0077622D">
        <w:rPr>
          <w:rFonts w:ascii="Simplified Arabic" w:hAnsi="Simplified Arabic" w:cs="Simplified Arabic" w:hint="cs"/>
          <w:sz w:val="24"/>
          <w:szCs w:val="24"/>
          <w:rtl/>
          <w:lang w:val="en-US"/>
        </w:rPr>
        <w:t xml:space="preserve"> كما يمكن ان</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تتضمن</w:t>
      </w:r>
      <w:r w:rsidRPr="0077622D">
        <w:rPr>
          <w:rFonts w:ascii="Simplified Arabic" w:hAnsi="Simplified Arabic" w:cs="Simplified Arabic"/>
          <w:sz w:val="24"/>
          <w:szCs w:val="24"/>
          <w:rtl/>
          <w:lang w:val="en-US"/>
        </w:rPr>
        <w:t xml:space="preserve"> </w:t>
      </w:r>
      <w:r w:rsidR="0053760B" w:rsidRPr="0077622D">
        <w:rPr>
          <w:rFonts w:ascii="Simplified Arabic" w:hAnsi="Simplified Arabic" w:cs="Simplified Arabic" w:hint="cs"/>
          <w:sz w:val="24"/>
          <w:szCs w:val="24"/>
          <w:rtl/>
          <w:lang w:val="en-US"/>
        </w:rPr>
        <w:t>ال</w:t>
      </w:r>
      <w:r w:rsidRPr="0077622D">
        <w:rPr>
          <w:rFonts w:ascii="Simplified Arabic" w:hAnsi="Simplified Arabic" w:cs="Simplified Arabic" w:hint="cs"/>
          <w:sz w:val="24"/>
          <w:szCs w:val="24"/>
          <w:rtl/>
          <w:lang w:val="en-US"/>
        </w:rPr>
        <w:t>قدرة</w:t>
      </w:r>
      <w:r w:rsidRPr="0077622D">
        <w:rPr>
          <w:rFonts w:ascii="Simplified Arabic" w:hAnsi="Simplified Arabic" w:cs="Simplified Arabic"/>
          <w:sz w:val="24"/>
          <w:szCs w:val="24"/>
          <w:rtl/>
          <w:lang w:val="en-US"/>
        </w:rPr>
        <w:t xml:space="preserve"> </w:t>
      </w:r>
      <w:r w:rsidR="0053760B" w:rsidRPr="0077622D">
        <w:rPr>
          <w:rFonts w:ascii="Simplified Arabic" w:hAnsi="Simplified Arabic" w:cs="Simplified Arabic" w:hint="cs"/>
          <w:sz w:val="24"/>
          <w:szCs w:val="24"/>
          <w:rtl/>
          <w:lang w:val="en-US"/>
        </w:rPr>
        <w:t xml:space="preserve">على </w:t>
      </w:r>
      <w:r w:rsidRPr="0077622D">
        <w:rPr>
          <w:rFonts w:ascii="Simplified Arabic" w:hAnsi="Simplified Arabic" w:cs="Simplified Arabic" w:hint="cs"/>
          <w:sz w:val="24"/>
          <w:szCs w:val="24"/>
          <w:rtl/>
          <w:lang w:val="en-US"/>
        </w:rPr>
        <w:t>الاستجابة</w:t>
      </w:r>
      <w:r w:rsidR="0053760B" w:rsidRPr="0077622D">
        <w:rPr>
          <w:rFonts w:ascii="Simplified Arabic" w:hAnsi="Simplified Arabic" w:cs="Simplified Arabic" w:hint="cs"/>
          <w:sz w:val="24"/>
          <w:szCs w:val="24"/>
          <w:rtl/>
          <w:lang w:val="en-US"/>
        </w:rPr>
        <w:t xml:space="preserve"> تلك</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المتغيرات البديلة مثل عمق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الشريانية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داخل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مجتمع</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معين</w:t>
      </w:r>
      <w:r w:rsidRPr="0077622D">
        <w:rPr>
          <w:rFonts w:ascii="Simplified Arabic" w:hAnsi="Simplified Arabic" w:cs="Simplified Arabic"/>
          <w:sz w:val="24"/>
          <w:szCs w:val="24"/>
          <w:rtl/>
          <w:lang w:val="en-US"/>
        </w:rPr>
        <w:t xml:space="preserve">. </w:t>
      </w:r>
    </w:p>
    <w:p w:rsidR="00C121B0" w:rsidRDefault="00C121B0" w:rsidP="00C121B0">
      <w:pPr>
        <w:tabs>
          <w:tab w:val="right" w:pos="282"/>
        </w:tabs>
        <w:bidi/>
        <w:spacing w:after="0"/>
        <w:ind w:firstLine="283"/>
        <w:jc w:val="both"/>
        <w:rPr>
          <w:rFonts w:asciiTheme="minorBidi" w:hAnsiTheme="minorBidi" w:cs="Arial"/>
          <w:sz w:val="24"/>
          <w:szCs w:val="24"/>
          <w:rtl/>
          <w:lang w:bidi="ar-DZ"/>
        </w:rPr>
      </w:pPr>
      <w:r w:rsidRPr="0077622D">
        <w:rPr>
          <w:rFonts w:ascii="Simplified Arabic" w:hAnsi="Simplified Arabic" w:cs="Simplified Arabic" w:hint="cs"/>
          <w:sz w:val="24"/>
          <w:szCs w:val="24"/>
          <w:rtl/>
          <w:lang w:val="en-US"/>
        </w:rPr>
        <w:t>لا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توفر</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البنية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التحتية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وسيلة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للإخلاء</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قبل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الحدث</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فحسب،</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بل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تعمل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أيضًا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كقنوات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للإمدادات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الحيوية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الضرورية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للاستجابة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والتعافي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بعد</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الكوارث</w:t>
      </w:r>
      <w:r w:rsidRPr="0077622D">
        <w:rPr>
          <w:rFonts w:asciiTheme="minorBidi" w:hAnsiTheme="minorBidi" w:cs="Arial"/>
          <w:sz w:val="24"/>
          <w:szCs w:val="24"/>
          <w:rtl/>
          <w:lang w:bidi="ar-DZ"/>
        </w:rPr>
        <w:t xml:space="preserve"> (</w:t>
      </w:r>
      <w:r w:rsidRPr="0077622D">
        <w:rPr>
          <w:rFonts w:asciiTheme="majorBidi" w:hAnsiTheme="majorBidi" w:cstheme="majorBidi"/>
          <w:sz w:val="24"/>
          <w:szCs w:val="24"/>
          <w:lang w:bidi="ar-DZ"/>
        </w:rPr>
        <w:t>Cutter et al., 2010</w:t>
      </w:r>
      <w:r w:rsidRPr="0077622D">
        <w:rPr>
          <w:rFonts w:asciiTheme="majorBidi" w:hAnsiTheme="majorBidi" w:cstheme="majorBidi"/>
          <w:sz w:val="24"/>
          <w:szCs w:val="24"/>
          <w:rtl/>
          <w:lang w:bidi="ar-DZ"/>
        </w:rPr>
        <w:t>)</w:t>
      </w:r>
      <w:r w:rsidRPr="0077622D">
        <w:rPr>
          <w:rFonts w:ascii="Simplified Arabic" w:hAnsi="Simplified Arabic" w:cs="Simplified Arabic"/>
          <w:sz w:val="24"/>
          <w:szCs w:val="24"/>
          <w:rtl/>
          <w:lang w:val="en-US"/>
        </w:rPr>
        <w:t>.</w:t>
      </w:r>
      <w:r w:rsidRPr="0077622D">
        <w:rPr>
          <w:rFonts w:asciiTheme="minorBidi" w:hAnsiTheme="minorBidi" w:cs="Arial"/>
          <w:sz w:val="24"/>
          <w:szCs w:val="24"/>
          <w:rtl/>
          <w:lang w:bidi="ar-DZ"/>
        </w:rPr>
        <w:t xml:space="preserve"> </w:t>
      </w:r>
      <w:r w:rsidRPr="0077622D">
        <w:rPr>
          <w:rFonts w:ascii="Simplified Arabic" w:hAnsi="Simplified Arabic" w:cs="Simplified Arabic" w:hint="cs"/>
          <w:sz w:val="24"/>
          <w:szCs w:val="24"/>
          <w:rtl/>
          <w:lang w:val="en-US"/>
        </w:rPr>
        <w:t>اضافة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الى</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ذلك،</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توفر الفنادق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والمدارس</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القدرة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على</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الاستجابة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والتعافي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حيث</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يمكن</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استخدامها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كملاجئ</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ومساكن</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مؤقتة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وكوسيلة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لجذب</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العائلات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مرة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أخرى</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إلى</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منطقة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بعد</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الحدث</w:t>
      </w:r>
      <w:r w:rsidRPr="0077622D">
        <w:rPr>
          <w:rFonts w:asciiTheme="minorBidi" w:hAnsiTheme="minorBidi" w:cs="Arial"/>
          <w:sz w:val="24"/>
          <w:szCs w:val="24"/>
          <w:rtl/>
          <w:lang w:bidi="ar-DZ"/>
        </w:rPr>
        <w:t xml:space="preserve"> (</w:t>
      </w:r>
      <w:r w:rsidRPr="0077622D">
        <w:rPr>
          <w:rFonts w:asciiTheme="majorBidi" w:hAnsiTheme="majorBidi" w:cstheme="majorBidi"/>
          <w:sz w:val="24"/>
          <w:szCs w:val="24"/>
          <w:lang w:bidi="ar-DZ"/>
        </w:rPr>
        <w:t>Cutter et al., 2010</w:t>
      </w:r>
      <w:r w:rsidRPr="0077622D">
        <w:rPr>
          <w:rFonts w:asciiTheme="majorBidi" w:hAnsiTheme="majorBidi" w:cstheme="majorBidi"/>
          <w:sz w:val="24"/>
          <w:szCs w:val="24"/>
          <w:rtl/>
          <w:lang w:bidi="ar-DZ"/>
        </w:rPr>
        <w:t>)</w:t>
      </w:r>
      <w:r w:rsidRPr="0077622D">
        <w:rPr>
          <w:rFonts w:asciiTheme="minorBidi" w:hAnsiTheme="minorBidi" w:cs="Arial"/>
          <w:sz w:val="24"/>
          <w:szCs w:val="24"/>
          <w:rtl/>
          <w:lang w:bidi="ar-DZ"/>
        </w:rPr>
        <w:t>.</w:t>
      </w:r>
    </w:p>
    <w:p w:rsidR="00C121B0" w:rsidRDefault="00C121B0" w:rsidP="004D6FB3">
      <w:pPr>
        <w:tabs>
          <w:tab w:val="right" w:pos="282"/>
        </w:tabs>
        <w:bidi/>
        <w:spacing w:after="0"/>
        <w:ind w:firstLine="283"/>
        <w:jc w:val="both"/>
        <w:rPr>
          <w:rFonts w:asciiTheme="minorBidi" w:hAnsiTheme="minorBidi" w:cs="Arial"/>
          <w:sz w:val="24"/>
          <w:szCs w:val="24"/>
          <w:rtl/>
          <w:lang w:bidi="ar-DZ"/>
        </w:rPr>
      </w:pPr>
      <w:r w:rsidRPr="0077622D">
        <w:rPr>
          <w:rFonts w:ascii="Simplified Arabic" w:hAnsi="Simplified Arabic" w:cs="Simplified Arabic" w:hint="cs"/>
          <w:sz w:val="24"/>
          <w:szCs w:val="24"/>
          <w:rtl/>
          <w:lang w:val="en-US"/>
        </w:rPr>
        <w:t>يحتاج</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تحديد</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مؤشرات</w:t>
      </w:r>
      <w:r w:rsidRPr="0077622D">
        <w:rPr>
          <w:rFonts w:ascii="Simplified Arabic" w:hAnsi="Simplified Arabic" w:cs="Simplified Arabic"/>
          <w:sz w:val="24"/>
          <w:szCs w:val="24"/>
          <w:rtl/>
          <w:lang w:val="en-US"/>
        </w:rPr>
        <w:t xml:space="preserve"> </w:t>
      </w:r>
      <w:r w:rsidR="0053760B" w:rsidRPr="0077622D">
        <w:rPr>
          <w:rFonts w:ascii="Simplified Arabic" w:hAnsi="Simplified Arabic" w:cs="Simplified Arabic" w:hint="cs"/>
          <w:sz w:val="24"/>
          <w:szCs w:val="24"/>
          <w:rtl/>
          <w:lang w:val="en-US"/>
        </w:rPr>
        <w:t xml:space="preserve">تقييم </w:t>
      </w:r>
      <w:r w:rsidRPr="0077622D">
        <w:rPr>
          <w:rFonts w:ascii="Simplified Arabic" w:hAnsi="Simplified Arabic" w:cs="Simplified Arabic" w:hint="cs"/>
          <w:sz w:val="24"/>
          <w:szCs w:val="24"/>
          <w:rtl/>
          <w:lang w:val="en-US"/>
        </w:rPr>
        <w:t>مرونة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البيئة</w:t>
      </w:r>
      <w:r w:rsidRPr="0077622D">
        <w:rPr>
          <w:rFonts w:ascii="Simplified Arabic" w:hAnsi="Simplified Arabic" w:cs="Simplified Arabic"/>
          <w:sz w:val="24"/>
          <w:szCs w:val="24"/>
          <w:rtl/>
          <w:lang w:val="en-US"/>
        </w:rPr>
        <w:t xml:space="preserve"> </w:t>
      </w:r>
      <w:r w:rsidR="008E533E">
        <w:rPr>
          <w:rFonts w:ascii="Simplified Arabic" w:hAnsi="Simplified Arabic" w:cs="Simplified Arabic" w:hint="cs"/>
          <w:sz w:val="24"/>
          <w:szCs w:val="24"/>
          <w:rtl/>
          <w:lang w:val="en-US"/>
        </w:rPr>
        <w:t>الحضرية</w:t>
      </w:r>
      <w:r w:rsidR="008E533E" w:rsidRPr="0077622D">
        <w:rPr>
          <w:rFonts w:ascii="Simplified Arabic" w:hAnsi="Simplified Arabic" w:cs="Simplified Arabic" w:hint="cs"/>
          <w:sz w:val="24"/>
          <w:szCs w:val="24"/>
          <w:rtl/>
          <w:lang w:val="en-US"/>
        </w:rPr>
        <w:t xml:space="preserve"> </w:t>
      </w:r>
      <w:r w:rsidRPr="0077622D">
        <w:rPr>
          <w:rFonts w:ascii="Simplified Arabic" w:hAnsi="Simplified Arabic" w:cs="Simplified Arabic" w:hint="cs"/>
          <w:sz w:val="24"/>
          <w:szCs w:val="24"/>
          <w:rtl/>
          <w:lang w:val="en-US"/>
        </w:rPr>
        <w:t>في</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اطار عمل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متكامل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إلى</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نهج</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مختلف،</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يوفر</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تقييمًا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شاملاً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لأنماط التوزيع المكاني ل</w:t>
      </w:r>
      <w:r w:rsidR="004D6FB3">
        <w:rPr>
          <w:rFonts w:ascii="Simplified Arabic" w:hAnsi="Simplified Arabic" w:cs="Simplified Arabic" w:hint="cs"/>
          <w:sz w:val="24"/>
          <w:szCs w:val="24"/>
          <w:rtl/>
        </w:rPr>
        <w:t>استعمال</w:t>
      </w:r>
      <w:r w:rsidRPr="0077622D">
        <w:rPr>
          <w:rFonts w:ascii="Simplified Arabic" w:hAnsi="Simplified Arabic" w:cs="Simplified Arabic" w:hint="cs"/>
          <w:sz w:val="24"/>
          <w:szCs w:val="24"/>
          <w:rtl/>
          <w:lang w:val="en-US"/>
        </w:rPr>
        <w:t xml:space="preserve"> الارض السكنية،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المرافق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الهامة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والخدمات العامة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مثل</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المستشفيات،</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المدارس،</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مراكز الإطفاء،</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مراكز الامن، ملاجئ</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الطوارئ، شبكة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والجسور</w:t>
      </w:r>
      <w:r w:rsidRPr="0077622D">
        <w:rPr>
          <w:rFonts w:asciiTheme="minorBidi" w:hAnsiTheme="minorBidi" w:cs="Arial" w:hint="cs"/>
          <w:sz w:val="24"/>
          <w:szCs w:val="24"/>
          <w:rtl/>
          <w:lang w:bidi="ar-DZ"/>
        </w:rPr>
        <w:t xml:space="preserve"> </w:t>
      </w:r>
      <w:r w:rsidRPr="0077622D">
        <w:rPr>
          <w:rFonts w:asciiTheme="majorBidi" w:hAnsiTheme="majorBidi" w:cstheme="majorBidi"/>
          <w:sz w:val="24"/>
          <w:szCs w:val="24"/>
          <w:rtl/>
          <w:lang w:bidi="ar-DZ"/>
        </w:rPr>
        <w:t>(</w:t>
      </w:r>
      <w:r w:rsidRPr="0077622D">
        <w:rPr>
          <w:rFonts w:asciiTheme="majorBidi" w:hAnsiTheme="majorBidi" w:cstheme="majorBidi"/>
          <w:sz w:val="24"/>
          <w:szCs w:val="24"/>
          <w:lang w:bidi="ar-DZ"/>
        </w:rPr>
        <w:t>Cutter et al., 2008</w:t>
      </w:r>
      <w:r w:rsidRPr="0077622D">
        <w:rPr>
          <w:rFonts w:asciiTheme="majorBidi" w:hAnsiTheme="majorBidi" w:cstheme="majorBidi"/>
          <w:sz w:val="24"/>
          <w:szCs w:val="24"/>
          <w:rtl/>
          <w:lang w:bidi="ar-DZ"/>
        </w:rPr>
        <w:t> </w:t>
      </w:r>
      <w:r w:rsidRPr="0077622D">
        <w:rPr>
          <w:rFonts w:asciiTheme="majorBidi" w:hAnsiTheme="majorBidi" w:cstheme="majorBidi"/>
          <w:sz w:val="24"/>
          <w:szCs w:val="24"/>
          <w:lang w:bidi="ar-DZ"/>
        </w:rPr>
        <w:t>2006;</w:t>
      </w:r>
      <w:r w:rsidRPr="0077622D">
        <w:rPr>
          <w:rFonts w:asciiTheme="majorBidi" w:hAnsiTheme="majorBidi" w:cstheme="majorBidi"/>
          <w:sz w:val="24"/>
          <w:szCs w:val="24"/>
          <w:rtl/>
          <w:lang w:bidi="ar-DZ"/>
        </w:rPr>
        <w:t xml:space="preserve"> </w:t>
      </w:r>
      <w:r w:rsidRPr="0077622D">
        <w:rPr>
          <w:rFonts w:asciiTheme="majorBidi" w:hAnsiTheme="majorBidi" w:cstheme="majorBidi"/>
          <w:sz w:val="24"/>
          <w:szCs w:val="24"/>
          <w:lang w:bidi="ar-DZ"/>
        </w:rPr>
        <w:t>Folke,</w:t>
      </w:r>
      <w:r w:rsidRPr="0077622D">
        <w:rPr>
          <w:rFonts w:asciiTheme="majorBidi" w:hAnsiTheme="majorBidi" w:cstheme="majorBidi"/>
          <w:sz w:val="24"/>
          <w:szCs w:val="24"/>
          <w:rtl/>
          <w:lang w:bidi="ar-DZ"/>
        </w:rPr>
        <w:t xml:space="preserve"> </w:t>
      </w:r>
      <w:r w:rsidRPr="0077622D">
        <w:rPr>
          <w:rFonts w:asciiTheme="majorBidi" w:hAnsiTheme="majorBidi" w:cstheme="majorBidi"/>
          <w:sz w:val="24"/>
          <w:szCs w:val="24"/>
          <w:lang w:bidi="ar-DZ"/>
        </w:rPr>
        <w:t>Godschalk, 2003;</w:t>
      </w:r>
      <w:r w:rsidRPr="0077622D">
        <w:rPr>
          <w:rFonts w:asciiTheme="majorBidi" w:hAnsiTheme="majorBidi" w:cstheme="majorBidi"/>
          <w:sz w:val="24"/>
          <w:szCs w:val="24"/>
          <w:rtl/>
          <w:lang w:bidi="ar-DZ"/>
        </w:rPr>
        <w:t xml:space="preserve"> </w:t>
      </w:r>
      <w:r w:rsidRPr="0077622D">
        <w:rPr>
          <w:rFonts w:asciiTheme="majorBidi" w:hAnsiTheme="majorBidi" w:cstheme="majorBidi"/>
          <w:sz w:val="24"/>
          <w:szCs w:val="24"/>
          <w:lang w:bidi="ar-DZ"/>
        </w:rPr>
        <w:t>Manyena, 2006;</w:t>
      </w:r>
      <w:r w:rsidRPr="0077622D">
        <w:rPr>
          <w:rFonts w:asciiTheme="majorBidi" w:hAnsiTheme="majorBidi" w:cstheme="majorBidi"/>
          <w:sz w:val="24"/>
          <w:szCs w:val="24"/>
          <w:rtl/>
          <w:lang w:bidi="ar-DZ"/>
        </w:rPr>
        <w:t>)</w:t>
      </w:r>
      <w:r w:rsidRPr="0077622D">
        <w:rPr>
          <w:rFonts w:asciiTheme="minorBidi" w:hAnsiTheme="minorBidi" w:cs="Arial"/>
          <w:sz w:val="24"/>
          <w:szCs w:val="24"/>
          <w:rtl/>
          <w:lang w:bidi="ar-DZ"/>
        </w:rPr>
        <w:t>.</w:t>
      </w:r>
    </w:p>
    <w:p w:rsidR="00C121B0" w:rsidRDefault="00C121B0" w:rsidP="008E533E">
      <w:pPr>
        <w:tabs>
          <w:tab w:val="right" w:pos="282"/>
        </w:tabs>
        <w:bidi/>
        <w:spacing w:after="0"/>
        <w:ind w:firstLine="283"/>
        <w:jc w:val="both"/>
        <w:rPr>
          <w:rFonts w:ascii="Simplified Arabic" w:hAnsi="Simplified Arabic" w:cs="Simplified Arabic"/>
          <w:sz w:val="24"/>
          <w:szCs w:val="24"/>
          <w:rtl/>
          <w:lang w:val="en-US"/>
        </w:rPr>
      </w:pPr>
      <w:r w:rsidRPr="00F43304">
        <w:rPr>
          <w:rFonts w:ascii="Simplified Arabic" w:hAnsi="Simplified Arabic" w:cs="Simplified Arabic" w:hint="cs"/>
          <w:sz w:val="24"/>
          <w:szCs w:val="24"/>
          <w:rtl/>
          <w:lang w:val="en-US"/>
        </w:rPr>
        <w:t>في هذا البحث</w:t>
      </w:r>
      <w:r>
        <w:rPr>
          <w:rFonts w:ascii="Simplified Arabic" w:hAnsi="Simplified Arabic" w:cs="Simplified Arabic" w:hint="cs"/>
          <w:sz w:val="24"/>
          <w:szCs w:val="24"/>
          <w:rtl/>
          <w:lang w:val="en-US"/>
        </w:rPr>
        <w:t>،</w:t>
      </w:r>
      <w:r w:rsidRPr="00F43304">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ت</w:t>
      </w:r>
      <w:r w:rsidRPr="00F43304">
        <w:rPr>
          <w:rFonts w:ascii="Simplified Arabic" w:hAnsi="Simplified Arabic" w:cs="Simplified Arabic" w:hint="cs"/>
          <w:sz w:val="24"/>
          <w:szCs w:val="24"/>
          <w:rtl/>
          <w:lang w:val="en-US"/>
        </w:rPr>
        <w:t xml:space="preserve">تضمن </w:t>
      </w:r>
      <w:r>
        <w:rPr>
          <w:rFonts w:ascii="Simplified Arabic" w:hAnsi="Simplified Arabic" w:cs="Simplified Arabic" w:hint="cs"/>
          <w:sz w:val="24"/>
          <w:szCs w:val="24"/>
          <w:rtl/>
          <w:lang w:val="en-US"/>
        </w:rPr>
        <w:t xml:space="preserve">مرونة </w:t>
      </w:r>
      <w:r w:rsidRPr="00F43304">
        <w:rPr>
          <w:rFonts w:ascii="Simplified Arabic" w:hAnsi="Simplified Arabic" w:cs="Simplified Arabic" w:hint="cs"/>
          <w:sz w:val="24"/>
          <w:szCs w:val="24"/>
          <w:rtl/>
          <w:lang w:val="en-US"/>
        </w:rPr>
        <w:t>المكون الفيزيائي</w:t>
      </w:r>
      <w:r>
        <w:rPr>
          <w:rFonts w:ascii="Simplified Arabic" w:hAnsi="Simplified Arabic" w:cs="Simplified Arabic" w:hint="cs"/>
          <w:sz w:val="24"/>
          <w:szCs w:val="24"/>
          <w:rtl/>
          <w:lang w:val="en-US"/>
        </w:rPr>
        <w:t xml:space="preserve"> عوامل</w:t>
      </w:r>
      <w:r w:rsidRPr="009324F0">
        <w:rPr>
          <w:rFonts w:ascii="Simplified Arabic" w:hAnsi="Simplified Arabic" w:cs="Simplified Arabic" w:hint="cs"/>
          <w:sz w:val="24"/>
          <w:szCs w:val="24"/>
          <w:rtl/>
          <w:lang w:val="en-US"/>
        </w:rPr>
        <w:t xml:space="preserve"> </w:t>
      </w:r>
      <w:r w:rsidRPr="00F03E93">
        <w:rPr>
          <w:rFonts w:ascii="Simplified Arabic" w:hAnsi="Simplified Arabic" w:cs="Simplified Arabic" w:hint="cs"/>
          <w:sz w:val="24"/>
          <w:szCs w:val="24"/>
          <w:rtl/>
          <w:lang w:val="en-US"/>
        </w:rPr>
        <w:t xml:space="preserve">ذات صلة بالبيئة </w:t>
      </w:r>
      <w:r w:rsidR="008E533E">
        <w:rPr>
          <w:rFonts w:ascii="Simplified Arabic" w:hAnsi="Simplified Arabic" w:cs="Simplified Arabic" w:hint="cs"/>
          <w:sz w:val="24"/>
          <w:szCs w:val="24"/>
          <w:rtl/>
          <w:lang w:val="en-US"/>
        </w:rPr>
        <w:t xml:space="preserve">الحضرية </w:t>
      </w:r>
      <w:r>
        <w:rPr>
          <w:rFonts w:ascii="Simplified Arabic" w:hAnsi="Simplified Arabic" w:cs="Simplified Arabic" w:hint="cs"/>
          <w:sz w:val="24"/>
          <w:szCs w:val="24"/>
          <w:rtl/>
          <w:lang w:val="en-US"/>
        </w:rPr>
        <w:t>ل</w:t>
      </w:r>
      <w:r w:rsidRPr="00663FB7">
        <w:rPr>
          <w:rFonts w:ascii="Simplified Arabic" w:hAnsi="Simplified Arabic" w:cs="Simplified Arabic"/>
          <w:sz w:val="24"/>
          <w:szCs w:val="24"/>
          <w:rtl/>
          <w:lang w:val="en-US"/>
        </w:rPr>
        <w:t>مدينة بوسعادة</w:t>
      </w:r>
      <w:r w:rsidRPr="00F43304">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يتم تحديد عواملها النهائية من خلال طريقة دلفي.</w:t>
      </w:r>
    </w:p>
    <w:p w:rsidR="00C121B0" w:rsidRDefault="00C121B0" w:rsidP="004D6FB3">
      <w:pPr>
        <w:tabs>
          <w:tab w:val="right" w:pos="282"/>
        </w:tabs>
        <w:bidi/>
        <w:spacing w:after="0"/>
        <w:ind w:firstLine="283"/>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lastRenderedPageBreak/>
        <w:t>ي</w:t>
      </w:r>
      <w:r w:rsidRPr="00DB0A1D">
        <w:rPr>
          <w:rFonts w:ascii="Simplified Arabic" w:hAnsi="Simplified Arabic" w:cs="Simplified Arabic" w:hint="cs"/>
          <w:sz w:val="24"/>
          <w:szCs w:val="24"/>
          <w:rtl/>
          <w:lang w:val="en-US"/>
        </w:rPr>
        <w:t>تأثر</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تطور</w:t>
      </w:r>
      <w:r w:rsidRPr="00DB0A1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DB0A1D">
        <w:rPr>
          <w:rFonts w:ascii="Simplified Arabic" w:hAnsi="Simplified Arabic" w:cs="Simplified Arabic" w:hint="cs"/>
          <w:sz w:val="24"/>
          <w:szCs w:val="24"/>
          <w:rtl/>
          <w:lang w:val="en-US"/>
        </w:rPr>
        <w:t>مرونة</w:t>
      </w:r>
      <w:r w:rsidRPr="00DB0A1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الحضرية </w:t>
      </w:r>
      <w:r w:rsidRPr="00DB0A1D">
        <w:rPr>
          <w:rFonts w:ascii="Simplified Arabic" w:hAnsi="Simplified Arabic" w:cs="Simplified Arabic" w:hint="cs"/>
          <w:sz w:val="24"/>
          <w:szCs w:val="24"/>
          <w:rtl/>
          <w:lang w:val="en-US"/>
        </w:rPr>
        <w:t>بمكونات</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مختلفة</w:t>
      </w:r>
      <w:r>
        <w:rPr>
          <w:rFonts w:ascii="Simplified Arabic" w:hAnsi="Simplified Arabic" w:cs="Simplified Arabic" w:hint="cs"/>
          <w:sz w:val="24"/>
          <w:szCs w:val="24"/>
          <w:rtl/>
          <w:lang w:val="en-US"/>
        </w:rPr>
        <w:t xml:space="preserve">، من ضمنها المكون الفيزيائي </w:t>
      </w:r>
      <w:r w:rsidR="0053760B">
        <w:rPr>
          <w:rFonts w:ascii="Simplified Arabic" w:hAnsi="Simplified Arabic" w:cs="Simplified Arabic" w:hint="cs"/>
          <w:sz w:val="24"/>
          <w:szCs w:val="24"/>
          <w:rtl/>
          <w:lang w:val="en-US"/>
        </w:rPr>
        <w:t>(</w:t>
      </w:r>
      <w:r w:rsidR="0053760B" w:rsidRPr="00EA7A24">
        <w:rPr>
          <w:rFonts w:ascii="Simplified Arabic" w:hAnsi="Simplified Arabic" w:cs="Simplified Arabic" w:hint="cs"/>
          <w:sz w:val="24"/>
          <w:szCs w:val="24"/>
          <w:rtl/>
          <w:lang w:val="en-US"/>
        </w:rPr>
        <w:t>البيئة</w:t>
      </w:r>
      <w:r w:rsidR="0053760B" w:rsidRPr="00EA7A24">
        <w:rPr>
          <w:rFonts w:ascii="Simplified Arabic" w:hAnsi="Simplified Arabic" w:cs="Simplified Arabic"/>
          <w:sz w:val="24"/>
          <w:szCs w:val="24"/>
          <w:rtl/>
          <w:lang w:val="en-US"/>
        </w:rPr>
        <w:t xml:space="preserve"> </w:t>
      </w:r>
      <w:r w:rsidR="008E533E">
        <w:rPr>
          <w:rFonts w:ascii="Simplified Arabic" w:hAnsi="Simplified Arabic" w:cs="Simplified Arabic" w:hint="cs"/>
          <w:sz w:val="24"/>
          <w:szCs w:val="24"/>
          <w:rtl/>
          <w:lang w:val="en-US"/>
        </w:rPr>
        <w:t>الحضرية</w:t>
      </w:r>
      <w:r w:rsidR="0053760B">
        <w:rPr>
          <w:rFonts w:ascii="Simplified Arabic" w:hAnsi="Simplified Arabic" w:cs="Simplified Arabic" w:hint="cs"/>
          <w:sz w:val="24"/>
          <w:szCs w:val="24"/>
          <w:rtl/>
          <w:lang w:val="en-US"/>
        </w:rPr>
        <w:t>)</w:t>
      </w:r>
      <w:r w:rsidR="0053760B" w:rsidRPr="00EA7A2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المرتبط ب</w:t>
      </w:r>
      <w:r w:rsidR="004D6FB3">
        <w:rPr>
          <w:rFonts w:ascii="Simplified Arabic" w:hAnsi="Simplified Arabic" w:cs="Simplified Arabic" w:hint="cs"/>
          <w:sz w:val="24"/>
          <w:szCs w:val="24"/>
          <w:rtl/>
        </w:rPr>
        <w:t>استعمال</w:t>
      </w:r>
      <w:r>
        <w:rPr>
          <w:rFonts w:ascii="Simplified Arabic" w:hAnsi="Simplified Arabic" w:cs="Simplified Arabic" w:hint="cs"/>
          <w:sz w:val="24"/>
          <w:szCs w:val="24"/>
          <w:rtl/>
          <w:lang w:val="en-US"/>
        </w:rPr>
        <w:t xml:space="preserve"> الارض و</w:t>
      </w:r>
      <w:r w:rsidRPr="00DB0A1D">
        <w:rPr>
          <w:rFonts w:ascii="Simplified Arabic" w:hAnsi="Simplified Arabic" w:cs="Simplified Arabic" w:hint="cs"/>
          <w:sz w:val="24"/>
          <w:szCs w:val="24"/>
          <w:rtl/>
          <w:lang w:val="en-US"/>
        </w:rPr>
        <w:t>في</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فترات</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زمنية</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مختلفة كما</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هو</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موضح</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في</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الشكل</w:t>
      </w:r>
      <w:r w:rsidRPr="00DB0A1D">
        <w:rPr>
          <w:rFonts w:ascii="Simplified Arabic" w:hAnsi="Simplified Arabic" w:cs="Simplified Arabic"/>
          <w:sz w:val="24"/>
          <w:szCs w:val="24"/>
          <w:rtl/>
          <w:lang w:val="en-US"/>
        </w:rPr>
        <w:t xml:space="preserve"> </w:t>
      </w:r>
      <w:r>
        <w:rPr>
          <w:rFonts w:ascii="Simplified Arabic" w:hAnsi="Simplified Arabic" w:cs="Simplified Arabic" w:hint="cs"/>
          <w:color w:val="000000" w:themeColor="text1"/>
          <w:sz w:val="24"/>
          <w:szCs w:val="24"/>
          <w:rtl/>
        </w:rPr>
        <w:t xml:space="preserve">رقم </w:t>
      </w:r>
      <w:r>
        <w:rPr>
          <w:rFonts w:ascii="Simplified Arabic" w:hAnsi="Simplified Arabic" w:cs="Simplified Arabic" w:hint="cs"/>
          <w:sz w:val="24"/>
          <w:szCs w:val="24"/>
          <w:rtl/>
          <w:lang w:val="en-US"/>
        </w:rPr>
        <w:t>(</w:t>
      </w:r>
      <w:r w:rsidR="0053760B">
        <w:rPr>
          <w:rFonts w:ascii="Simplified Arabic" w:hAnsi="Simplified Arabic" w:cs="Simplified Arabic" w:hint="cs"/>
          <w:sz w:val="24"/>
          <w:szCs w:val="24"/>
          <w:rtl/>
          <w:lang w:val="en-US"/>
        </w:rPr>
        <w:t>2-5</w:t>
      </w:r>
      <w:r>
        <w:rPr>
          <w:rFonts w:ascii="Simplified Arabic" w:hAnsi="Simplified Arabic" w:cs="Simplified Arabic" w:hint="cs"/>
          <w:sz w:val="24"/>
          <w:szCs w:val="24"/>
          <w:rtl/>
          <w:lang w:val="en-US"/>
        </w:rPr>
        <w:t>)</w:t>
      </w:r>
      <w:r w:rsidRPr="00DB0A1D">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يقتصر البحث الح</w:t>
      </w:r>
      <w:r w:rsidR="0053760B">
        <w:rPr>
          <w:rFonts w:ascii="Simplified Arabic" w:hAnsi="Simplified Arabic" w:cs="Simplified Arabic" w:hint="cs"/>
          <w:sz w:val="24"/>
          <w:szCs w:val="24"/>
          <w:rtl/>
          <w:lang w:val="en-US"/>
        </w:rPr>
        <w:t>الي على مناقشة المكون الفيزيائي</w:t>
      </w:r>
      <w:r w:rsidRPr="00DB0A1D">
        <w:rPr>
          <w:rFonts w:ascii="Simplified Arabic" w:hAnsi="Simplified Arabic" w:cs="Simplified Arabic" w:hint="cs"/>
          <w:sz w:val="24"/>
          <w:szCs w:val="24"/>
          <w:rtl/>
          <w:lang w:val="en-US"/>
        </w:rPr>
        <w:t>،</w:t>
      </w:r>
      <w:r w:rsidRPr="00DB0A1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و</w:t>
      </w:r>
      <w:r w:rsidRPr="00996D2D">
        <w:rPr>
          <w:rFonts w:ascii="Simplified Arabic" w:hAnsi="Simplified Arabic" w:cs="Simplified Arabic" w:hint="cs"/>
          <w:sz w:val="24"/>
          <w:szCs w:val="24"/>
          <w:rtl/>
          <w:lang w:val="en-US"/>
        </w:rPr>
        <w:t>يقسم</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زمن المرونة الى </w:t>
      </w:r>
      <w:r w:rsidRPr="00996D2D">
        <w:rPr>
          <w:rFonts w:ascii="Simplified Arabic" w:hAnsi="Simplified Arabic" w:cs="Simplified Arabic" w:hint="cs"/>
          <w:sz w:val="24"/>
          <w:szCs w:val="24"/>
          <w:rtl/>
          <w:lang w:val="en-US"/>
        </w:rPr>
        <w:t>فترت</w:t>
      </w:r>
      <w:r>
        <w:rPr>
          <w:rFonts w:ascii="Simplified Arabic" w:hAnsi="Simplified Arabic" w:cs="Simplified Arabic" w:hint="cs"/>
          <w:sz w:val="24"/>
          <w:szCs w:val="24"/>
          <w:rtl/>
          <w:lang w:val="en-US"/>
        </w:rPr>
        <w:t>ين</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زمني</w:t>
      </w:r>
      <w:r>
        <w:rPr>
          <w:rFonts w:ascii="Simplified Arabic" w:hAnsi="Simplified Arabic" w:cs="Simplified Arabic" w:hint="cs"/>
          <w:sz w:val="24"/>
          <w:szCs w:val="24"/>
          <w:rtl/>
          <w:lang w:val="en-US"/>
        </w:rPr>
        <w:t>تين</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على</w:t>
      </w:r>
      <w:r w:rsidRPr="00996D2D">
        <w:rPr>
          <w:rFonts w:ascii="Simplified Arabic" w:hAnsi="Simplified Arabic" w:cs="Simplified Arabic"/>
          <w:sz w:val="24"/>
          <w:szCs w:val="24"/>
          <w:rtl/>
          <w:lang w:val="en-US"/>
        </w:rPr>
        <w:t xml:space="preserve"> </w:t>
      </w:r>
      <w:r w:rsidRPr="00996D2D">
        <w:rPr>
          <w:rFonts w:ascii="Simplified Arabic" w:hAnsi="Simplified Arabic" w:cs="Simplified Arabic" w:hint="cs"/>
          <w:sz w:val="24"/>
          <w:szCs w:val="24"/>
          <w:rtl/>
          <w:lang w:val="en-US"/>
        </w:rPr>
        <w:t>أساسها</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w:t>
      </w:r>
      <w:r w:rsidRPr="00996D2D">
        <w:rPr>
          <w:rFonts w:ascii="Simplified Arabic" w:hAnsi="Simplified Arabic" w:cs="Simplified Arabic" w:hint="cs"/>
          <w:sz w:val="24"/>
          <w:szCs w:val="24"/>
          <w:rtl/>
          <w:lang w:val="en-US"/>
        </w:rPr>
        <w:t>تم</w:t>
      </w:r>
      <w:r w:rsidRPr="00996D2D">
        <w:rPr>
          <w:rFonts w:ascii="Simplified Arabic" w:hAnsi="Simplified Arabic" w:cs="Simplified Arabic"/>
          <w:sz w:val="24"/>
          <w:szCs w:val="24"/>
          <w:rtl/>
          <w:lang w:val="en-US"/>
        </w:rPr>
        <w:t xml:space="preserve"> </w:t>
      </w:r>
      <w:r w:rsidR="006550EA">
        <w:rPr>
          <w:rFonts w:ascii="Simplified Arabic" w:hAnsi="Simplified Arabic" w:cs="Simplified Arabic" w:hint="cs"/>
          <w:sz w:val="24"/>
          <w:szCs w:val="24"/>
          <w:rtl/>
          <w:lang w:val="en-US"/>
        </w:rPr>
        <w:t>تفعيل مفهوم</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المرونة. </w:t>
      </w:r>
    </w:p>
    <w:p w:rsidR="00C121B0" w:rsidRDefault="00C121B0" w:rsidP="0053760B">
      <w:pPr>
        <w:tabs>
          <w:tab w:val="right" w:pos="282"/>
        </w:tabs>
        <w:bidi/>
        <w:spacing w:after="0"/>
        <w:ind w:firstLine="283"/>
        <w:jc w:val="both"/>
        <w:rPr>
          <w:rFonts w:ascii="Simplified Arabic" w:hAnsi="Simplified Arabic" w:cs="Simplified Arabic"/>
          <w:sz w:val="24"/>
          <w:szCs w:val="24"/>
          <w:rtl/>
          <w:lang w:val="en-US"/>
        </w:rPr>
      </w:pPr>
      <w:r w:rsidRPr="0077622D">
        <w:rPr>
          <w:rFonts w:ascii="Simplified Arabic" w:hAnsi="Simplified Arabic" w:cs="Simplified Arabic" w:hint="cs"/>
          <w:sz w:val="24"/>
          <w:szCs w:val="24"/>
          <w:u w:val="single"/>
          <w:rtl/>
          <w:lang w:val="en-US"/>
        </w:rPr>
        <w:t>الفترة الزمنية الاولى على</w:t>
      </w:r>
      <w:r w:rsidRPr="0077622D">
        <w:rPr>
          <w:rFonts w:ascii="Simplified Arabic" w:hAnsi="Simplified Arabic" w:cs="Simplified Arabic"/>
          <w:sz w:val="24"/>
          <w:szCs w:val="24"/>
          <w:u w:val="single"/>
          <w:rtl/>
          <w:lang w:val="en-US"/>
        </w:rPr>
        <w:t xml:space="preserve"> </w:t>
      </w:r>
      <w:r w:rsidRPr="0077622D">
        <w:rPr>
          <w:rFonts w:ascii="Simplified Arabic" w:hAnsi="Simplified Arabic" w:cs="Simplified Arabic" w:hint="cs"/>
          <w:sz w:val="24"/>
          <w:szCs w:val="24"/>
          <w:u w:val="single"/>
          <w:rtl/>
          <w:lang w:val="en-US"/>
        </w:rPr>
        <w:t>المدى</w:t>
      </w:r>
      <w:r w:rsidRPr="0077622D">
        <w:rPr>
          <w:rFonts w:ascii="Simplified Arabic" w:hAnsi="Simplified Arabic" w:cs="Simplified Arabic"/>
          <w:sz w:val="24"/>
          <w:szCs w:val="24"/>
          <w:u w:val="single"/>
          <w:rtl/>
          <w:lang w:val="en-US"/>
        </w:rPr>
        <w:t xml:space="preserve"> </w:t>
      </w:r>
      <w:r w:rsidRPr="0077622D">
        <w:rPr>
          <w:rFonts w:ascii="Simplified Arabic" w:hAnsi="Simplified Arabic" w:cs="Simplified Arabic" w:hint="cs"/>
          <w:sz w:val="24"/>
          <w:szCs w:val="24"/>
          <w:u w:val="single"/>
          <w:rtl/>
          <w:lang w:val="en-US"/>
        </w:rPr>
        <w:t xml:space="preserve">القصير </w:t>
      </w:r>
      <w:r w:rsidR="0053760B" w:rsidRPr="0077622D">
        <w:rPr>
          <w:rFonts w:ascii="Simplified Arabic" w:hAnsi="Simplified Arabic" w:cs="Simplified Arabic" w:hint="cs"/>
          <w:sz w:val="24"/>
          <w:szCs w:val="24"/>
          <w:u w:val="single"/>
          <w:rtl/>
          <w:lang w:val="en-US"/>
        </w:rPr>
        <w:t>(</w:t>
      </w:r>
      <w:r w:rsidRPr="0077622D">
        <w:rPr>
          <w:rFonts w:ascii="Simplified Arabic" w:hAnsi="Simplified Arabic" w:cs="Simplified Arabic" w:hint="cs"/>
          <w:sz w:val="24"/>
          <w:szCs w:val="24"/>
          <w:u w:val="single"/>
          <w:rtl/>
          <w:lang w:val="en-US"/>
        </w:rPr>
        <w:t>اثناء الصدمة</w:t>
      </w:r>
      <w:r w:rsidR="0053760B" w:rsidRPr="0077622D">
        <w:rPr>
          <w:rFonts w:ascii="Simplified Arabic" w:hAnsi="Simplified Arabic" w:cs="Simplified Arabic" w:hint="cs"/>
          <w:sz w:val="24"/>
          <w:szCs w:val="24"/>
          <w:u w:val="single"/>
          <w:rtl/>
          <w:lang w:val="en-US"/>
        </w:rPr>
        <w:t>)</w:t>
      </w:r>
      <w:r w:rsidRPr="0077622D">
        <w:rPr>
          <w:rFonts w:ascii="Simplified Arabic" w:hAnsi="Simplified Arabic" w:cs="Simplified Arabic" w:hint="cs"/>
          <w:sz w:val="24"/>
          <w:szCs w:val="24"/>
          <w:rtl/>
          <w:lang w:val="en-US"/>
        </w:rPr>
        <w:t>،</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قدرة</w:t>
      </w:r>
      <w:r w:rsidR="0053760B" w:rsidRPr="0077622D">
        <w:rPr>
          <w:rFonts w:ascii="Simplified Arabic" w:hAnsi="Simplified Arabic" w:cs="Simplified Arabic" w:hint="cs"/>
          <w:sz w:val="24"/>
          <w:szCs w:val="24"/>
          <w:rtl/>
          <w:lang w:val="en-US"/>
        </w:rPr>
        <w:t xml:space="preserve"> مدينة بوسعادة على</w:t>
      </w:r>
      <w:r w:rsidRPr="0077622D">
        <w:rPr>
          <w:rFonts w:ascii="Simplified Arabic" w:hAnsi="Simplified Arabic" w:cs="Simplified Arabic" w:hint="cs"/>
          <w:sz w:val="24"/>
          <w:szCs w:val="24"/>
          <w:rtl/>
          <w:lang w:val="en-US"/>
        </w:rPr>
        <w:t xml:space="preserve"> الاستجابة من خلال تقييم مستويات مرونة الاحياء لتحديد الاماكن التي تعاني مستوى مرونة متدن. المؤلفات العلمية لتقييم </w:t>
      </w:r>
      <w:r w:rsidR="0053760B" w:rsidRPr="0077622D">
        <w:rPr>
          <w:rFonts w:ascii="Simplified Arabic" w:hAnsi="Simplified Arabic" w:cs="Simplified Arabic" w:hint="cs"/>
          <w:sz w:val="24"/>
          <w:szCs w:val="24"/>
          <w:rtl/>
          <w:lang w:val="en-US"/>
        </w:rPr>
        <w:t>ال</w:t>
      </w:r>
      <w:r w:rsidRPr="0077622D">
        <w:rPr>
          <w:rFonts w:ascii="Simplified Arabic" w:hAnsi="Simplified Arabic" w:cs="Simplified Arabic" w:hint="cs"/>
          <w:sz w:val="24"/>
          <w:szCs w:val="24"/>
          <w:rtl/>
          <w:lang w:val="en-US"/>
        </w:rPr>
        <w:t xml:space="preserve">قدرة </w:t>
      </w:r>
      <w:r w:rsidR="0053760B" w:rsidRPr="0077622D">
        <w:rPr>
          <w:rFonts w:ascii="Simplified Arabic" w:hAnsi="Simplified Arabic" w:cs="Simplified Arabic" w:hint="cs"/>
          <w:sz w:val="24"/>
          <w:szCs w:val="24"/>
          <w:rtl/>
          <w:lang w:val="en-US"/>
        </w:rPr>
        <w:t xml:space="preserve">على </w:t>
      </w:r>
      <w:r w:rsidRPr="0077622D">
        <w:rPr>
          <w:rFonts w:ascii="Simplified Arabic" w:hAnsi="Simplified Arabic" w:cs="Simplified Arabic" w:hint="cs"/>
          <w:sz w:val="24"/>
          <w:szCs w:val="24"/>
          <w:rtl/>
          <w:lang w:val="en-US"/>
        </w:rPr>
        <w:t>الاستجابة</w:t>
      </w:r>
      <w:r w:rsidR="0053760B" w:rsidRPr="0077622D">
        <w:rPr>
          <w:rFonts w:ascii="Simplified Arabic" w:hAnsi="Simplified Arabic" w:cs="Simplified Arabic" w:hint="cs"/>
          <w:sz w:val="24"/>
          <w:szCs w:val="24"/>
          <w:rtl/>
          <w:lang w:val="en-US"/>
        </w:rPr>
        <w:t>،</w:t>
      </w:r>
      <w:r w:rsidRPr="0077622D">
        <w:rPr>
          <w:rFonts w:ascii="Simplified Arabic" w:hAnsi="Simplified Arabic" w:cs="Simplified Arabic" w:hint="cs"/>
          <w:sz w:val="24"/>
          <w:szCs w:val="24"/>
          <w:rtl/>
          <w:lang w:val="en-US"/>
        </w:rPr>
        <w:t xml:space="preserve"> يعتبر بمثابة استكشاف للمرونة على المدى القصير </w:t>
      </w:r>
      <w:r w:rsidRPr="0077622D">
        <w:rPr>
          <w:rFonts w:asciiTheme="majorBidi" w:hAnsiTheme="majorBidi" w:cstheme="majorBidi"/>
          <w:color w:val="000000" w:themeColor="text1"/>
          <w:sz w:val="24"/>
          <w:szCs w:val="24"/>
          <w:rtl/>
          <w:lang w:val="en-US" w:bidi="ar-DZ"/>
        </w:rPr>
        <w:t>(</w:t>
      </w:r>
      <w:r w:rsidRPr="0077622D">
        <w:rPr>
          <w:rFonts w:asciiTheme="majorBidi" w:hAnsiTheme="majorBidi" w:cstheme="majorBidi"/>
          <w:color w:val="000000" w:themeColor="text1"/>
          <w:sz w:val="24"/>
          <w:szCs w:val="24"/>
          <w:lang w:val="en-US" w:bidi="ar-DZ"/>
        </w:rPr>
        <w:t>2022</w:t>
      </w:r>
      <w:r w:rsidRPr="0077622D">
        <w:rPr>
          <w:rFonts w:asciiTheme="majorBidi" w:hAnsiTheme="majorBidi" w:cstheme="majorBidi" w:hint="cs"/>
          <w:color w:val="000000" w:themeColor="text1"/>
          <w:sz w:val="24"/>
          <w:szCs w:val="24"/>
          <w:rtl/>
          <w:lang w:val="en-US" w:bidi="ar-DZ"/>
        </w:rPr>
        <w:t xml:space="preserve"> </w:t>
      </w:r>
      <w:r w:rsidRPr="0077622D">
        <w:rPr>
          <w:rFonts w:asciiTheme="majorBidi" w:hAnsiTheme="majorBidi" w:cstheme="majorBidi"/>
          <w:color w:val="000000" w:themeColor="text1"/>
          <w:sz w:val="24"/>
          <w:szCs w:val="24"/>
          <w:lang w:val="en-US" w:bidi="ar-DZ"/>
        </w:rPr>
        <w:t xml:space="preserve">Haghighi </w:t>
      </w:r>
      <w:r w:rsidRPr="0077622D">
        <w:rPr>
          <w:rFonts w:asciiTheme="majorBidi" w:hAnsiTheme="majorBidi" w:cstheme="majorBidi"/>
          <w:color w:val="000000" w:themeColor="text1"/>
          <w:sz w:val="24"/>
          <w:szCs w:val="24"/>
          <w:lang w:bidi="ar-DZ"/>
        </w:rPr>
        <w:t>Fard and and Doratli</w:t>
      </w:r>
      <w:r w:rsidRPr="0077622D">
        <w:rPr>
          <w:rFonts w:asciiTheme="majorBidi" w:hAnsiTheme="majorBidi" w:cstheme="majorBidi"/>
          <w:color w:val="000000" w:themeColor="text1"/>
          <w:sz w:val="24"/>
          <w:szCs w:val="24"/>
          <w:lang w:val="en-US" w:bidi="ar-DZ"/>
        </w:rPr>
        <w:t>,</w:t>
      </w:r>
      <w:r w:rsidRPr="0077622D">
        <w:rPr>
          <w:rFonts w:asciiTheme="majorBidi" w:hAnsiTheme="majorBidi" w:cstheme="majorBidi" w:hint="cs"/>
          <w:color w:val="000000" w:themeColor="text1"/>
          <w:sz w:val="24"/>
          <w:szCs w:val="24"/>
          <w:rtl/>
          <w:lang w:val="en-US" w:bidi="ar-DZ"/>
        </w:rPr>
        <w:t xml:space="preserve"> </w:t>
      </w:r>
      <w:r w:rsidRPr="0077622D">
        <w:rPr>
          <w:rFonts w:asciiTheme="majorBidi" w:hAnsiTheme="majorBidi" w:cstheme="majorBidi"/>
          <w:color w:val="000000" w:themeColor="text1"/>
          <w:sz w:val="24"/>
          <w:szCs w:val="24"/>
          <w:lang w:val="en-US" w:bidi="ar-DZ"/>
        </w:rPr>
        <w:t>Javari</w:t>
      </w:r>
      <w:r w:rsidR="00D02756" w:rsidRPr="0077622D">
        <w:rPr>
          <w:rFonts w:asciiTheme="majorBidi" w:hAnsiTheme="majorBidi" w:cstheme="majorBidi"/>
          <w:color w:val="000000" w:themeColor="text1"/>
          <w:sz w:val="24"/>
          <w:szCs w:val="24"/>
          <w:lang w:val="en-US" w:bidi="ar-DZ"/>
        </w:rPr>
        <w:t xml:space="preserve"> et al.,</w:t>
      </w:r>
      <w:r w:rsidRPr="0077622D">
        <w:rPr>
          <w:rFonts w:asciiTheme="majorBidi" w:hAnsiTheme="majorBidi" w:cstheme="majorBidi"/>
          <w:color w:val="000000" w:themeColor="text1"/>
          <w:sz w:val="24"/>
          <w:szCs w:val="24"/>
          <w:lang w:val="en-US" w:bidi="ar-DZ"/>
        </w:rPr>
        <w:t xml:space="preserve"> 2021</w:t>
      </w:r>
      <w:r w:rsidRPr="0077622D">
        <w:rPr>
          <w:rFonts w:asciiTheme="majorBidi" w:hAnsiTheme="majorBidi" w:cstheme="majorBidi"/>
          <w:color w:val="000000" w:themeColor="text1"/>
          <w:sz w:val="24"/>
          <w:szCs w:val="24"/>
          <w:lang w:bidi="ar-DZ"/>
        </w:rPr>
        <w:t>;</w:t>
      </w:r>
      <w:r w:rsidRPr="0077622D">
        <w:rPr>
          <w:rFonts w:ascii="Simplified Arabic" w:eastAsia="Times New Roman" w:hAnsi="Simplified Arabic" w:cs="Simplified Arabic"/>
          <w:b/>
          <w:sz w:val="24"/>
          <w:szCs w:val="24"/>
          <w:rtl/>
          <w:lang w:val="en-US" w:eastAsia="fr-FR"/>
        </w:rPr>
        <w:t>)</w:t>
      </w:r>
      <w:r w:rsidRPr="0077622D">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rPr>
        <w:t xml:space="preserve"> </w:t>
      </w:r>
    </w:p>
    <w:p w:rsidR="00C121B0" w:rsidRDefault="00C121B0" w:rsidP="00ED1C8F">
      <w:pPr>
        <w:tabs>
          <w:tab w:val="right" w:pos="282"/>
        </w:tabs>
        <w:bidi/>
        <w:spacing w:after="0"/>
        <w:ind w:firstLine="283"/>
        <w:jc w:val="both"/>
        <w:rPr>
          <w:rFonts w:ascii="Simplified Arabic" w:hAnsi="Simplified Arabic" w:cs="Simplified Arabic"/>
          <w:sz w:val="24"/>
          <w:szCs w:val="24"/>
          <w:rtl/>
          <w:lang w:val="en-US"/>
        </w:rPr>
      </w:pPr>
      <w:r w:rsidRPr="00FD32DD">
        <w:rPr>
          <w:rFonts w:ascii="Simplified Arabic" w:hAnsi="Simplified Arabic" w:cs="Simplified Arabic" w:hint="cs"/>
          <w:sz w:val="24"/>
          <w:szCs w:val="24"/>
          <w:u w:val="single"/>
          <w:rtl/>
          <w:lang w:val="en-US"/>
        </w:rPr>
        <w:t>الفترة الزمنية الثانية على</w:t>
      </w:r>
      <w:r w:rsidRPr="00FD32DD">
        <w:rPr>
          <w:rFonts w:ascii="Simplified Arabic" w:hAnsi="Simplified Arabic" w:cs="Simplified Arabic"/>
          <w:sz w:val="24"/>
          <w:szCs w:val="24"/>
          <w:u w:val="single"/>
          <w:rtl/>
          <w:lang w:val="en-US"/>
        </w:rPr>
        <w:t xml:space="preserve"> </w:t>
      </w:r>
      <w:r w:rsidRPr="00FD32DD">
        <w:rPr>
          <w:rFonts w:ascii="Simplified Arabic" w:hAnsi="Simplified Arabic" w:cs="Simplified Arabic" w:hint="cs"/>
          <w:sz w:val="24"/>
          <w:szCs w:val="24"/>
          <w:u w:val="single"/>
          <w:rtl/>
          <w:lang w:val="en-US"/>
        </w:rPr>
        <w:t>المدى</w:t>
      </w:r>
      <w:r w:rsidRPr="00FD32DD">
        <w:rPr>
          <w:rFonts w:ascii="Simplified Arabic" w:hAnsi="Simplified Arabic" w:cs="Simplified Arabic"/>
          <w:sz w:val="24"/>
          <w:szCs w:val="24"/>
          <w:u w:val="single"/>
          <w:rtl/>
          <w:lang w:val="en-US"/>
        </w:rPr>
        <w:t xml:space="preserve"> </w:t>
      </w:r>
      <w:r w:rsidRPr="00FD32DD">
        <w:rPr>
          <w:rFonts w:ascii="Simplified Arabic" w:hAnsi="Simplified Arabic" w:cs="Simplified Arabic" w:hint="cs"/>
          <w:sz w:val="24"/>
          <w:szCs w:val="24"/>
          <w:u w:val="single"/>
          <w:rtl/>
          <w:lang w:val="en-US"/>
        </w:rPr>
        <w:t xml:space="preserve">الطويل </w:t>
      </w:r>
      <w:r w:rsidR="0053760B">
        <w:rPr>
          <w:rFonts w:ascii="Simplified Arabic" w:hAnsi="Simplified Arabic" w:cs="Simplified Arabic" w:hint="cs"/>
          <w:sz w:val="24"/>
          <w:szCs w:val="24"/>
          <w:u w:val="single"/>
          <w:rtl/>
          <w:lang w:val="en-US"/>
        </w:rPr>
        <w:t>(</w:t>
      </w:r>
      <w:r w:rsidRPr="00FD32DD">
        <w:rPr>
          <w:rFonts w:ascii="Simplified Arabic" w:hAnsi="Simplified Arabic" w:cs="Simplified Arabic" w:hint="cs"/>
          <w:sz w:val="24"/>
          <w:szCs w:val="24"/>
          <w:u w:val="single"/>
          <w:rtl/>
          <w:lang w:val="en-US"/>
        </w:rPr>
        <w:t>بعد</w:t>
      </w:r>
      <w:r w:rsidRPr="00FD32DD">
        <w:rPr>
          <w:rFonts w:ascii="Simplified Arabic" w:hAnsi="Simplified Arabic" w:cs="Simplified Arabic"/>
          <w:sz w:val="24"/>
          <w:szCs w:val="24"/>
          <w:u w:val="single"/>
          <w:rtl/>
          <w:lang w:val="en-US"/>
        </w:rPr>
        <w:t xml:space="preserve"> </w:t>
      </w:r>
      <w:r w:rsidRPr="00FD32DD">
        <w:rPr>
          <w:rFonts w:ascii="Simplified Arabic" w:hAnsi="Simplified Arabic" w:cs="Simplified Arabic" w:hint="cs"/>
          <w:sz w:val="24"/>
          <w:szCs w:val="24"/>
          <w:u w:val="single"/>
          <w:rtl/>
          <w:lang w:val="en-US"/>
        </w:rPr>
        <w:t>الصدمة</w:t>
      </w:r>
      <w:r w:rsidR="0053760B">
        <w:rPr>
          <w:rFonts w:ascii="Simplified Arabic" w:hAnsi="Simplified Arabic" w:cs="Simplified Arabic" w:hint="cs"/>
          <w:sz w:val="24"/>
          <w:szCs w:val="24"/>
          <w:u w:val="single"/>
          <w:rtl/>
          <w:lang w:val="en-US"/>
        </w:rPr>
        <w:t>)</w:t>
      </w:r>
      <w:r>
        <w:rPr>
          <w:rFonts w:ascii="Simplified Arabic" w:hAnsi="Simplified Arabic" w:cs="Simplified Arabic" w:hint="cs"/>
          <w:sz w:val="24"/>
          <w:szCs w:val="24"/>
          <w:rtl/>
          <w:lang w:val="en-US"/>
        </w:rPr>
        <w:t>،</w:t>
      </w:r>
      <w:r w:rsidRPr="00996D2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لإبراز قدرة </w:t>
      </w:r>
      <w:r w:rsidR="00ED1C8F">
        <w:rPr>
          <w:rFonts w:ascii="Simplified Arabic" w:hAnsi="Simplified Arabic" w:cs="Simplified Arabic" w:hint="cs"/>
          <w:sz w:val="24"/>
          <w:szCs w:val="24"/>
          <w:rtl/>
          <w:lang w:val="en-US"/>
        </w:rPr>
        <w:t>التكيّف</w:t>
      </w:r>
      <w:r>
        <w:rPr>
          <w:rFonts w:ascii="Simplified Arabic" w:hAnsi="Simplified Arabic" w:cs="Simplified Arabic" w:hint="cs"/>
          <w:sz w:val="24"/>
          <w:szCs w:val="24"/>
          <w:rtl/>
          <w:lang w:val="en-US"/>
        </w:rPr>
        <w:t xml:space="preserve"> من خلال ا</w:t>
      </w:r>
      <w:r w:rsidRPr="00F946ED">
        <w:rPr>
          <w:rFonts w:ascii="Simplified Arabic" w:hAnsi="Simplified Arabic" w:cs="Simplified Arabic" w:hint="cs"/>
          <w:sz w:val="24"/>
          <w:szCs w:val="24"/>
          <w:rtl/>
          <w:lang w:val="en-US"/>
        </w:rPr>
        <w:t>لتدخلات</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التخطيطية</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والممارسات</w:t>
      </w:r>
      <w:r w:rsidRPr="00F946E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العملية (التدخلات) </w:t>
      </w:r>
      <w:r w:rsidRPr="00F946ED">
        <w:rPr>
          <w:rFonts w:ascii="Simplified Arabic" w:hAnsi="Simplified Arabic" w:cs="Simplified Arabic" w:hint="cs"/>
          <w:sz w:val="24"/>
          <w:szCs w:val="24"/>
          <w:rtl/>
          <w:lang w:val="en-US"/>
        </w:rPr>
        <w:t>التي</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لديها</w:t>
      </w:r>
      <w:r>
        <w:rPr>
          <w:rFonts w:ascii="Simplified Arabic" w:hAnsi="Simplified Arabic" w:cs="Simplified Arabic" w:hint="cs"/>
          <w:sz w:val="24"/>
          <w:szCs w:val="24"/>
          <w:rtl/>
          <w:lang w:val="en-US"/>
        </w:rPr>
        <w:t xml:space="preserve"> </w:t>
      </w:r>
      <w:r w:rsidRPr="00F946ED">
        <w:rPr>
          <w:rFonts w:ascii="Simplified Arabic" w:hAnsi="Simplified Arabic" w:cs="Simplified Arabic" w:hint="cs"/>
          <w:sz w:val="24"/>
          <w:szCs w:val="24"/>
          <w:rtl/>
          <w:lang w:val="en-US"/>
        </w:rPr>
        <w:t>أثر</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على</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توازن</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مستويات</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مرونة</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المدينة</w:t>
      </w:r>
      <w:r w:rsidRPr="00996D2D">
        <w:rPr>
          <w:rFonts w:ascii="Simplified Arabic" w:hAnsi="Simplified Arabic" w:cs="Simplified Arabic"/>
          <w:sz w:val="24"/>
          <w:szCs w:val="24"/>
          <w:rtl/>
          <w:lang w:val="en-US"/>
        </w:rPr>
        <w:t>.</w:t>
      </w:r>
    </w:p>
    <w:p w:rsidR="00C121B0" w:rsidRDefault="00C121B0" w:rsidP="00ED1C8F">
      <w:pPr>
        <w:tabs>
          <w:tab w:val="right" w:pos="282"/>
        </w:tabs>
        <w:bidi/>
        <w:spacing w:after="0"/>
        <w:ind w:firstLine="283"/>
        <w:jc w:val="both"/>
        <w:rPr>
          <w:rFonts w:ascii="Simplified Arabic" w:hAnsi="Simplified Arabic" w:cs="Simplified Arabic"/>
          <w:sz w:val="24"/>
          <w:szCs w:val="24"/>
          <w:rtl/>
          <w:lang w:val="en-US"/>
        </w:rPr>
      </w:pPr>
      <w:r w:rsidRPr="00DB0A1D">
        <w:rPr>
          <w:rFonts w:ascii="Simplified Arabic" w:hAnsi="Simplified Arabic" w:cs="Simplified Arabic" w:hint="cs"/>
          <w:sz w:val="24"/>
          <w:szCs w:val="24"/>
          <w:rtl/>
          <w:lang w:val="en-US"/>
        </w:rPr>
        <w:t>لا</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يركز</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الشكل</w:t>
      </w:r>
      <w:r w:rsidRPr="00DB0A1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w:t>
      </w:r>
      <w:r w:rsidR="0011101E">
        <w:rPr>
          <w:rFonts w:ascii="Simplified Arabic" w:hAnsi="Simplified Arabic" w:cs="Simplified Arabic" w:hint="cs"/>
          <w:sz w:val="24"/>
          <w:szCs w:val="24"/>
          <w:rtl/>
          <w:lang w:val="en-US"/>
        </w:rPr>
        <w:t>2-5</w:t>
      </w:r>
      <w:r>
        <w:rPr>
          <w:rFonts w:ascii="Simplified Arabic" w:hAnsi="Simplified Arabic" w:cs="Simplified Arabic" w:hint="cs"/>
          <w:sz w:val="24"/>
          <w:szCs w:val="24"/>
          <w:rtl/>
          <w:lang w:val="en-US"/>
        </w:rPr>
        <w:t xml:space="preserve">) </w:t>
      </w:r>
      <w:r w:rsidRPr="00DB0A1D">
        <w:rPr>
          <w:rFonts w:ascii="Simplified Arabic" w:hAnsi="Simplified Arabic" w:cs="Simplified Arabic" w:hint="cs"/>
          <w:sz w:val="24"/>
          <w:szCs w:val="24"/>
          <w:rtl/>
          <w:lang w:val="en-US"/>
        </w:rPr>
        <w:t>على</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المرونة</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في</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دورة</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الكارثة</w:t>
      </w:r>
      <w:r>
        <w:rPr>
          <w:rFonts w:ascii="Simplified Arabic" w:hAnsi="Simplified Arabic" w:cs="Simplified Arabic" w:hint="cs"/>
          <w:sz w:val="24"/>
          <w:szCs w:val="24"/>
          <w:rtl/>
          <w:lang w:val="en-US"/>
        </w:rPr>
        <w:t>،</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لكنه</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يمثل</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تطور</w:t>
      </w:r>
      <w:r w:rsidRPr="00DB0A1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البعد الزمني</w:t>
      </w:r>
      <w:r w:rsidRPr="00DB0A1D">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ل</w:t>
      </w:r>
      <w:r w:rsidRPr="00DB0A1D">
        <w:rPr>
          <w:rFonts w:ascii="Simplified Arabic" w:hAnsi="Simplified Arabic" w:cs="Simplified Arabic" w:hint="cs"/>
          <w:sz w:val="24"/>
          <w:szCs w:val="24"/>
          <w:rtl/>
          <w:lang w:val="en-US"/>
        </w:rPr>
        <w:t>مرونة</w:t>
      </w:r>
      <w:r w:rsidRPr="00DB0A1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المكون الفيزيائي</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في</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حالة</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وقوع</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حدث</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كارثي</w:t>
      </w:r>
      <w:r w:rsidRPr="00DB0A1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(زمن الاستجابة</w:t>
      </w:r>
      <w:r w:rsidR="0011101E">
        <w:rPr>
          <w:rFonts w:ascii="Simplified Arabic" w:hAnsi="Simplified Arabic" w:cs="Simplified Arabic" w:hint="cs"/>
          <w:sz w:val="24"/>
          <w:szCs w:val="24"/>
          <w:rtl/>
          <w:lang w:val="en-US"/>
        </w:rPr>
        <w:t xml:space="preserve"> على المدى القصير</w:t>
      </w:r>
      <w:r>
        <w:rPr>
          <w:rFonts w:ascii="Simplified Arabic" w:hAnsi="Simplified Arabic" w:cs="Simplified Arabic" w:hint="cs"/>
          <w:sz w:val="24"/>
          <w:szCs w:val="24"/>
          <w:rtl/>
          <w:lang w:val="en-US"/>
        </w:rPr>
        <w:t xml:space="preserve">) </w:t>
      </w:r>
      <w:r w:rsidRPr="00DB0A1D">
        <w:rPr>
          <w:rFonts w:ascii="Simplified Arabic" w:hAnsi="Simplified Arabic" w:cs="Simplified Arabic" w:hint="cs"/>
          <w:sz w:val="24"/>
          <w:szCs w:val="24"/>
          <w:rtl/>
          <w:lang w:val="en-US"/>
        </w:rPr>
        <w:t>والطرق</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التي</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يمكن</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أن</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تؤثر</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بها</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تدخلات</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التخطيط</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المحدثة</w:t>
      </w:r>
      <w:r w:rsidRPr="00DB0A1D">
        <w:rPr>
          <w:rFonts w:ascii="Simplified Arabic" w:hAnsi="Simplified Arabic" w:cs="Simplified Arabic"/>
          <w:sz w:val="24"/>
          <w:szCs w:val="24"/>
          <w:rtl/>
          <w:lang w:val="en-US"/>
        </w:rPr>
        <w:t xml:space="preserve"> </w:t>
      </w:r>
      <w:r w:rsidR="00ED1C8F">
        <w:rPr>
          <w:rFonts w:ascii="Simplified Arabic" w:hAnsi="Simplified Arabic" w:cs="Simplified Arabic" w:hint="cs"/>
          <w:sz w:val="24"/>
          <w:szCs w:val="24"/>
          <w:rtl/>
          <w:lang w:val="en-US"/>
        </w:rPr>
        <w:t xml:space="preserve">واعادة البناء </w:t>
      </w:r>
      <w:r w:rsidRPr="00DB0A1D">
        <w:rPr>
          <w:rFonts w:ascii="Simplified Arabic" w:hAnsi="Simplified Arabic" w:cs="Simplified Arabic" w:hint="cs"/>
          <w:sz w:val="24"/>
          <w:szCs w:val="24"/>
          <w:rtl/>
          <w:lang w:val="en-US"/>
        </w:rPr>
        <w:t>على</w:t>
      </w:r>
      <w:r w:rsidRPr="00DB0A1D">
        <w:rPr>
          <w:rFonts w:ascii="Simplified Arabic" w:hAnsi="Simplified Arabic" w:cs="Simplified Arabic"/>
          <w:sz w:val="24"/>
          <w:szCs w:val="24"/>
          <w:rtl/>
          <w:lang w:val="en-US"/>
        </w:rPr>
        <w:t xml:space="preserve"> </w:t>
      </w:r>
      <w:r w:rsidRPr="00DB0A1D">
        <w:rPr>
          <w:rFonts w:ascii="Simplified Arabic" w:hAnsi="Simplified Arabic" w:cs="Simplified Arabic" w:hint="cs"/>
          <w:sz w:val="24"/>
          <w:szCs w:val="24"/>
          <w:rtl/>
          <w:lang w:val="en-US"/>
        </w:rPr>
        <w:t>المرونة</w:t>
      </w:r>
      <w:r>
        <w:rPr>
          <w:rFonts w:ascii="Simplified Arabic" w:hAnsi="Simplified Arabic" w:cs="Simplified Arabic" w:hint="cs"/>
          <w:sz w:val="24"/>
          <w:szCs w:val="24"/>
          <w:rtl/>
          <w:lang w:val="en-US"/>
        </w:rPr>
        <w:t xml:space="preserve"> (زمن التكيف</w:t>
      </w:r>
      <w:r w:rsidR="0011101E">
        <w:rPr>
          <w:rFonts w:ascii="Simplified Arabic" w:hAnsi="Simplified Arabic" w:cs="Simplified Arabic" w:hint="cs"/>
          <w:sz w:val="24"/>
          <w:szCs w:val="24"/>
          <w:rtl/>
          <w:lang w:val="en-US"/>
        </w:rPr>
        <w:t xml:space="preserve"> على المدى الطويل</w:t>
      </w:r>
      <w:r>
        <w:rPr>
          <w:rFonts w:ascii="Simplified Arabic" w:hAnsi="Simplified Arabic" w:cs="Simplified Arabic" w:hint="cs"/>
          <w:sz w:val="24"/>
          <w:szCs w:val="24"/>
          <w:rtl/>
          <w:lang w:val="en-US"/>
        </w:rPr>
        <w:t>)</w:t>
      </w:r>
      <w:r w:rsidR="00ED1C8F">
        <w:rPr>
          <w:rFonts w:ascii="Simplified Arabic" w:hAnsi="Simplified Arabic" w:cs="Simplified Arabic" w:hint="cs"/>
          <w:sz w:val="24"/>
          <w:szCs w:val="24"/>
          <w:rtl/>
          <w:lang w:val="en-US"/>
        </w:rPr>
        <w:t xml:space="preserve"> يتم ذلك </w:t>
      </w:r>
      <w:r w:rsidR="00ED1C8F" w:rsidRPr="00DB0A1D">
        <w:rPr>
          <w:rFonts w:ascii="Simplified Arabic" w:hAnsi="Simplified Arabic" w:cs="Simplified Arabic" w:hint="cs"/>
          <w:sz w:val="24"/>
          <w:szCs w:val="24"/>
          <w:rtl/>
          <w:lang w:val="en-US"/>
        </w:rPr>
        <w:t>بعد</w:t>
      </w:r>
      <w:r w:rsidR="00ED1C8F" w:rsidRPr="00DB0A1D">
        <w:rPr>
          <w:rFonts w:ascii="Simplified Arabic" w:hAnsi="Simplified Arabic" w:cs="Simplified Arabic"/>
          <w:sz w:val="24"/>
          <w:szCs w:val="24"/>
          <w:rtl/>
          <w:lang w:val="en-US"/>
        </w:rPr>
        <w:t xml:space="preserve"> </w:t>
      </w:r>
      <w:r w:rsidR="00ED1C8F" w:rsidRPr="00DB0A1D">
        <w:rPr>
          <w:rFonts w:ascii="Simplified Arabic" w:hAnsi="Simplified Arabic" w:cs="Simplified Arabic" w:hint="cs"/>
          <w:sz w:val="24"/>
          <w:szCs w:val="24"/>
          <w:rtl/>
          <w:lang w:val="en-US"/>
        </w:rPr>
        <w:t>وقوع</w:t>
      </w:r>
      <w:r w:rsidR="00ED1C8F" w:rsidRPr="00DB0A1D">
        <w:rPr>
          <w:rFonts w:ascii="Simplified Arabic" w:hAnsi="Simplified Arabic" w:cs="Simplified Arabic"/>
          <w:sz w:val="24"/>
          <w:szCs w:val="24"/>
          <w:rtl/>
          <w:lang w:val="en-US"/>
        </w:rPr>
        <w:t xml:space="preserve"> </w:t>
      </w:r>
      <w:r w:rsidR="00ED1C8F" w:rsidRPr="00DB0A1D">
        <w:rPr>
          <w:rFonts w:ascii="Simplified Arabic" w:hAnsi="Simplified Arabic" w:cs="Simplified Arabic" w:hint="cs"/>
          <w:sz w:val="24"/>
          <w:szCs w:val="24"/>
          <w:rtl/>
          <w:lang w:val="en-US"/>
        </w:rPr>
        <w:t>الكوارث</w:t>
      </w:r>
      <w:r w:rsidRPr="00DB0A1D">
        <w:rPr>
          <w:rFonts w:ascii="Simplified Arabic" w:hAnsi="Simplified Arabic" w:cs="Simplified Arabic"/>
          <w:sz w:val="24"/>
          <w:szCs w:val="24"/>
          <w:rtl/>
          <w:lang w:val="en-US"/>
        </w:rPr>
        <w:t xml:space="preserve">. </w:t>
      </w:r>
    </w:p>
    <w:p w:rsidR="00C121B0" w:rsidRDefault="00C121B0" w:rsidP="00C22773">
      <w:pPr>
        <w:pStyle w:val="fegure"/>
        <w:spacing w:before="240"/>
        <w:rPr>
          <w:sz w:val="8"/>
          <w:szCs w:val="24"/>
          <w:rtl/>
          <w:lang w:val="en-US"/>
        </w:rPr>
      </w:pPr>
      <w:bookmarkStart w:id="609" w:name="_Toc157608334"/>
      <w:bookmarkStart w:id="610" w:name="_Toc171803645"/>
      <w:r w:rsidRPr="00ED1C8F">
        <w:rPr>
          <w:rFonts w:hint="cs"/>
          <w:sz w:val="8"/>
          <w:szCs w:val="24"/>
          <w:rtl/>
          <w:lang w:val="en-US"/>
        </w:rPr>
        <w:t>الشكل (</w:t>
      </w:r>
      <w:r w:rsidR="00F27C67" w:rsidRPr="00ED1C8F">
        <w:rPr>
          <w:rFonts w:hint="cs"/>
          <w:sz w:val="8"/>
          <w:szCs w:val="24"/>
          <w:rtl/>
          <w:lang w:val="en-US"/>
        </w:rPr>
        <w:t>5-2</w:t>
      </w:r>
      <w:r w:rsidRPr="00ED1C8F">
        <w:rPr>
          <w:rFonts w:hint="cs"/>
          <w:sz w:val="8"/>
          <w:szCs w:val="24"/>
          <w:rtl/>
          <w:lang w:val="en-US"/>
        </w:rPr>
        <w:t>): دراسة زمنية لمرونة المكون الفيزيائي لمدينة بوسعادة</w:t>
      </w:r>
      <w:bookmarkEnd w:id="609"/>
      <w:bookmarkEnd w:id="610"/>
    </w:p>
    <w:p w:rsidR="006B38DD" w:rsidRPr="006B38DD" w:rsidRDefault="006B38DD" w:rsidP="006B38DD">
      <w:pPr>
        <w:pStyle w:val="fegure"/>
        <w:rPr>
          <w:sz w:val="8"/>
          <w:szCs w:val="24"/>
          <w:rtl/>
          <w:lang w:val="en-US" w:bidi="ar-DZ"/>
        </w:rPr>
      </w:pPr>
      <w:bookmarkStart w:id="611" w:name="_Toc171803646"/>
      <w:r>
        <w:rPr>
          <w:rFonts w:hint="cs"/>
          <w:sz w:val="8"/>
          <w:szCs w:val="24"/>
          <w:rtl/>
          <w:lang w:val="en-US"/>
        </w:rPr>
        <w:t>المصدر: (الباحث، 2022)</w:t>
      </w:r>
      <w:bookmarkEnd w:id="611"/>
    </w:p>
    <w:p w:rsidR="00C121B0" w:rsidRDefault="00C121B0" w:rsidP="006B38DD">
      <w:pPr>
        <w:tabs>
          <w:tab w:val="right" w:pos="282"/>
        </w:tabs>
        <w:bidi/>
        <w:spacing w:after="0" w:line="240" w:lineRule="auto"/>
        <w:jc w:val="center"/>
        <w:rPr>
          <w:rFonts w:ascii="Simplified Arabic" w:hAnsi="Simplified Arabic" w:cs="Simplified Arabic"/>
          <w:sz w:val="24"/>
          <w:szCs w:val="24"/>
          <w:rtl/>
          <w:lang w:val="en-US"/>
        </w:rPr>
      </w:pPr>
      <w:r>
        <w:rPr>
          <w:rFonts w:ascii="Simplified Arabic" w:hAnsi="Simplified Arabic" w:cs="Simplified Arabic"/>
          <w:noProof/>
          <w:sz w:val="24"/>
          <w:szCs w:val="24"/>
          <w:rtl/>
          <w:lang w:eastAsia="fr-FR"/>
        </w:rPr>
        <w:drawing>
          <wp:inline distT="0" distB="0" distL="0" distR="0" wp14:anchorId="706463C1" wp14:editId="5653CBA3">
            <wp:extent cx="4697353" cy="3390900"/>
            <wp:effectExtent l="19050" t="19050" r="27305" b="19050"/>
            <wp:docPr id="266" name="Imag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TC\Desktop\cumule\فصل 5 زمكان.png"/>
                    <pic:cNvPicPr>
                      <a:picLocks noChangeAspect="1" noChangeArrowheads="1"/>
                    </pic:cNvPicPr>
                  </pic:nvPicPr>
                  <pic:blipFill>
                    <a:blip r:embed="rId225">
                      <a:extLst>
                        <a:ext uri="{28A0092B-C50C-407E-A947-70E740481C1C}">
                          <a14:useLocalDpi xmlns:a14="http://schemas.microsoft.com/office/drawing/2010/main" val="0"/>
                        </a:ext>
                      </a:extLst>
                    </a:blip>
                    <a:stretch>
                      <a:fillRect/>
                    </a:stretch>
                  </pic:blipFill>
                  <pic:spPr bwMode="auto">
                    <a:xfrm>
                      <a:off x="0" y="0"/>
                      <a:ext cx="4699617" cy="3392535"/>
                    </a:xfrm>
                    <a:prstGeom prst="rect">
                      <a:avLst/>
                    </a:prstGeom>
                    <a:noFill/>
                    <a:ln>
                      <a:solidFill>
                        <a:schemeClr val="tx1"/>
                      </a:solidFill>
                    </a:ln>
                  </pic:spPr>
                </pic:pic>
              </a:graphicData>
            </a:graphic>
          </wp:inline>
        </w:drawing>
      </w:r>
    </w:p>
    <w:p w:rsidR="00C121B0" w:rsidRPr="007323C9" w:rsidRDefault="00C121B0" w:rsidP="001D0548">
      <w:pPr>
        <w:pStyle w:val="Paragraphedeliste"/>
        <w:numPr>
          <w:ilvl w:val="1"/>
          <w:numId w:val="272"/>
        </w:numPr>
        <w:tabs>
          <w:tab w:val="right" w:pos="567"/>
        </w:tabs>
        <w:bidi/>
        <w:spacing w:before="240" w:after="0"/>
        <w:ind w:left="0" w:firstLine="0"/>
        <w:jc w:val="both"/>
        <w:outlineLvl w:val="0"/>
        <w:rPr>
          <w:rFonts w:ascii="Simplified Arabic" w:hAnsi="Simplified Arabic" w:cs="Simplified Arabic"/>
          <w:sz w:val="18"/>
          <w:szCs w:val="18"/>
          <w:rtl/>
          <w:lang w:val="en-US"/>
        </w:rPr>
      </w:pPr>
      <w:bookmarkStart w:id="612" w:name="_Toc171803647"/>
      <w:r w:rsidRPr="007323C9">
        <w:rPr>
          <w:rFonts w:ascii="Simplified Arabic" w:hAnsi="Simplified Arabic" w:cs="Simplified Arabic" w:hint="cs"/>
          <w:b/>
          <w:bCs/>
          <w:sz w:val="24"/>
          <w:szCs w:val="24"/>
          <w:rtl/>
          <w:lang w:val="en-US"/>
        </w:rPr>
        <w:t xml:space="preserve">طريقة </w:t>
      </w:r>
      <w:r w:rsidR="004357E2" w:rsidRPr="007323C9">
        <w:rPr>
          <w:rFonts w:ascii="Simplified Arabic" w:hAnsi="Simplified Arabic" w:cs="Simplified Arabic" w:hint="cs"/>
          <w:b/>
          <w:bCs/>
          <w:sz w:val="24"/>
          <w:szCs w:val="24"/>
          <w:rtl/>
          <w:lang w:val="en-US"/>
        </w:rPr>
        <w:t>تنفيذ</w:t>
      </w:r>
      <w:r w:rsidRPr="007323C9">
        <w:rPr>
          <w:rFonts w:ascii="Simplified Arabic" w:hAnsi="Simplified Arabic" w:cs="Simplified Arabic" w:hint="cs"/>
          <w:b/>
          <w:bCs/>
          <w:sz w:val="24"/>
          <w:szCs w:val="24"/>
          <w:rtl/>
          <w:lang w:val="en-US"/>
        </w:rPr>
        <w:t xml:space="preserve"> اطار عمل</w:t>
      </w:r>
      <w:r w:rsidRPr="007323C9">
        <w:rPr>
          <w:rFonts w:ascii="Simplified Arabic" w:hAnsi="Simplified Arabic" w:cs="Simplified Arabic"/>
          <w:b/>
          <w:bCs/>
          <w:sz w:val="24"/>
          <w:szCs w:val="24"/>
          <w:rtl/>
          <w:lang w:val="en-US"/>
        </w:rPr>
        <w:t xml:space="preserve"> </w:t>
      </w:r>
      <w:r w:rsidRPr="007323C9">
        <w:rPr>
          <w:rFonts w:ascii="Simplified Arabic" w:hAnsi="Simplified Arabic" w:cs="Simplified Arabic" w:hint="cs"/>
          <w:b/>
          <w:bCs/>
          <w:sz w:val="24"/>
          <w:szCs w:val="24"/>
          <w:rtl/>
          <w:lang w:val="en-US"/>
        </w:rPr>
        <w:t>تقييم</w:t>
      </w:r>
      <w:r w:rsidRPr="007323C9">
        <w:rPr>
          <w:rFonts w:ascii="Simplified Arabic" w:hAnsi="Simplified Arabic" w:cs="Simplified Arabic"/>
          <w:b/>
          <w:bCs/>
          <w:sz w:val="24"/>
          <w:szCs w:val="24"/>
          <w:rtl/>
          <w:lang w:val="en-US"/>
        </w:rPr>
        <w:t xml:space="preserve"> </w:t>
      </w:r>
      <w:r w:rsidRPr="007323C9">
        <w:rPr>
          <w:rFonts w:ascii="Simplified Arabic" w:hAnsi="Simplified Arabic" w:cs="Simplified Arabic" w:hint="cs"/>
          <w:b/>
          <w:bCs/>
          <w:sz w:val="24"/>
          <w:szCs w:val="24"/>
          <w:rtl/>
          <w:lang w:val="en-US"/>
        </w:rPr>
        <w:t>المرونة</w:t>
      </w:r>
      <w:r w:rsidRPr="007323C9">
        <w:rPr>
          <w:rFonts w:ascii="Simplified Arabic" w:hAnsi="Simplified Arabic" w:cs="Simplified Arabic"/>
          <w:b/>
          <w:bCs/>
          <w:sz w:val="24"/>
          <w:szCs w:val="24"/>
          <w:rtl/>
          <w:lang w:val="en-US"/>
        </w:rPr>
        <w:t xml:space="preserve"> </w:t>
      </w:r>
      <w:r w:rsidRPr="007323C9">
        <w:rPr>
          <w:rFonts w:ascii="Simplified Arabic" w:hAnsi="Simplified Arabic" w:cs="Simplified Arabic" w:hint="cs"/>
          <w:b/>
          <w:bCs/>
          <w:sz w:val="24"/>
          <w:szCs w:val="24"/>
          <w:rtl/>
          <w:lang w:val="en-US"/>
        </w:rPr>
        <w:t>الحضرية</w:t>
      </w:r>
      <w:bookmarkEnd w:id="612"/>
    </w:p>
    <w:p w:rsidR="00C121B0" w:rsidRDefault="00C121B0" w:rsidP="00C121B0">
      <w:pPr>
        <w:tabs>
          <w:tab w:val="right" w:pos="282"/>
        </w:tabs>
        <w:bidi/>
        <w:spacing w:after="0"/>
        <w:ind w:firstLine="283"/>
        <w:jc w:val="both"/>
        <w:rPr>
          <w:rFonts w:ascii="Simplified Arabic" w:hAnsi="Simplified Arabic" w:cs="Simplified Arabic"/>
          <w:sz w:val="24"/>
          <w:szCs w:val="24"/>
          <w:rtl/>
          <w:lang w:val="en-US"/>
        </w:rPr>
      </w:pPr>
      <w:r w:rsidRPr="00663FB7">
        <w:rPr>
          <w:rFonts w:ascii="Simplified Arabic" w:hAnsi="Simplified Arabic" w:cs="Simplified Arabic"/>
          <w:sz w:val="24"/>
          <w:szCs w:val="24"/>
          <w:rtl/>
          <w:lang w:val="en-US"/>
        </w:rPr>
        <w:t xml:space="preserve">تم </w:t>
      </w:r>
      <w:r>
        <w:rPr>
          <w:rFonts w:ascii="Simplified Arabic" w:hAnsi="Simplified Arabic" w:cs="Simplified Arabic" w:hint="cs"/>
          <w:sz w:val="24"/>
          <w:szCs w:val="24"/>
          <w:rtl/>
          <w:lang w:val="en-US"/>
        </w:rPr>
        <w:t>اتباع</w:t>
      </w:r>
      <w:r w:rsidRPr="00663FB7">
        <w:rPr>
          <w:rFonts w:ascii="Simplified Arabic" w:hAnsi="Simplified Arabic" w:cs="Simplified Arabic"/>
          <w:sz w:val="24"/>
          <w:szCs w:val="24"/>
          <w:rtl/>
          <w:lang w:val="en-US"/>
        </w:rPr>
        <w:t xml:space="preserve"> منهجية</w:t>
      </w:r>
      <w:r>
        <w:rPr>
          <w:rFonts w:cs="Arial"/>
          <w:color w:val="000000" w:themeColor="text1"/>
          <w:sz w:val="24"/>
          <w:szCs w:val="24"/>
          <w:rtl/>
        </w:rPr>
        <w:t xml:space="preserve"> </w:t>
      </w:r>
      <w:r>
        <w:rPr>
          <w:rFonts w:cs="Arial" w:hint="cs"/>
          <w:color w:val="000000" w:themeColor="text1"/>
          <w:sz w:val="24"/>
          <w:szCs w:val="24"/>
          <w:rtl/>
        </w:rPr>
        <w:t xml:space="preserve">على </w:t>
      </w:r>
      <w:r w:rsidRPr="00663FB7">
        <w:rPr>
          <w:rFonts w:ascii="Simplified Arabic" w:hAnsi="Simplified Arabic" w:cs="Simplified Arabic"/>
          <w:sz w:val="24"/>
          <w:szCs w:val="24"/>
          <w:rtl/>
          <w:lang w:val="en-US"/>
        </w:rPr>
        <w:t>نحو مناسب</w:t>
      </w:r>
      <w:r>
        <w:rPr>
          <w:rFonts w:ascii="Simplified Arabic" w:hAnsi="Simplified Arabic" w:cs="Simplified Arabic" w:hint="cs"/>
          <w:sz w:val="24"/>
          <w:szCs w:val="24"/>
          <w:rtl/>
          <w:lang w:val="en-US"/>
        </w:rPr>
        <w:t>، تتضمن</w:t>
      </w:r>
      <w:r w:rsidRPr="00663FB7">
        <w:rPr>
          <w:rFonts w:ascii="Simplified Arabic" w:hAnsi="Simplified Arabic" w:cs="Simplified Arabic"/>
          <w:sz w:val="24"/>
          <w:szCs w:val="24"/>
          <w:rtl/>
          <w:lang w:val="en-US"/>
        </w:rPr>
        <w:t xml:space="preserve"> خمس </w:t>
      </w:r>
      <w:r w:rsidRPr="00663FB7">
        <w:rPr>
          <w:rFonts w:ascii="Simplified Arabic" w:hAnsi="Simplified Arabic" w:cs="Simplified Arabic" w:hint="cs"/>
          <w:sz w:val="24"/>
          <w:szCs w:val="24"/>
          <w:rtl/>
          <w:lang w:val="en-US"/>
        </w:rPr>
        <w:t>خطوات</w:t>
      </w:r>
      <w:r w:rsidRPr="00663FB7">
        <w:rPr>
          <w:rFonts w:ascii="Simplified Arabic" w:hAnsi="Simplified Arabic" w:cs="Simplified Arabic"/>
          <w:sz w:val="24"/>
          <w:szCs w:val="24"/>
          <w:rtl/>
          <w:lang w:val="en-US"/>
        </w:rPr>
        <w:t xml:space="preserve"> رئيسية</w:t>
      </w:r>
      <w:r>
        <w:rPr>
          <w:rFonts w:ascii="Simplified Arabic" w:hAnsi="Simplified Arabic" w:cs="Simplified Arabic" w:hint="cs"/>
          <w:sz w:val="24"/>
          <w:szCs w:val="24"/>
          <w:rtl/>
          <w:lang w:val="en-US"/>
        </w:rPr>
        <w:t xml:space="preserve">: </w:t>
      </w:r>
    </w:p>
    <w:p w:rsidR="00C121B0" w:rsidRDefault="00C121B0" w:rsidP="00775E11">
      <w:pPr>
        <w:tabs>
          <w:tab w:val="right" w:pos="282"/>
        </w:tabs>
        <w:bidi/>
        <w:spacing w:after="0"/>
        <w:ind w:firstLine="283"/>
        <w:jc w:val="both"/>
        <w:rPr>
          <w:rFonts w:ascii="Simplified Arabic" w:eastAsia="Times New Roman" w:hAnsi="Simplified Arabic" w:cs="Simplified Arabic"/>
          <w:b/>
          <w:sz w:val="24"/>
          <w:szCs w:val="24"/>
          <w:rtl/>
          <w:lang w:val="en-US" w:eastAsia="fr-FR"/>
        </w:rPr>
      </w:pPr>
      <w:r w:rsidRPr="0077622D">
        <w:rPr>
          <w:rFonts w:ascii="Simplified Arabic" w:hAnsi="Simplified Arabic" w:cs="Simplified Arabic"/>
          <w:sz w:val="24"/>
          <w:szCs w:val="24"/>
          <w:rtl/>
          <w:lang w:val="en-US"/>
        </w:rPr>
        <w:t>(</w:t>
      </w:r>
      <w:r w:rsidRPr="0077622D">
        <w:rPr>
          <w:rFonts w:ascii="Simplified Arabic" w:hAnsi="Simplified Arabic" w:cs="Simplified Arabic"/>
          <w:b/>
          <w:bCs/>
          <w:sz w:val="24"/>
          <w:szCs w:val="24"/>
          <w:rtl/>
          <w:lang w:val="en-US"/>
        </w:rPr>
        <w:t>أ</w:t>
      </w:r>
      <w:r w:rsidRPr="0077622D">
        <w:rPr>
          <w:rFonts w:ascii="Simplified Arabic" w:hAnsi="Simplified Arabic" w:cs="Simplified Arabic" w:hint="cs"/>
          <w:b/>
          <w:bCs/>
          <w:sz w:val="24"/>
          <w:szCs w:val="24"/>
          <w:rtl/>
          <w:lang w:val="en-US"/>
        </w:rPr>
        <w:t>ولا</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عرض</w:t>
      </w:r>
      <w:r w:rsidRPr="0077622D">
        <w:rPr>
          <w:rFonts w:ascii="Simplified Arabic" w:hAnsi="Simplified Arabic" w:cs="Simplified Arabic"/>
          <w:sz w:val="24"/>
          <w:szCs w:val="24"/>
          <w:rtl/>
          <w:lang w:val="en-US"/>
        </w:rPr>
        <w:t xml:space="preserve"> نظري، تضمن مراجعة شاملة لمجموعة مختارة من </w:t>
      </w:r>
      <w:r w:rsidRPr="0077622D">
        <w:rPr>
          <w:rFonts w:ascii="Simplified Arabic" w:hAnsi="Simplified Arabic" w:cs="Simplified Arabic" w:hint="cs"/>
          <w:sz w:val="24"/>
          <w:szCs w:val="24"/>
          <w:rtl/>
          <w:lang w:val="en-US"/>
        </w:rPr>
        <w:t>الدراسات السابقة والنماذج</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الشاملة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لفهم</w:t>
      </w:r>
      <w:r w:rsidRPr="0077622D">
        <w:rPr>
          <w:rFonts w:ascii="Simplified Arabic" w:hAnsi="Simplified Arabic" w:cs="Simplified Arabic"/>
          <w:sz w:val="24"/>
          <w:szCs w:val="24"/>
          <w:rtl/>
          <w:lang w:val="en-US"/>
        </w:rPr>
        <w:t xml:space="preserve"> عوامل</w:t>
      </w:r>
      <w:r w:rsidRPr="0077622D">
        <w:rPr>
          <w:rFonts w:ascii="Simplified Arabic" w:hAnsi="Simplified Arabic" w:cs="Simplified Arabic" w:hint="cs"/>
          <w:sz w:val="24"/>
          <w:szCs w:val="24"/>
          <w:rtl/>
          <w:lang w:val="en-US"/>
        </w:rPr>
        <w:t xml:space="preserve"> </w:t>
      </w:r>
      <w:r w:rsidRPr="0077622D">
        <w:rPr>
          <w:rFonts w:ascii="Simplified Arabic" w:hAnsi="Simplified Arabic" w:cs="Simplified Arabic"/>
          <w:sz w:val="24"/>
          <w:szCs w:val="24"/>
          <w:rtl/>
          <w:lang w:val="en-US"/>
        </w:rPr>
        <w:t>تقييم المرونة الحضرية</w:t>
      </w:r>
      <w:r w:rsidRPr="0077622D">
        <w:rPr>
          <w:rFonts w:ascii="Simplified Arabic" w:hAnsi="Simplified Arabic" w:cs="Simplified Arabic" w:hint="cs"/>
          <w:sz w:val="24"/>
          <w:szCs w:val="24"/>
          <w:rtl/>
          <w:lang w:val="en-US"/>
        </w:rPr>
        <w:t xml:space="preserve"> </w:t>
      </w:r>
      <w:r w:rsidRPr="0077622D">
        <w:rPr>
          <w:rFonts w:ascii="Simplified Arabic" w:hAnsi="Simplified Arabic" w:cs="Simplified Arabic"/>
          <w:sz w:val="24"/>
          <w:szCs w:val="24"/>
          <w:rtl/>
          <w:lang w:val="en-US"/>
        </w:rPr>
        <w:t>(</w:t>
      </w:r>
      <w:r w:rsidRPr="0077622D">
        <w:rPr>
          <w:rFonts w:ascii="Simplified Arabic" w:hAnsi="Simplified Arabic" w:cs="Simplified Arabic" w:hint="cs"/>
          <w:sz w:val="24"/>
          <w:szCs w:val="24"/>
          <w:rtl/>
          <w:lang w:val="en-US"/>
        </w:rPr>
        <w:t>ال</w:t>
      </w:r>
      <w:r w:rsidRPr="0077622D">
        <w:rPr>
          <w:rFonts w:ascii="Simplified Arabic" w:hAnsi="Simplified Arabic" w:cs="Simplified Arabic"/>
          <w:sz w:val="24"/>
          <w:szCs w:val="24"/>
          <w:rtl/>
          <w:lang w:val="en-US"/>
        </w:rPr>
        <w:t xml:space="preserve">مؤشرات). </w:t>
      </w:r>
      <w:r w:rsidRPr="0077622D">
        <w:rPr>
          <w:rFonts w:ascii="Simplified Arabic" w:hAnsi="Simplified Arabic" w:cs="Simplified Arabic" w:hint="cs"/>
          <w:sz w:val="24"/>
          <w:szCs w:val="24"/>
          <w:rtl/>
          <w:lang w:val="en-US"/>
        </w:rPr>
        <w:t>تم</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استخدام</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مجموعة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من</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العوامل الاولية (</w:t>
      </w:r>
      <w:r w:rsidR="0011101E" w:rsidRPr="0077622D">
        <w:rPr>
          <w:rFonts w:ascii="Simplified Arabic" w:hAnsi="Simplified Arabic" w:cs="Simplified Arabic" w:hint="cs"/>
          <w:sz w:val="24"/>
          <w:szCs w:val="24"/>
          <w:rtl/>
          <w:lang w:val="en-US"/>
        </w:rPr>
        <w:t>المعايير</w:t>
      </w:r>
      <w:r w:rsidRPr="0077622D">
        <w:rPr>
          <w:rFonts w:ascii="Simplified Arabic" w:hAnsi="Simplified Arabic" w:cs="Simplified Arabic" w:hint="cs"/>
          <w:sz w:val="24"/>
          <w:szCs w:val="24"/>
          <w:rtl/>
          <w:lang w:val="en-US"/>
        </w:rPr>
        <w:t>) المستخرجة</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من</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نماذج</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التقييم</w:t>
      </w:r>
      <w:r w:rsidRPr="0077622D">
        <w:rPr>
          <w:rFonts w:ascii="Simplified Arabic" w:hAnsi="Simplified Arabic" w:cs="Simplified Arabic"/>
          <w:sz w:val="24"/>
          <w:szCs w:val="24"/>
          <w:rtl/>
          <w:lang w:val="en-US"/>
        </w:rPr>
        <w:t xml:space="preserve"> </w:t>
      </w:r>
      <w:r w:rsidRPr="0077622D">
        <w:rPr>
          <w:rFonts w:asciiTheme="majorBidi" w:hAnsiTheme="majorBidi" w:cstheme="majorBidi"/>
          <w:color w:val="000000" w:themeColor="text1"/>
          <w:sz w:val="24"/>
          <w:szCs w:val="24"/>
          <w:rtl/>
          <w:lang w:val="en-US" w:bidi="ar-DZ"/>
        </w:rPr>
        <w:t>(</w:t>
      </w:r>
      <w:r w:rsidRPr="0077622D">
        <w:rPr>
          <w:rFonts w:asciiTheme="majorBidi" w:hAnsiTheme="majorBidi" w:cstheme="majorBidi"/>
          <w:color w:val="000000" w:themeColor="text1"/>
          <w:sz w:val="24"/>
          <w:szCs w:val="24"/>
          <w:lang w:val="en-US" w:bidi="ar-DZ"/>
        </w:rPr>
        <w:t>2022</w:t>
      </w:r>
      <w:r w:rsidRPr="0077622D">
        <w:rPr>
          <w:rFonts w:asciiTheme="majorBidi" w:hAnsiTheme="majorBidi" w:cstheme="majorBidi" w:hint="cs"/>
          <w:color w:val="000000" w:themeColor="text1"/>
          <w:sz w:val="24"/>
          <w:szCs w:val="24"/>
          <w:rtl/>
          <w:lang w:val="en-US" w:bidi="ar-DZ"/>
        </w:rPr>
        <w:t xml:space="preserve"> </w:t>
      </w:r>
      <w:r w:rsidRPr="0077622D">
        <w:rPr>
          <w:rFonts w:asciiTheme="majorBidi" w:hAnsiTheme="majorBidi" w:cstheme="majorBidi"/>
          <w:color w:val="000000" w:themeColor="text1"/>
          <w:sz w:val="24"/>
          <w:szCs w:val="24"/>
          <w:lang w:val="en-US" w:bidi="ar-DZ"/>
        </w:rPr>
        <w:t xml:space="preserve">Haghighi </w:t>
      </w:r>
      <w:r w:rsidRPr="0077622D">
        <w:rPr>
          <w:rFonts w:asciiTheme="majorBidi" w:hAnsiTheme="majorBidi" w:cstheme="majorBidi"/>
          <w:color w:val="000000" w:themeColor="text1"/>
          <w:sz w:val="24"/>
          <w:szCs w:val="24"/>
          <w:lang w:bidi="ar-DZ"/>
        </w:rPr>
        <w:t>Fard and and Doratli</w:t>
      </w:r>
      <w:r w:rsidRPr="0077622D">
        <w:rPr>
          <w:rFonts w:asciiTheme="majorBidi" w:hAnsiTheme="majorBidi" w:cstheme="majorBidi"/>
          <w:color w:val="000000" w:themeColor="text1"/>
          <w:sz w:val="24"/>
          <w:szCs w:val="24"/>
          <w:lang w:val="en-US" w:bidi="ar-DZ"/>
        </w:rPr>
        <w:t>,</w:t>
      </w:r>
      <w:r w:rsidRPr="0077622D">
        <w:rPr>
          <w:rFonts w:asciiTheme="majorBidi" w:hAnsiTheme="majorBidi" w:cstheme="majorBidi" w:hint="cs"/>
          <w:color w:val="000000" w:themeColor="text1"/>
          <w:sz w:val="24"/>
          <w:szCs w:val="24"/>
          <w:rtl/>
          <w:lang w:val="en-US" w:bidi="ar-DZ"/>
        </w:rPr>
        <w:t xml:space="preserve"> </w:t>
      </w:r>
      <w:r w:rsidRPr="0077622D">
        <w:rPr>
          <w:rFonts w:asciiTheme="majorBidi" w:hAnsiTheme="majorBidi" w:cstheme="majorBidi"/>
          <w:color w:val="000000" w:themeColor="text1"/>
          <w:sz w:val="24"/>
          <w:szCs w:val="24"/>
          <w:lang w:val="en-US" w:bidi="ar-DZ"/>
        </w:rPr>
        <w:t xml:space="preserve">Heinzlef et al., </w:t>
      </w:r>
      <w:r w:rsidRPr="0077622D">
        <w:rPr>
          <w:rFonts w:asciiTheme="majorBidi" w:hAnsiTheme="majorBidi" w:cstheme="majorBidi"/>
          <w:color w:val="000000" w:themeColor="text1"/>
          <w:lang w:val="en-US" w:bidi="ar-DZ"/>
        </w:rPr>
        <w:t>2019</w:t>
      </w:r>
      <w:r w:rsidRPr="0077622D">
        <w:rPr>
          <w:rFonts w:asciiTheme="majorBidi" w:hAnsiTheme="majorBidi" w:cstheme="majorBidi"/>
          <w:color w:val="000000" w:themeColor="text1"/>
          <w:sz w:val="24"/>
          <w:szCs w:val="24"/>
          <w:lang w:bidi="ar-DZ"/>
        </w:rPr>
        <w:t>; </w:t>
      </w:r>
      <w:r w:rsidRPr="0077622D">
        <w:rPr>
          <w:rFonts w:asciiTheme="majorBidi" w:hAnsiTheme="majorBidi" w:cstheme="majorBidi"/>
          <w:color w:val="000000" w:themeColor="text1"/>
          <w:sz w:val="24"/>
          <w:szCs w:val="24"/>
          <w:lang w:val="en-US" w:bidi="ar-DZ"/>
        </w:rPr>
        <w:t>Javari</w:t>
      </w:r>
      <w:r w:rsidR="00D02756" w:rsidRPr="0077622D">
        <w:rPr>
          <w:rFonts w:asciiTheme="majorBidi" w:hAnsiTheme="majorBidi" w:cstheme="majorBidi"/>
          <w:color w:val="000000" w:themeColor="text1"/>
          <w:sz w:val="24"/>
          <w:szCs w:val="24"/>
          <w:lang w:val="en-US" w:bidi="ar-DZ"/>
        </w:rPr>
        <w:t xml:space="preserve"> et al.,</w:t>
      </w:r>
      <w:r w:rsidRPr="0077622D">
        <w:rPr>
          <w:rFonts w:asciiTheme="majorBidi" w:hAnsiTheme="majorBidi" w:cstheme="majorBidi"/>
          <w:color w:val="000000" w:themeColor="text1"/>
          <w:sz w:val="24"/>
          <w:szCs w:val="24"/>
          <w:lang w:val="en-US" w:bidi="ar-DZ"/>
        </w:rPr>
        <w:t xml:space="preserve"> 2021</w:t>
      </w:r>
      <w:r w:rsidRPr="0077622D">
        <w:rPr>
          <w:rFonts w:asciiTheme="majorBidi" w:hAnsiTheme="majorBidi" w:cstheme="majorBidi"/>
          <w:color w:val="000000" w:themeColor="text1"/>
          <w:sz w:val="24"/>
          <w:szCs w:val="24"/>
          <w:lang w:bidi="ar-DZ"/>
        </w:rPr>
        <w:t>;</w:t>
      </w:r>
      <w:r w:rsidRPr="0077622D">
        <w:rPr>
          <w:rFonts w:asciiTheme="majorBidi" w:hAnsiTheme="majorBidi" w:cstheme="majorBidi" w:hint="cs"/>
          <w:color w:val="000000" w:themeColor="text1"/>
          <w:sz w:val="24"/>
          <w:szCs w:val="24"/>
          <w:rtl/>
          <w:lang w:val="en-US" w:bidi="ar-DZ"/>
        </w:rPr>
        <w:t xml:space="preserve"> </w:t>
      </w:r>
      <w:r w:rsidRPr="0077622D">
        <w:rPr>
          <w:rFonts w:asciiTheme="majorBidi" w:hAnsiTheme="majorBidi" w:cstheme="majorBidi"/>
          <w:color w:val="000000" w:themeColor="text1"/>
          <w:sz w:val="24"/>
          <w:szCs w:val="24"/>
          <w:lang w:val="en-US" w:bidi="ar-DZ"/>
        </w:rPr>
        <w:t>Cutter, 2008;</w:t>
      </w:r>
      <w:r w:rsidRPr="0077622D">
        <w:rPr>
          <w:rFonts w:ascii="Simplified Arabic" w:eastAsia="Times New Roman" w:hAnsi="Simplified Arabic" w:cs="Simplified Arabic"/>
          <w:b/>
          <w:sz w:val="24"/>
          <w:szCs w:val="24"/>
          <w:rtl/>
          <w:lang w:val="en-US" w:eastAsia="fr-FR"/>
        </w:rPr>
        <w:t>).</w:t>
      </w:r>
      <w:r w:rsidRPr="0077622D">
        <w:rPr>
          <w:rFonts w:ascii="Simplified Arabic" w:eastAsia="Times New Roman" w:hAnsi="Simplified Arabic" w:cs="Simplified Arabic" w:hint="cs"/>
          <w:b/>
          <w:sz w:val="24"/>
          <w:szCs w:val="24"/>
          <w:rtl/>
          <w:lang w:val="en-US" w:eastAsia="fr-FR"/>
        </w:rPr>
        <w:t xml:space="preserve"> </w:t>
      </w:r>
    </w:p>
    <w:p w:rsidR="00C121B0" w:rsidRDefault="00C121B0" w:rsidP="008E533E">
      <w:pPr>
        <w:tabs>
          <w:tab w:val="right" w:pos="283"/>
        </w:tabs>
        <w:bidi/>
        <w:spacing w:after="0"/>
        <w:ind w:firstLine="283"/>
        <w:jc w:val="both"/>
        <w:rPr>
          <w:rFonts w:ascii="Simplified Arabic" w:hAnsi="Simplified Arabic" w:cs="Simplified Arabic"/>
          <w:sz w:val="24"/>
          <w:szCs w:val="24"/>
          <w:rtl/>
          <w:lang w:val="en-US"/>
        </w:rPr>
      </w:pPr>
      <w:r w:rsidRPr="00F03E93">
        <w:rPr>
          <w:rFonts w:ascii="Simplified Arabic" w:hAnsi="Simplified Arabic" w:cs="Simplified Arabic"/>
          <w:sz w:val="24"/>
          <w:szCs w:val="24"/>
          <w:rtl/>
          <w:lang w:val="en-US"/>
        </w:rPr>
        <w:lastRenderedPageBreak/>
        <w:t>(</w:t>
      </w:r>
      <w:r w:rsidRPr="000C7BFD">
        <w:rPr>
          <w:rFonts w:ascii="Simplified Arabic" w:hAnsi="Simplified Arabic" w:cs="Simplified Arabic" w:hint="cs"/>
          <w:b/>
          <w:bCs/>
          <w:sz w:val="24"/>
          <w:szCs w:val="24"/>
          <w:rtl/>
          <w:lang w:val="en-US"/>
        </w:rPr>
        <w:t>ثانيا</w:t>
      </w:r>
      <w:r w:rsidRPr="00F03E93">
        <w:rPr>
          <w:rFonts w:ascii="Simplified Arabic" w:hAnsi="Simplified Arabic" w:cs="Simplified Arabic"/>
          <w:sz w:val="24"/>
          <w:szCs w:val="24"/>
          <w:rtl/>
          <w:lang w:val="en-US"/>
        </w:rPr>
        <w:t>) التشاور مع فريق من الخبراء</w:t>
      </w:r>
      <w:r>
        <w:rPr>
          <w:rFonts w:ascii="Simplified Arabic" w:hAnsi="Simplified Arabic" w:cs="Simplified Arabic" w:hint="cs"/>
          <w:sz w:val="24"/>
          <w:szCs w:val="24"/>
          <w:rtl/>
          <w:lang w:val="en-US"/>
        </w:rPr>
        <w:t xml:space="preserve"> </w:t>
      </w:r>
      <w:r w:rsidRPr="00F03E93">
        <w:rPr>
          <w:rFonts w:ascii="Simplified Arabic" w:hAnsi="Simplified Arabic" w:cs="Simplified Arabic"/>
          <w:sz w:val="24"/>
          <w:szCs w:val="24"/>
          <w:rtl/>
          <w:lang w:val="en-US"/>
        </w:rPr>
        <w:t>باستخدام تقنية دلفي</w:t>
      </w:r>
      <w:r>
        <w:rPr>
          <w:rFonts w:ascii="Simplified Arabic" w:hAnsi="Simplified Arabic" w:cs="Simplified Arabic" w:hint="cs"/>
          <w:sz w:val="24"/>
          <w:szCs w:val="24"/>
          <w:rtl/>
          <w:lang w:val="en-US"/>
        </w:rPr>
        <w:t xml:space="preserve"> عبر مراحل، في مرحلة اخيرة يتم تحديد القائمة النهائية</w:t>
      </w:r>
      <w:r w:rsidRPr="00F03E9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لعوامل تقييم </w:t>
      </w:r>
      <w:r w:rsidRPr="00663FB7">
        <w:rPr>
          <w:rFonts w:ascii="Simplified Arabic" w:hAnsi="Simplified Arabic" w:cs="Simplified Arabic"/>
          <w:sz w:val="24"/>
          <w:szCs w:val="24"/>
          <w:rtl/>
          <w:lang w:val="en-US"/>
        </w:rPr>
        <w:t xml:space="preserve">المرونة الحضرية </w:t>
      </w:r>
      <w:r w:rsidRPr="00F03E93">
        <w:rPr>
          <w:rFonts w:ascii="Simplified Arabic" w:hAnsi="Simplified Arabic" w:cs="Simplified Arabic" w:hint="cs"/>
          <w:sz w:val="24"/>
          <w:szCs w:val="24"/>
          <w:rtl/>
          <w:lang w:val="en-US"/>
        </w:rPr>
        <w:t xml:space="preserve">ذات الصلة بالبيئة </w:t>
      </w:r>
      <w:r w:rsidR="008E533E">
        <w:rPr>
          <w:rFonts w:ascii="Simplified Arabic" w:hAnsi="Simplified Arabic" w:cs="Simplified Arabic" w:hint="cs"/>
          <w:sz w:val="24"/>
          <w:szCs w:val="24"/>
          <w:rtl/>
          <w:lang w:val="en-US"/>
        </w:rPr>
        <w:t xml:space="preserve">الحضرية </w:t>
      </w:r>
      <w:r>
        <w:rPr>
          <w:rFonts w:ascii="Simplified Arabic" w:hAnsi="Simplified Arabic" w:cs="Simplified Arabic" w:hint="cs"/>
          <w:sz w:val="24"/>
          <w:szCs w:val="24"/>
          <w:rtl/>
          <w:lang w:val="en-US"/>
        </w:rPr>
        <w:t>ل</w:t>
      </w:r>
      <w:r w:rsidRPr="00663FB7">
        <w:rPr>
          <w:rFonts w:ascii="Simplified Arabic" w:hAnsi="Simplified Arabic" w:cs="Simplified Arabic"/>
          <w:sz w:val="24"/>
          <w:szCs w:val="24"/>
          <w:rtl/>
          <w:lang w:val="en-US"/>
        </w:rPr>
        <w:t>مدينة بوسعادة</w:t>
      </w:r>
      <w:r w:rsidRPr="00F03E93">
        <w:rPr>
          <w:rFonts w:ascii="Simplified Arabic" w:hAnsi="Simplified Arabic" w:cs="Simplified Arabic"/>
          <w:sz w:val="24"/>
          <w:szCs w:val="24"/>
          <w:rtl/>
          <w:lang w:val="en-US"/>
        </w:rPr>
        <w:t xml:space="preserve">. </w:t>
      </w:r>
    </w:p>
    <w:p w:rsidR="00C121B0" w:rsidRDefault="00C121B0" w:rsidP="00C121B0">
      <w:pPr>
        <w:tabs>
          <w:tab w:val="right" w:pos="283"/>
        </w:tabs>
        <w:bidi/>
        <w:spacing w:after="0"/>
        <w:ind w:firstLine="283"/>
        <w:jc w:val="both"/>
        <w:rPr>
          <w:rFonts w:ascii="Simplified Arabic" w:hAnsi="Simplified Arabic" w:cs="Simplified Arabic"/>
          <w:sz w:val="24"/>
          <w:szCs w:val="24"/>
          <w:rtl/>
          <w:lang w:val="en-US"/>
        </w:rPr>
      </w:pPr>
      <w:r w:rsidRPr="00F03E93">
        <w:rPr>
          <w:rFonts w:ascii="Simplified Arabic" w:hAnsi="Simplified Arabic" w:cs="Simplified Arabic"/>
          <w:sz w:val="24"/>
          <w:szCs w:val="24"/>
          <w:rtl/>
          <w:lang w:val="en-US"/>
        </w:rPr>
        <w:t>(</w:t>
      </w:r>
      <w:r w:rsidRPr="000C7BFD">
        <w:rPr>
          <w:rFonts w:ascii="Simplified Arabic" w:hAnsi="Simplified Arabic" w:cs="Simplified Arabic" w:hint="cs"/>
          <w:b/>
          <w:bCs/>
          <w:sz w:val="24"/>
          <w:szCs w:val="24"/>
          <w:rtl/>
          <w:lang w:val="en-US"/>
        </w:rPr>
        <w:t>ثالثا</w:t>
      </w:r>
      <w:r w:rsidRPr="00F03E93">
        <w:rPr>
          <w:rFonts w:ascii="Simplified Arabic" w:hAnsi="Simplified Arabic" w:cs="Simplified Arabic"/>
          <w:sz w:val="24"/>
          <w:szCs w:val="24"/>
          <w:rtl/>
          <w:lang w:val="en-US"/>
        </w:rPr>
        <w:t xml:space="preserve">) تطبيق </w:t>
      </w:r>
      <w:r>
        <w:rPr>
          <w:rFonts w:ascii="Simplified Arabic" w:hAnsi="Simplified Arabic" w:cs="Simplified Arabic" w:hint="cs"/>
          <w:sz w:val="24"/>
          <w:szCs w:val="24"/>
          <w:rtl/>
          <w:lang w:val="en-US"/>
        </w:rPr>
        <w:t xml:space="preserve">تقنية </w:t>
      </w:r>
      <w:r w:rsidRPr="00C908DE">
        <w:rPr>
          <w:rFonts w:asciiTheme="majorBidi" w:hAnsiTheme="majorBidi" w:cstheme="majorBidi"/>
          <w:color w:val="000000"/>
          <w:sz w:val="24"/>
          <w:szCs w:val="24"/>
          <w:rtl/>
          <w:lang w:val="en-US"/>
        </w:rPr>
        <w:t>(</w:t>
      </w:r>
      <w:r w:rsidRPr="00C908DE">
        <w:rPr>
          <w:rFonts w:asciiTheme="majorBidi" w:eastAsia="Times New Roman" w:hAnsiTheme="majorBidi" w:cstheme="majorBidi"/>
          <w:color w:val="000000"/>
          <w:sz w:val="24"/>
          <w:szCs w:val="24"/>
          <w:lang w:eastAsia="fr-FR"/>
        </w:rPr>
        <w:t>AHP</w:t>
      </w:r>
      <w:r w:rsidRPr="00C908DE">
        <w:rPr>
          <w:rFonts w:asciiTheme="majorBidi" w:hAnsiTheme="majorBidi" w:cstheme="majorBidi"/>
          <w:color w:val="000000"/>
          <w:sz w:val="24"/>
          <w:szCs w:val="24"/>
          <w:rtl/>
          <w:lang w:val="en-US"/>
        </w:rPr>
        <w:t>)</w:t>
      </w:r>
      <w:r w:rsidRPr="00663FB7">
        <w:rPr>
          <w:rFonts w:ascii="Arial" w:hAnsi="Arial"/>
          <w:color w:val="000000"/>
          <w:sz w:val="24"/>
          <w:szCs w:val="24"/>
          <w:rtl/>
          <w:lang w:val="en-US"/>
        </w:rPr>
        <w:t xml:space="preserve"> </w:t>
      </w:r>
      <w:r w:rsidRPr="00AD717B">
        <w:rPr>
          <w:rFonts w:ascii="Simplified Arabic" w:hAnsi="Simplified Arabic" w:cs="Simplified Arabic"/>
          <w:sz w:val="24"/>
          <w:szCs w:val="24"/>
          <w:rtl/>
          <w:lang w:val="en-US"/>
        </w:rPr>
        <w:t xml:space="preserve">لتقديم نظام ترجيح مناسب </w:t>
      </w:r>
      <w:r>
        <w:rPr>
          <w:rFonts w:ascii="Simplified Arabic" w:hAnsi="Simplified Arabic" w:cs="Simplified Arabic" w:hint="cs"/>
          <w:sz w:val="24"/>
          <w:szCs w:val="24"/>
          <w:rtl/>
          <w:lang w:val="en-US"/>
        </w:rPr>
        <w:t xml:space="preserve">لاستخراج وزن وأهمية </w:t>
      </w:r>
      <w:r w:rsidRPr="00AD717B">
        <w:rPr>
          <w:rFonts w:ascii="Simplified Arabic" w:hAnsi="Simplified Arabic" w:cs="Simplified Arabic"/>
          <w:sz w:val="24"/>
          <w:szCs w:val="24"/>
          <w:rtl/>
          <w:lang w:val="en-US"/>
        </w:rPr>
        <w:t xml:space="preserve">كل عامل </w:t>
      </w:r>
      <w:r>
        <w:rPr>
          <w:rFonts w:ascii="Simplified Arabic" w:hAnsi="Simplified Arabic" w:cs="Simplified Arabic" w:hint="cs"/>
          <w:sz w:val="24"/>
          <w:szCs w:val="24"/>
          <w:rtl/>
          <w:lang w:val="en-US"/>
        </w:rPr>
        <w:t>من العوامل المستخدمة في تقييم مرونة مدينة بوسعادة</w:t>
      </w:r>
      <w:r w:rsidRPr="00AD717B">
        <w:rPr>
          <w:rFonts w:ascii="Simplified Arabic" w:hAnsi="Simplified Arabic" w:cs="Simplified Arabic" w:hint="cs"/>
          <w:sz w:val="24"/>
          <w:szCs w:val="24"/>
          <w:rtl/>
          <w:lang w:val="en-US"/>
        </w:rPr>
        <w:t>.</w:t>
      </w:r>
      <w:r w:rsidRPr="00AD717B">
        <w:rPr>
          <w:rFonts w:ascii="Simplified Arabic" w:hAnsi="Simplified Arabic" w:cs="Simplified Arabic"/>
          <w:sz w:val="24"/>
          <w:szCs w:val="24"/>
          <w:rtl/>
          <w:lang w:val="en-US"/>
        </w:rPr>
        <w:t xml:space="preserve"> </w:t>
      </w:r>
    </w:p>
    <w:p w:rsidR="00C121B0" w:rsidRDefault="00C121B0" w:rsidP="0011101E">
      <w:pPr>
        <w:tabs>
          <w:tab w:val="right" w:pos="283"/>
        </w:tabs>
        <w:bidi/>
        <w:spacing w:after="0"/>
        <w:ind w:firstLine="283"/>
        <w:jc w:val="both"/>
        <w:rPr>
          <w:rFonts w:ascii="Simplified Arabic" w:hAnsi="Simplified Arabic" w:cs="Simplified Arabic"/>
          <w:sz w:val="24"/>
          <w:szCs w:val="24"/>
          <w:rtl/>
        </w:rPr>
      </w:pPr>
      <w:r w:rsidRPr="00AD717B">
        <w:rPr>
          <w:rFonts w:ascii="Simplified Arabic" w:hAnsi="Simplified Arabic" w:cs="Simplified Arabic"/>
          <w:sz w:val="24"/>
          <w:szCs w:val="24"/>
          <w:rtl/>
          <w:lang w:val="en-US"/>
        </w:rPr>
        <w:t>(</w:t>
      </w:r>
      <w:r w:rsidRPr="000C7BFD">
        <w:rPr>
          <w:rFonts w:ascii="Simplified Arabic" w:hAnsi="Simplified Arabic" w:cs="Simplified Arabic" w:hint="cs"/>
          <w:b/>
          <w:bCs/>
          <w:sz w:val="24"/>
          <w:szCs w:val="24"/>
          <w:rtl/>
          <w:lang w:val="en-US"/>
        </w:rPr>
        <w:t>رابعا</w:t>
      </w:r>
      <w:r w:rsidRPr="00AD717B">
        <w:rPr>
          <w:rFonts w:ascii="Simplified Arabic" w:hAnsi="Simplified Arabic" w:cs="Simplified Arabic"/>
          <w:sz w:val="24"/>
          <w:szCs w:val="24"/>
          <w:rtl/>
          <w:lang w:val="en-US"/>
        </w:rPr>
        <w:t xml:space="preserve">) التحقق من </w:t>
      </w:r>
      <w:r>
        <w:rPr>
          <w:rFonts w:ascii="Simplified Arabic" w:hAnsi="Simplified Arabic" w:cs="Simplified Arabic" w:hint="cs"/>
          <w:sz w:val="24"/>
          <w:szCs w:val="24"/>
          <w:rtl/>
          <w:lang w:val="en-US"/>
        </w:rPr>
        <w:t>اطار العمل</w:t>
      </w:r>
      <w:r w:rsidRPr="00663FB7">
        <w:rPr>
          <w:rFonts w:ascii="Simplified Arabic" w:hAnsi="Simplified Arabic" w:cs="Simplified Arabic" w:hint="cs"/>
          <w:sz w:val="24"/>
          <w:szCs w:val="24"/>
          <w:rtl/>
          <w:lang w:val="en-US"/>
        </w:rPr>
        <w:t xml:space="preserve"> المقترح </w:t>
      </w:r>
      <w:r w:rsidRPr="00AD717B">
        <w:rPr>
          <w:rFonts w:ascii="Simplified Arabic" w:hAnsi="Simplified Arabic" w:cs="Simplified Arabic"/>
          <w:sz w:val="24"/>
          <w:szCs w:val="24"/>
          <w:rtl/>
          <w:lang w:val="en-US"/>
        </w:rPr>
        <w:t xml:space="preserve">من خلال </w:t>
      </w:r>
      <w:r>
        <w:rPr>
          <w:rFonts w:ascii="Simplified Arabic" w:hAnsi="Simplified Arabic" w:cs="Simplified Arabic" w:hint="cs"/>
          <w:sz w:val="24"/>
          <w:szCs w:val="24"/>
          <w:rtl/>
          <w:lang w:val="en-US"/>
        </w:rPr>
        <w:t xml:space="preserve">دراسة الحالة، </w:t>
      </w:r>
      <w:r>
        <w:rPr>
          <w:rFonts w:ascii="Simplified Arabic" w:hAnsi="Simplified Arabic" w:cs="Simplified Arabic" w:hint="cs"/>
          <w:sz w:val="24"/>
          <w:szCs w:val="24"/>
          <w:rtl/>
          <w:lang w:val="en-US" w:bidi="ar-DZ"/>
        </w:rPr>
        <w:t xml:space="preserve">اي </w:t>
      </w:r>
      <w:r w:rsidRPr="00AD717B">
        <w:rPr>
          <w:rFonts w:ascii="Simplified Arabic" w:hAnsi="Simplified Arabic" w:cs="Simplified Arabic"/>
          <w:sz w:val="24"/>
          <w:szCs w:val="24"/>
          <w:rtl/>
          <w:lang w:val="en-US"/>
        </w:rPr>
        <w:t xml:space="preserve">ترجمة جميع النتائج المحصل عليها في عملية </w:t>
      </w:r>
      <w:r w:rsidRPr="00C908DE">
        <w:rPr>
          <w:rFonts w:asciiTheme="majorBidi" w:hAnsiTheme="majorBidi" w:cstheme="majorBidi"/>
          <w:color w:val="000000"/>
          <w:sz w:val="24"/>
          <w:szCs w:val="24"/>
          <w:rtl/>
          <w:lang w:val="en-US"/>
        </w:rPr>
        <w:t>(</w:t>
      </w:r>
      <w:r w:rsidRPr="00C908DE">
        <w:rPr>
          <w:rFonts w:asciiTheme="majorBidi" w:eastAsia="Times New Roman" w:hAnsiTheme="majorBidi" w:cstheme="majorBidi"/>
          <w:color w:val="000000"/>
          <w:sz w:val="24"/>
          <w:szCs w:val="24"/>
          <w:lang w:eastAsia="fr-FR"/>
        </w:rPr>
        <w:t>AHP</w:t>
      </w:r>
      <w:r w:rsidRPr="00C908DE">
        <w:rPr>
          <w:rFonts w:asciiTheme="majorBidi" w:hAnsiTheme="majorBidi" w:cstheme="majorBidi"/>
          <w:color w:val="000000"/>
          <w:sz w:val="24"/>
          <w:szCs w:val="24"/>
          <w:rtl/>
          <w:lang w:val="en-US"/>
        </w:rPr>
        <w:t>)</w:t>
      </w:r>
      <w:r w:rsidRPr="00663FB7">
        <w:rPr>
          <w:rFonts w:ascii="Arial" w:hAnsi="Arial"/>
          <w:color w:val="000000"/>
          <w:sz w:val="24"/>
          <w:szCs w:val="24"/>
          <w:rtl/>
          <w:lang w:val="en-US"/>
        </w:rPr>
        <w:t xml:space="preserve"> </w:t>
      </w:r>
      <w:r w:rsidRPr="00AD717B">
        <w:rPr>
          <w:rFonts w:ascii="Simplified Arabic" w:hAnsi="Simplified Arabic" w:cs="Simplified Arabic"/>
          <w:sz w:val="24"/>
          <w:szCs w:val="24"/>
          <w:rtl/>
          <w:lang w:val="en-US"/>
        </w:rPr>
        <w:t>إلى خر</w:t>
      </w:r>
      <w:r w:rsidRPr="00AD717B">
        <w:rPr>
          <w:rFonts w:ascii="Simplified Arabic" w:hAnsi="Simplified Arabic" w:cs="Simplified Arabic" w:hint="cs"/>
          <w:sz w:val="24"/>
          <w:szCs w:val="24"/>
          <w:rtl/>
          <w:lang w:val="en-US"/>
        </w:rPr>
        <w:t>ائط</w:t>
      </w:r>
      <w:r w:rsidRPr="00AD717B">
        <w:rPr>
          <w:rFonts w:ascii="Simplified Arabic" w:hAnsi="Simplified Arabic" w:cs="Simplified Arabic"/>
          <w:sz w:val="24"/>
          <w:szCs w:val="24"/>
          <w:rtl/>
          <w:lang w:val="en-US"/>
        </w:rPr>
        <w:t xml:space="preserve"> في </w:t>
      </w:r>
      <w:r w:rsidRPr="00AD717B">
        <w:rPr>
          <w:rFonts w:ascii="Simplified Arabic" w:hAnsi="Simplified Arabic" w:cs="Simplified Arabic" w:hint="cs"/>
          <w:sz w:val="24"/>
          <w:szCs w:val="24"/>
          <w:rtl/>
          <w:lang w:val="en-US"/>
        </w:rPr>
        <w:t>بيئة</w:t>
      </w:r>
      <w:r w:rsidRPr="00AD717B">
        <w:rPr>
          <w:rFonts w:ascii="Simplified Arabic" w:hAnsi="Simplified Arabic" w:cs="Simplified Arabic"/>
          <w:sz w:val="24"/>
          <w:szCs w:val="24"/>
          <w:rtl/>
          <w:lang w:val="en-US"/>
        </w:rPr>
        <w:t xml:space="preserve"> </w:t>
      </w:r>
      <w:r w:rsidRPr="00AD717B">
        <w:rPr>
          <w:rFonts w:ascii="Simplified Arabic" w:hAnsi="Simplified Arabic" w:cs="Simplified Arabic" w:hint="cs"/>
          <w:sz w:val="24"/>
          <w:szCs w:val="24"/>
          <w:rtl/>
          <w:lang w:val="en-US"/>
        </w:rPr>
        <w:t>نظم</w:t>
      </w:r>
      <w:r w:rsidRPr="00AD717B">
        <w:rPr>
          <w:rFonts w:ascii="Simplified Arabic" w:hAnsi="Simplified Arabic" w:cs="Simplified Arabic"/>
          <w:sz w:val="24"/>
          <w:szCs w:val="24"/>
          <w:rtl/>
          <w:lang w:val="en-US"/>
        </w:rPr>
        <w:t xml:space="preserve"> </w:t>
      </w:r>
      <w:r w:rsidRPr="00AD717B">
        <w:rPr>
          <w:rFonts w:ascii="Simplified Arabic" w:hAnsi="Simplified Arabic" w:cs="Simplified Arabic" w:hint="cs"/>
          <w:sz w:val="24"/>
          <w:szCs w:val="24"/>
          <w:rtl/>
          <w:lang w:val="en-US"/>
        </w:rPr>
        <w:t>المعلومات</w:t>
      </w:r>
      <w:r w:rsidRPr="00AD717B">
        <w:rPr>
          <w:rFonts w:ascii="Simplified Arabic" w:hAnsi="Simplified Arabic" w:cs="Simplified Arabic"/>
          <w:sz w:val="24"/>
          <w:szCs w:val="24"/>
          <w:rtl/>
          <w:lang w:val="en-US"/>
        </w:rPr>
        <w:t xml:space="preserve"> </w:t>
      </w:r>
      <w:r w:rsidRPr="00AD717B">
        <w:rPr>
          <w:rFonts w:ascii="Simplified Arabic" w:hAnsi="Simplified Arabic" w:cs="Simplified Arabic" w:hint="cs"/>
          <w:sz w:val="24"/>
          <w:szCs w:val="24"/>
          <w:rtl/>
          <w:lang w:val="en-US"/>
        </w:rPr>
        <w:t>الجغرافية</w:t>
      </w:r>
      <w:r>
        <w:rPr>
          <w:rFonts w:ascii="Simplified Arabic" w:hAnsi="Simplified Arabic" w:cs="Simplified Arabic" w:hint="cs"/>
          <w:sz w:val="24"/>
          <w:szCs w:val="24"/>
          <w:rtl/>
          <w:lang w:val="en-US"/>
        </w:rPr>
        <w:t xml:space="preserve"> </w:t>
      </w:r>
      <w:r>
        <w:rPr>
          <w:rFonts w:ascii="Times New Roman" w:eastAsia="Times New Roman" w:hAnsi="Times New Roman" w:cs="Times New Roman"/>
          <w:b/>
          <w:sz w:val="20"/>
          <w:szCs w:val="20"/>
          <w:rtl/>
          <w:lang w:eastAsia="fr-FR"/>
        </w:rPr>
        <w:t>(</w:t>
      </w:r>
      <w:r w:rsidRPr="008B6FB8">
        <w:rPr>
          <w:rFonts w:asciiTheme="majorBidi" w:hAnsiTheme="majorBidi" w:cstheme="majorBidi"/>
          <w:sz w:val="24"/>
          <w:szCs w:val="24"/>
        </w:rPr>
        <w:t>GIS</w:t>
      </w:r>
      <w:r>
        <w:rPr>
          <w:rFonts w:ascii="Times New Roman" w:eastAsia="Times New Roman" w:hAnsi="Times New Roman" w:cs="Times New Roman"/>
          <w:b/>
          <w:sz w:val="20"/>
          <w:szCs w:val="20"/>
          <w:rtl/>
          <w:lang w:eastAsia="fr-FR"/>
        </w:rPr>
        <w:t>)</w:t>
      </w:r>
      <w:r w:rsidRPr="00AD717B">
        <w:rPr>
          <w:rFonts w:ascii="Simplified Arabic" w:hAnsi="Simplified Arabic" w:cs="Simplified Arabic" w:hint="cs"/>
          <w:sz w:val="24"/>
          <w:szCs w:val="24"/>
          <w:rtl/>
          <w:lang w:val="en-US"/>
        </w:rPr>
        <w:t xml:space="preserve">، هذه الاخيرة </w:t>
      </w:r>
      <w:r w:rsidRPr="00AD717B">
        <w:rPr>
          <w:rFonts w:ascii="Simplified Arabic" w:hAnsi="Simplified Arabic" w:cs="Simplified Arabic"/>
          <w:sz w:val="24"/>
          <w:szCs w:val="24"/>
          <w:rtl/>
          <w:lang w:val="en-US"/>
        </w:rPr>
        <w:t xml:space="preserve">هي </w:t>
      </w:r>
      <w:r w:rsidRPr="00AD717B">
        <w:rPr>
          <w:rFonts w:ascii="Simplified Arabic" w:hAnsi="Simplified Arabic" w:cs="Simplified Arabic" w:hint="cs"/>
          <w:sz w:val="24"/>
          <w:szCs w:val="24"/>
          <w:rtl/>
          <w:lang w:val="en-US"/>
        </w:rPr>
        <w:t>اداة</w:t>
      </w:r>
      <w:r w:rsidRPr="00AD717B">
        <w:rPr>
          <w:rFonts w:ascii="Simplified Arabic" w:hAnsi="Simplified Arabic" w:cs="Simplified Arabic"/>
          <w:sz w:val="24"/>
          <w:szCs w:val="24"/>
          <w:rtl/>
          <w:lang w:val="en-US"/>
        </w:rPr>
        <w:t xml:space="preserve"> مصممة لإدارة وتحويل وتمثيل البيانات المرجعية مكانيًا</w:t>
      </w:r>
      <w:r w:rsidRPr="00AD717B">
        <w:rPr>
          <w:rFonts w:ascii="Simplified Arabic" w:hAnsi="Simplified Arabic" w:cs="Simplified Arabic" w:hint="cs"/>
          <w:sz w:val="24"/>
          <w:szCs w:val="24"/>
          <w:rtl/>
          <w:lang w:val="en-US"/>
        </w:rPr>
        <w:t>.</w:t>
      </w:r>
      <w:r w:rsidRPr="00182247">
        <w:rPr>
          <w:rFonts w:ascii="Simplified Arabic" w:hAnsi="Simplified Arabic" w:cs="Simplified Arabic" w:hint="cs"/>
          <w:sz w:val="24"/>
          <w:szCs w:val="24"/>
          <w:rtl/>
          <w:lang w:val="en-US"/>
        </w:rPr>
        <w:t xml:space="preserve"> </w:t>
      </w:r>
      <w:r w:rsidRPr="008B6FB8">
        <w:rPr>
          <w:rFonts w:ascii="Simplified Arabic" w:hAnsi="Simplified Arabic" w:cs="Simplified Arabic"/>
          <w:sz w:val="24"/>
          <w:szCs w:val="24"/>
          <w:rtl/>
        </w:rPr>
        <w:t>إن دمج نتائج</w:t>
      </w:r>
      <w:r w:rsidRPr="00C80321">
        <w:rPr>
          <w:rFonts w:ascii="Arial" w:hAnsi="Arial"/>
          <w:sz w:val="24"/>
          <w:szCs w:val="24"/>
          <w:rtl/>
          <w:lang w:bidi="ar-DZ"/>
        </w:rPr>
        <w:t xml:space="preserve"> </w:t>
      </w:r>
      <w:r w:rsidRPr="00651658">
        <w:rPr>
          <w:rFonts w:ascii="Times New Roman" w:eastAsia="Times New Roman" w:hAnsi="Times New Roman" w:cs="Times New Roman"/>
          <w:b/>
          <w:sz w:val="20"/>
          <w:szCs w:val="20"/>
          <w:rtl/>
          <w:lang w:eastAsia="fr-FR"/>
        </w:rPr>
        <w:t>(</w:t>
      </w:r>
      <w:r w:rsidRPr="008B6FB8">
        <w:rPr>
          <w:rFonts w:asciiTheme="majorBidi" w:hAnsiTheme="majorBidi" w:cstheme="majorBidi"/>
          <w:sz w:val="24"/>
          <w:szCs w:val="24"/>
        </w:rPr>
        <w:t>AHP</w:t>
      </w:r>
      <w:r w:rsidRPr="00651658">
        <w:rPr>
          <w:rFonts w:ascii="Times New Roman" w:eastAsia="Times New Roman" w:hAnsi="Times New Roman" w:cs="Times New Roman"/>
          <w:b/>
          <w:sz w:val="20"/>
          <w:szCs w:val="20"/>
          <w:rtl/>
          <w:lang w:eastAsia="fr-FR"/>
        </w:rPr>
        <w:t>)</w:t>
      </w:r>
      <w:r>
        <w:rPr>
          <w:rFonts w:ascii="Times New Roman" w:eastAsia="Times New Roman" w:hAnsi="Times New Roman" w:cs="Times New Roman" w:hint="cs"/>
          <w:b/>
          <w:sz w:val="20"/>
          <w:szCs w:val="20"/>
          <w:rtl/>
          <w:lang w:eastAsia="fr-FR"/>
        </w:rPr>
        <w:t xml:space="preserve"> </w:t>
      </w:r>
      <w:r w:rsidRPr="008B6FB8">
        <w:rPr>
          <w:rFonts w:ascii="Simplified Arabic" w:hAnsi="Simplified Arabic" w:cs="Simplified Arabic" w:hint="cs"/>
          <w:sz w:val="24"/>
          <w:szCs w:val="24"/>
          <w:rtl/>
        </w:rPr>
        <w:t>ضمن بيئة نظم المعلومات الجغرافية</w:t>
      </w:r>
      <w:r w:rsidRPr="00A075E0">
        <w:rPr>
          <w:rFonts w:ascii="Times New Roman" w:eastAsia="Times New Roman" w:hAnsi="Times New Roman" w:cs="Times New Roman"/>
          <w:b/>
          <w:sz w:val="20"/>
          <w:szCs w:val="20"/>
          <w:rtl/>
          <w:lang w:eastAsia="fr-FR"/>
        </w:rPr>
        <w:t xml:space="preserve"> (</w:t>
      </w:r>
      <w:r w:rsidRPr="008B6FB8">
        <w:rPr>
          <w:rFonts w:asciiTheme="majorBidi" w:hAnsiTheme="majorBidi" w:cstheme="majorBidi"/>
          <w:sz w:val="24"/>
          <w:szCs w:val="24"/>
        </w:rPr>
        <w:t>GIS</w:t>
      </w:r>
      <w:r w:rsidRPr="00A075E0">
        <w:rPr>
          <w:rFonts w:ascii="Times New Roman" w:eastAsia="Times New Roman" w:hAnsi="Times New Roman" w:cs="Times New Roman"/>
          <w:b/>
          <w:sz w:val="20"/>
          <w:szCs w:val="20"/>
          <w:rtl/>
          <w:lang w:eastAsia="fr-FR"/>
        </w:rPr>
        <w:t>)</w:t>
      </w:r>
      <w:r>
        <w:rPr>
          <w:rFonts w:ascii="Times New Roman" w:eastAsia="Times New Roman" w:hAnsi="Times New Roman" w:cs="Times New Roman" w:hint="cs"/>
          <w:b/>
          <w:sz w:val="20"/>
          <w:szCs w:val="20"/>
          <w:rtl/>
          <w:lang w:eastAsia="fr-FR"/>
        </w:rPr>
        <w:t xml:space="preserve"> </w:t>
      </w:r>
      <w:r w:rsidRPr="008B6FB8">
        <w:rPr>
          <w:rFonts w:ascii="Simplified Arabic" w:hAnsi="Simplified Arabic" w:cs="Simplified Arabic"/>
          <w:sz w:val="24"/>
          <w:szCs w:val="24"/>
          <w:rtl/>
        </w:rPr>
        <w:t xml:space="preserve">يسمح </w:t>
      </w:r>
      <w:r w:rsidRPr="008B6FB8">
        <w:rPr>
          <w:rFonts w:ascii="Simplified Arabic" w:hAnsi="Simplified Arabic" w:cs="Simplified Arabic" w:hint="cs"/>
          <w:sz w:val="24"/>
          <w:szCs w:val="24"/>
          <w:rtl/>
        </w:rPr>
        <w:t>بترجمة</w:t>
      </w:r>
      <w:r w:rsidRPr="008B6FB8">
        <w:rPr>
          <w:rFonts w:ascii="Simplified Arabic" w:hAnsi="Simplified Arabic" w:cs="Simplified Arabic"/>
          <w:sz w:val="24"/>
          <w:szCs w:val="24"/>
          <w:rtl/>
        </w:rPr>
        <w:t xml:space="preserve"> </w:t>
      </w:r>
      <w:r w:rsidRPr="008B6FB8">
        <w:rPr>
          <w:rFonts w:ascii="Simplified Arabic" w:hAnsi="Simplified Arabic" w:cs="Simplified Arabic" w:hint="cs"/>
          <w:sz w:val="24"/>
          <w:szCs w:val="24"/>
          <w:rtl/>
        </w:rPr>
        <w:t>تلك</w:t>
      </w:r>
      <w:r w:rsidRPr="008B6FB8">
        <w:rPr>
          <w:rFonts w:ascii="Simplified Arabic" w:hAnsi="Simplified Arabic" w:cs="Simplified Arabic"/>
          <w:sz w:val="24"/>
          <w:szCs w:val="24"/>
          <w:rtl/>
        </w:rPr>
        <w:t xml:space="preserve"> </w:t>
      </w:r>
      <w:r w:rsidRPr="008B6FB8">
        <w:rPr>
          <w:rFonts w:ascii="Simplified Arabic" w:hAnsi="Simplified Arabic" w:cs="Simplified Arabic" w:hint="cs"/>
          <w:sz w:val="24"/>
          <w:szCs w:val="24"/>
          <w:rtl/>
        </w:rPr>
        <w:t>النتائج</w:t>
      </w:r>
      <w:r w:rsidRPr="008B6FB8">
        <w:rPr>
          <w:rFonts w:ascii="Simplified Arabic" w:hAnsi="Simplified Arabic" w:cs="Simplified Arabic"/>
          <w:sz w:val="24"/>
          <w:szCs w:val="24"/>
          <w:rtl/>
        </w:rPr>
        <w:t xml:space="preserve"> </w:t>
      </w:r>
      <w:r w:rsidRPr="008B6FB8">
        <w:rPr>
          <w:rFonts w:ascii="Simplified Arabic" w:hAnsi="Simplified Arabic" w:cs="Simplified Arabic" w:hint="cs"/>
          <w:sz w:val="24"/>
          <w:szCs w:val="24"/>
          <w:rtl/>
        </w:rPr>
        <w:t>إلى</w:t>
      </w:r>
      <w:r w:rsidRPr="008B6FB8">
        <w:rPr>
          <w:rFonts w:ascii="Simplified Arabic" w:hAnsi="Simplified Arabic" w:cs="Simplified Arabic"/>
          <w:sz w:val="24"/>
          <w:szCs w:val="24"/>
          <w:rtl/>
        </w:rPr>
        <w:t xml:space="preserve"> </w:t>
      </w:r>
      <w:r w:rsidRPr="008B6FB8">
        <w:rPr>
          <w:rFonts w:ascii="Simplified Arabic" w:hAnsi="Simplified Arabic" w:cs="Simplified Arabic" w:hint="cs"/>
          <w:sz w:val="24"/>
          <w:szCs w:val="24"/>
          <w:rtl/>
        </w:rPr>
        <w:t>خريطة تصنيفات المرونة الحضرية.</w:t>
      </w:r>
      <w:r w:rsidRPr="008B6FB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هذه </w:t>
      </w:r>
      <w:r w:rsidRPr="008B6FB8">
        <w:rPr>
          <w:rFonts w:ascii="Simplified Arabic" w:hAnsi="Simplified Arabic" w:cs="Simplified Arabic" w:hint="cs"/>
          <w:sz w:val="24"/>
          <w:szCs w:val="24"/>
          <w:rtl/>
        </w:rPr>
        <w:t xml:space="preserve">المنهجية المشتركة </w:t>
      </w:r>
      <w:r w:rsidRPr="008B6FB8">
        <w:rPr>
          <w:rFonts w:ascii="Simplified Arabic" w:hAnsi="Simplified Arabic" w:cs="Simplified Arabic"/>
          <w:sz w:val="24"/>
          <w:szCs w:val="24"/>
          <w:rtl/>
        </w:rPr>
        <w:t>بين</w:t>
      </w:r>
      <w:r>
        <w:rPr>
          <w:rFonts w:ascii="Arial" w:hAnsi="Arial" w:hint="cs"/>
          <w:sz w:val="24"/>
          <w:szCs w:val="24"/>
          <w:rtl/>
          <w:lang w:bidi="ar-DZ"/>
        </w:rPr>
        <w:t xml:space="preserve"> </w:t>
      </w:r>
      <w:r w:rsidRPr="00651658">
        <w:rPr>
          <w:rFonts w:ascii="Times New Roman" w:eastAsia="Times New Roman" w:hAnsi="Times New Roman" w:cs="Times New Roman"/>
          <w:b/>
          <w:sz w:val="20"/>
          <w:szCs w:val="20"/>
          <w:rtl/>
          <w:lang w:eastAsia="fr-FR"/>
        </w:rPr>
        <w:t>(</w:t>
      </w:r>
      <w:r w:rsidRPr="008B6FB8">
        <w:rPr>
          <w:rFonts w:asciiTheme="majorBidi" w:hAnsiTheme="majorBidi" w:cstheme="majorBidi"/>
          <w:sz w:val="24"/>
          <w:szCs w:val="24"/>
        </w:rPr>
        <w:t>AHP</w:t>
      </w:r>
      <w:r w:rsidRPr="00651658">
        <w:rPr>
          <w:rFonts w:ascii="Times New Roman" w:eastAsia="Times New Roman" w:hAnsi="Times New Roman" w:cs="Times New Roman"/>
          <w:b/>
          <w:sz w:val="20"/>
          <w:szCs w:val="20"/>
          <w:rtl/>
          <w:lang w:eastAsia="fr-FR"/>
        </w:rPr>
        <w:t>)</w:t>
      </w:r>
      <w:r>
        <w:rPr>
          <w:rFonts w:ascii="Times New Roman" w:eastAsia="Times New Roman" w:hAnsi="Times New Roman" w:cs="Times New Roman" w:hint="cs"/>
          <w:b/>
          <w:sz w:val="20"/>
          <w:szCs w:val="20"/>
          <w:rtl/>
          <w:lang w:eastAsia="fr-FR"/>
        </w:rPr>
        <w:t xml:space="preserve"> </w:t>
      </w:r>
      <w:r w:rsidRPr="00C80321">
        <w:rPr>
          <w:rFonts w:ascii="Arial" w:hAnsi="Arial"/>
          <w:sz w:val="24"/>
          <w:szCs w:val="24"/>
          <w:rtl/>
          <w:lang w:bidi="ar-DZ"/>
        </w:rPr>
        <w:t>و</w:t>
      </w:r>
      <w:r w:rsidRPr="00A075E0">
        <w:rPr>
          <w:rFonts w:ascii="Times New Roman" w:eastAsia="Times New Roman" w:hAnsi="Times New Roman" w:cs="Times New Roman"/>
          <w:b/>
          <w:sz w:val="20"/>
          <w:szCs w:val="20"/>
          <w:rtl/>
          <w:lang w:eastAsia="fr-FR"/>
        </w:rPr>
        <w:t>(</w:t>
      </w:r>
      <w:r w:rsidRPr="008B6FB8">
        <w:rPr>
          <w:rFonts w:asciiTheme="majorBidi" w:hAnsiTheme="majorBidi" w:cstheme="majorBidi"/>
          <w:sz w:val="24"/>
          <w:szCs w:val="24"/>
        </w:rPr>
        <w:t>GIS</w:t>
      </w:r>
      <w:r w:rsidRPr="00A075E0">
        <w:rPr>
          <w:rFonts w:ascii="Times New Roman" w:eastAsia="Times New Roman" w:hAnsi="Times New Roman" w:cs="Times New Roman"/>
          <w:b/>
          <w:sz w:val="20"/>
          <w:szCs w:val="20"/>
          <w:rtl/>
          <w:lang w:eastAsia="fr-FR"/>
        </w:rPr>
        <w:t>)</w:t>
      </w:r>
      <w:r>
        <w:rPr>
          <w:rFonts w:ascii="Arial" w:hAnsi="Arial" w:hint="cs"/>
          <w:sz w:val="24"/>
          <w:szCs w:val="24"/>
          <w:rtl/>
          <w:lang w:bidi="ar-DZ"/>
        </w:rPr>
        <w:t xml:space="preserve"> </w:t>
      </w:r>
      <w:r w:rsidRPr="002E185C">
        <w:rPr>
          <w:rFonts w:ascii="Simplified Arabic" w:hAnsi="Simplified Arabic" w:cs="Simplified Arabic" w:hint="cs"/>
          <w:sz w:val="24"/>
          <w:szCs w:val="24"/>
          <w:rtl/>
        </w:rPr>
        <w:t>يسمح بت</w:t>
      </w:r>
      <w:r w:rsidRPr="008B6FB8">
        <w:rPr>
          <w:rFonts w:ascii="Simplified Arabic" w:hAnsi="Simplified Arabic" w:cs="Simplified Arabic"/>
          <w:sz w:val="24"/>
          <w:szCs w:val="24"/>
          <w:rtl/>
        </w:rPr>
        <w:t>وف</w:t>
      </w:r>
      <w:r>
        <w:rPr>
          <w:rFonts w:ascii="Simplified Arabic" w:hAnsi="Simplified Arabic" w:cs="Simplified Arabic" w:hint="cs"/>
          <w:sz w:val="24"/>
          <w:szCs w:val="24"/>
          <w:rtl/>
        </w:rPr>
        <w:t>ي</w:t>
      </w:r>
      <w:r w:rsidRPr="008B6FB8">
        <w:rPr>
          <w:rFonts w:ascii="Simplified Arabic" w:hAnsi="Simplified Arabic" w:cs="Simplified Arabic"/>
          <w:sz w:val="24"/>
          <w:szCs w:val="24"/>
          <w:rtl/>
        </w:rPr>
        <w:t>ر</w:t>
      </w:r>
      <w:r w:rsidRPr="002E185C">
        <w:rPr>
          <w:rFonts w:ascii="Simplified Arabic" w:hAnsi="Simplified Arabic" w:cs="Simplified Arabic"/>
          <w:sz w:val="24"/>
          <w:szCs w:val="24"/>
          <w:rtl/>
        </w:rPr>
        <w:t xml:space="preserve"> </w:t>
      </w:r>
      <w:r w:rsidRPr="008B6FB8">
        <w:rPr>
          <w:rFonts w:ascii="Simplified Arabic" w:hAnsi="Simplified Arabic" w:cs="Simplified Arabic"/>
          <w:sz w:val="24"/>
          <w:szCs w:val="24"/>
          <w:rtl/>
        </w:rPr>
        <w:t>نظامًا قويًا لدعم القرار المكاني</w:t>
      </w:r>
      <w:r>
        <w:rPr>
          <w:rFonts w:ascii="Simplified Arabic" w:hAnsi="Simplified Arabic" w:cs="Simplified Arabic" w:hint="cs"/>
          <w:sz w:val="24"/>
          <w:szCs w:val="24"/>
          <w:rtl/>
        </w:rPr>
        <w:t xml:space="preserve">، </w:t>
      </w:r>
      <w:r w:rsidR="0011101E">
        <w:rPr>
          <w:rFonts w:ascii="Simplified Arabic" w:hAnsi="Simplified Arabic" w:cs="Simplified Arabic" w:hint="cs"/>
          <w:sz w:val="24"/>
          <w:szCs w:val="24"/>
          <w:rtl/>
        </w:rPr>
        <w:t>ل</w:t>
      </w:r>
      <w:r>
        <w:rPr>
          <w:rFonts w:ascii="Simplified Arabic" w:hAnsi="Simplified Arabic" w:cs="Simplified Arabic" w:hint="cs"/>
          <w:sz w:val="24"/>
          <w:szCs w:val="24"/>
          <w:rtl/>
        </w:rPr>
        <w:t xml:space="preserve">توجيه التنمية المحلية ولتحسين قدرة مدينة بوسعادة </w:t>
      </w:r>
      <w:r w:rsidR="0011101E">
        <w:rPr>
          <w:rFonts w:ascii="Simplified Arabic" w:hAnsi="Simplified Arabic" w:cs="Simplified Arabic" w:hint="cs"/>
          <w:sz w:val="24"/>
          <w:szCs w:val="24"/>
          <w:rtl/>
        </w:rPr>
        <w:t xml:space="preserve">على الاستجابة اثناء الاضطرابات، </w:t>
      </w:r>
      <w:r>
        <w:rPr>
          <w:rFonts w:ascii="Simplified Arabic" w:hAnsi="Simplified Arabic" w:cs="Simplified Arabic" w:hint="cs"/>
          <w:sz w:val="24"/>
          <w:szCs w:val="24"/>
          <w:rtl/>
        </w:rPr>
        <w:t xml:space="preserve">خصوصا منها الاحياء التي تحقق ادنى مستويات مرونة. </w:t>
      </w:r>
    </w:p>
    <w:p w:rsidR="00C121B0" w:rsidRDefault="00C121B0" w:rsidP="00C121B0">
      <w:pPr>
        <w:tabs>
          <w:tab w:val="right" w:pos="283"/>
        </w:tabs>
        <w:bidi/>
        <w:spacing w:after="0"/>
        <w:ind w:firstLine="283"/>
        <w:jc w:val="both"/>
        <w:rPr>
          <w:rFonts w:ascii="Simplified Arabic" w:hAnsi="Simplified Arabic" w:cs="Simplified Arabic"/>
          <w:sz w:val="24"/>
          <w:szCs w:val="24"/>
          <w:rtl/>
          <w:lang w:val="en-US"/>
        </w:rPr>
      </w:pPr>
      <w:r w:rsidRPr="00663FB7">
        <w:rPr>
          <w:rFonts w:ascii="Simplified Arabic" w:hAnsi="Simplified Arabic" w:cs="Simplified Arabic"/>
          <w:sz w:val="24"/>
          <w:szCs w:val="24"/>
          <w:rtl/>
          <w:lang w:val="en-US"/>
        </w:rPr>
        <w:t>(</w:t>
      </w:r>
      <w:r w:rsidRPr="000C7BFD">
        <w:rPr>
          <w:rFonts w:ascii="Simplified Arabic" w:hAnsi="Simplified Arabic" w:cs="Simplified Arabic" w:hint="cs"/>
          <w:b/>
          <w:bCs/>
          <w:sz w:val="24"/>
          <w:szCs w:val="24"/>
          <w:rtl/>
          <w:lang w:val="en-US"/>
        </w:rPr>
        <w:t>خامسا</w:t>
      </w:r>
      <w:r w:rsidRPr="00663FB7">
        <w:rPr>
          <w:rFonts w:ascii="Simplified Arabic" w:hAnsi="Simplified Arabic" w:cs="Simplified Arabic"/>
          <w:sz w:val="24"/>
          <w:szCs w:val="24"/>
          <w:rtl/>
          <w:lang w:val="en-US"/>
        </w:rPr>
        <w:t xml:space="preserve">) إجراء استبيان على الصعيد </w:t>
      </w:r>
      <w:r w:rsidRPr="00663FB7">
        <w:rPr>
          <w:rFonts w:ascii="Simplified Arabic" w:hAnsi="Simplified Arabic" w:cs="Simplified Arabic" w:hint="cs"/>
          <w:sz w:val="24"/>
          <w:szCs w:val="24"/>
          <w:rtl/>
          <w:lang w:val="en-US"/>
        </w:rPr>
        <w:t>المحلي</w:t>
      </w:r>
      <w:r w:rsidRPr="00663FB7">
        <w:rPr>
          <w:rFonts w:ascii="Simplified Arabic" w:hAnsi="Simplified Arabic" w:cs="Simplified Arabic"/>
          <w:sz w:val="24"/>
          <w:szCs w:val="24"/>
          <w:rtl/>
          <w:lang w:val="en-US"/>
        </w:rPr>
        <w:t xml:space="preserve"> للتحقيق في تصورات </w:t>
      </w:r>
      <w:r w:rsidRPr="00663FB7">
        <w:rPr>
          <w:rFonts w:ascii="Simplified Arabic" w:hAnsi="Simplified Arabic" w:cs="Simplified Arabic" w:hint="cs"/>
          <w:sz w:val="24"/>
          <w:szCs w:val="24"/>
          <w:rtl/>
          <w:lang w:val="en-US"/>
        </w:rPr>
        <w:t xml:space="preserve">السكان </w:t>
      </w:r>
      <w:r>
        <w:rPr>
          <w:rFonts w:ascii="Simplified Arabic" w:hAnsi="Simplified Arabic" w:cs="Simplified Arabic" w:hint="cs"/>
          <w:sz w:val="24"/>
          <w:szCs w:val="24"/>
          <w:rtl/>
          <w:lang w:val="en-US"/>
        </w:rPr>
        <w:t xml:space="preserve">حول اضطرابات الحصول على الخدمة للمشاركة في عملية </w:t>
      </w:r>
      <w:r>
        <w:rPr>
          <w:rFonts w:ascii="Simplified Arabic" w:hAnsi="Simplified Arabic" w:cs="Simplified Arabic"/>
          <w:sz w:val="24"/>
          <w:szCs w:val="24"/>
          <w:rtl/>
          <w:lang w:val="en-US"/>
        </w:rPr>
        <w:t xml:space="preserve">تحسين المرونة الحضرية </w:t>
      </w:r>
      <w:r w:rsidRPr="0099223A">
        <w:rPr>
          <w:rFonts w:ascii="Simplified Arabic" w:hAnsi="Simplified Arabic" w:cs="Simplified Arabic" w:hint="cs"/>
          <w:sz w:val="24"/>
          <w:szCs w:val="24"/>
          <w:rtl/>
          <w:lang w:val="en-US"/>
        </w:rPr>
        <w:t>ب</w:t>
      </w:r>
      <w:r w:rsidRPr="0099223A">
        <w:rPr>
          <w:rFonts w:ascii="Simplified Arabic" w:hAnsi="Simplified Arabic" w:cs="Simplified Arabic"/>
          <w:sz w:val="24"/>
          <w:szCs w:val="24"/>
          <w:rtl/>
          <w:lang w:val="en-US"/>
        </w:rPr>
        <w:t>مدينة بوسعادة</w:t>
      </w:r>
      <w:r w:rsidRPr="0099223A">
        <w:rPr>
          <w:rFonts w:ascii="Simplified Arabic" w:hAnsi="Simplified Arabic" w:cs="Simplified Arabic" w:hint="cs"/>
          <w:sz w:val="24"/>
          <w:szCs w:val="24"/>
          <w:rtl/>
          <w:lang w:val="en-US"/>
        </w:rPr>
        <w:t>.</w:t>
      </w:r>
    </w:p>
    <w:p w:rsidR="00C121B0" w:rsidRDefault="00C121B0" w:rsidP="005B0947">
      <w:pPr>
        <w:tabs>
          <w:tab w:val="right" w:pos="283"/>
        </w:tabs>
        <w:bidi/>
        <w:spacing w:after="0"/>
        <w:ind w:firstLine="283"/>
        <w:jc w:val="both"/>
        <w:rPr>
          <w:rFonts w:ascii="Simplified Arabic" w:hAnsi="Simplified Arabic" w:cs="Simplified Arabic"/>
          <w:sz w:val="24"/>
          <w:szCs w:val="24"/>
          <w:rtl/>
          <w:lang w:val="en-US"/>
        </w:rPr>
      </w:pPr>
      <w:r w:rsidRPr="00182247">
        <w:rPr>
          <w:rFonts w:ascii="Simplified Arabic" w:hAnsi="Simplified Arabic" w:cs="Simplified Arabic" w:hint="cs"/>
          <w:sz w:val="24"/>
          <w:szCs w:val="24"/>
          <w:rtl/>
          <w:lang w:val="en-US"/>
        </w:rPr>
        <w:t>يلخص</w:t>
      </w:r>
      <w:r w:rsidRPr="00182247">
        <w:rPr>
          <w:rFonts w:ascii="Simplified Arabic" w:hAnsi="Simplified Arabic" w:cs="Simplified Arabic"/>
          <w:sz w:val="24"/>
          <w:szCs w:val="24"/>
          <w:rtl/>
          <w:lang w:val="en-US"/>
        </w:rPr>
        <w:t xml:space="preserve"> </w:t>
      </w:r>
      <w:r w:rsidRPr="00182247">
        <w:rPr>
          <w:rFonts w:ascii="Simplified Arabic" w:hAnsi="Simplified Arabic" w:cs="Simplified Arabic" w:hint="cs"/>
          <w:sz w:val="24"/>
          <w:szCs w:val="24"/>
          <w:rtl/>
          <w:lang w:val="en-US"/>
        </w:rPr>
        <w:t>الشكل</w:t>
      </w:r>
      <w:r w:rsidRPr="00182247">
        <w:rPr>
          <w:rFonts w:ascii="Simplified Arabic" w:hAnsi="Simplified Arabic" w:cs="Simplified Arabic"/>
          <w:sz w:val="24"/>
          <w:szCs w:val="24"/>
          <w:rtl/>
          <w:lang w:val="en-US"/>
        </w:rPr>
        <w:t xml:space="preserve"> </w:t>
      </w:r>
      <w:r>
        <w:rPr>
          <w:rFonts w:ascii="Simplified Arabic" w:hAnsi="Simplified Arabic" w:cs="Simplified Arabic" w:hint="cs"/>
          <w:color w:val="000000" w:themeColor="text1"/>
          <w:sz w:val="24"/>
          <w:szCs w:val="24"/>
          <w:rtl/>
        </w:rPr>
        <w:t xml:space="preserve">رقم </w:t>
      </w:r>
      <w:r>
        <w:rPr>
          <w:rFonts w:ascii="Simplified Arabic" w:hAnsi="Simplified Arabic" w:cs="Simplified Arabic" w:hint="cs"/>
          <w:sz w:val="24"/>
          <w:szCs w:val="24"/>
          <w:rtl/>
          <w:lang w:val="en-US"/>
        </w:rPr>
        <w:t>(</w:t>
      </w:r>
      <w:r w:rsidR="005B0947">
        <w:rPr>
          <w:rFonts w:ascii="Simplified Arabic" w:hAnsi="Simplified Arabic" w:cs="Simplified Arabic" w:hint="cs"/>
          <w:sz w:val="24"/>
          <w:szCs w:val="24"/>
          <w:rtl/>
          <w:lang w:val="en-US"/>
        </w:rPr>
        <w:t>5</w:t>
      </w:r>
      <w:r w:rsidR="0011101E">
        <w:rPr>
          <w:rFonts w:ascii="Simplified Arabic" w:hAnsi="Simplified Arabic" w:cs="Simplified Arabic" w:hint="cs"/>
          <w:sz w:val="24"/>
          <w:szCs w:val="24"/>
          <w:rtl/>
          <w:lang w:val="en-US"/>
        </w:rPr>
        <w:t>-</w:t>
      </w:r>
      <w:r w:rsidR="005B0947">
        <w:rPr>
          <w:rFonts w:ascii="Simplified Arabic" w:hAnsi="Simplified Arabic" w:cs="Simplified Arabic" w:hint="cs"/>
          <w:sz w:val="24"/>
          <w:szCs w:val="24"/>
          <w:rtl/>
          <w:lang w:val="en-US"/>
        </w:rPr>
        <w:t>3</w:t>
      </w:r>
      <w:r>
        <w:rPr>
          <w:rFonts w:ascii="Simplified Arabic" w:hAnsi="Simplified Arabic" w:cs="Simplified Arabic" w:hint="cs"/>
          <w:sz w:val="24"/>
          <w:szCs w:val="24"/>
          <w:rtl/>
          <w:lang w:val="en-US"/>
        </w:rPr>
        <w:t>)</w:t>
      </w:r>
      <w:r w:rsidRPr="0018224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مراحل </w:t>
      </w:r>
      <w:r w:rsidR="0077622D">
        <w:rPr>
          <w:rFonts w:ascii="Simplified Arabic" w:hAnsi="Simplified Arabic" w:cs="Simplified Arabic" w:hint="cs"/>
          <w:sz w:val="24"/>
          <w:szCs w:val="24"/>
          <w:rtl/>
          <w:lang w:val="en-US"/>
        </w:rPr>
        <w:t>تنفيذ</w:t>
      </w:r>
      <w:r w:rsidRPr="00182247">
        <w:rPr>
          <w:rFonts w:ascii="Simplified Arabic" w:hAnsi="Simplified Arabic" w:cs="Simplified Arabic" w:hint="cs"/>
          <w:sz w:val="24"/>
          <w:szCs w:val="24"/>
          <w:rtl/>
          <w:lang w:val="en-US"/>
        </w:rPr>
        <w:t xml:space="preserve"> </w:t>
      </w:r>
      <w:r w:rsidR="00F27C67" w:rsidRPr="00F27C67">
        <w:rPr>
          <w:rFonts w:ascii="Simplified Arabic" w:hAnsi="Simplified Arabic" w:cs="Simplified Arabic" w:hint="cs"/>
          <w:sz w:val="24"/>
          <w:szCs w:val="24"/>
          <w:rtl/>
          <w:lang w:val="en-US"/>
        </w:rPr>
        <w:t>اطار عمل</w:t>
      </w:r>
      <w:r w:rsidR="00F27C67" w:rsidRPr="00F27C67">
        <w:rPr>
          <w:rFonts w:ascii="Simplified Arabic" w:hAnsi="Simplified Arabic" w:cs="Simplified Arabic"/>
          <w:sz w:val="24"/>
          <w:szCs w:val="24"/>
          <w:rtl/>
          <w:lang w:val="en-US"/>
        </w:rPr>
        <w:t xml:space="preserve"> </w:t>
      </w:r>
      <w:r w:rsidR="00F27C67" w:rsidRPr="00F27C67">
        <w:rPr>
          <w:rFonts w:ascii="Simplified Arabic" w:hAnsi="Simplified Arabic" w:cs="Simplified Arabic" w:hint="cs"/>
          <w:sz w:val="24"/>
          <w:szCs w:val="24"/>
          <w:rtl/>
          <w:lang w:val="en-US"/>
        </w:rPr>
        <w:t>مقترح</w:t>
      </w:r>
      <w:r w:rsidR="00F27C67" w:rsidRPr="002D6E8A">
        <w:rPr>
          <w:rFonts w:ascii="Simplified Arabic" w:hAnsi="Simplified Arabic" w:cs="Simplified Arabic"/>
          <w:b/>
          <w:bCs/>
          <w:sz w:val="24"/>
          <w:szCs w:val="24"/>
          <w:rtl/>
          <w:lang w:val="en-US"/>
        </w:rPr>
        <w:t xml:space="preserve"> </w:t>
      </w:r>
      <w:r w:rsidRPr="00182247">
        <w:rPr>
          <w:rFonts w:ascii="Simplified Arabic" w:hAnsi="Simplified Arabic" w:cs="Simplified Arabic" w:hint="cs"/>
          <w:sz w:val="24"/>
          <w:szCs w:val="24"/>
          <w:rtl/>
          <w:lang w:val="en-US"/>
        </w:rPr>
        <w:t>لتقييم</w:t>
      </w:r>
      <w:r w:rsidRPr="00182247">
        <w:rPr>
          <w:rFonts w:ascii="Simplified Arabic" w:hAnsi="Simplified Arabic" w:cs="Simplified Arabic"/>
          <w:sz w:val="24"/>
          <w:szCs w:val="24"/>
          <w:rtl/>
          <w:lang w:val="en-US"/>
        </w:rPr>
        <w:t xml:space="preserve"> </w:t>
      </w:r>
      <w:r w:rsidRPr="00182247">
        <w:rPr>
          <w:rFonts w:ascii="Simplified Arabic" w:hAnsi="Simplified Arabic" w:cs="Simplified Arabic" w:hint="cs"/>
          <w:sz w:val="24"/>
          <w:szCs w:val="24"/>
          <w:rtl/>
          <w:lang w:val="en-US"/>
        </w:rPr>
        <w:t>المرونة</w:t>
      </w:r>
      <w:r w:rsidRPr="00182247">
        <w:rPr>
          <w:rFonts w:ascii="Simplified Arabic" w:hAnsi="Simplified Arabic" w:cs="Simplified Arabic"/>
          <w:sz w:val="24"/>
          <w:szCs w:val="24"/>
          <w:rtl/>
          <w:lang w:val="en-US"/>
        </w:rPr>
        <w:t xml:space="preserve"> </w:t>
      </w:r>
      <w:r w:rsidRPr="00182247">
        <w:rPr>
          <w:rFonts w:ascii="Simplified Arabic" w:hAnsi="Simplified Arabic" w:cs="Simplified Arabic" w:hint="cs"/>
          <w:sz w:val="24"/>
          <w:szCs w:val="24"/>
          <w:rtl/>
          <w:lang w:val="en-US"/>
        </w:rPr>
        <w:t>الحضرية</w:t>
      </w:r>
      <w:r>
        <w:rPr>
          <w:rFonts w:ascii="Simplified Arabic" w:hAnsi="Simplified Arabic" w:cs="Simplified Arabic" w:hint="cs"/>
          <w:sz w:val="24"/>
          <w:szCs w:val="24"/>
          <w:rtl/>
          <w:lang w:val="en-US"/>
        </w:rPr>
        <w:t xml:space="preserve"> لمدينة بوسعادة</w:t>
      </w:r>
      <w:r w:rsidRPr="00182247">
        <w:rPr>
          <w:rFonts w:ascii="Simplified Arabic" w:hAnsi="Simplified Arabic" w:cs="Simplified Arabic"/>
          <w:sz w:val="24"/>
          <w:szCs w:val="24"/>
          <w:rtl/>
          <w:lang w:val="en-US"/>
        </w:rPr>
        <w:t>.</w:t>
      </w:r>
    </w:p>
    <w:p w:rsidR="00C121B0" w:rsidRDefault="00C121B0" w:rsidP="00A41FEA">
      <w:pPr>
        <w:pStyle w:val="fegure"/>
        <w:spacing w:before="240"/>
        <w:rPr>
          <w:sz w:val="8"/>
          <w:szCs w:val="24"/>
          <w:rtl/>
        </w:rPr>
      </w:pPr>
      <w:bookmarkStart w:id="613" w:name="_Toc157608335"/>
      <w:bookmarkStart w:id="614" w:name="_Toc171803648"/>
      <w:r w:rsidRPr="00ED1C8F">
        <w:rPr>
          <w:sz w:val="8"/>
          <w:szCs w:val="24"/>
          <w:rtl/>
        </w:rPr>
        <w:t xml:space="preserve">الشكل </w:t>
      </w:r>
      <w:r w:rsidR="0011101E" w:rsidRPr="00ED1C8F">
        <w:rPr>
          <w:rFonts w:hint="cs"/>
          <w:sz w:val="8"/>
          <w:szCs w:val="24"/>
          <w:rtl/>
          <w:lang w:val="en-US"/>
        </w:rPr>
        <w:t>(</w:t>
      </w:r>
      <w:r w:rsidR="00C60343" w:rsidRPr="00ED1C8F">
        <w:rPr>
          <w:rFonts w:hint="cs"/>
          <w:sz w:val="8"/>
          <w:szCs w:val="24"/>
          <w:rtl/>
          <w:lang w:val="en-US"/>
        </w:rPr>
        <w:t>5-3</w:t>
      </w:r>
      <w:r w:rsidR="0011101E" w:rsidRPr="00ED1C8F">
        <w:rPr>
          <w:rFonts w:hint="cs"/>
          <w:sz w:val="8"/>
          <w:szCs w:val="24"/>
          <w:rtl/>
          <w:lang w:val="en-US"/>
        </w:rPr>
        <w:t>)</w:t>
      </w:r>
      <w:r w:rsidRPr="00ED1C8F">
        <w:rPr>
          <w:sz w:val="8"/>
          <w:szCs w:val="24"/>
          <w:rtl/>
        </w:rPr>
        <w:t xml:space="preserve">: </w:t>
      </w:r>
      <w:r w:rsidRPr="00ED1C8F">
        <w:rPr>
          <w:rFonts w:hint="cs"/>
          <w:color w:val="auto"/>
          <w:sz w:val="8"/>
          <w:szCs w:val="24"/>
          <w:rtl/>
        </w:rPr>
        <w:t>مراحل</w:t>
      </w:r>
      <w:r w:rsidRPr="00ED1C8F">
        <w:rPr>
          <w:color w:val="auto"/>
          <w:sz w:val="8"/>
          <w:szCs w:val="24"/>
          <w:rtl/>
        </w:rPr>
        <w:t xml:space="preserve"> </w:t>
      </w:r>
      <w:r w:rsidR="0077622D" w:rsidRPr="00ED1C8F">
        <w:rPr>
          <w:rFonts w:hint="cs"/>
          <w:sz w:val="8"/>
          <w:szCs w:val="24"/>
          <w:rtl/>
          <w:lang w:val="en-US"/>
        </w:rPr>
        <w:t>تنفيذ اطار عمل</w:t>
      </w:r>
      <w:r w:rsidR="0077622D" w:rsidRPr="00ED1C8F">
        <w:rPr>
          <w:sz w:val="8"/>
          <w:szCs w:val="24"/>
          <w:rtl/>
          <w:lang w:val="en-US"/>
        </w:rPr>
        <w:t xml:space="preserve"> </w:t>
      </w:r>
      <w:r w:rsidRPr="00ED1C8F">
        <w:rPr>
          <w:sz w:val="8"/>
          <w:szCs w:val="24"/>
          <w:rtl/>
        </w:rPr>
        <w:t xml:space="preserve">تقييم </w:t>
      </w:r>
      <w:r w:rsidRPr="00ED1C8F">
        <w:rPr>
          <w:rFonts w:hint="cs"/>
          <w:sz w:val="8"/>
          <w:szCs w:val="24"/>
          <w:rtl/>
        </w:rPr>
        <w:t>المرونة</w:t>
      </w:r>
      <w:r w:rsidRPr="00ED1C8F">
        <w:rPr>
          <w:sz w:val="8"/>
          <w:szCs w:val="24"/>
          <w:rtl/>
        </w:rPr>
        <w:t xml:space="preserve"> الحضرية</w:t>
      </w:r>
      <w:bookmarkEnd w:id="613"/>
      <w:bookmarkEnd w:id="614"/>
    </w:p>
    <w:p w:rsidR="006B38DD" w:rsidRPr="00010DE7" w:rsidRDefault="00010DE7" w:rsidP="00010DE7">
      <w:pPr>
        <w:pStyle w:val="fegure"/>
        <w:rPr>
          <w:sz w:val="8"/>
          <w:szCs w:val="24"/>
          <w:lang w:val="en-US" w:bidi="ar-DZ"/>
        </w:rPr>
      </w:pPr>
      <w:bookmarkStart w:id="615" w:name="_Toc171803649"/>
      <w:r>
        <w:rPr>
          <w:rFonts w:hint="cs"/>
          <w:sz w:val="8"/>
          <w:szCs w:val="24"/>
          <w:rtl/>
          <w:lang w:val="en-US"/>
        </w:rPr>
        <w:t>المصدر: (الباحث، 2022)</w:t>
      </w:r>
      <w:bookmarkEnd w:id="615"/>
    </w:p>
    <w:p w:rsidR="00C121B0" w:rsidRDefault="00C121B0" w:rsidP="0077622D">
      <w:pPr>
        <w:pStyle w:val="Default"/>
        <w:tabs>
          <w:tab w:val="right" w:pos="2267"/>
        </w:tabs>
        <w:bidi/>
        <w:spacing w:after="240"/>
        <w:jc w:val="center"/>
        <w:rPr>
          <w:rFonts w:ascii="Simplified Arabic" w:hAnsi="Simplified Arabic" w:cs="Simplified Arabic"/>
          <w:rtl/>
        </w:rPr>
      </w:pPr>
      <w:r>
        <w:rPr>
          <w:rFonts w:ascii="Simplified Arabic" w:hAnsi="Simplified Arabic" w:cs="Simplified Arabic" w:hint="cs"/>
          <w:noProof/>
          <w:rtl/>
          <w:lang w:eastAsia="fr-FR"/>
        </w:rPr>
        <w:drawing>
          <wp:inline distT="0" distB="0" distL="0" distR="0" wp14:anchorId="67B8150A" wp14:editId="1C0BFEE5">
            <wp:extent cx="4779034" cy="3226279"/>
            <wp:effectExtent l="0" t="19050" r="21590" b="31750"/>
            <wp:docPr id="87" name="Diagramme 8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6" r:lo="rId227" r:qs="rId228" r:cs="rId229"/>
              </a:graphicData>
            </a:graphic>
          </wp:inline>
        </w:drawing>
      </w:r>
    </w:p>
    <w:p w:rsidR="00C121B0" w:rsidRPr="00E725F4" w:rsidRDefault="00C121B0" w:rsidP="001D0548">
      <w:pPr>
        <w:pStyle w:val="Default"/>
        <w:numPr>
          <w:ilvl w:val="2"/>
          <w:numId w:val="152"/>
        </w:numPr>
        <w:tabs>
          <w:tab w:val="right" w:pos="850"/>
        </w:tabs>
        <w:bidi/>
        <w:spacing w:before="240" w:line="276" w:lineRule="auto"/>
        <w:ind w:left="0" w:firstLine="0"/>
        <w:jc w:val="both"/>
        <w:outlineLvl w:val="1"/>
        <w:rPr>
          <w:rFonts w:ascii="Simplified Arabic" w:hAnsi="Simplified Arabic" w:cs="Simplified Arabic"/>
          <w:b/>
          <w:bCs/>
        </w:rPr>
      </w:pPr>
      <w:bookmarkStart w:id="616" w:name="_Toc171803650"/>
      <w:r w:rsidRPr="00E725F4">
        <w:rPr>
          <w:rFonts w:ascii="Simplified Arabic" w:hAnsi="Simplified Arabic" w:cs="Simplified Arabic"/>
          <w:b/>
          <w:bCs/>
          <w:rtl/>
        </w:rPr>
        <w:t xml:space="preserve">مقارنة </w:t>
      </w:r>
      <w:r>
        <w:rPr>
          <w:rFonts w:ascii="Simplified Arabic" w:hAnsi="Simplified Arabic" w:cs="Simplified Arabic" w:hint="cs"/>
          <w:b/>
          <w:bCs/>
          <w:rtl/>
        </w:rPr>
        <w:t>بين ادوات</w:t>
      </w:r>
      <w:r w:rsidRPr="00E725F4">
        <w:rPr>
          <w:rFonts w:ascii="Simplified Arabic" w:hAnsi="Simplified Arabic" w:cs="Simplified Arabic"/>
          <w:b/>
          <w:bCs/>
          <w:rtl/>
        </w:rPr>
        <w:t xml:space="preserve"> تقييم المرونة الحضرية</w:t>
      </w:r>
      <w:r>
        <w:rPr>
          <w:rFonts w:ascii="Simplified Arabic" w:hAnsi="Simplified Arabic" w:cs="Simplified Arabic" w:hint="cs"/>
          <w:b/>
          <w:bCs/>
          <w:rtl/>
        </w:rPr>
        <w:t xml:space="preserve"> الشاملة </w:t>
      </w:r>
      <w:r w:rsidRPr="009035BD">
        <w:rPr>
          <w:rFonts w:asciiTheme="majorBidi" w:hAnsiTheme="majorBidi" w:cstheme="majorBidi" w:hint="cs"/>
          <w:b/>
          <w:bCs/>
          <w:color w:val="000000" w:themeColor="text1"/>
          <w:sz w:val="18"/>
          <w:szCs w:val="18"/>
          <w:rtl/>
          <w:lang w:val="en-US"/>
        </w:rPr>
        <w:t>(</w:t>
      </w:r>
      <w:r w:rsidRPr="009035BD">
        <w:rPr>
          <w:rFonts w:asciiTheme="majorBidi" w:hAnsiTheme="majorBidi" w:cstheme="majorBidi"/>
          <w:b/>
          <w:bCs/>
          <w:color w:val="000000" w:themeColor="text1"/>
          <w:sz w:val="18"/>
          <w:szCs w:val="18"/>
          <w:lang w:val="en-US"/>
        </w:rPr>
        <w:t>GURAT</w:t>
      </w:r>
      <w:r w:rsidRPr="009035BD">
        <w:rPr>
          <w:rFonts w:asciiTheme="majorBidi" w:hAnsiTheme="majorBidi" w:cstheme="majorBidi" w:hint="cs"/>
          <w:b/>
          <w:bCs/>
          <w:color w:val="000000" w:themeColor="text1"/>
          <w:sz w:val="18"/>
          <w:szCs w:val="18"/>
          <w:rtl/>
          <w:lang w:val="en-US"/>
        </w:rPr>
        <w:t>)</w:t>
      </w:r>
      <w:bookmarkEnd w:id="616"/>
    </w:p>
    <w:p w:rsidR="00C121B0" w:rsidRDefault="00C121B0" w:rsidP="005B0947">
      <w:pPr>
        <w:pStyle w:val="Default"/>
        <w:bidi/>
        <w:spacing w:line="276" w:lineRule="auto"/>
        <w:ind w:firstLine="283"/>
        <w:jc w:val="both"/>
        <w:rPr>
          <w:rFonts w:ascii="Simplified Arabic" w:hAnsi="Simplified Arabic" w:cs="Simplified Arabic"/>
          <w:color w:val="auto"/>
          <w:rtl/>
        </w:rPr>
      </w:pPr>
      <w:r w:rsidRPr="00C06005">
        <w:rPr>
          <w:rFonts w:ascii="Simplified Arabic" w:hAnsi="Simplified Arabic" w:cs="Simplified Arabic" w:hint="cs"/>
          <w:color w:val="auto"/>
          <w:rtl/>
        </w:rPr>
        <w:t>كما</w:t>
      </w:r>
      <w:r w:rsidRPr="00C06005">
        <w:rPr>
          <w:rFonts w:ascii="Simplified Arabic" w:hAnsi="Simplified Arabic" w:cs="Simplified Arabic"/>
          <w:color w:val="auto"/>
          <w:rtl/>
        </w:rPr>
        <w:t xml:space="preserve"> </w:t>
      </w:r>
      <w:r w:rsidRPr="00C06005">
        <w:rPr>
          <w:rFonts w:ascii="Simplified Arabic" w:hAnsi="Simplified Arabic" w:cs="Simplified Arabic" w:hint="cs"/>
          <w:color w:val="auto"/>
          <w:rtl/>
        </w:rPr>
        <w:t>ورد</w:t>
      </w:r>
      <w:r w:rsidRPr="00C06005">
        <w:rPr>
          <w:rFonts w:ascii="Simplified Arabic" w:hAnsi="Simplified Arabic" w:cs="Simplified Arabic"/>
          <w:color w:val="auto"/>
          <w:rtl/>
        </w:rPr>
        <w:t xml:space="preserve"> </w:t>
      </w:r>
      <w:r w:rsidRPr="00C06005">
        <w:rPr>
          <w:rFonts w:ascii="Simplified Arabic" w:hAnsi="Simplified Arabic" w:cs="Simplified Arabic" w:hint="cs"/>
          <w:color w:val="auto"/>
          <w:rtl/>
        </w:rPr>
        <w:t>في</w:t>
      </w:r>
      <w:r w:rsidRPr="00C06005">
        <w:rPr>
          <w:rFonts w:ascii="Simplified Arabic" w:hAnsi="Simplified Arabic" w:cs="Simplified Arabic"/>
          <w:color w:val="auto"/>
          <w:rtl/>
        </w:rPr>
        <w:t xml:space="preserve"> </w:t>
      </w:r>
      <w:r>
        <w:rPr>
          <w:rFonts w:ascii="Simplified Arabic" w:hAnsi="Simplified Arabic" w:cs="Simplified Arabic" w:hint="cs"/>
          <w:color w:val="auto"/>
          <w:rtl/>
        </w:rPr>
        <w:t>الجدول</w:t>
      </w:r>
      <w:r w:rsidRPr="00DE1C5B">
        <w:rPr>
          <w:rFonts w:ascii="Simplified Arabic" w:hAnsi="Simplified Arabic" w:cs="Simplified Arabic" w:hint="cs"/>
          <w:color w:val="000000" w:themeColor="text1"/>
          <w:rtl/>
        </w:rPr>
        <w:t xml:space="preserve"> </w:t>
      </w:r>
      <w:r w:rsidR="00F27C67">
        <w:rPr>
          <w:rFonts w:ascii="Simplified Arabic" w:hAnsi="Simplified Arabic" w:cs="Simplified Arabic" w:hint="cs"/>
          <w:rtl/>
          <w:lang w:val="en-US"/>
        </w:rPr>
        <w:t>(2-2)</w:t>
      </w:r>
      <w:r>
        <w:rPr>
          <w:rFonts w:ascii="Simplified Arabic" w:hAnsi="Simplified Arabic" w:cs="Simplified Arabic" w:hint="cs"/>
          <w:color w:val="auto"/>
          <w:rtl/>
        </w:rPr>
        <w:t xml:space="preserve"> من </w:t>
      </w:r>
      <w:r w:rsidRPr="00C06005">
        <w:rPr>
          <w:rFonts w:ascii="Simplified Arabic" w:hAnsi="Simplified Arabic" w:cs="Simplified Arabic" w:hint="cs"/>
          <w:color w:val="auto"/>
          <w:rtl/>
        </w:rPr>
        <w:t>الفصل</w:t>
      </w:r>
      <w:r w:rsidRPr="00C06005">
        <w:rPr>
          <w:rFonts w:ascii="Simplified Arabic" w:hAnsi="Simplified Arabic" w:cs="Simplified Arabic"/>
          <w:color w:val="auto"/>
          <w:rtl/>
        </w:rPr>
        <w:t xml:space="preserve"> </w:t>
      </w:r>
      <w:r w:rsidR="005B0947">
        <w:rPr>
          <w:rFonts w:ascii="Simplified Arabic" w:hAnsi="Simplified Arabic" w:cs="Simplified Arabic" w:hint="cs"/>
          <w:color w:val="auto"/>
          <w:rtl/>
        </w:rPr>
        <w:t>2</w:t>
      </w:r>
      <w:r>
        <w:rPr>
          <w:rFonts w:ascii="Simplified Arabic" w:hAnsi="Simplified Arabic" w:cs="Simplified Arabic" w:hint="cs"/>
          <w:color w:val="auto"/>
          <w:rtl/>
        </w:rPr>
        <w:t xml:space="preserve">، </w:t>
      </w:r>
      <w:r w:rsidRPr="00C06005">
        <w:rPr>
          <w:rFonts w:ascii="Simplified Arabic" w:hAnsi="Simplified Arabic" w:cs="Simplified Arabic" w:hint="cs"/>
          <w:color w:val="auto"/>
          <w:rtl/>
        </w:rPr>
        <w:t>أسفرت</w:t>
      </w:r>
      <w:r w:rsidRPr="00C06005">
        <w:rPr>
          <w:rFonts w:ascii="Simplified Arabic" w:hAnsi="Simplified Arabic" w:cs="Simplified Arabic"/>
          <w:color w:val="auto"/>
          <w:rtl/>
        </w:rPr>
        <w:t xml:space="preserve"> </w:t>
      </w:r>
      <w:r>
        <w:rPr>
          <w:rFonts w:ascii="Simplified Arabic" w:hAnsi="Simplified Arabic" w:cs="Simplified Arabic" w:hint="cs"/>
          <w:color w:val="auto"/>
          <w:rtl/>
        </w:rPr>
        <w:t>نتائج تحليل ونقد</w:t>
      </w:r>
      <w:r w:rsidRPr="00C06005">
        <w:rPr>
          <w:rFonts w:ascii="Simplified Arabic" w:hAnsi="Simplified Arabic" w:cs="Simplified Arabic"/>
          <w:color w:val="auto"/>
          <w:rtl/>
        </w:rPr>
        <w:t xml:space="preserve"> </w:t>
      </w:r>
      <w:r>
        <w:rPr>
          <w:rFonts w:ascii="Simplified Arabic" w:hAnsi="Simplified Arabic" w:cs="Simplified Arabic" w:hint="cs"/>
          <w:color w:val="auto"/>
          <w:rtl/>
        </w:rPr>
        <w:t>عدة ادوات</w:t>
      </w:r>
      <w:r w:rsidRPr="00C06005">
        <w:rPr>
          <w:rFonts w:ascii="Simplified Arabic" w:hAnsi="Simplified Arabic" w:cs="Simplified Arabic"/>
          <w:color w:val="auto"/>
          <w:rtl/>
        </w:rPr>
        <w:t xml:space="preserve"> </w:t>
      </w:r>
      <w:r>
        <w:rPr>
          <w:rFonts w:ascii="Simplified Arabic" w:hAnsi="Simplified Arabic" w:cs="Simplified Arabic" w:hint="cs"/>
          <w:color w:val="auto"/>
          <w:rtl/>
        </w:rPr>
        <w:t xml:space="preserve">مختارة </w:t>
      </w:r>
      <w:r w:rsidRPr="00C06005">
        <w:rPr>
          <w:rFonts w:ascii="Simplified Arabic" w:hAnsi="Simplified Arabic" w:cs="Simplified Arabic" w:hint="cs"/>
          <w:color w:val="auto"/>
          <w:rtl/>
        </w:rPr>
        <w:t>عن</w:t>
      </w:r>
      <w:r>
        <w:rPr>
          <w:rFonts w:ascii="Simplified Arabic" w:hAnsi="Simplified Arabic" w:cs="Simplified Arabic" w:hint="cs"/>
          <w:color w:val="auto"/>
          <w:rtl/>
        </w:rPr>
        <w:t xml:space="preserve"> اختيار</w:t>
      </w:r>
      <w:r w:rsidRPr="00C06005">
        <w:rPr>
          <w:rFonts w:ascii="Simplified Arabic" w:hAnsi="Simplified Arabic" w:cs="Simplified Arabic"/>
          <w:color w:val="auto"/>
          <w:rtl/>
        </w:rPr>
        <w:t xml:space="preserve"> </w:t>
      </w:r>
      <w:r w:rsidRPr="00C06005">
        <w:rPr>
          <w:rFonts w:ascii="Simplified Arabic" w:hAnsi="Simplified Arabic" w:cs="Simplified Arabic" w:hint="cs"/>
          <w:color w:val="auto"/>
          <w:rtl/>
        </w:rPr>
        <w:t>قائمة</w:t>
      </w:r>
      <w:r w:rsidRPr="00C06005">
        <w:rPr>
          <w:rFonts w:ascii="Simplified Arabic" w:hAnsi="Simplified Arabic" w:cs="Simplified Arabic"/>
          <w:color w:val="auto"/>
          <w:rtl/>
        </w:rPr>
        <w:t xml:space="preserve"> </w:t>
      </w:r>
      <w:r w:rsidRPr="00C06005">
        <w:rPr>
          <w:rFonts w:ascii="Simplified Arabic" w:hAnsi="Simplified Arabic" w:cs="Simplified Arabic" w:hint="cs"/>
          <w:color w:val="auto"/>
          <w:rtl/>
        </w:rPr>
        <w:t>بالعوامل</w:t>
      </w:r>
      <w:r>
        <w:rPr>
          <w:rFonts w:ascii="Simplified Arabic" w:hAnsi="Simplified Arabic" w:cs="Simplified Arabic"/>
          <w:color w:val="auto"/>
          <w:rtl/>
        </w:rPr>
        <w:t xml:space="preserve"> </w:t>
      </w:r>
      <w:r w:rsidRPr="00C06005">
        <w:rPr>
          <w:rFonts w:ascii="Simplified Arabic" w:hAnsi="Simplified Arabic" w:cs="Simplified Arabic" w:hint="cs"/>
          <w:color w:val="auto"/>
          <w:rtl/>
        </w:rPr>
        <w:t>الاولية</w:t>
      </w:r>
      <w:r w:rsidRPr="00C06005">
        <w:rPr>
          <w:rFonts w:ascii="Simplified Arabic" w:hAnsi="Simplified Arabic" w:cs="Simplified Arabic"/>
          <w:color w:val="auto"/>
          <w:rtl/>
        </w:rPr>
        <w:t xml:space="preserve"> </w:t>
      </w:r>
      <w:r>
        <w:rPr>
          <w:rFonts w:ascii="Simplified Arabic" w:hAnsi="Simplified Arabic" w:cs="Simplified Arabic" w:hint="cs"/>
          <w:color w:val="auto"/>
          <w:rtl/>
        </w:rPr>
        <w:t xml:space="preserve">التي </w:t>
      </w:r>
      <w:r w:rsidR="005B0947">
        <w:rPr>
          <w:rFonts w:ascii="Simplified Arabic" w:hAnsi="Simplified Arabic" w:cs="Simplified Arabic" w:hint="cs"/>
          <w:color w:val="auto"/>
          <w:rtl/>
        </w:rPr>
        <w:t xml:space="preserve">يمكن ان </w:t>
      </w:r>
      <w:r>
        <w:rPr>
          <w:rFonts w:ascii="Simplified Arabic" w:hAnsi="Simplified Arabic" w:cs="Simplified Arabic" w:hint="cs"/>
          <w:color w:val="auto"/>
          <w:rtl/>
        </w:rPr>
        <w:t xml:space="preserve">تؤثر على مستويات المرونة </w:t>
      </w:r>
      <w:r w:rsidRPr="00C06005">
        <w:rPr>
          <w:rFonts w:ascii="Simplified Arabic" w:hAnsi="Simplified Arabic" w:cs="Simplified Arabic" w:hint="cs"/>
          <w:color w:val="auto"/>
          <w:rtl/>
        </w:rPr>
        <w:t>الحضرية</w:t>
      </w:r>
      <w:r w:rsidRPr="00C06005">
        <w:rPr>
          <w:rFonts w:ascii="Simplified Arabic" w:hAnsi="Simplified Arabic" w:cs="Simplified Arabic"/>
          <w:color w:val="auto"/>
          <w:rtl/>
        </w:rPr>
        <w:t xml:space="preserve">. </w:t>
      </w:r>
    </w:p>
    <w:p w:rsidR="00C121B0" w:rsidRPr="00010DE7" w:rsidRDefault="00C121B0" w:rsidP="00ED0B51">
      <w:pPr>
        <w:shd w:val="clear" w:color="auto" w:fill="FFFFFF" w:themeFill="background1"/>
        <w:autoSpaceDE w:val="0"/>
        <w:autoSpaceDN w:val="0"/>
        <w:bidi/>
        <w:adjustRightInd w:val="0"/>
        <w:spacing w:before="240" w:after="0" w:line="240" w:lineRule="auto"/>
        <w:ind w:firstLine="282"/>
        <w:jc w:val="center"/>
        <w:rPr>
          <w:rFonts w:ascii="Simplified Arabic" w:hAnsi="Simplified Arabic" w:cs="Simplified Arabic"/>
          <w:b/>
          <w:bCs/>
          <w:sz w:val="24"/>
          <w:szCs w:val="24"/>
          <w:rtl/>
        </w:rPr>
      </w:pPr>
      <w:r w:rsidRPr="00010DE7">
        <w:rPr>
          <w:rFonts w:ascii="Simplified Arabic" w:hAnsi="Simplified Arabic" w:cs="Simplified Arabic" w:hint="cs"/>
          <w:b/>
          <w:bCs/>
          <w:sz w:val="24"/>
          <w:szCs w:val="24"/>
          <w:rtl/>
        </w:rPr>
        <w:lastRenderedPageBreak/>
        <w:t xml:space="preserve">الجدول </w:t>
      </w:r>
      <w:r w:rsidR="00F27C67" w:rsidRPr="00010DE7">
        <w:rPr>
          <w:rFonts w:ascii="Simplified Arabic" w:hAnsi="Simplified Arabic" w:cs="Simplified Arabic" w:hint="cs"/>
          <w:b/>
          <w:bCs/>
          <w:sz w:val="24"/>
          <w:szCs w:val="24"/>
          <w:rtl/>
          <w:lang w:val="en-US"/>
        </w:rPr>
        <w:t>(2-2)</w:t>
      </w:r>
      <w:r w:rsidR="00F27C67" w:rsidRPr="00010DE7">
        <w:rPr>
          <w:rFonts w:ascii="Simplified Arabic" w:hAnsi="Simplified Arabic" w:cs="Simplified Arabic" w:hint="cs"/>
          <w:b/>
          <w:bCs/>
          <w:sz w:val="24"/>
          <w:szCs w:val="24"/>
          <w:rtl/>
        </w:rPr>
        <w:t xml:space="preserve"> من (الفصل</w:t>
      </w:r>
      <w:r w:rsidR="00F27C67" w:rsidRPr="00010DE7">
        <w:rPr>
          <w:rFonts w:ascii="Simplified Arabic" w:hAnsi="Simplified Arabic" w:cs="Simplified Arabic"/>
          <w:b/>
          <w:bCs/>
          <w:sz w:val="24"/>
          <w:szCs w:val="24"/>
          <w:rtl/>
        </w:rPr>
        <w:t xml:space="preserve"> </w:t>
      </w:r>
      <w:r w:rsidR="00F27C67" w:rsidRPr="00010DE7">
        <w:rPr>
          <w:rFonts w:ascii="Simplified Arabic" w:hAnsi="Simplified Arabic" w:cs="Simplified Arabic" w:hint="cs"/>
          <w:b/>
          <w:bCs/>
          <w:sz w:val="24"/>
          <w:szCs w:val="24"/>
          <w:rtl/>
        </w:rPr>
        <w:t>2)</w:t>
      </w:r>
      <w:r w:rsidRPr="00010DE7">
        <w:rPr>
          <w:rFonts w:ascii="Simplified Arabic" w:hAnsi="Simplified Arabic" w:cs="Simplified Arabic" w:hint="cs"/>
          <w:b/>
          <w:bCs/>
          <w:sz w:val="24"/>
          <w:szCs w:val="24"/>
          <w:rtl/>
        </w:rPr>
        <w:t>: العوامل الاولية المؤثرة على المرونة</w:t>
      </w:r>
    </w:p>
    <w:p w:rsidR="00010DE7" w:rsidRPr="00010DE7" w:rsidRDefault="00010DE7" w:rsidP="00010DE7">
      <w:pPr>
        <w:pStyle w:val="fegure"/>
        <w:rPr>
          <w:sz w:val="8"/>
          <w:szCs w:val="24"/>
          <w:rtl/>
          <w:lang w:val="en-US" w:bidi="ar-DZ"/>
        </w:rPr>
      </w:pPr>
      <w:bookmarkStart w:id="617" w:name="_Toc171803651"/>
      <w:r>
        <w:rPr>
          <w:rFonts w:hint="cs"/>
          <w:sz w:val="8"/>
          <w:szCs w:val="24"/>
          <w:rtl/>
          <w:lang w:val="en-US"/>
        </w:rPr>
        <w:t>المصدر: (الباحث، 2022)</w:t>
      </w:r>
      <w:bookmarkEnd w:id="617"/>
    </w:p>
    <w:tbl>
      <w:tblPr>
        <w:tblStyle w:val="Grilledutableau"/>
        <w:bidiVisual/>
        <w:tblW w:w="0" w:type="auto"/>
        <w:jc w:val="center"/>
        <w:tblInd w:w="-1068" w:type="dxa"/>
        <w:tblLook w:val="04A0" w:firstRow="1" w:lastRow="0" w:firstColumn="1" w:lastColumn="0" w:noHBand="0" w:noVBand="1"/>
      </w:tblPr>
      <w:tblGrid>
        <w:gridCol w:w="2167"/>
        <w:gridCol w:w="2802"/>
        <w:gridCol w:w="1276"/>
      </w:tblGrid>
      <w:tr w:rsidR="00C121B0" w:rsidRPr="002E185C" w:rsidTr="008E533E">
        <w:trPr>
          <w:jc w:val="center"/>
        </w:trPr>
        <w:tc>
          <w:tcPr>
            <w:tcW w:w="2167" w:type="dxa"/>
            <w:shd w:val="clear" w:color="auto" w:fill="auto"/>
            <w:vAlign w:val="center"/>
          </w:tcPr>
          <w:p w:rsidR="00C121B0" w:rsidRPr="002E185C" w:rsidRDefault="00C121B0" w:rsidP="00794BA6">
            <w:pPr>
              <w:autoSpaceDE w:val="0"/>
              <w:autoSpaceDN w:val="0"/>
              <w:bidi/>
              <w:adjustRightInd w:val="0"/>
              <w:jc w:val="center"/>
              <w:rPr>
                <w:rFonts w:ascii="Simplified Arabic" w:hAnsi="Simplified Arabic" w:cs="Simplified Arabic"/>
                <w:sz w:val="24"/>
                <w:szCs w:val="24"/>
                <w:rtl/>
              </w:rPr>
            </w:pPr>
            <w:r w:rsidRPr="002E185C">
              <w:rPr>
                <w:rFonts w:ascii="Simplified Arabic" w:hAnsi="Simplified Arabic" w:cs="Simplified Arabic"/>
                <w:sz w:val="24"/>
                <w:szCs w:val="24"/>
                <w:rtl/>
              </w:rPr>
              <w:t>المكون</w:t>
            </w:r>
          </w:p>
        </w:tc>
        <w:tc>
          <w:tcPr>
            <w:tcW w:w="2802" w:type="dxa"/>
            <w:shd w:val="clear" w:color="auto" w:fill="auto"/>
            <w:vAlign w:val="center"/>
          </w:tcPr>
          <w:p w:rsidR="00C121B0" w:rsidRPr="002E185C" w:rsidRDefault="00C121B0" w:rsidP="00794BA6">
            <w:pPr>
              <w:autoSpaceDE w:val="0"/>
              <w:autoSpaceDN w:val="0"/>
              <w:bidi/>
              <w:adjustRightInd w:val="0"/>
              <w:jc w:val="center"/>
              <w:rPr>
                <w:rFonts w:ascii="Simplified Arabic" w:hAnsi="Simplified Arabic" w:cs="Simplified Arabic"/>
                <w:sz w:val="24"/>
                <w:szCs w:val="24"/>
                <w:rtl/>
              </w:rPr>
            </w:pPr>
            <w:r w:rsidRPr="002E185C">
              <w:rPr>
                <w:rFonts w:ascii="Simplified Arabic" w:hAnsi="Simplified Arabic" w:cs="Simplified Arabic"/>
                <w:sz w:val="24"/>
                <w:szCs w:val="24"/>
                <w:rtl/>
              </w:rPr>
              <w:t>العوامل</w:t>
            </w:r>
          </w:p>
        </w:tc>
        <w:tc>
          <w:tcPr>
            <w:tcW w:w="1276" w:type="dxa"/>
            <w:shd w:val="clear" w:color="auto" w:fill="auto"/>
            <w:vAlign w:val="center"/>
          </w:tcPr>
          <w:p w:rsidR="00C121B0" w:rsidRPr="002E185C" w:rsidRDefault="00C121B0" w:rsidP="00794BA6">
            <w:pPr>
              <w:autoSpaceDE w:val="0"/>
              <w:autoSpaceDN w:val="0"/>
              <w:bidi/>
              <w:adjustRightInd w:val="0"/>
              <w:jc w:val="center"/>
              <w:rPr>
                <w:rFonts w:ascii="Simplified Arabic" w:hAnsi="Simplified Arabic" w:cs="Simplified Arabic"/>
                <w:sz w:val="24"/>
                <w:szCs w:val="24"/>
                <w:rtl/>
              </w:rPr>
            </w:pPr>
            <w:r w:rsidRPr="002E185C">
              <w:rPr>
                <w:rFonts w:ascii="Simplified Arabic" w:hAnsi="Simplified Arabic" w:cs="Simplified Arabic"/>
                <w:sz w:val="24"/>
                <w:szCs w:val="24"/>
                <w:rtl/>
              </w:rPr>
              <w:t>عامل مكاني</w:t>
            </w:r>
          </w:p>
        </w:tc>
      </w:tr>
      <w:tr w:rsidR="00C121B0" w:rsidRPr="002E185C" w:rsidTr="008E533E">
        <w:trPr>
          <w:jc w:val="center"/>
        </w:trPr>
        <w:tc>
          <w:tcPr>
            <w:tcW w:w="2167" w:type="dxa"/>
            <w:vMerge w:val="restart"/>
            <w:shd w:val="clear" w:color="auto" w:fill="auto"/>
            <w:vAlign w:val="center"/>
          </w:tcPr>
          <w:p w:rsidR="00C121B0" w:rsidRPr="002E185C" w:rsidRDefault="00C121B0" w:rsidP="00F27C67">
            <w:pPr>
              <w:autoSpaceDE w:val="0"/>
              <w:autoSpaceDN w:val="0"/>
              <w:bidi/>
              <w:adjustRightInd w:val="0"/>
              <w:jc w:val="center"/>
              <w:rPr>
                <w:rFonts w:ascii="Simplified Arabic" w:hAnsi="Simplified Arabic" w:cs="Simplified Arabic"/>
                <w:sz w:val="24"/>
                <w:szCs w:val="24"/>
                <w:rtl/>
              </w:rPr>
            </w:pPr>
            <w:r w:rsidRPr="002E185C">
              <w:rPr>
                <w:rFonts w:ascii="Simplified Arabic" w:hAnsi="Simplified Arabic" w:cs="Simplified Arabic"/>
                <w:sz w:val="24"/>
                <w:szCs w:val="24"/>
                <w:rtl/>
              </w:rPr>
              <w:t xml:space="preserve">مرونة </w:t>
            </w:r>
            <w:r w:rsidRPr="002E185C">
              <w:rPr>
                <w:rFonts w:ascii="Simplified Arabic" w:hAnsi="Simplified Arabic" w:cs="Simplified Arabic" w:hint="cs"/>
                <w:sz w:val="24"/>
                <w:szCs w:val="24"/>
                <w:rtl/>
              </w:rPr>
              <w:t>المكون</w:t>
            </w:r>
            <w:r w:rsidRPr="002E185C">
              <w:rPr>
                <w:rFonts w:ascii="Simplified Arabic" w:hAnsi="Simplified Arabic" w:cs="Simplified Arabic"/>
                <w:sz w:val="24"/>
                <w:szCs w:val="24"/>
                <w:rtl/>
              </w:rPr>
              <w:t xml:space="preserve"> الفيزيائي</w:t>
            </w:r>
            <w:r w:rsidRPr="002E185C">
              <w:rPr>
                <w:rFonts w:ascii="Simplified Arabic" w:hAnsi="Simplified Arabic" w:cs="Simplified Arabic" w:hint="cs"/>
                <w:sz w:val="24"/>
                <w:szCs w:val="24"/>
                <w:rtl/>
              </w:rPr>
              <w:t xml:space="preserve"> (فئة البيئة </w:t>
            </w:r>
            <w:r w:rsidR="008E533E">
              <w:rPr>
                <w:rFonts w:ascii="Simplified Arabic" w:hAnsi="Simplified Arabic" w:cs="Simplified Arabic" w:hint="cs"/>
                <w:sz w:val="24"/>
                <w:szCs w:val="24"/>
                <w:rtl/>
                <w:lang w:val="en-US"/>
              </w:rPr>
              <w:t>الحضرية</w:t>
            </w:r>
            <w:r w:rsidRPr="002E185C">
              <w:rPr>
                <w:rFonts w:ascii="Simplified Arabic" w:hAnsi="Simplified Arabic" w:cs="Simplified Arabic" w:hint="cs"/>
                <w:sz w:val="24"/>
                <w:szCs w:val="24"/>
                <w:rtl/>
              </w:rPr>
              <w:t>)</w:t>
            </w: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كثافة البناء</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المسافة الى المرافق الصحية</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المسافة الى المرافق الامنية</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المسافة الى مرافق الانقاذ</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المسافة الى المرافق التعليمية</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المسافة الى المرافق الدينية/الثقافية</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959E4" w:rsidP="00C959E4">
            <w:pPr>
              <w:autoSpaceDE w:val="0"/>
              <w:autoSpaceDN w:val="0"/>
              <w:bidi/>
              <w:adjustRightInd w:val="0"/>
              <w:rPr>
                <w:rFonts w:ascii="Simplified Arabic" w:hAnsi="Simplified Arabic" w:cs="Simplified Arabic"/>
                <w:sz w:val="24"/>
                <w:szCs w:val="24"/>
                <w:rtl/>
              </w:rPr>
            </w:pPr>
            <w:r w:rsidRPr="0077622D">
              <w:rPr>
                <w:rFonts w:ascii="Simplified Arabic" w:hAnsi="Simplified Arabic" w:cs="Simplified Arabic" w:hint="cs"/>
                <w:sz w:val="24"/>
                <w:szCs w:val="24"/>
                <w:rtl/>
                <w:lang w:val="en-US"/>
              </w:rPr>
              <w:t>عمق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الشريانية</w:t>
            </w:r>
          </w:p>
        </w:tc>
        <w:tc>
          <w:tcPr>
            <w:tcW w:w="1276" w:type="dxa"/>
            <w:shd w:val="clear" w:color="auto" w:fill="auto"/>
            <w:vAlign w:val="center"/>
          </w:tcPr>
          <w:p w:rsidR="00C121B0" w:rsidRPr="002E185C" w:rsidRDefault="00C121B0" w:rsidP="00794BA6">
            <w:pPr>
              <w:autoSpaceDE w:val="0"/>
              <w:autoSpaceDN w:val="0"/>
              <w:bidi/>
              <w:adjustRightInd w:val="0"/>
              <w:jc w:val="center"/>
              <w:rPr>
                <w:rFonts w:ascii="Simplified Arabic" w:hAnsi="Simplified Arabic" w:cs="Simplified Arabic"/>
                <w:sz w:val="24"/>
                <w:szCs w:val="24"/>
                <w:rtl/>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المسافة الى المساحات المفتوحة</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rPr>
              <w:t>المسافة الى شبكة النقل</w:t>
            </w:r>
          </w:p>
        </w:tc>
        <w:tc>
          <w:tcPr>
            <w:tcW w:w="1276" w:type="dxa"/>
            <w:shd w:val="clear" w:color="auto" w:fill="auto"/>
            <w:vAlign w:val="center"/>
          </w:tcPr>
          <w:p w:rsidR="00C121B0" w:rsidRPr="002E185C" w:rsidRDefault="00C121B0" w:rsidP="00794BA6">
            <w:pPr>
              <w:autoSpaceDE w:val="0"/>
              <w:autoSpaceDN w:val="0"/>
              <w:bidi/>
              <w:adjustRightInd w:val="0"/>
              <w:jc w:val="center"/>
              <w:rPr>
                <w:rFonts w:ascii="Simplified Arabic" w:hAnsi="Simplified Arabic" w:cs="Simplified Arabic"/>
                <w:sz w:val="24"/>
                <w:szCs w:val="24"/>
                <w:rtl/>
              </w:rPr>
            </w:pPr>
            <w:r w:rsidRPr="002E185C">
              <w:rPr>
                <w:rFonts w:ascii="Simplified Arabic" w:hAnsi="Simplified Arabic" w:cs="Simplified Arabic"/>
                <w:sz w:val="24"/>
                <w:szCs w:val="24"/>
                <w:rtl/>
              </w:rPr>
              <w:t>لا</w:t>
            </w:r>
          </w:p>
        </w:tc>
      </w:tr>
      <w:tr w:rsidR="00C121B0" w:rsidRPr="002E185C" w:rsidTr="008E533E">
        <w:trPr>
          <w:jc w:val="center"/>
        </w:trPr>
        <w:tc>
          <w:tcPr>
            <w:tcW w:w="2167" w:type="dxa"/>
            <w:vMerge/>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p>
        </w:tc>
        <w:tc>
          <w:tcPr>
            <w:tcW w:w="2802" w:type="dxa"/>
            <w:shd w:val="clear" w:color="auto" w:fill="auto"/>
            <w:vAlign w:val="center"/>
          </w:tcPr>
          <w:p w:rsidR="00C121B0" w:rsidRPr="002E185C" w:rsidRDefault="00C121B0" w:rsidP="00794BA6">
            <w:pPr>
              <w:autoSpaceDE w:val="0"/>
              <w:autoSpaceDN w:val="0"/>
              <w:bidi/>
              <w:adjustRightInd w:val="0"/>
              <w:rPr>
                <w:rFonts w:ascii="Simplified Arabic" w:hAnsi="Simplified Arabic" w:cs="Simplified Arabic"/>
                <w:sz w:val="24"/>
                <w:szCs w:val="24"/>
                <w:rtl/>
              </w:rPr>
            </w:pPr>
            <w:r w:rsidRPr="002E185C">
              <w:rPr>
                <w:rFonts w:ascii="Simplified Arabic" w:hAnsi="Simplified Arabic" w:cs="Simplified Arabic"/>
                <w:sz w:val="24"/>
                <w:szCs w:val="24"/>
                <w:rtl/>
                <w:lang w:val="en-US"/>
              </w:rPr>
              <w:t>المساحة الخضراء للفرد</w:t>
            </w:r>
          </w:p>
        </w:tc>
        <w:tc>
          <w:tcPr>
            <w:tcW w:w="1276" w:type="dxa"/>
            <w:shd w:val="clear" w:color="auto" w:fill="auto"/>
            <w:vAlign w:val="center"/>
          </w:tcPr>
          <w:p w:rsidR="00C121B0" w:rsidRPr="002E185C" w:rsidRDefault="00C121B0" w:rsidP="00794BA6">
            <w:pPr>
              <w:jc w:val="center"/>
              <w:rPr>
                <w:rFonts w:ascii="Simplified Arabic" w:hAnsi="Simplified Arabic" w:cs="Simplified Arabic"/>
                <w:sz w:val="24"/>
                <w:szCs w:val="24"/>
              </w:rPr>
            </w:pPr>
            <w:r w:rsidRPr="002E185C">
              <w:rPr>
                <w:rFonts w:ascii="Simplified Arabic" w:hAnsi="Simplified Arabic" w:cs="Simplified Arabic"/>
                <w:sz w:val="24"/>
                <w:szCs w:val="24"/>
                <w:rtl/>
              </w:rPr>
              <w:t>نعم</w:t>
            </w:r>
          </w:p>
        </w:tc>
      </w:tr>
    </w:tbl>
    <w:p w:rsidR="00C121B0" w:rsidRPr="009F1DDA" w:rsidRDefault="00C121B0" w:rsidP="008E533E">
      <w:pPr>
        <w:widowControl w:val="0"/>
        <w:tabs>
          <w:tab w:val="right" w:pos="281"/>
        </w:tabs>
        <w:autoSpaceDE w:val="0"/>
        <w:autoSpaceDN w:val="0"/>
        <w:bidi/>
        <w:spacing w:before="240" w:after="0"/>
        <w:ind w:firstLine="282"/>
        <w:jc w:val="both"/>
        <w:rPr>
          <w:rFonts w:ascii="Simplified Arabic" w:hAnsi="Simplified Arabic" w:cs="Simplified Arabic"/>
          <w:color w:val="000000" w:themeColor="text1"/>
          <w:rtl/>
        </w:rPr>
      </w:pPr>
      <w:r>
        <w:rPr>
          <w:rFonts w:ascii="Simplified Arabic" w:hAnsi="Simplified Arabic" w:cs="Simplified Arabic" w:hint="cs"/>
          <w:sz w:val="24"/>
          <w:szCs w:val="24"/>
          <w:rtl/>
          <w:lang w:val="en-US"/>
        </w:rPr>
        <w:t>ترتبط</w:t>
      </w:r>
      <w:r w:rsidRPr="00723091">
        <w:rPr>
          <w:rFonts w:ascii="Simplified Arabic" w:hAnsi="Simplified Arabic" w:cs="Simplified Arabic" w:hint="cs"/>
          <w:sz w:val="24"/>
          <w:szCs w:val="24"/>
          <w:rtl/>
          <w:lang w:val="en-US"/>
        </w:rPr>
        <w:t xml:space="preserve"> العوامل</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الحضرية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التي</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تم</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 xml:space="preserve">اختيارها </w:t>
      </w:r>
      <w:r w:rsidR="000C157D">
        <w:rPr>
          <w:rFonts w:ascii="Simplified Arabic" w:hAnsi="Simplified Arabic" w:cs="Simplified Arabic" w:hint="cs"/>
          <w:sz w:val="24"/>
          <w:szCs w:val="24"/>
          <w:rtl/>
          <w:lang w:val="en-US"/>
        </w:rPr>
        <w:t>ب</w:t>
      </w:r>
      <w:r w:rsidR="000C157D" w:rsidRPr="00723091">
        <w:rPr>
          <w:rFonts w:ascii="Simplified Arabic" w:hAnsi="Simplified Arabic" w:cs="Simplified Arabic" w:hint="cs"/>
          <w:sz w:val="24"/>
          <w:szCs w:val="24"/>
          <w:rtl/>
          <w:lang w:val="en-US"/>
        </w:rPr>
        <w:t xml:space="preserve">عناصر </w:t>
      </w:r>
      <w:r w:rsidR="000C157D">
        <w:rPr>
          <w:rFonts w:ascii="Simplified Arabic" w:hAnsi="Simplified Arabic" w:cs="Simplified Arabic" w:hint="cs"/>
          <w:sz w:val="24"/>
          <w:szCs w:val="24"/>
          <w:rtl/>
          <w:lang w:val="en-US"/>
        </w:rPr>
        <w:t>المكون</w:t>
      </w:r>
      <w:r w:rsidR="000C157D" w:rsidRPr="00723091">
        <w:rPr>
          <w:rFonts w:ascii="Simplified Arabic" w:hAnsi="Simplified Arabic" w:cs="Simplified Arabic" w:hint="cs"/>
          <w:sz w:val="24"/>
          <w:szCs w:val="24"/>
          <w:rtl/>
          <w:lang w:val="en-US"/>
        </w:rPr>
        <w:t xml:space="preserve"> الفيزيائي </w:t>
      </w:r>
      <w:r w:rsidR="002564B5">
        <w:rPr>
          <w:rFonts w:ascii="Simplified Arabic" w:hAnsi="Simplified Arabic" w:cs="Simplified Arabic" w:hint="cs"/>
          <w:sz w:val="24"/>
          <w:szCs w:val="24"/>
          <w:rtl/>
          <w:lang w:val="en-US"/>
        </w:rPr>
        <w:t>(</w:t>
      </w:r>
      <w:r w:rsidRPr="00723091">
        <w:rPr>
          <w:rFonts w:ascii="Simplified Arabic" w:hAnsi="Simplified Arabic" w:cs="Simplified Arabic" w:hint="cs"/>
          <w:sz w:val="24"/>
          <w:szCs w:val="24"/>
          <w:rtl/>
          <w:lang w:val="en-US"/>
        </w:rPr>
        <w:t xml:space="preserve">فئة البيئة </w:t>
      </w:r>
      <w:r w:rsidR="008E533E">
        <w:rPr>
          <w:rFonts w:ascii="Simplified Arabic" w:hAnsi="Simplified Arabic" w:cs="Simplified Arabic" w:hint="cs"/>
          <w:sz w:val="24"/>
          <w:szCs w:val="24"/>
          <w:rtl/>
          <w:lang w:val="en-US"/>
        </w:rPr>
        <w:t>الحضرية</w:t>
      </w:r>
      <w:r w:rsidR="002564B5">
        <w:rPr>
          <w:rFonts w:ascii="Simplified Arabic" w:hAnsi="Simplified Arabic" w:cs="Simplified Arabic" w:hint="cs"/>
          <w:sz w:val="24"/>
          <w:szCs w:val="24"/>
          <w:rtl/>
          <w:lang w:val="en-US"/>
        </w:rPr>
        <w:t>)</w:t>
      </w:r>
      <w:r w:rsidR="000C157D">
        <w:rPr>
          <w:rFonts w:ascii="Simplified Arabic" w:hAnsi="Simplified Arabic" w:cs="Simplified Arabic" w:hint="cs"/>
          <w:sz w:val="24"/>
          <w:szCs w:val="24"/>
          <w:rtl/>
          <w:lang w:val="en-US"/>
        </w:rPr>
        <w:t xml:space="preserve"> ل</w:t>
      </w:r>
      <w:r w:rsidR="000C157D" w:rsidRPr="00723091">
        <w:rPr>
          <w:rFonts w:ascii="Simplified Arabic" w:hAnsi="Simplified Arabic" w:cs="Simplified Arabic"/>
          <w:sz w:val="24"/>
          <w:szCs w:val="24"/>
          <w:rtl/>
          <w:lang w:val="en-US"/>
        </w:rPr>
        <w:t>قي</w:t>
      </w:r>
      <w:r w:rsidR="000C157D">
        <w:rPr>
          <w:rFonts w:ascii="Simplified Arabic" w:hAnsi="Simplified Arabic" w:cs="Simplified Arabic" w:hint="cs"/>
          <w:sz w:val="24"/>
          <w:szCs w:val="24"/>
          <w:rtl/>
          <w:lang w:val="en-US"/>
        </w:rPr>
        <w:t>ا</w:t>
      </w:r>
      <w:r w:rsidR="000C157D" w:rsidRPr="00723091">
        <w:rPr>
          <w:rFonts w:ascii="Simplified Arabic" w:hAnsi="Simplified Arabic" w:cs="Simplified Arabic"/>
          <w:sz w:val="24"/>
          <w:szCs w:val="24"/>
          <w:rtl/>
          <w:lang w:val="en-US"/>
        </w:rPr>
        <w:t>س مر</w:t>
      </w:r>
      <w:r w:rsidR="000C157D" w:rsidRPr="00723091">
        <w:rPr>
          <w:rFonts w:ascii="Simplified Arabic" w:hAnsi="Simplified Arabic" w:cs="Simplified Arabic" w:hint="cs"/>
          <w:sz w:val="24"/>
          <w:szCs w:val="24"/>
          <w:rtl/>
          <w:lang w:val="en-US"/>
        </w:rPr>
        <w:t>و</w:t>
      </w:r>
      <w:r w:rsidR="000C157D" w:rsidRPr="00723091">
        <w:rPr>
          <w:rFonts w:ascii="Simplified Arabic" w:hAnsi="Simplified Arabic" w:cs="Simplified Arabic"/>
          <w:sz w:val="24"/>
          <w:szCs w:val="24"/>
          <w:rtl/>
          <w:lang w:val="en-US"/>
        </w:rPr>
        <w:t xml:space="preserve">نة </w:t>
      </w:r>
      <w:r w:rsidR="000C157D" w:rsidRPr="00723091">
        <w:rPr>
          <w:rFonts w:ascii="Simplified Arabic" w:hAnsi="Simplified Arabic" w:cs="Simplified Arabic" w:hint="cs"/>
          <w:sz w:val="24"/>
          <w:szCs w:val="24"/>
          <w:rtl/>
          <w:lang w:val="en-US"/>
        </w:rPr>
        <w:t xml:space="preserve">المدينة </w:t>
      </w:r>
      <w:r w:rsidR="000C157D">
        <w:rPr>
          <w:rFonts w:ascii="Simplified Arabic" w:hAnsi="Simplified Arabic" w:cs="Simplified Arabic" w:hint="cs"/>
          <w:sz w:val="24"/>
          <w:szCs w:val="24"/>
          <w:rtl/>
          <w:lang w:val="en-US"/>
        </w:rPr>
        <w:t>في الوقت ال</w:t>
      </w:r>
      <w:r w:rsidR="000C157D" w:rsidRPr="00723091">
        <w:rPr>
          <w:rFonts w:ascii="Simplified Arabic" w:hAnsi="Simplified Arabic" w:cs="Simplified Arabic" w:hint="cs"/>
          <w:sz w:val="24"/>
          <w:szCs w:val="24"/>
          <w:rtl/>
          <w:lang w:val="en-US"/>
        </w:rPr>
        <w:t>حالي</w:t>
      </w:r>
      <w:r w:rsidR="002564B5">
        <w:rPr>
          <w:rFonts w:ascii="Simplified Arabic" w:hAnsi="Simplified Arabic" w:cs="Simplified Arabic" w:hint="cs"/>
          <w:sz w:val="24"/>
          <w:szCs w:val="24"/>
          <w:rtl/>
          <w:lang w:val="en-US"/>
        </w:rPr>
        <w:t xml:space="preserve"> والتي</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تمتاز</w:t>
      </w:r>
      <w:r w:rsidR="000C157D">
        <w:rPr>
          <w:rFonts w:ascii="Simplified Arabic" w:hAnsi="Simplified Arabic" w:cs="Simplified Arabic" w:hint="cs"/>
          <w:sz w:val="24"/>
          <w:szCs w:val="24"/>
          <w:rtl/>
          <w:lang w:val="en-US"/>
        </w:rPr>
        <w:t xml:space="preserve"> </w:t>
      </w:r>
      <w:r w:rsidRPr="00723091">
        <w:rPr>
          <w:rFonts w:ascii="Simplified Arabic" w:hAnsi="Simplified Arabic" w:cs="Simplified Arabic" w:hint="cs"/>
          <w:sz w:val="24"/>
          <w:szCs w:val="24"/>
          <w:rtl/>
          <w:lang w:val="en-US"/>
        </w:rPr>
        <w:t>بالوضوح</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والشمولية، في</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محاولة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للحد</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من</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التداخل</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بين</w:t>
      </w:r>
      <w:r w:rsidRPr="00723091">
        <w:rPr>
          <w:rFonts w:ascii="Simplified Arabic" w:hAnsi="Simplified Arabic" w:cs="Simplified Arabic"/>
          <w:sz w:val="24"/>
          <w:szCs w:val="24"/>
          <w:rtl/>
          <w:lang w:val="en-US"/>
        </w:rPr>
        <w:t xml:space="preserve"> </w:t>
      </w:r>
      <w:r w:rsidR="002564B5">
        <w:rPr>
          <w:rFonts w:ascii="Simplified Arabic" w:hAnsi="Simplified Arabic" w:cs="Simplified Arabic" w:hint="cs"/>
          <w:sz w:val="24"/>
          <w:szCs w:val="24"/>
          <w:rtl/>
          <w:lang w:val="en-US"/>
        </w:rPr>
        <w:t>مكونات</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المرونة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ستكون</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قائمة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العوامل</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الحضرية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هي</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الأساس</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للمراحل</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التالية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من</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w:t>
      </w:r>
      <w:r>
        <w:rPr>
          <w:rFonts w:ascii="Simplified Arabic" w:hAnsi="Simplified Arabic" w:cs="Simplified Arabic" w:hint="cs"/>
          <w:sz w:val="24"/>
          <w:szCs w:val="24"/>
          <w:rtl/>
          <w:lang w:val="en-US"/>
        </w:rPr>
        <w:t>بحث</w:t>
      </w:r>
      <w:r w:rsidRPr="00723091">
        <w:rPr>
          <w:rFonts w:ascii="Simplified Arabic" w:hAnsi="Simplified Arabic" w:cs="Simplified Arabic" w:hint="cs"/>
          <w:sz w:val="24"/>
          <w:szCs w:val="24"/>
          <w:rtl/>
          <w:lang w:val="en-US"/>
        </w:rPr>
        <w:t>،</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وهي</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تطوير</w:t>
      </w:r>
      <w:r w:rsidRPr="00723091">
        <w:rPr>
          <w:rFonts w:ascii="Simplified Arabic" w:hAnsi="Simplified Arabic" w:cs="Simplified Arabic"/>
          <w:sz w:val="24"/>
          <w:szCs w:val="24"/>
          <w:rtl/>
          <w:lang w:val="en-US"/>
        </w:rPr>
        <w:t xml:space="preserve"> </w:t>
      </w:r>
      <w:r w:rsidR="00F27C67">
        <w:rPr>
          <w:rFonts w:ascii="Simplified Arabic" w:hAnsi="Simplified Arabic" w:cs="Simplified Arabic" w:hint="cs"/>
          <w:sz w:val="24"/>
          <w:szCs w:val="24"/>
          <w:rtl/>
          <w:lang w:val="en-US"/>
        </w:rPr>
        <w:t>اطار عمل</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لتقييم</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المرونة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الحضرية</w:t>
      </w:r>
      <w:r w:rsidRPr="00723091">
        <w:rPr>
          <w:rFonts w:ascii="Simplified Arabic" w:hAnsi="Simplified Arabic" w:cs="Simplified Arabic"/>
          <w:sz w:val="24"/>
          <w:szCs w:val="24"/>
          <w:rtl/>
          <w:lang w:val="en-US"/>
        </w:rPr>
        <w:t xml:space="preserve"> </w:t>
      </w:r>
      <w:r w:rsidRPr="00723091">
        <w:rPr>
          <w:rFonts w:ascii="Simplified Arabic" w:hAnsi="Simplified Arabic" w:cs="Simplified Arabic" w:hint="cs"/>
          <w:sz w:val="24"/>
          <w:szCs w:val="24"/>
          <w:rtl/>
          <w:lang w:val="en-US"/>
        </w:rPr>
        <w:t>لمدينة بوسعادة</w:t>
      </w:r>
      <w:r>
        <w:rPr>
          <w:rFonts w:ascii="Simplified Arabic" w:hAnsi="Simplified Arabic" w:cs="Simplified Arabic" w:hint="cs"/>
          <w:sz w:val="24"/>
          <w:szCs w:val="24"/>
          <w:rtl/>
          <w:lang w:val="en-US"/>
        </w:rPr>
        <w:t>.</w:t>
      </w:r>
    </w:p>
    <w:p w:rsidR="00C121B0" w:rsidRPr="00045FDB" w:rsidRDefault="00C121B0" w:rsidP="001D0548">
      <w:pPr>
        <w:pStyle w:val="Paragraphedeliste"/>
        <w:numPr>
          <w:ilvl w:val="2"/>
          <w:numId w:val="153"/>
        </w:numPr>
        <w:tabs>
          <w:tab w:val="right" w:pos="850"/>
        </w:tabs>
        <w:bidi/>
        <w:spacing w:before="240"/>
        <w:ind w:left="0" w:firstLine="0"/>
        <w:outlineLvl w:val="1"/>
        <w:rPr>
          <w:rFonts w:ascii="Simplified Arabic" w:hAnsi="Simplified Arabic" w:cs="Simplified Arabic"/>
          <w:b/>
          <w:bCs/>
          <w:sz w:val="24"/>
          <w:szCs w:val="24"/>
          <w:lang w:val="en-US"/>
        </w:rPr>
      </w:pPr>
      <w:bookmarkStart w:id="618" w:name="_Toc171803652"/>
      <w:r w:rsidRPr="00045FDB">
        <w:rPr>
          <w:rFonts w:ascii="Simplified Arabic" w:hAnsi="Simplified Arabic" w:cs="Simplified Arabic" w:hint="cs"/>
          <w:b/>
          <w:bCs/>
          <w:sz w:val="24"/>
          <w:szCs w:val="24"/>
          <w:rtl/>
          <w:lang w:val="en-US"/>
        </w:rPr>
        <w:t>تحديد</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عوامل</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تقييم</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المرونة</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الحضرية</w:t>
      </w:r>
      <w:bookmarkEnd w:id="618"/>
    </w:p>
    <w:p w:rsidR="00C121B0" w:rsidRPr="00045FDB" w:rsidRDefault="00C121B0" w:rsidP="001D0548">
      <w:pPr>
        <w:pStyle w:val="Paragraphedeliste"/>
        <w:numPr>
          <w:ilvl w:val="3"/>
          <w:numId w:val="154"/>
        </w:numPr>
        <w:tabs>
          <w:tab w:val="right" w:pos="992"/>
        </w:tabs>
        <w:bidi/>
        <w:spacing w:after="0"/>
        <w:ind w:left="0" w:firstLine="0"/>
        <w:jc w:val="both"/>
        <w:outlineLvl w:val="2"/>
        <w:rPr>
          <w:rFonts w:ascii="Simplified Arabic" w:hAnsi="Simplified Arabic" w:cs="Simplified Arabic"/>
          <w:b/>
          <w:bCs/>
          <w:sz w:val="24"/>
          <w:szCs w:val="24"/>
          <w:lang w:val="en-US"/>
        </w:rPr>
      </w:pPr>
      <w:bookmarkStart w:id="619" w:name="_Toc171803653"/>
      <w:r w:rsidRPr="00045FDB">
        <w:rPr>
          <w:rFonts w:ascii="Simplified Arabic" w:hAnsi="Simplified Arabic" w:cs="Simplified Arabic"/>
          <w:b/>
          <w:bCs/>
          <w:sz w:val="24"/>
          <w:szCs w:val="24"/>
          <w:rtl/>
          <w:lang w:val="en-US"/>
        </w:rPr>
        <w:t>تصميم مسح دلفي</w:t>
      </w:r>
      <w:bookmarkEnd w:id="619"/>
    </w:p>
    <w:p w:rsidR="00C121B0" w:rsidRDefault="00C121B0" w:rsidP="00C121B0">
      <w:pPr>
        <w:tabs>
          <w:tab w:val="right" w:pos="283"/>
        </w:tabs>
        <w:bidi/>
        <w:spacing w:after="0"/>
        <w:ind w:firstLine="282"/>
        <w:jc w:val="both"/>
        <w:rPr>
          <w:rFonts w:ascii="Simplified Arabic" w:eastAsia="Times New Roman" w:hAnsi="Simplified Arabic" w:cs="Simplified Arabic"/>
          <w:b/>
          <w:sz w:val="24"/>
          <w:szCs w:val="24"/>
          <w:rtl/>
          <w:lang w:val="en-US" w:eastAsia="fr-FR"/>
        </w:rPr>
      </w:pPr>
      <w:r w:rsidRPr="00373156">
        <w:rPr>
          <w:rFonts w:ascii="Simplified Arabic" w:eastAsia="Times New Roman" w:hAnsi="Simplified Arabic" w:cs="Simplified Arabic" w:hint="cs"/>
          <w:b/>
          <w:sz w:val="24"/>
          <w:szCs w:val="24"/>
          <w:rtl/>
          <w:lang w:val="en-US" w:eastAsia="fr-FR"/>
        </w:rPr>
        <w:t>تم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تصميم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استبيان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دلفي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مبدئيًا</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باستخدام</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10</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w:t>
      </w:r>
      <w:r>
        <w:rPr>
          <w:rFonts w:ascii="Simplified Arabic" w:eastAsia="Times New Roman" w:hAnsi="Simplified Arabic" w:cs="Simplified Arabic" w:hint="cs"/>
          <w:b/>
          <w:sz w:val="24"/>
          <w:szCs w:val="24"/>
          <w:rtl/>
          <w:lang w:val="en-US" w:eastAsia="fr-FR"/>
        </w:rPr>
        <w:t>و</w:t>
      </w:r>
      <w:r w:rsidRPr="00373156">
        <w:rPr>
          <w:rFonts w:ascii="Simplified Arabic" w:eastAsia="Times New Roman" w:hAnsi="Simplified Arabic" w:cs="Simplified Arabic" w:hint="cs"/>
          <w:b/>
          <w:sz w:val="24"/>
          <w:szCs w:val="24"/>
          <w:rtl/>
          <w:lang w:val="en-US" w:eastAsia="fr-FR"/>
        </w:rPr>
        <w:t>امل</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حضرية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صنف</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المستجيبون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آراءهم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مقياس</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تصنيف</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نوع</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ليكرت</w:t>
      </w:r>
      <w:r w:rsidRPr="00373156">
        <w:rPr>
          <w:rFonts w:asciiTheme="minorBidi" w:hAnsiTheme="minorBidi" w:cs="Arial"/>
          <w:sz w:val="28"/>
          <w:szCs w:val="28"/>
          <w:lang w:val="en-US"/>
        </w:rPr>
        <w:t xml:space="preserve"> </w:t>
      </w:r>
      <w:r w:rsidRPr="00373156">
        <w:rPr>
          <w:rFonts w:asciiTheme="majorBidi" w:hAnsiTheme="majorBidi" w:cstheme="majorBidi"/>
          <w:sz w:val="24"/>
          <w:szCs w:val="24"/>
          <w:rtl/>
          <w:lang w:val="en-US"/>
        </w:rPr>
        <w:t>(</w:t>
      </w:r>
      <w:r w:rsidRPr="00373156">
        <w:rPr>
          <w:rFonts w:asciiTheme="majorBidi" w:hAnsiTheme="majorBidi" w:cstheme="majorBidi"/>
          <w:sz w:val="24"/>
          <w:szCs w:val="24"/>
        </w:rPr>
        <w:t>Likert</w:t>
      </w:r>
      <w:r w:rsidRPr="00373156">
        <w:rPr>
          <w:rFonts w:asciiTheme="majorBidi" w:hAnsiTheme="majorBidi" w:cstheme="majorBidi"/>
          <w:sz w:val="24"/>
          <w:szCs w:val="24"/>
          <w:rtl/>
          <w:lang w:val="en-US"/>
        </w:rPr>
        <w:t>)</w:t>
      </w:r>
      <w:r w:rsidRPr="00373156">
        <w:rPr>
          <w:rFonts w:asciiTheme="minorBidi" w:hAnsiTheme="minorBidi" w:cs="Arial"/>
          <w:sz w:val="28"/>
          <w:szCs w:val="28"/>
          <w:rtl/>
          <w:lang w:val="en-US"/>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5 </w:t>
      </w:r>
      <w:r w:rsidRPr="00373156">
        <w:rPr>
          <w:rFonts w:ascii="Simplified Arabic" w:eastAsia="Times New Roman" w:hAnsi="Simplified Arabic" w:cs="Simplified Arabic" w:hint="cs"/>
          <w:b/>
          <w:sz w:val="24"/>
          <w:szCs w:val="24"/>
          <w:rtl/>
          <w:lang w:val="en-US" w:eastAsia="fr-FR"/>
        </w:rPr>
        <w:t>نقاط،</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مرتبة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hint="cs"/>
          <w:b/>
          <w:sz w:val="24"/>
          <w:szCs w:val="24"/>
          <w:rtl/>
          <w:lang w:val="en-US" w:eastAsia="fr-FR"/>
        </w:rPr>
        <w:t xml:space="preserve">اهمية </w:t>
      </w:r>
      <w:r>
        <w:rPr>
          <w:rFonts w:ascii="Simplified Arabic" w:eastAsia="Times New Roman" w:hAnsi="Simplified Arabic" w:cs="Simplified Arabic" w:hint="cs"/>
          <w:b/>
          <w:sz w:val="24"/>
          <w:szCs w:val="24"/>
          <w:rtl/>
          <w:lang w:val="en-US" w:eastAsia="fr-FR"/>
        </w:rPr>
        <w:t>اقل''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إلى</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hint="cs"/>
          <w:b/>
          <w:sz w:val="24"/>
          <w:szCs w:val="24"/>
          <w:rtl/>
          <w:lang w:val="en-US" w:eastAsia="fr-FR"/>
        </w:rPr>
        <w:t xml:space="preserve">اهمية </w:t>
      </w:r>
      <w:r w:rsidRPr="00373156">
        <w:rPr>
          <w:rFonts w:ascii="Simplified Arabic" w:eastAsia="Times New Roman" w:hAnsi="Simplified Arabic" w:cs="Simplified Arabic"/>
          <w:b/>
          <w:sz w:val="24"/>
          <w:szCs w:val="24"/>
          <w:rtl/>
          <w:lang w:val="en-US" w:eastAsia="fr-FR"/>
        </w:rPr>
        <w:t>قصوى</w:t>
      </w:r>
      <w:r>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ذكر</w:t>
      </w:r>
      <w:r w:rsidRPr="008E7B82">
        <w:rPr>
          <w:rFonts w:ascii="Simplified Arabic" w:eastAsia="Times New Roman" w:hAnsi="Simplified Arabic" w:cs="Simplified Arabic"/>
          <w:b/>
          <w:sz w:val="24"/>
          <w:szCs w:val="24"/>
          <w:rtl/>
          <w:lang w:val="en-US" w:eastAsia="fr-FR"/>
        </w:rPr>
        <w:t xml:space="preserve"> </w:t>
      </w:r>
      <w:r w:rsidRPr="008E7B82">
        <w:rPr>
          <w:rFonts w:asciiTheme="majorBidi" w:hAnsiTheme="majorBidi" w:cstheme="majorBidi" w:hint="cs"/>
          <w:sz w:val="24"/>
          <w:szCs w:val="24"/>
          <w:rtl/>
          <w:lang w:val="en-US"/>
        </w:rPr>
        <w:t>(</w:t>
      </w:r>
      <w:r w:rsidRPr="005B0947">
        <w:rPr>
          <w:rFonts w:asciiTheme="majorBidi" w:hAnsiTheme="majorBidi" w:cstheme="majorBidi"/>
          <w:sz w:val="24"/>
          <w:szCs w:val="24"/>
          <w:lang w:val="en-US"/>
        </w:rPr>
        <w:t>Kerr</w:t>
      </w:r>
      <w:r w:rsidRPr="008E7B82">
        <w:rPr>
          <w:rFonts w:asciiTheme="majorBidi" w:hAnsiTheme="majorBidi" w:cstheme="majorBidi"/>
          <w:sz w:val="24"/>
          <w:szCs w:val="24"/>
          <w:lang w:val="en-US"/>
        </w:rPr>
        <w:t>, 2009</w:t>
      </w:r>
      <w:r w:rsidRPr="008E7B82">
        <w:rPr>
          <w:rFonts w:asciiTheme="majorBidi" w:hAnsiTheme="majorBidi" w:cstheme="majorBidi" w:hint="cs"/>
          <w:sz w:val="24"/>
          <w:szCs w:val="24"/>
          <w:rtl/>
          <w:lang w:val="en-US"/>
        </w:rPr>
        <w:t>)</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بأن</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استخدام</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البريد</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الإلكتروني</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كأداة</w:t>
      </w:r>
      <w:r w:rsidRPr="008E7B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في مسح </w:t>
      </w:r>
      <w:r w:rsidRPr="008E7B82">
        <w:rPr>
          <w:rFonts w:ascii="Simplified Arabic" w:eastAsia="Times New Roman" w:hAnsi="Simplified Arabic" w:cs="Simplified Arabic" w:hint="cs"/>
          <w:b/>
          <w:sz w:val="24"/>
          <w:szCs w:val="24"/>
          <w:rtl/>
          <w:lang w:val="en-US" w:eastAsia="fr-FR"/>
        </w:rPr>
        <w:t>دلفي</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يسرع</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العملية</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من</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أشهر</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إلى</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أسابيع</w:t>
      </w:r>
      <w:r w:rsidRPr="008E7B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ويشجع</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على</w:t>
      </w:r>
      <w:r w:rsidRPr="008E7B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مواصلة</w:t>
      </w:r>
      <w:r w:rsidRPr="008E7B82">
        <w:rPr>
          <w:rFonts w:ascii="Simplified Arabic" w:eastAsia="Times New Roman" w:hAnsi="Simplified Arabic" w:cs="Simplified Arabic"/>
          <w:b/>
          <w:sz w:val="24"/>
          <w:szCs w:val="24"/>
          <w:rtl/>
          <w:lang w:val="en-US" w:eastAsia="fr-FR"/>
        </w:rPr>
        <w:t xml:space="preserve"> </w:t>
      </w:r>
      <w:r w:rsidRPr="008E7B82">
        <w:rPr>
          <w:rFonts w:ascii="Simplified Arabic" w:eastAsia="Times New Roman" w:hAnsi="Simplified Arabic" w:cs="Simplified Arabic" w:hint="cs"/>
          <w:b/>
          <w:sz w:val="24"/>
          <w:szCs w:val="24"/>
          <w:rtl/>
          <w:lang w:val="en-US" w:eastAsia="fr-FR"/>
        </w:rPr>
        <w:t>مشاركة</w:t>
      </w:r>
      <w:r w:rsidRPr="008E7B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الخبراء</w:t>
      </w:r>
      <w:r w:rsidRPr="008E7B82">
        <w:rPr>
          <w:rFonts w:ascii="Simplified Arabic" w:eastAsia="Times New Roman" w:hAnsi="Simplified Arabic" w:cs="Simplified Arabic"/>
          <w:b/>
          <w:sz w:val="24"/>
          <w:szCs w:val="24"/>
          <w:rtl/>
          <w:lang w:val="en-US" w:eastAsia="fr-FR"/>
        </w:rPr>
        <w:t>.</w:t>
      </w:r>
      <w:r w:rsidRPr="008E7B82">
        <w:rPr>
          <w:rFonts w:ascii="Simplified Arabic" w:eastAsia="Times New Roman" w:hAnsi="Simplified Arabic" w:cs="Simplified Arabic" w:hint="cs"/>
          <w:b/>
          <w:sz w:val="24"/>
          <w:szCs w:val="24"/>
          <w:rtl/>
          <w:lang w:val="en-US" w:eastAsia="fr-FR"/>
        </w:rPr>
        <w:t xml:space="preserve"> </w:t>
      </w:r>
    </w:p>
    <w:p w:rsidR="00C121B0" w:rsidRPr="00ED27A7" w:rsidRDefault="00C121B0" w:rsidP="00C121B0">
      <w:pPr>
        <w:tabs>
          <w:tab w:val="right" w:pos="283"/>
        </w:tabs>
        <w:bidi/>
        <w:spacing w:after="0"/>
        <w:ind w:firstLine="282"/>
        <w:jc w:val="both"/>
        <w:rPr>
          <w:rFonts w:ascii="Simplified Arabic" w:eastAsia="Times New Roman" w:hAnsi="Simplified Arabic" w:cs="Simplified Arabic"/>
          <w:b/>
          <w:sz w:val="24"/>
          <w:szCs w:val="24"/>
          <w:lang w:val="en-US" w:eastAsia="fr-FR"/>
        </w:rPr>
      </w:pPr>
      <w:r w:rsidRPr="00373156">
        <w:rPr>
          <w:rFonts w:ascii="Simplified Arabic" w:eastAsia="Times New Roman" w:hAnsi="Simplified Arabic" w:cs="Simplified Arabic" w:hint="cs"/>
          <w:b/>
          <w:sz w:val="24"/>
          <w:szCs w:val="24"/>
          <w:rtl/>
          <w:lang w:val="en-US" w:eastAsia="fr-FR"/>
        </w:rPr>
        <w:t>تم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إجراء</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المسح</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باستخدام موقع</w:t>
      </w:r>
      <w:r w:rsidRPr="00373156">
        <w:rPr>
          <w:rFonts w:ascii="Simplified Arabic" w:eastAsia="Times New Roman" w:hAnsi="Simplified Arabic" w:cs="Simplified Arabic"/>
          <w:b/>
          <w:sz w:val="24"/>
          <w:szCs w:val="24"/>
          <w:rtl/>
          <w:lang w:val="en-US" w:eastAsia="fr-FR"/>
        </w:rPr>
        <w:t xml:space="preserve"> </w:t>
      </w:r>
      <w:r w:rsidRPr="00373156">
        <w:rPr>
          <w:rFonts w:asciiTheme="majorBidi" w:hAnsiTheme="majorBidi" w:cstheme="majorBidi"/>
          <w:sz w:val="24"/>
          <w:szCs w:val="24"/>
          <w:lang w:val="en-US"/>
        </w:rPr>
        <w:t>SurveyMonkey</w:t>
      </w:r>
      <w:r w:rsidRPr="00373156">
        <w:rPr>
          <w:rFonts w:asciiTheme="majorBidi" w:hAnsiTheme="majorBidi" w:cstheme="majorBidi" w:hint="cs"/>
          <w:sz w:val="24"/>
          <w:szCs w:val="24"/>
          <w:rtl/>
          <w:lang w:val="en-US"/>
        </w:rPr>
        <w:t xml:space="preserve"> </w:t>
      </w:r>
      <w:r w:rsidRPr="00373156">
        <w:rPr>
          <w:rFonts w:ascii="Simplified Arabic" w:eastAsia="Times New Roman" w:hAnsi="Simplified Arabic" w:cs="Simplified Arabic" w:hint="cs"/>
          <w:b/>
          <w:sz w:val="24"/>
          <w:szCs w:val="24"/>
          <w:rtl/>
          <w:lang w:val="en-US" w:eastAsia="fr-FR"/>
        </w:rPr>
        <w:t>ويتألف</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ثلاث</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جولات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بدأت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كل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جولة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بإشعار</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رابط</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الاستبيان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إرساله</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عبر</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البريد</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الإلكتروني</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w:t>
      </w:r>
      <w:r w:rsidRPr="00373156">
        <w:rPr>
          <w:rFonts w:ascii="Simplified Arabic" w:eastAsia="Times New Roman" w:hAnsi="Simplified Arabic" w:cs="Simplified Arabic" w:hint="cs"/>
          <w:b/>
          <w:sz w:val="24"/>
          <w:szCs w:val="24"/>
          <w:rtl/>
          <w:lang w:val="en-US" w:eastAsia="fr-FR"/>
        </w:rPr>
        <w:t xml:space="preserve">لمشاركين في مسح </w:t>
      </w:r>
      <w:r>
        <w:rPr>
          <w:rFonts w:ascii="Simplified Arabic" w:eastAsia="Times New Roman" w:hAnsi="Simplified Arabic" w:cs="Simplified Arabic" w:hint="cs"/>
          <w:b/>
          <w:sz w:val="24"/>
          <w:szCs w:val="24"/>
          <w:rtl/>
          <w:lang w:val="en-US" w:eastAsia="fr-FR"/>
        </w:rPr>
        <w:t xml:space="preserve">دلفي </w:t>
      </w:r>
      <w:r w:rsidRPr="00373156">
        <w:rPr>
          <w:rFonts w:ascii="Simplified Arabic" w:eastAsia="Times New Roman" w:hAnsi="Simplified Arabic" w:cs="Simplified Arabic" w:hint="cs"/>
          <w:b/>
          <w:sz w:val="24"/>
          <w:szCs w:val="24"/>
          <w:rtl/>
          <w:lang w:val="en-US" w:eastAsia="fr-FR"/>
        </w:rPr>
        <w:t>الالكتروني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تمت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دعوة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المشاركين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فقط</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الذين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أكملوا</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البيانات المطلوبة في </w:t>
      </w:r>
      <w:r w:rsidRPr="00373156">
        <w:rPr>
          <w:rFonts w:ascii="Simplified Arabic" w:eastAsia="Times New Roman" w:hAnsi="Simplified Arabic" w:cs="Simplified Arabic" w:hint="cs"/>
          <w:b/>
          <w:sz w:val="24"/>
          <w:szCs w:val="24"/>
          <w:rtl/>
          <w:lang w:val="en-US" w:eastAsia="fr-FR"/>
        </w:rPr>
        <w:t>الجولة</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الاولى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للمشاركة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الجولات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اللاحقة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خصص</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ما</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يقرب</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اسبوعين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للخبراء</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لإكمال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كل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جولة،</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تم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إرسال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عديد</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w:t>
      </w:r>
      <w:r w:rsidRPr="00373156">
        <w:rPr>
          <w:rFonts w:ascii="Simplified Arabic" w:eastAsia="Times New Roman" w:hAnsi="Simplified Arabic" w:cs="Simplified Arabic" w:hint="cs"/>
          <w:b/>
          <w:sz w:val="24"/>
          <w:szCs w:val="24"/>
          <w:rtl/>
          <w:lang w:val="en-US" w:eastAsia="fr-FR"/>
        </w:rPr>
        <w:t>رسائل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الإلكتروني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 xml:space="preserve">لتذكير المشاركين في مسح </w:t>
      </w:r>
      <w:r>
        <w:rPr>
          <w:rFonts w:ascii="Simplified Arabic" w:eastAsia="Times New Roman" w:hAnsi="Simplified Arabic" w:cs="Simplified Arabic" w:hint="cs"/>
          <w:b/>
          <w:sz w:val="24"/>
          <w:szCs w:val="24"/>
          <w:rtl/>
          <w:lang w:val="en-US" w:eastAsia="fr-FR"/>
        </w:rPr>
        <w:t xml:space="preserve">دلفي </w:t>
      </w:r>
      <w:r w:rsidRPr="00373156">
        <w:rPr>
          <w:rFonts w:ascii="Simplified Arabic" w:eastAsia="Times New Roman" w:hAnsi="Simplified Arabic" w:cs="Simplified Arabic" w:hint="cs"/>
          <w:b/>
          <w:sz w:val="24"/>
          <w:szCs w:val="24"/>
          <w:rtl/>
          <w:lang w:val="en-US" w:eastAsia="fr-FR"/>
        </w:rPr>
        <w:t>الالكتروني</w:t>
      </w:r>
      <w:r w:rsidRPr="00373156">
        <w:rPr>
          <w:rFonts w:ascii="Simplified Arabic" w:eastAsia="Times New Roman" w:hAnsi="Simplified Arabic" w:cs="Simplified Arabic"/>
          <w:b/>
          <w:sz w:val="24"/>
          <w:szCs w:val="24"/>
          <w:rtl/>
          <w:lang w:val="en-US" w:eastAsia="fr-FR"/>
        </w:rPr>
        <w:t>.</w:t>
      </w:r>
    </w:p>
    <w:p w:rsidR="00C121B0" w:rsidRDefault="00C121B0" w:rsidP="00140F39">
      <w:pPr>
        <w:tabs>
          <w:tab w:val="right" w:pos="283"/>
        </w:tabs>
        <w:bidi/>
        <w:spacing w:after="0"/>
        <w:jc w:val="both"/>
        <w:rPr>
          <w:rFonts w:ascii="Simplified Arabic" w:eastAsia="Times New Roman" w:hAnsi="Simplified Arabic" w:cs="Simplified Arabic"/>
          <w:b/>
          <w:sz w:val="24"/>
          <w:szCs w:val="24"/>
          <w:rtl/>
          <w:lang w:val="en-US" w:eastAsia="fr-FR"/>
        </w:rPr>
      </w:pPr>
      <w:r w:rsidRPr="00373156">
        <w:rPr>
          <w:rFonts w:ascii="Simplified Arabic" w:eastAsia="Times New Roman" w:hAnsi="Simplified Arabic" w:cs="Simplified Arabic" w:hint="cs"/>
          <w:b/>
          <w:sz w:val="24"/>
          <w:szCs w:val="24"/>
          <w:rtl/>
          <w:lang w:val="en-US" w:eastAsia="fr-FR"/>
        </w:rPr>
        <w:t xml:space="preserve">    أوضحت</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الرسالة </w:t>
      </w:r>
      <w:r w:rsidRPr="00373156">
        <w:rPr>
          <w:rFonts w:ascii="Simplified Arabic" w:eastAsia="Times New Roman" w:hAnsi="Simplified Arabic" w:cs="Simplified Arabic" w:hint="cs"/>
          <w:b/>
          <w:sz w:val="24"/>
          <w:szCs w:val="24"/>
          <w:rtl/>
          <w:lang w:val="en-US" w:eastAsia="fr-FR"/>
        </w:rPr>
        <w:t>الافتتاحية</w:t>
      </w:r>
      <w:r>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الغرض</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الرئيسي من إجراء هذا الاستبيان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ومكونات هيكل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مسح</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دلفي،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مع</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التركيز</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إخفاء</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هوية المشاركين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طُلب</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أعضاء</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w:t>
      </w:r>
      <w:r w:rsidRPr="00373156">
        <w:rPr>
          <w:rFonts w:ascii="Simplified Arabic" w:eastAsia="Times New Roman" w:hAnsi="Simplified Arabic" w:cs="Simplified Arabic" w:hint="cs"/>
          <w:b/>
          <w:sz w:val="24"/>
          <w:szCs w:val="24"/>
          <w:rtl/>
          <w:lang w:val="en-US" w:eastAsia="fr-FR"/>
        </w:rPr>
        <w:t>فريق</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الذين ابدوا رغبة المشاركة</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w:t>
      </w:r>
      <w:r w:rsidRPr="00373156">
        <w:rPr>
          <w:rFonts w:ascii="Simplified Arabic" w:eastAsia="Times New Roman" w:hAnsi="Simplified Arabic" w:cs="Simplified Arabic" w:hint="cs"/>
          <w:b/>
          <w:sz w:val="24"/>
          <w:szCs w:val="24"/>
          <w:rtl/>
          <w:lang w:val="en-US" w:eastAsia="fr-FR"/>
        </w:rPr>
        <w:t>تقديم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معلومات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تتعلق بالمهن والحرف</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وعنوان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البريد</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الإلكتروني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قبل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بدء تلقي الردود</w:t>
      </w:r>
      <w:r w:rsidRPr="00373156">
        <w:rPr>
          <w:rFonts w:ascii="Simplified Arabic" w:eastAsia="Times New Roman" w:hAnsi="Simplified Arabic" w:cs="Simplified Arabic"/>
          <w:b/>
          <w:sz w:val="24"/>
          <w:szCs w:val="24"/>
          <w:rtl/>
          <w:lang w:val="en-US" w:eastAsia="fr-FR"/>
        </w:rPr>
        <w:t xml:space="preserve">. </w:t>
      </w:r>
    </w:p>
    <w:p w:rsidR="00C121B0" w:rsidRDefault="00C121B0" w:rsidP="008E533E">
      <w:pPr>
        <w:tabs>
          <w:tab w:val="right" w:pos="283"/>
        </w:tabs>
        <w:bidi/>
        <w:spacing w:after="0"/>
        <w:ind w:firstLine="283"/>
        <w:jc w:val="both"/>
        <w:rPr>
          <w:rFonts w:ascii="Simplified Arabic" w:eastAsia="Times New Roman" w:hAnsi="Simplified Arabic" w:cs="Simplified Arabic"/>
          <w:b/>
          <w:sz w:val="24"/>
          <w:szCs w:val="24"/>
          <w:rtl/>
          <w:lang w:val="en-US" w:eastAsia="fr-FR"/>
        </w:rPr>
      </w:pPr>
      <w:r w:rsidRPr="00373156">
        <w:rPr>
          <w:rFonts w:ascii="Simplified Arabic" w:eastAsia="Times New Roman" w:hAnsi="Simplified Arabic" w:cs="Simplified Arabic" w:hint="cs"/>
          <w:b/>
          <w:sz w:val="24"/>
          <w:szCs w:val="24"/>
          <w:rtl/>
          <w:lang w:val="en-US" w:eastAsia="fr-FR"/>
        </w:rPr>
        <w:t>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الجولة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الأولى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المسح،</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طُلب</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المشاركين</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الذين ابدوا رغبتهم في المشاركة </w:t>
      </w:r>
      <w:r w:rsidRPr="00373156">
        <w:rPr>
          <w:rFonts w:ascii="Simplified Arabic" w:eastAsia="Times New Roman" w:hAnsi="Simplified Arabic" w:cs="Simplified Arabic" w:hint="cs"/>
          <w:b/>
          <w:sz w:val="24"/>
          <w:szCs w:val="24"/>
          <w:rtl/>
          <w:lang w:val="en-US" w:eastAsia="fr-FR"/>
        </w:rPr>
        <w:t>تقييم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وتسجيل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القائمة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الأولية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للعوامل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الحضرية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تضمنت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هذه</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القائمة</w:t>
      </w:r>
      <w:r>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10 </w:t>
      </w:r>
      <w:r w:rsidRPr="00373156">
        <w:rPr>
          <w:rFonts w:ascii="Simplified Arabic" w:eastAsia="Times New Roman" w:hAnsi="Simplified Arabic" w:cs="Simplified Arabic" w:hint="cs"/>
          <w:b/>
          <w:sz w:val="24"/>
          <w:szCs w:val="24"/>
          <w:rtl/>
          <w:lang w:val="en-US" w:eastAsia="fr-FR"/>
        </w:rPr>
        <w:t>عوامل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حضرية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 xml:space="preserve">للبيئة </w:t>
      </w:r>
      <w:r w:rsidR="008E533E">
        <w:rPr>
          <w:rFonts w:ascii="Simplified Arabic" w:hAnsi="Simplified Arabic" w:cs="Simplified Arabic" w:hint="cs"/>
          <w:sz w:val="24"/>
          <w:szCs w:val="24"/>
          <w:rtl/>
          <w:lang w:val="en-US"/>
        </w:rPr>
        <w:t>الحضرية</w:t>
      </w:r>
      <w:r w:rsidR="008E533E" w:rsidRPr="00373156">
        <w:rPr>
          <w:rFonts w:ascii="Simplified Arabic" w:eastAsia="Times New Roman" w:hAnsi="Simplified Arabic" w:cs="Simplified Arabic" w:hint="cs"/>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التي تتطابق</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مع الخصائص العمرانية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لمدينة بوسعادة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طُلب</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المشاركين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تقييم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أهمية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جميع</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العوامل،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حيث</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يتطلب</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كل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سؤال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منهم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تعيين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درجة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بين</w:t>
      </w:r>
      <w:r w:rsidRPr="00373156">
        <w:rPr>
          <w:rFonts w:ascii="Simplified Arabic" w:eastAsia="Times New Roman" w:hAnsi="Simplified Arabic" w:cs="Simplified Arabic"/>
          <w:b/>
          <w:sz w:val="24"/>
          <w:szCs w:val="24"/>
          <w:rtl/>
          <w:lang w:val="en-US" w:eastAsia="fr-FR"/>
        </w:rPr>
        <w:t xml:space="preserve"> 1 </w:t>
      </w:r>
      <w:r w:rsidRPr="00373156">
        <w:rPr>
          <w:rFonts w:ascii="Simplified Arabic" w:eastAsia="Times New Roman" w:hAnsi="Simplified Arabic" w:cs="Simplified Arabic" w:hint="cs"/>
          <w:b/>
          <w:sz w:val="24"/>
          <w:szCs w:val="24"/>
          <w:rtl/>
          <w:lang w:val="en-US" w:eastAsia="fr-FR"/>
        </w:rPr>
        <w:t>و</w:t>
      </w:r>
      <w:r w:rsidRPr="00373156">
        <w:rPr>
          <w:rFonts w:ascii="Simplified Arabic" w:eastAsia="Times New Roman" w:hAnsi="Simplified Arabic" w:cs="Simplified Arabic"/>
          <w:b/>
          <w:sz w:val="24"/>
          <w:szCs w:val="24"/>
          <w:rtl/>
          <w:lang w:val="en-US" w:eastAsia="fr-FR"/>
        </w:rPr>
        <w:t xml:space="preserve"> 5 </w:t>
      </w:r>
      <w:r w:rsidRPr="00373156">
        <w:rPr>
          <w:rFonts w:ascii="Simplified Arabic" w:eastAsia="Times New Roman" w:hAnsi="Simplified Arabic" w:cs="Simplified Arabic" w:hint="cs"/>
          <w:b/>
          <w:sz w:val="24"/>
          <w:szCs w:val="24"/>
          <w:rtl/>
          <w:lang w:val="en-US" w:eastAsia="fr-FR"/>
        </w:rPr>
        <w:t>نقاط</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lastRenderedPageBreak/>
        <w:t>مقياس</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تصنيف</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نوع</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 xml:space="preserve">ليكرت </w:t>
      </w:r>
      <w:r w:rsidRPr="00373156">
        <w:rPr>
          <w:rFonts w:asciiTheme="majorBidi" w:eastAsia="Times New Roman" w:hAnsiTheme="majorBidi" w:cstheme="majorBidi"/>
          <w:bCs/>
          <w:sz w:val="24"/>
          <w:szCs w:val="24"/>
          <w:rtl/>
          <w:lang w:val="en-US" w:eastAsia="fr-FR"/>
        </w:rPr>
        <w:t>(</w:t>
      </w:r>
      <w:r w:rsidRPr="00373156">
        <w:rPr>
          <w:rFonts w:asciiTheme="majorBidi" w:eastAsia="Times New Roman" w:hAnsiTheme="majorBidi" w:cstheme="majorBidi"/>
          <w:bCs/>
          <w:sz w:val="24"/>
          <w:szCs w:val="24"/>
          <w:lang w:eastAsia="fr-FR"/>
        </w:rPr>
        <w:t>Likert</w:t>
      </w:r>
      <w:r w:rsidRPr="00373156">
        <w:rPr>
          <w:rFonts w:asciiTheme="majorBidi" w:eastAsia="Times New Roman" w:hAnsiTheme="majorBidi" w:cstheme="majorBidi"/>
          <w:bCs/>
          <w:sz w:val="24"/>
          <w:szCs w:val="24"/>
          <w:rtl/>
          <w:lang w:val="en-US" w:eastAsia="fr-FR"/>
        </w:rPr>
        <w:t>)</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تم منح خبراء دلفي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قسم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للتعليقات،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لتجنب</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أي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غموض</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قد</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يكون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لديهم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مع</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أي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عوامل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التقييم</w:t>
      </w:r>
      <w:r w:rsidRPr="00373156">
        <w:rPr>
          <w:rFonts w:asciiTheme="minorBidi" w:hAnsiTheme="minorBidi" w:cs="Arial"/>
          <w:sz w:val="28"/>
          <w:szCs w:val="28"/>
          <w:rtl/>
          <w:lang w:val="en-US"/>
        </w:rPr>
        <w:t xml:space="preserve"> (</w:t>
      </w:r>
      <w:r w:rsidRPr="005B0947">
        <w:rPr>
          <w:rFonts w:asciiTheme="majorBidi" w:hAnsiTheme="majorBidi" w:cstheme="majorBidi"/>
          <w:sz w:val="24"/>
          <w:szCs w:val="24"/>
          <w:lang w:val="en-US"/>
        </w:rPr>
        <w:t>Gordon</w:t>
      </w:r>
      <w:r>
        <w:rPr>
          <w:rFonts w:asciiTheme="majorBidi" w:hAnsiTheme="majorBidi" w:cstheme="majorBidi"/>
          <w:sz w:val="24"/>
          <w:szCs w:val="24"/>
          <w:lang w:val="en-US"/>
        </w:rPr>
        <w:t>,</w:t>
      </w:r>
      <w:r w:rsidRPr="00373156">
        <w:rPr>
          <w:rFonts w:asciiTheme="majorBidi" w:hAnsiTheme="majorBidi" w:cstheme="majorBidi"/>
          <w:sz w:val="28"/>
          <w:szCs w:val="28"/>
          <w:lang w:val="en-US"/>
        </w:rPr>
        <w:t xml:space="preserve"> </w:t>
      </w:r>
      <w:r w:rsidRPr="00373156">
        <w:rPr>
          <w:rFonts w:asciiTheme="majorBidi" w:hAnsiTheme="majorBidi" w:cstheme="majorBidi"/>
          <w:sz w:val="24"/>
          <w:szCs w:val="24"/>
          <w:lang w:val="en-US"/>
        </w:rPr>
        <w:t>1994</w:t>
      </w:r>
      <w:r w:rsidRPr="00373156">
        <w:rPr>
          <w:rFonts w:asciiTheme="minorBidi" w:hAnsiTheme="minorBidi" w:cs="Arial"/>
          <w:sz w:val="28"/>
          <w:szCs w:val="28"/>
          <w:rtl/>
          <w:lang w:val="en-US"/>
        </w:rPr>
        <w:t>).</w:t>
      </w:r>
      <w:r w:rsidRPr="00373156">
        <w:rPr>
          <w:rFonts w:ascii="Simplified Arabic" w:eastAsia="Times New Roman" w:hAnsi="Simplified Arabic" w:cs="Simplified Arabic" w:hint="cs"/>
          <w:b/>
          <w:sz w:val="24"/>
          <w:szCs w:val="24"/>
          <w:rtl/>
          <w:lang w:val="en-US" w:eastAsia="fr-FR"/>
        </w:rPr>
        <w:t xml:space="preserve"> 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نهاية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الجولة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الأولى،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اتخاذ</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عدة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خطوات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 بينها اعداد تقرير المرحلة</w:t>
      </w:r>
      <w:r>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hint="cs"/>
          <w:b/>
          <w:sz w:val="24"/>
          <w:szCs w:val="24"/>
          <w:rtl/>
          <w:lang w:val="en-US" w:eastAsia="fr-FR"/>
        </w:rPr>
        <w:t xml:space="preserve"> لاستخدامها</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الجولة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الثانية</w:t>
      </w:r>
      <w:r>
        <w:rPr>
          <w:rFonts w:ascii="Simplified Arabic" w:eastAsia="Times New Roman" w:hAnsi="Simplified Arabic" w:cs="Simplified Arabic" w:hint="cs"/>
          <w:b/>
          <w:sz w:val="24"/>
          <w:szCs w:val="24"/>
          <w:rtl/>
          <w:lang w:val="en-US" w:eastAsia="fr-FR"/>
        </w:rPr>
        <w:t>، تم القيام</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ب</w:t>
      </w:r>
      <w:r w:rsidRPr="00373156">
        <w:rPr>
          <w:rFonts w:ascii="Simplified Arabic" w:eastAsia="Times New Roman" w:hAnsi="Simplified Arabic" w:cs="Simplified Arabic" w:hint="cs"/>
          <w:b/>
          <w:sz w:val="24"/>
          <w:szCs w:val="24"/>
          <w:rtl/>
          <w:lang w:val="en-US" w:eastAsia="fr-FR"/>
        </w:rPr>
        <w:t>التحليل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الإحصائي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للنتائج المتحصل عليها،</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w:t>
      </w:r>
      <w:r w:rsidRPr="00373156">
        <w:rPr>
          <w:rFonts w:ascii="Simplified Arabic" w:eastAsia="Times New Roman" w:hAnsi="Simplified Arabic" w:cs="Simplified Arabic" w:hint="cs"/>
          <w:b/>
          <w:sz w:val="24"/>
          <w:szCs w:val="24"/>
          <w:rtl/>
          <w:lang w:val="en-US" w:eastAsia="fr-FR"/>
        </w:rPr>
        <w:t>توحيد</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w:t>
      </w:r>
      <w:r w:rsidRPr="00373156">
        <w:rPr>
          <w:rFonts w:ascii="Simplified Arabic" w:eastAsia="Times New Roman" w:hAnsi="Simplified Arabic" w:cs="Simplified Arabic" w:hint="cs"/>
          <w:b/>
          <w:sz w:val="24"/>
          <w:szCs w:val="24"/>
          <w:rtl/>
          <w:lang w:val="en-US" w:eastAsia="fr-FR"/>
        </w:rPr>
        <w:t>تعليقات</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و</w:t>
      </w:r>
      <w:r w:rsidRPr="00373156">
        <w:rPr>
          <w:rFonts w:ascii="Simplified Arabic" w:eastAsia="Times New Roman" w:hAnsi="Simplified Arabic" w:cs="Simplified Arabic" w:hint="cs"/>
          <w:b/>
          <w:sz w:val="24"/>
          <w:szCs w:val="24"/>
          <w:rtl/>
          <w:lang w:val="en-US" w:eastAsia="fr-FR"/>
        </w:rPr>
        <w:t>لإزالة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الآراء</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المكررة</w:t>
      </w:r>
      <w:r w:rsidR="00ED0B51">
        <w:rPr>
          <w:rFonts w:ascii="Simplified Arabic" w:eastAsia="Times New Roman" w:hAnsi="Simplified Arabic" w:cs="Simplified Arabic" w:hint="cs"/>
          <w:b/>
          <w:sz w:val="24"/>
          <w:szCs w:val="24"/>
          <w:rtl/>
          <w:lang w:val="en-US" w:eastAsia="fr-FR"/>
        </w:rPr>
        <w:t>،</w:t>
      </w:r>
      <w:r>
        <w:rPr>
          <w:rFonts w:ascii="Simplified Arabic" w:eastAsia="Times New Roman" w:hAnsi="Simplified Arabic" w:cs="Simplified Arabic" w:hint="cs"/>
          <w:b/>
          <w:sz w:val="24"/>
          <w:szCs w:val="24"/>
          <w:rtl/>
          <w:lang w:val="en-US" w:eastAsia="fr-FR"/>
        </w:rPr>
        <w:t xml:space="preserve"> كما هو موضح في الجدول (</w:t>
      </w:r>
      <w:r w:rsidR="00C60343">
        <w:rPr>
          <w:rFonts w:ascii="Simplified Arabic" w:eastAsia="Times New Roman" w:hAnsi="Simplified Arabic" w:cs="Simplified Arabic" w:hint="cs"/>
          <w:b/>
          <w:sz w:val="24"/>
          <w:szCs w:val="24"/>
          <w:rtl/>
          <w:lang w:val="en-US" w:eastAsia="fr-FR"/>
        </w:rPr>
        <w:t>5-1</w:t>
      </w:r>
      <w:r>
        <w:rPr>
          <w:rFonts w:ascii="Simplified Arabic" w:eastAsia="Times New Roman" w:hAnsi="Simplified Arabic" w:cs="Simplified Arabic" w:hint="cs"/>
          <w:b/>
          <w:sz w:val="24"/>
          <w:szCs w:val="24"/>
          <w:rtl/>
          <w:lang w:val="en-US" w:eastAsia="fr-FR"/>
        </w:rPr>
        <w:t>).</w:t>
      </w:r>
    </w:p>
    <w:p w:rsidR="00C121B0" w:rsidRDefault="00C121B0" w:rsidP="0007710C">
      <w:pPr>
        <w:pStyle w:val="Tableau"/>
        <w:rPr>
          <w:rtl/>
          <w:lang w:val="en-US"/>
        </w:rPr>
      </w:pPr>
      <w:bookmarkStart w:id="620" w:name="_Toc157612991"/>
      <w:bookmarkStart w:id="621" w:name="_Toc171803654"/>
      <w:r w:rsidRPr="00DF404A">
        <w:rPr>
          <w:rtl/>
          <w:lang w:val="en-US"/>
        </w:rPr>
        <w:t xml:space="preserve">الجدول </w:t>
      </w:r>
      <w:r>
        <w:rPr>
          <w:rFonts w:eastAsia="Times New Roman" w:hint="cs"/>
          <w:rtl/>
          <w:lang w:val="en-US" w:eastAsia="fr-FR"/>
        </w:rPr>
        <w:t>(</w:t>
      </w:r>
      <w:r w:rsidR="00C60343">
        <w:rPr>
          <w:rFonts w:eastAsia="Times New Roman" w:hint="cs"/>
          <w:rtl/>
          <w:lang w:val="en-US" w:eastAsia="fr-FR"/>
        </w:rPr>
        <w:t>5-1</w:t>
      </w:r>
      <w:r>
        <w:rPr>
          <w:rFonts w:eastAsia="Times New Roman" w:hint="cs"/>
          <w:rtl/>
          <w:lang w:val="en-US" w:eastAsia="fr-FR"/>
        </w:rPr>
        <w:t>)</w:t>
      </w:r>
      <w:r w:rsidRPr="00DF404A">
        <w:rPr>
          <w:rtl/>
          <w:lang w:val="en-US"/>
        </w:rPr>
        <w:t>: التحليل الإحصائي لإجابات مسح الجولة</w:t>
      </w:r>
      <w:r>
        <w:rPr>
          <w:rFonts w:hint="cs"/>
          <w:rtl/>
          <w:lang w:val="en-US"/>
        </w:rPr>
        <w:t xml:space="preserve"> الاولى</w:t>
      </w:r>
      <w:bookmarkEnd w:id="620"/>
      <w:bookmarkEnd w:id="621"/>
    </w:p>
    <w:p w:rsidR="00010DE7" w:rsidRPr="00010DE7" w:rsidRDefault="00010DE7" w:rsidP="00010DE7">
      <w:pPr>
        <w:pStyle w:val="fegure"/>
        <w:rPr>
          <w:sz w:val="8"/>
          <w:szCs w:val="24"/>
          <w:rtl/>
          <w:lang w:val="en-US" w:bidi="ar-DZ"/>
        </w:rPr>
      </w:pPr>
      <w:bookmarkStart w:id="622" w:name="_Toc171803655"/>
      <w:r>
        <w:rPr>
          <w:rFonts w:hint="cs"/>
          <w:sz w:val="8"/>
          <w:szCs w:val="24"/>
          <w:rtl/>
          <w:lang w:val="en-US"/>
        </w:rPr>
        <w:t>المصدر: (الباحث، 2022)</w:t>
      </w:r>
      <w:bookmarkEnd w:id="622"/>
    </w:p>
    <w:tbl>
      <w:tblPr>
        <w:bidiVisual/>
        <w:tblW w:w="8363" w:type="dxa"/>
        <w:jc w:val="center"/>
        <w:tblInd w:w="-73" w:type="dxa"/>
        <w:tblCellMar>
          <w:left w:w="70" w:type="dxa"/>
          <w:right w:w="70" w:type="dxa"/>
        </w:tblCellMar>
        <w:tblLook w:val="04A0" w:firstRow="1" w:lastRow="0" w:firstColumn="1" w:lastColumn="0" w:noHBand="0" w:noVBand="1"/>
      </w:tblPr>
      <w:tblGrid>
        <w:gridCol w:w="2731"/>
        <w:gridCol w:w="698"/>
        <w:gridCol w:w="737"/>
        <w:gridCol w:w="698"/>
        <w:gridCol w:w="876"/>
        <w:gridCol w:w="699"/>
        <w:gridCol w:w="699"/>
        <w:gridCol w:w="1225"/>
      </w:tblGrid>
      <w:tr w:rsidR="00C121B0" w:rsidRPr="00326CF1" w:rsidTr="00794BA6">
        <w:trPr>
          <w:trHeight w:val="688"/>
          <w:jc w:val="center"/>
        </w:trPr>
        <w:tc>
          <w:tcPr>
            <w:tcW w:w="273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hint="cs"/>
                <w:color w:val="000000"/>
                <w:sz w:val="24"/>
                <w:szCs w:val="24"/>
                <w:rtl/>
                <w:lang w:eastAsia="fr-FR"/>
              </w:rPr>
              <w:t>العوامل</w:t>
            </w:r>
          </w:p>
        </w:tc>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اهمية أقل</w:t>
            </w:r>
          </w:p>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w:t>
            </w:r>
          </w:p>
        </w:tc>
        <w:tc>
          <w:tcPr>
            <w:tcW w:w="7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اهمية متوسطة</w:t>
            </w:r>
          </w:p>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(2)</w:t>
            </w:r>
          </w:p>
        </w:tc>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اهمية عالية</w:t>
            </w:r>
          </w:p>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(3)</w:t>
            </w: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اهمية عالية جدًا</w:t>
            </w:r>
          </w:p>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(4)</w:t>
            </w:r>
          </w:p>
        </w:tc>
        <w:tc>
          <w:tcPr>
            <w:tcW w:w="69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اهمية قصوى</w:t>
            </w:r>
          </w:p>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(5)</w:t>
            </w:r>
          </w:p>
        </w:tc>
        <w:tc>
          <w:tcPr>
            <w:tcW w:w="69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color w:val="000000"/>
                <w:sz w:val="24"/>
                <w:szCs w:val="24"/>
                <w:rtl/>
                <w:lang w:eastAsia="fr-FR"/>
              </w:rPr>
              <w:t>عدد الخبراء</w:t>
            </w:r>
          </w:p>
        </w:tc>
        <w:tc>
          <w:tcPr>
            <w:tcW w:w="12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المتوسط المرجح  لقيمة الأهمية</w:t>
            </w:r>
            <w:r w:rsidRPr="00330FBB">
              <w:rPr>
                <w:rFonts w:ascii="Simplified Arabic" w:eastAsia="Times New Roman" w:hAnsi="Simplified Arabic" w:cs="Simplified Arabic" w:hint="cs"/>
                <w:color w:val="000000"/>
                <w:sz w:val="24"/>
                <w:szCs w:val="24"/>
                <w:rtl/>
                <w:lang w:eastAsia="fr-FR"/>
              </w:rPr>
              <w:t xml:space="preserve"> </w:t>
            </w:r>
            <w:r w:rsidRPr="00330FBB">
              <w:rPr>
                <w:rFonts w:asciiTheme="majorBidi" w:hAnsiTheme="majorBidi" w:cstheme="majorBidi"/>
                <w:sz w:val="24"/>
                <w:szCs w:val="24"/>
                <w:rtl/>
                <w:lang w:val="en-US"/>
              </w:rPr>
              <w:t>(</w:t>
            </w:r>
            <w:r w:rsidRPr="00330FBB">
              <w:rPr>
                <w:rFonts w:asciiTheme="majorBidi" w:hAnsiTheme="majorBidi" w:cstheme="majorBidi"/>
                <w:sz w:val="24"/>
                <w:szCs w:val="24"/>
                <w:lang w:val="en-US"/>
              </w:rPr>
              <w:t>x̅</w:t>
            </w:r>
            <w:r w:rsidRPr="00330FBB">
              <w:rPr>
                <w:rFonts w:asciiTheme="majorBidi" w:hAnsiTheme="majorBidi" w:cstheme="majorBidi"/>
                <w:sz w:val="24"/>
                <w:szCs w:val="24"/>
                <w:rtl/>
                <w:lang w:val="en-US"/>
              </w:rPr>
              <w:t>)</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كثافة البناء</w:t>
            </w:r>
          </w:p>
        </w:tc>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hint="cs"/>
                <w:color w:val="000000"/>
                <w:sz w:val="24"/>
                <w:szCs w:val="24"/>
                <w:rtl/>
                <w:lang w:eastAsia="fr-FR"/>
              </w:rPr>
              <w:t>2</w:t>
            </w:r>
          </w:p>
        </w:tc>
        <w:tc>
          <w:tcPr>
            <w:tcW w:w="7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hint="cs"/>
                <w:color w:val="000000"/>
                <w:sz w:val="24"/>
                <w:szCs w:val="24"/>
                <w:rtl/>
                <w:lang w:eastAsia="fr-FR"/>
              </w:rPr>
              <w:t>3</w:t>
            </w:r>
          </w:p>
        </w:tc>
        <w:tc>
          <w:tcPr>
            <w:tcW w:w="6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1</w:t>
            </w: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hint="cs"/>
                <w:color w:val="000000"/>
                <w:sz w:val="24"/>
                <w:szCs w:val="24"/>
                <w:rtl/>
                <w:lang w:eastAsia="fr-FR"/>
              </w:rPr>
              <w:t>4</w:t>
            </w:r>
          </w:p>
        </w:tc>
        <w:tc>
          <w:tcPr>
            <w:tcW w:w="69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4</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36</w:t>
            </w:r>
          </w:p>
        </w:tc>
      </w:tr>
      <w:tr w:rsidR="00C121B0" w:rsidRPr="00326CF1" w:rsidTr="00794BA6">
        <w:trPr>
          <w:trHeight w:val="495"/>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المسافة الى المرافق الصحية</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2</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6</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86</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المسافة الى المرافق الامنية</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2</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2</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2</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4</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43</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المسافة الى مرافق الانقاذ</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0</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8</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29</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المسافة الى المرافق التعليمية</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6</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57</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المسافة الى المساحات المفتوحة</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4</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3,00</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المسافة الى المرافق الدينية/الثقافية</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1</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2</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3</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5</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64</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959E4" w:rsidP="00C959E4">
            <w:pPr>
              <w:bidi/>
              <w:spacing w:after="0" w:line="240" w:lineRule="auto"/>
              <w:rPr>
                <w:rFonts w:ascii="Simplified Arabic" w:eastAsia="Times New Roman" w:hAnsi="Simplified Arabic" w:cs="Simplified Arabic"/>
                <w:color w:val="000000"/>
                <w:sz w:val="24"/>
                <w:szCs w:val="24"/>
                <w:lang w:eastAsia="fr-FR"/>
              </w:rPr>
            </w:pPr>
            <w:r w:rsidRPr="0077622D">
              <w:rPr>
                <w:rFonts w:ascii="Simplified Arabic" w:hAnsi="Simplified Arabic" w:cs="Simplified Arabic" w:hint="cs"/>
                <w:sz w:val="24"/>
                <w:szCs w:val="24"/>
                <w:rtl/>
                <w:lang w:val="en-US"/>
              </w:rPr>
              <w:t>عمق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الشريانية</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8</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93</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المسافة الى شبكة النقل</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2</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lang w:eastAsia="fr-FR"/>
              </w:rPr>
              <w:t>4</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07</w:t>
            </w:r>
          </w:p>
        </w:tc>
      </w:tr>
      <w:tr w:rsidR="00C121B0" w:rsidRPr="00326CF1" w:rsidTr="00794BA6">
        <w:trPr>
          <w:trHeight w:val="56"/>
          <w:jc w:val="center"/>
        </w:trPr>
        <w:tc>
          <w:tcPr>
            <w:tcW w:w="2731"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26CF1">
              <w:rPr>
                <w:rFonts w:ascii="Simplified Arabic" w:eastAsia="Times New Roman" w:hAnsi="Simplified Arabic" w:cs="Simplified Arabic"/>
                <w:color w:val="000000"/>
                <w:sz w:val="24"/>
                <w:szCs w:val="24"/>
                <w:rtl/>
                <w:lang w:eastAsia="fr-FR"/>
              </w:rPr>
              <w:t>المساحة الخضراء للفرد</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5</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2</w:t>
            </w:r>
          </w:p>
        </w:tc>
        <w:tc>
          <w:tcPr>
            <w:tcW w:w="698"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5</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0</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326CF1"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25"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r>
              <w:rPr>
                <w:rFonts w:ascii="Simplified Arabic" w:eastAsia="Times New Roman" w:hAnsi="Simplified Arabic" w:cs="Simplified Arabic"/>
                <w:color w:val="000000"/>
                <w:sz w:val="24"/>
                <w:szCs w:val="24"/>
                <w:lang w:eastAsia="fr-FR"/>
              </w:rPr>
              <w:t>43</w:t>
            </w:r>
          </w:p>
        </w:tc>
      </w:tr>
    </w:tbl>
    <w:p w:rsidR="00C121B0" w:rsidRDefault="00C121B0" w:rsidP="00A04689">
      <w:pPr>
        <w:tabs>
          <w:tab w:val="right" w:pos="283"/>
        </w:tabs>
        <w:bidi/>
        <w:spacing w:before="240" w:after="0"/>
        <w:ind w:firstLine="282"/>
        <w:jc w:val="both"/>
        <w:rPr>
          <w:rFonts w:ascii="Simplified Arabic" w:eastAsia="Times New Roman" w:hAnsi="Simplified Arabic" w:cs="Simplified Arabic"/>
          <w:b/>
          <w:sz w:val="24"/>
          <w:szCs w:val="24"/>
          <w:rtl/>
          <w:lang w:val="en-US" w:eastAsia="fr-FR"/>
        </w:rPr>
      </w:pPr>
      <w:r w:rsidRPr="00373156">
        <w:rPr>
          <w:rFonts w:ascii="Simplified Arabic" w:eastAsia="Times New Roman" w:hAnsi="Simplified Arabic" w:cs="Simplified Arabic" w:hint="cs"/>
          <w:b/>
          <w:sz w:val="24"/>
          <w:szCs w:val="24"/>
          <w:rtl/>
          <w:lang w:val="en-US" w:eastAsia="fr-FR"/>
        </w:rPr>
        <w:t>سمحت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الجولة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الثانية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لفريق</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الخبراء</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الاطلاع على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جميع</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الردود</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المجهولة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فيما بينهم</w:t>
      </w:r>
      <w:r>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وتقديم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ملاحظات</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حول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كل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عامل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تقييمه</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في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الجولة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الأولى</w:t>
      </w:r>
      <w:r w:rsidRPr="00373156">
        <w:rPr>
          <w:rFonts w:ascii="Simplified Arabic" w:eastAsia="Times New Roman" w:hAnsi="Simplified Arabic" w:cs="Simplified Arabic"/>
          <w:b/>
          <w:sz w:val="24"/>
          <w:szCs w:val="24"/>
          <w:rtl/>
          <w:lang w:val="en-US" w:eastAsia="fr-FR"/>
        </w:rPr>
        <w:t>.</w:t>
      </w:r>
      <w:r w:rsidRPr="00373156">
        <w:rPr>
          <w:rFonts w:ascii="Simplified Arabic" w:eastAsia="Times New Roman" w:hAnsi="Simplified Arabic" w:cs="Simplified Arabic" w:hint="cs"/>
          <w:b/>
          <w:sz w:val="24"/>
          <w:szCs w:val="24"/>
          <w:rtl/>
          <w:lang w:val="en-US" w:eastAsia="fr-FR"/>
        </w:rPr>
        <w:t xml:space="preserve"> تم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تحقيق</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ذلك</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خلال</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حساب</w:t>
      </w:r>
      <w:r w:rsidRPr="00373156">
        <w:rPr>
          <w:rFonts w:ascii="Simplified Arabic" w:eastAsia="Times New Roman" w:hAnsi="Simplified Arabic" w:cs="Simplified Arabic"/>
          <w:b/>
          <w:sz w:val="24"/>
          <w:szCs w:val="24"/>
          <w:rtl/>
          <w:lang w:val="en-US" w:eastAsia="fr-FR"/>
        </w:rPr>
        <w:t xml:space="preserve"> </w:t>
      </w:r>
      <w:r w:rsidRPr="00537EA6">
        <w:rPr>
          <w:rFonts w:ascii="Simplified Arabic" w:eastAsia="Times New Roman" w:hAnsi="Simplified Arabic" w:cs="Simplified Arabic"/>
          <w:color w:val="000000"/>
          <w:sz w:val="24"/>
          <w:szCs w:val="24"/>
          <w:rtl/>
          <w:lang w:eastAsia="fr-FR"/>
        </w:rPr>
        <w:t>المتوسط المرجح لقيمة الأهمية</w:t>
      </w:r>
      <w:r w:rsidRPr="00373156">
        <w:rPr>
          <w:rFonts w:asciiTheme="majorBidi" w:hAnsiTheme="majorBidi" w:cstheme="majorBidi"/>
          <w:sz w:val="24"/>
          <w:szCs w:val="24"/>
          <w:rtl/>
          <w:lang w:val="en-US"/>
        </w:rPr>
        <w:t xml:space="preserve"> (</w:t>
      </w:r>
      <w:r w:rsidRPr="00373156">
        <w:rPr>
          <w:rFonts w:asciiTheme="majorBidi" w:hAnsiTheme="majorBidi" w:cstheme="majorBidi"/>
          <w:sz w:val="24"/>
          <w:szCs w:val="24"/>
          <w:lang w:val="en-US"/>
        </w:rPr>
        <w:t>x̅</w:t>
      </w:r>
      <w:r w:rsidRPr="00373156">
        <w:rPr>
          <w:rFonts w:asciiTheme="majorBidi" w:hAnsiTheme="majorBidi" w:cstheme="majorBidi"/>
          <w:sz w:val="24"/>
          <w:szCs w:val="24"/>
          <w:rtl/>
          <w:lang w:val="en-US"/>
        </w:rPr>
        <w:t>)</w:t>
      </w:r>
      <w:r w:rsidRPr="00373156">
        <w:rPr>
          <w:rFonts w:asciiTheme="minorBidi" w:hAnsiTheme="minorBidi" w:cs="Arial"/>
          <w:sz w:val="28"/>
          <w:szCs w:val="28"/>
          <w:rtl/>
          <w:lang w:val="en-US"/>
        </w:rPr>
        <w:t xml:space="preserve"> </w:t>
      </w:r>
      <w:r w:rsidRPr="00373156">
        <w:rPr>
          <w:rFonts w:ascii="Simplified Arabic" w:eastAsia="Times New Roman" w:hAnsi="Simplified Arabic" w:cs="Simplified Arabic" w:hint="cs"/>
          <w:b/>
          <w:sz w:val="24"/>
          <w:szCs w:val="24"/>
          <w:rtl/>
          <w:lang w:val="en-US" w:eastAsia="fr-FR"/>
        </w:rPr>
        <w:t>لكل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عامل،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لمساعدة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الخبراء</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على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تصور</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توزيع</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البيانات،</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هذا</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يمنحهم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الفرصة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لمراجعة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ردودهم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وأحكامهم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السابقة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طُلب</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الخبراء</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مراجعة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ردودهم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السابقة</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على</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ضوء</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ردود</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المشاركين</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الآخرين</w:t>
      </w:r>
      <w:r w:rsidR="00D50865">
        <w:rPr>
          <w:rFonts w:ascii="Simplified Arabic" w:eastAsia="Times New Roman" w:hAnsi="Simplified Arabic" w:cs="Simplified Arabic" w:hint="cs"/>
          <w:b/>
          <w:sz w:val="24"/>
          <w:szCs w:val="24"/>
          <w:rtl/>
          <w:lang w:val="en-US" w:eastAsia="fr-FR"/>
        </w:rPr>
        <w:t>،</w:t>
      </w:r>
      <w:r w:rsidRPr="00373156">
        <w:rPr>
          <w:rFonts w:ascii="Simplified Arabic" w:eastAsia="Times New Roman" w:hAnsi="Simplified Arabic" w:cs="Simplified Arabic" w:hint="cs"/>
          <w:b/>
          <w:sz w:val="24"/>
          <w:szCs w:val="24"/>
          <w:rtl/>
          <w:lang w:val="en-US" w:eastAsia="fr-FR"/>
        </w:rPr>
        <w:t xml:space="preserve"> </w:t>
      </w:r>
      <w:r w:rsidR="00D50865">
        <w:rPr>
          <w:rFonts w:ascii="Simplified Arabic" w:eastAsia="Times New Roman" w:hAnsi="Simplified Arabic" w:cs="Simplified Arabic" w:hint="cs"/>
          <w:b/>
          <w:sz w:val="24"/>
          <w:szCs w:val="24"/>
          <w:rtl/>
          <w:lang w:val="en-US" w:eastAsia="fr-FR"/>
        </w:rPr>
        <w:t xml:space="preserve">ثم </w:t>
      </w:r>
      <w:r w:rsidRPr="00373156">
        <w:rPr>
          <w:rFonts w:ascii="Simplified Arabic" w:eastAsia="Times New Roman" w:hAnsi="Simplified Arabic" w:cs="Simplified Arabic" w:hint="cs"/>
          <w:b/>
          <w:sz w:val="24"/>
          <w:szCs w:val="24"/>
          <w:rtl/>
          <w:lang w:val="en-US" w:eastAsia="fr-FR"/>
        </w:rPr>
        <w:t>إعادة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تقييم</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القائمة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بأكملها التي</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تضم</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10</w:t>
      </w:r>
      <w:r w:rsidRPr="0037315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عوامل</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حضري</w:t>
      </w:r>
      <w:r>
        <w:rPr>
          <w:rFonts w:ascii="Simplified Arabic" w:eastAsia="Times New Roman" w:hAnsi="Simplified Arabic" w:cs="Simplified Arabic" w:hint="cs"/>
          <w:b/>
          <w:sz w:val="24"/>
          <w:szCs w:val="24"/>
          <w:rtl/>
          <w:lang w:val="en-US" w:eastAsia="fr-FR"/>
        </w:rPr>
        <w:t>ة</w:t>
      </w:r>
      <w:r w:rsidR="00D50865">
        <w:rPr>
          <w:rFonts w:ascii="Simplified Arabic" w:eastAsia="Times New Roman" w:hAnsi="Simplified Arabic" w:cs="Simplified Arabic" w:hint="cs"/>
          <w:b/>
          <w:sz w:val="24"/>
          <w:szCs w:val="24"/>
          <w:rtl/>
          <w:lang w:val="en-US" w:eastAsia="fr-FR"/>
        </w:rPr>
        <w:t>.</w:t>
      </w:r>
      <w:r>
        <w:rPr>
          <w:rFonts w:ascii="Simplified Arabic" w:eastAsia="Times New Roman" w:hAnsi="Simplified Arabic" w:cs="Simplified Arabic" w:hint="cs"/>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 xml:space="preserve">سجل </w:t>
      </w:r>
      <w:r w:rsidR="00D50865">
        <w:rPr>
          <w:rFonts w:ascii="Simplified Arabic" w:eastAsia="Times New Roman" w:hAnsi="Simplified Arabic" w:cs="Simplified Arabic" w:hint="cs"/>
          <w:b/>
          <w:sz w:val="24"/>
          <w:szCs w:val="24"/>
          <w:rtl/>
          <w:lang w:val="en-US" w:eastAsia="fr-FR"/>
        </w:rPr>
        <w:t>ال</w:t>
      </w:r>
      <w:r w:rsidRPr="001D5ADC">
        <w:rPr>
          <w:rFonts w:ascii="Simplified Arabic" w:eastAsia="Times New Roman" w:hAnsi="Simplified Arabic" w:cs="Simplified Arabic" w:hint="cs"/>
          <w:b/>
          <w:sz w:val="24"/>
          <w:szCs w:val="24"/>
          <w:rtl/>
          <w:lang w:val="en-US" w:eastAsia="fr-FR"/>
        </w:rPr>
        <w:t xml:space="preserve">قسم </w:t>
      </w:r>
      <w:r w:rsidR="00D50865">
        <w:rPr>
          <w:rFonts w:ascii="Simplified Arabic" w:eastAsia="Times New Roman" w:hAnsi="Simplified Arabic" w:cs="Simplified Arabic" w:hint="cs"/>
          <w:b/>
          <w:sz w:val="24"/>
          <w:szCs w:val="24"/>
          <w:rtl/>
          <w:lang w:val="en-US" w:eastAsia="fr-FR"/>
        </w:rPr>
        <w:t>المخصص ل</w:t>
      </w:r>
      <w:r w:rsidRPr="001D5ADC">
        <w:rPr>
          <w:rFonts w:ascii="Simplified Arabic" w:eastAsia="Times New Roman" w:hAnsi="Simplified Arabic" w:cs="Simplified Arabic" w:hint="cs"/>
          <w:b/>
          <w:sz w:val="24"/>
          <w:szCs w:val="24"/>
          <w:rtl/>
          <w:lang w:val="en-US" w:eastAsia="fr-FR"/>
        </w:rPr>
        <w:t>لتعليقات مدلول عمق الطريق</w:t>
      </w:r>
      <w:r w:rsidR="00D50865">
        <w:rPr>
          <w:rFonts w:ascii="Simplified Arabic" w:eastAsia="Times New Roman" w:hAnsi="Simplified Arabic" w:cs="Simplified Arabic" w:hint="cs"/>
          <w:b/>
          <w:sz w:val="24"/>
          <w:szCs w:val="24"/>
          <w:rtl/>
          <w:lang w:val="en-US" w:eastAsia="fr-FR"/>
        </w:rPr>
        <w:t xml:space="preserve"> الشرياني</w:t>
      </w:r>
      <w:r w:rsidRPr="001D5ADC">
        <w:rPr>
          <w:rFonts w:ascii="Simplified Arabic" w:eastAsia="Times New Roman" w:hAnsi="Simplified Arabic" w:cs="Simplified Arabic" w:hint="cs"/>
          <w:b/>
          <w:sz w:val="24"/>
          <w:szCs w:val="24"/>
          <w:rtl/>
          <w:lang w:val="en-US" w:eastAsia="fr-FR"/>
        </w:rPr>
        <w:t xml:space="preserve"> الذي يشير الى </w:t>
      </w:r>
      <w:r>
        <w:rPr>
          <w:rFonts w:ascii="Simplified Arabic" w:eastAsia="Times New Roman" w:hAnsi="Simplified Arabic" w:cs="Simplified Arabic" w:hint="cs"/>
          <w:b/>
          <w:sz w:val="24"/>
          <w:szCs w:val="24"/>
          <w:rtl/>
          <w:lang w:val="en-US" w:eastAsia="fr-FR"/>
        </w:rPr>
        <w:t>طول</w:t>
      </w:r>
      <w:r w:rsidRPr="001D5ADC">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w:t>
      </w:r>
      <w:r w:rsidRPr="001D5ADC">
        <w:rPr>
          <w:rFonts w:ascii="Simplified Arabic" w:eastAsia="Times New Roman" w:hAnsi="Simplified Arabic" w:cs="Simplified Arabic" w:hint="cs"/>
          <w:b/>
          <w:sz w:val="24"/>
          <w:szCs w:val="24"/>
          <w:rtl/>
          <w:lang w:val="en-US" w:eastAsia="fr-FR"/>
        </w:rPr>
        <w:t xml:space="preserve">لطريق </w:t>
      </w:r>
      <w:r w:rsidR="00A04689">
        <w:rPr>
          <w:rFonts w:ascii="Simplified Arabic" w:eastAsia="Times New Roman" w:hAnsi="Simplified Arabic" w:cs="Simplified Arabic" w:hint="cs"/>
          <w:b/>
          <w:sz w:val="24"/>
          <w:szCs w:val="24"/>
          <w:rtl/>
          <w:lang w:val="en-US" w:eastAsia="fr-FR"/>
        </w:rPr>
        <w:t>الثانوي</w:t>
      </w:r>
      <w:r>
        <w:rPr>
          <w:rFonts w:ascii="Simplified Arabic" w:eastAsia="Times New Roman" w:hAnsi="Simplified Arabic" w:cs="Simplified Arabic" w:hint="cs"/>
          <w:b/>
          <w:sz w:val="24"/>
          <w:szCs w:val="24"/>
          <w:rtl/>
          <w:lang w:val="en-US" w:eastAsia="fr-FR"/>
        </w:rPr>
        <w:t xml:space="preserve"> </w:t>
      </w:r>
      <w:r w:rsidR="00C959E4">
        <w:rPr>
          <w:rFonts w:ascii="Simplified Arabic" w:eastAsia="Times New Roman" w:hAnsi="Simplified Arabic" w:cs="Simplified Arabic" w:hint="cs"/>
          <w:b/>
          <w:sz w:val="24"/>
          <w:szCs w:val="24"/>
          <w:rtl/>
          <w:lang w:val="en-US" w:eastAsia="fr-FR"/>
        </w:rPr>
        <w:t xml:space="preserve">داخل او محيط الحي السكني، </w:t>
      </w:r>
      <w:r w:rsidR="00A04689">
        <w:rPr>
          <w:rFonts w:ascii="Simplified Arabic" w:eastAsia="Times New Roman" w:hAnsi="Simplified Arabic" w:cs="Simplified Arabic" w:hint="cs"/>
          <w:b/>
          <w:sz w:val="24"/>
          <w:szCs w:val="24"/>
          <w:rtl/>
          <w:lang w:val="en-US" w:eastAsia="fr-FR"/>
        </w:rPr>
        <w:t xml:space="preserve">الذي يربط </w:t>
      </w:r>
      <w:r>
        <w:rPr>
          <w:rFonts w:ascii="Simplified Arabic" w:eastAsia="Times New Roman" w:hAnsi="Simplified Arabic" w:cs="Simplified Arabic" w:hint="cs"/>
          <w:b/>
          <w:sz w:val="24"/>
          <w:szCs w:val="24"/>
          <w:rtl/>
          <w:lang w:val="en-US" w:eastAsia="fr-FR"/>
        </w:rPr>
        <w:t xml:space="preserve">سواء </w:t>
      </w:r>
      <w:r w:rsidR="00A04689">
        <w:rPr>
          <w:rFonts w:ascii="Simplified Arabic" w:eastAsia="Times New Roman" w:hAnsi="Simplified Arabic" w:cs="Simplified Arabic" w:hint="cs"/>
          <w:b/>
          <w:sz w:val="24"/>
          <w:szCs w:val="24"/>
          <w:rtl/>
          <w:lang w:val="en-US" w:eastAsia="fr-FR"/>
        </w:rPr>
        <w:t>بين ال</w:t>
      </w:r>
      <w:r>
        <w:rPr>
          <w:rFonts w:ascii="Simplified Arabic" w:eastAsia="Times New Roman" w:hAnsi="Simplified Arabic" w:cs="Simplified Arabic" w:hint="cs"/>
          <w:b/>
          <w:sz w:val="24"/>
          <w:szCs w:val="24"/>
          <w:rtl/>
          <w:lang w:val="en-US" w:eastAsia="fr-FR"/>
        </w:rPr>
        <w:t xml:space="preserve">طرق </w:t>
      </w:r>
      <w:r w:rsidR="00A04689">
        <w:rPr>
          <w:rFonts w:ascii="Simplified Arabic" w:eastAsia="Times New Roman" w:hAnsi="Simplified Arabic" w:cs="Simplified Arabic" w:hint="cs"/>
          <w:b/>
          <w:sz w:val="24"/>
          <w:szCs w:val="24"/>
          <w:rtl/>
          <w:lang w:val="en-US" w:eastAsia="fr-FR"/>
        </w:rPr>
        <w:t>ال</w:t>
      </w:r>
      <w:r>
        <w:rPr>
          <w:rFonts w:ascii="Simplified Arabic" w:eastAsia="Times New Roman" w:hAnsi="Simplified Arabic" w:cs="Simplified Arabic" w:hint="cs"/>
          <w:b/>
          <w:sz w:val="24"/>
          <w:szCs w:val="24"/>
          <w:rtl/>
          <w:lang w:val="en-US" w:eastAsia="fr-FR"/>
        </w:rPr>
        <w:t xml:space="preserve">رئيسية او </w:t>
      </w:r>
      <w:r w:rsidR="00A04689">
        <w:rPr>
          <w:rFonts w:ascii="Simplified Arabic" w:eastAsia="Times New Roman" w:hAnsi="Simplified Arabic" w:cs="Simplified Arabic" w:hint="cs"/>
          <w:b/>
          <w:sz w:val="24"/>
          <w:szCs w:val="24"/>
          <w:rtl/>
          <w:lang w:val="en-US" w:eastAsia="fr-FR"/>
        </w:rPr>
        <w:t>ال</w:t>
      </w:r>
      <w:r>
        <w:rPr>
          <w:rFonts w:ascii="Simplified Arabic" w:eastAsia="Times New Roman" w:hAnsi="Simplified Arabic" w:cs="Simplified Arabic" w:hint="cs"/>
          <w:b/>
          <w:sz w:val="24"/>
          <w:szCs w:val="24"/>
          <w:rtl/>
          <w:lang w:val="en-US" w:eastAsia="fr-FR"/>
        </w:rPr>
        <w:t>ثانوية</w:t>
      </w:r>
      <w:r w:rsidR="00D50865">
        <w:rPr>
          <w:rFonts w:ascii="Simplified Arabic" w:eastAsia="Times New Roman" w:hAnsi="Simplified Arabic" w:cs="Simplified Arabic" w:hint="cs"/>
          <w:b/>
          <w:sz w:val="24"/>
          <w:szCs w:val="24"/>
          <w:rtl/>
          <w:lang w:val="en-US" w:eastAsia="fr-FR"/>
        </w:rPr>
        <w:t>.</w:t>
      </w:r>
      <w:r w:rsidRPr="001D5ADC">
        <w:rPr>
          <w:rFonts w:ascii="Simplified Arabic" w:eastAsia="Times New Roman" w:hAnsi="Simplified Arabic" w:cs="Simplified Arabic" w:hint="cs"/>
          <w:b/>
          <w:sz w:val="24"/>
          <w:szCs w:val="24"/>
          <w:rtl/>
          <w:lang w:val="en-US" w:eastAsia="fr-FR"/>
        </w:rPr>
        <w:t xml:space="preserve"> تم</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جمع</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كل</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الردود</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والقيام بالتحليل الاحصائي</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بنفس</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طريقة</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الجولة</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الأولى،</w:t>
      </w:r>
      <w:r w:rsidRPr="001D5ADC">
        <w:rPr>
          <w:rFonts w:ascii="Simplified Arabic" w:eastAsia="Times New Roman" w:hAnsi="Simplified Arabic" w:cs="Simplified Arabic"/>
          <w:b/>
          <w:sz w:val="24"/>
          <w:szCs w:val="24"/>
          <w:rtl/>
          <w:lang w:val="en-US" w:eastAsia="fr-FR"/>
        </w:rPr>
        <w:t xml:space="preserve"> </w:t>
      </w:r>
      <w:r w:rsidRPr="001D5ADC">
        <w:rPr>
          <w:rFonts w:ascii="Simplified Arabic" w:eastAsia="Times New Roman" w:hAnsi="Simplified Arabic" w:cs="Simplified Arabic" w:hint="cs"/>
          <w:b/>
          <w:sz w:val="24"/>
          <w:szCs w:val="24"/>
          <w:rtl/>
          <w:lang w:val="en-US" w:eastAsia="fr-FR"/>
        </w:rPr>
        <w:t xml:space="preserve">كما هو موضح في الجدول </w:t>
      </w:r>
      <w:r w:rsidR="00B8189A">
        <w:rPr>
          <w:rFonts w:ascii="Simplified Arabic" w:eastAsia="Times New Roman" w:hAnsi="Simplified Arabic" w:cs="Simplified Arabic" w:hint="cs"/>
          <w:b/>
          <w:sz w:val="24"/>
          <w:szCs w:val="24"/>
          <w:rtl/>
          <w:lang w:val="en-US" w:eastAsia="fr-FR"/>
        </w:rPr>
        <w:t>(5-2)</w:t>
      </w:r>
      <w:r w:rsidRPr="001D5ADC">
        <w:rPr>
          <w:rFonts w:ascii="Simplified Arabic" w:eastAsia="Times New Roman" w:hAnsi="Simplified Arabic" w:cs="Simplified Arabic" w:hint="cs"/>
          <w:b/>
          <w:sz w:val="24"/>
          <w:szCs w:val="24"/>
          <w:rtl/>
          <w:lang w:val="en-US" w:eastAsia="fr-FR"/>
        </w:rPr>
        <w:t>.</w:t>
      </w:r>
    </w:p>
    <w:p w:rsidR="00C121B0" w:rsidRDefault="00C121B0" w:rsidP="00F76D99">
      <w:pPr>
        <w:pStyle w:val="Tableau"/>
        <w:rPr>
          <w:rtl/>
          <w:lang w:val="en-US"/>
        </w:rPr>
      </w:pPr>
      <w:bookmarkStart w:id="623" w:name="_Toc157612992"/>
      <w:bookmarkStart w:id="624" w:name="_Toc171803656"/>
      <w:r w:rsidRPr="00DF404A">
        <w:rPr>
          <w:rtl/>
          <w:lang w:val="en-US"/>
        </w:rPr>
        <w:t xml:space="preserve">الجدول </w:t>
      </w:r>
      <w:r w:rsidR="00B8189A">
        <w:rPr>
          <w:rFonts w:eastAsia="Times New Roman" w:hint="cs"/>
          <w:rtl/>
          <w:lang w:val="en-US" w:eastAsia="fr-FR"/>
        </w:rPr>
        <w:t>(5-2)</w:t>
      </w:r>
      <w:r w:rsidRPr="00DF404A">
        <w:rPr>
          <w:rtl/>
          <w:lang w:val="en-US"/>
        </w:rPr>
        <w:t>: التحليل الإحصائي لإجابات مسح الجولة</w:t>
      </w:r>
      <w:r>
        <w:rPr>
          <w:rFonts w:hint="cs"/>
          <w:rtl/>
          <w:lang w:val="en-US"/>
        </w:rPr>
        <w:t xml:space="preserve"> الثانية</w:t>
      </w:r>
      <w:bookmarkEnd w:id="623"/>
      <w:bookmarkEnd w:id="624"/>
    </w:p>
    <w:p w:rsidR="00010DE7" w:rsidRPr="00010DE7" w:rsidRDefault="00010DE7" w:rsidP="00010DE7">
      <w:pPr>
        <w:pStyle w:val="fegure"/>
        <w:rPr>
          <w:sz w:val="8"/>
          <w:szCs w:val="24"/>
          <w:rtl/>
          <w:lang w:val="en-US" w:bidi="ar-DZ"/>
        </w:rPr>
      </w:pPr>
      <w:bookmarkStart w:id="625" w:name="_Toc171803657"/>
      <w:r>
        <w:rPr>
          <w:rFonts w:hint="cs"/>
          <w:sz w:val="8"/>
          <w:szCs w:val="24"/>
          <w:rtl/>
          <w:lang w:val="en-US"/>
        </w:rPr>
        <w:t>المصدر: (الباحث، 2022)</w:t>
      </w:r>
      <w:bookmarkEnd w:id="625"/>
    </w:p>
    <w:tbl>
      <w:tblPr>
        <w:bidiVisual/>
        <w:tblW w:w="8439" w:type="dxa"/>
        <w:jc w:val="center"/>
        <w:tblInd w:w="-20" w:type="dxa"/>
        <w:tblCellMar>
          <w:left w:w="70" w:type="dxa"/>
          <w:right w:w="70" w:type="dxa"/>
        </w:tblCellMar>
        <w:tblLook w:val="04A0" w:firstRow="1" w:lastRow="0" w:firstColumn="1" w:lastColumn="0" w:noHBand="0" w:noVBand="1"/>
      </w:tblPr>
      <w:tblGrid>
        <w:gridCol w:w="2722"/>
        <w:gridCol w:w="703"/>
        <w:gridCol w:w="737"/>
        <w:gridCol w:w="756"/>
        <w:gridCol w:w="862"/>
        <w:gridCol w:w="689"/>
        <w:gridCol w:w="760"/>
        <w:gridCol w:w="1210"/>
      </w:tblGrid>
      <w:tr w:rsidR="00C121B0" w:rsidRPr="00330FBB" w:rsidTr="00794BA6">
        <w:trPr>
          <w:trHeight w:val="628"/>
          <w:jc w:val="center"/>
        </w:trPr>
        <w:tc>
          <w:tcPr>
            <w:tcW w:w="2722"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hint="cs"/>
                <w:color w:val="000000"/>
                <w:sz w:val="24"/>
                <w:szCs w:val="24"/>
                <w:rtl/>
                <w:lang w:eastAsia="fr-FR"/>
              </w:rPr>
              <w:t>العوامل</w:t>
            </w:r>
          </w:p>
        </w:tc>
        <w:tc>
          <w:tcPr>
            <w:tcW w:w="703"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أقل</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1</w:t>
            </w:r>
            <w:r w:rsidRPr="00F55578">
              <w:rPr>
                <w:rFonts w:ascii="Simplified Arabic" w:eastAsia="Times New Roman" w:hAnsi="Simplified Arabic" w:cs="Simplified Arabic" w:hint="cs"/>
                <w:color w:val="000000"/>
                <w:sz w:val="24"/>
                <w:szCs w:val="24"/>
                <w:rtl/>
                <w:lang w:eastAsia="fr-FR"/>
              </w:rPr>
              <w:t>)</w:t>
            </w:r>
          </w:p>
        </w:tc>
        <w:tc>
          <w:tcPr>
            <w:tcW w:w="737"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متوسطة</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2</w:t>
            </w:r>
            <w:r w:rsidRPr="00F55578">
              <w:rPr>
                <w:rFonts w:ascii="Simplified Arabic" w:eastAsia="Times New Roman" w:hAnsi="Simplified Arabic" w:cs="Simplified Arabic" w:hint="cs"/>
                <w:color w:val="000000"/>
                <w:sz w:val="24"/>
                <w:szCs w:val="24"/>
                <w:rtl/>
                <w:lang w:eastAsia="fr-FR"/>
              </w:rPr>
              <w:t>)</w:t>
            </w:r>
          </w:p>
        </w:tc>
        <w:tc>
          <w:tcPr>
            <w:tcW w:w="756"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عالية</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3</w:t>
            </w:r>
            <w:r w:rsidRPr="00F55578">
              <w:rPr>
                <w:rFonts w:ascii="Simplified Arabic" w:eastAsia="Times New Roman" w:hAnsi="Simplified Arabic" w:cs="Simplified Arabic" w:hint="cs"/>
                <w:color w:val="000000"/>
                <w:sz w:val="24"/>
                <w:szCs w:val="24"/>
                <w:rtl/>
                <w:lang w:eastAsia="fr-FR"/>
              </w:rPr>
              <w:t>)</w:t>
            </w:r>
          </w:p>
        </w:tc>
        <w:tc>
          <w:tcPr>
            <w:tcW w:w="862"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عالية جدًا</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4</w:t>
            </w:r>
            <w:r w:rsidRPr="00F55578">
              <w:rPr>
                <w:rFonts w:ascii="Simplified Arabic" w:eastAsia="Times New Roman" w:hAnsi="Simplified Arabic" w:cs="Simplified Arabic" w:hint="cs"/>
                <w:color w:val="000000"/>
                <w:sz w:val="24"/>
                <w:szCs w:val="24"/>
                <w:rtl/>
                <w:lang w:eastAsia="fr-FR"/>
              </w:rPr>
              <w:t>)</w:t>
            </w: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قصوى</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5</w:t>
            </w:r>
            <w:r w:rsidRPr="00F55578">
              <w:rPr>
                <w:rFonts w:ascii="Simplified Arabic" w:eastAsia="Times New Roman" w:hAnsi="Simplified Arabic" w:cs="Simplified Arabic" w:hint="cs"/>
                <w:color w:val="000000"/>
                <w:sz w:val="24"/>
                <w:szCs w:val="24"/>
                <w:rtl/>
                <w:lang w:eastAsia="fr-FR"/>
              </w:rPr>
              <w:t>)</w:t>
            </w:r>
          </w:p>
        </w:tc>
        <w:tc>
          <w:tcPr>
            <w:tcW w:w="760"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color w:val="000000"/>
                <w:sz w:val="24"/>
                <w:szCs w:val="24"/>
                <w:rtl/>
                <w:lang w:eastAsia="fr-FR"/>
              </w:rPr>
              <w:t>عدد الخبراء</w:t>
            </w:r>
          </w:p>
        </w:tc>
        <w:tc>
          <w:tcPr>
            <w:tcW w:w="1210"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المتوسط المرجح  لقيمة الأهمية</w:t>
            </w:r>
            <w:r w:rsidRPr="00330FBB">
              <w:rPr>
                <w:rFonts w:ascii="Simplified Arabic" w:eastAsia="Times New Roman" w:hAnsi="Simplified Arabic" w:cs="Simplified Arabic" w:hint="cs"/>
                <w:color w:val="000000"/>
                <w:sz w:val="24"/>
                <w:szCs w:val="24"/>
                <w:rtl/>
                <w:lang w:eastAsia="fr-FR"/>
              </w:rPr>
              <w:t xml:space="preserve"> </w:t>
            </w:r>
            <w:r w:rsidRPr="00330FBB">
              <w:rPr>
                <w:rFonts w:asciiTheme="majorBidi" w:hAnsiTheme="majorBidi" w:cstheme="majorBidi"/>
                <w:sz w:val="24"/>
                <w:szCs w:val="24"/>
                <w:rtl/>
                <w:lang w:val="en-US"/>
              </w:rPr>
              <w:t>(</w:t>
            </w:r>
            <w:r w:rsidRPr="00330FBB">
              <w:rPr>
                <w:rFonts w:asciiTheme="majorBidi" w:hAnsiTheme="majorBidi" w:cstheme="majorBidi"/>
                <w:sz w:val="24"/>
                <w:szCs w:val="24"/>
                <w:lang w:val="en-US"/>
              </w:rPr>
              <w:t>x̅</w:t>
            </w:r>
            <w:r w:rsidRPr="00330FBB">
              <w:rPr>
                <w:rFonts w:asciiTheme="majorBidi" w:hAnsiTheme="majorBidi" w:cstheme="majorBidi"/>
                <w:sz w:val="24"/>
                <w:szCs w:val="24"/>
                <w:rtl/>
                <w:lang w:val="en-US"/>
              </w:rPr>
              <w:t>)</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lastRenderedPageBreak/>
              <w:t>كثافة البناء</w:t>
            </w:r>
          </w:p>
        </w:tc>
        <w:tc>
          <w:tcPr>
            <w:tcW w:w="703" w:type="dxa"/>
            <w:tcBorders>
              <w:top w:val="nil"/>
              <w:left w:val="single" w:sz="4" w:space="0" w:color="auto"/>
              <w:bottom w:val="single" w:sz="4" w:space="0" w:color="auto"/>
              <w:right w:val="single" w:sz="4" w:space="0" w:color="auto"/>
            </w:tcBorders>
            <w:shd w:val="clear" w:color="auto" w:fill="auto"/>
            <w:vAlign w:val="center"/>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2</w:t>
            </w:r>
          </w:p>
        </w:tc>
        <w:tc>
          <w:tcPr>
            <w:tcW w:w="756" w:type="dxa"/>
            <w:tcBorders>
              <w:top w:val="nil"/>
              <w:left w:val="single" w:sz="4" w:space="0" w:color="auto"/>
              <w:bottom w:val="single" w:sz="4" w:space="0" w:color="auto"/>
              <w:right w:val="single" w:sz="4" w:space="0" w:color="auto"/>
            </w:tcBorders>
            <w:shd w:val="clear" w:color="auto" w:fill="auto"/>
            <w:vAlign w:val="center"/>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3</w:t>
            </w:r>
          </w:p>
        </w:tc>
        <w:tc>
          <w:tcPr>
            <w:tcW w:w="862" w:type="dxa"/>
            <w:tcBorders>
              <w:top w:val="nil"/>
              <w:left w:val="single" w:sz="4" w:space="0" w:color="auto"/>
              <w:bottom w:val="single" w:sz="4" w:space="0" w:color="auto"/>
              <w:right w:val="single" w:sz="4" w:space="0" w:color="auto"/>
            </w:tcBorders>
            <w:shd w:val="clear" w:color="auto" w:fill="auto"/>
            <w:vAlign w:val="center"/>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3</w:t>
            </w:r>
          </w:p>
        </w:tc>
        <w:tc>
          <w:tcPr>
            <w:tcW w:w="689" w:type="dxa"/>
            <w:tcBorders>
              <w:top w:val="nil"/>
              <w:left w:val="single" w:sz="4" w:space="0" w:color="auto"/>
              <w:bottom w:val="single" w:sz="4" w:space="0" w:color="auto"/>
              <w:right w:val="single" w:sz="4" w:space="0" w:color="auto"/>
            </w:tcBorders>
            <w:shd w:val="clear" w:color="auto" w:fill="auto"/>
            <w:vAlign w:val="center"/>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6</w:t>
            </w:r>
          </w:p>
        </w:tc>
        <w:tc>
          <w:tcPr>
            <w:tcW w:w="760" w:type="dxa"/>
            <w:tcBorders>
              <w:top w:val="nil"/>
              <w:left w:val="single" w:sz="4" w:space="0" w:color="auto"/>
              <w:bottom w:val="single" w:sz="4" w:space="0" w:color="auto"/>
              <w:right w:val="single" w:sz="4" w:space="0" w:color="auto"/>
            </w:tcBorders>
            <w:shd w:val="clear" w:color="auto" w:fill="auto"/>
            <w:vAlign w:val="center"/>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93</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المسافة الى المرافق الصحية</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1</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2</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8</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21</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المسافة الى المرافق الامنية</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7</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14</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المسافة الى مرافق الانقاذ</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1</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9</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57</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المسافة الى المرافق التعليمية</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6</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07</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المسافة الى المساحات المفتوحة</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3</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1</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2</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5</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21</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المسافة الى المرافق الدينية/الثقافية</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3</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6</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07</w:t>
            </w:r>
          </w:p>
        </w:tc>
      </w:tr>
      <w:tr w:rsidR="002564B5"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2564B5" w:rsidRPr="00326CF1" w:rsidRDefault="00C959E4" w:rsidP="007D2D9A">
            <w:pPr>
              <w:bidi/>
              <w:spacing w:after="0" w:line="240" w:lineRule="auto"/>
              <w:rPr>
                <w:rFonts w:ascii="Simplified Arabic" w:eastAsia="Times New Roman" w:hAnsi="Simplified Arabic" w:cs="Simplified Arabic"/>
                <w:color w:val="000000"/>
                <w:sz w:val="24"/>
                <w:szCs w:val="24"/>
                <w:lang w:eastAsia="fr-FR"/>
              </w:rPr>
            </w:pPr>
            <w:r w:rsidRPr="0077622D">
              <w:rPr>
                <w:rFonts w:ascii="Simplified Arabic" w:hAnsi="Simplified Arabic" w:cs="Simplified Arabic" w:hint="cs"/>
                <w:sz w:val="24"/>
                <w:szCs w:val="24"/>
                <w:rtl/>
                <w:lang w:val="en-US"/>
              </w:rPr>
              <w:t>عمق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الشريانية</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2564B5" w:rsidRPr="00330FBB"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2564B5" w:rsidRPr="00330FBB"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2564B5" w:rsidRPr="00330FBB"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2</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2564B5" w:rsidRPr="00330FBB"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2564B5" w:rsidRPr="00330FBB"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8</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2564B5" w:rsidRPr="00B70189"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43</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المسافة الى شبكة النقل</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4</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5</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1</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0</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r>
              <w:rPr>
                <w:rFonts w:ascii="Simplified Arabic" w:eastAsia="Times New Roman" w:hAnsi="Simplified Arabic" w:cs="Simplified Arabic"/>
                <w:color w:val="000000"/>
                <w:sz w:val="24"/>
                <w:szCs w:val="24"/>
                <w:lang w:eastAsia="fr-FR"/>
              </w:rPr>
              <w:t>64</w:t>
            </w:r>
          </w:p>
        </w:tc>
      </w:tr>
      <w:tr w:rsidR="00C121B0" w:rsidRPr="00330FBB" w:rsidTr="00794BA6">
        <w:trPr>
          <w:trHeight w:val="56"/>
          <w:jc w:val="center"/>
        </w:trPr>
        <w:tc>
          <w:tcPr>
            <w:tcW w:w="272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rtl/>
                <w:lang w:eastAsia="fr-FR"/>
              </w:rPr>
              <w:t>المساحة الخضراء للفرد</w:t>
            </w:r>
          </w:p>
        </w:tc>
        <w:tc>
          <w:tcPr>
            <w:tcW w:w="703"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6</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color w:val="000000"/>
                <w:sz w:val="24"/>
                <w:szCs w:val="24"/>
                <w:lang w:eastAsia="fr-FR"/>
              </w:rPr>
              <w:t>4</w:t>
            </w:r>
          </w:p>
        </w:tc>
        <w:tc>
          <w:tcPr>
            <w:tcW w:w="756"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2</w:t>
            </w:r>
          </w:p>
        </w:tc>
        <w:tc>
          <w:tcPr>
            <w:tcW w:w="862"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1</w:t>
            </w:r>
          </w:p>
        </w:tc>
        <w:tc>
          <w:tcPr>
            <w:tcW w:w="689" w:type="dxa"/>
            <w:tcBorders>
              <w:top w:val="nil"/>
              <w:left w:val="single" w:sz="4" w:space="0" w:color="auto"/>
              <w:bottom w:val="single" w:sz="4" w:space="0" w:color="auto"/>
              <w:right w:val="single" w:sz="4" w:space="0" w:color="auto"/>
            </w:tcBorders>
            <w:shd w:val="clear" w:color="auto" w:fill="auto"/>
            <w:vAlign w:val="center"/>
            <w:hideMark/>
          </w:tcPr>
          <w:p w:rsidR="00C121B0" w:rsidRPr="00330FBB"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330FBB">
              <w:rPr>
                <w:rFonts w:ascii="Simplified Arabic" w:eastAsia="Times New Roman" w:hAnsi="Simplified Arabic" w:cs="Simplified Arabic"/>
                <w:color w:val="000000"/>
                <w:sz w:val="24"/>
                <w:szCs w:val="24"/>
                <w:lang w:eastAsia="fr-FR"/>
              </w:rPr>
              <w:t>1</w:t>
            </w:r>
          </w:p>
        </w:tc>
        <w:tc>
          <w:tcPr>
            <w:tcW w:w="760" w:type="dxa"/>
            <w:tcBorders>
              <w:top w:val="nil"/>
              <w:left w:val="single" w:sz="4" w:space="0" w:color="auto"/>
              <w:bottom w:val="single" w:sz="4" w:space="0" w:color="auto"/>
              <w:right w:val="single" w:sz="4" w:space="0" w:color="auto"/>
            </w:tcBorders>
            <w:shd w:val="clear" w:color="auto" w:fill="auto"/>
            <w:vAlign w:val="center"/>
            <w:hideMark/>
          </w:tcPr>
          <w:p w:rsidR="00C121B0" w:rsidRPr="00B70189"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B70189">
              <w:rPr>
                <w:rFonts w:ascii="Simplified Arabic" w:eastAsia="Times New Roman" w:hAnsi="Simplified Arabic" w:cs="Simplified Arabic" w:hint="cs"/>
                <w:color w:val="000000"/>
                <w:sz w:val="24"/>
                <w:szCs w:val="24"/>
                <w:rtl/>
                <w:lang w:eastAsia="fr-FR"/>
              </w:rPr>
              <w:t>14</w:t>
            </w:r>
          </w:p>
        </w:tc>
        <w:tc>
          <w:tcPr>
            <w:tcW w:w="1210"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r>
              <w:rPr>
                <w:rFonts w:ascii="Simplified Arabic" w:eastAsia="Times New Roman" w:hAnsi="Simplified Arabic" w:cs="Simplified Arabic"/>
                <w:color w:val="000000"/>
                <w:sz w:val="24"/>
                <w:szCs w:val="24"/>
                <w:lang w:eastAsia="fr-FR"/>
              </w:rPr>
              <w:t>07</w:t>
            </w:r>
          </w:p>
        </w:tc>
      </w:tr>
    </w:tbl>
    <w:p w:rsidR="007A57BA" w:rsidRDefault="00C121B0" w:rsidP="007A57BA">
      <w:pPr>
        <w:bidi/>
        <w:spacing w:before="240" w:after="0"/>
        <w:ind w:firstLine="283"/>
        <w:jc w:val="both"/>
        <w:rPr>
          <w:rFonts w:ascii="Simplified Arabic" w:eastAsia="Times New Roman" w:hAnsi="Simplified Arabic" w:cs="Simplified Arabic"/>
          <w:b/>
          <w:sz w:val="24"/>
          <w:szCs w:val="24"/>
          <w:rtl/>
          <w:lang w:val="en-US" w:eastAsia="fr-FR"/>
        </w:rPr>
      </w:pPr>
      <w:r w:rsidRPr="00ED27A7">
        <w:rPr>
          <w:rFonts w:ascii="Simplified Arabic" w:eastAsia="Times New Roman" w:hAnsi="Simplified Arabic" w:cs="Simplified Arabic" w:hint="cs"/>
          <w:b/>
          <w:sz w:val="24"/>
          <w:szCs w:val="24"/>
          <w:rtl/>
          <w:lang w:val="en-US" w:eastAsia="fr-FR"/>
        </w:rPr>
        <w:t>ركزت</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الجولة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الثالثة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على</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تقصير</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الاستبيان</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للتحكم</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في</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تناقص</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المشاركين</w:t>
      </w:r>
      <w:r>
        <w:rPr>
          <w:rFonts w:ascii="Simplified Arabic" w:eastAsia="Times New Roman" w:hAnsi="Simplified Arabic" w:cs="Simplified Arabic" w:hint="cs"/>
          <w:b/>
          <w:sz w:val="24"/>
          <w:szCs w:val="24"/>
          <w:rtl/>
          <w:lang w:val="en-US" w:eastAsia="fr-FR"/>
        </w:rPr>
        <w:t xml:space="preserve"> الذي نزل الى 12 خبير،</w:t>
      </w:r>
      <w:r w:rsidRPr="00ED27A7">
        <w:rPr>
          <w:rFonts w:ascii="Simplified Arabic" w:eastAsia="Times New Roman" w:hAnsi="Simplified Arabic" w:cs="Simplified Arabic" w:hint="cs"/>
          <w:b/>
          <w:sz w:val="24"/>
          <w:szCs w:val="24"/>
          <w:rtl/>
          <w:lang w:val="en-US" w:eastAsia="fr-FR"/>
        </w:rPr>
        <w:t xml:space="preserve"> بالتالي سوف يتقلص نطاق الاج</w:t>
      </w:r>
      <w:r>
        <w:rPr>
          <w:rFonts w:ascii="Simplified Arabic" w:eastAsia="Times New Roman" w:hAnsi="Simplified Arabic" w:cs="Simplified Arabic" w:hint="cs"/>
          <w:b/>
          <w:sz w:val="24"/>
          <w:szCs w:val="24"/>
          <w:rtl/>
          <w:lang w:val="en-US" w:eastAsia="fr-FR"/>
        </w:rPr>
        <w:t>ابات و</w:t>
      </w:r>
      <w:r w:rsidRPr="00ED27A7">
        <w:rPr>
          <w:rFonts w:ascii="Simplified Arabic" w:eastAsia="Times New Roman" w:hAnsi="Simplified Arabic" w:cs="Simplified Arabic" w:hint="cs"/>
          <w:b/>
          <w:sz w:val="24"/>
          <w:szCs w:val="24"/>
          <w:rtl/>
          <w:lang w:val="en-US" w:eastAsia="fr-FR"/>
        </w:rPr>
        <w:t>تتقارب آراء مجموعة خبراء دلفي نحو الاجابات الصحيحة</w:t>
      </w:r>
      <w:r w:rsidRPr="00ED27A7">
        <w:rPr>
          <w:rFonts w:ascii="Simplified Arabic" w:eastAsia="Times New Roman" w:hAnsi="Simplified Arabic" w:cs="Simplified Arabic"/>
          <w:b/>
          <w:sz w:val="24"/>
          <w:szCs w:val="24"/>
          <w:rtl/>
          <w:lang w:val="en-US" w:eastAsia="fr-FR"/>
        </w:rPr>
        <w:t xml:space="preserve">. </w:t>
      </w:r>
    </w:p>
    <w:p w:rsidR="00C121B0" w:rsidRDefault="00C121B0" w:rsidP="0007710C">
      <w:pPr>
        <w:bidi/>
        <w:spacing w:after="0"/>
        <w:ind w:firstLine="283"/>
        <w:jc w:val="both"/>
        <w:rPr>
          <w:rFonts w:ascii="Simplified Arabic" w:eastAsia="Times New Roman" w:hAnsi="Simplified Arabic" w:cs="Simplified Arabic"/>
          <w:b/>
          <w:sz w:val="24"/>
          <w:szCs w:val="24"/>
          <w:rtl/>
          <w:lang w:val="en-US" w:eastAsia="fr-FR"/>
        </w:rPr>
      </w:pPr>
      <w:r w:rsidRPr="00ED27A7">
        <w:rPr>
          <w:rFonts w:ascii="Simplified Arabic" w:eastAsia="Times New Roman" w:hAnsi="Simplified Arabic" w:cs="Simplified Arabic" w:hint="cs"/>
          <w:b/>
          <w:sz w:val="24"/>
          <w:szCs w:val="24"/>
          <w:rtl/>
          <w:lang w:val="en-US" w:eastAsia="fr-FR"/>
        </w:rPr>
        <w:t>في</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الجولة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الثالثة</w:t>
      </w:r>
      <w:r>
        <w:rPr>
          <w:rFonts w:ascii="Simplified Arabic" w:eastAsia="Times New Roman" w:hAnsi="Simplified Arabic" w:cs="Simplified Arabic" w:hint="cs"/>
          <w:b/>
          <w:sz w:val="24"/>
          <w:szCs w:val="24"/>
          <w:rtl/>
          <w:lang w:val="en-US" w:eastAsia="fr-FR"/>
        </w:rPr>
        <w:t>،</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طُلب</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من</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المشاركين</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إعادة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تقييم</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العوامل</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التي</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اقترحها</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الخبراء</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من</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الجولة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الأولى</w:t>
      </w:r>
      <w:r>
        <w:rPr>
          <w:rFonts w:ascii="Simplified Arabic" w:eastAsia="Times New Roman" w:hAnsi="Simplified Arabic" w:cs="Simplified Arabic" w:hint="cs"/>
          <w:b/>
          <w:sz w:val="24"/>
          <w:szCs w:val="24"/>
          <w:rtl/>
          <w:lang w:val="en-US" w:eastAsia="fr-FR"/>
        </w:rPr>
        <w:t xml:space="preserve"> والثانية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يضمن</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هذا</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الترتيب</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أن</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جميع</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العوامل</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الحضرية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قيد</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النظر</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تم</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تقييمها</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ثلاث مرات للرفع من درجة الائتمان</w:t>
      </w:r>
      <w:r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إن</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تقنية</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دلفي</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ذات</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التقييم</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المزدوج</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الم</w:t>
      </w:r>
      <w:r w:rsidR="007A57BA">
        <w:rPr>
          <w:rFonts w:ascii="Simplified Arabic" w:eastAsia="Times New Roman" w:hAnsi="Simplified Arabic" w:cs="Simplified Arabic" w:hint="cs"/>
          <w:b/>
          <w:sz w:val="24"/>
          <w:szCs w:val="24"/>
          <w:rtl/>
          <w:lang w:val="en-US" w:eastAsia="fr-FR"/>
        </w:rPr>
        <w:t>ُ</w:t>
      </w:r>
      <w:r w:rsidR="007A57BA" w:rsidRPr="00ED27A7">
        <w:rPr>
          <w:rFonts w:ascii="Simplified Arabic" w:eastAsia="Times New Roman" w:hAnsi="Simplified Arabic" w:cs="Simplified Arabic" w:hint="cs"/>
          <w:b/>
          <w:sz w:val="24"/>
          <w:szCs w:val="24"/>
          <w:rtl/>
          <w:lang w:val="en-US" w:eastAsia="fr-FR"/>
        </w:rPr>
        <w:t>ضم</w:t>
      </w:r>
      <w:r w:rsidR="007A57BA">
        <w:rPr>
          <w:rFonts w:ascii="Simplified Arabic" w:eastAsia="Times New Roman" w:hAnsi="Simplified Arabic" w:cs="Simplified Arabic" w:hint="cs"/>
          <w:b/>
          <w:sz w:val="24"/>
          <w:szCs w:val="24"/>
          <w:rtl/>
          <w:lang w:val="en-US" w:eastAsia="fr-FR"/>
        </w:rPr>
        <w:t>ّ</w:t>
      </w:r>
      <w:r w:rsidR="007A57BA" w:rsidRPr="00ED27A7">
        <w:rPr>
          <w:rFonts w:ascii="Simplified Arabic" w:eastAsia="Times New Roman" w:hAnsi="Simplified Arabic" w:cs="Simplified Arabic" w:hint="cs"/>
          <w:b/>
          <w:sz w:val="24"/>
          <w:szCs w:val="24"/>
          <w:rtl/>
          <w:lang w:val="en-US" w:eastAsia="fr-FR"/>
        </w:rPr>
        <w:t>نة،</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هي كذلك</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كافية</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لتحديد</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إجماع</w:t>
      </w:r>
      <w:r w:rsidR="007A57BA" w:rsidRPr="00ED27A7">
        <w:rPr>
          <w:rFonts w:ascii="Simplified Arabic" w:eastAsia="Times New Roman" w:hAnsi="Simplified Arabic" w:cs="Simplified Arabic"/>
          <w:b/>
          <w:sz w:val="24"/>
          <w:szCs w:val="24"/>
          <w:rtl/>
          <w:lang w:val="en-US" w:eastAsia="fr-FR"/>
        </w:rPr>
        <w:t xml:space="preserve"> </w:t>
      </w:r>
      <w:r w:rsidR="007A57BA" w:rsidRPr="00ED27A7">
        <w:rPr>
          <w:rFonts w:ascii="Simplified Arabic" w:eastAsia="Times New Roman" w:hAnsi="Simplified Arabic" w:cs="Simplified Arabic" w:hint="cs"/>
          <w:b/>
          <w:sz w:val="24"/>
          <w:szCs w:val="24"/>
          <w:rtl/>
          <w:lang w:val="en-US" w:eastAsia="fr-FR"/>
        </w:rPr>
        <w:t>مجموعة</w:t>
      </w:r>
      <w:r w:rsidR="007A57BA">
        <w:rPr>
          <w:rFonts w:ascii="Simplified Arabic" w:eastAsia="Times New Roman" w:hAnsi="Simplified Arabic" w:cs="Simplified Arabic"/>
          <w:b/>
          <w:sz w:val="24"/>
          <w:szCs w:val="24"/>
          <w:lang w:val="en-US" w:eastAsia="fr-FR"/>
        </w:rPr>
        <w:t xml:space="preserve"> </w:t>
      </w:r>
      <w:r w:rsidR="007A57BA" w:rsidRPr="00ED27A7">
        <w:rPr>
          <w:rFonts w:ascii="Simplified Arabic" w:eastAsia="Times New Roman" w:hAnsi="Simplified Arabic" w:cs="Simplified Arabic" w:hint="cs"/>
          <w:b/>
          <w:sz w:val="24"/>
          <w:szCs w:val="24"/>
          <w:rtl/>
          <w:lang w:val="en-US" w:eastAsia="fr-FR"/>
        </w:rPr>
        <w:t>خبراء دلفي</w:t>
      </w:r>
      <w:r w:rsidR="007A57BA">
        <w:rPr>
          <w:rFonts w:ascii="Simplified Arabic" w:eastAsia="Times New Roman" w:hAnsi="Simplified Arabic" w:cs="Simplified Arabic" w:hint="cs"/>
          <w:b/>
          <w:sz w:val="24"/>
          <w:szCs w:val="24"/>
          <w:rtl/>
          <w:lang w:val="en-US" w:eastAsia="fr-FR"/>
        </w:rPr>
        <w:t xml:space="preserve"> </w:t>
      </w:r>
      <w:r w:rsidR="007A57BA" w:rsidRPr="007352BF">
        <w:rPr>
          <w:rFonts w:asciiTheme="majorBidi" w:hAnsiTheme="majorBidi" w:cstheme="majorBidi"/>
          <w:sz w:val="24"/>
          <w:szCs w:val="24"/>
          <w:lang w:val="en-US"/>
        </w:rPr>
        <w:t>(</w:t>
      </w:r>
      <w:r w:rsidR="007A57BA" w:rsidRPr="005B0947">
        <w:rPr>
          <w:rFonts w:asciiTheme="majorBidi" w:hAnsiTheme="majorBidi" w:cstheme="majorBidi"/>
          <w:sz w:val="24"/>
          <w:szCs w:val="24"/>
          <w:lang w:val="en-US"/>
        </w:rPr>
        <w:t>Bryant</w:t>
      </w:r>
      <w:r w:rsidR="007A57BA" w:rsidRPr="007352BF">
        <w:rPr>
          <w:rFonts w:asciiTheme="majorBidi" w:hAnsiTheme="majorBidi" w:cstheme="majorBidi"/>
          <w:sz w:val="24"/>
          <w:szCs w:val="24"/>
          <w:lang w:val="en-US"/>
        </w:rPr>
        <w:t xml:space="preserve"> and</w:t>
      </w:r>
      <w:r w:rsidR="007A57BA" w:rsidRPr="005A6BD5">
        <w:rPr>
          <w:rFonts w:asciiTheme="majorBidi" w:hAnsiTheme="majorBidi" w:cstheme="majorBidi"/>
          <w:sz w:val="24"/>
          <w:szCs w:val="24"/>
          <w:lang w:val="en-US"/>
        </w:rPr>
        <w:t xml:space="preserve"> Abkowitz</w:t>
      </w:r>
      <w:r w:rsidR="007A57BA">
        <w:rPr>
          <w:rFonts w:asciiTheme="majorBidi" w:hAnsiTheme="majorBidi" w:cstheme="majorBidi"/>
          <w:sz w:val="24"/>
          <w:szCs w:val="24"/>
        </w:rPr>
        <w:t>,</w:t>
      </w:r>
      <w:r w:rsidR="007A57BA" w:rsidRPr="005A6BD5">
        <w:rPr>
          <w:rFonts w:asciiTheme="majorBidi" w:hAnsiTheme="majorBidi" w:cstheme="majorBidi"/>
          <w:sz w:val="24"/>
          <w:szCs w:val="24"/>
          <w:lang w:val="en-US"/>
        </w:rPr>
        <w:t xml:space="preserve"> </w:t>
      </w:r>
      <w:r w:rsidR="007A57BA" w:rsidRPr="007352BF">
        <w:rPr>
          <w:rFonts w:asciiTheme="majorBidi" w:hAnsiTheme="majorBidi" w:cstheme="majorBidi"/>
          <w:sz w:val="24"/>
          <w:szCs w:val="24"/>
          <w:lang w:val="en-US"/>
        </w:rPr>
        <w:t>2007)</w:t>
      </w:r>
      <w:r w:rsidR="007A57BA">
        <w:rPr>
          <w:rFonts w:asciiTheme="majorBidi" w:hAnsiTheme="majorBidi" w:cstheme="majorBidi" w:hint="cs"/>
          <w:sz w:val="24"/>
          <w:szCs w:val="24"/>
          <w:rtl/>
          <w:lang w:val="en-US"/>
        </w:rPr>
        <w:t>.</w:t>
      </w:r>
      <w:r w:rsidR="0007710C">
        <w:rPr>
          <w:rFonts w:asciiTheme="majorBidi" w:hAnsiTheme="majorBidi" w:cstheme="majorBidi" w:hint="cs"/>
          <w:sz w:val="24"/>
          <w:szCs w:val="24"/>
          <w:rtl/>
          <w:lang w:val="en-US"/>
        </w:rPr>
        <w:t xml:space="preserve">  </w:t>
      </w:r>
      <w:r w:rsidRPr="00647B14">
        <w:rPr>
          <w:rFonts w:ascii="Simplified Arabic" w:eastAsia="Times New Roman" w:hAnsi="Simplified Arabic" w:cs="Simplified Arabic" w:hint="cs"/>
          <w:b/>
          <w:sz w:val="24"/>
          <w:szCs w:val="24"/>
          <w:rtl/>
          <w:lang w:val="en-US" w:eastAsia="fr-FR"/>
        </w:rPr>
        <w:t>يتم</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استخدام</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العوامل</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ذات</w:t>
      </w:r>
      <w:r w:rsidRPr="00647B14">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القيمة</w:t>
      </w:r>
      <w:r w:rsidRPr="00373156">
        <w:rPr>
          <w:rFonts w:ascii="Simplified Arabic" w:eastAsia="Times New Roman" w:hAnsi="Simplified Arabic" w:cs="Simplified Arabic"/>
          <w:b/>
          <w:sz w:val="24"/>
          <w:szCs w:val="24"/>
          <w:rtl/>
          <w:lang w:val="en-US" w:eastAsia="fr-FR"/>
        </w:rPr>
        <w:t xml:space="preserve"> </w:t>
      </w:r>
      <w:r w:rsidRPr="00373156">
        <w:rPr>
          <w:rFonts w:ascii="Simplified Arabic" w:eastAsia="Times New Roman" w:hAnsi="Simplified Arabic" w:cs="Simplified Arabic" w:hint="cs"/>
          <w:b/>
          <w:sz w:val="24"/>
          <w:szCs w:val="24"/>
          <w:rtl/>
          <w:lang w:val="en-US" w:eastAsia="fr-FR"/>
        </w:rPr>
        <w:t>المتوسطة</w:t>
      </w:r>
      <w:r w:rsidRPr="00373156">
        <w:rPr>
          <w:rFonts w:asciiTheme="minorBidi" w:hAnsiTheme="minorBidi" w:cs="Arial"/>
          <w:sz w:val="28"/>
          <w:szCs w:val="28"/>
          <w:rtl/>
          <w:lang w:val="en-US"/>
        </w:rPr>
        <w:t xml:space="preserve"> </w:t>
      </w:r>
      <w:r w:rsidRPr="00373156">
        <w:rPr>
          <w:rFonts w:asciiTheme="majorBidi" w:hAnsiTheme="majorBidi" w:cstheme="majorBidi"/>
          <w:sz w:val="24"/>
          <w:szCs w:val="24"/>
          <w:rtl/>
          <w:lang w:val="en-US"/>
        </w:rPr>
        <w:t>(</w:t>
      </w:r>
      <w:r w:rsidRPr="00373156">
        <w:rPr>
          <w:rFonts w:asciiTheme="majorBidi" w:hAnsiTheme="majorBidi" w:cstheme="majorBidi"/>
          <w:sz w:val="24"/>
          <w:szCs w:val="24"/>
          <w:lang w:val="en-US"/>
        </w:rPr>
        <w:t>x̅</w:t>
      </w:r>
      <w:r w:rsidRPr="00373156">
        <w:rPr>
          <w:rFonts w:asciiTheme="majorBidi" w:hAnsiTheme="majorBidi" w:cstheme="majorBidi"/>
          <w:sz w:val="24"/>
          <w:szCs w:val="24"/>
          <w:rtl/>
          <w:lang w:val="en-US"/>
        </w:rPr>
        <w:t>)</w:t>
      </w:r>
      <w:r w:rsidRPr="00373156">
        <w:rPr>
          <w:rFonts w:asciiTheme="minorBidi" w:hAnsiTheme="minorBidi" w:cs="Arial"/>
          <w:sz w:val="28"/>
          <w:szCs w:val="28"/>
          <w:rtl/>
          <w:lang w:val="en-US"/>
        </w:rPr>
        <w:t xml:space="preserve"> </w:t>
      </w:r>
      <w:r w:rsidRPr="00647B14">
        <w:rPr>
          <w:rFonts w:ascii="Simplified Arabic" w:eastAsia="Times New Roman" w:hAnsi="Simplified Arabic" w:cs="Simplified Arabic" w:hint="cs"/>
          <w:b/>
          <w:sz w:val="24"/>
          <w:szCs w:val="24"/>
          <w:rtl/>
          <w:lang w:val="en-US" w:eastAsia="fr-FR"/>
        </w:rPr>
        <w:t>أعلى</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من</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3</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في</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التحليل</w:t>
      </w:r>
      <w:r w:rsidRPr="00647B14">
        <w:rPr>
          <w:rFonts w:ascii="Simplified Arabic" w:eastAsia="Times New Roman" w:hAnsi="Simplified Arabic" w:cs="Simplified Arabic"/>
          <w:b/>
          <w:sz w:val="24"/>
          <w:szCs w:val="24"/>
          <w:rtl/>
          <w:lang w:val="en-US" w:eastAsia="fr-FR"/>
        </w:rPr>
        <w:t xml:space="preserve"> </w:t>
      </w:r>
      <w:r w:rsidRPr="00647B14">
        <w:rPr>
          <w:rFonts w:ascii="Simplified Arabic" w:eastAsia="Times New Roman" w:hAnsi="Simplified Arabic" w:cs="Simplified Arabic" w:hint="cs"/>
          <w:b/>
          <w:sz w:val="24"/>
          <w:szCs w:val="24"/>
          <w:rtl/>
          <w:lang w:val="en-US" w:eastAsia="fr-FR"/>
        </w:rPr>
        <w:t>النهائي</w:t>
      </w:r>
      <w:r>
        <w:rPr>
          <w:rFonts w:ascii="Simplified Arabic" w:eastAsia="Times New Roman" w:hAnsi="Simplified Arabic" w:cs="Simplified Arabic" w:hint="cs"/>
          <w:b/>
          <w:sz w:val="24"/>
          <w:szCs w:val="24"/>
          <w:rtl/>
          <w:lang w:val="en-US" w:eastAsia="fr-FR"/>
        </w:rPr>
        <w:t>،</w:t>
      </w:r>
      <w:r w:rsidRPr="009F791E">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كما هو موضح في الجدول </w:t>
      </w:r>
      <w:r w:rsidR="00B8189A">
        <w:rPr>
          <w:rFonts w:ascii="Simplified Arabic" w:eastAsia="Times New Roman" w:hAnsi="Simplified Arabic" w:cs="Simplified Arabic" w:hint="cs"/>
          <w:b/>
          <w:sz w:val="24"/>
          <w:szCs w:val="24"/>
          <w:rtl/>
          <w:lang w:val="en-US" w:eastAsia="fr-FR"/>
        </w:rPr>
        <w:t>(5-</w:t>
      </w:r>
      <w:r w:rsidR="00ED0B51">
        <w:rPr>
          <w:rFonts w:ascii="Simplified Arabic" w:eastAsia="Times New Roman" w:hAnsi="Simplified Arabic" w:cs="Simplified Arabic" w:hint="cs"/>
          <w:b/>
          <w:sz w:val="24"/>
          <w:szCs w:val="24"/>
          <w:rtl/>
          <w:lang w:val="en-US" w:eastAsia="fr-FR"/>
        </w:rPr>
        <w:t>3</w:t>
      </w:r>
      <w:r w:rsidR="00B8189A">
        <w:rPr>
          <w:rFonts w:ascii="Simplified Arabic" w:eastAsia="Times New Roman" w:hAnsi="Simplified Arabic" w:cs="Simplified Arabic" w:hint="cs"/>
          <w:b/>
          <w:sz w:val="24"/>
          <w:szCs w:val="24"/>
          <w:rtl/>
          <w:lang w:val="en-US" w:eastAsia="fr-FR"/>
        </w:rPr>
        <w:t>)</w:t>
      </w:r>
      <w:r>
        <w:rPr>
          <w:rFonts w:ascii="Simplified Arabic" w:eastAsia="Times New Roman" w:hAnsi="Simplified Arabic" w:cs="Simplified Arabic" w:hint="cs"/>
          <w:b/>
          <w:sz w:val="24"/>
          <w:szCs w:val="24"/>
          <w:rtl/>
          <w:lang w:val="en-US" w:eastAsia="fr-FR"/>
        </w:rPr>
        <w:t>.</w:t>
      </w:r>
    </w:p>
    <w:p w:rsidR="00C121B0" w:rsidRDefault="00C121B0" w:rsidP="0007710C">
      <w:pPr>
        <w:pStyle w:val="Tableau"/>
        <w:rPr>
          <w:rtl/>
          <w:lang w:val="en-US"/>
        </w:rPr>
      </w:pPr>
      <w:bookmarkStart w:id="626" w:name="_Toc157612993"/>
      <w:bookmarkStart w:id="627" w:name="_Toc171803658"/>
      <w:r w:rsidRPr="00DF404A">
        <w:rPr>
          <w:rtl/>
          <w:lang w:val="en-US"/>
        </w:rPr>
        <w:t xml:space="preserve">الجدول </w:t>
      </w:r>
      <w:r w:rsidR="00B8189A">
        <w:rPr>
          <w:rFonts w:eastAsia="Times New Roman" w:hint="cs"/>
          <w:rtl/>
          <w:lang w:val="en-US" w:eastAsia="fr-FR"/>
        </w:rPr>
        <w:t>(5-</w:t>
      </w:r>
      <w:r w:rsidR="00ED0B51">
        <w:rPr>
          <w:rFonts w:eastAsia="Times New Roman" w:hint="cs"/>
          <w:rtl/>
          <w:lang w:val="en-US" w:eastAsia="fr-FR"/>
        </w:rPr>
        <w:t>3</w:t>
      </w:r>
      <w:r w:rsidR="00B8189A">
        <w:rPr>
          <w:rFonts w:eastAsia="Times New Roman" w:hint="cs"/>
          <w:rtl/>
          <w:lang w:val="en-US" w:eastAsia="fr-FR"/>
        </w:rPr>
        <w:t>)</w:t>
      </w:r>
      <w:r w:rsidRPr="00DF404A">
        <w:rPr>
          <w:rtl/>
          <w:lang w:val="en-US"/>
        </w:rPr>
        <w:t>: التحليل الإحصائي لإجابات مسح الجولة</w:t>
      </w:r>
      <w:r>
        <w:rPr>
          <w:rFonts w:hint="cs"/>
          <w:rtl/>
          <w:lang w:val="en-US"/>
        </w:rPr>
        <w:t xml:space="preserve"> الثالثة والاخيرة</w:t>
      </w:r>
      <w:bookmarkEnd w:id="626"/>
      <w:bookmarkEnd w:id="627"/>
    </w:p>
    <w:p w:rsidR="00010DE7" w:rsidRPr="00010DE7" w:rsidRDefault="00010DE7" w:rsidP="00010DE7">
      <w:pPr>
        <w:pStyle w:val="fegure"/>
        <w:rPr>
          <w:sz w:val="8"/>
          <w:szCs w:val="24"/>
          <w:rtl/>
          <w:lang w:val="en-US" w:bidi="ar-DZ"/>
        </w:rPr>
      </w:pPr>
      <w:bookmarkStart w:id="628" w:name="_Toc171803659"/>
      <w:r>
        <w:rPr>
          <w:rFonts w:hint="cs"/>
          <w:sz w:val="8"/>
          <w:szCs w:val="24"/>
          <w:rtl/>
          <w:lang w:val="en-US"/>
        </w:rPr>
        <w:t>المصدر: (الباحث، 2022)</w:t>
      </w:r>
      <w:bookmarkEnd w:id="628"/>
    </w:p>
    <w:tbl>
      <w:tblPr>
        <w:bidiVisual/>
        <w:tblW w:w="8505" w:type="dxa"/>
        <w:tblInd w:w="352" w:type="dxa"/>
        <w:tblCellMar>
          <w:left w:w="70" w:type="dxa"/>
          <w:right w:w="70" w:type="dxa"/>
        </w:tblCellMar>
        <w:tblLook w:val="04A0" w:firstRow="1" w:lastRow="0" w:firstColumn="1" w:lastColumn="0" w:noHBand="0" w:noVBand="1"/>
      </w:tblPr>
      <w:tblGrid>
        <w:gridCol w:w="2693"/>
        <w:gridCol w:w="709"/>
        <w:gridCol w:w="737"/>
        <w:gridCol w:w="798"/>
        <w:gridCol w:w="876"/>
        <w:gridCol w:w="699"/>
        <w:gridCol w:w="9"/>
        <w:gridCol w:w="690"/>
        <w:gridCol w:w="1294"/>
      </w:tblGrid>
      <w:tr w:rsidR="00C121B0" w:rsidRPr="00F55578" w:rsidTr="00794BA6">
        <w:trPr>
          <w:trHeight w:val="287"/>
        </w:trPr>
        <w:tc>
          <w:tcPr>
            <w:tcW w:w="2693"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eastAsia="Times New Roman" w:hAnsi="Simplified Arabic" w:cs="Simplified Arabic" w:hint="cs"/>
                <w:color w:val="000000"/>
                <w:sz w:val="24"/>
                <w:szCs w:val="24"/>
                <w:rtl/>
                <w:lang w:eastAsia="fr-FR"/>
              </w:rPr>
              <w:t>العوامل</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أقل</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1</w:t>
            </w:r>
            <w:r w:rsidRPr="00F55578">
              <w:rPr>
                <w:rFonts w:ascii="Simplified Arabic" w:eastAsia="Times New Roman" w:hAnsi="Simplified Arabic" w:cs="Simplified Arabic" w:hint="cs"/>
                <w:color w:val="000000"/>
                <w:sz w:val="24"/>
                <w:szCs w:val="24"/>
                <w:rtl/>
                <w:lang w:eastAsia="fr-FR"/>
              </w:rPr>
              <w:t>)</w:t>
            </w:r>
          </w:p>
        </w:tc>
        <w:tc>
          <w:tcPr>
            <w:tcW w:w="73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متوسطة</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2</w:t>
            </w:r>
            <w:r w:rsidRPr="00F55578">
              <w:rPr>
                <w:rFonts w:ascii="Simplified Arabic" w:eastAsia="Times New Roman" w:hAnsi="Simplified Arabic" w:cs="Simplified Arabic" w:hint="cs"/>
                <w:color w:val="000000"/>
                <w:sz w:val="24"/>
                <w:szCs w:val="24"/>
                <w:rtl/>
                <w:lang w:eastAsia="fr-FR"/>
              </w:rPr>
              <w:t>)</w:t>
            </w:r>
          </w:p>
        </w:tc>
        <w:tc>
          <w:tcPr>
            <w:tcW w:w="7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عالية</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3</w:t>
            </w:r>
            <w:r w:rsidRPr="00F55578">
              <w:rPr>
                <w:rFonts w:ascii="Simplified Arabic" w:eastAsia="Times New Roman" w:hAnsi="Simplified Arabic" w:cs="Simplified Arabic" w:hint="cs"/>
                <w:color w:val="000000"/>
                <w:sz w:val="24"/>
                <w:szCs w:val="24"/>
                <w:rtl/>
                <w:lang w:eastAsia="fr-FR"/>
              </w:rPr>
              <w:t>)</w:t>
            </w:r>
          </w:p>
        </w:tc>
        <w:tc>
          <w:tcPr>
            <w:tcW w:w="8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عالية جدًا</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4</w:t>
            </w:r>
            <w:r w:rsidRPr="00F55578">
              <w:rPr>
                <w:rFonts w:ascii="Simplified Arabic" w:eastAsia="Times New Roman" w:hAnsi="Simplified Arabic" w:cs="Simplified Arabic" w:hint="cs"/>
                <w:color w:val="000000"/>
                <w:sz w:val="24"/>
                <w:szCs w:val="24"/>
                <w:rtl/>
                <w:lang w:eastAsia="fr-FR"/>
              </w:rPr>
              <w:t>)</w:t>
            </w:r>
          </w:p>
        </w:tc>
        <w:tc>
          <w:tcPr>
            <w:tcW w:w="70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اهمية قصوى</w:t>
            </w:r>
          </w:p>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hint="cs"/>
                <w:color w:val="000000"/>
                <w:sz w:val="24"/>
                <w:szCs w:val="24"/>
                <w:rtl/>
                <w:lang w:eastAsia="fr-FR"/>
              </w:rPr>
              <w:t>(</w:t>
            </w:r>
            <w:r w:rsidRPr="00F55578">
              <w:rPr>
                <w:rFonts w:ascii="Simplified Arabic" w:eastAsia="Times New Roman" w:hAnsi="Simplified Arabic" w:cs="Simplified Arabic"/>
                <w:color w:val="000000"/>
                <w:sz w:val="24"/>
                <w:szCs w:val="24"/>
                <w:rtl/>
                <w:lang w:eastAsia="fr-FR"/>
              </w:rPr>
              <w:t>5</w:t>
            </w:r>
            <w:r w:rsidRPr="00F55578">
              <w:rPr>
                <w:rFonts w:ascii="Simplified Arabic" w:eastAsia="Times New Roman" w:hAnsi="Simplified Arabic" w:cs="Simplified Arabic" w:hint="cs"/>
                <w:color w:val="000000"/>
                <w:sz w:val="24"/>
                <w:szCs w:val="24"/>
                <w:rtl/>
                <w:lang w:eastAsia="fr-FR"/>
              </w:rPr>
              <w:t>)</w:t>
            </w:r>
          </w:p>
        </w:tc>
        <w:tc>
          <w:tcPr>
            <w:tcW w:w="690"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عدد الخبراء</w:t>
            </w:r>
          </w:p>
        </w:tc>
        <w:tc>
          <w:tcPr>
            <w:tcW w:w="1294"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C121B0" w:rsidRPr="00537EA6"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537EA6">
              <w:rPr>
                <w:rFonts w:ascii="Simplified Arabic" w:eastAsia="Times New Roman" w:hAnsi="Simplified Arabic" w:cs="Simplified Arabic"/>
                <w:color w:val="000000"/>
                <w:sz w:val="24"/>
                <w:szCs w:val="24"/>
                <w:rtl/>
                <w:lang w:eastAsia="fr-FR"/>
              </w:rPr>
              <w:t>المتوسط المرجح  لقيمة الأهمية</w:t>
            </w:r>
            <w:r w:rsidRPr="00330FBB">
              <w:rPr>
                <w:rFonts w:ascii="Simplified Arabic" w:eastAsia="Times New Roman" w:hAnsi="Simplified Arabic" w:cs="Simplified Arabic" w:hint="cs"/>
                <w:color w:val="000000"/>
                <w:sz w:val="24"/>
                <w:szCs w:val="24"/>
                <w:rtl/>
                <w:lang w:eastAsia="fr-FR"/>
              </w:rPr>
              <w:t xml:space="preserve"> </w:t>
            </w:r>
            <w:r w:rsidRPr="00330FBB">
              <w:rPr>
                <w:rFonts w:asciiTheme="majorBidi" w:hAnsiTheme="majorBidi" w:cstheme="majorBidi"/>
                <w:sz w:val="24"/>
                <w:szCs w:val="24"/>
                <w:rtl/>
                <w:lang w:val="en-US"/>
              </w:rPr>
              <w:t>(</w:t>
            </w:r>
            <w:r w:rsidRPr="00330FBB">
              <w:rPr>
                <w:rFonts w:asciiTheme="majorBidi" w:hAnsiTheme="majorBidi" w:cstheme="majorBidi"/>
                <w:sz w:val="24"/>
                <w:szCs w:val="24"/>
                <w:lang w:val="en-US"/>
              </w:rPr>
              <w:t>x̅</w:t>
            </w:r>
            <w:r w:rsidRPr="00330FBB">
              <w:rPr>
                <w:rFonts w:asciiTheme="majorBidi" w:hAnsiTheme="majorBidi" w:cstheme="majorBidi"/>
                <w:sz w:val="24"/>
                <w:szCs w:val="24"/>
                <w:rtl/>
                <w:lang w:val="en-US"/>
              </w:rPr>
              <w:t>)</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كثافة البناء</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2</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8</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4,50</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الصحية</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10</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4,83</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الامنية</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8</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4,50</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مرافق الانقاذ</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10</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4,75</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التعليمية</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8</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4,67</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المساحات المفتوحة</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2,75</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الدينية/الثقافية</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8</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4,58</w:t>
            </w:r>
          </w:p>
        </w:tc>
      </w:tr>
      <w:tr w:rsidR="002564B5"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2564B5" w:rsidRPr="00326CF1" w:rsidRDefault="00C959E4" w:rsidP="007D2D9A">
            <w:pPr>
              <w:bidi/>
              <w:spacing w:after="0" w:line="240" w:lineRule="auto"/>
              <w:rPr>
                <w:rFonts w:ascii="Simplified Arabic" w:eastAsia="Times New Roman" w:hAnsi="Simplified Arabic" w:cs="Simplified Arabic"/>
                <w:color w:val="000000"/>
                <w:sz w:val="24"/>
                <w:szCs w:val="24"/>
                <w:lang w:eastAsia="fr-FR"/>
              </w:rPr>
            </w:pPr>
            <w:r w:rsidRPr="0077622D">
              <w:rPr>
                <w:rFonts w:ascii="Simplified Arabic" w:hAnsi="Simplified Arabic" w:cs="Simplified Arabic" w:hint="cs"/>
                <w:sz w:val="24"/>
                <w:szCs w:val="24"/>
                <w:rtl/>
                <w:lang w:val="en-US"/>
              </w:rPr>
              <w:t>عمق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الشريانية</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9</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2564B5" w:rsidRPr="00F55578" w:rsidRDefault="002564B5"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4,67</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شبكة النقل</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5</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2,08</w:t>
            </w:r>
          </w:p>
        </w:tc>
      </w:tr>
      <w:tr w:rsidR="00C121B0" w:rsidRPr="00F55578" w:rsidTr="00794BA6">
        <w:trPr>
          <w:trHeight w:val="56"/>
        </w:trPr>
        <w:tc>
          <w:tcPr>
            <w:tcW w:w="2693"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المساحة الخضراء للفرد</w:t>
            </w:r>
          </w:p>
        </w:tc>
        <w:tc>
          <w:tcPr>
            <w:tcW w:w="70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7</w:t>
            </w:r>
          </w:p>
        </w:tc>
        <w:tc>
          <w:tcPr>
            <w:tcW w:w="737"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w:t>
            </w:r>
          </w:p>
        </w:tc>
        <w:tc>
          <w:tcPr>
            <w:tcW w:w="798"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1</w:t>
            </w:r>
          </w:p>
        </w:tc>
        <w:tc>
          <w:tcPr>
            <w:tcW w:w="876"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p>
        </w:tc>
        <w:tc>
          <w:tcPr>
            <w:tcW w:w="699"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0</w:t>
            </w:r>
          </w:p>
        </w:tc>
        <w:tc>
          <w:tcPr>
            <w:tcW w:w="699" w:type="dxa"/>
            <w:gridSpan w:val="2"/>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12</w:t>
            </w:r>
          </w:p>
        </w:tc>
        <w:tc>
          <w:tcPr>
            <w:tcW w:w="1294" w:type="dxa"/>
            <w:tcBorders>
              <w:top w:val="nil"/>
              <w:left w:val="single" w:sz="4" w:space="0" w:color="auto"/>
              <w:bottom w:val="single" w:sz="4" w:space="0" w:color="auto"/>
              <w:right w:val="single" w:sz="4" w:space="0" w:color="auto"/>
            </w:tcBorders>
            <w:shd w:val="clear" w:color="auto" w:fill="auto"/>
            <w:vAlign w:val="center"/>
            <w:hideMark/>
          </w:tcPr>
          <w:p w:rsidR="00C121B0" w:rsidRPr="00F55578" w:rsidRDefault="00C121B0" w:rsidP="00794BA6">
            <w:pPr>
              <w:spacing w:after="0" w:line="240" w:lineRule="auto"/>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2,00</w:t>
            </w:r>
          </w:p>
        </w:tc>
      </w:tr>
    </w:tbl>
    <w:p w:rsidR="00C121B0" w:rsidRPr="00045FDB" w:rsidRDefault="00C121B0" w:rsidP="001D0548">
      <w:pPr>
        <w:pStyle w:val="Paragraphedeliste"/>
        <w:numPr>
          <w:ilvl w:val="3"/>
          <w:numId w:val="155"/>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629" w:name="_Toc171803660"/>
      <w:r w:rsidRPr="00045FDB">
        <w:rPr>
          <w:rFonts w:ascii="Simplified Arabic" w:hAnsi="Simplified Arabic" w:cs="Simplified Arabic" w:hint="cs"/>
          <w:b/>
          <w:bCs/>
          <w:sz w:val="24"/>
          <w:szCs w:val="24"/>
          <w:rtl/>
          <w:lang w:val="en-US"/>
        </w:rPr>
        <w:lastRenderedPageBreak/>
        <w:t>المشاركون</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في</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مسح</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دلفي</w:t>
      </w:r>
      <w:bookmarkEnd w:id="629"/>
    </w:p>
    <w:p w:rsidR="00C121B0" w:rsidRDefault="00C121B0" w:rsidP="00C121B0">
      <w:pPr>
        <w:bidi/>
        <w:spacing w:after="0"/>
        <w:ind w:firstLine="282"/>
        <w:jc w:val="both"/>
        <w:rPr>
          <w:rFonts w:ascii="Simplified Arabic" w:eastAsia="Times New Roman" w:hAnsi="Simplified Arabic" w:cs="Simplified Arabic"/>
          <w:b/>
          <w:sz w:val="24"/>
          <w:szCs w:val="24"/>
          <w:rtl/>
          <w:lang w:val="en-US" w:eastAsia="fr-FR"/>
        </w:rPr>
      </w:pPr>
      <w:r w:rsidRPr="005B0947">
        <w:rPr>
          <w:rFonts w:ascii="Simplified Arabic" w:eastAsia="Times New Roman" w:hAnsi="Simplified Arabic" w:cs="Simplified Arabic" w:hint="cs"/>
          <w:b/>
          <w:sz w:val="24"/>
          <w:szCs w:val="24"/>
          <w:rtl/>
          <w:lang w:val="en-US" w:eastAsia="fr-FR"/>
        </w:rPr>
        <w:t>استخدمت</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عدة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دراسات</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سابقة في تقييمات</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المرونة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والنمذجة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المستندة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إلى</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نموذج</w:t>
      </w:r>
      <w:r w:rsidRPr="005B0947">
        <w:rPr>
          <w:rFonts w:ascii="Arial" w:hAnsi="Arial"/>
          <w:sz w:val="24"/>
          <w:szCs w:val="24"/>
          <w:rtl/>
          <w:lang w:bidi="ar-DZ"/>
        </w:rPr>
        <w:t xml:space="preserve"> </w:t>
      </w:r>
      <w:r w:rsidRPr="005B0947">
        <w:rPr>
          <w:rFonts w:ascii="Simplified Arabic" w:eastAsia="Times New Roman" w:hAnsi="Simplified Arabic" w:cs="Simplified Arabic" w:hint="cs"/>
          <w:b/>
          <w:sz w:val="24"/>
          <w:szCs w:val="24"/>
          <w:rtl/>
          <w:lang w:val="en-US" w:eastAsia="fr-FR"/>
        </w:rPr>
        <w:t>(</w:t>
      </w:r>
      <w:r w:rsidRPr="005B0947">
        <w:rPr>
          <w:rFonts w:ascii="Times New Roman" w:eastAsia="Times New Roman" w:hAnsi="Times New Roman" w:cs="Times New Roman"/>
          <w:bCs/>
          <w:color w:val="000000"/>
          <w:sz w:val="24"/>
          <w:szCs w:val="24"/>
          <w:lang w:eastAsia="fr-FR"/>
        </w:rPr>
        <w:t>AHP</w:t>
      </w:r>
      <w:r w:rsidRPr="005B0947">
        <w:rPr>
          <w:rFonts w:ascii="Simplified Arabic" w:eastAsia="Times New Roman" w:hAnsi="Simplified Arabic" w:cs="Simplified Arabic" w:hint="cs"/>
          <w:b/>
          <w:sz w:val="24"/>
          <w:szCs w:val="24"/>
          <w:rtl/>
          <w:lang w:val="en-US" w:eastAsia="fr-FR"/>
        </w:rPr>
        <w:t>)</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أعدادًا</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أقل</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من الخبراء</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مثل</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خمسة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خبراء</w:t>
      </w:r>
      <w:r w:rsidRPr="005B0947">
        <w:rPr>
          <w:rFonts w:ascii="Simplified Arabic" w:eastAsia="Times New Roman" w:hAnsi="Simplified Arabic" w:cs="Simplified Arabic"/>
          <w:b/>
          <w:sz w:val="24"/>
          <w:szCs w:val="24"/>
          <w:rtl/>
          <w:lang w:val="en-US" w:eastAsia="fr-FR"/>
        </w:rPr>
        <w:t xml:space="preserve"> </w:t>
      </w:r>
      <w:r w:rsidRPr="005B0947">
        <w:rPr>
          <w:rFonts w:asciiTheme="majorBidi" w:hAnsiTheme="majorBidi" w:cstheme="majorBidi"/>
          <w:sz w:val="24"/>
          <w:szCs w:val="24"/>
          <w:lang w:val="en-US" w:eastAsia="fr-FR"/>
        </w:rPr>
        <w:t>(Moghadasa et al., 2019)</w:t>
      </w:r>
      <w:r w:rsidRPr="005B0947">
        <w:rPr>
          <w:rFonts w:ascii="Simplified Arabic" w:eastAsia="Times New Roman" w:hAnsi="Simplified Arabic" w:cs="Simplified Arabic" w:hint="cs"/>
          <w:b/>
          <w:sz w:val="24"/>
          <w:szCs w:val="24"/>
          <w:rtl/>
          <w:lang w:val="en-US" w:eastAsia="fr-FR"/>
        </w:rPr>
        <w:t>،</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ثلاثة عشر</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خبيرا</w:t>
      </w:r>
      <w:r w:rsidRPr="005B0947">
        <w:rPr>
          <w:rFonts w:ascii="Simplified Arabic" w:eastAsia="Times New Roman" w:hAnsi="Simplified Arabic" w:cs="Simplified Arabic"/>
          <w:b/>
          <w:sz w:val="24"/>
          <w:szCs w:val="24"/>
          <w:rtl/>
          <w:lang w:val="en-US" w:eastAsia="fr-FR"/>
        </w:rPr>
        <w:t xml:space="preserve"> </w:t>
      </w:r>
      <w:r w:rsidRPr="005B0947">
        <w:rPr>
          <w:rFonts w:asciiTheme="majorBidi" w:hAnsiTheme="majorBidi" w:cstheme="majorBidi"/>
          <w:sz w:val="24"/>
          <w:szCs w:val="24"/>
          <w:lang w:val="en-US" w:eastAsia="fr-FR"/>
        </w:rPr>
        <w:t>(Kaaviya &amp; Devadas, 2021)</w:t>
      </w:r>
      <w:r w:rsidRPr="005B0947">
        <w:rPr>
          <w:rFonts w:ascii="Simplified Arabic" w:eastAsia="Times New Roman" w:hAnsi="Simplified Arabic" w:cs="Simplified Arabic" w:hint="cs"/>
          <w:b/>
          <w:sz w:val="24"/>
          <w:szCs w:val="24"/>
          <w:rtl/>
          <w:lang w:val="en-US" w:eastAsia="fr-FR"/>
        </w:rPr>
        <w:t xml:space="preserve">. </w:t>
      </w:r>
    </w:p>
    <w:p w:rsidR="00C121B0" w:rsidRDefault="00C121B0" w:rsidP="00C121B0">
      <w:pPr>
        <w:bidi/>
        <w:spacing w:after="0"/>
        <w:ind w:firstLine="282"/>
        <w:jc w:val="both"/>
        <w:rPr>
          <w:rFonts w:asciiTheme="majorBidi" w:hAnsiTheme="majorBidi" w:cstheme="majorBidi"/>
          <w:sz w:val="24"/>
          <w:szCs w:val="24"/>
          <w:rtl/>
          <w:lang w:val="en-US"/>
        </w:rPr>
      </w:pPr>
      <w:r w:rsidRPr="005B0947">
        <w:rPr>
          <w:rFonts w:ascii="Simplified Arabic" w:eastAsia="Times New Roman" w:hAnsi="Simplified Arabic" w:cs="Simplified Arabic" w:hint="cs"/>
          <w:b/>
          <w:sz w:val="24"/>
          <w:szCs w:val="24"/>
          <w:rtl/>
          <w:lang w:val="en-US" w:eastAsia="fr-FR"/>
        </w:rPr>
        <w:t>استخدم</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البحث</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الحالي</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استبيان</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استقصائي</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قائم</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على</w:t>
      </w:r>
      <w:r w:rsidRPr="005B0947">
        <w:rPr>
          <w:rFonts w:ascii="Simplified Arabic" w:eastAsia="Times New Roman" w:hAnsi="Simplified Arabic" w:cs="Simplified Arabic"/>
          <w:b/>
          <w:sz w:val="24"/>
          <w:szCs w:val="24"/>
          <w:rtl/>
          <w:lang w:val="en-US" w:eastAsia="fr-FR"/>
        </w:rPr>
        <w:t xml:space="preserve"> خبراء محليين </w:t>
      </w:r>
      <w:r w:rsidRPr="005B0947">
        <w:rPr>
          <w:rFonts w:ascii="Simplified Arabic" w:eastAsia="Times New Roman" w:hAnsi="Simplified Arabic" w:cs="Simplified Arabic" w:hint="cs"/>
          <w:b/>
          <w:sz w:val="24"/>
          <w:szCs w:val="24"/>
          <w:rtl/>
          <w:lang w:val="en-US" w:eastAsia="fr-FR"/>
        </w:rPr>
        <w:t xml:space="preserve">عددهم 18 </w:t>
      </w:r>
      <w:r w:rsidRPr="005B0947">
        <w:rPr>
          <w:rFonts w:ascii="Simplified Arabic" w:eastAsia="Times New Roman" w:hAnsi="Simplified Arabic" w:cs="Simplified Arabic"/>
          <w:b/>
          <w:sz w:val="24"/>
          <w:szCs w:val="24"/>
          <w:rtl/>
          <w:lang w:val="en-US" w:eastAsia="fr-FR"/>
        </w:rPr>
        <w:t xml:space="preserve">من </w:t>
      </w:r>
      <w:r w:rsidRPr="005B0947">
        <w:rPr>
          <w:rFonts w:ascii="Simplified Arabic" w:eastAsia="Times New Roman" w:hAnsi="Simplified Arabic" w:cs="Simplified Arabic" w:hint="cs"/>
          <w:b/>
          <w:sz w:val="24"/>
          <w:szCs w:val="24"/>
          <w:rtl/>
          <w:lang w:val="en-US" w:eastAsia="fr-FR"/>
        </w:rPr>
        <w:t>مختلف</w:t>
      </w:r>
      <w:r w:rsidRPr="005B0947">
        <w:rPr>
          <w:rFonts w:ascii="Simplified Arabic" w:eastAsia="Times New Roman" w:hAnsi="Simplified Arabic" w:cs="Simplified Arabic"/>
          <w:b/>
          <w:sz w:val="24"/>
          <w:szCs w:val="24"/>
          <w:rtl/>
          <w:lang w:val="en-US" w:eastAsia="fr-FR"/>
        </w:rPr>
        <w:t xml:space="preserve"> ال</w:t>
      </w:r>
      <w:r w:rsidRPr="005B0947">
        <w:rPr>
          <w:rFonts w:ascii="Simplified Arabic" w:eastAsia="Times New Roman" w:hAnsi="Simplified Arabic" w:cs="Simplified Arabic" w:hint="cs"/>
          <w:b/>
          <w:sz w:val="24"/>
          <w:szCs w:val="24"/>
          <w:rtl/>
          <w:lang w:val="en-US" w:eastAsia="fr-FR"/>
        </w:rPr>
        <w:t>ت</w:t>
      </w:r>
      <w:r w:rsidRPr="005B0947">
        <w:rPr>
          <w:rFonts w:ascii="Simplified Arabic" w:eastAsia="Times New Roman" w:hAnsi="Simplified Arabic" w:cs="Simplified Arabic"/>
          <w:b/>
          <w:sz w:val="24"/>
          <w:szCs w:val="24"/>
          <w:rtl/>
          <w:lang w:val="en-US" w:eastAsia="fr-FR"/>
        </w:rPr>
        <w:t>خصص</w:t>
      </w:r>
      <w:r w:rsidRPr="005B0947">
        <w:rPr>
          <w:rFonts w:ascii="Simplified Arabic" w:eastAsia="Times New Roman" w:hAnsi="Simplified Arabic" w:cs="Simplified Arabic" w:hint="cs"/>
          <w:b/>
          <w:sz w:val="24"/>
          <w:szCs w:val="24"/>
          <w:rtl/>
          <w:lang w:val="en-US" w:eastAsia="fr-FR"/>
        </w:rPr>
        <w:t>ات. من</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بين</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18</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مشاركًا</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محتملاً</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الذين تمت</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دعوتهم</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في</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البداية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للمشاركة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في</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المسح،</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أكمل</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14</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مشاركًا</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الجولة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الأولى</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والثانية، بينما لم يكمل منهم سوى</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12</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مشاركًا</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خلال الجولة الثالثة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هذه</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الأرقام</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كافية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مقارنة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بحجم</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لجان</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الخبراء</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المستخدمة</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في</w:t>
      </w:r>
      <w:r w:rsidRPr="005B0947">
        <w:rPr>
          <w:rFonts w:ascii="Simplified Arabic" w:eastAsia="Times New Roman" w:hAnsi="Simplified Arabic" w:cs="Simplified Arabic"/>
          <w:b/>
          <w:sz w:val="24"/>
          <w:szCs w:val="24"/>
          <w:rtl/>
          <w:lang w:val="en-US" w:eastAsia="fr-FR"/>
        </w:rPr>
        <w:t xml:space="preserve"> </w:t>
      </w:r>
      <w:r w:rsidRPr="005B0947">
        <w:rPr>
          <w:rFonts w:ascii="Simplified Arabic" w:eastAsia="Times New Roman" w:hAnsi="Simplified Arabic" w:cs="Simplified Arabic" w:hint="cs"/>
          <w:b/>
          <w:sz w:val="24"/>
          <w:szCs w:val="24"/>
          <w:rtl/>
          <w:lang w:val="en-US" w:eastAsia="fr-FR"/>
        </w:rPr>
        <w:t>الدراسات السابقة</w:t>
      </w:r>
      <w:r w:rsidRPr="005B0947">
        <w:rPr>
          <w:rFonts w:asciiTheme="minorBidi" w:hAnsiTheme="minorBidi" w:cs="Arial"/>
          <w:sz w:val="28"/>
          <w:szCs w:val="28"/>
          <w:rtl/>
          <w:lang w:val="en-US"/>
        </w:rPr>
        <w:t xml:space="preserve"> </w:t>
      </w:r>
      <w:r w:rsidRPr="005B0947">
        <w:rPr>
          <w:rFonts w:asciiTheme="majorBidi" w:hAnsiTheme="majorBidi" w:cstheme="majorBidi"/>
          <w:sz w:val="24"/>
          <w:szCs w:val="24"/>
          <w:rtl/>
          <w:lang w:val="en-US"/>
        </w:rPr>
        <w:t>(</w:t>
      </w:r>
      <w:r w:rsidRPr="005B0947">
        <w:rPr>
          <w:rFonts w:asciiTheme="majorBidi" w:hAnsiTheme="majorBidi" w:cstheme="majorBidi"/>
          <w:sz w:val="24"/>
          <w:szCs w:val="24"/>
          <w:lang w:val="en-US" w:eastAsia="fr-FR"/>
        </w:rPr>
        <w:t>Kaaviya &amp; Devadas, 2021</w:t>
      </w:r>
      <w:r w:rsidRPr="005B0947">
        <w:rPr>
          <w:rFonts w:asciiTheme="majorBidi" w:hAnsiTheme="majorBidi" w:cstheme="majorBidi"/>
          <w:sz w:val="24"/>
          <w:szCs w:val="24"/>
          <w:rtl/>
          <w:lang w:val="en-US"/>
        </w:rPr>
        <w:t xml:space="preserve"> </w:t>
      </w:r>
      <w:r w:rsidRPr="005B0947">
        <w:rPr>
          <w:rFonts w:asciiTheme="majorBidi" w:hAnsiTheme="majorBidi" w:cstheme="majorBidi"/>
          <w:sz w:val="24"/>
          <w:szCs w:val="24"/>
          <w:lang w:val="en-US"/>
        </w:rPr>
        <w:t>;</w:t>
      </w:r>
      <w:r w:rsidRPr="005B0947">
        <w:rPr>
          <w:rFonts w:asciiTheme="majorBidi" w:hAnsiTheme="majorBidi" w:cstheme="majorBidi"/>
          <w:sz w:val="24"/>
          <w:szCs w:val="24"/>
          <w:rtl/>
          <w:lang w:val="en-US"/>
        </w:rPr>
        <w:t xml:space="preserve"> </w:t>
      </w:r>
      <w:r w:rsidRPr="005B0947">
        <w:rPr>
          <w:rFonts w:asciiTheme="majorBidi" w:hAnsiTheme="majorBidi" w:cstheme="majorBidi"/>
          <w:sz w:val="24"/>
          <w:szCs w:val="24"/>
          <w:lang w:val="en-US" w:eastAsia="fr-FR"/>
        </w:rPr>
        <w:t>Moghadasa et al., 2019</w:t>
      </w:r>
      <w:r w:rsidRPr="005B0947">
        <w:rPr>
          <w:rFonts w:asciiTheme="majorBidi" w:hAnsiTheme="majorBidi" w:cstheme="majorBidi"/>
          <w:sz w:val="24"/>
          <w:szCs w:val="24"/>
          <w:rtl/>
          <w:lang w:val="en-US"/>
        </w:rPr>
        <w:t>).</w:t>
      </w:r>
    </w:p>
    <w:p w:rsidR="00C121B0" w:rsidRDefault="00C121B0" w:rsidP="0007710C">
      <w:pPr>
        <w:bidi/>
        <w:spacing w:after="0"/>
        <w:ind w:firstLine="282"/>
        <w:jc w:val="both"/>
        <w:rPr>
          <w:rFonts w:ascii="Simplified Arabic" w:hAnsi="Simplified Arabic" w:cs="Simplified Arabic"/>
          <w:sz w:val="24"/>
          <w:szCs w:val="24"/>
          <w:rtl/>
        </w:rPr>
      </w:pPr>
      <w:r w:rsidRPr="00BD7800">
        <w:rPr>
          <w:rFonts w:ascii="Simplified Arabic" w:hAnsi="Simplified Arabic" w:cs="Simplified Arabic" w:hint="cs"/>
          <w:sz w:val="24"/>
          <w:szCs w:val="24"/>
          <w:rtl/>
        </w:rPr>
        <w:t>تم</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الاتصال</w:t>
      </w:r>
      <w:r w:rsidRPr="00BD7800">
        <w:rPr>
          <w:rFonts w:ascii="Simplified Arabic" w:hAnsi="Simplified Arabic" w:cs="Simplified Arabic"/>
          <w:sz w:val="24"/>
          <w:szCs w:val="24"/>
          <w:rtl/>
        </w:rPr>
        <w:t xml:space="preserve"> </w:t>
      </w:r>
      <w:r>
        <w:rPr>
          <w:rFonts w:ascii="Simplified Arabic" w:hAnsi="Simplified Arabic" w:cs="Simplified Arabic" w:hint="cs"/>
          <w:sz w:val="24"/>
          <w:szCs w:val="24"/>
          <w:rtl/>
        </w:rPr>
        <w:t>بلجنة خبراء دلفي</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عبر</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الهاتف</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والبريد</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الإلكتروني</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والشبكات</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الاجتماعية</w:t>
      </w:r>
      <w:r>
        <w:rPr>
          <w:rFonts w:ascii="Simplified Arabic" w:hAnsi="Simplified Arabic" w:cs="Simplified Arabic" w:hint="cs"/>
          <w:sz w:val="24"/>
          <w:szCs w:val="24"/>
          <w:rtl/>
          <w:lang w:bidi="ar-DZ"/>
        </w:rPr>
        <w:t>،</w:t>
      </w:r>
      <w:r w:rsidRPr="00BD7800">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BD7800">
        <w:rPr>
          <w:rFonts w:ascii="Simplified Arabic" w:hAnsi="Simplified Arabic" w:cs="Simplified Arabic" w:hint="cs"/>
          <w:sz w:val="24"/>
          <w:szCs w:val="24"/>
          <w:rtl/>
        </w:rPr>
        <w:t>دعوتهم</w:t>
      </w:r>
      <w:r>
        <w:rPr>
          <w:rFonts w:ascii="Simplified Arabic" w:hAnsi="Simplified Arabic" w:cs="Simplified Arabic" w:hint="cs"/>
          <w:sz w:val="24"/>
          <w:szCs w:val="24"/>
          <w:rtl/>
        </w:rPr>
        <w:t xml:space="preserve"> الى ا</w:t>
      </w:r>
      <w:r w:rsidRPr="00BD7800">
        <w:rPr>
          <w:rFonts w:ascii="Simplified Arabic" w:hAnsi="Simplified Arabic" w:cs="Simplified Arabic" w:hint="cs"/>
          <w:sz w:val="24"/>
          <w:szCs w:val="24"/>
          <w:rtl/>
        </w:rPr>
        <w:t>لمشاركة</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في</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البحث</w:t>
      </w:r>
      <w:r w:rsidRPr="00E52199">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ولمعرفة </w:t>
      </w:r>
      <w:r w:rsidRPr="00BD7800">
        <w:rPr>
          <w:rFonts w:ascii="Simplified Arabic" w:hAnsi="Simplified Arabic" w:cs="Simplified Arabic" w:hint="cs"/>
          <w:sz w:val="24"/>
          <w:szCs w:val="24"/>
          <w:rtl/>
        </w:rPr>
        <w:t>مدى</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استعدادهم</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للمشاركة</w:t>
      </w:r>
      <w:r>
        <w:rPr>
          <w:rFonts w:ascii="Simplified Arabic" w:hAnsi="Simplified Arabic" w:cs="Simplified Arabic" w:hint="cs"/>
          <w:sz w:val="24"/>
          <w:szCs w:val="24"/>
          <w:rtl/>
        </w:rPr>
        <w:t>،</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معرفتهم</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بمعايير</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الدراسة</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ونطاقها</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أفاد</w:t>
      </w:r>
      <w:r>
        <w:rPr>
          <w:rFonts w:ascii="Simplified Arabic" w:hAnsi="Simplified Arabic" w:cs="Simplified Arabic" w:hint="cs"/>
          <w:sz w:val="24"/>
          <w:szCs w:val="24"/>
          <w:rtl/>
        </w:rPr>
        <w:t xml:space="preserve"> </w:t>
      </w:r>
      <w:r w:rsidRPr="00E52199">
        <w:rPr>
          <w:rFonts w:asciiTheme="majorBidi" w:hAnsiTheme="majorBidi" w:cstheme="majorBidi"/>
          <w:sz w:val="24"/>
          <w:szCs w:val="24"/>
          <w:rtl/>
        </w:rPr>
        <w:t>(</w:t>
      </w:r>
      <w:r w:rsidRPr="005B0947">
        <w:rPr>
          <w:rFonts w:asciiTheme="majorBidi" w:hAnsiTheme="majorBidi" w:cstheme="majorBidi"/>
          <w:sz w:val="24"/>
          <w:szCs w:val="24"/>
        </w:rPr>
        <w:t>Alyami</w:t>
      </w:r>
      <w:r w:rsidRPr="00BD7800">
        <w:rPr>
          <w:rFonts w:asciiTheme="majorBidi" w:hAnsiTheme="majorBidi" w:cstheme="majorBidi"/>
          <w:sz w:val="24"/>
          <w:szCs w:val="24"/>
        </w:rPr>
        <w:t xml:space="preserve"> et al.</w:t>
      </w:r>
      <w:r>
        <w:rPr>
          <w:rFonts w:asciiTheme="majorBidi" w:hAnsiTheme="majorBidi" w:cstheme="majorBidi"/>
          <w:sz w:val="24"/>
          <w:szCs w:val="24"/>
        </w:rPr>
        <w:t>, 2013</w:t>
      </w:r>
      <w:r w:rsidRPr="00E52199">
        <w:rPr>
          <w:rFonts w:asciiTheme="majorBidi" w:hAnsiTheme="majorBidi" w:cstheme="majorBidi"/>
          <w:sz w:val="24"/>
          <w:szCs w:val="24"/>
          <w:rtl/>
        </w:rPr>
        <w:t>)</w:t>
      </w:r>
      <w:r w:rsidRPr="00BD7800">
        <w:rPr>
          <w:rFonts w:asciiTheme="majorBidi" w:hAnsiTheme="majorBidi" w:cstheme="majorBidi"/>
          <w:sz w:val="24"/>
          <w:szCs w:val="24"/>
          <w:rtl/>
        </w:rPr>
        <w:t xml:space="preserve"> </w:t>
      </w:r>
      <w:r w:rsidRPr="00BD7800">
        <w:rPr>
          <w:rFonts w:ascii="Simplified Arabic" w:hAnsi="Simplified Arabic" w:cs="Simplified Arabic" w:hint="cs"/>
          <w:sz w:val="24"/>
          <w:szCs w:val="24"/>
          <w:rtl/>
        </w:rPr>
        <w:t>أن</w:t>
      </w:r>
      <w:r w:rsidRPr="00BD780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ارسال معايير اولية </w:t>
      </w:r>
      <w:r w:rsidRPr="00BD7800">
        <w:rPr>
          <w:rFonts w:ascii="Simplified Arabic" w:hAnsi="Simplified Arabic" w:cs="Simplified Arabic" w:hint="cs"/>
          <w:sz w:val="24"/>
          <w:szCs w:val="24"/>
          <w:rtl/>
        </w:rPr>
        <w:t>في</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بداية</w:t>
      </w:r>
      <w:r>
        <w:rPr>
          <w:rFonts w:ascii="Simplified Arabic" w:hAnsi="Simplified Arabic" w:cs="Simplified Arabic" w:hint="cs"/>
          <w:sz w:val="24"/>
          <w:szCs w:val="24"/>
          <w:rtl/>
        </w:rPr>
        <w:t xml:space="preserve"> الاتصال</w:t>
      </w:r>
      <w:r w:rsidRPr="00BD7800">
        <w:rPr>
          <w:rFonts w:ascii="Simplified Arabic" w:hAnsi="Simplified Arabic" w:cs="Simplified Arabic" w:hint="cs"/>
          <w:sz w:val="24"/>
          <w:szCs w:val="24"/>
          <w:rtl/>
        </w:rPr>
        <w:t>،</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تعزز</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معدلات</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إكمال</w:t>
      </w:r>
      <w:r w:rsidRPr="00BD780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الجولات </w:t>
      </w:r>
      <w:r w:rsidRPr="00BD7800">
        <w:rPr>
          <w:rFonts w:ascii="Simplified Arabic" w:hAnsi="Simplified Arabic" w:cs="Simplified Arabic" w:hint="cs"/>
          <w:sz w:val="24"/>
          <w:szCs w:val="24"/>
          <w:rtl/>
        </w:rPr>
        <w:t>وجودة</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نتائج</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عملية</w:t>
      </w:r>
      <w:r w:rsidRPr="00BD7800">
        <w:rPr>
          <w:rFonts w:ascii="Simplified Arabic" w:hAnsi="Simplified Arabic" w:cs="Simplified Arabic"/>
          <w:sz w:val="24"/>
          <w:szCs w:val="24"/>
          <w:rtl/>
        </w:rPr>
        <w:t xml:space="preserve"> </w:t>
      </w:r>
      <w:r w:rsidRPr="00BD7800">
        <w:rPr>
          <w:rFonts w:ascii="Simplified Arabic" w:hAnsi="Simplified Arabic" w:cs="Simplified Arabic" w:hint="cs"/>
          <w:sz w:val="24"/>
          <w:szCs w:val="24"/>
          <w:rtl/>
        </w:rPr>
        <w:t>دلفي</w:t>
      </w:r>
      <w:r>
        <w:rPr>
          <w:rFonts w:ascii="Simplified Arabic" w:hAnsi="Simplified Arabic" w:cs="Simplified Arabic"/>
          <w:sz w:val="24"/>
          <w:szCs w:val="24"/>
          <w:rtl/>
        </w:rPr>
        <w:t>.</w:t>
      </w:r>
    </w:p>
    <w:p w:rsidR="00C121B0" w:rsidRDefault="00C121B0" w:rsidP="0007710C">
      <w:pPr>
        <w:bidi/>
        <w:spacing w:after="0"/>
        <w:ind w:firstLine="282"/>
        <w:jc w:val="both"/>
        <w:rPr>
          <w:rFonts w:ascii="Simplified Arabic" w:hAnsi="Simplified Arabic" w:cs="Simplified Arabic"/>
          <w:sz w:val="24"/>
          <w:szCs w:val="24"/>
          <w:rtl/>
        </w:rPr>
      </w:pPr>
      <w:r w:rsidRPr="00D176B0">
        <w:rPr>
          <w:rFonts w:ascii="Simplified Arabic" w:hAnsi="Simplified Arabic" w:cs="Simplified Arabic" w:hint="cs"/>
          <w:sz w:val="24"/>
          <w:szCs w:val="24"/>
          <w:rtl/>
        </w:rPr>
        <w:t>استخدم</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البحث</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الحالي</w:t>
      </w:r>
      <w:r>
        <w:rPr>
          <w:rFonts w:ascii="Simplified Arabic" w:hAnsi="Simplified Arabic" w:cs="Simplified Arabic" w:hint="cs"/>
          <w:sz w:val="24"/>
          <w:szCs w:val="24"/>
          <w:rtl/>
        </w:rPr>
        <w:t>،</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استبيان</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استقصائي</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قائم</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على</w:t>
      </w:r>
      <w:r w:rsidRPr="00D176B0">
        <w:rPr>
          <w:rFonts w:ascii="Simplified Arabic" w:hAnsi="Simplified Arabic" w:cs="Simplified Arabic"/>
          <w:sz w:val="24"/>
          <w:szCs w:val="24"/>
          <w:rtl/>
        </w:rPr>
        <w:t xml:space="preserve"> خبراء محليين </w:t>
      </w:r>
      <w:r w:rsidRPr="00D176B0">
        <w:rPr>
          <w:rFonts w:ascii="Simplified Arabic" w:hAnsi="Simplified Arabic" w:cs="Simplified Arabic" w:hint="cs"/>
          <w:sz w:val="24"/>
          <w:szCs w:val="24"/>
          <w:rtl/>
        </w:rPr>
        <w:t>عددهم اثنى عشر (12)</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عضوًا</w:t>
      </w:r>
      <w:r w:rsidRPr="00D176B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الذين واصلوا مشاركتهم حتى الجولة الثالثة، </w:t>
      </w:r>
      <w:r w:rsidRPr="00D176B0">
        <w:rPr>
          <w:rFonts w:ascii="Simplified Arabic" w:hAnsi="Simplified Arabic" w:cs="Simplified Arabic"/>
          <w:sz w:val="24"/>
          <w:szCs w:val="24"/>
          <w:rtl/>
        </w:rPr>
        <w:t xml:space="preserve">من </w:t>
      </w:r>
      <w:r w:rsidRPr="00D176B0">
        <w:rPr>
          <w:rFonts w:ascii="Simplified Arabic" w:hAnsi="Simplified Arabic" w:cs="Simplified Arabic" w:hint="cs"/>
          <w:sz w:val="24"/>
          <w:szCs w:val="24"/>
          <w:rtl/>
        </w:rPr>
        <w:t>مختلف</w:t>
      </w:r>
      <w:r w:rsidRPr="00D176B0">
        <w:rPr>
          <w:rFonts w:ascii="Simplified Arabic" w:hAnsi="Simplified Arabic" w:cs="Simplified Arabic"/>
          <w:sz w:val="24"/>
          <w:szCs w:val="24"/>
          <w:rtl/>
        </w:rPr>
        <w:t xml:space="preserve"> ال</w:t>
      </w:r>
      <w:r w:rsidRPr="00D176B0">
        <w:rPr>
          <w:rFonts w:ascii="Simplified Arabic" w:hAnsi="Simplified Arabic" w:cs="Simplified Arabic" w:hint="cs"/>
          <w:sz w:val="24"/>
          <w:szCs w:val="24"/>
          <w:rtl/>
        </w:rPr>
        <w:t>ت</w:t>
      </w:r>
      <w:r w:rsidRPr="00D176B0">
        <w:rPr>
          <w:rFonts w:ascii="Simplified Arabic" w:hAnsi="Simplified Arabic" w:cs="Simplified Arabic"/>
          <w:sz w:val="24"/>
          <w:szCs w:val="24"/>
          <w:rtl/>
        </w:rPr>
        <w:t>خصص</w:t>
      </w:r>
      <w:r w:rsidRPr="00D176B0">
        <w:rPr>
          <w:rFonts w:ascii="Simplified Arabic" w:hAnsi="Simplified Arabic" w:cs="Simplified Arabic" w:hint="cs"/>
          <w:sz w:val="24"/>
          <w:szCs w:val="24"/>
          <w:rtl/>
        </w:rPr>
        <w:t>ات،</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بما</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في</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ذلك</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الهندسة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الحضرية،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التخطيط</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والتصميم</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الحضري، التعمير</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والهندسة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المعمارية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تتعلق</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الخبرة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العملية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لأعضاء</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الفريق</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بالممارسة</w:t>
      </w:r>
      <w:r>
        <w:rPr>
          <w:rFonts w:ascii="Simplified Arabic" w:hAnsi="Simplified Arabic" w:cs="Simplified Arabic" w:hint="cs"/>
          <w:sz w:val="24"/>
          <w:szCs w:val="24"/>
          <w:rtl/>
        </w:rPr>
        <w:t>،</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اتخاذ</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القرار</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والبحث</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والتدريس</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في</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مجال</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المرونة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لضمان</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التمثيل</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المتوازن،</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تم</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تعيين</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أعضاء</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الفريق</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من الاكاديميين</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والمؤسسات</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الحكومية</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والقطاع</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الخاص،</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كما</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هو</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موضح</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في</w:t>
      </w:r>
      <w:r w:rsidRPr="00D176B0">
        <w:rPr>
          <w:rFonts w:ascii="Simplified Arabic" w:hAnsi="Simplified Arabic" w:cs="Simplified Arabic"/>
          <w:sz w:val="24"/>
          <w:szCs w:val="24"/>
          <w:rtl/>
        </w:rPr>
        <w:t xml:space="preserve"> </w:t>
      </w:r>
      <w:r w:rsidRPr="00D176B0">
        <w:rPr>
          <w:rFonts w:ascii="Simplified Arabic" w:hAnsi="Simplified Arabic" w:cs="Simplified Arabic" w:hint="cs"/>
          <w:sz w:val="24"/>
          <w:szCs w:val="24"/>
          <w:rtl/>
        </w:rPr>
        <w:t>الجدول</w:t>
      </w:r>
      <w:r w:rsidRPr="00D176B0">
        <w:rPr>
          <w:rFonts w:ascii="Simplified Arabic" w:hAnsi="Simplified Arabic" w:cs="Simplified Arabic"/>
          <w:sz w:val="24"/>
          <w:szCs w:val="24"/>
          <w:rtl/>
        </w:rPr>
        <w:t xml:space="preserve"> </w:t>
      </w:r>
      <w:r w:rsidR="00B8189A">
        <w:rPr>
          <w:rFonts w:ascii="Simplified Arabic" w:eastAsia="Times New Roman" w:hAnsi="Simplified Arabic" w:cs="Simplified Arabic" w:hint="cs"/>
          <w:b/>
          <w:sz w:val="24"/>
          <w:szCs w:val="24"/>
          <w:rtl/>
          <w:lang w:val="en-US" w:eastAsia="fr-FR"/>
        </w:rPr>
        <w:t>(5-</w:t>
      </w:r>
      <w:r w:rsidR="00ED0B51">
        <w:rPr>
          <w:rFonts w:ascii="Simplified Arabic" w:eastAsia="Times New Roman" w:hAnsi="Simplified Arabic" w:cs="Simplified Arabic" w:hint="cs"/>
          <w:b/>
          <w:sz w:val="24"/>
          <w:szCs w:val="24"/>
          <w:rtl/>
          <w:lang w:val="en-US" w:eastAsia="fr-FR"/>
        </w:rPr>
        <w:t>4</w:t>
      </w:r>
      <w:r w:rsidR="00B8189A">
        <w:rPr>
          <w:rFonts w:ascii="Simplified Arabic" w:eastAsia="Times New Roman" w:hAnsi="Simplified Arabic" w:cs="Simplified Arabic" w:hint="cs"/>
          <w:b/>
          <w:sz w:val="24"/>
          <w:szCs w:val="24"/>
          <w:rtl/>
          <w:lang w:val="en-US" w:eastAsia="fr-FR"/>
        </w:rPr>
        <w:t>)</w:t>
      </w:r>
      <w:r w:rsidRPr="00D176B0">
        <w:rPr>
          <w:rFonts w:ascii="Simplified Arabic" w:hAnsi="Simplified Arabic" w:cs="Simplified Arabic"/>
          <w:sz w:val="24"/>
          <w:szCs w:val="24"/>
          <w:rtl/>
        </w:rPr>
        <w:t>.</w:t>
      </w:r>
    </w:p>
    <w:p w:rsidR="00C121B0" w:rsidRDefault="00C121B0" w:rsidP="00F76D99">
      <w:pPr>
        <w:pStyle w:val="Tableau"/>
        <w:rPr>
          <w:rtl/>
        </w:rPr>
      </w:pPr>
      <w:bookmarkStart w:id="630" w:name="_Toc157612994"/>
      <w:bookmarkStart w:id="631" w:name="_Toc171803661"/>
      <w:r>
        <w:rPr>
          <w:rFonts w:hint="cs"/>
          <w:rtl/>
        </w:rPr>
        <w:t>الجدول</w:t>
      </w:r>
      <w:r w:rsidRPr="006158D8">
        <w:rPr>
          <w:rtl/>
        </w:rPr>
        <w:t xml:space="preserve"> </w:t>
      </w:r>
      <w:r w:rsidR="00B8189A">
        <w:rPr>
          <w:rFonts w:eastAsia="Times New Roman" w:hint="cs"/>
          <w:rtl/>
          <w:lang w:val="en-US" w:eastAsia="fr-FR"/>
        </w:rPr>
        <w:t>(5-</w:t>
      </w:r>
      <w:r w:rsidR="00ED0B51">
        <w:rPr>
          <w:rFonts w:eastAsia="Times New Roman" w:hint="cs"/>
          <w:rtl/>
          <w:lang w:val="en-US" w:eastAsia="fr-FR"/>
        </w:rPr>
        <w:t>4</w:t>
      </w:r>
      <w:r w:rsidR="00B8189A">
        <w:rPr>
          <w:rFonts w:eastAsia="Times New Roman" w:hint="cs"/>
          <w:rtl/>
          <w:lang w:val="en-US" w:eastAsia="fr-FR"/>
        </w:rPr>
        <w:t>)</w:t>
      </w:r>
      <w:r w:rsidRPr="006158D8">
        <w:rPr>
          <w:rtl/>
        </w:rPr>
        <w:t xml:space="preserve">: </w:t>
      </w:r>
      <w:r>
        <w:rPr>
          <w:rFonts w:hint="cs"/>
          <w:rtl/>
        </w:rPr>
        <w:t>اعضاء فريق مسح دلفي، (الجولة الثالثة)</w:t>
      </w:r>
      <w:bookmarkEnd w:id="630"/>
      <w:bookmarkEnd w:id="631"/>
    </w:p>
    <w:p w:rsidR="00010DE7" w:rsidRPr="00010DE7" w:rsidRDefault="00010DE7" w:rsidP="00010DE7">
      <w:pPr>
        <w:pStyle w:val="fegure"/>
        <w:rPr>
          <w:sz w:val="8"/>
          <w:szCs w:val="24"/>
          <w:lang w:val="en-US" w:bidi="ar-DZ"/>
        </w:rPr>
      </w:pPr>
      <w:bookmarkStart w:id="632" w:name="_Toc171803662"/>
      <w:r>
        <w:rPr>
          <w:rFonts w:hint="cs"/>
          <w:sz w:val="8"/>
          <w:szCs w:val="24"/>
          <w:rtl/>
          <w:lang w:val="en-US"/>
        </w:rPr>
        <w:t>المصدر: (الباحث، 2022)</w:t>
      </w:r>
      <w:bookmarkEnd w:id="632"/>
    </w:p>
    <w:tbl>
      <w:tblPr>
        <w:bidiVisual/>
        <w:tblW w:w="7549" w:type="dxa"/>
        <w:jc w:val="center"/>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1"/>
        <w:gridCol w:w="2527"/>
        <w:gridCol w:w="2576"/>
        <w:gridCol w:w="705"/>
      </w:tblGrid>
      <w:tr w:rsidR="00C121B0" w:rsidRPr="00B53AF8" w:rsidTr="00794BA6">
        <w:trPr>
          <w:trHeight w:val="143"/>
          <w:jc w:val="center"/>
        </w:trPr>
        <w:tc>
          <w:tcPr>
            <w:tcW w:w="1741"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lang w:val="en-US" w:eastAsia="fr-FR"/>
              </w:rPr>
            </w:pPr>
            <w:r w:rsidRPr="00B53AF8">
              <w:rPr>
                <w:rFonts w:ascii="Simplified Arabic" w:eastAsia="Times New Roman" w:hAnsi="Simplified Arabic" w:cs="Simplified Arabic"/>
                <w:b/>
                <w:sz w:val="24"/>
                <w:szCs w:val="24"/>
                <w:rtl/>
                <w:lang w:val="en-US" w:eastAsia="fr-FR"/>
              </w:rPr>
              <w:t>مجال الخبرة</w:t>
            </w:r>
          </w:p>
        </w:tc>
        <w:tc>
          <w:tcPr>
            <w:tcW w:w="2527"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الهيئة</w:t>
            </w:r>
          </w:p>
        </w:tc>
        <w:tc>
          <w:tcPr>
            <w:tcW w:w="2576"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lang w:val="en-US" w:eastAsia="fr-FR"/>
              </w:rPr>
            </w:pPr>
            <w:r w:rsidRPr="00B53AF8">
              <w:rPr>
                <w:rFonts w:ascii="Simplified Arabic" w:eastAsia="Times New Roman" w:hAnsi="Simplified Arabic" w:cs="Simplified Arabic"/>
                <w:b/>
                <w:sz w:val="24"/>
                <w:szCs w:val="24"/>
                <w:rtl/>
                <w:lang w:val="en-US" w:eastAsia="fr-FR"/>
              </w:rPr>
              <w:t>الدرجة</w:t>
            </w:r>
          </w:p>
        </w:tc>
        <w:tc>
          <w:tcPr>
            <w:tcW w:w="705"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lang w:val="en-US" w:eastAsia="fr-FR"/>
              </w:rPr>
            </w:pPr>
            <w:r>
              <w:rPr>
                <w:rFonts w:ascii="Simplified Arabic" w:eastAsia="Times New Roman" w:hAnsi="Simplified Arabic" w:cs="Simplified Arabic" w:hint="cs"/>
                <w:b/>
                <w:sz w:val="24"/>
                <w:szCs w:val="24"/>
                <w:rtl/>
                <w:lang w:val="en-US" w:eastAsia="fr-FR"/>
              </w:rPr>
              <w:t>ال</w:t>
            </w:r>
            <w:r>
              <w:rPr>
                <w:rFonts w:ascii="Simplified Arabic" w:eastAsia="Times New Roman" w:hAnsi="Simplified Arabic" w:cs="Simplified Arabic"/>
                <w:b/>
                <w:sz w:val="24"/>
                <w:szCs w:val="24"/>
                <w:rtl/>
                <w:lang w:val="en-US" w:eastAsia="fr-FR"/>
              </w:rPr>
              <w:t>عدد</w:t>
            </w:r>
          </w:p>
        </w:tc>
      </w:tr>
      <w:tr w:rsidR="00C121B0" w:rsidRPr="00B53AF8" w:rsidTr="00794BA6">
        <w:trPr>
          <w:trHeight w:val="56"/>
          <w:jc w:val="center"/>
        </w:trPr>
        <w:tc>
          <w:tcPr>
            <w:tcW w:w="1741"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تصميم حضري</w:t>
            </w:r>
          </w:p>
        </w:tc>
        <w:tc>
          <w:tcPr>
            <w:tcW w:w="2527"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جامعة المسيلة-</w:t>
            </w:r>
          </w:p>
        </w:tc>
        <w:tc>
          <w:tcPr>
            <w:tcW w:w="2576"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دكتوراه</w:t>
            </w:r>
          </w:p>
        </w:tc>
        <w:tc>
          <w:tcPr>
            <w:tcW w:w="705" w:type="dxa"/>
            <w:shd w:val="clear" w:color="auto" w:fill="auto"/>
            <w:vAlign w:val="center"/>
          </w:tcPr>
          <w:p w:rsidR="00C121B0" w:rsidRPr="00B53AF8" w:rsidRDefault="00C121B0" w:rsidP="00775E11">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w:t>
            </w:r>
            <w:r w:rsidR="00775E11">
              <w:rPr>
                <w:rFonts w:ascii="Simplified Arabic" w:eastAsia="Times New Roman" w:hAnsi="Simplified Arabic" w:cs="Simplified Arabic" w:hint="cs"/>
                <w:b/>
                <w:sz w:val="24"/>
                <w:szCs w:val="24"/>
                <w:rtl/>
                <w:lang w:val="en-US" w:eastAsia="fr-FR"/>
              </w:rPr>
              <w:t>2</w:t>
            </w:r>
            <w:r w:rsidRPr="00B53AF8">
              <w:rPr>
                <w:rFonts w:ascii="Simplified Arabic" w:eastAsia="Times New Roman" w:hAnsi="Simplified Arabic" w:cs="Simplified Arabic"/>
                <w:b/>
                <w:sz w:val="24"/>
                <w:szCs w:val="24"/>
                <w:rtl/>
                <w:lang w:val="en-US" w:eastAsia="fr-FR"/>
              </w:rPr>
              <w:t>)</w:t>
            </w:r>
          </w:p>
        </w:tc>
      </w:tr>
      <w:tr w:rsidR="00C121B0" w:rsidRPr="00B53AF8" w:rsidTr="00794BA6">
        <w:trPr>
          <w:trHeight w:val="60"/>
          <w:jc w:val="center"/>
        </w:trPr>
        <w:tc>
          <w:tcPr>
            <w:tcW w:w="1741"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تخطيط حضري</w:t>
            </w:r>
          </w:p>
        </w:tc>
        <w:tc>
          <w:tcPr>
            <w:tcW w:w="2527"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جامعة المسيلة-</w:t>
            </w:r>
          </w:p>
        </w:tc>
        <w:tc>
          <w:tcPr>
            <w:tcW w:w="2576"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دكتوراه</w:t>
            </w:r>
          </w:p>
        </w:tc>
        <w:tc>
          <w:tcPr>
            <w:tcW w:w="705" w:type="dxa"/>
            <w:shd w:val="clear" w:color="auto" w:fill="auto"/>
            <w:vAlign w:val="center"/>
          </w:tcPr>
          <w:p w:rsidR="00C121B0" w:rsidRPr="00B53AF8" w:rsidRDefault="00C121B0" w:rsidP="00775E11">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w:t>
            </w:r>
            <w:r w:rsidR="00775E11">
              <w:rPr>
                <w:rFonts w:ascii="Simplified Arabic" w:eastAsia="Times New Roman" w:hAnsi="Simplified Arabic" w:cs="Simplified Arabic" w:hint="cs"/>
                <w:b/>
                <w:sz w:val="24"/>
                <w:szCs w:val="24"/>
                <w:rtl/>
                <w:lang w:val="en-US" w:eastAsia="fr-FR"/>
              </w:rPr>
              <w:t>2</w:t>
            </w:r>
            <w:r w:rsidRPr="00B53AF8">
              <w:rPr>
                <w:rFonts w:ascii="Simplified Arabic" w:eastAsia="Times New Roman" w:hAnsi="Simplified Arabic" w:cs="Simplified Arabic"/>
                <w:b/>
                <w:sz w:val="24"/>
                <w:szCs w:val="24"/>
                <w:rtl/>
                <w:lang w:val="en-US" w:eastAsia="fr-FR"/>
              </w:rPr>
              <w:t>)</w:t>
            </w:r>
          </w:p>
        </w:tc>
      </w:tr>
      <w:tr w:rsidR="00C121B0" w:rsidRPr="00B53AF8" w:rsidTr="00794BA6">
        <w:trPr>
          <w:trHeight w:val="60"/>
          <w:jc w:val="center"/>
        </w:trPr>
        <w:tc>
          <w:tcPr>
            <w:tcW w:w="1741"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نقل و</w:t>
            </w:r>
            <w:r>
              <w:rPr>
                <w:rFonts w:ascii="Simplified Arabic" w:eastAsia="Times New Roman" w:hAnsi="Simplified Arabic" w:cs="Simplified Arabic" w:hint="cs"/>
                <w:b/>
                <w:sz w:val="24"/>
                <w:szCs w:val="24"/>
                <w:rtl/>
                <w:lang w:val="en-US" w:eastAsia="fr-FR"/>
              </w:rPr>
              <w:t xml:space="preserve"> </w:t>
            </w:r>
            <w:r w:rsidRPr="00B53AF8">
              <w:rPr>
                <w:rFonts w:ascii="Simplified Arabic" w:eastAsia="Times New Roman" w:hAnsi="Simplified Arabic" w:cs="Simplified Arabic"/>
                <w:b/>
                <w:sz w:val="24"/>
                <w:szCs w:val="24"/>
                <w:rtl/>
                <w:lang w:val="en-US" w:eastAsia="fr-FR"/>
              </w:rPr>
              <w:t>مرور</w:t>
            </w:r>
            <w:r>
              <w:rPr>
                <w:rFonts w:ascii="Simplified Arabic" w:eastAsia="Times New Roman" w:hAnsi="Simplified Arabic" w:cs="Simplified Arabic" w:hint="cs"/>
                <w:b/>
                <w:sz w:val="24"/>
                <w:szCs w:val="24"/>
                <w:rtl/>
                <w:lang w:val="en-US" w:eastAsia="fr-FR"/>
              </w:rPr>
              <w:t xml:space="preserve"> </w:t>
            </w:r>
            <w:r w:rsidRPr="00B53AF8">
              <w:rPr>
                <w:rFonts w:ascii="Simplified Arabic" w:eastAsia="Times New Roman" w:hAnsi="Simplified Arabic" w:cs="Simplified Arabic"/>
                <w:b/>
                <w:sz w:val="24"/>
                <w:szCs w:val="24"/>
                <w:rtl/>
                <w:lang w:val="en-US" w:eastAsia="fr-FR"/>
              </w:rPr>
              <w:t>حضري</w:t>
            </w:r>
          </w:p>
        </w:tc>
        <w:tc>
          <w:tcPr>
            <w:tcW w:w="2527"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جامعة المسيلة</w:t>
            </w:r>
          </w:p>
        </w:tc>
        <w:tc>
          <w:tcPr>
            <w:tcW w:w="2576"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دكتوراه</w:t>
            </w:r>
          </w:p>
        </w:tc>
        <w:tc>
          <w:tcPr>
            <w:tcW w:w="705"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(1)</w:t>
            </w:r>
          </w:p>
        </w:tc>
      </w:tr>
      <w:tr w:rsidR="00C121B0" w:rsidRPr="00B53AF8" w:rsidTr="00794BA6">
        <w:trPr>
          <w:trHeight w:val="60"/>
          <w:jc w:val="center"/>
        </w:trPr>
        <w:tc>
          <w:tcPr>
            <w:tcW w:w="1741"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تسيير الازمات</w:t>
            </w:r>
          </w:p>
        </w:tc>
        <w:tc>
          <w:tcPr>
            <w:tcW w:w="2527"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 xml:space="preserve">مديرية الحماية المدنية </w:t>
            </w:r>
            <w:r>
              <w:rPr>
                <w:rFonts w:ascii="Simplified Arabic" w:eastAsia="Times New Roman" w:hAnsi="Simplified Arabic" w:cs="Simplified Arabic" w:hint="cs"/>
                <w:b/>
                <w:sz w:val="24"/>
                <w:szCs w:val="24"/>
                <w:rtl/>
                <w:lang w:val="en-US" w:eastAsia="fr-FR"/>
              </w:rPr>
              <w:t>ب</w:t>
            </w:r>
            <w:r w:rsidRPr="00B53AF8">
              <w:rPr>
                <w:rFonts w:ascii="Simplified Arabic" w:eastAsia="Times New Roman" w:hAnsi="Simplified Arabic" w:cs="Simplified Arabic"/>
                <w:b/>
                <w:sz w:val="24"/>
                <w:szCs w:val="24"/>
                <w:rtl/>
                <w:lang w:val="en-US" w:eastAsia="fr-FR"/>
              </w:rPr>
              <w:t>المسيلة</w:t>
            </w:r>
          </w:p>
        </w:tc>
        <w:tc>
          <w:tcPr>
            <w:tcW w:w="2576"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ماستر اكاديمي</w:t>
            </w:r>
            <w:r>
              <w:rPr>
                <w:rFonts w:ascii="Simplified Arabic" w:eastAsia="Times New Roman" w:hAnsi="Simplified Arabic" w:cs="Simplified Arabic" w:hint="cs"/>
                <w:b/>
                <w:sz w:val="24"/>
                <w:szCs w:val="24"/>
                <w:rtl/>
                <w:lang w:val="en-US" w:eastAsia="fr-FR"/>
              </w:rPr>
              <w:t xml:space="preserve"> </w:t>
            </w:r>
            <w:r w:rsidRPr="00B53AF8">
              <w:rPr>
                <w:rFonts w:ascii="Simplified Arabic" w:eastAsia="Times New Roman" w:hAnsi="Simplified Arabic" w:cs="Simplified Arabic"/>
                <w:b/>
                <w:sz w:val="24"/>
                <w:szCs w:val="24"/>
                <w:rtl/>
                <w:lang w:val="en-US" w:eastAsia="fr-FR"/>
              </w:rPr>
              <w:t>اخطار طبيعية</w:t>
            </w:r>
          </w:p>
        </w:tc>
        <w:tc>
          <w:tcPr>
            <w:tcW w:w="705"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(1)</w:t>
            </w:r>
          </w:p>
        </w:tc>
      </w:tr>
      <w:tr w:rsidR="00C121B0" w:rsidRPr="00B53AF8" w:rsidTr="00794BA6">
        <w:trPr>
          <w:jc w:val="center"/>
        </w:trPr>
        <w:tc>
          <w:tcPr>
            <w:tcW w:w="1741" w:type="dxa"/>
            <w:shd w:val="clear" w:color="auto" w:fill="auto"/>
            <w:vAlign w:val="center"/>
          </w:tcPr>
          <w:p w:rsidR="00C121B0" w:rsidRPr="00B53AF8"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الاجلاء و الانقاذ</w:t>
            </w:r>
          </w:p>
        </w:tc>
        <w:tc>
          <w:tcPr>
            <w:tcW w:w="2527"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 xml:space="preserve">مديرية الحماية المدنية </w:t>
            </w:r>
            <w:r>
              <w:rPr>
                <w:rFonts w:ascii="Simplified Arabic" w:eastAsia="Times New Roman" w:hAnsi="Simplified Arabic" w:cs="Simplified Arabic" w:hint="cs"/>
                <w:b/>
                <w:sz w:val="24"/>
                <w:szCs w:val="24"/>
                <w:rtl/>
                <w:lang w:val="en-US" w:eastAsia="fr-FR"/>
              </w:rPr>
              <w:t>ب</w:t>
            </w:r>
            <w:r w:rsidRPr="00B53AF8">
              <w:rPr>
                <w:rFonts w:ascii="Simplified Arabic" w:eastAsia="Times New Roman" w:hAnsi="Simplified Arabic" w:cs="Simplified Arabic"/>
                <w:b/>
                <w:sz w:val="24"/>
                <w:szCs w:val="24"/>
                <w:rtl/>
                <w:lang w:val="en-US" w:eastAsia="fr-FR"/>
              </w:rPr>
              <w:t>المسيلة</w:t>
            </w:r>
          </w:p>
        </w:tc>
        <w:tc>
          <w:tcPr>
            <w:tcW w:w="2576"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ماستر اكاديمي</w:t>
            </w:r>
            <w:r>
              <w:rPr>
                <w:rFonts w:ascii="Simplified Arabic" w:eastAsia="Times New Roman" w:hAnsi="Simplified Arabic" w:cs="Simplified Arabic" w:hint="cs"/>
                <w:b/>
                <w:sz w:val="24"/>
                <w:szCs w:val="24"/>
                <w:rtl/>
                <w:lang w:val="en-US" w:eastAsia="fr-FR"/>
              </w:rPr>
              <w:t xml:space="preserve"> </w:t>
            </w:r>
            <w:r w:rsidRPr="00B53AF8">
              <w:rPr>
                <w:rFonts w:ascii="Simplified Arabic" w:eastAsia="Times New Roman" w:hAnsi="Simplified Arabic" w:cs="Simplified Arabic"/>
                <w:b/>
                <w:sz w:val="24"/>
                <w:szCs w:val="24"/>
                <w:rtl/>
                <w:lang w:val="en-US" w:eastAsia="fr-FR"/>
              </w:rPr>
              <w:t>اخطار طبيعية</w:t>
            </w:r>
          </w:p>
        </w:tc>
        <w:tc>
          <w:tcPr>
            <w:tcW w:w="705"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w:t>
            </w:r>
            <w:r w:rsidRPr="00B53AF8">
              <w:rPr>
                <w:rFonts w:ascii="Simplified Arabic" w:eastAsia="Times New Roman" w:hAnsi="Simplified Arabic" w:cs="Simplified Arabic" w:hint="cs"/>
                <w:b/>
                <w:sz w:val="24"/>
                <w:szCs w:val="24"/>
                <w:rtl/>
                <w:lang w:val="en-US" w:eastAsia="fr-FR"/>
              </w:rPr>
              <w:t>2</w:t>
            </w:r>
            <w:r w:rsidRPr="00B53AF8">
              <w:rPr>
                <w:rFonts w:ascii="Simplified Arabic" w:eastAsia="Times New Roman" w:hAnsi="Simplified Arabic" w:cs="Simplified Arabic"/>
                <w:b/>
                <w:sz w:val="24"/>
                <w:szCs w:val="24"/>
                <w:rtl/>
                <w:lang w:val="en-US" w:eastAsia="fr-FR"/>
              </w:rPr>
              <w:t>)</w:t>
            </w:r>
          </w:p>
        </w:tc>
      </w:tr>
      <w:tr w:rsidR="00C121B0" w:rsidRPr="00B53AF8" w:rsidTr="00794BA6">
        <w:trPr>
          <w:jc w:val="center"/>
        </w:trPr>
        <w:tc>
          <w:tcPr>
            <w:tcW w:w="1741" w:type="dxa"/>
            <w:vMerge w:val="restart"/>
            <w:shd w:val="clear" w:color="auto" w:fill="auto"/>
            <w:vAlign w:val="center"/>
          </w:tcPr>
          <w:p w:rsidR="00C121B0" w:rsidRPr="00B53AF8" w:rsidRDefault="00C121B0" w:rsidP="00794BA6">
            <w:pPr>
              <w:bidi/>
              <w:spacing w:after="0" w:line="240" w:lineRule="auto"/>
              <w:ind w:firstLine="282"/>
              <w:jc w:val="center"/>
              <w:rPr>
                <w:rFonts w:ascii="Simplified Arabic" w:eastAsia="Times New Roman" w:hAnsi="Simplified Arabic" w:cs="Simplified Arabic"/>
                <w:b/>
                <w:sz w:val="24"/>
                <w:szCs w:val="24"/>
                <w:rtl/>
                <w:lang w:val="en-US" w:eastAsia="fr-FR"/>
              </w:rPr>
            </w:pPr>
          </w:p>
        </w:tc>
        <w:tc>
          <w:tcPr>
            <w:tcW w:w="2527"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مديرية التعمير</w:t>
            </w:r>
            <w:r>
              <w:rPr>
                <w:rFonts w:ascii="Simplified Arabic" w:eastAsia="Times New Roman" w:hAnsi="Simplified Arabic" w:cs="Simplified Arabic" w:hint="cs"/>
                <w:b/>
                <w:sz w:val="24"/>
                <w:szCs w:val="24"/>
                <w:rtl/>
                <w:lang w:val="en-US" w:eastAsia="fr-FR"/>
              </w:rPr>
              <w:t>.</w:t>
            </w:r>
            <w:r w:rsidRPr="00B53AF8">
              <w:rPr>
                <w:rFonts w:ascii="Simplified Arabic" w:eastAsia="Times New Roman" w:hAnsi="Simplified Arabic" w:cs="Simplified Arabic"/>
                <w:b/>
                <w:sz w:val="24"/>
                <w:szCs w:val="24"/>
                <w:rtl/>
                <w:lang w:val="en-US" w:eastAsia="fr-FR"/>
              </w:rPr>
              <w:t>ه</w:t>
            </w:r>
            <w:r>
              <w:rPr>
                <w:rFonts w:ascii="Simplified Arabic" w:eastAsia="Times New Roman" w:hAnsi="Simplified Arabic" w:cs="Simplified Arabic" w:hint="cs"/>
                <w:b/>
                <w:sz w:val="24"/>
                <w:szCs w:val="24"/>
                <w:rtl/>
                <w:lang w:val="en-US" w:eastAsia="fr-FR"/>
              </w:rPr>
              <w:t>.</w:t>
            </w:r>
            <w:r w:rsidRPr="00B53AF8">
              <w:rPr>
                <w:rFonts w:ascii="Simplified Arabic" w:eastAsia="Times New Roman" w:hAnsi="Simplified Arabic" w:cs="Simplified Arabic"/>
                <w:b/>
                <w:sz w:val="24"/>
                <w:szCs w:val="24"/>
                <w:rtl/>
                <w:lang w:val="en-US" w:eastAsia="fr-FR"/>
              </w:rPr>
              <w:t>م</w:t>
            </w:r>
            <w:r>
              <w:rPr>
                <w:rFonts w:ascii="Simplified Arabic" w:eastAsia="Times New Roman" w:hAnsi="Simplified Arabic" w:cs="Simplified Arabic" w:hint="cs"/>
                <w:b/>
                <w:sz w:val="24"/>
                <w:szCs w:val="24"/>
                <w:rtl/>
                <w:lang w:val="en-US" w:eastAsia="fr-FR"/>
              </w:rPr>
              <w:t>.</w:t>
            </w:r>
            <w:r w:rsidRPr="00B53AF8">
              <w:rPr>
                <w:rFonts w:ascii="Simplified Arabic" w:eastAsia="Times New Roman" w:hAnsi="Simplified Arabic" w:cs="Simplified Arabic"/>
                <w:b/>
                <w:sz w:val="24"/>
                <w:szCs w:val="24"/>
                <w:rtl/>
                <w:lang w:val="en-US" w:eastAsia="fr-FR"/>
              </w:rPr>
              <w:t>ب</w:t>
            </w:r>
            <w:r>
              <w:rPr>
                <w:rFonts w:ascii="Simplified Arabic" w:eastAsia="Times New Roman" w:hAnsi="Simplified Arabic" w:cs="Simplified Arabic" w:hint="cs"/>
                <w:b/>
                <w:sz w:val="24"/>
                <w:szCs w:val="24"/>
                <w:rtl/>
                <w:lang w:val="en-US" w:eastAsia="fr-FR"/>
              </w:rPr>
              <w:t>.</w:t>
            </w:r>
            <w:r w:rsidRPr="00B53AF8">
              <w:rPr>
                <w:rFonts w:ascii="Simplified Arabic" w:eastAsia="Times New Roman" w:hAnsi="Simplified Arabic" w:cs="Simplified Arabic"/>
                <w:b/>
                <w:sz w:val="24"/>
                <w:szCs w:val="24"/>
                <w:rtl/>
                <w:lang w:val="en-US" w:eastAsia="fr-FR"/>
              </w:rPr>
              <w:t>المسيلة</w:t>
            </w:r>
          </w:p>
        </w:tc>
        <w:tc>
          <w:tcPr>
            <w:tcW w:w="2576"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مهندسين معماريين</w:t>
            </w:r>
          </w:p>
        </w:tc>
        <w:tc>
          <w:tcPr>
            <w:tcW w:w="705"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(2)</w:t>
            </w:r>
          </w:p>
        </w:tc>
      </w:tr>
      <w:tr w:rsidR="00C121B0" w:rsidRPr="00B53AF8" w:rsidTr="00794BA6">
        <w:trPr>
          <w:jc w:val="center"/>
        </w:trPr>
        <w:tc>
          <w:tcPr>
            <w:tcW w:w="1741" w:type="dxa"/>
            <w:vMerge/>
            <w:shd w:val="clear" w:color="auto" w:fill="auto"/>
            <w:vAlign w:val="center"/>
          </w:tcPr>
          <w:p w:rsidR="00C121B0" w:rsidRPr="00B53AF8" w:rsidRDefault="00C121B0" w:rsidP="00794BA6">
            <w:pPr>
              <w:bidi/>
              <w:spacing w:after="0" w:line="240" w:lineRule="auto"/>
              <w:ind w:firstLine="282"/>
              <w:jc w:val="center"/>
              <w:rPr>
                <w:rFonts w:ascii="Simplified Arabic" w:eastAsia="Times New Roman" w:hAnsi="Simplified Arabic" w:cs="Simplified Arabic"/>
                <w:b/>
                <w:sz w:val="24"/>
                <w:szCs w:val="24"/>
                <w:rtl/>
                <w:lang w:val="en-US" w:eastAsia="fr-FR"/>
              </w:rPr>
            </w:pPr>
          </w:p>
        </w:tc>
        <w:tc>
          <w:tcPr>
            <w:tcW w:w="2527" w:type="dxa"/>
            <w:tcBorders>
              <w:bottom w:val="single" w:sz="4" w:space="0" w:color="auto"/>
            </w:tcBorders>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 xml:space="preserve">مكتب الدراسات </w:t>
            </w:r>
            <w:r>
              <w:rPr>
                <w:rFonts w:ascii="Simplified Arabic" w:eastAsia="Times New Roman" w:hAnsi="Simplified Arabic" w:cs="Simplified Arabic" w:hint="cs"/>
                <w:b/>
                <w:sz w:val="24"/>
                <w:szCs w:val="24"/>
                <w:rtl/>
                <w:lang w:val="en-US" w:eastAsia="fr-FR"/>
              </w:rPr>
              <w:t>الهندسية</w:t>
            </w:r>
          </w:p>
        </w:tc>
        <w:tc>
          <w:tcPr>
            <w:tcW w:w="2576"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مهندسي المدينة</w:t>
            </w:r>
          </w:p>
        </w:tc>
        <w:tc>
          <w:tcPr>
            <w:tcW w:w="705" w:type="dxa"/>
            <w:shd w:val="clear" w:color="auto" w:fill="auto"/>
            <w:vAlign w:val="center"/>
          </w:tcPr>
          <w:p w:rsidR="00C121B0" w:rsidRPr="00B53AF8" w:rsidRDefault="00C121B0" w:rsidP="00794BA6">
            <w:pPr>
              <w:autoSpaceDE w:val="0"/>
              <w:autoSpaceDN w:val="0"/>
              <w:bidi/>
              <w:adjustRightInd w:val="0"/>
              <w:spacing w:after="0" w:line="240" w:lineRule="auto"/>
              <w:jc w:val="center"/>
              <w:rPr>
                <w:rFonts w:ascii="Simplified Arabic" w:eastAsia="Times New Roman" w:hAnsi="Simplified Arabic" w:cs="Simplified Arabic"/>
                <w:b/>
                <w:sz w:val="24"/>
                <w:szCs w:val="24"/>
                <w:rtl/>
                <w:lang w:val="en-US" w:eastAsia="fr-FR"/>
              </w:rPr>
            </w:pPr>
            <w:r w:rsidRPr="00B53AF8">
              <w:rPr>
                <w:rFonts w:ascii="Simplified Arabic" w:eastAsia="Times New Roman" w:hAnsi="Simplified Arabic" w:cs="Simplified Arabic"/>
                <w:b/>
                <w:sz w:val="24"/>
                <w:szCs w:val="24"/>
                <w:rtl/>
                <w:lang w:val="en-US" w:eastAsia="fr-FR"/>
              </w:rPr>
              <w:t>(2)</w:t>
            </w:r>
          </w:p>
        </w:tc>
      </w:tr>
      <w:tr w:rsidR="00C121B0" w:rsidRPr="00B53AF8" w:rsidTr="00794BA6">
        <w:trPr>
          <w:trHeight w:val="145"/>
          <w:jc w:val="center"/>
        </w:trPr>
        <w:tc>
          <w:tcPr>
            <w:tcW w:w="1741" w:type="dxa"/>
            <w:tcBorders>
              <w:left w:val="nil"/>
              <w:bottom w:val="nil"/>
              <w:right w:val="nil"/>
            </w:tcBorders>
            <w:shd w:val="clear" w:color="auto" w:fill="auto"/>
            <w:vAlign w:val="center"/>
          </w:tcPr>
          <w:p w:rsidR="00C121B0" w:rsidRPr="00D75E0D" w:rsidRDefault="00C121B0" w:rsidP="00794BA6">
            <w:pPr>
              <w:bidi/>
              <w:spacing w:after="0" w:line="240" w:lineRule="auto"/>
              <w:ind w:firstLine="282"/>
              <w:jc w:val="center"/>
              <w:rPr>
                <w:rFonts w:ascii="Simplified Arabic" w:eastAsia="Times New Roman" w:hAnsi="Simplified Arabic" w:cs="Simplified Arabic"/>
                <w:b/>
                <w:sz w:val="24"/>
                <w:szCs w:val="24"/>
                <w:rtl/>
                <w:lang w:val="en-US" w:eastAsia="fr-FR"/>
              </w:rPr>
            </w:pPr>
          </w:p>
        </w:tc>
        <w:tc>
          <w:tcPr>
            <w:tcW w:w="2527" w:type="dxa"/>
            <w:tcBorders>
              <w:left w:val="nil"/>
              <w:bottom w:val="nil"/>
            </w:tcBorders>
            <w:shd w:val="clear" w:color="auto" w:fill="auto"/>
            <w:vAlign w:val="center"/>
          </w:tcPr>
          <w:p w:rsidR="00C121B0" w:rsidRPr="00D75E0D" w:rsidRDefault="00C121B0" w:rsidP="00794BA6">
            <w:pPr>
              <w:bidi/>
              <w:spacing w:after="0" w:line="240" w:lineRule="auto"/>
              <w:ind w:firstLine="282"/>
              <w:jc w:val="center"/>
              <w:rPr>
                <w:rFonts w:ascii="Simplified Arabic" w:eastAsia="Times New Roman" w:hAnsi="Simplified Arabic" w:cs="Simplified Arabic"/>
                <w:b/>
                <w:sz w:val="24"/>
                <w:szCs w:val="24"/>
                <w:rtl/>
                <w:lang w:val="en-US" w:eastAsia="fr-FR"/>
              </w:rPr>
            </w:pPr>
          </w:p>
        </w:tc>
        <w:tc>
          <w:tcPr>
            <w:tcW w:w="2576" w:type="dxa"/>
            <w:shd w:val="clear" w:color="auto" w:fill="auto"/>
            <w:vAlign w:val="center"/>
          </w:tcPr>
          <w:p w:rsidR="00C121B0" w:rsidRPr="00D75E0D"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sidRPr="00D75E0D">
              <w:rPr>
                <w:rFonts w:ascii="Simplified Arabic" w:eastAsia="Times New Roman" w:hAnsi="Simplified Arabic" w:cs="Simplified Arabic"/>
                <w:b/>
                <w:sz w:val="24"/>
                <w:szCs w:val="24"/>
                <w:rtl/>
                <w:lang w:val="en-US" w:eastAsia="fr-FR"/>
              </w:rPr>
              <w:t>المجموع</w:t>
            </w:r>
          </w:p>
        </w:tc>
        <w:tc>
          <w:tcPr>
            <w:tcW w:w="705" w:type="dxa"/>
            <w:shd w:val="clear" w:color="auto" w:fill="auto"/>
            <w:vAlign w:val="center"/>
          </w:tcPr>
          <w:p w:rsidR="00C121B0" w:rsidRPr="00D75E0D" w:rsidRDefault="00C121B0" w:rsidP="00794BA6">
            <w:pPr>
              <w:bidi/>
              <w:spacing w:after="0" w:line="240" w:lineRule="auto"/>
              <w:jc w:val="center"/>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12</w:t>
            </w:r>
          </w:p>
        </w:tc>
      </w:tr>
    </w:tbl>
    <w:p w:rsidR="00C121B0" w:rsidRPr="00A93DA8" w:rsidRDefault="00C121B0" w:rsidP="0007710C">
      <w:pPr>
        <w:pStyle w:val="Paragraphedeliste"/>
        <w:numPr>
          <w:ilvl w:val="3"/>
          <w:numId w:val="234"/>
        </w:numPr>
        <w:tabs>
          <w:tab w:val="right" w:pos="992"/>
        </w:tabs>
        <w:bidi/>
        <w:spacing w:after="0"/>
        <w:ind w:left="0" w:firstLine="0"/>
        <w:jc w:val="both"/>
        <w:outlineLvl w:val="2"/>
        <w:rPr>
          <w:rFonts w:ascii="Simplified Arabic" w:hAnsi="Simplified Arabic" w:cs="Simplified Arabic"/>
          <w:b/>
          <w:bCs/>
          <w:sz w:val="24"/>
          <w:szCs w:val="24"/>
          <w:lang w:val="en-US"/>
        </w:rPr>
      </w:pPr>
      <w:bookmarkStart w:id="633" w:name="_Toc171803663"/>
      <w:r w:rsidRPr="00A93DA8">
        <w:rPr>
          <w:rFonts w:ascii="Simplified Arabic" w:hAnsi="Simplified Arabic" w:cs="Simplified Arabic" w:hint="cs"/>
          <w:b/>
          <w:bCs/>
          <w:sz w:val="24"/>
          <w:szCs w:val="24"/>
          <w:rtl/>
          <w:lang w:val="en-US"/>
        </w:rPr>
        <w:t>تحليل</w:t>
      </w:r>
      <w:r w:rsidRPr="00A93DA8">
        <w:rPr>
          <w:rFonts w:ascii="Simplified Arabic" w:hAnsi="Simplified Arabic" w:cs="Simplified Arabic"/>
          <w:b/>
          <w:bCs/>
          <w:sz w:val="24"/>
          <w:szCs w:val="24"/>
          <w:rtl/>
          <w:lang w:val="en-US"/>
        </w:rPr>
        <w:t xml:space="preserve"> </w:t>
      </w:r>
      <w:r w:rsidRPr="00A93DA8">
        <w:rPr>
          <w:rFonts w:ascii="Simplified Arabic" w:hAnsi="Simplified Arabic" w:cs="Simplified Arabic" w:hint="cs"/>
          <w:b/>
          <w:bCs/>
          <w:sz w:val="24"/>
          <w:szCs w:val="24"/>
          <w:rtl/>
          <w:lang w:val="en-US"/>
        </w:rPr>
        <w:t>البيانات</w:t>
      </w:r>
      <w:bookmarkEnd w:id="633"/>
    </w:p>
    <w:p w:rsidR="00C121B0" w:rsidRDefault="00C121B0" w:rsidP="00553B7A">
      <w:pPr>
        <w:bidi/>
        <w:spacing w:after="0"/>
        <w:ind w:firstLine="282"/>
        <w:jc w:val="both"/>
        <w:rPr>
          <w:rFonts w:ascii="Simplified Arabic" w:eastAsia="Times New Roman" w:hAnsi="Simplified Arabic" w:cs="Simplified Arabic"/>
          <w:b/>
          <w:sz w:val="24"/>
          <w:szCs w:val="24"/>
          <w:rtl/>
          <w:lang w:val="en-US" w:eastAsia="fr-FR"/>
        </w:rPr>
      </w:pPr>
      <w:r w:rsidRPr="00ED27A7">
        <w:rPr>
          <w:rFonts w:ascii="Simplified Arabic" w:eastAsia="Times New Roman" w:hAnsi="Simplified Arabic" w:cs="Simplified Arabic" w:hint="cs"/>
          <w:b/>
          <w:sz w:val="24"/>
          <w:szCs w:val="24"/>
          <w:rtl/>
          <w:lang w:val="en-US" w:eastAsia="fr-FR"/>
        </w:rPr>
        <w:t>تم</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حساب </w:t>
      </w:r>
      <w:r w:rsidRPr="00ED27A7">
        <w:rPr>
          <w:rFonts w:ascii="Simplified Arabic" w:eastAsia="Times New Roman" w:hAnsi="Simplified Arabic" w:cs="Simplified Arabic" w:hint="cs"/>
          <w:b/>
          <w:sz w:val="24"/>
          <w:szCs w:val="24"/>
          <w:rtl/>
          <w:lang w:val="en-US" w:eastAsia="fr-FR"/>
        </w:rPr>
        <w:t>المتوسط</w:t>
      </w:r>
      <w:r w:rsidRPr="003121E8">
        <w:rPr>
          <w:rFonts w:ascii="Simplified Arabic" w:eastAsia="Times New Roman" w:hAnsi="Simplified Arabic" w:cs="Simplified Arabic"/>
          <w:b/>
          <w:sz w:val="24"/>
          <w:szCs w:val="24"/>
          <w:rtl/>
          <w:lang w:val="en-US" w:eastAsia="fr-FR"/>
        </w:rPr>
        <w:t xml:space="preserve"> ال</w:t>
      </w:r>
      <w:r w:rsidRPr="008C20AC">
        <w:rPr>
          <w:rFonts w:ascii="Simplified Arabic" w:eastAsia="Times New Roman" w:hAnsi="Simplified Arabic" w:cs="Simplified Arabic"/>
          <w:b/>
          <w:sz w:val="24"/>
          <w:szCs w:val="24"/>
          <w:rtl/>
          <w:lang w:val="en-US" w:eastAsia="fr-FR"/>
        </w:rPr>
        <w:t>حسابي</w:t>
      </w:r>
      <w:r w:rsidRPr="00ED27A7">
        <w:rPr>
          <w:rFonts w:ascii="Simplified Arabic" w:eastAsia="Times New Roman" w:hAnsi="Simplified Arabic" w:cs="Simplified Arabic"/>
          <w:b/>
          <w:sz w:val="24"/>
          <w:szCs w:val="24"/>
          <w:rtl/>
          <w:lang w:val="en-US" w:eastAsia="fr-FR"/>
        </w:rPr>
        <w:t xml:space="preserve"> </w:t>
      </w:r>
      <w:r w:rsidRPr="007352BF">
        <w:rPr>
          <w:rFonts w:asciiTheme="majorBidi" w:hAnsiTheme="majorBidi" w:cstheme="majorBidi"/>
          <w:sz w:val="24"/>
          <w:szCs w:val="24"/>
          <w:rtl/>
          <w:lang w:val="en-US"/>
        </w:rPr>
        <w:t>(</w:t>
      </w:r>
      <w:r w:rsidRPr="007352BF">
        <w:rPr>
          <w:rFonts w:asciiTheme="majorBidi" w:hAnsiTheme="majorBidi" w:cstheme="majorBidi"/>
          <w:sz w:val="24"/>
          <w:szCs w:val="24"/>
          <w:lang w:val="en-US"/>
        </w:rPr>
        <w:t>x̅</w:t>
      </w:r>
      <w:r w:rsidRPr="007352BF">
        <w:rPr>
          <w:rFonts w:asciiTheme="majorBidi" w:hAnsiTheme="majorBidi" w:cstheme="majorBidi"/>
          <w:sz w:val="24"/>
          <w:szCs w:val="24"/>
          <w:rtl/>
          <w:lang w:val="en-US"/>
        </w:rPr>
        <w:t>)</w:t>
      </w:r>
      <w:r w:rsidRPr="003A0045">
        <w:rPr>
          <w:rFonts w:asciiTheme="minorBidi" w:hAnsiTheme="minorBidi" w:cs="Arial"/>
          <w:sz w:val="28"/>
          <w:szCs w:val="28"/>
          <w:rtl/>
          <w:lang w:val="en-US"/>
        </w:rPr>
        <w:t xml:space="preserve"> </w:t>
      </w:r>
      <w:r w:rsidRPr="00ED27A7">
        <w:rPr>
          <w:rFonts w:ascii="Simplified Arabic" w:eastAsia="Times New Roman" w:hAnsi="Simplified Arabic" w:cs="Simplified Arabic" w:hint="cs"/>
          <w:b/>
          <w:sz w:val="24"/>
          <w:szCs w:val="24"/>
          <w:rtl/>
          <w:lang w:val="en-US" w:eastAsia="fr-FR"/>
        </w:rPr>
        <w:t>واستخدامهما</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لجميع</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الاستجابات</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كمقياس</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معتمد،</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لتحديد</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مستوى</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أهمية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العوامل</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بتقييم المرونة </w:t>
      </w:r>
      <w:r w:rsidRPr="00ED27A7">
        <w:rPr>
          <w:rFonts w:ascii="Simplified Arabic" w:eastAsia="Times New Roman" w:hAnsi="Simplified Arabic" w:cs="Simplified Arabic" w:hint="cs"/>
          <w:b/>
          <w:sz w:val="24"/>
          <w:szCs w:val="24"/>
          <w:rtl/>
          <w:lang w:val="en-US" w:eastAsia="fr-FR"/>
        </w:rPr>
        <w:t>الحضرية</w:t>
      </w:r>
      <w:r>
        <w:rPr>
          <w:rFonts w:ascii="Simplified Arabic" w:eastAsia="Times New Roman" w:hAnsi="Simplified Arabic" w:cs="Simplified Arabic"/>
          <w:b/>
          <w:sz w:val="24"/>
          <w:szCs w:val="24"/>
          <w:rtl/>
          <w:lang w:val="en-US" w:eastAsia="fr-FR"/>
        </w:rPr>
        <w:t>.</w:t>
      </w:r>
      <w:r w:rsidR="00553B7A">
        <w:rPr>
          <w:rFonts w:ascii="Simplified Arabic" w:eastAsia="Times New Roman" w:hAnsi="Simplified Arabic" w:cs="Simplified Arabic" w:hint="cs"/>
          <w:b/>
          <w:sz w:val="24"/>
          <w:szCs w:val="24"/>
          <w:rtl/>
          <w:lang w:val="en-US" w:eastAsia="fr-FR"/>
        </w:rPr>
        <w:t xml:space="preserve"> </w:t>
      </w:r>
      <w:r w:rsidRPr="003121E8">
        <w:rPr>
          <w:rFonts w:ascii="Simplified Arabic" w:eastAsia="Times New Roman" w:hAnsi="Simplified Arabic" w:cs="Simplified Arabic"/>
          <w:b/>
          <w:sz w:val="24"/>
          <w:szCs w:val="24"/>
          <w:rtl/>
          <w:lang w:val="en-US" w:eastAsia="fr-FR"/>
        </w:rPr>
        <w:t>تراوحت قيم</w:t>
      </w:r>
      <w:r w:rsidRPr="003121E8">
        <w:rPr>
          <w:rFonts w:ascii="Simplified Arabic" w:hAnsi="Simplified Arabic" w:cs="Simplified Arabic"/>
          <w:sz w:val="24"/>
          <w:szCs w:val="24"/>
          <w:rtl/>
          <w:lang w:val="en-US"/>
        </w:rPr>
        <w:t xml:space="preserve"> المتوسط الحسابي</w:t>
      </w:r>
      <w:r w:rsidRPr="00A52E7E">
        <w:rPr>
          <w:rFonts w:asciiTheme="majorBidi" w:hAnsiTheme="majorBidi" w:cstheme="majorBidi"/>
          <w:sz w:val="24"/>
          <w:szCs w:val="24"/>
          <w:rtl/>
          <w:lang w:val="en-US"/>
        </w:rPr>
        <w:t xml:space="preserve"> (</w:t>
      </w:r>
      <w:r w:rsidRPr="00A52E7E">
        <w:rPr>
          <w:rFonts w:asciiTheme="majorBidi" w:hAnsiTheme="majorBidi" w:cstheme="majorBidi"/>
          <w:sz w:val="24"/>
          <w:szCs w:val="24"/>
          <w:lang w:val="en-US"/>
        </w:rPr>
        <w:t>x̅</w:t>
      </w:r>
      <w:r w:rsidRPr="00A52E7E">
        <w:rPr>
          <w:rFonts w:asciiTheme="majorBidi" w:hAnsiTheme="majorBidi" w:cstheme="majorBidi"/>
          <w:sz w:val="24"/>
          <w:szCs w:val="24"/>
          <w:rtl/>
          <w:lang w:val="en-US"/>
        </w:rPr>
        <w:t>)</w:t>
      </w:r>
      <w:r w:rsidRPr="003A0045">
        <w:rPr>
          <w:rFonts w:asciiTheme="minorBidi" w:hAnsiTheme="minorBidi" w:cs="Arial"/>
          <w:sz w:val="28"/>
          <w:szCs w:val="28"/>
          <w:rtl/>
          <w:lang w:val="en-US"/>
        </w:rPr>
        <w:t xml:space="preserve"> </w:t>
      </w:r>
      <w:r w:rsidRPr="00ED27A7">
        <w:rPr>
          <w:rFonts w:ascii="Simplified Arabic" w:eastAsia="Times New Roman" w:hAnsi="Simplified Arabic" w:cs="Simplified Arabic" w:hint="cs"/>
          <w:b/>
          <w:sz w:val="24"/>
          <w:szCs w:val="24"/>
          <w:rtl/>
          <w:lang w:val="en-US" w:eastAsia="fr-FR"/>
        </w:rPr>
        <w:t>بين</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2</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و</w:t>
      </w:r>
      <w:r w:rsidRPr="00ED27A7">
        <w:rPr>
          <w:rFonts w:ascii="Simplified Arabic" w:eastAsia="Times New Roman" w:hAnsi="Simplified Arabic" w:cs="Simplified Arabic"/>
          <w:b/>
          <w:sz w:val="24"/>
          <w:szCs w:val="24"/>
          <w:rtl/>
          <w:lang w:val="en-US" w:eastAsia="fr-FR"/>
        </w:rPr>
        <w:t xml:space="preserve"> 5 </w:t>
      </w:r>
      <w:r w:rsidRPr="00ED27A7">
        <w:rPr>
          <w:rFonts w:ascii="Simplified Arabic" w:eastAsia="Times New Roman" w:hAnsi="Simplified Arabic" w:cs="Simplified Arabic" w:hint="cs"/>
          <w:b/>
          <w:sz w:val="24"/>
          <w:szCs w:val="24"/>
          <w:rtl/>
          <w:lang w:val="en-US" w:eastAsia="fr-FR"/>
        </w:rPr>
        <w:t>ولم</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تنخفض</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أبدًا</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عن</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2</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في</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أي</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جو</w:t>
      </w:r>
      <w:r>
        <w:rPr>
          <w:rFonts w:ascii="Simplified Arabic" w:eastAsia="Times New Roman" w:hAnsi="Simplified Arabic" w:cs="Simplified Arabic" w:hint="cs"/>
          <w:b/>
          <w:sz w:val="24"/>
          <w:szCs w:val="24"/>
          <w:rtl/>
          <w:lang w:val="en-US" w:eastAsia="fr-FR"/>
        </w:rPr>
        <w:t>لة.</w:t>
      </w:r>
      <w:r w:rsidRPr="003121E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من</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خلال الجدول </w:t>
      </w:r>
      <w:r w:rsidR="00B8189A">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5</w:t>
      </w:r>
      <w:r w:rsidR="00B8189A">
        <w:rPr>
          <w:rFonts w:ascii="Simplified Arabic" w:eastAsia="Times New Roman" w:hAnsi="Simplified Arabic" w:cs="Simplified Arabic" w:hint="cs"/>
          <w:b/>
          <w:sz w:val="24"/>
          <w:szCs w:val="24"/>
          <w:rtl/>
          <w:lang w:val="en-US" w:eastAsia="fr-FR"/>
        </w:rPr>
        <w:t>)</w:t>
      </w:r>
      <w:r>
        <w:rPr>
          <w:rFonts w:ascii="Simplified Arabic" w:eastAsia="Times New Roman" w:hAnsi="Simplified Arabic" w:cs="Simplified Arabic" w:hint="cs"/>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أظهرت</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الردود</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تحركًا</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نحو</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الإجماع</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في الآراء </w:t>
      </w:r>
      <w:r w:rsidRPr="00ED27A7">
        <w:rPr>
          <w:rFonts w:ascii="Simplified Arabic" w:eastAsia="Times New Roman" w:hAnsi="Simplified Arabic" w:cs="Simplified Arabic" w:hint="cs"/>
          <w:b/>
          <w:sz w:val="24"/>
          <w:szCs w:val="24"/>
          <w:rtl/>
          <w:lang w:val="en-US" w:eastAsia="fr-FR"/>
        </w:rPr>
        <w:t>من</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التقييم</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الأول</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في الجولة الاولى </w:t>
      </w:r>
      <w:r w:rsidRPr="00ED27A7">
        <w:rPr>
          <w:rFonts w:ascii="Simplified Arabic" w:eastAsia="Times New Roman" w:hAnsi="Simplified Arabic" w:cs="Simplified Arabic" w:hint="cs"/>
          <w:b/>
          <w:sz w:val="24"/>
          <w:szCs w:val="24"/>
          <w:rtl/>
          <w:lang w:val="en-US" w:eastAsia="fr-FR"/>
        </w:rPr>
        <w:t>إلى</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التقييم</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الثاني</w:t>
      </w:r>
      <w:r>
        <w:rPr>
          <w:rFonts w:ascii="Simplified Arabic" w:eastAsia="Times New Roman" w:hAnsi="Simplified Arabic" w:cs="Simplified Arabic" w:hint="cs"/>
          <w:b/>
          <w:sz w:val="24"/>
          <w:szCs w:val="24"/>
          <w:rtl/>
          <w:lang w:val="en-US" w:eastAsia="fr-FR"/>
        </w:rPr>
        <w:t xml:space="preserve"> والثالث</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لغالبية</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العوامل</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كما</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يتضح</w:t>
      </w:r>
      <w:r w:rsidRPr="00ED27A7">
        <w:rPr>
          <w:rFonts w:ascii="Simplified Arabic" w:eastAsia="Times New Roman" w:hAnsi="Simplified Arabic" w:cs="Simplified Arabic"/>
          <w:b/>
          <w:sz w:val="24"/>
          <w:szCs w:val="24"/>
          <w:rtl/>
          <w:lang w:val="en-US" w:eastAsia="fr-FR"/>
        </w:rPr>
        <w:t xml:space="preserve"> </w:t>
      </w:r>
      <w:r w:rsidRPr="00ED27A7">
        <w:rPr>
          <w:rFonts w:ascii="Simplified Arabic" w:eastAsia="Times New Roman" w:hAnsi="Simplified Arabic" w:cs="Simplified Arabic" w:hint="cs"/>
          <w:b/>
          <w:sz w:val="24"/>
          <w:szCs w:val="24"/>
          <w:rtl/>
          <w:lang w:val="en-US" w:eastAsia="fr-FR"/>
        </w:rPr>
        <w:t>من</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ارتفاع قيمة المتوسط الحسابي </w:t>
      </w:r>
      <w:r w:rsidRPr="00A52E7E">
        <w:rPr>
          <w:rFonts w:asciiTheme="majorBidi" w:hAnsiTheme="majorBidi" w:cstheme="majorBidi"/>
          <w:sz w:val="24"/>
          <w:szCs w:val="24"/>
          <w:rtl/>
          <w:lang w:val="en-US"/>
        </w:rPr>
        <w:t>(</w:t>
      </w:r>
      <w:r w:rsidRPr="00A52E7E">
        <w:rPr>
          <w:rFonts w:asciiTheme="majorBidi" w:hAnsiTheme="majorBidi" w:cstheme="majorBidi"/>
          <w:sz w:val="24"/>
          <w:szCs w:val="24"/>
          <w:lang w:val="en-US"/>
        </w:rPr>
        <w:t>x̅</w:t>
      </w:r>
      <w:r w:rsidRPr="00A52E7E">
        <w:rPr>
          <w:rFonts w:asciiTheme="majorBidi" w:hAnsiTheme="majorBidi" w:cstheme="majorBidi"/>
          <w:sz w:val="24"/>
          <w:szCs w:val="24"/>
          <w:rtl/>
          <w:lang w:val="en-US"/>
        </w:rPr>
        <w:t>)</w:t>
      </w:r>
      <w:r>
        <w:rPr>
          <w:rFonts w:asciiTheme="majorBidi" w:hAnsiTheme="majorBidi" w:cstheme="majorBidi" w:hint="cs"/>
          <w:sz w:val="24"/>
          <w:szCs w:val="24"/>
          <w:rtl/>
          <w:lang w:val="en-US"/>
        </w:rPr>
        <w:t xml:space="preserve"> </w:t>
      </w:r>
      <w:r w:rsidRPr="003121E8">
        <w:rPr>
          <w:rFonts w:ascii="Simplified Arabic" w:eastAsia="Times New Roman" w:hAnsi="Simplified Arabic" w:cs="Simplified Arabic"/>
          <w:b/>
          <w:sz w:val="24"/>
          <w:szCs w:val="24"/>
          <w:rtl/>
          <w:lang w:val="en-US" w:eastAsia="fr-FR"/>
        </w:rPr>
        <w:t xml:space="preserve">حيث حصل اغلب العوامل على درجة </w:t>
      </w:r>
      <w:r>
        <w:rPr>
          <w:rFonts w:ascii="Simplified Arabic" w:eastAsia="Times New Roman" w:hAnsi="Simplified Arabic" w:cs="Simplified Arabic" w:hint="cs"/>
          <w:b/>
          <w:sz w:val="24"/>
          <w:szCs w:val="24"/>
          <w:rtl/>
          <w:lang w:val="en-US" w:eastAsia="fr-FR"/>
        </w:rPr>
        <w:t>اعلى من 2</w:t>
      </w:r>
      <w:r w:rsidRPr="003121E8">
        <w:rPr>
          <w:rFonts w:ascii="Simplified Arabic" w:eastAsia="Times New Roman" w:hAnsi="Simplified Arabic" w:cs="Simplified Arabic"/>
          <w:b/>
          <w:sz w:val="24"/>
          <w:szCs w:val="24"/>
          <w:rtl/>
          <w:lang w:val="en-US" w:eastAsia="fr-FR"/>
        </w:rPr>
        <w:t>.</w:t>
      </w:r>
    </w:p>
    <w:p w:rsidR="00C121B0" w:rsidRDefault="00C121B0" w:rsidP="00010DE7">
      <w:pPr>
        <w:pStyle w:val="Tableau"/>
        <w:rPr>
          <w:rtl/>
          <w:lang w:val="en-US"/>
        </w:rPr>
      </w:pPr>
      <w:bookmarkStart w:id="634" w:name="_Toc157612995"/>
      <w:bookmarkStart w:id="635" w:name="_Toc171803664"/>
      <w:r w:rsidRPr="00DF404A">
        <w:rPr>
          <w:rtl/>
          <w:lang w:val="en-US"/>
        </w:rPr>
        <w:lastRenderedPageBreak/>
        <w:t xml:space="preserve">الجدول </w:t>
      </w:r>
      <w:r w:rsidR="00B8189A">
        <w:rPr>
          <w:rFonts w:eastAsia="Times New Roman" w:hint="cs"/>
          <w:rtl/>
          <w:lang w:val="en-US" w:eastAsia="fr-FR"/>
        </w:rPr>
        <w:t>(5-</w:t>
      </w:r>
      <w:r w:rsidR="00C05812">
        <w:rPr>
          <w:rFonts w:eastAsia="Times New Roman" w:hint="cs"/>
          <w:rtl/>
          <w:lang w:val="en-US" w:eastAsia="fr-FR"/>
        </w:rPr>
        <w:t>5</w:t>
      </w:r>
      <w:r w:rsidR="00B8189A">
        <w:rPr>
          <w:rFonts w:eastAsia="Times New Roman" w:hint="cs"/>
          <w:rtl/>
          <w:lang w:val="en-US" w:eastAsia="fr-FR"/>
        </w:rPr>
        <w:t>)</w:t>
      </w:r>
      <w:r w:rsidRPr="00DF404A">
        <w:rPr>
          <w:rtl/>
          <w:lang w:val="en-US"/>
        </w:rPr>
        <w:t>: التحليل الإحصائي لإجابات المسح حسب الجولة</w:t>
      </w:r>
      <w:bookmarkEnd w:id="634"/>
      <w:bookmarkEnd w:id="635"/>
    </w:p>
    <w:p w:rsidR="00010DE7" w:rsidRPr="00010DE7" w:rsidRDefault="00010DE7" w:rsidP="00010DE7">
      <w:pPr>
        <w:pStyle w:val="fegure"/>
        <w:rPr>
          <w:sz w:val="8"/>
          <w:szCs w:val="24"/>
          <w:rtl/>
          <w:lang w:val="en-US" w:bidi="ar-DZ"/>
        </w:rPr>
      </w:pPr>
      <w:bookmarkStart w:id="636" w:name="_Toc171803665"/>
      <w:r>
        <w:rPr>
          <w:rFonts w:hint="cs"/>
          <w:sz w:val="8"/>
          <w:szCs w:val="24"/>
          <w:rtl/>
          <w:lang w:val="en-US"/>
        </w:rPr>
        <w:t>المصدر: (الباحث، 2022)</w:t>
      </w:r>
      <w:bookmarkEnd w:id="636"/>
    </w:p>
    <w:tbl>
      <w:tblPr>
        <w:tblStyle w:val="Grilledutableau"/>
        <w:bidiVisual/>
        <w:tblW w:w="0" w:type="auto"/>
        <w:jc w:val="center"/>
        <w:tblInd w:w="-177" w:type="dxa"/>
        <w:tblLook w:val="04A0" w:firstRow="1" w:lastRow="0" w:firstColumn="1" w:lastColumn="0" w:noHBand="0" w:noVBand="1"/>
      </w:tblPr>
      <w:tblGrid>
        <w:gridCol w:w="2763"/>
        <w:gridCol w:w="1134"/>
        <w:gridCol w:w="1134"/>
        <w:gridCol w:w="993"/>
        <w:gridCol w:w="1541"/>
      </w:tblGrid>
      <w:tr w:rsidR="00C121B0" w:rsidRPr="00E4293A" w:rsidTr="00794BA6">
        <w:trPr>
          <w:trHeight w:val="684"/>
          <w:jc w:val="center"/>
        </w:trPr>
        <w:tc>
          <w:tcPr>
            <w:tcW w:w="2763" w:type="dxa"/>
            <w:vAlign w:val="center"/>
          </w:tcPr>
          <w:p w:rsidR="00C121B0" w:rsidRPr="00E4293A" w:rsidRDefault="00C121B0" w:rsidP="00A93DA8">
            <w:pPr>
              <w:bidi/>
              <w:jc w:val="center"/>
              <w:rPr>
                <w:rFonts w:ascii="Simplified Arabic" w:hAnsi="Simplified Arabic" w:cs="Simplified Arabic"/>
                <w:sz w:val="24"/>
                <w:szCs w:val="24"/>
                <w:rtl/>
                <w:lang w:val="en-US"/>
              </w:rPr>
            </w:pPr>
            <w:r>
              <w:rPr>
                <w:rFonts w:ascii="Simplified Arabic" w:eastAsia="Times New Roman" w:hAnsi="Simplified Arabic" w:cs="Simplified Arabic" w:hint="cs"/>
                <w:color w:val="000000"/>
                <w:sz w:val="24"/>
                <w:szCs w:val="24"/>
                <w:rtl/>
                <w:lang w:eastAsia="fr-FR"/>
              </w:rPr>
              <w:t>العوامل</w:t>
            </w:r>
          </w:p>
        </w:tc>
        <w:tc>
          <w:tcPr>
            <w:tcW w:w="1134" w:type="dxa"/>
            <w:vAlign w:val="center"/>
          </w:tcPr>
          <w:p w:rsidR="00C121B0" w:rsidRPr="00E4293A" w:rsidRDefault="00C121B0" w:rsidP="00A93DA8">
            <w:pPr>
              <w:bidi/>
              <w:jc w:val="center"/>
              <w:rPr>
                <w:rFonts w:ascii="Simplified Arabic" w:hAnsi="Simplified Arabic" w:cs="Simplified Arabic"/>
                <w:sz w:val="24"/>
                <w:szCs w:val="24"/>
                <w:rtl/>
                <w:lang w:val="en-US"/>
              </w:rPr>
            </w:pPr>
            <w:r w:rsidRPr="00E4293A">
              <w:rPr>
                <w:rFonts w:ascii="Simplified Arabic" w:hAnsi="Simplified Arabic" w:cs="Simplified Arabic"/>
                <w:sz w:val="24"/>
                <w:szCs w:val="24"/>
                <w:rtl/>
                <w:lang w:val="en-US"/>
              </w:rPr>
              <w:t>الجولة 1</w:t>
            </w:r>
          </w:p>
          <w:p w:rsidR="00C121B0" w:rsidRPr="00E4293A" w:rsidRDefault="00C121B0" w:rsidP="00A93DA8">
            <w:pPr>
              <w:bidi/>
              <w:jc w:val="center"/>
              <w:rPr>
                <w:rFonts w:ascii="Simplified Arabic" w:hAnsi="Simplified Arabic" w:cs="Simplified Arabic"/>
                <w:sz w:val="24"/>
                <w:szCs w:val="24"/>
                <w:rtl/>
                <w:lang w:val="en-US"/>
              </w:rPr>
            </w:pPr>
            <w:r w:rsidRPr="00E4293A">
              <w:rPr>
                <w:rFonts w:asciiTheme="majorBidi" w:hAnsiTheme="majorBidi" w:cstheme="majorBidi"/>
                <w:sz w:val="24"/>
                <w:szCs w:val="24"/>
                <w:rtl/>
                <w:lang w:val="en-US"/>
              </w:rPr>
              <w:t>(</w:t>
            </w:r>
            <w:r w:rsidRPr="00E4293A">
              <w:rPr>
                <w:rFonts w:asciiTheme="majorBidi" w:hAnsiTheme="majorBidi" w:cstheme="majorBidi"/>
                <w:sz w:val="24"/>
                <w:szCs w:val="24"/>
                <w:lang w:val="en-US"/>
              </w:rPr>
              <w:t>x̅</w:t>
            </w:r>
            <w:r w:rsidRPr="00E4293A">
              <w:rPr>
                <w:rFonts w:asciiTheme="majorBidi" w:hAnsiTheme="majorBidi" w:cstheme="majorBidi"/>
                <w:sz w:val="24"/>
                <w:szCs w:val="24"/>
                <w:rtl/>
                <w:lang w:val="en-US"/>
              </w:rPr>
              <w:t>)</w:t>
            </w:r>
          </w:p>
        </w:tc>
        <w:tc>
          <w:tcPr>
            <w:tcW w:w="1134" w:type="dxa"/>
            <w:vAlign w:val="center"/>
          </w:tcPr>
          <w:p w:rsidR="00C121B0" w:rsidRPr="00E4293A" w:rsidRDefault="00C121B0" w:rsidP="00A93DA8">
            <w:pPr>
              <w:bidi/>
              <w:jc w:val="center"/>
              <w:rPr>
                <w:rFonts w:ascii="Simplified Arabic" w:hAnsi="Simplified Arabic" w:cs="Simplified Arabic"/>
                <w:sz w:val="24"/>
                <w:szCs w:val="24"/>
                <w:rtl/>
                <w:lang w:val="en-US"/>
              </w:rPr>
            </w:pPr>
            <w:r w:rsidRPr="00E4293A">
              <w:rPr>
                <w:rFonts w:ascii="Simplified Arabic" w:hAnsi="Simplified Arabic" w:cs="Simplified Arabic"/>
                <w:sz w:val="24"/>
                <w:szCs w:val="24"/>
                <w:rtl/>
                <w:lang w:val="en-US"/>
              </w:rPr>
              <w:t>الجولة 2</w:t>
            </w:r>
          </w:p>
          <w:p w:rsidR="00C121B0" w:rsidRPr="00E4293A" w:rsidRDefault="00C121B0" w:rsidP="00A93DA8">
            <w:pPr>
              <w:bidi/>
              <w:jc w:val="center"/>
              <w:rPr>
                <w:rFonts w:ascii="Simplified Arabic" w:hAnsi="Simplified Arabic" w:cs="Simplified Arabic"/>
                <w:sz w:val="24"/>
                <w:szCs w:val="24"/>
                <w:rtl/>
                <w:lang w:val="en-US"/>
              </w:rPr>
            </w:pPr>
            <w:r w:rsidRPr="00E4293A">
              <w:rPr>
                <w:rFonts w:asciiTheme="majorBidi" w:hAnsiTheme="majorBidi" w:cstheme="majorBidi"/>
                <w:sz w:val="24"/>
                <w:szCs w:val="24"/>
                <w:rtl/>
                <w:lang w:val="en-US"/>
              </w:rPr>
              <w:t>(</w:t>
            </w:r>
            <w:r w:rsidRPr="00E4293A">
              <w:rPr>
                <w:rFonts w:asciiTheme="majorBidi" w:hAnsiTheme="majorBidi" w:cstheme="majorBidi"/>
                <w:sz w:val="24"/>
                <w:szCs w:val="24"/>
                <w:lang w:val="en-US"/>
              </w:rPr>
              <w:t>x̅</w:t>
            </w:r>
            <w:r w:rsidRPr="00E4293A">
              <w:rPr>
                <w:rFonts w:asciiTheme="majorBidi" w:hAnsiTheme="majorBidi" w:cstheme="majorBidi"/>
                <w:sz w:val="24"/>
                <w:szCs w:val="24"/>
                <w:rtl/>
                <w:lang w:val="en-US"/>
              </w:rPr>
              <w:t>)</w:t>
            </w:r>
          </w:p>
        </w:tc>
        <w:tc>
          <w:tcPr>
            <w:tcW w:w="993" w:type="dxa"/>
            <w:vAlign w:val="center"/>
          </w:tcPr>
          <w:p w:rsidR="00C121B0" w:rsidRPr="00E4293A" w:rsidRDefault="00C121B0" w:rsidP="00A93DA8">
            <w:pPr>
              <w:bidi/>
              <w:jc w:val="center"/>
              <w:rPr>
                <w:rFonts w:ascii="Simplified Arabic" w:hAnsi="Simplified Arabic" w:cs="Simplified Arabic"/>
                <w:sz w:val="24"/>
                <w:szCs w:val="24"/>
                <w:rtl/>
                <w:lang w:val="en-US"/>
              </w:rPr>
            </w:pPr>
            <w:r w:rsidRPr="00E4293A">
              <w:rPr>
                <w:rFonts w:ascii="Simplified Arabic" w:hAnsi="Simplified Arabic" w:cs="Simplified Arabic"/>
                <w:sz w:val="24"/>
                <w:szCs w:val="24"/>
                <w:rtl/>
                <w:lang w:val="en-US"/>
              </w:rPr>
              <w:t>الجولة 3</w:t>
            </w:r>
          </w:p>
          <w:p w:rsidR="00C121B0" w:rsidRPr="00E4293A" w:rsidRDefault="00C121B0" w:rsidP="00A93DA8">
            <w:pPr>
              <w:bidi/>
              <w:jc w:val="center"/>
              <w:rPr>
                <w:rFonts w:ascii="Simplified Arabic" w:hAnsi="Simplified Arabic" w:cs="Simplified Arabic"/>
                <w:sz w:val="24"/>
                <w:szCs w:val="24"/>
                <w:rtl/>
                <w:lang w:val="en-US"/>
              </w:rPr>
            </w:pPr>
            <w:r w:rsidRPr="00E4293A">
              <w:rPr>
                <w:rFonts w:asciiTheme="majorBidi" w:hAnsiTheme="majorBidi" w:cstheme="majorBidi"/>
                <w:sz w:val="24"/>
                <w:szCs w:val="24"/>
                <w:rtl/>
                <w:lang w:val="en-US"/>
              </w:rPr>
              <w:t>(</w:t>
            </w:r>
            <w:r w:rsidRPr="00E4293A">
              <w:rPr>
                <w:rFonts w:asciiTheme="majorBidi" w:hAnsiTheme="majorBidi" w:cstheme="majorBidi"/>
                <w:sz w:val="24"/>
                <w:szCs w:val="24"/>
                <w:lang w:val="en-US"/>
              </w:rPr>
              <w:t>x̅</w:t>
            </w:r>
            <w:r w:rsidRPr="00E4293A">
              <w:rPr>
                <w:rFonts w:asciiTheme="majorBidi" w:hAnsiTheme="majorBidi" w:cstheme="majorBidi"/>
                <w:sz w:val="24"/>
                <w:szCs w:val="24"/>
                <w:rtl/>
                <w:lang w:val="en-US"/>
              </w:rPr>
              <w:t>)</w:t>
            </w:r>
          </w:p>
        </w:tc>
        <w:tc>
          <w:tcPr>
            <w:tcW w:w="1541" w:type="dxa"/>
            <w:vAlign w:val="center"/>
          </w:tcPr>
          <w:p w:rsidR="00C121B0" w:rsidRPr="00E4293A" w:rsidRDefault="00C121B0" w:rsidP="00A93DA8">
            <w:pPr>
              <w:bidi/>
              <w:jc w:val="center"/>
              <w:rPr>
                <w:rFonts w:ascii="Simplified Arabic" w:hAnsi="Simplified Arabic" w:cs="Simplified Arabic"/>
                <w:sz w:val="24"/>
                <w:szCs w:val="24"/>
                <w:rtl/>
                <w:lang w:val="en-US"/>
              </w:rPr>
            </w:pPr>
            <w:r w:rsidRPr="00E4293A">
              <w:rPr>
                <w:rFonts w:ascii="Simplified Arabic" w:hAnsi="Simplified Arabic" w:cs="Simplified Arabic"/>
                <w:sz w:val="24"/>
                <w:szCs w:val="24"/>
                <w:rtl/>
                <w:lang w:val="en-US"/>
              </w:rPr>
              <w:t xml:space="preserve">المتوسط الحسابي </w:t>
            </w:r>
            <w:r w:rsidRPr="00E4293A">
              <w:rPr>
                <w:rFonts w:asciiTheme="majorBidi" w:hAnsiTheme="majorBidi" w:cstheme="majorBidi"/>
                <w:sz w:val="24"/>
                <w:szCs w:val="24"/>
                <w:rtl/>
                <w:lang w:val="en-US"/>
              </w:rPr>
              <w:t>(</w:t>
            </w:r>
            <w:r w:rsidRPr="00E4293A">
              <w:rPr>
                <w:rFonts w:asciiTheme="majorBidi" w:hAnsiTheme="majorBidi" w:cstheme="majorBidi"/>
                <w:sz w:val="24"/>
                <w:szCs w:val="24"/>
                <w:lang w:val="en-US"/>
              </w:rPr>
              <w:t>x̅</w:t>
            </w:r>
            <w:r w:rsidRPr="00E4293A">
              <w:rPr>
                <w:rFonts w:asciiTheme="majorBidi" w:hAnsiTheme="majorBidi" w:cstheme="majorBidi"/>
                <w:sz w:val="24"/>
                <w:szCs w:val="24"/>
                <w:rtl/>
                <w:lang w:val="en-US"/>
              </w:rPr>
              <w:t>)</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كثافة البناء</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36</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93</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4,50</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3,</w:t>
            </w:r>
            <w:r>
              <w:rPr>
                <w:rFonts w:ascii="Simplified Arabic" w:eastAsia="Times New Roman" w:hAnsi="Simplified Arabic" w:cs="Simplified Arabic"/>
                <w:b/>
                <w:bCs/>
                <w:color w:val="000000"/>
                <w:sz w:val="24"/>
                <w:szCs w:val="24"/>
                <w:lang w:eastAsia="fr-FR"/>
              </w:rPr>
              <w:t>93</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الصحية</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86</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21</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4,83</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30</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الامنية</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43</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14</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4,50</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02</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مرافق الانقاذ</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29</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57</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4,75</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54</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التعليمية</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57</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07</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4,67</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10</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المساحات المفتوحة</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3,00</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21</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2,75</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2,</w:t>
            </w:r>
            <w:r>
              <w:rPr>
                <w:rFonts w:ascii="Simplified Arabic" w:eastAsia="Times New Roman" w:hAnsi="Simplified Arabic" w:cs="Simplified Arabic"/>
                <w:b/>
                <w:bCs/>
                <w:color w:val="000000"/>
                <w:sz w:val="24"/>
                <w:szCs w:val="24"/>
                <w:lang w:eastAsia="fr-FR"/>
              </w:rPr>
              <w:t>99</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الدينية/الثقافية</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64</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07</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4,58</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10</w:t>
            </w:r>
          </w:p>
        </w:tc>
      </w:tr>
      <w:tr w:rsidR="002564B5" w:rsidRPr="00E4293A" w:rsidTr="00794BA6">
        <w:trPr>
          <w:jc w:val="center"/>
        </w:trPr>
        <w:tc>
          <w:tcPr>
            <w:tcW w:w="2763" w:type="dxa"/>
            <w:vAlign w:val="center"/>
          </w:tcPr>
          <w:p w:rsidR="002564B5" w:rsidRPr="00326CF1" w:rsidRDefault="00D50865" w:rsidP="00A93DA8">
            <w:pPr>
              <w:bidi/>
              <w:rPr>
                <w:rFonts w:ascii="Simplified Arabic" w:eastAsia="Times New Roman" w:hAnsi="Simplified Arabic" w:cs="Simplified Arabic"/>
                <w:color w:val="000000"/>
                <w:sz w:val="24"/>
                <w:szCs w:val="24"/>
                <w:lang w:eastAsia="fr-FR"/>
              </w:rPr>
            </w:pPr>
            <w:r w:rsidRPr="0077622D">
              <w:rPr>
                <w:rFonts w:ascii="Simplified Arabic" w:hAnsi="Simplified Arabic" w:cs="Simplified Arabic" w:hint="cs"/>
                <w:sz w:val="24"/>
                <w:szCs w:val="24"/>
                <w:rtl/>
                <w:lang w:val="en-US"/>
              </w:rPr>
              <w:t>عمق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الشريانية</w:t>
            </w:r>
          </w:p>
        </w:tc>
        <w:tc>
          <w:tcPr>
            <w:tcW w:w="1134" w:type="dxa"/>
            <w:vAlign w:val="center"/>
          </w:tcPr>
          <w:p w:rsidR="002564B5" w:rsidRPr="00F55578" w:rsidRDefault="002564B5"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93</w:t>
            </w:r>
          </w:p>
        </w:tc>
        <w:tc>
          <w:tcPr>
            <w:tcW w:w="1134" w:type="dxa"/>
            <w:vAlign w:val="center"/>
          </w:tcPr>
          <w:p w:rsidR="002564B5" w:rsidRPr="00F55578" w:rsidRDefault="002564B5"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w:t>
            </w:r>
            <w:r>
              <w:rPr>
                <w:rFonts w:ascii="Simplified Arabic" w:eastAsia="Times New Roman" w:hAnsi="Simplified Arabic" w:cs="Simplified Arabic"/>
                <w:color w:val="000000"/>
                <w:sz w:val="24"/>
                <w:szCs w:val="24"/>
                <w:lang w:eastAsia="fr-FR"/>
              </w:rPr>
              <w:t>43</w:t>
            </w:r>
          </w:p>
        </w:tc>
        <w:tc>
          <w:tcPr>
            <w:tcW w:w="993" w:type="dxa"/>
            <w:vAlign w:val="center"/>
          </w:tcPr>
          <w:p w:rsidR="002564B5" w:rsidRPr="00F55578" w:rsidRDefault="002564B5"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4,67</w:t>
            </w:r>
          </w:p>
        </w:tc>
        <w:tc>
          <w:tcPr>
            <w:tcW w:w="1541" w:type="dxa"/>
            <w:vAlign w:val="bottom"/>
          </w:tcPr>
          <w:p w:rsidR="002564B5" w:rsidRPr="00E4293A" w:rsidRDefault="002564B5"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34</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شبكة النقل</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3,</w:t>
            </w:r>
            <w:r>
              <w:rPr>
                <w:rFonts w:ascii="Simplified Arabic" w:eastAsia="Times New Roman" w:hAnsi="Simplified Arabic" w:cs="Simplified Arabic"/>
                <w:color w:val="000000"/>
                <w:sz w:val="24"/>
                <w:szCs w:val="24"/>
                <w:lang w:eastAsia="fr-FR"/>
              </w:rPr>
              <w:t>07</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r>
              <w:rPr>
                <w:rFonts w:ascii="Simplified Arabic" w:eastAsia="Times New Roman" w:hAnsi="Simplified Arabic" w:cs="Simplified Arabic"/>
                <w:color w:val="000000"/>
                <w:sz w:val="24"/>
                <w:szCs w:val="24"/>
                <w:lang w:eastAsia="fr-FR"/>
              </w:rPr>
              <w:t>64</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2,08</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2,</w:t>
            </w:r>
            <w:r>
              <w:rPr>
                <w:rFonts w:ascii="Simplified Arabic" w:eastAsia="Times New Roman" w:hAnsi="Simplified Arabic" w:cs="Simplified Arabic"/>
                <w:b/>
                <w:bCs/>
                <w:color w:val="000000"/>
                <w:sz w:val="24"/>
                <w:szCs w:val="24"/>
                <w:lang w:eastAsia="fr-FR"/>
              </w:rPr>
              <w:t>60</w:t>
            </w:r>
          </w:p>
        </w:tc>
      </w:tr>
      <w:tr w:rsidR="00C121B0" w:rsidRPr="00E4293A" w:rsidTr="00794BA6">
        <w:trPr>
          <w:jc w:val="center"/>
        </w:trPr>
        <w:tc>
          <w:tcPr>
            <w:tcW w:w="2763" w:type="dxa"/>
            <w:vAlign w:val="center"/>
          </w:tcPr>
          <w:p w:rsidR="00C121B0" w:rsidRPr="00F55578" w:rsidRDefault="00C121B0" w:rsidP="00A93DA8">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المساحة الخضراء للفرد</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r>
              <w:rPr>
                <w:rFonts w:ascii="Simplified Arabic" w:eastAsia="Times New Roman" w:hAnsi="Simplified Arabic" w:cs="Simplified Arabic"/>
                <w:color w:val="000000"/>
                <w:sz w:val="24"/>
                <w:szCs w:val="24"/>
                <w:lang w:eastAsia="fr-FR"/>
              </w:rPr>
              <w:t>43</w:t>
            </w:r>
          </w:p>
        </w:tc>
        <w:tc>
          <w:tcPr>
            <w:tcW w:w="1134" w:type="dxa"/>
            <w:vAlign w:val="center"/>
          </w:tcPr>
          <w:p w:rsidR="00C121B0" w:rsidRPr="00F55578" w:rsidRDefault="00C121B0" w:rsidP="00A93DA8">
            <w:pPr>
              <w:bidi/>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w:t>
            </w:r>
            <w:r>
              <w:rPr>
                <w:rFonts w:ascii="Simplified Arabic" w:eastAsia="Times New Roman" w:hAnsi="Simplified Arabic" w:cs="Simplified Arabic"/>
                <w:color w:val="000000"/>
                <w:sz w:val="24"/>
                <w:szCs w:val="24"/>
                <w:lang w:eastAsia="fr-FR"/>
              </w:rPr>
              <w:t>07</w:t>
            </w:r>
          </w:p>
        </w:tc>
        <w:tc>
          <w:tcPr>
            <w:tcW w:w="993" w:type="dxa"/>
            <w:vAlign w:val="center"/>
          </w:tcPr>
          <w:p w:rsidR="00C121B0" w:rsidRPr="00F55578" w:rsidRDefault="00C121B0" w:rsidP="00A93DA8">
            <w:pPr>
              <w:jc w:val="center"/>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lang w:eastAsia="fr-FR"/>
              </w:rPr>
              <w:t>2,00</w:t>
            </w:r>
          </w:p>
        </w:tc>
        <w:tc>
          <w:tcPr>
            <w:tcW w:w="1541" w:type="dxa"/>
            <w:vAlign w:val="bottom"/>
          </w:tcPr>
          <w:p w:rsidR="00C121B0" w:rsidRPr="00E4293A" w:rsidRDefault="00C121B0" w:rsidP="00A93DA8">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2,17</w:t>
            </w:r>
          </w:p>
        </w:tc>
      </w:tr>
    </w:tbl>
    <w:p w:rsidR="00C121B0" w:rsidRPr="00A4647E" w:rsidRDefault="00C121B0" w:rsidP="001D0548">
      <w:pPr>
        <w:pStyle w:val="Paragraphedeliste"/>
        <w:numPr>
          <w:ilvl w:val="3"/>
          <w:numId w:val="259"/>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637" w:name="_Toc171803666"/>
      <w:r w:rsidRPr="00A4647E">
        <w:rPr>
          <w:rFonts w:ascii="Simplified Arabic" w:hAnsi="Simplified Arabic" w:cs="Simplified Arabic"/>
          <w:b/>
          <w:bCs/>
          <w:sz w:val="24"/>
          <w:szCs w:val="24"/>
          <w:rtl/>
          <w:lang w:val="en-US"/>
        </w:rPr>
        <w:t>تخصيص الاعتمادات</w:t>
      </w:r>
      <w:bookmarkEnd w:id="637"/>
    </w:p>
    <w:p w:rsidR="00C121B0" w:rsidRDefault="00C121B0" w:rsidP="00C121B0">
      <w:pPr>
        <w:bidi/>
        <w:spacing w:after="0"/>
        <w:ind w:firstLine="282"/>
        <w:jc w:val="both"/>
        <w:rPr>
          <w:rFonts w:ascii="Simplified Arabic" w:hAnsi="Simplified Arabic" w:cs="Simplified Arabic"/>
          <w:sz w:val="24"/>
          <w:szCs w:val="24"/>
          <w:rtl/>
          <w:lang w:val="en-US"/>
        </w:rPr>
      </w:pPr>
      <w:r w:rsidRPr="000843C3">
        <w:rPr>
          <w:rFonts w:ascii="Simplified Arabic" w:hAnsi="Simplified Arabic" w:cs="Simplified Arabic"/>
          <w:sz w:val="24"/>
          <w:szCs w:val="24"/>
          <w:rtl/>
          <w:lang w:val="en-US"/>
        </w:rPr>
        <w:t>بالنظر إلى أن فريق خبراء دلفي قد توصل</w:t>
      </w:r>
      <w:r>
        <w:rPr>
          <w:rFonts w:ascii="Simplified Arabic" w:hAnsi="Simplified Arabic" w:cs="Simplified Arabic" w:hint="cs"/>
          <w:sz w:val="24"/>
          <w:szCs w:val="24"/>
          <w:rtl/>
          <w:lang w:val="en-US"/>
        </w:rPr>
        <w:t>وا</w:t>
      </w:r>
      <w:r w:rsidRPr="000843C3">
        <w:rPr>
          <w:rFonts w:ascii="Simplified Arabic" w:hAnsi="Simplified Arabic" w:cs="Simplified Arabic"/>
          <w:sz w:val="24"/>
          <w:szCs w:val="24"/>
          <w:rtl/>
          <w:lang w:val="en-US"/>
        </w:rPr>
        <w:t xml:space="preserve"> إلى إجماع حول </w:t>
      </w:r>
      <w:r>
        <w:rPr>
          <w:rFonts w:ascii="Simplified Arabic" w:hAnsi="Simplified Arabic" w:cs="Simplified Arabic" w:hint="cs"/>
          <w:sz w:val="24"/>
          <w:szCs w:val="24"/>
          <w:rtl/>
          <w:lang w:val="en-US"/>
        </w:rPr>
        <w:t>المعايير</w:t>
      </w:r>
      <w:r>
        <w:rPr>
          <w:rFonts w:ascii="Simplified Arabic" w:hAnsi="Simplified Arabic" w:cs="Simplified Arabic"/>
          <w:sz w:val="24"/>
          <w:szCs w:val="24"/>
          <w:rtl/>
          <w:lang w:val="en-US"/>
        </w:rPr>
        <w:t xml:space="preserve"> الحضرية وفقًا لأهميتها </w:t>
      </w:r>
      <w:r>
        <w:rPr>
          <w:rFonts w:ascii="Simplified Arabic" w:hAnsi="Simplified Arabic" w:cs="Simplified Arabic" w:hint="cs"/>
          <w:sz w:val="24"/>
          <w:szCs w:val="24"/>
          <w:rtl/>
          <w:lang w:val="en-US"/>
        </w:rPr>
        <w:t xml:space="preserve">في </w:t>
      </w:r>
      <w:r>
        <w:rPr>
          <w:rFonts w:ascii="Simplified Arabic" w:eastAsia="Times New Roman" w:hAnsi="Simplified Arabic" w:cs="Simplified Arabic" w:hint="cs"/>
          <w:b/>
          <w:sz w:val="24"/>
          <w:szCs w:val="24"/>
          <w:rtl/>
          <w:lang w:val="en-US" w:eastAsia="fr-FR"/>
        </w:rPr>
        <w:t xml:space="preserve">تقييم المرونة </w:t>
      </w:r>
      <w:r w:rsidRPr="00ED27A7">
        <w:rPr>
          <w:rFonts w:ascii="Simplified Arabic" w:eastAsia="Times New Roman" w:hAnsi="Simplified Arabic" w:cs="Simplified Arabic" w:hint="cs"/>
          <w:b/>
          <w:sz w:val="24"/>
          <w:szCs w:val="24"/>
          <w:rtl/>
          <w:lang w:val="en-US" w:eastAsia="fr-FR"/>
        </w:rPr>
        <w:t>الحضرية</w:t>
      </w:r>
      <w:r w:rsidRPr="000843C3">
        <w:rPr>
          <w:rFonts w:ascii="Simplified Arabic" w:hAnsi="Simplified Arabic" w:cs="Simplified Arabic"/>
          <w:sz w:val="24"/>
          <w:szCs w:val="24"/>
          <w:rtl/>
          <w:lang w:val="en-US"/>
        </w:rPr>
        <w:t xml:space="preserve">، فإن </w:t>
      </w:r>
      <w:r>
        <w:rPr>
          <w:rFonts w:ascii="Simplified Arabic" w:hAnsi="Simplified Arabic" w:cs="Simplified Arabic" w:hint="cs"/>
          <w:sz w:val="24"/>
          <w:szCs w:val="24"/>
          <w:rtl/>
          <w:lang w:val="en-US"/>
        </w:rPr>
        <w:t>تخصيص ال</w:t>
      </w:r>
      <w:r w:rsidRPr="000843C3">
        <w:rPr>
          <w:rFonts w:ascii="Simplified Arabic" w:hAnsi="Simplified Arabic" w:cs="Simplified Arabic"/>
          <w:sz w:val="24"/>
          <w:szCs w:val="24"/>
          <w:rtl/>
          <w:lang w:val="en-US"/>
        </w:rPr>
        <w:t xml:space="preserve">اعتمادات </w:t>
      </w:r>
      <w:r>
        <w:rPr>
          <w:rFonts w:ascii="Simplified Arabic" w:hAnsi="Simplified Arabic" w:cs="Simplified Arabic" w:hint="cs"/>
          <w:sz w:val="24"/>
          <w:szCs w:val="24"/>
          <w:rtl/>
          <w:lang w:val="en-US"/>
        </w:rPr>
        <w:t>يسمح</w:t>
      </w:r>
      <w:r w:rsidRPr="000843C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w:t>
      </w:r>
      <w:r w:rsidRPr="000843C3">
        <w:rPr>
          <w:rFonts w:ascii="Simplified Arabic" w:hAnsi="Simplified Arabic" w:cs="Simplified Arabic"/>
          <w:sz w:val="24"/>
          <w:szCs w:val="24"/>
          <w:rtl/>
          <w:lang w:val="en-US"/>
        </w:rPr>
        <w:t xml:space="preserve">التمييز بين هذه </w:t>
      </w:r>
      <w:r>
        <w:rPr>
          <w:rFonts w:ascii="Simplified Arabic" w:hAnsi="Simplified Arabic" w:cs="Simplified Arabic" w:hint="cs"/>
          <w:sz w:val="24"/>
          <w:szCs w:val="24"/>
          <w:rtl/>
          <w:lang w:val="en-US"/>
        </w:rPr>
        <w:t>المعايير</w:t>
      </w:r>
      <w:r w:rsidRPr="000843C3">
        <w:rPr>
          <w:rFonts w:ascii="Simplified Arabic" w:hAnsi="Simplified Arabic" w:cs="Simplified Arabic"/>
          <w:sz w:val="24"/>
          <w:szCs w:val="24"/>
          <w:rtl/>
          <w:lang w:val="en-US"/>
        </w:rPr>
        <w:t xml:space="preserve">. تعتبر </w:t>
      </w:r>
      <w:r>
        <w:rPr>
          <w:rFonts w:ascii="Simplified Arabic" w:hAnsi="Simplified Arabic" w:cs="Simplified Arabic" w:hint="cs"/>
          <w:sz w:val="24"/>
          <w:szCs w:val="24"/>
          <w:rtl/>
          <w:lang w:val="en-US"/>
        </w:rPr>
        <w:t>المعايير</w:t>
      </w:r>
      <w:r w:rsidRPr="000843C3">
        <w:rPr>
          <w:rFonts w:ascii="Simplified Arabic" w:hAnsi="Simplified Arabic" w:cs="Simplified Arabic"/>
          <w:sz w:val="24"/>
          <w:szCs w:val="24"/>
          <w:rtl/>
          <w:lang w:val="en-US"/>
        </w:rPr>
        <w:t xml:space="preserve"> التي تتجاوز</w:t>
      </w:r>
      <w:r w:rsidRPr="00F27185">
        <w:rPr>
          <w:rFonts w:ascii="Simplified Arabic" w:hAnsi="Simplified Arabic" w:cs="Simplified Arabic" w:hint="cs"/>
          <w:sz w:val="24"/>
          <w:szCs w:val="24"/>
          <w:rtl/>
          <w:lang w:val="en-US"/>
        </w:rPr>
        <w:t xml:space="preserve"> </w:t>
      </w:r>
      <w:r w:rsidRPr="000843C3">
        <w:rPr>
          <w:rFonts w:ascii="Simplified Arabic" w:hAnsi="Simplified Arabic" w:cs="Simplified Arabic"/>
          <w:sz w:val="24"/>
          <w:szCs w:val="24"/>
          <w:rtl/>
          <w:lang w:val="en-US"/>
        </w:rPr>
        <w:t xml:space="preserve">أدنى متوسط </w:t>
      </w:r>
      <w:r w:rsidRPr="00E4293A">
        <w:rPr>
          <w:rFonts w:ascii="Simplified Arabic" w:hAnsi="Simplified Arabic" w:cs="Simplified Arabic"/>
          <w:sz w:val="24"/>
          <w:szCs w:val="24"/>
          <w:rtl/>
          <w:lang w:val="en-US"/>
        </w:rPr>
        <w:t xml:space="preserve">حسابي </w:t>
      </w:r>
      <w:r>
        <w:rPr>
          <w:rFonts w:ascii="Simplified Arabic" w:hAnsi="Simplified Arabic" w:cs="Simplified Arabic" w:hint="cs"/>
          <w:sz w:val="24"/>
          <w:szCs w:val="24"/>
          <w:rtl/>
          <w:lang w:val="en-US"/>
        </w:rPr>
        <w:t>6</w:t>
      </w:r>
      <w:r w:rsidRPr="000843C3">
        <w:rPr>
          <w:rFonts w:ascii="Simplified Arabic" w:hAnsi="Simplified Arabic" w:cs="Simplified Arabic"/>
          <w:sz w:val="24"/>
          <w:szCs w:val="24"/>
          <w:rtl/>
          <w:lang w:val="en-US"/>
        </w:rPr>
        <w:t xml:space="preserve">0٪ أو </w:t>
      </w:r>
      <w:r>
        <w:rPr>
          <w:rFonts w:ascii="Simplified Arabic" w:hAnsi="Simplified Arabic" w:cs="Simplified Arabic" w:hint="cs"/>
          <w:sz w:val="24"/>
          <w:szCs w:val="24"/>
          <w:rtl/>
          <w:lang w:val="en-US"/>
        </w:rPr>
        <w:t>(5/3)</w:t>
      </w:r>
      <w:r w:rsidRPr="000843C3">
        <w:rPr>
          <w:rFonts w:ascii="Simplified Arabic" w:hAnsi="Simplified Arabic" w:cs="Simplified Arabic"/>
          <w:sz w:val="24"/>
          <w:szCs w:val="24"/>
          <w:rtl/>
          <w:lang w:val="en-US"/>
        </w:rPr>
        <w:t xml:space="preserve">، مناسبة للاستخدام. </w:t>
      </w:r>
      <w:r>
        <w:rPr>
          <w:rFonts w:ascii="Simplified Arabic" w:hAnsi="Simplified Arabic" w:cs="Simplified Arabic" w:hint="cs"/>
          <w:sz w:val="24"/>
          <w:szCs w:val="24"/>
          <w:rtl/>
          <w:lang w:val="en-US"/>
        </w:rPr>
        <w:t>ت</w:t>
      </w:r>
      <w:r>
        <w:rPr>
          <w:rFonts w:ascii="Simplified Arabic" w:hAnsi="Simplified Arabic" w:cs="Simplified Arabic"/>
          <w:sz w:val="24"/>
          <w:szCs w:val="24"/>
          <w:rtl/>
          <w:lang w:val="en-US"/>
        </w:rPr>
        <w:t>ستخدم هذ</w:t>
      </w:r>
      <w:r>
        <w:rPr>
          <w:rFonts w:ascii="Simplified Arabic" w:hAnsi="Simplified Arabic" w:cs="Simplified Arabic" w:hint="cs"/>
          <w:sz w:val="24"/>
          <w:szCs w:val="24"/>
          <w:rtl/>
          <w:lang w:val="en-US"/>
        </w:rPr>
        <w:t>ه</w:t>
      </w:r>
      <w:r w:rsidRPr="000843C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النسبة</w:t>
      </w:r>
      <w:r w:rsidRPr="000843C3">
        <w:rPr>
          <w:rFonts w:ascii="Simplified Arabic" w:hAnsi="Simplified Arabic" w:cs="Simplified Arabic"/>
          <w:sz w:val="24"/>
          <w:szCs w:val="24"/>
          <w:rtl/>
          <w:lang w:val="en-US"/>
        </w:rPr>
        <w:t xml:space="preserve"> عادة في دراسات دلفي </w:t>
      </w:r>
      <w:r w:rsidRPr="008C31D8">
        <w:rPr>
          <w:rFonts w:asciiTheme="majorBidi" w:hAnsiTheme="majorBidi" w:cstheme="majorBidi"/>
          <w:sz w:val="24"/>
          <w:szCs w:val="24"/>
          <w:rtl/>
          <w:lang w:val="en-US"/>
        </w:rPr>
        <w:t>(</w:t>
      </w:r>
      <w:r w:rsidRPr="005B0947">
        <w:rPr>
          <w:rFonts w:asciiTheme="majorBidi" w:hAnsiTheme="majorBidi" w:cstheme="majorBidi"/>
          <w:sz w:val="24"/>
          <w:szCs w:val="24"/>
        </w:rPr>
        <w:t>Alyami</w:t>
      </w:r>
      <w:r w:rsidRPr="002F3D73">
        <w:rPr>
          <w:rFonts w:asciiTheme="majorBidi" w:hAnsiTheme="majorBidi" w:cstheme="majorBidi"/>
          <w:sz w:val="24"/>
          <w:szCs w:val="24"/>
        </w:rPr>
        <w:t xml:space="preserve"> et al., 2013</w:t>
      </w:r>
      <w:r w:rsidRPr="008C31D8">
        <w:rPr>
          <w:rFonts w:asciiTheme="majorBidi" w:hAnsiTheme="majorBidi" w:cstheme="majorBidi"/>
          <w:sz w:val="24"/>
          <w:szCs w:val="24"/>
          <w:rtl/>
          <w:lang w:val="en-US"/>
        </w:rPr>
        <w:t>)</w:t>
      </w:r>
      <w:r w:rsidRPr="000843C3">
        <w:rPr>
          <w:rFonts w:ascii="Simplified Arabic" w:hAnsi="Simplified Arabic" w:cs="Simplified Arabic"/>
          <w:sz w:val="24"/>
          <w:szCs w:val="24"/>
          <w:rtl/>
          <w:lang w:val="en-US"/>
        </w:rPr>
        <w:t xml:space="preserve">. </w:t>
      </w:r>
    </w:p>
    <w:p w:rsidR="00C121B0" w:rsidRDefault="00C121B0" w:rsidP="00C05812">
      <w:pPr>
        <w:bidi/>
        <w:spacing w:after="0"/>
        <w:ind w:firstLine="282"/>
        <w:jc w:val="both"/>
        <w:rPr>
          <w:rFonts w:ascii="Simplified Arabic" w:hAnsi="Simplified Arabic" w:cs="Simplified Arabic"/>
          <w:sz w:val="24"/>
          <w:szCs w:val="24"/>
          <w:rtl/>
          <w:lang w:val="en-US"/>
        </w:rPr>
      </w:pPr>
      <w:r w:rsidRPr="000843C3">
        <w:rPr>
          <w:rFonts w:ascii="Simplified Arabic" w:hAnsi="Simplified Arabic" w:cs="Simplified Arabic"/>
          <w:sz w:val="24"/>
          <w:szCs w:val="24"/>
          <w:rtl/>
          <w:lang w:val="en-US"/>
        </w:rPr>
        <w:t xml:space="preserve">للتمييز بين </w:t>
      </w:r>
      <w:r>
        <w:rPr>
          <w:rFonts w:ascii="Simplified Arabic" w:hAnsi="Simplified Arabic" w:cs="Simplified Arabic" w:hint="cs"/>
          <w:sz w:val="24"/>
          <w:szCs w:val="24"/>
          <w:rtl/>
          <w:lang w:val="en-US"/>
        </w:rPr>
        <w:t>المعايير</w:t>
      </w:r>
      <w:r w:rsidRPr="000843C3">
        <w:rPr>
          <w:rFonts w:ascii="Simplified Arabic" w:hAnsi="Simplified Arabic" w:cs="Simplified Arabic"/>
          <w:sz w:val="24"/>
          <w:szCs w:val="24"/>
          <w:rtl/>
          <w:lang w:val="en-US"/>
        </w:rPr>
        <w:t xml:space="preserve"> الحضرية المختلفة، يقترح </w:t>
      </w:r>
      <w:r>
        <w:rPr>
          <w:rFonts w:ascii="Simplified Arabic" w:hAnsi="Simplified Arabic" w:cs="Simplified Arabic" w:hint="cs"/>
          <w:sz w:val="24"/>
          <w:szCs w:val="24"/>
          <w:rtl/>
          <w:lang w:val="en-US"/>
        </w:rPr>
        <w:t>اطار تحليل المرونة الحضرية الحالي</w:t>
      </w:r>
      <w:r w:rsidRPr="000843C3">
        <w:rPr>
          <w:rFonts w:ascii="Simplified Arabic" w:hAnsi="Simplified Arabic" w:cs="Simplified Arabic"/>
          <w:sz w:val="24"/>
          <w:szCs w:val="24"/>
          <w:rtl/>
          <w:lang w:val="en-US"/>
        </w:rPr>
        <w:t xml:space="preserve"> تخصيص ثلاثة مستويات من الائتمان. يمكن منح تصنيف </w:t>
      </w:r>
      <w:r>
        <w:rPr>
          <w:rFonts w:ascii="Simplified Arabic" w:hAnsi="Simplified Arabic" w:cs="Simplified Arabic" w:hint="cs"/>
          <w:sz w:val="24"/>
          <w:szCs w:val="24"/>
          <w:rtl/>
          <w:lang w:val="en-US"/>
        </w:rPr>
        <w:t>المعايير</w:t>
      </w:r>
      <w:r w:rsidRPr="000843C3">
        <w:rPr>
          <w:rFonts w:ascii="Simplified Arabic" w:hAnsi="Simplified Arabic" w:cs="Simplified Arabic"/>
          <w:sz w:val="24"/>
          <w:szCs w:val="24"/>
          <w:rtl/>
          <w:lang w:val="en-US"/>
        </w:rPr>
        <w:t xml:space="preserve"> الأعلى من </w:t>
      </w:r>
      <w:r>
        <w:rPr>
          <w:rFonts w:ascii="Simplified Arabic" w:hAnsi="Simplified Arabic" w:cs="Simplified Arabic" w:hint="cs"/>
          <w:sz w:val="24"/>
          <w:szCs w:val="24"/>
          <w:rtl/>
          <w:lang w:val="en-US"/>
        </w:rPr>
        <w:t>(</w:t>
      </w:r>
      <w:r w:rsidRPr="000843C3">
        <w:rPr>
          <w:rFonts w:ascii="Simplified Arabic" w:hAnsi="Simplified Arabic" w:cs="Simplified Arabic"/>
          <w:sz w:val="24"/>
          <w:szCs w:val="24"/>
          <w:rtl/>
          <w:lang w:val="en-US"/>
        </w:rPr>
        <w:t>5/3</w:t>
      </w:r>
      <w:r>
        <w:rPr>
          <w:rFonts w:ascii="Simplified Arabic" w:hAnsi="Simplified Arabic" w:cs="Simplified Arabic" w:hint="cs"/>
          <w:sz w:val="24"/>
          <w:szCs w:val="24"/>
          <w:rtl/>
          <w:lang w:val="en-US"/>
        </w:rPr>
        <w:t xml:space="preserve">) </w:t>
      </w:r>
      <w:r w:rsidRPr="000843C3">
        <w:rPr>
          <w:rFonts w:ascii="Simplified Arabic" w:hAnsi="Simplified Arabic" w:cs="Simplified Arabic"/>
          <w:sz w:val="24"/>
          <w:szCs w:val="24"/>
          <w:rtl/>
          <w:lang w:val="en-US"/>
        </w:rPr>
        <w:t xml:space="preserve">ائتمانًا واحدًا، أما </w:t>
      </w:r>
      <w:r>
        <w:rPr>
          <w:rFonts w:ascii="Simplified Arabic" w:hAnsi="Simplified Arabic" w:cs="Simplified Arabic" w:hint="cs"/>
          <w:sz w:val="24"/>
          <w:szCs w:val="24"/>
          <w:rtl/>
          <w:lang w:val="en-US"/>
        </w:rPr>
        <w:t>المعايير</w:t>
      </w:r>
      <w:r w:rsidRPr="000843C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التي </w:t>
      </w:r>
      <w:r w:rsidRPr="000843C3">
        <w:rPr>
          <w:rFonts w:ascii="Simplified Arabic" w:hAnsi="Simplified Arabic" w:cs="Simplified Arabic"/>
          <w:sz w:val="24"/>
          <w:szCs w:val="24"/>
          <w:rtl/>
          <w:lang w:val="en-US"/>
        </w:rPr>
        <w:t>حصل</w:t>
      </w:r>
      <w:r>
        <w:rPr>
          <w:rFonts w:ascii="Simplified Arabic" w:hAnsi="Simplified Arabic" w:cs="Simplified Arabic" w:hint="cs"/>
          <w:sz w:val="24"/>
          <w:szCs w:val="24"/>
          <w:rtl/>
          <w:lang w:val="en-US"/>
        </w:rPr>
        <w:t>ت</w:t>
      </w:r>
      <w:r w:rsidRPr="000843C3">
        <w:rPr>
          <w:rFonts w:ascii="Simplified Arabic" w:hAnsi="Simplified Arabic" w:cs="Simplified Arabic"/>
          <w:sz w:val="24"/>
          <w:szCs w:val="24"/>
          <w:rtl/>
          <w:lang w:val="en-US"/>
        </w:rPr>
        <w:t xml:space="preserve"> على تصنيف أكثر من </w:t>
      </w:r>
      <w:r>
        <w:rPr>
          <w:rFonts w:ascii="Simplified Arabic" w:hAnsi="Simplified Arabic" w:cs="Simplified Arabic" w:hint="cs"/>
          <w:sz w:val="24"/>
          <w:szCs w:val="24"/>
          <w:rtl/>
          <w:lang w:val="en-US"/>
        </w:rPr>
        <w:t>(</w:t>
      </w:r>
      <w:r w:rsidRPr="000843C3">
        <w:rPr>
          <w:rFonts w:ascii="Simplified Arabic" w:hAnsi="Simplified Arabic" w:cs="Simplified Arabic"/>
          <w:sz w:val="24"/>
          <w:szCs w:val="24"/>
          <w:rtl/>
          <w:lang w:val="en-US"/>
        </w:rPr>
        <w:t>5/</w:t>
      </w:r>
      <w:r>
        <w:rPr>
          <w:rFonts w:ascii="Simplified Arabic" w:hAnsi="Simplified Arabic" w:cs="Simplified Arabic" w:hint="cs"/>
          <w:sz w:val="24"/>
          <w:szCs w:val="24"/>
          <w:rtl/>
          <w:lang w:val="en-US"/>
        </w:rPr>
        <w:t>4)</w:t>
      </w:r>
      <w:r w:rsidRPr="000843C3">
        <w:rPr>
          <w:rFonts w:ascii="Simplified Arabic" w:hAnsi="Simplified Arabic" w:cs="Simplified Arabic"/>
          <w:sz w:val="24"/>
          <w:szCs w:val="24"/>
          <w:rtl/>
          <w:lang w:val="en-US"/>
        </w:rPr>
        <w:t xml:space="preserve">  ف</w:t>
      </w:r>
      <w:r>
        <w:rPr>
          <w:rFonts w:ascii="Simplified Arabic" w:hAnsi="Simplified Arabic" w:cs="Simplified Arabic" w:hint="cs"/>
          <w:sz w:val="24"/>
          <w:szCs w:val="24"/>
          <w:rtl/>
          <w:lang w:val="en-US"/>
        </w:rPr>
        <w:t>ت</w:t>
      </w:r>
      <w:r w:rsidRPr="000843C3">
        <w:rPr>
          <w:rFonts w:ascii="Simplified Arabic" w:hAnsi="Simplified Arabic" w:cs="Simplified Arabic"/>
          <w:sz w:val="24"/>
          <w:szCs w:val="24"/>
          <w:rtl/>
          <w:lang w:val="en-US"/>
        </w:rPr>
        <w:t>منح ائتمانا</w:t>
      </w:r>
      <w:r>
        <w:rPr>
          <w:rFonts w:ascii="Simplified Arabic" w:hAnsi="Simplified Arabic" w:cs="Simplified Arabic" w:hint="cs"/>
          <w:sz w:val="24"/>
          <w:szCs w:val="24"/>
          <w:rtl/>
          <w:lang w:val="en-US"/>
        </w:rPr>
        <w:t>ن،</w:t>
      </w:r>
      <w:r w:rsidRPr="000843C3">
        <w:rPr>
          <w:rFonts w:ascii="Simplified Arabic" w:hAnsi="Simplified Arabic" w:cs="Simplified Arabic"/>
          <w:sz w:val="24"/>
          <w:szCs w:val="24"/>
          <w:rtl/>
          <w:lang w:val="en-US"/>
        </w:rPr>
        <w:t xml:space="preserve"> بينما </w:t>
      </w:r>
      <w:r>
        <w:rPr>
          <w:rFonts w:ascii="Simplified Arabic" w:hAnsi="Simplified Arabic" w:cs="Simplified Arabic" w:hint="cs"/>
          <w:sz w:val="24"/>
          <w:szCs w:val="24"/>
          <w:rtl/>
          <w:lang w:val="en-US"/>
        </w:rPr>
        <w:t>تلك</w:t>
      </w:r>
      <w:r w:rsidRPr="000843C3">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التي </w:t>
      </w:r>
      <w:r w:rsidRPr="000843C3">
        <w:rPr>
          <w:rFonts w:ascii="Simplified Arabic" w:hAnsi="Simplified Arabic" w:cs="Simplified Arabic"/>
          <w:sz w:val="24"/>
          <w:szCs w:val="24"/>
          <w:rtl/>
          <w:lang w:val="en-US"/>
        </w:rPr>
        <w:t>تم تقييمهم</w:t>
      </w:r>
      <w:r>
        <w:rPr>
          <w:rFonts w:ascii="Simplified Arabic" w:hAnsi="Simplified Arabic" w:cs="Simplified Arabic" w:hint="cs"/>
          <w:sz w:val="24"/>
          <w:szCs w:val="24"/>
          <w:rtl/>
          <w:lang w:val="en-US"/>
        </w:rPr>
        <w:t>ا</w:t>
      </w:r>
      <w:r w:rsidRPr="000843C3">
        <w:rPr>
          <w:rFonts w:ascii="Simplified Arabic" w:hAnsi="Simplified Arabic" w:cs="Simplified Arabic"/>
          <w:sz w:val="24"/>
          <w:szCs w:val="24"/>
          <w:rtl/>
          <w:lang w:val="en-US"/>
        </w:rPr>
        <w:t xml:space="preserve"> أكثر من</w:t>
      </w:r>
      <w:r>
        <w:rPr>
          <w:rFonts w:ascii="Simplified Arabic" w:hAnsi="Simplified Arabic" w:cs="Simplified Arabic" w:hint="cs"/>
          <w:sz w:val="24"/>
          <w:szCs w:val="24"/>
          <w:rtl/>
          <w:lang w:val="en-US"/>
        </w:rPr>
        <w:t xml:space="preserve"> (5/4.5)</w:t>
      </w:r>
      <w:r w:rsidRPr="000843C3">
        <w:rPr>
          <w:rFonts w:ascii="Simplified Arabic" w:hAnsi="Simplified Arabic" w:cs="Simplified Arabic"/>
          <w:sz w:val="24"/>
          <w:szCs w:val="24"/>
          <w:rtl/>
          <w:lang w:val="en-US"/>
        </w:rPr>
        <w:t xml:space="preserve"> يمكن منح</w:t>
      </w:r>
      <w:r>
        <w:rPr>
          <w:rFonts w:ascii="Simplified Arabic" w:hAnsi="Simplified Arabic" w:cs="Simplified Arabic" w:hint="cs"/>
          <w:sz w:val="24"/>
          <w:szCs w:val="24"/>
          <w:rtl/>
          <w:lang w:val="en-US"/>
        </w:rPr>
        <w:t>ها</w:t>
      </w:r>
      <w:r w:rsidRPr="000843C3">
        <w:rPr>
          <w:rFonts w:ascii="Simplified Arabic" w:hAnsi="Simplified Arabic" w:cs="Simplified Arabic"/>
          <w:sz w:val="24"/>
          <w:szCs w:val="24"/>
          <w:rtl/>
          <w:lang w:val="en-US"/>
        </w:rPr>
        <w:t xml:space="preserve"> ثلاثة </w:t>
      </w:r>
      <w:r>
        <w:rPr>
          <w:rFonts w:ascii="Simplified Arabic" w:hAnsi="Simplified Arabic" w:cs="Simplified Arabic" w:hint="cs"/>
          <w:sz w:val="24"/>
          <w:szCs w:val="24"/>
          <w:rtl/>
          <w:lang w:val="en-US"/>
        </w:rPr>
        <w:t>من ال</w:t>
      </w:r>
      <w:r w:rsidRPr="000843C3">
        <w:rPr>
          <w:rFonts w:ascii="Simplified Arabic" w:hAnsi="Simplified Arabic" w:cs="Simplified Arabic"/>
          <w:sz w:val="24"/>
          <w:szCs w:val="24"/>
          <w:rtl/>
          <w:lang w:val="en-US"/>
        </w:rPr>
        <w:t xml:space="preserve">ائتمان. ستسمح هذه الاستراتيجية بتحديد </w:t>
      </w:r>
      <w:r>
        <w:rPr>
          <w:rFonts w:ascii="Simplified Arabic" w:hAnsi="Simplified Arabic" w:cs="Simplified Arabic" w:hint="cs"/>
          <w:sz w:val="24"/>
          <w:szCs w:val="24"/>
          <w:rtl/>
          <w:lang w:val="en-US"/>
        </w:rPr>
        <w:t>المعايير</w:t>
      </w:r>
      <w:r w:rsidRPr="000843C3">
        <w:rPr>
          <w:rFonts w:ascii="Simplified Arabic" w:hAnsi="Simplified Arabic" w:cs="Simplified Arabic"/>
          <w:sz w:val="24"/>
          <w:szCs w:val="24"/>
          <w:rtl/>
          <w:lang w:val="en-US"/>
        </w:rPr>
        <w:t xml:space="preserve"> الحضرية الأعلى تصنيفًا</w:t>
      </w:r>
      <w:r>
        <w:rPr>
          <w:rFonts w:ascii="Simplified Arabic" w:hAnsi="Simplified Arabic" w:cs="Simplified Arabic" w:hint="cs"/>
          <w:sz w:val="24"/>
          <w:szCs w:val="24"/>
          <w:rtl/>
          <w:lang w:val="en-US"/>
        </w:rPr>
        <w:t xml:space="preserve">، الجدول رقم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6</w:t>
      </w:r>
      <w:r w:rsidR="00AF7197">
        <w:rPr>
          <w:rFonts w:ascii="Simplified Arabic" w:eastAsia="Times New Roman" w:hAnsi="Simplified Arabic" w:cs="Simplified Arabic" w:hint="cs"/>
          <w:b/>
          <w:sz w:val="24"/>
          <w:szCs w:val="24"/>
          <w:rtl/>
          <w:lang w:val="en-US" w:eastAsia="fr-FR"/>
        </w:rPr>
        <w:t>)</w:t>
      </w:r>
      <w:r w:rsidRPr="000843C3">
        <w:rPr>
          <w:rFonts w:ascii="Simplified Arabic" w:hAnsi="Simplified Arabic" w:cs="Simplified Arabic"/>
          <w:sz w:val="24"/>
          <w:szCs w:val="24"/>
          <w:rtl/>
          <w:lang w:val="en-US"/>
        </w:rPr>
        <w:t xml:space="preserve">. </w:t>
      </w:r>
    </w:p>
    <w:p w:rsidR="00C121B0" w:rsidRDefault="00C121B0" w:rsidP="00010DE7">
      <w:pPr>
        <w:pStyle w:val="Tableau"/>
        <w:rPr>
          <w:rtl/>
          <w:lang w:val="en-US"/>
        </w:rPr>
      </w:pPr>
      <w:bookmarkStart w:id="638" w:name="_Toc157612996"/>
      <w:bookmarkStart w:id="639" w:name="_Toc171803667"/>
      <w:r w:rsidRPr="00DF404A">
        <w:rPr>
          <w:rtl/>
          <w:lang w:val="en-US"/>
        </w:rPr>
        <w:t xml:space="preserve">الجدول </w:t>
      </w:r>
      <w:r w:rsidR="00AF7197">
        <w:rPr>
          <w:rFonts w:eastAsia="Times New Roman" w:hint="cs"/>
          <w:rtl/>
          <w:lang w:val="en-US" w:eastAsia="fr-FR"/>
        </w:rPr>
        <w:t>(5-</w:t>
      </w:r>
      <w:r w:rsidR="00C05812">
        <w:rPr>
          <w:rFonts w:eastAsia="Times New Roman" w:hint="cs"/>
          <w:rtl/>
          <w:lang w:val="en-US" w:eastAsia="fr-FR"/>
        </w:rPr>
        <w:t>6</w:t>
      </w:r>
      <w:r w:rsidR="00AF7197">
        <w:rPr>
          <w:rFonts w:eastAsia="Times New Roman" w:hint="cs"/>
          <w:rtl/>
          <w:lang w:val="en-US" w:eastAsia="fr-FR"/>
        </w:rPr>
        <w:t>)</w:t>
      </w:r>
      <w:r w:rsidRPr="00DF404A">
        <w:rPr>
          <w:rtl/>
          <w:lang w:val="en-US"/>
        </w:rPr>
        <w:t>: التحليل الإحصائي لإجابات المسح حسب الجولة</w:t>
      </w:r>
      <w:bookmarkEnd w:id="638"/>
      <w:bookmarkEnd w:id="639"/>
    </w:p>
    <w:p w:rsidR="00010DE7" w:rsidRPr="00010DE7" w:rsidRDefault="00010DE7" w:rsidP="00010DE7">
      <w:pPr>
        <w:pStyle w:val="fegure"/>
        <w:rPr>
          <w:sz w:val="8"/>
          <w:szCs w:val="24"/>
          <w:rtl/>
          <w:lang w:val="en-US" w:bidi="ar-DZ"/>
        </w:rPr>
      </w:pPr>
      <w:bookmarkStart w:id="640" w:name="_Toc171803668"/>
      <w:r>
        <w:rPr>
          <w:rFonts w:hint="cs"/>
          <w:sz w:val="8"/>
          <w:szCs w:val="24"/>
          <w:rtl/>
          <w:lang w:val="en-US"/>
        </w:rPr>
        <w:t>المصدر: (الباحث، 2022)</w:t>
      </w:r>
      <w:bookmarkEnd w:id="640"/>
    </w:p>
    <w:tbl>
      <w:tblPr>
        <w:tblStyle w:val="Grilledutableau"/>
        <w:bidiVisual/>
        <w:tblW w:w="0" w:type="auto"/>
        <w:jc w:val="center"/>
        <w:tblInd w:w="-727" w:type="dxa"/>
        <w:tblLook w:val="04A0" w:firstRow="1" w:lastRow="0" w:firstColumn="1" w:lastColumn="0" w:noHBand="0" w:noVBand="1"/>
      </w:tblPr>
      <w:tblGrid>
        <w:gridCol w:w="2971"/>
        <w:gridCol w:w="2140"/>
      </w:tblGrid>
      <w:tr w:rsidR="00C121B0" w:rsidRPr="00E4293A" w:rsidTr="00794BA6">
        <w:trPr>
          <w:trHeight w:val="60"/>
          <w:jc w:val="center"/>
        </w:trPr>
        <w:tc>
          <w:tcPr>
            <w:tcW w:w="2971" w:type="dxa"/>
            <w:vAlign w:val="center"/>
          </w:tcPr>
          <w:p w:rsidR="00C121B0" w:rsidRPr="00E4293A" w:rsidRDefault="00C121B0" w:rsidP="00794BA6">
            <w:pPr>
              <w:bidi/>
              <w:jc w:val="center"/>
              <w:rPr>
                <w:rFonts w:ascii="Simplified Arabic" w:hAnsi="Simplified Arabic" w:cs="Simplified Arabic"/>
                <w:sz w:val="24"/>
                <w:szCs w:val="24"/>
                <w:rtl/>
                <w:lang w:val="en-US"/>
              </w:rPr>
            </w:pPr>
            <w:r>
              <w:rPr>
                <w:rFonts w:ascii="Simplified Arabic" w:eastAsia="Times New Roman" w:hAnsi="Simplified Arabic" w:cs="Simplified Arabic" w:hint="cs"/>
                <w:color w:val="000000"/>
                <w:sz w:val="24"/>
                <w:szCs w:val="24"/>
                <w:rtl/>
                <w:lang w:eastAsia="fr-FR"/>
              </w:rPr>
              <w:t>العوامل</w:t>
            </w:r>
          </w:p>
        </w:tc>
        <w:tc>
          <w:tcPr>
            <w:tcW w:w="2140" w:type="dxa"/>
            <w:vAlign w:val="center"/>
          </w:tcPr>
          <w:p w:rsidR="00C121B0" w:rsidRPr="00E4293A" w:rsidRDefault="00C121B0" w:rsidP="00794BA6">
            <w:pPr>
              <w:bidi/>
              <w:jc w:val="center"/>
              <w:rPr>
                <w:rFonts w:ascii="Simplified Arabic" w:hAnsi="Simplified Arabic" w:cs="Simplified Arabic"/>
                <w:sz w:val="24"/>
                <w:szCs w:val="24"/>
                <w:rtl/>
                <w:lang w:val="en-US"/>
              </w:rPr>
            </w:pPr>
            <w:r w:rsidRPr="00E4293A">
              <w:rPr>
                <w:rFonts w:ascii="Simplified Arabic" w:hAnsi="Simplified Arabic" w:cs="Simplified Arabic"/>
                <w:sz w:val="24"/>
                <w:szCs w:val="24"/>
                <w:rtl/>
                <w:lang w:val="en-US"/>
              </w:rPr>
              <w:t xml:space="preserve">المتوسط الحسابي </w:t>
            </w:r>
            <w:r w:rsidRPr="00E4293A">
              <w:rPr>
                <w:rFonts w:asciiTheme="majorBidi" w:hAnsiTheme="majorBidi" w:cstheme="majorBidi"/>
                <w:sz w:val="24"/>
                <w:szCs w:val="24"/>
                <w:rtl/>
                <w:lang w:val="en-US"/>
              </w:rPr>
              <w:t>(</w:t>
            </w:r>
            <w:r w:rsidRPr="00E4293A">
              <w:rPr>
                <w:rFonts w:asciiTheme="majorBidi" w:hAnsiTheme="majorBidi" w:cstheme="majorBidi"/>
                <w:sz w:val="24"/>
                <w:szCs w:val="24"/>
                <w:lang w:val="en-US"/>
              </w:rPr>
              <w:t>x̅</w:t>
            </w:r>
            <w:r w:rsidRPr="00E4293A">
              <w:rPr>
                <w:rFonts w:asciiTheme="majorBidi" w:hAnsiTheme="majorBidi" w:cstheme="majorBidi"/>
                <w:sz w:val="24"/>
                <w:szCs w:val="24"/>
                <w:rtl/>
                <w:lang w:val="en-US"/>
              </w:rPr>
              <w:t>)</w:t>
            </w:r>
          </w:p>
        </w:tc>
      </w:tr>
      <w:tr w:rsidR="00C121B0" w:rsidRPr="00E4293A" w:rsidTr="00794BA6">
        <w:trPr>
          <w:trHeight w:val="60"/>
          <w:jc w:val="center"/>
        </w:trPr>
        <w:tc>
          <w:tcPr>
            <w:tcW w:w="2971" w:type="dxa"/>
            <w:vAlign w:val="center"/>
          </w:tcPr>
          <w:p w:rsidR="00C121B0" w:rsidRPr="00F55578" w:rsidRDefault="00C121B0" w:rsidP="00794BA6">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كثافة البناء</w:t>
            </w:r>
          </w:p>
        </w:tc>
        <w:tc>
          <w:tcPr>
            <w:tcW w:w="2140" w:type="dxa"/>
            <w:vAlign w:val="bottom"/>
          </w:tcPr>
          <w:p w:rsidR="00C121B0" w:rsidRPr="00E4293A" w:rsidRDefault="00C121B0" w:rsidP="00794BA6">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3,</w:t>
            </w:r>
            <w:r>
              <w:rPr>
                <w:rFonts w:ascii="Simplified Arabic" w:eastAsia="Times New Roman" w:hAnsi="Simplified Arabic" w:cs="Simplified Arabic"/>
                <w:b/>
                <w:bCs/>
                <w:color w:val="000000"/>
                <w:sz w:val="24"/>
                <w:szCs w:val="24"/>
                <w:lang w:eastAsia="fr-FR"/>
              </w:rPr>
              <w:t>93</w:t>
            </w:r>
          </w:p>
        </w:tc>
      </w:tr>
      <w:tr w:rsidR="00C121B0" w:rsidRPr="00E4293A" w:rsidTr="00794BA6">
        <w:trPr>
          <w:jc w:val="center"/>
        </w:trPr>
        <w:tc>
          <w:tcPr>
            <w:tcW w:w="2971" w:type="dxa"/>
            <w:vAlign w:val="center"/>
          </w:tcPr>
          <w:p w:rsidR="00C121B0" w:rsidRPr="00F55578" w:rsidRDefault="00C121B0" w:rsidP="00794BA6">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الصحية</w:t>
            </w:r>
          </w:p>
        </w:tc>
        <w:tc>
          <w:tcPr>
            <w:tcW w:w="2140" w:type="dxa"/>
            <w:vAlign w:val="bottom"/>
          </w:tcPr>
          <w:p w:rsidR="00C121B0" w:rsidRPr="00E4293A" w:rsidRDefault="00C121B0" w:rsidP="00794BA6">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30</w:t>
            </w:r>
          </w:p>
        </w:tc>
      </w:tr>
      <w:tr w:rsidR="00C121B0" w:rsidRPr="00E4293A" w:rsidTr="00794BA6">
        <w:trPr>
          <w:jc w:val="center"/>
        </w:trPr>
        <w:tc>
          <w:tcPr>
            <w:tcW w:w="2971" w:type="dxa"/>
            <w:vAlign w:val="center"/>
          </w:tcPr>
          <w:p w:rsidR="00C121B0" w:rsidRPr="00F55578" w:rsidRDefault="00C121B0" w:rsidP="00794BA6">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الامنية</w:t>
            </w:r>
          </w:p>
        </w:tc>
        <w:tc>
          <w:tcPr>
            <w:tcW w:w="2140" w:type="dxa"/>
            <w:vAlign w:val="bottom"/>
          </w:tcPr>
          <w:p w:rsidR="00C121B0" w:rsidRPr="00E4293A" w:rsidRDefault="00C121B0" w:rsidP="00794BA6">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02</w:t>
            </w:r>
          </w:p>
        </w:tc>
      </w:tr>
      <w:tr w:rsidR="00C121B0" w:rsidRPr="00E4293A" w:rsidTr="00794BA6">
        <w:trPr>
          <w:jc w:val="center"/>
        </w:trPr>
        <w:tc>
          <w:tcPr>
            <w:tcW w:w="2971" w:type="dxa"/>
            <w:vAlign w:val="center"/>
          </w:tcPr>
          <w:p w:rsidR="00C121B0" w:rsidRPr="00F55578" w:rsidRDefault="00C121B0" w:rsidP="00794BA6">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مرافق الانقاذ</w:t>
            </w:r>
          </w:p>
        </w:tc>
        <w:tc>
          <w:tcPr>
            <w:tcW w:w="2140" w:type="dxa"/>
            <w:vAlign w:val="bottom"/>
          </w:tcPr>
          <w:p w:rsidR="00C121B0" w:rsidRPr="00E4293A" w:rsidRDefault="00C121B0" w:rsidP="00794BA6">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54</w:t>
            </w:r>
          </w:p>
        </w:tc>
      </w:tr>
      <w:tr w:rsidR="00C121B0" w:rsidRPr="00E4293A" w:rsidTr="00794BA6">
        <w:trPr>
          <w:jc w:val="center"/>
        </w:trPr>
        <w:tc>
          <w:tcPr>
            <w:tcW w:w="2971" w:type="dxa"/>
            <w:vAlign w:val="center"/>
          </w:tcPr>
          <w:p w:rsidR="00C121B0" w:rsidRPr="00F55578" w:rsidRDefault="00C121B0" w:rsidP="00794BA6">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التعليمية</w:t>
            </w:r>
          </w:p>
        </w:tc>
        <w:tc>
          <w:tcPr>
            <w:tcW w:w="2140" w:type="dxa"/>
            <w:vAlign w:val="bottom"/>
          </w:tcPr>
          <w:p w:rsidR="00C121B0" w:rsidRPr="00E4293A" w:rsidRDefault="00C121B0" w:rsidP="00794BA6">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10</w:t>
            </w:r>
          </w:p>
        </w:tc>
      </w:tr>
      <w:tr w:rsidR="00C121B0" w:rsidRPr="00E4293A" w:rsidTr="00794BA6">
        <w:trPr>
          <w:jc w:val="center"/>
        </w:trPr>
        <w:tc>
          <w:tcPr>
            <w:tcW w:w="2971" w:type="dxa"/>
            <w:vAlign w:val="center"/>
          </w:tcPr>
          <w:p w:rsidR="00C121B0" w:rsidRPr="00F55578" w:rsidRDefault="00C121B0" w:rsidP="00794BA6">
            <w:pPr>
              <w:bidi/>
              <w:rPr>
                <w:rFonts w:ascii="Simplified Arabic" w:eastAsia="Times New Roman" w:hAnsi="Simplified Arabic" w:cs="Simplified Arabic"/>
                <w:color w:val="000000"/>
                <w:sz w:val="24"/>
                <w:szCs w:val="24"/>
                <w:lang w:eastAsia="fr-FR"/>
              </w:rPr>
            </w:pPr>
            <w:r w:rsidRPr="00F55578">
              <w:rPr>
                <w:rFonts w:ascii="Simplified Arabic" w:eastAsia="Times New Roman" w:hAnsi="Simplified Arabic" w:cs="Simplified Arabic"/>
                <w:color w:val="000000"/>
                <w:sz w:val="24"/>
                <w:szCs w:val="24"/>
                <w:rtl/>
                <w:lang w:eastAsia="fr-FR"/>
              </w:rPr>
              <w:t>المسافة الى المرافق الدينية/الثقافية</w:t>
            </w:r>
          </w:p>
        </w:tc>
        <w:tc>
          <w:tcPr>
            <w:tcW w:w="2140" w:type="dxa"/>
            <w:vAlign w:val="bottom"/>
          </w:tcPr>
          <w:p w:rsidR="00C121B0" w:rsidRPr="00E4293A" w:rsidRDefault="00C121B0" w:rsidP="00794BA6">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10</w:t>
            </w:r>
          </w:p>
        </w:tc>
      </w:tr>
      <w:tr w:rsidR="002564B5" w:rsidRPr="00E4293A" w:rsidTr="00794BA6">
        <w:trPr>
          <w:jc w:val="center"/>
        </w:trPr>
        <w:tc>
          <w:tcPr>
            <w:tcW w:w="2971" w:type="dxa"/>
            <w:vAlign w:val="center"/>
          </w:tcPr>
          <w:p w:rsidR="002564B5" w:rsidRPr="00326CF1" w:rsidRDefault="00D50865" w:rsidP="007D2D9A">
            <w:pPr>
              <w:bidi/>
              <w:rPr>
                <w:rFonts w:ascii="Simplified Arabic" w:eastAsia="Times New Roman" w:hAnsi="Simplified Arabic" w:cs="Simplified Arabic"/>
                <w:color w:val="000000"/>
                <w:sz w:val="24"/>
                <w:szCs w:val="24"/>
                <w:lang w:eastAsia="fr-FR"/>
              </w:rPr>
            </w:pPr>
            <w:r w:rsidRPr="0077622D">
              <w:rPr>
                <w:rFonts w:ascii="Simplified Arabic" w:hAnsi="Simplified Arabic" w:cs="Simplified Arabic" w:hint="cs"/>
                <w:sz w:val="24"/>
                <w:szCs w:val="24"/>
                <w:rtl/>
                <w:lang w:val="en-US"/>
              </w:rPr>
              <w:t>عمق الطرق</w:t>
            </w:r>
            <w:r w:rsidRPr="0077622D">
              <w:rPr>
                <w:rFonts w:ascii="Simplified Arabic" w:hAnsi="Simplified Arabic" w:cs="Simplified Arabic"/>
                <w:sz w:val="24"/>
                <w:szCs w:val="24"/>
                <w:rtl/>
                <w:lang w:val="en-US"/>
              </w:rPr>
              <w:t xml:space="preserve"> </w:t>
            </w:r>
            <w:r w:rsidRPr="0077622D">
              <w:rPr>
                <w:rFonts w:ascii="Simplified Arabic" w:hAnsi="Simplified Arabic" w:cs="Simplified Arabic" w:hint="cs"/>
                <w:sz w:val="24"/>
                <w:szCs w:val="24"/>
                <w:rtl/>
                <w:lang w:val="en-US"/>
              </w:rPr>
              <w:t>الشريانية</w:t>
            </w:r>
          </w:p>
        </w:tc>
        <w:tc>
          <w:tcPr>
            <w:tcW w:w="2140" w:type="dxa"/>
            <w:vAlign w:val="bottom"/>
          </w:tcPr>
          <w:p w:rsidR="002564B5" w:rsidRPr="00E4293A" w:rsidRDefault="002564B5" w:rsidP="00794BA6">
            <w:pPr>
              <w:bidi/>
              <w:jc w:val="center"/>
              <w:rPr>
                <w:rFonts w:ascii="Simplified Arabic" w:eastAsia="Times New Roman" w:hAnsi="Simplified Arabic" w:cs="Simplified Arabic"/>
                <w:b/>
                <w:bCs/>
                <w:color w:val="000000"/>
                <w:sz w:val="24"/>
                <w:szCs w:val="24"/>
                <w:lang w:eastAsia="fr-FR"/>
              </w:rPr>
            </w:pP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34</w:t>
            </w:r>
          </w:p>
        </w:tc>
      </w:tr>
    </w:tbl>
    <w:p w:rsidR="00C121B0" w:rsidRPr="00045FDB" w:rsidRDefault="00C121B0" w:rsidP="001D0548">
      <w:pPr>
        <w:pStyle w:val="Paragraphedeliste"/>
        <w:numPr>
          <w:ilvl w:val="3"/>
          <w:numId w:val="156"/>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641" w:name="_Toc171803669"/>
      <w:r w:rsidRPr="00045FDB">
        <w:rPr>
          <w:rFonts w:ascii="Simplified Arabic" w:hAnsi="Simplified Arabic" w:cs="Simplified Arabic" w:hint="cs"/>
          <w:b/>
          <w:bCs/>
          <w:sz w:val="24"/>
          <w:szCs w:val="24"/>
          <w:rtl/>
          <w:lang w:val="en-US"/>
        </w:rPr>
        <w:lastRenderedPageBreak/>
        <w:t>الترتيب</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العام</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للعوامل</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الحضرية</w:t>
      </w:r>
      <w:bookmarkEnd w:id="641"/>
    </w:p>
    <w:p w:rsidR="00C121B0" w:rsidRDefault="00C121B0" w:rsidP="00CE609C">
      <w:pPr>
        <w:bidi/>
        <w:spacing w:after="0"/>
        <w:ind w:firstLine="282"/>
        <w:jc w:val="both"/>
        <w:rPr>
          <w:rFonts w:ascii="Simplified Arabic" w:hAnsi="Simplified Arabic" w:cs="Simplified Arabic"/>
          <w:sz w:val="24"/>
          <w:szCs w:val="24"/>
          <w:rtl/>
          <w:lang w:val="en-US"/>
        </w:rPr>
      </w:pPr>
      <w:r w:rsidRPr="00664F10">
        <w:rPr>
          <w:rFonts w:ascii="Simplified Arabic" w:hAnsi="Simplified Arabic" w:cs="Simplified Arabic"/>
          <w:sz w:val="24"/>
          <w:szCs w:val="24"/>
          <w:rtl/>
          <w:lang w:val="en-US"/>
        </w:rPr>
        <w:t>اتفق</w:t>
      </w:r>
      <w:r>
        <w:rPr>
          <w:rFonts w:ascii="Simplified Arabic" w:hAnsi="Simplified Arabic" w:cs="Simplified Arabic" w:hint="cs"/>
          <w:sz w:val="24"/>
          <w:szCs w:val="24"/>
          <w:rtl/>
          <w:lang w:val="en-US"/>
        </w:rPr>
        <w:t xml:space="preserve"> خبراء</w:t>
      </w:r>
      <w:r w:rsidRPr="00664F10">
        <w:rPr>
          <w:rFonts w:ascii="Simplified Arabic" w:hAnsi="Simplified Arabic" w:cs="Simplified Arabic"/>
          <w:sz w:val="24"/>
          <w:szCs w:val="24"/>
          <w:rtl/>
          <w:lang w:val="en-US"/>
        </w:rPr>
        <w:t xml:space="preserve"> دلفي على أن جميع العوامل مهمة </w:t>
      </w:r>
      <w:r w:rsidR="00CE609C">
        <w:rPr>
          <w:rFonts w:ascii="Simplified Arabic" w:hAnsi="Simplified Arabic" w:cs="Simplified Arabic"/>
          <w:sz w:val="24"/>
          <w:szCs w:val="24"/>
          <w:rtl/>
          <w:lang w:val="en-US"/>
        </w:rPr>
        <w:t>للغاية</w:t>
      </w:r>
      <w:r w:rsidR="00CE609C">
        <w:rPr>
          <w:rFonts w:ascii="Simplified Arabic" w:hAnsi="Simplified Arabic" w:cs="Simplified Arabic" w:hint="cs"/>
          <w:sz w:val="24"/>
          <w:szCs w:val="24"/>
          <w:rtl/>
          <w:lang w:val="en-US"/>
        </w:rPr>
        <w:t xml:space="preserve">، حيث </w:t>
      </w:r>
      <w:r w:rsidR="00CE609C">
        <w:rPr>
          <w:rFonts w:ascii="Simplified Arabic" w:eastAsia="Times New Roman" w:hAnsi="Simplified Arabic" w:cs="Simplified Arabic" w:hint="cs"/>
          <w:b/>
          <w:sz w:val="24"/>
          <w:szCs w:val="24"/>
          <w:rtl/>
          <w:lang w:val="en-US" w:eastAsia="fr-FR"/>
        </w:rPr>
        <w:t xml:space="preserve">تم اعتماد </w:t>
      </w:r>
      <w:r w:rsidR="00CE609C" w:rsidRPr="00EE1777">
        <w:rPr>
          <w:rFonts w:ascii="Simplified Arabic" w:eastAsia="Times New Roman" w:hAnsi="Simplified Arabic" w:cs="Simplified Arabic"/>
          <w:b/>
          <w:sz w:val="24"/>
          <w:szCs w:val="24"/>
          <w:rtl/>
          <w:lang w:val="en-US" w:eastAsia="fr-FR"/>
        </w:rPr>
        <w:t>العوامل الحضرية التي يفوق متوسط</w:t>
      </w:r>
      <w:r w:rsidR="00CE609C" w:rsidRPr="00EE1777">
        <w:rPr>
          <w:rFonts w:ascii="Simplified Arabic" w:hAnsi="Simplified Arabic" w:cs="Simplified Arabic"/>
          <w:sz w:val="28"/>
          <w:szCs w:val="28"/>
          <w:rtl/>
          <w:lang w:val="en-US"/>
        </w:rPr>
        <w:t xml:space="preserve"> </w:t>
      </w:r>
      <w:r w:rsidR="00CE609C" w:rsidRPr="00EE1777">
        <w:rPr>
          <w:rFonts w:ascii="Simplified Arabic" w:eastAsia="Times New Roman" w:hAnsi="Simplified Arabic" w:cs="Simplified Arabic"/>
          <w:b/>
          <w:sz w:val="24"/>
          <w:szCs w:val="24"/>
          <w:rtl/>
          <w:lang w:val="en-US" w:eastAsia="fr-FR"/>
        </w:rPr>
        <w:t xml:space="preserve">حسابها </w:t>
      </w:r>
      <w:r w:rsidR="00CE609C" w:rsidRPr="00EE1777">
        <w:rPr>
          <w:rFonts w:ascii="Simplified Arabic" w:hAnsi="Simplified Arabic" w:cs="Simplified Arabic"/>
          <w:sz w:val="24"/>
          <w:szCs w:val="24"/>
          <w:rtl/>
          <w:lang w:val="en-US"/>
        </w:rPr>
        <w:t>(</w:t>
      </w:r>
      <w:r w:rsidR="00CE609C" w:rsidRPr="004A0B28">
        <w:rPr>
          <w:rFonts w:asciiTheme="majorBidi" w:hAnsiTheme="majorBidi" w:cstheme="majorBidi"/>
          <w:sz w:val="24"/>
          <w:szCs w:val="24"/>
          <w:lang w:val="en-US"/>
        </w:rPr>
        <w:t>x̅</w:t>
      </w:r>
      <w:r w:rsidR="00CE609C" w:rsidRPr="00EE1777">
        <w:rPr>
          <w:rFonts w:ascii="Simplified Arabic" w:hAnsi="Simplified Arabic" w:cs="Simplified Arabic"/>
          <w:sz w:val="24"/>
          <w:szCs w:val="24"/>
          <w:rtl/>
          <w:lang w:val="en-US"/>
        </w:rPr>
        <w:t>)</w:t>
      </w:r>
      <w:r w:rsidR="00CE609C" w:rsidRPr="00EE1777">
        <w:rPr>
          <w:rFonts w:ascii="Simplified Arabic" w:hAnsi="Simplified Arabic" w:cs="Simplified Arabic"/>
          <w:sz w:val="28"/>
          <w:szCs w:val="28"/>
          <w:rtl/>
          <w:lang w:val="en-US"/>
        </w:rPr>
        <w:t xml:space="preserve"> </w:t>
      </w:r>
      <w:r w:rsidR="00CE609C" w:rsidRPr="00EE1777">
        <w:rPr>
          <w:rFonts w:ascii="Simplified Arabic" w:eastAsia="Times New Roman" w:hAnsi="Simplified Arabic" w:cs="Simplified Arabic"/>
          <w:b/>
          <w:sz w:val="24"/>
          <w:szCs w:val="24"/>
          <w:rtl/>
          <w:lang w:val="en-US" w:eastAsia="fr-FR"/>
        </w:rPr>
        <w:t>اكثر من 3</w:t>
      </w:r>
      <w:r w:rsidR="00CE609C">
        <w:rPr>
          <w:rFonts w:ascii="Simplified Arabic" w:eastAsia="Times New Roman" w:hAnsi="Simplified Arabic" w:cs="Simplified Arabic" w:hint="cs"/>
          <w:b/>
          <w:sz w:val="24"/>
          <w:szCs w:val="24"/>
          <w:rtl/>
          <w:lang w:val="en-US" w:eastAsia="fr-FR"/>
        </w:rPr>
        <w:t xml:space="preserve">. لذا </w:t>
      </w:r>
      <w:r w:rsidR="00CE609C">
        <w:rPr>
          <w:rFonts w:ascii="Simplified Arabic" w:eastAsia="Times New Roman" w:hAnsi="Simplified Arabic" w:cs="Simplified Arabic"/>
          <w:b/>
          <w:sz w:val="24"/>
          <w:szCs w:val="24"/>
          <w:rtl/>
          <w:lang w:val="en-US" w:eastAsia="fr-FR"/>
        </w:rPr>
        <w:t>تم تجميع العوامل الحضرية</w:t>
      </w:r>
      <w:r w:rsidR="00CE609C">
        <w:rPr>
          <w:rFonts w:ascii="Simplified Arabic" w:eastAsia="Times New Roman" w:hAnsi="Simplified Arabic" w:cs="Simplified Arabic" w:hint="cs"/>
          <w:b/>
          <w:sz w:val="24"/>
          <w:szCs w:val="24"/>
          <w:rtl/>
          <w:lang w:val="en-US" w:eastAsia="fr-FR"/>
        </w:rPr>
        <w:t xml:space="preserve">، </w:t>
      </w:r>
      <w:r w:rsidRPr="00664F10">
        <w:rPr>
          <w:rFonts w:ascii="Simplified Arabic" w:hAnsi="Simplified Arabic" w:cs="Simplified Arabic"/>
          <w:sz w:val="24"/>
          <w:szCs w:val="24"/>
          <w:rtl/>
          <w:lang w:val="en-US"/>
        </w:rPr>
        <w:t xml:space="preserve">الشكل </w:t>
      </w:r>
      <w:r w:rsidRPr="00664F10">
        <w:rPr>
          <w:rFonts w:ascii="Simplified Arabic" w:hAnsi="Simplified Arabic" w:cs="Simplified Arabic"/>
          <w:sz w:val="24"/>
          <w:szCs w:val="24"/>
          <w:rtl/>
        </w:rPr>
        <w:t>(</w:t>
      </w:r>
      <w:r w:rsidR="002564B5">
        <w:rPr>
          <w:rFonts w:ascii="Simplified Arabic" w:hAnsi="Simplified Arabic" w:cs="Simplified Arabic" w:hint="cs"/>
          <w:sz w:val="24"/>
          <w:szCs w:val="24"/>
          <w:rtl/>
        </w:rPr>
        <w:t>5-4</w:t>
      </w:r>
      <w:r w:rsidRPr="00664F10">
        <w:rPr>
          <w:rFonts w:ascii="Simplified Arabic" w:hAnsi="Simplified Arabic" w:cs="Simplified Arabic"/>
          <w:sz w:val="24"/>
          <w:szCs w:val="24"/>
          <w:rtl/>
        </w:rPr>
        <w:t>)</w:t>
      </w:r>
      <w:r w:rsidR="00CE609C">
        <w:rPr>
          <w:rFonts w:ascii="Simplified Arabic" w:eastAsia="Times New Roman" w:hAnsi="Simplified Arabic" w:cs="Simplified Arabic" w:hint="cs"/>
          <w:b/>
          <w:sz w:val="24"/>
          <w:szCs w:val="24"/>
          <w:rtl/>
          <w:lang w:val="en-US" w:eastAsia="fr-FR"/>
        </w:rPr>
        <w:t>،</w:t>
      </w:r>
      <w:r w:rsidR="002564B5">
        <w:rPr>
          <w:rFonts w:ascii="Simplified Arabic" w:eastAsia="Times New Roman" w:hAnsi="Simplified Arabic" w:cs="Simplified Arabic" w:hint="cs"/>
          <w:b/>
          <w:sz w:val="24"/>
          <w:szCs w:val="24"/>
          <w:rtl/>
          <w:lang w:val="en-US" w:eastAsia="fr-FR"/>
        </w:rPr>
        <w:t xml:space="preserve"> </w:t>
      </w:r>
      <w:r w:rsidRPr="00664F10">
        <w:rPr>
          <w:rFonts w:ascii="Simplified Arabic" w:hAnsi="Simplified Arabic" w:cs="Simplified Arabic"/>
          <w:sz w:val="24"/>
          <w:szCs w:val="24"/>
          <w:rtl/>
          <w:lang w:val="en-US"/>
        </w:rPr>
        <w:t>التي تراوح</w:t>
      </w:r>
      <w:r w:rsidR="00CE609C">
        <w:rPr>
          <w:rFonts w:ascii="Simplified Arabic" w:hAnsi="Simplified Arabic" w:cs="Simplified Arabic" w:hint="cs"/>
          <w:sz w:val="24"/>
          <w:szCs w:val="24"/>
          <w:rtl/>
          <w:lang w:val="en-US"/>
        </w:rPr>
        <w:t>ت</w:t>
      </w:r>
      <w:r w:rsidRPr="00664F10">
        <w:rPr>
          <w:rFonts w:ascii="Simplified Arabic" w:hAnsi="Simplified Arabic" w:cs="Simplified Arabic"/>
          <w:sz w:val="24"/>
          <w:szCs w:val="24"/>
          <w:rtl/>
          <w:lang w:val="en-US"/>
        </w:rPr>
        <w:t xml:space="preserve"> من </w:t>
      </w:r>
      <w:r w:rsidRPr="00E4293A">
        <w:rPr>
          <w:rFonts w:ascii="Simplified Arabic" w:eastAsia="Times New Roman" w:hAnsi="Simplified Arabic" w:cs="Simplified Arabic"/>
          <w:b/>
          <w:bCs/>
          <w:color w:val="000000"/>
          <w:sz w:val="24"/>
          <w:szCs w:val="24"/>
          <w:lang w:eastAsia="fr-FR"/>
        </w:rPr>
        <w:t>3,</w:t>
      </w:r>
      <w:r>
        <w:rPr>
          <w:rFonts w:ascii="Simplified Arabic" w:eastAsia="Times New Roman" w:hAnsi="Simplified Arabic" w:cs="Simplified Arabic"/>
          <w:b/>
          <w:bCs/>
          <w:color w:val="000000"/>
          <w:sz w:val="24"/>
          <w:szCs w:val="24"/>
          <w:lang w:eastAsia="fr-FR"/>
        </w:rPr>
        <w:t>93</w:t>
      </w:r>
      <w:r w:rsidRPr="00664F10">
        <w:rPr>
          <w:rFonts w:ascii="Simplified Arabic" w:hAnsi="Simplified Arabic" w:cs="Simplified Arabic"/>
          <w:sz w:val="24"/>
          <w:szCs w:val="24"/>
          <w:rtl/>
          <w:lang w:val="en-US"/>
        </w:rPr>
        <w:t xml:space="preserve"> إلى </w:t>
      </w: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54</w:t>
      </w:r>
      <w:r w:rsidRPr="00664F10">
        <w:rPr>
          <w:rFonts w:ascii="Simplified Arabic" w:hAnsi="Simplified Arabic" w:cs="Simplified Arabic"/>
          <w:sz w:val="24"/>
          <w:szCs w:val="24"/>
          <w:rtl/>
          <w:lang w:val="en-US"/>
        </w:rPr>
        <w:t xml:space="preserve">، مع </w:t>
      </w:r>
      <w:r w:rsidR="00CE609C">
        <w:rPr>
          <w:rFonts w:ascii="Simplified Arabic" w:hAnsi="Simplified Arabic" w:cs="Simplified Arabic" w:hint="cs"/>
          <w:sz w:val="24"/>
          <w:szCs w:val="24"/>
          <w:rtl/>
          <w:lang w:val="en-US"/>
        </w:rPr>
        <w:t>ترتيب</w:t>
      </w:r>
      <w:r w:rsidRPr="00664F10">
        <w:rPr>
          <w:rFonts w:ascii="Simplified Arabic" w:hAnsi="Simplified Arabic" w:cs="Simplified Arabic"/>
          <w:sz w:val="24"/>
          <w:szCs w:val="24"/>
          <w:rtl/>
          <w:lang w:val="en-US"/>
        </w:rPr>
        <w:t xml:space="preserve"> مستوى أهميتها. هذا </w:t>
      </w:r>
      <w:r>
        <w:rPr>
          <w:rFonts w:ascii="Simplified Arabic" w:hAnsi="Simplified Arabic" w:cs="Simplified Arabic" w:hint="cs"/>
          <w:sz w:val="24"/>
          <w:szCs w:val="24"/>
          <w:rtl/>
          <w:lang w:val="en-US"/>
        </w:rPr>
        <w:t>دليل اهتمام الخبراء</w:t>
      </w:r>
      <w:r w:rsidRPr="00664F1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w:t>
      </w:r>
      <w:r w:rsidRPr="00664F10">
        <w:rPr>
          <w:rFonts w:ascii="Simplified Arabic" w:hAnsi="Simplified Arabic" w:cs="Simplified Arabic"/>
          <w:sz w:val="24"/>
          <w:szCs w:val="24"/>
          <w:rtl/>
          <w:lang w:val="en-US"/>
        </w:rPr>
        <w:t xml:space="preserve">تحديد أولويات </w:t>
      </w:r>
      <w:r>
        <w:rPr>
          <w:rFonts w:ascii="Simplified Arabic" w:hAnsi="Simplified Arabic" w:cs="Simplified Arabic" w:hint="cs"/>
          <w:sz w:val="24"/>
          <w:szCs w:val="24"/>
          <w:rtl/>
          <w:lang w:val="en-US"/>
        </w:rPr>
        <w:t>العوامل</w:t>
      </w:r>
      <w:r w:rsidRPr="00664F10">
        <w:rPr>
          <w:rFonts w:ascii="Simplified Arabic" w:hAnsi="Simplified Arabic" w:cs="Simplified Arabic"/>
          <w:sz w:val="24"/>
          <w:szCs w:val="24"/>
          <w:rtl/>
          <w:lang w:val="en-US"/>
        </w:rPr>
        <w:t xml:space="preserve"> الحضرية. </w:t>
      </w:r>
    </w:p>
    <w:p w:rsidR="00C121B0" w:rsidRPr="002564B5" w:rsidRDefault="00C121B0" w:rsidP="00D50865">
      <w:pPr>
        <w:bidi/>
        <w:spacing w:after="0" w:line="240" w:lineRule="auto"/>
        <w:ind w:firstLine="282"/>
        <w:jc w:val="both"/>
        <w:rPr>
          <w:rFonts w:ascii="Simplified Arabic" w:eastAsia="Times New Roman" w:hAnsi="Simplified Arabic" w:cs="Simplified Arabic"/>
          <w:color w:val="000000"/>
          <w:sz w:val="24"/>
          <w:szCs w:val="24"/>
          <w:rtl/>
          <w:lang w:eastAsia="fr-FR"/>
        </w:rPr>
      </w:pPr>
      <w:r w:rsidRPr="00664F10">
        <w:rPr>
          <w:rFonts w:ascii="Simplified Arabic" w:hAnsi="Simplified Arabic" w:cs="Simplified Arabic"/>
          <w:sz w:val="24"/>
          <w:szCs w:val="24"/>
          <w:rtl/>
          <w:lang w:val="en-US"/>
        </w:rPr>
        <w:t xml:space="preserve">اتفق فريق الخبراء على أن </w:t>
      </w:r>
      <w:r>
        <w:rPr>
          <w:rFonts w:ascii="Simplified Arabic" w:hAnsi="Simplified Arabic" w:cs="Simplified Arabic" w:hint="cs"/>
          <w:sz w:val="24"/>
          <w:szCs w:val="24"/>
          <w:rtl/>
          <w:lang w:val="en-US"/>
        </w:rPr>
        <w:t>عامل</w:t>
      </w:r>
      <w:r w:rsidRPr="00664F1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الانقاذ</w:t>
      </w:r>
      <w:r w:rsidRPr="00664F10">
        <w:rPr>
          <w:rFonts w:ascii="Simplified Arabic" w:hAnsi="Simplified Arabic" w:cs="Simplified Arabic"/>
          <w:sz w:val="24"/>
          <w:szCs w:val="24"/>
          <w:rtl/>
          <w:lang w:val="en-US"/>
        </w:rPr>
        <w:t xml:space="preserve"> هو الأولوية القصوى (</w:t>
      </w:r>
      <w:r w:rsidRPr="000C4042">
        <w:rPr>
          <w:rFonts w:asciiTheme="majorBidi" w:hAnsiTheme="majorBidi" w:cstheme="majorBidi"/>
          <w:sz w:val="24"/>
          <w:szCs w:val="24"/>
          <w:lang w:val="en-US"/>
        </w:rPr>
        <w:t>x̅</w:t>
      </w:r>
      <w:r w:rsidRPr="00664F10">
        <w:rPr>
          <w:rFonts w:ascii="Simplified Arabic" w:hAnsi="Simplified Arabic" w:cs="Simplified Arabic"/>
          <w:sz w:val="24"/>
          <w:szCs w:val="24"/>
          <w:rtl/>
          <w:lang w:val="en-US"/>
        </w:rPr>
        <w:t xml:space="preserve"> = </w:t>
      </w: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54</w:t>
      </w:r>
      <w:r w:rsidRPr="00664F10">
        <w:rPr>
          <w:rFonts w:ascii="Simplified Arabic" w:hAnsi="Simplified Arabic" w:cs="Simplified Arabic"/>
          <w:sz w:val="24"/>
          <w:szCs w:val="24"/>
          <w:rtl/>
          <w:lang w:val="en-US"/>
        </w:rPr>
        <w:t>)</w:t>
      </w:r>
      <w:r w:rsidR="00CE609C">
        <w:rPr>
          <w:rFonts w:ascii="Simplified Arabic" w:hAnsi="Simplified Arabic" w:cs="Simplified Arabic" w:hint="cs"/>
          <w:sz w:val="24"/>
          <w:szCs w:val="24"/>
          <w:rtl/>
          <w:lang w:val="en-US"/>
        </w:rPr>
        <w:t>،</w:t>
      </w:r>
      <w:r w:rsidRPr="00664F10">
        <w:rPr>
          <w:rFonts w:ascii="Simplified Arabic" w:hAnsi="Simplified Arabic" w:cs="Simplified Arabic"/>
          <w:sz w:val="24"/>
          <w:szCs w:val="24"/>
          <w:rtl/>
          <w:lang w:val="en-US"/>
        </w:rPr>
        <w:t xml:space="preserve"> </w:t>
      </w:r>
      <w:r w:rsidR="00CE609C">
        <w:rPr>
          <w:rFonts w:ascii="Simplified Arabic" w:hAnsi="Simplified Arabic" w:cs="Simplified Arabic" w:hint="cs"/>
          <w:sz w:val="24"/>
          <w:szCs w:val="24"/>
          <w:rtl/>
          <w:lang w:val="en-US"/>
        </w:rPr>
        <w:t xml:space="preserve">ثم </w:t>
      </w:r>
      <w:r w:rsidR="00D50865" w:rsidRPr="0077622D">
        <w:rPr>
          <w:rFonts w:ascii="Simplified Arabic" w:hAnsi="Simplified Arabic" w:cs="Simplified Arabic" w:hint="cs"/>
          <w:sz w:val="24"/>
          <w:szCs w:val="24"/>
          <w:rtl/>
          <w:lang w:val="en-US"/>
        </w:rPr>
        <w:t>عمق الطرق</w:t>
      </w:r>
      <w:r w:rsidR="00D50865" w:rsidRPr="0077622D">
        <w:rPr>
          <w:rFonts w:ascii="Simplified Arabic" w:hAnsi="Simplified Arabic" w:cs="Simplified Arabic"/>
          <w:sz w:val="24"/>
          <w:szCs w:val="24"/>
          <w:rtl/>
          <w:lang w:val="en-US"/>
        </w:rPr>
        <w:t xml:space="preserve"> </w:t>
      </w:r>
      <w:r w:rsidR="00D50865" w:rsidRPr="0077622D">
        <w:rPr>
          <w:rFonts w:ascii="Simplified Arabic" w:hAnsi="Simplified Arabic" w:cs="Simplified Arabic" w:hint="cs"/>
          <w:sz w:val="24"/>
          <w:szCs w:val="24"/>
          <w:rtl/>
          <w:lang w:val="en-US"/>
        </w:rPr>
        <w:t>الشريانية</w:t>
      </w:r>
      <w:r w:rsidR="00D50865" w:rsidRPr="0077622D">
        <w:rPr>
          <w:rFonts w:ascii="Simplified Arabic" w:hAnsi="Simplified Arabic" w:cs="Simplified Arabic"/>
          <w:sz w:val="24"/>
          <w:szCs w:val="24"/>
          <w:rtl/>
          <w:lang w:val="en-US"/>
        </w:rPr>
        <w:t xml:space="preserve"> </w:t>
      </w:r>
      <w:r w:rsidRPr="00664F10">
        <w:rPr>
          <w:rFonts w:ascii="Simplified Arabic" w:hAnsi="Simplified Arabic" w:cs="Simplified Arabic"/>
          <w:sz w:val="24"/>
          <w:szCs w:val="24"/>
          <w:rtl/>
          <w:lang w:val="en-US"/>
        </w:rPr>
        <w:t>(</w:t>
      </w:r>
      <w:r w:rsidRPr="000C4042">
        <w:rPr>
          <w:rFonts w:asciiTheme="majorBidi" w:hAnsiTheme="majorBidi" w:cstheme="majorBidi"/>
          <w:sz w:val="24"/>
          <w:szCs w:val="24"/>
          <w:lang w:val="en-US"/>
        </w:rPr>
        <w:t>x̅</w:t>
      </w:r>
      <w:r w:rsidRPr="00664F10">
        <w:rPr>
          <w:rFonts w:ascii="Simplified Arabic" w:hAnsi="Simplified Arabic" w:cs="Simplified Arabic"/>
          <w:sz w:val="24"/>
          <w:szCs w:val="24"/>
          <w:rtl/>
          <w:lang w:val="en-US"/>
        </w:rPr>
        <w:t xml:space="preserve"> = </w:t>
      </w: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34</w:t>
      </w:r>
      <w:r w:rsidRPr="00664F10">
        <w:rPr>
          <w:rFonts w:ascii="Simplified Arabic" w:hAnsi="Simplified Arabic" w:cs="Simplified Arabic"/>
          <w:sz w:val="24"/>
          <w:szCs w:val="24"/>
          <w:rtl/>
          <w:lang w:val="en-US"/>
        </w:rPr>
        <w:t>) و</w:t>
      </w:r>
      <w:r w:rsidRPr="00F55578">
        <w:rPr>
          <w:rFonts w:ascii="Simplified Arabic" w:eastAsia="Times New Roman" w:hAnsi="Simplified Arabic" w:cs="Simplified Arabic"/>
          <w:color w:val="000000"/>
          <w:sz w:val="24"/>
          <w:szCs w:val="24"/>
          <w:rtl/>
          <w:lang w:eastAsia="fr-FR"/>
        </w:rPr>
        <w:t>المسافة الى المرافق الصحية</w:t>
      </w:r>
      <w:r w:rsidRPr="00664F10">
        <w:rPr>
          <w:rFonts w:ascii="Simplified Arabic" w:hAnsi="Simplified Arabic" w:cs="Simplified Arabic"/>
          <w:sz w:val="24"/>
          <w:szCs w:val="24"/>
          <w:rtl/>
          <w:lang w:val="en-US"/>
        </w:rPr>
        <w:t xml:space="preserve"> (</w:t>
      </w:r>
      <w:r w:rsidRPr="000C4042">
        <w:rPr>
          <w:rFonts w:asciiTheme="majorBidi" w:hAnsiTheme="majorBidi" w:cstheme="majorBidi"/>
          <w:sz w:val="24"/>
          <w:szCs w:val="24"/>
          <w:lang w:val="en-US"/>
        </w:rPr>
        <w:t>x̅</w:t>
      </w:r>
      <w:r w:rsidRPr="00664F10">
        <w:rPr>
          <w:rFonts w:ascii="Simplified Arabic" w:hAnsi="Simplified Arabic" w:cs="Simplified Arabic"/>
          <w:sz w:val="24"/>
          <w:szCs w:val="24"/>
          <w:rtl/>
          <w:lang w:val="en-US"/>
        </w:rPr>
        <w:t xml:space="preserve"> = </w:t>
      </w: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30</w:t>
      </w:r>
      <w:r w:rsidRPr="00664F10">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r w:rsidR="00CE609C">
        <w:rPr>
          <w:rFonts w:ascii="Simplified Arabic" w:hAnsi="Simplified Arabic" w:cs="Simplified Arabic" w:hint="cs"/>
          <w:sz w:val="24"/>
          <w:szCs w:val="24"/>
          <w:rtl/>
          <w:lang w:val="en-US"/>
        </w:rPr>
        <w:t>ب</w:t>
      </w:r>
      <w:r w:rsidRPr="00664F10">
        <w:rPr>
          <w:rFonts w:ascii="Simplified Arabic" w:hAnsi="Simplified Arabic" w:cs="Simplified Arabic"/>
          <w:sz w:val="24"/>
          <w:szCs w:val="24"/>
          <w:rtl/>
          <w:lang w:val="en-US"/>
        </w:rPr>
        <w:t>نفس المستوى تقريبًا، كما كان</w:t>
      </w:r>
      <w:r>
        <w:rPr>
          <w:rFonts w:ascii="Simplified Arabic" w:hAnsi="Simplified Arabic" w:cs="Simplified Arabic" w:hint="cs"/>
          <w:sz w:val="24"/>
          <w:szCs w:val="24"/>
          <w:rtl/>
          <w:lang w:val="en-US"/>
        </w:rPr>
        <w:t>ت</w:t>
      </w:r>
      <w:r w:rsidRPr="00664F10">
        <w:rPr>
          <w:rFonts w:ascii="Simplified Arabic" w:hAnsi="Simplified Arabic" w:cs="Simplified Arabic"/>
          <w:sz w:val="24"/>
          <w:szCs w:val="24"/>
          <w:rtl/>
          <w:lang w:val="en-US"/>
        </w:rPr>
        <w:t xml:space="preserve"> </w:t>
      </w:r>
      <w:r w:rsidRPr="00F55578">
        <w:rPr>
          <w:rFonts w:ascii="Simplified Arabic" w:eastAsia="Times New Roman" w:hAnsi="Simplified Arabic" w:cs="Simplified Arabic"/>
          <w:color w:val="000000"/>
          <w:sz w:val="24"/>
          <w:szCs w:val="24"/>
          <w:rtl/>
          <w:lang w:eastAsia="fr-FR"/>
        </w:rPr>
        <w:t>المسافة الى المرافق التعليمية</w:t>
      </w:r>
      <w:r w:rsidRPr="00664F1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و</w:t>
      </w:r>
      <w:r w:rsidRPr="00F55578">
        <w:rPr>
          <w:rFonts w:ascii="Simplified Arabic" w:eastAsia="Times New Roman" w:hAnsi="Simplified Arabic" w:cs="Simplified Arabic"/>
          <w:color w:val="000000"/>
          <w:sz w:val="24"/>
          <w:szCs w:val="24"/>
          <w:rtl/>
          <w:lang w:eastAsia="fr-FR"/>
        </w:rPr>
        <w:t>المسافة الى المرافق الدينية/الثقافية</w:t>
      </w:r>
      <w:r w:rsidRPr="00664F10">
        <w:rPr>
          <w:rFonts w:ascii="Simplified Arabic" w:hAnsi="Simplified Arabic" w:cs="Simplified Arabic"/>
          <w:sz w:val="24"/>
          <w:szCs w:val="24"/>
          <w:rtl/>
          <w:lang w:val="en-US"/>
        </w:rPr>
        <w:t xml:space="preserve"> التي تم تصنيفه</w:t>
      </w:r>
      <w:r>
        <w:rPr>
          <w:rFonts w:ascii="Simplified Arabic" w:hAnsi="Simplified Arabic" w:cs="Simplified Arabic" w:hint="cs"/>
          <w:sz w:val="24"/>
          <w:szCs w:val="24"/>
          <w:rtl/>
          <w:lang w:val="en-US"/>
        </w:rPr>
        <w:t>م</w:t>
      </w:r>
      <w:r w:rsidRPr="00664F10">
        <w:rPr>
          <w:rFonts w:ascii="Simplified Arabic" w:hAnsi="Simplified Arabic" w:cs="Simplified Arabic"/>
          <w:sz w:val="24"/>
          <w:szCs w:val="24"/>
          <w:rtl/>
          <w:lang w:val="en-US"/>
        </w:rPr>
        <w:t>ا رابعًا</w:t>
      </w:r>
      <w:r>
        <w:rPr>
          <w:rFonts w:ascii="Simplified Arabic" w:hAnsi="Simplified Arabic" w:cs="Simplified Arabic" w:hint="cs"/>
          <w:sz w:val="24"/>
          <w:szCs w:val="24"/>
          <w:rtl/>
          <w:lang w:val="en-US"/>
        </w:rPr>
        <w:t xml:space="preserve"> معًا</w:t>
      </w:r>
      <w:r w:rsidRPr="00664F10">
        <w:rPr>
          <w:rFonts w:ascii="Simplified Arabic" w:hAnsi="Simplified Arabic" w:cs="Simplified Arabic"/>
          <w:sz w:val="24"/>
          <w:szCs w:val="24"/>
          <w:rtl/>
          <w:lang w:val="en-US"/>
        </w:rPr>
        <w:t xml:space="preserve"> (</w:t>
      </w:r>
      <w:r w:rsidRPr="00F33178">
        <w:rPr>
          <w:rFonts w:asciiTheme="majorBidi" w:hAnsiTheme="majorBidi" w:cstheme="majorBidi"/>
          <w:sz w:val="24"/>
          <w:szCs w:val="24"/>
          <w:lang w:val="en-US"/>
        </w:rPr>
        <w:t>x̅</w:t>
      </w:r>
      <w:r w:rsidRPr="00664F10">
        <w:rPr>
          <w:rFonts w:ascii="Simplified Arabic" w:hAnsi="Simplified Arabic" w:cs="Simplified Arabic"/>
          <w:sz w:val="24"/>
          <w:szCs w:val="24"/>
          <w:rtl/>
          <w:lang w:val="en-US"/>
        </w:rPr>
        <w:t xml:space="preserve"> = </w:t>
      </w: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10</w:t>
      </w:r>
      <w:r w:rsidRPr="00664F10">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r w:rsidRPr="00F55578">
        <w:rPr>
          <w:rFonts w:ascii="Simplified Arabic" w:eastAsia="Times New Roman" w:hAnsi="Simplified Arabic" w:cs="Simplified Arabic"/>
          <w:color w:val="000000"/>
          <w:sz w:val="24"/>
          <w:szCs w:val="24"/>
          <w:rtl/>
          <w:lang w:eastAsia="fr-FR"/>
        </w:rPr>
        <w:t>المسافة الى المرافق الامنية</w:t>
      </w:r>
      <w:r>
        <w:rPr>
          <w:rFonts w:ascii="Simplified Arabic" w:hAnsi="Simplified Arabic" w:cs="Simplified Arabic" w:hint="cs"/>
          <w:sz w:val="24"/>
          <w:szCs w:val="24"/>
          <w:rtl/>
          <w:lang w:val="en-US"/>
        </w:rPr>
        <w:t xml:space="preserve"> </w:t>
      </w:r>
      <w:r w:rsidRPr="00664F10">
        <w:rPr>
          <w:rFonts w:ascii="Simplified Arabic" w:hAnsi="Simplified Arabic" w:cs="Simplified Arabic"/>
          <w:sz w:val="24"/>
          <w:szCs w:val="24"/>
          <w:rtl/>
          <w:lang w:val="en-US"/>
        </w:rPr>
        <w:t>(</w:t>
      </w:r>
      <w:r w:rsidRPr="00F33178">
        <w:rPr>
          <w:rFonts w:asciiTheme="majorBidi" w:hAnsiTheme="majorBidi" w:cstheme="majorBidi"/>
          <w:sz w:val="24"/>
          <w:szCs w:val="24"/>
          <w:lang w:val="en-US"/>
        </w:rPr>
        <w:t>x̅</w:t>
      </w:r>
      <w:r w:rsidRPr="00664F10">
        <w:rPr>
          <w:rFonts w:ascii="Simplified Arabic" w:hAnsi="Simplified Arabic" w:cs="Simplified Arabic"/>
          <w:sz w:val="24"/>
          <w:szCs w:val="24"/>
          <w:rtl/>
          <w:lang w:val="en-US"/>
        </w:rPr>
        <w:t xml:space="preserve"> = </w:t>
      </w: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02</w:t>
      </w:r>
      <w:r w:rsidRPr="00664F10">
        <w:rPr>
          <w:rFonts w:ascii="Simplified Arabic" w:hAnsi="Simplified Arabic" w:cs="Simplified Arabic"/>
          <w:sz w:val="24"/>
          <w:szCs w:val="24"/>
          <w:rtl/>
          <w:lang w:val="en-US"/>
        </w:rPr>
        <w:t>)</w:t>
      </w:r>
      <w:r>
        <w:rPr>
          <w:rFonts w:ascii="Simplified Arabic" w:hAnsi="Simplified Arabic" w:cs="Simplified Arabic"/>
          <w:sz w:val="24"/>
          <w:szCs w:val="24"/>
          <w:lang w:val="en-US"/>
        </w:rPr>
        <w:t xml:space="preserve"> </w:t>
      </w:r>
      <w:r>
        <w:rPr>
          <w:rFonts w:ascii="Simplified Arabic" w:hAnsi="Simplified Arabic" w:cs="Simplified Arabic" w:hint="cs"/>
          <w:sz w:val="24"/>
          <w:szCs w:val="24"/>
          <w:rtl/>
          <w:lang w:val="en-US"/>
        </w:rPr>
        <w:t xml:space="preserve">واخيرا كثافة </w:t>
      </w:r>
      <w:r w:rsidR="00CE609C">
        <w:rPr>
          <w:rFonts w:ascii="Simplified Arabic" w:hAnsi="Simplified Arabic" w:cs="Simplified Arabic" w:hint="cs"/>
          <w:sz w:val="24"/>
          <w:szCs w:val="24"/>
          <w:rtl/>
          <w:lang w:val="en-US"/>
        </w:rPr>
        <w:t>البناء</w:t>
      </w:r>
      <w:r>
        <w:rPr>
          <w:rFonts w:ascii="Simplified Arabic" w:hAnsi="Simplified Arabic" w:cs="Simplified Arabic" w:hint="cs"/>
          <w:sz w:val="24"/>
          <w:szCs w:val="24"/>
          <w:rtl/>
          <w:lang w:val="en-US"/>
        </w:rPr>
        <w:t xml:space="preserve"> ب</w:t>
      </w:r>
      <w:r w:rsidRPr="00664F10">
        <w:rPr>
          <w:rFonts w:ascii="Simplified Arabic" w:hAnsi="Simplified Arabic" w:cs="Simplified Arabic"/>
          <w:sz w:val="24"/>
          <w:szCs w:val="24"/>
          <w:rtl/>
          <w:lang w:val="en-US"/>
        </w:rPr>
        <w:t>متوسط</w:t>
      </w:r>
      <w:r>
        <w:rPr>
          <w:rFonts w:ascii="Simplified Arabic" w:hAnsi="Simplified Arabic" w:cs="Simplified Arabic" w:hint="cs"/>
          <w:sz w:val="24"/>
          <w:szCs w:val="24"/>
          <w:rtl/>
          <w:lang w:val="en-US"/>
        </w:rPr>
        <w:t xml:space="preserve"> حسابي </w:t>
      </w:r>
      <w:r w:rsidRPr="00664F10">
        <w:rPr>
          <w:rFonts w:ascii="Simplified Arabic" w:hAnsi="Simplified Arabic" w:cs="Simplified Arabic"/>
          <w:sz w:val="24"/>
          <w:szCs w:val="24"/>
          <w:rtl/>
          <w:lang w:val="en-US"/>
        </w:rPr>
        <w:t>(</w:t>
      </w:r>
      <w:r w:rsidRPr="00F33178">
        <w:rPr>
          <w:rFonts w:asciiTheme="majorBidi" w:hAnsiTheme="majorBidi" w:cstheme="majorBidi"/>
          <w:sz w:val="24"/>
          <w:szCs w:val="24"/>
          <w:lang w:val="en-US"/>
        </w:rPr>
        <w:t>x̅</w:t>
      </w:r>
      <w:r w:rsidRPr="00664F10">
        <w:rPr>
          <w:rFonts w:ascii="Simplified Arabic" w:hAnsi="Simplified Arabic" w:cs="Simplified Arabic"/>
          <w:sz w:val="24"/>
          <w:szCs w:val="24"/>
          <w:rtl/>
          <w:lang w:val="en-US"/>
        </w:rPr>
        <w:t xml:space="preserve"> = </w:t>
      </w:r>
      <w:r>
        <w:rPr>
          <w:rFonts w:ascii="Simplified Arabic" w:eastAsia="Times New Roman" w:hAnsi="Simplified Arabic" w:cs="Simplified Arabic"/>
          <w:b/>
          <w:bCs/>
          <w:color w:val="000000"/>
          <w:sz w:val="24"/>
          <w:szCs w:val="24"/>
          <w:lang w:eastAsia="fr-FR"/>
        </w:rPr>
        <w:t>3</w:t>
      </w:r>
      <w:r w:rsidRPr="00E4293A">
        <w:rPr>
          <w:rFonts w:ascii="Simplified Arabic" w:eastAsia="Times New Roman" w:hAnsi="Simplified Arabic" w:cs="Simplified Arabic"/>
          <w:b/>
          <w:bCs/>
          <w:color w:val="000000"/>
          <w:sz w:val="24"/>
          <w:szCs w:val="24"/>
          <w:lang w:eastAsia="fr-FR"/>
        </w:rPr>
        <w:t>,</w:t>
      </w:r>
      <w:r>
        <w:rPr>
          <w:rFonts w:ascii="Simplified Arabic" w:eastAsia="Times New Roman" w:hAnsi="Simplified Arabic" w:cs="Simplified Arabic"/>
          <w:b/>
          <w:bCs/>
          <w:color w:val="000000"/>
          <w:sz w:val="24"/>
          <w:szCs w:val="24"/>
          <w:lang w:eastAsia="fr-FR"/>
        </w:rPr>
        <w:t>93</w:t>
      </w:r>
      <w:r w:rsidRPr="00664F10">
        <w:rPr>
          <w:rFonts w:ascii="Simplified Arabic" w:hAnsi="Simplified Arabic" w:cs="Simplified Arabic"/>
          <w:sz w:val="24"/>
          <w:szCs w:val="24"/>
          <w:rtl/>
          <w:lang w:val="en-US"/>
        </w:rPr>
        <w:t xml:space="preserve">). </w:t>
      </w:r>
    </w:p>
    <w:p w:rsidR="00C121B0" w:rsidRDefault="00C121B0" w:rsidP="009E21CA">
      <w:pPr>
        <w:bidi/>
        <w:spacing w:after="0"/>
        <w:ind w:firstLine="282"/>
        <w:jc w:val="both"/>
        <w:rPr>
          <w:rFonts w:ascii="Simplified Arabic" w:hAnsi="Simplified Arabic" w:cs="Simplified Arabic"/>
          <w:sz w:val="24"/>
          <w:szCs w:val="24"/>
          <w:rtl/>
          <w:lang w:val="en-US"/>
        </w:rPr>
      </w:pPr>
      <w:r w:rsidRPr="00664F10">
        <w:rPr>
          <w:rFonts w:ascii="Simplified Arabic" w:hAnsi="Simplified Arabic" w:cs="Simplified Arabic"/>
          <w:sz w:val="24"/>
          <w:szCs w:val="24"/>
          <w:rtl/>
          <w:lang w:val="en-US"/>
        </w:rPr>
        <w:t xml:space="preserve">إن مستويات الاتفاق بالإشارة إلى هذه العوامل </w:t>
      </w:r>
      <w:r>
        <w:rPr>
          <w:rFonts w:ascii="Simplified Arabic" w:hAnsi="Simplified Arabic" w:cs="Simplified Arabic" w:hint="cs"/>
          <w:sz w:val="24"/>
          <w:szCs w:val="24"/>
          <w:rtl/>
          <w:lang w:val="en-US"/>
        </w:rPr>
        <w:t>الخمسة</w:t>
      </w:r>
      <w:r w:rsidRPr="00664F1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bidi="ar-DZ"/>
        </w:rPr>
        <w:t xml:space="preserve">التي اكبر من </w:t>
      </w:r>
      <w:r w:rsidRPr="00664F10">
        <w:rPr>
          <w:rFonts w:ascii="Simplified Arabic" w:hAnsi="Simplified Arabic" w:cs="Simplified Arabic"/>
          <w:sz w:val="24"/>
          <w:szCs w:val="24"/>
          <w:rtl/>
          <w:lang w:val="en-US"/>
        </w:rPr>
        <w:t>(</w:t>
      </w:r>
      <w:r w:rsidRPr="000E2EBE">
        <w:rPr>
          <w:rFonts w:asciiTheme="majorBidi" w:hAnsiTheme="majorBidi" w:cstheme="majorBidi"/>
          <w:sz w:val="24"/>
          <w:szCs w:val="24"/>
          <w:lang w:val="en-US"/>
        </w:rPr>
        <w:t>x̅</w:t>
      </w:r>
      <w:r w:rsidRPr="00664F10">
        <w:rPr>
          <w:rFonts w:ascii="Simplified Arabic" w:hAnsi="Simplified Arabic" w:cs="Simplified Arabic"/>
          <w:sz w:val="24"/>
          <w:szCs w:val="24"/>
          <w:rtl/>
          <w:lang w:val="en-US"/>
        </w:rPr>
        <w:t xml:space="preserve"> </w:t>
      </w:r>
      <w:r w:rsidRPr="00E4293A">
        <w:rPr>
          <w:rFonts w:ascii="Simplified Arabic" w:eastAsia="Times New Roman" w:hAnsi="Simplified Arabic" w:cs="Simplified Arabic"/>
          <w:b/>
          <w:bCs/>
          <w:color w:val="000000"/>
          <w:sz w:val="24"/>
          <w:szCs w:val="24"/>
          <w:lang w:eastAsia="fr-FR"/>
        </w:rPr>
        <w:t>4,</w:t>
      </w:r>
      <w:r>
        <w:rPr>
          <w:rFonts w:ascii="Simplified Arabic" w:eastAsia="Times New Roman" w:hAnsi="Simplified Arabic" w:cs="Simplified Arabic"/>
          <w:b/>
          <w:bCs/>
          <w:color w:val="000000"/>
          <w:sz w:val="24"/>
          <w:szCs w:val="24"/>
          <w:lang w:eastAsia="fr-FR"/>
        </w:rPr>
        <w:t>02</w:t>
      </w:r>
      <w:r w:rsidRPr="00664F10">
        <w:rPr>
          <w:rFonts w:ascii="Simplified Arabic" w:hAnsi="Simplified Arabic" w:cs="Simplified Arabic"/>
          <w:sz w:val="24"/>
          <w:szCs w:val="24"/>
          <w:rtl/>
          <w:lang w:val="en-US"/>
        </w:rPr>
        <w:t xml:space="preserve">) متوافقة مع المخاوف الحالية بشأن التحديات </w:t>
      </w:r>
      <w:r>
        <w:rPr>
          <w:rFonts w:ascii="Simplified Arabic" w:hAnsi="Simplified Arabic" w:cs="Simplified Arabic" w:hint="cs"/>
          <w:sz w:val="24"/>
          <w:szCs w:val="24"/>
          <w:rtl/>
          <w:lang w:val="en-US"/>
        </w:rPr>
        <w:t>الحضرية</w:t>
      </w:r>
      <w:r w:rsidRPr="00664F1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لمدينة بوسعادة، كالاضطرابات الوظيفية والحالات الحرجة التي تحدثها الفيضانات</w:t>
      </w:r>
      <w:r w:rsidRPr="00664F10">
        <w:rPr>
          <w:rFonts w:ascii="Simplified Arabic" w:hAnsi="Simplified Arabic" w:cs="Simplified Arabic"/>
          <w:sz w:val="24"/>
          <w:szCs w:val="24"/>
          <w:rtl/>
          <w:lang w:val="en-US"/>
        </w:rPr>
        <w:t xml:space="preserve">. كما يوضح وجود </w:t>
      </w:r>
      <w:r>
        <w:rPr>
          <w:rFonts w:ascii="Simplified Arabic" w:hAnsi="Simplified Arabic" w:cs="Simplified Arabic" w:hint="cs"/>
          <w:sz w:val="24"/>
          <w:szCs w:val="24"/>
          <w:rtl/>
          <w:lang w:val="en-US"/>
        </w:rPr>
        <w:t>علاقة</w:t>
      </w:r>
      <w:r w:rsidRPr="00664F10">
        <w:rPr>
          <w:rFonts w:ascii="Simplified Arabic" w:hAnsi="Simplified Arabic" w:cs="Simplified Arabic"/>
          <w:sz w:val="24"/>
          <w:szCs w:val="24"/>
          <w:rtl/>
          <w:lang w:val="en-US"/>
        </w:rPr>
        <w:t xml:space="preserve"> بين آراء الخبراء ونقص </w:t>
      </w:r>
      <w:r>
        <w:rPr>
          <w:rFonts w:ascii="Simplified Arabic" w:hAnsi="Simplified Arabic" w:cs="Simplified Arabic" w:hint="cs"/>
          <w:sz w:val="24"/>
          <w:szCs w:val="24"/>
          <w:rtl/>
          <w:lang w:val="en-US"/>
        </w:rPr>
        <w:t>المرافق</w:t>
      </w:r>
      <w:r w:rsidRPr="00664F10">
        <w:rPr>
          <w:rFonts w:ascii="Simplified Arabic" w:hAnsi="Simplified Arabic" w:cs="Simplified Arabic"/>
          <w:sz w:val="24"/>
          <w:szCs w:val="24"/>
          <w:rtl/>
          <w:lang w:val="en-US"/>
        </w:rPr>
        <w:t xml:space="preserve"> الملائمة بسبب </w:t>
      </w:r>
      <w:r>
        <w:rPr>
          <w:rFonts w:ascii="Simplified Arabic" w:hAnsi="Simplified Arabic" w:cs="Simplified Arabic" w:hint="cs"/>
          <w:sz w:val="24"/>
          <w:szCs w:val="24"/>
          <w:rtl/>
          <w:lang w:val="en-US"/>
        </w:rPr>
        <w:t>التدخلات</w:t>
      </w:r>
      <w:r>
        <w:rPr>
          <w:rFonts w:ascii="Simplified Arabic" w:hAnsi="Simplified Arabic" w:cs="Simplified Arabic" w:hint="cs"/>
          <w:sz w:val="24"/>
          <w:szCs w:val="24"/>
          <w:rtl/>
          <w:lang w:val="en-US" w:bidi="ar-DZ"/>
        </w:rPr>
        <w:t xml:space="preserve"> العشوائية</w:t>
      </w:r>
      <w:r>
        <w:rPr>
          <w:rFonts w:ascii="Simplified Arabic" w:hAnsi="Simplified Arabic" w:cs="Simplified Arabic" w:hint="cs"/>
          <w:sz w:val="24"/>
          <w:szCs w:val="24"/>
          <w:rtl/>
          <w:lang w:val="en-US"/>
        </w:rPr>
        <w:t xml:space="preserve"> والوتيرة المتسارعة للتعمير الذي شهدته المدينة</w:t>
      </w:r>
      <w:r w:rsidRPr="00664F10">
        <w:rPr>
          <w:rFonts w:ascii="Simplified Arabic" w:hAnsi="Simplified Arabic" w:cs="Simplified Arabic"/>
          <w:sz w:val="24"/>
          <w:szCs w:val="24"/>
          <w:rtl/>
          <w:lang w:val="en-US"/>
        </w:rPr>
        <w:t>.</w:t>
      </w:r>
    </w:p>
    <w:p w:rsidR="00C121B0" w:rsidRDefault="00C121B0" w:rsidP="00553B7A">
      <w:pPr>
        <w:pStyle w:val="fegure"/>
        <w:spacing w:before="240"/>
        <w:rPr>
          <w:sz w:val="8"/>
          <w:szCs w:val="24"/>
          <w:rtl/>
          <w:lang w:val="en-US" w:bidi="ar-DZ"/>
        </w:rPr>
      </w:pPr>
      <w:bookmarkStart w:id="642" w:name="_Toc157608336"/>
      <w:bookmarkStart w:id="643" w:name="_Toc171803670"/>
      <w:r w:rsidRPr="00ED1C8F">
        <w:rPr>
          <w:sz w:val="8"/>
          <w:szCs w:val="24"/>
          <w:rtl/>
          <w:lang w:val="en-US"/>
        </w:rPr>
        <w:t xml:space="preserve">الشكل </w:t>
      </w:r>
      <w:r w:rsidRPr="00ED1C8F">
        <w:rPr>
          <w:sz w:val="8"/>
          <w:szCs w:val="24"/>
          <w:rtl/>
        </w:rPr>
        <w:t>(</w:t>
      </w:r>
      <w:r w:rsidR="00C60343" w:rsidRPr="00ED1C8F">
        <w:rPr>
          <w:rFonts w:hint="cs"/>
          <w:sz w:val="8"/>
          <w:szCs w:val="24"/>
          <w:rtl/>
        </w:rPr>
        <w:t>5-4</w:t>
      </w:r>
      <w:r w:rsidRPr="00ED1C8F">
        <w:rPr>
          <w:sz w:val="8"/>
          <w:szCs w:val="24"/>
          <w:rtl/>
        </w:rPr>
        <w:t>)</w:t>
      </w:r>
      <w:r w:rsidRPr="00ED1C8F">
        <w:rPr>
          <w:sz w:val="8"/>
          <w:szCs w:val="24"/>
          <w:rtl/>
          <w:lang w:val="en-US"/>
        </w:rPr>
        <w:t xml:space="preserve">: </w:t>
      </w:r>
      <w:r w:rsidRPr="00ED1C8F">
        <w:rPr>
          <w:sz w:val="8"/>
          <w:szCs w:val="24"/>
          <w:rtl/>
          <w:lang w:val="en-US" w:bidi="ar-DZ"/>
        </w:rPr>
        <w:t xml:space="preserve">مستوى أهمية </w:t>
      </w:r>
      <w:r w:rsidRPr="00ED1C8F">
        <w:rPr>
          <w:rFonts w:hint="cs"/>
          <w:sz w:val="8"/>
          <w:szCs w:val="24"/>
          <w:rtl/>
          <w:lang w:val="en-US" w:bidi="ar-DZ"/>
        </w:rPr>
        <w:t>ا</w:t>
      </w:r>
      <w:r w:rsidRPr="00ED1C8F">
        <w:rPr>
          <w:sz w:val="8"/>
          <w:szCs w:val="24"/>
          <w:rtl/>
          <w:lang w:val="en-US" w:bidi="ar-DZ"/>
        </w:rPr>
        <w:t>لعوامل النهائية لتقييم المرونة الحضرية</w:t>
      </w:r>
      <w:bookmarkEnd w:id="642"/>
      <w:bookmarkEnd w:id="643"/>
    </w:p>
    <w:p w:rsidR="00010DE7" w:rsidRPr="00010DE7" w:rsidRDefault="00010DE7" w:rsidP="00010DE7">
      <w:pPr>
        <w:pStyle w:val="fegure"/>
        <w:rPr>
          <w:sz w:val="8"/>
          <w:szCs w:val="24"/>
          <w:rtl/>
          <w:lang w:val="en-US" w:bidi="ar-DZ"/>
        </w:rPr>
      </w:pPr>
      <w:bookmarkStart w:id="644" w:name="_Toc171803671"/>
      <w:r>
        <w:rPr>
          <w:rFonts w:hint="cs"/>
          <w:sz w:val="8"/>
          <w:szCs w:val="24"/>
          <w:rtl/>
          <w:lang w:val="en-US"/>
        </w:rPr>
        <w:t>المصدر: (الباحث، 2022)</w:t>
      </w:r>
      <w:bookmarkEnd w:id="644"/>
    </w:p>
    <w:p w:rsidR="00D50865" w:rsidRDefault="00D50865" w:rsidP="003C27AC">
      <w:pPr>
        <w:bidi/>
        <w:spacing w:before="240" w:line="240" w:lineRule="auto"/>
        <w:jc w:val="center"/>
        <w:rPr>
          <w:rFonts w:ascii="Simplified Arabic" w:hAnsi="Simplified Arabic" w:cs="Simplified Arabic"/>
          <w:sz w:val="24"/>
          <w:szCs w:val="24"/>
          <w:rtl/>
          <w:lang w:val="en-US"/>
        </w:rPr>
      </w:pPr>
      <w:r>
        <w:rPr>
          <w:noProof/>
          <w:lang w:eastAsia="fr-FR"/>
        </w:rPr>
        <w:drawing>
          <wp:inline distT="0" distB="0" distL="0" distR="0" wp14:anchorId="3EB3F487" wp14:editId="18B8A6E7">
            <wp:extent cx="4276725" cy="3057523"/>
            <wp:effectExtent l="0" t="0" r="9525" b="1016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rsidR="00C121B0" w:rsidRPr="00045FDB" w:rsidRDefault="00C121B0" w:rsidP="001D0548">
      <w:pPr>
        <w:pStyle w:val="Paragraphedeliste"/>
        <w:numPr>
          <w:ilvl w:val="3"/>
          <w:numId w:val="157"/>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645" w:name="_Toc171803672"/>
      <w:r w:rsidRPr="00045FDB">
        <w:rPr>
          <w:rFonts w:ascii="Simplified Arabic" w:hAnsi="Simplified Arabic" w:cs="Simplified Arabic" w:hint="cs"/>
          <w:b/>
          <w:bCs/>
          <w:sz w:val="24"/>
          <w:szCs w:val="24"/>
          <w:rtl/>
          <w:lang w:val="en-US"/>
        </w:rPr>
        <w:t>تحويل العوامل</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الى معايير نهائية لتقييم المرونة</w:t>
      </w:r>
      <w:r w:rsidRPr="00045FDB">
        <w:rPr>
          <w:rFonts w:ascii="Simplified Arabic" w:hAnsi="Simplified Arabic" w:cs="Simplified Arabic"/>
          <w:b/>
          <w:bCs/>
          <w:sz w:val="24"/>
          <w:szCs w:val="24"/>
          <w:rtl/>
          <w:lang w:val="en-US"/>
        </w:rPr>
        <w:t xml:space="preserve"> </w:t>
      </w:r>
      <w:r w:rsidRPr="00045FDB">
        <w:rPr>
          <w:rFonts w:ascii="Simplified Arabic" w:hAnsi="Simplified Arabic" w:cs="Simplified Arabic" w:hint="cs"/>
          <w:b/>
          <w:bCs/>
          <w:sz w:val="24"/>
          <w:szCs w:val="24"/>
          <w:rtl/>
          <w:lang w:val="en-US"/>
        </w:rPr>
        <w:t>الحضرية</w:t>
      </w:r>
      <w:bookmarkEnd w:id="645"/>
      <w:r w:rsidRPr="00045FDB">
        <w:rPr>
          <w:rFonts w:ascii="Simplified Arabic" w:hAnsi="Simplified Arabic" w:cs="Simplified Arabic"/>
          <w:b/>
          <w:bCs/>
          <w:sz w:val="24"/>
          <w:szCs w:val="24"/>
          <w:rtl/>
          <w:lang w:val="en-US"/>
        </w:rPr>
        <w:t xml:space="preserve"> </w:t>
      </w:r>
    </w:p>
    <w:p w:rsidR="00C121B0" w:rsidRDefault="00C121B0" w:rsidP="008E533E">
      <w:pPr>
        <w:tabs>
          <w:tab w:val="right" w:pos="283"/>
        </w:tabs>
        <w:bidi/>
        <w:spacing w:after="0"/>
        <w:ind w:firstLine="282"/>
        <w:jc w:val="both"/>
        <w:rPr>
          <w:rFonts w:ascii="Simplified Arabic" w:eastAsia="Times New Roman" w:hAnsi="Simplified Arabic" w:cs="Simplified Arabic"/>
          <w:b/>
          <w:sz w:val="24"/>
          <w:szCs w:val="24"/>
          <w:rtl/>
          <w:lang w:val="en-US" w:eastAsia="fr-FR"/>
        </w:rPr>
      </w:pPr>
      <w:r w:rsidRPr="00EE1777">
        <w:rPr>
          <w:rFonts w:ascii="Simplified Arabic" w:eastAsia="Times New Roman" w:hAnsi="Simplified Arabic" w:cs="Simplified Arabic"/>
          <w:b/>
          <w:sz w:val="24"/>
          <w:szCs w:val="24"/>
          <w:rtl/>
          <w:lang w:val="en-US" w:eastAsia="fr-FR"/>
        </w:rPr>
        <w:t>تم تجميع العوامل ا</w:t>
      </w:r>
      <w:r w:rsidR="00D50865">
        <w:rPr>
          <w:rFonts w:ascii="Simplified Arabic" w:eastAsia="Times New Roman" w:hAnsi="Simplified Arabic" w:cs="Simplified Arabic"/>
          <w:b/>
          <w:sz w:val="24"/>
          <w:szCs w:val="24"/>
          <w:rtl/>
          <w:lang w:val="en-US" w:eastAsia="fr-FR"/>
        </w:rPr>
        <w:t xml:space="preserve">لحضرية </w:t>
      </w:r>
      <w:r w:rsidR="00CC10F2">
        <w:rPr>
          <w:rFonts w:ascii="Simplified Arabic" w:eastAsia="Times New Roman" w:hAnsi="Simplified Arabic" w:cs="Simplified Arabic" w:hint="cs"/>
          <w:b/>
          <w:sz w:val="24"/>
          <w:szCs w:val="24"/>
          <w:rtl/>
          <w:lang w:val="en-US" w:eastAsia="fr-FR"/>
        </w:rPr>
        <w:t>الم</w:t>
      </w:r>
      <w:r w:rsidR="00D50865">
        <w:rPr>
          <w:rFonts w:ascii="Simplified Arabic" w:eastAsia="Times New Roman" w:hAnsi="Simplified Arabic" w:cs="Simplified Arabic"/>
          <w:b/>
          <w:sz w:val="24"/>
          <w:szCs w:val="24"/>
          <w:rtl/>
          <w:lang w:val="en-US" w:eastAsia="fr-FR"/>
        </w:rPr>
        <w:t xml:space="preserve">تفق عليها </w:t>
      </w:r>
      <w:r w:rsidR="00CC10F2">
        <w:rPr>
          <w:rFonts w:ascii="Simplified Arabic" w:eastAsia="Times New Roman" w:hAnsi="Simplified Arabic" w:cs="Simplified Arabic" w:hint="cs"/>
          <w:b/>
          <w:sz w:val="24"/>
          <w:szCs w:val="24"/>
          <w:rtl/>
          <w:lang w:val="en-US" w:eastAsia="fr-FR"/>
        </w:rPr>
        <w:t xml:space="preserve">من طرف </w:t>
      </w:r>
      <w:r w:rsidR="00D50865">
        <w:rPr>
          <w:rFonts w:ascii="Simplified Arabic" w:eastAsia="Times New Roman" w:hAnsi="Simplified Arabic" w:cs="Simplified Arabic"/>
          <w:b/>
          <w:sz w:val="24"/>
          <w:szCs w:val="24"/>
          <w:rtl/>
          <w:lang w:val="en-US" w:eastAsia="fr-FR"/>
        </w:rPr>
        <w:t>خبراء</w:t>
      </w:r>
      <w:r w:rsidR="00CC10F2">
        <w:rPr>
          <w:rFonts w:ascii="Simplified Arabic" w:eastAsia="Times New Roman" w:hAnsi="Simplified Arabic" w:cs="Simplified Arabic" w:hint="cs"/>
          <w:b/>
          <w:sz w:val="24"/>
          <w:szCs w:val="24"/>
          <w:rtl/>
          <w:lang w:val="en-US" w:eastAsia="fr-FR"/>
        </w:rPr>
        <w:t xml:space="preserve"> دلفي</w:t>
      </w:r>
      <w:r w:rsidR="00D50865">
        <w:rPr>
          <w:rFonts w:ascii="Simplified Arabic" w:eastAsia="Times New Roman" w:hAnsi="Simplified Arabic" w:cs="Simplified Arabic"/>
          <w:b/>
          <w:sz w:val="24"/>
          <w:szCs w:val="24"/>
          <w:rtl/>
          <w:lang w:val="en-US" w:eastAsia="fr-FR"/>
        </w:rPr>
        <w:t xml:space="preserve"> </w:t>
      </w:r>
      <w:r w:rsidRPr="00EE1777">
        <w:rPr>
          <w:rFonts w:ascii="Simplified Arabic" w:eastAsia="Times New Roman" w:hAnsi="Simplified Arabic" w:cs="Simplified Arabic"/>
          <w:b/>
          <w:sz w:val="24"/>
          <w:szCs w:val="24"/>
          <w:rtl/>
          <w:lang w:val="en-US" w:eastAsia="fr-FR"/>
        </w:rPr>
        <w:t>التي يفوق متوسط</w:t>
      </w:r>
      <w:r w:rsidRPr="00EE1777">
        <w:rPr>
          <w:rFonts w:ascii="Simplified Arabic" w:hAnsi="Simplified Arabic" w:cs="Simplified Arabic"/>
          <w:sz w:val="28"/>
          <w:szCs w:val="28"/>
          <w:rtl/>
          <w:lang w:val="en-US"/>
        </w:rPr>
        <w:t xml:space="preserve"> </w:t>
      </w:r>
      <w:r w:rsidRPr="00EE1777">
        <w:rPr>
          <w:rFonts w:ascii="Simplified Arabic" w:eastAsia="Times New Roman" w:hAnsi="Simplified Arabic" w:cs="Simplified Arabic"/>
          <w:b/>
          <w:sz w:val="24"/>
          <w:szCs w:val="24"/>
          <w:rtl/>
          <w:lang w:val="en-US" w:eastAsia="fr-FR"/>
        </w:rPr>
        <w:t xml:space="preserve">حسابها </w:t>
      </w:r>
      <w:r w:rsidRPr="00EE1777">
        <w:rPr>
          <w:rFonts w:ascii="Simplified Arabic" w:hAnsi="Simplified Arabic" w:cs="Simplified Arabic"/>
          <w:sz w:val="24"/>
          <w:szCs w:val="24"/>
          <w:rtl/>
          <w:lang w:val="en-US"/>
        </w:rPr>
        <w:t>(</w:t>
      </w:r>
      <w:r w:rsidRPr="004A0B28">
        <w:rPr>
          <w:rFonts w:asciiTheme="majorBidi" w:hAnsiTheme="majorBidi" w:cstheme="majorBidi"/>
          <w:sz w:val="24"/>
          <w:szCs w:val="24"/>
          <w:lang w:val="en-US"/>
        </w:rPr>
        <w:t>x̅</w:t>
      </w:r>
      <w:r w:rsidRPr="00EE1777">
        <w:rPr>
          <w:rFonts w:ascii="Simplified Arabic" w:hAnsi="Simplified Arabic" w:cs="Simplified Arabic"/>
          <w:sz w:val="24"/>
          <w:szCs w:val="24"/>
          <w:rtl/>
          <w:lang w:val="en-US"/>
        </w:rPr>
        <w:t>)</w:t>
      </w:r>
      <w:r w:rsidRPr="00EE1777">
        <w:rPr>
          <w:rFonts w:ascii="Simplified Arabic" w:hAnsi="Simplified Arabic" w:cs="Simplified Arabic"/>
          <w:sz w:val="28"/>
          <w:szCs w:val="28"/>
          <w:rtl/>
          <w:lang w:val="en-US"/>
        </w:rPr>
        <w:t xml:space="preserve"> </w:t>
      </w:r>
      <w:r w:rsidR="00D50865">
        <w:rPr>
          <w:rFonts w:ascii="Simplified Arabic" w:eastAsia="Times New Roman" w:hAnsi="Simplified Arabic" w:cs="Simplified Arabic"/>
          <w:b/>
          <w:sz w:val="24"/>
          <w:szCs w:val="24"/>
          <w:rtl/>
          <w:lang w:val="en-US" w:eastAsia="fr-FR"/>
        </w:rPr>
        <w:t>اكثر من 3 في فئة رئيسية واحدة</w:t>
      </w:r>
      <w:r w:rsidR="00D50865">
        <w:rPr>
          <w:rFonts w:ascii="Simplified Arabic" w:eastAsia="Times New Roman" w:hAnsi="Simplified Arabic" w:cs="Simplified Arabic" w:hint="cs"/>
          <w:b/>
          <w:sz w:val="24"/>
          <w:szCs w:val="24"/>
          <w:rtl/>
          <w:lang w:val="en-US" w:eastAsia="fr-FR"/>
        </w:rPr>
        <w:t>. بما ان</w:t>
      </w:r>
      <w:r w:rsidRPr="00D50865">
        <w:rPr>
          <w:rFonts w:ascii="Simplified Arabic" w:eastAsia="Times New Roman" w:hAnsi="Simplified Arabic" w:cs="Simplified Arabic"/>
          <w:b/>
          <w:sz w:val="24"/>
          <w:szCs w:val="24"/>
          <w:rtl/>
          <w:lang w:val="en-US" w:eastAsia="fr-FR"/>
        </w:rPr>
        <w:t xml:space="preserve"> مُجمل العوامل الحضرية النهائية احد </w:t>
      </w:r>
      <w:r w:rsidR="00CC10F2">
        <w:rPr>
          <w:rFonts w:ascii="Simplified Arabic" w:eastAsia="Times New Roman" w:hAnsi="Simplified Arabic" w:cs="Simplified Arabic" w:hint="cs"/>
          <w:b/>
          <w:sz w:val="24"/>
          <w:szCs w:val="24"/>
          <w:rtl/>
          <w:lang w:val="en-US" w:eastAsia="fr-FR"/>
        </w:rPr>
        <w:t>ال</w:t>
      </w:r>
      <w:r w:rsidRPr="00D50865">
        <w:rPr>
          <w:rFonts w:ascii="Simplified Arabic" w:eastAsia="Times New Roman" w:hAnsi="Simplified Arabic" w:cs="Simplified Arabic"/>
          <w:b/>
          <w:sz w:val="24"/>
          <w:szCs w:val="24"/>
          <w:rtl/>
          <w:lang w:val="en-US" w:eastAsia="fr-FR"/>
        </w:rPr>
        <w:t xml:space="preserve">عناصر </w:t>
      </w:r>
      <w:r w:rsidR="00CC10F2">
        <w:rPr>
          <w:rFonts w:ascii="Simplified Arabic" w:eastAsia="Times New Roman" w:hAnsi="Simplified Arabic" w:cs="Simplified Arabic" w:hint="cs"/>
          <w:b/>
          <w:sz w:val="24"/>
          <w:szCs w:val="24"/>
          <w:rtl/>
          <w:lang w:val="en-US" w:eastAsia="fr-FR"/>
        </w:rPr>
        <w:t>المكونة ل</w:t>
      </w:r>
      <w:r w:rsidRPr="00D50865">
        <w:rPr>
          <w:rFonts w:ascii="Simplified Arabic" w:eastAsia="Times New Roman" w:hAnsi="Simplified Arabic" w:cs="Simplified Arabic"/>
          <w:b/>
          <w:sz w:val="24"/>
          <w:szCs w:val="24"/>
          <w:rtl/>
          <w:lang w:val="en-US" w:eastAsia="fr-FR"/>
        </w:rPr>
        <w:t xml:space="preserve">لبيئة </w:t>
      </w:r>
      <w:r w:rsidR="008E533E">
        <w:rPr>
          <w:rFonts w:ascii="Simplified Arabic" w:hAnsi="Simplified Arabic" w:cs="Simplified Arabic" w:hint="cs"/>
          <w:sz w:val="24"/>
          <w:szCs w:val="24"/>
          <w:rtl/>
          <w:lang w:val="en-US"/>
        </w:rPr>
        <w:t>الحضرية</w:t>
      </w:r>
      <w:r w:rsidR="00CC10F2">
        <w:rPr>
          <w:rFonts w:ascii="Simplified Arabic" w:eastAsia="Times New Roman" w:hAnsi="Simplified Arabic" w:cs="Simplified Arabic" w:hint="cs"/>
          <w:b/>
          <w:sz w:val="24"/>
          <w:szCs w:val="24"/>
          <w:rtl/>
          <w:lang w:val="en-US" w:eastAsia="fr-FR"/>
        </w:rPr>
        <w:t>،</w:t>
      </w:r>
      <w:r w:rsidRPr="00D50865">
        <w:rPr>
          <w:rFonts w:ascii="Simplified Arabic" w:eastAsia="Times New Roman" w:hAnsi="Simplified Arabic" w:cs="Simplified Arabic"/>
          <w:b/>
          <w:sz w:val="24"/>
          <w:szCs w:val="24"/>
          <w:rtl/>
          <w:lang w:val="en-US" w:eastAsia="fr-FR"/>
        </w:rPr>
        <w:t xml:space="preserve"> </w:t>
      </w:r>
      <w:r w:rsidR="00CC10F2">
        <w:rPr>
          <w:rFonts w:ascii="Simplified Arabic" w:eastAsia="Times New Roman" w:hAnsi="Simplified Arabic" w:cs="Simplified Arabic" w:hint="cs"/>
          <w:b/>
          <w:sz w:val="24"/>
          <w:szCs w:val="24"/>
          <w:rtl/>
          <w:lang w:val="en-US" w:eastAsia="fr-FR"/>
        </w:rPr>
        <w:t xml:space="preserve">فقد </w:t>
      </w:r>
      <w:r w:rsidRPr="00D50865">
        <w:rPr>
          <w:rFonts w:ascii="Simplified Arabic" w:eastAsia="Times New Roman" w:hAnsi="Simplified Arabic" w:cs="Simplified Arabic"/>
          <w:b/>
          <w:sz w:val="24"/>
          <w:szCs w:val="24"/>
          <w:rtl/>
          <w:lang w:val="en-US" w:eastAsia="fr-FR"/>
        </w:rPr>
        <w:t>تم تفيئتها كبعد فيزيائي</w:t>
      </w:r>
      <w:r w:rsidRPr="00EE1777">
        <w:rPr>
          <w:rFonts w:ascii="Simplified Arabic" w:eastAsia="Times New Roman" w:hAnsi="Simplified Arabic" w:cs="Simplified Arabic"/>
          <w:b/>
          <w:sz w:val="24"/>
          <w:szCs w:val="24"/>
          <w:rtl/>
          <w:lang w:val="en-US" w:eastAsia="fr-FR"/>
        </w:rPr>
        <w:t xml:space="preserve"> باعتبار انه احد ابعاد المرونة الحضرية. تم وصف نطاق كل عامل بالتفصيل خلال جولات تقنية دلفي لإزالة أي غموض أو ارتباك ولتجنب التكرار في الجولة الثانية. تظهر </w:t>
      </w:r>
      <w:r>
        <w:rPr>
          <w:rFonts w:ascii="Simplified Arabic" w:eastAsia="Times New Roman" w:hAnsi="Simplified Arabic" w:cs="Simplified Arabic" w:hint="cs"/>
          <w:b/>
          <w:sz w:val="24"/>
          <w:szCs w:val="24"/>
          <w:rtl/>
          <w:lang w:val="en-US" w:eastAsia="fr-FR"/>
        </w:rPr>
        <w:t xml:space="preserve">تحويل </w:t>
      </w:r>
      <w:r w:rsidRPr="009743C6">
        <w:rPr>
          <w:rFonts w:ascii="Simplified Arabic" w:eastAsia="Times New Roman" w:hAnsi="Simplified Arabic" w:cs="Simplified Arabic" w:hint="cs"/>
          <w:b/>
          <w:sz w:val="24"/>
          <w:szCs w:val="24"/>
          <w:rtl/>
          <w:lang w:val="en-US" w:eastAsia="fr-FR"/>
        </w:rPr>
        <w:t>العوامل</w:t>
      </w:r>
      <w:r w:rsidRPr="009743C6">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الى معايير ن</w:t>
      </w:r>
      <w:r w:rsidRPr="009743C6">
        <w:rPr>
          <w:rFonts w:ascii="Simplified Arabic" w:eastAsia="Times New Roman" w:hAnsi="Simplified Arabic" w:cs="Simplified Arabic" w:hint="cs"/>
          <w:b/>
          <w:sz w:val="24"/>
          <w:szCs w:val="24"/>
          <w:rtl/>
          <w:lang w:val="en-US" w:eastAsia="fr-FR"/>
        </w:rPr>
        <w:t>هائية لتقييم المرونة</w:t>
      </w:r>
      <w:r w:rsidRPr="009743C6">
        <w:rPr>
          <w:rFonts w:ascii="Simplified Arabic" w:eastAsia="Times New Roman" w:hAnsi="Simplified Arabic" w:cs="Simplified Arabic"/>
          <w:b/>
          <w:sz w:val="24"/>
          <w:szCs w:val="24"/>
          <w:rtl/>
          <w:lang w:val="en-US" w:eastAsia="fr-FR"/>
        </w:rPr>
        <w:t xml:space="preserve"> </w:t>
      </w:r>
      <w:r w:rsidRPr="009743C6">
        <w:rPr>
          <w:rFonts w:ascii="Simplified Arabic" w:eastAsia="Times New Roman" w:hAnsi="Simplified Arabic" w:cs="Simplified Arabic" w:hint="cs"/>
          <w:b/>
          <w:sz w:val="24"/>
          <w:szCs w:val="24"/>
          <w:rtl/>
          <w:lang w:val="en-US" w:eastAsia="fr-FR"/>
        </w:rPr>
        <w:t>الحضرية</w:t>
      </w:r>
      <w:r w:rsidRPr="00EE1777">
        <w:rPr>
          <w:rFonts w:ascii="Simplified Arabic" w:eastAsia="Times New Roman" w:hAnsi="Simplified Arabic" w:cs="Simplified Arabic"/>
          <w:b/>
          <w:sz w:val="24"/>
          <w:szCs w:val="24"/>
          <w:rtl/>
          <w:lang w:val="en-US" w:eastAsia="fr-FR"/>
        </w:rPr>
        <w:t xml:space="preserve"> التي حققت الإجماع </w:t>
      </w:r>
      <w:r>
        <w:rPr>
          <w:rFonts w:ascii="Simplified Arabic" w:eastAsia="Times New Roman" w:hAnsi="Simplified Arabic" w:cs="Simplified Arabic" w:hint="cs"/>
          <w:b/>
          <w:sz w:val="24"/>
          <w:szCs w:val="24"/>
          <w:rtl/>
          <w:lang w:val="en-US" w:eastAsia="fr-FR"/>
        </w:rPr>
        <w:t xml:space="preserve">اكثر من 3، كما هو مبين </w:t>
      </w:r>
      <w:r w:rsidRPr="00EE1777">
        <w:rPr>
          <w:rFonts w:ascii="Simplified Arabic" w:eastAsia="Times New Roman" w:hAnsi="Simplified Arabic" w:cs="Simplified Arabic"/>
          <w:b/>
          <w:sz w:val="24"/>
          <w:szCs w:val="24"/>
          <w:rtl/>
          <w:lang w:val="en-US" w:eastAsia="fr-FR"/>
        </w:rPr>
        <w:t xml:space="preserve">في الجدول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7</w:t>
      </w:r>
      <w:r w:rsidR="00AF7197">
        <w:rPr>
          <w:rFonts w:ascii="Simplified Arabic" w:eastAsia="Times New Roman" w:hAnsi="Simplified Arabic" w:cs="Simplified Arabic" w:hint="cs"/>
          <w:b/>
          <w:sz w:val="24"/>
          <w:szCs w:val="24"/>
          <w:rtl/>
          <w:lang w:val="en-US" w:eastAsia="fr-FR"/>
        </w:rPr>
        <w:t>)</w:t>
      </w:r>
      <w:r w:rsidRPr="00EE1777">
        <w:rPr>
          <w:rFonts w:ascii="Simplified Arabic" w:eastAsia="Times New Roman" w:hAnsi="Simplified Arabic" w:cs="Simplified Arabic"/>
          <w:b/>
          <w:sz w:val="24"/>
          <w:szCs w:val="24"/>
          <w:rtl/>
          <w:lang w:val="en-US" w:eastAsia="fr-FR"/>
        </w:rPr>
        <w:t>.</w:t>
      </w:r>
    </w:p>
    <w:p w:rsidR="00C121B0" w:rsidRDefault="00C121B0" w:rsidP="00F76D99">
      <w:pPr>
        <w:pStyle w:val="Tableau"/>
        <w:rPr>
          <w:rtl/>
          <w:lang w:val="en-US" w:eastAsia="fr-FR"/>
        </w:rPr>
      </w:pPr>
      <w:bookmarkStart w:id="646" w:name="_Toc157612997"/>
      <w:bookmarkStart w:id="647" w:name="_Toc171803673"/>
      <w:r w:rsidRPr="00EE1777">
        <w:rPr>
          <w:rtl/>
          <w:lang w:val="en-US" w:eastAsia="fr-FR"/>
        </w:rPr>
        <w:lastRenderedPageBreak/>
        <w:t xml:space="preserve">الجدول </w:t>
      </w:r>
      <w:r w:rsidR="00AF7197">
        <w:rPr>
          <w:rFonts w:hint="cs"/>
          <w:rtl/>
          <w:lang w:val="en-US" w:eastAsia="fr-FR"/>
        </w:rPr>
        <w:t>(5-</w:t>
      </w:r>
      <w:r w:rsidR="00C05812">
        <w:rPr>
          <w:rFonts w:hint="cs"/>
          <w:rtl/>
          <w:lang w:val="en-US" w:eastAsia="fr-FR"/>
        </w:rPr>
        <w:t>7</w:t>
      </w:r>
      <w:r w:rsidR="00AF7197">
        <w:rPr>
          <w:rFonts w:hint="cs"/>
          <w:rtl/>
          <w:lang w:val="en-US" w:eastAsia="fr-FR"/>
        </w:rPr>
        <w:t>)</w:t>
      </w:r>
      <w:r>
        <w:rPr>
          <w:rFonts w:hint="cs"/>
          <w:rtl/>
          <w:lang w:val="en-US" w:eastAsia="fr-FR"/>
        </w:rPr>
        <w:t>:</w:t>
      </w:r>
      <w:r w:rsidRPr="003121E8">
        <w:rPr>
          <w:rtl/>
          <w:lang w:val="en-US" w:eastAsia="fr-FR"/>
        </w:rPr>
        <w:t xml:space="preserve"> </w:t>
      </w:r>
      <w:r>
        <w:rPr>
          <w:rFonts w:hint="cs"/>
          <w:rtl/>
          <w:lang w:val="en-US" w:eastAsia="fr-FR"/>
        </w:rPr>
        <w:t xml:space="preserve">تحويل </w:t>
      </w:r>
      <w:r w:rsidRPr="009743C6">
        <w:rPr>
          <w:rFonts w:hint="cs"/>
          <w:rtl/>
          <w:lang w:val="en-US" w:eastAsia="fr-FR"/>
        </w:rPr>
        <w:t>العوامل</w:t>
      </w:r>
      <w:r w:rsidRPr="009743C6">
        <w:rPr>
          <w:rtl/>
          <w:lang w:val="en-US" w:eastAsia="fr-FR"/>
        </w:rPr>
        <w:t xml:space="preserve"> </w:t>
      </w:r>
      <w:r>
        <w:rPr>
          <w:rFonts w:hint="cs"/>
          <w:rtl/>
          <w:lang w:val="en-US" w:eastAsia="fr-FR"/>
        </w:rPr>
        <w:t>الى معايير ن</w:t>
      </w:r>
      <w:r w:rsidRPr="009743C6">
        <w:rPr>
          <w:rFonts w:hint="cs"/>
          <w:rtl/>
          <w:lang w:val="en-US" w:eastAsia="fr-FR"/>
        </w:rPr>
        <w:t>هائية لتقييم المرونة</w:t>
      </w:r>
      <w:r w:rsidRPr="009743C6">
        <w:rPr>
          <w:rtl/>
          <w:lang w:val="en-US" w:eastAsia="fr-FR"/>
        </w:rPr>
        <w:t xml:space="preserve"> </w:t>
      </w:r>
      <w:r w:rsidRPr="009743C6">
        <w:rPr>
          <w:rFonts w:hint="cs"/>
          <w:rtl/>
          <w:lang w:val="en-US" w:eastAsia="fr-FR"/>
        </w:rPr>
        <w:t>الحضرية</w:t>
      </w:r>
      <w:r w:rsidRPr="009743C6">
        <w:rPr>
          <w:rtl/>
          <w:lang w:val="en-US" w:eastAsia="fr-FR"/>
        </w:rPr>
        <w:t xml:space="preserve"> </w:t>
      </w:r>
      <w:r>
        <w:rPr>
          <w:rFonts w:hint="cs"/>
          <w:rtl/>
          <w:lang w:val="en-US" w:eastAsia="fr-FR"/>
        </w:rPr>
        <w:t>وفق</w:t>
      </w:r>
      <w:r w:rsidRPr="004A0B28">
        <w:rPr>
          <w:rtl/>
          <w:lang w:val="en-US" w:eastAsia="fr-FR"/>
        </w:rPr>
        <w:t xml:space="preserve"> </w:t>
      </w:r>
      <w:r w:rsidRPr="004A0B28">
        <w:rPr>
          <w:rFonts w:hint="cs"/>
          <w:rtl/>
          <w:lang w:val="en-US" w:eastAsia="fr-FR"/>
        </w:rPr>
        <w:t>الجولة</w:t>
      </w:r>
      <w:r>
        <w:rPr>
          <w:rFonts w:hint="cs"/>
          <w:rtl/>
          <w:lang w:val="en-US" w:eastAsia="fr-FR"/>
        </w:rPr>
        <w:t xml:space="preserve"> الاخيرة</w:t>
      </w:r>
      <w:bookmarkEnd w:id="646"/>
      <w:bookmarkEnd w:id="647"/>
    </w:p>
    <w:p w:rsidR="00010DE7" w:rsidRPr="00010DE7" w:rsidRDefault="00010DE7" w:rsidP="00010DE7">
      <w:pPr>
        <w:pStyle w:val="fegure"/>
        <w:rPr>
          <w:sz w:val="8"/>
          <w:szCs w:val="24"/>
          <w:rtl/>
          <w:lang w:val="en-US" w:bidi="ar-DZ"/>
        </w:rPr>
      </w:pPr>
      <w:bookmarkStart w:id="648" w:name="_Toc171803674"/>
      <w:r>
        <w:rPr>
          <w:rFonts w:hint="cs"/>
          <w:sz w:val="8"/>
          <w:szCs w:val="24"/>
          <w:rtl/>
          <w:lang w:val="en-US"/>
        </w:rPr>
        <w:t>المصدر: (الباحث، 2022)</w:t>
      </w:r>
      <w:bookmarkEnd w:id="648"/>
    </w:p>
    <w:tbl>
      <w:tblPr>
        <w:tblStyle w:val="Grilledutableau"/>
        <w:bidiVisual/>
        <w:tblW w:w="6580" w:type="dxa"/>
        <w:jc w:val="center"/>
        <w:tblLook w:val="04A0" w:firstRow="1" w:lastRow="0" w:firstColumn="1" w:lastColumn="0" w:noHBand="0" w:noVBand="1"/>
      </w:tblPr>
      <w:tblGrid>
        <w:gridCol w:w="2894"/>
        <w:gridCol w:w="2693"/>
        <w:gridCol w:w="993"/>
      </w:tblGrid>
      <w:tr w:rsidR="00CC10F2" w:rsidRPr="00E50618" w:rsidTr="00CC10F2">
        <w:trPr>
          <w:trHeight w:val="458"/>
          <w:jc w:val="center"/>
        </w:trPr>
        <w:tc>
          <w:tcPr>
            <w:tcW w:w="2894" w:type="dxa"/>
            <w:vAlign w:val="center"/>
          </w:tcPr>
          <w:p w:rsidR="00CC10F2" w:rsidRPr="00E50618" w:rsidRDefault="00CC10F2" w:rsidP="00794BA6">
            <w:pPr>
              <w:bidi/>
              <w:jc w:val="center"/>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 xml:space="preserve">العوامل </w:t>
            </w:r>
          </w:p>
        </w:tc>
        <w:tc>
          <w:tcPr>
            <w:tcW w:w="2693" w:type="dxa"/>
            <w:vAlign w:val="center"/>
          </w:tcPr>
          <w:p w:rsidR="00CC10F2" w:rsidRPr="00E50618" w:rsidRDefault="00CC10F2" w:rsidP="00794BA6">
            <w:pPr>
              <w:bidi/>
              <w:jc w:val="center"/>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 xml:space="preserve">نوع المعيار </w:t>
            </w:r>
            <w:r w:rsidRPr="00E50618">
              <w:rPr>
                <w:rFonts w:ascii="Simplified Arabic" w:eastAsia="Times New Roman" w:hAnsi="Simplified Arabic" w:cs="Simplified Arabic"/>
                <w:b/>
                <w:sz w:val="24"/>
                <w:szCs w:val="24"/>
                <w:rtl/>
                <w:lang w:val="en-US" w:eastAsia="fr-FR"/>
              </w:rPr>
              <w:t>النهائي</w:t>
            </w:r>
          </w:p>
        </w:tc>
        <w:tc>
          <w:tcPr>
            <w:tcW w:w="993" w:type="dxa"/>
            <w:vAlign w:val="center"/>
          </w:tcPr>
          <w:p w:rsidR="00CC10F2" w:rsidRPr="00E50618" w:rsidRDefault="00CC10F2" w:rsidP="00794BA6">
            <w:pPr>
              <w:bidi/>
              <w:jc w:val="center"/>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الاختصار</w:t>
            </w:r>
          </w:p>
        </w:tc>
      </w:tr>
      <w:tr w:rsidR="00CC10F2" w:rsidRPr="00E50618" w:rsidTr="00CC10F2">
        <w:trPr>
          <w:trHeight w:val="60"/>
          <w:jc w:val="center"/>
        </w:trPr>
        <w:tc>
          <w:tcPr>
            <w:tcW w:w="2894"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المسافة الى المرافق الصحية</w:t>
            </w:r>
          </w:p>
        </w:tc>
        <w:tc>
          <w:tcPr>
            <w:tcW w:w="2693"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معيار</w:t>
            </w:r>
            <w:r w:rsidRPr="00E50618">
              <w:rPr>
                <w:rFonts w:ascii="Simplified Arabic" w:eastAsia="Times New Roman" w:hAnsi="Simplified Arabic" w:cs="Simplified Arabic"/>
                <w:b/>
                <w:sz w:val="24"/>
                <w:szCs w:val="24"/>
                <w:rtl/>
                <w:lang w:val="en-US" w:eastAsia="fr-FR"/>
              </w:rPr>
              <w:t xml:space="preserve"> التكفل الطبي</w:t>
            </w:r>
          </w:p>
        </w:tc>
        <w:tc>
          <w:tcPr>
            <w:tcW w:w="993" w:type="dxa"/>
            <w:vAlign w:val="center"/>
          </w:tcPr>
          <w:p w:rsidR="00CC10F2" w:rsidRPr="00E50618" w:rsidRDefault="00CC10F2" w:rsidP="00794BA6">
            <w:pPr>
              <w:bidi/>
              <w:jc w:val="center"/>
              <w:rPr>
                <w:rFonts w:asciiTheme="majorBidi" w:eastAsia="Times New Roman" w:hAnsiTheme="majorBidi" w:cstheme="majorBidi"/>
                <w:b/>
                <w:sz w:val="24"/>
                <w:szCs w:val="24"/>
                <w:rtl/>
                <w:lang w:val="en-US" w:eastAsia="fr-FR"/>
              </w:rPr>
            </w:pPr>
            <w:r w:rsidRPr="00E50618">
              <w:rPr>
                <w:rFonts w:asciiTheme="majorBidi" w:eastAsia="Times New Roman" w:hAnsiTheme="majorBidi" w:cstheme="majorBidi"/>
                <w:b/>
                <w:sz w:val="24"/>
                <w:szCs w:val="24"/>
                <w:lang w:val="en-US" w:eastAsia="fr-FR"/>
              </w:rPr>
              <w:t>C1</w:t>
            </w:r>
          </w:p>
        </w:tc>
      </w:tr>
      <w:tr w:rsidR="00CC10F2" w:rsidRPr="00E50618" w:rsidTr="00CC10F2">
        <w:trPr>
          <w:trHeight w:val="60"/>
          <w:jc w:val="center"/>
        </w:trPr>
        <w:tc>
          <w:tcPr>
            <w:tcW w:w="2894"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المسافة الى مرافق الانقاذ</w:t>
            </w:r>
          </w:p>
        </w:tc>
        <w:tc>
          <w:tcPr>
            <w:tcW w:w="2693"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معيار</w:t>
            </w:r>
            <w:r w:rsidRPr="00E50618">
              <w:rPr>
                <w:rFonts w:ascii="Simplified Arabic" w:eastAsia="Times New Roman" w:hAnsi="Simplified Arabic" w:cs="Simplified Arabic"/>
                <w:b/>
                <w:sz w:val="24"/>
                <w:szCs w:val="24"/>
                <w:rtl/>
                <w:lang w:val="en-US" w:eastAsia="fr-FR"/>
              </w:rPr>
              <w:t xml:space="preserve"> الإنقاذ والإجلاء</w:t>
            </w:r>
          </w:p>
        </w:tc>
        <w:tc>
          <w:tcPr>
            <w:tcW w:w="993" w:type="dxa"/>
            <w:vAlign w:val="center"/>
          </w:tcPr>
          <w:p w:rsidR="00CC10F2" w:rsidRPr="00E50618" w:rsidRDefault="00CC10F2" w:rsidP="00794BA6">
            <w:pPr>
              <w:bidi/>
              <w:jc w:val="center"/>
              <w:rPr>
                <w:rFonts w:asciiTheme="majorBidi" w:eastAsia="Times New Roman" w:hAnsiTheme="majorBidi" w:cstheme="majorBidi"/>
                <w:b/>
                <w:sz w:val="24"/>
                <w:szCs w:val="24"/>
                <w:rtl/>
                <w:lang w:val="en-US" w:eastAsia="fr-FR"/>
              </w:rPr>
            </w:pPr>
            <w:r w:rsidRPr="00E50618">
              <w:rPr>
                <w:rFonts w:asciiTheme="majorBidi" w:eastAsia="Times New Roman" w:hAnsiTheme="majorBidi" w:cstheme="majorBidi"/>
                <w:b/>
                <w:sz w:val="24"/>
                <w:szCs w:val="24"/>
                <w:lang w:val="en-US" w:eastAsia="fr-FR"/>
              </w:rPr>
              <w:t>C2</w:t>
            </w:r>
          </w:p>
        </w:tc>
      </w:tr>
      <w:tr w:rsidR="00CC10F2" w:rsidRPr="00E50618" w:rsidTr="00CC10F2">
        <w:trPr>
          <w:jc w:val="center"/>
        </w:trPr>
        <w:tc>
          <w:tcPr>
            <w:tcW w:w="2894"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المسافة الى المرافق الامنية</w:t>
            </w:r>
          </w:p>
        </w:tc>
        <w:tc>
          <w:tcPr>
            <w:tcW w:w="2693"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معيار</w:t>
            </w:r>
            <w:r w:rsidRPr="00E50618">
              <w:rPr>
                <w:rFonts w:ascii="Simplified Arabic" w:eastAsia="Times New Roman" w:hAnsi="Simplified Arabic" w:cs="Simplified Arabic"/>
                <w:b/>
                <w:sz w:val="24"/>
                <w:szCs w:val="24"/>
                <w:rtl/>
                <w:lang w:val="en-US" w:eastAsia="fr-FR"/>
              </w:rPr>
              <w:t xml:space="preserve"> الأمن</w:t>
            </w:r>
          </w:p>
        </w:tc>
        <w:tc>
          <w:tcPr>
            <w:tcW w:w="993" w:type="dxa"/>
            <w:vAlign w:val="center"/>
          </w:tcPr>
          <w:p w:rsidR="00CC10F2" w:rsidRPr="00E50618" w:rsidRDefault="00CC10F2" w:rsidP="00794BA6">
            <w:pPr>
              <w:bidi/>
              <w:jc w:val="center"/>
              <w:rPr>
                <w:rFonts w:asciiTheme="majorBidi" w:eastAsia="Times New Roman" w:hAnsiTheme="majorBidi" w:cstheme="majorBidi"/>
                <w:b/>
                <w:sz w:val="24"/>
                <w:szCs w:val="24"/>
                <w:rtl/>
                <w:lang w:val="en-US" w:eastAsia="fr-FR"/>
              </w:rPr>
            </w:pPr>
            <w:r w:rsidRPr="00E50618">
              <w:rPr>
                <w:rFonts w:asciiTheme="majorBidi" w:eastAsia="Times New Roman" w:hAnsiTheme="majorBidi" w:cstheme="majorBidi"/>
                <w:b/>
                <w:color w:val="000000"/>
                <w:sz w:val="24"/>
                <w:szCs w:val="24"/>
                <w:lang w:eastAsia="fr-FR"/>
              </w:rPr>
              <w:t>C3</w:t>
            </w:r>
          </w:p>
        </w:tc>
      </w:tr>
      <w:tr w:rsidR="00CC10F2" w:rsidRPr="00E50618" w:rsidTr="00CC10F2">
        <w:trPr>
          <w:jc w:val="center"/>
        </w:trPr>
        <w:tc>
          <w:tcPr>
            <w:tcW w:w="2894"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المسافة الى المرافق التعليمية</w:t>
            </w:r>
          </w:p>
        </w:tc>
        <w:tc>
          <w:tcPr>
            <w:tcW w:w="2693"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معيار</w:t>
            </w:r>
            <w:r w:rsidRPr="00E50618">
              <w:rPr>
                <w:rFonts w:ascii="Simplified Arabic" w:eastAsia="Times New Roman" w:hAnsi="Simplified Arabic" w:cs="Simplified Arabic"/>
                <w:b/>
                <w:sz w:val="24"/>
                <w:szCs w:val="24"/>
                <w:rtl/>
                <w:lang w:val="en-US" w:eastAsia="fr-FR"/>
              </w:rPr>
              <w:t xml:space="preserve"> الايواء المؤقت</w:t>
            </w:r>
          </w:p>
        </w:tc>
        <w:tc>
          <w:tcPr>
            <w:tcW w:w="993" w:type="dxa"/>
            <w:vAlign w:val="center"/>
          </w:tcPr>
          <w:p w:rsidR="00CC10F2" w:rsidRPr="00E50618" w:rsidRDefault="00CC10F2" w:rsidP="00794BA6">
            <w:pPr>
              <w:bidi/>
              <w:jc w:val="center"/>
              <w:rPr>
                <w:rFonts w:asciiTheme="majorBidi" w:eastAsia="Times New Roman" w:hAnsiTheme="majorBidi" w:cstheme="majorBidi"/>
                <w:b/>
                <w:sz w:val="24"/>
                <w:szCs w:val="24"/>
                <w:rtl/>
                <w:lang w:val="en-US" w:eastAsia="fr-FR"/>
              </w:rPr>
            </w:pPr>
            <w:r w:rsidRPr="00E50618">
              <w:rPr>
                <w:rFonts w:asciiTheme="majorBidi" w:eastAsia="Times New Roman" w:hAnsiTheme="majorBidi" w:cstheme="majorBidi"/>
                <w:b/>
                <w:sz w:val="24"/>
                <w:szCs w:val="24"/>
                <w:lang w:val="en-US" w:eastAsia="fr-FR"/>
              </w:rPr>
              <w:t>C4</w:t>
            </w:r>
          </w:p>
        </w:tc>
      </w:tr>
      <w:tr w:rsidR="00CC10F2" w:rsidRPr="00E50618" w:rsidTr="00CC10F2">
        <w:trPr>
          <w:jc w:val="center"/>
        </w:trPr>
        <w:tc>
          <w:tcPr>
            <w:tcW w:w="2894"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المسافة الى المرافق الدينية/الثقافية</w:t>
            </w:r>
          </w:p>
        </w:tc>
        <w:tc>
          <w:tcPr>
            <w:tcW w:w="2693" w:type="dxa"/>
            <w:vAlign w:val="center"/>
          </w:tcPr>
          <w:p w:rsidR="00CC10F2" w:rsidRPr="00E50618" w:rsidRDefault="00CC10F2" w:rsidP="00794BA6">
            <w:pPr>
              <w:tabs>
                <w:tab w:val="right" w:pos="282"/>
              </w:tabs>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معيار</w:t>
            </w:r>
            <w:r w:rsidRPr="00E50618">
              <w:rPr>
                <w:rFonts w:ascii="Simplified Arabic" w:eastAsia="Times New Roman" w:hAnsi="Simplified Arabic" w:cs="Simplified Arabic"/>
                <w:b/>
                <w:sz w:val="24"/>
                <w:szCs w:val="24"/>
                <w:rtl/>
                <w:lang w:val="en-US" w:eastAsia="fr-FR"/>
              </w:rPr>
              <w:t xml:space="preserve"> </w:t>
            </w:r>
            <w:r w:rsidRPr="0081748D">
              <w:rPr>
                <w:rFonts w:ascii="Simplified Arabic" w:hAnsi="Simplified Arabic" w:cs="Simplified Arabic"/>
                <w:color w:val="000000" w:themeColor="text1"/>
                <w:sz w:val="24"/>
                <w:szCs w:val="24"/>
                <w:rtl/>
                <w:lang w:bidi="ar-DZ"/>
              </w:rPr>
              <w:t>التضامن</w:t>
            </w:r>
            <w:r w:rsidRPr="00E50618">
              <w:rPr>
                <w:rFonts w:ascii="Simplified Arabic" w:eastAsia="Times New Roman" w:hAnsi="Simplified Arabic" w:cs="Simplified Arabic"/>
                <w:b/>
                <w:sz w:val="24"/>
                <w:szCs w:val="24"/>
                <w:rtl/>
                <w:lang w:val="en-US" w:eastAsia="fr-FR"/>
              </w:rPr>
              <w:t xml:space="preserve"> والتموين</w:t>
            </w:r>
          </w:p>
        </w:tc>
        <w:tc>
          <w:tcPr>
            <w:tcW w:w="993" w:type="dxa"/>
            <w:vAlign w:val="center"/>
          </w:tcPr>
          <w:p w:rsidR="00CC10F2" w:rsidRPr="00E50618" w:rsidRDefault="00CC10F2" w:rsidP="00794BA6">
            <w:pPr>
              <w:bidi/>
              <w:jc w:val="center"/>
              <w:rPr>
                <w:rFonts w:asciiTheme="majorBidi" w:eastAsia="Times New Roman" w:hAnsiTheme="majorBidi" w:cstheme="majorBidi"/>
                <w:b/>
                <w:sz w:val="24"/>
                <w:szCs w:val="24"/>
                <w:rtl/>
                <w:lang w:val="en-US" w:eastAsia="fr-FR"/>
              </w:rPr>
            </w:pPr>
            <w:r w:rsidRPr="00E50618">
              <w:rPr>
                <w:rFonts w:asciiTheme="majorBidi" w:eastAsia="Times New Roman" w:hAnsiTheme="majorBidi" w:cstheme="majorBidi"/>
                <w:b/>
                <w:sz w:val="24"/>
                <w:szCs w:val="24"/>
                <w:lang w:val="en-US" w:eastAsia="fr-FR"/>
              </w:rPr>
              <w:t>C5</w:t>
            </w:r>
          </w:p>
        </w:tc>
      </w:tr>
      <w:tr w:rsidR="00CC10F2" w:rsidRPr="00E50618" w:rsidTr="00CC10F2">
        <w:trPr>
          <w:jc w:val="center"/>
        </w:trPr>
        <w:tc>
          <w:tcPr>
            <w:tcW w:w="2894"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كثافة البناء</w:t>
            </w:r>
          </w:p>
        </w:tc>
        <w:tc>
          <w:tcPr>
            <w:tcW w:w="2693" w:type="dxa"/>
            <w:vAlign w:val="center"/>
          </w:tcPr>
          <w:p w:rsidR="00CC10F2" w:rsidRPr="00E50618" w:rsidRDefault="00CC10F2" w:rsidP="00794BA6">
            <w:pPr>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معيار</w:t>
            </w:r>
            <w:r w:rsidRPr="00E50618">
              <w:rPr>
                <w:rFonts w:ascii="Simplified Arabic" w:eastAsia="Times New Roman" w:hAnsi="Simplified Arabic" w:cs="Simplified Arabic"/>
                <w:b/>
                <w:sz w:val="24"/>
                <w:szCs w:val="24"/>
                <w:rtl/>
                <w:lang w:val="en-US" w:eastAsia="fr-FR"/>
              </w:rPr>
              <w:t xml:space="preserve"> كثافة </w:t>
            </w:r>
            <w:r>
              <w:rPr>
                <w:rFonts w:ascii="Simplified Arabic" w:eastAsia="Times New Roman" w:hAnsi="Simplified Arabic" w:cs="Simplified Arabic" w:hint="cs"/>
                <w:b/>
                <w:sz w:val="24"/>
                <w:szCs w:val="24"/>
                <w:rtl/>
                <w:lang w:val="en-US" w:eastAsia="fr-FR"/>
              </w:rPr>
              <w:t>البناء</w:t>
            </w:r>
          </w:p>
        </w:tc>
        <w:tc>
          <w:tcPr>
            <w:tcW w:w="993" w:type="dxa"/>
            <w:vAlign w:val="center"/>
          </w:tcPr>
          <w:p w:rsidR="00CC10F2" w:rsidRPr="00E50618" w:rsidRDefault="00CC10F2" w:rsidP="00794BA6">
            <w:pPr>
              <w:bidi/>
              <w:jc w:val="center"/>
              <w:rPr>
                <w:rFonts w:asciiTheme="majorBidi" w:eastAsia="Times New Roman" w:hAnsiTheme="majorBidi" w:cstheme="majorBidi"/>
                <w:b/>
                <w:sz w:val="24"/>
                <w:szCs w:val="24"/>
                <w:rtl/>
                <w:lang w:val="en-US" w:eastAsia="fr-FR"/>
              </w:rPr>
            </w:pPr>
            <w:r w:rsidRPr="00E50618">
              <w:rPr>
                <w:rFonts w:asciiTheme="majorBidi" w:eastAsia="Times New Roman" w:hAnsiTheme="majorBidi" w:cstheme="majorBidi"/>
                <w:b/>
                <w:sz w:val="24"/>
                <w:szCs w:val="24"/>
                <w:lang w:val="en-US" w:eastAsia="fr-FR"/>
              </w:rPr>
              <w:t>C6</w:t>
            </w:r>
          </w:p>
        </w:tc>
      </w:tr>
      <w:tr w:rsidR="00CC10F2" w:rsidRPr="00E50618" w:rsidTr="00CC10F2">
        <w:trPr>
          <w:jc w:val="center"/>
        </w:trPr>
        <w:tc>
          <w:tcPr>
            <w:tcW w:w="2894" w:type="dxa"/>
            <w:vAlign w:val="center"/>
          </w:tcPr>
          <w:p w:rsidR="00CC10F2" w:rsidRPr="00E50618" w:rsidRDefault="00CC10F2" w:rsidP="007D2D9A">
            <w:pPr>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عمق</w:t>
            </w:r>
            <w:r w:rsidRPr="00E50618">
              <w:rPr>
                <w:rFonts w:ascii="Simplified Arabic" w:eastAsia="Times New Roman" w:hAnsi="Simplified Arabic" w:cs="Simplified Arabic"/>
                <w:b/>
                <w:sz w:val="24"/>
                <w:szCs w:val="24"/>
                <w:rtl/>
                <w:lang w:val="en-US" w:eastAsia="fr-FR"/>
              </w:rPr>
              <w:t xml:space="preserve"> الطرق</w:t>
            </w:r>
            <w:r>
              <w:rPr>
                <w:rFonts w:ascii="Simplified Arabic" w:eastAsia="Times New Roman" w:hAnsi="Simplified Arabic" w:cs="Simplified Arabic" w:hint="cs"/>
                <w:b/>
                <w:sz w:val="24"/>
                <w:szCs w:val="24"/>
                <w:rtl/>
                <w:lang w:val="en-US" w:eastAsia="fr-FR"/>
              </w:rPr>
              <w:t xml:space="preserve"> الشريانية</w:t>
            </w:r>
          </w:p>
        </w:tc>
        <w:tc>
          <w:tcPr>
            <w:tcW w:w="2693" w:type="dxa"/>
            <w:vAlign w:val="center"/>
          </w:tcPr>
          <w:p w:rsidR="00CC10F2" w:rsidRPr="00E50618" w:rsidRDefault="00CC10F2" w:rsidP="007D2D9A">
            <w:pPr>
              <w:bidi/>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معيار</w:t>
            </w:r>
            <w:r w:rsidRPr="00E5061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عمق</w:t>
            </w:r>
            <w:r w:rsidRPr="00E50618">
              <w:rPr>
                <w:rFonts w:ascii="Simplified Arabic" w:eastAsia="Times New Roman" w:hAnsi="Simplified Arabic" w:cs="Simplified Arabic"/>
                <w:b/>
                <w:sz w:val="24"/>
                <w:szCs w:val="24"/>
                <w:rtl/>
                <w:lang w:val="en-US" w:eastAsia="fr-FR"/>
              </w:rPr>
              <w:t xml:space="preserve"> الطرق</w:t>
            </w:r>
            <w:r>
              <w:rPr>
                <w:rFonts w:ascii="Simplified Arabic" w:eastAsia="Times New Roman" w:hAnsi="Simplified Arabic" w:cs="Simplified Arabic" w:hint="cs"/>
                <w:b/>
                <w:sz w:val="24"/>
                <w:szCs w:val="24"/>
                <w:rtl/>
                <w:lang w:val="en-US" w:eastAsia="fr-FR"/>
              </w:rPr>
              <w:t xml:space="preserve"> الشريانية</w:t>
            </w:r>
          </w:p>
        </w:tc>
        <w:tc>
          <w:tcPr>
            <w:tcW w:w="993" w:type="dxa"/>
            <w:vAlign w:val="center"/>
          </w:tcPr>
          <w:p w:rsidR="00CC10F2" w:rsidRPr="00E50618" w:rsidRDefault="00CC10F2" w:rsidP="00794BA6">
            <w:pPr>
              <w:bidi/>
              <w:jc w:val="center"/>
              <w:rPr>
                <w:rFonts w:asciiTheme="majorBidi" w:eastAsia="Times New Roman" w:hAnsiTheme="majorBidi" w:cstheme="majorBidi"/>
                <w:b/>
                <w:sz w:val="24"/>
                <w:szCs w:val="24"/>
                <w:lang w:val="en-US" w:eastAsia="fr-FR"/>
              </w:rPr>
            </w:pPr>
            <w:r w:rsidRPr="00E50618">
              <w:rPr>
                <w:rFonts w:asciiTheme="majorBidi" w:eastAsia="Times New Roman" w:hAnsiTheme="majorBidi" w:cstheme="majorBidi"/>
                <w:b/>
                <w:sz w:val="24"/>
                <w:szCs w:val="24"/>
                <w:lang w:val="en-US" w:eastAsia="fr-FR"/>
              </w:rPr>
              <w:t>C7</w:t>
            </w:r>
          </w:p>
        </w:tc>
      </w:tr>
    </w:tbl>
    <w:p w:rsidR="00C121B0" w:rsidRPr="00A93DA8" w:rsidRDefault="00C121B0" w:rsidP="001D0548">
      <w:pPr>
        <w:pStyle w:val="Paragraphedeliste"/>
        <w:numPr>
          <w:ilvl w:val="3"/>
          <w:numId w:val="235"/>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649" w:name="_Toc171803675"/>
      <w:r w:rsidRPr="00A93DA8">
        <w:rPr>
          <w:rFonts w:ascii="Simplified Arabic" w:hAnsi="Simplified Arabic" w:cs="Simplified Arabic" w:hint="cs"/>
          <w:b/>
          <w:bCs/>
          <w:sz w:val="24"/>
          <w:szCs w:val="24"/>
          <w:rtl/>
          <w:lang w:val="en-US"/>
        </w:rPr>
        <w:t xml:space="preserve">عناصر التوزيع المكاني </w:t>
      </w:r>
      <w:r w:rsidR="00C81228">
        <w:rPr>
          <w:rFonts w:ascii="Simplified Arabic" w:hAnsi="Simplified Arabic" w:cs="Simplified Arabic" w:hint="cs"/>
          <w:b/>
          <w:bCs/>
          <w:sz w:val="24"/>
          <w:szCs w:val="24"/>
          <w:rtl/>
          <w:lang w:val="en-US"/>
        </w:rPr>
        <w:t>لاستعمالات</w:t>
      </w:r>
      <w:r w:rsidRPr="00A93DA8">
        <w:rPr>
          <w:rFonts w:ascii="Simplified Arabic" w:hAnsi="Simplified Arabic" w:cs="Simplified Arabic" w:hint="cs"/>
          <w:b/>
          <w:bCs/>
          <w:sz w:val="24"/>
          <w:szCs w:val="24"/>
          <w:rtl/>
          <w:lang w:val="en-US"/>
        </w:rPr>
        <w:t xml:space="preserve"> الارض الحضرية (البعد الفيزيائي)</w:t>
      </w:r>
      <w:bookmarkEnd w:id="649"/>
    </w:p>
    <w:p w:rsidR="00C121B0" w:rsidRDefault="00C121B0" w:rsidP="00CC10F2">
      <w:pPr>
        <w:tabs>
          <w:tab w:val="right" w:pos="282"/>
        </w:tabs>
        <w:bidi/>
        <w:spacing w:after="0"/>
        <w:ind w:firstLine="282"/>
        <w:jc w:val="both"/>
        <w:rPr>
          <w:rFonts w:ascii="Simplified Arabic" w:hAnsi="Simplified Arabic" w:cs="Simplified Arabic"/>
          <w:color w:val="000000" w:themeColor="text1"/>
          <w:sz w:val="24"/>
          <w:szCs w:val="24"/>
          <w:rtl/>
          <w:lang w:bidi="ar-DZ"/>
        </w:rPr>
      </w:pPr>
      <w:r w:rsidRPr="00347D39">
        <w:rPr>
          <w:rFonts w:ascii="Simplified Arabic" w:hAnsi="Simplified Arabic" w:cs="Simplified Arabic" w:hint="cs"/>
          <w:color w:val="000000" w:themeColor="text1"/>
          <w:sz w:val="24"/>
          <w:szCs w:val="24"/>
          <w:rtl/>
          <w:lang w:bidi="ar-DZ"/>
        </w:rPr>
        <w:t>يشمل البعد الفيزيائي</w:t>
      </w:r>
      <w:r w:rsidRPr="00347D39">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للمرونة على سبعة (07)</w:t>
      </w:r>
      <w:r w:rsidRPr="00347D39">
        <w:rPr>
          <w:rFonts w:ascii="Simplified Arabic" w:hAnsi="Simplified Arabic" w:cs="Simplified Arabic"/>
          <w:color w:val="000000" w:themeColor="text1"/>
          <w:sz w:val="24"/>
          <w:szCs w:val="24"/>
          <w:rtl/>
          <w:lang w:bidi="ar-DZ"/>
        </w:rPr>
        <w:t xml:space="preserve"> </w:t>
      </w:r>
      <w:r>
        <w:rPr>
          <w:rFonts w:ascii="Simplified Arabic" w:eastAsia="Times New Roman" w:hAnsi="Simplified Arabic" w:cs="Simplified Arabic" w:hint="cs"/>
          <w:b/>
          <w:sz w:val="24"/>
          <w:szCs w:val="24"/>
          <w:rtl/>
          <w:lang w:val="en-US" w:eastAsia="fr-FR"/>
        </w:rPr>
        <w:t>معايير رئيسية،</w:t>
      </w:r>
      <w:r w:rsidRPr="00E5061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تمثل هذه المعايير، </w:t>
      </w:r>
      <w:r w:rsidR="00CC10F2">
        <w:rPr>
          <w:rFonts w:ascii="Simplified Arabic" w:eastAsia="Times New Roman" w:hAnsi="Simplified Arabic" w:cs="Simplified Arabic" w:hint="cs"/>
          <w:b/>
          <w:sz w:val="24"/>
          <w:szCs w:val="24"/>
          <w:rtl/>
          <w:lang w:val="en-US" w:eastAsia="fr-FR"/>
        </w:rPr>
        <w:t>العناصر ال</w:t>
      </w:r>
      <w:r w:rsidR="005B1531">
        <w:rPr>
          <w:rFonts w:ascii="Simplified Arabic" w:eastAsia="Times New Roman" w:hAnsi="Simplified Arabic" w:cs="Simplified Arabic" w:hint="cs"/>
          <w:b/>
          <w:sz w:val="24"/>
          <w:szCs w:val="24"/>
          <w:rtl/>
          <w:lang w:val="en-US" w:eastAsia="fr-FR"/>
        </w:rPr>
        <w:t>مكون</w:t>
      </w:r>
      <w:r w:rsidR="00CC10F2">
        <w:rPr>
          <w:rFonts w:ascii="Simplified Arabic" w:eastAsia="Times New Roman" w:hAnsi="Simplified Arabic" w:cs="Simplified Arabic" w:hint="cs"/>
          <w:b/>
          <w:sz w:val="24"/>
          <w:szCs w:val="24"/>
          <w:rtl/>
          <w:lang w:val="en-US" w:eastAsia="fr-FR"/>
        </w:rPr>
        <w:t>ة</w:t>
      </w:r>
      <w:r>
        <w:rPr>
          <w:rFonts w:ascii="Simplified Arabic" w:eastAsia="Times New Roman" w:hAnsi="Simplified Arabic" w:cs="Simplified Arabic" w:hint="cs"/>
          <w:b/>
          <w:sz w:val="24"/>
          <w:szCs w:val="24"/>
          <w:rtl/>
          <w:lang w:val="en-US" w:eastAsia="fr-FR"/>
        </w:rPr>
        <w:t xml:space="preserve"> </w:t>
      </w:r>
      <w:r w:rsidR="00CC10F2">
        <w:rPr>
          <w:rFonts w:ascii="Simplified Arabic" w:eastAsia="Times New Roman" w:hAnsi="Simplified Arabic" w:cs="Simplified Arabic" w:hint="cs"/>
          <w:b/>
          <w:sz w:val="24"/>
          <w:szCs w:val="24"/>
          <w:rtl/>
          <w:lang w:val="en-US" w:eastAsia="fr-FR"/>
        </w:rPr>
        <w:t>ل</w:t>
      </w:r>
      <w:r w:rsidR="005B1531">
        <w:rPr>
          <w:rFonts w:ascii="Simplified Arabic" w:eastAsia="Times New Roman" w:hAnsi="Simplified Arabic" w:cs="Simplified Arabic" w:hint="cs"/>
          <w:b/>
          <w:sz w:val="24"/>
          <w:szCs w:val="24"/>
          <w:rtl/>
          <w:lang w:val="en-US" w:eastAsia="fr-FR"/>
        </w:rPr>
        <w:t>لنسيج الحضري</w:t>
      </w:r>
      <w:r>
        <w:rPr>
          <w:rFonts w:ascii="Simplified Arabic" w:hAnsi="Simplified Arabic" w:cs="Simplified Arabic" w:hint="cs"/>
          <w:color w:val="000000" w:themeColor="text1"/>
          <w:sz w:val="24"/>
          <w:szCs w:val="24"/>
          <w:rtl/>
          <w:lang w:bidi="ar-DZ"/>
        </w:rPr>
        <w:t xml:space="preserve">. </w:t>
      </w:r>
    </w:p>
    <w:p w:rsidR="00C121B0" w:rsidRPr="00B3327F" w:rsidRDefault="00C121B0" w:rsidP="00A73815">
      <w:pPr>
        <w:tabs>
          <w:tab w:val="right" w:pos="282"/>
        </w:tabs>
        <w:bidi/>
        <w:spacing w:after="0"/>
        <w:jc w:val="both"/>
        <w:rPr>
          <w:rFonts w:ascii="Simplified Arabic" w:hAnsi="Simplified Arabic" w:cs="Simplified Arabic"/>
          <w:color w:val="000000" w:themeColor="text1"/>
          <w:sz w:val="24"/>
          <w:szCs w:val="24"/>
          <w:rtl/>
          <w:lang w:bidi="ar-DZ"/>
        </w:rPr>
      </w:pPr>
      <w:r w:rsidRPr="00B3327F">
        <w:rPr>
          <w:rFonts w:ascii="Simplified Arabic" w:hAnsi="Simplified Arabic" w:cs="Simplified Arabic"/>
          <w:color w:val="000000" w:themeColor="text1"/>
          <w:sz w:val="24"/>
          <w:szCs w:val="24"/>
          <w:rtl/>
          <w:lang w:bidi="ar-DZ"/>
        </w:rPr>
        <w:t>في هذ</w:t>
      </w:r>
      <w:r w:rsidR="00CC10F2">
        <w:rPr>
          <w:rFonts w:ascii="Simplified Arabic" w:hAnsi="Simplified Arabic" w:cs="Simplified Arabic" w:hint="cs"/>
          <w:color w:val="000000" w:themeColor="text1"/>
          <w:sz w:val="24"/>
          <w:szCs w:val="24"/>
          <w:rtl/>
          <w:lang w:bidi="ar-DZ"/>
        </w:rPr>
        <w:t>ا</w:t>
      </w:r>
      <w:r w:rsidRPr="00B3327F">
        <w:rPr>
          <w:rFonts w:ascii="Simplified Arabic" w:hAnsi="Simplified Arabic" w:cs="Simplified Arabic"/>
          <w:color w:val="000000" w:themeColor="text1"/>
          <w:sz w:val="24"/>
          <w:szCs w:val="24"/>
          <w:rtl/>
          <w:lang w:bidi="ar-DZ"/>
        </w:rPr>
        <w:t xml:space="preserve"> ال</w:t>
      </w:r>
      <w:r w:rsidR="00CC10F2">
        <w:rPr>
          <w:rFonts w:ascii="Simplified Arabic" w:hAnsi="Simplified Arabic" w:cs="Simplified Arabic" w:hint="cs"/>
          <w:color w:val="000000" w:themeColor="text1"/>
          <w:sz w:val="24"/>
          <w:szCs w:val="24"/>
          <w:rtl/>
          <w:lang w:bidi="ar-DZ"/>
        </w:rPr>
        <w:t>بحث</w:t>
      </w:r>
      <w:r w:rsidRPr="00B3327F">
        <w:rPr>
          <w:rFonts w:ascii="Simplified Arabic" w:hAnsi="Simplified Arabic" w:cs="Simplified Arabic"/>
          <w:color w:val="000000" w:themeColor="text1"/>
          <w:sz w:val="24"/>
          <w:szCs w:val="24"/>
          <w:rtl/>
          <w:lang w:bidi="ar-DZ"/>
        </w:rPr>
        <w:t xml:space="preserve">، يتم تقييم المرونة الحضرية </w:t>
      </w:r>
      <w:r w:rsidR="00CC10F2">
        <w:rPr>
          <w:rFonts w:ascii="Simplified Arabic" w:hAnsi="Simplified Arabic" w:cs="Simplified Arabic" w:hint="cs"/>
          <w:color w:val="000000" w:themeColor="text1"/>
          <w:sz w:val="24"/>
          <w:szCs w:val="24"/>
          <w:rtl/>
          <w:lang w:bidi="ar-DZ"/>
        </w:rPr>
        <w:t>بسبعة</w:t>
      </w:r>
      <w:r w:rsidRPr="00B3327F">
        <w:rPr>
          <w:rFonts w:ascii="Simplified Arabic" w:hAnsi="Simplified Arabic" w:cs="Simplified Arabic"/>
          <w:color w:val="000000" w:themeColor="text1"/>
          <w:sz w:val="24"/>
          <w:szCs w:val="24"/>
          <w:rtl/>
          <w:lang w:bidi="ar-DZ"/>
        </w:rPr>
        <w:t xml:space="preserve"> (</w:t>
      </w:r>
      <w:r w:rsidR="00CC10F2">
        <w:rPr>
          <w:rFonts w:ascii="Simplified Arabic" w:hAnsi="Simplified Arabic" w:cs="Simplified Arabic" w:hint="cs"/>
          <w:color w:val="000000" w:themeColor="text1"/>
          <w:sz w:val="24"/>
          <w:szCs w:val="24"/>
          <w:rtl/>
          <w:lang w:bidi="ar-DZ"/>
        </w:rPr>
        <w:t>07</w:t>
      </w:r>
      <w:r w:rsidRPr="00B3327F">
        <w:rPr>
          <w:rFonts w:ascii="Simplified Arabic" w:hAnsi="Simplified Arabic" w:cs="Simplified Arabic"/>
          <w:color w:val="000000" w:themeColor="text1"/>
          <w:sz w:val="24"/>
          <w:szCs w:val="24"/>
          <w:rtl/>
          <w:lang w:bidi="ar-DZ"/>
        </w:rPr>
        <w:t>)</w:t>
      </w:r>
      <w:r>
        <w:rPr>
          <w:rFonts w:ascii="Simplified Arabic" w:hAnsi="Simplified Arabic" w:cs="Simplified Arabic" w:hint="cs"/>
          <w:color w:val="000000" w:themeColor="text1"/>
          <w:sz w:val="24"/>
          <w:szCs w:val="24"/>
          <w:rtl/>
          <w:lang w:bidi="ar-DZ"/>
        </w:rPr>
        <w:t xml:space="preserve"> </w:t>
      </w:r>
      <w:r w:rsidRPr="00B3327F">
        <w:rPr>
          <w:rFonts w:ascii="Simplified Arabic" w:hAnsi="Simplified Arabic" w:cs="Simplified Arabic"/>
          <w:color w:val="000000" w:themeColor="text1"/>
          <w:sz w:val="24"/>
          <w:szCs w:val="24"/>
          <w:rtl/>
          <w:lang w:bidi="ar-DZ"/>
        </w:rPr>
        <w:t>معايير</w:t>
      </w:r>
      <w:r>
        <w:rPr>
          <w:rFonts w:ascii="Simplified Arabic" w:hAnsi="Simplified Arabic" w:cs="Simplified Arabic" w:hint="cs"/>
          <w:color w:val="000000" w:themeColor="text1"/>
          <w:sz w:val="24"/>
          <w:szCs w:val="24"/>
          <w:rtl/>
          <w:lang w:bidi="ar-DZ"/>
        </w:rPr>
        <w:t>،</w:t>
      </w:r>
      <w:r w:rsidRPr="00B3327F">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ينضوي تحت كل معيار ثلاثة (03) معايير فرعية</w:t>
      </w:r>
      <w:r w:rsidRPr="00B3327F">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بمجموع كلي</w:t>
      </w:r>
      <w:r w:rsidRPr="00B3327F">
        <w:rPr>
          <w:rFonts w:ascii="Simplified Arabic" w:hAnsi="Simplified Arabic" w:cs="Simplified Arabic"/>
          <w:color w:val="000000" w:themeColor="text1"/>
          <w:sz w:val="24"/>
          <w:szCs w:val="24"/>
          <w:rtl/>
          <w:lang w:bidi="ar-DZ"/>
        </w:rPr>
        <w:t xml:space="preserve"> </w:t>
      </w:r>
      <w:r w:rsidR="00CC10F2">
        <w:rPr>
          <w:rFonts w:ascii="Simplified Arabic" w:hAnsi="Simplified Arabic" w:cs="Simplified Arabic" w:hint="cs"/>
          <w:color w:val="000000" w:themeColor="text1"/>
          <w:sz w:val="24"/>
          <w:szCs w:val="24"/>
          <w:rtl/>
          <w:lang w:bidi="ar-DZ"/>
        </w:rPr>
        <w:t>واحد</w:t>
      </w:r>
      <w:r w:rsidRPr="00B3327F">
        <w:rPr>
          <w:rFonts w:ascii="Simplified Arabic" w:hAnsi="Simplified Arabic" w:cs="Simplified Arabic"/>
          <w:color w:val="000000" w:themeColor="text1"/>
          <w:sz w:val="24"/>
          <w:szCs w:val="24"/>
          <w:rtl/>
          <w:lang w:bidi="ar-DZ"/>
        </w:rPr>
        <w:t xml:space="preserve"> وعشرون (</w:t>
      </w:r>
      <w:r w:rsidR="00CC10F2">
        <w:rPr>
          <w:rFonts w:ascii="Simplified Arabic" w:hAnsi="Simplified Arabic" w:cs="Simplified Arabic" w:hint="cs"/>
          <w:color w:val="000000" w:themeColor="text1"/>
          <w:sz w:val="24"/>
          <w:szCs w:val="24"/>
          <w:rtl/>
          <w:lang w:bidi="ar-DZ"/>
        </w:rPr>
        <w:t>21</w:t>
      </w:r>
      <w:r w:rsidRPr="00B3327F">
        <w:rPr>
          <w:rFonts w:ascii="Simplified Arabic" w:hAnsi="Simplified Arabic" w:cs="Simplified Arabic"/>
          <w:color w:val="000000" w:themeColor="text1"/>
          <w:sz w:val="24"/>
          <w:szCs w:val="24"/>
          <w:rtl/>
          <w:lang w:bidi="ar-DZ"/>
        </w:rPr>
        <w:t xml:space="preserve">) معيارًا فرعيًا. تم تحديد طبقات المعايير الرئيسية </w:t>
      </w:r>
      <w:r w:rsidR="00A73815">
        <w:rPr>
          <w:rFonts w:ascii="Simplified Arabic" w:hAnsi="Simplified Arabic" w:cs="Simplified Arabic" w:hint="cs"/>
          <w:color w:val="000000" w:themeColor="text1"/>
          <w:sz w:val="24"/>
          <w:szCs w:val="24"/>
          <w:rtl/>
          <w:lang w:bidi="ar-DZ"/>
        </w:rPr>
        <w:t>و</w:t>
      </w:r>
      <w:r w:rsidRPr="00B3327F">
        <w:rPr>
          <w:rFonts w:ascii="Simplified Arabic" w:hAnsi="Simplified Arabic" w:cs="Simplified Arabic"/>
          <w:color w:val="000000" w:themeColor="text1"/>
          <w:sz w:val="24"/>
          <w:szCs w:val="24"/>
          <w:rtl/>
          <w:lang w:bidi="ar-DZ"/>
        </w:rPr>
        <w:t>الفرعية على منصة</w:t>
      </w:r>
      <w:r w:rsidRPr="00B3327F">
        <w:rPr>
          <w:rFonts w:ascii="Simplified Arabic" w:eastAsia="Times New Roman" w:hAnsi="Simplified Arabic" w:cs="Simplified Arabic"/>
          <w:b/>
          <w:color w:val="000000" w:themeColor="text1"/>
          <w:sz w:val="24"/>
          <w:szCs w:val="24"/>
          <w:rtl/>
          <w:lang w:val="en-US" w:eastAsia="fr-FR"/>
        </w:rPr>
        <w:t xml:space="preserve"> </w:t>
      </w:r>
      <w:r w:rsidRPr="00DF61CD">
        <w:rPr>
          <w:rFonts w:asciiTheme="majorBidi" w:hAnsiTheme="majorBidi" w:cstheme="majorBidi" w:hint="cs"/>
          <w:sz w:val="24"/>
          <w:szCs w:val="24"/>
          <w:rtl/>
        </w:rPr>
        <w:t>(</w:t>
      </w:r>
      <w:r w:rsidRPr="000D6B35">
        <w:rPr>
          <w:rFonts w:asciiTheme="majorBidi" w:hAnsiTheme="majorBidi" w:cstheme="majorBidi"/>
          <w:sz w:val="24"/>
          <w:szCs w:val="24"/>
          <w:lang w:val="en-US"/>
        </w:rPr>
        <w:t>ArcGIS</w:t>
      </w:r>
      <w:r w:rsidRPr="00DF61CD">
        <w:rPr>
          <w:rFonts w:asciiTheme="majorBidi" w:hAnsiTheme="majorBidi" w:cstheme="majorBidi"/>
          <w:sz w:val="24"/>
          <w:szCs w:val="24"/>
        </w:rPr>
        <w:t xml:space="preserve"> 10.3</w:t>
      </w:r>
      <w:r w:rsidRPr="00DF61CD">
        <w:rPr>
          <w:rFonts w:asciiTheme="majorBidi" w:hAnsiTheme="majorBidi" w:cstheme="majorBidi" w:hint="cs"/>
          <w:sz w:val="24"/>
          <w:szCs w:val="24"/>
          <w:rtl/>
        </w:rPr>
        <w:t>)</w:t>
      </w:r>
      <w:r w:rsidRPr="00B3327F">
        <w:rPr>
          <w:rFonts w:ascii="Simplified Arabic" w:hAnsi="Simplified Arabic" w:cs="Simplified Arabic"/>
          <w:color w:val="000000" w:themeColor="text1"/>
          <w:sz w:val="24"/>
          <w:szCs w:val="24"/>
          <w:rtl/>
          <w:lang w:bidi="ar-DZ"/>
        </w:rPr>
        <w:t>.</w:t>
      </w:r>
      <w:r w:rsidRPr="00B3327F">
        <w:rPr>
          <w:rFonts w:ascii="Simplified Arabic" w:eastAsia="Times New Roman" w:hAnsi="Simplified Arabic" w:cs="Simplified Arabic"/>
          <w:b/>
          <w:color w:val="000000" w:themeColor="text1"/>
          <w:sz w:val="24"/>
          <w:szCs w:val="24"/>
          <w:rtl/>
          <w:lang w:val="en-US" w:eastAsia="fr-FR"/>
        </w:rPr>
        <w:t xml:space="preserve"> </w:t>
      </w:r>
    </w:p>
    <w:p w:rsidR="00C121B0" w:rsidRDefault="00C121B0" w:rsidP="00A73815">
      <w:pPr>
        <w:tabs>
          <w:tab w:val="right" w:pos="282"/>
        </w:tabs>
        <w:bidi/>
        <w:spacing w:after="0"/>
        <w:ind w:firstLine="282"/>
        <w:jc w:val="both"/>
        <w:rPr>
          <w:rFonts w:ascii="Simplified Arabic" w:hAnsi="Simplified Arabic" w:cs="Simplified Arabic"/>
          <w:color w:val="000000" w:themeColor="text1"/>
          <w:sz w:val="24"/>
          <w:szCs w:val="24"/>
          <w:rtl/>
          <w:lang w:bidi="ar-DZ"/>
        </w:rPr>
      </w:pPr>
      <w:r w:rsidRPr="005B0947">
        <w:rPr>
          <w:rFonts w:ascii="Simplified Arabic" w:hAnsi="Simplified Arabic" w:cs="Simplified Arabic" w:hint="cs"/>
          <w:color w:val="000000" w:themeColor="text1"/>
          <w:sz w:val="24"/>
          <w:szCs w:val="24"/>
          <w:rtl/>
          <w:lang w:bidi="ar-DZ"/>
        </w:rPr>
        <w:t>عند</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إدخال</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البيانات</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المكانية</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لكل</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معيار</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في</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برنامج</w:t>
      </w:r>
      <w:r w:rsidRPr="005B0947">
        <w:rPr>
          <w:color w:val="000000" w:themeColor="text1"/>
          <w:sz w:val="24"/>
          <w:szCs w:val="24"/>
          <w:rtl/>
          <w:lang w:bidi="ar-DZ"/>
        </w:rPr>
        <w:t xml:space="preserve"> </w:t>
      </w:r>
      <w:r w:rsidRPr="005B0947">
        <w:rPr>
          <w:rFonts w:asciiTheme="majorBidi" w:hAnsiTheme="majorBidi" w:cstheme="majorBidi" w:hint="cs"/>
          <w:sz w:val="24"/>
          <w:szCs w:val="24"/>
          <w:rtl/>
        </w:rPr>
        <w:t>(</w:t>
      </w:r>
      <w:r w:rsidRPr="005B0947">
        <w:rPr>
          <w:rFonts w:asciiTheme="majorBidi" w:hAnsiTheme="majorBidi" w:cstheme="majorBidi"/>
          <w:sz w:val="24"/>
          <w:szCs w:val="24"/>
          <w:lang w:val="en-US"/>
        </w:rPr>
        <w:t>ArcGIS</w:t>
      </w:r>
      <w:r w:rsidRPr="005B0947">
        <w:rPr>
          <w:rFonts w:asciiTheme="majorBidi" w:hAnsiTheme="majorBidi" w:cstheme="majorBidi"/>
          <w:sz w:val="24"/>
          <w:szCs w:val="24"/>
        </w:rPr>
        <w:t xml:space="preserve"> 10.3</w:t>
      </w:r>
      <w:r w:rsidRPr="005B0947">
        <w:rPr>
          <w:rFonts w:asciiTheme="majorBidi" w:hAnsiTheme="majorBidi" w:cstheme="majorBidi" w:hint="cs"/>
          <w:sz w:val="24"/>
          <w:szCs w:val="24"/>
          <w:rtl/>
        </w:rPr>
        <w:t>)</w:t>
      </w:r>
      <w:r w:rsidRPr="005B0947">
        <w:rPr>
          <w:rFonts w:ascii="Simplified Arabic" w:hAnsi="Simplified Arabic" w:cs="Simplified Arabic"/>
          <w:color w:val="000000" w:themeColor="text1"/>
          <w:sz w:val="24"/>
          <w:szCs w:val="24"/>
          <w:rtl/>
          <w:lang w:bidi="ar-DZ"/>
        </w:rPr>
        <w:t>،</w:t>
      </w:r>
      <w:r w:rsidRPr="005B0947">
        <w:rPr>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ب</w:t>
      </w:r>
      <w:r w:rsidRPr="005B0947">
        <w:rPr>
          <w:rFonts w:ascii="Simplified Arabic" w:hAnsi="Simplified Arabic" w:cs="Simplified Arabic"/>
          <w:color w:val="000000" w:themeColor="text1"/>
          <w:sz w:val="24"/>
          <w:szCs w:val="24"/>
          <w:rtl/>
          <w:lang w:bidi="ar-DZ"/>
        </w:rPr>
        <w:t xml:space="preserve">استخدام </w:t>
      </w:r>
      <w:r w:rsidRPr="005B0947">
        <w:rPr>
          <w:rFonts w:ascii="Simplified Arabic" w:hAnsi="Simplified Arabic" w:cs="Simplified Arabic" w:hint="cs"/>
          <w:color w:val="000000" w:themeColor="text1"/>
          <w:sz w:val="24"/>
          <w:szCs w:val="24"/>
          <w:rtl/>
          <w:lang w:bidi="ar-DZ"/>
        </w:rPr>
        <w:t>ال</w:t>
      </w:r>
      <w:r w:rsidRPr="005B0947">
        <w:rPr>
          <w:rFonts w:ascii="Simplified Arabic" w:hAnsi="Simplified Arabic" w:cs="Simplified Arabic"/>
          <w:color w:val="000000" w:themeColor="text1"/>
          <w:sz w:val="24"/>
          <w:szCs w:val="24"/>
          <w:rtl/>
          <w:lang w:bidi="ar-DZ"/>
        </w:rPr>
        <w:t>ميزة</w:t>
      </w:r>
      <w:r w:rsidRPr="005B0947">
        <w:rPr>
          <w:rFonts w:ascii="Simplified Arabic" w:hAnsi="Simplified Arabic" w:cs="Simplified Arabic" w:hint="cs"/>
          <w:color w:val="000000" w:themeColor="text1"/>
          <w:sz w:val="24"/>
          <w:szCs w:val="24"/>
          <w:rtl/>
          <w:lang w:bidi="ar-DZ"/>
        </w:rPr>
        <w:t xml:space="preserve"> التي تمنحها اداة </w:t>
      </w:r>
      <w:r w:rsidRPr="005B0947">
        <w:rPr>
          <w:rFonts w:asciiTheme="majorBidi" w:hAnsiTheme="majorBidi" w:cstheme="majorBidi"/>
          <w:color w:val="000000" w:themeColor="text1"/>
          <w:sz w:val="24"/>
          <w:szCs w:val="24"/>
          <w:rtl/>
          <w:lang w:bidi="ar-DZ"/>
        </w:rPr>
        <w:t>(</w:t>
      </w:r>
      <w:r w:rsidRPr="005B0947">
        <w:rPr>
          <w:rFonts w:asciiTheme="majorBidi" w:hAnsiTheme="majorBidi" w:cstheme="majorBidi"/>
          <w:color w:val="000000" w:themeColor="text1"/>
          <w:sz w:val="24"/>
          <w:szCs w:val="24"/>
          <w:lang w:val="en-US" w:bidi="ar-DZ"/>
        </w:rPr>
        <w:t>Model Builder</w:t>
      </w:r>
      <w:r w:rsidRPr="005B0947">
        <w:rPr>
          <w:rFonts w:asciiTheme="majorBidi" w:hAnsiTheme="majorBidi" w:cstheme="majorBidi"/>
          <w:color w:val="000000" w:themeColor="text1"/>
          <w:sz w:val="24"/>
          <w:szCs w:val="24"/>
          <w:rtl/>
          <w:lang w:bidi="ar-DZ"/>
        </w:rPr>
        <w:t>)</w:t>
      </w:r>
      <w:r w:rsidRPr="005B0947">
        <w:rPr>
          <w:rFonts w:ascii="Simplified Arabic" w:hAnsi="Simplified Arabic" w:cs="Simplified Arabic" w:hint="cs"/>
          <w:color w:val="000000" w:themeColor="text1"/>
          <w:sz w:val="24"/>
          <w:szCs w:val="24"/>
          <w:rtl/>
          <w:lang w:bidi="ar-DZ"/>
        </w:rPr>
        <w:t>،</w:t>
      </w:r>
      <w:r w:rsidRPr="005B0947">
        <w:rPr>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يقوم</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البرنامج</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بتحليلها</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وجمعها</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في</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خريطة</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واحدة،</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بحيث</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ينتج</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في</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النهاية</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خريطة</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تتكون</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من</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ثلاثة</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مجالات،</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وفقًا</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لمسافة الوصول الى المر</w:t>
      </w:r>
      <w:r w:rsidR="00CC10F2">
        <w:rPr>
          <w:rFonts w:ascii="Simplified Arabic" w:hAnsi="Simplified Arabic" w:cs="Simplified Arabic" w:hint="cs"/>
          <w:color w:val="000000" w:themeColor="text1"/>
          <w:sz w:val="24"/>
          <w:szCs w:val="24"/>
          <w:rtl/>
          <w:lang w:bidi="ar-DZ"/>
        </w:rPr>
        <w:t>ا</w:t>
      </w:r>
      <w:r w:rsidRPr="005B0947">
        <w:rPr>
          <w:rFonts w:ascii="Simplified Arabic" w:hAnsi="Simplified Arabic" w:cs="Simplified Arabic" w:hint="cs"/>
          <w:color w:val="000000" w:themeColor="text1"/>
          <w:sz w:val="24"/>
          <w:szCs w:val="24"/>
          <w:rtl/>
          <w:lang w:bidi="ar-DZ"/>
        </w:rPr>
        <w:t>فق العام</w:t>
      </w:r>
      <w:r w:rsidR="00CC10F2">
        <w:rPr>
          <w:rFonts w:ascii="Simplified Arabic" w:hAnsi="Simplified Arabic" w:cs="Simplified Arabic" w:hint="cs"/>
          <w:color w:val="000000" w:themeColor="text1"/>
          <w:sz w:val="24"/>
          <w:szCs w:val="24"/>
          <w:rtl/>
          <w:lang w:bidi="ar-DZ"/>
        </w:rPr>
        <w:t>ة</w:t>
      </w:r>
      <w:r w:rsidRPr="005B0947">
        <w:rPr>
          <w:rFonts w:ascii="Simplified Arabic" w:hAnsi="Simplified Arabic" w:cs="Simplified Arabic" w:hint="cs"/>
          <w:color w:val="000000" w:themeColor="text1"/>
          <w:sz w:val="24"/>
          <w:szCs w:val="24"/>
          <w:rtl/>
          <w:lang w:bidi="ar-DZ"/>
        </w:rPr>
        <w:t xml:space="preserve"> </w:t>
      </w:r>
      <w:r w:rsidRPr="005B0947">
        <w:rPr>
          <w:rFonts w:asciiTheme="majorBidi" w:hAnsiTheme="majorBidi" w:cstheme="majorBidi"/>
          <w:color w:val="000000" w:themeColor="text1"/>
          <w:sz w:val="24"/>
          <w:szCs w:val="24"/>
          <w:lang w:val="en-US" w:bidi="ar-DZ"/>
        </w:rPr>
        <w:t>(Javari et al., 2021)</w:t>
      </w:r>
      <w:r w:rsidRPr="005B0947">
        <w:rPr>
          <w:rFonts w:ascii="Simplified Arabic" w:hAnsi="Simplified Arabic" w:cs="Simplified Arabic" w:hint="cs"/>
          <w:color w:val="000000" w:themeColor="text1"/>
          <w:sz w:val="24"/>
          <w:szCs w:val="24"/>
          <w:rtl/>
          <w:lang w:bidi="ar-DZ"/>
        </w:rPr>
        <w:t>، وفقًا</w:t>
      </w:r>
      <w:r w:rsidRPr="005B0947">
        <w:rPr>
          <w:rFonts w:ascii="Simplified Arabic" w:hAnsi="Simplified Arabic" w:cs="Simplified Arabic"/>
          <w:color w:val="000000" w:themeColor="text1"/>
          <w:sz w:val="24"/>
          <w:szCs w:val="24"/>
          <w:rtl/>
          <w:lang w:bidi="ar-DZ"/>
        </w:rPr>
        <w:t xml:space="preserve"> </w:t>
      </w:r>
      <w:r w:rsidRPr="005B0947">
        <w:rPr>
          <w:rFonts w:ascii="Simplified Arabic" w:hAnsi="Simplified Arabic" w:cs="Simplified Arabic" w:hint="cs"/>
          <w:color w:val="000000" w:themeColor="text1"/>
          <w:sz w:val="24"/>
          <w:szCs w:val="24"/>
          <w:rtl/>
          <w:lang w:bidi="ar-DZ"/>
        </w:rPr>
        <w:t xml:space="preserve">لكثافة البناء </w:t>
      </w:r>
      <w:r w:rsidRPr="005B0947">
        <w:rPr>
          <w:rFonts w:asciiTheme="majorBidi" w:hAnsiTheme="majorBidi" w:cstheme="majorBidi"/>
          <w:color w:val="000000" w:themeColor="text1"/>
          <w:sz w:val="24"/>
          <w:szCs w:val="24"/>
          <w:lang w:val="en-US" w:bidi="ar-DZ"/>
        </w:rPr>
        <w:t xml:space="preserve">(Haghighi </w:t>
      </w:r>
      <w:r w:rsidRPr="005B0947">
        <w:rPr>
          <w:rFonts w:asciiTheme="majorBidi" w:hAnsiTheme="majorBidi" w:cstheme="majorBidi"/>
          <w:color w:val="000000" w:themeColor="text1"/>
          <w:sz w:val="24"/>
          <w:szCs w:val="24"/>
          <w:lang w:bidi="ar-DZ"/>
        </w:rPr>
        <w:t>Fard and Doratli</w:t>
      </w:r>
      <w:r w:rsidRPr="005B0947">
        <w:rPr>
          <w:rFonts w:asciiTheme="majorBidi" w:hAnsiTheme="majorBidi" w:cstheme="majorBidi"/>
          <w:color w:val="000000" w:themeColor="text1"/>
          <w:sz w:val="24"/>
          <w:szCs w:val="24"/>
          <w:lang w:val="en-US" w:bidi="ar-DZ"/>
        </w:rPr>
        <w:t>, 2022)</w:t>
      </w:r>
      <w:r w:rsidRPr="005B0947">
        <w:rPr>
          <w:rFonts w:ascii="Simplified Arabic" w:hAnsi="Simplified Arabic" w:cs="Simplified Arabic" w:hint="cs"/>
          <w:color w:val="000000" w:themeColor="text1"/>
          <w:sz w:val="24"/>
          <w:szCs w:val="24"/>
          <w:rtl/>
          <w:lang w:bidi="ar-DZ"/>
        </w:rPr>
        <w:t xml:space="preserve"> ولكثافة عمق الطرق الشريانية </w:t>
      </w:r>
      <w:r w:rsidRPr="005B0947">
        <w:rPr>
          <w:rFonts w:asciiTheme="majorBidi" w:hAnsiTheme="majorBidi" w:cstheme="majorBidi"/>
          <w:color w:val="000000" w:themeColor="text1"/>
          <w:sz w:val="24"/>
          <w:szCs w:val="24"/>
          <w:rtl/>
          <w:lang w:bidi="ar-DZ"/>
        </w:rPr>
        <w:t>(</w:t>
      </w:r>
      <w:r w:rsidRPr="005B0947">
        <w:rPr>
          <w:rFonts w:asciiTheme="majorBidi" w:hAnsiTheme="majorBidi" w:cstheme="majorBidi"/>
          <w:color w:val="0D0D0D"/>
          <w:sz w:val="24"/>
          <w:szCs w:val="24"/>
          <w:lang w:val="en-US"/>
        </w:rPr>
        <w:t>Feliciotti, 2018</w:t>
      </w:r>
      <w:r w:rsidRPr="005B0947">
        <w:rPr>
          <w:rFonts w:asciiTheme="majorBidi" w:hAnsiTheme="majorBidi" w:cstheme="majorBidi"/>
          <w:color w:val="000000" w:themeColor="text1"/>
          <w:sz w:val="24"/>
          <w:szCs w:val="24"/>
          <w:rtl/>
          <w:lang w:bidi="ar-DZ"/>
        </w:rPr>
        <w:t>)</w:t>
      </w:r>
      <w:r w:rsidRPr="005B0947">
        <w:rPr>
          <w:rFonts w:ascii="Simplified Arabic" w:hAnsi="Simplified Arabic" w:cs="Simplified Arabic"/>
          <w:color w:val="000000" w:themeColor="text1"/>
          <w:sz w:val="24"/>
          <w:szCs w:val="24"/>
          <w:rtl/>
          <w:lang w:bidi="ar-DZ"/>
        </w:rPr>
        <w:t>.</w:t>
      </w:r>
      <w:r w:rsidRPr="005B0947">
        <w:rPr>
          <w:rFonts w:ascii="Simplified Arabic" w:hAnsi="Simplified Arabic" w:cs="Simplified Arabic" w:hint="cs"/>
          <w:color w:val="000000" w:themeColor="text1"/>
          <w:sz w:val="24"/>
          <w:szCs w:val="24"/>
          <w:rtl/>
          <w:lang w:bidi="ar-DZ"/>
        </w:rPr>
        <w:t xml:space="preserve"> </w:t>
      </w:r>
      <w:r w:rsidR="00CC10F2">
        <w:rPr>
          <w:rFonts w:ascii="Simplified Arabic" w:hAnsi="Simplified Arabic" w:cs="Simplified Arabic" w:hint="cs"/>
          <w:color w:val="000000" w:themeColor="text1"/>
          <w:sz w:val="24"/>
          <w:szCs w:val="24"/>
          <w:rtl/>
          <w:lang w:bidi="ar-DZ"/>
        </w:rPr>
        <w:t>من خلال</w:t>
      </w:r>
      <w:r w:rsidRPr="005B0947">
        <w:rPr>
          <w:rFonts w:ascii="Simplified Arabic" w:hAnsi="Simplified Arabic" w:cs="Simplified Arabic" w:hint="cs"/>
          <w:color w:val="000000" w:themeColor="text1"/>
          <w:sz w:val="24"/>
          <w:szCs w:val="24"/>
          <w:rtl/>
          <w:lang w:bidi="ar-DZ"/>
        </w:rPr>
        <w:t xml:space="preserve"> مبدا </w:t>
      </w:r>
      <w:r w:rsidRPr="005B0947">
        <w:rPr>
          <w:rFonts w:ascii="Simplified Arabic" w:hAnsi="Simplified Arabic" w:cs="Simplified Arabic"/>
          <w:color w:val="000000" w:themeColor="text1"/>
          <w:sz w:val="24"/>
          <w:szCs w:val="24"/>
          <w:rtl/>
          <w:lang w:bidi="ar-DZ"/>
        </w:rPr>
        <w:t>إنشا</w:t>
      </w:r>
      <w:r w:rsidRPr="005B0947">
        <w:rPr>
          <w:rFonts w:ascii="Simplified Arabic" w:hAnsi="Simplified Arabic" w:cs="Simplified Arabic" w:hint="cs"/>
          <w:color w:val="000000" w:themeColor="text1"/>
          <w:sz w:val="24"/>
          <w:szCs w:val="24"/>
          <w:rtl/>
          <w:lang w:bidi="ar-DZ"/>
        </w:rPr>
        <w:t xml:space="preserve">ء </w:t>
      </w:r>
      <w:r w:rsidRPr="005B0947">
        <w:rPr>
          <w:rFonts w:ascii="Simplified Arabic" w:hAnsi="Simplified Arabic" w:cs="Simplified Arabic"/>
          <w:color w:val="000000" w:themeColor="text1"/>
          <w:sz w:val="24"/>
          <w:szCs w:val="24"/>
          <w:rtl/>
          <w:lang w:bidi="ar-DZ"/>
        </w:rPr>
        <w:t>المراكز</w:t>
      </w:r>
      <w:r w:rsidRPr="005B0947">
        <w:rPr>
          <w:rFonts w:ascii="Simplified Arabic" w:hAnsi="Simplified Arabic" w:cs="Simplified Arabic" w:hint="cs"/>
          <w:color w:val="000000" w:themeColor="text1"/>
          <w:sz w:val="24"/>
          <w:szCs w:val="24"/>
          <w:rtl/>
          <w:lang w:bidi="ar-DZ"/>
        </w:rPr>
        <w:t xml:space="preserve">، يفترض </w:t>
      </w:r>
      <w:r w:rsidRPr="005B0947">
        <w:rPr>
          <w:rFonts w:ascii="Simplified Arabic" w:hAnsi="Simplified Arabic" w:cs="Simplified Arabic"/>
          <w:color w:val="000000" w:themeColor="text1"/>
          <w:sz w:val="24"/>
          <w:szCs w:val="24"/>
          <w:rtl/>
          <w:lang w:bidi="ar-DZ"/>
        </w:rPr>
        <w:t>أن</w:t>
      </w:r>
      <w:r w:rsidRPr="005B0947">
        <w:rPr>
          <w:rFonts w:ascii="Simplified Arabic" w:hAnsi="Simplified Arabic" w:cs="Simplified Arabic" w:hint="cs"/>
          <w:color w:val="000000" w:themeColor="text1"/>
          <w:sz w:val="24"/>
          <w:szCs w:val="24"/>
          <w:rtl/>
          <w:lang w:bidi="ar-DZ"/>
        </w:rPr>
        <w:t xml:space="preserve"> زيارة المرافق ي</w:t>
      </w:r>
      <w:r w:rsidRPr="005B0947">
        <w:rPr>
          <w:rFonts w:ascii="Simplified Arabic" w:hAnsi="Simplified Arabic" w:cs="Simplified Arabic"/>
          <w:color w:val="000000" w:themeColor="text1"/>
          <w:sz w:val="24"/>
          <w:szCs w:val="24"/>
          <w:rtl/>
          <w:lang w:bidi="ar-DZ"/>
        </w:rPr>
        <w:t>تطلب</w:t>
      </w:r>
      <w:r w:rsidRPr="005B0947">
        <w:rPr>
          <w:rFonts w:ascii="Simplified Arabic" w:hAnsi="Simplified Arabic" w:cs="Simplified Arabic" w:hint="cs"/>
          <w:color w:val="000000" w:themeColor="text1"/>
          <w:sz w:val="24"/>
          <w:szCs w:val="24"/>
          <w:rtl/>
          <w:lang w:bidi="ar-DZ"/>
        </w:rPr>
        <w:t xml:space="preserve"> </w:t>
      </w:r>
      <w:r w:rsidRPr="005B0947">
        <w:rPr>
          <w:rFonts w:ascii="Simplified Arabic" w:hAnsi="Simplified Arabic" w:cs="Simplified Arabic"/>
          <w:color w:val="000000" w:themeColor="text1"/>
          <w:sz w:val="24"/>
          <w:szCs w:val="24"/>
          <w:rtl/>
          <w:lang w:bidi="ar-DZ"/>
        </w:rPr>
        <w:t>زم</w:t>
      </w:r>
      <w:r w:rsidRPr="005B0947">
        <w:rPr>
          <w:rFonts w:ascii="Simplified Arabic" w:hAnsi="Simplified Arabic" w:cs="Simplified Arabic" w:hint="cs"/>
          <w:color w:val="000000" w:themeColor="text1"/>
          <w:sz w:val="24"/>
          <w:szCs w:val="24"/>
          <w:rtl/>
          <w:lang w:bidi="ar-DZ"/>
        </w:rPr>
        <w:t xml:space="preserve">نًا </w:t>
      </w:r>
      <w:r w:rsidRPr="005B0947">
        <w:rPr>
          <w:rFonts w:ascii="Simplified Arabic" w:hAnsi="Simplified Arabic" w:cs="Simplified Arabic"/>
          <w:color w:val="000000" w:themeColor="text1"/>
          <w:sz w:val="24"/>
          <w:szCs w:val="24"/>
          <w:rtl/>
          <w:lang w:bidi="ar-DZ"/>
        </w:rPr>
        <w:t>للتنقل</w:t>
      </w:r>
      <w:r w:rsidRPr="005B0947">
        <w:rPr>
          <w:rFonts w:ascii="Simplified Arabic" w:hAnsi="Simplified Arabic" w:cs="Simplified Arabic" w:hint="cs"/>
          <w:color w:val="000000" w:themeColor="text1"/>
          <w:sz w:val="24"/>
          <w:szCs w:val="24"/>
          <w:rtl/>
          <w:lang w:bidi="ar-DZ"/>
        </w:rPr>
        <w:t xml:space="preserve"> </w:t>
      </w:r>
      <w:r w:rsidRPr="005B0947">
        <w:rPr>
          <w:rFonts w:ascii="Simplified Arabic" w:hAnsi="Simplified Arabic" w:cs="Simplified Arabic"/>
          <w:color w:val="000000" w:themeColor="text1"/>
          <w:sz w:val="24"/>
          <w:szCs w:val="24"/>
          <w:rtl/>
          <w:lang w:bidi="ar-DZ"/>
        </w:rPr>
        <w:t>مشيا</w:t>
      </w:r>
      <w:r w:rsidRPr="005B0947">
        <w:rPr>
          <w:rFonts w:ascii="Simplified Arabic" w:hAnsi="Simplified Arabic" w:cs="Simplified Arabic" w:hint="cs"/>
          <w:color w:val="000000" w:themeColor="text1"/>
          <w:sz w:val="24"/>
          <w:szCs w:val="24"/>
          <w:rtl/>
          <w:lang w:bidi="ar-DZ"/>
        </w:rPr>
        <w:t xml:space="preserve"> </w:t>
      </w:r>
      <w:r w:rsidRPr="005B0947">
        <w:rPr>
          <w:rFonts w:ascii="Simplified Arabic" w:hAnsi="Simplified Arabic" w:cs="Simplified Arabic"/>
          <w:color w:val="000000" w:themeColor="text1"/>
          <w:sz w:val="24"/>
          <w:szCs w:val="24"/>
          <w:rtl/>
          <w:lang w:bidi="ar-DZ"/>
        </w:rPr>
        <w:t>ما</w:t>
      </w:r>
      <w:r w:rsidRPr="005B0947">
        <w:rPr>
          <w:rFonts w:ascii="Simplified Arabic" w:hAnsi="Simplified Arabic" w:cs="Simplified Arabic" w:hint="cs"/>
          <w:color w:val="000000" w:themeColor="text1"/>
          <w:sz w:val="24"/>
          <w:szCs w:val="24"/>
          <w:rtl/>
          <w:lang w:bidi="ar-DZ"/>
        </w:rPr>
        <w:t xml:space="preserve"> </w:t>
      </w:r>
      <w:r w:rsidRPr="005B0947">
        <w:rPr>
          <w:rFonts w:ascii="Simplified Arabic" w:hAnsi="Simplified Arabic" w:cs="Simplified Arabic"/>
          <w:color w:val="000000" w:themeColor="text1"/>
          <w:sz w:val="24"/>
          <w:szCs w:val="24"/>
          <w:rtl/>
          <w:lang w:bidi="ar-DZ"/>
        </w:rPr>
        <w:t>بين</w:t>
      </w:r>
      <w:r w:rsidRPr="005B0947">
        <w:rPr>
          <w:rFonts w:ascii="Simplified Arabic" w:hAnsi="Simplified Arabic" w:cs="Simplified Arabic" w:hint="cs"/>
          <w:color w:val="000000" w:themeColor="text1"/>
          <w:sz w:val="24"/>
          <w:szCs w:val="24"/>
          <w:rtl/>
          <w:lang w:bidi="ar-DZ"/>
        </w:rPr>
        <w:t xml:space="preserve"> </w:t>
      </w:r>
      <w:r w:rsidRPr="005B0947">
        <w:rPr>
          <w:rFonts w:ascii="Simplified Arabic" w:hAnsi="Simplified Arabic" w:cs="Simplified Arabic"/>
          <w:color w:val="000000" w:themeColor="text1"/>
          <w:sz w:val="24"/>
          <w:szCs w:val="24"/>
          <w:rtl/>
          <w:lang w:bidi="ar-DZ"/>
        </w:rPr>
        <w:t>مكان</w:t>
      </w:r>
      <w:r w:rsidRPr="005B0947">
        <w:rPr>
          <w:rFonts w:ascii="Simplified Arabic" w:hAnsi="Simplified Arabic" w:cs="Simplified Arabic" w:hint="cs"/>
          <w:color w:val="000000" w:themeColor="text1"/>
          <w:sz w:val="24"/>
          <w:szCs w:val="24"/>
          <w:rtl/>
          <w:lang w:bidi="ar-DZ"/>
        </w:rPr>
        <w:t xml:space="preserve"> </w:t>
      </w:r>
      <w:r w:rsidRPr="005B0947">
        <w:rPr>
          <w:rFonts w:ascii="Simplified Arabic" w:hAnsi="Simplified Arabic" w:cs="Simplified Arabic"/>
          <w:color w:val="000000" w:themeColor="text1"/>
          <w:sz w:val="24"/>
          <w:szCs w:val="24"/>
          <w:rtl/>
          <w:lang w:bidi="ar-DZ"/>
        </w:rPr>
        <w:t>السكن</w:t>
      </w:r>
      <w:r w:rsidRPr="005B0947">
        <w:rPr>
          <w:rFonts w:ascii="Simplified Arabic" w:hAnsi="Simplified Arabic" w:cs="Simplified Arabic" w:hint="cs"/>
          <w:color w:val="000000" w:themeColor="text1"/>
          <w:sz w:val="24"/>
          <w:szCs w:val="24"/>
          <w:rtl/>
          <w:lang w:bidi="ar-DZ"/>
        </w:rPr>
        <w:t xml:space="preserve"> </w:t>
      </w:r>
      <w:r w:rsidRPr="005B0947">
        <w:rPr>
          <w:rFonts w:ascii="Simplified Arabic" w:hAnsi="Simplified Arabic" w:cs="Simplified Arabic"/>
          <w:color w:val="000000" w:themeColor="text1"/>
          <w:sz w:val="24"/>
          <w:szCs w:val="24"/>
          <w:rtl/>
          <w:lang w:bidi="ar-DZ"/>
        </w:rPr>
        <w:t>وال</w:t>
      </w:r>
      <w:r w:rsidRPr="005B0947">
        <w:rPr>
          <w:rFonts w:ascii="Simplified Arabic" w:hAnsi="Simplified Arabic" w:cs="Simplified Arabic" w:hint="cs"/>
          <w:color w:val="000000" w:themeColor="text1"/>
          <w:sz w:val="24"/>
          <w:szCs w:val="24"/>
          <w:rtl/>
          <w:lang w:bidi="ar-DZ"/>
        </w:rPr>
        <w:t xml:space="preserve">مرافق </w:t>
      </w:r>
      <w:r w:rsidRPr="005B0947">
        <w:rPr>
          <w:rFonts w:ascii="Simplified Arabic" w:hAnsi="Simplified Arabic" w:cs="Simplified Arabic"/>
          <w:color w:val="000000" w:themeColor="text1"/>
          <w:sz w:val="24"/>
          <w:szCs w:val="24"/>
          <w:rtl/>
          <w:lang w:bidi="ar-DZ"/>
        </w:rPr>
        <w:t>الحضرية</w:t>
      </w:r>
      <w:r w:rsidR="00CC10F2" w:rsidRPr="005B0947">
        <w:rPr>
          <w:rFonts w:ascii="Simplified Arabic" w:hAnsi="Simplified Arabic" w:cs="Simplified Arabic" w:hint="cs"/>
          <w:color w:val="000000" w:themeColor="text1"/>
          <w:sz w:val="24"/>
          <w:szCs w:val="24"/>
          <w:rtl/>
          <w:lang w:bidi="ar-DZ"/>
        </w:rPr>
        <w:t xml:space="preserve">، كما هو موضح في الجدول </w:t>
      </w:r>
      <w:r w:rsidR="00CC10F2" w:rsidRPr="005B0947">
        <w:rPr>
          <w:rFonts w:ascii="Simplified Arabic" w:eastAsia="Times New Roman" w:hAnsi="Simplified Arabic" w:cs="Simplified Arabic" w:hint="cs"/>
          <w:b/>
          <w:sz w:val="24"/>
          <w:szCs w:val="24"/>
          <w:rtl/>
          <w:lang w:val="en-US" w:eastAsia="fr-FR"/>
        </w:rPr>
        <w:t>(5-8)</w:t>
      </w:r>
      <w:r w:rsidRPr="005B0947">
        <w:rPr>
          <w:rFonts w:ascii="Simplified Arabic" w:hAnsi="Simplified Arabic" w:cs="Simplified Arabic" w:hint="cs"/>
          <w:color w:val="000000" w:themeColor="text1"/>
          <w:sz w:val="24"/>
          <w:szCs w:val="24"/>
          <w:rtl/>
          <w:lang w:bidi="ar-DZ"/>
        </w:rPr>
        <w:t xml:space="preserve">. </w:t>
      </w:r>
    </w:p>
    <w:p w:rsidR="00C121B0" w:rsidRDefault="00C121B0" w:rsidP="00F76D99">
      <w:pPr>
        <w:pStyle w:val="Tableau"/>
        <w:rPr>
          <w:rtl/>
          <w:lang w:bidi="ar-DZ"/>
        </w:rPr>
      </w:pPr>
      <w:bookmarkStart w:id="650" w:name="_Toc157612998"/>
      <w:bookmarkStart w:id="651" w:name="_Toc171803676"/>
      <w:r w:rsidRPr="00C92174">
        <w:rPr>
          <w:rFonts w:hint="cs"/>
          <w:rtl/>
          <w:lang w:bidi="ar-DZ"/>
        </w:rPr>
        <w:t xml:space="preserve">الجدول </w:t>
      </w:r>
      <w:r w:rsidR="00AF7197">
        <w:rPr>
          <w:rFonts w:eastAsia="Times New Roman" w:hint="cs"/>
          <w:rtl/>
          <w:lang w:val="en-US" w:eastAsia="fr-FR"/>
        </w:rPr>
        <w:t>(5-</w:t>
      </w:r>
      <w:r w:rsidR="00C05812">
        <w:rPr>
          <w:rFonts w:eastAsia="Times New Roman" w:hint="cs"/>
          <w:rtl/>
          <w:lang w:val="en-US" w:eastAsia="fr-FR"/>
        </w:rPr>
        <w:t>8</w:t>
      </w:r>
      <w:r w:rsidR="00AF7197">
        <w:rPr>
          <w:rFonts w:eastAsia="Times New Roman" w:hint="cs"/>
          <w:rtl/>
          <w:lang w:val="en-US" w:eastAsia="fr-FR"/>
        </w:rPr>
        <w:t>)</w:t>
      </w:r>
      <w:r w:rsidRPr="00C92174">
        <w:rPr>
          <w:rFonts w:hint="cs"/>
          <w:rtl/>
          <w:lang w:bidi="ar-DZ"/>
        </w:rPr>
        <w:t xml:space="preserve">: </w:t>
      </w:r>
      <w:r w:rsidRPr="00C92174">
        <w:rPr>
          <w:rtl/>
          <w:lang w:bidi="ar-DZ"/>
        </w:rPr>
        <w:t>المسافة</w:t>
      </w:r>
      <w:r w:rsidRPr="00C92174">
        <w:rPr>
          <w:rFonts w:hint="cs"/>
          <w:rtl/>
          <w:lang w:bidi="ar-DZ"/>
        </w:rPr>
        <w:t xml:space="preserve"> </w:t>
      </w:r>
      <w:r w:rsidRPr="00C92174">
        <w:rPr>
          <w:rtl/>
          <w:lang w:bidi="ar-DZ"/>
        </w:rPr>
        <w:t>المطلوب</w:t>
      </w:r>
      <w:r w:rsidRPr="00C92174">
        <w:rPr>
          <w:rFonts w:hint="cs"/>
          <w:rtl/>
          <w:lang w:bidi="ar-DZ"/>
        </w:rPr>
        <w:t xml:space="preserve"> </w:t>
      </w:r>
      <w:r w:rsidRPr="00C92174">
        <w:rPr>
          <w:rtl/>
          <w:lang w:bidi="ar-DZ"/>
        </w:rPr>
        <w:t>قطعها</w:t>
      </w:r>
      <w:r w:rsidRPr="00C92174">
        <w:rPr>
          <w:rFonts w:hint="cs"/>
          <w:rtl/>
          <w:lang w:bidi="ar-DZ"/>
        </w:rPr>
        <w:t xml:space="preserve"> </w:t>
      </w:r>
      <w:r w:rsidRPr="00C92174">
        <w:rPr>
          <w:rtl/>
          <w:lang w:bidi="ar-DZ"/>
        </w:rPr>
        <w:t>مش</w:t>
      </w:r>
      <w:r w:rsidRPr="00C92174">
        <w:rPr>
          <w:rFonts w:hint="cs"/>
          <w:rtl/>
          <w:lang w:bidi="ar-DZ"/>
        </w:rPr>
        <w:t xml:space="preserve">يًا </w:t>
      </w:r>
      <w:r w:rsidRPr="00C92174">
        <w:rPr>
          <w:rtl/>
          <w:lang w:bidi="ar-DZ"/>
        </w:rPr>
        <w:t>على</w:t>
      </w:r>
      <w:r w:rsidRPr="00C92174">
        <w:rPr>
          <w:rFonts w:hint="cs"/>
          <w:rtl/>
          <w:lang w:bidi="ar-DZ"/>
        </w:rPr>
        <w:t xml:space="preserve"> </w:t>
      </w:r>
      <w:r w:rsidRPr="00C92174">
        <w:rPr>
          <w:rtl/>
          <w:lang w:bidi="ar-DZ"/>
        </w:rPr>
        <w:t>الأقدام</w:t>
      </w:r>
      <w:r w:rsidRPr="00C92174">
        <w:rPr>
          <w:rFonts w:hint="cs"/>
          <w:rtl/>
          <w:lang w:bidi="ar-DZ"/>
        </w:rPr>
        <w:t xml:space="preserve"> </w:t>
      </w:r>
      <w:r w:rsidRPr="00C92174">
        <w:rPr>
          <w:rtl/>
          <w:lang w:bidi="ar-DZ"/>
        </w:rPr>
        <w:t>من</w:t>
      </w:r>
      <w:r w:rsidRPr="00C92174">
        <w:rPr>
          <w:rFonts w:hint="cs"/>
          <w:rtl/>
          <w:lang w:bidi="ar-DZ"/>
        </w:rPr>
        <w:t xml:space="preserve"> </w:t>
      </w:r>
      <w:r w:rsidRPr="00C92174">
        <w:rPr>
          <w:rtl/>
          <w:lang w:bidi="ar-DZ"/>
        </w:rPr>
        <w:t>أماكن</w:t>
      </w:r>
      <w:r w:rsidRPr="00C92174">
        <w:rPr>
          <w:rFonts w:hint="cs"/>
          <w:rtl/>
          <w:lang w:bidi="ar-DZ"/>
        </w:rPr>
        <w:t xml:space="preserve"> </w:t>
      </w:r>
      <w:r w:rsidRPr="00C92174">
        <w:rPr>
          <w:rtl/>
          <w:lang w:bidi="ar-DZ"/>
        </w:rPr>
        <w:t>السكن</w:t>
      </w:r>
      <w:r w:rsidRPr="00C92174">
        <w:rPr>
          <w:rFonts w:hint="cs"/>
          <w:rtl/>
          <w:lang w:bidi="ar-DZ"/>
        </w:rPr>
        <w:t xml:space="preserve"> </w:t>
      </w:r>
      <w:r w:rsidRPr="00C92174">
        <w:rPr>
          <w:rtl/>
          <w:lang w:bidi="ar-DZ"/>
        </w:rPr>
        <w:t>إلى</w:t>
      </w:r>
      <w:r w:rsidRPr="00C92174">
        <w:rPr>
          <w:rFonts w:hint="cs"/>
          <w:rtl/>
          <w:lang w:bidi="ar-DZ"/>
        </w:rPr>
        <w:t xml:space="preserve"> المرافق </w:t>
      </w:r>
      <w:r w:rsidR="00CC10F2">
        <w:rPr>
          <w:rFonts w:hint="cs"/>
          <w:rtl/>
          <w:lang w:bidi="ar-DZ"/>
        </w:rPr>
        <w:t>العامة</w:t>
      </w:r>
      <w:bookmarkEnd w:id="650"/>
      <w:bookmarkEnd w:id="651"/>
    </w:p>
    <w:p w:rsidR="00C121B0" w:rsidRPr="00010DE7" w:rsidRDefault="00C121B0" w:rsidP="009055D6">
      <w:pPr>
        <w:tabs>
          <w:tab w:val="right" w:pos="282"/>
        </w:tabs>
        <w:bidi/>
        <w:spacing w:after="0" w:line="240" w:lineRule="auto"/>
        <w:jc w:val="center"/>
        <w:rPr>
          <w:rFonts w:ascii="Simplified Arabic" w:hAnsi="Simplified Arabic" w:cs="Simplified Arabic"/>
          <w:b/>
          <w:bCs/>
          <w:color w:val="000000" w:themeColor="text1"/>
          <w:sz w:val="24"/>
          <w:szCs w:val="24"/>
          <w:lang w:val="en-US" w:bidi="ar-DZ"/>
        </w:rPr>
      </w:pPr>
      <w:r w:rsidRPr="00010DE7">
        <w:rPr>
          <w:rFonts w:ascii="Simplified Arabic" w:hAnsi="Simplified Arabic" w:cs="Simplified Arabic" w:hint="cs"/>
          <w:b/>
          <w:bCs/>
          <w:color w:val="000000" w:themeColor="text1"/>
          <w:sz w:val="24"/>
          <w:szCs w:val="24"/>
          <w:rtl/>
          <w:lang w:val="en-US" w:bidi="ar-DZ"/>
        </w:rPr>
        <w:t xml:space="preserve">المصدر: </w:t>
      </w:r>
      <w:r w:rsidRPr="00010DE7">
        <w:rPr>
          <w:rFonts w:asciiTheme="majorBidi" w:hAnsiTheme="majorBidi" w:cstheme="majorBidi"/>
          <w:b/>
          <w:bCs/>
          <w:color w:val="000000" w:themeColor="text1"/>
          <w:sz w:val="24"/>
          <w:szCs w:val="24"/>
          <w:rtl/>
          <w:lang w:val="en-US" w:bidi="ar-DZ"/>
        </w:rPr>
        <w:t>(</w:t>
      </w:r>
      <w:r w:rsidRPr="00010DE7">
        <w:rPr>
          <w:rFonts w:asciiTheme="majorBidi" w:hAnsiTheme="majorBidi" w:cstheme="majorBidi"/>
          <w:b/>
          <w:bCs/>
          <w:sz w:val="24"/>
          <w:szCs w:val="24"/>
          <w:lang w:val="en-US" w:bidi="ar-DZ"/>
        </w:rPr>
        <w:t>Condon,</w:t>
      </w:r>
      <w:r w:rsidRPr="00010DE7">
        <w:rPr>
          <w:rFonts w:asciiTheme="majorBidi" w:hAnsiTheme="majorBidi" w:cstheme="majorBidi"/>
          <w:b/>
          <w:bCs/>
          <w:sz w:val="24"/>
          <w:szCs w:val="24"/>
          <w:lang w:bidi="ar-DZ"/>
        </w:rPr>
        <w:t xml:space="preserve"> 2003</w:t>
      </w:r>
      <w:r w:rsidRPr="00010DE7">
        <w:rPr>
          <w:rFonts w:asciiTheme="majorBidi" w:hAnsiTheme="majorBidi" w:cstheme="majorBidi"/>
          <w:b/>
          <w:bCs/>
          <w:color w:val="000000" w:themeColor="text1"/>
          <w:sz w:val="24"/>
          <w:szCs w:val="24"/>
          <w:rtl/>
          <w:lang w:val="en-US" w:bidi="ar-DZ"/>
        </w:rPr>
        <w:t>)</w:t>
      </w:r>
    </w:p>
    <w:tbl>
      <w:tblPr>
        <w:tblStyle w:val="Grilledutableau"/>
        <w:bidiVisual/>
        <w:tblW w:w="0" w:type="auto"/>
        <w:tblLayout w:type="fixed"/>
        <w:tblLook w:val="04A0" w:firstRow="1" w:lastRow="0" w:firstColumn="1" w:lastColumn="0" w:noHBand="0" w:noVBand="1"/>
      </w:tblPr>
      <w:tblGrid>
        <w:gridCol w:w="1949"/>
        <w:gridCol w:w="993"/>
        <w:gridCol w:w="1005"/>
        <w:gridCol w:w="979"/>
        <w:gridCol w:w="1985"/>
        <w:gridCol w:w="1559"/>
      </w:tblGrid>
      <w:tr w:rsidR="00C121B0" w:rsidTr="00794BA6">
        <w:tc>
          <w:tcPr>
            <w:tcW w:w="1949" w:type="dxa"/>
            <w:vAlign w:val="center"/>
          </w:tcPr>
          <w:p w:rsidR="00C121B0" w:rsidRPr="00B94003" w:rsidRDefault="00C121B0" w:rsidP="00794BA6">
            <w:pPr>
              <w:tabs>
                <w:tab w:val="right" w:pos="282"/>
              </w:tabs>
              <w:bidi/>
              <w:jc w:val="center"/>
              <w:rPr>
                <w:rFonts w:ascii="Simplified Arabic" w:hAnsi="Simplified Arabic" w:cs="Simplified Arabic"/>
                <w:color w:val="000000" w:themeColor="text1"/>
                <w:sz w:val="24"/>
                <w:szCs w:val="24"/>
                <w:rtl/>
                <w:lang w:val="en-US" w:bidi="ar-DZ"/>
              </w:rPr>
            </w:pPr>
          </w:p>
        </w:tc>
        <w:tc>
          <w:tcPr>
            <w:tcW w:w="6521" w:type="dxa"/>
            <w:gridSpan w:val="5"/>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val="en-US" w:bidi="ar-DZ"/>
              </w:rPr>
              <w:t>المسافة من الوحدة السكنية بالمتر</w:t>
            </w:r>
          </w:p>
        </w:tc>
      </w:tr>
      <w:tr w:rsidR="00C121B0" w:rsidTr="00794BA6">
        <w:tc>
          <w:tcPr>
            <w:tcW w:w="1949" w:type="dxa"/>
            <w:vAlign w:val="center"/>
          </w:tcPr>
          <w:p w:rsidR="00C121B0" w:rsidRPr="00B94003" w:rsidRDefault="00C121B0" w:rsidP="00794BA6">
            <w:pPr>
              <w:tabs>
                <w:tab w:val="right" w:pos="282"/>
              </w:tabs>
              <w:bidi/>
              <w:jc w:val="center"/>
              <w:rPr>
                <w:rFonts w:ascii="Simplified Arabic" w:hAnsi="Simplified Arabic" w:cs="Simplified Arabic"/>
                <w:color w:val="000000" w:themeColor="text1"/>
                <w:sz w:val="24"/>
                <w:szCs w:val="24"/>
                <w:rtl/>
                <w:lang w:val="en-US" w:bidi="ar-DZ"/>
              </w:rPr>
            </w:pPr>
            <w:r>
              <w:rPr>
                <w:rFonts w:ascii="Simplified Arabic" w:hAnsi="Simplified Arabic" w:cs="Simplified Arabic" w:hint="cs"/>
                <w:color w:val="000000" w:themeColor="text1"/>
                <w:sz w:val="24"/>
                <w:szCs w:val="24"/>
                <w:rtl/>
                <w:lang w:val="en-US" w:bidi="ar-DZ"/>
              </w:rPr>
              <w:t>المرفق العمومي</w:t>
            </w:r>
          </w:p>
        </w:tc>
        <w:tc>
          <w:tcPr>
            <w:tcW w:w="993" w:type="dxa"/>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400م</w:t>
            </w:r>
          </w:p>
        </w:tc>
        <w:tc>
          <w:tcPr>
            <w:tcW w:w="1005" w:type="dxa"/>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800م</w:t>
            </w:r>
          </w:p>
        </w:tc>
        <w:tc>
          <w:tcPr>
            <w:tcW w:w="979" w:type="dxa"/>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Pr>
                <w:rFonts w:ascii="Simplified Arabic" w:hAnsi="Simplified Arabic" w:cs="Simplified Arabic"/>
                <w:color w:val="000000" w:themeColor="text1"/>
                <w:sz w:val="24"/>
                <w:szCs w:val="24"/>
                <w:lang w:bidi="ar-DZ"/>
              </w:rPr>
              <w:t>1,200</w:t>
            </w:r>
            <w:r>
              <w:rPr>
                <w:rFonts w:ascii="Simplified Arabic" w:hAnsi="Simplified Arabic" w:cs="Simplified Arabic" w:hint="cs"/>
                <w:color w:val="000000" w:themeColor="text1"/>
                <w:sz w:val="24"/>
                <w:szCs w:val="24"/>
                <w:rtl/>
                <w:lang w:bidi="ar-DZ"/>
              </w:rPr>
              <w:t>م</w:t>
            </w:r>
          </w:p>
        </w:tc>
        <w:tc>
          <w:tcPr>
            <w:tcW w:w="1985" w:type="dxa"/>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Pr>
                <w:rFonts w:ascii="Simplified Arabic" w:hAnsi="Simplified Arabic" w:cs="Simplified Arabic"/>
                <w:color w:val="000000" w:themeColor="text1"/>
                <w:sz w:val="24"/>
                <w:szCs w:val="24"/>
                <w:lang w:bidi="ar-DZ"/>
              </w:rPr>
              <w:t>1,600</w:t>
            </w:r>
            <w:r>
              <w:rPr>
                <w:rFonts w:ascii="Simplified Arabic" w:hAnsi="Simplified Arabic" w:cs="Simplified Arabic" w:hint="cs"/>
                <w:color w:val="000000" w:themeColor="text1"/>
                <w:sz w:val="24"/>
                <w:szCs w:val="24"/>
                <w:rtl/>
                <w:lang w:bidi="ar-DZ"/>
              </w:rPr>
              <w:t>م</w:t>
            </w:r>
          </w:p>
        </w:tc>
        <w:tc>
          <w:tcPr>
            <w:tcW w:w="1559" w:type="dxa"/>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 xml:space="preserve">اكثر من </w:t>
            </w:r>
            <w:r>
              <w:rPr>
                <w:rFonts w:ascii="Simplified Arabic" w:hAnsi="Simplified Arabic" w:cs="Simplified Arabic"/>
                <w:color w:val="000000" w:themeColor="text1"/>
                <w:sz w:val="24"/>
                <w:szCs w:val="24"/>
                <w:lang w:bidi="ar-DZ"/>
              </w:rPr>
              <w:t>1,600</w:t>
            </w:r>
            <w:r>
              <w:rPr>
                <w:rFonts w:ascii="Simplified Arabic" w:hAnsi="Simplified Arabic" w:cs="Simplified Arabic" w:hint="cs"/>
                <w:color w:val="000000" w:themeColor="text1"/>
                <w:sz w:val="24"/>
                <w:szCs w:val="24"/>
                <w:rtl/>
                <w:lang w:bidi="ar-DZ"/>
              </w:rPr>
              <w:t>م</w:t>
            </w:r>
          </w:p>
        </w:tc>
      </w:tr>
      <w:tr w:rsidR="00C121B0" w:rsidTr="00794BA6">
        <w:tc>
          <w:tcPr>
            <w:tcW w:w="1949" w:type="dxa"/>
            <w:vAlign w:val="center"/>
          </w:tcPr>
          <w:p w:rsidR="00C121B0" w:rsidRPr="00E50618" w:rsidRDefault="00C121B0" w:rsidP="00794BA6">
            <w:pPr>
              <w:autoSpaceDE w:val="0"/>
              <w:autoSpaceDN w:val="0"/>
              <w:bidi/>
              <w:adjustRightInd w:val="0"/>
              <w:jc w:val="center"/>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المرافق الصحية</w:t>
            </w:r>
          </w:p>
        </w:tc>
        <w:tc>
          <w:tcPr>
            <w:tcW w:w="993"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00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979"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98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559" w:type="dxa"/>
            <w:shd w:val="clear" w:color="auto" w:fill="DAEEF3" w:themeFill="accent5" w:themeFillTint="33"/>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sidRPr="005B298B">
              <w:rPr>
                <w:rFonts w:ascii="Simplified Arabic" w:hAnsi="Simplified Arabic" w:cs="Simplified Arabic"/>
                <w:color w:val="000000" w:themeColor="text1"/>
                <w:sz w:val="24"/>
                <w:szCs w:val="24"/>
                <w:lang w:bidi="ar-DZ"/>
              </w:rPr>
              <w:t>+</w:t>
            </w:r>
          </w:p>
        </w:tc>
      </w:tr>
      <w:tr w:rsidR="00C121B0" w:rsidTr="00794BA6">
        <w:tc>
          <w:tcPr>
            <w:tcW w:w="1949" w:type="dxa"/>
            <w:vAlign w:val="center"/>
          </w:tcPr>
          <w:p w:rsidR="00C121B0" w:rsidRPr="00E50618" w:rsidRDefault="00C121B0" w:rsidP="00794BA6">
            <w:pPr>
              <w:autoSpaceDE w:val="0"/>
              <w:autoSpaceDN w:val="0"/>
              <w:bidi/>
              <w:adjustRightInd w:val="0"/>
              <w:jc w:val="center"/>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مرافق الانقاذ</w:t>
            </w:r>
          </w:p>
        </w:tc>
        <w:tc>
          <w:tcPr>
            <w:tcW w:w="993"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00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979"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98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559" w:type="dxa"/>
            <w:shd w:val="clear" w:color="auto" w:fill="DAEEF3" w:themeFill="accent5" w:themeFillTint="33"/>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sidRPr="005B298B">
              <w:rPr>
                <w:rFonts w:ascii="Simplified Arabic" w:hAnsi="Simplified Arabic" w:cs="Simplified Arabic"/>
                <w:color w:val="000000" w:themeColor="text1"/>
                <w:sz w:val="24"/>
                <w:szCs w:val="24"/>
                <w:lang w:bidi="ar-DZ"/>
              </w:rPr>
              <w:t>+</w:t>
            </w:r>
          </w:p>
        </w:tc>
      </w:tr>
      <w:tr w:rsidR="00C121B0" w:rsidTr="00794BA6">
        <w:tc>
          <w:tcPr>
            <w:tcW w:w="1949" w:type="dxa"/>
            <w:vAlign w:val="center"/>
          </w:tcPr>
          <w:p w:rsidR="00C121B0" w:rsidRPr="00E50618" w:rsidRDefault="00C121B0" w:rsidP="00794BA6">
            <w:pPr>
              <w:autoSpaceDE w:val="0"/>
              <w:autoSpaceDN w:val="0"/>
              <w:bidi/>
              <w:adjustRightInd w:val="0"/>
              <w:jc w:val="center"/>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المرافق الامنية</w:t>
            </w:r>
          </w:p>
        </w:tc>
        <w:tc>
          <w:tcPr>
            <w:tcW w:w="993"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00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979"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98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559" w:type="dxa"/>
            <w:shd w:val="clear" w:color="auto" w:fill="DAEEF3" w:themeFill="accent5" w:themeFillTint="33"/>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sidRPr="005B298B">
              <w:rPr>
                <w:rFonts w:ascii="Simplified Arabic" w:hAnsi="Simplified Arabic" w:cs="Simplified Arabic"/>
                <w:color w:val="000000" w:themeColor="text1"/>
                <w:sz w:val="24"/>
                <w:szCs w:val="24"/>
                <w:lang w:bidi="ar-DZ"/>
              </w:rPr>
              <w:t>+</w:t>
            </w:r>
          </w:p>
        </w:tc>
      </w:tr>
      <w:tr w:rsidR="00C121B0" w:rsidTr="00794BA6">
        <w:tc>
          <w:tcPr>
            <w:tcW w:w="1949" w:type="dxa"/>
            <w:vAlign w:val="center"/>
          </w:tcPr>
          <w:p w:rsidR="00C121B0" w:rsidRPr="00E50618" w:rsidRDefault="00C121B0" w:rsidP="00794BA6">
            <w:pPr>
              <w:autoSpaceDE w:val="0"/>
              <w:autoSpaceDN w:val="0"/>
              <w:bidi/>
              <w:adjustRightInd w:val="0"/>
              <w:jc w:val="center"/>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المرافق</w:t>
            </w:r>
            <w:r>
              <w:rPr>
                <w:rFonts w:ascii="Simplified Arabic" w:eastAsia="Times New Roman" w:hAnsi="Simplified Arabic" w:cs="Simplified Arabic" w:hint="cs"/>
                <w:b/>
                <w:sz w:val="24"/>
                <w:szCs w:val="24"/>
                <w:rtl/>
                <w:lang w:val="en-US" w:eastAsia="fr-FR"/>
              </w:rPr>
              <w:t xml:space="preserve"> </w:t>
            </w:r>
            <w:r w:rsidRPr="00E50618">
              <w:rPr>
                <w:rFonts w:ascii="Simplified Arabic" w:eastAsia="Times New Roman" w:hAnsi="Simplified Arabic" w:cs="Simplified Arabic"/>
                <w:b/>
                <w:sz w:val="24"/>
                <w:szCs w:val="24"/>
                <w:rtl/>
                <w:lang w:val="en-US" w:eastAsia="fr-FR"/>
              </w:rPr>
              <w:t>الدينية/الثقافية</w:t>
            </w:r>
          </w:p>
        </w:tc>
        <w:tc>
          <w:tcPr>
            <w:tcW w:w="993"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00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979" w:type="dxa"/>
            <w:tcBorders>
              <w:bottom w:val="single" w:sz="4" w:space="0" w:color="auto"/>
            </w:tcBorders>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985" w:type="dxa"/>
            <w:tcBorders>
              <w:bottom w:val="single" w:sz="4" w:space="0" w:color="auto"/>
            </w:tcBorders>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559" w:type="dxa"/>
            <w:tcBorders>
              <w:bottom w:val="single" w:sz="4" w:space="0" w:color="auto"/>
            </w:tcBorders>
            <w:shd w:val="clear" w:color="auto" w:fill="DAEEF3" w:themeFill="accent5" w:themeFillTint="33"/>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r w:rsidRPr="005B298B">
              <w:rPr>
                <w:rFonts w:ascii="Simplified Arabic" w:hAnsi="Simplified Arabic" w:cs="Simplified Arabic"/>
                <w:color w:val="000000" w:themeColor="text1"/>
                <w:sz w:val="24"/>
                <w:szCs w:val="24"/>
                <w:lang w:bidi="ar-DZ"/>
              </w:rPr>
              <w:t>+</w:t>
            </w:r>
          </w:p>
        </w:tc>
      </w:tr>
      <w:tr w:rsidR="00C121B0" w:rsidTr="00794BA6">
        <w:tc>
          <w:tcPr>
            <w:tcW w:w="1949" w:type="dxa"/>
            <w:vAlign w:val="center"/>
          </w:tcPr>
          <w:p w:rsidR="00C121B0" w:rsidRPr="00E50618" w:rsidRDefault="00C121B0" w:rsidP="00794BA6">
            <w:pPr>
              <w:autoSpaceDE w:val="0"/>
              <w:autoSpaceDN w:val="0"/>
              <w:bidi/>
              <w:adjustRightInd w:val="0"/>
              <w:jc w:val="center"/>
              <w:rPr>
                <w:rFonts w:ascii="Simplified Arabic" w:eastAsia="Times New Roman" w:hAnsi="Simplified Arabic" w:cs="Simplified Arabic"/>
                <w:b/>
                <w:sz w:val="24"/>
                <w:szCs w:val="24"/>
                <w:rtl/>
                <w:lang w:val="en-US" w:eastAsia="fr-FR" w:bidi="ar-DZ"/>
              </w:rPr>
            </w:pPr>
            <w:r w:rsidRPr="00E50618">
              <w:rPr>
                <w:rFonts w:ascii="Simplified Arabic" w:eastAsia="Times New Roman" w:hAnsi="Simplified Arabic" w:cs="Simplified Arabic"/>
                <w:b/>
                <w:sz w:val="24"/>
                <w:szCs w:val="24"/>
                <w:rtl/>
                <w:lang w:val="en-US" w:eastAsia="fr-FR"/>
              </w:rPr>
              <w:t>مرافق التعليم</w:t>
            </w:r>
            <w:r>
              <w:rPr>
                <w:rFonts w:ascii="Simplified Arabic" w:eastAsia="Times New Roman" w:hAnsi="Simplified Arabic" w:cs="Simplified Arabic" w:hint="cs"/>
                <w:b/>
                <w:sz w:val="24"/>
                <w:szCs w:val="24"/>
                <w:rtl/>
                <w:lang w:val="en-US" w:eastAsia="fr-FR" w:bidi="ar-DZ"/>
              </w:rPr>
              <w:t xml:space="preserve"> الابتدائي</w:t>
            </w:r>
          </w:p>
        </w:tc>
        <w:tc>
          <w:tcPr>
            <w:tcW w:w="993"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1005"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lang w:bidi="ar-DZ"/>
              </w:rPr>
            </w:pPr>
            <w:r w:rsidRPr="005B298B">
              <w:rPr>
                <w:rFonts w:ascii="Simplified Arabic" w:hAnsi="Simplified Arabic" w:cs="Simplified Arabic"/>
                <w:color w:val="000000" w:themeColor="text1"/>
                <w:sz w:val="24"/>
                <w:szCs w:val="24"/>
                <w:lang w:bidi="ar-DZ"/>
              </w:rPr>
              <w:t>*</w:t>
            </w:r>
          </w:p>
        </w:tc>
        <w:tc>
          <w:tcPr>
            <w:tcW w:w="4523" w:type="dxa"/>
            <w:gridSpan w:val="3"/>
            <w:tcBorders>
              <w:tr2bl w:val="single" w:sz="4" w:space="0" w:color="auto"/>
            </w:tcBorders>
            <w:shd w:val="clear" w:color="auto" w:fill="auto"/>
            <w:vAlign w:val="center"/>
          </w:tcPr>
          <w:p w:rsidR="00C121B0" w:rsidRDefault="00C121B0" w:rsidP="00794BA6">
            <w:pPr>
              <w:tabs>
                <w:tab w:val="right" w:pos="282"/>
              </w:tabs>
              <w:bidi/>
              <w:jc w:val="center"/>
              <w:rPr>
                <w:rFonts w:ascii="Simplified Arabic" w:hAnsi="Simplified Arabic" w:cs="Simplified Arabic"/>
                <w:color w:val="000000" w:themeColor="text1"/>
                <w:sz w:val="24"/>
                <w:szCs w:val="24"/>
                <w:rtl/>
                <w:lang w:bidi="ar-DZ"/>
              </w:rPr>
            </w:pPr>
          </w:p>
        </w:tc>
      </w:tr>
      <w:tr w:rsidR="00C121B0" w:rsidTr="00794BA6">
        <w:tc>
          <w:tcPr>
            <w:tcW w:w="1949" w:type="dxa"/>
            <w:vMerge w:val="restart"/>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المفتاح</w:t>
            </w:r>
          </w:p>
        </w:tc>
        <w:tc>
          <w:tcPr>
            <w:tcW w:w="993" w:type="dxa"/>
            <w:shd w:val="clear" w:color="auto" w:fill="F2F2F2" w:themeFill="background1" w:themeFillShade="F2"/>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rtl/>
                <w:lang w:bidi="ar-DZ"/>
              </w:rPr>
            </w:pPr>
            <w:r w:rsidRPr="005B298B">
              <w:rPr>
                <w:rFonts w:ascii="Simplified Arabic" w:hAnsi="Simplified Arabic" w:cs="Simplified Arabic"/>
                <w:color w:val="000000" w:themeColor="text1"/>
                <w:sz w:val="24"/>
                <w:szCs w:val="24"/>
                <w:lang w:bidi="ar-DZ"/>
              </w:rPr>
              <w:t>*</w:t>
            </w:r>
          </w:p>
        </w:tc>
        <w:tc>
          <w:tcPr>
            <w:tcW w:w="5528" w:type="dxa"/>
            <w:gridSpan w:val="4"/>
            <w:vAlign w:val="center"/>
          </w:tcPr>
          <w:p w:rsidR="00C121B0" w:rsidRDefault="00C121B0" w:rsidP="00794BA6">
            <w:pPr>
              <w:tabs>
                <w:tab w:val="right" w:pos="282"/>
              </w:tabs>
              <w:bidi/>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المسافة المطلوبة لقطعها مشيًا</w:t>
            </w:r>
          </w:p>
        </w:tc>
      </w:tr>
      <w:tr w:rsidR="00C121B0" w:rsidTr="00794BA6">
        <w:tc>
          <w:tcPr>
            <w:tcW w:w="1949" w:type="dxa"/>
            <w:vMerge/>
            <w:shd w:val="clear" w:color="auto" w:fill="DAEEF3" w:themeFill="accent5" w:themeFillTint="33"/>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rtl/>
                <w:lang w:bidi="ar-DZ"/>
              </w:rPr>
            </w:pPr>
          </w:p>
        </w:tc>
        <w:tc>
          <w:tcPr>
            <w:tcW w:w="993" w:type="dxa"/>
            <w:shd w:val="clear" w:color="auto" w:fill="DAEEF3" w:themeFill="accent5" w:themeFillTint="33"/>
            <w:vAlign w:val="center"/>
          </w:tcPr>
          <w:p w:rsidR="00C121B0" w:rsidRPr="005B298B" w:rsidRDefault="00C121B0" w:rsidP="00794BA6">
            <w:pPr>
              <w:tabs>
                <w:tab w:val="right" w:pos="282"/>
              </w:tabs>
              <w:bidi/>
              <w:jc w:val="center"/>
              <w:rPr>
                <w:rFonts w:ascii="Simplified Arabic" w:hAnsi="Simplified Arabic" w:cs="Simplified Arabic"/>
                <w:color w:val="000000" w:themeColor="text1"/>
                <w:sz w:val="24"/>
                <w:szCs w:val="24"/>
                <w:rtl/>
                <w:lang w:bidi="ar-DZ"/>
              </w:rPr>
            </w:pPr>
            <w:r w:rsidRPr="005B298B">
              <w:rPr>
                <w:rFonts w:ascii="Simplified Arabic" w:hAnsi="Simplified Arabic" w:cs="Simplified Arabic"/>
                <w:color w:val="000000" w:themeColor="text1"/>
                <w:sz w:val="24"/>
                <w:szCs w:val="24"/>
                <w:lang w:bidi="ar-DZ"/>
              </w:rPr>
              <w:t>+</w:t>
            </w:r>
          </w:p>
        </w:tc>
        <w:tc>
          <w:tcPr>
            <w:tcW w:w="5528" w:type="dxa"/>
            <w:gridSpan w:val="4"/>
            <w:vAlign w:val="center"/>
          </w:tcPr>
          <w:p w:rsidR="00C121B0" w:rsidRDefault="00C121B0" w:rsidP="00794BA6">
            <w:pPr>
              <w:tabs>
                <w:tab w:val="right" w:pos="282"/>
              </w:tabs>
              <w:bidi/>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المسافة المطلوبة لقطعها بوسائل النقل</w:t>
            </w:r>
          </w:p>
        </w:tc>
      </w:tr>
    </w:tbl>
    <w:p w:rsidR="00C121B0" w:rsidRPr="00CA3BFE" w:rsidRDefault="00C121B0" w:rsidP="00A73815">
      <w:pPr>
        <w:pStyle w:val="Paragraphedeliste"/>
        <w:numPr>
          <w:ilvl w:val="2"/>
          <w:numId w:val="236"/>
        </w:numPr>
        <w:tabs>
          <w:tab w:val="right" w:pos="850"/>
        </w:tabs>
        <w:bidi/>
        <w:spacing w:before="240" w:after="0"/>
        <w:ind w:left="0" w:firstLine="0"/>
        <w:outlineLvl w:val="1"/>
        <w:rPr>
          <w:rFonts w:ascii="Simplified Arabic" w:hAnsi="Simplified Arabic" w:cs="Simplified Arabic"/>
          <w:b/>
          <w:bCs/>
          <w:sz w:val="24"/>
          <w:szCs w:val="24"/>
          <w:rtl/>
          <w:lang w:val="en-US"/>
        </w:rPr>
      </w:pPr>
      <w:bookmarkStart w:id="652" w:name="_Toc171803677"/>
      <w:r w:rsidRPr="00CA3BFE">
        <w:rPr>
          <w:rFonts w:ascii="Simplified Arabic" w:hAnsi="Simplified Arabic" w:cs="Simplified Arabic" w:hint="cs"/>
          <w:b/>
          <w:bCs/>
          <w:sz w:val="24"/>
          <w:szCs w:val="24"/>
          <w:rtl/>
          <w:lang w:val="en-US"/>
        </w:rPr>
        <w:lastRenderedPageBreak/>
        <w:t>تحديد</w:t>
      </w:r>
      <w:r w:rsidRPr="00CA3BFE">
        <w:rPr>
          <w:rFonts w:ascii="Simplified Arabic" w:hAnsi="Simplified Arabic" w:cs="Simplified Arabic"/>
          <w:b/>
          <w:bCs/>
          <w:sz w:val="24"/>
          <w:szCs w:val="24"/>
          <w:rtl/>
          <w:lang w:val="en-US"/>
        </w:rPr>
        <w:t xml:space="preserve"> </w:t>
      </w:r>
      <w:r w:rsidRPr="00CA3BFE">
        <w:rPr>
          <w:rFonts w:ascii="Simplified Arabic" w:hAnsi="Simplified Arabic" w:cs="Simplified Arabic" w:hint="cs"/>
          <w:b/>
          <w:bCs/>
          <w:sz w:val="24"/>
          <w:szCs w:val="24"/>
          <w:rtl/>
          <w:lang w:val="en-US"/>
        </w:rPr>
        <w:t>أولويات</w:t>
      </w:r>
      <w:r w:rsidRPr="00CA3BFE">
        <w:rPr>
          <w:rFonts w:ascii="Simplified Arabic" w:hAnsi="Simplified Arabic" w:cs="Simplified Arabic"/>
          <w:b/>
          <w:bCs/>
          <w:sz w:val="24"/>
          <w:szCs w:val="24"/>
          <w:rtl/>
          <w:lang w:val="en-US"/>
        </w:rPr>
        <w:t xml:space="preserve"> </w:t>
      </w:r>
      <w:r w:rsidRPr="00CA3BFE">
        <w:rPr>
          <w:rFonts w:ascii="Simplified Arabic" w:hAnsi="Simplified Arabic" w:cs="Simplified Arabic" w:hint="cs"/>
          <w:b/>
          <w:bCs/>
          <w:sz w:val="24"/>
          <w:szCs w:val="24"/>
          <w:rtl/>
          <w:lang w:val="en-US"/>
        </w:rPr>
        <w:t>المعايير (العوامل)</w:t>
      </w:r>
      <w:r w:rsidRPr="00CA3BFE">
        <w:rPr>
          <w:rFonts w:ascii="Simplified Arabic" w:hAnsi="Simplified Arabic" w:cs="Simplified Arabic"/>
          <w:b/>
          <w:bCs/>
          <w:sz w:val="24"/>
          <w:szCs w:val="24"/>
          <w:rtl/>
          <w:lang w:val="en-US"/>
        </w:rPr>
        <w:t xml:space="preserve"> </w:t>
      </w:r>
      <w:r w:rsidRPr="00CA3BFE">
        <w:rPr>
          <w:rFonts w:ascii="Simplified Arabic" w:hAnsi="Simplified Arabic" w:cs="Simplified Arabic" w:hint="cs"/>
          <w:b/>
          <w:bCs/>
          <w:sz w:val="24"/>
          <w:szCs w:val="24"/>
          <w:rtl/>
          <w:lang w:val="en-US"/>
        </w:rPr>
        <w:t>لتقييم</w:t>
      </w:r>
      <w:r w:rsidRPr="00CA3BFE">
        <w:rPr>
          <w:rFonts w:ascii="Simplified Arabic" w:hAnsi="Simplified Arabic" w:cs="Simplified Arabic"/>
          <w:b/>
          <w:bCs/>
          <w:sz w:val="24"/>
          <w:szCs w:val="24"/>
          <w:rtl/>
          <w:lang w:val="en-US"/>
        </w:rPr>
        <w:t xml:space="preserve"> </w:t>
      </w:r>
      <w:r w:rsidRPr="00CA3BFE">
        <w:rPr>
          <w:rFonts w:ascii="Simplified Arabic" w:hAnsi="Simplified Arabic" w:cs="Simplified Arabic" w:hint="cs"/>
          <w:b/>
          <w:bCs/>
          <w:sz w:val="24"/>
          <w:szCs w:val="24"/>
          <w:rtl/>
          <w:lang w:val="en-US"/>
        </w:rPr>
        <w:t>المرونة</w:t>
      </w:r>
      <w:r w:rsidRPr="00CA3BFE">
        <w:rPr>
          <w:rFonts w:ascii="Simplified Arabic" w:hAnsi="Simplified Arabic" w:cs="Simplified Arabic"/>
          <w:b/>
          <w:bCs/>
          <w:sz w:val="24"/>
          <w:szCs w:val="24"/>
          <w:rtl/>
          <w:lang w:val="en-US"/>
        </w:rPr>
        <w:t xml:space="preserve"> </w:t>
      </w:r>
      <w:r w:rsidRPr="00CA3BFE">
        <w:rPr>
          <w:rFonts w:ascii="Simplified Arabic" w:hAnsi="Simplified Arabic" w:cs="Simplified Arabic" w:hint="cs"/>
          <w:b/>
          <w:bCs/>
          <w:sz w:val="24"/>
          <w:szCs w:val="24"/>
          <w:rtl/>
          <w:lang w:val="en-US"/>
        </w:rPr>
        <w:t>الحضرية</w:t>
      </w:r>
      <w:bookmarkEnd w:id="652"/>
    </w:p>
    <w:p w:rsidR="00C121B0" w:rsidRPr="00DF549D" w:rsidRDefault="00C121B0" w:rsidP="00C121B0">
      <w:pPr>
        <w:bidi/>
        <w:spacing w:after="0"/>
        <w:jc w:val="both"/>
        <w:rPr>
          <w:rFonts w:ascii="Simplified Arabic" w:hAnsi="Simplified Arabic" w:cs="Simplified Arabic"/>
          <w:color w:val="000000" w:themeColor="text1"/>
          <w:sz w:val="24"/>
          <w:szCs w:val="24"/>
          <w:lang w:bidi="ar-DZ"/>
        </w:rPr>
      </w:pPr>
      <w:r w:rsidRPr="00DF549D">
        <w:rPr>
          <w:rFonts w:ascii="Simplified Arabic" w:hAnsi="Simplified Arabic" w:cs="Simplified Arabic" w:hint="cs"/>
          <w:color w:val="000000" w:themeColor="text1"/>
          <w:sz w:val="24"/>
          <w:szCs w:val="24"/>
          <w:rtl/>
          <w:lang w:bidi="ar-DZ"/>
        </w:rPr>
        <w:t>تم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استخدام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برنامج</w:t>
      </w:r>
      <w:r w:rsidRPr="000843C3">
        <w:rPr>
          <w:rFonts w:asciiTheme="minorBidi" w:hAnsiTheme="minorBidi" w:cs="Arial"/>
          <w:sz w:val="24"/>
          <w:szCs w:val="24"/>
          <w:rtl/>
          <w:lang w:val="en-US"/>
        </w:rPr>
        <w:t xml:space="preserve"> </w:t>
      </w:r>
      <w:r w:rsidRPr="000843C3">
        <w:rPr>
          <w:rFonts w:asciiTheme="majorBidi" w:hAnsiTheme="majorBidi" w:cstheme="majorBidi"/>
          <w:sz w:val="24"/>
          <w:szCs w:val="24"/>
          <w:lang w:val="en-US"/>
        </w:rPr>
        <w:t>AHP</w:t>
      </w:r>
      <w:r w:rsidRPr="000843C3">
        <w:rPr>
          <w:rFonts w:asciiTheme="minorBidi" w:hAnsiTheme="minorBidi" w:cs="Arial"/>
          <w:sz w:val="24"/>
          <w:szCs w:val="24"/>
          <w:rtl/>
          <w:lang w:val="en-US"/>
        </w:rPr>
        <w:t xml:space="preserve"> </w:t>
      </w:r>
      <w:r w:rsidRPr="00DF549D">
        <w:rPr>
          <w:rFonts w:ascii="Simplified Arabic" w:hAnsi="Simplified Arabic" w:cs="Simplified Arabic" w:hint="cs"/>
          <w:color w:val="000000" w:themeColor="text1"/>
          <w:sz w:val="24"/>
          <w:szCs w:val="24"/>
          <w:rtl/>
          <w:lang w:bidi="ar-DZ"/>
        </w:rPr>
        <w:t>لتحقيق</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ذلك</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لأنه</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يعتبر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أكثر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العمليات</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ملاءمة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للاستخدام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يتضمن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برنامج</w:t>
      </w:r>
      <w:r w:rsidRPr="000843C3">
        <w:rPr>
          <w:rFonts w:asciiTheme="minorBidi" w:hAnsiTheme="minorBidi" w:cs="Arial"/>
          <w:sz w:val="24"/>
          <w:szCs w:val="24"/>
          <w:rtl/>
          <w:lang w:val="en-US"/>
        </w:rPr>
        <w:t xml:space="preserve"> </w:t>
      </w:r>
      <w:r w:rsidRPr="000843C3">
        <w:rPr>
          <w:rFonts w:asciiTheme="majorBidi" w:hAnsiTheme="majorBidi" w:cstheme="majorBidi"/>
          <w:sz w:val="24"/>
          <w:szCs w:val="24"/>
          <w:lang w:val="en-US"/>
        </w:rPr>
        <w:t>AHP</w:t>
      </w:r>
      <w:r w:rsidRPr="000843C3">
        <w:rPr>
          <w:rFonts w:asciiTheme="minorBidi" w:hAnsiTheme="minorBidi" w:cs="Arial"/>
          <w:sz w:val="24"/>
          <w:szCs w:val="24"/>
          <w:rtl/>
          <w:lang w:val="en-US"/>
        </w:rPr>
        <w:t xml:space="preserve"> </w:t>
      </w:r>
      <w:r w:rsidRPr="00DF549D">
        <w:rPr>
          <w:rFonts w:ascii="Simplified Arabic" w:hAnsi="Simplified Arabic" w:cs="Simplified Arabic" w:hint="cs"/>
          <w:color w:val="000000" w:themeColor="text1"/>
          <w:sz w:val="24"/>
          <w:szCs w:val="24"/>
          <w:rtl/>
          <w:lang w:bidi="ar-DZ"/>
        </w:rPr>
        <w:t>استشارة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متابعة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مع</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عدد</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المهنيين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والخبراء</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المطلعين،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الذين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لديهم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خبرة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محلية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في</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هذا</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المجال،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الأوساط</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الأكاديمية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والحكومية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والصناعية</w:t>
      </w:r>
      <w:r w:rsidRPr="00DF549D">
        <w:rPr>
          <w:rFonts w:ascii="Simplified Arabic" w:hAnsi="Simplified Arabic" w:cs="Simplified Arabic"/>
          <w:color w:val="000000" w:themeColor="text1"/>
          <w:sz w:val="24"/>
          <w:szCs w:val="24"/>
          <w:rtl/>
          <w:lang w:bidi="ar-DZ"/>
        </w:rPr>
        <w:t>.</w:t>
      </w:r>
      <w:r w:rsidRPr="000843C3">
        <w:rPr>
          <w:rFonts w:asciiTheme="minorBidi" w:hAnsiTheme="minorBidi" w:cs="Arial"/>
          <w:sz w:val="24"/>
          <w:szCs w:val="24"/>
          <w:rtl/>
          <w:lang w:val="en-US"/>
        </w:rPr>
        <w:t xml:space="preserve"> </w:t>
      </w:r>
      <w:r w:rsidRPr="00DF549D">
        <w:rPr>
          <w:rFonts w:ascii="Simplified Arabic" w:hAnsi="Simplified Arabic" w:cs="Simplified Arabic" w:hint="cs"/>
          <w:color w:val="000000" w:themeColor="text1"/>
          <w:sz w:val="24"/>
          <w:szCs w:val="24"/>
          <w:rtl/>
          <w:lang w:bidi="ar-DZ"/>
        </w:rPr>
        <w:t>يتضمن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نظام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الترجيح</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وزن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كل</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معيار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w:t>
      </w:r>
      <w:r>
        <w:rPr>
          <w:rFonts w:ascii="Simplified Arabic" w:hAnsi="Simplified Arabic" w:cs="Simplified Arabic" w:hint="cs"/>
          <w:color w:val="000000" w:themeColor="text1"/>
          <w:sz w:val="24"/>
          <w:szCs w:val="24"/>
          <w:rtl/>
          <w:lang w:bidi="ar-DZ"/>
        </w:rPr>
        <w:t>معيار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فرعي</w:t>
      </w:r>
      <w:r w:rsidRPr="00DF549D">
        <w:rPr>
          <w:rFonts w:ascii="Simplified Arabic" w:hAnsi="Simplified Arabic" w:cs="Simplified Arabic"/>
          <w:color w:val="000000" w:themeColor="text1"/>
          <w:sz w:val="24"/>
          <w:szCs w:val="24"/>
          <w:rtl/>
          <w:lang w:bidi="ar-DZ"/>
        </w:rPr>
        <w:t>.</w:t>
      </w:r>
    </w:p>
    <w:p w:rsidR="00C121B0" w:rsidRPr="001D5ADC" w:rsidRDefault="00C121B0" w:rsidP="00A73815">
      <w:pPr>
        <w:pStyle w:val="Paragraphedeliste"/>
        <w:numPr>
          <w:ilvl w:val="3"/>
          <w:numId w:val="158"/>
        </w:numPr>
        <w:tabs>
          <w:tab w:val="right" w:pos="992"/>
        </w:tabs>
        <w:bidi/>
        <w:spacing w:after="0"/>
        <w:ind w:left="0" w:firstLine="0"/>
        <w:outlineLvl w:val="2"/>
        <w:rPr>
          <w:rFonts w:ascii="Simplified Arabic" w:hAnsi="Simplified Arabic" w:cs="Simplified Arabic"/>
          <w:b/>
          <w:bCs/>
          <w:sz w:val="24"/>
          <w:szCs w:val="24"/>
          <w:lang w:val="en-US"/>
        </w:rPr>
      </w:pPr>
      <w:bookmarkStart w:id="653" w:name="_Toc171803678"/>
      <w:r w:rsidRPr="001D5ADC">
        <w:rPr>
          <w:rFonts w:ascii="Simplified Arabic" w:hAnsi="Simplified Arabic" w:cs="Simplified Arabic" w:hint="cs"/>
          <w:b/>
          <w:bCs/>
          <w:sz w:val="24"/>
          <w:szCs w:val="24"/>
          <w:rtl/>
          <w:lang w:val="en-US"/>
        </w:rPr>
        <w:t>تطوير</w:t>
      </w:r>
      <w:r w:rsidRPr="001D5ADC">
        <w:rPr>
          <w:rFonts w:ascii="Simplified Arabic" w:hAnsi="Simplified Arabic" w:cs="Simplified Arabic"/>
          <w:b/>
          <w:bCs/>
          <w:sz w:val="24"/>
          <w:szCs w:val="24"/>
          <w:rtl/>
          <w:lang w:val="en-US"/>
        </w:rPr>
        <w:t xml:space="preserve"> </w:t>
      </w:r>
      <w:r w:rsidRPr="001D5ADC">
        <w:rPr>
          <w:rFonts w:ascii="Simplified Arabic" w:hAnsi="Simplified Arabic" w:cs="Simplified Arabic" w:hint="cs"/>
          <w:b/>
          <w:bCs/>
          <w:sz w:val="24"/>
          <w:szCs w:val="24"/>
          <w:rtl/>
          <w:lang w:val="en-US"/>
        </w:rPr>
        <w:t>نظام</w:t>
      </w:r>
      <w:r w:rsidRPr="001D5ADC">
        <w:rPr>
          <w:rFonts w:ascii="Simplified Arabic" w:hAnsi="Simplified Arabic" w:cs="Simplified Arabic"/>
          <w:b/>
          <w:bCs/>
          <w:sz w:val="24"/>
          <w:szCs w:val="24"/>
          <w:rtl/>
          <w:lang w:val="en-US"/>
        </w:rPr>
        <w:t xml:space="preserve"> </w:t>
      </w:r>
      <w:r w:rsidRPr="001D5ADC">
        <w:rPr>
          <w:rFonts w:ascii="Simplified Arabic" w:hAnsi="Simplified Arabic" w:cs="Simplified Arabic" w:hint="cs"/>
          <w:b/>
          <w:bCs/>
          <w:sz w:val="24"/>
          <w:szCs w:val="24"/>
          <w:rtl/>
          <w:lang w:val="en-US"/>
        </w:rPr>
        <w:t>الترجيح</w:t>
      </w:r>
      <w:bookmarkEnd w:id="653"/>
    </w:p>
    <w:p w:rsidR="00C121B0" w:rsidRPr="00DF549D" w:rsidRDefault="00C121B0" w:rsidP="00140F39">
      <w:pPr>
        <w:tabs>
          <w:tab w:val="right" w:pos="282"/>
        </w:tabs>
        <w:bidi/>
        <w:spacing w:after="0"/>
        <w:ind w:firstLine="282"/>
        <w:jc w:val="both"/>
        <w:rPr>
          <w:rFonts w:ascii="Simplified Arabic" w:hAnsi="Simplified Arabic" w:cs="Simplified Arabic"/>
          <w:color w:val="000000" w:themeColor="text1"/>
          <w:sz w:val="24"/>
          <w:szCs w:val="24"/>
          <w:rtl/>
          <w:lang w:bidi="ar-DZ"/>
        </w:rPr>
      </w:pPr>
      <w:r w:rsidRPr="00DF549D">
        <w:rPr>
          <w:rFonts w:ascii="Simplified Arabic" w:hAnsi="Simplified Arabic" w:cs="Simplified Arabic" w:hint="cs"/>
          <w:color w:val="000000" w:themeColor="text1"/>
          <w:sz w:val="24"/>
          <w:szCs w:val="24"/>
          <w:rtl/>
          <w:lang w:bidi="ar-DZ"/>
        </w:rPr>
        <w:t>سيتم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تقييم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فئات</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المعايير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التي</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تشكل</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النموذج</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باستخدام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برنامج</w:t>
      </w:r>
      <w:r w:rsidRPr="00DF549D">
        <w:rPr>
          <w:rFonts w:ascii="Simplified Arabic" w:hAnsi="Simplified Arabic" w:cs="Simplified Arabic"/>
          <w:color w:val="000000" w:themeColor="text1"/>
          <w:sz w:val="24"/>
          <w:szCs w:val="24"/>
          <w:rtl/>
          <w:lang w:bidi="ar-DZ"/>
        </w:rPr>
        <w:t xml:space="preserve"> </w:t>
      </w:r>
      <w:r w:rsidRPr="000843C3">
        <w:rPr>
          <w:rFonts w:asciiTheme="majorBidi" w:hAnsiTheme="majorBidi" w:cstheme="majorBidi"/>
          <w:sz w:val="24"/>
          <w:szCs w:val="24"/>
          <w:lang w:val="en-US"/>
        </w:rPr>
        <w:t>AHP</w:t>
      </w:r>
      <w:r w:rsidRPr="00DF549D">
        <w:rPr>
          <w:rFonts w:ascii="Simplified Arabic" w:hAnsi="Simplified Arabic" w:cs="Simplified Arabic"/>
          <w:color w:val="000000" w:themeColor="text1"/>
          <w:sz w:val="24"/>
          <w:szCs w:val="24"/>
          <w:rtl/>
          <w:lang w:bidi="ar-DZ"/>
        </w:rPr>
        <w:t>.</w:t>
      </w:r>
      <w:r w:rsidRPr="000843C3">
        <w:rPr>
          <w:rFonts w:asciiTheme="minorBidi" w:hAnsiTheme="minorBidi" w:cs="Arial"/>
          <w:sz w:val="24"/>
          <w:szCs w:val="24"/>
          <w:rtl/>
          <w:lang w:val="en-US"/>
        </w:rPr>
        <w:t xml:space="preserve"> </w:t>
      </w:r>
      <w:r w:rsidRPr="00DF549D">
        <w:rPr>
          <w:rFonts w:ascii="Simplified Arabic" w:hAnsi="Simplified Arabic" w:cs="Simplified Arabic" w:hint="cs"/>
          <w:color w:val="000000" w:themeColor="text1"/>
          <w:sz w:val="24"/>
          <w:szCs w:val="24"/>
          <w:rtl/>
          <w:lang w:bidi="ar-DZ"/>
        </w:rPr>
        <w:t>تم</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منح</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قيمة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ترجيح</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لكل</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معيار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w:t>
      </w:r>
      <w:r>
        <w:rPr>
          <w:rFonts w:ascii="Simplified Arabic" w:hAnsi="Simplified Arabic" w:cs="Simplified Arabic" w:hint="cs"/>
          <w:color w:val="000000" w:themeColor="text1"/>
          <w:sz w:val="24"/>
          <w:szCs w:val="24"/>
          <w:rtl/>
          <w:lang w:bidi="ar-DZ"/>
        </w:rPr>
        <w:t>معيار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 xml:space="preserve">فرعي </w:t>
      </w:r>
      <w:r>
        <w:rPr>
          <w:rFonts w:ascii="Simplified Arabic" w:hAnsi="Simplified Arabic" w:cs="Simplified Arabic" w:hint="cs"/>
          <w:color w:val="000000" w:themeColor="text1"/>
          <w:sz w:val="24"/>
          <w:szCs w:val="24"/>
          <w:rtl/>
          <w:lang w:bidi="ar-DZ"/>
        </w:rPr>
        <w:t>بناء</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على</w:t>
      </w:r>
      <w:r w:rsidR="00794BA6">
        <w:rPr>
          <w:rFonts w:ascii="Simplified Arabic" w:hAnsi="Simplified Arabic" w:cs="Simplified Arabic" w:hint="cs"/>
          <w:color w:val="000000" w:themeColor="text1"/>
          <w:sz w:val="24"/>
          <w:szCs w:val="24"/>
          <w:rtl/>
          <w:lang w:bidi="ar-DZ"/>
        </w:rPr>
        <w:t xml:space="preserve"> طلب</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استشارة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متابعة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مع</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عدد</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الخبراء</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تم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استخدام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الوظيفة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التحليلية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لبرنامج</w:t>
      </w:r>
      <w:r w:rsidRPr="000843C3">
        <w:rPr>
          <w:rFonts w:asciiTheme="minorBidi" w:hAnsiTheme="minorBidi" w:cs="Arial"/>
          <w:sz w:val="24"/>
          <w:szCs w:val="24"/>
          <w:rtl/>
          <w:lang w:val="en-US"/>
        </w:rPr>
        <w:t xml:space="preserve"> </w:t>
      </w:r>
      <w:r w:rsidRPr="000843C3">
        <w:rPr>
          <w:rFonts w:asciiTheme="majorBidi" w:hAnsiTheme="majorBidi" w:cstheme="majorBidi"/>
          <w:sz w:val="24"/>
          <w:szCs w:val="24"/>
          <w:lang w:val="en-US"/>
        </w:rPr>
        <w:t>Excel</w:t>
      </w:r>
      <w:r w:rsidRPr="000843C3">
        <w:rPr>
          <w:rFonts w:asciiTheme="minorBidi" w:hAnsiTheme="minorBidi" w:cs="Arial"/>
          <w:sz w:val="24"/>
          <w:szCs w:val="24"/>
          <w:lang w:val="en-US"/>
        </w:rPr>
        <w:t xml:space="preserve"> </w:t>
      </w:r>
      <w:r w:rsidRPr="000843C3">
        <w:rPr>
          <w:rFonts w:asciiTheme="majorBidi" w:hAnsiTheme="majorBidi" w:cstheme="majorBidi"/>
          <w:sz w:val="24"/>
          <w:szCs w:val="24"/>
          <w:lang w:val="en-US"/>
        </w:rPr>
        <w:t>Microsoft</w:t>
      </w:r>
      <w:r w:rsidRPr="000843C3">
        <w:rPr>
          <w:rFonts w:asciiTheme="minorBidi" w:hAnsiTheme="minorBidi" w:cs="Arial"/>
          <w:sz w:val="24"/>
          <w:szCs w:val="24"/>
          <w:rtl/>
          <w:lang w:val="en-US"/>
        </w:rPr>
        <w:t xml:space="preserve"> </w:t>
      </w:r>
      <w:r w:rsidRPr="00DF549D">
        <w:rPr>
          <w:rFonts w:ascii="Simplified Arabic" w:hAnsi="Simplified Arabic" w:cs="Simplified Arabic" w:hint="cs"/>
          <w:color w:val="000000" w:themeColor="text1"/>
          <w:sz w:val="24"/>
          <w:szCs w:val="24"/>
          <w:rtl/>
          <w:lang w:bidi="ar-DZ"/>
        </w:rPr>
        <w:t>لتحليل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بيانات</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الإدخال،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مما</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يبسط</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تنفيذ</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عملية</w:t>
      </w:r>
      <w:r w:rsidRPr="00DF549D">
        <w:rPr>
          <w:rFonts w:ascii="Simplified Arabic" w:hAnsi="Simplified Arabic" w:cs="Simplified Arabic"/>
          <w:color w:val="000000" w:themeColor="text1"/>
          <w:sz w:val="24"/>
          <w:szCs w:val="24"/>
          <w:rtl/>
          <w:lang w:bidi="ar-DZ"/>
        </w:rPr>
        <w:t xml:space="preserve"> </w:t>
      </w:r>
      <w:r w:rsidRPr="000843C3">
        <w:rPr>
          <w:rFonts w:asciiTheme="majorBidi" w:hAnsiTheme="majorBidi" w:cstheme="majorBidi"/>
          <w:sz w:val="24"/>
          <w:szCs w:val="24"/>
          <w:lang w:val="en-US"/>
        </w:rPr>
        <w:t>AHP</w:t>
      </w:r>
      <w:r w:rsidRPr="00DF549D">
        <w:rPr>
          <w:rFonts w:ascii="Simplified Arabic" w:hAnsi="Simplified Arabic" w:cs="Simplified Arabic"/>
          <w:color w:val="000000" w:themeColor="text1"/>
          <w:sz w:val="24"/>
          <w:szCs w:val="24"/>
          <w:rtl/>
          <w:lang w:bidi="ar-DZ"/>
        </w:rPr>
        <w:t>.</w:t>
      </w:r>
      <w:r w:rsidRPr="000843C3">
        <w:rPr>
          <w:rFonts w:asciiTheme="minorBidi" w:hAnsiTheme="minorBidi" w:cs="Arial"/>
          <w:sz w:val="24"/>
          <w:szCs w:val="24"/>
          <w:rtl/>
          <w:lang w:val="en-US"/>
        </w:rPr>
        <w:t xml:space="preserve"> </w:t>
      </w:r>
      <w:r w:rsidRPr="00DF549D">
        <w:rPr>
          <w:rFonts w:ascii="Simplified Arabic" w:hAnsi="Simplified Arabic" w:cs="Simplified Arabic" w:hint="cs"/>
          <w:color w:val="000000" w:themeColor="text1"/>
          <w:sz w:val="24"/>
          <w:szCs w:val="24"/>
          <w:rtl/>
          <w:lang w:bidi="ar-DZ"/>
        </w:rPr>
        <w:t>تم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بناء</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نظام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الترجيح</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للنموذج المقترح</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على</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أساس</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ما</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يلي</w:t>
      </w:r>
      <w:r w:rsidRPr="00DF549D">
        <w:rPr>
          <w:rFonts w:ascii="Simplified Arabic" w:hAnsi="Simplified Arabic" w:cs="Simplified Arabic"/>
          <w:color w:val="000000" w:themeColor="text1"/>
          <w:sz w:val="24"/>
          <w:szCs w:val="24"/>
          <w:rtl/>
          <w:lang w:bidi="ar-DZ"/>
        </w:rPr>
        <w:t>:</w:t>
      </w:r>
    </w:p>
    <w:p w:rsidR="00C121B0" w:rsidRPr="001D5ADC" w:rsidRDefault="00C121B0" w:rsidP="00A73815">
      <w:pPr>
        <w:pStyle w:val="Paragraphedeliste"/>
        <w:numPr>
          <w:ilvl w:val="3"/>
          <w:numId w:val="159"/>
        </w:numPr>
        <w:tabs>
          <w:tab w:val="right" w:pos="992"/>
        </w:tabs>
        <w:bidi/>
        <w:spacing w:after="0"/>
        <w:ind w:left="0" w:firstLine="0"/>
        <w:outlineLvl w:val="2"/>
        <w:rPr>
          <w:rFonts w:ascii="Simplified Arabic" w:hAnsi="Simplified Arabic" w:cs="Simplified Arabic"/>
          <w:b/>
          <w:bCs/>
          <w:sz w:val="24"/>
          <w:szCs w:val="24"/>
          <w:lang w:val="en-US"/>
        </w:rPr>
      </w:pPr>
      <w:bookmarkStart w:id="654" w:name="_Toc171803679"/>
      <w:r w:rsidRPr="001D5ADC">
        <w:rPr>
          <w:rFonts w:ascii="Simplified Arabic" w:hAnsi="Simplified Arabic" w:cs="Simplified Arabic" w:hint="cs"/>
          <w:b/>
          <w:bCs/>
          <w:sz w:val="24"/>
          <w:szCs w:val="24"/>
          <w:rtl/>
          <w:lang w:val="en-US"/>
        </w:rPr>
        <w:t>الهيكل</w:t>
      </w:r>
      <w:r w:rsidRPr="001D5ADC">
        <w:rPr>
          <w:rFonts w:ascii="Simplified Arabic" w:hAnsi="Simplified Arabic" w:cs="Simplified Arabic"/>
          <w:b/>
          <w:bCs/>
          <w:sz w:val="24"/>
          <w:szCs w:val="24"/>
          <w:rtl/>
          <w:lang w:val="en-US"/>
        </w:rPr>
        <w:t xml:space="preserve"> </w:t>
      </w:r>
      <w:r w:rsidRPr="001D5ADC">
        <w:rPr>
          <w:rFonts w:ascii="Simplified Arabic" w:hAnsi="Simplified Arabic" w:cs="Simplified Arabic" w:hint="cs"/>
          <w:b/>
          <w:bCs/>
          <w:sz w:val="24"/>
          <w:szCs w:val="24"/>
          <w:rtl/>
          <w:lang w:val="en-US"/>
        </w:rPr>
        <w:t>الهرمي</w:t>
      </w:r>
      <w:bookmarkEnd w:id="654"/>
    </w:p>
    <w:p w:rsidR="0007710C" w:rsidRDefault="00C121B0" w:rsidP="003D5A6A">
      <w:pPr>
        <w:bidi/>
        <w:spacing w:after="0"/>
        <w:ind w:firstLine="282"/>
        <w:jc w:val="both"/>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 xml:space="preserve">غالبا </w:t>
      </w:r>
      <w:r w:rsidRPr="00DF549D">
        <w:rPr>
          <w:rFonts w:ascii="Simplified Arabic" w:hAnsi="Simplified Arabic" w:cs="Simplified Arabic" w:hint="cs"/>
          <w:color w:val="000000" w:themeColor="text1"/>
          <w:sz w:val="24"/>
          <w:szCs w:val="24"/>
          <w:rtl/>
          <w:lang w:bidi="ar-DZ"/>
        </w:rPr>
        <w:t>ما</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يستخدم</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نموذج</w:t>
      </w:r>
      <w:r w:rsidRPr="000843C3">
        <w:rPr>
          <w:rFonts w:asciiTheme="minorBidi" w:hAnsiTheme="minorBidi" w:cs="Arial"/>
          <w:sz w:val="24"/>
          <w:szCs w:val="24"/>
          <w:rtl/>
          <w:lang w:val="en-US"/>
        </w:rPr>
        <w:t xml:space="preserve"> </w:t>
      </w:r>
      <w:r w:rsidRPr="000843C3">
        <w:rPr>
          <w:rFonts w:asciiTheme="majorBidi" w:hAnsiTheme="majorBidi" w:cstheme="majorBidi"/>
          <w:sz w:val="24"/>
          <w:szCs w:val="24"/>
          <w:lang w:val="en-US"/>
        </w:rPr>
        <w:t>AHP</w:t>
      </w:r>
      <w:r w:rsidRPr="000843C3">
        <w:rPr>
          <w:rFonts w:asciiTheme="minorBidi" w:hAnsiTheme="minorBidi" w:cs="Arial"/>
          <w:sz w:val="24"/>
          <w:szCs w:val="24"/>
          <w:rtl/>
          <w:lang w:val="en-US"/>
        </w:rPr>
        <w:t xml:space="preserve"> </w:t>
      </w:r>
      <w:r w:rsidRPr="00DF549D">
        <w:rPr>
          <w:rFonts w:ascii="Simplified Arabic" w:hAnsi="Simplified Arabic" w:cs="Simplified Arabic" w:hint="cs"/>
          <w:color w:val="000000" w:themeColor="text1"/>
          <w:sz w:val="24"/>
          <w:szCs w:val="24"/>
          <w:rtl/>
          <w:lang w:bidi="ar-DZ"/>
        </w:rPr>
        <w:t>لحل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المشكلات</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المعقدة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وتحويلها</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إلى</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عناصر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يمكن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إدارتها،</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تقسم</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على</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مستويات</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هرمية،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على</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سبيل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المثال،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الهدف</w:t>
      </w:r>
      <w:r>
        <w:rPr>
          <w:rFonts w:ascii="Simplified Arabic" w:hAnsi="Simplified Arabic" w:cs="Simplified Arabic" w:hint="cs"/>
          <w:color w:val="000000" w:themeColor="text1"/>
          <w:sz w:val="24"/>
          <w:szCs w:val="24"/>
          <w:rtl/>
          <w:lang w:bidi="ar-DZ"/>
        </w:rPr>
        <w:t>، المعايير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w:t>
      </w:r>
      <w:r>
        <w:rPr>
          <w:rFonts w:ascii="Simplified Arabic" w:hAnsi="Simplified Arabic" w:cs="Simplified Arabic" w:hint="cs"/>
          <w:color w:val="000000" w:themeColor="text1"/>
          <w:sz w:val="24"/>
          <w:szCs w:val="24"/>
          <w:rtl/>
          <w:lang w:bidi="ar-DZ"/>
        </w:rPr>
        <w:t>المعايير</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w:t>
      </w:r>
      <w:r w:rsidRPr="00DF549D">
        <w:rPr>
          <w:rFonts w:ascii="Simplified Arabic" w:hAnsi="Simplified Arabic" w:cs="Simplified Arabic" w:hint="cs"/>
          <w:color w:val="000000" w:themeColor="text1"/>
          <w:sz w:val="24"/>
          <w:szCs w:val="24"/>
          <w:rtl/>
          <w:lang w:bidi="ar-DZ"/>
        </w:rPr>
        <w:t>فرعي</w:t>
      </w:r>
      <w:r>
        <w:rPr>
          <w:rFonts w:ascii="Simplified Arabic" w:hAnsi="Simplified Arabic" w:cs="Simplified Arabic" w:hint="cs"/>
          <w:color w:val="000000" w:themeColor="text1"/>
          <w:sz w:val="24"/>
          <w:szCs w:val="24"/>
          <w:rtl/>
          <w:lang w:bidi="ar-DZ"/>
        </w:rPr>
        <w:t>ة</w:t>
      </w:r>
      <w:r w:rsidRPr="000843C3">
        <w:rPr>
          <w:rFonts w:asciiTheme="minorBidi" w:hAnsiTheme="minorBidi" w:cs="Arial"/>
          <w:sz w:val="24"/>
          <w:szCs w:val="24"/>
          <w:rtl/>
          <w:lang w:val="en-US"/>
        </w:rPr>
        <w:t xml:space="preserve"> (</w:t>
      </w:r>
      <w:r w:rsidRPr="005B0947">
        <w:rPr>
          <w:rFonts w:asciiTheme="majorBidi" w:hAnsiTheme="majorBidi" w:cstheme="majorBidi"/>
          <w:sz w:val="24"/>
          <w:szCs w:val="24"/>
          <w:lang w:val="en-US"/>
        </w:rPr>
        <w:t>Saaty</w:t>
      </w:r>
      <w:r>
        <w:rPr>
          <w:rFonts w:asciiTheme="majorBidi" w:hAnsiTheme="majorBidi" w:cstheme="majorBidi"/>
          <w:sz w:val="24"/>
          <w:szCs w:val="24"/>
        </w:rPr>
        <w:t>,</w:t>
      </w:r>
      <w:r w:rsidRPr="000843C3">
        <w:rPr>
          <w:rFonts w:asciiTheme="majorBidi" w:hAnsiTheme="majorBidi" w:cstheme="majorBidi"/>
          <w:sz w:val="24"/>
          <w:szCs w:val="24"/>
          <w:lang w:val="en-US"/>
        </w:rPr>
        <w:t xml:space="preserve"> 199</w:t>
      </w:r>
      <w:r>
        <w:rPr>
          <w:rFonts w:asciiTheme="majorBidi" w:hAnsiTheme="majorBidi" w:cstheme="majorBidi"/>
          <w:sz w:val="24"/>
          <w:szCs w:val="24"/>
          <w:lang w:val="en-US"/>
        </w:rPr>
        <w:t>4</w:t>
      </w:r>
      <w:r w:rsidRPr="000843C3">
        <w:rPr>
          <w:rFonts w:asciiTheme="minorBidi" w:hAnsiTheme="minorBidi" w:cs="Arial"/>
          <w:sz w:val="24"/>
          <w:szCs w:val="24"/>
          <w:rtl/>
          <w:lang w:val="en-US"/>
        </w:rPr>
        <w:t>)</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المستوى</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الأول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من</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نموذج</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التسلسل</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الهرمي</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هو</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الهدف</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هذه</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هي</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القضية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المركزية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التي</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تحدد</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نطاق</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الموضوع</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الذي</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يشمل</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المعايير</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و</w:t>
      </w:r>
      <w:r>
        <w:rPr>
          <w:rFonts w:ascii="Simplified Arabic" w:hAnsi="Simplified Arabic" w:cs="Simplified Arabic" w:hint="cs"/>
          <w:color w:val="000000" w:themeColor="text1"/>
          <w:sz w:val="24"/>
          <w:szCs w:val="24"/>
          <w:rtl/>
          <w:lang w:bidi="ar-DZ"/>
        </w:rPr>
        <w:t>المعايير</w:t>
      </w:r>
      <w:r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w:t>
      </w:r>
      <w:r w:rsidRPr="00DF549D">
        <w:rPr>
          <w:rFonts w:ascii="Simplified Arabic" w:hAnsi="Simplified Arabic" w:cs="Simplified Arabic" w:hint="cs"/>
          <w:color w:val="000000" w:themeColor="text1"/>
          <w:sz w:val="24"/>
          <w:szCs w:val="24"/>
          <w:rtl/>
          <w:lang w:bidi="ar-DZ"/>
        </w:rPr>
        <w:t>فرعي</w:t>
      </w:r>
      <w:r>
        <w:rPr>
          <w:rFonts w:ascii="Simplified Arabic" w:hAnsi="Simplified Arabic" w:cs="Simplified Arabic" w:hint="cs"/>
          <w:color w:val="000000" w:themeColor="text1"/>
          <w:sz w:val="24"/>
          <w:szCs w:val="24"/>
          <w:rtl/>
          <w:lang w:bidi="ar-DZ"/>
        </w:rPr>
        <w:t>ة</w:t>
      </w:r>
      <w:r w:rsidRPr="00DF549D">
        <w:rPr>
          <w:rFonts w:ascii="Simplified Arabic" w:hAnsi="Simplified Arabic" w:cs="Simplified Arabic" w:hint="cs"/>
          <w:color w:val="000000" w:themeColor="text1"/>
          <w:sz w:val="24"/>
          <w:szCs w:val="24"/>
          <w:rtl/>
          <w:lang w:bidi="ar-DZ"/>
        </w:rPr>
        <w:t>،</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كما</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هو</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موضح</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في</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الشكل</w:t>
      </w:r>
      <w:r w:rsidRPr="00DF549D">
        <w:rPr>
          <w:rFonts w:ascii="Simplified Arabic" w:hAnsi="Simplified Arabic" w:cs="Simplified Arabic"/>
          <w:color w:val="000000" w:themeColor="text1"/>
          <w:sz w:val="24"/>
          <w:szCs w:val="24"/>
          <w:rtl/>
          <w:lang w:bidi="ar-DZ"/>
        </w:rPr>
        <w:t xml:space="preserve"> </w:t>
      </w:r>
      <w:r w:rsidR="003D5A6A" w:rsidRPr="00DF549D">
        <w:rPr>
          <w:rFonts w:ascii="Simplified Arabic" w:hAnsi="Simplified Arabic" w:cs="Simplified Arabic" w:hint="cs"/>
          <w:color w:val="000000" w:themeColor="text1"/>
          <w:sz w:val="24"/>
          <w:szCs w:val="24"/>
          <w:rtl/>
          <w:lang w:bidi="ar-DZ"/>
        </w:rPr>
        <w:t>(</w:t>
      </w:r>
      <w:r w:rsidR="003D5A6A">
        <w:rPr>
          <w:rFonts w:ascii="Simplified Arabic" w:hAnsi="Simplified Arabic" w:cs="Simplified Arabic" w:hint="cs"/>
          <w:color w:val="000000" w:themeColor="text1"/>
          <w:sz w:val="24"/>
          <w:szCs w:val="24"/>
          <w:rtl/>
          <w:lang w:bidi="ar-DZ"/>
        </w:rPr>
        <w:t>5-5</w:t>
      </w:r>
      <w:r w:rsidR="003D5A6A" w:rsidRPr="00DF549D">
        <w:rPr>
          <w:rFonts w:ascii="Simplified Arabic" w:hAnsi="Simplified Arabic" w:cs="Simplified Arabic" w:hint="cs"/>
          <w:color w:val="000000" w:themeColor="text1"/>
          <w:sz w:val="24"/>
          <w:szCs w:val="24"/>
          <w:rtl/>
          <w:lang w:bidi="ar-DZ"/>
        </w:rPr>
        <w:t>)</w:t>
      </w:r>
      <w:r w:rsidRPr="00DF549D">
        <w:rPr>
          <w:rFonts w:ascii="Simplified Arabic" w:hAnsi="Simplified Arabic" w:cs="Simplified Arabic"/>
          <w:color w:val="000000" w:themeColor="text1"/>
          <w:sz w:val="24"/>
          <w:szCs w:val="24"/>
          <w:rtl/>
          <w:lang w:bidi="ar-DZ"/>
        </w:rPr>
        <w:t>.</w:t>
      </w:r>
      <w:r w:rsidR="008F7575">
        <w:rPr>
          <w:rFonts w:ascii="Simplified Arabic" w:hAnsi="Simplified Arabic" w:cs="Simplified Arabic" w:hint="cs"/>
          <w:color w:val="000000" w:themeColor="text1"/>
          <w:sz w:val="24"/>
          <w:szCs w:val="24"/>
          <w:rtl/>
          <w:lang w:bidi="ar-DZ"/>
        </w:rPr>
        <w:t xml:space="preserve"> </w:t>
      </w:r>
    </w:p>
    <w:p w:rsidR="00C121B0" w:rsidRDefault="008F7575" w:rsidP="0007710C">
      <w:pPr>
        <w:bidi/>
        <w:spacing w:after="0"/>
        <w:ind w:firstLine="282"/>
        <w:jc w:val="both"/>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سبعة</w:t>
      </w:r>
      <w:r w:rsidR="00C121B0" w:rsidRPr="00DF549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w:t>
      </w:r>
      <w:r w:rsidR="00C121B0">
        <w:rPr>
          <w:rFonts w:ascii="Simplified Arabic" w:hAnsi="Simplified Arabic" w:cs="Simplified Arabic" w:hint="cs"/>
          <w:color w:val="000000" w:themeColor="text1"/>
          <w:sz w:val="24"/>
          <w:szCs w:val="24"/>
          <w:rtl/>
          <w:lang w:bidi="ar-DZ"/>
        </w:rPr>
        <w:t>7</w:t>
      </w:r>
      <w:r>
        <w:rPr>
          <w:rFonts w:ascii="Simplified Arabic" w:hAnsi="Simplified Arabic" w:cs="Simplified Arabic" w:hint="cs"/>
          <w:color w:val="000000" w:themeColor="text1"/>
          <w:sz w:val="24"/>
          <w:szCs w:val="24"/>
          <w:rtl/>
          <w:lang w:bidi="ar-DZ"/>
        </w:rPr>
        <w:t>)</w:t>
      </w:r>
      <w:r w:rsidR="00C121B0" w:rsidRPr="00DF549D">
        <w:rPr>
          <w:rFonts w:ascii="Simplified Arabic" w:hAnsi="Simplified Arabic" w:cs="Simplified Arabic"/>
          <w:color w:val="000000" w:themeColor="text1"/>
          <w:sz w:val="24"/>
          <w:szCs w:val="24"/>
          <w:rtl/>
          <w:lang w:bidi="ar-DZ"/>
        </w:rPr>
        <w:t xml:space="preserve"> </w:t>
      </w:r>
      <w:r w:rsidR="00C121B0">
        <w:rPr>
          <w:rFonts w:ascii="Simplified Arabic" w:hAnsi="Simplified Arabic" w:cs="Simplified Arabic" w:hint="cs"/>
          <w:color w:val="000000" w:themeColor="text1"/>
          <w:sz w:val="24"/>
          <w:szCs w:val="24"/>
          <w:rtl/>
          <w:lang w:bidi="ar-DZ"/>
        </w:rPr>
        <w:t>معايير</w:t>
      </w:r>
      <w:r w:rsidR="00C121B0" w:rsidRPr="00DF549D">
        <w:rPr>
          <w:rFonts w:ascii="Simplified Arabic" w:hAnsi="Simplified Arabic" w:cs="Simplified Arabic"/>
          <w:color w:val="000000" w:themeColor="text1"/>
          <w:sz w:val="24"/>
          <w:szCs w:val="24"/>
          <w:rtl/>
          <w:lang w:bidi="ar-DZ"/>
        </w:rPr>
        <w:t xml:space="preserve"> </w:t>
      </w:r>
      <w:r w:rsidR="00C121B0">
        <w:rPr>
          <w:rFonts w:ascii="Simplified Arabic" w:hAnsi="Simplified Arabic" w:cs="Simplified Arabic" w:hint="cs"/>
          <w:color w:val="000000" w:themeColor="text1"/>
          <w:sz w:val="24"/>
          <w:szCs w:val="24"/>
          <w:rtl/>
          <w:lang w:bidi="ar-DZ"/>
        </w:rPr>
        <w:t>رئيسية</w:t>
      </w:r>
      <w:r w:rsidR="00C121B0" w:rsidRPr="00DF549D">
        <w:rPr>
          <w:rFonts w:ascii="Simplified Arabic" w:hAnsi="Simplified Arabic" w:cs="Simplified Arabic"/>
          <w:color w:val="000000" w:themeColor="text1"/>
          <w:sz w:val="24"/>
          <w:szCs w:val="24"/>
          <w:rtl/>
          <w:lang w:bidi="ar-DZ"/>
        </w:rPr>
        <w:t xml:space="preserve"> </w:t>
      </w:r>
      <w:r w:rsidR="00C121B0" w:rsidRPr="00DF549D">
        <w:rPr>
          <w:rFonts w:ascii="Simplified Arabic" w:hAnsi="Simplified Arabic" w:cs="Simplified Arabic" w:hint="cs"/>
          <w:color w:val="000000" w:themeColor="text1"/>
          <w:sz w:val="24"/>
          <w:szCs w:val="24"/>
          <w:rtl/>
          <w:lang w:bidi="ar-DZ"/>
        </w:rPr>
        <w:t>تمثل</w:t>
      </w:r>
      <w:r w:rsidR="00C121B0" w:rsidRPr="00DF549D">
        <w:rPr>
          <w:rFonts w:ascii="Simplified Arabic" w:hAnsi="Simplified Arabic" w:cs="Simplified Arabic"/>
          <w:color w:val="000000" w:themeColor="text1"/>
          <w:sz w:val="24"/>
          <w:szCs w:val="24"/>
          <w:rtl/>
          <w:lang w:bidi="ar-DZ"/>
        </w:rPr>
        <w:t xml:space="preserve"> </w:t>
      </w:r>
      <w:r w:rsidR="00C121B0">
        <w:rPr>
          <w:rFonts w:ascii="Simplified Arabic" w:hAnsi="Simplified Arabic" w:cs="Simplified Arabic" w:hint="cs"/>
          <w:color w:val="000000" w:themeColor="text1"/>
          <w:sz w:val="24"/>
          <w:szCs w:val="24"/>
          <w:rtl/>
          <w:lang w:bidi="ar-DZ"/>
        </w:rPr>
        <w:t>البعد الفيزيائي</w:t>
      </w:r>
      <w:r w:rsidR="00C121B0" w:rsidRPr="00DF549D">
        <w:rPr>
          <w:rFonts w:ascii="Simplified Arabic" w:hAnsi="Simplified Arabic" w:cs="Simplified Arabic"/>
          <w:color w:val="000000" w:themeColor="text1"/>
          <w:sz w:val="24"/>
          <w:szCs w:val="24"/>
          <w:rtl/>
          <w:lang w:bidi="ar-DZ"/>
        </w:rPr>
        <w:t xml:space="preserve"> </w:t>
      </w:r>
      <w:r w:rsidR="00C121B0">
        <w:rPr>
          <w:rFonts w:ascii="Simplified Arabic" w:hAnsi="Simplified Arabic" w:cs="Simplified Arabic" w:hint="cs"/>
          <w:color w:val="000000" w:themeColor="text1"/>
          <w:sz w:val="24"/>
          <w:szCs w:val="24"/>
          <w:rtl/>
          <w:lang w:bidi="ar-DZ"/>
        </w:rPr>
        <w:t>للمرونة</w:t>
      </w:r>
      <w:r w:rsidR="00C121B0" w:rsidRPr="00DF549D">
        <w:rPr>
          <w:rFonts w:ascii="Simplified Arabic" w:hAnsi="Simplified Arabic" w:cs="Simplified Arabic"/>
          <w:color w:val="000000" w:themeColor="text1"/>
          <w:sz w:val="24"/>
          <w:szCs w:val="24"/>
          <w:rtl/>
          <w:lang w:bidi="ar-DZ"/>
        </w:rPr>
        <w:t xml:space="preserve"> </w:t>
      </w:r>
      <w:r w:rsidR="00C121B0" w:rsidRPr="00DF549D">
        <w:rPr>
          <w:rFonts w:ascii="Simplified Arabic" w:hAnsi="Simplified Arabic" w:cs="Simplified Arabic" w:hint="cs"/>
          <w:color w:val="000000" w:themeColor="text1"/>
          <w:sz w:val="24"/>
          <w:szCs w:val="24"/>
          <w:rtl/>
          <w:lang w:bidi="ar-DZ"/>
        </w:rPr>
        <w:t>الحضرية</w:t>
      </w:r>
      <w:r w:rsidR="00C121B0">
        <w:rPr>
          <w:rFonts w:ascii="Simplified Arabic" w:hAnsi="Simplified Arabic" w:cs="Simplified Arabic" w:hint="cs"/>
          <w:color w:val="000000" w:themeColor="text1"/>
          <w:sz w:val="24"/>
          <w:szCs w:val="24"/>
          <w:rtl/>
          <w:lang w:bidi="ar-DZ"/>
        </w:rPr>
        <w:t xml:space="preserve">، </w:t>
      </w:r>
      <w:r w:rsidR="00C121B0" w:rsidRPr="00DF549D">
        <w:rPr>
          <w:rFonts w:ascii="Simplified Arabic" w:hAnsi="Simplified Arabic" w:cs="Simplified Arabic" w:hint="cs"/>
          <w:color w:val="000000" w:themeColor="text1"/>
          <w:sz w:val="24"/>
          <w:szCs w:val="24"/>
          <w:rtl/>
          <w:lang w:bidi="ar-DZ"/>
        </w:rPr>
        <w:t>التي</w:t>
      </w:r>
      <w:r w:rsidR="00C121B0" w:rsidRPr="00DF549D">
        <w:rPr>
          <w:rFonts w:ascii="Simplified Arabic" w:hAnsi="Simplified Arabic" w:cs="Simplified Arabic"/>
          <w:color w:val="000000" w:themeColor="text1"/>
          <w:sz w:val="24"/>
          <w:szCs w:val="24"/>
          <w:rtl/>
          <w:lang w:bidi="ar-DZ"/>
        </w:rPr>
        <w:t xml:space="preserve"> </w:t>
      </w:r>
      <w:r w:rsidR="00C121B0" w:rsidRPr="00DF549D">
        <w:rPr>
          <w:rFonts w:ascii="Simplified Arabic" w:hAnsi="Simplified Arabic" w:cs="Simplified Arabic" w:hint="cs"/>
          <w:color w:val="000000" w:themeColor="text1"/>
          <w:sz w:val="24"/>
          <w:szCs w:val="24"/>
          <w:rtl/>
          <w:lang w:bidi="ar-DZ"/>
        </w:rPr>
        <w:t>تضم</w:t>
      </w:r>
      <w:r w:rsidR="00C121B0" w:rsidRPr="00DF549D">
        <w:rPr>
          <w:rFonts w:ascii="Simplified Arabic" w:hAnsi="Simplified Arabic" w:cs="Simplified Arabic"/>
          <w:color w:val="000000" w:themeColor="text1"/>
          <w:sz w:val="24"/>
          <w:szCs w:val="24"/>
          <w:rtl/>
          <w:lang w:bidi="ar-DZ"/>
        </w:rPr>
        <w:t xml:space="preserve"> </w:t>
      </w:r>
      <w:r w:rsidR="00C121B0">
        <w:rPr>
          <w:rFonts w:ascii="Simplified Arabic" w:hAnsi="Simplified Arabic" w:cs="Simplified Arabic" w:hint="cs"/>
          <w:color w:val="000000" w:themeColor="text1"/>
          <w:sz w:val="24"/>
          <w:szCs w:val="24"/>
          <w:rtl/>
          <w:lang w:bidi="ar-DZ"/>
        </w:rPr>
        <w:t>3</w:t>
      </w:r>
      <w:r w:rsidR="00C121B0" w:rsidRPr="00DF549D">
        <w:rPr>
          <w:rFonts w:ascii="Simplified Arabic" w:hAnsi="Simplified Arabic" w:cs="Simplified Arabic"/>
          <w:color w:val="000000" w:themeColor="text1"/>
          <w:sz w:val="24"/>
          <w:szCs w:val="24"/>
          <w:rtl/>
          <w:lang w:bidi="ar-DZ"/>
        </w:rPr>
        <w:t xml:space="preserve"> </w:t>
      </w:r>
      <w:r w:rsidR="00C121B0">
        <w:rPr>
          <w:rFonts w:ascii="Simplified Arabic" w:hAnsi="Simplified Arabic" w:cs="Simplified Arabic" w:hint="cs"/>
          <w:color w:val="000000" w:themeColor="text1"/>
          <w:sz w:val="24"/>
          <w:szCs w:val="24"/>
          <w:rtl/>
          <w:lang w:bidi="ar-DZ"/>
        </w:rPr>
        <w:t>معايير</w:t>
      </w:r>
      <w:r w:rsidR="00C121B0" w:rsidRPr="00DF549D">
        <w:rPr>
          <w:rFonts w:ascii="Simplified Arabic" w:hAnsi="Simplified Arabic" w:cs="Simplified Arabic"/>
          <w:color w:val="000000" w:themeColor="text1"/>
          <w:sz w:val="24"/>
          <w:szCs w:val="24"/>
          <w:rtl/>
          <w:lang w:bidi="ar-DZ"/>
        </w:rPr>
        <w:t xml:space="preserve"> </w:t>
      </w:r>
      <w:r w:rsidR="00C121B0">
        <w:rPr>
          <w:rFonts w:ascii="Simplified Arabic" w:hAnsi="Simplified Arabic" w:cs="Simplified Arabic" w:hint="cs"/>
          <w:color w:val="000000" w:themeColor="text1"/>
          <w:sz w:val="24"/>
          <w:szCs w:val="24"/>
          <w:rtl/>
          <w:lang w:bidi="ar-DZ"/>
        </w:rPr>
        <w:t>فرعية</w:t>
      </w:r>
      <w:r w:rsidR="00C121B0" w:rsidRPr="00DF549D">
        <w:rPr>
          <w:rFonts w:ascii="Simplified Arabic" w:hAnsi="Simplified Arabic" w:cs="Simplified Arabic"/>
          <w:color w:val="000000" w:themeColor="text1"/>
          <w:sz w:val="24"/>
          <w:szCs w:val="24"/>
          <w:rtl/>
          <w:lang w:bidi="ar-DZ"/>
        </w:rPr>
        <w:t xml:space="preserve"> </w:t>
      </w:r>
      <w:r w:rsidR="00C121B0" w:rsidRPr="00DF549D">
        <w:rPr>
          <w:rFonts w:ascii="Simplified Arabic" w:hAnsi="Simplified Arabic" w:cs="Simplified Arabic" w:hint="cs"/>
          <w:color w:val="000000" w:themeColor="text1"/>
          <w:sz w:val="24"/>
          <w:szCs w:val="24"/>
          <w:rtl/>
          <w:lang w:bidi="ar-DZ"/>
        </w:rPr>
        <w:t>لكل</w:t>
      </w:r>
      <w:r w:rsidR="00C121B0" w:rsidRPr="00DF549D">
        <w:rPr>
          <w:rFonts w:ascii="Simplified Arabic" w:hAnsi="Simplified Arabic" w:cs="Simplified Arabic"/>
          <w:color w:val="000000" w:themeColor="text1"/>
          <w:sz w:val="24"/>
          <w:szCs w:val="24"/>
          <w:rtl/>
          <w:lang w:bidi="ar-DZ"/>
        </w:rPr>
        <w:t xml:space="preserve"> </w:t>
      </w:r>
      <w:r w:rsidR="00C121B0" w:rsidRPr="00DF549D">
        <w:rPr>
          <w:rFonts w:ascii="Simplified Arabic" w:hAnsi="Simplified Arabic" w:cs="Simplified Arabic" w:hint="cs"/>
          <w:color w:val="000000" w:themeColor="text1"/>
          <w:sz w:val="24"/>
          <w:szCs w:val="24"/>
          <w:rtl/>
          <w:lang w:bidi="ar-DZ"/>
        </w:rPr>
        <w:t>منها</w:t>
      </w:r>
      <w:r w:rsidR="00C121B0" w:rsidRPr="00DF549D">
        <w:rPr>
          <w:rFonts w:ascii="Simplified Arabic" w:hAnsi="Simplified Arabic" w:cs="Simplified Arabic"/>
          <w:color w:val="000000" w:themeColor="text1"/>
          <w:sz w:val="24"/>
          <w:szCs w:val="24"/>
          <w:rtl/>
          <w:lang w:bidi="ar-DZ"/>
        </w:rPr>
        <w:t>.</w:t>
      </w:r>
    </w:p>
    <w:p w:rsidR="00C121B0" w:rsidRDefault="00C121B0" w:rsidP="0007710C">
      <w:pPr>
        <w:pStyle w:val="fegure"/>
        <w:spacing w:before="240"/>
        <w:rPr>
          <w:sz w:val="8"/>
          <w:szCs w:val="24"/>
          <w:rtl/>
          <w:lang w:bidi="ar-DZ"/>
        </w:rPr>
      </w:pPr>
      <w:bookmarkStart w:id="655" w:name="_Toc157608337"/>
      <w:bookmarkStart w:id="656" w:name="_Toc171803680"/>
      <w:r w:rsidRPr="00ED1C8F">
        <w:rPr>
          <w:sz w:val="8"/>
          <w:szCs w:val="24"/>
          <w:rtl/>
          <w:lang w:bidi="ar-DZ"/>
        </w:rPr>
        <w:t xml:space="preserve">الشكل </w:t>
      </w:r>
      <w:r w:rsidRPr="00ED1C8F">
        <w:rPr>
          <w:rFonts w:hint="cs"/>
          <w:sz w:val="8"/>
          <w:szCs w:val="24"/>
          <w:rtl/>
          <w:lang w:bidi="ar-DZ"/>
        </w:rPr>
        <w:t>(</w:t>
      </w:r>
      <w:r w:rsidR="00C60343" w:rsidRPr="00ED1C8F">
        <w:rPr>
          <w:rFonts w:hint="cs"/>
          <w:sz w:val="8"/>
          <w:szCs w:val="24"/>
          <w:rtl/>
          <w:lang w:bidi="ar-DZ"/>
        </w:rPr>
        <w:t>5-</w:t>
      </w:r>
      <w:r w:rsidR="003D5A6A" w:rsidRPr="00ED1C8F">
        <w:rPr>
          <w:rFonts w:hint="cs"/>
          <w:sz w:val="8"/>
          <w:szCs w:val="24"/>
          <w:rtl/>
          <w:lang w:bidi="ar-DZ"/>
        </w:rPr>
        <w:t>5</w:t>
      </w:r>
      <w:r w:rsidRPr="00ED1C8F">
        <w:rPr>
          <w:rFonts w:hint="cs"/>
          <w:sz w:val="8"/>
          <w:szCs w:val="24"/>
          <w:rtl/>
          <w:lang w:bidi="ar-DZ"/>
        </w:rPr>
        <w:t>)</w:t>
      </w:r>
      <w:r w:rsidRPr="00ED1C8F">
        <w:rPr>
          <w:sz w:val="8"/>
          <w:szCs w:val="24"/>
          <w:rtl/>
          <w:lang w:bidi="ar-DZ"/>
        </w:rPr>
        <w:t xml:space="preserve">: </w:t>
      </w:r>
      <w:r w:rsidRPr="00ED1C8F">
        <w:rPr>
          <w:rFonts w:hint="cs"/>
          <w:sz w:val="8"/>
          <w:szCs w:val="24"/>
          <w:rtl/>
          <w:lang w:bidi="ar-DZ"/>
        </w:rPr>
        <w:t>بناء الهيكل</w:t>
      </w:r>
      <w:r w:rsidRPr="00ED1C8F">
        <w:rPr>
          <w:sz w:val="8"/>
          <w:szCs w:val="24"/>
          <w:rtl/>
          <w:lang w:bidi="ar-DZ"/>
        </w:rPr>
        <w:t xml:space="preserve"> الهرمي </w:t>
      </w:r>
      <w:r w:rsidRPr="00ED1C8F">
        <w:rPr>
          <w:rFonts w:hint="cs"/>
          <w:sz w:val="8"/>
          <w:szCs w:val="24"/>
          <w:rtl/>
          <w:lang w:bidi="ar-DZ"/>
        </w:rPr>
        <w:t>لمشكلة</w:t>
      </w:r>
      <w:r w:rsidRPr="00ED1C8F">
        <w:rPr>
          <w:sz w:val="8"/>
          <w:szCs w:val="24"/>
          <w:rtl/>
          <w:lang w:bidi="ar-DZ"/>
        </w:rPr>
        <w:t xml:space="preserve"> </w:t>
      </w:r>
      <w:r w:rsidRPr="00ED1C8F">
        <w:rPr>
          <w:rFonts w:hint="cs"/>
          <w:sz w:val="8"/>
          <w:szCs w:val="24"/>
          <w:rtl/>
          <w:lang w:bidi="ar-DZ"/>
        </w:rPr>
        <w:t>البحث</w:t>
      </w:r>
      <w:bookmarkEnd w:id="655"/>
      <w:bookmarkEnd w:id="656"/>
    </w:p>
    <w:p w:rsidR="00010DE7" w:rsidRPr="00010DE7" w:rsidRDefault="00010DE7" w:rsidP="00010DE7">
      <w:pPr>
        <w:pStyle w:val="fegure"/>
        <w:rPr>
          <w:sz w:val="8"/>
          <w:szCs w:val="24"/>
          <w:rtl/>
          <w:lang w:val="en-US" w:bidi="ar-DZ"/>
        </w:rPr>
      </w:pPr>
      <w:bookmarkStart w:id="657" w:name="_Toc171803681"/>
      <w:r>
        <w:rPr>
          <w:rFonts w:hint="cs"/>
          <w:sz w:val="8"/>
          <w:szCs w:val="24"/>
          <w:rtl/>
          <w:lang w:val="en-US"/>
        </w:rPr>
        <w:t>المصدر: (الباحث، 2022)</w:t>
      </w:r>
      <w:bookmarkEnd w:id="657"/>
    </w:p>
    <w:p w:rsidR="00C121B0" w:rsidRPr="00715C56" w:rsidRDefault="00C121B0" w:rsidP="00D2343B">
      <w:pPr>
        <w:bidi/>
        <w:spacing w:before="240" w:after="0" w:line="240" w:lineRule="auto"/>
        <w:jc w:val="center"/>
        <w:rPr>
          <w:rFonts w:asciiTheme="minorBidi" w:hAnsiTheme="minorBidi" w:cs="Arial"/>
          <w:sz w:val="28"/>
          <w:szCs w:val="28"/>
          <w:lang w:val="en-US"/>
        </w:rPr>
      </w:pPr>
      <w:r>
        <w:rPr>
          <w:rFonts w:asciiTheme="minorBidi" w:hAnsiTheme="minorBidi" w:cs="Arial"/>
          <w:noProof/>
          <w:sz w:val="28"/>
          <w:szCs w:val="28"/>
          <w:rtl/>
          <w:lang w:eastAsia="fr-FR"/>
        </w:rPr>
        <w:drawing>
          <wp:inline distT="0" distB="0" distL="0" distR="0" wp14:anchorId="6C4DA68F" wp14:editId="79FB9FFA">
            <wp:extent cx="5609230" cy="2238233"/>
            <wp:effectExtent l="38100" t="0" r="48895" b="10160"/>
            <wp:docPr id="101" name="Diagramme 10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2" r:lo="rId233" r:qs="rId234" r:cs="rId235"/>
              </a:graphicData>
            </a:graphic>
          </wp:inline>
        </w:drawing>
      </w:r>
    </w:p>
    <w:p w:rsidR="00C121B0" w:rsidRPr="001D5ADC" w:rsidRDefault="00C121B0" w:rsidP="001D0548">
      <w:pPr>
        <w:pStyle w:val="Paragraphedeliste"/>
        <w:numPr>
          <w:ilvl w:val="3"/>
          <w:numId w:val="160"/>
        </w:numPr>
        <w:tabs>
          <w:tab w:val="right" w:pos="992"/>
        </w:tabs>
        <w:bidi/>
        <w:spacing w:before="240" w:after="0"/>
        <w:ind w:left="0" w:firstLine="0"/>
        <w:outlineLvl w:val="2"/>
        <w:rPr>
          <w:rFonts w:ascii="Simplified Arabic" w:hAnsi="Simplified Arabic" w:cs="Simplified Arabic"/>
          <w:b/>
          <w:bCs/>
          <w:sz w:val="24"/>
          <w:szCs w:val="24"/>
          <w:lang w:val="en-US"/>
        </w:rPr>
      </w:pPr>
      <w:bookmarkStart w:id="658" w:name="_Toc171803682"/>
      <w:r w:rsidRPr="001D5ADC">
        <w:rPr>
          <w:rFonts w:ascii="Simplified Arabic" w:hAnsi="Simplified Arabic" w:cs="Simplified Arabic"/>
          <w:b/>
          <w:bCs/>
          <w:sz w:val="24"/>
          <w:szCs w:val="24"/>
          <w:rtl/>
          <w:lang w:val="en-US"/>
        </w:rPr>
        <w:t>اختيار الخبراء</w:t>
      </w:r>
      <w:bookmarkEnd w:id="658"/>
    </w:p>
    <w:p w:rsidR="0007710C" w:rsidRDefault="00C121B0" w:rsidP="00300A57">
      <w:pPr>
        <w:bidi/>
        <w:spacing w:after="0"/>
        <w:ind w:firstLine="282"/>
        <w:jc w:val="both"/>
        <w:rPr>
          <w:rFonts w:ascii="Simplified Arabic" w:hAnsi="Simplified Arabic" w:cs="Simplified Arabic"/>
          <w:sz w:val="24"/>
          <w:szCs w:val="24"/>
          <w:rtl/>
          <w:lang w:val="en-US"/>
        </w:rPr>
      </w:pPr>
      <w:r w:rsidRPr="005B0947">
        <w:rPr>
          <w:rFonts w:ascii="Simplified Arabic" w:hAnsi="Simplified Arabic" w:cs="Simplified Arabic"/>
          <w:sz w:val="24"/>
          <w:szCs w:val="24"/>
          <w:rtl/>
          <w:lang w:val="en-US"/>
        </w:rPr>
        <w:t xml:space="preserve">تتألف لجنة خبراء دلفي  من 12 من المتخصصين والخبراء المطلعين </w:t>
      </w:r>
      <w:r w:rsidRPr="005B0947">
        <w:rPr>
          <w:rFonts w:asciiTheme="majorBidi" w:hAnsiTheme="majorBidi" w:cstheme="majorBidi"/>
          <w:color w:val="000000" w:themeColor="text1"/>
          <w:sz w:val="24"/>
          <w:szCs w:val="24"/>
          <w:rtl/>
          <w:lang w:val="en-US" w:bidi="ar-DZ"/>
        </w:rPr>
        <w:t>(</w:t>
      </w:r>
      <w:r w:rsidRPr="005B0947">
        <w:rPr>
          <w:rFonts w:asciiTheme="majorBidi" w:hAnsiTheme="majorBidi" w:cstheme="majorBidi"/>
          <w:color w:val="000000" w:themeColor="text1"/>
          <w:sz w:val="24"/>
          <w:szCs w:val="24"/>
          <w:lang w:val="en-US" w:bidi="ar-DZ"/>
        </w:rPr>
        <w:t>Haghighi Fard and Doratli, 2022</w:t>
      </w:r>
      <w:r w:rsidRPr="005B0947">
        <w:rPr>
          <w:rFonts w:asciiTheme="majorBidi" w:hAnsiTheme="majorBidi" w:cstheme="majorBidi"/>
          <w:sz w:val="24"/>
          <w:szCs w:val="24"/>
          <w:rtl/>
        </w:rPr>
        <w:t>)</w:t>
      </w:r>
      <w:r w:rsidRPr="005B0947">
        <w:rPr>
          <w:rFonts w:ascii="Simplified Arabic" w:hAnsi="Simplified Arabic" w:cs="Simplified Arabic" w:hint="cs"/>
          <w:sz w:val="24"/>
          <w:szCs w:val="24"/>
          <w:rtl/>
          <w:lang w:val="en-US"/>
        </w:rPr>
        <w:t>،</w:t>
      </w:r>
      <w:r w:rsidRPr="005B0947">
        <w:rPr>
          <w:rFonts w:asciiTheme="minorBidi" w:hAnsiTheme="minorBidi" w:cs="Arial"/>
          <w:sz w:val="24"/>
          <w:szCs w:val="24"/>
          <w:rtl/>
          <w:lang w:val="en-US"/>
        </w:rPr>
        <w:t xml:space="preserve"> </w:t>
      </w:r>
      <w:r w:rsidRPr="005B0947">
        <w:rPr>
          <w:rFonts w:ascii="Simplified Arabic" w:hAnsi="Simplified Arabic" w:cs="Simplified Arabic" w:hint="cs"/>
          <w:sz w:val="24"/>
          <w:szCs w:val="24"/>
          <w:rtl/>
          <w:lang w:val="en-US"/>
        </w:rPr>
        <w:t>تم</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اختيارهم</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لتجنب</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التناقضات</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المحتملة</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وتداخل</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المعلومات</w:t>
      </w:r>
      <w:r w:rsidRPr="005B0947">
        <w:rPr>
          <w:rFonts w:ascii="Simplified Arabic" w:hAnsi="Simplified Arabic" w:cs="Simplified Arabic"/>
          <w:sz w:val="24"/>
          <w:szCs w:val="24"/>
          <w:rtl/>
          <w:lang w:val="en-US"/>
        </w:rPr>
        <w:t xml:space="preserve"> </w:t>
      </w:r>
      <w:r w:rsidRPr="005B0947">
        <w:rPr>
          <w:rFonts w:asciiTheme="majorBidi" w:hAnsiTheme="majorBidi" w:cstheme="majorBidi"/>
          <w:sz w:val="24"/>
          <w:szCs w:val="24"/>
          <w:rtl/>
        </w:rPr>
        <w:t>(</w:t>
      </w:r>
      <w:r w:rsidRPr="005B0947">
        <w:rPr>
          <w:rFonts w:asciiTheme="majorBidi" w:hAnsiTheme="majorBidi" w:cstheme="majorBidi"/>
          <w:sz w:val="24"/>
          <w:szCs w:val="24"/>
        </w:rPr>
        <w:t>Booto Ekionea et al., 2011</w:t>
      </w:r>
      <w:r w:rsidRPr="005B0947">
        <w:rPr>
          <w:rFonts w:asciiTheme="majorBidi" w:hAnsiTheme="majorBidi" w:cstheme="majorBidi"/>
          <w:sz w:val="24"/>
          <w:szCs w:val="24"/>
          <w:rtl/>
          <w:lang w:val="en-US"/>
        </w:rPr>
        <w:t>)</w:t>
      </w:r>
      <w:r w:rsidRPr="005B0947">
        <w:rPr>
          <w:rFonts w:ascii="Simplified Arabic" w:hAnsi="Simplified Arabic" w:cs="Simplified Arabic"/>
          <w:sz w:val="24"/>
          <w:szCs w:val="24"/>
          <w:rtl/>
          <w:lang w:val="en-US"/>
        </w:rPr>
        <w:t>.</w:t>
      </w:r>
      <w:r w:rsidRPr="005B0947">
        <w:rPr>
          <w:rFonts w:ascii="Simplified Arabic" w:hAnsi="Simplified Arabic" w:cs="Simplified Arabic" w:hint="cs"/>
          <w:sz w:val="24"/>
          <w:szCs w:val="24"/>
          <w:rtl/>
          <w:lang w:val="en-US"/>
        </w:rPr>
        <w:t xml:space="preserve"> </w:t>
      </w:r>
      <w:r w:rsidR="00794BA6" w:rsidRPr="005B0947">
        <w:rPr>
          <w:rFonts w:ascii="Simplified Arabic" w:hAnsi="Simplified Arabic" w:cs="Simplified Arabic" w:hint="cs"/>
          <w:sz w:val="24"/>
          <w:szCs w:val="24"/>
          <w:rtl/>
          <w:lang w:val="en-US"/>
        </w:rPr>
        <w:t>وهم نفس الخبراء الاثنى عشر</w:t>
      </w:r>
      <w:r w:rsidRPr="005B0947">
        <w:rPr>
          <w:rFonts w:ascii="Simplified Arabic" w:hAnsi="Simplified Arabic" w:cs="Simplified Arabic"/>
          <w:sz w:val="24"/>
          <w:szCs w:val="24"/>
          <w:rtl/>
          <w:lang w:val="en-US"/>
        </w:rPr>
        <w:t xml:space="preserve"> </w:t>
      </w:r>
      <w:r w:rsidR="00300A57" w:rsidRPr="005B0947">
        <w:rPr>
          <w:rFonts w:ascii="Simplified Arabic" w:hAnsi="Simplified Arabic" w:cs="Simplified Arabic" w:hint="cs"/>
          <w:sz w:val="24"/>
          <w:szCs w:val="24"/>
          <w:rtl/>
          <w:lang w:val="en-US"/>
        </w:rPr>
        <w:t>(</w:t>
      </w:r>
      <w:r w:rsidRPr="005B0947">
        <w:rPr>
          <w:rFonts w:ascii="Simplified Arabic" w:hAnsi="Simplified Arabic" w:cs="Simplified Arabic" w:hint="cs"/>
          <w:sz w:val="24"/>
          <w:szCs w:val="24"/>
          <w:rtl/>
          <w:lang w:val="en-US"/>
        </w:rPr>
        <w:t>12</w:t>
      </w:r>
      <w:r w:rsidR="00300A57" w:rsidRPr="005B0947">
        <w:rPr>
          <w:rFonts w:ascii="Simplified Arabic" w:hAnsi="Simplified Arabic" w:cs="Simplified Arabic" w:hint="cs"/>
          <w:sz w:val="24"/>
          <w:szCs w:val="24"/>
          <w:rtl/>
          <w:lang w:val="en-US"/>
        </w:rPr>
        <w:t>)</w:t>
      </w:r>
      <w:r w:rsidRPr="005B0947">
        <w:rPr>
          <w:rFonts w:ascii="Simplified Arabic" w:hAnsi="Simplified Arabic" w:cs="Simplified Arabic"/>
          <w:sz w:val="24"/>
          <w:szCs w:val="24"/>
          <w:rtl/>
          <w:lang w:val="en-US"/>
        </w:rPr>
        <w:t xml:space="preserve"> </w:t>
      </w:r>
      <w:r w:rsidR="00300A57" w:rsidRPr="005B0947">
        <w:rPr>
          <w:rFonts w:ascii="Simplified Arabic" w:hAnsi="Simplified Arabic" w:cs="Simplified Arabic" w:hint="cs"/>
          <w:sz w:val="24"/>
          <w:szCs w:val="24"/>
          <w:rtl/>
          <w:lang w:val="en-US"/>
        </w:rPr>
        <w:t>الذين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اكملوا</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المشاركة</w:t>
      </w:r>
      <w:r w:rsidRPr="005B0947">
        <w:rPr>
          <w:rFonts w:ascii="Simplified Arabic" w:hAnsi="Simplified Arabic" w:cs="Simplified Arabic"/>
          <w:sz w:val="24"/>
          <w:szCs w:val="24"/>
          <w:rtl/>
          <w:lang w:val="en-US"/>
        </w:rPr>
        <w:t xml:space="preserve"> </w:t>
      </w:r>
      <w:r w:rsidR="00300A57" w:rsidRPr="005B0947">
        <w:rPr>
          <w:rFonts w:ascii="Simplified Arabic" w:hAnsi="Simplified Arabic" w:cs="Simplified Arabic" w:hint="cs"/>
          <w:sz w:val="24"/>
          <w:szCs w:val="24"/>
          <w:rtl/>
          <w:lang w:val="en-US"/>
        </w:rPr>
        <w:t>في</w:t>
      </w:r>
      <w:r w:rsidRPr="005B0947">
        <w:rPr>
          <w:rFonts w:ascii="Simplified Arabic" w:hAnsi="Simplified Arabic" w:cs="Simplified Arabic" w:hint="cs"/>
          <w:sz w:val="24"/>
          <w:szCs w:val="24"/>
          <w:rtl/>
          <w:lang w:val="en-US"/>
        </w:rPr>
        <w:t xml:space="preserve"> الجولة الثالثة، وهذا</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رقم</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مقبول</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عمر</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وجعفر،</w:t>
      </w:r>
      <w:r w:rsidRPr="005B0947">
        <w:rPr>
          <w:rFonts w:ascii="Simplified Arabic" w:hAnsi="Simplified Arabic" w:cs="Simplified Arabic"/>
          <w:sz w:val="24"/>
          <w:szCs w:val="24"/>
          <w:rtl/>
          <w:lang w:val="en-US"/>
        </w:rPr>
        <w:t xml:space="preserve"> 2011). </w:t>
      </w:r>
    </w:p>
    <w:p w:rsidR="00C121B0" w:rsidRPr="000843C3" w:rsidRDefault="00C121B0" w:rsidP="0007710C">
      <w:pPr>
        <w:bidi/>
        <w:spacing w:after="0"/>
        <w:ind w:firstLine="282"/>
        <w:jc w:val="both"/>
        <w:rPr>
          <w:rFonts w:asciiTheme="minorBidi" w:hAnsiTheme="minorBidi" w:cs="Arial"/>
          <w:sz w:val="24"/>
          <w:szCs w:val="24"/>
          <w:rtl/>
          <w:lang w:val="en-US"/>
        </w:rPr>
      </w:pPr>
      <w:r w:rsidRPr="005B0947">
        <w:rPr>
          <w:rFonts w:ascii="Simplified Arabic" w:hAnsi="Simplified Arabic" w:cs="Simplified Arabic" w:hint="cs"/>
          <w:sz w:val="24"/>
          <w:szCs w:val="24"/>
          <w:rtl/>
          <w:lang w:val="en-US"/>
        </w:rPr>
        <w:lastRenderedPageBreak/>
        <w:t>على</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الرغم</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من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أن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عدد الخبراء</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كان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أصغر</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حجمًا،</w:t>
      </w:r>
      <w:r w:rsidRPr="005B0947">
        <w:rPr>
          <w:rFonts w:asciiTheme="minorBidi" w:hAnsiTheme="minorBidi" w:cs="Arial"/>
          <w:sz w:val="24"/>
          <w:szCs w:val="24"/>
          <w:rtl/>
          <w:lang w:val="en-US"/>
        </w:rPr>
        <w:t xml:space="preserve"> </w:t>
      </w:r>
      <w:r w:rsidRPr="005B0947">
        <w:rPr>
          <w:rFonts w:ascii="Simplified Arabic" w:hAnsi="Simplified Arabic" w:cs="Simplified Arabic" w:hint="cs"/>
          <w:sz w:val="24"/>
          <w:szCs w:val="24"/>
          <w:rtl/>
          <w:lang w:val="en-US"/>
        </w:rPr>
        <w:t>وقد</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أشارت</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العديد</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من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الدراسات</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إلى</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أن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حجم</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المصفوفة</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ليس</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تقييدًا</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حيث</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يمكن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إجراء</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عملية</w:t>
      </w:r>
      <w:r w:rsidRPr="005B0947">
        <w:rPr>
          <w:rFonts w:ascii="Simplified Arabic" w:hAnsi="Simplified Arabic" w:cs="Simplified Arabic"/>
          <w:sz w:val="24"/>
          <w:szCs w:val="24"/>
          <w:rtl/>
          <w:lang w:val="en-US"/>
        </w:rPr>
        <w:t xml:space="preserve"> </w:t>
      </w:r>
      <w:r w:rsidRPr="005B0947">
        <w:rPr>
          <w:rFonts w:asciiTheme="majorBidi" w:hAnsiTheme="majorBidi" w:cstheme="majorBidi"/>
          <w:sz w:val="24"/>
          <w:szCs w:val="24"/>
          <w:lang w:val="en-US"/>
        </w:rPr>
        <w:t>AHP</w:t>
      </w:r>
      <w:r w:rsidRPr="005B0947">
        <w:rPr>
          <w:rFonts w:asciiTheme="minorBidi" w:hAnsiTheme="minorBidi" w:cs="Arial"/>
          <w:sz w:val="24"/>
          <w:szCs w:val="24"/>
          <w:rtl/>
          <w:lang w:val="en-US"/>
        </w:rPr>
        <w:t xml:space="preserve"> </w:t>
      </w:r>
      <w:r w:rsidRPr="005B0947">
        <w:rPr>
          <w:rFonts w:ascii="Simplified Arabic" w:hAnsi="Simplified Arabic" w:cs="Simplified Arabic" w:hint="cs"/>
          <w:sz w:val="24"/>
          <w:szCs w:val="24"/>
          <w:rtl/>
          <w:lang w:val="en-US"/>
        </w:rPr>
        <w:t>مع</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عدد</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صغير</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من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المستجيبين</w:t>
      </w:r>
      <w:r w:rsidRPr="005B0947">
        <w:rPr>
          <w:rFonts w:ascii="Simplified Arabic" w:hAnsi="Simplified Arabic" w:cs="Simplified Arabic"/>
          <w:sz w:val="24"/>
          <w:szCs w:val="24"/>
          <w:rtl/>
          <w:lang w:val="en-US"/>
        </w:rPr>
        <w:t xml:space="preserve"> </w:t>
      </w:r>
      <w:r w:rsidRPr="005B0947">
        <w:rPr>
          <w:rFonts w:ascii="Simplified Arabic" w:hAnsi="Simplified Arabic" w:cs="Simplified Arabic" w:hint="cs"/>
          <w:sz w:val="24"/>
          <w:szCs w:val="24"/>
          <w:rtl/>
          <w:lang w:val="en-US"/>
        </w:rPr>
        <w:t xml:space="preserve">الأكفاء </w:t>
      </w:r>
      <w:r w:rsidRPr="005B0947">
        <w:rPr>
          <w:rFonts w:asciiTheme="majorBidi" w:hAnsiTheme="majorBidi" w:cstheme="majorBidi"/>
          <w:sz w:val="24"/>
          <w:szCs w:val="24"/>
          <w:rtl/>
        </w:rPr>
        <w:t>(</w:t>
      </w:r>
      <w:r w:rsidRPr="005B0947">
        <w:rPr>
          <w:rFonts w:asciiTheme="majorBidi" w:hAnsiTheme="majorBidi" w:cstheme="majorBidi"/>
          <w:sz w:val="24"/>
          <w:szCs w:val="24"/>
        </w:rPr>
        <w:t>Booto Ekionea</w:t>
      </w:r>
      <w:r w:rsidRPr="005B0947">
        <w:rPr>
          <w:rFonts w:asciiTheme="majorBidi" w:hAnsiTheme="majorBidi" w:cstheme="majorBidi"/>
        </w:rPr>
        <w:t xml:space="preserve"> et al., 2011</w:t>
      </w:r>
      <w:r w:rsidRPr="005B0947">
        <w:rPr>
          <w:rFonts w:asciiTheme="majorBidi" w:hAnsiTheme="majorBidi" w:cstheme="majorBidi"/>
          <w:sz w:val="24"/>
          <w:szCs w:val="24"/>
          <w:rtl/>
        </w:rPr>
        <w:t>)</w:t>
      </w:r>
      <w:r w:rsidRPr="005B0947">
        <w:rPr>
          <w:rFonts w:ascii="Simplified Arabic" w:hAnsi="Simplified Arabic" w:cs="Simplified Arabic"/>
          <w:sz w:val="24"/>
          <w:szCs w:val="24"/>
          <w:rtl/>
          <w:lang w:val="en-US"/>
        </w:rPr>
        <w:t>.</w:t>
      </w:r>
    </w:p>
    <w:p w:rsidR="00C121B0" w:rsidRPr="001A051A" w:rsidRDefault="00C121B0" w:rsidP="001D0548">
      <w:pPr>
        <w:pStyle w:val="Paragraphedeliste"/>
        <w:numPr>
          <w:ilvl w:val="3"/>
          <w:numId w:val="161"/>
        </w:numPr>
        <w:tabs>
          <w:tab w:val="right" w:pos="992"/>
        </w:tabs>
        <w:bidi/>
        <w:spacing w:before="240" w:after="0"/>
        <w:ind w:left="0" w:firstLine="0"/>
        <w:outlineLvl w:val="2"/>
        <w:rPr>
          <w:rFonts w:ascii="Simplified Arabic" w:hAnsi="Simplified Arabic" w:cs="Simplified Arabic"/>
          <w:b/>
          <w:bCs/>
          <w:sz w:val="24"/>
          <w:szCs w:val="24"/>
          <w:lang w:val="en-US"/>
        </w:rPr>
      </w:pPr>
      <w:bookmarkStart w:id="659" w:name="_Toc171803683"/>
      <w:r w:rsidRPr="001A051A">
        <w:rPr>
          <w:rFonts w:ascii="Simplified Arabic" w:hAnsi="Simplified Arabic" w:cs="Simplified Arabic" w:hint="cs"/>
          <w:b/>
          <w:bCs/>
          <w:sz w:val="24"/>
          <w:szCs w:val="24"/>
          <w:rtl/>
          <w:lang w:val="en-US"/>
        </w:rPr>
        <w:t>المقارنات</w:t>
      </w:r>
      <w:r w:rsidRPr="001A051A">
        <w:rPr>
          <w:rFonts w:ascii="Simplified Arabic" w:hAnsi="Simplified Arabic" w:cs="Simplified Arabic"/>
          <w:b/>
          <w:bCs/>
          <w:sz w:val="24"/>
          <w:szCs w:val="24"/>
          <w:rtl/>
          <w:lang w:val="en-US"/>
        </w:rPr>
        <w:t xml:space="preserve"> </w:t>
      </w:r>
      <w:r w:rsidRPr="001A051A">
        <w:rPr>
          <w:rFonts w:ascii="Simplified Arabic" w:hAnsi="Simplified Arabic" w:cs="Simplified Arabic" w:hint="cs"/>
          <w:b/>
          <w:bCs/>
          <w:sz w:val="24"/>
          <w:szCs w:val="24"/>
          <w:rtl/>
          <w:lang w:val="en-US"/>
        </w:rPr>
        <w:t>الزوجية</w:t>
      </w:r>
      <w:bookmarkEnd w:id="659"/>
    </w:p>
    <w:p w:rsidR="00C121B0" w:rsidRDefault="00C121B0" w:rsidP="00140F39">
      <w:pPr>
        <w:bidi/>
        <w:spacing w:after="0"/>
        <w:ind w:firstLine="282"/>
        <w:jc w:val="both"/>
        <w:rPr>
          <w:rFonts w:asciiTheme="minorBidi" w:hAnsiTheme="minorBidi" w:cs="Arial"/>
          <w:sz w:val="28"/>
          <w:szCs w:val="28"/>
          <w:rtl/>
          <w:lang w:val="en-US"/>
        </w:rPr>
      </w:pPr>
      <w:r w:rsidRPr="00E84892">
        <w:rPr>
          <w:rFonts w:ascii="Simplified Arabic" w:hAnsi="Simplified Arabic" w:cs="Simplified Arabic"/>
          <w:sz w:val="24"/>
          <w:szCs w:val="24"/>
          <w:rtl/>
          <w:lang w:val="en-US"/>
        </w:rPr>
        <w:t xml:space="preserve">تعد طريقة المقارنات الزوجية </w:t>
      </w:r>
      <w:r w:rsidRPr="009D1828">
        <w:rPr>
          <w:rFonts w:asciiTheme="minorBidi" w:hAnsiTheme="minorBidi" w:cs="Arial"/>
          <w:sz w:val="28"/>
          <w:szCs w:val="28"/>
          <w:rtl/>
          <w:lang w:val="en-US"/>
        </w:rPr>
        <w:t>(</w:t>
      </w:r>
      <w:r w:rsidRPr="00E84892">
        <w:rPr>
          <w:rFonts w:asciiTheme="majorBidi" w:hAnsiTheme="majorBidi" w:cstheme="majorBidi"/>
          <w:sz w:val="24"/>
          <w:szCs w:val="24"/>
          <w:lang w:val="en-US"/>
        </w:rPr>
        <w:t>PC</w:t>
      </w:r>
      <w:r w:rsidRPr="009D1828">
        <w:rPr>
          <w:rFonts w:asciiTheme="minorBidi" w:hAnsiTheme="minorBidi" w:cs="Arial"/>
          <w:sz w:val="28"/>
          <w:szCs w:val="28"/>
          <w:rtl/>
          <w:lang w:val="en-US"/>
        </w:rPr>
        <w:t>)</w:t>
      </w:r>
      <w:r w:rsidRPr="006B52FF">
        <w:rPr>
          <w:rFonts w:ascii="Simplified Arabic" w:hAnsi="Simplified Arabic" w:cs="Simplified Arabic" w:hint="cs"/>
          <w:sz w:val="24"/>
          <w:szCs w:val="24"/>
          <w:rtl/>
          <w:lang w:val="en-US"/>
        </w:rPr>
        <w:t xml:space="preserve"> كما هو في الجدول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9</w:t>
      </w:r>
      <w:r w:rsidR="00AF7197">
        <w:rPr>
          <w:rFonts w:ascii="Simplified Arabic" w:eastAsia="Times New Roman" w:hAnsi="Simplified Arabic" w:cs="Simplified Arabic" w:hint="cs"/>
          <w:b/>
          <w:sz w:val="24"/>
          <w:szCs w:val="24"/>
          <w:rtl/>
          <w:lang w:val="en-US" w:eastAsia="fr-FR"/>
        </w:rPr>
        <w:t>)</w:t>
      </w:r>
      <w:r w:rsidRPr="006B52FF">
        <w:rPr>
          <w:rFonts w:ascii="Simplified Arabic" w:hAnsi="Simplified Arabic" w:cs="Simplified Arabic" w:hint="cs"/>
          <w:sz w:val="24"/>
          <w:szCs w:val="24"/>
          <w:rtl/>
          <w:lang w:val="en-US"/>
        </w:rPr>
        <w:t>،</w:t>
      </w:r>
      <w:r w:rsidRPr="00E84892">
        <w:rPr>
          <w:rFonts w:ascii="Simplified Arabic" w:hAnsi="Simplified Arabic" w:cs="Simplified Arabic"/>
          <w:sz w:val="24"/>
          <w:szCs w:val="24"/>
          <w:rtl/>
          <w:lang w:val="en-US"/>
        </w:rPr>
        <w:t xml:space="preserve"> </w:t>
      </w:r>
      <w:r w:rsidR="00140F39">
        <w:rPr>
          <w:rFonts w:ascii="Simplified Arabic" w:hAnsi="Simplified Arabic" w:cs="Simplified Arabic" w:hint="cs"/>
          <w:sz w:val="24"/>
          <w:szCs w:val="24"/>
          <w:rtl/>
          <w:lang w:val="en-US"/>
        </w:rPr>
        <w:t xml:space="preserve">اكثر تفصيلا في </w:t>
      </w:r>
      <w:r w:rsidR="009469EF" w:rsidRPr="00E32579">
        <w:rPr>
          <w:rFonts w:ascii="Simplified Arabic" w:hAnsi="Simplified Arabic" w:cs="Simplified Arabic"/>
          <w:sz w:val="24"/>
          <w:szCs w:val="24"/>
          <w:rtl/>
          <w:lang w:val="en-US"/>
        </w:rPr>
        <w:t>(</w:t>
      </w:r>
      <w:r w:rsidRPr="00E32579">
        <w:rPr>
          <w:rFonts w:ascii="Simplified Arabic" w:hAnsi="Simplified Arabic" w:cs="Simplified Arabic"/>
          <w:sz w:val="24"/>
          <w:szCs w:val="24"/>
          <w:rtl/>
          <w:lang w:val="en-US"/>
        </w:rPr>
        <w:t xml:space="preserve">الملحق </w:t>
      </w:r>
      <w:r w:rsidR="00140F39">
        <w:rPr>
          <w:rFonts w:ascii="Simplified Arabic" w:hAnsi="Simplified Arabic" w:cs="Simplified Arabic" w:hint="cs"/>
          <w:sz w:val="24"/>
          <w:szCs w:val="24"/>
          <w:rtl/>
          <w:lang w:val="en-US"/>
        </w:rPr>
        <w:t>3</w:t>
      </w:r>
      <w:r w:rsidRPr="00E32579">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r w:rsidRPr="00E84892">
        <w:rPr>
          <w:rFonts w:ascii="Simplified Arabic" w:hAnsi="Simplified Arabic" w:cs="Simplified Arabic" w:hint="cs"/>
          <w:sz w:val="24"/>
          <w:szCs w:val="24"/>
          <w:rtl/>
          <w:lang w:val="en-US"/>
        </w:rPr>
        <w:t>هي</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المرحلة</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الرئيسية</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من</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برنامج</w:t>
      </w:r>
      <w:r w:rsidRPr="009D1828">
        <w:rPr>
          <w:rFonts w:asciiTheme="minorBidi" w:hAnsiTheme="minorBidi" w:cs="Arial"/>
          <w:sz w:val="28"/>
          <w:szCs w:val="28"/>
          <w:rtl/>
          <w:lang w:val="en-US"/>
        </w:rPr>
        <w:t xml:space="preserve"> </w:t>
      </w:r>
      <w:r w:rsidRPr="00E84892">
        <w:rPr>
          <w:rFonts w:asciiTheme="majorBidi" w:hAnsiTheme="majorBidi" w:cstheme="majorBidi"/>
          <w:sz w:val="24"/>
          <w:szCs w:val="24"/>
          <w:lang w:val="en-US"/>
        </w:rPr>
        <w:t>AHP</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المستخدم</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لبناء</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نموذج</w:t>
      </w:r>
      <w:r w:rsidRPr="00E84892">
        <w:rPr>
          <w:rFonts w:ascii="Simplified Arabic" w:hAnsi="Simplified Arabic" w:cs="Simplified Arabic"/>
          <w:sz w:val="24"/>
          <w:szCs w:val="24"/>
          <w:rtl/>
          <w:lang w:val="en-US"/>
        </w:rPr>
        <w:t xml:space="preserve"> </w:t>
      </w:r>
      <w:r w:rsidRPr="00E84892">
        <w:rPr>
          <w:rFonts w:ascii="Simplified Arabic" w:hAnsi="Simplified Arabic" w:cs="Simplified Arabic" w:hint="cs"/>
          <w:sz w:val="24"/>
          <w:szCs w:val="24"/>
          <w:rtl/>
          <w:lang w:val="en-US"/>
        </w:rPr>
        <w:t>هرمي</w:t>
      </w:r>
      <w:r w:rsidRPr="009D1828">
        <w:rPr>
          <w:rFonts w:asciiTheme="minorBidi" w:hAnsiTheme="minorBidi" w:cs="Arial"/>
          <w:sz w:val="28"/>
          <w:szCs w:val="28"/>
          <w:rtl/>
          <w:lang w:val="en-US"/>
        </w:rPr>
        <w:t xml:space="preserve"> </w:t>
      </w:r>
      <w:r w:rsidRPr="00034E53">
        <w:rPr>
          <w:rFonts w:ascii="Times New Roman" w:hAnsi="Times New Roman" w:cs="Times New Roman" w:hint="cs"/>
          <w:sz w:val="24"/>
          <w:szCs w:val="24"/>
          <w:rtl/>
          <w:lang w:val="en-US"/>
        </w:rPr>
        <w:t>(</w:t>
      </w:r>
      <w:r w:rsidRPr="00034E53">
        <w:rPr>
          <w:rFonts w:asciiTheme="majorBidi" w:eastAsia="CharisSIL" w:hAnsiTheme="majorBidi" w:cstheme="majorBidi"/>
          <w:sz w:val="24"/>
          <w:szCs w:val="24"/>
          <w:lang w:val="en-US"/>
        </w:rPr>
        <w:t>et al., 2014</w:t>
      </w:r>
      <w:r w:rsidRPr="00034E53">
        <w:rPr>
          <w:rFonts w:ascii="Times New Roman" w:hAnsi="Times New Roman" w:cs="Times New Roman" w:hint="cs"/>
          <w:sz w:val="24"/>
          <w:szCs w:val="24"/>
          <w:rtl/>
          <w:lang w:val="en-US"/>
        </w:rPr>
        <w:t xml:space="preserve"> </w:t>
      </w:r>
      <w:r w:rsidRPr="005B0947">
        <w:rPr>
          <w:rFonts w:asciiTheme="majorBidi" w:eastAsia="CharisSIL" w:hAnsiTheme="majorBidi" w:cstheme="majorBidi"/>
          <w:sz w:val="24"/>
          <w:szCs w:val="24"/>
          <w:lang w:val="en-US"/>
        </w:rPr>
        <w:t>Maleki</w:t>
      </w:r>
      <w:r w:rsidRPr="00034E53">
        <w:rPr>
          <w:rFonts w:ascii="Times New Roman" w:hAnsi="Times New Roman" w:cs="Times New Roman" w:hint="cs"/>
          <w:sz w:val="24"/>
          <w:szCs w:val="24"/>
          <w:rtl/>
          <w:lang w:val="en-US"/>
        </w:rPr>
        <w:t>)</w:t>
      </w:r>
      <w:r w:rsidRPr="009D1828">
        <w:rPr>
          <w:rFonts w:asciiTheme="minorBidi" w:hAnsiTheme="minorBidi" w:cs="Arial"/>
          <w:sz w:val="28"/>
          <w:szCs w:val="28"/>
          <w:rtl/>
          <w:lang w:val="en-US"/>
        </w:rPr>
        <w:t xml:space="preserve">. </w:t>
      </w:r>
    </w:p>
    <w:p w:rsidR="00C121B0" w:rsidRDefault="00C121B0" w:rsidP="0007710C">
      <w:pPr>
        <w:pStyle w:val="Tableau"/>
        <w:rPr>
          <w:rtl/>
          <w:lang w:val="en-US"/>
        </w:rPr>
      </w:pPr>
      <w:bookmarkStart w:id="660" w:name="_Toc157612999"/>
      <w:bookmarkStart w:id="661" w:name="_Toc171803684"/>
      <w:r w:rsidRPr="00E32579">
        <w:rPr>
          <w:rtl/>
          <w:lang w:val="en-US"/>
        </w:rPr>
        <w:t xml:space="preserve">الجدول </w:t>
      </w:r>
      <w:r w:rsidR="00AF7197">
        <w:rPr>
          <w:rFonts w:eastAsia="Times New Roman" w:hint="cs"/>
          <w:rtl/>
          <w:lang w:val="en-US" w:eastAsia="fr-FR"/>
        </w:rPr>
        <w:t>(5-</w:t>
      </w:r>
      <w:r w:rsidR="00C05812">
        <w:rPr>
          <w:rFonts w:eastAsia="Times New Roman" w:hint="cs"/>
          <w:rtl/>
          <w:lang w:val="en-US" w:eastAsia="fr-FR"/>
        </w:rPr>
        <w:t>9</w:t>
      </w:r>
      <w:r w:rsidR="00AF7197">
        <w:rPr>
          <w:rFonts w:eastAsia="Times New Roman" w:hint="cs"/>
          <w:rtl/>
          <w:lang w:val="en-US" w:eastAsia="fr-FR"/>
        </w:rPr>
        <w:t>)</w:t>
      </w:r>
      <w:r w:rsidRPr="00E32579">
        <w:rPr>
          <w:rtl/>
          <w:lang w:val="en-US"/>
        </w:rPr>
        <w:t xml:space="preserve">: مثال </w:t>
      </w:r>
      <w:r w:rsidRPr="00E32579">
        <w:rPr>
          <w:rFonts w:hint="cs"/>
          <w:rtl/>
          <w:lang w:val="en-US"/>
        </w:rPr>
        <w:t xml:space="preserve">على </w:t>
      </w:r>
      <w:r w:rsidRPr="00E32579">
        <w:rPr>
          <w:rtl/>
          <w:lang w:val="en-US"/>
        </w:rPr>
        <w:t>المقارنة الزوجية</w:t>
      </w:r>
      <w:r>
        <w:rPr>
          <w:rFonts w:hint="cs"/>
          <w:rtl/>
          <w:lang w:val="en-US"/>
        </w:rPr>
        <w:t xml:space="preserve"> للمعايير</w:t>
      </w:r>
      <w:bookmarkEnd w:id="660"/>
      <w:bookmarkEnd w:id="661"/>
      <w:r w:rsidRPr="00E32579">
        <w:rPr>
          <w:rtl/>
          <w:lang w:val="en-US"/>
        </w:rPr>
        <w:t xml:space="preserve"> </w:t>
      </w:r>
    </w:p>
    <w:p w:rsidR="00010DE7" w:rsidRPr="00010DE7" w:rsidRDefault="00010DE7" w:rsidP="00010DE7">
      <w:pPr>
        <w:pStyle w:val="fegure"/>
        <w:rPr>
          <w:sz w:val="8"/>
          <w:szCs w:val="24"/>
          <w:rtl/>
          <w:lang w:val="en-US" w:bidi="ar-DZ"/>
        </w:rPr>
      </w:pPr>
      <w:bookmarkStart w:id="662" w:name="_Toc171803685"/>
      <w:r>
        <w:rPr>
          <w:rFonts w:hint="cs"/>
          <w:sz w:val="8"/>
          <w:szCs w:val="24"/>
          <w:rtl/>
          <w:lang w:val="en-US"/>
        </w:rPr>
        <w:t>المصدر: (الباحث، 2022)</w:t>
      </w:r>
      <w:bookmarkEnd w:id="662"/>
    </w:p>
    <w:tbl>
      <w:tblPr>
        <w:tblStyle w:val="Grilledutableau"/>
        <w:bidiVisual/>
        <w:tblW w:w="8954" w:type="dxa"/>
        <w:jc w:val="center"/>
        <w:tblInd w:w="-55" w:type="dxa"/>
        <w:tblLook w:val="04A0" w:firstRow="1" w:lastRow="0" w:firstColumn="1" w:lastColumn="0" w:noHBand="0" w:noVBand="1"/>
      </w:tblPr>
      <w:tblGrid>
        <w:gridCol w:w="1347"/>
        <w:gridCol w:w="329"/>
        <w:gridCol w:w="329"/>
        <w:gridCol w:w="329"/>
        <w:gridCol w:w="329"/>
        <w:gridCol w:w="329"/>
        <w:gridCol w:w="363"/>
        <w:gridCol w:w="329"/>
        <w:gridCol w:w="329"/>
        <w:gridCol w:w="370"/>
        <w:gridCol w:w="329"/>
        <w:gridCol w:w="329"/>
        <w:gridCol w:w="329"/>
        <w:gridCol w:w="329"/>
        <w:gridCol w:w="354"/>
        <w:gridCol w:w="329"/>
        <w:gridCol w:w="329"/>
        <w:gridCol w:w="378"/>
        <w:gridCol w:w="1865"/>
      </w:tblGrid>
      <w:tr w:rsidR="00C121B0" w:rsidRPr="000843C3" w:rsidTr="00322868">
        <w:trPr>
          <w:trHeight w:val="371"/>
          <w:jc w:val="center"/>
        </w:trPr>
        <w:tc>
          <w:tcPr>
            <w:tcW w:w="8954" w:type="dxa"/>
            <w:gridSpan w:val="19"/>
            <w:shd w:val="clear" w:color="auto" w:fill="D9D9D9" w:themeFill="background1" w:themeFillShade="D9"/>
            <w:vAlign w:val="center"/>
          </w:tcPr>
          <w:p w:rsidR="00C121B0" w:rsidRPr="000843C3" w:rsidRDefault="00C121B0" w:rsidP="00D2343B">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9=قصوى    7=</w:t>
            </w:r>
            <w:r w:rsidRPr="000843C3">
              <w:rPr>
                <w:rFonts w:ascii="Simplified Arabic" w:eastAsia="Times New Roman" w:hAnsi="Simplified Arabic" w:cs="Simplified Arabic"/>
                <w:b/>
                <w:bCs/>
                <w:sz w:val="20"/>
                <w:szCs w:val="20"/>
                <w:rtl/>
                <w:lang w:val="en-US" w:bidi="ar-DZ"/>
              </w:rPr>
              <w:t xml:space="preserve"> قوية جدًا   </w:t>
            </w:r>
            <w:r w:rsidRPr="000843C3">
              <w:rPr>
                <w:rFonts w:ascii="Simplified Arabic" w:hAnsi="Simplified Arabic" w:cs="Simplified Arabic"/>
                <w:b/>
                <w:bCs/>
                <w:sz w:val="20"/>
                <w:szCs w:val="20"/>
                <w:rtl/>
                <w:lang w:val="en-US" w:bidi="ar-DZ"/>
              </w:rPr>
              <w:t xml:space="preserve"> 5=قوية    3=معتدلة    </w:t>
            </w:r>
            <w:r w:rsidRPr="000843C3">
              <w:rPr>
                <w:rFonts w:ascii="Simplified Arabic" w:hAnsi="Simplified Arabic" w:cs="Simplified Arabic"/>
                <w:b/>
                <w:bCs/>
                <w:sz w:val="20"/>
                <w:szCs w:val="20"/>
                <w:shd w:val="clear" w:color="auto" w:fill="FFFFFF" w:themeFill="background1"/>
                <w:rtl/>
                <w:lang w:val="en-US" w:bidi="ar-DZ"/>
              </w:rPr>
              <w:t xml:space="preserve"> 1= متساوية </w:t>
            </w:r>
            <w:r w:rsidRPr="000843C3">
              <w:rPr>
                <w:rFonts w:ascii="Simplified Arabic" w:hAnsi="Simplified Arabic" w:cs="Simplified Arabic"/>
                <w:b/>
                <w:bCs/>
                <w:sz w:val="20"/>
                <w:szCs w:val="20"/>
                <w:rtl/>
                <w:lang w:val="en-US" w:bidi="ar-DZ"/>
              </w:rPr>
              <w:t xml:space="preserve">   3=معتدلة   5=قوية    7=</w:t>
            </w:r>
            <w:r w:rsidRPr="000843C3">
              <w:rPr>
                <w:rFonts w:ascii="Simplified Arabic" w:eastAsia="Times New Roman" w:hAnsi="Simplified Arabic" w:cs="Simplified Arabic"/>
                <w:b/>
                <w:bCs/>
                <w:sz w:val="20"/>
                <w:szCs w:val="20"/>
                <w:rtl/>
                <w:lang w:val="en-US" w:bidi="ar-DZ"/>
              </w:rPr>
              <w:t xml:space="preserve"> قوية جدًا   </w:t>
            </w:r>
            <w:r w:rsidRPr="000843C3">
              <w:rPr>
                <w:rFonts w:ascii="Simplified Arabic" w:hAnsi="Simplified Arabic" w:cs="Simplified Arabic"/>
                <w:b/>
                <w:bCs/>
                <w:sz w:val="20"/>
                <w:szCs w:val="20"/>
                <w:rtl/>
                <w:lang w:val="en-US" w:bidi="ar-DZ"/>
              </w:rPr>
              <w:t xml:space="preserve"> 9=قصوى</w:t>
            </w:r>
          </w:p>
        </w:tc>
      </w:tr>
      <w:tr w:rsidR="00C121B0" w:rsidRPr="000843C3" w:rsidTr="00322868">
        <w:trPr>
          <w:trHeight w:val="121"/>
          <w:jc w:val="center"/>
        </w:trPr>
        <w:tc>
          <w:tcPr>
            <w:tcW w:w="8954" w:type="dxa"/>
            <w:gridSpan w:val="19"/>
            <w:vAlign w:val="center"/>
          </w:tcPr>
          <w:p w:rsidR="00C121B0" w:rsidRPr="000843C3" w:rsidRDefault="00322868" w:rsidP="00D2343B">
            <w:pPr>
              <w:tabs>
                <w:tab w:val="left" w:pos="3010"/>
              </w:tabs>
              <w:bidi/>
              <w:jc w:val="center"/>
              <w:rPr>
                <w:rFonts w:ascii="Simplified Arabic" w:hAnsi="Simplified Arabic" w:cs="Simplified Arabic"/>
                <w:b/>
                <w:bCs/>
                <w:sz w:val="16"/>
                <w:szCs w:val="16"/>
                <w:rtl/>
                <w:lang w:val="en-US" w:bidi="ar-DZ"/>
              </w:rPr>
            </w:pPr>
            <w:r w:rsidRPr="000843C3">
              <w:rPr>
                <w:rFonts w:ascii="Simplified Arabic" w:hAnsi="Simplified Arabic" w:cs="Simplified Arabic"/>
                <w:b/>
                <w:bCs/>
                <w:noProof/>
                <w:sz w:val="16"/>
                <w:szCs w:val="16"/>
                <w:rtl/>
                <w:lang w:eastAsia="fr-FR"/>
              </w:rPr>
              <mc:AlternateContent>
                <mc:Choice Requires="wps">
                  <w:drawing>
                    <wp:anchor distT="0" distB="0" distL="114300" distR="114300" simplePos="0" relativeHeight="251588096" behindDoc="0" locked="0" layoutInCell="1" allowOverlap="1" wp14:anchorId="6C6C2438" wp14:editId="0BB656FB">
                      <wp:simplePos x="0" y="0"/>
                      <wp:positionH relativeFrom="column">
                        <wp:posOffset>2788920</wp:posOffset>
                      </wp:positionH>
                      <wp:positionV relativeFrom="paragraph">
                        <wp:posOffset>21590</wp:posOffset>
                      </wp:positionV>
                      <wp:extent cx="149860" cy="129540"/>
                      <wp:effectExtent l="0" t="0" r="21590" b="22860"/>
                      <wp:wrapNone/>
                      <wp:docPr id="83" name="Ellipse 83"/>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83" o:spid="_x0000_s1026" style="position:absolute;margin-left:219.6pt;margin-top:1.7pt;width:11.8pt;height:10.2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" fillcolor="#0070c0" strokecolor="black [3200]" strokeweight="1pt"/>
                  </w:pict>
                </mc:Fallback>
              </mc:AlternateContent>
            </w:r>
            <w:r w:rsidRPr="000843C3">
              <w:rPr>
                <w:rFonts w:ascii="Simplified Arabic" w:hAnsi="Simplified Arabic" w:cs="Simplified Arabic"/>
                <w:b/>
                <w:bCs/>
                <w:noProof/>
                <w:sz w:val="16"/>
                <w:szCs w:val="16"/>
                <w:rtl/>
                <w:lang w:eastAsia="fr-FR"/>
              </w:rPr>
              <mc:AlternateContent>
                <mc:Choice Requires="wps">
                  <w:drawing>
                    <wp:anchor distT="0" distB="0" distL="114300" distR="114300" simplePos="0" relativeHeight="251580928" behindDoc="0" locked="0" layoutInCell="1" allowOverlap="1" wp14:anchorId="6D339E8B" wp14:editId="70561FA6">
                      <wp:simplePos x="0" y="0"/>
                      <wp:positionH relativeFrom="column">
                        <wp:posOffset>911860</wp:posOffset>
                      </wp:positionH>
                      <wp:positionV relativeFrom="paragraph">
                        <wp:posOffset>94615</wp:posOffset>
                      </wp:positionV>
                      <wp:extent cx="3905250" cy="0"/>
                      <wp:effectExtent l="57150" t="76200" r="19050" b="133350"/>
                      <wp:wrapNone/>
                      <wp:docPr id="84" name="Connecteur droit avec flèche 84"/>
                      <wp:cNvGraphicFramePr/>
                      <a:graphic xmlns:a="http://schemas.openxmlformats.org/drawingml/2006/main">
                        <a:graphicData uri="http://schemas.microsoft.com/office/word/2010/wordprocessingShape">
                          <wps:wsp>
                            <wps:cNvCnPr/>
                            <wps:spPr>
                              <a:xfrm>
                                <a:off x="0" y="0"/>
                                <a:ext cx="390525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84" o:spid="_x0000_s1026" type="#_x0000_t32" style="position:absolute;margin-left:71.8pt;margin-top:7.45pt;width:307.5pt;height:0;z-index:25158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" strokecolor="red" strokeweight="1pt">
                      <v:stroke startarrow="block" endarrow="block"/>
                      <v:shadow on="t" color="black" opacity="24903f" origin=",.5" offset="0,.55556mm"/>
                    </v:shape>
                  </w:pict>
                </mc:Fallback>
              </mc:AlternateContent>
            </w:r>
          </w:p>
        </w:tc>
      </w:tr>
      <w:tr w:rsidR="00322868" w:rsidRPr="000843C3" w:rsidTr="00322868">
        <w:trPr>
          <w:trHeight w:val="532"/>
          <w:jc w:val="center"/>
        </w:trPr>
        <w:tc>
          <w:tcPr>
            <w:tcW w:w="1347" w:type="dxa"/>
            <w:vAlign w:val="center"/>
          </w:tcPr>
          <w:p w:rsidR="00C121B0" w:rsidRPr="000843C3"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0843C3" w:rsidRDefault="00C121B0" w:rsidP="00D2343B">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9</w:t>
            </w:r>
          </w:p>
        </w:tc>
        <w:tc>
          <w:tcPr>
            <w:tcW w:w="329" w:type="dxa"/>
            <w:vAlign w:val="center"/>
          </w:tcPr>
          <w:p w:rsidR="00C121B0" w:rsidRPr="000843C3" w:rsidRDefault="00C121B0" w:rsidP="00D2343B">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8</w:t>
            </w:r>
          </w:p>
        </w:tc>
        <w:tc>
          <w:tcPr>
            <w:tcW w:w="329" w:type="dxa"/>
            <w:vAlign w:val="center"/>
          </w:tcPr>
          <w:p w:rsidR="00C121B0" w:rsidRPr="000843C3" w:rsidRDefault="00C121B0" w:rsidP="00D2343B">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7</w:t>
            </w:r>
          </w:p>
        </w:tc>
        <w:tc>
          <w:tcPr>
            <w:tcW w:w="329" w:type="dxa"/>
            <w:vAlign w:val="center"/>
          </w:tcPr>
          <w:p w:rsidR="00C121B0" w:rsidRPr="000843C3" w:rsidRDefault="00C121B0" w:rsidP="00D2343B">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6</w:t>
            </w:r>
          </w:p>
        </w:tc>
        <w:tc>
          <w:tcPr>
            <w:tcW w:w="329" w:type="dxa"/>
            <w:vAlign w:val="center"/>
          </w:tcPr>
          <w:p w:rsidR="00C121B0" w:rsidRPr="000843C3" w:rsidRDefault="00C121B0" w:rsidP="00D2343B">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5</w:t>
            </w:r>
          </w:p>
        </w:tc>
        <w:tc>
          <w:tcPr>
            <w:tcW w:w="363"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4</w:t>
            </w:r>
          </w:p>
        </w:tc>
        <w:tc>
          <w:tcPr>
            <w:tcW w:w="329"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3</w:t>
            </w:r>
          </w:p>
        </w:tc>
        <w:tc>
          <w:tcPr>
            <w:tcW w:w="329"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2</w:t>
            </w:r>
          </w:p>
        </w:tc>
        <w:tc>
          <w:tcPr>
            <w:tcW w:w="370" w:type="dxa"/>
            <w:shd w:val="clear" w:color="auto" w:fill="D9D9D9" w:themeFill="background1" w:themeFillShade="D9"/>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1</w:t>
            </w:r>
          </w:p>
        </w:tc>
        <w:tc>
          <w:tcPr>
            <w:tcW w:w="329"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2</w:t>
            </w:r>
          </w:p>
        </w:tc>
        <w:tc>
          <w:tcPr>
            <w:tcW w:w="329"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3</w:t>
            </w:r>
          </w:p>
        </w:tc>
        <w:tc>
          <w:tcPr>
            <w:tcW w:w="329"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4</w:t>
            </w:r>
          </w:p>
        </w:tc>
        <w:tc>
          <w:tcPr>
            <w:tcW w:w="329" w:type="dxa"/>
            <w:shd w:val="clear" w:color="auto" w:fill="auto"/>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5</w:t>
            </w:r>
          </w:p>
        </w:tc>
        <w:tc>
          <w:tcPr>
            <w:tcW w:w="354"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6</w:t>
            </w:r>
          </w:p>
        </w:tc>
        <w:tc>
          <w:tcPr>
            <w:tcW w:w="329"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7</w:t>
            </w:r>
          </w:p>
        </w:tc>
        <w:tc>
          <w:tcPr>
            <w:tcW w:w="329"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8</w:t>
            </w:r>
          </w:p>
        </w:tc>
        <w:tc>
          <w:tcPr>
            <w:tcW w:w="378" w:type="dxa"/>
            <w:vAlign w:val="center"/>
          </w:tcPr>
          <w:p w:rsidR="00C121B0" w:rsidRPr="000843C3" w:rsidRDefault="00C121B0" w:rsidP="00794BA6">
            <w:pPr>
              <w:tabs>
                <w:tab w:val="left" w:pos="3010"/>
              </w:tabs>
              <w:bidi/>
              <w:jc w:val="center"/>
              <w:rPr>
                <w:rFonts w:ascii="Simplified Arabic" w:hAnsi="Simplified Arabic" w:cs="Simplified Arabic"/>
                <w:b/>
                <w:bCs/>
                <w:sz w:val="20"/>
                <w:szCs w:val="20"/>
                <w:rtl/>
                <w:lang w:val="en-US" w:bidi="ar-DZ"/>
              </w:rPr>
            </w:pPr>
            <w:r w:rsidRPr="000843C3">
              <w:rPr>
                <w:rFonts w:ascii="Simplified Arabic" w:hAnsi="Simplified Arabic" w:cs="Simplified Arabic"/>
                <w:b/>
                <w:bCs/>
                <w:sz w:val="20"/>
                <w:szCs w:val="20"/>
                <w:rtl/>
                <w:lang w:val="en-US" w:bidi="ar-DZ"/>
              </w:rPr>
              <w:t>9</w:t>
            </w:r>
          </w:p>
        </w:tc>
        <w:tc>
          <w:tcPr>
            <w:tcW w:w="1865" w:type="dxa"/>
            <w:vAlign w:val="center"/>
          </w:tcPr>
          <w:p w:rsidR="00C121B0" w:rsidRPr="000843C3" w:rsidRDefault="00C121B0" w:rsidP="00794BA6">
            <w:pPr>
              <w:tabs>
                <w:tab w:val="left" w:pos="3010"/>
              </w:tabs>
              <w:bidi/>
              <w:jc w:val="center"/>
              <w:rPr>
                <w:rFonts w:ascii="Simplified Arabic" w:hAnsi="Simplified Arabic" w:cs="Simplified Arabic"/>
                <w:b/>
                <w:bCs/>
                <w:sz w:val="16"/>
                <w:szCs w:val="16"/>
                <w:rtl/>
                <w:lang w:val="en-US" w:bidi="ar-DZ"/>
              </w:rPr>
            </w:pPr>
          </w:p>
        </w:tc>
      </w:tr>
      <w:tr w:rsidR="00322868" w:rsidRPr="000843C3" w:rsidTr="00322868">
        <w:trPr>
          <w:trHeight w:val="142"/>
          <w:jc w:val="center"/>
        </w:trPr>
        <w:tc>
          <w:tcPr>
            <w:tcW w:w="1347" w:type="dxa"/>
            <w:vAlign w:val="center"/>
          </w:tcPr>
          <w:p w:rsidR="00C121B0" w:rsidRPr="00322868" w:rsidRDefault="00C121B0" w:rsidP="00D2343B">
            <w:pPr>
              <w:widowControl w:val="0"/>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bCs/>
                <w:sz w:val="18"/>
                <w:szCs w:val="18"/>
                <w:rtl/>
                <w:lang w:val="en-US" w:eastAsia="fr-FR"/>
              </w:rPr>
              <w:t>معيار</w:t>
            </w:r>
            <w:r w:rsidRPr="00322868">
              <w:rPr>
                <w:rFonts w:ascii="Simplified Arabic" w:eastAsia="Times New Roman" w:hAnsi="Simplified Arabic" w:cs="Simplified Arabic"/>
                <w:bCs/>
                <w:sz w:val="18"/>
                <w:szCs w:val="18"/>
                <w:rtl/>
                <w:lang w:eastAsia="fr-FR"/>
              </w:rPr>
              <w:t xml:space="preserve"> التكفل الطبي</w:t>
            </w: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63"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0" w:type="dxa"/>
            <w:shd w:val="clear" w:color="auto" w:fill="D9D9D9" w:themeFill="background1" w:themeFillShade="D9"/>
            <w:vAlign w:val="center"/>
          </w:tcPr>
          <w:p w:rsidR="00C121B0" w:rsidRPr="009D2286" w:rsidRDefault="00C121B0" w:rsidP="00D2343B">
            <w:pPr>
              <w:tabs>
                <w:tab w:val="left" w:pos="3010"/>
              </w:tabs>
              <w:bidi/>
              <w:ind w:left="141"/>
              <w:jc w:val="center"/>
              <w:rPr>
                <w:rFonts w:ascii="Simplified Arabic" w:hAnsi="Simplified Arabic" w:cs="Simplified Arabic"/>
                <w:b/>
                <w:bCs/>
                <w:color w:val="000000" w:themeColor="text1"/>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shd w:val="clear" w:color="auto" w:fill="auto"/>
            <w:vAlign w:val="center"/>
          </w:tcPr>
          <w:p w:rsidR="00C121B0" w:rsidRPr="009D2286" w:rsidRDefault="00C121B0" w:rsidP="00D2343B">
            <w:pPr>
              <w:tabs>
                <w:tab w:val="left" w:pos="3010"/>
              </w:tabs>
              <w:bidi/>
              <w:ind w:left="141"/>
              <w:jc w:val="center"/>
              <w:rPr>
                <w:rFonts w:ascii="Simplified Arabic" w:hAnsi="Simplified Arabic" w:cs="Simplified Arabic"/>
                <w:b/>
                <w:bCs/>
                <w:sz w:val="16"/>
                <w:szCs w:val="16"/>
                <w:rtl/>
                <w:lang w:val="en-US" w:bidi="ar-DZ"/>
              </w:rPr>
            </w:pPr>
          </w:p>
        </w:tc>
        <w:tc>
          <w:tcPr>
            <w:tcW w:w="354"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8"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1865" w:type="dxa"/>
            <w:vAlign w:val="center"/>
          </w:tcPr>
          <w:p w:rsidR="00C121B0" w:rsidRPr="00322868" w:rsidRDefault="00C121B0" w:rsidP="00D2343B">
            <w:pPr>
              <w:widowControl w:val="0"/>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hint="cs"/>
                <w:bCs/>
                <w:sz w:val="18"/>
                <w:szCs w:val="18"/>
                <w:rtl/>
                <w:lang w:val="en-US" w:eastAsia="fr-FR"/>
              </w:rPr>
              <w:t>معيار</w:t>
            </w:r>
            <w:r w:rsidRPr="00322868">
              <w:rPr>
                <w:rFonts w:ascii="Simplified Arabic" w:eastAsia="Times New Roman" w:hAnsi="Simplified Arabic" w:cs="Simplified Arabic"/>
                <w:bCs/>
                <w:sz w:val="18"/>
                <w:szCs w:val="18"/>
                <w:rtl/>
                <w:lang w:val="en-US" w:eastAsia="fr-FR"/>
              </w:rPr>
              <w:t xml:space="preserve"> الإنقاذ والإجلاء</w:t>
            </w:r>
          </w:p>
        </w:tc>
      </w:tr>
      <w:tr w:rsidR="00322868" w:rsidRPr="000843C3" w:rsidTr="00322868">
        <w:trPr>
          <w:trHeight w:val="60"/>
          <w:jc w:val="center"/>
        </w:trPr>
        <w:tc>
          <w:tcPr>
            <w:tcW w:w="1347" w:type="dxa"/>
            <w:vAlign w:val="center"/>
          </w:tcPr>
          <w:p w:rsidR="00C121B0" w:rsidRPr="00322868" w:rsidRDefault="00C121B0" w:rsidP="00D2343B">
            <w:pPr>
              <w:widowControl w:val="0"/>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bCs/>
                <w:sz w:val="18"/>
                <w:szCs w:val="18"/>
                <w:rtl/>
                <w:lang w:val="en-US" w:eastAsia="fr-FR"/>
              </w:rPr>
              <w:t>معيار</w:t>
            </w:r>
            <w:r w:rsidRPr="00322868">
              <w:rPr>
                <w:rFonts w:ascii="Simplified Arabic" w:eastAsia="Times New Roman" w:hAnsi="Simplified Arabic" w:cs="Simplified Arabic"/>
                <w:bCs/>
                <w:sz w:val="18"/>
                <w:szCs w:val="18"/>
                <w:rtl/>
                <w:lang w:eastAsia="fr-FR"/>
              </w:rPr>
              <w:t xml:space="preserve"> التكفل الطبي</w:t>
            </w: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63"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0" w:type="dxa"/>
            <w:shd w:val="clear" w:color="auto" w:fill="D9D9D9" w:themeFill="background1" w:themeFillShade="D9"/>
            <w:vAlign w:val="center"/>
          </w:tcPr>
          <w:p w:rsidR="00C121B0" w:rsidRPr="009D2286" w:rsidRDefault="00C121B0" w:rsidP="00D2343B">
            <w:pPr>
              <w:tabs>
                <w:tab w:val="left" w:pos="3010"/>
              </w:tabs>
              <w:bidi/>
              <w:ind w:left="141"/>
              <w:jc w:val="center"/>
              <w:rPr>
                <w:rFonts w:ascii="Simplified Arabic" w:hAnsi="Simplified Arabic" w:cs="Simplified Arabic"/>
                <w:b/>
                <w:bCs/>
                <w:color w:val="000000" w:themeColor="text1"/>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shd w:val="clear" w:color="auto" w:fill="auto"/>
            <w:vAlign w:val="center"/>
          </w:tcPr>
          <w:p w:rsidR="00C121B0" w:rsidRPr="009D2286" w:rsidRDefault="00C121B0" w:rsidP="00D2343B">
            <w:pPr>
              <w:tabs>
                <w:tab w:val="left" w:pos="3010"/>
              </w:tabs>
              <w:bidi/>
              <w:ind w:left="141"/>
              <w:jc w:val="center"/>
              <w:rPr>
                <w:rFonts w:ascii="Simplified Arabic" w:hAnsi="Simplified Arabic" w:cs="Simplified Arabic"/>
                <w:b/>
                <w:bCs/>
                <w:sz w:val="16"/>
                <w:szCs w:val="16"/>
                <w:rtl/>
                <w:lang w:val="en-US" w:bidi="ar-DZ"/>
              </w:rPr>
            </w:pPr>
          </w:p>
        </w:tc>
        <w:tc>
          <w:tcPr>
            <w:tcW w:w="354"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8"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1865" w:type="dxa"/>
            <w:vAlign w:val="center"/>
          </w:tcPr>
          <w:p w:rsidR="00C121B0" w:rsidRPr="00322868" w:rsidRDefault="00C121B0" w:rsidP="00D2343B">
            <w:pPr>
              <w:widowControl w:val="0"/>
              <w:tabs>
                <w:tab w:val="right" w:pos="282"/>
              </w:tabs>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hint="cs"/>
                <w:bCs/>
                <w:sz w:val="18"/>
                <w:szCs w:val="18"/>
                <w:rtl/>
                <w:lang w:val="en-US" w:eastAsia="fr-FR"/>
              </w:rPr>
              <w:t>معيار</w:t>
            </w:r>
            <w:r w:rsidRPr="00322868">
              <w:rPr>
                <w:rFonts w:ascii="Simplified Arabic" w:eastAsia="Times New Roman" w:hAnsi="Simplified Arabic" w:cs="Simplified Arabic"/>
                <w:bCs/>
                <w:sz w:val="18"/>
                <w:szCs w:val="18"/>
                <w:rtl/>
                <w:lang w:val="en-US" w:eastAsia="fr-FR"/>
              </w:rPr>
              <w:t xml:space="preserve"> الأمن</w:t>
            </w:r>
          </w:p>
        </w:tc>
      </w:tr>
      <w:tr w:rsidR="00322868" w:rsidRPr="000843C3" w:rsidTr="00322868">
        <w:trPr>
          <w:trHeight w:val="60"/>
          <w:jc w:val="center"/>
        </w:trPr>
        <w:tc>
          <w:tcPr>
            <w:tcW w:w="1347" w:type="dxa"/>
            <w:vAlign w:val="center"/>
          </w:tcPr>
          <w:p w:rsidR="00C121B0" w:rsidRPr="00322868" w:rsidRDefault="00C121B0" w:rsidP="00D2343B">
            <w:pPr>
              <w:widowControl w:val="0"/>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bCs/>
                <w:sz w:val="18"/>
                <w:szCs w:val="18"/>
                <w:rtl/>
                <w:lang w:val="en-US" w:eastAsia="fr-FR"/>
              </w:rPr>
              <w:t>معيار</w:t>
            </w:r>
            <w:r w:rsidRPr="00322868">
              <w:rPr>
                <w:rFonts w:ascii="Simplified Arabic" w:eastAsia="Times New Roman" w:hAnsi="Simplified Arabic" w:cs="Simplified Arabic"/>
                <w:bCs/>
                <w:sz w:val="18"/>
                <w:szCs w:val="18"/>
                <w:rtl/>
                <w:lang w:eastAsia="fr-FR"/>
              </w:rPr>
              <w:t xml:space="preserve"> التكفل الطبي</w:t>
            </w: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63"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0" w:type="dxa"/>
            <w:shd w:val="clear" w:color="auto" w:fill="D9D9D9" w:themeFill="background1" w:themeFillShade="D9"/>
            <w:vAlign w:val="center"/>
          </w:tcPr>
          <w:p w:rsidR="00C121B0" w:rsidRPr="009D2286" w:rsidRDefault="00C121B0" w:rsidP="00D2343B">
            <w:pPr>
              <w:tabs>
                <w:tab w:val="left" w:pos="3010"/>
              </w:tabs>
              <w:bidi/>
              <w:ind w:left="141"/>
              <w:jc w:val="center"/>
              <w:rPr>
                <w:rFonts w:ascii="Simplified Arabic" w:hAnsi="Simplified Arabic" w:cs="Simplified Arabic"/>
                <w:b/>
                <w:bCs/>
                <w:color w:val="000000" w:themeColor="text1"/>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shd w:val="clear" w:color="auto" w:fill="auto"/>
            <w:vAlign w:val="center"/>
          </w:tcPr>
          <w:p w:rsidR="00C121B0" w:rsidRPr="009D2286" w:rsidRDefault="00C121B0" w:rsidP="00D2343B">
            <w:pPr>
              <w:tabs>
                <w:tab w:val="left" w:pos="3010"/>
              </w:tabs>
              <w:bidi/>
              <w:ind w:left="226"/>
              <w:jc w:val="center"/>
              <w:rPr>
                <w:rFonts w:ascii="Simplified Arabic" w:hAnsi="Simplified Arabic" w:cs="Simplified Arabic"/>
                <w:b/>
                <w:bCs/>
                <w:sz w:val="16"/>
                <w:szCs w:val="16"/>
                <w:rtl/>
                <w:lang w:val="en-US" w:bidi="ar-DZ"/>
              </w:rPr>
            </w:pPr>
          </w:p>
        </w:tc>
        <w:tc>
          <w:tcPr>
            <w:tcW w:w="354"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8"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1865" w:type="dxa"/>
            <w:vAlign w:val="center"/>
          </w:tcPr>
          <w:p w:rsidR="00C121B0" w:rsidRPr="00322868" w:rsidRDefault="00C121B0" w:rsidP="00D2343B">
            <w:pPr>
              <w:widowControl w:val="0"/>
              <w:tabs>
                <w:tab w:val="right" w:pos="282"/>
              </w:tabs>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hint="cs"/>
                <w:bCs/>
                <w:sz w:val="18"/>
                <w:szCs w:val="18"/>
                <w:rtl/>
                <w:lang w:val="en-US" w:eastAsia="fr-FR"/>
              </w:rPr>
              <w:t>معيار</w:t>
            </w:r>
            <w:r w:rsidRPr="00322868">
              <w:rPr>
                <w:rFonts w:ascii="Simplified Arabic" w:eastAsia="Times New Roman" w:hAnsi="Simplified Arabic" w:cs="Simplified Arabic"/>
                <w:bCs/>
                <w:sz w:val="18"/>
                <w:szCs w:val="18"/>
                <w:rtl/>
                <w:lang w:val="en-US" w:eastAsia="fr-FR"/>
              </w:rPr>
              <w:t xml:space="preserve"> الايواء المؤقت</w:t>
            </w:r>
          </w:p>
        </w:tc>
      </w:tr>
      <w:tr w:rsidR="00322868" w:rsidRPr="000843C3" w:rsidTr="00322868">
        <w:trPr>
          <w:trHeight w:val="60"/>
          <w:jc w:val="center"/>
        </w:trPr>
        <w:tc>
          <w:tcPr>
            <w:tcW w:w="1347" w:type="dxa"/>
            <w:vAlign w:val="center"/>
          </w:tcPr>
          <w:p w:rsidR="00C121B0" w:rsidRPr="00322868" w:rsidRDefault="00C121B0" w:rsidP="00D2343B">
            <w:pPr>
              <w:widowControl w:val="0"/>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bCs/>
                <w:sz w:val="18"/>
                <w:szCs w:val="18"/>
                <w:rtl/>
                <w:lang w:val="en-US" w:eastAsia="fr-FR"/>
              </w:rPr>
              <w:t>معيار</w:t>
            </w:r>
            <w:r w:rsidRPr="00322868">
              <w:rPr>
                <w:rFonts w:ascii="Simplified Arabic" w:eastAsia="Times New Roman" w:hAnsi="Simplified Arabic" w:cs="Simplified Arabic"/>
                <w:bCs/>
                <w:sz w:val="18"/>
                <w:szCs w:val="18"/>
                <w:rtl/>
                <w:lang w:eastAsia="fr-FR"/>
              </w:rPr>
              <w:t xml:space="preserve"> التكفل الطبي</w:t>
            </w: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63"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0" w:type="dxa"/>
            <w:shd w:val="clear" w:color="auto" w:fill="D9D9D9" w:themeFill="background1" w:themeFillShade="D9"/>
            <w:vAlign w:val="center"/>
          </w:tcPr>
          <w:p w:rsidR="00C121B0" w:rsidRPr="009D2286" w:rsidRDefault="00C121B0" w:rsidP="00D2343B">
            <w:pPr>
              <w:tabs>
                <w:tab w:val="left" w:pos="3010"/>
              </w:tabs>
              <w:bidi/>
              <w:ind w:left="141"/>
              <w:jc w:val="center"/>
              <w:rPr>
                <w:rFonts w:ascii="Simplified Arabic" w:hAnsi="Simplified Arabic" w:cs="Simplified Arabic"/>
                <w:b/>
                <w:bCs/>
                <w:color w:val="000000" w:themeColor="text1"/>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shd w:val="clear" w:color="auto" w:fill="auto"/>
            <w:vAlign w:val="center"/>
          </w:tcPr>
          <w:p w:rsidR="00C121B0" w:rsidRPr="009D2286" w:rsidRDefault="00C121B0" w:rsidP="00D2343B">
            <w:pPr>
              <w:tabs>
                <w:tab w:val="left" w:pos="3010"/>
              </w:tabs>
              <w:bidi/>
              <w:ind w:left="226"/>
              <w:jc w:val="center"/>
              <w:rPr>
                <w:rFonts w:ascii="Simplified Arabic" w:hAnsi="Simplified Arabic" w:cs="Simplified Arabic"/>
                <w:b/>
                <w:bCs/>
                <w:sz w:val="16"/>
                <w:szCs w:val="16"/>
                <w:rtl/>
                <w:lang w:val="en-US" w:bidi="ar-DZ"/>
              </w:rPr>
            </w:pPr>
          </w:p>
        </w:tc>
        <w:tc>
          <w:tcPr>
            <w:tcW w:w="354"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8"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1865" w:type="dxa"/>
            <w:vAlign w:val="center"/>
          </w:tcPr>
          <w:p w:rsidR="00C121B0" w:rsidRPr="00322868" w:rsidRDefault="00C121B0" w:rsidP="00D2343B">
            <w:pPr>
              <w:widowControl w:val="0"/>
              <w:tabs>
                <w:tab w:val="right" w:pos="282"/>
              </w:tabs>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hint="cs"/>
                <w:bCs/>
                <w:sz w:val="18"/>
                <w:szCs w:val="18"/>
                <w:rtl/>
                <w:lang w:val="en-US" w:eastAsia="fr-FR"/>
              </w:rPr>
              <w:t xml:space="preserve">معيار </w:t>
            </w:r>
            <w:r w:rsidRPr="00322868">
              <w:rPr>
                <w:rFonts w:ascii="Simplified Arabic" w:eastAsia="Times New Roman" w:hAnsi="Simplified Arabic" w:cs="Simplified Arabic"/>
                <w:bCs/>
                <w:sz w:val="18"/>
                <w:szCs w:val="18"/>
                <w:rtl/>
                <w:lang w:val="en-US" w:eastAsia="fr-FR"/>
              </w:rPr>
              <w:t>التضامن</w:t>
            </w:r>
            <w:r w:rsidRPr="00322868">
              <w:rPr>
                <w:rFonts w:ascii="Simplified Arabic" w:eastAsia="Times New Roman" w:hAnsi="Simplified Arabic" w:cs="Simplified Arabic" w:hint="cs"/>
                <w:bCs/>
                <w:sz w:val="18"/>
                <w:szCs w:val="18"/>
                <w:rtl/>
                <w:lang w:val="en-US" w:eastAsia="fr-FR"/>
              </w:rPr>
              <w:t>/</w:t>
            </w:r>
            <w:r w:rsidRPr="00322868">
              <w:rPr>
                <w:rFonts w:ascii="Simplified Arabic" w:eastAsia="Times New Roman" w:hAnsi="Simplified Arabic" w:cs="Simplified Arabic"/>
                <w:bCs/>
                <w:sz w:val="18"/>
                <w:szCs w:val="18"/>
                <w:rtl/>
                <w:lang w:val="en-US" w:eastAsia="fr-FR"/>
              </w:rPr>
              <w:t>التموين</w:t>
            </w:r>
          </w:p>
        </w:tc>
      </w:tr>
      <w:tr w:rsidR="00322868" w:rsidRPr="000843C3" w:rsidTr="00322868">
        <w:trPr>
          <w:trHeight w:val="60"/>
          <w:jc w:val="center"/>
        </w:trPr>
        <w:tc>
          <w:tcPr>
            <w:tcW w:w="1347" w:type="dxa"/>
            <w:vAlign w:val="center"/>
          </w:tcPr>
          <w:p w:rsidR="00C121B0" w:rsidRPr="00322868" w:rsidRDefault="00C121B0" w:rsidP="00D2343B">
            <w:pPr>
              <w:widowControl w:val="0"/>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bCs/>
                <w:sz w:val="18"/>
                <w:szCs w:val="18"/>
                <w:rtl/>
                <w:lang w:val="en-US" w:eastAsia="fr-FR"/>
              </w:rPr>
              <w:t>معيار</w:t>
            </w:r>
            <w:r w:rsidRPr="00322868">
              <w:rPr>
                <w:rFonts w:ascii="Simplified Arabic" w:eastAsia="Times New Roman" w:hAnsi="Simplified Arabic" w:cs="Simplified Arabic"/>
                <w:bCs/>
                <w:sz w:val="18"/>
                <w:szCs w:val="18"/>
                <w:rtl/>
                <w:lang w:eastAsia="fr-FR"/>
              </w:rPr>
              <w:t xml:space="preserve"> التكفل الطبي</w:t>
            </w: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63"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0" w:type="dxa"/>
            <w:shd w:val="clear" w:color="auto" w:fill="D9D9D9" w:themeFill="background1" w:themeFillShade="D9"/>
            <w:vAlign w:val="center"/>
          </w:tcPr>
          <w:p w:rsidR="00C121B0" w:rsidRPr="009D2286" w:rsidRDefault="00C121B0" w:rsidP="00D2343B">
            <w:pPr>
              <w:tabs>
                <w:tab w:val="left" w:pos="3010"/>
              </w:tabs>
              <w:bidi/>
              <w:ind w:left="141"/>
              <w:jc w:val="center"/>
              <w:rPr>
                <w:rFonts w:ascii="Simplified Arabic" w:hAnsi="Simplified Arabic" w:cs="Simplified Arabic"/>
                <w:b/>
                <w:bCs/>
                <w:color w:val="000000" w:themeColor="text1"/>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shd w:val="clear" w:color="auto" w:fill="auto"/>
            <w:vAlign w:val="center"/>
          </w:tcPr>
          <w:p w:rsidR="00C121B0" w:rsidRPr="009D2286" w:rsidRDefault="00C121B0" w:rsidP="00D2343B">
            <w:pPr>
              <w:tabs>
                <w:tab w:val="left" w:pos="3010"/>
              </w:tabs>
              <w:bidi/>
              <w:ind w:left="226"/>
              <w:jc w:val="center"/>
              <w:rPr>
                <w:rFonts w:ascii="Simplified Arabic" w:hAnsi="Simplified Arabic" w:cs="Simplified Arabic"/>
                <w:b/>
                <w:bCs/>
                <w:sz w:val="16"/>
                <w:szCs w:val="16"/>
                <w:rtl/>
                <w:lang w:val="en-US" w:bidi="ar-DZ"/>
              </w:rPr>
            </w:pPr>
          </w:p>
        </w:tc>
        <w:tc>
          <w:tcPr>
            <w:tcW w:w="354"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8"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1865" w:type="dxa"/>
            <w:vAlign w:val="center"/>
          </w:tcPr>
          <w:p w:rsidR="00C121B0" w:rsidRPr="00322868" w:rsidRDefault="00C121B0" w:rsidP="00D2343B">
            <w:pPr>
              <w:widowControl w:val="0"/>
              <w:tabs>
                <w:tab w:val="right" w:pos="282"/>
              </w:tabs>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hint="cs"/>
                <w:bCs/>
                <w:sz w:val="18"/>
                <w:szCs w:val="18"/>
                <w:rtl/>
                <w:lang w:val="en-US" w:eastAsia="fr-FR"/>
              </w:rPr>
              <w:t>معيار</w:t>
            </w:r>
            <w:r w:rsidRPr="00322868">
              <w:rPr>
                <w:rFonts w:ascii="Simplified Arabic" w:eastAsia="Times New Roman" w:hAnsi="Simplified Arabic" w:cs="Simplified Arabic"/>
                <w:bCs/>
                <w:sz w:val="18"/>
                <w:szCs w:val="18"/>
                <w:rtl/>
                <w:lang w:val="en-US" w:eastAsia="fr-FR"/>
              </w:rPr>
              <w:t xml:space="preserve"> كثافة </w:t>
            </w:r>
            <w:r w:rsidRPr="00322868">
              <w:rPr>
                <w:rFonts w:ascii="Simplified Arabic" w:eastAsia="Times New Roman" w:hAnsi="Simplified Arabic" w:cs="Simplified Arabic" w:hint="cs"/>
                <w:bCs/>
                <w:sz w:val="18"/>
                <w:szCs w:val="18"/>
                <w:rtl/>
                <w:lang w:val="en-US" w:eastAsia="fr-FR"/>
              </w:rPr>
              <w:t>البناء</w:t>
            </w:r>
          </w:p>
        </w:tc>
      </w:tr>
      <w:tr w:rsidR="00322868" w:rsidRPr="000843C3" w:rsidTr="00322868">
        <w:trPr>
          <w:trHeight w:val="60"/>
          <w:jc w:val="center"/>
        </w:trPr>
        <w:tc>
          <w:tcPr>
            <w:tcW w:w="1347" w:type="dxa"/>
            <w:vAlign w:val="center"/>
          </w:tcPr>
          <w:p w:rsidR="00C121B0" w:rsidRPr="00322868" w:rsidRDefault="00C121B0" w:rsidP="00D2343B">
            <w:pPr>
              <w:widowControl w:val="0"/>
              <w:autoSpaceDE w:val="0"/>
              <w:autoSpaceDN w:val="0"/>
              <w:bidi/>
              <w:jc w:val="center"/>
              <w:rPr>
                <w:rFonts w:ascii="Simplified Arabic" w:eastAsia="Times New Roman" w:hAnsi="Simplified Arabic" w:cs="Simplified Arabic"/>
                <w:bCs/>
                <w:sz w:val="18"/>
                <w:szCs w:val="18"/>
                <w:rtl/>
                <w:lang w:val="en-US" w:eastAsia="fr-FR"/>
              </w:rPr>
            </w:pPr>
            <w:r w:rsidRPr="00322868">
              <w:rPr>
                <w:rFonts w:ascii="Simplified Arabic" w:eastAsia="Times New Roman" w:hAnsi="Simplified Arabic" w:cs="Simplified Arabic"/>
                <w:bCs/>
                <w:sz w:val="18"/>
                <w:szCs w:val="18"/>
                <w:rtl/>
                <w:lang w:val="en-US" w:eastAsia="fr-FR"/>
              </w:rPr>
              <w:t>معيار</w:t>
            </w:r>
            <w:r w:rsidRPr="00322868">
              <w:rPr>
                <w:rFonts w:ascii="Simplified Arabic" w:eastAsia="Times New Roman" w:hAnsi="Simplified Arabic" w:cs="Simplified Arabic"/>
                <w:bCs/>
                <w:sz w:val="18"/>
                <w:szCs w:val="18"/>
                <w:rtl/>
                <w:lang w:eastAsia="fr-FR"/>
              </w:rPr>
              <w:t xml:space="preserve"> التكفل الطبي</w:t>
            </w: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63"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0" w:type="dxa"/>
            <w:shd w:val="clear" w:color="auto" w:fill="D9D9D9" w:themeFill="background1" w:themeFillShade="D9"/>
            <w:vAlign w:val="center"/>
          </w:tcPr>
          <w:p w:rsidR="00C121B0" w:rsidRPr="009D2286" w:rsidRDefault="00C121B0" w:rsidP="00D2343B">
            <w:pPr>
              <w:tabs>
                <w:tab w:val="left" w:pos="3010"/>
              </w:tabs>
              <w:bidi/>
              <w:ind w:left="141"/>
              <w:jc w:val="center"/>
              <w:rPr>
                <w:rFonts w:ascii="Simplified Arabic" w:hAnsi="Simplified Arabic" w:cs="Simplified Arabic"/>
                <w:b/>
                <w:bCs/>
                <w:color w:val="000000" w:themeColor="text1"/>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shd w:val="clear" w:color="auto" w:fill="auto"/>
            <w:vAlign w:val="center"/>
          </w:tcPr>
          <w:p w:rsidR="00C121B0" w:rsidRPr="009D2286" w:rsidRDefault="00C121B0" w:rsidP="00D2343B">
            <w:pPr>
              <w:tabs>
                <w:tab w:val="left" w:pos="3010"/>
              </w:tabs>
              <w:bidi/>
              <w:ind w:left="226"/>
              <w:jc w:val="center"/>
              <w:rPr>
                <w:rFonts w:ascii="Simplified Arabic" w:hAnsi="Simplified Arabic" w:cs="Simplified Arabic"/>
                <w:b/>
                <w:bCs/>
                <w:sz w:val="16"/>
                <w:szCs w:val="16"/>
                <w:rtl/>
                <w:lang w:val="en-US" w:bidi="ar-DZ"/>
              </w:rPr>
            </w:pPr>
          </w:p>
        </w:tc>
        <w:tc>
          <w:tcPr>
            <w:tcW w:w="354"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29"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378" w:type="dxa"/>
            <w:vAlign w:val="center"/>
          </w:tcPr>
          <w:p w:rsidR="00C121B0" w:rsidRPr="009D2286" w:rsidRDefault="00C121B0" w:rsidP="00D2343B">
            <w:pPr>
              <w:tabs>
                <w:tab w:val="left" w:pos="3010"/>
              </w:tabs>
              <w:bidi/>
              <w:jc w:val="center"/>
              <w:rPr>
                <w:rFonts w:ascii="Simplified Arabic" w:hAnsi="Simplified Arabic" w:cs="Simplified Arabic"/>
                <w:b/>
                <w:bCs/>
                <w:sz w:val="16"/>
                <w:szCs w:val="16"/>
                <w:rtl/>
                <w:lang w:val="en-US" w:bidi="ar-DZ"/>
              </w:rPr>
            </w:pPr>
          </w:p>
        </w:tc>
        <w:tc>
          <w:tcPr>
            <w:tcW w:w="1865" w:type="dxa"/>
            <w:vAlign w:val="center"/>
          </w:tcPr>
          <w:p w:rsidR="00C121B0" w:rsidRPr="00322868" w:rsidRDefault="007D2D9A" w:rsidP="00D2343B">
            <w:pPr>
              <w:widowControl w:val="0"/>
              <w:tabs>
                <w:tab w:val="right" w:pos="282"/>
              </w:tabs>
              <w:autoSpaceDE w:val="0"/>
              <w:autoSpaceDN w:val="0"/>
              <w:bidi/>
              <w:rPr>
                <w:rFonts w:ascii="Simplified Arabic" w:eastAsia="Times New Roman" w:hAnsi="Simplified Arabic" w:cs="Simplified Arabic"/>
                <w:bCs/>
                <w:sz w:val="18"/>
                <w:szCs w:val="18"/>
                <w:rtl/>
                <w:lang w:eastAsia="fr-FR" w:bidi="ar-DZ"/>
              </w:rPr>
            </w:pPr>
            <w:r w:rsidRPr="00322868">
              <w:rPr>
                <w:rFonts w:ascii="Simplified Arabic" w:eastAsia="Times New Roman" w:hAnsi="Simplified Arabic" w:cs="Simplified Arabic"/>
                <w:bCs/>
                <w:sz w:val="18"/>
                <w:szCs w:val="18"/>
                <w:rtl/>
                <w:lang w:val="en-US" w:eastAsia="fr-FR" w:bidi="ar-DZ"/>
              </w:rPr>
              <w:t>معيار عمق الطرق</w:t>
            </w:r>
            <w:r w:rsidR="00322868" w:rsidRPr="00322868">
              <w:rPr>
                <w:rFonts w:ascii="Simplified Arabic" w:eastAsia="Times New Roman" w:hAnsi="Simplified Arabic" w:cs="Simplified Arabic" w:hint="cs"/>
                <w:bCs/>
                <w:sz w:val="18"/>
                <w:szCs w:val="18"/>
                <w:rtl/>
                <w:lang w:val="en-US" w:eastAsia="fr-FR" w:bidi="ar-DZ"/>
              </w:rPr>
              <w:t xml:space="preserve"> </w:t>
            </w:r>
            <w:r w:rsidRPr="00322868">
              <w:rPr>
                <w:rFonts w:ascii="Simplified Arabic" w:eastAsia="Times New Roman" w:hAnsi="Simplified Arabic" w:cs="Simplified Arabic"/>
                <w:bCs/>
                <w:sz w:val="18"/>
                <w:szCs w:val="18"/>
                <w:rtl/>
                <w:lang w:val="en-US" w:eastAsia="fr-FR" w:bidi="ar-DZ"/>
              </w:rPr>
              <w:t>الشريانية</w:t>
            </w:r>
          </w:p>
        </w:tc>
      </w:tr>
    </w:tbl>
    <w:p w:rsidR="00C121B0" w:rsidRPr="000D189D" w:rsidRDefault="00C121B0" w:rsidP="0001739A">
      <w:pPr>
        <w:bidi/>
        <w:spacing w:before="240" w:after="0"/>
        <w:ind w:firstLine="282"/>
        <w:jc w:val="both"/>
        <w:rPr>
          <w:rFonts w:ascii="Simplified Arabic" w:hAnsi="Simplified Arabic" w:cs="Simplified Arabic"/>
          <w:sz w:val="24"/>
          <w:szCs w:val="24"/>
          <w:lang w:val="en-US"/>
        </w:rPr>
      </w:pPr>
      <w:r w:rsidRPr="000D189D">
        <w:rPr>
          <w:rFonts w:ascii="Simplified Arabic" w:hAnsi="Simplified Arabic" w:cs="Simplified Arabic"/>
          <w:sz w:val="24"/>
          <w:szCs w:val="24"/>
          <w:rtl/>
          <w:lang w:val="en-US"/>
        </w:rPr>
        <w:t xml:space="preserve">يختلف حجم مصفوفة المقارنة حسب عدد </w:t>
      </w:r>
      <w:r>
        <w:rPr>
          <w:rFonts w:ascii="Simplified Arabic" w:hAnsi="Simplified Arabic" w:cs="Simplified Arabic" w:hint="cs"/>
          <w:sz w:val="24"/>
          <w:szCs w:val="24"/>
          <w:rtl/>
          <w:lang w:val="en-US"/>
        </w:rPr>
        <w:t>المعايير</w:t>
      </w:r>
      <w:r w:rsidRPr="000D189D">
        <w:rPr>
          <w:rFonts w:ascii="Simplified Arabic" w:hAnsi="Simplified Arabic" w:cs="Simplified Arabic"/>
          <w:sz w:val="24"/>
          <w:szCs w:val="24"/>
          <w:rtl/>
          <w:lang w:val="en-US"/>
        </w:rPr>
        <w:t xml:space="preserve"> الحضرية. يوضح الجدول </w:t>
      </w:r>
      <w:r w:rsidRPr="006B2F93">
        <w:rPr>
          <w:rFonts w:ascii="Simplified Arabic" w:hAnsi="Simplified Arabic" w:cs="Simplified Arabic"/>
          <w:sz w:val="24"/>
          <w:szCs w:val="24"/>
          <w:rtl/>
          <w:lang w:bidi="ar-DZ"/>
        </w:rPr>
        <w:t>(</w:t>
      </w:r>
      <w:r w:rsidR="00322868">
        <w:rPr>
          <w:rFonts w:ascii="Simplified Arabic" w:hAnsi="Simplified Arabic" w:cs="Simplified Arabic" w:hint="cs"/>
          <w:sz w:val="24"/>
          <w:szCs w:val="24"/>
          <w:rtl/>
          <w:lang w:bidi="ar-DZ"/>
        </w:rPr>
        <w:t>5-10</w:t>
      </w:r>
      <w:r w:rsidRPr="006B2F93">
        <w:rPr>
          <w:rFonts w:ascii="Simplified Arabic" w:hAnsi="Simplified Arabic" w:cs="Simplified Arabic"/>
          <w:sz w:val="24"/>
          <w:szCs w:val="24"/>
          <w:rtl/>
          <w:lang w:bidi="ar-DZ"/>
        </w:rPr>
        <w:t>)</w:t>
      </w:r>
      <w:r w:rsidRPr="000D189D">
        <w:rPr>
          <w:rFonts w:ascii="Simplified Arabic" w:hAnsi="Simplified Arabic" w:cs="Simplified Arabic"/>
          <w:sz w:val="24"/>
          <w:szCs w:val="24"/>
          <w:rtl/>
          <w:lang w:val="en-US"/>
        </w:rPr>
        <w:t xml:space="preserve"> مصفوفة مقارنة زوجية مجمعة (مصفوفة متبادلة</w:t>
      </w:r>
      <w:r>
        <w:rPr>
          <w:rFonts w:ascii="Simplified Arabic" w:hAnsi="Simplified Arabic" w:cs="Simplified Arabic" w:hint="cs"/>
          <w:sz w:val="24"/>
          <w:szCs w:val="24"/>
          <w:rtl/>
          <w:lang w:val="en-US"/>
        </w:rPr>
        <w:t xml:space="preserve"> =</w:t>
      </w:r>
      <w:r w:rsidRPr="000D189D">
        <w:rPr>
          <w:rFonts w:ascii="Simplified Arabic" w:hAnsi="Simplified Arabic" w:cs="Simplified Arabic"/>
          <w:sz w:val="24"/>
          <w:szCs w:val="24"/>
          <w:rtl/>
          <w:lang w:val="en-US"/>
        </w:rPr>
        <w:t xml:space="preserve"> 7×7). تم إجراء مقارنات ثنائية لجميع </w:t>
      </w:r>
      <w:r>
        <w:rPr>
          <w:rFonts w:ascii="Simplified Arabic" w:hAnsi="Simplified Arabic" w:cs="Simplified Arabic" w:hint="cs"/>
          <w:sz w:val="24"/>
          <w:szCs w:val="24"/>
          <w:rtl/>
          <w:lang w:val="en-US"/>
        </w:rPr>
        <w:t>المعايير</w:t>
      </w:r>
      <w:r w:rsidRPr="000D189D">
        <w:rPr>
          <w:rFonts w:ascii="Simplified Arabic" w:hAnsi="Simplified Arabic" w:cs="Simplified Arabic"/>
          <w:sz w:val="24"/>
          <w:szCs w:val="24"/>
          <w:rtl/>
          <w:lang w:val="en-US"/>
        </w:rPr>
        <w:t xml:space="preserve"> الحضرية </w:t>
      </w:r>
      <w:r>
        <w:rPr>
          <w:rFonts w:ascii="Simplified Arabic" w:hAnsi="Simplified Arabic" w:cs="Simplified Arabic" w:hint="cs"/>
          <w:sz w:val="24"/>
          <w:szCs w:val="24"/>
          <w:rtl/>
          <w:lang w:val="en-US"/>
        </w:rPr>
        <w:t xml:space="preserve">التي ستستخدم في </w:t>
      </w:r>
      <w:r w:rsidR="0001739A">
        <w:rPr>
          <w:rFonts w:ascii="Simplified Arabic" w:hAnsi="Simplified Arabic" w:cs="Simplified Arabic" w:hint="cs"/>
          <w:sz w:val="24"/>
          <w:szCs w:val="24"/>
          <w:rtl/>
          <w:lang w:val="en-US"/>
        </w:rPr>
        <w:t>الاطار</w:t>
      </w:r>
      <w:r w:rsidRPr="000D189D">
        <w:rPr>
          <w:rFonts w:ascii="Simplified Arabic" w:hAnsi="Simplified Arabic" w:cs="Simplified Arabic"/>
          <w:sz w:val="24"/>
          <w:szCs w:val="24"/>
          <w:rtl/>
          <w:lang w:val="en-US"/>
        </w:rPr>
        <w:t xml:space="preserve"> المقترح </w:t>
      </w:r>
      <w:r>
        <w:rPr>
          <w:rFonts w:ascii="Simplified Arabic" w:hAnsi="Simplified Arabic" w:cs="Simplified Arabic" w:hint="cs"/>
          <w:sz w:val="24"/>
          <w:szCs w:val="24"/>
          <w:rtl/>
          <w:lang w:val="en-US"/>
        </w:rPr>
        <w:t>ل</w:t>
      </w:r>
      <w:r w:rsidRPr="000D189D">
        <w:rPr>
          <w:rFonts w:ascii="Simplified Arabic" w:hAnsi="Simplified Arabic" w:cs="Simplified Arabic"/>
          <w:sz w:val="24"/>
          <w:szCs w:val="24"/>
          <w:rtl/>
          <w:lang w:val="en-US"/>
        </w:rPr>
        <w:t xml:space="preserve">تقييم المرونة الحضرية، تم إرسالها إلى مجموعة </w:t>
      </w:r>
      <w:r>
        <w:rPr>
          <w:rFonts w:ascii="Simplified Arabic" w:hAnsi="Simplified Arabic" w:cs="Simplified Arabic" w:hint="cs"/>
          <w:sz w:val="24"/>
          <w:szCs w:val="24"/>
          <w:rtl/>
          <w:lang w:val="en-US"/>
        </w:rPr>
        <w:t xml:space="preserve">من </w:t>
      </w:r>
      <w:r w:rsidRPr="000D189D">
        <w:rPr>
          <w:rFonts w:ascii="Simplified Arabic" w:hAnsi="Simplified Arabic" w:cs="Simplified Arabic"/>
          <w:sz w:val="24"/>
          <w:szCs w:val="24"/>
          <w:rtl/>
          <w:lang w:val="en-US"/>
        </w:rPr>
        <w:t xml:space="preserve">الخبراء </w:t>
      </w:r>
      <w:r>
        <w:rPr>
          <w:rFonts w:ascii="Simplified Arabic" w:hAnsi="Simplified Arabic" w:cs="Simplified Arabic" w:hint="cs"/>
          <w:sz w:val="24"/>
          <w:szCs w:val="24"/>
          <w:rtl/>
          <w:lang w:val="en-US"/>
        </w:rPr>
        <w:t xml:space="preserve">المحليين </w:t>
      </w:r>
      <w:r w:rsidRPr="000D189D">
        <w:rPr>
          <w:rFonts w:ascii="Simplified Arabic" w:hAnsi="Simplified Arabic" w:cs="Simplified Arabic"/>
          <w:sz w:val="24"/>
          <w:szCs w:val="24"/>
          <w:rtl/>
          <w:lang w:val="en-US"/>
        </w:rPr>
        <w:t xml:space="preserve">عبر البريد الإلكتروني. تم رفض ردان اثنان من الخبراء بسبب نسبة الاتساق </w:t>
      </w:r>
      <w:r w:rsidRPr="000D189D">
        <w:rPr>
          <w:rFonts w:asciiTheme="majorBidi" w:hAnsiTheme="majorBidi" w:cstheme="majorBidi"/>
          <w:sz w:val="24"/>
          <w:szCs w:val="24"/>
          <w:rtl/>
          <w:lang w:val="en-US"/>
        </w:rPr>
        <w:t>(</w:t>
      </w:r>
      <w:r w:rsidRPr="000D189D">
        <w:rPr>
          <w:rFonts w:asciiTheme="majorBidi" w:hAnsiTheme="majorBidi" w:cstheme="majorBidi"/>
          <w:sz w:val="24"/>
          <w:szCs w:val="24"/>
          <w:lang w:val="en-US"/>
        </w:rPr>
        <w:t>CR</w:t>
      </w:r>
      <w:r w:rsidRPr="000D189D">
        <w:rPr>
          <w:rFonts w:asciiTheme="majorBidi" w:hAnsiTheme="majorBidi" w:cstheme="majorBidi"/>
          <w:sz w:val="24"/>
          <w:szCs w:val="24"/>
          <w:rtl/>
          <w:lang w:val="en-US"/>
        </w:rPr>
        <w:t>)</w:t>
      </w:r>
      <w:r w:rsidRPr="000D189D">
        <w:rPr>
          <w:rFonts w:ascii="Simplified Arabic" w:hAnsi="Simplified Arabic" w:cs="Simplified Arabic"/>
          <w:sz w:val="24"/>
          <w:szCs w:val="24"/>
          <w:rtl/>
          <w:lang w:val="en-US"/>
        </w:rPr>
        <w:t xml:space="preserve"> التي تجاوزت 0.1، بينما تم استخدام الإجابات الـ </w:t>
      </w:r>
      <w:r>
        <w:rPr>
          <w:rFonts w:ascii="Simplified Arabic" w:hAnsi="Simplified Arabic" w:cs="Simplified Arabic" w:hint="cs"/>
          <w:sz w:val="24"/>
          <w:szCs w:val="24"/>
          <w:rtl/>
          <w:lang w:val="en-US"/>
        </w:rPr>
        <w:t>10</w:t>
      </w:r>
      <w:r w:rsidRPr="000D189D">
        <w:rPr>
          <w:rFonts w:ascii="Simplified Arabic" w:hAnsi="Simplified Arabic" w:cs="Simplified Arabic"/>
          <w:sz w:val="24"/>
          <w:szCs w:val="24"/>
          <w:rtl/>
          <w:lang w:val="en-US"/>
        </w:rPr>
        <w:t xml:space="preserve"> المتبقية لتحديد التصنيفات. أخيرًا، تم حساب إجماع المجموعات باستخدام </w:t>
      </w:r>
      <w:r w:rsidRPr="00DF549D">
        <w:rPr>
          <w:rFonts w:ascii="Simplified Arabic" w:hAnsi="Simplified Arabic" w:cs="Simplified Arabic" w:hint="cs"/>
          <w:color w:val="000000" w:themeColor="text1"/>
          <w:sz w:val="24"/>
          <w:szCs w:val="24"/>
          <w:rtl/>
          <w:lang w:bidi="ar-DZ"/>
        </w:rPr>
        <w:t>الوظيفة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التحليلية</w:t>
      </w:r>
      <w:r w:rsidRPr="00DF549D">
        <w:rPr>
          <w:rFonts w:ascii="Simplified Arabic" w:hAnsi="Simplified Arabic" w:cs="Simplified Arabic"/>
          <w:color w:val="000000" w:themeColor="text1"/>
          <w:sz w:val="24"/>
          <w:szCs w:val="24"/>
          <w:rtl/>
          <w:lang w:bidi="ar-DZ"/>
        </w:rPr>
        <w:t xml:space="preserve"> </w:t>
      </w:r>
      <w:r w:rsidRPr="00DF549D">
        <w:rPr>
          <w:rFonts w:ascii="Simplified Arabic" w:hAnsi="Simplified Arabic" w:cs="Simplified Arabic" w:hint="cs"/>
          <w:color w:val="000000" w:themeColor="text1"/>
          <w:sz w:val="24"/>
          <w:szCs w:val="24"/>
          <w:rtl/>
          <w:lang w:bidi="ar-DZ"/>
        </w:rPr>
        <w:t>لبرنامج</w:t>
      </w:r>
      <w:r w:rsidRPr="000843C3">
        <w:rPr>
          <w:rFonts w:asciiTheme="minorBidi" w:hAnsiTheme="minorBidi" w:cs="Arial"/>
          <w:sz w:val="24"/>
          <w:szCs w:val="24"/>
          <w:rtl/>
          <w:lang w:val="en-US"/>
        </w:rPr>
        <w:t xml:space="preserve"> </w:t>
      </w:r>
      <w:r w:rsidRPr="00E32579">
        <w:rPr>
          <w:rFonts w:asciiTheme="majorBidi" w:hAnsiTheme="majorBidi" w:cstheme="majorBidi"/>
          <w:sz w:val="24"/>
          <w:szCs w:val="24"/>
          <w:lang w:val="en-US"/>
        </w:rPr>
        <w:t>Excel Microsoft</w:t>
      </w:r>
      <w:r w:rsidRPr="000D189D">
        <w:rPr>
          <w:rFonts w:ascii="Simplified Arabic" w:hAnsi="Simplified Arabic" w:cs="Simplified Arabic"/>
          <w:sz w:val="24"/>
          <w:szCs w:val="24"/>
          <w:rtl/>
          <w:lang w:val="en-US"/>
        </w:rPr>
        <w:t xml:space="preserve"> لتوليد الأوزان الإجمالية </w:t>
      </w:r>
      <w:r>
        <w:rPr>
          <w:rFonts w:ascii="Simplified Arabic" w:hAnsi="Simplified Arabic" w:cs="Simplified Arabic" w:hint="cs"/>
          <w:sz w:val="24"/>
          <w:szCs w:val="24"/>
          <w:rtl/>
          <w:lang w:val="en-US"/>
        </w:rPr>
        <w:t>للمعايير</w:t>
      </w:r>
      <w:r w:rsidRPr="000D189D">
        <w:rPr>
          <w:rFonts w:ascii="Simplified Arabic" w:hAnsi="Simplified Arabic" w:cs="Simplified Arabic"/>
          <w:sz w:val="24"/>
          <w:szCs w:val="24"/>
          <w:rtl/>
          <w:lang w:val="en-US"/>
        </w:rPr>
        <w:t xml:space="preserve"> الرئيسية. تم استخدام برنامج </w:t>
      </w:r>
      <w:r w:rsidRPr="004D62EB">
        <w:rPr>
          <w:rFonts w:asciiTheme="majorBidi" w:hAnsiTheme="majorBidi" w:cstheme="majorBidi"/>
          <w:sz w:val="24"/>
          <w:szCs w:val="24"/>
          <w:lang w:val="en-US"/>
        </w:rPr>
        <w:t>Excel</w:t>
      </w:r>
      <w:r w:rsidRPr="000D189D">
        <w:rPr>
          <w:rFonts w:ascii="Simplified Arabic" w:hAnsi="Simplified Arabic" w:cs="Simplified Arabic"/>
          <w:sz w:val="24"/>
          <w:szCs w:val="24"/>
          <w:lang w:val="en-US"/>
        </w:rPr>
        <w:t xml:space="preserve"> </w:t>
      </w:r>
      <w:r w:rsidRPr="004D62EB">
        <w:rPr>
          <w:rFonts w:asciiTheme="majorBidi" w:hAnsiTheme="majorBidi" w:cstheme="majorBidi"/>
          <w:sz w:val="24"/>
          <w:szCs w:val="24"/>
          <w:lang w:val="en-US"/>
        </w:rPr>
        <w:t>Microsoft</w:t>
      </w:r>
      <w:r w:rsidRPr="000D189D">
        <w:rPr>
          <w:rFonts w:ascii="Simplified Arabic" w:hAnsi="Simplified Arabic" w:cs="Simplified Arabic"/>
          <w:sz w:val="24"/>
          <w:szCs w:val="24"/>
          <w:rtl/>
          <w:lang w:val="en-US"/>
        </w:rPr>
        <w:t xml:space="preserve"> كأداة رئيسية لتنفيذ</w:t>
      </w:r>
      <w:r>
        <w:rPr>
          <w:rFonts w:ascii="Simplified Arabic" w:hAnsi="Simplified Arabic" w:cs="Simplified Arabic" w:hint="cs"/>
          <w:sz w:val="24"/>
          <w:szCs w:val="24"/>
          <w:rtl/>
          <w:lang w:val="en-US"/>
        </w:rPr>
        <w:t xml:space="preserve"> </w:t>
      </w:r>
      <w:r w:rsidRPr="000D189D">
        <w:rPr>
          <w:rFonts w:ascii="Simplified Arabic" w:hAnsi="Simplified Arabic" w:cs="Simplified Arabic"/>
          <w:sz w:val="24"/>
          <w:szCs w:val="24"/>
          <w:rtl/>
          <w:lang w:val="en-US"/>
        </w:rPr>
        <w:t>مفاهيم</w:t>
      </w:r>
      <w:r>
        <w:rPr>
          <w:rFonts w:ascii="Simplified Arabic" w:hAnsi="Simplified Arabic" w:cs="Simplified Arabic" w:hint="cs"/>
          <w:sz w:val="24"/>
          <w:szCs w:val="24"/>
          <w:rtl/>
          <w:lang w:val="en-US"/>
        </w:rPr>
        <w:t xml:space="preserve"> </w:t>
      </w:r>
      <w:r w:rsidRPr="00E32579">
        <w:rPr>
          <w:rFonts w:asciiTheme="majorBidi" w:hAnsiTheme="majorBidi" w:cstheme="majorBidi"/>
          <w:sz w:val="24"/>
          <w:szCs w:val="24"/>
          <w:lang w:val="en-US"/>
        </w:rPr>
        <w:t>AHP</w:t>
      </w:r>
      <w:r w:rsidRPr="000D189D">
        <w:rPr>
          <w:rFonts w:ascii="Simplified Arabic" w:hAnsi="Simplified Arabic" w:cs="Simplified Arabic"/>
          <w:sz w:val="24"/>
          <w:szCs w:val="24"/>
          <w:rtl/>
          <w:lang w:val="en-US"/>
        </w:rPr>
        <w:t xml:space="preserve"> </w:t>
      </w:r>
      <w:r w:rsidRPr="00030245">
        <w:rPr>
          <w:rFonts w:asciiTheme="majorBidi" w:hAnsiTheme="majorBidi" w:cstheme="majorBidi"/>
          <w:sz w:val="24"/>
          <w:szCs w:val="24"/>
          <w:rtl/>
          <w:lang w:val="en-US"/>
        </w:rPr>
        <w:t>(</w:t>
      </w:r>
      <w:r w:rsidRPr="005B0947">
        <w:rPr>
          <w:rFonts w:asciiTheme="majorBidi" w:hAnsiTheme="majorBidi" w:cstheme="majorBidi"/>
          <w:sz w:val="24"/>
          <w:szCs w:val="24"/>
          <w:lang w:val="en-US"/>
        </w:rPr>
        <w:t>Goepel</w:t>
      </w:r>
      <w:r w:rsidRPr="00030245">
        <w:rPr>
          <w:rFonts w:asciiTheme="majorBidi" w:hAnsiTheme="majorBidi" w:cstheme="majorBidi"/>
          <w:sz w:val="24"/>
          <w:szCs w:val="24"/>
          <w:lang w:val="en-US"/>
        </w:rPr>
        <w:t>, 2013</w:t>
      </w:r>
      <w:r w:rsidRPr="00030245">
        <w:rPr>
          <w:rFonts w:asciiTheme="majorBidi" w:hAnsiTheme="majorBidi" w:cstheme="majorBidi"/>
          <w:sz w:val="24"/>
          <w:szCs w:val="24"/>
          <w:rtl/>
          <w:lang w:val="en-US"/>
        </w:rPr>
        <w:t>)</w:t>
      </w:r>
      <w:r>
        <w:rPr>
          <w:rFonts w:ascii="Simplified Arabic" w:hAnsi="Simplified Arabic" w:cs="Simplified Arabic" w:hint="cs"/>
          <w:sz w:val="24"/>
          <w:szCs w:val="24"/>
          <w:rtl/>
          <w:lang w:val="en-US"/>
        </w:rPr>
        <w:t>.</w:t>
      </w:r>
    </w:p>
    <w:p w:rsidR="00C121B0" w:rsidRPr="001A051A" w:rsidRDefault="00C121B0" w:rsidP="00A73815">
      <w:pPr>
        <w:pStyle w:val="Paragraphedeliste"/>
        <w:numPr>
          <w:ilvl w:val="3"/>
          <w:numId w:val="162"/>
        </w:numPr>
        <w:tabs>
          <w:tab w:val="right" w:pos="992"/>
        </w:tabs>
        <w:bidi/>
        <w:spacing w:after="0"/>
        <w:ind w:left="0" w:firstLine="0"/>
        <w:outlineLvl w:val="2"/>
        <w:rPr>
          <w:rFonts w:ascii="Simplified Arabic" w:hAnsi="Simplified Arabic" w:cs="Simplified Arabic"/>
          <w:b/>
          <w:bCs/>
          <w:sz w:val="24"/>
          <w:szCs w:val="24"/>
          <w:rtl/>
          <w:lang w:val="en-US"/>
        </w:rPr>
      </w:pPr>
      <w:bookmarkStart w:id="663" w:name="_Toc171803686"/>
      <w:r w:rsidRPr="001A051A">
        <w:rPr>
          <w:rFonts w:ascii="Simplified Arabic" w:hAnsi="Simplified Arabic" w:cs="Simplified Arabic"/>
          <w:b/>
          <w:bCs/>
          <w:sz w:val="24"/>
          <w:szCs w:val="24"/>
          <w:rtl/>
          <w:lang w:val="en-US"/>
        </w:rPr>
        <w:t>توزيع الأوزان</w:t>
      </w:r>
      <w:bookmarkEnd w:id="663"/>
    </w:p>
    <w:p w:rsidR="00C121B0" w:rsidRDefault="00C121B0" w:rsidP="00C222A9">
      <w:pPr>
        <w:tabs>
          <w:tab w:val="right" w:pos="282"/>
        </w:tabs>
        <w:bidi/>
        <w:spacing w:after="0"/>
        <w:ind w:firstLine="282"/>
        <w:jc w:val="both"/>
        <w:rPr>
          <w:rFonts w:ascii="Simplified Arabic" w:hAnsi="Simplified Arabic" w:cs="Simplified Arabic"/>
          <w:sz w:val="24"/>
          <w:szCs w:val="24"/>
          <w:rtl/>
          <w:lang w:bidi="ar-DZ"/>
        </w:rPr>
      </w:pPr>
      <w:r w:rsidRPr="006B2F93">
        <w:rPr>
          <w:rFonts w:ascii="Simplified Arabic" w:hAnsi="Simplified Arabic" w:cs="Simplified Arabic"/>
          <w:sz w:val="24"/>
          <w:szCs w:val="24"/>
          <w:rtl/>
          <w:lang w:bidi="ar-DZ"/>
        </w:rPr>
        <w:t xml:space="preserve">تم تنفيذ مصفوفة </w:t>
      </w:r>
      <w:r w:rsidRPr="006B2F93">
        <w:rPr>
          <w:rFonts w:ascii="Simplified Arabic" w:hAnsi="Simplified Arabic" w:cs="Simplified Arabic"/>
          <w:sz w:val="24"/>
          <w:szCs w:val="24"/>
          <w:rtl/>
          <w:lang w:val="en-US"/>
        </w:rPr>
        <w:t xml:space="preserve">المقارنة الزوجية </w:t>
      </w:r>
      <w:r w:rsidRPr="006B2F93">
        <w:rPr>
          <w:rFonts w:ascii="Simplified Arabic" w:hAnsi="Simplified Arabic" w:cs="Simplified Arabic"/>
          <w:sz w:val="24"/>
          <w:szCs w:val="24"/>
          <w:rtl/>
          <w:lang w:bidi="ar-DZ"/>
        </w:rPr>
        <w:t xml:space="preserve">لكل من المعايير الرئيسية والمعايير الفرعية من خلال استبيان شمل </w:t>
      </w:r>
      <w:r w:rsidRPr="006B2F93">
        <w:rPr>
          <w:rFonts w:ascii="Simplified Arabic" w:hAnsi="Simplified Arabic" w:cs="Simplified Arabic"/>
          <w:sz w:val="24"/>
          <w:szCs w:val="24"/>
          <w:rtl/>
          <w:lang w:val="en-US" w:bidi="ar-DZ"/>
        </w:rPr>
        <w:t xml:space="preserve">آراء </w:t>
      </w:r>
      <w:r w:rsidRPr="006B2F93">
        <w:rPr>
          <w:rFonts w:ascii="Simplified Arabic" w:hAnsi="Simplified Arabic" w:cs="Simplified Arabic"/>
          <w:sz w:val="24"/>
          <w:szCs w:val="24"/>
          <w:rtl/>
          <w:lang w:bidi="ar-DZ"/>
        </w:rPr>
        <w:t xml:space="preserve">خبراء محليين، الجدول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10</w:t>
      </w:r>
      <w:r w:rsidR="00AF7197">
        <w:rPr>
          <w:rFonts w:ascii="Simplified Arabic" w:eastAsia="Times New Roman" w:hAnsi="Simplified Arabic" w:cs="Simplified Arabic" w:hint="cs"/>
          <w:b/>
          <w:sz w:val="24"/>
          <w:szCs w:val="24"/>
          <w:rtl/>
          <w:lang w:val="en-US" w:eastAsia="fr-FR"/>
        </w:rPr>
        <w:t>)</w:t>
      </w:r>
      <w:r w:rsidRPr="006B2F9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تم القيام بالعمليات الحسابية، </w:t>
      </w:r>
      <w:r w:rsidR="00A73815">
        <w:rPr>
          <w:rFonts w:ascii="Simplified Arabic" w:hAnsi="Simplified Arabic" w:cs="Simplified Arabic" w:hint="cs"/>
          <w:sz w:val="24"/>
          <w:szCs w:val="24"/>
          <w:rtl/>
          <w:lang w:bidi="ar-DZ"/>
        </w:rPr>
        <w:t>باستخدام</w:t>
      </w:r>
      <w:r>
        <w:rPr>
          <w:rFonts w:ascii="Simplified Arabic" w:hAnsi="Simplified Arabic" w:cs="Simplified Arabic" w:hint="cs"/>
          <w:sz w:val="24"/>
          <w:szCs w:val="24"/>
          <w:rtl/>
          <w:lang w:bidi="ar-DZ"/>
        </w:rPr>
        <w:t xml:space="preserve"> </w:t>
      </w:r>
      <w:r w:rsidRPr="008B3F07">
        <w:rPr>
          <w:rFonts w:asciiTheme="majorBidi" w:hAnsiTheme="majorBidi" w:cstheme="majorBidi"/>
          <w:sz w:val="24"/>
          <w:szCs w:val="24"/>
          <w:lang w:bidi="ar-DZ"/>
        </w:rPr>
        <w:t>(</w:t>
      </w:r>
      <w:r w:rsidRPr="004D62EB">
        <w:rPr>
          <w:rFonts w:asciiTheme="majorBidi" w:hAnsiTheme="majorBidi" w:cstheme="majorBidi"/>
          <w:sz w:val="24"/>
          <w:szCs w:val="24"/>
          <w:lang w:val="en-US"/>
        </w:rPr>
        <w:t>Excel</w:t>
      </w:r>
      <w:r w:rsidRPr="000D189D">
        <w:rPr>
          <w:rFonts w:ascii="Simplified Arabic" w:hAnsi="Simplified Arabic" w:cs="Simplified Arabic"/>
          <w:sz w:val="24"/>
          <w:szCs w:val="24"/>
          <w:lang w:val="en-US"/>
        </w:rPr>
        <w:t xml:space="preserve"> </w:t>
      </w:r>
      <w:r w:rsidRPr="004D62EB">
        <w:rPr>
          <w:rFonts w:asciiTheme="majorBidi" w:hAnsiTheme="majorBidi" w:cstheme="majorBidi"/>
          <w:sz w:val="24"/>
          <w:szCs w:val="24"/>
          <w:lang w:val="en-US"/>
        </w:rPr>
        <w:t>Microsoft</w:t>
      </w:r>
      <w:r w:rsidRPr="008B3F07">
        <w:rPr>
          <w:rFonts w:asciiTheme="majorBidi" w:hAnsiTheme="majorBidi" w:cstheme="majorBidi"/>
          <w:sz w:val="24"/>
          <w:szCs w:val="24"/>
          <w:lang w:bidi="ar-DZ"/>
        </w:rPr>
        <w:t>)</w:t>
      </w:r>
      <w:r w:rsidRPr="008B3F07">
        <w:rPr>
          <w:rFonts w:ascii="Simplified Arabic" w:hAnsi="Simplified Arabic" w:cs="Simplified Arabic"/>
          <w:sz w:val="24"/>
          <w:szCs w:val="24"/>
          <w:rtl/>
          <w:lang w:bidi="ar-DZ"/>
        </w:rPr>
        <w:t>.</w:t>
      </w:r>
      <w:r w:rsidR="00A73815">
        <w:rPr>
          <w:rFonts w:ascii="Simplified Arabic" w:hAnsi="Simplified Arabic" w:cs="Simplified Arabic" w:hint="cs"/>
          <w:sz w:val="24"/>
          <w:szCs w:val="24"/>
          <w:rtl/>
          <w:lang w:bidi="ar-DZ"/>
        </w:rPr>
        <w:t xml:space="preserve"> </w:t>
      </w:r>
      <w:r w:rsidRPr="006B2F93">
        <w:rPr>
          <w:rFonts w:ascii="Simplified Arabic" w:hAnsi="Simplified Arabic" w:cs="Simplified Arabic"/>
          <w:sz w:val="24"/>
          <w:szCs w:val="24"/>
          <w:rtl/>
          <w:lang w:bidi="ar-DZ"/>
        </w:rPr>
        <w:t>وفقًا لـ</w:t>
      </w:r>
      <w:r w:rsidRPr="00543432">
        <w:rPr>
          <w:sz w:val="24"/>
          <w:szCs w:val="24"/>
          <w:rtl/>
          <w:lang w:bidi="ar-DZ"/>
        </w:rPr>
        <w:t xml:space="preserve"> (</w:t>
      </w:r>
      <w:r w:rsidRPr="005B0947">
        <w:rPr>
          <w:rFonts w:asciiTheme="majorBidi" w:hAnsiTheme="majorBidi" w:cstheme="majorBidi"/>
          <w:sz w:val="24"/>
          <w:szCs w:val="24"/>
          <w:lang w:bidi="ar-DZ"/>
        </w:rPr>
        <w:t>Saaty</w:t>
      </w:r>
      <w:r>
        <w:rPr>
          <w:rFonts w:asciiTheme="majorBidi" w:hAnsiTheme="majorBidi" w:cstheme="majorBidi"/>
          <w:sz w:val="24"/>
          <w:szCs w:val="24"/>
          <w:lang w:bidi="ar-DZ"/>
        </w:rPr>
        <w:t>,</w:t>
      </w:r>
      <w:r w:rsidRPr="007C7ACE">
        <w:rPr>
          <w:rFonts w:asciiTheme="majorBidi" w:hAnsiTheme="majorBidi" w:cstheme="majorBidi"/>
          <w:sz w:val="24"/>
          <w:szCs w:val="24"/>
          <w:lang w:bidi="ar-DZ"/>
        </w:rPr>
        <w:t xml:space="preserve"> 1980</w:t>
      </w:r>
      <w:r w:rsidRPr="006B2F93">
        <w:rPr>
          <w:rFonts w:ascii="Simplified Arabic" w:hAnsi="Simplified Arabic" w:cs="Simplified Arabic"/>
          <w:sz w:val="24"/>
          <w:szCs w:val="24"/>
          <w:rtl/>
          <w:lang w:bidi="ar-DZ"/>
        </w:rPr>
        <w:t>)</w:t>
      </w:r>
      <w:r w:rsidRPr="006B2F93">
        <w:rPr>
          <w:rFonts w:ascii="Simplified Arabic" w:hAnsi="Simplified Arabic" w:cs="Simplified Arabic" w:hint="cs"/>
          <w:sz w:val="24"/>
          <w:szCs w:val="24"/>
          <w:rtl/>
          <w:lang w:bidi="ar-DZ"/>
        </w:rPr>
        <w:t>،</w:t>
      </w:r>
      <w:r w:rsidRPr="0033302A">
        <w:rPr>
          <w:rFonts w:ascii="Simplified Arabic" w:hAnsi="Simplified Arabic" w:cs="Simplified Arabic"/>
          <w:sz w:val="24"/>
          <w:szCs w:val="24"/>
          <w:rtl/>
          <w:lang w:bidi="ar-DZ"/>
        </w:rPr>
        <w:t xml:space="preserve"> </w:t>
      </w:r>
      <w:r w:rsidRPr="006B2F93">
        <w:rPr>
          <w:rFonts w:ascii="Simplified Arabic" w:hAnsi="Simplified Arabic" w:cs="Simplified Arabic" w:hint="cs"/>
          <w:sz w:val="24"/>
          <w:szCs w:val="24"/>
          <w:rtl/>
          <w:lang w:bidi="ar-DZ"/>
        </w:rPr>
        <w:t>إذا</w:t>
      </w:r>
      <w:r w:rsidRPr="006B2F93">
        <w:rPr>
          <w:rFonts w:ascii="Simplified Arabic" w:hAnsi="Simplified Arabic" w:cs="Simplified Arabic"/>
          <w:sz w:val="24"/>
          <w:szCs w:val="24"/>
          <w:rtl/>
          <w:lang w:bidi="ar-DZ"/>
        </w:rPr>
        <w:t xml:space="preserve"> </w:t>
      </w:r>
      <w:r w:rsidRPr="006B2F93">
        <w:rPr>
          <w:rFonts w:ascii="Simplified Arabic" w:hAnsi="Simplified Arabic" w:cs="Simplified Arabic" w:hint="cs"/>
          <w:sz w:val="24"/>
          <w:szCs w:val="24"/>
          <w:rtl/>
          <w:lang w:bidi="ar-DZ"/>
        </w:rPr>
        <w:t>تجاوزت</w:t>
      </w:r>
      <w:r w:rsidRPr="006B2F93">
        <w:rPr>
          <w:rFonts w:ascii="Simplified Arabic" w:hAnsi="Simplified Arabic" w:cs="Simplified Arabic"/>
          <w:sz w:val="24"/>
          <w:szCs w:val="24"/>
          <w:rtl/>
          <w:lang w:bidi="ar-DZ"/>
        </w:rPr>
        <w:t xml:space="preserve"> </w:t>
      </w:r>
      <w:r w:rsidRPr="006B2F93">
        <w:rPr>
          <w:rFonts w:ascii="Simplified Arabic" w:hAnsi="Simplified Arabic" w:cs="Simplified Arabic" w:hint="cs"/>
          <w:sz w:val="24"/>
          <w:szCs w:val="24"/>
          <w:rtl/>
          <w:lang w:bidi="ar-DZ"/>
        </w:rPr>
        <w:t>نسبة</w:t>
      </w:r>
      <w:r w:rsidRPr="006B2F93">
        <w:rPr>
          <w:rFonts w:ascii="Simplified Arabic" w:hAnsi="Simplified Arabic" w:cs="Simplified Arabic"/>
          <w:sz w:val="24"/>
          <w:szCs w:val="24"/>
          <w:rtl/>
          <w:lang w:bidi="ar-DZ"/>
        </w:rPr>
        <w:t xml:space="preserve"> </w:t>
      </w:r>
      <w:r w:rsidRPr="006B2F93">
        <w:rPr>
          <w:rFonts w:ascii="Simplified Arabic" w:hAnsi="Simplified Arabic" w:cs="Simplified Arabic" w:hint="cs"/>
          <w:sz w:val="24"/>
          <w:szCs w:val="24"/>
          <w:rtl/>
          <w:lang w:bidi="ar-DZ"/>
        </w:rPr>
        <w:t>الاتساق</w:t>
      </w:r>
      <w:r>
        <w:rPr>
          <w:rFonts w:ascii="Simplified Arabic" w:hAnsi="Simplified Arabic" w:cs="Simplified Arabic" w:hint="cs"/>
          <w:sz w:val="24"/>
          <w:szCs w:val="24"/>
          <w:rtl/>
          <w:lang w:bidi="ar-DZ"/>
        </w:rPr>
        <w:t xml:space="preserve"> اكبر من </w:t>
      </w:r>
      <w:r w:rsidRPr="00793B3A">
        <w:rPr>
          <w:rFonts w:ascii="Simplified Arabic" w:eastAsiaTheme="minorEastAsia" w:hAnsi="Simplified Arabic" w:cs="Simplified Arabic"/>
          <w:sz w:val="24"/>
          <w:szCs w:val="24"/>
          <w:rtl/>
          <w:lang w:val="en-US"/>
        </w:rPr>
        <w:t>10</w:t>
      </w:r>
      <w:r w:rsidRPr="00793B3A">
        <w:rPr>
          <w:rFonts w:ascii="Simplified Arabic" w:eastAsiaTheme="minorEastAsia" w:hAnsi="Simplified Arabic" w:cs="Simplified Arabic"/>
          <w:sz w:val="24"/>
          <w:szCs w:val="24"/>
        </w:rPr>
        <w:t>%</w:t>
      </w:r>
      <w:r w:rsidRPr="00793B3A">
        <w:rPr>
          <w:rFonts w:ascii="Simplified Arabic" w:eastAsiaTheme="minorEastAsia" w:hAnsi="Simplified Arabic" w:cs="Simplified Arabic"/>
          <w:sz w:val="24"/>
          <w:szCs w:val="24"/>
          <w:rtl/>
          <w:lang w:val="en-US"/>
        </w:rPr>
        <w:t xml:space="preserve"> أي</w:t>
      </w:r>
      <w:r>
        <w:rPr>
          <w:rFonts w:hint="cs"/>
          <w:sz w:val="24"/>
          <w:szCs w:val="24"/>
          <w:rtl/>
          <w:lang w:bidi="ar-DZ"/>
        </w:rPr>
        <w:t xml:space="preserve"> </w:t>
      </w:r>
      <w:r w:rsidRPr="00023ED6">
        <w:rPr>
          <w:rFonts w:ascii="Simplified Arabic" w:hAnsi="Simplified Arabic" w:cs="Simplified Arabic"/>
          <w:sz w:val="24"/>
          <w:szCs w:val="24"/>
          <w:rtl/>
          <w:lang w:val="en-US"/>
        </w:rPr>
        <w:t>0.</w:t>
      </w:r>
      <w:r w:rsidRPr="008B3F07">
        <w:rPr>
          <w:rFonts w:ascii="Simplified Arabic" w:hAnsi="Simplified Arabic" w:cs="Simplified Arabic"/>
          <w:sz w:val="24"/>
          <w:szCs w:val="24"/>
          <w:rtl/>
          <w:lang w:val="en-US"/>
        </w:rPr>
        <w:t>10</w:t>
      </w:r>
      <w:r w:rsidRPr="008B3F07">
        <w:rPr>
          <w:rFonts w:asciiTheme="majorBidi" w:hAnsiTheme="majorBidi" w:cstheme="majorBidi"/>
          <w:sz w:val="24"/>
          <w:szCs w:val="24"/>
          <w:lang w:val="en-US"/>
        </w:rPr>
        <w:t>CR</w:t>
      </w:r>
      <m:oMath>
        <m:r>
          <m:rPr>
            <m:sty m:val="p"/>
          </m:rPr>
          <w:rPr>
            <w:rFonts w:ascii="Cambria Math" w:hAnsi="Cambria Math" w:cs="Simplified Arabic"/>
            <w:sz w:val="24"/>
            <w:szCs w:val="24"/>
            <w:rtl/>
            <w:lang w:val="en-US"/>
          </w:rPr>
          <m:t>&gt;</m:t>
        </m:r>
      </m:oMath>
      <w:r w:rsidRPr="008B3F07">
        <w:rPr>
          <w:rFonts w:ascii="Simplified Arabic" w:hAnsi="Simplified Arabic" w:cs="Simplified Arabic"/>
          <w:sz w:val="24"/>
          <w:szCs w:val="24"/>
          <w:rtl/>
          <w:lang w:bidi="ar-DZ"/>
        </w:rPr>
        <w:t xml:space="preserve"> فقد لا تكون مجموعة الأحكام متسقة ولا يمكن الاعتماد عليها. لذلك، يُقبل معدل</w:t>
      </w:r>
      <w:r w:rsidRPr="00543432">
        <w:rPr>
          <w:sz w:val="24"/>
          <w:szCs w:val="24"/>
          <w:rtl/>
          <w:lang w:bidi="ar-DZ"/>
        </w:rPr>
        <w:t xml:space="preserve"> </w:t>
      </w:r>
      <w:r w:rsidRPr="00543432">
        <w:rPr>
          <w:rFonts w:asciiTheme="majorBidi" w:hAnsiTheme="majorBidi" w:cstheme="majorBidi"/>
          <w:sz w:val="24"/>
          <w:szCs w:val="24"/>
          <w:lang w:bidi="ar-DZ"/>
        </w:rPr>
        <w:t>CR</w:t>
      </w:r>
      <w:r w:rsidRPr="00543432">
        <w:rPr>
          <w:rFonts w:hint="cs"/>
          <w:sz w:val="24"/>
          <w:szCs w:val="24"/>
          <w:rtl/>
          <w:lang w:bidi="ar-DZ"/>
        </w:rPr>
        <w:t xml:space="preserve"> </w:t>
      </w:r>
      <w:r w:rsidRPr="008B3F07">
        <w:rPr>
          <w:rFonts w:ascii="Simplified Arabic" w:hAnsi="Simplified Arabic" w:cs="Simplified Arabic" w:hint="cs"/>
          <w:sz w:val="24"/>
          <w:szCs w:val="24"/>
          <w:rtl/>
          <w:lang w:bidi="ar-DZ"/>
        </w:rPr>
        <w:t>أقل</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من</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0.1</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أو يساوي</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0.1</w:t>
      </w:r>
      <w:r w:rsidRPr="0033302A">
        <w:rPr>
          <w:rFonts w:ascii="Simplified Arabic" w:hAnsi="Simplified Arabic" w:cs="Simplified Arabic"/>
          <w:sz w:val="24"/>
          <w:szCs w:val="24"/>
          <w:rtl/>
          <w:lang w:bidi="ar-DZ"/>
        </w:rPr>
        <w:t xml:space="preserve"> (</w:t>
      </w:r>
      <w:r w:rsidRPr="00023ED6">
        <w:rPr>
          <w:rFonts w:ascii="Simplified Arabic" w:hAnsi="Simplified Arabic" w:cs="Simplified Arabic"/>
          <w:sz w:val="24"/>
          <w:szCs w:val="24"/>
          <w:rtl/>
          <w:lang w:val="en-US"/>
        </w:rPr>
        <w:t>0.10</w:t>
      </w:r>
      <m:oMath>
        <m:r>
          <m:rPr>
            <m:sty m:val="p"/>
          </m:rPr>
          <w:rPr>
            <w:rFonts w:ascii="Cambria Math" w:hAnsi="Cambria Math" w:cs="Arial"/>
            <w:sz w:val="24"/>
            <w:szCs w:val="24"/>
            <w:rtl/>
            <w:lang w:val="en-US"/>
          </w:rPr>
          <m:t>≤</m:t>
        </m:r>
      </m:oMath>
      <w:r w:rsidRPr="007E28BF">
        <w:rPr>
          <w:rFonts w:asciiTheme="minorBidi" w:hAnsiTheme="minorBidi" w:cs="Arial"/>
          <w:sz w:val="24"/>
          <w:szCs w:val="24"/>
          <w:rtl/>
          <w:lang w:val="en-US"/>
        </w:rPr>
        <w:t xml:space="preserve"> </w:t>
      </w:r>
      <w:r w:rsidRPr="007E28BF">
        <w:rPr>
          <w:rFonts w:asciiTheme="majorBidi" w:hAnsiTheme="majorBidi" w:cstheme="majorBidi"/>
          <w:sz w:val="24"/>
          <w:szCs w:val="24"/>
          <w:lang w:val="en-US"/>
        </w:rPr>
        <w:t>CR</w:t>
      </w:r>
      <w:r>
        <w:rPr>
          <w:rFonts w:ascii="Simplified Arabic" w:hAnsi="Simplified Arabic" w:cs="Simplified Arabic" w:hint="cs"/>
          <w:sz w:val="24"/>
          <w:szCs w:val="24"/>
          <w:rtl/>
          <w:lang w:val="en-US"/>
        </w:rPr>
        <w:t>)</w:t>
      </w:r>
      <w:r w:rsidRPr="008B3F07">
        <w:rPr>
          <w:rFonts w:ascii="Simplified Arabic" w:hAnsi="Simplified Arabic" w:cs="Simplified Arabic" w:hint="cs"/>
          <w:sz w:val="24"/>
          <w:szCs w:val="24"/>
          <w:rtl/>
          <w:lang w:bidi="ar-DZ"/>
        </w:rPr>
        <w:t>،</w:t>
      </w:r>
      <w:r w:rsidRPr="00543432">
        <w:rPr>
          <w:sz w:val="24"/>
          <w:szCs w:val="24"/>
          <w:rtl/>
          <w:lang w:bidi="ar-DZ"/>
        </w:rPr>
        <w:t xml:space="preserve"> </w:t>
      </w:r>
      <w:r w:rsidRPr="008B3F07">
        <w:rPr>
          <w:rFonts w:ascii="Simplified Arabic" w:hAnsi="Simplified Arabic" w:cs="Simplified Arabic" w:hint="cs"/>
          <w:sz w:val="24"/>
          <w:szCs w:val="24"/>
          <w:rtl/>
          <w:lang w:bidi="ar-DZ"/>
        </w:rPr>
        <w:t>يتم</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تكرار</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الإجراء</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إذا</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كان</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تقييم</w:t>
      </w:r>
      <w:r w:rsidRPr="00543432">
        <w:rPr>
          <w:sz w:val="24"/>
          <w:szCs w:val="24"/>
          <w:rtl/>
          <w:lang w:bidi="ar-DZ"/>
        </w:rPr>
        <w:t xml:space="preserve"> </w:t>
      </w:r>
      <w:r w:rsidRPr="00543432">
        <w:rPr>
          <w:rFonts w:asciiTheme="majorBidi" w:hAnsiTheme="majorBidi" w:cstheme="majorBidi"/>
          <w:sz w:val="24"/>
          <w:szCs w:val="24"/>
          <w:lang w:bidi="ar-DZ"/>
        </w:rPr>
        <w:t>CR</w:t>
      </w:r>
      <w:r w:rsidRPr="00543432">
        <w:rPr>
          <w:rFonts w:hint="cs"/>
          <w:sz w:val="24"/>
          <w:szCs w:val="24"/>
          <w:rtl/>
          <w:lang w:bidi="ar-DZ"/>
        </w:rPr>
        <w:t xml:space="preserve"> </w:t>
      </w:r>
      <w:r w:rsidRPr="008B3F07">
        <w:rPr>
          <w:rFonts w:ascii="Simplified Arabic" w:hAnsi="Simplified Arabic" w:cs="Simplified Arabic" w:hint="cs"/>
          <w:sz w:val="24"/>
          <w:szCs w:val="24"/>
          <w:rtl/>
          <w:lang w:bidi="ar-DZ"/>
        </w:rPr>
        <w:t>غير</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متسق</w:t>
      </w:r>
      <w:r w:rsidRPr="008B3F07">
        <w:rPr>
          <w:rFonts w:ascii="Simplified Arabic" w:hAnsi="Simplified Arabic" w:cs="Simplified Arabic"/>
          <w:sz w:val="24"/>
          <w:szCs w:val="24"/>
          <w:rtl/>
          <w:lang w:bidi="ar-DZ"/>
        </w:rPr>
        <w:t xml:space="preserve">. </w:t>
      </w:r>
    </w:p>
    <w:p w:rsidR="00FD3D45" w:rsidRDefault="00FD3D45" w:rsidP="00A73815">
      <w:pPr>
        <w:pStyle w:val="Tableau"/>
        <w:spacing w:before="0"/>
        <w:rPr>
          <w:rtl/>
          <w:lang w:val="en-US"/>
        </w:rPr>
      </w:pPr>
      <w:bookmarkStart w:id="664" w:name="_Toc157613000"/>
    </w:p>
    <w:p w:rsidR="00FD3D45" w:rsidRDefault="00FD3D45" w:rsidP="00A73815">
      <w:pPr>
        <w:pStyle w:val="Tableau"/>
        <w:spacing w:before="0"/>
        <w:rPr>
          <w:rtl/>
          <w:lang w:val="en-US"/>
        </w:rPr>
      </w:pPr>
    </w:p>
    <w:p w:rsidR="00FD3D45" w:rsidRDefault="00FD3D45" w:rsidP="00A73815">
      <w:pPr>
        <w:pStyle w:val="Tableau"/>
        <w:spacing w:before="0"/>
        <w:rPr>
          <w:rtl/>
          <w:lang w:val="en-US"/>
        </w:rPr>
      </w:pPr>
    </w:p>
    <w:p w:rsidR="00FD3D45" w:rsidRDefault="00FD3D45" w:rsidP="00A73815">
      <w:pPr>
        <w:pStyle w:val="Tableau"/>
        <w:spacing w:before="0"/>
        <w:rPr>
          <w:rtl/>
          <w:lang w:val="en-US"/>
        </w:rPr>
      </w:pPr>
    </w:p>
    <w:p w:rsidR="00FD3D45" w:rsidRDefault="00FD3D45" w:rsidP="00A73815">
      <w:pPr>
        <w:pStyle w:val="Tableau"/>
        <w:spacing w:before="0"/>
        <w:rPr>
          <w:rtl/>
          <w:lang w:val="en-US"/>
        </w:rPr>
      </w:pPr>
    </w:p>
    <w:p w:rsidR="00C121B0" w:rsidRDefault="00C121B0" w:rsidP="00A73815">
      <w:pPr>
        <w:pStyle w:val="Tableau"/>
        <w:spacing w:before="0"/>
        <w:rPr>
          <w:rtl/>
          <w:lang w:val="en-US"/>
        </w:rPr>
      </w:pPr>
      <w:bookmarkStart w:id="665" w:name="_Toc171803687"/>
      <w:r w:rsidRPr="006B2F93">
        <w:rPr>
          <w:rtl/>
          <w:lang w:val="en-US"/>
        </w:rPr>
        <w:lastRenderedPageBreak/>
        <w:t xml:space="preserve">الجدول </w:t>
      </w:r>
      <w:r w:rsidR="00AF7197">
        <w:rPr>
          <w:rFonts w:eastAsia="Times New Roman" w:hint="cs"/>
          <w:rtl/>
          <w:lang w:val="en-US" w:eastAsia="fr-FR"/>
        </w:rPr>
        <w:t>(5-</w:t>
      </w:r>
      <w:r w:rsidR="00C05812">
        <w:rPr>
          <w:rFonts w:eastAsia="Times New Roman" w:hint="cs"/>
          <w:rtl/>
          <w:lang w:val="en-US" w:eastAsia="fr-FR"/>
        </w:rPr>
        <w:t>10</w:t>
      </w:r>
      <w:r w:rsidR="00AF7197">
        <w:rPr>
          <w:rFonts w:eastAsia="Times New Roman" w:hint="cs"/>
          <w:rtl/>
          <w:lang w:val="en-US" w:eastAsia="fr-FR"/>
        </w:rPr>
        <w:t>)</w:t>
      </w:r>
      <w:r w:rsidRPr="006B2F93">
        <w:rPr>
          <w:rtl/>
          <w:lang w:val="en-US"/>
        </w:rPr>
        <w:t>: مصفوفة المقارنة الزوجية</w:t>
      </w:r>
      <w:bookmarkEnd w:id="664"/>
      <w:bookmarkEnd w:id="665"/>
    </w:p>
    <w:p w:rsidR="00010DE7" w:rsidRPr="007A30E8" w:rsidRDefault="007A30E8" w:rsidP="007A30E8">
      <w:pPr>
        <w:pStyle w:val="fegure"/>
        <w:rPr>
          <w:sz w:val="8"/>
          <w:szCs w:val="24"/>
          <w:rtl/>
          <w:lang w:val="en-US" w:bidi="ar-DZ"/>
        </w:rPr>
      </w:pPr>
      <w:bookmarkStart w:id="666" w:name="_Toc171803688"/>
      <w:r>
        <w:rPr>
          <w:rFonts w:hint="cs"/>
          <w:sz w:val="8"/>
          <w:szCs w:val="24"/>
          <w:rtl/>
          <w:lang w:val="en-US"/>
        </w:rPr>
        <w:t>المصدر: (الباحث، 2022)</w:t>
      </w:r>
      <w:bookmarkEnd w:id="666"/>
    </w:p>
    <w:tbl>
      <w:tblPr>
        <w:tblStyle w:val="Grilledutableau"/>
        <w:tblW w:w="0" w:type="auto"/>
        <w:jc w:val="center"/>
        <w:tblInd w:w="311" w:type="dxa"/>
        <w:tblLook w:val="04A0" w:firstRow="1" w:lastRow="0" w:firstColumn="1" w:lastColumn="0" w:noHBand="0" w:noVBand="1"/>
      </w:tblPr>
      <w:tblGrid>
        <w:gridCol w:w="2345"/>
        <w:gridCol w:w="533"/>
        <w:gridCol w:w="534"/>
        <w:gridCol w:w="534"/>
        <w:gridCol w:w="534"/>
        <w:gridCol w:w="534"/>
        <w:gridCol w:w="534"/>
        <w:gridCol w:w="534"/>
        <w:gridCol w:w="1637"/>
        <w:gridCol w:w="723"/>
      </w:tblGrid>
      <w:tr w:rsidR="0001739A" w:rsidRPr="005229DD" w:rsidTr="00016C27">
        <w:trPr>
          <w:jc w:val="center"/>
        </w:trPr>
        <w:tc>
          <w:tcPr>
            <w:tcW w:w="2345" w:type="dxa"/>
            <w:vAlign w:val="center"/>
          </w:tcPr>
          <w:p w:rsidR="0001739A" w:rsidRPr="005229DD" w:rsidRDefault="0001739A" w:rsidP="00A73815">
            <w:pPr>
              <w:bidi/>
              <w:jc w:val="center"/>
              <w:rPr>
                <w:rFonts w:asciiTheme="majorBidi" w:hAnsiTheme="majorBidi" w:cstheme="majorBidi"/>
                <w:sz w:val="24"/>
                <w:szCs w:val="24"/>
                <w:lang w:bidi="ar-DZ"/>
              </w:rPr>
            </w:pPr>
            <w:r>
              <w:rPr>
                <w:rFonts w:asciiTheme="majorBidi" w:hAnsiTheme="majorBidi" w:cstheme="majorBidi" w:hint="cs"/>
                <w:sz w:val="24"/>
                <w:szCs w:val="24"/>
                <w:rtl/>
                <w:lang w:bidi="ar-DZ"/>
              </w:rPr>
              <w:t>المعايير</w:t>
            </w:r>
            <w:r>
              <w:rPr>
                <w:rFonts w:asciiTheme="majorBidi" w:hAnsiTheme="majorBidi" w:cstheme="majorBidi" w:hint="cs"/>
                <w:sz w:val="24"/>
                <w:szCs w:val="24"/>
                <w:rtl/>
                <w:lang w:val="en-US" w:bidi="ar-DZ"/>
              </w:rPr>
              <w:t xml:space="preserve"> (</w:t>
            </w:r>
            <w:r w:rsidRPr="00BC01DC">
              <w:rPr>
                <w:rFonts w:asciiTheme="majorBidi" w:hAnsiTheme="majorBidi" w:cstheme="majorBidi"/>
                <w:sz w:val="24"/>
                <w:szCs w:val="24"/>
                <w:lang w:val="en-US" w:bidi="ar-DZ"/>
              </w:rPr>
              <w:t>Criteria</w:t>
            </w:r>
            <w:r>
              <w:rPr>
                <w:rFonts w:asciiTheme="majorBidi" w:hAnsiTheme="majorBidi" w:cstheme="majorBidi" w:hint="cs"/>
                <w:sz w:val="24"/>
                <w:szCs w:val="24"/>
                <w:rtl/>
                <w:lang w:val="en-US" w:bidi="ar-DZ"/>
              </w:rPr>
              <w:t>)</w:t>
            </w:r>
            <w:r>
              <w:t xml:space="preserve"> </w:t>
            </w:r>
          </w:p>
        </w:tc>
        <w:tc>
          <w:tcPr>
            <w:tcW w:w="53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C1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C2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C3</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C4</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C5</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C6</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C</w:t>
            </w:r>
            <w:r w:rsidRPr="005229DD">
              <w:rPr>
                <w:rFonts w:asciiTheme="majorBidi" w:eastAsia="Times New Roman" w:hAnsiTheme="majorBidi" w:cstheme="majorBidi"/>
                <w:color w:val="000000"/>
                <w:sz w:val="24"/>
                <w:szCs w:val="24"/>
                <w:rtl/>
                <w:lang w:eastAsia="fr-FR"/>
              </w:rPr>
              <w:t>7</w:t>
            </w:r>
          </w:p>
        </w:tc>
        <w:tc>
          <w:tcPr>
            <w:tcW w:w="1637" w:type="dxa"/>
            <w:vAlign w:val="center"/>
          </w:tcPr>
          <w:p w:rsidR="0001739A" w:rsidRPr="000E0E6A" w:rsidRDefault="0001739A" w:rsidP="00A73815">
            <w:pPr>
              <w:jc w:val="center"/>
              <w:rPr>
                <w:rFonts w:asciiTheme="majorBidi" w:eastAsia="Times New Roman" w:hAnsiTheme="majorBidi" w:cstheme="majorBidi"/>
                <w:color w:val="000000"/>
                <w:lang w:eastAsia="fr-FR"/>
              </w:rPr>
            </w:pPr>
            <w:r w:rsidRPr="000E0E6A">
              <w:rPr>
                <w:rFonts w:asciiTheme="majorBidi" w:eastAsia="Times New Roman" w:hAnsiTheme="majorBidi" w:cstheme="majorBidi"/>
                <w:color w:val="000000"/>
                <w:lang w:eastAsia="fr-FR"/>
              </w:rPr>
              <w:t xml:space="preserve">Final </w:t>
            </w:r>
            <w:r w:rsidRPr="000E0E6A">
              <w:rPr>
                <w:rFonts w:asciiTheme="majorBidi" w:eastAsia="Times New Roman" w:hAnsiTheme="majorBidi" w:cstheme="majorBidi"/>
                <w:color w:val="000000"/>
                <w:lang w:val="en-US" w:eastAsia="fr-FR"/>
              </w:rPr>
              <w:t>weight</w:t>
            </w:r>
            <w:r w:rsidRPr="000E0E6A">
              <w:rPr>
                <w:rFonts w:asciiTheme="majorBidi" w:eastAsia="Times New Roman" w:hAnsiTheme="majorBidi" w:cstheme="majorBidi"/>
                <w:color w:val="000000"/>
                <w:lang w:eastAsia="fr-FR"/>
              </w:rPr>
              <w:t xml:space="preserve"> (%)</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Rank</w:t>
            </w:r>
          </w:p>
        </w:tc>
      </w:tr>
      <w:tr w:rsidR="0001739A" w:rsidRPr="005229DD" w:rsidTr="00016C27">
        <w:trPr>
          <w:jc w:val="center"/>
        </w:trPr>
        <w:tc>
          <w:tcPr>
            <w:tcW w:w="2345" w:type="dxa"/>
            <w:vAlign w:val="center"/>
          </w:tcPr>
          <w:p w:rsidR="0001739A" w:rsidRPr="00990AED" w:rsidRDefault="0001739A" w:rsidP="00A73815">
            <w:pPr>
              <w:bidi/>
              <w:jc w:val="right"/>
              <w:rPr>
                <w:rFonts w:asciiTheme="majorBidi" w:hAnsiTheme="majorBidi" w:cstheme="majorBidi"/>
                <w:sz w:val="24"/>
                <w:szCs w:val="24"/>
                <w:lang w:bidi="ar-DZ"/>
              </w:rPr>
            </w:pPr>
            <w:r w:rsidRPr="00990AED">
              <w:rPr>
                <w:rFonts w:ascii="Simplified Arabic" w:eastAsia="Times New Roman" w:hAnsi="Simplified Arabic" w:cs="Simplified Arabic"/>
                <w:b/>
                <w:sz w:val="24"/>
                <w:szCs w:val="24"/>
                <w:rtl/>
                <w:lang w:val="en-US" w:eastAsia="fr-FR"/>
              </w:rPr>
              <w:t>التكفل الطبي</w:t>
            </w:r>
            <w:r>
              <w:rPr>
                <w:rFonts w:ascii="Simplified Arabic" w:eastAsia="Times New Roman" w:hAnsi="Simplified Arabic" w:cs="Simplified Arabic" w:hint="cs"/>
                <w:b/>
                <w:sz w:val="24"/>
                <w:szCs w:val="24"/>
                <w:rtl/>
                <w:lang w:val="en-US" w:eastAsia="fr-FR"/>
              </w:rPr>
              <w:t xml:space="preserve"> </w:t>
            </w:r>
            <w:r w:rsidRPr="00990AED">
              <w:rPr>
                <w:rFonts w:asciiTheme="majorBidi" w:eastAsia="Times New Roman" w:hAnsiTheme="majorBidi" w:cstheme="majorBidi" w:hint="cs"/>
                <w:b/>
                <w:sz w:val="24"/>
                <w:szCs w:val="24"/>
                <w:rtl/>
                <w:lang w:val="en-US" w:eastAsia="fr-FR"/>
              </w:rPr>
              <w:t>(</w:t>
            </w:r>
            <w:r w:rsidRPr="00990AED">
              <w:rPr>
                <w:rFonts w:asciiTheme="majorBidi" w:eastAsia="Times New Roman" w:hAnsiTheme="majorBidi" w:cstheme="majorBidi"/>
                <w:b/>
                <w:sz w:val="24"/>
                <w:szCs w:val="24"/>
                <w:lang w:val="en-US" w:eastAsia="fr-FR"/>
              </w:rPr>
              <w:t>C1</w:t>
            </w:r>
            <w:r w:rsidRPr="00990AED">
              <w:rPr>
                <w:rFonts w:asciiTheme="majorBidi" w:eastAsia="Times New Roman" w:hAnsiTheme="majorBidi" w:cstheme="majorBidi" w:hint="cs"/>
                <w:b/>
                <w:sz w:val="24"/>
                <w:szCs w:val="24"/>
                <w:rtl/>
                <w:lang w:val="en-US" w:eastAsia="fr-FR"/>
              </w:rPr>
              <w:t>)</w:t>
            </w:r>
          </w:p>
        </w:tc>
        <w:tc>
          <w:tcPr>
            <w:tcW w:w="533" w:type="dxa"/>
            <w:shd w:val="clear" w:color="auto" w:fill="D9D9D9" w:themeFill="background1" w:themeFillShade="D9"/>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3</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w:t>
            </w:r>
          </w:p>
        </w:tc>
        <w:tc>
          <w:tcPr>
            <w:tcW w:w="1637"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20,79</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r>
      <w:tr w:rsidR="0001739A" w:rsidRPr="005229DD" w:rsidTr="00016C27">
        <w:trPr>
          <w:jc w:val="center"/>
        </w:trPr>
        <w:tc>
          <w:tcPr>
            <w:tcW w:w="2345" w:type="dxa"/>
            <w:vAlign w:val="center"/>
          </w:tcPr>
          <w:p w:rsidR="0001739A" w:rsidRPr="005229DD" w:rsidRDefault="0001739A" w:rsidP="00A73815">
            <w:pPr>
              <w:bidi/>
              <w:jc w:val="right"/>
              <w:rPr>
                <w:rFonts w:asciiTheme="majorBidi" w:hAnsiTheme="majorBidi" w:cstheme="majorBidi"/>
                <w:sz w:val="24"/>
                <w:szCs w:val="24"/>
                <w:lang w:bidi="ar-DZ"/>
              </w:rPr>
            </w:pPr>
            <w:r w:rsidRPr="00E50618">
              <w:rPr>
                <w:rFonts w:ascii="Simplified Arabic" w:eastAsia="Times New Roman" w:hAnsi="Simplified Arabic" w:cs="Simplified Arabic"/>
                <w:b/>
                <w:sz w:val="24"/>
                <w:szCs w:val="24"/>
                <w:rtl/>
                <w:lang w:val="en-US" w:eastAsia="fr-FR"/>
              </w:rPr>
              <w:t>الإنقاذ</w:t>
            </w:r>
            <w:r>
              <w:rPr>
                <w:rFonts w:ascii="Simplified Arabic" w:eastAsia="Times New Roman" w:hAnsi="Simplified Arabic" w:cs="Simplified Arabic" w:hint="cs"/>
                <w:b/>
                <w:sz w:val="24"/>
                <w:szCs w:val="24"/>
                <w:rtl/>
                <w:lang w:val="en-US" w:eastAsia="fr-FR"/>
              </w:rPr>
              <w:t xml:space="preserve"> و</w:t>
            </w:r>
            <w:r w:rsidRPr="00E50618">
              <w:rPr>
                <w:rFonts w:ascii="Simplified Arabic" w:eastAsia="Times New Roman" w:hAnsi="Simplified Arabic" w:cs="Simplified Arabic"/>
                <w:b/>
                <w:sz w:val="24"/>
                <w:szCs w:val="24"/>
                <w:rtl/>
                <w:lang w:val="en-US" w:eastAsia="fr-FR"/>
              </w:rPr>
              <w:t>الإجلاء</w:t>
            </w:r>
            <w:r>
              <w:rPr>
                <w:rFonts w:ascii="Simplified Arabic" w:eastAsia="Times New Roman" w:hAnsi="Simplified Arabic" w:cs="Simplified Arabic" w:hint="cs"/>
                <w:b/>
                <w:sz w:val="24"/>
                <w:szCs w:val="24"/>
                <w:rtl/>
                <w:lang w:val="en-US" w:eastAsia="fr-FR"/>
              </w:rPr>
              <w:t xml:space="preserve"> </w:t>
            </w:r>
            <w:r>
              <w:rPr>
                <w:rFonts w:asciiTheme="majorBidi" w:eastAsia="Times New Roman" w:hAnsiTheme="majorBidi" w:cstheme="majorBidi" w:hint="cs"/>
                <w:b/>
                <w:sz w:val="24"/>
                <w:szCs w:val="24"/>
                <w:rtl/>
                <w:lang w:val="en-US" w:eastAsia="fr-FR"/>
              </w:rPr>
              <w:t>(</w:t>
            </w:r>
            <w:r w:rsidRPr="00E50618">
              <w:rPr>
                <w:rFonts w:asciiTheme="majorBidi" w:eastAsia="Times New Roman" w:hAnsiTheme="majorBidi" w:cstheme="majorBidi"/>
                <w:b/>
                <w:sz w:val="24"/>
                <w:szCs w:val="24"/>
                <w:lang w:val="en-US" w:eastAsia="fr-FR"/>
              </w:rPr>
              <w:t>C2</w:t>
            </w:r>
            <w:r>
              <w:rPr>
                <w:rFonts w:asciiTheme="majorBidi" w:eastAsia="Times New Roman" w:hAnsiTheme="majorBidi" w:cstheme="majorBidi" w:hint="cs"/>
                <w:b/>
                <w:sz w:val="24"/>
                <w:szCs w:val="24"/>
                <w:rtl/>
                <w:lang w:val="en-US" w:eastAsia="fr-FR"/>
              </w:rPr>
              <w:t>)</w:t>
            </w:r>
          </w:p>
        </w:tc>
        <w:tc>
          <w:tcPr>
            <w:tcW w:w="53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shd w:val="clear" w:color="auto" w:fill="D9D9D9" w:themeFill="background1" w:themeFillShade="D9"/>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3</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1/2</w:t>
            </w:r>
          </w:p>
        </w:tc>
        <w:tc>
          <w:tcPr>
            <w:tcW w:w="1637"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12,49</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4</w:t>
            </w:r>
          </w:p>
        </w:tc>
      </w:tr>
      <w:tr w:rsidR="0001739A" w:rsidRPr="005229DD" w:rsidTr="00016C27">
        <w:trPr>
          <w:jc w:val="center"/>
        </w:trPr>
        <w:tc>
          <w:tcPr>
            <w:tcW w:w="2345" w:type="dxa"/>
            <w:vAlign w:val="center"/>
          </w:tcPr>
          <w:p w:rsidR="0001739A" w:rsidRPr="005229DD" w:rsidRDefault="0001739A" w:rsidP="00A73815">
            <w:pPr>
              <w:bidi/>
              <w:jc w:val="right"/>
              <w:rPr>
                <w:rFonts w:asciiTheme="majorBidi" w:hAnsiTheme="majorBidi" w:cstheme="majorBidi"/>
                <w:sz w:val="24"/>
                <w:szCs w:val="24"/>
                <w:lang w:bidi="ar-DZ"/>
              </w:rPr>
            </w:pPr>
            <w:r w:rsidRPr="00E50618">
              <w:rPr>
                <w:rFonts w:ascii="Simplified Arabic" w:eastAsia="Times New Roman" w:hAnsi="Simplified Arabic" w:cs="Simplified Arabic"/>
                <w:b/>
                <w:sz w:val="24"/>
                <w:szCs w:val="24"/>
                <w:rtl/>
                <w:lang w:val="en-US" w:eastAsia="fr-FR"/>
              </w:rPr>
              <w:t>الأمن</w:t>
            </w:r>
            <w:r>
              <w:rPr>
                <w:rFonts w:ascii="Simplified Arabic" w:eastAsia="Times New Roman" w:hAnsi="Simplified Arabic" w:cs="Simplified Arabic" w:hint="cs"/>
                <w:b/>
                <w:sz w:val="24"/>
                <w:szCs w:val="24"/>
                <w:rtl/>
                <w:lang w:val="en-US" w:eastAsia="fr-FR"/>
              </w:rPr>
              <w:t xml:space="preserve"> </w:t>
            </w:r>
            <w:r>
              <w:rPr>
                <w:rFonts w:asciiTheme="majorBidi" w:eastAsia="Times New Roman" w:hAnsiTheme="majorBidi" w:cstheme="majorBidi" w:hint="cs"/>
                <w:b/>
                <w:sz w:val="24"/>
                <w:szCs w:val="24"/>
                <w:rtl/>
                <w:lang w:val="en-US" w:eastAsia="fr-FR"/>
              </w:rPr>
              <w:t>(</w:t>
            </w:r>
            <w:r w:rsidRPr="00E50618">
              <w:rPr>
                <w:rFonts w:asciiTheme="majorBidi" w:eastAsia="Times New Roman" w:hAnsiTheme="majorBidi" w:cstheme="majorBidi"/>
                <w:b/>
                <w:color w:val="000000"/>
                <w:sz w:val="24"/>
                <w:szCs w:val="24"/>
                <w:lang w:eastAsia="fr-FR"/>
              </w:rPr>
              <w:t>C3</w:t>
            </w:r>
            <w:r>
              <w:rPr>
                <w:rFonts w:asciiTheme="majorBidi" w:eastAsia="Times New Roman" w:hAnsiTheme="majorBidi" w:cstheme="majorBidi" w:hint="cs"/>
                <w:b/>
                <w:sz w:val="24"/>
                <w:szCs w:val="24"/>
                <w:rtl/>
                <w:lang w:val="en-US" w:eastAsia="fr-FR"/>
              </w:rPr>
              <w:t>)</w:t>
            </w:r>
          </w:p>
        </w:tc>
        <w:tc>
          <w:tcPr>
            <w:tcW w:w="53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shd w:val="clear" w:color="auto" w:fill="D9D9D9" w:themeFill="background1" w:themeFillShade="D9"/>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2</w:t>
            </w:r>
          </w:p>
        </w:tc>
        <w:tc>
          <w:tcPr>
            <w:tcW w:w="1637"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17,29</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3</w:t>
            </w:r>
          </w:p>
        </w:tc>
      </w:tr>
      <w:tr w:rsidR="0001739A" w:rsidRPr="005229DD" w:rsidTr="00016C27">
        <w:trPr>
          <w:jc w:val="center"/>
        </w:trPr>
        <w:tc>
          <w:tcPr>
            <w:tcW w:w="2345" w:type="dxa"/>
            <w:vAlign w:val="center"/>
          </w:tcPr>
          <w:p w:rsidR="0001739A" w:rsidRPr="005229DD" w:rsidRDefault="0001739A" w:rsidP="00A73815">
            <w:pPr>
              <w:bidi/>
              <w:jc w:val="right"/>
              <w:rPr>
                <w:rFonts w:asciiTheme="majorBidi" w:hAnsiTheme="majorBidi" w:cstheme="majorBidi"/>
                <w:sz w:val="24"/>
                <w:szCs w:val="24"/>
                <w:lang w:bidi="ar-DZ"/>
              </w:rPr>
            </w:pPr>
            <w:r w:rsidRPr="00E50618">
              <w:rPr>
                <w:rFonts w:ascii="Simplified Arabic" w:eastAsia="Times New Roman" w:hAnsi="Simplified Arabic" w:cs="Simplified Arabic"/>
                <w:b/>
                <w:sz w:val="24"/>
                <w:szCs w:val="24"/>
                <w:rtl/>
                <w:lang w:val="en-US" w:eastAsia="fr-FR"/>
              </w:rPr>
              <w:t>الايواء المؤقت</w:t>
            </w:r>
            <w:r>
              <w:rPr>
                <w:rFonts w:ascii="Simplified Arabic" w:eastAsia="Times New Roman" w:hAnsi="Simplified Arabic" w:cs="Simplified Arabic" w:hint="cs"/>
                <w:b/>
                <w:sz w:val="24"/>
                <w:szCs w:val="24"/>
                <w:rtl/>
                <w:lang w:val="en-US" w:eastAsia="fr-FR"/>
              </w:rPr>
              <w:t xml:space="preserve"> </w:t>
            </w:r>
            <w:r>
              <w:rPr>
                <w:rFonts w:asciiTheme="majorBidi" w:eastAsia="Times New Roman" w:hAnsiTheme="majorBidi" w:cstheme="majorBidi" w:hint="cs"/>
                <w:b/>
                <w:sz w:val="24"/>
                <w:szCs w:val="24"/>
                <w:rtl/>
                <w:lang w:val="en-US" w:eastAsia="fr-FR"/>
              </w:rPr>
              <w:t>(</w:t>
            </w:r>
            <w:r w:rsidRPr="00E50618">
              <w:rPr>
                <w:rFonts w:asciiTheme="majorBidi" w:eastAsia="Times New Roman" w:hAnsiTheme="majorBidi" w:cstheme="majorBidi"/>
                <w:b/>
                <w:sz w:val="24"/>
                <w:szCs w:val="24"/>
                <w:lang w:val="en-US" w:eastAsia="fr-FR"/>
              </w:rPr>
              <w:t>C4</w:t>
            </w:r>
            <w:r>
              <w:rPr>
                <w:rFonts w:asciiTheme="majorBidi" w:eastAsia="Times New Roman" w:hAnsiTheme="majorBidi" w:cstheme="majorBidi" w:hint="cs"/>
                <w:b/>
                <w:sz w:val="24"/>
                <w:szCs w:val="24"/>
                <w:rtl/>
                <w:lang w:val="en-US" w:eastAsia="fr-FR"/>
              </w:rPr>
              <w:t>)</w:t>
            </w:r>
          </w:p>
        </w:tc>
        <w:tc>
          <w:tcPr>
            <w:tcW w:w="53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shd w:val="clear" w:color="auto" w:fill="D9D9D9" w:themeFill="background1" w:themeFillShade="D9"/>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3</w:t>
            </w:r>
          </w:p>
        </w:tc>
        <w:tc>
          <w:tcPr>
            <w:tcW w:w="1637"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19,42</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2</w:t>
            </w:r>
          </w:p>
        </w:tc>
      </w:tr>
      <w:tr w:rsidR="0001739A" w:rsidRPr="005229DD" w:rsidTr="00016C27">
        <w:trPr>
          <w:trHeight w:val="60"/>
          <w:jc w:val="center"/>
        </w:trPr>
        <w:tc>
          <w:tcPr>
            <w:tcW w:w="2345" w:type="dxa"/>
            <w:vAlign w:val="center"/>
          </w:tcPr>
          <w:p w:rsidR="0001739A" w:rsidRPr="005229DD" w:rsidRDefault="0001739A" w:rsidP="00A73815">
            <w:pPr>
              <w:bidi/>
              <w:jc w:val="right"/>
              <w:rPr>
                <w:rFonts w:asciiTheme="majorBidi" w:hAnsiTheme="majorBidi" w:cstheme="majorBidi"/>
                <w:sz w:val="24"/>
                <w:szCs w:val="24"/>
                <w:lang w:bidi="ar-DZ"/>
              </w:rPr>
            </w:pPr>
            <w:r w:rsidRPr="00E50618">
              <w:rPr>
                <w:rFonts w:ascii="Simplified Arabic" w:eastAsia="Times New Roman" w:hAnsi="Simplified Arabic" w:cs="Simplified Arabic"/>
                <w:b/>
                <w:sz w:val="24"/>
                <w:szCs w:val="24"/>
                <w:rtl/>
                <w:lang w:val="en-US" w:eastAsia="fr-FR"/>
              </w:rPr>
              <w:t>التضامن والتموين</w:t>
            </w:r>
            <w:r>
              <w:rPr>
                <w:rFonts w:ascii="Simplified Arabic" w:eastAsia="Times New Roman" w:hAnsi="Simplified Arabic" w:cs="Simplified Arabic" w:hint="cs"/>
                <w:b/>
                <w:sz w:val="24"/>
                <w:szCs w:val="24"/>
                <w:rtl/>
                <w:lang w:val="en-US" w:eastAsia="fr-FR"/>
              </w:rPr>
              <w:t xml:space="preserve"> </w:t>
            </w:r>
            <w:r>
              <w:rPr>
                <w:rFonts w:asciiTheme="majorBidi" w:eastAsia="Times New Roman" w:hAnsiTheme="majorBidi" w:cstheme="majorBidi" w:hint="cs"/>
                <w:b/>
                <w:sz w:val="24"/>
                <w:szCs w:val="24"/>
                <w:rtl/>
                <w:lang w:val="en-US" w:eastAsia="fr-FR"/>
              </w:rPr>
              <w:t>(</w:t>
            </w:r>
            <w:r w:rsidRPr="00E50618">
              <w:rPr>
                <w:rFonts w:asciiTheme="majorBidi" w:eastAsia="Times New Roman" w:hAnsiTheme="majorBidi" w:cstheme="majorBidi"/>
                <w:b/>
                <w:sz w:val="24"/>
                <w:szCs w:val="24"/>
                <w:lang w:val="en-US" w:eastAsia="fr-FR"/>
              </w:rPr>
              <w:t>C5</w:t>
            </w:r>
            <w:r>
              <w:rPr>
                <w:rFonts w:asciiTheme="majorBidi" w:eastAsia="Times New Roman" w:hAnsiTheme="majorBidi" w:cstheme="majorBidi" w:hint="cs"/>
                <w:b/>
                <w:sz w:val="24"/>
                <w:szCs w:val="24"/>
                <w:rtl/>
                <w:lang w:val="en-US" w:eastAsia="fr-FR"/>
              </w:rPr>
              <w:t>)</w:t>
            </w:r>
          </w:p>
        </w:tc>
        <w:tc>
          <w:tcPr>
            <w:tcW w:w="53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1/3</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shd w:val="clear" w:color="auto" w:fill="D9D9D9" w:themeFill="background1" w:themeFillShade="D9"/>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2</w:t>
            </w:r>
          </w:p>
        </w:tc>
        <w:tc>
          <w:tcPr>
            <w:tcW w:w="1637"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10,87</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6</w:t>
            </w:r>
          </w:p>
        </w:tc>
      </w:tr>
      <w:tr w:rsidR="0001739A" w:rsidRPr="005229DD" w:rsidTr="00016C27">
        <w:trPr>
          <w:jc w:val="center"/>
        </w:trPr>
        <w:tc>
          <w:tcPr>
            <w:tcW w:w="2345" w:type="dxa"/>
            <w:vAlign w:val="center"/>
          </w:tcPr>
          <w:p w:rsidR="0001739A" w:rsidRPr="005229DD" w:rsidRDefault="0001739A" w:rsidP="00A73815">
            <w:pPr>
              <w:bidi/>
              <w:jc w:val="right"/>
              <w:rPr>
                <w:rFonts w:asciiTheme="majorBidi" w:hAnsiTheme="majorBidi" w:cstheme="majorBidi"/>
                <w:sz w:val="24"/>
                <w:szCs w:val="24"/>
                <w:lang w:bidi="ar-DZ"/>
              </w:rPr>
            </w:pPr>
            <w:r w:rsidRPr="00E50618">
              <w:rPr>
                <w:rFonts w:ascii="Simplified Arabic" w:eastAsia="Times New Roman" w:hAnsi="Simplified Arabic" w:cs="Simplified Arabic"/>
                <w:b/>
                <w:sz w:val="24"/>
                <w:szCs w:val="24"/>
                <w:rtl/>
                <w:lang w:val="en-US" w:eastAsia="fr-FR"/>
              </w:rPr>
              <w:t xml:space="preserve">كثافة </w:t>
            </w:r>
            <w:r>
              <w:rPr>
                <w:rFonts w:ascii="Simplified Arabic" w:eastAsia="Times New Roman" w:hAnsi="Simplified Arabic" w:cs="Simplified Arabic" w:hint="cs"/>
                <w:b/>
                <w:sz w:val="24"/>
                <w:szCs w:val="24"/>
                <w:rtl/>
                <w:lang w:val="en-US" w:eastAsia="fr-FR"/>
              </w:rPr>
              <w:t xml:space="preserve">البناء </w:t>
            </w:r>
            <w:r>
              <w:rPr>
                <w:rFonts w:asciiTheme="majorBidi" w:eastAsia="Times New Roman" w:hAnsiTheme="majorBidi" w:cstheme="majorBidi" w:hint="cs"/>
                <w:b/>
                <w:sz w:val="24"/>
                <w:szCs w:val="24"/>
                <w:rtl/>
                <w:lang w:val="en-US" w:eastAsia="fr-FR"/>
              </w:rPr>
              <w:t>(</w:t>
            </w:r>
            <w:r w:rsidRPr="007553E7">
              <w:rPr>
                <w:rFonts w:asciiTheme="majorBidi" w:eastAsia="Times New Roman" w:hAnsiTheme="majorBidi" w:cstheme="majorBidi"/>
                <w:b/>
                <w:sz w:val="24"/>
                <w:szCs w:val="24"/>
                <w:lang w:val="en-US" w:eastAsia="fr-FR"/>
              </w:rPr>
              <w:t>C6</w:t>
            </w:r>
            <w:r>
              <w:rPr>
                <w:rFonts w:asciiTheme="majorBidi" w:eastAsia="Times New Roman" w:hAnsiTheme="majorBidi" w:cstheme="majorBidi" w:hint="cs"/>
                <w:b/>
                <w:sz w:val="24"/>
                <w:szCs w:val="24"/>
                <w:rtl/>
                <w:lang w:val="en-US" w:eastAsia="fr-FR"/>
              </w:rPr>
              <w:t>)</w:t>
            </w:r>
          </w:p>
        </w:tc>
        <w:tc>
          <w:tcPr>
            <w:tcW w:w="53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1/3</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1/2</w:t>
            </w:r>
          </w:p>
        </w:tc>
        <w:tc>
          <w:tcPr>
            <w:tcW w:w="534"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shd w:val="clear" w:color="auto" w:fill="D9D9D9" w:themeFill="background1" w:themeFillShade="D9"/>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1</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w:t>
            </w:r>
          </w:p>
        </w:tc>
        <w:tc>
          <w:tcPr>
            <w:tcW w:w="1637"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8,04</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rtl/>
                <w:lang w:eastAsia="fr-FR"/>
              </w:rPr>
              <w:t>7</w:t>
            </w:r>
          </w:p>
        </w:tc>
      </w:tr>
      <w:tr w:rsidR="0001739A" w:rsidRPr="005229DD" w:rsidTr="00016C27">
        <w:trPr>
          <w:jc w:val="center"/>
        </w:trPr>
        <w:tc>
          <w:tcPr>
            <w:tcW w:w="2345" w:type="dxa"/>
            <w:vAlign w:val="center"/>
          </w:tcPr>
          <w:p w:rsidR="0001739A" w:rsidRPr="00F90C3F" w:rsidRDefault="0001739A" w:rsidP="00A73815">
            <w:pPr>
              <w:bidi/>
              <w:jc w:val="right"/>
              <w:rPr>
                <w:rFonts w:asciiTheme="majorBidi" w:hAnsiTheme="majorBidi" w:cstheme="majorBidi"/>
                <w:bCs/>
                <w:sz w:val="24"/>
                <w:szCs w:val="24"/>
                <w:lang w:bidi="ar-DZ"/>
              </w:rPr>
            </w:pPr>
            <w:r w:rsidRPr="00F90C3F">
              <w:rPr>
                <w:rFonts w:ascii="Simplified Arabic" w:eastAsia="Times New Roman" w:hAnsi="Simplified Arabic" w:cs="Simplified Arabic" w:hint="cs"/>
                <w:b/>
                <w:sz w:val="24"/>
                <w:szCs w:val="24"/>
                <w:rtl/>
                <w:lang w:val="en-US" w:eastAsia="fr-FR"/>
              </w:rPr>
              <w:t>عمق</w:t>
            </w:r>
            <w:r w:rsidRPr="00F90C3F">
              <w:rPr>
                <w:rFonts w:ascii="Simplified Arabic" w:eastAsia="Times New Roman" w:hAnsi="Simplified Arabic" w:cs="Simplified Arabic"/>
                <w:b/>
                <w:sz w:val="24"/>
                <w:szCs w:val="24"/>
                <w:rtl/>
                <w:lang w:val="en-US" w:eastAsia="fr-FR"/>
              </w:rPr>
              <w:t xml:space="preserve"> الطرق</w:t>
            </w:r>
            <w:r w:rsidRPr="00F90C3F">
              <w:rPr>
                <w:rFonts w:ascii="Simplified Arabic" w:eastAsia="Times New Roman" w:hAnsi="Simplified Arabic" w:cs="Simplified Arabic" w:hint="cs"/>
                <w:b/>
                <w:sz w:val="24"/>
                <w:szCs w:val="24"/>
                <w:rtl/>
                <w:lang w:val="en-US" w:eastAsia="fr-FR"/>
              </w:rPr>
              <w:t xml:space="preserve"> الشريانية</w:t>
            </w:r>
            <w:r>
              <w:rPr>
                <w:rFonts w:ascii="Simplified Arabic" w:eastAsia="Times New Roman" w:hAnsi="Simplified Arabic" w:cs="Simplified Arabic" w:hint="cs"/>
                <w:b/>
                <w:sz w:val="24"/>
                <w:szCs w:val="24"/>
                <w:rtl/>
                <w:lang w:val="en-US" w:eastAsia="fr-FR"/>
              </w:rPr>
              <w:t xml:space="preserve"> </w:t>
            </w:r>
            <w:r w:rsidRPr="00F90C3F">
              <w:rPr>
                <w:rFonts w:asciiTheme="majorBidi" w:eastAsia="Times New Roman" w:hAnsiTheme="majorBidi" w:cstheme="majorBidi" w:hint="cs"/>
                <w:bCs/>
                <w:sz w:val="24"/>
                <w:szCs w:val="24"/>
                <w:rtl/>
                <w:lang w:val="en-US" w:eastAsia="fr-FR"/>
              </w:rPr>
              <w:t>(</w:t>
            </w:r>
            <w:r w:rsidRPr="007553E7">
              <w:rPr>
                <w:rFonts w:asciiTheme="majorBidi" w:eastAsia="Times New Roman" w:hAnsiTheme="majorBidi" w:cstheme="majorBidi"/>
                <w:b/>
                <w:sz w:val="24"/>
                <w:szCs w:val="24"/>
                <w:lang w:val="en-US" w:eastAsia="fr-FR"/>
              </w:rPr>
              <w:t>C</w:t>
            </w:r>
            <w:r>
              <w:rPr>
                <w:rFonts w:asciiTheme="majorBidi" w:eastAsia="Times New Roman" w:hAnsiTheme="majorBidi" w:cstheme="majorBidi"/>
                <w:b/>
                <w:sz w:val="24"/>
                <w:szCs w:val="24"/>
                <w:lang w:val="en-US" w:eastAsia="fr-FR"/>
              </w:rPr>
              <w:t>7</w:t>
            </w:r>
            <w:r w:rsidRPr="00F90C3F">
              <w:rPr>
                <w:rFonts w:asciiTheme="majorBidi" w:eastAsia="Times New Roman" w:hAnsiTheme="majorBidi" w:cstheme="majorBidi" w:hint="cs"/>
                <w:bCs/>
                <w:sz w:val="24"/>
                <w:szCs w:val="24"/>
                <w:rtl/>
                <w:lang w:val="en-US" w:eastAsia="fr-FR"/>
              </w:rPr>
              <w:t>)</w:t>
            </w:r>
          </w:p>
        </w:tc>
        <w:tc>
          <w:tcPr>
            <w:tcW w:w="533"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2</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1/2</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1/3</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1/2</w:t>
            </w:r>
          </w:p>
        </w:tc>
        <w:tc>
          <w:tcPr>
            <w:tcW w:w="534"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w:t>
            </w:r>
          </w:p>
        </w:tc>
        <w:tc>
          <w:tcPr>
            <w:tcW w:w="534" w:type="dxa"/>
            <w:shd w:val="clear" w:color="auto" w:fill="D9D9D9" w:themeFill="background1" w:themeFillShade="D9"/>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sidRPr="00E628C2">
              <w:rPr>
                <w:rFonts w:asciiTheme="majorBidi" w:eastAsia="Times New Roman" w:hAnsiTheme="majorBidi" w:cstheme="majorBidi"/>
                <w:color w:val="000000"/>
                <w:sz w:val="24"/>
                <w:szCs w:val="24"/>
                <w:lang w:eastAsia="fr-FR"/>
              </w:rPr>
              <w:t>1</w:t>
            </w:r>
          </w:p>
        </w:tc>
        <w:tc>
          <w:tcPr>
            <w:tcW w:w="1637" w:type="dxa"/>
            <w:vAlign w:val="center"/>
          </w:tcPr>
          <w:p w:rsidR="0001739A" w:rsidRPr="00E628C2" w:rsidRDefault="0001739A" w:rsidP="00A73815">
            <w:pPr>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hint="cs"/>
                <w:color w:val="000000"/>
                <w:sz w:val="24"/>
                <w:szCs w:val="24"/>
                <w:rtl/>
                <w:lang w:eastAsia="fr-FR"/>
              </w:rPr>
              <w:t>11</w:t>
            </w:r>
            <w:r w:rsidRPr="00E628C2">
              <w:rPr>
                <w:rFonts w:asciiTheme="majorBidi" w:eastAsia="Times New Roman" w:hAnsiTheme="majorBidi" w:cstheme="majorBidi"/>
                <w:color w:val="000000"/>
                <w:sz w:val="24"/>
                <w:szCs w:val="24"/>
                <w:lang w:eastAsia="fr-FR"/>
              </w:rPr>
              <w:t>,</w:t>
            </w:r>
            <w:r>
              <w:rPr>
                <w:rFonts w:asciiTheme="majorBidi" w:eastAsia="Times New Roman" w:hAnsiTheme="majorBidi" w:cstheme="majorBidi" w:hint="cs"/>
                <w:color w:val="000000"/>
                <w:sz w:val="24"/>
                <w:szCs w:val="24"/>
                <w:rtl/>
                <w:lang w:eastAsia="fr-FR"/>
              </w:rPr>
              <w:t>10</w:t>
            </w:r>
          </w:p>
        </w:tc>
        <w:tc>
          <w:tcPr>
            <w:tcW w:w="723" w:type="dxa"/>
            <w:vAlign w:val="center"/>
          </w:tcPr>
          <w:p w:rsidR="0001739A" w:rsidRPr="005229DD" w:rsidRDefault="0001739A" w:rsidP="00A73815">
            <w:pPr>
              <w:jc w:val="center"/>
              <w:rPr>
                <w:rFonts w:asciiTheme="majorBidi" w:eastAsia="Times New Roman" w:hAnsiTheme="majorBidi" w:cstheme="majorBidi"/>
                <w:color w:val="000000"/>
                <w:sz w:val="24"/>
                <w:szCs w:val="24"/>
                <w:lang w:eastAsia="fr-FR"/>
              </w:rPr>
            </w:pPr>
            <w:r w:rsidRPr="005229DD">
              <w:rPr>
                <w:rFonts w:asciiTheme="majorBidi" w:eastAsia="Times New Roman" w:hAnsiTheme="majorBidi" w:cstheme="majorBidi"/>
                <w:color w:val="000000"/>
                <w:sz w:val="24"/>
                <w:szCs w:val="24"/>
                <w:lang w:eastAsia="fr-FR"/>
              </w:rPr>
              <w:t>5</w:t>
            </w:r>
          </w:p>
        </w:tc>
      </w:tr>
    </w:tbl>
    <w:p w:rsidR="00C121B0" w:rsidRDefault="00C121B0" w:rsidP="00C05812">
      <w:pPr>
        <w:bidi/>
        <w:spacing w:before="240" w:after="0" w:line="240" w:lineRule="auto"/>
        <w:ind w:firstLine="282"/>
        <w:rPr>
          <w:rFonts w:ascii="Simplified Arabic" w:hAnsi="Simplified Arabic" w:cs="Simplified Arabic"/>
          <w:sz w:val="24"/>
          <w:szCs w:val="24"/>
          <w:rtl/>
          <w:lang w:bidi="ar-DZ"/>
        </w:rPr>
      </w:pPr>
      <w:r w:rsidRPr="008B3F07">
        <w:rPr>
          <w:rFonts w:ascii="Simplified Arabic" w:hAnsi="Simplified Arabic" w:cs="Simplified Arabic" w:hint="cs"/>
          <w:sz w:val="24"/>
          <w:szCs w:val="24"/>
          <w:rtl/>
          <w:lang w:bidi="ar-DZ"/>
        </w:rPr>
        <w:t>كانت</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قيمة</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نسبة</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الاتساق</w:t>
      </w:r>
      <w:r w:rsidRPr="00081908">
        <w:rPr>
          <w:rFonts w:asciiTheme="minorBidi" w:hAnsiTheme="minorBidi"/>
          <w:sz w:val="24"/>
          <w:szCs w:val="24"/>
          <w:rtl/>
          <w:lang w:val="en-US"/>
        </w:rPr>
        <w:t xml:space="preserve"> </w:t>
      </w:r>
      <w:r w:rsidRPr="001314A9">
        <w:rPr>
          <w:rFonts w:asciiTheme="majorBidi" w:hAnsiTheme="majorBidi" w:cstheme="majorBidi"/>
          <w:sz w:val="24"/>
          <w:szCs w:val="24"/>
          <w:lang w:bidi="ar-DZ"/>
        </w:rPr>
        <w:t>CR</w:t>
      </w:r>
      <w:r w:rsidRPr="00237FB6">
        <w:rPr>
          <w:rFonts w:asciiTheme="majorBidi" w:hAnsiTheme="majorBidi" w:cstheme="majorBidi"/>
          <w:b/>
          <w:bCs/>
          <w:sz w:val="24"/>
          <w:szCs w:val="24"/>
          <w:lang w:val="en-US" w:bidi="ar-DZ"/>
        </w:rPr>
        <w:t xml:space="preserve"> = </w:t>
      </w:r>
      <w:r w:rsidRPr="001314A9">
        <w:rPr>
          <w:rFonts w:asciiTheme="majorBidi" w:hAnsiTheme="majorBidi" w:cstheme="majorBidi"/>
          <w:sz w:val="24"/>
          <w:szCs w:val="24"/>
          <w:lang w:bidi="ar-DZ"/>
        </w:rPr>
        <w:t>6.10</w:t>
      </w:r>
      <w:r w:rsidRPr="008B3F07">
        <w:rPr>
          <w:rFonts w:ascii="Simplified Arabic" w:hAnsi="Simplified Arabic" w:cs="Simplified Arabic" w:hint="cs"/>
          <w:sz w:val="24"/>
          <w:szCs w:val="24"/>
          <w:rtl/>
          <w:lang w:bidi="ar-DZ"/>
        </w:rPr>
        <w:t>،</w:t>
      </w:r>
      <w:r>
        <w:rPr>
          <w:rFonts w:asciiTheme="minorBidi" w:hAnsiTheme="minorBidi" w:hint="cs"/>
          <w:sz w:val="24"/>
          <w:szCs w:val="24"/>
          <w:rtl/>
          <w:lang w:val="en-US"/>
        </w:rPr>
        <w:t xml:space="preserve"> </w:t>
      </w:r>
      <w:r w:rsidRPr="008B3F07">
        <w:rPr>
          <w:rFonts w:ascii="Simplified Arabic" w:hAnsi="Simplified Arabic" w:cs="Simplified Arabic" w:hint="cs"/>
          <w:sz w:val="24"/>
          <w:szCs w:val="24"/>
          <w:rtl/>
          <w:lang w:bidi="ar-DZ"/>
        </w:rPr>
        <w:t xml:space="preserve">كما هو في </w:t>
      </w:r>
      <w:r w:rsidRPr="008B3F07">
        <w:rPr>
          <w:rFonts w:ascii="Simplified Arabic" w:hAnsi="Simplified Arabic" w:cs="Simplified Arabic"/>
          <w:sz w:val="24"/>
          <w:szCs w:val="24"/>
          <w:rtl/>
          <w:lang w:bidi="ar-DZ"/>
        </w:rPr>
        <w:t>الجدول</w:t>
      </w:r>
      <w:r w:rsidRPr="008B3F07">
        <w:rPr>
          <w:rFonts w:ascii="Simplified Arabic" w:hAnsi="Simplified Arabic" w:cs="Simplified Arabic" w:hint="cs"/>
          <w:sz w:val="24"/>
          <w:szCs w:val="24"/>
          <w:rtl/>
          <w:lang w:bidi="ar-DZ"/>
        </w:rPr>
        <w:t xml:space="preserve">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11</w:t>
      </w:r>
      <w:r w:rsidR="00AF7197">
        <w:rPr>
          <w:rFonts w:ascii="Simplified Arabic" w:eastAsia="Times New Roman" w:hAnsi="Simplified Arabic" w:cs="Simplified Arabic" w:hint="cs"/>
          <w:b/>
          <w:sz w:val="24"/>
          <w:szCs w:val="24"/>
          <w:rtl/>
          <w:lang w:val="en-US" w:eastAsia="fr-FR"/>
        </w:rPr>
        <w:t>)</w:t>
      </w:r>
      <w:r w:rsidRPr="008B3F07">
        <w:rPr>
          <w:rFonts w:ascii="Simplified Arabic" w:hAnsi="Simplified Arabic" w:cs="Simplified Arabic" w:hint="cs"/>
          <w:sz w:val="24"/>
          <w:szCs w:val="24"/>
          <w:rtl/>
          <w:lang w:bidi="ar-DZ"/>
        </w:rPr>
        <w:t xml:space="preserve"> أقل</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من</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0.1،</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مما</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يعني</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أن</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توزيع</w:t>
      </w:r>
      <w:r w:rsidRPr="00081908">
        <w:rPr>
          <w:rFonts w:asciiTheme="minorBidi" w:hAnsiTheme="minorBidi"/>
          <w:sz w:val="24"/>
          <w:szCs w:val="24"/>
          <w:rtl/>
          <w:lang w:val="en-US"/>
        </w:rPr>
        <w:t xml:space="preserve"> </w:t>
      </w:r>
      <w:r w:rsidRPr="008B3F07">
        <w:rPr>
          <w:rFonts w:ascii="Simplified Arabic" w:hAnsi="Simplified Arabic" w:cs="Simplified Arabic" w:hint="cs"/>
          <w:sz w:val="24"/>
          <w:szCs w:val="24"/>
          <w:rtl/>
          <w:lang w:bidi="ar-DZ"/>
        </w:rPr>
        <w:t>الوزن</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بين</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المعايير</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مقبول</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ويظهر</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اتساقًا</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جيدًا</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في</w:t>
      </w:r>
      <w:r w:rsidRPr="008B3F0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احكام الخبراء</w:t>
      </w:r>
      <w:r w:rsidRPr="008B3F07">
        <w:rPr>
          <w:rFonts w:ascii="Simplified Arabic" w:hAnsi="Simplified Arabic" w:cs="Simplified Arabic"/>
          <w:sz w:val="24"/>
          <w:szCs w:val="24"/>
          <w:rtl/>
          <w:lang w:bidi="ar-DZ"/>
        </w:rPr>
        <w:t>.</w:t>
      </w:r>
    </w:p>
    <w:p w:rsidR="00C121B0" w:rsidRDefault="00C121B0" w:rsidP="008B4DD2">
      <w:pPr>
        <w:pStyle w:val="Tableau"/>
        <w:rPr>
          <w:rtl/>
          <w:lang w:val="en-US"/>
        </w:rPr>
      </w:pPr>
      <w:bookmarkStart w:id="667" w:name="_Toc157613001"/>
      <w:bookmarkStart w:id="668" w:name="_Toc171803689"/>
      <w:r w:rsidRPr="00E32579">
        <w:rPr>
          <w:rtl/>
          <w:lang w:val="en-US"/>
        </w:rPr>
        <w:t xml:space="preserve">الجدول </w:t>
      </w:r>
      <w:r w:rsidR="00AF7197">
        <w:rPr>
          <w:rFonts w:eastAsia="Times New Roman" w:hint="cs"/>
          <w:rtl/>
          <w:lang w:val="en-US" w:eastAsia="fr-FR"/>
        </w:rPr>
        <w:t>(5-</w:t>
      </w:r>
      <w:r w:rsidR="00C05812">
        <w:rPr>
          <w:rFonts w:eastAsia="Times New Roman" w:hint="cs"/>
          <w:rtl/>
          <w:lang w:val="en-US" w:eastAsia="fr-FR"/>
        </w:rPr>
        <w:t>11</w:t>
      </w:r>
      <w:r w:rsidR="00AF7197">
        <w:rPr>
          <w:rFonts w:eastAsia="Times New Roman" w:hint="cs"/>
          <w:rtl/>
          <w:lang w:val="en-US" w:eastAsia="fr-FR"/>
        </w:rPr>
        <w:t>)</w:t>
      </w:r>
      <w:r w:rsidRPr="00E32579">
        <w:rPr>
          <w:rtl/>
          <w:lang w:val="en-US"/>
        </w:rPr>
        <w:t xml:space="preserve">: </w:t>
      </w:r>
      <w:r>
        <w:rPr>
          <w:rFonts w:hint="cs"/>
          <w:rtl/>
          <w:lang w:val="en-US"/>
        </w:rPr>
        <w:t>نتائج فحص قيم</w:t>
      </w:r>
      <w:r w:rsidRPr="00E32579">
        <w:rPr>
          <w:rtl/>
          <w:lang w:val="en-US"/>
        </w:rPr>
        <w:t xml:space="preserve"> </w:t>
      </w:r>
      <w:r>
        <w:rPr>
          <w:rFonts w:hint="cs"/>
          <w:rtl/>
          <w:lang w:val="en-US"/>
        </w:rPr>
        <w:t>الاتساق</w:t>
      </w:r>
      <w:bookmarkEnd w:id="667"/>
      <w:bookmarkEnd w:id="668"/>
    </w:p>
    <w:p w:rsidR="007A30E8" w:rsidRPr="007A30E8" w:rsidRDefault="007A30E8" w:rsidP="007A30E8">
      <w:pPr>
        <w:pStyle w:val="fegure"/>
        <w:rPr>
          <w:sz w:val="8"/>
          <w:szCs w:val="24"/>
          <w:rtl/>
          <w:lang w:val="en-US" w:bidi="ar-DZ"/>
        </w:rPr>
      </w:pPr>
      <w:bookmarkStart w:id="669" w:name="_Toc171803690"/>
      <w:r>
        <w:rPr>
          <w:rFonts w:hint="cs"/>
          <w:sz w:val="8"/>
          <w:szCs w:val="24"/>
          <w:rtl/>
          <w:lang w:val="en-US"/>
        </w:rPr>
        <w:t>المصدر: (الباحث، 2022)</w:t>
      </w:r>
      <w:bookmarkEnd w:id="669"/>
    </w:p>
    <w:tbl>
      <w:tblPr>
        <w:tblW w:w="5670" w:type="dxa"/>
        <w:jc w:val="center"/>
        <w:tblInd w:w="921" w:type="dxa"/>
        <w:tblCellMar>
          <w:left w:w="70" w:type="dxa"/>
          <w:right w:w="70" w:type="dxa"/>
        </w:tblCellMar>
        <w:tblLook w:val="04A0" w:firstRow="1" w:lastRow="0" w:firstColumn="1" w:lastColumn="0" w:noHBand="0" w:noVBand="1"/>
      </w:tblPr>
      <w:tblGrid>
        <w:gridCol w:w="567"/>
        <w:gridCol w:w="927"/>
        <w:gridCol w:w="1180"/>
        <w:gridCol w:w="728"/>
        <w:gridCol w:w="992"/>
        <w:gridCol w:w="1276"/>
      </w:tblGrid>
      <w:tr w:rsidR="00C121B0" w:rsidRPr="00793B3A" w:rsidTr="00794BA6">
        <w:trPr>
          <w:trHeight w:val="48"/>
          <w:jc w:val="center"/>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n</w:t>
            </w:r>
          </w:p>
        </w:tc>
        <w:tc>
          <w:tcPr>
            <w:tcW w:w="927" w:type="dxa"/>
            <w:tcBorders>
              <w:top w:val="single" w:sz="4" w:space="0" w:color="auto"/>
              <w:left w:val="nil"/>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λmax</w:t>
            </w:r>
          </w:p>
        </w:tc>
        <w:tc>
          <w:tcPr>
            <w:tcW w:w="1180" w:type="dxa"/>
            <w:tcBorders>
              <w:top w:val="single" w:sz="4" w:space="0" w:color="auto"/>
              <w:left w:val="nil"/>
              <w:bottom w:val="single" w:sz="4" w:space="0" w:color="auto"/>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CI</w:t>
            </w:r>
          </w:p>
        </w:tc>
        <w:tc>
          <w:tcPr>
            <w:tcW w:w="728" w:type="dxa"/>
            <w:tcBorders>
              <w:top w:val="single" w:sz="24" w:space="0" w:color="FF0000"/>
              <w:left w:val="single" w:sz="24" w:space="0" w:color="FF0000"/>
              <w:bottom w:val="single" w:sz="4" w:space="0" w:color="auto"/>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 xml:space="preserve">   RI</w:t>
            </w:r>
          </w:p>
        </w:tc>
        <w:tc>
          <w:tcPr>
            <w:tcW w:w="992" w:type="dxa"/>
            <w:tcBorders>
              <w:top w:val="single" w:sz="4" w:space="0" w:color="auto"/>
              <w:left w:val="single" w:sz="24" w:space="0" w:color="FF0000"/>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CR</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C121B0" w:rsidRPr="00793B3A"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793B3A">
              <w:rPr>
                <w:rFonts w:ascii="Simplified Arabic" w:eastAsia="Times New Roman" w:hAnsi="Simplified Arabic" w:cs="Simplified Arabic"/>
                <w:color w:val="000000"/>
                <w:sz w:val="24"/>
                <w:szCs w:val="24"/>
                <w:rtl/>
                <w:lang w:eastAsia="fr-FR"/>
              </w:rPr>
              <w:t>شرط الاتساق</w:t>
            </w:r>
            <w:r w:rsidRPr="00793B3A">
              <w:rPr>
                <w:rFonts w:ascii="Simplified Arabic" w:eastAsia="Times New Roman" w:hAnsi="Simplified Arabic" w:cs="Simplified Arabic"/>
                <w:color w:val="000000"/>
                <w:sz w:val="24"/>
                <w:szCs w:val="24"/>
                <w:lang w:eastAsia="fr-FR"/>
              </w:rPr>
              <w:t xml:space="preserve"> </w:t>
            </w:r>
          </w:p>
        </w:tc>
      </w:tr>
      <w:tr w:rsidR="00C121B0" w:rsidRPr="00793B3A" w:rsidTr="00794BA6">
        <w:trPr>
          <w:trHeight w:val="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7</w:t>
            </w:r>
          </w:p>
        </w:tc>
        <w:tc>
          <w:tcPr>
            <w:tcW w:w="927" w:type="dxa"/>
            <w:tcBorders>
              <w:top w:val="nil"/>
              <w:left w:val="nil"/>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7,6754</w:t>
            </w:r>
          </w:p>
        </w:tc>
        <w:tc>
          <w:tcPr>
            <w:tcW w:w="1180" w:type="dxa"/>
            <w:tcBorders>
              <w:top w:val="nil"/>
              <w:left w:val="nil"/>
              <w:bottom w:val="single" w:sz="4" w:space="0" w:color="auto"/>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0,11257</w:t>
            </w:r>
          </w:p>
        </w:tc>
        <w:tc>
          <w:tcPr>
            <w:tcW w:w="728" w:type="dxa"/>
            <w:tcBorders>
              <w:top w:val="nil"/>
              <w:left w:val="single" w:sz="24" w:space="0" w:color="FF0000"/>
              <w:bottom w:val="single" w:sz="24" w:space="0" w:color="FF0000"/>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1,32</w:t>
            </w:r>
          </w:p>
        </w:tc>
        <w:tc>
          <w:tcPr>
            <w:tcW w:w="992" w:type="dxa"/>
            <w:tcBorders>
              <w:top w:val="nil"/>
              <w:left w:val="single" w:sz="24" w:space="0" w:color="FF0000"/>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8,50%</w:t>
            </w:r>
          </w:p>
        </w:tc>
        <w:tc>
          <w:tcPr>
            <w:tcW w:w="1276" w:type="dxa"/>
            <w:tcBorders>
              <w:top w:val="nil"/>
              <w:left w:val="nil"/>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CR&lt;0.1</w:t>
            </w:r>
          </w:p>
        </w:tc>
      </w:tr>
    </w:tbl>
    <w:p w:rsidR="00C121B0" w:rsidRDefault="00C121B0" w:rsidP="00FD3D45">
      <w:pPr>
        <w:tabs>
          <w:tab w:val="right" w:pos="282"/>
        </w:tabs>
        <w:bidi/>
        <w:spacing w:before="240" w:after="0"/>
        <w:ind w:firstLine="282"/>
        <w:jc w:val="both"/>
        <w:rPr>
          <w:rFonts w:ascii="Simplified Arabic" w:hAnsi="Simplified Arabic" w:cs="Simplified Arabic"/>
          <w:sz w:val="24"/>
          <w:szCs w:val="24"/>
          <w:rtl/>
          <w:lang w:bidi="ar-DZ"/>
        </w:rPr>
      </w:pPr>
      <w:r w:rsidRPr="00B42CF5">
        <w:rPr>
          <w:rFonts w:ascii="Simplified Arabic" w:hAnsi="Simplified Arabic" w:cs="Simplified Arabic"/>
          <w:sz w:val="24"/>
          <w:szCs w:val="24"/>
          <w:rtl/>
          <w:lang w:bidi="ar-DZ"/>
        </w:rPr>
        <w:t xml:space="preserve">تم </w:t>
      </w:r>
      <w:r>
        <w:rPr>
          <w:rFonts w:ascii="Simplified Arabic" w:hAnsi="Simplified Arabic" w:cs="Simplified Arabic" w:hint="cs"/>
          <w:sz w:val="24"/>
          <w:szCs w:val="24"/>
          <w:rtl/>
          <w:lang w:bidi="ar-DZ"/>
        </w:rPr>
        <w:t>التمثيل البياني ل</w:t>
      </w:r>
      <w:r w:rsidRPr="00B42CF5">
        <w:rPr>
          <w:rFonts w:ascii="Simplified Arabic" w:hAnsi="Simplified Arabic" w:cs="Simplified Arabic"/>
          <w:sz w:val="24"/>
          <w:szCs w:val="24"/>
          <w:rtl/>
          <w:lang w:bidi="ar-DZ"/>
        </w:rPr>
        <w:t xml:space="preserve">لمعايير </w:t>
      </w:r>
      <w:r>
        <w:rPr>
          <w:rFonts w:ascii="Simplified Arabic" w:hAnsi="Simplified Arabic" w:cs="Simplified Arabic"/>
          <w:sz w:val="24"/>
          <w:szCs w:val="24"/>
          <w:rtl/>
          <w:lang w:bidi="ar-DZ"/>
        </w:rPr>
        <w:t>وفق</w:t>
      </w:r>
      <w:r w:rsidRPr="00B42CF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B42CF5">
        <w:rPr>
          <w:rFonts w:ascii="Simplified Arabic" w:hAnsi="Simplified Arabic" w:cs="Simplified Arabic"/>
          <w:sz w:val="24"/>
          <w:szCs w:val="24"/>
          <w:rtl/>
          <w:lang w:bidi="ar-DZ"/>
        </w:rPr>
        <w:t>وزن والأهمية</w:t>
      </w:r>
      <w:r w:rsidRPr="00B42CF5">
        <w:rPr>
          <w:rFonts w:ascii="Simplified Arabic" w:hAnsi="Simplified Arabic" w:cs="Simplified Arabic" w:hint="cs"/>
          <w:sz w:val="24"/>
          <w:szCs w:val="24"/>
          <w:rtl/>
          <w:lang w:bidi="ar-DZ"/>
        </w:rPr>
        <w:t>،</w:t>
      </w:r>
      <w:r w:rsidRPr="00B42CF5">
        <w:rPr>
          <w:rFonts w:ascii="Simplified Arabic" w:hAnsi="Simplified Arabic" w:cs="Simplified Arabic"/>
          <w:sz w:val="24"/>
          <w:szCs w:val="24"/>
          <w:rtl/>
          <w:lang w:bidi="ar-DZ"/>
        </w:rPr>
        <w:t xml:space="preserve"> </w:t>
      </w:r>
      <w:r w:rsidRPr="00B42CF5">
        <w:rPr>
          <w:rFonts w:ascii="Simplified Arabic" w:hAnsi="Simplified Arabic" w:cs="Simplified Arabic" w:hint="cs"/>
          <w:sz w:val="24"/>
          <w:szCs w:val="24"/>
          <w:rtl/>
          <w:lang w:bidi="ar-DZ"/>
        </w:rPr>
        <w:t>لإعط</w:t>
      </w:r>
      <w:r>
        <w:rPr>
          <w:rFonts w:ascii="Simplified Arabic" w:hAnsi="Simplified Arabic" w:cs="Simplified Arabic" w:hint="cs"/>
          <w:sz w:val="24"/>
          <w:szCs w:val="24"/>
          <w:rtl/>
          <w:lang w:bidi="ar-DZ"/>
        </w:rPr>
        <w:t>ا</w:t>
      </w:r>
      <w:r w:rsidRPr="00B42CF5">
        <w:rPr>
          <w:rFonts w:ascii="Simplified Arabic" w:hAnsi="Simplified Arabic" w:cs="Simplified Arabic" w:hint="cs"/>
          <w:sz w:val="24"/>
          <w:szCs w:val="24"/>
          <w:rtl/>
          <w:lang w:bidi="ar-DZ"/>
        </w:rPr>
        <w:t>ء</w:t>
      </w:r>
      <w:r w:rsidRPr="00B42CF5">
        <w:rPr>
          <w:rFonts w:ascii="Simplified Arabic" w:hAnsi="Simplified Arabic" w:cs="Simplified Arabic"/>
          <w:sz w:val="24"/>
          <w:szCs w:val="24"/>
          <w:rtl/>
          <w:lang w:bidi="ar-DZ"/>
        </w:rPr>
        <w:t xml:space="preserve"> </w:t>
      </w:r>
      <w:r w:rsidR="00FD3D45">
        <w:rPr>
          <w:rFonts w:ascii="Simplified Arabic" w:hAnsi="Simplified Arabic" w:cs="Simplified Arabic" w:hint="cs"/>
          <w:sz w:val="24"/>
          <w:szCs w:val="24"/>
          <w:rtl/>
          <w:lang w:bidi="ar-DZ"/>
        </w:rPr>
        <w:t>ا</w:t>
      </w:r>
      <w:r w:rsidRPr="00B42CF5">
        <w:rPr>
          <w:rFonts w:ascii="Simplified Arabic" w:hAnsi="Simplified Arabic" w:cs="Simplified Arabic" w:hint="cs"/>
          <w:sz w:val="24"/>
          <w:szCs w:val="24"/>
          <w:rtl/>
          <w:lang w:bidi="ar-DZ"/>
        </w:rPr>
        <w:t>لأولوية</w:t>
      </w:r>
      <w:r w:rsidRPr="00B42CF5">
        <w:rPr>
          <w:rFonts w:ascii="Simplified Arabic" w:hAnsi="Simplified Arabic" w:cs="Simplified Arabic"/>
          <w:sz w:val="24"/>
          <w:szCs w:val="24"/>
          <w:rtl/>
          <w:lang w:bidi="ar-DZ"/>
        </w:rPr>
        <w:t xml:space="preserve"> </w:t>
      </w:r>
      <w:r w:rsidRPr="00B42CF5">
        <w:rPr>
          <w:rFonts w:ascii="Simplified Arabic" w:hAnsi="Simplified Arabic" w:cs="Simplified Arabic" w:hint="cs"/>
          <w:sz w:val="24"/>
          <w:szCs w:val="24"/>
          <w:rtl/>
          <w:lang w:bidi="ar-DZ"/>
        </w:rPr>
        <w:t>المعايير</w:t>
      </w:r>
      <w:r w:rsidRPr="00B42CF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لتقييم المرونة </w:t>
      </w:r>
      <w:r w:rsidRPr="00B42CF5">
        <w:rPr>
          <w:rFonts w:ascii="Simplified Arabic" w:hAnsi="Simplified Arabic" w:cs="Simplified Arabic" w:hint="cs"/>
          <w:sz w:val="24"/>
          <w:szCs w:val="24"/>
          <w:rtl/>
          <w:lang w:bidi="ar-DZ"/>
        </w:rPr>
        <w:t>الحضرية</w:t>
      </w:r>
      <w:r w:rsidRPr="00715A55">
        <w:rPr>
          <w:rFonts w:ascii="Simplified Arabic" w:hAnsi="Simplified Arabic" w:cs="Simplified Arabic"/>
          <w:sz w:val="24"/>
          <w:szCs w:val="24"/>
          <w:rtl/>
          <w:lang w:bidi="ar-DZ"/>
        </w:rPr>
        <w:t xml:space="preserve"> </w:t>
      </w:r>
      <w:r w:rsidRPr="00B42CF5">
        <w:rPr>
          <w:rFonts w:ascii="Simplified Arabic" w:hAnsi="Simplified Arabic" w:cs="Simplified Arabic"/>
          <w:sz w:val="24"/>
          <w:szCs w:val="24"/>
          <w:rtl/>
          <w:lang w:bidi="ar-DZ"/>
        </w:rPr>
        <w:t xml:space="preserve">في </w:t>
      </w:r>
      <w:r w:rsidRPr="00B42CF5">
        <w:rPr>
          <w:rFonts w:ascii="Simplified Arabic" w:hAnsi="Simplified Arabic" w:cs="Simplified Arabic" w:hint="cs"/>
          <w:sz w:val="24"/>
          <w:szCs w:val="24"/>
          <w:rtl/>
          <w:lang w:bidi="ar-DZ"/>
        </w:rPr>
        <w:t>الشكل</w:t>
      </w:r>
      <w:r w:rsidRPr="00B42CF5">
        <w:rPr>
          <w:rFonts w:ascii="Simplified Arabic" w:hAnsi="Simplified Arabic" w:cs="Simplified Arabic"/>
          <w:sz w:val="24"/>
          <w:szCs w:val="24"/>
          <w:rtl/>
          <w:lang w:bidi="ar-DZ"/>
        </w:rPr>
        <w:t xml:space="preserve"> </w:t>
      </w:r>
      <w:r w:rsidR="00CF7134">
        <w:rPr>
          <w:rFonts w:ascii="Simplified Arabic" w:hAnsi="Simplified Arabic" w:cs="Simplified Arabic" w:hint="cs"/>
          <w:sz w:val="24"/>
          <w:szCs w:val="24"/>
          <w:rtl/>
          <w:lang w:val="en-US"/>
        </w:rPr>
        <w:t>(5-6)</w:t>
      </w:r>
      <w:r w:rsidRPr="00B42CF5">
        <w:rPr>
          <w:rFonts w:ascii="Simplified Arabic" w:hAnsi="Simplified Arabic" w:cs="Simplified Arabic"/>
          <w:sz w:val="24"/>
          <w:szCs w:val="24"/>
          <w:rtl/>
          <w:lang w:bidi="ar-DZ"/>
        </w:rPr>
        <w:t>.</w:t>
      </w:r>
      <w:r w:rsidRPr="00B42CF5">
        <w:rPr>
          <w:rFonts w:ascii="Simplified Arabic" w:hAnsi="Simplified Arabic" w:cs="Simplified Arabic" w:hint="cs"/>
          <w:sz w:val="24"/>
          <w:szCs w:val="24"/>
          <w:rtl/>
          <w:lang w:bidi="ar-DZ"/>
        </w:rPr>
        <w:t xml:space="preserve"> </w:t>
      </w:r>
      <w:r w:rsidRPr="00B42CF5">
        <w:rPr>
          <w:rFonts w:ascii="Simplified Arabic" w:hAnsi="Simplified Arabic" w:cs="Simplified Arabic"/>
          <w:sz w:val="24"/>
          <w:szCs w:val="24"/>
          <w:rtl/>
          <w:lang w:bidi="ar-DZ"/>
        </w:rPr>
        <w:t>يأتي معيار التكفل الطبي</w:t>
      </w:r>
      <w:r>
        <w:rPr>
          <w:rFonts w:ascii="Simplified Arabic" w:hAnsi="Simplified Arabic" w:cs="Simplified Arabic" w:hint="cs"/>
          <w:sz w:val="24"/>
          <w:szCs w:val="24"/>
          <w:rtl/>
          <w:lang w:bidi="ar-DZ"/>
        </w:rPr>
        <w:t xml:space="preserve"> </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color w:val="000000"/>
          <w:lang w:eastAsia="fr-FR"/>
        </w:rPr>
        <w:t>C</w:t>
      </w:r>
      <w:r>
        <w:rPr>
          <w:rFonts w:asciiTheme="majorBidi" w:eastAsia="Times New Roman" w:hAnsiTheme="majorBidi" w:cstheme="majorBidi"/>
          <w:color w:val="000000"/>
          <w:lang w:eastAsia="fr-FR"/>
        </w:rPr>
        <w:t>1</w:t>
      </w:r>
      <w:r w:rsidRPr="00B42CF5">
        <w:rPr>
          <w:rFonts w:asciiTheme="majorBidi" w:eastAsia="Times New Roman" w:hAnsiTheme="majorBidi" w:cstheme="majorBidi"/>
          <w:color w:val="000000"/>
          <w:rtl/>
          <w:lang w:eastAsia="fr-FR"/>
        </w:rPr>
        <w:t>)</w:t>
      </w:r>
      <w:r w:rsidRPr="00B42CF5">
        <w:rPr>
          <w:rFonts w:ascii="Simplified Arabic" w:hAnsi="Simplified Arabic" w:cs="Simplified Arabic"/>
          <w:sz w:val="24"/>
          <w:szCs w:val="24"/>
          <w:rtl/>
          <w:lang w:bidi="ar-DZ"/>
        </w:rPr>
        <w:t xml:space="preserve"> </w:t>
      </w:r>
      <w:r w:rsidRPr="00B42CF5">
        <w:rPr>
          <w:rFonts w:ascii="Simplified Arabic" w:hAnsi="Simplified Arabic" w:cs="Simplified Arabic" w:hint="cs"/>
          <w:sz w:val="24"/>
          <w:szCs w:val="24"/>
          <w:rtl/>
          <w:lang w:bidi="ar-DZ"/>
        </w:rPr>
        <w:t xml:space="preserve">الوزن الأعلى </w:t>
      </w:r>
      <w:r>
        <w:rPr>
          <w:rFonts w:ascii="Simplified Arabic" w:hAnsi="Simplified Arabic" w:cs="Simplified Arabic" w:hint="cs"/>
          <w:sz w:val="24"/>
          <w:szCs w:val="24"/>
          <w:rtl/>
          <w:lang w:bidi="ar-DZ"/>
        </w:rPr>
        <w:t xml:space="preserve">اهمية </w:t>
      </w:r>
      <w:r w:rsidRPr="00B42CF5">
        <w:rPr>
          <w:rFonts w:ascii="Simplified Arabic" w:hAnsi="Simplified Arabic" w:cs="Simplified Arabic" w:hint="cs"/>
          <w:sz w:val="24"/>
          <w:szCs w:val="24"/>
          <w:rtl/>
          <w:lang w:bidi="ar-DZ"/>
        </w:rPr>
        <w:t xml:space="preserve">حسب </w:t>
      </w:r>
      <w:r>
        <w:rPr>
          <w:rFonts w:ascii="Simplified Arabic" w:hAnsi="Simplified Arabic" w:cs="Simplified Arabic" w:hint="cs"/>
          <w:sz w:val="24"/>
          <w:szCs w:val="24"/>
          <w:rtl/>
          <w:lang w:bidi="ar-DZ"/>
        </w:rPr>
        <w:t xml:space="preserve">راي </w:t>
      </w:r>
      <w:r w:rsidRPr="00B42CF5">
        <w:rPr>
          <w:rFonts w:ascii="Simplified Arabic" w:hAnsi="Simplified Arabic" w:cs="Simplified Arabic" w:hint="cs"/>
          <w:sz w:val="24"/>
          <w:szCs w:val="24"/>
          <w:rtl/>
          <w:lang w:bidi="ar-DZ"/>
        </w:rPr>
        <w:t>الخبراء</w:t>
      </w:r>
      <w:r w:rsidRPr="00B42CF5">
        <w:rPr>
          <w:rFonts w:ascii="Simplified Arabic" w:hAnsi="Simplified Arabic" w:cs="Simplified Arabic"/>
          <w:sz w:val="24"/>
          <w:szCs w:val="24"/>
          <w:rtl/>
          <w:lang w:bidi="ar-DZ"/>
        </w:rPr>
        <w:t xml:space="preserve">، </w:t>
      </w:r>
      <w:r w:rsidRPr="00B42CF5">
        <w:rPr>
          <w:rFonts w:ascii="Simplified Arabic" w:hAnsi="Simplified Arabic" w:cs="Simplified Arabic" w:hint="cs"/>
          <w:sz w:val="24"/>
          <w:szCs w:val="24"/>
          <w:rtl/>
          <w:lang w:bidi="ar-DZ"/>
        </w:rPr>
        <w:t xml:space="preserve">يتوافق </w:t>
      </w:r>
      <w:r>
        <w:rPr>
          <w:rFonts w:ascii="Simplified Arabic" w:hAnsi="Simplified Arabic" w:cs="Simplified Arabic" w:hint="cs"/>
          <w:sz w:val="24"/>
          <w:szCs w:val="24"/>
          <w:rtl/>
          <w:lang w:bidi="ar-DZ"/>
        </w:rPr>
        <w:t xml:space="preserve">ذلك </w:t>
      </w:r>
      <w:r w:rsidRPr="00B42CF5">
        <w:rPr>
          <w:rFonts w:ascii="Simplified Arabic" w:hAnsi="Simplified Arabic" w:cs="Simplified Arabic" w:hint="cs"/>
          <w:sz w:val="24"/>
          <w:szCs w:val="24"/>
          <w:rtl/>
          <w:lang w:bidi="ar-DZ"/>
        </w:rPr>
        <w:t xml:space="preserve">مع مخاوف الخبراء من الاصابات الناجمة عن الكوارث، </w:t>
      </w:r>
      <w:r w:rsidRPr="00B42CF5">
        <w:rPr>
          <w:rFonts w:ascii="Simplified Arabic" w:hAnsi="Simplified Arabic" w:cs="Simplified Arabic"/>
          <w:sz w:val="24"/>
          <w:szCs w:val="24"/>
          <w:rtl/>
          <w:lang w:bidi="ar-DZ"/>
        </w:rPr>
        <w:t>يمثل أهم معيار للمرونة بنسبة (</w:t>
      </w:r>
      <w:r w:rsidRPr="00B42CF5">
        <w:rPr>
          <w:rFonts w:ascii="Simplified Arabic" w:hAnsi="Simplified Arabic" w:cs="Simplified Arabic"/>
          <w:sz w:val="24"/>
          <w:szCs w:val="24"/>
          <w:lang w:bidi="ar-DZ"/>
        </w:rPr>
        <w:t>20,79</w:t>
      </w:r>
      <w:r w:rsidRPr="00B42CF5">
        <w:rPr>
          <w:rFonts w:ascii="Simplified Arabic" w:hAnsi="Simplified Arabic" w:cs="Simplified Arabic"/>
          <w:sz w:val="24"/>
          <w:szCs w:val="24"/>
          <w:rtl/>
          <w:lang w:bidi="ar-DZ"/>
        </w:rPr>
        <w:t xml:space="preserve">٪)، يليه </w:t>
      </w:r>
      <w:r w:rsidRPr="004F4990">
        <w:rPr>
          <w:rFonts w:ascii="Simplified Arabic" w:hAnsi="Simplified Arabic" w:cs="Simplified Arabic" w:hint="cs"/>
          <w:sz w:val="24"/>
          <w:szCs w:val="24"/>
          <w:rtl/>
          <w:lang w:bidi="ar-DZ"/>
        </w:rPr>
        <w:t>الايواء</w:t>
      </w:r>
      <w:r w:rsidRPr="004F4990">
        <w:rPr>
          <w:rFonts w:ascii="Simplified Arabic" w:hAnsi="Simplified Arabic" w:cs="Simplified Arabic"/>
          <w:sz w:val="24"/>
          <w:szCs w:val="24"/>
          <w:rtl/>
          <w:lang w:bidi="ar-DZ"/>
        </w:rPr>
        <w:t xml:space="preserve"> المؤقت</w:t>
      </w:r>
      <w:r>
        <w:rPr>
          <w:rFonts w:ascii="Simplified Arabic" w:hAnsi="Simplified Arabic" w:cs="Simplified Arabic"/>
          <w:lang w:bidi="ar-DZ"/>
        </w:rPr>
        <w:t xml:space="preserve"> </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color w:val="000000"/>
          <w:lang w:eastAsia="fr-FR"/>
        </w:rPr>
        <w:t>C</w:t>
      </w:r>
      <w:r>
        <w:rPr>
          <w:rFonts w:asciiTheme="majorBidi" w:eastAsia="Times New Roman" w:hAnsiTheme="majorBidi" w:cstheme="majorBidi"/>
          <w:color w:val="000000"/>
          <w:lang w:eastAsia="fr-FR"/>
        </w:rPr>
        <w:t>4</w:t>
      </w:r>
      <w:r w:rsidRPr="00B42CF5">
        <w:rPr>
          <w:rFonts w:asciiTheme="majorBidi" w:eastAsia="Times New Roman" w:hAnsiTheme="majorBidi" w:cstheme="majorBidi"/>
          <w:color w:val="000000"/>
          <w:rtl/>
          <w:lang w:eastAsia="fr-FR"/>
        </w:rPr>
        <w:t>)</w:t>
      </w:r>
      <w:r w:rsidRPr="00B42CF5">
        <w:rPr>
          <w:rFonts w:ascii="Simplified Arabic" w:hAnsi="Simplified Arabic" w:cs="Simplified Arabic"/>
          <w:sz w:val="24"/>
          <w:szCs w:val="24"/>
          <w:rtl/>
          <w:lang w:bidi="ar-DZ"/>
        </w:rPr>
        <w:t xml:space="preserve"> بنسبة</w:t>
      </w:r>
      <w:r>
        <w:rPr>
          <w:rFonts w:ascii="Simplified Arabic" w:hAnsi="Simplified Arabic" w:cs="Simplified Arabic"/>
          <w:sz w:val="24"/>
          <w:szCs w:val="24"/>
          <w:lang w:bidi="ar-DZ"/>
        </w:rPr>
        <w:t xml:space="preserve"> </w:t>
      </w:r>
      <w:r w:rsidRPr="00B42CF5">
        <w:rPr>
          <w:rFonts w:ascii="Simplified Arabic" w:hAnsi="Simplified Arabic" w:cs="Simplified Arabic"/>
          <w:sz w:val="24"/>
          <w:szCs w:val="24"/>
          <w:rtl/>
          <w:lang w:bidi="ar-DZ"/>
        </w:rPr>
        <w:t>(</w:t>
      </w:r>
      <w:r w:rsidRPr="00B42CF5">
        <w:rPr>
          <w:rFonts w:ascii="Simplified Arabic" w:hAnsi="Simplified Arabic" w:cs="Simplified Arabic"/>
          <w:sz w:val="24"/>
          <w:szCs w:val="24"/>
          <w:lang w:bidi="ar-DZ"/>
        </w:rPr>
        <w:t>19,42</w:t>
      </w:r>
      <w:r w:rsidRPr="00B42CF5">
        <w:rPr>
          <w:rFonts w:ascii="Simplified Arabic" w:hAnsi="Simplified Arabic" w:cs="Simplified Arabic"/>
          <w:sz w:val="24"/>
          <w:szCs w:val="24"/>
          <w:rtl/>
          <w:lang w:bidi="ar-DZ"/>
        </w:rPr>
        <w:t>٪)، والأمن</w:t>
      </w:r>
      <w:r>
        <w:rPr>
          <w:rFonts w:ascii="Simplified Arabic" w:hAnsi="Simplified Arabic" w:cs="Simplified Arabic"/>
          <w:sz w:val="24"/>
          <w:szCs w:val="24"/>
          <w:lang w:bidi="ar-DZ"/>
        </w:rPr>
        <w:t xml:space="preserve"> </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color w:val="000000"/>
          <w:lang w:eastAsia="fr-FR"/>
        </w:rPr>
        <w:t>C</w:t>
      </w:r>
      <w:r>
        <w:rPr>
          <w:rFonts w:asciiTheme="majorBidi" w:eastAsia="Times New Roman" w:hAnsiTheme="majorBidi" w:cstheme="majorBidi"/>
          <w:color w:val="000000"/>
          <w:lang w:eastAsia="fr-FR"/>
        </w:rPr>
        <w:t>3</w:t>
      </w:r>
      <w:r w:rsidRPr="00B42CF5">
        <w:rPr>
          <w:rFonts w:asciiTheme="majorBidi" w:eastAsia="Times New Roman" w:hAnsiTheme="majorBidi" w:cstheme="majorBidi"/>
          <w:color w:val="000000"/>
          <w:rtl/>
          <w:lang w:eastAsia="fr-FR"/>
        </w:rPr>
        <w:t>)</w:t>
      </w:r>
      <w:r w:rsidRPr="00B42CF5">
        <w:rPr>
          <w:rFonts w:ascii="Simplified Arabic" w:hAnsi="Simplified Arabic" w:cs="Simplified Arabic"/>
          <w:sz w:val="24"/>
          <w:szCs w:val="24"/>
          <w:rtl/>
          <w:lang w:bidi="ar-DZ"/>
        </w:rPr>
        <w:t xml:space="preserve"> بنسبة</w:t>
      </w:r>
      <w:r>
        <w:rPr>
          <w:rFonts w:ascii="Simplified Arabic" w:hAnsi="Simplified Arabic" w:cs="Simplified Arabic"/>
          <w:sz w:val="24"/>
          <w:szCs w:val="24"/>
          <w:lang w:bidi="ar-DZ"/>
        </w:rPr>
        <w:t xml:space="preserve"> </w:t>
      </w:r>
      <w:r w:rsidRPr="00B42CF5">
        <w:rPr>
          <w:rFonts w:ascii="Simplified Arabic" w:hAnsi="Simplified Arabic" w:cs="Simplified Arabic"/>
          <w:sz w:val="24"/>
          <w:szCs w:val="24"/>
          <w:rtl/>
          <w:lang w:bidi="ar-DZ"/>
        </w:rPr>
        <w:t>(</w:t>
      </w:r>
      <w:r w:rsidRPr="00B42CF5">
        <w:rPr>
          <w:rFonts w:ascii="Simplified Arabic" w:hAnsi="Simplified Arabic" w:cs="Simplified Arabic"/>
          <w:sz w:val="24"/>
          <w:szCs w:val="24"/>
          <w:lang w:bidi="ar-DZ"/>
        </w:rPr>
        <w:t>17,29</w:t>
      </w:r>
      <w:r w:rsidRPr="00B42CF5">
        <w:rPr>
          <w:rFonts w:ascii="Simplified Arabic" w:hAnsi="Simplified Arabic" w:cs="Simplified Arabic"/>
          <w:sz w:val="24"/>
          <w:szCs w:val="24"/>
          <w:rtl/>
          <w:lang w:bidi="ar-DZ"/>
        </w:rPr>
        <w:t xml:space="preserve">٪)، </w:t>
      </w:r>
      <w:r w:rsidRPr="004750D0">
        <w:rPr>
          <w:rFonts w:ascii="Simplified Arabic" w:hAnsi="Simplified Arabic" w:cs="Simplified Arabic"/>
          <w:sz w:val="24"/>
          <w:szCs w:val="24"/>
          <w:rtl/>
          <w:lang w:bidi="ar-DZ"/>
        </w:rPr>
        <w:t>الإنقاذ</w:t>
      </w:r>
      <w:r w:rsidRPr="00B42CF5">
        <w:rPr>
          <w:rFonts w:ascii="Simplified Arabic" w:hAnsi="Simplified Arabic" w:cs="Simplified Arabic"/>
          <w:rtl/>
          <w:lang w:bidi="ar-DZ"/>
        </w:rPr>
        <w:t xml:space="preserve"> </w:t>
      </w:r>
      <w:r w:rsidRPr="004750D0">
        <w:rPr>
          <w:rFonts w:ascii="Simplified Arabic" w:hAnsi="Simplified Arabic" w:cs="Simplified Arabic"/>
          <w:sz w:val="24"/>
          <w:szCs w:val="24"/>
          <w:rtl/>
          <w:lang w:bidi="ar-DZ"/>
        </w:rPr>
        <w:t>والإجلاء</w:t>
      </w:r>
      <w:r w:rsidRPr="00B42CF5">
        <w:rPr>
          <w:rFonts w:ascii="Simplified Arabic" w:hAnsi="Simplified Arabic" w:cs="Simplified Arabic"/>
          <w:sz w:val="24"/>
          <w:szCs w:val="24"/>
          <w:rtl/>
          <w:lang w:bidi="ar-DZ"/>
        </w:rPr>
        <w:t xml:space="preserve"> </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color w:val="000000"/>
          <w:lang w:eastAsia="fr-FR"/>
        </w:rPr>
        <w:t>C</w:t>
      </w:r>
      <w:r>
        <w:rPr>
          <w:rFonts w:asciiTheme="majorBidi" w:eastAsia="Times New Roman" w:hAnsiTheme="majorBidi" w:cstheme="majorBidi"/>
          <w:color w:val="000000"/>
          <w:lang w:eastAsia="fr-FR"/>
        </w:rPr>
        <w:t>2</w:t>
      </w:r>
      <w:r w:rsidRPr="00B42CF5">
        <w:rPr>
          <w:rFonts w:asciiTheme="majorBidi" w:eastAsia="Times New Roman" w:hAnsiTheme="majorBidi" w:cstheme="majorBidi"/>
          <w:color w:val="000000"/>
          <w:rtl/>
          <w:lang w:eastAsia="fr-FR"/>
        </w:rPr>
        <w:t>)</w:t>
      </w:r>
      <w:r w:rsidRPr="00B42CF5">
        <w:rPr>
          <w:rFonts w:ascii="Simplified Arabic" w:hAnsi="Simplified Arabic" w:cs="Simplified Arabic"/>
          <w:sz w:val="24"/>
          <w:szCs w:val="24"/>
          <w:rtl/>
          <w:lang w:bidi="ar-DZ"/>
        </w:rPr>
        <w:t xml:space="preserve"> بنسبة</w:t>
      </w:r>
      <w:r>
        <w:rPr>
          <w:rFonts w:ascii="Simplified Arabic" w:hAnsi="Simplified Arabic" w:cs="Simplified Arabic"/>
          <w:sz w:val="24"/>
          <w:szCs w:val="24"/>
          <w:lang w:bidi="ar-DZ"/>
        </w:rPr>
        <w:t xml:space="preserve"> </w:t>
      </w:r>
      <w:r w:rsidRPr="00B42CF5">
        <w:rPr>
          <w:rFonts w:ascii="Simplified Arabic" w:hAnsi="Simplified Arabic" w:cs="Simplified Arabic"/>
          <w:sz w:val="24"/>
          <w:szCs w:val="24"/>
          <w:rtl/>
          <w:lang w:bidi="ar-DZ"/>
        </w:rPr>
        <w:t>(</w:t>
      </w:r>
      <w:r w:rsidRPr="00B42CF5">
        <w:rPr>
          <w:rFonts w:ascii="Simplified Arabic" w:hAnsi="Simplified Arabic" w:cs="Simplified Arabic"/>
          <w:sz w:val="24"/>
          <w:szCs w:val="24"/>
          <w:lang w:bidi="ar-DZ"/>
        </w:rPr>
        <w:t>12,49</w:t>
      </w:r>
      <w:r w:rsidRPr="00B42CF5">
        <w:rPr>
          <w:rFonts w:ascii="Simplified Arabic" w:hAnsi="Simplified Arabic" w:cs="Simplified Arabic"/>
          <w:sz w:val="24"/>
          <w:szCs w:val="24"/>
          <w:rtl/>
          <w:lang w:bidi="ar-DZ"/>
        </w:rPr>
        <w:t>٪)</w:t>
      </w:r>
      <w:r w:rsidRPr="00B42CF5">
        <w:rPr>
          <w:rFonts w:ascii="Simplified Arabic" w:hAnsi="Simplified Arabic" w:cs="Simplified Arabic" w:hint="cs"/>
          <w:sz w:val="24"/>
          <w:szCs w:val="24"/>
          <w:rtl/>
          <w:lang w:bidi="ar-DZ"/>
        </w:rPr>
        <w:t xml:space="preserve">، </w:t>
      </w:r>
      <w:r w:rsidRPr="004750D0">
        <w:rPr>
          <w:rFonts w:ascii="Simplified Arabic" w:hAnsi="Simplified Arabic" w:cs="Simplified Arabic" w:hint="cs"/>
          <w:sz w:val="24"/>
          <w:szCs w:val="24"/>
          <w:rtl/>
          <w:lang w:bidi="ar-DZ"/>
        </w:rPr>
        <w:t>عمق</w:t>
      </w:r>
      <w:r w:rsidRPr="00B42CF5">
        <w:rPr>
          <w:rFonts w:ascii="Simplified Arabic" w:eastAsia="Times New Roman" w:hAnsi="Simplified Arabic" w:cs="Simplified Arabic"/>
          <w:color w:val="000000"/>
          <w:rtl/>
          <w:lang w:eastAsia="fr-FR"/>
        </w:rPr>
        <w:t xml:space="preserve"> </w:t>
      </w:r>
      <w:r w:rsidRPr="004750D0">
        <w:rPr>
          <w:rFonts w:ascii="Simplified Arabic" w:hAnsi="Simplified Arabic" w:cs="Simplified Arabic"/>
          <w:sz w:val="24"/>
          <w:szCs w:val="24"/>
          <w:rtl/>
          <w:lang w:bidi="ar-DZ"/>
        </w:rPr>
        <w:t>الطرق</w:t>
      </w:r>
      <w:r w:rsidRPr="00B42CF5">
        <w:rPr>
          <w:rFonts w:ascii="Simplified Arabic" w:eastAsia="Times New Roman" w:hAnsi="Simplified Arabic" w:cs="Simplified Arabic"/>
          <w:color w:val="000000"/>
          <w:rtl/>
          <w:lang w:eastAsia="fr-FR"/>
        </w:rPr>
        <w:t xml:space="preserve"> </w:t>
      </w:r>
      <w:r w:rsidRPr="004750D0">
        <w:rPr>
          <w:rFonts w:ascii="Simplified Arabic" w:hAnsi="Simplified Arabic" w:cs="Simplified Arabic"/>
          <w:sz w:val="24"/>
          <w:szCs w:val="24"/>
          <w:rtl/>
          <w:lang w:bidi="ar-DZ"/>
        </w:rPr>
        <w:t>الشريانية</w:t>
      </w:r>
      <w:r w:rsidRPr="00B42CF5">
        <w:rPr>
          <w:rFonts w:ascii="Simplified Arabic" w:eastAsia="Times New Roman" w:hAnsi="Simplified Arabic" w:cs="Simplified Arabic"/>
          <w:color w:val="000000"/>
          <w:rtl/>
          <w:lang w:eastAsia="fr-FR"/>
        </w:rPr>
        <w:t xml:space="preserve"> </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color w:val="000000"/>
          <w:lang w:eastAsia="fr-FR"/>
        </w:rPr>
        <w:t>C7</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hint="cs"/>
          <w:color w:val="000000"/>
          <w:rtl/>
          <w:lang w:eastAsia="fr-FR"/>
        </w:rPr>
        <w:t xml:space="preserve"> </w:t>
      </w:r>
      <w:r w:rsidRPr="00B42CF5">
        <w:rPr>
          <w:rFonts w:ascii="Simplified Arabic" w:hAnsi="Simplified Arabic" w:cs="Simplified Arabic"/>
          <w:sz w:val="24"/>
          <w:szCs w:val="24"/>
          <w:rtl/>
          <w:lang w:bidi="ar-DZ"/>
        </w:rPr>
        <w:t xml:space="preserve">بنسبة </w:t>
      </w:r>
      <w:r w:rsidRPr="00B42CF5">
        <w:rPr>
          <w:rFonts w:ascii="Simplified Arabic" w:hAnsi="Simplified Arabic" w:cs="Simplified Arabic"/>
          <w:sz w:val="24"/>
          <w:szCs w:val="24"/>
          <w:lang w:bidi="ar-DZ"/>
        </w:rPr>
        <w:t>11,10)</w:t>
      </w:r>
      <w:r w:rsidRPr="00B42CF5">
        <w:rPr>
          <w:rFonts w:ascii="Simplified Arabic" w:hAnsi="Simplified Arabic" w:cs="Simplified Arabic"/>
          <w:sz w:val="24"/>
          <w:szCs w:val="24"/>
          <w:rtl/>
          <w:lang w:bidi="ar-DZ"/>
        </w:rPr>
        <w:t>٪</w:t>
      </w:r>
      <w:r w:rsidRPr="00B42CF5">
        <w:rPr>
          <w:rFonts w:ascii="Simplified Arabic" w:hAnsi="Simplified Arabic" w:cs="Simplified Arabic"/>
          <w:sz w:val="24"/>
          <w:szCs w:val="24"/>
          <w:lang w:bidi="ar-DZ"/>
        </w:rPr>
        <w:t>(</w:t>
      </w:r>
      <w:r w:rsidRPr="00B42CF5">
        <w:rPr>
          <w:rFonts w:ascii="Simplified Arabic" w:hAnsi="Simplified Arabic" w:cs="Simplified Arabic"/>
          <w:sz w:val="24"/>
          <w:szCs w:val="24"/>
          <w:rtl/>
          <w:lang w:bidi="ar-DZ"/>
        </w:rPr>
        <w:t xml:space="preserve">، </w:t>
      </w:r>
      <w:r w:rsidRPr="004750D0">
        <w:rPr>
          <w:rFonts w:ascii="Simplified Arabic" w:hAnsi="Simplified Arabic" w:cs="Simplified Arabic"/>
          <w:sz w:val="24"/>
          <w:szCs w:val="24"/>
          <w:rtl/>
          <w:lang w:bidi="ar-DZ"/>
        </w:rPr>
        <w:t>التضامن</w:t>
      </w:r>
      <w:r w:rsidRPr="00B42CF5">
        <w:rPr>
          <w:rFonts w:ascii="Simplified Arabic" w:hAnsi="Simplified Arabic" w:cs="Simplified Arabic"/>
          <w:rtl/>
          <w:lang w:bidi="ar-DZ"/>
        </w:rPr>
        <w:t xml:space="preserve"> </w:t>
      </w:r>
      <w:r w:rsidRPr="004750D0">
        <w:rPr>
          <w:rFonts w:ascii="Simplified Arabic" w:hAnsi="Simplified Arabic" w:cs="Simplified Arabic"/>
          <w:sz w:val="24"/>
          <w:szCs w:val="24"/>
          <w:rtl/>
          <w:lang w:bidi="ar-DZ"/>
        </w:rPr>
        <w:t>والتموين</w:t>
      </w:r>
      <w:r w:rsidRPr="00B42CF5">
        <w:rPr>
          <w:rFonts w:ascii="Simplified Arabic" w:hAnsi="Simplified Arabic" w:cs="Simplified Arabic"/>
          <w:sz w:val="24"/>
          <w:szCs w:val="24"/>
          <w:rtl/>
          <w:lang w:bidi="ar-DZ"/>
        </w:rPr>
        <w:t xml:space="preserve"> </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color w:val="000000"/>
          <w:lang w:eastAsia="fr-FR"/>
        </w:rPr>
        <w:t>C</w:t>
      </w:r>
      <w:r>
        <w:rPr>
          <w:rFonts w:asciiTheme="majorBidi" w:eastAsia="Times New Roman" w:hAnsiTheme="majorBidi" w:cstheme="majorBidi"/>
          <w:color w:val="000000"/>
          <w:lang w:eastAsia="fr-FR"/>
        </w:rPr>
        <w:t>5</w:t>
      </w:r>
      <w:r w:rsidRPr="00B42CF5">
        <w:rPr>
          <w:rFonts w:asciiTheme="majorBidi" w:eastAsia="Times New Roman" w:hAnsiTheme="majorBidi" w:cstheme="majorBidi"/>
          <w:color w:val="000000"/>
          <w:rtl/>
          <w:lang w:eastAsia="fr-FR"/>
        </w:rPr>
        <w:t>)</w:t>
      </w:r>
      <w:r w:rsidRPr="00B42CF5">
        <w:rPr>
          <w:rFonts w:ascii="Simplified Arabic" w:hAnsi="Simplified Arabic" w:cs="Simplified Arabic"/>
          <w:sz w:val="24"/>
          <w:szCs w:val="24"/>
          <w:rtl/>
          <w:lang w:bidi="ar-DZ"/>
        </w:rPr>
        <w:t xml:space="preserve"> بنسبة</w:t>
      </w:r>
      <w:r>
        <w:rPr>
          <w:rFonts w:ascii="Simplified Arabic" w:hAnsi="Simplified Arabic" w:cs="Simplified Arabic"/>
          <w:sz w:val="24"/>
          <w:szCs w:val="24"/>
          <w:lang w:bidi="ar-DZ"/>
        </w:rPr>
        <w:t xml:space="preserve"> </w:t>
      </w:r>
      <w:r w:rsidRPr="00B42CF5">
        <w:rPr>
          <w:rFonts w:ascii="Simplified Arabic" w:hAnsi="Simplified Arabic" w:cs="Simplified Arabic"/>
          <w:sz w:val="24"/>
          <w:szCs w:val="24"/>
          <w:rtl/>
          <w:lang w:bidi="ar-DZ"/>
        </w:rPr>
        <w:t>(</w:t>
      </w:r>
      <w:r w:rsidRPr="00B42CF5">
        <w:rPr>
          <w:rFonts w:ascii="Simplified Arabic" w:hAnsi="Simplified Arabic" w:cs="Simplified Arabic"/>
          <w:sz w:val="24"/>
          <w:szCs w:val="24"/>
          <w:lang w:bidi="ar-DZ"/>
        </w:rPr>
        <w:t>10,87</w:t>
      </w:r>
      <w:r w:rsidRPr="00B42CF5">
        <w:rPr>
          <w:rFonts w:ascii="Simplified Arabic" w:hAnsi="Simplified Arabic" w:cs="Simplified Arabic"/>
          <w:sz w:val="24"/>
          <w:szCs w:val="24"/>
          <w:rtl/>
          <w:lang w:bidi="ar-DZ"/>
        </w:rPr>
        <w:t xml:space="preserve">٪) وأخيراً </w:t>
      </w:r>
      <w:r w:rsidRPr="00B42CF5">
        <w:rPr>
          <w:rFonts w:ascii="Simplified Arabic" w:hAnsi="Simplified Arabic" w:cs="Simplified Arabic" w:hint="cs"/>
          <w:sz w:val="24"/>
          <w:szCs w:val="24"/>
          <w:rtl/>
          <w:lang w:bidi="ar-DZ"/>
        </w:rPr>
        <w:t>كثافة البناء</w:t>
      </w:r>
      <w:r w:rsidRPr="00B42CF5">
        <w:rPr>
          <w:rFonts w:ascii="Simplified Arabic" w:hAnsi="Simplified Arabic" w:cs="Simplified Arabic"/>
          <w:sz w:val="24"/>
          <w:szCs w:val="24"/>
          <w:rtl/>
          <w:lang w:bidi="ar-DZ"/>
        </w:rPr>
        <w:t xml:space="preserve"> </w:t>
      </w:r>
      <w:r w:rsidRPr="00B42CF5">
        <w:rPr>
          <w:rFonts w:asciiTheme="majorBidi" w:eastAsia="Times New Roman" w:hAnsiTheme="majorBidi" w:cstheme="majorBidi"/>
          <w:color w:val="000000"/>
          <w:rtl/>
          <w:lang w:eastAsia="fr-FR"/>
        </w:rPr>
        <w:t>(</w:t>
      </w:r>
      <w:r w:rsidRPr="00B42CF5">
        <w:rPr>
          <w:rFonts w:asciiTheme="majorBidi" w:eastAsia="Times New Roman" w:hAnsiTheme="majorBidi" w:cstheme="majorBidi"/>
          <w:color w:val="000000"/>
          <w:lang w:eastAsia="fr-FR"/>
        </w:rPr>
        <w:t>C</w:t>
      </w:r>
      <w:r>
        <w:rPr>
          <w:rFonts w:asciiTheme="majorBidi" w:eastAsia="Times New Roman" w:hAnsiTheme="majorBidi" w:cstheme="majorBidi"/>
          <w:color w:val="000000"/>
          <w:lang w:eastAsia="fr-FR"/>
        </w:rPr>
        <w:t>6</w:t>
      </w:r>
      <w:r w:rsidRPr="00B42CF5">
        <w:rPr>
          <w:rFonts w:asciiTheme="majorBidi" w:eastAsia="Times New Roman" w:hAnsiTheme="majorBidi" w:cstheme="majorBidi"/>
          <w:color w:val="000000"/>
          <w:rtl/>
          <w:lang w:eastAsia="fr-FR"/>
        </w:rPr>
        <w:t>)</w:t>
      </w:r>
      <w:r w:rsidRPr="00B42CF5">
        <w:rPr>
          <w:rFonts w:ascii="Simplified Arabic" w:hAnsi="Simplified Arabic" w:cs="Simplified Arabic"/>
          <w:sz w:val="24"/>
          <w:szCs w:val="24"/>
          <w:rtl/>
          <w:lang w:bidi="ar-DZ"/>
        </w:rPr>
        <w:t xml:space="preserve"> بنسبة</w:t>
      </w:r>
      <w:r>
        <w:rPr>
          <w:rFonts w:ascii="Simplified Arabic" w:hAnsi="Simplified Arabic" w:cs="Simplified Arabic" w:hint="cs"/>
          <w:sz w:val="24"/>
          <w:szCs w:val="24"/>
          <w:rtl/>
          <w:lang w:bidi="ar-DZ"/>
        </w:rPr>
        <w:t xml:space="preserve"> </w:t>
      </w:r>
      <w:r w:rsidRPr="00B42CF5">
        <w:rPr>
          <w:rFonts w:ascii="Simplified Arabic" w:hAnsi="Simplified Arabic" w:cs="Simplified Arabic"/>
          <w:sz w:val="24"/>
          <w:szCs w:val="24"/>
          <w:lang w:bidi="ar-DZ"/>
        </w:rPr>
        <w:t>08,04)</w:t>
      </w:r>
      <w:r w:rsidRPr="00B42CF5">
        <w:rPr>
          <w:rFonts w:ascii="Simplified Arabic" w:hAnsi="Simplified Arabic" w:cs="Simplified Arabic"/>
          <w:sz w:val="24"/>
          <w:szCs w:val="24"/>
          <w:rtl/>
          <w:lang w:bidi="ar-DZ"/>
        </w:rPr>
        <w:t>٪</w:t>
      </w:r>
      <w:r w:rsidRPr="00B42CF5">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w:t>
      </w:r>
      <w:r w:rsidRPr="00B42CF5">
        <w:rPr>
          <w:rFonts w:ascii="Simplified Arabic" w:hAnsi="Simplified Arabic" w:cs="Simplified Arabic" w:hint="cs"/>
          <w:sz w:val="24"/>
          <w:szCs w:val="24"/>
          <w:rtl/>
          <w:lang w:bidi="ar-DZ"/>
        </w:rPr>
        <w:t>المعيار</w:t>
      </w:r>
      <w:r w:rsidRPr="00B42CF5">
        <w:rPr>
          <w:rFonts w:ascii="Simplified Arabic" w:hAnsi="Simplified Arabic" w:cs="Simplified Arabic"/>
          <w:sz w:val="24"/>
          <w:szCs w:val="24"/>
          <w:rtl/>
          <w:lang w:bidi="ar-DZ"/>
        </w:rPr>
        <w:t xml:space="preserve"> </w:t>
      </w:r>
      <w:r w:rsidRPr="00B42CF5">
        <w:rPr>
          <w:rFonts w:ascii="Simplified Arabic" w:hAnsi="Simplified Arabic" w:cs="Simplified Arabic" w:hint="cs"/>
          <w:sz w:val="24"/>
          <w:szCs w:val="24"/>
          <w:rtl/>
          <w:lang w:bidi="ar-DZ"/>
        </w:rPr>
        <w:t>الأقل</w:t>
      </w:r>
      <w:r w:rsidRPr="00B42CF5">
        <w:rPr>
          <w:rFonts w:ascii="Simplified Arabic" w:hAnsi="Simplified Arabic" w:cs="Simplified Arabic"/>
          <w:sz w:val="24"/>
          <w:szCs w:val="24"/>
          <w:rtl/>
          <w:lang w:bidi="ar-DZ"/>
        </w:rPr>
        <w:t xml:space="preserve"> </w:t>
      </w:r>
      <w:r w:rsidRPr="00B42CF5">
        <w:rPr>
          <w:rFonts w:ascii="Simplified Arabic" w:hAnsi="Simplified Arabic" w:cs="Simplified Arabic" w:hint="cs"/>
          <w:sz w:val="24"/>
          <w:szCs w:val="24"/>
          <w:rtl/>
          <w:lang w:bidi="ar-DZ"/>
        </w:rPr>
        <w:t>أهمية</w:t>
      </w:r>
      <w:r w:rsidRPr="00B42CF5">
        <w:rPr>
          <w:rFonts w:ascii="Simplified Arabic" w:hAnsi="Simplified Arabic" w:cs="Simplified Arabic"/>
          <w:sz w:val="24"/>
          <w:szCs w:val="24"/>
          <w:rtl/>
          <w:lang w:bidi="ar-DZ"/>
        </w:rPr>
        <w:t>.</w:t>
      </w:r>
    </w:p>
    <w:p w:rsidR="00C121B0" w:rsidRDefault="00C121B0" w:rsidP="007A30E8">
      <w:pPr>
        <w:pStyle w:val="fegure"/>
        <w:rPr>
          <w:sz w:val="8"/>
          <w:szCs w:val="24"/>
          <w:rtl/>
          <w:lang w:val="en-US"/>
        </w:rPr>
      </w:pPr>
      <w:bookmarkStart w:id="670" w:name="_Toc157608338"/>
      <w:bookmarkStart w:id="671" w:name="_Toc171803691"/>
      <w:r w:rsidRPr="00ED1C8F">
        <w:rPr>
          <w:sz w:val="8"/>
          <w:szCs w:val="24"/>
          <w:rtl/>
          <w:lang w:val="en-US"/>
        </w:rPr>
        <w:t>الشكل</w:t>
      </w:r>
      <w:r w:rsidRPr="00ED1C8F">
        <w:rPr>
          <w:rFonts w:hint="cs"/>
          <w:sz w:val="8"/>
          <w:szCs w:val="24"/>
          <w:rtl/>
          <w:lang w:val="en-US"/>
        </w:rPr>
        <w:t xml:space="preserve"> (</w:t>
      </w:r>
      <w:r w:rsidR="00C60343" w:rsidRPr="00ED1C8F">
        <w:rPr>
          <w:rFonts w:hint="cs"/>
          <w:sz w:val="8"/>
          <w:szCs w:val="24"/>
          <w:rtl/>
          <w:lang w:val="en-US"/>
        </w:rPr>
        <w:t>5-</w:t>
      </w:r>
      <w:r w:rsidR="00CF7134" w:rsidRPr="00ED1C8F">
        <w:rPr>
          <w:rFonts w:hint="cs"/>
          <w:sz w:val="8"/>
          <w:szCs w:val="24"/>
          <w:rtl/>
          <w:lang w:val="en-US"/>
        </w:rPr>
        <w:t>6</w:t>
      </w:r>
      <w:r w:rsidRPr="00ED1C8F">
        <w:rPr>
          <w:rFonts w:hint="cs"/>
          <w:sz w:val="8"/>
          <w:szCs w:val="24"/>
          <w:rtl/>
          <w:lang w:val="en-US"/>
        </w:rPr>
        <w:t>)</w:t>
      </w:r>
      <w:r w:rsidRPr="00ED1C8F">
        <w:rPr>
          <w:sz w:val="8"/>
          <w:szCs w:val="24"/>
          <w:rtl/>
          <w:lang w:val="en-US"/>
        </w:rPr>
        <w:t xml:space="preserve">: أولوية </w:t>
      </w:r>
      <w:r w:rsidRPr="00ED1C8F">
        <w:rPr>
          <w:rFonts w:hint="cs"/>
          <w:sz w:val="8"/>
          <w:szCs w:val="24"/>
          <w:rtl/>
          <w:lang w:val="en-US"/>
        </w:rPr>
        <w:t>المعايير</w:t>
      </w:r>
      <w:r w:rsidRPr="00ED1C8F">
        <w:rPr>
          <w:sz w:val="8"/>
          <w:szCs w:val="24"/>
          <w:rtl/>
          <w:lang w:val="en-US"/>
        </w:rPr>
        <w:t xml:space="preserve"> المستمدة من المقارنات الزوجية</w:t>
      </w:r>
      <w:bookmarkEnd w:id="670"/>
      <w:bookmarkEnd w:id="671"/>
    </w:p>
    <w:p w:rsidR="007A30E8" w:rsidRPr="00ED1C8F" w:rsidRDefault="007A30E8" w:rsidP="007A30E8">
      <w:pPr>
        <w:pStyle w:val="fegure"/>
        <w:rPr>
          <w:sz w:val="8"/>
          <w:szCs w:val="24"/>
          <w:rtl/>
          <w:lang w:val="en-US" w:bidi="ar-DZ"/>
        </w:rPr>
      </w:pPr>
      <w:bookmarkStart w:id="672" w:name="_Toc171803692"/>
      <w:r>
        <w:rPr>
          <w:rFonts w:hint="cs"/>
          <w:sz w:val="8"/>
          <w:szCs w:val="24"/>
          <w:rtl/>
          <w:lang w:val="en-US"/>
        </w:rPr>
        <w:t>المصدر: (الباحث، 2022)</w:t>
      </w:r>
      <w:bookmarkEnd w:id="672"/>
    </w:p>
    <w:p w:rsidR="0001739A" w:rsidRDefault="0001739A" w:rsidP="0001739A">
      <w:pPr>
        <w:bidi/>
        <w:spacing w:line="240" w:lineRule="auto"/>
        <w:jc w:val="center"/>
        <w:rPr>
          <w:rFonts w:ascii="Simplified Arabic" w:hAnsi="Simplified Arabic" w:cs="Simplified Arabic"/>
          <w:sz w:val="24"/>
          <w:szCs w:val="24"/>
          <w:rtl/>
          <w:lang w:val="en-US"/>
        </w:rPr>
      </w:pPr>
      <w:r>
        <w:rPr>
          <w:noProof/>
          <w:lang w:eastAsia="fr-FR"/>
        </w:rPr>
        <w:drawing>
          <wp:inline distT="0" distB="0" distL="0" distR="0" wp14:anchorId="08864D53" wp14:editId="23511CA1">
            <wp:extent cx="3951798" cy="2146853"/>
            <wp:effectExtent l="0" t="0" r="10795" b="25400"/>
            <wp:docPr id="72" name="Graphique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7"/>
              </a:graphicData>
            </a:graphic>
          </wp:inline>
        </w:drawing>
      </w:r>
    </w:p>
    <w:p w:rsidR="00C121B0" w:rsidRDefault="00C121B0" w:rsidP="00C05812">
      <w:pPr>
        <w:bidi/>
        <w:spacing w:before="240" w:after="0"/>
        <w:ind w:firstLine="282"/>
        <w:jc w:val="both"/>
        <w:rPr>
          <w:rFonts w:ascii="Simplified Arabic" w:hAnsi="Simplified Arabic" w:cs="Simplified Arabic"/>
          <w:sz w:val="24"/>
          <w:szCs w:val="24"/>
          <w:rtl/>
          <w:lang w:val="en-US"/>
        </w:rPr>
      </w:pPr>
      <w:r w:rsidRPr="00C113B2">
        <w:rPr>
          <w:rFonts w:ascii="Simplified Arabic" w:hAnsi="Simplified Arabic" w:cs="Simplified Arabic"/>
          <w:sz w:val="24"/>
          <w:szCs w:val="24"/>
          <w:rtl/>
          <w:lang w:val="en-US"/>
        </w:rPr>
        <w:lastRenderedPageBreak/>
        <w:t>يهدف المستوى الثالث من</w:t>
      </w:r>
      <w:r w:rsidRPr="000843C3">
        <w:rPr>
          <w:rFonts w:asciiTheme="minorBidi" w:hAnsiTheme="minorBidi" w:cs="Arial"/>
          <w:sz w:val="24"/>
          <w:szCs w:val="24"/>
          <w:rtl/>
          <w:lang w:val="en-US"/>
        </w:rPr>
        <w:t xml:space="preserve"> </w:t>
      </w:r>
      <w:r w:rsidRPr="000843C3">
        <w:rPr>
          <w:rFonts w:asciiTheme="majorBidi" w:hAnsiTheme="majorBidi" w:cstheme="majorBidi"/>
          <w:sz w:val="24"/>
          <w:szCs w:val="24"/>
          <w:lang w:val="en-US"/>
        </w:rPr>
        <w:t>AHP</w:t>
      </w:r>
      <w:r w:rsidRPr="000843C3">
        <w:rPr>
          <w:rFonts w:asciiTheme="minorBidi" w:hAnsiTheme="minorBidi" w:cs="Arial"/>
          <w:sz w:val="24"/>
          <w:szCs w:val="24"/>
          <w:rtl/>
          <w:lang w:val="en-US"/>
        </w:rPr>
        <w:t xml:space="preserve"> </w:t>
      </w:r>
      <w:r w:rsidRPr="00C113B2">
        <w:rPr>
          <w:rFonts w:ascii="Simplified Arabic" w:hAnsi="Simplified Arabic" w:cs="Simplified Arabic" w:hint="cs"/>
          <w:sz w:val="24"/>
          <w:szCs w:val="24"/>
          <w:rtl/>
          <w:lang w:val="en-US"/>
        </w:rPr>
        <w:t>إلى</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تحديد</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وزن</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المعايير</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الفرعية</w:t>
      </w:r>
      <w:r w:rsidRPr="00C113B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التي تنضوي </w:t>
      </w:r>
      <w:r w:rsidRPr="00C113B2">
        <w:rPr>
          <w:rFonts w:ascii="Simplified Arabic" w:hAnsi="Simplified Arabic" w:cs="Simplified Arabic" w:hint="cs"/>
          <w:sz w:val="24"/>
          <w:szCs w:val="24"/>
          <w:rtl/>
          <w:lang w:val="en-US"/>
        </w:rPr>
        <w:t>تحت</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كل</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معيار،</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بناءً</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على</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المقارنات</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الزوجية،</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كما</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هو</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موضح</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في</w:t>
      </w:r>
      <w:r w:rsidRPr="00C113B2">
        <w:rPr>
          <w:rFonts w:ascii="Simplified Arabic" w:hAnsi="Simplified Arabic" w:cs="Simplified Arabic"/>
          <w:sz w:val="24"/>
          <w:szCs w:val="24"/>
          <w:rtl/>
          <w:lang w:val="en-US"/>
        </w:rPr>
        <w:t xml:space="preserve"> </w:t>
      </w:r>
      <w:r w:rsidRPr="00C113B2">
        <w:rPr>
          <w:rFonts w:ascii="Simplified Arabic" w:hAnsi="Simplified Arabic" w:cs="Simplified Arabic" w:hint="cs"/>
          <w:sz w:val="24"/>
          <w:szCs w:val="24"/>
          <w:rtl/>
          <w:lang w:val="en-US"/>
        </w:rPr>
        <w:t>الجدول</w:t>
      </w:r>
      <w:r w:rsidRPr="00C113B2">
        <w:rPr>
          <w:rFonts w:ascii="Simplified Arabic" w:hAnsi="Simplified Arabic" w:cs="Simplified Arabic"/>
          <w:sz w:val="24"/>
          <w:szCs w:val="24"/>
          <w:rtl/>
          <w:lang w:val="en-US"/>
        </w:rPr>
        <w:t xml:space="preserve">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12</w:t>
      </w:r>
      <w:r w:rsidR="00AF7197">
        <w:rPr>
          <w:rFonts w:ascii="Simplified Arabic" w:eastAsia="Times New Roman" w:hAnsi="Simplified Arabic" w:cs="Simplified Arabic" w:hint="cs"/>
          <w:b/>
          <w:sz w:val="24"/>
          <w:szCs w:val="24"/>
          <w:rtl/>
          <w:lang w:val="en-US" w:eastAsia="fr-FR"/>
        </w:rPr>
        <w:t>)</w:t>
      </w:r>
      <w:r w:rsidRPr="00C113B2">
        <w:rPr>
          <w:rFonts w:ascii="Simplified Arabic" w:hAnsi="Simplified Arabic" w:cs="Simplified Arabic"/>
          <w:sz w:val="24"/>
          <w:szCs w:val="24"/>
          <w:rtl/>
          <w:lang w:val="en-US"/>
        </w:rPr>
        <w:t>.</w:t>
      </w:r>
    </w:p>
    <w:p w:rsidR="00C121B0" w:rsidRDefault="00C121B0" w:rsidP="008B4DD2">
      <w:pPr>
        <w:pStyle w:val="Tableau"/>
        <w:rPr>
          <w:rtl/>
          <w:lang w:val="en-US"/>
        </w:rPr>
      </w:pPr>
      <w:bookmarkStart w:id="673" w:name="_Toc157613002"/>
      <w:bookmarkStart w:id="674" w:name="_Toc171803693"/>
      <w:r w:rsidRPr="006B2F93">
        <w:rPr>
          <w:rtl/>
          <w:lang w:val="en-US"/>
        </w:rPr>
        <w:t xml:space="preserve">الجدول </w:t>
      </w:r>
      <w:r w:rsidR="00AF7197">
        <w:rPr>
          <w:rFonts w:eastAsia="Times New Roman" w:hint="cs"/>
          <w:rtl/>
          <w:lang w:val="en-US" w:eastAsia="fr-FR"/>
        </w:rPr>
        <w:t>(5-</w:t>
      </w:r>
      <w:r w:rsidR="00C05812">
        <w:rPr>
          <w:rFonts w:eastAsia="Times New Roman" w:hint="cs"/>
          <w:rtl/>
          <w:lang w:val="en-US" w:eastAsia="fr-FR"/>
        </w:rPr>
        <w:t>12</w:t>
      </w:r>
      <w:r w:rsidR="00AF7197">
        <w:rPr>
          <w:rFonts w:eastAsia="Times New Roman" w:hint="cs"/>
          <w:rtl/>
          <w:lang w:val="en-US" w:eastAsia="fr-FR"/>
        </w:rPr>
        <w:t>)</w:t>
      </w:r>
      <w:r w:rsidRPr="006B2F93">
        <w:rPr>
          <w:rtl/>
          <w:lang w:val="en-US"/>
        </w:rPr>
        <w:t xml:space="preserve">: </w:t>
      </w:r>
      <w:r>
        <w:rPr>
          <w:rFonts w:hint="cs"/>
          <w:rtl/>
          <w:lang w:val="en-US"/>
        </w:rPr>
        <w:t xml:space="preserve">مثال على </w:t>
      </w:r>
      <w:r w:rsidRPr="006B2F93">
        <w:rPr>
          <w:rtl/>
          <w:lang w:val="en-US"/>
        </w:rPr>
        <w:t>مصفوفة المقارنة الزوجية</w:t>
      </w:r>
      <w:r>
        <w:rPr>
          <w:rFonts w:hint="cs"/>
          <w:rtl/>
          <w:lang w:val="en-US"/>
        </w:rPr>
        <w:t xml:space="preserve"> للمعايير الفرعية تحت المعيار (</w:t>
      </w:r>
      <w:r w:rsidRPr="00296F67">
        <w:rPr>
          <w:rFonts w:asciiTheme="majorBidi" w:eastAsia="Times New Roman" w:hAnsiTheme="majorBidi" w:cstheme="majorBidi"/>
          <w:color w:val="000000"/>
          <w:sz w:val="20"/>
          <w:szCs w:val="20"/>
          <w:lang w:val="en-US" w:eastAsia="fr-FR"/>
        </w:rPr>
        <w:t>C1</w:t>
      </w:r>
      <w:r>
        <w:rPr>
          <w:rFonts w:hint="cs"/>
          <w:rtl/>
          <w:lang w:val="en-US"/>
        </w:rPr>
        <w:t>)</w:t>
      </w:r>
      <w:bookmarkEnd w:id="673"/>
      <w:bookmarkEnd w:id="674"/>
    </w:p>
    <w:p w:rsidR="007A30E8" w:rsidRPr="007A30E8" w:rsidRDefault="007A30E8" w:rsidP="007A30E8">
      <w:pPr>
        <w:pStyle w:val="fegure"/>
        <w:rPr>
          <w:sz w:val="8"/>
          <w:szCs w:val="24"/>
          <w:rtl/>
          <w:lang w:val="en-US" w:bidi="ar-DZ"/>
        </w:rPr>
      </w:pPr>
      <w:bookmarkStart w:id="675" w:name="_Toc171803694"/>
      <w:r>
        <w:rPr>
          <w:rFonts w:hint="cs"/>
          <w:sz w:val="8"/>
          <w:szCs w:val="24"/>
          <w:rtl/>
          <w:lang w:val="en-US"/>
        </w:rPr>
        <w:t>المصدر: (الباحث، 2022)</w:t>
      </w:r>
      <w:bookmarkEnd w:id="675"/>
    </w:p>
    <w:tbl>
      <w:tblPr>
        <w:tblW w:w="8010" w:type="dxa"/>
        <w:jc w:val="center"/>
        <w:tblInd w:w="-1438" w:type="dxa"/>
        <w:tblLayout w:type="fixed"/>
        <w:tblCellMar>
          <w:left w:w="70" w:type="dxa"/>
          <w:right w:w="70" w:type="dxa"/>
        </w:tblCellMar>
        <w:tblLook w:val="04A0" w:firstRow="1" w:lastRow="0" w:firstColumn="1" w:lastColumn="0" w:noHBand="0" w:noVBand="1"/>
      </w:tblPr>
      <w:tblGrid>
        <w:gridCol w:w="2319"/>
        <w:gridCol w:w="992"/>
        <w:gridCol w:w="1418"/>
        <w:gridCol w:w="1134"/>
        <w:gridCol w:w="1276"/>
        <w:gridCol w:w="871"/>
      </w:tblGrid>
      <w:tr w:rsidR="00C121B0" w:rsidRPr="00C3650F" w:rsidTr="0007710C">
        <w:trPr>
          <w:trHeight w:val="552"/>
          <w:jc w:val="center"/>
        </w:trPr>
        <w:tc>
          <w:tcPr>
            <w:tcW w:w="2319" w:type="dxa"/>
            <w:tcBorders>
              <w:top w:val="nil"/>
              <w:left w:val="nil"/>
              <w:bottom w:val="nil"/>
              <w:right w:val="single" w:sz="4" w:space="0" w:color="auto"/>
            </w:tcBorders>
            <w:shd w:val="clear" w:color="auto" w:fill="auto"/>
            <w:noWrap/>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val="en-US" w:eastAsia="fr-FR"/>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C121B0"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C1-1</w:t>
            </w:r>
          </w:p>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594856">
              <w:rPr>
                <w:rFonts w:asciiTheme="majorBidi" w:eastAsia="Times New Roman" w:hAnsiTheme="majorBidi" w:cstheme="majorBidi"/>
                <w:color w:val="000000"/>
                <w:sz w:val="20"/>
                <w:szCs w:val="20"/>
                <w:lang w:eastAsia="fr-FR"/>
              </w:rPr>
              <w:t>(800m)</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C121B0"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C1-2</w:t>
            </w:r>
          </w:p>
          <w:p w:rsidR="00C121B0" w:rsidRPr="00594856"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594856">
              <w:rPr>
                <w:rFonts w:asciiTheme="majorBidi" w:eastAsia="Times New Roman" w:hAnsiTheme="majorBidi" w:cstheme="majorBidi"/>
                <w:color w:val="000000"/>
                <w:sz w:val="20"/>
                <w:szCs w:val="20"/>
                <w:lang w:eastAsia="fr-FR"/>
              </w:rPr>
              <w:t>(800m-1,200m)</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C121B0"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C1-3</w:t>
            </w:r>
          </w:p>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Pr>
                <w:rFonts w:asciiTheme="majorBidi" w:eastAsia="Times New Roman" w:hAnsiTheme="majorBidi" w:cstheme="majorBidi"/>
                <w:color w:val="000000"/>
                <w:sz w:val="24"/>
                <w:szCs w:val="24"/>
                <w:lang w:eastAsia="fr-FR"/>
              </w:rPr>
              <w:t>(</w:t>
            </w:r>
            <w:r w:rsidRPr="00010178">
              <w:rPr>
                <w:rFonts w:asciiTheme="majorBidi" w:eastAsia="Times New Roman" w:hAnsiTheme="majorBidi" w:cstheme="majorBidi"/>
                <w:color w:val="000000"/>
                <w:sz w:val="20"/>
                <w:szCs w:val="20"/>
                <w:lang w:eastAsia="fr-FR"/>
              </w:rPr>
              <w:t>&gt;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200</w:t>
            </w:r>
            <w:r w:rsidRPr="00010178">
              <w:rPr>
                <w:rFonts w:asciiTheme="majorBidi" w:eastAsia="Times New Roman" w:hAnsiTheme="majorBidi" w:cstheme="majorBidi"/>
                <w:color w:val="000000"/>
                <w:sz w:val="20"/>
                <w:szCs w:val="20"/>
                <w:lang w:eastAsia="fr-FR"/>
              </w:rPr>
              <w:t>m</w:t>
            </w:r>
            <w:r>
              <w:rPr>
                <w:rFonts w:asciiTheme="majorBidi" w:eastAsia="Times New Roman" w:hAnsiTheme="majorBidi" w:cstheme="majorBidi"/>
                <w:color w:val="000000"/>
                <w:sz w:val="24"/>
                <w:szCs w:val="24"/>
                <w:lang w:eastAsia="fr-FR"/>
              </w:rPr>
              <w:t>)</w:t>
            </w:r>
          </w:p>
        </w:tc>
        <w:tc>
          <w:tcPr>
            <w:tcW w:w="1276"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 xml:space="preserve">Final </w:t>
            </w:r>
            <w:r w:rsidRPr="00C3650F">
              <w:rPr>
                <w:rFonts w:asciiTheme="majorBidi" w:eastAsia="Times New Roman" w:hAnsiTheme="majorBidi" w:cstheme="majorBidi"/>
                <w:color w:val="000000"/>
                <w:sz w:val="24"/>
                <w:szCs w:val="24"/>
                <w:lang w:val="en-US" w:eastAsia="fr-FR"/>
              </w:rPr>
              <w:t>weight</w:t>
            </w:r>
            <w:r w:rsidRPr="00C3650F">
              <w:rPr>
                <w:rFonts w:asciiTheme="majorBidi" w:eastAsia="Times New Roman" w:hAnsiTheme="majorBidi" w:cstheme="majorBidi"/>
                <w:color w:val="000000"/>
                <w:sz w:val="24"/>
                <w:szCs w:val="24"/>
                <w:lang w:eastAsia="fr-FR"/>
              </w:rPr>
              <w:t xml:space="preserve"> (%)</w:t>
            </w:r>
          </w:p>
        </w:tc>
        <w:tc>
          <w:tcPr>
            <w:tcW w:w="871"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Rank</w:t>
            </w:r>
          </w:p>
        </w:tc>
      </w:tr>
      <w:tr w:rsidR="00C121B0" w:rsidRPr="00C3650F" w:rsidTr="0007710C">
        <w:trPr>
          <w:trHeight w:val="56"/>
          <w:jc w:val="center"/>
        </w:trPr>
        <w:tc>
          <w:tcPr>
            <w:tcW w:w="23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C1-1</w:t>
            </w:r>
            <w:r w:rsidR="00C222A9">
              <w:rPr>
                <w:rFonts w:asciiTheme="majorBidi" w:eastAsia="Times New Roman" w:hAnsiTheme="majorBidi" w:cstheme="majorBidi" w:hint="cs"/>
                <w:color w:val="000000"/>
                <w:sz w:val="24"/>
                <w:szCs w:val="24"/>
                <w:rtl/>
                <w:lang w:eastAsia="fr-FR"/>
              </w:rPr>
              <w:t xml:space="preserve"> </w:t>
            </w:r>
            <w:r w:rsidRPr="00594856">
              <w:rPr>
                <w:rFonts w:asciiTheme="majorBidi" w:eastAsia="Times New Roman" w:hAnsiTheme="majorBidi" w:cstheme="majorBidi"/>
                <w:color w:val="000000"/>
                <w:sz w:val="20"/>
                <w:szCs w:val="20"/>
                <w:lang w:eastAsia="fr-FR"/>
              </w:rPr>
              <w:t>(800m)</w:t>
            </w:r>
          </w:p>
        </w:tc>
        <w:tc>
          <w:tcPr>
            <w:tcW w:w="992" w:type="dxa"/>
            <w:tcBorders>
              <w:top w:val="nil"/>
              <w:left w:val="nil"/>
              <w:bottom w:val="single" w:sz="4" w:space="0" w:color="auto"/>
              <w:right w:val="single" w:sz="4" w:space="0" w:color="auto"/>
            </w:tcBorders>
            <w:shd w:val="clear" w:color="auto" w:fill="D9D9D9" w:themeFill="background1" w:themeFillShade="D9"/>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w:t>
            </w:r>
          </w:p>
        </w:tc>
        <w:tc>
          <w:tcPr>
            <w:tcW w:w="1418" w:type="dxa"/>
            <w:tcBorders>
              <w:top w:val="nil"/>
              <w:left w:val="nil"/>
              <w:bottom w:val="single" w:sz="4" w:space="0" w:color="auto"/>
              <w:right w:val="single" w:sz="4" w:space="0" w:color="auto"/>
            </w:tcBorders>
            <w:shd w:val="clear" w:color="auto" w:fill="auto"/>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2</w:t>
            </w:r>
          </w:p>
        </w:tc>
        <w:tc>
          <w:tcPr>
            <w:tcW w:w="1134" w:type="dxa"/>
            <w:tcBorders>
              <w:top w:val="nil"/>
              <w:left w:val="nil"/>
              <w:bottom w:val="single" w:sz="4" w:space="0" w:color="auto"/>
              <w:right w:val="single" w:sz="4" w:space="0" w:color="auto"/>
            </w:tcBorders>
            <w:shd w:val="clear" w:color="auto" w:fill="auto"/>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3</w:t>
            </w:r>
          </w:p>
        </w:tc>
        <w:tc>
          <w:tcPr>
            <w:tcW w:w="1276"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53,90</w:t>
            </w:r>
          </w:p>
        </w:tc>
        <w:tc>
          <w:tcPr>
            <w:tcW w:w="871"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w:t>
            </w:r>
          </w:p>
        </w:tc>
      </w:tr>
      <w:tr w:rsidR="00C121B0" w:rsidRPr="00C3650F" w:rsidTr="0007710C">
        <w:trPr>
          <w:trHeight w:val="188"/>
          <w:jc w:val="center"/>
        </w:trPr>
        <w:tc>
          <w:tcPr>
            <w:tcW w:w="2319" w:type="dxa"/>
            <w:tcBorders>
              <w:top w:val="nil"/>
              <w:left w:val="single" w:sz="4" w:space="0" w:color="auto"/>
              <w:bottom w:val="single" w:sz="4" w:space="0" w:color="auto"/>
              <w:right w:val="single" w:sz="4" w:space="0" w:color="auto"/>
            </w:tcBorders>
            <w:shd w:val="clear" w:color="auto" w:fill="auto"/>
            <w:vAlign w:val="center"/>
            <w:hideMark/>
          </w:tcPr>
          <w:p w:rsidR="00C121B0" w:rsidRPr="00594856"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C1-2</w:t>
            </w:r>
            <w:r w:rsidR="00C222A9">
              <w:rPr>
                <w:rFonts w:asciiTheme="majorBidi" w:eastAsia="Times New Roman" w:hAnsiTheme="majorBidi" w:cstheme="majorBidi" w:hint="cs"/>
                <w:color w:val="000000"/>
                <w:sz w:val="24"/>
                <w:szCs w:val="24"/>
                <w:rtl/>
                <w:lang w:eastAsia="fr-FR"/>
              </w:rPr>
              <w:t xml:space="preserve"> </w:t>
            </w:r>
            <w:r w:rsidRPr="00594856">
              <w:rPr>
                <w:rFonts w:asciiTheme="majorBidi" w:eastAsia="Times New Roman" w:hAnsiTheme="majorBidi" w:cstheme="majorBidi"/>
                <w:color w:val="000000"/>
                <w:sz w:val="20"/>
                <w:szCs w:val="20"/>
                <w:lang w:eastAsia="fr-FR"/>
              </w:rPr>
              <w:t>(800m-1,200m)</w:t>
            </w:r>
          </w:p>
        </w:tc>
        <w:tc>
          <w:tcPr>
            <w:tcW w:w="992" w:type="dxa"/>
            <w:tcBorders>
              <w:top w:val="nil"/>
              <w:left w:val="nil"/>
              <w:bottom w:val="single" w:sz="4" w:space="0" w:color="auto"/>
              <w:right w:val="single" w:sz="4" w:space="0" w:color="auto"/>
            </w:tcBorders>
            <w:shd w:val="clear" w:color="auto" w:fill="auto"/>
            <w:noWrap/>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1/2</w:t>
            </w:r>
          </w:p>
        </w:tc>
        <w:tc>
          <w:tcPr>
            <w:tcW w:w="1418" w:type="dxa"/>
            <w:tcBorders>
              <w:top w:val="nil"/>
              <w:left w:val="nil"/>
              <w:bottom w:val="single" w:sz="4" w:space="0" w:color="auto"/>
              <w:right w:val="single" w:sz="4" w:space="0" w:color="auto"/>
            </w:tcBorders>
            <w:shd w:val="clear" w:color="000000" w:fill="D9D9D9"/>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w:t>
            </w:r>
          </w:p>
        </w:tc>
        <w:tc>
          <w:tcPr>
            <w:tcW w:w="1134" w:type="dxa"/>
            <w:tcBorders>
              <w:top w:val="nil"/>
              <w:left w:val="nil"/>
              <w:bottom w:val="single" w:sz="4" w:space="0" w:color="auto"/>
              <w:right w:val="single" w:sz="4" w:space="0" w:color="auto"/>
            </w:tcBorders>
            <w:shd w:val="clear" w:color="auto" w:fill="auto"/>
            <w:noWrap/>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2</w:t>
            </w:r>
          </w:p>
        </w:tc>
        <w:tc>
          <w:tcPr>
            <w:tcW w:w="1276"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29,73</w:t>
            </w:r>
          </w:p>
        </w:tc>
        <w:tc>
          <w:tcPr>
            <w:tcW w:w="871"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2</w:t>
            </w:r>
          </w:p>
        </w:tc>
      </w:tr>
      <w:tr w:rsidR="00C121B0" w:rsidRPr="00C3650F" w:rsidTr="0007710C">
        <w:trPr>
          <w:trHeight w:val="96"/>
          <w:jc w:val="center"/>
        </w:trPr>
        <w:tc>
          <w:tcPr>
            <w:tcW w:w="2319" w:type="dxa"/>
            <w:tcBorders>
              <w:top w:val="nil"/>
              <w:left w:val="single" w:sz="4" w:space="0" w:color="auto"/>
              <w:bottom w:val="single" w:sz="4" w:space="0" w:color="auto"/>
              <w:right w:val="single" w:sz="4" w:space="0" w:color="auto"/>
            </w:tcBorders>
            <w:shd w:val="clear" w:color="auto" w:fill="auto"/>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C1-3</w:t>
            </w:r>
            <w:r w:rsidR="00C222A9">
              <w:rPr>
                <w:rFonts w:asciiTheme="majorBidi" w:eastAsia="Times New Roman" w:hAnsiTheme="majorBidi" w:cstheme="majorBidi" w:hint="cs"/>
                <w:color w:val="000000"/>
                <w:sz w:val="24"/>
                <w:szCs w:val="24"/>
                <w:rtl/>
                <w:lang w:eastAsia="fr-FR"/>
              </w:rPr>
              <w:t xml:space="preserve"> </w:t>
            </w:r>
            <w:r>
              <w:rPr>
                <w:rFonts w:asciiTheme="majorBidi" w:eastAsia="Times New Roman" w:hAnsiTheme="majorBidi" w:cstheme="majorBidi"/>
                <w:color w:val="000000"/>
                <w:sz w:val="24"/>
                <w:szCs w:val="24"/>
                <w:lang w:eastAsia="fr-FR"/>
              </w:rPr>
              <w:t>(</w:t>
            </w:r>
            <w:r w:rsidRPr="00010178">
              <w:rPr>
                <w:rFonts w:asciiTheme="majorBidi" w:eastAsia="Times New Roman" w:hAnsiTheme="majorBidi" w:cstheme="majorBidi"/>
                <w:color w:val="000000"/>
                <w:sz w:val="20"/>
                <w:szCs w:val="20"/>
                <w:lang w:eastAsia="fr-FR"/>
              </w:rPr>
              <w:t>&gt;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200</w:t>
            </w:r>
            <w:r w:rsidRPr="00010178">
              <w:rPr>
                <w:rFonts w:asciiTheme="majorBidi" w:eastAsia="Times New Roman" w:hAnsiTheme="majorBidi" w:cstheme="majorBidi"/>
                <w:color w:val="000000"/>
                <w:sz w:val="20"/>
                <w:szCs w:val="20"/>
                <w:lang w:eastAsia="fr-FR"/>
              </w:rPr>
              <w:t>m</w:t>
            </w:r>
            <w:r>
              <w:rPr>
                <w:rFonts w:asciiTheme="majorBidi" w:eastAsia="Times New Roman" w:hAnsiTheme="majorBidi" w:cstheme="majorBidi"/>
                <w:color w:val="000000"/>
                <w:sz w:val="24"/>
                <w:szCs w:val="24"/>
                <w:lang w:eastAsia="fr-FR"/>
              </w:rPr>
              <w:t>)</w:t>
            </w:r>
          </w:p>
        </w:tc>
        <w:tc>
          <w:tcPr>
            <w:tcW w:w="992" w:type="dxa"/>
            <w:tcBorders>
              <w:top w:val="nil"/>
              <w:left w:val="nil"/>
              <w:bottom w:val="single" w:sz="4" w:space="0" w:color="auto"/>
              <w:right w:val="single" w:sz="4" w:space="0" w:color="auto"/>
            </w:tcBorders>
            <w:shd w:val="clear" w:color="auto" w:fill="auto"/>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1/3</w:t>
            </w:r>
          </w:p>
        </w:tc>
        <w:tc>
          <w:tcPr>
            <w:tcW w:w="1418" w:type="dxa"/>
            <w:tcBorders>
              <w:top w:val="nil"/>
              <w:left w:val="nil"/>
              <w:bottom w:val="single" w:sz="4" w:space="0" w:color="auto"/>
              <w:right w:val="single" w:sz="4" w:space="0" w:color="auto"/>
            </w:tcBorders>
            <w:shd w:val="clear" w:color="auto" w:fill="auto"/>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1/2</w:t>
            </w:r>
          </w:p>
        </w:tc>
        <w:tc>
          <w:tcPr>
            <w:tcW w:w="1134" w:type="dxa"/>
            <w:tcBorders>
              <w:top w:val="nil"/>
              <w:left w:val="nil"/>
              <w:bottom w:val="single" w:sz="4" w:space="0" w:color="auto"/>
              <w:right w:val="single" w:sz="4" w:space="0" w:color="auto"/>
            </w:tcBorders>
            <w:shd w:val="clear" w:color="000000" w:fill="D9D9D9"/>
            <w:vAlign w:val="center"/>
            <w:hideMark/>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w:t>
            </w:r>
          </w:p>
        </w:tc>
        <w:tc>
          <w:tcPr>
            <w:tcW w:w="1276"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16,38</w:t>
            </w:r>
          </w:p>
        </w:tc>
        <w:tc>
          <w:tcPr>
            <w:tcW w:w="871" w:type="dxa"/>
            <w:tcBorders>
              <w:top w:val="single" w:sz="4" w:space="0" w:color="auto"/>
              <w:left w:val="single" w:sz="4" w:space="0" w:color="auto"/>
              <w:bottom w:val="single" w:sz="4" w:space="0" w:color="auto"/>
              <w:right w:val="single" w:sz="4" w:space="0" w:color="auto"/>
            </w:tcBorders>
            <w:vAlign w:val="center"/>
          </w:tcPr>
          <w:p w:rsidR="00C121B0" w:rsidRPr="00C3650F" w:rsidRDefault="00C121B0" w:rsidP="0007710C">
            <w:pPr>
              <w:spacing w:after="0" w:line="360" w:lineRule="auto"/>
              <w:jc w:val="center"/>
              <w:rPr>
                <w:rFonts w:asciiTheme="majorBidi" w:eastAsia="Times New Roman" w:hAnsiTheme="majorBidi" w:cstheme="majorBidi"/>
                <w:color w:val="000000"/>
                <w:sz w:val="24"/>
                <w:szCs w:val="24"/>
                <w:lang w:eastAsia="fr-FR"/>
              </w:rPr>
            </w:pPr>
            <w:r w:rsidRPr="00C3650F">
              <w:rPr>
                <w:rFonts w:asciiTheme="majorBidi" w:eastAsia="Times New Roman" w:hAnsiTheme="majorBidi" w:cstheme="majorBidi"/>
                <w:color w:val="000000"/>
                <w:sz w:val="24"/>
                <w:szCs w:val="24"/>
                <w:lang w:eastAsia="fr-FR"/>
              </w:rPr>
              <w:t>3</w:t>
            </w:r>
          </w:p>
        </w:tc>
      </w:tr>
    </w:tbl>
    <w:p w:rsidR="00C121B0" w:rsidRDefault="00CF7134" w:rsidP="00C05812">
      <w:pPr>
        <w:bidi/>
        <w:spacing w:before="240" w:after="0" w:line="240" w:lineRule="auto"/>
        <w:ind w:firstLine="282"/>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مثال على حساب </w:t>
      </w:r>
      <w:r w:rsidRPr="008B3F07">
        <w:rPr>
          <w:rFonts w:ascii="Simplified Arabic" w:hAnsi="Simplified Arabic" w:cs="Simplified Arabic" w:hint="cs"/>
          <w:sz w:val="24"/>
          <w:szCs w:val="24"/>
          <w:rtl/>
          <w:lang w:bidi="ar-DZ"/>
        </w:rPr>
        <w:t>قيمة</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نسبة</w:t>
      </w:r>
      <w:r w:rsidRPr="008B3F07">
        <w:rPr>
          <w:rFonts w:ascii="Simplified Arabic" w:hAnsi="Simplified Arabic" w:cs="Simplified Arabic"/>
          <w:sz w:val="24"/>
          <w:szCs w:val="24"/>
          <w:rtl/>
          <w:lang w:bidi="ar-DZ"/>
        </w:rPr>
        <w:t xml:space="preserve"> </w:t>
      </w:r>
      <w:r w:rsidRPr="008B3F07">
        <w:rPr>
          <w:rFonts w:ascii="Simplified Arabic" w:hAnsi="Simplified Arabic" w:cs="Simplified Arabic" w:hint="cs"/>
          <w:sz w:val="24"/>
          <w:szCs w:val="24"/>
          <w:rtl/>
          <w:lang w:bidi="ar-DZ"/>
        </w:rPr>
        <w:t>الاتساق</w:t>
      </w:r>
      <w:r w:rsidRPr="00CF7134">
        <w:rPr>
          <w:rFonts w:ascii="Simplified Arabic" w:hAnsi="Simplified Arabic" w:cs="Simplified Arabic"/>
          <w:sz w:val="24"/>
          <w:szCs w:val="24"/>
          <w:rtl/>
          <w:lang w:bidi="ar-DZ"/>
        </w:rPr>
        <w:t xml:space="preserve"> </w:t>
      </w:r>
      <w:r w:rsidRPr="00CF7134">
        <w:rPr>
          <w:rFonts w:ascii="Simplified Arabic" w:hAnsi="Simplified Arabic" w:cs="Simplified Arabic" w:hint="cs"/>
          <w:sz w:val="24"/>
          <w:szCs w:val="24"/>
          <w:rtl/>
          <w:lang w:bidi="ar-DZ"/>
        </w:rPr>
        <w:t>ل</w:t>
      </w:r>
      <w:r>
        <w:rPr>
          <w:rFonts w:ascii="Simplified Arabic" w:hAnsi="Simplified Arabic" w:cs="Simplified Arabic" w:hint="cs"/>
          <w:sz w:val="24"/>
          <w:szCs w:val="24"/>
          <w:rtl/>
          <w:lang w:bidi="ar-DZ"/>
        </w:rPr>
        <w:t xml:space="preserve">لمعايير الفرعية للمعيار </w:t>
      </w:r>
      <w:r w:rsidRPr="00CF7134">
        <w:rPr>
          <w:rFonts w:asciiTheme="majorBidi" w:hAnsiTheme="majorBidi" w:cstheme="majorBidi"/>
          <w:sz w:val="24"/>
          <w:szCs w:val="24"/>
          <w:rtl/>
          <w:lang w:val="en-US"/>
        </w:rPr>
        <w:t>(</w:t>
      </w:r>
      <w:r w:rsidRPr="00CF7134">
        <w:rPr>
          <w:rFonts w:asciiTheme="majorBidi" w:eastAsia="Times New Roman" w:hAnsiTheme="majorBidi" w:cstheme="majorBidi"/>
          <w:color w:val="000000"/>
          <w:sz w:val="24"/>
          <w:szCs w:val="24"/>
          <w:lang w:val="en-US" w:eastAsia="fr-FR"/>
        </w:rPr>
        <w:t>C1</w:t>
      </w:r>
      <w:r w:rsidRPr="00CF7134">
        <w:rPr>
          <w:rFonts w:asciiTheme="majorBidi" w:hAnsiTheme="majorBidi" w:cstheme="majorBidi"/>
          <w:sz w:val="24"/>
          <w:szCs w:val="24"/>
          <w:rtl/>
          <w:lang w:val="en-US"/>
        </w:rPr>
        <w:t>)</w:t>
      </w:r>
      <w:r w:rsidRPr="00CF7134">
        <w:rPr>
          <w:rFonts w:ascii="Simplified Arabic" w:hAnsi="Simplified Arabic" w:cs="Simplified Arabic" w:hint="cs"/>
          <w:sz w:val="24"/>
          <w:szCs w:val="24"/>
          <w:rtl/>
          <w:lang w:bidi="ar-DZ"/>
        </w:rPr>
        <w:t xml:space="preserve">، </w:t>
      </w:r>
      <w:r w:rsidR="00C121B0" w:rsidRPr="008B3F07">
        <w:rPr>
          <w:rFonts w:ascii="Simplified Arabic" w:hAnsi="Simplified Arabic" w:cs="Simplified Arabic" w:hint="cs"/>
          <w:sz w:val="24"/>
          <w:szCs w:val="24"/>
          <w:rtl/>
          <w:lang w:bidi="ar-DZ"/>
        </w:rPr>
        <w:t>كانت</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قيمة</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نسبة</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الاتساق</w:t>
      </w:r>
      <w:r w:rsidR="00C121B0" w:rsidRPr="00081908">
        <w:rPr>
          <w:rFonts w:asciiTheme="minorBidi" w:hAnsiTheme="minorBidi"/>
          <w:sz w:val="24"/>
          <w:szCs w:val="24"/>
          <w:rtl/>
          <w:lang w:val="en-US"/>
        </w:rPr>
        <w:t xml:space="preserve"> </w:t>
      </w:r>
      <w:r w:rsidR="00C121B0" w:rsidRPr="001314A9">
        <w:rPr>
          <w:rFonts w:asciiTheme="majorBidi" w:hAnsiTheme="majorBidi" w:cstheme="majorBidi"/>
          <w:sz w:val="24"/>
          <w:szCs w:val="24"/>
          <w:lang w:bidi="ar-DZ"/>
        </w:rPr>
        <w:t>CR</w:t>
      </w:r>
      <w:r w:rsidR="00C121B0" w:rsidRPr="00237FB6">
        <w:rPr>
          <w:rFonts w:asciiTheme="majorBidi" w:hAnsiTheme="majorBidi" w:cstheme="majorBidi"/>
          <w:b/>
          <w:bCs/>
          <w:sz w:val="24"/>
          <w:szCs w:val="24"/>
          <w:lang w:val="en-US" w:bidi="ar-DZ"/>
        </w:rPr>
        <w:t xml:space="preserve"> = </w:t>
      </w:r>
      <w:r w:rsidR="00C121B0">
        <w:rPr>
          <w:rFonts w:asciiTheme="majorBidi" w:hAnsiTheme="majorBidi" w:cstheme="majorBidi"/>
          <w:sz w:val="24"/>
          <w:szCs w:val="24"/>
          <w:lang w:bidi="ar-DZ"/>
        </w:rPr>
        <w:t>7</w:t>
      </w:r>
      <w:r w:rsidR="00C121B0" w:rsidRPr="001314A9">
        <w:rPr>
          <w:rFonts w:asciiTheme="majorBidi" w:hAnsiTheme="majorBidi" w:cstheme="majorBidi"/>
          <w:sz w:val="24"/>
          <w:szCs w:val="24"/>
          <w:lang w:bidi="ar-DZ"/>
        </w:rPr>
        <w:t>.</w:t>
      </w:r>
      <w:r w:rsidR="00C121B0">
        <w:rPr>
          <w:rFonts w:asciiTheme="majorBidi" w:hAnsiTheme="majorBidi" w:cstheme="majorBidi"/>
          <w:sz w:val="24"/>
          <w:szCs w:val="24"/>
          <w:lang w:bidi="ar-DZ"/>
        </w:rPr>
        <w:t>9</w:t>
      </w:r>
      <w:r w:rsidR="00C121B0" w:rsidRPr="008B3F07">
        <w:rPr>
          <w:rFonts w:ascii="Simplified Arabic" w:hAnsi="Simplified Arabic" w:cs="Simplified Arabic" w:hint="cs"/>
          <w:sz w:val="24"/>
          <w:szCs w:val="24"/>
          <w:rtl/>
          <w:lang w:bidi="ar-DZ"/>
        </w:rPr>
        <w:t>،</w:t>
      </w:r>
      <w:r w:rsidR="00C121B0">
        <w:rPr>
          <w:rFonts w:asciiTheme="minorBidi" w:hAnsiTheme="minorBidi" w:hint="cs"/>
          <w:sz w:val="24"/>
          <w:szCs w:val="24"/>
          <w:rtl/>
          <w:lang w:val="en-US"/>
        </w:rPr>
        <w:t xml:space="preserve"> </w:t>
      </w:r>
      <w:r w:rsidR="00C121B0" w:rsidRPr="008B3F07">
        <w:rPr>
          <w:rFonts w:ascii="Simplified Arabic" w:hAnsi="Simplified Arabic" w:cs="Simplified Arabic" w:hint="cs"/>
          <w:sz w:val="24"/>
          <w:szCs w:val="24"/>
          <w:rtl/>
          <w:lang w:bidi="ar-DZ"/>
        </w:rPr>
        <w:t xml:space="preserve">كما هو في </w:t>
      </w:r>
      <w:r w:rsidR="00C121B0" w:rsidRPr="008B3F07">
        <w:rPr>
          <w:rFonts w:ascii="Simplified Arabic" w:hAnsi="Simplified Arabic" w:cs="Simplified Arabic"/>
          <w:sz w:val="24"/>
          <w:szCs w:val="24"/>
          <w:rtl/>
          <w:lang w:bidi="ar-DZ"/>
        </w:rPr>
        <w:t>الجدول</w:t>
      </w:r>
      <w:r w:rsidR="00C121B0" w:rsidRPr="008B3F07">
        <w:rPr>
          <w:rFonts w:ascii="Simplified Arabic" w:hAnsi="Simplified Arabic" w:cs="Simplified Arabic" w:hint="cs"/>
          <w:sz w:val="24"/>
          <w:szCs w:val="24"/>
          <w:rtl/>
          <w:lang w:bidi="ar-DZ"/>
        </w:rPr>
        <w:t xml:space="preserve"> </w:t>
      </w:r>
      <w:r w:rsidR="00AF7197" w:rsidRPr="00CF7134">
        <w:rPr>
          <w:rFonts w:ascii="Simplified Arabic" w:hAnsi="Simplified Arabic" w:cs="Simplified Arabic" w:hint="cs"/>
          <w:sz w:val="24"/>
          <w:szCs w:val="24"/>
          <w:rtl/>
          <w:lang w:bidi="ar-DZ"/>
        </w:rPr>
        <w:t>(5-</w:t>
      </w:r>
      <w:r w:rsidR="00C05812">
        <w:rPr>
          <w:rFonts w:ascii="Simplified Arabic" w:hAnsi="Simplified Arabic" w:cs="Simplified Arabic" w:hint="cs"/>
          <w:sz w:val="24"/>
          <w:szCs w:val="24"/>
          <w:rtl/>
          <w:lang w:bidi="ar-DZ"/>
        </w:rPr>
        <w:t>13</w:t>
      </w:r>
      <w:r w:rsidR="00AF7197" w:rsidRPr="00CF7134">
        <w:rPr>
          <w:rFonts w:ascii="Simplified Arabic" w:hAnsi="Simplified Arabic" w:cs="Simplified Arabic" w:hint="cs"/>
          <w:sz w:val="24"/>
          <w:szCs w:val="24"/>
          <w:rtl/>
          <w:lang w:bidi="ar-DZ"/>
        </w:rPr>
        <w:t>)</w:t>
      </w:r>
      <w:r w:rsidR="00C121B0" w:rsidRPr="008B3F07">
        <w:rPr>
          <w:rFonts w:ascii="Simplified Arabic" w:hAnsi="Simplified Arabic" w:cs="Simplified Arabic" w:hint="cs"/>
          <w:sz w:val="24"/>
          <w:szCs w:val="24"/>
          <w:rtl/>
          <w:lang w:bidi="ar-DZ"/>
        </w:rPr>
        <w:t xml:space="preserve"> أقل</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من</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0.1،</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مما</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يعني</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أن</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توزيع</w:t>
      </w:r>
      <w:r w:rsidR="00C121B0" w:rsidRPr="00CF7134">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الاوزان</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بين</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المعايير</w:t>
      </w:r>
      <w:r w:rsidR="00C121B0">
        <w:rPr>
          <w:rFonts w:ascii="Simplified Arabic" w:hAnsi="Simplified Arabic" w:cs="Simplified Arabic" w:hint="cs"/>
          <w:sz w:val="24"/>
          <w:szCs w:val="24"/>
          <w:rtl/>
          <w:lang w:bidi="ar-DZ"/>
        </w:rPr>
        <w:t xml:space="preserve"> الفرعية</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مقبول</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ويظهر</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اتساقًا</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جيدًا</w:t>
      </w:r>
      <w:r w:rsidR="00C121B0" w:rsidRPr="008B3F07">
        <w:rPr>
          <w:rFonts w:ascii="Simplified Arabic" w:hAnsi="Simplified Arabic" w:cs="Simplified Arabic"/>
          <w:sz w:val="24"/>
          <w:szCs w:val="24"/>
          <w:rtl/>
          <w:lang w:bidi="ar-DZ"/>
        </w:rPr>
        <w:t xml:space="preserve"> </w:t>
      </w:r>
      <w:r w:rsidR="00C121B0" w:rsidRPr="008B3F07">
        <w:rPr>
          <w:rFonts w:ascii="Simplified Arabic" w:hAnsi="Simplified Arabic" w:cs="Simplified Arabic" w:hint="cs"/>
          <w:sz w:val="24"/>
          <w:szCs w:val="24"/>
          <w:rtl/>
          <w:lang w:bidi="ar-DZ"/>
        </w:rPr>
        <w:t>في</w:t>
      </w:r>
      <w:r w:rsidR="00C121B0" w:rsidRPr="008B3F07">
        <w:rPr>
          <w:rFonts w:ascii="Simplified Arabic" w:hAnsi="Simplified Arabic" w:cs="Simplified Arabic"/>
          <w:sz w:val="24"/>
          <w:szCs w:val="24"/>
          <w:rtl/>
          <w:lang w:bidi="ar-DZ"/>
        </w:rPr>
        <w:t xml:space="preserve"> </w:t>
      </w:r>
      <w:r w:rsidR="00C121B0">
        <w:rPr>
          <w:rFonts w:ascii="Simplified Arabic" w:hAnsi="Simplified Arabic" w:cs="Simplified Arabic" w:hint="cs"/>
          <w:sz w:val="24"/>
          <w:szCs w:val="24"/>
          <w:rtl/>
          <w:lang w:bidi="ar-DZ"/>
        </w:rPr>
        <w:t>احكام الخبراء</w:t>
      </w:r>
      <w:r>
        <w:rPr>
          <w:rFonts w:ascii="Simplified Arabic" w:hAnsi="Simplified Arabic" w:cs="Simplified Arabic" w:hint="cs"/>
          <w:sz w:val="24"/>
          <w:szCs w:val="24"/>
          <w:rtl/>
          <w:lang w:bidi="ar-DZ"/>
        </w:rPr>
        <w:t>، بينما كانت اولوية المعايير الفرعية</w:t>
      </w:r>
      <w:r w:rsidRPr="00CF7134">
        <w:rPr>
          <w:rFonts w:ascii="Simplified Arabic" w:hAnsi="Simplified Arabic" w:cs="Simplified Arabic"/>
          <w:sz w:val="24"/>
          <w:szCs w:val="24"/>
          <w:rtl/>
          <w:lang w:bidi="ar-DZ"/>
        </w:rPr>
        <w:t xml:space="preserve"> المستمدة من المقارنات الزوجية</w:t>
      </w:r>
      <w:r w:rsidRPr="00CF7134">
        <w:rPr>
          <w:rFonts w:ascii="Simplified Arabic" w:hAnsi="Simplified Arabic" w:cs="Simplified Arabic" w:hint="cs"/>
          <w:sz w:val="24"/>
          <w:szCs w:val="24"/>
          <w:rtl/>
          <w:lang w:bidi="ar-DZ"/>
        </w:rPr>
        <w:t xml:space="preserve"> تحت المعيار</w:t>
      </w:r>
      <w:r>
        <w:rPr>
          <w:rFonts w:ascii="Simplified Arabic" w:hAnsi="Simplified Arabic" w:cs="Simplified Arabic" w:hint="cs"/>
          <w:sz w:val="24"/>
          <w:szCs w:val="24"/>
          <w:rtl/>
          <w:lang w:val="en-US"/>
        </w:rPr>
        <w:t xml:space="preserve"> </w:t>
      </w:r>
      <w:r w:rsidRPr="00CF7134">
        <w:rPr>
          <w:rFonts w:asciiTheme="majorBidi" w:hAnsiTheme="majorBidi" w:cstheme="majorBidi"/>
          <w:sz w:val="24"/>
          <w:szCs w:val="24"/>
          <w:rtl/>
          <w:lang w:val="en-US"/>
        </w:rPr>
        <w:t>(</w:t>
      </w:r>
      <w:r w:rsidRPr="00CF7134">
        <w:rPr>
          <w:rFonts w:asciiTheme="majorBidi" w:eastAsia="Times New Roman" w:hAnsiTheme="majorBidi" w:cstheme="majorBidi"/>
          <w:color w:val="000000"/>
          <w:sz w:val="24"/>
          <w:szCs w:val="24"/>
          <w:lang w:val="en-US" w:eastAsia="fr-FR"/>
        </w:rPr>
        <w:t>C1</w:t>
      </w:r>
      <w:r w:rsidRPr="00CF7134">
        <w:rPr>
          <w:rFonts w:asciiTheme="majorBidi" w:hAnsiTheme="majorBidi" w:cstheme="majorBidi"/>
          <w:sz w:val="24"/>
          <w:szCs w:val="24"/>
          <w:rtl/>
          <w:lang w:val="en-US"/>
        </w:rPr>
        <w:t>)</w:t>
      </w:r>
      <w:r w:rsidRPr="00CF7134">
        <w:rPr>
          <w:rFonts w:ascii="Simplified Arabic" w:hAnsi="Simplified Arabic" w:cs="Simplified Arabic" w:hint="cs"/>
          <w:sz w:val="24"/>
          <w:szCs w:val="24"/>
          <w:rtl/>
          <w:lang w:bidi="ar-DZ"/>
        </w:rPr>
        <w:t xml:space="preserve">، </w:t>
      </w:r>
      <w:r w:rsidRPr="00CF7134">
        <w:rPr>
          <w:rFonts w:ascii="Simplified Arabic" w:hAnsi="Simplified Arabic" w:cs="Simplified Arabic"/>
          <w:sz w:val="24"/>
          <w:szCs w:val="24"/>
          <w:rtl/>
          <w:lang w:bidi="ar-DZ"/>
        </w:rPr>
        <w:t>الشكل</w:t>
      </w:r>
      <w:r w:rsidRPr="00CF7134">
        <w:rPr>
          <w:rFonts w:ascii="Simplified Arabic" w:hAnsi="Simplified Arabic" w:cs="Simplified Arabic" w:hint="cs"/>
          <w:sz w:val="24"/>
          <w:szCs w:val="24"/>
          <w:rtl/>
          <w:lang w:bidi="ar-DZ"/>
        </w:rPr>
        <w:t xml:space="preserve"> (5-7).</w:t>
      </w:r>
    </w:p>
    <w:p w:rsidR="00C121B0" w:rsidRDefault="00C121B0" w:rsidP="008B4DD2">
      <w:pPr>
        <w:pStyle w:val="Tableau"/>
        <w:rPr>
          <w:rtl/>
          <w:lang w:val="en-US"/>
        </w:rPr>
      </w:pPr>
      <w:bookmarkStart w:id="676" w:name="_Toc157613003"/>
      <w:bookmarkStart w:id="677" w:name="_Toc171803695"/>
      <w:r w:rsidRPr="00E32579">
        <w:rPr>
          <w:rtl/>
          <w:lang w:val="en-US"/>
        </w:rPr>
        <w:t xml:space="preserve">الجدول </w:t>
      </w:r>
      <w:r w:rsidR="00AF7197">
        <w:rPr>
          <w:rFonts w:eastAsia="Times New Roman" w:hint="cs"/>
          <w:rtl/>
          <w:lang w:val="en-US" w:eastAsia="fr-FR"/>
        </w:rPr>
        <w:t>(5-</w:t>
      </w:r>
      <w:r w:rsidR="00C05812">
        <w:rPr>
          <w:rFonts w:eastAsia="Times New Roman" w:hint="cs"/>
          <w:rtl/>
          <w:lang w:val="en-US" w:eastAsia="fr-FR"/>
        </w:rPr>
        <w:t>13</w:t>
      </w:r>
      <w:r w:rsidR="00AF7197">
        <w:rPr>
          <w:rFonts w:eastAsia="Times New Roman" w:hint="cs"/>
          <w:rtl/>
          <w:lang w:val="en-US" w:eastAsia="fr-FR"/>
        </w:rPr>
        <w:t>)</w:t>
      </w:r>
      <w:r w:rsidRPr="00E32579">
        <w:rPr>
          <w:rtl/>
          <w:lang w:val="en-US"/>
        </w:rPr>
        <w:t xml:space="preserve">: </w:t>
      </w:r>
      <w:r>
        <w:rPr>
          <w:rFonts w:hint="cs"/>
          <w:rtl/>
          <w:lang w:val="en-US"/>
        </w:rPr>
        <w:t>نتائج فحص قيم</w:t>
      </w:r>
      <w:r w:rsidRPr="00E32579">
        <w:rPr>
          <w:rtl/>
          <w:lang w:val="en-US"/>
        </w:rPr>
        <w:t xml:space="preserve"> </w:t>
      </w:r>
      <w:r>
        <w:rPr>
          <w:rFonts w:hint="cs"/>
          <w:rtl/>
          <w:lang w:val="en-US"/>
        </w:rPr>
        <w:t>الاتساق</w:t>
      </w:r>
      <w:bookmarkEnd w:id="676"/>
      <w:bookmarkEnd w:id="677"/>
    </w:p>
    <w:p w:rsidR="007A30E8" w:rsidRPr="007A30E8" w:rsidRDefault="007A30E8" w:rsidP="007A30E8">
      <w:pPr>
        <w:pStyle w:val="fegure"/>
        <w:rPr>
          <w:sz w:val="8"/>
          <w:szCs w:val="24"/>
          <w:rtl/>
          <w:lang w:val="en-US" w:bidi="ar-DZ"/>
        </w:rPr>
      </w:pPr>
      <w:bookmarkStart w:id="678" w:name="_Toc171803696"/>
      <w:r>
        <w:rPr>
          <w:rFonts w:hint="cs"/>
          <w:sz w:val="8"/>
          <w:szCs w:val="24"/>
          <w:rtl/>
          <w:lang w:val="en-US"/>
        </w:rPr>
        <w:t>المصدر: (الباحث، 2022)</w:t>
      </w:r>
      <w:bookmarkEnd w:id="678"/>
    </w:p>
    <w:tbl>
      <w:tblPr>
        <w:tblW w:w="5670" w:type="dxa"/>
        <w:jc w:val="center"/>
        <w:tblInd w:w="921" w:type="dxa"/>
        <w:tblCellMar>
          <w:left w:w="70" w:type="dxa"/>
          <w:right w:w="70" w:type="dxa"/>
        </w:tblCellMar>
        <w:tblLook w:val="04A0" w:firstRow="1" w:lastRow="0" w:firstColumn="1" w:lastColumn="0" w:noHBand="0" w:noVBand="1"/>
      </w:tblPr>
      <w:tblGrid>
        <w:gridCol w:w="567"/>
        <w:gridCol w:w="927"/>
        <w:gridCol w:w="1180"/>
        <w:gridCol w:w="728"/>
        <w:gridCol w:w="992"/>
        <w:gridCol w:w="1276"/>
      </w:tblGrid>
      <w:tr w:rsidR="00C121B0" w:rsidRPr="00793B3A" w:rsidTr="00794BA6">
        <w:trPr>
          <w:trHeight w:val="55"/>
          <w:jc w:val="center"/>
        </w:trPr>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n</w:t>
            </w:r>
          </w:p>
        </w:tc>
        <w:tc>
          <w:tcPr>
            <w:tcW w:w="927" w:type="dxa"/>
            <w:tcBorders>
              <w:top w:val="single" w:sz="4" w:space="0" w:color="auto"/>
              <w:left w:val="nil"/>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λmax</w:t>
            </w:r>
          </w:p>
        </w:tc>
        <w:tc>
          <w:tcPr>
            <w:tcW w:w="1180" w:type="dxa"/>
            <w:tcBorders>
              <w:top w:val="single" w:sz="4" w:space="0" w:color="auto"/>
              <w:left w:val="nil"/>
              <w:bottom w:val="single" w:sz="4" w:space="0" w:color="auto"/>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CI</w:t>
            </w:r>
          </w:p>
        </w:tc>
        <w:tc>
          <w:tcPr>
            <w:tcW w:w="728" w:type="dxa"/>
            <w:tcBorders>
              <w:top w:val="single" w:sz="24" w:space="0" w:color="FF0000"/>
              <w:left w:val="single" w:sz="24" w:space="0" w:color="FF0000"/>
              <w:bottom w:val="single" w:sz="4" w:space="0" w:color="auto"/>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 xml:space="preserve">   RI</w:t>
            </w:r>
          </w:p>
        </w:tc>
        <w:tc>
          <w:tcPr>
            <w:tcW w:w="992" w:type="dxa"/>
            <w:tcBorders>
              <w:top w:val="single" w:sz="4" w:space="0" w:color="auto"/>
              <w:left w:val="single" w:sz="24" w:space="0" w:color="FF0000"/>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CR</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C121B0" w:rsidRPr="00793B3A"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793B3A">
              <w:rPr>
                <w:rFonts w:ascii="Simplified Arabic" w:eastAsia="Times New Roman" w:hAnsi="Simplified Arabic" w:cs="Simplified Arabic"/>
                <w:color w:val="000000"/>
                <w:sz w:val="24"/>
                <w:szCs w:val="24"/>
                <w:rtl/>
                <w:lang w:eastAsia="fr-FR"/>
              </w:rPr>
              <w:t>شرط الاتساق</w:t>
            </w:r>
            <w:r w:rsidRPr="00793B3A">
              <w:rPr>
                <w:rFonts w:ascii="Simplified Arabic" w:eastAsia="Times New Roman" w:hAnsi="Simplified Arabic" w:cs="Simplified Arabic"/>
                <w:color w:val="000000"/>
                <w:sz w:val="24"/>
                <w:szCs w:val="24"/>
                <w:lang w:eastAsia="fr-FR"/>
              </w:rPr>
              <w:t xml:space="preserve"> </w:t>
            </w:r>
          </w:p>
        </w:tc>
      </w:tr>
      <w:tr w:rsidR="00C121B0" w:rsidRPr="00793B3A" w:rsidTr="00794BA6">
        <w:trPr>
          <w:trHeight w:val="60"/>
          <w:jc w:val="center"/>
        </w:trPr>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3</w:t>
            </w:r>
          </w:p>
        </w:tc>
        <w:tc>
          <w:tcPr>
            <w:tcW w:w="927" w:type="dxa"/>
            <w:tcBorders>
              <w:top w:val="nil"/>
              <w:left w:val="nil"/>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3</w:t>
            </w:r>
            <w:r w:rsidRPr="00793B3A">
              <w:rPr>
                <w:rFonts w:ascii="Times New Roman" w:eastAsia="Times New Roman" w:hAnsi="Times New Roman" w:cs="Times New Roman"/>
                <w:color w:val="000000"/>
                <w:sz w:val="24"/>
                <w:szCs w:val="24"/>
                <w:lang w:eastAsia="fr-FR"/>
              </w:rPr>
              <w:t>,</w:t>
            </w:r>
            <w:r>
              <w:rPr>
                <w:rFonts w:ascii="Times New Roman" w:eastAsia="Times New Roman" w:hAnsi="Times New Roman" w:cs="Times New Roman"/>
                <w:color w:val="000000"/>
                <w:sz w:val="24"/>
                <w:szCs w:val="24"/>
                <w:lang w:eastAsia="fr-FR"/>
              </w:rPr>
              <w:t>0092</w:t>
            </w:r>
          </w:p>
        </w:tc>
        <w:tc>
          <w:tcPr>
            <w:tcW w:w="1180" w:type="dxa"/>
            <w:tcBorders>
              <w:top w:val="nil"/>
              <w:left w:val="nil"/>
              <w:bottom w:val="single" w:sz="4" w:space="0" w:color="auto"/>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0,</w:t>
            </w:r>
            <w:r>
              <w:rPr>
                <w:rFonts w:ascii="Times New Roman" w:eastAsia="Times New Roman" w:hAnsi="Times New Roman" w:cs="Times New Roman"/>
                <w:color w:val="000000"/>
                <w:sz w:val="24"/>
                <w:szCs w:val="24"/>
                <w:lang w:eastAsia="fr-FR"/>
              </w:rPr>
              <w:t>00460</w:t>
            </w:r>
          </w:p>
        </w:tc>
        <w:tc>
          <w:tcPr>
            <w:tcW w:w="728" w:type="dxa"/>
            <w:tcBorders>
              <w:top w:val="nil"/>
              <w:left w:val="single" w:sz="24" w:space="0" w:color="FF0000"/>
              <w:bottom w:val="single" w:sz="24" w:space="0" w:color="FF0000"/>
              <w:right w:val="single" w:sz="24" w:space="0" w:color="FF0000"/>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0</w:t>
            </w:r>
            <w:r w:rsidRPr="00793B3A">
              <w:rPr>
                <w:rFonts w:ascii="Times New Roman" w:eastAsia="Times New Roman" w:hAnsi="Times New Roman" w:cs="Times New Roman"/>
                <w:color w:val="000000"/>
                <w:sz w:val="24"/>
                <w:szCs w:val="24"/>
                <w:lang w:eastAsia="fr-FR"/>
              </w:rPr>
              <w:t>,</w:t>
            </w:r>
            <w:r>
              <w:rPr>
                <w:rFonts w:ascii="Times New Roman" w:eastAsia="Times New Roman" w:hAnsi="Times New Roman" w:cs="Times New Roman"/>
                <w:color w:val="000000"/>
                <w:sz w:val="24"/>
                <w:szCs w:val="24"/>
                <w:lang w:eastAsia="fr-FR"/>
              </w:rPr>
              <w:t>58</w:t>
            </w:r>
          </w:p>
        </w:tc>
        <w:tc>
          <w:tcPr>
            <w:tcW w:w="992" w:type="dxa"/>
            <w:tcBorders>
              <w:top w:val="nil"/>
              <w:left w:val="single" w:sz="24" w:space="0" w:color="FF0000"/>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0</w:t>
            </w:r>
            <w:r w:rsidRPr="00793B3A">
              <w:rPr>
                <w:rFonts w:ascii="Times New Roman" w:eastAsia="Times New Roman" w:hAnsi="Times New Roman" w:cs="Times New Roman"/>
                <w:color w:val="000000"/>
                <w:sz w:val="24"/>
                <w:szCs w:val="24"/>
                <w:lang w:eastAsia="fr-FR"/>
              </w:rPr>
              <w:t>,</w:t>
            </w:r>
            <w:r>
              <w:rPr>
                <w:rFonts w:ascii="Times New Roman" w:eastAsia="Times New Roman" w:hAnsi="Times New Roman" w:cs="Times New Roman"/>
                <w:color w:val="000000"/>
                <w:sz w:val="24"/>
                <w:szCs w:val="24"/>
                <w:lang w:eastAsia="fr-FR"/>
              </w:rPr>
              <w:t>79</w:t>
            </w:r>
            <w:r w:rsidRPr="00793B3A">
              <w:rPr>
                <w:rFonts w:ascii="Times New Roman" w:eastAsia="Times New Roman" w:hAnsi="Times New Roman" w:cs="Times New Roman"/>
                <w:color w:val="000000"/>
                <w:sz w:val="24"/>
                <w:szCs w:val="24"/>
                <w:lang w:eastAsia="fr-FR"/>
              </w:rPr>
              <w:t>%</w:t>
            </w:r>
          </w:p>
        </w:tc>
        <w:tc>
          <w:tcPr>
            <w:tcW w:w="1276" w:type="dxa"/>
            <w:tcBorders>
              <w:top w:val="nil"/>
              <w:left w:val="nil"/>
              <w:bottom w:val="single" w:sz="4" w:space="0" w:color="auto"/>
              <w:right w:val="single" w:sz="4" w:space="0" w:color="auto"/>
            </w:tcBorders>
            <w:shd w:val="clear" w:color="auto" w:fill="auto"/>
            <w:noWrap/>
            <w:vAlign w:val="center"/>
            <w:hideMark/>
          </w:tcPr>
          <w:p w:rsidR="00C121B0" w:rsidRPr="00793B3A" w:rsidRDefault="00C121B0" w:rsidP="00794BA6">
            <w:pPr>
              <w:spacing w:after="0" w:line="240" w:lineRule="auto"/>
              <w:jc w:val="center"/>
              <w:rPr>
                <w:rFonts w:ascii="Times New Roman" w:eastAsia="Times New Roman" w:hAnsi="Times New Roman" w:cs="Times New Roman"/>
                <w:color w:val="000000"/>
                <w:sz w:val="24"/>
                <w:szCs w:val="24"/>
                <w:lang w:eastAsia="fr-FR"/>
              </w:rPr>
            </w:pPr>
            <w:r w:rsidRPr="00793B3A">
              <w:rPr>
                <w:rFonts w:ascii="Times New Roman" w:eastAsia="Times New Roman" w:hAnsi="Times New Roman" w:cs="Times New Roman"/>
                <w:color w:val="000000"/>
                <w:sz w:val="24"/>
                <w:szCs w:val="24"/>
                <w:lang w:eastAsia="fr-FR"/>
              </w:rPr>
              <w:t>CR&lt;0.1</w:t>
            </w:r>
          </w:p>
        </w:tc>
      </w:tr>
    </w:tbl>
    <w:p w:rsidR="00C121B0" w:rsidRDefault="00C121B0" w:rsidP="00C222A9">
      <w:pPr>
        <w:pStyle w:val="fegure"/>
        <w:spacing w:before="240"/>
        <w:rPr>
          <w:rFonts w:asciiTheme="majorBidi" w:hAnsiTheme="majorBidi" w:cstheme="majorBidi"/>
          <w:szCs w:val="24"/>
          <w:rtl/>
          <w:lang w:val="en-US"/>
        </w:rPr>
      </w:pPr>
      <w:bookmarkStart w:id="679" w:name="_Toc157608339"/>
      <w:bookmarkStart w:id="680" w:name="_Toc171803697"/>
      <w:r w:rsidRPr="00ED1C8F">
        <w:rPr>
          <w:szCs w:val="24"/>
          <w:rtl/>
          <w:lang w:val="en-US"/>
        </w:rPr>
        <w:t>الشكل</w:t>
      </w:r>
      <w:r w:rsidRPr="00ED1C8F">
        <w:rPr>
          <w:rFonts w:hint="cs"/>
          <w:szCs w:val="24"/>
          <w:rtl/>
          <w:lang w:val="en-US"/>
        </w:rPr>
        <w:t xml:space="preserve"> (</w:t>
      </w:r>
      <w:r w:rsidR="00C60343" w:rsidRPr="00ED1C8F">
        <w:rPr>
          <w:rFonts w:hint="cs"/>
          <w:szCs w:val="24"/>
          <w:rtl/>
          <w:lang w:val="en-US"/>
        </w:rPr>
        <w:t>5-</w:t>
      </w:r>
      <w:r w:rsidR="00CF7134" w:rsidRPr="00ED1C8F">
        <w:rPr>
          <w:rFonts w:hint="cs"/>
          <w:szCs w:val="24"/>
          <w:rtl/>
          <w:lang w:val="en-US"/>
        </w:rPr>
        <w:t>7</w:t>
      </w:r>
      <w:r w:rsidRPr="00ED1C8F">
        <w:rPr>
          <w:rFonts w:hint="cs"/>
          <w:szCs w:val="24"/>
          <w:rtl/>
          <w:lang w:val="en-US"/>
        </w:rPr>
        <w:t>)</w:t>
      </w:r>
      <w:r w:rsidRPr="00ED1C8F">
        <w:rPr>
          <w:szCs w:val="24"/>
          <w:rtl/>
          <w:lang w:val="en-US"/>
        </w:rPr>
        <w:t xml:space="preserve">: </w:t>
      </w:r>
      <w:r w:rsidRPr="00ED1C8F">
        <w:rPr>
          <w:rFonts w:hint="cs"/>
          <w:szCs w:val="24"/>
          <w:rtl/>
          <w:lang w:val="en-US"/>
        </w:rPr>
        <w:t xml:space="preserve">مثال على </w:t>
      </w:r>
      <w:r w:rsidRPr="00ED1C8F">
        <w:rPr>
          <w:szCs w:val="24"/>
          <w:rtl/>
          <w:lang w:val="en-US"/>
        </w:rPr>
        <w:t xml:space="preserve">أولوية </w:t>
      </w:r>
      <w:r w:rsidRPr="00ED1C8F">
        <w:rPr>
          <w:rFonts w:hint="cs"/>
          <w:szCs w:val="24"/>
          <w:rtl/>
          <w:lang w:val="en-US"/>
        </w:rPr>
        <w:t>المعايير الفرعية</w:t>
      </w:r>
      <w:r w:rsidRPr="00ED1C8F">
        <w:rPr>
          <w:szCs w:val="24"/>
          <w:rtl/>
          <w:lang w:val="en-US"/>
        </w:rPr>
        <w:t xml:space="preserve"> المستمدة من المقارنات الزوجية</w:t>
      </w:r>
      <w:r w:rsidRPr="00ED1C8F">
        <w:rPr>
          <w:rFonts w:hint="cs"/>
          <w:szCs w:val="24"/>
          <w:rtl/>
          <w:lang w:val="en-US"/>
        </w:rPr>
        <w:t xml:space="preserve"> تحت المعيار </w:t>
      </w:r>
      <w:r w:rsidRPr="00ED1C8F">
        <w:rPr>
          <w:rFonts w:asciiTheme="majorBidi" w:hAnsiTheme="majorBidi" w:cstheme="majorBidi"/>
          <w:szCs w:val="24"/>
          <w:rtl/>
          <w:lang w:val="en-US"/>
        </w:rPr>
        <w:t>(</w:t>
      </w:r>
      <w:r w:rsidRPr="00ED1C8F">
        <w:rPr>
          <w:rFonts w:asciiTheme="majorBidi" w:eastAsia="Times New Roman" w:hAnsiTheme="majorBidi" w:cstheme="majorBidi"/>
          <w:color w:val="000000"/>
          <w:szCs w:val="24"/>
          <w:lang w:val="en-US" w:eastAsia="fr-FR"/>
        </w:rPr>
        <w:t>C1</w:t>
      </w:r>
      <w:r w:rsidRPr="00ED1C8F">
        <w:rPr>
          <w:rFonts w:asciiTheme="majorBidi" w:hAnsiTheme="majorBidi" w:cstheme="majorBidi"/>
          <w:szCs w:val="24"/>
          <w:rtl/>
          <w:lang w:val="en-US"/>
        </w:rPr>
        <w:t>)</w:t>
      </w:r>
      <w:bookmarkEnd w:id="679"/>
      <w:bookmarkEnd w:id="680"/>
    </w:p>
    <w:p w:rsidR="007A30E8" w:rsidRPr="007A30E8" w:rsidRDefault="007A30E8" w:rsidP="007A30E8">
      <w:pPr>
        <w:pStyle w:val="fegure"/>
        <w:rPr>
          <w:sz w:val="8"/>
          <w:szCs w:val="24"/>
          <w:rtl/>
          <w:lang w:val="en-US" w:bidi="ar-DZ"/>
        </w:rPr>
      </w:pPr>
      <w:bookmarkStart w:id="681" w:name="_Toc171803698"/>
      <w:r>
        <w:rPr>
          <w:rFonts w:hint="cs"/>
          <w:sz w:val="8"/>
          <w:szCs w:val="24"/>
          <w:rtl/>
          <w:lang w:val="en-US"/>
        </w:rPr>
        <w:t>المصدر: (الباحث، 2022)</w:t>
      </w:r>
      <w:bookmarkEnd w:id="681"/>
    </w:p>
    <w:p w:rsidR="00C121B0" w:rsidRDefault="00C121B0" w:rsidP="00D2343B">
      <w:pPr>
        <w:bidi/>
        <w:spacing w:line="240" w:lineRule="auto"/>
        <w:jc w:val="center"/>
        <w:rPr>
          <w:rFonts w:ascii="Simplified Arabic" w:hAnsi="Simplified Arabic" w:cs="Simplified Arabic"/>
          <w:sz w:val="24"/>
          <w:szCs w:val="24"/>
          <w:rtl/>
          <w:lang w:val="en-US"/>
        </w:rPr>
      </w:pPr>
      <w:r>
        <w:rPr>
          <w:rFonts w:ascii="Simplified Arabic" w:hAnsi="Simplified Arabic" w:cs="Simplified Arabic"/>
          <w:noProof/>
          <w:sz w:val="24"/>
          <w:szCs w:val="24"/>
          <w:lang w:eastAsia="fr-FR"/>
        </w:rPr>
        <w:drawing>
          <wp:inline distT="0" distB="0" distL="0" distR="0" wp14:anchorId="00166622" wp14:editId="7658D015">
            <wp:extent cx="2945901" cy="1863305"/>
            <wp:effectExtent l="0" t="0" r="6985" b="3810"/>
            <wp:docPr id="105" name="Imag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2967132" cy="1876734"/>
                    </a:xfrm>
                    <a:prstGeom prst="rect">
                      <a:avLst/>
                    </a:prstGeom>
                    <a:noFill/>
                  </pic:spPr>
                </pic:pic>
              </a:graphicData>
            </a:graphic>
          </wp:inline>
        </w:drawing>
      </w:r>
    </w:p>
    <w:p w:rsidR="00C121B0" w:rsidRDefault="00C121B0" w:rsidP="00C05812">
      <w:pPr>
        <w:tabs>
          <w:tab w:val="right" w:pos="282"/>
        </w:tabs>
        <w:bidi/>
        <w:spacing w:before="240" w:after="0"/>
        <w:ind w:firstLine="282"/>
        <w:jc w:val="both"/>
        <w:rPr>
          <w:rFonts w:ascii="Simplified Arabic" w:hAnsi="Simplified Arabic" w:cs="Simplified Arabic"/>
          <w:color w:val="000000" w:themeColor="text1"/>
          <w:sz w:val="24"/>
          <w:szCs w:val="24"/>
          <w:rtl/>
          <w:lang w:bidi="ar-DZ"/>
        </w:rPr>
      </w:pPr>
      <w:r w:rsidRPr="00F304CC">
        <w:rPr>
          <w:rFonts w:ascii="Simplified Arabic" w:hAnsi="Simplified Arabic" w:cs="Simplified Arabic"/>
          <w:color w:val="000000" w:themeColor="text1"/>
          <w:sz w:val="24"/>
          <w:szCs w:val="24"/>
          <w:rtl/>
          <w:lang w:bidi="ar-DZ"/>
        </w:rPr>
        <w:t>تم ترتيب المعايير الفرعية تنازليًا وفقًا للوزن والأهمية، لإعطاء صورة واضحة لأولوية المعايير الفرعية</w:t>
      </w:r>
      <w:r w:rsidRPr="00715A55">
        <w:rPr>
          <w:rFonts w:ascii="Simplified Arabic" w:hAnsi="Simplified Arabic" w:cs="Simplified Arabic"/>
          <w:color w:val="000000" w:themeColor="text1"/>
          <w:sz w:val="24"/>
          <w:szCs w:val="24"/>
          <w:rtl/>
          <w:lang w:bidi="ar-DZ"/>
        </w:rPr>
        <w:t xml:space="preserve"> </w:t>
      </w:r>
      <w:r w:rsidRPr="00F304CC">
        <w:rPr>
          <w:rFonts w:ascii="Simplified Arabic" w:hAnsi="Simplified Arabic" w:cs="Simplified Arabic"/>
          <w:color w:val="000000" w:themeColor="text1"/>
          <w:sz w:val="24"/>
          <w:szCs w:val="24"/>
          <w:rtl/>
          <w:lang w:bidi="ar-DZ"/>
        </w:rPr>
        <w:t xml:space="preserve">في </w:t>
      </w:r>
      <w:r>
        <w:rPr>
          <w:rFonts w:ascii="Simplified Arabic" w:hAnsi="Simplified Arabic" w:cs="Simplified Arabic" w:hint="cs"/>
          <w:color w:val="000000" w:themeColor="text1"/>
          <w:sz w:val="24"/>
          <w:szCs w:val="24"/>
          <w:rtl/>
          <w:lang w:bidi="ar-DZ"/>
        </w:rPr>
        <w:t xml:space="preserve">الجدول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14</w:t>
      </w:r>
      <w:r w:rsidR="00AF7197">
        <w:rPr>
          <w:rFonts w:ascii="Simplified Arabic" w:eastAsia="Times New Roman" w:hAnsi="Simplified Arabic" w:cs="Simplified Arabic" w:hint="cs"/>
          <w:b/>
          <w:sz w:val="24"/>
          <w:szCs w:val="24"/>
          <w:rtl/>
          <w:lang w:val="en-US" w:eastAsia="fr-FR"/>
        </w:rPr>
        <w:t>)</w:t>
      </w:r>
      <w:r w:rsidRPr="00F304CC">
        <w:rPr>
          <w:rFonts w:ascii="Simplified Arabic" w:hAnsi="Simplified Arabic" w:cs="Simplified Arabic"/>
          <w:color w:val="000000" w:themeColor="text1"/>
          <w:sz w:val="24"/>
          <w:szCs w:val="24"/>
          <w:rtl/>
          <w:lang w:bidi="ar-DZ"/>
        </w:rPr>
        <w:t xml:space="preserve">. يأتي المعيار الفرعي </w:t>
      </w:r>
      <w:r w:rsidRPr="00F304CC">
        <w:rPr>
          <w:rFonts w:ascii="Simplified Arabic" w:eastAsia="Times New Roman" w:hAnsi="Simplified Arabic" w:cs="Simplified Arabic"/>
          <w:color w:val="000000" w:themeColor="text1"/>
          <w:rtl/>
          <w:lang w:eastAsia="fr-FR"/>
        </w:rPr>
        <w:t>(</w:t>
      </w:r>
      <w:r w:rsidRPr="00385720">
        <w:rPr>
          <w:rFonts w:asciiTheme="majorBidi" w:eastAsia="Times New Roman" w:hAnsiTheme="majorBidi" w:cstheme="majorBidi"/>
          <w:color w:val="000000" w:themeColor="text1"/>
          <w:sz w:val="24"/>
          <w:szCs w:val="24"/>
          <w:lang w:eastAsia="fr-FR"/>
        </w:rPr>
        <w:t>C1</w:t>
      </w:r>
      <w:r w:rsidRPr="00F304CC">
        <w:rPr>
          <w:rFonts w:ascii="Simplified Arabic" w:eastAsia="Times New Roman" w:hAnsi="Simplified Arabic" w:cs="Simplified Arabic"/>
          <w:color w:val="000000" w:themeColor="text1"/>
          <w:lang w:eastAsia="fr-FR"/>
        </w:rPr>
        <w:t>-</w:t>
      </w:r>
      <w:r w:rsidRPr="00385720">
        <w:rPr>
          <w:rFonts w:ascii="Simplified Arabic" w:eastAsia="Times New Roman" w:hAnsi="Simplified Arabic" w:cs="Simplified Arabic"/>
          <w:color w:val="000000" w:themeColor="text1"/>
          <w:sz w:val="24"/>
          <w:szCs w:val="24"/>
          <w:lang w:eastAsia="fr-FR"/>
        </w:rPr>
        <w:t>3</w:t>
      </w:r>
      <w:r w:rsidRPr="00F304CC">
        <w:rPr>
          <w:rFonts w:ascii="Simplified Arabic" w:eastAsia="Times New Roman" w:hAnsi="Simplified Arabic" w:cs="Simplified Arabic"/>
          <w:color w:val="000000" w:themeColor="text1"/>
          <w:rtl/>
          <w:lang w:eastAsia="fr-FR"/>
        </w:rPr>
        <w:t>)</w:t>
      </w:r>
      <w:r w:rsidRPr="00F304CC">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ب</w:t>
      </w:r>
      <w:r w:rsidRPr="00F304CC">
        <w:rPr>
          <w:rFonts w:ascii="Simplified Arabic" w:hAnsi="Simplified Arabic" w:cs="Simplified Arabic"/>
          <w:color w:val="000000" w:themeColor="text1"/>
          <w:sz w:val="24"/>
          <w:szCs w:val="24"/>
          <w:rtl/>
          <w:lang w:bidi="ar-DZ"/>
        </w:rPr>
        <w:t>وزن اقل اهمية للمرونة حسب راي الخبراء</w:t>
      </w:r>
      <w:r>
        <w:rPr>
          <w:rFonts w:ascii="Simplified Arabic" w:hAnsi="Simplified Arabic" w:cs="Simplified Arabic" w:hint="cs"/>
          <w:color w:val="000000" w:themeColor="text1"/>
          <w:sz w:val="24"/>
          <w:szCs w:val="24"/>
          <w:rtl/>
          <w:lang w:bidi="ar-DZ"/>
        </w:rPr>
        <w:t xml:space="preserve"> </w:t>
      </w:r>
      <w:r w:rsidRPr="00F304CC">
        <w:rPr>
          <w:rFonts w:ascii="Simplified Arabic" w:hAnsi="Simplified Arabic" w:cs="Simplified Arabic"/>
          <w:color w:val="000000" w:themeColor="text1"/>
          <w:sz w:val="24"/>
          <w:szCs w:val="24"/>
          <w:rtl/>
          <w:lang w:bidi="ar-DZ"/>
        </w:rPr>
        <w:t>بنسبة (</w:t>
      </w:r>
      <w:r w:rsidRPr="00F304CC">
        <w:rPr>
          <w:rFonts w:ascii="Simplified Arabic" w:eastAsia="Times New Roman" w:hAnsi="Simplified Arabic" w:cs="Simplified Arabic"/>
          <w:color w:val="000000"/>
          <w:sz w:val="24"/>
          <w:szCs w:val="24"/>
          <w:lang w:eastAsia="fr-FR"/>
        </w:rPr>
        <w:t>16,38</w:t>
      </w:r>
      <w:r w:rsidRPr="00F304CC">
        <w:rPr>
          <w:rFonts w:ascii="Simplified Arabic" w:hAnsi="Simplified Arabic" w:cs="Simplified Arabic"/>
          <w:color w:val="000000" w:themeColor="text1"/>
          <w:sz w:val="24"/>
          <w:szCs w:val="24"/>
          <w:rtl/>
          <w:lang w:bidi="ar-DZ"/>
        </w:rPr>
        <w:t xml:space="preserve">٪)، يتوافق </w:t>
      </w:r>
      <w:r>
        <w:rPr>
          <w:rFonts w:ascii="Simplified Arabic" w:hAnsi="Simplified Arabic" w:cs="Simplified Arabic" w:hint="cs"/>
          <w:color w:val="000000" w:themeColor="text1"/>
          <w:sz w:val="24"/>
          <w:szCs w:val="24"/>
          <w:rtl/>
          <w:lang w:bidi="ar-DZ"/>
        </w:rPr>
        <w:t xml:space="preserve">ذلك </w:t>
      </w:r>
      <w:r w:rsidRPr="00F304CC">
        <w:rPr>
          <w:rFonts w:ascii="Simplified Arabic" w:hAnsi="Simplified Arabic" w:cs="Simplified Arabic"/>
          <w:color w:val="000000" w:themeColor="text1"/>
          <w:sz w:val="24"/>
          <w:szCs w:val="24"/>
          <w:rtl/>
          <w:lang w:bidi="ar-DZ"/>
        </w:rPr>
        <w:t xml:space="preserve">مع مخاوفهم من المسافة </w:t>
      </w:r>
      <w:r>
        <w:rPr>
          <w:rFonts w:ascii="Simplified Arabic" w:hAnsi="Simplified Arabic" w:cs="Simplified Arabic" w:hint="cs"/>
          <w:color w:val="000000" w:themeColor="text1"/>
          <w:sz w:val="24"/>
          <w:szCs w:val="24"/>
          <w:rtl/>
          <w:lang w:bidi="ar-DZ"/>
        </w:rPr>
        <w:t>بين اماكن المصابين والمراكز الصحية</w:t>
      </w:r>
      <w:r w:rsidRPr="001C47F1">
        <w:rPr>
          <w:rFonts w:ascii="Simplified Arabic" w:hAnsi="Simplified Arabic" w:cs="Simplified Arabic"/>
          <w:color w:val="000000" w:themeColor="text1"/>
          <w:sz w:val="24"/>
          <w:szCs w:val="24"/>
          <w:rtl/>
          <w:lang w:bidi="ar-DZ"/>
        </w:rPr>
        <w:t xml:space="preserve"> </w:t>
      </w:r>
      <w:r w:rsidRPr="00F304CC">
        <w:rPr>
          <w:rFonts w:ascii="Simplified Arabic" w:hAnsi="Simplified Arabic" w:cs="Simplified Arabic"/>
          <w:color w:val="000000" w:themeColor="text1"/>
          <w:sz w:val="24"/>
          <w:szCs w:val="24"/>
          <w:rtl/>
          <w:lang w:bidi="ar-DZ"/>
        </w:rPr>
        <w:t xml:space="preserve">والوقت المستغرق لإجلاء واسعاف </w:t>
      </w:r>
      <w:r>
        <w:rPr>
          <w:rFonts w:ascii="Simplified Arabic" w:hAnsi="Simplified Arabic" w:cs="Simplified Arabic" w:hint="cs"/>
          <w:color w:val="000000" w:themeColor="text1"/>
          <w:sz w:val="24"/>
          <w:szCs w:val="24"/>
          <w:rtl/>
          <w:lang w:bidi="ar-DZ"/>
        </w:rPr>
        <w:t>المصابين</w:t>
      </w:r>
      <w:r w:rsidRPr="00F304CC">
        <w:rPr>
          <w:rFonts w:ascii="Simplified Arabic" w:hAnsi="Simplified Arabic" w:cs="Simplified Arabic"/>
          <w:color w:val="000000" w:themeColor="text1"/>
          <w:sz w:val="24"/>
          <w:szCs w:val="24"/>
          <w:rtl/>
          <w:lang w:bidi="ar-DZ"/>
        </w:rPr>
        <w:t>، مما يقلل من قدرة الاستجابة اثناء الا</w:t>
      </w:r>
      <w:r>
        <w:rPr>
          <w:rFonts w:ascii="Simplified Arabic" w:hAnsi="Simplified Arabic" w:cs="Simplified Arabic"/>
          <w:color w:val="000000" w:themeColor="text1"/>
          <w:sz w:val="24"/>
          <w:szCs w:val="24"/>
          <w:rtl/>
          <w:lang w:bidi="ar-DZ"/>
        </w:rPr>
        <w:t>زمات</w:t>
      </w:r>
      <w:r w:rsidRPr="00F304CC">
        <w:rPr>
          <w:rFonts w:ascii="Simplified Arabic" w:hAnsi="Simplified Arabic" w:cs="Simplified Arabic"/>
          <w:color w:val="000000" w:themeColor="text1"/>
          <w:sz w:val="24"/>
          <w:szCs w:val="24"/>
          <w:rtl/>
          <w:lang w:bidi="ar-DZ"/>
        </w:rPr>
        <w:t xml:space="preserve">، يليه المعيار الفرعي </w:t>
      </w:r>
      <w:r w:rsidRPr="00F304CC">
        <w:rPr>
          <w:rFonts w:ascii="Simplified Arabic" w:eastAsia="Times New Roman" w:hAnsi="Simplified Arabic" w:cs="Simplified Arabic"/>
          <w:color w:val="000000" w:themeColor="text1"/>
          <w:sz w:val="24"/>
          <w:szCs w:val="24"/>
          <w:rtl/>
          <w:lang w:eastAsia="fr-FR"/>
        </w:rPr>
        <w:t>(</w:t>
      </w:r>
      <w:r w:rsidRPr="00385720">
        <w:rPr>
          <w:rFonts w:asciiTheme="majorBidi" w:eastAsia="Times New Roman" w:hAnsiTheme="majorBidi" w:cstheme="majorBidi"/>
          <w:color w:val="000000" w:themeColor="text1"/>
          <w:sz w:val="24"/>
          <w:szCs w:val="24"/>
          <w:lang w:eastAsia="fr-FR"/>
        </w:rPr>
        <w:t>C1</w:t>
      </w:r>
      <w:r w:rsidRPr="00F304CC">
        <w:rPr>
          <w:rFonts w:ascii="Simplified Arabic" w:eastAsia="Times New Roman" w:hAnsi="Simplified Arabic" w:cs="Simplified Arabic"/>
          <w:color w:val="000000" w:themeColor="text1"/>
          <w:sz w:val="24"/>
          <w:szCs w:val="24"/>
          <w:lang w:eastAsia="fr-FR"/>
        </w:rPr>
        <w:t>-2</w:t>
      </w:r>
      <w:r w:rsidRPr="00F304CC">
        <w:rPr>
          <w:rFonts w:ascii="Simplified Arabic" w:eastAsia="Times New Roman" w:hAnsi="Simplified Arabic" w:cs="Simplified Arabic"/>
          <w:color w:val="000000" w:themeColor="text1"/>
          <w:sz w:val="24"/>
          <w:szCs w:val="24"/>
          <w:rtl/>
          <w:lang w:eastAsia="fr-FR"/>
        </w:rPr>
        <w:t>)</w:t>
      </w:r>
      <w:r w:rsidRPr="00F304CC">
        <w:rPr>
          <w:rFonts w:ascii="Simplified Arabic" w:hAnsi="Simplified Arabic" w:cs="Simplified Arabic"/>
          <w:color w:val="000000" w:themeColor="text1"/>
          <w:sz w:val="24"/>
          <w:szCs w:val="24"/>
          <w:rtl/>
          <w:lang w:bidi="ar-DZ"/>
        </w:rPr>
        <w:t xml:space="preserve"> بنسبة (</w:t>
      </w:r>
      <w:r>
        <w:rPr>
          <w:rFonts w:ascii="Simplified Arabic" w:eastAsia="Times New Roman" w:hAnsi="Simplified Arabic" w:cs="Simplified Arabic"/>
          <w:color w:val="000000"/>
          <w:sz w:val="24"/>
          <w:szCs w:val="24"/>
          <w:lang w:eastAsia="fr-FR"/>
        </w:rPr>
        <w:t>29</w:t>
      </w:r>
      <w:r w:rsidRPr="00F304CC">
        <w:rPr>
          <w:rFonts w:ascii="Simplified Arabic" w:eastAsia="Times New Roman" w:hAnsi="Simplified Arabic" w:cs="Simplified Arabic"/>
          <w:color w:val="000000"/>
          <w:sz w:val="24"/>
          <w:szCs w:val="24"/>
          <w:lang w:eastAsia="fr-FR"/>
        </w:rPr>
        <w:t>,</w:t>
      </w:r>
      <w:r>
        <w:rPr>
          <w:rFonts w:ascii="Simplified Arabic" w:eastAsia="Times New Roman" w:hAnsi="Simplified Arabic" w:cs="Simplified Arabic"/>
          <w:color w:val="000000"/>
          <w:sz w:val="24"/>
          <w:szCs w:val="24"/>
          <w:lang w:eastAsia="fr-FR"/>
        </w:rPr>
        <w:t>73</w:t>
      </w:r>
      <w:r w:rsidRPr="00F304CC">
        <w:rPr>
          <w:rFonts w:ascii="Simplified Arabic" w:hAnsi="Simplified Arabic" w:cs="Simplified Arabic"/>
          <w:color w:val="000000" w:themeColor="text1"/>
          <w:sz w:val="24"/>
          <w:szCs w:val="24"/>
          <w:rtl/>
          <w:lang w:bidi="ar-DZ"/>
        </w:rPr>
        <w:t xml:space="preserve">٪)، وأخيراً المعيار الفرعي </w:t>
      </w:r>
      <w:r w:rsidRPr="00F304CC">
        <w:rPr>
          <w:rFonts w:ascii="Simplified Arabic" w:eastAsia="Times New Roman" w:hAnsi="Simplified Arabic" w:cs="Simplified Arabic"/>
          <w:color w:val="000000" w:themeColor="text1"/>
          <w:sz w:val="24"/>
          <w:szCs w:val="24"/>
          <w:rtl/>
          <w:lang w:eastAsia="fr-FR"/>
        </w:rPr>
        <w:t>(</w:t>
      </w:r>
      <w:r w:rsidRPr="00385720">
        <w:rPr>
          <w:rFonts w:asciiTheme="majorBidi" w:eastAsia="Times New Roman" w:hAnsiTheme="majorBidi" w:cstheme="majorBidi"/>
          <w:color w:val="000000" w:themeColor="text1"/>
          <w:sz w:val="24"/>
          <w:szCs w:val="24"/>
          <w:lang w:eastAsia="fr-FR"/>
        </w:rPr>
        <w:t>C1</w:t>
      </w:r>
      <w:r w:rsidRPr="00F304CC">
        <w:rPr>
          <w:rFonts w:ascii="Simplified Arabic" w:eastAsia="Times New Roman" w:hAnsi="Simplified Arabic" w:cs="Simplified Arabic"/>
          <w:color w:val="000000" w:themeColor="text1"/>
          <w:sz w:val="24"/>
          <w:szCs w:val="24"/>
          <w:lang w:eastAsia="fr-FR"/>
        </w:rPr>
        <w:t>-</w:t>
      </w:r>
      <w:r>
        <w:rPr>
          <w:rFonts w:ascii="Simplified Arabic" w:eastAsia="Times New Roman" w:hAnsi="Simplified Arabic" w:cs="Simplified Arabic"/>
          <w:color w:val="000000" w:themeColor="text1"/>
          <w:sz w:val="24"/>
          <w:szCs w:val="24"/>
          <w:lang w:eastAsia="fr-FR"/>
        </w:rPr>
        <w:t>1</w:t>
      </w:r>
      <w:r w:rsidRPr="00F304CC">
        <w:rPr>
          <w:rFonts w:ascii="Simplified Arabic" w:eastAsia="Times New Roman" w:hAnsi="Simplified Arabic" w:cs="Simplified Arabic"/>
          <w:color w:val="000000" w:themeColor="text1"/>
          <w:sz w:val="24"/>
          <w:szCs w:val="24"/>
          <w:rtl/>
          <w:lang w:eastAsia="fr-FR"/>
        </w:rPr>
        <w:t>)</w:t>
      </w:r>
      <w:r w:rsidRPr="00F304CC">
        <w:rPr>
          <w:rFonts w:ascii="Simplified Arabic" w:hAnsi="Simplified Arabic" w:cs="Simplified Arabic"/>
          <w:color w:val="000000" w:themeColor="text1"/>
          <w:sz w:val="24"/>
          <w:szCs w:val="24"/>
          <w:rtl/>
          <w:lang w:bidi="ar-DZ"/>
        </w:rPr>
        <w:t xml:space="preserve"> يمثل المعيار </w:t>
      </w:r>
      <w:r>
        <w:rPr>
          <w:rFonts w:ascii="Simplified Arabic" w:hAnsi="Simplified Arabic" w:cs="Simplified Arabic" w:hint="cs"/>
          <w:color w:val="000000" w:themeColor="text1"/>
          <w:sz w:val="24"/>
          <w:szCs w:val="24"/>
          <w:rtl/>
          <w:lang w:bidi="ar-DZ"/>
        </w:rPr>
        <w:t xml:space="preserve">الفرعي </w:t>
      </w:r>
      <w:r w:rsidRPr="00F304CC">
        <w:rPr>
          <w:rFonts w:ascii="Simplified Arabic" w:hAnsi="Simplified Arabic" w:cs="Simplified Arabic"/>
          <w:color w:val="000000" w:themeColor="text1"/>
          <w:sz w:val="24"/>
          <w:szCs w:val="24"/>
          <w:rtl/>
          <w:lang w:bidi="ar-DZ"/>
        </w:rPr>
        <w:t>الأ</w:t>
      </w:r>
      <w:r>
        <w:rPr>
          <w:rFonts w:ascii="Simplified Arabic" w:hAnsi="Simplified Arabic" w:cs="Simplified Arabic" w:hint="cs"/>
          <w:color w:val="000000" w:themeColor="text1"/>
          <w:sz w:val="24"/>
          <w:szCs w:val="24"/>
          <w:rtl/>
          <w:lang w:bidi="ar-DZ"/>
        </w:rPr>
        <w:t>كثر</w:t>
      </w:r>
      <w:r w:rsidRPr="00F304CC">
        <w:rPr>
          <w:rFonts w:ascii="Simplified Arabic" w:hAnsi="Simplified Arabic" w:cs="Simplified Arabic"/>
          <w:color w:val="000000" w:themeColor="text1"/>
          <w:sz w:val="24"/>
          <w:szCs w:val="24"/>
          <w:rtl/>
          <w:lang w:bidi="ar-DZ"/>
        </w:rPr>
        <w:t xml:space="preserve"> أهمية بنسبة </w:t>
      </w:r>
      <w:r>
        <w:rPr>
          <w:rFonts w:ascii="Simplified Arabic" w:hAnsi="Simplified Arabic" w:cs="Simplified Arabic"/>
          <w:color w:val="000000" w:themeColor="text1"/>
          <w:sz w:val="24"/>
          <w:szCs w:val="24"/>
          <w:lang w:bidi="ar-DZ"/>
        </w:rPr>
        <w:t>53</w:t>
      </w:r>
      <w:r w:rsidRPr="00F304CC">
        <w:rPr>
          <w:rFonts w:ascii="Simplified Arabic" w:hAnsi="Simplified Arabic" w:cs="Simplified Arabic"/>
          <w:color w:val="000000" w:themeColor="text1"/>
          <w:sz w:val="24"/>
          <w:szCs w:val="24"/>
          <w:lang w:bidi="ar-DZ"/>
        </w:rPr>
        <w:t>,</w:t>
      </w:r>
      <w:r>
        <w:rPr>
          <w:rFonts w:ascii="Simplified Arabic" w:hAnsi="Simplified Arabic" w:cs="Simplified Arabic"/>
          <w:color w:val="000000" w:themeColor="text1"/>
          <w:sz w:val="24"/>
          <w:szCs w:val="24"/>
          <w:lang w:bidi="ar-DZ"/>
        </w:rPr>
        <w:t>90</w:t>
      </w:r>
      <w:r w:rsidRPr="00F304CC">
        <w:rPr>
          <w:rFonts w:ascii="Simplified Arabic" w:hAnsi="Simplified Arabic" w:cs="Simplified Arabic"/>
          <w:color w:val="000000" w:themeColor="text1"/>
          <w:sz w:val="24"/>
          <w:szCs w:val="24"/>
          <w:lang w:bidi="ar-DZ"/>
        </w:rPr>
        <w:t>)</w:t>
      </w:r>
      <w:r w:rsidRPr="00F304CC">
        <w:rPr>
          <w:rFonts w:ascii="Simplified Arabic" w:hAnsi="Simplified Arabic" w:cs="Simplified Arabic"/>
          <w:color w:val="000000" w:themeColor="text1"/>
          <w:sz w:val="24"/>
          <w:szCs w:val="24"/>
          <w:rtl/>
          <w:lang w:bidi="ar-DZ"/>
        </w:rPr>
        <w:t>٪</w:t>
      </w:r>
      <w:r w:rsidRPr="00F304CC">
        <w:rPr>
          <w:rFonts w:ascii="Simplified Arabic" w:hAnsi="Simplified Arabic" w:cs="Simplified Arabic"/>
          <w:color w:val="000000" w:themeColor="text1"/>
          <w:sz w:val="24"/>
          <w:szCs w:val="24"/>
          <w:lang w:bidi="ar-DZ"/>
        </w:rPr>
        <w:t>(</w:t>
      </w:r>
      <w:r>
        <w:rPr>
          <w:rFonts w:ascii="Simplified Arabic" w:hAnsi="Simplified Arabic" w:cs="Simplified Arabic" w:hint="cs"/>
          <w:color w:val="000000" w:themeColor="text1"/>
          <w:sz w:val="24"/>
          <w:szCs w:val="24"/>
          <w:rtl/>
          <w:lang w:bidi="ar-DZ"/>
        </w:rPr>
        <w:t>، هذا يمنح المصابين فرصة اكثر للنجاة</w:t>
      </w:r>
      <w:r w:rsidRPr="00F304CC">
        <w:rPr>
          <w:rFonts w:ascii="Simplified Arabic" w:hAnsi="Simplified Arabic" w:cs="Simplified Arabic"/>
          <w:color w:val="000000" w:themeColor="text1"/>
          <w:sz w:val="24"/>
          <w:szCs w:val="24"/>
          <w:rtl/>
          <w:lang w:bidi="ar-DZ"/>
        </w:rPr>
        <w:t>.</w:t>
      </w:r>
    </w:p>
    <w:p w:rsidR="00C121B0" w:rsidRDefault="00C121B0" w:rsidP="00C222A9">
      <w:pPr>
        <w:pStyle w:val="Tableau"/>
        <w:spacing w:before="0"/>
        <w:rPr>
          <w:rtl/>
          <w:lang w:val="en-US" w:bidi="ar-DZ"/>
        </w:rPr>
      </w:pPr>
      <w:bookmarkStart w:id="682" w:name="_Toc157613004"/>
      <w:bookmarkStart w:id="683" w:name="_Toc171803699"/>
      <w:r w:rsidRPr="00C113B2">
        <w:rPr>
          <w:rtl/>
          <w:lang w:val="en-US"/>
        </w:rPr>
        <w:lastRenderedPageBreak/>
        <w:t xml:space="preserve">الجدول </w:t>
      </w:r>
      <w:r w:rsidR="00AF7197">
        <w:rPr>
          <w:rFonts w:eastAsia="Times New Roman" w:hint="cs"/>
          <w:rtl/>
          <w:lang w:val="en-US" w:eastAsia="fr-FR"/>
        </w:rPr>
        <w:t>(5-</w:t>
      </w:r>
      <w:r w:rsidR="00C05812">
        <w:rPr>
          <w:rFonts w:eastAsia="Times New Roman" w:hint="cs"/>
          <w:rtl/>
          <w:lang w:val="en-US" w:eastAsia="fr-FR"/>
        </w:rPr>
        <w:t>14</w:t>
      </w:r>
      <w:r w:rsidR="00AF7197">
        <w:rPr>
          <w:rFonts w:eastAsia="Times New Roman" w:hint="cs"/>
          <w:rtl/>
          <w:lang w:val="en-US" w:eastAsia="fr-FR"/>
        </w:rPr>
        <w:t>)</w:t>
      </w:r>
      <w:r>
        <w:rPr>
          <w:rFonts w:hint="cs"/>
          <w:rtl/>
          <w:lang w:val="en-US"/>
        </w:rPr>
        <w:t>:</w:t>
      </w:r>
      <w:r w:rsidRPr="00C113B2">
        <w:rPr>
          <w:rtl/>
          <w:lang w:val="en-US"/>
        </w:rPr>
        <w:t xml:space="preserve"> نتائج تقييمات</w:t>
      </w:r>
      <w:r w:rsidRPr="00C113B2">
        <w:rPr>
          <w:lang w:val="en-US"/>
        </w:rPr>
        <w:t xml:space="preserve"> </w:t>
      </w:r>
      <w:r w:rsidRPr="00C113B2">
        <w:rPr>
          <w:rFonts w:ascii="Times New Roman" w:eastAsia="Times New Roman" w:hAnsi="Times New Roman" w:cs="Times New Roman"/>
          <w:color w:val="000000"/>
          <w:lang w:val="en-US" w:eastAsia="fr-FR"/>
        </w:rPr>
        <w:t>AHP</w:t>
      </w:r>
      <w:r w:rsidRPr="00C113B2">
        <w:rPr>
          <w:sz w:val="32"/>
          <w:szCs w:val="32"/>
          <w:lang w:val="en-US"/>
        </w:rPr>
        <w:t xml:space="preserve"> </w:t>
      </w:r>
      <w:r w:rsidRPr="00C113B2">
        <w:rPr>
          <w:rtl/>
          <w:lang w:val="en-US"/>
        </w:rPr>
        <w:t>للمعايير والمعايير الفرعية</w:t>
      </w:r>
      <w:r w:rsidRPr="00C113B2">
        <w:rPr>
          <w:rtl/>
          <w:lang w:val="en-US" w:bidi="ar-DZ"/>
        </w:rPr>
        <w:t xml:space="preserve"> لقياس المرونة الحضرية</w:t>
      </w:r>
      <w:bookmarkEnd w:id="682"/>
      <w:bookmarkEnd w:id="683"/>
    </w:p>
    <w:p w:rsidR="007A30E8" w:rsidRPr="007A30E8" w:rsidRDefault="007A30E8" w:rsidP="007A30E8">
      <w:pPr>
        <w:pStyle w:val="fegure"/>
        <w:rPr>
          <w:sz w:val="8"/>
          <w:szCs w:val="24"/>
          <w:rtl/>
          <w:lang w:val="en-US" w:bidi="ar-DZ"/>
        </w:rPr>
      </w:pPr>
      <w:bookmarkStart w:id="684" w:name="_Toc171803700"/>
      <w:r>
        <w:rPr>
          <w:rFonts w:hint="cs"/>
          <w:sz w:val="8"/>
          <w:szCs w:val="24"/>
          <w:rtl/>
          <w:lang w:val="en-US"/>
        </w:rPr>
        <w:t>المصدر: (الباحث، 2022)</w:t>
      </w:r>
      <w:bookmarkEnd w:id="684"/>
    </w:p>
    <w:tbl>
      <w:tblPr>
        <w:tblW w:w="6892" w:type="dxa"/>
        <w:jc w:val="center"/>
        <w:tblInd w:w="183" w:type="dxa"/>
        <w:tblLayout w:type="fixed"/>
        <w:tblCellMar>
          <w:left w:w="70" w:type="dxa"/>
          <w:right w:w="70" w:type="dxa"/>
        </w:tblCellMar>
        <w:tblLook w:val="04A0" w:firstRow="1" w:lastRow="0" w:firstColumn="1" w:lastColumn="0" w:noHBand="0" w:noVBand="1"/>
      </w:tblPr>
      <w:tblGrid>
        <w:gridCol w:w="709"/>
        <w:gridCol w:w="1139"/>
        <w:gridCol w:w="567"/>
        <w:gridCol w:w="933"/>
        <w:gridCol w:w="1418"/>
        <w:gridCol w:w="1516"/>
        <w:gridCol w:w="610"/>
      </w:tblGrid>
      <w:tr w:rsidR="00C121B0" w:rsidRPr="00010178" w:rsidTr="007D73C8">
        <w:trPr>
          <w:trHeight w:val="465"/>
          <w:jc w:val="center"/>
        </w:trPr>
        <w:tc>
          <w:tcPr>
            <w:tcW w:w="709" w:type="dxa"/>
            <w:tcBorders>
              <w:top w:val="single" w:sz="8" w:space="0" w:color="auto"/>
              <w:left w:val="single" w:sz="8" w:space="0" w:color="auto"/>
              <w:bottom w:val="single" w:sz="8" w:space="0" w:color="auto"/>
              <w:right w:val="nil"/>
            </w:tcBorders>
            <w:shd w:val="clear" w:color="auto" w:fill="auto"/>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Criteria</w:t>
            </w:r>
          </w:p>
        </w:tc>
        <w:tc>
          <w:tcPr>
            <w:tcW w:w="1139" w:type="dxa"/>
            <w:tcBorders>
              <w:top w:val="single" w:sz="8" w:space="0" w:color="auto"/>
              <w:left w:val="single" w:sz="8" w:space="0" w:color="auto"/>
              <w:bottom w:val="single" w:sz="8" w:space="0" w:color="auto"/>
              <w:right w:val="nil"/>
            </w:tcBorders>
            <w:shd w:val="clear" w:color="auto" w:fill="auto"/>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Final weight (%)</w:t>
            </w:r>
          </w:p>
        </w:tc>
        <w:tc>
          <w:tcPr>
            <w:tcW w:w="567" w:type="dxa"/>
            <w:tcBorders>
              <w:top w:val="single" w:sz="8" w:space="0" w:color="auto"/>
              <w:left w:val="single" w:sz="8" w:space="0" w:color="auto"/>
              <w:bottom w:val="single" w:sz="8" w:space="0" w:color="auto"/>
              <w:right w:val="nil"/>
            </w:tcBorders>
            <w:shd w:val="clear" w:color="auto" w:fill="auto"/>
            <w:vAlign w:val="center"/>
            <w:hideMark/>
          </w:tcPr>
          <w:p w:rsidR="00C121B0" w:rsidRPr="00010178" w:rsidRDefault="00C121B0" w:rsidP="00794BA6">
            <w:pPr>
              <w:bidi/>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Rank</w:t>
            </w:r>
          </w:p>
        </w:tc>
        <w:tc>
          <w:tcPr>
            <w:tcW w:w="933" w:type="dxa"/>
            <w:tcBorders>
              <w:top w:val="single" w:sz="8" w:space="0" w:color="auto"/>
              <w:left w:val="single" w:sz="8" w:space="0" w:color="auto"/>
              <w:bottom w:val="single" w:sz="4" w:space="0" w:color="auto"/>
              <w:right w:val="single" w:sz="8" w:space="0" w:color="auto"/>
            </w:tcBorders>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Sub-Criteria</w:t>
            </w:r>
          </w:p>
        </w:tc>
        <w:tc>
          <w:tcPr>
            <w:tcW w:w="1418"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Values of Sub-Criteria</w:t>
            </w:r>
          </w:p>
        </w:tc>
        <w:tc>
          <w:tcPr>
            <w:tcW w:w="1516" w:type="dxa"/>
            <w:tcBorders>
              <w:top w:val="single" w:sz="8" w:space="0" w:color="auto"/>
              <w:left w:val="single" w:sz="8" w:space="0" w:color="000000"/>
              <w:bottom w:val="single" w:sz="4" w:space="0" w:color="auto"/>
              <w:right w:val="single" w:sz="8" w:space="0" w:color="000000"/>
            </w:tcBorders>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Weight of Sub-Criteria (%)</w:t>
            </w:r>
          </w:p>
        </w:tc>
        <w:tc>
          <w:tcPr>
            <w:tcW w:w="610" w:type="dxa"/>
            <w:tcBorders>
              <w:top w:val="single" w:sz="8" w:space="0" w:color="auto"/>
              <w:left w:val="nil"/>
              <w:bottom w:val="single" w:sz="8" w:space="0" w:color="auto"/>
              <w:right w:val="single" w:sz="8" w:space="0" w:color="auto"/>
            </w:tcBorders>
            <w:shd w:val="clear" w:color="auto" w:fill="auto"/>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Rank</w:t>
            </w:r>
          </w:p>
        </w:tc>
      </w:tr>
      <w:tr w:rsidR="00C121B0" w:rsidRPr="00010178" w:rsidTr="007D73C8">
        <w:trPr>
          <w:trHeight w:val="50"/>
          <w:jc w:val="center"/>
        </w:trPr>
        <w:tc>
          <w:tcPr>
            <w:tcW w:w="709" w:type="dxa"/>
            <w:vMerge w:val="restart"/>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C1</w:t>
            </w:r>
          </w:p>
        </w:tc>
        <w:tc>
          <w:tcPr>
            <w:tcW w:w="1139" w:type="dxa"/>
            <w:vMerge w:val="restart"/>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hAnsiTheme="majorBidi" w:cstheme="majorBidi"/>
                <w:color w:val="000000"/>
                <w:sz w:val="20"/>
                <w:szCs w:val="20"/>
              </w:rPr>
            </w:pPr>
            <w:r w:rsidRPr="00010178">
              <w:rPr>
                <w:rFonts w:asciiTheme="majorBidi" w:hAnsiTheme="majorBidi" w:cstheme="majorBidi"/>
                <w:color w:val="000000"/>
                <w:sz w:val="20"/>
                <w:szCs w:val="20"/>
                <w:rtl/>
              </w:rPr>
              <w:t>20,79</w:t>
            </w:r>
          </w:p>
        </w:tc>
        <w:tc>
          <w:tcPr>
            <w:tcW w:w="567" w:type="dxa"/>
            <w:vMerge w:val="restart"/>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1</w:t>
            </w: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C1-1</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&lt;</w:t>
            </w:r>
            <w:r w:rsidRPr="00010178">
              <w:rPr>
                <w:rFonts w:asciiTheme="majorBidi" w:eastAsia="Times New Roman" w:hAnsiTheme="majorBidi" w:cstheme="majorBidi"/>
                <w:color w:val="000000"/>
                <w:sz w:val="20"/>
                <w:szCs w:val="20"/>
                <w:rtl/>
                <w:lang w:eastAsia="fr-FR"/>
              </w:rPr>
              <w:t>800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11,21</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C1-2</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800</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200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6,18</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5</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8"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C1-3</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&gt;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200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8"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3,41</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12</w:t>
            </w:r>
          </w:p>
        </w:tc>
      </w:tr>
      <w:tr w:rsidR="00C121B0" w:rsidRPr="00010178" w:rsidTr="007D73C8">
        <w:trPr>
          <w:trHeight w:val="50"/>
          <w:jc w:val="center"/>
        </w:trPr>
        <w:tc>
          <w:tcPr>
            <w:tcW w:w="709" w:type="dxa"/>
            <w:vMerge w:val="restart"/>
            <w:tcBorders>
              <w:top w:val="nil"/>
              <w:left w:val="single" w:sz="8" w:space="0" w:color="auto"/>
              <w:bottom w:val="single" w:sz="8" w:space="0" w:color="000000"/>
              <w:right w:val="nil"/>
            </w:tcBorders>
            <w:shd w:val="clear" w:color="auto" w:fill="D9D9D9" w:themeFill="background1" w:themeFillShade="D9"/>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C2</w:t>
            </w:r>
          </w:p>
        </w:tc>
        <w:tc>
          <w:tcPr>
            <w:tcW w:w="1139" w:type="dxa"/>
            <w:vMerge w:val="restart"/>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12,49</w:t>
            </w:r>
          </w:p>
        </w:tc>
        <w:tc>
          <w:tcPr>
            <w:tcW w:w="567" w:type="dxa"/>
            <w:vMerge w:val="restart"/>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C121B0" w:rsidRPr="00010178" w:rsidRDefault="00C121B0" w:rsidP="00794BA6">
            <w:pPr>
              <w:bidi/>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4</w:t>
            </w:r>
          </w:p>
        </w:tc>
        <w:tc>
          <w:tcPr>
            <w:tcW w:w="933"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2</w:t>
            </w:r>
            <w:r w:rsidRPr="00010178">
              <w:rPr>
                <w:rFonts w:asciiTheme="majorBidi" w:eastAsia="Times New Roman" w:hAnsiTheme="majorBidi" w:cstheme="majorBidi"/>
                <w:color w:val="000000"/>
                <w:sz w:val="20"/>
                <w:szCs w:val="20"/>
                <w:lang w:eastAsia="fr-FR"/>
              </w:rPr>
              <w:t>-1</w:t>
            </w:r>
          </w:p>
        </w:tc>
        <w:tc>
          <w:tcPr>
            <w:tcW w:w="141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&lt;2,000 m</w:t>
            </w:r>
          </w:p>
        </w:tc>
        <w:tc>
          <w:tcPr>
            <w:tcW w:w="151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6,73</w:t>
            </w:r>
          </w:p>
        </w:tc>
        <w:tc>
          <w:tcPr>
            <w:tcW w:w="61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4</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2</w:t>
            </w:r>
            <w:r w:rsidRPr="00010178">
              <w:rPr>
                <w:rFonts w:asciiTheme="majorBidi" w:eastAsia="Times New Roman" w:hAnsiTheme="majorBidi" w:cstheme="majorBidi"/>
                <w:color w:val="000000"/>
                <w:sz w:val="20"/>
                <w:szCs w:val="20"/>
                <w:lang w:eastAsia="fr-FR"/>
              </w:rPr>
              <w:t>-2</w:t>
            </w:r>
          </w:p>
        </w:tc>
        <w:tc>
          <w:tcPr>
            <w:tcW w:w="141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2,000–3,000 m</w:t>
            </w:r>
          </w:p>
        </w:tc>
        <w:tc>
          <w:tcPr>
            <w:tcW w:w="151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3,71</w:t>
            </w:r>
          </w:p>
        </w:tc>
        <w:tc>
          <w:tcPr>
            <w:tcW w:w="61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11</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2</w:t>
            </w:r>
            <w:r w:rsidRPr="00010178">
              <w:rPr>
                <w:rFonts w:asciiTheme="majorBidi" w:eastAsia="Times New Roman" w:hAnsiTheme="majorBidi" w:cstheme="majorBidi"/>
                <w:color w:val="000000"/>
                <w:sz w:val="20"/>
                <w:szCs w:val="20"/>
                <w:lang w:eastAsia="fr-FR"/>
              </w:rPr>
              <w:t>-3</w:t>
            </w:r>
          </w:p>
        </w:tc>
        <w:tc>
          <w:tcPr>
            <w:tcW w:w="1418" w:type="dxa"/>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&gt;3,000 m</w:t>
            </w:r>
          </w:p>
        </w:tc>
        <w:tc>
          <w:tcPr>
            <w:tcW w:w="1516"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2,05</w:t>
            </w:r>
          </w:p>
        </w:tc>
        <w:tc>
          <w:tcPr>
            <w:tcW w:w="61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18</w:t>
            </w:r>
          </w:p>
        </w:tc>
      </w:tr>
      <w:tr w:rsidR="00C121B0" w:rsidRPr="00010178" w:rsidTr="007D73C8">
        <w:trPr>
          <w:trHeight w:val="50"/>
          <w:jc w:val="center"/>
        </w:trPr>
        <w:tc>
          <w:tcPr>
            <w:tcW w:w="709" w:type="dxa"/>
            <w:vMerge w:val="restart"/>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C3</w:t>
            </w:r>
          </w:p>
        </w:tc>
        <w:tc>
          <w:tcPr>
            <w:tcW w:w="1139" w:type="dxa"/>
            <w:vMerge w:val="restart"/>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17,29</w:t>
            </w:r>
          </w:p>
        </w:tc>
        <w:tc>
          <w:tcPr>
            <w:tcW w:w="567" w:type="dxa"/>
            <w:vMerge w:val="restart"/>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3</w:t>
            </w: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3</w:t>
            </w:r>
            <w:r w:rsidRPr="00010178">
              <w:rPr>
                <w:rFonts w:asciiTheme="majorBidi" w:eastAsia="Times New Roman" w:hAnsiTheme="majorBidi" w:cstheme="majorBidi"/>
                <w:color w:val="000000"/>
                <w:sz w:val="20"/>
                <w:szCs w:val="20"/>
                <w:lang w:eastAsia="fr-FR"/>
              </w:rPr>
              <w:t>-1</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&lt;</w:t>
            </w:r>
            <w:r w:rsidRPr="00010178">
              <w:rPr>
                <w:rFonts w:asciiTheme="majorBidi" w:eastAsia="Times New Roman" w:hAnsiTheme="majorBidi" w:cstheme="majorBidi"/>
                <w:color w:val="000000"/>
                <w:sz w:val="20"/>
                <w:szCs w:val="20"/>
                <w:rtl/>
                <w:lang w:eastAsia="fr-FR"/>
              </w:rPr>
              <w:t>8</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9,32</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3</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3</w:t>
            </w:r>
            <w:r w:rsidRPr="00010178">
              <w:rPr>
                <w:rFonts w:asciiTheme="majorBidi" w:eastAsia="Times New Roman" w:hAnsiTheme="majorBidi" w:cstheme="majorBidi"/>
                <w:color w:val="000000"/>
                <w:sz w:val="20"/>
                <w:szCs w:val="20"/>
                <w:lang w:eastAsia="fr-FR"/>
              </w:rPr>
              <w:t>-2</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8</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00</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500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hAnsiTheme="majorBidi" w:cstheme="majorBidi"/>
                <w:color w:val="000000"/>
                <w:sz w:val="20"/>
                <w:szCs w:val="20"/>
              </w:rPr>
            </w:pPr>
            <w:r w:rsidRPr="00F44043">
              <w:rPr>
                <w:rFonts w:asciiTheme="majorBidi" w:hAnsiTheme="majorBidi" w:cstheme="majorBidi"/>
                <w:color w:val="000000"/>
                <w:sz w:val="20"/>
                <w:szCs w:val="20"/>
              </w:rPr>
              <w:t>5,14</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9</w:t>
            </w:r>
          </w:p>
        </w:tc>
      </w:tr>
      <w:tr w:rsidR="00C121B0" w:rsidRPr="00010178" w:rsidTr="007D73C8">
        <w:trPr>
          <w:trHeight w:val="46"/>
          <w:jc w:val="center"/>
        </w:trPr>
        <w:tc>
          <w:tcPr>
            <w:tcW w:w="709" w:type="dxa"/>
            <w:vMerge/>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3</w:t>
            </w:r>
            <w:r w:rsidRPr="00010178">
              <w:rPr>
                <w:rFonts w:asciiTheme="majorBidi" w:eastAsia="Times New Roman" w:hAnsiTheme="majorBidi" w:cstheme="majorBidi"/>
                <w:color w:val="000000"/>
                <w:sz w:val="20"/>
                <w:szCs w:val="20"/>
                <w:lang w:eastAsia="fr-FR"/>
              </w:rPr>
              <w:t>-3</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&gt;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500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2,83</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16</w:t>
            </w:r>
          </w:p>
        </w:tc>
      </w:tr>
      <w:tr w:rsidR="00C121B0" w:rsidRPr="00010178" w:rsidTr="007D73C8">
        <w:trPr>
          <w:trHeight w:val="50"/>
          <w:jc w:val="center"/>
        </w:trPr>
        <w:tc>
          <w:tcPr>
            <w:tcW w:w="709" w:type="dxa"/>
            <w:vMerge w:val="restart"/>
            <w:tcBorders>
              <w:top w:val="nil"/>
              <w:left w:val="single" w:sz="8" w:space="0" w:color="auto"/>
              <w:bottom w:val="single" w:sz="8" w:space="0" w:color="000000"/>
              <w:right w:val="nil"/>
            </w:tcBorders>
            <w:shd w:val="clear" w:color="auto" w:fill="D9D9D9" w:themeFill="background1" w:themeFillShade="D9"/>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C4</w:t>
            </w:r>
          </w:p>
        </w:tc>
        <w:tc>
          <w:tcPr>
            <w:tcW w:w="1139" w:type="dxa"/>
            <w:vMerge w:val="restart"/>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19,42</w:t>
            </w:r>
          </w:p>
        </w:tc>
        <w:tc>
          <w:tcPr>
            <w:tcW w:w="567" w:type="dxa"/>
            <w:vMerge w:val="restart"/>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2</w:t>
            </w:r>
          </w:p>
        </w:tc>
        <w:tc>
          <w:tcPr>
            <w:tcW w:w="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4</w:t>
            </w:r>
            <w:r w:rsidRPr="00010178">
              <w:rPr>
                <w:rFonts w:asciiTheme="majorBidi" w:eastAsia="Times New Roman" w:hAnsiTheme="majorBidi" w:cstheme="majorBidi"/>
                <w:color w:val="000000"/>
                <w:sz w:val="20"/>
                <w:szCs w:val="20"/>
                <w:lang w:eastAsia="fr-FR"/>
              </w:rPr>
              <w:t>-1</w:t>
            </w:r>
          </w:p>
        </w:tc>
        <w:tc>
          <w:tcPr>
            <w:tcW w:w="1418"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&lt;</w:t>
            </w:r>
            <w:r w:rsidRPr="00010178">
              <w:rPr>
                <w:rFonts w:asciiTheme="majorBidi" w:eastAsia="Times New Roman" w:hAnsiTheme="majorBidi" w:cstheme="majorBidi"/>
                <w:color w:val="000000"/>
                <w:sz w:val="20"/>
                <w:szCs w:val="20"/>
                <w:rtl/>
                <w:lang w:eastAsia="fr-FR"/>
              </w:rPr>
              <w:t>400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10,47</w:t>
            </w:r>
          </w:p>
        </w:tc>
        <w:tc>
          <w:tcPr>
            <w:tcW w:w="610"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2</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4</w:t>
            </w:r>
            <w:r w:rsidRPr="00010178">
              <w:rPr>
                <w:rFonts w:asciiTheme="majorBidi" w:eastAsia="Times New Roman" w:hAnsiTheme="majorBidi" w:cstheme="majorBidi"/>
                <w:color w:val="000000"/>
                <w:sz w:val="20"/>
                <w:szCs w:val="20"/>
                <w:lang w:eastAsia="fr-FR"/>
              </w:rPr>
              <w:t>-2</w:t>
            </w:r>
          </w:p>
        </w:tc>
        <w:tc>
          <w:tcPr>
            <w:tcW w:w="1418"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400</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8</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5,77</w:t>
            </w:r>
          </w:p>
        </w:tc>
        <w:tc>
          <w:tcPr>
            <w:tcW w:w="610"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8</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4</w:t>
            </w:r>
            <w:r w:rsidRPr="00010178">
              <w:rPr>
                <w:rFonts w:asciiTheme="majorBidi" w:eastAsia="Times New Roman" w:hAnsiTheme="majorBidi" w:cstheme="majorBidi"/>
                <w:color w:val="000000"/>
                <w:sz w:val="20"/>
                <w:szCs w:val="20"/>
                <w:lang w:eastAsia="fr-FR"/>
              </w:rPr>
              <w:t>-3</w:t>
            </w:r>
          </w:p>
        </w:tc>
        <w:tc>
          <w:tcPr>
            <w:tcW w:w="1418"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&gt;</w:t>
            </w:r>
            <w:r w:rsidRPr="00010178">
              <w:rPr>
                <w:rFonts w:asciiTheme="majorBidi" w:eastAsia="Times New Roman" w:hAnsiTheme="majorBidi" w:cstheme="majorBidi"/>
                <w:color w:val="000000"/>
                <w:sz w:val="20"/>
                <w:szCs w:val="20"/>
                <w:rtl/>
                <w:lang w:eastAsia="fr-FR"/>
              </w:rPr>
              <w:t>8</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3,18</w:t>
            </w:r>
          </w:p>
        </w:tc>
        <w:tc>
          <w:tcPr>
            <w:tcW w:w="610"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15</w:t>
            </w:r>
          </w:p>
        </w:tc>
      </w:tr>
      <w:tr w:rsidR="00C121B0" w:rsidRPr="00010178" w:rsidTr="007D73C8">
        <w:trPr>
          <w:trHeight w:val="50"/>
          <w:jc w:val="center"/>
        </w:trPr>
        <w:tc>
          <w:tcPr>
            <w:tcW w:w="709" w:type="dxa"/>
            <w:vMerge w:val="restart"/>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C5</w:t>
            </w:r>
          </w:p>
        </w:tc>
        <w:tc>
          <w:tcPr>
            <w:tcW w:w="1139" w:type="dxa"/>
            <w:vMerge w:val="restart"/>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10,87</w:t>
            </w:r>
          </w:p>
        </w:tc>
        <w:tc>
          <w:tcPr>
            <w:tcW w:w="567" w:type="dxa"/>
            <w:vMerge w:val="restart"/>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6</w:t>
            </w: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5</w:t>
            </w:r>
            <w:r w:rsidRPr="00010178">
              <w:rPr>
                <w:rFonts w:asciiTheme="majorBidi" w:eastAsia="Times New Roman" w:hAnsiTheme="majorBidi" w:cstheme="majorBidi"/>
                <w:color w:val="000000"/>
                <w:sz w:val="20"/>
                <w:szCs w:val="20"/>
                <w:lang w:eastAsia="fr-FR"/>
              </w:rPr>
              <w:t>-1</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hideMark/>
          </w:tcPr>
          <w:p w:rsidR="00C121B0" w:rsidRPr="00010178" w:rsidRDefault="00C121B0" w:rsidP="001C2212">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&lt;</w:t>
            </w:r>
            <w:r w:rsidR="001C2212">
              <w:rPr>
                <w:rFonts w:asciiTheme="majorBidi" w:eastAsia="Times New Roman" w:hAnsiTheme="majorBidi" w:cstheme="majorBidi" w:hint="cs"/>
                <w:color w:val="000000"/>
                <w:sz w:val="20"/>
                <w:szCs w:val="20"/>
                <w:rtl/>
                <w:lang w:eastAsia="fr-FR"/>
              </w:rPr>
              <w:t>800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5,86</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7</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5</w:t>
            </w:r>
            <w:r w:rsidRPr="00010178">
              <w:rPr>
                <w:rFonts w:asciiTheme="majorBidi" w:eastAsia="Times New Roman" w:hAnsiTheme="majorBidi" w:cstheme="majorBidi"/>
                <w:color w:val="000000"/>
                <w:sz w:val="20"/>
                <w:szCs w:val="20"/>
                <w:lang w:eastAsia="fr-FR"/>
              </w:rPr>
              <w:t>-2</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hideMark/>
          </w:tcPr>
          <w:p w:rsidR="00C121B0" w:rsidRPr="00010178" w:rsidRDefault="001C2212" w:rsidP="00794BA6">
            <w:pPr>
              <w:spacing w:after="0" w:line="240" w:lineRule="auto"/>
              <w:jc w:val="center"/>
              <w:rPr>
                <w:rFonts w:asciiTheme="majorBidi" w:eastAsia="Times New Roman" w:hAnsiTheme="majorBidi" w:cstheme="majorBidi"/>
                <w:color w:val="000000"/>
                <w:sz w:val="20"/>
                <w:szCs w:val="20"/>
                <w:lang w:eastAsia="fr-FR"/>
              </w:rPr>
            </w:pPr>
            <w:r>
              <w:rPr>
                <w:rFonts w:asciiTheme="majorBidi" w:eastAsia="Times New Roman" w:hAnsiTheme="majorBidi" w:cstheme="majorBidi" w:hint="cs"/>
                <w:color w:val="000000"/>
                <w:sz w:val="20"/>
                <w:szCs w:val="20"/>
                <w:rtl/>
                <w:lang w:eastAsia="fr-FR"/>
              </w:rPr>
              <w:t>800</w:t>
            </w:r>
            <w:r w:rsidR="00C121B0" w:rsidRPr="00010178">
              <w:rPr>
                <w:rFonts w:asciiTheme="majorBidi" w:eastAsia="Times New Roman" w:hAnsiTheme="majorBidi" w:cstheme="majorBidi"/>
                <w:color w:val="000000"/>
                <w:sz w:val="20"/>
                <w:szCs w:val="20"/>
                <w:lang w:eastAsia="fr-FR"/>
              </w:rPr>
              <w:t>–</w:t>
            </w:r>
            <w:r w:rsidR="00C121B0" w:rsidRPr="00010178">
              <w:rPr>
                <w:rFonts w:asciiTheme="majorBidi" w:eastAsia="Times New Roman" w:hAnsiTheme="majorBidi" w:cstheme="majorBidi"/>
                <w:color w:val="000000"/>
                <w:sz w:val="20"/>
                <w:szCs w:val="20"/>
                <w:rtl/>
                <w:lang w:eastAsia="fr-FR"/>
              </w:rPr>
              <w:t>1</w:t>
            </w:r>
            <w:r w:rsidR="00C121B0" w:rsidRPr="00010178">
              <w:rPr>
                <w:rFonts w:asciiTheme="majorBidi" w:eastAsia="Times New Roman" w:hAnsiTheme="majorBidi" w:cstheme="majorBidi"/>
                <w:color w:val="000000"/>
                <w:sz w:val="20"/>
                <w:szCs w:val="20"/>
                <w:lang w:eastAsia="fr-FR"/>
              </w:rPr>
              <w:t>,</w:t>
            </w:r>
            <w:r w:rsidR="00C121B0" w:rsidRPr="00010178">
              <w:rPr>
                <w:rFonts w:asciiTheme="majorBidi" w:eastAsia="Times New Roman" w:hAnsiTheme="majorBidi" w:cstheme="majorBidi"/>
                <w:color w:val="000000"/>
                <w:sz w:val="20"/>
                <w:szCs w:val="20"/>
                <w:rtl/>
                <w:lang w:eastAsia="fr-FR"/>
              </w:rPr>
              <w:t>200</w:t>
            </w:r>
            <w:r w:rsidR="00C121B0"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3,23</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14</w:t>
            </w:r>
          </w:p>
        </w:tc>
      </w:tr>
      <w:tr w:rsidR="00C121B0"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5</w:t>
            </w:r>
            <w:r w:rsidRPr="00010178">
              <w:rPr>
                <w:rFonts w:asciiTheme="majorBidi" w:eastAsia="Times New Roman" w:hAnsiTheme="majorBidi" w:cstheme="majorBidi"/>
                <w:color w:val="000000"/>
                <w:sz w:val="20"/>
                <w:szCs w:val="20"/>
                <w:lang w:eastAsia="fr-FR"/>
              </w:rPr>
              <w:t>-3</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&gt;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sidRPr="00010178">
              <w:rPr>
                <w:rFonts w:asciiTheme="majorBidi" w:eastAsia="Times New Roman" w:hAnsiTheme="majorBidi" w:cstheme="majorBidi"/>
                <w:color w:val="000000"/>
                <w:sz w:val="20"/>
                <w:szCs w:val="20"/>
                <w:rtl/>
                <w:lang w:eastAsia="fr-FR"/>
              </w:rPr>
              <w:t>200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C121B0" w:rsidRPr="00F44043"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1,78</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rsidR="00C121B0" w:rsidRPr="00010178" w:rsidRDefault="00C121B0"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20</w:t>
            </w:r>
          </w:p>
        </w:tc>
      </w:tr>
      <w:tr w:rsidR="008F7575" w:rsidRPr="00010178" w:rsidTr="007D73C8">
        <w:trPr>
          <w:trHeight w:val="50"/>
          <w:jc w:val="center"/>
        </w:trPr>
        <w:tc>
          <w:tcPr>
            <w:tcW w:w="709" w:type="dxa"/>
            <w:vMerge w:val="restart"/>
            <w:tcBorders>
              <w:top w:val="nil"/>
              <w:left w:val="single" w:sz="8" w:space="0" w:color="auto"/>
              <w:bottom w:val="single" w:sz="8" w:space="0" w:color="000000"/>
              <w:right w:val="nil"/>
            </w:tcBorders>
            <w:shd w:val="clear" w:color="auto" w:fill="D9D9D9" w:themeFill="background1" w:themeFillShade="D9"/>
            <w:vAlign w:val="center"/>
            <w:hideMark/>
          </w:tcPr>
          <w:p w:rsidR="008F7575" w:rsidRPr="00010178" w:rsidRDefault="008F7575"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C6</w:t>
            </w:r>
          </w:p>
        </w:tc>
        <w:tc>
          <w:tcPr>
            <w:tcW w:w="1139" w:type="dxa"/>
            <w:vMerge w:val="restart"/>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8F7575" w:rsidRPr="00010178" w:rsidRDefault="008F7575"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8,04</w:t>
            </w:r>
          </w:p>
        </w:tc>
        <w:tc>
          <w:tcPr>
            <w:tcW w:w="567" w:type="dxa"/>
            <w:vMerge w:val="restart"/>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8F7575" w:rsidRPr="00010178" w:rsidRDefault="00F44043" w:rsidP="00794BA6">
            <w:pPr>
              <w:spacing w:after="0" w:line="240" w:lineRule="auto"/>
              <w:jc w:val="center"/>
              <w:rPr>
                <w:rFonts w:asciiTheme="majorBidi" w:eastAsia="Times New Roman" w:hAnsiTheme="majorBidi" w:cstheme="majorBidi"/>
                <w:color w:val="000000"/>
                <w:sz w:val="20"/>
                <w:szCs w:val="20"/>
                <w:lang w:eastAsia="fr-FR"/>
              </w:rPr>
            </w:pPr>
            <w:r>
              <w:rPr>
                <w:rFonts w:asciiTheme="majorBidi" w:eastAsia="Times New Roman" w:hAnsiTheme="majorBidi" w:cstheme="majorBidi" w:hint="cs"/>
                <w:color w:val="000000"/>
                <w:sz w:val="20"/>
                <w:szCs w:val="20"/>
                <w:rtl/>
                <w:lang w:eastAsia="fr-FR"/>
              </w:rPr>
              <w:t>7</w:t>
            </w:r>
          </w:p>
        </w:tc>
        <w:tc>
          <w:tcPr>
            <w:tcW w:w="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F7575" w:rsidRPr="00010178" w:rsidRDefault="008F7575"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6</w:t>
            </w:r>
            <w:r w:rsidRPr="00010178">
              <w:rPr>
                <w:rFonts w:asciiTheme="majorBidi" w:eastAsia="Times New Roman" w:hAnsiTheme="majorBidi" w:cstheme="majorBidi"/>
                <w:color w:val="000000"/>
                <w:sz w:val="20"/>
                <w:szCs w:val="20"/>
                <w:lang w:eastAsia="fr-FR"/>
              </w:rPr>
              <w:t>-1</w:t>
            </w:r>
          </w:p>
        </w:tc>
        <w:tc>
          <w:tcPr>
            <w:tcW w:w="1418" w:type="dxa"/>
            <w:tcBorders>
              <w:top w:val="nil"/>
              <w:left w:val="single" w:sz="4" w:space="0" w:color="auto"/>
              <w:bottom w:val="single" w:sz="8" w:space="0" w:color="auto"/>
              <w:right w:val="single" w:sz="4" w:space="0" w:color="auto"/>
            </w:tcBorders>
            <w:shd w:val="clear" w:color="auto" w:fill="D9D9D9" w:themeFill="background1" w:themeFillShade="D9"/>
            <w:vAlign w:val="center"/>
            <w:hideMark/>
          </w:tcPr>
          <w:p w:rsidR="008F7575" w:rsidRPr="00010178" w:rsidRDefault="008F7575" w:rsidP="00CC1F42">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&lt;</w:t>
            </w:r>
            <w:r w:rsidR="00CC1F42">
              <w:rPr>
                <w:rFonts w:asciiTheme="majorBidi" w:eastAsia="Times New Roman" w:hAnsiTheme="majorBidi" w:cstheme="majorBidi" w:hint="cs"/>
                <w:color w:val="000000"/>
                <w:sz w:val="20"/>
                <w:szCs w:val="20"/>
                <w:rtl/>
                <w:lang w:eastAsia="fr-FR"/>
              </w:rPr>
              <w:t>30</w:t>
            </w:r>
            <w:r w:rsidRPr="00010178">
              <w:rPr>
                <w:rFonts w:asciiTheme="majorBidi" w:eastAsia="Times New Roman" w:hAnsiTheme="majorBidi" w:cstheme="majorBidi"/>
                <w:color w:val="000000"/>
                <w:sz w:val="20"/>
                <w:szCs w:val="20"/>
                <w:lang w:eastAsia="fr-FR"/>
              </w:rPr>
              <w:t xml:space="preserve"> Hou/H</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F7575" w:rsidRPr="00F44043" w:rsidRDefault="008F7575" w:rsidP="00D37F7C">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1,32</w:t>
            </w:r>
          </w:p>
        </w:tc>
        <w:tc>
          <w:tcPr>
            <w:tcW w:w="610"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8F7575" w:rsidRPr="00010178" w:rsidRDefault="001435F9" w:rsidP="00794BA6">
            <w:pPr>
              <w:spacing w:after="0" w:line="240" w:lineRule="auto"/>
              <w:jc w:val="center"/>
              <w:rPr>
                <w:rFonts w:asciiTheme="majorBidi" w:eastAsia="Times New Roman" w:hAnsiTheme="majorBidi" w:cstheme="majorBidi"/>
                <w:color w:val="000000"/>
                <w:sz w:val="20"/>
                <w:szCs w:val="20"/>
                <w:lang w:eastAsia="fr-FR"/>
              </w:rPr>
            </w:pPr>
            <w:r>
              <w:rPr>
                <w:rFonts w:asciiTheme="majorBidi" w:eastAsia="Times New Roman" w:hAnsiTheme="majorBidi" w:cstheme="majorBidi" w:hint="cs"/>
                <w:color w:val="000000"/>
                <w:sz w:val="20"/>
                <w:szCs w:val="20"/>
                <w:rtl/>
                <w:lang w:eastAsia="fr-FR"/>
              </w:rPr>
              <w:t>21</w:t>
            </w:r>
          </w:p>
        </w:tc>
      </w:tr>
      <w:tr w:rsidR="008F7575" w:rsidRPr="00010178" w:rsidTr="007D73C8">
        <w:trPr>
          <w:trHeight w:val="50"/>
          <w:jc w:val="center"/>
        </w:trPr>
        <w:tc>
          <w:tcPr>
            <w:tcW w:w="709" w:type="dxa"/>
            <w:vMerge/>
            <w:tcBorders>
              <w:top w:val="nil"/>
              <w:left w:val="single" w:sz="8" w:space="0" w:color="auto"/>
              <w:bottom w:val="single" w:sz="8" w:space="0" w:color="000000"/>
              <w:right w:val="nil"/>
            </w:tcBorders>
            <w:shd w:val="clear" w:color="auto" w:fill="D9D9D9" w:themeFill="background1" w:themeFillShade="D9"/>
            <w:vAlign w:val="center"/>
            <w:hideMark/>
          </w:tcPr>
          <w:p w:rsidR="008F7575" w:rsidRPr="00010178" w:rsidRDefault="008F7575"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8" w:space="0" w:color="000000"/>
              <w:right w:val="single" w:sz="8" w:space="0" w:color="auto"/>
            </w:tcBorders>
            <w:shd w:val="clear" w:color="auto" w:fill="D9D9D9" w:themeFill="background1" w:themeFillShade="D9"/>
            <w:vAlign w:val="center"/>
            <w:hideMark/>
          </w:tcPr>
          <w:p w:rsidR="008F7575" w:rsidRPr="00010178" w:rsidRDefault="008F7575"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8" w:space="0" w:color="000000"/>
              <w:right w:val="single" w:sz="4" w:space="0" w:color="auto"/>
            </w:tcBorders>
            <w:shd w:val="clear" w:color="auto" w:fill="D9D9D9" w:themeFill="background1" w:themeFillShade="D9"/>
            <w:vAlign w:val="center"/>
            <w:hideMark/>
          </w:tcPr>
          <w:p w:rsidR="008F7575" w:rsidRPr="00010178" w:rsidRDefault="008F7575" w:rsidP="00794BA6">
            <w:pPr>
              <w:spacing w:after="0" w:line="240" w:lineRule="auto"/>
              <w:rPr>
                <w:rFonts w:asciiTheme="majorBidi" w:eastAsia="Times New Roman" w:hAnsiTheme="majorBidi" w:cstheme="majorBidi"/>
                <w:color w:val="000000"/>
                <w:sz w:val="20"/>
                <w:szCs w:val="20"/>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F7575" w:rsidRPr="00010178" w:rsidRDefault="008F7575"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6</w:t>
            </w:r>
            <w:r w:rsidRPr="00010178">
              <w:rPr>
                <w:rFonts w:asciiTheme="majorBidi" w:eastAsia="Times New Roman" w:hAnsiTheme="majorBidi" w:cstheme="majorBidi"/>
                <w:color w:val="000000"/>
                <w:sz w:val="20"/>
                <w:szCs w:val="20"/>
                <w:lang w:eastAsia="fr-FR"/>
              </w:rPr>
              <w:t>-2</w:t>
            </w:r>
          </w:p>
        </w:tc>
        <w:tc>
          <w:tcPr>
            <w:tcW w:w="1418" w:type="dxa"/>
            <w:tcBorders>
              <w:top w:val="nil"/>
              <w:left w:val="single" w:sz="4" w:space="0" w:color="auto"/>
              <w:bottom w:val="single" w:sz="8" w:space="0" w:color="auto"/>
              <w:right w:val="single" w:sz="4" w:space="0" w:color="auto"/>
            </w:tcBorders>
            <w:shd w:val="clear" w:color="auto" w:fill="D9D9D9" w:themeFill="background1" w:themeFillShade="D9"/>
            <w:vAlign w:val="center"/>
            <w:hideMark/>
          </w:tcPr>
          <w:p w:rsidR="008F7575" w:rsidRPr="00010178" w:rsidRDefault="00CC1F42" w:rsidP="00CC1F42">
            <w:pPr>
              <w:spacing w:after="0" w:line="240" w:lineRule="auto"/>
              <w:jc w:val="center"/>
              <w:rPr>
                <w:rFonts w:asciiTheme="majorBidi" w:eastAsia="Times New Roman" w:hAnsiTheme="majorBidi" w:cstheme="majorBidi"/>
                <w:color w:val="000000"/>
                <w:sz w:val="20"/>
                <w:szCs w:val="20"/>
                <w:lang w:eastAsia="fr-FR"/>
              </w:rPr>
            </w:pPr>
            <w:r>
              <w:rPr>
                <w:rFonts w:asciiTheme="majorBidi" w:eastAsia="Times New Roman" w:hAnsiTheme="majorBidi" w:cstheme="majorBidi" w:hint="cs"/>
                <w:color w:val="000000"/>
                <w:sz w:val="20"/>
                <w:szCs w:val="20"/>
                <w:rtl/>
                <w:lang w:eastAsia="fr-FR"/>
              </w:rPr>
              <w:t>30</w:t>
            </w:r>
            <w:r w:rsidR="008F7575" w:rsidRPr="00010178">
              <w:rPr>
                <w:rFonts w:asciiTheme="majorBidi" w:eastAsia="Times New Roman" w:hAnsiTheme="majorBidi" w:cstheme="majorBidi"/>
                <w:color w:val="000000"/>
                <w:sz w:val="20"/>
                <w:szCs w:val="20"/>
                <w:lang w:eastAsia="fr-FR"/>
              </w:rPr>
              <w:t>–</w:t>
            </w:r>
            <w:r>
              <w:rPr>
                <w:rFonts w:asciiTheme="majorBidi" w:eastAsia="Times New Roman" w:hAnsiTheme="majorBidi" w:cstheme="majorBidi" w:hint="cs"/>
                <w:color w:val="000000"/>
                <w:sz w:val="20"/>
                <w:szCs w:val="20"/>
                <w:rtl/>
                <w:lang w:eastAsia="fr-FR"/>
              </w:rPr>
              <w:t>50</w:t>
            </w:r>
            <w:r w:rsidR="008F7575" w:rsidRPr="00010178">
              <w:rPr>
                <w:rFonts w:asciiTheme="majorBidi" w:eastAsia="Times New Roman" w:hAnsiTheme="majorBidi" w:cstheme="majorBidi"/>
                <w:color w:val="000000"/>
                <w:sz w:val="20"/>
                <w:szCs w:val="20"/>
                <w:lang w:eastAsia="fr-FR"/>
              </w:rPr>
              <w:t xml:space="preserve"> Hou/H</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F7575" w:rsidRPr="00F44043" w:rsidRDefault="008F7575" w:rsidP="00794BA6">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2,39</w:t>
            </w:r>
          </w:p>
        </w:tc>
        <w:tc>
          <w:tcPr>
            <w:tcW w:w="610"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8F7575" w:rsidRPr="00010178" w:rsidRDefault="008F7575"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17</w:t>
            </w:r>
          </w:p>
        </w:tc>
      </w:tr>
      <w:tr w:rsidR="008F7575" w:rsidRPr="00010178" w:rsidTr="00450698">
        <w:trPr>
          <w:trHeight w:val="50"/>
          <w:jc w:val="center"/>
        </w:trPr>
        <w:tc>
          <w:tcPr>
            <w:tcW w:w="709" w:type="dxa"/>
            <w:vMerge/>
            <w:tcBorders>
              <w:top w:val="nil"/>
              <w:left w:val="single" w:sz="8" w:space="0" w:color="auto"/>
              <w:bottom w:val="single" w:sz="4" w:space="0" w:color="auto"/>
              <w:right w:val="nil"/>
            </w:tcBorders>
            <w:shd w:val="clear" w:color="auto" w:fill="D9D9D9" w:themeFill="background1" w:themeFillShade="D9"/>
            <w:vAlign w:val="center"/>
            <w:hideMark/>
          </w:tcPr>
          <w:p w:rsidR="008F7575" w:rsidRPr="00010178" w:rsidRDefault="008F7575" w:rsidP="00794BA6">
            <w:pPr>
              <w:spacing w:after="0" w:line="240" w:lineRule="auto"/>
              <w:rPr>
                <w:rFonts w:asciiTheme="majorBidi" w:eastAsia="Times New Roman" w:hAnsiTheme="majorBidi" w:cstheme="majorBidi"/>
                <w:color w:val="000000"/>
                <w:sz w:val="20"/>
                <w:szCs w:val="20"/>
                <w:lang w:val="en-US" w:eastAsia="fr-FR"/>
              </w:rPr>
            </w:pPr>
          </w:p>
        </w:tc>
        <w:tc>
          <w:tcPr>
            <w:tcW w:w="1139" w:type="dxa"/>
            <w:vMerge/>
            <w:tcBorders>
              <w:top w:val="nil"/>
              <w:left w:val="single" w:sz="8" w:space="0" w:color="auto"/>
              <w:bottom w:val="single" w:sz="4" w:space="0" w:color="auto"/>
              <w:right w:val="single" w:sz="8" w:space="0" w:color="auto"/>
            </w:tcBorders>
            <w:shd w:val="clear" w:color="auto" w:fill="D9D9D9" w:themeFill="background1" w:themeFillShade="D9"/>
            <w:vAlign w:val="center"/>
            <w:hideMark/>
          </w:tcPr>
          <w:p w:rsidR="008F7575" w:rsidRPr="00010178" w:rsidRDefault="008F7575" w:rsidP="00794BA6">
            <w:pPr>
              <w:spacing w:after="0" w:line="240" w:lineRule="auto"/>
              <w:rPr>
                <w:rFonts w:asciiTheme="majorBidi" w:eastAsia="Times New Roman" w:hAnsiTheme="majorBidi" w:cstheme="majorBidi"/>
                <w:color w:val="000000"/>
                <w:sz w:val="20"/>
                <w:szCs w:val="20"/>
                <w:highlight w:val="green"/>
                <w:lang w:val="en-US" w:eastAsia="fr-FR"/>
              </w:rPr>
            </w:pPr>
          </w:p>
        </w:tc>
        <w:tc>
          <w:tcPr>
            <w:tcW w:w="567" w:type="dxa"/>
            <w:vMerge/>
            <w:tcBorders>
              <w:top w:val="nil"/>
              <w:left w:val="single" w:sz="8" w:space="0" w:color="auto"/>
              <w:bottom w:val="single" w:sz="4" w:space="0" w:color="auto"/>
              <w:right w:val="single" w:sz="4" w:space="0" w:color="auto"/>
            </w:tcBorders>
            <w:shd w:val="clear" w:color="auto" w:fill="D9D9D9" w:themeFill="background1" w:themeFillShade="D9"/>
            <w:vAlign w:val="center"/>
            <w:hideMark/>
          </w:tcPr>
          <w:p w:rsidR="008F7575" w:rsidRPr="00010178" w:rsidRDefault="008F7575" w:rsidP="00794BA6">
            <w:pPr>
              <w:spacing w:after="0" w:line="240" w:lineRule="auto"/>
              <w:rPr>
                <w:rFonts w:asciiTheme="majorBidi" w:eastAsia="Times New Roman" w:hAnsiTheme="majorBidi" w:cstheme="majorBidi"/>
                <w:color w:val="000000"/>
                <w:sz w:val="20"/>
                <w:szCs w:val="20"/>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F7575" w:rsidRPr="00010178" w:rsidRDefault="008F7575"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6</w:t>
            </w:r>
            <w:r w:rsidRPr="00010178">
              <w:rPr>
                <w:rFonts w:asciiTheme="majorBidi" w:eastAsia="Times New Roman" w:hAnsiTheme="majorBidi" w:cstheme="majorBidi"/>
                <w:color w:val="000000"/>
                <w:sz w:val="20"/>
                <w:szCs w:val="20"/>
                <w:lang w:eastAsia="fr-FR"/>
              </w:rPr>
              <w:t>-3</w:t>
            </w:r>
          </w:p>
        </w:tc>
        <w:tc>
          <w:tcPr>
            <w:tcW w:w="1418" w:type="dxa"/>
            <w:tcBorders>
              <w:top w:val="nil"/>
              <w:left w:val="single" w:sz="4" w:space="0" w:color="auto"/>
              <w:bottom w:val="single" w:sz="8" w:space="0" w:color="auto"/>
              <w:right w:val="single" w:sz="4" w:space="0" w:color="auto"/>
            </w:tcBorders>
            <w:shd w:val="clear" w:color="auto" w:fill="D9D9D9" w:themeFill="background1" w:themeFillShade="D9"/>
            <w:vAlign w:val="center"/>
            <w:hideMark/>
          </w:tcPr>
          <w:p w:rsidR="008F7575" w:rsidRPr="00010178" w:rsidRDefault="008F7575" w:rsidP="00CC1F42">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&gt;</w:t>
            </w:r>
            <w:r w:rsidR="00CC1F42">
              <w:rPr>
                <w:rFonts w:asciiTheme="majorBidi" w:eastAsia="Times New Roman" w:hAnsiTheme="majorBidi" w:cstheme="majorBidi" w:hint="cs"/>
                <w:color w:val="000000"/>
                <w:sz w:val="20"/>
                <w:szCs w:val="20"/>
                <w:rtl/>
                <w:lang w:eastAsia="fr-FR"/>
              </w:rPr>
              <w:t>50</w:t>
            </w:r>
            <w:r w:rsidRPr="00010178">
              <w:rPr>
                <w:rFonts w:asciiTheme="majorBidi" w:eastAsia="Times New Roman" w:hAnsiTheme="majorBidi" w:cstheme="majorBidi"/>
                <w:color w:val="000000"/>
                <w:sz w:val="20"/>
                <w:szCs w:val="20"/>
                <w:lang w:eastAsia="fr-FR"/>
              </w:rPr>
              <w:t xml:space="preserve"> Hou/H</w:t>
            </w:r>
          </w:p>
        </w:tc>
        <w:tc>
          <w:tcPr>
            <w:tcW w:w="15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8F7575" w:rsidRPr="00F44043" w:rsidRDefault="008F7575" w:rsidP="00D37F7C">
            <w:pPr>
              <w:spacing w:after="0" w:line="240" w:lineRule="auto"/>
              <w:jc w:val="center"/>
              <w:rPr>
                <w:rFonts w:asciiTheme="majorBidi" w:eastAsia="Times New Roman" w:hAnsiTheme="majorBidi" w:cstheme="majorBidi"/>
                <w:color w:val="000000"/>
                <w:sz w:val="20"/>
                <w:szCs w:val="20"/>
                <w:lang w:eastAsia="fr-FR"/>
              </w:rPr>
            </w:pPr>
            <w:r w:rsidRPr="00F44043">
              <w:rPr>
                <w:rFonts w:asciiTheme="majorBidi" w:eastAsia="Times New Roman" w:hAnsiTheme="majorBidi" w:cstheme="majorBidi"/>
                <w:color w:val="000000"/>
                <w:sz w:val="20"/>
                <w:szCs w:val="20"/>
                <w:lang w:eastAsia="fr-FR"/>
              </w:rPr>
              <w:t>4,33</w:t>
            </w:r>
          </w:p>
        </w:tc>
        <w:tc>
          <w:tcPr>
            <w:tcW w:w="610" w:type="dxa"/>
            <w:tcBorders>
              <w:top w:val="nil"/>
              <w:left w:val="single" w:sz="8" w:space="0" w:color="auto"/>
              <w:bottom w:val="single" w:sz="8" w:space="0" w:color="auto"/>
              <w:right w:val="single" w:sz="8" w:space="0" w:color="auto"/>
            </w:tcBorders>
            <w:shd w:val="clear" w:color="auto" w:fill="D9D9D9" w:themeFill="background1" w:themeFillShade="D9"/>
            <w:vAlign w:val="center"/>
            <w:hideMark/>
          </w:tcPr>
          <w:p w:rsidR="008F7575" w:rsidRPr="00010178" w:rsidRDefault="001435F9" w:rsidP="00794BA6">
            <w:pPr>
              <w:spacing w:after="0" w:line="240" w:lineRule="auto"/>
              <w:jc w:val="center"/>
              <w:rPr>
                <w:rFonts w:asciiTheme="majorBidi" w:eastAsia="Times New Roman" w:hAnsiTheme="majorBidi" w:cstheme="majorBidi"/>
                <w:color w:val="000000"/>
                <w:sz w:val="20"/>
                <w:szCs w:val="20"/>
                <w:lang w:eastAsia="fr-FR"/>
              </w:rPr>
            </w:pPr>
            <w:r>
              <w:rPr>
                <w:rFonts w:asciiTheme="majorBidi" w:eastAsia="Times New Roman" w:hAnsiTheme="majorBidi" w:cstheme="majorBidi" w:hint="cs"/>
                <w:color w:val="000000"/>
                <w:sz w:val="20"/>
                <w:szCs w:val="20"/>
                <w:rtl/>
                <w:lang w:eastAsia="fr-FR"/>
              </w:rPr>
              <w:t>10</w:t>
            </w:r>
          </w:p>
        </w:tc>
      </w:tr>
      <w:tr w:rsidR="00F44043" w:rsidRPr="00010178" w:rsidTr="00450698">
        <w:trPr>
          <w:trHeight w:val="50"/>
          <w:jc w:val="center"/>
        </w:trPr>
        <w:tc>
          <w:tcPr>
            <w:tcW w:w="70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450698" w:rsidRDefault="00F44043" w:rsidP="00016C27">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C7</w:t>
            </w:r>
          </w:p>
        </w:tc>
        <w:tc>
          <w:tcPr>
            <w:tcW w:w="113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F44043">
            <w:pPr>
              <w:spacing w:after="0" w:line="240" w:lineRule="auto"/>
              <w:jc w:val="center"/>
              <w:rPr>
                <w:rFonts w:asciiTheme="majorBidi" w:eastAsia="Times New Roman" w:hAnsiTheme="majorBidi" w:cstheme="majorBidi"/>
                <w:color w:val="000000"/>
                <w:sz w:val="20"/>
                <w:szCs w:val="20"/>
                <w:highlight w:val="green"/>
                <w:lang w:val="en-US" w:eastAsia="fr-FR"/>
              </w:rPr>
            </w:pPr>
            <w:r>
              <w:rPr>
                <w:rFonts w:asciiTheme="majorBidi" w:eastAsia="Times New Roman" w:hAnsiTheme="majorBidi" w:cstheme="majorBidi" w:hint="cs"/>
                <w:color w:val="000000"/>
                <w:sz w:val="20"/>
                <w:szCs w:val="20"/>
                <w:rtl/>
                <w:lang w:eastAsia="fr-FR"/>
              </w:rPr>
              <w:t>11.10</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rtl/>
                <w:lang w:eastAsia="fr-FR"/>
              </w:rPr>
              <w:t>5</w:t>
            </w: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7</w:t>
            </w:r>
            <w:r w:rsidRPr="00010178">
              <w:rPr>
                <w:rFonts w:asciiTheme="majorBidi" w:eastAsia="Times New Roman" w:hAnsiTheme="majorBidi" w:cstheme="majorBidi"/>
                <w:color w:val="000000"/>
                <w:sz w:val="20"/>
                <w:szCs w:val="20"/>
                <w:lang w:eastAsia="fr-FR"/>
              </w:rPr>
              <w:t>-1</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tcPr>
          <w:p w:rsidR="00F44043" w:rsidRPr="00010178" w:rsidRDefault="00F44043" w:rsidP="007D73C8">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&lt;</w:t>
            </w: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Pr>
                <w:rFonts w:asciiTheme="majorBidi" w:eastAsia="Times New Roman" w:hAnsiTheme="majorBidi" w:cstheme="majorBidi" w:hint="cs"/>
                <w:color w:val="000000"/>
                <w:sz w:val="20"/>
                <w:szCs w:val="20"/>
                <w:rtl/>
                <w:lang w:eastAsia="fr-FR"/>
              </w:rPr>
              <w:t>5</w:t>
            </w:r>
            <w:r w:rsidRPr="00010178">
              <w:rPr>
                <w:rFonts w:asciiTheme="majorBidi" w:eastAsia="Times New Roman" w:hAnsiTheme="majorBidi" w:cstheme="majorBidi"/>
                <w:color w:val="000000"/>
                <w:sz w:val="20"/>
                <w:szCs w:val="20"/>
                <w:rtl/>
                <w:lang w:eastAsia="fr-FR"/>
              </w:rPr>
              <w:t>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F44043" w:rsidRDefault="00F44043" w:rsidP="007D2D9A">
            <w:pPr>
              <w:spacing w:after="0" w:line="240" w:lineRule="auto"/>
              <w:jc w:val="center"/>
              <w:rPr>
                <w:rFonts w:ascii="Times New Roman" w:eastAsia="Times New Roman" w:hAnsi="Times New Roman" w:cs="Times New Roman"/>
                <w:color w:val="000000"/>
                <w:sz w:val="20"/>
                <w:szCs w:val="20"/>
                <w:lang w:eastAsia="fr-FR"/>
              </w:rPr>
            </w:pPr>
            <w:r w:rsidRPr="00F44043">
              <w:rPr>
                <w:rFonts w:ascii="Times New Roman" w:eastAsia="Times New Roman" w:hAnsi="Times New Roman" w:cs="Times New Roman"/>
                <w:color w:val="000000"/>
                <w:sz w:val="20"/>
                <w:szCs w:val="20"/>
                <w:lang w:eastAsia="fr-FR"/>
              </w:rPr>
              <w:t>1,82</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tcPr>
          <w:p w:rsidR="00F44043" w:rsidRPr="00010178" w:rsidRDefault="001435F9" w:rsidP="00794BA6">
            <w:pPr>
              <w:spacing w:after="0" w:line="240" w:lineRule="auto"/>
              <w:jc w:val="center"/>
              <w:rPr>
                <w:rFonts w:asciiTheme="majorBidi" w:eastAsia="Times New Roman" w:hAnsiTheme="majorBidi" w:cstheme="majorBidi"/>
                <w:color w:val="000000"/>
                <w:sz w:val="20"/>
                <w:szCs w:val="20"/>
                <w:lang w:eastAsia="fr-FR"/>
              </w:rPr>
            </w:pPr>
            <w:r>
              <w:rPr>
                <w:rFonts w:asciiTheme="majorBidi" w:eastAsia="Times New Roman" w:hAnsiTheme="majorBidi" w:cstheme="majorBidi" w:hint="cs"/>
                <w:color w:val="000000"/>
                <w:sz w:val="20"/>
                <w:szCs w:val="20"/>
                <w:rtl/>
                <w:lang w:eastAsia="fr-FR"/>
              </w:rPr>
              <w:t>19</w:t>
            </w:r>
          </w:p>
        </w:tc>
      </w:tr>
      <w:tr w:rsidR="00F44043" w:rsidRPr="00010178" w:rsidTr="00450698">
        <w:trPr>
          <w:trHeight w:val="50"/>
          <w:jc w:val="center"/>
        </w:trPr>
        <w:tc>
          <w:tcPr>
            <w:tcW w:w="709"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val="en-US" w:eastAsia="fr-FR"/>
              </w:rPr>
            </w:pPr>
          </w:p>
        </w:tc>
        <w:tc>
          <w:tcPr>
            <w:tcW w:w="1139"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highlight w:val="green"/>
                <w:lang w:val="en-US" w:eastAsia="fr-FR"/>
              </w:rPr>
            </w:pPr>
          </w:p>
        </w:tc>
        <w:tc>
          <w:tcPr>
            <w:tcW w:w="567"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7</w:t>
            </w:r>
            <w:r w:rsidRPr="00010178">
              <w:rPr>
                <w:rFonts w:asciiTheme="majorBidi" w:eastAsia="Times New Roman" w:hAnsiTheme="majorBidi" w:cstheme="majorBidi"/>
                <w:color w:val="000000"/>
                <w:sz w:val="20"/>
                <w:szCs w:val="20"/>
                <w:lang w:eastAsia="fr-FR"/>
              </w:rPr>
              <w:t>-2</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tcPr>
          <w:p w:rsidR="00F44043" w:rsidRPr="00010178" w:rsidRDefault="00F44043" w:rsidP="007D73C8">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rtl/>
                <w:lang w:eastAsia="fr-FR"/>
              </w:rPr>
              <w:t>1</w:t>
            </w:r>
            <w:r w:rsidRPr="00010178">
              <w:rPr>
                <w:rFonts w:asciiTheme="majorBidi" w:eastAsia="Times New Roman" w:hAnsiTheme="majorBidi" w:cstheme="majorBidi"/>
                <w:color w:val="000000"/>
                <w:sz w:val="20"/>
                <w:szCs w:val="20"/>
                <w:lang w:eastAsia="fr-FR"/>
              </w:rPr>
              <w:t>,</w:t>
            </w:r>
            <w:r>
              <w:rPr>
                <w:rFonts w:asciiTheme="majorBidi" w:eastAsia="Times New Roman" w:hAnsiTheme="majorBidi" w:cstheme="majorBidi" w:hint="cs"/>
                <w:color w:val="000000"/>
                <w:sz w:val="20"/>
                <w:szCs w:val="20"/>
                <w:rtl/>
                <w:lang w:eastAsia="fr-FR"/>
              </w:rPr>
              <w:t>5</w:t>
            </w:r>
            <w:r w:rsidRPr="00010178">
              <w:rPr>
                <w:rFonts w:asciiTheme="majorBidi" w:eastAsia="Times New Roman" w:hAnsiTheme="majorBidi" w:cstheme="majorBidi"/>
                <w:color w:val="000000"/>
                <w:sz w:val="20"/>
                <w:szCs w:val="20"/>
                <w:rtl/>
                <w:lang w:eastAsia="fr-FR"/>
              </w:rPr>
              <w:t>00</w:t>
            </w:r>
            <w:r w:rsidRPr="00010178">
              <w:rPr>
                <w:rFonts w:asciiTheme="majorBidi" w:eastAsia="Times New Roman" w:hAnsiTheme="majorBidi" w:cstheme="majorBidi"/>
                <w:color w:val="000000"/>
                <w:sz w:val="20"/>
                <w:szCs w:val="20"/>
                <w:lang w:eastAsia="fr-FR"/>
              </w:rPr>
              <w:t xml:space="preserve"> –</w:t>
            </w:r>
            <w:r>
              <w:rPr>
                <w:rFonts w:asciiTheme="majorBidi" w:eastAsia="Times New Roman" w:hAnsiTheme="majorBidi" w:cstheme="majorBidi" w:hint="cs"/>
                <w:color w:val="000000"/>
                <w:sz w:val="20"/>
                <w:szCs w:val="20"/>
                <w:rtl/>
                <w:lang w:eastAsia="fr-FR"/>
              </w:rPr>
              <w:t>3</w:t>
            </w:r>
            <w:r w:rsidRPr="00010178">
              <w:rPr>
                <w:rFonts w:asciiTheme="majorBidi" w:eastAsia="Times New Roman" w:hAnsiTheme="majorBidi" w:cstheme="majorBidi"/>
                <w:color w:val="000000"/>
                <w:sz w:val="20"/>
                <w:szCs w:val="20"/>
                <w:lang w:eastAsia="fr-FR"/>
              </w:rPr>
              <w:t>,</w:t>
            </w:r>
            <w:r>
              <w:rPr>
                <w:rFonts w:asciiTheme="majorBidi" w:eastAsia="Times New Roman" w:hAnsiTheme="majorBidi" w:cstheme="majorBidi" w:hint="cs"/>
                <w:color w:val="000000"/>
                <w:sz w:val="20"/>
                <w:szCs w:val="20"/>
                <w:rtl/>
                <w:lang w:eastAsia="fr-FR"/>
              </w:rPr>
              <w:t>000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F44043" w:rsidRDefault="00F44043" w:rsidP="007D2D9A">
            <w:pPr>
              <w:spacing w:after="0" w:line="240" w:lineRule="auto"/>
              <w:jc w:val="center"/>
              <w:rPr>
                <w:rFonts w:ascii="Times New Roman" w:eastAsia="Times New Roman" w:hAnsi="Times New Roman" w:cs="Times New Roman"/>
                <w:color w:val="000000"/>
                <w:sz w:val="20"/>
                <w:szCs w:val="20"/>
                <w:lang w:eastAsia="fr-FR"/>
              </w:rPr>
            </w:pPr>
            <w:r w:rsidRPr="00F44043">
              <w:rPr>
                <w:rFonts w:ascii="Times New Roman" w:eastAsia="Times New Roman" w:hAnsi="Times New Roman" w:cs="Times New Roman"/>
                <w:color w:val="000000"/>
                <w:sz w:val="20"/>
                <w:szCs w:val="20"/>
                <w:lang w:eastAsia="fr-FR"/>
              </w:rPr>
              <w:t>3,30</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13</w:t>
            </w:r>
          </w:p>
        </w:tc>
      </w:tr>
      <w:tr w:rsidR="00F44043" w:rsidRPr="00010178" w:rsidTr="00450698">
        <w:trPr>
          <w:trHeight w:val="50"/>
          <w:jc w:val="center"/>
        </w:trPr>
        <w:tc>
          <w:tcPr>
            <w:tcW w:w="709"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val="en-US" w:eastAsia="fr-FR"/>
              </w:rPr>
            </w:pPr>
          </w:p>
        </w:tc>
        <w:tc>
          <w:tcPr>
            <w:tcW w:w="1139"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highlight w:val="green"/>
                <w:lang w:val="en-US" w:eastAsia="fr-FR"/>
              </w:rPr>
            </w:pPr>
          </w:p>
        </w:tc>
        <w:tc>
          <w:tcPr>
            <w:tcW w:w="567"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val="en-US" w:eastAsia="fr-FR"/>
              </w:rPr>
            </w:pPr>
          </w:p>
        </w:tc>
        <w:tc>
          <w:tcPr>
            <w:tcW w:w="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010178" w:rsidRDefault="00F44043" w:rsidP="00794BA6">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C</w:t>
            </w:r>
            <w:r w:rsidRPr="00010178">
              <w:rPr>
                <w:rFonts w:asciiTheme="majorBidi" w:eastAsia="Times New Roman" w:hAnsiTheme="majorBidi" w:cstheme="majorBidi"/>
                <w:color w:val="000000"/>
                <w:sz w:val="20"/>
                <w:szCs w:val="20"/>
                <w:rtl/>
                <w:lang w:eastAsia="fr-FR"/>
              </w:rPr>
              <w:t>7</w:t>
            </w:r>
            <w:r w:rsidRPr="00010178">
              <w:rPr>
                <w:rFonts w:asciiTheme="majorBidi" w:eastAsia="Times New Roman" w:hAnsiTheme="majorBidi" w:cstheme="majorBidi"/>
                <w:color w:val="000000"/>
                <w:sz w:val="20"/>
                <w:szCs w:val="20"/>
                <w:lang w:eastAsia="fr-FR"/>
              </w:rPr>
              <w:t>-3</w:t>
            </w:r>
          </w:p>
        </w:tc>
        <w:tc>
          <w:tcPr>
            <w:tcW w:w="1418" w:type="dxa"/>
            <w:tcBorders>
              <w:top w:val="nil"/>
              <w:left w:val="single" w:sz="4" w:space="0" w:color="auto"/>
              <w:bottom w:val="single" w:sz="8" w:space="0" w:color="auto"/>
              <w:right w:val="single" w:sz="4" w:space="0" w:color="auto"/>
            </w:tcBorders>
            <w:shd w:val="clear" w:color="auto" w:fill="F2F2F2" w:themeFill="background1" w:themeFillShade="F2"/>
            <w:vAlign w:val="center"/>
          </w:tcPr>
          <w:p w:rsidR="00F44043" w:rsidRPr="00010178" w:rsidRDefault="00F44043" w:rsidP="007D73C8">
            <w:pPr>
              <w:spacing w:after="0" w:line="240" w:lineRule="auto"/>
              <w:jc w:val="center"/>
              <w:rPr>
                <w:rFonts w:asciiTheme="majorBidi" w:eastAsia="Times New Roman" w:hAnsiTheme="majorBidi" w:cstheme="majorBidi"/>
                <w:color w:val="000000"/>
                <w:sz w:val="20"/>
                <w:szCs w:val="20"/>
                <w:lang w:eastAsia="fr-FR"/>
              </w:rPr>
            </w:pPr>
            <w:r w:rsidRPr="00010178">
              <w:rPr>
                <w:rFonts w:asciiTheme="majorBidi" w:eastAsia="Times New Roman" w:hAnsiTheme="majorBidi" w:cstheme="majorBidi"/>
                <w:color w:val="000000"/>
                <w:sz w:val="20"/>
                <w:szCs w:val="20"/>
                <w:lang w:eastAsia="fr-FR"/>
              </w:rPr>
              <w:t>&gt;</w:t>
            </w:r>
            <w:r>
              <w:rPr>
                <w:rFonts w:asciiTheme="majorBidi" w:eastAsia="Times New Roman" w:hAnsiTheme="majorBidi" w:cstheme="majorBidi" w:hint="cs"/>
                <w:color w:val="000000"/>
                <w:sz w:val="20"/>
                <w:szCs w:val="20"/>
                <w:rtl/>
                <w:lang w:eastAsia="fr-FR"/>
              </w:rPr>
              <w:t>3</w:t>
            </w:r>
            <w:r w:rsidRPr="00010178">
              <w:rPr>
                <w:rFonts w:asciiTheme="majorBidi" w:eastAsia="Times New Roman" w:hAnsiTheme="majorBidi" w:cstheme="majorBidi"/>
                <w:color w:val="000000"/>
                <w:sz w:val="20"/>
                <w:szCs w:val="20"/>
                <w:lang w:eastAsia="fr-FR"/>
              </w:rPr>
              <w:t>,</w:t>
            </w:r>
            <w:r>
              <w:rPr>
                <w:rFonts w:asciiTheme="majorBidi" w:eastAsia="Times New Roman" w:hAnsiTheme="majorBidi" w:cstheme="majorBidi" w:hint="cs"/>
                <w:color w:val="000000"/>
                <w:sz w:val="20"/>
                <w:szCs w:val="20"/>
                <w:rtl/>
                <w:lang w:eastAsia="fr-FR"/>
              </w:rPr>
              <w:t>000</w:t>
            </w:r>
            <w:r w:rsidRPr="00010178">
              <w:rPr>
                <w:rFonts w:asciiTheme="majorBidi" w:eastAsia="Times New Roman" w:hAnsiTheme="majorBidi" w:cstheme="majorBidi"/>
                <w:color w:val="000000"/>
                <w:sz w:val="20"/>
                <w:szCs w:val="20"/>
                <w:lang w:eastAsia="fr-FR"/>
              </w:rPr>
              <w:t xml:space="preserve"> m</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44043" w:rsidRPr="00F44043" w:rsidRDefault="00F44043" w:rsidP="007D2D9A">
            <w:pPr>
              <w:spacing w:after="0" w:line="240" w:lineRule="auto"/>
              <w:jc w:val="center"/>
              <w:rPr>
                <w:rFonts w:ascii="Times New Roman" w:eastAsia="Times New Roman" w:hAnsi="Times New Roman" w:cs="Times New Roman"/>
                <w:color w:val="000000"/>
                <w:sz w:val="20"/>
                <w:szCs w:val="20"/>
                <w:lang w:eastAsia="fr-FR"/>
              </w:rPr>
            </w:pPr>
            <w:r w:rsidRPr="00F44043">
              <w:rPr>
                <w:rFonts w:ascii="Times New Roman" w:eastAsia="Times New Roman" w:hAnsi="Times New Roman" w:cs="Times New Roman"/>
                <w:color w:val="000000"/>
                <w:sz w:val="20"/>
                <w:szCs w:val="20"/>
                <w:lang w:eastAsia="fr-FR"/>
              </w:rPr>
              <w:t>5,98</w:t>
            </w:r>
          </w:p>
        </w:tc>
        <w:tc>
          <w:tcPr>
            <w:tcW w:w="610" w:type="dxa"/>
            <w:tcBorders>
              <w:top w:val="nil"/>
              <w:left w:val="single" w:sz="8" w:space="0" w:color="auto"/>
              <w:bottom w:val="single" w:sz="8" w:space="0" w:color="auto"/>
              <w:right w:val="single" w:sz="8" w:space="0" w:color="auto"/>
            </w:tcBorders>
            <w:shd w:val="clear" w:color="auto" w:fill="F2F2F2" w:themeFill="background1" w:themeFillShade="F2"/>
            <w:vAlign w:val="center"/>
          </w:tcPr>
          <w:p w:rsidR="00F44043" w:rsidRPr="00010178" w:rsidRDefault="001435F9" w:rsidP="00794BA6">
            <w:pPr>
              <w:spacing w:after="0" w:line="240" w:lineRule="auto"/>
              <w:jc w:val="center"/>
              <w:rPr>
                <w:rFonts w:asciiTheme="majorBidi" w:eastAsia="Times New Roman" w:hAnsiTheme="majorBidi" w:cstheme="majorBidi"/>
                <w:color w:val="000000"/>
                <w:sz w:val="20"/>
                <w:szCs w:val="20"/>
                <w:lang w:eastAsia="fr-FR"/>
              </w:rPr>
            </w:pPr>
            <w:r>
              <w:rPr>
                <w:rFonts w:asciiTheme="majorBidi" w:eastAsia="Times New Roman" w:hAnsiTheme="majorBidi" w:cstheme="majorBidi" w:hint="cs"/>
                <w:color w:val="000000"/>
                <w:sz w:val="20"/>
                <w:szCs w:val="20"/>
                <w:rtl/>
                <w:lang w:eastAsia="fr-FR"/>
              </w:rPr>
              <w:t>6</w:t>
            </w:r>
          </w:p>
        </w:tc>
      </w:tr>
      <w:tr w:rsidR="00450698" w:rsidRPr="00010178" w:rsidTr="00450698">
        <w:trPr>
          <w:trHeight w:val="50"/>
          <w:jc w:val="center"/>
        </w:trPr>
        <w:tc>
          <w:tcPr>
            <w:tcW w:w="709" w:type="dxa"/>
            <w:tcBorders>
              <w:top w:val="single" w:sz="4" w:space="0" w:color="auto"/>
              <w:left w:val="single" w:sz="8" w:space="0" w:color="auto"/>
              <w:bottom w:val="single" w:sz="8" w:space="0" w:color="auto"/>
              <w:right w:val="nil"/>
            </w:tcBorders>
            <w:shd w:val="clear" w:color="auto" w:fill="auto"/>
            <w:vAlign w:val="center"/>
            <w:hideMark/>
          </w:tcPr>
          <w:p w:rsidR="00450698" w:rsidRPr="00010178" w:rsidRDefault="00450698" w:rsidP="00794BA6">
            <w:pPr>
              <w:bidi/>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total</w:t>
            </w:r>
          </w:p>
        </w:tc>
        <w:tc>
          <w:tcPr>
            <w:tcW w:w="1139" w:type="dxa"/>
            <w:tcBorders>
              <w:top w:val="single" w:sz="4" w:space="0" w:color="auto"/>
              <w:left w:val="single" w:sz="8" w:space="0" w:color="auto"/>
              <w:bottom w:val="single" w:sz="8" w:space="0" w:color="auto"/>
              <w:right w:val="nil"/>
            </w:tcBorders>
            <w:shd w:val="clear" w:color="auto" w:fill="auto"/>
            <w:vAlign w:val="center"/>
            <w:hideMark/>
          </w:tcPr>
          <w:p w:rsidR="00450698" w:rsidRPr="00010178" w:rsidRDefault="00450698" w:rsidP="00794BA6">
            <w:pPr>
              <w:bidi/>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100%</w:t>
            </w:r>
          </w:p>
        </w:tc>
        <w:tc>
          <w:tcPr>
            <w:tcW w:w="1500" w:type="dxa"/>
            <w:gridSpan w:val="2"/>
            <w:tcBorders>
              <w:top w:val="single" w:sz="8" w:space="0" w:color="auto"/>
              <w:left w:val="single" w:sz="8" w:space="0" w:color="auto"/>
              <w:right w:val="single" w:sz="4" w:space="0" w:color="auto"/>
            </w:tcBorders>
            <w:shd w:val="clear" w:color="auto" w:fill="auto"/>
            <w:vAlign w:val="center"/>
          </w:tcPr>
          <w:p w:rsidR="00450698" w:rsidRPr="00010178" w:rsidRDefault="00450698" w:rsidP="00794BA6">
            <w:pPr>
              <w:bidi/>
              <w:spacing w:after="0" w:line="240" w:lineRule="auto"/>
              <w:jc w:val="center"/>
              <w:rPr>
                <w:rFonts w:asciiTheme="majorBidi" w:eastAsia="Times New Roman" w:hAnsiTheme="majorBidi" w:cstheme="majorBidi"/>
                <w:color w:val="000000"/>
                <w:sz w:val="20"/>
                <w:szCs w:val="20"/>
                <w:lang w:val="en-US" w:eastAsia="fr-FR"/>
              </w:rPr>
            </w:pPr>
          </w:p>
        </w:tc>
        <w:tc>
          <w:tcPr>
            <w:tcW w:w="1418" w:type="dxa"/>
            <w:tcBorders>
              <w:top w:val="nil"/>
              <w:left w:val="single" w:sz="8" w:space="0" w:color="auto"/>
              <w:bottom w:val="single" w:sz="8" w:space="0" w:color="auto"/>
              <w:right w:val="single" w:sz="4" w:space="0" w:color="auto"/>
            </w:tcBorders>
            <w:shd w:val="clear" w:color="auto" w:fill="auto"/>
            <w:vAlign w:val="center"/>
          </w:tcPr>
          <w:p w:rsidR="00450698" w:rsidRPr="00010178" w:rsidRDefault="00450698" w:rsidP="00794BA6">
            <w:pPr>
              <w:bidi/>
              <w:spacing w:after="0" w:line="240" w:lineRule="auto"/>
              <w:jc w:val="center"/>
              <w:rPr>
                <w:rFonts w:asciiTheme="majorBidi" w:eastAsia="Times New Roman" w:hAnsiTheme="majorBidi" w:cstheme="majorBidi"/>
                <w:color w:val="000000"/>
                <w:sz w:val="20"/>
                <w:szCs w:val="20"/>
                <w:lang w:val="en-US" w:eastAsia="fr-FR"/>
              </w:rPr>
            </w:pPr>
            <w:r w:rsidRPr="00010178">
              <w:rPr>
                <w:rFonts w:asciiTheme="majorBidi" w:eastAsia="Times New Roman" w:hAnsiTheme="majorBidi" w:cstheme="majorBidi"/>
                <w:color w:val="000000"/>
                <w:sz w:val="20"/>
                <w:szCs w:val="20"/>
                <w:lang w:val="en-US" w:eastAsia="fr-FR"/>
              </w:rPr>
              <w:t>Total</w:t>
            </w:r>
          </w:p>
        </w:tc>
        <w:tc>
          <w:tcPr>
            <w:tcW w:w="1516" w:type="dxa"/>
            <w:tcBorders>
              <w:top w:val="single" w:sz="4" w:space="0" w:color="auto"/>
              <w:left w:val="single" w:sz="4" w:space="0" w:color="auto"/>
              <w:bottom w:val="single" w:sz="4" w:space="0" w:color="auto"/>
              <w:right w:val="single" w:sz="4" w:space="0" w:color="auto"/>
            </w:tcBorders>
            <w:vAlign w:val="center"/>
          </w:tcPr>
          <w:p w:rsidR="00450698" w:rsidRPr="00BC01DC" w:rsidRDefault="00450698" w:rsidP="00794BA6">
            <w:pPr>
              <w:bidi/>
              <w:spacing w:after="0" w:line="240" w:lineRule="auto"/>
              <w:jc w:val="center"/>
              <w:rPr>
                <w:rFonts w:asciiTheme="majorBidi" w:eastAsia="Times New Roman" w:hAnsiTheme="majorBidi" w:cstheme="majorBidi"/>
                <w:color w:val="000000"/>
                <w:sz w:val="20"/>
                <w:szCs w:val="20"/>
                <w:lang w:val="en-US" w:eastAsia="fr-FR"/>
              </w:rPr>
            </w:pPr>
            <w:r w:rsidRPr="00BC01DC">
              <w:rPr>
                <w:rFonts w:asciiTheme="majorBidi" w:eastAsia="Times New Roman" w:hAnsiTheme="majorBidi" w:cstheme="majorBidi"/>
                <w:color w:val="000000"/>
                <w:sz w:val="20"/>
                <w:szCs w:val="20"/>
                <w:lang w:val="en-US" w:eastAsia="fr-FR"/>
              </w:rPr>
              <w:t>100%</w:t>
            </w:r>
          </w:p>
        </w:tc>
        <w:tc>
          <w:tcPr>
            <w:tcW w:w="610" w:type="dxa"/>
            <w:tcBorders>
              <w:top w:val="single" w:sz="8" w:space="0" w:color="auto"/>
              <w:left w:val="single" w:sz="8" w:space="0" w:color="auto"/>
            </w:tcBorders>
            <w:shd w:val="clear" w:color="auto" w:fill="auto"/>
            <w:vAlign w:val="center"/>
          </w:tcPr>
          <w:p w:rsidR="00450698" w:rsidRPr="00010178" w:rsidRDefault="00450698" w:rsidP="00794BA6">
            <w:pPr>
              <w:bidi/>
              <w:spacing w:after="0" w:line="240" w:lineRule="auto"/>
              <w:jc w:val="center"/>
              <w:rPr>
                <w:rFonts w:asciiTheme="majorBidi" w:eastAsia="Times New Roman" w:hAnsiTheme="majorBidi" w:cstheme="majorBidi"/>
                <w:color w:val="000000"/>
                <w:sz w:val="20"/>
                <w:szCs w:val="20"/>
                <w:highlight w:val="green"/>
                <w:lang w:val="en-US" w:eastAsia="fr-FR"/>
              </w:rPr>
            </w:pPr>
          </w:p>
        </w:tc>
      </w:tr>
    </w:tbl>
    <w:p w:rsidR="00C121B0" w:rsidRPr="00A4647E" w:rsidRDefault="00C121B0" w:rsidP="001D0548">
      <w:pPr>
        <w:pStyle w:val="Paragraphedeliste"/>
        <w:numPr>
          <w:ilvl w:val="2"/>
          <w:numId w:val="260"/>
        </w:numPr>
        <w:tabs>
          <w:tab w:val="right" w:pos="850"/>
        </w:tabs>
        <w:bidi/>
        <w:spacing w:before="240" w:after="0"/>
        <w:ind w:left="0" w:firstLine="0"/>
        <w:jc w:val="both"/>
        <w:outlineLvl w:val="1"/>
        <w:rPr>
          <w:rFonts w:asciiTheme="minorBidi" w:hAnsiTheme="minorBidi" w:cs="Arial"/>
          <w:sz w:val="28"/>
          <w:szCs w:val="28"/>
          <w:rtl/>
          <w:lang w:val="en-US"/>
        </w:rPr>
      </w:pPr>
      <w:bookmarkStart w:id="685" w:name="_Toc171803701"/>
      <w:r w:rsidRPr="00A4647E">
        <w:rPr>
          <w:rFonts w:ascii="Simplified Arabic" w:hAnsi="Simplified Arabic" w:cs="Simplified Arabic" w:hint="cs"/>
          <w:b/>
          <w:bCs/>
          <w:sz w:val="24"/>
          <w:szCs w:val="24"/>
          <w:rtl/>
          <w:lang w:val="en-US"/>
        </w:rPr>
        <w:t>تطبيق نظم المعلومات الجغرافية لتقييم المرونة الحضرية</w:t>
      </w:r>
      <w:bookmarkEnd w:id="685"/>
    </w:p>
    <w:p w:rsidR="00C121B0" w:rsidRDefault="00C121B0" w:rsidP="00C121B0">
      <w:pPr>
        <w:autoSpaceDE w:val="0"/>
        <w:autoSpaceDN w:val="0"/>
        <w:bidi/>
        <w:adjustRightInd w:val="0"/>
        <w:spacing w:after="0"/>
        <w:ind w:firstLine="282"/>
        <w:jc w:val="both"/>
        <w:rPr>
          <w:rFonts w:ascii="Simplified Arabic" w:hAnsi="Simplified Arabic" w:cs="Simplified Arabic"/>
          <w:sz w:val="24"/>
          <w:szCs w:val="24"/>
          <w:rtl/>
        </w:rPr>
      </w:pPr>
      <w:r w:rsidRPr="00581905">
        <w:rPr>
          <w:rFonts w:ascii="Simplified Arabic" w:hAnsi="Simplified Arabic" w:cs="Simplified Arabic"/>
          <w:sz w:val="24"/>
          <w:szCs w:val="24"/>
          <w:rtl/>
        </w:rPr>
        <w:t>تعد</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نظم</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المعلومات</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الجغرافية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تقنية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حديثة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نسبيا، تساعد</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في</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الكشف</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عن</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أنماط</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التوزيع</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 xml:space="preserve">المكاني </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لمواقع</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الظواهر</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على</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سطح الأرض،</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كما</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تساعد</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هذه</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التقنية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على</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جمع</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البيانات،</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وتخزينها،</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وتحليلها،</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و إخراجها</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بطريقة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تسمح بتفسير</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وتعليل</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ترابط المتغيرات بصورة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لم</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تكن</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متاحة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من</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قبل،</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أهم</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ميزة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لهذه</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النظم</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هي</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القدرة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على</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ربط</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المعلومات</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المختلفة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وتوظيفها</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في</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تقديم الحلول</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للمشكلات</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المطروحة،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على</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أساس</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توفير</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العديد</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من</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البدائل</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التي</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يختار</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منها</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ما</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يناسب</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الباحث</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وأغراض</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الدراسة</w:t>
      </w:r>
      <w:r w:rsidRPr="00581905">
        <w:rPr>
          <w:rFonts w:ascii="Simplified Arabic" w:hAnsi="Simplified Arabic" w:cs="Simplified Arabic"/>
          <w:sz w:val="24"/>
          <w:szCs w:val="24"/>
        </w:rPr>
        <w:t xml:space="preserve"> </w:t>
      </w:r>
      <w:r w:rsidRPr="00581905">
        <w:rPr>
          <w:rFonts w:ascii="Simplified Arabic" w:hAnsi="Simplified Arabic" w:cs="Simplified Arabic"/>
          <w:sz w:val="24"/>
          <w:szCs w:val="24"/>
          <w:rtl/>
        </w:rPr>
        <w:t>(الصالح والسرياني،</w:t>
      </w:r>
      <w:r>
        <w:rPr>
          <w:rFonts w:ascii="Simplified Arabic" w:hAnsi="Simplified Arabic" w:cs="Simplified Arabic" w:hint="cs"/>
          <w:sz w:val="24"/>
          <w:szCs w:val="24"/>
          <w:rtl/>
        </w:rPr>
        <w:t xml:space="preserve"> 2000</w:t>
      </w:r>
      <w:r w:rsidRPr="00581905">
        <w:rPr>
          <w:rFonts w:ascii="Simplified Arabic" w:hAnsi="Simplified Arabic" w:cs="Simplified Arabic"/>
          <w:sz w:val="24"/>
          <w:szCs w:val="24"/>
          <w:rtl/>
        </w:rPr>
        <w:t>).</w:t>
      </w:r>
    </w:p>
    <w:p w:rsidR="00C121B0" w:rsidRDefault="00C121B0" w:rsidP="00C121B0">
      <w:pPr>
        <w:autoSpaceDE w:val="0"/>
        <w:autoSpaceDN w:val="0"/>
        <w:bidi/>
        <w:adjustRightInd w:val="0"/>
        <w:spacing w:after="0"/>
        <w:ind w:firstLine="282"/>
        <w:jc w:val="both"/>
        <w:rPr>
          <w:rFonts w:asciiTheme="minorBidi" w:hAnsiTheme="minorBidi"/>
          <w:color w:val="000000" w:themeColor="text1"/>
          <w:sz w:val="24"/>
          <w:szCs w:val="24"/>
          <w:rtl/>
          <w:lang w:val="en-US"/>
        </w:rPr>
      </w:pPr>
      <w:r w:rsidRPr="005B0947">
        <w:rPr>
          <w:rFonts w:asciiTheme="minorBidi" w:hAnsiTheme="minorBidi" w:hint="cs"/>
          <w:color w:val="000000" w:themeColor="text1"/>
          <w:sz w:val="24"/>
          <w:szCs w:val="24"/>
          <w:rtl/>
          <w:lang w:val="en-US" w:bidi="ar-DZ"/>
        </w:rPr>
        <w:t xml:space="preserve">  </w:t>
      </w:r>
      <w:r w:rsidRPr="005B0947">
        <w:rPr>
          <w:rFonts w:ascii="Simplified Arabic" w:hAnsi="Simplified Arabic" w:cs="Simplified Arabic" w:hint="cs"/>
          <w:sz w:val="24"/>
          <w:szCs w:val="24"/>
          <w:rtl/>
        </w:rPr>
        <w:t>يمكّن</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تكامل</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أساليب</w:t>
      </w:r>
      <w:r w:rsidRPr="005B0947">
        <w:rPr>
          <w:rFonts w:asciiTheme="minorBidi" w:hAnsiTheme="minorBidi"/>
          <w:color w:val="000000" w:themeColor="text1"/>
          <w:sz w:val="24"/>
          <w:szCs w:val="24"/>
          <w:rtl/>
          <w:lang w:val="en-US"/>
        </w:rPr>
        <w:t xml:space="preserve"> </w:t>
      </w:r>
      <w:r w:rsidRPr="005B0947">
        <w:rPr>
          <w:rFonts w:asciiTheme="majorBidi" w:hAnsiTheme="majorBidi" w:cstheme="majorBidi"/>
          <w:color w:val="000000" w:themeColor="text1"/>
          <w:sz w:val="24"/>
          <w:szCs w:val="24"/>
          <w:lang w:val="en-US" w:bidi="ar-DZ"/>
        </w:rPr>
        <w:t>MCDA</w:t>
      </w:r>
      <w:r w:rsidRPr="005B0947">
        <w:rPr>
          <w:rFonts w:asciiTheme="minorBidi" w:hAnsiTheme="minorBidi"/>
          <w:color w:val="000000" w:themeColor="text1"/>
          <w:sz w:val="24"/>
          <w:szCs w:val="24"/>
          <w:rtl/>
          <w:lang w:val="en-US"/>
        </w:rPr>
        <w:t xml:space="preserve"> (</w:t>
      </w:r>
      <w:r w:rsidRPr="005B0947">
        <w:rPr>
          <w:rFonts w:ascii="Simplified Arabic" w:hAnsi="Simplified Arabic" w:cs="Simplified Arabic" w:hint="cs"/>
          <w:sz w:val="24"/>
          <w:szCs w:val="24"/>
          <w:rtl/>
        </w:rPr>
        <w:t>مثل</w:t>
      </w:r>
      <w:r w:rsidRPr="005B0947">
        <w:rPr>
          <w:rFonts w:asciiTheme="minorBidi" w:hAnsiTheme="minorBidi"/>
          <w:color w:val="000000" w:themeColor="text1"/>
          <w:sz w:val="24"/>
          <w:szCs w:val="24"/>
          <w:rtl/>
          <w:lang w:val="en-US"/>
        </w:rPr>
        <w:t xml:space="preserve"> </w:t>
      </w:r>
      <w:r w:rsidRPr="005B0947">
        <w:rPr>
          <w:rFonts w:asciiTheme="majorBidi" w:hAnsiTheme="majorBidi" w:cstheme="majorBidi"/>
          <w:color w:val="000000" w:themeColor="text1"/>
          <w:sz w:val="24"/>
          <w:szCs w:val="24"/>
          <w:lang w:val="en-US" w:bidi="ar-DZ"/>
        </w:rPr>
        <w:t>AHP</w:t>
      </w:r>
      <w:r w:rsidRPr="005B0947">
        <w:rPr>
          <w:rFonts w:asciiTheme="minorBidi" w:hAnsiTheme="minorBidi"/>
          <w:color w:val="000000" w:themeColor="text1"/>
          <w:sz w:val="24"/>
          <w:szCs w:val="24"/>
          <w:rtl/>
          <w:lang w:val="en-US"/>
        </w:rPr>
        <w:t xml:space="preserve">) </w:t>
      </w:r>
      <w:r w:rsidRPr="005B0947">
        <w:rPr>
          <w:rFonts w:ascii="Simplified Arabic" w:hAnsi="Simplified Arabic" w:cs="Simplified Arabic" w:hint="cs"/>
          <w:sz w:val="24"/>
          <w:szCs w:val="24"/>
          <w:rtl/>
        </w:rPr>
        <w:t>مع</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نظام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المعلومات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الجغرافية</w:t>
      </w:r>
      <w:r w:rsidRPr="005B0947">
        <w:rPr>
          <w:rFonts w:asciiTheme="minorBidi" w:hAnsiTheme="minorBidi"/>
          <w:color w:val="000000" w:themeColor="text1"/>
          <w:sz w:val="24"/>
          <w:szCs w:val="24"/>
          <w:rtl/>
          <w:lang w:val="en-US"/>
        </w:rPr>
        <w:t xml:space="preserve"> (</w:t>
      </w:r>
      <w:r w:rsidRPr="005B0947">
        <w:rPr>
          <w:rFonts w:asciiTheme="majorBidi" w:hAnsiTheme="majorBidi" w:cstheme="majorBidi"/>
          <w:color w:val="000000" w:themeColor="text1"/>
          <w:sz w:val="24"/>
          <w:szCs w:val="24"/>
          <w:lang w:val="en-US" w:bidi="ar-DZ"/>
        </w:rPr>
        <w:t>GIS</w:t>
      </w:r>
      <w:r w:rsidRPr="005B0947">
        <w:rPr>
          <w:rFonts w:asciiTheme="minorBidi" w:hAnsiTheme="minorBidi"/>
          <w:color w:val="000000" w:themeColor="text1"/>
          <w:sz w:val="24"/>
          <w:szCs w:val="24"/>
          <w:rtl/>
          <w:lang w:val="en-US"/>
        </w:rPr>
        <w:t xml:space="preserve">) </w:t>
      </w:r>
      <w:r w:rsidRPr="005B0947">
        <w:rPr>
          <w:rFonts w:ascii="Simplified Arabic" w:hAnsi="Simplified Arabic" w:cs="Simplified Arabic" w:hint="cs"/>
          <w:sz w:val="24"/>
          <w:szCs w:val="24"/>
          <w:rtl/>
        </w:rPr>
        <w:t>من</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استخدام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نظام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قوي</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لدعم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القرار</w:t>
      </w:r>
      <w:r w:rsidRPr="005B0947">
        <w:rPr>
          <w:rFonts w:ascii="Simplified Arabic" w:hAnsi="Simplified Arabic" w:cs="Simplified Arabic"/>
          <w:sz w:val="24"/>
          <w:szCs w:val="24"/>
          <w:rtl/>
        </w:rPr>
        <w:t xml:space="preserve"> </w:t>
      </w:r>
      <w:r w:rsidRPr="005B0947">
        <w:rPr>
          <w:rFonts w:asciiTheme="minorBidi" w:hAnsiTheme="minorBidi"/>
          <w:color w:val="000000" w:themeColor="text1"/>
          <w:sz w:val="24"/>
          <w:szCs w:val="24"/>
          <w:rtl/>
          <w:lang w:val="en-US"/>
        </w:rPr>
        <w:t>(</w:t>
      </w:r>
      <w:r w:rsidRPr="005B0947">
        <w:rPr>
          <w:rFonts w:asciiTheme="majorBidi" w:hAnsiTheme="majorBidi" w:cstheme="majorBidi"/>
          <w:color w:val="000000" w:themeColor="text1"/>
          <w:sz w:val="24"/>
          <w:szCs w:val="24"/>
          <w:lang w:val="en-US" w:bidi="ar-DZ"/>
        </w:rPr>
        <w:t>DSS</w:t>
      </w:r>
      <w:r w:rsidRPr="005B0947">
        <w:rPr>
          <w:rFonts w:asciiTheme="minorBidi" w:hAnsiTheme="minorBidi"/>
          <w:color w:val="000000" w:themeColor="text1"/>
          <w:sz w:val="24"/>
          <w:szCs w:val="24"/>
          <w:rtl/>
          <w:lang w:val="en-US"/>
        </w:rPr>
        <w:t>)</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لأغراض</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التخطيط</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المكاني</w:t>
      </w:r>
      <w:r w:rsidRPr="005B0947">
        <w:rPr>
          <w:rFonts w:asciiTheme="minorBidi" w:hAnsiTheme="minorBidi"/>
          <w:color w:val="000000" w:themeColor="text1"/>
          <w:sz w:val="24"/>
          <w:szCs w:val="24"/>
          <w:rtl/>
          <w:lang w:val="en-US"/>
        </w:rPr>
        <w:t xml:space="preserve"> </w:t>
      </w:r>
      <w:r w:rsidRPr="005B0947">
        <w:rPr>
          <w:rFonts w:asciiTheme="majorBidi" w:hAnsiTheme="majorBidi" w:cstheme="majorBidi"/>
          <w:sz w:val="24"/>
          <w:szCs w:val="24"/>
          <w:rtl/>
          <w:lang w:val="en-US"/>
        </w:rPr>
        <w:t>(</w:t>
      </w:r>
      <w:r w:rsidRPr="005B0947">
        <w:rPr>
          <w:rFonts w:asciiTheme="majorBidi" w:hAnsiTheme="majorBidi" w:cstheme="majorBidi"/>
          <w:sz w:val="24"/>
          <w:szCs w:val="24"/>
        </w:rPr>
        <w:t>Kazemi et al.</w:t>
      </w:r>
      <w:r w:rsidRPr="005B0947">
        <w:rPr>
          <w:rFonts w:asciiTheme="majorBidi" w:hAnsiTheme="majorBidi" w:cstheme="majorBidi"/>
          <w:sz w:val="24"/>
          <w:szCs w:val="24"/>
          <w:lang w:val="en-US"/>
        </w:rPr>
        <w:t>, 2016</w:t>
      </w:r>
      <w:r w:rsidRPr="005B0947">
        <w:rPr>
          <w:rFonts w:asciiTheme="majorBidi" w:hAnsiTheme="majorBidi" w:cstheme="majorBidi"/>
          <w:sz w:val="24"/>
          <w:szCs w:val="24"/>
          <w:rtl/>
          <w:lang w:val="en-US"/>
        </w:rPr>
        <w:t>)</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نظم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المعلومات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الجغرافية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هي</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عملية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رسم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الخرائط</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ودمج</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المعلومات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المستندة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إلى</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الكمبيوتر</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مع</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قدرة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إدارة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طبقات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البيانات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على</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اتخاذ</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القرارات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المناسبة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من</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خلال</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الجمع</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بين</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طبقات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المعلومات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الجغرافية</w:t>
      </w:r>
      <w:r w:rsidRPr="005B0947">
        <w:rPr>
          <w:rFonts w:ascii="Simplified Arabic" w:hAnsi="Simplified Arabic" w:cs="Simplified Arabic" w:hint="cs"/>
          <w:sz w:val="24"/>
          <w:szCs w:val="24"/>
          <w:rtl/>
          <w:lang w:bidi="ar-DZ"/>
        </w:rPr>
        <w:t xml:space="preserve"> </w:t>
      </w:r>
      <w:r w:rsidRPr="005B0947">
        <w:rPr>
          <w:rFonts w:asciiTheme="majorBidi" w:hAnsiTheme="majorBidi" w:cstheme="majorBidi"/>
          <w:sz w:val="24"/>
          <w:szCs w:val="24"/>
          <w:rtl/>
          <w:lang w:val="en-US"/>
        </w:rPr>
        <w:t>(</w:t>
      </w:r>
      <w:r w:rsidRPr="005B0947">
        <w:rPr>
          <w:rFonts w:asciiTheme="majorBidi" w:hAnsiTheme="majorBidi" w:cstheme="majorBidi"/>
          <w:sz w:val="24"/>
          <w:szCs w:val="24"/>
        </w:rPr>
        <w:t>Kazemi et al.</w:t>
      </w:r>
      <w:r w:rsidRPr="005B0947">
        <w:rPr>
          <w:rFonts w:asciiTheme="majorBidi" w:hAnsiTheme="majorBidi" w:cstheme="majorBidi"/>
          <w:sz w:val="24"/>
          <w:szCs w:val="24"/>
          <w:lang w:val="en-US"/>
        </w:rPr>
        <w:t>, 2016</w:t>
      </w:r>
      <w:r w:rsidRPr="005B0947">
        <w:rPr>
          <w:rFonts w:asciiTheme="majorBidi" w:hAnsiTheme="majorBidi" w:cstheme="majorBidi"/>
          <w:sz w:val="24"/>
          <w:szCs w:val="24"/>
          <w:rtl/>
          <w:lang w:val="en-US"/>
        </w:rPr>
        <w:t>)</w:t>
      </w:r>
      <w:r w:rsidRPr="005B0947">
        <w:rPr>
          <w:rFonts w:asciiTheme="minorBidi" w:hAnsiTheme="minorBidi"/>
          <w:color w:val="000000" w:themeColor="text1"/>
          <w:sz w:val="24"/>
          <w:szCs w:val="24"/>
          <w:rtl/>
          <w:lang w:val="en-US"/>
        </w:rPr>
        <w:t xml:space="preserve">. </w:t>
      </w:r>
      <w:r w:rsidRPr="005B0947">
        <w:rPr>
          <w:rFonts w:ascii="Simplified Arabic" w:hAnsi="Simplified Arabic" w:cs="Simplified Arabic" w:hint="cs"/>
          <w:sz w:val="24"/>
          <w:szCs w:val="24"/>
          <w:rtl/>
        </w:rPr>
        <w:t>وفقًا</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لذلك،</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تم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إجراء</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العديد</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من</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الدراسات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التي</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تؤكد</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على</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اعتماد</w:t>
      </w:r>
      <w:r w:rsidRPr="005B0947">
        <w:rPr>
          <w:rFonts w:asciiTheme="minorBidi" w:hAnsiTheme="minorBidi"/>
          <w:color w:val="000000" w:themeColor="text1"/>
          <w:sz w:val="24"/>
          <w:szCs w:val="24"/>
          <w:rtl/>
          <w:lang w:val="en-US"/>
        </w:rPr>
        <w:t xml:space="preserve"> </w:t>
      </w:r>
      <w:r w:rsidRPr="005B0947">
        <w:rPr>
          <w:rFonts w:asciiTheme="majorBidi" w:hAnsiTheme="majorBidi" w:cstheme="majorBidi"/>
          <w:color w:val="000000" w:themeColor="text1"/>
          <w:sz w:val="24"/>
          <w:szCs w:val="24"/>
          <w:lang w:val="en-US" w:bidi="ar-DZ"/>
        </w:rPr>
        <w:t>Delphi</w:t>
      </w:r>
      <w:r w:rsidRPr="005B0947">
        <w:rPr>
          <w:rFonts w:asciiTheme="minorBidi" w:hAnsiTheme="minorBidi"/>
          <w:color w:val="000000" w:themeColor="text1"/>
          <w:sz w:val="24"/>
          <w:szCs w:val="24"/>
          <w:rtl/>
          <w:lang w:val="en-US"/>
        </w:rPr>
        <w:t xml:space="preserve"> </w:t>
      </w:r>
      <w:r w:rsidRPr="005B0947">
        <w:rPr>
          <w:rFonts w:asciiTheme="minorBidi" w:hAnsiTheme="minorBidi" w:hint="cs"/>
          <w:color w:val="000000" w:themeColor="text1"/>
          <w:sz w:val="24"/>
          <w:szCs w:val="24"/>
          <w:rtl/>
          <w:lang w:val="en-US"/>
        </w:rPr>
        <w:t>و</w:t>
      </w:r>
      <w:r w:rsidRPr="005B0947">
        <w:rPr>
          <w:rFonts w:asciiTheme="majorBidi" w:hAnsiTheme="majorBidi" w:cstheme="majorBidi"/>
          <w:color w:val="000000" w:themeColor="text1"/>
          <w:sz w:val="24"/>
          <w:szCs w:val="24"/>
          <w:lang w:val="en-US" w:bidi="ar-DZ"/>
        </w:rPr>
        <w:t>AHP</w:t>
      </w:r>
      <w:r w:rsidRPr="005B0947">
        <w:rPr>
          <w:rFonts w:asciiTheme="minorBidi" w:hAnsiTheme="minorBidi" w:hint="cs"/>
          <w:color w:val="000000" w:themeColor="text1"/>
          <w:sz w:val="24"/>
          <w:szCs w:val="24"/>
          <w:rtl/>
          <w:lang w:val="en-US"/>
        </w:rPr>
        <w:t>،</w:t>
      </w:r>
      <w:r w:rsidRPr="005B0947">
        <w:rPr>
          <w:rFonts w:asciiTheme="minorBidi" w:hAnsiTheme="minorBidi"/>
          <w:color w:val="000000" w:themeColor="text1"/>
          <w:sz w:val="24"/>
          <w:szCs w:val="24"/>
          <w:rtl/>
          <w:lang w:val="en-US"/>
        </w:rPr>
        <w:t xml:space="preserve"> </w:t>
      </w:r>
      <w:r w:rsidRPr="005B0947">
        <w:rPr>
          <w:rFonts w:ascii="Simplified Arabic" w:hAnsi="Simplified Arabic" w:cs="Simplified Arabic" w:hint="cs"/>
          <w:sz w:val="24"/>
          <w:szCs w:val="24"/>
          <w:rtl/>
        </w:rPr>
        <w:t>أو</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مزيج</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من</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هذه</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الأساليب،</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مع</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نظم</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المعلومات</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الجغرافية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لتحليل</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و نمذجة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الملاءمة</w:t>
      </w:r>
      <w:r w:rsidRPr="005B0947">
        <w:rPr>
          <w:rFonts w:ascii="Simplified Arabic" w:hAnsi="Simplified Arabic" w:cs="Simplified Arabic"/>
          <w:sz w:val="24"/>
          <w:szCs w:val="24"/>
          <w:rtl/>
        </w:rPr>
        <w:t xml:space="preserve"> </w:t>
      </w:r>
      <w:r w:rsidRPr="005B0947">
        <w:rPr>
          <w:rFonts w:ascii="Simplified Arabic" w:hAnsi="Simplified Arabic" w:cs="Simplified Arabic" w:hint="cs"/>
          <w:sz w:val="24"/>
          <w:szCs w:val="24"/>
          <w:rtl/>
        </w:rPr>
        <w:t>المكانية.</w:t>
      </w:r>
      <w:r w:rsidRPr="005B0947">
        <w:rPr>
          <w:rFonts w:asciiTheme="minorBidi" w:hAnsiTheme="minorBidi"/>
          <w:color w:val="000000" w:themeColor="text1"/>
          <w:sz w:val="24"/>
          <w:szCs w:val="24"/>
          <w:lang w:val="en-US"/>
        </w:rPr>
        <w:tab/>
      </w:r>
    </w:p>
    <w:p w:rsidR="00C121B0" w:rsidRPr="001A051A" w:rsidRDefault="00C121B0" w:rsidP="001D0548">
      <w:pPr>
        <w:pStyle w:val="Paragraphedeliste"/>
        <w:numPr>
          <w:ilvl w:val="3"/>
          <w:numId w:val="163"/>
        </w:numPr>
        <w:tabs>
          <w:tab w:val="right" w:pos="992"/>
        </w:tabs>
        <w:bidi/>
        <w:spacing w:before="240" w:after="0"/>
        <w:ind w:left="0" w:firstLine="0"/>
        <w:jc w:val="both"/>
        <w:outlineLvl w:val="2"/>
        <w:rPr>
          <w:rFonts w:ascii="Simplified Arabic" w:hAnsi="Simplified Arabic" w:cs="Simplified Arabic"/>
          <w:b/>
          <w:bCs/>
          <w:sz w:val="24"/>
          <w:szCs w:val="24"/>
          <w:rtl/>
          <w:lang w:val="en-US"/>
        </w:rPr>
      </w:pPr>
      <w:bookmarkStart w:id="686" w:name="_Toc171803702"/>
      <w:r w:rsidRPr="001A051A">
        <w:rPr>
          <w:rFonts w:ascii="Simplified Arabic" w:hAnsi="Simplified Arabic" w:cs="Simplified Arabic"/>
          <w:b/>
          <w:bCs/>
          <w:sz w:val="24"/>
          <w:szCs w:val="24"/>
          <w:rtl/>
          <w:lang w:val="en-US"/>
        </w:rPr>
        <w:t>مصادر</w:t>
      </w:r>
      <w:r w:rsidRPr="001A051A">
        <w:rPr>
          <w:rFonts w:ascii="Simplified Arabic" w:hAnsi="Simplified Arabic" w:cs="Simplified Arabic"/>
          <w:b/>
          <w:bCs/>
          <w:sz w:val="24"/>
          <w:szCs w:val="24"/>
          <w:lang w:val="en-US"/>
        </w:rPr>
        <w:t xml:space="preserve"> </w:t>
      </w:r>
      <w:r w:rsidRPr="001A051A">
        <w:rPr>
          <w:rFonts w:ascii="Simplified Arabic" w:hAnsi="Simplified Arabic" w:cs="Simplified Arabic"/>
          <w:b/>
          <w:bCs/>
          <w:sz w:val="24"/>
          <w:szCs w:val="24"/>
          <w:rtl/>
          <w:lang w:val="en-US"/>
        </w:rPr>
        <w:t>بيانات</w:t>
      </w:r>
      <w:r w:rsidRPr="001A051A">
        <w:rPr>
          <w:rFonts w:ascii="Simplified Arabic" w:hAnsi="Simplified Arabic" w:cs="Simplified Arabic"/>
          <w:b/>
          <w:bCs/>
          <w:sz w:val="24"/>
          <w:szCs w:val="24"/>
          <w:lang w:val="en-US"/>
        </w:rPr>
        <w:t xml:space="preserve"> </w:t>
      </w:r>
      <w:r w:rsidRPr="001A051A">
        <w:rPr>
          <w:rFonts w:ascii="Simplified Arabic" w:hAnsi="Simplified Arabic" w:cs="Simplified Arabic"/>
          <w:b/>
          <w:bCs/>
          <w:sz w:val="24"/>
          <w:szCs w:val="24"/>
          <w:rtl/>
          <w:lang w:val="en-US"/>
        </w:rPr>
        <w:t>الدراسة</w:t>
      </w:r>
      <w:bookmarkEnd w:id="686"/>
    </w:p>
    <w:p w:rsidR="00C121B0" w:rsidRDefault="00C121B0" w:rsidP="00C121B0">
      <w:pPr>
        <w:autoSpaceDE w:val="0"/>
        <w:autoSpaceDN w:val="0"/>
        <w:bidi/>
        <w:adjustRightInd w:val="0"/>
        <w:spacing w:after="0"/>
        <w:ind w:firstLine="283"/>
        <w:jc w:val="both"/>
        <w:rPr>
          <w:rFonts w:ascii="Simplified Arabic" w:hAnsi="Simplified Arabic" w:cs="Simplified Arabic"/>
          <w:sz w:val="24"/>
          <w:szCs w:val="24"/>
          <w:rtl/>
        </w:rPr>
      </w:pPr>
      <w:r w:rsidRPr="000215BA">
        <w:rPr>
          <w:rFonts w:ascii="Simplified Arabic" w:hAnsi="Simplified Arabic" w:cs="Simplified Arabic" w:hint="cs"/>
          <w:sz w:val="24"/>
          <w:szCs w:val="24"/>
          <w:rtl/>
        </w:rPr>
        <w:t>تم</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الحصول</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على</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البيانات</w:t>
      </w:r>
      <w:r w:rsidRPr="000215BA">
        <w:rPr>
          <w:rFonts w:ascii="Simplified Arabic" w:hAnsi="Simplified Arabic" w:cs="Simplified Arabic"/>
          <w:sz w:val="24"/>
          <w:szCs w:val="24"/>
          <w:rtl/>
        </w:rPr>
        <w:t xml:space="preserve"> كما هو مطلوب لهذا البحث داخل مدينة بوسعادة</w:t>
      </w:r>
      <w:r w:rsidRPr="000215BA">
        <w:rPr>
          <w:rFonts w:ascii="Simplified Arabic" w:hAnsi="Simplified Arabic" w:cs="Simplified Arabic" w:hint="cs"/>
          <w:sz w:val="24"/>
          <w:szCs w:val="24"/>
          <w:rtl/>
        </w:rPr>
        <w:t xml:space="preserve"> للمرافق</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من</w:t>
      </w:r>
      <w:r w:rsidRPr="000215BA">
        <w:rPr>
          <w:rFonts w:ascii="Simplified Arabic" w:hAnsi="Simplified Arabic" w:cs="Simplified Arabic"/>
          <w:sz w:val="24"/>
          <w:szCs w:val="24"/>
          <w:rtl/>
        </w:rPr>
        <w:t xml:space="preserve"> </w:t>
      </w:r>
      <w:r>
        <w:rPr>
          <w:rFonts w:ascii="Simplified Arabic" w:hAnsi="Simplified Arabic" w:cs="Simplified Arabic" w:hint="cs"/>
          <w:sz w:val="24"/>
          <w:szCs w:val="24"/>
          <w:rtl/>
        </w:rPr>
        <w:t>بلدية بوسعادة</w:t>
      </w:r>
      <w:r w:rsidRPr="007833E1">
        <w:rPr>
          <w:rFonts w:ascii="Simplified Arabic" w:hAnsi="Simplified Arabic" w:cs="Simplified Arabic"/>
          <w:sz w:val="24"/>
          <w:szCs w:val="24"/>
          <w:rtl/>
        </w:rPr>
        <w:t xml:space="preserve">. </w:t>
      </w:r>
      <w:r w:rsidRPr="007833E1">
        <w:rPr>
          <w:rFonts w:ascii="Simplified Arabic" w:hAnsi="Simplified Arabic" w:cs="Simplified Arabic" w:hint="cs"/>
          <w:sz w:val="24"/>
          <w:szCs w:val="24"/>
          <w:rtl/>
        </w:rPr>
        <w:t xml:space="preserve">كما </w:t>
      </w:r>
      <w:r w:rsidRPr="000215BA">
        <w:rPr>
          <w:rFonts w:ascii="Simplified Arabic" w:hAnsi="Simplified Arabic" w:cs="Simplified Arabic" w:hint="cs"/>
          <w:sz w:val="24"/>
          <w:szCs w:val="24"/>
          <w:rtl/>
        </w:rPr>
        <w:t>تضمنت</w:t>
      </w:r>
      <w:r>
        <w:rPr>
          <w:rFonts w:ascii="Simplified Arabic" w:hAnsi="Simplified Arabic" w:cs="Simplified Arabic" w:hint="cs"/>
          <w:sz w:val="24"/>
          <w:szCs w:val="24"/>
          <w:rtl/>
        </w:rPr>
        <w:t xml:space="preserve"> العملية التحقيق الميداني للتأكد من</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المرافق</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الموجودة</w:t>
      </w:r>
      <w:r w:rsidRPr="000215BA">
        <w:rPr>
          <w:rFonts w:ascii="Simplified Arabic" w:hAnsi="Simplified Arabic" w:cs="Simplified Arabic"/>
          <w:sz w:val="24"/>
          <w:szCs w:val="24"/>
          <w:rtl/>
        </w:rPr>
        <w:t xml:space="preserve"> </w:t>
      </w:r>
      <w:r>
        <w:rPr>
          <w:rFonts w:ascii="Simplified Arabic" w:hAnsi="Simplified Arabic" w:cs="Simplified Arabic" w:hint="cs"/>
          <w:sz w:val="24"/>
          <w:szCs w:val="24"/>
          <w:rtl/>
        </w:rPr>
        <w:t>ك</w:t>
      </w:r>
      <w:r w:rsidRPr="000215BA">
        <w:rPr>
          <w:rFonts w:ascii="Simplified Arabic" w:hAnsi="Simplified Arabic" w:cs="Simplified Arabic" w:hint="cs"/>
          <w:sz w:val="24"/>
          <w:szCs w:val="24"/>
          <w:rtl/>
        </w:rPr>
        <w:t>التعليم</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المدارس</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الابتدائية</w:t>
      </w:r>
      <w:r w:rsidRPr="000215BA">
        <w:rPr>
          <w:rFonts w:ascii="Simplified Arabic" w:hAnsi="Simplified Arabic" w:cs="Simplified Arabic"/>
          <w:sz w:val="24"/>
          <w:szCs w:val="24"/>
          <w:rtl/>
        </w:rPr>
        <w:t>)</w:t>
      </w:r>
      <w:r w:rsidRPr="000215BA">
        <w:rPr>
          <w:rFonts w:ascii="Simplified Arabic" w:hAnsi="Simplified Arabic" w:cs="Simplified Arabic" w:hint="cs"/>
          <w:sz w:val="24"/>
          <w:szCs w:val="24"/>
          <w:rtl/>
        </w:rPr>
        <w:t>،</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المرافق</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المجتمعية</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المساجد، د</w:t>
      </w:r>
      <w:r>
        <w:rPr>
          <w:rFonts w:ascii="Simplified Arabic" w:hAnsi="Simplified Arabic" w:cs="Simplified Arabic" w:hint="cs"/>
          <w:sz w:val="24"/>
          <w:szCs w:val="24"/>
          <w:rtl/>
        </w:rPr>
        <w:t>و</w:t>
      </w:r>
      <w:r w:rsidRPr="000215BA">
        <w:rPr>
          <w:rFonts w:ascii="Simplified Arabic" w:hAnsi="Simplified Arabic" w:cs="Simplified Arabic" w:hint="cs"/>
          <w:sz w:val="24"/>
          <w:szCs w:val="24"/>
          <w:rtl/>
        </w:rPr>
        <w:t xml:space="preserve">ر </w:t>
      </w:r>
      <w:r w:rsidRPr="000215BA">
        <w:rPr>
          <w:rFonts w:ascii="Simplified Arabic" w:hAnsi="Simplified Arabic" w:cs="Simplified Arabic" w:hint="cs"/>
          <w:sz w:val="24"/>
          <w:szCs w:val="24"/>
          <w:rtl/>
        </w:rPr>
        <w:lastRenderedPageBreak/>
        <w:t>الشباب</w:t>
      </w:r>
      <w:r w:rsidRPr="000215BA">
        <w:rPr>
          <w:rFonts w:ascii="Simplified Arabic" w:hAnsi="Simplified Arabic" w:cs="Simplified Arabic"/>
          <w:sz w:val="24"/>
          <w:szCs w:val="24"/>
          <w:rtl/>
        </w:rPr>
        <w:t>)</w:t>
      </w:r>
      <w:r w:rsidRPr="000215BA">
        <w:rPr>
          <w:rFonts w:ascii="Simplified Arabic" w:hAnsi="Simplified Arabic" w:cs="Simplified Arabic" w:hint="cs"/>
          <w:sz w:val="24"/>
          <w:szCs w:val="24"/>
          <w:rtl/>
        </w:rPr>
        <w:t>،</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خدمات</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الطوارئ</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محطة</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الإسعاف</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والإطفاء</w:t>
      </w:r>
      <w:r w:rsidRPr="000215BA">
        <w:rPr>
          <w:rFonts w:ascii="Simplified Arabic" w:hAnsi="Simplified Arabic" w:cs="Simplified Arabic"/>
          <w:sz w:val="24"/>
          <w:szCs w:val="24"/>
          <w:rtl/>
        </w:rPr>
        <w:t>)</w:t>
      </w:r>
      <w:r w:rsidRPr="000215BA">
        <w:rPr>
          <w:rFonts w:ascii="Simplified Arabic" w:hAnsi="Simplified Arabic" w:cs="Simplified Arabic" w:hint="cs"/>
          <w:sz w:val="24"/>
          <w:szCs w:val="24"/>
          <w:rtl/>
        </w:rPr>
        <w:t>،</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الصحة</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المستشفيات</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والعيادات</w:t>
      </w:r>
      <w:r w:rsidRPr="000215BA">
        <w:rPr>
          <w:rFonts w:ascii="Simplified Arabic" w:hAnsi="Simplified Arabic" w:cs="Simplified Arabic"/>
          <w:sz w:val="24"/>
          <w:szCs w:val="24"/>
          <w:rtl/>
        </w:rPr>
        <w:t xml:space="preserve">) </w:t>
      </w:r>
      <w:r w:rsidRPr="000215BA">
        <w:rPr>
          <w:rFonts w:ascii="Simplified Arabic" w:hAnsi="Simplified Arabic" w:cs="Simplified Arabic" w:hint="cs"/>
          <w:sz w:val="24"/>
          <w:szCs w:val="24"/>
          <w:rtl/>
        </w:rPr>
        <w:t>والمرافق</w:t>
      </w:r>
      <w:r w:rsidRPr="000215BA">
        <w:rPr>
          <w:rFonts w:ascii="TraditionalArabic-Bold" w:cs="TraditionalArabic-Bold"/>
          <w:b/>
          <w:bCs/>
          <w:sz w:val="24"/>
          <w:szCs w:val="24"/>
          <w:rtl/>
        </w:rPr>
        <w:t xml:space="preserve"> </w:t>
      </w:r>
      <w:r>
        <w:rPr>
          <w:rFonts w:ascii="Simplified Arabic" w:hAnsi="Simplified Arabic" w:cs="Simplified Arabic" w:hint="cs"/>
          <w:sz w:val="24"/>
          <w:szCs w:val="24"/>
          <w:rtl/>
        </w:rPr>
        <w:t>الامنية</w:t>
      </w:r>
      <w:r w:rsidRPr="000215BA">
        <w:rPr>
          <w:rFonts w:ascii="Simplified Arabic" w:hAnsi="Simplified Arabic" w:cs="Simplified Arabic"/>
          <w:sz w:val="24"/>
          <w:szCs w:val="24"/>
          <w:rtl/>
        </w:rPr>
        <w:t xml:space="preserve"> (</w:t>
      </w:r>
      <w:r>
        <w:rPr>
          <w:rFonts w:ascii="Simplified Arabic" w:hAnsi="Simplified Arabic" w:cs="Simplified Arabic" w:hint="cs"/>
          <w:sz w:val="24"/>
          <w:szCs w:val="24"/>
          <w:rtl/>
        </w:rPr>
        <w:t>مراكز الشرطة</w:t>
      </w:r>
      <w:r w:rsidR="00D4062F">
        <w:rPr>
          <w:rFonts w:ascii="Simplified Arabic" w:hAnsi="Simplified Arabic" w:cs="Simplified Arabic" w:hint="cs"/>
          <w:sz w:val="24"/>
          <w:szCs w:val="24"/>
          <w:rtl/>
        </w:rPr>
        <w:t xml:space="preserve"> والدرك الوطني</w:t>
      </w:r>
      <w:r w:rsidRPr="000215BA">
        <w:rPr>
          <w:rFonts w:ascii="Simplified Arabic" w:hAnsi="Simplified Arabic" w:cs="Simplified Arabic"/>
          <w:sz w:val="24"/>
          <w:szCs w:val="24"/>
          <w:rtl/>
        </w:rPr>
        <w:t>)</w:t>
      </w:r>
      <w:r w:rsidRPr="000215BA">
        <w:rPr>
          <w:rFonts w:ascii="Simplified Arabic" w:hAnsi="Simplified Arabic" w:cs="Simplified Arabic" w:hint="cs"/>
          <w:sz w:val="24"/>
          <w:szCs w:val="24"/>
          <w:rtl/>
        </w:rPr>
        <w:t xml:space="preserve">. </w:t>
      </w:r>
    </w:p>
    <w:p w:rsidR="00C121B0" w:rsidRPr="00621906" w:rsidRDefault="00C121B0" w:rsidP="00C121B0">
      <w:pPr>
        <w:autoSpaceDE w:val="0"/>
        <w:autoSpaceDN w:val="0"/>
        <w:bidi/>
        <w:adjustRightInd w:val="0"/>
        <w:spacing w:after="0"/>
        <w:ind w:firstLine="283"/>
        <w:jc w:val="both"/>
        <w:rPr>
          <w:rFonts w:ascii="Simplified Arabic" w:hAnsi="Simplified Arabic" w:cs="Simplified Arabic"/>
          <w:sz w:val="24"/>
          <w:szCs w:val="24"/>
          <w:lang w:val="en-US"/>
        </w:rPr>
      </w:pPr>
      <w:r>
        <w:rPr>
          <w:rFonts w:ascii="Simplified Arabic" w:hAnsi="Simplified Arabic" w:cs="Simplified Arabic" w:hint="cs"/>
          <w:sz w:val="24"/>
          <w:szCs w:val="24"/>
          <w:rtl/>
        </w:rPr>
        <w:t xml:space="preserve">كما </w:t>
      </w:r>
      <w:r w:rsidRPr="000215BA">
        <w:rPr>
          <w:rFonts w:ascii="Simplified Arabic" w:hAnsi="Simplified Arabic" w:cs="Simplified Arabic" w:hint="cs"/>
          <w:sz w:val="24"/>
          <w:szCs w:val="24"/>
          <w:rtl/>
        </w:rPr>
        <w:t>اعتمدت</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الدراسة</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بشكل</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رئيسي</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على</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البيانات</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المكانية، التي</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توضح</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مواقع</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المدارس</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الحكومية</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للتعليم الأساسي</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وما</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بعد</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الأساسي</w:t>
      </w:r>
      <w:r w:rsidRPr="000215BA">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والمراكز الصحية الامنية مراكز العبادة </w:t>
      </w:r>
      <w:r w:rsidRPr="000215BA">
        <w:rPr>
          <w:rFonts w:ascii="Simplified Arabic" w:hAnsi="Simplified Arabic" w:cs="Simplified Arabic" w:hint="cs"/>
          <w:sz w:val="24"/>
          <w:szCs w:val="24"/>
          <w:rtl/>
        </w:rPr>
        <w:t>على</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خرائط</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الأقمار</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الصناعية</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المفتوحة</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المصدر،</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وعلى</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المعطيات</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التي يوفرها</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موقع</w:t>
      </w:r>
      <w:r w:rsidRPr="000215BA">
        <w:rPr>
          <w:rFonts w:ascii="TraditionalArabic" w:cs="TraditionalArabic" w:hint="cs"/>
          <w:sz w:val="24"/>
          <w:szCs w:val="24"/>
          <w:rtl/>
        </w:rPr>
        <w:t xml:space="preserve"> </w:t>
      </w:r>
      <w:r>
        <w:rPr>
          <w:rFonts w:asciiTheme="majorBidi" w:hAnsiTheme="majorBidi" w:cstheme="majorBidi"/>
          <w:sz w:val="24"/>
          <w:szCs w:val="24"/>
          <w:lang w:val="en-US"/>
        </w:rPr>
        <w:t>(</w:t>
      </w:r>
      <w:hyperlink r:id="rId239" w:history="1">
        <w:r w:rsidRPr="000F60B5">
          <w:rPr>
            <w:rStyle w:val="Lienhypertexte"/>
            <w:rFonts w:asciiTheme="majorBidi" w:hAnsiTheme="majorBidi" w:cstheme="majorBidi"/>
            <w:sz w:val="24"/>
            <w:szCs w:val="24"/>
            <w:lang w:val="en-US"/>
          </w:rPr>
          <w:t>https://www.openstreetmap.fr</w:t>
        </w:r>
      </w:hyperlink>
      <w:r>
        <w:rPr>
          <w:rFonts w:asciiTheme="majorBidi" w:hAnsiTheme="majorBidi" w:cs="Times New Roman"/>
          <w:sz w:val="24"/>
          <w:szCs w:val="24"/>
          <w:lang w:val="en-US"/>
        </w:rPr>
        <w:t>)</w:t>
      </w:r>
      <w:r>
        <w:rPr>
          <w:rFonts w:ascii="Simplified Arabic" w:hAnsi="Simplified Arabic" w:cs="Simplified Arabic" w:hint="cs"/>
          <w:sz w:val="24"/>
          <w:szCs w:val="24"/>
          <w:rtl/>
          <w:lang w:val="en-US"/>
        </w:rPr>
        <w:t xml:space="preserve"> </w:t>
      </w:r>
      <w:r w:rsidRPr="000215BA">
        <w:rPr>
          <w:rFonts w:ascii="Simplified Arabic" w:hAnsi="Simplified Arabic" w:cs="Simplified Arabic" w:hint="cs"/>
          <w:sz w:val="24"/>
          <w:szCs w:val="24"/>
          <w:rtl/>
        </w:rPr>
        <w:t>لمجال</w:t>
      </w:r>
      <w:r w:rsidRPr="000215BA">
        <w:rPr>
          <w:rFonts w:ascii="Simplified Arabic" w:hAnsi="Simplified Arabic" w:cs="Simplified Arabic"/>
          <w:sz w:val="24"/>
          <w:szCs w:val="24"/>
        </w:rPr>
        <w:t xml:space="preserve"> </w:t>
      </w:r>
      <w:r w:rsidRPr="000215BA">
        <w:rPr>
          <w:rFonts w:ascii="Simplified Arabic" w:hAnsi="Simplified Arabic" w:cs="Simplified Arabic" w:hint="cs"/>
          <w:sz w:val="24"/>
          <w:szCs w:val="24"/>
          <w:rtl/>
        </w:rPr>
        <w:t>الدراسة</w:t>
      </w:r>
      <w:r w:rsidRPr="000215BA">
        <w:rPr>
          <w:rFonts w:ascii="TraditionalArabic" w:cs="TraditionalArabic"/>
          <w:sz w:val="24"/>
          <w:szCs w:val="24"/>
        </w:rPr>
        <w:t>.</w:t>
      </w:r>
    </w:p>
    <w:p w:rsidR="00C121B0" w:rsidRPr="001A051A" w:rsidRDefault="008736F8" w:rsidP="00315EB8">
      <w:pPr>
        <w:pStyle w:val="Paragraphedeliste"/>
        <w:numPr>
          <w:ilvl w:val="3"/>
          <w:numId w:val="164"/>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687" w:name="_Toc171803703"/>
      <w:r>
        <w:rPr>
          <w:rFonts w:ascii="Simplified Arabic" w:hAnsi="Simplified Arabic" w:cs="Simplified Arabic" w:hint="cs"/>
          <w:b/>
          <w:bCs/>
          <w:sz w:val="24"/>
          <w:szCs w:val="24"/>
          <w:rtl/>
          <w:lang w:val="en-US"/>
        </w:rPr>
        <w:t>رسم ال</w:t>
      </w:r>
      <w:r w:rsidR="00C121B0" w:rsidRPr="001A051A">
        <w:rPr>
          <w:rFonts w:ascii="Simplified Arabic" w:hAnsi="Simplified Arabic" w:cs="Simplified Arabic"/>
          <w:b/>
          <w:bCs/>
          <w:sz w:val="24"/>
          <w:szCs w:val="24"/>
          <w:rtl/>
          <w:lang w:val="en-US"/>
        </w:rPr>
        <w:t xml:space="preserve">خرائط </w:t>
      </w:r>
      <w:r>
        <w:rPr>
          <w:rFonts w:ascii="Simplified Arabic" w:hAnsi="Simplified Arabic" w:cs="Simplified Arabic" w:hint="cs"/>
          <w:b/>
          <w:bCs/>
          <w:sz w:val="24"/>
          <w:szCs w:val="24"/>
          <w:rtl/>
          <w:lang w:val="en-US"/>
        </w:rPr>
        <w:t>ومناقشة المرونة المكانية ل</w:t>
      </w:r>
      <w:r w:rsidR="00C121B0" w:rsidRPr="001A051A">
        <w:rPr>
          <w:rFonts w:ascii="Simplified Arabic" w:hAnsi="Simplified Arabic" w:cs="Simplified Arabic"/>
          <w:b/>
          <w:bCs/>
          <w:sz w:val="24"/>
          <w:szCs w:val="24"/>
          <w:rtl/>
          <w:lang w:val="en-US"/>
        </w:rPr>
        <w:t>لمعايير</w:t>
      </w:r>
      <w:r w:rsidR="00C121B0" w:rsidRPr="001A051A">
        <w:rPr>
          <w:rFonts w:ascii="Simplified Arabic" w:hAnsi="Simplified Arabic" w:cs="Simplified Arabic" w:hint="cs"/>
          <w:b/>
          <w:bCs/>
          <w:sz w:val="24"/>
          <w:szCs w:val="24"/>
          <w:rtl/>
          <w:lang w:val="en-US"/>
        </w:rPr>
        <w:t xml:space="preserve"> السبعة</w:t>
      </w:r>
      <w:bookmarkEnd w:id="687"/>
      <w:r>
        <w:rPr>
          <w:rFonts w:ascii="Simplified Arabic" w:hAnsi="Simplified Arabic" w:cs="Simplified Arabic" w:hint="cs"/>
          <w:b/>
          <w:bCs/>
          <w:sz w:val="24"/>
          <w:szCs w:val="24"/>
          <w:rtl/>
          <w:lang w:val="en-US"/>
        </w:rPr>
        <w:t xml:space="preserve"> </w:t>
      </w:r>
    </w:p>
    <w:p w:rsidR="00E17AB8" w:rsidRDefault="00C121B0" w:rsidP="00E17AB8">
      <w:pPr>
        <w:bidi/>
        <w:spacing w:after="0"/>
        <w:ind w:firstLine="282"/>
        <w:jc w:val="both"/>
        <w:rPr>
          <w:rFonts w:ascii="Simplified Arabic" w:hAnsi="Simplified Arabic" w:cs="Simplified Arabic"/>
          <w:color w:val="000000" w:themeColor="text1"/>
          <w:sz w:val="24"/>
          <w:szCs w:val="24"/>
          <w:rtl/>
          <w:lang w:bidi="ar-DZ"/>
        </w:rPr>
      </w:pPr>
      <w:r w:rsidRPr="001F04E3">
        <w:rPr>
          <w:rFonts w:ascii="Simplified Arabic" w:hAnsi="Simplified Arabic" w:cs="Simplified Arabic"/>
          <w:color w:val="000000" w:themeColor="text1"/>
          <w:sz w:val="24"/>
          <w:szCs w:val="24"/>
          <w:rtl/>
          <w:lang w:bidi="ar-DZ"/>
        </w:rPr>
        <w:t>تم إدخال البيانات المكانية لكل معيار على منصة</w:t>
      </w:r>
      <w:r w:rsidRPr="00466163">
        <w:rPr>
          <w:rFonts w:asciiTheme="minorBidi" w:eastAsia="Times New Roman" w:hAnsiTheme="minorBidi"/>
          <w:b/>
          <w:sz w:val="24"/>
          <w:szCs w:val="24"/>
          <w:rtl/>
          <w:lang w:val="en-US" w:eastAsia="fr-FR"/>
        </w:rPr>
        <w:t xml:space="preserve"> </w:t>
      </w:r>
      <w:r w:rsidRPr="000D6B35">
        <w:rPr>
          <w:rFonts w:asciiTheme="majorBidi" w:hAnsiTheme="majorBidi" w:cstheme="majorBidi"/>
          <w:sz w:val="24"/>
          <w:szCs w:val="24"/>
          <w:lang w:val="en-US"/>
        </w:rPr>
        <w:t>ArcGIS</w:t>
      </w:r>
      <w:r w:rsidRPr="001F04E3">
        <w:rPr>
          <w:rFonts w:ascii="Simplified Arabic" w:hAnsi="Simplified Arabic" w:cs="Simplified Arabic" w:hint="cs"/>
          <w:color w:val="000000" w:themeColor="text1"/>
          <w:sz w:val="24"/>
          <w:szCs w:val="24"/>
          <w:rtl/>
          <w:lang w:bidi="ar-DZ"/>
        </w:rPr>
        <w:t>،</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باستخدام</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ميزة</w:t>
      </w:r>
      <w:r w:rsidRPr="00E859AC">
        <w:rPr>
          <w:color w:val="000000" w:themeColor="text1"/>
          <w:sz w:val="24"/>
          <w:szCs w:val="24"/>
          <w:rtl/>
          <w:lang w:bidi="ar-DZ"/>
        </w:rPr>
        <w:t xml:space="preserve"> </w:t>
      </w:r>
      <w:r w:rsidRPr="000B09B2">
        <w:rPr>
          <w:rFonts w:asciiTheme="majorBidi" w:hAnsiTheme="majorBidi" w:cstheme="majorBidi"/>
          <w:color w:val="000000" w:themeColor="text1"/>
          <w:sz w:val="24"/>
          <w:szCs w:val="24"/>
          <w:lang w:val="en-US" w:bidi="ar-DZ"/>
        </w:rPr>
        <w:t>Model Builder</w:t>
      </w:r>
      <w:r w:rsidRPr="001F04E3">
        <w:rPr>
          <w:rFonts w:ascii="Simplified Arabic" w:hAnsi="Simplified Arabic" w:cs="Simplified Arabic" w:hint="cs"/>
          <w:color w:val="000000" w:themeColor="text1"/>
          <w:sz w:val="24"/>
          <w:szCs w:val="24"/>
          <w:rtl/>
          <w:lang w:bidi="ar-DZ"/>
        </w:rPr>
        <w:t>،</w:t>
      </w:r>
      <w:r w:rsidRPr="001F04E3">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 xml:space="preserve">وباستعمال اداة </w:t>
      </w:r>
      <w:r w:rsidRPr="000B09B2">
        <w:rPr>
          <w:rFonts w:asciiTheme="majorBidi" w:hAnsiTheme="majorBidi" w:cstheme="majorBidi"/>
          <w:color w:val="000000" w:themeColor="text1"/>
          <w:sz w:val="24"/>
          <w:szCs w:val="24"/>
          <w:lang w:bidi="ar-DZ"/>
        </w:rPr>
        <w:t>Raster Calculator</w:t>
      </w:r>
      <w:r>
        <w:rPr>
          <w:rFonts w:ascii="Simplified Arabic" w:hAnsi="Simplified Arabic" w:cs="Simplified Arabic" w:hint="cs"/>
          <w:color w:val="000000" w:themeColor="text1"/>
          <w:sz w:val="24"/>
          <w:szCs w:val="24"/>
          <w:rtl/>
          <w:lang w:val="en-US" w:bidi="ar-DZ"/>
        </w:rPr>
        <w:t xml:space="preserve"> من قائمة </w:t>
      </w:r>
      <w:r w:rsidRPr="000B09B2">
        <w:rPr>
          <w:rFonts w:asciiTheme="majorBidi" w:hAnsiTheme="majorBidi" w:cstheme="majorBidi"/>
          <w:color w:val="000000" w:themeColor="text1"/>
          <w:sz w:val="24"/>
          <w:szCs w:val="24"/>
          <w:lang w:bidi="ar-DZ"/>
        </w:rPr>
        <w:t xml:space="preserve">Arc </w:t>
      </w:r>
      <w:r w:rsidRPr="000B09B2">
        <w:rPr>
          <w:rFonts w:asciiTheme="majorBidi" w:hAnsiTheme="majorBidi" w:cstheme="majorBidi"/>
          <w:color w:val="000000" w:themeColor="text1"/>
          <w:sz w:val="24"/>
          <w:szCs w:val="24"/>
          <w:lang w:val="en-US" w:bidi="ar-DZ"/>
        </w:rPr>
        <w:t>Toolbox</w:t>
      </w:r>
      <w:r>
        <w:rPr>
          <w:rFonts w:ascii="Simplified Arabic" w:hAnsi="Simplified Arabic" w:cs="Simplified Arabic" w:hint="cs"/>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يقوم</w:t>
      </w:r>
      <w:r w:rsidRPr="00E859AC">
        <w:rPr>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البرنامج</w:t>
      </w:r>
      <w:r w:rsidRPr="001F04E3">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بالت</w:t>
      </w:r>
      <w:r w:rsidRPr="001F04E3">
        <w:rPr>
          <w:rFonts w:ascii="Simplified Arabic" w:hAnsi="Simplified Arabic" w:cs="Simplified Arabic" w:hint="cs"/>
          <w:color w:val="000000" w:themeColor="text1"/>
          <w:sz w:val="24"/>
          <w:szCs w:val="24"/>
          <w:rtl/>
          <w:lang w:bidi="ar-DZ"/>
        </w:rPr>
        <w:t>حليل</w:t>
      </w:r>
      <w:r>
        <w:rPr>
          <w:rFonts w:ascii="Simplified Arabic" w:hAnsi="Simplified Arabic" w:cs="Simplified Arabic" w:hint="cs"/>
          <w:color w:val="000000" w:themeColor="text1"/>
          <w:sz w:val="24"/>
          <w:szCs w:val="24"/>
          <w:rtl/>
          <w:lang w:bidi="ar-DZ"/>
        </w:rPr>
        <w:t xml:space="preserve"> المكاني</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وجمعها</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في</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خريطة</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واحدة،</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بحيث</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ينتج</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في</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النهاية</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خريطة</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تتكون</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من</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ثلاث</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طبقات</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وفقًا</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لكثافة البناء ولمسافة الوصول الى مراكز</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المرافق</w:t>
      </w:r>
      <w:r>
        <w:rPr>
          <w:rFonts w:ascii="Simplified Arabic" w:hAnsi="Simplified Arabic" w:cs="Simplified Arabic" w:hint="cs"/>
          <w:color w:val="000000" w:themeColor="text1"/>
          <w:sz w:val="24"/>
          <w:szCs w:val="24"/>
          <w:rtl/>
          <w:lang w:bidi="ar-DZ"/>
        </w:rPr>
        <w:t xml:space="preserve"> </w:t>
      </w:r>
      <w:r w:rsidRPr="00621906">
        <w:rPr>
          <w:rFonts w:ascii="Simplified Arabic" w:hAnsi="Simplified Arabic" w:cs="Simplified Arabic" w:hint="cs"/>
          <w:color w:val="000000" w:themeColor="text1"/>
          <w:sz w:val="24"/>
          <w:szCs w:val="24"/>
          <w:rtl/>
          <w:lang w:bidi="ar-DZ"/>
        </w:rPr>
        <w:t>العمومية و</w:t>
      </w:r>
      <w:r>
        <w:rPr>
          <w:rFonts w:ascii="Simplified Arabic" w:hAnsi="Simplified Arabic" w:cs="Simplified Arabic" w:hint="cs"/>
          <w:color w:val="000000" w:themeColor="text1"/>
          <w:sz w:val="24"/>
          <w:szCs w:val="24"/>
          <w:rtl/>
          <w:lang w:bidi="ar-DZ"/>
        </w:rPr>
        <w:t>تكرار</w:t>
      </w:r>
      <w:r w:rsidRPr="00621906">
        <w:rPr>
          <w:rFonts w:ascii="Simplified Arabic" w:hAnsi="Simplified Arabic" w:cs="Simplified Arabic" w:hint="cs"/>
          <w:color w:val="000000" w:themeColor="text1"/>
          <w:sz w:val="24"/>
          <w:szCs w:val="24"/>
          <w:rtl/>
          <w:lang w:bidi="ar-DZ"/>
        </w:rPr>
        <w:t xml:space="preserve"> تقاطع </w:t>
      </w:r>
      <w:r w:rsidR="008B107D" w:rsidRPr="00621906">
        <w:rPr>
          <w:rFonts w:ascii="Simplified Arabic" w:hAnsi="Simplified Arabic" w:cs="Simplified Arabic" w:hint="cs"/>
          <w:color w:val="000000" w:themeColor="text1"/>
          <w:sz w:val="24"/>
          <w:szCs w:val="24"/>
          <w:rtl/>
          <w:lang w:bidi="ar-DZ"/>
        </w:rPr>
        <w:t xml:space="preserve">شبكة </w:t>
      </w:r>
      <w:r w:rsidR="008B107D">
        <w:rPr>
          <w:rFonts w:ascii="Simplified Arabic" w:hAnsi="Simplified Arabic" w:cs="Simplified Arabic" w:hint="cs"/>
          <w:color w:val="000000" w:themeColor="text1"/>
          <w:sz w:val="24"/>
          <w:szCs w:val="24"/>
          <w:rtl/>
          <w:lang w:bidi="ar-DZ"/>
        </w:rPr>
        <w:t xml:space="preserve">الطرق </w:t>
      </w:r>
      <w:r>
        <w:rPr>
          <w:rFonts w:ascii="Simplified Arabic" w:hAnsi="Simplified Arabic" w:cs="Simplified Arabic" w:hint="cs"/>
          <w:color w:val="000000" w:themeColor="text1"/>
          <w:sz w:val="24"/>
          <w:szCs w:val="24"/>
          <w:rtl/>
          <w:lang w:bidi="ar-DZ"/>
        </w:rPr>
        <w:t xml:space="preserve">وعمق </w:t>
      </w:r>
      <w:r w:rsidRPr="00621906">
        <w:rPr>
          <w:rFonts w:ascii="Simplified Arabic" w:hAnsi="Simplified Arabic" w:cs="Simplified Arabic" w:hint="cs"/>
          <w:color w:val="000000" w:themeColor="text1"/>
          <w:sz w:val="24"/>
          <w:szCs w:val="24"/>
          <w:rtl/>
          <w:lang w:bidi="ar-DZ"/>
        </w:rPr>
        <w:t>الطرق الشريانية</w:t>
      </w:r>
      <w:r w:rsidRPr="001F04E3">
        <w:rPr>
          <w:rFonts w:ascii="Simplified Arabic" w:hAnsi="Simplified Arabic" w:cs="Simplified Arabic"/>
          <w:color w:val="000000" w:themeColor="text1"/>
          <w:sz w:val="24"/>
          <w:szCs w:val="24"/>
          <w:rtl/>
          <w:lang w:bidi="ar-DZ"/>
        </w:rPr>
        <w:t>.</w:t>
      </w:r>
      <w:r w:rsidRPr="001F04E3">
        <w:rPr>
          <w:rFonts w:ascii="Simplified Arabic" w:hAnsi="Simplified Arabic" w:cs="Simplified Arabic" w:hint="cs"/>
          <w:color w:val="000000" w:themeColor="text1"/>
          <w:sz w:val="24"/>
          <w:szCs w:val="24"/>
          <w:rtl/>
          <w:lang w:bidi="ar-DZ"/>
        </w:rPr>
        <w:t xml:space="preserve"> </w:t>
      </w:r>
      <w:r w:rsidRPr="001F04E3">
        <w:rPr>
          <w:rFonts w:ascii="Simplified Arabic" w:hAnsi="Simplified Arabic" w:cs="Simplified Arabic"/>
          <w:color w:val="000000" w:themeColor="text1"/>
          <w:sz w:val="24"/>
          <w:szCs w:val="24"/>
          <w:rtl/>
          <w:lang w:bidi="ar-DZ"/>
        </w:rPr>
        <w:t xml:space="preserve">تم الحصول على بيانات </w:t>
      </w:r>
      <w:r w:rsidRPr="001F04E3">
        <w:rPr>
          <w:rFonts w:ascii="Simplified Arabic" w:hAnsi="Simplified Arabic" w:cs="Simplified Arabic" w:hint="cs"/>
          <w:color w:val="000000" w:themeColor="text1"/>
          <w:sz w:val="24"/>
          <w:szCs w:val="24"/>
          <w:rtl/>
          <w:lang w:bidi="ar-DZ"/>
        </w:rPr>
        <w:t>المعايير</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عن طريق مخطط التعمير و المسح الميداني</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تم انشاء</w:t>
      </w:r>
      <w:r w:rsidRPr="001F04E3">
        <w:rPr>
          <w:rFonts w:ascii="Simplified Arabic" w:hAnsi="Simplified Arabic" w:cs="Simplified Arabic"/>
          <w:color w:val="000000" w:themeColor="text1"/>
          <w:sz w:val="24"/>
          <w:szCs w:val="24"/>
          <w:rtl/>
          <w:lang w:bidi="ar-DZ"/>
        </w:rPr>
        <w:t xml:space="preserve"> خرائط المعايير</w:t>
      </w:r>
      <w:r w:rsidRPr="001F04E3">
        <w:rPr>
          <w:rFonts w:ascii="Simplified Arabic" w:hAnsi="Simplified Arabic" w:cs="Simplified Arabic" w:hint="cs"/>
          <w:color w:val="000000" w:themeColor="text1"/>
          <w:sz w:val="24"/>
          <w:szCs w:val="24"/>
          <w:rtl/>
          <w:lang w:bidi="ar-DZ"/>
        </w:rPr>
        <w:t xml:space="preserve"> </w:t>
      </w:r>
      <w:r w:rsidRPr="001F04E3">
        <w:rPr>
          <w:rFonts w:ascii="Simplified Arabic" w:hAnsi="Simplified Arabic" w:cs="Simplified Arabic"/>
          <w:color w:val="000000" w:themeColor="text1"/>
          <w:sz w:val="24"/>
          <w:szCs w:val="24"/>
          <w:rtl/>
          <w:lang w:bidi="ar-DZ"/>
        </w:rPr>
        <w:t>في برنامج</w:t>
      </w:r>
      <w:r>
        <w:rPr>
          <w:rFonts w:ascii="Simplified Arabic" w:hAnsi="Simplified Arabic" w:cs="Simplified Arabic"/>
          <w:color w:val="000000" w:themeColor="text1"/>
          <w:sz w:val="24"/>
          <w:szCs w:val="24"/>
          <w:lang w:bidi="ar-DZ"/>
        </w:rPr>
        <w:t xml:space="preserve">10.3 </w:t>
      </w:r>
      <w:r w:rsidRPr="00E859AC">
        <w:rPr>
          <w:color w:val="000000" w:themeColor="text1"/>
          <w:sz w:val="24"/>
          <w:szCs w:val="24"/>
          <w:rtl/>
          <w:lang w:bidi="ar-DZ"/>
        </w:rPr>
        <w:t xml:space="preserve"> </w:t>
      </w:r>
      <w:r w:rsidRPr="000D6B35">
        <w:rPr>
          <w:rFonts w:asciiTheme="majorBidi" w:hAnsiTheme="majorBidi" w:cstheme="majorBidi"/>
          <w:sz w:val="24"/>
          <w:szCs w:val="24"/>
          <w:lang w:val="en-US"/>
        </w:rPr>
        <w:t>ArcGIS</w:t>
      </w:r>
      <w:r w:rsidRPr="001F04E3">
        <w:rPr>
          <w:rFonts w:ascii="Simplified Arabic" w:hAnsi="Simplified Arabic" w:cs="Simplified Arabic" w:hint="cs"/>
          <w:color w:val="000000" w:themeColor="text1"/>
          <w:sz w:val="24"/>
          <w:szCs w:val="24"/>
          <w:rtl/>
          <w:lang w:bidi="ar-DZ"/>
        </w:rPr>
        <w:t xml:space="preserve"> كما هو موضح في </w:t>
      </w:r>
      <w:r w:rsidR="00917788">
        <w:rPr>
          <w:rFonts w:ascii="Simplified Arabic" w:hAnsi="Simplified Arabic" w:cs="Simplified Arabic" w:hint="cs"/>
          <w:color w:val="000000" w:themeColor="text1"/>
          <w:sz w:val="24"/>
          <w:szCs w:val="24"/>
          <w:rtl/>
          <w:lang w:bidi="ar-DZ"/>
        </w:rPr>
        <w:t>الخريطة</w:t>
      </w:r>
      <w:r w:rsidRPr="001F04E3">
        <w:rPr>
          <w:rFonts w:ascii="Simplified Arabic" w:hAnsi="Simplified Arabic" w:cs="Simplified Arabic"/>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w:t>
      </w:r>
      <w:r w:rsidR="00917788">
        <w:rPr>
          <w:rFonts w:ascii="Simplified Arabic" w:hAnsi="Simplified Arabic" w:cs="Simplified Arabic" w:hint="cs"/>
          <w:color w:val="000000" w:themeColor="text1"/>
          <w:sz w:val="24"/>
          <w:szCs w:val="24"/>
          <w:rtl/>
          <w:lang w:bidi="ar-DZ"/>
        </w:rPr>
        <w:t>5-1</w:t>
      </w:r>
      <w:r w:rsidRPr="001F04E3">
        <w:rPr>
          <w:rFonts w:ascii="Simplified Arabic" w:hAnsi="Simplified Arabic" w:cs="Simplified Arabic" w:hint="cs"/>
          <w:color w:val="000000" w:themeColor="text1"/>
          <w:sz w:val="24"/>
          <w:szCs w:val="24"/>
          <w:rtl/>
          <w:lang w:bidi="ar-DZ"/>
        </w:rPr>
        <w:t>)</w:t>
      </w:r>
      <w:r>
        <w:rPr>
          <w:rFonts w:ascii="Simplified Arabic" w:hAnsi="Simplified Arabic" w:cs="Simplified Arabic" w:hint="cs"/>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w:t>
      </w:r>
      <w:r w:rsidR="00917788">
        <w:rPr>
          <w:rFonts w:ascii="Simplified Arabic" w:hAnsi="Simplified Arabic" w:cs="Simplified Arabic" w:hint="cs"/>
          <w:color w:val="000000" w:themeColor="text1"/>
          <w:sz w:val="24"/>
          <w:szCs w:val="24"/>
          <w:rtl/>
          <w:lang w:bidi="ar-DZ"/>
        </w:rPr>
        <w:t>5-2</w:t>
      </w:r>
      <w:r w:rsidRPr="001F04E3">
        <w:rPr>
          <w:rFonts w:ascii="Simplified Arabic" w:hAnsi="Simplified Arabic" w:cs="Simplified Arabic" w:hint="cs"/>
          <w:color w:val="000000" w:themeColor="text1"/>
          <w:sz w:val="24"/>
          <w:szCs w:val="24"/>
          <w:rtl/>
          <w:lang w:bidi="ar-DZ"/>
        </w:rPr>
        <w:t>)</w:t>
      </w:r>
      <w:r>
        <w:rPr>
          <w:rFonts w:ascii="Simplified Arabic" w:hAnsi="Simplified Arabic" w:cs="Simplified Arabic" w:hint="cs"/>
          <w:color w:val="000000" w:themeColor="text1"/>
          <w:sz w:val="24"/>
          <w:szCs w:val="24"/>
          <w:rtl/>
          <w:lang w:bidi="ar-DZ"/>
        </w:rPr>
        <w:t>،</w:t>
      </w:r>
      <w:r w:rsidRPr="008A1E4B">
        <w:rPr>
          <w:rFonts w:ascii="Simplified Arabic" w:hAnsi="Simplified Arabic" w:cs="Simplified Arabic" w:hint="cs"/>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w:t>
      </w:r>
      <w:r w:rsidR="00917788">
        <w:rPr>
          <w:rFonts w:ascii="Simplified Arabic" w:hAnsi="Simplified Arabic" w:cs="Simplified Arabic" w:hint="cs"/>
          <w:color w:val="000000" w:themeColor="text1"/>
          <w:sz w:val="24"/>
          <w:szCs w:val="24"/>
          <w:rtl/>
          <w:lang w:bidi="ar-DZ"/>
        </w:rPr>
        <w:t>5-3</w:t>
      </w:r>
      <w:r w:rsidRPr="001F04E3">
        <w:rPr>
          <w:rFonts w:ascii="Simplified Arabic" w:hAnsi="Simplified Arabic" w:cs="Simplified Arabic" w:hint="cs"/>
          <w:color w:val="000000" w:themeColor="text1"/>
          <w:sz w:val="24"/>
          <w:szCs w:val="24"/>
          <w:rtl/>
          <w:lang w:bidi="ar-DZ"/>
        </w:rPr>
        <w:t>)</w:t>
      </w:r>
      <w:r>
        <w:rPr>
          <w:rFonts w:ascii="Simplified Arabic" w:hAnsi="Simplified Arabic" w:cs="Simplified Arabic" w:hint="cs"/>
          <w:color w:val="000000" w:themeColor="text1"/>
          <w:sz w:val="24"/>
          <w:szCs w:val="24"/>
          <w:rtl/>
          <w:lang w:bidi="ar-DZ"/>
        </w:rPr>
        <w:t>،</w:t>
      </w:r>
      <w:r w:rsidRPr="008A1E4B">
        <w:rPr>
          <w:rFonts w:ascii="Simplified Arabic" w:hAnsi="Simplified Arabic" w:cs="Simplified Arabic" w:hint="cs"/>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w:t>
      </w:r>
      <w:r w:rsidR="00917788">
        <w:rPr>
          <w:rFonts w:ascii="Simplified Arabic" w:hAnsi="Simplified Arabic" w:cs="Simplified Arabic" w:hint="cs"/>
          <w:color w:val="000000" w:themeColor="text1"/>
          <w:sz w:val="24"/>
          <w:szCs w:val="24"/>
          <w:rtl/>
          <w:lang w:bidi="ar-DZ"/>
        </w:rPr>
        <w:t>5-4</w:t>
      </w:r>
      <w:r w:rsidRPr="001F04E3">
        <w:rPr>
          <w:rFonts w:ascii="Simplified Arabic" w:hAnsi="Simplified Arabic" w:cs="Simplified Arabic" w:hint="cs"/>
          <w:color w:val="000000" w:themeColor="text1"/>
          <w:sz w:val="24"/>
          <w:szCs w:val="24"/>
          <w:rtl/>
          <w:lang w:bidi="ar-DZ"/>
        </w:rPr>
        <w:t>)</w:t>
      </w:r>
      <w:r w:rsidR="005E5A95">
        <w:rPr>
          <w:rFonts w:ascii="Simplified Arabic" w:hAnsi="Simplified Arabic" w:cs="Simplified Arabic" w:hint="cs"/>
          <w:color w:val="000000" w:themeColor="text1"/>
          <w:sz w:val="24"/>
          <w:szCs w:val="24"/>
          <w:rtl/>
          <w:lang w:bidi="ar-DZ"/>
        </w:rPr>
        <w:t xml:space="preserve">، </w:t>
      </w:r>
      <w:r w:rsidRPr="001F04E3">
        <w:rPr>
          <w:rFonts w:ascii="Simplified Arabic" w:hAnsi="Simplified Arabic" w:cs="Simplified Arabic" w:hint="cs"/>
          <w:color w:val="000000" w:themeColor="text1"/>
          <w:sz w:val="24"/>
          <w:szCs w:val="24"/>
          <w:rtl/>
          <w:lang w:bidi="ar-DZ"/>
        </w:rPr>
        <w:t>(</w:t>
      </w:r>
      <w:r w:rsidR="00917788">
        <w:rPr>
          <w:rFonts w:ascii="Simplified Arabic" w:hAnsi="Simplified Arabic" w:cs="Simplified Arabic" w:hint="cs"/>
          <w:color w:val="000000" w:themeColor="text1"/>
          <w:sz w:val="24"/>
          <w:szCs w:val="24"/>
          <w:rtl/>
          <w:lang w:bidi="ar-DZ"/>
        </w:rPr>
        <w:t>5-5</w:t>
      </w:r>
      <w:r w:rsidRPr="001F04E3">
        <w:rPr>
          <w:rFonts w:ascii="Simplified Arabic" w:hAnsi="Simplified Arabic" w:cs="Simplified Arabic" w:hint="cs"/>
          <w:color w:val="000000" w:themeColor="text1"/>
          <w:sz w:val="24"/>
          <w:szCs w:val="24"/>
          <w:rtl/>
          <w:lang w:bidi="ar-DZ"/>
        </w:rPr>
        <w:t>)</w:t>
      </w:r>
      <w:r w:rsidR="005E5A95">
        <w:rPr>
          <w:rFonts w:ascii="Simplified Arabic" w:hAnsi="Simplified Arabic" w:cs="Simplified Arabic" w:hint="cs"/>
          <w:color w:val="000000" w:themeColor="text1"/>
          <w:sz w:val="24"/>
          <w:szCs w:val="24"/>
          <w:rtl/>
          <w:lang w:bidi="ar-DZ"/>
        </w:rPr>
        <w:t xml:space="preserve">، </w:t>
      </w:r>
      <w:r w:rsidR="005E5A95" w:rsidRPr="001F04E3">
        <w:rPr>
          <w:rFonts w:ascii="Simplified Arabic" w:hAnsi="Simplified Arabic" w:cs="Simplified Arabic" w:hint="cs"/>
          <w:color w:val="000000" w:themeColor="text1"/>
          <w:sz w:val="24"/>
          <w:szCs w:val="24"/>
          <w:rtl/>
          <w:lang w:bidi="ar-DZ"/>
        </w:rPr>
        <w:t>(</w:t>
      </w:r>
      <w:r w:rsidR="005E5A95">
        <w:rPr>
          <w:rFonts w:ascii="Simplified Arabic" w:hAnsi="Simplified Arabic" w:cs="Simplified Arabic" w:hint="cs"/>
          <w:color w:val="000000" w:themeColor="text1"/>
          <w:sz w:val="24"/>
          <w:szCs w:val="24"/>
          <w:rtl/>
          <w:lang w:bidi="ar-DZ"/>
        </w:rPr>
        <w:t>5-6</w:t>
      </w:r>
      <w:r w:rsidR="005E5A95" w:rsidRPr="001F04E3">
        <w:rPr>
          <w:rFonts w:ascii="Simplified Arabic" w:hAnsi="Simplified Arabic" w:cs="Simplified Arabic" w:hint="cs"/>
          <w:color w:val="000000" w:themeColor="text1"/>
          <w:sz w:val="24"/>
          <w:szCs w:val="24"/>
          <w:rtl/>
          <w:lang w:bidi="ar-DZ"/>
        </w:rPr>
        <w:t>)</w:t>
      </w:r>
      <w:r w:rsidR="005E5A95">
        <w:rPr>
          <w:rFonts w:ascii="Simplified Arabic" w:hAnsi="Simplified Arabic" w:cs="Simplified Arabic" w:hint="cs"/>
          <w:color w:val="000000" w:themeColor="text1"/>
          <w:sz w:val="24"/>
          <w:szCs w:val="24"/>
          <w:rtl/>
          <w:lang w:bidi="ar-DZ"/>
        </w:rPr>
        <w:t>،</w:t>
      </w:r>
      <w:r w:rsidR="005E5A95" w:rsidRPr="005E5A95">
        <w:rPr>
          <w:rFonts w:ascii="Simplified Arabic" w:hAnsi="Simplified Arabic" w:cs="Simplified Arabic" w:hint="cs"/>
          <w:color w:val="000000" w:themeColor="text1"/>
          <w:sz w:val="24"/>
          <w:szCs w:val="24"/>
          <w:rtl/>
          <w:lang w:bidi="ar-DZ"/>
        </w:rPr>
        <w:t xml:space="preserve"> </w:t>
      </w:r>
      <w:r w:rsidR="005E5A95" w:rsidRPr="001F04E3">
        <w:rPr>
          <w:rFonts w:ascii="Simplified Arabic" w:hAnsi="Simplified Arabic" w:cs="Simplified Arabic" w:hint="cs"/>
          <w:color w:val="000000" w:themeColor="text1"/>
          <w:sz w:val="24"/>
          <w:szCs w:val="24"/>
          <w:rtl/>
          <w:lang w:bidi="ar-DZ"/>
        </w:rPr>
        <w:t>(</w:t>
      </w:r>
      <w:r w:rsidR="008736F8">
        <w:rPr>
          <w:rFonts w:ascii="Simplified Arabic" w:hAnsi="Simplified Arabic" w:cs="Simplified Arabic" w:hint="cs"/>
          <w:color w:val="000000" w:themeColor="text1"/>
          <w:sz w:val="24"/>
          <w:szCs w:val="24"/>
          <w:rtl/>
          <w:lang w:bidi="ar-DZ"/>
        </w:rPr>
        <w:t>(</w:t>
      </w:r>
      <w:r w:rsidR="005E5A95">
        <w:rPr>
          <w:rFonts w:ascii="Simplified Arabic" w:hAnsi="Simplified Arabic" w:cs="Simplified Arabic" w:hint="cs"/>
          <w:color w:val="000000" w:themeColor="text1"/>
          <w:sz w:val="24"/>
          <w:szCs w:val="24"/>
          <w:rtl/>
          <w:lang w:bidi="ar-DZ"/>
        </w:rPr>
        <w:t>5-7</w:t>
      </w:r>
      <w:r w:rsidR="008736F8">
        <w:rPr>
          <w:rFonts w:ascii="Simplified Arabic" w:hAnsi="Simplified Arabic" w:cs="Simplified Arabic" w:hint="cs"/>
          <w:color w:val="000000" w:themeColor="text1"/>
          <w:sz w:val="24"/>
          <w:szCs w:val="24"/>
          <w:rtl/>
          <w:lang w:bidi="ar-DZ"/>
        </w:rPr>
        <w:t>-1</w:t>
      </w:r>
      <w:r w:rsidR="005E5A95" w:rsidRPr="001F04E3">
        <w:rPr>
          <w:rFonts w:ascii="Simplified Arabic" w:hAnsi="Simplified Arabic" w:cs="Simplified Arabic" w:hint="cs"/>
          <w:color w:val="000000" w:themeColor="text1"/>
          <w:sz w:val="24"/>
          <w:szCs w:val="24"/>
          <w:rtl/>
          <w:lang w:bidi="ar-DZ"/>
        </w:rPr>
        <w:t>)</w:t>
      </w:r>
      <w:r w:rsidR="005E5A95">
        <w:rPr>
          <w:rFonts w:ascii="Simplified Arabic" w:hAnsi="Simplified Arabic" w:cs="Simplified Arabic" w:hint="cs"/>
          <w:color w:val="000000" w:themeColor="text1"/>
          <w:sz w:val="24"/>
          <w:szCs w:val="24"/>
          <w:rtl/>
          <w:lang w:bidi="ar-DZ"/>
        </w:rPr>
        <w:t xml:space="preserve"> و</w:t>
      </w:r>
      <w:r w:rsidR="005E5A95" w:rsidRPr="001F04E3">
        <w:rPr>
          <w:rFonts w:ascii="Simplified Arabic" w:hAnsi="Simplified Arabic" w:cs="Simplified Arabic" w:hint="cs"/>
          <w:color w:val="000000" w:themeColor="text1"/>
          <w:sz w:val="24"/>
          <w:szCs w:val="24"/>
          <w:rtl/>
          <w:lang w:bidi="ar-DZ"/>
        </w:rPr>
        <w:t>(</w:t>
      </w:r>
      <w:r w:rsidR="005E5A95">
        <w:rPr>
          <w:rFonts w:ascii="Simplified Arabic" w:hAnsi="Simplified Arabic" w:cs="Simplified Arabic" w:hint="cs"/>
          <w:color w:val="000000" w:themeColor="text1"/>
          <w:sz w:val="24"/>
          <w:szCs w:val="24"/>
          <w:rtl/>
          <w:lang w:bidi="ar-DZ"/>
        </w:rPr>
        <w:t>5-8</w:t>
      </w:r>
      <w:r w:rsidR="005E5A95" w:rsidRPr="001F04E3">
        <w:rPr>
          <w:rFonts w:ascii="Simplified Arabic" w:hAnsi="Simplified Arabic" w:cs="Simplified Arabic" w:hint="cs"/>
          <w:color w:val="000000" w:themeColor="text1"/>
          <w:sz w:val="24"/>
          <w:szCs w:val="24"/>
          <w:rtl/>
          <w:lang w:bidi="ar-DZ"/>
        </w:rPr>
        <w:t>)</w:t>
      </w:r>
      <w:r w:rsidR="00E17AB8">
        <w:rPr>
          <w:rFonts w:ascii="Simplified Arabic" w:hAnsi="Simplified Arabic" w:cs="Simplified Arabic" w:hint="cs"/>
          <w:color w:val="000000" w:themeColor="text1"/>
          <w:sz w:val="24"/>
          <w:szCs w:val="24"/>
          <w:rtl/>
          <w:lang w:bidi="ar-DZ"/>
        </w:rPr>
        <w:t>.</w:t>
      </w:r>
    </w:p>
    <w:p w:rsidR="00C121B0" w:rsidRPr="002C0BFC" w:rsidRDefault="00E17AB8" w:rsidP="002C0BFC">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sidRPr="00CA51A1">
        <w:rPr>
          <w:rStyle w:val="y2iqfc"/>
          <w:rFonts w:ascii="Simplified Arabic" w:hAnsi="Simplified Arabic" w:cs="Simplified Arabic"/>
          <w:color w:val="202124"/>
          <w:sz w:val="24"/>
          <w:szCs w:val="24"/>
          <w:rtl/>
          <w:lang w:val="en-US" w:bidi="ar"/>
        </w:rPr>
        <w:t xml:space="preserve">لتقييم العوامل المؤثرة على المرونة الحضرية، تم دراسة تغيَرات امكانية الوصول الى مراكز </w:t>
      </w:r>
      <w:r>
        <w:rPr>
          <w:rStyle w:val="y2iqfc"/>
          <w:rFonts w:ascii="Simplified Arabic" w:hAnsi="Simplified Arabic" w:cs="Simplified Arabic" w:hint="cs"/>
          <w:color w:val="202124"/>
          <w:sz w:val="24"/>
          <w:szCs w:val="24"/>
          <w:rtl/>
          <w:lang w:val="en-US" w:bidi="ar"/>
        </w:rPr>
        <w:t>المرافق</w:t>
      </w:r>
      <w:r w:rsidRPr="00CA51A1">
        <w:rPr>
          <w:rStyle w:val="y2iqfc"/>
          <w:rFonts w:ascii="Simplified Arabic" w:hAnsi="Simplified Arabic" w:cs="Simplified Arabic"/>
          <w:color w:val="202124"/>
          <w:sz w:val="24"/>
          <w:szCs w:val="24"/>
          <w:rtl/>
          <w:lang w:val="en-US" w:bidi="ar"/>
        </w:rPr>
        <w:t xml:space="preserve"> الحضرية وتغيَرات كثافة البناء ، </w:t>
      </w:r>
      <w:r>
        <w:rPr>
          <w:rStyle w:val="y2iqfc"/>
          <w:rFonts w:ascii="Simplified Arabic" w:hAnsi="Simplified Arabic" w:cs="Simplified Arabic" w:hint="cs"/>
          <w:color w:val="202124"/>
          <w:sz w:val="24"/>
          <w:szCs w:val="24"/>
          <w:rtl/>
          <w:lang w:val="en-US" w:bidi="ar"/>
        </w:rPr>
        <w:t xml:space="preserve">وتغيرات عدد عقد وعمق الطرق الشريانية </w:t>
      </w:r>
      <w:r w:rsidRPr="00CA51A1">
        <w:rPr>
          <w:rStyle w:val="y2iqfc"/>
          <w:rFonts w:ascii="Simplified Arabic" w:hAnsi="Simplified Arabic" w:cs="Simplified Arabic"/>
          <w:color w:val="202124"/>
          <w:sz w:val="24"/>
          <w:szCs w:val="24"/>
          <w:rtl/>
          <w:lang w:val="en-US" w:bidi="ar"/>
        </w:rPr>
        <w:t>على اساس التوزيع المكاني باستخدام التحليل المكاني</w:t>
      </w:r>
      <w:r>
        <w:rPr>
          <w:rStyle w:val="y2iqfc"/>
          <w:rFonts w:ascii="Simplified Arabic" w:hAnsi="Simplified Arabic" w:cs="Simplified Arabic" w:hint="cs"/>
          <w:color w:val="202124"/>
          <w:sz w:val="24"/>
          <w:szCs w:val="24"/>
          <w:rtl/>
          <w:lang w:val="en-US" w:bidi="ar"/>
        </w:rPr>
        <w:t xml:space="preserve"> والشبكي</w:t>
      </w:r>
      <w:r w:rsidRPr="00CA51A1">
        <w:rPr>
          <w:rStyle w:val="y2iqfc"/>
          <w:rFonts w:ascii="Simplified Arabic" w:hAnsi="Simplified Arabic" w:cs="Simplified Arabic"/>
          <w:color w:val="202124"/>
          <w:sz w:val="24"/>
          <w:szCs w:val="24"/>
          <w:rtl/>
          <w:lang w:val="en-US" w:bidi="ar"/>
        </w:rPr>
        <w:t xml:space="preserve">. </w:t>
      </w:r>
      <w:r w:rsidR="002C0BFC" w:rsidRPr="00BD67B7">
        <w:rPr>
          <w:rStyle w:val="y2iqfc"/>
          <w:rFonts w:ascii="Simplified Arabic" w:hAnsi="Simplified Arabic" w:cs="Simplified Arabic"/>
          <w:color w:val="202124"/>
          <w:sz w:val="24"/>
          <w:szCs w:val="24"/>
          <w:rtl/>
          <w:lang w:val="en-US" w:bidi="ar"/>
        </w:rPr>
        <w:t xml:space="preserve">كشفت النتائج </w:t>
      </w:r>
      <w:r w:rsidR="00582BC6">
        <w:rPr>
          <w:rStyle w:val="y2iqfc"/>
          <w:rFonts w:ascii="Simplified Arabic" w:hAnsi="Simplified Arabic" w:cs="Simplified Arabic" w:hint="cs"/>
          <w:color w:val="202124"/>
          <w:sz w:val="24"/>
          <w:szCs w:val="24"/>
          <w:rtl/>
          <w:lang w:val="en-US" w:bidi="ar"/>
        </w:rPr>
        <w:t xml:space="preserve">عموما </w:t>
      </w:r>
      <w:r w:rsidR="002C0BFC" w:rsidRPr="00BD67B7">
        <w:rPr>
          <w:rStyle w:val="y2iqfc"/>
          <w:rFonts w:ascii="Simplified Arabic" w:hAnsi="Simplified Arabic" w:cs="Simplified Arabic"/>
          <w:color w:val="202124"/>
          <w:sz w:val="24"/>
          <w:szCs w:val="24"/>
          <w:rtl/>
          <w:lang w:val="en-US" w:bidi="ar"/>
        </w:rPr>
        <w:t>أن</w:t>
      </w:r>
      <w:r w:rsidR="002C0BFC" w:rsidRPr="00CA51A1">
        <w:rPr>
          <w:rStyle w:val="y2iqfc"/>
          <w:rFonts w:ascii="Simplified Arabic" w:hAnsi="Simplified Arabic" w:cs="Simplified Arabic"/>
          <w:color w:val="202124"/>
          <w:sz w:val="24"/>
          <w:szCs w:val="24"/>
          <w:rtl/>
          <w:lang w:val="en-US" w:bidi="ar"/>
        </w:rPr>
        <w:t xml:space="preserve"> </w:t>
      </w:r>
      <w:r w:rsidR="002C0BFC">
        <w:rPr>
          <w:rStyle w:val="y2iqfc"/>
          <w:rFonts w:ascii="Simplified Arabic" w:hAnsi="Simplified Arabic" w:cs="Simplified Arabic" w:hint="cs"/>
          <w:color w:val="202124"/>
          <w:sz w:val="24"/>
          <w:szCs w:val="24"/>
          <w:rtl/>
          <w:lang w:val="en-US" w:bidi="ar"/>
        </w:rPr>
        <w:t>معايير</w:t>
      </w:r>
      <w:r w:rsidR="002C0BFC" w:rsidRPr="00CA51A1">
        <w:rPr>
          <w:rStyle w:val="y2iqfc"/>
          <w:rFonts w:ascii="Simplified Arabic" w:hAnsi="Simplified Arabic" w:cs="Simplified Arabic"/>
          <w:color w:val="202124"/>
          <w:sz w:val="24"/>
          <w:szCs w:val="24"/>
          <w:rtl/>
          <w:lang w:val="en-US" w:bidi="ar"/>
        </w:rPr>
        <w:t xml:space="preserve"> </w:t>
      </w:r>
      <w:r w:rsidR="002C0BFC">
        <w:rPr>
          <w:rStyle w:val="y2iqfc"/>
          <w:rFonts w:ascii="Simplified Arabic" w:hAnsi="Simplified Arabic" w:cs="Simplified Arabic" w:hint="cs"/>
          <w:color w:val="202124"/>
          <w:sz w:val="24"/>
          <w:szCs w:val="24"/>
          <w:rtl/>
          <w:lang w:val="en-US" w:bidi="ar"/>
        </w:rPr>
        <w:t>المسافة</w:t>
      </w:r>
      <w:r w:rsidR="002C0BFC" w:rsidRPr="00CA51A1">
        <w:rPr>
          <w:rStyle w:val="y2iqfc"/>
          <w:rFonts w:ascii="Simplified Arabic" w:hAnsi="Simplified Arabic" w:cs="Simplified Arabic"/>
          <w:color w:val="202124"/>
          <w:sz w:val="24"/>
          <w:szCs w:val="24"/>
          <w:rtl/>
          <w:lang w:val="en-US" w:bidi="ar"/>
        </w:rPr>
        <w:t xml:space="preserve"> </w:t>
      </w:r>
      <w:r w:rsidR="002C0BFC">
        <w:rPr>
          <w:rStyle w:val="y2iqfc"/>
          <w:rFonts w:ascii="Simplified Arabic" w:hAnsi="Simplified Arabic" w:cs="Simplified Arabic" w:hint="cs"/>
          <w:color w:val="202124"/>
          <w:sz w:val="24"/>
          <w:szCs w:val="24"/>
          <w:rtl/>
          <w:lang w:val="en-US" w:bidi="ar"/>
        </w:rPr>
        <w:t xml:space="preserve">للمرافق، </w:t>
      </w:r>
      <w:r w:rsidR="002C0BFC" w:rsidRPr="00CA51A1">
        <w:rPr>
          <w:rStyle w:val="y2iqfc"/>
          <w:rFonts w:ascii="Simplified Arabic" w:hAnsi="Simplified Arabic" w:cs="Simplified Arabic"/>
          <w:color w:val="202124"/>
          <w:sz w:val="24"/>
          <w:szCs w:val="24"/>
          <w:rtl/>
          <w:lang w:val="en-US" w:bidi="ar"/>
        </w:rPr>
        <w:t>كثافة البناء و</w:t>
      </w:r>
      <w:r w:rsidR="002C0BFC">
        <w:rPr>
          <w:rStyle w:val="y2iqfc"/>
          <w:rFonts w:ascii="Simplified Arabic" w:hAnsi="Simplified Arabic" w:cs="Simplified Arabic" w:hint="cs"/>
          <w:color w:val="202124"/>
          <w:sz w:val="24"/>
          <w:szCs w:val="24"/>
          <w:rtl/>
          <w:lang w:val="en-US" w:bidi="ar"/>
        </w:rPr>
        <w:t>كثافة تقاطع شبكة الطرق مع عمق الطرق الشريانية</w:t>
      </w:r>
      <w:r w:rsidR="002C0BFC" w:rsidRPr="00CA51A1">
        <w:rPr>
          <w:rStyle w:val="y2iqfc"/>
          <w:rFonts w:ascii="Simplified Arabic" w:hAnsi="Simplified Arabic" w:cs="Simplified Arabic"/>
          <w:color w:val="202124"/>
          <w:sz w:val="24"/>
          <w:szCs w:val="24"/>
          <w:rtl/>
          <w:lang w:val="en-US" w:bidi="ar"/>
        </w:rPr>
        <w:t xml:space="preserve"> كانت </w:t>
      </w:r>
      <w:r w:rsidR="002C0BFC">
        <w:rPr>
          <w:rStyle w:val="y2iqfc"/>
          <w:rFonts w:ascii="Simplified Arabic" w:hAnsi="Simplified Arabic" w:cs="Simplified Arabic" w:hint="cs"/>
          <w:color w:val="202124"/>
          <w:sz w:val="24"/>
          <w:szCs w:val="24"/>
          <w:rtl/>
          <w:lang w:val="en-US" w:bidi="ar"/>
        </w:rPr>
        <w:t>متباينة</w:t>
      </w:r>
      <w:r w:rsidR="002C0BFC" w:rsidRPr="00CA51A1">
        <w:rPr>
          <w:rStyle w:val="y2iqfc"/>
          <w:rFonts w:ascii="Simplified Arabic" w:hAnsi="Simplified Arabic" w:cs="Simplified Arabic"/>
          <w:color w:val="202124"/>
          <w:sz w:val="24"/>
          <w:szCs w:val="24"/>
          <w:rtl/>
          <w:lang w:val="en-US" w:bidi="ar"/>
        </w:rPr>
        <w:t xml:space="preserve"> على اساس التوزيع المكاني</w:t>
      </w:r>
      <w:r w:rsidR="002C0BFC">
        <w:rPr>
          <w:rStyle w:val="y2iqfc"/>
          <w:rFonts w:ascii="Simplified Arabic" w:hAnsi="Simplified Arabic" w:cs="Simplified Arabic" w:hint="cs"/>
          <w:color w:val="202124"/>
          <w:sz w:val="24"/>
          <w:szCs w:val="24"/>
          <w:rtl/>
          <w:lang w:val="en-US" w:bidi="ar"/>
        </w:rPr>
        <w:t xml:space="preserve">. </w:t>
      </w:r>
      <w:r w:rsidRPr="002C0BFC">
        <w:rPr>
          <w:rStyle w:val="y2iqfc"/>
          <w:rFonts w:ascii="Simplified Arabic" w:hAnsi="Simplified Arabic" w:cs="Simplified Arabic" w:hint="cs"/>
          <w:color w:val="202124"/>
          <w:sz w:val="24"/>
          <w:szCs w:val="24"/>
          <w:rtl/>
          <w:lang w:val="en-US" w:bidi="ar"/>
        </w:rPr>
        <w:t xml:space="preserve">تم مناقشة المرونة المكانية لكل معيار </w:t>
      </w:r>
      <w:r w:rsidR="008736F8" w:rsidRPr="002C0BFC">
        <w:rPr>
          <w:rStyle w:val="y2iqfc"/>
          <w:rFonts w:ascii="Simplified Arabic" w:hAnsi="Simplified Arabic" w:cs="Simplified Arabic" w:hint="cs"/>
          <w:color w:val="202124"/>
          <w:sz w:val="24"/>
          <w:szCs w:val="24"/>
          <w:rtl/>
          <w:lang w:val="en-US" w:bidi="ar"/>
        </w:rPr>
        <w:t>وفق ما</w:t>
      </w:r>
      <w:r w:rsidR="002C0BFC" w:rsidRPr="002C0BFC">
        <w:rPr>
          <w:rStyle w:val="y2iqfc"/>
          <w:rFonts w:ascii="Simplified Arabic" w:hAnsi="Simplified Arabic" w:cs="Simplified Arabic" w:hint="cs"/>
          <w:color w:val="202124"/>
          <w:sz w:val="24"/>
          <w:szCs w:val="24"/>
          <w:rtl/>
          <w:lang w:val="en-US" w:bidi="ar"/>
        </w:rPr>
        <w:t xml:space="preserve"> </w:t>
      </w:r>
      <w:r w:rsidR="008736F8" w:rsidRPr="002C0BFC">
        <w:rPr>
          <w:rStyle w:val="y2iqfc"/>
          <w:rFonts w:ascii="Simplified Arabic" w:hAnsi="Simplified Arabic" w:cs="Simplified Arabic" w:hint="cs"/>
          <w:color w:val="202124"/>
          <w:sz w:val="24"/>
          <w:szCs w:val="24"/>
          <w:rtl/>
          <w:lang w:val="en-US" w:bidi="ar"/>
        </w:rPr>
        <w:t xml:space="preserve">يلي: </w:t>
      </w:r>
      <w:r w:rsidR="005E5A95" w:rsidRPr="002C0BFC">
        <w:rPr>
          <w:rStyle w:val="y2iqfc"/>
          <w:rFonts w:ascii="Simplified Arabic" w:hAnsi="Simplified Arabic" w:cs="Simplified Arabic" w:hint="cs"/>
          <w:color w:val="202124"/>
          <w:sz w:val="24"/>
          <w:szCs w:val="24"/>
          <w:rtl/>
          <w:lang w:val="en-US" w:bidi="ar"/>
        </w:rPr>
        <w:t xml:space="preserve"> </w:t>
      </w:r>
    </w:p>
    <w:p w:rsidR="00C121B0" w:rsidRPr="001A051A" w:rsidRDefault="00C121B0" w:rsidP="001D0548">
      <w:pPr>
        <w:pStyle w:val="Paragraphedeliste"/>
        <w:numPr>
          <w:ilvl w:val="1"/>
          <w:numId w:val="165"/>
        </w:numPr>
        <w:tabs>
          <w:tab w:val="right" w:pos="1275"/>
        </w:tabs>
        <w:bidi/>
        <w:spacing w:before="240" w:after="0"/>
        <w:ind w:left="0" w:firstLine="992"/>
        <w:jc w:val="both"/>
        <w:outlineLvl w:val="3"/>
        <w:rPr>
          <w:rFonts w:ascii="Simplified Arabic" w:hAnsi="Simplified Arabic" w:cs="Simplified Arabic"/>
          <w:b/>
          <w:bCs/>
          <w:sz w:val="24"/>
          <w:szCs w:val="24"/>
          <w:lang w:val="en-US"/>
        </w:rPr>
      </w:pPr>
      <w:r w:rsidRPr="001A051A">
        <w:rPr>
          <w:rFonts w:ascii="Simplified Arabic" w:hAnsi="Simplified Arabic" w:cs="Simplified Arabic" w:hint="cs"/>
          <w:b/>
          <w:bCs/>
          <w:sz w:val="24"/>
          <w:szCs w:val="24"/>
          <w:rtl/>
          <w:lang w:val="en-US"/>
        </w:rPr>
        <w:t>خريطة</w:t>
      </w:r>
      <w:r w:rsidRPr="001A051A">
        <w:rPr>
          <w:rFonts w:ascii="Simplified Arabic" w:hAnsi="Simplified Arabic" w:cs="Simplified Arabic"/>
          <w:b/>
          <w:bCs/>
          <w:sz w:val="24"/>
          <w:szCs w:val="24"/>
          <w:rtl/>
          <w:lang w:val="en-US"/>
        </w:rPr>
        <w:t xml:space="preserve"> </w:t>
      </w:r>
      <w:r w:rsidRPr="001A051A">
        <w:rPr>
          <w:rFonts w:ascii="Simplified Arabic" w:hAnsi="Simplified Arabic" w:cs="Simplified Arabic" w:hint="cs"/>
          <w:b/>
          <w:bCs/>
          <w:sz w:val="24"/>
          <w:szCs w:val="24"/>
          <w:rtl/>
          <w:lang w:val="en-US"/>
        </w:rPr>
        <w:t>معيار المسافة الى مراكز</w:t>
      </w:r>
      <w:r w:rsidRPr="001A051A">
        <w:rPr>
          <w:rFonts w:ascii="Simplified Arabic" w:hAnsi="Simplified Arabic" w:cs="Simplified Arabic"/>
          <w:b/>
          <w:bCs/>
          <w:sz w:val="24"/>
          <w:szCs w:val="24"/>
          <w:rtl/>
          <w:lang w:val="en-US"/>
        </w:rPr>
        <w:t xml:space="preserve"> التكفل الطبي</w:t>
      </w:r>
      <w:r w:rsidRPr="001A051A">
        <w:rPr>
          <w:rFonts w:ascii="Simplified Arabic" w:hAnsi="Simplified Arabic" w:cs="Simplified Arabic" w:hint="cs"/>
          <w:b/>
          <w:bCs/>
          <w:sz w:val="24"/>
          <w:szCs w:val="24"/>
          <w:rtl/>
          <w:lang w:val="en-US"/>
        </w:rPr>
        <w:t xml:space="preserve"> </w:t>
      </w:r>
      <w:r w:rsidRPr="001A051A">
        <w:rPr>
          <w:rFonts w:asciiTheme="majorBidi" w:hAnsiTheme="majorBidi" w:cstheme="majorBidi"/>
          <w:b/>
          <w:bCs/>
          <w:sz w:val="24"/>
          <w:szCs w:val="24"/>
          <w:lang w:val="en-US"/>
        </w:rPr>
        <w:t>C1</w:t>
      </w:r>
      <w:r w:rsidRPr="001A051A">
        <w:rPr>
          <w:rFonts w:ascii="Simplified Arabic" w:hAnsi="Simplified Arabic" w:cs="Simplified Arabic"/>
          <w:b/>
          <w:bCs/>
          <w:sz w:val="24"/>
          <w:szCs w:val="24"/>
          <w:rtl/>
          <w:lang w:val="en-US"/>
        </w:rPr>
        <w:t>:</w:t>
      </w:r>
    </w:p>
    <w:p w:rsidR="00C121B0" w:rsidRDefault="00C121B0" w:rsidP="00E21F67">
      <w:pPr>
        <w:tabs>
          <w:tab w:val="right" w:pos="282"/>
        </w:tabs>
        <w:bidi/>
        <w:spacing w:after="0"/>
        <w:ind w:firstLine="282"/>
        <w:jc w:val="both"/>
        <w:rPr>
          <w:rFonts w:ascii="Simplified Arabic" w:eastAsia="Times New Roman" w:hAnsi="Simplified Arabic" w:cs="Simplified Arabic"/>
          <w:b/>
          <w:sz w:val="24"/>
          <w:szCs w:val="24"/>
          <w:rtl/>
          <w:lang w:val="en-US" w:eastAsia="fr-FR"/>
        </w:rPr>
      </w:pPr>
      <w:r w:rsidRPr="00E50618">
        <w:rPr>
          <w:rFonts w:ascii="Simplified Arabic" w:eastAsia="Times New Roman" w:hAnsi="Simplified Arabic" w:cs="Simplified Arabic"/>
          <w:b/>
          <w:sz w:val="24"/>
          <w:szCs w:val="24"/>
          <w:rtl/>
          <w:lang w:val="en-US" w:eastAsia="fr-FR"/>
        </w:rPr>
        <w:t xml:space="preserve">تم </w:t>
      </w:r>
      <w:r>
        <w:rPr>
          <w:rFonts w:ascii="Simplified Arabic" w:eastAsia="Times New Roman" w:hAnsi="Simplified Arabic" w:cs="Simplified Arabic" w:hint="cs"/>
          <w:b/>
          <w:sz w:val="24"/>
          <w:szCs w:val="24"/>
          <w:rtl/>
          <w:lang w:val="en-US" w:eastAsia="fr-FR"/>
        </w:rPr>
        <w:t>ادخال</w:t>
      </w:r>
      <w:r w:rsidRPr="00E50618">
        <w:rPr>
          <w:rFonts w:ascii="Simplified Arabic" w:eastAsia="Times New Roman" w:hAnsi="Simplified Arabic" w:cs="Simplified Arabic"/>
          <w:b/>
          <w:sz w:val="24"/>
          <w:szCs w:val="24"/>
          <w:rtl/>
          <w:lang w:val="en-US" w:eastAsia="fr-FR"/>
        </w:rPr>
        <w:t xml:space="preserve"> بيانات مرافق الصحة</w:t>
      </w:r>
      <w:r>
        <w:rPr>
          <w:rFonts w:ascii="Simplified Arabic" w:eastAsia="Times New Roman" w:hAnsi="Simplified Arabic" w:cs="Simplified Arabic" w:hint="cs"/>
          <w:b/>
          <w:sz w:val="24"/>
          <w:szCs w:val="24"/>
          <w:rtl/>
          <w:lang w:val="en-US" w:eastAsia="fr-FR"/>
        </w:rPr>
        <w:t>، كما</w:t>
      </w:r>
      <w:r w:rsidRPr="00E5061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تم إ</w:t>
      </w:r>
      <w:r>
        <w:rPr>
          <w:rFonts w:ascii="Simplified Arabic" w:eastAsia="Times New Roman" w:hAnsi="Simplified Arabic" w:cs="Simplified Arabic"/>
          <w:b/>
          <w:sz w:val="24"/>
          <w:szCs w:val="24"/>
          <w:rtl/>
          <w:lang w:val="en-US" w:eastAsia="fr-FR"/>
        </w:rPr>
        <w:t>نش</w:t>
      </w:r>
      <w:r>
        <w:rPr>
          <w:rFonts w:ascii="Simplified Arabic" w:eastAsia="Times New Roman" w:hAnsi="Simplified Arabic" w:cs="Simplified Arabic" w:hint="cs"/>
          <w:b/>
          <w:sz w:val="24"/>
          <w:szCs w:val="24"/>
          <w:rtl/>
          <w:lang w:val="en-US" w:eastAsia="fr-FR"/>
        </w:rPr>
        <w:t>اء</w:t>
      </w:r>
      <w:r w:rsidRPr="00E50618">
        <w:rPr>
          <w:rFonts w:ascii="Simplified Arabic" w:eastAsia="Times New Roman" w:hAnsi="Simplified Arabic" w:cs="Simplified Arabic"/>
          <w:b/>
          <w:sz w:val="24"/>
          <w:szCs w:val="24"/>
          <w:rtl/>
          <w:lang w:val="en-US" w:eastAsia="fr-FR"/>
        </w:rPr>
        <w:t xml:space="preserve"> خريطة المسافة إلى مراكز التكفل الطبي باستخدام أداة المسافة الإقليدية على منصة</w:t>
      </w:r>
      <w:r w:rsidRPr="00466163">
        <w:rPr>
          <w:rFonts w:asciiTheme="minorBidi" w:eastAsia="Times New Roman" w:hAnsiTheme="minorBidi"/>
          <w:b/>
          <w:sz w:val="24"/>
          <w:szCs w:val="24"/>
          <w:rtl/>
          <w:lang w:val="en-US" w:eastAsia="fr-FR"/>
        </w:rPr>
        <w:t xml:space="preserve"> </w:t>
      </w:r>
      <w:r w:rsidRPr="000D6B35">
        <w:rPr>
          <w:rFonts w:asciiTheme="majorBidi" w:hAnsiTheme="majorBidi" w:cstheme="majorBidi"/>
          <w:sz w:val="24"/>
          <w:szCs w:val="24"/>
          <w:lang w:val="en-US"/>
        </w:rPr>
        <w:t>ArcGIS</w:t>
      </w:r>
      <w:r w:rsidRPr="00E50618">
        <w:rPr>
          <w:rFonts w:ascii="Simplified Arabic" w:eastAsia="Times New Roman" w:hAnsi="Simplified Arabic" w:cs="Simplified Arabic"/>
          <w:b/>
          <w:sz w:val="24"/>
          <w:szCs w:val="24"/>
          <w:rtl/>
          <w:lang w:val="en-US" w:eastAsia="fr-FR"/>
        </w:rPr>
        <w:t xml:space="preserve">. بالنسبة لنطاق </w:t>
      </w:r>
      <w:r>
        <w:rPr>
          <w:rFonts w:ascii="Simplified Arabic" w:eastAsia="Times New Roman" w:hAnsi="Simplified Arabic" w:cs="Simplified Arabic" w:hint="cs"/>
          <w:b/>
          <w:sz w:val="24"/>
          <w:szCs w:val="24"/>
          <w:rtl/>
          <w:lang w:val="en-US" w:eastAsia="fr-FR"/>
        </w:rPr>
        <w:t>التغطية بالخدمة</w:t>
      </w:r>
      <w:r w:rsidRPr="00E50618">
        <w:rPr>
          <w:rFonts w:ascii="Simplified Arabic" w:eastAsia="Times New Roman" w:hAnsi="Simplified Arabic" w:cs="Simplified Arabic"/>
          <w:b/>
          <w:sz w:val="24"/>
          <w:szCs w:val="24"/>
          <w:rtl/>
          <w:lang w:val="en-US" w:eastAsia="fr-FR"/>
        </w:rPr>
        <w:t>، حدد الخبراء</w:t>
      </w:r>
      <w:r>
        <w:rPr>
          <w:rFonts w:ascii="Simplified Arabic" w:hAnsi="Simplified Arabic" w:cs="Simplified Arabic" w:hint="cs"/>
          <w:color w:val="000000" w:themeColor="text1"/>
          <w:sz w:val="24"/>
          <w:szCs w:val="24"/>
          <w:rtl/>
          <w:lang w:val="en-US"/>
        </w:rPr>
        <w:t xml:space="preserve"> النطاقات التالية:</w:t>
      </w:r>
      <w:r w:rsidRPr="00E50618">
        <w:rPr>
          <w:rFonts w:ascii="Simplified Arabic" w:eastAsia="Times New Roman" w:hAnsi="Simplified Arabic" w:cs="Simplified Arabic"/>
          <w:b/>
          <w:sz w:val="24"/>
          <w:szCs w:val="24"/>
          <w:rtl/>
          <w:lang w:val="en-US" w:eastAsia="fr-FR"/>
        </w:rPr>
        <w:t xml:space="preserve"> (أقل من </w:t>
      </w:r>
      <w:r>
        <w:rPr>
          <w:rFonts w:ascii="Simplified Arabic" w:eastAsia="Times New Roman" w:hAnsi="Simplified Arabic" w:cs="Simplified Arabic" w:hint="cs"/>
          <w:b/>
          <w:sz w:val="24"/>
          <w:szCs w:val="24"/>
          <w:rtl/>
          <w:lang w:val="en-US" w:eastAsia="fr-FR"/>
        </w:rPr>
        <w:t>800م</w:t>
      </w:r>
      <w:r w:rsidRPr="00E50618">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E5061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800م</w:t>
      </w:r>
      <w:r w:rsidRPr="00E50618">
        <w:rPr>
          <w:rFonts w:ascii="Simplified Arabic" w:eastAsia="Times New Roman" w:hAnsi="Simplified Arabic" w:cs="Simplified Arabic"/>
          <w:b/>
          <w:sz w:val="24"/>
          <w:szCs w:val="24"/>
          <w:rtl/>
          <w:lang w:val="en-US" w:eastAsia="fr-FR"/>
        </w:rPr>
        <w:t xml:space="preserve"> إلى </w:t>
      </w:r>
      <w:r>
        <w:rPr>
          <w:rFonts w:ascii="Simplified Arabic" w:eastAsia="Times New Roman" w:hAnsi="Simplified Arabic" w:cs="Simplified Arabic" w:hint="cs"/>
          <w:b/>
          <w:sz w:val="24"/>
          <w:szCs w:val="24"/>
          <w:rtl/>
          <w:lang w:val="en-US" w:eastAsia="fr-FR"/>
        </w:rPr>
        <w:t>1200م</w:t>
      </w:r>
      <w:r w:rsidRPr="00E50618">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E50618">
        <w:rPr>
          <w:rFonts w:ascii="Simplified Arabic" w:eastAsia="Times New Roman" w:hAnsi="Simplified Arabic" w:cs="Simplified Arabic"/>
          <w:b/>
          <w:sz w:val="24"/>
          <w:szCs w:val="24"/>
          <w:rtl/>
          <w:lang w:val="en-US" w:eastAsia="fr-FR"/>
        </w:rPr>
        <w:t xml:space="preserve"> (أكثر من </w:t>
      </w:r>
      <w:r>
        <w:rPr>
          <w:rFonts w:ascii="Simplified Arabic" w:eastAsia="Times New Roman" w:hAnsi="Simplified Arabic" w:cs="Simplified Arabic" w:hint="cs"/>
          <w:b/>
          <w:sz w:val="24"/>
          <w:szCs w:val="24"/>
          <w:rtl/>
          <w:lang w:val="en-US" w:eastAsia="fr-FR"/>
        </w:rPr>
        <w:t>1200</w:t>
      </w:r>
      <w:r>
        <w:rPr>
          <w:rFonts w:ascii="Simplified Arabic" w:eastAsia="Times New Roman" w:hAnsi="Simplified Arabic" w:cs="Simplified Arabic"/>
          <w:b/>
          <w:sz w:val="24"/>
          <w:szCs w:val="24"/>
          <w:rtl/>
          <w:lang w:val="en-US" w:eastAsia="fr-FR"/>
        </w:rPr>
        <w:t>م)</w:t>
      </w:r>
      <w:r>
        <w:rPr>
          <w:rFonts w:ascii="Simplified Arabic" w:eastAsia="Times New Roman" w:hAnsi="Simplified Arabic" w:cs="Simplified Arabic" w:hint="cs"/>
          <w:b/>
          <w:sz w:val="24"/>
          <w:szCs w:val="24"/>
          <w:rtl/>
          <w:lang w:val="en-US" w:eastAsia="fr-FR"/>
        </w:rPr>
        <w:t xml:space="preserve">، </w:t>
      </w:r>
      <w:r w:rsidR="00E21F67">
        <w:rPr>
          <w:rFonts w:ascii="Simplified Arabic" w:eastAsia="Times New Roman" w:hAnsi="Simplified Arabic" w:cs="Simplified Arabic" w:hint="cs"/>
          <w:b/>
          <w:sz w:val="24"/>
          <w:szCs w:val="24"/>
          <w:rtl/>
          <w:lang w:val="en-US" w:eastAsia="fr-FR"/>
        </w:rPr>
        <w:t>الخريطة</w:t>
      </w:r>
      <w:r w:rsidRPr="00E5061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w:t>
      </w:r>
      <w:r w:rsidR="00E21F67">
        <w:rPr>
          <w:rFonts w:ascii="Simplified Arabic" w:eastAsia="Times New Roman" w:hAnsi="Simplified Arabic" w:cs="Simplified Arabic" w:hint="cs"/>
          <w:b/>
          <w:sz w:val="24"/>
          <w:szCs w:val="24"/>
          <w:rtl/>
          <w:lang w:val="en-US" w:eastAsia="fr-FR"/>
        </w:rPr>
        <w:t>5-1</w:t>
      </w:r>
      <w:r>
        <w:rPr>
          <w:rFonts w:ascii="Simplified Arabic" w:eastAsia="Times New Roman" w:hAnsi="Simplified Arabic" w:cs="Simplified Arabic" w:hint="cs"/>
          <w:b/>
          <w:sz w:val="24"/>
          <w:szCs w:val="24"/>
          <w:rtl/>
          <w:lang w:val="en-US" w:eastAsia="fr-FR"/>
        </w:rPr>
        <w:t>)</w:t>
      </w:r>
      <w:r w:rsidRPr="00E50618">
        <w:rPr>
          <w:rFonts w:ascii="Simplified Arabic" w:eastAsia="Times New Roman" w:hAnsi="Simplified Arabic" w:cs="Simplified Arabic"/>
          <w:b/>
          <w:sz w:val="24"/>
          <w:szCs w:val="24"/>
          <w:rtl/>
          <w:lang w:val="en-US" w:eastAsia="fr-FR"/>
        </w:rPr>
        <w:t>.</w:t>
      </w:r>
    </w:p>
    <w:p w:rsidR="008736F8" w:rsidRDefault="008736F8" w:rsidP="002F1079">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sidRPr="00CA51A1">
        <w:rPr>
          <w:rStyle w:val="y2iqfc"/>
          <w:rFonts w:ascii="Simplified Arabic" w:hAnsi="Simplified Arabic" w:cs="Simplified Arabic"/>
          <w:color w:val="202124"/>
          <w:sz w:val="24"/>
          <w:szCs w:val="24"/>
          <w:rtl/>
          <w:lang w:val="en-US" w:bidi="ar"/>
        </w:rPr>
        <w:t>أظهرت نتائج</w:t>
      </w:r>
      <w:r w:rsidR="00C14FB6" w:rsidRPr="00C14FB6">
        <w:rPr>
          <w:rFonts w:ascii="Simplified Arabic" w:hAnsi="Simplified Arabic" w:cs="Simplified Arabic" w:hint="cs"/>
          <w:color w:val="000000" w:themeColor="text1"/>
          <w:sz w:val="24"/>
          <w:szCs w:val="24"/>
          <w:rtl/>
          <w:lang w:bidi="ar-DZ"/>
        </w:rPr>
        <w:t xml:space="preserve"> </w:t>
      </w:r>
      <w:r w:rsidR="00C14FB6">
        <w:rPr>
          <w:rFonts w:ascii="Simplified Arabic" w:hAnsi="Simplified Arabic" w:cs="Simplified Arabic" w:hint="cs"/>
          <w:color w:val="000000" w:themeColor="text1"/>
          <w:sz w:val="24"/>
          <w:szCs w:val="24"/>
          <w:rtl/>
          <w:lang w:bidi="ar-DZ"/>
        </w:rPr>
        <w:t xml:space="preserve">الخريطة </w:t>
      </w:r>
      <w:r w:rsidR="00C14FB6">
        <w:rPr>
          <w:rFonts w:ascii="Simplified Arabic" w:eastAsia="Times New Roman" w:hAnsi="Simplified Arabic" w:cs="Simplified Arabic" w:hint="cs"/>
          <w:b/>
          <w:sz w:val="24"/>
          <w:szCs w:val="24"/>
          <w:rtl/>
          <w:lang w:val="en-US" w:eastAsia="fr-FR"/>
        </w:rPr>
        <w:t>(5-1)،</w:t>
      </w:r>
      <w:r w:rsidRPr="00CA51A1">
        <w:rPr>
          <w:rStyle w:val="y2iqfc"/>
          <w:rFonts w:ascii="Simplified Arabic" w:hAnsi="Simplified Arabic" w:cs="Simplified Arabic"/>
          <w:color w:val="202124"/>
          <w:sz w:val="24"/>
          <w:szCs w:val="24"/>
          <w:rtl/>
          <w:lang w:val="en-US" w:bidi="ar"/>
        </w:rPr>
        <w:t xml:space="preserve"> أن </w:t>
      </w:r>
      <w:r>
        <w:rPr>
          <w:rStyle w:val="y2iqfc"/>
          <w:rFonts w:ascii="Simplified Arabic" w:hAnsi="Simplified Arabic" w:cs="Simplified Arabic" w:hint="cs"/>
          <w:color w:val="202124"/>
          <w:sz w:val="24"/>
          <w:szCs w:val="24"/>
          <w:rtl/>
          <w:lang w:val="en-US" w:bidi="ar"/>
        </w:rPr>
        <w:t>المسافة</w:t>
      </w:r>
      <w:r w:rsidRPr="00CA51A1">
        <w:rPr>
          <w:rStyle w:val="y2iqfc"/>
          <w:rFonts w:ascii="Simplified Arabic" w:hAnsi="Simplified Arabic" w:cs="Simplified Arabic"/>
          <w:color w:val="202124"/>
          <w:sz w:val="24"/>
          <w:szCs w:val="24"/>
          <w:rtl/>
          <w:lang w:val="en-US" w:bidi="ar"/>
        </w:rPr>
        <w:t xml:space="preserve"> </w:t>
      </w:r>
      <w:r>
        <w:rPr>
          <w:rStyle w:val="y2iqfc"/>
          <w:rFonts w:ascii="Simplified Arabic" w:hAnsi="Simplified Arabic" w:cs="Simplified Arabic" w:hint="cs"/>
          <w:color w:val="202124"/>
          <w:sz w:val="24"/>
          <w:szCs w:val="24"/>
          <w:rtl/>
          <w:lang w:val="en-US" w:bidi="ar"/>
        </w:rPr>
        <w:t xml:space="preserve">الى </w:t>
      </w:r>
      <w:r w:rsidRPr="00CA51A1">
        <w:rPr>
          <w:rStyle w:val="y2iqfc"/>
          <w:rFonts w:ascii="Simplified Arabic" w:hAnsi="Simplified Arabic" w:cs="Simplified Arabic"/>
          <w:color w:val="202124"/>
          <w:sz w:val="24"/>
          <w:szCs w:val="24"/>
          <w:rtl/>
          <w:lang w:val="en-US" w:bidi="ar"/>
        </w:rPr>
        <w:t>مراكز التكفل الطبي متقاربة في وسط مدينة بوسعادة. تبين ان هناك اتجاهًا مكانيا متناقصا ل</w:t>
      </w:r>
      <w:r w:rsidR="00C14FB6">
        <w:rPr>
          <w:rStyle w:val="y2iqfc"/>
          <w:rFonts w:ascii="Simplified Arabic" w:hAnsi="Simplified Arabic" w:cs="Simplified Arabic" w:hint="cs"/>
          <w:color w:val="202124"/>
          <w:sz w:val="24"/>
          <w:szCs w:val="24"/>
          <w:rtl/>
          <w:lang w:val="en-US" w:bidi="ar"/>
        </w:rPr>
        <w:t>مستوى ا</w:t>
      </w:r>
      <w:r w:rsidRPr="00CA51A1">
        <w:rPr>
          <w:rStyle w:val="y2iqfc"/>
          <w:rFonts w:ascii="Simplified Arabic" w:hAnsi="Simplified Arabic" w:cs="Simplified Arabic"/>
          <w:color w:val="202124"/>
          <w:sz w:val="24"/>
          <w:szCs w:val="24"/>
          <w:rtl/>
          <w:lang w:val="en-US" w:bidi="ar"/>
        </w:rPr>
        <w:t xml:space="preserve">لمرونة من </w:t>
      </w:r>
      <w:r w:rsidR="00C14FB6" w:rsidRPr="00CA51A1">
        <w:rPr>
          <w:rStyle w:val="y2iqfc"/>
          <w:rFonts w:ascii="Simplified Arabic" w:hAnsi="Simplified Arabic" w:cs="Simplified Arabic"/>
          <w:color w:val="202124"/>
          <w:sz w:val="24"/>
          <w:szCs w:val="24"/>
          <w:rtl/>
          <w:lang w:val="en-US" w:bidi="ar"/>
        </w:rPr>
        <w:t xml:space="preserve">وسط </w:t>
      </w:r>
      <w:r w:rsidR="00C14FB6">
        <w:rPr>
          <w:rStyle w:val="y2iqfc"/>
          <w:rFonts w:ascii="Simplified Arabic" w:hAnsi="Simplified Arabic" w:cs="Simplified Arabic" w:hint="cs"/>
          <w:color w:val="202124"/>
          <w:sz w:val="24"/>
          <w:szCs w:val="24"/>
          <w:rtl/>
          <w:lang w:val="en-US" w:bidi="ar"/>
        </w:rPr>
        <w:t>ال</w:t>
      </w:r>
      <w:r w:rsidR="00C14FB6" w:rsidRPr="00CA51A1">
        <w:rPr>
          <w:rStyle w:val="y2iqfc"/>
          <w:rFonts w:ascii="Simplified Arabic" w:hAnsi="Simplified Arabic" w:cs="Simplified Arabic"/>
          <w:color w:val="202124"/>
          <w:sz w:val="24"/>
          <w:szCs w:val="24"/>
          <w:rtl/>
          <w:lang w:val="en-US" w:bidi="ar"/>
        </w:rPr>
        <w:t xml:space="preserve">مدينة </w:t>
      </w:r>
      <w:r w:rsidRPr="00CA51A1">
        <w:rPr>
          <w:rStyle w:val="y2iqfc"/>
          <w:rFonts w:ascii="Simplified Arabic" w:hAnsi="Simplified Arabic" w:cs="Simplified Arabic"/>
          <w:color w:val="202124"/>
          <w:sz w:val="24"/>
          <w:szCs w:val="24"/>
          <w:rtl/>
          <w:lang w:val="en-US" w:bidi="ar"/>
        </w:rPr>
        <w:t xml:space="preserve">نحو </w:t>
      </w:r>
      <w:r w:rsidR="00C14FB6">
        <w:rPr>
          <w:rStyle w:val="y2iqfc"/>
          <w:rFonts w:ascii="Simplified Arabic" w:hAnsi="Simplified Arabic" w:cs="Simplified Arabic" w:hint="cs"/>
          <w:color w:val="202124"/>
          <w:sz w:val="24"/>
          <w:szCs w:val="24"/>
          <w:rtl/>
          <w:lang w:val="en-US" w:bidi="ar"/>
        </w:rPr>
        <w:t>مناطق التوسع الحضري للمدينة، خصوصا منها منطقة</w:t>
      </w:r>
      <w:r w:rsidRPr="00CA51A1">
        <w:rPr>
          <w:rStyle w:val="y2iqfc"/>
          <w:rFonts w:ascii="Simplified Arabic" w:hAnsi="Simplified Arabic" w:cs="Simplified Arabic"/>
          <w:color w:val="202124"/>
          <w:sz w:val="24"/>
          <w:szCs w:val="24"/>
          <w:rtl/>
          <w:lang w:val="en-US" w:bidi="ar"/>
        </w:rPr>
        <w:t xml:space="preserve"> </w:t>
      </w:r>
      <w:r w:rsidR="00C14FB6">
        <w:rPr>
          <w:rStyle w:val="y2iqfc"/>
          <w:rFonts w:ascii="Simplified Arabic" w:hAnsi="Simplified Arabic" w:cs="Simplified Arabic" w:hint="cs"/>
          <w:color w:val="202124"/>
          <w:sz w:val="24"/>
          <w:szCs w:val="24"/>
          <w:rtl/>
          <w:lang w:val="en-US" w:bidi="ar"/>
        </w:rPr>
        <w:t xml:space="preserve">التوسع </w:t>
      </w:r>
      <w:r w:rsidR="00C14FB6">
        <w:rPr>
          <w:rStyle w:val="y2iqfc"/>
          <w:rFonts w:ascii="Simplified Arabic" w:hAnsi="Simplified Arabic" w:cs="Simplified Arabic"/>
          <w:color w:val="202124"/>
          <w:sz w:val="24"/>
          <w:szCs w:val="24"/>
          <w:rtl/>
          <w:lang w:val="en-US" w:bidi="ar"/>
        </w:rPr>
        <w:t>الشمالي</w:t>
      </w:r>
      <w:r>
        <w:rPr>
          <w:rStyle w:val="y2iqfc"/>
          <w:rFonts w:ascii="Simplified Arabic" w:hAnsi="Simplified Arabic" w:cs="Simplified Arabic" w:hint="cs"/>
          <w:color w:val="202124"/>
          <w:sz w:val="24"/>
          <w:szCs w:val="24"/>
          <w:rtl/>
          <w:lang w:val="en-US" w:bidi="ar"/>
        </w:rPr>
        <w:t>،</w:t>
      </w:r>
      <w:r w:rsidRPr="00CA51A1">
        <w:rPr>
          <w:rStyle w:val="y2iqfc"/>
          <w:rFonts w:ascii="Simplified Arabic" w:hAnsi="Simplified Arabic" w:cs="Simplified Arabic"/>
          <w:color w:val="202124"/>
          <w:sz w:val="24"/>
          <w:szCs w:val="24"/>
          <w:rtl/>
          <w:lang w:val="en-US" w:bidi="ar"/>
        </w:rPr>
        <w:t xml:space="preserve"> ذلك ان التغطية </w:t>
      </w:r>
      <w:r w:rsidR="00C14FB6">
        <w:rPr>
          <w:rStyle w:val="y2iqfc"/>
          <w:rFonts w:ascii="Simplified Arabic" w:hAnsi="Simplified Arabic" w:cs="Simplified Arabic" w:hint="cs"/>
          <w:color w:val="202124"/>
          <w:sz w:val="24"/>
          <w:szCs w:val="24"/>
          <w:rtl/>
          <w:lang w:val="en-US" w:bidi="ar"/>
        </w:rPr>
        <w:t xml:space="preserve">المجالية </w:t>
      </w:r>
      <w:r w:rsidRPr="00CA51A1">
        <w:rPr>
          <w:rStyle w:val="y2iqfc"/>
          <w:rFonts w:ascii="Simplified Arabic" w:hAnsi="Simplified Arabic" w:cs="Simplified Arabic"/>
          <w:color w:val="202124"/>
          <w:sz w:val="24"/>
          <w:szCs w:val="24"/>
          <w:rtl/>
          <w:lang w:val="en-US" w:bidi="ar"/>
        </w:rPr>
        <w:t xml:space="preserve">بخدمة التكفل الطبي في وسط المدينة اكبر مما </w:t>
      </w:r>
      <w:r>
        <w:rPr>
          <w:rStyle w:val="y2iqfc"/>
          <w:rFonts w:ascii="Simplified Arabic" w:hAnsi="Simplified Arabic" w:cs="Simplified Arabic" w:hint="cs"/>
          <w:color w:val="202124"/>
          <w:sz w:val="24"/>
          <w:szCs w:val="24"/>
          <w:rtl/>
          <w:lang w:val="en-US" w:bidi="ar"/>
        </w:rPr>
        <w:t>هي</w:t>
      </w:r>
      <w:r>
        <w:rPr>
          <w:rStyle w:val="y2iqfc"/>
          <w:rFonts w:ascii="Simplified Arabic" w:hAnsi="Simplified Arabic" w:cs="Simplified Arabic"/>
          <w:color w:val="202124"/>
          <w:sz w:val="24"/>
          <w:szCs w:val="24"/>
          <w:rtl/>
          <w:lang w:val="en-US" w:bidi="ar"/>
        </w:rPr>
        <w:t xml:space="preserve"> عليه في</w:t>
      </w:r>
      <w:r>
        <w:rPr>
          <w:rStyle w:val="y2iqfc"/>
          <w:rFonts w:ascii="Simplified Arabic" w:hAnsi="Simplified Arabic" w:cs="Simplified Arabic" w:hint="cs"/>
          <w:color w:val="202124"/>
          <w:sz w:val="24"/>
          <w:szCs w:val="24"/>
          <w:rtl/>
          <w:lang w:val="en-US" w:bidi="ar"/>
        </w:rPr>
        <w:t xml:space="preserve"> </w:t>
      </w:r>
      <w:r w:rsidR="00C14FB6">
        <w:rPr>
          <w:rStyle w:val="y2iqfc"/>
          <w:rFonts w:ascii="Simplified Arabic" w:hAnsi="Simplified Arabic" w:cs="Simplified Arabic" w:hint="cs"/>
          <w:color w:val="202124"/>
          <w:sz w:val="24"/>
          <w:szCs w:val="24"/>
          <w:rtl/>
          <w:lang w:val="en-US" w:bidi="ar"/>
        </w:rPr>
        <w:t>باقي المناطق.</w:t>
      </w:r>
      <w:r w:rsidR="00F44043">
        <w:rPr>
          <w:rStyle w:val="y2iqfc"/>
          <w:rFonts w:ascii="Simplified Arabic" w:hAnsi="Simplified Arabic" w:cs="Simplified Arabic" w:hint="cs"/>
          <w:color w:val="202124"/>
          <w:sz w:val="24"/>
          <w:szCs w:val="24"/>
          <w:rtl/>
          <w:lang w:val="en-US" w:bidi="ar"/>
        </w:rPr>
        <w:t xml:space="preserve"> هذا راجع الى ان الارضيات المخصصة للمرافق الصحية ضمن مخططات شغل الارض لم تنجز بعد </w:t>
      </w:r>
      <w:r w:rsidR="00C14FB6">
        <w:rPr>
          <w:rStyle w:val="y2iqfc"/>
          <w:rFonts w:ascii="Simplified Arabic" w:hAnsi="Simplified Arabic" w:cs="Simplified Arabic" w:hint="cs"/>
          <w:color w:val="202124"/>
          <w:sz w:val="24"/>
          <w:szCs w:val="24"/>
          <w:rtl/>
          <w:lang w:val="en-US" w:bidi="ar"/>
        </w:rPr>
        <w:t xml:space="preserve">او لم </w:t>
      </w:r>
      <w:r w:rsidR="002F1079">
        <w:rPr>
          <w:rStyle w:val="y2iqfc"/>
          <w:rFonts w:ascii="Simplified Arabic" w:hAnsi="Simplified Arabic" w:cs="Simplified Arabic" w:hint="cs"/>
          <w:color w:val="202124"/>
          <w:sz w:val="24"/>
          <w:szCs w:val="24"/>
          <w:rtl/>
          <w:lang w:val="en-US" w:bidi="ar"/>
        </w:rPr>
        <w:t xml:space="preserve">يتم </w:t>
      </w:r>
      <w:r w:rsidR="00C14FB6">
        <w:rPr>
          <w:rStyle w:val="y2iqfc"/>
          <w:rFonts w:ascii="Simplified Arabic" w:hAnsi="Simplified Arabic" w:cs="Simplified Arabic" w:hint="cs"/>
          <w:color w:val="202124"/>
          <w:sz w:val="24"/>
          <w:szCs w:val="24"/>
          <w:rtl/>
          <w:lang w:val="en-US" w:bidi="ar"/>
        </w:rPr>
        <w:t>برمج</w:t>
      </w:r>
      <w:r w:rsidR="002F1079">
        <w:rPr>
          <w:rStyle w:val="y2iqfc"/>
          <w:rFonts w:ascii="Simplified Arabic" w:hAnsi="Simplified Arabic" w:cs="Simplified Arabic" w:hint="cs"/>
          <w:color w:val="202124"/>
          <w:sz w:val="24"/>
          <w:szCs w:val="24"/>
          <w:rtl/>
          <w:lang w:val="en-US" w:bidi="ar"/>
        </w:rPr>
        <w:t>تها ضمن هذه المخططات</w:t>
      </w:r>
      <w:r w:rsidRPr="00CA51A1">
        <w:rPr>
          <w:rStyle w:val="y2iqfc"/>
          <w:rFonts w:ascii="Simplified Arabic" w:hAnsi="Simplified Arabic" w:cs="Simplified Arabic"/>
          <w:color w:val="202124"/>
          <w:sz w:val="24"/>
          <w:szCs w:val="24"/>
          <w:rtl/>
          <w:lang w:val="en-US" w:bidi="ar"/>
        </w:rPr>
        <w:t xml:space="preserve">. </w:t>
      </w:r>
    </w:p>
    <w:p w:rsidR="00FD3D45" w:rsidRDefault="00FD3D45" w:rsidP="007A30E8">
      <w:pPr>
        <w:pStyle w:val="carte"/>
        <w:spacing w:after="0"/>
        <w:rPr>
          <w:color w:val="000000" w:themeColor="text1"/>
          <w:rtl/>
          <w:lang w:bidi="ar-DZ"/>
        </w:rPr>
      </w:pPr>
      <w:bookmarkStart w:id="688" w:name="_Toc157616600"/>
    </w:p>
    <w:p w:rsidR="00FD3D45" w:rsidRDefault="00FD3D45" w:rsidP="007A30E8">
      <w:pPr>
        <w:pStyle w:val="carte"/>
        <w:spacing w:after="0"/>
        <w:rPr>
          <w:color w:val="000000" w:themeColor="text1"/>
          <w:rtl/>
          <w:lang w:bidi="ar-DZ"/>
        </w:rPr>
      </w:pPr>
    </w:p>
    <w:p w:rsidR="00FD3D45" w:rsidRDefault="00FD3D45" w:rsidP="007A30E8">
      <w:pPr>
        <w:pStyle w:val="carte"/>
        <w:spacing w:after="0"/>
        <w:rPr>
          <w:color w:val="000000" w:themeColor="text1"/>
          <w:rtl/>
          <w:lang w:bidi="ar-DZ"/>
        </w:rPr>
      </w:pPr>
    </w:p>
    <w:p w:rsidR="00FD3D45" w:rsidRDefault="00FD3D45" w:rsidP="007A30E8">
      <w:pPr>
        <w:pStyle w:val="carte"/>
        <w:spacing w:after="0"/>
        <w:rPr>
          <w:color w:val="000000" w:themeColor="text1"/>
          <w:rtl/>
          <w:lang w:bidi="ar-DZ"/>
        </w:rPr>
      </w:pPr>
    </w:p>
    <w:p w:rsidR="00917788" w:rsidRDefault="00917788" w:rsidP="007A30E8">
      <w:pPr>
        <w:pStyle w:val="carte"/>
        <w:spacing w:after="0"/>
        <w:rPr>
          <w:rFonts w:asciiTheme="majorBidi" w:hAnsiTheme="majorBidi" w:cstheme="majorBidi"/>
          <w:rtl/>
          <w:lang w:val="en-US"/>
        </w:rPr>
      </w:pPr>
      <w:bookmarkStart w:id="689" w:name="_Toc171803704"/>
      <w:r>
        <w:rPr>
          <w:rFonts w:hint="cs"/>
          <w:color w:val="000000" w:themeColor="text1"/>
          <w:rtl/>
          <w:lang w:bidi="ar-DZ"/>
        </w:rPr>
        <w:lastRenderedPageBreak/>
        <w:t xml:space="preserve">الخريطة </w:t>
      </w:r>
      <w:r>
        <w:rPr>
          <w:rFonts w:hint="cs"/>
          <w:rtl/>
          <w:lang w:val="en-US" w:eastAsia="fr-FR"/>
        </w:rPr>
        <w:t xml:space="preserve">(5-1): </w:t>
      </w:r>
      <w:r w:rsidR="005E5A95">
        <w:rPr>
          <w:rFonts w:hint="cs"/>
          <w:rtl/>
          <w:lang w:val="en-US" w:eastAsia="fr-FR"/>
        </w:rPr>
        <w:t>نطاق التغطية بالخدمة ل</w:t>
      </w:r>
      <w:r>
        <w:rPr>
          <w:rFonts w:hint="cs"/>
          <w:color w:val="000000" w:themeColor="text1"/>
          <w:rtl/>
          <w:lang w:bidi="ar-DZ"/>
        </w:rPr>
        <w:t xml:space="preserve">معيار </w:t>
      </w:r>
      <w:r w:rsidRPr="00E50618">
        <w:rPr>
          <w:rtl/>
          <w:lang w:val="en-US" w:eastAsia="fr-FR"/>
        </w:rPr>
        <w:t>التكفل الطبي</w:t>
      </w:r>
      <w:r w:rsidR="005E5A95">
        <w:rPr>
          <w:rFonts w:hint="cs"/>
          <w:rtl/>
          <w:lang w:val="en-US" w:eastAsia="fr-FR"/>
        </w:rPr>
        <w:t xml:space="preserve"> </w:t>
      </w:r>
      <w:r w:rsidR="005E5A95" w:rsidRPr="001F04E3">
        <w:rPr>
          <w:rFonts w:asciiTheme="majorBidi" w:hAnsiTheme="majorBidi" w:cstheme="majorBidi"/>
          <w:lang w:val="en-US"/>
        </w:rPr>
        <w:t>(C1)</w:t>
      </w:r>
      <w:bookmarkEnd w:id="688"/>
      <w:bookmarkEnd w:id="689"/>
    </w:p>
    <w:p w:rsidR="007A30E8" w:rsidRPr="007A30E8" w:rsidRDefault="007A30E8" w:rsidP="007A30E8">
      <w:pPr>
        <w:pStyle w:val="fegure"/>
        <w:rPr>
          <w:sz w:val="8"/>
          <w:szCs w:val="24"/>
          <w:rtl/>
          <w:lang w:val="en-US" w:bidi="ar-DZ"/>
        </w:rPr>
      </w:pPr>
      <w:bookmarkStart w:id="690" w:name="_Toc171803705"/>
      <w:r>
        <w:rPr>
          <w:rFonts w:hint="cs"/>
          <w:sz w:val="8"/>
          <w:szCs w:val="24"/>
          <w:rtl/>
          <w:lang w:val="en-US"/>
        </w:rPr>
        <w:t>المصدر: (الباحث، 2022)</w:t>
      </w:r>
      <w:bookmarkEnd w:id="690"/>
    </w:p>
    <w:p w:rsidR="00E21F67" w:rsidRDefault="00E21F67" w:rsidP="00F77B47">
      <w:pPr>
        <w:tabs>
          <w:tab w:val="right" w:pos="282"/>
        </w:tabs>
        <w:bidi/>
        <w:spacing w:after="0"/>
        <w:jc w:val="center"/>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b/>
          <w:noProof/>
          <w:sz w:val="24"/>
          <w:szCs w:val="24"/>
          <w:rtl/>
          <w:lang w:eastAsia="fr-FR"/>
        </w:rPr>
        <w:drawing>
          <wp:inline distT="0" distB="0" distL="0" distR="0" wp14:anchorId="5E95028F" wp14:editId="15900D7B">
            <wp:extent cx="4209690" cy="5096579"/>
            <wp:effectExtent l="0" t="0" r="635" b="8890"/>
            <wp:docPr id="99" name="Imag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TC\Desktop\cumule\2.jpg"/>
                    <pic:cNvPicPr>
                      <a:picLocks noChangeAspect="1" noChangeArrowheads="1"/>
                    </pic:cNvPicPr>
                  </pic:nvPicPr>
                  <pic:blipFill rotWithShape="1">
                    <a:blip r:embed="rId240" cstate="print">
                      <a:extLst>
                        <a:ext uri="{28A0092B-C50C-407E-A947-70E740481C1C}">
                          <a14:useLocalDpi xmlns:a14="http://schemas.microsoft.com/office/drawing/2010/main" val="0"/>
                        </a:ext>
                      </a:extLst>
                    </a:blip>
                    <a:srcRect t="8363" b="849"/>
                    <a:stretch/>
                  </pic:blipFill>
                  <pic:spPr bwMode="auto">
                    <a:xfrm>
                      <a:off x="0" y="0"/>
                      <a:ext cx="4228274" cy="5119079"/>
                    </a:xfrm>
                    <a:prstGeom prst="rect">
                      <a:avLst/>
                    </a:prstGeom>
                    <a:noFill/>
                    <a:ln>
                      <a:noFill/>
                    </a:ln>
                    <a:extLst>
                      <a:ext uri="{53640926-AAD7-44D8-BBD7-CCE9431645EC}">
                        <a14:shadowObscured xmlns:a14="http://schemas.microsoft.com/office/drawing/2010/main"/>
                      </a:ext>
                    </a:extLst>
                  </pic:spPr>
                </pic:pic>
              </a:graphicData>
            </a:graphic>
          </wp:inline>
        </w:drawing>
      </w:r>
    </w:p>
    <w:p w:rsidR="00C121B0" w:rsidRPr="001A051A" w:rsidRDefault="00C121B0" w:rsidP="001D0548">
      <w:pPr>
        <w:pStyle w:val="Paragraphedeliste"/>
        <w:numPr>
          <w:ilvl w:val="1"/>
          <w:numId w:val="166"/>
        </w:numPr>
        <w:tabs>
          <w:tab w:val="right" w:pos="1275"/>
        </w:tabs>
        <w:bidi/>
        <w:spacing w:after="0"/>
        <w:ind w:left="0" w:firstLine="992"/>
        <w:jc w:val="both"/>
        <w:outlineLvl w:val="3"/>
        <w:rPr>
          <w:rFonts w:ascii="Simplified Arabic" w:hAnsi="Simplified Arabic" w:cs="Simplified Arabic"/>
          <w:b/>
          <w:bCs/>
          <w:sz w:val="24"/>
          <w:szCs w:val="24"/>
          <w:rtl/>
          <w:lang w:val="en-US"/>
        </w:rPr>
      </w:pPr>
      <w:r w:rsidRPr="001A051A">
        <w:rPr>
          <w:rFonts w:ascii="Simplified Arabic" w:hAnsi="Simplified Arabic" w:cs="Simplified Arabic" w:hint="cs"/>
          <w:b/>
          <w:bCs/>
          <w:sz w:val="24"/>
          <w:szCs w:val="24"/>
          <w:rtl/>
          <w:lang w:val="en-US"/>
        </w:rPr>
        <w:t>خريطة</w:t>
      </w:r>
      <w:r w:rsidRPr="001A051A">
        <w:rPr>
          <w:rFonts w:ascii="Simplified Arabic" w:hAnsi="Simplified Arabic" w:cs="Simplified Arabic"/>
          <w:b/>
          <w:bCs/>
          <w:sz w:val="24"/>
          <w:szCs w:val="24"/>
          <w:rtl/>
          <w:lang w:val="en-US"/>
        </w:rPr>
        <w:t xml:space="preserve"> </w:t>
      </w:r>
      <w:r w:rsidRPr="001A051A">
        <w:rPr>
          <w:rFonts w:ascii="Simplified Arabic" w:hAnsi="Simplified Arabic" w:cs="Simplified Arabic" w:hint="cs"/>
          <w:b/>
          <w:bCs/>
          <w:sz w:val="24"/>
          <w:szCs w:val="24"/>
          <w:rtl/>
          <w:lang w:val="en-US"/>
        </w:rPr>
        <w:t>معيار المسافة الى مراكز</w:t>
      </w:r>
      <w:r w:rsidRPr="001A051A">
        <w:rPr>
          <w:rFonts w:ascii="Simplified Arabic" w:hAnsi="Simplified Arabic" w:cs="Simplified Arabic"/>
          <w:b/>
          <w:bCs/>
          <w:sz w:val="24"/>
          <w:szCs w:val="24"/>
          <w:rtl/>
          <w:lang w:val="en-US"/>
        </w:rPr>
        <w:t xml:space="preserve"> الإنقاذ والإجلاء</w:t>
      </w:r>
      <w:r w:rsidRPr="001A051A">
        <w:rPr>
          <w:rFonts w:ascii="Simplified Arabic" w:hAnsi="Simplified Arabic" w:cs="Simplified Arabic"/>
          <w:b/>
          <w:bCs/>
          <w:sz w:val="24"/>
          <w:szCs w:val="24"/>
          <w:lang w:val="en-US"/>
        </w:rPr>
        <w:t xml:space="preserve"> </w:t>
      </w:r>
      <w:r w:rsidRPr="001A051A">
        <w:rPr>
          <w:rFonts w:asciiTheme="majorBidi" w:hAnsiTheme="majorBidi" w:cstheme="majorBidi"/>
          <w:b/>
          <w:bCs/>
          <w:sz w:val="24"/>
          <w:szCs w:val="24"/>
          <w:lang w:val="en-US"/>
        </w:rPr>
        <w:t>C2</w:t>
      </w:r>
      <w:r w:rsidRPr="001A051A">
        <w:rPr>
          <w:rFonts w:ascii="Simplified Arabic" w:hAnsi="Simplified Arabic" w:cs="Simplified Arabic"/>
          <w:b/>
          <w:bCs/>
          <w:sz w:val="24"/>
          <w:szCs w:val="24"/>
          <w:lang w:val="en-US"/>
        </w:rPr>
        <w:t xml:space="preserve"> </w:t>
      </w:r>
      <w:r w:rsidRPr="001A051A">
        <w:rPr>
          <w:rFonts w:ascii="Simplified Arabic" w:hAnsi="Simplified Arabic" w:cs="Simplified Arabic" w:hint="cs"/>
          <w:b/>
          <w:bCs/>
          <w:sz w:val="24"/>
          <w:szCs w:val="24"/>
          <w:rtl/>
          <w:lang w:val="en-US"/>
        </w:rPr>
        <w:t>:</w:t>
      </w:r>
    </w:p>
    <w:p w:rsidR="00C121B0" w:rsidRDefault="00C121B0" w:rsidP="00B849BF">
      <w:pPr>
        <w:tabs>
          <w:tab w:val="right" w:pos="282"/>
        </w:tabs>
        <w:bidi/>
        <w:spacing w:after="0"/>
        <w:ind w:firstLine="282"/>
        <w:jc w:val="both"/>
        <w:rPr>
          <w:rFonts w:ascii="Simplified Arabic" w:eastAsia="Times New Roman" w:hAnsi="Simplified Arabic" w:cs="Simplified Arabic"/>
          <w:b/>
          <w:sz w:val="24"/>
          <w:szCs w:val="24"/>
          <w:rtl/>
          <w:lang w:val="en-US" w:eastAsia="fr-FR"/>
        </w:rPr>
      </w:pPr>
      <w:r w:rsidRPr="00F83C68">
        <w:rPr>
          <w:rFonts w:ascii="Simplified Arabic" w:eastAsia="Times New Roman" w:hAnsi="Simplified Arabic" w:cs="Simplified Arabic"/>
          <w:b/>
          <w:sz w:val="24"/>
          <w:szCs w:val="24"/>
          <w:rtl/>
          <w:lang w:val="en-US" w:eastAsia="fr-FR"/>
        </w:rPr>
        <w:t>تم ادخال بيانات مرافق الإنقاذ والإجلاء، كما تم إنشاء خريطة المسافة إلى مراكز الإنقاذ والإجلاء</w:t>
      </w:r>
      <w:r w:rsidRPr="00F83C68">
        <w:rPr>
          <w:rFonts w:ascii="Simplified Arabic" w:eastAsia="Times New Roman" w:hAnsi="Simplified Arabic" w:cs="Simplified Arabic"/>
          <w:b/>
          <w:sz w:val="24"/>
          <w:szCs w:val="24"/>
          <w:lang w:val="en-US" w:eastAsia="fr-FR"/>
        </w:rPr>
        <w:t xml:space="preserve"> </w:t>
      </w:r>
      <w:r w:rsidRPr="00F83C68">
        <w:rPr>
          <w:rFonts w:ascii="Simplified Arabic" w:eastAsia="Times New Roman" w:hAnsi="Simplified Arabic" w:cs="Simplified Arabic"/>
          <w:b/>
          <w:sz w:val="24"/>
          <w:szCs w:val="24"/>
          <w:rtl/>
          <w:lang w:val="en-US" w:eastAsia="fr-FR"/>
        </w:rPr>
        <w:t>باستخدام أداة المسافة الإقليدية على منصة</w:t>
      </w:r>
      <w:r w:rsidRPr="00F83C68">
        <w:rPr>
          <w:rFonts w:ascii="Simplified Arabic" w:hAnsi="Simplified Arabic" w:cs="Simplified Arabic"/>
          <w:sz w:val="24"/>
          <w:szCs w:val="24"/>
          <w:rtl/>
          <w:lang w:val="en-US"/>
        </w:rPr>
        <w:t xml:space="preserve"> </w:t>
      </w:r>
      <w:r w:rsidRPr="000D6B35">
        <w:rPr>
          <w:rFonts w:asciiTheme="majorBidi" w:hAnsiTheme="majorBidi" w:cstheme="majorBidi"/>
          <w:sz w:val="24"/>
          <w:szCs w:val="24"/>
          <w:lang w:val="en-US"/>
        </w:rPr>
        <w:t>ArcGIS</w:t>
      </w:r>
      <w:r w:rsidRPr="00F83C68">
        <w:rPr>
          <w:rFonts w:ascii="Simplified Arabic" w:eastAsia="Times New Roman" w:hAnsi="Simplified Arabic" w:cs="Simplified Arabic"/>
          <w:b/>
          <w:sz w:val="24"/>
          <w:szCs w:val="24"/>
          <w:rtl/>
          <w:lang w:val="en-US" w:eastAsia="fr-FR"/>
        </w:rPr>
        <w:t>. بالنسبة</w:t>
      </w:r>
      <w:r w:rsidRPr="00E50618">
        <w:rPr>
          <w:rFonts w:ascii="Simplified Arabic" w:eastAsia="Times New Roman" w:hAnsi="Simplified Arabic" w:cs="Simplified Arabic"/>
          <w:b/>
          <w:sz w:val="24"/>
          <w:szCs w:val="24"/>
          <w:rtl/>
          <w:lang w:val="en-US" w:eastAsia="fr-FR"/>
        </w:rPr>
        <w:t xml:space="preserve"> لنطاق </w:t>
      </w:r>
      <w:r>
        <w:rPr>
          <w:rFonts w:ascii="Simplified Arabic" w:eastAsia="Times New Roman" w:hAnsi="Simplified Arabic" w:cs="Simplified Arabic" w:hint="cs"/>
          <w:b/>
          <w:sz w:val="24"/>
          <w:szCs w:val="24"/>
          <w:rtl/>
          <w:lang w:val="en-US" w:eastAsia="fr-FR"/>
        </w:rPr>
        <w:t>التغطية بالخدمة</w:t>
      </w:r>
      <w:r w:rsidRPr="00E50618">
        <w:rPr>
          <w:rFonts w:ascii="Simplified Arabic" w:eastAsia="Times New Roman" w:hAnsi="Simplified Arabic" w:cs="Simplified Arabic"/>
          <w:b/>
          <w:sz w:val="24"/>
          <w:szCs w:val="24"/>
          <w:rtl/>
          <w:lang w:val="en-US" w:eastAsia="fr-FR"/>
        </w:rPr>
        <w:t>، حدد الخبراء</w:t>
      </w:r>
      <w:r w:rsidRPr="00630BD9">
        <w:rPr>
          <w:rFonts w:ascii="Simplified Arabic" w:eastAsia="Times New Roman" w:hAnsi="Simplified Arabic" w:cs="Simplified Arabic" w:hint="cs"/>
          <w:b/>
          <w:sz w:val="24"/>
          <w:szCs w:val="24"/>
          <w:rtl/>
          <w:lang w:val="en-US" w:eastAsia="fr-FR"/>
        </w:rPr>
        <w:t xml:space="preserve"> النطاقات التالية:</w:t>
      </w:r>
      <w:r w:rsidRPr="00E50618">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b/>
          <w:sz w:val="24"/>
          <w:szCs w:val="24"/>
          <w:rtl/>
          <w:lang w:val="en-US" w:eastAsia="fr-FR"/>
        </w:rPr>
        <w:t>(</w:t>
      </w:r>
      <w:r w:rsidRPr="00630BD9">
        <w:rPr>
          <w:rFonts w:ascii="Simplified Arabic" w:eastAsia="Times New Roman" w:hAnsi="Simplified Arabic" w:cs="Simplified Arabic" w:hint="cs"/>
          <w:b/>
          <w:sz w:val="24"/>
          <w:szCs w:val="24"/>
          <w:rtl/>
          <w:lang w:val="en-US" w:eastAsia="fr-FR"/>
        </w:rPr>
        <w:t>أقل</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sidR="00B849BF">
        <w:rPr>
          <w:rFonts w:ascii="Simplified Arabic" w:eastAsia="Times New Roman" w:hAnsi="Simplified Arabic" w:cs="Simplified Arabic" w:hint="cs"/>
          <w:b/>
          <w:sz w:val="24"/>
          <w:szCs w:val="24"/>
          <w:rtl/>
          <w:lang w:val="en-US" w:eastAsia="fr-FR"/>
        </w:rPr>
        <w:t>2000م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sidR="00B849BF">
        <w:rPr>
          <w:rFonts w:ascii="Simplified Arabic" w:eastAsia="Times New Roman" w:hAnsi="Simplified Arabic" w:cs="Simplified Arabic" w:hint="cs"/>
          <w:b/>
          <w:sz w:val="24"/>
          <w:szCs w:val="24"/>
          <w:rtl/>
          <w:lang w:val="en-US" w:eastAsia="fr-FR"/>
        </w:rPr>
        <w:t>2000م</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إلى</w:t>
      </w:r>
      <w:r w:rsidRPr="00630BD9">
        <w:rPr>
          <w:rFonts w:ascii="Simplified Arabic" w:eastAsia="Times New Roman" w:hAnsi="Simplified Arabic" w:cs="Simplified Arabic"/>
          <w:b/>
          <w:sz w:val="24"/>
          <w:szCs w:val="24"/>
          <w:rtl/>
          <w:lang w:val="en-US" w:eastAsia="fr-FR"/>
        </w:rPr>
        <w:t xml:space="preserve"> </w:t>
      </w:r>
      <w:r w:rsidR="00B849BF">
        <w:rPr>
          <w:rFonts w:ascii="Simplified Arabic" w:eastAsia="Times New Roman" w:hAnsi="Simplified Arabic" w:cs="Simplified Arabic" w:hint="cs"/>
          <w:b/>
          <w:sz w:val="24"/>
          <w:szCs w:val="24"/>
          <w:rtl/>
          <w:lang w:val="en-US" w:eastAsia="fr-FR"/>
        </w:rPr>
        <w:t>3000م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أكثر</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sidR="00B849BF">
        <w:rPr>
          <w:rFonts w:ascii="Simplified Arabic" w:eastAsia="Times New Roman" w:hAnsi="Simplified Arabic" w:cs="Simplified Arabic" w:hint="cs"/>
          <w:b/>
          <w:sz w:val="24"/>
          <w:szCs w:val="24"/>
          <w:rtl/>
          <w:lang w:val="en-US" w:eastAsia="fr-FR"/>
        </w:rPr>
        <w:t>3000م</w:t>
      </w:r>
      <w:r>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 xml:space="preserve">، </w:t>
      </w:r>
      <w:r w:rsidRPr="00E50618">
        <w:rPr>
          <w:rFonts w:ascii="Simplified Arabic" w:eastAsia="Times New Roman" w:hAnsi="Simplified Arabic" w:cs="Simplified Arabic"/>
          <w:b/>
          <w:sz w:val="24"/>
          <w:szCs w:val="24"/>
          <w:rtl/>
          <w:lang w:val="en-US" w:eastAsia="fr-FR"/>
        </w:rPr>
        <w:t xml:space="preserve">الشكل </w:t>
      </w:r>
      <w:r>
        <w:rPr>
          <w:rFonts w:ascii="Simplified Arabic" w:eastAsia="Times New Roman" w:hAnsi="Simplified Arabic" w:cs="Simplified Arabic" w:hint="cs"/>
          <w:b/>
          <w:sz w:val="24"/>
          <w:szCs w:val="24"/>
          <w:rtl/>
          <w:lang w:val="en-US" w:eastAsia="fr-FR"/>
        </w:rPr>
        <w:t>رقم (</w:t>
      </w:r>
      <w:r w:rsidR="00917788">
        <w:rPr>
          <w:rFonts w:ascii="Simplified Arabic" w:eastAsia="Times New Roman" w:hAnsi="Simplified Arabic" w:cs="Simplified Arabic" w:hint="cs"/>
          <w:b/>
          <w:sz w:val="24"/>
          <w:szCs w:val="24"/>
          <w:rtl/>
          <w:lang w:val="en-US" w:eastAsia="fr-FR"/>
        </w:rPr>
        <w:t>5-2</w:t>
      </w:r>
      <w:r>
        <w:rPr>
          <w:rFonts w:ascii="Simplified Arabic" w:eastAsia="Times New Roman" w:hAnsi="Simplified Arabic" w:cs="Simplified Arabic" w:hint="cs"/>
          <w:b/>
          <w:sz w:val="24"/>
          <w:szCs w:val="24"/>
          <w:rtl/>
          <w:lang w:val="en-US" w:eastAsia="fr-FR"/>
        </w:rPr>
        <w:t>)</w:t>
      </w:r>
      <w:r w:rsidRPr="00E50618">
        <w:rPr>
          <w:rFonts w:ascii="Simplified Arabic" w:eastAsia="Times New Roman" w:hAnsi="Simplified Arabic" w:cs="Simplified Arabic"/>
          <w:b/>
          <w:sz w:val="24"/>
          <w:szCs w:val="24"/>
          <w:rtl/>
          <w:lang w:val="en-US" w:eastAsia="fr-FR"/>
        </w:rPr>
        <w:t>.</w:t>
      </w:r>
    </w:p>
    <w:p w:rsidR="008736F8" w:rsidRDefault="008736F8" w:rsidP="0000210E">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sidRPr="00CA51A1">
        <w:rPr>
          <w:rStyle w:val="y2iqfc"/>
          <w:rFonts w:ascii="Simplified Arabic" w:hAnsi="Simplified Arabic" w:cs="Simplified Arabic"/>
          <w:color w:val="202124"/>
          <w:sz w:val="24"/>
          <w:szCs w:val="24"/>
          <w:rtl/>
          <w:lang w:val="en-US" w:bidi="ar"/>
        </w:rPr>
        <w:t xml:space="preserve">تم تحليل التوزيع المكاني بناءً على الوصول إلى مراكز الانقاذ والاجلاء في بوسعادة </w:t>
      </w:r>
      <w:r>
        <w:rPr>
          <w:rFonts w:ascii="Simplified Arabic" w:hAnsi="Simplified Arabic" w:cs="Simplified Arabic" w:hint="cs"/>
          <w:color w:val="000000" w:themeColor="text1"/>
          <w:sz w:val="24"/>
          <w:szCs w:val="24"/>
          <w:rtl/>
          <w:lang w:bidi="ar-DZ"/>
        </w:rPr>
        <w:t xml:space="preserve">الخريطة </w:t>
      </w:r>
      <w:r>
        <w:rPr>
          <w:rFonts w:ascii="Simplified Arabic" w:eastAsia="Times New Roman" w:hAnsi="Simplified Arabic" w:cs="Simplified Arabic" w:hint="cs"/>
          <w:b/>
          <w:sz w:val="24"/>
          <w:szCs w:val="24"/>
          <w:rtl/>
          <w:lang w:val="en-US" w:eastAsia="fr-FR"/>
        </w:rPr>
        <w:t>(5-2)</w:t>
      </w:r>
      <w:r w:rsidRPr="00CA51A1">
        <w:rPr>
          <w:rStyle w:val="y2iqfc"/>
          <w:rFonts w:ascii="Simplified Arabic" w:hAnsi="Simplified Arabic" w:cs="Simplified Arabic"/>
          <w:color w:val="202124"/>
          <w:sz w:val="24"/>
          <w:szCs w:val="24"/>
          <w:rtl/>
          <w:lang w:val="en-US" w:bidi="ar"/>
        </w:rPr>
        <w:t xml:space="preserve">. </w:t>
      </w:r>
      <w:r w:rsidRPr="00F669B1">
        <w:rPr>
          <w:rStyle w:val="y2iqfc"/>
          <w:rFonts w:ascii="Simplified Arabic" w:hAnsi="Simplified Arabic" w:cs="Simplified Arabic"/>
          <w:sz w:val="24"/>
          <w:szCs w:val="24"/>
          <w:rtl/>
          <w:lang w:val="en-US" w:bidi="ar"/>
        </w:rPr>
        <w:t xml:space="preserve">تبين </w:t>
      </w:r>
      <w:r w:rsidRPr="00CA51A1">
        <w:rPr>
          <w:rStyle w:val="y2iqfc"/>
          <w:rFonts w:ascii="Simplified Arabic" w:hAnsi="Simplified Arabic" w:cs="Simplified Arabic"/>
          <w:color w:val="202124"/>
          <w:sz w:val="24"/>
          <w:szCs w:val="24"/>
          <w:rtl/>
          <w:lang w:val="en-US" w:bidi="ar"/>
        </w:rPr>
        <w:t>ان هناك تباينًا مكانيًا حرجًا ل</w:t>
      </w:r>
      <w:r w:rsidR="007B558D">
        <w:rPr>
          <w:rStyle w:val="y2iqfc"/>
          <w:rFonts w:ascii="Simplified Arabic" w:hAnsi="Simplified Arabic" w:cs="Simplified Arabic" w:hint="cs"/>
          <w:color w:val="202124"/>
          <w:sz w:val="24"/>
          <w:szCs w:val="24"/>
          <w:rtl/>
          <w:lang w:val="en-US" w:bidi="ar"/>
        </w:rPr>
        <w:t>مستوى ال</w:t>
      </w:r>
      <w:r w:rsidRPr="00CA51A1">
        <w:rPr>
          <w:rStyle w:val="y2iqfc"/>
          <w:rFonts w:ascii="Simplified Arabic" w:hAnsi="Simplified Arabic" w:cs="Simplified Arabic"/>
          <w:color w:val="202124"/>
          <w:sz w:val="24"/>
          <w:szCs w:val="24"/>
          <w:rtl/>
          <w:lang w:val="en-US" w:bidi="ar"/>
        </w:rPr>
        <w:t xml:space="preserve">مرونة </w:t>
      </w:r>
      <w:r w:rsidR="007B558D" w:rsidRPr="00CA51A1">
        <w:rPr>
          <w:rStyle w:val="y2iqfc"/>
          <w:rFonts w:ascii="Simplified Arabic" w:hAnsi="Simplified Arabic" w:cs="Simplified Arabic"/>
          <w:color w:val="202124"/>
          <w:sz w:val="24"/>
          <w:szCs w:val="24"/>
          <w:rtl/>
          <w:lang w:val="en-US" w:bidi="ar"/>
        </w:rPr>
        <w:t xml:space="preserve">من وسط </w:t>
      </w:r>
      <w:r w:rsidR="007B558D">
        <w:rPr>
          <w:rStyle w:val="y2iqfc"/>
          <w:rFonts w:ascii="Simplified Arabic" w:hAnsi="Simplified Arabic" w:cs="Simplified Arabic" w:hint="cs"/>
          <w:color w:val="202124"/>
          <w:sz w:val="24"/>
          <w:szCs w:val="24"/>
          <w:rtl/>
          <w:lang w:val="en-US" w:bidi="ar"/>
        </w:rPr>
        <w:t>ال</w:t>
      </w:r>
      <w:r w:rsidR="007B558D" w:rsidRPr="00CA51A1">
        <w:rPr>
          <w:rStyle w:val="y2iqfc"/>
          <w:rFonts w:ascii="Simplified Arabic" w:hAnsi="Simplified Arabic" w:cs="Simplified Arabic"/>
          <w:color w:val="202124"/>
          <w:sz w:val="24"/>
          <w:szCs w:val="24"/>
          <w:rtl/>
          <w:lang w:val="en-US" w:bidi="ar"/>
        </w:rPr>
        <w:t xml:space="preserve">مدينة نحو </w:t>
      </w:r>
      <w:r w:rsidR="007B558D">
        <w:rPr>
          <w:rStyle w:val="y2iqfc"/>
          <w:rFonts w:ascii="Simplified Arabic" w:hAnsi="Simplified Arabic" w:cs="Simplified Arabic" w:hint="cs"/>
          <w:color w:val="202124"/>
          <w:sz w:val="24"/>
          <w:szCs w:val="24"/>
          <w:rtl/>
          <w:lang w:val="en-US" w:bidi="ar"/>
        </w:rPr>
        <w:t>مناطق التوسع الحضري للمدينة</w:t>
      </w:r>
      <w:r>
        <w:rPr>
          <w:rStyle w:val="y2iqfc"/>
          <w:rFonts w:ascii="Simplified Arabic" w:hAnsi="Simplified Arabic" w:cs="Simplified Arabic" w:hint="cs"/>
          <w:color w:val="202124"/>
          <w:sz w:val="24"/>
          <w:szCs w:val="24"/>
          <w:rtl/>
          <w:lang w:val="en-US" w:bidi="ar"/>
        </w:rPr>
        <w:t>،</w:t>
      </w:r>
      <w:r w:rsidRPr="00CA51A1">
        <w:rPr>
          <w:rStyle w:val="y2iqfc"/>
          <w:rFonts w:ascii="Simplified Arabic" w:hAnsi="Simplified Arabic" w:cs="Simplified Arabic"/>
          <w:color w:val="202124"/>
          <w:sz w:val="24"/>
          <w:szCs w:val="24"/>
          <w:rtl/>
          <w:lang w:val="en-US" w:bidi="ar"/>
        </w:rPr>
        <w:t xml:space="preserve"> </w:t>
      </w:r>
      <w:r>
        <w:rPr>
          <w:rStyle w:val="y2iqfc"/>
          <w:rFonts w:ascii="Simplified Arabic" w:hAnsi="Simplified Arabic" w:cs="Simplified Arabic" w:hint="cs"/>
          <w:color w:val="202124"/>
          <w:sz w:val="24"/>
          <w:szCs w:val="24"/>
          <w:rtl/>
          <w:lang w:val="en-US" w:bidi="ar"/>
        </w:rPr>
        <w:t>باعتبار</w:t>
      </w:r>
      <w:r w:rsidRPr="00CA51A1">
        <w:rPr>
          <w:rStyle w:val="y2iqfc"/>
          <w:rFonts w:ascii="Simplified Arabic" w:hAnsi="Simplified Arabic" w:cs="Simplified Arabic"/>
          <w:color w:val="202124"/>
          <w:sz w:val="24"/>
          <w:szCs w:val="24"/>
          <w:rtl/>
          <w:lang w:val="en-US" w:bidi="ar"/>
        </w:rPr>
        <w:t xml:space="preserve"> ان المدينة تت</w:t>
      </w:r>
      <w:r w:rsidR="007B558D">
        <w:rPr>
          <w:rStyle w:val="y2iqfc"/>
          <w:rFonts w:ascii="Simplified Arabic" w:hAnsi="Simplified Arabic" w:cs="Simplified Arabic"/>
          <w:color w:val="202124"/>
          <w:sz w:val="24"/>
          <w:szCs w:val="24"/>
          <w:rtl/>
          <w:lang w:val="en-US" w:bidi="ar"/>
        </w:rPr>
        <w:t>وفر على مركز واحد فقط للإنقاذ و</w:t>
      </w:r>
      <w:r w:rsidRPr="00CA51A1">
        <w:rPr>
          <w:rStyle w:val="y2iqfc"/>
          <w:rFonts w:ascii="Simplified Arabic" w:hAnsi="Simplified Arabic" w:cs="Simplified Arabic"/>
          <w:color w:val="202124"/>
          <w:sz w:val="24"/>
          <w:szCs w:val="24"/>
          <w:rtl/>
          <w:lang w:val="en-US" w:bidi="ar"/>
        </w:rPr>
        <w:t xml:space="preserve">الاجلاء </w:t>
      </w:r>
      <w:r w:rsidR="007B558D">
        <w:rPr>
          <w:rStyle w:val="y2iqfc"/>
          <w:rFonts w:ascii="Simplified Arabic" w:hAnsi="Simplified Arabic" w:cs="Simplified Arabic" w:hint="cs"/>
          <w:color w:val="202124"/>
          <w:sz w:val="24"/>
          <w:szCs w:val="24"/>
          <w:rtl/>
          <w:lang w:val="en-US" w:bidi="ar"/>
        </w:rPr>
        <w:t xml:space="preserve">يقع </w:t>
      </w:r>
      <w:r>
        <w:rPr>
          <w:rStyle w:val="y2iqfc"/>
          <w:rFonts w:ascii="Simplified Arabic" w:hAnsi="Simplified Arabic" w:cs="Simplified Arabic" w:hint="cs"/>
          <w:color w:val="202124"/>
          <w:sz w:val="24"/>
          <w:szCs w:val="24"/>
          <w:rtl/>
          <w:lang w:val="en-US" w:bidi="ar"/>
        </w:rPr>
        <w:t>ب</w:t>
      </w:r>
      <w:r>
        <w:rPr>
          <w:rStyle w:val="y2iqfc"/>
          <w:rFonts w:ascii="Simplified Arabic" w:hAnsi="Simplified Arabic" w:cs="Simplified Arabic"/>
          <w:color w:val="202124"/>
          <w:sz w:val="24"/>
          <w:szCs w:val="24"/>
          <w:rtl/>
          <w:lang w:val="en-US" w:bidi="ar"/>
        </w:rPr>
        <w:t xml:space="preserve">وسط المدينة. </w:t>
      </w:r>
      <w:r w:rsidR="002F1145">
        <w:rPr>
          <w:rStyle w:val="y2iqfc"/>
          <w:rFonts w:ascii="Simplified Arabic" w:hAnsi="Simplified Arabic" w:cs="Simplified Arabic" w:hint="cs"/>
          <w:color w:val="202124"/>
          <w:sz w:val="24"/>
          <w:szCs w:val="24"/>
          <w:rtl/>
          <w:lang w:val="en-US" w:bidi="ar"/>
        </w:rPr>
        <w:t xml:space="preserve">رغم ذلك، تشهد منطقة التوسع الجنوبي والشرقي والغربي مستوى مرونة متوسط وضعيف مثل حي </w:t>
      </w:r>
      <w:r w:rsidR="0000210E">
        <w:rPr>
          <w:rStyle w:val="y2iqfc"/>
          <w:rFonts w:ascii="Simplified Arabic" w:hAnsi="Simplified Arabic" w:cs="Simplified Arabic" w:hint="cs"/>
          <w:color w:val="202124"/>
          <w:sz w:val="24"/>
          <w:szCs w:val="24"/>
          <w:rtl/>
          <w:lang w:val="en-US" w:bidi="ar"/>
        </w:rPr>
        <w:t xml:space="preserve">الحمايد، </w:t>
      </w:r>
      <w:r w:rsidR="002F1145">
        <w:rPr>
          <w:rStyle w:val="y2iqfc"/>
          <w:rFonts w:ascii="Simplified Arabic" w:hAnsi="Simplified Arabic" w:cs="Simplified Arabic" w:hint="cs"/>
          <w:color w:val="202124"/>
          <w:sz w:val="24"/>
          <w:szCs w:val="24"/>
          <w:rtl/>
          <w:lang w:val="en-US" w:bidi="ar"/>
        </w:rPr>
        <w:t>سيدي سليمان و</w:t>
      </w:r>
      <w:r w:rsidR="0000210E">
        <w:rPr>
          <w:rStyle w:val="y2iqfc"/>
          <w:rFonts w:ascii="Simplified Arabic" w:hAnsi="Simplified Arabic" w:cs="Simplified Arabic" w:hint="cs"/>
          <w:color w:val="202124"/>
          <w:sz w:val="24"/>
          <w:szCs w:val="24"/>
          <w:rtl/>
          <w:lang w:val="en-US" w:bidi="ar"/>
        </w:rPr>
        <w:t>ميطر</w:t>
      </w:r>
      <w:r w:rsidR="002F1145">
        <w:rPr>
          <w:rStyle w:val="y2iqfc"/>
          <w:rFonts w:ascii="Simplified Arabic" w:hAnsi="Simplified Arabic" w:cs="Simplified Arabic" w:hint="cs"/>
          <w:color w:val="202124"/>
          <w:sz w:val="24"/>
          <w:szCs w:val="24"/>
          <w:rtl/>
          <w:lang w:val="en-US" w:bidi="ar"/>
        </w:rPr>
        <w:t xml:space="preserve">. للإشارة الى ان هناك مشروع انجاز مركز </w:t>
      </w:r>
      <w:r w:rsidR="002F1145">
        <w:rPr>
          <w:rStyle w:val="y2iqfc"/>
          <w:rFonts w:ascii="Simplified Arabic" w:hAnsi="Simplified Arabic" w:cs="Simplified Arabic"/>
          <w:color w:val="202124"/>
          <w:sz w:val="24"/>
          <w:szCs w:val="24"/>
          <w:rtl/>
          <w:lang w:val="en-US" w:bidi="ar"/>
        </w:rPr>
        <w:t>للإنقاذ و</w:t>
      </w:r>
      <w:r w:rsidR="002F1145" w:rsidRPr="00CA51A1">
        <w:rPr>
          <w:rStyle w:val="y2iqfc"/>
          <w:rFonts w:ascii="Simplified Arabic" w:hAnsi="Simplified Arabic" w:cs="Simplified Arabic"/>
          <w:color w:val="202124"/>
          <w:sz w:val="24"/>
          <w:szCs w:val="24"/>
          <w:rtl/>
          <w:lang w:val="en-US" w:bidi="ar"/>
        </w:rPr>
        <w:t>الاجلاء</w:t>
      </w:r>
      <w:r w:rsidR="002F1145">
        <w:rPr>
          <w:rStyle w:val="y2iqfc"/>
          <w:rFonts w:ascii="Simplified Arabic" w:hAnsi="Simplified Arabic" w:cs="Simplified Arabic" w:hint="cs"/>
          <w:color w:val="202124"/>
          <w:sz w:val="24"/>
          <w:szCs w:val="24"/>
          <w:rtl/>
          <w:lang w:val="en-US" w:bidi="ar"/>
        </w:rPr>
        <w:t xml:space="preserve"> (وحدة للحماية المدنية) بمنطقة التوسع الحضري الشمالي بحي الباطن</w:t>
      </w:r>
      <w:r w:rsidR="0000210E">
        <w:rPr>
          <w:rStyle w:val="y2iqfc"/>
          <w:rFonts w:ascii="Simplified Arabic" w:hAnsi="Simplified Arabic" w:cs="Simplified Arabic" w:hint="cs"/>
          <w:color w:val="202124"/>
          <w:sz w:val="24"/>
          <w:szCs w:val="24"/>
          <w:rtl/>
          <w:lang w:val="en-US" w:bidi="ar"/>
        </w:rPr>
        <w:t xml:space="preserve"> الذي يشهد مستوى مرونة متدنٍ</w:t>
      </w:r>
      <w:r w:rsidR="002F1145">
        <w:rPr>
          <w:rStyle w:val="y2iqfc"/>
          <w:rFonts w:ascii="Simplified Arabic" w:hAnsi="Simplified Arabic" w:cs="Simplified Arabic" w:hint="cs"/>
          <w:color w:val="202124"/>
          <w:sz w:val="24"/>
          <w:szCs w:val="24"/>
          <w:rtl/>
          <w:lang w:val="en-US" w:bidi="ar"/>
        </w:rPr>
        <w:t>.</w:t>
      </w:r>
    </w:p>
    <w:p w:rsidR="00FD3D45" w:rsidRDefault="00FD3D45" w:rsidP="007A30E8">
      <w:pPr>
        <w:pStyle w:val="carte"/>
        <w:spacing w:after="0"/>
        <w:rPr>
          <w:color w:val="000000" w:themeColor="text1"/>
          <w:rtl/>
          <w:lang w:bidi="ar-DZ"/>
        </w:rPr>
      </w:pPr>
      <w:bookmarkStart w:id="691" w:name="_Toc157616601"/>
    </w:p>
    <w:p w:rsidR="00917788" w:rsidRDefault="005E5A95" w:rsidP="007A30E8">
      <w:pPr>
        <w:pStyle w:val="carte"/>
        <w:spacing w:after="0"/>
        <w:rPr>
          <w:color w:val="000000" w:themeColor="text1"/>
          <w:rtl/>
          <w:lang w:bidi="ar-DZ"/>
        </w:rPr>
      </w:pPr>
      <w:bookmarkStart w:id="692" w:name="_Toc171803706"/>
      <w:r>
        <w:rPr>
          <w:rFonts w:hint="cs"/>
          <w:color w:val="000000" w:themeColor="text1"/>
          <w:rtl/>
          <w:lang w:bidi="ar-DZ"/>
        </w:rPr>
        <w:lastRenderedPageBreak/>
        <w:t xml:space="preserve">الخريطة </w:t>
      </w:r>
      <w:r>
        <w:rPr>
          <w:rFonts w:eastAsia="Times New Roman" w:hint="cs"/>
          <w:rtl/>
          <w:lang w:val="en-US" w:eastAsia="fr-FR"/>
        </w:rPr>
        <w:t>(5-2): نطاق التغطية بالخدمة ل</w:t>
      </w:r>
      <w:r>
        <w:rPr>
          <w:rFonts w:hint="cs"/>
          <w:color w:val="000000" w:themeColor="text1"/>
          <w:rtl/>
          <w:lang w:bidi="ar-DZ"/>
        </w:rPr>
        <w:t xml:space="preserve">معيار </w:t>
      </w:r>
      <w:r>
        <w:rPr>
          <w:rFonts w:hint="cs"/>
          <w:rtl/>
          <w:lang w:val="en-US"/>
        </w:rPr>
        <w:t>الانقاذ والاجلاء</w:t>
      </w:r>
      <w:r w:rsidRPr="00E50618">
        <w:rPr>
          <w:rFonts w:eastAsia="Times New Roman"/>
          <w:rtl/>
          <w:lang w:val="en-US" w:eastAsia="fr-FR"/>
        </w:rPr>
        <w:t xml:space="preserve"> </w:t>
      </w:r>
      <w:r w:rsidRPr="001F04E3">
        <w:rPr>
          <w:rFonts w:asciiTheme="majorBidi" w:hAnsiTheme="majorBidi" w:cstheme="majorBidi"/>
          <w:lang w:val="en-US"/>
        </w:rPr>
        <w:t>(C</w:t>
      </w:r>
      <w:r>
        <w:rPr>
          <w:rFonts w:asciiTheme="majorBidi" w:hAnsiTheme="majorBidi" w:cstheme="majorBidi"/>
          <w:lang w:val="en-US"/>
        </w:rPr>
        <w:t>2</w:t>
      </w:r>
      <w:r w:rsidRPr="001F04E3">
        <w:rPr>
          <w:rFonts w:asciiTheme="majorBidi" w:hAnsiTheme="majorBidi" w:cstheme="majorBidi"/>
          <w:lang w:val="en-US"/>
        </w:rPr>
        <w:t>)</w:t>
      </w:r>
      <w:bookmarkEnd w:id="691"/>
      <w:bookmarkEnd w:id="692"/>
    </w:p>
    <w:p w:rsidR="007A30E8" w:rsidRPr="007A30E8" w:rsidRDefault="007A30E8" w:rsidP="007A30E8">
      <w:pPr>
        <w:pStyle w:val="fegure"/>
        <w:rPr>
          <w:sz w:val="8"/>
          <w:szCs w:val="24"/>
          <w:rtl/>
          <w:lang w:val="en-US" w:bidi="ar-DZ"/>
        </w:rPr>
      </w:pPr>
      <w:bookmarkStart w:id="693" w:name="_Toc171803707"/>
      <w:r>
        <w:rPr>
          <w:rFonts w:hint="cs"/>
          <w:sz w:val="8"/>
          <w:szCs w:val="24"/>
          <w:rtl/>
          <w:lang w:val="en-US"/>
        </w:rPr>
        <w:t>المصدر: (الباحث، 2022)</w:t>
      </w:r>
      <w:bookmarkEnd w:id="693"/>
    </w:p>
    <w:p w:rsidR="00917788" w:rsidRDefault="00917788" w:rsidP="00917788">
      <w:pPr>
        <w:pStyle w:val="NormalWeb"/>
        <w:bidi/>
        <w:spacing w:before="0" w:beforeAutospacing="0" w:after="240" w:afterAutospacing="0"/>
        <w:jc w:val="center"/>
        <w:rPr>
          <w:color w:val="000000"/>
          <w:lang w:val="en-US"/>
        </w:rPr>
      </w:pPr>
      <w:r>
        <w:rPr>
          <w:noProof/>
          <w:color w:val="000000"/>
          <w:rtl/>
        </w:rPr>
        <w:drawing>
          <wp:inline distT="0" distB="0" distL="0" distR="0" wp14:anchorId="5261DFE1" wp14:editId="0FD69D6C">
            <wp:extent cx="4624032" cy="5598543"/>
            <wp:effectExtent l="0" t="0" r="5715" b="2540"/>
            <wp:docPr id="100" name="Imag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TC\Desktop\cumule\3.jpg"/>
                    <pic:cNvPicPr>
                      <a:picLocks noChangeAspect="1" noChangeArrowheads="1"/>
                    </pic:cNvPicPr>
                  </pic:nvPicPr>
                  <pic:blipFill rotWithShape="1">
                    <a:blip r:embed="rId241" cstate="print">
                      <a:extLst>
                        <a:ext uri="{28A0092B-C50C-407E-A947-70E740481C1C}">
                          <a14:useLocalDpi xmlns:a14="http://schemas.microsoft.com/office/drawing/2010/main" val="0"/>
                        </a:ext>
                      </a:extLst>
                    </a:blip>
                    <a:srcRect t="8325" b="882"/>
                    <a:stretch/>
                  </pic:blipFill>
                  <pic:spPr bwMode="auto">
                    <a:xfrm>
                      <a:off x="0" y="0"/>
                      <a:ext cx="4635726" cy="5612702"/>
                    </a:xfrm>
                    <a:prstGeom prst="rect">
                      <a:avLst/>
                    </a:prstGeom>
                    <a:noFill/>
                    <a:ln>
                      <a:noFill/>
                    </a:ln>
                    <a:extLst>
                      <a:ext uri="{53640926-AAD7-44D8-BBD7-CCE9431645EC}">
                        <a14:shadowObscured xmlns:a14="http://schemas.microsoft.com/office/drawing/2010/main"/>
                      </a:ext>
                    </a:extLst>
                  </pic:spPr>
                </pic:pic>
              </a:graphicData>
            </a:graphic>
          </wp:inline>
        </w:drawing>
      </w:r>
    </w:p>
    <w:p w:rsidR="00C121B0" w:rsidRPr="001A051A" w:rsidRDefault="00C121B0" w:rsidP="001D0548">
      <w:pPr>
        <w:pStyle w:val="Paragraphedeliste"/>
        <w:numPr>
          <w:ilvl w:val="1"/>
          <w:numId w:val="167"/>
        </w:numPr>
        <w:tabs>
          <w:tab w:val="right" w:pos="1275"/>
        </w:tabs>
        <w:bidi/>
        <w:spacing w:before="240" w:after="0"/>
        <w:ind w:left="0" w:firstLine="992"/>
        <w:jc w:val="both"/>
        <w:outlineLvl w:val="3"/>
        <w:rPr>
          <w:rFonts w:ascii="Simplified Arabic" w:hAnsi="Simplified Arabic" w:cs="Simplified Arabic"/>
          <w:b/>
          <w:bCs/>
          <w:sz w:val="24"/>
          <w:szCs w:val="24"/>
          <w:rtl/>
          <w:lang w:val="en-US"/>
        </w:rPr>
      </w:pPr>
      <w:r w:rsidRPr="001A051A">
        <w:rPr>
          <w:rFonts w:ascii="Simplified Arabic" w:hAnsi="Simplified Arabic" w:cs="Simplified Arabic"/>
          <w:b/>
          <w:bCs/>
          <w:sz w:val="24"/>
          <w:szCs w:val="24"/>
          <w:rtl/>
          <w:lang w:val="en-US"/>
        </w:rPr>
        <w:t>خريطة معيار</w:t>
      </w:r>
      <w:r w:rsidRPr="001A051A">
        <w:rPr>
          <w:rFonts w:ascii="Simplified Arabic" w:hAnsi="Simplified Arabic" w:cs="Simplified Arabic" w:hint="cs"/>
          <w:b/>
          <w:bCs/>
          <w:sz w:val="24"/>
          <w:szCs w:val="24"/>
          <w:rtl/>
          <w:lang w:val="en-US"/>
        </w:rPr>
        <w:t xml:space="preserve"> المسافة الى مراكز</w:t>
      </w:r>
      <w:r w:rsidRPr="001A051A">
        <w:rPr>
          <w:rFonts w:ascii="Simplified Arabic" w:hAnsi="Simplified Arabic" w:cs="Simplified Arabic"/>
          <w:b/>
          <w:bCs/>
          <w:sz w:val="24"/>
          <w:szCs w:val="24"/>
          <w:rtl/>
          <w:lang w:val="en-US"/>
        </w:rPr>
        <w:t xml:space="preserve"> الأمن </w:t>
      </w:r>
      <w:r w:rsidRPr="001A051A">
        <w:rPr>
          <w:rFonts w:ascii="Simplified Arabic" w:hAnsi="Simplified Arabic" w:cs="Simplified Arabic"/>
          <w:b/>
          <w:bCs/>
          <w:sz w:val="24"/>
          <w:szCs w:val="24"/>
          <w:lang w:val="en-US"/>
        </w:rPr>
        <w:t xml:space="preserve"> </w:t>
      </w:r>
      <w:r w:rsidRPr="001A051A">
        <w:rPr>
          <w:rFonts w:asciiTheme="majorBidi" w:hAnsiTheme="majorBidi" w:cstheme="majorBidi"/>
          <w:b/>
          <w:bCs/>
          <w:sz w:val="24"/>
          <w:szCs w:val="24"/>
          <w:lang w:val="en-US"/>
        </w:rPr>
        <w:t>C3</w:t>
      </w:r>
      <w:r w:rsidRPr="001A051A">
        <w:rPr>
          <w:rFonts w:ascii="Simplified Arabic" w:hAnsi="Simplified Arabic" w:cs="Simplified Arabic"/>
          <w:b/>
          <w:bCs/>
          <w:sz w:val="24"/>
          <w:szCs w:val="24"/>
          <w:rtl/>
          <w:lang w:val="en-US"/>
        </w:rPr>
        <w:t>:</w:t>
      </w:r>
    </w:p>
    <w:p w:rsidR="00C121B0" w:rsidRDefault="00C121B0" w:rsidP="005E5A95">
      <w:pPr>
        <w:tabs>
          <w:tab w:val="right" w:pos="282"/>
        </w:tabs>
        <w:bidi/>
        <w:spacing w:after="0"/>
        <w:ind w:firstLine="282"/>
        <w:jc w:val="both"/>
        <w:rPr>
          <w:rFonts w:ascii="Simplified Arabic" w:eastAsia="Times New Roman" w:hAnsi="Simplified Arabic" w:cs="Simplified Arabic"/>
          <w:b/>
          <w:sz w:val="24"/>
          <w:szCs w:val="24"/>
          <w:rtl/>
          <w:lang w:val="en-US" w:eastAsia="fr-FR"/>
        </w:rPr>
      </w:pPr>
      <w:r w:rsidRPr="00F83C68">
        <w:rPr>
          <w:rFonts w:ascii="Simplified Arabic" w:eastAsia="Times New Roman" w:hAnsi="Simplified Arabic" w:cs="Simplified Arabic"/>
          <w:b/>
          <w:sz w:val="24"/>
          <w:szCs w:val="24"/>
          <w:rtl/>
          <w:lang w:val="en-US" w:eastAsia="fr-FR"/>
        </w:rPr>
        <w:t xml:space="preserve">تم ادخال بيانات مرافق </w:t>
      </w:r>
      <w:r>
        <w:rPr>
          <w:rFonts w:ascii="Simplified Arabic" w:eastAsia="Times New Roman" w:hAnsi="Simplified Arabic" w:cs="Simplified Arabic" w:hint="cs"/>
          <w:b/>
          <w:sz w:val="24"/>
          <w:szCs w:val="24"/>
          <w:rtl/>
          <w:lang w:val="en-US" w:eastAsia="fr-FR"/>
        </w:rPr>
        <w:t>الامن</w:t>
      </w:r>
      <w:r w:rsidRPr="00F83C68">
        <w:rPr>
          <w:rFonts w:ascii="Simplified Arabic" w:eastAsia="Times New Roman" w:hAnsi="Simplified Arabic" w:cs="Simplified Arabic"/>
          <w:b/>
          <w:sz w:val="24"/>
          <w:szCs w:val="24"/>
          <w:rtl/>
          <w:lang w:val="en-US" w:eastAsia="fr-FR"/>
        </w:rPr>
        <w:t xml:space="preserve">، كما تم إنشاء خريطة المسافة إلى مراكز </w:t>
      </w:r>
      <w:r>
        <w:rPr>
          <w:rFonts w:ascii="Simplified Arabic" w:eastAsia="Times New Roman" w:hAnsi="Simplified Arabic" w:cs="Simplified Arabic" w:hint="cs"/>
          <w:b/>
          <w:sz w:val="24"/>
          <w:szCs w:val="24"/>
          <w:rtl/>
          <w:lang w:val="en-US" w:eastAsia="fr-FR"/>
        </w:rPr>
        <w:t>الامن</w:t>
      </w:r>
      <w:r w:rsidRPr="00F83C68">
        <w:rPr>
          <w:rFonts w:ascii="Simplified Arabic" w:eastAsia="Times New Roman" w:hAnsi="Simplified Arabic" w:cs="Simplified Arabic"/>
          <w:b/>
          <w:sz w:val="24"/>
          <w:szCs w:val="24"/>
          <w:lang w:val="en-US" w:eastAsia="fr-FR"/>
        </w:rPr>
        <w:t xml:space="preserve"> </w:t>
      </w:r>
      <w:r w:rsidRPr="00F83C68">
        <w:rPr>
          <w:rFonts w:ascii="Simplified Arabic" w:eastAsia="Times New Roman" w:hAnsi="Simplified Arabic" w:cs="Simplified Arabic"/>
          <w:b/>
          <w:sz w:val="24"/>
          <w:szCs w:val="24"/>
          <w:rtl/>
          <w:lang w:val="en-US" w:eastAsia="fr-FR"/>
        </w:rPr>
        <w:t>باستخدام أداة المسافة الإقليدية على منصة</w:t>
      </w:r>
      <w:r w:rsidRPr="00F83C68">
        <w:rPr>
          <w:rFonts w:ascii="Simplified Arabic" w:hAnsi="Simplified Arabic" w:cs="Simplified Arabic"/>
          <w:sz w:val="24"/>
          <w:szCs w:val="24"/>
          <w:rtl/>
          <w:lang w:val="en-US"/>
        </w:rPr>
        <w:t xml:space="preserve"> </w:t>
      </w:r>
      <w:r w:rsidRPr="000D6B35">
        <w:rPr>
          <w:rFonts w:asciiTheme="majorBidi" w:hAnsiTheme="majorBidi" w:cstheme="majorBidi"/>
          <w:sz w:val="24"/>
          <w:szCs w:val="24"/>
          <w:lang w:val="en-US"/>
        </w:rPr>
        <w:t>ArcGIS</w:t>
      </w:r>
      <w:r w:rsidRPr="00F83C68">
        <w:rPr>
          <w:rFonts w:ascii="Simplified Arabic" w:eastAsia="Times New Roman" w:hAnsi="Simplified Arabic" w:cs="Simplified Arabic"/>
          <w:b/>
          <w:sz w:val="24"/>
          <w:szCs w:val="24"/>
          <w:rtl/>
          <w:lang w:val="en-US" w:eastAsia="fr-FR"/>
        </w:rPr>
        <w:t>. بالنسبة</w:t>
      </w:r>
      <w:r w:rsidRPr="00E50618">
        <w:rPr>
          <w:rFonts w:ascii="Simplified Arabic" w:eastAsia="Times New Roman" w:hAnsi="Simplified Arabic" w:cs="Simplified Arabic"/>
          <w:b/>
          <w:sz w:val="24"/>
          <w:szCs w:val="24"/>
          <w:rtl/>
          <w:lang w:val="en-US" w:eastAsia="fr-FR"/>
        </w:rPr>
        <w:t xml:space="preserve"> لنطاق </w:t>
      </w:r>
      <w:r>
        <w:rPr>
          <w:rFonts w:ascii="Simplified Arabic" w:eastAsia="Times New Roman" w:hAnsi="Simplified Arabic" w:cs="Simplified Arabic" w:hint="cs"/>
          <w:b/>
          <w:sz w:val="24"/>
          <w:szCs w:val="24"/>
          <w:rtl/>
          <w:lang w:val="en-US" w:eastAsia="fr-FR"/>
        </w:rPr>
        <w:t>التغطية بالخدمة</w:t>
      </w:r>
      <w:r w:rsidRPr="00E50618">
        <w:rPr>
          <w:rFonts w:ascii="Simplified Arabic" w:eastAsia="Times New Roman" w:hAnsi="Simplified Arabic" w:cs="Simplified Arabic"/>
          <w:b/>
          <w:sz w:val="24"/>
          <w:szCs w:val="24"/>
          <w:rtl/>
          <w:lang w:val="en-US" w:eastAsia="fr-FR"/>
        </w:rPr>
        <w:t>، حدد الخبراء</w:t>
      </w:r>
      <w:r w:rsidRPr="00630BD9">
        <w:rPr>
          <w:rFonts w:ascii="Simplified Arabic" w:eastAsia="Times New Roman" w:hAnsi="Simplified Arabic" w:cs="Simplified Arabic" w:hint="cs"/>
          <w:b/>
          <w:sz w:val="24"/>
          <w:szCs w:val="24"/>
          <w:rtl/>
          <w:lang w:val="en-US" w:eastAsia="fr-FR"/>
        </w:rPr>
        <w:t xml:space="preserve"> النطاقات التالية:</w:t>
      </w:r>
      <w:r w:rsidRPr="00E50618">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b/>
          <w:sz w:val="24"/>
          <w:szCs w:val="24"/>
          <w:rtl/>
          <w:lang w:val="en-US" w:eastAsia="fr-FR"/>
        </w:rPr>
        <w:t>(</w:t>
      </w:r>
      <w:r w:rsidRPr="00630BD9">
        <w:rPr>
          <w:rFonts w:ascii="Simplified Arabic" w:eastAsia="Times New Roman" w:hAnsi="Simplified Arabic" w:cs="Simplified Arabic" w:hint="cs"/>
          <w:b/>
          <w:sz w:val="24"/>
          <w:szCs w:val="24"/>
          <w:rtl/>
          <w:lang w:val="en-US" w:eastAsia="fr-FR"/>
        </w:rPr>
        <w:t>أقل</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8</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8</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إلى</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15</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أكثر</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15</w:t>
      </w:r>
      <w:r w:rsidRPr="00630BD9">
        <w:rPr>
          <w:rFonts w:ascii="Simplified Arabic" w:eastAsia="Times New Roman" w:hAnsi="Simplified Arabic" w:cs="Simplified Arabic" w:hint="cs"/>
          <w:b/>
          <w:sz w:val="24"/>
          <w:szCs w:val="24"/>
          <w:rtl/>
          <w:lang w:val="en-US" w:eastAsia="fr-FR"/>
        </w:rPr>
        <w:t>00م</w:t>
      </w:r>
      <w:r>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 xml:space="preserve">، </w:t>
      </w:r>
      <w:r w:rsidRPr="00E50618">
        <w:rPr>
          <w:rFonts w:ascii="Simplified Arabic" w:eastAsia="Times New Roman" w:hAnsi="Simplified Arabic" w:cs="Simplified Arabic"/>
          <w:b/>
          <w:sz w:val="24"/>
          <w:szCs w:val="24"/>
          <w:rtl/>
          <w:lang w:val="en-US" w:eastAsia="fr-FR"/>
        </w:rPr>
        <w:t xml:space="preserve">الشكل </w:t>
      </w:r>
      <w:r>
        <w:rPr>
          <w:rFonts w:ascii="Simplified Arabic" w:eastAsia="Times New Roman" w:hAnsi="Simplified Arabic" w:cs="Simplified Arabic" w:hint="cs"/>
          <w:b/>
          <w:sz w:val="24"/>
          <w:szCs w:val="24"/>
          <w:rtl/>
          <w:lang w:val="en-US" w:eastAsia="fr-FR"/>
        </w:rPr>
        <w:t>رقم (</w:t>
      </w:r>
      <w:r w:rsidR="00C60343">
        <w:rPr>
          <w:rFonts w:ascii="Simplified Arabic" w:eastAsia="Times New Roman" w:hAnsi="Simplified Arabic" w:cs="Simplified Arabic" w:hint="cs"/>
          <w:b/>
          <w:sz w:val="24"/>
          <w:szCs w:val="24"/>
          <w:rtl/>
          <w:lang w:val="en-US" w:eastAsia="fr-FR"/>
        </w:rPr>
        <w:t>5-</w:t>
      </w:r>
      <w:r w:rsidR="005E5A95">
        <w:rPr>
          <w:rFonts w:ascii="Simplified Arabic" w:eastAsia="Times New Roman" w:hAnsi="Simplified Arabic" w:cs="Simplified Arabic" w:hint="cs"/>
          <w:b/>
          <w:sz w:val="24"/>
          <w:szCs w:val="24"/>
          <w:rtl/>
          <w:lang w:val="en-US" w:eastAsia="fr-FR"/>
        </w:rPr>
        <w:t>3</w:t>
      </w:r>
      <w:r>
        <w:rPr>
          <w:rFonts w:ascii="Simplified Arabic" w:eastAsia="Times New Roman" w:hAnsi="Simplified Arabic" w:cs="Simplified Arabic" w:hint="cs"/>
          <w:b/>
          <w:sz w:val="24"/>
          <w:szCs w:val="24"/>
          <w:rtl/>
          <w:lang w:val="en-US" w:eastAsia="fr-FR"/>
        </w:rPr>
        <w:t>)</w:t>
      </w:r>
      <w:r w:rsidRPr="00E50618">
        <w:rPr>
          <w:rFonts w:ascii="Simplified Arabic" w:eastAsia="Times New Roman" w:hAnsi="Simplified Arabic" w:cs="Simplified Arabic"/>
          <w:b/>
          <w:sz w:val="24"/>
          <w:szCs w:val="24"/>
          <w:rtl/>
          <w:lang w:val="en-US" w:eastAsia="fr-FR"/>
        </w:rPr>
        <w:t>.</w:t>
      </w:r>
    </w:p>
    <w:p w:rsidR="008736F8" w:rsidRDefault="008736F8" w:rsidP="002F1145">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sidRPr="00CA51A1">
        <w:rPr>
          <w:rStyle w:val="y2iqfc"/>
          <w:rFonts w:ascii="Simplified Arabic" w:hAnsi="Simplified Arabic" w:cs="Simplified Arabic"/>
          <w:color w:val="202124"/>
          <w:sz w:val="24"/>
          <w:szCs w:val="24"/>
          <w:rtl/>
          <w:lang w:val="en-US" w:bidi="ar"/>
        </w:rPr>
        <w:t>أظهر</w:t>
      </w:r>
      <w:r>
        <w:rPr>
          <w:rStyle w:val="y2iqfc"/>
          <w:rFonts w:ascii="Simplified Arabic" w:hAnsi="Simplified Arabic" w:cs="Simplified Arabic" w:hint="cs"/>
          <w:color w:val="202124"/>
          <w:sz w:val="24"/>
          <w:szCs w:val="24"/>
          <w:rtl/>
          <w:lang w:val="en-US" w:bidi="ar"/>
        </w:rPr>
        <w:t>ت</w:t>
      </w:r>
      <w:r w:rsidRPr="00CA51A1">
        <w:rPr>
          <w:rStyle w:val="y2iqfc"/>
          <w:rFonts w:ascii="Simplified Arabic" w:hAnsi="Simplified Arabic" w:cs="Simplified Arabic"/>
          <w:color w:val="202124"/>
          <w:sz w:val="24"/>
          <w:szCs w:val="24"/>
          <w:rtl/>
          <w:lang w:val="en-US" w:bidi="ar"/>
        </w:rPr>
        <w:t xml:space="preserve"> </w:t>
      </w:r>
      <w:r>
        <w:rPr>
          <w:rStyle w:val="y2iqfc"/>
          <w:rFonts w:ascii="Simplified Arabic" w:hAnsi="Simplified Arabic" w:cs="Simplified Arabic" w:hint="cs"/>
          <w:color w:val="202124"/>
          <w:sz w:val="24"/>
          <w:szCs w:val="24"/>
          <w:rtl/>
          <w:lang w:val="en-US" w:bidi="ar"/>
        </w:rPr>
        <w:t>المسافة</w:t>
      </w:r>
      <w:r w:rsidRPr="00CA51A1">
        <w:rPr>
          <w:rStyle w:val="y2iqfc"/>
          <w:rFonts w:ascii="Simplified Arabic" w:hAnsi="Simplified Arabic" w:cs="Simplified Arabic"/>
          <w:color w:val="202124"/>
          <w:sz w:val="24"/>
          <w:szCs w:val="24"/>
          <w:rtl/>
          <w:lang w:val="en-US" w:bidi="ar"/>
        </w:rPr>
        <w:t xml:space="preserve"> إلى مراكز الامن توزيعًا غير متساوي</w:t>
      </w:r>
      <w:r>
        <w:rPr>
          <w:rStyle w:val="y2iqfc"/>
          <w:rFonts w:ascii="Simplified Arabic" w:hAnsi="Simplified Arabic" w:cs="Simplified Arabic" w:hint="cs"/>
          <w:color w:val="202124"/>
          <w:sz w:val="24"/>
          <w:szCs w:val="24"/>
          <w:rtl/>
          <w:lang w:val="en-US" w:bidi="ar"/>
        </w:rPr>
        <w:t>ًا</w:t>
      </w:r>
      <w:r w:rsidRPr="00CA51A1">
        <w:rPr>
          <w:rStyle w:val="y2iqfc"/>
          <w:rFonts w:ascii="Simplified Arabic" w:hAnsi="Simplified Arabic" w:cs="Simplified Arabic"/>
          <w:color w:val="202124"/>
          <w:sz w:val="24"/>
          <w:szCs w:val="24"/>
          <w:rtl/>
          <w:lang w:val="en-US" w:bidi="ar"/>
        </w:rPr>
        <w:t xml:space="preserve"> لمدينة بوسعادة</w:t>
      </w:r>
      <w:r w:rsidR="002F1145">
        <w:rPr>
          <w:rStyle w:val="y2iqfc"/>
          <w:rFonts w:ascii="Simplified Arabic" w:hAnsi="Simplified Arabic" w:cs="Simplified Arabic" w:hint="cs"/>
          <w:color w:val="202124"/>
          <w:sz w:val="24"/>
          <w:szCs w:val="24"/>
          <w:rtl/>
          <w:lang w:val="en-US" w:bidi="ar"/>
        </w:rPr>
        <w:t>،</w:t>
      </w:r>
      <w:r w:rsidRPr="00CA51A1">
        <w:rPr>
          <w:rStyle w:val="y2iqfc"/>
          <w:rFonts w:ascii="Simplified Arabic" w:hAnsi="Simplified Arabic" w:cs="Simplified Arabic"/>
          <w:color w:val="202124"/>
          <w:sz w:val="24"/>
          <w:szCs w:val="24"/>
          <w:rtl/>
          <w:lang w:val="en-US" w:bidi="ar"/>
        </w:rPr>
        <w:t xml:space="preserve"> </w:t>
      </w:r>
      <w:r>
        <w:rPr>
          <w:rFonts w:ascii="Simplified Arabic" w:hAnsi="Simplified Arabic" w:cs="Simplified Arabic" w:hint="cs"/>
          <w:color w:val="000000" w:themeColor="text1"/>
          <w:sz w:val="24"/>
          <w:szCs w:val="24"/>
          <w:rtl/>
          <w:lang w:bidi="ar-DZ"/>
        </w:rPr>
        <w:t xml:space="preserve">الخريطة </w:t>
      </w:r>
      <w:r>
        <w:rPr>
          <w:rFonts w:ascii="Simplified Arabic" w:eastAsia="Times New Roman" w:hAnsi="Simplified Arabic" w:cs="Simplified Arabic" w:hint="cs"/>
          <w:b/>
          <w:sz w:val="24"/>
          <w:szCs w:val="24"/>
          <w:rtl/>
          <w:lang w:val="en-US" w:eastAsia="fr-FR"/>
        </w:rPr>
        <w:t>(5-3)</w:t>
      </w:r>
      <w:r w:rsidRPr="00CA51A1">
        <w:rPr>
          <w:rStyle w:val="y2iqfc"/>
          <w:rFonts w:ascii="Simplified Arabic" w:hAnsi="Simplified Arabic" w:cs="Simplified Arabic"/>
          <w:color w:val="202124"/>
          <w:sz w:val="24"/>
          <w:szCs w:val="24"/>
          <w:rtl/>
          <w:lang w:val="en-US" w:bidi="ar"/>
        </w:rPr>
        <w:t xml:space="preserve">. </w:t>
      </w:r>
      <w:r>
        <w:rPr>
          <w:rStyle w:val="y2iqfc"/>
          <w:rFonts w:ascii="Simplified Arabic" w:hAnsi="Simplified Arabic" w:cs="Simplified Arabic" w:hint="cs"/>
          <w:color w:val="202124"/>
          <w:sz w:val="24"/>
          <w:szCs w:val="24"/>
          <w:rtl/>
          <w:lang w:val="en-US" w:bidi="ar"/>
        </w:rPr>
        <w:t>هذا يعني</w:t>
      </w:r>
      <w:r w:rsidRPr="00CA51A1">
        <w:rPr>
          <w:rStyle w:val="y2iqfc"/>
          <w:rFonts w:ascii="Simplified Arabic" w:hAnsi="Simplified Arabic" w:cs="Simplified Arabic"/>
          <w:color w:val="202124"/>
          <w:sz w:val="24"/>
          <w:szCs w:val="24"/>
          <w:rtl/>
          <w:lang w:val="en-US" w:bidi="ar"/>
        </w:rPr>
        <w:t xml:space="preserve"> ان هناك اتجاهًا مكانيًا متناقصًا ل</w:t>
      </w:r>
      <w:r w:rsidR="007B558D">
        <w:rPr>
          <w:rStyle w:val="y2iqfc"/>
          <w:rFonts w:ascii="Simplified Arabic" w:hAnsi="Simplified Arabic" w:cs="Simplified Arabic" w:hint="cs"/>
          <w:color w:val="202124"/>
          <w:sz w:val="24"/>
          <w:szCs w:val="24"/>
          <w:rtl/>
          <w:lang w:val="en-US" w:bidi="ar"/>
        </w:rPr>
        <w:t>مستوى ا</w:t>
      </w:r>
      <w:r w:rsidRPr="00CA51A1">
        <w:rPr>
          <w:rStyle w:val="y2iqfc"/>
          <w:rFonts w:ascii="Simplified Arabic" w:hAnsi="Simplified Arabic" w:cs="Simplified Arabic"/>
          <w:color w:val="202124"/>
          <w:sz w:val="24"/>
          <w:szCs w:val="24"/>
          <w:rtl/>
          <w:lang w:val="en-US" w:bidi="ar"/>
        </w:rPr>
        <w:t xml:space="preserve">لمرونة بصورة حرجة من وسط المدينة نحو </w:t>
      </w:r>
      <w:r w:rsidR="007B558D">
        <w:rPr>
          <w:rStyle w:val="y2iqfc"/>
          <w:rFonts w:ascii="Simplified Arabic" w:hAnsi="Simplified Arabic" w:cs="Simplified Arabic" w:hint="cs"/>
          <w:color w:val="202124"/>
          <w:sz w:val="24"/>
          <w:szCs w:val="24"/>
          <w:rtl/>
          <w:lang w:val="en-US" w:bidi="ar"/>
        </w:rPr>
        <w:t xml:space="preserve">مناطق التوسع الحضري للمدينة. رغم ذلك، تشهد منطقة التوسع الشمالي والشرقي مستوى مرونة متوسط مثل حي الباطن والحمايد </w:t>
      </w:r>
      <w:r>
        <w:rPr>
          <w:rStyle w:val="y2iqfc"/>
          <w:rFonts w:ascii="Simplified Arabic" w:hAnsi="Simplified Arabic" w:cs="Simplified Arabic" w:hint="cs"/>
          <w:color w:val="202124"/>
          <w:sz w:val="24"/>
          <w:szCs w:val="24"/>
          <w:rtl/>
          <w:lang w:val="en-US" w:bidi="ar"/>
        </w:rPr>
        <w:t>باعتبار</w:t>
      </w:r>
      <w:r w:rsidRPr="00CA51A1">
        <w:rPr>
          <w:rStyle w:val="y2iqfc"/>
          <w:rFonts w:ascii="Simplified Arabic" w:hAnsi="Simplified Arabic" w:cs="Simplified Arabic"/>
          <w:color w:val="202124"/>
          <w:sz w:val="24"/>
          <w:szCs w:val="24"/>
          <w:rtl/>
          <w:lang w:val="en-US" w:bidi="ar"/>
        </w:rPr>
        <w:t xml:space="preserve"> ان كل</w:t>
      </w:r>
      <w:r w:rsidR="007B558D">
        <w:rPr>
          <w:rStyle w:val="y2iqfc"/>
          <w:rFonts w:ascii="Simplified Arabic" w:hAnsi="Simplified Arabic" w:cs="Simplified Arabic" w:hint="cs"/>
          <w:color w:val="202124"/>
          <w:sz w:val="24"/>
          <w:szCs w:val="24"/>
          <w:rtl/>
          <w:lang w:val="en-US" w:bidi="ar"/>
        </w:rPr>
        <w:t>ا الحي</w:t>
      </w:r>
      <w:r w:rsidR="002F1145">
        <w:rPr>
          <w:rStyle w:val="y2iqfc"/>
          <w:rFonts w:ascii="Simplified Arabic" w:hAnsi="Simplified Arabic" w:cs="Simplified Arabic" w:hint="cs"/>
          <w:color w:val="202124"/>
          <w:sz w:val="24"/>
          <w:szCs w:val="24"/>
          <w:rtl/>
          <w:lang w:val="en-US" w:bidi="ar"/>
        </w:rPr>
        <w:t>ّا</w:t>
      </w:r>
      <w:r w:rsidR="007B558D">
        <w:rPr>
          <w:rStyle w:val="y2iqfc"/>
          <w:rFonts w:ascii="Simplified Arabic" w:hAnsi="Simplified Arabic" w:cs="Simplified Arabic" w:hint="cs"/>
          <w:color w:val="202124"/>
          <w:sz w:val="24"/>
          <w:szCs w:val="24"/>
          <w:rtl/>
          <w:lang w:val="en-US" w:bidi="ar"/>
        </w:rPr>
        <w:t>ن يضم</w:t>
      </w:r>
      <w:r w:rsidR="002F1145">
        <w:rPr>
          <w:rStyle w:val="y2iqfc"/>
          <w:rFonts w:ascii="Simplified Arabic" w:hAnsi="Simplified Arabic" w:cs="Simplified Arabic" w:hint="cs"/>
          <w:color w:val="202124"/>
          <w:sz w:val="24"/>
          <w:szCs w:val="24"/>
          <w:rtl/>
          <w:lang w:val="en-US" w:bidi="ar"/>
        </w:rPr>
        <w:t>ّان</w:t>
      </w:r>
      <w:r w:rsidRPr="00CA51A1">
        <w:rPr>
          <w:rStyle w:val="y2iqfc"/>
          <w:rFonts w:ascii="Simplified Arabic" w:hAnsi="Simplified Arabic" w:cs="Simplified Arabic"/>
          <w:color w:val="202124"/>
          <w:sz w:val="24"/>
          <w:szCs w:val="24"/>
          <w:rtl/>
          <w:lang w:val="en-US" w:bidi="ar"/>
        </w:rPr>
        <w:t xml:space="preserve"> </w:t>
      </w:r>
      <w:r w:rsidR="002F1145">
        <w:rPr>
          <w:rStyle w:val="y2iqfc"/>
          <w:rFonts w:ascii="Simplified Arabic" w:hAnsi="Simplified Arabic" w:cs="Simplified Arabic"/>
          <w:color w:val="202124"/>
          <w:sz w:val="24"/>
          <w:szCs w:val="24"/>
          <w:rtl/>
          <w:lang w:val="en-US" w:bidi="ar"/>
        </w:rPr>
        <w:t xml:space="preserve">مراكز </w:t>
      </w:r>
      <w:r w:rsidRPr="00CA51A1">
        <w:rPr>
          <w:rStyle w:val="y2iqfc"/>
          <w:rFonts w:ascii="Simplified Arabic" w:hAnsi="Simplified Arabic" w:cs="Simplified Arabic"/>
          <w:color w:val="202124"/>
          <w:sz w:val="24"/>
          <w:szCs w:val="24"/>
          <w:rtl/>
          <w:lang w:val="en-US" w:bidi="ar"/>
        </w:rPr>
        <w:t>امنية</w:t>
      </w:r>
      <w:r w:rsidR="002F1145">
        <w:rPr>
          <w:rStyle w:val="y2iqfc"/>
          <w:rFonts w:ascii="Simplified Arabic" w:hAnsi="Simplified Arabic" w:cs="Simplified Arabic" w:hint="cs"/>
          <w:color w:val="202124"/>
          <w:sz w:val="24"/>
          <w:szCs w:val="24"/>
          <w:rtl/>
          <w:lang w:val="en-US" w:bidi="ar"/>
        </w:rPr>
        <w:t>. خلافا لذلك، يشهد حي العوينات وسيدي سليمان وميطر مستوى مرونة متدنٍ لمعيار الامن</w:t>
      </w:r>
      <w:r w:rsidRPr="00CA51A1">
        <w:rPr>
          <w:rStyle w:val="y2iqfc"/>
          <w:rFonts w:ascii="Simplified Arabic" w:hAnsi="Simplified Arabic" w:cs="Simplified Arabic"/>
          <w:color w:val="202124"/>
          <w:sz w:val="24"/>
          <w:szCs w:val="24"/>
          <w:rtl/>
          <w:lang w:val="en-US" w:bidi="ar"/>
        </w:rPr>
        <w:t xml:space="preserve">. </w:t>
      </w:r>
    </w:p>
    <w:p w:rsidR="005E5A95" w:rsidRDefault="005E5A95" w:rsidP="007A30E8">
      <w:pPr>
        <w:pStyle w:val="carte"/>
        <w:spacing w:after="0"/>
        <w:rPr>
          <w:rFonts w:asciiTheme="majorBidi" w:hAnsiTheme="majorBidi" w:cstheme="majorBidi"/>
          <w:rtl/>
          <w:lang w:val="en-US"/>
        </w:rPr>
      </w:pPr>
      <w:bookmarkStart w:id="694" w:name="_Toc157616602"/>
      <w:bookmarkStart w:id="695" w:name="_Toc171803708"/>
      <w:r>
        <w:rPr>
          <w:rFonts w:hint="cs"/>
          <w:color w:val="000000" w:themeColor="text1"/>
          <w:rtl/>
          <w:lang w:bidi="ar-DZ"/>
        </w:rPr>
        <w:lastRenderedPageBreak/>
        <w:t xml:space="preserve">الخريطة </w:t>
      </w:r>
      <w:r>
        <w:rPr>
          <w:rFonts w:hint="cs"/>
          <w:rtl/>
          <w:lang w:val="en-US" w:eastAsia="fr-FR"/>
        </w:rPr>
        <w:t>(5-3): نطاق التغطية بالخدمة ل</w:t>
      </w:r>
      <w:r>
        <w:rPr>
          <w:rFonts w:hint="cs"/>
          <w:color w:val="000000" w:themeColor="text1"/>
          <w:rtl/>
          <w:lang w:bidi="ar-DZ"/>
        </w:rPr>
        <w:t xml:space="preserve">معيار </w:t>
      </w:r>
      <w:r>
        <w:rPr>
          <w:rFonts w:hint="cs"/>
          <w:rtl/>
          <w:lang w:val="en-US"/>
        </w:rPr>
        <w:t xml:space="preserve">الامن </w:t>
      </w:r>
      <w:r w:rsidRPr="001F04E3">
        <w:rPr>
          <w:rFonts w:asciiTheme="majorBidi" w:hAnsiTheme="majorBidi" w:cstheme="majorBidi"/>
          <w:lang w:val="en-US"/>
        </w:rPr>
        <w:t xml:space="preserve"> (C</w:t>
      </w:r>
      <w:r>
        <w:rPr>
          <w:rFonts w:asciiTheme="majorBidi" w:hAnsiTheme="majorBidi" w:cstheme="majorBidi"/>
          <w:lang w:val="en-US"/>
        </w:rPr>
        <w:t>3</w:t>
      </w:r>
      <w:r w:rsidRPr="001F04E3">
        <w:rPr>
          <w:rFonts w:asciiTheme="majorBidi" w:hAnsiTheme="majorBidi" w:cstheme="majorBidi"/>
          <w:lang w:val="en-US"/>
        </w:rPr>
        <w:t>)</w:t>
      </w:r>
      <w:bookmarkEnd w:id="694"/>
      <w:bookmarkEnd w:id="695"/>
    </w:p>
    <w:p w:rsidR="007A30E8" w:rsidRPr="007A30E8" w:rsidRDefault="007A30E8" w:rsidP="007A30E8">
      <w:pPr>
        <w:pStyle w:val="fegure"/>
        <w:rPr>
          <w:sz w:val="8"/>
          <w:szCs w:val="24"/>
          <w:rtl/>
          <w:lang w:val="en-US" w:bidi="ar-DZ"/>
        </w:rPr>
      </w:pPr>
      <w:bookmarkStart w:id="696" w:name="_Toc171803709"/>
      <w:r>
        <w:rPr>
          <w:rFonts w:hint="cs"/>
          <w:sz w:val="8"/>
          <w:szCs w:val="24"/>
          <w:rtl/>
          <w:lang w:val="en-US"/>
        </w:rPr>
        <w:t>المصدر: (الباحث، 2022)</w:t>
      </w:r>
      <w:bookmarkEnd w:id="696"/>
    </w:p>
    <w:p w:rsidR="005E5A95" w:rsidRDefault="005E5A95" w:rsidP="00F77B47">
      <w:pPr>
        <w:tabs>
          <w:tab w:val="right" w:pos="282"/>
        </w:tabs>
        <w:bidi/>
        <w:spacing w:after="0"/>
        <w:jc w:val="center"/>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b/>
          <w:noProof/>
          <w:sz w:val="24"/>
          <w:szCs w:val="24"/>
          <w:rtl/>
          <w:lang w:eastAsia="fr-FR"/>
        </w:rPr>
        <w:drawing>
          <wp:inline distT="0" distB="0" distL="0" distR="0" wp14:anchorId="3761F42E" wp14:editId="43E1482D">
            <wp:extent cx="4939834" cy="5996763"/>
            <wp:effectExtent l="0" t="0" r="0" b="4445"/>
            <wp:docPr id="111" name="Imag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TC\Desktop\cumule\6.jpg"/>
                    <pic:cNvPicPr>
                      <a:picLocks noChangeAspect="1" noChangeArrowheads="1"/>
                    </pic:cNvPicPr>
                  </pic:nvPicPr>
                  <pic:blipFill rotWithShape="1">
                    <a:blip r:embed="rId242" cstate="print">
                      <a:extLst>
                        <a:ext uri="{28A0092B-C50C-407E-A947-70E740481C1C}">
                          <a14:useLocalDpi xmlns:a14="http://schemas.microsoft.com/office/drawing/2010/main" val="0"/>
                        </a:ext>
                      </a:extLst>
                    </a:blip>
                    <a:srcRect t="8373" b="592"/>
                    <a:stretch/>
                  </pic:blipFill>
                  <pic:spPr bwMode="auto">
                    <a:xfrm>
                      <a:off x="0" y="0"/>
                      <a:ext cx="4979129" cy="6044465"/>
                    </a:xfrm>
                    <a:prstGeom prst="rect">
                      <a:avLst/>
                    </a:prstGeom>
                    <a:noFill/>
                    <a:ln>
                      <a:noFill/>
                    </a:ln>
                    <a:extLst>
                      <a:ext uri="{53640926-AAD7-44D8-BBD7-CCE9431645EC}">
                        <a14:shadowObscured xmlns:a14="http://schemas.microsoft.com/office/drawing/2010/main"/>
                      </a:ext>
                    </a:extLst>
                  </pic:spPr>
                </pic:pic>
              </a:graphicData>
            </a:graphic>
          </wp:inline>
        </w:drawing>
      </w:r>
    </w:p>
    <w:p w:rsidR="00C121B0" w:rsidRPr="001E4726" w:rsidRDefault="00C121B0" w:rsidP="001D0548">
      <w:pPr>
        <w:pStyle w:val="Paragraphedeliste"/>
        <w:numPr>
          <w:ilvl w:val="1"/>
          <w:numId w:val="168"/>
        </w:numPr>
        <w:tabs>
          <w:tab w:val="right" w:pos="1275"/>
        </w:tabs>
        <w:bidi/>
        <w:spacing w:before="240" w:after="0"/>
        <w:ind w:left="0" w:firstLine="992"/>
        <w:jc w:val="both"/>
        <w:outlineLvl w:val="3"/>
        <w:rPr>
          <w:rFonts w:ascii="Simplified Arabic" w:hAnsi="Simplified Arabic" w:cs="Simplified Arabic"/>
          <w:b/>
          <w:bCs/>
          <w:sz w:val="24"/>
          <w:szCs w:val="24"/>
          <w:rtl/>
          <w:lang w:val="en-US"/>
        </w:rPr>
      </w:pPr>
      <w:r w:rsidRPr="001E4726">
        <w:rPr>
          <w:rFonts w:ascii="Simplified Arabic" w:hAnsi="Simplified Arabic" w:cs="Simplified Arabic" w:hint="cs"/>
          <w:b/>
          <w:bCs/>
          <w:sz w:val="24"/>
          <w:szCs w:val="24"/>
          <w:rtl/>
          <w:lang w:val="en-US"/>
        </w:rPr>
        <w:t>خريطة</w:t>
      </w:r>
      <w:r w:rsidRPr="001E4726">
        <w:rPr>
          <w:rFonts w:ascii="Simplified Arabic" w:hAnsi="Simplified Arabic" w:cs="Simplified Arabic"/>
          <w:b/>
          <w:bCs/>
          <w:sz w:val="24"/>
          <w:szCs w:val="24"/>
          <w:rtl/>
          <w:lang w:val="en-US"/>
        </w:rPr>
        <w:t xml:space="preserve"> </w:t>
      </w:r>
      <w:r w:rsidRPr="001E4726">
        <w:rPr>
          <w:rFonts w:ascii="Simplified Arabic" w:hAnsi="Simplified Arabic" w:cs="Simplified Arabic" w:hint="cs"/>
          <w:b/>
          <w:bCs/>
          <w:sz w:val="24"/>
          <w:szCs w:val="24"/>
          <w:rtl/>
          <w:lang w:val="en-US"/>
        </w:rPr>
        <w:t>معيار المسافة الى مراكز</w:t>
      </w:r>
      <w:r w:rsidRPr="001E4726">
        <w:rPr>
          <w:rFonts w:ascii="Simplified Arabic" w:hAnsi="Simplified Arabic" w:cs="Simplified Arabic"/>
          <w:b/>
          <w:bCs/>
          <w:sz w:val="24"/>
          <w:szCs w:val="24"/>
          <w:rtl/>
          <w:lang w:val="en-US"/>
        </w:rPr>
        <w:t xml:space="preserve"> </w:t>
      </w:r>
      <w:r w:rsidRPr="001E4726">
        <w:rPr>
          <w:rFonts w:ascii="Simplified Arabic" w:hAnsi="Simplified Arabic" w:cs="Simplified Arabic" w:hint="cs"/>
          <w:b/>
          <w:bCs/>
          <w:sz w:val="24"/>
          <w:szCs w:val="24"/>
          <w:rtl/>
          <w:lang w:val="en-US"/>
        </w:rPr>
        <w:t>الايواء</w:t>
      </w:r>
      <w:r w:rsidRPr="001E4726">
        <w:rPr>
          <w:rFonts w:ascii="Simplified Arabic" w:hAnsi="Simplified Arabic" w:cs="Simplified Arabic"/>
          <w:b/>
          <w:bCs/>
          <w:sz w:val="24"/>
          <w:szCs w:val="24"/>
          <w:rtl/>
          <w:lang w:val="en-US"/>
        </w:rPr>
        <w:t xml:space="preserve"> المؤقت</w:t>
      </w:r>
      <w:r w:rsidRPr="001E4726">
        <w:rPr>
          <w:rFonts w:ascii="Simplified Arabic" w:hAnsi="Simplified Arabic" w:cs="Simplified Arabic"/>
          <w:b/>
          <w:bCs/>
          <w:sz w:val="24"/>
          <w:szCs w:val="24"/>
          <w:lang w:val="en-US"/>
        </w:rPr>
        <w:t xml:space="preserve"> </w:t>
      </w:r>
      <w:r w:rsidRPr="001E4726">
        <w:rPr>
          <w:rFonts w:asciiTheme="majorBidi" w:hAnsiTheme="majorBidi" w:cstheme="majorBidi"/>
          <w:b/>
          <w:bCs/>
          <w:sz w:val="24"/>
          <w:szCs w:val="24"/>
          <w:lang w:val="en-US"/>
        </w:rPr>
        <w:t>C4</w:t>
      </w:r>
      <w:r w:rsidRPr="001E4726">
        <w:rPr>
          <w:rFonts w:ascii="Simplified Arabic" w:hAnsi="Simplified Arabic" w:cs="Simplified Arabic"/>
          <w:b/>
          <w:bCs/>
          <w:sz w:val="24"/>
          <w:szCs w:val="24"/>
          <w:lang w:val="en-US"/>
        </w:rPr>
        <w:t xml:space="preserve"> </w:t>
      </w:r>
      <w:r w:rsidRPr="001E4726">
        <w:rPr>
          <w:rFonts w:ascii="Simplified Arabic" w:hAnsi="Simplified Arabic" w:cs="Simplified Arabic"/>
          <w:b/>
          <w:bCs/>
          <w:sz w:val="24"/>
          <w:szCs w:val="24"/>
          <w:rtl/>
          <w:lang w:val="en-US"/>
        </w:rPr>
        <w:t>:</w:t>
      </w:r>
    </w:p>
    <w:p w:rsidR="00C121B0" w:rsidRDefault="00C121B0" w:rsidP="005E5A95">
      <w:pPr>
        <w:tabs>
          <w:tab w:val="right" w:pos="282"/>
        </w:tabs>
        <w:bidi/>
        <w:spacing w:after="0"/>
        <w:ind w:firstLine="282"/>
        <w:jc w:val="both"/>
        <w:rPr>
          <w:rFonts w:ascii="Simplified Arabic" w:eastAsia="Times New Roman" w:hAnsi="Simplified Arabic" w:cs="Simplified Arabic"/>
          <w:b/>
          <w:sz w:val="24"/>
          <w:szCs w:val="24"/>
          <w:rtl/>
          <w:lang w:val="en-US" w:eastAsia="fr-FR"/>
        </w:rPr>
      </w:pPr>
      <w:r w:rsidRPr="00F83C68">
        <w:rPr>
          <w:rFonts w:ascii="Simplified Arabic" w:eastAsia="Times New Roman" w:hAnsi="Simplified Arabic" w:cs="Simplified Arabic"/>
          <w:b/>
          <w:sz w:val="24"/>
          <w:szCs w:val="24"/>
          <w:rtl/>
          <w:lang w:val="en-US" w:eastAsia="fr-FR"/>
        </w:rPr>
        <w:t>يمكن استخدام وجود المرافق التعليمية</w:t>
      </w:r>
      <w:r w:rsidRPr="00F83C68">
        <w:rPr>
          <w:rFonts w:ascii="Simplified Arabic" w:eastAsia="Times New Roman" w:hAnsi="Simplified Arabic" w:cs="Simplified Arabic" w:hint="cs"/>
          <w:b/>
          <w:sz w:val="24"/>
          <w:szCs w:val="24"/>
          <w:rtl/>
          <w:lang w:val="en-US" w:eastAsia="fr-FR"/>
        </w:rPr>
        <w:t xml:space="preserve"> </w:t>
      </w:r>
      <w:r w:rsidRPr="00F83C68">
        <w:rPr>
          <w:rFonts w:ascii="Simplified Arabic" w:eastAsia="Times New Roman" w:hAnsi="Simplified Arabic" w:cs="Simplified Arabic"/>
          <w:b/>
          <w:sz w:val="24"/>
          <w:szCs w:val="24"/>
          <w:rtl/>
          <w:lang w:val="en-US" w:eastAsia="fr-FR"/>
        </w:rPr>
        <w:t>في المجتمع كمأوى أو مراكز إخلاء في حالات الكوارث</w:t>
      </w:r>
      <w:r>
        <w:rPr>
          <w:rFonts w:ascii="Simplified Arabic" w:eastAsia="Times New Roman" w:hAnsi="Simplified Arabic" w:cs="Simplified Arabic" w:hint="cs"/>
          <w:b/>
          <w:sz w:val="24"/>
          <w:szCs w:val="24"/>
          <w:rtl/>
          <w:lang w:val="en-US" w:eastAsia="fr-FR"/>
        </w:rPr>
        <w:t xml:space="preserve">. </w:t>
      </w:r>
      <w:r w:rsidRPr="00F83C68">
        <w:rPr>
          <w:rFonts w:ascii="Simplified Arabic" w:eastAsia="Times New Roman" w:hAnsi="Simplified Arabic" w:cs="Simplified Arabic"/>
          <w:b/>
          <w:sz w:val="24"/>
          <w:szCs w:val="24"/>
          <w:rtl/>
          <w:lang w:val="en-US" w:eastAsia="fr-FR"/>
        </w:rPr>
        <w:t xml:space="preserve">تم ادخال بيانات مرافق </w:t>
      </w:r>
      <w:r>
        <w:rPr>
          <w:rFonts w:ascii="Simplified Arabic" w:eastAsia="Times New Roman" w:hAnsi="Simplified Arabic" w:cs="Simplified Arabic" w:hint="cs"/>
          <w:b/>
          <w:sz w:val="24"/>
          <w:szCs w:val="24"/>
          <w:rtl/>
          <w:lang w:val="en-US" w:eastAsia="fr-FR"/>
        </w:rPr>
        <w:t>التعليم الابتدائي</w:t>
      </w:r>
      <w:r w:rsidRPr="00F83C68">
        <w:rPr>
          <w:rFonts w:ascii="Simplified Arabic" w:eastAsia="Times New Roman" w:hAnsi="Simplified Arabic" w:cs="Simplified Arabic"/>
          <w:b/>
          <w:sz w:val="24"/>
          <w:szCs w:val="24"/>
          <w:rtl/>
          <w:lang w:val="en-US" w:eastAsia="fr-FR"/>
        </w:rPr>
        <w:t xml:space="preserve">، كما تم إنشاء خريطة المسافة إلى مراكز </w:t>
      </w:r>
      <w:r>
        <w:rPr>
          <w:rFonts w:ascii="Simplified Arabic" w:eastAsia="Times New Roman" w:hAnsi="Simplified Arabic" w:cs="Simplified Arabic" w:hint="cs"/>
          <w:b/>
          <w:sz w:val="24"/>
          <w:szCs w:val="24"/>
          <w:rtl/>
          <w:lang w:val="en-US" w:eastAsia="fr-FR"/>
        </w:rPr>
        <w:t>التعليم الابتدائي</w:t>
      </w:r>
      <w:r w:rsidRPr="00F83C68">
        <w:rPr>
          <w:rFonts w:ascii="Simplified Arabic" w:eastAsia="Times New Roman" w:hAnsi="Simplified Arabic" w:cs="Simplified Arabic"/>
          <w:b/>
          <w:sz w:val="24"/>
          <w:szCs w:val="24"/>
          <w:lang w:val="en-US" w:eastAsia="fr-FR"/>
        </w:rPr>
        <w:t xml:space="preserve"> </w:t>
      </w:r>
      <w:r w:rsidRPr="00F83C68">
        <w:rPr>
          <w:rFonts w:ascii="Simplified Arabic" w:eastAsia="Times New Roman" w:hAnsi="Simplified Arabic" w:cs="Simplified Arabic"/>
          <w:b/>
          <w:sz w:val="24"/>
          <w:szCs w:val="24"/>
          <w:rtl/>
          <w:lang w:val="en-US" w:eastAsia="fr-FR"/>
        </w:rPr>
        <w:t>باستخدام أداة المسافة الإقليدية على منصة</w:t>
      </w:r>
      <w:r w:rsidRPr="00F83C68">
        <w:rPr>
          <w:rFonts w:ascii="Simplified Arabic" w:hAnsi="Simplified Arabic" w:cs="Simplified Arabic"/>
          <w:sz w:val="24"/>
          <w:szCs w:val="24"/>
          <w:rtl/>
          <w:lang w:val="en-US"/>
        </w:rPr>
        <w:t xml:space="preserve"> </w:t>
      </w:r>
      <w:r w:rsidRPr="000D6B35">
        <w:rPr>
          <w:rFonts w:asciiTheme="majorBidi" w:hAnsiTheme="majorBidi" w:cstheme="majorBidi"/>
          <w:sz w:val="24"/>
          <w:szCs w:val="24"/>
          <w:lang w:val="en-US"/>
        </w:rPr>
        <w:t>ArcGIS</w:t>
      </w:r>
      <w:r w:rsidRPr="00F83C68">
        <w:rPr>
          <w:rFonts w:ascii="Simplified Arabic" w:eastAsia="Times New Roman" w:hAnsi="Simplified Arabic" w:cs="Simplified Arabic"/>
          <w:b/>
          <w:sz w:val="24"/>
          <w:szCs w:val="24"/>
          <w:rtl/>
          <w:lang w:val="en-US" w:eastAsia="fr-FR"/>
        </w:rPr>
        <w:t>. بالنسبة</w:t>
      </w:r>
      <w:r w:rsidRPr="00E50618">
        <w:rPr>
          <w:rFonts w:ascii="Simplified Arabic" w:eastAsia="Times New Roman" w:hAnsi="Simplified Arabic" w:cs="Simplified Arabic"/>
          <w:b/>
          <w:sz w:val="24"/>
          <w:szCs w:val="24"/>
          <w:rtl/>
          <w:lang w:val="en-US" w:eastAsia="fr-FR"/>
        </w:rPr>
        <w:t xml:space="preserve"> لنطاق </w:t>
      </w:r>
      <w:r>
        <w:rPr>
          <w:rFonts w:ascii="Simplified Arabic" w:eastAsia="Times New Roman" w:hAnsi="Simplified Arabic" w:cs="Simplified Arabic" w:hint="cs"/>
          <w:b/>
          <w:sz w:val="24"/>
          <w:szCs w:val="24"/>
          <w:rtl/>
          <w:lang w:val="en-US" w:eastAsia="fr-FR"/>
        </w:rPr>
        <w:t>التغطية بالخدمة</w:t>
      </w:r>
      <w:r w:rsidRPr="00E50618">
        <w:rPr>
          <w:rFonts w:ascii="Simplified Arabic" w:eastAsia="Times New Roman" w:hAnsi="Simplified Arabic" w:cs="Simplified Arabic"/>
          <w:b/>
          <w:sz w:val="24"/>
          <w:szCs w:val="24"/>
          <w:rtl/>
          <w:lang w:val="en-US" w:eastAsia="fr-FR"/>
        </w:rPr>
        <w:t>، حدد الخبراء</w:t>
      </w:r>
      <w:r w:rsidRPr="00630BD9">
        <w:rPr>
          <w:rFonts w:ascii="Simplified Arabic" w:eastAsia="Times New Roman" w:hAnsi="Simplified Arabic" w:cs="Simplified Arabic" w:hint="cs"/>
          <w:b/>
          <w:sz w:val="24"/>
          <w:szCs w:val="24"/>
          <w:rtl/>
          <w:lang w:val="en-US" w:eastAsia="fr-FR"/>
        </w:rPr>
        <w:t xml:space="preserve"> النطاقات التالية:</w:t>
      </w:r>
      <w:r w:rsidRPr="00E50618">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b/>
          <w:sz w:val="24"/>
          <w:szCs w:val="24"/>
          <w:rtl/>
          <w:lang w:val="en-US" w:eastAsia="fr-FR"/>
        </w:rPr>
        <w:t>(</w:t>
      </w:r>
      <w:r w:rsidRPr="00630BD9">
        <w:rPr>
          <w:rFonts w:ascii="Simplified Arabic" w:eastAsia="Times New Roman" w:hAnsi="Simplified Arabic" w:cs="Simplified Arabic" w:hint="cs"/>
          <w:b/>
          <w:sz w:val="24"/>
          <w:szCs w:val="24"/>
          <w:rtl/>
          <w:lang w:val="en-US" w:eastAsia="fr-FR"/>
        </w:rPr>
        <w:t>أقل</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4</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4</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إلى</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8</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أكثر</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8</w:t>
      </w:r>
      <w:r w:rsidRPr="00630BD9">
        <w:rPr>
          <w:rFonts w:ascii="Simplified Arabic" w:eastAsia="Times New Roman" w:hAnsi="Simplified Arabic" w:cs="Simplified Arabic" w:hint="cs"/>
          <w:b/>
          <w:sz w:val="24"/>
          <w:szCs w:val="24"/>
          <w:rtl/>
          <w:lang w:val="en-US" w:eastAsia="fr-FR"/>
        </w:rPr>
        <w:t>00م</w:t>
      </w:r>
      <w:r>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 xml:space="preserve">، </w:t>
      </w:r>
      <w:r w:rsidRPr="00E50618">
        <w:rPr>
          <w:rFonts w:ascii="Simplified Arabic" w:eastAsia="Times New Roman" w:hAnsi="Simplified Arabic" w:cs="Simplified Arabic"/>
          <w:b/>
          <w:sz w:val="24"/>
          <w:szCs w:val="24"/>
          <w:rtl/>
          <w:lang w:val="en-US" w:eastAsia="fr-FR"/>
        </w:rPr>
        <w:t xml:space="preserve">الشكل </w:t>
      </w:r>
      <w:r>
        <w:rPr>
          <w:rFonts w:ascii="Simplified Arabic" w:eastAsia="Times New Roman" w:hAnsi="Simplified Arabic" w:cs="Simplified Arabic" w:hint="cs"/>
          <w:b/>
          <w:sz w:val="24"/>
          <w:szCs w:val="24"/>
          <w:rtl/>
          <w:lang w:val="en-US" w:eastAsia="fr-FR"/>
        </w:rPr>
        <w:t>رقم (</w:t>
      </w:r>
      <w:r w:rsidR="00C60343">
        <w:rPr>
          <w:rFonts w:ascii="Simplified Arabic" w:eastAsia="Times New Roman" w:hAnsi="Simplified Arabic" w:cs="Simplified Arabic" w:hint="cs"/>
          <w:b/>
          <w:sz w:val="24"/>
          <w:szCs w:val="24"/>
          <w:rtl/>
          <w:lang w:val="en-US" w:eastAsia="fr-FR"/>
        </w:rPr>
        <w:t>5-</w:t>
      </w:r>
      <w:r w:rsidR="005E5A95">
        <w:rPr>
          <w:rFonts w:ascii="Simplified Arabic" w:eastAsia="Times New Roman" w:hAnsi="Simplified Arabic" w:cs="Simplified Arabic" w:hint="cs"/>
          <w:b/>
          <w:sz w:val="24"/>
          <w:szCs w:val="24"/>
          <w:rtl/>
          <w:lang w:val="en-US" w:eastAsia="fr-FR"/>
        </w:rPr>
        <w:t>4</w:t>
      </w:r>
      <w:r>
        <w:rPr>
          <w:rFonts w:ascii="Simplified Arabic" w:eastAsia="Times New Roman" w:hAnsi="Simplified Arabic" w:cs="Simplified Arabic" w:hint="cs"/>
          <w:b/>
          <w:sz w:val="24"/>
          <w:szCs w:val="24"/>
          <w:rtl/>
          <w:lang w:val="en-US" w:eastAsia="fr-FR"/>
        </w:rPr>
        <w:t>)</w:t>
      </w:r>
      <w:r w:rsidRPr="00E50618">
        <w:rPr>
          <w:rFonts w:ascii="Simplified Arabic" w:eastAsia="Times New Roman" w:hAnsi="Simplified Arabic" w:cs="Simplified Arabic"/>
          <w:b/>
          <w:sz w:val="24"/>
          <w:szCs w:val="24"/>
          <w:rtl/>
          <w:lang w:val="en-US" w:eastAsia="fr-FR"/>
        </w:rPr>
        <w:t>.</w:t>
      </w:r>
    </w:p>
    <w:p w:rsidR="008736F8" w:rsidRDefault="008736F8" w:rsidP="0000210E">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sidRPr="00CA51A1">
        <w:rPr>
          <w:rStyle w:val="y2iqfc"/>
          <w:rFonts w:ascii="Simplified Arabic" w:hAnsi="Simplified Arabic" w:cs="Simplified Arabic"/>
          <w:color w:val="202124"/>
          <w:sz w:val="24"/>
          <w:szCs w:val="24"/>
          <w:rtl/>
          <w:lang w:val="en-US" w:bidi="ar"/>
        </w:rPr>
        <w:lastRenderedPageBreak/>
        <w:t>أظهر</w:t>
      </w:r>
      <w:r>
        <w:rPr>
          <w:rStyle w:val="y2iqfc"/>
          <w:rFonts w:ascii="Simplified Arabic" w:hAnsi="Simplified Arabic" w:cs="Simplified Arabic" w:hint="cs"/>
          <w:color w:val="202124"/>
          <w:sz w:val="24"/>
          <w:szCs w:val="24"/>
          <w:rtl/>
          <w:lang w:val="en-US" w:bidi="ar"/>
        </w:rPr>
        <w:t>ت</w:t>
      </w:r>
      <w:r w:rsidRPr="00CA51A1">
        <w:rPr>
          <w:rStyle w:val="y2iqfc"/>
          <w:rFonts w:ascii="Simplified Arabic" w:hAnsi="Simplified Arabic" w:cs="Simplified Arabic"/>
          <w:color w:val="202124"/>
          <w:sz w:val="24"/>
          <w:szCs w:val="24"/>
          <w:rtl/>
          <w:lang w:val="en-US" w:bidi="ar"/>
        </w:rPr>
        <w:t xml:space="preserve"> </w:t>
      </w:r>
      <w:r>
        <w:rPr>
          <w:rStyle w:val="y2iqfc"/>
          <w:rFonts w:ascii="Simplified Arabic" w:hAnsi="Simplified Arabic" w:cs="Simplified Arabic" w:hint="cs"/>
          <w:color w:val="202124"/>
          <w:sz w:val="24"/>
          <w:szCs w:val="24"/>
          <w:rtl/>
          <w:lang w:val="en-US" w:bidi="ar"/>
        </w:rPr>
        <w:t>المسافة</w:t>
      </w:r>
      <w:r w:rsidRPr="00CA51A1">
        <w:rPr>
          <w:rStyle w:val="y2iqfc"/>
          <w:rFonts w:ascii="Simplified Arabic" w:hAnsi="Simplified Arabic" w:cs="Simplified Arabic"/>
          <w:color w:val="202124"/>
          <w:sz w:val="24"/>
          <w:szCs w:val="24"/>
          <w:rtl/>
          <w:lang w:val="en-US" w:bidi="ar"/>
        </w:rPr>
        <w:t xml:space="preserve"> إلى </w:t>
      </w:r>
      <w:r w:rsidR="0000210E">
        <w:rPr>
          <w:rStyle w:val="y2iqfc"/>
          <w:rFonts w:ascii="Simplified Arabic" w:hAnsi="Simplified Arabic" w:cs="Simplified Arabic"/>
          <w:color w:val="202124"/>
          <w:sz w:val="24"/>
          <w:szCs w:val="24"/>
          <w:rtl/>
          <w:lang w:val="en-US" w:bidi="ar"/>
        </w:rPr>
        <w:t>مراكز التعليم</w:t>
      </w:r>
      <w:r w:rsidR="0000210E">
        <w:rPr>
          <w:rStyle w:val="y2iqfc"/>
          <w:rFonts w:ascii="Simplified Arabic" w:hAnsi="Simplified Arabic" w:cs="Simplified Arabic" w:hint="cs"/>
          <w:color w:val="202124"/>
          <w:sz w:val="24"/>
          <w:szCs w:val="24"/>
          <w:rtl/>
          <w:lang w:val="en-US" w:bidi="ar"/>
        </w:rPr>
        <w:t xml:space="preserve"> الابتدائي</w:t>
      </w:r>
      <w:r w:rsidRPr="00CA51A1">
        <w:rPr>
          <w:rStyle w:val="y2iqfc"/>
          <w:rFonts w:ascii="Simplified Arabic" w:hAnsi="Simplified Arabic" w:cs="Simplified Arabic"/>
          <w:color w:val="202124"/>
          <w:sz w:val="24"/>
          <w:szCs w:val="24"/>
          <w:rtl/>
          <w:lang w:val="en-US" w:bidi="ar"/>
        </w:rPr>
        <w:t xml:space="preserve"> </w:t>
      </w:r>
      <w:r>
        <w:rPr>
          <w:rStyle w:val="y2iqfc"/>
          <w:rFonts w:ascii="Simplified Arabic" w:hAnsi="Simplified Arabic" w:cs="Simplified Arabic" w:hint="cs"/>
          <w:color w:val="202124"/>
          <w:sz w:val="24"/>
          <w:szCs w:val="24"/>
          <w:rtl/>
          <w:lang w:val="en-US" w:bidi="ar"/>
        </w:rPr>
        <w:t xml:space="preserve">انها تتوزع </w:t>
      </w:r>
      <w:r w:rsidRPr="00CA51A1">
        <w:rPr>
          <w:rStyle w:val="y2iqfc"/>
          <w:rFonts w:ascii="Simplified Arabic" w:hAnsi="Simplified Arabic" w:cs="Simplified Arabic"/>
          <w:color w:val="202124"/>
          <w:sz w:val="24"/>
          <w:szCs w:val="24"/>
          <w:rtl/>
          <w:lang w:val="en-US" w:bidi="ar"/>
        </w:rPr>
        <w:t xml:space="preserve">توزيعًا متساويا </w:t>
      </w:r>
      <w:r>
        <w:rPr>
          <w:rStyle w:val="y2iqfc"/>
          <w:rFonts w:ascii="Simplified Arabic" w:hAnsi="Simplified Arabic" w:cs="Simplified Arabic" w:hint="cs"/>
          <w:color w:val="202124"/>
          <w:sz w:val="24"/>
          <w:szCs w:val="24"/>
          <w:rtl/>
          <w:lang w:val="en-US" w:bidi="ar"/>
        </w:rPr>
        <w:t>ب</w:t>
      </w:r>
      <w:r w:rsidRPr="00CA51A1">
        <w:rPr>
          <w:rStyle w:val="y2iqfc"/>
          <w:rFonts w:ascii="Simplified Arabic" w:hAnsi="Simplified Arabic" w:cs="Simplified Arabic"/>
          <w:color w:val="202124"/>
          <w:sz w:val="24"/>
          <w:szCs w:val="24"/>
          <w:rtl/>
          <w:lang w:val="en-US" w:bidi="ar"/>
        </w:rPr>
        <w:t xml:space="preserve">مدينة بوسعادة </w:t>
      </w:r>
      <w:r>
        <w:rPr>
          <w:rFonts w:ascii="Simplified Arabic" w:hAnsi="Simplified Arabic" w:cs="Simplified Arabic" w:hint="cs"/>
          <w:color w:val="000000" w:themeColor="text1"/>
          <w:sz w:val="24"/>
          <w:szCs w:val="24"/>
          <w:rtl/>
          <w:lang w:bidi="ar-DZ"/>
        </w:rPr>
        <w:t xml:space="preserve">الخريطة </w:t>
      </w:r>
      <w:r>
        <w:rPr>
          <w:rFonts w:ascii="Simplified Arabic" w:eastAsia="Times New Roman" w:hAnsi="Simplified Arabic" w:cs="Simplified Arabic" w:hint="cs"/>
          <w:b/>
          <w:sz w:val="24"/>
          <w:szCs w:val="24"/>
          <w:rtl/>
          <w:lang w:val="en-US" w:eastAsia="fr-FR"/>
        </w:rPr>
        <w:t>(5-4)</w:t>
      </w:r>
      <w:r w:rsidR="0000210E">
        <w:rPr>
          <w:rFonts w:ascii="Simplified Arabic" w:eastAsia="Times New Roman" w:hAnsi="Simplified Arabic" w:cs="Simplified Arabic" w:hint="cs"/>
          <w:b/>
          <w:sz w:val="24"/>
          <w:szCs w:val="24"/>
          <w:rtl/>
          <w:lang w:val="en-US" w:eastAsia="fr-FR"/>
        </w:rPr>
        <w:t>.</w:t>
      </w:r>
      <w:r>
        <w:rPr>
          <w:rStyle w:val="y2iqfc"/>
          <w:rFonts w:ascii="Simplified Arabic" w:hAnsi="Simplified Arabic" w:cs="Simplified Arabic" w:hint="cs"/>
          <w:color w:val="202124"/>
          <w:sz w:val="24"/>
          <w:szCs w:val="24"/>
          <w:rtl/>
          <w:lang w:val="en-US" w:bidi="ar"/>
        </w:rPr>
        <w:t xml:space="preserve"> مع ذلك</w:t>
      </w:r>
      <w:r w:rsidR="0000210E">
        <w:rPr>
          <w:rStyle w:val="y2iqfc"/>
          <w:rFonts w:ascii="Simplified Arabic" w:hAnsi="Simplified Arabic" w:cs="Simplified Arabic" w:hint="cs"/>
          <w:color w:val="202124"/>
          <w:sz w:val="24"/>
          <w:szCs w:val="24"/>
          <w:rtl/>
          <w:lang w:val="en-US" w:bidi="ar"/>
        </w:rPr>
        <w:t>،</w:t>
      </w:r>
      <w:r>
        <w:rPr>
          <w:rStyle w:val="y2iqfc"/>
          <w:rFonts w:ascii="Simplified Arabic" w:hAnsi="Simplified Arabic" w:cs="Simplified Arabic" w:hint="cs"/>
          <w:color w:val="202124"/>
          <w:sz w:val="24"/>
          <w:szCs w:val="24"/>
          <w:rtl/>
          <w:lang w:val="en-US" w:bidi="ar"/>
        </w:rPr>
        <w:t xml:space="preserve"> </w:t>
      </w:r>
      <w:r w:rsidRPr="00C05457">
        <w:rPr>
          <w:rStyle w:val="y2iqfc"/>
          <w:rFonts w:ascii="Simplified Arabic" w:hAnsi="Simplified Arabic" w:cs="Simplified Arabic"/>
          <w:color w:val="202124"/>
          <w:sz w:val="24"/>
          <w:szCs w:val="24"/>
          <w:rtl/>
          <w:lang w:val="en-US" w:bidi="ar"/>
        </w:rPr>
        <w:t xml:space="preserve">أظهر </w:t>
      </w:r>
      <w:r w:rsidRPr="00C05457">
        <w:rPr>
          <w:rStyle w:val="y2iqfc"/>
          <w:rFonts w:ascii="Simplified Arabic" w:hAnsi="Simplified Arabic" w:cs="Simplified Arabic" w:hint="cs"/>
          <w:color w:val="202124"/>
          <w:sz w:val="24"/>
          <w:szCs w:val="24"/>
          <w:rtl/>
          <w:lang w:val="en-US" w:bidi="ar"/>
        </w:rPr>
        <w:t>مستوى</w:t>
      </w:r>
      <w:r w:rsidRPr="00C05457">
        <w:rPr>
          <w:rStyle w:val="y2iqfc"/>
          <w:rFonts w:ascii="Simplified Arabic" w:hAnsi="Simplified Arabic" w:cs="Simplified Arabic"/>
          <w:color w:val="202124"/>
          <w:sz w:val="24"/>
          <w:szCs w:val="24"/>
          <w:rtl/>
          <w:lang w:val="en-US" w:bidi="ar"/>
        </w:rPr>
        <w:t xml:space="preserve"> المرونة نمطًا متزايدًا </w:t>
      </w:r>
      <w:r w:rsidR="0000210E">
        <w:rPr>
          <w:rStyle w:val="y2iqfc"/>
          <w:rFonts w:ascii="Simplified Arabic" w:hAnsi="Simplified Arabic" w:cs="Simplified Arabic" w:hint="cs"/>
          <w:color w:val="202124"/>
          <w:sz w:val="24"/>
          <w:szCs w:val="24"/>
          <w:rtl/>
          <w:lang w:val="en-US" w:bidi="ar"/>
        </w:rPr>
        <w:t>من</w:t>
      </w:r>
      <w:r w:rsidRPr="00CA51A1">
        <w:rPr>
          <w:rStyle w:val="y2iqfc"/>
          <w:rFonts w:ascii="Simplified Arabic" w:hAnsi="Simplified Arabic" w:cs="Simplified Arabic"/>
          <w:color w:val="202124"/>
          <w:sz w:val="24"/>
          <w:szCs w:val="24"/>
          <w:rtl/>
          <w:lang w:val="en-US" w:bidi="ar"/>
        </w:rPr>
        <w:t xml:space="preserve"> وسط مدينة بوسعادة</w:t>
      </w:r>
      <w:r w:rsidR="0000210E">
        <w:rPr>
          <w:rStyle w:val="y2iqfc"/>
          <w:rFonts w:ascii="Simplified Arabic" w:hAnsi="Simplified Arabic" w:cs="Simplified Arabic" w:hint="cs"/>
          <w:color w:val="202124"/>
          <w:sz w:val="24"/>
          <w:szCs w:val="24"/>
          <w:rtl/>
          <w:lang w:val="en-US" w:bidi="ar"/>
        </w:rPr>
        <w:t xml:space="preserve"> نحو منطقة التوسع الجنوبي.</w:t>
      </w:r>
      <w:r>
        <w:rPr>
          <w:rStyle w:val="y2iqfc"/>
          <w:rFonts w:ascii="Simplified Arabic" w:hAnsi="Simplified Arabic" w:cs="Simplified Arabic" w:hint="cs"/>
          <w:color w:val="202124"/>
          <w:sz w:val="24"/>
          <w:szCs w:val="24"/>
          <w:rtl/>
          <w:lang w:val="en-US" w:bidi="ar"/>
        </w:rPr>
        <w:t xml:space="preserve"> </w:t>
      </w:r>
      <w:r w:rsidR="0000210E">
        <w:rPr>
          <w:rStyle w:val="y2iqfc"/>
          <w:rFonts w:ascii="Simplified Arabic" w:hAnsi="Simplified Arabic" w:cs="Simplified Arabic" w:hint="cs"/>
          <w:color w:val="202124"/>
          <w:sz w:val="24"/>
          <w:szCs w:val="24"/>
          <w:rtl/>
          <w:lang w:val="en-US" w:bidi="ar"/>
        </w:rPr>
        <w:t>ل</w:t>
      </w:r>
      <w:r w:rsidRPr="00CA51A1">
        <w:rPr>
          <w:rStyle w:val="y2iqfc"/>
          <w:rFonts w:ascii="Simplified Arabic" w:hAnsi="Simplified Arabic" w:cs="Simplified Arabic"/>
          <w:color w:val="202124"/>
          <w:sz w:val="24"/>
          <w:szCs w:val="24"/>
          <w:rtl/>
          <w:lang w:val="en-US" w:bidi="ar"/>
        </w:rPr>
        <w:t>ذلك</w:t>
      </w:r>
      <w:r w:rsidR="0000210E">
        <w:rPr>
          <w:rStyle w:val="y2iqfc"/>
          <w:rFonts w:ascii="Simplified Arabic" w:hAnsi="Simplified Arabic" w:cs="Simplified Arabic" w:hint="cs"/>
          <w:color w:val="202124"/>
          <w:sz w:val="24"/>
          <w:szCs w:val="24"/>
          <w:rtl/>
          <w:lang w:val="en-US" w:bidi="ar"/>
        </w:rPr>
        <w:t>،</w:t>
      </w:r>
      <w:r w:rsidRPr="00CA51A1">
        <w:rPr>
          <w:rStyle w:val="y2iqfc"/>
          <w:rFonts w:ascii="Simplified Arabic" w:hAnsi="Simplified Arabic" w:cs="Simplified Arabic"/>
          <w:color w:val="202124"/>
          <w:sz w:val="24"/>
          <w:szCs w:val="24"/>
          <w:rtl/>
          <w:lang w:val="en-US" w:bidi="ar"/>
        </w:rPr>
        <w:t xml:space="preserve"> </w:t>
      </w:r>
      <w:r w:rsidR="0000210E">
        <w:rPr>
          <w:rStyle w:val="y2iqfc"/>
          <w:rFonts w:ascii="Simplified Arabic" w:hAnsi="Simplified Arabic" w:cs="Simplified Arabic" w:hint="cs"/>
          <w:color w:val="202124"/>
          <w:sz w:val="24"/>
          <w:szCs w:val="24"/>
          <w:rtl/>
          <w:lang w:val="en-US" w:bidi="ar"/>
        </w:rPr>
        <w:t>ف</w:t>
      </w:r>
      <w:r w:rsidRPr="00CA51A1">
        <w:rPr>
          <w:rStyle w:val="y2iqfc"/>
          <w:rFonts w:ascii="Simplified Arabic" w:hAnsi="Simplified Arabic" w:cs="Simplified Arabic"/>
          <w:color w:val="202124"/>
          <w:sz w:val="24"/>
          <w:szCs w:val="24"/>
          <w:rtl/>
          <w:lang w:val="en-US" w:bidi="ar"/>
        </w:rPr>
        <w:t xml:space="preserve">ان </w:t>
      </w:r>
      <w:r>
        <w:rPr>
          <w:rStyle w:val="y2iqfc"/>
          <w:rFonts w:ascii="Simplified Arabic" w:hAnsi="Simplified Arabic" w:cs="Simplified Arabic" w:hint="cs"/>
          <w:color w:val="202124"/>
          <w:sz w:val="24"/>
          <w:szCs w:val="24"/>
          <w:rtl/>
          <w:lang w:val="en-US" w:bidi="ar-DZ"/>
        </w:rPr>
        <w:t xml:space="preserve">حظوظ تشكيل </w:t>
      </w:r>
      <w:r w:rsidRPr="00CA51A1">
        <w:rPr>
          <w:rStyle w:val="y2iqfc"/>
          <w:rFonts w:ascii="Simplified Arabic" w:hAnsi="Simplified Arabic" w:cs="Simplified Arabic"/>
          <w:color w:val="202124"/>
          <w:sz w:val="24"/>
          <w:szCs w:val="24"/>
          <w:rtl/>
          <w:lang w:val="en-US" w:bidi="ar"/>
        </w:rPr>
        <w:t xml:space="preserve">مراكز ايواء مؤقت في وسط المدينة </w:t>
      </w:r>
      <w:r w:rsidR="0000210E">
        <w:rPr>
          <w:rStyle w:val="y2iqfc"/>
          <w:rFonts w:ascii="Simplified Arabic" w:hAnsi="Simplified Arabic" w:cs="Simplified Arabic" w:hint="cs"/>
          <w:color w:val="202124"/>
          <w:sz w:val="24"/>
          <w:szCs w:val="24"/>
          <w:rtl/>
          <w:lang w:val="en-US" w:bidi="ar"/>
        </w:rPr>
        <w:t xml:space="preserve">والجزء الجنوبي </w:t>
      </w:r>
      <w:r w:rsidRPr="00CA51A1">
        <w:rPr>
          <w:rStyle w:val="y2iqfc"/>
          <w:rFonts w:ascii="Simplified Arabic" w:hAnsi="Simplified Arabic" w:cs="Simplified Arabic"/>
          <w:color w:val="202124"/>
          <w:sz w:val="24"/>
          <w:szCs w:val="24"/>
          <w:rtl/>
          <w:lang w:val="en-US" w:bidi="ar"/>
        </w:rPr>
        <w:t xml:space="preserve">اكبر مما </w:t>
      </w:r>
      <w:r>
        <w:rPr>
          <w:rStyle w:val="y2iqfc"/>
          <w:rFonts w:ascii="Simplified Arabic" w:hAnsi="Simplified Arabic" w:cs="Simplified Arabic" w:hint="cs"/>
          <w:color w:val="202124"/>
          <w:sz w:val="24"/>
          <w:szCs w:val="24"/>
          <w:rtl/>
          <w:lang w:val="en-US" w:bidi="ar"/>
        </w:rPr>
        <w:t>ه</w:t>
      </w:r>
      <w:r w:rsidR="0000210E">
        <w:rPr>
          <w:rStyle w:val="y2iqfc"/>
          <w:rFonts w:ascii="Simplified Arabic" w:hAnsi="Simplified Arabic" w:cs="Simplified Arabic" w:hint="cs"/>
          <w:color w:val="202124"/>
          <w:sz w:val="24"/>
          <w:szCs w:val="24"/>
          <w:rtl/>
          <w:lang w:val="en-US" w:bidi="ar"/>
        </w:rPr>
        <w:t>و</w:t>
      </w:r>
      <w:r w:rsidRPr="00CA51A1">
        <w:rPr>
          <w:rStyle w:val="y2iqfc"/>
          <w:rFonts w:ascii="Simplified Arabic" w:hAnsi="Simplified Arabic" w:cs="Simplified Arabic"/>
          <w:color w:val="202124"/>
          <w:sz w:val="24"/>
          <w:szCs w:val="24"/>
          <w:rtl/>
          <w:lang w:val="en-US" w:bidi="ar"/>
        </w:rPr>
        <w:t xml:space="preserve"> عليه في </w:t>
      </w:r>
      <w:r w:rsidR="0000210E">
        <w:rPr>
          <w:rStyle w:val="y2iqfc"/>
          <w:rFonts w:ascii="Simplified Arabic" w:hAnsi="Simplified Arabic" w:cs="Simplified Arabic" w:hint="cs"/>
          <w:color w:val="202124"/>
          <w:sz w:val="24"/>
          <w:szCs w:val="24"/>
          <w:rtl/>
          <w:lang w:val="en-US" w:bidi="ar"/>
        </w:rPr>
        <w:t>باقي اجزاء المدينة</w:t>
      </w:r>
      <w:r w:rsidRPr="00CA51A1">
        <w:rPr>
          <w:rStyle w:val="y2iqfc"/>
          <w:rFonts w:ascii="Simplified Arabic" w:hAnsi="Simplified Arabic" w:cs="Simplified Arabic"/>
          <w:color w:val="202124"/>
          <w:sz w:val="24"/>
          <w:szCs w:val="24"/>
          <w:rtl/>
          <w:lang w:val="en-US" w:bidi="ar"/>
        </w:rPr>
        <w:t xml:space="preserve">. </w:t>
      </w:r>
    </w:p>
    <w:p w:rsidR="005E5A95" w:rsidRDefault="005E5A95" w:rsidP="007A30E8">
      <w:pPr>
        <w:pStyle w:val="carte"/>
        <w:spacing w:after="0"/>
        <w:rPr>
          <w:rFonts w:asciiTheme="majorBidi" w:hAnsiTheme="majorBidi" w:cstheme="majorBidi"/>
          <w:rtl/>
          <w:lang w:val="en-US"/>
        </w:rPr>
      </w:pPr>
      <w:bookmarkStart w:id="697" w:name="_Toc157616603"/>
      <w:bookmarkStart w:id="698" w:name="_Toc171803710"/>
      <w:r>
        <w:rPr>
          <w:rFonts w:hint="cs"/>
          <w:color w:val="000000" w:themeColor="text1"/>
          <w:rtl/>
          <w:lang w:bidi="ar-DZ"/>
        </w:rPr>
        <w:t xml:space="preserve">الخريطة </w:t>
      </w:r>
      <w:r>
        <w:rPr>
          <w:rFonts w:eastAsia="Times New Roman" w:hint="cs"/>
          <w:rtl/>
          <w:lang w:val="en-US" w:eastAsia="fr-FR"/>
        </w:rPr>
        <w:t>(5-4): نطاق التغطية بالخدمة ل</w:t>
      </w:r>
      <w:r>
        <w:rPr>
          <w:rFonts w:hint="cs"/>
          <w:color w:val="000000" w:themeColor="text1"/>
          <w:rtl/>
          <w:lang w:bidi="ar-DZ"/>
        </w:rPr>
        <w:t xml:space="preserve">معيار </w:t>
      </w:r>
      <w:r>
        <w:rPr>
          <w:rFonts w:hint="cs"/>
          <w:rtl/>
          <w:lang w:val="en-US"/>
        </w:rPr>
        <w:t>الإ</w:t>
      </w:r>
      <w:r>
        <w:rPr>
          <w:rFonts w:hint="cs"/>
          <w:rtl/>
          <w:lang w:val="en-US" w:bidi="ar-DZ"/>
        </w:rPr>
        <w:t>يواء</w:t>
      </w:r>
      <w:r>
        <w:rPr>
          <w:rFonts w:hint="cs"/>
          <w:rtl/>
          <w:lang w:val="en-US"/>
        </w:rPr>
        <w:t xml:space="preserve"> المؤقت </w:t>
      </w:r>
      <w:r w:rsidRPr="001F04E3">
        <w:rPr>
          <w:rFonts w:asciiTheme="majorBidi" w:hAnsiTheme="majorBidi" w:cstheme="majorBidi"/>
          <w:lang w:val="en-US"/>
        </w:rPr>
        <w:t>(</w:t>
      </w:r>
      <w:r w:rsidR="00F77B47" w:rsidRPr="00F77B47">
        <w:rPr>
          <w:rFonts w:asciiTheme="majorBidi" w:hAnsiTheme="majorBidi" w:cstheme="majorBidi"/>
          <w:lang w:val="en-US"/>
        </w:rPr>
        <w:t>C4</w:t>
      </w:r>
      <w:r w:rsidRPr="001F04E3">
        <w:rPr>
          <w:rFonts w:asciiTheme="majorBidi" w:hAnsiTheme="majorBidi" w:cstheme="majorBidi"/>
          <w:lang w:val="en-US"/>
        </w:rPr>
        <w:t>)</w:t>
      </w:r>
      <w:bookmarkEnd w:id="697"/>
      <w:bookmarkEnd w:id="698"/>
    </w:p>
    <w:p w:rsidR="007A30E8" w:rsidRPr="007A30E8" w:rsidRDefault="007A30E8" w:rsidP="007A30E8">
      <w:pPr>
        <w:pStyle w:val="fegure"/>
        <w:rPr>
          <w:sz w:val="8"/>
          <w:szCs w:val="24"/>
          <w:rtl/>
          <w:lang w:val="en-US" w:bidi="ar-DZ"/>
        </w:rPr>
      </w:pPr>
      <w:bookmarkStart w:id="699" w:name="_Toc171803711"/>
      <w:r>
        <w:rPr>
          <w:rFonts w:hint="cs"/>
          <w:sz w:val="8"/>
          <w:szCs w:val="24"/>
          <w:rtl/>
          <w:lang w:val="en-US"/>
        </w:rPr>
        <w:t>المصدر: (الباحث، 2022)</w:t>
      </w:r>
      <w:bookmarkEnd w:id="699"/>
    </w:p>
    <w:p w:rsidR="00FD1FDA" w:rsidRDefault="005E5A95" w:rsidP="00F77B47">
      <w:pPr>
        <w:tabs>
          <w:tab w:val="right" w:pos="282"/>
        </w:tabs>
        <w:bidi/>
        <w:spacing w:after="0"/>
        <w:jc w:val="center"/>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b/>
          <w:noProof/>
          <w:sz w:val="24"/>
          <w:szCs w:val="24"/>
          <w:rtl/>
          <w:lang w:eastAsia="fr-FR"/>
        </w:rPr>
        <w:drawing>
          <wp:inline distT="0" distB="0" distL="0" distR="0" wp14:anchorId="349ABA6B" wp14:editId="2EEE6D12">
            <wp:extent cx="5089628" cy="6134986"/>
            <wp:effectExtent l="0" t="0" r="0" b="0"/>
            <wp:docPr id="116" name="Imag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TC\Desktop\cumule\4.jpg"/>
                    <pic:cNvPicPr>
                      <a:picLocks noChangeAspect="1" noChangeArrowheads="1"/>
                    </pic:cNvPicPr>
                  </pic:nvPicPr>
                  <pic:blipFill rotWithShape="1">
                    <a:blip r:embed="rId243" cstate="print">
                      <a:extLst>
                        <a:ext uri="{28A0092B-C50C-407E-A947-70E740481C1C}">
                          <a14:useLocalDpi xmlns:a14="http://schemas.microsoft.com/office/drawing/2010/main" val="0"/>
                        </a:ext>
                      </a:extLst>
                    </a:blip>
                    <a:srcRect t="8541" b="1068"/>
                    <a:stretch/>
                  </pic:blipFill>
                  <pic:spPr bwMode="auto">
                    <a:xfrm>
                      <a:off x="0" y="0"/>
                      <a:ext cx="5110016" cy="6159562"/>
                    </a:xfrm>
                    <a:prstGeom prst="rect">
                      <a:avLst/>
                    </a:prstGeom>
                    <a:noFill/>
                    <a:ln>
                      <a:noFill/>
                    </a:ln>
                    <a:extLst>
                      <a:ext uri="{53640926-AAD7-44D8-BBD7-CCE9431645EC}">
                        <a14:shadowObscured xmlns:a14="http://schemas.microsoft.com/office/drawing/2010/main"/>
                      </a:ext>
                    </a:extLst>
                  </pic:spPr>
                </pic:pic>
              </a:graphicData>
            </a:graphic>
          </wp:inline>
        </w:drawing>
      </w:r>
    </w:p>
    <w:p w:rsidR="00C121B0" w:rsidRPr="001E4726" w:rsidRDefault="00C121B0" w:rsidP="001D0548">
      <w:pPr>
        <w:pStyle w:val="Paragraphedeliste"/>
        <w:numPr>
          <w:ilvl w:val="1"/>
          <w:numId w:val="237"/>
        </w:numPr>
        <w:tabs>
          <w:tab w:val="right" w:pos="1275"/>
        </w:tabs>
        <w:bidi/>
        <w:spacing w:after="0"/>
        <w:ind w:left="0" w:firstLine="992"/>
        <w:jc w:val="both"/>
        <w:outlineLvl w:val="3"/>
        <w:rPr>
          <w:rFonts w:ascii="Simplified Arabic" w:hAnsi="Simplified Arabic" w:cs="Simplified Arabic"/>
          <w:b/>
          <w:bCs/>
          <w:sz w:val="24"/>
          <w:szCs w:val="24"/>
          <w:rtl/>
          <w:lang w:val="en-US"/>
        </w:rPr>
      </w:pPr>
      <w:r w:rsidRPr="001E4726">
        <w:rPr>
          <w:rFonts w:ascii="Simplified Arabic" w:hAnsi="Simplified Arabic" w:cs="Simplified Arabic" w:hint="cs"/>
          <w:b/>
          <w:bCs/>
          <w:sz w:val="24"/>
          <w:szCs w:val="24"/>
          <w:rtl/>
          <w:lang w:val="en-US"/>
        </w:rPr>
        <w:t>خريطة</w:t>
      </w:r>
      <w:r w:rsidRPr="001E4726">
        <w:rPr>
          <w:rFonts w:ascii="Simplified Arabic" w:hAnsi="Simplified Arabic" w:cs="Simplified Arabic"/>
          <w:b/>
          <w:bCs/>
          <w:sz w:val="24"/>
          <w:szCs w:val="24"/>
          <w:rtl/>
          <w:lang w:val="en-US"/>
        </w:rPr>
        <w:t xml:space="preserve"> </w:t>
      </w:r>
      <w:r w:rsidRPr="001E4726">
        <w:rPr>
          <w:rFonts w:ascii="Simplified Arabic" w:hAnsi="Simplified Arabic" w:cs="Simplified Arabic" w:hint="cs"/>
          <w:b/>
          <w:bCs/>
          <w:sz w:val="24"/>
          <w:szCs w:val="24"/>
          <w:rtl/>
          <w:lang w:val="en-US"/>
        </w:rPr>
        <w:t>معيار</w:t>
      </w:r>
      <w:r w:rsidRPr="001E4726">
        <w:rPr>
          <w:rFonts w:ascii="Simplified Arabic" w:hAnsi="Simplified Arabic" w:cs="Simplified Arabic"/>
          <w:b/>
          <w:bCs/>
          <w:sz w:val="24"/>
          <w:szCs w:val="24"/>
          <w:rtl/>
          <w:lang w:val="en-US"/>
        </w:rPr>
        <w:t xml:space="preserve"> </w:t>
      </w:r>
      <w:r w:rsidRPr="001E4726">
        <w:rPr>
          <w:rFonts w:ascii="Simplified Arabic" w:hAnsi="Simplified Arabic" w:cs="Simplified Arabic" w:hint="cs"/>
          <w:b/>
          <w:bCs/>
          <w:sz w:val="24"/>
          <w:szCs w:val="24"/>
          <w:rtl/>
          <w:lang w:val="en-US"/>
        </w:rPr>
        <w:t xml:space="preserve">المسافة الى مراكز </w:t>
      </w:r>
      <w:r w:rsidRPr="001E4726">
        <w:rPr>
          <w:rFonts w:ascii="Simplified Arabic" w:hAnsi="Simplified Arabic" w:cs="Simplified Arabic"/>
          <w:b/>
          <w:bCs/>
          <w:sz w:val="24"/>
          <w:szCs w:val="24"/>
          <w:rtl/>
          <w:lang w:val="en-US"/>
        </w:rPr>
        <w:t>التضامن والتموين</w:t>
      </w:r>
      <w:r w:rsidRPr="001E4726">
        <w:rPr>
          <w:rFonts w:ascii="Simplified Arabic" w:hAnsi="Simplified Arabic" w:cs="Simplified Arabic"/>
          <w:b/>
          <w:bCs/>
          <w:sz w:val="24"/>
          <w:szCs w:val="24"/>
          <w:lang w:val="en-US"/>
        </w:rPr>
        <w:t xml:space="preserve"> </w:t>
      </w:r>
      <w:r w:rsidRPr="001E4726">
        <w:rPr>
          <w:rFonts w:asciiTheme="majorBidi" w:hAnsiTheme="majorBidi" w:cstheme="majorBidi"/>
          <w:b/>
          <w:bCs/>
          <w:sz w:val="24"/>
          <w:szCs w:val="24"/>
          <w:lang w:val="en-US"/>
        </w:rPr>
        <w:t>C5</w:t>
      </w:r>
      <w:r w:rsidRPr="001E4726">
        <w:rPr>
          <w:rFonts w:ascii="Simplified Arabic" w:hAnsi="Simplified Arabic" w:cs="Simplified Arabic"/>
          <w:b/>
          <w:bCs/>
          <w:sz w:val="24"/>
          <w:szCs w:val="24"/>
          <w:lang w:val="en-US"/>
        </w:rPr>
        <w:t xml:space="preserve"> </w:t>
      </w:r>
      <w:r w:rsidRPr="001E4726">
        <w:rPr>
          <w:rFonts w:ascii="Simplified Arabic" w:hAnsi="Simplified Arabic" w:cs="Simplified Arabic"/>
          <w:b/>
          <w:bCs/>
          <w:sz w:val="24"/>
          <w:szCs w:val="24"/>
          <w:rtl/>
          <w:lang w:val="en-US"/>
        </w:rPr>
        <w:t>:</w:t>
      </w:r>
    </w:p>
    <w:p w:rsidR="00C121B0" w:rsidRDefault="00C121B0" w:rsidP="00FB1450">
      <w:pPr>
        <w:widowControl w:val="0"/>
        <w:autoSpaceDE w:val="0"/>
        <w:autoSpaceDN w:val="0"/>
        <w:bidi/>
        <w:spacing w:after="0"/>
        <w:ind w:firstLine="282"/>
        <w:jc w:val="both"/>
        <w:rPr>
          <w:rFonts w:ascii="Simplified Arabic" w:eastAsia="Times New Roman" w:hAnsi="Simplified Arabic" w:cs="Simplified Arabic"/>
          <w:b/>
          <w:sz w:val="24"/>
          <w:szCs w:val="24"/>
          <w:rtl/>
          <w:lang w:val="en-US" w:eastAsia="fr-FR"/>
        </w:rPr>
      </w:pPr>
      <w:r w:rsidRPr="00A67F50">
        <w:rPr>
          <w:rFonts w:ascii="Simplified Arabic" w:eastAsia="Times New Roman" w:hAnsi="Simplified Arabic" w:cs="Simplified Arabic"/>
          <w:b/>
          <w:sz w:val="24"/>
          <w:szCs w:val="24"/>
          <w:rtl/>
          <w:lang w:val="en-US" w:eastAsia="fr-FR"/>
        </w:rPr>
        <w:t>يمكن استخدام وجود المرافق الدينية والرياضية في المجتمع كمراكز تضامن و تقديم المساعدات في حالات الكوارث. تم الحصول على بيانات المرافق الدينية وال</w:t>
      </w:r>
      <w:r w:rsidR="00FB1450">
        <w:rPr>
          <w:rFonts w:ascii="Simplified Arabic" w:eastAsia="Times New Roman" w:hAnsi="Simplified Arabic" w:cs="Simplified Arabic" w:hint="cs"/>
          <w:b/>
          <w:sz w:val="24"/>
          <w:szCs w:val="24"/>
          <w:rtl/>
          <w:lang w:val="en-US" w:eastAsia="fr-FR"/>
        </w:rPr>
        <w:t>جمعيات الخيرية</w:t>
      </w:r>
      <w:r w:rsidRPr="00A67F50">
        <w:rPr>
          <w:rFonts w:ascii="Simplified Arabic" w:eastAsia="Times New Roman" w:hAnsi="Simplified Arabic" w:cs="Simplified Arabic"/>
          <w:b/>
          <w:sz w:val="24"/>
          <w:szCs w:val="24"/>
          <w:rtl/>
          <w:lang w:val="en-US" w:eastAsia="fr-FR"/>
        </w:rPr>
        <w:t xml:space="preserve"> </w:t>
      </w:r>
      <w:r w:rsidRPr="00A67F50">
        <w:rPr>
          <w:rFonts w:ascii="Simplified Arabic" w:hAnsi="Simplified Arabic" w:cs="Simplified Arabic"/>
          <w:sz w:val="24"/>
          <w:szCs w:val="24"/>
          <w:rtl/>
          <w:lang w:bidi="ar-DZ"/>
        </w:rPr>
        <w:t>عن طريق مخططات التعمير و المسح الميداني</w:t>
      </w:r>
      <w:r w:rsidRPr="00A67F50">
        <w:rPr>
          <w:rFonts w:ascii="Simplified Arabic" w:eastAsia="Times New Roman" w:hAnsi="Simplified Arabic" w:cs="Simplified Arabic"/>
          <w:b/>
          <w:sz w:val="24"/>
          <w:szCs w:val="24"/>
          <w:rtl/>
          <w:lang w:val="en-US" w:eastAsia="fr-FR"/>
        </w:rPr>
        <w:t xml:space="preserve">. في إجراء مماثل </w:t>
      </w:r>
      <w:r>
        <w:rPr>
          <w:rFonts w:ascii="Simplified Arabic" w:eastAsia="Times New Roman" w:hAnsi="Simplified Arabic" w:cs="Simplified Arabic" w:hint="cs"/>
          <w:b/>
          <w:sz w:val="24"/>
          <w:szCs w:val="24"/>
          <w:rtl/>
          <w:lang w:val="en-US" w:eastAsia="fr-FR"/>
        </w:rPr>
        <w:t>تم انشاء</w:t>
      </w:r>
      <w:r w:rsidRPr="00A67F50">
        <w:rPr>
          <w:rFonts w:ascii="Simplified Arabic" w:eastAsia="Times New Roman" w:hAnsi="Simplified Arabic" w:cs="Simplified Arabic"/>
          <w:b/>
          <w:sz w:val="24"/>
          <w:szCs w:val="24"/>
          <w:rtl/>
          <w:lang w:val="en-US" w:eastAsia="fr-FR"/>
        </w:rPr>
        <w:t xml:space="preserve"> خريطة </w:t>
      </w:r>
      <w:r>
        <w:rPr>
          <w:rFonts w:ascii="Simplified Arabic" w:eastAsia="Times New Roman" w:hAnsi="Simplified Arabic" w:cs="Simplified Arabic" w:hint="cs"/>
          <w:b/>
          <w:sz w:val="24"/>
          <w:szCs w:val="24"/>
          <w:rtl/>
          <w:lang w:val="en-US" w:eastAsia="fr-FR"/>
        </w:rPr>
        <w:t>معيار</w:t>
      </w:r>
      <w:r w:rsidRPr="00A67F50">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التضامن والتموين</w:t>
      </w:r>
      <w:r w:rsidRPr="00A67F50">
        <w:rPr>
          <w:rFonts w:ascii="Simplified Arabic" w:eastAsia="Times New Roman" w:hAnsi="Simplified Arabic" w:cs="Simplified Arabic"/>
          <w:b/>
          <w:sz w:val="24"/>
          <w:szCs w:val="24"/>
          <w:rtl/>
          <w:lang w:val="en-US" w:eastAsia="fr-FR"/>
        </w:rPr>
        <w:t xml:space="preserve"> باستخدام أداة المسافة الإقليدية على منصة</w:t>
      </w:r>
      <w:r w:rsidRPr="00A67F50">
        <w:rPr>
          <w:rFonts w:asciiTheme="minorBidi" w:eastAsia="Times New Roman" w:hAnsiTheme="minorBidi"/>
          <w:b/>
          <w:sz w:val="24"/>
          <w:szCs w:val="24"/>
          <w:rtl/>
          <w:lang w:val="en-US" w:eastAsia="fr-FR"/>
        </w:rPr>
        <w:t xml:space="preserve"> </w:t>
      </w:r>
      <w:r w:rsidRPr="000D6B35">
        <w:rPr>
          <w:rFonts w:asciiTheme="majorBidi" w:hAnsiTheme="majorBidi" w:cstheme="majorBidi"/>
          <w:sz w:val="24"/>
          <w:szCs w:val="24"/>
          <w:lang w:val="en-US"/>
        </w:rPr>
        <w:t>ArcGIS</w:t>
      </w:r>
      <w:r w:rsidRPr="00A67F50">
        <w:rPr>
          <w:rFonts w:asciiTheme="minorBidi" w:eastAsia="Times New Roman" w:hAnsiTheme="minorBidi"/>
          <w:b/>
          <w:sz w:val="24"/>
          <w:szCs w:val="24"/>
          <w:rtl/>
          <w:lang w:val="en-US" w:eastAsia="fr-FR"/>
        </w:rPr>
        <w:t>.</w:t>
      </w:r>
      <w:r w:rsidRPr="00A67F50">
        <w:rPr>
          <w:rFonts w:asciiTheme="minorBidi" w:hAnsiTheme="minorBidi"/>
          <w:sz w:val="24"/>
          <w:szCs w:val="24"/>
          <w:rtl/>
          <w:lang w:val="en-US"/>
        </w:rPr>
        <w:t xml:space="preserve"> </w:t>
      </w:r>
      <w:r w:rsidRPr="00F83C68">
        <w:rPr>
          <w:rFonts w:ascii="Simplified Arabic" w:eastAsia="Times New Roman" w:hAnsi="Simplified Arabic" w:cs="Simplified Arabic"/>
          <w:b/>
          <w:sz w:val="24"/>
          <w:szCs w:val="24"/>
          <w:rtl/>
          <w:lang w:val="en-US" w:eastAsia="fr-FR"/>
        </w:rPr>
        <w:t>بالنسبة</w:t>
      </w:r>
      <w:r w:rsidRPr="00E50618">
        <w:rPr>
          <w:rFonts w:ascii="Simplified Arabic" w:eastAsia="Times New Roman" w:hAnsi="Simplified Arabic" w:cs="Simplified Arabic"/>
          <w:b/>
          <w:sz w:val="24"/>
          <w:szCs w:val="24"/>
          <w:rtl/>
          <w:lang w:val="en-US" w:eastAsia="fr-FR"/>
        </w:rPr>
        <w:t xml:space="preserve"> لنطاق </w:t>
      </w:r>
      <w:r>
        <w:rPr>
          <w:rFonts w:ascii="Simplified Arabic" w:eastAsia="Times New Roman" w:hAnsi="Simplified Arabic" w:cs="Simplified Arabic" w:hint="cs"/>
          <w:b/>
          <w:sz w:val="24"/>
          <w:szCs w:val="24"/>
          <w:rtl/>
          <w:lang w:val="en-US" w:eastAsia="fr-FR"/>
        </w:rPr>
        <w:t xml:space="preserve">التغطية </w:t>
      </w:r>
      <w:r>
        <w:rPr>
          <w:rFonts w:ascii="Simplified Arabic" w:eastAsia="Times New Roman" w:hAnsi="Simplified Arabic" w:cs="Simplified Arabic" w:hint="cs"/>
          <w:b/>
          <w:sz w:val="24"/>
          <w:szCs w:val="24"/>
          <w:rtl/>
          <w:lang w:val="en-US" w:eastAsia="fr-FR"/>
        </w:rPr>
        <w:lastRenderedPageBreak/>
        <w:t>بالخدمة</w:t>
      </w:r>
      <w:r w:rsidRPr="00E50618">
        <w:rPr>
          <w:rFonts w:ascii="Simplified Arabic" w:eastAsia="Times New Roman" w:hAnsi="Simplified Arabic" w:cs="Simplified Arabic"/>
          <w:b/>
          <w:sz w:val="24"/>
          <w:szCs w:val="24"/>
          <w:rtl/>
          <w:lang w:val="en-US" w:eastAsia="fr-FR"/>
        </w:rPr>
        <w:t>، حدد الخبراء</w:t>
      </w:r>
      <w:r w:rsidRPr="00630BD9">
        <w:rPr>
          <w:rFonts w:ascii="Simplified Arabic" w:eastAsia="Times New Roman" w:hAnsi="Simplified Arabic" w:cs="Simplified Arabic" w:hint="cs"/>
          <w:b/>
          <w:sz w:val="24"/>
          <w:szCs w:val="24"/>
          <w:rtl/>
          <w:lang w:val="en-US" w:eastAsia="fr-FR"/>
        </w:rPr>
        <w:t xml:space="preserve"> النطاقات التالية:</w:t>
      </w:r>
      <w:r w:rsidRPr="00E50618">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b/>
          <w:sz w:val="24"/>
          <w:szCs w:val="24"/>
          <w:rtl/>
          <w:lang w:val="en-US" w:eastAsia="fr-FR"/>
        </w:rPr>
        <w:t>(</w:t>
      </w:r>
      <w:r w:rsidRPr="00630BD9">
        <w:rPr>
          <w:rFonts w:ascii="Simplified Arabic" w:eastAsia="Times New Roman" w:hAnsi="Simplified Arabic" w:cs="Simplified Arabic" w:hint="cs"/>
          <w:b/>
          <w:sz w:val="24"/>
          <w:szCs w:val="24"/>
          <w:rtl/>
          <w:lang w:val="en-US" w:eastAsia="fr-FR"/>
        </w:rPr>
        <w:t>أقل</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sidR="001C2212">
        <w:rPr>
          <w:rFonts w:ascii="Simplified Arabic" w:eastAsia="Times New Roman" w:hAnsi="Simplified Arabic" w:cs="Simplified Arabic" w:hint="cs"/>
          <w:b/>
          <w:sz w:val="24"/>
          <w:szCs w:val="24"/>
          <w:rtl/>
          <w:lang w:val="en-US" w:eastAsia="fr-FR"/>
        </w:rPr>
        <w:t>8</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sidR="001C2212">
        <w:rPr>
          <w:rFonts w:ascii="Simplified Arabic" w:eastAsia="Times New Roman" w:hAnsi="Simplified Arabic" w:cs="Simplified Arabic" w:hint="cs"/>
          <w:b/>
          <w:sz w:val="24"/>
          <w:szCs w:val="24"/>
          <w:rtl/>
          <w:lang w:val="en-US" w:eastAsia="fr-FR"/>
        </w:rPr>
        <w:t>8</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إلى</w:t>
      </w:r>
      <w:r w:rsidRPr="00630BD9">
        <w:rPr>
          <w:rFonts w:ascii="Simplified Arabic" w:eastAsia="Times New Roman" w:hAnsi="Simplified Arabic" w:cs="Simplified Arabic"/>
          <w:b/>
          <w:sz w:val="24"/>
          <w:szCs w:val="24"/>
          <w:rtl/>
          <w:lang w:val="en-US" w:eastAsia="fr-FR"/>
        </w:rPr>
        <w:t xml:space="preserve"> </w:t>
      </w:r>
      <w:r w:rsidR="001C2212">
        <w:rPr>
          <w:rFonts w:ascii="Simplified Arabic" w:eastAsia="Times New Roman" w:hAnsi="Simplified Arabic" w:cs="Simplified Arabic" w:hint="cs"/>
          <w:b/>
          <w:sz w:val="24"/>
          <w:szCs w:val="24"/>
          <w:rtl/>
          <w:lang w:val="en-US" w:eastAsia="fr-FR"/>
        </w:rPr>
        <w:t>12</w:t>
      </w:r>
      <w:r w:rsidRPr="00630BD9">
        <w:rPr>
          <w:rFonts w:ascii="Simplified Arabic" w:eastAsia="Times New Roman" w:hAnsi="Simplified Arabic" w:cs="Simplified Arabic" w:hint="cs"/>
          <w:b/>
          <w:sz w:val="24"/>
          <w:szCs w:val="24"/>
          <w:rtl/>
          <w:lang w:val="en-US" w:eastAsia="fr-FR"/>
        </w:rPr>
        <w:t>00م</w:t>
      </w:r>
      <w:r w:rsidRPr="00630BD9">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أكثر</w:t>
      </w:r>
      <w:r w:rsidRPr="00630BD9">
        <w:rPr>
          <w:rFonts w:ascii="Simplified Arabic" w:eastAsia="Times New Roman" w:hAnsi="Simplified Arabic" w:cs="Simplified Arabic"/>
          <w:b/>
          <w:sz w:val="24"/>
          <w:szCs w:val="24"/>
          <w:rtl/>
          <w:lang w:val="en-US" w:eastAsia="fr-FR"/>
        </w:rPr>
        <w:t xml:space="preserve"> </w:t>
      </w:r>
      <w:r w:rsidRPr="00630BD9">
        <w:rPr>
          <w:rFonts w:ascii="Simplified Arabic" w:eastAsia="Times New Roman" w:hAnsi="Simplified Arabic" w:cs="Simplified Arabic" w:hint="cs"/>
          <w:b/>
          <w:sz w:val="24"/>
          <w:szCs w:val="24"/>
          <w:rtl/>
          <w:lang w:val="en-US" w:eastAsia="fr-FR"/>
        </w:rPr>
        <w:t>من</w:t>
      </w:r>
      <w:r w:rsidRPr="00630BD9">
        <w:rPr>
          <w:rFonts w:ascii="Simplified Arabic" w:eastAsia="Times New Roman" w:hAnsi="Simplified Arabic" w:cs="Simplified Arabic"/>
          <w:b/>
          <w:sz w:val="24"/>
          <w:szCs w:val="24"/>
          <w:rtl/>
          <w:lang w:val="en-US" w:eastAsia="fr-FR"/>
        </w:rPr>
        <w:t xml:space="preserve"> </w:t>
      </w:r>
      <w:r w:rsidR="001C2212">
        <w:rPr>
          <w:rFonts w:ascii="Simplified Arabic" w:eastAsia="Times New Roman" w:hAnsi="Simplified Arabic" w:cs="Simplified Arabic" w:hint="cs"/>
          <w:b/>
          <w:sz w:val="24"/>
          <w:szCs w:val="24"/>
          <w:rtl/>
          <w:lang w:val="en-US" w:eastAsia="fr-FR"/>
        </w:rPr>
        <w:t>12</w:t>
      </w:r>
      <w:r w:rsidRPr="00630BD9">
        <w:rPr>
          <w:rFonts w:ascii="Simplified Arabic" w:eastAsia="Times New Roman" w:hAnsi="Simplified Arabic" w:cs="Simplified Arabic" w:hint="cs"/>
          <w:b/>
          <w:sz w:val="24"/>
          <w:szCs w:val="24"/>
          <w:rtl/>
          <w:lang w:val="en-US" w:eastAsia="fr-FR"/>
        </w:rPr>
        <w:t>00م</w:t>
      </w:r>
      <w:r>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 xml:space="preserve">، </w:t>
      </w:r>
      <w:r w:rsidRPr="00E50618">
        <w:rPr>
          <w:rFonts w:ascii="Simplified Arabic" w:eastAsia="Times New Roman" w:hAnsi="Simplified Arabic" w:cs="Simplified Arabic"/>
          <w:b/>
          <w:sz w:val="24"/>
          <w:szCs w:val="24"/>
          <w:rtl/>
          <w:lang w:val="en-US" w:eastAsia="fr-FR"/>
        </w:rPr>
        <w:t xml:space="preserve">الشكل </w:t>
      </w:r>
      <w:r>
        <w:rPr>
          <w:rFonts w:ascii="Simplified Arabic" w:eastAsia="Times New Roman" w:hAnsi="Simplified Arabic" w:cs="Simplified Arabic" w:hint="cs"/>
          <w:b/>
          <w:sz w:val="24"/>
          <w:szCs w:val="24"/>
          <w:rtl/>
          <w:lang w:val="en-US" w:eastAsia="fr-FR"/>
        </w:rPr>
        <w:t>رقم (</w:t>
      </w:r>
      <w:r w:rsidR="00C60343">
        <w:rPr>
          <w:rFonts w:ascii="Simplified Arabic" w:eastAsia="Times New Roman" w:hAnsi="Simplified Arabic" w:cs="Simplified Arabic" w:hint="cs"/>
          <w:b/>
          <w:sz w:val="24"/>
          <w:szCs w:val="24"/>
          <w:rtl/>
          <w:lang w:val="en-US" w:eastAsia="fr-FR"/>
        </w:rPr>
        <w:t>5-</w:t>
      </w:r>
      <w:r w:rsidR="00F77B47">
        <w:rPr>
          <w:rFonts w:ascii="Simplified Arabic" w:eastAsia="Times New Roman" w:hAnsi="Simplified Arabic" w:cs="Simplified Arabic" w:hint="cs"/>
          <w:b/>
          <w:sz w:val="24"/>
          <w:szCs w:val="24"/>
          <w:rtl/>
          <w:lang w:val="en-US" w:eastAsia="fr-FR"/>
        </w:rPr>
        <w:t>5</w:t>
      </w:r>
      <w:r>
        <w:rPr>
          <w:rFonts w:ascii="Simplified Arabic" w:eastAsia="Times New Roman" w:hAnsi="Simplified Arabic" w:cs="Simplified Arabic" w:hint="cs"/>
          <w:b/>
          <w:sz w:val="24"/>
          <w:szCs w:val="24"/>
          <w:rtl/>
          <w:lang w:val="en-US" w:eastAsia="fr-FR"/>
        </w:rPr>
        <w:t>)</w:t>
      </w:r>
      <w:r w:rsidRPr="00E50618">
        <w:rPr>
          <w:rFonts w:ascii="Simplified Arabic" w:eastAsia="Times New Roman" w:hAnsi="Simplified Arabic" w:cs="Simplified Arabic"/>
          <w:b/>
          <w:sz w:val="24"/>
          <w:szCs w:val="24"/>
          <w:rtl/>
          <w:lang w:val="en-US" w:eastAsia="fr-FR"/>
        </w:rPr>
        <w:t>.</w:t>
      </w:r>
    </w:p>
    <w:p w:rsidR="006911A8" w:rsidRDefault="006911A8" w:rsidP="00FB1450">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Pr>
          <w:rStyle w:val="y2iqfc"/>
          <w:rFonts w:ascii="Simplified Arabic" w:hAnsi="Simplified Arabic" w:cs="Simplified Arabic"/>
          <w:color w:val="202124"/>
          <w:sz w:val="24"/>
          <w:szCs w:val="24"/>
          <w:rtl/>
          <w:lang w:val="en-US" w:bidi="ar"/>
        </w:rPr>
        <w:t>أظهر</w:t>
      </w:r>
      <w:r>
        <w:rPr>
          <w:rStyle w:val="y2iqfc"/>
          <w:rFonts w:ascii="Simplified Arabic" w:hAnsi="Simplified Arabic" w:cs="Simplified Arabic" w:hint="cs"/>
          <w:color w:val="202124"/>
          <w:sz w:val="24"/>
          <w:szCs w:val="24"/>
          <w:rtl/>
          <w:lang w:val="en-US" w:bidi="ar"/>
        </w:rPr>
        <w:t xml:space="preserve">ت المسافة </w:t>
      </w:r>
      <w:r w:rsidRPr="00CA51A1">
        <w:rPr>
          <w:rStyle w:val="y2iqfc"/>
          <w:rFonts w:ascii="Simplified Arabic" w:hAnsi="Simplified Arabic" w:cs="Simplified Arabic"/>
          <w:color w:val="202124"/>
          <w:sz w:val="24"/>
          <w:szCs w:val="24"/>
          <w:rtl/>
          <w:lang w:val="en-US" w:bidi="ar"/>
        </w:rPr>
        <w:t>إلى مراكز التضامن و التموين</w:t>
      </w:r>
      <w:r w:rsidRPr="00CA51A1">
        <w:rPr>
          <w:rStyle w:val="y2iqfc"/>
          <w:rFonts w:ascii="Simplified Arabic" w:hAnsi="Simplified Arabic" w:cs="Simplified Arabic"/>
          <w:sz w:val="24"/>
          <w:szCs w:val="24"/>
          <w:rtl/>
          <w:lang w:val="en-US" w:bidi="ar"/>
        </w:rPr>
        <w:t xml:space="preserve"> </w:t>
      </w:r>
      <w:r w:rsidRPr="00CA51A1">
        <w:rPr>
          <w:rStyle w:val="y2iqfc"/>
          <w:rFonts w:ascii="Simplified Arabic" w:hAnsi="Simplified Arabic" w:cs="Simplified Arabic"/>
          <w:color w:val="202124"/>
          <w:sz w:val="24"/>
          <w:szCs w:val="24"/>
          <w:rtl/>
          <w:lang w:val="en-US" w:bidi="ar"/>
        </w:rPr>
        <w:t xml:space="preserve">توزيعًا </w:t>
      </w:r>
      <w:r>
        <w:rPr>
          <w:rStyle w:val="y2iqfc"/>
          <w:rFonts w:ascii="Simplified Arabic" w:hAnsi="Simplified Arabic" w:cs="Simplified Arabic" w:hint="cs"/>
          <w:color w:val="202124"/>
          <w:sz w:val="24"/>
          <w:szCs w:val="24"/>
          <w:rtl/>
          <w:lang w:val="en-US" w:bidi="ar"/>
        </w:rPr>
        <w:t>متساويا</w:t>
      </w:r>
      <w:r w:rsidRPr="00CA51A1">
        <w:rPr>
          <w:rStyle w:val="y2iqfc"/>
          <w:rFonts w:ascii="Simplified Arabic" w:hAnsi="Simplified Arabic" w:cs="Simplified Arabic"/>
          <w:color w:val="202124"/>
          <w:sz w:val="24"/>
          <w:szCs w:val="24"/>
          <w:rtl/>
          <w:lang w:val="en-US" w:bidi="ar"/>
        </w:rPr>
        <w:t xml:space="preserve"> لمدينة بوسعادة </w:t>
      </w:r>
      <w:r>
        <w:rPr>
          <w:rFonts w:ascii="Simplified Arabic" w:hAnsi="Simplified Arabic" w:cs="Simplified Arabic" w:hint="cs"/>
          <w:color w:val="000000" w:themeColor="text1"/>
          <w:sz w:val="24"/>
          <w:szCs w:val="24"/>
          <w:rtl/>
          <w:lang w:bidi="ar-DZ"/>
        </w:rPr>
        <w:t xml:space="preserve">الخريطة </w:t>
      </w:r>
      <w:r>
        <w:rPr>
          <w:rFonts w:ascii="Simplified Arabic" w:eastAsia="Times New Roman" w:hAnsi="Simplified Arabic" w:cs="Simplified Arabic" w:hint="cs"/>
          <w:b/>
          <w:sz w:val="24"/>
          <w:szCs w:val="24"/>
          <w:rtl/>
          <w:lang w:val="en-US" w:eastAsia="fr-FR"/>
        </w:rPr>
        <w:t>(5-5)</w:t>
      </w:r>
      <w:r w:rsidRPr="00CA51A1">
        <w:rPr>
          <w:rStyle w:val="y2iqfc"/>
          <w:rFonts w:ascii="Simplified Arabic" w:hAnsi="Simplified Arabic" w:cs="Simplified Arabic"/>
          <w:color w:val="202124"/>
          <w:sz w:val="24"/>
          <w:szCs w:val="24"/>
          <w:rtl/>
          <w:lang w:val="en-US" w:bidi="ar"/>
        </w:rPr>
        <w:t xml:space="preserve">. تبين ان هناك اتجاهًا مكانيًا متزايدا للمرونة </w:t>
      </w:r>
      <w:r w:rsidR="00FB1450">
        <w:rPr>
          <w:rStyle w:val="y2iqfc"/>
          <w:rFonts w:ascii="Simplified Arabic" w:hAnsi="Simplified Arabic" w:cs="Simplified Arabic" w:hint="cs"/>
          <w:color w:val="202124"/>
          <w:sz w:val="24"/>
          <w:szCs w:val="24"/>
          <w:rtl/>
          <w:lang w:val="en-US" w:bidi="ar"/>
        </w:rPr>
        <w:t>للمناطق</w:t>
      </w:r>
      <w:r w:rsidRPr="00CA51A1">
        <w:rPr>
          <w:rStyle w:val="y2iqfc"/>
          <w:rFonts w:ascii="Simplified Arabic" w:hAnsi="Simplified Arabic" w:cs="Simplified Arabic"/>
          <w:color w:val="202124"/>
          <w:sz w:val="24"/>
          <w:szCs w:val="24"/>
          <w:rtl/>
          <w:lang w:val="en-US" w:bidi="ar"/>
        </w:rPr>
        <w:t xml:space="preserve"> المحيطة بالمدينة نحو وسطها. </w:t>
      </w:r>
    </w:p>
    <w:p w:rsidR="00F77B47" w:rsidRDefault="00F77B47" w:rsidP="007A30E8">
      <w:pPr>
        <w:pStyle w:val="carte"/>
        <w:spacing w:after="0"/>
        <w:rPr>
          <w:rFonts w:asciiTheme="majorBidi" w:hAnsiTheme="majorBidi" w:cstheme="majorBidi"/>
          <w:rtl/>
          <w:lang w:val="en-US"/>
        </w:rPr>
      </w:pPr>
      <w:bookmarkStart w:id="700" w:name="_Toc157616604"/>
      <w:bookmarkStart w:id="701" w:name="_Toc171803712"/>
      <w:r>
        <w:rPr>
          <w:rFonts w:hint="cs"/>
          <w:color w:val="000000" w:themeColor="text1"/>
          <w:rtl/>
          <w:lang w:bidi="ar-DZ"/>
        </w:rPr>
        <w:t xml:space="preserve">الخريطة </w:t>
      </w:r>
      <w:r>
        <w:rPr>
          <w:rFonts w:eastAsia="Times New Roman" w:hint="cs"/>
          <w:rtl/>
          <w:lang w:val="en-US" w:eastAsia="fr-FR"/>
        </w:rPr>
        <w:t>(5-5): نطاق التغطية بالخدمة ل</w:t>
      </w:r>
      <w:r>
        <w:rPr>
          <w:rFonts w:hint="cs"/>
          <w:color w:val="000000" w:themeColor="text1"/>
          <w:rtl/>
          <w:lang w:bidi="ar-DZ"/>
        </w:rPr>
        <w:t xml:space="preserve">معيار </w:t>
      </w:r>
      <w:r w:rsidRPr="00F77B47">
        <w:rPr>
          <w:rtl/>
          <w:lang w:val="en-US"/>
        </w:rPr>
        <w:t>التضامن والتموين</w:t>
      </w:r>
      <w:r>
        <w:rPr>
          <w:rFonts w:hint="cs"/>
          <w:rtl/>
          <w:lang w:val="en-US"/>
        </w:rPr>
        <w:t xml:space="preserve"> </w:t>
      </w:r>
      <w:r w:rsidRPr="001F04E3">
        <w:rPr>
          <w:rFonts w:asciiTheme="majorBidi" w:hAnsiTheme="majorBidi" w:cstheme="majorBidi"/>
          <w:lang w:val="en-US"/>
        </w:rPr>
        <w:t xml:space="preserve"> (</w:t>
      </w:r>
      <w:r w:rsidRPr="00F77B47">
        <w:rPr>
          <w:rFonts w:asciiTheme="majorBidi" w:hAnsiTheme="majorBidi" w:cstheme="majorBidi"/>
          <w:lang w:val="en-US"/>
        </w:rPr>
        <w:t>C5</w:t>
      </w:r>
      <w:r w:rsidRPr="001F04E3">
        <w:rPr>
          <w:rFonts w:asciiTheme="majorBidi" w:hAnsiTheme="majorBidi" w:cstheme="majorBidi"/>
          <w:lang w:val="en-US"/>
        </w:rPr>
        <w:t>)</w:t>
      </w:r>
      <w:bookmarkEnd w:id="700"/>
      <w:bookmarkEnd w:id="701"/>
    </w:p>
    <w:p w:rsidR="007A30E8" w:rsidRPr="007A30E8" w:rsidRDefault="007A30E8" w:rsidP="007A30E8">
      <w:pPr>
        <w:pStyle w:val="fegure"/>
        <w:rPr>
          <w:sz w:val="8"/>
          <w:szCs w:val="24"/>
          <w:rtl/>
          <w:lang w:val="en-US" w:bidi="ar-DZ"/>
        </w:rPr>
      </w:pPr>
      <w:bookmarkStart w:id="702" w:name="_Toc171803713"/>
      <w:r>
        <w:rPr>
          <w:rFonts w:hint="cs"/>
          <w:sz w:val="8"/>
          <w:szCs w:val="24"/>
          <w:rtl/>
          <w:lang w:val="en-US"/>
        </w:rPr>
        <w:t>المصدر: (الباحث، 2022)</w:t>
      </w:r>
      <w:bookmarkEnd w:id="702"/>
    </w:p>
    <w:p w:rsidR="00F77B47" w:rsidRDefault="00F77B47" w:rsidP="00F77B47">
      <w:pPr>
        <w:widowControl w:val="0"/>
        <w:autoSpaceDE w:val="0"/>
        <w:autoSpaceDN w:val="0"/>
        <w:bidi/>
        <w:spacing w:after="0"/>
        <w:jc w:val="center"/>
        <w:rPr>
          <w:rFonts w:asciiTheme="minorBidi" w:hAnsiTheme="minorBidi"/>
          <w:sz w:val="24"/>
          <w:szCs w:val="24"/>
          <w:lang w:val="en-US"/>
        </w:rPr>
      </w:pPr>
      <w:r>
        <w:rPr>
          <w:rFonts w:asciiTheme="minorBidi" w:hAnsiTheme="minorBidi" w:cs="Arial"/>
          <w:noProof/>
          <w:sz w:val="24"/>
          <w:szCs w:val="24"/>
          <w:rtl/>
          <w:lang w:eastAsia="fr-FR"/>
        </w:rPr>
        <w:drawing>
          <wp:inline distT="0" distB="0" distL="0" distR="0" wp14:anchorId="0BDB08FC" wp14:editId="6CF45CEC">
            <wp:extent cx="4444779" cy="5389731"/>
            <wp:effectExtent l="0" t="0" r="0" b="1905"/>
            <wp:docPr id="159" name="Imag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TC\Desktop\cumule\5.jpg"/>
                    <pic:cNvPicPr>
                      <a:picLocks noChangeAspect="1" noChangeArrowheads="1"/>
                    </pic:cNvPicPr>
                  </pic:nvPicPr>
                  <pic:blipFill rotWithShape="1">
                    <a:blip r:embed="rId244" cstate="print">
                      <a:extLst>
                        <a:ext uri="{28A0092B-C50C-407E-A947-70E740481C1C}">
                          <a14:useLocalDpi xmlns:a14="http://schemas.microsoft.com/office/drawing/2010/main" val="0"/>
                        </a:ext>
                      </a:extLst>
                    </a:blip>
                    <a:srcRect t="8385" b="683"/>
                    <a:stretch/>
                  </pic:blipFill>
                  <pic:spPr bwMode="auto">
                    <a:xfrm>
                      <a:off x="0" y="0"/>
                      <a:ext cx="4461497" cy="5410003"/>
                    </a:xfrm>
                    <a:prstGeom prst="rect">
                      <a:avLst/>
                    </a:prstGeom>
                    <a:noFill/>
                    <a:ln>
                      <a:noFill/>
                    </a:ln>
                    <a:extLst>
                      <a:ext uri="{53640926-AAD7-44D8-BBD7-CCE9431645EC}">
                        <a14:shadowObscured xmlns:a14="http://schemas.microsoft.com/office/drawing/2010/main"/>
                      </a:ext>
                    </a:extLst>
                  </pic:spPr>
                </pic:pic>
              </a:graphicData>
            </a:graphic>
          </wp:inline>
        </w:drawing>
      </w:r>
    </w:p>
    <w:p w:rsidR="00C121B0" w:rsidRPr="001E4726" w:rsidRDefault="00C121B0" w:rsidP="001D0548">
      <w:pPr>
        <w:pStyle w:val="Paragraphedeliste"/>
        <w:numPr>
          <w:ilvl w:val="1"/>
          <w:numId w:val="169"/>
        </w:numPr>
        <w:tabs>
          <w:tab w:val="right" w:pos="1275"/>
        </w:tabs>
        <w:bidi/>
        <w:spacing w:after="0"/>
        <w:ind w:left="0" w:firstLine="992"/>
        <w:jc w:val="both"/>
        <w:outlineLvl w:val="3"/>
        <w:rPr>
          <w:rFonts w:ascii="Simplified Arabic" w:hAnsi="Simplified Arabic" w:cs="Simplified Arabic"/>
          <w:b/>
          <w:bCs/>
          <w:sz w:val="24"/>
          <w:szCs w:val="24"/>
          <w:rtl/>
          <w:lang w:val="en-US"/>
        </w:rPr>
      </w:pPr>
      <w:r w:rsidRPr="001E4726">
        <w:rPr>
          <w:rFonts w:ascii="Simplified Arabic" w:hAnsi="Simplified Arabic" w:cs="Simplified Arabic" w:hint="cs"/>
          <w:b/>
          <w:bCs/>
          <w:sz w:val="24"/>
          <w:szCs w:val="24"/>
          <w:rtl/>
          <w:lang w:val="en-US"/>
        </w:rPr>
        <w:t>خريطة</w:t>
      </w:r>
      <w:r w:rsidRPr="001E4726">
        <w:rPr>
          <w:rFonts w:ascii="Simplified Arabic" w:hAnsi="Simplified Arabic" w:cs="Simplified Arabic"/>
          <w:b/>
          <w:bCs/>
          <w:sz w:val="24"/>
          <w:szCs w:val="24"/>
          <w:rtl/>
          <w:lang w:val="en-US"/>
        </w:rPr>
        <w:t xml:space="preserve"> </w:t>
      </w:r>
      <w:r w:rsidRPr="001E4726">
        <w:rPr>
          <w:rFonts w:ascii="Simplified Arabic" w:hAnsi="Simplified Arabic" w:cs="Simplified Arabic" w:hint="cs"/>
          <w:b/>
          <w:bCs/>
          <w:sz w:val="24"/>
          <w:szCs w:val="24"/>
          <w:rtl/>
          <w:lang w:val="en-US"/>
        </w:rPr>
        <w:t>معيار</w:t>
      </w:r>
      <w:r w:rsidRPr="001E4726">
        <w:rPr>
          <w:rFonts w:ascii="Simplified Arabic" w:hAnsi="Simplified Arabic" w:cs="Simplified Arabic"/>
          <w:b/>
          <w:bCs/>
          <w:sz w:val="24"/>
          <w:szCs w:val="24"/>
          <w:rtl/>
          <w:lang w:val="en-US"/>
        </w:rPr>
        <w:t xml:space="preserve"> كثافة ال</w:t>
      </w:r>
      <w:r w:rsidRPr="001E4726">
        <w:rPr>
          <w:rFonts w:ascii="Simplified Arabic" w:hAnsi="Simplified Arabic" w:cs="Simplified Arabic" w:hint="cs"/>
          <w:b/>
          <w:bCs/>
          <w:sz w:val="24"/>
          <w:szCs w:val="24"/>
          <w:rtl/>
          <w:lang w:val="en-US"/>
        </w:rPr>
        <w:t>بناء</w:t>
      </w:r>
      <w:r w:rsidRPr="001E4726">
        <w:rPr>
          <w:rFonts w:ascii="Simplified Arabic" w:hAnsi="Simplified Arabic" w:cs="Simplified Arabic"/>
          <w:b/>
          <w:bCs/>
          <w:sz w:val="24"/>
          <w:szCs w:val="24"/>
          <w:rtl/>
          <w:lang w:val="en-US"/>
        </w:rPr>
        <w:t xml:space="preserve"> </w:t>
      </w:r>
      <w:r w:rsidRPr="001E4726">
        <w:rPr>
          <w:rFonts w:asciiTheme="majorBidi" w:hAnsiTheme="majorBidi" w:cstheme="majorBidi"/>
          <w:b/>
          <w:bCs/>
          <w:sz w:val="24"/>
          <w:szCs w:val="24"/>
          <w:lang w:val="en-US"/>
        </w:rPr>
        <w:t>C6</w:t>
      </w:r>
      <w:r w:rsidRPr="001E4726">
        <w:rPr>
          <w:rFonts w:ascii="Simplified Arabic" w:hAnsi="Simplified Arabic" w:cs="Simplified Arabic"/>
          <w:b/>
          <w:bCs/>
          <w:sz w:val="24"/>
          <w:szCs w:val="24"/>
          <w:rtl/>
          <w:lang w:val="en-US"/>
        </w:rPr>
        <w:t>:</w:t>
      </w:r>
    </w:p>
    <w:p w:rsidR="00C121B0" w:rsidRDefault="00CA6E28" w:rsidP="003337FD">
      <w:pPr>
        <w:widowControl w:val="0"/>
        <w:autoSpaceDE w:val="0"/>
        <w:autoSpaceDN w:val="0"/>
        <w:bidi/>
        <w:spacing w:after="0"/>
        <w:ind w:firstLine="282"/>
        <w:jc w:val="both"/>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b/>
          <w:sz w:val="24"/>
          <w:szCs w:val="24"/>
          <w:rtl/>
          <w:lang w:val="en-US" w:eastAsia="fr-FR"/>
        </w:rPr>
        <w:t xml:space="preserve">تشير </w:t>
      </w:r>
      <w:r w:rsidR="00C121B0" w:rsidRPr="007F5486">
        <w:rPr>
          <w:rFonts w:ascii="Simplified Arabic" w:eastAsia="Times New Roman" w:hAnsi="Simplified Arabic" w:cs="Simplified Arabic"/>
          <w:b/>
          <w:sz w:val="24"/>
          <w:szCs w:val="24"/>
          <w:rtl/>
          <w:lang w:val="en-US" w:eastAsia="fr-FR"/>
        </w:rPr>
        <w:t xml:space="preserve">كثافة </w:t>
      </w:r>
      <w:r>
        <w:rPr>
          <w:rFonts w:ascii="Simplified Arabic" w:eastAsia="Times New Roman" w:hAnsi="Simplified Arabic" w:cs="Simplified Arabic" w:hint="cs"/>
          <w:b/>
          <w:sz w:val="24"/>
          <w:szCs w:val="24"/>
          <w:rtl/>
          <w:lang w:val="en-US" w:eastAsia="fr-FR"/>
        </w:rPr>
        <w:t>البناء</w:t>
      </w:r>
      <w:r w:rsidR="00C121B0" w:rsidRPr="007F5486">
        <w:rPr>
          <w:rFonts w:ascii="Simplified Arabic" w:eastAsia="Times New Roman" w:hAnsi="Simplified Arabic" w:cs="Simplified Arabic"/>
          <w:b/>
          <w:sz w:val="24"/>
          <w:szCs w:val="24"/>
          <w:rtl/>
          <w:lang w:val="en-US" w:eastAsia="fr-FR"/>
        </w:rPr>
        <w:t xml:space="preserve"> إلى عدد السكنات لكل وحدة مساحة (م</w:t>
      </w:r>
      <w:r w:rsidR="00775821">
        <w:rPr>
          <w:rFonts w:ascii="Simplified Arabic" w:eastAsia="Times New Roman" w:hAnsi="Simplified Arabic" w:cs="Simplified Arabic" w:hint="cs"/>
          <w:b/>
          <w:sz w:val="24"/>
          <w:szCs w:val="24"/>
          <w:rtl/>
          <w:lang w:val="en-US" w:eastAsia="fr-FR"/>
        </w:rPr>
        <w:t>سكن</w:t>
      </w:r>
      <w:r w:rsidR="00C121B0" w:rsidRPr="007F5486">
        <w:rPr>
          <w:rFonts w:ascii="Simplified Arabic" w:eastAsia="Times New Roman" w:hAnsi="Simplified Arabic" w:cs="Simplified Arabic"/>
          <w:b/>
          <w:sz w:val="24"/>
          <w:szCs w:val="24"/>
          <w:rtl/>
          <w:lang w:val="en-US" w:eastAsia="fr-FR"/>
        </w:rPr>
        <w:t>/</w:t>
      </w:r>
      <w:r w:rsidR="00775821">
        <w:rPr>
          <w:rFonts w:ascii="Simplified Arabic" w:eastAsia="Times New Roman" w:hAnsi="Simplified Arabic" w:cs="Simplified Arabic" w:hint="cs"/>
          <w:b/>
          <w:sz w:val="24"/>
          <w:szCs w:val="24"/>
          <w:rtl/>
          <w:lang w:val="en-US" w:eastAsia="fr-FR"/>
        </w:rPr>
        <w:t>ال</w:t>
      </w:r>
      <w:r w:rsidR="00C121B0" w:rsidRPr="007F5486">
        <w:rPr>
          <w:rFonts w:ascii="Simplified Arabic" w:eastAsia="Times New Roman" w:hAnsi="Simplified Arabic" w:cs="Simplified Arabic"/>
          <w:b/>
          <w:sz w:val="24"/>
          <w:szCs w:val="24"/>
          <w:rtl/>
          <w:lang w:val="en-US" w:eastAsia="fr-FR"/>
        </w:rPr>
        <w:t>هك</w:t>
      </w:r>
      <w:r w:rsidR="00775821">
        <w:rPr>
          <w:rFonts w:ascii="Simplified Arabic" w:eastAsia="Times New Roman" w:hAnsi="Simplified Arabic" w:cs="Simplified Arabic" w:hint="cs"/>
          <w:b/>
          <w:sz w:val="24"/>
          <w:szCs w:val="24"/>
          <w:rtl/>
          <w:lang w:val="en-US" w:eastAsia="fr-FR"/>
        </w:rPr>
        <w:t>تار</w:t>
      </w:r>
      <w:r w:rsidR="00C121B0" w:rsidRPr="007F5486">
        <w:rPr>
          <w:rFonts w:ascii="Simplified Arabic" w:eastAsia="Times New Roman" w:hAnsi="Simplified Arabic" w:cs="Simplified Arabic"/>
          <w:b/>
          <w:sz w:val="24"/>
          <w:szCs w:val="24"/>
          <w:rtl/>
          <w:lang w:val="en-US" w:eastAsia="fr-FR"/>
        </w:rPr>
        <w:t xml:space="preserve">)، يستخدم كمؤشر </w:t>
      </w:r>
      <w:r>
        <w:rPr>
          <w:rFonts w:ascii="Simplified Arabic" w:eastAsia="Times New Roman" w:hAnsi="Simplified Arabic" w:cs="Simplified Arabic" w:hint="cs"/>
          <w:b/>
          <w:sz w:val="24"/>
          <w:szCs w:val="24"/>
          <w:rtl/>
          <w:lang w:val="en-US" w:eastAsia="fr-FR"/>
        </w:rPr>
        <w:t xml:space="preserve">لقياس مدى التحكم في </w:t>
      </w:r>
      <w:r w:rsidR="003337FD">
        <w:rPr>
          <w:rFonts w:ascii="Simplified Arabic" w:hAnsi="Simplified Arabic" w:cs="Simplified Arabic" w:hint="cs"/>
          <w:sz w:val="24"/>
          <w:szCs w:val="24"/>
          <w:rtl/>
        </w:rPr>
        <w:t>استعمال</w:t>
      </w:r>
      <w:r>
        <w:rPr>
          <w:rFonts w:ascii="Simplified Arabic" w:eastAsia="Times New Roman" w:hAnsi="Simplified Arabic" w:cs="Simplified Arabic" w:hint="cs"/>
          <w:b/>
          <w:sz w:val="24"/>
          <w:szCs w:val="24"/>
          <w:rtl/>
          <w:lang w:val="en-US" w:eastAsia="fr-FR"/>
        </w:rPr>
        <w:t xml:space="preserve"> الارض بالأحياء السكنية</w:t>
      </w:r>
      <w:r w:rsidR="00C121B0" w:rsidRPr="007F5486">
        <w:rPr>
          <w:rFonts w:ascii="Simplified Arabic" w:eastAsia="Times New Roman" w:hAnsi="Simplified Arabic" w:cs="Simplified Arabic"/>
          <w:b/>
          <w:sz w:val="24"/>
          <w:szCs w:val="24"/>
          <w:rtl/>
          <w:lang w:val="en-US" w:eastAsia="fr-FR"/>
        </w:rPr>
        <w:t xml:space="preserve">. مع ارتفاع هذا المؤشر، ينخفض </w:t>
      </w:r>
      <w:r w:rsidR="00C121B0" w:rsidRPr="007F5486">
        <w:rPr>
          <w:rFonts w:ascii="Times New Roman" w:eastAsia="Times New Roman" w:hAnsi="Times New Roman" w:cs="Times New Roman" w:hint="cs"/>
          <w:b/>
          <w:sz w:val="24"/>
          <w:szCs w:val="24"/>
          <w:rtl/>
          <w:lang w:val="en-US" w:eastAsia="fr-FR"/>
        </w:rPr>
        <w:t>​​</w:t>
      </w:r>
      <w:r w:rsidR="00C121B0" w:rsidRPr="007F5486">
        <w:rPr>
          <w:rFonts w:ascii="Simplified Arabic" w:eastAsia="Times New Roman" w:hAnsi="Simplified Arabic" w:cs="Simplified Arabic"/>
          <w:b/>
          <w:sz w:val="24"/>
          <w:szCs w:val="24"/>
          <w:rtl/>
          <w:lang w:val="en-US" w:eastAsia="fr-FR"/>
        </w:rPr>
        <w:t xml:space="preserve">معدل الإيواء والخدمة والتخفيف. لذلك، فإنه يأخذ في الاعتبار الكثافة السكنية لتقييم مستويات المرونة. </w:t>
      </w:r>
      <w:r w:rsidR="00C121B0">
        <w:rPr>
          <w:rFonts w:ascii="Simplified Arabic" w:eastAsia="Times New Roman" w:hAnsi="Simplified Arabic" w:cs="Simplified Arabic" w:hint="cs"/>
          <w:b/>
          <w:sz w:val="24"/>
          <w:szCs w:val="24"/>
          <w:rtl/>
          <w:lang w:val="en-US" w:eastAsia="fr-FR"/>
        </w:rPr>
        <w:t>تم انشاء</w:t>
      </w:r>
      <w:r w:rsidR="00C121B0" w:rsidRPr="00A67F50">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b/>
          <w:sz w:val="24"/>
          <w:szCs w:val="24"/>
          <w:rtl/>
          <w:lang w:val="en-US" w:eastAsia="fr-FR"/>
        </w:rPr>
        <w:t>خريطة الكثافة السكنية على منصة</w:t>
      </w:r>
      <w:r w:rsidR="00C121B0" w:rsidRPr="004011D3">
        <w:rPr>
          <w:rFonts w:asciiTheme="minorBidi" w:eastAsia="Times New Roman" w:hAnsiTheme="minorBidi"/>
          <w:b/>
          <w:sz w:val="24"/>
          <w:szCs w:val="24"/>
          <w:rtl/>
          <w:lang w:val="en-US" w:eastAsia="fr-FR"/>
        </w:rPr>
        <w:t xml:space="preserve"> </w:t>
      </w:r>
      <w:r w:rsidR="00C121B0" w:rsidRPr="000D6B35">
        <w:rPr>
          <w:rFonts w:asciiTheme="majorBidi" w:hAnsiTheme="majorBidi" w:cstheme="majorBidi"/>
          <w:sz w:val="24"/>
          <w:szCs w:val="24"/>
          <w:lang w:val="en-US"/>
        </w:rPr>
        <w:t>ArcGIS</w:t>
      </w:r>
      <w:r w:rsidR="00C121B0" w:rsidRPr="007F5486">
        <w:rPr>
          <w:rFonts w:ascii="Simplified Arabic" w:eastAsia="Times New Roman" w:hAnsi="Simplified Arabic" w:cs="Simplified Arabic" w:hint="cs"/>
          <w:b/>
          <w:sz w:val="24"/>
          <w:szCs w:val="24"/>
          <w:rtl/>
          <w:lang w:val="en-US" w:eastAsia="fr-FR"/>
        </w:rPr>
        <w:t>،</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حدد</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الخبراء المجالات الاتية</w:t>
      </w:r>
      <w:r w:rsidR="00C121B0" w:rsidRPr="007F5486">
        <w:rPr>
          <w:rFonts w:ascii="Simplified Arabic" w:eastAsia="Times New Roman" w:hAnsi="Simplified Arabic" w:cs="Simplified Arabic"/>
          <w:b/>
          <w:sz w:val="24"/>
          <w:szCs w:val="24"/>
          <w:rtl/>
          <w:lang w:val="en-US" w:eastAsia="fr-FR"/>
        </w:rPr>
        <w:t>: (</w:t>
      </w:r>
      <w:r w:rsidR="00C121B0" w:rsidRPr="007F5486">
        <w:rPr>
          <w:rFonts w:ascii="Simplified Arabic" w:eastAsia="Times New Roman" w:hAnsi="Simplified Arabic" w:cs="Simplified Arabic" w:hint="cs"/>
          <w:b/>
          <w:sz w:val="24"/>
          <w:szCs w:val="24"/>
          <w:rtl/>
          <w:lang w:val="en-US" w:eastAsia="fr-FR"/>
        </w:rPr>
        <w:t>أقل</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من</w:t>
      </w:r>
      <w:r w:rsidR="00C121B0" w:rsidRPr="007F5486">
        <w:rPr>
          <w:rFonts w:ascii="Simplified Arabic" w:eastAsia="Times New Roman" w:hAnsi="Simplified Arabic" w:cs="Simplified Arabic"/>
          <w:b/>
          <w:sz w:val="24"/>
          <w:szCs w:val="24"/>
          <w:rtl/>
          <w:lang w:val="en-US" w:eastAsia="fr-FR"/>
        </w:rPr>
        <w:t xml:space="preserve"> </w:t>
      </w:r>
      <w:r w:rsidR="00C121B0" w:rsidRPr="007911A2">
        <w:rPr>
          <w:rFonts w:ascii="Simplified Arabic" w:eastAsia="Times New Roman" w:hAnsi="Simplified Arabic" w:cs="Simplified Arabic"/>
          <w:bCs/>
          <w:sz w:val="24"/>
          <w:szCs w:val="24"/>
          <w:lang w:val="en-US" w:eastAsia="fr-FR"/>
        </w:rPr>
        <w:t>15</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م/هك</w:t>
      </w:r>
      <w:r w:rsidR="00C121B0" w:rsidRPr="007F5486">
        <w:rPr>
          <w:rFonts w:ascii="Simplified Arabic" w:eastAsia="Times New Roman" w:hAnsi="Simplified Arabic" w:cs="Simplified Arabic"/>
          <w:b/>
          <w:sz w:val="24"/>
          <w:szCs w:val="24"/>
          <w:rtl/>
          <w:lang w:val="en-US" w:eastAsia="fr-FR"/>
        </w:rPr>
        <w:t>)</w:t>
      </w:r>
      <w:r w:rsidR="00C121B0" w:rsidRPr="007F5486">
        <w:rPr>
          <w:rFonts w:ascii="Simplified Arabic" w:eastAsia="Times New Roman" w:hAnsi="Simplified Arabic" w:cs="Simplified Arabic" w:hint="cs"/>
          <w:b/>
          <w:sz w:val="24"/>
          <w:szCs w:val="24"/>
          <w:rtl/>
          <w:lang w:val="en-US" w:eastAsia="fr-FR"/>
        </w:rPr>
        <w:t>،</w:t>
      </w:r>
      <w:r w:rsidR="00C121B0" w:rsidRPr="007F5486">
        <w:rPr>
          <w:rFonts w:ascii="Simplified Arabic" w:eastAsia="Times New Roman" w:hAnsi="Simplified Arabic" w:cs="Simplified Arabic"/>
          <w:b/>
          <w:sz w:val="24"/>
          <w:szCs w:val="24"/>
          <w:rtl/>
          <w:lang w:val="en-US" w:eastAsia="fr-FR"/>
        </w:rPr>
        <w:t xml:space="preserve"> (</w:t>
      </w:r>
      <w:r w:rsidR="00C121B0" w:rsidRPr="007911A2">
        <w:rPr>
          <w:rFonts w:ascii="Simplified Arabic" w:eastAsia="Times New Roman" w:hAnsi="Simplified Arabic" w:cs="Simplified Arabic"/>
          <w:bCs/>
          <w:sz w:val="24"/>
          <w:szCs w:val="24"/>
          <w:lang w:val="en-US" w:eastAsia="fr-FR"/>
        </w:rPr>
        <w:t>15</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إلى</w:t>
      </w:r>
      <w:r w:rsidR="00C121B0" w:rsidRPr="007F5486">
        <w:rPr>
          <w:rFonts w:ascii="Simplified Arabic" w:eastAsia="Times New Roman" w:hAnsi="Simplified Arabic" w:cs="Simplified Arabic"/>
          <w:b/>
          <w:sz w:val="24"/>
          <w:szCs w:val="24"/>
          <w:rtl/>
          <w:lang w:val="en-US" w:eastAsia="fr-FR"/>
        </w:rPr>
        <w:t xml:space="preserve"> </w:t>
      </w:r>
      <w:r w:rsidR="00C121B0" w:rsidRPr="007911A2">
        <w:rPr>
          <w:rFonts w:ascii="Simplified Arabic" w:eastAsia="Times New Roman" w:hAnsi="Simplified Arabic" w:cs="Simplified Arabic"/>
          <w:bCs/>
          <w:sz w:val="24"/>
          <w:szCs w:val="24"/>
          <w:lang w:val="en-US" w:eastAsia="fr-FR"/>
        </w:rPr>
        <w:t>30</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م/هك</w:t>
      </w:r>
      <w:r w:rsidR="00C121B0" w:rsidRPr="007F5486">
        <w:rPr>
          <w:rFonts w:ascii="Simplified Arabic" w:eastAsia="Times New Roman" w:hAnsi="Simplified Arabic" w:cs="Simplified Arabic"/>
          <w:b/>
          <w:sz w:val="24"/>
          <w:szCs w:val="24"/>
          <w:rtl/>
          <w:lang w:val="en-US" w:eastAsia="fr-FR"/>
        </w:rPr>
        <w:t>)</w:t>
      </w:r>
      <w:r w:rsidR="00C121B0" w:rsidRPr="007F5486">
        <w:rPr>
          <w:rFonts w:ascii="Simplified Arabic" w:eastAsia="Times New Roman" w:hAnsi="Simplified Arabic" w:cs="Simplified Arabic" w:hint="cs"/>
          <w:b/>
          <w:sz w:val="24"/>
          <w:szCs w:val="24"/>
          <w:rtl/>
          <w:lang w:val="en-US" w:eastAsia="fr-FR"/>
        </w:rPr>
        <w:t>،</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أكثر</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من</w:t>
      </w:r>
      <w:r w:rsidR="00C121B0" w:rsidRPr="007F5486">
        <w:rPr>
          <w:rFonts w:ascii="Simplified Arabic" w:eastAsia="Times New Roman" w:hAnsi="Simplified Arabic" w:cs="Simplified Arabic"/>
          <w:b/>
          <w:sz w:val="24"/>
          <w:szCs w:val="24"/>
          <w:rtl/>
          <w:lang w:val="en-US" w:eastAsia="fr-FR"/>
        </w:rPr>
        <w:t xml:space="preserve"> </w:t>
      </w:r>
      <w:r w:rsidR="00B9551B" w:rsidRPr="00B9551B">
        <w:rPr>
          <w:rFonts w:ascii="Simplified Arabic" w:eastAsia="Times New Roman" w:hAnsi="Simplified Arabic" w:cs="Simplified Arabic" w:hint="cs"/>
          <w:b/>
          <w:sz w:val="24"/>
          <w:szCs w:val="24"/>
          <w:rtl/>
          <w:lang w:val="en-US" w:eastAsia="fr-FR"/>
        </w:rPr>
        <w:t>30</w:t>
      </w:r>
      <w:r w:rsidR="00C121B0" w:rsidRPr="007F5486">
        <w:rPr>
          <w:rFonts w:ascii="Simplified Arabic" w:eastAsia="Times New Roman" w:hAnsi="Simplified Arabic" w:cs="Simplified Arabic"/>
          <w:b/>
          <w:sz w:val="24"/>
          <w:szCs w:val="24"/>
          <w:rtl/>
          <w:lang w:val="en-US" w:eastAsia="fr-FR"/>
        </w:rPr>
        <w:t xml:space="preserve"> </w:t>
      </w:r>
      <w:r w:rsidR="00C121B0" w:rsidRPr="007F5486">
        <w:rPr>
          <w:rFonts w:ascii="Simplified Arabic" w:eastAsia="Times New Roman" w:hAnsi="Simplified Arabic" w:cs="Simplified Arabic" w:hint="cs"/>
          <w:b/>
          <w:sz w:val="24"/>
          <w:szCs w:val="24"/>
          <w:rtl/>
          <w:lang w:val="en-US" w:eastAsia="fr-FR"/>
        </w:rPr>
        <w:t>م/هك</w:t>
      </w:r>
      <w:r w:rsidR="00C121B0" w:rsidRPr="007F5486">
        <w:rPr>
          <w:rFonts w:ascii="Simplified Arabic" w:eastAsia="Times New Roman" w:hAnsi="Simplified Arabic" w:cs="Simplified Arabic"/>
          <w:b/>
          <w:sz w:val="24"/>
          <w:szCs w:val="24"/>
          <w:rtl/>
          <w:lang w:val="en-US" w:eastAsia="fr-FR"/>
        </w:rPr>
        <w:t>)</w:t>
      </w:r>
      <w:r w:rsidR="00C121B0" w:rsidRPr="007F5486">
        <w:rPr>
          <w:rFonts w:ascii="Simplified Arabic" w:eastAsia="Times New Roman" w:hAnsi="Simplified Arabic" w:cs="Simplified Arabic" w:hint="cs"/>
          <w:b/>
          <w:sz w:val="24"/>
          <w:szCs w:val="24"/>
          <w:rtl/>
          <w:lang w:val="en-US" w:eastAsia="fr-FR"/>
        </w:rPr>
        <w:t xml:space="preserve">، </w:t>
      </w:r>
      <w:r w:rsidR="00C121B0" w:rsidRPr="007F5486">
        <w:rPr>
          <w:rFonts w:ascii="Simplified Arabic" w:eastAsia="Times New Roman" w:hAnsi="Simplified Arabic" w:cs="Simplified Arabic"/>
          <w:b/>
          <w:sz w:val="24"/>
          <w:szCs w:val="24"/>
          <w:rtl/>
          <w:lang w:val="en-US" w:eastAsia="fr-FR"/>
        </w:rPr>
        <w:t xml:space="preserve">الشكل </w:t>
      </w:r>
      <w:r w:rsidR="00C121B0" w:rsidRPr="007F5486">
        <w:rPr>
          <w:rFonts w:ascii="Simplified Arabic" w:eastAsia="Times New Roman" w:hAnsi="Simplified Arabic" w:cs="Simplified Arabic" w:hint="cs"/>
          <w:b/>
          <w:sz w:val="24"/>
          <w:szCs w:val="24"/>
          <w:rtl/>
          <w:lang w:val="en-US" w:eastAsia="fr-FR"/>
        </w:rPr>
        <w:t>رقم (</w:t>
      </w:r>
      <w:r w:rsidR="00C60343">
        <w:rPr>
          <w:rFonts w:ascii="Simplified Arabic" w:eastAsia="Times New Roman" w:hAnsi="Simplified Arabic" w:cs="Simplified Arabic" w:hint="cs"/>
          <w:b/>
          <w:sz w:val="24"/>
          <w:szCs w:val="24"/>
          <w:rtl/>
          <w:lang w:val="en-US" w:eastAsia="fr-FR"/>
        </w:rPr>
        <w:t>5-</w:t>
      </w:r>
      <w:r w:rsidR="00F77B47">
        <w:rPr>
          <w:rFonts w:ascii="Simplified Arabic" w:eastAsia="Times New Roman" w:hAnsi="Simplified Arabic" w:cs="Simplified Arabic" w:hint="cs"/>
          <w:b/>
          <w:sz w:val="24"/>
          <w:szCs w:val="24"/>
          <w:rtl/>
          <w:lang w:val="en-US" w:eastAsia="fr-FR"/>
        </w:rPr>
        <w:t>6</w:t>
      </w:r>
      <w:r w:rsidR="00C121B0" w:rsidRPr="007F5486">
        <w:rPr>
          <w:rFonts w:ascii="Simplified Arabic" w:eastAsia="Times New Roman" w:hAnsi="Simplified Arabic" w:cs="Simplified Arabic" w:hint="cs"/>
          <w:b/>
          <w:sz w:val="24"/>
          <w:szCs w:val="24"/>
          <w:rtl/>
          <w:lang w:val="en-US" w:eastAsia="fr-FR"/>
        </w:rPr>
        <w:t>)</w:t>
      </w:r>
      <w:r w:rsidR="00C121B0" w:rsidRPr="007F5486">
        <w:rPr>
          <w:rFonts w:ascii="Simplified Arabic" w:eastAsia="Times New Roman" w:hAnsi="Simplified Arabic" w:cs="Simplified Arabic"/>
          <w:b/>
          <w:sz w:val="24"/>
          <w:szCs w:val="24"/>
          <w:rtl/>
          <w:lang w:val="en-US" w:eastAsia="fr-FR"/>
        </w:rPr>
        <w:t>.</w:t>
      </w:r>
    </w:p>
    <w:p w:rsidR="006911A8" w:rsidRDefault="006911A8" w:rsidP="003708D0">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sidRPr="00CA51A1">
        <w:rPr>
          <w:rStyle w:val="y2iqfc"/>
          <w:rFonts w:ascii="Simplified Arabic" w:hAnsi="Simplified Arabic" w:cs="Simplified Arabic"/>
          <w:color w:val="202124"/>
          <w:sz w:val="24"/>
          <w:szCs w:val="24"/>
          <w:rtl/>
          <w:lang w:val="en-US" w:bidi="ar"/>
        </w:rPr>
        <w:t xml:space="preserve">أظهرت </w:t>
      </w:r>
      <w:r w:rsidRPr="00CA51A1">
        <w:rPr>
          <w:rStyle w:val="y2iqfc"/>
          <w:rFonts w:ascii="Simplified Arabic" w:hAnsi="Simplified Arabic" w:cs="Simplified Arabic"/>
          <w:color w:val="202124"/>
          <w:sz w:val="24"/>
          <w:szCs w:val="24"/>
          <w:rtl/>
          <w:lang w:bidi="ar"/>
        </w:rPr>
        <w:t xml:space="preserve">خريطة </w:t>
      </w:r>
      <w:r w:rsidRPr="00CA51A1">
        <w:rPr>
          <w:rStyle w:val="y2iqfc"/>
          <w:rFonts w:ascii="Simplified Arabic" w:hAnsi="Simplified Arabic" w:cs="Simplified Arabic"/>
          <w:color w:val="202124"/>
          <w:sz w:val="24"/>
          <w:szCs w:val="24"/>
          <w:rtl/>
          <w:lang w:val="en-US" w:bidi="ar"/>
        </w:rPr>
        <w:t xml:space="preserve">التوزيع المكاني لكثافة البناء بمدينة بوسعادة </w:t>
      </w:r>
      <w:r>
        <w:rPr>
          <w:rFonts w:ascii="Simplified Arabic" w:hAnsi="Simplified Arabic" w:cs="Simplified Arabic" w:hint="cs"/>
          <w:color w:val="000000" w:themeColor="text1"/>
          <w:sz w:val="24"/>
          <w:szCs w:val="24"/>
          <w:rtl/>
          <w:lang w:bidi="ar-DZ"/>
        </w:rPr>
        <w:t xml:space="preserve">الخريطة </w:t>
      </w:r>
      <w:r>
        <w:rPr>
          <w:rFonts w:ascii="Simplified Arabic" w:eastAsia="Times New Roman" w:hAnsi="Simplified Arabic" w:cs="Simplified Arabic" w:hint="cs"/>
          <w:b/>
          <w:sz w:val="24"/>
          <w:szCs w:val="24"/>
          <w:rtl/>
          <w:lang w:val="en-US" w:eastAsia="fr-FR"/>
        </w:rPr>
        <w:t>(5-6)</w:t>
      </w:r>
      <w:r w:rsidRPr="00CA51A1">
        <w:rPr>
          <w:rStyle w:val="y2iqfc"/>
          <w:rFonts w:ascii="Simplified Arabic" w:hAnsi="Simplified Arabic" w:cs="Simplified Arabic"/>
          <w:color w:val="202124"/>
          <w:sz w:val="24"/>
          <w:szCs w:val="24"/>
          <w:rtl/>
          <w:lang w:val="en-US" w:bidi="ar"/>
        </w:rPr>
        <w:t xml:space="preserve">، ان هناك </w:t>
      </w:r>
      <w:r w:rsidRPr="00C74D0D">
        <w:rPr>
          <w:rFonts w:ascii="Simplified Arabic" w:hAnsi="Simplified Arabic" w:cs="Simplified Arabic" w:hint="cs"/>
          <w:color w:val="000000" w:themeColor="text1"/>
          <w:sz w:val="24"/>
          <w:szCs w:val="24"/>
          <w:rtl/>
          <w:lang w:bidi="ar-DZ"/>
        </w:rPr>
        <w:t>توزيع</w:t>
      </w:r>
      <w:r w:rsidRPr="00C74D0D">
        <w:rPr>
          <w:rFonts w:ascii="Simplified Arabic" w:hAnsi="Simplified Arabic" w:cs="Simplified Arabic"/>
          <w:color w:val="000000" w:themeColor="text1"/>
          <w:sz w:val="24"/>
          <w:szCs w:val="24"/>
          <w:rtl/>
          <w:lang w:bidi="ar-DZ"/>
        </w:rPr>
        <w:t xml:space="preserve"> </w:t>
      </w:r>
      <w:r w:rsidRPr="00C74D0D">
        <w:rPr>
          <w:rFonts w:ascii="Simplified Arabic" w:hAnsi="Simplified Arabic" w:cs="Simplified Arabic" w:hint="cs"/>
          <w:color w:val="000000" w:themeColor="text1"/>
          <w:sz w:val="24"/>
          <w:szCs w:val="24"/>
          <w:rtl/>
          <w:lang w:bidi="ar-DZ"/>
        </w:rPr>
        <w:t>مختلف</w:t>
      </w:r>
      <w:r w:rsidRPr="00C74D0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لكثافة البناء و</w:t>
      </w:r>
      <w:r w:rsidRPr="00C74D0D">
        <w:rPr>
          <w:rFonts w:ascii="Simplified Arabic" w:hAnsi="Simplified Arabic" w:cs="Simplified Arabic" w:hint="cs"/>
          <w:color w:val="000000" w:themeColor="text1"/>
          <w:sz w:val="24"/>
          <w:szCs w:val="24"/>
          <w:rtl/>
          <w:lang w:bidi="ar-DZ"/>
        </w:rPr>
        <w:t>لعدد</w:t>
      </w:r>
      <w:r w:rsidRPr="00C74D0D">
        <w:rPr>
          <w:rFonts w:ascii="Simplified Arabic" w:hAnsi="Simplified Arabic" w:cs="Simplified Arabic"/>
          <w:color w:val="000000" w:themeColor="text1"/>
          <w:sz w:val="24"/>
          <w:szCs w:val="24"/>
          <w:rtl/>
          <w:lang w:bidi="ar-DZ"/>
        </w:rPr>
        <w:t xml:space="preserve"> </w:t>
      </w:r>
      <w:r w:rsidRPr="00C74D0D">
        <w:rPr>
          <w:rFonts w:ascii="Simplified Arabic" w:hAnsi="Simplified Arabic" w:cs="Simplified Arabic" w:hint="cs"/>
          <w:color w:val="000000" w:themeColor="text1"/>
          <w:sz w:val="24"/>
          <w:szCs w:val="24"/>
          <w:rtl/>
          <w:lang w:bidi="ar-DZ"/>
        </w:rPr>
        <w:t>الطوابق</w:t>
      </w:r>
      <w:r w:rsidR="007D2D9A">
        <w:rPr>
          <w:rFonts w:ascii="Simplified Arabic" w:hAnsi="Simplified Arabic" w:cs="Simplified Arabic" w:hint="cs"/>
          <w:color w:val="000000" w:themeColor="text1"/>
          <w:sz w:val="24"/>
          <w:szCs w:val="24"/>
          <w:rtl/>
          <w:lang w:bidi="ar-DZ"/>
        </w:rPr>
        <w:t>.</w:t>
      </w:r>
      <w:r>
        <w:rPr>
          <w:rStyle w:val="y2iqfc"/>
          <w:rFonts w:ascii="Simplified Arabic" w:hAnsi="Simplified Arabic" w:cs="Simplified Arabic" w:hint="cs"/>
          <w:color w:val="202124"/>
          <w:sz w:val="24"/>
          <w:szCs w:val="24"/>
          <w:rtl/>
          <w:lang w:val="en-US" w:bidi="ar"/>
        </w:rPr>
        <w:t xml:space="preserve"> </w:t>
      </w:r>
      <w:r w:rsidRPr="00CA51A1">
        <w:rPr>
          <w:rStyle w:val="y2iqfc"/>
          <w:rFonts w:ascii="Simplified Arabic" w:hAnsi="Simplified Arabic" w:cs="Simplified Arabic"/>
          <w:color w:val="202124"/>
          <w:sz w:val="24"/>
          <w:szCs w:val="24"/>
          <w:rtl/>
          <w:lang w:val="en-US" w:bidi="ar"/>
        </w:rPr>
        <w:t xml:space="preserve">بالتالي، تباين </w:t>
      </w:r>
      <w:r>
        <w:rPr>
          <w:rStyle w:val="y2iqfc"/>
          <w:rFonts w:ascii="Simplified Arabic" w:hAnsi="Simplified Arabic" w:cs="Simplified Arabic" w:hint="cs"/>
          <w:color w:val="202124"/>
          <w:sz w:val="24"/>
          <w:szCs w:val="24"/>
          <w:rtl/>
          <w:lang w:val="en-US" w:bidi="ar"/>
        </w:rPr>
        <w:t>مستوى</w:t>
      </w:r>
      <w:r w:rsidRPr="00CA51A1">
        <w:rPr>
          <w:rStyle w:val="y2iqfc"/>
          <w:rFonts w:ascii="Simplified Arabic" w:hAnsi="Simplified Arabic" w:cs="Simplified Arabic"/>
          <w:color w:val="202124"/>
          <w:sz w:val="24"/>
          <w:szCs w:val="24"/>
          <w:rtl/>
          <w:lang w:val="en-US" w:bidi="ar"/>
        </w:rPr>
        <w:t xml:space="preserve"> المرونة من مستوى منخفض </w:t>
      </w:r>
      <w:r>
        <w:rPr>
          <w:rStyle w:val="y2iqfc"/>
          <w:rFonts w:ascii="Simplified Arabic" w:hAnsi="Simplified Arabic" w:cs="Simplified Arabic" w:hint="cs"/>
          <w:color w:val="202124"/>
          <w:sz w:val="24"/>
          <w:szCs w:val="24"/>
          <w:rtl/>
          <w:lang w:val="en-US" w:bidi="ar"/>
        </w:rPr>
        <w:t>ل</w:t>
      </w:r>
      <w:r w:rsidRPr="00CA51A1">
        <w:rPr>
          <w:rStyle w:val="y2iqfc"/>
          <w:rFonts w:ascii="Simplified Arabic" w:hAnsi="Simplified Arabic" w:cs="Simplified Arabic" w:hint="cs"/>
          <w:color w:val="202124"/>
          <w:sz w:val="24"/>
          <w:szCs w:val="24"/>
          <w:rtl/>
          <w:lang w:val="en-US" w:bidi="ar"/>
        </w:rPr>
        <w:t>لأحياء</w:t>
      </w:r>
      <w:r w:rsidRPr="00CA51A1">
        <w:rPr>
          <w:rStyle w:val="y2iqfc"/>
          <w:rFonts w:ascii="Simplified Arabic" w:hAnsi="Simplified Arabic" w:cs="Simplified Arabic"/>
          <w:color w:val="202124"/>
          <w:sz w:val="24"/>
          <w:szCs w:val="24"/>
          <w:rtl/>
          <w:lang w:val="en-US" w:bidi="ar"/>
        </w:rPr>
        <w:t xml:space="preserve"> </w:t>
      </w:r>
      <w:r>
        <w:rPr>
          <w:rStyle w:val="y2iqfc"/>
          <w:rFonts w:ascii="Simplified Arabic" w:hAnsi="Simplified Arabic" w:cs="Simplified Arabic" w:hint="cs"/>
          <w:color w:val="202124"/>
          <w:sz w:val="24"/>
          <w:szCs w:val="24"/>
          <w:rtl/>
          <w:lang w:val="en-US" w:bidi="ar"/>
        </w:rPr>
        <w:t xml:space="preserve">السكنية </w:t>
      </w:r>
      <w:r w:rsidRPr="00CA51A1">
        <w:rPr>
          <w:rStyle w:val="y2iqfc"/>
          <w:rFonts w:ascii="Simplified Arabic" w:hAnsi="Simplified Arabic" w:cs="Simplified Arabic"/>
          <w:color w:val="202124"/>
          <w:sz w:val="24"/>
          <w:szCs w:val="24"/>
          <w:rtl/>
          <w:lang w:val="en-US" w:bidi="ar"/>
        </w:rPr>
        <w:t xml:space="preserve">ذات </w:t>
      </w:r>
      <w:r w:rsidRPr="00B32EC6">
        <w:rPr>
          <w:rStyle w:val="y2iqfc"/>
          <w:rFonts w:ascii="Simplified Arabic" w:hAnsi="Simplified Arabic" w:cs="Simplified Arabic"/>
          <w:color w:val="202124"/>
          <w:sz w:val="24"/>
          <w:szCs w:val="24"/>
          <w:rtl/>
          <w:lang w:val="en-US" w:bidi="ar"/>
        </w:rPr>
        <w:t xml:space="preserve">كثافة </w:t>
      </w:r>
      <w:r>
        <w:rPr>
          <w:rStyle w:val="y2iqfc"/>
          <w:rFonts w:ascii="Simplified Arabic" w:hAnsi="Simplified Arabic" w:cs="Simplified Arabic" w:hint="cs"/>
          <w:color w:val="202124"/>
          <w:sz w:val="24"/>
          <w:szCs w:val="24"/>
          <w:rtl/>
          <w:lang w:val="en-US" w:bidi="ar"/>
        </w:rPr>
        <w:t>بناء</w:t>
      </w:r>
      <w:r w:rsidRPr="00B32EC6">
        <w:rPr>
          <w:rStyle w:val="y2iqfc"/>
          <w:rFonts w:ascii="Simplified Arabic" w:hAnsi="Simplified Arabic" w:cs="Simplified Arabic"/>
          <w:color w:val="202124"/>
          <w:sz w:val="24"/>
          <w:szCs w:val="24"/>
          <w:rtl/>
          <w:lang w:val="en-US" w:bidi="ar"/>
        </w:rPr>
        <w:t xml:space="preserve"> </w:t>
      </w:r>
      <w:r w:rsidRPr="00CA51A1">
        <w:rPr>
          <w:rStyle w:val="y2iqfc"/>
          <w:rFonts w:ascii="Simplified Arabic" w:hAnsi="Simplified Arabic" w:cs="Simplified Arabic"/>
          <w:color w:val="202124"/>
          <w:sz w:val="24"/>
          <w:szCs w:val="24"/>
          <w:rtl/>
          <w:lang w:val="en-US" w:bidi="ar"/>
        </w:rPr>
        <w:t>عالية (</w:t>
      </w:r>
      <w:r w:rsidRPr="00B32EC6">
        <w:rPr>
          <w:rStyle w:val="y2iqfc"/>
          <w:rFonts w:ascii="Simplified Arabic" w:hAnsi="Simplified Arabic" w:cs="Simplified Arabic"/>
          <w:color w:val="202124"/>
          <w:sz w:val="24"/>
          <w:szCs w:val="24"/>
          <w:rtl/>
          <w:lang w:val="en-US" w:bidi="ar"/>
        </w:rPr>
        <w:t xml:space="preserve">القصر، </w:t>
      </w:r>
      <w:r w:rsidR="003708D0">
        <w:rPr>
          <w:rStyle w:val="y2iqfc"/>
          <w:rFonts w:ascii="Simplified Arabic" w:hAnsi="Simplified Arabic" w:cs="Simplified Arabic"/>
          <w:color w:val="202124"/>
          <w:sz w:val="24"/>
          <w:szCs w:val="24"/>
          <w:rtl/>
          <w:lang w:val="en-US" w:bidi="ar"/>
        </w:rPr>
        <w:lastRenderedPageBreak/>
        <w:t>القيسة</w:t>
      </w:r>
      <w:r w:rsidR="003708D0">
        <w:rPr>
          <w:rStyle w:val="y2iqfc"/>
          <w:rFonts w:ascii="Simplified Arabic" w:hAnsi="Simplified Arabic" w:cs="Simplified Arabic" w:hint="cs"/>
          <w:color w:val="202124"/>
          <w:sz w:val="24"/>
          <w:szCs w:val="24"/>
          <w:rtl/>
          <w:lang w:val="en-US" w:bidi="ar"/>
        </w:rPr>
        <w:t>/</w:t>
      </w:r>
      <w:r w:rsidR="000D1DD1" w:rsidRPr="00B32EC6">
        <w:rPr>
          <w:rStyle w:val="y2iqfc"/>
          <w:rFonts w:ascii="Simplified Arabic" w:hAnsi="Simplified Arabic" w:cs="Simplified Arabic"/>
          <w:color w:val="202124"/>
          <w:sz w:val="24"/>
          <w:szCs w:val="24"/>
          <w:rtl/>
          <w:lang w:val="en-US" w:bidi="ar"/>
        </w:rPr>
        <w:t xml:space="preserve">الكوشة، </w:t>
      </w:r>
      <w:r w:rsidRPr="00B32EC6">
        <w:rPr>
          <w:rStyle w:val="y2iqfc"/>
          <w:rFonts w:ascii="Simplified Arabic" w:hAnsi="Simplified Arabic" w:cs="Simplified Arabic"/>
          <w:color w:val="202124"/>
          <w:sz w:val="24"/>
          <w:szCs w:val="24"/>
          <w:rtl/>
          <w:lang w:val="en-US" w:bidi="ar"/>
        </w:rPr>
        <w:t>سيدي سليمان</w:t>
      </w:r>
      <w:r w:rsidR="000D1DD1">
        <w:rPr>
          <w:rStyle w:val="y2iqfc"/>
          <w:rFonts w:ascii="Simplified Arabic" w:hAnsi="Simplified Arabic" w:cs="Simplified Arabic" w:hint="cs"/>
          <w:color w:val="202124"/>
          <w:sz w:val="24"/>
          <w:szCs w:val="24"/>
          <w:rtl/>
          <w:lang w:val="en-US" w:bidi="ar"/>
        </w:rPr>
        <w:t xml:space="preserve">، </w:t>
      </w:r>
      <w:r w:rsidR="003708D0">
        <w:rPr>
          <w:rStyle w:val="y2iqfc"/>
          <w:rFonts w:ascii="Simplified Arabic" w:hAnsi="Simplified Arabic" w:cs="Simplified Arabic" w:hint="cs"/>
          <w:color w:val="202124"/>
          <w:sz w:val="24"/>
          <w:szCs w:val="24"/>
          <w:rtl/>
          <w:lang w:val="en-US" w:bidi="ar"/>
        </w:rPr>
        <w:t>ميطر و</w:t>
      </w:r>
      <w:r w:rsidR="000D1DD1" w:rsidRPr="000D1DD1">
        <w:rPr>
          <w:rStyle w:val="y2iqfc"/>
          <w:rFonts w:ascii="Simplified Arabic" w:hAnsi="Simplified Arabic" w:cs="Simplified Arabic" w:hint="cs"/>
          <w:color w:val="202124"/>
          <w:sz w:val="24"/>
          <w:szCs w:val="24"/>
          <w:rtl/>
          <w:lang w:val="en-US" w:bidi="ar"/>
        </w:rPr>
        <w:t>الدشرة</w:t>
      </w:r>
      <w:r w:rsidR="000D1DD1" w:rsidRPr="000D1DD1">
        <w:rPr>
          <w:rStyle w:val="y2iqfc"/>
          <w:rFonts w:ascii="Simplified Arabic" w:hAnsi="Simplified Arabic" w:cs="Simplified Arabic"/>
          <w:color w:val="202124"/>
          <w:sz w:val="24"/>
          <w:szCs w:val="24"/>
          <w:rtl/>
          <w:lang w:val="en-US" w:bidi="ar"/>
        </w:rPr>
        <w:t xml:space="preserve"> </w:t>
      </w:r>
      <w:r w:rsidR="000D1DD1" w:rsidRPr="000D1DD1">
        <w:rPr>
          <w:rStyle w:val="y2iqfc"/>
          <w:rFonts w:ascii="Simplified Arabic" w:hAnsi="Simplified Arabic" w:cs="Simplified Arabic" w:hint="cs"/>
          <w:color w:val="202124"/>
          <w:sz w:val="24"/>
          <w:szCs w:val="24"/>
          <w:rtl/>
          <w:lang w:val="en-US" w:bidi="ar"/>
        </w:rPr>
        <w:t>القبلية</w:t>
      </w:r>
      <w:r w:rsidR="003708D0">
        <w:rPr>
          <w:rStyle w:val="y2iqfc"/>
          <w:rFonts w:ascii="Simplified Arabic" w:hAnsi="Simplified Arabic" w:cs="Simplified Arabic" w:hint="cs"/>
          <w:color w:val="202124"/>
          <w:sz w:val="24"/>
          <w:szCs w:val="24"/>
          <w:rtl/>
          <w:lang w:val="en-US" w:bidi="ar"/>
        </w:rPr>
        <w:t>/</w:t>
      </w:r>
      <w:r w:rsidR="000D1DD1" w:rsidRPr="000D1DD1">
        <w:rPr>
          <w:rStyle w:val="y2iqfc"/>
          <w:rFonts w:ascii="Simplified Arabic" w:hAnsi="Simplified Arabic" w:cs="Simplified Arabic" w:hint="cs"/>
          <w:color w:val="202124"/>
          <w:sz w:val="24"/>
          <w:szCs w:val="24"/>
          <w:rtl/>
          <w:lang w:val="en-US" w:bidi="ar"/>
        </w:rPr>
        <w:t>الرصفة</w:t>
      </w:r>
      <w:r w:rsidRPr="00B32EC6">
        <w:rPr>
          <w:rStyle w:val="y2iqfc"/>
          <w:rFonts w:ascii="Simplified Arabic" w:hAnsi="Simplified Arabic" w:cs="Simplified Arabic"/>
          <w:color w:val="202124"/>
          <w:sz w:val="24"/>
          <w:szCs w:val="24"/>
          <w:rtl/>
          <w:lang w:bidi="ar"/>
        </w:rPr>
        <w:t xml:space="preserve">) </w:t>
      </w:r>
      <w:r w:rsidRPr="00B32EC6">
        <w:rPr>
          <w:rStyle w:val="y2iqfc"/>
          <w:rFonts w:ascii="Simplified Arabic" w:hAnsi="Simplified Arabic" w:cs="Simplified Arabic"/>
          <w:color w:val="202124"/>
          <w:sz w:val="24"/>
          <w:szCs w:val="24"/>
          <w:rtl/>
          <w:lang w:val="en-US" w:bidi="ar"/>
        </w:rPr>
        <w:t xml:space="preserve">إلى مرونة متوسطة </w:t>
      </w:r>
      <w:r w:rsidRPr="00B32EC6">
        <w:rPr>
          <w:rStyle w:val="y2iqfc"/>
          <w:rFonts w:ascii="Simplified Arabic" w:hAnsi="Simplified Arabic" w:cs="Simplified Arabic" w:hint="cs"/>
          <w:color w:val="202124"/>
          <w:sz w:val="24"/>
          <w:szCs w:val="24"/>
          <w:rtl/>
          <w:lang w:val="en-US" w:bidi="ar"/>
        </w:rPr>
        <w:t>للأحياء</w:t>
      </w:r>
      <w:r w:rsidRPr="00B32EC6">
        <w:rPr>
          <w:rStyle w:val="y2iqfc"/>
          <w:rFonts w:ascii="Simplified Arabic" w:hAnsi="Simplified Arabic" w:cs="Simplified Arabic"/>
          <w:color w:val="202124"/>
          <w:sz w:val="24"/>
          <w:szCs w:val="24"/>
          <w:rtl/>
          <w:lang w:val="en-US" w:bidi="ar"/>
        </w:rPr>
        <w:t xml:space="preserve"> </w:t>
      </w:r>
      <w:r w:rsidRPr="00B32EC6">
        <w:rPr>
          <w:rStyle w:val="y2iqfc"/>
          <w:rFonts w:ascii="Simplified Arabic" w:hAnsi="Simplified Arabic" w:cs="Simplified Arabic" w:hint="cs"/>
          <w:color w:val="202124"/>
          <w:sz w:val="24"/>
          <w:szCs w:val="24"/>
          <w:rtl/>
          <w:lang w:val="en-US" w:bidi="ar"/>
        </w:rPr>
        <w:t xml:space="preserve">السكنية </w:t>
      </w:r>
      <w:r w:rsidRPr="00B32EC6">
        <w:rPr>
          <w:rStyle w:val="y2iqfc"/>
          <w:rFonts w:ascii="Simplified Arabic" w:hAnsi="Simplified Arabic" w:cs="Simplified Arabic"/>
          <w:color w:val="202124"/>
          <w:sz w:val="24"/>
          <w:szCs w:val="24"/>
          <w:rtl/>
          <w:lang w:val="en-US" w:bidi="ar"/>
        </w:rPr>
        <w:t xml:space="preserve">ذات كثافة </w:t>
      </w:r>
      <w:r>
        <w:rPr>
          <w:rStyle w:val="y2iqfc"/>
          <w:rFonts w:ascii="Simplified Arabic" w:hAnsi="Simplified Arabic" w:cs="Simplified Arabic" w:hint="cs"/>
          <w:color w:val="202124"/>
          <w:sz w:val="24"/>
          <w:szCs w:val="24"/>
          <w:rtl/>
          <w:lang w:val="en-US" w:bidi="ar"/>
        </w:rPr>
        <w:t>بناء</w:t>
      </w:r>
      <w:r w:rsidRPr="00B32EC6">
        <w:rPr>
          <w:rStyle w:val="y2iqfc"/>
          <w:rFonts w:ascii="Simplified Arabic" w:hAnsi="Simplified Arabic" w:cs="Simplified Arabic"/>
          <w:color w:val="202124"/>
          <w:sz w:val="24"/>
          <w:szCs w:val="24"/>
          <w:rtl/>
          <w:lang w:val="en-US" w:bidi="ar"/>
        </w:rPr>
        <w:t xml:space="preserve"> </w:t>
      </w:r>
      <w:r w:rsidRPr="00B32EC6">
        <w:rPr>
          <w:rStyle w:val="y2iqfc"/>
          <w:rFonts w:ascii="Simplified Arabic" w:hAnsi="Simplified Arabic" w:cs="Simplified Arabic" w:hint="cs"/>
          <w:color w:val="202124"/>
          <w:sz w:val="24"/>
          <w:szCs w:val="24"/>
          <w:rtl/>
          <w:lang w:val="en-US" w:bidi="ar"/>
        </w:rPr>
        <w:t>متوسط</w:t>
      </w:r>
      <w:r w:rsidR="00C122DC" w:rsidRPr="00C122DC">
        <w:rPr>
          <w:rStyle w:val="y2iqfc"/>
          <w:rFonts w:ascii="Simplified Arabic" w:hAnsi="Simplified Arabic" w:cs="Simplified Arabic" w:hint="cs"/>
          <w:color w:val="202124"/>
          <w:sz w:val="24"/>
          <w:szCs w:val="24"/>
          <w:rtl/>
          <w:lang w:val="en-US" w:bidi="ar"/>
        </w:rPr>
        <w:t xml:space="preserve"> </w:t>
      </w:r>
      <w:r w:rsidR="003708D0" w:rsidRPr="00CA51A1">
        <w:rPr>
          <w:rStyle w:val="y2iqfc"/>
          <w:rFonts w:ascii="Simplified Arabic" w:hAnsi="Simplified Arabic" w:cs="Simplified Arabic"/>
          <w:color w:val="202124"/>
          <w:sz w:val="24"/>
          <w:szCs w:val="24"/>
          <w:rtl/>
          <w:lang w:val="en-US" w:bidi="ar"/>
        </w:rPr>
        <w:t>(</w:t>
      </w:r>
      <w:r w:rsidR="003708D0">
        <w:rPr>
          <w:rStyle w:val="y2iqfc"/>
          <w:rFonts w:ascii="Simplified Arabic" w:hAnsi="Simplified Arabic" w:cs="Simplified Arabic" w:hint="cs"/>
          <w:color w:val="202124"/>
          <w:sz w:val="24"/>
          <w:szCs w:val="24"/>
          <w:rtl/>
          <w:lang w:val="en-US" w:bidi="ar"/>
        </w:rPr>
        <w:t>الموامين، العوينات</w:t>
      </w:r>
      <w:r w:rsidR="003708D0" w:rsidRPr="00B32EC6">
        <w:rPr>
          <w:rStyle w:val="y2iqfc"/>
          <w:rFonts w:ascii="Simplified Arabic" w:hAnsi="Simplified Arabic" w:cs="Simplified Arabic"/>
          <w:color w:val="202124"/>
          <w:sz w:val="24"/>
          <w:szCs w:val="24"/>
          <w:rtl/>
          <w:lang w:val="en-US" w:bidi="ar"/>
        </w:rPr>
        <w:t xml:space="preserve">، </w:t>
      </w:r>
      <w:r w:rsidR="003708D0">
        <w:rPr>
          <w:rStyle w:val="y2iqfc"/>
          <w:rFonts w:ascii="Simplified Arabic" w:hAnsi="Simplified Arabic" w:cs="Simplified Arabic" w:hint="cs"/>
          <w:color w:val="202124"/>
          <w:sz w:val="24"/>
          <w:szCs w:val="24"/>
          <w:rtl/>
          <w:lang w:val="en-US" w:bidi="ar"/>
        </w:rPr>
        <w:t>20 اوت</w:t>
      </w:r>
      <w:r w:rsidR="003708D0" w:rsidRPr="00B32EC6">
        <w:rPr>
          <w:rStyle w:val="y2iqfc"/>
          <w:rFonts w:ascii="Simplified Arabic" w:hAnsi="Simplified Arabic" w:cs="Simplified Arabic"/>
          <w:color w:val="202124"/>
          <w:sz w:val="24"/>
          <w:szCs w:val="24"/>
          <w:rtl/>
          <w:lang w:val="en-US" w:bidi="ar"/>
        </w:rPr>
        <w:t xml:space="preserve">، </w:t>
      </w:r>
      <w:r w:rsidR="003708D0">
        <w:rPr>
          <w:rStyle w:val="y2iqfc"/>
          <w:rFonts w:ascii="Simplified Arabic" w:hAnsi="Simplified Arabic" w:cs="Simplified Arabic" w:hint="cs"/>
          <w:color w:val="202124"/>
          <w:sz w:val="24"/>
          <w:szCs w:val="24"/>
          <w:rtl/>
          <w:lang w:val="en-US" w:bidi="ar"/>
        </w:rPr>
        <w:t>الحمايد، كدات/سطيح</w:t>
      </w:r>
      <w:r w:rsidR="003708D0" w:rsidRPr="000D1DD1">
        <w:rPr>
          <w:rStyle w:val="y2iqfc"/>
          <w:rFonts w:ascii="Simplified Arabic" w:hAnsi="Simplified Arabic" w:cs="Simplified Arabic"/>
          <w:color w:val="202124"/>
          <w:sz w:val="24"/>
          <w:szCs w:val="24"/>
          <w:rtl/>
          <w:lang w:val="en-US" w:bidi="ar"/>
        </w:rPr>
        <w:t xml:space="preserve"> </w:t>
      </w:r>
      <w:r w:rsidR="003708D0" w:rsidRPr="000D1DD1">
        <w:rPr>
          <w:rStyle w:val="y2iqfc"/>
          <w:rFonts w:ascii="Simplified Arabic" w:hAnsi="Simplified Arabic" w:cs="Simplified Arabic" w:hint="cs"/>
          <w:color w:val="202124"/>
          <w:sz w:val="24"/>
          <w:szCs w:val="24"/>
          <w:rtl/>
          <w:lang w:val="en-US" w:bidi="ar"/>
        </w:rPr>
        <w:t>و</w:t>
      </w:r>
      <w:r w:rsidR="003708D0">
        <w:rPr>
          <w:rStyle w:val="y2iqfc"/>
          <w:rFonts w:ascii="Simplified Arabic" w:hAnsi="Simplified Arabic" w:cs="Simplified Arabic" w:hint="cs"/>
          <w:color w:val="202124"/>
          <w:sz w:val="24"/>
          <w:szCs w:val="24"/>
          <w:rtl/>
          <w:lang w:val="en-US" w:bidi="ar"/>
        </w:rPr>
        <w:t>الباطن</w:t>
      </w:r>
      <w:r w:rsidR="003708D0" w:rsidRPr="00B32EC6">
        <w:rPr>
          <w:rStyle w:val="y2iqfc"/>
          <w:rFonts w:ascii="Simplified Arabic" w:hAnsi="Simplified Arabic" w:cs="Simplified Arabic"/>
          <w:color w:val="202124"/>
          <w:sz w:val="24"/>
          <w:szCs w:val="24"/>
          <w:rtl/>
          <w:lang w:bidi="ar"/>
        </w:rPr>
        <w:t>)</w:t>
      </w:r>
      <w:r w:rsidRPr="00B32EC6">
        <w:rPr>
          <w:rStyle w:val="y2iqfc"/>
          <w:rFonts w:ascii="Simplified Arabic" w:hAnsi="Simplified Arabic" w:cs="Simplified Arabic" w:hint="cs"/>
          <w:color w:val="202124"/>
          <w:sz w:val="24"/>
          <w:szCs w:val="24"/>
          <w:rtl/>
          <w:lang w:val="en-US" w:bidi="ar"/>
        </w:rPr>
        <w:t xml:space="preserve"> </w:t>
      </w:r>
      <w:r w:rsidRPr="00B32EC6">
        <w:rPr>
          <w:rStyle w:val="y2iqfc"/>
          <w:rFonts w:ascii="Simplified Arabic" w:hAnsi="Simplified Arabic" w:cs="Simplified Arabic"/>
          <w:color w:val="202124"/>
          <w:sz w:val="24"/>
          <w:szCs w:val="24"/>
          <w:rtl/>
          <w:lang w:val="en-US" w:bidi="ar"/>
        </w:rPr>
        <w:t>و</w:t>
      </w:r>
      <w:r w:rsidR="003708D0">
        <w:rPr>
          <w:rStyle w:val="y2iqfc"/>
          <w:rFonts w:ascii="Simplified Arabic" w:hAnsi="Simplified Arabic" w:cs="Simplified Arabic" w:hint="cs"/>
          <w:color w:val="202124"/>
          <w:sz w:val="24"/>
          <w:szCs w:val="24"/>
          <w:rtl/>
          <w:lang w:val="en-US" w:bidi="ar"/>
        </w:rPr>
        <w:t xml:space="preserve">مرونة </w:t>
      </w:r>
      <w:r w:rsidRPr="00B32EC6">
        <w:rPr>
          <w:rStyle w:val="y2iqfc"/>
          <w:rFonts w:ascii="Simplified Arabic" w:hAnsi="Simplified Arabic" w:cs="Simplified Arabic"/>
          <w:color w:val="202124"/>
          <w:sz w:val="24"/>
          <w:szCs w:val="24"/>
          <w:rtl/>
          <w:lang w:val="en-US" w:bidi="ar"/>
        </w:rPr>
        <w:t>عالية المستوى</w:t>
      </w:r>
      <w:r w:rsidRPr="00F93444">
        <w:rPr>
          <w:rStyle w:val="y2iqfc"/>
          <w:rFonts w:ascii="Simplified Arabic" w:hAnsi="Simplified Arabic" w:cs="Simplified Arabic"/>
          <w:color w:val="202124"/>
          <w:sz w:val="24"/>
          <w:szCs w:val="24"/>
          <w:rtl/>
          <w:lang w:val="en-US" w:bidi="ar"/>
        </w:rPr>
        <w:t xml:space="preserve"> </w:t>
      </w:r>
      <w:r w:rsidR="003708D0">
        <w:rPr>
          <w:rStyle w:val="y2iqfc"/>
          <w:rFonts w:ascii="Simplified Arabic" w:hAnsi="Simplified Arabic" w:cs="Simplified Arabic" w:hint="cs"/>
          <w:color w:val="202124"/>
          <w:sz w:val="24"/>
          <w:szCs w:val="24"/>
          <w:rtl/>
          <w:lang w:val="en-US" w:bidi="ar"/>
        </w:rPr>
        <w:t>ل</w:t>
      </w:r>
      <w:r w:rsidR="003708D0" w:rsidRPr="00CA51A1">
        <w:rPr>
          <w:rStyle w:val="y2iqfc"/>
          <w:rFonts w:ascii="Simplified Arabic" w:hAnsi="Simplified Arabic" w:cs="Simplified Arabic" w:hint="cs"/>
          <w:color w:val="202124"/>
          <w:sz w:val="24"/>
          <w:szCs w:val="24"/>
          <w:rtl/>
          <w:lang w:val="en-US" w:bidi="ar"/>
        </w:rPr>
        <w:t>لأحياء</w:t>
      </w:r>
      <w:r w:rsidR="003708D0" w:rsidRPr="00CA51A1">
        <w:rPr>
          <w:rStyle w:val="y2iqfc"/>
          <w:rFonts w:ascii="Simplified Arabic" w:hAnsi="Simplified Arabic" w:cs="Simplified Arabic"/>
          <w:color w:val="202124"/>
          <w:sz w:val="24"/>
          <w:szCs w:val="24"/>
          <w:rtl/>
          <w:lang w:val="en-US" w:bidi="ar"/>
        </w:rPr>
        <w:t xml:space="preserve"> </w:t>
      </w:r>
      <w:r w:rsidR="003708D0">
        <w:rPr>
          <w:rStyle w:val="y2iqfc"/>
          <w:rFonts w:ascii="Simplified Arabic" w:hAnsi="Simplified Arabic" w:cs="Simplified Arabic" w:hint="cs"/>
          <w:color w:val="202124"/>
          <w:sz w:val="24"/>
          <w:szCs w:val="24"/>
          <w:rtl/>
          <w:lang w:val="en-US" w:bidi="ar"/>
        </w:rPr>
        <w:t xml:space="preserve">السكنية </w:t>
      </w:r>
      <w:r>
        <w:rPr>
          <w:rStyle w:val="y2iqfc"/>
          <w:rFonts w:ascii="Simplified Arabic" w:hAnsi="Simplified Arabic" w:cs="Simplified Arabic" w:hint="cs"/>
          <w:color w:val="202124"/>
          <w:sz w:val="24"/>
          <w:szCs w:val="24"/>
          <w:rtl/>
          <w:lang w:val="en-US" w:bidi="ar"/>
        </w:rPr>
        <w:t xml:space="preserve">ذات </w:t>
      </w:r>
      <w:r w:rsidRPr="00B32EC6">
        <w:rPr>
          <w:rStyle w:val="y2iqfc"/>
          <w:rFonts w:ascii="Simplified Arabic" w:hAnsi="Simplified Arabic" w:cs="Simplified Arabic"/>
          <w:color w:val="202124"/>
          <w:sz w:val="24"/>
          <w:szCs w:val="24"/>
          <w:rtl/>
          <w:lang w:val="en-US" w:bidi="ar"/>
        </w:rPr>
        <w:t xml:space="preserve">كثافة </w:t>
      </w:r>
      <w:r>
        <w:rPr>
          <w:rStyle w:val="y2iqfc"/>
          <w:rFonts w:ascii="Simplified Arabic" w:hAnsi="Simplified Arabic" w:cs="Simplified Arabic" w:hint="cs"/>
          <w:color w:val="202124"/>
          <w:sz w:val="24"/>
          <w:szCs w:val="24"/>
          <w:rtl/>
          <w:lang w:val="en-US" w:bidi="ar"/>
        </w:rPr>
        <w:t>بناء</w:t>
      </w:r>
      <w:r w:rsidRPr="00B32EC6">
        <w:rPr>
          <w:rStyle w:val="y2iqfc"/>
          <w:rFonts w:ascii="Simplified Arabic" w:hAnsi="Simplified Arabic" w:cs="Simplified Arabic"/>
          <w:color w:val="202124"/>
          <w:sz w:val="24"/>
          <w:szCs w:val="24"/>
          <w:rtl/>
          <w:lang w:val="en-US" w:bidi="ar"/>
        </w:rPr>
        <w:t xml:space="preserve"> منخفضة</w:t>
      </w:r>
      <w:r w:rsidR="00C122DC">
        <w:rPr>
          <w:rStyle w:val="y2iqfc"/>
          <w:rFonts w:ascii="Simplified Arabic" w:hAnsi="Simplified Arabic" w:cs="Simplified Arabic" w:hint="cs"/>
          <w:color w:val="202124"/>
          <w:sz w:val="24"/>
          <w:szCs w:val="24"/>
          <w:rtl/>
          <w:lang w:val="en-US" w:bidi="ar"/>
        </w:rPr>
        <w:t xml:space="preserve"> </w:t>
      </w:r>
      <w:r w:rsidR="003708D0" w:rsidRPr="00CA51A1">
        <w:rPr>
          <w:rStyle w:val="y2iqfc"/>
          <w:rFonts w:ascii="Simplified Arabic" w:hAnsi="Simplified Arabic" w:cs="Simplified Arabic"/>
          <w:color w:val="202124"/>
          <w:sz w:val="24"/>
          <w:szCs w:val="24"/>
          <w:rtl/>
          <w:lang w:val="en-US" w:bidi="ar"/>
        </w:rPr>
        <w:t>(</w:t>
      </w:r>
      <w:r w:rsidR="003708D0">
        <w:rPr>
          <w:rStyle w:val="y2iqfc"/>
          <w:rFonts w:ascii="Simplified Arabic" w:hAnsi="Simplified Arabic" w:cs="Simplified Arabic" w:hint="cs"/>
          <w:color w:val="202124"/>
          <w:sz w:val="24"/>
          <w:szCs w:val="24"/>
          <w:rtl/>
          <w:lang w:val="en-US" w:bidi="ar"/>
        </w:rPr>
        <w:t>بلاتو، جنان البطم</w:t>
      </w:r>
      <w:r w:rsidR="003708D0" w:rsidRPr="00B32EC6">
        <w:rPr>
          <w:rStyle w:val="y2iqfc"/>
          <w:rFonts w:ascii="Simplified Arabic" w:hAnsi="Simplified Arabic" w:cs="Simplified Arabic"/>
          <w:color w:val="202124"/>
          <w:sz w:val="24"/>
          <w:szCs w:val="24"/>
          <w:rtl/>
          <w:lang w:bidi="ar"/>
        </w:rPr>
        <w:t>)</w:t>
      </w:r>
      <w:r>
        <w:rPr>
          <w:rStyle w:val="y2iqfc"/>
          <w:rFonts w:ascii="Simplified Arabic" w:hAnsi="Simplified Arabic" w:cs="Simplified Arabic" w:hint="cs"/>
          <w:color w:val="202124"/>
          <w:sz w:val="24"/>
          <w:szCs w:val="24"/>
          <w:rtl/>
          <w:lang w:val="en-US" w:bidi="ar"/>
        </w:rPr>
        <w:t>.</w:t>
      </w:r>
    </w:p>
    <w:p w:rsidR="00FD1FDA" w:rsidRDefault="00F77B47" w:rsidP="007A30E8">
      <w:pPr>
        <w:pStyle w:val="carte"/>
        <w:spacing w:after="0"/>
        <w:rPr>
          <w:rFonts w:asciiTheme="majorBidi" w:hAnsiTheme="majorBidi" w:cstheme="majorBidi"/>
          <w:rtl/>
          <w:lang w:val="en-US"/>
        </w:rPr>
      </w:pPr>
      <w:bookmarkStart w:id="703" w:name="_Toc157616605"/>
      <w:bookmarkStart w:id="704" w:name="_Toc171803714"/>
      <w:r w:rsidRPr="0054240E">
        <w:rPr>
          <w:rFonts w:hint="cs"/>
          <w:color w:val="000000" w:themeColor="text1"/>
          <w:rtl/>
          <w:lang w:bidi="ar-DZ"/>
        </w:rPr>
        <w:t xml:space="preserve">الخريطة </w:t>
      </w:r>
      <w:r w:rsidRPr="0054240E">
        <w:rPr>
          <w:rFonts w:eastAsia="Times New Roman" w:hint="cs"/>
          <w:rtl/>
          <w:lang w:val="en-US" w:eastAsia="fr-FR"/>
        </w:rPr>
        <w:t xml:space="preserve">(5-6): </w:t>
      </w:r>
      <w:r w:rsidRPr="0054240E">
        <w:rPr>
          <w:rFonts w:hint="cs"/>
          <w:color w:val="000000" w:themeColor="text1"/>
          <w:rtl/>
          <w:lang w:bidi="ar-DZ"/>
        </w:rPr>
        <w:t xml:space="preserve">معيار </w:t>
      </w:r>
      <w:r w:rsidR="00FD1FDA" w:rsidRPr="0054240E">
        <w:rPr>
          <w:rFonts w:hint="cs"/>
          <w:rtl/>
          <w:lang w:val="en-US"/>
        </w:rPr>
        <w:t>كثافة البناء</w:t>
      </w:r>
      <w:r w:rsidRPr="0054240E">
        <w:rPr>
          <w:rFonts w:hint="cs"/>
          <w:rtl/>
          <w:lang w:val="en-US"/>
        </w:rPr>
        <w:t xml:space="preserve"> </w:t>
      </w:r>
      <w:r w:rsidRPr="0054240E">
        <w:rPr>
          <w:rFonts w:asciiTheme="majorBidi" w:hAnsiTheme="majorBidi" w:cstheme="majorBidi"/>
          <w:lang w:val="en-US"/>
        </w:rPr>
        <w:t>(C6)</w:t>
      </w:r>
      <w:bookmarkEnd w:id="703"/>
      <w:bookmarkEnd w:id="704"/>
    </w:p>
    <w:p w:rsidR="007A30E8" w:rsidRPr="007A30E8" w:rsidRDefault="007A30E8" w:rsidP="007A30E8">
      <w:pPr>
        <w:pStyle w:val="fegure"/>
        <w:rPr>
          <w:sz w:val="8"/>
          <w:szCs w:val="24"/>
          <w:rtl/>
          <w:lang w:val="en-US" w:bidi="ar-DZ"/>
        </w:rPr>
      </w:pPr>
      <w:bookmarkStart w:id="705" w:name="_Toc171803715"/>
      <w:r>
        <w:rPr>
          <w:rFonts w:hint="cs"/>
          <w:sz w:val="8"/>
          <w:szCs w:val="24"/>
          <w:rtl/>
          <w:lang w:val="en-US"/>
        </w:rPr>
        <w:t>المصدر: (الباحث، 2022)</w:t>
      </w:r>
      <w:bookmarkEnd w:id="705"/>
    </w:p>
    <w:p w:rsidR="00F77B47" w:rsidRDefault="00F77B47" w:rsidP="00F77B47">
      <w:pPr>
        <w:pStyle w:val="NormalWeb"/>
        <w:bidi/>
        <w:spacing w:before="0" w:beforeAutospacing="0" w:after="0" w:afterAutospacing="0"/>
        <w:jc w:val="center"/>
        <w:rPr>
          <w:color w:val="000000"/>
          <w:lang w:val="en-US"/>
        </w:rPr>
      </w:pPr>
      <w:r>
        <w:rPr>
          <w:noProof/>
          <w:color w:val="000000"/>
          <w:rtl/>
        </w:rPr>
        <w:drawing>
          <wp:inline distT="0" distB="0" distL="0" distR="0" wp14:anchorId="759DBE78" wp14:editId="3FA101CC">
            <wp:extent cx="3921026" cy="4729497"/>
            <wp:effectExtent l="0" t="0" r="3810" b="0"/>
            <wp:docPr id="173" name="Imag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TC\Desktop\cumule\7.jpg"/>
                    <pic:cNvPicPr>
                      <a:picLocks noChangeAspect="1" noChangeArrowheads="1"/>
                    </pic:cNvPicPr>
                  </pic:nvPicPr>
                  <pic:blipFill rotWithShape="1">
                    <a:blip r:embed="rId245" cstate="print">
                      <a:extLst>
                        <a:ext uri="{28A0092B-C50C-407E-A947-70E740481C1C}">
                          <a14:useLocalDpi xmlns:a14="http://schemas.microsoft.com/office/drawing/2010/main" val="0"/>
                        </a:ext>
                      </a:extLst>
                    </a:blip>
                    <a:srcRect t="8507" b="1042"/>
                    <a:stretch/>
                  </pic:blipFill>
                  <pic:spPr bwMode="auto">
                    <a:xfrm>
                      <a:off x="0" y="0"/>
                      <a:ext cx="3929105" cy="4739242"/>
                    </a:xfrm>
                    <a:prstGeom prst="rect">
                      <a:avLst/>
                    </a:prstGeom>
                    <a:noFill/>
                    <a:ln>
                      <a:noFill/>
                    </a:ln>
                    <a:extLst>
                      <a:ext uri="{53640926-AAD7-44D8-BBD7-CCE9431645EC}">
                        <a14:shadowObscured xmlns:a14="http://schemas.microsoft.com/office/drawing/2010/main"/>
                      </a:ext>
                    </a:extLst>
                  </pic:spPr>
                </pic:pic>
              </a:graphicData>
            </a:graphic>
          </wp:inline>
        </w:drawing>
      </w:r>
    </w:p>
    <w:p w:rsidR="00FD1FDA" w:rsidRDefault="00FD1FDA" w:rsidP="00FD1FDA">
      <w:pPr>
        <w:pStyle w:val="NormalWeb"/>
        <w:spacing w:before="0" w:beforeAutospacing="0" w:after="0" w:afterAutospacing="0"/>
        <w:rPr>
          <w:color w:val="000000"/>
          <w:rtl/>
          <w:lang w:val="en-US"/>
        </w:rPr>
      </w:pPr>
    </w:p>
    <w:p w:rsidR="00C121B0" w:rsidRPr="001A051A" w:rsidRDefault="00C121B0" w:rsidP="001D0548">
      <w:pPr>
        <w:pStyle w:val="Paragraphedeliste"/>
        <w:numPr>
          <w:ilvl w:val="1"/>
          <w:numId w:val="170"/>
        </w:numPr>
        <w:tabs>
          <w:tab w:val="right" w:pos="1275"/>
        </w:tabs>
        <w:bidi/>
        <w:spacing w:after="0"/>
        <w:ind w:left="0" w:firstLine="992"/>
        <w:jc w:val="both"/>
        <w:outlineLvl w:val="3"/>
        <w:rPr>
          <w:rFonts w:ascii="Simplified Arabic" w:hAnsi="Simplified Arabic" w:cs="Simplified Arabic"/>
          <w:b/>
          <w:bCs/>
          <w:sz w:val="24"/>
          <w:szCs w:val="24"/>
          <w:lang w:val="en-US"/>
        </w:rPr>
      </w:pPr>
      <w:r w:rsidRPr="001A051A">
        <w:rPr>
          <w:rFonts w:ascii="Simplified Arabic" w:hAnsi="Simplified Arabic" w:cs="Simplified Arabic" w:hint="cs"/>
          <w:b/>
          <w:bCs/>
          <w:sz w:val="24"/>
          <w:szCs w:val="24"/>
          <w:rtl/>
          <w:lang w:val="en-US"/>
        </w:rPr>
        <w:t>خريطة</w:t>
      </w:r>
      <w:r w:rsidRPr="001A051A">
        <w:rPr>
          <w:rFonts w:ascii="Simplified Arabic" w:hAnsi="Simplified Arabic" w:cs="Simplified Arabic"/>
          <w:b/>
          <w:bCs/>
          <w:sz w:val="24"/>
          <w:szCs w:val="24"/>
          <w:rtl/>
          <w:lang w:val="en-US"/>
        </w:rPr>
        <w:t xml:space="preserve"> </w:t>
      </w:r>
      <w:r w:rsidRPr="001A051A">
        <w:rPr>
          <w:rFonts w:ascii="Simplified Arabic" w:hAnsi="Simplified Arabic" w:cs="Simplified Arabic" w:hint="cs"/>
          <w:b/>
          <w:bCs/>
          <w:sz w:val="24"/>
          <w:szCs w:val="24"/>
          <w:rtl/>
          <w:lang w:val="en-US"/>
        </w:rPr>
        <w:t xml:space="preserve">معيار </w:t>
      </w:r>
      <w:r w:rsidR="00C87D80">
        <w:rPr>
          <w:rFonts w:ascii="Simplified Arabic" w:hAnsi="Simplified Arabic" w:cs="Simplified Arabic" w:hint="cs"/>
          <w:b/>
          <w:bCs/>
          <w:sz w:val="24"/>
          <w:szCs w:val="24"/>
          <w:rtl/>
          <w:lang w:val="en-US"/>
        </w:rPr>
        <w:t>شبكة</w:t>
      </w:r>
      <w:r w:rsidRPr="001A051A">
        <w:rPr>
          <w:rFonts w:ascii="Simplified Arabic" w:hAnsi="Simplified Arabic" w:cs="Simplified Arabic"/>
          <w:b/>
          <w:bCs/>
          <w:sz w:val="24"/>
          <w:szCs w:val="24"/>
          <w:rtl/>
          <w:lang w:val="en-US"/>
        </w:rPr>
        <w:t xml:space="preserve"> الطرق</w:t>
      </w:r>
      <w:r w:rsidRPr="001A051A">
        <w:rPr>
          <w:rFonts w:ascii="Simplified Arabic" w:hAnsi="Simplified Arabic" w:cs="Simplified Arabic" w:hint="cs"/>
          <w:b/>
          <w:bCs/>
          <w:sz w:val="24"/>
          <w:szCs w:val="24"/>
          <w:rtl/>
          <w:lang w:val="en-US"/>
        </w:rPr>
        <w:t xml:space="preserve"> </w:t>
      </w:r>
      <w:r w:rsidRPr="001A051A">
        <w:rPr>
          <w:rFonts w:asciiTheme="majorBidi" w:hAnsiTheme="majorBidi" w:cstheme="majorBidi"/>
          <w:b/>
          <w:bCs/>
          <w:sz w:val="24"/>
          <w:szCs w:val="24"/>
          <w:lang w:val="en-US"/>
        </w:rPr>
        <w:t>C7</w:t>
      </w:r>
      <w:r w:rsidRPr="001A051A">
        <w:rPr>
          <w:rFonts w:ascii="Simplified Arabic" w:hAnsi="Simplified Arabic" w:cs="Simplified Arabic"/>
          <w:b/>
          <w:bCs/>
          <w:sz w:val="24"/>
          <w:szCs w:val="24"/>
          <w:rtl/>
          <w:lang w:val="en-US"/>
        </w:rPr>
        <w:t>:</w:t>
      </w:r>
    </w:p>
    <w:p w:rsidR="00C121B0" w:rsidRPr="00851D30" w:rsidRDefault="00A04689" w:rsidP="00C23656">
      <w:pPr>
        <w:widowControl w:val="0"/>
        <w:tabs>
          <w:tab w:val="right" w:pos="566"/>
        </w:tabs>
        <w:autoSpaceDE w:val="0"/>
        <w:autoSpaceDN w:val="0"/>
        <w:bidi/>
        <w:spacing w:after="0"/>
        <w:ind w:firstLine="282"/>
        <w:jc w:val="both"/>
        <w:rPr>
          <w:rFonts w:ascii="Simplified Arabic" w:eastAsia="Times New Roman" w:hAnsi="Simplified Arabic" w:cs="Simplified Arabic"/>
          <w:b/>
          <w:sz w:val="24"/>
          <w:szCs w:val="24"/>
          <w:lang w:val="en-US" w:eastAsia="fr-FR" w:bidi="ar-DZ"/>
        </w:rPr>
      </w:pPr>
      <w:r>
        <w:rPr>
          <w:rFonts w:ascii="Simplified Arabic" w:eastAsia="Times New Roman" w:hAnsi="Simplified Arabic" w:cs="Simplified Arabic" w:hint="cs"/>
          <w:b/>
          <w:sz w:val="24"/>
          <w:szCs w:val="24"/>
          <w:rtl/>
          <w:lang w:val="en-US" w:eastAsia="fr-FR"/>
        </w:rPr>
        <w:t>ت</w:t>
      </w:r>
      <w:r w:rsidR="00C121B0" w:rsidRPr="00851D30">
        <w:rPr>
          <w:rFonts w:ascii="Simplified Arabic" w:eastAsia="Times New Roman" w:hAnsi="Simplified Arabic" w:cs="Simplified Arabic"/>
          <w:b/>
          <w:sz w:val="24"/>
          <w:szCs w:val="24"/>
          <w:rtl/>
          <w:lang w:val="en-US" w:eastAsia="fr-FR"/>
        </w:rPr>
        <w:t xml:space="preserve">شير </w:t>
      </w:r>
      <w:r w:rsidR="00F43011">
        <w:rPr>
          <w:rFonts w:ascii="Simplified Arabic" w:eastAsia="Times New Roman" w:hAnsi="Simplified Arabic" w:cs="Simplified Arabic" w:hint="cs"/>
          <w:b/>
          <w:sz w:val="24"/>
          <w:szCs w:val="24"/>
          <w:rtl/>
          <w:lang w:val="en-US" w:eastAsia="fr-FR"/>
        </w:rPr>
        <w:t>كثافة</w:t>
      </w:r>
      <w:r w:rsidR="00C121B0" w:rsidRPr="00851D30">
        <w:rPr>
          <w:rFonts w:ascii="Simplified Arabic" w:eastAsia="Times New Roman" w:hAnsi="Simplified Arabic" w:cs="Simplified Arabic" w:hint="cs"/>
          <w:b/>
          <w:sz w:val="24"/>
          <w:szCs w:val="24"/>
          <w:rtl/>
          <w:lang w:val="en-US" w:eastAsia="fr-FR"/>
        </w:rPr>
        <w:t xml:space="preserve"> الطرق الشريانية</w:t>
      </w:r>
      <w:r w:rsidR="00C121B0" w:rsidRPr="00851D30">
        <w:rPr>
          <w:rFonts w:ascii="Simplified Arabic" w:eastAsia="Times New Roman" w:hAnsi="Simplified Arabic" w:cs="Simplified Arabic"/>
          <w:b/>
          <w:sz w:val="24"/>
          <w:szCs w:val="24"/>
          <w:rtl/>
          <w:lang w:val="en-US" w:eastAsia="fr-FR"/>
        </w:rPr>
        <w:t xml:space="preserve"> إلى </w:t>
      </w:r>
      <w:r w:rsidR="005A4499" w:rsidRPr="00851D30">
        <w:rPr>
          <w:rFonts w:ascii="Simplified Arabic" w:eastAsia="Times New Roman" w:hAnsi="Simplified Arabic" w:cs="Simplified Arabic" w:hint="cs"/>
          <w:b/>
          <w:sz w:val="24"/>
          <w:szCs w:val="24"/>
          <w:rtl/>
          <w:lang w:val="en-US" w:eastAsia="fr-FR"/>
        </w:rPr>
        <w:t>طول الطرق الرئيسية والثانوية</w:t>
      </w:r>
      <w:r w:rsidR="00C121B0" w:rsidRPr="00851D30">
        <w:rPr>
          <w:rFonts w:ascii="Simplified Arabic" w:eastAsia="Times New Roman" w:hAnsi="Simplified Arabic" w:cs="Simplified Arabic"/>
          <w:b/>
          <w:sz w:val="24"/>
          <w:szCs w:val="24"/>
          <w:rtl/>
          <w:lang w:val="en-US" w:eastAsia="fr-FR"/>
        </w:rPr>
        <w:t xml:space="preserve"> لكل وحدة مساحة (</w:t>
      </w:r>
      <w:r w:rsidR="000F0243" w:rsidRPr="00851D30">
        <w:rPr>
          <w:rFonts w:ascii="Simplified Arabic" w:eastAsia="Times New Roman" w:hAnsi="Simplified Arabic" w:cs="Simplified Arabic" w:hint="cs"/>
          <w:b/>
          <w:sz w:val="24"/>
          <w:szCs w:val="24"/>
          <w:rtl/>
          <w:lang w:val="en-US" w:eastAsia="fr-FR"/>
        </w:rPr>
        <w:t>كلم</w:t>
      </w:r>
      <w:r w:rsidR="000F0243" w:rsidRPr="00851D30">
        <w:rPr>
          <w:rFonts w:ascii="Simplified Arabic" w:eastAsia="Times New Roman" w:hAnsi="Simplified Arabic" w:cs="Simplified Arabic"/>
          <w:b/>
          <w:sz w:val="24"/>
          <w:szCs w:val="24"/>
          <w:rtl/>
          <w:lang w:val="en-US" w:eastAsia="fr-FR"/>
        </w:rPr>
        <w:t>/</w:t>
      </w:r>
      <w:r w:rsidR="000F0243" w:rsidRPr="00851D30">
        <w:rPr>
          <w:rFonts w:ascii="Simplified Arabic" w:eastAsia="Times New Roman" w:hAnsi="Simplified Arabic" w:cs="Simplified Arabic" w:hint="cs"/>
          <w:b/>
          <w:sz w:val="24"/>
          <w:szCs w:val="24"/>
          <w:rtl/>
          <w:lang w:val="en-US" w:eastAsia="fr-FR"/>
        </w:rPr>
        <w:t>كم</w:t>
      </w:r>
      <w:r w:rsidR="000F0243" w:rsidRPr="00851D30">
        <w:rPr>
          <w:rFonts w:ascii="Simplified Arabic" w:eastAsia="Times New Roman" w:hAnsi="Simplified Arabic" w:cs="Simplified Arabic" w:hint="cs"/>
          <w:b/>
          <w:sz w:val="24"/>
          <w:szCs w:val="24"/>
          <w:vertAlign w:val="superscript"/>
          <w:rtl/>
          <w:lang w:val="en-US" w:eastAsia="fr-FR"/>
        </w:rPr>
        <w:t>2</w:t>
      </w:r>
      <w:r w:rsidR="00C121B0" w:rsidRPr="00851D30">
        <w:rPr>
          <w:rFonts w:ascii="Simplified Arabic" w:eastAsia="Times New Roman" w:hAnsi="Simplified Arabic" w:cs="Simplified Arabic"/>
          <w:b/>
          <w:sz w:val="24"/>
          <w:szCs w:val="24"/>
          <w:rtl/>
          <w:lang w:val="en-US" w:eastAsia="fr-FR"/>
        </w:rPr>
        <w:t xml:space="preserve">)، </w:t>
      </w:r>
      <w:r w:rsidR="005A4499" w:rsidRPr="00851D30">
        <w:rPr>
          <w:rFonts w:ascii="Simplified Arabic" w:hAnsi="Simplified Arabic" w:cs="Simplified Arabic" w:hint="cs"/>
          <w:sz w:val="24"/>
          <w:szCs w:val="24"/>
          <w:rtl/>
          <w:lang w:val="en-US" w:bidi="ar-DZ"/>
        </w:rPr>
        <w:t>يتمثل</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دور</w:t>
      </w:r>
      <w:r w:rsidR="005A4499" w:rsidRPr="00851D30">
        <w:rPr>
          <w:rFonts w:ascii="Simplified Arabic" w:hAnsi="Simplified Arabic" w:cs="Simplified Arabic"/>
          <w:sz w:val="24"/>
          <w:szCs w:val="24"/>
          <w:rtl/>
          <w:lang w:val="en-US" w:bidi="ar-DZ"/>
        </w:rPr>
        <w:t xml:space="preserve"> </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فيما</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يتعلق</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بالمرونة</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في</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تعزيز</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المتانة</w:t>
      </w:r>
      <w:r w:rsidR="005A4499" w:rsidRPr="00851D30">
        <w:rPr>
          <w:rFonts w:ascii="Simplified Arabic" w:hAnsi="Simplified Arabic" w:cs="Simplified Arabic"/>
          <w:sz w:val="24"/>
          <w:szCs w:val="24"/>
          <w:rtl/>
          <w:lang w:val="en-US" w:bidi="ar-DZ"/>
        </w:rPr>
        <w:t xml:space="preserve"> </w:t>
      </w:r>
      <w:r w:rsidR="005768EE">
        <w:rPr>
          <w:rFonts w:ascii="Simplified Arabic" w:hAnsi="Simplified Arabic" w:cs="Simplified Arabic" w:hint="cs"/>
          <w:sz w:val="24"/>
          <w:szCs w:val="24"/>
          <w:rtl/>
          <w:lang w:val="en-US" w:bidi="ar-DZ"/>
        </w:rPr>
        <w:t>اثناء ا</w:t>
      </w:r>
      <w:r w:rsidR="005A4499" w:rsidRPr="00851D30">
        <w:rPr>
          <w:rFonts w:ascii="Simplified Arabic" w:hAnsi="Simplified Arabic" w:cs="Simplified Arabic" w:hint="cs"/>
          <w:sz w:val="24"/>
          <w:szCs w:val="24"/>
          <w:rtl/>
          <w:lang w:val="en-US" w:bidi="ar-DZ"/>
        </w:rPr>
        <w:t>لفشل</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العشوائي وزيادة</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القدرة</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على</w:t>
      </w:r>
      <w:r w:rsidR="005A4499" w:rsidRPr="00851D30">
        <w:rPr>
          <w:rFonts w:ascii="Simplified Arabic" w:hAnsi="Simplified Arabic" w:cs="Simplified Arabic"/>
          <w:sz w:val="24"/>
          <w:szCs w:val="24"/>
          <w:rtl/>
          <w:lang w:val="en-US" w:bidi="ar-DZ"/>
        </w:rPr>
        <w:t xml:space="preserve"> </w:t>
      </w:r>
      <w:r w:rsidR="005A4499" w:rsidRPr="00851D30">
        <w:rPr>
          <w:rFonts w:ascii="Simplified Arabic" w:hAnsi="Simplified Arabic" w:cs="Simplified Arabic" w:hint="cs"/>
          <w:sz w:val="24"/>
          <w:szCs w:val="24"/>
          <w:rtl/>
          <w:lang w:val="en-US" w:bidi="ar-DZ"/>
        </w:rPr>
        <w:t>الاستجابة.</w:t>
      </w:r>
      <w:r w:rsidR="00C87D80" w:rsidRPr="00851D30">
        <w:rPr>
          <w:rFonts w:ascii="Simplified Arabic" w:eastAsia="Times New Roman" w:hAnsi="Simplified Arabic" w:cs="Simplified Arabic" w:hint="cs"/>
          <w:b/>
          <w:sz w:val="24"/>
          <w:szCs w:val="24"/>
          <w:rtl/>
          <w:lang w:val="en-US" w:eastAsia="fr-FR"/>
        </w:rPr>
        <w:t xml:space="preserve"> </w:t>
      </w:r>
      <w:r w:rsidR="00C121B0" w:rsidRPr="00851D30">
        <w:rPr>
          <w:rFonts w:ascii="Simplified Arabic" w:eastAsia="Times New Roman" w:hAnsi="Simplified Arabic" w:cs="Simplified Arabic"/>
          <w:b/>
          <w:sz w:val="24"/>
          <w:szCs w:val="24"/>
          <w:rtl/>
          <w:lang w:val="en-US" w:eastAsia="fr-FR"/>
        </w:rPr>
        <w:t xml:space="preserve">لذلك، يأخذ في الاعتبار </w:t>
      </w:r>
      <w:r w:rsidR="005A4499" w:rsidRPr="00851D30">
        <w:rPr>
          <w:rFonts w:ascii="Simplified Arabic" w:eastAsia="Times New Roman" w:hAnsi="Simplified Arabic" w:cs="Simplified Arabic" w:hint="cs"/>
          <w:b/>
          <w:sz w:val="24"/>
          <w:szCs w:val="24"/>
          <w:rtl/>
          <w:lang w:val="en-US" w:eastAsia="fr-FR"/>
        </w:rPr>
        <w:t>عمق الطرق الشريانية</w:t>
      </w:r>
      <w:r w:rsidR="005A4499" w:rsidRPr="00851D30">
        <w:rPr>
          <w:rFonts w:ascii="Simplified Arabic" w:eastAsia="Times New Roman" w:hAnsi="Simplified Arabic" w:cs="Simplified Arabic"/>
          <w:b/>
          <w:sz w:val="24"/>
          <w:szCs w:val="24"/>
          <w:rtl/>
          <w:lang w:val="en-US" w:eastAsia="fr-FR"/>
        </w:rPr>
        <w:t xml:space="preserve"> لتقييم </w:t>
      </w:r>
      <w:r w:rsidR="00C121B0" w:rsidRPr="00851D30">
        <w:rPr>
          <w:rFonts w:ascii="Simplified Arabic" w:eastAsia="Times New Roman" w:hAnsi="Simplified Arabic" w:cs="Simplified Arabic"/>
          <w:b/>
          <w:sz w:val="24"/>
          <w:szCs w:val="24"/>
          <w:rtl/>
          <w:lang w:val="en-US" w:eastAsia="fr-FR"/>
        </w:rPr>
        <w:t xml:space="preserve">المرونة. </w:t>
      </w:r>
      <w:r w:rsidR="00C121B0" w:rsidRPr="00851D30">
        <w:rPr>
          <w:rFonts w:ascii="Simplified Arabic" w:eastAsia="Times New Roman" w:hAnsi="Simplified Arabic" w:cs="Simplified Arabic" w:hint="cs"/>
          <w:b/>
          <w:sz w:val="24"/>
          <w:szCs w:val="24"/>
          <w:rtl/>
          <w:lang w:val="en-US" w:eastAsia="fr-FR"/>
        </w:rPr>
        <w:t>تم انشاء</w:t>
      </w:r>
      <w:r w:rsidR="00C121B0" w:rsidRPr="00851D30">
        <w:rPr>
          <w:rFonts w:ascii="Simplified Arabic" w:eastAsia="Times New Roman" w:hAnsi="Simplified Arabic" w:cs="Simplified Arabic"/>
          <w:b/>
          <w:sz w:val="24"/>
          <w:szCs w:val="24"/>
          <w:rtl/>
          <w:lang w:val="en-US" w:eastAsia="fr-FR"/>
        </w:rPr>
        <w:t xml:space="preserve"> خريطة </w:t>
      </w:r>
      <w:r w:rsidR="005A4499" w:rsidRPr="00851D30">
        <w:rPr>
          <w:rFonts w:ascii="Simplified Arabic" w:eastAsia="Times New Roman" w:hAnsi="Simplified Arabic" w:cs="Simplified Arabic" w:hint="cs"/>
          <w:b/>
          <w:sz w:val="24"/>
          <w:szCs w:val="24"/>
          <w:rtl/>
          <w:lang w:val="en-US" w:eastAsia="fr-FR"/>
        </w:rPr>
        <w:t>عمق</w:t>
      </w:r>
      <w:r w:rsidR="00C121B0" w:rsidRPr="00851D30">
        <w:rPr>
          <w:rFonts w:ascii="Simplified Arabic" w:eastAsia="Times New Roman" w:hAnsi="Simplified Arabic" w:cs="Simplified Arabic" w:hint="cs"/>
          <w:b/>
          <w:sz w:val="24"/>
          <w:szCs w:val="24"/>
          <w:rtl/>
          <w:lang w:val="en-US" w:eastAsia="fr-FR"/>
        </w:rPr>
        <w:t xml:space="preserve"> الطرق</w:t>
      </w:r>
      <w:r w:rsidR="00C121B0" w:rsidRPr="00851D30">
        <w:rPr>
          <w:rFonts w:ascii="Simplified Arabic" w:eastAsia="Times New Roman" w:hAnsi="Simplified Arabic" w:cs="Simplified Arabic"/>
          <w:b/>
          <w:sz w:val="24"/>
          <w:szCs w:val="24"/>
          <w:rtl/>
          <w:lang w:val="en-US" w:eastAsia="fr-FR"/>
        </w:rPr>
        <w:t xml:space="preserve"> </w:t>
      </w:r>
      <w:r w:rsidR="00B82EAC" w:rsidRPr="00851D30">
        <w:rPr>
          <w:rFonts w:ascii="Simplified Arabic" w:eastAsia="Times New Roman" w:hAnsi="Simplified Arabic" w:cs="Simplified Arabic" w:hint="cs"/>
          <w:b/>
          <w:sz w:val="24"/>
          <w:szCs w:val="24"/>
          <w:rtl/>
          <w:lang w:val="en-US" w:eastAsia="fr-FR"/>
        </w:rPr>
        <w:t>الرئيسية</w:t>
      </w:r>
      <w:r w:rsidR="00C121B0" w:rsidRPr="00851D30">
        <w:rPr>
          <w:rFonts w:ascii="Simplified Arabic" w:eastAsia="Times New Roman" w:hAnsi="Simplified Arabic" w:cs="Simplified Arabic" w:hint="cs"/>
          <w:b/>
          <w:sz w:val="24"/>
          <w:szCs w:val="24"/>
          <w:rtl/>
          <w:lang w:val="en-US" w:eastAsia="fr-FR"/>
        </w:rPr>
        <w:t xml:space="preserve"> </w:t>
      </w:r>
      <w:r w:rsidR="005A4499" w:rsidRPr="00851D30">
        <w:rPr>
          <w:rFonts w:ascii="Simplified Arabic" w:eastAsia="Times New Roman" w:hAnsi="Simplified Arabic" w:cs="Simplified Arabic" w:hint="cs"/>
          <w:b/>
          <w:sz w:val="24"/>
          <w:szCs w:val="24"/>
          <w:rtl/>
          <w:lang w:val="en-US" w:eastAsia="fr-FR"/>
        </w:rPr>
        <w:t>والثانوية</w:t>
      </w:r>
      <w:r w:rsidR="005A4499" w:rsidRPr="00851D30">
        <w:rPr>
          <w:rFonts w:ascii="Simplified Arabic" w:eastAsia="Times New Roman" w:hAnsi="Simplified Arabic" w:cs="Simplified Arabic"/>
          <w:b/>
          <w:sz w:val="24"/>
          <w:szCs w:val="24"/>
          <w:rtl/>
          <w:lang w:val="en-US" w:eastAsia="fr-FR"/>
        </w:rPr>
        <w:t xml:space="preserve"> </w:t>
      </w:r>
      <w:r w:rsidR="00C121B0" w:rsidRPr="00851D30">
        <w:rPr>
          <w:rFonts w:ascii="Simplified Arabic" w:eastAsia="Times New Roman" w:hAnsi="Simplified Arabic" w:cs="Simplified Arabic"/>
          <w:b/>
          <w:sz w:val="24"/>
          <w:szCs w:val="24"/>
          <w:rtl/>
          <w:lang w:val="en-US" w:eastAsia="fr-FR"/>
        </w:rPr>
        <w:t>على منصة</w:t>
      </w:r>
      <w:r w:rsidR="00C121B0" w:rsidRPr="00851D30">
        <w:rPr>
          <w:rFonts w:asciiTheme="minorBidi" w:eastAsia="Times New Roman" w:hAnsiTheme="minorBidi"/>
          <w:b/>
          <w:sz w:val="24"/>
          <w:szCs w:val="24"/>
          <w:rtl/>
          <w:lang w:val="en-US" w:eastAsia="fr-FR"/>
        </w:rPr>
        <w:t xml:space="preserve"> </w:t>
      </w:r>
      <w:r w:rsidR="00C121B0" w:rsidRPr="00851D30">
        <w:rPr>
          <w:rFonts w:asciiTheme="majorBidi" w:hAnsiTheme="majorBidi" w:cstheme="majorBidi"/>
          <w:sz w:val="24"/>
          <w:szCs w:val="24"/>
          <w:lang w:val="en-US"/>
        </w:rPr>
        <w:t>ArcGIS</w:t>
      </w:r>
      <w:r w:rsidR="00C121B0" w:rsidRPr="00851D30">
        <w:rPr>
          <w:rFonts w:ascii="Simplified Arabic" w:eastAsia="Times New Roman" w:hAnsi="Simplified Arabic" w:cs="Simplified Arabic" w:hint="cs"/>
          <w:b/>
          <w:sz w:val="24"/>
          <w:szCs w:val="24"/>
          <w:rtl/>
          <w:lang w:val="en-US" w:eastAsia="fr-FR"/>
        </w:rPr>
        <w:t>،</w:t>
      </w:r>
      <w:r w:rsidR="00C121B0" w:rsidRPr="00851D30">
        <w:rPr>
          <w:rFonts w:ascii="Simplified Arabic" w:eastAsia="Times New Roman" w:hAnsi="Simplified Arabic" w:cs="Simplified Arabic"/>
          <w:b/>
          <w:sz w:val="24"/>
          <w:szCs w:val="24"/>
          <w:rtl/>
          <w:lang w:val="en-US" w:eastAsia="fr-FR"/>
        </w:rPr>
        <w:t xml:space="preserve"> </w:t>
      </w:r>
      <w:r w:rsidR="00C121B0" w:rsidRPr="00851D30">
        <w:rPr>
          <w:rFonts w:ascii="Simplified Arabic" w:eastAsia="Times New Roman" w:hAnsi="Simplified Arabic" w:cs="Simplified Arabic" w:hint="cs"/>
          <w:b/>
          <w:sz w:val="24"/>
          <w:szCs w:val="24"/>
          <w:rtl/>
          <w:lang w:val="en-US" w:eastAsia="fr-FR"/>
        </w:rPr>
        <w:t>حدد</w:t>
      </w:r>
      <w:r w:rsidR="00C121B0" w:rsidRPr="00851D30">
        <w:rPr>
          <w:rFonts w:ascii="Simplified Arabic" w:eastAsia="Times New Roman" w:hAnsi="Simplified Arabic" w:cs="Simplified Arabic"/>
          <w:b/>
          <w:sz w:val="24"/>
          <w:szCs w:val="24"/>
          <w:rtl/>
          <w:lang w:val="en-US" w:eastAsia="fr-FR"/>
        </w:rPr>
        <w:t xml:space="preserve"> </w:t>
      </w:r>
      <w:r w:rsidR="00C121B0" w:rsidRPr="00851D30">
        <w:rPr>
          <w:rFonts w:ascii="Simplified Arabic" w:eastAsia="Times New Roman" w:hAnsi="Simplified Arabic" w:cs="Simplified Arabic" w:hint="cs"/>
          <w:b/>
          <w:sz w:val="24"/>
          <w:szCs w:val="24"/>
          <w:rtl/>
          <w:lang w:val="en-US" w:eastAsia="fr-FR"/>
        </w:rPr>
        <w:t xml:space="preserve">الخبراء </w:t>
      </w:r>
      <w:r w:rsidR="002E3BBC" w:rsidRPr="00851D30">
        <w:rPr>
          <w:rFonts w:ascii="Simplified Arabic" w:eastAsia="Times New Roman" w:hAnsi="Simplified Arabic" w:cs="Simplified Arabic" w:hint="cs"/>
          <w:b/>
          <w:sz w:val="24"/>
          <w:szCs w:val="24"/>
          <w:rtl/>
          <w:lang w:val="en-US" w:eastAsia="fr-FR"/>
        </w:rPr>
        <w:t>مجالات</w:t>
      </w:r>
      <w:r w:rsidR="00C121B0" w:rsidRPr="00851D30">
        <w:rPr>
          <w:rFonts w:ascii="Simplified Arabic" w:eastAsia="Times New Roman" w:hAnsi="Simplified Arabic" w:cs="Simplified Arabic" w:hint="cs"/>
          <w:b/>
          <w:sz w:val="24"/>
          <w:szCs w:val="24"/>
          <w:rtl/>
          <w:lang w:val="en-US" w:eastAsia="fr-FR"/>
        </w:rPr>
        <w:t xml:space="preserve"> </w:t>
      </w:r>
      <w:r w:rsidR="009055D6">
        <w:rPr>
          <w:rFonts w:ascii="Simplified Arabic" w:eastAsia="Times New Roman" w:hAnsi="Simplified Arabic" w:cs="Simplified Arabic" w:hint="cs"/>
          <w:b/>
          <w:sz w:val="24"/>
          <w:szCs w:val="24"/>
          <w:rtl/>
          <w:lang w:val="en-US" w:eastAsia="fr-FR"/>
        </w:rPr>
        <w:t>كثافة</w:t>
      </w:r>
      <w:r w:rsidR="009055D6" w:rsidRPr="00851D30">
        <w:rPr>
          <w:rFonts w:ascii="Simplified Arabic" w:eastAsia="Times New Roman" w:hAnsi="Simplified Arabic" w:cs="Simplified Arabic" w:hint="cs"/>
          <w:b/>
          <w:sz w:val="24"/>
          <w:szCs w:val="24"/>
          <w:rtl/>
          <w:lang w:val="en-US" w:eastAsia="fr-FR"/>
        </w:rPr>
        <w:t xml:space="preserve"> الطرق </w:t>
      </w:r>
      <w:r w:rsidR="00C121B0" w:rsidRPr="00851D30">
        <w:rPr>
          <w:rFonts w:ascii="Simplified Arabic" w:eastAsia="Times New Roman" w:hAnsi="Simplified Arabic" w:cs="Simplified Arabic" w:hint="cs"/>
          <w:b/>
          <w:sz w:val="24"/>
          <w:szCs w:val="24"/>
          <w:rtl/>
          <w:lang w:val="en-US" w:eastAsia="fr-FR"/>
        </w:rPr>
        <w:t>الاتية</w:t>
      </w:r>
      <w:r w:rsidR="00C121B0" w:rsidRPr="00851D30">
        <w:rPr>
          <w:rFonts w:ascii="Simplified Arabic" w:eastAsia="Times New Roman" w:hAnsi="Simplified Arabic" w:cs="Simplified Arabic"/>
          <w:b/>
          <w:sz w:val="24"/>
          <w:szCs w:val="24"/>
          <w:rtl/>
          <w:lang w:val="en-US" w:eastAsia="fr-FR"/>
        </w:rPr>
        <w:t>: (</w:t>
      </w:r>
      <w:r w:rsidR="00C121B0" w:rsidRPr="00851D30">
        <w:rPr>
          <w:rFonts w:ascii="Simplified Arabic" w:eastAsia="Times New Roman" w:hAnsi="Simplified Arabic" w:cs="Simplified Arabic" w:hint="cs"/>
          <w:b/>
          <w:sz w:val="24"/>
          <w:szCs w:val="24"/>
          <w:rtl/>
          <w:lang w:val="en-US" w:eastAsia="fr-FR"/>
        </w:rPr>
        <w:t>أقل</w:t>
      </w:r>
      <w:r w:rsidR="00C121B0" w:rsidRPr="00851D30">
        <w:rPr>
          <w:rFonts w:ascii="Simplified Arabic" w:eastAsia="Times New Roman" w:hAnsi="Simplified Arabic" w:cs="Simplified Arabic"/>
          <w:b/>
          <w:sz w:val="24"/>
          <w:szCs w:val="24"/>
          <w:rtl/>
          <w:lang w:val="en-US" w:eastAsia="fr-FR"/>
        </w:rPr>
        <w:t xml:space="preserve"> </w:t>
      </w:r>
      <w:r w:rsidR="00C121B0" w:rsidRPr="00851D30">
        <w:rPr>
          <w:rFonts w:ascii="Simplified Arabic" w:eastAsia="Times New Roman" w:hAnsi="Simplified Arabic" w:cs="Simplified Arabic" w:hint="cs"/>
          <w:b/>
          <w:sz w:val="24"/>
          <w:szCs w:val="24"/>
          <w:rtl/>
          <w:lang w:val="en-US" w:eastAsia="fr-FR"/>
        </w:rPr>
        <w:t>من</w:t>
      </w:r>
      <w:r w:rsidR="00C121B0" w:rsidRPr="00851D30">
        <w:rPr>
          <w:rFonts w:ascii="Simplified Arabic" w:eastAsia="Times New Roman" w:hAnsi="Simplified Arabic" w:cs="Simplified Arabic"/>
          <w:b/>
          <w:sz w:val="24"/>
          <w:szCs w:val="24"/>
          <w:rtl/>
          <w:lang w:val="en-US" w:eastAsia="fr-FR"/>
        </w:rPr>
        <w:t xml:space="preserve"> </w:t>
      </w:r>
      <w:r w:rsidR="0070052F">
        <w:rPr>
          <w:rFonts w:ascii="Simplified Arabic" w:eastAsia="Times New Roman" w:hAnsi="Simplified Arabic" w:cs="Simplified Arabic" w:hint="cs"/>
          <w:b/>
          <w:sz w:val="24"/>
          <w:szCs w:val="24"/>
          <w:rtl/>
          <w:lang w:val="en-US" w:eastAsia="fr-FR"/>
        </w:rPr>
        <w:t>1.5 كلم</w:t>
      </w:r>
      <w:r w:rsidR="0070052F" w:rsidRPr="007F5486">
        <w:rPr>
          <w:rFonts w:ascii="Simplified Arabic" w:eastAsia="Times New Roman" w:hAnsi="Simplified Arabic" w:cs="Simplified Arabic"/>
          <w:b/>
          <w:sz w:val="24"/>
          <w:szCs w:val="24"/>
          <w:rtl/>
          <w:lang w:val="en-US" w:eastAsia="fr-FR"/>
        </w:rPr>
        <w:t>/</w:t>
      </w:r>
      <w:r w:rsidR="0070052F">
        <w:rPr>
          <w:rFonts w:ascii="Simplified Arabic" w:eastAsia="Times New Roman" w:hAnsi="Simplified Arabic" w:cs="Simplified Arabic" w:hint="cs"/>
          <w:b/>
          <w:sz w:val="24"/>
          <w:szCs w:val="24"/>
          <w:rtl/>
          <w:lang w:val="en-US" w:eastAsia="fr-FR"/>
        </w:rPr>
        <w:t>كم</w:t>
      </w:r>
      <w:r w:rsidR="0070052F" w:rsidRPr="006729A3">
        <w:rPr>
          <w:rFonts w:ascii="Simplified Arabic" w:eastAsia="Times New Roman" w:hAnsi="Simplified Arabic" w:cs="Simplified Arabic" w:hint="cs"/>
          <w:b/>
          <w:sz w:val="24"/>
          <w:szCs w:val="24"/>
          <w:vertAlign w:val="superscript"/>
          <w:rtl/>
          <w:lang w:val="en-US" w:eastAsia="fr-FR"/>
        </w:rPr>
        <w:t>2</w:t>
      </w:r>
      <w:r w:rsidR="00C121B0" w:rsidRPr="00851D30">
        <w:rPr>
          <w:rFonts w:ascii="Simplified Arabic" w:eastAsia="Times New Roman" w:hAnsi="Simplified Arabic" w:cs="Simplified Arabic"/>
          <w:b/>
          <w:sz w:val="24"/>
          <w:szCs w:val="24"/>
          <w:rtl/>
          <w:lang w:val="en-US" w:eastAsia="fr-FR"/>
        </w:rPr>
        <w:t>)</w:t>
      </w:r>
      <w:r w:rsidR="00C121B0" w:rsidRPr="00851D30">
        <w:rPr>
          <w:rFonts w:ascii="Simplified Arabic" w:eastAsia="Times New Roman" w:hAnsi="Simplified Arabic" w:cs="Simplified Arabic" w:hint="cs"/>
          <w:b/>
          <w:sz w:val="24"/>
          <w:szCs w:val="24"/>
          <w:rtl/>
          <w:lang w:val="en-US" w:eastAsia="fr-FR"/>
        </w:rPr>
        <w:t>،</w:t>
      </w:r>
      <w:r w:rsidR="00C121B0" w:rsidRPr="00851D30">
        <w:rPr>
          <w:rFonts w:ascii="Simplified Arabic" w:eastAsia="Times New Roman" w:hAnsi="Simplified Arabic" w:cs="Simplified Arabic"/>
          <w:b/>
          <w:sz w:val="24"/>
          <w:szCs w:val="24"/>
          <w:rtl/>
          <w:lang w:val="en-US" w:eastAsia="fr-FR"/>
        </w:rPr>
        <w:t xml:space="preserve"> (</w:t>
      </w:r>
      <w:r w:rsidR="0070052F">
        <w:rPr>
          <w:rFonts w:ascii="Simplified Arabic" w:eastAsia="Times New Roman" w:hAnsi="Simplified Arabic" w:cs="Simplified Arabic" w:hint="cs"/>
          <w:b/>
          <w:sz w:val="24"/>
          <w:szCs w:val="24"/>
          <w:rtl/>
          <w:lang w:val="en-US" w:eastAsia="fr-FR"/>
        </w:rPr>
        <w:t>1.5 كلم</w:t>
      </w:r>
      <w:r w:rsidR="0070052F" w:rsidRPr="007F5486">
        <w:rPr>
          <w:rFonts w:ascii="Simplified Arabic" w:eastAsia="Times New Roman" w:hAnsi="Simplified Arabic" w:cs="Simplified Arabic"/>
          <w:b/>
          <w:sz w:val="24"/>
          <w:szCs w:val="24"/>
          <w:rtl/>
          <w:lang w:val="en-US" w:eastAsia="fr-FR"/>
        </w:rPr>
        <w:t>/</w:t>
      </w:r>
      <w:r w:rsidR="0070052F">
        <w:rPr>
          <w:rFonts w:ascii="Simplified Arabic" w:eastAsia="Times New Roman" w:hAnsi="Simplified Arabic" w:cs="Simplified Arabic" w:hint="cs"/>
          <w:b/>
          <w:sz w:val="24"/>
          <w:szCs w:val="24"/>
          <w:rtl/>
          <w:lang w:val="en-US" w:eastAsia="fr-FR"/>
        </w:rPr>
        <w:t>كم</w:t>
      </w:r>
      <w:r w:rsidR="0070052F" w:rsidRPr="006729A3">
        <w:rPr>
          <w:rFonts w:ascii="Simplified Arabic" w:eastAsia="Times New Roman" w:hAnsi="Simplified Arabic" w:cs="Simplified Arabic" w:hint="cs"/>
          <w:b/>
          <w:sz w:val="24"/>
          <w:szCs w:val="24"/>
          <w:vertAlign w:val="superscript"/>
          <w:rtl/>
          <w:lang w:val="en-US" w:eastAsia="fr-FR"/>
        </w:rPr>
        <w:t>2</w:t>
      </w:r>
      <w:r w:rsidR="0070052F">
        <w:rPr>
          <w:rFonts w:ascii="Simplified Arabic" w:eastAsia="Times New Roman" w:hAnsi="Simplified Arabic" w:cs="Simplified Arabic" w:hint="cs"/>
          <w:b/>
          <w:sz w:val="24"/>
          <w:szCs w:val="24"/>
          <w:rtl/>
          <w:lang w:val="en-US" w:eastAsia="fr-FR"/>
        </w:rPr>
        <w:t xml:space="preserve"> </w:t>
      </w:r>
      <w:r w:rsidR="00C121B0" w:rsidRPr="00851D30">
        <w:rPr>
          <w:rFonts w:ascii="Simplified Arabic" w:eastAsia="Times New Roman" w:hAnsi="Simplified Arabic" w:cs="Simplified Arabic" w:hint="cs"/>
          <w:b/>
          <w:sz w:val="24"/>
          <w:szCs w:val="24"/>
          <w:rtl/>
          <w:lang w:val="en-US" w:eastAsia="fr-FR"/>
        </w:rPr>
        <w:t>إلى</w:t>
      </w:r>
      <w:r w:rsidR="00C121B0" w:rsidRPr="00851D30">
        <w:rPr>
          <w:rFonts w:ascii="Simplified Arabic" w:eastAsia="Times New Roman" w:hAnsi="Simplified Arabic" w:cs="Simplified Arabic"/>
          <w:b/>
          <w:sz w:val="24"/>
          <w:szCs w:val="24"/>
          <w:rtl/>
          <w:lang w:val="en-US" w:eastAsia="fr-FR"/>
        </w:rPr>
        <w:t xml:space="preserve"> </w:t>
      </w:r>
      <w:r w:rsidR="0070052F">
        <w:rPr>
          <w:rFonts w:ascii="Simplified Arabic" w:eastAsia="Times New Roman" w:hAnsi="Simplified Arabic" w:cs="Simplified Arabic" w:hint="cs"/>
          <w:b/>
          <w:sz w:val="24"/>
          <w:szCs w:val="24"/>
          <w:rtl/>
          <w:lang w:val="en-US" w:eastAsia="fr-FR"/>
        </w:rPr>
        <w:t>3 كلم</w:t>
      </w:r>
      <w:r w:rsidR="0070052F" w:rsidRPr="007F5486">
        <w:rPr>
          <w:rFonts w:ascii="Simplified Arabic" w:eastAsia="Times New Roman" w:hAnsi="Simplified Arabic" w:cs="Simplified Arabic"/>
          <w:b/>
          <w:sz w:val="24"/>
          <w:szCs w:val="24"/>
          <w:rtl/>
          <w:lang w:val="en-US" w:eastAsia="fr-FR"/>
        </w:rPr>
        <w:t>/</w:t>
      </w:r>
      <w:r w:rsidR="0070052F">
        <w:rPr>
          <w:rFonts w:ascii="Simplified Arabic" w:eastAsia="Times New Roman" w:hAnsi="Simplified Arabic" w:cs="Simplified Arabic" w:hint="cs"/>
          <w:b/>
          <w:sz w:val="24"/>
          <w:szCs w:val="24"/>
          <w:rtl/>
          <w:lang w:val="en-US" w:eastAsia="fr-FR"/>
        </w:rPr>
        <w:t>كم</w:t>
      </w:r>
      <w:r w:rsidR="0070052F" w:rsidRPr="006729A3">
        <w:rPr>
          <w:rFonts w:ascii="Simplified Arabic" w:eastAsia="Times New Roman" w:hAnsi="Simplified Arabic" w:cs="Simplified Arabic" w:hint="cs"/>
          <w:b/>
          <w:sz w:val="24"/>
          <w:szCs w:val="24"/>
          <w:vertAlign w:val="superscript"/>
          <w:rtl/>
          <w:lang w:val="en-US" w:eastAsia="fr-FR"/>
        </w:rPr>
        <w:t>2</w:t>
      </w:r>
      <w:r w:rsidR="00C121B0" w:rsidRPr="00851D30">
        <w:rPr>
          <w:rFonts w:ascii="Simplified Arabic" w:eastAsia="Times New Roman" w:hAnsi="Simplified Arabic" w:cs="Simplified Arabic"/>
          <w:b/>
          <w:sz w:val="24"/>
          <w:szCs w:val="24"/>
          <w:rtl/>
          <w:lang w:val="en-US" w:eastAsia="fr-FR"/>
        </w:rPr>
        <w:t>)</w:t>
      </w:r>
      <w:r w:rsidR="00C121B0" w:rsidRPr="00851D30">
        <w:rPr>
          <w:rFonts w:ascii="Simplified Arabic" w:eastAsia="Times New Roman" w:hAnsi="Simplified Arabic" w:cs="Simplified Arabic" w:hint="cs"/>
          <w:b/>
          <w:sz w:val="24"/>
          <w:szCs w:val="24"/>
          <w:rtl/>
          <w:lang w:val="en-US" w:eastAsia="fr-FR"/>
        </w:rPr>
        <w:t>،</w:t>
      </w:r>
      <w:r w:rsidR="00C121B0" w:rsidRPr="00851D30">
        <w:rPr>
          <w:rFonts w:ascii="Simplified Arabic" w:eastAsia="Times New Roman" w:hAnsi="Simplified Arabic" w:cs="Simplified Arabic"/>
          <w:b/>
          <w:sz w:val="24"/>
          <w:szCs w:val="24"/>
          <w:rtl/>
          <w:lang w:val="en-US" w:eastAsia="fr-FR"/>
        </w:rPr>
        <w:t xml:space="preserve"> (</w:t>
      </w:r>
      <w:r w:rsidR="00C121B0" w:rsidRPr="00851D30">
        <w:rPr>
          <w:rFonts w:ascii="Simplified Arabic" w:eastAsia="Times New Roman" w:hAnsi="Simplified Arabic" w:cs="Simplified Arabic" w:hint="cs"/>
          <w:b/>
          <w:sz w:val="24"/>
          <w:szCs w:val="24"/>
          <w:rtl/>
          <w:lang w:val="en-US" w:eastAsia="fr-FR"/>
        </w:rPr>
        <w:t>أكثر</w:t>
      </w:r>
      <w:r w:rsidR="00C121B0" w:rsidRPr="00851D30">
        <w:rPr>
          <w:rFonts w:ascii="Simplified Arabic" w:eastAsia="Times New Roman" w:hAnsi="Simplified Arabic" w:cs="Simplified Arabic"/>
          <w:b/>
          <w:sz w:val="24"/>
          <w:szCs w:val="24"/>
          <w:rtl/>
          <w:lang w:val="en-US" w:eastAsia="fr-FR"/>
        </w:rPr>
        <w:t xml:space="preserve"> </w:t>
      </w:r>
      <w:r w:rsidR="00C121B0" w:rsidRPr="00851D30">
        <w:rPr>
          <w:rFonts w:ascii="Simplified Arabic" w:eastAsia="Times New Roman" w:hAnsi="Simplified Arabic" w:cs="Simplified Arabic" w:hint="cs"/>
          <w:b/>
          <w:sz w:val="24"/>
          <w:szCs w:val="24"/>
          <w:rtl/>
          <w:lang w:val="en-US" w:eastAsia="fr-FR"/>
        </w:rPr>
        <w:t>من</w:t>
      </w:r>
      <w:r w:rsidR="00C121B0" w:rsidRPr="00851D30">
        <w:rPr>
          <w:rFonts w:ascii="Simplified Arabic" w:eastAsia="Times New Roman" w:hAnsi="Simplified Arabic" w:cs="Simplified Arabic"/>
          <w:b/>
          <w:sz w:val="24"/>
          <w:szCs w:val="24"/>
          <w:rtl/>
          <w:lang w:val="en-US" w:eastAsia="fr-FR"/>
        </w:rPr>
        <w:t xml:space="preserve"> </w:t>
      </w:r>
      <w:r w:rsidR="0070052F">
        <w:rPr>
          <w:rFonts w:ascii="Simplified Arabic" w:eastAsia="Times New Roman" w:hAnsi="Simplified Arabic" w:cs="Simplified Arabic" w:hint="cs"/>
          <w:b/>
          <w:sz w:val="24"/>
          <w:szCs w:val="24"/>
          <w:rtl/>
          <w:lang w:val="en-US" w:eastAsia="fr-FR"/>
        </w:rPr>
        <w:t>3 كلم</w:t>
      </w:r>
      <w:r w:rsidR="0070052F" w:rsidRPr="007F5486">
        <w:rPr>
          <w:rFonts w:ascii="Simplified Arabic" w:eastAsia="Times New Roman" w:hAnsi="Simplified Arabic" w:cs="Simplified Arabic"/>
          <w:b/>
          <w:sz w:val="24"/>
          <w:szCs w:val="24"/>
          <w:rtl/>
          <w:lang w:val="en-US" w:eastAsia="fr-FR"/>
        </w:rPr>
        <w:t>/</w:t>
      </w:r>
      <w:r w:rsidR="0070052F">
        <w:rPr>
          <w:rFonts w:ascii="Simplified Arabic" w:eastAsia="Times New Roman" w:hAnsi="Simplified Arabic" w:cs="Simplified Arabic" w:hint="cs"/>
          <w:b/>
          <w:sz w:val="24"/>
          <w:szCs w:val="24"/>
          <w:rtl/>
          <w:lang w:val="en-US" w:eastAsia="fr-FR"/>
        </w:rPr>
        <w:t>كم</w:t>
      </w:r>
      <w:r w:rsidR="0070052F" w:rsidRPr="006729A3">
        <w:rPr>
          <w:rFonts w:ascii="Simplified Arabic" w:eastAsia="Times New Roman" w:hAnsi="Simplified Arabic" w:cs="Simplified Arabic" w:hint="cs"/>
          <w:b/>
          <w:sz w:val="24"/>
          <w:szCs w:val="24"/>
          <w:vertAlign w:val="superscript"/>
          <w:rtl/>
          <w:lang w:val="en-US" w:eastAsia="fr-FR"/>
        </w:rPr>
        <w:t>2</w:t>
      </w:r>
      <w:r w:rsidR="00C121B0" w:rsidRPr="00851D30">
        <w:rPr>
          <w:rFonts w:ascii="Simplified Arabic" w:eastAsia="Times New Roman" w:hAnsi="Simplified Arabic" w:cs="Simplified Arabic"/>
          <w:b/>
          <w:sz w:val="24"/>
          <w:szCs w:val="24"/>
          <w:rtl/>
          <w:lang w:val="en-US" w:eastAsia="fr-FR"/>
        </w:rPr>
        <w:t>)</w:t>
      </w:r>
      <w:r w:rsidR="00C121B0" w:rsidRPr="00851D30">
        <w:rPr>
          <w:rFonts w:ascii="Simplified Arabic" w:eastAsia="Times New Roman" w:hAnsi="Simplified Arabic" w:cs="Simplified Arabic" w:hint="cs"/>
          <w:b/>
          <w:sz w:val="24"/>
          <w:szCs w:val="24"/>
          <w:rtl/>
          <w:lang w:val="en-US" w:eastAsia="fr-FR"/>
        </w:rPr>
        <w:t xml:space="preserve">، </w:t>
      </w:r>
      <w:r w:rsidR="00C121B0" w:rsidRPr="00851D30">
        <w:rPr>
          <w:rFonts w:ascii="Simplified Arabic" w:eastAsia="Times New Roman" w:hAnsi="Simplified Arabic" w:cs="Simplified Arabic"/>
          <w:b/>
          <w:sz w:val="24"/>
          <w:szCs w:val="24"/>
          <w:rtl/>
          <w:lang w:val="en-US" w:eastAsia="fr-FR"/>
        </w:rPr>
        <w:t xml:space="preserve">الشكل </w:t>
      </w:r>
      <w:r w:rsidR="00C121B0" w:rsidRPr="00851D30">
        <w:rPr>
          <w:rFonts w:ascii="Simplified Arabic" w:eastAsia="Times New Roman" w:hAnsi="Simplified Arabic" w:cs="Simplified Arabic" w:hint="cs"/>
          <w:b/>
          <w:sz w:val="24"/>
          <w:szCs w:val="24"/>
          <w:rtl/>
          <w:lang w:val="en-US" w:eastAsia="fr-FR"/>
        </w:rPr>
        <w:t>(</w:t>
      </w:r>
      <w:r w:rsidR="00E21F67" w:rsidRPr="00851D30">
        <w:rPr>
          <w:rFonts w:ascii="Simplified Arabic" w:eastAsia="Times New Roman" w:hAnsi="Simplified Arabic" w:cs="Simplified Arabic" w:hint="cs"/>
          <w:b/>
          <w:sz w:val="24"/>
          <w:szCs w:val="24"/>
          <w:rtl/>
          <w:lang w:val="en-US" w:eastAsia="fr-FR"/>
        </w:rPr>
        <w:t>5-</w:t>
      </w:r>
      <w:r w:rsidR="00F77B47" w:rsidRPr="00851D30">
        <w:rPr>
          <w:rFonts w:ascii="Simplified Arabic" w:eastAsia="Times New Roman" w:hAnsi="Simplified Arabic" w:cs="Simplified Arabic" w:hint="cs"/>
          <w:b/>
          <w:sz w:val="24"/>
          <w:szCs w:val="24"/>
          <w:rtl/>
          <w:lang w:val="en-US" w:eastAsia="fr-FR"/>
        </w:rPr>
        <w:t>7</w:t>
      </w:r>
      <w:r w:rsidR="00C121B0" w:rsidRPr="00851D30">
        <w:rPr>
          <w:rFonts w:ascii="Simplified Arabic" w:eastAsia="Times New Roman" w:hAnsi="Simplified Arabic" w:cs="Simplified Arabic" w:hint="cs"/>
          <w:b/>
          <w:sz w:val="24"/>
          <w:szCs w:val="24"/>
          <w:rtl/>
          <w:lang w:val="en-US" w:eastAsia="fr-FR"/>
        </w:rPr>
        <w:t>)</w:t>
      </w:r>
      <w:r w:rsidR="00F77B47" w:rsidRPr="00851D30">
        <w:rPr>
          <w:rFonts w:ascii="Simplified Arabic" w:eastAsia="Times New Roman" w:hAnsi="Simplified Arabic" w:cs="Simplified Arabic" w:hint="cs"/>
          <w:b/>
          <w:sz w:val="24"/>
          <w:szCs w:val="24"/>
          <w:rtl/>
          <w:lang w:val="en-US" w:eastAsia="fr-FR"/>
        </w:rPr>
        <w:t>.</w:t>
      </w:r>
      <w:r w:rsidR="00C121B0" w:rsidRPr="00851D30">
        <w:rPr>
          <w:rFonts w:ascii="Simplified Arabic" w:eastAsia="Times New Roman" w:hAnsi="Simplified Arabic" w:cs="Simplified Arabic" w:hint="cs"/>
          <w:b/>
          <w:sz w:val="24"/>
          <w:szCs w:val="24"/>
          <w:rtl/>
          <w:lang w:val="en-US" w:eastAsia="fr-FR"/>
        </w:rPr>
        <w:t xml:space="preserve"> </w:t>
      </w:r>
    </w:p>
    <w:p w:rsidR="006911A8" w:rsidRDefault="006911A8" w:rsidP="009055D6">
      <w:pPr>
        <w:autoSpaceDE w:val="0"/>
        <w:autoSpaceDN w:val="0"/>
        <w:bidi/>
        <w:adjustRightInd w:val="0"/>
        <w:spacing w:after="0"/>
        <w:ind w:firstLine="282"/>
        <w:jc w:val="both"/>
        <w:rPr>
          <w:rFonts w:ascii="Simplified Arabic" w:hAnsi="Simplified Arabic" w:cs="Simplified Arabic"/>
          <w:color w:val="000000" w:themeColor="text1"/>
          <w:sz w:val="24"/>
          <w:szCs w:val="24"/>
          <w:rtl/>
          <w:lang w:val="en-US"/>
        </w:rPr>
      </w:pPr>
      <w:r w:rsidRPr="00B32EC6">
        <w:rPr>
          <w:rStyle w:val="y2iqfc"/>
          <w:rFonts w:ascii="Simplified Arabic" w:hAnsi="Simplified Arabic" w:cs="Simplified Arabic"/>
          <w:color w:val="202124"/>
          <w:sz w:val="24"/>
          <w:szCs w:val="24"/>
          <w:rtl/>
          <w:lang w:val="en-US" w:bidi="ar"/>
        </w:rPr>
        <w:t xml:space="preserve">أظهر التوزيع المكاني </w:t>
      </w:r>
      <w:r w:rsidRPr="00B32EC6">
        <w:rPr>
          <w:rStyle w:val="y2iqfc"/>
          <w:rFonts w:ascii="Simplified Arabic" w:hAnsi="Simplified Arabic" w:cs="Simplified Arabic" w:hint="cs"/>
          <w:color w:val="202124"/>
          <w:sz w:val="24"/>
          <w:szCs w:val="24"/>
          <w:rtl/>
          <w:lang w:val="en-US" w:bidi="ar"/>
        </w:rPr>
        <w:t xml:space="preserve">لعمق الطرق </w:t>
      </w:r>
      <w:r>
        <w:rPr>
          <w:rStyle w:val="y2iqfc"/>
          <w:rFonts w:ascii="Simplified Arabic" w:hAnsi="Simplified Arabic" w:cs="Simplified Arabic" w:hint="cs"/>
          <w:color w:val="202124"/>
          <w:sz w:val="24"/>
          <w:szCs w:val="24"/>
          <w:rtl/>
          <w:lang w:val="en-US" w:bidi="ar"/>
        </w:rPr>
        <w:t>الرئيسية والثانوية</w:t>
      </w:r>
      <w:r w:rsidRPr="00B32EC6">
        <w:rPr>
          <w:rStyle w:val="y2iqfc"/>
          <w:rFonts w:ascii="Simplified Arabic" w:hAnsi="Simplified Arabic" w:cs="Simplified Arabic"/>
          <w:color w:val="202124"/>
          <w:sz w:val="24"/>
          <w:szCs w:val="24"/>
          <w:rtl/>
          <w:lang w:val="en-US" w:bidi="ar"/>
        </w:rPr>
        <w:t xml:space="preserve"> بمدينة بوسعادة</w:t>
      </w:r>
      <w:r>
        <w:rPr>
          <w:rStyle w:val="y2iqfc"/>
          <w:rFonts w:ascii="Simplified Arabic" w:hAnsi="Simplified Arabic" w:cs="Simplified Arabic" w:hint="cs"/>
          <w:color w:val="202124"/>
          <w:sz w:val="24"/>
          <w:szCs w:val="24"/>
          <w:rtl/>
          <w:lang w:val="en-US" w:bidi="ar"/>
        </w:rPr>
        <w:t>،</w:t>
      </w:r>
      <w:r w:rsidRPr="00B32EC6">
        <w:rPr>
          <w:rStyle w:val="y2iqfc"/>
          <w:rFonts w:ascii="Simplified Arabic" w:hAnsi="Simplified Arabic" w:cs="Simplified Arabic"/>
          <w:color w:val="202124"/>
          <w:sz w:val="24"/>
          <w:szCs w:val="24"/>
          <w:rtl/>
          <w:lang w:val="en-US" w:bidi="ar"/>
        </w:rPr>
        <w:t xml:space="preserve"> </w:t>
      </w:r>
      <w:r>
        <w:rPr>
          <w:rFonts w:ascii="Simplified Arabic" w:hAnsi="Simplified Arabic" w:cs="Simplified Arabic" w:hint="cs"/>
          <w:color w:val="000000" w:themeColor="text1"/>
          <w:sz w:val="24"/>
          <w:szCs w:val="24"/>
          <w:rtl/>
          <w:lang w:bidi="ar-DZ"/>
        </w:rPr>
        <w:t xml:space="preserve">الخريطة </w:t>
      </w:r>
      <w:r w:rsidR="00F90C3F">
        <w:rPr>
          <w:rFonts w:ascii="Simplified Arabic" w:hAnsi="Simplified Arabic" w:cs="Simplified Arabic" w:hint="cs"/>
          <w:color w:val="000000" w:themeColor="text1"/>
          <w:sz w:val="24"/>
          <w:szCs w:val="24"/>
          <w:rtl/>
          <w:lang w:bidi="ar-DZ"/>
        </w:rPr>
        <w:t>(</w:t>
      </w:r>
      <w:r>
        <w:rPr>
          <w:rFonts w:ascii="Simplified Arabic" w:eastAsia="Times New Roman" w:hAnsi="Simplified Arabic" w:cs="Simplified Arabic" w:hint="cs"/>
          <w:b/>
          <w:sz w:val="24"/>
          <w:szCs w:val="24"/>
          <w:rtl/>
          <w:lang w:val="en-US" w:eastAsia="fr-FR"/>
        </w:rPr>
        <w:t>(5-7)</w:t>
      </w:r>
      <w:r w:rsidRPr="00B32EC6">
        <w:rPr>
          <w:rStyle w:val="y2iqfc"/>
          <w:rFonts w:ascii="Simplified Arabic" w:hAnsi="Simplified Arabic" w:cs="Simplified Arabic"/>
          <w:color w:val="202124"/>
          <w:sz w:val="24"/>
          <w:szCs w:val="24"/>
          <w:rtl/>
          <w:lang w:val="en-US" w:bidi="ar"/>
        </w:rPr>
        <w:t>، ان</w:t>
      </w:r>
      <w:r w:rsidRPr="00B32EC6">
        <w:rPr>
          <w:rStyle w:val="y2iqfc"/>
          <w:rFonts w:ascii="Simplified Arabic" w:hAnsi="Simplified Arabic" w:cs="Simplified Arabic" w:hint="cs"/>
          <w:color w:val="202124"/>
          <w:sz w:val="24"/>
          <w:szCs w:val="24"/>
          <w:rtl/>
          <w:lang w:val="en-US" w:bidi="ar"/>
        </w:rPr>
        <w:t xml:space="preserve"> اغلب الطرق </w:t>
      </w:r>
      <w:r w:rsidR="007E2037">
        <w:rPr>
          <w:rFonts w:ascii="Simplified Arabic" w:hAnsi="Simplified Arabic" w:cs="Simplified Arabic" w:hint="cs"/>
          <w:color w:val="000000" w:themeColor="text1"/>
          <w:sz w:val="24"/>
          <w:szCs w:val="24"/>
          <w:rtl/>
          <w:lang w:val="en-US"/>
        </w:rPr>
        <w:t xml:space="preserve">الرئيسية والثانوية </w:t>
      </w:r>
      <w:r w:rsidRPr="00B32EC6">
        <w:rPr>
          <w:rStyle w:val="y2iqfc"/>
          <w:rFonts w:ascii="Simplified Arabic" w:hAnsi="Simplified Arabic" w:cs="Simplified Arabic" w:hint="cs"/>
          <w:color w:val="202124"/>
          <w:sz w:val="24"/>
          <w:szCs w:val="24"/>
          <w:rtl/>
          <w:lang w:val="en-US" w:bidi="ar"/>
        </w:rPr>
        <w:t xml:space="preserve">ذات </w:t>
      </w:r>
      <w:r w:rsidRPr="008D2278">
        <w:rPr>
          <w:rStyle w:val="y2iqfc"/>
          <w:rFonts w:ascii="Simplified Arabic" w:hAnsi="Simplified Arabic" w:cs="Simplified Arabic" w:hint="cs"/>
          <w:color w:val="202124"/>
          <w:sz w:val="24"/>
          <w:szCs w:val="24"/>
          <w:rtl/>
          <w:lang w:val="en-US" w:bidi="ar"/>
        </w:rPr>
        <w:t xml:space="preserve">عمق </w:t>
      </w:r>
      <w:r w:rsidR="000F0243">
        <w:rPr>
          <w:rStyle w:val="y2iqfc"/>
          <w:rFonts w:ascii="Simplified Arabic" w:hAnsi="Simplified Arabic" w:cs="Simplified Arabic" w:hint="cs"/>
          <w:color w:val="202124"/>
          <w:sz w:val="24"/>
          <w:szCs w:val="24"/>
          <w:rtl/>
          <w:lang w:val="en-US" w:bidi="ar"/>
        </w:rPr>
        <w:t>يفوق</w:t>
      </w:r>
      <w:r w:rsidRPr="008D2278">
        <w:rPr>
          <w:rStyle w:val="y2iqfc"/>
          <w:rFonts w:ascii="Simplified Arabic" w:hAnsi="Simplified Arabic" w:cs="Simplified Arabic" w:hint="cs"/>
          <w:color w:val="202124"/>
          <w:sz w:val="24"/>
          <w:szCs w:val="24"/>
          <w:rtl/>
          <w:lang w:val="en-US" w:bidi="ar"/>
        </w:rPr>
        <w:t xml:space="preserve"> </w:t>
      </w:r>
      <w:r w:rsidR="000F0243">
        <w:rPr>
          <w:rFonts w:ascii="Simplified Arabic" w:eastAsia="Times New Roman" w:hAnsi="Simplified Arabic" w:cs="Simplified Arabic" w:hint="cs"/>
          <w:b/>
          <w:sz w:val="24"/>
          <w:szCs w:val="24"/>
          <w:rtl/>
          <w:lang w:val="en-US" w:eastAsia="fr-FR"/>
        </w:rPr>
        <w:t>1.</w:t>
      </w:r>
      <w:r w:rsidR="0070052F">
        <w:rPr>
          <w:rFonts w:ascii="Simplified Arabic" w:eastAsia="Times New Roman" w:hAnsi="Simplified Arabic" w:cs="Simplified Arabic" w:hint="cs"/>
          <w:b/>
          <w:sz w:val="24"/>
          <w:szCs w:val="24"/>
          <w:rtl/>
          <w:lang w:val="en-US" w:eastAsia="fr-FR"/>
        </w:rPr>
        <w:t>8</w:t>
      </w:r>
      <w:r w:rsidR="000F0243">
        <w:rPr>
          <w:rFonts w:ascii="Simplified Arabic" w:eastAsia="Times New Roman" w:hAnsi="Simplified Arabic" w:cs="Simplified Arabic" w:hint="cs"/>
          <w:b/>
          <w:sz w:val="24"/>
          <w:szCs w:val="24"/>
          <w:rtl/>
          <w:lang w:val="en-US" w:eastAsia="fr-FR"/>
        </w:rPr>
        <w:t xml:space="preserve"> كلم</w:t>
      </w:r>
      <w:r w:rsidRPr="007F5486">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كم</w:t>
      </w:r>
      <w:r w:rsidRPr="006729A3">
        <w:rPr>
          <w:rFonts w:ascii="Simplified Arabic" w:eastAsia="Times New Roman" w:hAnsi="Simplified Arabic" w:cs="Simplified Arabic" w:hint="cs"/>
          <w:b/>
          <w:sz w:val="24"/>
          <w:szCs w:val="24"/>
          <w:vertAlign w:val="superscript"/>
          <w:rtl/>
          <w:lang w:val="en-US" w:eastAsia="fr-FR"/>
        </w:rPr>
        <w:t>2</w:t>
      </w:r>
      <w:r w:rsidR="000F0243">
        <w:rPr>
          <w:rFonts w:ascii="Simplified Arabic" w:eastAsia="Times New Roman" w:hAnsi="Simplified Arabic" w:cs="Simplified Arabic" w:hint="cs"/>
          <w:b/>
          <w:sz w:val="24"/>
          <w:szCs w:val="24"/>
          <w:rtl/>
          <w:lang w:val="en-US" w:eastAsia="fr-FR"/>
        </w:rPr>
        <w:t xml:space="preserve"> </w:t>
      </w:r>
      <w:r w:rsidRPr="00B32EC6">
        <w:rPr>
          <w:rStyle w:val="y2iqfc"/>
          <w:rFonts w:ascii="Simplified Arabic" w:hAnsi="Simplified Arabic" w:cs="Simplified Arabic" w:hint="cs"/>
          <w:color w:val="202124"/>
          <w:sz w:val="24"/>
          <w:szCs w:val="24"/>
          <w:rtl/>
          <w:lang w:val="en-US" w:bidi="ar"/>
        </w:rPr>
        <w:t>تقع بأ</w:t>
      </w:r>
      <w:r w:rsidR="000F0243">
        <w:rPr>
          <w:rStyle w:val="y2iqfc"/>
          <w:rFonts w:ascii="Simplified Arabic" w:hAnsi="Simplified Arabic" w:cs="Simplified Arabic" w:hint="cs"/>
          <w:color w:val="202124"/>
          <w:sz w:val="24"/>
          <w:szCs w:val="24"/>
          <w:rtl/>
          <w:lang w:val="en-US" w:bidi="ar"/>
        </w:rPr>
        <w:t>حياء ال</w:t>
      </w:r>
      <w:r w:rsidRPr="00B32EC6">
        <w:rPr>
          <w:rStyle w:val="y2iqfc"/>
          <w:rFonts w:ascii="Simplified Arabic" w:hAnsi="Simplified Arabic" w:cs="Simplified Arabic" w:hint="cs"/>
          <w:color w:val="202124"/>
          <w:sz w:val="24"/>
          <w:szCs w:val="24"/>
          <w:rtl/>
          <w:lang w:val="en-US" w:bidi="ar"/>
        </w:rPr>
        <w:t>نس</w:t>
      </w:r>
      <w:r w:rsidR="000F0243">
        <w:rPr>
          <w:rStyle w:val="y2iqfc"/>
          <w:rFonts w:ascii="Simplified Arabic" w:hAnsi="Simplified Arabic" w:cs="Simplified Arabic" w:hint="cs"/>
          <w:color w:val="202124"/>
          <w:sz w:val="24"/>
          <w:szCs w:val="24"/>
          <w:rtl/>
          <w:lang w:val="en-US" w:bidi="ar"/>
        </w:rPr>
        <w:t>ي</w:t>
      </w:r>
      <w:r w:rsidRPr="00B32EC6">
        <w:rPr>
          <w:rStyle w:val="y2iqfc"/>
          <w:rFonts w:ascii="Simplified Arabic" w:hAnsi="Simplified Arabic" w:cs="Simplified Arabic" w:hint="cs"/>
          <w:color w:val="202124"/>
          <w:sz w:val="24"/>
          <w:szCs w:val="24"/>
          <w:rtl/>
          <w:lang w:val="en-US" w:bidi="ar"/>
        </w:rPr>
        <w:t xml:space="preserve">ج </w:t>
      </w:r>
      <w:r w:rsidRPr="00B32EC6">
        <w:rPr>
          <w:rFonts w:ascii="Simplified Arabic" w:hAnsi="Simplified Arabic" w:cs="Simplified Arabic" w:hint="cs"/>
          <w:sz w:val="24"/>
          <w:szCs w:val="24"/>
          <w:rtl/>
        </w:rPr>
        <w:t>الناتج عن التقسيمات</w:t>
      </w:r>
      <w:r w:rsidRPr="00B32EC6">
        <w:rPr>
          <w:rFonts w:ascii="Simplified Arabic" w:hAnsi="Simplified Arabic" w:cs="Simplified Arabic"/>
          <w:sz w:val="24"/>
          <w:szCs w:val="24"/>
          <w:rtl/>
        </w:rPr>
        <w:t xml:space="preserve"> </w:t>
      </w:r>
      <w:r w:rsidRPr="00B32EC6">
        <w:rPr>
          <w:rFonts w:ascii="Simplified Arabic" w:hAnsi="Simplified Arabic" w:cs="Simplified Arabic" w:hint="cs"/>
          <w:sz w:val="24"/>
          <w:szCs w:val="24"/>
          <w:rtl/>
        </w:rPr>
        <w:t>الفرعية</w:t>
      </w:r>
      <w:r w:rsidR="000F0243">
        <w:rPr>
          <w:rFonts w:ascii="Simplified Arabic" w:hAnsi="Simplified Arabic" w:cs="Simplified Arabic" w:hint="cs"/>
          <w:sz w:val="24"/>
          <w:szCs w:val="24"/>
          <w:rtl/>
        </w:rPr>
        <w:t xml:space="preserve"> مسبقة التخطيط</w:t>
      </w:r>
      <w:r w:rsidR="00645810">
        <w:rPr>
          <w:rFonts w:ascii="Simplified Arabic" w:hAnsi="Simplified Arabic" w:cs="Simplified Arabic" w:hint="cs"/>
          <w:sz w:val="24"/>
          <w:szCs w:val="24"/>
          <w:rtl/>
        </w:rPr>
        <w:t xml:space="preserve"> كأحياء:  </w:t>
      </w:r>
      <w:r w:rsidR="00645810" w:rsidRPr="00645810">
        <w:rPr>
          <w:rFonts w:ascii="Simplified Arabic" w:hAnsi="Simplified Arabic" w:cs="Simplified Arabic" w:hint="cs"/>
          <w:sz w:val="24"/>
          <w:szCs w:val="24"/>
          <w:rtl/>
        </w:rPr>
        <w:t>الحمايد،</w:t>
      </w:r>
      <w:r w:rsidR="00645810" w:rsidRPr="00645810">
        <w:rPr>
          <w:rFonts w:ascii="Simplified Arabic" w:hAnsi="Simplified Arabic" w:cs="Simplified Arabic"/>
          <w:sz w:val="24"/>
          <w:szCs w:val="24"/>
          <w:rtl/>
        </w:rPr>
        <w:t xml:space="preserve"> </w:t>
      </w:r>
      <w:r w:rsidR="00645810" w:rsidRPr="00645810">
        <w:rPr>
          <w:rFonts w:ascii="Simplified Arabic" w:hAnsi="Simplified Arabic" w:cs="Simplified Arabic" w:hint="cs"/>
          <w:sz w:val="24"/>
          <w:szCs w:val="24"/>
          <w:rtl/>
        </w:rPr>
        <w:t>كادات</w:t>
      </w:r>
      <w:r w:rsidR="00645810" w:rsidRPr="00645810">
        <w:rPr>
          <w:rFonts w:ascii="Simplified Arabic" w:hAnsi="Simplified Arabic" w:cs="Simplified Arabic"/>
          <w:sz w:val="24"/>
          <w:szCs w:val="24"/>
          <w:rtl/>
        </w:rPr>
        <w:t>/</w:t>
      </w:r>
      <w:r w:rsidR="00645810" w:rsidRPr="00645810">
        <w:rPr>
          <w:rFonts w:ascii="Simplified Arabic" w:hAnsi="Simplified Arabic" w:cs="Simplified Arabic" w:hint="cs"/>
          <w:sz w:val="24"/>
          <w:szCs w:val="24"/>
          <w:rtl/>
        </w:rPr>
        <w:t>سطيح،</w:t>
      </w:r>
      <w:r w:rsidR="00645810" w:rsidRPr="00645810">
        <w:rPr>
          <w:rFonts w:ascii="Simplified Arabic" w:hAnsi="Simplified Arabic" w:cs="Simplified Arabic"/>
          <w:sz w:val="24"/>
          <w:szCs w:val="24"/>
          <w:rtl/>
        </w:rPr>
        <w:t xml:space="preserve"> 20 </w:t>
      </w:r>
      <w:r w:rsidR="00645810" w:rsidRPr="00645810">
        <w:rPr>
          <w:rFonts w:ascii="Simplified Arabic" w:hAnsi="Simplified Arabic" w:cs="Simplified Arabic" w:hint="cs"/>
          <w:sz w:val="24"/>
          <w:szCs w:val="24"/>
          <w:rtl/>
        </w:rPr>
        <w:t>أوت،</w:t>
      </w:r>
      <w:r w:rsidR="00645810" w:rsidRPr="00645810">
        <w:rPr>
          <w:rFonts w:ascii="Simplified Arabic" w:hAnsi="Simplified Arabic" w:cs="Simplified Arabic"/>
          <w:sz w:val="24"/>
          <w:szCs w:val="24"/>
          <w:rtl/>
        </w:rPr>
        <w:t xml:space="preserve"> </w:t>
      </w:r>
      <w:r w:rsidR="00645810" w:rsidRPr="00645810">
        <w:rPr>
          <w:rFonts w:ascii="Simplified Arabic" w:hAnsi="Simplified Arabic" w:cs="Simplified Arabic" w:hint="cs"/>
          <w:sz w:val="24"/>
          <w:szCs w:val="24"/>
          <w:rtl/>
        </w:rPr>
        <w:t>بلاتو،</w:t>
      </w:r>
      <w:r w:rsidR="00645810" w:rsidRPr="00645810">
        <w:rPr>
          <w:rFonts w:ascii="Simplified Arabic" w:hAnsi="Simplified Arabic" w:cs="Simplified Arabic"/>
          <w:sz w:val="24"/>
          <w:szCs w:val="24"/>
          <w:rtl/>
        </w:rPr>
        <w:t xml:space="preserve"> </w:t>
      </w:r>
      <w:r w:rsidR="00645810" w:rsidRPr="00645810">
        <w:rPr>
          <w:rFonts w:ascii="Simplified Arabic" w:hAnsi="Simplified Arabic" w:cs="Simplified Arabic" w:hint="cs"/>
          <w:sz w:val="24"/>
          <w:szCs w:val="24"/>
          <w:rtl/>
        </w:rPr>
        <w:t>الباطن</w:t>
      </w:r>
      <w:r w:rsidR="000F0243">
        <w:rPr>
          <w:rFonts w:ascii="Simplified Arabic" w:hAnsi="Simplified Arabic" w:cs="Simplified Arabic" w:hint="cs"/>
          <w:sz w:val="24"/>
          <w:szCs w:val="24"/>
          <w:rtl/>
        </w:rPr>
        <w:t>.</w:t>
      </w:r>
      <w:r w:rsidRPr="00B32EC6">
        <w:rPr>
          <w:rStyle w:val="y2iqfc"/>
          <w:rFonts w:ascii="Simplified Arabic" w:hAnsi="Simplified Arabic" w:cs="Simplified Arabic" w:hint="cs"/>
          <w:color w:val="202124"/>
          <w:sz w:val="24"/>
          <w:szCs w:val="24"/>
          <w:rtl/>
          <w:lang w:val="en-US" w:bidi="ar"/>
        </w:rPr>
        <w:t xml:space="preserve"> </w:t>
      </w:r>
      <w:r w:rsidR="007E2037">
        <w:rPr>
          <w:rStyle w:val="y2iqfc"/>
          <w:rFonts w:ascii="Simplified Arabic" w:hAnsi="Simplified Arabic" w:cs="Simplified Arabic" w:hint="cs"/>
          <w:color w:val="202124"/>
          <w:sz w:val="24"/>
          <w:szCs w:val="24"/>
          <w:rtl/>
          <w:lang w:val="en-US" w:bidi="ar"/>
        </w:rPr>
        <w:t xml:space="preserve">مع ذلك </w:t>
      </w:r>
      <w:r w:rsidR="003E015E">
        <w:rPr>
          <w:rStyle w:val="y2iqfc"/>
          <w:rFonts w:ascii="Simplified Arabic" w:hAnsi="Simplified Arabic" w:cs="Simplified Arabic" w:hint="cs"/>
          <w:color w:val="202124"/>
          <w:sz w:val="24"/>
          <w:szCs w:val="24"/>
          <w:rtl/>
          <w:lang w:val="en-US" w:bidi="ar"/>
        </w:rPr>
        <w:t>ي</w:t>
      </w:r>
      <w:r w:rsidR="007E2037">
        <w:rPr>
          <w:rStyle w:val="y2iqfc"/>
          <w:rFonts w:ascii="Simplified Arabic" w:hAnsi="Simplified Arabic" w:cs="Simplified Arabic" w:hint="cs"/>
          <w:color w:val="202124"/>
          <w:sz w:val="24"/>
          <w:szCs w:val="24"/>
          <w:rtl/>
          <w:lang w:val="en-US" w:bidi="ar"/>
        </w:rPr>
        <w:t>ستفيد حي القصر</w:t>
      </w:r>
      <w:r w:rsidR="00645810">
        <w:rPr>
          <w:rStyle w:val="y2iqfc"/>
          <w:rFonts w:ascii="Simplified Arabic" w:hAnsi="Simplified Arabic" w:cs="Simplified Arabic" w:hint="cs"/>
          <w:color w:val="202124"/>
          <w:sz w:val="24"/>
          <w:szCs w:val="24"/>
          <w:rtl/>
          <w:lang w:val="en-US" w:bidi="ar"/>
        </w:rPr>
        <w:t>،</w:t>
      </w:r>
      <w:r w:rsidR="007E2037">
        <w:rPr>
          <w:rStyle w:val="y2iqfc"/>
          <w:rFonts w:ascii="Simplified Arabic" w:hAnsi="Simplified Arabic" w:cs="Simplified Arabic" w:hint="cs"/>
          <w:color w:val="202124"/>
          <w:sz w:val="24"/>
          <w:szCs w:val="24"/>
          <w:rtl/>
          <w:lang w:val="en-US" w:bidi="ar"/>
        </w:rPr>
        <w:t xml:space="preserve"> الرصفة/الدشرة القبلية</w:t>
      </w:r>
      <w:r w:rsidR="00645810">
        <w:rPr>
          <w:rStyle w:val="y2iqfc"/>
          <w:rFonts w:ascii="Simplified Arabic" w:hAnsi="Simplified Arabic" w:cs="Simplified Arabic" w:hint="cs"/>
          <w:color w:val="202124"/>
          <w:sz w:val="24"/>
          <w:szCs w:val="24"/>
          <w:rtl/>
          <w:lang w:val="en-US" w:bidi="ar"/>
        </w:rPr>
        <w:t xml:space="preserve">، الموامين، العوينات، </w:t>
      </w:r>
      <w:r w:rsidR="00645810">
        <w:rPr>
          <w:rStyle w:val="y2iqfc"/>
          <w:rFonts w:ascii="Simplified Arabic" w:hAnsi="Simplified Arabic" w:cs="Simplified Arabic" w:hint="cs"/>
          <w:color w:val="202124"/>
          <w:sz w:val="24"/>
          <w:szCs w:val="24"/>
          <w:rtl/>
          <w:lang w:val="en-US" w:bidi="ar"/>
        </w:rPr>
        <w:lastRenderedPageBreak/>
        <w:t>الكوشة/القيسة</w:t>
      </w:r>
      <w:r w:rsidR="007E2037">
        <w:rPr>
          <w:rStyle w:val="y2iqfc"/>
          <w:rFonts w:ascii="Simplified Arabic" w:hAnsi="Simplified Arabic" w:cs="Simplified Arabic" w:hint="cs"/>
          <w:color w:val="202124"/>
          <w:sz w:val="24"/>
          <w:szCs w:val="24"/>
          <w:rtl/>
          <w:lang w:val="en-US" w:bidi="ar"/>
        </w:rPr>
        <w:t xml:space="preserve"> من خدمات </w:t>
      </w:r>
      <w:r w:rsidR="003E015E">
        <w:rPr>
          <w:rStyle w:val="y2iqfc"/>
          <w:rFonts w:ascii="Simplified Arabic" w:hAnsi="Simplified Arabic" w:cs="Simplified Arabic" w:hint="cs"/>
          <w:color w:val="202124"/>
          <w:sz w:val="24"/>
          <w:szCs w:val="24"/>
          <w:rtl/>
          <w:lang w:val="en-US" w:bidi="ar"/>
        </w:rPr>
        <w:t>الطرق الرئيسية والثانوي</w:t>
      </w:r>
      <w:r w:rsidR="009055D6">
        <w:rPr>
          <w:rStyle w:val="y2iqfc"/>
          <w:rFonts w:ascii="Simplified Arabic" w:hAnsi="Simplified Arabic" w:cs="Simplified Arabic" w:hint="cs"/>
          <w:color w:val="202124"/>
          <w:sz w:val="24"/>
          <w:szCs w:val="24"/>
          <w:rtl/>
          <w:lang w:val="en-US" w:bidi="ar"/>
        </w:rPr>
        <w:t>ة</w:t>
      </w:r>
      <w:r w:rsidR="003E015E">
        <w:rPr>
          <w:rStyle w:val="y2iqfc"/>
          <w:rFonts w:ascii="Simplified Arabic" w:hAnsi="Simplified Arabic" w:cs="Simplified Arabic" w:hint="cs"/>
          <w:color w:val="202124"/>
          <w:sz w:val="24"/>
          <w:szCs w:val="24"/>
          <w:rtl/>
          <w:lang w:val="en-US" w:bidi="ar"/>
        </w:rPr>
        <w:t xml:space="preserve"> التي تمر بجانبها </w:t>
      </w:r>
      <w:r w:rsidR="00645810">
        <w:rPr>
          <w:rStyle w:val="y2iqfc"/>
          <w:rFonts w:ascii="Simplified Arabic" w:hAnsi="Simplified Arabic" w:cs="Simplified Arabic" w:hint="cs"/>
          <w:color w:val="202124"/>
          <w:sz w:val="24"/>
          <w:szCs w:val="24"/>
          <w:rtl/>
          <w:lang w:val="en-US" w:bidi="ar"/>
        </w:rPr>
        <w:t xml:space="preserve">او التي تخترق حي سيدي سليمان وميطر </w:t>
      </w:r>
      <w:r w:rsidRPr="00B32EC6">
        <w:rPr>
          <w:rFonts w:ascii="Simplified Arabic" w:hAnsi="Simplified Arabic" w:cs="Simplified Arabic" w:hint="cs"/>
          <w:sz w:val="24"/>
          <w:szCs w:val="24"/>
          <w:rtl/>
        </w:rPr>
        <w:t xml:space="preserve">مما </w:t>
      </w:r>
      <w:r w:rsidRPr="00B32EC6">
        <w:rPr>
          <w:rFonts w:ascii="Simplified Arabic" w:hAnsi="Simplified Arabic" w:cs="Simplified Arabic" w:hint="cs"/>
          <w:sz w:val="24"/>
          <w:szCs w:val="24"/>
          <w:rtl/>
          <w:lang w:val="en-US"/>
        </w:rPr>
        <w:t>يوفر</w:t>
      </w:r>
      <w:r w:rsidRPr="00B32EC6">
        <w:rPr>
          <w:rFonts w:ascii="Simplified Arabic" w:hAnsi="Simplified Arabic" w:cs="Simplified Arabic"/>
          <w:sz w:val="24"/>
          <w:szCs w:val="24"/>
          <w:rtl/>
          <w:lang w:val="en-US"/>
        </w:rPr>
        <w:t xml:space="preserve"> </w:t>
      </w:r>
      <w:r w:rsidRPr="00B32EC6">
        <w:rPr>
          <w:rFonts w:ascii="Simplified Arabic" w:hAnsi="Simplified Arabic" w:cs="Simplified Arabic" w:hint="cs"/>
          <w:sz w:val="24"/>
          <w:szCs w:val="24"/>
          <w:rtl/>
          <w:lang w:val="en-US"/>
        </w:rPr>
        <w:t>فوائد</w:t>
      </w:r>
      <w:r w:rsidRPr="00B32EC6">
        <w:rPr>
          <w:rFonts w:ascii="Simplified Arabic" w:hAnsi="Simplified Arabic" w:cs="Simplified Arabic"/>
          <w:sz w:val="24"/>
          <w:szCs w:val="24"/>
          <w:rtl/>
          <w:lang w:val="en-US"/>
        </w:rPr>
        <w:t xml:space="preserve"> </w:t>
      </w:r>
      <w:r w:rsidRPr="00B32EC6">
        <w:rPr>
          <w:rFonts w:ascii="Simplified Arabic" w:hAnsi="Simplified Arabic" w:cs="Simplified Arabic" w:hint="cs"/>
          <w:sz w:val="24"/>
          <w:szCs w:val="24"/>
          <w:rtl/>
          <w:lang w:val="en-US"/>
        </w:rPr>
        <w:t>كبيرة</w:t>
      </w:r>
      <w:r w:rsidRPr="00B32EC6">
        <w:rPr>
          <w:rFonts w:ascii="Simplified Arabic" w:hAnsi="Simplified Arabic" w:cs="Simplified Arabic"/>
          <w:sz w:val="24"/>
          <w:szCs w:val="24"/>
          <w:rtl/>
          <w:lang w:val="en-US"/>
        </w:rPr>
        <w:t xml:space="preserve"> </w:t>
      </w:r>
      <w:r w:rsidRPr="00B32EC6">
        <w:rPr>
          <w:rFonts w:ascii="Simplified Arabic" w:hAnsi="Simplified Arabic" w:cs="Simplified Arabic" w:hint="cs"/>
          <w:sz w:val="24"/>
          <w:szCs w:val="24"/>
          <w:rtl/>
          <w:lang w:val="en-US"/>
        </w:rPr>
        <w:t>في</w:t>
      </w:r>
      <w:r w:rsidRPr="00B32EC6">
        <w:rPr>
          <w:rFonts w:ascii="Simplified Arabic" w:hAnsi="Simplified Arabic" w:cs="Simplified Arabic"/>
          <w:sz w:val="24"/>
          <w:szCs w:val="24"/>
          <w:rtl/>
          <w:lang w:val="en-US"/>
        </w:rPr>
        <w:t xml:space="preserve"> </w:t>
      </w:r>
      <w:r w:rsidRPr="00B32EC6">
        <w:rPr>
          <w:rFonts w:ascii="Simplified Arabic" w:hAnsi="Simplified Arabic" w:cs="Simplified Arabic" w:hint="cs"/>
          <w:sz w:val="24"/>
          <w:szCs w:val="24"/>
          <w:rtl/>
          <w:lang w:val="en-US"/>
        </w:rPr>
        <w:t>المرونة</w:t>
      </w:r>
      <w:r w:rsidR="000F0243">
        <w:rPr>
          <w:rFonts w:ascii="Simplified Arabic" w:hAnsi="Simplified Arabic" w:cs="Simplified Arabic" w:hint="cs"/>
          <w:sz w:val="24"/>
          <w:szCs w:val="24"/>
          <w:rtl/>
          <w:lang w:val="en-US"/>
        </w:rPr>
        <w:t>.</w:t>
      </w:r>
      <w:r w:rsidRPr="00B32EC6">
        <w:rPr>
          <w:rFonts w:ascii="Simplified Arabic" w:hAnsi="Simplified Arabic" w:cs="Simplified Arabic" w:hint="cs"/>
          <w:sz w:val="24"/>
          <w:szCs w:val="24"/>
          <w:rtl/>
        </w:rPr>
        <w:t xml:space="preserve"> </w:t>
      </w:r>
      <w:r w:rsidRPr="007D73C8">
        <w:rPr>
          <w:rFonts w:ascii="Simplified Arabic" w:hAnsi="Simplified Arabic" w:cs="Simplified Arabic" w:hint="cs"/>
          <w:color w:val="000000" w:themeColor="text1"/>
          <w:sz w:val="24"/>
          <w:szCs w:val="24"/>
          <w:rtl/>
          <w:lang w:val="en-US"/>
        </w:rPr>
        <w:t>قد</w:t>
      </w:r>
      <w:r w:rsidRPr="007D73C8">
        <w:rPr>
          <w:rFonts w:ascii="Simplified Arabic" w:hAnsi="Simplified Arabic" w:cs="Simplified Arabic"/>
          <w:color w:val="000000" w:themeColor="text1"/>
          <w:sz w:val="24"/>
          <w:szCs w:val="24"/>
          <w:rtl/>
          <w:lang w:val="en-US"/>
        </w:rPr>
        <w:t xml:space="preserve"> </w:t>
      </w:r>
      <w:r w:rsidRPr="007D73C8">
        <w:rPr>
          <w:rFonts w:ascii="Simplified Arabic" w:hAnsi="Simplified Arabic" w:cs="Simplified Arabic" w:hint="cs"/>
          <w:color w:val="000000" w:themeColor="text1"/>
          <w:sz w:val="24"/>
          <w:szCs w:val="24"/>
          <w:rtl/>
          <w:lang w:val="en-US"/>
        </w:rPr>
        <w:t>يشير</w:t>
      </w:r>
      <w:r w:rsidRPr="007D73C8">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 xml:space="preserve">ذلك </w:t>
      </w:r>
      <w:r w:rsidRPr="007D73C8">
        <w:rPr>
          <w:rFonts w:ascii="Simplified Arabic" w:hAnsi="Simplified Arabic" w:cs="Simplified Arabic" w:hint="cs"/>
          <w:color w:val="000000" w:themeColor="text1"/>
          <w:sz w:val="24"/>
          <w:szCs w:val="24"/>
          <w:rtl/>
          <w:lang w:val="en-US"/>
        </w:rPr>
        <w:t>إلى</w:t>
      </w:r>
      <w:r w:rsidRPr="007D73C8">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أن</w:t>
      </w:r>
      <w:r w:rsidRPr="007D73C8">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الطرق الرئيسية والثانوية</w:t>
      </w:r>
      <w:r w:rsidR="007E2037">
        <w:rPr>
          <w:rFonts w:ascii="Simplified Arabic" w:hAnsi="Simplified Arabic" w:cs="Simplified Arabic" w:hint="cs"/>
          <w:color w:val="000000" w:themeColor="text1"/>
          <w:sz w:val="24"/>
          <w:szCs w:val="24"/>
          <w:rtl/>
          <w:lang w:val="en-US"/>
        </w:rPr>
        <w:t xml:space="preserve"> الموجودة</w:t>
      </w:r>
      <w:r>
        <w:rPr>
          <w:rFonts w:ascii="Simplified Arabic" w:hAnsi="Simplified Arabic" w:cs="Simplified Arabic" w:hint="cs"/>
          <w:color w:val="000000" w:themeColor="text1"/>
          <w:sz w:val="24"/>
          <w:szCs w:val="24"/>
          <w:rtl/>
          <w:lang w:val="en-US"/>
        </w:rPr>
        <w:t xml:space="preserve"> </w:t>
      </w:r>
      <w:r w:rsidR="007E2037">
        <w:rPr>
          <w:rFonts w:ascii="Simplified Arabic" w:hAnsi="Simplified Arabic" w:cs="Simplified Arabic" w:hint="cs"/>
          <w:color w:val="000000" w:themeColor="text1"/>
          <w:sz w:val="24"/>
          <w:szCs w:val="24"/>
          <w:rtl/>
          <w:lang w:val="en-US"/>
        </w:rPr>
        <w:t xml:space="preserve">بمحور المدينة ووسطها </w:t>
      </w:r>
      <w:r w:rsidRPr="007D73C8">
        <w:rPr>
          <w:rFonts w:ascii="Simplified Arabic" w:hAnsi="Simplified Arabic" w:cs="Simplified Arabic" w:hint="cs"/>
          <w:color w:val="000000" w:themeColor="text1"/>
          <w:sz w:val="24"/>
          <w:szCs w:val="24"/>
          <w:rtl/>
          <w:lang w:val="en-US"/>
        </w:rPr>
        <w:t>أكثر</w:t>
      </w:r>
      <w:r w:rsidRPr="007D73C8">
        <w:rPr>
          <w:rFonts w:ascii="Simplified Arabic" w:hAnsi="Simplified Arabic" w:cs="Simplified Arabic"/>
          <w:color w:val="000000" w:themeColor="text1"/>
          <w:sz w:val="24"/>
          <w:szCs w:val="24"/>
          <w:rtl/>
          <w:lang w:val="en-US"/>
        </w:rPr>
        <w:t xml:space="preserve"> </w:t>
      </w:r>
      <w:r w:rsidR="007E2037" w:rsidRPr="007D73C8">
        <w:rPr>
          <w:rFonts w:ascii="Simplified Arabic" w:hAnsi="Simplified Arabic" w:cs="Simplified Arabic" w:hint="cs"/>
          <w:color w:val="000000" w:themeColor="text1"/>
          <w:sz w:val="24"/>
          <w:szCs w:val="24"/>
          <w:rtl/>
          <w:lang w:val="en-US"/>
        </w:rPr>
        <w:t>احتواء</w:t>
      </w:r>
      <w:r w:rsidRPr="007D73C8">
        <w:rPr>
          <w:rFonts w:ascii="Simplified Arabic" w:hAnsi="Simplified Arabic" w:cs="Simplified Arabic"/>
          <w:color w:val="000000" w:themeColor="text1"/>
          <w:sz w:val="24"/>
          <w:szCs w:val="24"/>
          <w:rtl/>
          <w:lang w:val="en-US"/>
        </w:rPr>
        <w:t xml:space="preserve"> </w:t>
      </w:r>
      <w:r w:rsidR="007E2037">
        <w:rPr>
          <w:rFonts w:ascii="Simplified Arabic" w:hAnsi="Simplified Arabic" w:cs="Simplified Arabic" w:hint="cs"/>
          <w:color w:val="000000" w:themeColor="text1"/>
          <w:sz w:val="24"/>
          <w:szCs w:val="24"/>
          <w:rtl/>
          <w:lang w:val="en-US"/>
        </w:rPr>
        <w:t>للأحياء السكنية التي تمر بها</w:t>
      </w:r>
      <w:r w:rsidR="000F0243">
        <w:rPr>
          <w:rFonts w:ascii="Simplified Arabic" w:hAnsi="Simplified Arabic" w:cs="Simplified Arabic" w:hint="cs"/>
          <w:color w:val="000000" w:themeColor="text1"/>
          <w:sz w:val="24"/>
          <w:szCs w:val="24"/>
          <w:rtl/>
          <w:lang w:val="en-US"/>
        </w:rPr>
        <w:t>، مما</w:t>
      </w:r>
      <w:r w:rsidR="007E2037">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يزيد من</w:t>
      </w:r>
      <w:r w:rsidRPr="007D73C8">
        <w:rPr>
          <w:rFonts w:ascii="Simplified Arabic" w:hAnsi="Simplified Arabic" w:cs="Simplified Arabic"/>
          <w:color w:val="000000" w:themeColor="text1"/>
          <w:sz w:val="24"/>
          <w:szCs w:val="24"/>
          <w:rtl/>
          <w:lang w:val="en-US"/>
        </w:rPr>
        <w:t xml:space="preserve"> </w:t>
      </w:r>
      <w:r w:rsidRPr="00B32EC6">
        <w:rPr>
          <w:rFonts w:ascii="Simplified Arabic" w:hAnsi="Simplified Arabic" w:cs="Simplified Arabic" w:hint="cs"/>
          <w:sz w:val="24"/>
          <w:szCs w:val="24"/>
          <w:rtl/>
        </w:rPr>
        <w:t xml:space="preserve">سهولة التنقل والوصول </w:t>
      </w:r>
      <w:r w:rsidR="007E2037">
        <w:rPr>
          <w:rFonts w:ascii="Simplified Arabic" w:hAnsi="Simplified Arabic" w:cs="Simplified Arabic" w:hint="cs"/>
          <w:sz w:val="24"/>
          <w:szCs w:val="24"/>
          <w:rtl/>
        </w:rPr>
        <w:t>للمرافق</w:t>
      </w:r>
      <w:r>
        <w:rPr>
          <w:rFonts w:ascii="Simplified Arabic" w:hAnsi="Simplified Arabic" w:cs="Simplified Arabic" w:hint="cs"/>
          <w:sz w:val="24"/>
          <w:szCs w:val="24"/>
          <w:rtl/>
        </w:rPr>
        <w:t xml:space="preserve"> و</w:t>
      </w:r>
      <w:r w:rsidR="000F0243">
        <w:rPr>
          <w:rFonts w:ascii="Simplified Arabic" w:hAnsi="Simplified Arabic" w:cs="Simplified Arabic" w:hint="cs"/>
          <w:sz w:val="24"/>
          <w:szCs w:val="24"/>
          <w:rtl/>
        </w:rPr>
        <w:t>ي</w:t>
      </w:r>
      <w:r>
        <w:rPr>
          <w:rFonts w:ascii="Simplified Arabic" w:hAnsi="Simplified Arabic" w:cs="Simplified Arabic" w:hint="cs"/>
          <w:sz w:val="24"/>
          <w:szCs w:val="24"/>
          <w:rtl/>
        </w:rPr>
        <w:t>سهل وعمليات الاجلاء والانقاذ</w:t>
      </w:r>
      <w:r w:rsidRPr="00B32EC6">
        <w:rPr>
          <w:rFonts w:ascii="Simplified Arabic" w:hAnsi="Simplified Arabic" w:cs="Simplified Arabic" w:hint="cs"/>
          <w:color w:val="000000" w:themeColor="text1"/>
          <w:sz w:val="24"/>
          <w:szCs w:val="24"/>
          <w:rtl/>
          <w:lang w:val="en-US"/>
        </w:rPr>
        <w:t xml:space="preserve">. </w:t>
      </w:r>
    </w:p>
    <w:p w:rsidR="00C121B0" w:rsidRDefault="00852616" w:rsidP="007A30E8">
      <w:pPr>
        <w:pStyle w:val="carte"/>
        <w:spacing w:after="0"/>
        <w:rPr>
          <w:rFonts w:eastAsia="Times New Roman"/>
          <w:rtl/>
          <w:lang w:val="en-US" w:eastAsia="fr-FR"/>
        </w:rPr>
      </w:pPr>
      <w:bookmarkStart w:id="706" w:name="_Toc157616606"/>
      <w:bookmarkStart w:id="707" w:name="_Toc171803716"/>
      <w:r w:rsidRPr="00851D30">
        <w:rPr>
          <w:rFonts w:hint="cs"/>
          <w:rtl/>
          <w:lang w:bidi="ar-DZ"/>
        </w:rPr>
        <w:t xml:space="preserve">الخريطة </w:t>
      </w:r>
      <w:r w:rsidRPr="00851D30">
        <w:rPr>
          <w:rFonts w:eastAsia="Times New Roman" w:hint="cs"/>
          <w:rtl/>
          <w:lang w:val="en-US" w:eastAsia="fr-FR"/>
        </w:rPr>
        <w:t>(5-7)</w:t>
      </w:r>
      <w:r w:rsidR="006911A8" w:rsidRPr="00851D30">
        <w:rPr>
          <w:rFonts w:eastAsia="Times New Roman" w:hint="cs"/>
          <w:rtl/>
          <w:lang w:val="en-US" w:eastAsia="fr-FR"/>
        </w:rPr>
        <w:t>-</w:t>
      </w:r>
      <w:r w:rsidRPr="00851D30">
        <w:rPr>
          <w:rFonts w:eastAsia="Times New Roman" w:hint="cs"/>
          <w:rtl/>
          <w:lang w:val="en-US" w:eastAsia="fr-FR"/>
        </w:rPr>
        <w:t xml:space="preserve"> </w:t>
      </w:r>
      <w:r w:rsidR="00C121B0" w:rsidRPr="00851D30">
        <w:rPr>
          <w:rFonts w:hint="cs"/>
          <w:rtl/>
          <w:lang w:bidi="ar-DZ"/>
        </w:rPr>
        <w:t>معيار</w:t>
      </w:r>
      <w:r w:rsidR="00BE23F2" w:rsidRPr="00851D30">
        <w:rPr>
          <w:rFonts w:hint="cs"/>
          <w:rtl/>
          <w:lang w:bidi="ar-DZ"/>
        </w:rPr>
        <w:t xml:space="preserve"> </w:t>
      </w:r>
      <w:r w:rsidR="00F77B47" w:rsidRPr="00851D30">
        <w:rPr>
          <w:rFonts w:hint="cs"/>
          <w:rtl/>
          <w:lang w:bidi="ar-DZ"/>
        </w:rPr>
        <w:t>عمق</w:t>
      </w:r>
      <w:r w:rsidR="00F77B47" w:rsidRPr="00851D30">
        <w:rPr>
          <w:rtl/>
          <w:lang w:bidi="ar-DZ"/>
        </w:rPr>
        <w:t xml:space="preserve"> الطرق</w:t>
      </w:r>
      <w:r w:rsidR="00F77B47" w:rsidRPr="00851D30">
        <w:rPr>
          <w:rFonts w:hint="cs"/>
          <w:rtl/>
          <w:lang w:bidi="ar-DZ"/>
        </w:rPr>
        <w:t xml:space="preserve"> الشريانية</w:t>
      </w:r>
      <w:r w:rsidR="00C121B0" w:rsidRPr="00851D30">
        <w:rPr>
          <w:rFonts w:hint="cs"/>
          <w:rtl/>
          <w:lang w:bidi="ar-DZ"/>
        </w:rPr>
        <w:t xml:space="preserve"> </w:t>
      </w:r>
      <w:r w:rsidR="00A37ACD">
        <w:rPr>
          <w:rFonts w:hint="cs"/>
          <w:rtl/>
          <w:lang w:bidi="ar-DZ"/>
        </w:rPr>
        <w:t>(</w:t>
      </w:r>
      <w:r w:rsidR="00A37ACD" w:rsidRPr="00851D30">
        <w:rPr>
          <w:rFonts w:eastAsia="Times New Roman" w:hint="cs"/>
          <w:rtl/>
          <w:lang w:val="en-US" w:eastAsia="fr-FR"/>
        </w:rPr>
        <w:t>الرئيسية والثانوية</w:t>
      </w:r>
      <w:r w:rsidR="00A37ACD">
        <w:rPr>
          <w:rFonts w:eastAsia="Times New Roman" w:hint="cs"/>
          <w:rtl/>
          <w:lang w:val="en-US" w:eastAsia="fr-FR"/>
        </w:rPr>
        <w:t>)</w:t>
      </w:r>
      <w:bookmarkEnd w:id="706"/>
      <w:bookmarkEnd w:id="707"/>
    </w:p>
    <w:p w:rsidR="007A30E8" w:rsidRPr="007A30E8" w:rsidRDefault="007A30E8" w:rsidP="007A30E8">
      <w:pPr>
        <w:pStyle w:val="fegure"/>
        <w:rPr>
          <w:sz w:val="8"/>
          <w:szCs w:val="24"/>
          <w:rtl/>
          <w:lang w:val="en-US" w:bidi="ar-DZ"/>
        </w:rPr>
      </w:pPr>
      <w:bookmarkStart w:id="708" w:name="_Toc171803717"/>
      <w:r>
        <w:rPr>
          <w:rFonts w:hint="cs"/>
          <w:sz w:val="8"/>
          <w:szCs w:val="24"/>
          <w:rtl/>
          <w:lang w:val="en-US"/>
        </w:rPr>
        <w:t>المصدر: (الباحث، 2022)</w:t>
      </w:r>
      <w:bookmarkEnd w:id="708"/>
    </w:p>
    <w:p w:rsidR="00851D30" w:rsidRDefault="00851D30" w:rsidP="00BA47BF">
      <w:pPr>
        <w:pStyle w:val="NormalWeb"/>
        <w:bidi/>
        <w:spacing w:before="0" w:beforeAutospacing="0" w:after="0" w:afterAutospacing="0"/>
        <w:jc w:val="center"/>
        <w:rPr>
          <w:color w:val="000000"/>
          <w:rtl/>
          <w:lang w:val="en-US"/>
        </w:rPr>
      </w:pPr>
      <w:r>
        <w:rPr>
          <w:noProof/>
          <w:color w:val="000000"/>
          <w:rtl/>
        </w:rPr>
        <w:drawing>
          <wp:inline distT="0" distB="0" distL="0" distR="0" wp14:anchorId="1ECEC0DC" wp14:editId="7CC971EA">
            <wp:extent cx="4017222" cy="4856671"/>
            <wp:effectExtent l="0" t="0" r="2540" b="1270"/>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TC\Desktop\cumule\7.jpg"/>
                    <pic:cNvPicPr>
                      <a:picLocks noChangeAspect="1" noChangeArrowheads="1"/>
                    </pic:cNvPicPr>
                  </pic:nvPicPr>
                  <pic:blipFill rotWithShape="1">
                    <a:blip r:embed="rId246" cstate="print">
                      <a:extLst>
                        <a:ext uri="{28A0092B-C50C-407E-A947-70E740481C1C}">
                          <a14:useLocalDpi xmlns:a14="http://schemas.microsoft.com/office/drawing/2010/main" val="0"/>
                        </a:ext>
                      </a:extLst>
                    </a:blip>
                    <a:srcRect t="8425" b="916"/>
                    <a:stretch/>
                  </pic:blipFill>
                  <pic:spPr bwMode="auto">
                    <a:xfrm>
                      <a:off x="0" y="0"/>
                      <a:ext cx="4017222" cy="4856671"/>
                    </a:xfrm>
                    <a:prstGeom prst="rect">
                      <a:avLst/>
                    </a:prstGeom>
                    <a:noFill/>
                    <a:ln>
                      <a:noFill/>
                    </a:ln>
                    <a:extLst>
                      <a:ext uri="{53640926-AAD7-44D8-BBD7-CCE9431645EC}">
                        <a14:shadowObscured xmlns:a14="http://schemas.microsoft.com/office/drawing/2010/main"/>
                      </a:ext>
                    </a:extLst>
                  </pic:spPr>
                </pic:pic>
              </a:graphicData>
            </a:graphic>
          </wp:inline>
        </w:drawing>
      </w:r>
    </w:p>
    <w:p w:rsidR="00C121B0" w:rsidRPr="001A051A" w:rsidRDefault="00C121B0" w:rsidP="001D0548">
      <w:pPr>
        <w:pStyle w:val="Paragraphedeliste"/>
        <w:numPr>
          <w:ilvl w:val="3"/>
          <w:numId w:val="171"/>
        </w:numPr>
        <w:tabs>
          <w:tab w:val="right" w:pos="992"/>
        </w:tabs>
        <w:bidi/>
        <w:spacing w:before="240" w:after="0"/>
        <w:ind w:left="0" w:firstLine="0"/>
        <w:jc w:val="both"/>
        <w:outlineLvl w:val="2"/>
        <w:rPr>
          <w:rFonts w:ascii="Simplified Arabic" w:hAnsi="Simplified Arabic" w:cs="Simplified Arabic"/>
          <w:b/>
          <w:bCs/>
          <w:sz w:val="24"/>
          <w:szCs w:val="24"/>
          <w:rtl/>
          <w:lang w:val="en-US"/>
        </w:rPr>
      </w:pPr>
      <w:bookmarkStart w:id="709" w:name="_Toc171803718"/>
      <w:r w:rsidRPr="001A051A">
        <w:rPr>
          <w:rFonts w:ascii="Simplified Arabic" w:hAnsi="Simplified Arabic" w:cs="Simplified Arabic"/>
          <w:b/>
          <w:bCs/>
          <w:sz w:val="24"/>
          <w:szCs w:val="24"/>
          <w:rtl/>
          <w:lang w:val="en-US"/>
        </w:rPr>
        <w:t>خريطة المرونة المكانية وترتيب الأحياء</w:t>
      </w:r>
      <w:bookmarkEnd w:id="709"/>
      <w:r w:rsidRPr="001A051A">
        <w:rPr>
          <w:rFonts w:ascii="Simplified Arabic" w:hAnsi="Simplified Arabic" w:cs="Simplified Arabic"/>
          <w:b/>
          <w:bCs/>
          <w:sz w:val="24"/>
          <w:szCs w:val="24"/>
          <w:rtl/>
          <w:lang w:val="en-US"/>
        </w:rPr>
        <w:t xml:space="preserve"> </w:t>
      </w:r>
    </w:p>
    <w:p w:rsidR="00C121B0" w:rsidRDefault="00F8631A" w:rsidP="008621B3">
      <w:pPr>
        <w:bidi/>
        <w:spacing w:after="0"/>
        <w:ind w:firstLine="283"/>
        <w:jc w:val="both"/>
        <w:rPr>
          <w:rFonts w:ascii="Simplified Arabic" w:eastAsia="Times New Roman" w:hAnsi="Simplified Arabic" w:cs="Simplified Arabic"/>
          <w:b/>
          <w:sz w:val="24"/>
          <w:szCs w:val="24"/>
          <w:rtl/>
          <w:lang w:val="en-US" w:eastAsia="fr-FR"/>
        </w:rPr>
      </w:pPr>
      <w:r w:rsidRPr="00CA51A1">
        <w:rPr>
          <w:rFonts w:ascii="Simplified Arabic" w:hAnsi="Simplified Arabic" w:cs="Simplified Arabic"/>
          <w:sz w:val="24"/>
          <w:szCs w:val="24"/>
          <w:rtl/>
        </w:rPr>
        <w:t xml:space="preserve">بعد تجميع البيانات الجغرافية لكل معيار من معايير </w:t>
      </w:r>
      <w:r w:rsidR="00E87B43">
        <w:rPr>
          <w:rFonts w:ascii="Simplified Arabic" w:eastAsia="Times New Roman" w:hAnsi="Simplified Arabic" w:cs="Simplified Arabic" w:hint="cs"/>
          <w:b/>
          <w:sz w:val="24"/>
          <w:szCs w:val="24"/>
          <w:rtl/>
          <w:lang w:val="en-US" w:eastAsia="fr-FR"/>
        </w:rPr>
        <w:t xml:space="preserve">البحث المستخدمة في </w:t>
      </w:r>
      <w:r w:rsidR="007E2037">
        <w:rPr>
          <w:rFonts w:ascii="Simplified Arabic" w:eastAsia="Times New Roman" w:hAnsi="Simplified Arabic" w:cs="Simplified Arabic" w:hint="cs"/>
          <w:b/>
          <w:sz w:val="24"/>
          <w:szCs w:val="24"/>
          <w:rtl/>
          <w:lang w:val="en-US" w:eastAsia="fr-FR"/>
        </w:rPr>
        <w:t>ر</w:t>
      </w:r>
      <w:r>
        <w:rPr>
          <w:rFonts w:ascii="Simplified Arabic" w:eastAsia="Times New Roman" w:hAnsi="Simplified Arabic" w:cs="Simplified Arabic" w:hint="cs"/>
          <w:b/>
          <w:sz w:val="24"/>
          <w:szCs w:val="24"/>
          <w:rtl/>
          <w:lang w:val="en-US" w:eastAsia="fr-FR"/>
        </w:rPr>
        <w:t>سم خرائط المعايير</w:t>
      </w:r>
      <w:r w:rsidR="00C121B0" w:rsidRPr="00CA51A1">
        <w:rPr>
          <w:rFonts w:ascii="Simplified Arabic" w:hAnsi="Simplified Arabic" w:cs="Simplified Arabic"/>
          <w:sz w:val="24"/>
          <w:szCs w:val="24"/>
          <w:rtl/>
        </w:rPr>
        <w:t>، ثم أعيد تصنيفها وفقًا للمسافات المحددة مسبقًا</w:t>
      </w:r>
      <w:r>
        <w:rPr>
          <w:rFonts w:ascii="Simplified Arabic" w:hAnsi="Simplified Arabic" w:cs="Simplified Arabic" w:hint="cs"/>
          <w:sz w:val="24"/>
          <w:szCs w:val="24"/>
          <w:rtl/>
        </w:rPr>
        <w:t xml:space="preserve"> من طرف الخبراء</w:t>
      </w:r>
      <w:r w:rsidR="00C121B0" w:rsidRPr="00CA51A1">
        <w:rPr>
          <w:rFonts w:ascii="Simplified Arabic" w:eastAsia="Times New Roman" w:hAnsi="Simplified Arabic" w:cs="Simplified Arabic"/>
          <w:b/>
          <w:sz w:val="24"/>
          <w:szCs w:val="24"/>
          <w:rtl/>
          <w:lang w:val="en-US" w:eastAsia="fr-FR"/>
        </w:rPr>
        <w:t xml:space="preserve">. تم استخدام طريقة </w:t>
      </w:r>
      <w:r w:rsidR="002C0BFC" w:rsidRPr="00382E29">
        <w:rPr>
          <w:rFonts w:asciiTheme="majorBidi" w:hAnsiTheme="majorBidi" w:cstheme="majorBidi"/>
          <w:sz w:val="24"/>
          <w:szCs w:val="24"/>
          <w:rtl/>
        </w:rPr>
        <w:t>(</w:t>
      </w:r>
      <w:r w:rsidR="002C0BFC" w:rsidRPr="002C0BFC">
        <w:rPr>
          <w:rFonts w:asciiTheme="majorBidi" w:hAnsiTheme="majorBidi" w:cstheme="majorBidi"/>
          <w:sz w:val="24"/>
          <w:szCs w:val="24"/>
        </w:rPr>
        <w:t>Xu et al., 2011</w:t>
      </w:r>
      <w:r w:rsidR="002C0BFC" w:rsidRPr="00382E29">
        <w:rPr>
          <w:rFonts w:asciiTheme="majorBidi" w:hAnsiTheme="majorBidi" w:cstheme="majorBidi"/>
          <w:sz w:val="24"/>
          <w:szCs w:val="24"/>
          <w:rtl/>
        </w:rPr>
        <w:t>)</w:t>
      </w:r>
      <w:r w:rsidR="002C0BFC">
        <w:rPr>
          <w:rFonts w:asciiTheme="majorBidi" w:hAnsiTheme="majorBidi" w:cstheme="majorBidi" w:hint="cs"/>
          <w:sz w:val="24"/>
          <w:szCs w:val="24"/>
          <w:rtl/>
        </w:rPr>
        <w:t xml:space="preserve"> </w:t>
      </w:r>
      <w:r w:rsidR="00C121B0" w:rsidRPr="00CA51A1">
        <w:rPr>
          <w:rFonts w:ascii="Simplified Arabic" w:eastAsia="Times New Roman" w:hAnsi="Simplified Arabic" w:cs="Simplified Arabic"/>
          <w:b/>
          <w:sz w:val="24"/>
          <w:szCs w:val="24"/>
          <w:rtl/>
          <w:lang w:val="en-US" w:eastAsia="fr-FR"/>
        </w:rPr>
        <w:t>لإعادة التصنيف</w:t>
      </w:r>
      <w:r w:rsidR="00E17AB8">
        <w:rPr>
          <w:rFonts w:ascii="Simplified Arabic" w:eastAsia="Times New Roman" w:hAnsi="Simplified Arabic" w:cs="Simplified Arabic" w:hint="cs"/>
          <w:b/>
          <w:sz w:val="24"/>
          <w:szCs w:val="24"/>
          <w:rtl/>
          <w:lang w:val="en-US" w:eastAsia="fr-FR"/>
        </w:rPr>
        <w:t xml:space="preserve"> </w:t>
      </w:r>
      <w:r w:rsidR="00C121B0" w:rsidRPr="00CA51A1">
        <w:rPr>
          <w:rFonts w:ascii="Simplified Arabic" w:eastAsia="Times New Roman" w:hAnsi="Simplified Arabic" w:cs="Simplified Arabic"/>
          <w:b/>
          <w:sz w:val="24"/>
          <w:szCs w:val="24"/>
          <w:rtl/>
          <w:lang w:val="en-US" w:eastAsia="fr-FR"/>
        </w:rPr>
        <w:t xml:space="preserve">التي تقسم الطبقات إلى ثلاث فئات باستخدام متوسط المعلمات والانحراف المعياري. </w:t>
      </w:r>
      <w:r w:rsidR="001F2FCF" w:rsidRPr="00CA51A1">
        <w:rPr>
          <w:rFonts w:ascii="Simplified Arabic" w:eastAsia="Times New Roman" w:hAnsi="Simplified Arabic" w:cs="Simplified Arabic"/>
          <w:b/>
          <w:sz w:val="24"/>
          <w:szCs w:val="24"/>
          <w:rtl/>
          <w:lang w:val="en-US" w:eastAsia="fr-FR"/>
        </w:rPr>
        <w:t xml:space="preserve">تم </w:t>
      </w:r>
      <w:r w:rsidR="001F2FCF">
        <w:rPr>
          <w:rFonts w:ascii="Simplified Arabic" w:eastAsia="Times New Roman" w:hAnsi="Simplified Arabic" w:cs="Simplified Arabic" w:hint="cs"/>
          <w:b/>
          <w:sz w:val="24"/>
          <w:szCs w:val="24"/>
          <w:rtl/>
          <w:lang w:val="en-US" w:eastAsia="fr-FR"/>
        </w:rPr>
        <w:t>تصنيف مستويات</w:t>
      </w:r>
      <w:r w:rsidR="001F2FCF" w:rsidRPr="00CA51A1">
        <w:rPr>
          <w:rFonts w:ascii="Simplified Arabic" w:eastAsia="Times New Roman" w:hAnsi="Simplified Arabic" w:cs="Simplified Arabic"/>
          <w:b/>
          <w:sz w:val="24"/>
          <w:szCs w:val="24"/>
          <w:rtl/>
          <w:lang w:val="en-US" w:eastAsia="fr-FR"/>
        </w:rPr>
        <w:t xml:space="preserve"> المرونة</w:t>
      </w:r>
      <w:r w:rsidR="00C121B0" w:rsidRPr="00CA51A1">
        <w:rPr>
          <w:rFonts w:ascii="Simplified Arabic" w:eastAsia="Times New Roman" w:hAnsi="Simplified Arabic" w:cs="Simplified Arabic"/>
          <w:b/>
          <w:sz w:val="24"/>
          <w:szCs w:val="24"/>
          <w:rtl/>
          <w:lang w:val="en-US" w:eastAsia="fr-FR"/>
        </w:rPr>
        <w:t xml:space="preserve"> </w:t>
      </w:r>
      <w:r w:rsidR="002C0BFC">
        <w:rPr>
          <w:rFonts w:ascii="Simplified Arabic" w:eastAsia="Times New Roman" w:hAnsi="Simplified Arabic" w:cs="Simplified Arabic" w:hint="cs"/>
          <w:b/>
          <w:sz w:val="24"/>
          <w:szCs w:val="24"/>
          <w:rtl/>
          <w:lang w:val="en-US" w:eastAsia="fr-FR"/>
        </w:rPr>
        <w:t>ب</w:t>
      </w:r>
      <w:r w:rsidR="00C121B0" w:rsidRPr="00CA51A1">
        <w:rPr>
          <w:rFonts w:ascii="Simplified Arabic" w:eastAsia="Times New Roman" w:hAnsi="Simplified Arabic" w:cs="Simplified Arabic"/>
          <w:b/>
          <w:sz w:val="24"/>
          <w:szCs w:val="24"/>
          <w:rtl/>
          <w:lang w:val="en-US" w:eastAsia="fr-FR"/>
        </w:rPr>
        <w:t xml:space="preserve">استخدام طريقة التركيبة الخطية الموزونة </w:t>
      </w:r>
      <w:r w:rsidR="00C121B0" w:rsidRPr="002960EB">
        <w:rPr>
          <w:rFonts w:asciiTheme="majorBidi" w:eastAsia="Times New Roman" w:hAnsiTheme="majorBidi" w:cstheme="majorBidi"/>
          <w:b/>
          <w:sz w:val="24"/>
          <w:szCs w:val="24"/>
          <w:rtl/>
          <w:lang w:val="en-US" w:eastAsia="fr-FR"/>
        </w:rPr>
        <w:t>(</w:t>
      </w:r>
      <w:r w:rsidR="00C121B0" w:rsidRPr="0054240E">
        <w:rPr>
          <w:rStyle w:val="y2iqfc"/>
          <w:rFonts w:asciiTheme="majorBidi" w:hAnsiTheme="majorBidi" w:cstheme="majorBidi"/>
          <w:color w:val="202124"/>
          <w:sz w:val="24"/>
          <w:szCs w:val="24"/>
          <w:lang w:bidi="ar-DZ"/>
        </w:rPr>
        <w:t>WLC</w:t>
      </w:r>
      <w:r w:rsidR="00C121B0" w:rsidRPr="002960EB">
        <w:rPr>
          <w:rFonts w:asciiTheme="majorBidi" w:eastAsia="Times New Roman" w:hAnsiTheme="majorBidi" w:cstheme="majorBidi"/>
          <w:b/>
          <w:sz w:val="24"/>
          <w:szCs w:val="24"/>
          <w:rtl/>
          <w:lang w:val="en-US" w:eastAsia="fr-FR"/>
        </w:rPr>
        <w:t>)</w:t>
      </w:r>
      <w:r w:rsidR="00C121B0" w:rsidRPr="00CA51A1">
        <w:rPr>
          <w:rFonts w:ascii="Simplified Arabic" w:eastAsia="Times New Roman" w:hAnsi="Simplified Arabic" w:cs="Simplified Arabic"/>
          <w:b/>
          <w:sz w:val="24"/>
          <w:szCs w:val="24"/>
          <w:rtl/>
          <w:lang w:val="en-US" w:eastAsia="fr-FR"/>
        </w:rPr>
        <w:t xml:space="preserve"> لدمج </w:t>
      </w:r>
      <w:r w:rsidR="001F2FCF" w:rsidRPr="00CA51A1">
        <w:rPr>
          <w:rFonts w:ascii="Simplified Arabic" w:eastAsia="Times New Roman" w:hAnsi="Simplified Arabic" w:cs="Simplified Arabic"/>
          <w:b/>
          <w:sz w:val="24"/>
          <w:szCs w:val="24"/>
          <w:rtl/>
          <w:lang w:val="en-US" w:eastAsia="fr-FR"/>
        </w:rPr>
        <w:t>الطبقات الموزونة</w:t>
      </w:r>
      <w:r w:rsidR="00C121B0" w:rsidRPr="00CA51A1">
        <w:rPr>
          <w:rFonts w:ascii="Simplified Arabic" w:eastAsia="Times New Roman" w:hAnsi="Simplified Arabic" w:cs="Simplified Arabic"/>
          <w:b/>
          <w:sz w:val="24"/>
          <w:szCs w:val="24"/>
          <w:rtl/>
          <w:lang w:val="en-US" w:eastAsia="fr-FR"/>
        </w:rPr>
        <w:t xml:space="preserve">. في هذه الطريقة، </w:t>
      </w:r>
      <w:r w:rsidR="002C0BFC">
        <w:rPr>
          <w:rFonts w:ascii="Simplified Arabic" w:eastAsia="Times New Roman" w:hAnsi="Simplified Arabic" w:cs="Simplified Arabic" w:hint="cs"/>
          <w:b/>
          <w:sz w:val="24"/>
          <w:szCs w:val="24"/>
          <w:rtl/>
          <w:lang w:val="en-US" w:eastAsia="fr-FR"/>
        </w:rPr>
        <w:t>ي</w:t>
      </w:r>
      <w:r w:rsidR="00C121B0" w:rsidRPr="00CA51A1">
        <w:rPr>
          <w:rFonts w:ascii="Simplified Arabic" w:eastAsia="Times New Roman" w:hAnsi="Simplified Arabic" w:cs="Simplified Arabic"/>
          <w:b/>
          <w:sz w:val="24"/>
          <w:szCs w:val="24"/>
          <w:rtl/>
          <w:lang w:val="en-US" w:eastAsia="fr-FR"/>
        </w:rPr>
        <w:t xml:space="preserve">تم ضرب الأوزان </w:t>
      </w:r>
      <w:r w:rsidR="000E0E6A">
        <w:rPr>
          <w:rFonts w:ascii="Simplified Arabic" w:eastAsia="Times New Roman" w:hAnsi="Simplified Arabic" w:cs="Simplified Arabic" w:hint="cs"/>
          <w:b/>
          <w:sz w:val="24"/>
          <w:szCs w:val="24"/>
          <w:rtl/>
          <w:lang w:val="en-US" w:eastAsia="fr-FR"/>
        </w:rPr>
        <w:t>المستمدة</w:t>
      </w:r>
      <w:r w:rsidR="00C121B0" w:rsidRPr="00CA51A1">
        <w:rPr>
          <w:rFonts w:ascii="Simplified Arabic" w:eastAsia="Times New Roman" w:hAnsi="Simplified Arabic" w:cs="Simplified Arabic"/>
          <w:b/>
          <w:sz w:val="24"/>
          <w:szCs w:val="24"/>
          <w:rtl/>
          <w:lang w:val="en-US" w:eastAsia="fr-FR"/>
        </w:rPr>
        <w:t xml:space="preserve"> من</w:t>
      </w:r>
      <w:r w:rsidR="00C121B0">
        <w:rPr>
          <w:rFonts w:ascii="Simplified Arabic" w:eastAsia="Times New Roman" w:hAnsi="Simplified Arabic" w:cs="Simplified Arabic" w:hint="cs"/>
          <w:b/>
          <w:sz w:val="24"/>
          <w:szCs w:val="24"/>
          <w:rtl/>
          <w:lang w:val="en-US" w:eastAsia="fr-FR"/>
        </w:rPr>
        <w:t xml:space="preserve"> </w:t>
      </w:r>
      <w:r w:rsidR="00E17AB8">
        <w:rPr>
          <w:rFonts w:ascii="Simplified Arabic" w:eastAsia="Times New Roman" w:hAnsi="Simplified Arabic" w:cs="Simplified Arabic" w:hint="cs"/>
          <w:b/>
          <w:sz w:val="24"/>
          <w:szCs w:val="24"/>
          <w:rtl/>
          <w:lang w:val="en-US" w:eastAsia="fr-FR"/>
        </w:rPr>
        <w:t xml:space="preserve">عملية </w:t>
      </w:r>
      <w:r w:rsidR="00C121B0" w:rsidRPr="002960EB">
        <w:rPr>
          <w:rFonts w:asciiTheme="majorBidi" w:eastAsia="Times New Roman" w:hAnsiTheme="majorBidi" w:cstheme="majorBidi"/>
          <w:b/>
          <w:sz w:val="24"/>
          <w:szCs w:val="24"/>
          <w:rtl/>
          <w:lang w:val="en-US" w:eastAsia="fr-FR"/>
        </w:rPr>
        <w:t>(</w:t>
      </w:r>
      <w:r w:rsidR="00C121B0" w:rsidRPr="002960EB">
        <w:rPr>
          <w:rStyle w:val="y2iqfc"/>
          <w:rFonts w:asciiTheme="majorBidi" w:hAnsiTheme="majorBidi" w:cstheme="majorBidi"/>
          <w:color w:val="202124"/>
          <w:sz w:val="24"/>
          <w:szCs w:val="24"/>
          <w:lang w:bidi="ar-DZ"/>
        </w:rPr>
        <w:t>AHP</w:t>
      </w:r>
      <w:r w:rsidR="00C121B0" w:rsidRPr="002960EB">
        <w:rPr>
          <w:rFonts w:asciiTheme="majorBidi" w:eastAsia="Times New Roman" w:hAnsiTheme="majorBidi" w:cstheme="majorBidi"/>
          <w:b/>
          <w:sz w:val="24"/>
          <w:szCs w:val="24"/>
          <w:rtl/>
          <w:lang w:val="en-US" w:eastAsia="fr-FR"/>
        </w:rPr>
        <w:t>)</w:t>
      </w:r>
      <w:r w:rsidR="00C121B0" w:rsidRPr="00CA51A1">
        <w:rPr>
          <w:rFonts w:ascii="Simplified Arabic" w:eastAsia="Times New Roman" w:hAnsi="Simplified Arabic" w:cs="Simplified Arabic"/>
          <w:b/>
          <w:sz w:val="24"/>
          <w:szCs w:val="24"/>
          <w:rtl/>
          <w:lang w:val="en-US" w:eastAsia="fr-FR"/>
        </w:rPr>
        <w:t xml:space="preserve"> في خريطة المعلمة، وأخيرًا، تتم إضافة جميع الطبقات الموزونة معًا</w:t>
      </w:r>
      <w:r w:rsidR="002C0BFC" w:rsidRPr="00CA51A1">
        <w:rPr>
          <w:rFonts w:ascii="Simplified Arabic" w:eastAsia="Times New Roman" w:hAnsi="Simplified Arabic" w:cs="Simplified Arabic"/>
          <w:b/>
          <w:sz w:val="24"/>
          <w:szCs w:val="24"/>
          <w:rtl/>
          <w:lang w:val="en-US" w:eastAsia="fr-FR"/>
        </w:rPr>
        <w:t>،</w:t>
      </w:r>
      <w:r w:rsidR="002C0BFC" w:rsidRPr="002C0BFC">
        <w:rPr>
          <w:rFonts w:ascii="Simplified Arabic" w:eastAsia="Times New Roman" w:hAnsi="Simplified Arabic" w:cs="Simplified Arabic" w:hint="cs"/>
          <w:b/>
          <w:sz w:val="24"/>
          <w:szCs w:val="24"/>
          <w:rtl/>
          <w:lang w:val="en-US" w:eastAsia="fr-FR"/>
        </w:rPr>
        <w:t xml:space="preserve"> </w:t>
      </w:r>
      <w:r w:rsidR="002C0BFC">
        <w:rPr>
          <w:rFonts w:ascii="Simplified Arabic" w:eastAsia="Times New Roman" w:hAnsi="Simplified Arabic" w:cs="Simplified Arabic" w:hint="cs"/>
          <w:b/>
          <w:sz w:val="24"/>
          <w:szCs w:val="24"/>
          <w:rtl/>
          <w:lang w:val="en-US" w:eastAsia="fr-FR"/>
        </w:rPr>
        <w:t xml:space="preserve">كما هو مبين في </w:t>
      </w:r>
      <w:r w:rsidR="002C0BFC">
        <w:rPr>
          <w:rFonts w:ascii="Simplified Arabic" w:hAnsi="Simplified Arabic" w:cs="Simplified Arabic" w:hint="cs"/>
          <w:color w:val="000000" w:themeColor="text1"/>
          <w:sz w:val="24"/>
          <w:szCs w:val="24"/>
          <w:rtl/>
          <w:lang w:bidi="ar-DZ"/>
        </w:rPr>
        <w:t xml:space="preserve">الخريطة </w:t>
      </w:r>
      <w:r w:rsidR="002C0BFC">
        <w:rPr>
          <w:rFonts w:ascii="Simplified Arabic" w:eastAsia="Times New Roman" w:hAnsi="Simplified Arabic" w:cs="Simplified Arabic" w:hint="cs"/>
          <w:b/>
          <w:sz w:val="24"/>
          <w:szCs w:val="24"/>
          <w:rtl/>
          <w:lang w:val="en-US" w:eastAsia="fr-FR"/>
        </w:rPr>
        <w:t>(5-</w:t>
      </w:r>
      <w:r w:rsidR="00552505">
        <w:rPr>
          <w:rFonts w:ascii="Simplified Arabic" w:eastAsia="Times New Roman" w:hAnsi="Simplified Arabic" w:cs="Simplified Arabic" w:hint="cs"/>
          <w:b/>
          <w:sz w:val="24"/>
          <w:szCs w:val="24"/>
          <w:rtl/>
          <w:lang w:val="en-US" w:eastAsia="fr-FR"/>
        </w:rPr>
        <w:t>8</w:t>
      </w:r>
      <w:r w:rsidR="002C0BFC">
        <w:rPr>
          <w:rFonts w:ascii="Simplified Arabic" w:eastAsia="Times New Roman" w:hAnsi="Simplified Arabic" w:cs="Simplified Arabic" w:hint="cs"/>
          <w:b/>
          <w:sz w:val="24"/>
          <w:szCs w:val="24"/>
          <w:rtl/>
          <w:lang w:val="en-US" w:eastAsia="fr-FR"/>
        </w:rPr>
        <w:t>)</w:t>
      </w:r>
      <w:r w:rsidR="00C121B0" w:rsidRPr="00CA51A1">
        <w:rPr>
          <w:rFonts w:ascii="Simplified Arabic" w:eastAsia="Times New Roman" w:hAnsi="Simplified Arabic" w:cs="Simplified Arabic"/>
          <w:b/>
          <w:sz w:val="24"/>
          <w:szCs w:val="24"/>
          <w:rtl/>
          <w:lang w:val="en-US" w:eastAsia="fr-FR"/>
        </w:rPr>
        <w:t>.</w:t>
      </w:r>
      <w:r w:rsidR="00C121B0">
        <w:rPr>
          <w:rFonts w:ascii="Simplified Arabic" w:eastAsia="Times New Roman" w:hAnsi="Simplified Arabic" w:cs="Simplified Arabic" w:hint="cs"/>
          <w:b/>
          <w:sz w:val="24"/>
          <w:szCs w:val="24"/>
          <w:rtl/>
          <w:lang w:val="en-US" w:eastAsia="fr-FR"/>
        </w:rPr>
        <w:t xml:space="preserve"> </w:t>
      </w:r>
    </w:p>
    <w:p w:rsidR="00FD3D45" w:rsidRDefault="00FD3D45" w:rsidP="007A30E8">
      <w:pPr>
        <w:pStyle w:val="carte"/>
        <w:spacing w:after="0"/>
        <w:rPr>
          <w:color w:val="000000" w:themeColor="text1"/>
          <w:rtl/>
          <w:lang w:bidi="ar-DZ"/>
        </w:rPr>
      </w:pPr>
      <w:bookmarkStart w:id="710" w:name="_Toc157616607"/>
    </w:p>
    <w:p w:rsidR="00FD3D45" w:rsidRDefault="00FD3D45" w:rsidP="007A30E8">
      <w:pPr>
        <w:pStyle w:val="carte"/>
        <w:spacing w:after="0"/>
        <w:rPr>
          <w:color w:val="000000" w:themeColor="text1"/>
          <w:rtl/>
          <w:lang w:bidi="ar-DZ"/>
        </w:rPr>
      </w:pPr>
    </w:p>
    <w:p w:rsidR="00C121B0" w:rsidRDefault="00852616" w:rsidP="00FD3D45">
      <w:pPr>
        <w:pStyle w:val="carte"/>
        <w:spacing w:before="0" w:after="0"/>
        <w:rPr>
          <w:rtl/>
          <w:lang w:eastAsia="fr-FR"/>
        </w:rPr>
      </w:pPr>
      <w:bookmarkStart w:id="711" w:name="_Toc171803719"/>
      <w:r>
        <w:rPr>
          <w:rFonts w:hint="cs"/>
          <w:color w:val="000000" w:themeColor="text1"/>
          <w:rtl/>
          <w:lang w:bidi="ar-DZ"/>
        </w:rPr>
        <w:lastRenderedPageBreak/>
        <w:t xml:space="preserve">الخريطة </w:t>
      </w:r>
      <w:r>
        <w:rPr>
          <w:rFonts w:hint="cs"/>
          <w:rtl/>
          <w:lang w:eastAsia="fr-FR"/>
        </w:rPr>
        <w:t>(5-</w:t>
      </w:r>
      <w:r w:rsidR="00552505">
        <w:rPr>
          <w:rFonts w:hint="cs"/>
          <w:rtl/>
          <w:lang w:eastAsia="fr-FR"/>
        </w:rPr>
        <w:t>8</w:t>
      </w:r>
      <w:r>
        <w:rPr>
          <w:rFonts w:hint="cs"/>
          <w:rtl/>
          <w:lang w:eastAsia="fr-FR"/>
        </w:rPr>
        <w:t xml:space="preserve">): </w:t>
      </w:r>
      <w:r w:rsidR="00C121B0">
        <w:rPr>
          <w:rFonts w:hint="cs"/>
          <w:rtl/>
          <w:lang w:eastAsia="fr-FR"/>
        </w:rPr>
        <w:t>تصنيف المرونة الحضرية لاحياء مدينة بوسعادة</w:t>
      </w:r>
      <w:bookmarkEnd w:id="710"/>
      <w:bookmarkEnd w:id="711"/>
    </w:p>
    <w:p w:rsidR="007A30E8" w:rsidRPr="007A30E8" w:rsidRDefault="007A30E8" w:rsidP="00FD3D45">
      <w:pPr>
        <w:pStyle w:val="fegure"/>
        <w:rPr>
          <w:sz w:val="8"/>
          <w:szCs w:val="24"/>
          <w:lang w:val="en-US" w:bidi="ar-DZ"/>
        </w:rPr>
      </w:pPr>
      <w:bookmarkStart w:id="712" w:name="_Toc171803720"/>
      <w:r>
        <w:rPr>
          <w:rFonts w:hint="cs"/>
          <w:sz w:val="8"/>
          <w:szCs w:val="24"/>
          <w:rtl/>
          <w:lang w:val="en-US"/>
        </w:rPr>
        <w:t>المصدر: (الباحث، 2022)</w:t>
      </w:r>
      <w:bookmarkEnd w:id="712"/>
    </w:p>
    <w:p w:rsidR="005768EE" w:rsidRDefault="005768EE" w:rsidP="005768EE">
      <w:pPr>
        <w:bidi/>
        <w:spacing w:after="0" w:line="240" w:lineRule="auto"/>
        <w:jc w:val="center"/>
        <w:rPr>
          <w:rFonts w:asciiTheme="majorBidi" w:hAnsiTheme="majorBidi" w:cstheme="majorBidi"/>
          <w:rtl/>
          <w:lang w:eastAsia="fr-FR"/>
        </w:rPr>
      </w:pPr>
      <w:r>
        <w:rPr>
          <w:rFonts w:asciiTheme="majorBidi" w:hAnsiTheme="majorBidi" w:cstheme="majorBidi"/>
          <w:noProof/>
          <w:lang w:eastAsia="fr-FR"/>
        </w:rPr>
        <w:drawing>
          <wp:inline distT="0" distB="0" distL="0" distR="0" wp14:anchorId="57240E79" wp14:editId="1D4C2A86">
            <wp:extent cx="4269254" cy="5167222"/>
            <wp:effectExtent l="0" t="0" r="0" b="0"/>
            <wp:docPr id="188" name="Imag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TC\Downloads\خريطة نهائية.jpg"/>
                    <pic:cNvPicPr>
                      <a:picLocks noChangeAspect="1" noChangeArrowheads="1"/>
                    </pic:cNvPicPr>
                  </pic:nvPicPr>
                  <pic:blipFill rotWithShape="1">
                    <a:blip r:embed="rId247" cstate="print">
                      <a:extLst>
                        <a:ext uri="{28A0092B-C50C-407E-A947-70E740481C1C}">
                          <a14:useLocalDpi xmlns:a14="http://schemas.microsoft.com/office/drawing/2010/main" val="0"/>
                        </a:ext>
                      </a:extLst>
                    </a:blip>
                    <a:srcRect t="8454" b="784"/>
                    <a:stretch/>
                  </pic:blipFill>
                  <pic:spPr bwMode="auto">
                    <a:xfrm>
                      <a:off x="0" y="0"/>
                      <a:ext cx="4271080" cy="5169432"/>
                    </a:xfrm>
                    <a:prstGeom prst="rect">
                      <a:avLst/>
                    </a:prstGeom>
                    <a:noFill/>
                    <a:ln>
                      <a:noFill/>
                    </a:ln>
                    <a:extLst>
                      <a:ext uri="{53640926-AAD7-44D8-BBD7-CCE9431645EC}">
                        <a14:shadowObscured xmlns:a14="http://schemas.microsoft.com/office/drawing/2010/main"/>
                      </a:ext>
                    </a:extLst>
                  </pic:spPr>
                </pic:pic>
              </a:graphicData>
            </a:graphic>
          </wp:inline>
        </w:drawing>
      </w:r>
    </w:p>
    <w:p w:rsidR="008621B3" w:rsidRDefault="008621B3" w:rsidP="008621B3">
      <w:pPr>
        <w:bidi/>
        <w:spacing w:after="0"/>
        <w:ind w:firstLine="283"/>
        <w:jc w:val="both"/>
        <w:rPr>
          <w:rFonts w:ascii="Simplified Arabic" w:eastAsia="Times New Roman" w:hAnsi="Simplified Arabic" w:cs="Simplified Arabic"/>
          <w:b/>
          <w:sz w:val="24"/>
          <w:szCs w:val="24"/>
          <w:rtl/>
          <w:lang w:val="en-US" w:eastAsia="fr-FR"/>
        </w:rPr>
      </w:pPr>
      <w:r>
        <w:rPr>
          <w:rFonts w:ascii="Simplified Arabic" w:eastAsia="Times New Roman" w:hAnsi="Simplified Arabic" w:cs="Simplified Arabic" w:hint="cs"/>
          <w:b/>
          <w:sz w:val="24"/>
          <w:szCs w:val="24"/>
          <w:rtl/>
          <w:lang w:val="en-US" w:eastAsia="fr-FR"/>
        </w:rPr>
        <w:t xml:space="preserve">يلخص النموذج الموضح في </w:t>
      </w:r>
      <w:r w:rsidRPr="00552505">
        <w:rPr>
          <w:rFonts w:ascii="Simplified Arabic" w:eastAsia="Times New Roman" w:hAnsi="Simplified Arabic" w:cs="Simplified Arabic" w:hint="cs"/>
          <w:b/>
          <w:sz w:val="24"/>
          <w:szCs w:val="24"/>
          <w:rtl/>
          <w:lang w:val="en-US" w:eastAsia="fr-FR"/>
        </w:rPr>
        <w:t>الشكل (5-8)</w:t>
      </w:r>
      <w:r>
        <w:rPr>
          <w:rFonts w:ascii="Simplified Arabic" w:eastAsia="Times New Roman" w:hAnsi="Simplified Arabic" w:cs="Simplified Arabic" w:hint="cs"/>
          <w:b/>
          <w:sz w:val="24"/>
          <w:szCs w:val="24"/>
          <w:rtl/>
          <w:lang w:val="en-US" w:eastAsia="fr-FR"/>
        </w:rPr>
        <w:t xml:space="preserve"> الادوات المستخدمة في التحليل المكاني والشبكي.</w:t>
      </w:r>
      <w:r w:rsidRPr="00CA51A1">
        <w:rPr>
          <w:rFonts w:ascii="Simplified Arabic" w:eastAsia="Times New Roman" w:hAnsi="Simplified Arabic" w:cs="Simplified Arabic"/>
          <w:b/>
          <w:sz w:val="24"/>
          <w:szCs w:val="24"/>
          <w:rtl/>
          <w:lang w:val="en-US" w:eastAsia="fr-FR"/>
        </w:rPr>
        <w:t xml:space="preserve"> </w:t>
      </w:r>
    </w:p>
    <w:p w:rsidR="00C121B0" w:rsidRDefault="00C121B0" w:rsidP="00FD3D45">
      <w:pPr>
        <w:pStyle w:val="fegure"/>
        <w:rPr>
          <w:sz w:val="6"/>
          <w:szCs w:val="22"/>
          <w:rtl/>
          <w:lang w:eastAsia="fr-FR"/>
        </w:rPr>
      </w:pPr>
      <w:bookmarkStart w:id="713" w:name="_Toc171803721"/>
      <w:r w:rsidRPr="008B4DD2">
        <w:rPr>
          <w:rFonts w:hint="cs"/>
          <w:sz w:val="6"/>
          <w:szCs w:val="22"/>
          <w:rtl/>
          <w:lang w:eastAsia="fr-FR"/>
        </w:rPr>
        <w:t>الشكل (</w:t>
      </w:r>
      <w:r w:rsidR="008F7575" w:rsidRPr="008B4DD2">
        <w:rPr>
          <w:rFonts w:hint="cs"/>
          <w:sz w:val="6"/>
          <w:szCs w:val="22"/>
          <w:rtl/>
          <w:lang w:eastAsia="fr-FR"/>
        </w:rPr>
        <w:t>5-8</w:t>
      </w:r>
      <w:r w:rsidRPr="008B4DD2">
        <w:rPr>
          <w:rFonts w:hint="cs"/>
          <w:sz w:val="6"/>
          <w:szCs w:val="22"/>
          <w:rtl/>
          <w:lang w:eastAsia="fr-FR"/>
        </w:rPr>
        <w:t>): نموذج  ادوات التحليل المكاني</w:t>
      </w:r>
      <w:r w:rsidRPr="008B4DD2">
        <w:rPr>
          <w:sz w:val="6"/>
          <w:szCs w:val="22"/>
          <w:rtl/>
          <w:lang w:eastAsia="fr-FR"/>
        </w:rPr>
        <w:t xml:space="preserve"> </w:t>
      </w:r>
      <w:r w:rsidRPr="008B4DD2">
        <w:rPr>
          <w:rFonts w:hint="cs"/>
          <w:sz w:val="6"/>
          <w:szCs w:val="22"/>
          <w:rtl/>
          <w:lang w:eastAsia="fr-FR"/>
        </w:rPr>
        <w:t>لخريطة تصنيفات المرونة الحضرية لمدينة بوسعادة</w:t>
      </w:r>
      <w:bookmarkEnd w:id="713"/>
    </w:p>
    <w:p w:rsidR="007A30E8" w:rsidRPr="007A30E8" w:rsidRDefault="007A30E8" w:rsidP="005A6107">
      <w:pPr>
        <w:pStyle w:val="fegure"/>
        <w:rPr>
          <w:sz w:val="8"/>
          <w:szCs w:val="24"/>
          <w:lang w:val="en-US" w:bidi="ar-DZ"/>
        </w:rPr>
      </w:pPr>
      <w:bookmarkStart w:id="714" w:name="_Toc171803722"/>
      <w:r>
        <w:rPr>
          <w:rFonts w:hint="cs"/>
          <w:sz w:val="8"/>
          <w:szCs w:val="24"/>
          <w:rtl/>
          <w:lang w:val="en-US"/>
        </w:rPr>
        <w:t>المصدر: (الباحث، 2022)</w:t>
      </w:r>
      <w:bookmarkEnd w:id="714"/>
    </w:p>
    <w:p w:rsidR="00055268" w:rsidRPr="002960EB" w:rsidRDefault="00055268" w:rsidP="005768EE">
      <w:pPr>
        <w:bidi/>
        <w:spacing w:after="0" w:line="240" w:lineRule="auto"/>
        <w:jc w:val="center"/>
        <w:rPr>
          <w:rFonts w:ascii="Simplified Arabic" w:hAnsi="Simplified Arabic" w:cs="Simplified Arabic"/>
          <w:sz w:val="24"/>
          <w:szCs w:val="24"/>
          <w:rtl/>
          <w:lang w:val="en-US" w:eastAsia="fr-FR"/>
        </w:rPr>
      </w:pPr>
      <w:r>
        <w:rPr>
          <w:rFonts w:asciiTheme="majorBidi" w:hAnsiTheme="majorBidi" w:cstheme="majorBidi"/>
          <w:noProof/>
          <w:lang w:eastAsia="fr-FR"/>
        </w:rPr>
        <w:drawing>
          <wp:inline distT="0" distB="0" distL="0" distR="0" wp14:anchorId="0E08261B" wp14:editId="69AAA1F6">
            <wp:extent cx="3524770" cy="2303253"/>
            <wp:effectExtent l="19050" t="19050" r="19050" b="20955"/>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TC\Downloads\خريطة نهائية.jpg"/>
                    <pic:cNvPicPr>
                      <a:picLocks noChangeAspect="1" noChangeArrowheads="1"/>
                    </pic:cNvPicPr>
                  </pic:nvPicPr>
                  <pic:blipFill rotWithShape="1">
                    <a:blip r:embed="rId248" cstate="print">
                      <a:extLst>
                        <a:ext uri="{28A0092B-C50C-407E-A947-70E740481C1C}">
                          <a14:useLocalDpi xmlns:a14="http://schemas.microsoft.com/office/drawing/2010/main" val="0"/>
                        </a:ext>
                      </a:extLst>
                    </a:blip>
                    <a:srcRect l="4555" b="14837"/>
                    <a:stretch/>
                  </pic:blipFill>
                  <pic:spPr bwMode="auto">
                    <a:xfrm>
                      <a:off x="0" y="0"/>
                      <a:ext cx="3522812" cy="2301974"/>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C121B0" w:rsidRPr="006F2A40" w:rsidRDefault="00C121B0" w:rsidP="001D0548">
      <w:pPr>
        <w:pStyle w:val="Paragraphedeliste"/>
        <w:numPr>
          <w:ilvl w:val="3"/>
          <w:numId w:val="172"/>
        </w:numPr>
        <w:tabs>
          <w:tab w:val="right" w:pos="992"/>
        </w:tabs>
        <w:bidi/>
        <w:spacing w:before="240" w:after="0"/>
        <w:ind w:left="0" w:firstLine="0"/>
        <w:jc w:val="both"/>
        <w:outlineLvl w:val="2"/>
        <w:rPr>
          <w:rFonts w:ascii="Simplified Arabic" w:hAnsi="Simplified Arabic" w:cs="Simplified Arabic"/>
          <w:b/>
          <w:bCs/>
          <w:sz w:val="24"/>
          <w:szCs w:val="24"/>
          <w:rtl/>
        </w:rPr>
      </w:pPr>
      <w:bookmarkStart w:id="715" w:name="_Toc171803723"/>
      <w:r w:rsidRPr="006F2A40">
        <w:rPr>
          <w:rFonts w:ascii="Simplified Arabic" w:hAnsi="Simplified Arabic" w:cs="Simplified Arabic"/>
          <w:b/>
          <w:bCs/>
          <w:sz w:val="24"/>
          <w:szCs w:val="24"/>
          <w:rtl/>
        </w:rPr>
        <w:lastRenderedPageBreak/>
        <w:t>مناقشة نتائج تقييم المرونة الحضرية</w:t>
      </w:r>
      <w:bookmarkEnd w:id="715"/>
    </w:p>
    <w:p w:rsidR="000E0E6A" w:rsidRPr="00F90C3F" w:rsidRDefault="001F2FCF" w:rsidP="008621B3">
      <w:pPr>
        <w:autoSpaceDE w:val="0"/>
        <w:autoSpaceDN w:val="0"/>
        <w:bidi/>
        <w:adjustRightInd w:val="0"/>
        <w:spacing w:after="0"/>
        <w:ind w:firstLine="282"/>
        <w:jc w:val="both"/>
        <w:rPr>
          <w:rFonts w:ascii="Simplified Arabic" w:hAnsi="Simplified Arabic" w:cs="Simplified Arabic"/>
        </w:rPr>
      </w:pPr>
      <w:r w:rsidRPr="001D020A">
        <w:rPr>
          <w:rFonts w:ascii="Simplified Arabic" w:hAnsi="Simplified Arabic" w:cs="Simplified Arabic" w:hint="cs"/>
          <w:sz w:val="24"/>
          <w:szCs w:val="24"/>
          <w:rtl/>
          <w:lang w:val="en-US"/>
        </w:rPr>
        <w:t>بعد</w:t>
      </w:r>
      <w:r w:rsidRPr="001D020A">
        <w:rPr>
          <w:rFonts w:ascii="Simplified Arabic" w:hAnsi="Simplified Arabic" w:cs="Simplified Arabic"/>
          <w:sz w:val="24"/>
          <w:szCs w:val="24"/>
          <w:rtl/>
          <w:lang w:val="en-US"/>
        </w:rPr>
        <w:t xml:space="preserve"> </w:t>
      </w:r>
      <w:r w:rsidRPr="001D020A">
        <w:rPr>
          <w:rFonts w:ascii="Simplified Arabic" w:hAnsi="Simplified Arabic" w:cs="Simplified Arabic" w:hint="cs"/>
          <w:sz w:val="24"/>
          <w:szCs w:val="24"/>
          <w:rtl/>
          <w:lang w:val="en-US"/>
        </w:rPr>
        <w:t>تصدير</w:t>
      </w:r>
      <w:r w:rsidRPr="001D020A">
        <w:rPr>
          <w:rFonts w:ascii="Simplified Arabic" w:hAnsi="Simplified Arabic" w:cs="Simplified Arabic"/>
          <w:sz w:val="24"/>
          <w:szCs w:val="24"/>
          <w:rtl/>
          <w:lang w:val="en-US"/>
        </w:rPr>
        <w:t xml:space="preserve"> </w:t>
      </w:r>
      <w:r w:rsidRPr="001D020A">
        <w:rPr>
          <w:rFonts w:ascii="Simplified Arabic" w:hAnsi="Simplified Arabic" w:cs="Simplified Arabic" w:hint="cs"/>
          <w:sz w:val="24"/>
          <w:szCs w:val="24"/>
          <w:rtl/>
          <w:lang w:val="en-US"/>
        </w:rPr>
        <w:t>جداول</w:t>
      </w:r>
      <w:r w:rsidRPr="001D020A">
        <w:rPr>
          <w:rFonts w:ascii="Simplified Arabic" w:hAnsi="Simplified Arabic" w:cs="Simplified Arabic"/>
          <w:sz w:val="24"/>
          <w:szCs w:val="24"/>
          <w:rtl/>
          <w:lang w:val="en-US"/>
        </w:rPr>
        <w:t xml:space="preserve"> </w:t>
      </w:r>
      <w:r w:rsidRPr="001D020A">
        <w:rPr>
          <w:rFonts w:ascii="Simplified Arabic" w:hAnsi="Simplified Arabic" w:cs="Simplified Arabic" w:hint="cs"/>
          <w:sz w:val="24"/>
          <w:szCs w:val="24"/>
          <w:rtl/>
          <w:lang w:val="en-US"/>
        </w:rPr>
        <w:t>البيانات</w:t>
      </w:r>
      <w:r w:rsidRPr="001D020A">
        <w:rPr>
          <w:rFonts w:ascii="Simplified Arabic" w:hAnsi="Simplified Arabic" w:cs="Simplified Arabic"/>
          <w:sz w:val="24"/>
          <w:szCs w:val="24"/>
          <w:rtl/>
          <w:lang w:val="en-US"/>
        </w:rPr>
        <w:t xml:space="preserve"> باستخدام</w:t>
      </w:r>
      <w:r w:rsidRPr="00355E23">
        <w:rPr>
          <w:rFonts w:asciiTheme="majorBidi" w:hAnsiTheme="majorBidi"/>
          <w:rtl/>
        </w:rPr>
        <w:t xml:space="preserve"> </w:t>
      </w:r>
      <w:r>
        <w:rPr>
          <w:rFonts w:asciiTheme="majorBidi" w:hAnsiTheme="majorBidi" w:cstheme="majorBidi" w:hint="cs"/>
          <w:rtl/>
        </w:rPr>
        <w:t>2010</w:t>
      </w:r>
      <w:r w:rsidRPr="00355E23">
        <w:rPr>
          <w:rFonts w:asciiTheme="majorBidi" w:hAnsiTheme="majorBidi" w:cstheme="majorBidi"/>
        </w:rPr>
        <w:t>Microsoft Excel</w:t>
      </w:r>
      <w:r w:rsidRPr="001D020A">
        <w:rPr>
          <w:rFonts w:ascii="Simplified Arabic" w:hAnsi="Simplified Arabic" w:cs="Simplified Arabic" w:hint="cs"/>
          <w:sz w:val="24"/>
          <w:szCs w:val="24"/>
          <w:rtl/>
          <w:lang w:val="en-US"/>
        </w:rPr>
        <w:t xml:space="preserve"> </w:t>
      </w:r>
      <w:r w:rsidRPr="00F90C3F">
        <w:rPr>
          <w:rFonts w:ascii="Simplified Arabic" w:hAnsi="Simplified Arabic" w:cs="Simplified Arabic"/>
          <w:sz w:val="24"/>
          <w:szCs w:val="24"/>
          <w:rtl/>
          <w:lang w:val="en-US"/>
        </w:rPr>
        <w:t>المرتبطة بتصنيف مستويات المرونة</w:t>
      </w:r>
      <w:r w:rsidR="000E0E6A" w:rsidRPr="00F90C3F">
        <w:rPr>
          <w:rFonts w:ascii="Simplified Arabic" w:hAnsi="Simplified Arabic" w:cs="Simplified Arabic"/>
          <w:sz w:val="24"/>
          <w:szCs w:val="24"/>
          <w:rtl/>
          <w:lang w:val="en-US"/>
        </w:rPr>
        <w:t>،</w:t>
      </w:r>
      <w:r w:rsidRPr="00F90C3F">
        <w:rPr>
          <w:rFonts w:ascii="Simplified Arabic" w:hAnsi="Simplified Arabic" w:cs="Simplified Arabic"/>
          <w:sz w:val="24"/>
          <w:szCs w:val="24"/>
          <w:rtl/>
        </w:rPr>
        <w:t xml:space="preserve"> </w:t>
      </w:r>
      <w:r w:rsidR="000E0E6A" w:rsidRPr="00F90C3F">
        <w:rPr>
          <w:rFonts w:ascii="Simplified Arabic" w:hAnsi="Simplified Arabic" w:cs="Simplified Arabic"/>
          <w:sz w:val="24"/>
          <w:szCs w:val="24"/>
          <w:rtl/>
        </w:rPr>
        <w:t>ا</w:t>
      </w:r>
      <w:r w:rsidR="001D020A" w:rsidRPr="00F90C3F">
        <w:rPr>
          <w:rFonts w:ascii="Simplified Arabic" w:hAnsi="Simplified Arabic" w:cs="Simplified Arabic"/>
          <w:sz w:val="24"/>
          <w:szCs w:val="24"/>
          <w:rtl/>
        </w:rPr>
        <w:t>ظهر</w:t>
      </w:r>
      <w:r w:rsidR="000E0E6A" w:rsidRPr="00F90C3F">
        <w:rPr>
          <w:rFonts w:ascii="Simplified Arabic" w:hAnsi="Simplified Arabic" w:cs="Simplified Arabic"/>
          <w:sz w:val="24"/>
          <w:szCs w:val="24"/>
          <w:rtl/>
        </w:rPr>
        <w:t>ت</w:t>
      </w:r>
      <w:r w:rsidR="001D020A" w:rsidRPr="00F90C3F">
        <w:rPr>
          <w:rFonts w:ascii="Simplified Arabic" w:hAnsi="Simplified Arabic" w:cs="Simplified Arabic"/>
          <w:sz w:val="24"/>
          <w:szCs w:val="24"/>
          <w:rtl/>
        </w:rPr>
        <w:t xml:space="preserve"> النتائج بالجدول </w:t>
      </w:r>
      <w:r w:rsidR="001D020A" w:rsidRPr="00F90C3F">
        <w:rPr>
          <w:rFonts w:ascii="Simplified Arabic" w:hAnsi="Simplified Arabic" w:cs="Simplified Arabic"/>
          <w:sz w:val="24"/>
          <w:szCs w:val="24"/>
          <w:rtl/>
          <w:lang w:val="en-US"/>
        </w:rPr>
        <w:t>(5-15)</w:t>
      </w:r>
      <w:r w:rsidR="001D020A" w:rsidRPr="00F90C3F">
        <w:rPr>
          <w:rFonts w:ascii="Simplified Arabic" w:hAnsi="Simplified Arabic" w:cs="Simplified Arabic"/>
          <w:sz w:val="24"/>
          <w:szCs w:val="24"/>
          <w:rtl/>
        </w:rPr>
        <w:t>،</w:t>
      </w:r>
      <w:r w:rsidR="001D020A" w:rsidRPr="00F90C3F">
        <w:rPr>
          <w:rFonts w:ascii="Simplified Arabic" w:hAnsi="Simplified Arabic" w:cs="Simplified Arabic"/>
          <w:sz w:val="24"/>
          <w:szCs w:val="24"/>
          <w:rtl/>
          <w:lang w:val="en-US"/>
        </w:rPr>
        <w:t xml:space="preserve"> </w:t>
      </w:r>
      <w:r w:rsidR="00C121B0" w:rsidRPr="00F90C3F">
        <w:rPr>
          <w:rFonts w:ascii="Simplified Arabic" w:hAnsi="Simplified Arabic" w:cs="Simplified Arabic"/>
          <w:sz w:val="24"/>
          <w:szCs w:val="24"/>
          <w:rtl/>
          <w:lang w:val="en-US"/>
        </w:rPr>
        <w:t>أن</w:t>
      </w:r>
      <w:r w:rsidR="00C121B0" w:rsidRPr="00F90C3F">
        <w:rPr>
          <w:rFonts w:ascii="Simplified Arabic" w:hAnsi="Simplified Arabic" w:cs="Simplified Arabic"/>
          <w:sz w:val="24"/>
          <w:szCs w:val="24"/>
          <w:rtl/>
        </w:rPr>
        <w:t xml:space="preserve"> (52.19٪) من </w:t>
      </w:r>
      <w:r w:rsidR="000E0E6A" w:rsidRPr="00F90C3F">
        <w:rPr>
          <w:rFonts w:ascii="Simplified Arabic" w:hAnsi="Simplified Arabic" w:cs="Simplified Arabic"/>
          <w:sz w:val="24"/>
          <w:szCs w:val="24"/>
          <w:rtl/>
        </w:rPr>
        <w:t>النسيج الحضري</w:t>
      </w:r>
      <w:r w:rsidR="00C121B0" w:rsidRPr="00F90C3F">
        <w:rPr>
          <w:rFonts w:ascii="Simplified Arabic" w:hAnsi="Simplified Arabic" w:cs="Simplified Arabic"/>
          <w:sz w:val="24"/>
          <w:szCs w:val="24"/>
          <w:rtl/>
        </w:rPr>
        <w:t xml:space="preserve"> </w:t>
      </w:r>
      <w:r w:rsidR="00B9551B" w:rsidRPr="00F90C3F">
        <w:rPr>
          <w:rFonts w:ascii="Simplified Arabic" w:hAnsi="Simplified Arabic" w:cs="Simplified Arabic"/>
          <w:sz w:val="24"/>
          <w:szCs w:val="24"/>
          <w:rtl/>
        </w:rPr>
        <w:t>ل</w:t>
      </w:r>
      <w:r w:rsidR="000E0E6A" w:rsidRPr="00F90C3F">
        <w:rPr>
          <w:rFonts w:ascii="Simplified Arabic" w:hAnsi="Simplified Arabic" w:cs="Simplified Arabic"/>
          <w:sz w:val="24"/>
          <w:szCs w:val="24"/>
          <w:rtl/>
        </w:rPr>
        <w:t>ل</w:t>
      </w:r>
      <w:r w:rsidR="00B9551B" w:rsidRPr="00F90C3F">
        <w:rPr>
          <w:rFonts w:ascii="Simplified Arabic" w:hAnsi="Simplified Arabic" w:cs="Simplified Arabic"/>
          <w:sz w:val="24"/>
          <w:szCs w:val="24"/>
          <w:rtl/>
        </w:rPr>
        <w:t>مدينة</w:t>
      </w:r>
      <w:r w:rsidR="00C121B0" w:rsidRPr="00F90C3F">
        <w:rPr>
          <w:rFonts w:ascii="Simplified Arabic" w:hAnsi="Simplified Arabic" w:cs="Simplified Arabic"/>
          <w:sz w:val="24"/>
          <w:szCs w:val="24"/>
          <w:rtl/>
        </w:rPr>
        <w:t xml:space="preserve"> حققت مرونة عالية و</w:t>
      </w:r>
      <w:r w:rsidR="008621B3">
        <w:rPr>
          <w:rFonts w:ascii="Simplified Arabic" w:hAnsi="Simplified Arabic" w:cs="Simplified Arabic" w:hint="cs"/>
          <w:sz w:val="24"/>
          <w:szCs w:val="24"/>
          <w:rtl/>
          <w:lang w:bidi="ar-DZ"/>
        </w:rPr>
        <w:t xml:space="preserve">ان </w:t>
      </w:r>
      <w:r w:rsidR="00C121B0" w:rsidRPr="00F90C3F">
        <w:rPr>
          <w:rFonts w:ascii="Simplified Arabic" w:hAnsi="Simplified Arabic" w:cs="Simplified Arabic"/>
          <w:sz w:val="24"/>
          <w:szCs w:val="24"/>
          <w:rtl/>
        </w:rPr>
        <w:t>(</w:t>
      </w:r>
      <w:r w:rsidR="00BB5C97">
        <w:rPr>
          <w:rFonts w:ascii="Simplified Arabic" w:hAnsi="Simplified Arabic" w:cs="Simplified Arabic" w:hint="cs"/>
          <w:sz w:val="24"/>
          <w:szCs w:val="24"/>
          <w:rtl/>
        </w:rPr>
        <w:t>40</w:t>
      </w:r>
      <w:r w:rsidR="00C121B0" w:rsidRPr="00F90C3F">
        <w:rPr>
          <w:rFonts w:ascii="Simplified Arabic" w:hAnsi="Simplified Arabic" w:cs="Simplified Arabic"/>
          <w:sz w:val="24"/>
          <w:szCs w:val="24"/>
          <w:rtl/>
        </w:rPr>
        <w:t>.</w:t>
      </w:r>
      <w:r w:rsidR="00BB5C97">
        <w:rPr>
          <w:rFonts w:ascii="Simplified Arabic" w:hAnsi="Simplified Arabic" w:cs="Simplified Arabic" w:hint="cs"/>
          <w:sz w:val="24"/>
          <w:szCs w:val="24"/>
          <w:rtl/>
        </w:rPr>
        <w:t>11</w:t>
      </w:r>
      <w:r w:rsidR="00C121B0" w:rsidRPr="00F90C3F">
        <w:rPr>
          <w:rFonts w:ascii="Simplified Arabic" w:hAnsi="Simplified Arabic" w:cs="Simplified Arabic"/>
          <w:sz w:val="24"/>
          <w:szCs w:val="24"/>
          <w:rtl/>
        </w:rPr>
        <w:t xml:space="preserve">٪) </w:t>
      </w:r>
      <w:r w:rsidR="000E0E6A" w:rsidRPr="00F90C3F">
        <w:rPr>
          <w:rFonts w:ascii="Simplified Arabic" w:hAnsi="Simplified Arabic" w:cs="Simplified Arabic"/>
          <w:sz w:val="24"/>
          <w:szCs w:val="24"/>
          <w:rtl/>
        </w:rPr>
        <w:t xml:space="preserve">لديه </w:t>
      </w:r>
      <w:r w:rsidR="00C121B0" w:rsidRPr="00F90C3F">
        <w:rPr>
          <w:rFonts w:ascii="Simplified Arabic" w:hAnsi="Simplified Arabic" w:cs="Simplified Arabic"/>
          <w:sz w:val="24"/>
          <w:szCs w:val="24"/>
          <w:rtl/>
        </w:rPr>
        <w:t>مرونة متوسطة و(</w:t>
      </w:r>
      <w:r w:rsidR="00BB5C97">
        <w:rPr>
          <w:rFonts w:ascii="Simplified Arabic" w:hAnsi="Simplified Arabic" w:cs="Simplified Arabic" w:hint="cs"/>
          <w:sz w:val="24"/>
          <w:szCs w:val="24"/>
          <w:rtl/>
        </w:rPr>
        <w:t>7</w:t>
      </w:r>
      <w:r w:rsidR="00C121B0" w:rsidRPr="00F90C3F">
        <w:rPr>
          <w:rFonts w:ascii="Simplified Arabic" w:hAnsi="Simplified Arabic" w:cs="Simplified Arabic"/>
          <w:sz w:val="24"/>
          <w:szCs w:val="24"/>
          <w:rtl/>
        </w:rPr>
        <w:t>.</w:t>
      </w:r>
      <w:r w:rsidR="00BB5C97">
        <w:rPr>
          <w:rFonts w:ascii="Simplified Arabic" w:hAnsi="Simplified Arabic" w:cs="Simplified Arabic" w:hint="cs"/>
          <w:sz w:val="24"/>
          <w:szCs w:val="24"/>
          <w:rtl/>
        </w:rPr>
        <w:t>70</w:t>
      </w:r>
      <w:r w:rsidR="00C121B0" w:rsidRPr="00F90C3F">
        <w:rPr>
          <w:rFonts w:ascii="Simplified Arabic" w:hAnsi="Simplified Arabic" w:cs="Simplified Arabic"/>
          <w:sz w:val="24"/>
          <w:szCs w:val="24"/>
          <w:rtl/>
        </w:rPr>
        <w:t xml:space="preserve">٪) </w:t>
      </w:r>
      <w:r w:rsidR="000E0E6A" w:rsidRPr="00F90C3F">
        <w:rPr>
          <w:rFonts w:ascii="Simplified Arabic" w:hAnsi="Simplified Arabic" w:cs="Simplified Arabic"/>
          <w:sz w:val="24"/>
          <w:szCs w:val="24"/>
          <w:rtl/>
        </w:rPr>
        <w:t xml:space="preserve">لديه </w:t>
      </w:r>
      <w:r w:rsidR="00C121B0" w:rsidRPr="00F90C3F">
        <w:rPr>
          <w:rFonts w:ascii="Simplified Arabic" w:hAnsi="Simplified Arabic" w:cs="Simplified Arabic"/>
          <w:sz w:val="24"/>
          <w:szCs w:val="24"/>
          <w:rtl/>
        </w:rPr>
        <w:t xml:space="preserve">مرونة </w:t>
      </w:r>
      <w:r w:rsidR="00C121B0" w:rsidRPr="00F90C3F">
        <w:rPr>
          <w:rFonts w:ascii="Simplified Arabic" w:hAnsi="Simplified Arabic" w:cs="Simplified Arabic"/>
          <w:sz w:val="24"/>
          <w:szCs w:val="24"/>
          <w:rtl/>
          <w:lang w:val="en-US"/>
        </w:rPr>
        <w:t xml:space="preserve">منخفضة. تظهر خريطة مرونة مدينة بوسعادة </w:t>
      </w:r>
      <w:r w:rsidR="007C1ED2">
        <w:rPr>
          <w:rFonts w:ascii="Simplified Arabic" w:hAnsi="Simplified Arabic" w:cs="Simplified Arabic" w:hint="cs"/>
          <w:sz w:val="24"/>
          <w:szCs w:val="24"/>
          <w:rtl/>
          <w:lang w:val="en-US"/>
        </w:rPr>
        <w:t xml:space="preserve">بناء على المعايير المستخدمة، </w:t>
      </w:r>
      <w:r w:rsidR="00C121B0" w:rsidRPr="00F90C3F">
        <w:rPr>
          <w:rFonts w:ascii="Simplified Arabic" w:hAnsi="Simplified Arabic" w:cs="Simplified Arabic"/>
          <w:sz w:val="24"/>
          <w:szCs w:val="24"/>
          <w:rtl/>
          <w:lang w:val="en-US"/>
        </w:rPr>
        <w:t xml:space="preserve">أن الأحياء </w:t>
      </w:r>
      <w:r w:rsidR="007C1ED2">
        <w:rPr>
          <w:rFonts w:ascii="Simplified Arabic" w:hAnsi="Simplified Arabic" w:cs="Simplified Arabic" w:hint="cs"/>
          <w:sz w:val="24"/>
          <w:szCs w:val="24"/>
          <w:rtl/>
          <w:lang w:val="en-US"/>
        </w:rPr>
        <w:t xml:space="preserve">ذات مستوى </w:t>
      </w:r>
      <w:r w:rsidR="00C121B0" w:rsidRPr="00F90C3F">
        <w:rPr>
          <w:rFonts w:ascii="Simplified Arabic" w:hAnsi="Simplified Arabic" w:cs="Simplified Arabic"/>
          <w:sz w:val="24"/>
          <w:szCs w:val="24"/>
          <w:rtl/>
          <w:lang w:val="en-US"/>
        </w:rPr>
        <w:t>مر</w:t>
      </w:r>
      <w:r w:rsidR="007C1ED2">
        <w:rPr>
          <w:rFonts w:ascii="Simplified Arabic" w:hAnsi="Simplified Arabic" w:cs="Simplified Arabic" w:hint="cs"/>
          <w:sz w:val="24"/>
          <w:szCs w:val="24"/>
          <w:rtl/>
          <w:lang w:val="en-US"/>
        </w:rPr>
        <w:t>و</w:t>
      </w:r>
      <w:r w:rsidR="00C121B0" w:rsidRPr="00F90C3F">
        <w:rPr>
          <w:rFonts w:ascii="Simplified Arabic" w:hAnsi="Simplified Arabic" w:cs="Simplified Arabic"/>
          <w:sz w:val="24"/>
          <w:szCs w:val="24"/>
          <w:rtl/>
          <w:lang w:val="en-US"/>
        </w:rPr>
        <w:t xml:space="preserve">نة </w:t>
      </w:r>
      <w:r w:rsidR="007C1ED2">
        <w:rPr>
          <w:rFonts w:ascii="Simplified Arabic" w:hAnsi="Simplified Arabic" w:cs="Simplified Arabic" w:hint="cs"/>
          <w:sz w:val="24"/>
          <w:szCs w:val="24"/>
          <w:rtl/>
          <w:lang w:val="en-US"/>
        </w:rPr>
        <w:t xml:space="preserve">متوسطة ومنخفضة </w:t>
      </w:r>
      <w:r w:rsidR="00C121B0" w:rsidRPr="00F90C3F">
        <w:rPr>
          <w:rFonts w:ascii="Simplified Arabic" w:hAnsi="Simplified Arabic" w:cs="Simplified Arabic"/>
          <w:sz w:val="24"/>
          <w:szCs w:val="24"/>
          <w:rtl/>
          <w:lang w:val="en-US"/>
        </w:rPr>
        <w:t xml:space="preserve">غالبًا ما تتركز في منطقة التوسع الشمالي وجزء من المنطقة الشرقية </w:t>
      </w:r>
      <w:r w:rsidR="007C1ED2">
        <w:rPr>
          <w:rFonts w:ascii="Simplified Arabic" w:hAnsi="Simplified Arabic" w:cs="Simplified Arabic"/>
          <w:sz w:val="24"/>
          <w:szCs w:val="24"/>
          <w:rtl/>
          <w:lang w:val="en-US"/>
        </w:rPr>
        <w:t>وال</w:t>
      </w:r>
      <w:r w:rsidR="007C1ED2">
        <w:rPr>
          <w:rFonts w:ascii="Simplified Arabic" w:hAnsi="Simplified Arabic" w:cs="Simplified Arabic" w:hint="cs"/>
          <w:sz w:val="24"/>
          <w:szCs w:val="24"/>
          <w:rtl/>
          <w:lang w:val="en-US"/>
        </w:rPr>
        <w:t>جنوب</w:t>
      </w:r>
      <w:r w:rsidRPr="00F90C3F">
        <w:rPr>
          <w:rFonts w:ascii="Simplified Arabic" w:hAnsi="Simplified Arabic" w:cs="Simplified Arabic"/>
          <w:sz w:val="24"/>
          <w:szCs w:val="24"/>
          <w:rtl/>
          <w:lang w:val="en-US"/>
        </w:rPr>
        <w:t xml:space="preserve">ية </w:t>
      </w:r>
      <w:r w:rsidR="00C121B0" w:rsidRPr="00F90C3F">
        <w:rPr>
          <w:rFonts w:ascii="Simplified Arabic" w:hAnsi="Simplified Arabic" w:cs="Simplified Arabic"/>
          <w:sz w:val="24"/>
          <w:szCs w:val="24"/>
          <w:rtl/>
          <w:lang w:val="en-US"/>
        </w:rPr>
        <w:t>من المدينة</w:t>
      </w:r>
      <w:r w:rsidR="007C1ED2">
        <w:rPr>
          <w:rFonts w:ascii="Simplified Arabic" w:hAnsi="Simplified Arabic" w:cs="Simplified Arabic" w:hint="cs"/>
          <w:sz w:val="24"/>
          <w:szCs w:val="24"/>
          <w:rtl/>
          <w:lang w:val="en-US"/>
        </w:rPr>
        <w:t>،</w:t>
      </w:r>
      <w:r w:rsidR="00C121B0" w:rsidRPr="00F90C3F">
        <w:rPr>
          <w:rFonts w:ascii="Simplified Arabic" w:hAnsi="Simplified Arabic" w:cs="Simplified Arabic"/>
          <w:sz w:val="24"/>
          <w:szCs w:val="24"/>
          <w:rtl/>
          <w:lang w:val="en-US"/>
        </w:rPr>
        <w:t xml:space="preserve"> بسبب نقص التغطية بالمرافق لتلك الأحياء. </w:t>
      </w:r>
      <w:r w:rsidR="000E0E6A" w:rsidRPr="00F90C3F">
        <w:rPr>
          <w:rFonts w:ascii="Simplified Arabic" w:hAnsi="Simplified Arabic" w:cs="Simplified Arabic"/>
          <w:sz w:val="24"/>
          <w:szCs w:val="24"/>
          <w:rtl/>
          <w:lang w:val="en-US"/>
        </w:rPr>
        <w:t xml:space="preserve">وفقًا للخبراء والأوزان المستمدة من </w:t>
      </w:r>
      <w:r w:rsidR="007D6F22">
        <w:rPr>
          <w:rFonts w:ascii="Simplified Arabic" w:hAnsi="Simplified Arabic" w:cs="Simplified Arabic"/>
          <w:sz w:val="24"/>
          <w:szCs w:val="24"/>
          <w:rtl/>
          <w:lang w:val="en-US"/>
        </w:rPr>
        <w:t>عملية</w:t>
      </w:r>
      <w:r w:rsidR="007D6F22">
        <w:rPr>
          <w:rFonts w:ascii="Simplified Arabic" w:hAnsi="Simplified Arabic" w:cs="Simplified Arabic" w:hint="cs"/>
          <w:sz w:val="24"/>
          <w:szCs w:val="24"/>
          <w:rtl/>
          <w:lang w:val="en-US"/>
        </w:rPr>
        <w:t xml:space="preserve"> </w:t>
      </w:r>
      <w:r w:rsidR="000E0E6A" w:rsidRPr="002960EB">
        <w:rPr>
          <w:rFonts w:asciiTheme="majorBidi" w:eastAsia="Times New Roman" w:hAnsiTheme="majorBidi" w:cstheme="majorBidi"/>
          <w:b/>
          <w:sz w:val="24"/>
          <w:szCs w:val="24"/>
          <w:rtl/>
          <w:lang w:val="en-US" w:eastAsia="fr-FR"/>
        </w:rPr>
        <w:t>(</w:t>
      </w:r>
      <w:r w:rsidR="000E0E6A" w:rsidRPr="002960EB">
        <w:rPr>
          <w:rStyle w:val="y2iqfc"/>
          <w:rFonts w:asciiTheme="majorBidi" w:hAnsiTheme="majorBidi" w:cstheme="majorBidi"/>
          <w:color w:val="202124"/>
          <w:sz w:val="24"/>
          <w:szCs w:val="24"/>
          <w:lang w:bidi="ar-DZ"/>
        </w:rPr>
        <w:t>AHP</w:t>
      </w:r>
      <w:r w:rsidR="000E0E6A" w:rsidRPr="002960EB">
        <w:rPr>
          <w:rFonts w:asciiTheme="majorBidi" w:eastAsia="Times New Roman" w:hAnsiTheme="majorBidi" w:cstheme="majorBidi"/>
          <w:b/>
          <w:sz w:val="24"/>
          <w:szCs w:val="24"/>
          <w:rtl/>
          <w:lang w:val="en-US" w:eastAsia="fr-FR"/>
        </w:rPr>
        <w:t>)</w:t>
      </w:r>
      <w:r w:rsidR="007D6F22">
        <w:rPr>
          <w:rStyle w:val="y2iqfc"/>
          <w:rFonts w:ascii="Simplified Arabic" w:hAnsi="Simplified Arabic" w:cs="Simplified Arabic" w:hint="cs"/>
          <w:color w:val="202124"/>
          <w:sz w:val="24"/>
          <w:szCs w:val="24"/>
          <w:rtl/>
          <w:lang w:val="en-US" w:bidi="ar-DZ"/>
        </w:rPr>
        <w:t xml:space="preserve"> </w:t>
      </w:r>
      <w:r w:rsidR="000E0E6A" w:rsidRPr="00F90C3F">
        <w:rPr>
          <w:rFonts w:ascii="Simplified Arabic" w:hAnsi="Simplified Arabic" w:cs="Simplified Arabic" w:hint="cs"/>
          <w:sz w:val="24"/>
          <w:szCs w:val="24"/>
          <w:rtl/>
          <w:lang w:val="en-US"/>
        </w:rPr>
        <w:t>فإن</w:t>
      </w:r>
      <w:r w:rsidR="000E0E6A" w:rsidRPr="00F90C3F">
        <w:rPr>
          <w:rFonts w:ascii="Simplified Arabic" w:hAnsi="Simplified Arabic" w:cs="Simplified Arabic"/>
          <w:sz w:val="24"/>
          <w:szCs w:val="24"/>
          <w:rtl/>
          <w:lang w:val="en-US"/>
        </w:rPr>
        <w:t xml:space="preserve"> </w:t>
      </w:r>
      <w:r w:rsidR="007D6F22">
        <w:rPr>
          <w:rFonts w:ascii="Simplified Arabic" w:hAnsi="Simplified Arabic" w:cs="Simplified Arabic" w:hint="cs"/>
          <w:sz w:val="24"/>
          <w:szCs w:val="24"/>
          <w:rtl/>
          <w:lang w:val="en-US"/>
        </w:rPr>
        <w:t>وزن</w:t>
      </w:r>
      <w:r w:rsidR="000E0E6A" w:rsidRPr="00F90C3F">
        <w:rPr>
          <w:rFonts w:ascii="Simplified Arabic" w:hAnsi="Simplified Arabic" w:cs="Simplified Arabic"/>
          <w:sz w:val="24"/>
          <w:szCs w:val="24"/>
          <w:rtl/>
          <w:lang w:val="en-US"/>
        </w:rPr>
        <w:t xml:space="preserve"> </w:t>
      </w:r>
      <w:r w:rsidR="007D6F22">
        <w:rPr>
          <w:rFonts w:ascii="Simplified Arabic" w:hAnsi="Simplified Arabic" w:cs="Simplified Arabic" w:hint="cs"/>
          <w:sz w:val="24"/>
          <w:szCs w:val="24"/>
          <w:rtl/>
          <w:lang w:val="en-US"/>
        </w:rPr>
        <w:t>معيار التكفل</w:t>
      </w:r>
      <w:r w:rsidR="000E0E6A" w:rsidRPr="00F90C3F">
        <w:rPr>
          <w:rFonts w:ascii="Simplified Arabic" w:hAnsi="Simplified Arabic" w:cs="Simplified Arabic" w:hint="cs"/>
          <w:sz w:val="24"/>
          <w:szCs w:val="24"/>
          <w:rtl/>
          <w:lang w:val="en-US"/>
        </w:rPr>
        <w:t xml:space="preserve"> الطبي</w:t>
      </w:r>
      <w:r w:rsidR="007D6F22" w:rsidRPr="007D6F22">
        <w:rPr>
          <w:rFonts w:ascii="Simplified Arabic" w:hAnsi="Simplified Arabic" w:cs="Simplified Arabic"/>
          <w:sz w:val="24"/>
          <w:szCs w:val="24"/>
          <w:rtl/>
          <w:lang w:bidi="ar-DZ"/>
        </w:rPr>
        <w:t xml:space="preserve"> </w:t>
      </w:r>
      <w:r w:rsidR="007D6F22" w:rsidRPr="00B42CF5">
        <w:rPr>
          <w:rFonts w:ascii="Simplified Arabic" w:hAnsi="Simplified Arabic" w:cs="Simplified Arabic"/>
          <w:sz w:val="24"/>
          <w:szCs w:val="24"/>
          <w:rtl/>
          <w:lang w:bidi="ar-DZ"/>
        </w:rPr>
        <w:t>بنسبة (</w:t>
      </w:r>
      <w:r w:rsidR="007D6F22" w:rsidRPr="00B42CF5">
        <w:rPr>
          <w:rFonts w:ascii="Simplified Arabic" w:hAnsi="Simplified Arabic" w:cs="Simplified Arabic"/>
          <w:sz w:val="24"/>
          <w:szCs w:val="24"/>
          <w:lang w:bidi="ar-DZ"/>
        </w:rPr>
        <w:t>20,79</w:t>
      </w:r>
      <w:r w:rsidR="007D6F22" w:rsidRPr="00B42CF5">
        <w:rPr>
          <w:rFonts w:ascii="Simplified Arabic" w:hAnsi="Simplified Arabic" w:cs="Simplified Arabic"/>
          <w:sz w:val="24"/>
          <w:szCs w:val="24"/>
          <w:rtl/>
          <w:lang w:bidi="ar-DZ"/>
        </w:rPr>
        <w:t>٪)</w:t>
      </w:r>
      <w:r w:rsidR="000E0E6A" w:rsidRPr="00F90C3F">
        <w:rPr>
          <w:rFonts w:ascii="Simplified Arabic" w:hAnsi="Simplified Arabic" w:cs="Simplified Arabic" w:hint="cs"/>
          <w:sz w:val="24"/>
          <w:szCs w:val="24"/>
          <w:rtl/>
          <w:lang w:val="en-US"/>
        </w:rPr>
        <w:t>،</w:t>
      </w:r>
      <w:r w:rsidR="000E0E6A" w:rsidRPr="00F90C3F">
        <w:rPr>
          <w:rFonts w:ascii="Simplified Arabic" w:hAnsi="Simplified Arabic" w:cs="Simplified Arabic"/>
          <w:sz w:val="24"/>
          <w:szCs w:val="24"/>
          <w:rtl/>
          <w:lang w:val="en-US"/>
        </w:rPr>
        <w:t xml:space="preserve"> </w:t>
      </w:r>
      <w:r w:rsidR="007D6F22">
        <w:rPr>
          <w:rFonts w:ascii="Simplified Arabic" w:hAnsi="Simplified Arabic" w:cs="Simplified Arabic" w:hint="cs"/>
          <w:sz w:val="24"/>
          <w:szCs w:val="24"/>
          <w:rtl/>
          <w:lang w:val="en-US"/>
        </w:rPr>
        <w:t>معيار</w:t>
      </w:r>
      <w:r w:rsidR="00F90C3F" w:rsidRPr="00F90C3F">
        <w:rPr>
          <w:rFonts w:ascii="Simplified Arabic" w:hAnsi="Simplified Arabic" w:cs="Simplified Arabic" w:hint="cs"/>
          <w:sz w:val="24"/>
          <w:szCs w:val="24"/>
          <w:rtl/>
          <w:lang w:val="en-US"/>
        </w:rPr>
        <w:t xml:space="preserve"> الايواء المؤقت</w:t>
      </w:r>
      <w:r w:rsidR="007D6F22">
        <w:rPr>
          <w:rFonts w:ascii="Simplified Arabic" w:hAnsi="Simplified Arabic" w:cs="Simplified Arabic" w:hint="cs"/>
          <w:sz w:val="24"/>
          <w:szCs w:val="24"/>
          <w:rtl/>
          <w:lang w:bidi="ar-DZ"/>
        </w:rPr>
        <w:t xml:space="preserve"> </w:t>
      </w:r>
      <w:r w:rsidR="007D6F22" w:rsidRPr="00B42CF5">
        <w:rPr>
          <w:rFonts w:ascii="Simplified Arabic" w:hAnsi="Simplified Arabic" w:cs="Simplified Arabic"/>
          <w:sz w:val="24"/>
          <w:szCs w:val="24"/>
          <w:rtl/>
          <w:lang w:bidi="ar-DZ"/>
        </w:rPr>
        <w:t>بنسبة</w:t>
      </w:r>
      <w:r w:rsidR="007D6F22">
        <w:rPr>
          <w:rFonts w:ascii="Simplified Arabic" w:hAnsi="Simplified Arabic" w:cs="Simplified Arabic"/>
          <w:sz w:val="24"/>
          <w:szCs w:val="24"/>
          <w:lang w:bidi="ar-DZ"/>
        </w:rPr>
        <w:t xml:space="preserve"> </w:t>
      </w:r>
      <w:r w:rsidR="007D6F22" w:rsidRPr="00B42CF5">
        <w:rPr>
          <w:rFonts w:ascii="Simplified Arabic" w:hAnsi="Simplified Arabic" w:cs="Simplified Arabic"/>
          <w:sz w:val="24"/>
          <w:szCs w:val="24"/>
          <w:rtl/>
          <w:lang w:bidi="ar-DZ"/>
        </w:rPr>
        <w:t>(</w:t>
      </w:r>
      <w:r w:rsidR="007D6F22" w:rsidRPr="00B42CF5">
        <w:rPr>
          <w:rFonts w:ascii="Simplified Arabic" w:hAnsi="Simplified Arabic" w:cs="Simplified Arabic"/>
          <w:sz w:val="24"/>
          <w:szCs w:val="24"/>
          <w:lang w:bidi="ar-DZ"/>
        </w:rPr>
        <w:t>19,42</w:t>
      </w:r>
      <w:r w:rsidR="007D6F22" w:rsidRPr="00B42CF5">
        <w:rPr>
          <w:rFonts w:ascii="Simplified Arabic" w:hAnsi="Simplified Arabic" w:cs="Simplified Arabic"/>
          <w:sz w:val="24"/>
          <w:szCs w:val="24"/>
          <w:rtl/>
          <w:lang w:bidi="ar-DZ"/>
        </w:rPr>
        <w:t>٪)</w:t>
      </w:r>
      <w:r w:rsidR="00F90C3F" w:rsidRPr="00F90C3F">
        <w:rPr>
          <w:rFonts w:ascii="Simplified Arabic" w:hAnsi="Simplified Arabic" w:cs="Simplified Arabic" w:hint="cs"/>
          <w:sz w:val="24"/>
          <w:szCs w:val="24"/>
          <w:rtl/>
          <w:lang w:val="en-US"/>
        </w:rPr>
        <w:t xml:space="preserve"> </w:t>
      </w:r>
      <w:r w:rsidR="007D6F22">
        <w:rPr>
          <w:rFonts w:ascii="Simplified Arabic" w:hAnsi="Simplified Arabic" w:cs="Simplified Arabic" w:hint="cs"/>
          <w:sz w:val="24"/>
          <w:szCs w:val="24"/>
          <w:rtl/>
          <w:lang w:val="en-US"/>
        </w:rPr>
        <w:t>ومعيار</w:t>
      </w:r>
      <w:r w:rsidR="00F90C3F" w:rsidRPr="00F90C3F">
        <w:rPr>
          <w:rFonts w:ascii="Simplified Arabic" w:hAnsi="Simplified Arabic" w:cs="Simplified Arabic" w:hint="cs"/>
          <w:sz w:val="24"/>
          <w:szCs w:val="24"/>
          <w:rtl/>
          <w:lang w:val="en-US"/>
        </w:rPr>
        <w:t xml:space="preserve"> الامن</w:t>
      </w:r>
      <w:r w:rsidR="000E0E6A" w:rsidRPr="00F90C3F">
        <w:rPr>
          <w:rFonts w:ascii="Simplified Arabic" w:hAnsi="Simplified Arabic" w:cs="Simplified Arabic"/>
          <w:sz w:val="24"/>
          <w:szCs w:val="24"/>
          <w:rtl/>
          <w:lang w:val="en-US"/>
        </w:rPr>
        <w:t xml:space="preserve"> </w:t>
      </w:r>
      <w:r w:rsidR="007D6F22" w:rsidRPr="00B42CF5">
        <w:rPr>
          <w:rFonts w:ascii="Simplified Arabic" w:hAnsi="Simplified Arabic" w:cs="Simplified Arabic"/>
          <w:sz w:val="24"/>
          <w:szCs w:val="24"/>
          <w:rtl/>
          <w:lang w:bidi="ar-DZ"/>
        </w:rPr>
        <w:t>بنسبة</w:t>
      </w:r>
      <w:r w:rsidR="007D6F22">
        <w:rPr>
          <w:rFonts w:ascii="Simplified Arabic" w:hAnsi="Simplified Arabic" w:cs="Simplified Arabic"/>
          <w:sz w:val="24"/>
          <w:szCs w:val="24"/>
          <w:lang w:bidi="ar-DZ"/>
        </w:rPr>
        <w:t xml:space="preserve"> </w:t>
      </w:r>
      <w:r w:rsidR="007D6F22" w:rsidRPr="00B42CF5">
        <w:rPr>
          <w:rFonts w:ascii="Simplified Arabic" w:hAnsi="Simplified Arabic" w:cs="Simplified Arabic"/>
          <w:sz w:val="24"/>
          <w:szCs w:val="24"/>
          <w:rtl/>
          <w:lang w:bidi="ar-DZ"/>
        </w:rPr>
        <w:t>(</w:t>
      </w:r>
      <w:r w:rsidR="007D6F22" w:rsidRPr="00B42CF5">
        <w:rPr>
          <w:rFonts w:ascii="Simplified Arabic" w:hAnsi="Simplified Arabic" w:cs="Simplified Arabic"/>
          <w:sz w:val="24"/>
          <w:szCs w:val="24"/>
          <w:lang w:bidi="ar-DZ"/>
        </w:rPr>
        <w:t>17,29</w:t>
      </w:r>
      <w:r w:rsidR="007D6F22" w:rsidRPr="00B42CF5">
        <w:rPr>
          <w:rFonts w:ascii="Simplified Arabic" w:hAnsi="Simplified Arabic" w:cs="Simplified Arabic"/>
          <w:sz w:val="24"/>
          <w:szCs w:val="24"/>
          <w:rtl/>
          <w:lang w:bidi="ar-DZ"/>
        </w:rPr>
        <w:t>٪)</w:t>
      </w:r>
      <w:r w:rsidR="007D6F22">
        <w:rPr>
          <w:rFonts w:ascii="Simplified Arabic" w:hAnsi="Simplified Arabic" w:cs="Simplified Arabic" w:hint="cs"/>
          <w:sz w:val="24"/>
          <w:szCs w:val="24"/>
          <w:rtl/>
          <w:lang w:bidi="ar-DZ"/>
        </w:rPr>
        <w:t xml:space="preserve"> </w:t>
      </w:r>
      <w:r w:rsidR="000E0E6A" w:rsidRPr="00F90C3F">
        <w:rPr>
          <w:rFonts w:ascii="Simplified Arabic" w:hAnsi="Simplified Arabic" w:cs="Simplified Arabic" w:hint="cs"/>
          <w:sz w:val="24"/>
          <w:szCs w:val="24"/>
          <w:rtl/>
          <w:lang w:val="en-US"/>
        </w:rPr>
        <w:t>هي</w:t>
      </w:r>
      <w:r w:rsidR="000E0E6A" w:rsidRPr="00F90C3F">
        <w:rPr>
          <w:rFonts w:ascii="Simplified Arabic" w:hAnsi="Simplified Arabic" w:cs="Simplified Arabic"/>
          <w:sz w:val="24"/>
          <w:szCs w:val="24"/>
          <w:rtl/>
          <w:lang w:val="en-US"/>
        </w:rPr>
        <w:t xml:space="preserve"> </w:t>
      </w:r>
      <w:r w:rsidR="007D6F22">
        <w:rPr>
          <w:rFonts w:ascii="Simplified Arabic" w:hAnsi="Simplified Arabic" w:cs="Simplified Arabic" w:hint="cs"/>
          <w:sz w:val="24"/>
          <w:szCs w:val="24"/>
          <w:rtl/>
          <w:lang w:val="en-US"/>
        </w:rPr>
        <w:t xml:space="preserve">معايير </w:t>
      </w:r>
      <w:r w:rsidR="000E0E6A" w:rsidRPr="00F90C3F">
        <w:rPr>
          <w:rFonts w:ascii="Simplified Arabic" w:hAnsi="Simplified Arabic" w:cs="Simplified Arabic" w:hint="cs"/>
          <w:sz w:val="24"/>
          <w:szCs w:val="24"/>
          <w:rtl/>
          <w:lang w:val="en-US"/>
        </w:rPr>
        <w:t>مهمة</w:t>
      </w:r>
      <w:r w:rsidR="000E0E6A" w:rsidRPr="00F90C3F">
        <w:rPr>
          <w:rFonts w:ascii="Simplified Arabic" w:hAnsi="Simplified Arabic" w:cs="Simplified Arabic"/>
          <w:sz w:val="24"/>
          <w:szCs w:val="24"/>
          <w:rtl/>
          <w:lang w:val="en-US"/>
        </w:rPr>
        <w:t xml:space="preserve">. </w:t>
      </w:r>
      <w:r w:rsidR="000E0E6A" w:rsidRPr="00F90C3F">
        <w:rPr>
          <w:rFonts w:ascii="Simplified Arabic" w:hAnsi="Simplified Arabic" w:cs="Simplified Arabic" w:hint="cs"/>
          <w:sz w:val="24"/>
          <w:szCs w:val="24"/>
          <w:rtl/>
          <w:lang w:val="en-US"/>
        </w:rPr>
        <w:t>نتيجة</w:t>
      </w:r>
      <w:r w:rsidR="000E0E6A" w:rsidRPr="00F90C3F">
        <w:rPr>
          <w:rFonts w:ascii="Simplified Arabic" w:hAnsi="Simplified Arabic" w:cs="Simplified Arabic"/>
          <w:sz w:val="24"/>
          <w:szCs w:val="24"/>
          <w:rtl/>
          <w:lang w:val="en-US"/>
        </w:rPr>
        <w:t xml:space="preserve"> </w:t>
      </w:r>
      <w:r w:rsidR="008621B3">
        <w:rPr>
          <w:rFonts w:ascii="Simplified Arabic" w:hAnsi="Simplified Arabic" w:cs="Simplified Arabic" w:hint="cs"/>
          <w:sz w:val="24"/>
          <w:szCs w:val="24"/>
          <w:rtl/>
          <w:lang w:val="en-US"/>
        </w:rPr>
        <w:t>ل</w:t>
      </w:r>
      <w:r w:rsidR="008621B3" w:rsidRPr="00F90C3F">
        <w:rPr>
          <w:rFonts w:ascii="Simplified Arabic" w:hAnsi="Simplified Arabic" w:cs="Simplified Arabic" w:hint="cs"/>
          <w:sz w:val="24"/>
          <w:szCs w:val="24"/>
          <w:rtl/>
          <w:lang w:val="en-US"/>
        </w:rPr>
        <w:t>قيم</w:t>
      </w:r>
      <w:r w:rsidR="008621B3">
        <w:rPr>
          <w:rFonts w:ascii="Simplified Arabic" w:hAnsi="Simplified Arabic" w:cs="Simplified Arabic" w:hint="cs"/>
          <w:sz w:val="24"/>
          <w:szCs w:val="24"/>
          <w:rtl/>
          <w:lang w:val="en-US"/>
        </w:rPr>
        <w:t xml:space="preserve"> اوزان</w:t>
      </w:r>
      <w:r w:rsidR="008621B3" w:rsidRPr="00F90C3F">
        <w:rPr>
          <w:rFonts w:ascii="Simplified Arabic" w:hAnsi="Simplified Arabic" w:cs="Simplified Arabic"/>
          <w:sz w:val="24"/>
          <w:szCs w:val="24"/>
          <w:rtl/>
          <w:lang w:val="en-US"/>
        </w:rPr>
        <w:t xml:space="preserve"> </w:t>
      </w:r>
      <w:r w:rsidR="008621B3">
        <w:rPr>
          <w:rFonts w:ascii="Simplified Arabic" w:hAnsi="Simplified Arabic" w:cs="Simplified Arabic" w:hint="cs"/>
          <w:sz w:val="24"/>
          <w:szCs w:val="24"/>
          <w:rtl/>
          <w:lang w:val="en-US"/>
        </w:rPr>
        <w:t xml:space="preserve">المعايير </w:t>
      </w:r>
      <w:r w:rsidR="008621B3" w:rsidRPr="00F90C3F">
        <w:rPr>
          <w:rFonts w:ascii="Simplified Arabic" w:hAnsi="Simplified Arabic" w:cs="Simplified Arabic" w:hint="cs"/>
          <w:sz w:val="24"/>
          <w:szCs w:val="24"/>
          <w:rtl/>
          <w:lang w:val="en-US"/>
        </w:rPr>
        <w:t>الأعلى</w:t>
      </w:r>
      <w:r w:rsidR="000E0E6A" w:rsidRPr="00F90C3F">
        <w:rPr>
          <w:rFonts w:ascii="Simplified Arabic" w:hAnsi="Simplified Arabic" w:cs="Simplified Arabic" w:hint="cs"/>
          <w:sz w:val="24"/>
          <w:szCs w:val="24"/>
          <w:rtl/>
          <w:lang w:val="en-US"/>
        </w:rPr>
        <w:t>،</w:t>
      </w:r>
      <w:r w:rsidR="000E0E6A" w:rsidRPr="00F90C3F">
        <w:rPr>
          <w:rFonts w:ascii="Simplified Arabic" w:hAnsi="Simplified Arabic" w:cs="Simplified Arabic"/>
          <w:sz w:val="24"/>
          <w:szCs w:val="24"/>
          <w:rtl/>
          <w:lang w:val="en-US"/>
        </w:rPr>
        <w:t xml:space="preserve"> </w:t>
      </w:r>
      <w:r w:rsidR="000E0E6A" w:rsidRPr="00F90C3F">
        <w:rPr>
          <w:rFonts w:ascii="Simplified Arabic" w:hAnsi="Simplified Arabic" w:cs="Simplified Arabic" w:hint="cs"/>
          <w:sz w:val="24"/>
          <w:szCs w:val="24"/>
          <w:rtl/>
          <w:lang w:val="en-US"/>
        </w:rPr>
        <w:t>جعلت</w:t>
      </w:r>
      <w:r w:rsidR="000E0E6A" w:rsidRPr="00F90C3F">
        <w:rPr>
          <w:rFonts w:ascii="Simplified Arabic" w:hAnsi="Simplified Arabic" w:cs="Simplified Arabic"/>
          <w:sz w:val="24"/>
          <w:szCs w:val="24"/>
          <w:rtl/>
          <w:lang w:val="en-US"/>
        </w:rPr>
        <w:t xml:space="preserve"> </w:t>
      </w:r>
      <w:r w:rsidR="000E0E6A" w:rsidRPr="00F90C3F">
        <w:rPr>
          <w:rFonts w:ascii="Simplified Arabic" w:hAnsi="Simplified Arabic" w:cs="Simplified Arabic" w:hint="cs"/>
          <w:sz w:val="24"/>
          <w:szCs w:val="24"/>
          <w:rtl/>
          <w:lang w:val="en-US"/>
        </w:rPr>
        <w:t>من</w:t>
      </w:r>
      <w:r w:rsidR="000E0E6A" w:rsidRPr="00F90C3F">
        <w:rPr>
          <w:rFonts w:ascii="Simplified Arabic" w:hAnsi="Simplified Arabic" w:cs="Simplified Arabic"/>
          <w:sz w:val="24"/>
          <w:szCs w:val="24"/>
          <w:rtl/>
          <w:lang w:val="en-US"/>
        </w:rPr>
        <w:t xml:space="preserve"> </w:t>
      </w:r>
      <w:r w:rsidR="008621B3">
        <w:rPr>
          <w:rFonts w:ascii="Simplified Arabic" w:hAnsi="Simplified Arabic" w:cs="Simplified Arabic" w:hint="cs"/>
          <w:sz w:val="24"/>
          <w:szCs w:val="24"/>
          <w:rtl/>
          <w:lang w:val="en-US"/>
        </w:rPr>
        <w:t xml:space="preserve">مدينة </w:t>
      </w:r>
      <w:r w:rsidR="00F90C3F" w:rsidRPr="00F90C3F">
        <w:rPr>
          <w:rFonts w:ascii="Simplified Arabic" w:hAnsi="Simplified Arabic" w:cs="Simplified Arabic" w:hint="cs"/>
          <w:sz w:val="24"/>
          <w:szCs w:val="24"/>
          <w:rtl/>
          <w:lang w:val="en-US"/>
        </w:rPr>
        <w:t>بوسعادة</w:t>
      </w:r>
      <w:r w:rsidR="000E0E6A" w:rsidRPr="00F90C3F">
        <w:rPr>
          <w:rFonts w:ascii="Simplified Arabic" w:hAnsi="Simplified Arabic" w:cs="Simplified Arabic"/>
          <w:sz w:val="24"/>
          <w:szCs w:val="24"/>
          <w:rtl/>
          <w:lang w:val="en-US"/>
        </w:rPr>
        <w:t xml:space="preserve"> </w:t>
      </w:r>
      <w:r w:rsidR="000E0E6A" w:rsidRPr="00F90C3F">
        <w:rPr>
          <w:rFonts w:ascii="Simplified Arabic" w:hAnsi="Simplified Arabic" w:cs="Simplified Arabic" w:hint="cs"/>
          <w:sz w:val="24"/>
          <w:szCs w:val="24"/>
          <w:rtl/>
          <w:lang w:val="en-US"/>
        </w:rPr>
        <w:t>مدينة</w:t>
      </w:r>
      <w:r w:rsidR="000E0E6A" w:rsidRPr="00F90C3F">
        <w:rPr>
          <w:rFonts w:ascii="Simplified Arabic" w:hAnsi="Simplified Arabic" w:cs="Simplified Arabic"/>
          <w:sz w:val="24"/>
          <w:szCs w:val="24"/>
          <w:rtl/>
          <w:lang w:val="en-US"/>
        </w:rPr>
        <w:t xml:space="preserve"> </w:t>
      </w:r>
      <w:r w:rsidR="000E0E6A" w:rsidRPr="00F90C3F">
        <w:rPr>
          <w:rFonts w:ascii="Simplified Arabic" w:hAnsi="Simplified Arabic" w:cs="Simplified Arabic" w:hint="cs"/>
          <w:sz w:val="24"/>
          <w:szCs w:val="24"/>
          <w:rtl/>
          <w:lang w:val="en-US"/>
        </w:rPr>
        <w:t>مرنة</w:t>
      </w:r>
      <w:r w:rsidR="000E0E6A" w:rsidRPr="00F90C3F">
        <w:rPr>
          <w:rFonts w:ascii="Simplified Arabic" w:hAnsi="Simplified Arabic" w:cs="Simplified Arabic"/>
          <w:sz w:val="24"/>
          <w:szCs w:val="24"/>
          <w:rtl/>
          <w:lang w:val="en-US"/>
        </w:rPr>
        <w:t>.</w:t>
      </w:r>
    </w:p>
    <w:p w:rsidR="00C121B0" w:rsidRDefault="008C50E7" w:rsidP="008621B3">
      <w:pPr>
        <w:autoSpaceDE w:val="0"/>
        <w:autoSpaceDN w:val="0"/>
        <w:bidi/>
        <w:adjustRightInd w:val="0"/>
        <w:spacing w:after="0"/>
        <w:ind w:firstLine="282"/>
        <w:jc w:val="both"/>
        <w:rPr>
          <w:rStyle w:val="y2iqfc"/>
          <w:rFonts w:ascii="Simplified Arabic" w:hAnsi="Simplified Arabic" w:cs="Simplified Arabic"/>
          <w:color w:val="202124"/>
          <w:sz w:val="24"/>
          <w:szCs w:val="24"/>
          <w:rtl/>
          <w:lang w:val="en-US" w:bidi="ar"/>
        </w:rPr>
      </w:pPr>
      <w:r w:rsidRPr="007D6F22">
        <w:rPr>
          <w:rStyle w:val="y2iqfc"/>
          <w:rFonts w:ascii="Simplified Arabic" w:hAnsi="Simplified Arabic" w:cs="Simplified Arabic"/>
          <w:color w:val="202124"/>
          <w:sz w:val="24"/>
          <w:szCs w:val="24"/>
          <w:rtl/>
          <w:lang w:val="en-US" w:bidi="ar"/>
        </w:rPr>
        <w:t xml:space="preserve">من الواضح </w:t>
      </w:r>
      <w:r>
        <w:rPr>
          <w:rStyle w:val="y2iqfc"/>
          <w:rFonts w:ascii="Simplified Arabic" w:hAnsi="Simplified Arabic" w:cs="Simplified Arabic" w:hint="cs"/>
          <w:color w:val="202124"/>
          <w:sz w:val="24"/>
          <w:szCs w:val="24"/>
          <w:rtl/>
          <w:lang w:val="en-US" w:bidi="ar"/>
        </w:rPr>
        <w:t xml:space="preserve">في </w:t>
      </w:r>
      <w:r w:rsidRPr="00F90C3F">
        <w:rPr>
          <w:rFonts w:ascii="Simplified Arabic" w:hAnsi="Simplified Arabic" w:cs="Simplified Arabic"/>
          <w:sz w:val="24"/>
          <w:szCs w:val="24"/>
          <w:rtl/>
        </w:rPr>
        <w:t xml:space="preserve">الجدول </w:t>
      </w:r>
      <w:r w:rsidRPr="00F90C3F">
        <w:rPr>
          <w:rFonts w:ascii="Simplified Arabic" w:hAnsi="Simplified Arabic" w:cs="Simplified Arabic"/>
          <w:sz w:val="24"/>
          <w:szCs w:val="24"/>
          <w:rtl/>
          <w:lang w:val="en-US"/>
        </w:rPr>
        <w:t>(5-15)</w:t>
      </w:r>
      <w:r w:rsidRPr="00F90C3F">
        <w:rPr>
          <w:rFonts w:ascii="Simplified Arabic" w:hAnsi="Simplified Arabic" w:cs="Simplified Arabic"/>
          <w:sz w:val="24"/>
          <w:szCs w:val="24"/>
          <w:rtl/>
        </w:rPr>
        <w:t>،</w:t>
      </w:r>
      <w:r w:rsidRPr="00F90C3F">
        <w:rPr>
          <w:rFonts w:ascii="Simplified Arabic" w:hAnsi="Simplified Arabic" w:cs="Simplified Arabic"/>
          <w:sz w:val="24"/>
          <w:szCs w:val="24"/>
          <w:rtl/>
          <w:lang w:val="en-US"/>
        </w:rPr>
        <w:t xml:space="preserve"> </w:t>
      </w:r>
      <w:r w:rsidR="00C121B0" w:rsidRPr="007D6F22">
        <w:rPr>
          <w:rStyle w:val="y2iqfc"/>
          <w:rFonts w:ascii="Simplified Arabic" w:hAnsi="Simplified Arabic" w:cs="Simplified Arabic"/>
          <w:color w:val="202124"/>
          <w:sz w:val="24"/>
          <w:szCs w:val="24"/>
          <w:rtl/>
          <w:lang w:val="en-US" w:bidi="ar"/>
        </w:rPr>
        <w:t>أن عدد الأحياء غير المرنة وغير المستقرة أقل من الأحياء المرنة</w:t>
      </w:r>
      <w:r w:rsidR="002C0BFC" w:rsidRPr="007D6F22">
        <w:rPr>
          <w:rStyle w:val="y2iqfc"/>
          <w:rFonts w:ascii="Simplified Arabic" w:hAnsi="Simplified Arabic" w:cs="Simplified Arabic" w:hint="cs"/>
          <w:color w:val="202124"/>
          <w:sz w:val="24"/>
          <w:szCs w:val="24"/>
          <w:rtl/>
          <w:lang w:val="en-US" w:bidi="ar"/>
        </w:rPr>
        <w:t xml:space="preserve">. </w:t>
      </w:r>
      <w:r w:rsidR="00E6348E" w:rsidRPr="007D6F22">
        <w:rPr>
          <w:rStyle w:val="y2iqfc"/>
          <w:rFonts w:ascii="Simplified Arabic" w:hAnsi="Simplified Arabic" w:cs="Simplified Arabic" w:hint="cs"/>
          <w:color w:val="202124"/>
          <w:sz w:val="24"/>
          <w:szCs w:val="24"/>
          <w:rtl/>
          <w:lang w:val="en-US" w:bidi="ar"/>
        </w:rPr>
        <w:t xml:space="preserve">الاحياء </w:t>
      </w:r>
      <w:r w:rsidR="00064309">
        <w:rPr>
          <w:rStyle w:val="y2iqfc"/>
          <w:rFonts w:ascii="Simplified Arabic" w:hAnsi="Simplified Arabic" w:cs="Simplified Arabic" w:hint="cs"/>
          <w:color w:val="202124"/>
          <w:sz w:val="24"/>
          <w:szCs w:val="24"/>
          <w:rtl/>
          <w:lang w:val="en-US" w:bidi="ar"/>
        </w:rPr>
        <w:t xml:space="preserve">السكنية </w:t>
      </w:r>
      <w:r w:rsidR="00E6348E" w:rsidRPr="007D6F22">
        <w:rPr>
          <w:rStyle w:val="y2iqfc"/>
          <w:rFonts w:ascii="Simplified Arabic" w:hAnsi="Simplified Arabic" w:cs="Simplified Arabic" w:hint="cs"/>
          <w:color w:val="202124"/>
          <w:sz w:val="24"/>
          <w:szCs w:val="24"/>
          <w:rtl/>
          <w:lang w:val="en-US" w:bidi="ar"/>
        </w:rPr>
        <w:t xml:space="preserve">التي تعاني من مستويات مرونة </w:t>
      </w:r>
      <w:r w:rsidR="007C1ED2">
        <w:rPr>
          <w:rStyle w:val="y2iqfc"/>
          <w:rFonts w:ascii="Simplified Arabic" w:hAnsi="Simplified Arabic" w:cs="Simplified Arabic" w:hint="cs"/>
          <w:color w:val="202124"/>
          <w:sz w:val="24"/>
          <w:szCs w:val="24"/>
          <w:rtl/>
          <w:lang w:val="en-US" w:bidi="ar"/>
        </w:rPr>
        <w:t>متوسطة ومنخفض</w:t>
      </w:r>
      <w:r w:rsidR="00E6348E" w:rsidRPr="007D6F22">
        <w:rPr>
          <w:rStyle w:val="y2iqfc"/>
          <w:rFonts w:ascii="Simplified Arabic" w:hAnsi="Simplified Arabic" w:cs="Simplified Arabic" w:hint="cs"/>
          <w:color w:val="202124"/>
          <w:sz w:val="24"/>
          <w:szCs w:val="24"/>
          <w:rtl/>
          <w:lang w:val="en-US" w:bidi="ar"/>
        </w:rPr>
        <w:t xml:space="preserve">ة </w:t>
      </w:r>
      <w:r w:rsidR="00064309">
        <w:rPr>
          <w:rStyle w:val="y2iqfc"/>
          <w:rFonts w:ascii="Simplified Arabic" w:hAnsi="Simplified Arabic" w:cs="Simplified Arabic" w:hint="cs"/>
          <w:color w:val="202124"/>
          <w:sz w:val="24"/>
          <w:szCs w:val="24"/>
          <w:rtl/>
          <w:lang w:val="en-US" w:bidi="ar"/>
        </w:rPr>
        <w:t>هي</w:t>
      </w:r>
      <w:r w:rsidR="00E6348E" w:rsidRPr="007D6F22">
        <w:rPr>
          <w:rStyle w:val="y2iqfc"/>
          <w:rFonts w:ascii="Simplified Arabic" w:hAnsi="Simplified Arabic" w:cs="Simplified Arabic" w:hint="cs"/>
          <w:color w:val="202124"/>
          <w:sz w:val="24"/>
          <w:szCs w:val="24"/>
          <w:rtl/>
          <w:lang w:val="en-US" w:bidi="ar"/>
        </w:rPr>
        <w:t>: سيدي سليمان، ميطر، الحمايد والباطن</w:t>
      </w:r>
      <w:r w:rsidR="007D6F22" w:rsidRPr="007D6F22">
        <w:rPr>
          <w:rStyle w:val="y2iqfc"/>
          <w:rFonts w:ascii="Simplified Arabic" w:hAnsi="Simplified Arabic" w:cs="Simplified Arabic" w:hint="cs"/>
          <w:color w:val="202124"/>
          <w:sz w:val="24"/>
          <w:szCs w:val="24"/>
          <w:rtl/>
          <w:lang w:val="en-US" w:bidi="ar"/>
        </w:rPr>
        <w:t>.</w:t>
      </w:r>
      <w:r w:rsidR="00C121B0" w:rsidRPr="007D6F22">
        <w:rPr>
          <w:rStyle w:val="y2iqfc"/>
          <w:rFonts w:ascii="Simplified Arabic" w:hAnsi="Simplified Arabic" w:cs="Simplified Arabic"/>
          <w:color w:val="202124"/>
          <w:sz w:val="24"/>
          <w:szCs w:val="24"/>
          <w:rtl/>
          <w:lang w:val="en-US" w:bidi="ar"/>
        </w:rPr>
        <w:t xml:space="preserve"> </w:t>
      </w:r>
      <w:r w:rsidR="00C121B0" w:rsidRPr="00CA51A1">
        <w:rPr>
          <w:rStyle w:val="y2iqfc"/>
          <w:rFonts w:ascii="Simplified Arabic" w:hAnsi="Simplified Arabic" w:cs="Simplified Arabic"/>
          <w:color w:val="202124"/>
          <w:sz w:val="24"/>
          <w:szCs w:val="24"/>
          <w:rtl/>
          <w:lang w:val="en-US" w:bidi="ar"/>
        </w:rPr>
        <w:t xml:space="preserve">ينبغي تحديد حالة المعايير </w:t>
      </w:r>
      <w:r w:rsidR="00064309">
        <w:rPr>
          <w:rStyle w:val="y2iqfc"/>
          <w:rFonts w:ascii="Simplified Arabic" w:hAnsi="Simplified Arabic" w:cs="Simplified Arabic" w:hint="cs"/>
          <w:color w:val="202124"/>
          <w:sz w:val="24"/>
          <w:szCs w:val="24"/>
          <w:rtl/>
          <w:lang w:val="en-US" w:bidi="ar"/>
        </w:rPr>
        <w:t>لهذه</w:t>
      </w:r>
      <w:r w:rsidR="00C121B0" w:rsidRPr="00CA51A1">
        <w:rPr>
          <w:rStyle w:val="y2iqfc"/>
          <w:rFonts w:ascii="Simplified Arabic" w:hAnsi="Simplified Arabic" w:cs="Simplified Arabic"/>
          <w:color w:val="202124"/>
          <w:sz w:val="24"/>
          <w:szCs w:val="24"/>
          <w:rtl/>
          <w:lang w:val="en-US" w:bidi="ar"/>
        </w:rPr>
        <w:t xml:space="preserve"> الأحياء ذات المرونة </w:t>
      </w:r>
      <w:r w:rsidR="007D6F22">
        <w:rPr>
          <w:rStyle w:val="y2iqfc"/>
          <w:rFonts w:ascii="Simplified Arabic" w:hAnsi="Simplified Arabic" w:cs="Simplified Arabic" w:hint="cs"/>
          <w:color w:val="202124"/>
          <w:sz w:val="24"/>
          <w:szCs w:val="24"/>
          <w:rtl/>
          <w:lang w:val="en-US" w:bidi="ar"/>
        </w:rPr>
        <w:t xml:space="preserve">المتوسطة </w:t>
      </w:r>
      <w:r w:rsidR="007C1ED2">
        <w:rPr>
          <w:rStyle w:val="y2iqfc"/>
          <w:rFonts w:ascii="Simplified Arabic" w:hAnsi="Simplified Arabic" w:cs="Simplified Arabic" w:hint="cs"/>
          <w:color w:val="202124"/>
          <w:sz w:val="24"/>
          <w:szCs w:val="24"/>
          <w:rtl/>
          <w:lang w:val="en-US" w:bidi="ar"/>
        </w:rPr>
        <w:t>و</w:t>
      </w:r>
      <w:r w:rsidR="007C1ED2" w:rsidRPr="00CA51A1">
        <w:rPr>
          <w:rStyle w:val="y2iqfc"/>
          <w:rFonts w:ascii="Simplified Arabic" w:hAnsi="Simplified Arabic" w:cs="Simplified Arabic"/>
          <w:color w:val="202124"/>
          <w:sz w:val="24"/>
          <w:szCs w:val="24"/>
          <w:rtl/>
          <w:lang w:val="en-US" w:bidi="ar"/>
        </w:rPr>
        <w:t xml:space="preserve">المنخفضة </w:t>
      </w:r>
      <w:r w:rsidR="00C121B0" w:rsidRPr="00CA51A1">
        <w:rPr>
          <w:rStyle w:val="y2iqfc"/>
          <w:rFonts w:ascii="Simplified Arabic" w:hAnsi="Simplified Arabic" w:cs="Simplified Arabic"/>
          <w:color w:val="202124"/>
          <w:sz w:val="24"/>
          <w:szCs w:val="24"/>
          <w:rtl/>
          <w:lang w:val="en-US" w:bidi="ar"/>
        </w:rPr>
        <w:t xml:space="preserve">التي تحتاج إلى إعادة تأهيل ومقارنتها بالوضع العام للمدينة لوضع خارطة طريق </w:t>
      </w:r>
      <w:r w:rsidR="00064309">
        <w:rPr>
          <w:rStyle w:val="y2iqfc"/>
          <w:rFonts w:ascii="Simplified Arabic" w:hAnsi="Simplified Arabic" w:cs="Simplified Arabic" w:hint="cs"/>
          <w:color w:val="202124"/>
          <w:sz w:val="24"/>
          <w:szCs w:val="24"/>
          <w:rtl/>
          <w:lang w:val="en-US" w:bidi="ar"/>
        </w:rPr>
        <w:t>ل</w:t>
      </w:r>
      <w:r w:rsidR="00C121B0" w:rsidRPr="00CA51A1">
        <w:rPr>
          <w:rStyle w:val="y2iqfc"/>
          <w:rFonts w:ascii="Simplified Arabic" w:hAnsi="Simplified Arabic" w:cs="Simplified Arabic"/>
          <w:color w:val="202124"/>
          <w:sz w:val="24"/>
          <w:szCs w:val="24"/>
          <w:rtl/>
          <w:lang w:val="en-US" w:bidi="ar"/>
        </w:rPr>
        <w:t>تحسين قدرة المد</w:t>
      </w:r>
      <w:r w:rsidR="00C121B0">
        <w:rPr>
          <w:rStyle w:val="y2iqfc"/>
          <w:rFonts w:ascii="Simplified Arabic" w:hAnsi="Simplified Arabic" w:cs="Simplified Arabic" w:hint="cs"/>
          <w:color w:val="202124"/>
          <w:sz w:val="24"/>
          <w:szCs w:val="24"/>
          <w:rtl/>
          <w:lang w:val="en-US" w:bidi="ar"/>
        </w:rPr>
        <w:t>ي</w:t>
      </w:r>
      <w:r w:rsidR="00C121B0" w:rsidRPr="00CA51A1">
        <w:rPr>
          <w:rStyle w:val="y2iqfc"/>
          <w:rFonts w:ascii="Simplified Arabic" w:hAnsi="Simplified Arabic" w:cs="Simplified Arabic"/>
          <w:color w:val="202124"/>
          <w:sz w:val="24"/>
          <w:szCs w:val="24"/>
          <w:rtl/>
          <w:lang w:val="en-US" w:bidi="ar"/>
        </w:rPr>
        <w:t>ن</w:t>
      </w:r>
      <w:r w:rsidR="00C121B0">
        <w:rPr>
          <w:rStyle w:val="y2iqfc"/>
          <w:rFonts w:ascii="Simplified Arabic" w:hAnsi="Simplified Arabic" w:cs="Simplified Arabic" w:hint="cs"/>
          <w:color w:val="202124"/>
          <w:sz w:val="24"/>
          <w:szCs w:val="24"/>
          <w:rtl/>
          <w:lang w:val="en-US" w:bidi="ar"/>
        </w:rPr>
        <w:t>ة</w:t>
      </w:r>
      <w:r w:rsidR="00C121B0" w:rsidRPr="00CA51A1">
        <w:rPr>
          <w:rStyle w:val="y2iqfc"/>
          <w:rFonts w:ascii="Simplified Arabic" w:hAnsi="Simplified Arabic" w:cs="Simplified Arabic"/>
          <w:color w:val="202124"/>
          <w:sz w:val="24"/>
          <w:szCs w:val="24"/>
          <w:rtl/>
          <w:lang w:val="en-US" w:bidi="ar"/>
        </w:rPr>
        <w:t xml:space="preserve"> على </w:t>
      </w:r>
      <w:r w:rsidR="00C121B0">
        <w:rPr>
          <w:rStyle w:val="y2iqfc"/>
          <w:rFonts w:ascii="Simplified Arabic" w:hAnsi="Simplified Arabic" w:cs="Simplified Arabic" w:hint="cs"/>
          <w:color w:val="202124"/>
          <w:sz w:val="24"/>
          <w:szCs w:val="24"/>
          <w:rtl/>
          <w:lang w:val="en-US" w:bidi="ar"/>
        </w:rPr>
        <w:t>الاستجابة</w:t>
      </w:r>
      <w:r w:rsidR="00C121B0" w:rsidRPr="00CA51A1">
        <w:rPr>
          <w:rStyle w:val="y2iqfc"/>
          <w:rFonts w:ascii="Simplified Arabic" w:hAnsi="Simplified Arabic" w:cs="Simplified Arabic"/>
          <w:color w:val="202124"/>
          <w:sz w:val="24"/>
          <w:szCs w:val="24"/>
          <w:rtl/>
          <w:lang w:val="en-US" w:bidi="ar"/>
        </w:rPr>
        <w:t xml:space="preserve"> </w:t>
      </w:r>
      <w:r w:rsidR="008621B3">
        <w:rPr>
          <w:rStyle w:val="y2iqfc"/>
          <w:rFonts w:ascii="Simplified Arabic" w:hAnsi="Simplified Arabic" w:cs="Simplified Arabic" w:hint="cs"/>
          <w:color w:val="202124"/>
          <w:sz w:val="24"/>
          <w:szCs w:val="24"/>
          <w:rtl/>
          <w:lang w:val="en-US" w:bidi="ar"/>
        </w:rPr>
        <w:t xml:space="preserve">وقدرة التكيف </w:t>
      </w:r>
      <w:r w:rsidR="00064309">
        <w:rPr>
          <w:rStyle w:val="y2iqfc"/>
          <w:rFonts w:ascii="Simplified Arabic" w:hAnsi="Simplified Arabic" w:cs="Simplified Arabic" w:hint="cs"/>
          <w:color w:val="202124"/>
          <w:sz w:val="24"/>
          <w:szCs w:val="24"/>
          <w:rtl/>
          <w:lang w:val="en-US" w:bidi="ar"/>
        </w:rPr>
        <w:t>لمواجهة</w:t>
      </w:r>
      <w:r w:rsidR="00C121B0" w:rsidRPr="00CA51A1">
        <w:rPr>
          <w:rStyle w:val="y2iqfc"/>
          <w:rFonts w:ascii="Simplified Arabic" w:hAnsi="Simplified Arabic" w:cs="Simplified Arabic"/>
          <w:color w:val="202124"/>
          <w:sz w:val="24"/>
          <w:szCs w:val="24"/>
          <w:rtl/>
          <w:lang w:val="en-US" w:bidi="ar"/>
        </w:rPr>
        <w:t xml:space="preserve"> </w:t>
      </w:r>
      <w:r w:rsidR="00064309">
        <w:rPr>
          <w:rStyle w:val="y2iqfc"/>
          <w:rFonts w:ascii="Simplified Arabic" w:hAnsi="Simplified Arabic" w:cs="Simplified Arabic" w:hint="cs"/>
          <w:color w:val="202124"/>
          <w:sz w:val="24"/>
          <w:szCs w:val="24"/>
          <w:rtl/>
          <w:lang w:val="en-US" w:bidi="ar"/>
        </w:rPr>
        <w:t>الاضطرابات</w:t>
      </w:r>
      <w:r w:rsidR="00C121B0" w:rsidRPr="00CA51A1">
        <w:rPr>
          <w:rStyle w:val="y2iqfc"/>
          <w:rFonts w:ascii="Simplified Arabic" w:hAnsi="Simplified Arabic" w:cs="Simplified Arabic"/>
          <w:color w:val="202124"/>
          <w:sz w:val="24"/>
          <w:szCs w:val="24"/>
          <w:rtl/>
          <w:lang w:val="en-US" w:bidi="ar"/>
        </w:rPr>
        <w:t>.</w:t>
      </w:r>
    </w:p>
    <w:p w:rsidR="00C121B0" w:rsidRDefault="00C121B0" w:rsidP="008B4DD2">
      <w:pPr>
        <w:pStyle w:val="Tableau"/>
        <w:rPr>
          <w:rtl/>
          <w:lang w:val="en-US"/>
        </w:rPr>
      </w:pPr>
      <w:bookmarkStart w:id="716" w:name="_Toc157613005"/>
      <w:bookmarkStart w:id="717" w:name="_Toc171803724"/>
      <w:r w:rsidRPr="00CA51A1">
        <w:rPr>
          <w:rtl/>
          <w:lang w:val="en-US"/>
        </w:rPr>
        <w:t xml:space="preserve">الجدول </w:t>
      </w:r>
      <w:r w:rsidR="00AF7197">
        <w:rPr>
          <w:rFonts w:eastAsia="Times New Roman" w:hint="cs"/>
          <w:rtl/>
          <w:lang w:val="en-US" w:eastAsia="fr-FR"/>
        </w:rPr>
        <w:t>(5-</w:t>
      </w:r>
      <w:r w:rsidR="00C05812">
        <w:rPr>
          <w:rFonts w:eastAsia="Times New Roman" w:hint="cs"/>
          <w:rtl/>
          <w:lang w:val="en-US" w:eastAsia="fr-FR"/>
        </w:rPr>
        <w:t>15</w:t>
      </w:r>
      <w:r w:rsidR="00AF7197">
        <w:rPr>
          <w:rFonts w:eastAsia="Times New Roman" w:hint="cs"/>
          <w:rtl/>
          <w:lang w:val="en-US" w:eastAsia="fr-FR"/>
        </w:rPr>
        <w:t>)</w:t>
      </w:r>
      <w:r w:rsidRPr="00CA51A1">
        <w:rPr>
          <w:rtl/>
          <w:lang w:val="en-US"/>
        </w:rPr>
        <w:t>. المساحة والنسبة المئوية لمقياس عملية التحليل الهرمي لمرونة مدينة بوسعادة</w:t>
      </w:r>
      <w:bookmarkEnd w:id="716"/>
      <w:bookmarkEnd w:id="717"/>
      <w:r w:rsidRPr="00CA51A1">
        <w:rPr>
          <w:rtl/>
          <w:lang w:val="en-US"/>
        </w:rPr>
        <w:t xml:space="preserve"> </w:t>
      </w:r>
    </w:p>
    <w:p w:rsidR="005A6107" w:rsidRPr="005A6107" w:rsidRDefault="005A6107" w:rsidP="005A6107">
      <w:pPr>
        <w:pStyle w:val="fegure"/>
        <w:rPr>
          <w:sz w:val="8"/>
          <w:szCs w:val="24"/>
          <w:rtl/>
          <w:lang w:val="en-US" w:bidi="ar-DZ"/>
        </w:rPr>
      </w:pPr>
      <w:bookmarkStart w:id="718" w:name="_Toc171803725"/>
      <w:r>
        <w:rPr>
          <w:rFonts w:hint="cs"/>
          <w:sz w:val="8"/>
          <w:szCs w:val="24"/>
          <w:rtl/>
          <w:lang w:val="en-US"/>
        </w:rPr>
        <w:t>المصدر: (الباحث، 2022)</w:t>
      </w:r>
      <w:bookmarkEnd w:id="718"/>
    </w:p>
    <w:tbl>
      <w:tblPr>
        <w:tblStyle w:val="Grilledutableau"/>
        <w:bidiVisual/>
        <w:tblW w:w="4695" w:type="dxa"/>
        <w:jc w:val="center"/>
        <w:tblInd w:w="717" w:type="dxa"/>
        <w:tblLook w:val="04A0" w:firstRow="1" w:lastRow="0" w:firstColumn="1" w:lastColumn="0" w:noHBand="0" w:noVBand="1"/>
      </w:tblPr>
      <w:tblGrid>
        <w:gridCol w:w="1577"/>
        <w:gridCol w:w="1720"/>
        <w:gridCol w:w="1398"/>
      </w:tblGrid>
      <w:tr w:rsidR="00A77350" w:rsidRPr="00870B14" w:rsidTr="00A77350">
        <w:trPr>
          <w:jc w:val="center"/>
        </w:trPr>
        <w:tc>
          <w:tcPr>
            <w:tcW w:w="1577" w:type="dxa"/>
            <w:shd w:val="clear" w:color="auto" w:fill="auto"/>
            <w:vAlign w:val="center"/>
          </w:tcPr>
          <w:p w:rsidR="00A77350" w:rsidRPr="00870B14" w:rsidRDefault="00A77350" w:rsidP="00794BA6">
            <w:pPr>
              <w:autoSpaceDE w:val="0"/>
              <w:autoSpaceDN w:val="0"/>
              <w:bidi/>
              <w:adjustRightInd w:val="0"/>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ت</w:t>
            </w:r>
            <w:r w:rsidRPr="00870B14">
              <w:rPr>
                <w:rFonts w:ascii="Simplified Arabic" w:hAnsi="Simplified Arabic" w:cs="Simplified Arabic"/>
                <w:color w:val="000000" w:themeColor="text1"/>
                <w:sz w:val="24"/>
                <w:szCs w:val="24"/>
                <w:rtl/>
                <w:lang w:val="en-US"/>
              </w:rPr>
              <w:t>صنف</w:t>
            </w:r>
            <w:r>
              <w:rPr>
                <w:rFonts w:ascii="Simplified Arabic" w:hAnsi="Simplified Arabic" w:cs="Simplified Arabic" w:hint="cs"/>
                <w:color w:val="000000" w:themeColor="text1"/>
                <w:sz w:val="24"/>
                <w:szCs w:val="24"/>
                <w:rtl/>
                <w:lang w:val="en-US"/>
              </w:rPr>
              <w:t xml:space="preserve"> المرونة</w:t>
            </w:r>
          </w:p>
        </w:tc>
        <w:tc>
          <w:tcPr>
            <w:tcW w:w="1720" w:type="dxa"/>
            <w:shd w:val="clear" w:color="auto" w:fill="auto"/>
            <w:vAlign w:val="center"/>
          </w:tcPr>
          <w:p w:rsidR="00A77350" w:rsidRPr="00870B14" w:rsidRDefault="00A77350" w:rsidP="00794BA6">
            <w:pPr>
              <w:autoSpaceDE w:val="0"/>
              <w:autoSpaceDN w:val="0"/>
              <w:bidi/>
              <w:adjustRightInd w:val="0"/>
              <w:jc w:val="center"/>
              <w:rPr>
                <w:rFonts w:ascii="Simplified Arabic" w:hAnsi="Simplified Arabic" w:cs="Simplified Arabic"/>
                <w:color w:val="000000" w:themeColor="text1"/>
                <w:sz w:val="24"/>
                <w:szCs w:val="24"/>
                <w:rtl/>
                <w:lang w:val="en-US"/>
              </w:rPr>
            </w:pPr>
            <w:r w:rsidRPr="00870B14">
              <w:rPr>
                <w:rFonts w:ascii="Simplified Arabic" w:hAnsi="Simplified Arabic" w:cs="Simplified Arabic"/>
                <w:color w:val="000000" w:themeColor="text1"/>
                <w:sz w:val="24"/>
                <w:szCs w:val="24"/>
                <w:rtl/>
                <w:lang w:val="en-US"/>
              </w:rPr>
              <w:t>المساحة (هكتار)</w:t>
            </w:r>
          </w:p>
        </w:tc>
        <w:tc>
          <w:tcPr>
            <w:tcW w:w="1398" w:type="dxa"/>
            <w:shd w:val="clear" w:color="auto" w:fill="auto"/>
            <w:vAlign w:val="center"/>
          </w:tcPr>
          <w:p w:rsidR="00A77350" w:rsidRPr="00870B14" w:rsidRDefault="00A77350" w:rsidP="00794BA6">
            <w:pPr>
              <w:autoSpaceDE w:val="0"/>
              <w:autoSpaceDN w:val="0"/>
              <w:bidi/>
              <w:adjustRightInd w:val="0"/>
              <w:jc w:val="center"/>
              <w:rPr>
                <w:rFonts w:ascii="Simplified Arabic" w:hAnsi="Simplified Arabic" w:cs="Simplified Arabic"/>
                <w:color w:val="000000" w:themeColor="text1"/>
                <w:sz w:val="24"/>
                <w:szCs w:val="24"/>
                <w:rtl/>
                <w:lang w:val="en-US"/>
              </w:rPr>
            </w:pPr>
            <w:r w:rsidRPr="00870B14">
              <w:rPr>
                <w:rFonts w:ascii="Simplified Arabic" w:hAnsi="Simplified Arabic" w:cs="Simplified Arabic"/>
                <w:color w:val="000000" w:themeColor="text1"/>
                <w:sz w:val="24"/>
                <w:szCs w:val="24"/>
                <w:rtl/>
                <w:lang w:val="en-US"/>
              </w:rPr>
              <w:t>المساحة (</w:t>
            </w:r>
            <w:r w:rsidRPr="00870B14">
              <w:rPr>
                <w:rFonts w:ascii="Simplified Arabic" w:hAnsi="Simplified Arabic" w:cs="Simplified Arabic"/>
                <w:color w:val="000000" w:themeColor="text1"/>
                <w:sz w:val="24"/>
                <w:szCs w:val="24"/>
                <w:lang w:bidi="ar-DZ"/>
              </w:rPr>
              <w:t>%</w:t>
            </w:r>
            <w:r w:rsidRPr="00870B14">
              <w:rPr>
                <w:rFonts w:ascii="Simplified Arabic" w:hAnsi="Simplified Arabic" w:cs="Simplified Arabic"/>
                <w:color w:val="000000" w:themeColor="text1"/>
                <w:sz w:val="24"/>
                <w:szCs w:val="24"/>
                <w:rtl/>
                <w:lang w:val="en-US"/>
              </w:rPr>
              <w:t>)</w:t>
            </w:r>
          </w:p>
        </w:tc>
      </w:tr>
      <w:tr w:rsidR="000B7C19" w:rsidRPr="00870B14" w:rsidTr="00F7357D">
        <w:trPr>
          <w:jc w:val="center"/>
        </w:trPr>
        <w:tc>
          <w:tcPr>
            <w:tcW w:w="1577" w:type="dxa"/>
            <w:shd w:val="clear" w:color="auto" w:fill="85FFBC"/>
            <w:vAlign w:val="center"/>
          </w:tcPr>
          <w:p w:rsidR="000B7C19" w:rsidRPr="00870B14" w:rsidRDefault="000B7C19" w:rsidP="00794BA6">
            <w:pPr>
              <w:autoSpaceDE w:val="0"/>
              <w:autoSpaceDN w:val="0"/>
              <w:bidi/>
              <w:adjustRightInd w:val="0"/>
              <w:rPr>
                <w:rFonts w:ascii="Simplified Arabic" w:hAnsi="Simplified Arabic" w:cs="Simplified Arabic"/>
                <w:color w:val="000000" w:themeColor="text1"/>
                <w:sz w:val="24"/>
                <w:szCs w:val="24"/>
                <w:rtl/>
                <w:lang w:val="en-US"/>
              </w:rPr>
            </w:pPr>
            <w:r w:rsidRPr="00870B14">
              <w:rPr>
                <w:rFonts w:ascii="Simplified Arabic" w:hAnsi="Simplified Arabic" w:cs="Simplified Arabic"/>
                <w:color w:val="000000" w:themeColor="text1"/>
                <w:sz w:val="24"/>
                <w:szCs w:val="24"/>
                <w:rtl/>
                <w:lang w:val="en-US"/>
              </w:rPr>
              <w:t>مرونة عالية</w:t>
            </w:r>
          </w:p>
        </w:tc>
        <w:tc>
          <w:tcPr>
            <w:tcW w:w="1720" w:type="dxa"/>
            <w:shd w:val="clear" w:color="auto" w:fill="85FFBC"/>
            <w:vAlign w:val="bottom"/>
          </w:tcPr>
          <w:p w:rsidR="000B7C19" w:rsidRPr="000B7C19" w:rsidRDefault="000B7C19" w:rsidP="000B7C19">
            <w:pPr>
              <w:autoSpaceDE w:val="0"/>
              <w:autoSpaceDN w:val="0"/>
              <w:bidi/>
              <w:adjustRightInd w:val="0"/>
              <w:jc w:val="center"/>
              <w:rPr>
                <w:rFonts w:ascii="Simplified Arabic" w:hAnsi="Simplified Arabic" w:cs="Simplified Arabic"/>
                <w:color w:val="000000" w:themeColor="text1"/>
                <w:sz w:val="24"/>
                <w:szCs w:val="24"/>
                <w:lang w:val="en-US"/>
              </w:rPr>
            </w:pPr>
            <w:r w:rsidRPr="000B7C19">
              <w:rPr>
                <w:rFonts w:ascii="Simplified Arabic" w:hAnsi="Simplified Arabic" w:cs="Simplified Arabic"/>
                <w:color w:val="000000" w:themeColor="text1"/>
                <w:sz w:val="24"/>
                <w:szCs w:val="24"/>
                <w:lang w:val="en-US"/>
              </w:rPr>
              <w:t>1072,19</w:t>
            </w:r>
          </w:p>
        </w:tc>
        <w:tc>
          <w:tcPr>
            <w:tcW w:w="1398" w:type="dxa"/>
            <w:shd w:val="clear" w:color="auto" w:fill="85FFBC"/>
            <w:vAlign w:val="center"/>
          </w:tcPr>
          <w:p w:rsidR="000B7C19" w:rsidRPr="00870B14" w:rsidRDefault="000B7C19" w:rsidP="00794BA6">
            <w:pPr>
              <w:autoSpaceDE w:val="0"/>
              <w:autoSpaceDN w:val="0"/>
              <w:bidi/>
              <w:adjustRightInd w:val="0"/>
              <w:jc w:val="center"/>
              <w:rPr>
                <w:rFonts w:ascii="Simplified Arabic" w:hAnsi="Simplified Arabic" w:cs="Simplified Arabic"/>
                <w:color w:val="000000" w:themeColor="text1"/>
                <w:sz w:val="24"/>
                <w:szCs w:val="24"/>
                <w:rtl/>
                <w:lang w:val="en-US"/>
              </w:rPr>
            </w:pPr>
            <w:r w:rsidRPr="00870B14">
              <w:rPr>
                <w:rFonts w:ascii="Simplified Arabic" w:hAnsi="Simplified Arabic" w:cs="Simplified Arabic"/>
                <w:color w:val="000000"/>
                <w:sz w:val="24"/>
                <w:szCs w:val="24"/>
              </w:rPr>
              <w:t>52,19</w:t>
            </w:r>
          </w:p>
        </w:tc>
      </w:tr>
      <w:tr w:rsidR="000B7C19" w:rsidRPr="00870B14" w:rsidTr="00F7357D">
        <w:trPr>
          <w:jc w:val="center"/>
        </w:trPr>
        <w:tc>
          <w:tcPr>
            <w:tcW w:w="1577" w:type="dxa"/>
            <w:shd w:val="clear" w:color="auto" w:fill="FFFF99"/>
            <w:vAlign w:val="center"/>
          </w:tcPr>
          <w:p w:rsidR="000B7C19" w:rsidRPr="00870B14" w:rsidRDefault="000B7C19" w:rsidP="001600ED">
            <w:pPr>
              <w:autoSpaceDE w:val="0"/>
              <w:autoSpaceDN w:val="0"/>
              <w:bidi/>
              <w:adjustRightInd w:val="0"/>
              <w:rPr>
                <w:rFonts w:ascii="Simplified Arabic" w:hAnsi="Simplified Arabic" w:cs="Simplified Arabic"/>
                <w:color w:val="000000" w:themeColor="text1"/>
                <w:sz w:val="24"/>
                <w:szCs w:val="24"/>
                <w:rtl/>
                <w:lang w:val="en-US"/>
              </w:rPr>
            </w:pPr>
            <w:r w:rsidRPr="00870B14">
              <w:rPr>
                <w:rFonts w:ascii="Simplified Arabic" w:hAnsi="Simplified Arabic" w:cs="Simplified Arabic"/>
                <w:color w:val="000000" w:themeColor="text1"/>
                <w:sz w:val="24"/>
                <w:szCs w:val="24"/>
                <w:rtl/>
                <w:lang w:val="en-US"/>
              </w:rPr>
              <w:t xml:space="preserve">مرونة </w:t>
            </w:r>
            <w:r>
              <w:rPr>
                <w:rFonts w:ascii="Simplified Arabic" w:hAnsi="Simplified Arabic" w:cs="Simplified Arabic" w:hint="cs"/>
                <w:color w:val="000000" w:themeColor="text1"/>
                <w:sz w:val="24"/>
                <w:szCs w:val="24"/>
                <w:rtl/>
                <w:lang w:val="en-US"/>
              </w:rPr>
              <w:t>متوسطة</w:t>
            </w:r>
          </w:p>
        </w:tc>
        <w:tc>
          <w:tcPr>
            <w:tcW w:w="1720" w:type="dxa"/>
            <w:shd w:val="clear" w:color="auto" w:fill="FFFF99"/>
            <w:vAlign w:val="bottom"/>
          </w:tcPr>
          <w:p w:rsidR="000B7C19" w:rsidRPr="000B7C19" w:rsidRDefault="000B7C19" w:rsidP="000B7C19">
            <w:pPr>
              <w:autoSpaceDE w:val="0"/>
              <w:autoSpaceDN w:val="0"/>
              <w:bidi/>
              <w:adjustRightInd w:val="0"/>
              <w:jc w:val="center"/>
              <w:rPr>
                <w:rFonts w:ascii="Simplified Arabic" w:hAnsi="Simplified Arabic" w:cs="Simplified Arabic"/>
                <w:color w:val="000000" w:themeColor="text1"/>
                <w:sz w:val="24"/>
                <w:szCs w:val="24"/>
                <w:lang w:val="en-US"/>
              </w:rPr>
            </w:pPr>
            <w:r w:rsidRPr="000B7C19">
              <w:rPr>
                <w:rFonts w:ascii="Simplified Arabic" w:hAnsi="Simplified Arabic" w:cs="Simplified Arabic"/>
                <w:color w:val="000000" w:themeColor="text1"/>
                <w:sz w:val="24"/>
                <w:szCs w:val="24"/>
                <w:lang w:val="en-US"/>
              </w:rPr>
              <w:t>824,02</w:t>
            </w:r>
          </w:p>
        </w:tc>
        <w:tc>
          <w:tcPr>
            <w:tcW w:w="1398" w:type="dxa"/>
            <w:shd w:val="clear" w:color="auto" w:fill="FFFF99"/>
            <w:vAlign w:val="center"/>
          </w:tcPr>
          <w:p w:rsidR="000B7C19" w:rsidRPr="00870B14" w:rsidRDefault="000B7C19" w:rsidP="00BB5C97">
            <w:pPr>
              <w:autoSpaceDE w:val="0"/>
              <w:autoSpaceDN w:val="0"/>
              <w:bidi/>
              <w:adjustRightInd w:val="0"/>
              <w:jc w:val="center"/>
              <w:rPr>
                <w:rFonts w:ascii="Simplified Arabic" w:hAnsi="Simplified Arabic" w:cs="Simplified Arabic"/>
                <w:color w:val="000000" w:themeColor="text1"/>
                <w:sz w:val="24"/>
                <w:szCs w:val="24"/>
                <w:rtl/>
                <w:lang w:val="en-US"/>
              </w:rPr>
            </w:pPr>
            <w:r>
              <w:rPr>
                <w:rFonts w:ascii="Simplified Arabic" w:hAnsi="Simplified Arabic" w:cs="Simplified Arabic"/>
                <w:color w:val="000000" w:themeColor="text1"/>
                <w:sz w:val="24"/>
                <w:szCs w:val="24"/>
                <w:lang w:val="en-US"/>
              </w:rPr>
              <w:t>40</w:t>
            </w:r>
            <w:r w:rsidRPr="00064309">
              <w:rPr>
                <w:rFonts w:ascii="Simplified Arabic" w:hAnsi="Simplified Arabic" w:cs="Simplified Arabic"/>
                <w:color w:val="000000" w:themeColor="text1"/>
                <w:sz w:val="24"/>
                <w:szCs w:val="24"/>
                <w:lang w:val="en-US"/>
              </w:rPr>
              <w:t>,</w:t>
            </w:r>
            <w:r>
              <w:rPr>
                <w:rFonts w:ascii="Simplified Arabic" w:hAnsi="Simplified Arabic" w:cs="Simplified Arabic"/>
                <w:color w:val="000000" w:themeColor="text1"/>
                <w:sz w:val="24"/>
                <w:szCs w:val="24"/>
                <w:lang w:val="en-US"/>
              </w:rPr>
              <w:t>11</w:t>
            </w:r>
          </w:p>
        </w:tc>
      </w:tr>
      <w:tr w:rsidR="000B7C19" w:rsidRPr="00870B14" w:rsidTr="00F7357D">
        <w:trPr>
          <w:jc w:val="center"/>
        </w:trPr>
        <w:tc>
          <w:tcPr>
            <w:tcW w:w="1577" w:type="dxa"/>
            <w:shd w:val="clear" w:color="auto" w:fill="FC4E08"/>
            <w:vAlign w:val="center"/>
          </w:tcPr>
          <w:p w:rsidR="000B7C19" w:rsidRPr="00870B14" w:rsidRDefault="000B7C19" w:rsidP="001600ED">
            <w:pPr>
              <w:autoSpaceDE w:val="0"/>
              <w:autoSpaceDN w:val="0"/>
              <w:bidi/>
              <w:adjustRightInd w:val="0"/>
              <w:rPr>
                <w:rFonts w:ascii="Simplified Arabic" w:hAnsi="Simplified Arabic" w:cs="Simplified Arabic"/>
                <w:color w:val="000000" w:themeColor="text1"/>
                <w:sz w:val="24"/>
                <w:szCs w:val="24"/>
                <w:rtl/>
                <w:lang w:val="en-US"/>
              </w:rPr>
            </w:pPr>
            <w:r w:rsidRPr="00870B14">
              <w:rPr>
                <w:rFonts w:ascii="Simplified Arabic" w:hAnsi="Simplified Arabic" w:cs="Simplified Arabic"/>
                <w:color w:val="000000" w:themeColor="text1"/>
                <w:sz w:val="24"/>
                <w:szCs w:val="24"/>
                <w:rtl/>
                <w:lang w:val="en-US"/>
              </w:rPr>
              <w:t>مرونة منخفضة</w:t>
            </w:r>
          </w:p>
        </w:tc>
        <w:tc>
          <w:tcPr>
            <w:tcW w:w="1720" w:type="dxa"/>
            <w:shd w:val="clear" w:color="auto" w:fill="FC4E08"/>
            <w:vAlign w:val="bottom"/>
          </w:tcPr>
          <w:p w:rsidR="000B7C19" w:rsidRPr="000B7C19" w:rsidRDefault="000B7C19" w:rsidP="000B7C19">
            <w:pPr>
              <w:autoSpaceDE w:val="0"/>
              <w:autoSpaceDN w:val="0"/>
              <w:bidi/>
              <w:adjustRightInd w:val="0"/>
              <w:jc w:val="center"/>
              <w:rPr>
                <w:rFonts w:ascii="Simplified Arabic" w:hAnsi="Simplified Arabic" w:cs="Simplified Arabic"/>
                <w:color w:val="000000" w:themeColor="text1"/>
                <w:sz w:val="24"/>
                <w:szCs w:val="24"/>
                <w:lang w:val="en-US"/>
              </w:rPr>
            </w:pPr>
            <w:r w:rsidRPr="000B7C19">
              <w:rPr>
                <w:rFonts w:ascii="Simplified Arabic" w:hAnsi="Simplified Arabic" w:cs="Simplified Arabic"/>
                <w:color w:val="000000" w:themeColor="text1"/>
                <w:sz w:val="24"/>
                <w:szCs w:val="24"/>
                <w:lang w:val="en-US"/>
              </w:rPr>
              <w:t>158,19</w:t>
            </w:r>
          </w:p>
        </w:tc>
        <w:tc>
          <w:tcPr>
            <w:tcW w:w="1398" w:type="dxa"/>
            <w:shd w:val="clear" w:color="auto" w:fill="FC4E08"/>
            <w:vAlign w:val="center"/>
          </w:tcPr>
          <w:p w:rsidR="000B7C19" w:rsidRPr="00870B14" w:rsidRDefault="000B7C19" w:rsidP="00BB5C97">
            <w:pPr>
              <w:autoSpaceDE w:val="0"/>
              <w:autoSpaceDN w:val="0"/>
              <w:bidi/>
              <w:adjustRightInd w:val="0"/>
              <w:jc w:val="center"/>
              <w:rPr>
                <w:rFonts w:ascii="Simplified Arabic" w:hAnsi="Simplified Arabic" w:cs="Simplified Arabic"/>
                <w:color w:val="000000" w:themeColor="text1"/>
                <w:sz w:val="24"/>
                <w:szCs w:val="24"/>
                <w:rtl/>
                <w:lang w:val="en-US"/>
              </w:rPr>
            </w:pPr>
            <w:r>
              <w:rPr>
                <w:rFonts w:ascii="Simplified Arabic" w:hAnsi="Simplified Arabic" w:cs="Simplified Arabic"/>
                <w:color w:val="000000" w:themeColor="text1"/>
                <w:sz w:val="24"/>
                <w:szCs w:val="24"/>
                <w:lang w:val="en-US"/>
              </w:rPr>
              <w:t>7</w:t>
            </w:r>
            <w:r w:rsidRPr="00064309">
              <w:rPr>
                <w:rFonts w:ascii="Simplified Arabic" w:hAnsi="Simplified Arabic" w:cs="Simplified Arabic"/>
                <w:color w:val="000000" w:themeColor="text1"/>
                <w:sz w:val="24"/>
                <w:szCs w:val="24"/>
                <w:lang w:val="en-US"/>
              </w:rPr>
              <w:t>,</w:t>
            </w:r>
            <w:r>
              <w:rPr>
                <w:rFonts w:ascii="Simplified Arabic" w:hAnsi="Simplified Arabic" w:cs="Simplified Arabic"/>
                <w:color w:val="000000" w:themeColor="text1"/>
                <w:sz w:val="24"/>
                <w:szCs w:val="24"/>
                <w:lang w:val="en-US"/>
              </w:rPr>
              <w:t>70</w:t>
            </w:r>
          </w:p>
        </w:tc>
      </w:tr>
    </w:tbl>
    <w:p w:rsidR="00C121B0" w:rsidRPr="00C87697" w:rsidRDefault="00C121B0" w:rsidP="001D0548">
      <w:pPr>
        <w:pStyle w:val="Paragraphedeliste"/>
        <w:numPr>
          <w:ilvl w:val="2"/>
          <w:numId w:val="238"/>
        </w:numPr>
        <w:tabs>
          <w:tab w:val="right" w:pos="850"/>
        </w:tabs>
        <w:bidi/>
        <w:spacing w:before="240" w:after="0"/>
        <w:ind w:left="0" w:firstLine="0"/>
        <w:jc w:val="both"/>
        <w:outlineLvl w:val="1"/>
        <w:rPr>
          <w:rFonts w:ascii="Simplified Arabic" w:hAnsi="Simplified Arabic" w:cs="Simplified Arabic"/>
          <w:sz w:val="24"/>
          <w:szCs w:val="24"/>
          <w:rtl/>
          <w:lang w:val="en-US"/>
        </w:rPr>
      </w:pPr>
      <w:bookmarkStart w:id="719" w:name="_Toc171803726"/>
      <w:r w:rsidRPr="006F2A40">
        <w:rPr>
          <w:rFonts w:ascii="Simplified Arabic" w:hAnsi="Simplified Arabic" w:cs="Simplified Arabic" w:hint="cs"/>
          <w:b/>
          <w:bCs/>
          <w:sz w:val="24"/>
          <w:szCs w:val="24"/>
          <w:rtl/>
          <w:lang w:val="en-US"/>
        </w:rPr>
        <w:t>التحقيق</w:t>
      </w:r>
      <w:r w:rsidRPr="006F2A40">
        <w:rPr>
          <w:rFonts w:ascii="Simplified Arabic" w:hAnsi="Simplified Arabic" w:cs="Simplified Arabic"/>
          <w:b/>
          <w:bCs/>
          <w:sz w:val="24"/>
          <w:szCs w:val="24"/>
          <w:rtl/>
          <w:lang w:val="en-US"/>
        </w:rPr>
        <w:t xml:space="preserve"> </w:t>
      </w:r>
      <w:r w:rsidRPr="006F2A40">
        <w:rPr>
          <w:rFonts w:ascii="Simplified Arabic" w:hAnsi="Simplified Arabic" w:cs="Simplified Arabic" w:hint="cs"/>
          <w:b/>
          <w:bCs/>
          <w:sz w:val="24"/>
          <w:szCs w:val="24"/>
          <w:rtl/>
          <w:lang w:val="en-US"/>
        </w:rPr>
        <w:t>في</w:t>
      </w:r>
      <w:r w:rsidRPr="006F2A40">
        <w:rPr>
          <w:rFonts w:ascii="Simplified Arabic" w:hAnsi="Simplified Arabic" w:cs="Simplified Arabic"/>
          <w:b/>
          <w:bCs/>
          <w:sz w:val="24"/>
          <w:szCs w:val="24"/>
          <w:rtl/>
          <w:lang w:val="en-US"/>
        </w:rPr>
        <w:t xml:space="preserve"> </w:t>
      </w:r>
      <w:r w:rsidRPr="006F2A40">
        <w:rPr>
          <w:rFonts w:ascii="Simplified Arabic" w:hAnsi="Simplified Arabic" w:cs="Simplified Arabic" w:hint="cs"/>
          <w:b/>
          <w:bCs/>
          <w:sz w:val="24"/>
          <w:szCs w:val="24"/>
          <w:rtl/>
          <w:lang w:val="en-US"/>
        </w:rPr>
        <w:t>تصورات</w:t>
      </w:r>
      <w:r w:rsidRPr="006F2A40">
        <w:rPr>
          <w:rFonts w:ascii="Simplified Arabic" w:hAnsi="Simplified Arabic" w:cs="Simplified Arabic"/>
          <w:b/>
          <w:bCs/>
          <w:sz w:val="24"/>
          <w:szCs w:val="24"/>
          <w:rtl/>
          <w:lang w:val="en-US"/>
        </w:rPr>
        <w:t xml:space="preserve"> </w:t>
      </w:r>
      <w:r w:rsidRPr="006F2A40">
        <w:rPr>
          <w:rFonts w:ascii="Simplified Arabic" w:hAnsi="Simplified Arabic" w:cs="Simplified Arabic" w:hint="cs"/>
          <w:b/>
          <w:bCs/>
          <w:sz w:val="24"/>
          <w:szCs w:val="24"/>
          <w:rtl/>
          <w:lang w:val="en-US"/>
        </w:rPr>
        <w:t>السكان المحليين حول اضطرابات الحصول على الخدمة ب</w:t>
      </w:r>
      <w:r w:rsidRPr="006F2A40">
        <w:rPr>
          <w:rFonts w:ascii="Simplified Arabic" w:hAnsi="Simplified Arabic" w:cs="Simplified Arabic"/>
          <w:b/>
          <w:bCs/>
          <w:sz w:val="24"/>
          <w:szCs w:val="24"/>
          <w:rtl/>
          <w:lang w:val="en-US"/>
        </w:rPr>
        <w:t>مدينة بوسعادة</w:t>
      </w:r>
      <w:bookmarkEnd w:id="719"/>
    </w:p>
    <w:p w:rsidR="00C121B0" w:rsidRPr="002244D2" w:rsidRDefault="00C121B0" w:rsidP="008B4DD2">
      <w:pPr>
        <w:bidi/>
        <w:spacing w:after="0"/>
        <w:ind w:firstLine="282"/>
        <w:jc w:val="both"/>
        <w:rPr>
          <w:rFonts w:ascii="Simplified Arabic" w:hAnsi="Simplified Arabic" w:cs="Simplified Arabic"/>
          <w:sz w:val="24"/>
          <w:szCs w:val="24"/>
          <w:rtl/>
          <w:lang w:val="en-US" w:bidi="ar-DZ"/>
        </w:rPr>
      </w:pPr>
      <w:r>
        <w:rPr>
          <w:rFonts w:ascii="Simplified Arabic" w:hAnsi="Simplified Arabic" w:cs="Simplified Arabic" w:hint="cs"/>
          <w:color w:val="000000" w:themeColor="text1"/>
          <w:sz w:val="24"/>
          <w:szCs w:val="24"/>
          <w:rtl/>
          <w:lang w:val="en-US"/>
        </w:rPr>
        <w:t xml:space="preserve">يهدف </w:t>
      </w:r>
      <w:r w:rsidRPr="00975C6D">
        <w:rPr>
          <w:rFonts w:ascii="Simplified Arabic" w:hAnsi="Simplified Arabic" w:cs="Simplified Arabic" w:hint="cs"/>
          <w:color w:val="000000" w:themeColor="text1"/>
          <w:sz w:val="24"/>
          <w:szCs w:val="24"/>
          <w:rtl/>
          <w:lang w:val="en-US"/>
        </w:rPr>
        <w:t xml:space="preserve">الاستبيان الالكتروني </w:t>
      </w:r>
      <w:r>
        <w:rPr>
          <w:rFonts w:ascii="Simplified Arabic" w:hAnsi="Simplified Arabic" w:cs="Simplified Arabic" w:hint="cs"/>
          <w:color w:val="000000" w:themeColor="text1"/>
          <w:sz w:val="24"/>
          <w:szCs w:val="24"/>
          <w:rtl/>
          <w:lang w:val="en-US"/>
        </w:rPr>
        <w:t xml:space="preserve">الى </w:t>
      </w:r>
      <w:r w:rsidRPr="00F41257">
        <w:rPr>
          <w:rFonts w:ascii="Simplified Arabic" w:hAnsi="Simplified Arabic" w:cs="Simplified Arabic" w:hint="cs"/>
          <w:color w:val="000000" w:themeColor="text1"/>
          <w:sz w:val="24"/>
          <w:szCs w:val="24"/>
          <w:rtl/>
          <w:lang w:val="en-US"/>
        </w:rPr>
        <w:t>التحقيق</w:t>
      </w:r>
      <w:r w:rsidRPr="00F41257">
        <w:rPr>
          <w:rFonts w:ascii="Simplified Arabic" w:hAnsi="Simplified Arabic" w:cs="Simplified Arabic"/>
          <w:color w:val="000000" w:themeColor="text1"/>
          <w:sz w:val="24"/>
          <w:szCs w:val="24"/>
          <w:rtl/>
          <w:lang w:val="en-US"/>
        </w:rPr>
        <w:t xml:space="preserve"> </w:t>
      </w:r>
      <w:r w:rsidRPr="00F41257">
        <w:rPr>
          <w:rFonts w:ascii="Simplified Arabic" w:hAnsi="Simplified Arabic" w:cs="Simplified Arabic" w:hint="cs"/>
          <w:color w:val="000000" w:themeColor="text1"/>
          <w:sz w:val="24"/>
          <w:szCs w:val="24"/>
          <w:rtl/>
          <w:lang w:val="en-US"/>
        </w:rPr>
        <w:t>في</w:t>
      </w:r>
      <w:r w:rsidRPr="00F41257">
        <w:rPr>
          <w:rFonts w:ascii="Simplified Arabic" w:hAnsi="Simplified Arabic" w:cs="Simplified Arabic"/>
          <w:color w:val="000000" w:themeColor="text1"/>
          <w:sz w:val="24"/>
          <w:szCs w:val="24"/>
          <w:rtl/>
          <w:lang w:val="en-US"/>
        </w:rPr>
        <w:t xml:space="preserve"> </w:t>
      </w:r>
      <w:r w:rsidRPr="00F41257">
        <w:rPr>
          <w:rFonts w:ascii="Simplified Arabic" w:hAnsi="Simplified Arabic" w:cs="Simplified Arabic" w:hint="cs"/>
          <w:color w:val="000000" w:themeColor="text1"/>
          <w:sz w:val="24"/>
          <w:szCs w:val="24"/>
          <w:rtl/>
          <w:lang w:val="en-US"/>
        </w:rPr>
        <w:t>تصورات</w:t>
      </w:r>
      <w:r w:rsidRPr="00F41257">
        <w:rPr>
          <w:rFonts w:ascii="Simplified Arabic" w:hAnsi="Simplified Arabic" w:cs="Simplified Arabic"/>
          <w:color w:val="000000" w:themeColor="text1"/>
          <w:sz w:val="24"/>
          <w:szCs w:val="24"/>
          <w:rtl/>
          <w:lang w:val="en-US"/>
        </w:rPr>
        <w:t xml:space="preserve"> </w:t>
      </w:r>
      <w:r w:rsidRPr="00F41257">
        <w:rPr>
          <w:rFonts w:ascii="Simplified Arabic" w:hAnsi="Simplified Arabic" w:cs="Simplified Arabic" w:hint="cs"/>
          <w:color w:val="000000" w:themeColor="text1"/>
          <w:sz w:val="24"/>
          <w:szCs w:val="24"/>
          <w:rtl/>
          <w:lang w:val="en-US"/>
        </w:rPr>
        <w:t xml:space="preserve">سكان </w:t>
      </w:r>
      <w:r w:rsidR="008C50E7">
        <w:rPr>
          <w:rFonts w:ascii="Simplified Arabic" w:hAnsi="Simplified Arabic" w:cs="Simplified Arabic" w:hint="cs"/>
          <w:color w:val="000000" w:themeColor="text1"/>
          <w:sz w:val="24"/>
          <w:szCs w:val="24"/>
          <w:rtl/>
          <w:lang w:val="en-US"/>
        </w:rPr>
        <w:t>الاحياء السكنية</w:t>
      </w:r>
      <w:r w:rsidR="008C50E7" w:rsidRPr="00975C6D">
        <w:rPr>
          <w:rFonts w:ascii="Simplified Arabic" w:hAnsi="Simplified Arabic" w:cs="Simplified Arabic" w:hint="cs"/>
          <w:color w:val="000000" w:themeColor="text1"/>
          <w:sz w:val="24"/>
          <w:szCs w:val="24"/>
          <w:rtl/>
          <w:lang w:val="en-US"/>
        </w:rPr>
        <w:t>:</w:t>
      </w:r>
      <w:r w:rsidR="008C50E7" w:rsidRPr="00975C6D">
        <w:rPr>
          <w:rFonts w:ascii="Simplified Arabic" w:hAnsi="Simplified Arabic" w:cs="Simplified Arabic" w:hint="cs"/>
          <w:color w:val="000000" w:themeColor="text1"/>
          <w:rtl/>
          <w:lang w:val="en-US"/>
        </w:rPr>
        <w:t xml:space="preserve"> </w:t>
      </w:r>
      <w:r w:rsidR="008C50E7" w:rsidRPr="00975C6D">
        <w:rPr>
          <w:rFonts w:ascii="Simplified Arabic" w:hAnsi="Simplified Arabic" w:cs="Simplified Arabic" w:hint="cs"/>
          <w:color w:val="000000" w:themeColor="text1"/>
          <w:sz w:val="24"/>
          <w:szCs w:val="24"/>
          <w:rtl/>
          <w:lang w:val="en-US"/>
        </w:rPr>
        <w:t>سيدي سليمان</w:t>
      </w:r>
      <w:r w:rsidR="008C50E7">
        <w:rPr>
          <w:rFonts w:ascii="Simplified Arabic" w:hAnsi="Simplified Arabic" w:cs="Simplified Arabic" w:hint="cs"/>
          <w:color w:val="000000" w:themeColor="text1"/>
          <w:sz w:val="24"/>
          <w:szCs w:val="24"/>
          <w:rtl/>
          <w:lang w:val="en-US"/>
        </w:rPr>
        <w:t xml:space="preserve">، </w:t>
      </w:r>
      <w:r w:rsidR="008C50E7" w:rsidRPr="005768EE">
        <w:rPr>
          <w:rFonts w:ascii="Simplified Arabic" w:hAnsi="Simplified Arabic" w:cs="Simplified Arabic" w:hint="cs"/>
          <w:color w:val="000000" w:themeColor="text1"/>
          <w:sz w:val="24"/>
          <w:szCs w:val="24"/>
          <w:rtl/>
          <w:lang w:val="en-US"/>
        </w:rPr>
        <w:t>ميطر</w:t>
      </w:r>
      <w:r w:rsidR="008C50E7" w:rsidRPr="00975C6D">
        <w:rPr>
          <w:rFonts w:ascii="Simplified Arabic" w:hAnsi="Simplified Arabic" w:cs="Simplified Arabic" w:hint="cs"/>
          <w:color w:val="000000" w:themeColor="text1"/>
          <w:sz w:val="24"/>
          <w:szCs w:val="24"/>
          <w:rtl/>
          <w:lang w:val="en-US"/>
        </w:rPr>
        <w:t>، الحمايد والباطن</w:t>
      </w:r>
      <w:r w:rsidR="008C50E7">
        <w:rPr>
          <w:rFonts w:ascii="Simplified Arabic" w:hAnsi="Simplified Arabic" w:cs="Simplified Arabic" w:hint="cs"/>
          <w:color w:val="000000" w:themeColor="text1"/>
          <w:sz w:val="24"/>
          <w:szCs w:val="24"/>
          <w:rtl/>
          <w:lang w:val="en-US"/>
        </w:rPr>
        <w:t xml:space="preserve"> </w:t>
      </w:r>
      <w:r w:rsidR="00975C6D" w:rsidRPr="00975C6D">
        <w:rPr>
          <w:rFonts w:ascii="Simplified Arabic" w:hAnsi="Simplified Arabic" w:cs="Simplified Arabic" w:hint="cs"/>
          <w:color w:val="000000" w:themeColor="text1"/>
          <w:sz w:val="24"/>
          <w:szCs w:val="24"/>
          <w:rtl/>
          <w:lang w:val="en-US"/>
        </w:rPr>
        <w:t>ب</w:t>
      </w:r>
      <w:r w:rsidR="00975C6D" w:rsidRPr="00F41257">
        <w:rPr>
          <w:rFonts w:ascii="Simplified Arabic" w:hAnsi="Simplified Arabic" w:cs="Simplified Arabic" w:hint="cs"/>
          <w:color w:val="000000" w:themeColor="text1"/>
          <w:sz w:val="24"/>
          <w:szCs w:val="24"/>
          <w:rtl/>
          <w:lang w:val="en-US"/>
        </w:rPr>
        <w:t xml:space="preserve">مدينة بوسعادة </w:t>
      </w:r>
      <w:r w:rsidRPr="00F41257">
        <w:rPr>
          <w:rFonts w:ascii="Simplified Arabic" w:hAnsi="Simplified Arabic" w:cs="Simplified Arabic" w:hint="cs"/>
          <w:color w:val="000000" w:themeColor="text1"/>
          <w:sz w:val="24"/>
          <w:szCs w:val="24"/>
          <w:rtl/>
          <w:lang w:val="en-US"/>
        </w:rPr>
        <w:t xml:space="preserve">حول اضطرابات الحصول على الخدمة </w:t>
      </w:r>
      <w:r w:rsidR="00975C6D" w:rsidRPr="00975C6D">
        <w:rPr>
          <w:rFonts w:ascii="Simplified Arabic" w:hAnsi="Simplified Arabic" w:cs="Simplified Arabic" w:hint="cs"/>
          <w:color w:val="000000" w:themeColor="text1"/>
          <w:sz w:val="24"/>
          <w:szCs w:val="24"/>
          <w:rtl/>
          <w:lang w:val="en-US"/>
        </w:rPr>
        <w:t xml:space="preserve">التي تشهد مستوى </w:t>
      </w:r>
      <w:r w:rsidR="00C71A41" w:rsidRPr="00975C6D">
        <w:rPr>
          <w:rFonts w:ascii="Simplified Arabic" w:hAnsi="Simplified Arabic" w:cs="Simplified Arabic" w:hint="cs"/>
          <w:color w:val="000000" w:themeColor="text1"/>
          <w:sz w:val="24"/>
          <w:szCs w:val="24"/>
          <w:rtl/>
          <w:lang w:val="en-US"/>
        </w:rPr>
        <w:t xml:space="preserve">مرونة </w:t>
      </w:r>
      <w:r w:rsidR="00975C6D" w:rsidRPr="00975C6D">
        <w:rPr>
          <w:rFonts w:ascii="Simplified Arabic" w:hAnsi="Simplified Arabic" w:cs="Simplified Arabic" w:hint="cs"/>
          <w:color w:val="000000" w:themeColor="text1"/>
          <w:sz w:val="24"/>
          <w:szCs w:val="24"/>
          <w:rtl/>
          <w:lang w:val="en-US"/>
        </w:rPr>
        <w:t>متدنٍ</w:t>
      </w:r>
      <w:r w:rsidR="008C50E7">
        <w:rPr>
          <w:rFonts w:ascii="Simplified Arabic" w:hAnsi="Simplified Arabic" w:cs="Simplified Arabic" w:hint="cs"/>
          <w:color w:val="000000" w:themeColor="text1"/>
          <w:sz w:val="24"/>
          <w:szCs w:val="24"/>
          <w:rtl/>
          <w:lang w:val="en-US"/>
        </w:rPr>
        <w:t xml:space="preserve"> (</w:t>
      </w:r>
      <w:r w:rsidR="008C50E7">
        <w:rPr>
          <w:rStyle w:val="y2iqfc"/>
          <w:rFonts w:ascii="Simplified Arabic" w:hAnsi="Simplified Arabic" w:cs="Simplified Arabic" w:hint="cs"/>
          <w:color w:val="202124"/>
          <w:sz w:val="24"/>
          <w:szCs w:val="24"/>
          <w:rtl/>
          <w:lang w:val="en-US" w:bidi="ar"/>
        </w:rPr>
        <w:t>متوسط و</w:t>
      </w:r>
      <w:r w:rsidR="008C50E7" w:rsidRPr="00CA51A1">
        <w:rPr>
          <w:rStyle w:val="y2iqfc"/>
          <w:rFonts w:ascii="Simplified Arabic" w:hAnsi="Simplified Arabic" w:cs="Simplified Arabic"/>
          <w:color w:val="202124"/>
          <w:sz w:val="24"/>
          <w:szCs w:val="24"/>
          <w:rtl/>
          <w:lang w:val="en-US" w:bidi="ar"/>
        </w:rPr>
        <w:t>منخفض</w:t>
      </w:r>
      <w:r w:rsidR="008C50E7">
        <w:rPr>
          <w:rFonts w:ascii="Simplified Arabic" w:hAnsi="Simplified Arabic" w:cs="Simplified Arabic" w:hint="cs"/>
          <w:color w:val="000000" w:themeColor="text1"/>
          <w:sz w:val="24"/>
          <w:szCs w:val="24"/>
          <w:rtl/>
          <w:lang w:val="en-US"/>
        </w:rPr>
        <w:t>)</w:t>
      </w:r>
      <w:r>
        <w:rPr>
          <w:rFonts w:ascii="Simplified Arabic" w:hAnsi="Simplified Arabic" w:cs="Simplified Arabic" w:hint="cs"/>
          <w:color w:val="000000" w:themeColor="text1"/>
          <w:sz w:val="24"/>
          <w:szCs w:val="24"/>
          <w:rtl/>
          <w:lang w:val="en-US"/>
        </w:rPr>
        <w:t xml:space="preserve">، </w:t>
      </w:r>
      <w:r w:rsidR="008C50E7">
        <w:rPr>
          <w:rFonts w:ascii="Simplified Arabic" w:hAnsi="Simplified Arabic" w:cs="Simplified Arabic" w:hint="cs"/>
          <w:color w:val="000000" w:themeColor="text1"/>
          <w:sz w:val="24"/>
          <w:szCs w:val="24"/>
          <w:rtl/>
          <w:lang w:val="en-US"/>
        </w:rPr>
        <w:t xml:space="preserve">هذا </w:t>
      </w:r>
      <w:r>
        <w:rPr>
          <w:rFonts w:ascii="Simplified Arabic" w:hAnsi="Simplified Arabic" w:cs="Simplified Arabic" w:hint="cs"/>
          <w:color w:val="000000" w:themeColor="text1"/>
          <w:sz w:val="24"/>
          <w:szCs w:val="24"/>
          <w:rtl/>
          <w:lang w:val="en-US"/>
        </w:rPr>
        <w:t>من جهة.</w:t>
      </w:r>
      <w:r w:rsidRPr="00F41257">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 xml:space="preserve">من جهة اخرى، التحقق من صحة </w:t>
      </w:r>
      <w:r w:rsidR="008C50E7">
        <w:rPr>
          <w:rFonts w:ascii="Simplified Arabic" w:hAnsi="Simplified Arabic" w:cs="Simplified Arabic" w:hint="cs"/>
          <w:color w:val="000000" w:themeColor="text1"/>
          <w:sz w:val="24"/>
          <w:szCs w:val="24"/>
          <w:rtl/>
          <w:lang w:val="en-US"/>
        </w:rPr>
        <w:t xml:space="preserve">نتائج </w:t>
      </w:r>
      <w:r>
        <w:rPr>
          <w:rFonts w:ascii="Simplified Arabic" w:hAnsi="Simplified Arabic" w:cs="Simplified Arabic" w:hint="cs"/>
          <w:color w:val="000000" w:themeColor="text1"/>
          <w:sz w:val="24"/>
          <w:szCs w:val="24"/>
          <w:rtl/>
          <w:lang w:val="en-US"/>
        </w:rPr>
        <w:t>تحليل ت</w:t>
      </w:r>
      <w:r w:rsidRPr="000F0BB9">
        <w:rPr>
          <w:rFonts w:ascii="Simplified Arabic" w:hAnsi="Simplified Arabic" w:cs="Simplified Arabic" w:hint="cs"/>
          <w:color w:val="000000" w:themeColor="text1"/>
          <w:sz w:val="24"/>
          <w:szCs w:val="24"/>
          <w:rtl/>
          <w:lang w:val="en-US"/>
        </w:rPr>
        <w:t>صورات</w:t>
      </w:r>
      <w:r w:rsidRPr="000F0BB9">
        <w:rPr>
          <w:rFonts w:ascii="Simplified Arabic" w:hAnsi="Simplified Arabic" w:cs="Simplified Arabic"/>
          <w:color w:val="000000" w:themeColor="text1"/>
          <w:sz w:val="24"/>
          <w:szCs w:val="24"/>
          <w:rtl/>
          <w:lang w:val="en-US"/>
        </w:rPr>
        <w:t xml:space="preserve"> </w:t>
      </w:r>
      <w:r w:rsidRPr="000F0BB9">
        <w:rPr>
          <w:rFonts w:ascii="Simplified Arabic" w:hAnsi="Simplified Arabic" w:cs="Simplified Arabic" w:hint="cs"/>
          <w:color w:val="000000" w:themeColor="text1"/>
          <w:sz w:val="24"/>
          <w:szCs w:val="24"/>
          <w:rtl/>
          <w:lang w:val="en-US"/>
        </w:rPr>
        <w:t>السكان المحليين حول اضطرابات الحصول على الخدمة ب</w:t>
      </w:r>
      <w:r w:rsidRPr="000F0BB9">
        <w:rPr>
          <w:rFonts w:ascii="Simplified Arabic" w:hAnsi="Simplified Arabic" w:cs="Simplified Arabic"/>
          <w:color w:val="000000" w:themeColor="text1"/>
          <w:sz w:val="24"/>
          <w:szCs w:val="24"/>
          <w:rtl/>
          <w:lang w:val="en-US"/>
        </w:rPr>
        <w:t>مدينة بوسعادة</w:t>
      </w:r>
      <w:r>
        <w:rPr>
          <w:rFonts w:ascii="Simplified Arabic" w:hAnsi="Simplified Arabic" w:cs="Simplified Arabic" w:hint="cs"/>
          <w:color w:val="000000" w:themeColor="text1"/>
          <w:sz w:val="24"/>
          <w:szCs w:val="24"/>
          <w:rtl/>
          <w:lang w:val="en-US"/>
        </w:rPr>
        <w:t xml:space="preserve"> مع </w:t>
      </w:r>
      <w:r w:rsidR="00105EF7">
        <w:rPr>
          <w:rFonts w:ascii="Simplified Arabic" w:hAnsi="Simplified Arabic" w:cs="Simplified Arabic" w:hint="cs"/>
          <w:color w:val="000000" w:themeColor="text1"/>
          <w:sz w:val="24"/>
          <w:szCs w:val="24"/>
          <w:rtl/>
          <w:lang w:val="en-US"/>
        </w:rPr>
        <w:t>نتائج</w:t>
      </w:r>
      <w:r>
        <w:rPr>
          <w:rFonts w:ascii="Simplified Arabic" w:hAnsi="Simplified Arabic" w:cs="Simplified Arabic" w:hint="cs"/>
          <w:color w:val="000000" w:themeColor="text1"/>
          <w:sz w:val="24"/>
          <w:szCs w:val="24"/>
          <w:rtl/>
          <w:lang w:val="en-US"/>
        </w:rPr>
        <w:t xml:space="preserve"> تصنيفات </w:t>
      </w:r>
      <w:r w:rsidR="00A70AF1">
        <w:rPr>
          <w:rFonts w:ascii="Simplified Arabic" w:hAnsi="Simplified Arabic" w:cs="Simplified Arabic" w:hint="cs"/>
          <w:color w:val="000000" w:themeColor="text1"/>
          <w:sz w:val="24"/>
          <w:szCs w:val="24"/>
          <w:rtl/>
          <w:lang w:val="en-US"/>
        </w:rPr>
        <w:t xml:space="preserve">مستويات </w:t>
      </w:r>
      <w:r>
        <w:rPr>
          <w:rFonts w:ascii="Simplified Arabic" w:hAnsi="Simplified Arabic" w:cs="Simplified Arabic" w:hint="cs"/>
          <w:color w:val="000000" w:themeColor="text1"/>
          <w:sz w:val="24"/>
          <w:szCs w:val="24"/>
          <w:rtl/>
          <w:lang w:val="en-US"/>
        </w:rPr>
        <w:t>المرونة الحضرية.</w:t>
      </w:r>
      <w:r w:rsidR="00105EF7">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sz w:val="24"/>
          <w:szCs w:val="24"/>
          <w:rtl/>
          <w:lang w:val="en-US"/>
        </w:rPr>
        <w:t>كما يهدف</w:t>
      </w:r>
      <w:r>
        <w:rPr>
          <w:rFonts w:ascii="Simplified Arabic" w:hAnsi="Simplified Arabic" w:cs="Simplified Arabic" w:hint="cs"/>
          <w:sz w:val="24"/>
          <w:szCs w:val="24"/>
          <w:rtl/>
        </w:rPr>
        <w:t xml:space="preserve"> الى تقديم آرائهم للمشاركة في توجيه </w:t>
      </w:r>
      <w:r w:rsidRPr="000F2002">
        <w:rPr>
          <w:rFonts w:ascii="Simplified Arabic" w:hAnsi="Simplified Arabic" w:cs="Simplified Arabic"/>
          <w:sz w:val="24"/>
          <w:szCs w:val="24"/>
          <w:rtl/>
          <w:lang w:val="en-US"/>
        </w:rPr>
        <w:t>التنمية الحضرية</w:t>
      </w:r>
      <w:r w:rsidRPr="00AD125C">
        <w:rPr>
          <w:rFonts w:ascii="Simplified Arabic" w:hAnsi="Simplified Arabic" w:cs="Simplified Arabic"/>
          <w:sz w:val="24"/>
          <w:szCs w:val="24"/>
          <w:rtl/>
          <w:lang w:val="en-US"/>
        </w:rPr>
        <w:t xml:space="preserve"> </w:t>
      </w:r>
      <w:r w:rsidR="008C50E7">
        <w:rPr>
          <w:rFonts w:ascii="Simplified Arabic" w:hAnsi="Simplified Arabic" w:cs="Simplified Arabic" w:hint="cs"/>
          <w:sz w:val="24"/>
          <w:szCs w:val="24"/>
          <w:rtl/>
          <w:lang w:val="en-US"/>
        </w:rPr>
        <w:t>لرفع مستوى مرونة احيائهم السكنية</w:t>
      </w:r>
      <w:r w:rsidRPr="002244D2">
        <w:rPr>
          <w:rFonts w:ascii="Simplified Arabic" w:hAnsi="Simplified Arabic" w:cs="Simplified Arabic" w:hint="cs"/>
          <w:sz w:val="24"/>
          <w:szCs w:val="24"/>
          <w:rtl/>
          <w:lang w:val="en-US"/>
        </w:rPr>
        <w:t xml:space="preserve">. رغم ذلك، </w:t>
      </w:r>
      <w:r w:rsidRPr="002244D2">
        <w:rPr>
          <w:rFonts w:ascii="Simplified Arabic" w:hAnsi="Simplified Arabic" w:cs="Simplified Arabic" w:hint="cs"/>
          <w:sz w:val="24"/>
          <w:szCs w:val="24"/>
          <w:rtl/>
        </w:rPr>
        <w:t>يظل</w:t>
      </w:r>
      <w:r w:rsidRPr="002244D2">
        <w:rPr>
          <w:rFonts w:ascii="Simplified Arabic" w:hAnsi="Simplified Arabic" w:cs="Simplified Arabic"/>
          <w:sz w:val="24"/>
          <w:szCs w:val="24"/>
          <w:rtl/>
        </w:rPr>
        <w:t xml:space="preserve"> </w:t>
      </w:r>
      <w:r w:rsidRPr="002244D2">
        <w:rPr>
          <w:rFonts w:ascii="Simplified Arabic" w:hAnsi="Simplified Arabic" w:cs="Simplified Arabic" w:hint="cs"/>
          <w:sz w:val="24"/>
          <w:szCs w:val="24"/>
          <w:rtl/>
        </w:rPr>
        <w:t>نقص</w:t>
      </w:r>
      <w:r w:rsidRPr="002244D2">
        <w:rPr>
          <w:rFonts w:ascii="Simplified Arabic" w:hAnsi="Simplified Arabic" w:cs="Simplified Arabic"/>
          <w:sz w:val="24"/>
          <w:szCs w:val="24"/>
          <w:rtl/>
        </w:rPr>
        <w:t xml:space="preserve"> </w:t>
      </w:r>
      <w:r w:rsidRPr="002244D2">
        <w:rPr>
          <w:rFonts w:ascii="Simplified Arabic" w:hAnsi="Simplified Arabic" w:cs="Simplified Arabic" w:hint="cs"/>
          <w:sz w:val="24"/>
          <w:szCs w:val="24"/>
          <w:rtl/>
        </w:rPr>
        <w:t>مشاركة</w:t>
      </w:r>
      <w:r w:rsidRPr="002244D2">
        <w:rPr>
          <w:rFonts w:ascii="Simplified Arabic" w:hAnsi="Simplified Arabic" w:cs="Simplified Arabic"/>
          <w:sz w:val="24"/>
          <w:szCs w:val="24"/>
          <w:rtl/>
        </w:rPr>
        <w:t xml:space="preserve"> </w:t>
      </w:r>
      <w:r w:rsidRPr="002244D2">
        <w:rPr>
          <w:rFonts w:ascii="Simplified Arabic" w:hAnsi="Simplified Arabic" w:cs="Simplified Arabic" w:hint="cs"/>
          <w:sz w:val="24"/>
          <w:szCs w:val="24"/>
          <w:rtl/>
        </w:rPr>
        <w:t>السكان امرًا قائمًا</w:t>
      </w:r>
      <w:r w:rsidRPr="002244D2">
        <w:rPr>
          <w:rFonts w:ascii="Simplified Arabic" w:hAnsi="Simplified Arabic" w:cs="Simplified Arabic"/>
          <w:sz w:val="24"/>
          <w:szCs w:val="24"/>
          <w:rtl/>
        </w:rPr>
        <w:t xml:space="preserve"> </w:t>
      </w:r>
      <w:r w:rsidRPr="002244D2">
        <w:rPr>
          <w:rFonts w:asciiTheme="majorBidi" w:hAnsiTheme="majorBidi" w:cstheme="majorBidi"/>
          <w:sz w:val="24"/>
          <w:szCs w:val="24"/>
        </w:rPr>
        <w:t>(</w:t>
      </w:r>
      <w:r w:rsidRPr="005B0947">
        <w:rPr>
          <w:rFonts w:asciiTheme="majorBidi" w:hAnsiTheme="majorBidi" w:cstheme="majorBidi"/>
          <w:sz w:val="24"/>
          <w:szCs w:val="24"/>
        </w:rPr>
        <w:t>Kuhlicke</w:t>
      </w:r>
      <w:r w:rsidRPr="002244D2">
        <w:rPr>
          <w:rFonts w:asciiTheme="majorBidi" w:hAnsiTheme="majorBidi" w:cstheme="majorBidi"/>
          <w:sz w:val="24"/>
          <w:szCs w:val="24"/>
        </w:rPr>
        <w:t xml:space="preserve"> et al., 2011)</w:t>
      </w:r>
      <w:r w:rsidRPr="002244D2">
        <w:rPr>
          <w:rFonts w:ascii="Simplified Arabic" w:hAnsi="Simplified Arabic" w:cs="Simplified Arabic" w:hint="cs"/>
          <w:sz w:val="24"/>
          <w:szCs w:val="24"/>
          <w:rtl/>
        </w:rPr>
        <w:t>.</w:t>
      </w:r>
    </w:p>
    <w:p w:rsidR="00C121B0" w:rsidRDefault="00C121B0" w:rsidP="00105EF7">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يرتكز هذ</w:t>
      </w:r>
      <w:r w:rsidR="00105EF7">
        <w:rPr>
          <w:rFonts w:ascii="Simplified Arabic" w:hAnsi="Simplified Arabic" w:cs="Simplified Arabic" w:hint="cs"/>
          <w:sz w:val="24"/>
          <w:szCs w:val="24"/>
          <w:rtl/>
          <w:lang w:val="en-US"/>
        </w:rPr>
        <w:t>ين</w:t>
      </w:r>
      <w:r>
        <w:rPr>
          <w:rFonts w:ascii="Simplified Arabic" w:hAnsi="Simplified Arabic" w:cs="Simplified Arabic" w:hint="cs"/>
          <w:sz w:val="24"/>
          <w:szCs w:val="24"/>
          <w:rtl/>
          <w:lang w:val="en-US"/>
        </w:rPr>
        <w:t xml:space="preserve"> الهدف</w:t>
      </w:r>
      <w:r w:rsidR="00105EF7">
        <w:rPr>
          <w:rFonts w:ascii="Simplified Arabic" w:hAnsi="Simplified Arabic" w:cs="Simplified Arabic" w:hint="cs"/>
          <w:sz w:val="24"/>
          <w:szCs w:val="24"/>
          <w:rtl/>
          <w:lang w:val="en-US"/>
        </w:rPr>
        <w:t>ين</w:t>
      </w:r>
      <w:r>
        <w:rPr>
          <w:rFonts w:ascii="Simplified Arabic" w:hAnsi="Simplified Arabic" w:cs="Simplified Arabic" w:hint="cs"/>
          <w:sz w:val="24"/>
          <w:szCs w:val="24"/>
          <w:rtl/>
          <w:lang w:val="en-US"/>
        </w:rPr>
        <w:t xml:space="preserve"> </w:t>
      </w:r>
      <w:r w:rsidR="00105EF7">
        <w:rPr>
          <w:rFonts w:ascii="Simplified Arabic" w:hAnsi="Simplified Arabic" w:cs="Simplified Arabic" w:hint="cs"/>
          <w:sz w:val="24"/>
          <w:szCs w:val="24"/>
          <w:rtl/>
          <w:lang w:val="en-US"/>
        </w:rPr>
        <w:t>على</w:t>
      </w:r>
      <w:r>
        <w:rPr>
          <w:rFonts w:ascii="Simplified Arabic" w:hAnsi="Simplified Arabic" w:cs="Simplified Arabic" w:hint="cs"/>
          <w:sz w:val="24"/>
          <w:szCs w:val="24"/>
          <w:rtl/>
          <w:lang w:val="en-US"/>
        </w:rPr>
        <w:t xml:space="preserve"> الاسئلة التالية:</w:t>
      </w:r>
    </w:p>
    <w:p w:rsidR="00C121B0" w:rsidRDefault="00C121B0" w:rsidP="001D0548">
      <w:pPr>
        <w:pStyle w:val="Paragraphedeliste"/>
        <w:numPr>
          <w:ilvl w:val="0"/>
          <w:numId w:val="41"/>
        </w:numPr>
        <w:autoSpaceDE w:val="0"/>
        <w:autoSpaceDN w:val="0"/>
        <w:bidi/>
        <w:adjustRightInd w:val="0"/>
        <w:spacing w:after="0" w:line="240" w:lineRule="auto"/>
        <w:jc w:val="both"/>
        <w:rPr>
          <w:rFonts w:ascii="Simplified Arabic" w:hAnsi="Simplified Arabic" w:cs="Simplified Arabic"/>
          <w:sz w:val="24"/>
          <w:szCs w:val="24"/>
          <w:lang w:val="en-US"/>
        </w:rPr>
      </w:pPr>
      <w:r w:rsidRPr="00B32993">
        <w:rPr>
          <w:rFonts w:ascii="Simplified Arabic" w:hAnsi="Simplified Arabic" w:cs="Simplified Arabic" w:hint="cs"/>
          <w:sz w:val="24"/>
          <w:szCs w:val="24"/>
          <w:rtl/>
          <w:lang w:val="en-US"/>
        </w:rPr>
        <w:t xml:space="preserve">هل يدرك السكان الاضطرابات الوظيفية </w:t>
      </w:r>
      <w:r>
        <w:rPr>
          <w:rFonts w:ascii="Simplified Arabic" w:hAnsi="Simplified Arabic" w:cs="Simplified Arabic" w:hint="cs"/>
          <w:sz w:val="24"/>
          <w:szCs w:val="24"/>
          <w:rtl/>
          <w:lang w:val="en-US"/>
        </w:rPr>
        <w:t xml:space="preserve">للمرافق </w:t>
      </w:r>
      <w:r w:rsidRPr="00B32993">
        <w:rPr>
          <w:rFonts w:ascii="Simplified Arabic" w:hAnsi="Simplified Arabic" w:cs="Simplified Arabic" w:hint="cs"/>
          <w:sz w:val="24"/>
          <w:szCs w:val="24"/>
          <w:rtl/>
          <w:lang w:val="en-US"/>
        </w:rPr>
        <w:t>التي تحدثها الفيضانات؟</w:t>
      </w:r>
    </w:p>
    <w:p w:rsidR="00C121B0" w:rsidRDefault="00C121B0" w:rsidP="001D0548">
      <w:pPr>
        <w:pStyle w:val="Paragraphedeliste"/>
        <w:numPr>
          <w:ilvl w:val="0"/>
          <w:numId w:val="41"/>
        </w:numPr>
        <w:autoSpaceDE w:val="0"/>
        <w:autoSpaceDN w:val="0"/>
        <w:bidi/>
        <w:adjustRightInd w:val="0"/>
        <w:spacing w:after="0" w:line="240" w:lineRule="auto"/>
        <w:jc w:val="both"/>
        <w:rPr>
          <w:rFonts w:ascii="Simplified Arabic" w:hAnsi="Simplified Arabic" w:cs="Simplified Arabic"/>
          <w:sz w:val="24"/>
          <w:szCs w:val="24"/>
          <w:lang w:val="en-US"/>
        </w:rPr>
      </w:pPr>
      <w:r w:rsidRPr="00B32993">
        <w:rPr>
          <w:rFonts w:ascii="Simplified Arabic" w:hAnsi="Simplified Arabic" w:cs="Simplified Arabic" w:hint="cs"/>
          <w:sz w:val="24"/>
          <w:szCs w:val="24"/>
          <w:rtl/>
          <w:lang w:val="en-US"/>
        </w:rPr>
        <w:t xml:space="preserve"> هل اشراك سكان أحياء مدينة بوسعادة جانب مهم </w:t>
      </w:r>
      <w:r w:rsidRPr="00B32993">
        <w:rPr>
          <w:rFonts w:ascii="Simplified Arabic" w:hAnsi="Simplified Arabic" w:cs="Simplified Arabic"/>
          <w:sz w:val="24"/>
          <w:szCs w:val="24"/>
          <w:rtl/>
          <w:lang w:val="en-US"/>
        </w:rPr>
        <w:t>في</w:t>
      </w:r>
      <w:r>
        <w:rPr>
          <w:rFonts w:ascii="Simplified Arabic" w:hAnsi="Simplified Arabic" w:cs="Simplified Arabic" w:hint="cs"/>
          <w:sz w:val="24"/>
          <w:szCs w:val="24"/>
          <w:rtl/>
          <w:lang w:val="en-US"/>
        </w:rPr>
        <w:t xml:space="preserve"> </w:t>
      </w:r>
      <w:r w:rsidRPr="00B32993">
        <w:rPr>
          <w:rFonts w:ascii="Simplified Arabic" w:hAnsi="Simplified Arabic" w:cs="Simplified Arabic"/>
          <w:sz w:val="24"/>
          <w:szCs w:val="24"/>
          <w:rtl/>
          <w:lang w:val="en-US"/>
        </w:rPr>
        <w:t>صياغة</w:t>
      </w:r>
      <w:r w:rsidRPr="00B32993">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ا</w:t>
      </w:r>
      <w:r w:rsidRPr="00B32993">
        <w:rPr>
          <w:rFonts w:ascii="Simplified Arabic" w:hAnsi="Simplified Arabic" w:cs="Simplified Arabic"/>
          <w:sz w:val="24"/>
          <w:szCs w:val="24"/>
          <w:rtl/>
          <w:lang w:val="en-US"/>
        </w:rPr>
        <w:t>ستراتيجي</w:t>
      </w:r>
      <w:r>
        <w:rPr>
          <w:rFonts w:ascii="Simplified Arabic" w:hAnsi="Simplified Arabic" w:cs="Simplified Arabic" w:hint="cs"/>
          <w:sz w:val="24"/>
          <w:szCs w:val="24"/>
          <w:rtl/>
          <w:lang w:val="en-US"/>
        </w:rPr>
        <w:t xml:space="preserve">ة </w:t>
      </w:r>
      <w:r w:rsidR="00812D9A">
        <w:rPr>
          <w:rFonts w:ascii="Simplified Arabic" w:hAnsi="Simplified Arabic" w:cs="Simplified Arabic" w:hint="cs"/>
          <w:sz w:val="24"/>
          <w:szCs w:val="24"/>
          <w:rtl/>
          <w:lang w:val="en-US"/>
        </w:rPr>
        <w:t xml:space="preserve">تحسين قدرة </w:t>
      </w:r>
      <w:r w:rsidR="00975C6D">
        <w:rPr>
          <w:rFonts w:ascii="Simplified Arabic" w:hAnsi="Simplified Arabic" w:cs="Simplified Arabic" w:hint="cs"/>
          <w:sz w:val="24"/>
          <w:szCs w:val="24"/>
          <w:rtl/>
          <w:lang w:val="en-US"/>
        </w:rPr>
        <w:t>المدينة</w:t>
      </w:r>
      <w:r w:rsidR="00812D9A">
        <w:rPr>
          <w:rFonts w:ascii="Simplified Arabic" w:hAnsi="Simplified Arabic" w:cs="Simplified Arabic" w:hint="cs"/>
          <w:sz w:val="24"/>
          <w:szCs w:val="24"/>
          <w:rtl/>
          <w:lang w:val="en-US"/>
        </w:rPr>
        <w:t xml:space="preserve"> على الاستجابة</w:t>
      </w:r>
      <w:r>
        <w:rPr>
          <w:rFonts w:ascii="Simplified Arabic" w:hAnsi="Simplified Arabic" w:cs="Simplified Arabic" w:hint="cs"/>
          <w:sz w:val="24"/>
          <w:szCs w:val="24"/>
          <w:rtl/>
          <w:lang w:val="en-US"/>
        </w:rPr>
        <w:t>؟</w:t>
      </w:r>
    </w:p>
    <w:p w:rsidR="00C121B0" w:rsidRPr="000F2002" w:rsidRDefault="00C121B0" w:rsidP="00140F39">
      <w:pPr>
        <w:bidi/>
        <w:spacing w:after="0"/>
        <w:ind w:firstLine="283"/>
        <w:jc w:val="both"/>
        <w:rPr>
          <w:rFonts w:ascii="Simplified Arabic" w:hAnsi="Simplified Arabic" w:cs="Simplified Arabic"/>
          <w:sz w:val="24"/>
          <w:szCs w:val="24"/>
          <w:lang w:val="en-US"/>
        </w:rPr>
      </w:pPr>
      <w:r w:rsidRPr="000F2002">
        <w:rPr>
          <w:rFonts w:ascii="Simplified Arabic" w:hAnsi="Simplified Arabic" w:cs="Simplified Arabic"/>
          <w:sz w:val="24"/>
          <w:szCs w:val="24"/>
          <w:rtl/>
          <w:lang w:val="en-US"/>
        </w:rPr>
        <w:t>تم إجراء استطلاع</w:t>
      </w:r>
      <w:r>
        <w:rPr>
          <w:rFonts w:ascii="Simplified Arabic" w:hAnsi="Simplified Arabic" w:cs="Simplified Arabic" w:hint="cs"/>
          <w:sz w:val="24"/>
          <w:szCs w:val="24"/>
          <w:rtl/>
          <w:lang w:val="en-US"/>
        </w:rPr>
        <w:t xml:space="preserve"> راي</w:t>
      </w:r>
      <w:r w:rsidRPr="000F2002">
        <w:rPr>
          <w:rFonts w:ascii="Simplified Arabic" w:hAnsi="Simplified Arabic" w:cs="Simplified Arabic"/>
          <w:sz w:val="24"/>
          <w:szCs w:val="24"/>
          <w:rtl/>
          <w:lang w:val="en-US"/>
        </w:rPr>
        <w:t xml:space="preserve"> باستخدام استبيان منظم </w:t>
      </w:r>
      <w:r w:rsidR="009469EF">
        <w:rPr>
          <w:rFonts w:ascii="Simplified Arabic" w:hAnsi="Simplified Arabic" w:cs="Simplified Arabic" w:hint="cs"/>
          <w:sz w:val="24"/>
          <w:szCs w:val="24"/>
          <w:rtl/>
          <w:lang w:val="en-US"/>
        </w:rPr>
        <w:t xml:space="preserve">(الملحق </w:t>
      </w:r>
      <w:r w:rsidR="00140F39">
        <w:rPr>
          <w:rFonts w:ascii="Simplified Arabic" w:hAnsi="Simplified Arabic" w:cs="Simplified Arabic" w:hint="cs"/>
          <w:sz w:val="24"/>
          <w:szCs w:val="24"/>
          <w:rtl/>
          <w:lang w:val="en-US"/>
        </w:rPr>
        <w:t>4</w:t>
      </w:r>
      <w:r w:rsidR="009469EF">
        <w:rPr>
          <w:rFonts w:ascii="Simplified Arabic" w:hAnsi="Simplified Arabic" w:cs="Simplified Arabic" w:hint="cs"/>
          <w:sz w:val="24"/>
          <w:szCs w:val="24"/>
          <w:rtl/>
          <w:lang w:val="en-US"/>
        </w:rPr>
        <w:t xml:space="preserve">) </w:t>
      </w:r>
      <w:r w:rsidRPr="000F2002">
        <w:rPr>
          <w:rFonts w:ascii="Simplified Arabic" w:hAnsi="Simplified Arabic" w:cs="Simplified Arabic"/>
          <w:sz w:val="24"/>
          <w:szCs w:val="24"/>
          <w:rtl/>
          <w:lang w:val="en-US"/>
        </w:rPr>
        <w:t xml:space="preserve">مكون من </w:t>
      </w:r>
      <w:r>
        <w:rPr>
          <w:rFonts w:ascii="Simplified Arabic" w:hAnsi="Simplified Arabic" w:cs="Simplified Arabic" w:hint="cs"/>
          <w:sz w:val="24"/>
          <w:szCs w:val="24"/>
          <w:rtl/>
          <w:lang w:val="en-US"/>
        </w:rPr>
        <w:t>13</w:t>
      </w:r>
      <w:r w:rsidRPr="000F2002">
        <w:rPr>
          <w:rFonts w:ascii="Simplified Arabic" w:hAnsi="Simplified Arabic" w:cs="Simplified Arabic"/>
          <w:sz w:val="24"/>
          <w:szCs w:val="24"/>
          <w:rtl/>
          <w:lang w:val="en-US"/>
        </w:rPr>
        <w:t xml:space="preserve"> عنصرًا</w:t>
      </w:r>
      <w:r>
        <w:rPr>
          <w:rFonts w:ascii="Simplified Arabic" w:hAnsi="Simplified Arabic" w:cs="Simplified Arabic" w:hint="cs"/>
          <w:sz w:val="24"/>
          <w:szCs w:val="24"/>
          <w:rtl/>
          <w:lang w:val="en-US"/>
        </w:rPr>
        <w:t>،</w:t>
      </w:r>
      <w:r w:rsidRPr="000F2002">
        <w:rPr>
          <w:rFonts w:ascii="Simplified Arabic" w:hAnsi="Simplified Arabic" w:cs="Simplified Arabic"/>
          <w:sz w:val="24"/>
          <w:szCs w:val="24"/>
          <w:rtl/>
          <w:lang w:val="en-US"/>
        </w:rPr>
        <w:t xml:space="preserve"> تم تصنيف </w:t>
      </w:r>
      <w:r>
        <w:rPr>
          <w:rFonts w:ascii="Simplified Arabic" w:hAnsi="Simplified Arabic" w:cs="Simplified Arabic" w:hint="cs"/>
          <w:sz w:val="24"/>
          <w:szCs w:val="24"/>
          <w:rtl/>
          <w:lang w:val="en-US"/>
        </w:rPr>
        <w:t>السؤال الاخير</w:t>
      </w:r>
      <w:r w:rsidRPr="000F200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للقسم (جـ) من الاستمارة </w:t>
      </w:r>
      <w:r w:rsidRPr="000F2002">
        <w:rPr>
          <w:rFonts w:ascii="Simplified Arabic" w:hAnsi="Simplified Arabic" w:cs="Simplified Arabic"/>
          <w:sz w:val="24"/>
          <w:szCs w:val="24"/>
          <w:rtl/>
          <w:lang w:val="en-US"/>
        </w:rPr>
        <w:t>على مقياس من 5 نقاط من نوع ليكرت</w:t>
      </w:r>
      <w:r>
        <w:rPr>
          <w:rFonts w:ascii="Simplified Arabic" w:hAnsi="Simplified Arabic" w:cs="Simplified Arabic" w:hint="cs"/>
          <w:sz w:val="24"/>
          <w:szCs w:val="24"/>
          <w:rtl/>
          <w:lang w:val="en-US"/>
        </w:rPr>
        <w:t xml:space="preserve"> </w:t>
      </w:r>
      <w:r w:rsidRPr="000F2002">
        <w:rPr>
          <w:rFonts w:asciiTheme="majorBidi" w:hAnsiTheme="majorBidi" w:cstheme="majorBidi" w:hint="cs"/>
          <w:sz w:val="24"/>
          <w:szCs w:val="24"/>
          <w:rtl/>
          <w:lang w:val="en-US"/>
        </w:rPr>
        <w:t>(</w:t>
      </w:r>
      <w:r w:rsidRPr="000F2002">
        <w:rPr>
          <w:rFonts w:asciiTheme="majorBidi" w:hAnsiTheme="majorBidi" w:cstheme="majorBidi"/>
          <w:sz w:val="24"/>
          <w:szCs w:val="24"/>
          <w:lang w:val="en-US"/>
        </w:rPr>
        <w:t>Likert</w:t>
      </w:r>
      <w:r w:rsidRPr="000F2002">
        <w:rPr>
          <w:rFonts w:asciiTheme="majorBidi" w:hAnsiTheme="majorBidi" w:cstheme="majorBidi" w:hint="cs"/>
          <w:sz w:val="24"/>
          <w:szCs w:val="24"/>
          <w:rtl/>
          <w:lang w:val="en-US"/>
        </w:rPr>
        <w:t>)</w:t>
      </w:r>
      <w:r w:rsidRPr="000F200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ـ </w:t>
      </w:r>
      <w:r w:rsidRPr="000F2002">
        <w:rPr>
          <w:rFonts w:ascii="Simplified Arabic" w:hAnsi="Simplified Arabic" w:cs="Simplified Arabic"/>
          <w:sz w:val="24"/>
          <w:szCs w:val="24"/>
          <w:rtl/>
          <w:lang w:val="en-US"/>
        </w:rPr>
        <w:t>إضافة إلى جمع المعلومات الديموغرافية، مثل الجنس</w:t>
      </w:r>
      <w:r>
        <w:rPr>
          <w:rFonts w:ascii="Simplified Arabic" w:hAnsi="Simplified Arabic" w:cs="Simplified Arabic" w:hint="cs"/>
          <w:sz w:val="24"/>
          <w:szCs w:val="24"/>
          <w:rtl/>
          <w:lang w:val="en-US"/>
        </w:rPr>
        <w:t>،</w:t>
      </w:r>
      <w:r w:rsidRPr="000F2002">
        <w:rPr>
          <w:rFonts w:ascii="Simplified Arabic" w:hAnsi="Simplified Arabic" w:cs="Simplified Arabic"/>
          <w:sz w:val="24"/>
          <w:szCs w:val="24"/>
          <w:rtl/>
          <w:lang w:val="en-US"/>
        </w:rPr>
        <w:t xml:space="preserve"> العمر</w:t>
      </w:r>
      <w:r>
        <w:rPr>
          <w:rFonts w:ascii="Simplified Arabic" w:hAnsi="Simplified Arabic" w:cs="Simplified Arabic" w:hint="cs"/>
          <w:sz w:val="24"/>
          <w:szCs w:val="24"/>
          <w:rtl/>
          <w:lang w:val="en-US"/>
        </w:rPr>
        <w:t>،</w:t>
      </w:r>
      <w:r w:rsidRPr="000F2002">
        <w:rPr>
          <w:rFonts w:ascii="Simplified Arabic" w:hAnsi="Simplified Arabic" w:cs="Simplified Arabic"/>
          <w:sz w:val="24"/>
          <w:szCs w:val="24"/>
          <w:rtl/>
          <w:lang w:val="en-US"/>
        </w:rPr>
        <w:t xml:space="preserve"> الوظيفة</w:t>
      </w:r>
      <w:r>
        <w:rPr>
          <w:rFonts w:ascii="Simplified Arabic" w:hAnsi="Simplified Arabic" w:cs="Simplified Arabic" w:hint="cs"/>
          <w:sz w:val="24"/>
          <w:szCs w:val="24"/>
          <w:rtl/>
          <w:lang w:val="en-US"/>
        </w:rPr>
        <w:t>،</w:t>
      </w:r>
      <w:r w:rsidRPr="000F2002">
        <w:rPr>
          <w:rFonts w:ascii="Simplified Arabic" w:hAnsi="Simplified Arabic" w:cs="Simplified Arabic"/>
          <w:sz w:val="24"/>
          <w:szCs w:val="24"/>
          <w:rtl/>
          <w:lang w:val="en-US"/>
        </w:rPr>
        <w:t xml:space="preserve"> المؤهل</w:t>
      </w:r>
      <w:r>
        <w:rPr>
          <w:rFonts w:ascii="Simplified Arabic" w:hAnsi="Simplified Arabic" w:cs="Simplified Arabic" w:hint="cs"/>
          <w:sz w:val="24"/>
          <w:szCs w:val="24"/>
          <w:rtl/>
          <w:lang w:val="en-US"/>
        </w:rPr>
        <w:t xml:space="preserve"> العلمي</w:t>
      </w:r>
      <w:r w:rsidRPr="000F2002">
        <w:rPr>
          <w:rFonts w:ascii="Simplified Arabic" w:hAnsi="Simplified Arabic" w:cs="Simplified Arabic"/>
          <w:sz w:val="24"/>
          <w:szCs w:val="24"/>
          <w:rtl/>
          <w:lang w:val="en-US"/>
        </w:rPr>
        <w:t xml:space="preserve"> و</w:t>
      </w:r>
      <w:r>
        <w:rPr>
          <w:rFonts w:ascii="Simplified Arabic" w:hAnsi="Simplified Arabic" w:cs="Simplified Arabic" w:hint="cs"/>
          <w:sz w:val="24"/>
          <w:szCs w:val="24"/>
          <w:rtl/>
          <w:lang w:val="en-US"/>
        </w:rPr>
        <w:t>اسم الحي</w:t>
      </w:r>
      <w:r w:rsidRPr="000F2002">
        <w:rPr>
          <w:rFonts w:ascii="Simplified Arabic" w:hAnsi="Simplified Arabic" w:cs="Simplified Arabic"/>
          <w:sz w:val="24"/>
          <w:szCs w:val="24"/>
          <w:rtl/>
          <w:lang w:val="en-US"/>
        </w:rPr>
        <w:t xml:space="preserve">. </w:t>
      </w:r>
    </w:p>
    <w:p w:rsidR="00C121B0" w:rsidRPr="006F2A40" w:rsidRDefault="00C121B0" w:rsidP="001D0548">
      <w:pPr>
        <w:pStyle w:val="Paragraphedeliste"/>
        <w:numPr>
          <w:ilvl w:val="3"/>
          <w:numId w:val="173"/>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720" w:name="_Toc171803727"/>
      <w:r w:rsidRPr="006F2A40">
        <w:rPr>
          <w:rFonts w:ascii="Simplified Arabic" w:hAnsi="Simplified Arabic" w:cs="Simplified Arabic"/>
          <w:b/>
          <w:bCs/>
          <w:sz w:val="24"/>
          <w:szCs w:val="24"/>
          <w:rtl/>
          <w:lang w:val="en-US"/>
        </w:rPr>
        <w:lastRenderedPageBreak/>
        <w:t>تطوير الاستبيان</w:t>
      </w:r>
      <w:r>
        <w:rPr>
          <w:rFonts w:ascii="Simplified Arabic" w:hAnsi="Simplified Arabic" w:cs="Simplified Arabic" w:hint="cs"/>
          <w:b/>
          <w:bCs/>
          <w:sz w:val="24"/>
          <w:szCs w:val="24"/>
          <w:rtl/>
          <w:lang w:val="en-US"/>
        </w:rPr>
        <w:t xml:space="preserve"> الالكتروني</w:t>
      </w:r>
      <w:bookmarkEnd w:id="720"/>
    </w:p>
    <w:p w:rsidR="00C121B0" w:rsidRPr="00730441" w:rsidRDefault="00C121B0" w:rsidP="00FF558D">
      <w:pPr>
        <w:bidi/>
        <w:spacing w:after="0"/>
        <w:ind w:firstLine="282"/>
        <w:rPr>
          <w:rFonts w:ascii="Simplified Arabic" w:hAnsi="Simplified Arabic" w:cs="Simplified Arabic"/>
          <w:sz w:val="24"/>
          <w:szCs w:val="24"/>
          <w:lang w:val="en-US"/>
        </w:rPr>
      </w:pPr>
      <w:r>
        <w:rPr>
          <w:rFonts w:ascii="Simplified Arabic" w:hAnsi="Simplified Arabic" w:cs="Simplified Arabic" w:hint="cs"/>
          <w:sz w:val="24"/>
          <w:szCs w:val="24"/>
          <w:rtl/>
          <w:lang w:val="en-US"/>
        </w:rPr>
        <w:t xml:space="preserve">كما تم التطرق اليه في (الفصل 3)، فقد </w:t>
      </w:r>
      <w:r w:rsidRPr="00730441">
        <w:rPr>
          <w:rFonts w:ascii="Simplified Arabic" w:hAnsi="Simplified Arabic" w:cs="Simplified Arabic"/>
          <w:sz w:val="24"/>
          <w:szCs w:val="24"/>
          <w:rtl/>
          <w:lang w:val="en-US"/>
        </w:rPr>
        <w:t xml:space="preserve">تم </w:t>
      </w:r>
      <w:r>
        <w:rPr>
          <w:rFonts w:ascii="Simplified Arabic" w:hAnsi="Simplified Arabic" w:cs="Simplified Arabic" w:hint="cs"/>
          <w:sz w:val="24"/>
          <w:szCs w:val="24"/>
          <w:rtl/>
          <w:lang w:val="en-US"/>
        </w:rPr>
        <w:t xml:space="preserve">تطبيق </w:t>
      </w:r>
      <w:r w:rsidRPr="00730441">
        <w:rPr>
          <w:rFonts w:ascii="Simplified Arabic" w:hAnsi="Simplified Arabic" w:cs="Simplified Arabic"/>
          <w:sz w:val="24"/>
          <w:szCs w:val="24"/>
          <w:rtl/>
          <w:lang w:val="en-US"/>
        </w:rPr>
        <w:t xml:space="preserve">تطوير الاستبيان على </w:t>
      </w:r>
      <w:r w:rsidR="00FF558D">
        <w:rPr>
          <w:rFonts w:ascii="Simplified Arabic" w:hAnsi="Simplified Arabic" w:cs="Simplified Arabic" w:hint="cs"/>
          <w:sz w:val="24"/>
          <w:szCs w:val="24"/>
          <w:rtl/>
          <w:lang w:val="en-US"/>
        </w:rPr>
        <w:t>خمسة</w:t>
      </w:r>
      <w:r w:rsidRPr="00730441">
        <w:rPr>
          <w:rFonts w:ascii="Simplified Arabic" w:hAnsi="Simplified Arabic" w:cs="Simplified Arabic"/>
          <w:sz w:val="24"/>
          <w:szCs w:val="24"/>
          <w:rtl/>
          <w:lang w:val="en-US"/>
        </w:rPr>
        <w:t xml:space="preserve"> مراحل</w:t>
      </w:r>
      <w:r>
        <w:rPr>
          <w:rFonts w:ascii="Simplified Arabic" w:hAnsi="Simplified Arabic" w:cs="Simplified Arabic" w:hint="cs"/>
          <w:sz w:val="24"/>
          <w:szCs w:val="24"/>
          <w:rtl/>
          <w:lang w:val="en-US"/>
        </w:rPr>
        <w:t>، وفق ما يلي</w:t>
      </w:r>
      <w:r w:rsidRPr="00730441">
        <w:rPr>
          <w:rFonts w:ascii="Simplified Arabic" w:hAnsi="Simplified Arabic" w:cs="Simplified Arabic"/>
          <w:sz w:val="24"/>
          <w:szCs w:val="24"/>
          <w:rtl/>
          <w:lang w:val="en-US"/>
        </w:rPr>
        <w:t>:</w:t>
      </w:r>
    </w:p>
    <w:p w:rsidR="00C121B0" w:rsidRPr="00993A3D" w:rsidRDefault="00C121B0" w:rsidP="001D0548">
      <w:pPr>
        <w:pStyle w:val="Paragraphedeliste"/>
        <w:numPr>
          <w:ilvl w:val="0"/>
          <w:numId w:val="44"/>
        </w:numPr>
        <w:tabs>
          <w:tab w:val="right" w:pos="424"/>
          <w:tab w:val="right" w:pos="566"/>
        </w:tabs>
        <w:bidi/>
        <w:spacing w:after="0"/>
        <w:ind w:left="-1" w:firstLine="283"/>
        <w:jc w:val="both"/>
        <w:rPr>
          <w:rFonts w:ascii="Simplified Arabic" w:hAnsi="Simplified Arabic" w:cs="Simplified Arabic"/>
          <w:sz w:val="24"/>
          <w:szCs w:val="24"/>
          <w:lang w:val="en-US"/>
        </w:rPr>
      </w:pPr>
      <w:r w:rsidRPr="00993A3D">
        <w:rPr>
          <w:rFonts w:ascii="Simplified Arabic" w:hAnsi="Simplified Arabic" w:cs="Simplified Arabic" w:hint="cs"/>
          <w:sz w:val="24"/>
          <w:szCs w:val="24"/>
          <w:rtl/>
          <w:lang w:val="en-US"/>
        </w:rPr>
        <w:t xml:space="preserve">لقد تم القيام </w:t>
      </w:r>
      <w:r w:rsidR="0040455E">
        <w:rPr>
          <w:rFonts w:ascii="Simplified Arabic" w:hAnsi="Simplified Arabic" w:cs="Simplified Arabic" w:hint="cs"/>
          <w:sz w:val="24"/>
          <w:szCs w:val="24"/>
          <w:rtl/>
          <w:lang w:val="en-US"/>
        </w:rPr>
        <w:t>بالاطلاع على الابحاث</w:t>
      </w:r>
      <w:r w:rsidRPr="00993A3D">
        <w:rPr>
          <w:rFonts w:ascii="Simplified Arabic" w:hAnsi="Simplified Arabic" w:cs="Simplified Arabic" w:hint="cs"/>
          <w:sz w:val="24"/>
          <w:szCs w:val="24"/>
          <w:rtl/>
          <w:lang w:val="en-US"/>
        </w:rPr>
        <w:t xml:space="preserve"> التي تهتم بالاستبيانات الموجهة للجمهور، من حيث هيكلها ومحتواها والهدف منها، اضافة الى الاطلاع على موقع </w:t>
      </w:r>
      <w:r w:rsidRPr="00993A3D">
        <w:rPr>
          <w:rFonts w:asciiTheme="majorBidi" w:hAnsiTheme="majorBidi" w:cstheme="majorBidi"/>
          <w:sz w:val="24"/>
          <w:szCs w:val="24"/>
          <w:rtl/>
          <w:lang w:val="en-US"/>
        </w:rPr>
        <w:t>(</w:t>
      </w:r>
      <w:hyperlink r:id="rId249" w:history="1">
        <w:r w:rsidRPr="00993A3D">
          <w:rPr>
            <w:rStyle w:val="Lienhypertexte"/>
            <w:rFonts w:asciiTheme="majorBidi" w:hAnsiTheme="majorBidi" w:cstheme="majorBidi"/>
            <w:sz w:val="24"/>
            <w:szCs w:val="24"/>
            <w:lang w:val="en-US"/>
          </w:rPr>
          <w:t>https://fr.surveymonkey.com</w:t>
        </w:r>
      </w:hyperlink>
      <w:r w:rsidRPr="00993A3D">
        <w:rPr>
          <w:rFonts w:asciiTheme="majorBidi" w:hAnsiTheme="majorBidi" w:cstheme="majorBidi"/>
          <w:sz w:val="24"/>
          <w:szCs w:val="24"/>
          <w:rtl/>
          <w:lang w:val="en-US"/>
        </w:rPr>
        <w:t>)</w:t>
      </w:r>
      <w:r w:rsidRPr="00993A3D">
        <w:rPr>
          <w:rFonts w:ascii="Simplified Arabic" w:hAnsi="Simplified Arabic" w:cs="Simplified Arabic"/>
          <w:sz w:val="24"/>
          <w:szCs w:val="24"/>
          <w:rtl/>
          <w:lang w:val="en-US"/>
        </w:rPr>
        <w:t>.</w:t>
      </w:r>
    </w:p>
    <w:p w:rsidR="00C121B0" w:rsidRDefault="00C121B0" w:rsidP="001D0548">
      <w:pPr>
        <w:pStyle w:val="Paragraphedeliste"/>
        <w:numPr>
          <w:ilvl w:val="0"/>
          <w:numId w:val="44"/>
        </w:numPr>
        <w:tabs>
          <w:tab w:val="right" w:pos="424"/>
          <w:tab w:val="right" w:pos="566"/>
        </w:tabs>
        <w:bidi/>
        <w:spacing w:after="0"/>
        <w:ind w:left="-1" w:firstLine="283"/>
        <w:jc w:val="both"/>
        <w:rPr>
          <w:rFonts w:ascii="Simplified Arabic" w:hAnsi="Simplified Arabic" w:cs="Simplified Arabic"/>
          <w:sz w:val="24"/>
          <w:szCs w:val="24"/>
          <w:lang w:val="en-US"/>
        </w:rPr>
      </w:pPr>
      <w:r w:rsidRPr="009232E1">
        <w:rPr>
          <w:rFonts w:ascii="Simplified Arabic" w:hAnsi="Simplified Arabic" w:cs="Simplified Arabic"/>
          <w:sz w:val="24"/>
          <w:szCs w:val="24"/>
          <w:rtl/>
          <w:lang w:val="en-US"/>
        </w:rPr>
        <w:t xml:space="preserve">زار </w:t>
      </w:r>
      <w:r w:rsidRPr="009232E1">
        <w:rPr>
          <w:rFonts w:ascii="Simplified Arabic" w:hAnsi="Simplified Arabic" w:cs="Simplified Arabic" w:hint="cs"/>
          <w:sz w:val="24"/>
          <w:szCs w:val="24"/>
          <w:rtl/>
          <w:lang w:val="en-US"/>
        </w:rPr>
        <w:t>الباحث</w:t>
      </w:r>
      <w:r w:rsidRPr="009232E1">
        <w:rPr>
          <w:rFonts w:ascii="Simplified Arabic" w:hAnsi="Simplified Arabic" w:cs="Simplified Arabic"/>
          <w:sz w:val="24"/>
          <w:szCs w:val="24"/>
          <w:rtl/>
          <w:lang w:val="en-US"/>
        </w:rPr>
        <w:t xml:space="preserve"> </w:t>
      </w:r>
      <w:r w:rsidRPr="009232E1">
        <w:rPr>
          <w:rFonts w:ascii="Simplified Arabic" w:hAnsi="Simplified Arabic" w:cs="Simplified Arabic" w:hint="cs"/>
          <w:sz w:val="24"/>
          <w:szCs w:val="24"/>
          <w:rtl/>
          <w:lang w:val="en-US"/>
        </w:rPr>
        <w:t>الهيئات المسيرة للشأن الحضري</w:t>
      </w:r>
      <w:r w:rsidRPr="009232E1">
        <w:rPr>
          <w:rFonts w:ascii="Simplified Arabic" w:hAnsi="Simplified Arabic" w:cs="Simplified Arabic"/>
          <w:sz w:val="24"/>
          <w:szCs w:val="24"/>
          <w:rtl/>
          <w:lang w:val="en-US"/>
        </w:rPr>
        <w:t xml:space="preserve"> </w:t>
      </w:r>
      <w:r w:rsidRPr="009232E1">
        <w:rPr>
          <w:rFonts w:ascii="Simplified Arabic" w:hAnsi="Simplified Arabic" w:cs="Simplified Arabic" w:hint="cs"/>
          <w:sz w:val="24"/>
          <w:szCs w:val="24"/>
          <w:rtl/>
          <w:lang w:val="en-US"/>
        </w:rPr>
        <w:t>خلال</w:t>
      </w:r>
      <w:r w:rsidRPr="009232E1">
        <w:rPr>
          <w:rFonts w:ascii="Simplified Arabic" w:hAnsi="Simplified Arabic" w:cs="Simplified Arabic"/>
          <w:sz w:val="24"/>
          <w:szCs w:val="24"/>
          <w:rtl/>
          <w:lang w:val="en-US"/>
        </w:rPr>
        <w:t xml:space="preserve"> </w:t>
      </w:r>
      <w:r w:rsidRPr="009232E1">
        <w:rPr>
          <w:rFonts w:ascii="Simplified Arabic" w:hAnsi="Simplified Arabic" w:cs="Simplified Arabic" w:hint="cs"/>
          <w:sz w:val="24"/>
          <w:szCs w:val="24"/>
          <w:rtl/>
          <w:lang w:val="en-US"/>
        </w:rPr>
        <w:t>شهر ابريل</w:t>
      </w:r>
      <w:r w:rsidRPr="009232E1">
        <w:rPr>
          <w:rFonts w:ascii="Simplified Arabic" w:hAnsi="Simplified Arabic" w:cs="Simplified Arabic"/>
          <w:sz w:val="24"/>
          <w:szCs w:val="24"/>
          <w:rtl/>
          <w:lang w:val="en-US"/>
        </w:rPr>
        <w:t xml:space="preserve"> </w:t>
      </w:r>
      <w:r w:rsidRPr="009232E1">
        <w:rPr>
          <w:rFonts w:ascii="Simplified Arabic" w:hAnsi="Simplified Arabic" w:cs="Simplified Arabic" w:hint="cs"/>
          <w:sz w:val="24"/>
          <w:szCs w:val="24"/>
          <w:rtl/>
          <w:lang w:val="en-US"/>
        </w:rPr>
        <w:t>وشهر اكتوبر2021، وهي فترة تساقط الامطار الموسمية التي تتميز بالشدة</w:t>
      </w:r>
      <w:r w:rsidRPr="009232E1">
        <w:rPr>
          <w:rFonts w:ascii="Simplified Arabic" w:hAnsi="Simplified Arabic" w:cs="Simplified Arabic"/>
          <w:sz w:val="24"/>
          <w:szCs w:val="24"/>
          <w:rtl/>
          <w:lang w:val="en-US"/>
        </w:rPr>
        <w:t xml:space="preserve">. </w:t>
      </w:r>
      <w:r w:rsidRPr="009232E1">
        <w:rPr>
          <w:rFonts w:ascii="Simplified Arabic" w:hAnsi="Simplified Arabic" w:cs="Simplified Arabic" w:hint="cs"/>
          <w:sz w:val="24"/>
          <w:szCs w:val="24"/>
          <w:rtl/>
          <w:lang w:val="en-US"/>
        </w:rPr>
        <w:t xml:space="preserve">خلال هذه الفترة، </w:t>
      </w:r>
      <w:r w:rsidRPr="009232E1">
        <w:rPr>
          <w:rFonts w:ascii="Simplified Arabic" w:hAnsi="Simplified Arabic" w:cs="Simplified Arabic"/>
          <w:sz w:val="24"/>
          <w:szCs w:val="24"/>
          <w:rtl/>
          <w:lang w:val="en-US"/>
        </w:rPr>
        <w:t xml:space="preserve">تم إجراء العديد من المقابلات مع </w:t>
      </w:r>
      <w:r w:rsidRPr="009232E1">
        <w:rPr>
          <w:rFonts w:ascii="Simplified Arabic" w:hAnsi="Simplified Arabic" w:cs="Simplified Arabic" w:hint="cs"/>
          <w:sz w:val="24"/>
          <w:szCs w:val="24"/>
          <w:rtl/>
          <w:lang w:val="en-US"/>
        </w:rPr>
        <w:t>الهيئات المحلية (مصالح بلدية بوسعادة</w:t>
      </w:r>
      <w:r w:rsidRPr="009232E1">
        <w:rPr>
          <w:rFonts w:ascii="Simplified Arabic" w:hAnsi="Simplified Arabic" w:cs="Simplified Arabic"/>
          <w:sz w:val="24"/>
          <w:szCs w:val="24"/>
          <w:rtl/>
          <w:lang w:val="en-US"/>
        </w:rPr>
        <w:t xml:space="preserve"> و</w:t>
      </w:r>
      <w:r w:rsidRPr="009232E1">
        <w:rPr>
          <w:rFonts w:ascii="Simplified Arabic" w:hAnsi="Simplified Arabic" w:cs="Simplified Arabic" w:hint="cs"/>
          <w:sz w:val="24"/>
          <w:szCs w:val="24"/>
          <w:rtl/>
          <w:lang w:val="en-US"/>
        </w:rPr>
        <w:t xml:space="preserve">مديرية الموارد المائية و مديرية التعمير والهندسة المعمارية) </w:t>
      </w:r>
      <w:r>
        <w:rPr>
          <w:rFonts w:ascii="Simplified Arabic" w:hAnsi="Simplified Arabic" w:cs="Simplified Arabic" w:hint="cs"/>
          <w:sz w:val="24"/>
          <w:szCs w:val="24"/>
          <w:rtl/>
          <w:lang w:val="en-US"/>
        </w:rPr>
        <w:t>ل</w:t>
      </w:r>
      <w:r w:rsidRPr="009232E1">
        <w:rPr>
          <w:rFonts w:ascii="Simplified Arabic" w:hAnsi="Simplified Arabic" w:cs="Simplified Arabic"/>
          <w:sz w:val="24"/>
          <w:szCs w:val="24"/>
          <w:rtl/>
          <w:lang w:val="en-US"/>
        </w:rPr>
        <w:t>لتحقيق في وجهات نظرهم حول تحديات</w:t>
      </w:r>
      <w:r w:rsidRPr="009232E1">
        <w:rPr>
          <w:rFonts w:ascii="Simplified Arabic" w:hAnsi="Simplified Arabic" w:cs="Simplified Arabic" w:hint="cs"/>
          <w:sz w:val="24"/>
          <w:szCs w:val="24"/>
          <w:rtl/>
          <w:lang w:val="en-US"/>
        </w:rPr>
        <w:t xml:space="preserve"> التنمية</w:t>
      </w:r>
      <w:r w:rsidRPr="009232E1">
        <w:rPr>
          <w:rFonts w:ascii="Simplified Arabic" w:hAnsi="Simplified Arabic" w:cs="Simplified Arabic"/>
          <w:sz w:val="24"/>
          <w:szCs w:val="24"/>
          <w:rtl/>
          <w:lang w:val="en-US"/>
        </w:rPr>
        <w:t xml:space="preserve"> المحلية</w:t>
      </w:r>
      <w:r>
        <w:rPr>
          <w:rFonts w:ascii="Simplified Arabic" w:hAnsi="Simplified Arabic" w:cs="Simplified Arabic" w:hint="cs"/>
          <w:sz w:val="24"/>
          <w:szCs w:val="24"/>
          <w:rtl/>
          <w:lang w:val="en-US"/>
        </w:rPr>
        <w:t xml:space="preserve"> لمدينة بوسعادة في سياق الفيضانات</w:t>
      </w:r>
      <w:r w:rsidRPr="009232E1">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على</w:t>
      </w:r>
      <w:r w:rsidRPr="009232E1">
        <w:rPr>
          <w:rFonts w:ascii="Simplified Arabic" w:hAnsi="Simplified Arabic" w:cs="Simplified Arabic"/>
          <w:sz w:val="24"/>
          <w:szCs w:val="24"/>
          <w:rtl/>
          <w:lang w:val="en-US"/>
        </w:rPr>
        <w:t xml:space="preserve"> ضوء هذه المقابلات، تم تنقيح </w:t>
      </w:r>
      <w:r>
        <w:rPr>
          <w:rFonts w:ascii="Simplified Arabic" w:hAnsi="Simplified Arabic" w:cs="Simplified Arabic" w:hint="cs"/>
          <w:sz w:val="24"/>
          <w:szCs w:val="24"/>
          <w:rtl/>
          <w:lang w:val="en-US"/>
        </w:rPr>
        <w:t>مجموعة</w:t>
      </w:r>
      <w:r w:rsidRPr="009232E1">
        <w:rPr>
          <w:rFonts w:ascii="Simplified Arabic" w:hAnsi="Simplified Arabic" w:cs="Simplified Arabic"/>
          <w:sz w:val="24"/>
          <w:szCs w:val="24"/>
          <w:rtl/>
          <w:lang w:val="en-US"/>
        </w:rPr>
        <w:t xml:space="preserve"> </w:t>
      </w:r>
      <w:r w:rsidRPr="009232E1">
        <w:rPr>
          <w:rFonts w:ascii="Simplified Arabic" w:hAnsi="Simplified Arabic" w:cs="Simplified Arabic" w:hint="cs"/>
          <w:sz w:val="24"/>
          <w:szCs w:val="24"/>
          <w:rtl/>
          <w:lang w:val="en-US"/>
        </w:rPr>
        <w:t>من الاسئلة</w:t>
      </w:r>
      <w:r w:rsidRPr="009232E1">
        <w:rPr>
          <w:rFonts w:ascii="Simplified Arabic" w:hAnsi="Simplified Arabic" w:cs="Simplified Arabic"/>
          <w:sz w:val="24"/>
          <w:szCs w:val="24"/>
          <w:rtl/>
          <w:lang w:val="en-US"/>
        </w:rPr>
        <w:t>، م</w:t>
      </w:r>
      <w:r>
        <w:rPr>
          <w:rFonts w:ascii="Simplified Arabic" w:hAnsi="Simplified Arabic" w:cs="Simplified Arabic" w:hint="cs"/>
          <w:sz w:val="24"/>
          <w:szCs w:val="24"/>
          <w:rtl/>
          <w:lang w:val="en-US"/>
        </w:rPr>
        <w:t>كونة</w:t>
      </w:r>
      <w:r w:rsidRPr="009232E1">
        <w:rPr>
          <w:rFonts w:ascii="Simplified Arabic" w:hAnsi="Simplified Arabic" w:cs="Simplified Arabic"/>
          <w:sz w:val="24"/>
          <w:szCs w:val="24"/>
          <w:rtl/>
          <w:lang w:val="en-US"/>
        </w:rPr>
        <w:t xml:space="preserve"> من </w:t>
      </w:r>
      <w:r>
        <w:rPr>
          <w:rFonts w:ascii="Simplified Arabic" w:hAnsi="Simplified Arabic" w:cs="Simplified Arabic" w:hint="cs"/>
          <w:sz w:val="24"/>
          <w:szCs w:val="24"/>
          <w:rtl/>
          <w:lang w:val="en-US"/>
        </w:rPr>
        <w:t>13</w:t>
      </w:r>
      <w:r w:rsidRPr="009232E1">
        <w:rPr>
          <w:rFonts w:ascii="Simplified Arabic" w:hAnsi="Simplified Arabic" w:cs="Simplified Arabic"/>
          <w:sz w:val="24"/>
          <w:szCs w:val="24"/>
          <w:rtl/>
          <w:lang w:val="en-US"/>
        </w:rPr>
        <w:t xml:space="preserve"> عنصرًا.</w:t>
      </w:r>
    </w:p>
    <w:p w:rsidR="00FF558D" w:rsidRPr="009232E1" w:rsidRDefault="00FF558D" w:rsidP="001D0548">
      <w:pPr>
        <w:pStyle w:val="Paragraphedeliste"/>
        <w:numPr>
          <w:ilvl w:val="0"/>
          <w:numId w:val="44"/>
        </w:numPr>
        <w:tabs>
          <w:tab w:val="right" w:pos="424"/>
          <w:tab w:val="right" w:pos="566"/>
        </w:tabs>
        <w:bidi/>
        <w:spacing w:after="0"/>
        <w:ind w:left="-1" w:firstLine="283"/>
        <w:jc w:val="both"/>
        <w:rPr>
          <w:rFonts w:ascii="Simplified Arabic" w:hAnsi="Simplified Arabic" w:cs="Simplified Arabic"/>
          <w:sz w:val="24"/>
          <w:szCs w:val="24"/>
          <w:lang w:val="en-US"/>
        </w:rPr>
      </w:pPr>
      <w:r>
        <w:rPr>
          <w:rFonts w:ascii="Simplified Arabic" w:hAnsi="Simplified Arabic" w:cs="Simplified Arabic" w:hint="cs"/>
          <w:sz w:val="24"/>
          <w:szCs w:val="24"/>
          <w:rtl/>
          <w:lang w:val="en-US"/>
        </w:rPr>
        <w:t>تمت المراجعة اللغوية للأسئلة من حيث الاسلوب وعلاقتها بالهدف من الاستبيان.</w:t>
      </w:r>
    </w:p>
    <w:p w:rsidR="00C121B0" w:rsidRPr="00730441" w:rsidRDefault="00C121B0" w:rsidP="001D0548">
      <w:pPr>
        <w:pStyle w:val="Paragraphedeliste"/>
        <w:numPr>
          <w:ilvl w:val="0"/>
          <w:numId w:val="44"/>
        </w:numPr>
        <w:tabs>
          <w:tab w:val="right" w:pos="424"/>
          <w:tab w:val="right" w:pos="566"/>
        </w:tabs>
        <w:bidi/>
        <w:spacing w:after="0"/>
        <w:ind w:left="-1" w:firstLine="283"/>
        <w:jc w:val="both"/>
        <w:rPr>
          <w:rFonts w:ascii="Simplified Arabic" w:hAnsi="Simplified Arabic" w:cs="Simplified Arabic"/>
          <w:sz w:val="24"/>
          <w:szCs w:val="24"/>
          <w:lang w:val="en-US"/>
        </w:rPr>
      </w:pPr>
      <w:r w:rsidRPr="00730441">
        <w:rPr>
          <w:rFonts w:ascii="Simplified Arabic" w:hAnsi="Simplified Arabic" w:cs="Simplified Arabic"/>
          <w:sz w:val="24"/>
          <w:szCs w:val="24"/>
          <w:rtl/>
          <w:lang w:val="en-US"/>
        </w:rPr>
        <w:t>تم استخدام أسلوب التوزيع عبر الإنترنت في هذ</w:t>
      </w:r>
      <w:r w:rsidR="001045BF">
        <w:rPr>
          <w:rFonts w:ascii="Simplified Arabic" w:hAnsi="Simplified Arabic" w:cs="Simplified Arabic" w:hint="cs"/>
          <w:sz w:val="24"/>
          <w:szCs w:val="24"/>
          <w:rtl/>
          <w:lang w:val="en-US"/>
        </w:rPr>
        <w:t>ا</w:t>
      </w:r>
      <w:r w:rsidRPr="00730441">
        <w:rPr>
          <w:rFonts w:ascii="Simplified Arabic" w:hAnsi="Simplified Arabic" w:cs="Simplified Arabic"/>
          <w:sz w:val="24"/>
          <w:szCs w:val="24"/>
          <w:rtl/>
          <w:lang w:val="en-US"/>
        </w:rPr>
        <w:t xml:space="preserve"> ال</w:t>
      </w:r>
      <w:r w:rsidR="001045BF">
        <w:rPr>
          <w:rFonts w:ascii="Simplified Arabic" w:hAnsi="Simplified Arabic" w:cs="Simplified Arabic" w:hint="cs"/>
          <w:sz w:val="24"/>
          <w:szCs w:val="24"/>
          <w:rtl/>
          <w:lang w:val="en-US"/>
        </w:rPr>
        <w:t>بحث</w:t>
      </w:r>
      <w:r>
        <w:rPr>
          <w:rFonts w:ascii="Simplified Arabic" w:hAnsi="Simplified Arabic" w:cs="Simplified Arabic" w:hint="cs"/>
          <w:sz w:val="24"/>
          <w:szCs w:val="24"/>
          <w:rtl/>
          <w:lang w:val="en-US"/>
        </w:rPr>
        <w:t>،</w:t>
      </w:r>
      <w:r w:rsidRPr="00730441">
        <w:rPr>
          <w:rFonts w:ascii="Simplified Arabic" w:hAnsi="Simplified Arabic" w:cs="Simplified Arabic"/>
          <w:sz w:val="24"/>
          <w:szCs w:val="24"/>
          <w:rtl/>
          <w:lang w:val="en-US"/>
        </w:rPr>
        <w:t xml:space="preserve"> ه</w:t>
      </w:r>
      <w:r>
        <w:rPr>
          <w:rFonts w:ascii="Simplified Arabic" w:hAnsi="Simplified Arabic" w:cs="Simplified Arabic" w:hint="cs"/>
          <w:sz w:val="24"/>
          <w:szCs w:val="24"/>
          <w:rtl/>
          <w:lang w:val="en-US"/>
        </w:rPr>
        <w:t>ي</w:t>
      </w:r>
      <w:r w:rsidRPr="00730441">
        <w:rPr>
          <w:rFonts w:ascii="Simplified Arabic" w:hAnsi="Simplified Arabic" w:cs="Simplified Arabic"/>
          <w:sz w:val="24"/>
          <w:szCs w:val="24"/>
          <w:rtl/>
          <w:lang w:val="en-US"/>
        </w:rPr>
        <w:t xml:space="preserve"> طريقة سريعة، مقارنة باستخدام الاستبيان الموزع يدويًا، وهي أقل تكلفة </w:t>
      </w:r>
      <w:r w:rsidRPr="006109BA">
        <w:rPr>
          <w:rFonts w:asciiTheme="majorBidi" w:hAnsiTheme="majorBidi" w:cstheme="majorBidi"/>
          <w:sz w:val="24"/>
          <w:szCs w:val="24"/>
          <w:rtl/>
          <w:lang w:val="en-US"/>
        </w:rPr>
        <w:t>(</w:t>
      </w:r>
      <w:r w:rsidRPr="00A77350">
        <w:rPr>
          <w:rFonts w:asciiTheme="majorBidi" w:hAnsiTheme="majorBidi" w:cstheme="majorBidi"/>
          <w:sz w:val="24"/>
          <w:szCs w:val="24"/>
          <w:lang w:val="en-US"/>
        </w:rPr>
        <w:t>Huang</w:t>
      </w:r>
      <w:r w:rsidRPr="00A77350">
        <w:rPr>
          <w:rFonts w:asciiTheme="majorBidi" w:hAnsiTheme="majorBidi" w:cstheme="majorBidi"/>
          <w:sz w:val="24"/>
          <w:szCs w:val="24"/>
        </w:rPr>
        <w:t>,</w:t>
      </w:r>
      <w:r w:rsidRPr="00A77350">
        <w:rPr>
          <w:rFonts w:asciiTheme="majorBidi" w:hAnsiTheme="majorBidi" w:cstheme="majorBidi"/>
          <w:sz w:val="24"/>
          <w:szCs w:val="24"/>
          <w:lang w:val="en-US"/>
        </w:rPr>
        <w:t xml:space="preserve"> 200</w:t>
      </w:r>
      <w:r w:rsidRPr="006109BA">
        <w:rPr>
          <w:rFonts w:asciiTheme="majorBidi" w:hAnsiTheme="majorBidi" w:cstheme="majorBidi"/>
          <w:sz w:val="24"/>
          <w:szCs w:val="24"/>
          <w:lang w:val="en-US"/>
        </w:rPr>
        <w:t>6</w:t>
      </w:r>
      <w:r w:rsidRPr="006109BA">
        <w:rPr>
          <w:rFonts w:asciiTheme="majorBidi" w:hAnsiTheme="majorBidi" w:cstheme="majorBidi"/>
          <w:sz w:val="24"/>
          <w:szCs w:val="24"/>
          <w:rtl/>
          <w:lang w:val="en-US"/>
        </w:rPr>
        <w:t>)</w:t>
      </w:r>
      <w:r w:rsidRPr="00730441">
        <w:rPr>
          <w:rFonts w:ascii="Simplified Arabic" w:hAnsi="Simplified Arabic" w:cs="Simplified Arabic"/>
          <w:sz w:val="24"/>
          <w:szCs w:val="24"/>
          <w:rtl/>
          <w:lang w:val="en-US"/>
        </w:rPr>
        <w:t xml:space="preserve">. تم توزيع الاستبيان بين </w:t>
      </w:r>
      <w:r w:rsidR="006C024D">
        <w:rPr>
          <w:rFonts w:ascii="Simplified Arabic" w:hAnsi="Simplified Arabic" w:cs="Simplified Arabic" w:hint="cs"/>
          <w:sz w:val="24"/>
          <w:szCs w:val="24"/>
          <w:rtl/>
          <w:lang w:val="en-US"/>
        </w:rPr>
        <w:t xml:space="preserve">شهر </w:t>
      </w:r>
      <w:r w:rsidR="008C50E7">
        <w:rPr>
          <w:rFonts w:ascii="Simplified Arabic" w:hAnsi="Simplified Arabic" w:cs="Simplified Arabic" w:hint="cs"/>
          <w:sz w:val="24"/>
          <w:szCs w:val="24"/>
          <w:rtl/>
          <w:lang w:val="en-US"/>
        </w:rPr>
        <w:t>مارس</w:t>
      </w:r>
      <w:r w:rsidRPr="00730441">
        <w:rPr>
          <w:rFonts w:ascii="Simplified Arabic" w:hAnsi="Simplified Arabic" w:cs="Simplified Arabic"/>
          <w:sz w:val="24"/>
          <w:szCs w:val="24"/>
          <w:rtl/>
          <w:lang w:val="en-US"/>
        </w:rPr>
        <w:t xml:space="preserve"> وأبريل </w:t>
      </w:r>
      <w:r>
        <w:rPr>
          <w:rFonts w:ascii="Simplified Arabic" w:hAnsi="Simplified Arabic" w:cs="Simplified Arabic" w:hint="cs"/>
          <w:sz w:val="24"/>
          <w:szCs w:val="24"/>
          <w:rtl/>
          <w:lang w:val="en-US"/>
        </w:rPr>
        <w:t>2022</w:t>
      </w:r>
      <w:r w:rsidRPr="00730441">
        <w:rPr>
          <w:rFonts w:ascii="Simplified Arabic" w:hAnsi="Simplified Arabic" w:cs="Simplified Arabic"/>
          <w:sz w:val="24"/>
          <w:szCs w:val="24"/>
          <w:rtl/>
          <w:lang w:val="en-US"/>
        </w:rPr>
        <w:t xml:space="preserve"> باستخدام </w:t>
      </w:r>
      <w:r w:rsidRPr="009232E1">
        <w:rPr>
          <w:rFonts w:asciiTheme="majorBidi" w:hAnsiTheme="majorBidi" w:cstheme="majorBidi"/>
          <w:sz w:val="24"/>
          <w:szCs w:val="24"/>
          <w:lang w:val="en-US"/>
        </w:rPr>
        <w:t>SurveyMonkey</w:t>
      </w:r>
      <w:r>
        <w:rPr>
          <w:rFonts w:ascii="Simplified Arabic" w:hAnsi="Simplified Arabic" w:cs="Simplified Arabic"/>
          <w:sz w:val="24"/>
          <w:szCs w:val="24"/>
          <w:rtl/>
          <w:lang w:val="en-US"/>
        </w:rPr>
        <w:t>. تسهل أداة الويب</w:t>
      </w:r>
      <w:r>
        <w:rPr>
          <w:rFonts w:ascii="Simplified Arabic" w:hAnsi="Simplified Arabic" w:cs="Simplified Arabic" w:hint="cs"/>
          <w:sz w:val="24"/>
          <w:szCs w:val="24"/>
          <w:rtl/>
          <w:lang w:val="en-US"/>
        </w:rPr>
        <w:t xml:space="preserve"> </w:t>
      </w:r>
      <w:r w:rsidRPr="00C47464">
        <w:rPr>
          <w:rFonts w:asciiTheme="majorBidi" w:hAnsiTheme="majorBidi" w:cstheme="majorBidi"/>
          <w:sz w:val="24"/>
          <w:szCs w:val="24"/>
          <w:rtl/>
          <w:lang w:val="en-US"/>
        </w:rPr>
        <w:t>(</w:t>
      </w:r>
      <w:r>
        <w:rPr>
          <w:rFonts w:asciiTheme="majorBidi" w:hAnsiTheme="majorBidi" w:cstheme="majorBidi"/>
          <w:sz w:val="24"/>
          <w:szCs w:val="24"/>
        </w:rPr>
        <w:t>Web</w:t>
      </w:r>
      <w:r w:rsidRPr="00C47464">
        <w:rPr>
          <w:rFonts w:asciiTheme="majorBidi" w:hAnsiTheme="majorBidi" w:cstheme="majorBidi"/>
          <w:sz w:val="24"/>
          <w:szCs w:val="24"/>
          <w:rtl/>
          <w:lang w:val="en-US"/>
        </w:rPr>
        <w:t>)</w:t>
      </w:r>
      <w:r>
        <w:rPr>
          <w:rFonts w:ascii="Simplified Arabic" w:hAnsi="Simplified Arabic" w:cs="Simplified Arabic"/>
          <w:sz w:val="24"/>
          <w:szCs w:val="24"/>
          <w:rtl/>
          <w:lang w:val="en-US"/>
        </w:rPr>
        <w:t xml:space="preserve"> </w:t>
      </w:r>
      <w:r w:rsidRPr="00730441">
        <w:rPr>
          <w:rFonts w:ascii="Simplified Arabic" w:hAnsi="Simplified Arabic" w:cs="Simplified Arabic"/>
          <w:sz w:val="24"/>
          <w:szCs w:val="24"/>
          <w:rtl/>
          <w:lang w:val="en-US"/>
        </w:rPr>
        <w:t xml:space="preserve">التوزيع الواسع للاستبيانات وتمكن </w:t>
      </w:r>
      <w:r>
        <w:rPr>
          <w:rFonts w:ascii="Simplified Arabic" w:hAnsi="Simplified Arabic" w:cs="Simplified Arabic" w:hint="cs"/>
          <w:sz w:val="24"/>
          <w:szCs w:val="24"/>
          <w:rtl/>
          <w:lang w:val="en-US"/>
        </w:rPr>
        <w:t>المستجيبين</w:t>
      </w:r>
      <w:r w:rsidRPr="00730441">
        <w:rPr>
          <w:rFonts w:ascii="Simplified Arabic" w:hAnsi="Simplified Arabic" w:cs="Simplified Arabic"/>
          <w:sz w:val="24"/>
          <w:szCs w:val="24"/>
          <w:rtl/>
          <w:lang w:val="en-US"/>
        </w:rPr>
        <w:t xml:space="preserve"> من التحكم في الردود.</w:t>
      </w:r>
      <w:r>
        <w:rPr>
          <w:rFonts w:ascii="Simplified Arabic" w:hAnsi="Simplified Arabic" w:cs="Simplified Arabic" w:hint="cs"/>
          <w:sz w:val="24"/>
          <w:szCs w:val="24"/>
          <w:rtl/>
          <w:lang w:val="en-US"/>
        </w:rPr>
        <w:t xml:space="preserve"> </w:t>
      </w:r>
    </w:p>
    <w:p w:rsidR="00C121B0" w:rsidRDefault="00C121B0" w:rsidP="001D0548">
      <w:pPr>
        <w:pStyle w:val="Paragraphedeliste"/>
        <w:numPr>
          <w:ilvl w:val="0"/>
          <w:numId w:val="44"/>
        </w:numPr>
        <w:tabs>
          <w:tab w:val="right" w:pos="424"/>
          <w:tab w:val="right" w:pos="566"/>
        </w:tabs>
        <w:bidi/>
        <w:ind w:left="-1" w:firstLine="283"/>
        <w:jc w:val="both"/>
        <w:rPr>
          <w:rFonts w:ascii="Simplified Arabic" w:hAnsi="Simplified Arabic" w:cs="Simplified Arabic"/>
          <w:sz w:val="24"/>
          <w:szCs w:val="24"/>
          <w:lang w:val="en-US"/>
        </w:rPr>
      </w:pPr>
      <w:r>
        <w:rPr>
          <w:rFonts w:ascii="Simplified Arabic" w:hAnsi="Simplified Arabic" w:cs="Simplified Arabic" w:hint="cs"/>
          <w:sz w:val="24"/>
          <w:szCs w:val="24"/>
          <w:rtl/>
          <w:lang w:val="en-US"/>
        </w:rPr>
        <w:t xml:space="preserve">يتم </w:t>
      </w:r>
      <w:r w:rsidRPr="0004349F">
        <w:rPr>
          <w:rFonts w:ascii="Simplified Arabic" w:hAnsi="Simplified Arabic" w:cs="Simplified Arabic" w:hint="cs"/>
          <w:sz w:val="24"/>
          <w:szCs w:val="24"/>
          <w:rtl/>
          <w:lang w:val="en-US"/>
        </w:rPr>
        <w:t>تحليل</w:t>
      </w:r>
      <w:r w:rsidRPr="0004349F">
        <w:rPr>
          <w:rFonts w:ascii="Simplified Arabic" w:hAnsi="Simplified Arabic" w:cs="Simplified Arabic"/>
          <w:sz w:val="24"/>
          <w:szCs w:val="24"/>
          <w:rtl/>
          <w:lang w:val="en-US"/>
        </w:rPr>
        <w:t xml:space="preserve"> </w:t>
      </w:r>
      <w:r w:rsidRPr="0004349F">
        <w:rPr>
          <w:rFonts w:ascii="Simplified Arabic" w:hAnsi="Simplified Arabic" w:cs="Simplified Arabic" w:hint="cs"/>
          <w:sz w:val="24"/>
          <w:szCs w:val="24"/>
          <w:rtl/>
          <w:lang w:val="en-US"/>
        </w:rPr>
        <w:t>وتفسير</w:t>
      </w:r>
      <w:r w:rsidRPr="0004349F">
        <w:rPr>
          <w:rFonts w:ascii="Simplified Arabic" w:hAnsi="Simplified Arabic" w:cs="Simplified Arabic"/>
          <w:sz w:val="24"/>
          <w:szCs w:val="24"/>
          <w:rtl/>
          <w:lang w:val="en-US"/>
        </w:rPr>
        <w:t xml:space="preserve"> </w:t>
      </w:r>
      <w:r w:rsidRPr="0004349F">
        <w:rPr>
          <w:rFonts w:ascii="Simplified Arabic" w:hAnsi="Simplified Arabic" w:cs="Simplified Arabic" w:hint="cs"/>
          <w:sz w:val="24"/>
          <w:szCs w:val="24"/>
          <w:rtl/>
          <w:lang w:val="en-US"/>
        </w:rPr>
        <w:t>البيانات</w:t>
      </w:r>
      <w:r w:rsidRPr="0004349F">
        <w:rPr>
          <w:rFonts w:ascii="Simplified Arabic" w:hAnsi="Simplified Arabic" w:cs="Simplified Arabic"/>
          <w:sz w:val="24"/>
          <w:szCs w:val="24"/>
          <w:rtl/>
          <w:lang w:val="en-US"/>
        </w:rPr>
        <w:t xml:space="preserve"> </w:t>
      </w:r>
      <w:r w:rsidRPr="0004349F">
        <w:rPr>
          <w:rFonts w:ascii="Simplified Arabic" w:hAnsi="Simplified Arabic" w:cs="Simplified Arabic" w:hint="cs"/>
          <w:sz w:val="24"/>
          <w:szCs w:val="24"/>
          <w:rtl/>
          <w:lang w:val="en-US"/>
        </w:rPr>
        <w:t>و</w:t>
      </w:r>
      <w:r w:rsidRPr="00730441">
        <w:rPr>
          <w:rFonts w:ascii="Simplified Arabic" w:hAnsi="Simplified Arabic" w:cs="Simplified Arabic"/>
          <w:sz w:val="24"/>
          <w:szCs w:val="24"/>
          <w:rtl/>
          <w:lang w:val="en-US"/>
        </w:rPr>
        <w:t xml:space="preserve">المعلومات </w:t>
      </w:r>
      <w:r>
        <w:rPr>
          <w:rFonts w:ascii="Simplified Arabic" w:hAnsi="Simplified Arabic" w:cs="Simplified Arabic" w:hint="cs"/>
          <w:sz w:val="24"/>
          <w:szCs w:val="24"/>
          <w:rtl/>
          <w:lang w:val="en-US"/>
        </w:rPr>
        <w:t>(القسم أ، القسم ب، القسم جـ)</w:t>
      </w:r>
      <w:r w:rsidRPr="00730441">
        <w:rPr>
          <w:rFonts w:ascii="Simplified Arabic" w:hAnsi="Simplified Arabic" w:cs="Simplified Arabic"/>
          <w:sz w:val="24"/>
          <w:szCs w:val="24"/>
          <w:rtl/>
          <w:lang w:val="en-US"/>
        </w:rPr>
        <w:t>.</w:t>
      </w:r>
    </w:p>
    <w:p w:rsidR="00C121B0" w:rsidRPr="006F2A40" w:rsidRDefault="00C121B0" w:rsidP="001D0548">
      <w:pPr>
        <w:pStyle w:val="Paragraphedeliste"/>
        <w:numPr>
          <w:ilvl w:val="3"/>
          <w:numId w:val="174"/>
        </w:numPr>
        <w:tabs>
          <w:tab w:val="right" w:pos="992"/>
        </w:tabs>
        <w:bidi/>
        <w:spacing w:before="240" w:after="0"/>
        <w:ind w:left="0" w:firstLine="0"/>
        <w:jc w:val="both"/>
        <w:outlineLvl w:val="2"/>
        <w:rPr>
          <w:rFonts w:ascii="Simplified Arabic" w:hAnsi="Simplified Arabic" w:cs="Simplified Arabic"/>
          <w:b/>
          <w:bCs/>
          <w:sz w:val="24"/>
          <w:szCs w:val="24"/>
          <w:lang w:val="en-US"/>
        </w:rPr>
      </w:pPr>
      <w:bookmarkStart w:id="721" w:name="_Toc171803728"/>
      <w:r w:rsidRPr="006F2A40">
        <w:rPr>
          <w:rFonts w:ascii="Simplified Arabic" w:hAnsi="Simplified Arabic" w:cs="Simplified Arabic" w:hint="cs"/>
          <w:b/>
          <w:bCs/>
          <w:sz w:val="24"/>
          <w:szCs w:val="24"/>
          <w:rtl/>
          <w:lang w:val="en-US"/>
        </w:rPr>
        <w:t>تحديد</w:t>
      </w:r>
      <w:r w:rsidRPr="006F2A40">
        <w:rPr>
          <w:rFonts w:ascii="Simplified Arabic" w:hAnsi="Simplified Arabic" w:cs="Simplified Arabic"/>
          <w:b/>
          <w:bCs/>
          <w:sz w:val="24"/>
          <w:szCs w:val="24"/>
          <w:rtl/>
          <w:lang w:val="en-US"/>
        </w:rPr>
        <w:t xml:space="preserve"> </w:t>
      </w:r>
      <w:r w:rsidRPr="006F2A40">
        <w:rPr>
          <w:rFonts w:ascii="Simplified Arabic" w:hAnsi="Simplified Arabic" w:cs="Simplified Arabic" w:hint="cs"/>
          <w:b/>
          <w:bCs/>
          <w:sz w:val="24"/>
          <w:szCs w:val="24"/>
          <w:rtl/>
          <w:lang w:val="en-US"/>
        </w:rPr>
        <w:t>حجم</w:t>
      </w:r>
      <w:r w:rsidRPr="006F2A40">
        <w:rPr>
          <w:rFonts w:ascii="Simplified Arabic" w:hAnsi="Simplified Arabic" w:cs="Simplified Arabic"/>
          <w:b/>
          <w:bCs/>
          <w:sz w:val="24"/>
          <w:szCs w:val="24"/>
          <w:rtl/>
          <w:lang w:val="en-US"/>
        </w:rPr>
        <w:t xml:space="preserve"> </w:t>
      </w:r>
      <w:r w:rsidRPr="006F2A40">
        <w:rPr>
          <w:rFonts w:ascii="Simplified Arabic" w:hAnsi="Simplified Arabic" w:cs="Simplified Arabic" w:hint="cs"/>
          <w:b/>
          <w:bCs/>
          <w:sz w:val="24"/>
          <w:szCs w:val="24"/>
          <w:rtl/>
          <w:lang w:val="en-US"/>
        </w:rPr>
        <w:t>العينة</w:t>
      </w:r>
      <w:r w:rsidRPr="006F2A40">
        <w:rPr>
          <w:rFonts w:ascii="Simplified Arabic" w:hAnsi="Simplified Arabic" w:cs="Simplified Arabic"/>
          <w:b/>
          <w:bCs/>
          <w:sz w:val="24"/>
          <w:szCs w:val="24"/>
          <w:rtl/>
          <w:lang w:val="en-US"/>
        </w:rPr>
        <w:t>:</w:t>
      </w:r>
      <w:bookmarkEnd w:id="721"/>
    </w:p>
    <w:p w:rsidR="00C121B0" w:rsidRDefault="00C121B0" w:rsidP="00C121B0">
      <w:pPr>
        <w:bidi/>
        <w:spacing w:after="0"/>
        <w:ind w:firstLine="282"/>
        <w:jc w:val="both"/>
        <w:rPr>
          <w:rFonts w:ascii="Simplified Arabic" w:hAnsi="Simplified Arabic" w:cs="Simplified Arabic"/>
          <w:sz w:val="24"/>
          <w:szCs w:val="24"/>
          <w:rtl/>
          <w:lang w:val="en-US"/>
        </w:rPr>
      </w:pPr>
      <w:r w:rsidRPr="00FC359A">
        <w:rPr>
          <w:rFonts w:ascii="Simplified Arabic" w:hAnsi="Simplified Arabic" w:cs="Simplified Arabic"/>
          <w:sz w:val="24"/>
          <w:szCs w:val="24"/>
          <w:rtl/>
          <w:lang w:val="en-US"/>
        </w:rPr>
        <w:t>يوجد العديد من الصيغ الرياضية والاحصائية لتحديد حجم العينة. في جميع استطلاعات الراي، يعتبر حجم العينة (</w:t>
      </w:r>
      <w:r>
        <w:rPr>
          <w:rFonts w:ascii="Simplified Arabic" w:hAnsi="Simplified Arabic" w:cs="Simplified Arabic" w:hint="cs"/>
          <w:sz w:val="24"/>
          <w:szCs w:val="24"/>
          <w:rtl/>
          <w:lang w:val="en-US"/>
        </w:rPr>
        <w:t>عدد المستجوبين من السكان</w:t>
      </w:r>
      <w:r w:rsidRPr="00FC359A">
        <w:rPr>
          <w:rFonts w:ascii="Simplified Arabic" w:hAnsi="Simplified Arabic" w:cs="Simplified Arabic"/>
          <w:sz w:val="24"/>
          <w:szCs w:val="24"/>
          <w:rtl/>
          <w:lang w:val="en-US"/>
        </w:rPr>
        <w:t xml:space="preserve">) عاملاً مهما في الحصول على بيانات أكثر موثوقية. لتحديد حجم العينة، اعتمد </w:t>
      </w:r>
      <w:r>
        <w:rPr>
          <w:rFonts w:ascii="Simplified Arabic" w:hAnsi="Simplified Arabic" w:cs="Simplified Arabic" w:hint="cs"/>
          <w:sz w:val="24"/>
          <w:szCs w:val="24"/>
          <w:rtl/>
          <w:lang w:val="en-US"/>
        </w:rPr>
        <w:t>هذا البحث طريقة</w:t>
      </w:r>
      <w:r w:rsidRPr="00FC359A">
        <w:rPr>
          <w:rFonts w:ascii="Simplified Arabic" w:hAnsi="Simplified Arabic" w:cs="Simplified Arabic"/>
          <w:sz w:val="24"/>
          <w:szCs w:val="24"/>
          <w:rtl/>
          <w:lang w:val="en-US"/>
        </w:rPr>
        <w:t xml:space="preserve"> بسيطة لتقدير العينة المطلوبة. </w:t>
      </w:r>
    </w:p>
    <w:p w:rsidR="00C121B0" w:rsidRDefault="00C121B0" w:rsidP="00C121B0">
      <w:pPr>
        <w:bidi/>
        <w:spacing w:after="0"/>
        <w:ind w:firstLine="282"/>
        <w:jc w:val="both"/>
        <w:rPr>
          <w:rFonts w:ascii="Simplified Arabic" w:hAnsi="Simplified Arabic" w:cs="Simplified Arabic"/>
          <w:sz w:val="24"/>
          <w:szCs w:val="24"/>
          <w:rtl/>
          <w:lang w:val="en-US"/>
        </w:rPr>
      </w:pPr>
      <w:r w:rsidRPr="001F1425">
        <w:rPr>
          <w:rFonts w:ascii="Simplified Arabic" w:hAnsi="Simplified Arabic" w:cs="Simplified Arabic" w:hint="cs"/>
          <w:sz w:val="24"/>
          <w:szCs w:val="24"/>
          <w:rtl/>
          <w:lang w:val="en-US"/>
        </w:rPr>
        <w:t>أشار</w:t>
      </w:r>
      <w:r w:rsidRPr="001F1425">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المهتمون ب</w:t>
      </w:r>
      <w:r w:rsidRPr="001F1425">
        <w:rPr>
          <w:rFonts w:ascii="Simplified Arabic" w:hAnsi="Simplified Arabic" w:cs="Simplified Arabic" w:hint="cs"/>
          <w:sz w:val="24"/>
          <w:szCs w:val="24"/>
          <w:rtl/>
          <w:lang w:val="en-US"/>
        </w:rPr>
        <w:t>الإحصا</w:t>
      </w:r>
      <w:r>
        <w:rPr>
          <w:rFonts w:ascii="Simplified Arabic" w:hAnsi="Simplified Arabic" w:cs="Simplified Arabic" w:hint="cs"/>
          <w:sz w:val="24"/>
          <w:szCs w:val="24"/>
          <w:rtl/>
          <w:lang w:val="en-US"/>
        </w:rPr>
        <w:t>ء</w:t>
      </w:r>
      <w:r w:rsidRPr="001F1425">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في </w:t>
      </w:r>
      <w:r w:rsidRPr="001F1425">
        <w:rPr>
          <w:rFonts w:ascii="Simplified Arabic" w:hAnsi="Simplified Arabic" w:cs="Simplified Arabic" w:hint="cs"/>
          <w:sz w:val="24"/>
          <w:szCs w:val="24"/>
          <w:rtl/>
          <w:lang w:val="en-US"/>
        </w:rPr>
        <w:t>موقع</w:t>
      </w:r>
      <w:r w:rsidRPr="001F1425">
        <w:rPr>
          <w:rFonts w:ascii="Simplified Arabic" w:hAnsi="Simplified Arabic" w:cs="Simplified Arabic"/>
          <w:sz w:val="24"/>
          <w:szCs w:val="24"/>
          <w:rtl/>
          <w:lang w:val="en-US"/>
        </w:rPr>
        <w:t xml:space="preserve"> </w:t>
      </w:r>
      <w:r>
        <w:rPr>
          <w:rFonts w:asciiTheme="majorBidi" w:hAnsiTheme="majorBidi" w:cstheme="majorBidi" w:hint="cs"/>
          <w:sz w:val="24"/>
          <w:szCs w:val="24"/>
          <w:rtl/>
          <w:lang w:val="en-US"/>
        </w:rPr>
        <w:t>(</w:t>
      </w:r>
      <w:hyperlink r:id="rId250" w:history="1">
        <w:r w:rsidRPr="00DA7040">
          <w:rPr>
            <w:rStyle w:val="Lienhypertexte"/>
            <w:rFonts w:asciiTheme="majorBidi" w:hAnsiTheme="majorBidi" w:cstheme="majorBidi"/>
            <w:sz w:val="24"/>
            <w:szCs w:val="24"/>
            <w:lang w:val="en-US"/>
          </w:rPr>
          <w:t>https://questionnaire-pro.fr</w:t>
        </w:r>
      </w:hyperlink>
      <w:r>
        <w:rPr>
          <w:rFonts w:asciiTheme="majorBidi" w:hAnsiTheme="majorBidi" w:cstheme="majorBidi" w:hint="cs"/>
          <w:sz w:val="24"/>
          <w:szCs w:val="24"/>
          <w:rtl/>
          <w:lang w:val="en-US"/>
        </w:rPr>
        <w:t>)</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المتخصص</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في</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الاستبيانات</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إلى</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أنه</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أثناء</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تحديد</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حجم</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العينة،</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يجب</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مراعاة</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العاملين</w:t>
      </w:r>
      <w:r w:rsidRPr="001F1425">
        <w:rPr>
          <w:rFonts w:ascii="Simplified Arabic" w:hAnsi="Simplified Arabic" w:cs="Simplified Arabic"/>
          <w:sz w:val="24"/>
          <w:szCs w:val="24"/>
          <w:rtl/>
          <w:lang w:val="en-US"/>
        </w:rPr>
        <w:t xml:space="preserve"> </w:t>
      </w:r>
      <w:r w:rsidRPr="001F1425">
        <w:rPr>
          <w:rFonts w:ascii="Simplified Arabic" w:hAnsi="Simplified Arabic" w:cs="Simplified Arabic" w:hint="cs"/>
          <w:sz w:val="24"/>
          <w:szCs w:val="24"/>
          <w:rtl/>
          <w:lang w:val="en-US"/>
        </w:rPr>
        <w:t>التاليين</w:t>
      </w:r>
      <w:r>
        <w:rPr>
          <w:rFonts w:ascii="Simplified Arabic" w:hAnsi="Simplified Arabic" w:cs="Simplified Arabic" w:hint="cs"/>
          <w:sz w:val="24"/>
          <w:szCs w:val="24"/>
          <w:rtl/>
          <w:lang w:val="en-US"/>
        </w:rPr>
        <w:t>:</w:t>
      </w:r>
    </w:p>
    <w:p w:rsidR="00C121B0" w:rsidRPr="00AC4C77" w:rsidRDefault="00C121B0" w:rsidP="001D0548">
      <w:pPr>
        <w:pStyle w:val="Paragraphedeliste"/>
        <w:numPr>
          <w:ilvl w:val="0"/>
          <w:numId w:val="41"/>
        </w:numPr>
        <w:bidi/>
        <w:spacing w:after="0"/>
        <w:ind w:left="-1" w:firstLine="361"/>
        <w:jc w:val="both"/>
        <w:rPr>
          <w:rFonts w:ascii="Simplified Arabic" w:hAnsi="Simplified Arabic" w:cs="Simplified Arabic"/>
          <w:sz w:val="24"/>
          <w:szCs w:val="24"/>
          <w:lang w:val="en-US"/>
        </w:rPr>
      </w:pPr>
      <w:r w:rsidRPr="00AC4C77">
        <w:rPr>
          <w:rFonts w:ascii="Simplified Arabic" w:hAnsi="Simplified Arabic" w:cs="Simplified Arabic" w:hint="cs"/>
          <w:sz w:val="24"/>
          <w:szCs w:val="24"/>
          <w:u w:val="single"/>
          <w:rtl/>
          <w:lang w:val="en-US"/>
        </w:rPr>
        <w:t>حجم</w:t>
      </w:r>
      <w:r w:rsidRPr="00AC4C77">
        <w:rPr>
          <w:rFonts w:ascii="Simplified Arabic" w:hAnsi="Simplified Arabic" w:cs="Simplified Arabic"/>
          <w:sz w:val="24"/>
          <w:szCs w:val="24"/>
          <w:u w:val="single"/>
          <w:rtl/>
          <w:lang w:val="en-US"/>
        </w:rPr>
        <w:t xml:space="preserve"> </w:t>
      </w:r>
      <w:r w:rsidRPr="00AC4C77">
        <w:rPr>
          <w:rFonts w:ascii="Simplified Arabic" w:hAnsi="Simplified Arabic" w:cs="Simplified Arabic" w:hint="cs"/>
          <w:sz w:val="24"/>
          <w:szCs w:val="24"/>
          <w:u w:val="single"/>
          <w:rtl/>
          <w:lang w:val="en-US"/>
        </w:rPr>
        <w:t>المجتمع</w:t>
      </w:r>
      <w:r w:rsidRPr="00AC4C77">
        <w:rPr>
          <w:rFonts w:ascii="Simplified Arabic" w:hAnsi="Simplified Arabic" w:cs="Simplified Arabic"/>
          <w:sz w:val="24"/>
          <w:szCs w:val="24"/>
          <w:u w:val="single"/>
          <w:rtl/>
          <w:lang w:val="en-US"/>
        </w:rPr>
        <w:t xml:space="preserve"> </w:t>
      </w:r>
      <w:r w:rsidRPr="00AC4C77">
        <w:rPr>
          <w:rFonts w:ascii="Simplified Arabic" w:hAnsi="Simplified Arabic" w:cs="Simplified Arabic" w:hint="cs"/>
          <w:sz w:val="24"/>
          <w:szCs w:val="24"/>
          <w:u w:val="single"/>
          <w:rtl/>
          <w:lang w:val="en-US"/>
        </w:rPr>
        <w:t>الأصلي</w:t>
      </w:r>
      <w:r>
        <w:rPr>
          <w:rFonts w:ascii="Simplified Arabic" w:hAnsi="Simplified Arabic" w:cs="Simplified Arabic" w:hint="cs"/>
          <w:sz w:val="24"/>
          <w:szCs w:val="24"/>
          <w:rtl/>
          <w:lang w:val="en-US"/>
        </w:rPr>
        <w:t>:</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كلما</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زاد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عدد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السكان،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زاد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حجم</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العينة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المطلوب</w:t>
      </w:r>
      <w:r>
        <w:rPr>
          <w:rFonts w:ascii="Simplified Arabic" w:hAnsi="Simplified Arabic" w:cs="Simplified Arabic" w:hint="cs"/>
          <w:sz w:val="24"/>
          <w:szCs w:val="24"/>
          <w:rtl/>
          <w:lang w:val="en-US"/>
        </w:rPr>
        <w:t xml:space="preserve"> غير انه</w:t>
      </w:r>
      <w:r w:rsidRPr="00AC4C77">
        <w:rPr>
          <w:rFonts w:ascii="Simplified Arabic" w:hAnsi="Simplified Arabic" w:cs="Simplified Arabic" w:hint="cs"/>
          <w:sz w:val="24"/>
          <w:szCs w:val="24"/>
          <w:rtl/>
          <w:lang w:val="en-US"/>
        </w:rPr>
        <w:t>،</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عند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التعامل</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مع</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عدد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كبير</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جدًا</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السكان،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لم</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يعد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لحجم</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السكان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تأثير</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على</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حجم</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العينة</w:t>
      </w:r>
      <w:r w:rsidRPr="00AC4C77">
        <w:rPr>
          <w:rFonts w:ascii="Simplified Arabic" w:hAnsi="Simplified Arabic" w:cs="Simplified Arabic"/>
          <w:sz w:val="24"/>
          <w:szCs w:val="24"/>
          <w:rtl/>
          <w:lang w:val="en-US"/>
        </w:rPr>
        <w:t>.</w:t>
      </w:r>
      <w:r w:rsidRPr="00AC4C77">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مثال، </w:t>
      </w:r>
      <w:r w:rsidRPr="00AC4C77">
        <w:rPr>
          <w:rFonts w:ascii="Simplified Arabic" w:hAnsi="Simplified Arabic" w:cs="Simplified Arabic" w:hint="cs"/>
          <w:sz w:val="24"/>
          <w:szCs w:val="24"/>
          <w:rtl/>
          <w:lang w:val="en-US"/>
        </w:rPr>
        <w:t>الاستطلاعات</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السياسية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التي</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أجريت</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في</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الولايات</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المتحدة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سنة 2016</w:t>
      </w:r>
      <w:r>
        <w:rPr>
          <w:rFonts w:ascii="Simplified Arabic" w:hAnsi="Simplified Arabic" w:cs="Simplified Arabic" w:hint="cs"/>
          <w:sz w:val="24"/>
          <w:szCs w:val="24"/>
          <w:rtl/>
          <w:lang w:val="en-US"/>
        </w:rPr>
        <w:t xml:space="preserve"> </w:t>
      </w:r>
      <w:r w:rsidRPr="00AC4C77">
        <w:rPr>
          <w:rFonts w:ascii="Simplified Arabic" w:hAnsi="Simplified Arabic" w:cs="Simplified Arabic" w:hint="cs"/>
          <w:sz w:val="24"/>
          <w:szCs w:val="24"/>
          <w:rtl/>
          <w:lang w:val="en-US"/>
        </w:rPr>
        <w:t>على</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عينة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من</w:t>
      </w:r>
      <w:r w:rsidRPr="00AC4C77">
        <w:rPr>
          <w:rFonts w:ascii="Simplified Arabic" w:hAnsi="Simplified Arabic" w:cs="Simplified Arabic"/>
          <w:sz w:val="24"/>
          <w:szCs w:val="24"/>
          <w:rtl/>
          <w:lang w:val="en-US"/>
        </w:rPr>
        <w:t xml:space="preserve"> 1000 </w:t>
      </w:r>
      <w:r w:rsidRPr="00AC4C77">
        <w:rPr>
          <w:rFonts w:ascii="Simplified Arabic" w:hAnsi="Simplified Arabic" w:cs="Simplified Arabic" w:hint="cs"/>
          <w:sz w:val="24"/>
          <w:szCs w:val="24"/>
          <w:rtl/>
          <w:lang w:val="en-US"/>
        </w:rPr>
        <w:t>شخص</w:t>
      </w:r>
      <w:r>
        <w:rPr>
          <w:rFonts w:ascii="Simplified Arabic" w:hAnsi="Simplified Arabic" w:cs="Simplified Arabic" w:hint="cs"/>
          <w:sz w:val="24"/>
          <w:szCs w:val="24"/>
          <w:rtl/>
          <w:lang w:val="en-US"/>
        </w:rPr>
        <w:t xml:space="preserve"> اتسمت بالموثوقية،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 xml:space="preserve">رغم </w:t>
      </w:r>
      <w:r>
        <w:rPr>
          <w:rFonts w:ascii="Simplified Arabic" w:hAnsi="Simplified Arabic" w:cs="Simplified Arabic" w:hint="cs"/>
          <w:sz w:val="24"/>
          <w:szCs w:val="24"/>
          <w:rtl/>
          <w:lang w:val="en-US"/>
        </w:rPr>
        <w:t xml:space="preserve">ان </w:t>
      </w:r>
      <w:r w:rsidRPr="00AC4C77">
        <w:rPr>
          <w:rFonts w:ascii="Simplified Arabic" w:hAnsi="Simplified Arabic" w:cs="Simplified Arabic" w:hint="cs"/>
          <w:sz w:val="24"/>
          <w:szCs w:val="24"/>
          <w:rtl/>
          <w:lang w:val="en-US"/>
        </w:rPr>
        <w:t xml:space="preserve">عدد السكان </w:t>
      </w:r>
      <w:r>
        <w:rPr>
          <w:rFonts w:ascii="Simplified Arabic" w:hAnsi="Simplified Arabic" w:cs="Simplified Arabic" w:hint="cs"/>
          <w:sz w:val="24"/>
          <w:szCs w:val="24"/>
          <w:rtl/>
          <w:lang w:val="en-US"/>
        </w:rPr>
        <w:t>تجاوز</w:t>
      </w:r>
      <w:r w:rsidRPr="00AC4C77">
        <w:rPr>
          <w:rFonts w:ascii="Simplified Arabic" w:hAnsi="Simplified Arabic" w:cs="Simplified Arabic" w:hint="cs"/>
          <w:sz w:val="24"/>
          <w:szCs w:val="24"/>
          <w:rtl/>
          <w:lang w:val="en-US"/>
        </w:rPr>
        <w:t xml:space="preserve"> 323 مليون</w:t>
      </w:r>
      <w:r>
        <w:rPr>
          <w:rFonts w:ascii="Simplified Arabic" w:hAnsi="Simplified Arabic" w:cs="Simplified Arabic" w:hint="cs"/>
          <w:sz w:val="24"/>
          <w:szCs w:val="24"/>
          <w:rtl/>
          <w:lang w:val="en-US"/>
        </w:rPr>
        <w:t xml:space="preserve"> نسمة</w:t>
      </w:r>
      <w:r w:rsidRPr="00AC4C77">
        <w:rPr>
          <w:rFonts w:ascii="Simplified Arabic" w:hAnsi="Simplified Arabic" w:cs="Simplified Arabic"/>
          <w:sz w:val="24"/>
          <w:szCs w:val="24"/>
          <w:rtl/>
          <w:lang w:val="en-US"/>
        </w:rPr>
        <w:t>.</w:t>
      </w:r>
    </w:p>
    <w:p w:rsidR="00C121B0" w:rsidRPr="00AC4C77" w:rsidRDefault="00C121B0" w:rsidP="001D0548">
      <w:pPr>
        <w:pStyle w:val="Paragraphedeliste"/>
        <w:numPr>
          <w:ilvl w:val="0"/>
          <w:numId w:val="41"/>
        </w:numPr>
        <w:bidi/>
        <w:spacing w:after="0"/>
        <w:ind w:left="-1" w:firstLine="361"/>
        <w:jc w:val="both"/>
        <w:rPr>
          <w:rFonts w:ascii="Simplified Arabic" w:hAnsi="Simplified Arabic" w:cs="Simplified Arabic"/>
          <w:sz w:val="24"/>
          <w:szCs w:val="24"/>
          <w:lang w:val="en-US"/>
        </w:rPr>
      </w:pPr>
      <w:r w:rsidRPr="00AC4C77">
        <w:rPr>
          <w:rFonts w:ascii="Simplified Arabic" w:hAnsi="Simplified Arabic" w:cs="Simplified Arabic" w:hint="cs"/>
          <w:sz w:val="24"/>
          <w:szCs w:val="24"/>
          <w:u w:val="single"/>
          <w:rtl/>
          <w:lang w:val="en-US"/>
        </w:rPr>
        <w:t>تنوع</w:t>
      </w:r>
      <w:r w:rsidRPr="00AC4C77">
        <w:rPr>
          <w:rFonts w:ascii="Simplified Arabic" w:hAnsi="Simplified Arabic" w:cs="Simplified Arabic"/>
          <w:sz w:val="24"/>
          <w:szCs w:val="24"/>
          <w:u w:val="single"/>
          <w:rtl/>
          <w:lang w:val="en-US"/>
        </w:rPr>
        <w:t xml:space="preserve"> </w:t>
      </w:r>
      <w:r w:rsidRPr="00AC4C77">
        <w:rPr>
          <w:rFonts w:ascii="Simplified Arabic" w:hAnsi="Simplified Arabic" w:cs="Simplified Arabic" w:hint="cs"/>
          <w:sz w:val="24"/>
          <w:szCs w:val="24"/>
          <w:u w:val="single"/>
          <w:rtl/>
          <w:lang w:val="en-US"/>
        </w:rPr>
        <w:t>خصائص</w:t>
      </w:r>
      <w:r w:rsidRPr="00AC4C77">
        <w:rPr>
          <w:rFonts w:ascii="Simplified Arabic" w:hAnsi="Simplified Arabic" w:cs="Simplified Arabic"/>
          <w:sz w:val="24"/>
          <w:szCs w:val="24"/>
          <w:u w:val="single"/>
          <w:rtl/>
          <w:lang w:val="en-US"/>
        </w:rPr>
        <w:t xml:space="preserve"> </w:t>
      </w:r>
      <w:r w:rsidRPr="00AC4C77">
        <w:rPr>
          <w:rFonts w:ascii="Simplified Arabic" w:hAnsi="Simplified Arabic" w:cs="Simplified Arabic" w:hint="cs"/>
          <w:sz w:val="24"/>
          <w:szCs w:val="24"/>
          <w:u w:val="single"/>
          <w:rtl/>
          <w:lang w:val="en-US"/>
        </w:rPr>
        <w:t>السكان</w:t>
      </w:r>
      <w:r w:rsidRPr="00AC4C77">
        <w:rPr>
          <w:rFonts w:ascii="Simplified Arabic" w:hAnsi="Simplified Arabic" w:cs="Simplified Arabic"/>
          <w:sz w:val="24"/>
          <w:szCs w:val="24"/>
          <w:u w:val="single"/>
          <w:rtl/>
          <w:lang w:val="en-US"/>
        </w:rPr>
        <w:t xml:space="preserve"> </w:t>
      </w:r>
      <w:r w:rsidRPr="00AC4C77">
        <w:rPr>
          <w:rFonts w:ascii="Simplified Arabic" w:hAnsi="Simplified Arabic" w:cs="Simplified Arabic" w:hint="cs"/>
          <w:sz w:val="24"/>
          <w:szCs w:val="24"/>
          <w:u w:val="single"/>
          <w:rtl/>
          <w:lang w:val="en-US"/>
        </w:rPr>
        <w:t>المحليين</w:t>
      </w:r>
      <w:r>
        <w:rPr>
          <w:rFonts w:ascii="Simplified Arabic" w:hAnsi="Simplified Arabic" w:cs="Simplified Arabic" w:hint="cs"/>
          <w:sz w:val="24"/>
          <w:szCs w:val="24"/>
          <w:rtl/>
          <w:lang w:val="en-US"/>
        </w:rPr>
        <w:t>:</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كلما</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زاد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تنوع</w:t>
      </w:r>
      <w:r w:rsidRPr="00AC4C77">
        <w:rPr>
          <w:rFonts w:ascii="Simplified Arabic" w:hAnsi="Simplified Arabic" w:cs="Simplified Arabic"/>
          <w:sz w:val="24"/>
          <w:szCs w:val="24"/>
          <w:rtl/>
          <w:lang w:val="en-US"/>
        </w:rPr>
        <w:t xml:space="preserve"> </w:t>
      </w:r>
      <w:r w:rsidRPr="00EC2EEE">
        <w:rPr>
          <w:rFonts w:ascii="Simplified Arabic" w:hAnsi="Simplified Arabic" w:cs="Simplified Arabic" w:hint="cs"/>
          <w:sz w:val="24"/>
          <w:szCs w:val="24"/>
          <w:rtl/>
          <w:lang w:val="en-US"/>
        </w:rPr>
        <w:t>المجتمع</w:t>
      </w:r>
      <w:r w:rsidRPr="00EC2EEE">
        <w:rPr>
          <w:rFonts w:ascii="Simplified Arabic" w:hAnsi="Simplified Arabic" w:cs="Simplified Arabic"/>
          <w:sz w:val="24"/>
          <w:szCs w:val="24"/>
          <w:rtl/>
          <w:lang w:val="en-US"/>
        </w:rPr>
        <w:t xml:space="preserve"> </w:t>
      </w:r>
      <w:r w:rsidRPr="00EC2EEE">
        <w:rPr>
          <w:rFonts w:ascii="Simplified Arabic" w:hAnsi="Simplified Arabic" w:cs="Simplified Arabic" w:hint="cs"/>
          <w:sz w:val="24"/>
          <w:szCs w:val="24"/>
          <w:rtl/>
          <w:lang w:val="en-US"/>
        </w:rPr>
        <w:t>الأصلي</w:t>
      </w:r>
      <w:r>
        <w:rPr>
          <w:rFonts w:ascii="Simplified Arabic" w:hAnsi="Simplified Arabic" w:cs="Simplified Arabic" w:hint="cs"/>
          <w:sz w:val="24"/>
          <w:szCs w:val="24"/>
          <w:rtl/>
          <w:lang w:val="en-US"/>
        </w:rPr>
        <w:t xml:space="preserve"> بالاستطلاع</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ولديهم</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خصائص</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متنوعة،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زاد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عدد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الأشخاص</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الذين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يتعين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إجراء</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مقابلات</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معهم</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عكس</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ذلك،</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كلما</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زاد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تجانس</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هؤلاء</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السكان،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قل</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عدد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الأشخاص</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الذين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يحتاجون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إلى</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إجراء</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مقابلات</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معهم</w:t>
      </w:r>
      <w:r w:rsidRPr="00AC4C7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مثال</w:t>
      </w:r>
      <w:r w:rsidRPr="00AC4C77">
        <w:rPr>
          <w:rFonts w:ascii="Simplified Arabic" w:hAnsi="Simplified Arabic" w:cs="Simplified Arabic" w:hint="cs"/>
          <w:sz w:val="24"/>
          <w:szCs w:val="24"/>
          <w:rtl/>
          <w:lang w:val="en-US"/>
        </w:rPr>
        <w:t>،</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جميع</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الأشخاص</w:t>
      </w:r>
      <w:r w:rsidRPr="00AC4C7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المسنين </w:t>
      </w:r>
      <w:r w:rsidRPr="00AC4C77">
        <w:rPr>
          <w:rFonts w:ascii="Simplified Arabic" w:hAnsi="Simplified Arabic" w:cs="Simplified Arabic" w:hint="cs"/>
          <w:sz w:val="24"/>
          <w:szCs w:val="24"/>
          <w:rtl/>
          <w:lang w:val="en-US"/>
        </w:rPr>
        <w:t>في</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مجموعة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سكانية</w:t>
      </w:r>
      <w:r w:rsidRPr="00AC4C7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ما </w:t>
      </w:r>
      <w:r w:rsidRPr="00AC4C77">
        <w:rPr>
          <w:rFonts w:ascii="Simplified Arabic" w:hAnsi="Simplified Arabic" w:cs="Simplified Arabic" w:hint="cs"/>
          <w:sz w:val="24"/>
          <w:szCs w:val="24"/>
          <w:rtl/>
          <w:lang w:val="en-US"/>
        </w:rPr>
        <w:t>يتقاضون</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نفس</w:t>
      </w:r>
      <w:r w:rsidRPr="00AC4C7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المعاش</w:t>
      </w:r>
      <w:r w:rsidRPr="00AC4C77">
        <w:rPr>
          <w:rFonts w:ascii="Simplified Arabic" w:hAnsi="Simplified Arabic" w:cs="Simplified Arabic" w:hint="cs"/>
          <w:sz w:val="24"/>
          <w:szCs w:val="24"/>
          <w:rtl/>
          <w:lang w:val="en-US"/>
        </w:rPr>
        <w:t>،</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يكفي</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إجراء</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مقابلة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مع</w:t>
      </w:r>
      <w:r w:rsidRPr="00AC4C7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متقاعد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واحد</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لمعرفة</w:t>
      </w:r>
      <w:r w:rsidRPr="00AC4C77">
        <w:rPr>
          <w:rFonts w:ascii="Simplified Arabic" w:hAnsi="Simplified Arabic" w:cs="Simplified Arabic"/>
          <w:sz w:val="24"/>
          <w:szCs w:val="24"/>
          <w:rtl/>
          <w:lang w:val="en-US"/>
        </w:rPr>
        <w:t xml:space="preserve"> </w:t>
      </w:r>
      <w:r w:rsidRPr="00AC4C77">
        <w:rPr>
          <w:rFonts w:ascii="Simplified Arabic" w:hAnsi="Simplified Arabic" w:cs="Simplified Arabic" w:hint="cs"/>
          <w:sz w:val="24"/>
          <w:szCs w:val="24"/>
          <w:rtl/>
          <w:lang w:val="en-US"/>
        </w:rPr>
        <w:t>متوسط</w:t>
      </w:r>
      <w:r w:rsidRPr="00AC4C77">
        <w:rPr>
          <w:rFonts w:ascii="Simplified Arabic" w:hAnsi="Simplified Arabic" w:cs="Simplified Arabic"/>
          <w:sz w:val="24"/>
          <w:szCs w:val="24"/>
          <w:rtl/>
          <w:lang w:val="en-US"/>
        </w:rPr>
        <w:t xml:space="preserve"> </w:t>
      </w:r>
      <w:r w:rsidRPr="00AC4C77">
        <w:rPr>
          <w:rFonts w:ascii="Times New Roman" w:hAnsi="Times New Roman" w:cs="Times New Roman" w:hint="cs"/>
          <w:sz w:val="24"/>
          <w:szCs w:val="24"/>
          <w:rtl/>
          <w:lang w:val="en-US"/>
        </w:rPr>
        <w:t>​​</w:t>
      </w:r>
      <w:r>
        <w:rPr>
          <w:rFonts w:ascii="Simplified Arabic" w:hAnsi="Simplified Arabic" w:cs="Simplified Arabic" w:hint="cs"/>
          <w:sz w:val="24"/>
          <w:szCs w:val="24"/>
          <w:rtl/>
          <w:lang w:val="en-US"/>
        </w:rPr>
        <w:t>معاش المتقاعدين</w:t>
      </w:r>
      <w:r w:rsidRPr="00AC4C77">
        <w:rPr>
          <w:rFonts w:ascii="Simplified Arabic" w:hAnsi="Simplified Arabic" w:cs="Simplified Arabic" w:hint="cs"/>
          <w:sz w:val="24"/>
          <w:szCs w:val="24"/>
          <w:rtl/>
          <w:lang w:val="en-US"/>
        </w:rPr>
        <w:t>.</w:t>
      </w:r>
    </w:p>
    <w:p w:rsidR="00C121B0" w:rsidRDefault="00C121B0" w:rsidP="00C121B0">
      <w:pPr>
        <w:bidi/>
        <w:spacing w:after="0"/>
        <w:ind w:firstLine="282"/>
        <w:jc w:val="both"/>
        <w:rPr>
          <w:rFonts w:ascii="Simplified Arabic" w:hAnsi="Simplified Arabic" w:cs="Simplified Arabic"/>
          <w:sz w:val="24"/>
          <w:szCs w:val="24"/>
          <w:rtl/>
          <w:lang w:val="en-US"/>
        </w:rPr>
      </w:pPr>
      <w:r w:rsidRPr="00FC359A">
        <w:rPr>
          <w:rFonts w:ascii="Simplified Arabic" w:hAnsi="Simplified Arabic" w:cs="Simplified Arabic"/>
          <w:sz w:val="24"/>
          <w:szCs w:val="24"/>
          <w:rtl/>
          <w:lang w:val="en-US"/>
        </w:rPr>
        <w:t>تتمثل طريقة أخذ العينات باستخدام عينة عشوائية</w:t>
      </w:r>
      <w:r>
        <w:rPr>
          <w:rFonts w:ascii="Simplified Arabic" w:hAnsi="Simplified Arabic" w:cs="Simplified Arabic" w:hint="cs"/>
          <w:sz w:val="24"/>
          <w:szCs w:val="24"/>
          <w:rtl/>
          <w:lang w:val="en-US"/>
        </w:rPr>
        <w:t>،</w:t>
      </w:r>
      <w:r w:rsidRPr="00FC359A">
        <w:rPr>
          <w:rFonts w:ascii="Simplified Arabic" w:hAnsi="Simplified Arabic" w:cs="Simplified Arabic"/>
          <w:sz w:val="24"/>
          <w:szCs w:val="24"/>
          <w:rtl/>
          <w:lang w:val="en-US"/>
        </w:rPr>
        <w:t xml:space="preserve"> يتم </w:t>
      </w:r>
      <w:r>
        <w:rPr>
          <w:rFonts w:ascii="Simplified Arabic" w:hAnsi="Simplified Arabic" w:cs="Simplified Arabic" w:hint="cs"/>
          <w:sz w:val="24"/>
          <w:szCs w:val="24"/>
          <w:rtl/>
          <w:lang w:val="en-US"/>
        </w:rPr>
        <w:t>من خلالها</w:t>
      </w:r>
      <w:r w:rsidRPr="00FC359A">
        <w:rPr>
          <w:rFonts w:ascii="Simplified Arabic" w:hAnsi="Simplified Arabic" w:cs="Simplified Arabic"/>
          <w:sz w:val="24"/>
          <w:szCs w:val="24"/>
          <w:rtl/>
          <w:lang w:val="en-US"/>
        </w:rPr>
        <w:t xml:space="preserve"> اختيار المشاركين بشكل عشوائي تمامًا من السكان </w:t>
      </w:r>
      <w:r w:rsidRPr="00FC359A">
        <w:rPr>
          <w:rFonts w:asciiTheme="majorBidi" w:hAnsiTheme="majorBidi" w:cstheme="majorBidi"/>
          <w:sz w:val="24"/>
          <w:szCs w:val="24"/>
          <w:rtl/>
          <w:lang w:val="en-US"/>
        </w:rPr>
        <w:t>(</w:t>
      </w:r>
      <w:hyperlink r:id="rId251" w:history="1">
        <w:r w:rsidRPr="00EC2EEE">
          <w:rPr>
            <w:rStyle w:val="Lienhypertexte"/>
            <w:rFonts w:asciiTheme="majorBidi" w:hAnsiTheme="majorBidi" w:cstheme="majorBidi"/>
            <w:sz w:val="24"/>
            <w:szCs w:val="24"/>
            <w:lang w:val="en-US"/>
          </w:rPr>
          <w:t>https://fr.surveymonkey.com</w:t>
        </w:r>
      </w:hyperlink>
      <w:r w:rsidRPr="00FC359A">
        <w:rPr>
          <w:rFonts w:asciiTheme="majorBidi" w:hAnsiTheme="majorBidi" w:cstheme="majorBidi"/>
          <w:sz w:val="24"/>
          <w:szCs w:val="24"/>
          <w:rtl/>
          <w:lang w:val="en-US"/>
        </w:rPr>
        <w:t>)</w:t>
      </w:r>
      <w:r w:rsidRPr="00FC359A">
        <w:rPr>
          <w:rFonts w:ascii="Simplified Arabic" w:hAnsi="Simplified Arabic" w:cs="Simplified Arabic"/>
          <w:sz w:val="24"/>
          <w:szCs w:val="24"/>
          <w:rtl/>
          <w:lang w:val="en-US"/>
        </w:rPr>
        <w:t>.</w:t>
      </w:r>
    </w:p>
    <w:p w:rsidR="00C121B0" w:rsidRPr="0052383B" w:rsidRDefault="00C121B0" w:rsidP="00C121B0">
      <w:pPr>
        <w:bidi/>
        <w:spacing w:after="0"/>
        <w:ind w:firstLine="282"/>
        <w:jc w:val="both"/>
        <w:rPr>
          <w:rFonts w:ascii="Simplified Arabic" w:hAnsi="Simplified Arabic" w:cs="Simplified Arabic"/>
          <w:sz w:val="24"/>
          <w:szCs w:val="24"/>
          <w:lang w:val="en-US"/>
        </w:rPr>
      </w:pPr>
      <w:r w:rsidRPr="0052383B">
        <w:rPr>
          <w:rFonts w:ascii="Simplified Arabic" w:hAnsi="Simplified Arabic" w:cs="Simplified Arabic" w:hint="cs"/>
          <w:sz w:val="24"/>
          <w:szCs w:val="24"/>
          <w:rtl/>
          <w:lang w:val="en-US"/>
        </w:rPr>
        <w:t>لفهم</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حجم</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العين</w:t>
      </w:r>
      <w:r>
        <w:rPr>
          <w:rFonts w:ascii="Simplified Arabic" w:hAnsi="Simplified Arabic" w:cs="Simplified Arabic" w:hint="cs"/>
          <w:sz w:val="24"/>
          <w:szCs w:val="24"/>
          <w:rtl/>
          <w:lang w:val="en-US"/>
        </w:rPr>
        <w:t>ة</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وحسابها</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بالكامل،</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نحتاج</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إلى</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بعض</w:t>
      </w:r>
      <w:r w:rsidRPr="0052383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العناصر،</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مثل</w:t>
      </w:r>
      <w:r>
        <w:rPr>
          <w:rFonts w:ascii="Simplified Arabic" w:hAnsi="Simplified Arabic" w:cs="Simplified Arabic" w:hint="cs"/>
          <w:sz w:val="24"/>
          <w:szCs w:val="24"/>
          <w:rtl/>
          <w:lang w:val="en-US"/>
        </w:rPr>
        <w:t>،</w:t>
      </w:r>
      <w:r w:rsidRPr="0052383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52383B">
        <w:rPr>
          <w:rFonts w:ascii="Simplified Arabic" w:hAnsi="Simplified Arabic" w:cs="Simplified Arabic" w:hint="cs"/>
          <w:sz w:val="24"/>
          <w:szCs w:val="24"/>
          <w:rtl/>
          <w:lang w:val="en-US"/>
        </w:rPr>
        <w:t>نسب</w:t>
      </w:r>
      <w:r>
        <w:rPr>
          <w:rFonts w:ascii="Simplified Arabic" w:hAnsi="Simplified Arabic" w:cs="Simplified Arabic" w:hint="cs"/>
          <w:sz w:val="24"/>
          <w:szCs w:val="24"/>
          <w:rtl/>
          <w:lang w:val="en-US"/>
        </w:rPr>
        <w:t>ي</w:t>
      </w:r>
      <w:r w:rsidRPr="0052383B">
        <w:rPr>
          <w:rFonts w:ascii="Simplified Arabic" w:hAnsi="Simplified Arabic" w:cs="Simplified Arabic" w:hint="cs"/>
          <w:sz w:val="24"/>
          <w:szCs w:val="24"/>
          <w:rtl/>
          <w:lang w:val="en-US"/>
        </w:rPr>
        <w:t>ة</w:t>
      </w:r>
      <w:r>
        <w:rPr>
          <w:rFonts w:ascii="Simplified Arabic" w:hAnsi="Simplified Arabic" w:cs="Simplified Arabic" w:hint="cs"/>
          <w:sz w:val="24"/>
          <w:szCs w:val="24"/>
          <w:rtl/>
          <w:lang w:val="en-US"/>
        </w:rPr>
        <w:t>،</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فاصل</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الثقة</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وهامش</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الخطأ</w:t>
      </w:r>
      <w:r w:rsidRPr="0052383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فقد </w:t>
      </w:r>
      <w:r w:rsidRPr="0052383B">
        <w:rPr>
          <w:rFonts w:ascii="Simplified Arabic" w:hAnsi="Simplified Arabic" w:cs="Simplified Arabic" w:hint="cs"/>
          <w:sz w:val="24"/>
          <w:szCs w:val="24"/>
          <w:rtl/>
          <w:lang w:val="en-US"/>
        </w:rPr>
        <w:t>أوضح موقع</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المسح</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والإحصاء</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المهني</w:t>
      </w:r>
      <w:r>
        <w:rPr>
          <w:rFonts w:ascii="Simplified Arabic" w:hAnsi="Simplified Arabic" w:cs="Simplified Arabic" w:hint="cs"/>
          <w:sz w:val="24"/>
          <w:szCs w:val="24"/>
          <w:rtl/>
          <w:lang w:val="en-US"/>
        </w:rPr>
        <w:t xml:space="preserve"> </w:t>
      </w:r>
      <w:r w:rsidRPr="00FC359A">
        <w:rPr>
          <w:rFonts w:asciiTheme="majorBidi" w:hAnsiTheme="majorBidi" w:cstheme="majorBidi"/>
          <w:sz w:val="24"/>
          <w:szCs w:val="24"/>
          <w:rtl/>
          <w:lang w:val="en-US"/>
        </w:rPr>
        <w:t>(</w:t>
      </w:r>
      <w:hyperlink r:id="rId252" w:history="1">
        <w:r w:rsidRPr="00EC2EEE">
          <w:rPr>
            <w:rStyle w:val="Lienhypertexte"/>
            <w:rFonts w:asciiTheme="majorBidi" w:hAnsiTheme="majorBidi" w:cstheme="majorBidi"/>
            <w:sz w:val="24"/>
            <w:szCs w:val="24"/>
            <w:lang w:val="en-US"/>
          </w:rPr>
          <w:t>https://fr.surveymonkey.com</w:t>
        </w:r>
      </w:hyperlink>
      <w:r w:rsidRPr="00FC359A">
        <w:rPr>
          <w:rFonts w:asciiTheme="majorBidi" w:hAnsiTheme="majorBidi" w:cstheme="majorBidi"/>
          <w:sz w:val="24"/>
          <w:szCs w:val="24"/>
          <w:rtl/>
          <w:lang w:val="en-US"/>
        </w:rPr>
        <w:t>)</w:t>
      </w:r>
      <w:r w:rsidRPr="0052383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العنصرين الاخيرين</w:t>
      </w:r>
      <w:r w:rsidRPr="0052383B">
        <w:rPr>
          <w:rFonts w:ascii="Simplified Arabic" w:hAnsi="Simplified Arabic" w:cs="Simplified Arabic" w:hint="cs"/>
          <w:sz w:val="24"/>
          <w:szCs w:val="24"/>
          <w:rtl/>
          <w:lang w:val="en-US"/>
        </w:rPr>
        <w:t xml:space="preserve"> على</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النحو</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التالي</w:t>
      </w:r>
      <w:r w:rsidRPr="0052383B">
        <w:rPr>
          <w:rFonts w:ascii="Simplified Arabic" w:hAnsi="Simplified Arabic" w:cs="Simplified Arabic"/>
          <w:sz w:val="24"/>
          <w:szCs w:val="24"/>
          <w:rtl/>
          <w:lang w:val="en-US"/>
        </w:rPr>
        <w:t>:</w:t>
      </w:r>
    </w:p>
    <w:p w:rsidR="00C121B0" w:rsidRPr="00135D74" w:rsidRDefault="00C121B0" w:rsidP="001D0548">
      <w:pPr>
        <w:pStyle w:val="Paragraphedeliste"/>
        <w:numPr>
          <w:ilvl w:val="0"/>
          <w:numId w:val="42"/>
        </w:numPr>
        <w:bidi/>
        <w:spacing w:after="0"/>
        <w:ind w:left="-1" w:firstLine="283"/>
        <w:jc w:val="both"/>
        <w:rPr>
          <w:rFonts w:ascii="Simplified Arabic" w:hAnsi="Simplified Arabic" w:cs="Simplified Arabic"/>
          <w:sz w:val="24"/>
          <w:szCs w:val="24"/>
          <w:lang w:val="en-US"/>
        </w:rPr>
      </w:pPr>
      <w:r w:rsidRPr="001E56FC">
        <w:rPr>
          <w:rFonts w:ascii="Simplified Arabic" w:hAnsi="Simplified Arabic" w:cs="Simplified Arabic" w:hint="cs"/>
          <w:sz w:val="24"/>
          <w:szCs w:val="24"/>
          <w:u w:val="single"/>
          <w:rtl/>
          <w:lang w:val="en-US"/>
        </w:rPr>
        <w:lastRenderedPageBreak/>
        <w:t>هامش</w:t>
      </w:r>
      <w:r w:rsidRPr="001E56FC">
        <w:rPr>
          <w:rFonts w:ascii="Simplified Arabic" w:hAnsi="Simplified Arabic" w:cs="Simplified Arabic"/>
          <w:sz w:val="24"/>
          <w:szCs w:val="24"/>
          <w:u w:val="single"/>
          <w:rtl/>
          <w:lang w:val="en-US"/>
        </w:rPr>
        <w:t xml:space="preserve"> </w:t>
      </w:r>
      <w:r w:rsidRPr="001E56FC">
        <w:rPr>
          <w:rFonts w:ascii="Simplified Arabic" w:hAnsi="Simplified Arabic" w:cs="Simplified Arabic" w:hint="cs"/>
          <w:sz w:val="24"/>
          <w:szCs w:val="24"/>
          <w:u w:val="single"/>
          <w:rtl/>
          <w:lang w:val="en-US"/>
        </w:rPr>
        <w:t>الخطأ</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النسبة</w:t>
      </w:r>
      <w:r w:rsidRPr="00135D7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الدالة على</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صحة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الإجابة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التي</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أعادتها</w:t>
      </w:r>
      <w:r w:rsidRPr="00135D7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عينة البحث</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مقارنةً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بـ</w:t>
      </w:r>
      <w:r>
        <w:rPr>
          <w:rFonts w:ascii="Simplified Arabic" w:hAnsi="Simplified Arabic" w:cs="Simplified Arabic" w:hint="cs"/>
          <w:sz w:val="24"/>
          <w:szCs w:val="24"/>
          <w:rtl/>
          <w:lang w:val="en-US"/>
        </w:rPr>
        <w:t>ا</w:t>
      </w:r>
      <w:r w:rsidRPr="00135D74">
        <w:rPr>
          <w:rFonts w:ascii="Simplified Arabic" w:hAnsi="Simplified Arabic" w:cs="Simplified Arabic" w:hint="cs"/>
          <w:sz w:val="24"/>
          <w:szCs w:val="24"/>
          <w:rtl/>
          <w:lang w:val="en-US"/>
        </w:rPr>
        <w:t>لقيمة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الحقيقية</w:t>
      </w:r>
      <w:r w:rsidRPr="00135D7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w:t>
      </w:r>
      <w:r w:rsidRPr="00135D74">
        <w:rPr>
          <w:rFonts w:ascii="Simplified Arabic" w:hAnsi="Simplified Arabic" w:cs="Simplified Arabic" w:hint="cs"/>
          <w:sz w:val="24"/>
          <w:szCs w:val="24"/>
          <w:rtl/>
          <w:lang w:val="en-US"/>
        </w:rPr>
        <w:t>مجتمع</w:t>
      </w:r>
      <w:r>
        <w:rPr>
          <w:rFonts w:ascii="Simplified Arabic" w:hAnsi="Simplified Arabic" w:cs="Simplified Arabic" w:hint="cs"/>
          <w:sz w:val="24"/>
          <w:szCs w:val="24"/>
          <w:rtl/>
          <w:lang w:val="en-US"/>
        </w:rPr>
        <w:t xml:space="preserve"> البحث</w:t>
      </w:r>
      <w:r w:rsidRPr="00135D7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بمعنى</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كلما</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كان</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هامش</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الخطأ</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أصغر،</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كلما</w:t>
      </w:r>
      <w:r w:rsidRPr="00135D7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كان الاقتراب الى </w:t>
      </w:r>
      <w:r w:rsidRPr="00135D74">
        <w:rPr>
          <w:rFonts w:ascii="Simplified Arabic" w:hAnsi="Simplified Arabic" w:cs="Simplified Arabic" w:hint="cs"/>
          <w:sz w:val="24"/>
          <w:szCs w:val="24"/>
          <w:rtl/>
          <w:lang w:val="en-US"/>
        </w:rPr>
        <w:t>الإجابة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الدقيقة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عند</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مستوى</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ثقة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معين</w:t>
      </w:r>
      <w:r w:rsidRPr="00135D74">
        <w:rPr>
          <w:rFonts w:ascii="Simplified Arabic" w:hAnsi="Simplified Arabic" w:cs="Simplified Arabic"/>
          <w:sz w:val="24"/>
          <w:szCs w:val="24"/>
          <w:rtl/>
          <w:lang w:val="en-US"/>
        </w:rPr>
        <w:t>.</w:t>
      </w:r>
    </w:p>
    <w:p w:rsidR="00C121B0" w:rsidRPr="00135D74" w:rsidRDefault="00C121B0" w:rsidP="001D0548">
      <w:pPr>
        <w:pStyle w:val="Paragraphedeliste"/>
        <w:numPr>
          <w:ilvl w:val="0"/>
          <w:numId w:val="42"/>
        </w:numPr>
        <w:bidi/>
        <w:spacing w:after="0"/>
        <w:ind w:left="-1" w:firstLine="283"/>
        <w:jc w:val="both"/>
        <w:rPr>
          <w:rFonts w:ascii="Simplified Arabic" w:hAnsi="Simplified Arabic" w:cs="Simplified Arabic"/>
          <w:sz w:val="24"/>
          <w:szCs w:val="24"/>
          <w:rtl/>
          <w:lang w:val="en-US"/>
        </w:rPr>
      </w:pPr>
      <w:r w:rsidRPr="001E56FC">
        <w:rPr>
          <w:rFonts w:ascii="Simplified Arabic" w:hAnsi="Simplified Arabic" w:cs="Simplified Arabic" w:hint="cs"/>
          <w:sz w:val="24"/>
          <w:szCs w:val="24"/>
          <w:u w:val="single"/>
          <w:rtl/>
          <w:lang w:val="en-US"/>
        </w:rPr>
        <w:t>مستوى</w:t>
      </w:r>
      <w:r w:rsidRPr="001E56FC">
        <w:rPr>
          <w:rFonts w:ascii="Simplified Arabic" w:hAnsi="Simplified Arabic" w:cs="Simplified Arabic"/>
          <w:sz w:val="24"/>
          <w:szCs w:val="24"/>
          <w:u w:val="single"/>
          <w:rtl/>
          <w:lang w:val="en-US"/>
        </w:rPr>
        <w:t xml:space="preserve"> </w:t>
      </w:r>
      <w:r w:rsidRPr="001E56FC">
        <w:rPr>
          <w:rFonts w:ascii="Simplified Arabic" w:hAnsi="Simplified Arabic" w:cs="Simplified Arabic" w:hint="cs"/>
          <w:sz w:val="24"/>
          <w:szCs w:val="24"/>
          <w:u w:val="single"/>
          <w:rtl/>
          <w:lang w:val="en-US"/>
        </w:rPr>
        <w:t>الثقة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يقيس</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اليقين</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بأن</w:t>
      </w:r>
      <w:r w:rsidRPr="00135D74">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العينة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تعكس</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بأمانة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السكان</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ضمن</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هامش</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الخطأ</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الخاص</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بها</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المعايير</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الشائعة</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التي</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يستخدمها</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الباحثون</w:t>
      </w:r>
      <w:r w:rsidRPr="00135D74">
        <w:rPr>
          <w:rFonts w:ascii="Simplified Arabic" w:hAnsi="Simplified Arabic" w:cs="Simplified Arabic"/>
          <w:sz w:val="24"/>
          <w:szCs w:val="24"/>
          <w:rtl/>
          <w:lang w:val="en-US"/>
        </w:rPr>
        <w:t xml:space="preserve"> </w:t>
      </w:r>
      <w:r w:rsidRPr="00135D74">
        <w:rPr>
          <w:rFonts w:ascii="Simplified Arabic" w:hAnsi="Simplified Arabic" w:cs="Simplified Arabic" w:hint="cs"/>
          <w:sz w:val="24"/>
          <w:szCs w:val="24"/>
          <w:rtl/>
          <w:lang w:val="en-US"/>
        </w:rPr>
        <w:t>هي</w:t>
      </w:r>
      <w:r>
        <w:rPr>
          <w:rFonts w:ascii="Simplified Arabic" w:hAnsi="Simplified Arabic" w:cs="Simplified Arabic"/>
          <w:sz w:val="24"/>
          <w:szCs w:val="24"/>
          <w:rtl/>
          <w:lang w:val="en-US"/>
        </w:rPr>
        <w:t xml:space="preserve"> 90٪</w:t>
      </w:r>
      <w:r>
        <w:rPr>
          <w:rFonts w:ascii="Simplified Arabic" w:hAnsi="Simplified Arabic" w:cs="Simplified Arabic" w:hint="cs"/>
          <w:sz w:val="24"/>
          <w:szCs w:val="24"/>
          <w:rtl/>
          <w:lang w:val="en-US"/>
        </w:rPr>
        <w:t>،</w:t>
      </w:r>
      <w:r w:rsidRPr="00135D74">
        <w:rPr>
          <w:rFonts w:ascii="Simplified Arabic" w:hAnsi="Simplified Arabic" w:cs="Simplified Arabic"/>
          <w:sz w:val="24"/>
          <w:szCs w:val="24"/>
          <w:rtl/>
          <w:lang w:val="en-US"/>
        </w:rPr>
        <w:t xml:space="preserve"> 95٪ </w:t>
      </w:r>
      <w:r w:rsidRPr="00135D74">
        <w:rPr>
          <w:rFonts w:ascii="Simplified Arabic" w:hAnsi="Simplified Arabic" w:cs="Simplified Arabic" w:hint="cs"/>
          <w:sz w:val="24"/>
          <w:szCs w:val="24"/>
          <w:rtl/>
          <w:lang w:val="en-US"/>
        </w:rPr>
        <w:t>و</w:t>
      </w:r>
      <w:r w:rsidRPr="00135D74">
        <w:rPr>
          <w:rFonts w:ascii="Simplified Arabic" w:hAnsi="Simplified Arabic" w:cs="Simplified Arabic"/>
          <w:sz w:val="24"/>
          <w:szCs w:val="24"/>
          <w:rtl/>
          <w:lang w:val="en-US"/>
        </w:rPr>
        <w:t xml:space="preserve"> 99٪.</w:t>
      </w:r>
    </w:p>
    <w:p w:rsidR="00C121B0" w:rsidRPr="00FC359A" w:rsidRDefault="00C121B0" w:rsidP="00C121B0">
      <w:pPr>
        <w:bidi/>
        <w:spacing w:after="0"/>
        <w:ind w:firstLine="282"/>
        <w:jc w:val="both"/>
        <w:rPr>
          <w:rFonts w:ascii="Simplified Arabic" w:hAnsi="Simplified Arabic" w:cs="Simplified Arabic"/>
          <w:sz w:val="24"/>
          <w:szCs w:val="24"/>
          <w:rtl/>
          <w:lang w:val="en-US"/>
        </w:rPr>
      </w:pPr>
      <w:r w:rsidRPr="00FC359A">
        <w:rPr>
          <w:rFonts w:ascii="Simplified Arabic" w:hAnsi="Simplified Arabic" w:cs="Simplified Arabic"/>
          <w:sz w:val="24"/>
          <w:szCs w:val="24"/>
          <w:rtl/>
          <w:lang w:val="en-US"/>
        </w:rPr>
        <w:t xml:space="preserve">يتم تحديد حجم العينة من خلال </w:t>
      </w:r>
      <w:r>
        <w:rPr>
          <w:rFonts w:ascii="Simplified Arabic" w:hAnsi="Simplified Arabic" w:cs="Simplified Arabic" w:hint="cs"/>
          <w:sz w:val="24"/>
          <w:szCs w:val="24"/>
          <w:rtl/>
          <w:lang w:val="en-US"/>
        </w:rPr>
        <w:t>العنصرين السابقين و</w:t>
      </w:r>
      <w:r w:rsidRPr="00FC359A">
        <w:rPr>
          <w:rFonts w:ascii="Simplified Arabic" w:hAnsi="Simplified Arabic" w:cs="Simplified Arabic"/>
          <w:sz w:val="24"/>
          <w:szCs w:val="24"/>
          <w:rtl/>
          <w:lang w:val="en-US"/>
        </w:rPr>
        <w:t>معادلة ستيفن ثامبسون التالية:</w:t>
      </w:r>
    </w:p>
    <w:p w:rsidR="00C121B0" w:rsidRPr="00C87697" w:rsidRDefault="00C121B0" w:rsidP="00C121B0">
      <w:pPr>
        <w:autoSpaceDE w:val="0"/>
        <w:autoSpaceDN w:val="0"/>
        <w:adjustRightInd w:val="0"/>
        <w:spacing w:before="240" w:after="0" w:line="360" w:lineRule="auto"/>
        <w:rPr>
          <w:rFonts w:ascii="Simplified Arabic" w:hAnsi="Simplified Arabic" w:cs="Simplified Arabic"/>
          <w:b/>
          <w:bCs/>
          <w:sz w:val="24"/>
          <w:szCs w:val="24"/>
          <w:rtl/>
        </w:rPr>
      </w:pPr>
      <m:oMathPara>
        <m:oMath>
          <m:r>
            <m:rPr>
              <m:sty m:val="bi"/>
            </m:rPr>
            <w:rPr>
              <w:rFonts w:ascii="Cambria Math" w:hAnsi="Cambria Math"/>
            </w:rPr>
            <m:t>n</m:t>
          </m:r>
          <m:r>
            <m:rPr>
              <m:sty m:val="p"/>
            </m:rPr>
            <w:rPr>
              <w:rFonts w:ascii="Cambria Math" w:eastAsiaTheme="minorEastAsia" w:hAnsi="Cambria Math" w:cs="Cambria Math"/>
              <w:sz w:val="24"/>
              <w:szCs w:val="24"/>
            </w:rPr>
            <m:t>=</m:t>
          </m:r>
          <m:f>
            <m:fPr>
              <m:ctrlPr>
                <w:rPr>
                  <w:rFonts w:ascii="Cambria Math" w:eastAsiaTheme="minorEastAsia" w:hAnsi="Cambria Math"/>
                  <w:bCs/>
                  <w:sz w:val="24"/>
                  <w:szCs w:val="24"/>
                </w:rPr>
              </m:ctrlPr>
            </m:fPr>
            <m:num>
              <m:r>
                <m:rPr>
                  <m:sty m:val="p"/>
                </m:rPr>
                <w:rPr>
                  <w:rFonts w:ascii="Cambria Math" w:eastAsiaTheme="minorEastAsia" w:hAnsi="Cambria Math" w:cs="Cambria Math"/>
                  <w:sz w:val="24"/>
                  <w:szCs w:val="24"/>
                </w:rPr>
                <m:t>N×(1-p)</m:t>
              </m:r>
            </m:num>
            <m:den>
              <m:sSup>
                <m:sSupPr>
                  <m:ctrlPr>
                    <w:rPr>
                      <w:rFonts w:ascii="Cambria Math" w:eastAsiaTheme="minorEastAsia" w:hAnsi="Cambria Math"/>
                      <w:bCs/>
                      <w:i/>
                      <w:sz w:val="24"/>
                      <w:szCs w:val="24"/>
                    </w:rPr>
                  </m:ctrlPr>
                </m:sSupPr>
                <m:e>
                  <m:r>
                    <m:rPr>
                      <m:sty m:val="p"/>
                    </m:rPr>
                    <w:rPr>
                      <w:rFonts w:ascii="Cambria Math" w:eastAsiaTheme="minorEastAsia" w:hAnsi="Cambria Math"/>
                      <w:sz w:val="24"/>
                      <w:szCs w:val="24"/>
                      <w:lang w:bidi="ar-DZ"/>
                    </w:rPr>
                    <m:t>[[</m:t>
                  </m:r>
                  <m:r>
                    <w:rPr>
                      <w:rFonts w:ascii="Cambria Math" w:eastAsiaTheme="minorEastAsia" w:hAnsi="Cambria Math"/>
                      <w:sz w:val="24"/>
                      <w:szCs w:val="24"/>
                      <w:lang w:bidi="ar-DZ"/>
                    </w:rPr>
                    <m:t>N-1×(d</m:t>
                  </m:r>
                </m:e>
                <m:sup>
                  <m:r>
                    <w:rPr>
                      <w:rFonts w:ascii="Cambria Math" w:hAnsi="Cambria Math"/>
                      <w:sz w:val="24"/>
                      <w:szCs w:val="24"/>
                    </w:rPr>
                    <m:t>2</m:t>
                  </m:r>
                </m:sup>
              </m:sSup>
              <m:r>
                <w:rPr>
                  <w:rFonts w:ascii="Cambria Math" w:eastAsiaTheme="minorEastAsia" w:hAnsi="Cambria Math"/>
                  <w:sz w:val="24"/>
                  <w:szCs w:val="24"/>
                </w:rPr>
                <m:t>/</m:t>
              </m:r>
              <m:sSup>
                <m:sSupPr>
                  <m:ctrlPr>
                    <w:rPr>
                      <w:rFonts w:ascii="Cambria Math" w:eastAsiaTheme="minorEastAsia" w:hAnsi="Cambria Math"/>
                      <w:bCs/>
                      <w:i/>
                      <w:sz w:val="24"/>
                      <w:szCs w:val="24"/>
                    </w:rPr>
                  </m:ctrlPr>
                </m:sSupPr>
                <m:e>
                  <m:r>
                    <w:rPr>
                      <w:rFonts w:ascii="Cambria Math" w:hAnsi="Cambria Math"/>
                      <w:sz w:val="24"/>
                      <w:szCs w:val="24"/>
                    </w:rPr>
                    <m:t>z</m:t>
                  </m:r>
                </m:e>
                <m:sup>
                  <m:r>
                    <w:rPr>
                      <w:rFonts w:ascii="Cambria Math" w:hAnsi="Cambria Math"/>
                      <w:sz w:val="24"/>
                      <w:szCs w:val="24"/>
                    </w:rPr>
                    <m:t>2</m:t>
                  </m:r>
                </m:sup>
              </m:sSup>
              <m:r>
                <w:rPr>
                  <w:rFonts w:ascii="Cambria Math" w:eastAsiaTheme="minorEastAsia" w:hAnsi="Cambria Math"/>
                  <w:sz w:val="24"/>
                  <w:szCs w:val="24"/>
                </w:rPr>
                <m:t>)]+p(1-p)]</m:t>
              </m:r>
            </m:den>
          </m:f>
        </m:oMath>
      </m:oMathPara>
    </w:p>
    <w:p w:rsidR="00C121B0" w:rsidRPr="00FC359A" w:rsidRDefault="00C121B0" w:rsidP="00C121B0">
      <w:pPr>
        <w:bidi/>
        <w:spacing w:after="0"/>
        <w:ind w:firstLine="282"/>
        <w:jc w:val="both"/>
        <w:rPr>
          <w:rFonts w:ascii="Simplified Arabic" w:hAnsi="Simplified Arabic" w:cs="Simplified Arabic"/>
          <w:sz w:val="24"/>
          <w:szCs w:val="24"/>
          <w:rtl/>
          <w:lang w:val="en-US"/>
        </w:rPr>
      </w:pPr>
      <w:r w:rsidRPr="00FC359A">
        <w:rPr>
          <w:rFonts w:ascii="Simplified Arabic" w:hAnsi="Simplified Arabic" w:cs="Simplified Arabic"/>
          <w:sz w:val="24"/>
          <w:szCs w:val="24"/>
          <w:rtl/>
          <w:lang w:val="en-US"/>
        </w:rPr>
        <w:t>حيث إن:</w:t>
      </w:r>
    </w:p>
    <w:p w:rsidR="00C121B0" w:rsidRPr="00FC359A" w:rsidRDefault="00C121B0" w:rsidP="006E439E">
      <w:pPr>
        <w:bidi/>
        <w:spacing w:after="0"/>
        <w:ind w:hanging="1"/>
        <w:jc w:val="both"/>
        <w:rPr>
          <w:rFonts w:ascii="Simplified Arabic" w:hAnsi="Simplified Arabic" w:cs="Simplified Arabic"/>
          <w:sz w:val="24"/>
          <w:szCs w:val="24"/>
          <w:rtl/>
          <w:lang w:val="en-US"/>
        </w:rPr>
      </w:pPr>
      <w:r w:rsidRPr="00FC359A">
        <w:rPr>
          <w:rFonts w:asciiTheme="majorBidi" w:hAnsiTheme="majorBidi" w:cstheme="majorBidi"/>
          <w:sz w:val="24"/>
          <w:szCs w:val="24"/>
          <w:lang w:val="en-US"/>
        </w:rPr>
        <w:t>N</w:t>
      </w:r>
      <w:r w:rsidRPr="00FC359A">
        <w:rPr>
          <w:rFonts w:ascii="Simplified Arabic" w:hAnsi="Simplified Arabic" w:cs="Simplified Arabic"/>
          <w:sz w:val="24"/>
          <w:szCs w:val="24"/>
          <w:rtl/>
          <w:lang w:val="en-US"/>
        </w:rPr>
        <w:t>: حجم المجتمع</w:t>
      </w:r>
      <w:r w:rsidR="006E439E">
        <w:rPr>
          <w:rFonts w:ascii="Simplified Arabic" w:hAnsi="Simplified Arabic" w:cs="Simplified Arabic" w:hint="cs"/>
          <w:sz w:val="24"/>
          <w:szCs w:val="24"/>
          <w:rtl/>
          <w:lang w:val="en-US"/>
        </w:rPr>
        <w:t xml:space="preserve">، </w:t>
      </w:r>
      <w:r w:rsidRPr="00FC359A">
        <w:rPr>
          <w:rFonts w:asciiTheme="majorBidi" w:hAnsiTheme="majorBidi" w:cstheme="majorBidi"/>
          <w:sz w:val="24"/>
          <w:szCs w:val="24"/>
          <w:lang w:val="en-US"/>
        </w:rPr>
        <w:t>Z</w:t>
      </w:r>
      <w:r w:rsidRPr="00FC359A">
        <w:rPr>
          <w:rFonts w:ascii="Simplified Arabic" w:hAnsi="Simplified Arabic" w:cs="Simplified Arabic"/>
          <w:sz w:val="24"/>
          <w:szCs w:val="24"/>
          <w:rtl/>
          <w:lang w:val="en-US"/>
        </w:rPr>
        <w:t xml:space="preserve">: الدرجة المعيارية المقابلة لمستوى </w:t>
      </w:r>
      <w:r>
        <w:rPr>
          <w:rFonts w:ascii="Simplified Arabic" w:hAnsi="Simplified Arabic" w:cs="Simplified Arabic" w:hint="cs"/>
          <w:sz w:val="24"/>
          <w:szCs w:val="24"/>
          <w:rtl/>
          <w:lang w:val="en-US"/>
        </w:rPr>
        <w:t>الثقة</w:t>
      </w:r>
      <w:r w:rsidRPr="00FC359A">
        <w:rPr>
          <w:rFonts w:ascii="Simplified Arabic" w:hAnsi="Simplified Arabic" w:cs="Simplified Arabic"/>
          <w:sz w:val="24"/>
          <w:szCs w:val="24"/>
          <w:rtl/>
          <w:lang w:val="en-US"/>
        </w:rPr>
        <w:t xml:space="preserve"> (0.95) وتساوي (1.96)  </w:t>
      </w:r>
    </w:p>
    <w:p w:rsidR="00C121B0" w:rsidRDefault="00C121B0" w:rsidP="006E439E">
      <w:pPr>
        <w:bidi/>
        <w:spacing w:after="0"/>
        <w:ind w:hanging="1"/>
        <w:jc w:val="both"/>
        <w:rPr>
          <w:rFonts w:ascii="Simplified Arabic" w:hAnsi="Simplified Arabic" w:cs="Simplified Arabic"/>
          <w:sz w:val="24"/>
          <w:szCs w:val="24"/>
          <w:rtl/>
          <w:lang w:val="en-US"/>
        </w:rPr>
      </w:pPr>
      <w:r>
        <w:rPr>
          <w:rFonts w:asciiTheme="majorBidi" w:hAnsiTheme="majorBidi" w:cstheme="majorBidi"/>
          <w:sz w:val="24"/>
          <w:szCs w:val="24"/>
          <w:lang w:val="en-US"/>
        </w:rPr>
        <w:t>d</w:t>
      </w:r>
      <w:r w:rsidRPr="00FC359A">
        <w:rPr>
          <w:rFonts w:ascii="Simplified Arabic" w:hAnsi="Simplified Arabic" w:cs="Simplified Arabic"/>
          <w:sz w:val="24"/>
          <w:szCs w:val="24"/>
          <w:rtl/>
          <w:lang w:val="en-US"/>
        </w:rPr>
        <w:t>: ن</w:t>
      </w:r>
      <w:r>
        <w:rPr>
          <w:rFonts w:ascii="Simplified Arabic" w:hAnsi="Simplified Arabic" w:cs="Simplified Arabic"/>
          <w:sz w:val="24"/>
          <w:szCs w:val="24"/>
          <w:rtl/>
          <w:lang w:val="en-US"/>
        </w:rPr>
        <w:t>سبة الخطأ</w:t>
      </w:r>
      <w:r>
        <w:rPr>
          <w:rFonts w:ascii="Simplified Arabic" w:hAnsi="Simplified Arabic" w:cs="Simplified Arabic" w:hint="cs"/>
          <w:sz w:val="24"/>
          <w:szCs w:val="24"/>
          <w:rtl/>
          <w:lang w:val="en-US"/>
        </w:rPr>
        <w:t xml:space="preserve">، </w:t>
      </w:r>
      <w:r w:rsidRPr="00FC359A">
        <w:rPr>
          <w:rFonts w:ascii="Simplified Arabic" w:hAnsi="Simplified Arabic" w:cs="Simplified Arabic"/>
          <w:sz w:val="24"/>
          <w:szCs w:val="24"/>
          <w:rtl/>
          <w:lang w:val="en-US"/>
        </w:rPr>
        <w:t>تساوي (0.05)</w:t>
      </w:r>
      <w:r w:rsidR="006E439E">
        <w:rPr>
          <w:rFonts w:ascii="Simplified Arabic" w:hAnsi="Simplified Arabic" w:cs="Simplified Arabic" w:hint="cs"/>
          <w:sz w:val="24"/>
          <w:szCs w:val="24"/>
          <w:rtl/>
          <w:lang w:val="en-US"/>
        </w:rPr>
        <w:t xml:space="preserve">، </w:t>
      </w:r>
      <w:r w:rsidRPr="00FC359A">
        <w:rPr>
          <w:rFonts w:asciiTheme="majorBidi" w:hAnsiTheme="majorBidi" w:cstheme="majorBidi"/>
          <w:sz w:val="24"/>
          <w:szCs w:val="24"/>
          <w:lang w:val="en-US"/>
        </w:rPr>
        <w:t>P</w:t>
      </w:r>
      <w:r w:rsidRPr="00FC359A">
        <w:rPr>
          <w:rFonts w:ascii="Simplified Arabic" w:hAnsi="Simplified Arabic" w:cs="Simplified Arabic"/>
          <w:sz w:val="24"/>
          <w:szCs w:val="24"/>
          <w:rtl/>
          <w:lang w:val="en-US"/>
        </w:rPr>
        <w:t>:</w:t>
      </w:r>
      <w:r w:rsidRPr="00FC359A">
        <w:rPr>
          <w:rFonts w:ascii="Simplified Arabic" w:hAnsi="Simplified Arabic" w:cs="Simplified Arabic"/>
          <w:sz w:val="24"/>
          <w:szCs w:val="24"/>
          <w:lang w:val="en-US"/>
        </w:rPr>
        <w:t xml:space="preserve"> </w:t>
      </w:r>
      <w:r w:rsidRPr="00FC359A">
        <w:rPr>
          <w:rFonts w:ascii="Simplified Arabic" w:hAnsi="Simplified Arabic" w:cs="Simplified Arabic"/>
          <w:sz w:val="24"/>
          <w:szCs w:val="24"/>
          <w:rtl/>
          <w:lang w:val="en-US"/>
        </w:rPr>
        <w:t>نسبة توفر الخاصية والمحايدة</w:t>
      </w:r>
      <w:r>
        <w:rPr>
          <w:rFonts w:ascii="Simplified Arabic" w:hAnsi="Simplified Arabic" w:cs="Simplified Arabic" w:hint="cs"/>
          <w:sz w:val="24"/>
          <w:szCs w:val="24"/>
          <w:rtl/>
          <w:lang w:val="en-US"/>
        </w:rPr>
        <w:t>،</w:t>
      </w:r>
      <w:r w:rsidRPr="00FC359A">
        <w:rPr>
          <w:rFonts w:ascii="Simplified Arabic" w:hAnsi="Simplified Arabic" w:cs="Simplified Arabic"/>
          <w:sz w:val="24"/>
          <w:szCs w:val="24"/>
          <w:rtl/>
          <w:lang w:val="en-US"/>
        </w:rPr>
        <w:t xml:space="preserve"> تساوي (0.50) </w:t>
      </w:r>
    </w:p>
    <w:p w:rsidR="00C121B0" w:rsidRDefault="00C121B0" w:rsidP="004A6317">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من خلال مناقشة الجدول </w:t>
      </w:r>
      <w:r w:rsidR="00AF7197">
        <w:rPr>
          <w:rFonts w:ascii="Simplified Arabic" w:eastAsia="Times New Roman" w:hAnsi="Simplified Arabic" w:cs="Simplified Arabic" w:hint="cs"/>
          <w:b/>
          <w:sz w:val="24"/>
          <w:szCs w:val="24"/>
          <w:rtl/>
          <w:lang w:val="en-US" w:eastAsia="fr-FR"/>
        </w:rPr>
        <w:t>(5-</w:t>
      </w:r>
      <w:r w:rsidR="00C05812">
        <w:rPr>
          <w:rFonts w:ascii="Simplified Arabic" w:eastAsia="Times New Roman" w:hAnsi="Simplified Arabic" w:cs="Simplified Arabic" w:hint="cs"/>
          <w:b/>
          <w:sz w:val="24"/>
          <w:szCs w:val="24"/>
          <w:rtl/>
          <w:lang w:val="en-US" w:eastAsia="fr-FR"/>
        </w:rPr>
        <w:t>16</w:t>
      </w:r>
      <w:r w:rsidR="00AF7197">
        <w:rPr>
          <w:rFonts w:ascii="Simplified Arabic" w:eastAsia="Times New Roman" w:hAnsi="Simplified Arabic" w:cs="Simplified Arabic" w:hint="cs"/>
          <w:b/>
          <w:sz w:val="24"/>
          <w:szCs w:val="24"/>
          <w:rtl/>
          <w:lang w:val="en-US" w:eastAsia="fr-FR"/>
        </w:rPr>
        <w:t>)</w:t>
      </w:r>
      <w:r>
        <w:rPr>
          <w:rFonts w:ascii="Simplified Arabic" w:hAnsi="Simplified Arabic" w:cs="Simplified Arabic" w:hint="cs"/>
          <w:sz w:val="24"/>
          <w:szCs w:val="24"/>
          <w:rtl/>
          <w:lang w:val="en-US"/>
        </w:rPr>
        <w:t xml:space="preserve"> الذي وضعه </w:t>
      </w:r>
      <w:r w:rsidRPr="00A77350">
        <w:rPr>
          <w:rFonts w:asciiTheme="majorBidi" w:hAnsiTheme="majorBidi" w:cstheme="majorBidi"/>
          <w:sz w:val="24"/>
          <w:szCs w:val="24"/>
          <w:lang w:val="en-US"/>
        </w:rPr>
        <w:t>Krejcie</w:t>
      </w:r>
      <w:r w:rsidRPr="008F6A8F">
        <w:rPr>
          <w:rFonts w:asciiTheme="majorBidi" w:hAnsiTheme="majorBidi" w:cstheme="majorBidi"/>
          <w:sz w:val="24"/>
          <w:szCs w:val="24"/>
          <w:lang w:val="en-US"/>
        </w:rPr>
        <w:t xml:space="preserve"> &amp; Morgan, 1970)</w:t>
      </w:r>
      <w:r w:rsidRPr="008F6A8F">
        <w:rPr>
          <w:rFonts w:asciiTheme="majorBidi" w:hAnsiTheme="majorBidi" w:cstheme="majorBidi"/>
          <w:sz w:val="24"/>
          <w:szCs w:val="24"/>
          <w:rtl/>
          <w:lang w:val="en-US"/>
        </w:rPr>
        <w:t>)</w:t>
      </w:r>
      <w:r>
        <w:rPr>
          <w:rFonts w:asciiTheme="majorBidi" w:hAnsiTheme="majorBidi" w:cstheme="majorBidi" w:hint="cs"/>
          <w:sz w:val="24"/>
          <w:szCs w:val="24"/>
          <w:rtl/>
          <w:lang w:val="en-US"/>
        </w:rPr>
        <w:t>،</w:t>
      </w:r>
      <w:r w:rsidRPr="008F6A8F">
        <w:rPr>
          <w:rFonts w:ascii="Simplified Arabic" w:hAnsi="Simplified Arabic" w:cs="Simplified Arabic"/>
          <w:sz w:val="24"/>
          <w:szCs w:val="24"/>
          <w:rtl/>
          <w:lang w:val="en-US"/>
        </w:rPr>
        <w:t xml:space="preserve"> </w:t>
      </w:r>
      <w:r w:rsidR="00C71A41">
        <w:rPr>
          <w:rFonts w:ascii="Simplified Arabic" w:hAnsi="Simplified Arabic" w:cs="Simplified Arabic" w:hint="cs"/>
          <w:sz w:val="24"/>
          <w:szCs w:val="24"/>
          <w:rtl/>
          <w:lang w:val="en-US"/>
        </w:rPr>
        <w:t>يتم ت</w:t>
      </w:r>
      <w:r w:rsidRPr="008F6A8F">
        <w:rPr>
          <w:rFonts w:ascii="Simplified Arabic" w:hAnsi="Simplified Arabic" w:cs="Simplified Arabic" w:hint="cs"/>
          <w:sz w:val="24"/>
          <w:szCs w:val="24"/>
          <w:rtl/>
          <w:lang w:val="en-US"/>
        </w:rPr>
        <w:t>حد</w:t>
      </w:r>
      <w:r w:rsidR="00C71A41">
        <w:rPr>
          <w:rFonts w:ascii="Simplified Arabic" w:hAnsi="Simplified Arabic" w:cs="Simplified Arabic" w:hint="cs"/>
          <w:sz w:val="24"/>
          <w:szCs w:val="24"/>
          <w:rtl/>
          <w:lang w:val="en-US"/>
        </w:rPr>
        <w:t>ي</w:t>
      </w:r>
      <w:r w:rsidRPr="008F6A8F">
        <w:rPr>
          <w:rFonts w:ascii="Simplified Arabic" w:hAnsi="Simplified Arabic" w:cs="Simplified Arabic" w:hint="cs"/>
          <w:sz w:val="24"/>
          <w:szCs w:val="24"/>
          <w:rtl/>
          <w:lang w:val="en-US"/>
        </w:rPr>
        <w:t xml:space="preserve">د حجم العينة </w:t>
      </w:r>
      <w:r>
        <w:rPr>
          <w:rFonts w:ascii="Simplified Arabic" w:hAnsi="Simplified Arabic" w:cs="Simplified Arabic" w:hint="cs"/>
          <w:sz w:val="24"/>
          <w:szCs w:val="24"/>
          <w:rtl/>
          <w:lang w:val="en-US"/>
        </w:rPr>
        <w:t>بما يتناسب مع</w:t>
      </w:r>
      <w:r w:rsidRPr="008F6A8F">
        <w:rPr>
          <w:rFonts w:ascii="Simplified Arabic" w:hAnsi="Simplified Arabic" w:cs="Simplified Arabic" w:hint="cs"/>
          <w:sz w:val="24"/>
          <w:szCs w:val="24"/>
          <w:rtl/>
          <w:lang w:val="en-US"/>
        </w:rPr>
        <w:t xml:space="preserve"> حجم المجتمع الاصلي.</w:t>
      </w:r>
      <w:r>
        <w:rPr>
          <w:rFonts w:ascii="Simplified Arabic" w:hAnsi="Simplified Arabic" w:cs="Simplified Arabic" w:hint="cs"/>
          <w:sz w:val="24"/>
          <w:szCs w:val="24"/>
          <w:rtl/>
          <w:lang w:val="en-US"/>
        </w:rPr>
        <w:t xml:space="preserve"> من </w:t>
      </w:r>
      <w:r w:rsidR="008E5395">
        <w:rPr>
          <w:rFonts w:ascii="Simplified Arabic" w:hAnsi="Simplified Arabic" w:cs="Simplified Arabic" w:hint="cs"/>
          <w:sz w:val="24"/>
          <w:szCs w:val="24"/>
          <w:rtl/>
          <w:lang w:val="en-US"/>
        </w:rPr>
        <w:t xml:space="preserve">خلال </w:t>
      </w:r>
      <w:r>
        <w:rPr>
          <w:rFonts w:ascii="Simplified Arabic" w:hAnsi="Simplified Arabic" w:cs="Simplified Arabic" w:hint="cs"/>
          <w:sz w:val="24"/>
          <w:szCs w:val="24"/>
          <w:rtl/>
          <w:lang w:val="en-US"/>
        </w:rPr>
        <w:t xml:space="preserve">هذا الجدول، يظهر ان حجم العينة ارتفع من 380 مفردة لمجتمع دراسة مكون من 30.000 مفردة وهو حد الاشباع الاول الى 384 مفردة لمجتمع دراسة مكون من 150.000 مفردة ، بمعدل زيادة حجم العينة بـ: 1.05 </w:t>
      </w:r>
      <w:r>
        <w:rPr>
          <w:rFonts w:ascii="Simplified Arabic" w:hAnsi="Simplified Arabic" w:cs="Simplified Arabic"/>
          <w:sz w:val="24"/>
          <w:szCs w:val="24"/>
        </w:rPr>
        <w:t>%</w:t>
      </w:r>
      <w:r>
        <w:rPr>
          <w:rFonts w:ascii="Simplified Arabic" w:hAnsi="Simplified Arabic" w:cs="Simplified Arabic" w:hint="cs"/>
          <w:sz w:val="24"/>
          <w:szCs w:val="24"/>
          <w:rtl/>
        </w:rPr>
        <w:t xml:space="preserve"> ونسبة تزايد</w:t>
      </w:r>
      <w:r w:rsidRPr="000818B1">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مجتمع الدراسة بـ: 400 </w:t>
      </w:r>
      <w:r>
        <w:rPr>
          <w:rFonts w:ascii="Simplified Arabic" w:hAnsi="Simplified Arabic" w:cs="Simplified Arabic"/>
          <w:sz w:val="24"/>
          <w:szCs w:val="24"/>
        </w:rPr>
        <w:t>%</w:t>
      </w:r>
      <w:r>
        <w:rPr>
          <w:rFonts w:ascii="Simplified Arabic" w:hAnsi="Simplified Arabic" w:cs="Simplified Arabic" w:hint="cs"/>
          <w:sz w:val="24"/>
          <w:szCs w:val="24"/>
          <w:rtl/>
        </w:rPr>
        <w:t xml:space="preserve">، حيث يبقى حجم العينة ثابتًا الى غاية </w:t>
      </w:r>
      <w:r>
        <w:rPr>
          <w:rFonts w:ascii="Simplified Arabic" w:hAnsi="Simplified Arabic" w:cs="Simplified Arabic" w:hint="cs"/>
          <w:sz w:val="24"/>
          <w:szCs w:val="24"/>
          <w:rtl/>
          <w:lang w:val="en-US"/>
        </w:rPr>
        <w:t>حد الاشباع الثاني عند حجم المجتمع الاصلي المكون من 1.000.000 الذي يتناسب مع حجم العينة 385، هذا الاخير يبقى ثابتا الى مالا نهاية مهما كان حجم المجتمع الاصلي.</w:t>
      </w:r>
    </w:p>
    <w:p w:rsidR="00C121B0" w:rsidRPr="00710452" w:rsidRDefault="00D37F7C" w:rsidP="008B4DD2">
      <w:pPr>
        <w:pStyle w:val="Tableau"/>
        <w:rPr>
          <w:lang w:val="en-US"/>
        </w:rPr>
      </w:pPr>
      <w:bookmarkStart w:id="722" w:name="_Toc157613006"/>
      <w:bookmarkStart w:id="723" w:name="_Toc171803729"/>
      <w:r>
        <w:rPr>
          <w:rFonts w:hint="cs"/>
          <w:rtl/>
          <w:lang w:val="en-US"/>
        </w:rPr>
        <w:t>ال</w:t>
      </w:r>
      <w:r w:rsidR="00C121B0">
        <w:rPr>
          <w:rFonts w:hint="cs"/>
          <w:rtl/>
          <w:lang w:val="en-US"/>
        </w:rPr>
        <w:t xml:space="preserve">جدول </w:t>
      </w:r>
      <w:r w:rsidR="00AF7197">
        <w:rPr>
          <w:rFonts w:eastAsia="Times New Roman" w:hint="cs"/>
          <w:rtl/>
          <w:lang w:val="en-US" w:eastAsia="fr-FR"/>
        </w:rPr>
        <w:t>(5-</w:t>
      </w:r>
      <w:r w:rsidR="00C05812">
        <w:rPr>
          <w:rFonts w:eastAsia="Times New Roman" w:hint="cs"/>
          <w:rtl/>
          <w:lang w:val="en-US" w:eastAsia="fr-FR"/>
        </w:rPr>
        <w:t>16</w:t>
      </w:r>
      <w:r w:rsidR="00AF7197">
        <w:rPr>
          <w:rFonts w:eastAsia="Times New Roman" w:hint="cs"/>
          <w:rtl/>
          <w:lang w:val="en-US" w:eastAsia="fr-FR"/>
        </w:rPr>
        <w:t>)</w:t>
      </w:r>
      <w:r w:rsidR="00C121B0">
        <w:rPr>
          <w:rFonts w:hint="cs"/>
          <w:rtl/>
          <w:lang w:val="en-US"/>
        </w:rPr>
        <w:t xml:space="preserve"> </w:t>
      </w:r>
      <w:r w:rsidR="00C121B0" w:rsidRPr="00710452">
        <w:rPr>
          <w:rtl/>
          <w:lang w:val="en-US"/>
        </w:rPr>
        <w:t>حجم العينة المطلوب بمستوى دلالة (0.95) ونسبة خطا (0.05)</w:t>
      </w:r>
      <w:bookmarkEnd w:id="722"/>
      <w:bookmarkEnd w:id="723"/>
    </w:p>
    <w:p w:rsidR="00C121B0" w:rsidRPr="001111A0" w:rsidRDefault="00C121B0" w:rsidP="005768EE">
      <w:pPr>
        <w:bidi/>
        <w:spacing w:after="0"/>
        <w:jc w:val="center"/>
        <w:rPr>
          <w:rFonts w:asciiTheme="majorBidi" w:hAnsiTheme="majorBidi" w:cstheme="majorBidi"/>
          <w:b/>
          <w:bCs/>
          <w:sz w:val="24"/>
          <w:szCs w:val="24"/>
          <w:rtl/>
          <w:lang w:val="en-US"/>
        </w:rPr>
      </w:pPr>
      <w:r w:rsidRPr="001111A0">
        <w:rPr>
          <w:rFonts w:ascii="Simplified Arabic" w:hAnsi="Simplified Arabic" w:cs="Simplified Arabic" w:hint="cs"/>
          <w:b/>
          <w:bCs/>
          <w:sz w:val="24"/>
          <w:szCs w:val="24"/>
          <w:rtl/>
          <w:lang w:val="en-US"/>
        </w:rPr>
        <w:t xml:space="preserve">المصدر: </w:t>
      </w:r>
      <w:r w:rsidRPr="001111A0">
        <w:rPr>
          <w:rFonts w:asciiTheme="majorBidi" w:hAnsiTheme="majorBidi" w:cstheme="majorBidi"/>
          <w:b/>
          <w:bCs/>
          <w:sz w:val="24"/>
          <w:szCs w:val="24"/>
          <w:lang w:val="en-US"/>
        </w:rPr>
        <w:t>Krejcie &amp; Morgan, 1970)</w:t>
      </w:r>
      <w:r w:rsidRPr="001111A0">
        <w:rPr>
          <w:rFonts w:asciiTheme="majorBidi" w:hAnsiTheme="majorBidi" w:cstheme="majorBidi"/>
          <w:b/>
          <w:bCs/>
          <w:sz w:val="24"/>
          <w:szCs w:val="24"/>
          <w:rtl/>
          <w:lang w:val="en-US"/>
        </w:rPr>
        <w:t>)</w:t>
      </w:r>
    </w:p>
    <w:tbl>
      <w:tblPr>
        <w:tblStyle w:val="Grilledutableau"/>
        <w:bidiVisual/>
        <w:tblW w:w="0" w:type="auto"/>
        <w:jc w:val="center"/>
        <w:tblInd w:w="390" w:type="dxa"/>
        <w:tblLook w:val="04A0" w:firstRow="1" w:lastRow="0" w:firstColumn="1" w:lastColumn="0" w:noHBand="0" w:noVBand="1"/>
      </w:tblPr>
      <w:tblGrid>
        <w:gridCol w:w="1912"/>
        <w:gridCol w:w="1915"/>
        <w:gridCol w:w="1985"/>
        <w:gridCol w:w="1843"/>
      </w:tblGrid>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حجم المجتمع الاصلي</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حجم العينة المناسب</w:t>
            </w:r>
          </w:p>
        </w:tc>
        <w:tc>
          <w:tcPr>
            <w:tcW w:w="198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حجم المجتمع الاصلي</w:t>
            </w:r>
          </w:p>
        </w:tc>
        <w:tc>
          <w:tcPr>
            <w:tcW w:w="1843"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حجم العينة المناسب</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40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36</w:t>
            </w:r>
          </w:p>
        </w:tc>
        <w:tc>
          <w:tcPr>
            <w:tcW w:w="198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2000</w:t>
            </w:r>
          </w:p>
        </w:tc>
        <w:tc>
          <w:tcPr>
            <w:tcW w:w="1843"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322</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100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80</w:t>
            </w:r>
          </w:p>
        </w:tc>
        <w:tc>
          <w:tcPr>
            <w:tcW w:w="198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5000</w:t>
            </w:r>
          </w:p>
        </w:tc>
        <w:tc>
          <w:tcPr>
            <w:tcW w:w="1843"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357</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110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86</w:t>
            </w:r>
          </w:p>
        </w:tc>
        <w:tc>
          <w:tcPr>
            <w:tcW w:w="198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6000</w:t>
            </w:r>
          </w:p>
        </w:tc>
        <w:tc>
          <w:tcPr>
            <w:tcW w:w="1843"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361</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130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97</w:t>
            </w:r>
          </w:p>
        </w:tc>
        <w:tc>
          <w:tcPr>
            <w:tcW w:w="198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15000</w:t>
            </w:r>
          </w:p>
        </w:tc>
        <w:tc>
          <w:tcPr>
            <w:tcW w:w="1843"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375</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200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132</w:t>
            </w:r>
          </w:p>
        </w:tc>
        <w:tc>
          <w:tcPr>
            <w:tcW w:w="1985" w:type="dxa"/>
            <w:shd w:val="clear" w:color="auto" w:fill="F2F2F2" w:themeFill="background1" w:themeFillShade="F2"/>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30.000</w:t>
            </w:r>
          </w:p>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(حد الاشباع الاول)</w:t>
            </w:r>
          </w:p>
        </w:tc>
        <w:tc>
          <w:tcPr>
            <w:tcW w:w="1843" w:type="dxa"/>
            <w:shd w:val="clear" w:color="auto" w:fill="F2F2F2" w:themeFill="background1" w:themeFillShade="F2"/>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380</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210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136</w:t>
            </w:r>
          </w:p>
        </w:tc>
        <w:tc>
          <w:tcPr>
            <w:tcW w:w="1985" w:type="dxa"/>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40.000</w:t>
            </w:r>
          </w:p>
        </w:tc>
        <w:tc>
          <w:tcPr>
            <w:tcW w:w="1843" w:type="dxa"/>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381</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220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140</w:t>
            </w:r>
          </w:p>
        </w:tc>
        <w:tc>
          <w:tcPr>
            <w:tcW w:w="1985" w:type="dxa"/>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75.000</w:t>
            </w:r>
          </w:p>
        </w:tc>
        <w:tc>
          <w:tcPr>
            <w:tcW w:w="1843" w:type="dxa"/>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382</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300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169</w:t>
            </w:r>
          </w:p>
        </w:tc>
        <w:tc>
          <w:tcPr>
            <w:tcW w:w="1985" w:type="dxa"/>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150.000</w:t>
            </w:r>
          </w:p>
        </w:tc>
        <w:tc>
          <w:tcPr>
            <w:tcW w:w="1843" w:type="dxa"/>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384</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320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175</w:t>
            </w:r>
          </w:p>
        </w:tc>
        <w:tc>
          <w:tcPr>
            <w:tcW w:w="198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900.000</w:t>
            </w:r>
          </w:p>
        </w:tc>
        <w:tc>
          <w:tcPr>
            <w:tcW w:w="1843"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384</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340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181</w:t>
            </w:r>
          </w:p>
        </w:tc>
        <w:tc>
          <w:tcPr>
            <w:tcW w:w="1985" w:type="dxa"/>
            <w:shd w:val="clear" w:color="auto" w:fill="F2F2F2" w:themeFill="background1" w:themeFillShade="F2"/>
            <w:vAlign w:val="center"/>
          </w:tcPr>
          <w:p w:rsidR="00C121B0" w:rsidRPr="004A6317" w:rsidRDefault="00C121B0" w:rsidP="006E439E">
            <w:pPr>
              <w:jc w:val="center"/>
              <w:rPr>
                <w:rFonts w:ascii="Simplified Arabic" w:eastAsia="Times New Roman" w:hAnsi="Simplified Arabic" w:cs="Simplified Arabic"/>
                <w:color w:val="000000"/>
                <w:rtl/>
                <w:lang w:val="en-US"/>
              </w:rPr>
            </w:pPr>
            <w:r w:rsidRPr="004A6317">
              <w:rPr>
                <w:rFonts w:ascii="Simplified Arabic" w:eastAsia="Times New Roman" w:hAnsi="Simplified Arabic" w:cs="Simplified Arabic"/>
                <w:color w:val="000000"/>
                <w:rtl/>
                <w:lang w:val="en-US"/>
              </w:rPr>
              <w:t>1.000.000</w:t>
            </w:r>
          </w:p>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 حد الاشباع الثاني)</w:t>
            </w:r>
          </w:p>
        </w:tc>
        <w:tc>
          <w:tcPr>
            <w:tcW w:w="1843" w:type="dxa"/>
            <w:shd w:val="clear" w:color="auto" w:fill="F2F2F2" w:themeFill="background1" w:themeFillShade="F2"/>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385</w:t>
            </w:r>
          </w:p>
        </w:tc>
      </w:tr>
      <w:tr w:rsidR="00C121B0" w:rsidRPr="004A6317" w:rsidTr="00794BA6">
        <w:trPr>
          <w:jc w:val="center"/>
        </w:trPr>
        <w:tc>
          <w:tcPr>
            <w:tcW w:w="1912"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500</w:t>
            </w:r>
          </w:p>
        </w:tc>
        <w:tc>
          <w:tcPr>
            <w:tcW w:w="1915" w:type="dxa"/>
            <w:vAlign w:val="center"/>
          </w:tcPr>
          <w:p w:rsidR="00C121B0" w:rsidRPr="004A6317" w:rsidRDefault="00C121B0" w:rsidP="006E439E">
            <w:pPr>
              <w:bidi/>
              <w:jc w:val="center"/>
              <w:rPr>
                <w:rFonts w:ascii="Simplified Arabic" w:hAnsi="Simplified Arabic" w:cs="Simplified Arabic"/>
                <w:rtl/>
                <w:lang w:bidi="ar-DZ"/>
              </w:rPr>
            </w:pPr>
            <w:r w:rsidRPr="004A6317">
              <w:rPr>
                <w:rFonts w:ascii="Simplified Arabic" w:hAnsi="Simplified Arabic" w:cs="Simplified Arabic"/>
                <w:rtl/>
                <w:lang w:bidi="ar-DZ"/>
              </w:rPr>
              <w:t>217</w:t>
            </w:r>
          </w:p>
        </w:tc>
        <w:tc>
          <w:tcPr>
            <w:tcW w:w="1985" w:type="dxa"/>
            <w:vAlign w:val="center"/>
          </w:tcPr>
          <w:p w:rsidR="00C121B0" w:rsidRPr="004A6317" w:rsidRDefault="00C121B0" w:rsidP="006E439E">
            <w:pPr>
              <w:jc w:val="center"/>
              <w:rPr>
                <w:rFonts w:ascii="Simplified Arabic" w:eastAsia="Times New Roman" w:hAnsi="Simplified Arabic" w:cs="Simplified Arabic"/>
                <w:color w:val="000000"/>
                <w:lang w:val="en-US"/>
              </w:rPr>
            </w:pPr>
            <m:oMathPara>
              <m:oMath>
                <m:r>
                  <w:rPr>
                    <w:rFonts w:ascii="Cambria Math" w:eastAsia="Times New Roman" w:hAnsi="Cambria Math" w:cs="Simplified Arabic"/>
                    <w:noProof/>
                    <w:color w:val="000000"/>
                    <w:lang w:val="en-US" w:eastAsia="fr-FR"/>
                  </w:rPr>
                  <m:t>∞</m:t>
                </m:r>
              </m:oMath>
            </m:oMathPara>
          </w:p>
        </w:tc>
        <w:tc>
          <w:tcPr>
            <w:tcW w:w="1843" w:type="dxa"/>
            <w:vAlign w:val="center"/>
          </w:tcPr>
          <w:p w:rsidR="00C121B0" w:rsidRPr="004A6317" w:rsidRDefault="00C121B0" w:rsidP="006E439E">
            <w:pPr>
              <w:jc w:val="center"/>
              <w:rPr>
                <w:rFonts w:ascii="Simplified Arabic" w:eastAsia="Times New Roman" w:hAnsi="Simplified Arabic" w:cs="Simplified Arabic"/>
                <w:color w:val="000000"/>
                <w:lang w:val="en-US"/>
              </w:rPr>
            </w:pPr>
            <w:r w:rsidRPr="004A6317">
              <w:rPr>
                <w:rFonts w:ascii="Simplified Arabic" w:eastAsia="Times New Roman" w:hAnsi="Simplified Arabic" w:cs="Simplified Arabic"/>
                <w:color w:val="000000"/>
                <w:rtl/>
                <w:lang w:val="en-US"/>
              </w:rPr>
              <w:t>385</w:t>
            </w:r>
          </w:p>
        </w:tc>
      </w:tr>
    </w:tbl>
    <w:p w:rsidR="00C121B0" w:rsidRPr="000818B1" w:rsidRDefault="00C121B0" w:rsidP="00C840FB">
      <w:pPr>
        <w:bidi/>
        <w:spacing w:after="0"/>
        <w:ind w:firstLine="282"/>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lastRenderedPageBreak/>
        <w:t>تم اختيار العي</w:t>
      </w:r>
      <w:r w:rsidR="00160480">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نة العشوائية لكي يكون تمثيل حقيقي مناسب بين عدد مفردات كل حد مع حجم العي</w:t>
      </w:r>
      <w:r w:rsidR="00160480">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نة، بما ان عدد سكان بوسعادة هو: </w:t>
      </w:r>
      <w:r>
        <w:rPr>
          <w:rFonts w:ascii="Simplified Arabic" w:hAnsi="Simplified Arabic" w:cs="Simplified Arabic" w:hint="cs"/>
          <w:color w:val="000000"/>
          <w:sz w:val="24"/>
          <w:szCs w:val="24"/>
          <w:rtl/>
        </w:rPr>
        <w:t>187.409</w:t>
      </w:r>
      <w:r w:rsidRPr="00C95F00">
        <w:rPr>
          <w:rFonts w:ascii="Simplified Arabic" w:hAnsi="Simplified Arabic" w:cs="Simplified Arabic"/>
          <w:color w:val="000000"/>
          <w:sz w:val="24"/>
          <w:szCs w:val="24"/>
          <w:rtl/>
        </w:rPr>
        <w:t xml:space="preserve"> </w:t>
      </w:r>
      <w:r w:rsidRPr="00C95F00">
        <w:rPr>
          <w:rFonts w:ascii="Simplified Arabic" w:hAnsi="Simplified Arabic" w:cs="Simplified Arabic"/>
          <w:sz w:val="24"/>
          <w:szCs w:val="24"/>
          <w:rtl/>
        </w:rPr>
        <w:t xml:space="preserve">نسمة سنة </w:t>
      </w:r>
      <w:r>
        <w:rPr>
          <w:rFonts w:ascii="Simplified Arabic" w:hAnsi="Simplified Arabic" w:cs="Simplified Arabic" w:hint="cs"/>
          <w:sz w:val="24"/>
          <w:szCs w:val="24"/>
          <w:rtl/>
        </w:rPr>
        <w:t>2022</w:t>
      </w:r>
      <w:r w:rsidRPr="00C95F0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لذلك، </w:t>
      </w:r>
      <w:r>
        <w:rPr>
          <w:rFonts w:ascii="Simplified Arabic" w:hAnsi="Simplified Arabic" w:cs="Simplified Arabic" w:hint="cs"/>
          <w:sz w:val="24"/>
          <w:szCs w:val="24"/>
          <w:rtl/>
          <w:lang w:bidi="ar-DZ"/>
        </w:rPr>
        <w:t>فان حجم العي</w:t>
      </w:r>
      <w:r w:rsidR="00160480">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نة المناسب لمدينة بوسعادة هو 384 مفردة. من خلال دمج </w:t>
      </w:r>
      <w:r w:rsidRPr="0052383B">
        <w:rPr>
          <w:rFonts w:ascii="Simplified Arabic" w:hAnsi="Simplified Arabic" w:cs="Simplified Arabic" w:hint="cs"/>
          <w:sz w:val="24"/>
          <w:szCs w:val="24"/>
          <w:rtl/>
          <w:lang w:val="en-US"/>
        </w:rPr>
        <w:t>فاصل</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الثقة</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وهامش</w:t>
      </w:r>
      <w:r w:rsidRPr="0052383B">
        <w:rPr>
          <w:rFonts w:ascii="Simplified Arabic" w:hAnsi="Simplified Arabic" w:cs="Simplified Arabic"/>
          <w:sz w:val="24"/>
          <w:szCs w:val="24"/>
          <w:rtl/>
          <w:lang w:val="en-US"/>
        </w:rPr>
        <w:t xml:space="preserve"> </w:t>
      </w:r>
      <w:r w:rsidRPr="0052383B">
        <w:rPr>
          <w:rFonts w:ascii="Simplified Arabic" w:hAnsi="Simplified Arabic" w:cs="Simplified Arabic" w:hint="cs"/>
          <w:sz w:val="24"/>
          <w:szCs w:val="24"/>
          <w:rtl/>
          <w:lang w:val="en-US"/>
        </w:rPr>
        <w:t>الخطأ</w:t>
      </w:r>
      <w:r>
        <w:rPr>
          <w:rFonts w:ascii="Simplified Arabic" w:hAnsi="Simplified Arabic" w:cs="Simplified Arabic" w:hint="cs"/>
          <w:sz w:val="24"/>
          <w:szCs w:val="24"/>
          <w:rtl/>
          <w:lang w:val="en-US"/>
        </w:rPr>
        <w:t>، تم اق</w:t>
      </w:r>
      <w:r w:rsidRPr="00292520">
        <w:rPr>
          <w:rFonts w:ascii="Simplified Arabic" w:hAnsi="Simplified Arabic" w:cs="Simplified Arabic" w:hint="cs"/>
          <w:sz w:val="24"/>
          <w:szCs w:val="24"/>
          <w:rtl/>
          <w:lang w:bidi="ar-DZ"/>
        </w:rPr>
        <w:t>تر</w:t>
      </w:r>
      <w:r>
        <w:rPr>
          <w:rFonts w:ascii="Simplified Arabic" w:hAnsi="Simplified Arabic" w:cs="Simplified Arabic" w:hint="cs"/>
          <w:sz w:val="24"/>
          <w:szCs w:val="24"/>
          <w:rtl/>
          <w:lang w:bidi="ar-DZ"/>
        </w:rPr>
        <w:t>ا</w:t>
      </w:r>
      <w:r w:rsidRPr="00292520">
        <w:rPr>
          <w:rFonts w:ascii="Simplified Arabic" w:hAnsi="Simplified Arabic" w:cs="Simplified Arabic" w:hint="cs"/>
          <w:sz w:val="24"/>
          <w:szCs w:val="24"/>
          <w:rtl/>
          <w:lang w:bidi="ar-DZ"/>
        </w:rPr>
        <w:t>ح</w:t>
      </w:r>
      <w:r w:rsidRPr="00292520">
        <w:rPr>
          <w:rFonts w:ascii="Simplified Arabic" w:hAnsi="Simplified Arabic" w:cs="Simplified Arabic"/>
          <w:sz w:val="24"/>
          <w:szCs w:val="24"/>
          <w:rtl/>
          <w:lang w:bidi="ar-DZ"/>
        </w:rPr>
        <w:t xml:space="preserve"> </w:t>
      </w:r>
      <w:r w:rsidRPr="00292520">
        <w:rPr>
          <w:rFonts w:ascii="Simplified Arabic" w:hAnsi="Simplified Arabic" w:cs="Simplified Arabic" w:hint="cs"/>
          <w:sz w:val="24"/>
          <w:szCs w:val="24"/>
          <w:rtl/>
          <w:lang w:bidi="ar-DZ"/>
        </w:rPr>
        <w:t>مستوى</w:t>
      </w:r>
      <w:r w:rsidRPr="00292520">
        <w:rPr>
          <w:rFonts w:ascii="Simplified Arabic" w:hAnsi="Simplified Arabic" w:cs="Simplified Arabic"/>
          <w:sz w:val="24"/>
          <w:szCs w:val="24"/>
          <w:rtl/>
          <w:lang w:bidi="ar-DZ"/>
        </w:rPr>
        <w:t xml:space="preserve"> </w:t>
      </w:r>
      <w:r w:rsidRPr="00292520">
        <w:rPr>
          <w:rFonts w:ascii="Simplified Arabic" w:hAnsi="Simplified Arabic" w:cs="Simplified Arabic" w:hint="cs"/>
          <w:sz w:val="24"/>
          <w:szCs w:val="24"/>
          <w:rtl/>
          <w:lang w:bidi="ar-DZ"/>
        </w:rPr>
        <w:t>ثقة</w:t>
      </w:r>
      <w:r>
        <w:rPr>
          <w:rFonts w:ascii="Simplified Arabic" w:hAnsi="Simplified Arabic" w:cs="Simplified Arabic" w:hint="cs"/>
          <w:sz w:val="24"/>
          <w:szCs w:val="24"/>
          <w:rtl/>
          <w:lang w:bidi="ar-DZ"/>
        </w:rPr>
        <w:t xml:space="preserve"> </w:t>
      </w:r>
      <w:r w:rsidRPr="00292520">
        <w:rPr>
          <w:rFonts w:ascii="Simplified Arabic" w:hAnsi="Simplified Arabic" w:cs="Simplified Arabic"/>
          <w:sz w:val="24"/>
          <w:szCs w:val="24"/>
          <w:rtl/>
          <w:lang w:bidi="ar-DZ"/>
        </w:rPr>
        <w:t xml:space="preserve">95٪ </w:t>
      </w:r>
      <w:r>
        <w:rPr>
          <w:rFonts w:ascii="Simplified Arabic" w:hAnsi="Simplified Arabic" w:cs="Simplified Arabic" w:hint="cs"/>
          <w:sz w:val="24"/>
          <w:szCs w:val="24"/>
          <w:rtl/>
          <w:lang w:bidi="ar-DZ"/>
        </w:rPr>
        <w:t>و</w:t>
      </w:r>
      <w:r w:rsidRPr="00292520">
        <w:rPr>
          <w:rFonts w:ascii="Simplified Arabic" w:hAnsi="Simplified Arabic" w:cs="Simplified Arabic" w:hint="cs"/>
          <w:sz w:val="24"/>
          <w:szCs w:val="24"/>
          <w:rtl/>
          <w:lang w:bidi="ar-DZ"/>
        </w:rPr>
        <w:t>هامش</w:t>
      </w:r>
      <w:r w:rsidRPr="00292520">
        <w:rPr>
          <w:rFonts w:ascii="Simplified Arabic" w:hAnsi="Simplified Arabic" w:cs="Simplified Arabic"/>
          <w:sz w:val="24"/>
          <w:szCs w:val="24"/>
          <w:rtl/>
          <w:lang w:bidi="ar-DZ"/>
        </w:rPr>
        <w:t xml:space="preserve"> </w:t>
      </w:r>
      <w:r w:rsidRPr="00292520">
        <w:rPr>
          <w:rFonts w:ascii="Simplified Arabic" w:hAnsi="Simplified Arabic" w:cs="Simplified Arabic" w:hint="cs"/>
          <w:sz w:val="24"/>
          <w:szCs w:val="24"/>
          <w:rtl/>
          <w:lang w:bidi="ar-DZ"/>
        </w:rPr>
        <w:t>خطأ</w:t>
      </w:r>
      <w:r w:rsidRPr="00292520">
        <w:rPr>
          <w:rFonts w:ascii="Simplified Arabic" w:hAnsi="Simplified Arabic" w:cs="Simplified Arabic"/>
          <w:sz w:val="24"/>
          <w:szCs w:val="24"/>
          <w:rtl/>
          <w:lang w:bidi="ar-DZ"/>
        </w:rPr>
        <w:t xml:space="preserve"> 5٪</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val="en-US"/>
        </w:rPr>
        <w:t xml:space="preserve">باستخدام معادلة </w:t>
      </w:r>
      <w:r w:rsidRPr="00FC359A">
        <w:rPr>
          <w:rFonts w:ascii="Simplified Arabic" w:hAnsi="Simplified Arabic" w:cs="Simplified Arabic"/>
          <w:sz w:val="24"/>
          <w:szCs w:val="24"/>
          <w:rtl/>
          <w:lang w:val="en-US"/>
        </w:rPr>
        <w:t xml:space="preserve">ثامبسون </w:t>
      </w:r>
      <w:r w:rsidR="00C840FB">
        <w:rPr>
          <w:rFonts w:ascii="Simplified Arabic" w:hAnsi="Simplified Arabic" w:cs="Simplified Arabic" w:hint="cs"/>
          <w:sz w:val="24"/>
          <w:szCs w:val="24"/>
          <w:rtl/>
          <w:lang w:val="en-US"/>
        </w:rPr>
        <w:t xml:space="preserve">فان </w:t>
      </w:r>
      <w:r>
        <w:rPr>
          <w:rFonts w:ascii="Simplified Arabic" w:hAnsi="Simplified Arabic" w:cs="Simplified Arabic" w:hint="cs"/>
          <w:sz w:val="24"/>
          <w:szCs w:val="24"/>
          <w:rtl/>
          <w:lang w:bidi="ar-DZ"/>
        </w:rPr>
        <w:t xml:space="preserve">حجم العينة </w:t>
      </w:r>
      <w:r w:rsidR="00C840FB">
        <w:rPr>
          <w:rFonts w:ascii="Simplified Arabic" w:hAnsi="Simplified Arabic" w:cs="Simplified Arabic" w:hint="cs"/>
          <w:sz w:val="24"/>
          <w:szCs w:val="24"/>
          <w:rtl/>
          <w:lang w:bidi="ar-DZ"/>
        </w:rPr>
        <w:t xml:space="preserve">في البحث الحالي </w:t>
      </w:r>
      <w:r>
        <w:rPr>
          <w:rFonts w:ascii="Simplified Arabic" w:hAnsi="Simplified Arabic" w:cs="Simplified Arabic" w:hint="cs"/>
          <w:sz w:val="24"/>
          <w:szCs w:val="24"/>
          <w:rtl/>
          <w:lang w:bidi="ar-DZ"/>
        </w:rPr>
        <w:t>هو كما يلي:</w:t>
      </w:r>
    </w:p>
    <w:p w:rsidR="00C121B0" w:rsidRPr="00B54793" w:rsidRDefault="00C121B0" w:rsidP="00C121B0">
      <w:pPr>
        <w:bidi/>
        <w:spacing w:before="240"/>
        <w:ind w:firstLine="282"/>
        <w:jc w:val="both"/>
        <w:rPr>
          <w:rFonts w:ascii="Simplified Arabic" w:eastAsiaTheme="minorEastAsia" w:hAnsi="Simplified Arabic" w:cs="Simplified Arabic"/>
          <w:bCs/>
          <w:sz w:val="24"/>
          <w:szCs w:val="24"/>
          <w:rtl/>
        </w:rPr>
      </w:pPr>
      <m:oMathPara>
        <m:oMath>
          <m:r>
            <m:rPr>
              <m:sty m:val="bi"/>
            </m:rPr>
            <w:rPr>
              <w:rFonts w:ascii="Cambria Math" w:hAnsi="Cambria Math"/>
            </w:rPr>
            <m:t>n</m:t>
          </m:r>
          <m:r>
            <m:rPr>
              <m:sty m:val="p"/>
            </m:rPr>
            <w:rPr>
              <w:rFonts w:ascii="Cambria Math" w:eastAsiaTheme="minorEastAsia" w:hAnsi="Cambria Math" w:cs="Cambria Math"/>
              <w:sz w:val="24"/>
              <w:szCs w:val="24"/>
            </w:rPr>
            <m:t>=</m:t>
          </m:r>
          <m:f>
            <m:fPr>
              <m:ctrlPr>
                <w:rPr>
                  <w:rFonts w:ascii="Cambria Math" w:eastAsiaTheme="minorEastAsia" w:hAnsi="Cambria Math"/>
                  <w:bCs/>
                  <w:sz w:val="24"/>
                  <w:szCs w:val="24"/>
                </w:rPr>
              </m:ctrlPr>
            </m:fPr>
            <m:num>
              <m:r>
                <m:rPr>
                  <m:sty m:val="p"/>
                </m:rPr>
                <w:rPr>
                  <w:rFonts w:ascii="Cambria Math" w:eastAsiaTheme="minorEastAsia" w:hAnsi="Cambria Math" w:cs="Cambria Math"/>
                  <w:sz w:val="24"/>
                  <w:szCs w:val="24"/>
                </w:rPr>
                <m:t>384×(1-0.50)</m:t>
              </m:r>
            </m:num>
            <m:den>
              <m:sSup>
                <m:sSupPr>
                  <m:ctrlPr>
                    <w:rPr>
                      <w:rFonts w:ascii="Cambria Math" w:eastAsiaTheme="minorEastAsia" w:hAnsi="Cambria Math"/>
                      <w:bCs/>
                      <w:i/>
                      <w:sz w:val="24"/>
                      <w:szCs w:val="24"/>
                    </w:rPr>
                  </m:ctrlPr>
                </m:sSupPr>
                <m:e>
                  <m:r>
                    <m:rPr>
                      <m:sty m:val="p"/>
                    </m:rPr>
                    <w:rPr>
                      <w:rFonts w:ascii="Cambria Math" w:eastAsiaTheme="minorEastAsia" w:hAnsi="Cambria Math"/>
                      <w:sz w:val="24"/>
                      <w:szCs w:val="24"/>
                      <w:lang w:bidi="ar-DZ"/>
                    </w:rPr>
                    <m:t>[[</m:t>
                  </m:r>
                  <m:r>
                    <w:rPr>
                      <w:rFonts w:ascii="Cambria Math" w:eastAsiaTheme="minorEastAsia" w:hAnsi="Cambria Math"/>
                      <w:sz w:val="24"/>
                      <w:szCs w:val="24"/>
                      <w:lang w:bidi="ar-DZ"/>
                    </w:rPr>
                    <m:t>384-1×(0.05</m:t>
                  </m:r>
                </m:e>
                <m:sup>
                  <m:r>
                    <w:rPr>
                      <w:rFonts w:ascii="Cambria Math" w:hAnsi="Cambria Math"/>
                      <w:sz w:val="24"/>
                      <w:szCs w:val="24"/>
                    </w:rPr>
                    <m:t>2</m:t>
                  </m:r>
                </m:sup>
              </m:sSup>
              <m:r>
                <w:rPr>
                  <w:rFonts w:ascii="Cambria Math" w:eastAsiaTheme="minorEastAsia" w:hAnsi="Cambria Math"/>
                  <w:sz w:val="24"/>
                  <w:szCs w:val="24"/>
                </w:rPr>
                <m:t>/</m:t>
              </m:r>
              <m:sSup>
                <m:sSupPr>
                  <m:ctrlPr>
                    <w:rPr>
                      <w:rFonts w:ascii="Cambria Math" w:eastAsiaTheme="minorEastAsia" w:hAnsi="Cambria Math"/>
                      <w:bCs/>
                      <w:i/>
                      <w:sz w:val="24"/>
                      <w:szCs w:val="24"/>
                    </w:rPr>
                  </m:ctrlPr>
                </m:sSupPr>
                <m:e>
                  <m:r>
                    <w:rPr>
                      <w:rFonts w:ascii="Cambria Math" w:hAnsi="Cambria Math"/>
                      <w:sz w:val="24"/>
                      <w:szCs w:val="24"/>
                    </w:rPr>
                    <m:t>1.96</m:t>
                  </m:r>
                </m:e>
                <m:sup>
                  <m:r>
                    <w:rPr>
                      <w:rFonts w:ascii="Cambria Math" w:hAnsi="Cambria Math"/>
                      <w:sz w:val="24"/>
                      <w:szCs w:val="24"/>
                    </w:rPr>
                    <m:t>2</m:t>
                  </m:r>
                </m:sup>
              </m:sSup>
              <m:r>
                <w:rPr>
                  <w:rFonts w:ascii="Cambria Math" w:eastAsiaTheme="minorEastAsia" w:hAnsi="Cambria Math"/>
                  <w:sz w:val="24"/>
                  <w:szCs w:val="24"/>
                </w:rPr>
                <m:t>)]+0.50(1-0.50)]</m:t>
              </m:r>
            </m:den>
          </m:f>
        </m:oMath>
      </m:oMathPara>
    </w:p>
    <w:p w:rsidR="00C121B0" w:rsidRPr="00B21E86" w:rsidRDefault="00C121B0" w:rsidP="00C121B0">
      <w:pPr>
        <w:bidi/>
        <w:spacing w:before="240" w:after="0"/>
        <w:ind w:firstLine="282"/>
        <w:jc w:val="center"/>
        <w:rPr>
          <w:rFonts w:ascii="Simplified Arabic" w:eastAsiaTheme="minorEastAsia" w:hAnsi="Simplified Arabic" w:cs="Simplified Arabic"/>
          <w:bCs/>
          <w:iCs/>
          <w:sz w:val="24"/>
          <w:szCs w:val="24"/>
          <w:rtl/>
        </w:rPr>
      </w:pPr>
      <m:oMath>
        <m:r>
          <m:rPr>
            <m:sty m:val="bi"/>
          </m:rPr>
          <w:rPr>
            <w:rFonts w:ascii="Cambria Math" w:hAnsi="Cambria Math"/>
          </w:rPr>
          <m:t>n</m:t>
        </m:r>
        <m:r>
          <m:rPr>
            <m:sty m:val="p"/>
          </m:rPr>
          <w:rPr>
            <w:rFonts w:ascii="Cambria Math" w:eastAsiaTheme="minorEastAsia" w:hAnsi="Cambria Math" w:cs="Cambria Math"/>
            <w:sz w:val="24"/>
            <w:szCs w:val="24"/>
          </w:rPr>
          <m:t>=</m:t>
        </m:r>
        <m:r>
          <m:rPr>
            <m:sty m:val="p"/>
          </m:rPr>
          <w:rPr>
            <w:rFonts w:ascii="Cambria Math" w:eastAsiaTheme="minorEastAsia" w:hAnsi="Cambria Math"/>
            <w:sz w:val="28"/>
            <w:szCs w:val="28"/>
          </w:rPr>
          <m:t>384</m:t>
        </m:r>
        <m:r>
          <m:rPr>
            <m:sty m:val="p"/>
          </m:rPr>
          <w:rPr>
            <w:rFonts w:ascii="Cambria Math" w:eastAsiaTheme="minorEastAsia" w:hAnsi="Cambria Math"/>
            <w:sz w:val="24"/>
            <w:szCs w:val="24"/>
          </w:rPr>
          <m:t>.58</m:t>
        </m:r>
      </m:oMath>
      <w:r>
        <w:rPr>
          <w:rFonts w:ascii="Simplified Arabic" w:eastAsiaTheme="minorEastAsia" w:hAnsi="Simplified Arabic" w:cs="Simplified Arabic"/>
          <w:bCs/>
          <w:iCs/>
          <w:sz w:val="24"/>
          <w:szCs w:val="24"/>
        </w:rPr>
        <w:t xml:space="preserve"> </w:t>
      </w:r>
      <m:oMath>
        <m:r>
          <w:rPr>
            <w:rFonts w:ascii="Cambria Math" w:eastAsia="Times New Roman" w:hAnsi="Cambria Math" w:cstheme="majorBidi"/>
            <w:sz w:val="24"/>
            <w:szCs w:val="24"/>
          </w:rPr>
          <m:t>≅</m:t>
        </m:r>
      </m:oMath>
      <w:r w:rsidRPr="00B21E86">
        <w:rPr>
          <w:rFonts w:ascii="Cambria Math" w:eastAsiaTheme="minorEastAsia" w:hAnsi="Cambria Math"/>
          <w:bCs/>
          <w:sz w:val="28"/>
          <w:szCs w:val="28"/>
        </w:rPr>
        <w:t>385</w:t>
      </w:r>
    </w:p>
    <w:p w:rsidR="00C121B0" w:rsidRPr="006F2A40" w:rsidRDefault="00C121B0" w:rsidP="001D0548">
      <w:pPr>
        <w:pStyle w:val="Paragraphedeliste"/>
        <w:numPr>
          <w:ilvl w:val="3"/>
          <w:numId w:val="175"/>
        </w:numPr>
        <w:tabs>
          <w:tab w:val="right" w:pos="992"/>
        </w:tabs>
        <w:bidi/>
        <w:spacing w:after="0"/>
        <w:ind w:left="0" w:firstLine="0"/>
        <w:jc w:val="both"/>
        <w:outlineLvl w:val="2"/>
        <w:rPr>
          <w:rFonts w:ascii="Simplified Arabic" w:hAnsi="Simplified Arabic" w:cs="Simplified Arabic"/>
          <w:b/>
          <w:bCs/>
          <w:sz w:val="24"/>
          <w:szCs w:val="24"/>
          <w:rtl/>
          <w:lang w:val="en-US"/>
        </w:rPr>
      </w:pPr>
      <w:bookmarkStart w:id="724" w:name="_Toc171803730"/>
      <w:r w:rsidRPr="006F2A40">
        <w:rPr>
          <w:rFonts w:ascii="Simplified Arabic" w:hAnsi="Simplified Arabic" w:cs="Simplified Arabic" w:hint="cs"/>
          <w:b/>
          <w:bCs/>
          <w:sz w:val="24"/>
          <w:szCs w:val="24"/>
          <w:rtl/>
          <w:lang w:val="en-US"/>
        </w:rPr>
        <w:t>تحليل نتائج الاستبيان</w:t>
      </w:r>
      <w:bookmarkEnd w:id="724"/>
    </w:p>
    <w:p w:rsidR="00C121B0" w:rsidRPr="00BD6A32" w:rsidRDefault="00C121B0" w:rsidP="001D0548">
      <w:pPr>
        <w:pStyle w:val="Paragraphedeliste"/>
        <w:numPr>
          <w:ilvl w:val="0"/>
          <w:numId w:val="239"/>
        </w:numPr>
        <w:tabs>
          <w:tab w:val="right" w:pos="1134"/>
        </w:tabs>
        <w:bidi/>
        <w:spacing w:after="0"/>
        <w:ind w:left="0" w:firstLine="992"/>
        <w:jc w:val="both"/>
        <w:outlineLvl w:val="3"/>
        <w:rPr>
          <w:rFonts w:ascii="Simplified Arabic" w:hAnsi="Simplified Arabic" w:cs="Simplified Arabic"/>
          <w:b/>
          <w:bCs/>
          <w:sz w:val="24"/>
          <w:szCs w:val="24"/>
          <w:rtl/>
          <w:lang w:val="en-US"/>
        </w:rPr>
      </w:pPr>
      <w:r w:rsidRPr="00BD6A32">
        <w:rPr>
          <w:rFonts w:ascii="Simplified Arabic" w:hAnsi="Simplified Arabic" w:cs="Simplified Arabic"/>
          <w:b/>
          <w:bCs/>
          <w:sz w:val="24"/>
          <w:szCs w:val="24"/>
          <w:rtl/>
          <w:lang w:val="en-US"/>
        </w:rPr>
        <w:t xml:space="preserve">تحليل بيانات القسم </w:t>
      </w:r>
      <w:r w:rsidRPr="00BD6A32">
        <w:rPr>
          <w:rFonts w:ascii="Simplified Arabic" w:hAnsi="Simplified Arabic" w:cs="Simplified Arabic" w:hint="cs"/>
          <w:b/>
          <w:bCs/>
          <w:sz w:val="24"/>
          <w:szCs w:val="24"/>
          <w:rtl/>
          <w:lang w:val="en-US"/>
        </w:rPr>
        <w:t>(أ)</w:t>
      </w:r>
      <w:r w:rsidRPr="00BD6A32">
        <w:rPr>
          <w:rFonts w:ascii="Simplified Arabic" w:hAnsi="Simplified Arabic" w:cs="Simplified Arabic"/>
          <w:b/>
          <w:bCs/>
          <w:sz w:val="24"/>
          <w:szCs w:val="24"/>
          <w:rtl/>
          <w:lang w:val="en-US"/>
        </w:rPr>
        <w:t xml:space="preserve">: </w:t>
      </w:r>
    </w:p>
    <w:p w:rsidR="00C121B0" w:rsidRPr="002563B2" w:rsidRDefault="00C121B0" w:rsidP="001D0548">
      <w:pPr>
        <w:pStyle w:val="Paragraphedeliste"/>
        <w:numPr>
          <w:ilvl w:val="0"/>
          <w:numId w:val="45"/>
        </w:numPr>
        <w:bidi/>
        <w:spacing w:after="0"/>
        <w:ind w:left="-1" w:firstLine="283"/>
        <w:jc w:val="both"/>
        <w:rPr>
          <w:rFonts w:ascii="Simplified Arabic" w:hAnsi="Simplified Arabic" w:cs="Simplified Arabic"/>
          <w:b/>
          <w:bCs/>
          <w:sz w:val="24"/>
          <w:szCs w:val="24"/>
          <w:lang w:val="en-US"/>
        </w:rPr>
      </w:pPr>
      <w:r w:rsidRPr="002563B2">
        <w:rPr>
          <w:rFonts w:ascii="Simplified Arabic" w:hAnsi="Simplified Arabic" w:cs="Simplified Arabic" w:hint="cs"/>
          <w:b/>
          <w:bCs/>
          <w:sz w:val="24"/>
          <w:szCs w:val="24"/>
          <w:rtl/>
          <w:lang w:val="en-US"/>
        </w:rPr>
        <w:t>تحليل نسبة الاستجابة</w:t>
      </w:r>
    </w:p>
    <w:p w:rsidR="00C121B0" w:rsidRDefault="00350075" w:rsidP="00CB1691">
      <w:pPr>
        <w:pStyle w:val="Default"/>
        <w:bidi/>
        <w:spacing w:line="276" w:lineRule="auto"/>
        <w:ind w:firstLine="282"/>
        <w:jc w:val="both"/>
        <w:rPr>
          <w:rFonts w:ascii="Simplified Arabic" w:hAnsi="Simplified Arabic" w:cs="Simplified Arabic"/>
          <w:rtl/>
          <w:lang w:val="en-US"/>
        </w:rPr>
      </w:pPr>
      <w:r>
        <w:rPr>
          <w:rFonts w:ascii="Simplified Arabic" w:hAnsi="Simplified Arabic" w:cs="Simplified Arabic" w:hint="cs"/>
          <w:rtl/>
        </w:rPr>
        <w:t>ي</w:t>
      </w:r>
      <w:r w:rsidR="007465F1" w:rsidRPr="00775855">
        <w:rPr>
          <w:rFonts w:ascii="Simplified Arabic" w:hAnsi="Simplified Arabic" w:cs="Simplified Arabic"/>
          <w:rtl/>
        </w:rPr>
        <w:t>عتبر</w:t>
      </w:r>
      <w:r>
        <w:rPr>
          <w:rFonts w:ascii="Simplified Arabic" w:hAnsi="Simplified Arabic" w:cs="Simplified Arabic" w:hint="cs"/>
          <w:rtl/>
        </w:rPr>
        <w:t xml:space="preserve"> الاستبيان الالكتروني</w:t>
      </w:r>
      <w:r w:rsidR="007465F1" w:rsidRPr="00775855">
        <w:rPr>
          <w:rFonts w:ascii="Simplified Arabic" w:hAnsi="Simplified Arabic" w:cs="Simplified Arabic"/>
          <w:rtl/>
        </w:rPr>
        <w:t xml:space="preserve"> </w:t>
      </w:r>
      <w:r>
        <w:rPr>
          <w:rFonts w:ascii="Simplified Arabic" w:hAnsi="Simplified Arabic" w:cs="Simplified Arabic" w:hint="cs"/>
          <w:rtl/>
        </w:rPr>
        <w:t xml:space="preserve">عبر </w:t>
      </w:r>
      <w:r w:rsidR="007465F1">
        <w:rPr>
          <w:rFonts w:ascii="Simplified Arabic" w:hAnsi="Simplified Arabic" w:cs="Simplified Arabic" w:hint="cs"/>
          <w:rtl/>
        </w:rPr>
        <w:t xml:space="preserve">شبكة </w:t>
      </w:r>
      <w:r w:rsidR="007465F1" w:rsidRPr="00775855">
        <w:rPr>
          <w:rFonts w:ascii="Simplified Arabic" w:hAnsi="Simplified Arabic" w:cs="Simplified Arabic"/>
          <w:rtl/>
        </w:rPr>
        <w:t xml:space="preserve">الانترنيت أداة </w:t>
      </w:r>
      <w:r>
        <w:rPr>
          <w:rFonts w:ascii="Simplified Arabic" w:hAnsi="Simplified Arabic" w:cs="Simplified Arabic" w:hint="cs"/>
          <w:rtl/>
        </w:rPr>
        <w:t xml:space="preserve">فعالة لربح الوقت والجهد، </w:t>
      </w:r>
      <w:r w:rsidR="00D83C83">
        <w:rPr>
          <w:rFonts w:ascii="Simplified Arabic" w:hAnsi="Simplified Arabic" w:cs="Simplified Arabic" w:hint="cs"/>
          <w:rtl/>
        </w:rPr>
        <w:t xml:space="preserve">كما انها تسمح بالتحكم في استقبال الردود. </w:t>
      </w:r>
      <w:r>
        <w:rPr>
          <w:rFonts w:ascii="Simplified Arabic" w:hAnsi="Simplified Arabic" w:cs="Simplified Arabic" w:hint="cs"/>
          <w:rtl/>
        </w:rPr>
        <w:t xml:space="preserve">تم اجراء استبيان محلي </w:t>
      </w:r>
      <w:r w:rsidR="00D83C83">
        <w:rPr>
          <w:rFonts w:ascii="Simplified Arabic" w:hAnsi="Simplified Arabic" w:cs="Simplified Arabic" w:hint="cs"/>
          <w:rtl/>
        </w:rPr>
        <w:t>على مراحل وعلى الترتيب</w:t>
      </w:r>
      <w:r>
        <w:rPr>
          <w:rFonts w:ascii="Simplified Arabic" w:hAnsi="Simplified Arabic" w:cs="Simplified Arabic" w:hint="cs"/>
          <w:rtl/>
        </w:rPr>
        <w:t xml:space="preserve"> </w:t>
      </w:r>
      <w:r w:rsidR="00D83C83">
        <w:rPr>
          <w:rFonts w:ascii="Simplified Arabic" w:hAnsi="Simplified Arabic" w:cs="Simplified Arabic" w:hint="cs"/>
          <w:rtl/>
        </w:rPr>
        <w:t xml:space="preserve">يخص سكان </w:t>
      </w:r>
      <w:r w:rsidR="00CB1691">
        <w:rPr>
          <w:rFonts w:ascii="Simplified Arabic" w:hAnsi="Simplified Arabic" w:cs="Simplified Arabic" w:hint="cs"/>
          <w:rtl/>
        </w:rPr>
        <w:t>احياء:</w:t>
      </w:r>
      <w:r w:rsidR="00CB1691" w:rsidRPr="00975C6D">
        <w:rPr>
          <w:rFonts w:ascii="Simplified Arabic" w:hAnsi="Simplified Arabic" w:cs="Simplified Arabic" w:hint="cs"/>
          <w:color w:val="000000" w:themeColor="text1"/>
          <w:rtl/>
          <w:lang w:val="en-US"/>
        </w:rPr>
        <w:t xml:space="preserve"> سيدي سليمان</w:t>
      </w:r>
      <w:r w:rsidR="00CB1691">
        <w:rPr>
          <w:rFonts w:ascii="Simplified Arabic" w:hAnsi="Simplified Arabic" w:cs="Simplified Arabic" w:hint="cs"/>
          <w:color w:val="000000" w:themeColor="text1"/>
          <w:rtl/>
          <w:lang w:val="en-US"/>
        </w:rPr>
        <w:t>، ميطر</w:t>
      </w:r>
      <w:r w:rsidR="00CB1691" w:rsidRPr="00975C6D">
        <w:rPr>
          <w:rFonts w:ascii="Simplified Arabic" w:hAnsi="Simplified Arabic" w:cs="Simplified Arabic" w:hint="cs"/>
          <w:color w:val="000000" w:themeColor="text1"/>
          <w:rtl/>
          <w:lang w:val="en-US"/>
        </w:rPr>
        <w:t>، الحمايد والباطن</w:t>
      </w:r>
      <w:r w:rsidR="00CB1691">
        <w:rPr>
          <w:rFonts w:ascii="Simplified Arabic" w:hAnsi="Simplified Arabic" w:cs="Simplified Arabic" w:hint="cs"/>
          <w:color w:val="000000" w:themeColor="text1"/>
          <w:rtl/>
          <w:lang w:val="en-US"/>
        </w:rPr>
        <w:t xml:space="preserve"> </w:t>
      </w:r>
      <w:r w:rsidR="00D83C83" w:rsidRPr="00975C6D">
        <w:rPr>
          <w:rFonts w:ascii="Simplified Arabic" w:hAnsi="Simplified Arabic" w:cs="Simplified Arabic" w:hint="cs"/>
          <w:color w:val="000000" w:themeColor="text1"/>
          <w:rtl/>
          <w:lang w:val="en-US"/>
        </w:rPr>
        <w:t xml:space="preserve">التي تشهد مستوى متدنٍ </w:t>
      </w:r>
      <w:r w:rsidR="008C50E7">
        <w:rPr>
          <w:rFonts w:ascii="Simplified Arabic" w:hAnsi="Simplified Arabic" w:cs="Simplified Arabic" w:hint="cs"/>
          <w:color w:val="000000" w:themeColor="text1"/>
          <w:rtl/>
          <w:lang w:val="en-US"/>
        </w:rPr>
        <w:t xml:space="preserve">(متوسط ومنخفض) </w:t>
      </w:r>
      <w:r w:rsidR="00D83C83" w:rsidRPr="00975C6D">
        <w:rPr>
          <w:rFonts w:ascii="Simplified Arabic" w:hAnsi="Simplified Arabic" w:cs="Simplified Arabic" w:hint="cs"/>
          <w:color w:val="000000" w:themeColor="text1"/>
          <w:rtl/>
          <w:lang w:val="en-US"/>
        </w:rPr>
        <w:t>من المرونة</w:t>
      </w:r>
      <w:r w:rsidR="00D83C83">
        <w:rPr>
          <w:rFonts w:ascii="Simplified Arabic" w:hAnsi="Simplified Arabic" w:cs="Simplified Arabic" w:hint="cs"/>
          <w:color w:val="000000" w:themeColor="text1"/>
          <w:rtl/>
          <w:lang w:val="en-US"/>
        </w:rPr>
        <w:t xml:space="preserve">. تم توقيف استقبال الردود في كل مرحلة عند </w:t>
      </w:r>
      <w:r w:rsidR="00C121B0">
        <w:rPr>
          <w:rFonts w:ascii="Simplified Arabic" w:hAnsi="Simplified Arabic" w:cs="Simplified Arabic" w:hint="cs"/>
          <w:rtl/>
          <w:lang w:val="en-US"/>
        </w:rPr>
        <w:t>385 عي</w:t>
      </w:r>
      <w:r w:rsidR="00160480">
        <w:rPr>
          <w:rFonts w:ascii="Simplified Arabic" w:hAnsi="Simplified Arabic" w:cs="Simplified Arabic" w:hint="cs"/>
          <w:rtl/>
          <w:lang w:val="en-US"/>
        </w:rPr>
        <w:t>ّ</w:t>
      </w:r>
      <w:r w:rsidR="00C121B0">
        <w:rPr>
          <w:rFonts w:ascii="Simplified Arabic" w:hAnsi="Simplified Arabic" w:cs="Simplified Arabic" w:hint="cs"/>
          <w:rtl/>
          <w:lang w:val="en-US"/>
        </w:rPr>
        <w:t>نة</w:t>
      </w:r>
      <w:r w:rsidR="00291A37">
        <w:rPr>
          <w:rFonts w:ascii="Simplified Arabic" w:hAnsi="Simplified Arabic" w:cs="Simplified Arabic" w:hint="cs"/>
          <w:rtl/>
          <w:lang w:val="en-US"/>
        </w:rPr>
        <w:t xml:space="preserve"> وهو حجم العينة المطلوبة</w:t>
      </w:r>
      <w:r w:rsidR="00C121B0">
        <w:rPr>
          <w:rFonts w:ascii="Simplified Arabic" w:hAnsi="Simplified Arabic" w:cs="Simplified Arabic" w:hint="cs"/>
          <w:rtl/>
          <w:lang w:val="en-US"/>
        </w:rPr>
        <w:t xml:space="preserve">، هذا يدل على ان </w:t>
      </w:r>
      <w:r w:rsidR="00C121B0" w:rsidRPr="00E37F1B">
        <w:rPr>
          <w:rFonts w:ascii="Simplified Arabic" w:hAnsi="Simplified Arabic" w:cs="Simplified Arabic" w:hint="cs"/>
          <w:rtl/>
          <w:lang w:val="en-US"/>
        </w:rPr>
        <w:t>معدل</w:t>
      </w:r>
      <w:r w:rsidR="00C121B0" w:rsidRPr="00E37F1B">
        <w:rPr>
          <w:rFonts w:ascii="Simplified Arabic" w:hAnsi="Simplified Arabic" w:cs="Simplified Arabic"/>
          <w:rtl/>
          <w:lang w:val="en-US"/>
        </w:rPr>
        <w:t xml:space="preserve"> </w:t>
      </w:r>
      <w:r w:rsidR="00C121B0" w:rsidRPr="00E37F1B">
        <w:rPr>
          <w:rFonts w:ascii="Simplified Arabic" w:hAnsi="Simplified Arabic" w:cs="Simplified Arabic" w:hint="cs"/>
          <w:rtl/>
          <w:lang w:val="en-US"/>
        </w:rPr>
        <w:t>الاستجابة</w:t>
      </w:r>
      <w:r w:rsidR="00C121B0" w:rsidRPr="00E37F1B">
        <w:rPr>
          <w:rFonts w:ascii="Simplified Arabic" w:hAnsi="Simplified Arabic" w:cs="Simplified Arabic"/>
          <w:rtl/>
          <w:lang w:val="en-US"/>
        </w:rPr>
        <w:t xml:space="preserve"> </w:t>
      </w:r>
      <w:r w:rsidR="00C121B0" w:rsidRPr="00E37F1B">
        <w:rPr>
          <w:rFonts w:ascii="Simplified Arabic" w:hAnsi="Simplified Arabic" w:cs="Simplified Arabic" w:hint="cs"/>
          <w:rtl/>
          <w:lang w:val="en-US"/>
        </w:rPr>
        <w:t>يتوافق</w:t>
      </w:r>
      <w:r w:rsidR="00C121B0" w:rsidRPr="00E37F1B">
        <w:rPr>
          <w:rFonts w:ascii="Simplified Arabic" w:hAnsi="Simplified Arabic" w:cs="Simplified Arabic"/>
          <w:rtl/>
          <w:lang w:val="en-US"/>
        </w:rPr>
        <w:t xml:space="preserve"> </w:t>
      </w:r>
      <w:r w:rsidR="00C121B0" w:rsidRPr="00E37F1B">
        <w:rPr>
          <w:rFonts w:ascii="Simplified Arabic" w:hAnsi="Simplified Arabic" w:cs="Simplified Arabic" w:hint="cs"/>
          <w:rtl/>
          <w:lang w:val="en-US"/>
        </w:rPr>
        <w:t>مع</w:t>
      </w:r>
      <w:r w:rsidR="00C121B0" w:rsidRPr="00E37F1B">
        <w:rPr>
          <w:rFonts w:ascii="Simplified Arabic" w:hAnsi="Simplified Arabic" w:cs="Simplified Arabic"/>
          <w:rtl/>
          <w:lang w:val="en-US"/>
        </w:rPr>
        <w:t xml:space="preserve"> </w:t>
      </w:r>
      <w:r w:rsidR="00C121B0">
        <w:rPr>
          <w:rFonts w:ascii="Simplified Arabic" w:hAnsi="Simplified Arabic" w:cs="Simplified Arabic" w:hint="cs"/>
          <w:rtl/>
          <w:lang w:val="en-US"/>
        </w:rPr>
        <w:t xml:space="preserve">اهتمام السكان بقضايا </w:t>
      </w:r>
      <w:r w:rsidR="00D83C83">
        <w:rPr>
          <w:rFonts w:ascii="Simplified Arabic" w:hAnsi="Simplified Arabic" w:cs="Simplified Arabic" w:hint="cs"/>
          <w:rtl/>
          <w:lang w:val="en-US"/>
        </w:rPr>
        <w:t>احيائهم</w:t>
      </w:r>
      <w:r w:rsidR="00C121B0">
        <w:rPr>
          <w:rFonts w:ascii="Simplified Arabic" w:hAnsi="Simplified Arabic" w:cs="Simplified Arabic" w:hint="cs"/>
          <w:rtl/>
          <w:lang w:val="en-US"/>
        </w:rPr>
        <w:t xml:space="preserve">. </w:t>
      </w:r>
    </w:p>
    <w:p w:rsidR="00C121B0" w:rsidRPr="00B125D1" w:rsidRDefault="00C121B0" w:rsidP="00C222A9">
      <w:pPr>
        <w:pStyle w:val="Paragraphedeliste"/>
        <w:numPr>
          <w:ilvl w:val="0"/>
          <w:numId w:val="73"/>
        </w:numPr>
        <w:tabs>
          <w:tab w:val="right" w:pos="850"/>
        </w:tabs>
        <w:bidi/>
        <w:spacing w:after="0"/>
        <w:ind w:left="-1" w:firstLine="568"/>
        <w:jc w:val="both"/>
        <w:rPr>
          <w:rFonts w:ascii="Simplified Arabic" w:hAnsi="Simplified Arabic" w:cs="Simplified Arabic"/>
          <w:b/>
          <w:bCs/>
          <w:sz w:val="24"/>
          <w:szCs w:val="24"/>
          <w:rtl/>
          <w:lang w:val="en-US"/>
        </w:rPr>
      </w:pPr>
      <w:r w:rsidRPr="00B125D1">
        <w:rPr>
          <w:rFonts w:ascii="Simplified Arabic" w:hAnsi="Simplified Arabic" w:cs="Simplified Arabic" w:hint="cs"/>
          <w:b/>
          <w:bCs/>
          <w:sz w:val="24"/>
          <w:szCs w:val="24"/>
          <w:rtl/>
          <w:lang w:val="en-US"/>
        </w:rPr>
        <w:t xml:space="preserve">تحليل </w:t>
      </w:r>
      <w:r w:rsidR="006E439E" w:rsidRPr="00B125D1">
        <w:rPr>
          <w:rFonts w:ascii="Simplified Arabic" w:hAnsi="Simplified Arabic" w:cs="Simplified Arabic" w:hint="cs"/>
          <w:b/>
          <w:bCs/>
          <w:sz w:val="24"/>
          <w:szCs w:val="24"/>
          <w:rtl/>
          <w:lang w:val="en-US"/>
        </w:rPr>
        <w:t xml:space="preserve">توزيع افراد </w:t>
      </w:r>
      <w:r w:rsidR="00B125D1">
        <w:rPr>
          <w:rFonts w:ascii="Simplified Arabic" w:hAnsi="Simplified Arabic" w:cs="Simplified Arabic" w:hint="cs"/>
          <w:b/>
          <w:bCs/>
          <w:sz w:val="24"/>
          <w:szCs w:val="24"/>
          <w:rtl/>
          <w:lang w:val="en-US"/>
        </w:rPr>
        <w:t>العيّنة</w:t>
      </w:r>
      <w:r w:rsidR="00B125D1" w:rsidRPr="00B125D1">
        <w:rPr>
          <w:rFonts w:ascii="Simplified Arabic" w:hAnsi="Simplified Arabic" w:cs="Simplified Arabic" w:hint="cs"/>
          <w:b/>
          <w:bCs/>
          <w:sz w:val="24"/>
          <w:szCs w:val="24"/>
          <w:rtl/>
          <w:lang w:val="en-US"/>
        </w:rPr>
        <w:t xml:space="preserve"> </w:t>
      </w:r>
      <w:r w:rsidR="006E439E" w:rsidRPr="00B125D1">
        <w:rPr>
          <w:rFonts w:ascii="Simplified Arabic" w:hAnsi="Simplified Arabic" w:cs="Simplified Arabic" w:hint="cs"/>
          <w:b/>
          <w:bCs/>
          <w:sz w:val="24"/>
          <w:szCs w:val="24"/>
          <w:rtl/>
          <w:lang w:val="en-US"/>
        </w:rPr>
        <w:t>حسب النوع</w:t>
      </w:r>
      <w:r w:rsidRPr="00B125D1">
        <w:rPr>
          <w:rFonts w:ascii="Simplified Arabic" w:hAnsi="Simplified Arabic" w:cs="Simplified Arabic" w:hint="cs"/>
          <w:b/>
          <w:bCs/>
          <w:sz w:val="24"/>
          <w:szCs w:val="24"/>
          <w:rtl/>
          <w:lang w:val="en-US"/>
        </w:rPr>
        <w:t xml:space="preserve"> </w:t>
      </w:r>
    </w:p>
    <w:p w:rsidR="00C121B0" w:rsidRDefault="00C121B0" w:rsidP="00A66F37">
      <w:pPr>
        <w:bidi/>
        <w:spacing w:after="0"/>
        <w:ind w:firstLine="282"/>
        <w:jc w:val="both"/>
        <w:rPr>
          <w:rFonts w:ascii="Simplified Arabic" w:hAnsi="Simplified Arabic" w:cs="Simplified Arabic"/>
          <w:sz w:val="24"/>
          <w:szCs w:val="24"/>
          <w:rtl/>
          <w:lang w:val="en-US"/>
        </w:rPr>
      </w:pPr>
      <w:r w:rsidRPr="000230BD">
        <w:rPr>
          <w:rFonts w:ascii="Simplified Arabic" w:hAnsi="Simplified Arabic" w:cs="Simplified Arabic" w:hint="cs"/>
          <w:sz w:val="24"/>
          <w:szCs w:val="24"/>
          <w:rtl/>
          <w:lang w:val="en-US"/>
        </w:rPr>
        <w:t>من</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خلال الشكل (</w:t>
      </w:r>
      <w:r w:rsidR="008F7575">
        <w:rPr>
          <w:rFonts w:ascii="Simplified Arabic" w:hAnsi="Simplified Arabic" w:cs="Simplified Arabic" w:hint="cs"/>
          <w:sz w:val="24"/>
          <w:szCs w:val="24"/>
          <w:rtl/>
          <w:lang w:val="en-US"/>
        </w:rPr>
        <w:t>5-9</w:t>
      </w:r>
      <w:r>
        <w:rPr>
          <w:rFonts w:ascii="Simplified Arabic" w:hAnsi="Simplified Arabic" w:cs="Simplified Arabic" w:hint="cs"/>
          <w:sz w:val="24"/>
          <w:szCs w:val="24"/>
          <w:rtl/>
          <w:lang w:val="en-US"/>
        </w:rPr>
        <w:t xml:space="preserve">)، يتم </w:t>
      </w:r>
      <w:r w:rsidRPr="000230BD">
        <w:rPr>
          <w:rFonts w:ascii="Simplified Arabic" w:hAnsi="Simplified Arabic" w:cs="Simplified Arabic" w:hint="cs"/>
          <w:sz w:val="24"/>
          <w:szCs w:val="24"/>
          <w:rtl/>
          <w:lang w:val="en-US"/>
        </w:rPr>
        <w:t>تحليل</w:t>
      </w:r>
      <w:r w:rsidRPr="000230BD">
        <w:rPr>
          <w:rFonts w:ascii="Simplified Arabic" w:hAnsi="Simplified Arabic" w:cs="Simplified Arabic"/>
          <w:sz w:val="24"/>
          <w:szCs w:val="24"/>
          <w:rtl/>
          <w:lang w:val="en-US"/>
        </w:rPr>
        <w:t xml:space="preserve"> </w:t>
      </w:r>
      <w:r w:rsidR="00FC6E58">
        <w:rPr>
          <w:rFonts w:ascii="Simplified Arabic" w:hAnsi="Simplified Arabic" w:cs="Simplified Arabic" w:hint="cs"/>
          <w:sz w:val="24"/>
          <w:szCs w:val="24"/>
          <w:rtl/>
          <w:lang w:val="en-US" w:bidi="ar-DZ"/>
        </w:rPr>
        <w:t>ال</w:t>
      </w:r>
      <w:r w:rsidRPr="000230BD">
        <w:rPr>
          <w:rFonts w:ascii="Simplified Arabic" w:hAnsi="Simplified Arabic" w:cs="Simplified Arabic" w:hint="cs"/>
          <w:sz w:val="24"/>
          <w:szCs w:val="24"/>
          <w:rtl/>
          <w:lang w:val="en-US"/>
        </w:rPr>
        <w:t>نتائج</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التي</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تمثل</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الذكور</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وال</w:t>
      </w:r>
      <w:r>
        <w:rPr>
          <w:rFonts w:ascii="Simplified Arabic" w:hAnsi="Simplified Arabic" w:cs="Simplified Arabic" w:hint="cs"/>
          <w:sz w:val="24"/>
          <w:szCs w:val="24"/>
          <w:rtl/>
          <w:lang w:val="en-US"/>
        </w:rPr>
        <w:t>اناث</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في</w:t>
      </w:r>
      <w:r w:rsidRPr="000230BD">
        <w:rPr>
          <w:rFonts w:ascii="Simplified Arabic" w:hAnsi="Simplified Arabic" w:cs="Simplified Arabic"/>
          <w:sz w:val="24"/>
          <w:szCs w:val="24"/>
          <w:rtl/>
          <w:lang w:val="en-US"/>
        </w:rPr>
        <w:t xml:space="preserve"> </w:t>
      </w:r>
      <w:r w:rsidR="00D45909" w:rsidRPr="00FC6E58">
        <w:rPr>
          <w:rFonts w:ascii="Simplified Arabic" w:hAnsi="Simplified Arabic" w:cs="Simplified Arabic" w:hint="cs"/>
          <w:sz w:val="24"/>
          <w:szCs w:val="24"/>
          <w:rtl/>
          <w:lang w:val="en-US"/>
        </w:rPr>
        <w:t xml:space="preserve">احياء: </w:t>
      </w:r>
      <w:r w:rsidR="00CB1691" w:rsidRPr="00FC6E58">
        <w:rPr>
          <w:rFonts w:ascii="Simplified Arabic" w:hAnsi="Simplified Arabic" w:cs="Simplified Arabic" w:hint="cs"/>
          <w:sz w:val="24"/>
          <w:szCs w:val="24"/>
          <w:rtl/>
          <w:lang w:val="en-US"/>
        </w:rPr>
        <w:t xml:space="preserve">سيدي سليمان، ميطر، </w:t>
      </w:r>
      <w:r w:rsidR="00D45909" w:rsidRPr="00FC6E58">
        <w:rPr>
          <w:rFonts w:ascii="Simplified Arabic" w:hAnsi="Simplified Arabic" w:cs="Simplified Arabic" w:hint="cs"/>
          <w:sz w:val="24"/>
          <w:szCs w:val="24"/>
          <w:rtl/>
          <w:lang w:val="en-US"/>
        </w:rPr>
        <w:t xml:space="preserve">الحمايد </w:t>
      </w:r>
      <w:r w:rsidR="00CB1691" w:rsidRPr="00FC6E58">
        <w:rPr>
          <w:rFonts w:ascii="Simplified Arabic" w:hAnsi="Simplified Arabic" w:cs="Simplified Arabic" w:hint="cs"/>
          <w:sz w:val="24"/>
          <w:szCs w:val="24"/>
          <w:rtl/>
          <w:lang w:val="en-US"/>
        </w:rPr>
        <w:t>و</w:t>
      </w:r>
      <w:r w:rsidR="00D45909" w:rsidRPr="00FC6E58">
        <w:rPr>
          <w:rFonts w:ascii="Simplified Arabic" w:hAnsi="Simplified Arabic" w:cs="Simplified Arabic" w:hint="cs"/>
          <w:sz w:val="24"/>
          <w:szCs w:val="24"/>
          <w:rtl/>
          <w:lang w:val="en-US"/>
        </w:rPr>
        <w:t>الباطن،</w:t>
      </w:r>
      <w:r w:rsidR="00CB1691" w:rsidRPr="00FC6E58">
        <w:rPr>
          <w:rFonts w:ascii="Simplified Arabic" w:hAnsi="Simplified Arabic" w:cs="Simplified Arabic" w:hint="cs"/>
          <w:sz w:val="24"/>
          <w:szCs w:val="24"/>
          <w:rtl/>
          <w:lang w:val="en-US"/>
        </w:rPr>
        <w:t xml:space="preserve"> </w:t>
      </w:r>
      <w:r w:rsidRPr="000230BD">
        <w:rPr>
          <w:rFonts w:ascii="Simplified Arabic" w:hAnsi="Simplified Arabic" w:cs="Simplified Arabic" w:hint="cs"/>
          <w:sz w:val="24"/>
          <w:szCs w:val="24"/>
          <w:rtl/>
          <w:lang w:val="en-US"/>
        </w:rPr>
        <w:t>حيث</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يختلف</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النوع</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من</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إلى</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آخر،</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مما</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يدل</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على</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الاختيار</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العشوائي</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للعي</w:t>
      </w:r>
      <w:r w:rsidR="009F772D">
        <w:rPr>
          <w:rFonts w:ascii="Simplified Arabic" w:hAnsi="Simplified Arabic" w:cs="Simplified Arabic" w:hint="cs"/>
          <w:sz w:val="24"/>
          <w:szCs w:val="24"/>
          <w:rtl/>
          <w:lang w:val="en-US"/>
        </w:rPr>
        <w:t>ّ</w:t>
      </w:r>
      <w:r w:rsidRPr="000230BD">
        <w:rPr>
          <w:rFonts w:ascii="Simplified Arabic" w:hAnsi="Simplified Arabic" w:cs="Simplified Arabic" w:hint="cs"/>
          <w:sz w:val="24"/>
          <w:szCs w:val="24"/>
          <w:rtl/>
          <w:lang w:val="en-US"/>
        </w:rPr>
        <w:t>نات</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بين</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النوعين</w:t>
      </w:r>
      <w:r w:rsidRPr="000230BD">
        <w:rPr>
          <w:rFonts w:ascii="Simplified Arabic" w:hAnsi="Simplified Arabic" w:cs="Simplified Arabic"/>
          <w:sz w:val="24"/>
          <w:szCs w:val="24"/>
          <w:rtl/>
          <w:lang w:val="en-US"/>
        </w:rPr>
        <w:t xml:space="preserve">. </w:t>
      </w:r>
      <w:r w:rsidR="006E439E">
        <w:rPr>
          <w:rFonts w:ascii="Simplified Arabic" w:hAnsi="Simplified Arabic" w:cs="Simplified Arabic" w:hint="cs"/>
          <w:sz w:val="24"/>
          <w:szCs w:val="24"/>
          <w:rtl/>
          <w:lang w:val="en-US"/>
        </w:rPr>
        <w:t>و</w:t>
      </w:r>
      <w:r w:rsidRPr="000230BD">
        <w:rPr>
          <w:rFonts w:ascii="Simplified Arabic" w:hAnsi="Simplified Arabic" w:cs="Simplified Arabic" w:hint="cs"/>
          <w:sz w:val="24"/>
          <w:szCs w:val="24"/>
          <w:rtl/>
          <w:lang w:val="en-US"/>
        </w:rPr>
        <w:t>جد</w:t>
      </w:r>
      <w:r w:rsidRPr="000230BD">
        <w:rPr>
          <w:rFonts w:ascii="Simplified Arabic" w:hAnsi="Simplified Arabic" w:cs="Simplified Arabic"/>
          <w:sz w:val="24"/>
          <w:szCs w:val="24"/>
          <w:rtl/>
          <w:lang w:val="en-US"/>
        </w:rPr>
        <w:t xml:space="preserve"> </w:t>
      </w:r>
      <w:r w:rsidR="006E439E">
        <w:rPr>
          <w:rFonts w:ascii="Simplified Arabic" w:hAnsi="Simplified Arabic" w:cs="Simplified Arabic" w:hint="cs"/>
          <w:sz w:val="24"/>
          <w:szCs w:val="24"/>
          <w:rtl/>
          <w:lang w:val="en-US"/>
        </w:rPr>
        <w:t>تباعدًا</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نسبيًا</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بين</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الفئتين</w:t>
      </w:r>
      <w:r w:rsidR="0041709C">
        <w:rPr>
          <w:rFonts w:ascii="Simplified Arabic" w:hAnsi="Simplified Arabic" w:cs="Simplified Arabic" w:hint="cs"/>
          <w:sz w:val="24"/>
          <w:szCs w:val="24"/>
          <w:rtl/>
          <w:lang w:val="en-US"/>
        </w:rPr>
        <w:t>،</w:t>
      </w:r>
      <w:r w:rsidR="0041709C"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حيث</w:t>
      </w:r>
      <w:r w:rsidRPr="000230BD">
        <w:rPr>
          <w:rFonts w:ascii="Simplified Arabic" w:hAnsi="Simplified Arabic" w:cs="Simplified Arabic"/>
          <w:sz w:val="24"/>
          <w:szCs w:val="24"/>
          <w:rtl/>
          <w:lang w:val="en-US"/>
        </w:rPr>
        <w:t xml:space="preserve"> </w:t>
      </w:r>
      <w:r w:rsidR="00D45909" w:rsidRPr="000230BD">
        <w:rPr>
          <w:rFonts w:ascii="Simplified Arabic" w:hAnsi="Simplified Arabic" w:cs="Simplified Arabic" w:hint="cs"/>
          <w:sz w:val="24"/>
          <w:szCs w:val="24"/>
          <w:rtl/>
          <w:lang w:val="en-US"/>
        </w:rPr>
        <w:t>تراوح</w:t>
      </w:r>
      <w:r w:rsidR="0041709C">
        <w:rPr>
          <w:rFonts w:ascii="Simplified Arabic" w:hAnsi="Simplified Arabic" w:cs="Simplified Arabic" w:hint="cs"/>
          <w:sz w:val="24"/>
          <w:szCs w:val="24"/>
          <w:rtl/>
          <w:lang w:val="en-US"/>
        </w:rPr>
        <w:t>ت</w:t>
      </w:r>
      <w:r w:rsidR="00D45909"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sidR="0041709C">
        <w:rPr>
          <w:rFonts w:ascii="Simplified Arabic" w:hAnsi="Simplified Arabic" w:cs="Simplified Arabic" w:hint="cs"/>
          <w:sz w:val="24"/>
          <w:szCs w:val="24"/>
          <w:rtl/>
          <w:lang w:val="en-US"/>
        </w:rPr>
        <w:t xml:space="preserve">نوع </w:t>
      </w:r>
      <w:r w:rsidR="00D20DA0">
        <w:rPr>
          <w:rFonts w:ascii="Simplified Arabic" w:hAnsi="Simplified Arabic" w:cs="Simplified Arabic" w:hint="cs"/>
          <w:sz w:val="24"/>
          <w:szCs w:val="24"/>
          <w:rtl/>
          <w:lang w:val="en-US"/>
        </w:rPr>
        <w:t>الذكور</w:t>
      </w:r>
      <w:r w:rsidR="0041709C" w:rsidRPr="000230BD">
        <w:rPr>
          <w:rFonts w:ascii="Simplified Arabic" w:hAnsi="Simplified Arabic" w:cs="Simplified Arabic"/>
          <w:sz w:val="24"/>
          <w:szCs w:val="24"/>
          <w:rtl/>
          <w:lang w:val="en-US"/>
        </w:rPr>
        <w:t xml:space="preserve"> </w:t>
      </w:r>
      <w:r w:rsidR="0055456B" w:rsidRPr="000230BD">
        <w:rPr>
          <w:rFonts w:ascii="Simplified Arabic" w:hAnsi="Simplified Arabic" w:cs="Simplified Arabic" w:hint="cs"/>
          <w:sz w:val="24"/>
          <w:szCs w:val="24"/>
          <w:rtl/>
          <w:lang w:val="en-US"/>
        </w:rPr>
        <w:t>في</w:t>
      </w:r>
      <w:r w:rsidR="0055456B" w:rsidRPr="000230BD">
        <w:rPr>
          <w:rFonts w:ascii="Simplified Arabic" w:hAnsi="Simplified Arabic" w:cs="Simplified Arabic"/>
          <w:sz w:val="24"/>
          <w:szCs w:val="24"/>
          <w:rtl/>
          <w:lang w:val="en-US"/>
        </w:rPr>
        <w:t xml:space="preserve"> </w:t>
      </w:r>
      <w:r w:rsidR="0055456B" w:rsidRPr="00FC6E58">
        <w:rPr>
          <w:rFonts w:ascii="Simplified Arabic" w:hAnsi="Simplified Arabic" w:cs="Simplified Arabic" w:hint="cs"/>
          <w:sz w:val="24"/>
          <w:szCs w:val="24"/>
          <w:rtl/>
          <w:lang w:val="en-US"/>
        </w:rPr>
        <w:t>احياء: سيدي سليمان، ميطر، الحمايد والباطن</w:t>
      </w:r>
      <w:r w:rsidR="0055456B">
        <w:rPr>
          <w:rFonts w:ascii="Simplified Arabic" w:hAnsi="Simplified Arabic" w:cs="Simplified Arabic" w:hint="cs"/>
          <w:sz w:val="24"/>
          <w:szCs w:val="24"/>
          <w:rtl/>
          <w:lang w:val="en-US"/>
        </w:rPr>
        <w:t xml:space="preserve"> على التوالي: </w:t>
      </w:r>
      <w:r w:rsidR="0055456B" w:rsidRPr="00FC6E58">
        <w:rPr>
          <w:rFonts w:ascii="Simplified Arabic" w:hAnsi="Simplified Arabic" w:cs="Simplified Arabic"/>
          <w:sz w:val="24"/>
          <w:szCs w:val="24"/>
          <w:lang w:val="en-US"/>
        </w:rPr>
        <w:t>64,</w:t>
      </w:r>
      <w:r w:rsidR="00A66F37">
        <w:rPr>
          <w:rFonts w:ascii="Simplified Arabic" w:hAnsi="Simplified Arabic" w:cs="Simplified Arabic"/>
          <w:sz w:val="24"/>
          <w:szCs w:val="24"/>
          <w:lang w:val="en-US"/>
        </w:rPr>
        <w:t>16</w:t>
      </w:r>
      <w:r w:rsidR="006200F1">
        <w:rPr>
          <w:rFonts w:ascii="Simplified Arabic" w:hAnsi="Simplified Arabic" w:cs="Simplified Arabic"/>
          <w:sz w:val="24"/>
          <w:szCs w:val="24"/>
          <w:rtl/>
          <w:lang w:val="en-US"/>
        </w:rPr>
        <w:t>٪</w:t>
      </w:r>
      <w:r w:rsidR="0055456B" w:rsidRPr="00FC6E58">
        <w:rPr>
          <w:rFonts w:ascii="Simplified Arabic" w:hAnsi="Simplified Arabic" w:cs="Simplified Arabic" w:hint="cs"/>
          <w:sz w:val="24"/>
          <w:szCs w:val="24"/>
          <w:rtl/>
          <w:lang w:val="en-US"/>
        </w:rPr>
        <w:t xml:space="preserve">، </w:t>
      </w:r>
      <w:r w:rsidR="0055456B" w:rsidRPr="00FC6E58">
        <w:rPr>
          <w:rFonts w:ascii="Simplified Arabic" w:hAnsi="Simplified Arabic" w:cs="Simplified Arabic"/>
          <w:sz w:val="24"/>
          <w:szCs w:val="24"/>
          <w:lang w:val="en-US"/>
        </w:rPr>
        <w:t>58,</w:t>
      </w:r>
      <w:r w:rsidR="00A66F37">
        <w:rPr>
          <w:rFonts w:ascii="Simplified Arabic" w:hAnsi="Simplified Arabic" w:cs="Simplified Arabic"/>
          <w:sz w:val="24"/>
          <w:szCs w:val="24"/>
          <w:lang w:val="en-US"/>
        </w:rPr>
        <w:t>70</w:t>
      </w:r>
      <w:r w:rsidR="006200F1">
        <w:rPr>
          <w:rFonts w:ascii="Simplified Arabic" w:hAnsi="Simplified Arabic" w:cs="Simplified Arabic"/>
          <w:sz w:val="24"/>
          <w:szCs w:val="24"/>
          <w:rtl/>
          <w:lang w:val="en-US"/>
        </w:rPr>
        <w:t>٪</w:t>
      </w:r>
      <w:r w:rsidR="0055456B" w:rsidRPr="00FC6E58">
        <w:rPr>
          <w:rFonts w:ascii="Simplified Arabic" w:hAnsi="Simplified Arabic" w:cs="Simplified Arabic" w:hint="cs"/>
          <w:sz w:val="24"/>
          <w:szCs w:val="24"/>
          <w:rtl/>
          <w:lang w:val="en-US"/>
        </w:rPr>
        <w:t xml:space="preserve">، </w:t>
      </w:r>
      <w:r w:rsidR="0055456B" w:rsidRPr="00FC6E58">
        <w:rPr>
          <w:rFonts w:ascii="Simplified Arabic" w:hAnsi="Simplified Arabic" w:cs="Simplified Arabic"/>
          <w:sz w:val="24"/>
          <w:szCs w:val="24"/>
          <w:lang w:val="en-US"/>
        </w:rPr>
        <w:t>65,71</w:t>
      </w:r>
      <w:r w:rsidR="006200F1">
        <w:rPr>
          <w:rFonts w:ascii="Simplified Arabic" w:hAnsi="Simplified Arabic" w:cs="Simplified Arabic"/>
          <w:sz w:val="24"/>
          <w:szCs w:val="24"/>
          <w:rtl/>
          <w:lang w:val="en-US"/>
        </w:rPr>
        <w:t>٪</w:t>
      </w:r>
      <w:r w:rsidR="0055456B" w:rsidRPr="00FC6E58">
        <w:rPr>
          <w:rFonts w:ascii="Simplified Arabic" w:hAnsi="Simplified Arabic" w:cs="Simplified Arabic" w:hint="cs"/>
          <w:sz w:val="24"/>
          <w:szCs w:val="24"/>
          <w:rtl/>
          <w:lang w:val="en-US"/>
        </w:rPr>
        <w:t xml:space="preserve">، </w:t>
      </w:r>
      <w:r w:rsidR="0055456B" w:rsidRPr="00FC6E58">
        <w:rPr>
          <w:rFonts w:ascii="Simplified Arabic" w:hAnsi="Simplified Arabic" w:cs="Simplified Arabic"/>
          <w:sz w:val="24"/>
          <w:szCs w:val="24"/>
          <w:lang w:val="en-US"/>
        </w:rPr>
        <w:t>72,</w:t>
      </w:r>
      <w:r w:rsidR="00A66F37">
        <w:rPr>
          <w:rFonts w:ascii="Simplified Arabic" w:hAnsi="Simplified Arabic" w:cs="Simplified Arabic"/>
          <w:sz w:val="24"/>
          <w:szCs w:val="24"/>
          <w:lang w:val="en-US"/>
        </w:rPr>
        <w:t>99</w:t>
      </w:r>
      <w:r w:rsidR="006200F1" w:rsidRPr="00A71970">
        <w:rPr>
          <w:rFonts w:ascii="Simplified Arabic" w:hAnsi="Simplified Arabic" w:cs="Simplified Arabic"/>
          <w:sz w:val="24"/>
          <w:szCs w:val="24"/>
          <w:rtl/>
          <w:lang w:val="en-US"/>
        </w:rPr>
        <w:t xml:space="preserve">٪ </w:t>
      </w:r>
      <w:r w:rsidR="0055456B">
        <w:rPr>
          <w:rFonts w:ascii="Simplified Arabic" w:hAnsi="Simplified Arabic" w:cs="Simplified Arabic" w:hint="cs"/>
          <w:sz w:val="24"/>
          <w:szCs w:val="24"/>
          <w:rtl/>
          <w:lang w:val="en-US"/>
        </w:rPr>
        <w:t>يقابلها</w:t>
      </w:r>
      <w:r w:rsidR="009F772D" w:rsidRPr="009F772D">
        <w:rPr>
          <w:rFonts w:ascii="Simplified Arabic" w:hAnsi="Simplified Arabic" w:cs="Simplified Arabic" w:hint="cs"/>
          <w:sz w:val="24"/>
          <w:szCs w:val="24"/>
          <w:rtl/>
          <w:lang w:val="en-US"/>
        </w:rPr>
        <w:t xml:space="preserve"> </w:t>
      </w:r>
      <w:r w:rsidR="009F772D">
        <w:rPr>
          <w:rFonts w:ascii="Simplified Arabic" w:hAnsi="Simplified Arabic" w:cs="Simplified Arabic" w:hint="cs"/>
          <w:sz w:val="24"/>
          <w:szCs w:val="24"/>
          <w:rtl/>
          <w:lang w:val="en-US"/>
        </w:rPr>
        <w:t>على التوالي</w:t>
      </w:r>
      <w:r w:rsidR="0055456B">
        <w:rPr>
          <w:rFonts w:ascii="Simplified Arabic" w:hAnsi="Simplified Arabic" w:cs="Simplified Arabic" w:hint="cs"/>
          <w:sz w:val="24"/>
          <w:szCs w:val="24"/>
          <w:rtl/>
          <w:lang w:val="en-US"/>
        </w:rPr>
        <w:t xml:space="preserve"> </w:t>
      </w:r>
      <w:r w:rsidR="00A66F37">
        <w:rPr>
          <w:rFonts w:ascii="Simplified Arabic" w:hAnsi="Simplified Arabic" w:cs="Simplified Arabic"/>
          <w:sz w:val="24"/>
          <w:szCs w:val="24"/>
          <w:lang w:val="en-US"/>
        </w:rPr>
        <w:t>247</w:t>
      </w:r>
      <w:r w:rsidR="0055456B">
        <w:rPr>
          <w:rFonts w:ascii="Simplified Arabic" w:hAnsi="Simplified Arabic" w:cs="Simplified Arabic" w:hint="cs"/>
          <w:sz w:val="24"/>
          <w:szCs w:val="24"/>
          <w:rtl/>
          <w:lang w:val="en-US"/>
        </w:rPr>
        <w:t>، 226، 253، 281</w:t>
      </w:r>
      <w:r w:rsidR="0041709C">
        <w:rPr>
          <w:rFonts w:ascii="Simplified Arabic" w:hAnsi="Simplified Arabic" w:cs="Simplified Arabic" w:hint="cs"/>
          <w:sz w:val="24"/>
          <w:szCs w:val="24"/>
          <w:rtl/>
          <w:lang w:val="en-US"/>
        </w:rPr>
        <w:t xml:space="preserve"> مفردة من العي</w:t>
      </w:r>
      <w:r w:rsidR="00160480">
        <w:rPr>
          <w:rFonts w:ascii="Simplified Arabic" w:hAnsi="Simplified Arabic" w:cs="Simplified Arabic" w:hint="cs"/>
          <w:sz w:val="24"/>
          <w:szCs w:val="24"/>
          <w:rtl/>
          <w:lang w:val="en-US"/>
        </w:rPr>
        <w:t>ّ</w:t>
      </w:r>
      <w:r w:rsidR="0041709C">
        <w:rPr>
          <w:rFonts w:ascii="Simplified Arabic" w:hAnsi="Simplified Arabic" w:cs="Simplified Arabic" w:hint="cs"/>
          <w:sz w:val="24"/>
          <w:szCs w:val="24"/>
          <w:rtl/>
          <w:lang w:val="en-US"/>
        </w:rPr>
        <w:t xml:space="preserve">نة، بينما  </w:t>
      </w:r>
      <w:r w:rsidR="0041709C" w:rsidRPr="000230BD">
        <w:rPr>
          <w:rFonts w:ascii="Simplified Arabic" w:hAnsi="Simplified Arabic" w:cs="Simplified Arabic" w:hint="cs"/>
          <w:sz w:val="24"/>
          <w:szCs w:val="24"/>
          <w:rtl/>
          <w:lang w:val="en-US"/>
        </w:rPr>
        <w:t>تراوح</w:t>
      </w:r>
      <w:r w:rsidR="0041709C">
        <w:rPr>
          <w:rFonts w:ascii="Simplified Arabic" w:hAnsi="Simplified Arabic" w:cs="Simplified Arabic" w:hint="cs"/>
          <w:sz w:val="24"/>
          <w:szCs w:val="24"/>
          <w:rtl/>
          <w:lang w:val="en-US"/>
        </w:rPr>
        <w:t>ت</w:t>
      </w:r>
      <w:r w:rsidR="0041709C" w:rsidRPr="000230BD">
        <w:rPr>
          <w:rFonts w:ascii="Simplified Arabic" w:hAnsi="Simplified Arabic" w:cs="Simplified Arabic"/>
          <w:sz w:val="24"/>
          <w:szCs w:val="24"/>
          <w:rtl/>
          <w:lang w:val="en-US"/>
        </w:rPr>
        <w:t xml:space="preserve"> </w:t>
      </w:r>
      <w:r w:rsidR="0041709C" w:rsidRPr="000230BD">
        <w:rPr>
          <w:rFonts w:ascii="Simplified Arabic" w:hAnsi="Simplified Arabic" w:cs="Simplified Arabic" w:hint="cs"/>
          <w:sz w:val="24"/>
          <w:szCs w:val="24"/>
          <w:rtl/>
          <w:lang w:val="en-US"/>
        </w:rPr>
        <w:t>نسبة</w:t>
      </w:r>
      <w:r w:rsidR="0041709C" w:rsidRPr="000230BD">
        <w:rPr>
          <w:rFonts w:ascii="Simplified Arabic" w:hAnsi="Simplified Arabic" w:cs="Simplified Arabic"/>
          <w:sz w:val="24"/>
          <w:szCs w:val="24"/>
          <w:rtl/>
          <w:lang w:val="en-US"/>
        </w:rPr>
        <w:t xml:space="preserve"> </w:t>
      </w:r>
      <w:r w:rsidR="0041709C">
        <w:rPr>
          <w:rFonts w:ascii="Simplified Arabic" w:hAnsi="Simplified Arabic" w:cs="Simplified Arabic" w:hint="cs"/>
          <w:sz w:val="24"/>
          <w:szCs w:val="24"/>
          <w:rtl/>
          <w:lang w:val="en-US"/>
        </w:rPr>
        <w:t xml:space="preserve">نوع </w:t>
      </w:r>
      <w:r w:rsidR="00D20DA0">
        <w:rPr>
          <w:rFonts w:ascii="Simplified Arabic" w:hAnsi="Simplified Arabic" w:cs="Simplified Arabic" w:hint="cs"/>
          <w:sz w:val="24"/>
          <w:szCs w:val="24"/>
          <w:rtl/>
          <w:lang w:val="en-US"/>
        </w:rPr>
        <w:t>الاناث</w:t>
      </w:r>
      <w:r w:rsidR="0041709C" w:rsidRPr="000230BD">
        <w:rPr>
          <w:rFonts w:ascii="Simplified Arabic" w:hAnsi="Simplified Arabic" w:cs="Simplified Arabic"/>
          <w:sz w:val="24"/>
          <w:szCs w:val="24"/>
          <w:rtl/>
          <w:lang w:val="en-US"/>
        </w:rPr>
        <w:t xml:space="preserve"> </w:t>
      </w:r>
      <w:r w:rsidR="0055456B">
        <w:rPr>
          <w:rFonts w:ascii="Simplified Arabic" w:hAnsi="Simplified Arabic" w:cs="Simplified Arabic" w:hint="cs"/>
          <w:sz w:val="24"/>
          <w:szCs w:val="24"/>
          <w:rtl/>
          <w:lang w:val="en-US"/>
        </w:rPr>
        <w:t>لنفس</w:t>
      </w:r>
      <w:r w:rsidR="0041709C" w:rsidRPr="000230BD">
        <w:rPr>
          <w:rFonts w:ascii="Simplified Arabic" w:hAnsi="Simplified Arabic" w:cs="Simplified Arabic"/>
          <w:sz w:val="24"/>
          <w:szCs w:val="24"/>
          <w:rtl/>
          <w:lang w:val="en-US"/>
        </w:rPr>
        <w:t xml:space="preserve"> </w:t>
      </w:r>
      <w:r w:rsidR="0041709C">
        <w:rPr>
          <w:rFonts w:ascii="Simplified Arabic" w:hAnsi="Simplified Arabic" w:cs="Simplified Arabic" w:hint="cs"/>
          <w:sz w:val="24"/>
          <w:szCs w:val="24"/>
          <w:rtl/>
          <w:lang w:val="en-US"/>
        </w:rPr>
        <w:t xml:space="preserve">الاحياء </w:t>
      </w:r>
      <w:r w:rsidR="0055456B">
        <w:rPr>
          <w:rFonts w:ascii="Simplified Arabic" w:hAnsi="Simplified Arabic" w:cs="Simplified Arabic" w:hint="cs"/>
          <w:sz w:val="24"/>
          <w:szCs w:val="24"/>
          <w:rtl/>
          <w:lang w:val="en-US"/>
        </w:rPr>
        <w:t xml:space="preserve">على التوالي: </w:t>
      </w:r>
      <w:r w:rsidR="0055456B" w:rsidRPr="00FC6E58">
        <w:rPr>
          <w:rFonts w:ascii="Simplified Arabic" w:hAnsi="Simplified Arabic" w:cs="Simplified Arabic"/>
          <w:sz w:val="24"/>
          <w:szCs w:val="24"/>
          <w:lang w:val="en-US"/>
        </w:rPr>
        <w:t>35,</w:t>
      </w:r>
      <w:r w:rsidR="00A66F37">
        <w:rPr>
          <w:rFonts w:ascii="Simplified Arabic" w:hAnsi="Simplified Arabic" w:cs="Simplified Arabic"/>
          <w:sz w:val="24"/>
          <w:szCs w:val="24"/>
          <w:lang w:val="en-US"/>
        </w:rPr>
        <w:t>84</w:t>
      </w:r>
      <w:r w:rsidR="006200F1">
        <w:rPr>
          <w:rFonts w:ascii="Simplified Arabic" w:hAnsi="Simplified Arabic" w:cs="Simplified Arabic"/>
          <w:sz w:val="24"/>
          <w:szCs w:val="24"/>
          <w:rtl/>
          <w:lang w:val="en-US"/>
        </w:rPr>
        <w:t>٪</w:t>
      </w:r>
      <w:r w:rsidR="0055456B" w:rsidRPr="00FC6E58">
        <w:rPr>
          <w:rFonts w:ascii="Simplified Arabic" w:hAnsi="Simplified Arabic" w:cs="Simplified Arabic" w:hint="cs"/>
          <w:sz w:val="24"/>
          <w:szCs w:val="24"/>
          <w:rtl/>
          <w:lang w:val="en-US"/>
        </w:rPr>
        <w:t xml:space="preserve">، </w:t>
      </w:r>
      <w:r w:rsidR="0055456B" w:rsidRPr="00FC6E58">
        <w:rPr>
          <w:rFonts w:ascii="Simplified Arabic" w:hAnsi="Simplified Arabic" w:cs="Simplified Arabic"/>
          <w:sz w:val="24"/>
          <w:szCs w:val="24"/>
          <w:lang w:val="en-US"/>
        </w:rPr>
        <w:t>41,</w:t>
      </w:r>
      <w:r w:rsidR="00A66F37">
        <w:rPr>
          <w:rFonts w:ascii="Simplified Arabic" w:hAnsi="Simplified Arabic" w:cs="Simplified Arabic"/>
          <w:sz w:val="24"/>
          <w:szCs w:val="24"/>
          <w:lang w:val="en-US"/>
        </w:rPr>
        <w:t>30</w:t>
      </w:r>
      <w:r w:rsidR="006200F1">
        <w:rPr>
          <w:rFonts w:ascii="Simplified Arabic" w:hAnsi="Simplified Arabic" w:cs="Simplified Arabic"/>
          <w:sz w:val="24"/>
          <w:szCs w:val="24"/>
          <w:rtl/>
          <w:lang w:val="en-US"/>
        </w:rPr>
        <w:t>٪</w:t>
      </w:r>
      <w:r w:rsidR="0055456B" w:rsidRPr="00FC6E58">
        <w:rPr>
          <w:rFonts w:ascii="Simplified Arabic" w:hAnsi="Simplified Arabic" w:cs="Simplified Arabic" w:hint="cs"/>
          <w:sz w:val="24"/>
          <w:szCs w:val="24"/>
          <w:rtl/>
          <w:lang w:val="en-US"/>
        </w:rPr>
        <w:t xml:space="preserve">، </w:t>
      </w:r>
      <w:r w:rsidR="0055456B" w:rsidRPr="00FC6E58">
        <w:rPr>
          <w:rFonts w:ascii="Simplified Arabic" w:hAnsi="Simplified Arabic" w:cs="Simplified Arabic"/>
          <w:sz w:val="24"/>
          <w:szCs w:val="24"/>
          <w:lang w:val="en-US"/>
        </w:rPr>
        <w:t>34,29</w:t>
      </w:r>
      <w:r w:rsidR="006200F1">
        <w:rPr>
          <w:rFonts w:ascii="Simplified Arabic" w:hAnsi="Simplified Arabic" w:cs="Simplified Arabic"/>
          <w:sz w:val="24"/>
          <w:szCs w:val="24"/>
          <w:rtl/>
          <w:lang w:val="en-US"/>
        </w:rPr>
        <w:t>٪</w:t>
      </w:r>
      <w:r w:rsidR="0055456B" w:rsidRPr="00FC6E58">
        <w:rPr>
          <w:rFonts w:ascii="Simplified Arabic" w:hAnsi="Simplified Arabic" w:cs="Simplified Arabic" w:hint="cs"/>
          <w:sz w:val="24"/>
          <w:szCs w:val="24"/>
          <w:rtl/>
          <w:lang w:val="en-US"/>
        </w:rPr>
        <w:t xml:space="preserve">، </w:t>
      </w:r>
      <w:r w:rsidR="0055456B" w:rsidRPr="00FC6E58">
        <w:rPr>
          <w:rFonts w:ascii="Simplified Arabic" w:hAnsi="Simplified Arabic" w:cs="Simplified Arabic"/>
          <w:sz w:val="24"/>
          <w:szCs w:val="24"/>
          <w:lang w:val="en-US"/>
        </w:rPr>
        <w:t>27,</w:t>
      </w:r>
      <w:r w:rsidR="00A66F37">
        <w:rPr>
          <w:rFonts w:ascii="Simplified Arabic" w:hAnsi="Simplified Arabic" w:cs="Simplified Arabic"/>
          <w:sz w:val="24"/>
          <w:szCs w:val="24"/>
          <w:lang w:val="en-US"/>
        </w:rPr>
        <w:t>01</w:t>
      </w:r>
      <w:r w:rsidR="006200F1" w:rsidRPr="00A71970">
        <w:rPr>
          <w:rFonts w:ascii="Simplified Arabic" w:hAnsi="Simplified Arabic" w:cs="Simplified Arabic"/>
          <w:sz w:val="24"/>
          <w:szCs w:val="24"/>
          <w:rtl/>
          <w:lang w:val="en-US"/>
        </w:rPr>
        <w:t xml:space="preserve">٪ </w:t>
      </w:r>
      <w:r w:rsidR="0055456B">
        <w:rPr>
          <w:rFonts w:ascii="Simplified Arabic" w:hAnsi="Simplified Arabic" w:cs="Simplified Arabic" w:hint="cs"/>
          <w:sz w:val="24"/>
          <w:szCs w:val="24"/>
          <w:rtl/>
          <w:lang w:val="en-US"/>
        </w:rPr>
        <w:t>يقابلها</w:t>
      </w:r>
      <w:r w:rsidR="009F772D" w:rsidRPr="009F772D">
        <w:rPr>
          <w:rFonts w:ascii="Simplified Arabic" w:hAnsi="Simplified Arabic" w:cs="Simplified Arabic" w:hint="cs"/>
          <w:sz w:val="24"/>
          <w:szCs w:val="24"/>
          <w:rtl/>
          <w:lang w:val="en-US"/>
        </w:rPr>
        <w:t xml:space="preserve"> </w:t>
      </w:r>
      <w:r w:rsidR="009F772D">
        <w:rPr>
          <w:rFonts w:ascii="Simplified Arabic" w:hAnsi="Simplified Arabic" w:cs="Simplified Arabic" w:hint="cs"/>
          <w:sz w:val="24"/>
          <w:szCs w:val="24"/>
          <w:rtl/>
          <w:lang w:val="en-US"/>
        </w:rPr>
        <w:t>على التوالي</w:t>
      </w:r>
      <w:r w:rsidR="0055456B">
        <w:rPr>
          <w:rFonts w:ascii="Simplified Arabic" w:hAnsi="Simplified Arabic" w:cs="Simplified Arabic" w:hint="cs"/>
          <w:sz w:val="24"/>
          <w:szCs w:val="24"/>
          <w:rtl/>
          <w:lang w:val="en-US"/>
        </w:rPr>
        <w:t xml:space="preserve"> </w:t>
      </w:r>
      <w:r w:rsidR="0055456B">
        <w:rPr>
          <w:rFonts w:ascii="Simplified Arabic" w:hAnsi="Simplified Arabic" w:cs="Simplified Arabic"/>
          <w:sz w:val="24"/>
          <w:szCs w:val="24"/>
          <w:lang w:val="en-US"/>
        </w:rPr>
        <w:t>138</w:t>
      </w:r>
      <w:r w:rsidR="0055456B">
        <w:rPr>
          <w:rFonts w:ascii="Simplified Arabic" w:hAnsi="Simplified Arabic" w:cs="Simplified Arabic" w:hint="cs"/>
          <w:sz w:val="24"/>
          <w:szCs w:val="24"/>
          <w:rtl/>
          <w:lang w:val="en-US"/>
        </w:rPr>
        <w:t xml:space="preserve">، </w:t>
      </w:r>
      <w:r w:rsidR="0055456B">
        <w:rPr>
          <w:rFonts w:ascii="Simplified Arabic" w:hAnsi="Simplified Arabic" w:cs="Simplified Arabic"/>
          <w:sz w:val="24"/>
          <w:szCs w:val="24"/>
          <w:lang w:val="en-US"/>
        </w:rPr>
        <w:t>159</w:t>
      </w:r>
      <w:r w:rsidR="0055456B">
        <w:rPr>
          <w:rFonts w:ascii="Simplified Arabic" w:hAnsi="Simplified Arabic" w:cs="Simplified Arabic" w:hint="cs"/>
          <w:sz w:val="24"/>
          <w:szCs w:val="24"/>
          <w:rtl/>
          <w:lang w:val="en-US"/>
        </w:rPr>
        <w:t xml:space="preserve">، </w:t>
      </w:r>
      <w:r w:rsidR="0055456B">
        <w:rPr>
          <w:rFonts w:ascii="Simplified Arabic" w:hAnsi="Simplified Arabic" w:cs="Simplified Arabic"/>
          <w:sz w:val="24"/>
          <w:szCs w:val="24"/>
          <w:lang w:val="en-US"/>
        </w:rPr>
        <w:t>132</w:t>
      </w:r>
      <w:r w:rsidR="0055456B">
        <w:rPr>
          <w:rFonts w:ascii="Simplified Arabic" w:hAnsi="Simplified Arabic" w:cs="Simplified Arabic" w:hint="cs"/>
          <w:sz w:val="24"/>
          <w:szCs w:val="24"/>
          <w:rtl/>
          <w:lang w:val="en-US"/>
        </w:rPr>
        <w:t xml:space="preserve">، </w:t>
      </w:r>
      <w:r w:rsidR="0055456B">
        <w:rPr>
          <w:rFonts w:ascii="Simplified Arabic" w:hAnsi="Simplified Arabic" w:cs="Simplified Arabic"/>
          <w:sz w:val="24"/>
          <w:szCs w:val="24"/>
          <w:lang w:val="en-US"/>
        </w:rPr>
        <w:t>104</w:t>
      </w:r>
      <w:r w:rsidR="0055456B">
        <w:rPr>
          <w:rFonts w:ascii="Simplified Arabic" w:hAnsi="Simplified Arabic" w:cs="Simplified Arabic" w:hint="cs"/>
          <w:sz w:val="24"/>
          <w:szCs w:val="24"/>
          <w:rtl/>
          <w:lang w:val="en-US"/>
        </w:rPr>
        <w:t xml:space="preserve"> مفردة من </w:t>
      </w:r>
      <w:r w:rsidR="00160480">
        <w:rPr>
          <w:rFonts w:ascii="Simplified Arabic" w:hAnsi="Simplified Arabic" w:cs="Simplified Arabic" w:hint="cs"/>
          <w:sz w:val="24"/>
          <w:szCs w:val="24"/>
          <w:rtl/>
          <w:lang w:val="en-US"/>
        </w:rPr>
        <w:t>العيّنة</w:t>
      </w:r>
      <w:r w:rsidR="0041709C">
        <w:rPr>
          <w:rFonts w:ascii="Simplified Arabic" w:hAnsi="Simplified Arabic" w:cs="Simplified Arabic" w:hint="cs"/>
          <w:sz w:val="24"/>
          <w:szCs w:val="24"/>
          <w:rtl/>
          <w:lang w:val="en-US"/>
        </w:rPr>
        <w:t xml:space="preserve">، يوعز هذا التباعد الى ان </w:t>
      </w:r>
      <w:r w:rsidR="00D20DA0">
        <w:rPr>
          <w:rFonts w:ascii="Simplified Arabic" w:hAnsi="Simplified Arabic" w:cs="Simplified Arabic" w:hint="cs"/>
          <w:sz w:val="24"/>
          <w:szCs w:val="24"/>
          <w:rtl/>
          <w:lang w:val="en-US"/>
        </w:rPr>
        <w:t>الذكور يمتلكون جهاز الهاتف النقال اكثر من الاناث او انهم اكثر اهتماما بموضوع التنمية المحلية</w:t>
      </w:r>
      <w:r w:rsidRPr="000230BD">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 xml:space="preserve"> </w:t>
      </w:r>
    </w:p>
    <w:p w:rsidR="00FD3D45" w:rsidRDefault="00FD3D45" w:rsidP="00C840FB">
      <w:pPr>
        <w:pStyle w:val="fegure"/>
        <w:spacing w:before="240"/>
        <w:rPr>
          <w:sz w:val="8"/>
          <w:szCs w:val="24"/>
          <w:rtl/>
          <w:lang w:val="en-US"/>
        </w:rPr>
      </w:pPr>
      <w:bookmarkStart w:id="725" w:name="_Toc157608340"/>
    </w:p>
    <w:p w:rsidR="00FD3D45" w:rsidRDefault="00FD3D45" w:rsidP="00C840FB">
      <w:pPr>
        <w:pStyle w:val="fegure"/>
        <w:spacing w:before="240"/>
        <w:rPr>
          <w:sz w:val="8"/>
          <w:szCs w:val="24"/>
          <w:rtl/>
          <w:lang w:val="en-US"/>
        </w:rPr>
      </w:pPr>
    </w:p>
    <w:p w:rsidR="00FD3D45" w:rsidRDefault="00FD3D45" w:rsidP="00C840FB">
      <w:pPr>
        <w:pStyle w:val="fegure"/>
        <w:spacing w:before="240"/>
        <w:rPr>
          <w:sz w:val="8"/>
          <w:szCs w:val="24"/>
          <w:rtl/>
          <w:lang w:val="en-US"/>
        </w:rPr>
      </w:pPr>
    </w:p>
    <w:p w:rsidR="00FD3D45" w:rsidRDefault="00FD3D45" w:rsidP="00C840FB">
      <w:pPr>
        <w:pStyle w:val="fegure"/>
        <w:spacing w:before="240"/>
        <w:rPr>
          <w:sz w:val="8"/>
          <w:szCs w:val="24"/>
          <w:rtl/>
          <w:lang w:val="en-US"/>
        </w:rPr>
      </w:pPr>
    </w:p>
    <w:p w:rsidR="00FD3D45" w:rsidRDefault="00FD3D45" w:rsidP="00C840FB">
      <w:pPr>
        <w:pStyle w:val="fegure"/>
        <w:spacing w:before="240"/>
        <w:rPr>
          <w:sz w:val="8"/>
          <w:szCs w:val="24"/>
          <w:rtl/>
          <w:lang w:val="en-US"/>
        </w:rPr>
      </w:pPr>
    </w:p>
    <w:p w:rsidR="00C222A9" w:rsidRDefault="00D4406E" w:rsidP="00C840FB">
      <w:pPr>
        <w:pStyle w:val="fegure"/>
        <w:spacing w:before="240"/>
        <w:rPr>
          <w:sz w:val="8"/>
          <w:szCs w:val="24"/>
          <w:rtl/>
          <w:lang w:val="en-US"/>
        </w:rPr>
      </w:pPr>
      <w:bookmarkStart w:id="726" w:name="_Toc171803731"/>
      <w:r w:rsidRPr="00ED1C8F">
        <w:rPr>
          <w:rFonts w:hint="cs"/>
          <w:sz w:val="8"/>
          <w:szCs w:val="24"/>
          <w:rtl/>
          <w:lang w:val="en-US"/>
        </w:rPr>
        <w:lastRenderedPageBreak/>
        <w:t>الشكل</w:t>
      </w:r>
      <w:r w:rsidRPr="00ED1C8F">
        <w:rPr>
          <w:sz w:val="8"/>
          <w:szCs w:val="24"/>
          <w:rtl/>
          <w:lang w:val="en-US"/>
        </w:rPr>
        <w:t xml:space="preserve"> </w:t>
      </w:r>
      <w:r w:rsidRPr="00ED1C8F">
        <w:rPr>
          <w:rFonts w:hint="cs"/>
          <w:sz w:val="8"/>
          <w:szCs w:val="24"/>
          <w:rtl/>
          <w:lang w:val="en-US"/>
        </w:rPr>
        <w:t>(5-9)</w:t>
      </w:r>
      <w:r w:rsidRPr="00ED1C8F">
        <w:rPr>
          <w:sz w:val="8"/>
          <w:szCs w:val="24"/>
          <w:rtl/>
          <w:lang w:val="en-US"/>
        </w:rPr>
        <w:t xml:space="preserve">: </w:t>
      </w:r>
      <w:r w:rsidR="00D20DA0" w:rsidRPr="00ED1C8F">
        <w:rPr>
          <w:rFonts w:hint="cs"/>
          <w:sz w:val="8"/>
          <w:szCs w:val="24"/>
          <w:rtl/>
          <w:lang w:val="en-US"/>
        </w:rPr>
        <w:t>توزيع افراد العي</w:t>
      </w:r>
      <w:r w:rsidR="009F772D" w:rsidRPr="00ED1C8F">
        <w:rPr>
          <w:rFonts w:hint="cs"/>
          <w:sz w:val="8"/>
          <w:szCs w:val="24"/>
          <w:rtl/>
          <w:lang w:val="en-US"/>
        </w:rPr>
        <w:t>ّ</w:t>
      </w:r>
      <w:r w:rsidR="00D20DA0" w:rsidRPr="00ED1C8F">
        <w:rPr>
          <w:rFonts w:hint="cs"/>
          <w:sz w:val="8"/>
          <w:szCs w:val="24"/>
          <w:rtl/>
          <w:lang w:val="en-US"/>
        </w:rPr>
        <w:t>نة حسب النوع</w:t>
      </w:r>
      <w:bookmarkEnd w:id="725"/>
      <w:bookmarkEnd w:id="726"/>
    </w:p>
    <w:p w:rsidR="00C840FB" w:rsidRDefault="00C840FB" w:rsidP="00C840FB">
      <w:pPr>
        <w:pStyle w:val="fegure"/>
        <w:rPr>
          <w:sz w:val="8"/>
          <w:szCs w:val="24"/>
          <w:rtl/>
          <w:lang w:val="en-US"/>
        </w:rPr>
      </w:pPr>
      <w:bookmarkStart w:id="727" w:name="_Toc171803732"/>
      <w:r>
        <w:rPr>
          <w:rFonts w:hint="cs"/>
          <w:sz w:val="8"/>
          <w:szCs w:val="24"/>
          <w:rtl/>
          <w:lang w:val="en-US"/>
        </w:rPr>
        <w:t>المصدر: (الباحث، 2022)</w:t>
      </w:r>
      <w:bookmarkEnd w:id="727"/>
    </w:p>
    <w:p w:rsidR="00D4406E" w:rsidRDefault="00A66F37" w:rsidP="00C840FB">
      <w:pPr>
        <w:pStyle w:val="fegure"/>
        <w:rPr>
          <w:szCs w:val="24"/>
          <w:rtl/>
          <w:lang w:val="en-US"/>
        </w:rPr>
      </w:pPr>
      <w:bookmarkStart w:id="728" w:name="_Toc171803733"/>
      <w:r>
        <w:rPr>
          <w:noProof/>
          <w:lang w:eastAsia="fr-FR"/>
        </w:rPr>
        <w:drawing>
          <wp:inline distT="0" distB="0" distL="0" distR="0" wp14:anchorId="229F19BC" wp14:editId="4CAB1032">
            <wp:extent cx="2976113" cy="2053087"/>
            <wp:effectExtent l="0" t="0" r="15240" b="23495"/>
            <wp:docPr id="276" name="Graphique 27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3"/>
              </a:graphicData>
            </a:graphic>
          </wp:inline>
        </w:drawing>
      </w:r>
      <w:bookmarkEnd w:id="728"/>
    </w:p>
    <w:p w:rsidR="00D20DA0" w:rsidRPr="00B125D1" w:rsidRDefault="00D20DA0" w:rsidP="001D0548">
      <w:pPr>
        <w:pStyle w:val="Paragraphedeliste"/>
        <w:numPr>
          <w:ilvl w:val="0"/>
          <w:numId w:val="73"/>
        </w:numPr>
        <w:tabs>
          <w:tab w:val="right" w:pos="850"/>
        </w:tabs>
        <w:bidi/>
        <w:spacing w:before="240" w:after="0"/>
        <w:ind w:left="-1" w:firstLine="568"/>
        <w:jc w:val="both"/>
        <w:rPr>
          <w:rFonts w:ascii="Simplified Arabic" w:hAnsi="Simplified Arabic" w:cs="Simplified Arabic"/>
          <w:b/>
          <w:bCs/>
          <w:sz w:val="24"/>
          <w:szCs w:val="24"/>
          <w:rtl/>
          <w:lang w:val="en-US"/>
        </w:rPr>
      </w:pPr>
      <w:r w:rsidRPr="00B125D1">
        <w:rPr>
          <w:rFonts w:ascii="Simplified Arabic" w:hAnsi="Simplified Arabic" w:cs="Simplified Arabic" w:hint="cs"/>
          <w:b/>
          <w:bCs/>
          <w:sz w:val="24"/>
          <w:szCs w:val="24"/>
          <w:rtl/>
          <w:lang w:val="en-US"/>
        </w:rPr>
        <w:t xml:space="preserve">تحليل </w:t>
      </w:r>
      <w:r w:rsidR="008A5FF7" w:rsidRPr="00B125D1">
        <w:rPr>
          <w:rFonts w:ascii="Simplified Arabic" w:hAnsi="Simplified Arabic" w:cs="Simplified Arabic" w:hint="cs"/>
          <w:b/>
          <w:bCs/>
          <w:sz w:val="24"/>
          <w:szCs w:val="24"/>
          <w:rtl/>
          <w:lang w:val="en-US"/>
        </w:rPr>
        <w:t xml:space="preserve">توزيع افراد </w:t>
      </w:r>
      <w:r w:rsidR="00B125D1">
        <w:rPr>
          <w:rFonts w:ascii="Simplified Arabic" w:hAnsi="Simplified Arabic" w:cs="Simplified Arabic" w:hint="cs"/>
          <w:b/>
          <w:bCs/>
          <w:sz w:val="24"/>
          <w:szCs w:val="24"/>
          <w:rtl/>
          <w:lang w:val="en-US"/>
        </w:rPr>
        <w:t>عيّنة</w:t>
      </w:r>
      <w:r w:rsidR="00B125D1" w:rsidRPr="00B125D1">
        <w:rPr>
          <w:rFonts w:ascii="Simplified Arabic" w:hAnsi="Simplified Arabic" w:cs="Simplified Arabic" w:hint="cs"/>
          <w:b/>
          <w:bCs/>
          <w:sz w:val="24"/>
          <w:szCs w:val="24"/>
          <w:rtl/>
          <w:lang w:val="en-US"/>
        </w:rPr>
        <w:t xml:space="preserve"> </w:t>
      </w:r>
      <w:r w:rsidRPr="00B125D1">
        <w:rPr>
          <w:rFonts w:ascii="Simplified Arabic" w:hAnsi="Simplified Arabic" w:cs="Simplified Arabic" w:hint="cs"/>
          <w:b/>
          <w:bCs/>
          <w:sz w:val="24"/>
          <w:szCs w:val="24"/>
          <w:rtl/>
          <w:lang w:val="en-US"/>
        </w:rPr>
        <w:t>العاملين</w:t>
      </w:r>
    </w:p>
    <w:p w:rsidR="003A5C71" w:rsidRDefault="008A5FF7" w:rsidP="009F772D">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يبين الشكل (5-10)، ان هناك </w:t>
      </w:r>
      <w:r w:rsidRPr="00A71970">
        <w:rPr>
          <w:rFonts w:ascii="Simplified Arabic" w:hAnsi="Simplified Arabic" w:cs="Simplified Arabic" w:hint="cs"/>
          <w:sz w:val="24"/>
          <w:szCs w:val="24"/>
          <w:rtl/>
          <w:lang w:val="en-US"/>
        </w:rPr>
        <w:t>فروق</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لأفراد العينة</w:t>
      </w:r>
      <w:r w:rsidRPr="00A71970">
        <w:rPr>
          <w:rFonts w:ascii="Simplified Arabic" w:hAnsi="Simplified Arabic" w:cs="Simplified Arabic" w:hint="cs"/>
          <w:sz w:val="24"/>
          <w:szCs w:val="24"/>
          <w:rtl/>
          <w:lang w:val="en-US"/>
        </w:rPr>
        <w:t xml:space="preserve"> في</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نسب</w:t>
      </w:r>
      <w:r w:rsidRPr="00A71970">
        <w:rPr>
          <w:rFonts w:ascii="Simplified Arabic" w:hAnsi="Simplified Arabic" w:cs="Simplified Arabic"/>
          <w:sz w:val="24"/>
          <w:szCs w:val="24"/>
          <w:rtl/>
          <w:lang w:val="en-US"/>
        </w:rPr>
        <w:t xml:space="preserve"> </w:t>
      </w:r>
      <w:r w:rsidRPr="00A71970">
        <w:rPr>
          <w:rFonts w:ascii="Simplified Arabic" w:hAnsi="Simplified Arabic" w:cs="Simplified Arabic" w:hint="cs"/>
          <w:sz w:val="24"/>
          <w:szCs w:val="24"/>
          <w:rtl/>
          <w:lang w:val="en-US"/>
        </w:rPr>
        <w:t>العاملين</w:t>
      </w:r>
      <w:r w:rsidRPr="00A71970">
        <w:rPr>
          <w:rFonts w:ascii="Simplified Arabic" w:hAnsi="Simplified Arabic" w:cs="Simplified Arabic"/>
          <w:sz w:val="24"/>
          <w:szCs w:val="24"/>
          <w:rtl/>
          <w:lang w:val="en-US"/>
        </w:rPr>
        <w:t xml:space="preserve"> </w:t>
      </w:r>
      <w:r w:rsidRPr="00A71970">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 xml:space="preserve">الذين هم بدون </w:t>
      </w:r>
      <w:r w:rsidRPr="00A71970">
        <w:rPr>
          <w:rFonts w:ascii="Simplified Arabic" w:hAnsi="Simplified Arabic" w:cs="Simplified Arabic" w:hint="cs"/>
          <w:sz w:val="24"/>
          <w:szCs w:val="24"/>
          <w:rtl/>
          <w:lang w:val="en-US"/>
        </w:rPr>
        <w:t>عمل</w:t>
      </w:r>
      <w:r w:rsidR="00C121B0" w:rsidRPr="00A71970">
        <w:rPr>
          <w:rFonts w:ascii="Simplified Arabic" w:hAnsi="Simplified Arabic" w:cs="Simplified Arabic"/>
          <w:sz w:val="24"/>
          <w:szCs w:val="24"/>
          <w:rtl/>
          <w:lang w:val="en-US"/>
        </w:rPr>
        <w:t xml:space="preserve">. </w:t>
      </w:r>
      <w:r w:rsidR="00C121B0">
        <w:rPr>
          <w:rFonts w:ascii="Simplified Arabic" w:hAnsi="Simplified Arabic" w:cs="Simplified Arabic" w:hint="cs"/>
          <w:sz w:val="24"/>
          <w:szCs w:val="24"/>
          <w:rtl/>
          <w:lang w:val="en-US"/>
        </w:rPr>
        <w:t>تبين ان العينات المشاركة في الاستبيان بنسب</w:t>
      </w:r>
      <w:r w:rsidR="00C121B0" w:rsidRPr="00A71970">
        <w:rPr>
          <w:rFonts w:ascii="Simplified Arabic" w:hAnsi="Simplified Arabic" w:cs="Simplified Arabic"/>
          <w:sz w:val="24"/>
          <w:szCs w:val="24"/>
          <w:rtl/>
          <w:lang w:val="en-US"/>
        </w:rPr>
        <w:t xml:space="preserve"> </w:t>
      </w:r>
      <w:r w:rsidR="00C121B0" w:rsidRPr="00A71970">
        <w:rPr>
          <w:rFonts w:ascii="Simplified Arabic" w:hAnsi="Simplified Arabic" w:cs="Simplified Arabic" w:hint="cs"/>
          <w:sz w:val="24"/>
          <w:szCs w:val="24"/>
          <w:rtl/>
          <w:lang w:val="en-US"/>
        </w:rPr>
        <w:t>عالية</w:t>
      </w:r>
      <w:r w:rsidR="00C121B0">
        <w:rPr>
          <w:rFonts w:ascii="Simplified Arabic" w:hAnsi="Simplified Arabic" w:cs="Simplified Arabic" w:hint="cs"/>
          <w:sz w:val="24"/>
          <w:szCs w:val="24"/>
          <w:rtl/>
          <w:lang w:val="en-US"/>
        </w:rPr>
        <w:t xml:space="preserve"> هم ذوي الدخل، </w:t>
      </w:r>
      <w:r w:rsidR="003A5C71" w:rsidRPr="000230BD">
        <w:rPr>
          <w:rFonts w:ascii="Simplified Arabic" w:hAnsi="Simplified Arabic" w:cs="Simplified Arabic" w:hint="cs"/>
          <w:sz w:val="24"/>
          <w:szCs w:val="24"/>
          <w:rtl/>
          <w:lang w:val="en-US"/>
        </w:rPr>
        <w:t>حيث</w:t>
      </w:r>
      <w:r w:rsidR="003A5C71" w:rsidRPr="000230BD">
        <w:rPr>
          <w:rFonts w:ascii="Simplified Arabic" w:hAnsi="Simplified Arabic" w:cs="Simplified Arabic"/>
          <w:sz w:val="24"/>
          <w:szCs w:val="24"/>
          <w:rtl/>
          <w:lang w:val="en-US"/>
        </w:rPr>
        <w:t xml:space="preserve"> </w:t>
      </w:r>
      <w:r w:rsidR="003A5C71" w:rsidRPr="000230BD">
        <w:rPr>
          <w:rFonts w:ascii="Simplified Arabic" w:hAnsi="Simplified Arabic" w:cs="Simplified Arabic" w:hint="cs"/>
          <w:sz w:val="24"/>
          <w:szCs w:val="24"/>
          <w:rtl/>
          <w:lang w:val="en-US"/>
        </w:rPr>
        <w:t>تراوح</w:t>
      </w:r>
      <w:r w:rsidR="003A5C71">
        <w:rPr>
          <w:rFonts w:ascii="Simplified Arabic" w:hAnsi="Simplified Arabic" w:cs="Simplified Arabic" w:hint="cs"/>
          <w:sz w:val="24"/>
          <w:szCs w:val="24"/>
          <w:rtl/>
          <w:lang w:val="en-US"/>
        </w:rPr>
        <w:t>ت</w:t>
      </w:r>
      <w:r w:rsidR="003A5C71" w:rsidRPr="000230BD">
        <w:rPr>
          <w:rFonts w:ascii="Simplified Arabic" w:hAnsi="Simplified Arabic" w:cs="Simplified Arabic"/>
          <w:sz w:val="24"/>
          <w:szCs w:val="24"/>
          <w:rtl/>
          <w:lang w:val="en-US"/>
        </w:rPr>
        <w:t xml:space="preserve"> </w:t>
      </w:r>
      <w:r w:rsidR="003A5C71" w:rsidRPr="000230BD">
        <w:rPr>
          <w:rFonts w:ascii="Simplified Arabic" w:hAnsi="Simplified Arabic" w:cs="Simplified Arabic" w:hint="cs"/>
          <w:sz w:val="24"/>
          <w:szCs w:val="24"/>
          <w:rtl/>
          <w:lang w:val="en-US"/>
        </w:rPr>
        <w:t>نسبة</w:t>
      </w:r>
      <w:r w:rsidR="003A5C71" w:rsidRPr="000230BD">
        <w:rPr>
          <w:rFonts w:ascii="Simplified Arabic" w:hAnsi="Simplified Arabic" w:cs="Simplified Arabic"/>
          <w:sz w:val="24"/>
          <w:szCs w:val="24"/>
          <w:rtl/>
          <w:lang w:val="en-US"/>
        </w:rPr>
        <w:t xml:space="preserve"> </w:t>
      </w:r>
      <w:r w:rsidR="003A5C71">
        <w:rPr>
          <w:rFonts w:ascii="Simplified Arabic" w:hAnsi="Simplified Arabic" w:cs="Simplified Arabic" w:hint="cs"/>
          <w:sz w:val="24"/>
          <w:szCs w:val="24"/>
          <w:rtl/>
          <w:lang w:val="en-US"/>
        </w:rPr>
        <w:t>العاملين</w:t>
      </w:r>
      <w:r w:rsidR="003A5C71" w:rsidRPr="000230BD">
        <w:rPr>
          <w:rFonts w:ascii="Simplified Arabic" w:hAnsi="Simplified Arabic" w:cs="Simplified Arabic"/>
          <w:sz w:val="24"/>
          <w:szCs w:val="24"/>
          <w:rtl/>
          <w:lang w:val="en-US"/>
        </w:rPr>
        <w:t xml:space="preserve"> </w:t>
      </w:r>
      <w:r w:rsidR="003A5C71" w:rsidRPr="000230BD">
        <w:rPr>
          <w:rFonts w:ascii="Simplified Arabic" w:hAnsi="Simplified Arabic" w:cs="Simplified Arabic" w:hint="cs"/>
          <w:sz w:val="24"/>
          <w:szCs w:val="24"/>
          <w:rtl/>
          <w:lang w:val="en-US"/>
        </w:rPr>
        <w:t>في</w:t>
      </w:r>
      <w:r w:rsidR="003A5C71" w:rsidRPr="000230BD">
        <w:rPr>
          <w:rFonts w:ascii="Simplified Arabic" w:hAnsi="Simplified Arabic" w:cs="Simplified Arabic"/>
          <w:sz w:val="24"/>
          <w:szCs w:val="24"/>
          <w:rtl/>
          <w:lang w:val="en-US"/>
        </w:rPr>
        <w:t xml:space="preserve"> </w:t>
      </w:r>
      <w:r w:rsidR="003A5C71" w:rsidRPr="00220BB6">
        <w:rPr>
          <w:rFonts w:ascii="Simplified Arabic" w:hAnsi="Simplified Arabic" w:cs="Simplified Arabic" w:hint="cs"/>
          <w:sz w:val="24"/>
          <w:szCs w:val="24"/>
          <w:rtl/>
          <w:lang w:val="en-US"/>
        </w:rPr>
        <w:t>احياء: سيدي سليمان، ميطر، الحمايد والباطن</w:t>
      </w:r>
      <w:r w:rsidR="003A5C71">
        <w:rPr>
          <w:rFonts w:ascii="Simplified Arabic" w:hAnsi="Simplified Arabic" w:cs="Simplified Arabic" w:hint="cs"/>
          <w:sz w:val="24"/>
          <w:szCs w:val="24"/>
          <w:rtl/>
          <w:lang w:val="en-US"/>
        </w:rPr>
        <w:t xml:space="preserve"> على التوالي: </w:t>
      </w:r>
      <w:r w:rsidR="003A5C71" w:rsidRPr="00220BB6">
        <w:rPr>
          <w:rFonts w:ascii="Simplified Arabic" w:hAnsi="Simplified Arabic" w:cs="Simplified Arabic"/>
          <w:sz w:val="24"/>
          <w:szCs w:val="24"/>
          <w:lang w:val="en-US"/>
        </w:rPr>
        <w:t>57,80</w:t>
      </w:r>
      <w:r w:rsidR="003A5C71">
        <w:rPr>
          <w:rFonts w:ascii="Simplified Arabic" w:hAnsi="Simplified Arabic" w:cs="Simplified Arabic"/>
          <w:sz w:val="24"/>
          <w:szCs w:val="24"/>
          <w:rtl/>
          <w:lang w:val="en-US"/>
        </w:rPr>
        <w:t>٪</w:t>
      </w:r>
      <w:r w:rsidR="003A5C71" w:rsidRPr="00220BB6">
        <w:rPr>
          <w:rFonts w:ascii="Simplified Arabic" w:hAnsi="Simplified Arabic" w:cs="Simplified Arabic" w:hint="cs"/>
          <w:sz w:val="24"/>
          <w:szCs w:val="24"/>
          <w:rtl/>
          <w:lang w:val="en-US"/>
        </w:rPr>
        <w:t xml:space="preserve">، </w:t>
      </w:r>
      <w:r w:rsidR="003A5C71" w:rsidRPr="00220BB6">
        <w:rPr>
          <w:rFonts w:ascii="Simplified Arabic" w:hAnsi="Simplified Arabic" w:cs="Simplified Arabic"/>
          <w:sz w:val="24"/>
          <w:szCs w:val="24"/>
          <w:lang w:val="en-US"/>
        </w:rPr>
        <w:t>62,07</w:t>
      </w:r>
      <w:r w:rsidR="003A5C71">
        <w:rPr>
          <w:rFonts w:ascii="Simplified Arabic" w:hAnsi="Simplified Arabic" w:cs="Simplified Arabic"/>
          <w:sz w:val="24"/>
          <w:szCs w:val="24"/>
          <w:rtl/>
          <w:lang w:val="en-US"/>
        </w:rPr>
        <w:t>٪</w:t>
      </w:r>
      <w:r w:rsidR="003A5C71" w:rsidRPr="00220BB6">
        <w:rPr>
          <w:rFonts w:ascii="Simplified Arabic" w:hAnsi="Simplified Arabic" w:cs="Simplified Arabic" w:hint="cs"/>
          <w:sz w:val="24"/>
          <w:szCs w:val="24"/>
          <w:rtl/>
          <w:lang w:val="en-US"/>
        </w:rPr>
        <w:t xml:space="preserve">، </w:t>
      </w:r>
      <w:r w:rsidR="003A5C71" w:rsidRPr="00220BB6">
        <w:rPr>
          <w:rFonts w:ascii="Simplified Arabic" w:hAnsi="Simplified Arabic" w:cs="Simplified Arabic"/>
          <w:sz w:val="24"/>
          <w:szCs w:val="24"/>
          <w:lang w:val="en-US"/>
        </w:rPr>
        <w:t>71,43</w:t>
      </w:r>
      <w:r w:rsidR="003A5C71">
        <w:rPr>
          <w:rFonts w:ascii="Simplified Arabic" w:hAnsi="Simplified Arabic" w:cs="Simplified Arabic"/>
          <w:sz w:val="24"/>
          <w:szCs w:val="24"/>
          <w:rtl/>
          <w:lang w:val="en-US"/>
        </w:rPr>
        <w:t>٪</w:t>
      </w:r>
      <w:r w:rsidR="003A5C71" w:rsidRPr="00220BB6">
        <w:rPr>
          <w:rFonts w:ascii="Simplified Arabic" w:hAnsi="Simplified Arabic" w:cs="Simplified Arabic" w:hint="cs"/>
          <w:sz w:val="24"/>
          <w:szCs w:val="24"/>
          <w:rtl/>
          <w:lang w:val="en-US"/>
        </w:rPr>
        <w:t xml:space="preserve">، </w:t>
      </w:r>
      <w:r w:rsidR="003A5C71" w:rsidRPr="00220BB6">
        <w:rPr>
          <w:rFonts w:ascii="Simplified Arabic" w:hAnsi="Simplified Arabic" w:cs="Simplified Arabic"/>
          <w:sz w:val="24"/>
          <w:szCs w:val="24"/>
          <w:lang w:val="en-US"/>
        </w:rPr>
        <w:t>64,86</w:t>
      </w:r>
      <w:r w:rsidR="003A5C71" w:rsidRPr="00A71970">
        <w:rPr>
          <w:rFonts w:ascii="Simplified Arabic" w:hAnsi="Simplified Arabic" w:cs="Simplified Arabic"/>
          <w:sz w:val="24"/>
          <w:szCs w:val="24"/>
          <w:rtl/>
          <w:lang w:val="en-US"/>
        </w:rPr>
        <w:t xml:space="preserve">٪ </w:t>
      </w:r>
      <w:r w:rsidR="003A5C71">
        <w:rPr>
          <w:rFonts w:ascii="Simplified Arabic" w:hAnsi="Simplified Arabic" w:cs="Simplified Arabic" w:hint="cs"/>
          <w:sz w:val="24"/>
          <w:szCs w:val="24"/>
          <w:rtl/>
          <w:lang w:val="en-US"/>
        </w:rPr>
        <w:t xml:space="preserve">يقابلها 248، 226، 253، 281 مفردة من العينة، بينما  </w:t>
      </w:r>
      <w:r w:rsidR="003A5C71" w:rsidRPr="000230BD">
        <w:rPr>
          <w:rFonts w:ascii="Simplified Arabic" w:hAnsi="Simplified Arabic" w:cs="Simplified Arabic" w:hint="cs"/>
          <w:sz w:val="24"/>
          <w:szCs w:val="24"/>
          <w:rtl/>
          <w:lang w:val="en-US"/>
        </w:rPr>
        <w:t>تراوح</w:t>
      </w:r>
      <w:r w:rsidR="003A5C71">
        <w:rPr>
          <w:rFonts w:ascii="Simplified Arabic" w:hAnsi="Simplified Arabic" w:cs="Simplified Arabic" w:hint="cs"/>
          <w:sz w:val="24"/>
          <w:szCs w:val="24"/>
          <w:rtl/>
          <w:lang w:val="en-US"/>
        </w:rPr>
        <w:t>ت</w:t>
      </w:r>
      <w:r w:rsidR="003A5C71" w:rsidRPr="000230BD">
        <w:rPr>
          <w:rFonts w:ascii="Simplified Arabic" w:hAnsi="Simplified Arabic" w:cs="Simplified Arabic"/>
          <w:sz w:val="24"/>
          <w:szCs w:val="24"/>
          <w:rtl/>
          <w:lang w:val="en-US"/>
        </w:rPr>
        <w:t xml:space="preserve"> </w:t>
      </w:r>
      <w:r w:rsidR="003A5C71" w:rsidRPr="000230BD">
        <w:rPr>
          <w:rFonts w:ascii="Simplified Arabic" w:hAnsi="Simplified Arabic" w:cs="Simplified Arabic" w:hint="cs"/>
          <w:sz w:val="24"/>
          <w:szCs w:val="24"/>
          <w:rtl/>
          <w:lang w:val="en-US"/>
        </w:rPr>
        <w:t>نسبة</w:t>
      </w:r>
      <w:r w:rsidR="003A5C71" w:rsidRPr="000230BD">
        <w:rPr>
          <w:rFonts w:ascii="Simplified Arabic" w:hAnsi="Simplified Arabic" w:cs="Simplified Arabic"/>
          <w:sz w:val="24"/>
          <w:szCs w:val="24"/>
          <w:rtl/>
          <w:lang w:val="en-US"/>
        </w:rPr>
        <w:t xml:space="preserve"> </w:t>
      </w:r>
      <w:r w:rsidR="003A5C71">
        <w:rPr>
          <w:rFonts w:ascii="Simplified Arabic" w:hAnsi="Simplified Arabic" w:cs="Simplified Arabic" w:hint="cs"/>
          <w:sz w:val="24"/>
          <w:szCs w:val="24"/>
          <w:rtl/>
          <w:lang w:val="en-US"/>
        </w:rPr>
        <w:t>غير العاملين</w:t>
      </w:r>
      <w:r w:rsidR="003A5C71" w:rsidRPr="000230BD">
        <w:rPr>
          <w:rFonts w:ascii="Simplified Arabic" w:hAnsi="Simplified Arabic" w:cs="Simplified Arabic"/>
          <w:sz w:val="24"/>
          <w:szCs w:val="24"/>
          <w:rtl/>
          <w:lang w:val="en-US"/>
        </w:rPr>
        <w:t xml:space="preserve"> </w:t>
      </w:r>
      <w:r w:rsidR="003A5C71">
        <w:rPr>
          <w:rFonts w:ascii="Simplified Arabic" w:hAnsi="Simplified Arabic" w:cs="Simplified Arabic" w:hint="cs"/>
          <w:sz w:val="24"/>
          <w:szCs w:val="24"/>
          <w:rtl/>
          <w:lang w:val="en-US"/>
        </w:rPr>
        <w:t>لنفس</w:t>
      </w:r>
      <w:r w:rsidR="003A5C71" w:rsidRPr="000230BD">
        <w:rPr>
          <w:rFonts w:ascii="Simplified Arabic" w:hAnsi="Simplified Arabic" w:cs="Simplified Arabic"/>
          <w:sz w:val="24"/>
          <w:szCs w:val="24"/>
          <w:rtl/>
          <w:lang w:val="en-US"/>
        </w:rPr>
        <w:t xml:space="preserve"> </w:t>
      </w:r>
      <w:r w:rsidR="003A5C71">
        <w:rPr>
          <w:rFonts w:ascii="Simplified Arabic" w:hAnsi="Simplified Arabic" w:cs="Simplified Arabic" w:hint="cs"/>
          <w:sz w:val="24"/>
          <w:szCs w:val="24"/>
          <w:rtl/>
          <w:lang w:val="en-US"/>
        </w:rPr>
        <w:t xml:space="preserve">الاحياء على التوالي: </w:t>
      </w:r>
      <w:r w:rsidR="003A5C71" w:rsidRPr="00220BB6">
        <w:rPr>
          <w:rFonts w:ascii="Simplified Arabic" w:hAnsi="Simplified Arabic" w:cs="Simplified Arabic"/>
          <w:sz w:val="24"/>
          <w:szCs w:val="24"/>
          <w:lang w:val="en-US"/>
        </w:rPr>
        <w:t>42,20</w:t>
      </w:r>
      <w:r w:rsidR="003A5C71">
        <w:rPr>
          <w:rFonts w:ascii="Simplified Arabic" w:hAnsi="Simplified Arabic" w:cs="Simplified Arabic"/>
          <w:sz w:val="24"/>
          <w:szCs w:val="24"/>
          <w:rtl/>
          <w:lang w:val="en-US"/>
        </w:rPr>
        <w:t>٪</w:t>
      </w:r>
      <w:r w:rsidR="003A5C71" w:rsidRPr="00220BB6">
        <w:rPr>
          <w:rFonts w:ascii="Simplified Arabic" w:hAnsi="Simplified Arabic" w:cs="Simplified Arabic" w:hint="cs"/>
          <w:sz w:val="24"/>
          <w:szCs w:val="24"/>
          <w:rtl/>
          <w:lang w:val="en-US"/>
        </w:rPr>
        <w:t xml:space="preserve">، </w:t>
      </w:r>
      <w:r w:rsidR="003A5C71" w:rsidRPr="00220BB6">
        <w:rPr>
          <w:rFonts w:ascii="Simplified Arabic" w:hAnsi="Simplified Arabic" w:cs="Simplified Arabic"/>
          <w:sz w:val="24"/>
          <w:szCs w:val="24"/>
          <w:lang w:val="en-US"/>
        </w:rPr>
        <w:t>37,93</w:t>
      </w:r>
      <w:r w:rsidR="003A5C71">
        <w:rPr>
          <w:rFonts w:ascii="Simplified Arabic" w:hAnsi="Simplified Arabic" w:cs="Simplified Arabic"/>
          <w:sz w:val="24"/>
          <w:szCs w:val="24"/>
          <w:rtl/>
          <w:lang w:val="en-US"/>
        </w:rPr>
        <w:t>٪</w:t>
      </w:r>
      <w:r w:rsidR="003A5C71" w:rsidRPr="00220BB6">
        <w:rPr>
          <w:rFonts w:ascii="Simplified Arabic" w:hAnsi="Simplified Arabic" w:cs="Simplified Arabic" w:hint="cs"/>
          <w:sz w:val="24"/>
          <w:szCs w:val="24"/>
          <w:rtl/>
          <w:lang w:val="en-US"/>
        </w:rPr>
        <w:t xml:space="preserve">، </w:t>
      </w:r>
      <w:r w:rsidR="003A5C71" w:rsidRPr="00220BB6">
        <w:rPr>
          <w:rFonts w:ascii="Simplified Arabic" w:hAnsi="Simplified Arabic" w:cs="Simplified Arabic"/>
          <w:sz w:val="24"/>
          <w:szCs w:val="24"/>
          <w:lang w:val="en-US"/>
        </w:rPr>
        <w:t>28,57</w:t>
      </w:r>
      <w:r w:rsidR="003A5C71">
        <w:rPr>
          <w:rFonts w:ascii="Simplified Arabic" w:hAnsi="Simplified Arabic" w:cs="Simplified Arabic"/>
          <w:sz w:val="24"/>
          <w:szCs w:val="24"/>
          <w:rtl/>
          <w:lang w:val="en-US"/>
        </w:rPr>
        <w:t>٪</w:t>
      </w:r>
      <w:r w:rsidR="003A5C71" w:rsidRPr="00220BB6">
        <w:rPr>
          <w:rFonts w:ascii="Simplified Arabic" w:hAnsi="Simplified Arabic" w:cs="Simplified Arabic" w:hint="cs"/>
          <w:sz w:val="24"/>
          <w:szCs w:val="24"/>
          <w:rtl/>
          <w:lang w:val="en-US"/>
        </w:rPr>
        <w:t xml:space="preserve">، </w:t>
      </w:r>
      <w:r w:rsidR="003A5C71" w:rsidRPr="00220BB6">
        <w:rPr>
          <w:rFonts w:ascii="Simplified Arabic" w:hAnsi="Simplified Arabic" w:cs="Simplified Arabic"/>
          <w:sz w:val="24"/>
          <w:szCs w:val="24"/>
          <w:lang w:val="en-US"/>
        </w:rPr>
        <w:t>35,14</w:t>
      </w:r>
      <w:r w:rsidR="003A5C71" w:rsidRPr="00A71970">
        <w:rPr>
          <w:rFonts w:ascii="Simplified Arabic" w:hAnsi="Simplified Arabic" w:cs="Simplified Arabic"/>
          <w:sz w:val="24"/>
          <w:szCs w:val="24"/>
          <w:rtl/>
          <w:lang w:val="en-US"/>
        </w:rPr>
        <w:t xml:space="preserve">٪ </w:t>
      </w:r>
      <w:r w:rsidR="003A5C71">
        <w:rPr>
          <w:rFonts w:ascii="Simplified Arabic" w:hAnsi="Simplified Arabic" w:cs="Simplified Arabic" w:hint="cs"/>
          <w:sz w:val="24"/>
          <w:szCs w:val="24"/>
          <w:rtl/>
          <w:lang w:val="en-US"/>
        </w:rPr>
        <w:t>يقابلها</w:t>
      </w:r>
      <w:r w:rsidR="009F772D" w:rsidRPr="009F772D">
        <w:rPr>
          <w:rFonts w:ascii="Simplified Arabic" w:hAnsi="Simplified Arabic" w:cs="Simplified Arabic" w:hint="cs"/>
          <w:sz w:val="24"/>
          <w:szCs w:val="24"/>
          <w:rtl/>
          <w:lang w:val="en-US"/>
        </w:rPr>
        <w:t xml:space="preserve"> </w:t>
      </w:r>
      <w:r w:rsidR="009F772D">
        <w:rPr>
          <w:rFonts w:ascii="Simplified Arabic" w:hAnsi="Simplified Arabic" w:cs="Simplified Arabic" w:hint="cs"/>
          <w:sz w:val="24"/>
          <w:szCs w:val="24"/>
          <w:rtl/>
          <w:lang w:val="en-US"/>
        </w:rPr>
        <w:t>على التوالي</w:t>
      </w:r>
      <w:r w:rsidR="003A5C71">
        <w:rPr>
          <w:rFonts w:ascii="Simplified Arabic" w:hAnsi="Simplified Arabic" w:cs="Simplified Arabic" w:hint="cs"/>
          <w:sz w:val="24"/>
          <w:szCs w:val="24"/>
          <w:rtl/>
          <w:lang w:val="en-US"/>
        </w:rPr>
        <w:t xml:space="preserve"> </w:t>
      </w:r>
      <w:r w:rsidR="003A5C71">
        <w:rPr>
          <w:rFonts w:ascii="Simplified Arabic" w:hAnsi="Simplified Arabic" w:cs="Simplified Arabic"/>
          <w:sz w:val="24"/>
          <w:szCs w:val="24"/>
          <w:lang w:val="en-US"/>
        </w:rPr>
        <w:t>162</w:t>
      </w:r>
      <w:r w:rsidR="003A5C71">
        <w:rPr>
          <w:rFonts w:ascii="Simplified Arabic" w:hAnsi="Simplified Arabic" w:cs="Simplified Arabic" w:hint="cs"/>
          <w:sz w:val="24"/>
          <w:szCs w:val="24"/>
          <w:rtl/>
          <w:lang w:val="en-US"/>
        </w:rPr>
        <w:t xml:space="preserve">، </w:t>
      </w:r>
      <w:r w:rsidR="003A5C71">
        <w:rPr>
          <w:rFonts w:ascii="Simplified Arabic" w:hAnsi="Simplified Arabic" w:cs="Simplified Arabic"/>
          <w:sz w:val="24"/>
          <w:szCs w:val="24"/>
          <w:lang w:val="en-US"/>
        </w:rPr>
        <w:t>146</w:t>
      </w:r>
      <w:r w:rsidR="003A5C71">
        <w:rPr>
          <w:rFonts w:ascii="Simplified Arabic" w:hAnsi="Simplified Arabic" w:cs="Simplified Arabic" w:hint="cs"/>
          <w:sz w:val="24"/>
          <w:szCs w:val="24"/>
          <w:rtl/>
          <w:lang w:val="en-US"/>
        </w:rPr>
        <w:t xml:space="preserve">، </w:t>
      </w:r>
      <w:r w:rsidR="003A5C71">
        <w:rPr>
          <w:rFonts w:ascii="Simplified Arabic" w:hAnsi="Simplified Arabic" w:cs="Simplified Arabic"/>
          <w:sz w:val="24"/>
          <w:szCs w:val="24"/>
          <w:lang w:val="en-US"/>
        </w:rPr>
        <w:t>110</w:t>
      </w:r>
      <w:r w:rsidR="003A5C71">
        <w:rPr>
          <w:rFonts w:ascii="Simplified Arabic" w:hAnsi="Simplified Arabic" w:cs="Simplified Arabic" w:hint="cs"/>
          <w:sz w:val="24"/>
          <w:szCs w:val="24"/>
          <w:rtl/>
          <w:lang w:val="en-US"/>
        </w:rPr>
        <w:t xml:space="preserve">، </w:t>
      </w:r>
      <w:r w:rsidR="003A5C71">
        <w:rPr>
          <w:rFonts w:ascii="Simplified Arabic" w:hAnsi="Simplified Arabic" w:cs="Simplified Arabic"/>
          <w:sz w:val="24"/>
          <w:szCs w:val="24"/>
          <w:lang w:val="en-US"/>
        </w:rPr>
        <w:t>135</w:t>
      </w:r>
      <w:r w:rsidR="003A5C71">
        <w:rPr>
          <w:rFonts w:ascii="Simplified Arabic" w:hAnsi="Simplified Arabic" w:cs="Simplified Arabic" w:hint="cs"/>
          <w:sz w:val="24"/>
          <w:szCs w:val="24"/>
          <w:rtl/>
          <w:lang w:val="en-US"/>
        </w:rPr>
        <w:t xml:space="preserve"> مفردة من العينة، </w:t>
      </w:r>
      <w:r w:rsidR="00B125D1">
        <w:rPr>
          <w:rFonts w:ascii="Simplified Arabic" w:hAnsi="Simplified Arabic" w:cs="Simplified Arabic" w:hint="cs"/>
          <w:sz w:val="24"/>
          <w:szCs w:val="24"/>
          <w:rtl/>
          <w:lang w:val="en-US"/>
        </w:rPr>
        <w:t>تفسر نسبة غير العاملين الى قلة الانشطة الاقتصادية على مستوى هذه الاحياء الهامشية.</w:t>
      </w:r>
    </w:p>
    <w:p w:rsidR="006200F1" w:rsidRDefault="006200F1" w:rsidP="00C840FB">
      <w:pPr>
        <w:pStyle w:val="fegure"/>
        <w:spacing w:before="240"/>
        <w:rPr>
          <w:sz w:val="8"/>
          <w:szCs w:val="24"/>
          <w:rtl/>
          <w:lang w:val="en-US"/>
        </w:rPr>
      </w:pPr>
      <w:bookmarkStart w:id="729" w:name="_Toc157608341"/>
      <w:bookmarkStart w:id="730" w:name="_Toc171803734"/>
      <w:r w:rsidRPr="00ED1C8F">
        <w:rPr>
          <w:rFonts w:hint="cs"/>
          <w:sz w:val="8"/>
          <w:szCs w:val="24"/>
          <w:rtl/>
          <w:lang w:val="en-US"/>
        </w:rPr>
        <w:t>الشكل</w:t>
      </w:r>
      <w:r w:rsidRPr="00ED1C8F">
        <w:rPr>
          <w:sz w:val="8"/>
          <w:szCs w:val="24"/>
          <w:rtl/>
          <w:lang w:val="en-US"/>
        </w:rPr>
        <w:t xml:space="preserve"> </w:t>
      </w:r>
      <w:r w:rsidRPr="00ED1C8F">
        <w:rPr>
          <w:rFonts w:hint="cs"/>
          <w:sz w:val="8"/>
          <w:szCs w:val="24"/>
          <w:rtl/>
          <w:lang w:val="en-US"/>
        </w:rPr>
        <w:t>(5-</w:t>
      </w:r>
      <w:r w:rsidR="00F26F57" w:rsidRPr="00ED1C8F">
        <w:rPr>
          <w:rFonts w:hint="cs"/>
          <w:sz w:val="8"/>
          <w:szCs w:val="24"/>
          <w:rtl/>
          <w:lang w:val="en-US"/>
        </w:rPr>
        <w:t>10</w:t>
      </w:r>
      <w:r w:rsidRPr="00ED1C8F">
        <w:rPr>
          <w:rFonts w:hint="cs"/>
          <w:sz w:val="8"/>
          <w:szCs w:val="24"/>
          <w:rtl/>
          <w:lang w:val="en-US"/>
        </w:rPr>
        <w:t>)</w:t>
      </w:r>
      <w:r w:rsidRPr="00ED1C8F">
        <w:rPr>
          <w:sz w:val="8"/>
          <w:szCs w:val="24"/>
          <w:rtl/>
          <w:lang w:val="en-US"/>
        </w:rPr>
        <w:t xml:space="preserve">: </w:t>
      </w:r>
      <w:r w:rsidRPr="00ED1C8F">
        <w:rPr>
          <w:rFonts w:hint="cs"/>
          <w:sz w:val="8"/>
          <w:szCs w:val="24"/>
          <w:rtl/>
          <w:lang w:val="en-US"/>
        </w:rPr>
        <w:t xml:space="preserve">توزيع افراد </w:t>
      </w:r>
      <w:r w:rsidR="009F772D" w:rsidRPr="00ED1C8F">
        <w:rPr>
          <w:rFonts w:hint="cs"/>
          <w:sz w:val="8"/>
          <w:szCs w:val="24"/>
          <w:rtl/>
          <w:lang w:val="en-US"/>
        </w:rPr>
        <w:t xml:space="preserve">عيّنة </w:t>
      </w:r>
      <w:r w:rsidRPr="00ED1C8F">
        <w:rPr>
          <w:rFonts w:hint="cs"/>
          <w:sz w:val="8"/>
          <w:szCs w:val="24"/>
          <w:rtl/>
          <w:lang w:val="en-US"/>
        </w:rPr>
        <w:t>العاملين</w:t>
      </w:r>
      <w:bookmarkEnd w:id="729"/>
      <w:bookmarkEnd w:id="730"/>
    </w:p>
    <w:p w:rsidR="00C840FB" w:rsidRPr="00ED1C8F" w:rsidRDefault="00C840FB" w:rsidP="00C840FB">
      <w:pPr>
        <w:pStyle w:val="fegure"/>
        <w:rPr>
          <w:sz w:val="8"/>
          <w:szCs w:val="24"/>
          <w:rtl/>
          <w:lang w:val="en-US" w:bidi="ar-DZ"/>
        </w:rPr>
      </w:pPr>
      <w:bookmarkStart w:id="731" w:name="_Toc171803735"/>
      <w:r>
        <w:rPr>
          <w:rFonts w:hint="cs"/>
          <w:sz w:val="8"/>
          <w:szCs w:val="24"/>
          <w:rtl/>
          <w:lang w:val="en-US"/>
        </w:rPr>
        <w:t>المصدر: (الباحث، 2022)</w:t>
      </w:r>
      <w:bookmarkEnd w:id="731"/>
    </w:p>
    <w:p w:rsidR="006200F1" w:rsidRDefault="006200F1" w:rsidP="004E006F">
      <w:pPr>
        <w:bidi/>
        <w:spacing w:after="0"/>
        <w:jc w:val="center"/>
        <w:rPr>
          <w:rFonts w:ascii="Simplified Arabic" w:hAnsi="Simplified Arabic" w:cs="Simplified Arabic"/>
          <w:sz w:val="24"/>
          <w:szCs w:val="24"/>
          <w:rtl/>
          <w:lang w:val="en-US"/>
        </w:rPr>
      </w:pPr>
      <w:r>
        <w:rPr>
          <w:noProof/>
          <w:lang w:eastAsia="fr-FR"/>
        </w:rPr>
        <w:drawing>
          <wp:inline distT="0" distB="0" distL="0" distR="0" wp14:anchorId="59993244" wp14:editId="652A4E51">
            <wp:extent cx="2829464" cy="1828800"/>
            <wp:effectExtent l="0" t="0" r="9525" b="19050"/>
            <wp:docPr id="322" name="Graphique 3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4"/>
              </a:graphicData>
            </a:graphic>
          </wp:inline>
        </w:drawing>
      </w:r>
    </w:p>
    <w:p w:rsidR="00B125D1" w:rsidRPr="00B125D1" w:rsidRDefault="00B125D1" w:rsidP="001D0548">
      <w:pPr>
        <w:pStyle w:val="Paragraphedeliste"/>
        <w:numPr>
          <w:ilvl w:val="0"/>
          <w:numId w:val="73"/>
        </w:numPr>
        <w:tabs>
          <w:tab w:val="right" w:pos="850"/>
        </w:tabs>
        <w:bidi/>
        <w:spacing w:before="240" w:after="0"/>
        <w:ind w:left="-1" w:firstLine="568"/>
        <w:jc w:val="both"/>
        <w:rPr>
          <w:rFonts w:ascii="Simplified Arabic" w:hAnsi="Simplified Arabic" w:cs="Simplified Arabic"/>
          <w:b/>
          <w:bCs/>
          <w:sz w:val="24"/>
          <w:szCs w:val="24"/>
          <w:rtl/>
          <w:lang w:val="en-US"/>
        </w:rPr>
      </w:pPr>
      <w:r w:rsidRPr="00B125D1">
        <w:rPr>
          <w:rFonts w:ascii="Simplified Arabic" w:hAnsi="Simplified Arabic" w:cs="Simplified Arabic" w:hint="cs"/>
          <w:b/>
          <w:bCs/>
          <w:sz w:val="24"/>
          <w:szCs w:val="24"/>
          <w:rtl/>
          <w:lang w:val="en-US"/>
        </w:rPr>
        <w:t xml:space="preserve">تحليل توزيع </w:t>
      </w:r>
      <w:r w:rsidR="009F772D" w:rsidRPr="00B125D1">
        <w:rPr>
          <w:rFonts w:ascii="Simplified Arabic" w:hAnsi="Simplified Arabic" w:cs="Simplified Arabic" w:hint="cs"/>
          <w:b/>
          <w:bCs/>
          <w:sz w:val="24"/>
          <w:szCs w:val="24"/>
          <w:rtl/>
          <w:lang w:val="en-US"/>
        </w:rPr>
        <w:t>أفراد</w:t>
      </w:r>
      <w:r w:rsidR="009F772D">
        <w:rPr>
          <w:rFonts w:ascii="Simplified Arabic" w:hAnsi="Simplified Arabic" w:cs="Simplified Arabic" w:hint="cs"/>
          <w:b/>
          <w:bCs/>
          <w:sz w:val="24"/>
          <w:szCs w:val="24"/>
          <w:rtl/>
          <w:lang w:val="en-US"/>
        </w:rPr>
        <w:t xml:space="preserve"> عيّنة</w:t>
      </w:r>
      <w:r w:rsidR="009F772D" w:rsidRPr="00B125D1">
        <w:rPr>
          <w:rFonts w:ascii="Simplified Arabic" w:hAnsi="Simplified Arabic" w:cs="Simplified Arabic" w:hint="cs"/>
          <w:b/>
          <w:bCs/>
          <w:sz w:val="24"/>
          <w:szCs w:val="24"/>
          <w:rtl/>
          <w:lang w:val="en-US"/>
        </w:rPr>
        <w:t xml:space="preserve"> </w:t>
      </w:r>
      <w:r>
        <w:rPr>
          <w:rFonts w:ascii="Simplified Arabic" w:hAnsi="Simplified Arabic" w:cs="Simplified Arabic" w:hint="cs"/>
          <w:b/>
          <w:bCs/>
          <w:sz w:val="24"/>
          <w:szCs w:val="24"/>
          <w:rtl/>
          <w:lang w:val="en-US"/>
        </w:rPr>
        <w:t>الفئات العمرية</w:t>
      </w:r>
      <w:r w:rsidRPr="00B125D1">
        <w:rPr>
          <w:rFonts w:ascii="Simplified Arabic" w:hAnsi="Simplified Arabic" w:cs="Simplified Arabic" w:hint="cs"/>
          <w:b/>
          <w:bCs/>
          <w:sz w:val="24"/>
          <w:szCs w:val="24"/>
          <w:rtl/>
          <w:lang w:val="en-US"/>
        </w:rPr>
        <w:t xml:space="preserve"> </w:t>
      </w:r>
    </w:p>
    <w:p w:rsidR="005611DC" w:rsidRDefault="005611DC" w:rsidP="00B2250E">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يبين الشكل (5-11)، نسب</w:t>
      </w:r>
      <w:r w:rsidRPr="00A71970">
        <w:rPr>
          <w:rFonts w:ascii="Simplified Arabic" w:hAnsi="Simplified Arabic" w:cs="Simplified Arabic"/>
          <w:sz w:val="24"/>
          <w:szCs w:val="24"/>
          <w:rtl/>
          <w:lang w:val="en-US"/>
        </w:rPr>
        <w:t xml:space="preserve"> </w:t>
      </w:r>
      <w:r w:rsidR="00272200">
        <w:rPr>
          <w:rFonts w:ascii="Simplified Arabic" w:hAnsi="Simplified Arabic" w:cs="Simplified Arabic" w:hint="cs"/>
          <w:sz w:val="24"/>
          <w:szCs w:val="24"/>
          <w:rtl/>
          <w:lang w:val="en-US"/>
        </w:rPr>
        <w:t>الفئات العمرية الثلاثة</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تبين ان العين</w:t>
      </w:r>
      <w:r w:rsidR="00272200">
        <w:rPr>
          <w:rFonts w:ascii="Simplified Arabic" w:hAnsi="Simplified Arabic" w:cs="Simplified Arabic" w:hint="cs"/>
          <w:sz w:val="24"/>
          <w:szCs w:val="24"/>
          <w:rtl/>
          <w:lang w:val="en-US"/>
        </w:rPr>
        <w:t>ة</w:t>
      </w:r>
      <w:r>
        <w:rPr>
          <w:rFonts w:ascii="Simplified Arabic" w:hAnsi="Simplified Arabic" w:cs="Simplified Arabic" w:hint="cs"/>
          <w:sz w:val="24"/>
          <w:szCs w:val="24"/>
          <w:rtl/>
          <w:lang w:val="en-US"/>
        </w:rPr>
        <w:t xml:space="preserve"> المشاركة في الاستبيان بنسب</w:t>
      </w:r>
      <w:r w:rsidRPr="00A71970">
        <w:rPr>
          <w:rFonts w:ascii="Simplified Arabic" w:hAnsi="Simplified Arabic" w:cs="Simplified Arabic"/>
          <w:sz w:val="24"/>
          <w:szCs w:val="24"/>
          <w:rtl/>
          <w:lang w:val="en-US"/>
        </w:rPr>
        <w:t xml:space="preserve"> </w:t>
      </w:r>
      <w:r w:rsidRPr="00A71970">
        <w:rPr>
          <w:rFonts w:ascii="Simplified Arabic" w:hAnsi="Simplified Arabic" w:cs="Simplified Arabic" w:hint="cs"/>
          <w:sz w:val="24"/>
          <w:szCs w:val="24"/>
          <w:rtl/>
          <w:lang w:val="en-US"/>
        </w:rPr>
        <w:t>عالية</w:t>
      </w:r>
      <w:r>
        <w:rPr>
          <w:rFonts w:ascii="Simplified Arabic" w:hAnsi="Simplified Arabic" w:cs="Simplified Arabic" w:hint="cs"/>
          <w:sz w:val="24"/>
          <w:szCs w:val="24"/>
          <w:rtl/>
          <w:lang w:val="en-US"/>
        </w:rPr>
        <w:t xml:space="preserve"> </w:t>
      </w:r>
      <w:r w:rsidR="00272200">
        <w:rPr>
          <w:rFonts w:ascii="Simplified Arabic" w:hAnsi="Simplified Arabic" w:cs="Simplified Arabic" w:hint="cs"/>
          <w:sz w:val="24"/>
          <w:szCs w:val="24"/>
          <w:rtl/>
          <w:lang w:val="en-US"/>
        </w:rPr>
        <w:t xml:space="preserve">من </w:t>
      </w:r>
      <w:r w:rsidR="00272200" w:rsidRPr="000230BD">
        <w:rPr>
          <w:rFonts w:ascii="Simplified Arabic" w:hAnsi="Simplified Arabic" w:cs="Simplified Arabic" w:hint="cs"/>
          <w:sz w:val="24"/>
          <w:szCs w:val="24"/>
          <w:rtl/>
          <w:lang w:val="en-US"/>
        </w:rPr>
        <w:t>الشباب</w:t>
      </w:r>
      <w:r>
        <w:rPr>
          <w:rFonts w:ascii="Simplified Arabic" w:hAnsi="Simplified Arabic" w:cs="Simplified Arabic" w:hint="cs"/>
          <w:sz w:val="24"/>
          <w:szCs w:val="24"/>
          <w:rtl/>
          <w:lang w:val="en-US"/>
        </w:rPr>
        <w:t xml:space="preserve">، </w:t>
      </w:r>
      <w:r w:rsidRPr="000230BD">
        <w:rPr>
          <w:rFonts w:ascii="Simplified Arabic" w:hAnsi="Simplified Arabic" w:cs="Simplified Arabic" w:hint="cs"/>
          <w:sz w:val="24"/>
          <w:szCs w:val="24"/>
          <w:rtl/>
          <w:lang w:val="en-US"/>
        </w:rPr>
        <w:t>حيث</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تراوح</w:t>
      </w:r>
      <w:r>
        <w:rPr>
          <w:rFonts w:ascii="Simplified Arabic" w:hAnsi="Simplified Arabic" w:cs="Simplified Arabic" w:hint="cs"/>
          <w:sz w:val="24"/>
          <w:szCs w:val="24"/>
          <w:rtl/>
          <w:lang w:val="en-US"/>
        </w:rPr>
        <w:t>ت</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sidR="00272200">
        <w:rPr>
          <w:rFonts w:ascii="Simplified Arabic" w:hAnsi="Simplified Arabic" w:cs="Simplified Arabic" w:hint="cs"/>
          <w:sz w:val="24"/>
          <w:szCs w:val="24"/>
          <w:rtl/>
          <w:lang w:val="en-US"/>
        </w:rPr>
        <w:t>الفئة العمرية 18-35 سنة</w:t>
      </w:r>
      <w:r w:rsidR="00272200" w:rsidRPr="00FC6E58">
        <w:rPr>
          <w:rFonts w:ascii="Simplified Arabic" w:hAnsi="Simplified Arabic" w:cs="Simplified Arabic" w:hint="cs"/>
          <w:sz w:val="24"/>
          <w:szCs w:val="24"/>
          <w:rtl/>
          <w:lang w:val="en-US"/>
        </w:rPr>
        <w:t xml:space="preserve"> عبر </w:t>
      </w:r>
      <w:r w:rsidRPr="00FC6E58">
        <w:rPr>
          <w:rFonts w:ascii="Simplified Arabic" w:hAnsi="Simplified Arabic" w:cs="Simplified Arabic" w:hint="cs"/>
          <w:sz w:val="24"/>
          <w:szCs w:val="24"/>
          <w:rtl/>
          <w:lang w:val="en-US"/>
        </w:rPr>
        <w:t>احياء: سيدي سليمان، ميطر، الحمايد والباطن</w:t>
      </w:r>
      <w:r>
        <w:rPr>
          <w:rFonts w:ascii="Simplified Arabic" w:hAnsi="Simplified Arabic" w:cs="Simplified Arabic" w:hint="cs"/>
          <w:sz w:val="24"/>
          <w:szCs w:val="24"/>
          <w:rtl/>
          <w:lang w:val="en-US"/>
        </w:rPr>
        <w:t xml:space="preserve"> على التوالي: </w:t>
      </w:r>
      <w:r w:rsidR="00272200" w:rsidRPr="00FC6E58">
        <w:rPr>
          <w:rFonts w:ascii="Simplified Arabic" w:hAnsi="Simplified Arabic" w:cs="Simplified Arabic"/>
          <w:sz w:val="24"/>
          <w:szCs w:val="24"/>
          <w:lang w:val="en-US"/>
        </w:rPr>
        <w:t>64</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29</w:t>
      </w:r>
      <w:r>
        <w:rPr>
          <w:rFonts w:ascii="Simplified Arabic" w:hAnsi="Simplified Arabic" w:cs="Simplified Arabic"/>
          <w:sz w:val="24"/>
          <w:szCs w:val="24"/>
          <w:rtl/>
          <w:lang w:val="en-US"/>
        </w:rPr>
        <w:t>٪</w:t>
      </w:r>
      <w:r w:rsidRPr="00FC6E58">
        <w:rPr>
          <w:rFonts w:ascii="Simplified Arabic" w:hAnsi="Simplified Arabic" w:cs="Simplified Arabic" w:hint="cs"/>
          <w:sz w:val="24"/>
          <w:szCs w:val="24"/>
          <w:rtl/>
          <w:lang w:val="en-US"/>
        </w:rPr>
        <w:t xml:space="preserve">، </w:t>
      </w:r>
      <w:r w:rsidR="00272200" w:rsidRPr="00FC6E58">
        <w:rPr>
          <w:rFonts w:ascii="Simplified Arabic" w:hAnsi="Simplified Arabic" w:cs="Simplified Arabic"/>
          <w:sz w:val="24"/>
          <w:szCs w:val="24"/>
          <w:lang w:val="en-US"/>
        </w:rPr>
        <w:t>65</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83</w:t>
      </w:r>
      <w:r>
        <w:rPr>
          <w:rFonts w:ascii="Simplified Arabic" w:hAnsi="Simplified Arabic" w:cs="Simplified Arabic"/>
          <w:sz w:val="24"/>
          <w:szCs w:val="24"/>
          <w:rtl/>
          <w:lang w:val="en-US"/>
        </w:rPr>
        <w:t>٪</w:t>
      </w:r>
      <w:r w:rsidRPr="00FC6E58">
        <w:rPr>
          <w:rFonts w:ascii="Simplified Arabic" w:hAnsi="Simplified Arabic" w:cs="Simplified Arabic" w:hint="cs"/>
          <w:sz w:val="24"/>
          <w:szCs w:val="24"/>
          <w:rtl/>
          <w:lang w:val="en-US"/>
        </w:rPr>
        <w:t xml:space="preserve">، </w:t>
      </w:r>
      <w:r w:rsidR="00272200" w:rsidRPr="00FC6E58">
        <w:rPr>
          <w:rFonts w:ascii="Simplified Arabic" w:hAnsi="Simplified Arabic" w:cs="Simplified Arabic"/>
          <w:sz w:val="24"/>
          <w:szCs w:val="24"/>
          <w:lang w:val="en-US"/>
        </w:rPr>
        <w:t>62</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86</w:t>
      </w:r>
      <w:r>
        <w:rPr>
          <w:rFonts w:ascii="Simplified Arabic" w:hAnsi="Simplified Arabic" w:cs="Simplified Arabic"/>
          <w:sz w:val="24"/>
          <w:szCs w:val="24"/>
          <w:rtl/>
          <w:lang w:val="en-US"/>
        </w:rPr>
        <w:t>٪</w:t>
      </w:r>
      <w:r w:rsidRPr="00FC6E58">
        <w:rPr>
          <w:rFonts w:ascii="Simplified Arabic" w:hAnsi="Simplified Arabic" w:cs="Simplified Arabic" w:hint="cs"/>
          <w:sz w:val="24"/>
          <w:szCs w:val="24"/>
          <w:rtl/>
          <w:lang w:val="en-US"/>
        </w:rPr>
        <w:t xml:space="preserve">، </w:t>
      </w:r>
      <w:r w:rsidR="00272200" w:rsidRPr="00FC6E58">
        <w:rPr>
          <w:rFonts w:ascii="Simplified Arabic" w:hAnsi="Simplified Arabic" w:cs="Simplified Arabic"/>
          <w:sz w:val="24"/>
          <w:szCs w:val="24"/>
          <w:lang w:val="en-US"/>
        </w:rPr>
        <w:t>68</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14</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يقابلها 248، </w:t>
      </w:r>
      <w:r w:rsidR="00272200">
        <w:rPr>
          <w:rFonts w:ascii="Simplified Arabic" w:hAnsi="Simplified Arabic" w:cs="Simplified Arabic"/>
          <w:sz w:val="24"/>
          <w:szCs w:val="24"/>
          <w:lang w:val="en-US"/>
        </w:rPr>
        <w:t>253</w:t>
      </w:r>
      <w:r>
        <w:rPr>
          <w:rFonts w:ascii="Simplified Arabic" w:hAnsi="Simplified Arabic" w:cs="Simplified Arabic" w:hint="cs"/>
          <w:sz w:val="24"/>
          <w:szCs w:val="24"/>
          <w:rtl/>
          <w:lang w:val="en-US"/>
        </w:rPr>
        <w:t xml:space="preserve">، </w:t>
      </w:r>
      <w:r w:rsidR="00272200">
        <w:rPr>
          <w:rFonts w:ascii="Simplified Arabic" w:hAnsi="Simplified Arabic" w:cs="Simplified Arabic"/>
          <w:sz w:val="24"/>
          <w:szCs w:val="24"/>
          <w:lang w:val="en-US"/>
        </w:rPr>
        <w:t>242</w:t>
      </w:r>
      <w:r>
        <w:rPr>
          <w:rFonts w:ascii="Simplified Arabic" w:hAnsi="Simplified Arabic" w:cs="Simplified Arabic" w:hint="cs"/>
          <w:sz w:val="24"/>
          <w:szCs w:val="24"/>
          <w:rtl/>
          <w:lang w:val="en-US"/>
        </w:rPr>
        <w:t xml:space="preserve">، </w:t>
      </w:r>
      <w:r w:rsidR="00272200">
        <w:rPr>
          <w:rFonts w:ascii="Simplified Arabic" w:hAnsi="Simplified Arabic" w:cs="Simplified Arabic"/>
          <w:sz w:val="24"/>
          <w:szCs w:val="24"/>
          <w:lang w:val="en-US"/>
        </w:rPr>
        <w:t>262</w:t>
      </w:r>
      <w:r>
        <w:rPr>
          <w:rFonts w:ascii="Simplified Arabic" w:hAnsi="Simplified Arabic" w:cs="Simplified Arabic" w:hint="cs"/>
          <w:sz w:val="24"/>
          <w:szCs w:val="24"/>
          <w:rtl/>
          <w:lang w:val="en-US"/>
        </w:rPr>
        <w:t xml:space="preserve"> مفردة من العينة</w:t>
      </w:r>
      <w:r w:rsidR="00704069">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rPr>
        <w:t xml:space="preserve"> </w:t>
      </w:r>
      <w:r w:rsidR="00704069">
        <w:rPr>
          <w:rFonts w:ascii="Simplified Arabic" w:hAnsi="Simplified Arabic" w:cs="Simplified Arabic" w:hint="cs"/>
          <w:sz w:val="24"/>
          <w:szCs w:val="24"/>
          <w:rtl/>
          <w:lang w:val="en-US"/>
        </w:rPr>
        <w:t>ان الحضور القوي لهذه الفئة ي</w:t>
      </w:r>
      <w:r w:rsidR="00704069" w:rsidRPr="000230BD">
        <w:rPr>
          <w:rFonts w:ascii="Simplified Arabic" w:hAnsi="Simplified Arabic" w:cs="Simplified Arabic" w:hint="cs"/>
          <w:sz w:val="24"/>
          <w:szCs w:val="24"/>
          <w:rtl/>
          <w:lang w:val="en-US"/>
        </w:rPr>
        <w:t>مكن</w:t>
      </w:r>
      <w:r w:rsidR="00704069" w:rsidRPr="000230BD">
        <w:rPr>
          <w:rFonts w:ascii="Simplified Arabic" w:hAnsi="Simplified Arabic" w:cs="Simplified Arabic"/>
          <w:sz w:val="24"/>
          <w:szCs w:val="24"/>
          <w:rtl/>
          <w:lang w:val="en-US"/>
        </w:rPr>
        <w:t xml:space="preserve"> </w:t>
      </w:r>
      <w:r w:rsidR="00704069" w:rsidRPr="000230BD">
        <w:rPr>
          <w:rFonts w:ascii="Simplified Arabic" w:hAnsi="Simplified Arabic" w:cs="Simplified Arabic" w:hint="cs"/>
          <w:sz w:val="24"/>
          <w:szCs w:val="24"/>
          <w:rtl/>
          <w:lang w:val="en-US"/>
        </w:rPr>
        <w:t>أن</w:t>
      </w:r>
      <w:r w:rsidR="00704069" w:rsidRPr="000230BD">
        <w:rPr>
          <w:rFonts w:ascii="Simplified Arabic" w:hAnsi="Simplified Arabic" w:cs="Simplified Arabic"/>
          <w:sz w:val="24"/>
          <w:szCs w:val="24"/>
          <w:rtl/>
          <w:lang w:val="en-US"/>
        </w:rPr>
        <w:t xml:space="preserve"> </w:t>
      </w:r>
      <w:r w:rsidR="00704069" w:rsidRPr="000230BD">
        <w:rPr>
          <w:rFonts w:ascii="Simplified Arabic" w:hAnsi="Simplified Arabic" w:cs="Simplified Arabic" w:hint="cs"/>
          <w:sz w:val="24"/>
          <w:szCs w:val="24"/>
          <w:rtl/>
          <w:lang w:val="en-US"/>
        </w:rPr>
        <w:t>تعطي</w:t>
      </w:r>
      <w:r w:rsidR="00704069" w:rsidRPr="000230BD">
        <w:rPr>
          <w:rFonts w:ascii="Simplified Arabic" w:hAnsi="Simplified Arabic" w:cs="Simplified Arabic"/>
          <w:sz w:val="24"/>
          <w:szCs w:val="24"/>
          <w:rtl/>
          <w:lang w:val="en-US"/>
        </w:rPr>
        <w:t xml:space="preserve"> </w:t>
      </w:r>
      <w:r w:rsidR="00704069">
        <w:rPr>
          <w:rFonts w:ascii="Simplified Arabic" w:hAnsi="Simplified Arabic" w:cs="Simplified Arabic" w:hint="cs"/>
          <w:sz w:val="24"/>
          <w:szCs w:val="24"/>
          <w:rtl/>
          <w:lang w:val="en-US"/>
        </w:rPr>
        <w:t xml:space="preserve">نظرة شاملة تصوراتهم حول اضطرابات تقديم خدمة المرافق. </w:t>
      </w:r>
      <w:r>
        <w:rPr>
          <w:rFonts w:ascii="Simplified Arabic" w:hAnsi="Simplified Arabic" w:cs="Simplified Arabic" w:hint="cs"/>
          <w:sz w:val="24"/>
          <w:szCs w:val="24"/>
          <w:rtl/>
          <w:lang w:val="en-US"/>
        </w:rPr>
        <w:t xml:space="preserve">بينما  </w:t>
      </w:r>
      <w:r w:rsidRPr="000230BD">
        <w:rPr>
          <w:rFonts w:ascii="Simplified Arabic" w:hAnsi="Simplified Arabic" w:cs="Simplified Arabic" w:hint="cs"/>
          <w:sz w:val="24"/>
          <w:szCs w:val="24"/>
          <w:rtl/>
          <w:lang w:val="en-US"/>
        </w:rPr>
        <w:t>تراوح</w:t>
      </w:r>
      <w:r>
        <w:rPr>
          <w:rFonts w:ascii="Simplified Arabic" w:hAnsi="Simplified Arabic" w:cs="Simplified Arabic" w:hint="cs"/>
          <w:sz w:val="24"/>
          <w:szCs w:val="24"/>
          <w:rtl/>
          <w:lang w:val="en-US"/>
        </w:rPr>
        <w:t>ت</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sidR="00272200">
        <w:rPr>
          <w:rFonts w:ascii="Simplified Arabic" w:hAnsi="Simplified Arabic" w:cs="Simplified Arabic" w:hint="cs"/>
          <w:sz w:val="24"/>
          <w:szCs w:val="24"/>
          <w:rtl/>
          <w:lang w:val="en-US"/>
        </w:rPr>
        <w:t xml:space="preserve">الفئة العمرية </w:t>
      </w:r>
      <w:r w:rsidR="00272200">
        <w:rPr>
          <w:rFonts w:ascii="Simplified Arabic" w:hAnsi="Simplified Arabic" w:cs="Simplified Arabic"/>
          <w:sz w:val="24"/>
          <w:szCs w:val="24"/>
          <w:lang w:val="en-US"/>
        </w:rPr>
        <w:t>36</w:t>
      </w:r>
      <w:r w:rsidR="00272200">
        <w:rPr>
          <w:rFonts w:ascii="Simplified Arabic" w:hAnsi="Simplified Arabic" w:cs="Simplified Arabic" w:hint="cs"/>
          <w:sz w:val="24"/>
          <w:szCs w:val="24"/>
          <w:rtl/>
          <w:lang w:val="en-US"/>
        </w:rPr>
        <w:t>-</w:t>
      </w:r>
      <w:r w:rsidR="00272200">
        <w:rPr>
          <w:rFonts w:ascii="Simplified Arabic" w:hAnsi="Simplified Arabic" w:cs="Simplified Arabic"/>
          <w:sz w:val="24"/>
          <w:szCs w:val="24"/>
          <w:lang w:val="en-US"/>
        </w:rPr>
        <w:lastRenderedPageBreak/>
        <w:t>55</w:t>
      </w:r>
      <w:r w:rsidR="00272200">
        <w:rPr>
          <w:rFonts w:ascii="Simplified Arabic" w:hAnsi="Simplified Arabic" w:cs="Simplified Arabic" w:hint="cs"/>
          <w:sz w:val="24"/>
          <w:szCs w:val="24"/>
          <w:rtl/>
          <w:lang w:val="en-US"/>
        </w:rPr>
        <w:t xml:space="preserve"> سنة</w:t>
      </w:r>
      <w:r w:rsidR="00272200" w:rsidRPr="00FC6E58">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لنفس</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الاحياء على التوالي: </w:t>
      </w:r>
      <w:r w:rsidR="00272200" w:rsidRPr="00FC6E58">
        <w:rPr>
          <w:rFonts w:ascii="Simplified Arabic" w:hAnsi="Simplified Arabic" w:cs="Simplified Arabic"/>
          <w:sz w:val="24"/>
          <w:szCs w:val="24"/>
          <w:lang w:val="en-US"/>
        </w:rPr>
        <w:t>21</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42</w:t>
      </w:r>
      <w:r>
        <w:rPr>
          <w:rFonts w:ascii="Simplified Arabic" w:hAnsi="Simplified Arabic" w:cs="Simplified Arabic"/>
          <w:sz w:val="24"/>
          <w:szCs w:val="24"/>
          <w:rtl/>
          <w:lang w:val="en-US"/>
        </w:rPr>
        <w:t>٪</w:t>
      </w:r>
      <w:r w:rsidRPr="00FC6E58">
        <w:rPr>
          <w:rFonts w:ascii="Simplified Arabic" w:hAnsi="Simplified Arabic" w:cs="Simplified Arabic" w:hint="cs"/>
          <w:sz w:val="24"/>
          <w:szCs w:val="24"/>
          <w:rtl/>
          <w:lang w:val="en-US"/>
        </w:rPr>
        <w:t xml:space="preserve">، </w:t>
      </w:r>
      <w:r w:rsidR="00272200" w:rsidRPr="00FC6E58">
        <w:rPr>
          <w:rFonts w:ascii="Simplified Arabic" w:hAnsi="Simplified Arabic" w:cs="Simplified Arabic"/>
          <w:sz w:val="24"/>
          <w:szCs w:val="24"/>
          <w:lang w:val="en-US"/>
        </w:rPr>
        <w:t>21</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79</w:t>
      </w:r>
      <w:r>
        <w:rPr>
          <w:rFonts w:ascii="Simplified Arabic" w:hAnsi="Simplified Arabic" w:cs="Simplified Arabic"/>
          <w:sz w:val="24"/>
          <w:szCs w:val="24"/>
          <w:rtl/>
          <w:lang w:val="en-US"/>
        </w:rPr>
        <w:t>٪</w:t>
      </w:r>
      <w:r w:rsidRPr="00FC6E58">
        <w:rPr>
          <w:rFonts w:ascii="Simplified Arabic" w:hAnsi="Simplified Arabic" w:cs="Simplified Arabic" w:hint="cs"/>
          <w:sz w:val="24"/>
          <w:szCs w:val="24"/>
          <w:rtl/>
          <w:lang w:val="en-US"/>
        </w:rPr>
        <w:t xml:space="preserve">، </w:t>
      </w:r>
      <w:r w:rsidR="00272200" w:rsidRPr="00FC6E58">
        <w:rPr>
          <w:rFonts w:ascii="Simplified Arabic" w:hAnsi="Simplified Arabic" w:cs="Simplified Arabic"/>
          <w:sz w:val="24"/>
          <w:szCs w:val="24"/>
          <w:lang w:val="en-US"/>
        </w:rPr>
        <w:t>25</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71</w:t>
      </w:r>
      <w:r>
        <w:rPr>
          <w:rFonts w:ascii="Simplified Arabic" w:hAnsi="Simplified Arabic" w:cs="Simplified Arabic"/>
          <w:sz w:val="24"/>
          <w:szCs w:val="24"/>
          <w:rtl/>
          <w:lang w:val="en-US"/>
        </w:rPr>
        <w:t>٪</w:t>
      </w:r>
      <w:r w:rsidRPr="00FC6E58">
        <w:rPr>
          <w:rFonts w:ascii="Simplified Arabic" w:hAnsi="Simplified Arabic" w:cs="Simplified Arabic" w:hint="cs"/>
          <w:sz w:val="24"/>
          <w:szCs w:val="24"/>
          <w:rtl/>
          <w:lang w:val="en-US"/>
        </w:rPr>
        <w:t xml:space="preserve">، </w:t>
      </w:r>
      <w:r w:rsidR="00272200" w:rsidRPr="00FC6E58">
        <w:rPr>
          <w:rFonts w:ascii="Simplified Arabic" w:hAnsi="Simplified Arabic" w:cs="Simplified Arabic"/>
          <w:sz w:val="24"/>
          <w:szCs w:val="24"/>
          <w:lang w:val="en-US"/>
        </w:rPr>
        <w:t>23</w:t>
      </w:r>
      <w:r w:rsidRPr="00FC6E58">
        <w:rPr>
          <w:rFonts w:ascii="Simplified Arabic" w:hAnsi="Simplified Arabic" w:cs="Simplified Arabic"/>
          <w:sz w:val="24"/>
          <w:szCs w:val="24"/>
          <w:lang w:val="en-US"/>
        </w:rPr>
        <w:t>,</w:t>
      </w:r>
      <w:r w:rsidR="00272200" w:rsidRPr="00FC6E58">
        <w:rPr>
          <w:rFonts w:ascii="Simplified Arabic" w:hAnsi="Simplified Arabic" w:cs="Simplified Arabic"/>
          <w:sz w:val="24"/>
          <w:szCs w:val="24"/>
          <w:lang w:val="en-US"/>
        </w:rPr>
        <w:t>45</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يقابلها</w:t>
      </w:r>
      <w:r w:rsidRPr="009F772D">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على التوالي </w:t>
      </w:r>
      <w:r w:rsidR="00272200">
        <w:rPr>
          <w:rFonts w:ascii="Simplified Arabic" w:hAnsi="Simplified Arabic" w:cs="Simplified Arabic"/>
          <w:sz w:val="24"/>
          <w:szCs w:val="24"/>
          <w:lang w:val="en-US"/>
        </w:rPr>
        <w:t>82</w:t>
      </w:r>
      <w:r>
        <w:rPr>
          <w:rFonts w:ascii="Simplified Arabic" w:hAnsi="Simplified Arabic" w:cs="Simplified Arabic" w:hint="cs"/>
          <w:sz w:val="24"/>
          <w:szCs w:val="24"/>
          <w:rtl/>
          <w:lang w:val="en-US"/>
        </w:rPr>
        <w:t xml:space="preserve">، </w:t>
      </w:r>
      <w:r w:rsidR="00272200">
        <w:rPr>
          <w:rFonts w:ascii="Simplified Arabic" w:hAnsi="Simplified Arabic" w:cs="Simplified Arabic"/>
          <w:sz w:val="24"/>
          <w:szCs w:val="24"/>
          <w:lang w:val="en-US"/>
        </w:rPr>
        <w:t>84</w:t>
      </w:r>
      <w:r>
        <w:rPr>
          <w:rFonts w:ascii="Simplified Arabic" w:hAnsi="Simplified Arabic" w:cs="Simplified Arabic" w:hint="cs"/>
          <w:sz w:val="24"/>
          <w:szCs w:val="24"/>
          <w:rtl/>
          <w:lang w:val="en-US"/>
        </w:rPr>
        <w:t xml:space="preserve">، </w:t>
      </w:r>
      <w:r w:rsidR="00272200">
        <w:rPr>
          <w:rFonts w:ascii="Simplified Arabic" w:hAnsi="Simplified Arabic" w:cs="Simplified Arabic"/>
          <w:sz w:val="24"/>
          <w:szCs w:val="24"/>
          <w:lang w:val="en-US"/>
        </w:rPr>
        <w:t>99</w:t>
      </w:r>
      <w:r>
        <w:rPr>
          <w:rFonts w:ascii="Simplified Arabic" w:hAnsi="Simplified Arabic" w:cs="Simplified Arabic" w:hint="cs"/>
          <w:sz w:val="24"/>
          <w:szCs w:val="24"/>
          <w:rtl/>
          <w:lang w:val="en-US"/>
        </w:rPr>
        <w:t xml:space="preserve">، </w:t>
      </w:r>
      <w:r w:rsidR="00272200">
        <w:rPr>
          <w:rFonts w:ascii="Simplified Arabic" w:hAnsi="Simplified Arabic" w:cs="Simplified Arabic"/>
          <w:sz w:val="24"/>
          <w:szCs w:val="24"/>
          <w:lang w:val="en-US"/>
        </w:rPr>
        <w:t>90</w:t>
      </w:r>
      <w:r>
        <w:rPr>
          <w:rFonts w:ascii="Simplified Arabic" w:hAnsi="Simplified Arabic" w:cs="Simplified Arabic" w:hint="cs"/>
          <w:sz w:val="24"/>
          <w:szCs w:val="24"/>
          <w:rtl/>
          <w:lang w:val="en-US"/>
        </w:rPr>
        <w:t xml:space="preserve"> مفردة من العينة، </w:t>
      </w:r>
      <w:r w:rsidR="00704069">
        <w:rPr>
          <w:rFonts w:ascii="Simplified Arabic" w:hAnsi="Simplified Arabic" w:cs="Simplified Arabic" w:hint="cs"/>
          <w:sz w:val="24"/>
          <w:szCs w:val="24"/>
          <w:rtl/>
          <w:lang w:val="en-US"/>
        </w:rPr>
        <w:t>اما الفئة اكثر</w:t>
      </w:r>
      <w:r w:rsidR="00B2250E">
        <w:rPr>
          <w:rFonts w:ascii="Simplified Arabic" w:hAnsi="Simplified Arabic" w:cs="Simplified Arabic" w:hint="cs"/>
          <w:sz w:val="24"/>
          <w:szCs w:val="24"/>
          <w:rtl/>
          <w:lang w:val="en-US"/>
        </w:rPr>
        <w:t xml:space="preserve"> </w:t>
      </w:r>
      <w:r w:rsidR="00704069">
        <w:rPr>
          <w:rFonts w:ascii="Simplified Arabic" w:hAnsi="Simplified Arabic" w:cs="Simplified Arabic" w:hint="cs"/>
          <w:sz w:val="24"/>
          <w:szCs w:val="24"/>
          <w:rtl/>
          <w:lang w:val="en-US"/>
        </w:rPr>
        <w:t xml:space="preserve">من </w:t>
      </w:r>
      <w:r w:rsidR="00B2250E">
        <w:rPr>
          <w:rFonts w:ascii="Simplified Arabic" w:hAnsi="Simplified Arabic" w:cs="Simplified Arabic" w:hint="cs"/>
          <w:sz w:val="24"/>
          <w:szCs w:val="24"/>
          <w:rtl/>
          <w:lang w:val="en-US"/>
        </w:rPr>
        <w:t xml:space="preserve">55 سنة كانت </w:t>
      </w:r>
      <w:r w:rsidR="00704069">
        <w:rPr>
          <w:rFonts w:ascii="Simplified Arabic" w:hAnsi="Simplified Arabic" w:cs="Simplified Arabic" w:hint="cs"/>
          <w:sz w:val="24"/>
          <w:szCs w:val="24"/>
          <w:rtl/>
          <w:lang w:val="en-US"/>
        </w:rPr>
        <w:t>الاقل تمثيلا</w:t>
      </w:r>
      <w:r w:rsidR="00B2250E">
        <w:rPr>
          <w:rFonts w:ascii="Simplified Arabic" w:hAnsi="Simplified Arabic" w:cs="Simplified Arabic" w:hint="cs"/>
          <w:sz w:val="24"/>
          <w:szCs w:val="24"/>
          <w:rtl/>
          <w:lang w:val="en-US"/>
        </w:rPr>
        <w:t xml:space="preserve"> </w:t>
      </w:r>
      <w:r w:rsidR="00B2250E" w:rsidRPr="00FC6E58">
        <w:rPr>
          <w:rFonts w:ascii="Simplified Arabic" w:hAnsi="Simplified Arabic" w:cs="Simplified Arabic" w:hint="cs"/>
          <w:sz w:val="24"/>
          <w:szCs w:val="24"/>
          <w:rtl/>
          <w:lang w:val="en-US"/>
        </w:rPr>
        <w:t>عبر احياء: سيدي سليمان، ميطر، الحمايد والباطن</w:t>
      </w:r>
      <w:r w:rsidR="00B2250E">
        <w:rPr>
          <w:rFonts w:ascii="Simplified Arabic" w:hAnsi="Simplified Arabic" w:cs="Simplified Arabic" w:hint="cs"/>
          <w:sz w:val="24"/>
          <w:szCs w:val="24"/>
          <w:rtl/>
          <w:lang w:val="en-US"/>
        </w:rPr>
        <w:t xml:space="preserve"> على التوالي: </w:t>
      </w:r>
      <w:r w:rsidR="00B2250E" w:rsidRPr="00FC6E58">
        <w:rPr>
          <w:rFonts w:ascii="Simplified Arabic" w:hAnsi="Simplified Arabic" w:cs="Simplified Arabic"/>
          <w:sz w:val="24"/>
          <w:szCs w:val="24"/>
          <w:lang w:val="en-US"/>
        </w:rPr>
        <w:t>14,29</w:t>
      </w:r>
      <w:r w:rsidR="00B2250E">
        <w:rPr>
          <w:rFonts w:ascii="Simplified Arabic" w:hAnsi="Simplified Arabic" w:cs="Simplified Arabic"/>
          <w:sz w:val="24"/>
          <w:szCs w:val="24"/>
          <w:rtl/>
          <w:lang w:val="en-US"/>
        </w:rPr>
        <w:t>٪</w:t>
      </w:r>
      <w:r w:rsidR="00B2250E" w:rsidRPr="00FC6E58">
        <w:rPr>
          <w:rFonts w:ascii="Simplified Arabic" w:hAnsi="Simplified Arabic" w:cs="Simplified Arabic" w:hint="cs"/>
          <w:sz w:val="24"/>
          <w:szCs w:val="24"/>
          <w:rtl/>
          <w:lang w:val="en-US"/>
        </w:rPr>
        <w:t xml:space="preserve">، </w:t>
      </w:r>
      <w:r w:rsidR="00B2250E" w:rsidRPr="00FC6E58">
        <w:rPr>
          <w:rFonts w:ascii="Simplified Arabic" w:hAnsi="Simplified Arabic" w:cs="Simplified Arabic"/>
          <w:sz w:val="24"/>
          <w:szCs w:val="24"/>
          <w:lang w:val="en-US"/>
        </w:rPr>
        <w:t>12,38</w:t>
      </w:r>
      <w:r w:rsidR="00B2250E">
        <w:rPr>
          <w:rFonts w:ascii="Simplified Arabic" w:hAnsi="Simplified Arabic" w:cs="Simplified Arabic"/>
          <w:sz w:val="24"/>
          <w:szCs w:val="24"/>
          <w:rtl/>
          <w:lang w:val="en-US"/>
        </w:rPr>
        <w:t>٪</w:t>
      </w:r>
      <w:r w:rsidR="00B2250E" w:rsidRPr="00FC6E58">
        <w:rPr>
          <w:rFonts w:ascii="Simplified Arabic" w:hAnsi="Simplified Arabic" w:cs="Simplified Arabic" w:hint="cs"/>
          <w:sz w:val="24"/>
          <w:szCs w:val="24"/>
          <w:rtl/>
          <w:lang w:val="en-US"/>
        </w:rPr>
        <w:t xml:space="preserve">، </w:t>
      </w:r>
      <w:r w:rsidR="00B2250E" w:rsidRPr="00FC6E58">
        <w:rPr>
          <w:rFonts w:ascii="Simplified Arabic" w:hAnsi="Simplified Arabic" w:cs="Simplified Arabic"/>
          <w:sz w:val="24"/>
          <w:szCs w:val="24"/>
          <w:lang w:val="en-US"/>
        </w:rPr>
        <w:t>11,43</w:t>
      </w:r>
      <w:r w:rsidR="00B2250E">
        <w:rPr>
          <w:rFonts w:ascii="Simplified Arabic" w:hAnsi="Simplified Arabic" w:cs="Simplified Arabic"/>
          <w:sz w:val="24"/>
          <w:szCs w:val="24"/>
          <w:rtl/>
          <w:lang w:val="en-US"/>
        </w:rPr>
        <w:t>٪</w:t>
      </w:r>
      <w:r w:rsidR="00B2250E" w:rsidRPr="00FC6E58">
        <w:rPr>
          <w:rFonts w:ascii="Simplified Arabic" w:hAnsi="Simplified Arabic" w:cs="Simplified Arabic" w:hint="cs"/>
          <w:sz w:val="24"/>
          <w:szCs w:val="24"/>
          <w:rtl/>
          <w:lang w:val="en-US"/>
        </w:rPr>
        <w:t xml:space="preserve">، </w:t>
      </w:r>
      <w:r w:rsidR="00B2250E" w:rsidRPr="00FC6E58">
        <w:rPr>
          <w:rFonts w:ascii="Simplified Arabic" w:hAnsi="Simplified Arabic" w:cs="Simplified Arabic"/>
          <w:sz w:val="24"/>
          <w:szCs w:val="24"/>
          <w:lang w:val="en-US"/>
        </w:rPr>
        <w:t>8,41</w:t>
      </w:r>
      <w:r w:rsidR="00B2250E" w:rsidRPr="00A71970">
        <w:rPr>
          <w:rFonts w:ascii="Simplified Arabic" w:hAnsi="Simplified Arabic" w:cs="Simplified Arabic"/>
          <w:sz w:val="24"/>
          <w:szCs w:val="24"/>
          <w:rtl/>
          <w:lang w:val="en-US"/>
        </w:rPr>
        <w:t xml:space="preserve">٪ </w:t>
      </w:r>
      <w:r w:rsidR="00B2250E">
        <w:rPr>
          <w:rFonts w:ascii="Simplified Arabic" w:hAnsi="Simplified Arabic" w:cs="Simplified Arabic" w:hint="cs"/>
          <w:sz w:val="24"/>
          <w:szCs w:val="24"/>
          <w:rtl/>
          <w:lang w:val="en-US"/>
        </w:rPr>
        <w:t xml:space="preserve">يقابلها </w:t>
      </w:r>
      <w:r w:rsidR="00B2250E">
        <w:rPr>
          <w:rFonts w:ascii="Simplified Arabic" w:hAnsi="Simplified Arabic" w:cs="Simplified Arabic"/>
          <w:sz w:val="24"/>
          <w:szCs w:val="24"/>
          <w:lang w:val="en-US"/>
        </w:rPr>
        <w:t>55</w:t>
      </w:r>
      <w:r w:rsidR="00B2250E">
        <w:rPr>
          <w:rFonts w:ascii="Simplified Arabic" w:hAnsi="Simplified Arabic" w:cs="Simplified Arabic" w:hint="cs"/>
          <w:sz w:val="24"/>
          <w:szCs w:val="24"/>
          <w:rtl/>
          <w:lang w:val="en-US"/>
        </w:rPr>
        <w:t xml:space="preserve">، </w:t>
      </w:r>
      <w:r w:rsidR="00B2250E">
        <w:rPr>
          <w:rFonts w:ascii="Simplified Arabic" w:hAnsi="Simplified Arabic" w:cs="Simplified Arabic"/>
          <w:sz w:val="24"/>
          <w:szCs w:val="24"/>
          <w:lang w:val="en-US"/>
        </w:rPr>
        <w:t>48</w:t>
      </w:r>
      <w:r w:rsidR="00B2250E">
        <w:rPr>
          <w:rFonts w:ascii="Simplified Arabic" w:hAnsi="Simplified Arabic" w:cs="Simplified Arabic" w:hint="cs"/>
          <w:sz w:val="24"/>
          <w:szCs w:val="24"/>
          <w:rtl/>
          <w:lang w:val="en-US"/>
        </w:rPr>
        <w:t xml:space="preserve">، </w:t>
      </w:r>
      <w:r w:rsidR="00B2250E">
        <w:rPr>
          <w:rFonts w:ascii="Simplified Arabic" w:hAnsi="Simplified Arabic" w:cs="Simplified Arabic"/>
          <w:sz w:val="24"/>
          <w:szCs w:val="24"/>
          <w:lang w:val="en-US"/>
        </w:rPr>
        <w:t>44</w:t>
      </w:r>
      <w:r w:rsidR="00B2250E">
        <w:rPr>
          <w:rFonts w:ascii="Simplified Arabic" w:hAnsi="Simplified Arabic" w:cs="Simplified Arabic" w:hint="cs"/>
          <w:sz w:val="24"/>
          <w:szCs w:val="24"/>
          <w:rtl/>
          <w:lang w:val="en-US"/>
        </w:rPr>
        <w:t xml:space="preserve">، </w:t>
      </w:r>
      <w:r w:rsidR="00B2250E">
        <w:rPr>
          <w:rFonts w:ascii="Simplified Arabic" w:hAnsi="Simplified Arabic" w:cs="Simplified Arabic"/>
          <w:sz w:val="24"/>
          <w:szCs w:val="24"/>
          <w:lang w:val="en-US"/>
        </w:rPr>
        <w:t>32</w:t>
      </w:r>
      <w:r w:rsidR="00B2250E">
        <w:rPr>
          <w:rFonts w:ascii="Simplified Arabic" w:hAnsi="Simplified Arabic" w:cs="Simplified Arabic" w:hint="cs"/>
          <w:sz w:val="24"/>
          <w:szCs w:val="24"/>
          <w:rtl/>
          <w:lang w:val="en-US"/>
        </w:rPr>
        <w:t xml:space="preserve"> مفردة من العينة</w:t>
      </w:r>
      <w:r>
        <w:rPr>
          <w:rFonts w:ascii="Simplified Arabic" w:hAnsi="Simplified Arabic" w:cs="Simplified Arabic" w:hint="cs"/>
          <w:sz w:val="24"/>
          <w:szCs w:val="24"/>
          <w:rtl/>
          <w:lang w:val="en-US"/>
        </w:rPr>
        <w:t>.</w:t>
      </w:r>
    </w:p>
    <w:p w:rsidR="009F772D" w:rsidRDefault="009F772D" w:rsidP="00C840FB">
      <w:pPr>
        <w:pStyle w:val="fegure"/>
        <w:spacing w:before="240"/>
        <w:rPr>
          <w:sz w:val="8"/>
          <w:szCs w:val="24"/>
          <w:rtl/>
          <w:lang w:val="en-US"/>
        </w:rPr>
      </w:pPr>
      <w:bookmarkStart w:id="732" w:name="_Toc157608342"/>
      <w:bookmarkStart w:id="733" w:name="_Toc171803736"/>
      <w:r w:rsidRPr="00ED1C8F">
        <w:rPr>
          <w:rFonts w:hint="cs"/>
          <w:sz w:val="8"/>
          <w:szCs w:val="24"/>
          <w:rtl/>
          <w:lang w:val="en-US"/>
        </w:rPr>
        <w:t>الشكل</w:t>
      </w:r>
      <w:r w:rsidRPr="00ED1C8F">
        <w:rPr>
          <w:sz w:val="8"/>
          <w:szCs w:val="24"/>
          <w:rtl/>
          <w:lang w:val="en-US"/>
        </w:rPr>
        <w:t xml:space="preserve"> </w:t>
      </w:r>
      <w:r w:rsidRPr="00ED1C8F">
        <w:rPr>
          <w:rFonts w:hint="cs"/>
          <w:sz w:val="8"/>
          <w:szCs w:val="24"/>
          <w:rtl/>
          <w:lang w:val="en-US"/>
        </w:rPr>
        <w:t>(5-</w:t>
      </w:r>
      <w:r w:rsidR="005611DC" w:rsidRPr="00ED1C8F">
        <w:rPr>
          <w:rFonts w:hint="cs"/>
          <w:sz w:val="8"/>
          <w:szCs w:val="24"/>
          <w:rtl/>
          <w:lang w:val="en-US"/>
        </w:rPr>
        <w:t>11</w:t>
      </w:r>
      <w:r w:rsidRPr="00ED1C8F">
        <w:rPr>
          <w:rFonts w:hint="cs"/>
          <w:sz w:val="8"/>
          <w:szCs w:val="24"/>
          <w:rtl/>
          <w:lang w:val="en-US"/>
        </w:rPr>
        <w:t>)</w:t>
      </w:r>
      <w:r w:rsidRPr="00ED1C8F">
        <w:rPr>
          <w:sz w:val="8"/>
          <w:szCs w:val="24"/>
          <w:rtl/>
          <w:lang w:val="en-US"/>
        </w:rPr>
        <w:t xml:space="preserve">: </w:t>
      </w:r>
      <w:r w:rsidRPr="00ED1C8F">
        <w:rPr>
          <w:rFonts w:hint="cs"/>
          <w:sz w:val="8"/>
          <w:szCs w:val="24"/>
          <w:rtl/>
          <w:lang w:val="en-US"/>
        </w:rPr>
        <w:t>توزيع افراد عيّنة الفئات العمرية</w:t>
      </w:r>
      <w:bookmarkEnd w:id="732"/>
      <w:bookmarkEnd w:id="733"/>
    </w:p>
    <w:p w:rsidR="00C840FB" w:rsidRPr="00ED1C8F" w:rsidRDefault="00C840FB" w:rsidP="00C840FB">
      <w:pPr>
        <w:pStyle w:val="fegure"/>
        <w:rPr>
          <w:sz w:val="8"/>
          <w:szCs w:val="24"/>
          <w:rtl/>
          <w:lang w:val="en-US" w:bidi="ar-DZ"/>
        </w:rPr>
      </w:pPr>
      <w:bookmarkStart w:id="734" w:name="_Toc171803737"/>
      <w:r>
        <w:rPr>
          <w:rFonts w:hint="cs"/>
          <w:sz w:val="8"/>
          <w:szCs w:val="24"/>
          <w:rtl/>
          <w:lang w:val="en-US"/>
        </w:rPr>
        <w:t>المصدر: (الباحث، 2022)</w:t>
      </w:r>
      <w:bookmarkEnd w:id="734"/>
    </w:p>
    <w:p w:rsidR="009F772D" w:rsidRDefault="009F772D" w:rsidP="004E006F">
      <w:pPr>
        <w:bidi/>
        <w:spacing w:after="0"/>
        <w:jc w:val="center"/>
        <w:rPr>
          <w:rFonts w:ascii="Simplified Arabic" w:hAnsi="Simplified Arabic" w:cs="Simplified Arabic"/>
          <w:sz w:val="24"/>
          <w:szCs w:val="24"/>
          <w:lang w:val="en-US"/>
        </w:rPr>
      </w:pPr>
      <w:r>
        <w:rPr>
          <w:noProof/>
          <w:lang w:eastAsia="fr-FR"/>
        </w:rPr>
        <w:drawing>
          <wp:inline distT="0" distB="0" distL="0" distR="0" wp14:anchorId="230B5DAF" wp14:editId="0615B767">
            <wp:extent cx="2907101" cy="1811547"/>
            <wp:effectExtent l="0" t="0" r="26670" b="1778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5"/>
              </a:graphicData>
            </a:graphic>
          </wp:inline>
        </w:drawing>
      </w:r>
    </w:p>
    <w:p w:rsidR="00B2250E" w:rsidRPr="00B125D1" w:rsidRDefault="00B2250E" w:rsidP="001111A0">
      <w:pPr>
        <w:pStyle w:val="Paragraphedeliste"/>
        <w:numPr>
          <w:ilvl w:val="0"/>
          <w:numId w:val="73"/>
        </w:numPr>
        <w:tabs>
          <w:tab w:val="right" w:pos="850"/>
        </w:tabs>
        <w:bidi/>
        <w:spacing w:before="240" w:after="0"/>
        <w:ind w:left="-1" w:firstLine="568"/>
        <w:jc w:val="both"/>
        <w:rPr>
          <w:rFonts w:ascii="Simplified Arabic" w:hAnsi="Simplified Arabic" w:cs="Simplified Arabic"/>
          <w:b/>
          <w:bCs/>
          <w:sz w:val="24"/>
          <w:szCs w:val="24"/>
          <w:rtl/>
          <w:lang w:val="en-US"/>
        </w:rPr>
      </w:pPr>
      <w:r w:rsidRPr="00B125D1">
        <w:rPr>
          <w:rFonts w:ascii="Simplified Arabic" w:hAnsi="Simplified Arabic" w:cs="Simplified Arabic" w:hint="cs"/>
          <w:b/>
          <w:bCs/>
          <w:sz w:val="24"/>
          <w:szCs w:val="24"/>
          <w:rtl/>
          <w:lang w:val="en-US"/>
        </w:rPr>
        <w:t>تحليل توزيع أفراد</w:t>
      </w:r>
      <w:r>
        <w:rPr>
          <w:rFonts w:ascii="Simplified Arabic" w:hAnsi="Simplified Arabic" w:cs="Simplified Arabic" w:hint="cs"/>
          <w:b/>
          <w:bCs/>
          <w:sz w:val="24"/>
          <w:szCs w:val="24"/>
          <w:rtl/>
          <w:lang w:val="en-US"/>
        </w:rPr>
        <w:t xml:space="preserve"> عيّنة</w:t>
      </w:r>
      <w:r w:rsidRPr="00B125D1">
        <w:rPr>
          <w:rFonts w:ascii="Simplified Arabic" w:hAnsi="Simplified Arabic" w:cs="Simplified Arabic" w:hint="cs"/>
          <w:b/>
          <w:bCs/>
          <w:sz w:val="24"/>
          <w:szCs w:val="24"/>
          <w:rtl/>
          <w:lang w:val="en-US"/>
        </w:rPr>
        <w:t xml:space="preserve"> </w:t>
      </w:r>
      <w:r>
        <w:rPr>
          <w:rFonts w:ascii="Simplified Arabic" w:hAnsi="Simplified Arabic" w:cs="Simplified Arabic" w:hint="cs"/>
          <w:b/>
          <w:bCs/>
          <w:sz w:val="24"/>
          <w:szCs w:val="24"/>
          <w:rtl/>
          <w:lang w:val="en-US"/>
        </w:rPr>
        <w:t xml:space="preserve">المستوى </w:t>
      </w:r>
      <w:r w:rsidR="001111A0">
        <w:rPr>
          <w:rFonts w:ascii="Simplified Arabic" w:hAnsi="Simplified Arabic" w:cs="Simplified Arabic" w:hint="cs"/>
          <w:b/>
          <w:bCs/>
          <w:sz w:val="24"/>
          <w:szCs w:val="24"/>
          <w:rtl/>
          <w:lang w:val="en-US"/>
        </w:rPr>
        <w:t>الدراسي</w:t>
      </w:r>
      <w:r w:rsidRPr="00B125D1">
        <w:rPr>
          <w:rFonts w:ascii="Simplified Arabic" w:hAnsi="Simplified Arabic" w:cs="Simplified Arabic" w:hint="cs"/>
          <w:b/>
          <w:bCs/>
          <w:sz w:val="24"/>
          <w:szCs w:val="24"/>
          <w:rtl/>
          <w:lang w:val="en-US"/>
        </w:rPr>
        <w:t xml:space="preserve"> </w:t>
      </w:r>
    </w:p>
    <w:p w:rsidR="00C121B0" w:rsidRDefault="001111A0" w:rsidP="00E02A48">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 xml:space="preserve">يبين </w:t>
      </w:r>
      <w:r w:rsidR="00DE6911" w:rsidRPr="00A71970">
        <w:rPr>
          <w:rFonts w:ascii="Simplified Arabic" w:hAnsi="Simplified Arabic" w:cs="Simplified Arabic" w:hint="cs"/>
          <w:sz w:val="24"/>
          <w:szCs w:val="24"/>
          <w:rtl/>
          <w:lang w:val="en-US"/>
        </w:rPr>
        <w:t>الشكل</w:t>
      </w:r>
      <w:r w:rsidR="00DE6911" w:rsidRPr="00A71970">
        <w:rPr>
          <w:rFonts w:ascii="Simplified Arabic" w:hAnsi="Simplified Arabic" w:cs="Simplified Arabic"/>
          <w:sz w:val="24"/>
          <w:szCs w:val="24"/>
          <w:rtl/>
          <w:lang w:val="en-US"/>
        </w:rPr>
        <w:t xml:space="preserve"> </w:t>
      </w:r>
      <w:r w:rsidR="00DE6911">
        <w:rPr>
          <w:rFonts w:ascii="Simplified Arabic" w:hAnsi="Simplified Arabic" w:cs="Simplified Arabic" w:hint="cs"/>
          <w:sz w:val="24"/>
          <w:szCs w:val="24"/>
          <w:rtl/>
          <w:lang w:val="en-US"/>
        </w:rPr>
        <w:t>(5-12) ان</w:t>
      </w:r>
      <w:r w:rsidR="00C121B0">
        <w:rPr>
          <w:rFonts w:ascii="Simplified Arabic" w:hAnsi="Simplified Arabic" w:cs="Simplified Arabic" w:hint="cs"/>
          <w:sz w:val="24"/>
          <w:szCs w:val="24"/>
          <w:rtl/>
          <w:lang w:val="en-US"/>
        </w:rPr>
        <w:t xml:space="preserve"> اغلب العينات المشاركة في الاستبيان من</w:t>
      </w:r>
      <w:r w:rsidR="00C121B0" w:rsidRPr="000230BD">
        <w:rPr>
          <w:rFonts w:ascii="Simplified Arabic" w:hAnsi="Simplified Arabic" w:cs="Simplified Arabic"/>
          <w:sz w:val="24"/>
          <w:szCs w:val="24"/>
          <w:rtl/>
          <w:lang w:val="en-US"/>
        </w:rPr>
        <w:t xml:space="preserve"> </w:t>
      </w:r>
      <w:r w:rsidR="00DE6911">
        <w:rPr>
          <w:rFonts w:ascii="Simplified Arabic" w:hAnsi="Simplified Arabic" w:cs="Simplified Arabic" w:hint="cs"/>
          <w:sz w:val="24"/>
          <w:szCs w:val="24"/>
          <w:rtl/>
          <w:lang w:val="en-US"/>
        </w:rPr>
        <w:t>ذوي المستوى</w:t>
      </w:r>
      <w:r w:rsidR="00C121B0" w:rsidRPr="000230BD">
        <w:rPr>
          <w:rFonts w:ascii="Simplified Arabic" w:hAnsi="Simplified Arabic" w:cs="Simplified Arabic"/>
          <w:sz w:val="24"/>
          <w:szCs w:val="24"/>
          <w:rtl/>
          <w:lang w:val="en-US"/>
        </w:rPr>
        <w:t xml:space="preserve"> </w:t>
      </w:r>
      <w:r w:rsidR="00DE6911">
        <w:rPr>
          <w:rFonts w:ascii="Simplified Arabic" w:hAnsi="Simplified Arabic" w:cs="Simplified Arabic" w:hint="cs"/>
          <w:sz w:val="24"/>
          <w:szCs w:val="24"/>
          <w:rtl/>
          <w:lang w:val="en-US"/>
        </w:rPr>
        <w:t>الجامعي</w:t>
      </w:r>
      <w:r w:rsidR="00C121B0">
        <w:rPr>
          <w:rFonts w:ascii="Simplified Arabic" w:hAnsi="Simplified Arabic" w:cs="Simplified Arabic" w:hint="cs"/>
          <w:sz w:val="24"/>
          <w:szCs w:val="24"/>
          <w:rtl/>
          <w:lang w:val="en-US"/>
        </w:rPr>
        <w:t>،</w:t>
      </w:r>
      <w:r w:rsidR="00C121B0" w:rsidRPr="000230BD">
        <w:rPr>
          <w:rFonts w:ascii="Simplified Arabic" w:hAnsi="Simplified Arabic" w:cs="Simplified Arabic"/>
          <w:sz w:val="24"/>
          <w:szCs w:val="24"/>
          <w:rtl/>
          <w:lang w:val="en-US"/>
        </w:rPr>
        <w:t xml:space="preserve"> </w:t>
      </w:r>
      <w:r w:rsidR="00DE6911">
        <w:rPr>
          <w:rFonts w:ascii="Simplified Arabic" w:hAnsi="Simplified Arabic" w:cs="Simplified Arabic" w:hint="cs"/>
          <w:sz w:val="24"/>
          <w:szCs w:val="24"/>
          <w:rtl/>
          <w:lang w:val="en-US"/>
        </w:rPr>
        <w:t>هذ</w:t>
      </w:r>
      <w:r w:rsidR="00E02A48">
        <w:rPr>
          <w:rFonts w:ascii="Simplified Arabic" w:hAnsi="Simplified Arabic" w:cs="Simplified Arabic" w:hint="cs"/>
          <w:sz w:val="24"/>
          <w:szCs w:val="24"/>
          <w:rtl/>
          <w:lang w:val="en-US"/>
        </w:rPr>
        <w:t>ا</w:t>
      </w:r>
      <w:r w:rsidR="00DE6911">
        <w:rPr>
          <w:rFonts w:ascii="Simplified Arabic" w:hAnsi="Simplified Arabic" w:cs="Simplified Arabic" w:hint="cs"/>
          <w:sz w:val="24"/>
          <w:szCs w:val="24"/>
          <w:rtl/>
          <w:lang w:val="en-US"/>
        </w:rPr>
        <w:t xml:space="preserve"> يشير الى ارتفاع مستوى </w:t>
      </w:r>
      <w:r w:rsidR="00E02A48">
        <w:rPr>
          <w:rFonts w:ascii="Simplified Arabic" w:hAnsi="Simplified Arabic" w:cs="Simplified Arabic" w:hint="cs"/>
          <w:sz w:val="24"/>
          <w:szCs w:val="24"/>
          <w:rtl/>
          <w:lang w:val="en-US"/>
        </w:rPr>
        <w:t>ال</w:t>
      </w:r>
      <w:r w:rsidR="00DE6911">
        <w:rPr>
          <w:rFonts w:ascii="Simplified Arabic" w:hAnsi="Simplified Arabic" w:cs="Simplified Arabic" w:hint="cs"/>
          <w:sz w:val="24"/>
          <w:szCs w:val="24"/>
          <w:rtl/>
          <w:lang w:val="en-US"/>
        </w:rPr>
        <w:t>وعي و</w:t>
      </w:r>
      <w:r w:rsidR="00E02A48">
        <w:rPr>
          <w:rFonts w:ascii="Simplified Arabic" w:hAnsi="Simplified Arabic" w:cs="Simplified Arabic" w:hint="cs"/>
          <w:sz w:val="24"/>
          <w:szCs w:val="24"/>
          <w:rtl/>
          <w:lang w:val="en-US"/>
        </w:rPr>
        <w:t>ال</w:t>
      </w:r>
      <w:r w:rsidR="00DE6911">
        <w:rPr>
          <w:rFonts w:ascii="Simplified Arabic" w:hAnsi="Simplified Arabic" w:cs="Simplified Arabic" w:hint="cs"/>
          <w:sz w:val="24"/>
          <w:szCs w:val="24"/>
          <w:rtl/>
          <w:lang w:val="en-US"/>
        </w:rPr>
        <w:t xml:space="preserve">ادراك </w:t>
      </w:r>
      <w:r w:rsidR="00E02A48">
        <w:rPr>
          <w:rFonts w:ascii="Simplified Arabic" w:hAnsi="Simplified Arabic" w:cs="Simplified Arabic" w:hint="cs"/>
          <w:sz w:val="24"/>
          <w:szCs w:val="24"/>
          <w:rtl/>
          <w:lang w:val="en-US"/>
        </w:rPr>
        <w:t>ب</w:t>
      </w:r>
      <w:r w:rsidR="00DE6911">
        <w:rPr>
          <w:rFonts w:ascii="Simplified Arabic" w:hAnsi="Simplified Arabic" w:cs="Simplified Arabic" w:hint="cs"/>
          <w:sz w:val="24"/>
          <w:szCs w:val="24"/>
          <w:rtl/>
          <w:lang w:val="en-US"/>
        </w:rPr>
        <w:t>صعوب</w:t>
      </w:r>
      <w:r w:rsidR="00E02A48">
        <w:rPr>
          <w:rFonts w:ascii="Simplified Arabic" w:hAnsi="Simplified Arabic" w:cs="Simplified Arabic" w:hint="cs"/>
          <w:sz w:val="24"/>
          <w:szCs w:val="24"/>
          <w:rtl/>
          <w:lang w:val="en-US"/>
        </w:rPr>
        <w:t>ة</w:t>
      </w:r>
      <w:r w:rsidR="00DE6911">
        <w:rPr>
          <w:rFonts w:ascii="Simplified Arabic" w:hAnsi="Simplified Arabic" w:cs="Simplified Arabic" w:hint="cs"/>
          <w:sz w:val="24"/>
          <w:szCs w:val="24"/>
          <w:rtl/>
          <w:lang w:val="en-US"/>
        </w:rPr>
        <w:t xml:space="preserve"> الوصول والحصول على ال</w:t>
      </w:r>
      <w:r>
        <w:rPr>
          <w:rFonts w:ascii="Simplified Arabic" w:hAnsi="Simplified Arabic" w:cs="Simplified Arabic" w:hint="cs"/>
          <w:sz w:val="24"/>
          <w:szCs w:val="24"/>
          <w:rtl/>
          <w:lang w:val="en-US"/>
        </w:rPr>
        <w:t>خ</w:t>
      </w:r>
      <w:r w:rsidR="00DE6911">
        <w:rPr>
          <w:rFonts w:ascii="Simplified Arabic" w:hAnsi="Simplified Arabic" w:cs="Simplified Arabic" w:hint="cs"/>
          <w:sz w:val="24"/>
          <w:szCs w:val="24"/>
          <w:rtl/>
          <w:lang w:val="en-US"/>
        </w:rPr>
        <w:t>دمة، خصوصا اثنا الاضطرابات التي تحدثها الفيضانات</w:t>
      </w:r>
      <w:r w:rsidR="00C121B0" w:rsidRPr="00A71970">
        <w:rPr>
          <w:rFonts w:ascii="Simplified Arabic" w:hAnsi="Simplified Arabic" w:cs="Simplified Arabic"/>
          <w:sz w:val="24"/>
          <w:szCs w:val="24"/>
          <w:rtl/>
          <w:lang w:val="en-US"/>
        </w:rPr>
        <w:t>.</w:t>
      </w:r>
    </w:p>
    <w:p w:rsidR="00220BB6" w:rsidRDefault="00220BB6" w:rsidP="00FC6E58">
      <w:pPr>
        <w:bidi/>
        <w:spacing w:after="0"/>
        <w:ind w:firstLine="282"/>
        <w:jc w:val="both"/>
        <w:rPr>
          <w:rFonts w:ascii="Simplified Arabic" w:hAnsi="Simplified Arabic" w:cs="Simplified Arabic"/>
          <w:sz w:val="24"/>
          <w:szCs w:val="24"/>
          <w:rtl/>
          <w:lang w:val="en-US"/>
        </w:rPr>
      </w:pPr>
      <w:r w:rsidRPr="000230BD">
        <w:rPr>
          <w:rFonts w:ascii="Simplified Arabic" w:hAnsi="Simplified Arabic" w:cs="Simplified Arabic" w:hint="cs"/>
          <w:sz w:val="24"/>
          <w:szCs w:val="24"/>
          <w:rtl/>
          <w:lang w:val="en-US"/>
        </w:rPr>
        <w:t>حيث</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تراوح</w:t>
      </w:r>
      <w:r>
        <w:rPr>
          <w:rFonts w:ascii="Simplified Arabic" w:hAnsi="Simplified Arabic" w:cs="Simplified Arabic" w:hint="cs"/>
          <w:sz w:val="24"/>
          <w:szCs w:val="24"/>
          <w:rtl/>
          <w:lang w:val="en-US"/>
        </w:rPr>
        <w:t>ت</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ذوي المستوى الجامعي</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في</w:t>
      </w:r>
      <w:r w:rsidRPr="000230BD">
        <w:rPr>
          <w:rFonts w:ascii="Simplified Arabic" w:hAnsi="Simplified Arabic" w:cs="Simplified Arabic"/>
          <w:sz w:val="24"/>
          <w:szCs w:val="24"/>
          <w:rtl/>
          <w:lang w:val="en-US"/>
        </w:rPr>
        <w:t xml:space="preserve"> </w:t>
      </w:r>
      <w:r w:rsidRPr="00220BB6">
        <w:rPr>
          <w:rFonts w:ascii="Simplified Arabic" w:hAnsi="Simplified Arabic" w:cs="Simplified Arabic" w:hint="cs"/>
          <w:sz w:val="24"/>
          <w:szCs w:val="24"/>
          <w:rtl/>
          <w:lang w:val="en-US"/>
        </w:rPr>
        <w:t>احياء: سيدي سليمان، ميطر، الحمايد والباطن</w:t>
      </w:r>
      <w:r>
        <w:rPr>
          <w:rFonts w:ascii="Simplified Arabic" w:hAnsi="Simplified Arabic" w:cs="Simplified Arabic" w:hint="cs"/>
          <w:sz w:val="24"/>
          <w:szCs w:val="24"/>
          <w:rtl/>
          <w:lang w:val="en-US"/>
        </w:rPr>
        <w:t xml:space="preserve"> على التوالي: </w:t>
      </w:r>
      <w:r>
        <w:rPr>
          <w:rFonts w:ascii="Simplified Arabic" w:hAnsi="Simplified Arabic" w:cs="Simplified Arabic"/>
          <w:sz w:val="24"/>
          <w:szCs w:val="24"/>
          <w:lang w:val="en-US"/>
        </w:rPr>
        <w:t>50</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00</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48</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28</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60</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00</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56</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76</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يقابلها </w:t>
      </w:r>
      <w:r>
        <w:rPr>
          <w:rFonts w:ascii="Simplified Arabic" w:hAnsi="Simplified Arabic" w:cs="Simplified Arabic"/>
          <w:sz w:val="24"/>
          <w:szCs w:val="24"/>
          <w:lang w:val="en-US"/>
        </w:rPr>
        <w:t>193</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186</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231</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219</w:t>
      </w:r>
      <w:r>
        <w:rPr>
          <w:rFonts w:ascii="Simplified Arabic" w:hAnsi="Simplified Arabic" w:cs="Simplified Arabic" w:hint="cs"/>
          <w:sz w:val="24"/>
          <w:szCs w:val="24"/>
          <w:rtl/>
          <w:lang w:val="en-US"/>
        </w:rPr>
        <w:t xml:space="preserve"> مفردة من العينة، بينما  </w:t>
      </w:r>
      <w:r w:rsidRPr="000230BD">
        <w:rPr>
          <w:rFonts w:ascii="Simplified Arabic" w:hAnsi="Simplified Arabic" w:cs="Simplified Arabic" w:hint="cs"/>
          <w:sz w:val="24"/>
          <w:szCs w:val="24"/>
          <w:rtl/>
          <w:lang w:val="en-US"/>
        </w:rPr>
        <w:t>تراوح</w:t>
      </w:r>
      <w:r>
        <w:rPr>
          <w:rFonts w:ascii="Simplified Arabic" w:hAnsi="Simplified Arabic" w:cs="Simplified Arabic" w:hint="cs"/>
          <w:sz w:val="24"/>
          <w:szCs w:val="24"/>
          <w:rtl/>
          <w:lang w:val="en-US"/>
        </w:rPr>
        <w:t>ت</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ذوي المستوى الثانوي</w:t>
      </w:r>
      <w:r>
        <w:rPr>
          <w:rFonts w:ascii="Simplified Arabic" w:hAnsi="Simplified Arabic" w:cs="Simplified Arabic"/>
          <w:sz w:val="24"/>
          <w:szCs w:val="24"/>
          <w:lang w:val="en-US"/>
        </w:rPr>
        <w:t xml:space="preserve"> </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لنفس</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الاحياء على التوالي: </w:t>
      </w:r>
      <w:r>
        <w:rPr>
          <w:rFonts w:ascii="Simplified Arabic" w:hAnsi="Simplified Arabic" w:cs="Simplified Arabic"/>
          <w:sz w:val="24"/>
          <w:szCs w:val="24"/>
          <w:lang w:val="en-US"/>
        </w:rPr>
        <w:t>35</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71</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31</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03</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sidRPr="00220BB6">
        <w:rPr>
          <w:rFonts w:ascii="Simplified Arabic" w:hAnsi="Simplified Arabic" w:cs="Simplified Arabic"/>
          <w:sz w:val="24"/>
          <w:szCs w:val="24"/>
          <w:lang w:val="en-US"/>
        </w:rPr>
        <w:t>28,57</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29</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73</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يقابلها</w:t>
      </w:r>
      <w:r w:rsidRPr="009F772D">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على التوالي </w:t>
      </w:r>
      <w:r>
        <w:rPr>
          <w:rFonts w:ascii="Simplified Arabic" w:hAnsi="Simplified Arabic" w:cs="Simplified Arabic"/>
          <w:sz w:val="24"/>
          <w:szCs w:val="24"/>
          <w:lang w:val="en-US"/>
        </w:rPr>
        <w:t>138</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119</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110</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114</w:t>
      </w:r>
      <w:r>
        <w:rPr>
          <w:rFonts w:ascii="Simplified Arabic" w:hAnsi="Simplified Arabic" w:cs="Simplified Arabic" w:hint="cs"/>
          <w:sz w:val="24"/>
          <w:szCs w:val="24"/>
          <w:rtl/>
          <w:lang w:val="en-US"/>
        </w:rPr>
        <w:t xml:space="preserve"> مفردة من العينة، </w:t>
      </w:r>
      <w:r>
        <w:rPr>
          <w:rFonts w:ascii="Simplified Arabic" w:hAnsi="Simplified Arabic" w:cs="Simplified Arabic" w:hint="cs"/>
          <w:sz w:val="24"/>
          <w:szCs w:val="24"/>
          <w:rtl/>
          <w:lang w:val="en-US" w:bidi="ar-DZ"/>
        </w:rPr>
        <w:t xml:space="preserve">كما </w:t>
      </w:r>
      <w:r w:rsidRPr="000230BD">
        <w:rPr>
          <w:rFonts w:ascii="Simplified Arabic" w:hAnsi="Simplified Arabic" w:cs="Simplified Arabic" w:hint="cs"/>
          <w:sz w:val="24"/>
          <w:szCs w:val="24"/>
          <w:rtl/>
          <w:lang w:val="en-US"/>
        </w:rPr>
        <w:t>تراوح</w:t>
      </w:r>
      <w:r>
        <w:rPr>
          <w:rFonts w:ascii="Simplified Arabic" w:hAnsi="Simplified Arabic" w:cs="Simplified Arabic" w:hint="cs"/>
          <w:sz w:val="24"/>
          <w:szCs w:val="24"/>
          <w:rtl/>
          <w:lang w:val="en-US"/>
        </w:rPr>
        <w:t>ت</w:t>
      </w:r>
      <w:r w:rsidRPr="000230BD">
        <w:rPr>
          <w:rFonts w:ascii="Simplified Arabic" w:hAnsi="Simplified Arabic" w:cs="Simplified Arabic"/>
          <w:sz w:val="24"/>
          <w:szCs w:val="24"/>
          <w:rtl/>
          <w:lang w:val="en-US"/>
        </w:rPr>
        <w:t xml:space="preserve">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ذوي المستوى المتوسط</w:t>
      </w:r>
      <w:r>
        <w:rPr>
          <w:rFonts w:ascii="Simplified Arabic" w:hAnsi="Simplified Arabic" w:cs="Simplified Arabic"/>
          <w:sz w:val="24"/>
          <w:szCs w:val="24"/>
          <w:lang w:val="en-US"/>
        </w:rPr>
        <w:t xml:space="preserve"> </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لنفس</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الاحياء على التوالي: </w:t>
      </w:r>
      <w:r>
        <w:rPr>
          <w:rFonts w:ascii="Simplified Arabic" w:hAnsi="Simplified Arabic" w:cs="Simplified Arabic"/>
          <w:sz w:val="24"/>
          <w:szCs w:val="24"/>
          <w:lang w:val="en-US"/>
        </w:rPr>
        <w:t>8</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57</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13</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34</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5</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71</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10</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06</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يقابلها</w:t>
      </w:r>
      <w:r w:rsidRPr="009F772D">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على التوالي </w:t>
      </w:r>
      <w:r>
        <w:rPr>
          <w:rFonts w:ascii="Simplified Arabic" w:hAnsi="Simplified Arabic" w:cs="Simplified Arabic"/>
          <w:sz w:val="24"/>
          <w:szCs w:val="24"/>
          <w:lang w:val="en-US"/>
        </w:rPr>
        <w:t>33</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51</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22</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39</w:t>
      </w:r>
      <w:r>
        <w:rPr>
          <w:rFonts w:ascii="Simplified Arabic" w:hAnsi="Simplified Arabic" w:cs="Simplified Arabic" w:hint="cs"/>
          <w:sz w:val="24"/>
          <w:szCs w:val="24"/>
          <w:rtl/>
          <w:lang w:val="en-US"/>
        </w:rPr>
        <w:t xml:space="preserve"> مفردة من العينة، </w:t>
      </w:r>
      <w:r w:rsidR="00FC6E58">
        <w:rPr>
          <w:rFonts w:ascii="Simplified Arabic" w:hAnsi="Simplified Arabic" w:cs="Simplified Arabic" w:hint="cs"/>
          <w:sz w:val="24"/>
          <w:szCs w:val="24"/>
          <w:rtl/>
          <w:lang w:val="en-US"/>
        </w:rPr>
        <w:t xml:space="preserve">كانت </w:t>
      </w:r>
      <w:r w:rsidRPr="000230BD">
        <w:rPr>
          <w:rFonts w:ascii="Simplified Arabic" w:hAnsi="Simplified Arabic" w:cs="Simplified Arabic" w:hint="cs"/>
          <w:sz w:val="24"/>
          <w:szCs w:val="24"/>
          <w:rtl/>
          <w:lang w:val="en-US"/>
        </w:rPr>
        <w:t>نسبة</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ذوي المستوى الابتدائي</w:t>
      </w:r>
      <w:r>
        <w:rPr>
          <w:rFonts w:ascii="Simplified Arabic" w:hAnsi="Simplified Arabic" w:cs="Simplified Arabic"/>
          <w:sz w:val="24"/>
          <w:szCs w:val="24"/>
          <w:lang w:val="en-US"/>
        </w:rPr>
        <w:t xml:space="preserve"> </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لنفس</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الاحياء على التوالي: </w:t>
      </w:r>
      <w:r>
        <w:rPr>
          <w:rFonts w:ascii="Simplified Arabic" w:hAnsi="Simplified Arabic" w:cs="Simplified Arabic"/>
          <w:sz w:val="24"/>
          <w:szCs w:val="24"/>
          <w:lang w:val="en-US"/>
        </w:rPr>
        <w:t>5</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71</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7</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35</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5</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71</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3</w:t>
      </w:r>
      <w:r w:rsidRPr="00220BB6">
        <w:rPr>
          <w:rFonts w:ascii="Simplified Arabic" w:hAnsi="Simplified Arabic" w:cs="Simplified Arabic"/>
          <w:sz w:val="24"/>
          <w:szCs w:val="24"/>
          <w:lang w:val="en-US"/>
        </w:rPr>
        <w:t>,</w:t>
      </w:r>
      <w:r>
        <w:rPr>
          <w:rFonts w:ascii="Simplified Arabic" w:hAnsi="Simplified Arabic" w:cs="Simplified Arabic"/>
          <w:sz w:val="24"/>
          <w:szCs w:val="24"/>
          <w:lang w:val="en-US"/>
        </w:rPr>
        <w:t>45</w:t>
      </w:r>
      <w:r w:rsidRPr="00A7197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يقابلها</w:t>
      </w:r>
      <w:r w:rsidRPr="009F772D">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على التوالي </w:t>
      </w:r>
      <w:r>
        <w:rPr>
          <w:rFonts w:ascii="Simplified Arabic" w:hAnsi="Simplified Arabic" w:cs="Simplified Arabic"/>
          <w:sz w:val="24"/>
          <w:szCs w:val="24"/>
          <w:lang w:val="en-US"/>
        </w:rPr>
        <w:t>22</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28</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22</w:t>
      </w:r>
      <w:r>
        <w:rPr>
          <w:rFonts w:ascii="Simplified Arabic" w:hAnsi="Simplified Arabic" w:cs="Simplified Arabic" w:hint="cs"/>
          <w:sz w:val="24"/>
          <w:szCs w:val="24"/>
          <w:rtl/>
          <w:lang w:val="en-US"/>
        </w:rPr>
        <w:t xml:space="preserve">، </w:t>
      </w:r>
      <w:r>
        <w:rPr>
          <w:rFonts w:ascii="Simplified Arabic" w:hAnsi="Simplified Arabic" w:cs="Simplified Arabic"/>
          <w:sz w:val="24"/>
          <w:szCs w:val="24"/>
          <w:lang w:val="en-US"/>
        </w:rPr>
        <w:t>13</w:t>
      </w:r>
      <w:r>
        <w:rPr>
          <w:rFonts w:ascii="Simplified Arabic" w:hAnsi="Simplified Arabic" w:cs="Simplified Arabic" w:hint="cs"/>
          <w:sz w:val="24"/>
          <w:szCs w:val="24"/>
          <w:rtl/>
          <w:lang w:val="en-US"/>
        </w:rPr>
        <w:t xml:space="preserve"> مفردة من العينة.</w:t>
      </w:r>
    </w:p>
    <w:p w:rsidR="00C121B0" w:rsidRDefault="00C121B0" w:rsidP="00C840FB">
      <w:pPr>
        <w:pStyle w:val="fegure"/>
        <w:spacing w:before="240"/>
        <w:rPr>
          <w:sz w:val="8"/>
          <w:szCs w:val="24"/>
          <w:rtl/>
          <w:lang w:val="en-US"/>
        </w:rPr>
      </w:pPr>
      <w:bookmarkStart w:id="735" w:name="_Toc157608343"/>
      <w:bookmarkStart w:id="736" w:name="_Toc171803738"/>
      <w:r w:rsidRPr="00DA50D1">
        <w:rPr>
          <w:rFonts w:hint="cs"/>
          <w:sz w:val="8"/>
          <w:szCs w:val="24"/>
          <w:rtl/>
          <w:lang w:val="en-US"/>
        </w:rPr>
        <w:t>الشكل</w:t>
      </w:r>
      <w:r w:rsidRPr="00DA50D1">
        <w:rPr>
          <w:sz w:val="8"/>
          <w:szCs w:val="24"/>
          <w:rtl/>
          <w:lang w:val="en-US"/>
        </w:rPr>
        <w:t xml:space="preserve"> </w:t>
      </w:r>
      <w:r w:rsidRPr="00DA50D1">
        <w:rPr>
          <w:rFonts w:hint="cs"/>
          <w:sz w:val="8"/>
          <w:szCs w:val="24"/>
          <w:rtl/>
          <w:lang w:val="en-US"/>
        </w:rPr>
        <w:t>(</w:t>
      </w:r>
      <w:r w:rsidR="008F7575" w:rsidRPr="00DA50D1">
        <w:rPr>
          <w:rFonts w:hint="cs"/>
          <w:sz w:val="8"/>
          <w:szCs w:val="24"/>
          <w:rtl/>
          <w:lang w:val="en-US"/>
        </w:rPr>
        <w:t>5-</w:t>
      </w:r>
      <w:r w:rsidR="00DA50D1" w:rsidRPr="00DA50D1">
        <w:rPr>
          <w:rFonts w:hint="cs"/>
          <w:sz w:val="8"/>
          <w:szCs w:val="24"/>
          <w:rtl/>
          <w:lang w:val="en-US"/>
        </w:rPr>
        <w:t>12</w:t>
      </w:r>
      <w:r w:rsidRPr="00DA50D1">
        <w:rPr>
          <w:rFonts w:hint="cs"/>
          <w:sz w:val="8"/>
          <w:szCs w:val="24"/>
          <w:rtl/>
          <w:lang w:val="en-US"/>
        </w:rPr>
        <w:t>)</w:t>
      </w:r>
      <w:r w:rsidRPr="00DA50D1">
        <w:rPr>
          <w:sz w:val="8"/>
          <w:szCs w:val="24"/>
          <w:rtl/>
          <w:lang w:val="en-US"/>
        </w:rPr>
        <w:t xml:space="preserve">: </w:t>
      </w:r>
      <w:r w:rsidR="00220BB6" w:rsidRPr="00DA50D1">
        <w:rPr>
          <w:rFonts w:hint="cs"/>
          <w:sz w:val="8"/>
          <w:szCs w:val="24"/>
          <w:rtl/>
          <w:lang w:val="en-US"/>
        </w:rPr>
        <w:t>توزيع افراد عيّنة المستوى العلمي</w:t>
      </w:r>
      <w:bookmarkEnd w:id="735"/>
      <w:bookmarkEnd w:id="736"/>
    </w:p>
    <w:p w:rsidR="00C840FB" w:rsidRPr="00DA50D1" w:rsidRDefault="00C840FB" w:rsidP="00C840FB">
      <w:pPr>
        <w:pStyle w:val="fegure"/>
        <w:rPr>
          <w:sz w:val="8"/>
          <w:szCs w:val="24"/>
          <w:rtl/>
          <w:lang w:val="en-US" w:bidi="ar-DZ"/>
        </w:rPr>
      </w:pPr>
      <w:bookmarkStart w:id="737" w:name="_Toc171803739"/>
      <w:r>
        <w:rPr>
          <w:rFonts w:hint="cs"/>
          <w:sz w:val="8"/>
          <w:szCs w:val="24"/>
          <w:rtl/>
          <w:lang w:val="en-US"/>
        </w:rPr>
        <w:t>المصدر: (الباحث، 2022)</w:t>
      </w:r>
      <w:bookmarkEnd w:id="737"/>
    </w:p>
    <w:p w:rsidR="00CD2F15" w:rsidRDefault="00CD2F15" w:rsidP="004E006F">
      <w:pPr>
        <w:bidi/>
        <w:spacing w:after="0"/>
        <w:jc w:val="center"/>
        <w:rPr>
          <w:rFonts w:ascii="Simplified Arabic" w:hAnsi="Simplified Arabic" w:cs="Simplified Arabic"/>
          <w:sz w:val="24"/>
          <w:szCs w:val="24"/>
          <w:rtl/>
          <w:lang w:val="en-US"/>
        </w:rPr>
      </w:pPr>
      <w:r>
        <w:rPr>
          <w:noProof/>
          <w:lang w:eastAsia="fr-FR"/>
        </w:rPr>
        <w:drawing>
          <wp:inline distT="0" distB="0" distL="0" distR="0" wp14:anchorId="0A29A012" wp14:editId="79EE881C">
            <wp:extent cx="3010619" cy="1725283"/>
            <wp:effectExtent l="0" t="0" r="18415" b="2794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6"/>
              </a:graphicData>
            </a:graphic>
          </wp:inline>
        </w:drawing>
      </w:r>
    </w:p>
    <w:p w:rsidR="00C121B0" w:rsidRPr="006F2A40" w:rsidRDefault="00C121B0" w:rsidP="001D0548">
      <w:pPr>
        <w:pStyle w:val="Paragraphedeliste"/>
        <w:numPr>
          <w:ilvl w:val="1"/>
          <w:numId w:val="176"/>
        </w:numPr>
        <w:tabs>
          <w:tab w:val="right" w:pos="1134"/>
        </w:tabs>
        <w:bidi/>
        <w:spacing w:before="240" w:after="0"/>
        <w:ind w:left="0" w:firstLine="992"/>
        <w:jc w:val="both"/>
        <w:outlineLvl w:val="3"/>
        <w:rPr>
          <w:rFonts w:ascii="Simplified Arabic" w:hAnsi="Simplified Arabic" w:cs="Simplified Arabic"/>
          <w:b/>
          <w:bCs/>
          <w:sz w:val="24"/>
          <w:szCs w:val="24"/>
          <w:rtl/>
          <w:lang w:val="en-US"/>
        </w:rPr>
      </w:pPr>
      <w:r w:rsidRPr="006F2A40">
        <w:rPr>
          <w:rFonts w:ascii="Simplified Arabic" w:hAnsi="Simplified Arabic" w:cs="Simplified Arabic"/>
          <w:b/>
          <w:bCs/>
          <w:sz w:val="24"/>
          <w:szCs w:val="24"/>
          <w:rtl/>
          <w:lang w:val="en-US"/>
        </w:rPr>
        <w:lastRenderedPageBreak/>
        <w:t xml:space="preserve">تحليل بيانات القسم </w:t>
      </w:r>
      <w:r w:rsidRPr="006F2A40">
        <w:rPr>
          <w:rFonts w:ascii="Simplified Arabic" w:hAnsi="Simplified Arabic" w:cs="Simplified Arabic" w:hint="cs"/>
          <w:b/>
          <w:bCs/>
          <w:sz w:val="24"/>
          <w:szCs w:val="24"/>
          <w:rtl/>
          <w:lang w:val="en-US"/>
        </w:rPr>
        <w:t>(</w:t>
      </w:r>
      <w:r w:rsidRPr="006F2A40">
        <w:rPr>
          <w:rFonts w:ascii="Simplified Arabic" w:hAnsi="Simplified Arabic" w:cs="Simplified Arabic"/>
          <w:b/>
          <w:bCs/>
          <w:sz w:val="24"/>
          <w:szCs w:val="24"/>
          <w:rtl/>
          <w:lang w:val="en-US"/>
        </w:rPr>
        <w:t>ب</w:t>
      </w:r>
      <w:r w:rsidRPr="006F2A40">
        <w:rPr>
          <w:rFonts w:ascii="Simplified Arabic" w:hAnsi="Simplified Arabic" w:cs="Simplified Arabic" w:hint="cs"/>
          <w:b/>
          <w:bCs/>
          <w:sz w:val="24"/>
          <w:szCs w:val="24"/>
          <w:rtl/>
          <w:lang w:val="en-US"/>
        </w:rPr>
        <w:t>)</w:t>
      </w:r>
      <w:r w:rsidRPr="006F2A40">
        <w:rPr>
          <w:rFonts w:ascii="Simplified Arabic" w:hAnsi="Simplified Arabic" w:cs="Simplified Arabic"/>
          <w:b/>
          <w:bCs/>
          <w:sz w:val="24"/>
          <w:szCs w:val="24"/>
          <w:rtl/>
          <w:lang w:val="en-US"/>
        </w:rPr>
        <w:t xml:space="preserve">: </w:t>
      </w:r>
    </w:p>
    <w:p w:rsidR="002E7B86" w:rsidRPr="002E7B86" w:rsidRDefault="002E7B86" w:rsidP="001D0548">
      <w:pPr>
        <w:pStyle w:val="Paragraphedeliste"/>
        <w:numPr>
          <w:ilvl w:val="0"/>
          <w:numId w:val="177"/>
        </w:numPr>
        <w:tabs>
          <w:tab w:val="right" w:pos="850"/>
        </w:tabs>
        <w:bidi/>
        <w:spacing w:after="0"/>
        <w:ind w:left="0" w:firstLine="567"/>
        <w:jc w:val="both"/>
        <w:rPr>
          <w:rFonts w:ascii="Simplified Arabic" w:hAnsi="Simplified Arabic" w:cs="Simplified Arabic"/>
          <w:sz w:val="24"/>
          <w:szCs w:val="24"/>
          <w:rtl/>
          <w:lang w:val="en-US"/>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C121B0" w:rsidRPr="002563B2">
        <w:rPr>
          <w:rFonts w:ascii="Simplified Arabic" w:hAnsi="Simplified Arabic" w:cs="Simplified Arabic" w:hint="cs"/>
          <w:b/>
          <w:bCs/>
          <w:sz w:val="24"/>
          <w:szCs w:val="24"/>
          <w:rtl/>
        </w:rPr>
        <w:t xml:space="preserve">ادراك حدوث </w:t>
      </w:r>
      <w:r w:rsidR="00C121B0" w:rsidRPr="002563B2">
        <w:rPr>
          <w:rFonts w:ascii="Simplified Arabic" w:hAnsi="Simplified Arabic" w:cs="Simplified Arabic"/>
          <w:b/>
          <w:bCs/>
          <w:sz w:val="24"/>
          <w:szCs w:val="24"/>
          <w:rtl/>
        </w:rPr>
        <w:t xml:space="preserve">مخاطر طبيعية </w:t>
      </w:r>
      <w:r>
        <w:rPr>
          <w:rFonts w:ascii="Simplified Arabic" w:hAnsi="Simplified Arabic" w:cs="Simplified Arabic" w:hint="cs"/>
          <w:b/>
          <w:bCs/>
          <w:sz w:val="24"/>
          <w:szCs w:val="24"/>
          <w:rtl/>
        </w:rPr>
        <w:t>ب</w:t>
      </w:r>
      <w:r w:rsidR="00C121B0" w:rsidRPr="002563B2">
        <w:rPr>
          <w:rFonts w:ascii="Simplified Arabic" w:hAnsi="Simplified Arabic" w:cs="Simplified Arabic"/>
          <w:b/>
          <w:bCs/>
          <w:sz w:val="24"/>
          <w:szCs w:val="24"/>
          <w:rtl/>
        </w:rPr>
        <w:t>مدينة بوسعادة</w:t>
      </w:r>
      <w:r w:rsidRPr="002E7B86">
        <w:rPr>
          <w:rFonts w:ascii="Simplified Arabic" w:hAnsi="Simplified Arabic" w:cs="Simplified Arabic" w:hint="cs"/>
          <w:b/>
          <w:bCs/>
          <w:sz w:val="24"/>
          <w:szCs w:val="24"/>
          <w:rtl/>
          <w:lang w:val="en-US"/>
        </w:rPr>
        <w:t xml:space="preserve"> </w:t>
      </w:r>
    </w:p>
    <w:p w:rsidR="00C121B0" w:rsidRDefault="00C121B0" w:rsidP="002E7B86">
      <w:pPr>
        <w:bidi/>
        <w:spacing w:after="0"/>
        <w:ind w:firstLine="282"/>
        <w:jc w:val="both"/>
        <w:rPr>
          <w:rFonts w:ascii="Simplified Arabic" w:hAnsi="Simplified Arabic" w:cs="Simplified Arabic"/>
          <w:sz w:val="24"/>
          <w:szCs w:val="24"/>
          <w:rtl/>
          <w:lang w:val="en-US"/>
        </w:rPr>
      </w:pPr>
      <w:r w:rsidRPr="00961820">
        <w:rPr>
          <w:rFonts w:ascii="Simplified Arabic" w:hAnsi="Simplified Arabic" w:cs="Simplified Arabic" w:hint="cs"/>
          <w:sz w:val="24"/>
          <w:szCs w:val="24"/>
          <w:rtl/>
          <w:lang w:val="en-US"/>
        </w:rPr>
        <w:t>في</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هذا</w:t>
      </w:r>
      <w:r w:rsidRPr="0096182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القسم</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طرح</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سؤالا</w:t>
      </w:r>
      <w:r>
        <w:rPr>
          <w:rFonts w:ascii="Simplified Arabic" w:hAnsi="Simplified Arabic" w:cs="Simplified Arabic" w:hint="cs"/>
          <w:sz w:val="24"/>
          <w:szCs w:val="24"/>
          <w:rtl/>
          <w:lang w:val="en-US"/>
        </w:rPr>
        <w:t>،</w:t>
      </w:r>
      <w:r w:rsidRPr="00961820">
        <w:rPr>
          <w:rFonts w:ascii="Simplified Arabic" w:hAnsi="Simplified Arabic" w:cs="Simplified Arabic"/>
          <w:sz w:val="24"/>
          <w:szCs w:val="24"/>
          <w:rtl/>
          <w:lang w:val="en-US"/>
        </w:rPr>
        <w:t xml:space="preserve"> </w:t>
      </w:r>
      <w:r w:rsidRPr="00156A79">
        <w:rPr>
          <w:rFonts w:ascii="Simplified Arabic" w:eastAsia="Times New Roman" w:hAnsi="Simplified Arabic" w:cs="Simplified Arabic"/>
          <w:color w:val="202124"/>
          <w:sz w:val="24"/>
          <w:szCs w:val="24"/>
          <w:rtl/>
        </w:rPr>
        <w:t xml:space="preserve">أي من </w:t>
      </w:r>
      <w:r>
        <w:rPr>
          <w:rFonts w:ascii="Simplified Arabic" w:eastAsia="Times New Roman" w:hAnsi="Simplified Arabic" w:cs="Simplified Arabic" w:hint="cs"/>
          <w:color w:val="202124"/>
          <w:sz w:val="24"/>
          <w:szCs w:val="24"/>
          <w:rtl/>
        </w:rPr>
        <w:t>المخاطر الطبيعية</w:t>
      </w:r>
      <w:r w:rsidRPr="00156A79">
        <w:rPr>
          <w:rFonts w:ascii="Simplified Arabic" w:eastAsia="Times New Roman" w:hAnsi="Simplified Arabic" w:cs="Simplified Arabic"/>
          <w:color w:val="202124"/>
          <w:sz w:val="24"/>
          <w:szCs w:val="24"/>
          <w:rtl/>
        </w:rPr>
        <w:t xml:space="preserve"> يحتمل أن تحدث </w:t>
      </w:r>
      <w:r w:rsidR="002E7B86">
        <w:rPr>
          <w:rFonts w:ascii="Simplified Arabic" w:eastAsia="Times New Roman" w:hAnsi="Simplified Arabic" w:cs="Simplified Arabic" w:hint="cs"/>
          <w:color w:val="202124"/>
          <w:sz w:val="24"/>
          <w:szCs w:val="24"/>
          <w:rtl/>
        </w:rPr>
        <w:t>ب</w:t>
      </w:r>
      <w:r w:rsidRPr="00156A79">
        <w:rPr>
          <w:rFonts w:ascii="Simplified Arabic" w:eastAsia="Times New Roman" w:hAnsi="Simplified Arabic" w:cs="Simplified Arabic"/>
          <w:color w:val="202124"/>
          <w:sz w:val="24"/>
          <w:szCs w:val="24"/>
          <w:rtl/>
        </w:rPr>
        <w:t xml:space="preserve">بوسعادة؟ </w:t>
      </w:r>
      <w:r>
        <w:rPr>
          <w:rFonts w:ascii="Simplified Arabic" w:eastAsia="Times New Roman" w:hAnsi="Simplified Arabic" w:cs="Simplified Arabic" w:hint="cs"/>
          <w:color w:val="202124"/>
          <w:sz w:val="24"/>
          <w:szCs w:val="24"/>
          <w:rtl/>
        </w:rPr>
        <w:t xml:space="preserve">الهدف من السؤال، </w:t>
      </w:r>
      <w:r>
        <w:rPr>
          <w:rFonts w:ascii="Simplified Arabic" w:hAnsi="Simplified Arabic" w:cs="Simplified Arabic" w:hint="cs"/>
          <w:sz w:val="24"/>
          <w:szCs w:val="24"/>
          <w:rtl/>
          <w:lang w:val="en-US"/>
        </w:rPr>
        <w:t xml:space="preserve">الاطلاع </w:t>
      </w:r>
      <w:r w:rsidRPr="00961820">
        <w:rPr>
          <w:rFonts w:ascii="Simplified Arabic" w:hAnsi="Simplified Arabic" w:cs="Simplified Arabic" w:hint="cs"/>
          <w:sz w:val="24"/>
          <w:szCs w:val="24"/>
          <w:rtl/>
          <w:lang w:val="en-US"/>
        </w:rPr>
        <w:t>على</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مستوى</w:t>
      </w:r>
      <w:r w:rsidRPr="0096182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وعي </w:t>
      </w:r>
      <w:r w:rsidRPr="00961820">
        <w:rPr>
          <w:rFonts w:ascii="Simplified Arabic" w:hAnsi="Simplified Arabic" w:cs="Simplified Arabic" w:hint="cs"/>
          <w:sz w:val="24"/>
          <w:szCs w:val="24"/>
          <w:rtl/>
          <w:lang w:val="en-US"/>
        </w:rPr>
        <w:t>مواطني</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مدينة</w:t>
      </w:r>
      <w:r w:rsidRPr="0096182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بوسعادة</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حول</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المخاطر</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الطبيعية،</w:t>
      </w:r>
      <w:r w:rsidRPr="0096182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ي</w:t>
      </w:r>
      <w:r w:rsidRPr="00471092">
        <w:rPr>
          <w:rFonts w:ascii="Simplified Arabic" w:hAnsi="Simplified Arabic" w:cs="Simplified Arabic" w:hint="cs"/>
          <w:sz w:val="24"/>
          <w:szCs w:val="24"/>
          <w:rtl/>
          <w:lang w:val="en-US"/>
        </w:rPr>
        <w:t>عتبر</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ادراك</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حدوث </w:t>
      </w:r>
      <w:r w:rsidRPr="00471092">
        <w:rPr>
          <w:rFonts w:ascii="Simplified Arabic" w:hAnsi="Simplified Arabic" w:cs="Simplified Arabic" w:hint="cs"/>
          <w:sz w:val="24"/>
          <w:szCs w:val="24"/>
          <w:rtl/>
          <w:lang w:val="en-US"/>
        </w:rPr>
        <w:t>المخاطر</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الطبيعية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نقطة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أساسية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لتعزيز</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مستوى</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الوعي با</w:t>
      </w:r>
      <w:r w:rsidRPr="00471092">
        <w:rPr>
          <w:rFonts w:ascii="Simplified Arabic" w:hAnsi="Simplified Arabic" w:cs="Simplified Arabic" w:hint="cs"/>
          <w:sz w:val="24"/>
          <w:szCs w:val="24"/>
          <w:rtl/>
          <w:lang w:val="en-US"/>
        </w:rPr>
        <w:t>لمخاطر</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في</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المجتمعات،</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ي</w:t>
      </w:r>
      <w:r w:rsidRPr="00471092">
        <w:rPr>
          <w:rFonts w:ascii="Simplified Arabic" w:hAnsi="Simplified Arabic" w:cs="Simplified Arabic" w:hint="cs"/>
          <w:sz w:val="24"/>
          <w:szCs w:val="24"/>
          <w:rtl/>
          <w:lang w:val="en-US"/>
        </w:rPr>
        <w:t>هدف</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هذ</w:t>
      </w:r>
      <w:r>
        <w:rPr>
          <w:rFonts w:ascii="Simplified Arabic" w:hAnsi="Simplified Arabic" w:cs="Simplified Arabic" w:hint="cs"/>
          <w:sz w:val="24"/>
          <w:szCs w:val="24"/>
          <w:rtl/>
          <w:lang w:val="en-US"/>
        </w:rPr>
        <w:t>ا</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الاستبيان</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إلى</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معرفة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مستوى</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معلومات</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المواطنين</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w:t>
      </w:r>
      <w:r w:rsidRPr="00471092">
        <w:rPr>
          <w:rFonts w:ascii="Simplified Arabic" w:hAnsi="Simplified Arabic" w:cs="Simplified Arabic" w:hint="cs"/>
          <w:sz w:val="24"/>
          <w:szCs w:val="24"/>
          <w:rtl/>
          <w:lang w:val="en-US"/>
        </w:rPr>
        <w:t>المخاطر</w:t>
      </w:r>
      <w:r>
        <w:rPr>
          <w:rFonts w:ascii="Simplified Arabic" w:hAnsi="Simplified Arabic" w:cs="Simplified Arabic" w:hint="cs"/>
          <w:sz w:val="24"/>
          <w:szCs w:val="24"/>
          <w:rtl/>
          <w:lang w:val="en-US"/>
        </w:rPr>
        <w:t xml:space="preserve">، بالتالي </w:t>
      </w:r>
      <w:r w:rsidRPr="00043E8A">
        <w:rPr>
          <w:rFonts w:ascii="Simplified Arabic" w:hAnsi="Simplified Arabic" w:cs="Simplified Arabic" w:hint="cs"/>
          <w:sz w:val="24"/>
          <w:szCs w:val="24"/>
          <w:rtl/>
        </w:rPr>
        <w:t>يمكن</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تمييز</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أكثر</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المخاطر</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التي</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تهدد</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المدينة</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والمواطنين</w:t>
      </w:r>
      <w:r w:rsidRPr="00043E8A">
        <w:rPr>
          <w:rFonts w:ascii="Simplified Arabic" w:hAnsi="Simplified Arabic" w:cs="Simplified Arabic"/>
          <w:sz w:val="24"/>
          <w:szCs w:val="24"/>
          <w:rtl/>
        </w:rPr>
        <w:t xml:space="preserve"> </w:t>
      </w:r>
      <w:r w:rsidRPr="00043E8A">
        <w:rPr>
          <w:rFonts w:ascii="Simplified Arabic" w:hAnsi="Simplified Arabic" w:cs="Simplified Arabic" w:hint="cs"/>
          <w:sz w:val="24"/>
          <w:szCs w:val="24"/>
          <w:rtl/>
        </w:rPr>
        <w:t>حسب</w:t>
      </w:r>
      <w:r w:rsidRPr="00043E8A">
        <w:rPr>
          <w:rFonts w:ascii="Simplified Arabic" w:hAnsi="Simplified Arabic" w:cs="Simplified Arabic"/>
          <w:sz w:val="24"/>
          <w:szCs w:val="24"/>
          <w:rtl/>
        </w:rPr>
        <w:t xml:space="preserve"> </w:t>
      </w:r>
      <w:r>
        <w:rPr>
          <w:rFonts w:ascii="Simplified Arabic" w:hAnsi="Simplified Arabic" w:cs="Simplified Arabic" w:hint="cs"/>
          <w:sz w:val="24"/>
          <w:szCs w:val="24"/>
          <w:rtl/>
        </w:rPr>
        <w:t>الردود</w:t>
      </w:r>
      <w:r w:rsidRPr="00043E8A">
        <w:rPr>
          <w:rFonts w:ascii="Simplified Arabic" w:hAnsi="Simplified Arabic" w:cs="Simplified Arabic"/>
          <w:sz w:val="24"/>
          <w:szCs w:val="24"/>
          <w:rtl/>
        </w:rPr>
        <w:t>.</w:t>
      </w:r>
      <w:r w:rsidRPr="00C43B23">
        <w:rPr>
          <w:rFonts w:ascii="Simplified Arabic" w:hAnsi="Simplified Arabic" w:cs="Simplified Arabic" w:hint="cs"/>
          <w:sz w:val="24"/>
          <w:szCs w:val="24"/>
          <w:rtl/>
          <w:lang w:val="en-US"/>
        </w:rPr>
        <w:t xml:space="preserve"> </w:t>
      </w:r>
    </w:p>
    <w:p w:rsidR="00C121B0" w:rsidRPr="00471092" w:rsidRDefault="00C121B0" w:rsidP="009921F6">
      <w:pPr>
        <w:bidi/>
        <w:spacing w:after="0"/>
        <w:ind w:firstLine="282"/>
        <w:jc w:val="both"/>
        <w:rPr>
          <w:rFonts w:ascii="Simplified Arabic" w:hAnsi="Simplified Arabic" w:cs="Simplified Arabic"/>
          <w:sz w:val="24"/>
          <w:szCs w:val="24"/>
          <w:lang w:val="en-US"/>
        </w:rPr>
      </w:pPr>
      <w:r w:rsidRPr="00471092">
        <w:rPr>
          <w:rFonts w:ascii="Simplified Arabic" w:hAnsi="Simplified Arabic" w:cs="Simplified Arabic" w:hint="cs"/>
          <w:sz w:val="24"/>
          <w:szCs w:val="24"/>
          <w:rtl/>
          <w:lang w:val="en-US"/>
        </w:rPr>
        <w:t>يوضح</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الشكل</w:t>
      </w:r>
      <w:r w:rsidRPr="00471092">
        <w:rPr>
          <w:rFonts w:ascii="Simplified Arabic" w:hAnsi="Simplified Arabic" w:cs="Simplified Arabic"/>
          <w:sz w:val="24"/>
          <w:szCs w:val="24"/>
          <w:rtl/>
          <w:lang w:val="en-US"/>
        </w:rPr>
        <w:t xml:space="preserve"> </w:t>
      </w:r>
      <w:r>
        <w:rPr>
          <w:rFonts w:ascii="Simplified Arabic" w:hAnsi="Simplified Arabic" w:cs="Simplified Arabic" w:hint="cs"/>
          <w:color w:val="000000" w:themeColor="text1"/>
          <w:sz w:val="24"/>
          <w:szCs w:val="24"/>
          <w:rtl/>
        </w:rPr>
        <w:t xml:space="preserve">رقم </w:t>
      </w:r>
      <w:r>
        <w:rPr>
          <w:rFonts w:ascii="Simplified Arabic" w:hAnsi="Simplified Arabic" w:cs="Simplified Arabic" w:hint="cs"/>
          <w:sz w:val="24"/>
          <w:szCs w:val="24"/>
          <w:rtl/>
          <w:lang w:val="en-US"/>
        </w:rPr>
        <w:t>(</w:t>
      </w:r>
      <w:r w:rsidR="008F7575">
        <w:rPr>
          <w:rFonts w:ascii="Simplified Arabic" w:hAnsi="Simplified Arabic" w:cs="Simplified Arabic" w:hint="cs"/>
          <w:sz w:val="24"/>
          <w:szCs w:val="24"/>
          <w:rtl/>
          <w:lang w:val="en-US"/>
        </w:rPr>
        <w:t>5-</w:t>
      </w:r>
      <w:r w:rsidR="00205E51">
        <w:rPr>
          <w:rFonts w:ascii="Simplified Arabic" w:hAnsi="Simplified Arabic" w:cs="Simplified Arabic" w:hint="cs"/>
          <w:sz w:val="24"/>
          <w:szCs w:val="24"/>
          <w:rtl/>
          <w:lang w:val="en-US"/>
        </w:rPr>
        <w:t>13</w:t>
      </w:r>
      <w:r>
        <w:rPr>
          <w:rFonts w:ascii="Simplified Arabic" w:hAnsi="Simplified Arabic" w:cs="Simplified Arabic" w:hint="cs"/>
          <w:sz w:val="24"/>
          <w:szCs w:val="24"/>
          <w:rtl/>
          <w:lang w:val="en-US"/>
        </w:rPr>
        <w:t>)، نسبة احتمال حدوث المخاطر الطبيعية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بشكل</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عام،</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حيث</w:t>
      </w:r>
      <w:r w:rsidR="002153AA">
        <w:rPr>
          <w:rFonts w:ascii="Simplified Arabic" w:hAnsi="Simplified Arabic" w:cs="Simplified Arabic" w:hint="cs"/>
          <w:sz w:val="24"/>
          <w:szCs w:val="24"/>
          <w:rtl/>
          <w:lang w:val="en-US"/>
        </w:rPr>
        <w:t xml:space="preserve"> كانت</w:t>
      </w:r>
      <w:r>
        <w:rPr>
          <w:rFonts w:ascii="Simplified Arabic" w:hAnsi="Simplified Arabic" w:cs="Simplified Arabic" w:hint="cs"/>
          <w:sz w:val="24"/>
          <w:szCs w:val="24"/>
          <w:rtl/>
          <w:lang w:val="en-US"/>
        </w:rPr>
        <w:t xml:space="preserve"> نسبة احتمال حدوث الفيضانات اعلى </w:t>
      </w:r>
      <w:r w:rsidR="002153AA">
        <w:rPr>
          <w:rFonts w:ascii="Simplified Arabic" w:hAnsi="Simplified Arabic" w:cs="Simplified Arabic" w:hint="cs"/>
          <w:sz w:val="24"/>
          <w:szCs w:val="24"/>
          <w:rtl/>
          <w:lang w:val="en-US"/>
        </w:rPr>
        <w:t>ب</w:t>
      </w:r>
      <w:r w:rsidR="002153AA" w:rsidRPr="00220BB6">
        <w:rPr>
          <w:rFonts w:ascii="Simplified Arabic" w:hAnsi="Simplified Arabic" w:cs="Simplified Arabic" w:hint="cs"/>
          <w:sz w:val="24"/>
          <w:szCs w:val="24"/>
          <w:rtl/>
          <w:lang w:val="en-US"/>
        </w:rPr>
        <w:t>احياء: سيدي سليمان، ميطر، الحمايد والباطن</w:t>
      </w:r>
      <w:r w:rsidR="002153AA">
        <w:rPr>
          <w:rFonts w:ascii="Simplified Arabic" w:hAnsi="Simplified Arabic" w:cs="Simplified Arabic" w:hint="cs"/>
          <w:sz w:val="24"/>
          <w:szCs w:val="24"/>
          <w:rtl/>
          <w:lang w:val="en-US"/>
        </w:rPr>
        <w:t xml:space="preserve"> على التوالي: </w:t>
      </w:r>
      <w:r w:rsidR="009921F6">
        <w:rPr>
          <w:rFonts w:ascii="Simplified Arabic" w:hAnsi="Simplified Arabic" w:cs="Simplified Arabic"/>
          <w:sz w:val="24"/>
          <w:szCs w:val="24"/>
          <w:lang w:val="en-US"/>
        </w:rPr>
        <w:t>81</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82</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77</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92</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70</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91</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2153AA">
        <w:rPr>
          <w:rFonts w:ascii="Simplified Arabic" w:hAnsi="Simplified Arabic" w:cs="Simplified Arabic"/>
          <w:sz w:val="24"/>
          <w:szCs w:val="24"/>
          <w:lang w:val="en-US"/>
        </w:rPr>
        <w:t>65</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19</w:t>
      </w:r>
      <w:r w:rsidR="002153AA" w:rsidRPr="00A71970">
        <w:rPr>
          <w:rFonts w:ascii="Simplified Arabic" w:hAnsi="Simplified Arabic" w:cs="Simplified Arabic"/>
          <w:sz w:val="24"/>
          <w:szCs w:val="24"/>
          <w:rtl/>
          <w:lang w:val="en-US"/>
        </w:rPr>
        <w:t xml:space="preserve">٪ </w:t>
      </w:r>
      <w:r w:rsidR="002153AA">
        <w:rPr>
          <w:rFonts w:ascii="Simplified Arabic" w:hAnsi="Simplified Arabic" w:cs="Simplified Arabic" w:hint="cs"/>
          <w:sz w:val="24"/>
          <w:szCs w:val="24"/>
          <w:rtl/>
          <w:lang w:val="en-US"/>
        </w:rPr>
        <w:t xml:space="preserve">يقابلها </w:t>
      </w:r>
      <w:r w:rsidR="009921F6">
        <w:rPr>
          <w:rFonts w:ascii="Simplified Arabic" w:hAnsi="Simplified Arabic" w:cs="Simplified Arabic"/>
          <w:sz w:val="24"/>
          <w:szCs w:val="24"/>
          <w:lang w:val="en-US"/>
        </w:rPr>
        <w:t>315</w:t>
      </w:r>
      <w:r w:rsidR="002153AA">
        <w:rPr>
          <w:rFonts w:ascii="Simplified Arabic" w:hAnsi="Simplified Arabic" w:cs="Simplified Arabic" w:hint="cs"/>
          <w:sz w:val="24"/>
          <w:szCs w:val="24"/>
          <w:rtl/>
          <w:lang w:val="en-US"/>
        </w:rPr>
        <w:t xml:space="preserve">، </w:t>
      </w:r>
      <w:r w:rsidR="002153AA">
        <w:rPr>
          <w:rFonts w:ascii="Simplified Arabic" w:hAnsi="Simplified Arabic" w:cs="Simplified Arabic"/>
          <w:sz w:val="24"/>
          <w:szCs w:val="24"/>
          <w:lang w:val="en-US"/>
        </w:rPr>
        <w:t>300</w:t>
      </w:r>
      <w:r w:rsidR="002153AA">
        <w:rPr>
          <w:rFonts w:ascii="Simplified Arabic" w:hAnsi="Simplified Arabic" w:cs="Simplified Arabic" w:hint="cs"/>
          <w:sz w:val="24"/>
          <w:szCs w:val="24"/>
          <w:rtl/>
          <w:lang w:val="en-US"/>
        </w:rPr>
        <w:t xml:space="preserve">، </w:t>
      </w:r>
      <w:r w:rsidR="002153AA">
        <w:rPr>
          <w:rFonts w:ascii="Simplified Arabic" w:hAnsi="Simplified Arabic" w:cs="Simplified Arabic"/>
          <w:sz w:val="24"/>
          <w:szCs w:val="24"/>
          <w:lang w:val="en-US"/>
        </w:rPr>
        <w:t>273</w:t>
      </w:r>
      <w:r w:rsidR="002153AA">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251</w:t>
      </w:r>
      <w:r w:rsidR="002153AA">
        <w:rPr>
          <w:rFonts w:ascii="Simplified Arabic" w:hAnsi="Simplified Arabic" w:cs="Simplified Arabic" w:hint="cs"/>
          <w:sz w:val="24"/>
          <w:szCs w:val="24"/>
          <w:rtl/>
          <w:lang w:val="en-US"/>
        </w:rPr>
        <w:t xml:space="preserve"> مفردة من العينة، </w:t>
      </w:r>
      <w:r w:rsidR="004927CB">
        <w:rPr>
          <w:rFonts w:ascii="Simplified Arabic" w:hAnsi="Simplified Arabic" w:cs="Simplified Arabic" w:hint="cs"/>
          <w:sz w:val="24"/>
          <w:szCs w:val="24"/>
          <w:rtl/>
          <w:lang w:val="en-US"/>
        </w:rPr>
        <w:t xml:space="preserve">يلي </w:t>
      </w:r>
      <w:r w:rsidR="002153AA">
        <w:rPr>
          <w:rFonts w:ascii="Simplified Arabic" w:hAnsi="Simplified Arabic" w:cs="Simplified Arabic" w:hint="cs"/>
          <w:sz w:val="24"/>
          <w:szCs w:val="24"/>
          <w:rtl/>
          <w:lang w:val="en-US"/>
        </w:rPr>
        <w:t xml:space="preserve">نسبة </w:t>
      </w:r>
      <w:r w:rsidR="004E0D6A">
        <w:rPr>
          <w:rFonts w:ascii="Simplified Arabic" w:hAnsi="Simplified Arabic" w:cs="Simplified Arabic" w:hint="cs"/>
          <w:sz w:val="24"/>
          <w:szCs w:val="24"/>
          <w:rtl/>
          <w:lang w:val="en-US"/>
        </w:rPr>
        <w:t xml:space="preserve">العينات المعبرة عن </w:t>
      </w:r>
      <w:r w:rsidR="002153AA">
        <w:rPr>
          <w:rFonts w:ascii="Simplified Arabic" w:hAnsi="Simplified Arabic" w:cs="Simplified Arabic" w:hint="cs"/>
          <w:sz w:val="24"/>
          <w:szCs w:val="24"/>
          <w:rtl/>
          <w:lang w:val="en-US"/>
        </w:rPr>
        <w:t xml:space="preserve">احتمال حدوث </w:t>
      </w:r>
      <w:r w:rsidR="004E0D6A">
        <w:rPr>
          <w:rFonts w:ascii="Simplified Arabic" w:hAnsi="Simplified Arabic" w:cs="Simplified Arabic" w:hint="cs"/>
          <w:sz w:val="24"/>
          <w:szCs w:val="24"/>
          <w:rtl/>
          <w:lang w:val="en-US"/>
        </w:rPr>
        <w:t>التصحر</w:t>
      </w:r>
      <w:r w:rsidR="002153AA">
        <w:rPr>
          <w:rFonts w:ascii="Simplified Arabic" w:hAnsi="Simplified Arabic" w:cs="Simplified Arabic" w:hint="cs"/>
          <w:sz w:val="24"/>
          <w:szCs w:val="24"/>
          <w:rtl/>
          <w:lang w:val="en-US"/>
        </w:rPr>
        <w:t xml:space="preserve"> </w:t>
      </w:r>
      <w:r w:rsidR="004E0D6A" w:rsidRPr="00205E51">
        <w:rPr>
          <w:rFonts w:ascii="Simplified Arabic" w:eastAsia="Times New Roman" w:hAnsi="Simplified Arabic" w:cs="Simplified Arabic"/>
          <w:color w:val="202124"/>
          <w:sz w:val="24"/>
          <w:szCs w:val="24"/>
          <w:rtl/>
          <w:lang w:eastAsia="fr-FR"/>
        </w:rPr>
        <w:t>(الترمل)</w:t>
      </w:r>
      <w:r w:rsidR="004E0D6A" w:rsidRPr="004E0D6A">
        <w:rPr>
          <w:rFonts w:ascii="Simplified Arabic" w:eastAsia="Times New Roman" w:hAnsi="Simplified Arabic" w:cs="Simplified Arabic"/>
          <w:color w:val="202124"/>
          <w:sz w:val="24"/>
          <w:szCs w:val="24"/>
          <w:lang w:eastAsia="fr-FR"/>
        </w:rPr>
        <w:t xml:space="preserve"> </w:t>
      </w:r>
      <w:r w:rsidR="002153AA">
        <w:rPr>
          <w:rFonts w:ascii="Simplified Arabic" w:hAnsi="Simplified Arabic" w:cs="Simplified Arabic" w:hint="cs"/>
          <w:sz w:val="24"/>
          <w:szCs w:val="24"/>
          <w:rtl/>
          <w:lang w:val="en-US"/>
        </w:rPr>
        <w:t>لنفس</w:t>
      </w:r>
      <w:r w:rsidR="002153AA" w:rsidRPr="000230BD">
        <w:rPr>
          <w:rFonts w:ascii="Simplified Arabic" w:hAnsi="Simplified Arabic" w:cs="Simplified Arabic"/>
          <w:sz w:val="24"/>
          <w:szCs w:val="24"/>
          <w:rtl/>
          <w:lang w:val="en-US"/>
        </w:rPr>
        <w:t xml:space="preserve"> </w:t>
      </w:r>
      <w:r w:rsidR="002153AA">
        <w:rPr>
          <w:rFonts w:ascii="Simplified Arabic" w:hAnsi="Simplified Arabic" w:cs="Simplified Arabic" w:hint="cs"/>
          <w:sz w:val="24"/>
          <w:szCs w:val="24"/>
          <w:rtl/>
          <w:lang w:val="en-US"/>
        </w:rPr>
        <w:t xml:space="preserve">الاحياء على التوالي: </w:t>
      </w:r>
      <w:r w:rsidR="004E0D6A">
        <w:rPr>
          <w:rFonts w:ascii="Simplified Arabic" w:hAnsi="Simplified Arabic" w:cs="Simplified Arabic"/>
          <w:sz w:val="24"/>
          <w:szCs w:val="24"/>
          <w:lang w:val="en-US"/>
        </w:rPr>
        <w:t>15</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06</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17</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92</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4E0D6A">
        <w:rPr>
          <w:rFonts w:ascii="Simplified Arabic" w:hAnsi="Simplified Arabic" w:cs="Simplified Arabic"/>
          <w:sz w:val="24"/>
          <w:szCs w:val="24"/>
          <w:lang w:val="en-US"/>
        </w:rPr>
        <w:t>22</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08</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24</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94</w:t>
      </w:r>
      <w:r w:rsidR="002153AA" w:rsidRPr="00A71970">
        <w:rPr>
          <w:rFonts w:ascii="Simplified Arabic" w:hAnsi="Simplified Arabic" w:cs="Simplified Arabic"/>
          <w:sz w:val="24"/>
          <w:szCs w:val="24"/>
          <w:rtl/>
          <w:lang w:val="en-US"/>
        </w:rPr>
        <w:t xml:space="preserve">٪ </w:t>
      </w:r>
      <w:r w:rsidR="002153AA">
        <w:rPr>
          <w:rFonts w:ascii="Simplified Arabic" w:hAnsi="Simplified Arabic" w:cs="Simplified Arabic" w:hint="cs"/>
          <w:sz w:val="24"/>
          <w:szCs w:val="24"/>
          <w:rtl/>
          <w:lang w:val="en-US"/>
        </w:rPr>
        <w:t>يقابلها</w:t>
      </w:r>
      <w:r w:rsidR="002153AA" w:rsidRPr="009F772D">
        <w:rPr>
          <w:rFonts w:ascii="Simplified Arabic" w:hAnsi="Simplified Arabic" w:cs="Simplified Arabic" w:hint="cs"/>
          <w:sz w:val="24"/>
          <w:szCs w:val="24"/>
          <w:rtl/>
          <w:lang w:val="en-US"/>
        </w:rPr>
        <w:t xml:space="preserve"> </w:t>
      </w:r>
      <w:r w:rsidR="002153AA">
        <w:rPr>
          <w:rFonts w:ascii="Simplified Arabic" w:hAnsi="Simplified Arabic" w:cs="Simplified Arabic" w:hint="cs"/>
          <w:sz w:val="24"/>
          <w:szCs w:val="24"/>
          <w:rtl/>
          <w:lang w:val="en-US"/>
        </w:rPr>
        <w:t xml:space="preserve">على التوالي </w:t>
      </w:r>
      <w:r w:rsidR="004E0D6A">
        <w:rPr>
          <w:rFonts w:ascii="Simplified Arabic" w:hAnsi="Simplified Arabic" w:cs="Simplified Arabic"/>
          <w:sz w:val="24"/>
          <w:szCs w:val="24"/>
          <w:lang w:val="en-US"/>
        </w:rPr>
        <w:t>58</w:t>
      </w:r>
      <w:r w:rsidR="002153AA">
        <w:rPr>
          <w:rFonts w:ascii="Simplified Arabic" w:hAnsi="Simplified Arabic" w:cs="Simplified Arabic" w:hint="cs"/>
          <w:sz w:val="24"/>
          <w:szCs w:val="24"/>
          <w:rtl/>
          <w:lang w:val="en-US"/>
        </w:rPr>
        <w:t xml:space="preserve">، </w:t>
      </w:r>
      <w:r w:rsidR="004E0D6A">
        <w:rPr>
          <w:rFonts w:ascii="Simplified Arabic" w:hAnsi="Simplified Arabic" w:cs="Simplified Arabic"/>
          <w:sz w:val="24"/>
          <w:szCs w:val="24"/>
          <w:lang w:val="en-US"/>
        </w:rPr>
        <w:t>69</w:t>
      </w:r>
      <w:r w:rsidR="002153AA">
        <w:rPr>
          <w:rFonts w:ascii="Simplified Arabic" w:hAnsi="Simplified Arabic" w:cs="Simplified Arabic" w:hint="cs"/>
          <w:sz w:val="24"/>
          <w:szCs w:val="24"/>
          <w:rtl/>
          <w:lang w:val="en-US"/>
        </w:rPr>
        <w:t xml:space="preserve">، </w:t>
      </w:r>
      <w:r w:rsidR="004E0D6A">
        <w:rPr>
          <w:rFonts w:ascii="Simplified Arabic" w:hAnsi="Simplified Arabic" w:cs="Simplified Arabic"/>
          <w:sz w:val="24"/>
          <w:szCs w:val="24"/>
          <w:lang w:val="en-US"/>
        </w:rPr>
        <w:t>85</w:t>
      </w:r>
      <w:r w:rsidR="002153AA">
        <w:rPr>
          <w:rFonts w:ascii="Simplified Arabic" w:hAnsi="Simplified Arabic" w:cs="Simplified Arabic" w:hint="cs"/>
          <w:sz w:val="24"/>
          <w:szCs w:val="24"/>
          <w:rtl/>
          <w:lang w:val="en-US"/>
        </w:rPr>
        <w:t xml:space="preserve">، </w:t>
      </w:r>
      <w:r w:rsidR="004E0D6A">
        <w:rPr>
          <w:rFonts w:ascii="Simplified Arabic" w:hAnsi="Simplified Arabic" w:cs="Simplified Arabic"/>
          <w:sz w:val="24"/>
          <w:szCs w:val="24"/>
          <w:lang w:val="en-US"/>
        </w:rPr>
        <w:t>96</w:t>
      </w:r>
      <w:r w:rsidR="002153AA">
        <w:rPr>
          <w:rFonts w:ascii="Simplified Arabic" w:hAnsi="Simplified Arabic" w:cs="Simplified Arabic" w:hint="cs"/>
          <w:sz w:val="24"/>
          <w:szCs w:val="24"/>
          <w:rtl/>
          <w:lang w:val="en-US"/>
        </w:rPr>
        <w:t xml:space="preserve"> مفردة من العينة، </w:t>
      </w:r>
      <w:r w:rsidR="004927CB">
        <w:rPr>
          <w:rFonts w:ascii="Simplified Arabic" w:hAnsi="Simplified Arabic" w:cs="Simplified Arabic" w:hint="cs"/>
          <w:sz w:val="24"/>
          <w:szCs w:val="24"/>
          <w:rtl/>
          <w:lang w:val="en-US"/>
        </w:rPr>
        <w:t xml:space="preserve">يأتي ثالثا </w:t>
      </w:r>
      <w:r w:rsidR="004927CB" w:rsidRPr="000230BD">
        <w:rPr>
          <w:rFonts w:ascii="Simplified Arabic" w:hAnsi="Simplified Arabic" w:cs="Simplified Arabic" w:hint="cs"/>
          <w:sz w:val="24"/>
          <w:szCs w:val="24"/>
          <w:rtl/>
          <w:lang w:val="en-US"/>
        </w:rPr>
        <w:t>نسبة</w:t>
      </w:r>
      <w:r w:rsidR="004927CB" w:rsidRPr="000230BD">
        <w:rPr>
          <w:rFonts w:ascii="Simplified Arabic" w:hAnsi="Simplified Arabic" w:cs="Simplified Arabic"/>
          <w:sz w:val="24"/>
          <w:szCs w:val="24"/>
          <w:rtl/>
          <w:lang w:val="en-US"/>
        </w:rPr>
        <w:t xml:space="preserve"> </w:t>
      </w:r>
      <w:r w:rsidR="004927CB">
        <w:rPr>
          <w:rFonts w:ascii="Simplified Arabic" w:hAnsi="Simplified Arabic" w:cs="Simplified Arabic" w:hint="cs"/>
          <w:sz w:val="24"/>
          <w:szCs w:val="24"/>
          <w:rtl/>
          <w:lang w:val="en-US"/>
        </w:rPr>
        <w:t>احتمال خطر الزلازل</w:t>
      </w:r>
      <w:r w:rsidR="002153AA">
        <w:rPr>
          <w:rFonts w:ascii="Simplified Arabic" w:hAnsi="Simplified Arabic" w:cs="Simplified Arabic"/>
          <w:sz w:val="24"/>
          <w:szCs w:val="24"/>
          <w:lang w:val="en-US"/>
        </w:rPr>
        <w:t xml:space="preserve"> </w:t>
      </w:r>
      <w:r w:rsidR="002153AA" w:rsidRPr="000230BD">
        <w:rPr>
          <w:rFonts w:ascii="Simplified Arabic" w:hAnsi="Simplified Arabic" w:cs="Simplified Arabic"/>
          <w:sz w:val="24"/>
          <w:szCs w:val="24"/>
          <w:rtl/>
          <w:lang w:val="en-US"/>
        </w:rPr>
        <w:t xml:space="preserve"> </w:t>
      </w:r>
      <w:r w:rsidR="002153AA">
        <w:rPr>
          <w:rFonts w:ascii="Simplified Arabic" w:hAnsi="Simplified Arabic" w:cs="Simplified Arabic" w:hint="cs"/>
          <w:sz w:val="24"/>
          <w:szCs w:val="24"/>
          <w:rtl/>
          <w:lang w:val="en-US"/>
        </w:rPr>
        <w:t>لنفس</w:t>
      </w:r>
      <w:r w:rsidR="002153AA" w:rsidRPr="000230BD">
        <w:rPr>
          <w:rFonts w:ascii="Simplified Arabic" w:hAnsi="Simplified Arabic" w:cs="Simplified Arabic"/>
          <w:sz w:val="24"/>
          <w:szCs w:val="24"/>
          <w:rtl/>
          <w:lang w:val="en-US"/>
        </w:rPr>
        <w:t xml:space="preserve"> </w:t>
      </w:r>
      <w:r w:rsidR="002153AA">
        <w:rPr>
          <w:rFonts w:ascii="Simplified Arabic" w:hAnsi="Simplified Arabic" w:cs="Simplified Arabic" w:hint="cs"/>
          <w:sz w:val="24"/>
          <w:szCs w:val="24"/>
          <w:rtl/>
          <w:lang w:val="en-US"/>
        </w:rPr>
        <w:t xml:space="preserve">الاحياء على التوالي: </w:t>
      </w:r>
      <w:r w:rsidR="009921F6">
        <w:rPr>
          <w:rFonts w:ascii="Simplified Arabic" w:hAnsi="Simplified Arabic" w:cs="Simplified Arabic"/>
          <w:sz w:val="24"/>
          <w:szCs w:val="24"/>
          <w:lang w:val="en-US"/>
        </w:rPr>
        <w:t>2</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08</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2</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08</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3</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w:t>
      </w:r>
      <w:r w:rsidR="002153AA">
        <w:rPr>
          <w:rFonts w:ascii="Simplified Arabic" w:hAnsi="Simplified Arabic" w:cs="Simplified Arabic"/>
          <w:sz w:val="24"/>
          <w:szCs w:val="24"/>
          <w:rtl/>
          <w:lang w:val="en-US"/>
        </w:rPr>
        <w:t>٪</w:t>
      </w:r>
      <w:r w:rsidR="002153AA"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5</w:t>
      </w:r>
      <w:r w:rsidR="002153AA"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97</w:t>
      </w:r>
      <w:r w:rsidR="002153AA" w:rsidRPr="00A71970">
        <w:rPr>
          <w:rFonts w:ascii="Simplified Arabic" w:hAnsi="Simplified Arabic" w:cs="Simplified Arabic"/>
          <w:sz w:val="24"/>
          <w:szCs w:val="24"/>
          <w:rtl/>
          <w:lang w:val="en-US"/>
        </w:rPr>
        <w:t xml:space="preserve">٪ </w:t>
      </w:r>
      <w:r w:rsidR="002153AA">
        <w:rPr>
          <w:rFonts w:ascii="Simplified Arabic" w:hAnsi="Simplified Arabic" w:cs="Simplified Arabic" w:hint="cs"/>
          <w:sz w:val="24"/>
          <w:szCs w:val="24"/>
          <w:rtl/>
          <w:lang w:val="en-US"/>
        </w:rPr>
        <w:t>يقابلها</w:t>
      </w:r>
      <w:r w:rsidR="002153AA" w:rsidRPr="009F772D">
        <w:rPr>
          <w:rFonts w:ascii="Simplified Arabic" w:hAnsi="Simplified Arabic" w:cs="Simplified Arabic" w:hint="cs"/>
          <w:sz w:val="24"/>
          <w:szCs w:val="24"/>
          <w:rtl/>
          <w:lang w:val="en-US"/>
        </w:rPr>
        <w:t xml:space="preserve"> </w:t>
      </w:r>
      <w:r w:rsidR="002153AA">
        <w:rPr>
          <w:rFonts w:ascii="Simplified Arabic" w:hAnsi="Simplified Arabic" w:cs="Simplified Arabic" w:hint="cs"/>
          <w:sz w:val="24"/>
          <w:szCs w:val="24"/>
          <w:rtl/>
          <w:lang w:val="en-US"/>
        </w:rPr>
        <w:t xml:space="preserve">على التوالي </w:t>
      </w:r>
      <w:r w:rsidR="00126AC7">
        <w:rPr>
          <w:rFonts w:ascii="Simplified Arabic" w:hAnsi="Simplified Arabic" w:cs="Simplified Arabic"/>
          <w:sz w:val="24"/>
          <w:szCs w:val="24"/>
          <w:lang w:val="en-US"/>
        </w:rPr>
        <w:t>8</w:t>
      </w:r>
      <w:r w:rsidR="002153AA">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8</w:t>
      </w:r>
      <w:r w:rsidR="002153AA">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15</w:t>
      </w:r>
      <w:r w:rsidR="002153AA">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23</w:t>
      </w:r>
      <w:r w:rsidR="002153AA">
        <w:rPr>
          <w:rFonts w:ascii="Simplified Arabic" w:hAnsi="Simplified Arabic" w:cs="Simplified Arabic" w:hint="cs"/>
          <w:sz w:val="24"/>
          <w:szCs w:val="24"/>
          <w:rtl/>
          <w:lang w:val="en-US"/>
        </w:rPr>
        <w:t xml:space="preserve"> مفردة من العينة، </w:t>
      </w:r>
      <w:r w:rsidR="004927CB">
        <w:rPr>
          <w:rFonts w:ascii="Simplified Arabic" w:hAnsi="Simplified Arabic" w:cs="Simplified Arabic" w:hint="cs"/>
          <w:sz w:val="24"/>
          <w:szCs w:val="24"/>
          <w:rtl/>
        </w:rPr>
        <w:t>كان الاحتمال الاقل حدوثا للمخاطر هو خطر انزلاق التربة ب</w:t>
      </w:r>
      <w:r w:rsidR="004927CB">
        <w:rPr>
          <w:rFonts w:ascii="Simplified Arabic" w:hAnsi="Simplified Arabic" w:cs="Simplified Arabic" w:hint="cs"/>
          <w:sz w:val="24"/>
          <w:szCs w:val="24"/>
          <w:rtl/>
          <w:lang w:val="en-US"/>
        </w:rPr>
        <w:t xml:space="preserve">نسبة على التوالي: </w:t>
      </w:r>
      <w:r w:rsidR="00126AC7">
        <w:rPr>
          <w:rFonts w:ascii="Simplified Arabic" w:hAnsi="Simplified Arabic" w:cs="Simplified Arabic"/>
          <w:sz w:val="24"/>
          <w:szCs w:val="24"/>
          <w:lang w:val="en-US"/>
        </w:rPr>
        <w:t>1</w:t>
      </w:r>
      <w:r w:rsidR="004927CB"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04</w:t>
      </w:r>
      <w:r w:rsidR="004927CB">
        <w:rPr>
          <w:rFonts w:ascii="Simplified Arabic" w:hAnsi="Simplified Arabic" w:cs="Simplified Arabic"/>
          <w:sz w:val="24"/>
          <w:szCs w:val="24"/>
          <w:rtl/>
          <w:lang w:val="en-US"/>
        </w:rPr>
        <w:t>٪</w:t>
      </w:r>
      <w:r w:rsidR="004927CB" w:rsidRPr="00220BB6">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2</w:t>
      </w:r>
      <w:r w:rsidR="004927CB"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08</w:t>
      </w:r>
      <w:r w:rsidR="004927CB">
        <w:rPr>
          <w:rFonts w:ascii="Simplified Arabic" w:hAnsi="Simplified Arabic" w:cs="Simplified Arabic"/>
          <w:sz w:val="24"/>
          <w:szCs w:val="24"/>
          <w:rtl/>
          <w:lang w:val="en-US"/>
        </w:rPr>
        <w:t>٪</w:t>
      </w:r>
      <w:r w:rsidR="004927CB" w:rsidRPr="00220BB6">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3</w:t>
      </w:r>
      <w:r w:rsidR="004927CB"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12</w:t>
      </w:r>
      <w:r w:rsidR="004927CB">
        <w:rPr>
          <w:rFonts w:ascii="Simplified Arabic" w:hAnsi="Simplified Arabic" w:cs="Simplified Arabic"/>
          <w:sz w:val="24"/>
          <w:szCs w:val="24"/>
          <w:rtl/>
          <w:lang w:val="en-US"/>
        </w:rPr>
        <w:t>٪</w:t>
      </w:r>
      <w:r w:rsidR="004927CB" w:rsidRPr="00220BB6">
        <w:rPr>
          <w:rFonts w:ascii="Simplified Arabic" w:hAnsi="Simplified Arabic" w:cs="Simplified Arabic" w:hint="cs"/>
          <w:sz w:val="24"/>
          <w:szCs w:val="24"/>
          <w:rtl/>
          <w:lang w:val="en-US"/>
        </w:rPr>
        <w:t xml:space="preserve">، </w:t>
      </w:r>
      <w:r w:rsidR="009921F6">
        <w:rPr>
          <w:rFonts w:ascii="Simplified Arabic" w:hAnsi="Simplified Arabic" w:cs="Simplified Arabic"/>
          <w:sz w:val="24"/>
          <w:szCs w:val="24"/>
          <w:lang w:val="en-US"/>
        </w:rPr>
        <w:t>3</w:t>
      </w:r>
      <w:r w:rsidR="004927CB"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90</w:t>
      </w:r>
      <w:r w:rsidR="004927CB" w:rsidRPr="00A71970">
        <w:rPr>
          <w:rFonts w:ascii="Simplified Arabic" w:hAnsi="Simplified Arabic" w:cs="Simplified Arabic"/>
          <w:sz w:val="24"/>
          <w:szCs w:val="24"/>
          <w:rtl/>
          <w:lang w:val="en-US"/>
        </w:rPr>
        <w:t xml:space="preserve">٪ </w:t>
      </w:r>
      <w:r w:rsidR="004927CB">
        <w:rPr>
          <w:rFonts w:ascii="Simplified Arabic" w:hAnsi="Simplified Arabic" w:cs="Simplified Arabic" w:hint="cs"/>
          <w:sz w:val="24"/>
          <w:szCs w:val="24"/>
          <w:rtl/>
          <w:lang w:val="en-US"/>
        </w:rPr>
        <w:t>يقابلها</w:t>
      </w:r>
      <w:r w:rsidR="004927CB" w:rsidRPr="009F772D">
        <w:rPr>
          <w:rFonts w:ascii="Simplified Arabic" w:hAnsi="Simplified Arabic" w:cs="Simplified Arabic" w:hint="cs"/>
          <w:sz w:val="24"/>
          <w:szCs w:val="24"/>
          <w:rtl/>
          <w:lang w:val="en-US"/>
        </w:rPr>
        <w:t xml:space="preserve"> </w:t>
      </w:r>
      <w:r w:rsidR="004927CB">
        <w:rPr>
          <w:rFonts w:ascii="Simplified Arabic" w:hAnsi="Simplified Arabic" w:cs="Simplified Arabic" w:hint="cs"/>
          <w:sz w:val="24"/>
          <w:szCs w:val="24"/>
          <w:rtl/>
          <w:lang w:val="en-US"/>
        </w:rPr>
        <w:t xml:space="preserve">على التوالي </w:t>
      </w:r>
      <w:r w:rsidR="00126AC7">
        <w:rPr>
          <w:rFonts w:ascii="Simplified Arabic" w:hAnsi="Simplified Arabic" w:cs="Simplified Arabic"/>
          <w:sz w:val="24"/>
          <w:szCs w:val="24"/>
          <w:lang w:val="en-US"/>
        </w:rPr>
        <w:t>4</w:t>
      </w:r>
      <w:r w:rsidR="004927CB">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8</w:t>
      </w:r>
      <w:r w:rsidR="004927CB">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12</w:t>
      </w:r>
      <w:r w:rsidR="004927CB">
        <w:rPr>
          <w:rFonts w:ascii="Simplified Arabic" w:hAnsi="Simplified Arabic" w:cs="Simplified Arabic" w:hint="cs"/>
          <w:sz w:val="24"/>
          <w:szCs w:val="24"/>
          <w:rtl/>
          <w:lang w:val="en-US"/>
        </w:rPr>
        <w:t xml:space="preserve">، </w:t>
      </w:r>
      <w:r w:rsidR="00126AC7">
        <w:rPr>
          <w:rFonts w:ascii="Simplified Arabic" w:hAnsi="Simplified Arabic" w:cs="Simplified Arabic"/>
          <w:sz w:val="24"/>
          <w:szCs w:val="24"/>
          <w:lang w:val="en-US"/>
        </w:rPr>
        <w:t>15</w:t>
      </w:r>
      <w:r w:rsidR="004927CB">
        <w:rPr>
          <w:rFonts w:ascii="Simplified Arabic" w:hAnsi="Simplified Arabic" w:cs="Simplified Arabic" w:hint="cs"/>
          <w:sz w:val="24"/>
          <w:szCs w:val="24"/>
          <w:rtl/>
          <w:lang w:val="en-US"/>
        </w:rPr>
        <w:t xml:space="preserve"> مفردة من العينة. </w:t>
      </w:r>
      <w:r>
        <w:rPr>
          <w:rFonts w:ascii="Simplified Arabic" w:hAnsi="Simplified Arabic" w:cs="Simplified Arabic" w:hint="cs"/>
          <w:sz w:val="24"/>
          <w:szCs w:val="24"/>
          <w:rtl/>
        </w:rPr>
        <w:t xml:space="preserve">الظاهر ان نسبة احتمال حدوث مخاطر </w:t>
      </w:r>
      <w:r w:rsidR="004927CB">
        <w:rPr>
          <w:rFonts w:ascii="Simplified Arabic" w:hAnsi="Simplified Arabic" w:cs="Simplified Arabic" w:hint="cs"/>
          <w:sz w:val="24"/>
          <w:szCs w:val="24"/>
          <w:rtl/>
        </w:rPr>
        <w:t>حرائق الغابات</w:t>
      </w:r>
      <w:r w:rsidRPr="00522DCD">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منعدمة، راجع الى ن</w:t>
      </w:r>
      <w:r w:rsidR="004927CB">
        <w:rPr>
          <w:rFonts w:ascii="Simplified Arabic" w:hAnsi="Simplified Arabic" w:cs="Simplified Arabic" w:hint="cs"/>
          <w:sz w:val="24"/>
          <w:szCs w:val="24"/>
          <w:rtl/>
        </w:rPr>
        <w:t>درة الغطاء النباتي بوسط المدينة وما جاورها</w:t>
      </w:r>
      <w:r>
        <w:rPr>
          <w:rFonts w:ascii="Simplified Arabic" w:hAnsi="Simplified Arabic" w:cs="Simplified Arabic" w:hint="cs"/>
          <w:sz w:val="24"/>
          <w:szCs w:val="24"/>
          <w:rtl/>
        </w:rPr>
        <w:t>.</w:t>
      </w:r>
    </w:p>
    <w:p w:rsidR="00C121B0" w:rsidRDefault="00C121B0" w:rsidP="004927CB">
      <w:pPr>
        <w:bidi/>
        <w:spacing w:after="0"/>
        <w:ind w:firstLine="282"/>
        <w:jc w:val="both"/>
        <w:rPr>
          <w:rFonts w:ascii="Simplified Arabic" w:hAnsi="Simplified Arabic" w:cs="Simplified Arabic"/>
          <w:sz w:val="24"/>
          <w:szCs w:val="24"/>
          <w:lang w:val="en-US"/>
        </w:rPr>
      </w:pPr>
      <w:r>
        <w:rPr>
          <w:rFonts w:ascii="Simplified Arabic" w:hAnsi="Simplified Arabic" w:cs="Simplified Arabic" w:hint="cs"/>
          <w:sz w:val="24"/>
          <w:szCs w:val="24"/>
          <w:rtl/>
          <w:lang w:val="en-US"/>
        </w:rPr>
        <w:t>من خلال</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نتائج</w:t>
      </w:r>
      <w:r>
        <w:rPr>
          <w:rFonts w:ascii="Simplified Arabic" w:hAnsi="Simplified Arabic" w:cs="Simplified Arabic" w:hint="cs"/>
          <w:sz w:val="24"/>
          <w:szCs w:val="24"/>
          <w:rtl/>
          <w:lang w:val="en-US"/>
        </w:rPr>
        <w:t xml:space="preserve"> ردود العينات</w:t>
      </w:r>
      <w:r>
        <w:rPr>
          <w:rFonts w:asciiTheme="majorBidi" w:eastAsia="Times New Roman" w:hAnsiTheme="majorBidi" w:cstheme="majorBidi" w:hint="cs"/>
          <w:b/>
          <w:color w:val="000000" w:themeColor="text1"/>
          <w:sz w:val="24"/>
          <w:szCs w:val="24"/>
          <w:rtl/>
          <w:lang w:eastAsia="fr-FR"/>
        </w:rPr>
        <w:t xml:space="preserve"> </w:t>
      </w:r>
      <w:r>
        <w:rPr>
          <w:rFonts w:ascii="Simplified Arabic" w:hAnsi="Simplified Arabic" w:cs="Simplified Arabic" w:hint="cs"/>
          <w:sz w:val="24"/>
          <w:szCs w:val="24"/>
          <w:rtl/>
          <w:lang w:val="en-US"/>
        </w:rPr>
        <w:t>المدرجة في الشكل (</w:t>
      </w:r>
      <w:r w:rsidR="008F7575">
        <w:rPr>
          <w:rFonts w:ascii="Simplified Arabic" w:hAnsi="Simplified Arabic" w:cs="Simplified Arabic" w:hint="cs"/>
          <w:sz w:val="24"/>
          <w:szCs w:val="24"/>
          <w:rtl/>
          <w:lang w:val="en-US"/>
        </w:rPr>
        <w:t>5-</w:t>
      </w:r>
      <w:r w:rsidR="004927CB">
        <w:rPr>
          <w:rFonts w:ascii="Simplified Arabic" w:hAnsi="Simplified Arabic" w:cs="Simplified Arabic" w:hint="cs"/>
          <w:sz w:val="24"/>
          <w:szCs w:val="24"/>
          <w:rtl/>
          <w:lang w:val="en-US"/>
        </w:rPr>
        <w:t>13</w:t>
      </w:r>
      <w:r>
        <w:rPr>
          <w:rFonts w:ascii="Simplified Arabic" w:hAnsi="Simplified Arabic" w:cs="Simplified Arabic" w:hint="cs"/>
          <w:sz w:val="24"/>
          <w:szCs w:val="24"/>
          <w:rtl/>
          <w:lang w:val="en-US"/>
        </w:rPr>
        <w:t xml:space="preserve">)، يتبين </w:t>
      </w:r>
      <w:r w:rsidRPr="00471092">
        <w:rPr>
          <w:rFonts w:ascii="Simplified Arabic" w:hAnsi="Simplified Arabic" w:cs="Simplified Arabic" w:hint="cs"/>
          <w:sz w:val="24"/>
          <w:szCs w:val="24"/>
          <w:rtl/>
          <w:lang w:val="en-US"/>
        </w:rPr>
        <w:t>أن</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w:t>
      </w:r>
      <w:r w:rsidRPr="00471092">
        <w:rPr>
          <w:rFonts w:ascii="Simplified Arabic" w:hAnsi="Simplified Arabic" w:cs="Simplified Arabic" w:hint="cs"/>
          <w:sz w:val="24"/>
          <w:szCs w:val="24"/>
          <w:rtl/>
          <w:lang w:val="en-US"/>
        </w:rPr>
        <w:t>مستويات</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العامة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للمعرفة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بالمخاطر</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في</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المدينة</w:t>
      </w:r>
      <w:r>
        <w:rPr>
          <w:rFonts w:ascii="Simplified Arabic" w:hAnsi="Simplified Arabic" w:cs="Simplified Arabic" w:hint="cs"/>
          <w:sz w:val="24"/>
          <w:szCs w:val="24"/>
          <w:rtl/>
          <w:lang w:val="en-US"/>
        </w:rPr>
        <w:t xml:space="preserve"> تركز على خطر الفيضانات وهي الاكثر حدوثا.</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بالتالي، يظهر ان الاحياء</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w:t>
      </w:r>
      <w:r w:rsidRPr="00471092">
        <w:rPr>
          <w:rFonts w:ascii="Simplified Arabic" w:hAnsi="Simplified Arabic" w:cs="Simplified Arabic" w:hint="cs"/>
          <w:sz w:val="24"/>
          <w:szCs w:val="24"/>
          <w:rtl/>
          <w:lang w:val="en-US"/>
        </w:rPr>
        <w:t>عرضة</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حقيقةً</w:t>
      </w:r>
      <w:r w:rsidRPr="00471092">
        <w:rPr>
          <w:rFonts w:ascii="Simplified Arabic" w:hAnsi="Simplified Arabic" w:cs="Simplified Arabic"/>
          <w:sz w:val="24"/>
          <w:szCs w:val="24"/>
          <w:rtl/>
          <w:lang w:val="en-US"/>
        </w:rPr>
        <w:t xml:space="preserve"> </w:t>
      </w:r>
      <w:r w:rsidRPr="00471092">
        <w:rPr>
          <w:rFonts w:ascii="Simplified Arabic" w:hAnsi="Simplified Arabic" w:cs="Simplified Arabic" w:hint="cs"/>
          <w:sz w:val="24"/>
          <w:szCs w:val="24"/>
          <w:rtl/>
          <w:lang w:val="en-US"/>
        </w:rPr>
        <w:t>للفيضان</w:t>
      </w:r>
      <w:r>
        <w:rPr>
          <w:rFonts w:ascii="Simplified Arabic" w:hAnsi="Simplified Arabic" w:cs="Simplified Arabic" w:hint="cs"/>
          <w:sz w:val="24"/>
          <w:szCs w:val="24"/>
          <w:rtl/>
          <w:lang w:val="en-US"/>
        </w:rPr>
        <w:t>ات</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هي</w:t>
      </w:r>
      <w:r w:rsidRPr="00471092">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سيدي سليمان،</w:t>
      </w:r>
      <w:r w:rsidR="004927CB">
        <w:rPr>
          <w:rFonts w:ascii="Simplified Arabic" w:hAnsi="Simplified Arabic" w:cs="Simplified Arabic" w:hint="cs"/>
          <w:sz w:val="24"/>
          <w:szCs w:val="24"/>
          <w:rtl/>
          <w:lang w:val="en-US"/>
        </w:rPr>
        <w:t xml:space="preserve"> ميطر، </w:t>
      </w:r>
      <w:r>
        <w:rPr>
          <w:rFonts w:ascii="Simplified Arabic" w:hAnsi="Simplified Arabic" w:cs="Simplified Arabic" w:hint="cs"/>
          <w:sz w:val="24"/>
          <w:szCs w:val="24"/>
          <w:rtl/>
          <w:lang w:val="en-US"/>
        </w:rPr>
        <w:t>الحمايد</w:t>
      </w:r>
      <w:r w:rsidR="004927CB">
        <w:rPr>
          <w:rFonts w:ascii="Simplified Arabic" w:hAnsi="Simplified Arabic" w:cs="Simplified Arabic" w:hint="cs"/>
          <w:sz w:val="24"/>
          <w:szCs w:val="24"/>
          <w:rtl/>
          <w:lang w:val="en-US"/>
        </w:rPr>
        <w:t xml:space="preserve"> والباطن.</w:t>
      </w:r>
      <w:r>
        <w:rPr>
          <w:rFonts w:ascii="Simplified Arabic" w:hAnsi="Simplified Arabic" w:cs="Simplified Arabic" w:hint="cs"/>
          <w:sz w:val="24"/>
          <w:szCs w:val="24"/>
          <w:rtl/>
          <w:lang w:val="en-US"/>
        </w:rPr>
        <w:t xml:space="preserve"> </w:t>
      </w:r>
    </w:p>
    <w:p w:rsidR="002E7B86" w:rsidRDefault="00C121B0" w:rsidP="00C840FB">
      <w:pPr>
        <w:pStyle w:val="fegure"/>
        <w:spacing w:before="240"/>
        <w:rPr>
          <w:sz w:val="8"/>
          <w:szCs w:val="24"/>
          <w:rtl/>
          <w:lang w:val="en-US"/>
        </w:rPr>
      </w:pPr>
      <w:bookmarkStart w:id="738" w:name="_Toc157608344"/>
      <w:bookmarkStart w:id="739" w:name="_Toc171803740"/>
      <w:r w:rsidRPr="00DA50D1">
        <w:rPr>
          <w:rFonts w:hint="cs"/>
          <w:sz w:val="8"/>
          <w:szCs w:val="24"/>
          <w:rtl/>
          <w:lang w:val="en-US"/>
        </w:rPr>
        <w:t>الشكل</w:t>
      </w:r>
      <w:r w:rsidRPr="00DA50D1">
        <w:rPr>
          <w:sz w:val="8"/>
          <w:szCs w:val="24"/>
          <w:rtl/>
          <w:lang w:val="en-US"/>
        </w:rPr>
        <w:t xml:space="preserve"> </w:t>
      </w:r>
      <w:r w:rsidRPr="00DA50D1">
        <w:rPr>
          <w:rFonts w:hint="cs"/>
          <w:sz w:val="8"/>
          <w:szCs w:val="24"/>
          <w:rtl/>
          <w:lang w:val="en-US"/>
        </w:rPr>
        <w:t>(</w:t>
      </w:r>
      <w:r w:rsidR="008F7575" w:rsidRPr="00DA50D1">
        <w:rPr>
          <w:rFonts w:hint="cs"/>
          <w:sz w:val="8"/>
          <w:szCs w:val="24"/>
          <w:rtl/>
          <w:lang w:val="en-US"/>
        </w:rPr>
        <w:t>5-</w:t>
      </w:r>
      <w:r w:rsidR="000B3B52" w:rsidRPr="00DA50D1">
        <w:rPr>
          <w:rFonts w:hint="cs"/>
          <w:sz w:val="8"/>
          <w:szCs w:val="24"/>
          <w:rtl/>
          <w:lang w:val="en-US"/>
        </w:rPr>
        <w:t>13</w:t>
      </w:r>
      <w:r w:rsidRPr="00DA50D1">
        <w:rPr>
          <w:rFonts w:hint="cs"/>
          <w:sz w:val="8"/>
          <w:szCs w:val="24"/>
          <w:rtl/>
          <w:lang w:val="en-US"/>
        </w:rPr>
        <w:t>)</w:t>
      </w:r>
      <w:r w:rsidRPr="00DA50D1">
        <w:rPr>
          <w:sz w:val="8"/>
          <w:szCs w:val="24"/>
          <w:rtl/>
          <w:lang w:val="en-US"/>
        </w:rPr>
        <w:t xml:space="preserve">: </w:t>
      </w:r>
      <w:r w:rsidR="002E7B86" w:rsidRPr="00DA50D1">
        <w:rPr>
          <w:rFonts w:hint="cs"/>
          <w:sz w:val="8"/>
          <w:szCs w:val="24"/>
          <w:rtl/>
          <w:lang w:val="en-US"/>
        </w:rPr>
        <w:t>توزيع أفراد عيّنة</w:t>
      </w:r>
      <w:r w:rsidR="002E7B86" w:rsidRPr="00DA50D1">
        <w:rPr>
          <w:rFonts w:hint="cs"/>
          <w:sz w:val="8"/>
          <w:szCs w:val="24"/>
          <w:rtl/>
        </w:rPr>
        <w:t xml:space="preserve"> ادراك حدوث </w:t>
      </w:r>
      <w:r w:rsidR="002E7B86" w:rsidRPr="00DA50D1">
        <w:rPr>
          <w:sz w:val="8"/>
          <w:szCs w:val="24"/>
          <w:rtl/>
        </w:rPr>
        <w:t xml:space="preserve">مخاطر طبيعية </w:t>
      </w:r>
      <w:r w:rsidR="002E7B86" w:rsidRPr="00DA50D1">
        <w:rPr>
          <w:rFonts w:hint="cs"/>
          <w:sz w:val="8"/>
          <w:szCs w:val="24"/>
          <w:rtl/>
        </w:rPr>
        <w:t>ب</w:t>
      </w:r>
      <w:r w:rsidR="002E7B86" w:rsidRPr="00DA50D1">
        <w:rPr>
          <w:sz w:val="8"/>
          <w:szCs w:val="24"/>
          <w:rtl/>
        </w:rPr>
        <w:t>مدينة بوسعادة</w:t>
      </w:r>
      <w:bookmarkEnd w:id="738"/>
      <w:bookmarkEnd w:id="739"/>
      <w:r w:rsidR="002E7B86" w:rsidRPr="00DA50D1">
        <w:rPr>
          <w:rFonts w:hint="cs"/>
          <w:sz w:val="8"/>
          <w:szCs w:val="24"/>
          <w:rtl/>
          <w:lang w:val="en-US"/>
        </w:rPr>
        <w:t xml:space="preserve"> </w:t>
      </w:r>
    </w:p>
    <w:p w:rsidR="00C840FB" w:rsidRPr="00DA50D1" w:rsidRDefault="00C840FB" w:rsidP="00C840FB">
      <w:pPr>
        <w:pStyle w:val="fegure"/>
        <w:rPr>
          <w:sz w:val="8"/>
          <w:szCs w:val="24"/>
          <w:rtl/>
          <w:lang w:val="en-US" w:bidi="ar-DZ"/>
        </w:rPr>
      </w:pPr>
      <w:bookmarkStart w:id="740" w:name="_Toc171803741"/>
      <w:r>
        <w:rPr>
          <w:rFonts w:hint="cs"/>
          <w:sz w:val="8"/>
          <w:szCs w:val="24"/>
          <w:rtl/>
          <w:lang w:val="en-US"/>
        </w:rPr>
        <w:t>المصدر: (الباحث، 2022)</w:t>
      </w:r>
      <w:bookmarkEnd w:id="740"/>
    </w:p>
    <w:p w:rsidR="00126AC7" w:rsidRDefault="00126AC7" w:rsidP="004E006F">
      <w:pPr>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4EE89581" wp14:editId="4BBC4F1A">
            <wp:extent cx="3545456" cy="1923690"/>
            <wp:effectExtent l="0" t="0" r="17145" b="19685"/>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7"/>
              </a:graphicData>
            </a:graphic>
          </wp:inline>
        </w:drawing>
      </w:r>
    </w:p>
    <w:p w:rsidR="00C121B0" w:rsidRPr="002563B2" w:rsidRDefault="00F557E1" w:rsidP="001D0548">
      <w:pPr>
        <w:pStyle w:val="Paragraphedeliste"/>
        <w:numPr>
          <w:ilvl w:val="0"/>
          <w:numId w:val="177"/>
        </w:numPr>
        <w:tabs>
          <w:tab w:val="right" w:pos="850"/>
        </w:tabs>
        <w:bidi/>
        <w:spacing w:before="240" w:after="0"/>
        <w:ind w:left="-1" w:firstLine="568"/>
        <w:jc w:val="both"/>
        <w:rPr>
          <w:rFonts w:ascii="Simplified Arabic" w:hAnsi="Simplified Arabic" w:cs="Simplified Arabic"/>
          <w:b/>
          <w:bCs/>
          <w:sz w:val="24"/>
          <w:szCs w:val="24"/>
          <w:shd w:val="clear" w:color="auto" w:fill="B6DDE8" w:themeFill="accent5" w:themeFillTint="66"/>
          <w:rtl/>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9B4ED1">
        <w:rPr>
          <w:rFonts w:ascii="Simplified Arabic" w:hAnsi="Simplified Arabic" w:cs="Simplified Arabic" w:hint="cs"/>
          <w:b/>
          <w:bCs/>
          <w:sz w:val="24"/>
          <w:szCs w:val="24"/>
          <w:rtl/>
        </w:rPr>
        <w:t>ال</w:t>
      </w:r>
      <w:r w:rsidR="00710D6A">
        <w:rPr>
          <w:rFonts w:ascii="Simplified Arabic" w:hAnsi="Simplified Arabic" w:cs="Simplified Arabic" w:hint="cs"/>
          <w:b/>
          <w:bCs/>
          <w:sz w:val="24"/>
          <w:szCs w:val="24"/>
          <w:rtl/>
        </w:rPr>
        <w:t xml:space="preserve">ادراك </w:t>
      </w:r>
      <w:r w:rsidR="009B4ED1">
        <w:rPr>
          <w:rFonts w:ascii="Simplified Arabic" w:hAnsi="Simplified Arabic" w:cs="Simplified Arabic" w:hint="cs"/>
          <w:b/>
          <w:bCs/>
          <w:sz w:val="24"/>
          <w:szCs w:val="24"/>
          <w:rtl/>
        </w:rPr>
        <w:t>ب</w:t>
      </w:r>
      <w:r w:rsidR="00710D6A">
        <w:rPr>
          <w:rFonts w:ascii="Simplified Arabic" w:hAnsi="Simplified Arabic" w:cs="Simplified Arabic" w:hint="cs"/>
          <w:b/>
          <w:bCs/>
          <w:sz w:val="24"/>
          <w:szCs w:val="24"/>
          <w:rtl/>
        </w:rPr>
        <w:t>تكرار</w:t>
      </w:r>
      <w:r>
        <w:rPr>
          <w:rFonts w:ascii="Simplified Arabic" w:hAnsi="Simplified Arabic" w:cs="Simplified Arabic" w:hint="cs"/>
          <w:b/>
          <w:bCs/>
          <w:sz w:val="24"/>
          <w:szCs w:val="24"/>
          <w:rtl/>
        </w:rPr>
        <w:t xml:space="preserve"> </w:t>
      </w:r>
      <w:r w:rsidR="00C121B0" w:rsidRPr="002563B2">
        <w:rPr>
          <w:rFonts w:ascii="Simplified Arabic" w:hAnsi="Simplified Arabic" w:cs="Simplified Arabic"/>
          <w:b/>
          <w:bCs/>
          <w:sz w:val="24"/>
          <w:szCs w:val="24"/>
          <w:rtl/>
        </w:rPr>
        <w:t xml:space="preserve">المخاطر الطبيعية </w:t>
      </w:r>
      <w:r w:rsidR="00710D6A">
        <w:rPr>
          <w:rFonts w:ascii="Simplified Arabic" w:hAnsi="Simplified Arabic" w:cs="Simplified Arabic" w:hint="cs"/>
          <w:b/>
          <w:bCs/>
          <w:sz w:val="24"/>
          <w:szCs w:val="24"/>
          <w:rtl/>
        </w:rPr>
        <w:t>(</w:t>
      </w:r>
      <w:r w:rsidR="00C121B0" w:rsidRPr="002563B2">
        <w:rPr>
          <w:rFonts w:ascii="Simplified Arabic" w:hAnsi="Simplified Arabic" w:cs="Simplified Arabic" w:hint="cs"/>
          <w:b/>
          <w:bCs/>
          <w:sz w:val="24"/>
          <w:szCs w:val="24"/>
          <w:rtl/>
        </w:rPr>
        <w:t>مدينة</w:t>
      </w:r>
      <w:r w:rsidR="00C121B0" w:rsidRPr="002563B2">
        <w:rPr>
          <w:rFonts w:ascii="Simplified Arabic" w:hAnsi="Simplified Arabic" w:cs="Simplified Arabic"/>
          <w:b/>
          <w:bCs/>
          <w:sz w:val="24"/>
          <w:szCs w:val="24"/>
          <w:rtl/>
        </w:rPr>
        <w:t xml:space="preserve"> بوسعادة </w:t>
      </w:r>
      <w:r w:rsidR="00C121B0" w:rsidRPr="002563B2">
        <w:rPr>
          <w:rFonts w:ascii="Simplified Arabic" w:hAnsi="Simplified Arabic" w:cs="Simplified Arabic" w:hint="cs"/>
          <w:b/>
          <w:bCs/>
          <w:sz w:val="24"/>
          <w:szCs w:val="24"/>
          <w:rtl/>
        </w:rPr>
        <w:t>بين شدة وتكرار</w:t>
      </w:r>
      <w:r w:rsidR="00710D6A">
        <w:rPr>
          <w:rFonts w:ascii="Simplified Arabic" w:hAnsi="Simplified Arabic" w:cs="Simplified Arabic" w:hint="cs"/>
          <w:b/>
          <w:bCs/>
          <w:sz w:val="24"/>
          <w:szCs w:val="24"/>
          <w:rtl/>
        </w:rPr>
        <w:t xml:space="preserve"> المخاطر</w:t>
      </w:r>
      <w:r>
        <w:rPr>
          <w:rFonts w:ascii="Simplified Arabic" w:hAnsi="Simplified Arabic" w:cs="Simplified Arabic" w:hint="cs"/>
          <w:b/>
          <w:bCs/>
          <w:sz w:val="24"/>
          <w:szCs w:val="24"/>
          <w:rtl/>
        </w:rPr>
        <w:t>)</w:t>
      </w:r>
      <w:r w:rsidR="00C121B0" w:rsidRPr="002563B2">
        <w:rPr>
          <w:rFonts w:ascii="Simplified Arabic" w:hAnsi="Simplified Arabic" w:cs="Simplified Arabic" w:hint="cs"/>
          <w:b/>
          <w:bCs/>
          <w:sz w:val="24"/>
          <w:szCs w:val="24"/>
          <w:rtl/>
        </w:rPr>
        <w:t xml:space="preserve"> </w:t>
      </w:r>
    </w:p>
    <w:p w:rsidR="00C121B0" w:rsidRPr="00710D6A" w:rsidRDefault="00C121B0" w:rsidP="007B3D15">
      <w:pPr>
        <w:bidi/>
        <w:spacing w:after="0"/>
        <w:ind w:firstLine="282"/>
        <w:jc w:val="both"/>
        <w:rPr>
          <w:rFonts w:ascii="Simplified Arabic" w:hAnsi="Simplified Arabic" w:cs="Simplified Arabic"/>
          <w:sz w:val="24"/>
          <w:szCs w:val="24"/>
          <w:rtl/>
          <w:lang w:val="en-US"/>
        </w:rPr>
      </w:pPr>
      <w:r w:rsidRPr="00710D6A">
        <w:rPr>
          <w:rFonts w:ascii="Simplified Arabic" w:hAnsi="Simplified Arabic" w:cs="Simplified Arabic" w:hint="cs"/>
          <w:sz w:val="24"/>
          <w:szCs w:val="24"/>
          <w:rtl/>
          <w:lang w:val="en-US"/>
        </w:rPr>
        <w:t>ضمن</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هذا</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القسم</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طرح</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سؤالا آخر،</w:t>
      </w:r>
      <w:r w:rsidRPr="00710D6A">
        <w:rPr>
          <w:rFonts w:ascii="Simplified Arabic" w:hAnsi="Simplified Arabic" w:cs="Simplified Arabic"/>
          <w:sz w:val="24"/>
          <w:szCs w:val="24"/>
          <w:rtl/>
          <w:lang w:val="en-US"/>
        </w:rPr>
        <w:t xml:space="preserve"> </w:t>
      </w:r>
      <w:r w:rsidRPr="00710D6A">
        <w:rPr>
          <w:rFonts w:ascii="Simplified Arabic" w:eastAsia="Times New Roman" w:hAnsi="Simplified Arabic" w:cs="Simplified Arabic"/>
          <w:color w:val="202124"/>
          <w:sz w:val="24"/>
          <w:szCs w:val="24"/>
          <w:rtl/>
        </w:rPr>
        <w:t xml:space="preserve">أي من </w:t>
      </w:r>
      <w:r w:rsidRPr="00710D6A">
        <w:rPr>
          <w:rFonts w:ascii="Simplified Arabic" w:eastAsia="Times New Roman" w:hAnsi="Simplified Arabic" w:cs="Simplified Arabic" w:hint="cs"/>
          <w:color w:val="202124"/>
          <w:sz w:val="24"/>
          <w:szCs w:val="24"/>
          <w:rtl/>
        </w:rPr>
        <w:t>المخاطر الطبيعية</w:t>
      </w:r>
      <w:r w:rsidRPr="00710D6A">
        <w:rPr>
          <w:rFonts w:ascii="Simplified Arabic" w:eastAsia="Times New Roman" w:hAnsi="Simplified Arabic" w:cs="Simplified Arabic"/>
          <w:color w:val="202124"/>
          <w:sz w:val="24"/>
          <w:szCs w:val="24"/>
          <w:rtl/>
        </w:rPr>
        <w:t xml:space="preserve"> </w:t>
      </w:r>
      <w:r w:rsidRPr="00710D6A">
        <w:rPr>
          <w:rFonts w:ascii="Simplified Arabic" w:eastAsia="Times New Roman" w:hAnsi="Simplified Arabic" w:cs="Simplified Arabic" w:hint="cs"/>
          <w:color w:val="202124"/>
          <w:sz w:val="24"/>
          <w:szCs w:val="24"/>
          <w:rtl/>
        </w:rPr>
        <w:t>التي</w:t>
      </w:r>
      <w:r w:rsidRPr="00710D6A">
        <w:rPr>
          <w:rFonts w:ascii="Simplified Arabic" w:eastAsia="Times New Roman" w:hAnsi="Simplified Arabic" w:cs="Simplified Arabic"/>
          <w:color w:val="202124"/>
          <w:sz w:val="24"/>
          <w:szCs w:val="24"/>
          <w:rtl/>
        </w:rPr>
        <w:t xml:space="preserve"> تحدث </w:t>
      </w:r>
      <w:r w:rsidRPr="00710D6A">
        <w:rPr>
          <w:rFonts w:ascii="Simplified Arabic" w:eastAsia="Times New Roman" w:hAnsi="Simplified Arabic" w:cs="Simplified Arabic" w:hint="cs"/>
          <w:color w:val="202124"/>
          <w:sz w:val="24"/>
          <w:szCs w:val="24"/>
          <w:rtl/>
        </w:rPr>
        <w:t xml:space="preserve">بصفة متكررة </w:t>
      </w:r>
      <w:r w:rsidR="007B3D15">
        <w:rPr>
          <w:rFonts w:ascii="Simplified Arabic" w:eastAsia="Times New Roman" w:hAnsi="Simplified Arabic" w:cs="Simplified Arabic" w:hint="cs"/>
          <w:color w:val="202124"/>
          <w:sz w:val="24"/>
          <w:szCs w:val="24"/>
          <w:rtl/>
        </w:rPr>
        <w:t>كل</w:t>
      </w:r>
      <w:r w:rsidRPr="00710D6A">
        <w:rPr>
          <w:rFonts w:ascii="Simplified Arabic" w:eastAsia="Times New Roman" w:hAnsi="Simplified Arabic" w:cs="Simplified Arabic" w:hint="cs"/>
          <w:color w:val="202124"/>
          <w:sz w:val="24"/>
          <w:szCs w:val="24"/>
          <w:rtl/>
        </w:rPr>
        <w:t xml:space="preserve"> سنة </w:t>
      </w:r>
      <w:r w:rsidRPr="00710D6A">
        <w:rPr>
          <w:rFonts w:ascii="Simplified Arabic" w:eastAsia="Times New Roman" w:hAnsi="Simplified Arabic" w:cs="Simplified Arabic"/>
          <w:color w:val="202124"/>
          <w:sz w:val="24"/>
          <w:szCs w:val="24"/>
          <w:rtl/>
        </w:rPr>
        <w:t>في</w:t>
      </w:r>
      <w:r w:rsidRPr="00710D6A">
        <w:rPr>
          <w:rFonts w:ascii="Simplified Arabic" w:eastAsia="Times New Roman" w:hAnsi="Simplified Arabic" w:cs="Simplified Arabic" w:hint="cs"/>
          <w:color w:val="202124"/>
          <w:sz w:val="24"/>
          <w:szCs w:val="24"/>
          <w:rtl/>
        </w:rPr>
        <w:t xml:space="preserve"> مدينة</w:t>
      </w:r>
      <w:r w:rsidRPr="00710D6A">
        <w:rPr>
          <w:rFonts w:ascii="Simplified Arabic" w:eastAsia="Times New Roman" w:hAnsi="Simplified Arabic" w:cs="Simplified Arabic"/>
          <w:color w:val="202124"/>
          <w:sz w:val="24"/>
          <w:szCs w:val="24"/>
          <w:rtl/>
        </w:rPr>
        <w:t xml:space="preserve"> بوسعادة؟ </w:t>
      </w:r>
      <w:r w:rsidRPr="00710D6A">
        <w:rPr>
          <w:rFonts w:ascii="Simplified Arabic" w:eastAsia="Times New Roman" w:hAnsi="Simplified Arabic" w:cs="Simplified Arabic" w:hint="cs"/>
          <w:color w:val="202124"/>
          <w:sz w:val="24"/>
          <w:szCs w:val="24"/>
          <w:rtl/>
        </w:rPr>
        <w:t xml:space="preserve">الهدف من السؤال، </w:t>
      </w:r>
      <w:r w:rsidR="00C12175">
        <w:rPr>
          <w:rFonts w:ascii="Simplified Arabic" w:hAnsi="Simplified Arabic" w:cs="Simplified Arabic" w:hint="cs"/>
          <w:sz w:val="24"/>
          <w:szCs w:val="24"/>
          <w:rtl/>
          <w:lang w:val="en-US"/>
        </w:rPr>
        <w:t>ادراك</w:t>
      </w:r>
      <w:r w:rsidRPr="00710D6A">
        <w:rPr>
          <w:rFonts w:ascii="Simplified Arabic" w:hAnsi="Simplified Arabic" w:cs="Simplified Arabic" w:hint="cs"/>
          <w:sz w:val="24"/>
          <w:szCs w:val="24"/>
          <w:rtl/>
          <w:lang w:val="en-US"/>
        </w:rPr>
        <w:t xml:space="preserve"> </w:t>
      </w:r>
      <w:r w:rsidR="007B3D15">
        <w:rPr>
          <w:rFonts w:ascii="Simplified Arabic" w:hAnsi="Simplified Arabic" w:cs="Simplified Arabic" w:hint="cs"/>
          <w:sz w:val="24"/>
          <w:szCs w:val="24"/>
          <w:rtl/>
          <w:lang w:val="en-US"/>
        </w:rPr>
        <w:t>فترات</w:t>
      </w:r>
      <w:r w:rsidRPr="00710D6A">
        <w:rPr>
          <w:rFonts w:ascii="Simplified Arabic" w:hAnsi="Simplified Arabic" w:cs="Simplified Arabic" w:hint="cs"/>
          <w:sz w:val="24"/>
          <w:szCs w:val="24"/>
          <w:rtl/>
          <w:lang w:val="en-US"/>
        </w:rPr>
        <w:t xml:space="preserve"> تعرض مواطني</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مدينة</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بوسعادة</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الى</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المخاطر</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الطبيعية،</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يعتبر</w:t>
      </w:r>
      <w:r w:rsidRPr="00710D6A">
        <w:rPr>
          <w:rFonts w:ascii="Simplified Arabic" w:hAnsi="Simplified Arabic" w:cs="Simplified Arabic"/>
          <w:sz w:val="24"/>
          <w:szCs w:val="24"/>
          <w:rtl/>
          <w:lang w:val="en-US"/>
        </w:rPr>
        <w:t xml:space="preserve"> </w:t>
      </w:r>
      <w:r w:rsidR="00C12175">
        <w:rPr>
          <w:rFonts w:ascii="Simplified Arabic" w:hAnsi="Simplified Arabic" w:cs="Simplified Arabic" w:hint="cs"/>
          <w:sz w:val="24"/>
          <w:szCs w:val="24"/>
          <w:rtl/>
          <w:lang w:val="en-US"/>
        </w:rPr>
        <w:t xml:space="preserve">ادراك </w:t>
      </w:r>
      <w:r w:rsidRPr="00710D6A">
        <w:rPr>
          <w:rFonts w:ascii="Simplified Arabic" w:hAnsi="Simplified Arabic" w:cs="Simplified Arabic" w:hint="cs"/>
          <w:sz w:val="24"/>
          <w:szCs w:val="24"/>
          <w:rtl/>
          <w:lang w:val="en-US"/>
        </w:rPr>
        <w:t>تكرار</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حدوث المخاطر</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الطبيعية</w:t>
      </w:r>
      <w:r w:rsidRPr="00710D6A">
        <w:rPr>
          <w:rFonts w:ascii="Simplified Arabic" w:hAnsi="Simplified Arabic" w:cs="Simplified Arabic"/>
          <w:sz w:val="24"/>
          <w:szCs w:val="24"/>
          <w:rtl/>
          <w:lang w:val="en-US"/>
        </w:rPr>
        <w:t xml:space="preserve"> </w:t>
      </w:r>
      <w:r w:rsidR="00C12175">
        <w:rPr>
          <w:rFonts w:ascii="Simplified Arabic" w:hAnsi="Simplified Arabic" w:cs="Simplified Arabic" w:hint="cs"/>
          <w:sz w:val="24"/>
          <w:szCs w:val="24"/>
          <w:rtl/>
          <w:lang w:val="en-US"/>
        </w:rPr>
        <w:t xml:space="preserve">لدى السكان </w:t>
      </w:r>
      <w:r w:rsidRPr="00710D6A">
        <w:rPr>
          <w:rFonts w:ascii="Simplified Arabic" w:hAnsi="Simplified Arabic" w:cs="Simplified Arabic" w:hint="cs"/>
          <w:sz w:val="24"/>
          <w:szCs w:val="24"/>
          <w:rtl/>
          <w:lang w:val="en-US"/>
        </w:rPr>
        <w:t>نقطة</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أساسية</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لبداية تعزيز</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مستوى</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مرونة المدينة تجاه المخاطر</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في</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المجتمعات</w:t>
      </w:r>
      <w:r w:rsidRPr="00710D6A">
        <w:rPr>
          <w:rFonts w:ascii="Simplified Arabic" w:hAnsi="Simplified Arabic" w:cs="Simplified Arabic"/>
          <w:sz w:val="24"/>
          <w:szCs w:val="24"/>
          <w:rtl/>
          <w:lang w:val="en-US"/>
        </w:rPr>
        <w:t>.</w:t>
      </w:r>
    </w:p>
    <w:p w:rsidR="00590C5C" w:rsidRDefault="00C121B0" w:rsidP="0059573D">
      <w:pPr>
        <w:bidi/>
        <w:spacing w:after="0"/>
        <w:ind w:firstLine="282"/>
        <w:rPr>
          <w:rFonts w:ascii="Simplified Arabic" w:hAnsi="Simplified Arabic" w:cs="Simplified Arabic"/>
          <w:sz w:val="24"/>
          <w:szCs w:val="24"/>
          <w:rtl/>
          <w:lang w:val="en-US"/>
        </w:rPr>
      </w:pPr>
      <w:r w:rsidRPr="00710D6A">
        <w:rPr>
          <w:rFonts w:ascii="Simplified Arabic" w:hAnsi="Simplified Arabic" w:cs="Simplified Arabic" w:hint="cs"/>
          <w:sz w:val="24"/>
          <w:szCs w:val="24"/>
          <w:rtl/>
          <w:lang w:val="en-US"/>
        </w:rPr>
        <w:lastRenderedPageBreak/>
        <w:t>يوضح</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الشكل</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w:t>
      </w:r>
      <w:r w:rsidR="008F7575" w:rsidRPr="00710D6A">
        <w:rPr>
          <w:rFonts w:ascii="Simplified Arabic" w:hAnsi="Simplified Arabic" w:cs="Simplified Arabic" w:hint="cs"/>
          <w:sz w:val="24"/>
          <w:szCs w:val="24"/>
          <w:rtl/>
          <w:lang w:val="en-US"/>
        </w:rPr>
        <w:t>5-</w:t>
      </w:r>
      <w:r w:rsidR="000B3B52">
        <w:rPr>
          <w:rFonts w:ascii="Simplified Arabic" w:hAnsi="Simplified Arabic" w:cs="Simplified Arabic" w:hint="cs"/>
          <w:sz w:val="24"/>
          <w:szCs w:val="24"/>
          <w:rtl/>
          <w:lang w:val="en-US"/>
        </w:rPr>
        <w:t>14</w:t>
      </w:r>
      <w:r w:rsidRPr="00710D6A">
        <w:rPr>
          <w:rFonts w:ascii="Simplified Arabic" w:hAnsi="Simplified Arabic" w:cs="Simplified Arabic" w:hint="cs"/>
          <w:sz w:val="24"/>
          <w:szCs w:val="24"/>
          <w:rtl/>
          <w:lang w:val="en-US"/>
        </w:rPr>
        <w:t>)</w:t>
      </w:r>
      <w:r w:rsidR="00710D6A" w:rsidRPr="00710D6A">
        <w:rPr>
          <w:rFonts w:ascii="Simplified Arabic" w:hAnsi="Simplified Arabic" w:cs="Simplified Arabic" w:hint="cs"/>
          <w:sz w:val="24"/>
          <w:szCs w:val="24"/>
          <w:rtl/>
          <w:lang w:val="en-US"/>
        </w:rPr>
        <w:t xml:space="preserve"> والج</w:t>
      </w:r>
      <w:r w:rsidR="00671018">
        <w:rPr>
          <w:rFonts w:ascii="Simplified Arabic" w:hAnsi="Simplified Arabic" w:cs="Simplified Arabic" w:hint="cs"/>
          <w:sz w:val="24"/>
          <w:szCs w:val="24"/>
          <w:rtl/>
          <w:lang w:val="en-US"/>
        </w:rPr>
        <w:t>د</w:t>
      </w:r>
      <w:r w:rsidR="00710D6A" w:rsidRPr="00710D6A">
        <w:rPr>
          <w:rFonts w:ascii="Simplified Arabic" w:hAnsi="Simplified Arabic" w:cs="Simplified Arabic" w:hint="cs"/>
          <w:sz w:val="24"/>
          <w:szCs w:val="24"/>
          <w:rtl/>
          <w:lang w:val="en-US"/>
        </w:rPr>
        <w:t>ول (5-17)</w:t>
      </w:r>
      <w:r w:rsidRPr="00710D6A">
        <w:rPr>
          <w:rFonts w:ascii="Simplified Arabic" w:hAnsi="Simplified Arabic" w:cs="Simplified Arabic" w:hint="cs"/>
          <w:sz w:val="24"/>
          <w:szCs w:val="24"/>
          <w:rtl/>
          <w:lang w:val="en-US"/>
        </w:rPr>
        <w:t>، نسبة تكرار حدوث المخاطر الطبيعية</w:t>
      </w:r>
      <w:r w:rsidRPr="00710D6A">
        <w:rPr>
          <w:rFonts w:ascii="Simplified Arabic" w:hAnsi="Simplified Arabic" w:cs="Simplified Arabic"/>
          <w:sz w:val="24"/>
          <w:szCs w:val="24"/>
          <w:rtl/>
          <w:lang w:val="en-US"/>
        </w:rPr>
        <w:t xml:space="preserve"> </w:t>
      </w:r>
      <w:r w:rsidR="007B3D15">
        <w:rPr>
          <w:rFonts w:ascii="Simplified Arabic" w:hAnsi="Simplified Arabic" w:cs="Simplified Arabic" w:hint="cs"/>
          <w:sz w:val="24"/>
          <w:szCs w:val="24"/>
          <w:rtl/>
          <w:lang w:val="en-US"/>
        </w:rPr>
        <w:t>كل</w:t>
      </w:r>
      <w:r w:rsidR="000A17C3" w:rsidRPr="00710D6A">
        <w:rPr>
          <w:rFonts w:ascii="Simplified Arabic" w:hAnsi="Simplified Arabic" w:cs="Simplified Arabic" w:hint="cs"/>
          <w:sz w:val="24"/>
          <w:szCs w:val="24"/>
          <w:rtl/>
          <w:lang w:val="en-US"/>
        </w:rPr>
        <w:t xml:space="preserve"> سنة</w:t>
      </w:r>
      <w:r w:rsidRPr="00710D6A">
        <w:rPr>
          <w:rFonts w:ascii="Simplified Arabic" w:hAnsi="Simplified Arabic" w:cs="Simplified Arabic" w:hint="cs"/>
          <w:sz w:val="24"/>
          <w:szCs w:val="24"/>
          <w:rtl/>
          <w:lang w:val="en-US"/>
        </w:rPr>
        <w:t>،</w:t>
      </w:r>
      <w:r w:rsidRPr="00710D6A">
        <w:rPr>
          <w:rFonts w:ascii="Simplified Arabic" w:hAnsi="Simplified Arabic" w:cs="Simplified Arabic"/>
          <w:sz w:val="24"/>
          <w:szCs w:val="24"/>
          <w:rtl/>
          <w:lang w:val="en-US"/>
        </w:rPr>
        <w:t xml:space="preserve"> </w:t>
      </w:r>
      <w:r w:rsidR="007B3D15" w:rsidRPr="00710D6A">
        <w:rPr>
          <w:rFonts w:ascii="Simplified Arabic" w:hAnsi="Simplified Arabic" w:cs="Simplified Arabic" w:hint="cs"/>
          <w:sz w:val="24"/>
          <w:szCs w:val="24"/>
          <w:rtl/>
          <w:lang w:val="en-US"/>
        </w:rPr>
        <w:t xml:space="preserve">كانت </w:t>
      </w:r>
      <w:r w:rsidRPr="00710D6A">
        <w:rPr>
          <w:rFonts w:ascii="Simplified Arabic" w:hAnsi="Simplified Arabic" w:cs="Simplified Arabic" w:hint="cs"/>
          <w:sz w:val="24"/>
          <w:szCs w:val="24"/>
          <w:rtl/>
          <w:lang w:val="en-US"/>
        </w:rPr>
        <w:t xml:space="preserve">نسب تكرار حدوث الفيضانات هي الاعلى </w:t>
      </w:r>
      <w:r w:rsidR="000A17C3" w:rsidRPr="00710D6A">
        <w:rPr>
          <w:rFonts w:ascii="Simplified Arabic" w:hAnsi="Simplified Arabic" w:cs="Simplified Arabic" w:hint="cs"/>
          <w:sz w:val="24"/>
          <w:szCs w:val="24"/>
          <w:rtl/>
          <w:lang w:val="en-US"/>
        </w:rPr>
        <w:t>عبر</w:t>
      </w:r>
      <w:r w:rsidRPr="00710D6A">
        <w:rPr>
          <w:rFonts w:ascii="Simplified Arabic" w:hAnsi="Simplified Arabic" w:cs="Simplified Arabic" w:hint="cs"/>
          <w:sz w:val="24"/>
          <w:szCs w:val="24"/>
          <w:rtl/>
          <w:lang w:val="en-US"/>
        </w:rPr>
        <w:t xml:space="preserve"> أحياء</w:t>
      </w:r>
      <w:r w:rsidR="000A17C3" w:rsidRPr="00710D6A">
        <w:rPr>
          <w:rFonts w:ascii="Simplified Arabic" w:hAnsi="Simplified Arabic" w:cs="Simplified Arabic" w:hint="cs"/>
          <w:sz w:val="24"/>
          <w:szCs w:val="24"/>
          <w:rtl/>
          <w:lang w:val="en-US"/>
        </w:rPr>
        <w:t>: سيدي سليمان، ميطر، الحمايد والباطن.</w:t>
      </w:r>
      <w:r w:rsidR="00590C5C" w:rsidRPr="00710D6A">
        <w:rPr>
          <w:rFonts w:ascii="Simplified Arabic" w:hAnsi="Simplified Arabic" w:cs="Simplified Arabic" w:hint="cs"/>
          <w:sz w:val="24"/>
          <w:szCs w:val="24"/>
          <w:rtl/>
          <w:lang w:val="en-US"/>
        </w:rPr>
        <w:t xml:space="preserve"> على التوالي: </w:t>
      </w:r>
      <w:r w:rsidR="007443E9">
        <w:rPr>
          <w:rFonts w:ascii="Simplified Arabic" w:hAnsi="Simplified Arabic" w:cs="Simplified Arabic"/>
          <w:sz w:val="24"/>
          <w:szCs w:val="24"/>
          <w:lang w:val="en-US"/>
        </w:rPr>
        <w:t>83</w:t>
      </w:r>
      <w:r w:rsidR="00590C5C" w:rsidRPr="00710D6A">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64</w:t>
      </w:r>
      <w:r w:rsidR="00590C5C" w:rsidRPr="00710D6A">
        <w:rPr>
          <w:rFonts w:ascii="Simplified Arabic" w:hAnsi="Simplified Arabic" w:cs="Simplified Arabic"/>
          <w:sz w:val="24"/>
          <w:szCs w:val="24"/>
          <w:rtl/>
          <w:lang w:val="en-US"/>
        </w:rPr>
        <w:t>٪</w:t>
      </w:r>
      <w:r w:rsidR="00590C5C" w:rsidRPr="00710D6A">
        <w:rPr>
          <w:rFonts w:ascii="Simplified Arabic" w:hAnsi="Simplified Arabic" w:cs="Simplified Arabic" w:hint="cs"/>
          <w:sz w:val="24"/>
          <w:szCs w:val="24"/>
          <w:rtl/>
          <w:lang w:val="en-US"/>
        </w:rPr>
        <w:t xml:space="preserve">، </w:t>
      </w:r>
      <w:r w:rsidR="00590C5C" w:rsidRPr="00710D6A">
        <w:rPr>
          <w:rFonts w:ascii="Simplified Arabic" w:hAnsi="Simplified Arabic" w:cs="Simplified Arabic"/>
          <w:sz w:val="24"/>
          <w:szCs w:val="24"/>
          <w:lang w:val="en-US"/>
        </w:rPr>
        <w:t>90,</w:t>
      </w:r>
      <w:r w:rsidR="007443E9">
        <w:rPr>
          <w:rFonts w:ascii="Simplified Arabic" w:hAnsi="Simplified Arabic" w:cs="Simplified Arabic"/>
          <w:sz w:val="24"/>
          <w:szCs w:val="24"/>
          <w:lang w:val="en-US"/>
        </w:rPr>
        <w:t>13</w:t>
      </w:r>
      <w:r w:rsidR="00590C5C" w:rsidRPr="00710D6A">
        <w:rPr>
          <w:rFonts w:ascii="Simplified Arabic" w:hAnsi="Simplified Arabic" w:cs="Simplified Arabic"/>
          <w:sz w:val="24"/>
          <w:szCs w:val="24"/>
          <w:rtl/>
          <w:lang w:val="en-US"/>
        </w:rPr>
        <w:t>٪</w:t>
      </w:r>
      <w:r w:rsidR="00590C5C" w:rsidRPr="00710D6A">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81</w:t>
      </w:r>
      <w:r w:rsidR="00590C5C" w:rsidRPr="00710D6A">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82</w:t>
      </w:r>
      <w:r w:rsidR="00590C5C" w:rsidRPr="00710D6A">
        <w:rPr>
          <w:rFonts w:ascii="Simplified Arabic" w:hAnsi="Simplified Arabic" w:cs="Simplified Arabic"/>
          <w:sz w:val="24"/>
          <w:szCs w:val="24"/>
          <w:rtl/>
          <w:lang w:val="en-US"/>
        </w:rPr>
        <w:t>٪</w:t>
      </w:r>
      <w:r w:rsidR="00590C5C" w:rsidRPr="00710D6A">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88</w:t>
      </w:r>
      <w:r w:rsidR="00590C5C" w:rsidRPr="00710D6A">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57</w:t>
      </w:r>
      <w:r w:rsidR="00ED1644" w:rsidRPr="00710D6A">
        <w:rPr>
          <w:rFonts w:ascii="Simplified Arabic" w:hAnsi="Simplified Arabic" w:cs="Simplified Arabic"/>
          <w:sz w:val="24"/>
          <w:szCs w:val="24"/>
          <w:rtl/>
          <w:lang w:val="en-US"/>
        </w:rPr>
        <w:t>٪</w:t>
      </w:r>
      <w:r w:rsidR="00590C5C" w:rsidRPr="00710D6A">
        <w:rPr>
          <w:rFonts w:ascii="Simplified Arabic" w:hAnsi="Simplified Arabic" w:cs="Simplified Arabic" w:hint="cs"/>
          <w:sz w:val="24"/>
          <w:szCs w:val="24"/>
          <w:rtl/>
          <w:lang w:val="en-US"/>
        </w:rPr>
        <w:t>، يلي</w:t>
      </w:r>
      <w:r w:rsidR="00710D6A" w:rsidRPr="00710D6A">
        <w:rPr>
          <w:rFonts w:ascii="Simplified Arabic" w:hAnsi="Simplified Arabic" w:cs="Simplified Arabic" w:hint="cs"/>
          <w:sz w:val="24"/>
          <w:szCs w:val="24"/>
          <w:rtl/>
          <w:lang w:val="en-US"/>
        </w:rPr>
        <w:t>ها</w:t>
      </w:r>
      <w:r w:rsidR="00590C5C" w:rsidRPr="00710D6A">
        <w:rPr>
          <w:rFonts w:ascii="Simplified Arabic" w:hAnsi="Simplified Arabic" w:cs="Simplified Arabic" w:hint="cs"/>
          <w:sz w:val="24"/>
          <w:szCs w:val="24"/>
          <w:rtl/>
          <w:lang w:val="en-US"/>
        </w:rPr>
        <w:t xml:space="preserve"> </w:t>
      </w:r>
      <w:r w:rsidR="00710D6A" w:rsidRPr="00710D6A">
        <w:rPr>
          <w:rFonts w:ascii="Simplified Arabic" w:hAnsi="Simplified Arabic" w:cs="Simplified Arabic" w:hint="cs"/>
          <w:sz w:val="24"/>
          <w:szCs w:val="24"/>
          <w:rtl/>
          <w:lang w:val="en-US"/>
        </w:rPr>
        <w:t xml:space="preserve">نسب </w:t>
      </w:r>
      <w:r w:rsidR="00ED1644" w:rsidRPr="00710D6A">
        <w:rPr>
          <w:rFonts w:ascii="Simplified Arabic" w:hAnsi="Simplified Arabic" w:cs="Simplified Arabic" w:hint="cs"/>
          <w:sz w:val="24"/>
          <w:szCs w:val="24"/>
          <w:rtl/>
          <w:lang w:val="en-US"/>
        </w:rPr>
        <w:t>تكر</w:t>
      </w:r>
      <w:r w:rsidR="00ED1644">
        <w:rPr>
          <w:rFonts w:ascii="Simplified Arabic" w:hAnsi="Simplified Arabic" w:cs="Simplified Arabic" w:hint="cs"/>
          <w:sz w:val="24"/>
          <w:szCs w:val="24"/>
          <w:rtl/>
          <w:lang w:val="en-US"/>
        </w:rPr>
        <w:t>ار</w:t>
      </w:r>
      <w:r w:rsidR="00590C5C">
        <w:rPr>
          <w:rFonts w:ascii="Simplified Arabic" w:hAnsi="Simplified Arabic" w:cs="Simplified Arabic" w:hint="cs"/>
          <w:sz w:val="24"/>
          <w:szCs w:val="24"/>
          <w:rtl/>
          <w:lang w:val="en-US"/>
        </w:rPr>
        <w:t xml:space="preserve"> حدوث التصحر </w:t>
      </w:r>
      <w:r w:rsidR="00590C5C" w:rsidRPr="00205E51">
        <w:rPr>
          <w:rFonts w:ascii="Simplified Arabic" w:eastAsia="Times New Roman" w:hAnsi="Simplified Arabic" w:cs="Simplified Arabic"/>
          <w:color w:val="202124"/>
          <w:sz w:val="24"/>
          <w:szCs w:val="24"/>
          <w:rtl/>
          <w:lang w:eastAsia="fr-FR"/>
        </w:rPr>
        <w:t>(الترمل)</w:t>
      </w:r>
      <w:r w:rsidR="00590C5C" w:rsidRPr="004E0D6A">
        <w:rPr>
          <w:rFonts w:ascii="Simplified Arabic" w:eastAsia="Times New Roman" w:hAnsi="Simplified Arabic" w:cs="Simplified Arabic"/>
          <w:color w:val="202124"/>
          <w:sz w:val="24"/>
          <w:szCs w:val="24"/>
          <w:lang w:eastAsia="fr-FR"/>
        </w:rPr>
        <w:t xml:space="preserve"> </w:t>
      </w:r>
      <w:r w:rsidR="00590C5C">
        <w:rPr>
          <w:rFonts w:ascii="Simplified Arabic" w:hAnsi="Simplified Arabic" w:cs="Simplified Arabic" w:hint="cs"/>
          <w:sz w:val="24"/>
          <w:szCs w:val="24"/>
          <w:rtl/>
          <w:lang w:val="en-US"/>
        </w:rPr>
        <w:t>لنفس</w:t>
      </w:r>
      <w:r w:rsidR="00590C5C" w:rsidRPr="000230BD">
        <w:rPr>
          <w:rFonts w:ascii="Simplified Arabic" w:hAnsi="Simplified Arabic" w:cs="Simplified Arabic"/>
          <w:sz w:val="24"/>
          <w:szCs w:val="24"/>
          <w:rtl/>
          <w:lang w:val="en-US"/>
        </w:rPr>
        <w:t xml:space="preserve"> </w:t>
      </w:r>
      <w:r w:rsidR="00590C5C">
        <w:rPr>
          <w:rFonts w:ascii="Simplified Arabic" w:hAnsi="Simplified Arabic" w:cs="Simplified Arabic" w:hint="cs"/>
          <w:sz w:val="24"/>
          <w:szCs w:val="24"/>
          <w:rtl/>
          <w:lang w:val="en-US"/>
        </w:rPr>
        <w:t xml:space="preserve">الاحياء على التوالي: </w:t>
      </w:r>
      <w:r w:rsidR="00ED1644">
        <w:rPr>
          <w:rFonts w:ascii="Simplified Arabic" w:hAnsi="Simplified Arabic" w:cs="Simplified Arabic"/>
          <w:sz w:val="24"/>
          <w:szCs w:val="24"/>
          <w:lang w:val="en-US"/>
        </w:rPr>
        <w:t>74</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03</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81</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82</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67</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53</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88</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83</w:t>
      </w:r>
      <w:r w:rsidR="00590C5C" w:rsidRPr="00A71970">
        <w:rPr>
          <w:rFonts w:ascii="Simplified Arabic" w:hAnsi="Simplified Arabic" w:cs="Simplified Arabic"/>
          <w:sz w:val="24"/>
          <w:szCs w:val="24"/>
          <w:rtl/>
          <w:lang w:val="en-US"/>
        </w:rPr>
        <w:t>٪</w:t>
      </w:r>
      <w:r w:rsidR="00590C5C">
        <w:rPr>
          <w:rFonts w:ascii="Simplified Arabic" w:hAnsi="Simplified Arabic" w:cs="Simplified Arabic" w:hint="cs"/>
          <w:sz w:val="24"/>
          <w:szCs w:val="24"/>
          <w:rtl/>
          <w:lang w:val="en-US"/>
        </w:rPr>
        <w:t>،</w:t>
      </w:r>
      <w:r w:rsidR="00ED1644">
        <w:rPr>
          <w:rFonts w:ascii="Simplified Arabic" w:hAnsi="Simplified Arabic" w:cs="Simplified Arabic" w:hint="cs"/>
          <w:sz w:val="24"/>
          <w:szCs w:val="24"/>
          <w:rtl/>
          <w:lang w:val="en-US" w:bidi="ar-DZ"/>
        </w:rPr>
        <w:t xml:space="preserve"> بينما كانت </w:t>
      </w:r>
      <w:r w:rsidR="00590C5C" w:rsidRPr="000230BD">
        <w:rPr>
          <w:rFonts w:ascii="Simplified Arabic" w:hAnsi="Simplified Arabic" w:cs="Simplified Arabic" w:hint="cs"/>
          <w:sz w:val="24"/>
          <w:szCs w:val="24"/>
          <w:rtl/>
          <w:lang w:val="en-US"/>
        </w:rPr>
        <w:t>نسب</w:t>
      </w:r>
      <w:r w:rsidR="00590C5C" w:rsidRPr="000230BD">
        <w:rPr>
          <w:rFonts w:ascii="Simplified Arabic" w:hAnsi="Simplified Arabic" w:cs="Simplified Arabic"/>
          <w:sz w:val="24"/>
          <w:szCs w:val="24"/>
          <w:rtl/>
          <w:lang w:val="en-US"/>
        </w:rPr>
        <w:t xml:space="preserve"> </w:t>
      </w:r>
      <w:r w:rsidR="00ED1644">
        <w:rPr>
          <w:rFonts w:ascii="Simplified Arabic" w:hAnsi="Simplified Arabic" w:cs="Simplified Arabic" w:hint="cs"/>
          <w:sz w:val="24"/>
          <w:szCs w:val="24"/>
          <w:rtl/>
          <w:lang w:val="en-US"/>
        </w:rPr>
        <w:t>العينات المعبرة عن تكرار</w:t>
      </w:r>
      <w:r w:rsidR="00590C5C">
        <w:rPr>
          <w:rFonts w:ascii="Simplified Arabic" w:hAnsi="Simplified Arabic" w:cs="Simplified Arabic" w:hint="cs"/>
          <w:sz w:val="24"/>
          <w:szCs w:val="24"/>
          <w:rtl/>
          <w:lang w:val="en-US"/>
        </w:rPr>
        <w:t xml:space="preserve"> خطر الزلازل</w:t>
      </w:r>
      <w:r w:rsidR="00590C5C" w:rsidRPr="000230BD">
        <w:rPr>
          <w:rFonts w:ascii="Simplified Arabic" w:hAnsi="Simplified Arabic" w:cs="Simplified Arabic"/>
          <w:sz w:val="24"/>
          <w:szCs w:val="24"/>
          <w:rtl/>
          <w:lang w:val="en-US"/>
        </w:rPr>
        <w:t xml:space="preserve"> </w:t>
      </w:r>
      <w:r w:rsidR="007B3D15">
        <w:rPr>
          <w:rFonts w:ascii="Simplified Arabic" w:hAnsi="Simplified Arabic" w:cs="Simplified Arabic" w:hint="cs"/>
          <w:sz w:val="24"/>
          <w:szCs w:val="24"/>
          <w:rtl/>
          <w:lang w:val="en-US"/>
        </w:rPr>
        <w:t xml:space="preserve">كل سنة </w:t>
      </w:r>
      <w:r w:rsidR="00590C5C">
        <w:rPr>
          <w:rFonts w:ascii="Simplified Arabic" w:hAnsi="Simplified Arabic" w:cs="Simplified Arabic" w:hint="cs"/>
          <w:sz w:val="24"/>
          <w:szCs w:val="24"/>
          <w:rtl/>
          <w:lang w:val="en-US"/>
        </w:rPr>
        <w:t>لنفس</w:t>
      </w:r>
      <w:r w:rsidR="00590C5C" w:rsidRPr="000230BD">
        <w:rPr>
          <w:rFonts w:ascii="Simplified Arabic" w:hAnsi="Simplified Arabic" w:cs="Simplified Arabic"/>
          <w:sz w:val="24"/>
          <w:szCs w:val="24"/>
          <w:rtl/>
          <w:lang w:val="en-US"/>
        </w:rPr>
        <w:t xml:space="preserve"> </w:t>
      </w:r>
      <w:r w:rsidR="00590C5C">
        <w:rPr>
          <w:rFonts w:ascii="Simplified Arabic" w:hAnsi="Simplified Arabic" w:cs="Simplified Arabic" w:hint="cs"/>
          <w:sz w:val="24"/>
          <w:szCs w:val="24"/>
          <w:rtl/>
          <w:lang w:val="en-US"/>
        </w:rPr>
        <w:t xml:space="preserve">الاحياء على التوالي: </w:t>
      </w:r>
      <w:r w:rsidR="007443E9">
        <w:rPr>
          <w:rFonts w:ascii="Simplified Arabic" w:hAnsi="Simplified Arabic" w:cs="Simplified Arabic"/>
          <w:sz w:val="24"/>
          <w:szCs w:val="24"/>
          <w:lang w:val="en-US"/>
        </w:rPr>
        <w:t>3</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9</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3</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64</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5</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71</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10D6A">
        <w:rPr>
          <w:rFonts w:ascii="Simplified Arabic" w:hAnsi="Simplified Arabic" w:cs="Simplified Arabic"/>
          <w:sz w:val="24"/>
          <w:szCs w:val="24"/>
          <w:lang w:val="en-US"/>
        </w:rPr>
        <w:t>4</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42</w:t>
      </w:r>
      <w:r w:rsidR="00ED1644">
        <w:rPr>
          <w:rFonts w:ascii="Simplified Arabic" w:hAnsi="Simplified Arabic" w:cs="Simplified Arabic"/>
          <w:sz w:val="24"/>
          <w:szCs w:val="24"/>
          <w:rtl/>
          <w:lang w:val="en-US"/>
        </w:rPr>
        <w:t>٪</w:t>
      </w:r>
      <w:r w:rsidR="00590C5C">
        <w:rPr>
          <w:rFonts w:ascii="Simplified Arabic" w:hAnsi="Simplified Arabic" w:cs="Simplified Arabic" w:hint="cs"/>
          <w:sz w:val="24"/>
          <w:szCs w:val="24"/>
          <w:rtl/>
          <w:lang w:val="en-US"/>
        </w:rPr>
        <w:t xml:space="preserve">، </w:t>
      </w:r>
      <w:r w:rsidR="007B3D15">
        <w:rPr>
          <w:rFonts w:ascii="Simplified Arabic" w:hAnsi="Simplified Arabic" w:cs="Simplified Arabic" w:hint="cs"/>
          <w:sz w:val="24"/>
          <w:szCs w:val="24"/>
          <w:rtl/>
          <w:lang w:val="en-US"/>
        </w:rPr>
        <w:t xml:space="preserve">بينما </w:t>
      </w:r>
      <w:r w:rsidR="00590C5C">
        <w:rPr>
          <w:rFonts w:ascii="Simplified Arabic" w:hAnsi="Simplified Arabic" w:cs="Simplified Arabic" w:hint="cs"/>
          <w:sz w:val="24"/>
          <w:szCs w:val="24"/>
          <w:rtl/>
        </w:rPr>
        <w:t>كان</w:t>
      </w:r>
      <w:r w:rsidR="00710D6A">
        <w:rPr>
          <w:rFonts w:ascii="Simplified Arabic" w:hAnsi="Simplified Arabic" w:cs="Simplified Arabic" w:hint="cs"/>
          <w:sz w:val="24"/>
          <w:szCs w:val="24"/>
          <w:rtl/>
        </w:rPr>
        <w:t>ت</w:t>
      </w:r>
      <w:r w:rsidR="00590C5C">
        <w:rPr>
          <w:rFonts w:ascii="Simplified Arabic" w:hAnsi="Simplified Arabic" w:cs="Simplified Arabic" w:hint="cs"/>
          <w:sz w:val="24"/>
          <w:szCs w:val="24"/>
          <w:rtl/>
        </w:rPr>
        <w:t xml:space="preserve"> </w:t>
      </w:r>
      <w:r w:rsidR="00ED1644">
        <w:rPr>
          <w:rFonts w:ascii="Simplified Arabic" w:hAnsi="Simplified Arabic" w:cs="Simplified Arabic" w:hint="cs"/>
          <w:sz w:val="24"/>
          <w:szCs w:val="24"/>
          <w:rtl/>
          <w:lang w:val="en-US"/>
        </w:rPr>
        <w:t xml:space="preserve">نسب العينات المعبرة عن </w:t>
      </w:r>
      <w:r w:rsidR="00710D6A">
        <w:rPr>
          <w:rFonts w:ascii="Simplified Arabic" w:hAnsi="Simplified Arabic" w:cs="Simplified Arabic" w:hint="cs"/>
          <w:sz w:val="24"/>
          <w:szCs w:val="24"/>
          <w:rtl/>
        </w:rPr>
        <w:t>ت</w:t>
      </w:r>
      <w:r w:rsidR="00ED1644">
        <w:rPr>
          <w:rFonts w:ascii="Simplified Arabic" w:hAnsi="Simplified Arabic" w:cs="Simplified Arabic" w:hint="cs"/>
          <w:sz w:val="24"/>
          <w:szCs w:val="24"/>
          <w:rtl/>
        </w:rPr>
        <w:t>كرار</w:t>
      </w:r>
      <w:r w:rsidR="00590C5C">
        <w:rPr>
          <w:rFonts w:ascii="Simplified Arabic" w:hAnsi="Simplified Arabic" w:cs="Simplified Arabic" w:hint="cs"/>
          <w:sz w:val="24"/>
          <w:szCs w:val="24"/>
          <w:rtl/>
        </w:rPr>
        <w:t xml:space="preserve"> </w:t>
      </w:r>
      <w:r w:rsidR="00710D6A">
        <w:rPr>
          <w:rFonts w:ascii="Simplified Arabic" w:hAnsi="Simplified Arabic" w:cs="Simplified Arabic" w:hint="cs"/>
          <w:sz w:val="24"/>
          <w:szCs w:val="24"/>
          <w:rtl/>
        </w:rPr>
        <w:t xml:space="preserve">خطر انزلاق التربة هو </w:t>
      </w:r>
      <w:r w:rsidR="00590C5C">
        <w:rPr>
          <w:rFonts w:ascii="Simplified Arabic" w:hAnsi="Simplified Arabic" w:cs="Simplified Arabic" w:hint="cs"/>
          <w:sz w:val="24"/>
          <w:szCs w:val="24"/>
          <w:rtl/>
        </w:rPr>
        <w:t>الاقل حدوثا ب</w:t>
      </w:r>
      <w:r w:rsidR="00590C5C">
        <w:rPr>
          <w:rFonts w:ascii="Simplified Arabic" w:hAnsi="Simplified Arabic" w:cs="Simplified Arabic" w:hint="cs"/>
          <w:sz w:val="24"/>
          <w:szCs w:val="24"/>
          <w:rtl/>
          <w:lang w:val="en-US"/>
        </w:rPr>
        <w:t xml:space="preserve">نسب على التوالي: </w:t>
      </w:r>
      <w:r w:rsidR="00710D6A">
        <w:rPr>
          <w:rFonts w:ascii="Simplified Arabic" w:hAnsi="Simplified Arabic" w:cs="Simplified Arabic"/>
          <w:sz w:val="24"/>
          <w:szCs w:val="24"/>
          <w:lang w:val="en-US"/>
        </w:rPr>
        <w:t>6</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49</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2</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6</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4</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94</w:t>
      </w:r>
      <w:r w:rsidR="00590C5C">
        <w:rPr>
          <w:rFonts w:ascii="Simplified Arabic" w:hAnsi="Simplified Arabic" w:cs="Simplified Arabic"/>
          <w:sz w:val="24"/>
          <w:szCs w:val="24"/>
          <w:rtl/>
          <w:lang w:val="en-US"/>
        </w:rPr>
        <w:t>٪</w:t>
      </w:r>
      <w:r w:rsidR="00590C5C" w:rsidRPr="00220BB6">
        <w:rPr>
          <w:rFonts w:ascii="Simplified Arabic" w:hAnsi="Simplified Arabic" w:cs="Simplified Arabic" w:hint="cs"/>
          <w:sz w:val="24"/>
          <w:szCs w:val="24"/>
          <w:rtl/>
          <w:lang w:val="en-US"/>
        </w:rPr>
        <w:t xml:space="preserve">، </w:t>
      </w:r>
      <w:r w:rsidR="007443E9">
        <w:rPr>
          <w:rFonts w:ascii="Simplified Arabic" w:hAnsi="Simplified Arabic" w:cs="Simplified Arabic"/>
          <w:sz w:val="24"/>
          <w:szCs w:val="24"/>
          <w:lang w:val="en-US"/>
        </w:rPr>
        <w:t>2</w:t>
      </w:r>
      <w:r w:rsidR="00590C5C" w:rsidRPr="00220BB6">
        <w:rPr>
          <w:rFonts w:ascii="Simplified Arabic" w:hAnsi="Simplified Arabic" w:cs="Simplified Arabic"/>
          <w:sz w:val="24"/>
          <w:szCs w:val="24"/>
          <w:lang w:val="en-US"/>
        </w:rPr>
        <w:t>,</w:t>
      </w:r>
      <w:r w:rsidR="007443E9">
        <w:rPr>
          <w:rFonts w:ascii="Simplified Arabic" w:hAnsi="Simplified Arabic" w:cs="Simplified Arabic"/>
          <w:sz w:val="24"/>
          <w:szCs w:val="24"/>
          <w:lang w:val="en-US"/>
        </w:rPr>
        <w:t>6</w:t>
      </w:r>
      <w:r w:rsidR="00710D6A">
        <w:rPr>
          <w:rFonts w:ascii="Simplified Arabic" w:hAnsi="Simplified Arabic" w:cs="Simplified Arabic"/>
          <w:sz w:val="24"/>
          <w:szCs w:val="24"/>
          <w:rtl/>
          <w:lang w:val="en-US"/>
        </w:rPr>
        <w:t>٪</w:t>
      </w:r>
      <w:r w:rsidR="00590C5C">
        <w:rPr>
          <w:rFonts w:ascii="Simplified Arabic" w:hAnsi="Simplified Arabic" w:cs="Simplified Arabic" w:hint="cs"/>
          <w:sz w:val="24"/>
          <w:szCs w:val="24"/>
          <w:rtl/>
          <w:lang w:val="en-US"/>
        </w:rPr>
        <w:t>.</w:t>
      </w:r>
    </w:p>
    <w:p w:rsidR="00710D6A" w:rsidRDefault="00710D6A" w:rsidP="00C840FB">
      <w:pPr>
        <w:pStyle w:val="fegure"/>
        <w:spacing w:before="240"/>
        <w:rPr>
          <w:sz w:val="8"/>
          <w:szCs w:val="24"/>
          <w:rtl/>
          <w:lang w:val="en-US"/>
        </w:rPr>
      </w:pPr>
      <w:bookmarkStart w:id="741" w:name="_Toc171803742"/>
      <w:r w:rsidRPr="00A4755C">
        <w:rPr>
          <w:rFonts w:hint="cs"/>
          <w:sz w:val="8"/>
          <w:szCs w:val="24"/>
          <w:rtl/>
          <w:lang w:val="en-US"/>
        </w:rPr>
        <w:t>الشكل</w:t>
      </w:r>
      <w:r w:rsidRPr="00A4755C">
        <w:rPr>
          <w:sz w:val="8"/>
          <w:szCs w:val="24"/>
          <w:rtl/>
          <w:lang w:val="en-US"/>
        </w:rPr>
        <w:t xml:space="preserve"> </w:t>
      </w:r>
      <w:r w:rsidRPr="00A4755C">
        <w:rPr>
          <w:rFonts w:hint="cs"/>
          <w:sz w:val="8"/>
          <w:szCs w:val="24"/>
          <w:rtl/>
          <w:lang w:val="en-US"/>
        </w:rPr>
        <w:t>(5-</w:t>
      </w:r>
      <w:r w:rsidR="000B3B52" w:rsidRPr="00A4755C">
        <w:rPr>
          <w:rFonts w:hint="cs"/>
          <w:sz w:val="8"/>
          <w:szCs w:val="24"/>
          <w:rtl/>
          <w:lang w:val="en-US"/>
        </w:rPr>
        <w:t>14</w:t>
      </w:r>
      <w:r w:rsidRPr="00A4755C">
        <w:rPr>
          <w:rFonts w:hint="cs"/>
          <w:sz w:val="8"/>
          <w:szCs w:val="24"/>
          <w:rtl/>
          <w:lang w:val="en-US"/>
        </w:rPr>
        <w:t>)</w:t>
      </w:r>
      <w:r w:rsidRPr="00A4755C">
        <w:rPr>
          <w:sz w:val="8"/>
          <w:szCs w:val="24"/>
          <w:rtl/>
          <w:lang w:val="en-US"/>
        </w:rPr>
        <w:t xml:space="preserve">: </w:t>
      </w:r>
      <w:r w:rsidRPr="00A4755C">
        <w:rPr>
          <w:rFonts w:hint="cs"/>
          <w:sz w:val="8"/>
          <w:szCs w:val="24"/>
          <w:rtl/>
          <w:lang w:val="en-US"/>
        </w:rPr>
        <w:t>توزيع أفراد عيّنة</w:t>
      </w:r>
      <w:r w:rsidRPr="00A4755C">
        <w:rPr>
          <w:rFonts w:hint="cs"/>
          <w:sz w:val="8"/>
          <w:szCs w:val="24"/>
          <w:rtl/>
        </w:rPr>
        <w:t xml:space="preserve"> </w:t>
      </w:r>
      <w:r w:rsidR="009B4ED1" w:rsidRPr="00A4755C">
        <w:rPr>
          <w:rFonts w:hint="cs"/>
          <w:sz w:val="8"/>
          <w:szCs w:val="24"/>
          <w:rtl/>
        </w:rPr>
        <w:t>ال</w:t>
      </w:r>
      <w:r w:rsidRPr="00A4755C">
        <w:rPr>
          <w:rFonts w:hint="cs"/>
          <w:sz w:val="8"/>
          <w:szCs w:val="24"/>
          <w:rtl/>
        </w:rPr>
        <w:t xml:space="preserve">ادراك </w:t>
      </w:r>
      <w:r w:rsidR="009B4ED1" w:rsidRPr="00A4755C">
        <w:rPr>
          <w:rFonts w:hint="cs"/>
          <w:sz w:val="8"/>
          <w:szCs w:val="24"/>
          <w:rtl/>
        </w:rPr>
        <w:t>ب</w:t>
      </w:r>
      <w:r w:rsidRPr="00A4755C">
        <w:rPr>
          <w:rFonts w:hint="cs"/>
          <w:sz w:val="8"/>
          <w:szCs w:val="24"/>
          <w:rtl/>
          <w:lang w:val="en-US"/>
        </w:rPr>
        <w:t>تكرار حدوث المخاطر الطبيعية خلال السنة</w:t>
      </w:r>
      <w:bookmarkEnd w:id="741"/>
    </w:p>
    <w:p w:rsidR="00C840FB" w:rsidRPr="00A4755C" w:rsidRDefault="00C840FB" w:rsidP="00C840FB">
      <w:pPr>
        <w:pStyle w:val="fegure"/>
        <w:rPr>
          <w:sz w:val="8"/>
          <w:szCs w:val="24"/>
          <w:rtl/>
          <w:lang w:val="en-US" w:bidi="ar-DZ"/>
        </w:rPr>
      </w:pPr>
      <w:bookmarkStart w:id="742" w:name="_Toc171803743"/>
      <w:r>
        <w:rPr>
          <w:rFonts w:hint="cs"/>
          <w:sz w:val="8"/>
          <w:szCs w:val="24"/>
          <w:rtl/>
          <w:lang w:val="en-US"/>
        </w:rPr>
        <w:t>المصدر: (الباحث، 2022)</w:t>
      </w:r>
      <w:bookmarkEnd w:id="742"/>
    </w:p>
    <w:p w:rsidR="00710D6A" w:rsidRDefault="00710D6A" w:rsidP="004E006F">
      <w:pPr>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12337F1A" wp14:editId="5C9FB613">
            <wp:extent cx="4199860" cy="2466754"/>
            <wp:effectExtent l="0" t="0" r="10795" b="10160"/>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8"/>
              </a:graphicData>
            </a:graphic>
          </wp:inline>
        </w:drawing>
      </w:r>
    </w:p>
    <w:p w:rsidR="00C12175" w:rsidRDefault="00C12175" w:rsidP="004E41AE">
      <w:pPr>
        <w:bidi/>
        <w:spacing w:before="240" w:after="0"/>
        <w:ind w:firstLine="282"/>
        <w:jc w:val="both"/>
        <w:rPr>
          <w:rFonts w:ascii="Simplified Arabic" w:hAnsi="Simplified Arabic" w:cs="Simplified Arabic"/>
          <w:sz w:val="24"/>
          <w:szCs w:val="24"/>
          <w:rtl/>
          <w:lang w:val="en-US"/>
        </w:rPr>
      </w:pPr>
      <w:r w:rsidRPr="009B6813">
        <w:rPr>
          <w:rFonts w:ascii="Simplified Arabic" w:hAnsi="Simplified Arabic" w:cs="Simplified Arabic" w:hint="cs"/>
          <w:sz w:val="24"/>
          <w:szCs w:val="24"/>
          <w:rtl/>
          <w:lang w:val="en-US"/>
        </w:rPr>
        <w:t>من</w:t>
      </w:r>
      <w:r w:rsidR="009B4ED1">
        <w:rPr>
          <w:rFonts w:ascii="Simplified Arabic" w:hAnsi="Simplified Arabic" w:cs="Simplified Arabic" w:hint="cs"/>
          <w:sz w:val="24"/>
          <w:szCs w:val="24"/>
          <w:rtl/>
          <w:lang w:val="en-US"/>
        </w:rPr>
        <w:t xml:space="preserve"> جهة اخرى،</w:t>
      </w:r>
      <w:r w:rsidRPr="009B6813">
        <w:rPr>
          <w:rFonts w:ascii="Simplified Arabic" w:hAnsi="Simplified Arabic" w:cs="Simplified Arabic" w:hint="cs"/>
          <w:sz w:val="24"/>
          <w:szCs w:val="24"/>
          <w:rtl/>
          <w:lang w:val="en-US"/>
        </w:rPr>
        <w:t xml:space="preserve"> النتائج</w:t>
      </w:r>
      <w:r>
        <w:rPr>
          <w:rFonts w:ascii="Simplified Arabic" w:hAnsi="Simplified Arabic" w:cs="Simplified Arabic" w:hint="cs"/>
          <w:sz w:val="24"/>
          <w:szCs w:val="24"/>
          <w:rtl/>
          <w:lang w:val="en-US"/>
        </w:rPr>
        <w:t xml:space="preserve"> المدرجة في الجدول </w:t>
      </w:r>
      <w:r>
        <w:rPr>
          <w:rFonts w:ascii="Simplified Arabic" w:eastAsia="Times New Roman" w:hAnsi="Simplified Arabic" w:cs="Simplified Arabic" w:hint="cs"/>
          <w:b/>
          <w:sz w:val="24"/>
          <w:szCs w:val="24"/>
          <w:rtl/>
          <w:lang w:val="en-US" w:eastAsia="fr-FR"/>
        </w:rPr>
        <w:t>(5-17)</w:t>
      </w:r>
      <w:r w:rsidRPr="009B6813">
        <w:rPr>
          <w:rFonts w:ascii="Simplified Arabic" w:hAnsi="Simplified Arabic" w:cs="Simplified Arabic" w:hint="cs"/>
          <w:sz w:val="24"/>
          <w:szCs w:val="24"/>
          <w:rtl/>
          <w:lang w:val="en-US"/>
        </w:rPr>
        <w:t xml:space="preserve"> تبين أن</w:t>
      </w:r>
      <w:r w:rsidRPr="009B6813">
        <w:rPr>
          <w:rFonts w:ascii="Simplified Arabic" w:hAnsi="Simplified Arabic" w:cs="Simplified Arabic"/>
          <w:sz w:val="24"/>
          <w:szCs w:val="24"/>
          <w:rtl/>
          <w:lang w:val="en-US"/>
        </w:rPr>
        <w:t xml:space="preserve"> </w:t>
      </w:r>
      <w:r w:rsidR="009B4ED1">
        <w:rPr>
          <w:rFonts w:ascii="Simplified Arabic" w:hAnsi="Simplified Arabic" w:cs="Simplified Arabic" w:hint="cs"/>
          <w:sz w:val="24"/>
          <w:szCs w:val="24"/>
          <w:rtl/>
          <w:lang w:val="en-US"/>
        </w:rPr>
        <w:t>الادراك</w:t>
      </w:r>
      <w:r w:rsidRPr="009B6813">
        <w:rPr>
          <w:rFonts w:ascii="Simplified Arabic" w:hAnsi="Simplified Arabic" w:cs="Simplified Arabic"/>
          <w:sz w:val="24"/>
          <w:szCs w:val="24"/>
          <w:rtl/>
          <w:lang w:val="en-US"/>
        </w:rPr>
        <w:t xml:space="preserve"> </w:t>
      </w:r>
      <w:r w:rsidRPr="009B6813">
        <w:rPr>
          <w:rFonts w:ascii="Simplified Arabic" w:hAnsi="Simplified Arabic" w:cs="Simplified Arabic" w:hint="cs"/>
          <w:sz w:val="24"/>
          <w:szCs w:val="24"/>
          <w:rtl/>
          <w:lang w:val="en-US"/>
        </w:rPr>
        <w:t>بتكرار المخاطر</w:t>
      </w:r>
      <w:r w:rsidRPr="009B6813">
        <w:rPr>
          <w:rFonts w:ascii="Simplified Arabic" w:hAnsi="Simplified Arabic" w:cs="Simplified Arabic"/>
          <w:sz w:val="24"/>
          <w:szCs w:val="24"/>
          <w:rtl/>
          <w:lang w:val="en-US"/>
        </w:rPr>
        <w:t xml:space="preserve"> </w:t>
      </w:r>
      <w:r w:rsidRPr="009B6813">
        <w:rPr>
          <w:rFonts w:ascii="Simplified Arabic" w:hAnsi="Simplified Arabic" w:cs="Simplified Arabic" w:hint="cs"/>
          <w:sz w:val="24"/>
          <w:szCs w:val="24"/>
          <w:rtl/>
          <w:lang w:val="en-US"/>
        </w:rPr>
        <w:t>في</w:t>
      </w:r>
      <w:r w:rsidRPr="009B6813">
        <w:rPr>
          <w:rFonts w:ascii="Simplified Arabic" w:hAnsi="Simplified Arabic" w:cs="Simplified Arabic"/>
          <w:sz w:val="24"/>
          <w:szCs w:val="24"/>
          <w:rtl/>
          <w:lang w:val="en-US"/>
        </w:rPr>
        <w:t xml:space="preserve"> </w:t>
      </w:r>
      <w:r w:rsidRPr="009B6813">
        <w:rPr>
          <w:rFonts w:ascii="Simplified Arabic" w:hAnsi="Simplified Arabic" w:cs="Simplified Arabic" w:hint="cs"/>
          <w:sz w:val="24"/>
          <w:szCs w:val="24"/>
          <w:rtl/>
          <w:lang w:val="en-US"/>
        </w:rPr>
        <w:t>المدينة ير</w:t>
      </w:r>
      <w:r w:rsidR="009B4ED1">
        <w:rPr>
          <w:rFonts w:ascii="Simplified Arabic" w:hAnsi="Simplified Arabic" w:cs="Simplified Arabic" w:hint="cs"/>
          <w:sz w:val="24"/>
          <w:szCs w:val="24"/>
          <w:rtl/>
          <w:lang w:val="en-US"/>
        </w:rPr>
        <w:t>ت</w:t>
      </w:r>
      <w:r w:rsidRPr="009B6813">
        <w:rPr>
          <w:rFonts w:ascii="Simplified Arabic" w:hAnsi="Simplified Arabic" w:cs="Simplified Arabic" w:hint="cs"/>
          <w:sz w:val="24"/>
          <w:szCs w:val="24"/>
          <w:rtl/>
          <w:lang w:val="en-US"/>
        </w:rPr>
        <w:t>كز اساسا على خطر الفيضانات</w:t>
      </w:r>
      <w:r>
        <w:rPr>
          <w:rFonts w:ascii="Simplified Arabic" w:hAnsi="Simplified Arabic" w:cs="Simplified Arabic" w:hint="cs"/>
          <w:sz w:val="24"/>
          <w:szCs w:val="24"/>
          <w:rtl/>
          <w:lang w:val="en-US"/>
        </w:rPr>
        <w:t xml:space="preserve"> التي تميزت بالشدة</w:t>
      </w:r>
      <w:r w:rsidRPr="009B6813">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و</w:t>
      </w:r>
      <w:r w:rsidRPr="009B6813">
        <w:rPr>
          <w:rFonts w:ascii="Simplified Arabic" w:hAnsi="Simplified Arabic" w:cs="Simplified Arabic" w:hint="cs"/>
          <w:sz w:val="24"/>
          <w:szCs w:val="24"/>
          <w:rtl/>
          <w:lang w:val="en-US"/>
        </w:rPr>
        <w:t xml:space="preserve">التكرار </w:t>
      </w:r>
      <w:r w:rsidR="007B3D15">
        <w:rPr>
          <w:rFonts w:ascii="Simplified Arabic" w:hAnsi="Simplified Arabic" w:cs="Simplified Arabic" w:hint="cs"/>
          <w:sz w:val="24"/>
          <w:szCs w:val="24"/>
          <w:rtl/>
          <w:lang w:val="en-US"/>
        </w:rPr>
        <w:t>كل</w:t>
      </w:r>
      <w:r w:rsidRPr="009B6813">
        <w:rPr>
          <w:rFonts w:ascii="Simplified Arabic" w:hAnsi="Simplified Arabic" w:cs="Simplified Arabic" w:hint="cs"/>
          <w:sz w:val="24"/>
          <w:szCs w:val="24"/>
          <w:rtl/>
          <w:lang w:val="en-US"/>
        </w:rPr>
        <w:t xml:space="preserve"> سنة</w:t>
      </w:r>
      <w:r>
        <w:rPr>
          <w:rFonts w:ascii="Simplified Arabic" w:hAnsi="Simplified Arabic" w:cs="Simplified Arabic" w:hint="cs"/>
          <w:sz w:val="24"/>
          <w:szCs w:val="24"/>
          <w:rtl/>
          <w:lang w:val="en-US"/>
        </w:rPr>
        <w:t xml:space="preserve">، لطالما احدثت اضطرابات </w:t>
      </w:r>
      <w:r w:rsidR="009B4ED1">
        <w:rPr>
          <w:rFonts w:ascii="Simplified Arabic" w:hAnsi="Simplified Arabic" w:cs="Simplified Arabic" w:hint="cs"/>
          <w:sz w:val="24"/>
          <w:szCs w:val="24"/>
          <w:rtl/>
          <w:lang w:val="en-US"/>
        </w:rPr>
        <w:t xml:space="preserve">في </w:t>
      </w:r>
      <w:r>
        <w:rPr>
          <w:rFonts w:ascii="Simplified Arabic" w:hAnsi="Simplified Arabic" w:cs="Simplified Arabic" w:hint="cs"/>
          <w:sz w:val="24"/>
          <w:szCs w:val="24"/>
          <w:rtl/>
          <w:lang w:val="en-US"/>
        </w:rPr>
        <w:t>الحركة وال</w:t>
      </w:r>
      <w:r w:rsidR="009B4ED1">
        <w:rPr>
          <w:rFonts w:ascii="Simplified Arabic" w:hAnsi="Simplified Arabic" w:cs="Simplified Arabic" w:hint="cs"/>
          <w:sz w:val="24"/>
          <w:szCs w:val="24"/>
          <w:rtl/>
          <w:lang w:val="en-US"/>
        </w:rPr>
        <w:t>خدمات</w:t>
      </w:r>
      <w:r>
        <w:rPr>
          <w:rFonts w:ascii="Simplified Arabic" w:hAnsi="Simplified Arabic" w:cs="Simplified Arabic" w:hint="cs"/>
          <w:sz w:val="24"/>
          <w:szCs w:val="24"/>
          <w:rtl/>
          <w:lang w:val="en-US"/>
        </w:rPr>
        <w:t xml:space="preserve"> بالمدينة</w:t>
      </w:r>
      <w:r w:rsidRPr="009B6813">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كما</w:t>
      </w:r>
      <w:r w:rsidRPr="008D159F">
        <w:rPr>
          <w:rFonts w:ascii="Simplified Arabic" w:hAnsi="Simplified Arabic" w:cs="Simplified Arabic" w:hint="cs"/>
          <w:sz w:val="24"/>
          <w:szCs w:val="24"/>
          <w:rtl/>
          <w:lang w:val="en-US"/>
        </w:rPr>
        <w:t xml:space="preserve"> </w:t>
      </w:r>
      <w:r w:rsidR="009B4ED1">
        <w:rPr>
          <w:rFonts w:ascii="Simplified Arabic" w:hAnsi="Simplified Arabic" w:cs="Simplified Arabic" w:hint="cs"/>
          <w:sz w:val="24"/>
          <w:szCs w:val="24"/>
          <w:rtl/>
          <w:lang w:val="en-US"/>
        </w:rPr>
        <w:t>ي</w:t>
      </w:r>
      <w:r>
        <w:rPr>
          <w:rFonts w:ascii="Simplified Arabic" w:hAnsi="Simplified Arabic" w:cs="Simplified Arabic" w:hint="cs"/>
          <w:sz w:val="24"/>
          <w:szCs w:val="24"/>
          <w:rtl/>
          <w:lang w:val="en-US"/>
        </w:rPr>
        <w:t>ر</w:t>
      </w:r>
      <w:r w:rsidR="009B4ED1">
        <w:rPr>
          <w:rFonts w:ascii="Simplified Arabic" w:hAnsi="Simplified Arabic" w:cs="Simplified Arabic" w:hint="cs"/>
          <w:sz w:val="24"/>
          <w:szCs w:val="24"/>
          <w:rtl/>
          <w:lang w:val="en-US"/>
        </w:rPr>
        <w:t>ت</w:t>
      </w:r>
      <w:r>
        <w:rPr>
          <w:rFonts w:ascii="Simplified Arabic" w:hAnsi="Simplified Arabic" w:cs="Simplified Arabic" w:hint="cs"/>
          <w:sz w:val="24"/>
          <w:szCs w:val="24"/>
          <w:rtl/>
          <w:lang w:val="en-US"/>
        </w:rPr>
        <w:t xml:space="preserve">كز </w:t>
      </w:r>
      <w:r w:rsidR="009B4ED1">
        <w:rPr>
          <w:rFonts w:ascii="Simplified Arabic" w:hAnsi="Simplified Arabic" w:cs="Simplified Arabic" w:hint="cs"/>
          <w:sz w:val="24"/>
          <w:szCs w:val="24"/>
          <w:rtl/>
          <w:lang w:val="en-US"/>
        </w:rPr>
        <w:t>الادراك</w:t>
      </w:r>
      <w:r w:rsidRPr="009B6813">
        <w:rPr>
          <w:rFonts w:ascii="Simplified Arabic" w:hAnsi="Simplified Arabic" w:cs="Simplified Arabic"/>
          <w:sz w:val="24"/>
          <w:szCs w:val="24"/>
          <w:rtl/>
          <w:lang w:val="en-US"/>
        </w:rPr>
        <w:t xml:space="preserve"> </w:t>
      </w:r>
      <w:r w:rsidR="009B4ED1">
        <w:rPr>
          <w:rFonts w:ascii="Simplified Arabic" w:hAnsi="Simplified Arabic" w:cs="Simplified Arabic" w:hint="cs"/>
          <w:sz w:val="24"/>
          <w:szCs w:val="24"/>
          <w:rtl/>
          <w:lang w:val="en-US"/>
        </w:rPr>
        <w:t xml:space="preserve">على </w:t>
      </w:r>
      <w:r w:rsidRPr="009B6813">
        <w:rPr>
          <w:rFonts w:ascii="Simplified Arabic" w:hAnsi="Simplified Arabic" w:cs="Simplified Arabic" w:hint="cs"/>
          <w:sz w:val="24"/>
          <w:szCs w:val="24"/>
          <w:rtl/>
          <w:lang w:val="en-US"/>
        </w:rPr>
        <w:t>تكرار</w:t>
      </w:r>
      <w:r>
        <w:rPr>
          <w:rFonts w:ascii="Simplified Arabic" w:hAnsi="Simplified Arabic" w:cs="Simplified Arabic" w:hint="cs"/>
          <w:sz w:val="24"/>
          <w:szCs w:val="24"/>
          <w:rtl/>
          <w:lang w:val="en-US"/>
        </w:rPr>
        <w:t xml:space="preserve"> مخاطر </w:t>
      </w:r>
      <w:r w:rsidRPr="001C034A">
        <w:rPr>
          <w:rFonts w:ascii="Simplified Arabic" w:hAnsi="Simplified Arabic" w:cs="Simplified Arabic" w:hint="cs"/>
          <w:sz w:val="24"/>
          <w:szCs w:val="24"/>
          <w:rtl/>
        </w:rPr>
        <w:t>التصحر</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val="en-US"/>
        </w:rPr>
        <w:t xml:space="preserve">التي </w:t>
      </w:r>
      <w:r>
        <w:rPr>
          <w:rFonts w:ascii="Simplified Arabic" w:hAnsi="Simplified Arabic" w:cs="Simplified Arabic" w:hint="cs"/>
          <w:sz w:val="24"/>
          <w:szCs w:val="24"/>
          <w:rtl/>
        </w:rPr>
        <w:t>تسببت في تكوين ظاهرة الترمل بالمدينة خلال الرياح</w:t>
      </w:r>
      <w:r w:rsidRPr="00E945E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الموسمية</w:t>
      </w:r>
      <w:r w:rsidRPr="009B6813">
        <w:rPr>
          <w:rFonts w:ascii="Simplified Arabic" w:hAnsi="Simplified Arabic" w:cs="Simplified Arabic" w:hint="cs"/>
          <w:sz w:val="24"/>
          <w:szCs w:val="24"/>
          <w:rtl/>
          <w:lang w:val="en-US"/>
        </w:rPr>
        <w:t>.</w:t>
      </w:r>
    </w:p>
    <w:p w:rsidR="00710D6A" w:rsidRDefault="00671018" w:rsidP="008B4DD2">
      <w:pPr>
        <w:pStyle w:val="Tableau"/>
        <w:rPr>
          <w:rtl/>
          <w:lang w:val="en-US"/>
        </w:rPr>
      </w:pPr>
      <w:bookmarkStart w:id="743" w:name="_Toc157613007"/>
      <w:bookmarkStart w:id="744" w:name="_Toc171803744"/>
      <w:r>
        <w:rPr>
          <w:rFonts w:hint="cs"/>
          <w:rtl/>
          <w:lang w:val="en-US"/>
        </w:rPr>
        <w:t>الجدول</w:t>
      </w:r>
      <w:r w:rsidR="00710D6A" w:rsidRPr="00A71970">
        <w:rPr>
          <w:rtl/>
          <w:lang w:val="en-US"/>
        </w:rPr>
        <w:t xml:space="preserve"> </w:t>
      </w:r>
      <w:r w:rsidR="00710D6A">
        <w:rPr>
          <w:rFonts w:hint="cs"/>
          <w:rtl/>
          <w:lang w:val="en-US"/>
        </w:rPr>
        <w:t>(5-17)</w:t>
      </w:r>
      <w:r w:rsidR="00710D6A" w:rsidRPr="00A71970">
        <w:rPr>
          <w:rtl/>
          <w:lang w:val="en-US"/>
        </w:rPr>
        <w:t xml:space="preserve">: </w:t>
      </w:r>
      <w:r w:rsidR="00710D6A" w:rsidRPr="002E7B86">
        <w:rPr>
          <w:rFonts w:hint="cs"/>
          <w:rtl/>
          <w:lang w:val="en-US"/>
        </w:rPr>
        <w:t>توزيع أفراد عيّنة</w:t>
      </w:r>
      <w:r w:rsidR="00710D6A" w:rsidRPr="002E7B86">
        <w:rPr>
          <w:rFonts w:hint="cs"/>
          <w:rtl/>
        </w:rPr>
        <w:t xml:space="preserve"> </w:t>
      </w:r>
      <w:r w:rsidR="009B4ED1">
        <w:rPr>
          <w:rFonts w:hint="cs"/>
          <w:rtl/>
        </w:rPr>
        <w:t>ال</w:t>
      </w:r>
      <w:r w:rsidR="00710D6A" w:rsidRPr="002E7B86">
        <w:rPr>
          <w:rFonts w:hint="cs"/>
          <w:rtl/>
        </w:rPr>
        <w:t xml:space="preserve">ادراك </w:t>
      </w:r>
      <w:r w:rsidR="009B4ED1">
        <w:rPr>
          <w:rFonts w:hint="cs"/>
          <w:rtl/>
        </w:rPr>
        <w:t>ب</w:t>
      </w:r>
      <w:r w:rsidR="00710D6A">
        <w:rPr>
          <w:rFonts w:hint="cs"/>
          <w:rtl/>
          <w:lang w:val="en-US"/>
        </w:rPr>
        <w:t>تكرار حدوث المخاطر الطبيعية خلال السنة</w:t>
      </w:r>
      <w:bookmarkEnd w:id="743"/>
      <w:bookmarkEnd w:id="744"/>
    </w:p>
    <w:p w:rsidR="00C840FB" w:rsidRPr="00C840FB" w:rsidRDefault="00C840FB" w:rsidP="00C840FB">
      <w:pPr>
        <w:pStyle w:val="fegure"/>
        <w:rPr>
          <w:sz w:val="8"/>
          <w:szCs w:val="24"/>
          <w:rtl/>
          <w:lang w:val="en-US" w:bidi="ar-DZ"/>
        </w:rPr>
      </w:pPr>
      <w:bookmarkStart w:id="745" w:name="_Toc171803745"/>
      <w:r>
        <w:rPr>
          <w:rFonts w:hint="cs"/>
          <w:sz w:val="8"/>
          <w:szCs w:val="24"/>
          <w:rtl/>
          <w:lang w:val="en-US"/>
        </w:rPr>
        <w:t>المصدر: (الباحث، 2022)</w:t>
      </w:r>
      <w:bookmarkEnd w:id="745"/>
    </w:p>
    <w:tbl>
      <w:tblPr>
        <w:tblStyle w:val="Grilledutableau"/>
        <w:bidiVisual/>
        <w:tblW w:w="0" w:type="auto"/>
        <w:jc w:val="center"/>
        <w:tblInd w:w="107" w:type="dxa"/>
        <w:tblLayout w:type="fixed"/>
        <w:tblLook w:val="04A0" w:firstRow="1" w:lastRow="0" w:firstColumn="1" w:lastColumn="0" w:noHBand="0" w:noVBand="1"/>
      </w:tblPr>
      <w:tblGrid>
        <w:gridCol w:w="972"/>
        <w:gridCol w:w="870"/>
        <w:gridCol w:w="832"/>
        <w:gridCol w:w="833"/>
        <w:gridCol w:w="833"/>
        <w:gridCol w:w="833"/>
        <w:gridCol w:w="833"/>
        <w:gridCol w:w="833"/>
        <w:gridCol w:w="833"/>
        <w:gridCol w:w="833"/>
      </w:tblGrid>
      <w:tr w:rsidR="00590C5C" w:rsidRPr="00821E5A" w:rsidTr="007B44C0">
        <w:trPr>
          <w:jc w:val="center"/>
        </w:trPr>
        <w:tc>
          <w:tcPr>
            <w:tcW w:w="972" w:type="dxa"/>
            <w:vMerge w:val="restart"/>
            <w:vAlign w:val="center"/>
          </w:tcPr>
          <w:p w:rsidR="00590C5C" w:rsidRPr="00821E5A" w:rsidRDefault="00590C5C"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الحي</w:t>
            </w:r>
          </w:p>
        </w:tc>
        <w:tc>
          <w:tcPr>
            <w:tcW w:w="870" w:type="dxa"/>
            <w:vMerge w:val="restart"/>
            <w:vAlign w:val="center"/>
          </w:tcPr>
          <w:p w:rsidR="00590C5C" w:rsidRPr="00821E5A" w:rsidRDefault="00590C5C" w:rsidP="00821E5A">
            <w:pPr>
              <w:bidi/>
              <w:jc w:val="center"/>
              <w:rPr>
                <w:rFonts w:ascii="Simplified Arabic" w:hAnsi="Simplified Arabic" w:cs="Simplified Arabic"/>
                <w:color w:val="000000" w:themeColor="text1"/>
                <w:sz w:val="24"/>
                <w:szCs w:val="24"/>
                <w:rtl/>
                <w:lang w:val="en-US"/>
              </w:rPr>
            </w:pPr>
            <w:r w:rsidRPr="00821E5A">
              <w:rPr>
                <w:rFonts w:ascii="Simplified Arabic" w:hAnsi="Simplified Arabic" w:cs="Simplified Arabic"/>
                <w:color w:val="000000" w:themeColor="text1"/>
                <w:sz w:val="24"/>
                <w:szCs w:val="24"/>
                <w:rtl/>
                <w:lang w:val="en-US"/>
              </w:rPr>
              <w:t>نوع الاجابة</w:t>
            </w:r>
          </w:p>
        </w:tc>
        <w:tc>
          <w:tcPr>
            <w:tcW w:w="1665" w:type="dxa"/>
            <w:gridSpan w:val="2"/>
            <w:vAlign w:val="center"/>
          </w:tcPr>
          <w:p w:rsidR="00590C5C" w:rsidRPr="000A17C3" w:rsidRDefault="00590C5C"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الفيضانات</w:t>
            </w:r>
          </w:p>
        </w:tc>
        <w:tc>
          <w:tcPr>
            <w:tcW w:w="1666" w:type="dxa"/>
            <w:gridSpan w:val="2"/>
            <w:vAlign w:val="center"/>
          </w:tcPr>
          <w:p w:rsidR="00590C5C" w:rsidRPr="000A17C3" w:rsidRDefault="00590C5C"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انزلاق التربة</w:t>
            </w:r>
          </w:p>
        </w:tc>
        <w:tc>
          <w:tcPr>
            <w:tcW w:w="1666" w:type="dxa"/>
            <w:gridSpan w:val="2"/>
            <w:vAlign w:val="center"/>
          </w:tcPr>
          <w:p w:rsidR="00590C5C" w:rsidRPr="000A17C3" w:rsidRDefault="00590C5C"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الزلازل</w:t>
            </w:r>
          </w:p>
        </w:tc>
        <w:tc>
          <w:tcPr>
            <w:tcW w:w="1666" w:type="dxa"/>
            <w:gridSpan w:val="2"/>
            <w:vAlign w:val="center"/>
          </w:tcPr>
          <w:p w:rsidR="00590C5C" w:rsidRPr="000A17C3" w:rsidRDefault="00590C5C"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التصحر (الترمل)</w:t>
            </w:r>
          </w:p>
        </w:tc>
      </w:tr>
      <w:tr w:rsidR="00590C5C" w:rsidRPr="00821E5A" w:rsidTr="007B44C0">
        <w:trPr>
          <w:jc w:val="center"/>
        </w:trPr>
        <w:tc>
          <w:tcPr>
            <w:tcW w:w="972" w:type="dxa"/>
            <w:vMerge/>
            <w:vAlign w:val="center"/>
          </w:tcPr>
          <w:p w:rsidR="00590C5C" w:rsidRPr="000A17C3" w:rsidRDefault="00590C5C" w:rsidP="00821E5A">
            <w:pPr>
              <w:bidi/>
              <w:jc w:val="center"/>
              <w:rPr>
                <w:rFonts w:ascii="Simplified Arabic" w:eastAsia="Times New Roman" w:hAnsi="Simplified Arabic" w:cs="Simplified Arabic"/>
                <w:color w:val="000000" w:themeColor="text1"/>
                <w:sz w:val="24"/>
                <w:szCs w:val="24"/>
                <w:rtl/>
                <w:lang w:eastAsia="fr-FR"/>
              </w:rPr>
            </w:pPr>
          </w:p>
        </w:tc>
        <w:tc>
          <w:tcPr>
            <w:tcW w:w="870" w:type="dxa"/>
            <w:vMerge/>
            <w:vAlign w:val="center"/>
          </w:tcPr>
          <w:p w:rsidR="00590C5C" w:rsidRPr="00821E5A" w:rsidRDefault="00590C5C" w:rsidP="00821E5A">
            <w:pPr>
              <w:bidi/>
              <w:jc w:val="center"/>
              <w:rPr>
                <w:rFonts w:ascii="Simplified Arabic" w:hAnsi="Simplified Arabic" w:cs="Simplified Arabic"/>
                <w:color w:val="000000" w:themeColor="text1"/>
                <w:sz w:val="24"/>
                <w:szCs w:val="24"/>
                <w:rtl/>
                <w:lang w:val="en-US"/>
              </w:rPr>
            </w:pPr>
          </w:p>
        </w:tc>
        <w:tc>
          <w:tcPr>
            <w:tcW w:w="832" w:type="dxa"/>
            <w:vAlign w:val="center"/>
          </w:tcPr>
          <w:p w:rsidR="00590C5C" w:rsidRPr="000A17C3" w:rsidRDefault="00590C5C" w:rsidP="00821E5A">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العدد</w:t>
            </w:r>
          </w:p>
        </w:tc>
        <w:tc>
          <w:tcPr>
            <w:tcW w:w="833" w:type="dxa"/>
          </w:tcPr>
          <w:p w:rsidR="00590C5C" w:rsidRPr="000A17C3" w:rsidRDefault="00590C5C" w:rsidP="00821E5A">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النسبة (</w:t>
            </w:r>
            <w:r>
              <w:rPr>
                <w:rFonts w:ascii="Simplified Arabic" w:eastAsia="Times New Roman" w:hAnsi="Simplified Arabic" w:cs="Simplified Arabic"/>
                <w:color w:val="000000" w:themeColor="text1"/>
                <w:sz w:val="24"/>
                <w:szCs w:val="24"/>
                <w:lang w:eastAsia="fr-FR"/>
              </w:rPr>
              <w:t>%</w:t>
            </w:r>
            <w:r>
              <w:rPr>
                <w:rFonts w:ascii="Simplified Arabic" w:eastAsia="Times New Roman" w:hAnsi="Simplified Arabic" w:cs="Simplified Arabic" w:hint="cs"/>
                <w:color w:val="000000" w:themeColor="text1"/>
                <w:sz w:val="24"/>
                <w:szCs w:val="24"/>
                <w:rtl/>
                <w:lang w:eastAsia="fr-FR"/>
              </w:rPr>
              <w:t>)</w:t>
            </w:r>
          </w:p>
        </w:tc>
        <w:tc>
          <w:tcPr>
            <w:tcW w:w="833" w:type="dxa"/>
            <w:vAlign w:val="center"/>
          </w:tcPr>
          <w:p w:rsidR="00590C5C" w:rsidRPr="000A17C3" w:rsidRDefault="00590C5C" w:rsidP="00E0129E">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العدد</w:t>
            </w:r>
          </w:p>
        </w:tc>
        <w:tc>
          <w:tcPr>
            <w:tcW w:w="833" w:type="dxa"/>
          </w:tcPr>
          <w:p w:rsidR="00590C5C" w:rsidRPr="000A17C3" w:rsidRDefault="00590C5C" w:rsidP="00E0129E">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النسبة (</w:t>
            </w:r>
            <w:r>
              <w:rPr>
                <w:rFonts w:ascii="Simplified Arabic" w:eastAsia="Times New Roman" w:hAnsi="Simplified Arabic" w:cs="Simplified Arabic"/>
                <w:color w:val="000000" w:themeColor="text1"/>
                <w:sz w:val="24"/>
                <w:szCs w:val="24"/>
                <w:lang w:eastAsia="fr-FR"/>
              </w:rPr>
              <w:t>%</w:t>
            </w:r>
            <w:r>
              <w:rPr>
                <w:rFonts w:ascii="Simplified Arabic" w:eastAsia="Times New Roman" w:hAnsi="Simplified Arabic" w:cs="Simplified Arabic" w:hint="cs"/>
                <w:color w:val="000000" w:themeColor="text1"/>
                <w:sz w:val="24"/>
                <w:szCs w:val="24"/>
                <w:rtl/>
                <w:lang w:eastAsia="fr-FR"/>
              </w:rPr>
              <w:t>)</w:t>
            </w:r>
          </w:p>
        </w:tc>
        <w:tc>
          <w:tcPr>
            <w:tcW w:w="833" w:type="dxa"/>
            <w:vAlign w:val="center"/>
          </w:tcPr>
          <w:p w:rsidR="00590C5C" w:rsidRPr="000A17C3" w:rsidRDefault="00590C5C" w:rsidP="00E0129E">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العدد</w:t>
            </w:r>
          </w:p>
        </w:tc>
        <w:tc>
          <w:tcPr>
            <w:tcW w:w="833" w:type="dxa"/>
          </w:tcPr>
          <w:p w:rsidR="00590C5C" w:rsidRPr="000A17C3" w:rsidRDefault="00590C5C" w:rsidP="00E0129E">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النسبة (</w:t>
            </w:r>
            <w:r>
              <w:rPr>
                <w:rFonts w:ascii="Simplified Arabic" w:eastAsia="Times New Roman" w:hAnsi="Simplified Arabic" w:cs="Simplified Arabic"/>
                <w:color w:val="000000" w:themeColor="text1"/>
                <w:sz w:val="24"/>
                <w:szCs w:val="24"/>
                <w:lang w:eastAsia="fr-FR"/>
              </w:rPr>
              <w:t>%</w:t>
            </w:r>
            <w:r>
              <w:rPr>
                <w:rFonts w:ascii="Simplified Arabic" w:eastAsia="Times New Roman" w:hAnsi="Simplified Arabic" w:cs="Simplified Arabic" w:hint="cs"/>
                <w:color w:val="000000" w:themeColor="text1"/>
                <w:sz w:val="24"/>
                <w:szCs w:val="24"/>
                <w:rtl/>
                <w:lang w:eastAsia="fr-FR"/>
              </w:rPr>
              <w:t>)</w:t>
            </w:r>
          </w:p>
        </w:tc>
        <w:tc>
          <w:tcPr>
            <w:tcW w:w="833" w:type="dxa"/>
            <w:vAlign w:val="center"/>
          </w:tcPr>
          <w:p w:rsidR="00590C5C" w:rsidRPr="000A17C3" w:rsidRDefault="00590C5C" w:rsidP="00E0129E">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العدد</w:t>
            </w:r>
          </w:p>
        </w:tc>
        <w:tc>
          <w:tcPr>
            <w:tcW w:w="833" w:type="dxa"/>
          </w:tcPr>
          <w:p w:rsidR="00590C5C" w:rsidRPr="000A17C3" w:rsidRDefault="00590C5C" w:rsidP="00E0129E">
            <w:pPr>
              <w:bidi/>
              <w:jc w:val="center"/>
              <w:rPr>
                <w:rFonts w:ascii="Simplified Arabic" w:eastAsia="Times New Roman" w:hAnsi="Simplified Arabic" w:cs="Simplified Arabic"/>
                <w:color w:val="000000" w:themeColor="text1"/>
                <w:sz w:val="24"/>
                <w:szCs w:val="24"/>
                <w:rtl/>
                <w:lang w:eastAsia="fr-FR"/>
              </w:rPr>
            </w:pPr>
            <w:r>
              <w:rPr>
                <w:rFonts w:ascii="Simplified Arabic" w:eastAsia="Times New Roman" w:hAnsi="Simplified Arabic" w:cs="Simplified Arabic" w:hint="cs"/>
                <w:color w:val="000000" w:themeColor="text1"/>
                <w:sz w:val="24"/>
                <w:szCs w:val="24"/>
                <w:rtl/>
                <w:lang w:eastAsia="fr-FR"/>
              </w:rPr>
              <w:t>النسبة (</w:t>
            </w:r>
            <w:r>
              <w:rPr>
                <w:rFonts w:ascii="Simplified Arabic" w:eastAsia="Times New Roman" w:hAnsi="Simplified Arabic" w:cs="Simplified Arabic"/>
                <w:color w:val="000000" w:themeColor="text1"/>
                <w:sz w:val="24"/>
                <w:szCs w:val="24"/>
                <w:lang w:eastAsia="fr-FR"/>
              </w:rPr>
              <w:t>%</w:t>
            </w:r>
            <w:r>
              <w:rPr>
                <w:rFonts w:ascii="Simplified Arabic" w:eastAsia="Times New Roman" w:hAnsi="Simplified Arabic" w:cs="Simplified Arabic" w:hint="cs"/>
                <w:color w:val="000000" w:themeColor="text1"/>
                <w:sz w:val="24"/>
                <w:szCs w:val="24"/>
                <w:rtl/>
                <w:lang w:eastAsia="fr-FR"/>
              </w:rPr>
              <w:t>)</w:t>
            </w:r>
          </w:p>
        </w:tc>
      </w:tr>
      <w:tr w:rsidR="007443E9" w:rsidRPr="00821E5A" w:rsidTr="007B44C0">
        <w:trPr>
          <w:jc w:val="center"/>
        </w:trPr>
        <w:tc>
          <w:tcPr>
            <w:tcW w:w="972" w:type="dxa"/>
            <w:vMerge w:val="restart"/>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سيدي سليمان</w:t>
            </w:r>
          </w:p>
        </w:tc>
        <w:tc>
          <w:tcPr>
            <w:tcW w:w="870" w:type="dxa"/>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نعم</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322</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83,64</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25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6,49</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3,90</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285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74,03</w:t>
            </w:r>
          </w:p>
        </w:tc>
      </w:tr>
      <w:tr w:rsidR="007443E9" w:rsidRPr="00821E5A" w:rsidTr="007B44C0">
        <w:trPr>
          <w:jc w:val="center"/>
        </w:trPr>
        <w:tc>
          <w:tcPr>
            <w:tcW w:w="972" w:type="dxa"/>
            <w:vMerge/>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p>
        </w:tc>
        <w:tc>
          <w:tcPr>
            <w:tcW w:w="870" w:type="dxa"/>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لا</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63</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16,36</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360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93,51</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370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96,10</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100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25,97</w:t>
            </w:r>
          </w:p>
        </w:tc>
      </w:tr>
      <w:tr w:rsidR="007443E9" w:rsidRPr="00821E5A" w:rsidTr="007B44C0">
        <w:trPr>
          <w:jc w:val="center"/>
        </w:trPr>
        <w:tc>
          <w:tcPr>
            <w:tcW w:w="972" w:type="dxa"/>
            <w:vMerge w:val="restart"/>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ميطر</w:t>
            </w:r>
          </w:p>
        </w:tc>
        <w:tc>
          <w:tcPr>
            <w:tcW w:w="870" w:type="dxa"/>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نعم</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347</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90,13</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2,60</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14</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3,64</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315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81,82</w:t>
            </w:r>
          </w:p>
        </w:tc>
      </w:tr>
      <w:tr w:rsidR="007443E9" w:rsidRPr="00821E5A" w:rsidTr="007B44C0">
        <w:trPr>
          <w:jc w:val="center"/>
        </w:trPr>
        <w:tc>
          <w:tcPr>
            <w:tcW w:w="972" w:type="dxa"/>
            <w:vMerge/>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p>
        </w:tc>
        <w:tc>
          <w:tcPr>
            <w:tcW w:w="870" w:type="dxa"/>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لا</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38</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9,87</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375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97,40</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371</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96,36</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70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18,18</w:t>
            </w:r>
          </w:p>
        </w:tc>
      </w:tr>
      <w:tr w:rsidR="007443E9" w:rsidRPr="00821E5A" w:rsidTr="007B44C0">
        <w:trPr>
          <w:jc w:val="center"/>
        </w:trPr>
        <w:tc>
          <w:tcPr>
            <w:tcW w:w="972" w:type="dxa"/>
            <w:vMerge w:val="restart"/>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الحمايد</w:t>
            </w:r>
          </w:p>
        </w:tc>
        <w:tc>
          <w:tcPr>
            <w:tcW w:w="870" w:type="dxa"/>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نعم</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315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81,82</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19</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4,94</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22</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5,71</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260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67,53</w:t>
            </w:r>
          </w:p>
        </w:tc>
      </w:tr>
      <w:tr w:rsidR="007443E9" w:rsidRPr="00821E5A" w:rsidTr="007B44C0">
        <w:trPr>
          <w:jc w:val="center"/>
        </w:trPr>
        <w:tc>
          <w:tcPr>
            <w:tcW w:w="972" w:type="dxa"/>
            <w:vMerge/>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p>
        </w:tc>
        <w:tc>
          <w:tcPr>
            <w:tcW w:w="870" w:type="dxa"/>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لا</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70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18,18</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366</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95,06</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363</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94,29</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125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32,47</w:t>
            </w:r>
          </w:p>
        </w:tc>
      </w:tr>
      <w:tr w:rsidR="007443E9" w:rsidRPr="00821E5A" w:rsidTr="007B44C0">
        <w:trPr>
          <w:jc w:val="center"/>
        </w:trPr>
        <w:tc>
          <w:tcPr>
            <w:tcW w:w="972" w:type="dxa"/>
            <w:vMerge w:val="restart"/>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الباطن</w:t>
            </w:r>
          </w:p>
        </w:tc>
        <w:tc>
          <w:tcPr>
            <w:tcW w:w="870" w:type="dxa"/>
            <w:vAlign w:val="center"/>
          </w:tcPr>
          <w:p w:rsidR="007443E9" w:rsidRPr="00821E5A" w:rsidRDefault="007443E9" w:rsidP="00821E5A">
            <w:pPr>
              <w:bidi/>
              <w:jc w:val="center"/>
              <w:rPr>
                <w:rFonts w:ascii="Simplified Arabic" w:hAnsi="Simplified Arabic" w:cs="Simplified Arabic"/>
                <w:color w:val="000000" w:themeColor="text1"/>
                <w:sz w:val="24"/>
                <w:szCs w:val="24"/>
                <w:rtl/>
                <w:lang w:val="en-US"/>
              </w:rPr>
            </w:pPr>
            <w:r w:rsidRPr="000A17C3">
              <w:rPr>
                <w:rFonts w:ascii="Simplified Arabic" w:eastAsia="Times New Roman" w:hAnsi="Simplified Arabic" w:cs="Simplified Arabic"/>
                <w:color w:val="000000" w:themeColor="text1"/>
                <w:sz w:val="24"/>
                <w:szCs w:val="24"/>
                <w:rtl/>
                <w:lang w:eastAsia="fr-FR"/>
              </w:rPr>
              <w:t>نعم</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341</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88,57</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10</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2,60</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17</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4,42</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342</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88,83</w:t>
            </w:r>
          </w:p>
        </w:tc>
      </w:tr>
      <w:tr w:rsidR="007443E9" w:rsidRPr="00821E5A" w:rsidTr="007B44C0">
        <w:trPr>
          <w:jc w:val="center"/>
        </w:trPr>
        <w:tc>
          <w:tcPr>
            <w:tcW w:w="972" w:type="dxa"/>
            <w:vMerge/>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p>
        </w:tc>
        <w:tc>
          <w:tcPr>
            <w:tcW w:w="870" w:type="dxa"/>
            <w:vAlign w:val="center"/>
          </w:tcPr>
          <w:p w:rsidR="007443E9" w:rsidRPr="00821E5A" w:rsidRDefault="007443E9" w:rsidP="00821E5A">
            <w:pPr>
              <w:bidi/>
              <w:jc w:val="center"/>
              <w:rPr>
                <w:rFonts w:ascii="Simplified Arabic" w:eastAsia="Times New Roman" w:hAnsi="Simplified Arabic" w:cs="Simplified Arabic"/>
                <w:color w:val="000000" w:themeColor="text1"/>
                <w:sz w:val="24"/>
                <w:szCs w:val="24"/>
                <w:rtl/>
                <w:lang w:eastAsia="fr-FR"/>
              </w:rPr>
            </w:pPr>
            <w:r w:rsidRPr="000A17C3">
              <w:rPr>
                <w:rFonts w:ascii="Simplified Arabic" w:eastAsia="Times New Roman" w:hAnsi="Simplified Arabic" w:cs="Simplified Arabic"/>
                <w:color w:val="000000" w:themeColor="text1"/>
                <w:sz w:val="24"/>
                <w:szCs w:val="24"/>
                <w:rtl/>
                <w:lang w:eastAsia="fr-FR"/>
              </w:rPr>
              <w:t>لا</w:t>
            </w:r>
          </w:p>
        </w:tc>
        <w:tc>
          <w:tcPr>
            <w:tcW w:w="832" w:type="dxa"/>
            <w:vAlign w:val="center"/>
          </w:tcPr>
          <w:p w:rsidR="007443E9" w:rsidRPr="00590C5C" w:rsidRDefault="007443E9" w:rsidP="00E0129E">
            <w:pPr>
              <w:jc w:val="center"/>
              <w:rPr>
                <w:rFonts w:ascii="Simplified Arabic" w:eastAsia="Times New Roman" w:hAnsi="Simplified Arabic" w:cs="Simplified Arabic"/>
                <w:color w:val="000000"/>
                <w:sz w:val="24"/>
                <w:szCs w:val="24"/>
                <w:lang w:eastAsia="fr-FR"/>
              </w:rPr>
            </w:pPr>
            <w:r w:rsidRPr="00590C5C">
              <w:rPr>
                <w:rFonts w:ascii="Simplified Arabic" w:eastAsia="Times New Roman" w:hAnsi="Simplified Arabic" w:cs="Simplified Arabic"/>
                <w:color w:val="000000"/>
                <w:sz w:val="24"/>
                <w:szCs w:val="24"/>
                <w:lang w:eastAsia="fr-FR"/>
              </w:rPr>
              <w:t>44</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11,43</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375</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97,40</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368</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95,58</w:t>
            </w:r>
          </w:p>
        </w:tc>
        <w:tc>
          <w:tcPr>
            <w:tcW w:w="833" w:type="dxa"/>
            <w:vAlign w:val="center"/>
          </w:tcPr>
          <w:p w:rsidR="007443E9" w:rsidRPr="00590C5C" w:rsidRDefault="007443E9" w:rsidP="00E0129E">
            <w:pPr>
              <w:jc w:val="center"/>
              <w:rPr>
                <w:rFonts w:ascii="Garamond" w:eastAsia="Times New Roman" w:hAnsi="Garamond" w:cs="Times New Roman"/>
                <w:color w:val="000000"/>
                <w:sz w:val="24"/>
                <w:szCs w:val="24"/>
                <w:lang w:eastAsia="fr-FR"/>
              </w:rPr>
            </w:pPr>
            <w:r w:rsidRPr="00590C5C">
              <w:rPr>
                <w:rFonts w:ascii="Garamond" w:eastAsia="Times New Roman" w:hAnsi="Garamond" w:cs="Times New Roman"/>
                <w:color w:val="000000"/>
                <w:sz w:val="24"/>
                <w:szCs w:val="24"/>
                <w:lang w:eastAsia="fr-FR"/>
              </w:rPr>
              <w:t>43</w:t>
            </w:r>
          </w:p>
        </w:tc>
        <w:tc>
          <w:tcPr>
            <w:tcW w:w="833" w:type="dxa"/>
            <w:vAlign w:val="center"/>
          </w:tcPr>
          <w:p w:rsidR="007443E9" w:rsidRPr="007443E9" w:rsidRDefault="007443E9">
            <w:pPr>
              <w:jc w:val="center"/>
              <w:rPr>
                <w:rFonts w:ascii="Garamond" w:eastAsia="Times New Roman" w:hAnsi="Garamond" w:cs="Times New Roman"/>
                <w:color w:val="000000"/>
                <w:sz w:val="24"/>
                <w:szCs w:val="24"/>
                <w:lang w:eastAsia="fr-FR"/>
              </w:rPr>
            </w:pPr>
            <w:r w:rsidRPr="007443E9">
              <w:rPr>
                <w:rFonts w:ascii="Garamond" w:eastAsia="Times New Roman" w:hAnsi="Garamond" w:cs="Times New Roman"/>
                <w:color w:val="000000"/>
                <w:sz w:val="24"/>
                <w:szCs w:val="24"/>
                <w:lang w:eastAsia="fr-FR"/>
              </w:rPr>
              <w:t>11,17</w:t>
            </w:r>
          </w:p>
        </w:tc>
      </w:tr>
    </w:tbl>
    <w:p w:rsidR="00C121B0" w:rsidRPr="002563B2" w:rsidRDefault="00F557E1" w:rsidP="001D0548">
      <w:pPr>
        <w:pStyle w:val="Paragraphedeliste"/>
        <w:numPr>
          <w:ilvl w:val="0"/>
          <w:numId w:val="177"/>
        </w:numPr>
        <w:tabs>
          <w:tab w:val="right" w:pos="850"/>
        </w:tabs>
        <w:bidi/>
        <w:spacing w:before="240" w:after="0"/>
        <w:ind w:left="-1" w:firstLine="568"/>
        <w:jc w:val="both"/>
        <w:rPr>
          <w:rFonts w:ascii="Simplified Arabic" w:hAnsi="Simplified Arabic" w:cs="Simplified Arabic"/>
          <w:b/>
          <w:bCs/>
          <w:sz w:val="24"/>
          <w:szCs w:val="24"/>
          <w:shd w:val="clear" w:color="auto" w:fill="B6DDE8" w:themeFill="accent5" w:themeFillTint="66"/>
          <w:rtl/>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C121B0" w:rsidRPr="002563B2">
        <w:rPr>
          <w:rFonts w:ascii="Simplified Arabic" w:hAnsi="Simplified Arabic" w:cs="Simplified Arabic"/>
          <w:b/>
          <w:bCs/>
          <w:sz w:val="24"/>
          <w:szCs w:val="24"/>
          <w:rtl/>
        </w:rPr>
        <w:t xml:space="preserve">عمليات </w:t>
      </w:r>
      <w:r w:rsidR="000B3B52">
        <w:rPr>
          <w:rFonts w:ascii="Simplified Arabic" w:hAnsi="Simplified Arabic" w:cs="Simplified Arabic" w:hint="cs"/>
          <w:b/>
          <w:bCs/>
          <w:sz w:val="24"/>
          <w:szCs w:val="24"/>
          <w:rtl/>
        </w:rPr>
        <w:t>ال</w:t>
      </w:r>
      <w:r w:rsidR="000B3B52" w:rsidRPr="002563B2">
        <w:rPr>
          <w:rFonts w:ascii="Simplified Arabic" w:hAnsi="Simplified Arabic" w:cs="Simplified Arabic"/>
          <w:b/>
          <w:bCs/>
          <w:sz w:val="24"/>
          <w:szCs w:val="24"/>
          <w:rtl/>
        </w:rPr>
        <w:t xml:space="preserve">حماية ضد مخاطر الفيضانات </w:t>
      </w:r>
      <w:r w:rsidR="000B3B52">
        <w:rPr>
          <w:rFonts w:ascii="Simplified Arabic" w:hAnsi="Simplified Arabic" w:cs="Simplified Arabic" w:hint="cs"/>
          <w:b/>
          <w:bCs/>
          <w:sz w:val="24"/>
          <w:szCs w:val="24"/>
          <w:rtl/>
        </w:rPr>
        <w:t>(</w:t>
      </w:r>
      <w:r w:rsidR="00C121B0" w:rsidRPr="002563B2">
        <w:rPr>
          <w:rFonts w:ascii="Simplified Arabic" w:hAnsi="Simplified Arabic" w:cs="Simplified Arabic"/>
          <w:b/>
          <w:bCs/>
          <w:sz w:val="24"/>
          <w:szCs w:val="24"/>
          <w:rtl/>
        </w:rPr>
        <w:t xml:space="preserve">مدينة بوسعادة </w:t>
      </w:r>
      <w:r w:rsidR="00C121B0" w:rsidRPr="002563B2">
        <w:rPr>
          <w:rFonts w:ascii="Simplified Arabic" w:hAnsi="Simplified Arabic" w:cs="Simplified Arabic" w:hint="cs"/>
          <w:b/>
          <w:bCs/>
          <w:sz w:val="24"/>
          <w:szCs w:val="24"/>
          <w:rtl/>
        </w:rPr>
        <w:t xml:space="preserve">بين </w:t>
      </w:r>
      <w:r w:rsidR="00C121B0" w:rsidRPr="002563B2">
        <w:rPr>
          <w:rFonts w:ascii="Simplified Arabic" w:hAnsi="Simplified Arabic" w:cs="Simplified Arabic"/>
          <w:b/>
          <w:bCs/>
          <w:sz w:val="24"/>
          <w:szCs w:val="24"/>
          <w:rtl/>
        </w:rPr>
        <w:t>جد</w:t>
      </w:r>
      <w:r w:rsidR="00C121B0" w:rsidRPr="002563B2">
        <w:rPr>
          <w:rFonts w:ascii="Simplified Arabic" w:hAnsi="Simplified Arabic" w:cs="Simplified Arabic" w:hint="cs"/>
          <w:b/>
          <w:bCs/>
          <w:sz w:val="24"/>
          <w:szCs w:val="24"/>
          <w:rtl/>
        </w:rPr>
        <w:t>وى التجسيد وفعالية الحماية</w:t>
      </w:r>
      <w:r w:rsidR="000B3B52">
        <w:rPr>
          <w:rFonts w:ascii="Simplified Arabic" w:hAnsi="Simplified Arabic" w:cs="Simplified Arabic" w:hint="cs"/>
          <w:b/>
          <w:bCs/>
          <w:sz w:val="24"/>
          <w:szCs w:val="24"/>
          <w:rtl/>
        </w:rPr>
        <w:t>)</w:t>
      </w:r>
    </w:p>
    <w:p w:rsidR="00C121B0" w:rsidRDefault="00965809" w:rsidP="00A4755C">
      <w:pPr>
        <w:bidi/>
        <w:spacing w:after="0"/>
        <w:ind w:firstLine="282"/>
        <w:jc w:val="both"/>
        <w:rPr>
          <w:rFonts w:ascii="Simplified Arabic" w:hAnsi="Simplified Arabic" w:cs="Simplified Arabic"/>
          <w:color w:val="000000" w:themeColor="text1"/>
          <w:sz w:val="24"/>
          <w:szCs w:val="24"/>
          <w:lang w:val="en-US"/>
        </w:rPr>
      </w:pPr>
      <w:r>
        <w:rPr>
          <w:rFonts w:ascii="Simplified Arabic" w:hAnsi="Simplified Arabic" w:cs="Simplified Arabic" w:hint="cs"/>
          <w:color w:val="000000" w:themeColor="text1"/>
          <w:sz w:val="24"/>
          <w:szCs w:val="24"/>
          <w:rtl/>
        </w:rPr>
        <w:t xml:space="preserve">هذا السؤال يخص حي الباطن </w:t>
      </w:r>
      <w:r w:rsidR="009B4ED1">
        <w:rPr>
          <w:rFonts w:ascii="Simplified Arabic" w:hAnsi="Simplified Arabic" w:cs="Simplified Arabic" w:hint="cs"/>
          <w:color w:val="000000" w:themeColor="text1"/>
          <w:sz w:val="24"/>
          <w:szCs w:val="24"/>
          <w:rtl/>
        </w:rPr>
        <w:t>فقط</w:t>
      </w:r>
      <w:r w:rsidR="00671018">
        <w:rPr>
          <w:rFonts w:ascii="Simplified Arabic" w:hAnsi="Simplified Arabic" w:cs="Simplified Arabic" w:hint="cs"/>
          <w:color w:val="000000" w:themeColor="text1"/>
          <w:sz w:val="24"/>
          <w:szCs w:val="24"/>
          <w:rtl/>
        </w:rPr>
        <w:t>،</w:t>
      </w:r>
      <w:r w:rsidR="009B4ED1">
        <w:rPr>
          <w:rFonts w:ascii="Simplified Arabic" w:hAnsi="Simplified Arabic" w:cs="Simplified Arabic" w:hint="cs"/>
          <w:color w:val="000000" w:themeColor="text1"/>
          <w:sz w:val="24"/>
          <w:szCs w:val="24"/>
          <w:rtl/>
        </w:rPr>
        <w:t xml:space="preserve"> </w:t>
      </w:r>
      <w:r w:rsidRPr="0004309B">
        <w:rPr>
          <w:rFonts w:ascii="Simplified Arabic" w:hAnsi="Simplified Arabic" w:cs="Simplified Arabic" w:hint="cs"/>
          <w:color w:val="000000" w:themeColor="text1"/>
          <w:sz w:val="24"/>
          <w:szCs w:val="24"/>
          <w:rtl/>
        </w:rPr>
        <w:t xml:space="preserve">باعتبار ان </w:t>
      </w:r>
      <w:r>
        <w:rPr>
          <w:rFonts w:ascii="Simplified Arabic" w:hAnsi="Simplified Arabic" w:cs="Simplified Arabic" w:hint="cs"/>
          <w:color w:val="000000" w:themeColor="text1"/>
          <w:sz w:val="24"/>
          <w:szCs w:val="24"/>
          <w:rtl/>
        </w:rPr>
        <w:t>ال</w:t>
      </w:r>
      <w:r w:rsidRPr="0004309B">
        <w:rPr>
          <w:rFonts w:ascii="Simplified Arabic" w:hAnsi="Simplified Arabic" w:cs="Simplified Arabic" w:hint="cs"/>
          <w:color w:val="000000" w:themeColor="text1"/>
          <w:sz w:val="24"/>
          <w:szCs w:val="24"/>
          <w:rtl/>
        </w:rPr>
        <w:t>حي استفاد من عملية الحماية</w:t>
      </w:r>
      <w:r>
        <w:rPr>
          <w:rFonts w:ascii="Simplified Arabic" w:hAnsi="Simplified Arabic" w:cs="Simplified Arabic" w:hint="cs"/>
          <w:color w:val="000000" w:themeColor="text1"/>
          <w:sz w:val="24"/>
          <w:szCs w:val="24"/>
          <w:rtl/>
        </w:rPr>
        <w:t>.</w:t>
      </w:r>
      <w:r w:rsidR="00A4755C">
        <w:rPr>
          <w:rFonts w:ascii="Simplified Arabic" w:hAnsi="Simplified Arabic" w:cs="Simplified Arabic" w:hint="cs"/>
          <w:color w:val="000000" w:themeColor="text1"/>
          <w:sz w:val="24"/>
          <w:szCs w:val="24"/>
          <w:rtl/>
        </w:rPr>
        <w:t xml:space="preserve"> </w:t>
      </w:r>
      <w:r w:rsidR="00C121B0" w:rsidRPr="0004309B">
        <w:rPr>
          <w:rFonts w:ascii="Simplified Arabic" w:hAnsi="Simplified Arabic" w:cs="Simplified Arabic" w:hint="cs"/>
          <w:color w:val="000000" w:themeColor="text1"/>
          <w:sz w:val="24"/>
          <w:szCs w:val="24"/>
          <w:rtl/>
          <w:lang w:val="en-US"/>
        </w:rPr>
        <w:t>يوضح</w:t>
      </w:r>
      <w:r w:rsidR="00C121B0" w:rsidRPr="0004309B">
        <w:rPr>
          <w:rFonts w:ascii="Simplified Arabic" w:hAnsi="Simplified Arabic" w:cs="Simplified Arabic"/>
          <w:color w:val="000000" w:themeColor="text1"/>
          <w:sz w:val="24"/>
          <w:szCs w:val="24"/>
          <w:rtl/>
          <w:lang w:val="en-US"/>
        </w:rPr>
        <w:t xml:space="preserve"> </w:t>
      </w:r>
      <w:r w:rsidR="00C121B0" w:rsidRPr="0004309B">
        <w:rPr>
          <w:rFonts w:ascii="Simplified Arabic" w:hAnsi="Simplified Arabic" w:cs="Simplified Arabic" w:hint="cs"/>
          <w:color w:val="000000" w:themeColor="text1"/>
          <w:sz w:val="24"/>
          <w:szCs w:val="24"/>
          <w:rtl/>
          <w:lang w:val="en-US"/>
        </w:rPr>
        <w:t>الشكل</w:t>
      </w:r>
      <w:r w:rsidR="00C121B0" w:rsidRPr="0004309B">
        <w:rPr>
          <w:rFonts w:ascii="Simplified Arabic" w:hAnsi="Simplified Arabic" w:cs="Simplified Arabic"/>
          <w:color w:val="000000" w:themeColor="text1"/>
          <w:sz w:val="24"/>
          <w:szCs w:val="24"/>
          <w:rtl/>
          <w:lang w:val="en-US"/>
        </w:rPr>
        <w:t xml:space="preserve"> </w:t>
      </w:r>
      <w:r w:rsidR="00C121B0" w:rsidRPr="0004309B">
        <w:rPr>
          <w:rFonts w:ascii="Simplified Arabic" w:hAnsi="Simplified Arabic" w:cs="Simplified Arabic" w:hint="cs"/>
          <w:color w:val="000000" w:themeColor="text1"/>
          <w:sz w:val="24"/>
          <w:szCs w:val="24"/>
          <w:rtl/>
          <w:lang w:val="en-US"/>
        </w:rPr>
        <w:t>(</w:t>
      </w:r>
      <w:r w:rsidR="00FB1F88">
        <w:rPr>
          <w:rFonts w:ascii="Simplified Arabic" w:hAnsi="Simplified Arabic" w:cs="Simplified Arabic" w:hint="cs"/>
          <w:color w:val="000000" w:themeColor="text1"/>
          <w:sz w:val="24"/>
          <w:szCs w:val="24"/>
          <w:rtl/>
          <w:lang w:val="en-US"/>
        </w:rPr>
        <w:t>5-</w:t>
      </w:r>
      <w:r w:rsidR="000B3B52">
        <w:rPr>
          <w:rFonts w:ascii="Simplified Arabic" w:hAnsi="Simplified Arabic" w:cs="Simplified Arabic" w:hint="cs"/>
          <w:color w:val="000000" w:themeColor="text1"/>
          <w:sz w:val="24"/>
          <w:szCs w:val="24"/>
          <w:rtl/>
          <w:lang w:val="en-US"/>
        </w:rPr>
        <w:t>15</w:t>
      </w:r>
      <w:r w:rsidR="00C121B0" w:rsidRPr="0004309B">
        <w:rPr>
          <w:rFonts w:ascii="Simplified Arabic" w:hAnsi="Simplified Arabic" w:cs="Simplified Arabic" w:hint="cs"/>
          <w:color w:val="000000" w:themeColor="text1"/>
          <w:sz w:val="24"/>
          <w:szCs w:val="24"/>
          <w:rtl/>
          <w:lang w:val="en-US"/>
        </w:rPr>
        <w:t xml:space="preserve">)، نسبة </w:t>
      </w:r>
      <w:r w:rsidR="009B4ED1">
        <w:rPr>
          <w:rFonts w:ascii="Simplified Arabic" w:hAnsi="Simplified Arabic" w:cs="Simplified Arabic" w:hint="cs"/>
          <w:color w:val="000000" w:themeColor="text1"/>
          <w:sz w:val="24"/>
          <w:szCs w:val="24"/>
          <w:rtl/>
          <w:lang w:val="en-US"/>
        </w:rPr>
        <w:t xml:space="preserve">افراد العينة المعبرة عن </w:t>
      </w:r>
      <w:r w:rsidR="00C121B0">
        <w:rPr>
          <w:rFonts w:ascii="Simplified Arabic" w:hAnsi="Simplified Arabic" w:cs="Simplified Arabic" w:hint="cs"/>
          <w:color w:val="000000" w:themeColor="text1"/>
          <w:sz w:val="24"/>
          <w:szCs w:val="24"/>
          <w:rtl/>
          <w:lang w:val="en-US"/>
        </w:rPr>
        <w:t>جدوى</w:t>
      </w:r>
      <w:r w:rsidR="00C121B0" w:rsidRPr="0004309B">
        <w:rPr>
          <w:rFonts w:ascii="Simplified Arabic" w:hAnsi="Simplified Arabic" w:cs="Simplified Arabic" w:hint="cs"/>
          <w:color w:val="000000" w:themeColor="text1"/>
          <w:sz w:val="24"/>
          <w:szCs w:val="24"/>
          <w:rtl/>
          <w:lang w:val="en-US"/>
        </w:rPr>
        <w:t xml:space="preserve"> عمليات الحماية ضد مخاطر الفيضانات التي قامت بإنجازها السلطات المحلية للولاية (مديرية الموارد المائية لولاية المسيلة)</w:t>
      </w:r>
      <w:r w:rsidR="000B3B52">
        <w:rPr>
          <w:rFonts w:ascii="Simplified Arabic" w:hAnsi="Simplified Arabic" w:cs="Simplified Arabic" w:hint="cs"/>
          <w:color w:val="000000" w:themeColor="text1"/>
          <w:sz w:val="24"/>
          <w:szCs w:val="24"/>
          <w:rtl/>
          <w:lang w:val="en-US"/>
        </w:rPr>
        <w:t xml:space="preserve"> على مستوى حي الباطن</w:t>
      </w:r>
      <w:r w:rsidR="00C121B0" w:rsidRPr="0004309B">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عبرت</w:t>
      </w:r>
      <w:r w:rsidR="00C121B0" w:rsidRPr="0004309B">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sz w:val="24"/>
          <w:szCs w:val="24"/>
          <w:rtl/>
          <w:lang w:val="en-US"/>
        </w:rPr>
        <w:t xml:space="preserve">اغلب العينات المشاركة في الاستبيان </w:t>
      </w:r>
      <w:r w:rsidRPr="0004309B">
        <w:rPr>
          <w:rFonts w:ascii="Simplified Arabic" w:hAnsi="Simplified Arabic" w:cs="Simplified Arabic" w:hint="cs"/>
          <w:color w:val="000000" w:themeColor="text1"/>
          <w:sz w:val="24"/>
          <w:szCs w:val="24"/>
          <w:rtl/>
          <w:lang w:val="en-US"/>
        </w:rPr>
        <w:t xml:space="preserve">بعدم جدوى عملية الحماية ضد الفيضانات </w:t>
      </w:r>
      <w:r>
        <w:rPr>
          <w:rFonts w:ascii="Simplified Arabic" w:hAnsi="Simplified Arabic" w:cs="Simplified Arabic" w:hint="cs"/>
          <w:color w:val="000000" w:themeColor="text1"/>
          <w:sz w:val="24"/>
          <w:szCs w:val="24"/>
          <w:rtl/>
          <w:lang w:val="en-US"/>
        </w:rPr>
        <w:t>ب</w:t>
      </w:r>
      <w:r w:rsidR="00C121B0" w:rsidRPr="0004309B">
        <w:rPr>
          <w:rFonts w:ascii="Simplified Arabic" w:hAnsi="Simplified Arabic" w:cs="Simplified Arabic" w:hint="cs"/>
          <w:color w:val="000000" w:themeColor="text1"/>
          <w:sz w:val="24"/>
          <w:szCs w:val="24"/>
          <w:rtl/>
          <w:lang w:val="en-US"/>
        </w:rPr>
        <w:t xml:space="preserve">نسبة </w:t>
      </w:r>
      <w:r>
        <w:rPr>
          <w:rFonts w:ascii="Simplified Arabic" w:hAnsi="Simplified Arabic" w:cs="Simplified Arabic"/>
          <w:sz w:val="24"/>
          <w:szCs w:val="24"/>
          <w:lang w:val="en-US"/>
        </w:rPr>
        <w:t>67</w:t>
      </w:r>
      <w:r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01</w:t>
      </w:r>
      <w:r w:rsidR="00C121B0" w:rsidRPr="0004309B">
        <w:rPr>
          <w:rFonts w:ascii="Simplified Arabic" w:hAnsi="Simplified Arabic" w:cs="Simplified Arabic"/>
          <w:color w:val="000000" w:themeColor="text1"/>
          <w:sz w:val="24"/>
          <w:szCs w:val="24"/>
          <w:rtl/>
          <w:lang w:val="en-US"/>
        </w:rPr>
        <w:t>٪</w:t>
      </w:r>
      <w:r w:rsidR="00C121B0" w:rsidRPr="0004309B">
        <w:rPr>
          <w:rFonts w:ascii="Simplified Arabic" w:hAnsi="Simplified Arabic" w:cs="Simplified Arabic" w:hint="cs"/>
          <w:color w:val="000000" w:themeColor="text1"/>
          <w:sz w:val="24"/>
          <w:szCs w:val="24"/>
          <w:rtl/>
          <w:lang w:val="en-US"/>
        </w:rPr>
        <w:t>،</w:t>
      </w:r>
      <w:r w:rsidR="00C121B0" w:rsidRPr="0004309B">
        <w:rPr>
          <w:rFonts w:ascii="Simplified Arabic" w:hAnsi="Simplified Arabic" w:cs="Simplified Arabic"/>
          <w:color w:val="000000" w:themeColor="text1"/>
          <w:sz w:val="24"/>
          <w:szCs w:val="24"/>
          <w:rtl/>
          <w:lang w:val="en-US"/>
        </w:rPr>
        <w:t xml:space="preserve"> </w:t>
      </w:r>
      <w:r w:rsidR="003C7BD8">
        <w:rPr>
          <w:rFonts w:ascii="Simplified Arabic" w:hAnsi="Simplified Arabic" w:cs="Simplified Arabic" w:hint="cs"/>
          <w:sz w:val="24"/>
          <w:szCs w:val="24"/>
          <w:rtl/>
          <w:lang w:val="en-US"/>
        </w:rPr>
        <w:t>يقابلها</w:t>
      </w:r>
      <w:r w:rsidR="003C7BD8" w:rsidRPr="009F772D">
        <w:rPr>
          <w:rFonts w:ascii="Simplified Arabic" w:hAnsi="Simplified Arabic" w:cs="Simplified Arabic" w:hint="cs"/>
          <w:sz w:val="24"/>
          <w:szCs w:val="24"/>
          <w:rtl/>
          <w:lang w:val="en-US"/>
        </w:rPr>
        <w:t xml:space="preserve"> </w:t>
      </w:r>
      <w:r w:rsidR="003C7BD8">
        <w:rPr>
          <w:rFonts w:ascii="Simplified Arabic" w:hAnsi="Simplified Arabic" w:cs="Simplified Arabic" w:hint="cs"/>
          <w:sz w:val="24"/>
          <w:szCs w:val="24"/>
          <w:rtl/>
          <w:lang w:val="en-US"/>
        </w:rPr>
        <w:t>258 مفردة من العينة.</w:t>
      </w:r>
      <w:r w:rsidR="003C7BD8" w:rsidRPr="0004309B">
        <w:rPr>
          <w:rFonts w:ascii="Simplified Arabic" w:hAnsi="Simplified Arabic" w:cs="Simplified Arabic" w:hint="cs"/>
          <w:color w:val="000000" w:themeColor="text1"/>
          <w:sz w:val="24"/>
          <w:szCs w:val="24"/>
          <w:rtl/>
        </w:rPr>
        <w:t xml:space="preserve"> </w:t>
      </w:r>
      <w:r w:rsidRPr="0004309B">
        <w:rPr>
          <w:rFonts w:ascii="Simplified Arabic" w:hAnsi="Simplified Arabic" w:cs="Simplified Arabic" w:hint="cs"/>
          <w:color w:val="000000" w:themeColor="text1"/>
          <w:sz w:val="24"/>
          <w:szCs w:val="24"/>
          <w:rtl/>
        </w:rPr>
        <w:t>هذا راجع الى عدم فعالية الحماية الهيكلية ضد الفيضانات بالوسط الحضري</w:t>
      </w:r>
      <w:r>
        <w:rPr>
          <w:rFonts w:ascii="Simplified Arabic" w:hAnsi="Simplified Arabic" w:cs="Simplified Arabic" w:hint="cs"/>
          <w:color w:val="000000" w:themeColor="text1"/>
          <w:sz w:val="24"/>
          <w:szCs w:val="24"/>
          <w:rtl/>
        </w:rPr>
        <w:t>.</w:t>
      </w:r>
      <w:r w:rsidRPr="0004309B">
        <w:rPr>
          <w:rFonts w:ascii="Simplified Arabic" w:hAnsi="Simplified Arabic" w:cs="Simplified Arabic" w:hint="cs"/>
          <w:color w:val="000000" w:themeColor="text1"/>
          <w:sz w:val="24"/>
          <w:szCs w:val="24"/>
          <w:rtl/>
        </w:rPr>
        <w:t xml:space="preserve"> </w:t>
      </w:r>
      <w:r w:rsidR="00C121B0" w:rsidRPr="0004309B">
        <w:rPr>
          <w:rFonts w:ascii="Simplified Arabic" w:hAnsi="Simplified Arabic" w:cs="Simplified Arabic" w:hint="cs"/>
          <w:color w:val="000000" w:themeColor="text1"/>
          <w:sz w:val="24"/>
          <w:szCs w:val="24"/>
          <w:rtl/>
        </w:rPr>
        <w:t xml:space="preserve">بينما </w:t>
      </w:r>
      <w:r w:rsidR="00C121B0" w:rsidRPr="0004309B">
        <w:rPr>
          <w:rFonts w:ascii="Simplified Arabic" w:hAnsi="Simplified Arabic" w:cs="Simplified Arabic" w:hint="cs"/>
          <w:color w:val="000000" w:themeColor="text1"/>
          <w:sz w:val="24"/>
          <w:szCs w:val="24"/>
          <w:rtl/>
          <w:lang w:val="en-US"/>
        </w:rPr>
        <w:t xml:space="preserve">كانت الاجابة بجدوى عملية الحماية ضد الفيضانات هي الادنى </w:t>
      </w:r>
      <w:r>
        <w:rPr>
          <w:rFonts w:ascii="Simplified Arabic" w:hAnsi="Simplified Arabic" w:cs="Simplified Arabic" w:hint="cs"/>
          <w:color w:val="000000" w:themeColor="text1"/>
          <w:sz w:val="24"/>
          <w:szCs w:val="24"/>
          <w:rtl/>
          <w:lang w:val="en-US"/>
        </w:rPr>
        <w:t>ب</w:t>
      </w:r>
      <w:r w:rsidRPr="0004309B">
        <w:rPr>
          <w:rFonts w:ascii="Simplified Arabic" w:hAnsi="Simplified Arabic" w:cs="Simplified Arabic" w:hint="cs"/>
          <w:color w:val="000000" w:themeColor="text1"/>
          <w:sz w:val="24"/>
          <w:szCs w:val="24"/>
          <w:rtl/>
          <w:lang w:val="en-US"/>
        </w:rPr>
        <w:t xml:space="preserve">نسبة </w:t>
      </w:r>
      <w:r>
        <w:rPr>
          <w:rFonts w:ascii="Simplified Arabic" w:hAnsi="Simplified Arabic" w:cs="Simplified Arabic"/>
          <w:sz w:val="24"/>
          <w:szCs w:val="24"/>
          <w:lang w:val="en-US"/>
        </w:rPr>
        <w:t>15</w:t>
      </w:r>
      <w:r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06</w:t>
      </w:r>
      <w:r w:rsidRPr="0004309B">
        <w:rPr>
          <w:rFonts w:ascii="Simplified Arabic" w:hAnsi="Simplified Arabic" w:cs="Simplified Arabic"/>
          <w:color w:val="000000" w:themeColor="text1"/>
          <w:sz w:val="24"/>
          <w:szCs w:val="24"/>
          <w:rtl/>
          <w:lang w:val="en-US"/>
        </w:rPr>
        <w:t>٪</w:t>
      </w:r>
      <w:r w:rsidR="00C121B0" w:rsidRPr="0004309B">
        <w:rPr>
          <w:rFonts w:ascii="Simplified Arabic" w:hAnsi="Simplified Arabic" w:cs="Simplified Arabic" w:hint="cs"/>
          <w:color w:val="000000" w:themeColor="text1"/>
          <w:sz w:val="24"/>
          <w:szCs w:val="24"/>
          <w:rtl/>
        </w:rPr>
        <w:t>،</w:t>
      </w:r>
      <w:r w:rsidRPr="00965809">
        <w:rPr>
          <w:rFonts w:ascii="Simplified Arabic" w:hAnsi="Simplified Arabic" w:cs="Simplified Arabic" w:hint="cs"/>
          <w:color w:val="000000" w:themeColor="text1"/>
          <w:sz w:val="24"/>
          <w:szCs w:val="24"/>
          <w:rtl/>
          <w:lang w:val="en-US"/>
        </w:rPr>
        <w:t xml:space="preserve"> </w:t>
      </w:r>
      <w:r w:rsidR="003C7BD8">
        <w:rPr>
          <w:rFonts w:ascii="Simplified Arabic" w:hAnsi="Simplified Arabic" w:cs="Simplified Arabic" w:hint="cs"/>
          <w:sz w:val="24"/>
          <w:szCs w:val="24"/>
          <w:rtl/>
          <w:lang w:val="en-US"/>
        </w:rPr>
        <w:t>يقابلها</w:t>
      </w:r>
      <w:r w:rsidR="003C7BD8" w:rsidRPr="009F772D">
        <w:rPr>
          <w:rFonts w:ascii="Simplified Arabic" w:hAnsi="Simplified Arabic" w:cs="Simplified Arabic" w:hint="cs"/>
          <w:sz w:val="24"/>
          <w:szCs w:val="24"/>
          <w:rtl/>
          <w:lang w:val="en-US"/>
        </w:rPr>
        <w:t xml:space="preserve"> </w:t>
      </w:r>
      <w:r w:rsidR="003C7BD8">
        <w:rPr>
          <w:rFonts w:ascii="Simplified Arabic" w:hAnsi="Simplified Arabic" w:cs="Simplified Arabic" w:hint="cs"/>
          <w:sz w:val="24"/>
          <w:szCs w:val="24"/>
          <w:rtl/>
          <w:lang w:val="en-US"/>
        </w:rPr>
        <w:t>58 مفردة من العينة،</w:t>
      </w:r>
      <w:r w:rsidR="003C7BD8">
        <w:rPr>
          <w:rFonts w:ascii="Simplified Arabic" w:hAnsi="Simplified Arabic" w:cs="Simplified Arabic" w:hint="cs"/>
          <w:color w:val="000000" w:themeColor="text1"/>
          <w:sz w:val="24"/>
          <w:szCs w:val="24"/>
          <w:rtl/>
          <w:lang w:val="en-US"/>
        </w:rPr>
        <w:t xml:space="preserve"> </w:t>
      </w:r>
      <w:r w:rsidR="009C4EEC">
        <w:rPr>
          <w:rFonts w:ascii="Simplified Arabic" w:hAnsi="Simplified Arabic" w:cs="Simplified Arabic" w:hint="cs"/>
          <w:color w:val="000000" w:themeColor="text1"/>
          <w:sz w:val="24"/>
          <w:szCs w:val="24"/>
          <w:rtl/>
          <w:lang w:val="en-US"/>
        </w:rPr>
        <w:t xml:space="preserve">كما ان باقي </w:t>
      </w:r>
      <w:r w:rsidR="009C4EEC">
        <w:rPr>
          <w:rFonts w:ascii="Simplified Arabic" w:hAnsi="Simplified Arabic" w:cs="Simplified Arabic" w:hint="cs"/>
          <w:sz w:val="24"/>
          <w:szCs w:val="24"/>
          <w:rtl/>
          <w:lang w:val="en-US"/>
        </w:rPr>
        <w:t xml:space="preserve">العينة </w:t>
      </w:r>
      <w:r w:rsidR="00211BAF" w:rsidRPr="0004309B">
        <w:rPr>
          <w:rFonts w:ascii="Simplified Arabic" w:hAnsi="Simplified Arabic" w:cs="Simplified Arabic" w:hint="cs"/>
          <w:color w:val="000000" w:themeColor="text1"/>
          <w:sz w:val="24"/>
          <w:szCs w:val="24"/>
          <w:rtl/>
          <w:lang w:val="en-US"/>
        </w:rPr>
        <w:t>كان</w:t>
      </w:r>
      <w:r w:rsidR="00211BAF">
        <w:rPr>
          <w:rFonts w:ascii="Simplified Arabic" w:hAnsi="Simplified Arabic" w:cs="Simplified Arabic" w:hint="cs"/>
          <w:color w:val="000000" w:themeColor="text1"/>
          <w:sz w:val="24"/>
          <w:szCs w:val="24"/>
          <w:rtl/>
          <w:lang w:val="en-US"/>
        </w:rPr>
        <w:t>وا</w:t>
      </w:r>
      <w:r w:rsidR="00211BAF" w:rsidRPr="0004309B">
        <w:rPr>
          <w:rFonts w:ascii="Simplified Arabic" w:hAnsi="Simplified Arabic" w:cs="Simplified Arabic" w:hint="cs"/>
          <w:color w:val="000000" w:themeColor="text1"/>
          <w:sz w:val="24"/>
          <w:szCs w:val="24"/>
          <w:rtl/>
          <w:lang w:val="en-US"/>
        </w:rPr>
        <w:t xml:space="preserve"> يج</w:t>
      </w:r>
      <w:r w:rsidR="00211BAF">
        <w:rPr>
          <w:rFonts w:ascii="Simplified Arabic" w:hAnsi="Simplified Arabic" w:cs="Simplified Arabic" w:hint="cs"/>
          <w:color w:val="000000" w:themeColor="text1"/>
          <w:sz w:val="24"/>
          <w:szCs w:val="24"/>
          <w:rtl/>
          <w:lang w:val="en-US"/>
        </w:rPr>
        <w:t>هلون عملية الحماية ضد الفيضانات</w:t>
      </w:r>
      <w:r w:rsidR="00211BAF">
        <w:rPr>
          <w:rFonts w:ascii="Simplified Arabic" w:hAnsi="Simplified Arabic" w:cs="Simplified Arabic" w:hint="cs"/>
          <w:sz w:val="24"/>
          <w:szCs w:val="24"/>
          <w:rtl/>
          <w:lang w:val="en-US"/>
        </w:rPr>
        <w:t xml:space="preserve"> </w:t>
      </w:r>
      <w:r w:rsidR="009B4ED1">
        <w:rPr>
          <w:rFonts w:ascii="Simplified Arabic" w:hAnsi="Simplified Arabic" w:cs="Simplified Arabic" w:hint="cs"/>
          <w:sz w:val="24"/>
          <w:szCs w:val="24"/>
          <w:rtl/>
          <w:lang w:val="en-US"/>
        </w:rPr>
        <w:t xml:space="preserve">بنسبة </w:t>
      </w:r>
      <w:r w:rsidR="009921F6">
        <w:rPr>
          <w:rFonts w:ascii="Simplified Arabic" w:hAnsi="Simplified Arabic" w:cs="Simplified Arabic"/>
          <w:sz w:val="24"/>
          <w:szCs w:val="24"/>
          <w:lang w:val="en-US"/>
        </w:rPr>
        <w:t>17</w:t>
      </w:r>
      <w:r w:rsidR="009B4ED1" w:rsidRPr="00220BB6">
        <w:rPr>
          <w:rFonts w:ascii="Simplified Arabic" w:hAnsi="Simplified Arabic" w:cs="Simplified Arabic"/>
          <w:sz w:val="24"/>
          <w:szCs w:val="24"/>
          <w:lang w:val="en-US"/>
        </w:rPr>
        <w:t>,</w:t>
      </w:r>
      <w:r w:rsidR="009921F6">
        <w:rPr>
          <w:rFonts w:ascii="Simplified Arabic" w:hAnsi="Simplified Arabic" w:cs="Simplified Arabic"/>
          <w:sz w:val="24"/>
          <w:szCs w:val="24"/>
          <w:lang w:val="en-US"/>
        </w:rPr>
        <w:t>92</w:t>
      </w:r>
      <w:r w:rsidR="009B4ED1" w:rsidRPr="0004309B">
        <w:rPr>
          <w:rFonts w:ascii="Simplified Arabic" w:hAnsi="Simplified Arabic" w:cs="Simplified Arabic"/>
          <w:color w:val="000000" w:themeColor="text1"/>
          <w:sz w:val="24"/>
          <w:szCs w:val="24"/>
          <w:rtl/>
          <w:lang w:val="en-US"/>
        </w:rPr>
        <w:t>٪</w:t>
      </w:r>
      <w:r w:rsidR="003C7BD8">
        <w:rPr>
          <w:rFonts w:ascii="Simplified Arabic" w:hAnsi="Simplified Arabic" w:cs="Simplified Arabic" w:hint="cs"/>
          <w:color w:val="000000" w:themeColor="text1"/>
          <w:sz w:val="24"/>
          <w:szCs w:val="24"/>
          <w:rtl/>
          <w:lang w:val="en-US"/>
        </w:rPr>
        <w:t>،</w:t>
      </w:r>
      <w:r w:rsidR="003C7BD8" w:rsidRPr="003C7BD8">
        <w:rPr>
          <w:rFonts w:ascii="Simplified Arabic" w:hAnsi="Simplified Arabic" w:cs="Simplified Arabic" w:hint="cs"/>
          <w:sz w:val="24"/>
          <w:szCs w:val="24"/>
          <w:rtl/>
          <w:lang w:val="en-US"/>
        </w:rPr>
        <w:t xml:space="preserve"> </w:t>
      </w:r>
      <w:r w:rsidR="003C7BD8">
        <w:rPr>
          <w:rFonts w:ascii="Simplified Arabic" w:hAnsi="Simplified Arabic" w:cs="Simplified Arabic" w:hint="cs"/>
          <w:sz w:val="24"/>
          <w:szCs w:val="24"/>
          <w:rtl/>
          <w:lang w:val="en-US"/>
        </w:rPr>
        <w:t>يقابلها</w:t>
      </w:r>
      <w:r w:rsidR="003C7BD8" w:rsidRPr="009F772D">
        <w:rPr>
          <w:rFonts w:ascii="Simplified Arabic" w:hAnsi="Simplified Arabic" w:cs="Simplified Arabic" w:hint="cs"/>
          <w:sz w:val="24"/>
          <w:szCs w:val="24"/>
          <w:rtl/>
          <w:lang w:val="en-US"/>
        </w:rPr>
        <w:t xml:space="preserve"> </w:t>
      </w:r>
      <w:r w:rsidR="003C7BD8">
        <w:rPr>
          <w:rFonts w:ascii="Simplified Arabic" w:hAnsi="Simplified Arabic" w:cs="Simplified Arabic" w:hint="cs"/>
          <w:sz w:val="24"/>
          <w:szCs w:val="24"/>
          <w:rtl/>
          <w:lang w:val="en-US"/>
        </w:rPr>
        <w:t>69 مفردة من العينة</w:t>
      </w:r>
      <w:r>
        <w:rPr>
          <w:rFonts w:ascii="Simplified Arabic" w:hAnsi="Simplified Arabic" w:cs="Simplified Arabic" w:hint="cs"/>
          <w:color w:val="000000" w:themeColor="text1"/>
          <w:sz w:val="24"/>
          <w:szCs w:val="24"/>
          <w:rtl/>
          <w:lang w:val="en-US"/>
        </w:rPr>
        <w:t>.</w:t>
      </w:r>
    </w:p>
    <w:p w:rsidR="00C121B0" w:rsidRDefault="00C121B0" w:rsidP="00C840FB">
      <w:pPr>
        <w:pStyle w:val="fegure"/>
        <w:spacing w:before="240"/>
        <w:rPr>
          <w:sz w:val="8"/>
          <w:szCs w:val="24"/>
          <w:rtl/>
        </w:rPr>
      </w:pPr>
      <w:bookmarkStart w:id="746" w:name="_Toc157608345"/>
      <w:bookmarkStart w:id="747" w:name="_Toc171803746"/>
      <w:r w:rsidRPr="00DA50D1">
        <w:rPr>
          <w:sz w:val="8"/>
          <w:szCs w:val="24"/>
          <w:rtl/>
          <w:lang w:val="en-US"/>
        </w:rPr>
        <w:t>الشكل (</w:t>
      </w:r>
      <w:r w:rsidR="00FB1F88" w:rsidRPr="00DA50D1">
        <w:rPr>
          <w:rFonts w:hint="cs"/>
          <w:sz w:val="8"/>
          <w:szCs w:val="24"/>
          <w:rtl/>
          <w:lang w:val="en-US"/>
        </w:rPr>
        <w:t>5-</w:t>
      </w:r>
      <w:r w:rsidR="000B3B52" w:rsidRPr="00DA50D1">
        <w:rPr>
          <w:rFonts w:hint="cs"/>
          <w:sz w:val="8"/>
          <w:szCs w:val="24"/>
          <w:rtl/>
          <w:lang w:val="en-US"/>
        </w:rPr>
        <w:t>15</w:t>
      </w:r>
      <w:r w:rsidRPr="00DA50D1">
        <w:rPr>
          <w:sz w:val="8"/>
          <w:szCs w:val="24"/>
          <w:rtl/>
          <w:lang w:val="en-US"/>
        </w:rPr>
        <w:t xml:space="preserve">): </w:t>
      </w:r>
      <w:r w:rsidR="000B3B52" w:rsidRPr="00DA50D1">
        <w:rPr>
          <w:rFonts w:hint="cs"/>
          <w:sz w:val="8"/>
          <w:szCs w:val="24"/>
          <w:rtl/>
          <w:lang w:val="en-US"/>
        </w:rPr>
        <w:t>توزيع أفراد عيّنة</w:t>
      </w:r>
      <w:r w:rsidR="000B3B52" w:rsidRPr="00DA50D1">
        <w:rPr>
          <w:rFonts w:hint="cs"/>
          <w:sz w:val="8"/>
          <w:szCs w:val="24"/>
          <w:rtl/>
        </w:rPr>
        <w:t xml:space="preserve"> </w:t>
      </w:r>
      <w:r w:rsidR="000B3B52" w:rsidRPr="00DA50D1">
        <w:rPr>
          <w:sz w:val="8"/>
          <w:szCs w:val="24"/>
          <w:rtl/>
        </w:rPr>
        <w:t xml:space="preserve">عمليات </w:t>
      </w:r>
      <w:r w:rsidR="000B3B52" w:rsidRPr="00DA50D1">
        <w:rPr>
          <w:rFonts w:hint="cs"/>
          <w:sz w:val="8"/>
          <w:szCs w:val="24"/>
          <w:rtl/>
        </w:rPr>
        <w:t>ال</w:t>
      </w:r>
      <w:r w:rsidR="000B3B52" w:rsidRPr="00DA50D1">
        <w:rPr>
          <w:sz w:val="8"/>
          <w:szCs w:val="24"/>
          <w:rtl/>
        </w:rPr>
        <w:t>حماية ضد مخاطر الفيضانات</w:t>
      </w:r>
      <w:r w:rsidR="009B4ED1" w:rsidRPr="00DA50D1">
        <w:rPr>
          <w:rFonts w:hint="cs"/>
          <w:sz w:val="8"/>
          <w:szCs w:val="24"/>
          <w:rtl/>
        </w:rPr>
        <w:t xml:space="preserve"> بحي الباطن</w:t>
      </w:r>
      <w:bookmarkEnd w:id="746"/>
      <w:bookmarkEnd w:id="747"/>
    </w:p>
    <w:p w:rsidR="00C840FB" w:rsidRPr="00DA50D1" w:rsidRDefault="00C840FB" w:rsidP="00C840FB">
      <w:pPr>
        <w:pStyle w:val="fegure"/>
        <w:rPr>
          <w:sz w:val="8"/>
          <w:szCs w:val="24"/>
          <w:lang w:val="en-US" w:bidi="ar-DZ"/>
        </w:rPr>
      </w:pPr>
      <w:bookmarkStart w:id="748" w:name="_Toc171803747"/>
      <w:r>
        <w:rPr>
          <w:rFonts w:hint="cs"/>
          <w:sz w:val="8"/>
          <w:szCs w:val="24"/>
          <w:rtl/>
          <w:lang w:val="en-US"/>
        </w:rPr>
        <w:t>المصدر: (الباحث، 2022)</w:t>
      </w:r>
      <w:bookmarkEnd w:id="748"/>
    </w:p>
    <w:p w:rsidR="007B44C0" w:rsidRDefault="000B3B52" w:rsidP="00A4755C">
      <w:pPr>
        <w:bidi/>
        <w:spacing w:before="240" w:line="240" w:lineRule="auto"/>
        <w:jc w:val="center"/>
        <w:rPr>
          <w:rFonts w:ascii="Simplified Arabic" w:hAnsi="Simplified Arabic" w:cs="Simplified Arabic"/>
          <w:sz w:val="24"/>
          <w:szCs w:val="24"/>
          <w:rtl/>
          <w:lang w:val="en-US"/>
        </w:rPr>
      </w:pPr>
      <w:r>
        <w:rPr>
          <w:noProof/>
          <w:lang w:eastAsia="fr-FR"/>
        </w:rPr>
        <w:drawing>
          <wp:inline distT="0" distB="0" distL="0" distR="0" wp14:anchorId="7618E87E" wp14:editId="349C11B3">
            <wp:extent cx="2573079" cy="1382233"/>
            <wp:effectExtent l="0" t="0" r="17780" b="27940"/>
            <wp:docPr id="96" name="Graphique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9"/>
              </a:graphicData>
            </a:graphic>
          </wp:inline>
        </w:drawing>
      </w:r>
    </w:p>
    <w:p w:rsidR="00C121B0" w:rsidRPr="006F2A40" w:rsidRDefault="00C121B0" w:rsidP="00A4755C">
      <w:pPr>
        <w:pStyle w:val="Paragraphedeliste"/>
        <w:numPr>
          <w:ilvl w:val="1"/>
          <w:numId w:val="178"/>
        </w:numPr>
        <w:tabs>
          <w:tab w:val="right" w:pos="1134"/>
        </w:tabs>
        <w:bidi/>
        <w:spacing w:before="240" w:after="0"/>
        <w:ind w:left="0" w:firstLine="992"/>
        <w:jc w:val="both"/>
        <w:outlineLvl w:val="3"/>
        <w:rPr>
          <w:rFonts w:ascii="Simplified Arabic" w:hAnsi="Simplified Arabic" w:cs="Simplified Arabic"/>
          <w:b/>
          <w:bCs/>
          <w:sz w:val="24"/>
          <w:szCs w:val="24"/>
          <w:rtl/>
          <w:lang w:val="en-US"/>
        </w:rPr>
      </w:pPr>
      <w:r w:rsidRPr="006F2A40">
        <w:rPr>
          <w:rFonts w:ascii="Simplified Arabic" w:hAnsi="Simplified Arabic" w:cs="Simplified Arabic"/>
          <w:b/>
          <w:bCs/>
          <w:sz w:val="24"/>
          <w:szCs w:val="24"/>
          <w:rtl/>
          <w:lang w:val="en-US"/>
        </w:rPr>
        <w:t xml:space="preserve">تحليل بيانات القسم </w:t>
      </w:r>
      <w:r w:rsidRPr="006F2A40">
        <w:rPr>
          <w:rFonts w:ascii="Simplified Arabic" w:hAnsi="Simplified Arabic" w:cs="Simplified Arabic" w:hint="cs"/>
          <w:b/>
          <w:bCs/>
          <w:sz w:val="24"/>
          <w:szCs w:val="24"/>
          <w:rtl/>
          <w:lang w:val="en-US"/>
        </w:rPr>
        <w:t>(جـ)</w:t>
      </w:r>
      <w:r w:rsidRPr="006F2A40">
        <w:rPr>
          <w:rFonts w:ascii="Simplified Arabic" w:hAnsi="Simplified Arabic" w:cs="Simplified Arabic"/>
          <w:b/>
          <w:bCs/>
          <w:sz w:val="24"/>
          <w:szCs w:val="24"/>
          <w:rtl/>
          <w:lang w:val="en-US"/>
        </w:rPr>
        <w:t xml:space="preserve">: </w:t>
      </w:r>
    </w:p>
    <w:p w:rsidR="00C121B0" w:rsidRPr="002563B2" w:rsidRDefault="00E0129E" w:rsidP="001D0548">
      <w:pPr>
        <w:pStyle w:val="Paragraphedeliste"/>
        <w:numPr>
          <w:ilvl w:val="0"/>
          <w:numId w:val="179"/>
        </w:numPr>
        <w:tabs>
          <w:tab w:val="right" w:pos="850"/>
        </w:tabs>
        <w:bidi/>
        <w:spacing w:after="0"/>
        <w:ind w:left="0" w:firstLine="567"/>
        <w:jc w:val="both"/>
        <w:rPr>
          <w:rFonts w:ascii="Simplified Arabic" w:hAnsi="Simplified Arabic" w:cs="Simplified Arabic"/>
          <w:b/>
          <w:bCs/>
          <w:sz w:val="24"/>
          <w:szCs w:val="24"/>
          <w:rtl/>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9C76AC">
        <w:rPr>
          <w:rFonts w:ascii="Simplified Arabic" w:hAnsi="Simplified Arabic" w:cs="Simplified Arabic" w:hint="cs"/>
          <w:b/>
          <w:bCs/>
          <w:sz w:val="24"/>
          <w:szCs w:val="24"/>
          <w:rtl/>
        </w:rPr>
        <w:t>عدد طوابق</w:t>
      </w:r>
      <w:r>
        <w:rPr>
          <w:rFonts w:ascii="Simplified Arabic" w:hAnsi="Simplified Arabic" w:cs="Simplified Arabic" w:hint="cs"/>
          <w:b/>
          <w:bCs/>
          <w:sz w:val="24"/>
          <w:szCs w:val="24"/>
          <w:rtl/>
        </w:rPr>
        <w:t xml:space="preserve"> البناية</w:t>
      </w:r>
      <w:r w:rsidR="00C121B0" w:rsidRPr="002563B2">
        <w:rPr>
          <w:rFonts w:ascii="Simplified Arabic" w:hAnsi="Simplified Arabic" w:cs="Simplified Arabic" w:hint="cs"/>
          <w:b/>
          <w:bCs/>
          <w:sz w:val="24"/>
          <w:szCs w:val="24"/>
          <w:rtl/>
        </w:rPr>
        <w:t xml:space="preserve"> في</w:t>
      </w:r>
      <w:r w:rsidR="00C121B0" w:rsidRPr="002563B2">
        <w:rPr>
          <w:rFonts w:ascii="Simplified Arabic" w:hAnsi="Simplified Arabic" w:cs="Simplified Arabic"/>
          <w:b/>
          <w:bCs/>
          <w:sz w:val="24"/>
          <w:szCs w:val="24"/>
          <w:rtl/>
        </w:rPr>
        <w:t xml:space="preserve"> مدينة بوسعادة</w:t>
      </w:r>
    </w:p>
    <w:p w:rsidR="009C76AC" w:rsidRDefault="00B818D7" w:rsidP="00735CBB">
      <w:pPr>
        <w:tabs>
          <w:tab w:val="right" w:pos="-1"/>
        </w:tabs>
        <w:bidi/>
        <w:spacing w:after="0"/>
        <w:ind w:left="-1" w:firstLine="283"/>
        <w:jc w:val="both"/>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ي</w:t>
      </w:r>
      <w:r w:rsidR="009C76AC" w:rsidRPr="004B08D0">
        <w:rPr>
          <w:rFonts w:ascii="Simplified Arabic" w:hAnsi="Simplified Arabic" w:cs="Simplified Arabic" w:hint="cs"/>
          <w:color w:val="000000" w:themeColor="text1"/>
          <w:sz w:val="24"/>
          <w:szCs w:val="24"/>
          <w:rtl/>
          <w:lang w:val="en-US"/>
        </w:rPr>
        <w:t>سمح</w:t>
      </w:r>
      <w:r w:rsidR="009C76AC" w:rsidRPr="004B08D0">
        <w:rPr>
          <w:rFonts w:ascii="Simplified Arabic" w:hAnsi="Simplified Arabic" w:cs="Simplified Arabic"/>
          <w:color w:val="000000" w:themeColor="text1"/>
          <w:sz w:val="24"/>
          <w:szCs w:val="24"/>
          <w:rtl/>
          <w:lang w:val="en-US"/>
        </w:rPr>
        <w:t xml:space="preserve"> </w:t>
      </w:r>
      <w:r w:rsidRPr="00B818D7">
        <w:rPr>
          <w:rFonts w:ascii="Simplified Arabic" w:hAnsi="Simplified Arabic" w:cs="Simplified Arabic" w:hint="cs"/>
          <w:color w:val="000000" w:themeColor="text1"/>
          <w:sz w:val="24"/>
          <w:szCs w:val="24"/>
          <w:rtl/>
          <w:lang w:val="en-US"/>
        </w:rPr>
        <w:t xml:space="preserve">عدد اكبر للطوابق </w:t>
      </w:r>
      <w:r w:rsidR="009C76AC" w:rsidRPr="004B08D0">
        <w:rPr>
          <w:rFonts w:ascii="Simplified Arabic" w:hAnsi="Simplified Arabic" w:cs="Simplified Arabic" w:hint="cs"/>
          <w:color w:val="000000" w:themeColor="text1"/>
          <w:sz w:val="24"/>
          <w:szCs w:val="24"/>
          <w:rtl/>
          <w:lang w:val="en-US"/>
        </w:rPr>
        <w:t>بمزيد</w:t>
      </w:r>
      <w:r w:rsidR="009C76AC" w:rsidRPr="004B08D0">
        <w:rPr>
          <w:rFonts w:ascii="Simplified Arabic" w:hAnsi="Simplified Arabic" w:cs="Simplified Arabic"/>
          <w:color w:val="000000" w:themeColor="text1"/>
          <w:sz w:val="24"/>
          <w:szCs w:val="24"/>
          <w:rtl/>
          <w:lang w:val="en-US"/>
        </w:rPr>
        <w:t xml:space="preserve"> </w:t>
      </w:r>
      <w:r w:rsidR="009C76AC" w:rsidRPr="004B08D0">
        <w:rPr>
          <w:rFonts w:ascii="Simplified Arabic" w:hAnsi="Simplified Arabic" w:cs="Simplified Arabic" w:hint="cs"/>
          <w:color w:val="000000" w:themeColor="text1"/>
          <w:sz w:val="24"/>
          <w:szCs w:val="24"/>
          <w:rtl/>
          <w:lang w:val="en-US"/>
        </w:rPr>
        <w:t>من</w:t>
      </w:r>
      <w:r w:rsidR="009C76AC" w:rsidRPr="004B08D0">
        <w:rPr>
          <w:rFonts w:ascii="Simplified Arabic" w:hAnsi="Simplified Arabic" w:cs="Simplified Arabic"/>
          <w:color w:val="000000" w:themeColor="text1"/>
          <w:sz w:val="24"/>
          <w:szCs w:val="24"/>
          <w:rtl/>
          <w:lang w:val="en-US"/>
        </w:rPr>
        <w:t xml:space="preserve"> </w:t>
      </w:r>
      <w:r w:rsidR="009C76AC" w:rsidRPr="004B08D0">
        <w:rPr>
          <w:rFonts w:ascii="Simplified Arabic" w:hAnsi="Simplified Arabic" w:cs="Simplified Arabic" w:hint="cs"/>
          <w:color w:val="000000" w:themeColor="text1"/>
          <w:sz w:val="24"/>
          <w:szCs w:val="24"/>
          <w:rtl/>
          <w:lang w:val="en-US"/>
        </w:rPr>
        <w:t>التفاعل</w:t>
      </w:r>
      <w:r w:rsidR="009C76AC" w:rsidRPr="004B08D0">
        <w:rPr>
          <w:rFonts w:ascii="Simplified Arabic" w:hAnsi="Simplified Arabic" w:cs="Simplified Arabic"/>
          <w:color w:val="000000" w:themeColor="text1"/>
          <w:sz w:val="24"/>
          <w:szCs w:val="24"/>
          <w:rtl/>
          <w:lang w:val="en-US"/>
        </w:rPr>
        <w:t xml:space="preserve"> </w:t>
      </w:r>
      <w:r w:rsidR="009C76AC" w:rsidRPr="004B08D0">
        <w:rPr>
          <w:rFonts w:ascii="Simplified Arabic" w:hAnsi="Simplified Arabic" w:cs="Simplified Arabic" w:hint="cs"/>
          <w:color w:val="000000" w:themeColor="text1"/>
          <w:sz w:val="24"/>
          <w:szCs w:val="24"/>
          <w:rtl/>
          <w:lang w:val="en-US"/>
        </w:rPr>
        <w:t>المحتمل</w:t>
      </w:r>
      <w:r w:rsidR="009C76AC" w:rsidRPr="004B08D0">
        <w:rPr>
          <w:rFonts w:ascii="Simplified Arabic" w:hAnsi="Simplified Arabic" w:cs="Simplified Arabic"/>
          <w:color w:val="000000" w:themeColor="text1"/>
          <w:sz w:val="24"/>
          <w:szCs w:val="24"/>
          <w:rtl/>
          <w:lang w:val="en-US"/>
        </w:rPr>
        <w:t xml:space="preserve"> </w:t>
      </w:r>
      <w:r w:rsidR="009C76AC" w:rsidRPr="004B08D0">
        <w:rPr>
          <w:rFonts w:ascii="Simplified Arabic" w:hAnsi="Simplified Arabic" w:cs="Simplified Arabic" w:hint="cs"/>
          <w:color w:val="000000" w:themeColor="text1"/>
          <w:sz w:val="24"/>
          <w:szCs w:val="24"/>
          <w:rtl/>
          <w:lang w:val="en-US"/>
        </w:rPr>
        <w:t>بين</w:t>
      </w:r>
      <w:r w:rsidR="009C76AC" w:rsidRPr="004B08D0">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الافراد</w:t>
      </w:r>
      <w:r w:rsidR="009C76AC" w:rsidRPr="004B08D0">
        <w:rPr>
          <w:rFonts w:ascii="Simplified Arabic" w:hAnsi="Simplified Arabic" w:cs="Simplified Arabic" w:hint="cs"/>
          <w:color w:val="000000" w:themeColor="text1"/>
          <w:sz w:val="24"/>
          <w:szCs w:val="24"/>
          <w:rtl/>
          <w:lang w:val="en-US"/>
        </w:rPr>
        <w:t xml:space="preserve"> ال</w:t>
      </w:r>
      <w:r>
        <w:rPr>
          <w:rFonts w:ascii="Simplified Arabic" w:hAnsi="Simplified Arabic" w:cs="Simplified Arabic" w:hint="cs"/>
          <w:color w:val="000000" w:themeColor="text1"/>
          <w:sz w:val="24"/>
          <w:szCs w:val="24"/>
          <w:rtl/>
          <w:lang w:val="en-US"/>
        </w:rPr>
        <w:t>تي</w:t>
      </w:r>
      <w:r w:rsidR="009C76AC" w:rsidRPr="004B08D0">
        <w:rPr>
          <w:rFonts w:ascii="Simplified Arabic" w:hAnsi="Simplified Arabic" w:cs="Simplified Arabic" w:hint="cs"/>
          <w:color w:val="000000" w:themeColor="text1"/>
          <w:sz w:val="24"/>
          <w:szCs w:val="24"/>
          <w:rtl/>
          <w:lang w:val="en-US"/>
        </w:rPr>
        <w:t xml:space="preserve"> تعزز </w:t>
      </w:r>
      <w:r>
        <w:rPr>
          <w:rFonts w:ascii="Simplified Arabic" w:hAnsi="Simplified Arabic" w:cs="Simplified Arabic" w:hint="cs"/>
          <w:color w:val="000000" w:themeColor="text1"/>
          <w:sz w:val="24"/>
          <w:szCs w:val="24"/>
          <w:rtl/>
          <w:lang w:val="en-US"/>
        </w:rPr>
        <w:t xml:space="preserve">من </w:t>
      </w:r>
      <w:r w:rsidR="009C76AC" w:rsidRPr="004B08D0">
        <w:rPr>
          <w:rFonts w:ascii="Simplified Arabic" w:hAnsi="Simplified Arabic" w:cs="Simplified Arabic" w:hint="cs"/>
          <w:color w:val="000000" w:themeColor="text1"/>
          <w:sz w:val="24"/>
          <w:szCs w:val="24"/>
          <w:rtl/>
          <w:lang w:val="en-US"/>
        </w:rPr>
        <w:t>كفاءة الوصول الى المرافق</w:t>
      </w:r>
      <w:r>
        <w:rPr>
          <w:rFonts w:ascii="Simplified Arabic" w:hAnsi="Simplified Arabic" w:cs="Simplified Arabic" w:hint="cs"/>
          <w:color w:val="000000" w:themeColor="text1"/>
          <w:sz w:val="24"/>
          <w:szCs w:val="24"/>
          <w:rtl/>
          <w:lang w:val="en-US"/>
        </w:rPr>
        <w:t xml:space="preserve"> وتسه</w:t>
      </w:r>
      <w:r w:rsidR="00D4139E">
        <w:rPr>
          <w:rFonts w:ascii="Simplified Arabic" w:hAnsi="Simplified Arabic" w:cs="Simplified Arabic" w:hint="cs"/>
          <w:color w:val="000000" w:themeColor="text1"/>
          <w:sz w:val="24"/>
          <w:szCs w:val="24"/>
          <w:rtl/>
          <w:lang w:val="en-US"/>
        </w:rPr>
        <w:t>ي</w:t>
      </w:r>
      <w:r>
        <w:rPr>
          <w:rFonts w:ascii="Simplified Arabic" w:hAnsi="Simplified Arabic" w:cs="Simplified Arabic" w:hint="cs"/>
          <w:color w:val="000000" w:themeColor="text1"/>
          <w:sz w:val="24"/>
          <w:szCs w:val="24"/>
          <w:rtl/>
          <w:lang w:val="en-US"/>
        </w:rPr>
        <w:t>ل عم</w:t>
      </w:r>
      <w:r w:rsidRPr="00B818D7">
        <w:rPr>
          <w:rFonts w:ascii="Simplified Arabic" w:hAnsi="Simplified Arabic" w:cs="Simplified Arabic" w:hint="cs"/>
          <w:color w:val="000000" w:themeColor="text1"/>
          <w:sz w:val="24"/>
          <w:szCs w:val="24"/>
          <w:rtl/>
          <w:lang w:val="en-US"/>
        </w:rPr>
        <w:t>لية ا</w:t>
      </w:r>
      <w:r>
        <w:rPr>
          <w:rFonts w:ascii="Simplified Arabic" w:hAnsi="Simplified Arabic" w:cs="Simplified Arabic" w:hint="cs"/>
          <w:color w:val="000000" w:themeColor="text1"/>
          <w:sz w:val="24"/>
          <w:szCs w:val="24"/>
          <w:rtl/>
          <w:lang w:val="en-US"/>
        </w:rPr>
        <w:t>لاجلاء</w:t>
      </w:r>
      <w:r w:rsidR="009C76AC" w:rsidRPr="004B08D0">
        <w:rPr>
          <w:rFonts w:ascii="Simplified Arabic" w:hAnsi="Simplified Arabic" w:cs="Simplified Arabic" w:hint="cs"/>
          <w:color w:val="000000" w:themeColor="text1"/>
          <w:sz w:val="24"/>
          <w:szCs w:val="24"/>
          <w:rtl/>
          <w:lang w:val="en-US"/>
        </w:rPr>
        <w:t xml:space="preserve">، </w:t>
      </w:r>
      <w:r w:rsidR="009C76AC" w:rsidRPr="002C2285">
        <w:rPr>
          <w:rFonts w:ascii="Simplified Arabic" w:hAnsi="Simplified Arabic" w:cs="Simplified Arabic" w:hint="cs"/>
          <w:color w:val="000000" w:themeColor="text1"/>
          <w:sz w:val="24"/>
          <w:szCs w:val="24"/>
          <w:rtl/>
          <w:lang w:bidi="ar-DZ"/>
        </w:rPr>
        <w:t>أظهر</w:t>
      </w:r>
      <w:r w:rsidR="009C76AC" w:rsidRPr="002C2285">
        <w:rPr>
          <w:rFonts w:ascii="Simplified Arabic" w:hAnsi="Simplified Arabic" w:cs="Simplified Arabic"/>
          <w:color w:val="000000" w:themeColor="text1"/>
          <w:sz w:val="24"/>
          <w:szCs w:val="24"/>
          <w:rtl/>
          <w:lang w:bidi="ar-DZ"/>
        </w:rPr>
        <w:t xml:space="preserve"> </w:t>
      </w:r>
      <w:r w:rsidRPr="009B7900">
        <w:rPr>
          <w:rFonts w:asciiTheme="majorBidi" w:hAnsiTheme="majorBidi" w:cstheme="majorBidi"/>
          <w:color w:val="000000" w:themeColor="text1"/>
          <w:sz w:val="24"/>
          <w:szCs w:val="24"/>
          <w:rtl/>
          <w:lang w:bidi="ar-DZ"/>
        </w:rPr>
        <w:t>(</w:t>
      </w:r>
      <w:r w:rsidRPr="009B7900">
        <w:rPr>
          <w:rFonts w:asciiTheme="majorBidi" w:hAnsiTheme="majorBidi" w:cstheme="majorBidi"/>
          <w:color w:val="000000" w:themeColor="text1"/>
          <w:sz w:val="24"/>
          <w:szCs w:val="24"/>
          <w:lang w:bidi="ar-DZ"/>
        </w:rPr>
        <w:t>Burton, 2014</w:t>
      </w:r>
      <w:r w:rsidRPr="009B7900">
        <w:rPr>
          <w:rFonts w:asciiTheme="majorBidi" w:hAnsiTheme="majorBidi" w:cstheme="majorBidi"/>
          <w:color w:val="000000" w:themeColor="text1"/>
          <w:sz w:val="24"/>
          <w:szCs w:val="24"/>
          <w:rtl/>
          <w:lang w:bidi="ar-DZ"/>
        </w:rPr>
        <w:t>)</w:t>
      </w:r>
      <w:r w:rsidRPr="00B818D7">
        <w:rPr>
          <w:rFonts w:ascii="Simplified Arabic" w:hAnsi="Simplified Arabic" w:cs="Simplified Arabic"/>
          <w:color w:val="000000" w:themeColor="text1"/>
          <w:sz w:val="24"/>
          <w:szCs w:val="24"/>
          <w:rtl/>
          <w:lang w:bidi="ar-DZ"/>
        </w:rPr>
        <w:t xml:space="preserve"> </w:t>
      </w:r>
      <w:r w:rsidR="009C76AC" w:rsidRPr="002C2285">
        <w:rPr>
          <w:rFonts w:ascii="Simplified Arabic" w:hAnsi="Simplified Arabic" w:cs="Simplified Arabic" w:hint="cs"/>
          <w:color w:val="000000" w:themeColor="text1"/>
          <w:sz w:val="24"/>
          <w:szCs w:val="24"/>
          <w:rtl/>
          <w:lang w:bidi="ar-DZ"/>
        </w:rPr>
        <w:t>أن</w:t>
      </w:r>
      <w:r w:rsidR="009C76AC" w:rsidRPr="002C2285">
        <w:rPr>
          <w:rFonts w:ascii="Simplified Arabic" w:hAnsi="Simplified Arabic" w:cs="Simplified Arabic"/>
          <w:color w:val="000000" w:themeColor="text1"/>
          <w:sz w:val="24"/>
          <w:szCs w:val="24"/>
          <w:rtl/>
          <w:lang w:bidi="ar-DZ"/>
        </w:rPr>
        <w:t xml:space="preserve"> </w:t>
      </w:r>
      <w:r w:rsidR="009C76AC">
        <w:rPr>
          <w:rFonts w:ascii="Simplified Arabic" w:hAnsi="Simplified Arabic" w:cs="Simplified Arabic" w:hint="cs"/>
          <w:color w:val="000000" w:themeColor="text1"/>
          <w:sz w:val="24"/>
          <w:szCs w:val="24"/>
          <w:rtl/>
          <w:lang w:bidi="ar-DZ"/>
        </w:rPr>
        <w:t xml:space="preserve">معيار </w:t>
      </w:r>
      <w:r w:rsidR="009C76AC" w:rsidRPr="002C2285">
        <w:rPr>
          <w:rFonts w:ascii="Simplified Arabic" w:hAnsi="Simplified Arabic" w:cs="Simplified Arabic" w:hint="cs"/>
          <w:color w:val="000000" w:themeColor="text1"/>
          <w:sz w:val="24"/>
          <w:szCs w:val="24"/>
          <w:rtl/>
          <w:lang w:bidi="ar-DZ"/>
        </w:rPr>
        <w:t>الكثافة</w:t>
      </w:r>
      <w:r w:rsidR="009C76AC" w:rsidRPr="002C2285">
        <w:rPr>
          <w:rFonts w:ascii="Simplified Arabic" w:hAnsi="Simplified Arabic" w:cs="Simplified Arabic"/>
          <w:color w:val="000000" w:themeColor="text1"/>
          <w:sz w:val="24"/>
          <w:szCs w:val="24"/>
          <w:rtl/>
          <w:lang w:bidi="ar-DZ"/>
        </w:rPr>
        <w:t xml:space="preserve"> </w:t>
      </w:r>
      <w:r w:rsidR="00735CBB">
        <w:rPr>
          <w:rFonts w:ascii="Simplified Arabic" w:hAnsi="Simplified Arabic" w:cs="Simplified Arabic" w:hint="cs"/>
          <w:color w:val="000000" w:themeColor="text1"/>
          <w:sz w:val="24"/>
          <w:szCs w:val="24"/>
          <w:rtl/>
          <w:lang w:bidi="ar-DZ"/>
        </w:rPr>
        <w:t>الاقل</w:t>
      </w:r>
      <w:r w:rsidR="009C76AC" w:rsidRPr="002C2285">
        <w:rPr>
          <w:rFonts w:ascii="Simplified Arabic" w:hAnsi="Simplified Arabic" w:cs="Simplified Arabic"/>
          <w:color w:val="000000" w:themeColor="text1"/>
          <w:sz w:val="24"/>
          <w:szCs w:val="24"/>
          <w:rtl/>
          <w:lang w:bidi="ar-DZ"/>
        </w:rPr>
        <w:t xml:space="preserve"> </w:t>
      </w:r>
      <w:r w:rsidR="009C76AC" w:rsidRPr="002C2285">
        <w:rPr>
          <w:rFonts w:ascii="Simplified Arabic" w:hAnsi="Simplified Arabic" w:cs="Simplified Arabic" w:hint="cs"/>
          <w:color w:val="000000" w:themeColor="text1"/>
          <w:sz w:val="24"/>
          <w:szCs w:val="24"/>
          <w:rtl/>
          <w:lang w:bidi="ar-DZ"/>
        </w:rPr>
        <w:t>هي</w:t>
      </w:r>
      <w:r w:rsidR="009C76AC" w:rsidRPr="002C2285">
        <w:rPr>
          <w:rFonts w:ascii="Simplified Arabic" w:hAnsi="Simplified Arabic" w:cs="Simplified Arabic"/>
          <w:color w:val="000000" w:themeColor="text1"/>
          <w:sz w:val="24"/>
          <w:szCs w:val="24"/>
          <w:rtl/>
          <w:lang w:bidi="ar-DZ"/>
        </w:rPr>
        <w:t xml:space="preserve"> </w:t>
      </w:r>
      <w:r w:rsidR="009C76AC" w:rsidRPr="002C2285">
        <w:rPr>
          <w:rFonts w:ascii="Simplified Arabic" w:hAnsi="Simplified Arabic" w:cs="Simplified Arabic" w:hint="cs"/>
          <w:color w:val="000000" w:themeColor="text1"/>
          <w:sz w:val="24"/>
          <w:szCs w:val="24"/>
          <w:rtl/>
          <w:lang w:bidi="ar-DZ"/>
        </w:rPr>
        <w:t>الأفضل</w:t>
      </w:r>
      <w:r w:rsidR="009C76AC" w:rsidRPr="002C2285">
        <w:rPr>
          <w:rFonts w:ascii="Simplified Arabic" w:hAnsi="Simplified Arabic" w:cs="Simplified Arabic"/>
          <w:color w:val="000000" w:themeColor="text1"/>
          <w:sz w:val="24"/>
          <w:szCs w:val="24"/>
          <w:rtl/>
          <w:lang w:bidi="ar-DZ"/>
        </w:rPr>
        <w:t xml:space="preserve"> </w:t>
      </w:r>
      <w:r w:rsidR="009C76AC" w:rsidRPr="002C2285">
        <w:rPr>
          <w:rFonts w:ascii="Simplified Arabic" w:hAnsi="Simplified Arabic" w:cs="Simplified Arabic" w:hint="cs"/>
          <w:color w:val="000000" w:themeColor="text1"/>
          <w:sz w:val="24"/>
          <w:szCs w:val="24"/>
          <w:rtl/>
          <w:lang w:bidi="ar-DZ"/>
        </w:rPr>
        <w:t>للمرونة</w:t>
      </w:r>
      <w:r w:rsidR="009C76AC" w:rsidRPr="002C2285">
        <w:rPr>
          <w:rFonts w:ascii="Simplified Arabic" w:hAnsi="Simplified Arabic" w:cs="Simplified Arabic"/>
          <w:color w:val="000000" w:themeColor="text1"/>
          <w:sz w:val="24"/>
          <w:szCs w:val="24"/>
          <w:rtl/>
          <w:lang w:bidi="ar-DZ"/>
        </w:rPr>
        <w:t>.</w:t>
      </w:r>
    </w:p>
    <w:p w:rsidR="00671018" w:rsidRDefault="00C121B0" w:rsidP="003C7BD8">
      <w:pPr>
        <w:bidi/>
        <w:spacing w:after="0"/>
        <w:ind w:firstLine="282"/>
        <w:jc w:val="both"/>
        <w:rPr>
          <w:rFonts w:ascii="Simplified Arabic" w:hAnsi="Simplified Arabic" w:cs="Simplified Arabic"/>
          <w:sz w:val="24"/>
          <w:szCs w:val="24"/>
          <w:lang w:val="en-US"/>
        </w:rPr>
      </w:pPr>
      <w:r w:rsidRPr="00CD5584">
        <w:rPr>
          <w:rFonts w:ascii="Simplified Arabic" w:hAnsi="Simplified Arabic" w:cs="Simplified Arabic" w:hint="cs"/>
          <w:color w:val="000000" w:themeColor="text1"/>
          <w:sz w:val="24"/>
          <w:szCs w:val="24"/>
          <w:rtl/>
          <w:lang w:bidi="ar-DZ"/>
        </w:rPr>
        <w:t>يوضح</w:t>
      </w:r>
      <w:r w:rsidRPr="00CD5584">
        <w:rPr>
          <w:rFonts w:ascii="Simplified Arabic" w:hAnsi="Simplified Arabic" w:cs="Simplified Arabic"/>
          <w:color w:val="000000" w:themeColor="text1"/>
          <w:sz w:val="24"/>
          <w:szCs w:val="24"/>
          <w:rtl/>
          <w:lang w:bidi="ar-DZ"/>
        </w:rPr>
        <w:t xml:space="preserve"> </w:t>
      </w:r>
      <w:r w:rsidRPr="00CD5584">
        <w:rPr>
          <w:rFonts w:ascii="Simplified Arabic" w:hAnsi="Simplified Arabic" w:cs="Simplified Arabic" w:hint="cs"/>
          <w:color w:val="000000" w:themeColor="text1"/>
          <w:sz w:val="24"/>
          <w:szCs w:val="24"/>
          <w:rtl/>
          <w:lang w:bidi="ar-DZ"/>
        </w:rPr>
        <w:t>الشكل</w:t>
      </w:r>
      <w:r w:rsidRPr="00CD5584">
        <w:rPr>
          <w:rFonts w:ascii="Simplified Arabic" w:hAnsi="Simplified Arabic" w:cs="Simplified Arabic"/>
          <w:color w:val="000000" w:themeColor="text1"/>
          <w:sz w:val="24"/>
          <w:szCs w:val="24"/>
          <w:rtl/>
          <w:lang w:bidi="ar-DZ"/>
        </w:rPr>
        <w:t xml:space="preserve"> </w:t>
      </w:r>
      <w:r w:rsidRPr="00CD5584">
        <w:rPr>
          <w:rFonts w:ascii="Simplified Arabic" w:hAnsi="Simplified Arabic" w:cs="Simplified Arabic" w:hint="cs"/>
          <w:color w:val="000000" w:themeColor="text1"/>
          <w:sz w:val="24"/>
          <w:szCs w:val="24"/>
          <w:rtl/>
          <w:lang w:bidi="ar-DZ"/>
        </w:rPr>
        <w:t>(</w:t>
      </w:r>
      <w:r w:rsidR="00FB1F88" w:rsidRPr="00CD5584">
        <w:rPr>
          <w:rFonts w:ascii="Simplified Arabic" w:hAnsi="Simplified Arabic" w:cs="Simplified Arabic" w:hint="cs"/>
          <w:color w:val="000000" w:themeColor="text1"/>
          <w:sz w:val="24"/>
          <w:szCs w:val="24"/>
          <w:rtl/>
          <w:lang w:bidi="ar-DZ"/>
        </w:rPr>
        <w:t>5-</w:t>
      </w:r>
      <w:r w:rsidR="00671018" w:rsidRPr="00CD5584">
        <w:rPr>
          <w:rFonts w:ascii="Simplified Arabic" w:hAnsi="Simplified Arabic" w:cs="Simplified Arabic" w:hint="cs"/>
          <w:color w:val="000000" w:themeColor="text1"/>
          <w:sz w:val="24"/>
          <w:szCs w:val="24"/>
          <w:rtl/>
          <w:lang w:bidi="ar-DZ"/>
        </w:rPr>
        <w:t xml:space="preserve">16)، </w:t>
      </w:r>
      <w:r w:rsidR="00B818D7" w:rsidRPr="00CD5584">
        <w:rPr>
          <w:rFonts w:ascii="Simplified Arabic" w:hAnsi="Simplified Arabic" w:cs="Simplified Arabic" w:hint="cs"/>
          <w:color w:val="000000" w:themeColor="text1"/>
          <w:sz w:val="24"/>
          <w:szCs w:val="24"/>
          <w:rtl/>
          <w:lang w:bidi="ar-DZ"/>
        </w:rPr>
        <w:t>ان</w:t>
      </w:r>
      <w:r w:rsidR="00671018" w:rsidRPr="00CD5584">
        <w:rPr>
          <w:rFonts w:ascii="Simplified Arabic" w:hAnsi="Simplified Arabic" w:cs="Simplified Arabic" w:hint="cs"/>
          <w:color w:val="000000" w:themeColor="text1"/>
          <w:sz w:val="24"/>
          <w:szCs w:val="24"/>
          <w:rtl/>
          <w:lang w:bidi="ar-DZ"/>
        </w:rPr>
        <w:t xml:space="preserve"> نسبة </w:t>
      </w:r>
      <w:r w:rsidR="00A70D67" w:rsidRPr="00CD5584">
        <w:rPr>
          <w:rFonts w:ascii="Simplified Arabic" w:hAnsi="Simplified Arabic" w:cs="Simplified Arabic" w:hint="cs"/>
          <w:color w:val="000000" w:themeColor="text1"/>
          <w:sz w:val="24"/>
          <w:szCs w:val="24"/>
          <w:rtl/>
          <w:lang w:bidi="ar-DZ"/>
        </w:rPr>
        <w:t>افراد العينة</w:t>
      </w:r>
      <w:r w:rsidR="00671018" w:rsidRPr="00CD5584">
        <w:rPr>
          <w:rFonts w:ascii="Simplified Arabic" w:hAnsi="Simplified Arabic" w:cs="Simplified Arabic" w:hint="cs"/>
          <w:color w:val="000000" w:themeColor="text1"/>
          <w:sz w:val="24"/>
          <w:szCs w:val="24"/>
          <w:rtl/>
          <w:lang w:bidi="ar-DZ"/>
        </w:rPr>
        <w:t xml:space="preserve"> </w:t>
      </w:r>
      <w:r w:rsidR="00A70D67" w:rsidRPr="00CD5584">
        <w:rPr>
          <w:rFonts w:ascii="Simplified Arabic" w:hAnsi="Simplified Arabic" w:cs="Simplified Arabic" w:hint="cs"/>
          <w:color w:val="000000" w:themeColor="text1"/>
          <w:sz w:val="24"/>
          <w:szCs w:val="24"/>
          <w:rtl/>
          <w:lang w:bidi="ar-DZ"/>
        </w:rPr>
        <w:t xml:space="preserve">التي تقيم في </w:t>
      </w:r>
      <w:r w:rsidR="003C7BD8">
        <w:rPr>
          <w:rFonts w:ascii="Simplified Arabic" w:hAnsi="Simplified Arabic" w:cs="Simplified Arabic" w:hint="cs"/>
          <w:color w:val="000000" w:themeColor="text1"/>
          <w:sz w:val="24"/>
          <w:szCs w:val="24"/>
          <w:rtl/>
          <w:lang w:bidi="ar-DZ"/>
        </w:rPr>
        <w:t>بناية</w:t>
      </w:r>
      <w:r w:rsidR="00A70D67" w:rsidRPr="00CD5584">
        <w:rPr>
          <w:rFonts w:ascii="Simplified Arabic" w:hAnsi="Simplified Arabic" w:cs="Simplified Arabic" w:hint="cs"/>
          <w:color w:val="000000" w:themeColor="text1"/>
          <w:sz w:val="24"/>
          <w:szCs w:val="24"/>
          <w:rtl/>
          <w:lang w:bidi="ar-DZ"/>
        </w:rPr>
        <w:t xml:space="preserve"> </w:t>
      </w:r>
      <w:r w:rsidR="00CD5584" w:rsidRPr="00CD5584">
        <w:rPr>
          <w:rFonts w:ascii="Simplified Arabic" w:hAnsi="Simplified Arabic" w:cs="Simplified Arabic"/>
          <w:color w:val="000000" w:themeColor="text1"/>
          <w:sz w:val="24"/>
          <w:szCs w:val="24"/>
          <w:rtl/>
          <w:lang w:bidi="ar-DZ"/>
        </w:rPr>
        <w:t>ط+0</w:t>
      </w:r>
      <w:r w:rsidR="00CD5584" w:rsidRPr="00CD5584">
        <w:rPr>
          <w:rFonts w:ascii="Simplified Arabic" w:hAnsi="Simplified Arabic" w:cs="Simplified Arabic"/>
          <w:color w:val="000000" w:themeColor="text1"/>
          <w:sz w:val="24"/>
          <w:szCs w:val="24"/>
          <w:lang w:bidi="ar-DZ"/>
        </w:rPr>
        <w:t xml:space="preserve"> </w:t>
      </w:r>
      <w:r w:rsidR="00671018" w:rsidRPr="00CD5584">
        <w:rPr>
          <w:rFonts w:ascii="Simplified Arabic" w:hAnsi="Simplified Arabic" w:cs="Simplified Arabic" w:hint="cs"/>
          <w:color w:val="000000" w:themeColor="text1"/>
          <w:sz w:val="24"/>
          <w:szCs w:val="24"/>
          <w:rtl/>
          <w:lang w:bidi="ar-DZ"/>
        </w:rPr>
        <w:t>باحياء: سيدي سليمان،</w:t>
      </w:r>
      <w:r w:rsidR="00671018" w:rsidRPr="00220BB6">
        <w:rPr>
          <w:rFonts w:ascii="Simplified Arabic" w:hAnsi="Simplified Arabic" w:cs="Simplified Arabic" w:hint="cs"/>
          <w:sz w:val="24"/>
          <w:szCs w:val="24"/>
          <w:rtl/>
          <w:lang w:val="en-US"/>
        </w:rPr>
        <w:t xml:space="preserve"> ميطر، الحمايد والباطن</w:t>
      </w:r>
      <w:r w:rsidR="00671018">
        <w:rPr>
          <w:rFonts w:ascii="Simplified Arabic" w:hAnsi="Simplified Arabic" w:cs="Simplified Arabic" w:hint="cs"/>
          <w:sz w:val="24"/>
          <w:szCs w:val="24"/>
          <w:rtl/>
          <w:lang w:val="en-US"/>
        </w:rPr>
        <w:t xml:space="preserve"> على التوالي: </w:t>
      </w:r>
      <w:r w:rsidR="00CD5584">
        <w:rPr>
          <w:rFonts w:ascii="Simplified Arabic" w:hAnsi="Simplified Arabic" w:cs="Simplified Arabic"/>
          <w:sz w:val="24"/>
          <w:szCs w:val="24"/>
          <w:lang w:val="en-US"/>
        </w:rPr>
        <w:t>34,29</w:t>
      </w:r>
      <w:r w:rsidR="00671018">
        <w:rPr>
          <w:rFonts w:ascii="Simplified Arabic" w:hAnsi="Simplified Arabic" w:cs="Simplified Arabic"/>
          <w:sz w:val="24"/>
          <w:szCs w:val="24"/>
          <w:rtl/>
          <w:lang w:val="en-US"/>
        </w:rPr>
        <w:t>٪</w:t>
      </w:r>
      <w:r w:rsidR="00671018"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24</w:t>
      </w:r>
      <w:r w:rsidR="00671018"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16</w:t>
      </w:r>
      <w:r w:rsidR="00671018">
        <w:rPr>
          <w:rFonts w:ascii="Simplified Arabic" w:hAnsi="Simplified Arabic" w:cs="Simplified Arabic"/>
          <w:sz w:val="24"/>
          <w:szCs w:val="24"/>
          <w:rtl/>
          <w:lang w:val="en-US"/>
        </w:rPr>
        <w:t>٪</w:t>
      </w:r>
      <w:r w:rsidR="00671018"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11</w:t>
      </w:r>
      <w:r w:rsidR="00671018"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69</w:t>
      </w:r>
      <w:r w:rsidR="00671018">
        <w:rPr>
          <w:rFonts w:ascii="Simplified Arabic" w:hAnsi="Simplified Arabic" w:cs="Simplified Arabic"/>
          <w:sz w:val="24"/>
          <w:szCs w:val="24"/>
          <w:rtl/>
          <w:lang w:val="en-US"/>
        </w:rPr>
        <w:t>٪</w:t>
      </w:r>
      <w:r w:rsidR="00671018"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5</w:t>
      </w:r>
      <w:r w:rsidR="00671018"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19</w:t>
      </w:r>
      <w:r w:rsidR="00671018" w:rsidRPr="00A71970">
        <w:rPr>
          <w:rFonts w:ascii="Simplified Arabic" w:hAnsi="Simplified Arabic" w:cs="Simplified Arabic"/>
          <w:sz w:val="24"/>
          <w:szCs w:val="24"/>
          <w:rtl/>
          <w:lang w:val="en-US"/>
        </w:rPr>
        <w:t xml:space="preserve">٪ </w:t>
      </w:r>
      <w:r w:rsidR="00671018">
        <w:rPr>
          <w:rFonts w:ascii="Simplified Arabic" w:hAnsi="Simplified Arabic" w:cs="Simplified Arabic" w:hint="cs"/>
          <w:sz w:val="24"/>
          <w:szCs w:val="24"/>
          <w:rtl/>
          <w:lang w:val="en-US"/>
        </w:rPr>
        <w:t xml:space="preserve">يقابلها </w:t>
      </w:r>
      <w:r w:rsidR="00CD5584">
        <w:rPr>
          <w:rFonts w:ascii="Simplified Arabic" w:hAnsi="Simplified Arabic" w:cs="Simplified Arabic"/>
          <w:sz w:val="24"/>
          <w:szCs w:val="24"/>
          <w:lang w:val="en-US"/>
        </w:rPr>
        <w:t>132</w:t>
      </w:r>
      <w:r w:rsidR="00671018">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93</w:t>
      </w:r>
      <w:r w:rsidR="00671018">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45</w:t>
      </w:r>
      <w:r w:rsidR="00671018">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20</w:t>
      </w:r>
      <w:r w:rsidR="00671018">
        <w:rPr>
          <w:rFonts w:ascii="Simplified Arabic" w:hAnsi="Simplified Arabic" w:cs="Simplified Arabic" w:hint="cs"/>
          <w:sz w:val="24"/>
          <w:szCs w:val="24"/>
          <w:rtl/>
          <w:lang w:val="en-US"/>
        </w:rPr>
        <w:t xml:space="preserve"> مفردة من العينة، </w:t>
      </w:r>
      <w:r w:rsidR="00BD6F6C">
        <w:rPr>
          <w:rFonts w:ascii="Simplified Arabic" w:hAnsi="Simplified Arabic" w:cs="Simplified Arabic" w:hint="cs"/>
          <w:sz w:val="24"/>
          <w:szCs w:val="24"/>
          <w:rtl/>
          <w:lang w:val="en-US"/>
        </w:rPr>
        <w:t>اما</w:t>
      </w:r>
      <w:r w:rsidR="00671018">
        <w:rPr>
          <w:rFonts w:ascii="Simplified Arabic" w:hAnsi="Simplified Arabic" w:cs="Simplified Arabic" w:hint="cs"/>
          <w:sz w:val="24"/>
          <w:szCs w:val="24"/>
          <w:rtl/>
          <w:lang w:val="en-US"/>
        </w:rPr>
        <w:t xml:space="preserve"> نسبة </w:t>
      </w:r>
      <w:r w:rsidR="00BD6F6C" w:rsidRPr="00CD5584">
        <w:rPr>
          <w:rFonts w:ascii="Simplified Arabic" w:hAnsi="Simplified Arabic" w:cs="Simplified Arabic" w:hint="cs"/>
          <w:color w:val="000000" w:themeColor="text1"/>
          <w:sz w:val="24"/>
          <w:szCs w:val="24"/>
          <w:rtl/>
          <w:lang w:bidi="ar-DZ"/>
        </w:rPr>
        <w:t xml:space="preserve">افراد العينة </w:t>
      </w:r>
      <w:r w:rsidR="00CD5584" w:rsidRPr="00CD5584">
        <w:rPr>
          <w:rFonts w:ascii="Simplified Arabic" w:hAnsi="Simplified Arabic" w:cs="Simplified Arabic" w:hint="cs"/>
          <w:color w:val="000000" w:themeColor="text1"/>
          <w:sz w:val="24"/>
          <w:szCs w:val="24"/>
          <w:rtl/>
          <w:lang w:bidi="ar-DZ"/>
        </w:rPr>
        <w:t xml:space="preserve">التي تقيم في </w:t>
      </w:r>
      <w:r w:rsidR="003C7BD8">
        <w:rPr>
          <w:rFonts w:ascii="Simplified Arabic" w:hAnsi="Simplified Arabic" w:cs="Simplified Arabic" w:hint="cs"/>
          <w:color w:val="000000" w:themeColor="text1"/>
          <w:sz w:val="24"/>
          <w:szCs w:val="24"/>
          <w:rtl/>
          <w:lang w:bidi="ar-DZ"/>
        </w:rPr>
        <w:t>بناية</w:t>
      </w:r>
      <w:r w:rsidR="00CD5584" w:rsidRPr="00CD5584">
        <w:rPr>
          <w:rFonts w:ascii="Simplified Arabic" w:hAnsi="Simplified Arabic" w:cs="Simplified Arabic" w:hint="cs"/>
          <w:color w:val="000000" w:themeColor="text1"/>
          <w:sz w:val="24"/>
          <w:szCs w:val="24"/>
          <w:rtl/>
          <w:lang w:bidi="ar-DZ"/>
        </w:rPr>
        <w:t xml:space="preserve"> </w:t>
      </w:r>
      <w:r w:rsidR="00CD5584" w:rsidRPr="00CD5584">
        <w:rPr>
          <w:rFonts w:ascii="Simplified Arabic" w:hAnsi="Simplified Arabic" w:cs="Simplified Arabic"/>
          <w:color w:val="000000" w:themeColor="text1"/>
          <w:sz w:val="24"/>
          <w:szCs w:val="24"/>
          <w:rtl/>
          <w:lang w:bidi="ar-DZ"/>
        </w:rPr>
        <w:t>ط+</w:t>
      </w:r>
      <w:r w:rsidR="00CD5584">
        <w:rPr>
          <w:rFonts w:ascii="Simplified Arabic" w:hAnsi="Simplified Arabic" w:cs="Simplified Arabic" w:hint="cs"/>
          <w:color w:val="000000" w:themeColor="text1"/>
          <w:sz w:val="24"/>
          <w:szCs w:val="24"/>
          <w:rtl/>
          <w:lang w:bidi="ar-DZ"/>
        </w:rPr>
        <w:t>1</w:t>
      </w:r>
      <w:r w:rsidR="00CD5584" w:rsidRPr="00CD5584">
        <w:rPr>
          <w:rFonts w:ascii="Simplified Arabic" w:hAnsi="Simplified Arabic" w:cs="Simplified Arabic"/>
          <w:color w:val="000000" w:themeColor="text1"/>
          <w:sz w:val="24"/>
          <w:szCs w:val="24"/>
          <w:lang w:bidi="ar-DZ"/>
        </w:rPr>
        <w:t xml:space="preserve"> </w:t>
      </w:r>
      <w:r w:rsidR="00671018">
        <w:rPr>
          <w:rFonts w:ascii="Simplified Arabic" w:hAnsi="Simplified Arabic" w:cs="Simplified Arabic" w:hint="cs"/>
          <w:sz w:val="24"/>
          <w:szCs w:val="24"/>
          <w:rtl/>
          <w:lang w:val="en-US"/>
        </w:rPr>
        <w:t>لنفس</w:t>
      </w:r>
      <w:r w:rsidR="00671018" w:rsidRPr="000230BD">
        <w:rPr>
          <w:rFonts w:ascii="Simplified Arabic" w:hAnsi="Simplified Arabic" w:cs="Simplified Arabic"/>
          <w:sz w:val="24"/>
          <w:szCs w:val="24"/>
          <w:rtl/>
          <w:lang w:val="en-US"/>
        </w:rPr>
        <w:t xml:space="preserve"> </w:t>
      </w:r>
      <w:r w:rsidR="00671018">
        <w:rPr>
          <w:rFonts w:ascii="Simplified Arabic" w:hAnsi="Simplified Arabic" w:cs="Simplified Arabic" w:hint="cs"/>
          <w:sz w:val="24"/>
          <w:szCs w:val="24"/>
          <w:rtl/>
          <w:lang w:val="en-US"/>
        </w:rPr>
        <w:t xml:space="preserve">الاحياء على التوالي: </w:t>
      </w:r>
      <w:r w:rsidR="00CD5584">
        <w:rPr>
          <w:rFonts w:ascii="Simplified Arabic" w:hAnsi="Simplified Arabic" w:cs="Simplified Arabic"/>
          <w:sz w:val="24"/>
          <w:szCs w:val="24"/>
          <w:lang w:val="en-US"/>
        </w:rPr>
        <w:t>47</w:t>
      </w:r>
      <w:r w:rsidR="00671018"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53</w:t>
      </w:r>
      <w:r w:rsidR="00671018">
        <w:rPr>
          <w:rFonts w:ascii="Simplified Arabic" w:hAnsi="Simplified Arabic" w:cs="Simplified Arabic"/>
          <w:sz w:val="24"/>
          <w:szCs w:val="24"/>
          <w:rtl/>
          <w:lang w:val="en-US"/>
        </w:rPr>
        <w:t>٪</w:t>
      </w:r>
      <w:r w:rsidR="00671018"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57</w:t>
      </w:r>
      <w:r w:rsidR="00671018"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14</w:t>
      </w:r>
      <w:r w:rsidR="00671018">
        <w:rPr>
          <w:rFonts w:ascii="Simplified Arabic" w:hAnsi="Simplified Arabic" w:cs="Simplified Arabic"/>
          <w:sz w:val="24"/>
          <w:szCs w:val="24"/>
          <w:rtl/>
          <w:lang w:val="en-US"/>
        </w:rPr>
        <w:t>٪</w:t>
      </w:r>
      <w:r w:rsidR="00671018"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59</w:t>
      </w:r>
      <w:r w:rsidR="00671018"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74</w:t>
      </w:r>
      <w:r w:rsidR="00671018">
        <w:rPr>
          <w:rFonts w:ascii="Simplified Arabic" w:hAnsi="Simplified Arabic" w:cs="Simplified Arabic"/>
          <w:sz w:val="24"/>
          <w:szCs w:val="24"/>
          <w:rtl/>
          <w:lang w:val="en-US"/>
        </w:rPr>
        <w:t>٪</w:t>
      </w:r>
      <w:r w:rsidR="00671018"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11</w:t>
      </w:r>
      <w:r w:rsidR="00671018"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43</w:t>
      </w:r>
      <w:r w:rsidR="00671018" w:rsidRPr="00A71970">
        <w:rPr>
          <w:rFonts w:ascii="Simplified Arabic" w:hAnsi="Simplified Arabic" w:cs="Simplified Arabic"/>
          <w:sz w:val="24"/>
          <w:szCs w:val="24"/>
          <w:rtl/>
          <w:lang w:val="en-US"/>
        </w:rPr>
        <w:t xml:space="preserve">٪ </w:t>
      </w:r>
      <w:r w:rsidR="00671018">
        <w:rPr>
          <w:rFonts w:ascii="Simplified Arabic" w:hAnsi="Simplified Arabic" w:cs="Simplified Arabic" w:hint="cs"/>
          <w:sz w:val="24"/>
          <w:szCs w:val="24"/>
          <w:rtl/>
          <w:lang w:val="en-US"/>
        </w:rPr>
        <w:t>يقابلها</w:t>
      </w:r>
      <w:r w:rsidR="00671018" w:rsidRPr="009F772D">
        <w:rPr>
          <w:rFonts w:ascii="Simplified Arabic" w:hAnsi="Simplified Arabic" w:cs="Simplified Arabic" w:hint="cs"/>
          <w:sz w:val="24"/>
          <w:szCs w:val="24"/>
          <w:rtl/>
          <w:lang w:val="en-US"/>
        </w:rPr>
        <w:t xml:space="preserve"> </w:t>
      </w:r>
      <w:r w:rsidR="00671018">
        <w:rPr>
          <w:rFonts w:ascii="Simplified Arabic" w:hAnsi="Simplified Arabic" w:cs="Simplified Arabic" w:hint="cs"/>
          <w:sz w:val="24"/>
          <w:szCs w:val="24"/>
          <w:rtl/>
          <w:lang w:val="en-US"/>
        </w:rPr>
        <w:t xml:space="preserve">على التوالي </w:t>
      </w:r>
      <w:r w:rsidR="00CD5584">
        <w:rPr>
          <w:rFonts w:ascii="Simplified Arabic" w:hAnsi="Simplified Arabic" w:cs="Simplified Arabic"/>
          <w:sz w:val="24"/>
          <w:szCs w:val="24"/>
          <w:lang w:val="en-US"/>
        </w:rPr>
        <w:t>183</w:t>
      </w:r>
      <w:r w:rsidR="00671018">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220</w:t>
      </w:r>
      <w:r w:rsidR="00671018">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230</w:t>
      </w:r>
      <w:r w:rsidR="00671018">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44</w:t>
      </w:r>
      <w:r w:rsidR="00671018">
        <w:rPr>
          <w:rFonts w:ascii="Simplified Arabic" w:hAnsi="Simplified Arabic" w:cs="Simplified Arabic" w:hint="cs"/>
          <w:sz w:val="24"/>
          <w:szCs w:val="24"/>
          <w:rtl/>
          <w:lang w:val="en-US"/>
        </w:rPr>
        <w:t xml:space="preserve"> مفردة من العينة،</w:t>
      </w:r>
      <w:r w:rsidR="00CD5584" w:rsidRPr="00CD5584">
        <w:rPr>
          <w:rFonts w:ascii="Simplified Arabic" w:hAnsi="Simplified Arabic" w:cs="Simplified Arabic" w:hint="cs"/>
          <w:sz w:val="24"/>
          <w:szCs w:val="24"/>
          <w:rtl/>
          <w:lang w:val="en-US" w:bidi="ar-DZ"/>
        </w:rPr>
        <w:t xml:space="preserve"> </w:t>
      </w:r>
      <w:r w:rsidR="00BD6F6C">
        <w:rPr>
          <w:rFonts w:ascii="Simplified Arabic" w:hAnsi="Simplified Arabic" w:cs="Simplified Arabic" w:hint="cs"/>
          <w:sz w:val="24"/>
          <w:szCs w:val="24"/>
          <w:rtl/>
          <w:lang w:val="en-US" w:bidi="ar-DZ"/>
        </w:rPr>
        <w:t>كانت</w:t>
      </w:r>
      <w:r w:rsidR="00CD5584">
        <w:rPr>
          <w:rFonts w:ascii="Simplified Arabic" w:hAnsi="Simplified Arabic" w:cs="Simplified Arabic" w:hint="cs"/>
          <w:sz w:val="24"/>
          <w:szCs w:val="24"/>
          <w:rtl/>
          <w:lang w:val="en-US"/>
        </w:rPr>
        <w:t xml:space="preserve"> نسبة </w:t>
      </w:r>
      <w:r w:rsidR="00BD6F6C" w:rsidRPr="00CD5584">
        <w:rPr>
          <w:rFonts w:ascii="Simplified Arabic" w:hAnsi="Simplified Arabic" w:cs="Simplified Arabic" w:hint="cs"/>
          <w:color w:val="000000" w:themeColor="text1"/>
          <w:sz w:val="24"/>
          <w:szCs w:val="24"/>
          <w:rtl/>
          <w:lang w:bidi="ar-DZ"/>
        </w:rPr>
        <w:t xml:space="preserve">افراد العينة </w:t>
      </w:r>
      <w:r w:rsidR="00CD5584" w:rsidRPr="00CD5584">
        <w:rPr>
          <w:rFonts w:ascii="Simplified Arabic" w:hAnsi="Simplified Arabic" w:cs="Simplified Arabic" w:hint="cs"/>
          <w:color w:val="000000" w:themeColor="text1"/>
          <w:sz w:val="24"/>
          <w:szCs w:val="24"/>
          <w:rtl/>
          <w:lang w:bidi="ar-DZ"/>
        </w:rPr>
        <w:t xml:space="preserve">التي تقيم في </w:t>
      </w:r>
      <w:r w:rsidR="003C7BD8">
        <w:rPr>
          <w:rFonts w:ascii="Simplified Arabic" w:hAnsi="Simplified Arabic" w:cs="Simplified Arabic" w:hint="cs"/>
          <w:color w:val="000000" w:themeColor="text1"/>
          <w:sz w:val="24"/>
          <w:szCs w:val="24"/>
          <w:rtl/>
          <w:lang w:bidi="ar-DZ"/>
        </w:rPr>
        <w:t>بناية</w:t>
      </w:r>
      <w:r w:rsidR="00CD5584" w:rsidRPr="00CD5584">
        <w:rPr>
          <w:rFonts w:ascii="Simplified Arabic" w:hAnsi="Simplified Arabic" w:cs="Simplified Arabic" w:hint="cs"/>
          <w:color w:val="000000" w:themeColor="text1"/>
          <w:sz w:val="24"/>
          <w:szCs w:val="24"/>
          <w:rtl/>
          <w:lang w:bidi="ar-DZ"/>
        </w:rPr>
        <w:t xml:space="preserve"> </w:t>
      </w:r>
      <w:r w:rsidR="00CD5584" w:rsidRPr="00CD5584">
        <w:rPr>
          <w:rFonts w:ascii="Simplified Arabic" w:hAnsi="Simplified Arabic" w:cs="Simplified Arabic"/>
          <w:color w:val="000000" w:themeColor="text1"/>
          <w:sz w:val="24"/>
          <w:szCs w:val="24"/>
          <w:rtl/>
          <w:lang w:bidi="ar-DZ"/>
        </w:rPr>
        <w:t>ط+</w:t>
      </w:r>
      <w:r w:rsidR="00CD5584">
        <w:rPr>
          <w:rFonts w:ascii="Simplified Arabic" w:hAnsi="Simplified Arabic" w:cs="Simplified Arabic" w:hint="cs"/>
          <w:color w:val="000000" w:themeColor="text1"/>
          <w:sz w:val="24"/>
          <w:szCs w:val="24"/>
          <w:rtl/>
          <w:lang w:bidi="ar-DZ"/>
        </w:rPr>
        <w:t>2</w:t>
      </w:r>
      <w:r w:rsidR="00CD5584" w:rsidRPr="00CD5584">
        <w:rPr>
          <w:rFonts w:ascii="Simplified Arabic" w:hAnsi="Simplified Arabic" w:cs="Simplified Arabic"/>
          <w:color w:val="000000" w:themeColor="text1"/>
          <w:sz w:val="24"/>
          <w:szCs w:val="24"/>
          <w:lang w:bidi="ar-DZ"/>
        </w:rPr>
        <w:t xml:space="preserve"> </w:t>
      </w:r>
      <w:r w:rsidR="00CD5584">
        <w:rPr>
          <w:rFonts w:ascii="Simplified Arabic" w:hAnsi="Simplified Arabic" w:cs="Simplified Arabic" w:hint="cs"/>
          <w:sz w:val="24"/>
          <w:szCs w:val="24"/>
          <w:rtl/>
          <w:lang w:val="en-US"/>
        </w:rPr>
        <w:t>لنفس</w:t>
      </w:r>
      <w:r w:rsidR="00CD5584" w:rsidRPr="000230BD">
        <w:rPr>
          <w:rFonts w:ascii="Simplified Arabic" w:hAnsi="Simplified Arabic" w:cs="Simplified Arabic"/>
          <w:sz w:val="24"/>
          <w:szCs w:val="24"/>
          <w:rtl/>
          <w:lang w:val="en-US"/>
        </w:rPr>
        <w:t xml:space="preserve"> </w:t>
      </w:r>
      <w:r w:rsidR="00CD5584">
        <w:rPr>
          <w:rFonts w:ascii="Simplified Arabic" w:hAnsi="Simplified Arabic" w:cs="Simplified Arabic" w:hint="cs"/>
          <w:sz w:val="24"/>
          <w:szCs w:val="24"/>
          <w:rtl/>
          <w:lang w:val="en-US"/>
        </w:rPr>
        <w:t xml:space="preserve">الاحياء على التوالي: </w:t>
      </w:r>
      <w:r w:rsidR="00CD5584">
        <w:rPr>
          <w:rFonts w:ascii="Simplified Arabic" w:hAnsi="Simplified Arabic" w:cs="Simplified Arabic"/>
          <w:sz w:val="24"/>
          <w:szCs w:val="24"/>
          <w:lang w:val="en-US"/>
        </w:rPr>
        <w:t>9</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61</w:t>
      </w:r>
      <w:r w:rsidR="00CD5584">
        <w:rPr>
          <w:rFonts w:ascii="Simplified Arabic" w:hAnsi="Simplified Arabic" w:cs="Simplified Arabic"/>
          <w:sz w:val="24"/>
          <w:szCs w:val="24"/>
          <w:rtl/>
          <w:lang w:val="en-US"/>
        </w:rPr>
        <w:t>٪</w:t>
      </w:r>
      <w:r w:rsidR="00CD5584"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11</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69</w:t>
      </w:r>
      <w:r w:rsidR="00CD5584">
        <w:rPr>
          <w:rFonts w:ascii="Simplified Arabic" w:hAnsi="Simplified Arabic" w:cs="Simplified Arabic"/>
          <w:sz w:val="24"/>
          <w:szCs w:val="24"/>
          <w:rtl/>
          <w:lang w:val="en-US"/>
        </w:rPr>
        <w:t>٪</w:t>
      </w:r>
      <w:r w:rsidR="00CD5584"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18</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44</w:t>
      </w:r>
      <w:r w:rsidR="00CD5584">
        <w:rPr>
          <w:rFonts w:ascii="Simplified Arabic" w:hAnsi="Simplified Arabic" w:cs="Simplified Arabic"/>
          <w:sz w:val="24"/>
          <w:szCs w:val="24"/>
          <w:rtl/>
          <w:lang w:val="en-US"/>
        </w:rPr>
        <w:t>٪</w:t>
      </w:r>
      <w:r w:rsidR="00CD5584"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23</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64</w:t>
      </w:r>
      <w:r w:rsidR="00CD5584" w:rsidRPr="00A71970">
        <w:rPr>
          <w:rFonts w:ascii="Simplified Arabic" w:hAnsi="Simplified Arabic" w:cs="Simplified Arabic"/>
          <w:sz w:val="24"/>
          <w:szCs w:val="24"/>
          <w:rtl/>
          <w:lang w:val="en-US"/>
        </w:rPr>
        <w:t xml:space="preserve">٪ </w:t>
      </w:r>
      <w:r w:rsidR="00CD5584">
        <w:rPr>
          <w:rFonts w:ascii="Simplified Arabic" w:hAnsi="Simplified Arabic" w:cs="Simplified Arabic" w:hint="cs"/>
          <w:sz w:val="24"/>
          <w:szCs w:val="24"/>
          <w:rtl/>
          <w:lang w:val="en-US"/>
        </w:rPr>
        <w:t>يقابلها</w:t>
      </w:r>
      <w:r w:rsidR="00CD5584" w:rsidRPr="009F772D">
        <w:rPr>
          <w:rFonts w:ascii="Simplified Arabic" w:hAnsi="Simplified Arabic" w:cs="Simplified Arabic" w:hint="cs"/>
          <w:sz w:val="24"/>
          <w:szCs w:val="24"/>
          <w:rtl/>
          <w:lang w:val="en-US"/>
        </w:rPr>
        <w:t xml:space="preserve"> </w:t>
      </w:r>
      <w:r w:rsidR="00CD5584">
        <w:rPr>
          <w:rFonts w:ascii="Simplified Arabic" w:hAnsi="Simplified Arabic" w:cs="Simplified Arabic" w:hint="cs"/>
          <w:sz w:val="24"/>
          <w:szCs w:val="24"/>
          <w:rtl/>
          <w:lang w:val="en-US"/>
        </w:rPr>
        <w:t xml:space="preserve">على التوالي </w:t>
      </w:r>
      <w:r w:rsidR="00CD5584">
        <w:rPr>
          <w:rFonts w:ascii="Simplified Arabic" w:hAnsi="Simplified Arabic" w:cs="Simplified Arabic"/>
          <w:sz w:val="24"/>
          <w:szCs w:val="24"/>
          <w:lang w:val="en-US"/>
        </w:rPr>
        <w:t>37</w:t>
      </w:r>
      <w:r w:rsidR="00CD5584">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45</w:t>
      </w:r>
      <w:r w:rsidR="00CD5584">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71</w:t>
      </w:r>
      <w:r w:rsidR="00CD5584">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91</w:t>
      </w:r>
      <w:r w:rsidR="00CD5584">
        <w:rPr>
          <w:rFonts w:ascii="Simplified Arabic" w:hAnsi="Simplified Arabic" w:cs="Simplified Arabic" w:hint="cs"/>
          <w:sz w:val="24"/>
          <w:szCs w:val="24"/>
          <w:rtl/>
          <w:lang w:val="en-US"/>
        </w:rPr>
        <w:t xml:space="preserve"> مفردة من العينة،</w:t>
      </w:r>
      <w:r w:rsidR="00CD5584" w:rsidRPr="00CD5584">
        <w:rPr>
          <w:rFonts w:ascii="Simplified Arabic" w:hAnsi="Simplified Arabic" w:cs="Simplified Arabic" w:hint="cs"/>
          <w:sz w:val="24"/>
          <w:szCs w:val="24"/>
          <w:rtl/>
          <w:lang w:val="en-US" w:bidi="ar-DZ"/>
        </w:rPr>
        <w:t xml:space="preserve"> </w:t>
      </w:r>
      <w:r w:rsidR="00BD6F6C">
        <w:rPr>
          <w:rFonts w:ascii="Simplified Arabic" w:hAnsi="Simplified Arabic" w:cs="Simplified Arabic" w:hint="cs"/>
          <w:sz w:val="24"/>
          <w:szCs w:val="24"/>
          <w:rtl/>
          <w:lang w:val="en-US" w:bidi="ar-DZ"/>
        </w:rPr>
        <w:t>اما</w:t>
      </w:r>
      <w:r w:rsidR="00CD5584">
        <w:rPr>
          <w:rFonts w:ascii="Simplified Arabic" w:hAnsi="Simplified Arabic" w:cs="Simplified Arabic" w:hint="cs"/>
          <w:sz w:val="24"/>
          <w:szCs w:val="24"/>
          <w:rtl/>
          <w:lang w:val="en-US"/>
        </w:rPr>
        <w:t xml:space="preserve"> نسبة </w:t>
      </w:r>
      <w:r w:rsidR="00BD6F6C" w:rsidRPr="00CD5584">
        <w:rPr>
          <w:rFonts w:ascii="Simplified Arabic" w:hAnsi="Simplified Arabic" w:cs="Simplified Arabic" w:hint="cs"/>
          <w:color w:val="000000" w:themeColor="text1"/>
          <w:sz w:val="24"/>
          <w:szCs w:val="24"/>
          <w:rtl/>
          <w:lang w:bidi="ar-DZ"/>
        </w:rPr>
        <w:t xml:space="preserve">افراد العينة </w:t>
      </w:r>
      <w:r w:rsidR="00CD5584" w:rsidRPr="00CD5584">
        <w:rPr>
          <w:rFonts w:ascii="Simplified Arabic" w:hAnsi="Simplified Arabic" w:cs="Simplified Arabic" w:hint="cs"/>
          <w:color w:val="000000" w:themeColor="text1"/>
          <w:sz w:val="24"/>
          <w:szCs w:val="24"/>
          <w:rtl/>
          <w:lang w:bidi="ar-DZ"/>
        </w:rPr>
        <w:lastRenderedPageBreak/>
        <w:t xml:space="preserve">التي تقيم في </w:t>
      </w:r>
      <w:r w:rsidR="003C7BD8">
        <w:rPr>
          <w:rFonts w:ascii="Simplified Arabic" w:hAnsi="Simplified Arabic" w:cs="Simplified Arabic" w:hint="cs"/>
          <w:color w:val="000000" w:themeColor="text1"/>
          <w:sz w:val="24"/>
          <w:szCs w:val="24"/>
          <w:rtl/>
          <w:lang w:bidi="ar-DZ"/>
        </w:rPr>
        <w:t>بناية</w:t>
      </w:r>
      <w:r w:rsidR="00CD5584" w:rsidRPr="00CD5584">
        <w:rPr>
          <w:rFonts w:ascii="Simplified Arabic" w:hAnsi="Simplified Arabic" w:cs="Simplified Arabic" w:hint="cs"/>
          <w:color w:val="000000" w:themeColor="text1"/>
          <w:sz w:val="24"/>
          <w:szCs w:val="24"/>
          <w:rtl/>
          <w:lang w:bidi="ar-DZ"/>
        </w:rPr>
        <w:t xml:space="preserve"> </w:t>
      </w:r>
      <w:r w:rsidR="00CD5584" w:rsidRPr="00CD5584">
        <w:rPr>
          <w:rFonts w:ascii="Simplified Arabic" w:hAnsi="Simplified Arabic" w:cs="Simplified Arabic"/>
          <w:color w:val="000000" w:themeColor="text1"/>
          <w:sz w:val="24"/>
          <w:szCs w:val="24"/>
          <w:rtl/>
          <w:lang w:bidi="ar-DZ"/>
        </w:rPr>
        <w:t>ط+</w:t>
      </w:r>
      <w:r w:rsidR="00CD5584">
        <w:rPr>
          <w:rFonts w:ascii="Simplified Arabic" w:hAnsi="Simplified Arabic" w:cs="Simplified Arabic" w:hint="cs"/>
          <w:color w:val="000000" w:themeColor="text1"/>
          <w:sz w:val="24"/>
          <w:szCs w:val="24"/>
          <w:rtl/>
          <w:lang w:bidi="ar-DZ"/>
        </w:rPr>
        <w:t>3</w:t>
      </w:r>
      <w:r w:rsidR="00CD5584" w:rsidRPr="00CD5584">
        <w:rPr>
          <w:rFonts w:ascii="Simplified Arabic" w:hAnsi="Simplified Arabic" w:cs="Simplified Arabic"/>
          <w:color w:val="000000" w:themeColor="text1"/>
          <w:sz w:val="24"/>
          <w:szCs w:val="24"/>
          <w:lang w:bidi="ar-DZ"/>
        </w:rPr>
        <w:t xml:space="preserve"> </w:t>
      </w:r>
      <w:r w:rsidR="00CD5584">
        <w:rPr>
          <w:rFonts w:ascii="Simplified Arabic" w:hAnsi="Simplified Arabic" w:cs="Simplified Arabic" w:hint="cs"/>
          <w:sz w:val="24"/>
          <w:szCs w:val="24"/>
          <w:rtl/>
          <w:lang w:val="en-US"/>
        </w:rPr>
        <w:t>لنفس</w:t>
      </w:r>
      <w:r w:rsidR="00CD5584" w:rsidRPr="000230BD">
        <w:rPr>
          <w:rFonts w:ascii="Simplified Arabic" w:hAnsi="Simplified Arabic" w:cs="Simplified Arabic"/>
          <w:sz w:val="24"/>
          <w:szCs w:val="24"/>
          <w:rtl/>
          <w:lang w:val="en-US"/>
        </w:rPr>
        <w:t xml:space="preserve"> </w:t>
      </w:r>
      <w:r w:rsidR="00CD5584">
        <w:rPr>
          <w:rFonts w:ascii="Simplified Arabic" w:hAnsi="Simplified Arabic" w:cs="Simplified Arabic" w:hint="cs"/>
          <w:sz w:val="24"/>
          <w:szCs w:val="24"/>
          <w:rtl/>
          <w:lang w:val="en-US"/>
        </w:rPr>
        <w:t xml:space="preserve">الاحياء على التوالي: </w:t>
      </w:r>
      <w:r w:rsidR="00CD5584">
        <w:rPr>
          <w:rFonts w:ascii="Simplified Arabic" w:hAnsi="Simplified Arabic" w:cs="Simplified Arabic"/>
          <w:sz w:val="24"/>
          <w:szCs w:val="24"/>
          <w:lang w:val="en-US"/>
        </w:rPr>
        <w:t>8</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57</w:t>
      </w:r>
      <w:r w:rsidR="00CD5584">
        <w:rPr>
          <w:rFonts w:ascii="Simplified Arabic" w:hAnsi="Simplified Arabic" w:cs="Simplified Arabic"/>
          <w:sz w:val="24"/>
          <w:szCs w:val="24"/>
          <w:rtl/>
          <w:lang w:val="en-US"/>
        </w:rPr>
        <w:t>٪</w:t>
      </w:r>
      <w:r w:rsidR="00CD5584"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7</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01</w:t>
      </w:r>
      <w:r w:rsidR="00CD5584">
        <w:rPr>
          <w:rFonts w:ascii="Simplified Arabic" w:hAnsi="Simplified Arabic" w:cs="Simplified Arabic"/>
          <w:sz w:val="24"/>
          <w:szCs w:val="24"/>
          <w:rtl/>
          <w:lang w:val="en-US"/>
        </w:rPr>
        <w:t>٪</w:t>
      </w:r>
      <w:r w:rsidR="00CD5584"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10</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13</w:t>
      </w:r>
      <w:r w:rsidR="00CD5584">
        <w:rPr>
          <w:rFonts w:ascii="Simplified Arabic" w:hAnsi="Simplified Arabic" w:cs="Simplified Arabic"/>
          <w:sz w:val="24"/>
          <w:szCs w:val="24"/>
          <w:rtl/>
          <w:lang w:val="en-US"/>
        </w:rPr>
        <w:t>٪</w:t>
      </w:r>
      <w:r w:rsidR="00CD5584" w:rsidRPr="00220BB6">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59</w:t>
      </w:r>
      <w:r w:rsidR="00CD5584" w:rsidRPr="00220BB6">
        <w:rPr>
          <w:rFonts w:ascii="Simplified Arabic" w:hAnsi="Simplified Arabic" w:cs="Simplified Arabic"/>
          <w:sz w:val="24"/>
          <w:szCs w:val="24"/>
          <w:lang w:val="en-US"/>
        </w:rPr>
        <w:t>,</w:t>
      </w:r>
      <w:r w:rsidR="00CD5584">
        <w:rPr>
          <w:rFonts w:ascii="Simplified Arabic" w:hAnsi="Simplified Arabic" w:cs="Simplified Arabic"/>
          <w:sz w:val="24"/>
          <w:szCs w:val="24"/>
          <w:lang w:val="en-US"/>
        </w:rPr>
        <w:t>74</w:t>
      </w:r>
      <w:r w:rsidR="00CD5584" w:rsidRPr="00A71970">
        <w:rPr>
          <w:rFonts w:ascii="Simplified Arabic" w:hAnsi="Simplified Arabic" w:cs="Simplified Arabic"/>
          <w:sz w:val="24"/>
          <w:szCs w:val="24"/>
          <w:rtl/>
          <w:lang w:val="en-US"/>
        </w:rPr>
        <w:t xml:space="preserve">٪ </w:t>
      </w:r>
      <w:r w:rsidR="00CD5584">
        <w:rPr>
          <w:rFonts w:ascii="Simplified Arabic" w:hAnsi="Simplified Arabic" w:cs="Simplified Arabic" w:hint="cs"/>
          <w:sz w:val="24"/>
          <w:szCs w:val="24"/>
          <w:rtl/>
          <w:lang w:val="en-US"/>
        </w:rPr>
        <w:t>يقابلها</w:t>
      </w:r>
      <w:r w:rsidR="00CD5584" w:rsidRPr="009F772D">
        <w:rPr>
          <w:rFonts w:ascii="Simplified Arabic" w:hAnsi="Simplified Arabic" w:cs="Simplified Arabic" w:hint="cs"/>
          <w:sz w:val="24"/>
          <w:szCs w:val="24"/>
          <w:rtl/>
          <w:lang w:val="en-US"/>
        </w:rPr>
        <w:t xml:space="preserve"> </w:t>
      </w:r>
      <w:r w:rsidR="00CD5584">
        <w:rPr>
          <w:rFonts w:ascii="Simplified Arabic" w:hAnsi="Simplified Arabic" w:cs="Simplified Arabic" w:hint="cs"/>
          <w:sz w:val="24"/>
          <w:szCs w:val="24"/>
          <w:rtl/>
          <w:lang w:val="en-US"/>
        </w:rPr>
        <w:t xml:space="preserve">على التوالي </w:t>
      </w:r>
      <w:r w:rsidR="00CD5584">
        <w:rPr>
          <w:rFonts w:ascii="Simplified Arabic" w:hAnsi="Simplified Arabic" w:cs="Simplified Arabic"/>
          <w:sz w:val="24"/>
          <w:szCs w:val="24"/>
          <w:lang w:val="en-US"/>
        </w:rPr>
        <w:t>33</w:t>
      </w:r>
      <w:r w:rsidR="00CD5584">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27</w:t>
      </w:r>
      <w:r w:rsidR="00CD5584">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39</w:t>
      </w:r>
      <w:r w:rsidR="00CD5584">
        <w:rPr>
          <w:rFonts w:ascii="Simplified Arabic" w:hAnsi="Simplified Arabic" w:cs="Simplified Arabic" w:hint="cs"/>
          <w:sz w:val="24"/>
          <w:szCs w:val="24"/>
          <w:rtl/>
          <w:lang w:val="en-US"/>
        </w:rPr>
        <w:t xml:space="preserve">، </w:t>
      </w:r>
      <w:r w:rsidR="00CD5584">
        <w:rPr>
          <w:rFonts w:ascii="Simplified Arabic" w:hAnsi="Simplified Arabic" w:cs="Simplified Arabic"/>
          <w:sz w:val="24"/>
          <w:szCs w:val="24"/>
          <w:lang w:val="en-US"/>
        </w:rPr>
        <w:t>230</w:t>
      </w:r>
      <w:r w:rsidR="00CD5584">
        <w:rPr>
          <w:rFonts w:ascii="Simplified Arabic" w:hAnsi="Simplified Arabic" w:cs="Simplified Arabic" w:hint="cs"/>
          <w:sz w:val="24"/>
          <w:szCs w:val="24"/>
          <w:rtl/>
          <w:lang w:val="en-US"/>
        </w:rPr>
        <w:t xml:space="preserve"> مفردة من العينة</w:t>
      </w:r>
      <w:r w:rsidR="00BD6F6C">
        <w:rPr>
          <w:rFonts w:ascii="Simplified Arabic" w:hAnsi="Simplified Arabic" w:cs="Simplified Arabic" w:hint="cs"/>
          <w:sz w:val="24"/>
          <w:szCs w:val="24"/>
          <w:rtl/>
          <w:lang w:val="en-US"/>
        </w:rPr>
        <w:t>.</w:t>
      </w:r>
    </w:p>
    <w:p w:rsidR="00C121B0" w:rsidRDefault="003A37D5" w:rsidP="003C7BD8">
      <w:pPr>
        <w:bidi/>
        <w:spacing w:after="0"/>
        <w:ind w:firstLine="282"/>
        <w:jc w:val="both"/>
        <w:rPr>
          <w:rFonts w:ascii="Simplified Arabic" w:hAnsi="Simplified Arabic" w:cs="Simplified Arabic"/>
          <w:color w:val="000000" w:themeColor="text1"/>
          <w:sz w:val="24"/>
          <w:szCs w:val="24"/>
          <w:rtl/>
        </w:rPr>
      </w:pPr>
      <w:r>
        <w:rPr>
          <w:rFonts w:ascii="Simplified Arabic" w:hAnsi="Simplified Arabic" w:cs="Simplified Arabic" w:hint="cs"/>
          <w:color w:val="000000" w:themeColor="text1"/>
          <w:sz w:val="24"/>
          <w:szCs w:val="24"/>
          <w:rtl/>
          <w:lang w:bidi="ar-DZ"/>
        </w:rPr>
        <w:t xml:space="preserve">يرى البحث ان </w:t>
      </w:r>
      <w:r w:rsidR="003C7BD8">
        <w:rPr>
          <w:rFonts w:ascii="Simplified Arabic" w:hAnsi="Simplified Arabic" w:cs="Simplified Arabic" w:hint="cs"/>
          <w:color w:val="000000" w:themeColor="text1"/>
          <w:sz w:val="24"/>
          <w:szCs w:val="24"/>
          <w:rtl/>
        </w:rPr>
        <w:t xml:space="preserve">سبب ارتفاع </w:t>
      </w:r>
      <w:r w:rsidR="00BD6F6C">
        <w:rPr>
          <w:rFonts w:ascii="Simplified Arabic" w:hAnsi="Simplified Arabic" w:cs="Simplified Arabic" w:hint="cs"/>
          <w:sz w:val="24"/>
          <w:szCs w:val="24"/>
          <w:rtl/>
          <w:lang w:val="en-US"/>
        </w:rPr>
        <w:t xml:space="preserve">نسبة </w:t>
      </w:r>
      <w:r>
        <w:rPr>
          <w:rFonts w:ascii="Simplified Arabic" w:hAnsi="Simplified Arabic" w:cs="Simplified Arabic" w:hint="cs"/>
          <w:sz w:val="24"/>
          <w:szCs w:val="24"/>
          <w:rtl/>
          <w:lang w:val="en-US"/>
        </w:rPr>
        <w:t xml:space="preserve">ردود </w:t>
      </w:r>
      <w:r w:rsidR="00211BAF">
        <w:rPr>
          <w:rFonts w:ascii="Simplified Arabic" w:hAnsi="Simplified Arabic" w:cs="Simplified Arabic" w:hint="cs"/>
          <w:sz w:val="24"/>
          <w:szCs w:val="24"/>
          <w:rtl/>
          <w:lang w:val="en-US"/>
        </w:rPr>
        <w:t xml:space="preserve">افراد عينة </w:t>
      </w:r>
      <w:r w:rsidRPr="0004309B">
        <w:rPr>
          <w:rFonts w:ascii="Simplified Arabic" w:hAnsi="Simplified Arabic" w:cs="Simplified Arabic" w:hint="cs"/>
          <w:color w:val="000000" w:themeColor="text1"/>
          <w:sz w:val="24"/>
          <w:szCs w:val="24"/>
          <w:rtl/>
        </w:rPr>
        <w:t>حي الباطن</w:t>
      </w:r>
      <w:r w:rsidR="003C7BD8">
        <w:rPr>
          <w:rFonts w:ascii="Simplified Arabic" w:hAnsi="Simplified Arabic" w:cs="Simplified Arabic" w:hint="cs"/>
          <w:color w:val="000000" w:themeColor="text1"/>
          <w:sz w:val="24"/>
          <w:szCs w:val="24"/>
          <w:rtl/>
        </w:rPr>
        <w:t xml:space="preserve"> التي </w:t>
      </w:r>
      <w:r w:rsidR="003C7BD8" w:rsidRPr="00CD5584">
        <w:rPr>
          <w:rFonts w:ascii="Simplified Arabic" w:hAnsi="Simplified Arabic" w:cs="Simplified Arabic" w:hint="cs"/>
          <w:color w:val="000000" w:themeColor="text1"/>
          <w:sz w:val="24"/>
          <w:szCs w:val="24"/>
          <w:rtl/>
          <w:lang w:bidi="ar-DZ"/>
        </w:rPr>
        <w:t xml:space="preserve">تقيم في </w:t>
      </w:r>
      <w:r w:rsidR="003C7BD8">
        <w:rPr>
          <w:rFonts w:ascii="Simplified Arabic" w:hAnsi="Simplified Arabic" w:cs="Simplified Arabic" w:hint="cs"/>
          <w:color w:val="000000" w:themeColor="text1"/>
          <w:sz w:val="24"/>
          <w:szCs w:val="24"/>
          <w:rtl/>
          <w:lang w:bidi="ar-DZ"/>
        </w:rPr>
        <w:t>بناية</w:t>
      </w:r>
      <w:r w:rsidR="003C7BD8" w:rsidRPr="00CD5584">
        <w:rPr>
          <w:rFonts w:ascii="Simplified Arabic" w:hAnsi="Simplified Arabic" w:cs="Simplified Arabic" w:hint="cs"/>
          <w:color w:val="000000" w:themeColor="text1"/>
          <w:sz w:val="24"/>
          <w:szCs w:val="24"/>
          <w:rtl/>
          <w:lang w:bidi="ar-DZ"/>
        </w:rPr>
        <w:t xml:space="preserve"> </w:t>
      </w:r>
      <w:r w:rsidR="003C7BD8" w:rsidRPr="00CD5584">
        <w:rPr>
          <w:rFonts w:ascii="Simplified Arabic" w:hAnsi="Simplified Arabic" w:cs="Simplified Arabic"/>
          <w:color w:val="000000" w:themeColor="text1"/>
          <w:sz w:val="24"/>
          <w:szCs w:val="24"/>
          <w:rtl/>
          <w:lang w:bidi="ar-DZ"/>
        </w:rPr>
        <w:t>ط+</w:t>
      </w:r>
      <w:r w:rsidR="003C7BD8">
        <w:rPr>
          <w:rFonts w:ascii="Simplified Arabic" w:hAnsi="Simplified Arabic" w:cs="Simplified Arabic" w:hint="cs"/>
          <w:color w:val="000000" w:themeColor="text1"/>
          <w:sz w:val="24"/>
          <w:szCs w:val="24"/>
          <w:rtl/>
          <w:lang w:bidi="ar-DZ"/>
        </w:rPr>
        <w:t xml:space="preserve">3 </w:t>
      </w:r>
      <w:r w:rsidR="003C7BD8">
        <w:rPr>
          <w:rFonts w:ascii="Simplified Arabic" w:hAnsi="Simplified Arabic" w:cs="Simplified Arabic" w:hint="cs"/>
          <w:color w:val="000000" w:themeColor="text1"/>
          <w:sz w:val="24"/>
          <w:szCs w:val="24"/>
          <w:rtl/>
        </w:rPr>
        <w:t>الى</w:t>
      </w:r>
      <w:r w:rsidR="003C7BD8">
        <w:rPr>
          <w:rFonts w:ascii="Simplified Arabic" w:hAnsi="Simplified Arabic" w:cs="Simplified Arabic" w:hint="cs"/>
          <w:sz w:val="24"/>
          <w:szCs w:val="24"/>
          <w:rtl/>
          <w:lang w:val="en-US"/>
        </w:rPr>
        <w:t xml:space="preserve"> </w:t>
      </w:r>
      <w:r w:rsidR="003C7BD8">
        <w:rPr>
          <w:rFonts w:ascii="Simplified Arabic" w:hAnsi="Simplified Arabic" w:cs="Simplified Arabic"/>
          <w:sz w:val="24"/>
          <w:szCs w:val="24"/>
          <w:lang w:val="en-US"/>
        </w:rPr>
        <w:t>59</w:t>
      </w:r>
      <w:r w:rsidR="003C7BD8" w:rsidRPr="00220BB6">
        <w:rPr>
          <w:rFonts w:ascii="Simplified Arabic" w:hAnsi="Simplified Arabic" w:cs="Simplified Arabic"/>
          <w:sz w:val="24"/>
          <w:szCs w:val="24"/>
          <w:lang w:val="en-US"/>
        </w:rPr>
        <w:t>,</w:t>
      </w:r>
      <w:r w:rsidR="003C7BD8">
        <w:rPr>
          <w:rFonts w:ascii="Simplified Arabic" w:hAnsi="Simplified Arabic" w:cs="Simplified Arabic"/>
          <w:sz w:val="24"/>
          <w:szCs w:val="24"/>
          <w:lang w:val="en-US"/>
        </w:rPr>
        <w:t>74</w:t>
      </w:r>
      <w:r w:rsidR="003C7BD8" w:rsidRPr="00A71970">
        <w:rPr>
          <w:rFonts w:ascii="Simplified Arabic" w:hAnsi="Simplified Arabic" w:cs="Simplified Arabic"/>
          <w:sz w:val="24"/>
          <w:szCs w:val="24"/>
          <w:rtl/>
          <w:lang w:val="en-US"/>
        </w:rPr>
        <w:t>٪</w:t>
      </w:r>
      <w:r w:rsidR="003C7BD8">
        <w:rPr>
          <w:rFonts w:ascii="Simplified Arabic" w:hAnsi="Simplified Arabic" w:cs="Simplified Arabic" w:hint="cs"/>
          <w:sz w:val="24"/>
          <w:szCs w:val="24"/>
          <w:rtl/>
          <w:lang w:val="en-US"/>
        </w:rPr>
        <w:t>،</w:t>
      </w:r>
      <w:r w:rsidRPr="0004309B">
        <w:rPr>
          <w:rFonts w:ascii="Simplified Arabic" w:hAnsi="Simplified Arabic" w:cs="Simplified Arabic" w:hint="cs"/>
          <w:color w:val="000000" w:themeColor="text1"/>
          <w:sz w:val="24"/>
          <w:szCs w:val="24"/>
          <w:rtl/>
        </w:rPr>
        <w:t xml:space="preserve"> </w:t>
      </w:r>
      <w:r w:rsidR="00C121B0" w:rsidRPr="0004309B">
        <w:rPr>
          <w:rFonts w:ascii="Simplified Arabic" w:hAnsi="Simplified Arabic" w:cs="Simplified Arabic" w:hint="cs"/>
          <w:color w:val="000000" w:themeColor="text1"/>
          <w:sz w:val="24"/>
          <w:szCs w:val="24"/>
          <w:rtl/>
        </w:rPr>
        <w:t xml:space="preserve">راجع الى </w:t>
      </w:r>
      <w:r w:rsidR="00C121B0">
        <w:rPr>
          <w:rFonts w:ascii="Simplified Arabic" w:hAnsi="Simplified Arabic" w:cs="Simplified Arabic" w:hint="cs"/>
          <w:color w:val="000000" w:themeColor="text1"/>
          <w:sz w:val="24"/>
          <w:szCs w:val="24"/>
          <w:rtl/>
        </w:rPr>
        <w:t>صب الكثير من مشاريع مختلف الصيغ، التي تحمل طابع السكن الجماعي</w:t>
      </w:r>
      <w:r w:rsidR="003C7BD8">
        <w:rPr>
          <w:rFonts w:ascii="Simplified Arabic" w:hAnsi="Simplified Arabic" w:cs="Simplified Arabic" w:hint="cs"/>
          <w:color w:val="000000" w:themeColor="text1"/>
          <w:sz w:val="24"/>
          <w:szCs w:val="24"/>
          <w:rtl/>
        </w:rPr>
        <w:t xml:space="preserve"> ب</w:t>
      </w:r>
      <w:r w:rsidR="003C7BD8" w:rsidRPr="0004309B">
        <w:rPr>
          <w:rFonts w:ascii="Simplified Arabic" w:hAnsi="Simplified Arabic" w:cs="Simplified Arabic" w:hint="cs"/>
          <w:color w:val="000000" w:themeColor="text1"/>
          <w:sz w:val="24"/>
          <w:szCs w:val="24"/>
          <w:rtl/>
        </w:rPr>
        <w:t>هذا</w:t>
      </w:r>
      <w:r w:rsidR="003C7BD8">
        <w:rPr>
          <w:rFonts w:ascii="Simplified Arabic" w:hAnsi="Simplified Arabic" w:cs="Simplified Arabic" w:hint="cs"/>
          <w:color w:val="000000" w:themeColor="text1"/>
          <w:sz w:val="24"/>
          <w:szCs w:val="24"/>
          <w:rtl/>
        </w:rPr>
        <w:t xml:space="preserve"> الحي الذي يقع ضمن المنطقة السكنية الحضرية الجديدة (المدينة الجديدة).</w:t>
      </w:r>
    </w:p>
    <w:p w:rsidR="00C121B0" w:rsidRDefault="00C121B0" w:rsidP="00C840FB">
      <w:pPr>
        <w:pStyle w:val="fegure"/>
        <w:spacing w:before="240"/>
        <w:rPr>
          <w:sz w:val="8"/>
          <w:szCs w:val="24"/>
          <w:rtl/>
        </w:rPr>
      </w:pPr>
      <w:bookmarkStart w:id="749" w:name="_Toc157608346"/>
      <w:bookmarkStart w:id="750" w:name="_Toc171803748"/>
      <w:r w:rsidRPr="00DA50D1">
        <w:rPr>
          <w:sz w:val="8"/>
          <w:szCs w:val="24"/>
          <w:rtl/>
          <w:lang w:val="en-US"/>
        </w:rPr>
        <w:t>الشكل (</w:t>
      </w:r>
      <w:r w:rsidR="00FB1F88" w:rsidRPr="00DA50D1">
        <w:rPr>
          <w:rFonts w:hint="cs"/>
          <w:sz w:val="8"/>
          <w:szCs w:val="24"/>
          <w:rtl/>
          <w:lang w:val="en-US"/>
        </w:rPr>
        <w:t>5-</w:t>
      </w:r>
      <w:r w:rsidR="00BD6F6C" w:rsidRPr="00DA50D1">
        <w:rPr>
          <w:rFonts w:hint="cs"/>
          <w:sz w:val="8"/>
          <w:szCs w:val="24"/>
          <w:rtl/>
          <w:lang w:val="en-US"/>
        </w:rPr>
        <w:t>16</w:t>
      </w:r>
      <w:r w:rsidRPr="00DA50D1">
        <w:rPr>
          <w:sz w:val="8"/>
          <w:szCs w:val="24"/>
          <w:rtl/>
          <w:lang w:val="en-US"/>
        </w:rPr>
        <w:t xml:space="preserve">): </w:t>
      </w:r>
      <w:r w:rsidR="00E0129E" w:rsidRPr="00DA50D1">
        <w:rPr>
          <w:rFonts w:hint="cs"/>
          <w:sz w:val="8"/>
          <w:szCs w:val="24"/>
          <w:rtl/>
          <w:lang w:val="en-US"/>
        </w:rPr>
        <w:t>توزيع أفراد عيّنة</w:t>
      </w:r>
      <w:r w:rsidR="00E0129E" w:rsidRPr="00DA50D1">
        <w:rPr>
          <w:rFonts w:hint="cs"/>
          <w:sz w:val="8"/>
          <w:szCs w:val="24"/>
          <w:rtl/>
        </w:rPr>
        <w:t xml:space="preserve"> عدد طوابق البناية</w:t>
      </w:r>
      <w:bookmarkEnd w:id="749"/>
      <w:bookmarkEnd w:id="750"/>
    </w:p>
    <w:p w:rsidR="00C840FB" w:rsidRPr="00DA50D1" w:rsidRDefault="00C840FB" w:rsidP="00C840FB">
      <w:pPr>
        <w:pStyle w:val="fegure"/>
        <w:rPr>
          <w:sz w:val="8"/>
          <w:szCs w:val="24"/>
          <w:lang w:val="en-US" w:bidi="ar-DZ"/>
        </w:rPr>
      </w:pPr>
      <w:bookmarkStart w:id="751" w:name="_Toc171803749"/>
      <w:r>
        <w:rPr>
          <w:rFonts w:hint="cs"/>
          <w:sz w:val="8"/>
          <w:szCs w:val="24"/>
          <w:rtl/>
          <w:lang w:val="en-US"/>
        </w:rPr>
        <w:t>المصدر: (الباحث، 2022)</w:t>
      </w:r>
      <w:bookmarkEnd w:id="751"/>
    </w:p>
    <w:p w:rsidR="00E0129E" w:rsidRDefault="00E0129E" w:rsidP="00C840FB">
      <w:pPr>
        <w:bidi/>
        <w:spacing w:line="240" w:lineRule="auto"/>
        <w:jc w:val="center"/>
        <w:rPr>
          <w:rFonts w:ascii="Simplified Arabic" w:hAnsi="Simplified Arabic" w:cs="Simplified Arabic"/>
          <w:sz w:val="24"/>
          <w:szCs w:val="24"/>
          <w:rtl/>
          <w:lang w:val="en-US"/>
        </w:rPr>
      </w:pPr>
      <w:r>
        <w:rPr>
          <w:noProof/>
          <w:lang w:eastAsia="fr-FR"/>
        </w:rPr>
        <w:drawing>
          <wp:inline distT="0" distB="0" distL="0" distR="0" wp14:anchorId="625FD778" wp14:editId="11D9EF76">
            <wp:extent cx="4235570" cy="1544128"/>
            <wp:effectExtent l="0" t="0" r="12700" b="18415"/>
            <wp:docPr id="273" name="Graphique 27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0"/>
              </a:graphicData>
            </a:graphic>
          </wp:inline>
        </w:drawing>
      </w:r>
    </w:p>
    <w:p w:rsidR="00C121B0" w:rsidRPr="002563B2" w:rsidRDefault="006C024D" w:rsidP="001D0548">
      <w:pPr>
        <w:pStyle w:val="Paragraphedeliste"/>
        <w:numPr>
          <w:ilvl w:val="0"/>
          <w:numId w:val="179"/>
        </w:numPr>
        <w:tabs>
          <w:tab w:val="right" w:pos="850"/>
        </w:tabs>
        <w:bidi/>
        <w:spacing w:before="240" w:after="0"/>
        <w:ind w:left="-1" w:firstLine="568"/>
        <w:jc w:val="both"/>
        <w:rPr>
          <w:rFonts w:ascii="Simplified Arabic" w:hAnsi="Simplified Arabic" w:cs="Simplified Arabic"/>
          <w:b/>
          <w:bCs/>
          <w:sz w:val="24"/>
          <w:szCs w:val="24"/>
          <w:rtl/>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7A5BAB">
        <w:rPr>
          <w:rFonts w:ascii="Simplified Arabic" w:hAnsi="Simplified Arabic" w:cs="Simplified Arabic" w:hint="cs"/>
          <w:b/>
          <w:bCs/>
          <w:sz w:val="24"/>
          <w:szCs w:val="24"/>
          <w:rtl/>
        </w:rPr>
        <w:t>ت</w:t>
      </w:r>
      <w:r w:rsidR="0059573D">
        <w:rPr>
          <w:rFonts w:ascii="Simplified Arabic" w:hAnsi="Simplified Arabic" w:cs="Simplified Arabic" w:hint="cs"/>
          <w:b/>
          <w:bCs/>
          <w:sz w:val="24"/>
          <w:szCs w:val="24"/>
          <w:rtl/>
        </w:rPr>
        <w:t xml:space="preserve">عرض </w:t>
      </w:r>
      <w:r w:rsidRPr="002563B2">
        <w:rPr>
          <w:rFonts w:ascii="Simplified Arabic" w:hAnsi="Simplified Arabic" w:cs="Simplified Arabic" w:hint="cs"/>
          <w:b/>
          <w:bCs/>
          <w:sz w:val="24"/>
          <w:szCs w:val="24"/>
          <w:rtl/>
        </w:rPr>
        <w:t>شبكة الطرق</w:t>
      </w:r>
      <w:r w:rsidRPr="002563B2">
        <w:rPr>
          <w:rFonts w:ascii="Simplified Arabic" w:hAnsi="Simplified Arabic" w:cs="Simplified Arabic"/>
          <w:b/>
          <w:bCs/>
          <w:sz w:val="24"/>
          <w:szCs w:val="24"/>
          <w:rtl/>
        </w:rPr>
        <w:t xml:space="preserve"> </w:t>
      </w:r>
      <w:r w:rsidR="0059573D">
        <w:rPr>
          <w:rFonts w:ascii="Simplified Arabic" w:hAnsi="Simplified Arabic" w:cs="Simplified Arabic" w:hint="cs"/>
          <w:b/>
          <w:bCs/>
          <w:sz w:val="24"/>
          <w:szCs w:val="24"/>
          <w:rtl/>
        </w:rPr>
        <w:t>لل</w:t>
      </w:r>
      <w:r w:rsidR="0059573D" w:rsidRPr="002563B2">
        <w:rPr>
          <w:rFonts w:ascii="Simplified Arabic" w:hAnsi="Simplified Arabic" w:cs="Simplified Arabic"/>
          <w:b/>
          <w:bCs/>
          <w:sz w:val="24"/>
          <w:szCs w:val="24"/>
          <w:rtl/>
        </w:rPr>
        <w:t xml:space="preserve">غمر </w:t>
      </w:r>
      <w:r>
        <w:rPr>
          <w:rFonts w:ascii="Simplified Arabic" w:hAnsi="Simplified Arabic" w:cs="Simplified Arabic" w:hint="cs"/>
          <w:b/>
          <w:bCs/>
          <w:sz w:val="24"/>
          <w:szCs w:val="24"/>
          <w:rtl/>
        </w:rPr>
        <w:t>ب</w:t>
      </w:r>
      <w:r w:rsidRPr="002563B2">
        <w:rPr>
          <w:rFonts w:ascii="Simplified Arabic" w:hAnsi="Simplified Arabic" w:cs="Simplified Arabic"/>
          <w:b/>
          <w:bCs/>
          <w:sz w:val="24"/>
          <w:szCs w:val="24"/>
          <w:rtl/>
        </w:rPr>
        <w:t xml:space="preserve">مياه </w:t>
      </w:r>
      <w:r w:rsidR="0059573D">
        <w:rPr>
          <w:rFonts w:ascii="Simplified Arabic" w:hAnsi="Simplified Arabic" w:cs="Simplified Arabic" w:hint="cs"/>
          <w:b/>
          <w:bCs/>
          <w:sz w:val="24"/>
          <w:szCs w:val="24"/>
          <w:rtl/>
        </w:rPr>
        <w:t>الفيضانات</w:t>
      </w:r>
      <w:r w:rsidRPr="002563B2">
        <w:rPr>
          <w:rFonts w:ascii="Simplified Arabic" w:hAnsi="Simplified Arabic" w:cs="Simplified Arabic"/>
          <w:b/>
          <w:bCs/>
          <w:sz w:val="24"/>
          <w:szCs w:val="24"/>
          <w:rtl/>
        </w:rPr>
        <w:t xml:space="preserve"> </w:t>
      </w:r>
      <w:r w:rsidR="00C121B0" w:rsidRPr="002563B2">
        <w:rPr>
          <w:rFonts w:ascii="Simplified Arabic" w:hAnsi="Simplified Arabic" w:cs="Simplified Arabic" w:hint="cs"/>
          <w:b/>
          <w:bCs/>
          <w:sz w:val="24"/>
          <w:szCs w:val="24"/>
          <w:rtl/>
        </w:rPr>
        <w:t xml:space="preserve">الحضرية </w:t>
      </w:r>
    </w:p>
    <w:p w:rsidR="00C121B0" w:rsidRDefault="0059573D" w:rsidP="003337FD">
      <w:pPr>
        <w:bidi/>
        <w:spacing w:after="0"/>
        <w:ind w:firstLine="282"/>
        <w:jc w:val="both"/>
        <w:rPr>
          <w:rFonts w:ascii="Simplified Arabic" w:hAnsi="Simplified Arabic" w:cs="Simplified Arabic"/>
          <w:color w:val="000000" w:themeColor="text1"/>
          <w:sz w:val="24"/>
          <w:szCs w:val="24"/>
          <w:rtl/>
        </w:rPr>
      </w:pPr>
      <w:r w:rsidRPr="00710D6A">
        <w:rPr>
          <w:rFonts w:ascii="Simplified Arabic" w:hAnsi="Simplified Arabic" w:cs="Simplified Arabic" w:hint="cs"/>
          <w:sz w:val="24"/>
          <w:szCs w:val="24"/>
          <w:rtl/>
          <w:lang w:val="en-US"/>
        </w:rPr>
        <w:t>يوضح</w:t>
      </w:r>
      <w:r w:rsidRPr="00710D6A">
        <w:rPr>
          <w:rFonts w:ascii="Simplified Arabic" w:hAnsi="Simplified Arabic" w:cs="Simplified Arabic"/>
          <w:sz w:val="24"/>
          <w:szCs w:val="24"/>
          <w:rtl/>
          <w:lang w:val="en-US"/>
        </w:rPr>
        <w:t xml:space="preserve"> </w:t>
      </w:r>
      <w:r w:rsidRPr="00710D6A">
        <w:rPr>
          <w:rFonts w:ascii="Simplified Arabic" w:hAnsi="Simplified Arabic" w:cs="Simplified Arabic" w:hint="cs"/>
          <w:sz w:val="24"/>
          <w:szCs w:val="24"/>
          <w:rtl/>
          <w:lang w:val="en-US"/>
        </w:rPr>
        <w:t>الشكل</w:t>
      </w:r>
      <w:r w:rsidRPr="00710D6A">
        <w:rPr>
          <w:rFonts w:ascii="Simplified Arabic" w:hAnsi="Simplified Arabic" w:cs="Simplified Arabic"/>
          <w:sz w:val="24"/>
          <w:szCs w:val="24"/>
          <w:rtl/>
          <w:lang w:val="en-US"/>
        </w:rPr>
        <w:t xml:space="preserve"> </w:t>
      </w:r>
      <w:r w:rsidR="00C121B0">
        <w:rPr>
          <w:rFonts w:ascii="Simplified Arabic" w:hAnsi="Simplified Arabic" w:cs="Simplified Arabic" w:hint="cs"/>
          <w:color w:val="000000" w:themeColor="text1"/>
          <w:sz w:val="24"/>
          <w:szCs w:val="24"/>
          <w:rtl/>
          <w:lang w:val="en-US"/>
        </w:rPr>
        <w:t>(</w:t>
      </w:r>
      <w:r w:rsidR="00FB1F88">
        <w:rPr>
          <w:rFonts w:ascii="Simplified Arabic" w:hAnsi="Simplified Arabic" w:cs="Simplified Arabic" w:hint="cs"/>
          <w:color w:val="000000" w:themeColor="text1"/>
          <w:sz w:val="24"/>
          <w:szCs w:val="24"/>
          <w:rtl/>
          <w:lang w:val="en-US"/>
        </w:rPr>
        <w:t>5-</w:t>
      </w:r>
      <w:r w:rsidR="000F3561">
        <w:rPr>
          <w:rFonts w:ascii="Simplified Arabic" w:hAnsi="Simplified Arabic" w:cs="Simplified Arabic"/>
          <w:color w:val="000000" w:themeColor="text1"/>
          <w:sz w:val="24"/>
          <w:szCs w:val="24"/>
          <w:lang w:val="en-US"/>
        </w:rPr>
        <w:t>17</w:t>
      </w:r>
      <w:r w:rsidR="00C121B0">
        <w:rPr>
          <w:rFonts w:ascii="Simplified Arabic" w:hAnsi="Simplified Arabic" w:cs="Simplified Arabic" w:hint="cs"/>
          <w:color w:val="000000" w:themeColor="text1"/>
          <w:sz w:val="24"/>
          <w:szCs w:val="24"/>
          <w:rtl/>
          <w:lang w:val="en-US"/>
        </w:rPr>
        <w:t xml:space="preserve">)، </w:t>
      </w:r>
      <w:r w:rsidR="00F874F3">
        <w:rPr>
          <w:rFonts w:ascii="Simplified Arabic" w:hAnsi="Simplified Arabic" w:cs="Simplified Arabic" w:hint="cs"/>
          <w:color w:val="000000" w:themeColor="text1"/>
          <w:sz w:val="24"/>
          <w:szCs w:val="24"/>
          <w:rtl/>
          <w:lang w:val="en-US"/>
        </w:rPr>
        <w:t>النسب</w:t>
      </w:r>
      <w:r w:rsidR="00C121B0" w:rsidRPr="0004309B">
        <w:rPr>
          <w:rFonts w:ascii="Simplified Arabic" w:hAnsi="Simplified Arabic" w:cs="Simplified Arabic" w:hint="cs"/>
          <w:color w:val="000000" w:themeColor="text1"/>
          <w:sz w:val="24"/>
          <w:szCs w:val="24"/>
          <w:rtl/>
          <w:lang w:val="en-US"/>
        </w:rPr>
        <w:t xml:space="preserve"> </w:t>
      </w:r>
      <w:r w:rsidR="00F874F3">
        <w:rPr>
          <w:rFonts w:ascii="Simplified Arabic" w:hAnsi="Simplified Arabic" w:cs="Simplified Arabic" w:hint="cs"/>
          <w:color w:val="000000" w:themeColor="text1"/>
          <w:sz w:val="24"/>
          <w:szCs w:val="24"/>
          <w:rtl/>
          <w:lang w:val="en-US"/>
        </w:rPr>
        <w:t xml:space="preserve">المعبرة لأفراد عينة البحث عن تعرض </w:t>
      </w:r>
      <w:r w:rsidR="00C121B0">
        <w:rPr>
          <w:rFonts w:ascii="Simplified Arabic" w:hAnsi="Simplified Arabic" w:cs="Simplified Arabic" w:hint="cs"/>
          <w:color w:val="000000" w:themeColor="text1"/>
          <w:sz w:val="24"/>
          <w:szCs w:val="24"/>
          <w:rtl/>
          <w:lang w:val="en-US"/>
        </w:rPr>
        <w:t xml:space="preserve">شبكة الطرق الى الغمر بمياه </w:t>
      </w:r>
      <w:r w:rsidRPr="0059573D">
        <w:rPr>
          <w:rFonts w:ascii="Simplified Arabic" w:hAnsi="Simplified Arabic" w:cs="Simplified Arabic" w:hint="cs"/>
          <w:sz w:val="24"/>
          <w:szCs w:val="24"/>
          <w:rtl/>
        </w:rPr>
        <w:t>الفيضانات</w:t>
      </w:r>
      <w:r w:rsidRPr="002563B2">
        <w:rPr>
          <w:rFonts w:ascii="Simplified Arabic" w:hAnsi="Simplified Arabic" w:cs="Simplified Arabic"/>
          <w:b/>
          <w:bCs/>
          <w:sz w:val="24"/>
          <w:szCs w:val="24"/>
          <w:rtl/>
        </w:rPr>
        <w:t xml:space="preserve"> </w:t>
      </w:r>
      <w:r>
        <w:rPr>
          <w:rFonts w:ascii="Simplified Arabic" w:hAnsi="Simplified Arabic" w:cs="Simplified Arabic" w:hint="cs"/>
          <w:color w:val="000000" w:themeColor="text1"/>
          <w:sz w:val="24"/>
          <w:szCs w:val="24"/>
          <w:rtl/>
          <w:lang w:val="en-US"/>
        </w:rPr>
        <w:t>الحضرية</w:t>
      </w:r>
      <w:r w:rsidR="00F874F3">
        <w:rPr>
          <w:rFonts w:ascii="Simplified Arabic" w:hAnsi="Simplified Arabic" w:cs="Simplified Arabic" w:hint="cs"/>
          <w:color w:val="000000" w:themeColor="text1"/>
          <w:sz w:val="24"/>
          <w:szCs w:val="24"/>
          <w:rtl/>
          <w:lang w:val="en-US"/>
        </w:rPr>
        <w:t xml:space="preserve"> </w:t>
      </w:r>
      <w:r w:rsidRPr="00710D6A">
        <w:rPr>
          <w:rFonts w:ascii="Simplified Arabic" w:hAnsi="Simplified Arabic" w:cs="Simplified Arabic" w:hint="cs"/>
          <w:sz w:val="24"/>
          <w:szCs w:val="24"/>
          <w:rtl/>
          <w:lang w:val="en-US"/>
        </w:rPr>
        <w:t xml:space="preserve">عبر أحياء: سيدي سليمان، ميطر، الحمايد والباطن </w:t>
      </w:r>
      <w:r w:rsidR="007A5BAB">
        <w:rPr>
          <w:rFonts w:ascii="Simplified Arabic" w:hAnsi="Simplified Arabic" w:cs="Simplified Arabic" w:hint="cs"/>
          <w:color w:val="000000" w:themeColor="text1"/>
          <w:sz w:val="24"/>
          <w:szCs w:val="24"/>
          <w:rtl/>
          <w:lang w:val="en-US"/>
        </w:rPr>
        <w:t>التي</w:t>
      </w:r>
      <w:r w:rsidR="007A5BAB" w:rsidRPr="00710D6A">
        <w:rPr>
          <w:rFonts w:ascii="Simplified Arabic" w:hAnsi="Simplified Arabic" w:cs="Simplified Arabic"/>
          <w:sz w:val="24"/>
          <w:szCs w:val="24"/>
          <w:rtl/>
          <w:lang w:val="en-US"/>
        </w:rPr>
        <w:t xml:space="preserve"> </w:t>
      </w:r>
      <w:r w:rsidR="007A5BAB" w:rsidRPr="00710D6A">
        <w:rPr>
          <w:rFonts w:ascii="Simplified Arabic" w:hAnsi="Simplified Arabic" w:cs="Simplified Arabic" w:hint="cs"/>
          <w:sz w:val="24"/>
          <w:szCs w:val="24"/>
          <w:rtl/>
          <w:lang w:val="en-US"/>
        </w:rPr>
        <w:t xml:space="preserve">كانت </w:t>
      </w:r>
      <w:r w:rsidRPr="00710D6A">
        <w:rPr>
          <w:rFonts w:ascii="Simplified Arabic" w:hAnsi="Simplified Arabic" w:cs="Simplified Arabic" w:hint="cs"/>
          <w:sz w:val="24"/>
          <w:szCs w:val="24"/>
          <w:rtl/>
          <w:lang w:val="en-US"/>
        </w:rPr>
        <w:t xml:space="preserve">على التوالي: </w:t>
      </w:r>
      <w:r w:rsidR="00F874F3">
        <w:rPr>
          <w:rFonts w:ascii="Simplified Arabic" w:hAnsi="Simplified Arabic" w:cs="Simplified Arabic"/>
          <w:sz w:val="24"/>
          <w:szCs w:val="24"/>
          <w:lang w:val="en-US"/>
        </w:rPr>
        <w:t>82</w:t>
      </w:r>
      <w:r w:rsidRPr="00710D6A">
        <w:rPr>
          <w:rFonts w:ascii="Simplified Arabic" w:hAnsi="Simplified Arabic" w:cs="Simplified Arabic"/>
          <w:sz w:val="24"/>
          <w:szCs w:val="24"/>
          <w:lang w:val="en-US"/>
        </w:rPr>
        <w:t>,</w:t>
      </w:r>
      <w:r w:rsidR="00F874F3">
        <w:rPr>
          <w:rFonts w:ascii="Simplified Arabic" w:hAnsi="Simplified Arabic" w:cs="Simplified Arabic"/>
          <w:sz w:val="24"/>
          <w:szCs w:val="24"/>
          <w:lang w:val="en-US"/>
        </w:rPr>
        <w:t>08</w:t>
      </w:r>
      <w:r w:rsidRPr="00710D6A">
        <w:rPr>
          <w:rFonts w:ascii="Simplified Arabic" w:hAnsi="Simplified Arabic" w:cs="Simplified Arabic"/>
          <w:sz w:val="24"/>
          <w:szCs w:val="24"/>
          <w:rtl/>
          <w:lang w:val="en-US"/>
        </w:rPr>
        <w:t>٪</w:t>
      </w:r>
      <w:r w:rsidRPr="00710D6A">
        <w:rPr>
          <w:rFonts w:ascii="Simplified Arabic" w:hAnsi="Simplified Arabic" w:cs="Simplified Arabic" w:hint="cs"/>
          <w:sz w:val="24"/>
          <w:szCs w:val="24"/>
          <w:rtl/>
          <w:lang w:val="en-US"/>
        </w:rPr>
        <w:t xml:space="preserve">، </w:t>
      </w:r>
      <w:r w:rsidR="00F874F3">
        <w:rPr>
          <w:rFonts w:ascii="Simplified Arabic" w:hAnsi="Simplified Arabic" w:cs="Simplified Arabic"/>
          <w:sz w:val="24"/>
          <w:szCs w:val="24"/>
          <w:lang w:val="en-US"/>
        </w:rPr>
        <w:t>77</w:t>
      </w:r>
      <w:r w:rsidRPr="00710D6A">
        <w:rPr>
          <w:rFonts w:ascii="Simplified Arabic" w:hAnsi="Simplified Arabic" w:cs="Simplified Arabic"/>
          <w:sz w:val="24"/>
          <w:szCs w:val="24"/>
          <w:lang w:val="en-US"/>
        </w:rPr>
        <w:t>,</w:t>
      </w:r>
      <w:r w:rsidR="00F874F3">
        <w:rPr>
          <w:rFonts w:ascii="Simplified Arabic" w:hAnsi="Simplified Arabic" w:cs="Simplified Arabic"/>
          <w:sz w:val="24"/>
          <w:szCs w:val="24"/>
          <w:lang w:val="en-US"/>
        </w:rPr>
        <w:t>92</w:t>
      </w:r>
      <w:r w:rsidRPr="00710D6A">
        <w:rPr>
          <w:rFonts w:ascii="Simplified Arabic" w:hAnsi="Simplified Arabic" w:cs="Simplified Arabic"/>
          <w:sz w:val="24"/>
          <w:szCs w:val="24"/>
          <w:rtl/>
          <w:lang w:val="en-US"/>
        </w:rPr>
        <w:t>٪</w:t>
      </w:r>
      <w:r w:rsidRPr="00710D6A">
        <w:rPr>
          <w:rFonts w:ascii="Simplified Arabic" w:hAnsi="Simplified Arabic" w:cs="Simplified Arabic" w:hint="cs"/>
          <w:sz w:val="24"/>
          <w:szCs w:val="24"/>
          <w:rtl/>
          <w:lang w:val="en-US"/>
        </w:rPr>
        <w:t xml:space="preserve">، </w:t>
      </w:r>
      <w:r w:rsidR="00F874F3">
        <w:rPr>
          <w:rFonts w:ascii="Simplified Arabic" w:hAnsi="Simplified Arabic" w:cs="Simplified Arabic"/>
          <w:sz w:val="24"/>
          <w:szCs w:val="24"/>
          <w:lang w:val="en-US"/>
        </w:rPr>
        <w:t>63</w:t>
      </w:r>
      <w:r w:rsidRPr="00710D6A">
        <w:rPr>
          <w:rFonts w:ascii="Simplified Arabic" w:hAnsi="Simplified Arabic" w:cs="Simplified Arabic"/>
          <w:sz w:val="24"/>
          <w:szCs w:val="24"/>
          <w:lang w:val="en-US"/>
        </w:rPr>
        <w:t>,</w:t>
      </w:r>
      <w:r w:rsidR="00F874F3">
        <w:rPr>
          <w:rFonts w:ascii="Simplified Arabic" w:hAnsi="Simplified Arabic" w:cs="Simplified Arabic"/>
          <w:sz w:val="24"/>
          <w:szCs w:val="24"/>
          <w:lang w:val="en-US"/>
        </w:rPr>
        <w:t>12</w:t>
      </w:r>
      <w:r w:rsidRPr="00710D6A">
        <w:rPr>
          <w:rFonts w:ascii="Simplified Arabic" w:hAnsi="Simplified Arabic" w:cs="Simplified Arabic"/>
          <w:sz w:val="24"/>
          <w:szCs w:val="24"/>
          <w:rtl/>
          <w:lang w:val="en-US"/>
        </w:rPr>
        <w:t>٪</w:t>
      </w:r>
      <w:r w:rsidRPr="00710D6A">
        <w:rPr>
          <w:rFonts w:ascii="Simplified Arabic" w:hAnsi="Simplified Arabic" w:cs="Simplified Arabic" w:hint="cs"/>
          <w:sz w:val="24"/>
          <w:szCs w:val="24"/>
          <w:rtl/>
          <w:lang w:val="en-US"/>
        </w:rPr>
        <w:t xml:space="preserve">، </w:t>
      </w:r>
      <w:r w:rsidR="00F874F3">
        <w:rPr>
          <w:rFonts w:ascii="Simplified Arabic" w:hAnsi="Simplified Arabic" w:cs="Simplified Arabic"/>
          <w:sz w:val="24"/>
          <w:szCs w:val="24"/>
          <w:lang w:val="en-US"/>
        </w:rPr>
        <w:t>70</w:t>
      </w:r>
      <w:r w:rsidRPr="00710D6A">
        <w:rPr>
          <w:rFonts w:ascii="Simplified Arabic" w:hAnsi="Simplified Arabic" w:cs="Simplified Arabic"/>
          <w:sz w:val="24"/>
          <w:szCs w:val="24"/>
          <w:lang w:val="en-US"/>
        </w:rPr>
        <w:t>,</w:t>
      </w:r>
      <w:r w:rsidR="00F874F3">
        <w:rPr>
          <w:rFonts w:ascii="Simplified Arabic" w:hAnsi="Simplified Arabic" w:cs="Simplified Arabic"/>
          <w:sz w:val="24"/>
          <w:szCs w:val="24"/>
          <w:lang w:val="en-US"/>
        </w:rPr>
        <w:t>23</w:t>
      </w:r>
      <w:r w:rsidRPr="00710D6A">
        <w:rPr>
          <w:rFonts w:ascii="Simplified Arabic" w:hAnsi="Simplified Arabic" w:cs="Simplified Arabic"/>
          <w:sz w:val="24"/>
          <w:szCs w:val="24"/>
          <w:rtl/>
          <w:lang w:val="en-US"/>
        </w:rPr>
        <w:t>٪</w:t>
      </w:r>
      <w:r w:rsidRPr="00710D6A">
        <w:rPr>
          <w:rFonts w:ascii="Simplified Arabic" w:hAnsi="Simplified Arabic" w:cs="Simplified Arabic" w:hint="cs"/>
          <w:sz w:val="24"/>
          <w:szCs w:val="24"/>
          <w:rtl/>
          <w:lang w:val="en-US"/>
        </w:rPr>
        <w:t xml:space="preserve">، </w:t>
      </w:r>
      <w:r w:rsidR="00F874F3">
        <w:rPr>
          <w:rFonts w:ascii="Simplified Arabic" w:hAnsi="Simplified Arabic" w:cs="Simplified Arabic" w:hint="cs"/>
          <w:sz w:val="24"/>
          <w:szCs w:val="24"/>
          <w:rtl/>
          <w:lang w:val="en-US"/>
        </w:rPr>
        <w:t>يقابلها</w:t>
      </w:r>
      <w:r w:rsidR="00F874F3" w:rsidRPr="009F772D">
        <w:rPr>
          <w:rFonts w:ascii="Simplified Arabic" w:hAnsi="Simplified Arabic" w:cs="Simplified Arabic" w:hint="cs"/>
          <w:sz w:val="24"/>
          <w:szCs w:val="24"/>
          <w:rtl/>
          <w:lang w:val="en-US"/>
        </w:rPr>
        <w:t xml:space="preserve"> </w:t>
      </w:r>
      <w:r w:rsidR="00F874F3">
        <w:rPr>
          <w:rFonts w:ascii="Simplified Arabic" w:hAnsi="Simplified Arabic" w:cs="Simplified Arabic" w:hint="cs"/>
          <w:sz w:val="24"/>
          <w:szCs w:val="24"/>
          <w:rtl/>
          <w:lang w:val="en-US"/>
        </w:rPr>
        <w:t xml:space="preserve">على التوالي </w:t>
      </w:r>
      <w:r w:rsidR="00F874F3">
        <w:rPr>
          <w:rFonts w:ascii="Simplified Arabic" w:hAnsi="Simplified Arabic" w:cs="Simplified Arabic"/>
          <w:sz w:val="24"/>
          <w:szCs w:val="24"/>
          <w:lang w:val="en-US"/>
        </w:rPr>
        <w:t>316</w:t>
      </w:r>
      <w:r w:rsidR="00F874F3">
        <w:rPr>
          <w:rFonts w:ascii="Simplified Arabic" w:hAnsi="Simplified Arabic" w:cs="Simplified Arabic" w:hint="cs"/>
          <w:sz w:val="24"/>
          <w:szCs w:val="24"/>
          <w:rtl/>
          <w:lang w:val="en-US"/>
        </w:rPr>
        <w:t xml:space="preserve">، </w:t>
      </w:r>
      <w:r w:rsidR="00F874F3">
        <w:rPr>
          <w:rFonts w:ascii="Simplified Arabic" w:hAnsi="Simplified Arabic" w:cs="Simplified Arabic"/>
          <w:sz w:val="24"/>
          <w:szCs w:val="24"/>
          <w:lang w:val="en-US"/>
        </w:rPr>
        <w:t>300</w:t>
      </w:r>
      <w:r w:rsidR="00F874F3">
        <w:rPr>
          <w:rFonts w:ascii="Simplified Arabic" w:hAnsi="Simplified Arabic" w:cs="Simplified Arabic" w:hint="cs"/>
          <w:sz w:val="24"/>
          <w:szCs w:val="24"/>
          <w:rtl/>
          <w:lang w:val="en-US"/>
        </w:rPr>
        <w:t xml:space="preserve">، </w:t>
      </w:r>
      <w:r w:rsidR="00F874F3">
        <w:rPr>
          <w:rFonts w:ascii="Simplified Arabic" w:hAnsi="Simplified Arabic" w:cs="Simplified Arabic"/>
          <w:sz w:val="24"/>
          <w:szCs w:val="24"/>
          <w:lang w:val="en-US"/>
        </w:rPr>
        <w:t>243</w:t>
      </w:r>
      <w:r w:rsidR="00F874F3">
        <w:rPr>
          <w:rFonts w:ascii="Simplified Arabic" w:hAnsi="Simplified Arabic" w:cs="Simplified Arabic" w:hint="cs"/>
          <w:sz w:val="24"/>
          <w:szCs w:val="24"/>
          <w:rtl/>
          <w:lang w:val="en-US"/>
        </w:rPr>
        <w:t xml:space="preserve">، </w:t>
      </w:r>
      <w:r w:rsidR="00F874F3">
        <w:rPr>
          <w:rFonts w:ascii="Simplified Arabic" w:hAnsi="Simplified Arabic" w:cs="Simplified Arabic"/>
          <w:sz w:val="24"/>
          <w:szCs w:val="24"/>
          <w:lang w:val="en-US"/>
        </w:rPr>
        <w:t>212</w:t>
      </w:r>
      <w:r w:rsidR="00F874F3">
        <w:rPr>
          <w:rFonts w:ascii="Simplified Arabic" w:hAnsi="Simplified Arabic" w:cs="Simplified Arabic" w:hint="cs"/>
          <w:sz w:val="24"/>
          <w:szCs w:val="24"/>
          <w:rtl/>
          <w:lang w:val="en-US"/>
        </w:rPr>
        <w:t xml:space="preserve"> مفردة من العينة</w:t>
      </w:r>
      <w:r w:rsidR="00AF7FC3">
        <w:rPr>
          <w:rFonts w:ascii="Simplified Arabic" w:hAnsi="Simplified Arabic" w:cs="Simplified Arabic" w:hint="cs"/>
          <w:sz w:val="24"/>
          <w:szCs w:val="24"/>
          <w:rtl/>
          <w:lang w:val="en-US"/>
        </w:rPr>
        <w:t>.</w:t>
      </w:r>
      <w:r w:rsidR="00F874F3">
        <w:rPr>
          <w:rFonts w:ascii="Simplified Arabic" w:hAnsi="Simplified Arabic" w:cs="Simplified Arabic" w:hint="cs"/>
          <w:sz w:val="24"/>
          <w:szCs w:val="24"/>
          <w:rtl/>
          <w:lang w:val="en-US" w:bidi="ar-DZ"/>
        </w:rPr>
        <w:t xml:space="preserve"> </w:t>
      </w:r>
      <w:r w:rsidR="007A5BAB">
        <w:rPr>
          <w:rFonts w:ascii="Simplified Arabic" w:hAnsi="Simplified Arabic" w:cs="Simplified Arabic" w:hint="cs"/>
          <w:sz w:val="24"/>
          <w:szCs w:val="24"/>
          <w:rtl/>
          <w:lang w:val="en-US" w:bidi="ar-DZ"/>
        </w:rPr>
        <w:t xml:space="preserve">في </w:t>
      </w:r>
      <w:r w:rsidR="00AF7FC3">
        <w:rPr>
          <w:rFonts w:ascii="Simplified Arabic" w:hAnsi="Simplified Arabic" w:cs="Simplified Arabic" w:hint="cs"/>
          <w:color w:val="000000" w:themeColor="text1"/>
          <w:sz w:val="24"/>
          <w:szCs w:val="24"/>
          <w:rtl/>
          <w:lang w:val="en-US"/>
        </w:rPr>
        <w:t xml:space="preserve">مقابل ذلك، </w:t>
      </w:r>
      <w:r w:rsidR="00AF7FC3">
        <w:rPr>
          <w:rFonts w:ascii="Simplified Arabic" w:hAnsi="Simplified Arabic" w:cs="Simplified Arabic" w:hint="cs"/>
          <w:sz w:val="24"/>
          <w:szCs w:val="24"/>
          <w:rtl/>
          <w:lang w:val="en-US"/>
        </w:rPr>
        <w:t xml:space="preserve">عبر باقي افراد العينة </w:t>
      </w:r>
      <w:r w:rsidR="00AF7FC3">
        <w:rPr>
          <w:rFonts w:ascii="Simplified Arabic" w:hAnsi="Simplified Arabic" w:cs="Simplified Arabic" w:hint="cs"/>
          <w:color w:val="000000" w:themeColor="text1"/>
          <w:sz w:val="24"/>
          <w:szCs w:val="24"/>
          <w:rtl/>
          <w:lang w:val="en-US"/>
        </w:rPr>
        <w:t xml:space="preserve">على عدم تعرض شبكة الطرق الى الغمر </w:t>
      </w:r>
      <w:r>
        <w:rPr>
          <w:rFonts w:ascii="Simplified Arabic" w:hAnsi="Simplified Arabic" w:cs="Simplified Arabic" w:hint="cs"/>
          <w:sz w:val="24"/>
          <w:szCs w:val="24"/>
          <w:rtl/>
          <w:lang w:val="en-US"/>
        </w:rPr>
        <w:t>لنفس</w:t>
      </w:r>
      <w:r w:rsidRPr="000230B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الاحياء </w:t>
      </w:r>
      <w:r w:rsidR="00AF7FC3">
        <w:rPr>
          <w:rFonts w:ascii="Simplified Arabic" w:hAnsi="Simplified Arabic" w:cs="Simplified Arabic" w:hint="cs"/>
          <w:color w:val="000000" w:themeColor="text1"/>
          <w:sz w:val="24"/>
          <w:szCs w:val="24"/>
          <w:rtl/>
          <w:lang w:val="en-US"/>
        </w:rPr>
        <w:t xml:space="preserve">بنسب </w:t>
      </w:r>
      <w:r>
        <w:rPr>
          <w:rFonts w:ascii="Simplified Arabic" w:hAnsi="Simplified Arabic" w:cs="Simplified Arabic" w:hint="cs"/>
          <w:sz w:val="24"/>
          <w:szCs w:val="24"/>
          <w:rtl/>
          <w:lang w:val="en-US"/>
        </w:rPr>
        <w:t xml:space="preserve">على التوالي: </w:t>
      </w:r>
      <w:r w:rsidR="00AF7FC3">
        <w:rPr>
          <w:rFonts w:ascii="Simplified Arabic" w:hAnsi="Simplified Arabic" w:cs="Simplified Arabic"/>
          <w:sz w:val="24"/>
          <w:szCs w:val="24"/>
          <w:lang w:val="en-US"/>
        </w:rPr>
        <w:t>17</w:t>
      </w:r>
      <w:r w:rsidRPr="00220BB6">
        <w:rPr>
          <w:rFonts w:ascii="Simplified Arabic" w:hAnsi="Simplified Arabic" w:cs="Simplified Arabic"/>
          <w:sz w:val="24"/>
          <w:szCs w:val="24"/>
          <w:lang w:val="en-US"/>
        </w:rPr>
        <w:t>,</w:t>
      </w:r>
      <w:r w:rsidR="00AF7FC3">
        <w:rPr>
          <w:rFonts w:ascii="Simplified Arabic" w:hAnsi="Simplified Arabic" w:cs="Simplified Arabic"/>
          <w:sz w:val="24"/>
          <w:szCs w:val="24"/>
          <w:lang w:val="en-US"/>
        </w:rPr>
        <w:t>92</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sidR="00AF7FC3">
        <w:rPr>
          <w:rFonts w:ascii="Simplified Arabic" w:hAnsi="Simplified Arabic" w:cs="Simplified Arabic"/>
          <w:sz w:val="24"/>
          <w:szCs w:val="24"/>
          <w:lang w:val="en-US"/>
        </w:rPr>
        <w:t>22</w:t>
      </w:r>
      <w:r w:rsidRPr="00220BB6">
        <w:rPr>
          <w:rFonts w:ascii="Simplified Arabic" w:hAnsi="Simplified Arabic" w:cs="Simplified Arabic"/>
          <w:sz w:val="24"/>
          <w:szCs w:val="24"/>
          <w:lang w:val="en-US"/>
        </w:rPr>
        <w:t>,</w:t>
      </w:r>
      <w:r w:rsidR="00AF7FC3">
        <w:rPr>
          <w:rFonts w:ascii="Simplified Arabic" w:hAnsi="Simplified Arabic" w:cs="Simplified Arabic"/>
          <w:sz w:val="24"/>
          <w:szCs w:val="24"/>
          <w:lang w:val="en-US"/>
        </w:rPr>
        <w:t>08</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sidR="00AF7FC3">
        <w:rPr>
          <w:rFonts w:ascii="Simplified Arabic" w:hAnsi="Simplified Arabic" w:cs="Simplified Arabic"/>
          <w:sz w:val="24"/>
          <w:szCs w:val="24"/>
          <w:lang w:val="en-US"/>
        </w:rPr>
        <w:t>36</w:t>
      </w:r>
      <w:r w:rsidRPr="00220BB6">
        <w:rPr>
          <w:rFonts w:ascii="Simplified Arabic" w:hAnsi="Simplified Arabic" w:cs="Simplified Arabic"/>
          <w:sz w:val="24"/>
          <w:szCs w:val="24"/>
          <w:lang w:val="en-US"/>
        </w:rPr>
        <w:t>,</w:t>
      </w:r>
      <w:r w:rsidR="00AF7FC3">
        <w:rPr>
          <w:rFonts w:ascii="Simplified Arabic" w:hAnsi="Simplified Arabic" w:cs="Simplified Arabic"/>
          <w:sz w:val="24"/>
          <w:szCs w:val="24"/>
          <w:lang w:val="en-US"/>
        </w:rPr>
        <w:t>88</w:t>
      </w:r>
      <w:r>
        <w:rPr>
          <w:rFonts w:ascii="Simplified Arabic" w:hAnsi="Simplified Arabic" w:cs="Simplified Arabic"/>
          <w:sz w:val="24"/>
          <w:szCs w:val="24"/>
          <w:rtl/>
          <w:lang w:val="en-US"/>
        </w:rPr>
        <w:t>٪</w:t>
      </w:r>
      <w:r w:rsidRPr="00220BB6">
        <w:rPr>
          <w:rFonts w:ascii="Simplified Arabic" w:hAnsi="Simplified Arabic" w:cs="Simplified Arabic" w:hint="cs"/>
          <w:sz w:val="24"/>
          <w:szCs w:val="24"/>
          <w:rtl/>
          <w:lang w:val="en-US"/>
        </w:rPr>
        <w:t xml:space="preserve">، </w:t>
      </w:r>
      <w:r w:rsidR="00AF7FC3">
        <w:rPr>
          <w:rFonts w:ascii="Simplified Arabic" w:hAnsi="Simplified Arabic" w:cs="Simplified Arabic"/>
          <w:sz w:val="24"/>
          <w:szCs w:val="24"/>
          <w:lang w:val="en-US"/>
        </w:rPr>
        <w:t>29</w:t>
      </w:r>
      <w:r w:rsidRPr="00220BB6">
        <w:rPr>
          <w:rFonts w:ascii="Simplified Arabic" w:hAnsi="Simplified Arabic" w:cs="Simplified Arabic"/>
          <w:sz w:val="24"/>
          <w:szCs w:val="24"/>
          <w:lang w:val="en-US"/>
        </w:rPr>
        <w:t>,</w:t>
      </w:r>
      <w:r w:rsidR="00AF7FC3">
        <w:rPr>
          <w:rFonts w:ascii="Simplified Arabic" w:hAnsi="Simplified Arabic" w:cs="Simplified Arabic"/>
          <w:sz w:val="24"/>
          <w:szCs w:val="24"/>
          <w:lang w:val="en-US"/>
        </w:rPr>
        <w:t>77</w:t>
      </w:r>
      <w:r w:rsidRPr="00A71970">
        <w:rPr>
          <w:rFonts w:ascii="Simplified Arabic" w:hAnsi="Simplified Arabic" w:cs="Simplified Arabic"/>
          <w:sz w:val="24"/>
          <w:szCs w:val="24"/>
          <w:rtl/>
          <w:lang w:val="en-US"/>
        </w:rPr>
        <w:t>٪</w:t>
      </w:r>
      <w:r>
        <w:rPr>
          <w:rFonts w:ascii="Simplified Arabic" w:hAnsi="Simplified Arabic" w:cs="Simplified Arabic" w:hint="cs"/>
          <w:sz w:val="24"/>
          <w:szCs w:val="24"/>
          <w:rtl/>
          <w:lang w:val="en-US"/>
        </w:rPr>
        <w:t>،</w:t>
      </w:r>
      <w:r>
        <w:rPr>
          <w:rFonts w:ascii="Simplified Arabic" w:hAnsi="Simplified Arabic" w:cs="Simplified Arabic" w:hint="cs"/>
          <w:sz w:val="24"/>
          <w:szCs w:val="24"/>
          <w:rtl/>
          <w:lang w:val="en-US" w:bidi="ar-DZ"/>
        </w:rPr>
        <w:t xml:space="preserve"> </w:t>
      </w:r>
      <w:r w:rsidR="00F874F3">
        <w:rPr>
          <w:rFonts w:ascii="Simplified Arabic" w:hAnsi="Simplified Arabic" w:cs="Simplified Arabic" w:hint="cs"/>
          <w:sz w:val="24"/>
          <w:szCs w:val="24"/>
          <w:rtl/>
          <w:lang w:val="en-US"/>
        </w:rPr>
        <w:t>يقابلها</w:t>
      </w:r>
      <w:r w:rsidR="00F874F3" w:rsidRPr="009F772D">
        <w:rPr>
          <w:rFonts w:ascii="Simplified Arabic" w:hAnsi="Simplified Arabic" w:cs="Simplified Arabic" w:hint="cs"/>
          <w:sz w:val="24"/>
          <w:szCs w:val="24"/>
          <w:rtl/>
          <w:lang w:val="en-US"/>
        </w:rPr>
        <w:t xml:space="preserve"> </w:t>
      </w:r>
      <w:r w:rsidR="00F874F3">
        <w:rPr>
          <w:rFonts w:ascii="Simplified Arabic" w:hAnsi="Simplified Arabic" w:cs="Simplified Arabic" w:hint="cs"/>
          <w:sz w:val="24"/>
          <w:szCs w:val="24"/>
          <w:rtl/>
          <w:lang w:val="en-US"/>
        </w:rPr>
        <w:t xml:space="preserve">على التوالي </w:t>
      </w:r>
      <w:r w:rsidR="00AF7FC3">
        <w:rPr>
          <w:rFonts w:ascii="Simplified Arabic" w:hAnsi="Simplified Arabic" w:cs="Simplified Arabic"/>
          <w:sz w:val="24"/>
          <w:szCs w:val="24"/>
          <w:lang w:val="en-US"/>
        </w:rPr>
        <w:t>69</w:t>
      </w:r>
      <w:r w:rsidR="00F874F3">
        <w:rPr>
          <w:rFonts w:ascii="Simplified Arabic" w:hAnsi="Simplified Arabic" w:cs="Simplified Arabic" w:hint="cs"/>
          <w:sz w:val="24"/>
          <w:szCs w:val="24"/>
          <w:rtl/>
          <w:lang w:val="en-US"/>
        </w:rPr>
        <w:t xml:space="preserve">، </w:t>
      </w:r>
      <w:r w:rsidR="00AF7FC3">
        <w:rPr>
          <w:rFonts w:ascii="Simplified Arabic" w:hAnsi="Simplified Arabic" w:cs="Simplified Arabic"/>
          <w:sz w:val="24"/>
          <w:szCs w:val="24"/>
          <w:lang w:val="en-US"/>
        </w:rPr>
        <w:t>85</w:t>
      </w:r>
      <w:r w:rsidR="00F874F3">
        <w:rPr>
          <w:rFonts w:ascii="Simplified Arabic" w:hAnsi="Simplified Arabic" w:cs="Simplified Arabic" w:hint="cs"/>
          <w:sz w:val="24"/>
          <w:szCs w:val="24"/>
          <w:rtl/>
          <w:lang w:val="en-US"/>
        </w:rPr>
        <w:t xml:space="preserve">، </w:t>
      </w:r>
      <w:r w:rsidR="00AF7FC3">
        <w:rPr>
          <w:rFonts w:ascii="Simplified Arabic" w:hAnsi="Simplified Arabic" w:cs="Simplified Arabic"/>
          <w:sz w:val="24"/>
          <w:szCs w:val="24"/>
          <w:lang w:val="en-US"/>
        </w:rPr>
        <w:t>142</w:t>
      </w:r>
      <w:r w:rsidR="00F874F3">
        <w:rPr>
          <w:rFonts w:ascii="Simplified Arabic" w:hAnsi="Simplified Arabic" w:cs="Simplified Arabic" w:hint="cs"/>
          <w:sz w:val="24"/>
          <w:szCs w:val="24"/>
          <w:rtl/>
          <w:lang w:val="en-US"/>
        </w:rPr>
        <w:t xml:space="preserve">، </w:t>
      </w:r>
      <w:r w:rsidR="00AF7FC3">
        <w:rPr>
          <w:rFonts w:ascii="Simplified Arabic" w:hAnsi="Simplified Arabic" w:cs="Simplified Arabic"/>
          <w:sz w:val="24"/>
          <w:szCs w:val="24"/>
          <w:lang w:val="en-US"/>
        </w:rPr>
        <w:t>173</w:t>
      </w:r>
      <w:r w:rsidR="00F874F3">
        <w:rPr>
          <w:rFonts w:ascii="Simplified Arabic" w:hAnsi="Simplified Arabic" w:cs="Simplified Arabic" w:hint="cs"/>
          <w:sz w:val="24"/>
          <w:szCs w:val="24"/>
          <w:rtl/>
          <w:lang w:val="en-US"/>
        </w:rPr>
        <w:t xml:space="preserve"> مفردة من العينة</w:t>
      </w:r>
      <w:r w:rsidR="00AF7FC3">
        <w:rPr>
          <w:rFonts w:ascii="Simplified Arabic" w:hAnsi="Simplified Arabic" w:cs="Simplified Arabic" w:hint="cs"/>
          <w:sz w:val="24"/>
          <w:szCs w:val="24"/>
          <w:rtl/>
          <w:lang w:val="en-US"/>
        </w:rPr>
        <w:t>.</w:t>
      </w:r>
      <w:r w:rsidR="006245B3">
        <w:rPr>
          <w:rFonts w:ascii="Simplified Arabic" w:hAnsi="Simplified Arabic" w:cs="Simplified Arabic"/>
          <w:sz w:val="24"/>
          <w:szCs w:val="24"/>
          <w:lang w:val="en-US"/>
        </w:rPr>
        <w:t xml:space="preserve"> </w:t>
      </w:r>
      <w:r w:rsidR="003A37D5">
        <w:rPr>
          <w:rFonts w:ascii="Simplified Arabic" w:hAnsi="Simplified Arabic" w:cs="Simplified Arabic" w:hint="cs"/>
          <w:color w:val="000000" w:themeColor="text1"/>
          <w:sz w:val="24"/>
          <w:szCs w:val="24"/>
          <w:rtl/>
          <w:lang w:val="en-US"/>
        </w:rPr>
        <w:t xml:space="preserve">يرى البحث ان ارتفاع </w:t>
      </w:r>
      <w:r w:rsidR="00651156">
        <w:rPr>
          <w:rFonts w:ascii="Simplified Arabic" w:hAnsi="Simplified Arabic" w:cs="Simplified Arabic" w:hint="cs"/>
          <w:color w:val="000000" w:themeColor="text1"/>
          <w:sz w:val="24"/>
          <w:szCs w:val="24"/>
          <w:rtl/>
          <w:lang w:val="en-US"/>
        </w:rPr>
        <w:t xml:space="preserve">النسب المعبرة عن تعرض شبكة الطرق الى الغمر بمياه </w:t>
      </w:r>
      <w:r w:rsidR="00651156" w:rsidRPr="0059573D">
        <w:rPr>
          <w:rFonts w:ascii="Simplified Arabic" w:hAnsi="Simplified Arabic" w:cs="Simplified Arabic" w:hint="cs"/>
          <w:sz w:val="24"/>
          <w:szCs w:val="24"/>
          <w:rtl/>
        </w:rPr>
        <w:t>الفيضانات</w:t>
      </w:r>
      <w:r w:rsidR="00651156" w:rsidRPr="002563B2">
        <w:rPr>
          <w:rFonts w:ascii="Simplified Arabic" w:hAnsi="Simplified Arabic" w:cs="Simplified Arabic"/>
          <w:b/>
          <w:bCs/>
          <w:sz w:val="24"/>
          <w:szCs w:val="24"/>
          <w:rtl/>
        </w:rPr>
        <w:t xml:space="preserve"> </w:t>
      </w:r>
      <w:r w:rsidR="00651156">
        <w:rPr>
          <w:rFonts w:ascii="Simplified Arabic" w:hAnsi="Simplified Arabic" w:cs="Simplified Arabic" w:hint="cs"/>
          <w:color w:val="000000" w:themeColor="text1"/>
          <w:sz w:val="24"/>
          <w:szCs w:val="24"/>
          <w:rtl/>
          <w:lang w:val="en-US"/>
        </w:rPr>
        <w:t>الحضرية</w:t>
      </w:r>
      <w:r w:rsidR="003A37D5">
        <w:rPr>
          <w:rFonts w:ascii="Simplified Arabic" w:hAnsi="Simplified Arabic" w:cs="Simplified Arabic" w:hint="cs"/>
          <w:color w:val="000000" w:themeColor="text1"/>
          <w:sz w:val="24"/>
          <w:szCs w:val="24"/>
          <w:rtl/>
          <w:lang w:val="en-US"/>
        </w:rPr>
        <w:t>،</w:t>
      </w:r>
      <w:r w:rsidR="00651156">
        <w:rPr>
          <w:rFonts w:ascii="Simplified Arabic" w:hAnsi="Simplified Arabic" w:cs="Simplified Arabic" w:hint="cs"/>
          <w:color w:val="000000" w:themeColor="text1"/>
          <w:sz w:val="24"/>
          <w:szCs w:val="24"/>
          <w:rtl/>
          <w:lang w:val="en-US"/>
        </w:rPr>
        <w:t xml:space="preserve"> </w:t>
      </w:r>
      <w:r w:rsidR="003A37D5">
        <w:rPr>
          <w:rFonts w:ascii="Simplified Arabic" w:hAnsi="Simplified Arabic" w:cs="Simplified Arabic" w:hint="cs"/>
          <w:color w:val="000000" w:themeColor="text1"/>
          <w:sz w:val="24"/>
          <w:szCs w:val="24"/>
          <w:rtl/>
          <w:lang w:val="en-US"/>
        </w:rPr>
        <w:t xml:space="preserve">يرجع </w:t>
      </w:r>
      <w:r w:rsidR="00C121B0">
        <w:rPr>
          <w:rFonts w:ascii="Simplified Arabic" w:hAnsi="Simplified Arabic" w:cs="Simplified Arabic" w:hint="cs"/>
          <w:color w:val="000000" w:themeColor="text1"/>
          <w:sz w:val="24"/>
          <w:szCs w:val="24"/>
          <w:rtl/>
          <w:lang w:val="en-US"/>
        </w:rPr>
        <w:t xml:space="preserve">الى عوامل طبوغرافية </w:t>
      </w:r>
      <w:r w:rsidR="003A37D5">
        <w:rPr>
          <w:rFonts w:ascii="Simplified Arabic" w:hAnsi="Simplified Arabic" w:cs="Simplified Arabic" w:hint="cs"/>
          <w:color w:val="000000" w:themeColor="text1"/>
          <w:sz w:val="24"/>
          <w:szCs w:val="24"/>
          <w:rtl/>
          <w:lang w:val="en-US"/>
        </w:rPr>
        <w:t xml:space="preserve">أرض </w:t>
      </w:r>
      <w:r w:rsidR="00C121B0">
        <w:rPr>
          <w:rFonts w:ascii="Simplified Arabic" w:hAnsi="Simplified Arabic" w:cs="Simplified Arabic" w:hint="cs"/>
          <w:color w:val="000000" w:themeColor="text1"/>
          <w:sz w:val="24"/>
          <w:szCs w:val="24"/>
          <w:rtl/>
          <w:lang w:val="en-US"/>
        </w:rPr>
        <w:t>مدينة بوسعادة التي تتميز بالانحدار الشديد والى عوامل بشرية ك</w:t>
      </w:r>
      <w:r w:rsidR="003337FD">
        <w:rPr>
          <w:rFonts w:ascii="Simplified Arabic" w:hAnsi="Simplified Arabic" w:cs="Simplified Arabic" w:hint="cs"/>
          <w:sz w:val="24"/>
          <w:szCs w:val="24"/>
          <w:rtl/>
        </w:rPr>
        <w:t>استعمال</w:t>
      </w:r>
      <w:r w:rsidR="00C121B0">
        <w:rPr>
          <w:rFonts w:ascii="Simplified Arabic" w:hAnsi="Simplified Arabic" w:cs="Simplified Arabic" w:hint="cs"/>
          <w:color w:val="000000" w:themeColor="text1"/>
          <w:sz w:val="24"/>
          <w:szCs w:val="24"/>
          <w:rtl/>
          <w:lang w:val="en-US"/>
        </w:rPr>
        <w:t xml:space="preserve"> الارض (انخفاض معامل نفاذية الارضية)، عدم قدرة انظمة صرف المياه على </w:t>
      </w:r>
      <w:r w:rsidR="006245B3">
        <w:rPr>
          <w:rFonts w:ascii="Simplified Arabic" w:hAnsi="Simplified Arabic" w:cs="Simplified Arabic" w:hint="cs"/>
          <w:color w:val="000000" w:themeColor="text1"/>
          <w:sz w:val="24"/>
          <w:szCs w:val="24"/>
          <w:rtl/>
          <w:lang w:val="en-US"/>
        </w:rPr>
        <w:t>تصريف المياه</w:t>
      </w:r>
      <w:r w:rsidR="00C121B0">
        <w:rPr>
          <w:rFonts w:ascii="Simplified Arabic" w:hAnsi="Simplified Arabic" w:cs="Simplified Arabic" w:hint="cs"/>
          <w:color w:val="000000" w:themeColor="text1"/>
          <w:sz w:val="24"/>
          <w:szCs w:val="24"/>
          <w:rtl/>
          <w:lang w:val="en-US"/>
        </w:rPr>
        <w:t xml:space="preserve">. </w:t>
      </w:r>
    </w:p>
    <w:p w:rsidR="0059573D" w:rsidRDefault="00C121B0" w:rsidP="00FD3D45">
      <w:pPr>
        <w:pStyle w:val="fegure"/>
        <w:rPr>
          <w:sz w:val="8"/>
          <w:szCs w:val="24"/>
          <w:rtl/>
        </w:rPr>
      </w:pPr>
      <w:bookmarkStart w:id="752" w:name="_Toc157608347"/>
      <w:bookmarkStart w:id="753" w:name="_Toc171803750"/>
      <w:r w:rsidRPr="00DA50D1">
        <w:rPr>
          <w:sz w:val="8"/>
          <w:szCs w:val="24"/>
          <w:rtl/>
          <w:lang w:val="en-US"/>
        </w:rPr>
        <w:t>الشكل (</w:t>
      </w:r>
      <w:r w:rsidR="00FB1F88" w:rsidRPr="00DA50D1">
        <w:rPr>
          <w:rFonts w:hint="cs"/>
          <w:sz w:val="8"/>
          <w:szCs w:val="24"/>
          <w:rtl/>
          <w:lang w:val="en-US"/>
        </w:rPr>
        <w:t>5-</w:t>
      </w:r>
      <w:r w:rsidR="0059573D" w:rsidRPr="00DA50D1">
        <w:rPr>
          <w:rFonts w:hint="cs"/>
          <w:sz w:val="8"/>
          <w:szCs w:val="24"/>
          <w:rtl/>
          <w:lang w:val="en-US"/>
        </w:rPr>
        <w:t>17</w:t>
      </w:r>
      <w:r w:rsidRPr="00DA50D1">
        <w:rPr>
          <w:sz w:val="8"/>
          <w:szCs w:val="24"/>
          <w:rtl/>
          <w:lang w:val="en-US"/>
        </w:rPr>
        <w:t xml:space="preserve">): </w:t>
      </w:r>
      <w:r w:rsidR="0059573D" w:rsidRPr="00DA50D1">
        <w:rPr>
          <w:rFonts w:hint="cs"/>
          <w:sz w:val="8"/>
          <w:szCs w:val="24"/>
          <w:rtl/>
          <w:lang w:val="en-US"/>
        </w:rPr>
        <w:t>توزيع أفراد عيّنة</w:t>
      </w:r>
      <w:r w:rsidR="0059573D" w:rsidRPr="00DA50D1">
        <w:rPr>
          <w:rFonts w:hint="cs"/>
          <w:sz w:val="8"/>
          <w:szCs w:val="24"/>
          <w:rtl/>
        </w:rPr>
        <w:t xml:space="preserve"> </w:t>
      </w:r>
      <w:r w:rsidR="00F874F3" w:rsidRPr="00DA50D1">
        <w:rPr>
          <w:rFonts w:hint="cs"/>
          <w:sz w:val="8"/>
          <w:szCs w:val="24"/>
          <w:rtl/>
        </w:rPr>
        <w:t>ت</w:t>
      </w:r>
      <w:r w:rsidR="0059573D" w:rsidRPr="00DA50D1">
        <w:rPr>
          <w:rFonts w:hint="cs"/>
          <w:sz w:val="8"/>
          <w:szCs w:val="24"/>
          <w:rtl/>
        </w:rPr>
        <w:t>عرض شبكة الطرق</w:t>
      </w:r>
      <w:r w:rsidR="0059573D" w:rsidRPr="00DA50D1">
        <w:rPr>
          <w:sz w:val="8"/>
          <w:szCs w:val="24"/>
          <w:rtl/>
        </w:rPr>
        <w:t xml:space="preserve"> </w:t>
      </w:r>
      <w:r w:rsidR="0059573D" w:rsidRPr="00DA50D1">
        <w:rPr>
          <w:rFonts w:hint="cs"/>
          <w:sz w:val="8"/>
          <w:szCs w:val="24"/>
          <w:rtl/>
        </w:rPr>
        <w:t>لل</w:t>
      </w:r>
      <w:r w:rsidR="0059573D" w:rsidRPr="00DA50D1">
        <w:rPr>
          <w:sz w:val="8"/>
          <w:szCs w:val="24"/>
          <w:rtl/>
        </w:rPr>
        <w:t xml:space="preserve">غمر </w:t>
      </w:r>
      <w:r w:rsidR="0059573D" w:rsidRPr="00DA50D1">
        <w:rPr>
          <w:rFonts w:hint="cs"/>
          <w:sz w:val="8"/>
          <w:szCs w:val="24"/>
          <w:rtl/>
        </w:rPr>
        <w:t>ب</w:t>
      </w:r>
      <w:r w:rsidR="0059573D" w:rsidRPr="00DA50D1">
        <w:rPr>
          <w:sz w:val="8"/>
          <w:szCs w:val="24"/>
          <w:rtl/>
        </w:rPr>
        <w:t xml:space="preserve">مياه </w:t>
      </w:r>
      <w:r w:rsidR="0059573D" w:rsidRPr="00DA50D1">
        <w:rPr>
          <w:rFonts w:hint="cs"/>
          <w:sz w:val="8"/>
          <w:szCs w:val="24"/>
          <w:rtl/>
        </w:rPr>
        <w:t>الفيضانات</w:t>
      </w:r>
      <w:r w:rsidR="0059573D" w:rsidRPr="00DA50D1">
        <w:rPr>
          <w:sz w:val="8"/>
          <w:szCs w:val="24"/>
          <w:rtl/>
        </w:rPr>
        <w:t xml:space="preserve"> </w:t>
      </w:r>
      <w:r w:rsidR="0059573D" w:rsidRPr="00DA50D1">
        <w:rPr>
          <w:rFonts w:hint="cs"/>
          <w:sz w:val="8"/>
          <w:szCs w:val="24"/>
          <w:rtl/>
        </w:rPr>
        <w:t>الحضرية</w:t>
      </w:r>
      <w:bookmarkEnd w:id="752"/>
      <w:bookmarkEnd w:id="753"/>
    </w:p>
    <w:p w:rsidR="00C840FB" w:rsidRPr="00C840FB" w:rsidRDefault="00C840FB" w:rsidP="00C840FB">
      <w:pPr>
        <w:pStyle w:val="fegure"/>
        <w:rPr>
          <w:sz w:val="8"/>
          <w:szCs w:val="24"/>
          <w:rtl/>
          <w:lang w:val="en-US" w:bidi="ar-DZ"/>
        </w:rPr>
      </w:pPr>
      <w:bookmarkStart w:id="754" w:name="_Toc171803751"/>
      <w:r>
        <w:rPr>
          <w:rFonts w:hint="cs"/>
          <w:sz w:val="8"/>
          <w:szCs w:val="24"/>
          <w:rtl/>
          <w:lang w:val="en-US"/>
        </w:rPr>
        <w:t>المصدر: (الباحث، 2022)</w:t>
      </w:r>
      <w:bookmarkEnd w:id="754"/>
    </w:p>
    <w:p w:rsidR="000F3561" w:rsidRDefault="000F3561" w:rsidP="00C840FB">
      <w:pPr>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70C445AD" wp14:editId="34B1E673">
            <wp:extent cx="3243532" cy="2156604"/>
            <wp:effectExtent l="0" t="0" r="14605" b="15240"/>
            <wp:docPr id="274" name="Graphique 27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1"/>
              </a:graphicData>
            </a:graphic>
          </wp:inline>
        </w:drawing>
      </w:r>
    </w:p>
    <w:p w:rsidR="006245B3" w:rsidRDefault="006245B3" w:rsidP="00B70857">
      <w:pPr>
        <w:bidi/>
        <w:spacing w:before="240" w:after="0"/>
        <w:ind w:firstLine="282"/>
        <w:jc w:val="both"/>
        <w:rPr>
          <w:rFonts w:ascii="Simplified Arabic" w:hAnsi="Simplified Arabic" w:cs="Simplified Arabic"/>
          <w:color w:val="000000" w:themeColor="text1"/>
          <w:sz w:val="24"/>
          <w:szCs w:val="24"/>
          <w:rtl/>
        </w:rPr>
      </w:pPr>
      <w:r>
        <w:rPr>
          <w:rFonts w:ascii="Simplified Arabic" w:hAnsi="Simplified Arabic" w:cs="Simplified Arabic" w:hint="cs"/>
          <w:color w:val="000000" w:themeColor="text1"/>
          <w:sz w:val="24"/>
          <w:szCs w:val="24"/>
          <w:rtl/>
        </w:rPr>
        <w:lastRenderedPageBreak/>
        <w:t xml:space="preserve">تظهر الصورة رقم </w:t>
      </w:r>
      <w:r w:rsidRPr="00673112">
        <w:rPr>
          <w:rFonts w:ascii="Simplified Arabic" w:eastAsia="Times New Roman" w:hAnsi="Simplified Arabic" w:cs="Simplified Arabic" w:hint="cs"/>
          <w:b/>
          <w:color w:val="000000" w:themeColor="text1"/>
          <w:sz w:val="24"/>
          <w:szCs w:val="24"/>
          <w:rtl/>
          <w:lang w:eastAsia="fr-FR"/>
        </w:rPr>
        <w:t>(</w:t>
      </w:r>
      <w:r>
        <w:rPr>
          <w:rFonts w:ascii="Simplified Arabic" w:eastAsia="Times New Roman" w:hAnsi="Simplified Arabic" w:cs="Simplified Arabic" w:hint="cs"/>
          <w:b/>
          <w:color w:val="000000" w:themeColor="text1"/>
          <w:sz w:val="24"/>
          <w:szCs w:val="24"/>
          <w:rtl/>
          <w:lang w:eastAsia="fr-FR"/>
        </w:rPr>
        <w:t xml:space="preserve">5-1)، </w:t>
      </w:r>
      <w:r w:rsidR="00B70857">
        <w:rPr>
          <w:rFonts w:ascii="Simplified Arabic" w:hAnsi="Simplified Arabic" w:cs="Simplified Arabic" w:hint="cs"/>
          <w:color w:val="000000" w:themeColor="text1"/>
          <w:sz w:val="24"/>
          <w:szCs w:val="24"/>
          <w:rtl/>
        </w:rPr>
        <w:t>ان عملية الغمر ب</w:t>
      </w:r>
      <w:r>
        <w:rPr>
          <w:rFonts w:ascii="Simplified Arabic" w:hAnsi="Simplified Arabic" w:cs="Simplified Arabic" w:hint="cs"/>
          <w:color w:val="000000" w:themeColor="text1"/>
          <w:sz w:val="24"/>
          <w:szCs w:val="24"/>
          <w:rtl/>
        </w:rPr>
        <w:t>مياه الفيضانات الحضرية يفوق ارتفاعها 15 سم، مما يعرقل حركة سير السيارات والمشاة.</w:t>
      </w:r>
    </w:p>
    <w:p w:rsidR="00C121B0" w:rsidRDefault="00C121B0" w:rsidP="00A41FEA">
      <w:pPr>
        <w:pStyle w:val="Photo"/>
        <w:rPr>
          <w:rtl/>
          <w:lang w:eastAsia="fr-FR"/>
        </w:rPr>
      </w:pPr>
      <w:bookmarkStart w:id="755" w:name="_Toc157618652"/>
      <w:bookmarkStart w:id="756" w:name="_Toc171803752"/>
      <w:r w:rsidRPr="00673112">
        <w:rPr>
          <w:rFonts w:hint="cs"/>
          <w:rtl/>
          <w:lang w:eastAsia="fr-FR"/>
        </w:rPr>
        <w:t>الصورة (</w:t>
      </w:r>
      <w:r w:rsidR="00FB1F88">
        <w:rPr>
          <w:rFonts w:hint="cs"/>
          <w:rtl/>
          <w:lang w:eastAsia="fr-FR"/>
        </w:rPr>
        <w:t>5-1</w:t>
      </w:r>
      <w:r>
        <w:rPr>
          <w:rFonts w:hint="cs"/>
          <w:rtl/>
          <w:lang w:eastAsia="fr-FR"/>
        </w:rPr>
        <w:t>)</w:t>
      </w:r>
      <w:r w:rsidRPr="00673112">
        <w:rPr>
          <w:rtl/>
          <w:lang w:eastAsia="fr-FR"/>
        </w:rPr>
        <w:t xml:space="preserve">: </w:t>
      </w:r>
      <w:r>
        <w:rPr>
          <w:rFonts w:hint="cs"/>
          <w:rtl/>
          <w:lang w:eastAsia="fr-FR"/>
        </w:rPr>
        <w:t>غمر طرق احياء</w:t>
      </w:r>
      <w:r w:rsidRPr="00673112">
        <w:rPr>
          <w:rtl/>
          <w:lang w:eastAsia="fr-FR"/>
        </w:rPr>
        <w:t xml:space="preserve"> </w:t>
      </w:r>
      <w:r w:rsidRPr="00673112">
        <w:rPr>
          <w:rFonts w:hint="cs"/>
          <w:rtl/>
          <w:lang w:eastAsia="fr-FR"/>
        </w:rPr>
        <w:t>بوسعادة</w:t>
      </w:r>
      <w:r w:rsidRPr="00673112">
        <w:rPr>
          <w:rtl/>
          <w:lang w:eastAsia="fr-FR"/>
        </w:rPr>
        <w:t xml:space="preserve"> </w:t>
      </w:r>
      <w:r w:rsidRPr="00673112">
        <w:rPr>
          <w:rFonts w:hint="cs"/>
          <w:rtl/>
          <w:lang w:eastAsia="fr-FR"/>
        </w:rPr>
        <w:t>عام</w:t>
      </w:r>
      <w:r w:rsidRPr="00673112">
        <w:rPr>
          <w:rtl/>
          <w:lang w:eastAsia="fr-FR"/>
        </w:rPr>
        <w:t xml:space="preserve"> 2021.</w:t>
      </w:r>
      <w:bookmarkEnd w:id="755"/>
      <w:bookmarkEnd w:id="756"/>
      <w:r w:rsidRPr="00673112">
        <w:rPr>
          <w:rtl/>
          <w:lang w:eastAsia="fr-FR"/>
        </w:rPr>
        <w:t xml:space="preserve"> </w:t>
      </w:r>
    </w:p>
    <w:p w:rsidR="006245B3" w:rsidRDefault="00C121B0" w:rsidP="006245B3">
      <w:pPr>
        <w:bidi/>
        <w:spacing w:line="240" w:lineRule="auto"/>
        <w:jc w:val="center"/>
        <w:rPr>
          <w:rFonts w:asciiTheme="majorBidi" w:hAnsiTheme="majorBidi" w:cstheme="majorBidi"/>
          <w:sz w:val="24"/>
          <w:szCs w:val="24"/>
          <w:rtl/>
        </w:rPr>
      </w:pPr>
      <w:r>
        <w:rPr>
          <w:rFonts w:ascii="Simplified Arabic" w:eastAsia="Times New Roman" w:hAnsi="Simplified Arabic" w:cs="Simplified Arabic" w:hint="cs"/>
          <w:b/>
          <w:color w:val="000000" w:themeColor="text1"/>
          <w:sz w:val="24"/>
          <w:szCs w:val="24"/>
          <w:rtl/>
          <w:lang w:eastAsia="fr-FR"/>
        </w:rPr>
        <w:t xml:space="preserve">المصدر: </w:t>
      </w:r>
      <w:r w:rsidRPr="00673112">
        <w:rPr>
          <w:rFonts w:ascii="Simplified Arabic" w:eastAsia="Times New Roman" w:hAnsi="Simplified Arabic" w:cs="Simplified Arabic" w:hint="cs"/>
          <w:b/>
          <w:color w:val="000000" w:themeColor="text1"/>
          <w:sz w:val="24"/>
          <w:szCs w:val="24"/>
          <w:rtl/>
          <w:lang w:eastAsia="fr-FR"/>
        </w:rPr>
        <w:t>صورة مأخوذة</w:t>
      </w:r>
      <w:r w:rsidRPr="00673112">
        <w:rPr>
          <w:rFonts w:ascii="Simplified Arabic" w:eastAsia="Times New Roman" w:hAnsi="Simplified Arabic" w:cs="Simplified Arabic"/>
          <w:b/>
          <w:color w:val="000000" w:themeColor="text1"/>
          <w:sz w:val="24"/>
          <w:szCs w:val="24"/>
          <w:rtl/>
          <w:lang w:eastAsia="fr-FR"/>
        </w:rPr>
        <w:t xml:space="preserve"> </w:t>
      </w:r>
      <w:r w:rsidRPr="00673112">
        <w:rPr>
          <w:rFonts w:ascii="Simplified Arabic" w:eastAsia="Times New Roman" w:hAnsi="Simplified Arabic" w:cs="Simplified Arabic" w:hint="cs"/>
          <w:b/>
          <w:color w:val="000000" w:themeColor="text1"/>
          <w:sz w:val="24"/>
          <w:szCs w:val="24"/>
          <w:rtl/>
          <w:lang w:eastAsia="fr-FR"/>
        </w:rPr>
        <w:t>من</w:t>
      </w:r>
      <w:r w:rsidRPr="00673112">
        <w:rPr>
          <w:rFonts w:ascii="Simplified Arabic" w:eastAsia="Times New Roman" w:hAnsi="Simplified Arabic" w:cs="Simplified Arabic"/>
          <w:b/>
          <w:color w:val="000000" w:themeColor="text1"/>
          <w:sz w:val="24"/>
          <w:szCs w:val="24"/>
          <w:rtl/>
          <w:lang w:eastAsia="fr-FR"/>
        </w:rPr>
        <w:t xml:space="preserve"> </w:t>
      </w:r>
      <w:r w:rsidRPr="00673112">
        <w:rPr>
          <w:rFonts w:ascii="Simplified Arabic" w:eastAsia="Times New Roman" w:hAnsi="Simplified Arabic" w:cs="Simplified Arabic" w:hint="cs"/>
          <w:b/>
          <w:color w:val="000000" w:themeColor="text1"/>
          <w:sz w:val="24"/>
          <w:szCs w:val="24"/>
          <w:rtl/>
          <w:lang w:eastAsia="fr-FR"/>
        </w:rPr>
        <w:t>الفيديو</w:t>
      </w:r>
      <w:r w:rsidRPr="00BB7A87">
        <w:rPr>
          <w:rFonts w:asciiTheme="majorBidi" w:hAnsiTheme="majorBidi" w:cstheme="majorBidi"/>
          <w:sz w:val="24"/>
          <w:szCs w:val="24"/>
        </w:rPr>
        <w:t>http://www.youtube.com/watch (05/05/2021).</w:t>
      </w:r>
    </w:p>
    <w:p w:rsidR="00C121B0" w:rsidRDefault="00C121B0" w:rsidP="006245B3">
      <w:pPr>
        <w:bidi/>
        <w:spacing w:line="240" w:lineRule="auto"/>
        <w:jc w:val="center"/>
        <w:rPr>
          <w:rFonts w:asciiTheme="majorBidi" w:hAnsiTheme="majorBidi" w:cstheme="majorBidi"/>
          <w:sz w:val="24"/>
          <w:szCs w:val="24"/>
          <w:rtl/>
        </w:rPr>
      </w:pPr>
      <w:r>
        <w:rPr>
          <w:rFonts w:ascii="Simplified Arabic" w:hAnsi="Simplified Arabic" w:cs="Simplified Arabic" w:hint="cs"/>
          <w:noProof/>
          <w:sz w:val="24"/>
          <w:szCs w:val="24"/>
          <w:rtl/>
          <w:lang w:eastAsia="fr-FR"/>
        </w:rPr>
        <w:drawing>
          <wp:inline distT="0" distB="0" distL="0" distR="0" wp14:anchorId="27E29322" wp14:editId="3A335286">
            <wp:extent cx="5018567" cy="2371060"/>
            <wp:effectExtent l="0" t="0" r="10795" b="10795"/>
            <wp:docPr id="95" name="Diagramme 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2" r:lo="rId263" r:qs="rId264" r:cs="rId265"/>
              </a:graphicData>
            </a:graphic>
          </wp:inline>
        </w:drawing>
      </w:r>
    </w:p>
    <w:p w:rsidR="00C121B0" w:rsidRPr="002563B2" w:rsidRDefault="00987E25" w:rsidP="001D0548">
      <w:pPr>
        <w:pStyle w:val="Paragraphedeliste"/>
        <w:numPr>
          <w:ilvl w:val="0"/>
          <w:numId w:val="179"/>
        </w:numPr>
        <w:tabs>
          <w:tab w:val="right" w:pos="850"/>
        </w:tabs>
        <w:bidi/>
        <w:spacing w:before="240" w:after="0"/>
        <w:ind w:left="-1" w:firstLine="568"/>
        <w:jc w:val="both"/>
        <w:rPr>
          <w:rFonts w:ascii="Simplified Arabic" w:hAnsi="Simplified Arabic" w:cs="Simplified Arabic"/>
          <w:b/>
          <w:bCs/>
          <w:sz w:val="24"/>
          <w:szCs w:val="24"/>
          <w:shd w:val="clear" w:color="auto" w:fill="FDE9D9" w:themeFill="accent6" w:themeFillTint="33"/>
          <w:rtl/>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7A5BAB">
        <w:rPr>
          <w:rFonts w:ascii="Simplified Arabic" w:hAnsi="Simplified Arabic" w:cs="Simplified Arabic" w:hint="cs"/>
          <w:b/>
          <w:bCs/>
          <w:sz w:val="24"/>
          <w:szCs w:val="24"/>
          <w:rtl/>
        </w:rPr>
        <w:t>كفاية</w:t>
      </w:r>
      <w:r w:rsidR="00582143">
        <w:rPr>
          <w:rFonts w:ascii="Simplified Arabic" w:hAnsi="Simplified Arabic" w:cs="Simplified Arabic" w:hint="cs"/>
          <w:b/>
          <w:bCs/>
          <w:sz w:val="24"/>
          <w:szCs w:val="24"/>
          <w:rtl/>
        </w:rPr>
        <w:t xml:space="preserve"> </w:t>
      </w:r>
      <w:r w:rsidR="00C121B0" w:rsidRPr="002563B2">
        <w:rPr>
          <w:rFonts w:ascii="Simplified Arabic" w:hAnsi="Simplified Arabic" w:cs="Simplified Arabic"/>
          <w:b/>
          <w:bCs/>
          <w:sz w:val="24"/>
          <w:szCs w:val="24"/>
          <w:rtl/>
        </w:rPr>
        <w:t xml:space="preserve">المرافق </w:t>
      </w:r>
      <w:r w:rsidR="00C121B0" w:rsidRPr="002563B2">
        <w:rPr>
          <w:rFonts w:ascii="Simplified Arabic" w:hAnsi="Simplified Arabic" w:cs="Simplified Arabic" w:hint="cs"/>
          <w:b/>
          <w:bCs/>
          <w:sz w:val="24"/>
          <w:szCs w:val="24"/>
          <w:rtl/>
        </w:rPr>
        <w:t>اثناء حدوث الفيضانات</w:t>
      </w:r>
    </w:p>
    <w:p w:rsidR="00C121B0" w:rsidRDefault="00C121B0" w:rsidP="00C840FB">
      <w:pPr>
        <w:bidi/>
        <w:spacing w:after="0"/>
        <w:ind w:firstLine="282"/>
        <w:jc w:val="both"/>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ضمن</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هذا</w:t>
      </w:r>
      <w:r w:rsidRPr="0096182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القسم</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طرح</w:t>
      </w:r>
      <w:r w:rsidRPr="00961820">
        <w:rPr>
          <w:rFonts w:ascii="Simplified Arabic" w:hAnsi="Simplified Arabic" w:cs="Simplified Arabic"/>
          <w:sz w:val="24"/>
          <w:szCs w:val="24"/>
          <w:rtl/>
          <w:lang w:val="en-US"/>
        </w:rPr>
        <w:t xml:space="preserve"> </w:t>
      </w:r>
      <w:r w:rsidRPr="00961820">
        <w:rPr>
          <w:rFonts w:ascii="Simplified Arabic" w:hAnsi="Simplified Arabic" w:cs="Simplified Arabic" w:hint="cs"/>
          <w:sz w:val="24"/>
          <w:szCs w:val="24"/>
          <w:rtl/>
          <w:lang w:val="en-US"/>
        </w:rPr>
        <w:t>سؤالا</w:t>
      </w:r>
      <w:r>
        <w:rPr>
          <w:rFonts w:ascii="Simplified Arabic" w:hAnsi="Simplified Arabic" w:cs="Simplified Arabic" w:hint="cs"/>
          <w:sz w:val="24"/>
          <w:szCs w:val="24"/>
          <w:rtl/>
          <w:lang w:val="en-US"/>
        </w:rPr>
        <w:t>،</w:t>
      </w:r>
      <w:r w:rsidRPr="00961820">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rPr>
        <w:t xml:space="preserve">هل </w:t>
      </w:r>
      <w:r w:rsidR="00D8341B" w:rsidRPr="00156A79">
        <w:rPr>
          <w:rFonts w:ascii="Simplified Arabic" w:hAnsi="Simplified Arabic" w:cs="Simplified Arabic"/>
          <w:sz w:val="24"/>
          <w:szCs w:val="24"/>
          <w:rtl/>
        </w:rPr>
        <w:t xml:space="preserve">ترى ان </w:t>
      </w:r>
      <w:r w:rsidRPr="00156A79">
        <w:rPr>
          <w:rFonts w:ascii="Simplified Arabic" w:hAnsi="Simplified Arabic" w:cs="Simplified Arabic"/>
          <w:sz w:val="24"/>
          <w:szCs w:val="24"/>
          <w:rtl/>
        </w:rPr>
        <w:t>مرافق</w:t>
      </w:r>
      <w:r w:rsidR="00AF7FC3">
        <w:rPr>
          <w:rFonts w:ascii="Simplified Arabic" w:hAnsi="Simplified Arabic" w:cs="Simplified Arabic" w:hint="cs"/>
          <w:sz w:val="24"/>
          <w:szCs w:val="24"/>
          <w:rtl/>
        </w:rPr>
        <w:t xml:space="preserve"> الحي</w:t>
      </w:r>
      <w:r>
        <w:rPr>
          <w:rFonts w:ascii="Simplified Arabic" w:hAnsi="Simplified Arabic" w:cs="Simplified Arabic" w:hint="cs"/>
          <w:sz w:val="24"/>
          <w:szCs w:val="24"/>
          <w:rtl/>
        </w:rPr>
        <w:t xml:space="preserve"> التالية (</w:t>
      </w:r>
      <w:r w:rsidR="001E24AF">
        <w:rPr>
          <w:rFonts w:ascii="Simplified Arabic" w:hAnsi="Simplified Arabic" w:cs="Simplified Arabic" w:hint="cs"/>
          <w:sz w:val="24"/>
          <w:szCs w:val="24"/>
          <w:rtl/>
        </w:rPr>
        <w:t xml:space="preserve">مراكز </w:t>
      </w:r>
      <w:r w:rsidR="007A5BAB">
        <w:rPr>
          <w:rFonts w:ascii="Simplified Arabic" w:hAnsi="Simplified Arabic" w:cs="Simplified Arabic" w:hint="cs"/>
          <w:color w:val="000000" w:themeColor="text1"/>
          <w:sz w:val="24"/>
          <w:szCs w:val="24"/>
          <w:rtl/>
          <w:lang w:val="en-US"/>
        </w:rPr>
        <w:t>التكفل الطبي</w:t>
      </w:r>
      <w:r>
        <w:rPr>
          <w:rFonts w:ascii="Simplified Arabic" w:hAnsi="Simplified Arabic" w:cs="Simplified Arabic" w:hint="cs"/>
          <w:color w:val="000000" w:themeColor="text1"/>
          <w:sz w:val="24"/>
          <w:szCs w:val="24"/>
          <w:rtl/>
          <w:lang w:val="en-US"/>
        </w:rPr>
        <w:t>، مراكز الانقاذ والحماية</w:t>
      </w:r>
      <w:r w:rsidR="001E24AF">
        <w:rPr>
          <w:rFonts w:ascii="Simplified Arabic" w:hAnsi="Simplified Arabic" w:cs="Simplified Arabic" w:hint="cs"/>
          <w:color w:val="000000" w:themeColor="text1"/>
          <w:sz w:val="24"/>
          <w:szCs w:val="24"/>
          <w:rtl/>
          <w:lang w:val="en-US"/>
        </w:rPr>
        <w:t>،</w:t>
      </w:r>
      <w:r>
        <w:rPr>
          <w:rFonts w:ascii="Simplified Arabic" w:hAnsi="Simplified Arabic" w:cs="Simplified Arabic" w:hint="cs"/>
          <w:color w:val="000000" w:themeColor="text1"/>
          <w:sz w:val="24"/>
          <w:szCs w:val="24"/>
          <w:rtl/>
          <w:lang w:val="en-US"/>
        </w:rPr>
        <w:t xml:space="preserve"> مراكز الامن، </w:t>
      </w:r>
      <w:r>
        <w:rPr>
          <w:rFonts w:ascii="Simplified Arabic" w:hAnsi="Simplified Arabic" w:cs="Simplified Arabic" w:hint="cs"/>
          <w:color w:val="000000" w:themeColor="text1"/>
          <w:sz w:val="24"/>
          <w:szCs w:val="24"/>
          <w:rtl/>
          <w:lang w:val="en-US" w:bidi="ar-DZ"/>
        </w:rPr>
        <w:t>المراكز التعليمية و المراكز الدينية/الثقافية)</w:t>
      </w:r>
      <w:r>
        <w:rPr>
          <w:rFonts w:ascii="Simplified Arabic" w:hAnsi="Simplified Arabic" w:cs="Simplified Arabic" w:hint="cs"/>
          <w:sz w:val="24"/>
          <w:szCs w:val="24"/>
          <w:rtl/>
        </w:rPr>
        <w:t xml:space="preserve"> </w:t>
      </w:r>
      <w:r w:rsidR="00582143">
        <w:rPr>
          <w:rFonts w:ascii="Simplified Arabic" w:hAnsi="Simplified Arabic" w:cs="Simplified Arabic" w:hint="cs"/>
          <w:sz w:val="24"/>
          <w:szCs w:val="24"/>
          <w:rtl/>
        </w:rPr>
        <w:t>كافية</w:t>
      </w:r>
      <w:r w:rsidR="00812D9A">
        <w:rPr>
          <w:rFonts w:ascii="Simplified Arabic" w:hAnsi="Simplified Arabic" w:cs="Simplified Arabic" w:hint="cs"/>
          <w:sz w:val="24"/>
          <w:szCs w:val="24"/>
          <w:rtl/>
        </w:rPr>
        <w:t xml:space="preserve"> ام غير كافية</w:t>
      </w:r>
      <w:r w:rsidRPr="00156A79">
        <w:rPr>
          <w:rFonts w:ascii="Simplified Arabic" w:hAnsi="Simplified Arabic" w:cs="Simplified Arabic"/>
          <w:sz w:val="24"/>
          <w:szCs w:val="24"/>
          <w:rtl/>
        </w:rPr>
        <w:t xml:space="preserve"> اثناء تعرضك للفيضانات</w:t>
      </w:r>
      <w:r>
        <w:rPr>
          <w:rFonts w:ascii="Simplified Arabic" w:eastAsia="Times New Roman" w:hAnsi="Simplified Arabic" w:cs="Simplified Arabic" w:hint="cs"/>
          <w:color w:val="202124"/>
          <w:sz w:val="24"/>
          <w:szCs w:val="24"/>
          <w:rtl/>
        </w:rPr>
        <w:t xml:space="preserve">؟. الهدف من السؤال، </w:t>
      </w:r>
      <w:r>
        <w:rPr>
          <w:rFonts w:ascii="Simplified Arabic" w:hAnsi="Simplified Arabic" w:cs="Simplified Arabic" w:hint="cs"/>
          <w:sz w:val="24"/>
          <w:szCs w:val="24"/>
          <w:rtl/>
          <w:lang w:val="en-US"/>
        </w:rPr>
        <w:t xml:space="preserve">معرفة درجة تفكير </w:t>
      </w:r>
      <w:r w:rsidR="00D8341B">
        <w:rPr>
          <w:rFonts w:ascii="Simplified Arabic" w:hAnsi="Simplified Arabic" w:cs="Simplified Arabic" w:hint="cs"/>
          <w:sz w:val="24"/>
          <w:szCs w:val="24"/>
          <w:rtl/>
          <w:lang w:val="en-US"/>
        </w:rPr>
        <w:t xml:space="preserve">سكان </w:t>
      </w:r>
      <w:r w:rsidR="00D8341B" w:rsidRPr="00710D6A">
        <w:rPr>
          <w:rFonts w:ascii="Simplified Arabic" w:hAnsi="Simplified Arabic" w:cs="Simplified Arabic" w:hint="cs"/>
          <w:sz w:val="24"/>
          <w:szCs w:val="24"/>
          <w:rtl/>
          <w:lang w:val="en-US"/>
        </w:rPr>
        <w:t>أحياء: سيدي سليمان، ميطر، الحمايد والباطن</w:t>
      </w:r>
      <w:r w:rsidR="00D8341B">
        <w:rPr>
          <w:rFonts w:ascii="Simplified Arabic" w:hAnsi="Simplified Arabic" w:cs="Simplified Arabic" w:hint="cs"/>
          <w:sz w:val="24"/>
          <w:szCs w:val="24"/>
          <w:rtl/>
          <w:lang w:val="en-US"/>
        </w:rPr>
        <w:t xml:space="preserve"> </w:t>
      </w:r>
      <w:r w:rsidR="00812D9A">
        <w:rPr>
          <w:rFonts w:ascii="Simplified Arabic" w:hAnsi="Simplified Arabic" w:cs="Simplified Arabic" w:hint="cs"/>
          <w:sz w:val="24"/>
          <w:szCs w:val="24"/>
          <w:rtl/>
          <w:lang w:val="en-US"/>
        </w:rPr>
        <w:t>بأهمية</w:t>
      </w:r>
      <w:r>
        <w:rPr>
          <w:rFonts w:ascii="Simplified Arabic" w:hAnsi="Simplified Arabic" w:cs="Simplified Arabic" w:hint="cs"/>
          <w:sz w:val="24"/>
          <w:szCs w:val="24"/>
          <w:rtl/>
          <w:lang w:val="en-US"/>
        </w:rPr>
        <w:t xml:space="preserve"> </w:t>
      </w:r>
      <w:r w:rsidR="00D8341B">
        <w:rPr>
          <w:rFonts w:ascii="Simplified Arabic" w:hAnsi="Simplified Arabic" w:cs="Simplified Arabic" w:hint="cs"/>
          <w:sz w:val="24"/>
          <w:szCs w:val="24"/>
          <w:rtl/>
          <w:lang w:val="en-US"/>
        </w:rPr>
        <w:t xml:space="preserve">تنوع </w:t>
      </w:r>
      <w:r>
        <w:rPr>
          <w:rFonts w:ascii="Simplified Arabic" w:hAnsi="Simplified Arabic" w:cs="Simplified Arabic" w:hint="cs"/>
          <w:sz w:val="24"/>
          <w:szCs w:val="24"/>
          <w:rtl/>
          <w:lang w:val="en-US"/>
        </w:rPr>
        <w:t>المرافق اثناء حدوث الفيضانات.</w:t>
      </w:r>
    </w:p>
    <w:p w:rsidR="00C121B0" w:rsidRDefault="006245B3" w:rsidP="006245B3">
      <w:pPr>
        <w:bidi/>
        <w:spacing w:after="0"/>
        <w:ind w:firstLine="282"/>
        <w:jc w:val="both"/>
        <w:rPr>
          <w:rFonts w:ascii="Simplified Arabic" w:hAnsi="Simplified Arabic" w:cs="Simplified Arabic"/>
          <w:color w:val="000000" w:themeColor="text1"/>
          <w:sz w:val="24"/>
          <w:szCs w:val="24"/>
          <w:rtl/>
        </w:rPr>
      </w:pPr>
      <w:r>
        <w:rPr>
          <w:rFonts w:ascii="Simplified Arabic" w:hAnsi="Simplified Arabic" w:cs="Simplified Arabic" w:hint="cs"/>
          <w:color w:val="000000" w:themeColor="text1"/>
          <w:sz w:val="24"/>
          <w:szCs w:val="24"/>
          <w:rtl/>
          <w:lang w:val="en-US"/>
        </w:rPr>
        <w:t>ي</w:t>
      </w:r>
      <w:r w:rsidRPr="0004309B">
        <w:rPr>
          <w:rFonts w:ascii="Simplified Arabic" w:hAnsi="Simplified Arabic" w:cs="Simplified Arabic" w:hint="cs"/>
          <w:color w:val="000000" w:themeColor="text1"/>
          <w:sz w:val="24"/>
          <w:szCs w:val="24"/>
          <w:rtl/>
          <w:lang w:val="en-US"/>
        </w:rPr>
        <w:t xml:space="preserve">ظهر </w:t>
      </w:r>
      <w:r w:rsidR="00C121B0">
        <w:rPr>
          <w:rFonts w:ascii="Simplified Arabic" w:hAnsi="Simplified Arabic" w:cs="Simplified Arabic" w:hint="cs"/>
          <w:color w:val="000000" w:themeColor="text1"/>
          <w:sz w:val="24"/>
          <w:szCs w:val="24"/>
          <w:rtl/>
          <w:lang w:val="en-US"/>
        </w:rPr>
        <w:t>الشكل (</w:t>
      </w:r>
      <w:r w:rsidR="00FB1F88">
        <w:rPr>
          <w:rFonts w:ascii="Simplified Arabic" w:hAnsi="Simplified Arabic" w:cs="Simplified Arabic" w:hint="cs"/>
          <w:color w:val="000000" w:themeColor="text1"/>
          <w:sz w:val="24"/>
          <w:szCs w:val="24"/>
          <w:rtl/>
          <w:lang w:val="en-US"/>
        </w:rPr>
        <w:t>5-</w:t>
      </w:r>
      <w:r w:rsidR="00D4139E">
        <w:rPr>
          <w:rFonts w:ascii="Simplified Arabic" w:hAnsi="Simplified Arabic" w:cs="Simplified Arabic" w:hint="cs"/>
          <w:color w:val="000000" w:themeColor="text1"/>
          <w:sz w:val="24"/>
          <w:szCs w:val="24"/>
          <w:rtl/>
          <w:lang w:val="en-US"/>
        </w:rPr>
        <w:t>18</w:t>
      </w:r>
      <w:r w:rsidR="00C121B0">
        <w:rPr>
          <w:rFonts w:ascii="Simplified Arabic" w:hAnsi="Simplified Arabic" w:cs="Simplified Arabic" w:hint="cs"/>
          <w:color w:val="000000" w:themeColor="text1"/>
          <w:sz w:val="24"/>
          <w:szCs w:val="24"/>
          <w:rtl/>
          <w:lang w:val="en-US"/>
        </w:rPr>
        <w:t xml:space="preserve">)، </w:t>
      </w:r>
      <w:r w:rsidR="00651156">
        <w:rPr>
          <w:rFonts w:ascii="Simplified Arabic" w:hAnsi="Simplified Arabic" w:cs="Simplified Arabic" w:hint="cs"/>
          <w:color w:val="000000" w:themeColor="text1"/>
          <w:sz w:val="24"/>
          <w:szCs w:val="24"/>
          <w:rtl/>
          <w:lang w:val="en-US"/>
        </w:rPr>
        <w:t>الردود المعبرة لأفراد عينة البحث ب</w:t>
      </w:r>
      <w:r w:rsidR="00651156" w:rsidRPr="00710D6A">
        <w:rPr>
          <w:rFonts w:ascii="Simplified Arabic" w:hAnsi="Simplified Arabic" w:cs="Simplified Arabic" w:hint="cs"/>
          <w:sz w:val="24"/>
          <w:szCs w:val="24"/>
          <w:rtl/>
          <w:lang w:val="en-US"/>
        </w:rPr>
        <w:t>أحياء: سيدي سليمان، ميطر، الحمايد والباطن</w:t>
      </w:r>
      <w:r>
        <w:rPr>
          <w:rFonts w:ascii="Simplified Arabic" w:hAnsi="Simplified Arabic" w:cs="Simplified Arabic" w:hint="cs"/>
          <w:sz w:val="24"/>
          <w:szCs w:val="24"/>
          <w:rtl/>
          <w:lang w:val="en-US"/>
        </w:rPr>
        <w:t>،</w:t>
      </w:r>
      <w:r w:rsidR="00582143">
        <w:rPr>
          <w:rFonts w:ascii="Simplified Arabic" w:hAnsi="Simplified Arabic" w:cs="Simplified Arabic" w:hint="cs"/>
          <w:color w:val="000000" w:themeColor="text1"/>
          <w:sz w:val="24"/>
          <w:szCs w:val="24"/>
          <w:rtl/>
        </w:rPr>
        <w:t xml:space="preserve"> </w:t>
      </w:r>
      <w:r w:rsidR="00C121B0" w:rsidRPr="0004309B">
        <w:rPr>
          <w:rFonts w:ascii="Simplified Arabic" w:hAnsi="Simplified Arabic" w:cs="Simplified Arabic" w:hint="cs"/>
          <w:color w:val="000000" w:themeColor="text1"/>
          <w:sz w:val="24"/>
          <w:szCs w:val="24"/>
          <w:rtl/>
          <w:lang w:val="en-US"/>
        </w:rPr>
        <w:t xml:space="preserve">ان </w:t>
      </w:r>
      <w:r w:rsidR="00C121B0">
        <w:rPr>
          <w:rFonts w:ascii="Simplified Arabic" w:hAnsi="Simplified Arabic" w:cs="Simplified Arabic" w:hint="cs"/>
          <w:color w:val="000000" w:themeColor="text1"/>
          <w:sz w:val="24"/>
          <w:szCs w:val="24"/>
          <w:rtl/>
          <w:lang w:val="en-US"/>
        </w:rPr>
        <w:t xml:space="preserve">مراكز </w:t>
      </w:r>
      <w:r w:rsidR="00651156">
        <w:rPr>
          <w:rFonts w:ascii="Simplified Arabic" w:hAnsi="Simplified Arabic" w:cs="Simplified Arabic" w:hint="cs"/>
          <w:color w:val="000000" w:themeColor="text1"/>
          <w:sz w:val="24"/>
          <w:szCs w:val="24"/>
          <w:rtl/>
          <w:lang w:val="en-US"/>
        </w:rPr>
        <w:t>التكفل الطبي غير كافية، حيث كانت النسب</w:t>
      </w:r>
      <w:r w:rsidR="00651156" w:rsidRPr="0004309B">
        <w:rPr>
          <w:rFonts w:ascii="Simplified Arabic" w:hAnsi="Simplified Arabic" w:cs="Simplified Arabic" w:hint="cs"/>
          <w:color w:val="000000" w:themeColor="text1"/>
          <w:sz w:val="24"/>
          <w:szCs w:val="24"/>
          <w:rtl/>
          <w:lang w:val="en-US"/>
        </w:rPr>
        <w:t xml:space="preserve"> </w:t>
      </w:r>
      <w:r w:rsidR="00C121B0">
        <w:rPr>
          <w:rFonts w:ascii="Simplified Arabic" w:hAnsi="Simplified Arabic" w:cs="Simplified Arabic" w:hint="cs"/>
          <w:color w:val="000000" w:themeColor="text1"/>
          <w:sz w:val="24"/>
          <w:szCs w:val="24"/>
          <w:rtl/>
          <w:lang w:val="en-US"/>
        </w:rPr>
        <w:t xml:space="preserve">على </w:t>
      </w:r>
      <w:r w:rsidR="00D35785" w:rsidRPr="00710D6A">
        <w:rPr>
          <w:rFonts w:ascii="Simplified Arabic" w:hAnsi="Simplified Arabic" w:cs="Simplified Arabic" w:hint="cs"/>
          <w:sz w:val="24"/>
          <w:szCs w:val="24"/>
          <w:rtl/>
          <w:lang w:val="en-US"/>
        </w:rPr>
        <w:t xml:space="preserve">التوالي: </w:t>
      </w:r>
      <w:r w:rsidR="00D35785">
        <w:rPr>
          <w:rFonts w:ascii="Simplified Arabic" w:hAnsi="Simplified Arabic" w:cs="Simplified Arabic"/>
          <w:sz w:val="24"/>
          <w:szCs w:val="24"/>
          <w:lang w:val="en-US"/>
        </w:rPr>
        <w:t>58</w:t>
      </w:r>
      <w:r w:rsidR="00D35785" w:rsidRPr="00710D6A">
        <w:rPr>
          <w:rFonts w:ascii="Simplified Arabic" w:hAnsi="Simplified Arabic" w:cs="Simplified Arabic"/>
          <w:sz w:val="24"/>
          <w:szCs w:val="24"/>
          <w:lang w:val="en-US"/>
        </w:rPr>
        <w:t>,</w:t>
      </w:r>
      <w:r w:rsidR="00D35785">
        <w:rPr>
          <w:rFonts w:ascii="Simplified Arabic" w:hAnsi="Simplified Arabic" w:cs="Simplified Arabic"/>
          <w:sz w:val="24"/>
          <w:szCs w:val="24"/>
          <w:lang w:val="en-US"/>
        </w:rPr>
        <w:t>18</w:t>
      </w:r>
      <w:r w:rsidR="00D35785" w:rsidRPr="00710D6A">
        <w:rPr>
          <w:rFonts w:ascii="Simplified Arabic" w:hAnsi="Simplified Arabic" w:cs="Simplified Arabic"/>
          <w:sz w:val="24"/>
          <w:szCs w:val="24"/>
          <w:rtl/>
          <w:lang w:val="en-US"/>
        </w:rPr>
        <w:t>٪</w:t>
      </w:r>
      <w:r w:rsidR="00D35785" w:rsidRPr="00710D6A">
        <w:rPr>
          <w:rFonts w:ascii="Simplified Arabic" w:hAnsi="Simplified Arabic" w:cs="Simplified Arabic" w:hint="cs"/>
          <w:sz w:val="24"/>
          <w:szCs w:val="24"/>
          <w:rtl/>
          <w:lang w:val="en-US"/>
        </w:rPr>
        <w:t xml:space="preserve">، </w:t>
      </w:r>
      <w:r w:rsidR="00D35785">
        <w:rPr>
          <w:rFonts w:ascii="Simplified Arabic" w:hAnsi="Simplified Arabic" w:cs="Simplified Arabic"/>
          <w:sz w:val="24"/>
          <w:szCs w:val="24"/>
          <w:lang w:val="en-US"/>
        </w:rPr>
        <w:t>70</w:t>
      </w:r>
      <w:r w:rsidR="00D35785" w:rsidRPr="00710D6A">
        <w:rPr>
          <w:rFonts w:ascii="Simplified Arabic" w:hAnsi="Simplified Arabic" w:cs="Simplified Arabic"/>
          <w:sz w:val="24"/>
          <w:szCs w:val="24"/>
          <w:lang w:val="en-US"/>
        </w:rPr>
        <w:t>,</w:t>
      </w:r>
      <w:r w:rsidR="00D35785">
        <w:rPr>
          <w:rFonts w:ascii="Simplified Arabic" w:hAnsi="Simplified Arabic" w:cs="Simplified Arabic"/>
          <w:sz w:val="24"/>
          <w:szCs w:val="24"/>
          <w:lang w:val="en-US"/>
        </w:rPr>
        <w:t>65</w:t>
      </w:r>
      <w:r w:rsidR="00D35785" w:rsidRPr="00710D6A">
        <w:rPr>
          <w:rFonts w:ascii="Simplified Arabic" w:hAnsi="Simplified Arabic" w:cs="Simplified Arabic"/>
          <w:sz w:val="24"/>
          <w:szCs w:val="24"/>
          <w:rtl/>
          <w:lang w:val="en-US"/>
        </w:rPr>
        <w:t>٪</w:t>
      </w:r>
      <w:r w:rsidR="00D35785" w:rsidRPr="00710D6A">
        <w:rPr>
          <w:rFonts w:ascii="Simplified Arabic" w:hAnsi="Simplified Arabic" w:cs="Simplified Arabic" w:hint="cs"/>
          <w:sz w:val="24"/>
          <w:szCs w:val="24"/>
          <w:rtl/>
          <w:lang w:val="en-US"/>
        </w:rPr>
        <w:t xml:space="preserve">، </w:t>
      </w:r>
      <w:r w:rsidR="00D35785">
        <w:rPr>
          <w:rFonts w:ascii="Simplified Arabic" w:hAnsi="Simplified Arabic" w:cs="Simplified Arabic"/>
          <w:sz w:val="24"/>
          <w:szCs w:val="24"/>
          <w:lang w:val="en-US"/>
        </w:rPr>
        <w:t>77</w:t>
      </w:r>
      <w:r w:rsidR="00D35785" w:rsidRPr="00710D6A">
        <w:rPr>
          <w:rFonts w:ascii="Simplified Arabic" w:hAnsi="Simplified Arabic" w:cs="Simplified Arabic"/>
          <w:sz w:val="24"/>
          <w:szCs w:val="24"/>
          <w:lang w:val="en-US"/>
        </w:rPr>
        <w:t>,</w:t>
      </w:r>
      <w:r w:rsidR="00D35785">
        <w:rPr>
          <w:rFonts w:ascii="Simplified Arabic" w:hAnsi="Simplified Arabic" w:cs="Simplified Arabic"/>
          <w:sz w:val="24"/>
          <w:szCs w:val="24"/>
          <w:lang w:val="en-US"/>
        </w:rPr>
        <w:t>14</w:t>
      </w:r>
      <w:r w:rsidR="00D35785" w:rsidRPr="00710D6A">
        <w:rPr>
          <w:rFonts w:ascii="Simplified Arabic" w:hAnsi="Simplified Arabic" w:cs="Simplified Arabic"/>
          <w:sz w:val="24"/>
          <w:szCs w:val="24"/>
          <w:rtl/>
          <w:lang w:val="en-US"/>
        </w:rPr>
        <w:t>٪</w:t>
      </w:r>
      <w:r w:rsidR="00D35785" w:rsidRPr="00710D6A">
        <w:rPr>
          <w:rFonts w:ascii="Simplified Arabic" w:hAnsi="Simplified Arabic" w:cs="Simplified Arabic" w:hint="cs"/>
          <w:sz w:val="24"/>
          <w:szCs w:val="24"/>
          <w:rtl/>
          <w:lang w:val="en-US"/>
        </w:rPr>
        <w:t xml:space="preserve">، </w:t>
      </w:r>
      <w:r w:rsidR="00D35785">
        <w:rPr>
          <w:rFonts w:ascii="Simplified Arabic" w:hAnsi="Simplified Arabic" w:cs="Simplified Arabic"/>
          <w:sz w:val="24"/>
          <w:szCs w:val="24"/>
          <w:lang w:val="en-US"/>
        </w:rPr>
        <w:t>90</w:t>
      </w:r>
      <w:r w:rsidR="00D35785" w:rsidRPr="00710D6A">
        <w:rPr>
          <w:rFonts w:ascii="Simplified Arabic" w:hAnsi="Simplified Arabic" w:cs="Simplified Arabic"/>
          <w:sz w:val="24"/>
          <w:szCs w:val="24"/>
          <w:lang w:val="en-US"/>
        </w:rPr>
        <w:t>,</w:t>
      </w:r>
      <w:r w:rsidR="00D35785">
        <w:rPr>
          <w:rFonts w:ascii="Simplified Arabic" w:hAnsi="Simplified Arabic" w:cs="Simplified Arabic"/>
          <w:sz w:val="24"/>
          <w:szCs w:val="24"/>
          <w:lang w:val="en-US"/>
        </w:rPr>
        <w:t>39</w:t>
      </w:r>
      <w:r w:rsidR="00D35785" w:rsidRPr="00710D6A">
        <w:rPr>
          <w:rFonts w:ascii="Simplified Arabic" w:hAnsi="Simplified Arabic" w:cs="Simplified Arabic"/>
          <w:sz w:val="24"/>
          <w:szCs w:val="24"/>
          <w:rtl/>
          <w:lang w:val="en-US"/>
        </w:rPr>
        <w:t>٪</w:t>
      </w:r>
      <w:r w:rsidR="00D35785" w:rsidRPr="00710D6A">
        <w:rPr>
          <w:rFonts w:ascii="Simplified Arabic" w:hAnsi="Simplified Arabic" w:cs="Simplified Arabic" w:hint="cs"/>
          <w:sz w:val="24"/>
          <w:szCs w:val="24"/>
          <w:rtl/>
          <w:lang w:val="en-US"/>
        </w:rPr>
        <w:t xml:space="preserve">، </w:t>
      </w:r>
      <w:r w:rsidR="00D35785">
        <w:rPr>
          <w:rFonts w:ascii="Simplified Arabic" w:hAnsi="Simplified Arabic" w:cs="Simplified Arabic" w:hint="cs"/>
          <w:sz w:val="24"/>
          <w:szCs w:val="24"/>
          <w:rtl/>
          <w:lang w:val="en-US"/>
        </w:rPr>
        <w:t>يقابلها</w:t>
      </w:r>
      <w:r w:rsidR="00D35785" w:rsidRPr="009F772D">
        <w:rPr>
          <w:rFonts w:ascii="Simplified Arabic" w:hAnsi="Simplified Arabic" w:cs="Simplified Arabic" w:hint="cs"/>
          <w:sz w:val="24"/>
          <w:szCs w:val="24"/>
          <w:rtl/>
          <w:lang w:val="en-US"/>
        </w:rPr>
        <w:t xml:space="preserve"> </w:t>
      </w:r>
      <w:r w:rsidR="00D35785">
        <w:rPr>
          <w:rFonts w:ascii="Simplified Arabic" w:hAnsi="Simplified Arabic" w:cs="Simplified Arabic" w:hint="cs"/>
          <w:sz w:val="24"/>
          <w:szCs w:val="24"/>
          <w:rtl/>
          <w:lang w:val="en-US"/>
        </w:rPr>
        <w:t xml:space="preserve">على التوالي </w:t>
      </w:r>
      <w:r w:rsidR="00D35785">
        <w:rPr>
          <w:rFonts w:ascii="Simplified Arabic" w:hAnsi="Simplified Arabic" w:cs="Simplified Arabic"/>
          <w:sz w:val="24"/>
          <w:szCs w:val="24"/>
          <w:lang w:val="en-US"/>
        </w:rPr>
        <w:t>224</w:t>
      </w:r>
      <w:r w:rsidR="00D35785">
        <w:rPr>
          <w:rFonts w:ascii="Simplified Arabic" w:hAnsi="Simplified Arabic" w:cs="Simplified Arabic" w:hint="cs"/>
          <w:sz w:val="24"/>
          <w:szCs w:val="24"/>
          <w:rtl/>
          <w:lang w:val="en-US"/>
        </w:rPr>
        <w:t xml:space="preserve">، </w:t>
      </w:r>
      <w:r w:rsidR="00D35785">
        <w:rPr>
          <w:rFonts w:ascii="Simplified Arabic" w:hAnsi="Simplified Arabic" w:cs="Simplified Arabic"/>
          <w:sz w:val="24"/>
          <w:szCs w:val="24"/>
          <w:lang w:val="en-US"/>
        </w:rPr>
        <w:t>272</w:t>
      </w:r>
      <w:r w:rsidR="00D35785">
        <w:rPr>
          <w:rFonts w:ascii="Simplified Arabic" w:hAnsi="Simplified Arabic" w:cs="Simplified Arabic" w:hint="cs"/>
          <w:sz w:val="24"/>
          <w:szCs w:val="24"/>
          <w:rtl/>
          <w:lang w:val="en-US"/>
        </w:rPr>
        <w:t xml:space="preserve">، </w:t>
      </w:r>
      <w:r w:rsidR="00D35785">
        <w:rPr>
          <w:rFonts w:ascii="Simplified Arabic" w:hAnsi="Simplified Arabic" w:cs="Simplified Arabic"/>
          <w:sz w:val="24"/>
          <w:szCs w:val="24"/>
          <w:lang w:val="en-US"/>
        </w:rPr>
        <w:t>297</w:t>
      </w:r>
      <w:r w:rsidR="00D35785">
        <w:rPr>
          <w:rFonts w:ascii="Simplified Arabic" w:hAnsi="Simplified Arabic" w:cs="Simplified Arabic" w:hint="cs"/>
          <w:sz w:val="24"/>
          <w:szCs w:val="24"/>
          <w:rtl/>
          <w:lang w:val="en-US"/>
        </w:rPr>
        <w:t xml:space="preserve">، </w:t>
      </w:r>
      <w:r w:rsidR="00D35785">
        <w:rPr>
          <w:rFonts w:ascii="Simplified Arabic" w:hAnsi="Simplified Arabic" w:cs="Simplified Arabic"/>
          <w:sz w:val="24"/>
          <w:szCs w:val="24"/>
          <w:lang w:val="en-US"/>
        </w:rPr>
        <w:t>348</w:t>
      </w:r>
      <w:r w:rsidR="00D35785">
        <w:rPr>
          <w:rFonts w:ascii="Simplified Arabic" w:hAnsi="Simplified Arabic" w:cs="Simplified Arabic" w:hint="cs"/>
          <w:sz w:val="24"/>
          <w:szCs w:val="24"/>
          <w:rtl/>
          <w:lang w:val="en-US"/>
        </w:rPr>
        <w:t xml:space="preserve"> مفردة من العينة.</w:t>
      </w:r>
      <w:r w:rsidR="00C121B0">
        <w:rPr>
          <w:rFonts w:ascii="Simplified Arabic" w:hAnsi="Simplified Arabic" w:cs="Simplified Arabic" w:hint="cs"/>
          <w:color w:val="000000" w:themeColor="text1"/>
          <w:sz w:val="24"/>
          <w:szCs w:val="24"/>
          <w:rtl/>
          <w:lang w:val="en-US" w:bidi="ar-DZ"/>
        </w:rPr>
        <w:t xml:space="preserve"> </w:t>
      </w:r>
      <w:r w:rsidR="00D750D7">
        <w:rPr>
          <w:rFonts w:ascii="Simplified Arabic" w:hAnsi="Simplified Arabic" w:cs="Simplified Arabic" w:hint="cs"/>
          <w:color w:val="000000" w:themeColor="text1"/>
          <w:sz w:val="24"/>
          <w:szCs w:val="24"/>
          <w:rtl/>
          <w:lang w:val="en-US" w:bidi="ar-DZ"/>
        </w:rPr>
        <w:t xml:space="preserve">كما </w:t>
      </w:r>
      <w:r w:rsidR="00D750D7" w:rsidRPr="0004309B">
        <w:rPr>
          <w:rFonts w:ascii="Simplified Arabic" w:hAnsi="Simplified Arabic" w:cs="Simplified Arabic" w:hint="cs"/>
          <w:color w:val="000000" w:themeColor="text1"/>
          <w:sz w:val="24"/>
          <w:szCs w:val="24"/>
          <w:rtl/>
          <w:lang w:val="en-US"/>
        </w:rPr>
        <w:t>اظهرت اغلب</w:t>
      </w:r>
      <w:r w:rsidR="00D750D7">
        <w:rPr>
          <w:rFonts w:ascii="Simplified Arabic" w:hAnsi="Simplified Arabic" w:cs="Simplified Arabic" w:hint="cs"/>
          <w:color w:val="000000" w:themeColor="text1"/>
          <w:sz w:val="24"/>
          <w:szCs w:val="24"/>
          <w:rtl/>
          <w:lang w:val="en-US"/>
        </w:rPr>
        <w:t xml:space="preserve"> </w:t>
      </w:r>
      <w:r w:rsidR="00C375F7">
        <w:rPr>
          <w:rFonts w:ascii="Simplified Arabic" w:hAnsi="Simplified Arabic" w:cs="Simplified Arabic" w:hint="cs"/>
          <w:color w:val="000000" w:themeColor="text1"/>
          <w:sz w:val="24"/>
          <w:szCs w:val="24"/>
          <w:rtl/>
          <w:lang w:val="en-US"/>
        </w:rPr>
        <w:t xml:space="preserve">الردود المعبرة </w:t>
      </w:r>
      <w:r w:rsidR="00D750D7">
        <w:rPr>
          <w:rFonts w:ascii="Simplified Arabic" w:hAnsi="Simplified Arabic" w:cs="Simplified Arabic" w:hint="cs"/>
          <w:color w:val="000000" w:themeColor="text1"/>
          <w:sz w:val="24"/>
          <w:szCs w:val="24"/>
          <w:rtl/>
          <w:lang w:val="en-US"/>
        </w:rPr>
        <w:t xml:space="preserve">بحي سيدي سليمان والحمايد </w:t>
      </w:r>
      <w:r w:rsidR="00C375F7">
        <w:rPr>
          <w:rFonts w:ascii="Simplified Arabic" w:hAnsi="Simplified Arabic" w:cs="Simplified Arabic" w:hint="cs"/>
          <w:color w:val="000000" w:themeColor="text1"/>
          <w:sz w:val="24"/>
          <w:szCs w:val="24"/>
          <w:rtl/>
        </w:rPr>
        <w:t xml:space="preserve">على </w:t>
      </w:r>
      <w:r w:rsidR="00C375F7" w:rsidRPr="0004309B">
        <w:rPr>
          <w:rFonts w:ascii="Simplified Arabic" w:hAnsi="Simplified Arabic" w:cs="Simplified Arabic" w:hint="cs"/>
          <w:color w:val="000000" w:themeColor="text1"/>
          <w:sz w:val="24"/>
          <w:szCs w:val="24"/>
          <w:rtl/>
          <w:lang w:val="en-US"/>
        </w:rPr>
        <w:t xml:space="preserve">ان </w:t>
      </w:r>
      <w:r w:rsidR="00C375F7">
        <w:rPr>
          <w:rFonts w:ascii="Simplified Arabic" w:hAnsi="Simplified Arabic" w:cs="Simplified Arabic" w:hint="cs"/>
          <w:color w:val="000000" w:themeColor="text1"/>
          <w:sz w:val="24"/>
          <w:szCs w:val="24"/>
          <w:rtl/>
          <w:lang w:val="en-US"/>
        </w:rPr>
        <w:t xml:space="preserve">مراكز الامن غير كافية على </w:t>
      </w:r>
      <w:r w:rsidR="00C375F7" w:rsidRPr="00710D6A">
        <w:rPr>
          <w:rFonts w:ascii="Simplified Arabic" w:hAnsi="Simplified Arabic" w:cs="Simplified Arabic" w:hint="cs"/>
          <w:sz w:val="24"/>
          <w:szCs w:val="24"/>
          <w:rtl/>
          <w:lang w:val="en-US"/>
        </w:rPr>
        <w:t xml:space="preserve">التوالي: </w:t>
      </w:r>
      <w:r w:rsidR="00C375F7">
        <w:rPr>
          <w:rFonts w:ascii="Simplified Arabic" w:hAnsi="Simplified Arabic" w:cs="Simplified Arabic"/>
          <w:sz w:val="24"/>
          <w:szCs w:val="24"/>
          <w:lang w:val="en-US"/>
        </w:rPr>
        <w:t>69</w:t>
      </w:r>
      <w:r w:rsidR="00C375F7" w:rsidRPr="00710D6A">
        <w:rPr>
          <w:rFonts w:ascii="Simplified Arabic" w:hAnsi="Simplified Arabic" w:cs="Simplified Arabic"/>
          <w:sz w:val="24"/>
          <w:szCs w:val="24"/>
          <w:lang w:val="en-US"/>
        </w:rPr>
        <w:t>,</w:t>
      </w:r>
      <w:r w:rsidR="00C375F7">
        <w:rPr>
          <w:rFonts w:ascii="Simplified Arabic" w:hAnsi="Simplified Arabic" w:cs="Simplified Arabic"/>
          <w:sz w:val="24"/>
          <w:szCs w:val="24"/>
          <w:lang w:val="en-US"/>
        </w:rPr>
        <w:t>61</w:t>
      </w:r>
      <w:r w:rsidR="00C375F7" w:rsidRPr="00710D6A">
        <w:rPr>
          <w:rFonts w:ascii="Simplified Arabic" w:hAnsi="Simplified Arabic" w:cs="Simplified Arabic"/>
          <w:sz w:val="24"/>
          <w:szCs w:val="24"/>
          <w:rtl/>
          <w:lang w:val="en-US"/>
        </w:rPr>
        <w:t>٪</w:t>
      </w:r>
      <w:r w:rsidR="00C375F7" w:rsidRPr="00710D6A">
        <w:rPr>
          <w:rFonts w:ascii="Simplified Arabic" w:hAnsi="Simplified Arabic" w:cs="Simplified Arabic" w:hint="cs"/>
          <w:sz w:val="24"/>
          <w:szCs w:val="24"/>
          <w:rtl/>
          <w:lang w:val="en-US"/>
        </w:rPr>
        <w:t xml:space="preserve">، </w:t>
      </w:r>
      <w:r w:rsidR="00C375F7">
        <w:rPr>
          <w:rFonts w:ascii="Simplified Arabic" w:hAnsi="Simplified Arabic" w:cs="Simplified Arabic"/>
          <w:sz w:val="24"/>
          <w:szCs w:val="24"/>
          <w:lang w:val="en-US"/>
        </w:rPr>
        <w:t>91</w:t>
      </w:r>
      <w:r w:rsidR="00C375F7" w:rsidRPr="00710D6A">
        <w:rPr>
          <w:rFonts w:ascii="Simplified Arabic" w:hAnsi="Simplified Arabic" w:cs="Simplified Arabic"/>
          <w:sz w:val="24"/>
          <w:szCs w:val="24"/>
          <w:lang w:val="en-US"/>
        </w:rPr>
        <w:t>,</w:t>
      </w:r>
      <w:r w:rsidR="00C375F7">
        <w:rPr>
          <w:rFonts w:ascii="Simplified Arabic" w:hAnsi="Simplified Arabic" w:cs="Simplified Arabic"/>
          <w:sz w:val="24"/>
          <w:szCs w:val="24"/>
          <w:lang w:val="en-US"/>
        </w:rPr>
        <w:t>95</w:t>
      </w:r>
      <w:r w:rsidR="00C375F7" w:rsidRPr="00710D6A">
        <w:rPr>
          <w:rFonts w:ascii="Simplified Arabic" w:hAnsi="Simplified Arabic" w:cs="Simplified Arabic"/>
          <w:sz w:val="24"/>
          <w:szCs w:val="24"/>
          <w:rtl/>
          <w:lang w:val="en-US"/>
        </w:rPr>
        <w:t>٪</w:t>
      </w:r>
      <w:r w:rsidR="00D750D7">
        <w:rPr>
          <w:rFonts w:ascii="Simplified Arabic" w:hAnsi="Simplified Arabic" w:cs="Simplified Arabic" w:hint="cs"/>
          <w:sz w:val="24"/>
          <w:szCs w:val="24"/>
          <w:rtl/>
          <w:lang w:val="en-US"/>
        </w:rPr>
        <w:t xml:space="preserve"> </w:t>
      </w:r>
      <w:r w:rsidR="00C375F7">
        <w:rPr>
          <w:rFonts w:ascii="Simplified Arabic" w:hAnsi="Simplified Arabic" w:cs="Simplified Arabic" w:hint="cs"/>
          <w:sz w:val="24"/>
          <w:szCs w:val="24"/>
          <w:rtl/>
          <w:lang w:val="en-US"/>
        </w:rPr>
        <w:t>يقابلها</w:t>
      </w:r>
      <w:r w:rsidR="00C375F7" w:rsidRPr="009F772D">
        <w:rPr>
          <w:rFonts w:ascii="Simplified Arabic" w:hAnsi="Simplified Arabic" w:cs="Simplified Arabic" w:hint="cs"/>
          <w:sz w:val="24"/>
          <w:szCs w:val="24"/>
          <w:rtl/>
          <w:lang w:val="en-US"/>
        </w:rPr>
        <w:t xml:space="preserve"> </w:t>
      </w:r>
      <w:r w:rsidR="00C375F7">
        <w:rPr>
          <w:rFonts w:ascii="Simplified Arabic" w:hAnsi="Simplified Arabic" w:cs="Simplified Arabic" w:hint="cs"/>
          <w:sz w:val="24"/>
          <w:szCs w:val="24"/>
          <w:rtl/>
          <w:lang w:val="en-US"/>
        </w:rPr>
        <w:t xml:space="preserve">على التوالي </w:t>
      </w:r>
      <w:r w:rsidR="00C375F7">
        <w:rPr>
          <w:rFonts w:ascii="Simplified Arabic" w:hAnsi="Simplified Arabic" w:cs="Simplified Arabic"/>
          <w:sz w:val="24"/>
          <w:szCs w:val="24"/>
          <w:lang w:val="en-US"/>
        </w:rPr>
        <w:t>268</w:t>
      </w:r>
      <w:r w:rsidR="00C375F7">
        <w:rPr>
          <w:rFonts w:ascii="Simplified Arabic" w:hAnsi="Simplified Arabic" w:cs="Simplified Arabic" w:hint="cs"/>
          <w:sz w:val="24"/>
          <w:szCs w:val="24"/>
          <w:rtl/>
          <w:lang w:val="en-US"/>
        </w:rPr>
        <w:t xml:space="preserve">، </w:t>
      </w:r>
      <w:r w:rsidR="00960E76">
        <w:rPr>
          <w:rFonts w:ascii="Simplified Arabic" w:hAnsi="Simplified Arabic" w:cs="Simplified Arabic"/>
          <w:sz w:val="24"/>
          <w:szCs w:val="24"/>
          <w:lang w:val="en-US"/>
        </w:rPr>
        <w:t>354</w:t>
      </w:r>
      <w:r w:rsidR="00D750D7">
        <w:rPr>
          <w:rFonts w:ascii="Simplified Arabic" w:hAnsi="Simplified Arabic" w:cs="Simplified Arabic" w:hint="cs"/>
          <w:sz w:val="24"/>
          <w:szCs w:val="24"/>
          <w:rtl/>
          <w:lang w:val="en-US"/>
        </w:rPr>
        <w:t xml:space="preserve"> </w:t>
      </w:r>
      <w:r w:rsidR="00C375F7">
        <w:rPr>
          <w:rFonts w:ascii="Simplified Arabic" w:hAnsi="Simplified Arabic" w:cs="Simplified Arabic" w:hint="cs"/>
          <w:sz w:val="24"/>
          <w:szCs w:val="24"/>
          <w:rtl/>
          <w:lang w:val="en-US"/>
        </w:rPr>
        <w:t>مفردة من العينة.</w:t>
      </w:r>
    </w:p>
    <w:p w:rsidR="00FD3D45" w:rsidRDefault="00FD3D45" w:rsidP="00E71572">
      <w:pPr>
        <w:pStyle w:val="fegure"/>
        <w:spacing w:before="240"/>
        <w:rPr>
          <w:szCs w:val="24"/>
          <w:rtl/>
          <w:lang w:val="en-US"/>
        </w:rPr>
      </w:pPr>
      <w:bookmarkStart w:id="757" w:name="_Toc157608348"/>
    </w:p>
    <w:p w:rsidR="00FD3D45" w:rsidRDefault="00FD3D45" w:rsidP="00E71572">
      <w:pPr>
        <w:pStyle w:val="fegure"/>
        <w:spacing w:before="240"/>
        <w:rPr>
          <w:szCs w:val="24"/>
          <w:rtl/>
          <w:lang w:val="en-US"/>
        </w:rPr>
      </w:pPr>
    </w:p>
    <w:p w:rsidR="00FD3D45" w:rsidRDefault="00FD3D45" w:rsidP="00E71572">
      <w:pPr>
        <w:pStyle w:val="fegure"/>
        <w:spacing w:before="240"/>
        <w:rPr>
          <w:szCs w:val="24"/>
          <w:rtl/>
          <w:lang w:val="en-US"/>
        </w:rPr>
      </w:pPr>
    </w:p>
    <w:p w:rsidR="00FD3D45" w:rsidRDefault="00FD3D45" w:rsidP="00E71572">
      <w:pPr>
        <w:pStyle w:val="fegure"/>
        <w:spacing w:before="240"/>
        <w:rPr>
          <w:szCs w:val="24"/>
          <w:rtl/>
          <w:lang w:val="en-US"/>
        </w:rPr>
      </w:pPr>
    </w:p>
    <w:p w:rsidR="00FD3D45" w:rsidRDefault="00FD3D45" w:rsidP="00E71572">
      <w:pPr>
        <w:pStyle w:val="fegure"/>
        <w:spacing w:before="240"/>
        <w:rPr>
          <w:szCs w:val="24"/>
          <w:rtl/>
          <w:lang w:val="en-US"/>
        </w:rPr>
      </w:pPr>
    </w:p>
    <w:p w:rsidR="00FD3D45" w:rsidRDefault="00FD3D45" w:rsidP="00E71572">
      <w:pPr>
        <w:pStyle w:val="fegure"/>
        <w:spacing w:before="240"/>
        <w:rPr>
          <w:szCs w:val="24"/>
          <w:rtl/>
          <w:lang w:val="en-US"/>
        </w:rPr>
      </w:pPr>
    </w:p>
    <w:p w:rsidR="00987E25" w:rsidRDefault="00C121B0" w:rsidP="00E71572">
      <w:pPr>
        <w:pStyle w:val="fegure"/>
        <w:spacing w:before="240"/>
        <w:rPr>
          <w:szCs w:val="24"/>
          <w:rtl/>
          <w:lang w:val="en-US"/>
        </w:rPr>
      </w:pPr>
      <w:bookmarkStart w:id="758" w:name="_Toc171803753"/>
      <w:r w:rsidRPr="00DA50D1">
        <w:rPr>
          <w:szCs w:val="24"/>
          <w:rtl/>
          <w:lang w:val="en-US"/>
        </w:rPr>
        <w:lastRenderedPageBreak/>
        <w:t>الشكل (</w:t>
      </w:r>
      <w:r w:rsidR="00FB1F88" w:rsidRPr="00DA50D1">
        <w:rPr>
          <w:rFonts w:hint="cs"/>
          <w:szCs w:val="24"/>
          <w:rtl/>
          <w:lang w:val="en-US"/>
        </w:rPr>
        <w:t>5-</w:t>
      </w:r>
      <w:r w:rsidR="00D4139E" w:rsidRPr="00DA50D1">
        <w:rPr>
          <w:rFonts w:hint="cs"/>
          <w:szCs w:val="24"/>
          <w:rtl/>
          <w:lang w:val="en-US"/>
        </w:rPr>
        <w:t>18</w:t>
      </w:r>
      <w:r w:rsidRPr="00DA50D1">
        <w:rPr>
          <w:szCs w:val="24"/>
          <w:rtl/>
          <w:lang w:val="en-US"/>
        </w:rPr>
        <w:t xml:space="preserve">): </w:t>
      </w:r>
      <w:r w:rsidR="00987E25" w:rsidRPr="00DA50D1">
        <w:rPr>
          <w:rFonts w:hint="cs"/>
          <w:szCs w:val="24"/>
          <w:rtl/>
          <w:lang w:val="en-US"/>
        </w:rPr>
        <w:t xml:space="preserve">تحليل توزيع أفراد عيّنة </w:t>
      </w:r>
      <w:r w:rsidR="007A5BAB" w:rsidRPr="00DA50D1">
        <w:rPr>
          <w:rFonts w:hint="cs"/>
          <w:szCs w:val="24"/>
          <w:rtl/>
          <w:lang w:val="en-US"/>
        </w:rPr>
        <w:t xml:space="preserve">كفاية </w:t>
      </w:r>
      <w:r w:rsidR="007A5BAB" w:rsidRPr="00DA50D1">
        <w:rPr>
          <w:szCs w:val="24"/>
          <w:rtl/>
          <w:lang w:val="en-US"/>
        </w:rPr>
        <w:t xml:space="preserve">المرافق </w:t>
      </w:r>
      <w:r w:rsidR="007A5BAB" w:rsidRPr="00DA50D1">
        <w:rPr>
          <w:rFonts w:hint="cs"/>
          <w:szCs w:val="24"/>
          <w:rtl/>
          <w:lang w:val="en-US"/>
        </w:rPr>
        <w:t xml:space="preserve">اثناء </w:t>
      </w:r>
      <w:r w:rsidR="00987E25" w:rsidRPr="00DA50D1">
        <w:rPr>
          <w:rFonts w:hint="cs"/>
          <w:szCs w:val="24"/>
          <w:rtl/>
          <w:lang w:val="en-US"/>
        </w:rPr>
        <w:t>حدوث الفيضانات</w:t>
      </w:r>
      <w:bookmarkEnd w:id="757"/>
      <w:bookmarkEnd w:id="758"/>
    </w:p>
    <w:p w:rsidR="00C840FB" w:rsidRPr="00C840FB" w:rsidRDefault="00C840FB" w:rsidP="00C840FB">
      <w:pPr>
        <w:pStyle w:val="fegure"/>
        <w:rPr>
          <w:sz w:val="8"/>
          <w:szCs w:val="24"/>
          <w:rtl/>
          <w:lang w:val="en-US" w:bidi="ar-DZ"/>
        </w:rPr>
      </w:pPr>
      <w:bookmarkStart w:id="759" w:name="_Toc171803754"/>
      <w:r>
        <w:rPr>
          <w:rFonts w:hint="cs"/>
          <w:sz w:val="8"/>
          <w:szCs w:val="24"/>
          <w:rtl/>
          <w:lang w:val="en-US"/>
        </w:rPr>
        <w:t>المصدر: (الباحث، 2022)</w:t>
      </w:r>
      <w:bookmarkEnd w:id="759"/>
    </w:p>
    <w:p w:rsidR="00C444FE" w:rsidRDefault="00D4139E" w:rsidP="004A0F9B">
      <w:pPr>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5DF1A9FB" wp14:editId="1B12F114">
            <wp:extent cx="5132717" cy="3761117"/>
            <wp:effectExtent l="0" t="0" r="10795" b="10795"/>
            <wp:docPr id="288" name="Graphique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7"/>
              </a:graphicData>
            </a:graphic>
          </wp:inline>
        </w:drawing>
      </w:r>
    </w:p>
    <w:p w:rsidR="00C121B0" w:rsidRPr="00F14C48" w:rsidRDefault="00987E25" w:rsidP="001D0548">
      <w:pPr>
        <w:pStyle w:val="Paragraphedeliste"/>
        <w:numPr>
          <w:ilvl w:val="0"/>
          <w:numId w:val="179"/>
        </w:numPr>
        <w:tabs>
          <w:tab w:val="right" w:pos="850"/>
        </w:tabs>
        <w:bidi/>
        <w:spacing w:before="240" w:after="0"/>
        <w:ind w:left="-1" w:firstLine="568"/>
        <w:jc w:val="both"/>
        <w:rPr>
          <w:rFonts w:ascii="Simplified Arabic" w:hAnsi="Simplified Arabic" w:cs="Simplified Arabic"/>
          <w:b/>
          <w:bCs/>
          <w:sz w:val="24"/>
          <w:szCs w:val="24"/>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C121B0">
        <w:rPr>
          <w:rFonts w:ascii="Simplified Arabic" w:hAnsi="Simplified Arabic" w:cs="Simplified Arabic" w:hint="cs"/>
          <w:b/>
          <w:bCs/>
          <w:sz w:val="24"/>
          <w:szCs w:val="24"/>
          <w:rtl/>
        </w:rPr>
        <w:t>عدد تقاطعات</w:t>
      </w:r>
      <w:r w:rsidR="00C121B0" w:rsidRPr="009E7AF6">
        <w:rPr>
          <w:rFonts w:ascii="Simplified Arabic" w:hAnsi="Simplified Arabic" w:cs="Simplified Arabic" w:hint="cs"/>
          <w:b/>
          <w:bCs/>
          <w:sz w:val="24"/>
          <w:szCs w:val="24"/>
          <w:rtl/>
        </w:rPr>
        <w:t xml:space="preserve"> الطرق واحساس راحة</w:t>
      </w:r>
      <w:r w:rsidR="00C121B0" w:rsidRPr="009E7AF6">
        <w:rPr>
          <w:rFonts w:ascii="Simplified Arabic" w:hAnsi="Simplified Arabic" w:cs="Simplified Arabic"/>
          <w:b/>
          <w:bCs/>
          <w:sz w:val="24"/>
          <w:szCs w:val="24"/>
          <w:rtl/>
        </w:rPr>
        <w:t xml:space="preserve"> </w:t>
      </w:r>
      <w:r w:rsidR="00C121B0" w:rsidRPr="009E7AF6">
        <w:rPr>
          <w:rFonts w:ascii="Simplified Arabic" w:hAnsi="Simplified Arabic" w:cs="Simplified Arabic" w:hint="cs"/>
          <w:b/>
          <w:bCs/>
          <w:sz w:val="24"/>
          <w:szCs w:val="24"/>
          <w:rtl/>
        </w:rPr>
        <w:t>التنقل</w:t>
      </w:r>
      <w:r w:rsidR="00C121B0" w:rsidRPr="009E7AF6">
        <w:rPr>
          <w:rFonts w:ascii="Simplified Arabic" w:hAnsi="Simplified Arabic" w:cs="Simplified Arabic"/>
          <w:b/>
          <w:bCs/>
          <w:sz w:val="24"/>
          <w:szCs w:val="24"/>
          <w:rtl/>
        </w:rPr>
        <w:t xml:space="preserve"> </w:t>
      </w:r>
      <w:r w:rsidR="00C121B0" w:rsidRPr="009E7AF6">
        <w:rPr>
          <w:rFonts w:ascii="Simplified Arabic" w:hAnsi="Simplified Arabic" w:cs="Simplified Arabic" w:hint="cs"/>
          <w:b/>
          <w:bCs/>
          <w:sz w:val="24"/>
          <w:szCs w:val="24"/>
          <w:rtl/>
        </w:rPr>
        <w:t xml:space="preserve">مشيا الى </w:t>
      </w:r>
      <w:r w:rsidR="00C121B0" w:rsidRPr="009E7AF6">
        <w:rPr>
          <w:rFonts w:ascii="Simplified Arabic" w:hAnsi="Simplified Arabic" w:cs="Simplified Arabic"/>
          <w:b/>
          <w:bCs/>
          <w:sz w:val="24"/>
          <w:szCs w:val="24"/>
          <w:rtl/>
        </w:rPr>
        <w:t>المرافق</w:t>
      </w:r>
      <w:r w:rsidR="00F14C48" w:rsidRPr="00F14C48">
        <w:rPr>
          <w:rFonts w:ascii="Simplified Arabic" w:hAnsi="Simplified Arabic" w:cs="Simplified Arabic" w:hint="cs"/>
          <w:b/>
          <w:bCs/>
          <w:sz w:val="24"/>
          <w:szCs w:val="24"/>
          <w:rtl/>
        </w:rPr>
        <w:t xml:space="preserve"> للحصول على الخدم</w:t>
      </w:r>
      <w:r w:rsidR="00F14C48">
        <w:rPr>
          <w:rFonts w:ascii="Simplified Arabic" w:hAnsi="Simplified Arabic" w:cs="Simplified Arabic" w:hint="cs"/>
          <w:b/>
          <w:bCs/>
          <w:sz w:val="24"/>
          <w:szCs w:val="24"/>
          <w:rtl/>
        </w:rPr>
        <w:t>ة</w:t>
      </w:r>
      <w:r w:rsidR="00C121B0" w:rsidRPr="009E7AF6">
        <w:rPr>
          <w:rFonts w:ascii="Simplified Arabic" w:hAnsi="Simplified Arabic" w:cs="Simplified Arabic"/>
          <w:b/>
          <w:bCs/>
          <w:sz w:val="24"/>
          <w:szCs w:val="24"/>
          <w:rtl/>
        </w:rPr>
        <w:t xml:space="preserve"> </w:t>
      </w:r>
    </w:p>
    <w:p w:rsidR="00C121B0" w:rsidRPr="009E7AF6" w:rsidRDefault="00C121B0" w:rsidP="00792532">
      <w:pPr>
        <w:bidi/>
        <w:spacing w:after="0"/>
        <w:ind w:firstLine="282"/>
        <w:jc w:val="both"/>
        <w:rPr>
          <w:rFonts w:ascii="Simplified Arabic" w:hAnsi="Simplified Arabic" w:cs="Simplified Arabic"/>
          <w:sz w:val="24"/>
          <w:szCs w:val="24"/>
          <w:rtl/>
        </w:rPr>
      </w:pPr>
      <w:r w:rsidRPr="009E7AF6">
        <w:rPr>
          <w:rFonts w:ascii="Simplified Arabic" w:hAnsi="Simplified Arabic" w:cs="Simplified Arabic" w:hint="cs"/>
          <w:sz w:val="24"/>
          <w:szCs w:val="24"/>
          <w:rtl/>
          <w:lang w:val="en-US"/>
        </w:rPr>
        <w:t>تم</w:t>
      </w:r>
      <w:r w:rsidRPr="009E7AF6">
        <w:rPr>
          <w:rFonts w:ascii="Simplified Arabic" w:hAnsi="Simplified Arabic" w:cs="Simplified Arabic"/>
          <w:sz w:val="24"/>
          <w:szCs w:val="24"/>
          <w:rtl/>
          <w:lang w:val="en-US"/>
        </w:rPr>
        <w:t xml:space="preserve"> </w:t>
      </w:r>
      <w:r w:rsidRPr="009E7AF6">
        <w:rPr>
          <w:rFonts w:ascii="Simplified Arabic" w:hAnsi="Simplified Arabic" w:cs="Simplified Arabic" w:hint="cs"/>
          <w:sz w:val="24"/>
          <w:szCs w:val="24"/>
          <w:rtl/>
          <w:lang w:val="en-US"/>
        </w:rPr>
        <w:t>طرح</w:t>
      </w:r>
      <w:r w:rsidRPr="009E7AF6">
        <w:rPr>
          <w:rFonts w:ascii="Simplified Arabic" w:hAnsi="Simplified Arabic" w:cs="Simplified Arabic"/>
          <w:sz w:val="24"/>
          <w:szCs w:val="24"/>
          <w:rtl/>
          <w:lang w:val="en-US"/>
        </w:rPr>
        <w:t xml:space="preserve"> </w:t>
      </w:r>
      <w:r w:rsidRPr="009E7AF6">
        <w:rPr>
          <w:rFonts w:ascii="Simplified Arabic" w:hAnsi="Simplified Arabic" w:cs="Simplified Arabic" w:hint="cs"/>
          <w:sz w:val="24"/>
          <w:szCs w:val="24"/>
          <w:rtl/>
          <w:lang w:val="en-US"/>
        </w:rPr>
        <w:t>سؤالا،</w:t>
      </w:r>
      <w:r>
        <w:rPr>
          <w:rFonts w:ascii="Simplified Arabic" w:hAnsi="Simplified Arabic" w:cs="Simplified Arabic" w:hint="cs"/>
          <w:sz w:val="24"/>
          <w:szCs w:val="24"/>
          <w:rtl/>
          <w:lang w:val="en-US"/>
        </w:rPr>
        <w:t xml:space="preserve"> </w:t>
      </w:r>
      <w:r w:rsidRPr="00A11B12">
        <w:rPr>
          <w:rFonts w:ascii="Simplified Arabic" w:hAnsi="Simplified Arabic" w:cs="Simplified Arabic" w:hint="cs"/>
          <w:sz w:val="24"/>
          <w:szCs w:val="24"/>
          <w:rtl/>
          <w:lang w:val="en-US"/>
        </w:rPr>
        <w:t xml:space="preserve">هل </w:t>
      </w:r>
      <w:r>
        <w:rPr>
          <w:rFonts w:ascii="Simplified Arabic" w:hAnsi="Simplified Arabic" w:cs="Simplified Arabic" w:hint="cs"/>
          <w:sz w:val="24"/>
          <w:szCs w:val="24"/>
          <w:rtl/>
          <w:lang w:val="en-US"/>
        </w:rPr>
        <w:t xml:space="preserve">تحس بالراحة اثناء </w:t>
      </w:r>
      <w:r w:rsidRPr="00A11B12">
        <w:rPr>
          <w:rFonts w:ascii="Simplified Arabic" w:hAnsi="Simplified Arabic" w:cs="Simplified Arabic" w:hint="cs"/>
          <w:sz w:val="24"/>
          <w:szCs w:val="24"/>
          <w:rtl/>
          <w:lang w:val="en-US"/>
        </w:rPr>
        <w:t>تنقلك</w:t>
      </w:r>
      <w:r w:rsidRPr="009E7AF6">
        <w:rPr>
          <w:rFonts w:ascii="Simplified Arabic" w:hAnsi="Simplified Arabic" w:cs="Simplified Arabic"/>
          <w:sz w:val="24"/>
          <w:szCs w:val="24"/>
          <w:rtl/>
        </w:rPr>
        <w:t xml:space="preserve"> </w:t>
      </w:r>
      <w:r w:rsidRPr="009E7AF6">
        <w:rPr>
          <w:rFonts w:ascii="Simplified Arabic" w:hAnsi="Simplified Arabic" w:cs="Simplified Arabic" w:hint="cs"/>
          <w:sz w:val="24"/>
          <w:szCs w:val="24"/>
          <w:rtl/>
        </w:rPr>
        <w:t xml:space="preserve">الى </w:t>
      </w:r>
      <w:r w:rsidRPr="009E7AF6">
        <w:rPr>
          <w:rFonts w:ascii="Simplified Arabic" w:hAnsi="Simplified Arabic" w:cs="Simplified Arabic"/>
          <w:sz w:val="24"/>
          <w:szCs w:val="24"/>
          <w:rtl/>
        </w:rPr>
        <w:t xml:space="preserve">المرافق </w:t>
      </w:r>
      <w:r w:rsidRPr="009E7AF6">
        <w:rPr>
          <w:rFonts w:ascii="Simplified Arabic" w:hAnsi="Simplified Arabic" w:cs="Simplified Arabic" w:hint="cs"/>
          <w:sz w:val="24"/>
          <w:szCs w:val="24"/>
          <w:rtl/>
        </w:rPr>
        <w:t>العمومية</w:t>
      </w:r>
      <w:r w:rsidRPr="00A11B12">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عبر شبكة </w:t>
      </w:r>
      <w:r w:rsidR="00792532">
        <w:rPr>
          <w:rFonts w:ascii="Simplified Arabic" w:hAnsi="Simplified Arabic" w:cs="Simplified Arabic" w:hint="cs"/>
          <w:sz w:val="24"/>
          <w:szCs w:val="24"/>
          <w:rtl/>
          <w:lang w:val="en-US"/>
        </w:rPr>
        <w:t>الطرق</w:t>
      </w:r>
      <w:r w:rsidRPr="009E7AF6">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في وقت حدوث ا</w:t>
      </w:r>
      <w:r w:rsidR="00D8341B">
        <w:rPr>
          <w:rFonts w:ascii="Simplified Arabic" w:hAnsi="Simplified Arabic" w:cs="Simplified Arabic"/>
          <w:sz w:val="24"/>
          <w:szCs w:val="24"/>
          <w:rtl/>
        </w:rPr>
        <w:t>لفيضانات</w:t>
      </w:r>
      <w:r w:rsidRPr="009E7AF6">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9E7AF6">
        <w:rPr>
          <w:rFonts w:ascii="Simplified Arabic" w:hAnsi="Simplified Arabic" w:cs="Simplified Arabic" w:hint="cs"/>
          <w:sz w:val="24"/>
          <w:szCs w:val="24"/>
          <w:rtl/>
        </w:rPr>
        <w:t>الهدف من السؤال، معرفة درجة احساس</w:t>
      </w:r>
      <w:r w:rsidR="00D8341B">
        <w:rPr>
          <w:rFonts w:ascii="Simplified Arabic" w:hAnsi="Simplified Arabic" w:cs="Simplified Arabic" w:hint="cs"/>
          <w:sz w:val="24"/>
          <w:szCs w:val="24"/>
          <w:rtl/>
        </w:rPr>
        <w:t xml:space="preserve"> سكان</w:t>
      </w:r>
      <w:r w:rsidRPr="009E7AF6">
        <w:rPr>
          <w:rFonts w:ascii="Simplified Arabic" w:hAnsi="Simplified Arabic" w:cs="Simplified Arabic" w:hint="cs"/>
          <w:sz w:val="24"/>
          <w:szCs w:val="24"/>
          <w:rtl/>
        </w:rPr>
        <w:t xml:space="preserve"> </w:t>
      </w:r>
      <w:r w:rsidR="00D8341B" w:rsidRPr="00710D6A">
        <w:rPr>
          <w:rFonts w:ascii="Simplified Arabic" w:hAnsi="Simplified Arabic" w:cs="Simplified Arabic" w:hint="cs"/>
          <w:sz w:val="24"/>
          <w:szCs w:val="24"/>
          <w:rtl/>
          <w:lang w:val="en-US"/>
        </w:rPr>
        <w:t>أحياء: سيدي سليمان، ميطر، الحمايد والباطن</w:t>
      </w:r>
      <w:r w:rsidR="00D8341B" w:rsidRPr="009E7AF6">
        <w:rPr>
          <w:rFonts w:ascii="Simplified Arabic" w:hAnsi="Simplified Arabic" w:cs="Simplified Arabic" w:hint="cs"/>
          <w:sz w:val="24"/>
          <w:szCs w:val="24"/>
          <w:rtl/>
        </w:rPr>
        <w:t xml:space="preserve"> </w:t>
      </w:r>
      <w:r w:rsidRPr="009E7AF6">
        <w:rPr>
          <w:rFonts w:ascii="Simplified Arabic" w:hAnsi="Simplified Arabic" w:cs="Simplified Arabic" w:hint="cs"/>
          <w:sz w:val="24"/>
          <w:szCs w:val="24"/>
          <w:rtl/>
        </w:rPr>
        <w:t>براحة</w:t>
      </w:r>
      <w:r w:rsidRPr="009E7AF6">
        <w:rPr>
          <w:rFonts w:ascii="Simplified Arabic" w:hAnsi="Simplified Arabic" w:cs="Simplified Arabic"/>
          <w:sz w:val="24"/>
          <w:szCs w:val="24"/>
          <w:rtl/>
        </w:rPr>
        <w:t xml:space="preserve"> </w:t>
      </w:r>
      <w:r w:rsidRPr="009E7AF6">
        <w:rPr>
          <w:rFonts w:ascii="Simplified Arabic" w:hAnsi="Simplified Arabic" w:cs="Simplified Arabic" w:hint="cs"/>
          <w:sz w:val="24"/>
          <w:szCs w:val="24"/>
          <w:rtl/>
        </w:rPr>
        <w:t>التنقل</w:t>
      </w:r>
      <w:r w:rsidRPr="009E7AF6">
        <w:rPr>
          <w:rFonts w:ascii="Simplified Arabic" w:hAnsi="Simplified Arabic" w:cs="Simplified Arabic"/>
          <w:sz w:val="24"/>
          <w:szCs w:val="24"/>
          <w:rtl/>
        </w:rPr>
        <w:t xml:space="preserve"> </w:t>
      </w:r>
      <w:r w:rsidRPr="009E7AF6">
        <w:rPr>
          <w:rFonts w:ascii="Simplified Arabic" w:hAnsi="Simplified Arabic" w:cs="Simplified Arabic" w:hint="cs"/>
          <w:sz w:val="24"/>
          <w:szCs w:val="24"/>
          <w:rtl/>
        </w:rPr>
        <w:t xml:space="preserve">مشيا الى </w:t>
      </w:r>
      <w:r w:rsidRPr="009E7AF6">
        <w:rPr>
          <w:rFonts w:ascii="Simplified Arabic" w:hAnsi="Simplified Arabic" w:cs="Simplified Arabic"/>
          <w:sz w:val="24"/>
          <w:szCs w:val="24"/>
          <w:rtl/>
        </w:rPr>
        <w:t xml:space="preserve">المرافق </w:t>
      </w:r>
      <w:r w:rsidR="004E41AE">
        <w:rPr>
          <w:rFonts w:ascii="Simplified Arabic" w:hAnsi="Simplified Arabic" w:cs="Simplified Arabic" w:hint="cs"/>
          <w:sz w:val="24"/>
          <w:szCs w:val="24"/>
          <w:rtl/>
        </w:rPr>
        <w:t>عبر تقاطعات شبكة الطرق</w:t>
      </w:r>
      <w:r w:rsidR="004E41AE" w:rsidRPr="009E7AF6">
        <w:rPr>
          <w:rFonts w:ascii="Simplified Arabic" w:hAnsi="Simplified Arabic" w:cs="Simplified Arabic" w:hint="cs"/>
          <w:sz w:val="24"/>
          <w:szCs w:val="24"/>
          <w:rtl/>
        </w:rPr>
        <w:t xml:space="preserve"> </w:t>
      </w:r>
      <w:r w:rsidRPr="009E7AF6">
        <w:rPr>
          <w:rFonts w:ascii="Simplified Arabic" w:hAnsi="Simplified Arabic" w:cs="Simplified Arabic" w:hint="cs"/>
          <w:sz w:val="24"/>
          <w:szCs w:val="24"/>
          <w:rtl/>
        </w:rPr>
        <w:t>وقت ا</w:t>
      </w:r>
      <w:r w:rsidRPr="009E7AF6">
        <w:rPr>
          <w:rFonts w:ascii="Simplified Arabic" w:hAnsi="Simplified Arabic" w:cs="Simplified Arabic"/>
          <w:sz w:val="24"/>
          <w:szCs w:val="24"/>
          <w:rtl/>
        </w:rPr>
        <w:t>لفيضانات</w:t>
      </w:r>
      <w:r w:rsidRPr="009E7AF6">
        <w:rPr>
          <w:rFonts w:ascii="Simplified Arabic" w:hAnsi="Simplified Arabic" w:cs="Simplified Arabic" w:hint="cs"/>
          <w:sz w:val="24"/>
          <w:szCs w:val="24"/>
          <w:rtl/>
        </w:rPr>
        <w:t>.</w:t>
      </w:r>
    </w:p>
    <w:p w:rsidR="00C121B0" w:rsidRDefault="004E41AE" w:rsidP="009716FB">
      <w:pPr>
        <w:bidi/>
        <w:spacing w:after="0"/>
        <w:ind w:firstLine="282"/>
        <w:jc w:val="both"/>
        <w:rPr>
          <w:rFonts w:ascii="Simplified Arabic" w:hAnsi="Simplified Arabic" w:cs="Simplified Arabic"/>
          <w:color w:val="000000" w:themeColor="text1"/>
          <w:sz w:val="24"/>
          <w:szCs w:val="24"/>
          <w:rtl/>
        </w:rPr>
      </w:pPr>
      <w:r>
        <w:rPr>
          <w:rFonts w:ascii="Simplified Arabic" w:hAnsi="Simplified Arabic" w:cs="Simplified Arabic" w:hint="cs"/>
          <w:color w:val="000000" w:themeColor="text1"/>
          <w:sz w:val="24"/>
          <w:szCs w:val="24"/>
          <w:rtl/>
          <w:lang w:val="en-US"/>
        </w:rPr>
        <w:t xml:space="preserve">من خلال الشكل (5-19)، </w:t>
      </w:r>
      <w:r w:rsidRPr="0004309B">
        <w:rPr>
          <w:rFonts w:ascii="Simplified Arabic" w:hAnsi="Simplified Arabic" w:cs="Simplified Arabic" w:hint="cs"/>
          <w:color w:val="000000" w:themeColor="text1"/>
          <w:sz w:val="24"/>
          <w:szCs w:val="24"/>
          <w:rtl/>
          <w:lang w:val="en-US"/>
        </w:rPr>
        <w:t xml:space="preserve">اظهرت اغلب </w:t>
      </w:r>
      <w:r>
        <w:rPr>
          <w:rFonts w:ascii="Simplified Arabic" w:hAnsi="Simplified Arabic" w:cs="Simplified Arabic" w:hint="cs"/>
          <w:color w:val="000000" w:themeColor="text1"/>
          <w:sz w:val="24"/>
          <w:szCs w:val="24"/>
          <w:rtl/>
          <w:lang w:val="en-US"/>
        </w:rPr>
        <w:t>الردود المعبرة لأفراد عينة البحث ب</w:t>
      </w:r>
      <w:r w:rsidRPr="00710D6A">
        <w:rPr>
          <w:rFonts w:ascii="Simplified Arabic" w:hAnsi="Simplified Arabic" w:cs="Simplified Arabic" w:hint="cs"/>
          <w:sz w:val="24"/>
          <w:szCs w:val="24"/>
          <w:rtl/>
          <w:lang w:val="en-US"/>
        </w:rPr>
        <w:t>أحياء: سيدي سليمان، الحمايد والباطن</w:t>
      </w:r>
      <w:r>
        <w:rPr>
          <w:rFonts w:ascii="Simplified Arabic" w:hAnsi="Simplified Arabic" w:cs="Simplified Arabic" w:hint="cs"/>
          <w:sz w:val="24"/>
          <w:szCs w:val="24"/>
          <w:rtl/>
          <w:lang w:val="en-US"/>
        </w:rPr>
        <w:t xml:space="preserve"> </w:t>
      </w:r>
      <w:r>
        <w:rPr>
          <w:rFonts w:ascii="Simplified Arabic" w:hAnsi="Simplified Arabic" w:cs="Simplified Arabic" w:hint="cs"/>
          <w:color w:val="000000" w:themeColor="text1"/>
          <w:sz w:val="24"/>
          <w:szCs w:val="24"/>
          <w:rtl/>
        </w:rPr>
        <w:t xml:space="preserve">على </w:t>
      </w:r>
      <w:r w:rsidRPr="0004309B">
        <w:rPr>
          <w:rFonts w:ascii="Simplified Arabic" w:hAnsi="Simplified Arabic" w:cs="Simplified Arabic" w:hint="cs"/>
          <w:color w:val="000000" w:themeColor="text1"/>
          <w:sz w:val="24"/>
          <w:szCs w:val="24"/>
          <w:rtl/>
          <w:lang w:val="en-US"/>
        </w:rPr>
        <w:t xml:space="preserve">ان </w:t>
      </w:r>
      <w:r>
        <w:rPr>
          <w:rFonts w:ascii="Simplified Arabic" w:hAnsi="Simplified Arabic" w:cs="Simplified Arabic" w:hint="cs"/>
          <w:color w:val="000000" w:themeColor="text1"/>
          <w:sz w:val="24"/>
          <w:szCs w:val="24"/>
          <w:rtl/>
          <w:lang w:val="en-US"/>
        </w:rPr>
        <w:t xml:space="preserve">التنقل </w:t>
      </w:r>
      <w:r w:rsidRPr="009E7AF6">
        <w:rPr>
          <w:rFonts w:ascii="Simplified Arabic" w:hAnsi="Simplified Arabic" w:cs="Simplified Arabic" w:hint="cs"/>
          <w:sz w:val="24"/>
          <w:szCs w:val="24"/>
          <w:rtl/>
        </w:rPr>
        <w:t xml:space="preserve">مشيا الى </w:t>
      </w:r>
      <w:r w:rsidRPr="009E7AF6">
        <w:rPr>
          <w:rFonts w:ascii="Simplified Arabic" w:hAnsi="Simplified Arabic" w:cs="Simplified Arabic"/>
          <w:sz w:val="24"/>
          <w:szCs w:val="24"/>
          <w:rtl/>
        </w:rPr>
        <w:t xml:space="preserve">المرافق </w:t>
      </w:r>
      <w:r>
        <w:rPr>
          <w:rFonts w:ascii="Simplified Arabic" w:hAnsi="Simplified Arabic" w:cs="Simplified Arabic" w:hint="cs"/>
          <w:sz w:val="24"/>
          <w:szCs w:val="24"/>
          <w:rtl/>
        </w:rPr>
        <w:t>عبر تقاطعات شبكة الطرق</w:t>
      </w:r>
      <w:r w:rsidRPr="009E7AF6">
        <w:rPr>
          <w:rFonts w:ascii="Simplified Arabic" w:hAnsi="Simplified Arabic" w:cs="Simplified Arabic" w:hint="cs"/>
          <w:sz w:val="24"/>
          <w:szCs w:val="24"/>
          <w:rtl/>
        </w:rPr>
        <w:t xml:space="preserve"> وقت ا</w:t>
      </w:r>
      <w:r w:rsidRPr="009E7AF6">
        <w:rPr>
          <w:rFonts w:ascii="Simplified Arabic" w:hAnsi="Simplified Arabic" w:cs="Simplified Arabic"/>
          <w:sz w:val="24"/>
          <w:szCs w:val="24"/>
          <w:rtl/>
        </w:rPr>
        <w:t>لفيضانات</w:t>
      </w:r>
      <w:r>
        <w:rPr>
          <w:rFonts w:ascii="Simplified Arabic" w:hAnsi="Simplified Arabic" w:cs="Simplified Arabic" w:hint="cs"/>
          <w:color w:val="000000" w:themeColor="text1"/>
          <w:sz w:val="24"/>
          <w:szCs w:val="24"/>
          <w:rtl/>
          <w:lang w:val="en-US"/>
        </w:rPr>
        <w:t xml:space="preserve"> </w:t>
      </w:r>
      <w:r w:rsidR="00B72D62">
        <w:rPr>
          <w:rFonts w:ascii="Simplified Arabic" w:hAnsi="Simplified Arabic" w:cs="Simplified Arabic" w:hint="cs"/>
          <w:color w:val="000000" w:themeColor="text1"/>
          <w:sz w:val="24"/>
          <w:szCs w:val="24"/>
          <w:rtl/>
          <w:lang w:val="en-US"/>
        </w:rPr>
        <w:t>مريح</w:t>
      </w:r>
      <w:r>
        <w:rPr>
          <w:rFonts w:ascii="Simplified Arabic" w:hAnsi="Simplified Arabic" w:cs="Simplified Arabic" w:hint="cs"/>
          <w:color w:val="000000" w:themeColor="text1"/>
          <w:sz w:val="24"/>
          <w:szCs w:val="24"/>
          <w:rtl/>
          <w:lang w:val="en-US"/>
        </w:rPr>
        <w:t>، حيث كانت النسب</w:t>
      </w:r>
      <w:r w:rsidRPr="0004309B">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 xml:space="preserve">على </w:t>
      </w:r>
      <w:r w:rsidRPr="00710D6A">
        <w:rPr>
          <w:rFonts w:ascii="Simplified Arabic" w:hAnsi="Simplified Arabic" w:cs="Simplified Arabic" w:hint="cs"/>
          <w:sz w:val="24"/>
          <w:szCs w:val="24"/>
          <w:rtl/>
          <w:lang w:val="en-US"/>
        </w:rPr>
        <w:t xml:space="preserve">التوالي: </w:t>
      </w:r>
      <w:r w:rsidR="006D2713">
        <w:rPr>
          <w:rFonts w:ascii="Simplified Arabic" w:hAnsi="Simplified Arabic" w:cs="Simplified Arabic"/>
          <w:sz w:val="24"/>
          <w:szCs w:val="24"/>
          <w:lang w:val="en-US"/>
        </w:rPr>
        <w:t>53</w:t>
      </w:r>
      <w:r w:rsidRPr="00710D6A">
        <w:rPr>
          <w:rFonts w:ascii="Simplified Arabic" w:hAnsi="Simplified Arabic" w:cs="Simplified Arabic"/>
          <w:sz w:val="24"/>
          <w:szCs w:val="24"/>
          <w:lang w:val="en-US"/>
        </w:rPr>
        <w:t>,</w:t>
      </w:r>
      <w:r w:rsidR="006D2713">
        <w:rPr>
          <w:rFonts w:ascii="Simplified Arabic" w:hAnsi="Simplified Arabic" w:cs="Simplified Arabic"/>
          <w:sz w:val="24"/>
          <w:szCs w:val="24"/>
          <w:lang w:val="en-US"/>
        </w:rPr>
        <w:t>25</w:t>
      </w:r>
      <w:r w:rsidRPr="00710D6A">
        <w:rPr>
          <w:rFonts w:ascii="Simplified Arabic" w:hAnsi="Simplified Arabic" w:cs="Simplified Arabic"/>
          <w:sz w:val="24"/>
          <w:szCs w:val="24"/>
          <w:rtl/>
          <w:lang w:val="en-US"/>
        </w:rPr>
        <w:t>٪</w:t>
      </w:r>
      <w:r w:rsidRPr="00710D6A">
        <w:rPr>
          <w:rFonts w:ascii="Simplified Arabic" w:hAnsi="Simplified Arabic" w:cs="Simplified Arabic" w:hint="cs"/>
          <w:sz w:val="24"/>
          <w:szCs w:val="24"/>
          <w:rtl/>
          <w:lang w:val="en-US"/>
        </w:rPr>
        <w:t xml:space="preserve">، </w:t>
      </w:r>
      <w:r w:rsidR="006D2713">
        <w:rPr>
          <w:rFonts w:ascii="Simplified Arabic" w:hAnsi="Simplified Arabic" w:cs="Simplified Arabic"/>
          <w:sz w:val="24"/>
          <w:szCs w:val="24"/>
          <w:lang w:val="en-US"/>
        </w:rPr>
        <w:t>76</w:t>
      </w:r>
      <w:r w:rsidRPr="00710D6A">
        <w:rPr>
          <w:rFonts w:ascii="Simplified Arabic" w:hAnsi="Simplified Arabic" w:cs="Simplified Arabic"/>
          <w:sz w:val="24"/>
          <w:szCs w:val="24"/>
          <w:lang w:val="en-US"/>
        </w:rPr>
        <w:t>,</w:t>
      </w:r>
      <w:r w:rsidR="006D2713">
        <w:rPr>
          <w:rFonts w:ascii="Simplified Arabic" w:hAnsi="Simplified Arabic" w:cs="Simplified Arabic"/>
          <w:sz w:val="24"/>
          <w:szCs w:val="24"/>
          <w:lang w:val="en-US"/>
        </w:rPr>
        <w:t>36</w:t>
      </w:r>
      <w:r w:rsidRPr="00710D6A">
        <w:rPr>
          <w:rFonts w:ascii="Simplified Arabic" w:hAnsi="Simplified Arabic" w:cs="Simplified Arabic"/>
          <w:sz w:val="24"/>
          <w:szCs w:val="24"/>
          <w:rtl/>
          <w:lang w:val="en-US"/>
        </w:rPr>
        <w:t>٪</w:t>
      </w:r>
      <w:r w:rsidRPr="00710D6A">
        <w:rPr>
          <w:rFonts w:ascii="Simplified Arabic" w:hAnsi="Simplified Arabic" w:cs="Simplified Arabic" w:hint="cs"/>
          <w:sz w:val="24"/>
          <w:szCs w:val="24"/>
          <w:rtl/>
          <w:lang w:val="en-US"/>
        </w:rPr>
        <w:t xml:space="preserve">، </w:t>
      </w:r>
      <w:r w:rsidR="006D2713">
        <w:rPr>
          <w:rFonts w:ascii="Simplified Arabic" w:hAnsi="Simplified Arabic" w:cs="Simplified Arabic"/>
          <w:sz w:val="24"/>
          <w:szCs w:val="24"/>
          <w:lang w:val="en-US"/>
        </w:rPr>
        <w:t>70</w:t>
      </w:r>
      <w:r w:rsidRPr="00710D6A">
        <w:rPr>
          <w:rFonts w:ascii="Simplified Arabic" w:hAnsi="Simplified Arabic" w:cs="Simplified Arabic"/>
          <w:sz w:val="24"/>
          <w:szCs w:val="24"/>
          <w:lang w:val="en-US"/>
        </w:rPr>
        <w:t>,</w:t>
      </w:r>
      <w:r w:rsidR="006D2713">
        <w:rPr>
          <w:rFonts w:ascii="Simplified Arabic" w:hAnsi="Simplified Arabic" w:cs="Simplified Arabic"/>
          <w:sz w:val="24"/>
          <w:szCs w:val="24"/>
          <w:lang w:val="en-US"/>
        </w:rPr>
        <w:t>23</w:t>
      </w:r>
      <w:r w:rsidRPr="00710D6A">
        <w:rPr>
          <w:rFonts w:ascii="Simplified Arabic" w:hAnsi="Simplified Arabic" w:cs="Simplified Arabic"/>
          <w:sz w:val="24"/>
          <w:szCs w:val="24"/>
          <w:rtl/>
          <w:lang w:val="en-US"/>
        </w:rPr>
        <w:t>٪</w:t>
      </w:r>
      <w:r w:rsidRPr="00710D6A">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يقابلها</w:t>
      </w:r>
      <w:r w:rsidRPr="009F772D">
        <w:rPr>
          <w:rFonts w:ascii="Simplified Arabic" w:hAnsi="Simplified Arabic" w:cs="Simplified Arabic" w:hint="cs"/>
          <w:sz w:val="24"/>
          <w:szCs w:val="24"/>
          <w:rtl/>
          <w:lang w:val="en-US"/>
        </w:rPr>
        <w:t xml:space="preserve"> </w:t>
      </w:r>
      <w:r w:rsidRPr="00F14C48">
        <w:rPr>
          <w:rFonts w:ascii="Simplified Arabic" w:hAnsi="Simplified Arabic" w:cs="Simplified Arabic" w:hint="cs"/>
          <w:sz w:val="24"/>
          <w:szCs w:val="24"/>
          <w:rtl/>
          <w:lang w:val="en-US"/>
        </w:rPr>
        <w:t xml:space="preserve">على التوالي </w:t>
      </w:r>
      <w:r w:rsidR="006D2713" w:rsidRPr="00F14C48">
        <w:rPr>
          <w:rFonts w:ascii="Simplified Arabic" w:hAnsi="Simplified Arabic" w:cs="Simplified Arabic"/>
          <w:sz w:val="24"/>
          <w:szCs w:val="24"/>
          <w:lang w:val="en-US"/>
        </w:rPr>
        <w:t>205</w:t>
      </w:r>
      <w:r w:rsidRPr="00F14C48">
        <w:rPr>
          <w:rFonts w:ascii="Simplified Arabic" w:hAnsi="Simplified Arabic" w:cs="Simplified Arabic" w:hint="cs"/>
          <w:sz w:val="24"/>
          <w:szCs w:val="24"/>
          <w:rtl/>
          <w:lang w:val="en-US"/>
        </w:rPr>
        <w:t xml:space="preserve">، </w:t>
      </w:r>
      <w:r w:rsidR="006D2713" w:rsidRPr="00F14C48">
        <w:rPr>
          <w:rFonts w:ascii="Simplified Arabic" w:hAnsi="Simplified Arabic" w:cs="Simplified Arabic"/>
          <w:sz w:val="24"/>
          <w:szCs w:val="24"/>
          <w:lang w:val="en-US"/>
        </w:rPr>
        <w:t>294</w:t>
      </w:r>
      <w:r w:rsidRPr="00F14C48">
        <w:rPr>
          <w:rFonts w:ascii="Simplified Arabic" w:hAnsi="Simplified Arabic" w:cs="Simplified Arabic" w:hint="cs"/>
          <w:sz w:val="24"/>
          <w:szCs w:val="24"/>
          <w:rtl/>
          <w:lang w:val="en-US"/>
        </w:rPr>
        <w:t xml:space="preserve">، </w:t>
      </w:r>
      <w:r w:rsidR="006D2713" w:rsidRPr="00F14C48">
        <w:rPr>
          <w:rFonts w:ascii="Simplified Arabic" w:hAnsi="Simplified Arabic" w:cs="Simplified Arabic"/>
          <w:sz w:val="24"/>
          <w:szCs w:val="24"/>
          <w:lang w:val="en-US"/>
        </w:rPr>
        <w:t>312</w:t>
      </w:r>
      <w:r w:rsidRPr="00F14C48">
        <w:rPr>
          <w:rFonts w:ascii="Simplified Arabic" w:hAnsi="Simplified Arabic" w:cs="Simplified Arabic" w:hint="cs"/>
          <w:sz w:val="24"/>
          <w:szCs w:val="24"/>
          <w:rtl/>
          <w:lang w:val="en-US"/>
        </w:rPr>
        <w:t xml:space="preserve"> مفردة من العينة.</w:t>
      </w:r>
      <w:r w:rsidRPr="00F14C48">
        <w:rPr>
          <w:rFonts w:ascii="Simplified Arabic" w:hAnsi="Simplified Arabic" w:cs="Simplified Arabic" w:hint="cs"/>
          <w:color w:val="000000" w:themeColor="text1"/>
          <w:sz w:val="24"/>
          <w:szCs w:val="24"/>
          <w:rtl/>
          <w:lang w:val="en-US" w:bidi="ar-DZ"/>
        </w:rPr>
        <w:t xml:space="preserve"> </w:t>
      </w:r>
      <w:r w:rsidR="00F14C48" w:rsidRPr="001D3E3A">
        <w:rPr>
          <w:rFonts w:ascii="Simplified Arabic" w:hAnsi="Simplified Arabic" w:cs="Simplified Arabic" w:hint="cs"/>
          <w:color w:val="000000" w:themeColor="text1"/>
          <w:sz w:val="24"/>
          <w:szCs w:val="24"/>
          <w:rtl/>
          <w:lang w:val="en-US"/>
        </w:rPr>
        <w:t xml:space="preserve">هذا راجع الى </w:t>
      </w:r>
      <w:r w:rsidR="00F14C48" w:rsidRPr="001D3E3A">
        <w:rPr>
          <w:rFonts w:ascii="Simplified Arabic" w:hAnsi="Simplified Arabic" w:cs="Simplified Arabic" w:hint="cs"/>
          <w:sz w:val="24"/>
          <w:szCs w:val="24"/>
          <w:rtl/>
          <w:lang w:val="en-US"/>
        </w:rPr>
        <w:t>ان</w:t>
      </w:r>
      <w:r w:rsidR="00F14C48" w:rsidRPr="001D3E3A">
        <w:rPr>
          <w:rFonts w:ascii="Simplified Arabic" w:hAnsi="Simplified Arabic" w:cs="Simplified Arabic"/>
          <w:sz w:val="24"/>
          <w:szCs w:val="24"/>
          <w:rtl/>
          <w:lang w:val="en-US"/>
        </w:rPr>
        <w:t xml:space="preserve"> </w:t>
      </w:r>
      <w:r w:rsidR="00F14C48" w:rsidRPr="001D3E3A">
        <w:rPr>
          <w:rFonts w:ascii="Simplified Arabic" w:hAnsi="Simplified Arabic" w:cs="Simplified Arabic" w:hint="cs"/>
          <w:sz w:val="24"/>
          <w:szCs w:val="24"/>
          <w:rtl/>
          <w:lang w:val="en-US"/>
        </w:rPr>
        <w:t>شبكة</w:t>
      </w:r>
      <w:r w:rsidR="00F14C48" w:rsidRPr="001D3E3A">
        <w:rPr>
          <w:rFonts w:ascii="Simplified Arabic" w:hAnsi="Simplified Arabic" w:cs="Simplified Arabic"/>
          <w:sz w:val="24"/>
          <w:szCs w:val="24"/>
          <w:rtl/>
          <w:lang w:val="en-US"/>
        </w:rPr>
        <w:t xml:space="preserve"> </w:t>
      </w:r>
      <w:r w:rsidR="00F14C48" w:rsidRPr="001D3E3A">
        <w:rPr>
          <w:rFonts w:ascii="Simplified Arabic" w:hAnsi="Simplified Arabic" w:cs="Simplified Arabic" w:hint="cs"/>
          <w:sz w:val="24"/>
          <w:szCs w:val="24"/>
          <w:rtl/>
          <w:lang w:val="en-US"/>
        </w:rPr>
        <w:t>الطرق</w:t>
      </w:r>
      <w:r w:rsidR="00F14C48" w:rsidRPr="001D3E3A">
        <w:rPr>
          <w:rFonts w:ascii="Simplified Arabic" w:hAnsi="Simplified Arabic" w:cs="Simplified Arabic"/>
          <w:sz w:val="24"/>
          <w:szCs w:val="24"/>
          <w:rtl/>
          <w:lang w:val="en-US"/>
        </w:rPr>
        <w:t xml:space="preserve"> </w:t>
      </w:r>
      <w:r w:rsidR="00F14C48" w:rsidRPr="001D3E3A">
        <w:rPr>
          <w:rFonts w:ascii="Simplified Arabic" w:hAnsi="Simplified Arabic" w:cs="Simplified Arabic" w:hint="cs"/>
          <w:sz w:val="24"/>
          <w:szCs w:val="24"/>
          <w:rtl/>
          <w:lang w:val="en-US"/>
        </w:rPr>
        <w:t>التي</w:t>
      </w:r>
      <w:r w:rsidR="00F14C48" w:rsidRPr="001D3E3A">
        <w:rPr>
          <w:rFonts w:ascii="Simplified Arabic" w:hAnsi="Simplified Arabic" w:cs="Simplified Arabic"/>
          <w:sz w:val="24"/>
          <w:szCs w:val="24"/>
          <w:rtl/>
          <w:lang w:val="en-US"/>
        </w:rPr>
        <w:t xml:space="preserve"> </w:t>
      </w:r>
      <w:r w:rsidR="00F14C48" w:rsidRPr="001D3E3A">
        <w:rPr>
          <w:rFonts w:ascii="Simplified Arabic" w:hAnsi="Simplified Arabic" w:cs="Simplified Arabic" w:hint="cs"/>
          <w:sz w:val="24"/>
          <w:szCs w:val="24"/>
          <w:rtl/>
          <w:lang w:val="en-US"/>
        </w:rPr>
        <w:t>تؤمن</w:t>
      </w:r>
      <w:r w:rsidR="00F14C48" w:rsidRPr="001D3E3A">
        <w:rPr>
          <w:rFonts w:ascii="Simplified Arabic" w:hAnsi="Simplified Arabic" w:cs="Simplified Arabic"/>
          <w:sz w:val="24"/>
          <w:szCs w:val="24"/>
          <w:rtl/>
          <w:lang w:val="en-US"/>
        </w:rPr>
        <w:t xml:space="preserve"> </w:t>
      </w:r>
      <w:r w:rsidR="00F14C48" w:rsidRPr="001D3E3A">
        <w:rPr>
          <w:rFonts w:ascii="Simplified Arabic" w:hAnsi="Simplified Arabic" w:cs="Simplified Arabic" w:hint="cs"/>
          <w:sz w:val="24"/>
          <w:szCs w:val="24"/>
          <w:rtl/>
          <w:lang w:val="en-US"/>
        </w:rPr>
        <w:t>المساكن</w:t>
      </w:r>
      <w:r w:rsidR="00F14C48" w:rsidRPr="001D3E3A">
        <w:rPr>
          <w:rFonts w:ascii="Simplified Arabic" w:hAnsi="Simplified Arabic" w:cs="Simplified Arabic"/>
          <w:sz w:val="24"/>
          <w:szCs w:val="24"/>
          <w:rtl/>
          <w:lang w:val="en-US"/>
        </w:rPr>
        <w:t xml:space="preserve"> </w:t>
      </w:r>
      <w:r w:rsidR="00F14C48">
        <w:rPr>
          <w:rFonts w:ascii="Simplified Arabic" w:hAnsi="Simplified Arabic" w:cs="Simplified Arabic" w:hint="cs"/>
          <w:sz w:val="24"/>
          <w:szCs w:val="24"/>
          <w:rtl/>
          <w:lang w:val="en-US"/>
        </w:rPr>
        <w:t xml:space="preserve">هي عبارة عن </w:t>
      </w:r>
      <w:r w:rsidR="00F14C48" w:rsidRPr="001D3E3A">
        <w:rPr>
          <w:rFonts w:ascii="Simplified Arabic" w:hAnsi="Simplified Arabic" w:cs="Simplified Arabic" w:hint="cs"/>
          <w:sz w:val="24"/>
          <w:szCs w:val="24"/>
          <w:rtl/>
          <w:lang w:val="en-US"/>
        </w:rPr>
        <w:t>شبكة</w:t>
      </w:r>
      <w:r w:rsidR="00F14C48" w:rsidRPr="001D3E3A">
        <w:rPr>
          <w:rFonts w:ascii="Simplified Arabic" w:hAnsi="Simplified Arabic" w:cs="Simplified Arabic"/>
          <w:sz w:val="24"/>
          <w:szCs w:val="24"/>
          <w:rtl/>
          <w:lang w:val="en-US"/>
        </w:rPr>
        <w:t xml:space="preserve"> </w:t>
      </w:r>
      <w:r w:rsidR="00F14C48" w:rsidRPr="001D3E3A">
        <w:rPr>
          <w:rFonts w:ascii="Simplified Arabic" w:hAnsi="Simplified Arabic" w:cs="Simplified Arabic" w:hint="cs"/>
          <w:sz w:val="24"/>
          <w:szCs w:val="24"/>
          <w:rtl/>
          <w:lang w:val="en-US"/>
        </w:rPr>
        <w:t xml:space="preserve">طرق </w:t>
      </w:r>
      <w:r w:rsidR="00F14C48">
        <w:rPr>
          <w:rFonts w:ascii="Simplified Arabic" w:hAnsi="Simplified Arabic" w:cs="Simplified Arabic" w:hint="cs"/>
          <w:sz w:val="24"/>
          <w:szCs w:val="24"/>
          <w:rtl/>
          <w:lang w:val="en-US"/>
        </w:rPr>
        <w:t>شطرنجية</w:t>
      </w:r>
      <w:r w:rsidR="00F14C48" w:rsidRPr="001D3E3A">
        <w:rPr>
          <w:rFonts w:ascii="Simplified Arabic" w:hAnsi="Simplified Arabic" w:cs="Simplified Arabic" w:hint="cs"/>
          <w:sz w:val="24"/>
          <w:szCs w:val="24"/>
          <w:rtl/>
          <w:lang w:val="en-US"/>
        </w:rPr>
        <w:t xml:space="preserve">، تميل الى ان تكون </w:t>
      </w:r>
      <w:r w:rsidR="00F14C48">
        <w:rPr>
          <w:rFonts w:ascii="Simplified Arabic" w:hAnsi="Simplified Arabic" w:cs="Simplified Arabic" w:hint="cs"/>
          <w:sz w:val="24"/>
          <w:szCs w:val="24"/>
          <w:rtl/>
          <w:lang w:val="en-US"/>
        </w:rPr>
        <w:t>واسعة و</w:t>
      </w:r>
      <w:r w:rsidR="009716FB">
        <w:rPr>
          <w:rFonts w:ascii="Simplified Arabic" w:hAnsi="Simplified Arabic" w:cs="Simplified Arabic" w:hint="cs"/>
          <w:sz w:val="24"/>
          <w:szCs w:val="24"/>
          <w:rtl/>
          <w:lang w:val="en-US"/>
        </w:rPr>
        <w:t>كثافة تقاطعات</w:t>
      </w:r>
      <w:r w:rsidR="00F14C48">
        <w:rPr>
          <w:rFonts w:ascii="Simplified Arabic" w:hAnsi="Simplified Arabic" w:cs="Simplified Arabic" w:hint="cs"/>
          <w:sz w:val="24"/>
          <w:szCs w:val="24"/>
          <w:rtl/>
          <w:lang w:val="en-US"/>
        </w:rPr>
        <w:t xml:space="preserve"> الطرق مرتفع والى ان المسافة بين نقاط تقاطعات الطرق قصيرة</w:t>
      </w:r>
      <w:r w:rsidR="00F14C48" w:rsidRPr="001D3E3A">
        <w:rPr>
          <w:rFonts w:ascii="Simplified Arabic" w:hAnsi="Simplified Arabic" w:cs="Simplified Arabic" w:hint="cs"/>
          <w:color w:val="000000" w:themeColor="text1"/>
          <w:sz w:val="24"/>
          <w:szCs w:val="24"/>
          <w:rtl/>
        </w:rPr>
        <w:t>.</w:t>
      </w:r>
      <w:r w:rsidR="00F14C48">
        <w:rPr>
          <w:rFonts w:ascii="Simplified Arabic" w:hAnsi="Simplified Arabic" w:cs="Simplified Arabic" w:hint="cs"/>
          <w:color w:val="000000" w:themeColor="text1"/>
          <w:sz w:val="24"/>
          <w:szCs w:val="24"/>
          <w:rtl/>
        </w:rPr>
        <w:t xml:space="preserve"> </w:t>
      </w:r>
      <w:r w:rsidR="006D2713" w:rsidRPr="00F14C48">
        <w:rPr>
          <w:rFonts w:ascii="Simplified Arabic" w:hAnsi="Simplified Arabic" w:cs="Simplified Arabic" w:hint="cs"/>
          <w:color w:val="000000" w:themeColor="text1"/>
          <w:sz w:val="24"/>
          <w:szCs w:val="24"/>
          <w:rtl/>
          <w:lang w:val="en-US" w:bidi="ar-DZ"/>
        </w:rPr>
        <w:t xml:space="preserve">بينما </w:t>
      </w:r>
      <w:r w:rsidR="00204FD6" w:rsidRPr="00F14C48">
        <w:rPr>
          <w:rFonts w:ascii="Simplified Arabic" w:hAnsi="Simplified Arabic" w:cs="Simplified Arabic" w:hint="cs"/>
          <w:color w:val="000000" w:themeColor="text1"/>
          <w:sz w:val="24"/>
          <w:szCs w:val="24"/>
          <w:rtl/>
          <w:lang w:val="en-US" w:bidi="ar-DZ"/>
        </w:rPr>
        <w:t xml:space="preserve">كانت </w:t>
      </w:r>
      <w:r w:rsidR="006D2713" w:rsidRPr="00F14C48">
        <w:rPr>
          <w:rFonts w:ascii="Simplified Arabic" w:hAnsi="Simplified Arabic" w:cs="Simplified Arabic" w:hint="cs"/>
          <w:color w:val="000000" w:themeColor="text1"/>
          <w:sz w:val="24"/>
          <w:szCs w:val="24"/>
          <w:rtl/>
          <w:lang w:val="en-US" w:bidi="ar-DZ"/>
        </w:rPr>
        <w:t xml:space="preserve">اغلب </w:t>
      </w:r>
      <w:r w:rsidRPr="00F14C48">
        <w:rPr>
          <w:rFonts w:ascii="Simplified Arabic" w:hAnsi="Simplified Arabic" w:cs="Simplified Arabic" w:hint="cs"/>
          <w:color w:val="000000" w:themeColor="text1"/>
          <w:sz w:val="24"/>
          <w:szCs w:val="24"/>
          <w:rtl/>
          <w:lang w:val="en-US"/>
        </w:rPr>
        <w:t xml:space="preserve">الردود المعبرة </w:t>
      </w:r>
      <w:r w:rsidRPr="00F14C48">
        <w:rPr>
          <w:rFonts w:ascii="Simplified Arabic" w:hAnsi="Simplified Arabic" w:cs="Simplified Arabic" w:hint="cs"/>
          <w:color w:val="000000" w:themeColor="text1"/>
          <w:sz w:val="24"/>
          <w:szCs w:val="24"/>
          <w:rtl/>
        </w:rPr>
        <w:t xml:space="preserve">على </w:t>
      </w:r>
      <w:r w:rsidRPr="00F14C48">
        <w:rPr>
          <w:rFonts w:ascii="Simplified Arabic" w:hAnsi="Simplified Arabic" w:cs="Simplified Arabic" w:hint="cs"/>
          <w:color w:val="000000" w:themeColor="text1"/>
          <w:sz w:val="24"/>
          <w:szCs w:val="24"/>
          <w:rtl/>
          <w:lang w:val="en-US"/>
        </w:rPr>
        <w:t xml:space="preserve">ان </w:t>
      </w:r>
      <w:r w:rsidR="006D2713" w:rsidRPr="00F14C48">
        <w:rPr>
          <w:rFonts w:ascii="Simplified Arabic" w:hAnsi="Simplified Arabic" w:cs="Simplified Arabic" w:hint="cs"/>
          <w:color w:val="000000" w:themeColor="text1"/>
          <w:sz w:val="24"/>
          <w:szCs w:val="24"/>
          <w:rtl/>
          <w:lang w:val="en-US"/>
        </w:rPr>
        <w:t>التنقل</w:t>
      </w:r>
      <w:r w:rsidRPr="00F14C48">
        <w:rPr>
          <w:rFonts w:ascii="Simplified Arabic" w:hAnsi="Simplified Arabic" w:cs="Simplified Arabic" w:hint="cs"/>
          <w:color w:val="000000" w:themeColor="text1"/>
          <w:sz w:val="24"/>
          <w:szCs w:val="24"/>
          <w:rtl/>
          <w:lang w:val="en-US"/>
        </w:rPr>
        <w:t xml:space="preserve"> غير </w:t>
      </w:r>
      <w:r w:rsidR="006D2713" w:rsidRPr="00F14C48">
        <w:rPr>
          <w:rFonts w:ascii="Simplified Arabic" w:hAnsi="Simplified Arabic" w:cs="Simplified Arabic" w:hint="cs"/>
          <w:color w:val="000000" w:themeColor="text1"/>
          <w:sz w:val="24"/>
          <w:szCs w:val="24"/>
          <w:rtl/>
          <w:lang w:val="en-US"/>
        </w:rPr>
        <w:t>مريح بحي ميطر،</w:t>
      </w:r>
      <w:r w:rsidRPr="00F14C48">
        <w:rPr>
          <w:rFonts w:ascii="Simplified Arabic" w:hAnsi="Simplified Arabic" w:cs="Simplified Arabic" w:hint="cs"/>
          <w:color w:val="000000" w:themeColor="text1"/>
          <w:sz w:val="24"/>
          <w:szCs w:val="24"/>
          <w:rtl/>
          <w:lang w:val="en-US"/>
        </w:rPr>
        <w:t xml:space="preserve"> </w:t>
      </w:r>
      <w:r w:rsidR="006D2713" w:rsidRPr="00F14C48">
        <w:rPr>
          <w:rFonts w:ascii="Simplified Arabic" w:hAnsi="Simplified Arabic" w:cs="Simplified Arabic" w:hint="cs"/>
          <w:color w:val="000000" w:themeColor="text1"/>
          <w:sz w:val="24"/>
          <w:szCs w:val="24"/>
          <w:rtl/>
          <w:lang w:val="en-US" w:bidi="ar-DZ"/>
        </w:rPr>
        <w:t>بنسبة</w:t>
      </w:r>
      <w:r w:rsidR="006D2713" w:rsidRPr="00F14C48">
        <w:rPr>
          <w:rFonts w:ascii="Simplified Arabic" w:hAnsi="Simplified Arabic" w:cs="Simplified Arabic" w:hint="cs"/>
          <w:color w:val="000000" w:themeColor="text1"/>
          <w:sz w:val="24"/>
          <w:szCs w:val="24"/>
          <w:rtl/>
          <w:lang w:val="en-US"/>
        </w:rPr>
        <w:t xml:space="preserve"> </w:t>
      </w:r>
      <w:r w:rsidR="006D2713" w:rsidRPr="00F14C48">
        <w:rPr>
          <w:rFonts w:ascii="Simplified Arabic" w:hAnsi="Simplified Arabic" w:cs="Simplified Arabic"/>
          <w:sz w:val="24"/>
          <w:szCs w:val="24"/>
          <w:lang w:val="en-US"/>
        </w:rPr>
        <w:t>55</w:t>
      </w:r>
      <w:r w:rsidRPr="00F14C48">
        <w:rPr>
          <w:rFonts w:ascii="Simplified Arabic" w:hAnsi="Simplified Arabic" w:cs="Simplified Arabic"/>
          <w:sz w:val="24"/>
          <w:szCs w:val="24"/>
          <w:lang w:val="en-US"/>
        </w:rPr>
        <w:t>,</w:t>
      </w:r>
      <w:r w:rsidR="006D2713" w:rsidRPr="00F14C48">
        <w:rPr>
          <w:rFonts w:ascii="Simplified Arabic" w:hAnsi="Simplified Arabic" w:cs="Simplified Arabic"/>
          <w:sz w:val="24"/>
          <w:szCs w:val="24"/>
          <w:lang w:val="en-US"/>
        </w:rPr>
        <w:t>58</w:t>
      </w:r>
      <w:r w:rsidRPr="00F14C48">
        <w:rPr>
          <w:rFonts w:ascii="Simplified Arabic" w:hAnsi="Simplified Arabic" w:cs="Simplified Arabic"/>
          <w:sz w:val="24"/>
          <w:szCs w:val="24"/>
          <w:rtl/>
          <w:lang w:val="en-US"/>
        </w:rPr>
        <w:t>٪</w:t>
      </w:r>
      <w:r w:rsidRPr="00F14C48">
        <w:rPr>
          <w:rFonts w:ascii="Simplified Arabic" w:hAnsi="Simplified Arabic" w:cs="Simplified Arabic" w:hint="cs"/>
          <w:sz w:val="24"/>
          <w:szCs w:val="24"/>
          <w:rtl/>
          <w:lang w:val="en-US"/>
        </w:rPr>
        <w:t xml:space="preserve">، يقابلها </w:t>
      </w:r>
      <w:r w:rsidR="006D2713" w:rsidRPr="00F14C48">
        <w:rPr>
          <w:rFonts w:ascii="Simplified Arabic" w:hAnsi="Simplified Arabic" w:cs="Simplified Arabic"/>
          <w:sz w:val="24"/>
          <w:szCs w:val="24"/>
          <w:lang w:val="en-US"/>
        </w:rPr>
        <w:t>214</w:t>
      </w:r>
      <w:r w:rsidRPr="00F14C48">
        <w:rPr>
          <w:rFonts w:ascii="Simplified Arabic" w:hAnsi="Simplified Arabic" w:cs="Simplified Arabic" w:hint="cs"/>
          <w:sz w:val="24"/>
          <w:szCs w:val="24"/>
          <w:rtl/>
          <w:lang w:val="en-US"/>
        </w:rPr>
        <w:t>، مفردة</w:t>
      </w:r>
      <w:r>
        <w:rPr>
          <w:rFonts w:ascii="Simplified Arabic" w:hAnsi="Simplified Arabic" w:cs="Simplified Arabic" w:hint="cs"/>
          <w:sz w:val="24"/>
          <w:szCs w:val="24"/>
          <w:rtl/>
          <w:lang w:val="en-US"/>
        </w:rPr>
        <w:t xml:space="preserve"> من العينة.</w:t>
      </w:r>
      <w:r w:rsidR="00F14C48">
        <w:rPr>
          <w:rFonts w:ascii="Simplified Arabic" w:hAnsi="Simplified Arabic" w:cs="Simplified Arabic" w:hint="cs"/>
          <w:sz w:val="24"/>
          <w:szCs w:val="24"/>
          <w:rtl/>
          <w:lang w:val="en-US"/>
        </w:rPr>
        <w:t xml:space="preserve"> </w:t>
      </w:r>
      <w:r w:rsidR="00C121B0" w:rsidRPr="001D3E3A">
        <w:rPr>
          <w:rFonts w:ascii="Simplified Arabic" w:hAnsi="Simplified Arabic" w:cs="Simplified Arabic" w:hint="cs"/>
          <w:color w:val="000000" w:themeColor="text1"/>
          <w:sz w:val="24"/>
          <w:szCs w:val="24"/>
          <w:rtl/>
          <w:lang w:val="en-US"/>
        </w:rPr>
        <w:t xml:space="preserve">هذا راجع الى </w:t>
      </w:r>
      <w:r w:rsidR="00C121B0" w:rsidRPr="001D3E3A">
        <w:rPr>
          <w:rFonts w:ascii="Simplified Arabic" w:hAnsi="Simplified Arabic" w:cs="Simplified Arabic" w:hint="cs"/>
          <w:sz w:val="24"/>
          <w:szCs w:val="24"/>
          <w:rtl/>
          <w:lang w:val="en-US"/>
        </w:rPr>
        <w:t>ان</w:t>
      </w:r>
      <w:r w:rsidR="00C121B0" w:rsidRPr="001D3E3A">
        <w:rPr>
          <w:rFonts w:ascii="Simplified Arabic" w:hAnsi="Simplified Arabic" w:cs="Simplified Arabic"/>
          <w:sz w:val="24"/>
          <w:szCs w:val="24"/>
          <w:rtl/>
          <w:lang w:val="en-US"/>
        </w:rPr>
        <w:t xml:space="preserve"> </w:t>
      </w:r>
      <w:r w:rsidR="00C121B0" w:rsidRPr="001D3E3A">
        <w:rPr>
          <w:rFonts w:ascii="Simplified Arabic" w:hAnsi="Simplified Arabic" w:cs="Simplified Arabic" w:hint="cs"/>
          <w:sz w:val="24"/>
          <w:szCs w:val="24"/>
          <w:rtl/>
          <w:lang w:val="en-US"/>
        </w:rPr>
        <w:t>شبكة</w:t>
      </w:r>
      <w:r w:rsidR="00C121B0" w:rsidRPr="001D3E3A">
        <w:rPr>
          <w:rFonts w:ascii="Simplified Arabic" w:hAnsi="Simplified Arabic" w:cs="Simplified Arabic"/>
          <w:sz w:val="24"/>
          <w:szCs w:val="24"/>
          <w:rtl/>
          <w:lang w:val="en-US"/>
        </w:rPr>
        <w:t xml:space="preserve"> </w:t>
      </w:r>
      <w:r w:rsidR="00C121B0" w:rsidRPr="001D3E3A">
        <w:rPr>
          <w:rFonts w:ascii="Simplified Arabic" w:hAnsi="Simplified Arabic" w:cs="Simplified Arabic" w:hint="cs"/>
          <w:sz w:val="24"/>
          <w:szCs w:val="24"/>
          <w:rtl/>
          <w:lang w:val="en-US"/>
        </w:rPr>
        <w:t>الطرق</w:t>
      </w:r>
      <w:r w:rsidR="00C121B0" w:rsidRPr="001D3E3A">
        <w:rPr>
          <w:rFonts w:ascii="Simplified Arabic" w:hAnsi="Simplified Arabic" w:cs="Simplified Arabic"/>
          <w:sz w:val="24"/>
          <w:szCs w:val="24"/>
          <w:rtl/>
          <w:lang w:val="en-US"/>
        </w:rPr>
        <w:t xml:space="preserve"> </w:t>
      </w:r>
      <w:r w:rsidR="00C121B0" w:rsidRPr="001D3E3A">
        <w:rPr>
          <w:rFonts w:ascii="Simplified Arabic" w:hAnsi="Simplified Arabic" w:cs="Simplified Arabic" w:hint="cs"/>
          <w:sz w:val="24"/>
          <w:szCs w:val="24"/>
          <w:rtl/>
          <w:lang w:val="en-US"/>
        </w:rPr>
        <w:t>التي</w:t>
      </w:r>
      <w:r w:rsidR="00C121B0" w:rsidRPr="001D3E3A">
        <w:rPr>
          <w:rFonts w:ascii="Simplified Arabic" w:hAnsi="Simplified Arabic" w:cs="Simplified Arabic"/>
          <w:sz w:val="24"/>
          <w:szCs w:val="24"/>
          <w:rtl/>
          <w:lang w:val="en-US"/>
        </w:rPr>
        <w:t xml:space="preserve"> </w:t>
      </w:r>
      <w:r w:rsidR="00C121B0" w:rsidRPr="001D3E3A">
        <w:rPr>
          <w:rFonts w:ascii="Simplified Arabic" w:hAnsi="Simplified Arabic" w:cs="Simplified Arabic" w:hint="cs"/>
          <w:sz w:val="24"/>
          <w:szCs w:val="24"/>
          <w:rtl/>
          <w:lang w:val="en-US"/>
        </w:rPr>
        <w:t>تؤمن</w:t>
      </w:r>
      <w:r w:rsidR="00C121B0" w:rsidRPr="001D3E3A">
        <w:rPr>
          <w:rFonts w:ascii="Simplified Arabic" w:hAnsi="Simplified Arabic" w:cs="Simplified Arabic"/>
          <w:sz w:val="24"/>
          <w:szCs w:val="24"/>
          <w:rtl/>
          <w:lang w:val="en-US"/>
        </w:rPr>
        <w:t xml:space="preserve"> </w:t>
      </w:r>
      <w:r w:rsidR="00C121B0" w:rsidRPr="001D3E3A">
        <w:rPr>
          <w:rFonts w:ascii="Simplified Arabic" w:hAnsi="Simplified Arabic" w:cs="Simplified Arabic" w:hint="cs"/>
          <w:sz w:val="24"/>
          <w:szCs w:val="24"/>
          <w:rtl/>
          <w:lang w:val="en-US"/>
        </w:rPr>
        <w:t>المساكن</w:t>
      </w:r>
      <w:r w:rsidR="00C121B0" w:rsidRPr="001D3E3A">
        <w:rPr>
          <w:rFonts w:ascii="Simplified Arabic" w:hAnsi="Simplified Arabic" w:cs="Simplified Arabic"/>
          <w:sz w:val="24"/>
          <w:szCs w:val="24"/>
          <w:rtl/>
          <w:lang w:val="en-US"/>
        </w:rPr>
        <w:t xml:space="preserve"> </w:t>
      </w:r>
      <w:r w:rsidR="00BD4288">
        <w:rPr>
          <w:rFonts w:ascii="Simplified Arabic" w:hAnsi="Simplified Arabic" w:cs="Simplified Arabic" w:hint="cs"/>
          <w:sz w:val="24"/>
          <w:szCs w:val="24"/>
          <w:rtl/>
          <w:lang w:val="en-US"/>
        </w:rPr>
        <w:t xml:space="preserve">بدون تهيئة او ان هيكلها </w:t>
      </w:r>
      <w:r w:rsidR="00C121B0" w:rsidRPr="001D3E3A">
        <w:rPr>
          <w:rFonts w:ascii="Simplified Arabic" w:hAnsi="Simplified Arabic" w:cs="Simplified Arabic" w:hint="cs"/>
          <w:sz w:val="24"/>
          <w:szCs w:val="24"/>
          <w:rtl/>
          <w:lang w:val="en-US"/>
        </w:rPr>
        <w:t>عضوي، احيانا تميل الى ان تكون عميقة وضيقة</w:t>
      </w:r>
      <w:r w:rsidR="00C121B0" w:rsidRPr="001D3E3A">
        <w:rPr>
          <w:rFonts w:ascii="Simplified Arabic" w:hAnsi="Simplified Arabic" w:cs="Simplified Arabic"/>
          <w:sz w:val="24"/>
          <w:szCs w:val="24"/>
          <w:rtl/>
          <w:lang w:val="en-US"/>
        </w:rPr>
        <w:t xml:space="preserve"> </w:t>
      </w:r>
      <w:r w:rsidR="00C121B0" w:rsidRPr="001D3E3A">
        <w:rPr>
          <w:rFonts w:ascii="Simplified Arabic" w:hAnsi="Simplified Arabic" w:cs="Simplified Arabic" w:hint="cs"/>
          <w:sz w:val="24"/>
          <w:szCs w:val="24"/>
          <w:rtl/>
          <w:lang w:val="en-US"/>
        </w:rPr>
        <w:t>ومتعرجة</w:t>
      </w:r>
      <w:r w:rsidR="00F14C48">
        <w:rPr>
          <w:rFonts w:ascii="Simplified Arabic" w:hAnsi="Simplified Arabic" w:cs="Simplified Arabic" w:hint="cs"/>
          <w:color w:val="000000" w:themeColor="text1"/>
          <w:sz w:val="24"/>
          <w:szCs w:val="24"/>
          <w:rtl/>
          <w:lang w:val="en-US" w:bidi="ar-DZ"/>
        </w:rPr>
        <w:t>.</w:t>
      </w:r>
    </w:p>
    <w:p w:rsidR="00FD3D45" w:rsidRDefault="00FD3D45" w:rsidP="00E71572">
      <w:pPr>
        <w:pStyle w:val="fegure"/>
        <w:spacing w:before="240"/>
        <w:rPr>
          <w:sz w:val="6"/>
          <w:szCs w:val="22"/>
          <w:rtl/>
          <w:lang w:val="en-US"/>
        </w:rPr>
      </w:pPr>
      <w:bookmarkStart w:id="760" w:name="_Toc157608349"/>
    </w:p>
    <w:p w:rsidR="00FD3D45" w:rsidRDefault="00FD3D45" w:rsidP="00E71572">
      <w:pPr>
        <w:pStyle w:val="fegure"/>
        <w:spacing w:before="240"/>
        <w:rPr>
          <w:sz w:val="6"/>
          <w:szCs w:val="22"/>
          <w:rtl/>
          <w:lang w:val="en-US"/>
        </w:rPr>
      </w:pPr>
    </w:p>
    <w:p w:rsidR="00FD3D45" w:rsidRDefault="00FD3D45" w:rsidP="00E71572">
      <w:pPr>
        <w:pStyle w:val="fegure"/>
        <w:spacing w:before="240"/>
        <w:rPr>
          <w:sz w:val="6"/>
          <w:szCs w:val="22"/>
          <w:rtl/>
          <w:lang w:val="en-US"/>
        </w:rPr>
      </w:pPr>
    </w:p>
    <w:p w:rsidR="00E97C56" w:rsidRDefault="00C121B0" w:rsidP="00E71572">
      <w:pPr>
        <w:pStyle w:val="fegure"/>
        <w:spacing w:before="240"/>
        <w:rPr>
          <w:sz w:val="6"/>
          <w:szCs w:val="22"/>
          <w:rtl/>
        </w:rPr>
      </w:pPr>
      <w:bookmarkStart w:id="761" w:name="_Toc171803755"/>
      <w:r w:rsidRPr="00DA50D1">
        <w:rPr>
          <w:sz w:val="6"/>
          <w:szCs w:val="22"/>
          <w:rtl/>
          <w:lang w:val="en-US"/>
        </w:rPr>
        <w:lastRenderedPageBreak/>
        <w:t>الشكل (</w:t>
      </w:r>
      <w:r w:rsidR="00FB1F88" w:rsidRPr="00DA50D1">
        <w:rPr>
          <w:rFonts w:hint="cs"/>
          <w:sz w:val="6"/>
          <w:szCs w:val="22"/>
          <w:rtl/>
          <w:lang w:val="en-US"/>
        </w:rPr>
        <w:t>5-</w:t>
      </w:r>
      <w:r w:rsidR="00E97C56" w:rsidRPr="00DA50D1">
        <w:rPr>
          <w:rFonts w:hint="cs"/>
          <w:sz w:val="6"/>
          <w:szCs w:val="22"/>
          <w:rtl/>
          <w:lang w:val="en-US"/>
        </w:rPr>
        <w:t>19</w:t>
      </w:r>
      <w:r w:rsidRPr="00DA50D1">
        <w:rPr>
          <w:sz w:val="6"/>
          <w:szCs w:val="22"/>
          <w:rtl/>
          <w:lang w:val="en-US"/>
        </w:rPr>
        <w:t xml:space="preserve">): </w:t>
      </w:r>
      <w:r w:rsidR="00E97C56" w:rsidRPr="00DA50D1">
        <w:rPr>
          <w:rFonts w:hint="cs"/>
          <w:sz w:val="6"/>
          <w:szCs w:val="22"/>
          <w:rtl/>
          <w:lang w:val="en-US"/>
        </w:rPr>
        <w:t>تحليل توزيع أفراد عيّنة</w:t>
      </w:r>
      <w:r w:rsidR="00E97C56" w:rsidRPr="00DA50D1">
        <w:rPr>
          <w:rFonts w:hint="cs"/>
          <w:sz w:val="6"/>
          <w:szCs w:val="22"/>
          <w:rtl/>
        </w:rPr>
        <w:t xml:space="preserve"> عدد تقاطعات الطرق واحساس راحة</w:t>
      </w:r>
      <w:r w:rsidR="00E97C56" w:rsidRPr="00DA50D1">
        <w:rPr>
          <w:sz w:val="6"/>
          <w:szCs w:val="22"/>
          <w:rtl/>
        </w:rPr>
        <w:t xml:space="preserve"> </w:t>
      </w:r>
      <w:r w:rsidR="00E97C56" w:rsidRPr="00DA50D1">
        <w:rPr>
          <w:rFonts w:hint="cs"/>
          <w:sz w:val="6"/>
          <w:szCs w:val="22"/>
          <w:rtl/>
        </w:rPr>
        <w:t>التنقل</w:t>
      </w:r>
      <w:r w:rsidR="00E97C56" w:rsidRPr="00DA50D1">
        <w:rPr>
          <w:sz w:val="6"/>
          <w:szCs w:val="22"/>
          <w:rtl/>
        </w:rPr>
        <w:t xml:space="preserve"> </w:t>
      </w:r>
      <w:r w:rsidR="00E97C56" w:rsidRPr="00DA50D1">
        <w:rPr>
          <w:rFonts w:hint="cs"/>
          <w:sz w:val="6"/>
          <w:szCs w:val="22"/>
          <w:rtl/>
        </w:rPr>
        <w:t xml:space="preserve">مشيا الى </w:t>
      </w:r>
      <w:r w:rsidR="00F14C48" w:rsidRPr="00DA50D1">
        <w:rPr>
          <w:sz w:val="6"/>
          <w:szCs w:val="22"/>
          <w:rtl/>
        </w:rPr>
        <w:t>المرافق</w:t>
      </w:r>
      <w:r w:rsidR="00F14C48" w:rsidRPr="00DA50D1">
        <w:rPr>
          <w:rFonts w:hint="cs"/>
          <w:sz w:val="6"/>
          <w:szCs w:val="22"/>
          <w:rtl/>
        </w:rPr>
        <w:t xml:space="preserve"> </w:t>
      </w:r>
      <w:r w:rsidR="00DA50D1" w:rsidRPr="00DA50D1">
        <w:rPr>
          <w:rFonts w:hint="cs"/>
          <w:sz w:val="6"/>
          <w:szCs w:val="22"/>
          <w:rtl/>
        </w:rPr>
        <w:t>ل</w:t>
      </w:r>
      <w:r w:rsidR="00F14C48" w:rsidRPr="00DA50D1">
        <w:rPr>
          <w:rFonts w:hint="cs"/>
          <w:sz w:val="6"/>
          <w:szCs w:val="22"/>
          <w:rtl/>
        </w:rPr>
        <w:t xml:space="preserve">لحصول </w:t>
      </w:r>
      <w:r w:rsidR="00DA50D1" w:rsidRPr="00DA50D1">
        <w:rPr>
          <w:rFonts w:hint="cs"/>
          <w:sz w:val="6"/>
          <w:szCs w:val="22"/>
          <w:rtl/>
        </w:rPr>
        <w:t xml:space="preserve">على </w:t>
      </w:r>
      <w:r w:rsidR="00F14C48" w:rsidRPr="00DA50D1">
        <w:rPr>
          <w:rFonts w:hint="cs"/>
          <w:sz w:val="6"/>
          <w:szCs w:val="22"/>
          <w:rtl/>
        </w:rPr>
        <w:t>الخدمة</w:t>
      </w:r>
      <w:bookmarkEnd w:id="760"/>
      <w:bookmarkEnd w:id="761"/>
    </w:p>
    <w:p w:rsidR="00E65F90" w:rsidRPr="00E65F90" w:rsidRDefault="00E65F90" w:rsidP="00E65F90">
      <w:pPr>
        <w:pStyle w:val="fegure"/>
        <w:rPr>
          <w:sz w:val="8"/>
          <w:szCs w:val="24"/>
          <w:lang w:val="en-US" w:bidi="ar-DZ"/>
        </w:rPr>
      </w:pPr>
      <w:bookmarkStart w:id="762" w:name="_Toc171803756"/>
      <w:r>
        <w:rPr>
          <w:rFonts w:hint="cs"/>
          <w:sz w:val="8"/>
          <w:szCs w:val="24"/>
          <w:rtl/>
          <w:lang w:val="en-US"/>
        </w:rPr>
        <w:t>المصدر: (الباحث، 2022)</w:t>
      </w:r>
      <w:bookmarkEnd w:id="762"/>
    </w:p>
    <w:p w:rsidR="00D8341B" w:rsidRDefault="00D8341B" w:rsidP="00CC4870">
      <w:pPr>
        <w:bidi/>
        <w:spacing w:after="0" w:line="240" w:lineRule="auto"/>
        <w:jc w:val="center"/>
        <w:rPr>
          <w:rFonts w:ascii="Simplified Arabic" w:hAnsi="Simplified Arabic" w:cs="Simplified Arabic"/>
          <w:sz w:val="24"/>
          <w:szCs w:val="24"/>
          <w:rtl/>
          <w:lang w:val="en-US"/>
        </w:rPr>
      </w:pPr>
      <w:r>
        <w:rPr>
          <w:noProof/>
          <w:lang w:eastAsia="fr-FR"/>
        </w:rPr>
        <w:drawing>
          <wp:inline distT="0" distB="0" distL="0" distR="0" wp14:anchorId="40B75F83" wp14:editId="55D7F6DC">
            <wp:extent cx="3735238" cy="2346385"/>
            <wp:effectExtent l="0" t="0" r="17780" b="15875"/>
            <wp:docPr id="289" name="Graphique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8"/>
              </a:graphicData>
            </a:graphic>
          </wp:inline>
        </w:drawing>
      </w:r>
    </w:p>
    <w:p w:rsidR="00C121B0" w:rsidRPr="00E81B5A" w:rsidRDefault="00987E25" w:rsidP="001D0548">
      <w:pPr>
        <w:pStyle w:val="Paragraphedeliste"/>
        <w:numPr>
          <w:ilvl w:val="0"/>
          <w:numId w:val="179"/>
        </w:numPr>
        <w:tabs>
          <w:tab w:val="right" w:pos="850"/>
        </w:tabs>
        <w:bidi/>
        <w:spacing w:before="240" w:after="0"/>
        <w:ind w:left="-1" w:firstLine="568"/>
        <w:jc w:val="both"/>
        <w:rPr>
          <w:rFonts w:ascii="Simplified Arabic" w:hAnsi="Simplified Arabic" w:cs="Simplified Arabic"/>
          <w:b/>
          <w:bCs/>
          <w:sz w:val="24"/>
          <w:szCs w:val="24"/>
          <w:shd w:val="clear" w:color="auto" w:fill="FDE9D9" w:themeFill="accent6" w:themeFillTint="33"/>
          <w:rtl/>
        </w:rPr>
      </w:pPr>
      <w:r w:rsidRPr="002E7B86">
        <w:rPr>
          <w:rFonts w:ascii="Simplified Arabic" w:hAnsi="Simplified Arabic" w:cs="Simplified Arabic" w:hint="cs"/>
          <w:b/>
          <w:bCs/>
          <w:sz w:val="24"/>
          <w:szCs w:val="24"/>
          <w:rtl/>
          <w:lang w:val="en-US"/>
        </w:rPr>
        <w:t>تحليل توزيع أفراد عيّنة</w:t>
      </w:r>
      <w:r w:rsidRPr="002563B2">
        <w:rPr>
          <w:rFonts w:ascii="Simplified Arabic" w:hAnsi="Simplified Arabic" w:cs="Simplified Arabic" w:hint="cs"/>
          <w:b/>
          <w:bCs/>
          <w:sz w:val="24"/>
          <w:szCs w:val="24"/>
          <w:rtl/>
        </w:rPr>
        <w:t xml:space="preserve"> </w:t>
      </w:r>
      <w:r w:rsidR="00C121B0" w:rsidRPr="00E81B5A">
        <w:rPr>
          <w:rFonts w:ascii="Simplified Arabic" w:hAnsi="Simplified Arabic" w:cs="Simplified Arabic"/>
          <w:b/>
          <w:bCs/>
          <w:sz w:val="24"/>
          <w:szCs w:val="24"/>
          <w:rtl/>
        </w:rPr>
        <w:t xml:space="preserve">المسافة </w:t>
      </w:r>
      <w:r w:rsidR="00C121B0" w:rsidRPr="00E81B5A">
        <w:rPr>
          <w:rFonts w:ascii="Simplified Arabic" w:hAnsi="Simplified Arabic" w:cs="Simplified Arabic" w:hint="cs"/>
          <w:b/>
          <w:bCs/>
          <w:sz w:val="24"/>
          <w:szCs w:val="24"/>
          <w:rtl/>
        </w:rPr>
        <w:t>ال</w:t>
      </w:r>
      <w:r w:rsidR="00C121B0" w:rsidRPr="00E81B5A">
        <w:rPr>
          <w:rFonts w:ascii="Simplified Arabic" w:hAnsi="Simplified Arabic" w:cs="Simplified Arabic"/>
          <w:b/>
          <w:bCs/>
          <w:sz w:val="24"/>
          <w:szCs w:val="24"/>
          <w:rtl/>
        </w:rPr>
        <w:t xml:space="preserve">ملائمة </w:t>
      </w:r>
      <w:r w:rsidR="00C121B0" w:rsidRPr="00E81B5A">
        <w:rPr>
          <w:rFonts w:ascii="Simplified Arabic" w:hAnsi="Simplified Arabic" w:cs="Simplified Arabic" w:hint="cs"/>
          <w:b/>
          <w:bCs/>
          <w:sz w:val="24"/>
          <w:szCs w:val="24"/>
          <w:rtl/>
        </w:rPr>
        <w:t>للسير</w:t>
      </w:r>
      <w:r w:rsidR="00C121B0" w:rsidRPr="00E81B5A">
        <w:rPr>
          <w:rFonts w:ascii="Simplified Arabic" w:hAnsi="Simplified Arabic" w:cs="Simplified Arabic"/>
          <w:b/>
          <w:bCs/>
          <w:sz w:val="24"/>
          <w:szCs w:val="24"/>
          <w:rtl/>
        </w:rPr>
        <w:t xml:space="preserve"> مشيا بين </w:t>
      </w:r>
      <w:r w:rsidR="00191509">
        <w:rPr>
          <w:rFonts w:ascii="Simplified Arabic" w:hAnsi="Simplified Arabic" w:cs="Simplified Arabic" w:hint="cs"/>
          <w:b/>
          <w:bCs/>
          <w:sz w:val="24"/>
          <w:szCs w:val="24"/>
          <w:rtl/>
        </w:rPr>
        <w:t>ال</w:t>
      </w:r>
      <w:r w:rsidR="00191509" w:rsidRPr="00E81B5A">
        <w:rPr>
          <w:rFonts w:ascii="Simplified Arabic" w:hAnsi="Simplified Arabic" w:cs="Simplified Arabic"/>
          <w:b/>
          <w:bCs/>
          <w:sz w:val="24"/>
          <w:szCs w:val="24"/>
          <w:rtl/>
        </w:rPr>
        <w:t>مر</w:t>
      </w:r>
      <w:r w:rsidR="00191509">
        <w:rPr>
          <w:rFonts w:ascii="Simplified Arabic" w:hAnsi="Simplified Arabic" w:cs="Simplified Arabic" w:hint="cs"/>
          <w:b/>
          <w:bCs/>
          <w:sz w:val="24"/>
          <w:szCs w:val="24"/>
          <w:rtl/>
        </w:rPr>
        <w:t>ا</w:t>
      </w:r>
      <w:r w:rsidR="00191509" w:rsidRPr="00E81B5A">
        <w:rPr>
          <w:rFonts w:ascii="Simplified Arabic" w:hAnsi="Simplified Arabic" w:cs="Simplified Arabic"/>
          <w:b/>
          <w:bCs/>
          <w:sz w:val="24"/>
          <w:szCs w:val="24"/>
          <w:rtl/>
        </w:rPr>
        <w:t>فق</w:t>
      </w:r>
      <w:r w:rsidR="00191509" w:rsidRPr="00E81B5A">
        <w:rPr>
          <w:rFonts w:ascii="Simplified Arabic" w:hAnsi="Simplified Arabic" w:cs="Simplified Arabic" w:hint="cs"/>
          <w:b/>
          <w:bCs/>
          <w:sz w:val="24"/>
          <w:szCs w:val="24"/>
          <w:rtl/>
        </w:rPr>
        <w:t xml:space="preserve"> </w:t>
      </w:r>
      <w:r w:rsidR="00191509">
        <w:rPr>
          <w:rFonts w:ascii="Simplified Arabic" w:hAnsi="Simplified Arabic" w:cs="Simplified Arabic"/>
          <w:b/>
          <w:bCs/>
          <w:sz w:val="24"/>
          <w:szCs w:val="24"/>
          <w:rtl/>
        </w:rPr>
        <w:t>و</w:t>
      </w:r>
      <w:r w:rsidR="00C121B0" w:rsidRPr="00E81B5A">
        <w:rPr>
          <w:rFonts w:ascii="Simplified Arabic" w:hAnsi="Simplified Arabic" w:cs="Simplified Arabic" w:hint="cs"/>
          <w:b/>
          <w:bCs/>
          <w:sz w:val="24"/>
          <w:szCs w:val="24"/>
          <w:rtl/>
        </w:rPr>
        <w:t>ال</w:t>
      </w:r>
      <w:r w:rsidR="00C121B0" w:rsidRPr="00E81B5A">
        <w:rPr>
          <w:rFonts w:ascii="Simplified Arabic" w:hAnsi="Simplified Arabic" w:cs="Simplified Arabic"/>
          <w:b/>
          <w:bCs/>
          <w:sz w:val="24"/>
          <w:szCs w:val="24"/>
          <w:rtl/>
        </w:rPr>
        <w:t xml:space="preserve">مسكن </w:t>
      </w:r>
    </w:p>
    <w:p w:rsidR="00C121B0" w:rsidRDefault="00C121B0" w:rsidP="00B03921">
      <w:pPr>
        <w:bidi/>
        <w:spacing w:after="0"/>
        <w:ind w:firstLine="282"/>
        <w:jc w:val="both"/>
        <w:rPr>
          <w:rFonts w:ascii="Simplified Arabic" w:hAnsi="Simplified Arabic" w:cs="Simplified Arabic"/>
          <w:sz w:val="24"/>
          <w:szCs w:val="24"/>
          <w:rtl/>
          <w:lang w:val="en-US"/>
        </w:rPr>
      </w:pPr>
      <w:r w:rsidRPr="00E81B5A">
        <w:rPr>
          <w:rFonts w:ascii="Simplified Arabic" w:hAnsi="Simplified Arabic" w:cs="Simplified Arabic" w:hint="cs"/>
          <w:sz w:val="24"/>
          <w:szCs w:val="24"/>
          <w:rtl/>
          <w:lang w:val="en-US"/>
        </w:rPr>
        <w:t>ضمن</w:t>
      </w:r>
      <w:r w:rsidRPr="00E81B5A">
        <w:rPr>
          <w:rFonts w:ascii="Simplified Arabic" w:hAnsi="Simplified Arabic" w:cs="Simplified Arabic"/>
          <w:sz w:val="24"/>
          <w:szCs w:val="24"/>
          <w:rtl/>
          <w:lang w:val="en-US"/>
        </w:rPr>
        <w:t xml:space="preserve"> </w:t>
      </w:r>
      <w:r w:rsidRPr="00E81B5A">
        <w:rPr>
          <w:rFonts w:ascii="Simplified Arabic" w:hAnsi="Simplified Arabic" w:cs="Simplified Arabic" w:hint="cs"/>
          <w:sz w:val="24"/>
          <w:szCs w:val="24"/>
          <w:rtl/>
          <w:lang w:val="en-US"/>
        </w:rPr>
        <w:t>هذا</w:t>
      </w:r>
      <w:r w:rsidRPr="00E81B5A">
        <w:rPr>
          <w:rFonts w:ascii="Simplified Arabic" w:hAnsi="Simplified Arabic" w:cs="Simplified Arabic"/>
          <w:sz w:val="24"/>
          <w:szCs w:val="24"/>
          <w:rtl/>
          <w:lang w:val="en-US"/>
        </w:rPr>
        <w:t xml:space="preserve"> </w:t>
      </w:r>
      <w:r w:rsidRPr="00E81B5A">
        <w:rPr>
          <w:rFonts w:ascii="Simplified Arabic" w:hAnsi="Simplified Arabic" w:cs="Simplified Arabic" w:hint="cs"/>
          <w:sz w:val="24"/>
          <w:szCs w:val="24"/>
          <w:rtl/>
          <w:lang w:val="en-US"/>
        </w:rPr>
        <w:t>القسم</w:t>
      </w:r>
      <w:r w:rsidRPr="00E81B5A">
        <w:rPr>
          <w:rFonts w:ascii="Simplified Arabic" w:hAnsi="Simplified Arabic" w:cs="Simplified Arabic"/>
          <w:sz w:val="24"/>
          <w:szCs w:val="24"/>
          <w:rtl/>
          <w:lang w:val="en-US"/>
        </w:rPr>
        <w:t xml:space="preserve"> </w:t>
      </w:r>
      <w:r w:rsidRPr="00E81B5A">
        <w:rPr>
          <w:rFonts w:ascii="Simplified Arabic" w:hAnsi="Simplified Arabic" w:cs="Simplified Arabic" w:hint="cs"/>
          <w:sz w:val="24"/>
          <w:szCs w:val="24"/>
          <w:rtl/>
          <w:lang w:val="en-US"/>
        </w:rPr>
        <w:t>طرح</w:t>
      </w:r>
      <w:r w:rsidRPr="00E81B5A">
        <w:rPr>
          <w:rFonts w:ascii="Simplified Arabic" w:hAnsi="Simplified Arabic" w:cs="Simplified Arabic"/>
          <w:sz w:val="24"/>
          <w:szCs w:val="24"/>
          <w:rtl/>
          <w:lang w:val="en-US"/>
        </w:rPr>
        <w:t xml:space="preserve"> </w:t>
      </w:r>
      <w:r w:rsidRPr="00E81B5A">
        <w:rPr>
          <w:rFonts w:ascii="Simplified Arabic" w:hAnsi="Simplified Arabic" w:cs="Simplified Arabic" w:hint="cs"/>
          <w:sz w:val="24"/>
          <w:szCs w:val="24"/>
          <w:rtl/>
          <w:lang w:val="en-US"/>
        </w:rPr>
        <w:t>سؤالا،</w:t>
      </w:r>
      <w:r w:rsidRPr="00E81B5A">
        <w:rPr>
          <w:rFonts w:ascii="Simplified Arabic" w:hAnsi="Simplified Arabic" w:cs="Simplified Arabic"/>
          <w:sz w:val="24"/>
          <w:szCs w:val="24"/>
          <w:rtl/>
          <w:lang w:val="en-US"/>
        </w:rPr>
        <w:t xml:space="preserve"> </w:t>
      </w:r>
      <w:r w:rsidRPr="00E81B5A">
        <w:rPr>
          <w:rFonts w:ascii="Simplified Arabic" w:hAnsi="Simplified Arabic" w:cs="Simplified Arabic"/>
          <w:sz w:val="24"/>
          <w:szCs w:val="24"/>
          <w:rtl/>
        </w:rPr>
        <w:t xml:space="preserve">ما هي المسافة </w:t>
      </w:r>
      <w:r w:rsidR="00B03921">
        <w:rPr>
          <w:rFonts w:ascii="Simplified Arabic" w:hAnsi="Simplified Arabic" w:cs="Simplified Arabic" w:hint="cs"/>
          <w:sz w:val="24"/>
          <w:szCs w:val="24"/>
          <w:rtl/>
        </w:rPr>
        <w:t xml:space="preserve">المقترحة </w:t>
      </w:r>
      <w:r w:rsidRPr="00E81B5A">
        <w:rPr>
          <w:rFonts w:ascii="Simplified Arabic" w:hAnsi="Simplified Arabic" w:cs="Simplified Arabic"/>
          <w:sz w:val="24"/>
          <w:szCs w:val="24"/>
          <w:rtl/>
        </w:rPr>
        <w:t xml:space="preserve">التي ترى انها </w:t>
      </w:r>
      <w:r w:rsidRPr="00E81B5A">
        <w:rPr>
          <w:rFonts w:ascii="Simplified Arabic" w:hAnsi="Simplified Arabic" w:cs="Simplified Arabic" w:hint="cs"/>
          <w:sz w:val="24"/>
          <w:szCs w:val="24"/>
          <w:rtl/>
        </w:rPr>
        <w:t>ملائمة</w:t>
      </w:r>
      <w:r w:rsidRPr="00E81B5A">
        <w:rPr>
          <w:rFonts w:ascii="Simplified Arabic" w:hAnsi="Simplified Arabic" w:cs="Simplified Arabic"/>
          <w:sz w:val="24"/>
          <w:szCs w:val="24"/>
          <w:rtl/>
        </w:rPr>
        <w:t xml:space="preserve"> </w:t>
      </w:r>
      <w:r>
        <w:rPr>
          <w:rFonts w:ascii="Simplified Arabic" w:hAnsi="Simplified Arabic" w:cs="Simplified Arabic" w:hint="cs"/>
          <w:sz w:val="24"/>
          <w:szCs w:val="24"/>
          <w:rtl/>
        </w:rPr>
        <w:t>للسير</w:t>
      </w:r>
      <w:r w:rsidRPr="00E81B5A">
        <w:rPr>
          <w:rFonts w:ascii="Simplified Arabic" w:hAnsi="Simplified Arabic" w:cs="Simplified Arabic"/>
          <w:sz w:val="24"/>
          <w:szCs w:val="24"/>
          <w:rtl/>
        </w:rPr>
        <w:t xml:space="preserve"> مشيا بين مسكنك و اقرب</w:t>
      </w:r>
      <w:r>
        <w:rPr>
          <w:rFonts w:ascii="Simplified Arabic" w:hAnsi="Simplified Arabic" w:cs="Simplified Arabic" w:hint="cs"/>
          <w:sz w:val="24"/>
          <w:szCs w:val="24"/>
          <w:rtl/>
        </w:rPr>
        <w:t xml:space="preserve"> مرفق</w:t>
      </w:r>
      <w:r w:rsidR="00D8341B" w:rsidRPr="009E7AF6">
        <w:rPr>
          <w:rFonts w:ascii="Simplified Arabic" w:hAnsi="Simplified Arabic" w:cs="Simplified Arabic" w:hint="cs"/>
          <w:sz w:val="24"/>
          <w:szCs w:val="24"/>
          <w:rtl/>
        </w:rPr>
        <w:t>؟.</w:t>
      </w:r>
      <w:r w:rsidRPr="00E81B5A">
        <w:rPr>
          <w:rFonts w:ascii="Simplified Arabic" w:eastAsia="Times New Roman" w:hAnsi="Simplified Arabic" w:cs="Simplified Arabic" w:hint="cs"/>
          <w:color w:val="202124"/>
          <w:sz w:val="24"/>
          <w:szCs w:val="24"/>
          <w:rtl/>
        </w:rPr>
        <w:t xml:space="preserve"> الهدف من السؤال، </w:t>
      </w:r>
      <w:r w:rsidRPr="00E81B5A">
        <w:rPr>
          <w:rFonts w:ascii="Simplified Arabic" w:hAnsi="Simplified Arabic" w:cs="Simplified Arabic" w:hint="cs"/>
          <w:sz w:val="24"/>
          <w:szCs w:val="24"/>
          <w:rtl/>
          <w:lang w:val="en-US"/>
        </w:rPr>
        <w:t xml:space="preserve">معرفة درجة تفكير </w:t>
      </w:r>
      <w:r w:rsidR="003A64AB">
        <w:rPr>
          <w:rFonts w:ascii="Simplified Arabic" w:hAnsi="Simplified Arabic" w:cs="Simplified Arabic" w:hint="cs"/>
          <w:sz w:val="24"/>
          <w:szCs w:val="24"/>
          <w:rtl/>
        </w:rPr>
        <w:t>سكان</w:t>
      </w:r>
      <w:r w:rsidR="003A64AB" w:rsidRPr="009E7AF6">
        <w:rPr>
          <w:rFonts w:ascii="Simplified Arabic" w:hAnsi="Simplified Arabic" w:cs="Simplified Arabic" w:hint="cs"/>
          <w:sz w:val="24"/>
          <w:szCs w:val="24"/>
          <w:rtl/>
        </w:rPr>
        <w:t xml:space="preserve"> </w:t>
      </w:r>
      <w:r w:rsidR="003A64AB" w:rsidRPr="00710D6A">
        <w:rPr>
          <w:rFonts w:ascii="Simplified Arabic" w:hAnsi="Simplified Arabic" w:cs="Simplified Arabic" w:hint="cs"/>
          <w:sz w:val="24"/>
          <w:szCs w:val="24"/>
          <w:rtl/>
          <w:lang w:val="en-US"/>
        </w:rPr>
        <w:t>أحياء: سيدي سليمان، ميطر، الحمايد والباطن</w:t>
      </w:r>
      <w:r w:rsidR="003A64AB" w:rsidRPr="009E7AF6">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val="en-US"/>
        </w:rPr>
        <w:t>ب</w:t>
      </w:r>
      <w:r w:rsidRPr="00E81B5A">
        <w:rPr>
          <w:rFonts w:ascii="Simplified Arabic" w:hAnsi="Simplified Arabic" w:cs="Simplified Arabic" w:hint="cs"/>
          <w:sz w:val="24"/>
          <w:szCs w:val="24"/>
          <w:rtl/>
          <w:lang w:val="en-US"/>
        </w:rPr>
        <w:t>ا</w:t>
      </w:r>
      <w:r w:rsidR="003A64AB">
        <w:rPr>
          <w:rFonts w:ascii="Simplified Arabic" w:hAnsi="Simplified Arabic" w:cs="Simplified Arabic" w:hint="cs"/>
          <w:sz w:val="24"/>
          <w:szCs w:val="24"/>
          <w:rtl/>
          <w:lang w:val="en-US"/>
        </w:rPr>
        <w:t xml:space="preserve">لمسافة </w:t>
      </w:r>
      <w:r w:rsidR="00B03921">
        <w:rPr>
          <w:rFonts w:ascii="Simplified Arabic" w:hAnsi="Simplified Arabic" w:cs="Simplified Arabic" w:hint="cs"/>
          <w:sz w:val="24"/>
          <w:szCs w:val="24"/>
          <w:rtl/>
          <w:lang w:val="en-US"/>
        </w:rPr>
        <w:t>التي يستطيعون قطعها مشيا</w:t>
      </w:r>
      <w:r w:rsidR="003A64AB">
        <w:rPr>
          <w:rFonts w:ascii="Simplified Arabic" w:hAnsi="Simplified Arabic" w:cs="Simplified Arabic" w:hint="cs"/>
          <w:sz w:val="24"/>
          <w:szCs w:val="24"/>
          <w:rtl/>
          <w:lang w:val="en-US"/>
        </w:rPr>
        <w:t xml:space="preserve"> بين </w:t>
      </w:r>
      <w:r w:rsidR="00B03921" w:rsidRPr="00E81B5A">
        <w:rPr>
          <w:rFonts w:ascii="Simplified Arabic" w:hAnsi="Simplified Arabic" w:cs="Simplified Arabic" w:hint="cs"/>
          <w:sz w:val="24"/>
          <w:szCs w:val="24"/>
          <w:rtl/>
          <w:lang w:val="en-US"/>
        </w:rPr>
        <w:t xml:space="preserve">المسكن </w:t>
      </w:r>
      <w:r w:rsidR="00B03921">
        <w:rPr>
          <w:rFonts w:ascii="Simplified Arabic" w:hAnsi="Simplified Arabic" w:cs="Simplified Arabic" w:hint="cs"/>
          <w:sz w:val="24"/>
          <w:szCs w:val="24"/>
          <w:rtl/>
          <w:lang w:val="en-US"/>
        </w:rPr>
        <w:t>و</w:t>
      </w:r>
      <w:r w:rsidRPr="00E81B5A">
        <w:rPr>
          <w:rFonts w:ascii="Simplified Arabic" w:hAnsi="Simplified Arabic" w:cs="Simplified Arabic" w:hint="cs"/>
          <w:sz w:val="24"/>
          <w:szCs w:val="24"/>
          <w:rtl/>
          <w:lang w:val="en-US"/>
        </w:rPr>
        <w:t>المرافق.</w:t>
      </w:r>
    </w:p>
    <w:p w:rsidR="00FA1F87" w:rsidRDefault="00FA1F87" w:rsidP="00E71572">
      <w:pPr>
        <w:bidi/>
        <w:spacing w:before="240" w:after="0"/>
        <w:ind w:firstLine="282"/>
        <w:jc w:val="both"/>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b/>
          <w:sz w:val="24"/>
          <w:szCs w:val="24"/>
          <w:rtl/>
          <w:lang w:val="en-US" w:eastAsia="fr-FR"/>
        </w:rPr>
        <w:t>من</w:t>
      </w:r>
      <w:r w:rsidRPr="00ED27A7">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خلال الجدول (5-18)، </w:t>
      </w:r>
      <w:r w:rsidRPr="00522002">
        <w:rPr>
          <w:rFonts w:ascii="Simplified Arabic" w:eastAsia="Times New Roman" w:hAnsi="Simplified Arabic" w:cs="Simplified Arabic" w:hint="cs"/>
          <w:color w:val="000000"/>
          <w:sz w:val="24"/>
          <w:szCs w:val="24"/>
          <w:rtl/>
          <w:lang w:eastAsia="fr-FR"/>
        </w:rPr>
        <w:t>تم</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 xml:space="preserve">حساب </w:t>
      </w:r>
      <w:r w:rsidRPr="00AB540E">
        <w:rPr>
          <w:rFonts w:ascii="Simplified Arabic" w:eastAsia="Times New Roman" w:hAnsi="Simplified Arabic" w:cs="Simplified Arabic"/>
          <w:color w:val="000000"/>
          <w:sz w:val="24"/>
          <w:szCs w:val="24"/>
          <w:rtl/>
          <w:lang w:eastAsia="fr-FR"/>
        </w:rPr>
        <w:t xml:space="preserve">المتوسط المرجح لقيمة </w:t>
      </w:r>
      <w:r w:rsidRPr="00AB540E">
        <w:rPr>
          <w:rFonts w:ascii="Simplified Arabic" w:eastAsia="Times New Roman" w:hAnsi="Simplified Arabic" w:cs="Simplified Arabic" w:hint="cs"/>
          <w:color w:val="000000"/>
          <w:sz w:val="24"/>
          <w:szCs w:val="24"/>
          <w:rtl/>
          <w:lang w:eastAsia="fr-FR"/>
        </w:rPr>
        <w:t>الملائمة</w:t>
      </w:r>
      <w:r w:rsidRPr="00AB540E">
        <w:rPr>
          <w:rFonts w:ascii="Simplified Arabic" w:eastAsia="Times New Roman" w:hAnsi="Simplified Arabic" w:cs="Simplified Arabic"/>
          <w:color w:val="000000"/>
          <w:sz w:val="24"/>
          <w:szCs w:val="24"/>
          <w:rtl/>
          <w:lang w:eastAsia="fr-FR"/>
        </w:rPr>
        <w:t xml:space="preserve"> </w:t>
      </w:r>
      <w:r w:rsidRPr="00AB540E">
        <w:rPr>
          <w:rFonts w:asciiTheme="majorBidi" w:eastAsia="Times New Roman" w:hAnsiTheme="majorBidi" w:cstheme="majorBidi"/>
          <w:color w:val="000000"/>
          <w:sz w:val="24"/>
          <w:szCs w:val="24"/>
          <w:rtl/>
          <w:lang w:eastAsia="fr-FR"/>
        </w:rPr>
        <w:t>(</w:t>
      </w:r>
      <w:r w:rsidRPr="00AB540E">
        <w:rPr>
          <w:rFonts w:asciiTheme="majorBidi" w:eastAsia="Times New Roman" w:hAnsiTheme="majorBidi" w:cstheme="majorBidi"/>
          <w:color w:val="000000"/>
          <w:sz w:val="24"/>
          <w:szCs w:val="24"/>
          <w:lang w:eastAsia="fr-FR"/>
        </w:rPr>
        <w:t>x̅</w:t>
      </w:r>
      <w:r w:rsidRPr="00AB540E">
        <w:rPr>
          <w:rFonts w:asciiTheme="majorBidi" w:eastAsia="Times New Roman" w:hAnsiTheme="majorBidi" w:cstheme="majorBidi"/>
          <w:color w:val="000000"/>
          <w:sz w:val="24"/>
          <w:szCs w:val="24"/>
          <w:rtl/>
          <w:lang w:eastAsia="fr-FR"/>
        </w:rPr>
        <w:t>)</w:t>
      </w:r>
      <w:r>
        <w:rPr>
          <w:rFonts w:asciiTheme="majorBidi" w:eastAsia="Times New Roman" w:hAnsiTheme="majorBidi" w:cstheme="majorBidi" w:hint="cs"/>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واستخدامه</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لجميع</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الاستجابات</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كمقياس</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معتمد</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لتحديد</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مستوى</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أهمية</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المسافات المقترحة</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 xml:space="preserve">لتقييم </w:t>
      </w:r>
      <w:r w:rsidRPr="00522002">
        <w:rPr>
          <w:rFonts w:ascii="Simplified Arabic" w:eastAsia="Times New Roman" w:hAnsi="Simplified Arabic" w:cs="Simplified Arabic"/>
          <w:color w:val="000000"/>
          <w:sz w:val="24"/>
          <w:szCs w:val="24"/>
          <w:rtl/>
          <w:lang w:eastAsia="fr-FR"/>
        </w:rPr>
        <w:t xml:space="preserve">المسافة </w:t>
      </w:r>
      <w:r w:rsidRPr="00522002">
        <w:rPr>
          <w:rFonts w:ascii="Simplified Arabic" w:eastAsia="Times New Roman" w:hAnsi="Simplified Arabic" w:cs="Simplified Arabic" w:hint="cs"/>
          <w:color w:val="000000"/>
          <w:sz w:val="24"/>
          <w:szCs w:val="24"/>
          <w:rtl/>
          <w:lang w:eastAsia="fr-FR"/>
        </w:rPr>
        <w:t>ال</w:t>
      </w:r>
      <w:r w:rsidRPr="00522002">
        <w:rPr>
          <w:rFonts w:ascii="Simplified Arabic" w:eastAsia="Times New Roman" w:hAnsi="Simplified Arabic" w:cs="Simplified Arabic"/>
          <w:color w:val="000000"/>
          <w:sz w:val="24"/>
          <w:szCs w:val="24"/>
          <w:rtl/>
          <w:lang w:eastAsia="fr-FR"/>
        </w:rPr>
        <w:t xml:space="preserve">ملائمة </w:t>
      </w:r>
      <w:r w:rsidRPr="00522002">
        <w:rPr>
          <w:rFonts w:ascii="Simplified Arabic" w:eastAsia="Times New Roman" w:hAnsi="Simplified Arabic" w:cs="Simplified Arabic" w:hint="cs"/>
          <w:color w:val="000000"/>
          <w:sz w:val="24"/>
          <w:szCs w:val="24"/>
          <w:rtl/>
          <w:lang w:eastAsia="fr-FR"/>
        </w:rPr>
        <w:t>للسير</w:t>
      </w:r>
      <w:r w:rsidRPr="00522002">
        <w:rPr>
          <w:rFonts w:ascii="Simplified Arabic" w:eastAsia="Times New Roman" w:hAnsi="Simplified Arabic" w:cs="Simplified Arabic"/>
          <w:color w:val="000000"/>
          <w:sz w:val="24"/>
          <w:szCs w:val="24"/>
          <w:rtl/>
          <w:lang w:eastAsia="fr-FR"/>
        </w:rPr>
        <w:t xml:space="preserve"> مشيا بين </w:t>
      </w:r>
      <w:r w:rsidRPr="00522002">
        <w:rPr>
          <w:rFonts w:ascii="Simplified Arabic" w:eastAsia="Times New Roman" w:hAnsi="Simplified Arabic" w:cs="Simplified Arabic" w:hint="cs"/>
          <w:color w:val="000000"/>
          <w:sz w:val="24"/>
          <w:szCs w:val="24"/>
          <w:rtl/>
          <w:lang w:eastAsia="fr-FR"/>
        </w:rPr>
        <w:t>ال</w:t>
      </w:r>
      <w:r w:rsidRPr="00522002">
        <w:rPr>
          <w:rFonts w:ascii="Simplified Arabic" w:eastAsia="Times New Roman" w:hAnsi="Simplified Arabic" w:cs="Simplified Arabic"/>
          <w:color w:val="000000"/>
          <w:sz w:val="24"/>
          <w:szCs w:val="24"/>
          <w:rtl/>
          <w:lang w:eastAsia="fr-FR"/>
        </w:rPr>
        <w:t>مر</w:t>
      </w:r>
      <w:r w:rsidRPr="00522002">
        <w:rPr>
          <w:rFonts w:ascii="Simplified Arabic" w:eastAsia="Times New Roman" w:hAnsi="Simplified Arabic" w:cs="Simplified Arabic" w:hint="cs"/>
          <w:color w:val="000000"/>
          <w:sz w:val="24"/>
          <w:szCs w:val="24"/>
          <w:rtl/>
          <w:lang w:eastAsia="fr-FR"/>
        </w:rPr>
        <w:t>ا</w:t>
      </w:r>
      <w:r w:rsidRPr="00522002">
        <w:rPr>
          <w:rFonts w:ascii="Simplified Arabic" w:eastAsia="Times New Roman" w:hAnsi="Simplified Arabic" w:cs="Simplified Arabic"/>
          <w:color w:val="000000"/>
          <w:sz w:val="24"/>
          <w:szCs w:val="24"/>
          <w:rtl/>
          <w:lang w:eastAsia="fr-FR"/>
        </w:rPr>
        <w:t>فق</w:t>
      </w:r>
      <w:r w:rsidRPr="00522002">
        <w:rPr>
          <w:rFonts w:ascii="Simplified Arabic" w:eastAsia="Times New Roman" w:hAnsi="Simplified Arabic" w:cs="Simplified Arabic" w:hint="cs"/>
          <w:color w:val="000000"/>
          <w:sz w:val="24"/>
          <w:szCs w:val="24"/>
          <w:rtl/>
          <w:lang w:eastAsia="fr-FR"/>
        </w:rPr>
        <w:t xml:space="preserve"> </w:t>
      </w:r>
      <w:r w:rsidRPr="00522002">
        <w:rPr>
          <w:rFonts w:ascii="Simplified Arabic" w:eastAsia="Times New Roman" w:hAnsi="Simplified Arabic" w:cs="Simplified Arabic"/>
          <w:color w:val="000000"/>
          <w:sz w:val="24"/>
          <w:szCs w:val="24"/>
          <w:rtl/>
          <w:lang w:eastAsia="fr-FR"/>
        </w:rPr>
        <w:t>و</w:t>
      </w:r>
      <w:r w:rsidRPr="00522002">
        <w:rPr>
          <w:rFonts w:ascii="Simplified Arabic" w:eastAsia="Times New Roman" w:hAnsi="Simplified Arabic" w:cs="Simplified Arabic" w:hint="cs"/>
          <w:color w:val="000000"/>
          <w:sz w:val="24"/>
          <w:szCs w:val="24"/>
          <w:rtl/>
          <w:lang w:eastAsia="fr-FR"/>
        </w:rPr>
        <w:t>ال</w:t>
      </w:r>
      <w:r w:rsidRPr="00522002">
        <w:rPr>
          <w:rFonts w:ascii="Simplified Arabic" w:eastAsia="Times New Roman" w:hAnsi="Simplified Arabic" w:cs="Simplified Arabic"/>
          <w:color w:val="000000"/>
          <w:sz w:val="24"/>
          <w:szCs w:val="24"/>
          <w:rtl/>
          <w:lang w:eastAsia="fr-FR"/>
        </w:rPr>
        <w:t>مسكن.</w:t>
      </w:r>
      <w:r w:rsidRPr="00522002">
        <w:rPr>
          <w:rFonts w:ascii="Simplified Arabic" w:eastAsia="Times New Roman" w:hAnsi="Simplified Arabic" w:cs="Simplified Arabic" w:hint="cs"/>
          <w:color w:val="000000"/>
          <w:sz w:val="24"/>
          <w:szCs w:val="24"/>
          <w:rtl/>
          <w:lang w:eastAsia="fr-FR"/>
        </w:rPr>
        <w:t xml:space="preserve"> </w:t>
      </w:r>
      <w:r w:rsidRPr="00522002">
        <w:rPr>
          <w:rFonts w:ascii="Simplified Arabic" w:eastAsia="Times New Roman" w:hAnsi="Simplified Arabic" w:cs="Simplified Arabic"/>
          <w:color w:val="000000"/>
          <w:sz w:val="24"/>
          <w:szCs w:val="24"/>
          <w:rtl/>
          <w:lang w:eastAsia="fr-FR"/>
        </w:rPr>
        <w:t>تراوحت قيم المتوسط الحسابي</w:t>
      </w:r>
      <w:r w:rsidRPr="00A52E7E">
        <w:rPr>
          <w:rFonts w:asciiTheme="majorBidi" w:hAnsiTheme="majorBidi" w:cstheme="majorBidi"/>
          <w:sz w:val="24"/>
          <w:szCs w:val="24"/>
          <w:rtl/>
          <w:lang w:val="en-US"/>
        </w:rPr>
        <w:t xml:space="preserve"> (</w:t>
      </w:r>
      <w:r w:rsidRPr="00A52E7E">
        <w:rPr>
          <w:rFonts w:asciiTheme="majorBidi" w:hAnsiTheme="majorBidi" w:cstheme="majorBidi"/>
          <w:sz w:val="24"/>
          <w:szCs w:val="24"/>
          <w:lang w:val="en-US"/>
        </w:rPr>
        <w:t>x̅</w:t>
      </w:r>
      <w:r w:rsidRPr="00A52E7E">
        <w:rPr>
          <w:rFonts w:asciiTheme="majorBidi" w:hAnsiTheme="majorBidi" w:cstheme="majorBidi"/>
          <w:sz w:val="24"/>
          <w:szCs w:val="24"/>
          <w:rtl/>
          <w:lang w:val="en-US"/>
        </w:rPr>
        <w:t>)</w:t>
      </w:r>
      <w:r w:rsidRPr="003A0045">
        <w:rPr>
          <w:rFonts w:asciiTheme="minorBidi" w:hAnsiTheme="minorBidi" w:cs="Arial"/>
          <w:sz w:val="28"/>
          <w:szCs w:val="28"/>
          <w:rtl/>
          <w:lang w:val="en-US"/>
        </w:rPr>
        <w:t xml:space="preserve"> </w:t>
      </w:r>
      <w:r w:rsidRPr="00522002">
        <w:rPr>
          <w:rFonts w:ascii="Simplified Arabic" w:eastAsia="Times New Roman" w:hAnsi="Simplified Arabic" w:cs="Simplified Arabic" w:hint="cs"/>
          <w:color w:val="000000"/>
          <w:sz w:val="24"/>
          <w:szCs w:val="24"/>
          <w:rtl/>
          <w:lang w:eastAsia="fr-FR"/>
        </w:rPr>
        <w:t>بين</w:t>
      </w:r>
      <w:r w:rsidRPr="00522002">
        <w:rPr>
          <w:rFonts w:ascii="Simplified Arabic" w:eastAsia="Times New Roman" w:hAnsi="Simplified Arabic" w:cs="Simplified Arabic"/>
          <w:color w:val="000000"/>
          <w:sz w:val="24"/>
          <w:szCs w:val="24"/>
          <w:rtl/>
          <w:lang w:eastAsia="fr-FR"/>
        </w:rPr>
        <w:t xml:space="preserve"> 2,94</w:t>
      </w:r>
      <w:r w:rsidRPr="00522002">
        <w:rPr>
          <w:rFonts w:ascii="Simplified Arabic" w:eastAsia="Times New Roman" w:hAnsi="Simplified Arabic" w:cs="Simplified Arabic" w:hint="cs"/>
          <w:color w:val="000000"/>
          <w:sz w:val="24"/>
          <w:szCs w:val="24"/>
          <w:rtl/>
          <w:lang w:eastAsia="fr-FR"/>
        </w:rPr>
        <w:t xml:space="preserve"> و</w:t>
      </w:r>
      <w:r w:rsidRPr="00522002">
        <w:rPr>
          <w:rFonts w:ascii="Simplified Arabic" w:eastAsia="Times New Roman" w:hAnsi="Simplified Arabic" w:cs="Simplified Arabic"/>
          <w:color w:val="000000"/>
          <w:sz w:val="24"/>
          <w:szCs w:val="24"/>
          <w:rtl/>
          <w:lang w:eastAsia="fr-FR"/>
        </w:rPr>
        <w:t xml:space="preserve"> 4,26</w:t>
      </w:r>
      <w:r w:rsidRPr="00522002">
        <w:rPr>
          <w:rFonts w:ascii="Simplified Arabic" w:eastAsia="Times New Roman" w:hAnsi="Simplified Arabic" w:cs="Simplified Arabic" w:hint="cs"/>
          <w:color w:val="000000"/>
          <w:sz w:val="24"/>
          <w:szCs w:val="24"/>
          <w:rtl/>
          <w:lang w:eastAsia="fr-FR"/>
        </w:rPr>
        <w:t>.</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 xml:space="preserve">حققت اغلب المسافات المقترحة </w:t>
      </w:r>
      <w:r w:rsidRPr="00522002">
        <w:rPr>
          <w:rFonts w:ascii="Simplified Arabic" w:eastAsia="Times New Roman" w:hAnsi="Simplified Arabic" w:cs="Simplified Arabic"/>
          <w:color w:val="000000"/>
          <w:sz w:val="24"/>
          <w:szCs w:val="24"/>
          <w:rtl/>
          <w:lang w:eastAsia="fr-FR"/>
        </w:rPr>
        <w:t xml:space="preserve">قيم متوسط حسابي </w:t>
      </w:r>
      <w:r w:rsidRPr="00A52E7E">
        <w:rPr>
          <w:rFonts w:asciiTheme="majorBidi" w:hAnsiTheme="majorBidi" w:cstheme="majorBidi"/>
          <w:sz w:val="24"/>
          <w:szCs w:val="24"/>
          <w:rtl/>
          <w:lang w:val="en-US"/>
        </w:rPr>
        <w:t>(</w:t>
      </w:r>
      <w:r w:rsidRPr="00A52E7E">
        <w:rPr>
          <w:rFonts w:asciiTheme="majorBidi" w:hAnsiTheme="majorBidi" w:cstheme="majorBidi"/>
          <w:sz w:val="24"/>
          <w:szCs w:val="24"/>
          <w:lang w:val="en-US"/>
        </w:rPr>
        <w:t>x̅</w:t>
      </w:r>
      <w:r w:rsidRPr="00A52E7E">
        <w:rPr>
          <w:rFonts w:asciiTheme="majorBidi" w:hAnsiTheme="majorBidi" w:cstheme="majorBidi"/>
          <w:sz w:val="24"/>
          <w:szCs w:val="24"/>
          <w:rtl/>
          <w:lang w:val="en-US"/>
        </w:rPr>
        <w:t>)</w:t>
      </w:r>
      <w:r w:rsidRPr="003A0045">
        <w:rPr>
          <w:rFonts w:asciiTheme="minorBidi" w:hAnsiTheme="minorBidi" w:cs="Arial"/>
          <w:sz w:val="28"/>
          <w:szCs w:val="28"/>
          <w:rtl/>
          <w:lang w:val="en-US"/>
        </w:rPr>
        <w:t xml:space="preserve"> </w:t>
      </w:r>
      <w:r w:rsidRPr="00522002">
        <w:rPr>
          <w:rFonts w:ascii="Simplified Arabic" w:eastAsia="Times New Roman" w:hAnsi="Simplified Arabic" w:cs="Simplified Arabic" w:hint="cs"/>
          <w:color w:val="000000"/>
          <w:sz w:val="24"/>
          <w:szCs w:val="24"/>
          <w:rtl/>
          <w:lang w:eastAsia="fr-FR"/>
        </w:rPr>
        <w:t>يفوق</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3</w:t>
      </w:r>
      <w:r w:rsidRPr="00522002">
        <w:rPr>
          <w:rFonts w:ascii="Simplified Arabic" w:eastAsia="Times New Roman" w:hAnsi="Simplified Arabic" w:cs="Simplified Arabic"/>
          <w:color w:val="000000"/>
          <w:sz w:val="24"/>
          <w:szCs w:val="24"/>
          <w:rtl/>
          <w:lang w:eastAsia="fr-FR"/>
        </w:rPr>
        <w:t>,</w:t>
      </w:r>
      <w:r w:rsidRPr="00522002">
        <w:rPr>
          <w:rFonts w:ascii="Simplified Arabic" w:eastAsia="Times New Roman" w:hAnsi="Simplified Arabic" w:cs="Simplified Arabic" w:hint="cs"/>
          <w:color w:val="000000"/>
          <w:sz w:val="24"/>
          <w:szCs w:val="24"/>
          <w:rtl/>
          <w:lang w:eastAsia="fr-FR"/>
        </w:rPr>
        <w:t>00، ما عدا مسافة السير مشيا المقترحة بين</w:t>
      </w:r>
      <w:r>
        <w:rPr>
          <w:rFonts w:ascii="Simplified Arabic" w:eastAsia="Times New Roman" w:hAnsi="Simplified Arabic" w:cs="Simplified Arabic" w:hint="cs"/>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المسكن و</w:t>
      </w:r>
      <w:r w:rsidRPr="0054108A">
        <w:rPr>
          <w:rFonts w:ascii="Simplified Arabic" w:eastAsia="Times New Roman" w:hAnsi="Simplified Arabic" w:cs="Simplified Arabic"/>
          <w:color w:val="000000"/>
          <w:sz w:val="24"/>
          <w:szCs w:val="24"/>
          <w:rtl/>
          <w:lang w:eastAsia="fr-FR"/>
        </w:rPr>
        <w:t>مراكز الإنقاذ والحماية</w:t>
      </w:r>
      <w:r>
        <w:rPr>
          <w:rFonts w:ascii="Simplified Arabic" w:eastAsia="Times New Roman" w:hAnsi="Simplified Arabic" w:cs="Simplified Arabic" w:hint="cs"/>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 xml:space="preserve">حققت </w:t>
      </w:r>
      <w:r w:rsidRPr="00522002">
        <w:rPr>
          <w:rFonts w:ascii="Simplified Arabic" w:eastAsia="Times New Roman" w:hAnsi="Simplified Arabic" w:cs="Simplified Arabic"/>
          <w:color w:val="000000"/>
          <w:sz w:val="24"/>
          <w:szCs w:val="24"/>
          <w:rtl/>
          <w:lang w:eastAsia="fr-FR"/>
        </w:rPr>
        <w:t>قيم</w:t>
      </w:r>
      <w:r w:rsidRPr="00522002">
        <w:rPr>
          <w:rFonts w:ascii="Simplified Arabic" w:eastAsia="Times New Roman" w:hAnsi="Simplified Arabic" w:cs="Simplified Arabic" w:hint="cs"/>
          <w:color w:val="000000"/>
          <w:sz w:val="24"/>
          <w:szCs w:val="24"/>
          <w:rtl/>
          <w:lang w:eastAsia="fr-FR"/>
        </w:rPr>
        <w:t>ة</w:t>
      </w:r>
      <w:r w:rsidRPr="00522002">
        <w:rPr>
          <w:rFonts w:ascii="Simplified Arabic" w:eastAsia="Times New Roman" w:hAnsi="Simplified Arabic" w:cs="Simplified Arabic"/>
          <w:color w:val="000000"/>
          <w:sz w:val="24"/>
          <w:szCs w:val="24"/>
          <w:rtl/>
          <w:lang w:eastAsia="fr-FR"/>
        </w:rPr>
        <w:t xml:space="preserve"> متوسط حسابي </w:t>
      </w:r>
      <w:r w:rsidRPr="00A52E7E">
        <w:rPr>
          <w:rFonts w:asciiTheme="majorBidi" w:hAnsiTheme="majorBidi" w:cstheme="majorBidi"/>
          <w:sz w:val="24"/>
          <w:szCs w:val="24"/>
          <w:rtl/>
          <w:lang w:val="en-US"/>
        </w:rPr>
        <w:t>(</w:t>
      </w:r>
      <w:r w:rsidRPr="00A52E7E">
        <w:rPr>
          <w:rFonts w:asciiTheme="majorBidi" w:hAnsiTheme="majorBidi" w:cstheme="majorBidi"/>
          <w:sz w:val="24"/>
          <w:szCs w:val="24"/>
          <w:lang w:val="en-US"/>
        </w:rPr>
        <w:t>x̅</w:t>
      </w:r>
      <w:r w:rsidRPr="00A52E7E">
        <w:rPr>
          <w:rFonts w:asciiTheme="majorBidi" w:hAnsiTheme="majorBidi" w:cstheme="majorBidi"/>
          <w:sz w:val="24"/>
          <w:szCs w:val="24"/>
          <w:rtl/>
          <w:lang w:val="en-US"/>
        </w:rPr>
        <w:t>)</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اقل من</w:t>
      </w:r>
      <w:r w:rsidRPr="00522002">
        <w:rPr>
          <w:rFonts w:ascii="Simplified Arabic" w:eastAsia="Times New Roman" w:hAnsi="Simplified Arabic" w:cs="Simplified Arabic"/>
          <w:color w:val="000000"/>
          <w:sz w:val="24"/>
          <w:szCs w:val="24"/>
          <w:rtl/>
          <w:lang w:eastAsia="fr-FR"/>
        </w:rPr>
        <w:t xml:space="preserve"> </w:t>
      </w:r>
      <w:r w:rsidRPr="00522002">
        <w:rPr>
          <w:rFonts w:ascii="Simplified Arabic" w:eastAsia="Times New Roman" w:hAnsi="Simplified Arabic" w:cs="Simplified Arabic" w:hint="cs"/>
          <w:color w:val="000000"/>
          <w:sz w:val="24"/>
          <w:szCs w:val="24"/>
          <w:rtl/>
          <w:lang w:eastAsia="fr-FR"/>
        </w:rPr>
        <w:t>3</w:t>
      </w:r>
      <w:r w:rsidRPr="00522002">
        <w:rPr>
          <w:rFonts w:ascii="Simplified Arabic" w:eastAsia="Times New Roman" w:hAnsi="Simplified Arabic" w:cs="Simplified Arabic"/>
          <w:color w:val="000000"/>
          <w:sz w:val="24"/>
          <w:szCs w:val="24"/>
          <w:rtl/>
          <w:lang w:eastAsia="fr-FR"/>
        </w:rPr>
        <w:t>,</w:t>
      </w:r>
      <w:r w:rsidRPr="00522002">
        <w:rPr>
          <w:rFonts w:ascii="Simplified Arabic" w:eastAsia="Times New Roman" w:hAnsi="Simplified Arabic" w:cs="Simplified Arabic" w:hint="cs"/>
          <w:color w:val="000000"/>
          <w:sz w:val="24"/>
          <w:szCs w:val="24"/>
          <w:rtl/>
          <w:lang w:eastAsia="fr-FR"/>
        </w:rPr>
        <w:t>00.</w:t>
      </w:r>
    </w:p>
    <w:p w:rsidR="00E71572" w:rsidRDefault="009217B0" w:rsidP="00E71572">
      <w:pPr>
        <w:bidi/>
        <w:spacing w:before="240" w:after="0"/>
        <w:ind w:firstLine="282"/>
        <w:jc w:val="both"/>
        <w:rPr>
          <w:rFonts w:ascii="Simplified Arabic" w:hAnsi="Simplified Arabic" w:cs="Simplified Arabic"/>
          <w:color w:val="000000" w:themeColor="text1"/>
          <w:sz w:val="24"/>
          <w:szCs w:val="24"/>
          <w:rtl/>
          <w:lang w:val="en-US"/>
        </w:rPr>
      </w:pPr>
      <w:r w:rsidRPr="00DF247F">
        <w:rPr>
          <w:rFonts w:ascii="Simplified Arabic" w:hAnsi="Simplified Arabic" w:cs="Simplified Arabic" w:hint="cs"/>
          <w:color w:val="000000" w:themeColor="text1"/>
          <w:sz w:val="24"/>
          <w:szCs w:val="24"/>
          <w:rtl/>
          <w:lang w:val="en-US"/>
        </w:rPr>
        <w:t>من خلال اعمدة</w:t>
      </w:r>
      <w:r w:rsidR="00C121B0" w:rsidRPr="00DF247F">
        <w:rPr>
          <w:rFonts w:ascii="Simplified Arabic" w:hAnsi="Simplified Arabic" w:cs="Simplified Arabic" w:hint="cs"/>
          <w:color w:val="000000" w:themeColor="text1"/>
          <w:sz w:val="24"/>
          <w:szCs w:val="24"/>
          <w:rtl/>
          <w:lang w:val="en-US"/>
        </w:rPr>
        <w:t xml:space="preserve"> الشكل (</w:t>
      </w:r>
      <w:r w:rsidR="00FB1F88" w:rsidRPr="00DF247F">
        <w:rPr>
          <w:rFonts w:ascii="Simplified Arabic" w:hAnsi="Simplified Arabic" w:cs="Simplified Arabic" w:hint="cs"/>
          <w:color w:val="000000" w:themeColor="text1"/>
          <w:sz w:val="24"/>
          <w:szCs w:val="24"/>
          <w:rtl/>
          <w:lang w:val="en-US"/>
        </w:rPr>
        <w:t>5-</w:t>
      </w:r>
      <w:r w:rsidR="00191509" w:rsidRPr="00DF247F">
        <w:rPr>
          <w:rFonts w:ascii="Simplified Arabic" w:hAnsi="Simplified Arabic" w:cs="Simplified Arabic" w:hint="cs"/>
          <w:color w:val="000000" w:themeColor="text1"/>
          <w:sz w:val="24"/>
          <w:szCs w:val="24"/>
          <w:rtl/>
          <w:lang w:val="en-US"/>
        </w:rPr>
        <w:t>20</w:t>
      </w:r>
      <w:r w:rsidR="00C121B0" w:rsidRPr="00DF247F">
        <w:rPr>
          <w:rFonts w:ascii="Simplified Arabic" w:hAnsi="Simplified Arabic" w:cs="Simplified Arabic" w:hint="cs"/>
          <w:color w:val="000000" w:themeColor="text1"/>
          <w:sz w:val="24"/>
          <w:szCs w:val="24"/>
          <w:rtl/>
          <w:lang w:val="en-US"/>
        </w:rPr>
        <w:t>)</w:t>
      </w:r>
      <w:r w:rsidRPr="00DF247F">
        <w:rPr>
          <w:rFonts w:ascii="Simplified Arabic" w:hAnsi="Simplified Arabic" w:cs="Simplified Arabic" w:hint="cs"/>
          <w:color w:val="000000" w:themeColor="text1"/>
          <w:sz w:val="24"/>
          <w:szCs w:val="24"/>
          <w:rtl/>
          <w:lang w:val="en-US"/>
        </w:rPr>
        <w:t>، بينت غالبية</w:t>
      </w:r>
      <w:r w:rsidR="00554236" w:rsidRPr="00DF247F">
        <w:rPr>
          <w:rFonts w:ascii="Simplified Arabic" w:hAnsi="Simplified Arabic" w:cs="Simplified Arabic" w:hint="cs"/>
          <w:color w:val="000000" w:themeColor="text1"/>
          <w:sz w:val="24"/>
          <w:szCs w:val="24"/>
          <w:rtl/>
          <w:lang w:val="en-US"/>
        </w:rPr>
        <w:t xml:space="preserve"> </w:t>
      </w:r>
      <w:r w:rsidRPr="00DF247F">
        <w:rPr>
          <w:rFonts w:ascii="Simplified Arabic" w:hAnsi="Simplified Arabic" w:cs="Simplified Arabic" w:hint="cs"/>
          <w:color w:val="000000" w:themeColor="text1"/>
          <w:sz w:val="24"/>
          <w:szCs w:val="24"/>
          <w:rtl/>
          <w:lang w:val="en-US"/>
        </w:rPr>
        <w:t xml:space="preserve">ردود </w:t>
      </w:r>
      <w:r w:rsidR="00D750D7" w:rsidRPr="00DF247F">
        <w:rPr>
          <w:rFonts w:ascii="Simplified Arabic" w:hAnsi="Simplified Arabic" w:cs="Simplified Arabic" w:hint="cs"/>
          <w:color w:val="000000" w:themeColor="text1"/>
          <w:sz w:val="24"/>
          <w:szCs w:val="24"/>
          <w:rtl/>
          <w:lang w:val="en-US"/>
        </w:rPr>
        <w:t>أفراد عينة البحث ب</w:t>
      </w:r>
      <w:r w:rsidR="00D750D7" w:rsidRPr="00DF247F">
        <w:rPr>
          <w:rFonts w:ascii="Simplified Arabic" w:hAnsi="Simplified Arabic" w:cs="Simplified Arabic" w:hint="cs"/>
          <w:sz w:val="24"/>
          <w:szCs w:val="24"/>
          <w:rtl/>
          <w:lang w:val="en-US"/>
        </w:rPr>
        <w:t xml:space="preserve">أحياء: </w:t>
      </w:r>
      <w:r w:rsidR="00FA1F87" w:rsidRPr="00DF247F">
        <w:rPr>
          <w:rFonts w:ascii="Simplified Arabic" w:hAnsi="Simplified Arabic" w:cs="Simplified Arabic" w:hint="cs"/>
          <w:sz w:val="24"/>
          <w:szCs w:val="24"/>
          <w:rtl/>
          <w:lang w:val="en-US"/>
        </w:rPr>
        <w:t>سيدي سليمان، ميطر، الحمايد والباطن</w:t>
      </w:r>
      <w:r w:rsidR="00FA1F87" w:rsidRPr="00DF247F">
        <w:rPr>
          <w:rFonts w:ascii="Simplified Arabic" w:hAnsi="Simplified Arabic" w:cs="Simplified Arabic" w:hint="cs"/>
          <w:sz w:val="24"/>
          <w:szCs w:val="24"/>
          <w:rtl/>
        </w:rPr>
        <w:t xml:space="preserve"> </w:t>
      </w:r>
      <w:r w:rsidRPr="00DF247F">
        <w:rPr>
          <w:rFonts w:ascii="Simplified Arabic" w:hAnsi="Simplified Arabic" w:cs="Simplified Arabic" w:hint="cs"/>
          <w:color w:val="000000" w:themeColor="text1"/>
          <w:sz w:val="24"/>
          <w:szCs w:val="24"/>
          <w:rtl/>
          <w:lang w:val="en-US"/>
        </w:rPr>
        <w:t xml:space="preserve">ان مسافات السير مشيا المقترحة </w:t>
      </w:r>
      <w:r w:rsidR="00FA1F87" w:rsidRPr="00DF247F">
        <w:rPr>
          <w:rFonts w:ascii="Simplified Arabic" w:hAnsi="Simplified Arabic" w:cs="Simplified Arabic" w:hint="cs"/>
          <w:color w:val="000000" w:themeColor="text1"/>
          <w:sz w:val="24"/>
          <w:szCs w:val="24"/>
          <w:rtl/>
          <w:lang w:val="en-US"/>
        </w:rPr>
        <w:t>بين المسكن و(مراكز التكفل الطبي، مراكز الامن، المسافة بين</w:t>
      </w:r>
      <w:r w:rsidR="00FA1F87" w:rsidRPr="00DF247F">
        <w:rPr>
          <w:rFonts w:ascii="Simplified Arabic" w:hAnsi="Simplified Arabic" w:cs="Simplified Arabic"/>
          <w:color w:val="000000" w:themeColor="text1"/>
          <w:sz w:val="24"/>
          <w:szCs w:val="24"/>
          <w:rtl/>
          <w:lang w:val="en-US"/>
        </w:rPr>
        <w:t xml:space="preserve"> </w:t>
      </w:r>
      <w:r w:rsidR="00FA1F87" w:rsidRPr="00DF247F">
        <w:rPr>
          <w:rFonts w:ascii="Simplified Arabic" w:hAnsi="Simplified Arabic" w:cs="Simplified Arabic" w:hint="cs"/>
          <w:color w:val="000000" w:themeColor="text1"/>
          <w:sz w:val="24"/>
          <w:szCs w:val="24"/>
          <w:rtl/>
          <w:lang w:val="en-US"/>
        </w:rPr>
        <w:t>نقاط</w:t>
      </w:r>
      <w:r w:rsidR="00FA1F87" w:rsidRPr="00DF247F">
        <w:rPr>
          <w:rFonts w:ascii="Simplified Arabic" w:hAnsi="Simplified Arabic" w:cs="Simplified Arabic"/>
          <w:color w:val="000000" w:themeColor="text1"/>
          <w:sz w:val="24"/>
          <w:szCs w:val="24"/>
          <w:rtl/>
          <w:lang w:val="en-US"/>
        </w:rPr>
        <w:t xml:space="preserve"> </w:t>
      </w:r>
      <w:r w:rsidR="00FA1F87" w:rsidRPr="00DF247F">
        <w:rPr>
          <w:rFonts w:ascii="Simplified Arabic" w:hAnsi="Simplified Arabic" w:cs="Simplified Arabic" w:hint="cs"/>
          <w:color w:val="000000" w:themeColor="text1"/>
          <w:sz w:val="24"/>
          <w:szCs w:val="24"/>
          <w:rtl/>
          <w:lang w:val="en-US"/>
        </w:rPr>
        <w:t>تقاطع</w:t>
      </w:r>
      <w:r w:rsidR="00FA1F87" w:rsidRPr="00DF247F">
        <w:rPr>
          <w:rFonts w:ascii="Simplified Arabic" w:hAnsi="Simplified Arabic" w:cs="Simplified Arabic"/>
          <w:color w:val="000000" w:themeColor="text1"/>
          <w:sz w:val="24"/>
          <w:szCs w:val="24"/>
          <w:rtl/>
          <w:lang w:val="en-US"/>
        </w:rPr>
        <w:t xml:space="preserve"> </w:t>
      </w:r>
      <w:r w:rsidR="00FA1F87" w:rsidRPr="00DF247F">
        <w:rPr>
          <w:rFonts w:ascii="Simplified Arabic" w:hAnsi="Simplified Arabic" w:cs="Simplified Arabic" w:hint="cs"/>
          <w:color w:val="000000" w:themeColor="text1"/>
          <w:sz w:val="24"/>
          <w:szCs w:val="24"/>
          <w:rtl/>
          <w:lang w:val="en-US"/>
        </w:rPr>
        <w:t>شبكة</w:t>
      </w:r>
      <w:r w:rsidR="00FA1F87" w:rsidRPr="00DF247F">
        <w:rPr>
          <w:rFonts w:ascii="Simplified Arabic" w:hAnsi="Simplified Arabic" w:cs="Simplified Arabic"/>
          <w:color w:val="000000" w:themeColor="text1"/>
          <w:sz w:val="24"/>
          <w:szCs w:val="24"/>
          <w:rtl/>
          <w:lang w:val="en-US"/>
        </w:rPr>
        <w:t xml:space="preserve"> </w:t>
      </w:r>
      <w:r w:rsidR="00FA1F87" w:rsidRPr="00DF247F">
        <w:rPr>
          <w:rFonts w:ascii="Simplified Arabic" w:hAnsi="Simplified Arabic" w:cs="Simplified Arabic" w:hint="cs"/>
          <w:color w:val="000000" w:themeColor="text1"/>
          <w:sz w:val="24"/>
          <w:szCs w:val="24"/>
          <w:rtl/>
          <w:lang w:val="en-US"/>
        </w:rPr>
        <w:t>الطرق</w:t>
      </w:r>
      <w:r w:rsidR="00FA1F87" w:rsidRPr="00DF247F">
        <w:rPr>
          <w:rFonts w:ascii="Simplified Arabic" w:hAnsi="Simplified Arabic" w:cs="Simplified Arabic"/>
          <w:color w:val="000000" w:themeColor="text1"/>
          <w:sz w:val="24"/>
          <w:szCs w:val="24"/>
          <w:rtl/>
          <w:lang w:val="en-US"/>
        </w:rPr>
        <w:t xml:space="preserve"> </w:t>
      </w:r>
      <w:r w:rsidR="00FA1F87" w:rsidRPr="00DF247F">
        <w:rPr>
          <w:rFonts w:ascii="Simplified Arabic" w:hAnsi="Simplified Arabic" w:cs="Simplified Arabic" w:hint="cs"/>
          <w:color w:val="000000" w:themeColor="text1"/>
          <w:sz w:val="24"/>
          <w:szCs w:val="24"/>
          <w:rtl/>
          <w:lang w:val="en-US"/>
        </w:rPr>
        <w:t>الداخلية</w:t>
      </w:r>
      <w:r w:rsidR="00FA1F87" w:rsidRPr="00DF247F">
        <w:rPr>
          <w:rFonts w:ascii="Simplified Arabic" w:eastAsia="Times New Roman" w:hAnsi="Simplified Arabic" w:cs="Simplified Arabic" w:hint="cs"/>
          <w:color w:val="000000"/>
          <w:sz w:val="24"/>
          <w:szCs w:val="24"/>
          <w:rtl/>
          <w:lang w:eastAsia="fr-FR"/>
        </w:rPr>
        <w:t xml:space="preserve">، </w:t>
      </w:r>
      <w:r w:rsidR="00FA1F87" w:rsidRPr="00DF247F">
        <w:rPr>
          <w:rFonts w:ascii="Simplified Arabic" w:eastAsia="Times New Roman" w:hAnsi="Simplified Arabic" w:cs="Simplified Arabic"/>
          <w:color w:val="000000"/>
          <w:sz w:val="24"/>
          <w:szCs w:val="24"/>
          <w:rtl/>
          <w:lang w:eastAsia="fr-FR"/>
        </w:rPr>
        <w:t>المراكز الدينية والثقافية</w:t>
      </w:r>
      <w:r w:rsidR="00FA1F87" w:rsidRPr="00DF247F">
        <w:rPr>
          <w:rFonts w:ascii="Simplified Arabic" w:eastAsia="Times New Roman" w:hAnsi="Simplified Arabic" w:cs="Simplified Arabic" w:hint="cs"/>
          <w:color w:val="000000"/>
          <w:sz w:val="24"/>
          <w:szCs w:val="24"/>
          <w:rtl/>
          <w:lang w:eastAsia="fr-FR"/>
        </w:rPr>
        <w:t xml:space="preserve">، </w:t>
      </w:r>
      <w:r w:rsidR="00FA1F87" w:rsidRPr="00DF247F">
        <w:rPr>
          <w:rFonts w:ascii="Simplified Arabic" w:eastAsia="Times New Roman" w:hAnsi="Simplified Arabic" w:cs="Simplified Arabic"/>
          <w:color w:val="000000"/>
          <w:sz w:val="24"/>
          <w:szCs w:val="24"/>
          <w:rtl/>
          <w:lang w:eastAsia="fr-FR"/>
        </w:rPr>
        <w:t>مراكز التعليم الابتدائي</w:t>
      </w:r>
      <w:r w:rsidR="00FA1F87" w:rsidRPr="00DF247F">
        <w:rPr>
          <w:rFonts w:ascii="Simplified Arabic" w:eastAsia="Times New Roman" w:hAnsi="Simplified Arabic" w:cs="Simplified Arabic" w:hint="cs"/>
          <w:color w:val="000000"/>
          <w:sz w:val="24"/>
          <w:szCs w:val="24"/>
          <w:rtl/>
          <w:lang w:eastAsia="fr-FR"/>
        </w:rPr>
        <w:t xml:space="preserve">) </w:t>
      </w:r>
      <w:r w:rsidRPr="00DF247F">
        <w:rPr>
          <w:rFonts w:ascii="Simplified Arabic" w:hAnsi="Simplified Arabic" w:cs="Simplified Arabic" w:hint="cs"/>
          <w:color w:val="000000" w:themeColor="text1"/>
          <w:sz w:val="24"/>
          <w:szCs w:val="24"/>
          <w:rtl/>
          <w:lang w:val="en-US"/>
        </w:rPr>
        <w:t>ملائمة جدا</w:t>
      </w:r>
      <w:r w:rsidR="003B1373" w:rsidRPr="00DF247F">
        <w:rPr>
          <w:rFonts w:ascii="Simplified Arabic" w:hAnsi="Simplified Arabic" w:cs="Simplified Arabic" w:hint="cs"/>
          <w:color w:val="000000" w:themeColor="text1"/>
          <w:sz w:val="24"/>
          <w:szCs w:val="24"/>
          <w:rtl/>
          <w:lang w:val="en-US"/>
        </w:rPr>
        <w:t>،</w:t>
      </w:r>
      <w:r w:rsidRPr="00DF247F">
        <w:rPr>
          <w:rFonts w:ascii="Simplified Arabic" w:hAnsi="Simplified Arabic" w:cs="Simplified Arabic" w:hint="cs"/>
          <w:color w:val="000000" w:themeColor="text1"/>
          <w:sz w:val="24"/>
          <w:szCs w:val="24"/>
          <w:rtl/>
          <w:lang w:val="en-US"/>
        </w:rPr>
        <w:t xml:space="preserve"> </w:t>
      </w:r>
      <w:r w:rsidR="003B1373" w:rsidRPr="00DF247F">
        <w:rPr>
          <w:rFonts w:ascii="Simplified Arabic" w:hAnsi="Simplified Arabic" w:cs="Simplified Arabic" w:hint="cs"/>
          <w:color w:val="000000" w:themeColor="text1"/>
          <w:sz w:val="24"/>
          <w:szCs w:val="24"/>
          <w:rtl/>
          <w:lang w:val="en-US"/>
        </w:rPr>
        <w:t xml:space="preserve">حيث كانت قيم </w:t>
      </w:r>
      <w:r w:rsidR="003B1373" w:rsidRPr="00DF247F">
        <w:rPr>
          <w:rFonts w:ascii="Simplified Arabic" w:eastAsia="Times New Roman" w:hAnsi="Simplified Arabic" w:cs="Simplified Arabic"/>
          <w:color w:val="000000"/>
          <w:sz w:val="24"/>
          <w:szCs w:val="24"/>
          <w:rtl/>
          <w:lang w:eastAsia="fr-FR"/>
        </w:rPr>
        <w:t xml:space="preserve">المتوسط </w:t>
      </w:r>
      <w:r w:rsidR="003B1373" w:rsidRPr="00DF247F">
        <w:rPr>
          <w:rFonts w:ascii="Simplified Arabic" w:eastAsia="Times New Roman" w:hAnsi="Simplified Arabic" w:cs="Simplified Arabic" w:hint="cs"/>
          <w:color w:val="000000"/>
          <w:sz w:val="24"/>
          <w:szCs w:val="24"/>
          <w:rtl/>
          <w:lang w:eastAsia="fr-FR"/>
        </w:rPr>
        <w:t>ال</w:t>
      </w:r>
      <w:r w:rsidR="003B1373" w:rsidRPr="00DF247F">
        <w:rPr>
          <w:rFonts w:ascii="Simplified Arabic" w:eastAsia="Times New Roman" w:hAnsi="Simplified Arabic" w:cs="Simplified Arabic"/>
          <w:color w:val="000000"/>
          <w:sz w:val="24"/>
          <w:szCs w:val="24"/>
          <w:rtl/>
          <w:lang w:eastAsia="fr-FR"/>
        </w:rPr>
        <w:t>حسابي</w:t>
      </w:r>
      <w:r w:rsidR="003B1373" w:rsidRPr="00DF247F">
        <w:rPr>
          <w:rFonts w:asciiTheme="majorBidi" w:hAnsiTheme="majorBidi" w:cstheme="majorBidi"/>
          <w:sz w:val="24"/>
          <w:szCs w:val="24"/>
          <w:rtl/>
          <w:lang w:val="en-US"/>
        </w:rPr>
        <w:t xml:space="preserve"> (</w:t>
      </w:r>
      <w:r w:rsidR="003B1373" w:rsidRPr="00DF247F">
        <w:rPr>
          <w:rFonts w:asciiTheme="majorBidi" w:hAnsiTheme="majorBidi" w:cstheme="majorBidi"/>
          <w:sz w:val="24"/>
          <w:szCs w:val="24"/>
          <w:lang w:val="en-US"/>
        </w:rPr>
        <w:t>x̅</w:t>
      </w:r>
      <w:r w:rsidR="003B1373" w:rsidRPr="00DF247F">
        <w:rPr>
          <w:rFonts w:asciiTheme="majorBidi" w:hAnsiTheme="majorBidi" w:cstheme="majorBidi"/>
          <w:sz w:val="24"/>
          <w:szCs w:val="24"/>
          <w:rtl/>
          <w:lang w:val="en-US"/>
        </w:rPr>
        <w:t>)</w:t>
      </w:r>
      <w:r w:rsidR="003B1373" w:rsidRPr="00DF247F">
        <w:rPr>
          <w:rFonts w:ascii="Simplified Arabic" w:hAnsi="Simplified Arabic" w:cs="Simplified Arabic"/>
          <w:sz w:val="24"/>
          <w:szCs w:val="24"/>
          <w:rtl/>
          <w:lang w:val="en-US"/>
        </w:rPr>
        <w:t xml:space="preserve"> </w:t>
      </w:r>
      <w:r w:rsidR="003B1373" w:rsidRPr="00DF247F">
        <w:rPr>
          <w:rFonts w:ascii="Simplified Arabic" w:eastAsia="Times New Roman" w:hAnsi="Simplified Arabic" w:cs="Simplified Arabic"/>
          <w:color w:val="000000"/>
          <w:sz w:val="24"/>
          <w:szCs w:val="24"/>
          <w:rtl/>
          <w:lang w:eastAsia="fr-FR"/>
        </w:rPr>
        <w:t>ل</w:t>
      </w:r>
      <w:r w:rsidR="003B1373" w:rsidRPr="00DF247F">
        <w:rPr>
          <w:rFonts w:ascii="Simplified Arabic" w:eastAsia="Times New Roman" w:hAnsi="Simplified Arabic" w:cs="Simplified Arabic" w:hint="cs"/>
          <w:color w:val="000000"/>
          <w:sz w:val="24"/>
          <w:szCs w:val="24"/>
          <w:rtl/>
          <w:lang w:eastAsia="fr-FR"/>
        </w:rPr>
        <w:t>ملائمة</w:t>
      </w:r>
      <w:r w:rsidR="003B1373" w:rsidRPr="00DF247F">
        <w:rPr>
          <w:rFonts w:ascii="Simplified Arabic" w:eastAsia="Times New Roman" w:hAnsi="Simplified Arabic" w:cs="Simplified Arabic"/>
          <w:color w:val="000000"/>
          <w:sz w:val="24"/>
          <w:szCs w:val="24"/>
          <w:rtl/>
          <w:lang w:eastAsia="fr-FR"/>
        </w:rPr>
        <w:t xml:space="preserve"> </w:t>
      </w:r>
      <w:r w:rsidR="003B1373" w:rsidRPr="00DF247F">
        <w:rPr>
          <w:rFonts w:ascii="Simplified Arabic" w:eastAsia="Times New Roman" w:hAnsi="Simplified Arabic" w:cs="Simplified Arabic" w:hint="cs"/>
          <w:color w:val="000000"/>
          <w:sz w:val="24"/>
          <w:szCs w:val="24"/>
          <w:rtl/>
          <w:lang w:eastAsia="fr-FR"/>
        </w:rPr>
        <w:t xml:space="preserve">المسافة </w:t>
      </w:r>
      <w:r w:rsidR="003B1373" w:rsidRPr="00DF247F">
        <w:rPr>
          <w:rFonts w:ascii="Simplified Arabic" w:hAnsi="Simplified Arabic" w:cs="Simplified Arabic" w:hint="cs"/>
          <w:color w:val="000000" w:themeColor="text1"/>
          <w:sz w:val="24"/>
          <w:szCs w:val="24"/>
          <w:rtl/>
          <w:lang w:val="en-US"/>
        </w:rPr>
        <w:t xml:space="preserve">على </w:t>
      </w:r>
      <w:r w:rsidR="003B1373" w:rsidRPr="00DF247F">
        <w:rPr>
          <w:rFonts w:ascii="Simplified Arabic" w:hAnsi="Simplified Arabic" w:cs="Simplified Arabic" w:hint="cs"/>
          <w:sz w:val="24"/>
          <w:szCs w:val="24"/>
          <w:rtl/>
          <w:lang w:val="en-US"/>
        </w:rPr>
        <w:t>التوالي:</w:t>
      </w:r>
      <w:r w:rsidR="003B1373" w:rsidRPr="00DF247F">
        <w:rPr>
          <w:rFonts w:ascii="Simplified Arabic" w:eastAsia="Times New Roman" w:hAnsi="Simplified Arabic" w:cs="Simplified Arabic"/>
          <w:b/>
          <w:bCs/>
          <w:color w:val="000000"/>
          <w:sz w:val="24"/>
          <w:szCs w:val="24"/>
          <w:rtl/>
          <w:lang w:eastAsia="fr-FR"/>
        </w:rPr>
        <w:t xml:space="preserve"> </w:t>
      </w:r>
      <w:r w:rsidR="003B1373" w:rsidRPr="00DF247F">
        <w:rPr>
          <w:rFonts w:ascii="Simplified Arabic" w:eastAsia="Times New Roman" w:hAnsi="Simplified Arabic" w:cs="Simplified Arabic"/>
          <w:color w:val="000000"/>
          <w:sz w:val="24"/>
          <w:szCs w:val="24"/>
          <w:rtl/>
          <w:lang w:eastAsia="fr-FR"/>
        </w:rPr>
        <w:t>3,81</w:t>
      </w:r>
      <w:r w:rsidR="003B1373" w:rsidRPr="00DF247F">
        <w:rPr>
          <w:rFonts w:ascii="Simplified Arabic" w:eastAsia="Times New Roman" w:hAnsi="Simplified Arabic" w:cs="Simplified Arabic" w:hint="cs"/>
          <w:b/>
          <w:bCs/>
          <w:color w:val="000000"/>
          <w:sz w:val="24"/>
          <w:szCs w:val="24"/>
          <w:rtl/>
          <w:lang w:eastAsia="fr-FR"/>
        </w:rPr>
        <w:t xml:space="preserve">، </w:t>
      </w:r>
      <w:r w:rsidR="003B1373" w:rsidRPr="00DF247F">
        <w:rPr>
          <w:rFonts w:ascii="Simplified Arabic" w:eastAsia="Times New Roman" w:hAnsi="Simplified Arabic" w:cs="Simplified Arabic"/>
          <w:color w:val="000000"/>
          <w:sz w:val="24"/>
          <w:szCs w:val="24"/>
          <w:rtl/>
          <w:lang w:eastAsia="fr-FR"/>
        </w:rPr>
        <w:t>3,83</w:t>
      </w:r>
      <w:r w:rsidR="003B1373" w:rsidRPr="00DF247F">
        <w:rPr>
          <w:rFonts w:ascii="Simplified Arabic" w:eastAsia="Times New Roman" w:hAnsi="Simplified Arabic" w:cs="Simplified Arabic" w:hint="cs"/>
          <w:b/>
          <w:bCs/>
          <w:color w:val="000000"/>
          <w:sz w:val="24"/>
          <w:szCs w:val="24"/>
          <w:rtl/>
          <w:lang w:eastAsia="fr-FR"/>
        </w:rPr>
        <w:t xml:space="preserve">، </w:t>
      </w:r>
      <w:r w:rsidR="003B1373" w:rsidRPr="00DF247F">
        <w:rPr>
          <w:rFonts w:ascii="Simplified Arabic" w:eastAsia="Times New Roman" w:hAnsi="Simplified Arabic" w:cs="Simplified Arabic"/>
          <w:color w:val="000000"/>
          <w:sz w:val="24"/>
          <w:szCs w:val="24"/>
          <w:rtl/>
          <w:lang w:eastAsia="fr-FR"/>
        </w:rPr>
        <w:t>4,08</w:t>
      </w:r>
      <w:r w:rsidR="003B1373" w:rsidRPr="00DF247F">
        <w:rPr>
          <w:rFonts w:ascii="Simplified Arabic" w:eastAsia="Times New Roman" w:hAnsi="Simplified Arabic" w:cs="Simplified Arabic" w:hint="cs"/>
          <w:b/>
          <w:bCs/>
          <w:color w:val="000000"/>
          <w:sz w:val="24"/>
          <w:szCs w:val="24"/>
          <w:rtl/>
          <w:lang w:eastAsia="fr-FR"/>
        </w:rPr>
        <w:t xml:space="preserve"> </w:t>
      </w:r>
      <w:r w:rsidR="003B1373" w:rsidRPr="00DF247F">
        <w:rPr>
          <w:rFonts w:ascii="Simplified Arabic" w:eastAsia="Times New Roman" w:hAnsi="Simplified Arabic" w:cs="Simplified Arabic"/>
          <w:color w:val="000000"/>
          <w:sz w:val="24"/>
          <w:szCs w:val="24"/>
          <w:rtl/>
          <w:lang w:eastAsia="fr-FR"/>
        </w:rPr>
        <w:t>4,11</w:t>
      </w:r>
      <w:r w:rsidR="003B1373" w:rsidRPr="00DF247F">
        <w:rPr>
          <w:rFonts w:ascii="Simplified Arabic" w:eastAsia="Times New Roman" w:hAnsi="Simplified Arabic" w:cs="Simplified Arabic" w:hint="cs"/>
          <w:b/>
          <w:bCs/>
          <w:color w:val="000000"/>
          <w:sz w:val="24"/>
          <w:szCs w:val="24"/>
          <w:rtl/>
          <w:lang w:eastAsia="fr-FR"/>
        </w:rPr>
        <w:t xml:space="preserve">، </w:t>
      </w:r>
      <w:r w:rsidR="003B1373" w:rsidRPr="00DF247F">
        <w:rPr>
          <w:rFonts w:ascii="Simplified Arabic" w:eastAsia="Times New Roman" w:hAnsi="Simplified Arabic" w:cs="Simplified Arabic"/>
          <w:color w:val="000000"/>
          <w:sz w:val="24"/>
          <w:szCs w:val="24"/>
          <w:rtl/>
          <w:lang w:eastAsia="fr-FR"/>
        </w:rPr>
        <w:t>4,</w:t>
      </w:r>
      <w:r w:rsidR="003B1373" w:rsidRPr="00DF247F">
        <w:rPr>
          <w:rFonts w:ascii="Simplified Arabic" w:eastAsia="Times New Roman" w:hAnsi="Simplified Arabic" w:cs="Simplified Arabic" w:hint="cs"/>
          <w:color w:val="000000"/>
          <w:sz w:val="24"/>
          <w:szCs w:val="24"/>
          <w:rtl/>
          <w:lang w:eastAsia="fr-FR"/>
        </w:rPr>
        <w:t>26</w:t>
      </w:r>
      <w:r w:rsidR="003B1373" w:rsidRPr="00DF247F">
        <w:rPr>
          <w:rFonts w:ascii="Simplified Arabic" w:hAnsi="Simplified Arabic" w:cs="Simplified Arabic" w:hint="cs"/>
          <w:sz w:val="24"/>
          <w:szCs w:val="24"/>
          <w:rtl/>
          <w:lang w:val="en-US"/>
        </w:rPr>
        <w:t>.</w:t>
      </w:r>
      <w:r w:rsidRPr="00DF247F">
        <w:rPr>
          <w:rFonts w:ascii="Simplified Arabic" w:hAnsi="Simplified Arabic" w:cs="Simplified Arabic" w:hint="cs"/>
          <w:color w:val="000000" w:themeColor="text1"/>
          <w:sz w:val="24"/>
          <w:szCs w:val="24"/>
          <w:rtl/>
          <w:lang w:val="en-US"/>
        </w:rPr>
        <w:t xml:space="preserve"> </w:t>
      </w:r>
    </w:p>
    <w:p w:rsidR="005255A5" w:rsidRPr="00DF247F" w:rsidRDefault="0097332C" w:rsidP="00E71572">
      <w:pPr>
        <w:bidi/>
        <w:spacing w:after="0"/>
        <w:ind w:firstLine="282"/>
        <w:jc w:val="both"/>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مقابل ذلك،</w:t>
      </w:r>
      <w:r w:rsidR="009217B0" w:rsidRPr="00DF247F">
        <w:rPr>
          <w:rFonts w:ascii="Simplified Arabic" w:hAnsi="Simplified Arabic" w:cs="Simplified Arabic" w:hint="cs"/>
          <w:color w:val="000000" w:themeColor="text1"/>
          <w:sz w:val="24"/>
          <w:szCs w:val="24"/>
          <w:rtl/>
          <w:lang w:val="en-US"/>
        </w:rPr>
        <w:t xml:space="preserve"> </w:t>
      </w:r>
      <w:r w:rsidRPr="00DF247F">
        <w:rPr>
          <w:rFonts w:ascii="Simplified Arabic" w:hAnsi="Simplified Arabic" w:cs="Simplified Arabic" w:hint="cs"/>
          <w:color w:val="000000" w:themeColor="text1"/>
          <w:sz w:val="24"/>
          <w:szCs w:val="24"/>
          <w:rtl/>
          <w:lang w:val="en-US"/>
        </w:rPr>
        <w:t xml:space="preserve">بينت ردود </w:t>
      </w:r>
      <w:r>
        <w:rPr>
          <w:rFonts w:ascii="Simplified Arabic" w:hAnsi="Simplified Arabic" w:cs="Simplified Arabic" w:hint="cs"/>
          <w:color w:val="000000" w:themeColor="text1"/>
          <w:sz w:val="24"/>
          <w:szCs w:val="24"/>
          <w:rtl/>
          <w:lang w:val="en-US"/>
        </w:rPr>
        <w:t xml:space="preserve">نفس العينة السابقة ان </w:t>
      </w:r>
      <w:r w:rsidR="009217B0" w:rsidRPr="00DF247F">
        <w:rPr>
          <w:rFonts w:ascii="Simplified Arabic" w:hAnsi="Simplified Arabic" w:cs="Simplified Arabic" w:hint="cs"/>
          <w:color w:val="000000" w:themeColor="text1"/>
          <w:sz w:val="24"/>
          <w:szCs w:val="24"/>
          <w:rtl/>
          <w:lang w:val="en-US"/>
        </w:rPr>
        <w:t>مسافة السير مشيا بين المسكن و</w:t>
      </w:r>
      <w:r w:rsidR="009217B0" w:rsidRPr="00DF247F">
        <w:rPr>
          <w:rFonts w:ascii="Simplified Arabic" w:eastAsia="Times New Roman" w:hAnsi="Simplified Arabic" w:cs="Simplified Arabic"/>
          <w:color w:val="000000"/>
          <w:sz w:val="24"/>
          <w:szCs w:val="24"/>
          <w:rtl/>
          <w:lang w:eastAsia="fr-FR"/>
        </w:rPr>
        <w:t>مراكز الإنقاذ والحماية</w:t>
      </w:r>
      <w:r w:rsidR="003B1373" w:rsidRPr="00DF247F">
        <w:rPr>
          <w:rFonts w:ascii="Simplified Arabic" w:eastAsia="Times New Roman" w:hAnsi="Simplified Arabic" w:cs="Simplified Arabic" w:hint="cs"/>
          <w:color w:val="000000"/>
          <w:sz w:val="24"/>
          <w:szCs w:val="24"/>
          <w:rtl/>
          <w:lang w:eastAsia="fr-FR"/>
        </w:rPr>
        <w:t xml:space="preserve">، </w:t>
      </w:r>
      <w:r w:rsidR="003B1373" w:rsidRPr="00DF247F">
        <w:rPr>
          <w:rFonts w:ascii="Simplified Arabic" w:eastAsia="Times New Roman" w:hAnsi="Simplified Arabic" w:cs="Simplified Arabic" w:hint="cs"/>
          <w:b/>
          <w:sz w:val="24"/>
          <w:szCs w:val="24"/>
          <w:rtl/>
          <w:lang w:val="en-US" w:eastAsia="fr-FR"/>
        </w:rPr>
        <w:t>غير ملائمة جدا ب</w:t>
      </w:r>
      <w:r w:rsidR="003B1373" w:rsidRPr="00DF247F">
        <w:rPr>
          <w:rFonts w:ascii="Simplified Arabic" w:eastAsia="Times New Roman" w:hAnsi="Simplified Arabic" w:cs="Simplified Arabic"/>
          <w:color w:val="000000"/>
          <w:sz w:val="24"/>
          <w:szCs w:val="24"/>
          <w:rtl/>
          <w:lang w:eastAsia="fr-FR"/>
        </w:rPr>
        <w:t>قيم</w:t>
      </w:r>
      <w:r w:rsidR="003B1373" w:rsidRPr="00DF247F">
        <w:rPr>
          <w:rFonts w:ascii="Simplified Arabic" w:eastAsia="Times New Roman" w:hAnsi="Simplified Arabic" w:cs="Simplified Arabic" w:hint="cs"/>
          <w:color w:val="000000"/>
          <w:sz w:val="24"/>
          <w:szCs w:val="24"/>
          <w:rtl/>
          <w:lang w:eastAsia="fr-FR"/>
        </w:rPr>
        <w:t>ة</w:t>
      </w:r>
      <w:r w:rsidR="003B1373" w:rsidRPr="00DF247F">
        <w:rPr>
          <w:rFonts w:ascii="Simplified Arabic" w:eastAsia="Times New Roman" w:hAnsi="Simplified Arabic" w:cs="Simplified Arabic"/>
          <w:color w:val="000000"/>
          <w:sz w:val="24"/>
          <w:szCs w:val="24"/>
          <w:rtl/>
          <w:lang w:eastAsia="fr-FR"/>
        </w:rPr>
        <w:t xml:space="preserve"> متوسط حسابي</w:t>
      </w:r>
      <w:r w:rsidR="003B1373" w:rsidRPr="00DF247F">
        <w:rPr>
          <w:rFonts w:asciiTheme="majorBidi" w:hAnsiTheme="majorBidi" w:cstheme="majorBidi"/>
          <w:sz w:val="24"/>
          <w:szCs w:val="24"/>
          <w:rtl/>
          <w:lang w:val="en-US"/>
        </w:rPr>
        <w:t xml:space="preserve"> (</w:t>
      </w:r>
      <w:r w:rsidR="003B1373" w:rsidRPr="00DF247F">
        <w:rPr>
          <w:rFonts w:asciiTheme="majorBidi" w:hAnsiTheme="majorBidi" w:cstheme="majorBidi"/>
          <w:sz w:val="24"/>
          <w:szCs w:val="24"/>
          <w:lang w:val="en-US"/>
        </w:rPr>
        <w:t>x̅</w:t>
      </w:r>
      <w:r w:rsidR="003B1373" w:rsidRPr="00DF247F">
        <w:rPr>
          <w:rFonts w:asciiTheme="majorBidi" w:hAnsiTheme="majorBidi" w:cstheme="majorBidi"/>
          <w:sz w:val="24"/>
          <w:szCs w:val="24"/>
          <w:rtl/>
          <w:lang w:val="en-US"/>
        </w:rPr>
        <w:t>)</w:t>
      </w:r>
      <w:r w:rsidR="003B1373" w:rsidRPr="00DF247F">
        <w:rPr>
          <w:rFonts w:asciiTheme="minorBidi" w:hAnsiTheme="minorBidi" w:cs="Arial"/>
          <w:sz w:val="28"/>
          <w:szCs w:val="28"/>
          <w:rtl/>
          <w:lang w:val="en-US"/>
        </w:rPr>
        <w:t xml:space="preserve"> </w:t>
      </w:r>
      <w:r w:rsidR="003B1373" w:rsidRPr="00DF247F">
        <w:rPr>
          <w:rFonts w:ascii="Simplified Arabic" w:eastAsia="Times New Roman" w:hAnsi="Simplified Arabic" w:cs="Simplified Arabic"/>
          <w:color w:val="000000"/>
          <w:sz w:val="24"/>
          <w:szCs w:val="24"/>
          <w:rtl/>
          <w:lang w:eastAsia="fr-FR"/>
        </w:rPr>
        <w:t>ل</w:t>
      </w:r>
      <w:r w:rsidR="003B1373" w:rsidRPr="00DF247F">
        <w:rPr>
          <w:rFonts w:ascii="Simplified Arabic" w:eastAsia="Times New Roman" w:hAnsi="Simplified Arabic" w:cs="Simplified Arabic" w:hint="cs"/>
          <w:color w:val="000000"/>
          <w:sz w:val="24"/>
          <w:szCs w:val="24"/>
          <w:rtl/>
          <w:lang w:eastAsia="fr-FR"/>
        </w:rPr>
        <w:t>ملائمة</w:t>
      </w:r>
      <w:r w:rsidR="003B1373" w:rsidRPr="00DF247F">
        <w:rPr>
          <w:rFonts w:ascii="Simplified Arabic" w:eastAsia="Times New Roman" w:hAnsi="Simplified Arabic" w:cs="Simplified Arabic"/>
          <w:color w:val="000000"/>
          <w:sz w:val="24"/>
          <w:szCs w:val="24"/>
          <w:rtl/>
          <w:lang w:eastAsia="fr-FR"/>
        </w:rPr>
        <w:t xml:space="preserve"> </w:t>
      </w:r>
      <w:r w:rsidR="003B1373" w:rsidRPr="00DF247F">
        <w:rPr>
          <w:rFonts w:ascii="Simplified Arabic" w:eastAsia="Times New Roman" w:hAnsi="Simplified Arabic" w:cs="Simplified Arabic" w:hint="cs"/>
          <w:color w:val="000000"/>
          <w:sz w:val="24"/>
          <w:szCs w:val="24"/>
          <w:rtl/>
          <w:lang w:eastAsia="fr-FR"/>
        </w:rPr>
        <w:t xml:space="preserve">المسافة </w:t>
      </w:r>
      <w:r w:rsidR="003B1373" w:rsidRPr="00DF247F">
        <w:rPr>
          <w:rFonts w:ascii="Simplified Arabic" w:hAnsi="Simplified Arabic" w:cs="Simplified Arabic" w:hint="cs"/>
          <w:color w:val="000000" w:themeColor="text1"/>
          <w:sz w:val="24"/>
          <w:szCs w:val="24"/>
          <w:rtl/>
          <w:lang w:val="en-US"/>
        </w:rPr>
        <w:t xml:space="preserve">تساوي </w:t>
      </w:r>
      <w:r w:rsidR="003B1373" w:rsidRPr="00DF247F">
        <w:rPr>
          <w:rFonts w:ascii="Simplified Arabic" w:eastAsia="Times New Roman" w:hAnsi="Simplified Arabic" w:cs="Simplified Arabic"/>
          <w:color w:val="000000"/>
          <w:sz w:val="24"/>
          <w:szCs w:val="24"/>
          <w:rtl/>
          <w:lang w:eastAsia="fr-FR"/>
        </w:rPr>
        <w:t>2,94</w:t>
      </w:r>
      <w:r w:rsidR="009217B0" w:rsidRPr="00DF247F">
        <w:rPr>
          <w:rFonts w:ascii="Simplified Arabic" w:eastAsia="Times New Roman" w:hAnsi="Simplified Arabic" w:cs="Simplified Arabic" w:hint="cs"/>
          <w:color w:val="000000"/>
          <w:sz w:val="24"/>
          <w:szCs w:val="24"/>
          <w:rtl/>
          <w:lang w:eastAsia="fr-FR"/>
        </w:rPr>
        <w:t>.</w:t>
      </w:r>
    </w:p>
    <w:p w:rsidR="00C121B0" w:rsidRDefault="00C121B0" w:rsidP="00E71572">
      <w:pPr>
        <w:bidi/>
        <w:spacing w:before="240" w:after="0"/>
        <w:ind w:firstLine="282"/>
        <w:jc w:val="both"/>
        <w:rPr>
          <w:rFonts w:ascii="Simplified Arabic" w:hAnsi="Simplified Arabic" w:cs="Simplified Arabic"/>
          <w:color w:val="000000" w:themeColor="text1"/>
          <w:sz w:val="24"/>
          <w:szCs w:val="24"/>
          <w:rtl/>
        </w:rPr>
      </w:pPr>
      <w:r>
        <w:rPr>
          <w:rFonts w:ascii="Simplified Arabic" w:hAnsi="Simplified Arabic" w:cs="Simplified Arabic" w:hint="cs"/>
          <w:color w:val="000000" w:themeColor="text1"/>
          <w:sz w:val="24"/>
          <w:szCs w:val="24"/>
          <w:rtl/>
        </w:rPr>
        <w:t xml:space="preserve">يرى اغلب </w:t>
      </w:r>
      <w:r w:rsidR="003B1373">
        <w:rPr>
          <w:rFonts w:ascii="Simplified Arabic" w:hAnsi="Simplified Arabic" w:cs="Simplified Arabic" w:hint="cs"/>
          <w:color w:val="000000" w:themeColor="text1"/>
          <w:sz w:val="24"/>
          <w:szCs w:val="24"/>
          <w:rtl/>
        </w:rPr>
        <w:t>السكان</w:t>
      </w:r>
      <w:r>
        <w:rPr>
          <w:rFonts w:ascii="Simplified Arabic" w:hAnsi="Simplified Arabic" w:cs="Simplified Arabic" w:hint="cs"/>
          <w:color w:val="000000" w:themeColor="text1"/>
          <w:sz w:val="24"/>
          <w:szCs w:val="24"/>
          <w:rtl/>
        </w:rPr>
        <w:t xml:space="preserve"> ان </w:t>
      </w:r>
      <w:r w:rsidRPr="0054108A">
        <w:rPr>
          <w:rFonts w:ascii="Simplified Arabic" w:eastAsia="Times New Roman" w:hAnsi="Simplified Arabic" w:cs="Simplified Arabic"/>
          <w:color w:val="000000"/>
          <w:sz w:val="24"/>
          <w:szCs w:val="24"/>
          <w:rtl/>
          <w:lang w:eastAsia="fr-FR"/>
        </w:rPr>
        <w:t>مراكز الإنقاذ والحماية</w:t>
      </w:r>
      <w:r>
        <w:rPr>
          <w:rFonts w:ascii="Simplified Arabic" w:hAnsi="Simplified Arabic" w:cs="Simplified Arabic" w:hint="cs"/>
          <w:color w:val="000000" w:themeColor="text1"/>
          <w:sz w:val="24"/>
          <w:szCs w:val="24"/>
          <w:rtl/>
        </w:rPr>
        <w:t xml:space="preserve"> يجب ان تكون قريبة من مراكز الاحياء السكنية. في حين يرى البحث </w:t>
      </w:r>
      <w:r w:rsidR="003B1373">
        <w:rPr>
          <w:rFonts w:ascii="Simplified Arabic" w:hAnsi="Simplified Arabic" w:cs="Simplified Arabic" w:hint="cs"/>
          <w:color w:val="000000" w:themeColor="text1"/>
          <w:sz w:val="24"/>
          <w:szCs w:val="24"/>
          <w:rtl/>
        </w:rPr>
        <w:t xml:space="preserve">ان </w:t>
      </w:r>
      <w:r w:rsidR="00DF247F">
        <w:rPr>
          <w:rFonts w:ascii="Simplified Arabic" w:hAnsi="Simplified Arabic" w:cs="Simplified Arabic" w:hint="cs"/>
          <w:color w:val="000000" w:themeColor="text1"/>
          <w:sz w:val="24"/>
          <w:szCs w:val="24"/>
          <w:rtl/>
        </w:rPr>
        <w:t xml:space="preserve">الامر </w:t>
      </w:r>
      <w:r>
        <w:rPr>
          <w:rFonts w:ascii="Simplified Arabic" w:hAnsi="Simplified Arabic" w:cs="Simplified Arabic" w:hint="cs"/>
          <w:color w:val="000000" w:themeColor="text1"/>
          <w:sz w:val="24"/>
          <w:szCs w:val="24"/>
          <w:rtl/>
        </w:rPr>
        <w:t xml:space="preserve">يتعلق </w:t>
      </w:r>
      <w:r w:rsidR="006423F4">
        <w:rPr>
          <w:rFonts w:ascii="Simplified Arabic" w:hAnsi="Simplified Arabic" w:cs="Simplified Arabic" w:hint="cs"/>
          <w:color w:val="000000" w:themeColor="text1"/>
          <w:sz w:val="24"/>
          <w:szCs w:val="24"/>
          <w:rtl/>
        </w:rPr>
        <w:t>بسهولة وصول سيارة الاسعاف، تر</w:t>
      </w:r>
      <w:r w:rsidR="00B70857">
        <w:rPr>
          <w:rFonts w:ascii="Simplified Arabic" w:hAnsi="Simplified Arabic" w:cs="Simplified Arabic" w:hint="cs"/>
          <w:color w:val="000000" w:themeColor="text1"/>
          <w:sz w:val="24"/>
          <w:szCs w:val="24"/>
          <w:rtl/>
        </w:rPr>
        <w:t>ت</w:t>
      </w:r>
      <w:r w:rsidR="006423F4">
        <w:rPr>
          <w:rFonts w:ascii="Simplified Arabic" w:hAnsi="Simplified Arabic" w:cs="Simplified Arabic" w:hint="cs"/>
          <w:color w:val="000000" w:themeColor="text1"/>
          <w:sz w:val="24"/>
          <w:szCs w:val="24"/>
          <w:rtl/>
        </w:rPr>
        <w:t xml:space="preserve">بط سهولة الوصول </w:t>
      </w:r>
      <w:r>
        <w:rPr>
          <w:rFonts w:ascii="Simplified Arabic" w:hAnsi="Simplified Arabic" w:cs="Simplified Arabic" w:hint="cs"/>
          <w:color w:val="000000" w:themeColor="text1"/>
          <w:sz w:val="24"/>
          <w:szCs w:val="24"/>
          <w:rtl/>
        </w:rPr>
        <w:t>بعمق الطرق الشريانية وعدد تقاطعات الطرق الداخلية</w:t>
      </w:r>
      <w:r w:rsidR="006423F4">
        <w:rPr>
          <w:rFonts w:ascii="Simplified Arabic" w:hAnsi="Simplified Arabic" w:cs="Simplified Arabic" w:hint="cs"/>
          <w:color w:val="000000" w:themeColor="text1"/>
          <w:sz w:val="24"/>
          <w:szCs w:val="24"/>
          <w:rtl/>
        </w:rPr>
        <w:t>.</w:t>
      </w:r>
      <w:r>
        <w:rPr>
          <w:rFonts w:ascii="Simplified Arabic" w:hAnsi="Simplified Arabic" w:cs="Simplified Arabic" w:hint="cs"/>
          <w:color w:val="000000" w:themeColor="text1"/>
          <w:sz w:val="24"/>
          <w:szCs w:val="24"/>
          <w:rtl/>
        </w:rPr>
        <w:t xml:space="preserve"> </w:t>
      </w:r>
    </w:p>
    <w:p w:rsidR="00FD3D45" w:rsidRDefault="00FD3D45" w:rsidP="008B4DD2">
      <w:pPr>
        <w:pStyle w:val="Tableau"/>
        <w:rPr>
          <w:rtl/>
          <w:lang w:val="en-US"/>
        </w:rPr>
      </w:pPr>
      <w:bookmarkStart w:id="763" w:name="_Toc157613008"/>
    </w:p>
    <w:p w:rsidR="00C121B0" w:rsidRDefault="00C121B0" w:rsidP="008B4DD2">
      <w:pPr>
        <w:pStyle w:val="Tableau"/>
        <w:rPr>
          <w:rtl/>
          <w:lang w:val="en-US"/>
        </w:rPr>
      </w:pPr>
      <w:bookmarkStart w:id="764" w:name="_Toc171803757"/>
      <w:r w:rsidRPr="00DF404A">
        <w:rPr>
          <w:rtl/>
          <w:lang w:val="en-US"/>
        </w:rPr>
        <w:lastRenderedPageBreak/>
        <w:t xml:space="preserve">الجدول </w:t>
      </w:r>
      <w:r w:rsidRPr="009532CC">
        <w:rPr>
          <w:rFonts w:hint="cs"/>
          <w:rtl/>
          <w:lang w:val="en-US"/>
        </w:rPr>
        <w:t>(</w:t>
      </w:r>
      <w:r w:rsidR="00ED6725" w:rsidRPr="009532CC">
        <w:rPr>
          <w:rFonts w:hint="cs"/>
          <w:rtl/>
          <w:lang w:val="en-US"/>
        </w:rPr>
        <w:t>5-</w:t>
      </w:r>
      <w:r w:rsidR="00C05812" w:rsidRPr="009532CC">
        <w:rPr>
          <w:rFonts w:hint="cs"/>
          <w:rtl/>
          <w:lang w:val="en-US"/>
        </w:rPr>
        <w:t>18</w:t>
      </w:r>
      <w:r w:rsidRPr="009532CC">
        <w:rPr>
          <w:rFonts w:hint="cs"/>
          <w:rtl/>
          <w:lang w:val="en-US"/>
        </w:rPr>
        <w:t>)</w:t>
      </w:r>
      <w:r w:rsidRPr="00DF404A">
        <w:rPr>
          <w:rtl/>
          <w:lang w:val="en-US"/>
        </w:rPr>
        <w:t xml:space="preserve">: </w:t>
      </w:r>
      <w:r w:rsidR="00191509" w:rsidRPr="009532CC">
        <w:rPr>
          <w:rFonts w:hint="cs"/>
          <w:rtl/>
          <w:lang w:val="en-US"/>
        </w:rPr>
        <w:t xml:space="preserve">تحليل توزيع أفراد عيّنة </w:t>
      </w:r>
      <w:r w:rsidR="00191509" w:rsidRPr="009532CC">
        <w:rPr>
          <w:rtl/>
          <w:lang w:val="en-US"/>
        </w:rPr>
        <w:t xml:space="preserve">المسافة </w:t>
      </w:r>
      <w:r w:rsidR="00191509" w:rsidRPr="009532CC">
        <w:rPr>
          <w:rFonts w:hint="cs"/>
          <w:rtl/>
          <w:lang w:val="en-US"/>
        </w:rPr>
        <w:t>ال</w:t>
      </w:r>
      <w:r w:rsidR="00191509" w:rsidRPr="009532CC">
        <w:rPr>
          <w:rtl/>
          <w:lang w:val="en-US"/>
        </w:rPr>
        <w:t xml:space="preserve">ملائمة </w:t>
      </w:r>
      <w:r w:rsidR="00191509" w:rsidRPr="009532CC">
        <w:rPr>
          <w:rFonts w:hint="cs"/>
          <w:rtl/>
          <w:lang w:val="en-US"/>
        </w:rPr>
        <w:t>للسير</w:t>
      </w:r>
      <w:r w:rsidR="00191509" w:rsidRPr="009532CC">
        <w:rPr>
          <w:rtl/>
          <w:lang w:val="en-US"/>
        </w:rPr>
        <w:t xml:space="preserve"> مشيا بين </w:t>
      </w:r>
      <w:r w:rsidR="00191509" w:rsidRPr="009532CC">
        <w:rPr>
          <w:rFonts w:hint="cs"/>
          <w:rtl/>
          <w:lang w:val="en-US"/>
        </w:rPr>
        <w:t>ال</w:t>
      </w:r>
      <w:r w:rsidR="00191509" w:rsidRPr="009532CC">
        <w:rPr>
          <w:rtl/>
          <w:lang w:val="en-US"/>
        </w:rPr>
        <w:t>مر</w:t>
      </w:r>
      <w:r w:rsidR="00191509" w:rsidRPr="009532CC">
        <w:rPr>
          <w:rFonts w:hint="cs"/>
          <w:rtl/>
          <w:lang w:val="en-US"/>
        </w:rPr>
        <w:t>ا</w:t>
      </w:r>
      <w:r w:rsidR="00191509" w:rsidRPr="009532CC">
        <w:rPr>
          <w:rtl/>
          <w:lang w:val="en-US"/>
        </w:rPr>
        <w:t>فق</w:t>
      </w:r>
      <w:r w:rsidR="00191509" w:rsidRPr="009532CC">
        <w:rPr>
          <w:rFonts w:hint="cs"/>
          <w:rtl/>
          <w:lang w:val="en-US"/>
        </w:rPr>
        <w:t xml:space="preserve"> </w:t>
      </w:r>
      <w:r w:rsidR="00191509" w:rsidRPr="009532CC">
        <w:rPr>
          <w:rtl/>
          <w:lang w:val="en-US"/>
        </w:rPr>
        <w:t>و</w:t>
      </w:r>
      <w:r w:rsidR="00191509" w:rsidRPr="009532CC">
        <w:rPr>
          <w:rFonts w:hint="cs"/>
          <w:rtl/>
          <w:lang w:val="en-US"/>
        </w:rPr>
        <w:t>ال</w:t>
      </w:r>
      <w:r w:rsidR="00191509" w:rsidRPr="009532CC">
        <w:rPr>
          <w:rtl/>
          <w:lang w:val="en-US"/>
        </w:rPr>
        <w:t>مسكن</w:t>
      </w:r>
      <w:bookmarkEnd w:id="763"/>
      <w:bookmarkEnd w:id="764"/>
    </w:p>
    <w:p w:rsidR="00E65F90" w:rsidRPr="00E65F90" w:rsidRDefault="00E65F90" w:rsidP="00E65F90">
      <w:pPr>
        <w:pStyle w:val="fegure"/>
        <w:rPr>
          <w:sz w:val="8"/>
          <w:szCs w:val="24"/>
          <w:rtl/>
          <w:lang w:val="en-US" w:bidi="ar-DZ"/>
        </w:rPr>
      </w:pPr>
      <w:bookmarkStart w:id="765" w:name="_Toc171803758"/>
      <w:r>
        <w:rPr>
          <w:rFonts w:hint="cs"/>
          <w:sz w:val="8"/>
          <w:szCs w:val="24"/>
          <w:rtl/>
          <w:lang w:val="en-US"/>
        </w:rPr>
        <w:t>المصدر: (الباحث، 2022)</w:t>
      </w:r>
      <w:bookmarkEnd w:id="765"/>
    </w:p>
    <w:tbl>
      <w:tblPr>
        <w:bidiVisual/>
        <w:tblW w:w="8699" w:type="dxa"/>
        <w:jc w:val="center"/>
        <w:tblInd w:w="-73" w:type="dxa"/>
        <w:tblCellMar>
          <w:left w:w="70" w:type="dxa"/>
          <w:right w:w="70" w:type="dxa"/>
        </w:tblCellMar>
        <w:tblLook w:val="04A0" w:firstRow="1" w:lastRow="0" w:firstColumn="1" w:lastColumn="0" w:noHBand="0" w:noVBand="1"/>
      </w:tblPr>
      <w:tblGrid>
        <w:gridCol w:w="1939"/>
        <w:gridCol w:w="1369"/>
        <w:gridCol w:w="1041"/>
        <w:gridCol w:w="688"/>
        <w:gridCol w:w="591"/>
        <w:gridCol w:w="664"/>
        <w:gridCol w:w="622"/>
        <w:gridCol w:w="705"/>
        <w:gridCol w:w="1080"/>
      </w:tblGrid>
      <w:tr w:rsidR="00AF7197" w:rsidRPr="00FF5BA0" w:rsidTr="00F52F7D">
        <w:trPr>
          <w:trHeight w:val="760"/>
          <w:jc w:val="center"/>
        </w:trPr>
        <w:tc>
          <w:tcPr>
            <w:tcW w:w="1939" w:type="dxa"/>
            <w:vMerge w:val="restart"/>
            <w:tcBorders>
              <w:top w:val="single" w:sz="4" w:space="0" w:color="auto"/>
              <w:left w:val="single" w:sz="4" w:space="0" w:color="auto"/>
              <w:right w:val="single" w:sz="4" w:space="0" w:color="auto"/>
            </w:tcBorders>
            <w:shd w:val="clear" w:color="auto" w:fill="auto"/>
            <w:vAlign w:val="center"/>
            <w:hideMark/>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lang w:eastAsia="fr-FR"/>
              </w:rPr>
            </w:pPr>
            <w:r w:rsidRPr="00FF5BA0">
              <w:rPr>
                <w:rFonts w:ascii="Simplified Arabic" w:eastAsia="Times New Roman" w:hAnsi="Simplified Arabic" w:cs="Simplified Arabic"/>
                <w:color w:val="000000"/>
                <w:sz w:val="24"/>
                <w:szCs w:val="24"/>
                <w:rtl/>
                <w:lang w:eastAsia="fr-FR"/>
              </w:rPr>
              <w:t>العوامل</w:t>
            </w:r>
          </w:p>
        </w:tc>
        <w:tc>
          <w:tcPr>
            <w:tcW w:w="1369" w:type="dxa"/>
            <w:tcBorders>
              <w:top w:val="single" w:sz="4" w:space="0" w:color="auto"/>
              <w:left w:val="single" w:sz="4" w:space="0" w:color="auto"/>
              <w:right w:val="single" w:sz="4" w:space="0" w:color="auto"/>
            </w:tcBorders>
            <w:vAlign w:val="center"/>
          </w:tcPr>
          <w:p w:rsidR="00C121B0" w:rsidRPr="00156A79" w:rsidRDefault="00C121B0" w:rsidP="00794BA6">
            <w:pPr>
              <w:bidi/>
              <w:jc w:val="center"/>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rPr>
              <w:t>المسافة (م)</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F52F7D"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52F7D">
              <w:rPr>
                <w:rFonts w:ascii="Simplified Arabic" w:eastAsia="Times New Roman" w:hAnsi="Simplified Arabic" w:cs="Simplified Arabic"/>
                <w:color w:val="000000"/>
                <w:sz w:val="24"/>
                <w:szCs w:val="24"/>
                <w:rtl/>
                <w:lang w:eastAsia="fr-FR"/>
              </w:rPr>
              <w:t xml:space="preserve">غير ملائمة جدا </w:t>
            </w:r>
          </w:p>
        </w:tc>
        <w:tc>
          <w:tcPr>
            <w:tcW w:w="6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F52F7D"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52F7D">
              <w:rPr>
                <w:rFonts w:ascii="Simplified Arabic" w:eastAsia="Times New Roman" w:hAnsi="Simplified Arabic" w:cs="Simplified Arabic"/>
                <w:color w:val="000000"/>
                <w:sz w:val="24"/>
                <w:szCs w:val="24"/>
                <w:rtl/>
                <w:lang w:eastAsia="fr-FR"/>
              </w:rPr>
              <w:t xml:space="preserve">غير ملائمة </w:t>
            </w:r>
          </w:p>
        </w:tc>
        <w:tc>
          <w:tcPr>
            <w:tcW w:w="5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F52F7D"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52F7D">
              <w:rPr>
                <w:rFonts w:ascii="Simplified Arabic" w:eastAsia="Times New Roman" w:hAnsi="Simplified Arabic" w:cs="Simplified Arabic"/>
                <w:color w:val="000000"/>
                <w:sz w:val="24"/>
                <w:szCs w:val="24"/>
                <w:rtl/>
                <w:lang w:eastAsia="fr-FR"/>
              </w:rPr>
              <w:t xml:space="preserve">معتدل </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F52F7D"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52F7D">
              <w:rPr>
                <w:rFonts w:ascii="Simplified Arabic" w:eastAsia="Times New Roman" w:hAnsi="Simplified Arabic" w:cs="Simplified Arabic"/>
                <w:color w:val="000000"/>
                <w:sz w:val="24"/>
                <w:szCs w:val="24"/>
                <w:rtl/>
                <w:lang w:eastAsia="fr-FR"/>
              </w:rPr>
              <w:t xml:space="preserve">ملائمة </w:t>
            </w:r>
          </w:p>
        </w:tc>
        <w:tc>
          <w:tcPr>
            <w:tcW w:w="6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121B0" w:rsidRPr="00F52F7D"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52F7D">
              <w:rPr>
                <w:rFonts w:ascii="Simplified Arabic" w:eastAsia="Times New Roman" w:hAnsi="Simplified Arabic" w:cs="Simplified Arabic"/>
                <w:color w:val="000000"/>
                <w:sz w:val="24"/>
                <w:szCs w:val="24"/>
                <w:rtl/>
                <w:lang w:eastAsia="fr-FR"/>
              </w:rPr>
              <w:t xml:space="preserve">ملائمة جدا </w:t>
            </w:r>
          </w:p>
        </w:tc>
        <w:tc>
          <w:tcPr>
            <w:tcW w:w="705" w:type="dxa"/>
            <w:vMerge w:val="restart"/>
            <w:tcBorders>
              <w:top w:val="single" w:sz="4" w:space="0" w:color="auto"/>
              <w:left w:val="single" w:sz="4" w:space="0" w:color="auto"/>
              <w:right w:val="single" w:sz="4" w:space="0" w:color="auto"/>
            </w:tcBorders>
            <w:shd w:val="clear" w:color="auto" w:fill="auto"/>
            <w:vAlign w:val="center"/>
            <w:hideMark/>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F5BA0">
              <w:rPr>
                <w:rFonts w:ascii="Simplified Arabic" w:eastAsia="Times New Roman" w:hAnsi="Simplified Arabic" w:cs="Simplified Arabic"/>
                <w:color w:val="000000"/>
                <w:sz w:val="24"/>
                <w:szCs w:val="24"/>
                <w:rtl/>
                <w:lang w:eastAsia="fr-FR"/>
              </w:rPr>
              <w:t>عدد الردود</w:t>
            </w:r>
          </w:p>
        </w:tc>
        <w:tc>
          <w:tcPr>
            <w:tcW w:w="1080" w:type="dxa"/>
            <w:vMerge w:val="restart"/>
            <w:tcBorders>
              <w:top w:val="single" w:sz="4" w:space="0" w:color="auto"/>
              <w:left w:val="single" w:sz="4" w:space="0" w:color="auto"/>
              <w:right w:val="single" w:sz="4" w:space="0" w:color="auto"/>
            </w:tcBorders>
            <w:shd w:val="clear" w:color="auto" w:fill="auto"/>
            <w:vAlign w:val="center"/>
            <w:hideMark/>
          </w:tcPr>
          <w:p w:rsidR="00C121B0" w:rsidRPr="00AB540E" w:rsidRDefault="00C121B0" w:rsidP="00AB540E">
            <w:pPr>
              <w:bidi/>
              <w:spacing w:after="0" w:line="240" w:lineRule="auto"/>
              <w:jc w:val="center"/>
              <w:rPr>
                <w:rFonts w:ascii="Simplified Arabic" w:eastAsia="Times New Roman" w:hAnsi="Simplified Arabic" w:cs="Simplified Arabic"/>
                <w:color w:val="000000"/>
                <w:sz w:val="24"/>
                <w:szCs w:val="24"/>
                <w:lang w:eastAsia="fr-FR"/>
              </w:rPr>
            </w:pPr>
            <w:r w:rsidRPr="00AB540E">
              <w:rPr>
                <w:rFonts w:ascii="Simplified Arabic" w:eastAsia="Times New Roman" w:hAnsi="Simplified Arabic" w:cs="Simplified Arabic"/>
                <w:color w:val="000000"/>
                <w:sz w:val="24"/>
                <w:szCs w:val="24"/>
                <w:rtl/>
                <w:lang w:eastAsia="fr-FR"/>
              </w:rPr>
              <w:t xml:space="preserve">المتوسط المرجح  لقيمة </w:t>
            </w:r>
            <w:r w:rsidR="00AB540E" w:rsidRPr="00AB540E">
              <w:rPr>
                <w:rFonts w:ascii="Simplified Arabic" w:eastAsia="Times New Roman" w:hAnsi="Simplified Arabic" w:cs="Simplified Arabic" w:hint="cs"/>
                <w:color w:val="000000"/>
                <w:sz w:val="24"/>
                <w:szCs w:val="24"/>
                <w:rtl/>
                <w:lang w:eastAsia="fr-FR"/>
              </w:rPr>
              <w:t>الملائمة</w:t>
            </w:r>
            <w:r w:rsidRPr="00AB540E">
              <w:rPr>
                <w:rFonts w:ascii="Simplified Arabic" w:eastAsia="Times New Roman" w:hAnsi="Simplified Arabic" w:cs="Simplified Arabic"/>
                <w:color w:val="000000"/>
                <w:sz w:val="24"/>
                <w:szCs w:val="24"/>
                <w:rtl/>
                <w:lang w:eastAsia="fr-FR"/>
              </w:rPr>
              <w:t xml:space="preserve"> </w:t>
            </w:r>
            <w:r w:rsidRPr="00AB540E">
              <w:rPr>
                <w:rFonts w:asciiTheme="majorBidi" w:eastAsia="Times New Roman" w:hAnsiTheme="majorBidi" w:cstheme="majorBidi"/>
                <w:color w:val="000000"/>
                <w:sz w:val="24"/>
                <w:szCs w:val="24"/>
                <w:rtl/>
                <w:lang w:eastAsia="fr-FR"/>
              </w:rPr>
              <w:t>(</w:t>
            </w:r>
            <w:r w:rsidRPr="00AB540E">
              <w:rPr>
                <w:rFonts w:asciiTheme="majorBidi" w:eastAsia="Times New Roman" w:hAnsiTheme="majorBidi" w:cstheme="majorBidi"/>
                <w:color w:val="000000"/>
                <w:sz w:val="24"/>
                <w:szCs w:val="24"/>
                <w:lang w:eastAsia="fr-FR"/>
              </w:rPr>
              <w:t>x̅</w:t>
            </w:r>
            <w:r w:rsidRPr="00AB540E">
              <w:rPr>
                <w:rFonts w:asciiTheme="majorBidi" w:eastAsia="Times New Roman" w:hAnsiTheme="majorBidi" w:cstheme="majorBidi"/>
                <w:color w:val="000000"/>
                <w:sz w:val="24"/>
                <w:szCs w:val="24"/>
                <w:rtl/>
                <w:lang w:eastAsia="fr-FR"/>
              </w:rPr>
              <w:t>)</w:t>
            </w:r>
          </w:p>
        </w:tc>
      </w:tr>
      <w:tr w:rsidR="00AF7197" w:rsidRPr="00FF5BA0" w:rsidTr="00F52F7D">
        <w:trPr>
          <w:trHeight w:val="196"/>
          <w:jc w:val="center"/>
        </w:trPr>
        <w:tc>
          <w:tcPr>
            <w:tcW w:w="1939" w:type="dxa"/>
            <w:vMerge/>
            <w:tcBorders>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p>
        </w:tc>
        <w:tc>
          <w:tcPr>
            <w:tcW w:w="1369" w:type="dxa"/>
            <w:tcBorders>
              <w:left w:val="single" w:sz="4" w:space="0" w:color="auto"/>
              <w:bottom w:val="single" w:sz="4" w:space="0" w:color="auto"/>
              <w:right w:val="single" w:sz="4" w:space="0" w:color="auto"/>
            </w:tcBorders>
            <w:vAlign w:val="center"/>
          </w:tcPr>
          <w:p w:rsidR="00C121B0" w:rsidRPr="00390321" w:rsidRDefault="00C121B0" w:rsidP="00794BA6">
            <w:pPr>
              <w:bidi/>
              <w:spacing w:after="0" w:line="240" w:lineRule="auto"/>
              <w:rPr>
                <w:rFonts w:ascii="Simplified Arabic" w:eastAsia="Times New Roman" w:hAnsi="Simplified Arabic" w:cs="Simplified Arabic"/>
                <w:color w:val="202124"/>
                <w:sz w:val="24"/>
                <w:szCs w:val="24"/>
                <w:rtl/>
              </w:rPr>
            </w:pP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F5BA0">
              <w:rPr>
                <w:rFonts w:ascii="Simplified Arabic" w:eastAsia="Times New Roman" w:hAnsi="Simplified Arabic" w:cs="Simplified Arabic"/>
                <w:color w:val="000000"/>
                <w:sz w:val="24"/>
                <w:szCs w:val="24"/>
                <w:rtl/>
                <w:lang w:eastAsia="fr-FR"/>
              </w:rPr>
              <w:t>(1)</w:t>
            </w:r>
          </w:p>
        </w:tc>
        <w:tc>
          <w:tcPr>
            <w:tcW w:w="688"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F5BA0">
              <w:rPr>
                <w:rFonts w:ascii="Simplified Arabic" w:eastAsia="Times New Roman" w:hAnsi="Simplified Arabic" w:cs="Simplified Arabic"/>
                <w:color w:val="000000"/>
                <w:sz w:val="24"/>
                <w:szCs w:val="24"/>
                <w:rtl/>
                <w:lang w:eastAsia="fr-FR"/>
              </w:rPr>
              <w:t>(2)</w:t>
            </w:r>
          </w:p>
        </w:tc>
        <w:tc>
          <w:tcPr>
            <w:tcW w:w="591"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F5BA0">
              <w:rPr>
                <w:rFonts w:ascii="Simplified Arabic" w:eastAsia="Times New Roman" w:hAnsi="Simplified Arabic" w:cs="Simplified Arabic"/>
                <w:color w:val="000000"/>
                <w:sz w:val="24"/>
                <w:szCs w:val="24"/>
                <w:rtl/>
                <w:lang w:eastAsia="fr-FR"/>
              </w:rPr>
              <w:t>(3)</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F5BA0">
              <w:rPr>
                <w:rFonts w:ascii="Simplified Arabic" w:eastAsia="Times New Roman" w:hAnsi="Simplified Arabic" w:cs="Simplified Arabic"/>
                <w:color w:val="000000"/>
                <w:sz w:val="24"/>
                <w:szCs w:val="24"/>
                <w:rtl/>
                <w:lang w:eastAsia="fr-FR"/>
              </w:rPr>
              <w:t>(4)</w:t>
            </w:r>
          </w:p>
        </w:tc>
        <w:tc>
          <w:tcPr>
            <w:tcW w:w="622" w:type="dxa"/>
            <w:tcBorders>
              <w:top w:val="single" w:sz="4" w:space="0" w:color="auto"/>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r w:rsidRPr="00FF5BA0">
              <w:rPr>
                <w:rFonts w:ascii="Simplified Arabic" w:eastAsia="Times New Roman" w:hAnsi="Simplified Arabic" w:cs="Simplified Arabic"/>
                <w:color w:val="000000"/>
                <w:sz w:val="24"/>
                <w:szCs w:val="24"/>
                <w:rtl/>
                <w:lang w:eastAsia="fr-FR"/>
              </w:rPr>
              <w:t>(5)</w:t>
            </w:r>
          </w:p>
        </w:tc>
        <w:tc>
          <w:tcPr>
            <w:tcW w:w="705" w:type="dxa"/>
            <w:vMerge/>
            <w:tcBorders>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p>
        </w:tc>
        <w:tc>
          <w:tcPr>
            <w:tcW w:w="1080" w:type="dxa"/>
            <w:vMerge/>
            <w:tcBorders>
              <w:left w:val="single" w:sz="4" w:space="0" w:color="auto"/>
              <w:bottom w:val="single" w:sz="4" w:space="0" w:color="auto"/>
              <w:right w:val="single" w:sz="4" w:space="0" w:color="auto"/>
            </w:tcBorders>
            <w:shd w:val="clear" w:color="auto" w:fill="auto"/>
            <w:vAlign w:val="center"/>
          </w:tcPr>
          <w:p w:rsidR="00C121B0" w:rsidRPr="00FF5BA0" w:rsidRDefault="00C121B0" w:rsidP="00794BA6">
            <w:pPr>
              <w:bidi/>
              <w:spacing w:after="0" w:line="240" w:lineRule="auto"/>
              <w:jc w:val="center"/>
              <w:rPr>
                <w:rFonts w:ascii="Simplified Arabic" w:eastAsia="Times New Roman" w:hAnsi="Simplified Arabic" w:cs="Simplified Arabic"/>
                <w:color w:val="000000"/>
                <w:sz w:val="24"/>
                <w:szCs w:val="24"/>
                <w:rtl/>
                <w:lang w:eastAsia="fr-FR"/>
              </w:rPr>
            </w:pPr>
          </w:p>
        </w:tc>
      </w:tr>
      <w:tr w:rsidR="00DB3FD8" w:rsidRPr="00FF5BA0" w:rsidTr="00BB4D8D">
        <w:trPr>
          <w:trHeight w:val="64"/>
          <w:jc w:val="center"/>
        </w:trPr>
        <w:tc>
          <w:tcPr>
            <w:tcW w:w="1939" w:type="dxa"/>
            <w:tcBorders>
              <w:top w:val="nil"/>
              <w:left w:val="single" w:sz="4" w:space="0" w:color="auto"/>
              <w:bottom w:val="single" w:sz="4" w:space="0" w:color="auto"/>
              <w:right w:val="single" w:sz="4" w:space="0" w:color="auto"/>
            </w:tcBorders>
            <w:shd w:val="clear" w:color="auto" w:fill="auto"/>
            <w:vAlign w:val="center"/>
            <w:hideMark/>
          </w:tcPr>
          <w:p w:rsidR="00DB3FD8" w:rsidRPr="00FF5BA0" w:rsidRDefault="00DB3FD8" w:rsidP="00794BA6">
            <w:pPr>
              <w:bidi/>
              <w:spacing w:after="0" w:line="240" w:lineRule="auto"/>
              <w:rPr>
                <w:rFonts w:ascii="Simplified Arabic" w:eastAsia="Times New Roman" w:hAnsi="Simplified Arabic" w:cs="Simplified Arabic"/>
                <w:color w:val="000000"/>
                <w:sz w:val="24"/>
                <w:szCs w:val="24"/>
                <w:lang w:eastAsia="fr-FR"/>
              </w:rPr>
            </w:pPr>
            <w:r w:rsidRPr="00FF5BA0">
              <w:rPr>
                <w:rFonts w:ascii="Simplified Arabic" w:eastAsia="Times New Roman" w:hAnsi="Simplified Arabic" w:cs="Simplified Arabic"/>
                <w:color w:val="000000"/>
                <w:sz w:val="24"/>
                <w:szCs w:val="24"/>
                <w:rtl/>
                <w:lang w:eastAsia="fr-FR"/>
              </w:rPr>
              <w:t>مراكز الإنقاذ والحماية</w:t>
            </w:r>
          </w:p>
        </w:tc>
        <w:tc>
          <w:tcPr>
            <w:tcW w:w="1369" w:type="dxa"/>
            <w:tcBorders>
              <w:top w:val="single" w:sz="4" w:space="0" w:color="auto"/>
              <w:left w:val="single" w:sz="4" w:space="0" w:color="auto"/>
              <w:bottom w:val="single" w:sz="4" w:space="0" w:color="auto"/>
              <w:right w:val="single" w:sz="4" w:space="0" w:color="auto"/>
            </w:tcBorders>
            <w:vAlign w:val="center"/>
          </w:tcPr>
          <w:p w:rsidR="00DB3FD8" w:rsidRPr="00AF7197" w:rsidRDefault="00DB3FD8" w:rsidP="004369DC">
            <w:pPr>
              <w:bidi/>
              <w:spacing w:after="0" w:line="240" w:lineRule="auto"/>
              <w:rPr>
                <w:rFonts w:ascii="Simplified Arabic" w:eastAsia="Times New Roman" w:hAnsi="Simplified Arabic" w:cs="Simplified Arabic"/>
                <w:color w:val="202124"/>
                <w:sz w:val="24"/>
                <w:szCs w:val="24"/>
                <w:rtl/>
              </w:rPr>
            </w:pPr>
            <w:r w:rsidRPr="004369DC">
              <w:rPr>
                <w:rFonts w:ascii="Simplified Arabic" w:eastAsia="Times New Roman" w:hAnsi="Simplified Arabic" w:cs="Simplified Arabic" w:hint="cs"/>
                <w:color w:val="000000"/>
                <w:sz w:val="24"/>
                <w:szCs w:val="24"/>
                <w:rtl/>
                <w:lang w:eastAsia="fr-FR"/>
              </w:rPr>
              <w:t>اقل</w:t>
            </w:r>
            <w:r w:rsidRPr="00AF7197">
              <w:rPr>
                <w:rFonts w:ascii="Simplified Arabic" w:eastAsia="Times New Roman" w:hAnsi="Simplified Arabic" w:cs="Simplified Arabic" w:hint="cs"/>
                <w:color w:val="202124"/>
                <w:sz w:val="24"/>
                <w:szCs w:val="24"/>
                <w:rtl/>
              </w:rPr>
              <w:t xml:space="preserve"> من 2.000</w:t>
            </w:r>
          </w:p>
        </w:tc>
        <w:tc>
          <w:tcPr>
            <w:tcW w:w="10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560</w:t>
            </w:r>
          </w:p>
        </w:tc>
        <w:tc>
          <w:tcPr>
            <w:tcW w:w="6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176</w:t>
            </w:r>
          </w:p>
        </w:tc>
        <w:tc>
          <w:tcPr>
            <w:tcW w:w="59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48</w:t>
            </w:r>
          </w:p>
        </w:tc>
        <w:tc>
          <w:tcPr>
            <w:tcW w:w="6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304</w:t>
            </w:r>
          </w:p>
        </w:tc>
        <w:tc>
          <w:tcPr>
            <w:tcW w:w="6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452</w:t>
            </w:r>
          </w:p>
        </w:tc>
        <w:tc>
          <w:tcPr>
            <w:tcW w:w="705"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1540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b/>
                <w:bCs/>
                <w:color w:val="000000"/>
                <w:sz w:val="24"/>
                <w:szCs w:val="24"/>
                <w:lang w:eastAsia="fr-FR"/>
              </w:rPr>
            </w:pPr>
            <w:r w:rsidRPr="00BB4D8D">
              <w:rPr>
                <w:rFonts w:ascii="Simplified Arabic" w:eastAsia="Times New Roman" w:hAnsi="Simplified Arabic" w:cs="Simplified Arabic"/>
                <w:b/>
                <w:bCs/>
                <w:color w:val="000000"/>
                <w:sz w:val="24"/>
                <w:szCs w:val="24"/>
                <w:rtl/>
                <w:lang w:eastAsia="fr-FR"/>
              </w:rPr>
              <w:t>2,94</w:t>
            </w:r>
          </w:p>
        </w:tc>
      </w:tr>
      <w:tr w:rsidR="00DB3FD8" w:rsidRPr="00FF5BA0" w:rsidTr="00BB4D8D">
        <w:trPr>
          <w:trHeight w:val="64"/>
          <w:jc w:val="center"/>
        </w:trPr>
        <w:tc>
          <w:tcPr>
            <w:tcW w:w="1939" w:type="dxa"/>
            <w:tcBorders>
              <w:top w:val="nil"/>
              <w:left w:val="single" w:sz="4" w:space="0" w:color="auto"/>
              <w:bottom w:val="single" w:sz="4" w:space="0" w:color="auto"/>
              <w:right w:val="single" w:sz="4" w:space="0" w:color="auto"/>
            </w:tcBorders>
            <w:shd w:val="clear" w:color="auto" w:fill="auto"/>
            <w:vAlign w:val="center"/>
            <w:hideMark/>
          </w:tcPr>
          <w:p w:rsidR="00DB3FD8" w:rsidRPr="00FF5BA0" w:rsidRDefault="00DB3FD8" w:rsidP="00794BA6">
            <w:pPr>
              <w:bidi/>
              <w:spacing w:after="0" w:line="240" w:lineRule="auto"/>
              <w:rPr>
                <w:rFonts w:ascii="Simplified Arabic" w:eastAsia="Times New Roman" w:hAnsi="Simplified Arabic" w:cs="Simplified Arabic"/>
                <w:color w:val="000000"/>
                <w:sz w:val="24"/>
                <w:szCs w:val="24"/>
                <w:lang w:eastAsia="fr-FR"/>
              </w:rPr>
            </w:pPr>
            <w:r w:rsidRPr="00FF5BA0">
              <w:rPr>
                <w:rFonts w:ascii="Simplified Arabic" w:eastAsia="Times New Roman" w:hAnsi="Simplified Arabic" w:cs="Simplified Arabic"/>
                <w:color w:val="000000"/>
                <w:sz w:val="24"/>
                <w:szCs w:val="24"/>
                <w:rtl/>
                <w:lang w:eastAsia="fr-FR"/>
              </w:rPr>
              <w:t>المراكز الدينية و الثقافية</w:t>
            </w:r>
          </w:p>
        </w:tc>
        <w:tc>
          <w:tcPr>
            <w:tcW w:w="1369" w:type="dxa"/>
            <w:tcBorders>
              <w:top w:val="nil"/>
              <w:left w:val="single" w:sz="4" w:space="0" w:color="auto"/>
              <w:bottom w:val="single" w:sz="4" w:space="0" w:color="auto"/>
              <w:right w:val="single" w:sz="4" w:space="0" w:color="auto"/>
            </w:tcBorders>
            <w:vAlign w:val="center"/>
          </w:tcPr>
          <w:p w:rsidR="00DB3FD8" w:rsidRPr="004369DC" w:rsidRDefault="00DB3FD8" w:rsidP="004369DC">
            <w:pPr>
              <w:bidi/>
              <w:spacing w:after="0" w:line="240" w:lineRule="auto"/>
              <w:rPr>
                <w:rFonts w:ascii="Simplified Arabic" w:eastAsia="Times New Roman" w:hAnsi="Simplified Arabic" w:cs="Simplified Arabic"/>
                <w:color w:val="000000"/>
                <w:sz w:val="24"/>
                <w:szCs w:val="24"/>
                <w:rtl/>
                <w:lang w:eastAsia="fr-FR"/>
              </w:rPr>
            </w:pPr>
            <w:r w:rsidRPr="004369DC">
              <w:rPr>
                <w:rFonts w:ascii="Simplified Arabic" w:eastAsia="Times New Roman" w:hAnsi="Simplified Arabic" w:cs="Simplified Arabic" w:hint="cs"/>
                <w:color w:val="000000"/>
                <w:sz w:val="24"/>
                <w:szCs w:val="24"/>
                <w:rtl/>
                <w:lang w:eastAsia="fr-FR"/>
              </w:rPr>
              <w:t>اقل من 400</w:t>
            </w:r>
          </w:p>
        </w:tc>
        <w:tc>
          <w:tcPr>
            <w:tcW w:w="104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112</w:t>
            </w:r>
          </w:p>
        </w:tc>
        <w:tc>
          <w:tcPr>
            <w:tcW w:w="688"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100</w:t>
            </w:r>
          </w:p>
        </w:tc>
        <w:tc>
          <w:tcPr>
            <w:tcW w:w="59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120</w:t>
            </w:r>
          </w:p>
        </w:tc>
        <w:tc>
          <w:tcPr>
            <w:tcW w:w="664"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380</w:t>
            </w:r>
          </w:p>
        </w:tc>
        <w:tc>
          <w:tcPr>
            <w:tcW w:w="622"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828</w:t>
            </w:r>
          </w:p>
        </w:tc>
        <w:tc>
          <w:tcPr>
            <w:tcW w:w="705"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1540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b/>
                <w:bCs/>
                <w:color w:val="000000"/>
                <w:sz w:val="24"/>
                <w:szCs w:val="24"/>
                <w:lang w:eastAsia="fr-FR"/>
              </w:rPr>
            </w:pPr>
            <w:r w:rsidRPr="00BB4D8D">
              <w:rPr>
                <w:rFonts w:ascii="Simplified Arabic" w:eastAsia="Times New Roman" w:hAnsi="Simplified Arabic" w:cs="Simplified Arabic"/>
                <w:b/>
                <w:bCs/>
                <w:color w:val="000000"/>
                <w:sz w:val="24"/>
                <w:szCs w:val="24"/>
                <w:rtl/>
                <w:lang w:eastAsia="fr-FR"/>
              </w:rPr>
              <w:t>4,11</w:t>
            </w:r>
          </w:p>
        </w:tc>
      </w:tr>
      <w:tr w:rsidR="00DB3FD8" w:rsidRPr="00FF5BA0" w:rsidTr="00BB4D8D">
        <w:trPr>
          <w:trHeight w:val="64"/>
          <w:jc w:val="center"/>
        </w:trPr>
        <w:tc>
          <w:tcPr>
            <w:tcW w:w="1939" w:type="dxa"/>
            <w:tcBorders>
              <w:top w:val="nil"/>
              <w:left w:val="single" w:sz="4" w:space="0" w:color="auto"/>
              <w:bottom w:val="single" w:sz="4" w:space="0" w:color="auto"/>
              <w:right w:val="single" w:sz="4" w:space="0" w:color="auto"/>
            </w:tcBorders>
            <w:shd w:val="clear" w:color="auto" w:fill="auto"/>
            <w:vAlign w:val="center"/>
            <w:hideMark/>
          </w:tcPr>
          <w:p w:rsidR="00DB3FD8" w:rsidRPr="00FF5BA0" w:rsidRDefault="00DB3FD8" w:rsidP="00794BA6">
            <w:pPr>
              <w:bidi/>
              <w:spacing w:after="0" w:line="240" w:lineRule="auto"/>
              <w:rPr>
                <w:rFonts w:ascii="Simplified Arabic" w:eastAsia="Times New Roman" w:hAnsi="Simplified Arabic" w:cs="Simplified Arabic"/>
                <w:color w:val="000000"/>
                <w:sz w:val="24"/>
                <w:szCs w:val="24"/>
                <w:lang w:eastAsia="fr-FR"/>
              </w:rPr>
            </w:pPr>
            <w:r w:rsidRPr="00FF5BA0">
              <w:rPr>
                <w:rFonts w:ascii="Simplified Arabic" w:eastAsia="Times New Roman" w:hAnsi="Simplified Arabic" w:cs="Simplified Arabic"/>
                <w:color w:val="000000"/>
                <w:sz w:val="24"/>
                <w:szCs w:val="24"/>
                <w:rtl/>
                <w:lang w:eastAsia="fr-FR"/>
              </w:rPr>
              <w:t>المراكز الأمنية</w:t>
            </w:r>
          </w:p>
        </w:tc>
        <w:tc>
          <w:tcPr>
            <w:tcW w:w="1369" w:type="dxa"/>
            <w:tcBorders>
              <w:top w:val="nil"/>
              <w:left w:val="single" w:sz="4" w:space="0" w:color="auto"/>
              <w:bottom w:val="single" w:sz="4" w:space="0" w:color="auto"/>
              <w:right w:val="single" w:sz="4" w:space="0" w:color="auto"/>
            </w:tcBorders>
            <w:vAlign w:val="center"/>
          </w:tcPr>
          <w:p w:rsidR="00DB3FD8" w:rsidRPr="004369DC" w:rsidRDefault="00DB3FD8" w:rsidP="004369DC">
            <w:pPr>
              <w:bidi/>
              <w:spacing w:after="0" w:line="240" w:lineRule="auto"/>
              <w:rPr>
                <w:rFonts w:ascii="Simplified Arabic" w:eastAsia="Times New Roman" w:hAnsi="Simplified Arabic" w:cs="Simplified Arabic"/>
                <w:color w:val="000000"/>
                <w:sz w:val="24"/>
                <w:szCs w:val="24"/>
                <w:rtl/>
                <w:lang w:eastAsia="fr-FR"/>
              </w:rPr>
            </w:pPr>
            <w:r w:rsidRPr="004369DC">
              <w:rPr>
                <w:rFonts w:ascii="Simplified Arabic" w:eastAsia="Times New Roman" w:hAnsi="Simplified Arabic" w:cs="Simplified Arabic" w:hint="cs"/>
                <w:color w:val="000000"/>
                <w:sz w:val="24"/>
                <w:szCs w:val="24"/>
                <w:rtl/>
                <w:lang w:eastAsia="fr-FR"/>
              </w:rPr>
              <w:t>اقل من 800</w:t>
            </w:r>
          </w:p>
        </w:tc>
        <w:tc>
          <w:tcPr>
            <w:tcW w:w="104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172</w:t>
            </w:r>
          </w:p>
        </w:tc>
        <w:tc>
          <w:tcPr>
            <w:tcW w:w="688"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160</w:t>
            </w:r>
          </w:p>
        </w:tc>
        <w:tc>
          <w:tcPr>
            <w:tcW w:w="59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60</w:t>
            </w:r>
          </w:p>
        </w:tc>
        <w:tc>
          <w:tcPr>
            <w:tcW w:w="664"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520</w:t>
            </w:r>
          </w:p>
        </w:tc>
        <w:tc>
          <w:tcPr>
            <w:tcW w:w="622"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628</w:t>
            </w:r>
          </w:p>
        </w:tc>
        <w:tc>
          <w:tcPr>
            <w:tcW w:w="705"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1540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b/>
                <w:bCs/>
                <w:color w:val="000000"/>
                <w:sz w:val="24"/>
                <w:szCs w:val="24"/>
                <w:lang w:eastAsia="fr-FR"/>
              </w:rPr>
            </w:pPr>
            <w:r w:rsidRPr="00BB4D8D">
              <w:rPr>
                <w:rFonts w:ascii="Simplified Arabic" w:eastAsia="Times New Roman" w:hAnsi="Simplified Arabic" w:cs="Simplified Arabic"/>
                <w:b/>
                <w:bCs/>
                <w:color w:val="000000"/>
                <w:sz w:val="24"/>
                <w:szCs w:val="24"/>
                <w:rtl/>
                <w:lang w:eastAsia="fr-FR"/>
              </w:rPr>
              <w:t>3,83</w:t>
            </w:r>
          </w:p>
        </w:tc>
      </w:tr>
      <w:tr w:rsidR="00DB3FD8" w:rsidRPr="00FF5BA0" w:rsidTr="00BB4D8D">
        <w:trPr>
          <w:trHeight w:val="64"/>
          <w:jc w:val="center"/>
        </w:trPr>
        <w:tc>
          <w:tcPr>
            <w:tcW w:w="1939" w:type="dxa"/>
            <w:tcBorders>
              <w:top w:val="nil"/>
              <w:left w:val="single" w:sz="4" w:space="0" w:color="auto"/>
              <w:bottom w:val="single" w:sz="4" w:space="0" w:color="auto"/>
              <w:right w:val="single" w:sz="4" w:space="0" w:color="auto"/>
            </w:tcBorders>
            <w:shd w:val="clear" w:color="auto" w:fill="auto"/>
            <w:vAlign w:val="center"/>
            <w:hideMark/>
          </w:tcPr>
          <w:p w:rsidR="00DB3FD8" w:rsidRPr="00FF5BA0" w:rsidRDefault="00DB3FD8" w:rsidP="00794BA6">
            <w:pPr>
              <w:bidi/>
              <w:spacing w:after="0" w:line="240" w:lineRule="auto"/>
              <w:rPr>
                <w:rFonts w:ascii="Simplified Arabic" w:eastAsia="Times New Roman" w:hAnsi="Simplified Arabic" w:cs="Simplified Arabic"/>
                <w:color w:val="000000"/>
                <w:sz w:val="24"/>
                <w:szCs w:val="24"/>
                <w:lang w:eastAsia="fr-FR"/>
              </w:rPr>
            </w:pPr>
            <w:r w:rsidRPr="00FF5BA0">
              <w:rPr>
                <w:rFonts w:ascii="Simplified Arabic" w:eastAsia="Times New Roman" w:hAnsi="Simplified Arabic" w:cs="Simplified Arabic"/>
                <w:color w:val="000000"/>
                <w:sz w:val="24"/>
                <w:szCs w:val="24"/>
                <w:rtl/>
                <w:lang w:eastAsia="fr-FR"/>
              </w:rPr>
              <w:t>مراكز التعليم الابتدائي</w:t>
            </w:r>
          </w:p>
        </w:tc>
        <w:tc>
          <w:tcPr>
            <w:tcW w:w="1369" w:type="dxa"/>
            <w:tcBorders>
              <w:top w:val="nil"/>
              <w:left w:val="single" w:sz="4" w:space="0" w:color="auto"/>
              <w:bottom w:val="single" w:sz="4" w:space="0" w:color="auto"/>
              <w:right w:val="single" w:sz="4" w:space="0" w:color="auto"/>
            </w:tcBorders>
            <w:vAlign w:val="center"/>
          </w:tcPr>
          <w:p w:rsidR="00DB3FD8" w:rsidRPr="004369DC" w:rsidRDefault="00DB3FD8" w:rsidP="004369DC">
            <w:pPr>
              <w:bidi/>
              <w:spacing w:after="0" w:line="240" w:lineRule="auto"/>
              <w:rPr>
                <w:rFonts w:ascii="Simplified Arabic" w:eastAsia="Times New Roman" w:hAnsi="Simplified Arabic" w:cs="Simplified Arabic"/>
                <w:color w:val="000000"/>
                <w:sz w:val="24"/>
                <w:szCs w:val="24"/>
                <w:rtl/>
                <w:lang w:eastAsia="fr-FR"/>
              </w:rPr>
            </w:pPr>
            <w:r w:rsidRPr="004369DC">
              <w:rPr>
                <w:rFonts w:ascii="Simplified Arabic" w:eastAsia="Times New Roman" w:hAnsi="Simplified Arabic" w:cs="Simplified Arabic" w:hint="cs"/>
                <w:color w:val="000000"/>
                <w:sz w:val="24"/>
                <w:szCs w:val="24"/>
                <w:rtl/>
                <w:lang w:eastAsia="fr-FR"/>
              </w:rPr>
              <w:t>اقل من 400</w:t>
            </w:r>
          </w:p>
        </w:tc>
        <w:tc>
          <w:tcPr>
            <w:tcW w:w="104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60</w:t>
            </w:r>
          </w:p>
        </w:tc>
        <w:tc>
          <w:tcPr>
            <w:tcW w:w="688"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100</w:t>
            </w:r>
          </w:p>
        </w:tc>
        <w:tc>
          <w:tcPr>
            <w:tcW w:w="59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84</w:t>
            </w:r>
          </w:p>
        </w:tc>
        <w:tc>
          <w:tcPr>
            <w:tcW w:w="664"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428</w:t>
            </w:r>
          </w:p>
        </w:tc>
        <w:tc>
          <w:tcPr>
            <w:tcW w:w="622"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868</w:t>
            </w:r>
          </w:p>
        </w:tc>
        <w:tc>
          <w:tcPr>
            <w:tcW w:w="705"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1540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b/>
                <w:bCs/>
                <w:color w:val="000000"/>
                <w:sz w:val="24"/>
                <w:szCs w:val="24"/>
                <w:lang w:eastAsia="fr-FR"/>
              </w:rPr>
            </w:pPr>
            <w:r w:rsidRPr="00BB4D8D">
              <w:rPr>
                <w:rFonts w:ascii="Simplified Arabic" w:eastAsia="Times New Roman" w:hAnsi="Simplified Arabic" w:cs="Simplified Arabic"/>
                <w:b/>
                <w:bCs/>
                <w:color w:val="000000"/>
                <w:sz w:val="24"/>
                <w:szCs w:val="24"/>
                <w:rtl/>
                <w:lang w:eastAsia="fr-FR"/>
              </w:rPr>
              <w:t>4,26</w:t>
            </w:r>
          </w:p>
        </w:tc>
      </w:tr>
      <w:tr w:rsidR="00DB3FD8" w:rsidRPr="00FF5BA0" w:rsidTr="00BB4D8D">
        <w:trPr>
          <w:trHeight w:val="64"/>
          <w:jc w:val="center"/>
        </w:trPr>
        <w:tc>
          <w:tcPr>
            <w:tcW w:w="1939" w:type="dxa"/>
            <w:tcBorders>
              <w:top w:val="nil"/>
              <w:left w:val="single" w:sz="4" w:space="0" w:color="auto"/>
              <w:bottom w:val="single" w:sz="4" w:space="0" w:color="auto"/>
              <w:right w:val="single" w:sz="4" w:space="0" w:color="auto"/>
            </w:tcBorders>
            <w:shd w:val="clear" w:color="auto" w:fill="auto"/>
            <w:vAlign w:val="center"/>
            <w:hideMark/>
          </w:tcPr>
          <w:p w:rsidR="00DB3FD8" w:rsidRPr="00FF5BA0" w:rsidRDefault="00DB3FD8" w:rsidP="00E208EA">
            <w:pPr>
              <w:bidi/>
              <w:spacing w:after="0" w:line="240" w:lineRule="auto"/>
              <w:rPr>
                <w:rFonts w:ascii="Simplified Arabic" w:eastAsia="Times New Roman" w:hAnsi="Simplified Arabic" w:cs="Simplified Arabic"/>
                <w:color w:val="000000"/>
                <w:sz w:val="24"/>
                <w:szCs w:val="24"/>
                <w:lang w:eastAsia="fr-FR"/>
              </w:rPr>
            </w:pPr>
            <w:r w:rsidRPr="00FF5BA0">
              <w:rPr>
                <w:rFonts w:ascii="Simplified Arabic" w:eastAsia="Times New Roman" w:hAnsi="Simplified Arabic" w:cs="Simplified Arabic"/>
                <w:color w:val="000000"/>
                <w:sz w:val="24"/>
                <w:szCs w:val="24"/>
                <w:rtl/>
                <w:lang w:eastAsia="fr-FR"/>
              </w:rPr>
              <w:t xml:space="preserve">مراكز </w:t>
            </w:r>
            <w:r w:rsidR="00E208EA">
              <w:rPr>
                <w:rFonts w:ascii="Simplified Arabic" w:eastAsia="Times New Roman" w:hAnsi="Simplified Arabic" w:cs="Simplified Arabic" w:hint="cs"/>
                <w:color w:val="000000"/>
                <w:sz w:val="24"/>
                <w:szCs w:val="24"/>
                <w:rtl/>
                <w:lang w:eastAsia="fr-FR"/>
              </w:rPr>
              <w:t>التكفل</w:t>
            </w:r>
            <w:r w:rsidRPr="00FF5BA0">
              <w:rPr>
                <w:rFonts w:ascii="Simplified Arabic" w:eastAsia="Times New Roman" w:hAnsi="Simplified Arabic" w:cs="Simplified Arabic"/>
                <w:color w:val="000000"/>
                <w:sz w:val="24"/>
                <w:szCs w:val="24"/>
                <w:rtl/>
                <w:lang w:eastAsia="fr-FR"/>
              </w:rPr>
              <w:t xml:space="preserve"> الطبي</w:t>
            </w:r>
          </w:p>
        </w:tc>
        <w:tc>
          <w:tcPr>
            <w:tcW w:w="1369" w:type="dxa"/>
            <w:tcBorders>
              <w:top w:val="nil"/>
              <w:left w:val="single" w:sz="4" w:space="0" w:color="auto"/>
              <w:bottom w:val="single" w:sz="4" w:space="0" w:color="auto"/>
              <w:right w:val="single" w:sz="4" w:space="0" w:color="auto"/>
            </w:tcBorders>
            <w:vAlign w:val="center"/>
          </w:tcPr>
          <w:p w:rsidR="00DB3FD8" w:rsidRPr="004369DC" w:rsidRDefault="00DB3FD8" w:rsidP="004369DC">
            <w:pPr>
              <w:bidi/>
              <w:spacing w:after="0" w:line="240" w:lineRule="auto"/>
              <w:rPr>
                <w:rFonts w:ascii="Simplified Arabic" w:eastAsia="Times New Roman" w:hAnsi="Simplified Arabic" w:cs="Simplified Arabic"/>
                <w:color w:val="000000"/>
                <w:sz w:val="24"/>
                <w:szCs w:val="24"/>
                <w:rtl/>
                <w:lang w:eastAsia="fr-FR"/>
              </w:rPr>
            </w:pPr>
            <w:r w:rsidRPr="004369DC">
              <w:rPr>
                <w:rFonts w:ascii="Simplified Arabic" w:eastAsia="Times New Roman" w:hAnsi="Simplified Arabic" w:cs="Simplified Arabic" w:hint="cs"/>
                <w:color w:val="000000"/>
                <w:sz w:val="24"/>
                <w:szCs w:val="24"/>
                <w:rtl/>
                <w:lang w:eastAsia="fr-FR"/>
              </w:rPr>
              <w:t>اقل من 800</w:t>
            </w:r>
          </w:p>
        </w:tc>
        <w:tc>
          <w:tcPr>
            <w:tcW w:w="104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228</w:t>
            </w:r>
          </w:p>
        </w:tc>
        <w:tc>
          <w:tcPr>
            <w:tcW w:w="688"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132</w:t>
            </w:r>
          </w:p>
        </w:tc>
        <w:tc>
          <w:tcPr>
            <w:tcW w:w="59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76</w:t>
            </w:r>
          </w:p>
        </w:tc>
        <w:tc>
          <w:tcPr>
            <w:tcW w:w="664"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380</w:t>
            </w:r>
          </w:p>
        </w:tc>
        <w:tc>
          <w:tcPr>
            <w:tcW w:w="622"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724</w:t>
            </w:r>
          </w:p>
        </w:tc>
        <w:tc>
          <w:tcPr>
            <w:tcW w:w="705"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1540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b/>
                <w:bCs/>
                <w:color w:val="000000"/>
                <w:sz w:val="24"/>
                <w:szCs w:val="24"/>
                <w:lang w:eastAsia="fr-FR"/>
              </w:rPr>
            </w:pPr>
            <w:r w:rsidRPr="00BB4D8D">
              <w:rPr>
                <w:rFonts w:ascii="Simplified Arabic" w:eastAsia="Times New Roman" w:hAnsi="Simplified Arabic" w:cs="Simplified Arabic"/>
                <w:b/>
                <w:bCs/>
                <w:color w:val="000000"/>
                <w:sz w:val="24"/>
                <w:szCs w:val="24"/>
                <w:rtl/>
                <w:lang w:eastAsia="fr-FR"/>
              </w:rPr>
              <w:t>3,81</w:t>
            </w:r>
          </w:p>
        </w:tc>
      </w:tr>
      <w:tr w:rsidR="00DB3FD8" w:rsidRPr="00FF5BA0" w:rsidTr="00BB4D8D">
        <w:trPr>
          <w:trHeight w:val="64"/>
          <w:jc w:val="center"/>
        </w:trPr>
        <w:tc>
          <w:tcPr>
            <w:tcW w:w="1939" w:type="dxa"/>
            <w:tcBorders>
              <w:top w:val="nil"/>
              <w:left w:val="single" w:sz="4" w:space="0" w:color="auto"/>
              <w:bottom w:val="single" w:sz="4" w:space="0" w:color="auto"/>
              <w:right w:val="single" w:sz="4" w:space="0" w:color="auto"/>
            </w:tcBorders>
            <w:shd w:val="clear" w:color="auto" w:fill="auto"/>
            <w:vAlign w:val="center"/>
            <w:hideMark/>
          </w:tcPr>
          <w:p w:rsidR="00DB3FD8" w:rsidRPr="00A202E6" w:rsidRDefault="00DB3FD8" w:rsidP="00794BA6">
            <w:pPr>
              <w:bidi/>
              <w:spacing w:after="0" w:line="240" w:lineRule="auto"/>
              <w:rPr>
                <w:rFonts w:ascii="Simplified Arabic" w:eastAsia="Times New Roman" w:hAnsi="Simplified Arabic" w:cs="Simplified Arabic"/>
                <w:color w:val="000000"/>
                <w:sz w:val="24"/>
                <w:szCs w:val="24"/>
                <w:highlight w:val="green"/>
                <w:lang w:eastAsia="fr-FR"/>
              </w:rPr>
            </w:pPr>
            <w:r>
              <w:rPr>
                <w:rFonts w:ascii="Simplified Arabic" w:eastAsia="Times New Roman" w:hAnsi="Simplified Arabic" w:cs="Simplified Arabic" w:hint="cs"/>
                <w:color w:val="202124"/>
                <w:sz w:val="24"/>
                <w:szCs w:val="24"/>
                <w:rtl/>
              </w:rPr>
              <w:t>المسافة بين نقاط تقاطع شبكة الطرق الداخلية</w:t>
            </w:r>
          </w:p>
        </w:tc>
        <w:tc>
          <w:tcPr>
            <w:tcW w:w="1369" w:type="dxa"/>
            <w:tcBorders>
              <w:top w:val="nil"/>
              <w:left w:val="single" w:sz="4" w:space="0" w:color="auto"/>
              <w:bottom w:val="single" w:sz="4" w:space="0" w:color="auto"/>
              <w:right w:val="single" w:sz="4" w:space="0" w:color="auto"/>
            </w:tcBorders>
            <w:vAlign w:val="center"/>
          </w:tcPr>
          <w:p w:rsidR="00DB3FD8" w:rsidRPr="004369DC" w:rsidRDefault="00DB3FD8" w:rsidP="00ED6725">
            <w:pPr>
              <w:bidi/>
              <w:spacing w:after="0" w:line="240" w:lineRule="auto"/>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اقل</w:t>
            </w:r>
            <w:r w:rsidRPr="004369DC">
              <w:rPr>
                <w:rFonts w:ascii="Simplified Arabic" w:eastAsia="Times New Roman" w:hAnsi="Simplified Arabic" w:cs="Simplified Arabic" w:hint="cs"/>
                <w:color w:val="000000"/>
                <w:sz w:val="24"/>
                <w:szCs w:val="24"/>
                <w:rtl/>
                <w:lang w:eastAsia="fr-FR"/>
              </w:rPr>
              <w:t xml:space="preserve"> من </w:t>
            </w:r>
            <w:r>
              <w:rPr>
                <w:rFonts w:ascii="Simplified Arabic" w:eastAsia="Times New Roman" w:hAnsi="Simplified Arabic" w:cs="Simplified Arabic" w:hint="cs"/>
                <w:color w:val="000000"/>
                <w:sz w:val="24"/>
                <w:szCs w:val="24"/>
                <w:rtl/>
                <w:lang w:eastAsia="fr-FR"/>
              </w:rPr>
              <w:t>90</w:t>
            </w:r>
          </w:p>
        </w:tc>
        <w:tc>
          <w:tcPr>
            <w:tcW w:w="104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140</w:t>
            </w:r>
          </w:p>
        </w:tc>
        <w:tc>
          <w:tcPr>
            <w:tcW w:w="688"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164</w:t>
            </w:r>
          </w:p>
        </w:tc>
        <w:tc>
          <w:tcPr>
            <w:tcW w:w="591"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60</w:t>
            </w:r>
          </w:p>
        </w:tc>
        <w:tc>
          <w:tcPr>
            <w:tcW w:w="664"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244</w:t>
            </w:r>
          </w:p>
        </w:tc>
        <w:tc>
          <w:tcPr>
            <w:tcW w:w="622"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932</w:t>
            </w:r>
          </w:p>
        </w:tc>
        <w:tc>
          <w:tcPr>
            <w:tcW w:w="705"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color w:val="000000"/>
                <w:sz w:val="24"/>
                <w:szCs w:val="24"/>
                <w:lang w:eastAsia="fr-FR"/>
              </w:rPr>
            </w:pPr>
            <w:r w:rsidRPr="00BB4D8D">
              <w:rPr>
                <w:rFonts w:ascii="Simplified Arabic" w:eastAsia="Times New Roman" w:hAnsi="Simplified Arabic" w:cs="Simplified Arabic"/>
                <w:color w:val="000000"/>
                <w:sz w:val="24"/>
                <w:szCs w:val="24"/>
                <w:rtl/>
                <w:lang w:eastAsia="fr-FR"/>
              </w:rPr>
              <w:t>1540</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DB3FD8" w:rsidRPr="00BB4D8D" w:rsidRDefault="00DB3FD8" w:rsidP="00BB4D8D">
            <w:pPr>
              <w:bidi/>
              <w:spacing w:after="0" w:line="240" w:lineRule="auto"/>
              <w:jc w:val="center"/>
              <w:rPr>
                <w:rFonts w:ascii="Simplified Arabic" w:eastAsia="Times New Roman" w:hAnsi="Simplified Arabic" w:cs="Simplified Arabic"/>
                <w:b/>
                <w:bCs/>
                <w:color w:val="000000"/>
                <w:sz w:val="24"/>
                <w:szCs w:val="24"/>
                <w:lang w:eastAsia="fr-FR"/>
              </w:rPr>
            </w:pPr>
            <w:r w:rsidRPr="00BB4D8D">
              <w:rPr>
                <w:rFonts w:ascii="Simplified Arabic" w:eastAsia="Times New Roman" w:hAnsi="Simplified Arabic" w:cs="Simplified Arabic"/>
                <w:b/>
                <w:bCs/>
                <w:color w:val="000000"/>
                <w:sz w:val="24"/>
                <w:szCs w:val="24"/>
                <w:rtl/>
                <w:lang w:eastAsia="fr-FR"/>
              </w:rPr>
              <w:t>4,08</w:t>
            </w:r>
          </w:p>
        </w:tc>
      </w:tr>
    </w:tbl>
    <w:p w:rsidR="00656F12" w:rsidRDefault="00656F12" w:rsidP="00A4755C">
      <w:pPr>
        <w:pStyle w:val="fegure"/>
        <w:spacing w:before="240"/>
        <w:rPr>
          <w:sz w:val="8"/>
          <w:szCs w:val="24"/>
          <w:rtl/>
        </w:rPr>
      </w:pPr>
      <w:bookmarkStart w:id="766" w:name="_Toc157608350"/>
      <w:bookmarkStart w:id="767" w:name="_Toc171803759"/>
      <w:r w:rsidRPr="00DA50D1">
        <w:rPr>
          <w:sz w:val="8"/>
          <w:szCs w:val="24"/>
          <w:rtl/>
          <w:lang w:val="en-US"/>
        </w:rPr>
        <w:t>الشكل (</w:t>
      </w:r>
      <w:r w:rsidRPr="00DA50D1">
        <w:rPr>
          <w:rFonts w:hint="cs"/>
          <w:sz w:val="8"/>
          <w:szCs w:val="24"/>
          <w:rtl/>
          <w:lang w:val="en-US"/>
        </w:rPr>
        <w:t>5-20</w:t>
      </w:r>
      <w:r w:rsidRPr="00DA50D1">
        <w:rPr>
          <w:sz w:val="8"/>
          <w:szCs w:val="24"/>
          <w:rtl/>
          <w:lang w:val="en-US"/>
        </w:rPr>
        <w:t xml:space="preserve">): </w:t>
      </w:r>
      <w:r w:rsidRPr="00DA50D1">
        <w:rPr>
          <w:rFonts w:hint="cs"/>
          <w:sz w:val="8"/>
          <w:szCs w:val="24"/>
          <w:rtl/>
          <w:lang w:val="en-US"/>
        </w:rPr>
        <w:t>تحليل توزيع أفراد عيّنة</w:t>
      </w:r>
      <w:r w:rsidRPr="00DA50D1">
        <w:rPr>
          <w:rFonts w:hint="cs"/>
          <w:sz w:val="8"/>
          <w:szCs w:val="24"/>
          <w:rtl/>
        </w:rPr>
        <w:t xml:space="preserve"> </w:t>
      </w:r>
      <w:r w:rsidRPr="00DA50D1">
        <w:rPr>
          <w:sz w:val="8"/>
          <w:szCs w:val="24"/>
          <w:rtl/>
        </w:rPr>
        <w:t xml:space="preserve">المسافة </w:t>
      </w:r>
      <w:r w:rsidRPr="00DA50D1">
        <w:rPr>
          <w:rFonts w:hint="cs"/>
          <w:sz w:val="8"/>
          <w:szCs w:val="24"/>
          <w:rtl/>
        </w:rPr>
        <w:t>ال</w:t>
      </w:r>
      <w:r w:rsidRPr="00DA50D1">
        <w:rPr>
          <w:sz w:val="8"/>
          <w:szCs w:val="24"/>
          <w:rtl/>
        </w:rPr>
        <w:t xml:space="preserve">ملائمة </w:t>
      </w:r>
      <w:r w:rsidRPr="00DA50D1">
        <w:rPr>
          <w:rFonts w:hint="cs"/>
          <w:sz w:val="8"/>
          <w:szCs w:val="24"/>
          <w:rtl/>
        </w:rPr>
        <w:t>للسير</w:t>
      </w:r>
      <w:r w:rsidRPr="00DA50D1">
        <w:rPr>
          <w:sz w:val="8"/>
          <w:szCs w:val="24"/>
          <w:rtl/>
        </w:rPr>
        <w:t xml:space="preserve"> مشيا بين </w:t>
      </w:r>
      <w:r w:rsidRPr="00DA50D1">
        <w:rPr>
          <w:rFonts w:hint="cs"/>
          <w:sz w:val="8"/>
          <w:szCs w:val="24"/>
          <w:rtl/>
        </w:rPr>
        <w:t>ال</w:t>
      </w:r>
      <w:r w:rsidRPr="00DA50D1">
        <w:rPr>
          <w:sz w:val="8"/>
          <w:szCs w:val="24"/>
          <w:rtl/>
        </w:rPr>
        <w:t>مر</w:t>
      </w:r>
      <w:r w:rsidRPr="00DA50D1">
        <w:rPr>
          <w:rFonts w:hint="cs"/>
          <w:sz w:val="8"/>
          <w:szCs w:val="24"/>
          <w:rtl/>
        </w:rPr>
        <w:t>ا</w:t>
      </w:r>
      <w:r w:rsidRPr="00DA50D1">
        <w:rPr>
          <w:sz w:val="8"/>
          <w:szCs w:val="24"/>
          <w:rtl/>
        </w:rPr>
        <w:t>فق</w:t>
      </w:r>
      <w:r w:rsidRPr="00DA50D1">
        <w:rPr>
          <w:rFonts w:hint="cs"/>
          <w:sz w:val="8"/>
          <w:szCs w:val="24"/>
          <w:rtl/>
        </w:rPr>
        <w:t xml:space="preserve"> </w:t>
      </w:r>
      <w:r w:rsidRPr="00DA50D1">
        <w:rPr>
          <w:sz w:val="8"/>
          <w:szCs w:val="24"/>
          <w:rtl/>
        </w:rPr>
        <w:t>و</w:t>
      </w:r>
      <w:r w:rsidRPr="00DA50D1">
        <w:rPr>
          <w:rFonts w:hint="cs"/>
          <w:sz w:val="8"/>
          <w:szCs w:val="24"/>
          <w:rtl/>
        </w:rPr>
        <w:t>ال</w:t>
      </w:r>
      <w:r w:rsidRPr="00DA50D1">
        <w:rPr>
          <w:sz w:val="8"/>
          <w:szCs w:val="24"/>
          <w:rtl/>
        </w:rPr>
        <w:t>مسكن</w:t>
      </w:r>
      <w:bookmarkEnd w:id="766"/>
      <w:bookmarkEnd w:id="767"/>
    </w:p>
    <w:p w:rsidR="00E65F90" w:rsidRPr="00DA50D1" w:rsidRDefault="00E65F90" w:rsidP="00E65F90">
      <w:pPr>
        <w:pStyle w:val="fegure"/>
        <w:rPr>
          <w:sz w:val="8"/>
          <w:szCs w:val="24"/>
          <w:lang w:val="en-US" w:bidi="ar-DZ"/>
        </w:rPr>
      </w:pPr>
      <w:bookmarkStart w:id="768" w:name="_Toc171803760"/>
      <w:r>
        <w:rPr>
          <w:rFonts w:hint="cs"/>
          <w:sz w:val="8"/>
          <w:szCs w:val="24"/>
          <w:rtl/>
          <w:lang w:val="en-US"/>
        </w:rPr>
        <w:t>المصدر: (الباحث، 2022)</w:t>
      </w:r>
      <w:bookmarkEnd w:id="768"/>
    </w:p>
    <w:p w:rsidR="00656F12" w:rsidRDefault="00656F12" w:rsidP="00E65F90">
      <w:pPr>
        <w:bidi/>
        <w:spacing w:line="240" w:lineRule="auto"/>
        <w:ind w:firstLine="282"/>
        <w:jc w:val="center"/>
        <w:rPr>
          <w:rFonts w:ascii="Simplified Arabic" w:hAnsi="Simplified Arabic" w:cs="Simplified Arabic"/>
          <w:sz w:val="24"/>
          <w:szCs w:val="24"/>
          <w:rtl/>
          <w:lang w:val="en-US"/>
        </w:rPr>
      </w:pPr>
      <w:r>
        <w:rPr>
          <w:noProof/>
          <w:lang w:eastAsia="fr-FR"/>
        </w:rPr>
        <w:drawing>
          <wp:inline distT="0" distB="0" distL="0" distR="0" wp14:anchorId="397A9147" wp14:editId="2E24289C">
            <wp:extent cx="5057030" cy="2918129"/>
            <wp:effectExtent l="0" t="0" r="10795" b="15875"/>
            <wp:docPr id="293" name="Graphique 29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9"/>
              </a:graphicData>
            </a:graphic>
          </wp:inline>
        </w:drawing>
      </w:r>
    </w:p>
    <w:p w:rsidR="00C121B0" w:rsidRPr="007C5301" w:rsidRDefault="00C121B0" w:rsidP="001D0548">
      <w:pPr>
        <w:pStyle w:val="Paragraphedeliste"/>
        <w:numPr>
          <w:ilvl w:val="3"/>
          <w:numId w:val="180"/>
        </w:numPr>
        <w:tabs>
          <w:tab w:val="right" w:pos="992"/>
        </w:tabs>
        <w:bidi/>
        <w:spacing w:before="240" w:after="0"/>
        <w:ind w:left="0" w:firstLine="0"/>
        <w:jc w:val="both"/>
        <w:outlineLvl w:val="2"/>
        <w:rPr>
          <w:rFonts w:ascii="Simplified Arabic" w:hAnsi="Simplified Arabic" w:cs="Simplified Arabic"/>
          <w:b/>
          <w:bCs/>
          <w:sz w:val="24"/>
          <w:szCs w:val="24"/>
          <w:rtl/>
          <w:lang w:val="en-US"/>
        </w:rPr>
      </w:pPr>
      <w:bookmarkStart w:id="769" w:name="_Toc171803761"/>
      <w:r w:rsidRPr="007C5301">
        <w:rPr>
          <w:rFonts w:ascii="Simplified Arabic" w:hAnsi="Simplified Arabic" w:cs="Simplified Arabic"/>
          <w:b/>
          <w:bCs/>
          <w:sz w:val="24"/>
          <w:szCs w:val="24"/>
          <w:rtl/>
          <w:lang w:val="en-US"/>
        </w:rPr>
        <w:t xml:space="preserve">مقارنة نتائج </w:t>
      </w:r>
      <w:r>
        <w:rPr>
          <w:rFonts w:ascii="Simplified Arabic" w:hAnsi="Simplified Arabic" w:cs="Simplified Arabic" w:hint="cs"/>
          <w:b/>
          <w:bCs/>
          <w:sz w:val="24"/>
          <w:szCs w:val="24"/>
          <w:rtl/>
          <w:lang w:val="en-US"/>
        </w:rPr>
        <w:t xml:space="preserve">تحليل </w:t>
      </w:r>
      <w:r w:rsidRPr="007C5301">
        <w:rPr>
          <w:rFonts w:ascii="Simplified Arabic" w:hAnsi="Simplified Arabic" w:cs="Simplified Arabic"/>
          <w:b/>
          <w:bCs/>
          <w:sz w:val="24"/>
          <w:szCs w:val="24"/>
          <w:rtl/>
          <w:lang w:val="en-US"/>
        </w:rPr>
        <w:t xml:space="preserve">الاستبيان </w:t>
      </w:r>
      <w:r w:rsidR="00DA7B69">
        <w:rPr>
          <w:rFonts w:ascii="Simplified Arabic" w:hAnsi="Simplified Arabic" w:cs="Simplified Arabic" w:hint="cs"/>
          <w:b/>
          <w:bCs/>
          <w:sz w:val="24"/>
          <w:szCs w:val="24"/>
          <w:rtl/>
          <w:lang w:val="en-US"/>
        </w:rPr>
        <w:t xml:space="preserve">المحلي </w:t>
      </w:r>
      <w:r w:rsidRPr="007C5301">
        <w:rPr>
          <w:rFonts w:ascii="Simplified Arabic" w:hAnsi="Simplified Arabic" w:cs="Simplified Arabic" w:hint="cs"/>
          <w:b/>
          <w:bCs/>
          <w:sz w:val="24"/>
          <w:szCs w:val="24"/>
          <w:rtl/>
          <w:lang w:val="en-US"/>
        </w:rPr>
        <w:t>مع نتائج تحليل تصنيفات المرونة الحضرية</w:t>
      </w:r>
      <w:bookmarkEnd w:id="769"/>
    </w:p>
    <w:p w:rsidR="00C121B0" w:rsidRDefault="00DA7B69" w:rsidP="00E87B43">
      <w:pPr>
        <w:bidi/>
        <w:spacing w:after="0"/>
        <w:ind w:firstLine="282"/>
        <w:jc w:val="both"/>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 xml:space="preserve">تم </w:t>
      </w:r>
      <w:r w:rsidR="00C121B0">
        <w:rPr>
          <w:rFonts w:ascii="Simplified Arabic" w:hAnsi="Simplified Arabic" w:cs="Simplified Arabic" w:hint="cs"/>
          <w:color w:val="000000" w:themeColor="text1"/>
          <w:sz w:val="24"/>
          <w:szCs w:val="24"/>
          <w:rtl/>
          <w:lang w:val="en-US"/>
        </w:rPr>
        <w:t>التحقق من صحة ت</w:t>
      </w:r>
      <w:r w:rsidR="00C121B0" w:rsidRPr="000F0BB9">
        <w:rPr>
          <w:rFonts w:ascii="Simplified Arabic" w:hAnsi="Simplified Arabic" w:cs="Simplified Arabic" w:hint="cs"/>
          <w:color w:val="000000" w:themeColor="text1"/>
          <w:sz w:val="24"/>
          <w:szCs w:val="24"/>
          <w:rtl/>
          <w:lang w:val="en-US"/>
        </w:rPr>
        <w:t>صورات</w:t>
      </w:r>
      <w:r w:rsidR="00C121B0" w:rsidRPr="000F0BB9">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sz w:val="24"/>
          <w:szCs w:val="24"/>
          <w:rtl/>
        </w:rPr>
        <w:t>سكان</w:t>
      </w:r>
      <w:r w:rsidRPr="009E7AF6">
        <w:rPr>
          <w:rFonts w:ascii="Simplified Arabic" w:hAnsi="Simplified Arabic" w:cs="Simplified Arabic" w:hint="cs"/>
          <w:sz w:val="24"/>
          <w:szCs w:val="24"/>
          <w:rtl/>
        </w:rPr>
        <w:t xml:space="preserve"> </w:t>
      </w:r>
      <w:r w:rsidRPr="00710D6A">
        <w:rPr>
          <w:rFonts w:ascii="Simplified Arabic" w:hAnsi="Simplified Arabic" w:cs="Simplified Arabic" w:hint="cs"/>
          <w:sz w:val="24"/>
          <w:szCs w:val="24"/>
          <w:rtl/>
          <w:lang w:val="en-US"/>
        </w:rPr>
        <w:t>أحياء: سيدي سليمان، ميطر، الحمايد والباطن</w:t>
      </w:r>
      <w:r w:rsidRPr="009E7AF6">
        <w:rPr>
          <w:rFonts w:ascii="Simplified Arabic" w:hAnsi="Simplified Arabic" w:cs="Simplified Arabic" w:hint="cs"/>
          <w:sz w:val="24"/>
          <w:szCs w:val="24"/>
          <w:rtl/>
        </w:rPr>
        <w:t xml:space="preserve"> </w:t>
      </w:r>
      <w:r w:rsidR="00C121B0" w:rsidRPr="000F0BB9">
        <w:rPr>
          <w:rFonts w:ascii="Simplified Arabic" w:hAnsi="Simplified Arabic" w:cs="Simplified Arabic" w:hint="cs"/>
          <w:color w:val="000000" w:themeColor="text1"/>
          <w:sz w:val="24"/>
          <w:szCs w:val="24"/>
          <w:rtl/>
          <w:lang w:val="en-US"/>
        </w:rPr>
        <w:t>حول اضطرابات الحصول على الخدمة</w:t>
      </w:r>
      <w:r>
        <w:rPr>
          <w:rFonts w:ascii="Simplified Arabic" w:hAnsi="Simplified Arabic" w:cs="Simplified Arabic" w:hint="cs"/>
          <w:color w:val="000000" w:themeColor="text1"/>
          <w:sz w:val="24"/>
          <w:szCs w:val="24"/>
          <w:rtl/>
          <w:lang w:val="en-US"/>
        </w:rPr>
        <w:t>،</w:t>
      </w:r>
      <w:r w:rsidR="00C121B0" w:rsidRPr="000F0BB9">
        <w:rPr>
          <w:rFonts w:ascii="Simplified Arabic" w:hAnsi="Simplified Arabic" w:cs="Simplified Arabic" w:hint="cs"/>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 xml:space="preserve">من خلال مقارنتها مع  </w:t>
      </w:r>
      <w:r w:rsidR="00C121B0">
        <w:rPr>
          <w:rFonts w:ascii="Simplified Arabic" w:hAnsi="Simplified Arabic" w:cs="Simplified Arabic" w:hint="cs"/>
          <w:color w:val="000000" w:themeColor="text1"/>
          <w:sz w:val="24"/>
          <w:szCs w:val="24"/>
          <w:rtl/>
          <w:lang w:val="en-US"/>
        </w:rPr>
        <w:t>نتائج</w:t>
      </w:r>
      <w:r w:rsidR="00E87B43">
        <w:rPr>
          <w:rFonts w:ascii="Simplified Arabic" w:hAnsi="Simplified Arabic" w:cs="Simplified Arabic" w:hint="cs"/>
          <w:color w:val="000000" w:themeColor="text1"/>
          <w:sz w:val="24"/>
          <w:szCs w:val="24"/>
          <w:rtl/>
          <w:lang w:val="en-US"/>
        </w:rPr>
        <w:t xml:space="preserve"> خرائط</w:t>
      </w:r>
      <w:r w:rsidR="00C121B0">
        <w:rPr>
          <w:rFonts w:ascii="Simplified Arabic" w:hAnsi="Simplified Arabic" w:cs="Simplified Arabic" w:hint="cs"/>
          <w:color w:val="000000" w:themeColor="text1"/>
          <w:sz w:val="24"/>
          <w:szCs w:val="24"/>
          <w:rtl/>
          <w:lang w:val="en-US"/>
        </w:rPr>
        <w:t xml:space="preserve"> تصنيفات المرونة الحضرية</w:t>
      </w:r>
      <w:r w:rsidR="00C121B0" w:rsidRPr="003067A6">
        <w:rPr>
          <w:rFonts w:ascii="Simplified Arabic" w:hAnsi="Simplified Arabic" w:cs="Simplified Arabic" w:hint="cs"/>
          <w:color w:val="000000" w:themeColor="text1"/>
          <w:sz w:val="24"/>
          <w:szCs w:val="24"/>
          <w:rtl/>
          <w:lang w:val="en-US"/>
        </w:rPr>
        <w:t xml:space="preserve"> </w:t>
      </w:r>
      <w:r w:rsidR="00E87B43">
        <w:rPr>
          <w:rFonts w:ascii="Simplified Arabic" w:hAnsi="Simplified Arabic" w:cs="Simplified Arabic" w:hint="cs"/>
          <w:color w:val="000000" w:themeColor="text1"/>
          <w:sz w:val="24"/>
          <w:szCs w:val="24"/>
          <w:rtl/>
          <w:lang w:val="en-US"/>
        </w:rPr>
        <w:t xml:space="preserve">وفق </w:t>
      </w:r>
      <w:r w:rsidR="00C121B0">
        <w:rPr>
          <w:rFonts w:ascii="Simplified Arabic" w:hAnsi="Simplified Arabic" w:cs="Simplified Arabic" w:hint="cs"/>
          <w:color w:val="000000" w:themeColor="text1"/>
          <w:sz w:val="24"/>
          <w:szCs w:val="24"/>
          <w:rtl/>
          <w:lang w:val="en-US"/>
        </w:rPr>
        <w:t>ما</w:t>
      </w:r>
      <w:r w:rsidR="00E87B43">
        <w:rPr>
          <w:rFonts w:ascii="Simplified Arabic" w:hAnsi="Simplified Arabic" w:cs="Simplified Arabic" w:hint="cs"/>
          <w:color w:val="000000" w:themeColor="text1"/>
          <w:sz w:val="24"/>
          <w:szCs w:val="24"/>
          <w:rtl/>
          <w:lang w:val="en-US"/>
        </w:rPr>
        <w:t xml:space="preserve"> </w:t>
      </w:r>
      <w:r w:rsidR="00C121B0">
        <w:rPr>
          <w:rFonts w:ascii="Simplified Arabic" w:hAnsi="Simplified Arabic" w:cs="Simplified Arabic" w:hint="cs"/>
          <w:color w:val="000000" w:themeColor="text1"/>
          <w:sz w:val="24"/>
          <w:szCs w:val="24"/>
          <w:rtl/>
          <w:lang w:val="en-US"/>
        </w:rPr>
        <w:t>يلي:</w:t>
      </w:r>
    </w:p>
    <w:p w:rsidR="003603C9" w:rsidRPr="003603C9" w:rsidRDefault="009358EE" w:rsidP="001D0548">
      <w:pPr>
        <w:pStyle w:val="Paragraphedeliste"/>
        <w:numPr>
          <w:ilvl w:val="0"/>
          <w:numId w:val="61"/>
        </w:numPr>
        <w:tabs>
          <w:tab w:val="right" w:pos="282"/>
        </w:tabs>
        <w:bidi/>
        <w:spacing w:after="0"/>
        <w:ind w:left="-1" w:hanging="1"/>
        <w:jc w:val="both"/>
        <w:rPr>
          <w:rFonts w:ascii="Simplified Arabic" w:hAnsi="Simplified Arabic" w:cs="Simplified Arabic"/>
          <w:color w:val="000000" w:themeColor="text1"/>
          <w:sz w:val="24"/>
          <w:szCs w:val="24"/>
          <w:rtl/>
        </w:rPr>
      </w:pPr>
      <w:r w:rsidRPr="00165EAB">
        <w:rPr>
          <w:rFonts w:ascii="Simplified Arabic" w:hAnsi="Simplified Arabic" w:cs="Simplified Arabic" w:hint="cs"/>
          <w:color w:val="000000" w:themeColor="text1"/>
          <w:sz w:val="24"/>
          <w:szCs w:val="24"/>
          <w:rtl/>
          <w:lang w:val="en-US" w:bidi="ar-DZ"/>
        </w:rPr>
        <w:t>اظهر</w:t>
      </w:r>
      <w:r>
        <w:rPr>
          <w:rFonts w:ascii="Simplified Arabic" w:hAnsi="Simplified Arabic" w:cs="Simplified Arabic" w:hint="cs"/>
          <w:color w:val="000000" w:themeColor="text1"/>
          <w:sz w:val="24"/>
          <w:szCs w:val="24"/>
          <w:rtl/>
          <w:lang w:val="en-US" w:bidi="ar-DZ"/>
        </w:rPr>
        <w:t>ت</w:t>
      </w:r>
      <w:r w:rsidRPr="00165EAB">
        <w:rPr>
          <w:rFonts w:ascii="Simplified Arabic" w:hAnsi="Simplified Arabic" w:cs="Simplified Arabic" w:hint="cs"/>
          <w:color w:val="000000" w:themeColor="text1"/>
          <w:sz w:val="24"/>
          <w:szCs w:val="24"/>
          <w:rtl/>
          <w:lang w:val="en-US" w:bidi="ar-DZ"/>
        </w:rPr>
        <w:t xml:space="preserve"> </w:t>
      </w:r>
      <w:r>
        <w:rPr>
          <w:rFonts w:ascii="Simplified Arabic" w:hAnsi="Simplified Arabic" w:cs="Simplified Arabic" w:hint="cs"/>
          <w:color w:val="000000" w:themeColor="text1"/>
          <w:sz w:val="24"/>
          <w:szCs w:val="24"/>
          <w:rtl/>
          <w:lang w:val="en-US" w:bidi="ar-DZ"/>
        </w:rPr>
        <w:t>نتائج الاستبيان</w:t>
      </w:r>
      <w:r w:rsidRPr="00434544">
        <w:rPr>
          <w:rFonts w:ascii="Simplified Arabic" w:hAnsi="Simplified Arabic" w:cs="Simplified Arabic" w:hint="cs"/>
          <w:color w:val="000000" w:themeColor="text1"/>
          <w:sz w:val="24"/>
          <w:szCs w:val="24"/>
          <w:rtl/>
          <w:lang w:val="en-US"/>
        </w:rPr>
        <w:t xml:space="preserve"> </w:t>
      </w:r>
      <w:r w:rsidR="003603C9" w:rsidRPr="00434544">
        <w:rPr>
          <w:rFonts w:ascii="Simplified Arabic" w:hAnsi="Simplified Arabic" w:cs="Simplified Arabic" w:hint="cs"/>
          <w:color w:val="000000" w:themeColor="text1"/>
          <w:sz w:val="24"/>
          <w:szCs w:val="24"/>
          <w:rtl/>
          <w:lang w:val="en-US" w:bidi="ar-DZ"/>
        </w:rPr>
        <w:t xml:space="preserve">بالأحياء السكنية (سيدي سليمان، ميطر، الحمايد والباطن) لفئة النسيج الحضري (ج، د) الواقعة بمناطق التوسع الحضري للمدينة </w:t>
      </w:r>
      <w:r w:rsidR="00434544" w:rsidRPr="00434544">
        <w:rPr>
          <w:rFonts w:ascii="Simplified Arabic" w:hAnsi="Simplified Arabic" w:cs="Simplified Arabic" w:hint="cs"/>
          <w:color w:val="000000" w:themeColor="text1"/>
          <w:sz w:val="24"/>
          <w:szCs w:val="24"/>
          <w:rtl/>
          <w:lang w:val="en-US" w:bidi="ar-DZ"/>
        </w:rPr>
        <w:t>ان</w:t>
      </w:r>
      <w:r w:rsidR="003603C9" w:rsidRPr="00434544">
        <w:rPr>
          <w:rFonts w:ascii="Simplified Arabic" w:hAnsi="Simplified Arabic" w:cs="Simplified Arabic" w:hint="cs"/>
          <w:color w:val="000000" w:themeColor="text1"/>
          <w:sz w:val="24"/>
          <w:szCs w:val="24"/>
          <w:rtl/>
          <w:lang w:val="en-US" w:bidi="ar-DZ"/>
        </w:rPr>
        <w:t xml:space="preserve"> </w:t>
      </w:r>
      <w:r w:rsidR="00434544" w:rsidRPr="00434544">
        <w:rPr>
          <w:rFonts w:ascii="Simplified Arabic" w:hAnsi="Simplified Arabic" w:cs="Simplified Arabic" w:hint="cs"/>
          <w:color w:val="000000" w:themeColor="text1"/>
          <w:sz w:val="24"/>
          <w:szCs w:val="24"/>
          <w:rtl/>
          <w:lang w:val="en-US" w:bidi="ar-DZ"/>
        </w:rPr>
        <w:t>اغلب</w:t>
      </w:r>
      <w:r w:rsidR="003F0F02" w:rsidRPr="003F0F02">
        <w:rPr>
          <w:rFonts w:ascii="Simplified Arabic" w:hAnsi="Simplified Arabic" w:cs="Simplified Arabic" w:hint="cs"/>
          <w:color w:val="000000" w:themeColor="text1"/>
          <w:sz w:val="24"/>
          <w:szCs w:val="24"/>
          <w:rtl/>
          <w:lang w:val="en-US" w:bidi="ar-DZ"/>
        </w:rPr>
        <w:t xml:space="preserve"> </w:t>
      </w:r>
      <w:r w:rsidR="003F0F02" w:rsidRPr="00434544">
        <w:rPr>
          <w:rFonts w:ascii="Simplified Arabic" w:hAnsi="Simplified Arabic" w:cs="Simplified Arabic" w:hint="cs"/>
          <w:color w:val="000000" w:themeColor="text1"/>
          <w:sz w:val="24"/>
          <w:szCs w:val="24"/>
          <w:rtl/>
          <w:lang w:val="en-US" w:bidi="ar-DZ"/>
        </w:rPr>
        <w:t xml:space="preserve">المستجوبين </w:t>
      </w:r>
      <w:r w:rsidR="00434544" w:rsidRPr="00434544">
        <w:rPr>
          <w:rFonts w:ascii="Simplified Arabic" w:hAnsi="Simplified Arabic" w:cs="Simplified Arabic" w:hint="cs"/>
          <w:color w:val="000000" w:themeColor="text1"/>
          <w:sz w:val="24"/>
          <w:szCs w:val="24"/>
          <w:rtl/>
          <w:lang w:val="en-US" w:bidi="ar-DZ"/>
        </w:rPr>
        <w:t>يقيم في بنايات ذات</w:t>
      </w:r>
      <w:r w:rsidR="000666D9">
        <w:rPr>
          <w:rFonts w:ascii="Simplified Arabic" w:hAnsi="Simplified Arabic" w:cs="Simplified Arabic" w:hint="cs"/>
          <w:color w:val="000000" w:themeColor="text1"/>
          <w:sz w:val="24"/>
          <w:szCs w:val="24"/>
          <w:rtl/>
          <w:lang w:val="en-US" w:bidi="ar-DZ"/>
        </w:rPr>
        <w:t xml:space="preserve"> طوابق</w:t>
      </w:r>
      <w:r w:rsidR="00434544" w:rsidRPr="00434544">
        <w:rPr>
          <w:rFonts w:ascii="Simplified Arabic" w:hAnsi="Simplified Arabic" w:cs="Simplified Arabic" w:hint="cs"/>
          <w:color w:val="000000" w:themeColor="text1"/>
          <w:sz w:val="24"/>
          <w:szCs w:val="24"/>
          <w:rtl/>
          <w:lang w:val="en-US" w:bidi="ar-DZ"/>
        </w:rPr>
        <w:t xml:space="preserve"> </w:t>
      </w:r>
      <w:r w:rsidR="000666D9">
        <w:rPr>
          <w:rFonts w:ascii="Simplified Arabic" w:hAnsi="Simplified Arabic" w:cs="Simplified Arabic" w:hint="cs"/>
          <w:color w:val="000000" w:themeColor="text1"/>
          <w:sz w:val="24"/>
          <w:szCs w:val="24"/>
          <w:rtl/>
          <w:lang w:val="en-US" w:bidi="ar-DZ"/>
        </w:rPr>
        <w:t>(</w:t>
      </w:r>
      <w:r w:rsidR="00434544" w:rsidRPr="00434544">
        <w:rPr>
          <w:rFonts w:ascii="Simplified Arabic" w:hAnsi="Simplified Arabic" w:cs="Simplified Arabic" w:hint="cs"/>
          <w:color w:val="000000" w:themeColor="text1"/>
          <w:sz w:val="24"/>
          <w:szCs w:val="24"/>
          <w:rtl/>
          <w:lang w:val="en-US" w:bidi="ar-DZ"/>
        </w:rPr>
        <w:t>ط+1</w:t>
      </w:r>
      <w:r w:rsidR="000666D9">
        <w:rPr>
          <w:rFonts w:ascii="Simplified Arabic" w:hAnsi="Simplified Arabic" w:cs="Simplified Arabic" w:hint="cs"/>
          <w:color w:val="000000" w:themeColor="text1"/>
          <w:sz w:val="24"/>
          <w:szCs w:val="24"/>
          <w:rtl/>
          <w:lang w:val="en-US" w:bidi="ar-DZ"/>
        </w:rPr>
        <w:t>)</w:t>
      </w:r>
      <w:r w:rsidR="00E93797">
        <w:rPr>
          <w:rFonts w:ascii="Simplified Arabic" w:hAnsi="Simplified Arabic" w:cs="Simplified Arabic" w:hint="cs"/>
          <w:color w:val="000000" w:themeColor="text1"/>
          <w:sz w:val="24"/>
          <w:szCs w:val="24"/>
          <w:rtl/>
          <w:lang w:val="en-US"/>
        </w:rPr>
        <w:t>.</w:t>
      </w:r>
      <w:r w:rsidR="003603C9" w:rsidRPr="00434544">
        <w:rPr>
          <w:rFonts w:ascii="Simplified Arabic" w:hAnsi="Simplified Arabic" w:cs="Simplified Arabic" w:hint="cs"/>
          <w:color w:val="000000" w:themeColor="text1"/>
          <w:sz w:val="24"/>
          <w:szCs w:val="24"/>
          <w:rtl/>
          <w:lang w:val="en-US"/>
        </w:rPr>
        <w:t xml:space="preserve"> </w:t>
      </w:r>
      <w:r w:rsidR="00E93797" w:rsidRPr="00165EAB">
        <w:rPr>
          <w:rFonts w:ascii="Simplified Arabic" w:hAnsi="Simplified Arabic" w:cs="Simplified Arabic" w:hint="cs"/>
          <w:color w:val="000000" w:themeColor="text1"/>
          <w:sz w:val="24"/>
          <w:szCs w:val="24"/>
          <w:rtl/>
          <w:lang w:val="en-US" w:bidi="ar-DZ"/>
        </w:rPr>
        <w:t>رغم ذلك</w:t>
      </w:r>
      <w:r w:rsidR="00E93797">
        <w:rPr>
          <w:rFonts w:ascii="Simplified Arabic" w:hAnsi="Simplified Arabic" w:cs="Simplified Arabic" w:hint="cs"/>
          <w:color w:val="000000" w:themeColor="text1"/>
          <w:sz w:val="24"/>
          <w:szCs w:val="24"/>
          <w:rtl/>
          <w:lang w:val="en-US" w:bidi="ar-DZ"/>
        </w:rPr>
        <w:t>،</w:t>
      </w:r>
      <w:r w:rsidR="00E93797" w:rsidRPr="00165EAB">
        <w:rPr>
          <w:rFonts w:ascii="Simplified Arabic" w:hAnsi="Simplified Arabic" w:cs="Simplified Arabic" w:hint="cs"/>
          <w:color w:val="000000" w:themeColor="text1"/>
          <w:sz w:val="24"/>
          <w:szCs w:val="24"/>
          <w:rtl/>
          <w:lang w:val="en-US" w:bidi="ar-DZ"/>
        </w:rPr>
        <w:t xml:space="preserve"> اظهر</w:t>
      </w:r>
      <w:r w:rsidR="00E93797">
        <w:rPr>
          <w:rFonts w:ascii="Simplified Arabic" w:hAnsi="Simplified Arabic" w:cs="Simplified Arabic" w:hint="cs"/>
          <w:color w:val="000000" w:themeColor="text1"/>
          <w:sz w:val="24"/>
          <w:szCs w:val="24"/>
          <w:rtl/>
          <w:lang w:val="en-US" w:bidi="ar-DZ"/>
        </w:rPr>
        <w:t>ت</w:t>
      </w:r>
      <w:r w:rsidR="00E93797" w:rsidRPr="00165EAB">
        <w:rPr>
          <w:rFonts w:ascii="Simplified Arabic" w:hAnsi="Simplified Arabic" w:cs="Simplified Arabic" w:hint="cs"/>
          <w:color w:val="000000" w:themeColor="text1"/>
          <w:sz w:val="24"/>
          <w:szCs w:val="24"/>
          <w:rtl/>
          <w:lang w:val="en-US" w:bidi="ar-DZ"/>
        </w:rPr>
        <w:t xml:space="preserve"> </w:t>
      </w:r>
      <w:r w:rsidR="00E93797">
        <w:rPr>
          <w:rFonts w:ascii="Simplified Arabic" w:hAnsi="Simplified Arabic" w:cs="Simplified Arabic" w:hint="cs"/>
          <w:color w:val="000000" w:themeColor="text1"/>
          <w:sz w:val="24"/>
          <w:szCs w:val="24"/>
          <w:rtl/>
          <w:lang w:val="en-US" w:bidi="ar-DZ"/>
        </w:rPr>
        <w:t>نتائج الاستبيان</w:t>
      </w:r>
      <w:r w:rsidR="003603C9" w:rsidRPr="00434544">
        <w:rPr>
          <w:rFonts w:ascii="Simplified Arabic" w:hAnsi="Simplified Arabic" w:cs="Simplified Arabic" w:hint="cs"/>
          <w:color w:val="000000" w:themeColor="text1"/>
          <w:sz w:val="24"/>
          <w:szCs w:val="24"/>
          <w:rtl/>
          <w:lang w:val="en-US"/>
        </w:rPr>
        <w:t xml:space="preserve"> </w:t>
      </w:r>
      <w:r w:rsidR="003F0F02">
        <w:rPr>
          <w:rFonts w:ascii="Simplified Arabic" w:hAnsi="Simplified Arabic" w:cs="Simplified Arabic" w:hint="cs"/>
          <w:color w:val="000000" w:themeColor="text1"/>
          <w:sz w:val="24"/>
          <w:szCs w:val="24"/>
          <w:rtl/>
          <w:lang w:val="en-US"/>
        </w:rPr>
        <w:t xml:space="preserve">أي </w:t>
      </w:r>
      <w:r w:rsidR="00E93797">
        <w:rPr>
          <w:rFonts w:ascii="Simplified Arabic" w:hAnsi="Simplified Arabic" w:cs="Simplified Arabic" w:hint="cs"/>
          <w:color w:val="000000" w:themeColor="text1"/>
          <w:sz w:val="24"/>
          <w:szCs w:val="24"/>
          <w:rtl/>
          <w:lang w:val="en-US"/>
        </w:rPr>
        <w:t>(</w:t>
      </w:r>
      <w:r w:rsidR="00E93797">
        <w:rPr>
          <w:rFonts w:ascii="Simplified Arabic" w:hAnsi="Simplified Arabic" w:cs="Simplified Arabic"/>
          <w:sz w:val="24"/>
          <w:szCs w:val="24"/>
          <w:lang w:val="en-US"/>
        </w:rPr>
        <w:t>59</w:t>
      </w:r>
      <w:r w:rsidR="00E93797" w:rsidRPr="00220BB6">
        <w:rPr>
          <w:rFonts w:ascii="Simplified Arabic" w:hAnsi="Simplified Arabic" w:cs="Simplified Arabic"/>
          <w:sz w:val="24"/>
          <w:szCs w:val="24"/>
          <w:lang w:val="en-US"/>
        </w:rPr>
        <w:t>,</w:t>
      </w:r>
      <w:r w:rsidR="00E93797">
        <w:rPr>
          <w:rFonts w:ascii="Simplified Arabic" w:hAnsi="Simplified Arabic" w:cs="Simplified Arabic"/>
          <w:sz w:val="24"/>
          <w:szCs w:val="24"/>
          <w:lang w:val="en-US"/>
        </w:rPr>
        <w:t>74</w:t>
      </w:r>
      <w:r w:rsidR="00E93797" w:rsidRPr="00A71970">
        <w:rPr>
          <w:rFonts w:ascii="Simplified Arabic" w:hAnsi="Simplified Arabic" w:cs="Simplified Arabic"/>
          <w:sz w:val="24"/>
          <w:szCs w:val="24"/>
          <w:rtl/>
          <w:lang w:val="en-US"/>
        </w:rPr>
        <w:t>٪</w:t>
      </w:r>
      <w:r w:rsidR="00E93797">
        <w:rPr>
          <w:rFonts w:ascii="Simplified Arabic" w:hAnsi="Simplified Arabic" w:cs="Simplified Arabic" w:hint="cs"/>
          <w:sz w:val="24"/>
          <w:szCs w:val="24"/>
          <w:rtl/>
          <w:lang w:val="en-US"/>
        </w:rPr>
        <w:t xml:space="preserve">) التي تخص عينة </w:t>
      </w:r>
      <w:r w:rsidR="00E93797" w:rsidRPr="00165EAB">
        <w:rPr>
          <w:rFonts w:ascii="Simplified Arabic" w:hAnsi="Simplified Arabic" w:cs="Simplified Arabic" w:hint="cs"/>
          <w:color w:val="000000" w:themeColor="text1"/>
          <w:sz w:val="24"/>
          <w:szCs w:val="24"/>
          <w:rtl/>
          <w:lang w:val="en-US" w:bidi="ar-DZ"/>
        </w:rPr>
        <w:t xml:space="preserve">الحي السكني </w:t>
      </w:r>
      <w:r w:rsidR="00E42942" w:rsidRPr="003603C9">
        <w:rPr>
          <w:rFonts w:ascii="Simplified Arabic" w:hAnsi="Simplified Arabic" w:cs="Simplified Arabic" w:hint="cs"/>
          <w:color w:val="000000" w:themeColor="text1"/>
          <w:sz w:val="24"/>
          <w:szCs w:val="24"/>
          <w:rtl/>
        </w:rPr>
        <w:t>الباطن</w:t>
      </w:r>
      <w:r w:rsidR="00E42942" w:rsidRPr="00434544">
        <w:rPr>
          <w:rFonts w:ascii="Simplified Arabic" w:hAnsi="Simplified Arabic" w:cs="Simplified Arabic" w:hint="cs"/>
          <w:color w:val="000000" w:themeColor="text1"/>
          <w:sz w:val="24"/>
          <w:szCs w:val="24"/>
          <w:rtl/>
          <w:lang w:val="en-US"/>
        </w:rPr>
        <w:t xml:space="preserve"> </w:t>
      </w:r>
      <w:r w:rsidR="00E42942">
        <w:rPr>
          <w:rFonts w:ascii="Simplified Arabic" w:hAnsi="Simplified Arabic" w:cs="Simplified Arabic" w:hint="cs"/>
          <w:color w:val="000000" w:themeColor="text1"/>
          <w:sz w:val="24"/>
          <w:szCs w:val="24"/>
          <w:rtl/>
          <w:lang w:val="en-US" w:bidi="ar-DZ"/>
        </w:rPr>
        <w:t xml:space="preserve">لفئة النسيج الحضري (د) </w:t>
      </w:r>
      <w:r w:rsidR="00E87B43">
        <w:rPr>
          <w:rFonts w:ascii="Simplified Arabic" w:hAnsi="Simplified Arabic" w:cs="Simplified Arabic" w:hint="cs"/>
          <w:color w:val="000000" w:themeColor="text1"/>
          <w:sz w:val="24"/>
          <w:szCs w:val="24"/>
          <w:rtl/>
          <w:lang w:val="en-US"/>
        </w:rPr>
        <w:t>اغلب</w:t>
      </w:r>
      <w:r>
        <w:rPr>
          <w:rFonts w:ascii="Simplified Arabic" w:hAnsi="Simplified Arabic" w:cs="Simplified Arabic" w:hint="cs"/>
          <w:color w:val="000000" w:themeColor="text1"/>
          <w:sz w:val="24"/>
          <w:szCs w:val="24"/>
          <w:rtl/>
          <w:lang w:val="en-US"/>
        </w:rPr>
        <w:t>ه</w:t>
      </w:r>
      <w:r w:rsidR="003F0F02">
        <w:rPr>
          <w:rFonts w:ascii="Simplified Arabic" w:hAnsi="Simplified Arabic" w:cs="Simplified Arabic" w:hint="cs"/>
          <w:color w:val="000000" w:themeColor="text1"/>
          <w:sz w:val="24"/>
          <w:szCs w:val="24"/>
          <w:rtl/>
          <w:lang w:val="en-US"/>
        </w:rPr>
        <w:t>م يقيم في</w:t>
      </w:r>
      <w:r w:rsidR="003603C9" w:rsidRPr="00434544">
        <w:rPr>
          <w:rFonts w:ascii="Simplified Arabic" w:hAnsi="Simplified Arabic" w:cs="Simplified Arabic" w:hint="cs"/>
          <w:color w:val="000000" w:themeColor="text1"/>
          <w:sz w:val="24"/>
          <w:szCs w:val="24"/>
          <w:rtl/>
          <w:lang w:val="en-US"/>
        </w:rPr>
        <w:t xml:space="preserve"> </w:t>
      </w:r>
      <w:r w:rsidR="00E87B43" w:rsidRPr="003603C9">
        <w:rPr>
          <w:rFonts w:ascii="Simplified Arabic" w:hAnsi="Simplified Arabic" w:cs="Simplified Arabic" w:hint="cs"/>
          <w:color w:val="000000" w:themeColor="text1"/>
          <w:sz w:val="24"/>
          <w:szCs w:val="24"/>
          <w:rtl/>
          <w:lang w:bidi="ar-DZ"/>
        </w:rPr>
        <w:t>بناي</w:t>
      </w:r>
      <w:r w:rsidR="00E87B43">
        <w:rPr>
          <w:rFonts w:ascii="Simplified Arabic" w:hAnsi="Simplified Arabic" w:cs="Simplified Arabic" w:hint="cs"/>
          <w:color w:val="000000" w:themeColor="text1"/>
          <w:sz w:val="24"/>
          <w:szCs w:val="24"/>
          <w:rtl/>
          <w:lang w:bidi="ar-DZ"/>
        </w:rPr>
        <w:t>ات</w:t>
      </w:r>
      <w:r w:rsidR="00E87B43" w:rsidRPr="003603C9">
        <w:rPr>
          <w:rFonts w:ascii="Simplified Arabic" w:hAnsi="Simplified Arabic" w:cs="Simplified Arabic" w:hint="cs"/>
          <w:color w:val="000000" w:themeColor="text1"/>
          <w:sz w:val="24"/>
          <w:szCs w:val="24"/>
          <w:rtl/>
          <w:lang w:bidi="ar-DZ"/>
        </w:rPr>
        <w:t xml:space="preserve"> </w:t>
      </w:r>
      <w:r w:rsidR="00E42942">
        <w:rPr>
          <w:rFonts w:ascii="Simplified Arabic" w:hAnsi="Simplified Arabic" w:cs="Simplified Arabic" w:hint="cs"/>
          <w:color w:val="000000" w:themeColor="text1"/>
          <w:sz w:val="24"/>
          <w:szCs w:val="24"/>
          <w:rtl/>
          <w:lang w:bidi="ar-DZ"/>
        </w:rPr>
        <w:lastRenderedPageBreak/>
        <w:t>ذات</w:t>
      </w:r>
      <w:r w:rsidR="000666D9">
        <w:rPr>
          <w:rFonts w:ascii="Simplified Arabic" w:hAnsi="Simplified Arabic" w:cs="Simplified Arabic" w:hint="cs"/>
          <w:color w:val="000000" w:themeColor="text1"/>
          <w:sz w:val="24"/>
          <w:szCs w:val="24"/>
          <w:rtl/>
          <w:lang w:bidi="ar-DZ"/>
        </w:rPr>
        <w:t xml:space="preserve"> طوابق</w:t>
      </w:r>
      <w:r w:rsidR="00E42942">
        <w:rPr>
          <w:rFonts w:ascii="Simplified Arabic" w:hAnsi="Simplified Arabic" w:cs="Simplified Arabic" w:hint="cs"/>
          <w:color w:val="000000" w:themeColor="text1"/>
          <w:sz w:val="24"/>
          <w:szCs w:val="24"/>
          <w:rtl/>
          <w:lang w:bidi="ar-DZ"/>
        </w:rPr>
        <w:t xml:space="preserve"> </w:t>
      </w:r>
      <w:r w:rsidR="000666D9">
        <w:rPr>
          <w:rFonts w:ascii="Simplified Arabic" w:hAnsi="Simplified Arabic" w:cs="Simplified Arabic" w:hint="cs"/>
          <w:color w:val="000000" w:themeColor="text1"/>
          <w:sz w:val="24"/>
          <w:szCs w:val="24"/>
          <w:rtl/>
          <w:lang w:bidi="ar-DZ"/>
        </w:rPr>
        <w:t>(</w:t>
      </w:r>
      <w:r w:rsidR="00E87B43" w:rsidRPr="003603C9">
        <w:rPr>
          <w:rFonts w:ascii="Simplified Arabic" w:hAnsi="Simplified Arabic" w:cs="Simplified Arabic"/>
          <w:color w:val="000000" w:themeColor="text1"/>
          <w:sz w:val="24"/>
          <w:szCs w:val="24"/>
          <w:rtl/>
          <w:lang w:bidi="ar-DZ"/>
        </w:rPr>
        <w:t>ط+</w:t>
      </w:r>
      <w:r w:rsidR="00E42942">
        <w:rPr>
          <w:rFonts w:ascii="Simplified Arabic" w:hAnsi="Simplified Arabic" w:cs="Simplified Arabic" w:hint="cs"/>
          <w:color w:val="000000" w:themeColor="text1"/>
          <w:sz w:val="24"/>
          <w:szCs w:val="24"/>
          <w:rtl/>
          <w:lang w:bidi="ar-DZ"/>
        </w:rPr>
        <w:t>3</w:t>
      </w:r>
      <w:r w:rsidR="000666D9">
        <w:rPr>
          <w:rFonts w:ascii="Simplified Arabic" w:hAnsi="Simplified Arabic" w:cs="Simplified Arabic" w:hint="cs"/>
          <w:color w:val="000000" w:themeColor="text1"/>
          <w:sz w:val="24"/>
          <w:szCs w:val="24"/>
          <w:rtl/>
          <w:lang w:bidi="ar-DZ"/>
        </w:rPr>
        <w:t>)</w:t>
      </w:r>
      <w:r w:rsidR="00E42942">
        <w:rPr>
          <w:rFonts w:ascii="Simplified Arabic" w:hAnsi="Simplified Arabic" w:cs="Simplified Arabic" w:hint="cs"/>
          <w:color w:val="000000" w:themeColor="text1"/>
          <w:sz w:val="24"/>
          <w:szCs w:val="24"/>
          <w:rtl/>
          <w:lang w:bidi="ar-DZ"/>
        </w:rPr>
        <w:t>.</w:t>
      </w:r>
      <w:r w:rsidR="00E87B43">
        <w:rPr>
          <w:rFonts w:ascii="Simplified Arabic" w:hAnsi="Simplified Arabic" w:cs="Simplified Arabic" w:hint="cs"/>
          <w:color w:val="000000" w:themeColor="text1"/>
          <w:sz w:val="24"/>
          <w:szCs w:val="24"/>
          <w:rtl/>
        </w:rPr>
        <w:t xml:space="preserve"> هذا</w:t>
      </w:r>
      <w:r w:rsidR="003603C9" w:rsidRPr="003603C9">
        <w:rPr>
          <w:rFonts w:ascii="Simplified Arabic" w:hAnsi="Simplified Arabic" w:cs="Simplified Arabic" w:hint="cs"/>
          <w:color w:val="000000" w:themeColor="text1"/>
          <w:sz w:val="24"/>
          <w:szCs w:val="24"/>
          <w:rtl/>
        </w:rPr>
        <w:t xml:space="preserve"> راجع الى </w:t>
      </w:r>
      <w:r w:rsidR="00E87B43">
        <w:rPr>
          <w:rFonts w:ascii="Simplified Arabic" w:hAnsi="Simplified Arabic" w:cs="Simplified Arabic" w:hint="cs"/>
          <w:color w:val="000000" w:themeColor="text1"/>
          <w:sz w:val="24"/>
          <w:szCs w:val="24"/>
          <w:rtl/>
        </w:rPr>
        <w:t>ان الحي يضم البنايات العالية والعمارات</w:t>
      </w:r>
      <w:r w:rsidR="003603C9" w:rsidRPr="003603C9">
        <w:rPr>
          <w:rFonts w:ascii="Simplified Arabic" w:hAnsi="Simplified Arabic" w:cs="Simplified Arabic" w:hint="cs"/>
          <w:color w:val="000000" w:themeColor="text1"/>
          <w:sz w:val="24"/>
          <w:szCs w:val="24"/>
          <w:rtl/>
        </w:rPr>
        <w:t xml:space="preserve"> التي تحمل طابع السكن الجماعي.</w:t>
      </w:r>
      <w:r w:rsidR="00E93797" w:rsidRPr="00E93797">
        <w:rPr>
          <w:rFonts w:ascii="Simplified Arabic" w:hAnsi="Simplified Arabic" w:cs="Simplified Arabic" w:hint="cs"/>
          <w:color w:val="000000" w:themeColor="text1"/>
          <w:sz w:val="24"/>
          <w:szCs w:val="24"/>
          <w:rtl/>
          <w:lang w:val="en-US"/>
        </w:rPr>
        <w:t xml:space="preserve"> </w:t>
      </w:r>
      <w:r w:rsidR="00E42942">
        <w:rPr>
          <w:rFonts w:ascii="Simplified Arabic" w:hAnsi="Simplified Arabic" w:cs="Simplified Arabic" w:hint="cs"/>
          <w:color w:val="000000" w:themeColor="text1"/>
          <w:sz w:val="24"/>
          <w:szCs w:val="24"/>
          <w:rtl/>
          <w:lang w:val="en-US"/>
        </w:rPr>
        <w:t>هذا ي</w:t>
      </w:r>
      <w:r w:rsidR="00E42942" w:rsidRPr="003D24C3">
        <w:rPr>
          <w:rFonts w:ascii="Simplified Arabic" w:hAnsi="Simplified Arabic" w:cs="Simplified Arabic" w:hint="cs"/>
          <w:color w:val="000000" w:themeColor="text1"/>
          <w:sz w:val="24"/>
          <w:szCs w:val="24"/>
          <w:rtl/>
          <w:lang w:val="en-US"/>
        </w:rPr>
        <w:t>دعم صحة</w:t>
      </w:r>
      <w:r w:rsidR="00E42942" w:rsidRPr="003D24C3">
        <w:rPr>
          <w:rFonts w:ascii="Simplified Arabic" w:hAnsi="Simplified Arabic" w:cs="Simplified Arabic"/>
          <w:color w:val="000000" w:themeColor="text1"/>
          <w:sz w:val="24"/>
          <w:szCs w:val="24"/>
          <w:rtl/>
          <w:lang w:val="en-US"/>
        </w:rPr>
        <w:t xml:space="preserve"> </w:t>
      </w:r>
      <w:r w:rsidR="00E42942" w:rsidRPr="003D24C3">
        <w:rPr>
          <w:rFonts w:ascii="Simplified Arabic" w:hAnsi="Simplified Arabic" w:cs="Simplified Arabic" w:hint="cs"/>
          <w:color w:val="000000" w:themeColor="text1"/>
          <w:sz w:val="24"/>
          <w:szCs w:val="24"/>
          <w:rtl/>
          <w:lang w:val="en-US"/>
        </w:rPr>
        <w:t>نتائج</w:t>
      </w:r>
      <w:r w:rsidR="00E42942" w:rsidRPr="003D24C3">
        <w:rPr>
          <w:rFonts w:ascii="Simplified Arabic" w:hAnsi="Simplified Arabic" w:cs="Simplified Arabic"/>
          <w:color w:val="000000" w:themeColor="text1"/>
          <w:sz w:val="24"/>
          <w:szCs w:val="24"/>
          <w:rtl/>
          <w:lang w:val="en-US"/>
        </w:rPr>
        <w:t xml:space="preserve"> </w:t>
      </w:r>
      <w:r w:rsidR="00E42942" w:rsidRPr="003D24C3">
        <w:rPr>
          <w:rFonts w:ascii="Simplified Arabic" w:hAnsi="Simplified Arabic" w:cs="Simplified Arabic" w:hint="cs"/>
          <w:color w:val="000000" w:themeColor="text1"/>
          <w:sz w:val="24"/>
          <w:szCs w:val="24"/>
          <w:rtl/>
          <w:lang w:val="en-US"/>
        </w:rPr>
        <w:t xml:space="preserve">خريطة </w:t>
      </w:r>
      <w:r w:rsidR="00E42942" w:rsidRPr="00434544">
        <w:rPr>
          <w:rFonts w:ascii="Simplified Arabic" w:hAnsi="Simplified Arabic" w:cs="Simplified Arabic" w:hint="cs"/>
          <w:color w:val="000000" w:themeColor="text1"/>
          <w:sz w:val="24"/>
          <w:szCs w:val="24"/>
          <w:rtl/>
          <w:lang w:val="en-US"/>
        </w:rPr>
        <w:t>توزيع ك</w:t>
      </w:r>
      <w:r w:rsidR="00E42942">
        <w:rPr>
          <w:rFonts w:ascii="Simplified Arabic" w:hAnsi="Simplified Arabic" w:cs="Simplified Arabic" w:hint="cs"/>
          <w:color w:val="000000" w:themeColor="text1"/>
          <w:sz w:val="24"/>
          <w:szCs w:val="24"/>
          <w:rtl/>
          <w:lang w:val="en-US"/>
        </w:rPr>
        <w:t>ث</w:t>
      </w:r>
      <w:r w:rsidR="00E42942" w:rsidRPr="00434544">
        <w:rPr>
          <w:rFonts w:ascii="Simplified Arabic" w:hAnsi="Simplified Arabic" w:cs="Simplified Arabic" w:hint="cs"/>
          <w:color w:val="000000" w:themeColor="text1"/>
          <w:sz w:val="24"/>
          <w:szCs w:val="24"/>
          <w:rtl/>
          <w:lang w:val="en-US"/>
        </w:rPr>
        <w:t>افة البناء</w:t>
      </w:r>
      <w:r w:rsidR="00E42942">
        <w:rPr>
          <w:rFonts w:ascii="Simplified Arabic" w:hAnsi="Simplified Arabic" w:cs="Simplified Arabic" w:hint="cs"/>
          <w:color w:val="000000" w:themeColor="text1"/>
          <w:sz w:val="24"/>
          <w:szCs w:val="24"/>
          <w:rtl/>
          <w:lang w:val="en-US"/>
        </w:rPr>
        <w:t xml:space="preserve">، التي اظهرت ان منطقة </w:t>
      </w:r>
      <w:r w:rsidR="00E42942">
        <w:rPr>
          <w:rFonts w:ascii="Simplified Arabic" w:hAnsi="Simplified Arabic" w:cs="Simplified Arabic" w:hint="cs"/>
          <w:color w:val="000000" w:themeColor="text1"/>
          <w:sz w:val="24"/>
          <w:szCs w:val="24"/>
          <w:rtl/>
          <w:lang w:val="en-US" w:bidi="ar-DZ"/>
        </w:rPr>
        <w:t>التوسع الحضري بشمال</w:t>
      </w:r>
      <w:r w:rsidR="00E42942" w:rsidRPr="003D24C3">
        <w:rPr>
          <w:rFonts w:ascii="Simplified Arabic" w:hAnsi="Simplified Arabic" w:cs="Simplified Arabic" w:hint="cs"/>
          <w:color w:val="000000" w:themeColor="text1"/>
          <w:sz w:val="24"/>
          <w:szCs w:val="24"/>
          <w:rtl/>
          <w:lang w:val="en-US" w:bidi="ar-DZ"/>
        </w:rPr>
        <w:t xml:space="preserve"> المدينة</w:t>
      </w:r>
      <w:r w:rsidR="00E42942">
        <w:rPr>
          <w:rFonts w:ascii="Simplified Arabic" w:hAnsi="Simplified Arabic" w:cs="Simplified Arabic" w:hint="cs"/>
          <w:color w:val="000000" w:themeColor="text1"/>
          <w:sz w:val="24"/>
          <w:szCs w:val="24"/>
          <w:rtl/>
          <w:lang w:val="en-US"/>
        </w:rPr>
        <w:t xml:space="preserve"> تشهد </w:t>
      </w:r>
      <w:r w:rsidR="00E42942" w:rsidRPr="003D24C3">
        <w:rPr>
          <w:rFonts w:ascii="Simplified Arabic" w:hAnsi="Simplified Arabic" w:cs="Simplified Arabic" w:hint="cs"/>
          <w:color w:val="000000" w:themeColor="text1"/>
          <w:sz w:val="24"/>
          <w:szCs w:val="24"/>
          <w:rtl/>
          <w:lang w:val="en-US" w:bidi="ar-DZ"/>
        </w:rPr>
        <w:t xml:space="preserve">مستويات </w:t>
      </w:r>
      <w:r w:rsidR="00E42942">
        <w:rPr>
          <w:rFonts w:ascii="Simplified Arabic" w:hAnsi="Simplified Arabic" w:cs="Simplified Arabic" w:hint="cs"/>
          <w:color w:val="000000" w:themeColor="text1"/>
          <w:sz w:val="24"/>
          <w:szCs w:val="24"/>
          <w:rtl/>
          <w:lang w:val="en-US" w:bidi="ar-DZ"/>
        </w:rPr>
        <w:t>مرونة</w:t>
      </w:r>
      <w:r w:rsidR="00E42942" w:rsidRPr="003D24C3">
        <w:rPr>
          <w:rFonts w:ascii="Simplified Arabic" w:hAnsi="Simplified Arabic" w:cs="Simplified Arabic" w:hint="cs"/>
          <w:color w:val="000000" w:themeColor="text1"/>
          <w:sz w:val="24"/>
          <w:szCs w:val="24"/>
          <w:rtl/>
          <w:lang w:val="en-US" w:bidi="ar-DZ"/>
        </w:rPr>
        <w:t xml:space="preserve"> </w:t>
      </w:r>
      <w:r w:rsidR="00E42942">
        <w:rPr>
          <w:rFonts w:ascii="Simplified Arabic" w:hAnsi="Simplified Arabic" w:cs="Simplified Arabic" w:hint="cs"/>
          <w:color w:val="000000" w:themeColor="text1"/>
          <w:sz w:val="24"/>
          <w:szCs w:val="24"/>
          <w:rtl/>
          <w:lang w:val="en-US" w:bidi="ar-DZ"/>
        </w:rPr>
        <w:t xml:space="preserve">متفاوتة </w:t>
      </w:r>
      <w:r w:rsidR="00E42942">
        <w:rPr>
          <w:rFonts w:ascii="Simplified Arabic" w:hAnsi="Simplified Arabic" w:cs="Simplified Arabic" w:hint="cs"/>
          <w:color w:val="000000" w:themeColor="text1"/>
          <w:sz w:val="24"/>
          <w:szCs w:val="24"/>
          <w:rtl/>
          <w:lang w:val="en-US"/>
        </w:rPr>
        <w:t xml:space="preserve">عالية، متوسطة. كما اظهرت ان منطقة </w:t>
      </w:r>
      <w:r w:rsidR="00E42942">
        <w:rPr>
          <w:rFonts w:ascii="Simplified Arabic" w:hAnsi="Simplified Arabic" w:cs="Simplified Arabic" w:hint="cs"/>
          <w:color w:val="000000" w:themeColor="text1"/>
          <w:sz w:val="24"/>
          <w:szCs w:val="24"/>
          <w:rtl/>
          <w:lang w:val="en-US" w:bidi="ar-DZ"/>
        </w:rPr>
        <w:t>التوسع الحضري بشرق وجنوب</w:t>
      </w:r>
      <w:r w:rsidR="00E42942" w:rsidRPr="003D24C3">
        <w:rPr>
          <w:rFonts w:ascii="Simplified Arabic" w:hAnsi="Simplified Arabic" w:cs="Simplified Arabic" w:hint="cs"/>
          <w:color w:val="000000" w:themeColor="text1"/>
          <w:sz w:val="24"/>
          <w:szCs w:val="24"/>
          <w:rtl/>
          <w:lang w:val="en-US" w:bidi="ar-DZ"/>
        </w:rPr>
        <w:t xml:space="preserve"> المدينة</w:t>
      </w:r>
      <w:r w:rsidR="00E42942">
        <w:rPr>
          <w:rFonts w:ascii="Simplified Arabic" w:hAnsi="Simplified Arabic" w:cs="Simplified Arabic" w:hint="cs"/>
          <w:color w:val="000000" w:themeColor="text1"/>
          <w:sz w:val="24"/>
          <w:szCs w:val="24"/>
          <w:rtl/>
          <w:lang w:val="en-US"/>
        </w:rPr>
        <w:t xml:space="preserve"> تشهد </w:t>
      </w:r>
      <w:r w:rsidR="00E42942" w:rsidRPr="003D24C3">
        <w:rPr>
          <w:rFonts w:ascii="Simplified Arabic" w:hAnsi="Simplified Arabic" w:cs="Simplified Arabic" w:hint="cs"/>
          <w:color w:val="000000" w:themeColor="text1"/>
          <w:sz w:val="24"/>
          <w:szCs w:val="24"/>
          <w:rtl/>
          <w:lang w:val="en-US" w:bidi="ar-DZ"/>
        </w:rPr>
        <w:t xml:space="preserve">مستويات </w:t>
      </w:r>
      <w:r w:rsidR="00E42942">
        <w:rPr>
          <w:rFonts w:ascii="Simplified Arabic" w:hAnsi="Simplified Arabic" w:cs="Simplified Arabic" w:hint="cs"/>
          <w:color w:val="000000" w:themeColor="text1"/>
          <w:sz w:val="24"/>
          <w:szCs w:val="24"/>
          <w:rtl/>
          <w:lang w:val="en-US" w:bidi="ar-DZ"/>
        </w:rPr>
        <w:t xml:space="preserve">مرونة </w:t>
      </w:r>
      <w:r w:rsidR="00E42942">
        <w:rPr>
          <w:rFonts w:ascii="Simplified Arabic" w:hAnsi="Simplified Arabic" w:cs="Simplified Arabic" w:hint="cs"/>
          <w:color w:val="000000" w:themeColor="text1"/>
          <w:sz w:val="24"/>
          <w:szCs w:val="24"/>
          <w:rtl/>
          <w:lang w:val="en-US"/>
        </w:rPr>
        <w:t>متوسطة، مما يضعف من قدرة نظام تقديم الخدمة ويقلل من قدرة الاحياء السكنية على الاستجابة لمواجهة الاضطرابات</w:t>
      </w:r>
      <w:r w:rsidR="00E42942" w:rsidRPr="003D24C3">
        <w:rPr>
          <w:rFonts w:ascii="Simplified Arabic" w:hAnsi="Simplified Arabic" w:cs="Simplified Arabic" w:hint="cs"/>
          <w:color w:val="000000" w:themeColor="text1"/>
          <w:sz w:val="24"/>
          <w:szCs w:val="24"/>
          <w:rtl/>
          <w:lang w:val="en-US"/>
        </w:rPr>
        <w:t>.</w:t>
      </w:r>
      <w:r w:rsidR="004A5A93" w:rsidRPr="004A5A93">
        <w:rPr>
          <w:rFonts w:ascii="Simplified Arabic" w:hAnsi="Simplified Arabic" w:cs="Simplified Arabic" w:hint="cs"/>
          <w:color w:val="000000" w:themeColor="text1"/>
          <w:sz w:val="24"/>
          <w:szCs w:val="24"/>
          <w:rtl/>
          <w:lang w:val="en-US"/>
        </w:rPr>
        <w:t xml:space="preserve"> </w:t>
      </w:r>
      <w:r w:rsidR="004A5A93">
        <w:rPr>
          <w:rFonts w:ascii="Simplified Arabic" w:hAnsi="Simplified Arabic" w:cs="Simplified Arabic" w:hint="cs"/>
          <w:color w:val="000000" w:themeColor="text1"/>
          <w:sz w:val="24"/>
          <w:szCs w:val="24"/>
          <w:rtl/>
          <w:lang w:val="en-US"/>
        </w:rPr>
        <w:t>باعتبار</w:t>
      </w:r>
      <w:r w:rsidR="004A5A93" w:rsidRPr="00434544">
        <w:rPr>
          <w:rFonts w:ascii="Simplified Arabic" w:hAnsi="Simplified Arabic" w:cs="Simplified Arabic" w:hint="cs"/>
          <w:color w:val="000000" w:themeColor="text1"/>
          <w:sz w:val="24"/>
          <w:szCs w:val="24"/>
          <w:rtl/>
          <w:lang w:val="en-US"/>
        </w:rPr>
        <w:t xml:space="preserve"> ان كثافة البناء (</w:t>
      </w:r>
      <w:r w:rsidR="00735CBB">
        <w:rPr>
          <w:rFonts w:ascii="Simplified Arabic" w:hAnsi="Simplified Arabic" w:cs="Simplified Arabic" w:hint="cs"/>
          <w:color w:val="000000" w:themeColor="text1"/>
          <w:sz w:val="24"/>
          <w:szCs w:val="24"/>
          <w:rtl/>
          <w:lang w:val="en-US"/>
        </w:rPr>
        <w:t>الاطار المبني وغير المبني</w:t>
      </w:r>
      <w:r w:rsidR="004A5A93" w:rsidRPr="00434544">
        <w:rPr>
          <w:rFonts w:ascii="Simplified Arabic" w:hAnsi="Simplified Arabic" w:cs="Simplified Arabic" w:hint="cs"/>
          <w:color w:val="000000" w:themeColor="text1"/>
          <w:sz w:val="24"/>
          <w:szCs w:val="24"/>
          <w:rtl/>
          <w:lang w:val="en-US"/>
        </w:rPr>
        <w:t>) يمثل في نظر البحث معيار مهم في رفع مستوى المرونة</w:t>
      </w:r>
      <w:r w:rsidR="004A5A93" w:rsidRPr="00165EAB">
        <w:rPr>
          <w:rFonts w:ascii="Simplified Arabic" w:hAnsi="Simplified Arabic" w:cs="Simplified Arabic" w:hint="cs"/>
          <w:color w:val="000000" w:themeColor="text1"/>
          <w:sz w:val="24"/>
          <w:szCs w:val="24"/>
          <w:rtl/>
          <w:lang w:val="en-US" w:bidi="ar-DZ"/>
        </w:rPr>
        <w:t>.</w:t>
      </w:r>
    </w:p>
    <w:p w:rsidR="009E59D4" w:rsidRPr="003D24C3" w:rsidRDefault="009E59D4" w:rsidP="001D0548">
      <w:pPr>
        <w:pStyle w:val="Paragraphedeliste"/>
        <w:numPr>
          <w:ilvl w:val="0"/>
          <w:numId w:val="61"/>
        </w:numPr>
        <w:tabs>
          <w:tab w:val="right" w:pos="282"/>
          <w:tab w:val="right" w:pos="566"/>
        </w:tabs>
        <w:bidi/>
        <w:spacing w:after="0"/>
        <w:ind w:left="-1" w:firstLine="283"/>
        <w:jc w:val="both"/>
        <w:rPr>
          <w:rFonts w:ascii="Simplified Arabic" w:hAnsi="Simplified Arabic" w:cs="Simplified Arabic"/>
          <w:color w:val="000000" w:themeColor="text1"/>
          <w:sz w:val="24"/>
          <w:szCs w:val="24"/>
          <w:rtl/>
          <w:lang w:val="en-US"/>
        </w:rPr>
      </w:pPr>
      <w:r w:rsidRPr="003A37D5">
        <w:rPr>
          <w:rFonts w:ascii="Simplified Arabic" w:hAnsi="Simplified Arabic" w:cs="Simplified Arabic" w:hint="cs"/>
          <w:color w:val="000000" w:themeColor="text1"/>
          <w:sz w:val="24"/>
          <w:szCs w:val="24"/>
          <w:rtl/>
          <w:lang w:val="en-US" w:bidi="ar-DZ"/>
        </w:rPr>
        <w:t xml:space="preserve">عبر </w:t>
      </w:r>
      <w:r w:rsidR="00F209FB">
        <w:rPr>
          <w:rFonts w:ascii="Simplified Arabic" w:hAnsi="Simplified Arabic" w:cs="Simplified Arabic" w:hint="cs"/>
          <w:color w:val="000000" w:themeColor="text1"/>
          <w:sz w:val="24"/>
          <w:szCs w:val="24"/>
          <w:rtl/>
          <w:lang w:val="en-US"/>
        </w:rPr>
        <w:t xml:space="preserve">غالبية </w:t>
      </w:r>
      <w:r w:rsidR="00F209FB" w:rsidRPr="0054108A">
        <w:rPr>
          <w:rFonts w:ascii="Simplified Arabic" w:hAnsi="Simplified Arabic" w:cs="Simplified Arabic" w:hint="cs"/>
          <w:color w:val="000000" w:themeColor="text1"/>
          <w:sz w:val="24"/>
          <w:szCs w:val="24"/>
          <w:rtl/>
          <w:lang w:val="en-US"/>
        </w:rPr>
        <w:t xml:space="preserve">ردود </w:t>
      </w:r>
      <w:r w:rsidR="00F209FB">
        <w:rPr>
          <w:rFonts w:ascii="Simplified Arabic" w:hAnsi="Simplified Arabic" w:cs="Simplified Arabic" w:hint="cs"/>
          <w:color w:val="000000" w:themeColor="text1"/>
          <w:sz w:val="24"/>
          <w:szCs w:val="24"/>
          <w:rtl/>
          <w:lang w:val="en-US"/>
        </w:rPr>
        <w:t xml:space="preserve">أفراد عينة البحث </w:t>
      </w:r>
      <w:r w:rsidRPr="003A37D5">
        <w:rPr>
          <w:rFonts w:ascii="Simplified Arabic" w:hAnsi="Simplified Arabic" w:cs="Simplified Arabic" w:hint="cs"/>
          <w:color w:val="000000" w:themeColor="text1"/>
          <w:sz w:val="24"/>
          <w:szCs w:val="24"/>
          <w:rtl/>
          <w:lang w:val="en-US" w:bidi="ar-DZ"/>
        </w:rPr>
        <w:t>بالحي السكني (</w:t>
      </w:r>
      <w:r>
        <w:rPr>
          <w:rFonts w:ascii="Simplified Arabic" w:hAnsi="Simplified Arabic" w:cs="Simplified Arabic" w:hint="cs"/>
          <w:color w:val="000000" w:themeColor="text1"/>
          <w:sz w:val="24"/>
          <w:szCs w:val="24"/>
          <w:rtl/>
          <w:lang w:val="en-US" w:bidi="ar-DZ"/>
        </w:rPr>
        <w:t>الحمايد والباطن</w:t>
      </w:r>
      <w:r w:rsidRPr="003A37D5">
        <w:rPr>
          <w:rFonts w:ascii="Simplified Arabic" w:hAnsi="Simplified Arabic" w:cs="Simplified Arabic" w:hint="cs"/>
          <w:color w:val="000000" w:themeColor="text1"/>
          <w:sz w:val="24"/>
          <w:szCs w:val="24"/>
          <w:rtl/>
          <w:lang w:val="en-US" w:bidi="ar-DZ"/>
        </w:rPr>
        <w:t xml:space="preserve">) لفئة النسيج الحضري (د)  </w:t>
      </w:r>
      <w:r>
        <w:rPr>
          <w:rFonts w:ascii="Simplified Arabic" w:hAnsi="Simplified Arabic" w:cs="Simplified Arabic" w:hint="cs"/>
          <w:color w:val="000000" w:themeColor="text1"/>
          <w:sz w:val="24"/>
          <w:szCs w:val="24"/>
          <w:rtl/>
          <w:lang w:val="en-US" w:bidi="ar-DZ"/>
        </w:rPr>
        <w:t>و</w:t>
      </w:r>
      <w:r w:rsidRPr="003A37D5">
        <w:rPr>
          <w:rFonts w:ascii="Simplified Arabic" w:hAnsi="Simplified Arabic" w:cs="Simplified Arabic" w:hint="cs"/>
          <w:color w:val="000000" w:themeColor="text1"/>
          <w:sz w:val="24"/>
          <w:szCs w:val="24"/>
          <w:rtl/>
          <w:lang w:val="en-US" w:bidi="ar-DZ"/>
        </w:rPr>
        <w:t>الحي السكني (</w:t>
      </w:r>
      <w:r>
        <w:rPr>
          <w:rFonts w:ascii="Simplified Arabic" w:hAnsi="Simplified Arabic" w:cs="Simplified Arabic" w:hint="cs"/>
          <w:color w:val="000000" w:themeColor="text1"/>
          <w:sz w:val="24"/>
          <w:szCs w:val="24"/>
          <w:rtl/>
          <w:lang w:val="en-US" w:bidi="ar-DZ"/>
        </w:rPr>
        <w:t>سيدي سليمان وميطر</w:t>
      </w:r>
      <w:r w:rsidRPr="003A37D5">
        <w:rPr>
          <w:rFonts w:ascii="Simplified Arabic" w:hAnsi="Simplified Arabic" w:cs="Simplified Arabic" w:hint="cs"/>
          <w:color w:val="000000" w:themeColor="text1"/>
          <w:sz w:val="24"/>
          <w:szCs w:val="24"/>
          <w:rtl/>
          <w:lang w:val="en-US" w:bidi="ar-DZ"/>
        </w:rPr>
        <w:t>) لفئة النسيج الحضري (</w:t>
      </w:r>
      <w:r>
        <w:rPr>
          <w:rFonts w:ascii="Simplified Arabic" w:hAnsi="Simplified Arabic" w:cs="Simplified Arabic" w:hint="cs"/>
          <w:color w:val="000000" w:themeColor="text1"/>
          <w:sz w:val="24"/>
          <w:szCs w:val="24"/>
          <w:rtl/>
          <w:lang w:val="en-US" w:bidi="ar-DZ"/>
        </w:rPr>
        <w:t>ج</w:t>
      </w:r>
      <w:r w:rsidR="00F209FB">
        <w:rPr>
          <w:rFonts w:ascii="Simplified Arabic" w:hAnsi="Simplified Arabic" w:cs="Simplified Arabic" w:hint="cs"/>
          <w:color w:val="000000" w:themeColor="text1"/>
          <w:sz w:val="24"/>
          <w:szCs w:val="24"/>
          <w:rtl/>
          <w:lang w:val="en-US" w:bidi="ar-DZ"/>
        </w:rPr>
        <w:t xml:space="preserve">) الواقعة </w:t>
      </w:r>
      <w:r w:rsidR="00454476">
        <w:rPr>
          <w:rFonts w:ascii="Simplified Arabic" w:hAnsi="Simplified Arabic" w:cs="Simplified Arabic" w:hint="cs"/>
          <w:color w:val="000000" w:themeColor="text1"/>
          <w:sz w:val="24"/>
          <w:szCs w:val="24"/>
          <w:rtl/>
          <w:lang w:val="en-US" w:bidi="ar-DZ"/>
        </w:rPr>
        <w:t>بأطراف</w:t>
      </w:r>
      <w:r w:rsidR="00F209FB">
        <w:rPr>
          <w:rFonts w:ascii="Simplified Arabic" w:hAnsi="Simplified Arabic" w:cs="Simplified Arabic" w:hint="cs"/>
          <w:color w:val="000000" w:themeColor="text1"/>
          <w:sz w:val="24"/>
          <w:szCs w:val="24"/>
          <w:rtl/>
          <w:lang w:val="en-US" w:bidi="ar-DZ"/>
        </w:rPr>
        <w:t xml:space="preserve"> المدينة</w:t>
      </w:r>
      <w:r w:rsidRPr="003A37D5">
        <w:rPr>
          <w:rFonts w:ascii="Simplified Arabic" w:hAnsi="Simplified Arabic" w:cs="Simplified Arabic" w:hint="cs"/>
          <w:color w:val="000000" w:themeColor="text1"/>
          <w:sz w:val="24"/>
          <w:szCs w:val="24"/>
          <w:rtl/>
          <w:lang w:val="en-US" w:bidi="ar-DZ"/>
        </w:rPr>
        <w:t xml:space="preserve">، انه من الضروري </w:t>
      </w:r>
      <w:r>
        <w:rPr>
          <w:rFonts w:ascii="Simplified Arabic" w:hAnsi="Simplified Arabic" w:cs="Simplified Arabic" w:hint="cs"/>
          <w:color w:val="000000" w:themeColor="text1"/>
          <w:sz w:val="24"/>
          <w:szCs w:val="24"/>
          <w:rtl/>
          <w:lang w:val="en-US" w:bidi="ar-DZ"/>
        </w:rPr>
        <w:t xml:space="preserve">توفير </w:t>
      </w:r>
      <w:r w:rsidR="00F209FB">
        <w:rPr>
          <w:rFonts w:ascii="Simplified Arabic" w:hAnsi="Simplified Arabic" w:cs="Simplified Arabic" w:hint="cs"/>
          <w:color w:val="000000" w:themeColor="text1"/>
          <w:sz w:val="24"/>
          <w:szCs w:val="24"/>
          <w:rtl/>
          <w:lang w:val="en-US"/>
        </w:rPr>
        <w:t>مراكز امن ومراكز التكفل الطبي</w:t>
      </w:r>
      <w:r w:rsidR="00165EAB">
        <w:rPr>
          <w:rFonts w:ascii="Simplified Arabic" w:hAnsi="Simplified Arabic" w:cs="Simplified Arabic" w:hint="cs"/>
          <w:color w:val="000000" w:themeColor="text1"/>
          <w:sz w:val="24"/>
          <w:szCs w:val="24"/>
          <w:rtl/>
          <w:lang w:val="en-US"/>
        </w:rPr>
        <w:t>،</w:t>
      </w:r>
      <w:r w:rsidR="00B72D62">
        <w:rPr>
          <w:rFonts w:ascii="Simplified Arabic" w:hAnsi="Simplified Arabic" w:cs="Simplified Arabic" w:hint="cs"/>
          <w:color w:val="000000" w:themeColor="text1"/>
          <w:sz w:val="24"/>
          <w:szCs w:val="24"/>
          <w:rtl/>
          <w:lang w:val="en-US"/>
        </w:rPr>
        <w:t xml:space="preserve"> خصوصا ان هذ</w:t>
      </w:r>
      <w:r w:rsidR="00165EAB">
        <w:rPr>
          <w:rFonts w:ascii="Simplified Arabic" w:hAnsi="Simplified Arabic" w:cs="Simplified Arabic" w:hint="cs"/>
          <w:color w:val="000000" w:themeColor="text1"/>
          <w:sz w:val="24"/>
          <w:szCs w:val="24"/>
          <w:rtl/>
          <w:lang w:val="en-US"/>
        </w:rPr>
        <w:t>ا</w:t>
      </w:r>
      <w:r w:rsidR="00B72D62">
        <w:rPr>
          <w:rFonts w:ascii="Simplified Arabic" w:hAnsi="Simplified Arabic" w:cs="Simplified Arabic" w:hint="cs"/>
          <w:color w:val="000000" w:themeColor="text1"/>
          <w:sz w:val="24"/>
          <w:szCs w:val="24"/>
          <w:rtl/>
          <w:lang w:val="en-US"/>
        </w:rPr>
        <w:t xml:space="preserve"> </w:t>
      </w:r>
      <w:r w:rsidR="00165EAB">
        <w:rPr>
          <w:rFonts w:ascii="Simplified Arabic" w:hAnsi="Simplified Arabic" w:cs="Simplified Arabic" w:hint="cs"/>
          <w:color w:val="000000" w:themeColor="text1"/>
          <w:sz w:val="24"/>
          <w:szCs w:val="24"/>
          <w:rtl/>
          <w:lang w:val="en-US"/>
        </w:rPr>
        <w:t xml:space="preserve">النوع من المراكز يمثل في نظر البحث </w:t>
      </w:r>
      <w:r w:rsidR="00B72D62">
        <w:rPr>
          <w:rFonts w:ascii="Simplified Arabic" w:hAnsi="Simplified Arabic" w:cs="Simplified Arabic" w:hint="cs"/>
          <w:color w:val="000000" w:themeColor="text1"/>
          <w:sz w:val="24"/>
          <w:szCs w:val="24"/>
          <w:rtl/>
          <w:lang w:val="en-US"/>
        </w:rPr>
        <w:t>معيارين مهمين في رفع مستوى المرونة</w:t>
      </w:r>
      <w:r>
        <w:rPr>
          <w:rFonts w:ascii="Simplified Arabic" w:hAnsi="Simplified Arabic" w:cs="Simplified Arabic" w:hint="cs"/>
          <w:color w:val="000000" w:themeColor="text1"/>
          <w:sz w:val="24"/>
          <w:szCs w:val="24"/>
          <w:rtl/>
          <w:lang w:val="en-US"/>
        </w:rPr>
        <w:t>،</w:t>
      </w:r>
      <w:r w:rsidRPr="003D24C3">
        <w:rPr>
          <w:rFonts w:ascii="Simplified Arabic" w:hAnsi="Simplified Arabic" w:cs="Simplified Arabic" w:hint="cs"/>
          <w:color w:val="000000" w:themeColor="text1"/>
          <w:sz w:val="24"/>
          <w:szCs w:val="24"/>
          <w:rtl/>
          <w:lang w:val="en-US"/>
        </w:rPr>
        <w:t xml:space="preserve"> </w:t>
      </w:r>
      <w:r w:rsidR="00B72D62">
        <w:rPr>
          <w:rFonts w:ascii="Simplified Arabic" w:hAnsi="Simplified Arabic" w:cs="Simplified Arabic" w:hint="cs"/>
          <w:color w:val="000000" w:themeColor="text1"/>
          <w:sz w:val="24"/>
          <w:szCs w:val="24"/>
          <w:rtl/>
          <w:lang w:val="en-US"/>
        </w:rPr>
        <w:t>هذا ي</w:t>
      </w:r>
      <w:r w:rsidRPr="003D24C3">
        <w:rPr>
          <w:rFonts w:ascii="Simplified Arabic" w:hAnsi="Simplified Arabic" w:cs="Simplified Arabic" w:hint="cs"/>
          <w:color w:val="000000" w:themeColor="text1"/>
          <w:sz w:val="24"/>
          <w:szCs w:val="24"/>
          <w:rtl/>
          <w:lang w:val="en-US"/>
        </w:rPr>
        <w:t>دعم صحة</w:t>
      </w:r>
      <w:r w:rsidRPr="003D24C3">
        <w:rPr>
          <w:rFonts w:ascii="Simplified Arabic" w:hAnsi="Simplified Arabic" w:cs="Simplified Arabic"/>
          <w:color w:val="000000" w:themeColor="text1"/>
          <w:sz w:val="24"/>
          <w:szCs w:val="24"/>
          <w:rtl/>
          <w:lang w:val="en-US"/>
        </w:rPr>
        <w:t xml:space="preserve"> </w:t>
      </w:r>
      <w:r w:rsidRPr="003D24C3">
        <w:rPr>
          <w:rFonts w:ascii="Simplified Arabic" w:hAnsi="Simplified Arabic" w:cs="Simplified Arabic" w:hint="cs"/>
          <w:color w:val="000000" w:themeColor="text1"/>
          <w:sz w:val="24"/>
          <w:szCs w:val="24"/>
          <w:rtl/>
          <w:lang w:val="en-US"/>
        </w:rPr>
        <w:t>نتائج</w:t>
      </w:r>
      <w:r w:rsidRPr="003D24C3">
        <w:rPr>
          <w:rFonts w:ascii="Simplified Arabic" w:hAnsi="Simplified Arabic" w:cs="Simplified Arabic"/>
          <w:color w:val="000000" w:themeColor="text1"/>
          <w:sz w:val="24"/>
          <w:szCs w:val="24"/>
          <w:rtl/>
          <w:lang w:val="en-US"/>
        </w:rPr>
        <w:t xml:space="preserve"> </w:t>
      </w:r>
      <w:r w:rsidRPr="003D24C3">
        <w:rPr>
          <w:rFonts w:ascii="Simplified Arabic" w:hAnsi="Simplified Arabic" w:cs="Simplified Arabic" w:hint="cs"/>
          <w:color w:val="000000" w:themeColor="text1"/>
          <w:sz w:val="24"/>
          <w:szCs w:val="24"/>
          <w:rtl/>
          <w:lang w:val="en-US"/>
        </w:rPr>
        <w:t xml:space="preserve">خريطة </w:t>
      </w:r>
      <w:r w:rsidR="00F209FB">
        <w:rPr>
          <w:rFonts w:ascii="Simplified Arabic" w:hAnsi="Simplified Arabic" w:cs="Simplified Arabic" w:hint="cs"/>
          <w:color w:val="000000" w:themeColor="text1"/>
          <w:sz w:val="24"/>
          <w:szCs w:val="24"/>
          <w:rtl/>
          <w:lang w:val="en-US"/>
        </w:rPr>
        <w:t>تصنيف مرونة مدينة بوسعادة</w:t>
      </w:r>
      <w:r>
        <w:rPr>
          <w:rFonts w:ascii="Simplified Arabic" w:hAnsi="Simplified Arabic" w:cs="Simplified Arabic" w:hint="cs"/>
          <w:color w:val="000000" w:themeColor="text1"/>
          <w:sz w:val="24"/>
          <w:szCs w:val="24"/>
          <w:rtl/>
          <w:lang w:val="en-US"/>
        </w:rPr>
        <w:t xml:space="preserve">، التي اظهرت ان منطقة </w:t>
      </w:r>
      <w:r>
        <w:rPr>
          <w:rFonts w:ascii="Simplified Arabic" w:hAnsi="Simplified Arabic" w:cs="Simplified Arabic" w:hint="cs"/>
          <w:color w:val="000000" w:themeColor="text1"/>
          <w:sz w:val="24"/>
          <w:szCs w:val="24"/>
          <w:rtl/>
          <w:lang w:val="en-US" w:bidi="ar-DZ"/>
        </w:rPr>
        <w:t>التوسع الحضري بشمال</w:t>
      </w:r>
      <w:r w:rsidRPr="003D24C3">
        <w:rPr>
          <w:rFonts w:ascii="Simplified Arabic" w:hAnsi="Simplified Arabic" w:cs="Simplified Arabic" w:hint="cs"/>
          <w:color w:val="000000" w:themeColor="text1"/>
          <w:sz w:val="24"/>
          <w:szCs w:val="24"/>
          <w:rtl/>
          <w:lang w:val="en-US" w:bidi="ar-DZ"/>
        </w:rPr>
        <w:t xml:space="preserve"> المدينة</w:t>
      </w:r>
      <w:r>
        <w:rPr>
          <w:rFonts w:ascii="Simplified Arabic" w:hAnsi="Simplified Arabic" w:cs="Simplified Arabic" w:hint="cs"/>
          <w:color w:val="000000" w:themeColor="text1"/>
          <w:sz w:val="24"/>
          <w:szCs w:val="24"/>
          <w:rtl/>
          <w:lang w:val="en-US"/>
        </w:rPr>
        <w:t xml:space="preserve"> </w:t>
      </w:r>
      <w:r w:rsidR="00F209FB">
        <w:rPr>
          <w:rFonts w:ascii="Simplified Arabic" w:hAnsi="Simplified Arabic" w:cs="Simplified Arabic" w:hint="cs"/>
          <w:color w:val="000000" w:themeColor="text1"/>
          <w:sz w:val="24"/>
          <w:szCs w:val="24"/>
          <w:rtl/>
          <w:lang w:val="en-US"/>
        </w:rPr>
        <w:t>تشهد</w:t>
      </w:r>
      <w:r>
        <w:rPr>
          <w:rFonts w:ascii="Simplified Arabic" w:hAnsi="Simplified Arabic" w:cs="Simplified Arabic" w:hint="cs"/>
          <w:color w:val="000000" w:themeColor="text1"/>
          <w:sz w:val="24"/>
          <w:szCs w:val="24"/>
          <w:rtl/>
          <w:lang w:val="en-US"/>
        </w:rPr>
        <w:t xml:space="preserve"> </w:t>
      </w:r>
      <w:r w:rsidRPr="003D24C3">
        <w:rPr>
          <w:rFonts w:ascii="Simplified Arabic" w:hAnsi="Simplified Arabic" w:cs="Simplified Arabic" w:hint="cs"/>
          <w:color w:val="000000" w:themeColor="text1"/>
          <w:sz w:val="24"/>
          <w:szCs w:val="24"/>
          <w:rtl/>
          <w:lang w:val="en-US" w:bidi="ar-DZ"/>
        </w:rPr>
        <w:t xml:space="preserve">مستويات </w:t>
      </w:r>
      <w:r>
        <w:rPr>
          <w:rFonts w:ascii="Simplified Arabic" w:hAnsi="Simplified Arabic" w:cs="Simplified Arabic" w:hint="cs"/>
          <w:color w:val="000000" w:themeColor="text1"/>
          <w:sz w:val="24"/>
          <w:szCs w:val="24"/>
          <w:rtl/>
          <w:lang w:val="en-US" w:bidi="ar-DZ"/>
        </w:rPr>
        <w:t>مرونة</w:t>
      </w:r>
      <w:r w:rsidRPr="003D24C3">
        <w:rPr>
          <w:rFonts w:ascii="Simplified Arabic" w:hAnsi="Simplified Arabic" w:cs="Simplified Arabic" w:hint="cs"/>
          <w:color w:val="000000" w:themeColor="text1"/>
          <w:sz w:val="24"/>
          <w:szCs w:val="24"/>
          <w:rtl/>
          <w:lang w:val="en-US" w:bidi="ar-DZ"/>
        </w:rPr>
        <w:t xml:space="preserve"> </w:t>
      </w:r>
      <w:r>
        <w:rPr>
          <w:rFonts w:ascii="Simplified Arabic" w:hAnsi="Simplified Arabic" w:cs="Simplified Arabic" w:hint="cs"/>
          <w:color w:val="000000" w:themeColor="text1"/>
          <w:sz w:val="24"/>
          <w:szCs w:val="24"/>
          <w:rtl/>
          <w:lang w:val="en-US" w:bidi="ar-DZ"/>
        </w:rPr>
        <w:t>متفاوتة</w:t>
      </w:r>
      <w:r w:rsidR="00B72D62">
        <w:rPr>
          <w:rFonts w:ascii="Simplified Arabic" w:hAnsi="Simplified Arabic" w:cs="Simplified Arabic" w:hint="cs"/>
          <w:color w:val="000000" w:themeColor="text1"/>
          <w:sz w:val="24"/>
          <w:szCs w:val="24"/>
          <w:rtl/>
          <w:lang w:val="en-US" w:bidi="ar-DZ"/>
        </w:rPr>
        <w:t xml:space="preserve"> </w:t>
      </w:r>
      <w:r>
        <w:rPr>
          <w:rFonts w:ascii="Simplified Arabic" w:hAnsi="Simplified Arabic" w:cs="Simplified Arabic" w:hint="cs"/>
          <w:color w:val="000000" w:themeColor="text1"/>
          <w:sz w:val="24"/>
          <w:szCs w:val="24"/>
          <w:rtl/>
          <w:lang w:val="en-US"/>
        </w:rPr>
        <w:t xml:space="preserve">عالية، متوسطة </w:t>
      </w:r>
      <w:r w:rsidR="00B72D62">
        <w:rPr>
          <w:rFonts w:ascii="Simplified Arabic" w:hAnsi="Simplified Arabic" w:cs="Simplified Arabic" w:hint="cs"/>
          <w:color w:val="000000" w:themeColor="text1"/>
          <w:sz w:val="24"/>
          <w:szCs w:val="24"/>
          <w:rtl/>
          <w:lang w:val="en-US"/>
        </w:rPr>
        <w:t>و</w:t>
      </w:r>
      <w:r>
        <w:rPr>
          <w:rFonts w:ascii="Simplified Arabic" w:hAnsi="Simplified Arabic" w:cs="Simplified Arabic" w:hint="cs"/>
          <w:color w:val="000000" w:themeColor="text1"/>
          <w:sz w:val="24"/>
          <w:szCs w:val="24"/>
          <w:rtl/>
          <w:lang w:val="en-US"/>
        </w:rPr>
        <w:t>منخفضة</w:t>
      </w:r>
      <w:r w:rsidR="00B72D62">
        <w:rPr>
          <w:rFonts w:ascii="Simplified Arabic" w:hAnsi="Simplified Arabic" w:cs="Simplified Arabic" w:hint="cs"/>
          <w:color w:val="000000" w:themeColor="text1"/>
          <w:sz w:val="24"/>
          <w:szCs w:val="24"/>
          <w:rtl/>
          <w:lang w:val="en-US"/>
        </w:rPr>
        <w:t>.</w:t>
      </w:r>
      <w:r w:rsidR="00F209FB">
        <w:rPr>
          <w:rFonts w:ascii="Simplified Arabic" w:hAnsi="Simplified Arabic" w:cs="Simplified Arabic" w:hint="cs"/>
          <w:color w:val="000000" w:themeColor="text1"/>
          <w:sz w:val="24"/>
          <w:szCs w:val="24"/>
          <w:rtl/>
          <w:lang w:val="en-US"/>
        </w:rPr>
        <w:t xml:space="preserve"> كما اظهرت ان منطقة </w:t>
      </w:r>
      <w:r w:rsidR="00F209FB">
        <w:rPr>
          <w:rFonts w:ascii="Simplified Arabic" w:hAnsi="Simplified Arabic" w:cs="Simplified Arabic" w:hint="cs"/>
          <w:color w:val="000000" w:themeColor="text1"/>
          <w:sz w:val="24"/>
          <w:szCs w:val="24"/>
          <w:rtl/>
          <w:lang w:val="en-US" w:bidi="ar-DZ"/>
        </w:rPr>
        <w:t>التوسع الحضري بشرق وجنوب</w:t>
      </w:r>
      <w:r w:rsidR="00F209FB" w:rsidRPr="003D24C3">
        <w:rPr>
          <w:rFonts w:ascii="Simplified Arabic" w:hAnsi="Simplified Arabic" w:cs="Simplified Arabic" w:hint="cs"/>
          <w:color w:val="000000" w:themeColor="text1"/>
          <w:sz w:val="24"/>
          <w:szCs w:val="24"/>
          <w:rtl/>
          <w:lang w:val="en-US" w:bidi="ar-DZ"/>
        </w:rPr>
        <w:t xml:space="preserve"> المدينة</w:t>
      </w:r>
      <w:r w:rsidR="00F209FB">
        <w:rPr>
          <w:rFonts w:ascii="Simplified Arabic" w:hAnsi="Simplified Arabic" w:cs="Simplified Arabic" w:hint="cs"/>
          <w:color w:val="000000" w:themeColor="text1"/>
          <w:sz w:val="24"/>
          <w:szCs w:val="24"/>
          <w:rtl/>
          <w:lang w:val="en-US"/>
        </w:rPr>
        <w:t xml:space="preserve"> </w:t>
      </w:r>
      <w:r w:rsidR="00165EAB">
        <w:rPr>
          <w:rFonts w:ascii="Simplified Arabic" w:hAnsi="Simplified Arabic" w:cs="Simplified Arabic" w:hint="cs"/>
          <w:color w:val="000000" w:themeColor="text1"/>
          <w:sz w:val="24"/>
          <w:szCs w:val="24"/>
          <w:rtl/>
          <w:lang w:val="en-US"/>
        </w:rPr>
        <w:t>تشهد</w:t>
      </w:r>
      <w:r w:rsidR="00F209FB">
        <w:rPr>
          <w:rFonts w:ascii="Simplified Arabic" w:hAnsi="Simplified Arabic" w:cs="Simplified Arabic" w:hint="cs"/>
          <w:color w:val="000000" w:themeColor="text1"/>
          <w:sz w:val="24"/>
          <w:szCs w:val="24"/>
          <w:rtl/>
          <w:lang w:val="en-US"/>
        </w:rPr>
        <w:t xml:space="preserve"> </w:t>
      </w:r>
      <w:r w:rsidR="00F209FB" w:rsidRPr="003D24C3">
        <w:rPr>
          <w:rFonts w:ascii="Simplified Arabic" w:hAnsi="Simplified Arabic" w:cs="Simplified Arabic" w:hint="cs"/>
          <w:color w:val="000000" w:themeColor="text1"/>
          <w:sz w:val="24"/>
          <w:szCs w:val="24"/>
          <w:rtl/>
          <w:lang w:val="en-US" w:bidi="ar-DZ"/>
        </w:rPr>
        <w:t xml:space="preserve">مستويات </w:t>
      </w:r>
      <w:r w:rsidR="00F209FB">
        <w:rPr>
          <w:rFonts w:ascii="Simplified Arabic" w:hAnsi="Simplified Arabic" w:cs="Simplified Arabic" w:hint="cs"/>
          <w:color w:val="000000" w:themeColor="text1"/>
          <w:sz w:val="24"/>
          <w:szCs w:val="24"/>
          <w:rtl/>
          <w:lang w:val="en-US" w:bidi="ar-DZ"/>
        </w:rPr>
        <w:t xml:space="preserve">مرونة </w:t>
      </w:r>
      <w:r w:rsidR="00F209FB">
        <w:rPr>
          <w:rFonts w:ascii="Simplified Arabic" w:hAnsi="Simplified Arabic" w:cs="Simplified Arabic" w:hint="cs"/>
          <w:color w:val="000000" w:themeColor="text1"/>
          <w:sz w:val="24"/>
          <w:szCs w:val="24"/>
          <w:rtl/>
          <w:lang w:val="en-US"/>
        </w:rPr>
        <w:t>متوسطة،</w:t>
      </w:r>
      <w:r>
        <w:rPr>
          <w:rFonts w:ascii="Simplified Arabic" w:hAnsi="Simplified Arabic" w:cs="Simplified Arabic" w:hint="cs"/>
          <w:color w:val="000000" w:themeColor="text1"/>
          <w:sz w:val="24"/>
          <w:szCs w:val="24"/>
          <w:rtl/>
          <w:lang w:val="en-US"/>
        </w:rPr>
        <w:t xml:space="preserve"> مما يضعف من قدرة نظام تقديم الخدمة ويقلل من قدرة </w:t>
      </w:r>
      <w:r w:rsidR="00F209FB">
        <w:rPr>
          <w:rFonts w:ascii="Simplified Arabic" w:hAnsi="Simplified Arabic" w:cs="Simplified Arabic" w:hint="cs"/>
          <w:color w:val="000000" w:themeColor="text1"/>
          <w:sz w:val="24"/>
          <w:szCs w:val="24"/>
          <w:rtl/>
          <w:lang w:val="en-US"/>
        </w:rPr>
        <w:t>الاحياء السكنية</w:t>
      </w:r>
      <w:r>
        <w:rPr>
          <w:rFonts w:ascii="Simplified Arabic" w:hAnsi="Simplified Arabic" w:cs="Simplified Arabic" w:hint="cs"/>
          <w:color w:val="000000" w:themeColor="text1"/>
          <w:sz w:val="24"/>
          <w:szCs w:val="24"/>
          <w:rtl/>
          <w:lang w:val="en-US"/>
        </w:rPr>
        <w:t xml:space="preserve"> على الاستجابة لمواجهة الاضطرابات</w:t>
      </w:r>
      <w:r w:rsidRPr="003D24C3">
        <w:rPr>
          <w:rFonts w:ascii="Simplified Arabic" w:hAnsi="Simplified Arabic" w:cs="Simplified Arabic" w:hint="cs"/>
          <w:color w:val="000000" w:themeColor="text1"/>
          <w:sz w:val="24"/>
          <w:szCs w:val="24"/>
          <w:rtl/>
          <w:lang w:val="en-US"/>
        </w:rPr>
        <w:t>.</w:t>
      </w:r>
    </w:p>
    <w:p w:rsidR="009E59D4" w:rsidRPr="00165EAB" w:rsidRDefault="009E59D4" w:rsidP="001D0548">
      <w:pPr>
        <w:pStyle w:val="Paragraphedeliste"/>
        <w:numPr>
          <w:ilvl w:val="0"/>
          <w:numId w:val="61"/>
        </w:numPr>
        <w:tabs>
          <w:tab w:val="right" w:pos="282"/>
          <w:tab w:val="right" w:pos="566"/>
        </w:tabs>
        <w:bidi/>
        <w:spacing w:after="0"/>
        <w:ind w:left="-1" w:firstLine="283"/>
        <w:jc w:val="both"/>
        <w:rPr>
          <w:rFonts w:ascii="Simplified Arabic" w:hAnsi="Simplified Arabic" w:cs="Simplified Arabic"/>
          <w:color w:val="000000" w:themeColor="text1"/>
          <w:sz w:val="24"/>
          <w:szCs w:val="24"/>
          <w:shd w:val="clear" w:color="auto" w:fill="FDE9D9" w:themeFill="accent6" w:themeFillTint="33"/>
          <w:rtl/>
          <w:lang w:val="en-US" w:bidi="ar-DZ"/>
        </w:rPr>
      </w:pPr>
      <w:r w:rsidRPr="00165EAB">
        <w:rPr>
          <w:rFonts w:ascii="Simplified Arabic" w:hAnsi="Simplified Arabic" w:cs="Simplified Arabic" w:hint="cs"/>
          <w:color w:val="000000" w:themeColor="text1"/>
          <w:sz w:val="24"/>
          <w:szCs w:val="24"/>
          <w:rtl/>
          <w:lang w:val="en-US" w:bidi="ar-DZ"/>
        </w:rPr>
        <w:t>عبر</w:t>
      </w:r>
      <w:r w:rsidR="00E93797">
        <w:rPr>
          <w:rFonts w:ascii="Simplified Arabic" w:hAnsi="Simplified Arabic" w:cs="Simplified Arabic" w:hint="cs"/>
          <w:color w:val="000000" w:themeColor="text1"/>
          <w:sz w:val="24"/>
          <w:szCs w:val="24"/>
          <w:rtl/>
          <w:lang w:val="en-US" w:bidi="ar-DZ"/>
        </w:rPr>
        <w:t>ت اغلب</w:t>
      </w:r>
      <w:r w:rsidRPr="00165EAB">
        <w:rPr>
          <w:rFonts w:ascii="Simplified Arabic" w:hAnsi="Simplified Arabic" w:cs="Simplified Arabic" w:hint="cs"/>
          <w:color w:val="000000" w:themeColor="text1"/>
          <w:sz w:val="24"/>
          <w:szCs w:val="24"/>
          <w:rtl/>
          <w:lang w:val="en-US" w:bidi="ar-DZ"/>
        </w:rPr>
        <w:t xml:space="preserve"> </w:t>
      </w:r>
      <w:r w:rsidR="00E93797">
        <w:rPr>
          <w:rFonts w:ascii="Simplified Arabic" w:hAnsi="Simplified Arabic" w:cs="Simplified Arabic" w:hint="cs"/>
          <w:color w:val="000000" w:themeColor="text1"/>
          <w:sz w:val="24"/>
          <w:szCs w:val="24"/>
          <w:rtl/>
          <w:lang w:val="en-US" w:bidi="ar-DZ"/>
        </w:rPr>
        <w:t>ردود</w:t>
      </w:r>
      <w:r w:rsidRPr="00165EAB">
        <w:rPr>
          <w:rFonts w:ascii="Simplified Arabic" w:hAnsi="Simplified Arabic" w:cs="Simplified Arabic" w:hint="cs"/>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الأحياء السكنية</w:t>
      </w:r>
      <w:r w:rsidR="00454476" w:rsidRPr="00165EAB">
        <w:rPr>
          <w:rFonts w:ascii="Simplified Arabic" w:hAnsi="Simplified Arabic" w:cs="Simplified Arabic" w:hint="cs"/>
          <w:color w:val="000000" w:themeColor="text1"/>
          <w:sz w:val="24"/>
          <w:szCs w:val="24"/>
          <w:rtl/>
          <w:lang w:val="en-US" w:bidi="ar-DZ"/>
        </w:rPr>
        <w:t xml:space="preserve"> الحمايد والباطن لفئة النسيج الحضري (د) وسيدي سليمان لفئة النسيج الحضري (ج) الواقعة </w:t>
      </w:r>
      <w:r w:rsidR="00B72D62" w:rsidRPr="00165EAB">
        <w:rPr>
          <w:rFonts w:ascii="Simplified Arabic" w:hAnsi="Simplified Arabic" w:cs="Simplified Arabic" w:hint="cs"/>
          <w:color w:val="000000" w:themeColor="text1"/>
          <w:sz w:val="24"/>
          <w:szCs w:val="24"/>
          <w:rtl/>
          <w:lang w:val="en-US" w:bidi="ar-DZ"/>
        </w:rPr>
        <w:t>بأطراف</w:t>
      </w:r>
      <w:r w:rsidR="00454476" w:rsidRPr="00165EAB">
        <w:rPr>
          <w:rFonts w:ascii="Simplified Arabic" w:hAnsi="Simplified Arabic" w:cs="Simplified Arabic" w:hint="cs"/>
          <w:color w:val="000000" w:themeColor="text1"/>
          <w:sz w:val="24"/>
          <w:szCs w:val="24"/>
          <w:rtl/>
          <w:lang w:val="en-US" w:bidi="ar-DZ"/>
        </w:rPr>
        <w:t xml:space="preserve"> المدينة</w:t>
      </w:r>
      <w:r w:rsidRPr="00165EAB">
        <w:rPr>
          <w:rFonts w:ascii="Simplified Arabic" w:hAnsi="Simplified Arabic" w:cs="Simplified Arabic" w:hint="cs"/>
          <w:color w:val="000000" w:themeColor="text1"/>
          <w:sz w:val="24"/>
          <w:szCs w:val="24"/>
          <w:rtl/>
          <w:lang w:val="en-US" w:bidi="ar-DZ"/>
        </w:rPr>
        <w:t xml:space="preserve"> ان تنقلاتهم</w:t>
      </w:r>
      <w:r w:rsidR="00204FD6" w:rsidRPr="00204FD6">
        <w:rPr>
          <w:rFonts w:ascii="Simplified Arabic" w:hAnsi="Simplified Arabic" w:cs="Simplified Arabic" w:hint="cs"/>
          <w:color w:val="000000" w:themeColor="text1"/>
          <w:sz w:val="24"/>
          <w:szCs w:val="24"/>
          <w:rtl/>
          <w:lang w:val="en-US" w:bidi="ar-DZ"/>
        </w:rPr>
        <w:t xml:space="preserve"> </w:t>
      </w:r>
      <w:r w:rsidR="00AE3189" w:rsidRPr="00165EAB">
        <w:rPr>
          <w:rFonts w:ascii="Simplified Arabic" w:hAnsi="Simplified Arabic" w:cs="Simplified Arabic" w:hint="cs"/>
          <w:color w:val="000000" w:themeColor="text1"/>
          <w:sz w:val="24"/>
          <w:szCs w:val="24"/>
          <w:rtl/>
          <w:lang w:val="en-US" w:bidi="ar-DZ"/>
        </w:rPr>
        <w:t xml:space="preserve">الى المرافق </w:t>
      </w:r>
      <w:r w:rsidR="00AE3189">
        <w:rPr>
          <w:rFonts w:ascii="Simplified Arabic" w:hAnsi="Simplified Arabic" w:cs="Simplified Arabic" w:hint="cs"/>
          <w:color w:val="000000" w:themeColor="text1"/>
          <w:sz w:val="24"/>
          <w:szCs w:val="24"/>
          <w:rtl/>
          <w:lang w:val="en-US" w:bidi="ar-DZ"/>
        </w:rPr>
        <w:t>عبر شبكة الطرق</w:t>
      </w:r>
      <w:r w:rsidR="00AE3189" w:rsidRPr="00165EAB">
        <w:rPr>
          <w:rFonts w:ascii="Simplified Arabic" w:hAnsi="Simplified Arabic" w:cs="Simplified Arabic" w:hint="cs"/>
          <w:color w:val="000000" w:themeColor="text1"/>
          <w:sz w:val="24"/>
          <w:szCs w:val="24"/>
          <w:rtl/>
          <w:lang w:val="en-US" w:bidi="ar-DZ"/>
        </w:rPr>
        <w:t xml:space="preserve"> </w:t>
      </w:r>
      <w:r w:rsidR="00AE3189">
        <w:rPr>
          <w:rFonts w:ascii="Simplified Arabic" w:hAnsi="Simplified Arabic" w:cs="Simplified Arabic" w:hint="cs"/>
          <w:color w:val="000000" w:themeColor="text1"/>
          <w:sz w:val="24"/>
          <w:szCs w:val="24"/>
          <w:rtl/>
          <w:lang w:val="en-US" w:bidi="ar-DZ"/>
        </w:rPr>
        <w:t>مشيًا على الاقدام</w:t>
      </w:r>
      <w:r w:rsidR="00204FD6">
        <w:rPr>
          <w:rFonts w:ascii="Simplified Arabic" w:hAnsi="Simplified Arabic" w:cs="Simplified Arabic" w:hint="cs"/>
          <w:color w:val="000000" w:themeColor="text1"/>
          <w:sz w:val="24"/>
          <w:szCs w:val="24"/>
          <w:rtl/>
          <w:lang w:val="en-US" w:bidi="ar-DZ"/>
        </w:rPr>
        <w:t xml:space="preserve"> مريح</w:t>
      </w:r>
      <w:r w:rsidR="00AE3189">
        <w:rPr>
          <w:rFonts w:ascii="Simplified Arabic" w:hAnsi="Simplified Arabic" w:cs="Simplified Arabic" w:hint="cs"/>
          <w:color w:val="000000" w:themeColor="text1"/>
          <w:sz w:val="24"/>
          <w:szCs w:val="24"/>
          <w:rtl/>
          <w:lang w:val="en-US" w:bidi="ar-DZ"/>
        </w:rPr>
        <w:t>ًا</w:t>
      </w:r>
      <w:r w:rsidRPr="00165EAB">
        <w:rPr>
          <w:rFonts w:ascii="Simplified Arabic" w:hAnsi="Simplified Arabic" w:cs="Simplified Arabic" w:hint="cs"/>
          <w:color w:val="000000" w:themeColor="text1"/>
          <w:sz w:val="24"/>
          <w:szCs w:val="24"/>
          <w:rtl/>
          <w:lang w:val="en-US" w:bidi="ar-DZ"/>
        </w:rPr>
        <w:t>، تدعم صحة</w:t>
      </w:r>
      <w:r w:rsidRPr="00165EAB">
        <w:rPr>
          <w:rFonts w:ascii="Simplified Arabic" w:hAnsi="Simplified Arabic" w:cs="Simplified Arabic"/>
          <w:color w:val="000000" w:themeColor="text1"/>
          <w:sz w:val="24"/>
          <w:szCs w:val="24"/>
          <w:rtl/>
          <w:lang w:val="en-US" w:bidi="ar-DZ"/>
        </w:rPr>
        <w:t xml:space="preserve"> </w:t>
      </w:r>
      <w:r w:rsidRPr="00165EAB">
        <w:rPr>
          <w:rFonts w:ascii="Simplified Arabic" w:hAnsi="Simplified Arabic" w:cs="Simplified Arabic" w:hint="cs"/>
          <w:color w:val="000000" w:themeColor="text1"/>
          <w:sz w:val="24"/>
          <w:szCs w:val="24"/>
          <w:rtl/>
          <w:lang w:val="en-US" w:bidi="ar-DZ"/>
        </w:rPr>
        <w:t>نتائج</w:t>
      </w:r>
      <w:r w:rsidRPr="00165EAB">
        <w:rPr>
          <w:rFonts w:ascii="Simplified Arabic" w:hAnsi="Simplified Arabic" w:cs="Simplified Arabic"/>
          <w:color w:val="000000" w:themeColor="text1"/>
          <w:sz w:val="24"/>
          <w:szCs w:val="24"/>
          <w:rtl/>
          <w:lang w:val="en-US" w:bidi="ar-DZ"/>
        </w:rPr>
        <w:t xml:space="preserve"> </w:t>
      </w:r>
      <w:r w:rsidRPr="00165EAB">
        <w:rPr>
          <w:rFonts w:ascii="Simplified Arabic" w:hAnsi="Simplified Arabic" w:cs="Simplified Arabic" w:hint="cs"/>
          <w:color w:val="000000" w:themeColor="text1"/>
          <w:sz w:val="24"/>
          <w:szCs w:val="24"/>
          <w:rtl/>
          <w:lang w:val="en-US" w:bidi="ar-DZ"/>
        </w:rPr>
        <w:t xml:space="preserve">خريطة توزيع </w:t>
      </w:r>
      <w:r w:rsidR="00B72D62" w:rsidRPr="00165EAB">
        <w:rPr>
          <w:rFonts w:ascii="Simplified Arabic" w:hAnsi="Simplified Arabic" w:cs="Simplified Arabic" w:hint="cs"/>
          <w:color w:val="000000" w:themeColor="text1"/>
          <w:sz w:val="24"/>
          <w:szCs w:val="24"/>
          <w:rtl/>
          <w:lang w:val="en-US" w:bidi="ar-DZ"/>
        </w:rPr>
        <w:t>كثافة</w:t>
      </w:r>
      <w:r w:rsidRPr="00165EAB">
        <w:rPr>
          <w:rFonts w:ascii="Simplified Arabic" w:hAnsi="Simplified Arabic" w:cs="Simplified Arabic" w:hint="cs"/>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تقاطعات</w:t>
      </w:r>
      <w:r w:rsidRPr="00165EAB">
        <w:rPr>
          <w:rFonts w:ascii="Simplified Arabic" w:hAnsi="Simplified Arabic" w:cs="Simplified Arabic" w:hint="cs"/>
          <w:color w:val="000000" w:themeColor="text1"/>
          <w:sz w:val="24"/>
          <w:szCs w:val="24"/>
          <w:rtl/>
          <w:lang w:val="en-US" w:bidi="ar-DZ"/>
        </w:rPr>
        <w:t xml:space="preserve"> شبك</w:t>
      </w:r>
      <w:r w:rsidR="00B72D62" w:rsidRPr="00165EAB">
        <w:rPr>
          <w:rFonts w:ascii="Simplified Arabic" w:hAnsi="Simplified Arabic" w:cs="Simplified Arabic" w:hint="cs"/>
          <w:color w:val="000000" w:themeColor="text1"/>
          <w:sz w:val="24"/>
          <w:szCs w:val="24"/>
          <w:rtl/>
          <w:lang w:val="en-US" w:bidi="ar-DZ"/>
        </w:rPr>
        <w:t>ة الطرق. رغم ذلك</w:t>
      </w:r>
      <w:r w:rsidR="00792532">
        <w:rPr>
          <w:rFonts w:ascii="Simplified Arabic" w:hAnsi="Simplified Arabic" w:cs="Simplified Arabic" w:hint="cs"/>
          <w:color w:val="000000" w:themeColor="text1"/>
          <w:sz w:val="24"/>
          <w:szCs w:val="24"/>
          <w:rtl/>
          <w:lang w:val="en-US" w:bidi="ar-DZ"/>
        </w:rPr>
        <w:t>،</w:t>
      </w:r>
      <w:r w:rsidR="00B72D62" w:rsidRPr="00165EAB">
        <w:rPr>
          <w:rFonts w:ascii="Simplified Arabic" w:hAnsi="Simplified Arabic" w:cs="Simplified Arabic" w:hint="cs"/>
          <w:color w:val="000000" w:themeColor="text1"/>
          <w:sz w:val="24"/>
          <w:szCs w:val="24"/>
          <w:rtl/>
          <w:lang w:val="en-US" w:bidi="ar-DZ"/>
        </w:rPr>
        <w:t xml:space="preserve"> اظهر</w:t>
      </w:r>
      <w:r w:rsidR="00792532">
        <w:rPr>
          <w:rFonts w:ascii="Simplified Arabic" w:hAnsi="Simplified Arabic" w:cs="Simplified Arabic" w:hint="cs"/>
          <w:color w:val="000000" w:themeColor="text1"/>
          <w:sz w:val="24"/>
          <w:szCs w:val="24"/>
          <w:rtl/>
          <w:lang w:val="en-US" w:bidi="ar-DZ"/>
        </w:rPr>
        <w:t>ت</w:t>
      </w:r>
      <w:r w:rsidR="00B72D62" w:rsidRPr="00165EAB">
        <w:rPr>
          <w:rFonts w:ascii="Simplified Arabic" w:hAnsi="Simplified Arabic" w:cs="Simplified Arabic" w:hint="cs"/>
          <w:color w:val="000000" w:themeColor="text1"/>
          <w:sz w:val="24"/>
          <w:szCs w:val="24"/>
          <w:rtl/>
          <w:lang w:val="en-US" w:bidi="ar-DZ"/>
        </w:rPr>
        <w:t xml:space="preserve"> </w:t>
      </w:r>
      <w:r w:rsidR="00792532">
        <w:rPr>
          <w:rFonts w:ascii="Simplified Arabic" w:hAnsi="Simplified Arabic" w:cs="Simplified Arabic" w:hint="cs"/>
          <w:color w:val="000000" w:themeColor="text1"/>
          <w:sz w:val="24"/>
          <w:szCs w:val="24"/>
          <w:rtl/>
          <w:lang w:val="en-US" w:bidi="ar-DZ"/>
        </w:rPr>
        <w:t>نتائج الاستبيان (</w:t>
      </w:r>
      <w:r w:rsidR="00792532" w:rsidRPr="00F14C48">
        <w:rPr>
          <w:rFonts w:ascii="Simplified Arabic" w:hAnsi="Simplified Arabic" w:cs="Simplified Arabic"/>
          <w:sz w:val="24"/>
          <w:szCs w:val="24"/>
          <w:lang w:val="en-US"/>
        </w:rPr>
        <w:t>55,58</w:t>
      </w:r>
      <w:r w:rsidR="00792532" w:rsidRPr="00F14C48">
        <w:rPr>
          <w:rFonts w:ascii="Simplified Arabic" w:hAnsi="Simplified Arabic" w:cs="Simplified Arabic"/>
          <w:sz w:val="24"/>
          <w:szCs w:val="24"/>
          <w:rtl/>
          <w:lang w:val="en-US"/>
        </w:rPr>
        <w:t>٪</w:t>
      </w:r>
      <w:r w:rsidR="00792532">
        <w:rPr>
          <w:rFonts w:ascii="Simplified Arabic" w:hAnsi="Simplified Arabic" w:cs="Simplified Arabic" w:hint="cs"/>
          <w:sz w:val="24"/>
          <w:szCs w:val="24"/>
          <w:rtl/>
          <w:lang w:val="en-US"/>
        </w:rPr>
        <w:t>)</w:t>
      </w:r>
      <w:r w:rsidR="00792532" w:rsidRPr="00F14C48">
        <w:rPr>
          <w:rFonts w:ascii="Simplified Arabic" w:hAnsi="Simplified Arabic" w:cs="Simplified Arabic" w:hint="cs"/>
          <w:sz w:val="24"/>
          <w:szCs w:val="24"/>
          <w:rtl/>
          <w:lang w:val="en-US"/>
        </w:rPr>
        <w:t xml:space="preserve"> </w:t>
      </w:r>
      <w:r w:rsidR="00792532">
        <w:rPr>
          <w:rFonts w:ascii="Simplified Arabic" w:hAnsi="Simplified Arabic" w:cs="Simplified Arabic" w:hint="cs"/>
          <w:sz w:val="24"/>
          <w:szCs w:val="24"/>
          <w:rtl/>
          <w:lang w:val="en-US"/>
        </w:rPr>
        <w:t xml:space="preserve">التي تخص عينة </w:t>
      </w:r>
      <w:r w:rsidR="00B72D62" w:rsidRPr="00165EAB">
        <w:rPr>
          <w:rFonts w:ascii="Simplified Arabic" w:hAnsi="Simplified Arabic" w:cs="Simplified Arabic" w:hint="cs"/>
          <w:color w:val="000000" w:themeColor="text1"/>
          <w:sz w:val="24"/>
          <w:szCs w:val="24"/>
          <w:rtl/>
          <w:lang w:val="en-US" w:bidi="ar-DZ"/>
        </w:rPr>
        <w:t>الحي السكني ميطر لفئة النسيج الحضري (ج)</w:t>
      </w:r>
      <w:r w:rsidR="00792532">
        <w:rPr>
          <w:rFonts w:ascii="Simplified Arabic" w:hAnsi="Simplified Arabic" w:cs="Simplified Arabic" w:hint="cs"/>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 xml:space="preserve">ان التنقل </w:t>
      </w:r>
      <w:r w:rsidR="00792532" w:rsidRPr="00165EAB">
        <w:rPr>
          <w:rFonts w:ascii="Simplified Arabic" w:hAnsi="Simplified Arabic" w:cs="Simplified Arabic" w:hint="cs"/>
          <w:color w:val="000000" w:themeColor="text1"/>
          <w:sz w:val="24"/>
          <w:szCs w:val="24"/>
          <w:rtl/>
          <w:lang w:val="en-US" w:bidi="ar-DZ"/>
        </w:rPr>
        <w:t xml:space="preserve">الى المرافق </w:t>
      </w:r>
      <w:r w:rsidR="00792532">
        <w:rPr>
          <w:rFonts w:ascii="Simplified Arabic" w:hAnsi="Simplified Arabic" w:cs="Simplified Arabic" w:hint="cs"/>
          <w:color w:val="000000" w:themeColor="text1"/>
          <w:sz w:val="24"/>
          <w:szCs w:val="24"/>
          <w:rtl/>
          <w:lang w:val="en-US" w:bidi="ar-DZ"/>
        </w:rPr>
        <w:t>عبر شبكة الطرق</w:t>
      </w:r>
      <w:r w:rsidR="00792532" w:rsidRPr="00165EAB">
        <w:rPr>
          <w:rFonts w:ascii="Simplified Arabic" w:hAnsi="Simplified Arabic" w:cs="Simplified Arabic" w:hint="cs"/>
          <w:color w:val="000000" w:themeColor="text1"/>
          <w:sz w:val="24"/>
          <w:szCs w:val="24"/>
          <w:rtl/>
          <w:lang w:val="en-US" w:bidi="ar-DZ"/>
        </w:rPr>
        <w:t xml:space="preserve"> </w:t>
      </w:r>
      <w:r w:rsidR="00792532">
        <w:rPr>
          <w:rFonts w:ascii="Simplified Arabic" w:hAnsi="Simplified Arabic" w:cs="Simplified Arabic" w:hint="cs"/>
          <w:color w:val="000000" w:themeColor="text1"/>
          <w:sz w:val="24"/>
          <w:szCs w:val="24"/>
          <w:rtl/>
          <w:lang w:val="en-US" w:bidi="ar-DZ"/>
        </w:rPr>
        <w:t>مشيًا على الاقدام</w:t>
      </w:r>
      <w:r w:rsidR="00204FD6">
        <w:rPr>
          <w:rFonts w:ascii="Simplified Arabic" w:hAnsi="Simplified Arabic" w:cs="Simplified Arabic" w:hint="cs"/>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غير مريح</w:t>
      </w:r>
      <w:r w:rsidR="00165EAB" w:rsidRPr="00165EAB">
        <w:rPr>
          <w:rFonts w:ascii="Simplified Arabic" w:hAnsi="Simplified Arabic" w:cs="Simplified Arabic" w:hint="cs"/>
          <w:color w:val="000000" w:themeColor="text1"/>
          <w:sz w:val="24"/>
          <w:szCs w:val="24"/>
          <w:rtl/>
          <w:lang w:val="en-US" w:bidi="ar-DZ"/>
        </w:rPr>
        <w:t>.</w:t>
      </w:r>
      <w:r w:rsidR="00B72D62" w:rsidRPr="00165EAB">
        <w:rPr>
          <w:rFonts w:ascii="Simplified Arabic" w:hAnsi="Simplified Arabic" w:cs="Simplified Arabic" w:hint="cs"/>
          <w:color w:val="000000" w:themeColor="text1"/>
          <w:sz w:val="24"/>
          <w:szCs w:val="24"/>
          <w:rtl/>
          <w:lang w:val="en-US" w:bidi="ar-DZ"/>
        </w:rPr>
        <w:t xml:space="preserve"> هذا راجع الى ان</w:t>
      </w:r>
      <w:r w:rsidR="00B72D62" w:rsidRPr="00165EAB">
        <w:rPr>
          <w:rFonts w:ascii="Simplified Arabic" w:hAnsi="Simplified Arabic" w:cs="Simplified Arabic"/>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شبكة</w:t>
      </w:r>
      <w:r w:rsidR="00B72D62" w:rsidRPr="00165EAB">
        <w:rPr>
          <w:rFonts w:ascii="Simplified Arabic" w:hAnsi="Simplified Arabic" w:cs="Simplified Arabic"/>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الطرق</w:t>
      </w:r>
      <w:r w:rsidR="00B72D62" w:rsidRPr="00165EAB">
        <w:rPr>
          <w:rFonts w:ascii="Simplified Arabic" w:hAnsi="Simplified Arabic" w:cs="Simplified Arabic"/>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التي</w:t>
      </w:r>
      <w:r w:rsidR="00B72D62" w:rsidRPr="00165EAB">
        <w:rPr>
          <w:rFonts w:ascii="Simplified Arabic" w:hAnsi="Simplified Arabic" w:cs="Simplified Arabic"/>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تؤمن</w:t>
      </w:r>
      <w:r w:rsidR="00B72D62" w:rsidRPr="00165EAB">
        <w:rPr>
          <w:rFonts w:ascii="Simplified Arabic" w:hAnsi="Simplified Arabic" w:cs="Simplified Arabic"/>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المساكن</w:t>
      </w:r>
      <w:r w:rsidR="00B72D62" w:rsidRPr="00165EAB">
        <w:rPr>
          <w:rFonts w:ascii="Simplified Arabic" w:hAnsi="Simplified Arabic" w:cs="Simplified Arabic"/>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عضوية، احيانا تميل الى ان تكون عميقة وضيقة</w:t>
      </w:r>
      <w:r w:rsidR="00B72D62" w:rsidRPr="00165EAB">
        <w:rPr>
          <w:rFonts w:ascii="Simplified Arabic" w:hAnsi="Simplified Arabic" w:cs="Simplified Arabic"/>
          <w:color w:val="000000" w:themeColor="text1"/>
          <w:sz w:val="24"/>
          <w:szCs w:val="24"/>
          <w:rtl/>
          <w:lang w:val="en-US" w:bidi="ar-DZ"/>
        </w:rPr>
        <w:t xml:space="preserve"> </w:t>
      </w:r>
      <w:r w:rsidR="00B72D62" w:rsidRPr="00165EAB">
        <w:rPr>
          <w:rFonts w:ascii="Simplified Arabic" w:hAnsi="Simplified Arabic" w:cs="Simplified Arabic" w:hint="cs"/>
          <w:color w:val="000000" w:themeColor="text1"/>
          <w:sz w:val="24"/>
          <w:szCs w:val="24"/>
          <w:rtl/>
          <w:lang w:val="en-US" w:bidi="ar-DZ"/>
        </w:rPr>
        <w:t xml:space="preserve">ومتعرجة. </w:t>
      </w: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C121B0" w:rsidRDefault="00C121B0" w:rsidP="00C121B0">
      <w:pPr>
        <w:bidi/>
        <w:spacing w:after="0"/>
        <w:jc w:val="both"/>
        <w:rPr>
          <w:rStyle w:val="y2iqfc"/>
          <w:rFonts w:ascii="Simplified Arabic" w:hAnsi="Simplified Arabic" w:cs="Simplified Arabic"/>
          <w:b/>
          <w:bCs/>
          <w:color w:val="202124"/>
          <w:sz w:val="24"/>
          <w:szCs w:val="24"/>
          <w:rtl/>
        </w:rPr>
      </w:pPr>
    </w:p>
    <w:p w:rsidR="001E4726" w:rsidRDefault="001E4726" w:rsidP="001E4726">
      <w:pPr>
        <w:bidi/>
        <w:spacing w:after="0"/>
        <w:jc w:val="both"/>
        <w:rPr>
          <w:rStyle w:val="y2iqfc"/>
          <w:rFonts w:ascii="Simplified Arabic" w:hAnsi="Simplified Arabic" w:cs="Simplified Arabic"/>
          <w:b/>
          <w:bCs/>
          <w:color w:val="202124"/>
          <w:sz w:val="24"/>
          <w:szCs w:val="24"/>
        </w:rPr>
      </w:pPr>
    </w:p>
    <w:p w:rsidR="008B4DD2" w:rsidRDefault="008B4DD2" w:rsidP="008B4DD2">
      <w:pPr>
        <w:bidi/>
        <w:spacing w:after="0"/>
        <w:jc w:val="both"/>
        <w:rPr>
          <w:rStyle w:val="y2iqfc"/>
          <w:rFonts w:ascii="Simplified Arabic" w:hAnsi="Simplified Arabic" w:cs="Simplified Arabic"/>
          <w:b/>
          <w:bCs/>
          <w:color w:val="202124"/>
          <w:sz w:val="24"/>
          <w:szCs w:val="24"/>
          <w:rtl/>
        </w:rPr>
      </w:pPr>
    </w:p>
    <w:p w:rsidR="00C121B0" w:rsidRPr="00DF1D78" w:rsidRDefault="00A37ACD" w:rsidP="00DA50D1">
      <w:pPr>
        <w:bidi/>
        <w:spacing w:after="0"/>
        <w:jc w:val="both"/>
        <w:outlineLvl w:val="0"/>
        <w:rPr>
          <w:rStyle w:val="y2iqfc"/>
          <w:rFonts w:ascii="Simplified Arabic" w:hAnsi="Simplified Arabic" w:cs="Simplified Arabic"/>
          <w:b/>
          <w:bCs/>
          <w:color w:val="202124"/>
          <w:sz w:val="24"/>
          <w:szCs w:val="24"/>
          <w:rtl/>
          <w:lang w:bidi="ar"/>
        </w:rPr>
      </w:pPr>
      <w:bookmarkStart w:id="770" w:name="_Toc171803762"/>
      <w:r>
        <w:rPr>
          <w:rStyle w:val="y2iqfc"/>
          <w:rFonts w:ascii="Simplified Arabic" w:hAnsi="Simplified Arabic" w:cs="Simplified Arabic" w:hint="cs"/>
          <w:b/>
          <w:bCs/>
          <w:color w:val="202124"/>
          <w:sz w:val="24"/>
          <w:szCs w:val="24"/>
          <w:rtl/>
          <w:lang w:bidi="ar"/>
        </w:rPr>
        <w:lastRenderedPageBreak/>
        <w:t>ال</w:t>
      </w:r>
      <w:r>
        <w:rPr>
          <w:rStyle w:val="y2iqfc"/>
          <w:rFonts w:ascii="Simplified Arabic" w:hAnsi="Simplified Arabic" w:cs="Simplified Arabic"/>
          <w:b/>
          <w:bCs/>
          <w:color w:val="202124"/>
          <w:sz w:val="24"/>
          <w:szCs w:val="24"/>
          <w:rtl/>
          <w:lang w:bidi="ar"/>
        </w:rPr>
        <w:t>خلاصة</w:t>
      </w:r>
      <w:bookmarkEnd w:id="770"/>
    </w:p>
    <w:p w:rsidR="002D3568" w:rsidRDefault="00C121B0" w:rsidP="00A4755C">
      <w:pPr>
        <w:tabs>
          <w:tab w:val="right" w:pos="566"/>
        </w:tabs>
        <w:bidi/>
        <w:spacing w:after="0"/>
        <w:ind w:left="-1" w:firstLine="283"/>
        <w:jc w:val="both"/>
        <w:rPr>
          <w:rStyle w:val="y2iqfc"/>
          <w:rFonts w:ascii="Simplified Arabic" w:hAnsi="Simplified Arabic" w:cs="Simplified Arabic"/>
          <w:color w:val="202124"/>
          <w:sz w:val="24"/>
          <w:szCs w:val="24"/>
          <w:rtl/>
          <w:lang w:bidi="ar"/>
        </w:rPr>
      </w:pPr>
      <w:r w:rsidRPr="00737E25">
        <w:rPr>
          <w:rStyle w:val="y2iqfc"/>
          <w:rFonts w:ascii="Simplified Arabic" w:hAnsi="Simplified Arabic" w:cs="Simplified Arabic"/>
          <w:color w:val="202124"/>
          <w:sz w:val="24"/>
          <w:szCs w:val="24"/>
          <w:rtl/>
          <w:lang w:bidi="ar"/>
        </w:rPr>
        <w:t xml:space="preserve">في هذا </w:t>
      </w:r>
      <w:r w:rsidRPr="00737E25">
        <w:rPr>
          <w:rStyle w:val="y2iqfc"/>
          <w:rFonts w:ascii="Simplified Arabic" w:hAnsi="Simplified Arabic" w:cs="Simplified Arabic" w:hint="cs"/>
          <w:color w:val="202124"/>
          <w:sz w:val="24"/>
          <w:szCs w:val="24"/>
          <w:rtl/>
          <w:lang w:bidi="ar"/>
        </w:rPr>
        <w:t xml:space="preserve">الفصل </w:t>
      </w:r>
      <w:r w:rsidR="002D3568">
        <w:rPr>
          <w:rStyle w:val="y2iqfc"/>
          <w:rFonts w:ascii="Simplified Arabic" w:hAnsi="Simplified Arabic" w:cs="Simplified Arabic" w:hint="cs"/>
          <w:color w:val="202124"/>
          <w:sz w:val="24"/>
          <w:szCs w:val="24"/>
          <w:rtl/>
          <w:lang w:bidi="ar"/>
        </w:rPr>
        <w:t>5</w:t>
      </w:r>
      <w:r w:rsidRPr="00737E25">
        <w:rPr>
          <w:rStyle w:val="y2iqfc"/>
          <w:rFonts w:ascii="Simplified Arabic" w:hAnsi="Simplified Arabic" w:cs="Simplified Arabic" w:hint="cs"/>
          <w:color w:val="202124"/>
          <w:sz w:val="24"/>
          <w:szCs w:val="24"/>
          <w:rtl/>
          <w:lang w:bidi="ar"/>
        </w:rPr>
        <w:t xml:space="preserve"> من </w:t>
      </w:r>
      <w:r w:rsidRPr="00737E25">
        <w:rPr>
          <w:rStyle w:val="y2iqfc"/>
          <w:rFonts w:ascii="Simplified Arabic" w:hAnsi="Simplified Arabic" w:cs="Simplified Arabic"/>
          <w:color w:val="202124"/>
          <w:sz w:val="24"/>
          <w:szCs w:val="24"/>
          <w:rtl/>
          <w:lang w:bidi="ar"/>
        </w:rPr>
        <w:t xml:space="preserve">البحث، تم اقتراح </w:t>
      </w:r>
      <w:r w:rsidRPr="00737E25">
        <w:rPr>
          <w:rStyle w:val="y2iqfc"/>
          <w:rFonts w:ascii="Simplified Arabic" w:hAnsi="Simplified Arabic" w:cs="Simplified Arabic" w:hint="cs"/>
          <w:color w:val="202124"/>
          <w:sz w:val="24"/>
          <w:szCs w:val="24"/>
          <w:rtl/>
          <w:lang w:bidi="ar"/>
        </w:rPr>
        <w:t>اطار عمل</w:t>
      </w:r>
      <w:r w:rsidRPr="00737E25">
        <w:rPr>
          <w:rStyle w:val="y2iqfc"/>
          <w:rFonts w:ascii="Simplified Arabic" w:hAnsi="Simplified Arabic" w:cs="Simplified Arabic"/>
          <w:color w:val="202124"/>
          <w:sz w:val="24"/>
          <w:szCs w:val="24"/>
          <w:rtl/>
          <w:lang w:bidi="ar"/>
        </w:rPr>
        <w:t xml:space="preserve"> لتقييم المرونة الحضرية من خلال الجمع بين </w:t>
      </w:r>
      <w:r w:rsidRPr="00737E25">
        <w:rPr>
          <w:rStyle w:val="y2iqfc"/>
          <w:rFonts w:ascii="Simplified Arabic" w:hAnsi="Simplified Arabic" w:cs="Simplified Arabic" w:hint="cs"/>
          <w:color w:val="202124"/>
          <w:sz w:val="24"/>
          <w:szCs w:val="24"/>
          <w:rtl/>
          <w:lang w:bidi="ar"/>
        </w:rPr>
        <w:t>الطريقة التشاركية للسكان المحليين وطريقة</w:t>
      </w:r>
      <w:r w:rsidRPr="00737E25">
        <w:rPr>
          <w:rStyle w:val="y2iqfc"/>
          <w:rFonts w:ascii="Simplified Arabic" w:hAnsi="Simplified Arabic" w:cs="Simplified Arabic"/>
          <w:color w:val="202124"/>
          <w:sz w:val="24"/>
          <w:szCs w:val="24"/>
          <w:rtl/>
          <w:lang w:bidi="ar"/>
        </w:rPr>
        <w:t xml:space="preserve"> دلفي وعملية</w:t>
      </w:r>
      <w:r w:rsidRPr="00737E25">
        <w:rPr>
          <w:rStyle w:val="y2iqfc"/>
          <w:rFonts w:asciiTheme="minorBidi" w:hAnsiTheme="minorBidi"/>
          <w:color w:val="202124"/>
          <w:sz w:val="24"/>
          <w:szCs w:val="24"/>
          <w:rtl/>
          <w:lang w:bidi="ar"/>
        </w:rPr>
        <w:t xml:space="preserve"> </w:t>
      </w:r>
      <w:r w:rsidRPr="00737E25">
        <w:rPr>
          <w:rFonts w:asciiTheme="minorBidi" w:hAnsiTheme="minorBidi"/>
          <w:color w:val="000000"/>
          <w:sz w:val="24"/>
          <w:szCs w:val="24"/>
          <w:rtl/>
          <w:lang w:val="en-US"/>
        </w:rPr>
        <w:t>(</w:t>
      </w:r>
      <w:r w:rsidRPr="00737E25">
        <w:rPr>
          <w:rFonts w:asciiTheme="majorBidi" w:eastAsia="Times New Roman" w:hAnsiTheme="majorBidi" w:cstheme="majorBidi"/>
          <w:b/>
          <w:color w:val="000000"/>
          <w:sz w:val="20"/>
          <w:szCs w:val="20"/>
          <w:lang w:eastAsia="fr-FR"/>
        </w:rPr>
        <w:t>AHP</w:t>
      </w:r>
      <w:r w:rsidRPr="00737E25">
        <w:rPr>
          <w:rStyle w:val="y2iqfc"/>
          <w:rFonts w:ascii="Simplified Arabic" w:hAnsi="Simplified Arabic" w:cs="Simplified Arabic"/>
          <w:color w:val="202124"/>
          <w:rtl/>
          <w:lang w:bidi="ar"/>
        </w:rPr>
        <w:t>)</w:t>
      </w:r>
      <w:r w:rsidRPr="00737E25">
        <w:rPr>
          <w:rStyle w:val="y2iqfc"/>
          <w:rFonts w:ascii="Simplified Arabic" w:hAnsi="Simplified Arabic" w:cs="Simplified Arabic"/>
          <w:color w:val="202124"/>
          <w:sz w:val="24"/>
          <w:szCs w:val="24"/>
          <w:rtl/>
          <w:lang w:bidi="ar"/>
        </w:rPr>
        <w:t xml:space="preserve"> و </w:t>
      </w:r>
      <w:r w:rsidRPr="00737E25">
        <w:rPr>
          <w:rStyle w:val="y2iqfc"/>
          <w:rFonts w:ascii="Simplified Arabic" w:hAnsi="Simplified Arabic" w:cs="Simplified Arabic" w:hint="cs"/>
          <w:color w:val="202124"/>
          <w:sz w:val="24"/>
          <w:szCs w:val="24"/>
          <w:rtl/>
          <w:lang w:bidi="ar"/>
        </w:rPr>
        <w:t xml:space="preserve">تقنية </w:t>
      </w:r>
      <w:r w:rsidRPr="00737E25">
        <w:rPr>
          <w:rFonts w:asciiTheme="minorBidi" w:hAnsiTheme="minorBidi"/>
          <w:color w:val="000000"/>
          <w:sz w:val="24"/>
          <w:szCs w:val="24"/>
          <w:rtl/>
          <w:lang w:val="en-US"/>
        </w:rPr>
        <w:t>(</w:t>
      </w:r>
      <w:r w:rsidRPr="00737E25">
        <w:rPr>
          <w:rFonts w:asciiTheme="majorBidi" w:eastAsia="Times New Roman" w:hAnsiTheme="majorBidi" w:cstheme="majorBidi"/>
          <w:b/>
          <w:color w:val="000000"/>
          <w:sz w:val="20"/>
          <w:szCs w:val="20"/>
          <w:lang w:eastAsia="fr-FR"/>
        </w:rPr>
        <w:t>GIS</w:t>
      </w:r>
      <w:r w:rsidRPr="00737E25">
        <w:rPr>
          <w:rFonts w:asciiTheme="minorBidi" w:hAnsiTheme="minorBidi"/>
          <w:color w:val="000000"/>
          <w:sz w:val="24"/>
          <w:szCs w:val="24"/>
          <w:rtl/>
          <w:lang w:val="en-US"/>
        </w:rPr>
        <w:t>)</w:t>
      </w:r>
      <w:r w:rsidRPr="00737E25">
        <w:rPr>
          <w:rStyle w:val="y2iqfc"/>
          <w:rFonts w:ascii="Simplified Arabic" w:hAnsi="Simplified Arabic" w:cs="Simplified Arabic" w:hint="cs"/>
          <w:color w:val="202124"/>
          <w:rtl/>
          <w:lang w:bidi="ar"/>
        </w:rPr>
        <w:t xml:space="preserve">، </w:t>
      </w:r>
      <w:r w:rsidRPr="00737E25">
        <w:rPr>
          <w:rStyle w:val="y2iqfc"/>
          <w:rFonts w:ascii="Simplified Arabic" w:hAnsi="Simplified Arabic" w:cs="Simplified Arabic"/>
          <w:color w:val="202124"/>
          <w:sz w:val="24"/>
          <w:szCs w:val="24"/>
          <w:rtl/>
          <w:lang w:bidi="ar"/>
        </w:rPr>
        <w:t>تم إجراء</w:t>
      </w:r>
      <w:r w:rsidRPr="00737E25">
        <w:rPr>
          <w:rStyle w:val="y2iqfc"/>
          <w:rFonts w:ascii="Simplified Arabic" w:hAnsi="Simplified Arabic" w:cs="Simplified Arabic" w:hint="cs"/>
          <w:color w:val="202124"/>
          <w:sz w:val="24"/>
          <w:szCs w:val="24"/>
          <w:rtl/>
          <w:lang w:bidi="ar"/>
        </w:rPr>
        <w:t xml:space="preserve"> </w:t>
      </w:r>
      <w:r w:rsidRPr="00737E25">
        <w:rPr>
          <w:rStyle w:val="y2iqfc"/>
          <w:rFonts w:ascii="Simplified Arabic" w:hAnsi="Simplified Arabic" w:cs="Simplified Arabic"/>
          <w:color w:val="202124"/>
          <w:sz w:val="24"/>
          <w:szCs w:val="24"/>
          <w:rtl/>
          <w:lang w:bidi="ar"/>
        </w:rPr>
        <w:t>استبيان استقصائي قائم على مجموعة من خبراء دلفي المحليين من مختلف التخصصات للتوصل إلى معايير فعالة لتق</w:t>
      </w:r>
      <w:r w:rsidRPr="00737E25">
        <w:rPr>
          <w:rStyle w:val="y2iqfc"/>
          <w:rFonts w:ascii="Simplified Arabic" w:hAnsi="Simplified Arabic" w:cs="Simplified Arabic" w:hint="cs"/>
          <w:color w:val="202124"/>
          <w:sz w:val="24"/>
          <w:szCs w:val="24"/>
          <w:rtl/>
          <w:lang w:bidi="ar"/>
        </w:rPr>
        <w:t>ي</w:t>
      </w:r>
      <w:r w:rsidRPr="00737E25">
        <w:rPr>
          <w:rStyle w:val="y2iqfc"/>
          <w:rFonts w:ascii="Simplified Arabic" w:hAnsi="Simplified Arabic" w:cs="Simplified Arabic"/>
          <w:color w:val="202124"/>
          <w:sz w:val="24"/>
          <w:szCs w:val="24"/>
          <w:rtl/>
          <w:lang w:bidi="ar"/>
        </w:rPr>
        <w:t>يم المرونة الحضرية</w:t>
      </w:r>
      <w:r w:rsidRPr="00737E25">
        <w:rPr>
          <w:rStyle w:val="y2iqfc"/>
          <w:rFonts w:ascii="Simplified Arabic" w:hAnsi="Simplified Arabic" w:cs="Simplified Arabic" w:hint="cs"/>
          <w:color w:val="202124"/>
          <w:sz w:val="24"/>
          <w:szCs w:val="24"/>
          <w:rtl/>
          <w:lang w:bidi="ar"/>
        </w:rPr>
        <w:t xml:space="preserve"> والى اشتقاق تصنيفات المرونة الحضرية</w:t>
      </w:r>
      <w:r w:rsidR="001A0A97">
        <w:rPr>
          <w:rStyle w:val="y2iqfc"/>
          <w:rFonts w:ascii="Simplified Arabic" w:hAnsi="Simplified Arabic" w:cs="Simplified Arabic" w:hint="cs"/>
          <w:color w:val="202124"/>
          <w:sz w:val="24"/>
          <w:szCs w:val="24"/>
          <w:rtl/>
          <w:lang w:bidi="ar"/>
        </w:rPr>
        <w:t xml:space="preserve"> كقيمة اجمالية</w:t>
      </w:r>
      <w:r w:rsidRPr="00737E25">
        <w:rPr>
          <w:rStyle w:val="y2iqfc"/>
          <w:rFonts w:ascii="Simplified Arabic" w:hAnsi="Simplified Arabic" w:cs="Simplified Arabic"/>
          <w:color w:val="202124"/>
          <w:sz w:val="24"/>
          <w:szCs w:val="24"/>
          <w:rtl/>
          <w:lang w:bidi="ar"/>
        </w:rPr>
        <w:t xml:space="preserve">. تم </w:t>
      </w:r>
      <w:r w:rsidR="002D52AA">
        <w:rPr>
          <w:rStyle w:val="y2iqfc"/>
          <w:rFonts w:ascii="Simplified Arabic" w:hAnsi="Simplified Arabic" w:cs="Simplified Arabic" w:hint="cs"/>
          <w:color w:val="202124"/>
          <w:sz w:val="24"/>
          <w:szCs w:val="24"/>
          <w:rtl/>
          <w:lang w:bidi="ar"/>
        </w:rPr>
        <w:t xml:space="preserve">استخلاص ان </w:t>
      </w:r>
      <w:r w:rsidR="002D52AA" w:rsidRPr="00710D6A">
        <w:rPr>
          <w:rFonts w:ascii="Simplified Arabic" w:hAnsi="Simplified Arabic" w:cs="Simplified Arabic" w:hint="cs"/>
          <w:sz w:val="24"/>
          <w:szCs w:val="24"/>
          <w:rtl/>
          <w:lang w:val="en-US"/>
        </w:rPr>
        <w:t>أحياء: سيدي سليمان، ميطر، الحمايد والباطن</w:t>
      </w:r>
      <w:r w:rsidR="002D52AA" w:rsidRPr="009E7AF6">
        <w:rPr>
          <w:rFonts w:ascii="Simplified Arabic" w:hAnsi="Simplified Arabic" w:cs="Simplified Arabic" w:hint="cs"/>
          <w:sz w:val="24"/>
          <w:szCs w:val="24"/>
          <w:rtl/>
        </w:rPr>
        <w:t xml:space="preserve"> </w:t>
      </w:r>
      <w:r w:rsidR="002D52AA">
        <w:rPr>
          <w:rFonts w:ascii="Simplified Arabic" w:hAnsi="Simplified Arabic" w:cs="Simplified Arabic" w:hint="cs"/>
          <w:sz w:val="24"/>
          <w:szCs w:val="24"/>
          <w:rtl/>
        </w:rPr>
        <w:t xml:space="preserve">تشهد مستوى مرونة متوسط ومنخفض، لذلك تم </w:t>
      </w:r>
      <w:r w:rsidRPr="00737E25">
        <w:rPr>
          <w:rStyle w:val="y2iqfc"/>
          <w:rFonts w:ascii="Simplified Arabic" w:hAnsi="Simplified Arabic" w:cs="Simplified Arabic"/>
          <w:color w:val="202124"/>
          <w:sz w:val="24"/>
          <w:szCs w:val="24"/>
          <w:rtl/>
          <w:lang w:bidi="ar"/>
        </w:rPr>
        <w:t>إجراء</w:t>
      </w:r>
      <w:r w:rsidRPr="00737E25">
        <w:rPr>
          <w:rStyle w:val="y2iqfc"/>
          <w:rFonts w:ascii="Simplified Arabic" w:hAnsi="Simplified Arabic" w:cs="Simplified Arabic" w:hint="cs"/>
          <w:color w:val="202124"/>
          <w:sz w:val="24"/>
          <w:szCs w:val="24"/>
          <w:rtl/>
          <w:lang w:bidi="ar"/>
        </w:rPr>
        <w:t xml:space="preserve"> استبيان محلي للبحث في تصورات </w:t>
      </w:r>
      <w:r w:rsidR="002D52AA">
        <w:rPr>
          <w:rFonts w:ascii="Simplified Arabic" w:hAnsi="Simplified Arabic" w:cs="Simplified Arabic" w:hint="cs"/>
          <w:sz w:val="24"/>
          <w:szCs w:val="24"/>
          <w:rtl/>
        </w:rPr>
        <w:t>سكان</w:t>
      </w:r>
      <w:r w:rsidR="002D52AA" w:rsidRPr="009E7AF6">
        <w:rPr>
          <w:rFonts w:ascii="Simplified Arabic" w:hAnsi="Simplified Arabic" w:cs="Simplified Arabic" w:hint="cs"/>
          <w:sz w:val="24"/>
          <w:szCs w:val="24"/>
          <w:rtl/>
        </w:rPr>
        <w:t xml:space="preserve"> </w:t>
      </w:r>
      <w:r w:rsidR="002D52AA">
        <w:rPr>
          <w:rFonts w:ascii="Simplified Arabic" w:hAnsi="Simplified Arabic" w:cs="Simplified Arabic" w:hint="cs"/>
          <w:sz w:val="24"/>
          <w:szCs w:val="24"/>
          <w:rtl/>
        </w:rPr>
        <w:t xml:space="preserve">هذه الاحياء </w:t>
      </w:r>
      <w:r w:rsidRPr="00737E25">
        <w:rPr>
          <w:rStyle w:val="y2iqfc"/>
          <w:rFonts w:ascii="Simplified Arabic" w:hAnsi="Simplified Arabic" w:cs="Simplified Arabic" w:hint="cs"/>
          <w:color w:val="202124"/>
          <w:sz w:val="24"/>
          <w:szCs w:val="24"/>
          <w:rtl/>
          <w:lang w:bidi="ar"/>
        </w:rPr>
        <w:t xml:space="preserve">حول اضطرابات الحصول على الخدمة من اجل تحسين مستوى مرونة </w:t>
      </w:r>
      <w:r w:rsidR="002D52AA">
        <w:rPr>
          <w:rStyle w:val="y2iqfc"/>
          <w:rFonts w:ascii="Simplified Arabic" w:hAnsi="Simplified Arabic" w:cs="Simplified Arabic" w:hint="cs"/>
          <w:color w:val="202124"/>
          <w:sz w:val="24"/>
          <w:szCs w:val="24"/>
          <w:rtl/>
          <w:lang w:bidi="ar"/>
        </w:rPr>
        <w:t xml:space="preserve">احيائهم </w:t>
      </w:r>
      <w:r w:rsidR="002D52AA" w:rsidRPr="002D52AA">
        <w:rPr>
          <w:rStyle w:val="y2iqfc"/>
          <w:rFonts w:ascii="Simplified Arabic" w:hAnsi="Simplified Arabic" w:cs="Simplified Arabic" w:hint="cs"/>
          <w:color w:val="202124"/>
          <w:sz w:val="24"/>
          <w:szCs w:val="24"/>
          <w:rtl/>
          <w:lang w:bidi="ar"/>
        </w:rPr>
        <w:t>المتدنِّ</w:t>
      </w:r>
      <w:r w:rsidRPr="00737E25">
        <w:rPr>
          <w:rStyle w:val="y2iqfc"/>
          <w:rFonts w:ascii="Simplified Arabic" w:hAnsi="Simplified Arabic" w:cs="Simplified Arabic" w:hint="cs"/>
          <w:color w:val="202124"/>
          <w:sz w:val="24"/>
          <w:szCs w:val="24"/>
          <w:rtl/>
          <w:lang w:bidi="ar"/>
        </w:rPr>
        <w:t>.</w:t>
      </w:r>
      <w:r w:rsidR="002D52AA">
        <w:rPr>
          <w:rStyle w:val="y2iqfc"/>
          <w:rFonts w:ascii="Simplified Arabic" w:hAnsi="Simplified Arabic" w:cs="Simplified Arabic" w:hint="cs"/>
          <w:color w:val="202124"/>
          <w:sz w:val="24"/>
          <w:szCs w:val="24"/>
          <w:rtl/>
          <w:lang w:bidi="ar"/>
        </w:rPr>
        <w:t xml:space="preserve"> </w:t>
      </w:r>
      <w:r w:rsidR="00DA7B69">
        <w:rPr>
          <w:rStyle w:val="y2iqfc"/>
          <w:rFonts w:ascii="Simplified Arabic" w:hAnsi="Simplified Arabic" w:cs="Simplified Arabic" w:hint="cs"/>
          <w:color w:val="202124"/>
          <w:sz w:val="24"/>
          <w:szCs w:val="24"/>
          <w:rtl/>
          <w:lang w:bidi="ar"/>
        </w:rPr>
        <w:t>كما</w:t>
      </w:r>
      <w:r w:rsidR="009313AF" w:rsidRPr="002E15C0">
        <w:rPr>
          <w:rStyle w:val="y2iqfc"/>
          <w:rFonts w:ascii="Simplified Arabic" w:hAnsi="Simplified Arabic" w:cs="Simplified Arabic"/>
          <w:color w:val="202124"/>
          <w:sz w:val="24"/>
          <w:szCs w:val="24"/>
          <w:rtl/>
          <w:lang w:bidi="ar"/>
        </w:rPr>
        <w:t xml:space="preserve"> </w:t>
      </w:r>
      <w:r w:rsidR="009313AF" w:rsidRPr="002E15C0">
        <w:rPr>
          <w:rStyle w:val="y2iqfc"/>
          <w:rFonts w:ascii="Simplified Arabic" w:hAnsi="Simplified Arabic" w:cs="Simplified Arabic" w:hint="cs"/>
          <w:color w:val="202124"/>
          <w:sz w:val="24"/>
          <w:szCs w:val="24"/>
          <w:rtl/>
          <w:lang w:bidi="ar"/>
        </w:rPr>
        <w:t>تم</w:t>
      </w:r>
      <w:r w:rsidR="009313AF" w:rsidRPr="002E15C0">
        <w:rPr>
          <w:rStyle w:val="y2iqfc"/>
          <w:rFonts w:ascii="Simplified Arabic" w:hAnsi="Simplified Arabic" w:cs="Simplified Arabic"/>
          <w:color w:val="202124"/>
          <w:sz w:val="24"/>
          <w:szCs w:val="24"/>
          <w:rtl/>
          <w:lang w:bidi="ar"/>
        </w:rPr>
        <w:t xml:space="preserve"> </w:t>
      </w:r>
      <w:r w:rsidR="00DA7B69">
        <w:rPr>
          <w:rStyle w:val="y2iqfc"/>
          <w:rFonts w:ascii="Simplified Arabic" w:hAnsi="Simplified Arabic" w:cs="Simplified Arabic" w:hint="cs"/>
          <w:color w:val="202124"/>
          <w:sz w:val="24"/>
          <w:szCs w:val="24"/>
          <w:rtl/>
          <w:lang w:bidi="ar"/>
        </w:rPr>
        <w:t xml:space="preserve">استخلاص </w:t>
      </w:r>
      <w:r w:rsidR="00C13A7D">
        <w:rPr>
          <w:rStyle w:val="y2iqfc"/>
          <w:rFonts w:ascii="Simplified Arabic" w:hAnsi="Simplified Arabic" w:cs="Simplified Arabic" w:hint="cs"/>
          <w:color w:val="202124"/>
          <w:sz w:val="24"/>
          <w:szCs w:val="24"/>
          <w:rtl/>
          <w:lang w:bidi="ar"/>
        </w:rPr>
        <w:t>ما يلي</w:t>
      </w:r>
      <w:r w:rsidR="002D3568">
        <w:rPr>
          <w:rStyle w:val="y2iqfc"/>
          <w:rFonts w:ascii="Simplified Arabic" w:hAnsi="Simplified Arabic" w:cs="Simplified Arabic" w:hint="cs"/>
          <w:color w:val="202124"/>
          <w:sz w:val="24"/>
          <w:szCs w:val="24"/>
          <w:rtl/>
          <w:lang w:bidi="ar"/>
        </w:rPr>
        <w:t>:</w:t>
      </w:r>
    </w:p>
    <w:p w:rsidR="00C121B0" w:rsidRDefault="009313AF" w:rsidP="001D0548">
      <w:pPr>
        <w:pStyle w:val="Paragraphedeliste"/>
        <w:numPr>
          <w:ilvl w:val="0"/>
          <w:numId w:val="61"/>
        </w:numPr>
        <w:bidi/>
        <w:spacing w:after="0"/>
        <w:jc w:val="both"/>
        <w:rPr>
          <w:rtl/>
        </w:rPr>
      </w:pPr>
      <w:r w:rsidRPr="002D3568">
        <w:rPr>
          <w:rStyle w:val="y2iqfc"/>
          <w:rFonts w:ascii="Simplified Arabic" w:hAnsi="Simplified Arabic" w:cs="Simplified Arabic" w:hint="cs"/>
          <w:color w:val="202124"/>
          <w:sz w:val="24"/>
          <w:szCs w:val="24"/>
          <w:rtl/>
          <w:lang w:bidi="ar"/>
        </w:rPr>
        <w:t>ان</w:t>
      </w:r>
      <w:r w:rsidRPr="002D3568">
        <w:rPr>
          <w:rStyle w:val="y2iqfc"/>
          <w:rFonts w:ascii="Simplified Arabic" w:hAnsi="Simplified Arabic" w:cs="Simplified Arabic"/>
          <w:color w:val="202124"/>
          <w:sz w:val="24"/>
          <w:szCs w:val="24"/>
          <w:rtl/>
          <w:lang w:bidi="ar"/>
        </w:rPr>
        <w:t xml:space="preserve"> </w:t>
      </w:r>
      <w:r w:rsidRPr="002D3568">
        <w:rPr>
          <w:rStyle w:val="y2iqfc"/>
          <w:rFonts w:ascii="Simplified Arabic" w:hAnsi="Simplified Arabic" w:cs="Simplified Arabic" w:hint="cs"/>
          <w:color w:val="202124"/>
          <w:sz w:val="24"/>
          <w:szCs w:val="24"/>
          <w:rtl/>
          <w:lang w:bidi="ar"/>
        </w:rPr>
        <w:t xml:space="preserve">المسافة الى مراكز </w:t>
      </w:r>
      <w:r w:rsidRPr="002D3568">
        <w:rPr>
          <w:rStyle w:val="y2iqfc"/>
          <w:rFonts w:ascii="Simplified Arabic" w:hAnsi="Simplified Arabic" w:cs="Simplified Arabic"/>
          <w:color w:val="202124"/>
          <w:sz w:val="24"/>
          <w:szCs w:val="24"/>
          <w:rtl/>
          <w:lang w:bidi="ar"/>
        </w:rPr>
        <w:t xml:space="preserve">التكفل الطبي، </w:t>
      </w:r>
      <w:r w:rsidRPr="002D3568">
        <w:rPr>
          <w:rStyle w:val="y2iqfc"/>
          <w:rFonts w:ascii="Simplified Arabic" w:hAnsi="Simplified Arabic" w:cs="Simplified Arabic" w:hint="cs"/>
          <w:color w:val="202124"/>
          <w:sz w:val="24"/>
          <w:szCs w:val="24"/>
          <w:rtl/>
          <w:lang w:bidi="ar"/>
        </w:rPr>
        <w:t xml:space="preserve">المسافة الى مراكز </w:t>
      </w:r>
      <w:r w:rsidRPr="002D3568">
        <w:rPr>
          <w:rStyle w:val="y2iqfc"/>
          <w:rFonts w:ascii="Simplified Arabic" w:hAnsi="Simplified Arabic" w:cs="Simplified Arabic"/>
          <w:color w:val="202124"/>
          <w:sz w:val="24"/>
          <w:szCs w:val="24"/>
          <w:rtl/>
          <w:lang w:bidi="ar"/>
        </w:rPr>
        <w:t xml:space="preserve">الإنقاذ والإجلاء، </w:t>
      </w:r>
      <w:r w:rsidRPr="002D3568">
        <w:rPr>
          <w:rStyle w:val="y2iqfc"/>
          <w:rFonts w:ascii="Simplified Arabic" w:hAnsi="Simplified Arabic" w:cs="Simplified Arabic" w:hint="cs"/>
          <w:color w:val="202124"/>
          <w:sz w:val="24"/>
          <w:szCs w:val="24"/>
          <w:rtl/>
          <w:lang w:bidi="ar"/>
        </w:rPr>
        <w:t xml:space="preserve">المسافة الى مراكز </w:t>
      </w:r>
      <w:r w:rsidRPr="002D3568">
        <w:rPr>
          <w:rStyle w:val="y2iqfc"/>
          <w:rFonts w:ascii="Simplified Arabic" w:hAnsi="Simplified Arabic" w:cs="Simplified Arabic"/>
          <w:color w:val="202124"/>
          <w:sz w:val="24"/>
          <w:szCs w:val="24"/>
          <w:rtl/>
          <w:lang w:bidi="ar"/>
        </w:rPr>
        <w:t xml:space="preserve">الأمن، </w:t>
      </w:r>
      <w:r w:rsidRPr="002D3568">
        <w:rPr>
          <w:rStyle w:val="y2iqfc"/>
          <w:rFonts w:ascii="Simplified Arabic" w:hAnsi="Simplified Arabic" w:cs="Simplified Arabic" w:hint="cs"/>
          <w:color w:val="202124"/>
          <w:sz w:val="24"/>
          <w:szCs w:val="24"/>
          <w:rtl/>
          <w:lang w:bidi="ar"/>
        </w:rPr>
        <w:t>المسافة الى مراكز الايواء</w:t>
      </w:r>
      <w:r w:rsidRPr="002D3568">
        <w:rPr>
          <w:rStyle w:val="y2iqfc"/>
          <w:rFonts w:ascii="Simplified Arabic" w:hAnsi="Simplified Arabic" w:cs="Simplified Arabic"/>
          <w:color w:val="202124"/>
          <w:sz w:val="24"/>
          <w:szCs w:val="24"/>
          <w:rtl/>
          <w:lang w:bidi="ar"/>
        </w:rPr>
        <w:t xml:space="preserve"> المؤقت </w:t>
      </w:r>
      <w:r w:rsidRPr="002D3568">
        <w:rPr>
          <w:rStyle w:val="y2iqfc"/>
          <w:rFonts w:ascii="Simplified Arabic" w:hAnsi="Simplified Arabic" w:cs="Simplified Arabic" w:hint="cs"/>
          <w:color w:val="202124"/>
          <w:sz w:val="24"/>
          <w:szCs w:val="24"/>
          <w:rtl/>
          <w:lang w:bidi="ar"/>
        </w:rPr>
        <w:t>و المسافة</w:t>
      </w:r>
      <w:r w:rsidRPr="002D3568">
        <w:rPr>
          <w:rStyle w:val="y2iqfc"/>
          <w:rFonts w:ascii="Simplified Arabic" w:hAnsi="Simplified Arabic" w:cs="Simplified Arabic"/>
          <w:color w:val="202124"/>
          <w:sz w:val="24"/>
          <w:szCs w:val="24"/>
          <w:rtl/>
          <w:lang w:bidi="ar"/>
        </w:rPr>
        <w:t xml:space="preserve"> </w:t>
      </w:r>
      <w:r w:rsidRPr="002D3568">
        <w:rPr>
          <w:rStyle w:val="y2iqfc"/>
          <w:rFonts w:ascii="Simplified Arabic" w:hAnsi="Simplified Arabic" w:cs="Simplified Arabic" w:hint="cs"/>
          <w:color w:val="202124"/>
          <w:sz w:val="24"/>
          <w:szCs w:val="24"/>
          <w:rtl/>
          <w:lang w:bidi="ar"/>
        </w:rPr>
        <w:t>إلى</w:t>
      </w:r>
      <w:r w:rsidRPr="002D3568">
        <w:rPr>
          <w:rStyle w:val="y2iqfc"/>
          <w:rFonts w:ascii="Simplified Arabic" w:hAnsi="Simplified Arabic" w:cs="Simplified Arabic"/>
          <w:color w:val="202124"/>
          <w:sz w:val="24"/>
          <w:szCs w:val="24"/>
          <w:rtl/>
          <w:lang w:bidi="ar"/>
        </w:rPr>
        <w:t xml:space="preserve"> </w:t>
      </w:r>
      <w:r w:rsidRPr="002D3568">
        <w:rPr>
          <w:rStyle w:val="y2iqfc"/>
          <w:rFonts w:ascii="Simplified Arabic" w:hAnsi="Simplified Arabic" w:cs="Simplified Arabic" w:hint="cs"/>
          <w:color w:val="202124"/>
          <w:sz w:val="24"/>
          <w:szCs w:val="24"/>
          <w:rtl/>
          <w:lang w:bidi="ar"/>
        </w:rPr>
        <w:t xml:space="preserve">مراكز </w:t>
      </w:r>
      <w:r w:rsidRPr="002D3568">
        <w:rPr>
          <w:rStyle w:val="y2iqfc"/>
          <w:rFonts w:ascii="Simplified Arabic" w:hAnsi="Simplified Arabic" w:cs="Simplified Arabic"/>
          <w:color w:val="202124"/>
          <w:sz w:val="24"/>
          <w:szCs w:val="24"/>
          <w:rtl/>
          <w:lang w:bidi="ar"/>
        </w:rPr>
        <w:t xml:space="preserve">التضامن </w:t>
      </w:r>
      <w:r w:rsidRPr="002D3568">
        <w:rPr>
          <w:rStyle w:val="y2iqfc"/>
          <w:rFonts w:ascii="Simplified Arabic" w:hAnsi="Simplified Arabic" w:cs="Simplified Arabic" w:hint="cs"/>
          <w:color w:val="202124"/>
          <w:sz w:val="24"/>
          <w:szCs w:val="24"/>
          <w:rtl/>
          <w:lang w:bidi="ar"/>
        </w:rPr>
        <w:t>و</w:t>
      </w:r>
      <w:r w:rsidRPr="002D3568">
        <w:rPr>
          <w:rStyle w:val="y2iqfc"/>
          <w:rFonts w:ascii="Simplified Arabic" w:hAnsi="Simplified Arabic" w:cs="Simplified Arabic"/>
          <w:color w:val="202124"/>
          <w:sz w:val="24"/>
          <w:szCs w:val="24"/>
          <w:rtl/>
          <w:lang w:bidi="ar"/>
        </w:rPr>
        <w:t>معيار</w:t>
      </w:r>
      <w:r w:rsidRPr="002D3568">
        <w:rPr>
          <w:rStyle w:val="y2iqfc"/>
          <w:rFonts w:ascii="Simplified Arabic" w:hAnsi="Simplified Arabic" w:cs="Simplified Arabic" w:hint="cs"/>
          <w:color w:val="202124"/>
          <w:sz w:val="24"/>
          <w:szCs w:val="24"/>
          <w:rtl/>
          <w:lang w:bidi="ar"/>
        </w:rPr>
        <w:t>ي</w:t>
      </w:r>
      <w:r w:rsidRPr="002D3568">
        <w:rPr>
          <w:rStyle w:val="y2iqfc"/>
          <w:rFonts w:ascii="Simplified Arabic" w:hAnsi="Simplified Arabic" w:cs="Simplified Arabic"/>
          <w:color w:val="202124"/>
          <w:sz w:val="24"/>
          <w:szCs w:val="24"/>
          <w:rtl/>
          <w:lang w:bidi="ar"/>
        </w:rPr>
        <w:t xml:space="preserve"> كثافة البناء</w:t>
      </w:r>
      <w:r w:rsidRPr="002D3568">
        <w:rPr>
          <w:rStyle w:val="y2iqfc"/>
          <w:rFonts w:ascii="Simplified Arabic" w:hAnsi="Simplified Arabic" w:cs="Simplified Arabic" w:hint="cs"/>
          <w:color w:val="202124"/>
          <w:sz w:val="24"/>
          <w:szCs w:val="24"/>
          <w:rtl/>
          <w:lang w:bidi="ar"/>
        </w:rPr>
        <w:t xml:space="preserve"> و</w:t>
      </w:r>
      <w:r w:rsidRPr="002D3568">
        <w:rPr>
          <w:rStyle w:val="y2iqfc"/>
          <w:rFonts w:ascii="Simplified Arabic" w:hAnsi="Simplified Arabic" w:cs="Simplified Arabic"/>
          <w:color w:val="202124"/>
          <w:sz w:val="24"/>
          <w:szCs w:val="24"/>
          <w:rtl/>
          <w:lang w:bidi="ar"/>
        </w:rPr>
        <w:t xml:space="preserve">كثافة </w:t>
      </w:r>
      <w:r w:rsidRPr="002D3568">
        <w:rPr>
          <w:rStyle w:val="y2iqfc"/>
          <w:rFonts w:ascii="Simplified Arabic" w:hAnsi="Simplified Arabic" w:cs="Simplified Arabic" w:hint="cs"/>
          <w:color w:val="202124"/>
          <w:sz w:val="24"/>
          <w:szCs w:val="24"/>
          <w:rtl/>
          <w:lang w:bidi="ar"/>
        </w:rPr>
        <w:t>تقاطعات شبكة الطرق (الرئيسية والثانوية والداخلية) هي</w:t>
      </w:r>
      <w:r w:rsidRPr="002D3568">
        <w:rPr>
          <w:rStyle w:val="y2iqfc"/>
          <w:rFonts w:ascii="Simplified Arabic" w:hAnsi="Simplified Arabic" w:cs="Simplified Arabic"/>
          <w:color w:val="202124"/>
          <w:sz w:val="24"/>
          <w:szCs w:val="24"/>
          <w:rtl/>
          <w:lang w:bidi="ar"/>
        </w:rPr>
        <w:t xml:space="preserve"> </w:t>
      </w:r>
      <w:r w:rsidRPr="002D3568">
        <w:rPr>
          <w:rStyle w:val="y2iqfc"/>
          <w:rFonts w:ascii="Simplified Arabic" w:hAnsi="Simplified Arabic" w:cs="Simplified Arabic" w:hint="cs"/>
          <w:color w:val="202124"/>
          <w:sz w:val="24"/>
          <w:szCs w:val="24"/>
          <w:rtl/>
          <w:lang w:bidi="ar"/>
        </w:rPr>
        <w:t>معايير</w:t>
      </w:r>
      <w:r w:rsidRPr="002D3568">
        <w:rPr>
          <w:rStyle w:val="y2iqfc"/>
          <w:rFonts w:ascii="Simplified Arabic" w:hAnsi="Simplified Arabic" w:cs="Simplified Arabic"/>
          <w:color w:val="202124"/>
          <w:sz w:val="24"/>
          <w:szCs w:val="24"/>
          <w:rtl/>
          <w:lang w:bidi="ar"/>
        </w:rPr>
        <w:t xml:space="preserve"> </w:t>
      </w:r>
      <w:r w:rsidRPr="002D3568">
        <w:rPr>
          <w:rStyle w:val="y2iqfc"/>
          <w:rFonts w:ascii="Simplified Arabic" w:hAnsi="Simplified Arabic" w:cs="Simplified Arabic" w:hint="cs"/>
          <w:color w:val="202124"/>
          <w:sz w:val="24"/>
          <w:szCs w:val="24"/>
          <w:rtl/>
          <w:lang w:bidi="ar"/>
        </w:rPr>
        <w:t>مهمة لتقييم المرونة</w:t>
      </w:r>
      <w:r w:rsidRPr="002D3568">
        <w:rPr>
          <w:rStyle w:val="y2iqfc"/>
          <w:rFonts w:ascii="Simplified Arabic" w:hAnsi="Simplified Arabic" w:cs="Simplified Arabic"/>
          <w:color w:val="202124"/>
          <w:sz w:val="24"/>
          <w:szCs w:val="24"/>
          <w:rtl/>
          <w:lang w:bidi="ar"/>
        </w:rPr>
        <w:t>.</w:t>
      </w:r>
    </w:p>
    <w:p w:rsidR="002D3568" w:rsidRPr="00E06F27" w:rsidRDefault="002D3568" w:rsidP="001D0548">
      <w:pPr>
        <w:pStyle w:val="Paragraphedeliste"/>
        <w:numPr>
          <w:ilvl w:val="0"/>
          <w:numId w:val="61"/>
        </w:numPr>
        <w:bidi/>
        <w:spacing w:after="0"/>
        <w:jc w:val="both"/>
        <w:rPr>
          <w:rStyle w:val="y2iqfc"/>
          <w:rFonts w:ascii="Simplified Arabic" w:hAnsi="Simplified Arabic" w:cs="Simplified Arabic"/>
          <w:color w:val="202124"/>
          <w:sz w:val="24"/>
          <w:szCs w:val="24"/>
          <w:rtl/>
          <w:lang w:bidi="ar"/>
        </w:rPr>
      </w:pPr>
      <w:r w:rsidRPr="00E06F27">
        <w:rPr>
          <w:rStyle w:val="y2iqfc"/>
          <w:rFonts w:ascii="Simplified Arabic" w:hAnsi="Simplified Arabic" w:cs="Simplified Arabic"/>
          <w:color w:val="202124"/>
          <w:sz w:val="24"/>
          <w:szCs w:val="24"/>
          <w:rtl/>
          <w:lang w:bidi="ar"/>
        </w:rPr>
        <w:t>المنهجية المشتركة بين</w:t>
      </w:r>
      <w:r w:rsidRPr="00E06F27">
        <w:rPr>
          <w:rStyle w:val="y2iqfc"/>
          <w:rFonts w:ascii="Simplified Arabic" w:hAnsi="Simplified Arabic" w:cs="Simplified Arabic" w:hint="cs"/>
          <w:color w:val="202124"/>
          <w:sz w:val="24"/>
          <w:szCs w:val="24"/>
          <w:rtl/>
          <w:lang w:bidi="ar"/>
        </w:rPr>
        <w:t xml:space="preserve"> طريقة دلفي و</w:t>
      </w:r>
      <w:r w:rsidRPr="00E06F27">
        <w:rPr>
          <w:rFonts w:asciiTheme="minorBidi" w:eastAsia="Times New Roman" w:hAnsiTheme="minorBidi"/>
          <w:b/>
          <w:sz w:val="20"/>
          <w:szCs w:val="20"/>
          <w:rtl/>
          <w:lang w:eastAsia="fr-FR"/>
        </w:rPr>
        <w:t>(</w:t>
      </w:r>
      <w:r w:rsidRPr="00E06F27">
        <w:rPr>
          <w:rFonts w:asciiTheme="majorBidi" w:eastAsia="Times New Roman" w:hAnsiTheme="majorBidi" w:cstheme="majorBidi"/>
          <w:b/>
          <w:color w:val="000000"/>
          <w:sz w:val="20"/>
          <w:szCs w:val="20"/>
          <w:lang w:eastAsia="fr-FR"/>
        </w:rPr>
        <w:t>AHP</w:t>
      </w:r>
      <w:r w:rsidRPr="00E06F27">
        <w:rPr>
          <w:rFonts w:asciiTheme="minorBidi" w:eastAsia="Times New Roman" w:hAnsiTheme="minorBidi"/>
          <w:b/>
          <w:sz w:val="20"/>
          <w:szCs w:val="20"/>
          <w:rtl/>
          <w:lang w:eastAsia="fr-FR"/>
        </w:rPr>
        <w:t>)</w:t>
      </w:r>
      <w:r w:rsidRPr="00E06F27">
        <w:rPr>
          <w:rStyle w:val="y2iqfc"/>
          <w:rFonts w:ascii="Simplified Arabic" w:hAnsi="Simplified Arabic" w:cs="Simplified Arabic"/>
          <w:color w:val="202124"/>
          <w:sz w:val="24"/>
          <w:szCs w:val="24"/>
          <w:rtl/>
          <w:lang w:bidi="ar"/>
        </w:rPr>
        <w:t xml:space="preserve"> </w:t>
      </w:r>
      <w:r w:rsidRPr="00E06F27">
        <w:rPr>
          <w:rStyle w:val="y2iqfc"/>
          <w:rFonts w:ascii="Simplified Arabic" w:hAnsi="Simplified Arabic" w:cs="Simplified Arabic"/>
          <w:color w:val="202124"/>
          <w:rtl/>
          <w:lang w:bidi="ar"/>
        </w:rPr>
        <w:t>و</w:t>
      </w:r>
      <w:r w:rsidRPr="00E06F27">
        <w:rPr>
          <w:rFonts w:asciiTheme="minorBidi" w:eastAsia="Times New Roman" w:hAnsiTheme="minorBidi"/>
          <w:b/>
          <w:sz w:val="20"/>
          <w:szCs w:val="20"/>
          <w:rtl/>
          <w:lang w:eastAsia="fr-FR"/>
        </w:rPr>
        <w:t>(</w:t>
      </w:r>
      <w:r w:rsidRPr="00E06F27">
        <w:rPr>
          <w:rFonts w:asciiTheme="majorBidi" w:eastAsia="Times New Roman" w:hAnsiTheme="majorBidi" w:cstheme="majorBidi"/>
          <w:b/>
          <w:color w:val="000000"/>
          <w:sz w:val="20"/>
          <w:szCs w:val="20"/>
          <w:lang w:eastAsia="fr-FR"/>
        </w:rPr>
        <w:t>GIS</w:t>
      </w:r>
      <w:r w:rsidRPr="00E06F27">
        <w:rPr>
          <w:rFonts w:asciiTheme="minorBidi" w:eastAsia="Times New Roman" w:hAnsiTheme="minorBidi"/>
          <w:b/>
          <w:sz w:val="20"/>
          <w:szCs w:val="20"/>
          <w:rtl/>
          <w:lang w:eastAsia="fr-FR"/>
        </w:rPr>
        <w:t>)</w:t>
      </w:r>
      <w:r w:rsidRPr="00E06F27">
        <w:rPr>
          <w:rFonts w:asciiTheme="minorBidi" w:hAnsiTheme="minorBidi"/>
          <w:sz w:val="24"/>
          <w:szCs w:val="24"/>
          <w:rtl/>
          <w:lang w:bidi="ar-DZ"/>
        </w:rPr>
        <w:t xml:space="preserve"> </w:t>
      </w:r>
      <w:r w:rsidRPr="00E06F27">
        <w:rPr>
          <w:rStyle w:val="y2iqfc"/>
          <w:rFonts w:ascii="Simplified Arabic" w:hAnsi="Simplified Arabic" w:cs="Simplified Arabic"/>
          <w:color w:val="202124"/>
          <w:sz w:val="24"/>
          <w:szCs w:val="24"/>
          <w:rtl/>
          <w:lang w:bidi="ar"/>
        </w:rPr>
        <w:t xml:space="preserve">يوفر نظامًا قويًا لدعم القرار المكاني في موازنة وتنمية الأحياء الاقل مرونة. </w:t>
      </w:r>
    </w:p>
    <w:p w:rsidR="002D3568" w:rsidRPr="00E06F27" w:rsidRDefault="002D3568" w:rsidP="001D0548">
      <w:pPr>
        <w:pStyle w:val="Paragraphedeliste"/>
        <w:numPr>
          <w:ilvl w:val="0"/>
          <w:numId w:val="61"/>
        </w:numPr>
        <w:bidi/>
        <w:spacing w:after="0"/>
        <w:jc w:val="both"/>
        <w:rPr>
          <w:rStyle w:val="y2iqfc"/>
          <w:rFonts w:ascii="Simplified Arabic" w:hAnsi="Simplified Arabic" w:cs="Simplified Arabic"/>
          <w:color w:val="202124"/>
          <w:sz w:val="24"/>
          <w:szCs w:val="24"/>
          <w:rtl/>
          <w:lang w:bidi="ar"/>
        </w:rPr>
      </w:pPr>
      <w:r w:rsidRPr="00382E29">
        <w:rPr>
          <w:rFonts w:ascii="Simplified Arabic" w:hAnsi="Simplified Arabic" w:cs="Simplified Arabic"/>
          <w:color w:val="000000"/>
          <w:sz w:val="24"/>
          <w:szCs w:val="24"/>
          <w:rtl/>
        </w:rPr>
        <w:t xml:space="preserve">سمح هذا </w:t>
      </w:r>
      <w:r>
        <w:rPr>
          <w:rFonts w:ascii="Simplified Arabic" w:hAnsi="Simplified Arabic" w:cs="Simplified Arabic" w:hint="cs"/>
          <w:color w:val="000000"/>
          <w:sz w:val="24"/>
          <w:szCs w:val="24"/>
          <w:rtl/>
        </w:rPr>
        <w:t>المزج</w:t>
      </w:r>
      <w:r w:rsidRPr="00382E29">
        <w:rPr>
          <w:rFonts w:ascii="Simplified Arabic" w:hAnsi="Simplified Arabic" w:cs="Simplified Arabic"/>
          <w:color w:val="000000"/>
          <w:sz w:val="24"/>
          <w:szCs w:val="24"/>
          <w:rtl/>
        </w:rPr>
        <w:t xml:space="preserve"> </w:t>
      </w:r>
      <w:r w:rsidR="001A0A97">
        <w:rPr>
          <w:rFonts w:ascii="Simplified Arabic" w:hAnsi="Simplified Arabic" w:cs="Simplified Arabic" w:hint="cs"/>
          <w:color w:val="000000"/>
          <w:sz w:val="24"/>
          <w:szCs w:val="24"/>
          <w:rtl/>
        </w:rPr>
        <w:t>بين</w:t>
      </w:r>
      <w:r w:rsidR="001A0A97" w:rsidRPr="00382E29">
        <w:rPr>
          <w:rFonts w:ascii="Simplified Arabic" w:hAnsi="Simplified Arabic" w:cs="Simplified Arabic"/>
          <w:color w:val="000000"/>
          <w:sz w:val="24"/>
          <w:szCs w:val="24"/>
          <w:rtl/>
        </w:rPr>
        <w:t xml:space="preserve"> </w:t>
      </w:r>
      <w:r w:rsidR="001A0A97">
        <w:rPr>
          <w:rFonts w:ascii="Simplified Arabic" w:hAnsi="Simplified Arabic" w:cs="Simplified Arabic" w:hint="cs"/>
          <w:color w:val="000000"/>
          <w:sz w:val="24"/>
          <w:szCs w:val="24"/>
          <w:rtl/>
        </w:rPr>
        <w:t>تقنية</w:t>
      </w:r>
      <w:r w:rsidR="001A0A97" w:rsidRPr="00382E29">
        <w:rPr>
          <w:rFonts w:ascii="Simplified Arabic" w:hAnsi="Simplified Arabic" w:cs="Simplified Arabic"/>
          <w:color w:val="000000"/>
          <w:sz w:val="24"/>
          <w:szCs w:val="24"/>
          <w:rtl/>
        </w:rPr>
        <w:t xml:space="preserve"> </w:t>
      </w:r>
      <w:r w:rsidR="001A0A97" w:rsidRPr="00FF2DD0">
        <w:rPr>
          <w:rFonts w:asciiTheme="majorBidi" w:hAnsiTheme="majorBidi" w:cstheme="majorBidi"/>
          <w:sz w:val="24"/>
          <w:szCs w:val="24"/>
        </w:rPr>
        <w:t>(</w:t>
      </w:r>
      <w:r w:rsidR="001A0A97" w:rsidRPr="00FF2DD0">
        <w:rPr>
          <w:rFonts w:asciiTheme="majorBidi" w:hAnsiTheme="majorBidi" w:cstheme="majorBidi"/>
          <w:sz w:val="24"/>
          <w:szCs w:val="24"/>
          <w:lang w:val="en-US"/>
        </w:rPr>
        <w:t>GIS</w:t>
      </w:r>
      <w:r w:rsidR="001A0A97" w:rsidRPr="00FF2DD0">
        <w:rPr>
          <w:rFonts w:asciiTheme="majorBidi" w:hAnsiTheme="majorBidi" w:cstheme="majorBidi"/>
          <w:sz w:val="24"/>
          <w:szCs w:val="24"/>
        </w:rPr>
        <w:t>)</w:t>
      </w:r>
      <w:r w:rsidR="001A0A97">
        <w:rPr>
          <w:rFonts w:asciiTheme="majorBidi" w:hAnsiTheme="majorBidi" w:cstheme="majorBidi" w:hint="cs"/>
          <w:sz w:val="24"/>
          <w:szCs w:val="24"/>
          <w:rtl/>
        </w:rPr>
        <w:t xml:space="preserve"> و</w:t>
      </w:r>
      <w:r w:rsidR="001A0A97">
        <w:rPr>
          <w:rFonts w:ascii="Simplified Arabic" w:hAnsi="Simplified Arabic" w:cs="Simplified Arabic" w:hint="cs"/>
          <w:color w:val="000000"/>
          <w:sz w:val="24"/>
          <w:szCs w:val="24"/>
          <w:rtl/>
        </w:rPr>
        <w:t>نتائج عملية</w:t>
      </w:r>
      <w:r w:rsidR="001A0A97" w:rsidRPr="00382E29">
        <w:rPr>
          <w:rFonts w:ascii="Simplified Arabic" w:hAnsi="Simplified Arabic" w:cs="Simplified Arabic"/>
          <w:color w:val="000000"/>
          <w:sz w:val="24"/>
          <w:szCs w:val="24"/>
          <w:rtl/>
        </w:rPr>
        <w:t xml:space="preserve"> </w:t>
      </w:r>
      <w:r w:rsidR="001A0A97" w:rsidRPr="00382E29">
        <w:rPr>
          <w:rFonts w:asciiTheme="majorBidi" w:hAnsiTheme="majorBidi" w:cstheme="majorBidi"/>
          <w:sz w:val="24"/>
          <w:szCs w:val="24"/>
        </w:rPr>
        <w:t>(AHP</w:t>
      </w:r>
      <w:r w:rsidR="001A0A97" w:rsidRPr="00382E29">
        <w:rPr>
          <w:rFonts w:ascii="Simplified Arabic" w:hAnsi="Simplified Arabic" w:cs="Simplified Arabic"/>
          <w:color w:val="000000"/>
          <w:sz w:val="24"/>
          <w:szCs w:val="24"/>
          <w:rtl/>
        </w:rPr>
        <w:t xml:space="preserve"> </w:t>
      </w:r>
      <w:r w:rsidRPr="00382E29">
        <w:rPr>
          <w:rFonts w:ascii="Simplified Arabic" w:hAnsi="Simplified Arabic" w:cs="Simplified Arabic"/>
          <w:color w:val="000000"/>
          <w:sz w:val="24"/>
          <w:szCs w:val="24"/>
          <w:rtl/>
        </w:rPr>
        <w:t>بترجمة نتائج</w:t>
      </w:r>
      <w:r>
        <w:rPr>
          <w:rFonts w:ascii="Simplified Arabic" w:hAnsi="Simplified Arabic" w:cs="Simplified Arabic" w:hint="cs"/>
          <w:color w:val="000000"/>
          <w:sz w:val="24"/>
          <w:szCs w:val="24"/>
          <w:rtl/>
        </w:rPr>
        <w:t xml:space="preserve"> عملية</w:t>
      </w:r>
      <w:r w:rsidRPr="00382E29">
        <w:rPr>
          <w:rFonts w:ascii="Simplified Arabic" w:hAnsi="Simplified Arabic" w:cs="Simplified Arabic"/>
          <w:color w:val="000000"/>
          <w:sz w:val="24"/>
          <w:szCs w:val="24"/>
          <w:rtl/>
        </w:rPr>
        <w:t xml:space="preserve"> </w:t>
      </w:r>
      <w:r w:rsidRPr="00382E29">
        <w:rPr>
          <w:rFonts w:asciiTheme="majorBidi" w:hAnsiTheme="majorBidi" w:cstheme="majorBidi"/>
          <w:sz w:val="24"/>
          <w:szCs w:val="24"/>
        </w:rPr>
        <w:t>(AHP</w:t>
      </w:r>
      <w:r w:rsidRPr="00382E29">
        <w:rPr>
          <w:rFonts w:ascii="Simplified Arabic" w:hAnsi="Simplified Arabic" w:cs="Simplified Arabic"/>
        </w:rPr>
        <w:t>)</w:t>
      </w:r>
      <w:r>
        <w:rPr>
          <w:rFonts w:ascii="Simplified Arabic" w:hAnsi="Simplified Arabic" w:cs="Simplified Arabic" w:hint="cs"/>
          <w:rtl/>
        </w:rPr>
        <w:t xml:space="preserve"> </w:t>
      </w:r>
      <w:r w:rsidRPr="00382E29">
        <w:rPr>
          <w:rFonts w:ascii="Simplified Arabic" w:hAnsi="Simplified Arabic" w:cs="Simplified Arabic"/>
          <w:color w:val="000000"/>
          <w:sz w:val="24"/>
          <w:szCs w:val="24"/>
          <w:rtl/>
        </w:rPr>
        <w:t xml:space="preserve">إلى خريطة تصنيفات </w:t>
      </w:r>
      <w:r>
        <w:rPr>
          <w:rFonts w:ascii="Simplified Arabic" w:hAnsi="Simplified Arabic" w:cs="Simplified Arabic" w:hint="cs"/>
          <w:color w:val="000000"/>
          <w:sz w:val="24"/>
          <w:szCs w:val="24"/>
          <w:rtl/>
        </w:rPr>
        <w:t>ل</w:t>
      </w:r>
      <w:r w:rsidRPr="00382E29">
        <w:rPr>
          <w:rFonts w:ascii="Simplified Arabic" w:hAnsi="Simplified Arabic" w:cs="Simplified Arabic"/>
          <w:color w:val="000000"/>
          <w:sz w:val="24"/>
          <w:szCs w:val="24"/>
          <w:rtl/>
        </w:rPr>
        <w:t>لمرونة الحضرية.</w:t>
      </w:r>
    </w:p>
    <w:p w:rsidR="002D3568" w:rsidRPr="002D3568" w:rsidRDefault="002D3568" w:rsidP="001D0548">
      <w:pPr>
        <w:pStyle w:val="Paragraphedeliste"/>
        <w:numPr>
          <w:ilvl w:val="0"/>
          <w:numId w:val="61"/>
        </w:numPr>
        <w:bidi/>
        <w:spacing w:after="0"/>
        <w:jc w:val="both"/>
        <w:rPr>
          <w:rStyle w:val="y2iqfc"/>
          <w:rFonts w:ascii="Simplified Arabic" w:hAnsi="Simplified Arabic" w:cs="Simplified Arabic"/>
          <w:color w:val="202124"/>
          <w:sz w:val="24"/>
          <w:szCs w:val="24"/>
          <w:lang w:bidi="ar"/>
        </w:rPr>
      </w:pPr>
      <w:r w:rsidRPr="002D3568">
        <w:rPr>
          <w:rFonts w:ascii="Simplified Arabic" w:hAnsi="Simplified Arabic" w:cs="Simplified Arabic" w:hint="cs"/>
          <w:color w:val="000000"/>
          <w:sz w:val="24"/>
          <w:szCs w:val="24"/>
          <w:rtl/>
        </w:rPr>
        <w:t>اثبتت نتائج اطار العمل</w:t>
      </w:r>
      <w:r w:rsidRPr="002D3568">
        <w:rPr>
          <w:rFonts w:ascii="Simplified Arabic" w:hAnsi="Simplified Arabic" w:cs="Simplified Arabic"/>
          <w:color w:val="000000"/>
          <w:sz w:val="24"/>
          <w:szCs w:val="24"/>
          <w:rtl/>
        </w:rPr>
        <w:t xml:space="preserve"> </w:t>
      </w:r>
      <w:r w:rsidRPr="002D3568">
        <w:rPr>
          <w:rFonts w:ascii="Simplified Arabic" w:hAnsi="Simplified Arabic" w:cs="Simplified Arabic" w:hint="cs"/>
          <w:color w:val="000000"/>
          <w:sz w:val="24"/>
          <w:szCs w:val="24"/>
          <w:rtl/>
        </w:rPr>
        <w:t xml:space="preserve">ان </w:t>
      </w:r>
      <w:r w:rsidRPr="002D3568">
        <w:rPr>
          <w:rFonts w:ascii="Simplified Arabic" w:hAnsi="Simplified Arabic" w:cs="Simplified Arabic"/>
          <w:color w:val="000000"/>
          <w:sz w:val="24"/>
          <w:szCs w:val="24"/>
          <w:rtl/>
        </w:rPr>
        <w:t>المنهجية المشتركة بين</w:t>
      </w:r>
      <w:r w:rsidRPr="002D3568">
        <w:rPr>
          <w:rFonts w:ascii="Simplified Arabic" w:hAnsi="Simplified Arabic" w:cs="Simplified Arabic" w:hint="cs"/>
          <w:color w:val="000000"/>
          <w:sz w:val="24"/>
          <w:szCs w:val="24"/>
          <w:rtl/>
        </w:rPr>
        <w:t xml:space="preserve"> طريقة دلفي</w:t>
      </w:r>
      <w:r w:rsidRPr="002D3568">
        <w:rPr>
          <w:rFonts w:ascii="Simplified Arabic" w:hAnsi="Simplified Arabic" w:cs="Simplified Arabic"/>
          <w:color w:val="000000"/>
          <w:sz w:val="24"/>
          <w:szCs w:val="24"/>
          <w:rtl/>
        </w:rPr>
        <w:t xml:space="preserve"> </w:t>
      </w:r>
      <w:r w:rsidRPr="002D3568">
        <w:rPr>
          <w:rFonts w:ascii="Simplified Arabic" w:hAnsi="Simplified Arabic" w:cs="Simplified Arabic" w:hint="cs"/>
          <w:color w:val="000000"/>
          <w:sz w:val="24"/>
          <w:szCs w:val="24"/>
          <w:rtl/>
        </w:rPr>
        <w:t xml:space="preserve">لتحديد عوامل التقييم وبين تقنية </w:t>
      </w:r>
      <w:r w:rsidRPr="002D3568">
        <w:rPr>
          <w:rFonts w:asciiTheme="majorBidi" w:hAnsiTheme="majorBidi" w:cstheme="majorBidi"/>
          <w:sz w:val="24"/>
          <w:szCs w:val="24"/>
          <w:rtl/>
        </w:rPr>
        <w:t>(</w:t>
      </w:r>
      <w:r w:rsidRPr="002D3568">
        <w:rPr>
          <w:rFonts w:asciiTheme="majorBidi" w:hAnsiTheme="majorBidi" w:cstheme="majorBidi"/>
          <w:sz w:val="24"/>
          <w:szCs w:val="24"/>
        </w:rPr>
        <w:t>GIS</w:t>
      </w:r>
      <w:r w:rsidRPr="002D3568">
        <w:rPr>
          <w:rFonts w:asciiTheme="majorBidi" w:hAnsiTheme="majorBidi" w:cstheme="majorBidi"/>
          <w:sz w:val="24"/>
          <w:szCs w:val="24"/>
          <w:rtl/>
        </w:rPr>
        <w:t>)</w:t>
      </w:r>
      <w:r w:rsidRPr="002D3568">
        <w:rPr>
          <w:rFonts w:ascii="Simplified Arabic" w:hAnsi="Simplified Arabic" w:cs="Simplified Arabic"/>
          <w:sz w:val="24"/>
          <w:szCs w:val="24"/>
          <w:rtl/>
          <w:lang w:bidi="ar-DZ"/>
        </w:rPr>
        <w:t xml:space="preserve"> </w:t>
      </w:r>
      <w:r w:rsidRPr="002D3568">
        <w:rPr>
          <w:rFonts w:ascii="Simplified Arabic" w:hAnsi="Simplified Arabic" w:cs="Simplified Arabic" w:hint="cs"/>
          <w:color w:val="000000"/>
          <w:sz w:val="24"/>
          <w:szCs w:val="24"/>
          <w:rtl/>
        </w:rPr>
        <w:t xml:space="preserve">وعملية </w:t>
      </w:r>
      <w:r w:rsidRPr="002D3568">
        <w:rPr>
          <w:rFonts w:asciiTheme="majorBidi" w:hAnsiTheme="majorBidi" w:cstheme="majorBidi"/>
          <w:sz w:val="24"/>
          <w:szCs w:val="24"/>
          <w:rtl/>
        </w:rPr>
        <w:t>(</w:t>
      </w:r>
      <w:r w:rsidRPr="002D3568">
        <w:rPr>
          <w:rFonts w:asciiTheme="majorBidi" w:hAnsiTheme="majorBidi" w:cstheme="majorBidi"/>
          <w:sz w:val="24"/>
          <w:szCs w:val="24"/>
        </w:rPr>
        <w:t>AHP</w:t>
      </w:r>
      <w:r w:rsidRPr="002D3568">
        <w:rPr>
          <w:rFonts w:asciiTheme="majorBidi" w:hAnsiTheme="majorBidi" w:cstheme="majorBidi"/>
          <w:sz w:val="24"/>
          <w:szCs w:val="24"/>
          <w:rtl/>
        </w:rPr>
        <w:t>)</w:t>
      </w:r>
      <w:r w:rsidRPr="002D3568">
        <w:rPr>
          <w:rFonts w:ascii="Simplified Arabic" w:hAnsi="Simplified Arabic" w:cs="Simplified Arabic"/>
          <w:color w:val="000000"/>
          <w:sz w:val="24"/>
          <w:szCs w:val="24"/>
          <w:rtl/>
        </w:rPr>
        <w:t xml:space="preserve"> </w:t>
      </w:r>
      <w:r w:rsidRPr="002D3568">
        <w:rPr>
          <w:rFonts w:ascii="Simplified Arabic" w:hAnsi="Simplified Arabic" w:cs="Simplified Arabic" w:hint="cs"/>
          <w:color w:val="000000"/>
          <w:sz w:val="24"/>
          <w:szCs w:val="24"/>
          <w:rtl/>
        </w:rPr>
        <w:t xml:space="preserve">توفر </w:t>
      </w:r>
      <w:r w:rsidRPr="002D3568">
        <w:rPr>
          <w:rFonts w:ascii="Simplified Arabic" w:hAnsi="Simplified Arabic" w:cs="Simplified Arabic"/>
          <w:color w:val="000000"/>
          <w:sz w:val="24"/>
          <w:szCs w:val="24"/>
          <w:rtl/>
        </w:rPr>
        <w:t>نظامًا قويًا لدعم القرار المكاني</w:t>
      </w:r>
      <w:r>
        <w:rPr>
          <w:rFonts w:ascii="Simplified Arabic" w:hAnsi="Simplified Arabic" w:cs="Simplified Arabic" w:hint="cs"/>
          <w:color w:val="000000"/>
          <w:sz w:val="24"/>
          <w:szCs w:val="24"/>
          <w:rtl/>
        </w:rPr>
        <w:t xml:space="preserve">، من خلال </w:t>
      </w:r>
      <w:r w:rsidRPr="002D3568">
        <w:rPr>
          <w:rStyle w:val="y2iqfc"/>
          <w:rFonts w:ascii="Simplified Arabic" w:hAnsi="Simplified Arabic" w:cs="Simplified Arabic"/>
          <w:color w:val="202124"/>
          <w:sz w:val="24"/>
          <w:szCs w:val="24"/>
          <w:rtl/>
          <w:lang w:bidi="ar"/>
        </w:rPr>
        <w:t>استخدام خريطة</w:t>
      </w:r>
      <w:r w:rsidRPr="002D3568">
        <w:rPr>
          <w:rStyle w:val="y2iqfc"/>
          <w:rFonts w:ascii="Simplified Arabic" w:hAnsi="Simplified Arabic" w:cs="Simplified Arabic" w:hint="cs"/>
          <w:color w:val="202124"/>
          <w:sz w:val="24"/>
          <w:szCs w:val="24"/>
          <w:rtl/>
          <w:lang w:bidi="ar"/>
        </w:rPr>
        <w:t xml:space="preserve"> تصنيف المرونة الحضرية من طرف المُخططين</w:t>
      </w:r>
      <w:r w:rsidRPr="002D3568">
        <w:rPr>
          <w:rStyle w:val="y2iqfc"/>
          <w:rFonts w:ascii="Simplified Arabic" w:hAnsi="Simplified Arabic" w:cs="Simplified Arabic"/>
          <w:color w:val="202124"/>
          <w:sz w:val="24"/>
          <w:szCs w:val="24"/>
          <w:rtl/>
          <w:lang w:bidi="ar"/>
        </w:rPr>
        <w:t xml:space="preserve"> </w:t>
      </w:r>
      <w:r w:rsidRPr="002D3568">
        <w:rPr>
          <w:rStyle w:val="y2iqfc"/>
          <w:rFonts w:ascii="Simplified Arabic" w:hAnsi="Simplified Arabic" w:cs="Simplified Arabic" w:hint="cs"/>
          <w:color w:val="202124"/>
          <w:sz w:val="24"/>
          <w:szCs w:val="24"/>
          <w:rtl/>
          <w:lang w:bidi="ar"/>
        </w:rPr>
        <w:t>والمُسيّرين</w:t>
      </w:r>
      <w:r w:rsidRPr="002D3568">
        <w:rPr>
          <w:rStyle w:val="y2iqfc"/>
          <w:rFonts w:ascii="Simplified Arabic" w:hAnsi="Simplified Arabic" w:cs="Simplified Arabic"/>
          <w:color w:val="202124"/>
          <w:sz w:val="24"/>
          <w:szCs w:val="24"/>
          <w:rtl/>
          <w:lang w:bidi="ar"/>
        </w:rPr>
        <w:t xml:space="preserve"> لتحديد الاحياء التي تتطلب </w:t>
      </w:r>
      <w:r w:rsidRPr="002D3568">
        <w:rPr>
          <w:rStyle w:val="y2iqfc"/>
          <w:rFonts w:ascii="Simplified Arabic" w:hAnsi="Simplified Arabic" w:cs="Simplified Arabic" w:hint="cs"/>
          <w:color w:val="202124"/>
          <w:sz w:val="24"/>
          <w:szCs w:val="24"/>
          <w:rtl/>
          <w:lang w:bidi="ar"/>
        </w:rPr>
        <w:t xml:space="preserve">تدخلات </w:t>
      </w:r>
      <w:r w:rsidRPr="002D3568">
        <w:rPr>
          <w:rStyle w:val="y2iqfc"/>
          <w:rFonts w:ascii="Simplified Arabic" w:hAnsi="Simplified Arabic" w:cs="Simplified Arabic"/>
          <w:color w:val="202124"/>
          <w:sz w:val="24"/>
          <w:szCs w:val="24"/>
          <w:rtl/>
          <w:lang w:bidi="ar"/>
        </w:rPr>
        <w:t>حضري</w:t>
      </w:r>
      <w:r w:rsidRPr="002D3568">
        <w:rPr>
          <w:rStyle w:val="y2iqfc"/>
          <w:rFonts w:ascii="Simplified Arabic" w:hAnsi="Simplified Arabic" w:cs="Simplified Arabic" w:hint="cs"/>
          <w:color w:val="202124"/>
          <w:sz w:val="24"/>
          <w:szCs w:val="24"/>
          <w:rtl/>
          <w:lang w:bidi="ar"/>
        </w:rPr>
        <w:t>ة</w:t>
      </w:r>
      <w:r w:rsidRPr="002D3568">
        <w:rPr>
          <w:rStyle w:val="y2iqfc"/>
          <w:rFonts w:ascii="Simplified Arabic" w:hAnsi="Simplified Arabic" w:cs="Simplified Arabic"/>
          <w:color w:val="202124"/>
          <w:sz w:val="24"/>
          <w:szCs w:val="24"/>
          <w:rtl/>
          <w:lang w:bidi="ar"/>
        </w:rPr>
        <w:t xml:space="preserve"> من خلال اجراء فحوصات للمعايير الأقل مرونة.</w:t>
      </w:r>
      <w:r w:rsidRPr="002D3568">
        <w:rPr>
          <w:rStyle w:val="y2iqfc"/>
          <w:rFonts w:ascii="Simplified Arabic" w:hAnsi="Simplified Arabic" w:cs="Simplified Arabic" w:hint="cs"/>
          <w:color w:val="202124"/>
          <w:sz w:val="24"/>
          <w:szCs w:val="24"/>
          <w:rtl/>
          <w:lang w:bidi="ar"/>
        </w:rPr>
        <w:t xml:space="preserve"> </w:t>
      </w:r>
    </w:p>
    <w:p w:rsidR="002D3568" w:rsidRPr="00E06F27" w:rsidRDefault="002D3568" w:rsidP="00C23656">
      <w:pPr>
        <w:pStyle w:val="Paragraphedeliste"/>
        <w:numPr>
          <w:ilvl w:val="0"/>
          <w:numId w:val="61"/>
        </w:numPr>
        <w:bidi/>
        <w:spacing w:after="0"/>
        <w:jc w:val="both"/>
        <w:rPr>
          <w:rStyle w:val="y2iqfc"/>
          <w:rFonts w:ascii="Simplified Arabic" w:hAnsi="Simplified Arabic" w:cs="Simplified Arabic"/>
          <w:color w:val="202124"/>
          <w:sz w:val="24"/>
          <w:szCs w:val="24"/>
          <w:rtl/>
          <w:lang w:bidi="ar"/>
        </w:rPr>
      </w:pPr>
      <w:r w:rsidRPr="00E06F27">
        <w:rPr>
          <w:rStyle w:val="y2iqfc"/>
          <w:rFonts w:ascii="Simplified Arabic" w:hAnsi="Simplified Arabic" w:cs="Simplified Arabic" w:hint="cs"/>
          <w:color w:val="202124"/>
          <w:sz w:val="24"/>
          <w:szCs w:val="24"/>
          <w:rtl/>
          <w:lang w:bidi="ar"/>
        </w:rPr>
        <w:t>ينبغي</w:t>
      </w:r>
      <w:r w:rsidRPr="00E06F27">
        <w:rPr>
          <w:rStyle w:val="y2iqfc"/>
          <w:rFonts w:ascii="Simplified Arabic" w:hAnsi="Simplified Arabic" w:cs="Simplified Arabic"/>
          <w:color w:val="202124"/>
          <w:sz w:val="24"/>
          <w:szCs w:val="24"/>
          <w:rtl/>
          <w:lang w:bidi="ar"/>
        </w:rPr>
        <w:t xml:space="preserve"> </w:t>
      </w:r>
      <w:r w:rsidRPr="00E06F27">
        <w:rPr>
          <w:rStyle w:val="y2iqfc"/>
          <w:rFonts w:ascii="Simplified Arabic" w:hAnsi="Simplified Arabic" w:cs="Simplified Arabic" w:hint="cs"/>
          <w:color w:val="202124"/>
          <w:sz w:val="24"/>
          <w:szCs w:val="24"/>
          <w:rtl/>
          <w:lang w:bidi="ar"/>
        </w:rPr>
        <w:t>إجراء</w:t>
      </w:r>
      <w:r w:rsidRPr="00E06F27">
        <w:rPr>
          <w:rStyle w:val="y2iqfc"/>
          <w:rFonts w:ascii="Simplified Arabic" w:hAnsi="Simplified Arabic" w:cs="Simplified Arabic"/>
          <w:color w:val="202124"/>
          <w:sz w:val="24"/>
          <w:szCs w:val="24"/>
          <w:rtl/>
          <w:lang w:bidi="ar"/>
        </w:rPr>
        <w:t xml:space="preserve"> </w:t>
      </w:r>
      <w:r w:rsidRPr="00E06F27">
        <w:rPr>
          <w:rStyle w:val="y2iqfc"/>
          <w:rFonts w:ascii="Simplified Arabic" w:hAnsi="Simplified Arabic" w:cs="Simplified Arabic" w:hint="cs"/>
          <w:color w:val="202124"/>
          <w:sz w:val="24"/>
          <w:szCs w:val="24"/>
          <w:rtl/>
          <w:lang w:bidi="ar"/>
        </w:rPr>
        <w:t>المزيد</w:t>
      </w:r>
      <w:r w:rsidRPr="00E06F27">
        <w:rPr>
          <w:rStyle w:val="y2iqfc"/>
          <w:rFonts w:ascii="Simplified Arabic" w:hAnsi="Simplified Arabic" w:cs="Simplified Arabic"/>
          <w:color w:val="202124"/>
          <w:sz w:val="24"/>
          <w:szCs w:val="24"/>
          <w:rtl/>
          <w:lang w:bidi="ar"/>
        </w:rPr>
        <w:t xml:space="preserve"> </w:t>
      </w:r>
      <w:r w:rsidRPr="00E06F27">
        <w:rPr>
          <w:rStyle w:val="y2iqfc"/>
          <w:rFonts w:ascii="Simplified Arabic" w:hAnsi="Simplified Arabic" w:cs="Simplified Arabic" w:hint="cs"/>
          <w:color w:val="202124"/>
          <w:sz w:val="24"/>
          <w:szCs w:val="24"/>
          <w:rtl/>
          <w:lang w:bidi="ar"/>
        </w:rPr>
        <w:t>من</w:t>
      </w:r>
      <w:r w:rsidRPr="00E06F27">
        <w:rPr>
          <w:rStyle w:val="y2iqfc"/>
          <w:rFonts w:ascii="Simplified Arabic" w:hAnsi="Simplified Arabic" w:cs="Simplified Arabic"/>
          <w:color w:val="202124"/>
          <w:sz w:val="24"/>
          <w:szCs w:val="24"/>
          <w:rtl/>
          <w:lang w:bidi="ar"/>
        </w:rPr>
        <w:t xml:space="preserve"> </w:t>
      </w:r>
      <w:r w:rsidRPr="00E06F27">
        <w:rPr>
          <w:rStyle w:val="y2iqfc"/>
          <w:rFonts w:ascii="Simplified Arabic" w:hAnsi="Simplified Arabic" w:cs="Simplified Arabic" w:hint="cs"/>
          <w:color w:val="202124"/>
          <w:sz w:val="24"/>
          <w:szCs w:val="24"/>
          <w:rtl/>
          <w:lang w:bidi="ar"/>
        </w:rPr>
        <w:t>البحث</w:t>
      </w:r>
      <w:r w:rsidRPr="00E06F27">
        <w:rPr>
          <w:rStyle w:val="y2iqfc"/>
          <w:rFonts w:ascii="Simplified Arabic" w:hAnsi="Simplified Arabic" w:cs="Simplified Arabic"/>
          <w:color w:val="202124"/>
          <w:sz w:val="24"/>
          <w:szCs w:val="24"/>
          <w:rtl/>
          <w:lang w:bidi="ar"/>
        </w:rPr>
        <w:t xml:space="preserve"> </w:t>
      </w:r>
      <w:r w:rsidRPr="00E06F27">
        <w:rPr>
          <w:rStyle w:val="y2iqfc"/>
          <w:rFonts w:ascii="Simplified Arabic" w:hAnsi="Simplified Arabic" w:cs="Simplified Arabic" w:hint="cs"/>
          <w:color w:val="202124"/>
          <w:sz w:val="24"/>
          <w:szCs w:val="24"/>
          <w:rtl/>
          <w:lang w:bidi="ar"/>
        </w:rPr>
        <w:t xml:space="preserve">للكشف عن سمات المرونة المكانية </w:t>
      </w:r>
      <w:r w:rsidR="00DA7B69">
        <w:rPr>
          <w:rStyle w:val="y2iqfc"/>
          <w:rFonts w:ascii="Simplified Arabic" w:hAnsi="Simplified Arabic" w:cs="Simplified Arabic" w:hint="cs"/>
          <w:color w:val="202124"/>
          <w:sz w:val="24"/>
          <w:szCs w:val="24"/>
          <w:rtl/>
          <w:lang w:bidi="ar"/>
        </w:rPr>
        <w:t xml:space="preserve">للأحياء السكنية حسب فئة النسيج ومستوى المرونة </w:t>
      </w:r>
      <w:r w:rsidRPr="00E06F27">
        <w:rPr>
          <w:rStyle w:val="y2iqfc"/>
          <w:rFonts w:ascii="Simplified Arabic" w:hAnsi="Simplified Arabic" w:cs="Simplified Arabic" w:hint="cs"/>
          <w:color w:val="202124"/>
          <w:sz w:val="24"/>
          <w:szCs w:val="24"/>
          <w:rtl/>
          <w:lang w:bidi="ar"/>
        </w:rPr>
        <w:t>باستخدام</w:t>
      </w:r>
      <w:r w:rsidRPr="00E06F27">
        <w:rPr>
          <w:rStyle w:val="y2iqfc"/>
          <w:rFonts w:ascii="Simplified Arabic" w:hAnsi="Simplified Arabic" w:cs="Simplified Arabic"/>
          <w:color w:val="202124"/>
          <w:sz w:val="24"/>
          <w:szCs w:val="24"/>
          <w:rtl/>
          <w:lang w:bidi="ar"/>
        </w:rPr>
        <w:t xml:space="preserve"> </w:t>
      </w:r>
      <w:r w:rsidRPr="00E06F27">
        <w:rPr>
          <w:rStyle w:val="y2iqfc"/>
          <w:rFonts w:ascii="Simplified Arabic" w:hAnsi="Simplified Arabic" w:cs="Simplified Arabic" w:hint="cs"/>
          <w:color w:val="202124"/>
          <w:sz w:val="24"/>
          <w:szCs w:val="24"/>
          <w:rtl/>
          <w:lang w:bidi="ar"/>
        </w:rPr>
        <w:t xml:space="preserve">السمات التالية: (الكثافة، التنوع، التكرار </w:t>
      </w:r>
      <w:r w:rsidR="00C23656" w:rsidRPr="008E532E">
        <w:rPr>
          <w:rFonts w:ascii="Simplified Arabic" w:hAnsi="Simplified Arabic" w:cs="Simplified Arabic" w:hint="cs"/>
          <w:sz w:val="24"/>
          <w:szCs w:val="24"/>
          <w:rtl/>
          <w:lang w:bidi="ar-DZ"/>
        </w:rPr>
        <w:t>و</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Pr="00E06F27">
        <w:rPr>
          <w:rStyle w:val="y2iqfc"/>
          <w:rFonts w:ascii="Simplified Arabic" w:hAnsi="Simplified Arabic" w:cs="Simplified Arabic" w:hint="cs"/>
          <w:color w:val="202124"/>
          <w:sz w:val="24"/>
          <w:szCs w:val="24"/>
          <w:rtl/>
          <w:lang w:bidi="ar"/>
        </w:rPr>
        <w:t>)</w:t>
      </w:r>
      <w:r w:rsidRPr="00E06F27">
        <w:rPr>
          <w:rStyle w:val="y2iqfc"/>
          <w:rFonts w:ascii="Simplified Arabic" w:hAnsi="Simplified Arabic" w:cs="Simplified Arabic"/>
          <w:color w:val="202124"/>
          <w:sz w:val="24"/>
          <w:szCs w:val="24"/>
          <w:rtl/>
          <w:lang w:bidi="ar"/>
        </w:rPr>
        <w:t>.</w:t>
      </w:r>
      <w:r w:rsidRPr="00E06F27">
        <w:rPr>
          <w:rStyle w:val="y2iqfc"/>
          <w:rFonts w:ascii="Simplified Arabic" w:hAnsi="Simplified Arabic" w:cs="Simplified Arabic" w:hint="cs"/>
          <w:color w:val="202124"/>
          <w:sz w:val="24"/>
          <w:szCs w:val="24"/>
          <w:rtl/>
          <w:lang w:bidi="ar"/>
        </w:rPr>
        <w:t xml:space="preserve"> </w:t>
      </w:r>
      <w:r>
        <w:rPr>
          <w:rStyle w:val="y2iqfc"/>
          <w:rFonts w:ascii="Simplified Arabic" w:hAnsi="Simplified Arabic" w:cs="Simplified Arabic" w:hint="cs"/>
          <w:color w:val="202124"/>
          <w:sz w:val="24"/>
          <w:szCs w:val="24"/>
          <w:rtl/>
          <w:lang w:bidi="ar"/>
        </w:rPr>
        <w:t>ي</w:t>
      </w:r>
      <w:r w:rsidRPr="00E06F27">
        <w:rPr>
          <w:rStyle w:val="y2iqfc"/>
          <w:rFonts w:ascii="Simplified Arabic" w:hAnsi="Simplified Arabic" w:cs="Simplified Arabic" w:hint="cs"/>
          <w:color w:val="202124"/>
          <w:sz w:val="24"/>
          <w:szCs w:val="24"/>
          <w:rtl/>
          <w:lang w:bidi="ar"/>
        </w:rPr>
        <w:t>تم الكشف عنها من خلال مناقشتها في (الفصل 6).</w:t>
      </w:r>
    </w:p>
    <w:p w:rsidR="00394289" w:rsidRDefault="00394289" w:rsidP="00394289">
      <w:pPr>
        <w:bidi/>
        <w:rPr>
          <w:rtl/>
          <w:lang w:bidi="ar"/>
        </w:rPr>
      </w:pPr>
    </w:p>
    <w:p w:rsidR="00394289" w:rsidRDefault="00394289" w:rsidP="00394289">
      <w:pPr>
        <w:bidi/>
        <w:rPr>
          <w:rtl/>
          <w:lang w:bidi="ar"/>
        </w:rPr>
      </w:pPr>
    </w:p>
    <w:p w:rsidR="00394289" w:rsidRDefault="00394289" w:rsidP="00394289">
      <w:pPr>
        <w:bidi/>
        <w:rPr>
          <w:rtl/>
          <w:lang w:bidi="ar"/>
        </w:rPr>
      </w:pPr>
    </w:p>
    <w:p w:rsidR="00394289" w:rsidRDefault="00394289" w:rsidP="00394289">
      <w:pPr>
        <w:bidi/>
        <w:rPr>
          <w:rtl/>
          <w:lang w:bidi="ar"/>
        </w:rPr>
      </w:pPr>
    </w:p>
    <w:p w:rsidR="00394289" w:rsidRDefault="00394289" w:rsidP="00394289">
      <w:pPr>
        <w:bidi/>
        <w:rPr>
          <w:rtl/>
          <w:lang w:bidi="ar"/>
        </w:rPr>
      </w:pPr>
    </w:p>
    <w:p w:rsidR="00394289" w:rsidRDefault="00394289" w:rsidP="00394289">
      <w:pPr>
        <w:bidi/>
        <w:rPr>
          <w:rtl/>
          <w:lang w:bidi="ar"/>
        </w:rPr>
      </w:pPr>
    </w:p>
    <w:p w:rsidR="00394289" w:rsidRDefault="00394289" w:rsidP="00394289">
      <w:pPr>
        <w:bidi/>
        <w:rPr>
          <w:rtl/>
          <w:lang w:bidi="ar"/>
        </w:rPr>
      </w:pPr>
    </w:p>
    <w:p w:rsidR="00C121B0" w:rsidRDefault="00C121B0" w:rsidP="00C87697">
      <w:pPr>
        <w:bidi/>
      </w:pPr>
    </w:p>
    <w:p w:rsidR="00F07169" w:rsidRPr="00C121B0" w:rsidRDefault="00F07169" w:rsidP="00C87697">
      <w:pPr>
        <w:bidi/>
        <w:spacing w:after="0"/>
        <w:jc w:val="both"/>
        <w:rPr>
          <w:rStyle w:val="y2iqfc"/>
          <w:rFonts w:ascii="Simplified Arabic" w:hAnsi="Simplified Arabic" w:cs="Simplified Arabic"/>
          <w:color w:val="202124"/>
          <w:sz w:val="24"/>
          <w:szCs w:val="24"/>
          <w:lang w:bidi="ar"/>
        </w:rPr>
      </w:pPr>
    </w:p>
    <w:p w:rsidR="00F07169" w:rsidRDefault="00F07169" w:rsidP="00C87697">
      <w:pPr>
        <w:bidi/>
        <w:spacing w:after="0"/>
        <w:jc w:val="both"/>
        <w:rPr>
          <w:rStyle w:val="y2iqfc"/>
          <w:rFonts w:ascii="Simplified Arabic" w:hAnsi="Simplified Arabic" w:cs="Simplified Arabic"/>
          <w:color w:val="202124"/>
          <w:sz w:val="24"/>
          <w:szCs w:val="24"/>
          <w:lang w:bidi="ar"/>
        </w:rPr>
      </w:pPr>
    </w:p>
    <w:p w:rsidR="000832BF" w:rsidRDefault="000832BF" w:rsidP="00C87697">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sectPr w:rsidR="00977D69" w:rsidSect="004E4512">
          <w:headerReference w:type="default" r:id="rId270"/>
          <w:footerReference w:type="default" r:id="rId271"/>
          <w:headerReference w:type="first" r:id="rId272"/>
          <w:pgSz w:w="11906" w:h="16838"/>
          <w:pgMar w:top="1418" w:right="1700" w:bottom="1418" w:left="1134" w:header="709" w:footer="709" w:gutter="0"/>
          <w:pgNumType w:start="141"/>
          <w:cols w:space="708"/>
          <w:docGrid w:linePitch="360"/>
        </w:sectPr>
      </w:pPr>
    </w:p>
    <w:p w:rsidR="00F07169" w:rsidRDefault="00F07169" w:rsidP="00C87697">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rtl/>
          <w:lang w:bidi="ar"/>
        </w:rPr>
      </w:pPr>
    </w:p>
    <w:p w:rsidR="00E95C84" w:rsidRPr="007245F7" w:rsidRDefault="00E95C84" w:rsidP="00E95C84">
      <w:pPr>
        <w:pStyle w:val="Photo"/>
        <w:rPr>
          <w:rStyle w:val="y2iqfc"/>
          <w:color w:val="202124"/>
          <w:sz w:val="36"/>
          <w:szCs w:val="36"/>
          <w:rtl/>
          <w:lang w:bidi="ar-DZ"/>
        </w:rPr>
      </w:pPr>
      <w:bookmarkStart w:id="771" w:name="_Toc157608351"/>
      <w:bookmarkStart w:id="772" w:name="_Toc157613009"/>
      <w:bookmarkStart w:id="773" w:name="_Toc157616608"/>
      <w:bookmarkStart w:id="774" w:name="_Toc157618653"/>
      <w:bookmarkStart w:id="775" w:name="_Toc171803763"/>
      <w:r w:rsidRPr="007245F7">
        <w:rPr>
          <w:sz w:val="36"/>
          <w:szCs w:val="36"/>
          <w:rtl/>
          <w:lang w:val="en-US" w:bidi="ar-DZ"/>
        </w:rPr>
        <w:t xml:space="preserve">الفصل </w:t>
      </w:r>
      <w:r w:rsidRPr="007245F7">
        <w:rPr>
          <w:rFonts w:hint="cs"/>
          <w:sz w:val="36"/>
          <w:szCs w:val="36"/>
          <w:rtl/>
          <w:lang w:val="en-US" w:bidi="ar-DZ"/>
        </w:rPr>
        <w:t>6</w:t>
      </w:r>
      <w:r w:rsidRPr="007245F7">
        <w:rPr>
          <w:sz w:val="36"/>
          <w:szCs w:val="36"/>
          <w:rtl/>
          <w:lang w:val="en-US" w:bidi="ar-DZ"/>
        </w:rPr>
        <w:t xml:space="preserve">: </w:t>
      </w:r>
      <w:r w:rsidRPr="007245F7">
        <w:rPr>
          <w:rFonts w:hint="cs"/>
          <w:sz w:val="36"/>
          <w:szCs w:val="36"/>
          <w:rtl/>
          <w:lang w:val="en-US" w:bidi="ar-DZ"/>
        </w:rPr>
        <w:t>تقييم توافر سمات المرونة المكانية عبر فئات الانسجة الحضرية لمدينة بوسعادة</w:t>
      </w:r>
      <w:bookmarkEnd w:id="771"/>
      <w:bookmarkEnd w:id="772"/>
      <w:bookmarkEnd w:id="773"/>
      <w:bookmarkEnd w:id="774"/>
      <w:bookmarkEnd w:id="775"/>
    </w:p>
    <w:p w:rsidR="00977D69" w:rsidRDefault="00977D69" w:rsidP="00977D69">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lang w:bidi="ar"/>
        </w:rPr>
      </w:pPr>
    </w:p>
    <w:p w:rsidR="00E95C84" w:rsidRDefault="00E95C84" w:rsidP="00E95C84">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977D69" w:rsidRDefault="00977D69" w:rsidP="00977D69">
      <w:pPr>
        <w:bidi/>
        <w:spacing w:after="0"/>
        <w:jc w:val="both"/>
        <w:rPr>
          <w:rStyle w:val="y2iqfc"/>
          <w:rFonts w:ascii="Simplified Arabic" w:hAnsi="Simplified Arabic" w:cs="Simplified Arabic"/>
          <w:color w:val="202124"/>
          <w:sz w:val="24"/>
          <w:szCs w:val="24"/>
          <w:rtl/>
          <w:lang w:bidi="ar"/>
        </w:rPr>
      </w:pPr>
    </w:p>
    <w:p w:rsidR="00870798" w:rsidRDefault="00870798" w:rsidP="00181028">
      <w:pPr>
        <w:bidi/>
        <w:jc w:val="center"/>
        <w:rPr>
          <w:rFonts w:ascii="Simplified Arabic" w:hAnsi="Simplified Arabic" w:cs="Simplified Arabic"/>
          <w:b/>
          <w:bCs/>
          <w:sz w:val="36"/>
          <w:szCs w:val="36"/>
          <w:rtl/>
          <w:lang w:val="en-US" w:bidi="ar-DZ"/>
        </w:rPr>
        <w:sectPr w:rsidR="00870798" w:rsidSect="00E337F9">
          <w:headerReference w:type="first" r:id="rId273"/>
          <w:footerReference w:type="first" r:id="rId274"/>
          <w:type w:val="continuous"/>
          <w:pgSz w:w="11906" w:h="16838"/>
          <w:pgMar w:top="1418" w:right="1700" w:bottom="1418" w:left="1134" w:header="709" w:footer="709" w:gutter="0"/>
          <w:pgNumType w:start="56"/>
          <w:cols w:space="708"/>
          <w:titlePg/>
          <w:docGrid w:linePitch="360"/>
        </w:sectPr>
      </w:pPr>
    </w:p>
    <w:p w:rsidR="002A686B" w:rsidRPr="00241C8B" w:rsidRDefault="002A686B" w:rsidP="00A4755C">
      <w:pPr>
        <w:bidi/>
        <w:spacing w:after="0"/>
        <w:ind w:firstLine="284"/>
        <w:outlineLvl w:val="0"/>
        <w:rPr>
          <w:rFonts w:ascii="Simplified Arabic" w:hAnsi="Simplified Arabic" w:cs="Simplified Arabic"/>
          <w:b/>
          <w:bCs/>
          <w:sz w:val="24"/>
          <w:szCs w:val="24"/>
          <w:rtl/>
          <w:lang w:bidi="ar-DZ"/>
        </w:rPr>
      </w:pPr>
      <w:bookmarkStart w:id="776" w:name="_Toc171803764"/>
      <w:r>
        <w:rPr>
          <w:rFonts w:ascii="Simplified Arabic" w:hAnsi="Simplified Arabic" w:cs="Simplified Arabic" w:hint="cs"/>
          <w:b/>
          <w:bCs/>
          <w:sz w:val="24"/>
          <w:szCs w:val="24"/>
          <w:rtl/>
          <w:lang w:bidi="ar-DZ"/>
        </w:rPr>
        <w:lastRenderedPageBreak/>
        <w:t>تمهيد</w:t>
      </w:r>
      <w:bookmarkEnd w:id="776"/>
    </w:p>
    <w:p w:rsidR="002A686B" w:rsidRDefault="002A686B" w:rsidP="00FF68B3">
      <w:pPr>
        <w:tabs>
          <w:tab w:val="right" w:pos="281"/>
          <w:tab w:val="left" w:pos="4305"/>
        </w:tabs>
        <w:bidi/>
        <w:spacing w:after="0"/>
        <w:ind w:firstLine="282"/>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خلال الفصل5، </w:t>
      </w:r>
      <w:r w:rsidRPr="007C4763">
        <w:rPr>
          <w:rFonts w:ascii="Simplified Arabic" w:hAnsi="Simplified Arabic" w:cs="Simplified Arabic" w:hint="cs"/>
          <w:sz w:val="24"/>
          <w:szCs w:val="24"/>
          <w:rtl/>
          <w:lang w:bidi="ar-DZ"/>
        </w:rPr>
        <w:t>تم</w:t>
      </w:r>
      <w:r w:rsidRPr="007C4763">
        <w:rPr>
          <w:rFonts w:ascii="Simplified Arabic" w:hAnsi="Simplified Arabic" w:cs="Simplified Arabic"/>
          <w:sz w:val="24"/>
          <w:szCs w:val="24"/>
          <w:rtl/>
          <w:lang w:bidi="ar-DZ"/>
        </w:rPr>
        <w:t xml:space="preserve"> </w:t>
      </w:r>
      <w:r w:rsidRPr="007C4763">
        <w:rPr>
          <w:rFonts w:ascii="Simplified Arabic" w:hAnsi="Simplified Arabic" w:cs="Simplified Arabic" w:hint="cs"/>
          <w:sz w:val="24"/>
          <w:szCs w:val="24"/>
          <w:rtl/>
          <w:lang w:bidi="ar-DZ"/>
        </w:rPr>
        <w:t>إجراء</w:t>
      </w:r>
      <w:r w:rsidRPr="007C476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تقييم</w:t>
      </w:r>
      <w:r w:rsidRPr="007C4763">
        <w:rPr>
          <w:rFonts w:ascii="Simplified Arabic" w:hAnsi="Simplified Arabic" w:cs="Simplified Arabic"/>
          <w:sz w:val="24"/>
          <w:szCs w:val="24"/>
          <w:rtl/>
          <w:lang w:bidi="ar-DZ"/>
        </w:rPr>
        <w:t xml:space="preserve"> </w:t>
      </w:r>
      <w:r w:rsidRPr="007C4763">
        <w:rPr>
          <w:rFonts w:ascii="Simplified Arabic" w:hAnsi="Simplified Arabic" w:cs="Simplified Arabic" w:hint="cs"/>
          <w:sz w:val="24"/>
          <w:szCs w:val="24"/>
          <w:rtl/>
          <w:lang w:bidi="ar-DZ"/>
        </w:rPr>
        <w:t>المرونة</w:t>
      </w:r>
      <w:r w:rsidRPr="007C476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الحضرية لمدينة بوسعادة </w:t>
      </w:r>
      <w:r w:rsidRPr="007C4763">
        <w:rPr>
          <w:rFonts w:ascii="Simplified Arabic" w:hAnsi="Simplified Arabic" w:cs="Simplified Arabic" w:hint="cs"/>
          <w:sz w:val="24"/>
          <w:szCs w:val="24"/>
          <w:rtl/>
          <w:lang w:bidi="ar-DZ"/>
        </w:rPr>
        <w:t>كقيمة</w:t>
      </w:r>
      <w:r w:rsidRPr="007C4763">
        <w:rPr>
          <w:rFonts w:ascii="Simplified Arabic" w:hAnsi="Simplified Arabic" w:cs="Simplified Arabic"/>
          <w:sz w:val="24"/>
          <w:szCs w:val="24"/>
          <w:rtl/>
          <w:lang w:bidi="ar-DZ"/>
        </w:rPr>
        <w:t xml:space="preserve"> </w:t>
      </w:r>
      <w:r w:rsidRPr="007C4763">
        <w:rPr>
          <w:rFonts w:ascii="Simplified Arabic" w:hAnsi="Simplified Arabic" w:cs="Simplified Arabic" w:hint="cs"/>
          <w:sz w:val="24"/>
          <w:szCs w:val="24"/>
          <w:rtl/>
          <w:lang w:bidi="ar-DZ"/>
        </w:rPr>
        <w:t>إجمالية</w:t>
      </w:r>
      <w:r w:rsidRPr="007C476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وفق المعايير والاوزان التي رأى الخبراء انها تؤثر على مرونة المدينة.</w:t>
      </w:r>
    </w:p>
    <w:p w:rsidR="002A686B" w:rsidRDefault="002A686B" w:rsidP="00C23656">
      <w:pPr>
        <w:tabs>
          <w:tab w:val="right" w:pos="281"/>
          <w:tab w:val="left" w:pos="4305"/>
        </w:tabs>
        <w:bidi/>
        <w:spacing w:after="0"/>
        <w:ind w:firstLine="282"/>
        <w:jc w:val="both"/>
        <w:rPr>
          <w:rFonts w:ascii="Simplified Arabic" w:hAnsi="Simplified Arabic" w:cs="Simplified Arabic"/>
          <w:sz w:val="24"/>
          <w:szCs w:val="24"/>
          <w:rtl/>
        </w:rPr>
      </w:pPr>
      <w:r>
        <w:rPr>
          <w:rFonts w:ascii="Simplified Arabic" w:hAnsi="Simplified Arabic" w:cs="Simplified Arabic" w:hint="cs"/>
          <w:sz w:val="24"/>
          <w:szCs w:val="24"/>
          <w:rtl/>
          <w:lang w:bidi="ar-DZ"/>
        </w:rPr>
        <w:t>خلال هذا الفصل6،</w:t>
      </w:r>
      <w:r w:rsidRPr="0000505B">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يتم </w:t>
      </w:r>
      <w:r w:rsidRPr="0000505B">
        <w:rPr>
          <w:rFonts w:ascii="Simplified Arabic" w:hAnsi="Simplified Arabic" w:cs="Simplified Arabic" w:hint="cs"/>
          <w:sz w:val="24"/>
          <w:szCs w:val="24"/>
          <w:rtl/>
          <w:lang w:bidi="ar-DZ"/>
        </w:rPr>
        <w:t>فهم</w:t>
      </w:r>
      <w:r w:rsidRPr="0000505B">
        <w:rPr>
          <w:rFonts w:ascii="Simplified Arabic" w:hAnsi="Simplified Arabic" w:cs="Simplified Arabic"/>
          <w:sz w:val="24"/>
          <w:szCs w:val="24"/>
          <w:rtl/>
          <w:lang w:bidi="ar-DZ"/>
        </w:rPr>
        <w:t xml:space="preserve"> </w:t>
      </w:r>
      <w:r w:rsidRPr="0000505B">
        <w:rPr>
          <w:rFonts w:ascii="Simplified Arabic" w:hAnsi="Simplified Arabic" w:cs="Simplified Arabic" w:hint="cs"/>
          <w:sz w:val="24"/>
          <w:szCs w:val="24"/>
          <w:rtl/>
          <w:lang w:bidi="ar-DZ"/>
        </w:rPr>
        <w:t>المرونة</w:t>
      </w:r>
      <w:r w:rsidRPr="0000505B">
        <w:rPr>
          <w:rFonts w:ascii="Simplified Arabic" w:hAnsi="Simplified Arabic" w:cs="Simplified Arabic"/>
          <w:sz w:val="24"/>
          <w:szCs w:val="24"/>
          <w:rtl/>
          <w:lang w:bidi="ar-DZ"/>
        </w:rPr>
        <w:t xml:space="preserve"> </w:t>
      </w:r>
      <w:r w:rsidRPr="0000505B">
        <w:rPr>
          <w:rFonts w:ascii="Simplified Arabic" w:hAnsi="Simplified Arabic" w:cs="Simplified Arabic" w:hint="cs"/>
          <w:sz w:val="24"/>
          <w:szCs w:val="24"/>
          <w:rtl/>
          <w:lang w:bidi="ar-DZ"/>
        </w:rPr>
        <w:t>الحضرية</w:t>
      </w:r>
      <w:r w:rsidRPr="0000505B">
        <w:rPr>
          <w:rFonts w:ascii="Simplified Arabic" w:hAnsi="Simplified Arabic" w:cs="Simplified Arabic"/>
          <w:sz w:val="24"/>
          <w:szCs w:val="24"/>
          <w:rtl/>
          <w:lang w:bidi="ar-DZ"/>
        </w:rPr>
        <w:t xml:space="preserve"> </w:t>
      </w:r>
      <w:r w:rsidRPr="0000505B">
        <w:rPr>
          <w:rFonts w:ascii="Simplified Arabic" w:hAnsi="Simplified Arabic" w:cs="Simplified Arabic" w:hint="cs"/>
          <w:sz w:val="24"/>
          <w:szCs w:val="24"/>
          <w:rtl/>
          <w:lang w:bidi="ar-DZ"/>
        </w:rPr>
        <w:t>ضمن</w:t>
      </w:r>
      <w:r w:rsidRPr="0000505B">
        <w:rPr>
          <w:rFonts w:ascii="Simplified Arabic" w:hAnsi="Simplified Arabic" w:cs="Simplified Arabic"/>
          <w:sz w:val="24"/>
          <w:szCs w:val="24"/>
          <w:rtl/>
          <w:lang w:bidi="ar-DZ"/>
        </w:rPr>
        <w:t xml:space="preserve"> </w:t>
      </w:r>
      <w:r w:rsidRPr="0000505B">
        <w:rPr>
          <w:rFonts w:ascii="Simplified Arabic" w:hAnsi="Simplified Arabic" w:cs="Simplified Arabic" w:hint="cs"/>
          <w:sz w:val="24"/>
          <w:szCs w:val="24"/>
          <w:rtl/>
          <w:lang w:bidi="ar-DZ"/>
        </w:rPr>
        <w:t>السياق</w:t>
      </w:r>
      <w:r w:rsidRPr="0000505B">
        <w:rPr>
          <w:rFonts w:ascii="Simplified Arabic" w:hAnsi="Simplified Arabic" w:cs="Simplified Arabic"/>
          <w:sz w:val="24"/>
          <w:szCs w:val="24"/>
          <w:rtl/>
          <w:lang w:bidi="ar-DZ"/>
        </w:rPr>
        <w:t xml:space="preserve"> </w:t>
      </w:r>
      <w:r w:rsidRPr="0000505B">
        <w:rPr>
          <w:rFonts w:ascii="Simplified Arabic" w:hAnsi="Simplified Arabic" w:cs="Simplified Arabic" w:hint="cs"/>
          <w:sz w:val="24"/>
          <w:szCs w:val="24"/>
          <w:rtl/>
          <w:lang w:bidi="ar-DZ"/>
        </w:rPr>
        <w:t>المكاني</w:t>
      </w:r>
      <w:r>
        <w:rPr>
          <w:rFonts w:ascii="Simplified Arabic" w:hAnsi="Simplified Arabic" w:cs="Simplified Arabic" w:hint="cs"/>
          <w:sz w:val="24"/>
          <w:szCs w:val="24"/>
          <w:rtl/>
          <w:lang w:bidi="ar-DZ"/>
        </w:rPr>
        <w:t xml:space="preserve"> الضيق.</w:t>
      </w:r>
      <w:r w:rsidRPr="00A06733">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لهذا، </w:t>
      </w:r>
      <w:r w:rsidRPr="006A239A">
        <w:rPr>
          <w:rFonts w:ascii="Simplified Arabic" w:hAnsi="Simplified Arabic" w:cs="Simplified Arabic" w:hint="cs"/>
          <w:sz w:val="24"/>
          <w:szCs w:val="24"/>
          <w:rtl/>
          <w:lang w:bidi="ar-DZ"/>
        </w:rPr>
        <w:t>فإن</w:t>
      </w:r>
      <w:r w:rsidRPr="006A239A">
        <w:rPr>
          <w:rFonts w:ascii="Simplified Arabic" w:hAnsi="Simplified Arabic" w:cs="Simplified Arabic"/>
          <w:sz w:val="24"/>
          <w:szCs w:val="24"/>
          <w:rtl/>
          <w:lang w:bidi="ar-DZ"/>
        </w:rPr>
        <w:t xml:space="preserve"> </w:t>
      </w:r>
      <w:r w:rsidRPr="006A239A">
        <w:rPr>
          <w:rFonts w:ascii="Simplified Arabic" w:hAnsi="Simplified Arabic" w:cs="Simplified Arabic" w:hint="cs"/>
          <w:sz w:val="24"/>
          <w:szCs w:val="24"/>
          <w:rtl/>
          <w:lang w:bidi="ar-DZ"/>
        </w:rPr>
        <w:t>المناقشة</w:t>
      </w:r>
      <w:r w:rsidRPr="006A239A">
        <w:rPr>
          <w:rFonts w:ascii="Simplified Arabic" w:hAnsi="Simplified Arabic" w:cs="Simplified Arabic"/>
          <w:sz w:val="24"/>
          <w:szCs w:val="24"/>
          <w:rtl/>
          <w:lang w:bidi="ar-DZ"/>
        </w:rPr>
        <w:t xml:space="preserve"> </w:t>
      </w:r>
      <w:r w:rsidRPr="006A239A">
        <w:rPr>
          <w:rFonts w:ascii="Simplified Arabic" w:hAnsi="Simplified Arabic" w:cs="Simplified Arabic" w:hint="cs"/>
          <w:sz w:val="24"/>
          <w:szCs w:val="24"/>
          <w:rtl/>
          <w:lang w:bidi="ar-DZ"/>
        </w:rPr>
        <w:t>تسلط</w:t>
      </w:r>
      <w:r w:rsidRPr="006A239A">
        <w:rPr>
          <w:rFonts w:ascii="Simplified Arabic" w:hAnsi="Simplified Arabic" w:cs="Simplified Arabic"/>
          <w:sz w:val="24"/>
          <w:szCs w:val="24"/>
          <w:rtl/>
          <w:lang w:bidi="ar-DZ"/>
        </w:rPr>
        <w:t xml:space="preserve"> </w:t>
      </w:r>
      <w:r w:rsidRPr="006A239A">
        <w:rPr>
          <w:rFonts w:ascii="Simplified Arabic" w:hAnsi="Simplified Arabic" w:cs="Simplified Arabic" w:hint="cs"/>
          <w:sz w:val="24"/>
          <w:szCs w:val="24"/>
          <w:rtl/>
          <w:lang w:bidi="ar-DZ"/>
        </w:rPr>
        <w:t>الضوء</w:t>
      </w:r>
      <w:r w:rsidRPr="006A239A">
        <w:rPr>
          <w:rFonts w:ascii="Simplified Arabic" w:hAnsi="Simplified Arabic" w:cs="Simplified Arabic"/>
          <w:sz w:val="24"/>
          <w:szCs w:val="24"/>
          <w:rtl/>
          <w:lang w:bidi="ar-DZ"/>
        </w:rPr>
        <w:t xml:space="preserve"> </w:t>
      </w:r>
      <w:r w:rsidRPr="006A239A">
        <w:rPr>
          <w:rFonts w:ascii="Simplified Arabic" w:hAnsi="Simplified Arabic" w:cs="Simplified Arabic" w:hint="cs"/>
          <w:sz w:val="24"/>
          <w:szCs w:val="24"/>
          <w:rtl/>
          <w:lang w:bidi="ar-DZ"/>
        </w:rPr>
        <w:t>على</w:t>
      </w:r>
      <w:r w:rsidRPr="006A239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تحليل السمات</w:t>
      </w:r>
      <w:r w:rsidRPr="006A239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(المبادئ) </w:t>
      </w:r>
      <w:r w:rsidRPr="006A239A">
        <w:rPr>
          <w:rFonts w:ascii="Simplified Arabic" w:hAnsi="Simplified Arabic" w:cs="Simplified Arabic" w:hint="cs"/>
          <w:sz w:val="24"/>
          <w:szCs w:val="24"/>
          <w:rtl/>
          <w:lang w:bidi="ar-DZ"/>
        </w:rPr>
        <w:t>التي</w:t>
      </w:r>
      <w:r w:rsidRPr="006A239A">
        <w:rPr>
          <w:rFonts w:ascii="Simplified Arabic" w:hAnsi="Simplified Arabic" w:cs="Simplified Arabic"/>
          <w:sz w:val="24"/>
          <w:szCs w:val="24"/>
          <w:rtl/>
          <w:lang w:bidi="ar-DZ"/>
        </w:rPr>
        <w:t xml:space="preserve"> </w:t>
      </w:r>
      <w:r w:rsidRPr="006A239A">
        <w:rPr>
          <w:rFonts w:ascii="Simplified Arabic" w:hAnsi="Simplified Arabic" w:cs="Simplified Arabic" w:hint="cs"/>
          <w:sz w:val="24"/>
          <w:szCs w:val="24"/>
          <w:rtl/>
          <w:lang w:bidi="ar-DZ"/>
        </w:rPr>
        <w:t>ترتبط</w:t>
      </w:r>
      <w:r w:rsidRPr="006A239A">
        <w:rPr>
          <w:rFonts w:ascii="Simplified Arabic" w:hAnsi="Simplified Arabic" w:cs="Simplified Arabic"/>
          <w:sz w:val="24"/>
          <w:szCs w:val="24"/>
          <w:rtl/>
          <w:lang w:bidi="ar-DZ"/>
        </w:rPr>
        <w:t xml:space="preserve"> </w:t>
      </w:r>
      <w:r w:rsidRPr="006A239A">
        <w:rPr>
          <w:rFonts w:ascii="Simplified Arabic" w:hAnsi="Simplified Arabic" w:cs="Simplified Arabic" w:hint="cs"/>
          <w:sz w:val="24"/>
          <w:szCs w:val="24"/>
          <w:rtl/>
          <w:lang w:bidi="ar-DZ"/>
        </w:rPr>
        <w:t>بتكوين</w:t>
      </w:r>
      <w:r w:rsidRPr="006A239A">
        <w:rPr>
          <w:rFonts w:ascii="Simplified Arabic" w:hAnsi="Simplified Arabic" w:cs="Simplified Arabic"/>
          <w:sz w:val="24"/>
          <w:szCs w:val="24"/>
          <w:rtl/>
          <w:lang w:bidi="ar-DZ"/>
        </w:rPr>
        <w:t xml:space="preserve"> </w:t>
      </w:r>
      <w:r w:rsidRPr="006A239A">
        <w:rPr>
          <w:rFonts w:ascii="Simplified Arabic" w:hAnsi="Simplified Arabic" w:cs="Simplified Arabic" w:hint="cs"/>
          <w:sz w:val="24"/>
          <w:szCs w:val="24"/>
          <w:rtl/>
          <w:lang w:bidi="ar-DZ"/>
        </w:rPr>
        <w:t>المرونة</w:t>
      </w:r>
      <w:r w:rsidRPr="006A239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المكانية</w:t>
      </w:r>
      <w:r w:rsidRPr="006A239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w:t>
      </w:r>
      <w:r w:rsidRPr="006A239A">
        <w:rPr>
          <w:rFonts w:ascii="Simplified Arabic" w:hAnsi="Simplified Arabic" w:cs="Simplified Arabic" w:hint="cs"/>
          <w:sz w:val="24"/>
          <w:szCs w:val="24"/>
          <w:rtl/>
          <w:lang w:bidi="ar-DZ"/>
        </w:rPr>
        <w:t>لبيئة</w:t>
      </w:r>
      <w:r w:rsidRPr="006A239A">
        <w:rPr>
          <w:rFonts w:ascii="Simplified Arabic" w:hAnsi="Simplified Arabic" w:cs="Simplified Arabic"/>
          <w:sz w:val="24"/>
          <w:szCs w:val="24"/>
          <w:rtl/>
          <w:lang w:bidi="ar-DZ"/>
        </w:rPr>
        <w:t xml:space="preserve"> </w:t>
      </w:r>
      <w:r w:rsidR="008E533E">
        <w:rPr>
          <w:rFonts w:ascii="Simplified Arabic" w:hAnsi="Simplified Arabic" w:cs="Simplified Arabic" w:hint="cs"/>
          <w:sz w:val="24"/>
          <w:szCs w:val="24"/>
          <w:rtl/>
          <w:lang w:val="en-US"/>
        </w:rPr>
        <w:t>الحضرية</w:t>
      </w:r>
      <w:r w:rsidR="008E533E">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(اي مرونة المكون الفيزيائي)</w:t>
      </w:r>
      <w:r w:rsidRPr="006A239A">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ا</w:t>
      </w:r>
      <w:r w:rsidRPr="00A06733">
        <w:rPr>
          <w:rFonts w:ascii="Simplified Arabic" w:hAnsi="Simplified Arabic" w:cs="Simplified Arabic" w:hint="cs"/>
          <w:sz w:val="24"/>
          <w:szCs w:val="24"/>
          <w:rtl/>
          <w:lang w:bidi="ar-DZ"/>
        </w:rPr>
        <w:t xml:space="preserve">ستخدم البحث </w:t>
      </w:r>
      <w:r>
        <w:rPr>
          <w:rFonts w:ascii="Simplified Arabic" w:hAnsi="Simplified Arabic" w:cs="Simplified Arabic" w:hint="cs"/>
          <w:sz w:val="24"/>
          <w:szCs w:val="24"/>
          <w:rtl/>
          <w:lang w:bidi="ar-DZ"/>
        </w:rPr>
        <w:t xml:space="preserve">الحالي </w:t>
      </w:r>
      <w:r w:rsidRPr="00A06733">
        <w:rPr>
          <w:rFonts w:ascii="Simplified Arabic" w:hAnsi="Simplified Arabic" w:cs="Simplified Arabic" w:hint="cs"/>
          <w:sz w:val="24"/>
          <w:szCs w:val="24"/>
          <w:rtl/>
          <w:lang w:bidi="ar-DZ"/>
        </w:rPr>
        <w:t xml:space="preserve">سمات </w:t>
      </w:r>
      <w:r>
        <w:rPr>
          <w:rFonts w:ascii="Simplified Arabic" w:hAnsi="Simplified Arabic" w:cs="Simplified Arabic" w:hint="cs"/>
          <w:sz w:val="24"/>
          <w:szCs w:val="24"/>
          <w:rtl/>
          <w:lang w:bidi="ar-DZ"/>
        </w:rPr>
        <w:t xml:space="preserve">المرونة </w:t>
      </w:r>
      <w:r w:rsidRPr="00A06733">
        <w:rPr>
          <w:rFonts w:ascii="Simplified Arabic" w:hAnsi="Simplified Arabic" w:cs="Simplified Arabic" w:hint="cs"/>
          <w:sz w:val="24"/>
          <w:szCs w:val="24"/>
          <w:rtl/>
          <w:lang w:bidi="ar-DZ"/>
        </w:rPr>
        <w:t>الم</w:t>
      </w:r>
      <w:r>
        <w:rPr>
          <w:rFonts w:ascii="Simplified Arabic" w:hAnsi="Simplified Arabic" w:cs="Simplified Arabic" w:hint="cs"/>
          <w:sz w:val="24"/>
          <w:szCs w:val="24"/>
          <w:rtl/>
          <w:lang w:bidi="ar-DZ"/>
        </w:rPr>
        <w:t>كانية التالية:</w:t>
      </w:r>
      <w:r w:rsidRPr="00A06733">
        <w:rPr>
          <w:rFonts w:ascii="Simplified Arabic" w:hAnsi="Simplified Arabic" w:cs="Simplified Arabic" w:hint="cs"/>
          <w:sz w:val="24"/>
          <w:szCs w:val="24"/>
          <w:rtl/>
          <w:lang w:bidi="ar-DZ"/>
        </w:rPr>
        <w:t xml:space="preserve"> الكثافة، التنوع، </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Pr>
          <w:rFonts w:ascii="Simplified Arabic" w:hAnsi="Simplified Arabic" w:cs="Simplified Arabic" w:hint="cs"/>
          <w:sz w:val="24"/>
          <w:szCs w:val="24"/>
          <w:rtl/>
          <w:lang w:bidi="ar-DZ"/>
        </w:rPr>
        <w:t xml:space="preserve"> </w:t>
      </w:r>
      <w:r w:rsidRPr="00A06733">
        <w:rPr>
          <w:rFonts w:ascii="Simplified Arabic" w:hAnsi="Simplified Arabic" w:cs="Simplified Arabic" w:hint="cs"/>
          <w:sz w:val="24"/>
          <w:szCs w:val="24"/>
          <w:rtl/>
          <w:lang w:bidi="ar-DZ"/>
        </w:rPr>
        <w:t>والتكرار</w:t>
      </w:r>
      <w:r w:rsidRPr="006A239A">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كمبادئ اساسية لتكوين المرونة الحضرية</w:t>
      </w:r>
      <w:r w:rsidRPr="00A06733">
        <w:rPr>
          <w:rFonts w:ascii="Simplified Arabic" w:hAnsi="Simplified Arabic" w:cs="Simplified Arabic" w:hint="cs"/>
          <w:sz w:val="24"/>
          <w:szCs w:val="24"/>
          <w:rtl/>
          <w:lang w:bidi="ar-DZ"/>
        </w:rPr>
        <w:t>. الغاية من ذلك</w:t>
      </w:r>
      <w:r>
        <w:rPr>
          <w:rFonts w:ascii="Simplified Arabic" w:hAnsi="Simplified Arabic" w:cs="Simplified Arabic" w:hint="cs"/>
          <w:sz w:val="24"/>
          <w:szCs w:val="24"/>
          <w:rtl/>
          <w:lang w:bidi="ar-DZ"/>
        </w:rPr>
        <w:t xml:space="preserve">، </w:t>
      </w:r>
      <w:r w:rsidRPr="00A06733">
        <w:rPr>
          <w:rFonts w:ascii="Simplified Arabic" w:hAnsi="Simplified Arabic" w:cs="Simplified Arabic" w:hint="cs"/>
          <w:sz w:val="24"/>
          <w:szCs w:val="24"/>
          <w:rtl/>
          <w:lang w:bidi="ar-DZ"/>
        </w:rPr>
        <w:t xml:space="preserve">معرفة </w:t>
      </w:r>
      <w:r>
        <w:rPr>
          <w:rFonts w:ascii="Simplified Arabic" w:hAnsi="Simplified Arabic" w:cs="Simplified Arabic" w:hint="cs"/>
          <w:sz w:val="24"/>
          <w:szCs w:val="24"/>
          <w:rtl/>
        </w:rPr>
        <w:t xml:space="preserve">درجة توافر </w:t>
      </w:r>
      <w:r w:rsidRPr="00A06733">
        <w:rPr>
          <w:rFonts w:ascii="Simplified Arabic" w:hAnsi="Simplified Arabic" w:cs="Simplified Arabic" w:hint="cs"/>
          <w:sz w:val="24"/>
          <w:szCs w:val="24"/>
          <w:rtl/>
          <w:lang w:bidi="ar-DZ"/>
        </w:rPr>
        <w:t xml:space="preserve">سمات </w:t>
      </w:r>
      <w:r>
        <w:rPr>
          <w:rFonts w:ascii="Simplified Arabic" w:hAnsi="Simplified Arabic" w:cs="Simplified Arabic" w:hint="cs"/>
          <w:sz w:val="24"/>
          <w:szCs w:val="24"/>
          <w:rtl/>
          <w:lang w:bidi="ar-DZ"/>
        </w:rPr>
        <w:t xml:space="preserve">المرونة </w:t>
      </w:r>
      <w:r w:rsidRPr="00A06733">
        <w:rPr>
          <w:rFonts w:ascii="Simplified Arabic" w:hAnsi="Simplified Arabic" w:cs="Simplified Arabic" w:hint="cs"/>
          <w:sz w:val="24"/>
          <w:szCs w:val="24"/>
          <w:rtl/>
          <w:lang w:bidi="ar-DZ"/>
        </w:rPr>
        <w:t>الم</w:t>
      </w:r>
      <w:r>
        <w:rPr>
          <w:rFonts w:ascii="Simplified Arabic" w:hAnsi="Simplified Arabic" w:cs="Simplified Arabic" w:hint="cs"/>
          <w:sz w:val="24"/>
          <w:szCs w:val="24"/>
          <w:rtl/>
          <w:lang w:bidi="ar-DZ"/>
        </w:rPr>
        <w:t xml:space="preserve">كانية </w:t>
      </w:r>
      <w:r>
        <w:rPr>
          <w:rFonts w:ascii="Simplified Arabic" w:hAnsi="Simplified Arabic" w:cs="Simplified Arabic" w:hint="cs"/>
          <w:sz w:val="24"/>
          <w:szCs w:val="24"/>
          <w:rtl/>
        </w:rPr>
        <w:t xml:space="preserve">للأحياء السكنية عبر فئات الانسجة </w:t>
      </w:r>
      <w:r>
        <w:rPr>
          <w:rFonts w:ascii="Simplified Arabic" w:hAnsi="Simplified Arabic" w:cs="Simplified Arabic" w:hint="cs"/>
          <w:color w:val="000000" w:themeColor="text1"/>
          <w:sz w:val="24"/>
          <w:szCs w:val="24"/>
          <w:rtl/>
        </w:rPr>
        <w:t>الحضرية ل</w:t>
      </w:r>
      <w:r>
        <w:rPr>
          <w:rFonts w:ascii="Simplified Arabic" w:hAnsi="Simplified Arabic" w:cs="Simplified Arabic" w:hint="cs"/>
          <w:sz w:val="24"/>
          <w:szCs w:val="24"/>
          <w:rtl/>
        </w:rPr>
        <w:t xml:space="preserve">مدينة </w:t>
      </w:r>
      <w:r>
        <w:rPr>
          <w:rFonts w:ascii="Simplified Arabic" w:hAnsi="Simplified Arabic" w:cs="Simplified Arabic" w:hint="cs"/>
          <w:color w:val="000000" w:themeColor="text1"/>
          <w:sz w:val="24"/>
          <w:szCs w:val="24"/>
          <w:rtl/>
        </w:rPr>
        <w:t>بوسعادة.</w:t>
      </w:r>
      <w:r w:rsidRPr="00F32BA1">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يقصد بتلك الفئات، </w:t>
      </w:r>
      <w:r>
        <w:rPr>
          <w:rFonts w:ascii="Simplified Arabic" w:eastAsia="Times New Roman" w:hAnsi="Simplified Arabic" w:cs="Simplified Arabic" w:hint="cs"/>
          <w:color w:val="000000"/>
          <w:sz w:val="24"/>
          <w:szCs w:val="24"/>
          <w:rtl/>
          <w:lang w:eastAsia="fr-FR"/>
        </w:rPr>
        <w:t>فئة</w:t>
      </w:r>
      <w:r w:rsidRPr="00143C39">
        <w:rPr>
          <w:rFonts w:ascii="Simplified Arabic" w:eastAsia="Times New Roman" w:hAnsi="Simplified Arabic" w:cs="Simplified Arabic"/>
          <w:color w:val="000000"/>
          <w:sz w:val="24"/>
          <w:szCs w:val="24"/>
          <w:rtl/>
          <w:lang w:eastAsia="fr-FR"/>
        </w:rPr>
        <w:t xml:space="preserve"> </w:t>
      </w:r>
      <w:r>
        <w:rPr>
          <w:rFonts w:ascii="Simplified Arabic" w:hAnsi="Simplified Arabic" w:cs="Simplified Arabic" w:hint="cs"/>
          <w:sz w:val="24"/>
          <w:szCs w:val="24"/>
          <w:rtl/>
        </w:rPr>
        <w:t>النسيج الحضري التقليدي (أ)</w:t>
      </w:r>
      <w:r w:rsidRPr="00D70C97">
        <w:rPr>
          <w:rFonts w:ascii="Simplified Arabic" w:hAnsi="Simplified Arabic" w:cs="Simplified Arabic" w:hint="cs"/>
          <w:sz w:val="24"/>
          <w:szCs w:val="24"/>
          <w:rtl/>
        </w:rPr>
        <w:t>،</w:t>
      </w:r>
      <w:r w:rsidRPr="00D70C97">
        <w:rPr>
          <w:rFonts w:ascii="Simplified Arabic" w:hAnsi="Simplified Arabic" w:cs="Simplified Arabic"/>
          <w:sz w:val="24"/>
          <w:szCs w:val="24"/>
          <w:rtl/>
        </w:rPr>
        <w:t xml:space="preserve"> </w:t>
      </w:r>
      <w:r>
        <w:rPr>
          <w:rFonts w:ascii="Simplified Arabic" w:eastAsia="Times New Roman" w:hAnsi="Simplified Arabic" w:cs="Simplified Arabic" w:hint="cs"/>
          <w:color w:val="000000"/>
          <w:sz w:val="24"/>
          <w:szCs w:val="24"/>
          <w:rtl/>
          <w:lang w:eastAsia="fr-FR"/>
        </w:rPr>
        <w:t>فئة</w:t>
      </w:r>
      <w:r w:rsidRPr="00143C39">
        <w:rPr>
          <w:rFonts w:ascii="Simplified Arabic" w:eastAsia="Times New Roman" w:hAnsi="Simplified Arabic" w:cs="Simplified Arabic"/>
          <w:color w:val="000000"/>
          <w:sz w:val="24"/>
          <w:szCs w:val="24"/>
          <w:rtl/>
          <w:lang w:eastAsia="fr-FR"/>
        </w:rPr>
        <w:t xml:space="preserve"> </w:t>
      </w:r>
      <w:r>
        <w:rPr>
          <w:rFonts w:ascii="Simplified Arabic" w:hAnsi="Simplified Arabic" w:cs="Simplified Arabic" w:hint="cs"/>
          <w:sz w:val="24"/>
          <w:szCs w:val="24"/>
          <w:rtl/>
        </w:rPr>
        <w:t xml:space="preserve">النسيج الحضري </w:t>
      </w:r>
      <w:r w:rsidRPr="00D70C97">
        <w:rPr>
          <w:rFonts w:ascii="Simplified Arabic" w:hAnsi="Simplified Arabic" w:cs="Simplified Arabic" w:hint="cs"/>
          <w:sz w:val="24"/>
          <w:szCs w:val="24"/>
          <w:rtl/>
        </w:rPr>
        <w:t>الاستيطاني</w:t>
      </w:r>
      <w:r>
        <w:rPr>
          <w:rFonts w:ascii="Simplified Arabic" w:hAnsi="Simplified Arabic" w:cs="Simplified Arabic" w:hint="cs"/>
          <w:sz w:val="24"/>
          <w:szCs w:val="24"/>
          <w:rtl/>
        </w:rPr>
        <w:t xml:space="preserve"> (ب)</w:t>
      </w:r>
      <w:r w:rsidRPr="00D70C97">
        <w:rPr>
          <w:rFonts w:ascii="Simplified Arabic" w:hAnsi="Simplified Arabic" w:cs="Simplified Arabic" w:hint="cs"/>
          <w:sz w:val="24"/>
          <w:szCs w:val="24"/>
          <w:rtl/>
        </w:rPr>
        <w:t xml:space="preserve">، </w:t>
      </w:r>
      <w:r>
        <w:rPr>
          <w:rFonts w:ascii="Simplified Arabic" w:eastAsia="Times New Roman" w:hAnsi="Simplified Arabic" w:cs="Simplified Arabic" w:hint="cs"/>
          <w:color w:val="000000"/>
          <w:sz w:val="24"/>
          <w:szCs w:val="24"/>
          <w:rtl/>
          <w:lang w:eastAsia="fr-FR"/>
        </w:rPr>
        <w:t>فئة</w:t>
      </w:r>
      <w:r w:rsidRPr="00143C39">
        <w:rPr>
          <w:rFonts w:ascii="Simplified Arabic" w:eastAsia="Times New Roman" w:hAnsi="Simplified Arabic" w:cs="Simplified Arabic"/>
          <w:color w:val="000000"/>
          <w:sz w:val="24"/>
          <w:szCs w:val="24"/>
          <w:rtl/>
          <w:lang w:eastAsia="fr-FR"/>
        </w:rPr>
        <w:t xml:space="preserve"> </w:t>
      </w:r>
      <w:r>
        <w:rPr>
          <w:rFonts w:ascii="Simplified Arabic" w:hAnsi="Simplified Arabic" w:cs="Simplified Arabic" w:hint="cs"/>
          <w:sz w:val="24"/>
          <w:szCs w:val="24"/>
          <w:rtl/>
        </w:rPr>
        <w:t xml:space="preserve">النسيج الحضري </w:t>
      </w:r>
      <w:r w:rsidRPr="00D70C97">
        <w:rPr>
          <w:rFonts w:ascii="Simplified Arabic" w:hAnsi="Simplified Arabic" w:cs="Simplified Arabic" w:hint="cs"/>
          <w:sz w:val="24"/>
          <w:szCs w:val="24"/>
          <w:rtl/>
        </w:rPr>
        <w:t>شبه</w:t>
      </w:r>
      <w:r w:rsidRPr="00D70C97">
        <w:rPr>
          <w:rFonts w:ascii="Simplified Arabic" w:hAnsi="Simplified Arabic" w:cs="Simplified Arabic"/>
          <w:sz w:val="24"/>
          <w:szCs w:val="24"/>
          <w:rtl/>
        </w:rPr>
        <w:t xml:space="preserve"> </w:t>
      </w:r>
      <w:r w:rsidRPr="00D70C97">
        <w:rPr>
          <w:rFonts w:ascii="Simplified Arabic" w:hAnsi="Simplified Arabic" w:cs="Simplified Arabic" w:hint="cs"/>
          <w:sz w:val="24"/>
          <w:szCs w:val="24"/>
          <w:rtl/>
        </w:rPr>
        <w:t>المخطط</w:t>
      </w:r>
      <w:r>
        <w:rPr>
          <w:rFonts w:ascii="Simplified Arabic" w:hAnsi="Simplified Arabic" w:cs="Simplified Arabic" w:hint="cs"/>
          <w:sz w:val="24"/>
          <w:szCs w:val="24"/>
          <w:rtl/>
        </w:rPr>
        <w:t xml:space="preserve"> (جـ)</w:t>
      </w:r>
      <w:r>
        <w:rPr>
          <w:rFonts w:ascii="Simplified Arabic" w:hAnsi="Simplified Arabic" w:cs="Simplified Arabic" w:hint="cs"/>
          <w:sz w:val="24"/>
          <w:szCs w:val="24"/>
          <w:rtl/>
          <w:lang w:bidi="ar-DZ"/>
        </w:rPr>
        <w:t xml:space="preserve"> و</w:t>
      </w:r>
      <w:r>
        <w:rPr>
          <w:rFonts w:ascii="Simplified Arabic" w:eastAsia="Times New Roman" w:hAnsi="Simplified Arabic" w:cs="Simplified Arabic" w:hint="cs"/>
          <w:color w:val="000000"/>
          <w:sz w:val="24"/>
          <w:szCs w:val="24"/>
          <w:rtl/>
          <w:lang w:eastAsia="fr-FR"/>
        </w:rPr>
        <w:t>فئة</w:t>
      </w:r>
      <w:r w:rsidRPr="00143C39">
        <w:rPr>
          <w:rFonts w:ascii="Simplified Arabic" w:eastAsia="Times New Roman" w:hAnsi="Simplified Arabic" w:cs="Simplified Arabic"/>
          <w:color w:val="000000"/>
          <w:sz w:val="24"/>
          <w:szCs w:val="24"/>
          <w:rtl/>
          <w:lang w:eastAsia="fr-FR"/>
        </w:rPr>
        <w:t xml:space="preserve"> </w:t>
      </w:r>
      <w:r>
        <w:rPr>
          <w:rFonts w:ascii="Simplified Arabic" w:hAnsi="Simplified Arabic" w:cs="Simplified Arabic" w:hint="cs"/>
          <w:sz w:val="24"/>
          <w:szCs w:val="24"/>
          <w:rtl/>
        </w:rPr>
        <w:t xml:space="preserve">النسيج الحضري </w:t>
      </w:r>
      <w:r w:rsidRPr="00D70C97">
        <w:rPr>
          <w:rFonts w:ascii="Simplified Arabic" w:hAnsi="Simplified Arabic" w:cs="Simplified Arabic" w:hint="cs"/>
          <w:sz w:val="24"/>
          <w:szCs w:val="24"/>
          <w:rtl/>
        </w:rPr>
        <w:t>المخطط</w:t>
      </w:r>
      <w:r>
        <w:rPr>
          <w:rFonts w:ascii="Simplified Arabic" w:hAnsi="Simplified Arabic" w:cs="Simplified Arabic" w:hint="cs"/>
          <w:sz w:val="24"/>
          <w:szCs w:val="24"/>
          <w:rtl/>
        </w:rPr>
        <w:t xml:space="preserve"> (د) التي</w:t>
      </w:r>
      <w:r w:rsidRPr="009E198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تم ذكرها في ( الفصل 4).</w:t>
      </w:r>
    </w:p>
    <w:p w:rsidR="002A686B" w:rsidRDefault="002A686B" w:rsidP="003337FD">
      <w:pPr>
        <w:tabs>
          <w:tab w:val="right" w:pos="281"/>
          <w:tab w:val="left" w:pos="4305"/>
        </w:tabs>
        <w:bidi/>
        <w:spacing w:after="0"/>
        <w:ind w:firstLine="282"/>
        <w:jc w:val="both"/>
        <w:rPr>
          <w:rFonts w:ascii="Simplified Arabic" w:hAnsi="Simplified Arabic" w:cs="Simplified Arabic"/>
          <w:sz w:val="24"/>
          <w:szCs w:val="24"/>
          <w:rtl/>
          <w:lang w:bidi="ar-DZ"/>
        </w:rPr>
      </w:pPr>
      <w:r w:rsidRPr="004A0F9B">
        <w:rPr>
          <w:rFonts w:ascii="Simplified Arabic" w:hAnsi="Simplified Arabic" w:cs="Simplified Arabic" w:hint="cs"/>
          <w:sz w:val="24"/>
          <w:szCs w:val="24"/>
          <w:rtl/>
          <w:lang w:bidi="ar-DZ"/>
        </w:rPr>
        <w:t>لإبقاء</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الدراسة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قابلة</w:t>
      </w:r>
      <w:r w:rsidRPr="004A0F9B">
        <w:rPr>
          <w:rFonts w:ascii="Simplified Arabic" w:hAnsi="Simplified Arabic" w:cs="Simplified Arabic"/>
          <w:sz w:val="24"/>
          <w:szCs w:val="24"/>
          <w:rtl/>
          <w:lang w:bidi="ar-DZ"/>
        </w:rPr>
        <w:t xml:space="preserve"> </w:t>
      </w:r>
      <w:r w:rsidR="004A0F9B" w:rsidRPr="004A0F9B">
        <w:rPr>
          <w:rFonts w:ascii="Simplified Arabic" w:hAnsi="Simplified Arabic" w:cs="Simplified Arabic" w:hint="cs"/>
          <w:sz w:val="24"/>
          <w:szCs w:val="24"/>
          <w:rtl/>
          <w:lang w:bidi="ar-DZ"/>
        </w:rPr>
        <w:t>للاستمرار والبحث</w:t>
      </w:r>
      <w:r w:rsidRPr="004A0F9B">
        <w:rPr>
          <w:rFonts w:ascii="Simplified Arabic" w:hAnsi="Simplified Arabic" w:cs="Simplified Arabic" w:hint="cs"/>
          <w:sz w:val="24"/>
          <w:szCs w:val="24"/>
          <w:rtl/>
          <w:lang w:bidi="ar-DZ"/>
        </w:rPr>
        <w:t>،</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اقتصر</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نطاق</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التحقيق</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في</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تأثير</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 xml:space="preserve">نمط </w:t>
      </w:r>
      <w:r w:rsidR="003337FD">
        <w:rPr>
          <w:rFonts w:ascii="Simplified Arabic" w:hAnsi="Simplified Arabic" w:cs="Simplified Arabic" w:hint="cs"/>
          <w:sz w:val="24"/>
          <w:szCs w:val="24"/>
          <w:rtl/>
        </w:rPr>
        <w:t>استعمال</w:t>
      </w:r>
      <w:r w:rsidR="00972E43">
        <w:rPr>
          <w:rFonts w:ascii="Simplified Arabic" w:hAnsi="Simplified Arabic" w:cs="Simplified Arabic" w:hint="cs"/>
          <w:sz w:val="24"/>
          <w:szCs w:val="24"/>
          <w:rtl/>
        </w:rPr>
        <w:t>ات</w:t>
      </w:r>
      <w:r w:rsidRPr="004A0F9B">
        <w:rPr>
          <w:rFonts w:ascii="Simplified Arabic" w:hAnsi="Simplified Arabic" w:cs="Simplified Arabic" w:hint="cs"/>
          <w:sz w:val="24"/>
          <w:szCs w:val="24"/>
          <w:rtl/>
          <w:lang w:bidi="ar-DZ"/>
        </w:rPr>
        <w:t xml:space="preserve"> الار</w:t>
      </w:r>
      <w:r w:rsidR="00972E43">
        <w:rPr>
          <w:rFonts w:ascii="Simplified Arabic" w:hAnsi="Simplified Arabic" w:cs="Simplified Arabic" w:hint="cs"/>
          <w:sz w:val="24"/>
          <w:szCs w:val="24"/>
          <w:rtl/>
          <w:lang w:bidi="ar-DZ"/>
        </w:rPr>
        <w:t>ا</w:t>
      </w:r>
      <w:r w:rsidRPr="004A0F9B">
        <w:rPr>
          <w:rFonts w:ascii="Simplified Arabic" w:hAnsi="Simplified Arabic" w:cs="Simplified Arabic" w:hint="cs"/>
          <w:sz w:val="24"/>
          <w:szCs w:val="24"/>
          <w:rtl/>
          <w:lang w:bidi="ar-DZ"/>
        </w:rPr>
        <w:t>ض</w:t>
      </w:r>
      <w:r w:rsidR="00972E43">
        <w:rPr>
          <w:rFonts w:ascii="Simplified Arabic" w:hAnsi="Simplified Arabic" w:cs="Simplified Arabic" w:hint="cs"/>
          <w:sz w:val="24"/>
          <w:szCs w:val="24"/>
          <w:rtl/>
          <w:lang w:bidi="ar-DZ"/>
        </w:rPr>
        <w:t>ي</w:t>
      </w:r>
      <w:r w:rsidRPr="004A0F9B">
        <w:rPr>
          <w:rFonts w:ascii="Simplified Arabic" w:hAnsi="Simplified Arabic" w:cs="Simplified Arabic" w:hint="cs"/>
          <w:sz w:val="24"/>
          <w:szCs w:val="24"/>
          <w:rtl/>
          <w:lang w:bidi="ar-DZ"/>
        </w:rPr>
        <w:t xml:space="preserve"> الحضرية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على</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المرونة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المكانية</w:t>
      </w:r>
      <w:r w:rsidRPr="004A0F9B">
        <w:rPr>
          <w:rFonts w:ascii="Simplified Arabic" w:hAnsi="Simplified Arabic" w:cs="Simplified Arabic"/>
          <w:sz w:val="24"/>
          <w:szCs w:val="24"/>
          <w:rtl/>
          <w:lang w:bidi="ar-DZ"/>
        </w:rPr>
        <w:t xml:space="preserve"> </w:t>
      </w:r>
      <w:r w:rsidR="004A0F9B">
        <w:rPr>
          <w:rFonts w:ascii="Simplified Arabic" w:hAnsi="Simplified Arabic" w:cs="Simplified Arabic" w:hint="cs"/>
          <w:sz w:val="24"/>
          <w:szCs w:val="24"/>
          <w:rtl/>
          <w:lang w:bidi="ar-DZ"/>
        </w:rPr>
        <w:t>و</w:t>
      </w:r>
      <w:r w:rsidRPr="004A0F9B">
        <w:rPr>
          <w:rFonts w:ascii="Simplified Arabic" w:hAnsi="Simplified Arabic" w:cs="Simplified Arabic" w:hint="cs"/>
          <w:sz w:val="24"/>
          <w:szCs w:val="24"/>
          <w:rtl/>
          <w:lang w:bidi="ar-DZ"/>
        </w:rPr>
        <w:t>التركيز</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في</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الغالب</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على</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خصائص</w:t>
      </w:r>
      <w:r w:rsidRPr="004A0F9B">
        <w:rPr>
          <w:rFonts w:ascii="Simplified Arabic" w:hAnsi="Simplified Arabic" w:cs="Simplified Arabic"/>
          <w:sz w:val="24"/>
          <w:szCs w:val="24"/>
          <w:rtl/>
          <w:lang w:bidi="ar-DZ"/>
        </w:rPr>
        <w:t xml:space="preserve"> </w:t>
      </w:r>
      <w:r w:rsidR="004A0F9B">
        <w:rPr>
          <w:rFonts w:ascii="Simplified Arabic" w:hAnsi="Simplified Arabic" w:cs="Simplified Arabic" w:hint="cs"/>
          <w:sz w:val="24"/>
          <w:szCs w:val="24"/>
          <w:rtl/>
          <w:lang w:bidi="ar-DZ"/>
        </w:rPr>
        <w:t xml:space="preserve">التوزيع المكاني الوظيفي والهيكلي </w:t>
      </w:r>
      <w:r w:rsidRPr="004A0F9B">
        <w:rPr>
          <w:rFonts w:ascii="Simplified Arabic" w:hAnsi="Simplified Arabic" w:cs="Simplified Arabic" w:hint="cs"/>
          <w:sz w:val="24"/>
          <w:szCs w:val="24"/>
          <w:rtl/>
          <w:lang w:bidi="ar-DZ"/>
        </w:rPr>
        <w:t>للمد</w:t>
      </w:r>
      <w:r w:rsidR="004A0F9B">
        <w:rPr>
          <w:rFonts w:ascii="Simplified Arabic" w:hAnsi="Simplified Arabic" w:cs="Simplified Arabic" w:hint="cs"/>
          <w:sz w:val="24"/>
          <w:szCs w:val="24"/>
          <w:rtl/>
          <w:lang w:bidi="ar-DZ"/>
        </w:rPr>
        <w:t>ينة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في</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الدراسات</w:t>
      </w:r>
      <w:r w:rsidRPr="004A0F9B">
        <w:rPr>
          <w:rFonts w:ascii="Simplified Arabic" w:hAnsi="Simplified Arabic" w:cs="Simplified Arabic"/>
          <w:sz w:val="24"/>
          <w:szCs w:val="24"/>
          <w:rtl/>
          <w:lang w:bidi="ar-DZ"/>
        </w:rPr>
        <w:t xml:space="preserve"> </w:t>
      </w:r>
      <w:r w:rsidR="004A0F9B">
        <w:rPr>
          <w:rFonts w:ascii="Simplified Arabic" w:hAnsi="Simplified Arabic" w:cs="Simplified Arabic" w:hint="cs"/>
          <w:sz w:val="24"/>
          <w:szCs w:val="24"/>
          <w:rtl/>
          <w:lang w:bidi="ar-DZ"/>
        </w:rPr>
        <w:t>الحضرية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للمدن،</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يتم</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التركيز</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عادة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على</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دراسة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توزيع</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وتكوين</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العناصر</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الحضرية</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التي</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تشك</w:t>
      </w:r>
      <w:r w:rsidR="009A58AA">
        <w:rPr>
          <w:rFonts w:ascii="Simplified Arabic" w:hAnsi="Simplified Arabic" w:cs="Simplified Arabic" w:hint="cs"/>
          <w:sz w:val="24"/>
          <w:szCs w:val="24"/>
          <w:rtl/>
          <w:lang w:bidi="ar-DZ"/>
        </w:rPr>
        <w:t>ي</w:t>
      </w:r>
      <w:r w:rsidRPr="004A0F9B">
        <w:rPr>
          <w:rFonts w:ascii="Simplified Arabic" w:hAnsi="Simplified Arabic" w:cs="Simplified Arabic" w:hint="cs"/>
          <w:sz w:val="24"/>
          <w:szCs w:val="24"/>
          <w:rtl/>
          <w:lang w:bidi="ar-DZ"/>
        </w:rPr>
        <w:t>ل</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النسيج</w:t>
      </w:r>
      <w:r w:rsidRPr="004A0F9B">
        <w:rPr>
          <w:rFonts w:ascii="Simplified Arabic" w:hAnsi="Simplified Arabic" w:cs="Simplified Arabic"/>
          <w:sz w:val="24"/>
          <w:szCs w:val="24"/>
          <w:rtl/>
          <w:lang w:bidi="ar-DZ"/>
        </w:rPr>
        <w:t xml:space="preserve"> </w:t>
      </w:r>
      <w:r w:rsidRPr="004A0F9B">
        <w:rPr>
          <w:rFonts w:ascii="Simplified Arabic" w:hAnsi="Simplified Arabic" w:cs="Simplified Arabic" w:hint="cs"/>
          <w:sz w:val="24"/>
          <w:szCs w:val="24"/>
          <w:rtl/>
          <w:lang w:bidi="ar-DZ"/>
        </w:rPr>
        <w:t>الحضري</w:t>
      </w:r>
      <w:r w:rsidRPr="004A0F9B">
        <w:rPr>
          <w:rFonts w:ascii="Simplified Arabic" w:hAnsi="Simplified Arabic" w:cs="Simplified Arabic"/>
          <w:sz w:val="24"/>
          <w:szCs w:val="24"/>
          <w:rtl/>
          <w:lang w:bidi="ar-DZ"/>
        </w:rPr>
        <w:t>.</w:t>
      </w: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4A0F9B" w:rsidRDefault="004A0F9B" w:rsidP="004A0F9B">
      <w:pPr>
        <w:tabs>
          <w:tab w:val="right" w:pos="281"/>
          <w:tab w:val="left" w:pos="4305"/>
        </w:tabs>
        <w:bidi/>
        <w:spacing w:after="0"/>
        <w:ind w:firstLine="282"/>
        <w:jc w:val="both"/>
        <w:rPr>
          <w:rFonts w:ascii="Simplified Arabic" w:hAnsi="Simplified Arabic" w:cs="Simplified Arabic"/>
          <w:sz w:val="24"/>
          <w:szCs w:val="24"/>
          <w:rtl/>
          <w:lang w:bidi="ar-DZ"/>
        </w:rPr>
      </w:pPr>
    </w:p>
    <w:p w:rsidR="00FF68B3" w:rsidRDefault="00FF68B3" w:rsidP="00FF68B3">
      <w:pPr>
        <w:tabs>
          <w:tab w:val="right" w:pos="281"/>
          <w:tab w:val="left" w:pos="4305"/>
        </w:tabs>
        <w:bidi/>
        <w:spacing w:after="0"/>
        <w:ind w:firstLine="282"/>
        <w:jc w:val="both"/>
        <w:rPr>
          <w:rFonts w:ascii="Simplified Arabic" w:hAnsi="Simplified Arabic" w:cs="Simplified Arabic"/>
          <w:sz w:val="24"/>
          <w:szCs w:val="24"/>
          <w:rtl/>
          <w:lang w:bidi="ar-DZ"/>
        </w:rPr>
      </w:pPr>
    </w:p>
    <w:p w:rsidR="001E4726" w:rsidRDefault="001E4726" w:rsidP="001E4726">
      <w:pPr>
        <w:tabs>
          <w:tab w:val="right" w:pos="281"/>
          <w:tab w:val="left" w:pos="4305"/>
        </w:tabs>
        <w:bidi/>
        <w:spacing w:after="0"/>
        <w:ind w:firstLine="282"/>
        <w:jc w:val="both"/>
        <w:rPr>
          <w:rFonts w:ascii="Simplified Arabic" w:hAnsi="Simplified Arabic" w:cs="Simplified Arabic"/>
          <w:sz w:val="24"/>
          <w:szCs w:val="24"/>
          <w:rtl/>
          <w:lang w:bidi="ar-DZ"/>
        </w:rPr>
      </w:pPr>
    </w:p>
    <w:p w:rsidR="002A686B" w:rsidRPr="001A0A97" w:rsidRDefault="002A686B" w:rsidP="001D0548">
      <w:pPr>
        <w:pStyle w:val="Paragraphedeliste"/>
        <w:numPr>
          <w:ilvl w:val="1"/>
          <w:numId w:val="173"/>
        </w:numPr>
        <w:tabs>
          <w:tab w:val="right" w:pos="567"/>
        </w:tabs>
        <w:bidi/>
        <w:spacing w:before="240" w:after="0"/>
        <w:ind w:left="0" w:firstLine="0"/>
        <w:jc w:val="both"/>
        <w:outlineLvl w:val="0"/>
        <w:rPr>
          <w:rFonts w:ascii="Simplified Arabic" w:hAnsi="Simplified Arabic" w:cs="Simplified Arabic"/>
          <w:b/>
          <w:bCs/>
          <w:sz w:val="24"/>
          <w:szCs w:val="24"/>
          <w:rtl/>
          <w:lang w:bidi="ar-DZ"/>
        </w:rPr>
      </w:pPr>
      <w:bookmarkStart w:id="777" w:name="_Toc171803765"/>
      <w:r w:rsidRPr="001A0A97">
        <w:rPr>
          <w:rFonts w:ascii="Simplified Arabic" w:hAnsi="Simplified Arabic" w:cs="Simplified Arabic" w:hint="cs"/>
          <w:b/>
          <w:bCs/>
          <w:sz w:val="24"/>
          <w:szCs w:val="24"/>
          <w:rtl/>
          <w:lang w:bidi="ar-DZ"/>
        </w:rPr>
        <w:lastRenderedPageBreak/>
        <w:t>العلاقة</w:t>
      </w:r>
      <w:r w:rsidRPr="001A0A97">
        <w:rPr>
          <w:rFonts w:ascii="Simplified Arabic" w:hAnsi="Simplified Arabic" w:cs="Simplified Arabic"/>
          <w:b/>
          <w:bCs/>
          <w:sz w:val="24"/>
          <w:szCs w:val="24"/>
          <w:rtl/>
          <w:lang w:bidi="ar-DZ"/>
        </w:rPr>
        <w:t xml:space="preserve"> </w:t>
      </w:r>
      <w:r w:rsidRPr="001A0A97">
        <w:rPr>
          <w:rFonts w:ascii="Simplified Arabic" w:hAnsi="Simplified Arabic" w:cs="Simplified Arabic" w:hint="cs"/>
          <w:b/>
          <w:bCs/>
          <w:sz w:val="24"/>
          <w:szCs w:val="24"/>
          <w:rtl/>
          <w:lang w:bidi="ar-DZ"/>
        </w:rPr>
        <w:t>المكانية</w:t>
      </w:r>
      <w:r w:rsidRPr="001A0A97">
        <w:rPr>
          <w:rFonts w:ascii="Simplified Arabic" w:hAnsi="Simplified Arabic" w:cs="Simplified Arabic"/>
          <w:b/>
          <w:bCs/>
          <w:sz w:val="24"/>
          <w:szCs w:val="24"/>
          <w:rtl/>
          <w:lang w:bidi="ar-DZ"/>
        </w:rPr>
        <w:t xml:space="preserve"> </w:t>
      </w:r>
      <w:r w:rsidRPr="001A0A97">
        <w:rPr>
          <w:rFonts w:ascii="Simplified Arabic" w:hAnsi="Simplified Arabic" w:cs="Simplified Arabic" w:hint="cs"/>
          <w:b/>
          <w:bCs/>
          <w:sz w:val="24"/>
          <w:szCs w:val="24"/>
          <w:rtl/>
          <w:lang w:bidi="ar-DZ"/>
        </w:rPr>
        <w:t>والزمنية</w:t>
      </w:r>
      <w:r w:rsidRPr="001A0A97">
        <w:rPr>
          <w:rFonts w:ascii="Simplified Arabic" w:hAnsi="Simplified Arabic" w:cs="Simplified Arabic"/>
          <w:b/>
          <w:bCs/>
          <w:sz w:val="24"/>
          <w:szCs w:val="24"/>
          <w:rtl/>
          <w:lang w:bidi="ar-DZ"/>
        </w:rPr>
        <w:t xml:space="preserve"> </w:t>
      </w:r>
      <w:r w:rsidRPr="001A0A97">
        <w:rPr>
          <w:rFonts w:ascii="Simplified Arabic" w:hAnsi="Simplified Arabic" w:cs="Simplified Arabic" w:hint="cs"/>
          <w:b/>
          <w:bCs/>
          <w:sz w:val="24"/>
          <w:szCs w:val="24"/>
          <w:rtl/>
          <w:lang w:bidi="ar-DZ"/>
        </w:rPr>
        <w:t>للمكونات</w:t>
      </w:r>
      <w:r w:rsidRPr="001A0A97">
        <w:rPr>
          <w:rFonts w:ascii="Simplified Arabic" w:hAnsi="Simplified Arabic" w:cs="Simplified Arabic"/>
          <w:b/>
          <w:bCs/>
          <w:sz w:val="24"/>
          <w:szCs w:val="24"/>
          <w:rtl/>
          <w:lang w:bidi="ar-DZ"/>
        </w:rPr>
        <w:t xml:space="preserve"> </w:t>
      </w:r>
      <w:r w:rsidRPr="001A0A97">
        <w:rPr>
          <w:rFonts w:ascii="Simplified Arabic" w:hAnsi="Simplified Arabic" w:cs="Simplified Arabic" w:hint="cs"/>
          <w:b/>
          <w:bCs/>
          <w:sz w:val="24"/>
          <w:szCs w:val="24"/>
          <w:rtl/>
          <w:lang w:bidi="ar-DZ"/>
        </w:rPr>
        <w:t>الحضرية</w:t>
      </w:r>
      <w:bookmarkEnd w:id="777"/>
    </w:p>
    <w:p w:rsidR="002A686B" w:rsidRDefault="002A686B" w:rsidP="003337FD">
      <w:pPr>
        <w:autoSpaceDE w:val="0"/>
        <w:autoSpaceDN w:val="0"/>
        <w:bidi/>
        <w:adjustRightInd w:val="0"/>
        <w:spacing w:after="0"/>
        <w:ind w:firstLine="283"/>
        <w:jc w:val="both"/>
        <w:rPr>
          <w:rFonts w:ascii="Simplified Arabic" w:hAnsi="Simplified Arabic" w:cs="Simplified Arabic"/>
          <w:color w:val="0D0D0D"/>
          <w:sz w:val="24"/>
          <w:szCs w:val="24"/>
          <w:rtl/>
          <w:lang w:val="en-US"/>
        </w:rPr>
      </w:pPr>
      <w:r w:rsidRPr="00EB7039">
        <w:rPr>
          <w:rFonts w:ascii="Simplified Arabic" w:hAnsi="Simplified Arabic" w:cs="Simplified Arabic" w:hint="cs"/>
          <w:sz w:val="24"/>
          <w:szCs w:val="24"/>
          <w:rtl/>
        </w:rPr>
        <w:t xml:space="preserve">حسب </w:t>
      </w:r>
      <w:r w:rsidRPr="00EB7039">
        <w:rPr>
          <w:rFonts w:ascii="Times New Roman" w:hAnsi="Times New Roman" w:cs="Times New Roman"/>
          <w:sz w:val="24"/>
          <w:szCs w:val="24"/>
        </w:rPr>
        <w:t>(Conzen, 1990)</w:t>
      </w:r>
      <w:r w:rsidRPr="00EB7039">
        <w:rPr>
          <w:rFonts w:ascii="Simplified Arabic" w:hAnsi="Simplified Arabic" w:cs="Simplified Arabic" w:hint="cs"/>
          <w:sz w:val="24"/>
          <w:szCs w:val="24"/>
          <w:rtl/>
        </w:rPr>
        <w:t xml:space="preserve">، يرى ان تجميع العناصر المكونة للبيئة </w:t>
      </w:r>
      <w:r w:rsidR="008E533E">
        <w:rPr>
          <w:rFonts w:ascii="Simplified Arabic" w:hAnsi="Simplified Arabic" w:cs="Simplified Arabic" w:hint="cs"/>
          <w:sz w:val="24"/>
          <w:szCs w:val="24"/>
          <w:rtl/>
          <w:lang w:val="en-US"/>
        </w:rPr>
        <w:t>الحضرية</w:t>
      </w:r>
      <w:r w:rsidRPr="00EB7039">
        <w:rPr>
          <w:rFonts w:ascii="Simplified Arabic" w:hAnsi="Simplified Arabic" w:cs="Simplified Arabic" w:hint="cs"/>
          <w:sz w:val="24"/>
          <w:szCs w:val="24"/>
          <w:rtl/>
        </w:rPr>
        <w:t>، يمكن ان تشترك لتكوين</w:t>
      </w:r>
      <w:r>
        <w:rPr>
          <w:rFonts w:ascii="Simplified Arabic" w:hAnsi="Simplified Arabic" w:cs="Simplified Arabic" w:hint="cs"/>
          <w:sz w:val="24"/>
          <w:szCs w:val="24"/>
          <w:rtl/>
        </w:rPr>
        <w:t xml:space="preserve"> مرحلة ما من مراحل تطور المدينة، حيث ان </w:t>
      </w:r>
      <w:r w:rsidRPr="00EB7039">
        <w:rPr>
          <w:rFonts w:ascii="Simplified Arabic" w:hAnsi="Simplified Arabic" w:cs="Simplified Arabic" w:hint="cs"/>
          <w:sz w:val="24"/>
          <w:szCs w:val="24"/>
          <w:rtl/>
        </w:rPr>
        <w:t>ل</w:t>
      </w:r>
      <w:r>
        <w:rPr>
          <w:rFonts w:ascii="Simplified Arabic" w:hAnsi="Simplified Arabic" w:cs="Simplified Arabic" w:hint="cs"/>
          <w:sz w:val="24"/>
          <w:szCs w:val="24"/>
          <w:rtl/>
        </w:rPr>
        <w:t xml:space="preserve">دى </w:t>
      </w:r>
      <w:r w:rsidRPr="00EB7039">
        <w:rPr>
          <w:rFonts w:ascii="Simplified Arabic" w:hAnsi="Simplified Arabic" w:cs="Simplified Arabic" w:hint="cs"/>
          <w:sz w:val="24"/>
          <w:szCs w:val="24"/>
          <w:rtl/>
        </w:rPr>
        <w:t xml:space="preserve">كل مرحلة نمط </w:t>
      </w:r>
      <w:r w:rsidR="003337FD">
        <w:rPr>
          <w:rFonts w:ascii="Simplified Arabic" w:hAnsi="Simplified Arabic" w:cs="Simplified Arabic" w:hint="cs"/>
          <w:sz w:val="24"/>
          <w:szCs w:val="24"/>
          <w:rtl/>
        </w:rPr>
        <w:t>استعمال</w:t>
      </w:r>
      <w:r w:rsidR="00972E43">
        <w:rPr>
          <w:rFonts w:ascii="Simplified Arabic" w:hAnsi="Simplified Arabic" w:cs="Simplified Arabic" w:hint="cs"/>
          <w:sz w:val="24"/>
          <w:szCs w:val="24"/>
          <w:rtl/>
        </w:rPr>
        <w:t>ات</w:t>
      </w:r>
      <w:r w:rsidRPr="00EB7039">
        <w:rPr>
          <w:rFonts w:ascii="Simplified Arabic" w:hAnsi="Simplified Arabic" w:cs="Simplified Arabic" w:hint="cs"/>
          <w:sz w:val="24"/>
          <w:szCs w:val="24"/>
          <w:rtl/>
        </w:rPr>
        <w:t xml:space="preserve"> ارض معين</w:t>
      </w:r>
      <w:r w:rsidR="00972E43">
        <w:rPr>
          <w:rFonts w:ascii="Simplified Arabic" w:hAnsi="Simplified Arabic" w:cs="Simplified Arabic" w:hint="cs"/>
          <w:sz w:val="24"/>
          <w:szCs w:val="24"/>
          <w:rtl/>
        </w:rPr>
        <w:t>ة</w:t>
      </w:r>
      <w:r w:rsidRPr="00EB7039">
        <w:rPr>
          <w:rFonts w:ascii="Simplified Arabic" w:hAnsi="Simplified Arabic" w:cs="Simplified Arabic" w:hint="cs"/>
          <w:sz w:val="24"/>
          <w:szCs w:val="24"/>
          <w:rtl/>
        </w:rPr>
        <w:t xml:space="preserve"> تميّزها</w:t>
      </w:r>
      <w:r>
        <w:rPr>
          <w:rFonts w:ascii="Simplified Arabic" w:hAnsi="Simplified Arabic" w:cs="Simplified Arabic" w:hint="cs"/>
          <w:sz w:val="24"/>
          <w:szCs w:val="24"/>
          <w:rtl/>
        </w:rPr>
        <w:t xml:space="preserve"> عن باقي المراحل</w:t>
      </w:r>
      <w:r w:rsidRPr="00EB7039">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المقصود ب</w:t>
      </w:r>
      <w:r w:rsidR="006B6112">
        <w:rPr>
          <w:rFonts w:ascii="Simplified Arabic" w:hAnsi="Simplified Arabic" w:cs="Simplified Arabic" w:hint="cs"/>
          <w:sz w:val="24"/>
          <w:szCs w:val="24"/>
          <w:rtl/>
        </w:rPr>
        <w:t xml:space="preserve">هذه </w:t>
      </w:r>
      <w:r w:rsidRPr="00EB7039">
        <w:rPr>
          <w:rFonts w:ascii="Simplified Arabic" w:hAnsi="Simplified Arabic" w:cs="Simplified Arabic" w:hint="cs"/>
          <w:sz w:val="24"/>
          <w:szCs w:val="24"/>
          <w:rtl/>
        </w:rPr>
        <w:t>العناصر</w:t>
      </w:r>
      <w:r w:rsidRPr="00EB7039">
        <w:rPr>
          <w:rFonts w:ascii="Simplified Arabic" w:hAnsi="Simplified Arabic" w:cs="Simplified Arabic"/>
          <w:sz w:val="24"/>
          <w:szCs w:val="24"/>
          <w:rtl/>
        </w:rPr>
        <w:t xml:space="preserve"> </w:t>
      </w:r>
      <w:r w:rsidRPr="00EB7039">
        <w:rPr>
          <w:rFonts w:ascii="Simplified Arabic" w:hAnsi="Simplified Arabic" w:cs="Simplified Arabic" w:hint="cs"/>
          <w:sz w:val="24"/>
          <w:szCs w:val="24"/>
          <w:rtl/>
        </w:rPr>
        <w:t>هي</w:t>
      </w:r>
      <w:r w:rsidRPr="00EB7039">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EB7039">
        <w:rPr>
          <w:rFonts w:ascii="Simplified Arabic" w:hAnsi="Simplified Arabic" w:cs="Simplified Arabic" w:hint="cs"/>
          <w:sz w:val="24"/>
          <w:szCs w:val="24"/>
          <w:rtl/>
        </w:rPr>
        <w:t>مجموعات</w:t>
      </w:r>
      <w:r w:rsidRPr="00EB7039">
        <w:rPr>
          <w:rFonts w:ascii="Simplified Arabic" w:hAnsi="Simplified Arabic" w:cs="Simplified Arabic"/>
          <w:sz w:val="24"/>
          <w:szCs w:val="24"/>
          <w:rtl/>
        </w:rPr>
        <w:t xml:space="preserve"> </w:t>
      </w:r>
      <w:r>
        <w:rPr>
          <w:rFonts w:ascii="Simplified Arabic" w:hAnsi="Simplified Arabic" w:cs="Simplified Arabic" w:hint="cs"/>
          <w:sz w:val="24"/>
          <w:szCs w:val="24"/>
          <w:rtl/>
        </w:rPr>
        <w:t>الوظيفية</w:t>
      </w:r>
      <w:r w:rsidRPr="00EB7039">
        <w:rPr>
          <w:rFonts w:ascii="Simplified Arabic" w:hAnsi="Simplified Arabic" w:cs="Simplified Arabic"/>
          <w:sz w:val="24"/>
          <w:szCs w:val="24"/>
          <w:rtl/>
        </w:rPr>
        <w:t xml:space="preserve"> </w:t>
      </w:r>
      <w:r w:rsidRPr="00EB7039">
        <w:rPr>
          <w:rFonts w:ascii="Simplified Arabic" w:hAnsi="Simplified Arabic" w:cs="Simplified Arabic" w:hint="cs"/>
          <w:sz w:val="24"/>
          <w:szCs w:val="24"/>
          <w:rtl/>
        </w:rPr>
        <w:t>في</w:t>
      </w:r>
      <w:r w:rsidRPr="00EB7039">
        <w:rPr>
          <w:rFonts w:ascii="Simplified Arabic" w:hAnsi="Simplified Arabic" w:cs="Simplified Arabic"/>
          <w:sz w:val="24"/>
          <w:szCs w:val="24"/>
          <w:rtl/>
        </w:rPr>
        <w:t xml:space="preserve"> </w:t>
      </w:r>
      <w:r w:rsidRPr="00EB7039">
        <w:rPr>
          <w:rFonts w:ascii="Simplified Arabic" w:hAnsi="Simplified Arabic" w:cs="Simplified Arabic" w:hint="cs"/>
          <w:sz w:val="24"/>
          <w:szCs w:val="24"/>
          <w:rtl/>
        </w:rPr>
        <w:t>المدينة</w:t>
      </w:r>
      <w:r>
        <w:rPr>
          <w:rFonts w:ascii="Simplified Arabic" w:hAnsi="Simplified Arabic" w:cs="Simplified Arabic" w:hint="cs"/>
          <w:sz w:val="24"/>
          <w:szCs w:val="24"/>
          <w:rtl/>
        </w:rPr>
        <w:t>:</w:t>
      </w:r>
      <w:r w:rsidRPr="00EB7039">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EB7039">
        <w:rPr>
          <w:rFonts w:ascii="Simplified Arabic" w:hAnsi="Simplified Arabic" w:cs="Simplified Arabic" w:hint="cs"/>
          <w:sz w:val="24"/>
          <w:szCs w:val="24"/>
          <w:rtl/>
        </w:rPr>
        <w:t>سكنية،</w:t>
      </w:r>
      <w:r w:rsidRPr="00EB7039">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EB7039">
        <w:rPr>
          <w:rFonts w:ascii="Simplified Arabic" w:hAnsi="Simplified Arabic" w:cs="Simplified Arabic" w:hint="cs"/>
          <w:sz w:val="24"/>
          <w:szCs w:val="24"/>
          <w:rtl/>
        </w:rPr>
        <w:t>خدماتية</w:t>
      </w:r>
      <w:r>
        <w:rPr>
          <w:rFonts w:ascii="Simplified Arabic" w:hAnsi="Simplified Arabic" w:cs="Simplified Arabic" w:hint="cs"/>
          <w:sz w:val="24"/>
          <w:szCs w:val="24"/>
          <w:rtl/>
        </w:rPr>
        <w:t xml:space="preserve"> (مراكز التكفل الطبي، التعليم، الامن، الانقاذ/الاجلاء، العبادة</w:t>
      </w:r>
      <w:r w:rsidR="006B6112" w:rsidRPr="00EB7039">
        <w:rPr>
          <w:rFonts w:ascii="Simplified Arabic" w:hAnsi="Simplified Arabic" w:cs="Simplified Arabic" w:hint="cs"/>
          <w:sz w:val="24"/>
          <w:szCs w:val="24"/>
          <w:rtl/>
        </w:rPr>
        <w:t xml:space="preserve">، </w:t>
      </w:r>
      <w:r w:rsidR="006B6112">
        <w:rPr>
          <w:rFonts w:ascii="Simplified Arabic" w:hAnsi="Simplified Arabic" w:cs="Simplified Arabic" w:hint="cs"/>
          <w:sz w:val="24"/>
          <w:szCs w:val="24"/>
          <w:rtl/>
        </w:rPr>
        <w:t>ال</w:t>
      </w:r>
      <w:r w:rsidR="006B6112" w:rsidRPr="00EB7039">
        <w:rPr>
          <w:rFonts w:ascii="Simplified Arabic" w:hAnsi="Simplified Arabic" w:cs="Simplified Arabic" w:hint="cs"/>
          <w:sz w:val="24"/>
          <w:szCs w:val="24"/>
          <w:rtl/>
        </w:rPr>
        <w:t>ترفيهية</w:t>
      </w:r>
      <w:r w:rsidR="006B6112">
        <w:rPr>
          <w:rFonts w:ascii="Simplified Arabic" w:hAnsi="Simplified Arabic" w:cs="Simplified Arabic" w:hint="cs"/>
          <w:sz w:val="24"/>
          <w:szCs w:val="24"/>
          <w:rtl/>
        </w:rPr>
        <w:t>...الخ</w:t>
      </w:r>
      <w:r>
        <w:rPr>
          <w:rFonts w:ascii="Simplified Arabic" w:hAnsi="Simplified Arabic" w:cs="Simplified Arabic" w:hint="cs"/>
          <w:sz w:val="24"/>
          <w:szCs w:val="24"/>
          <w:rtl/>
        </w:rPr>
        <w:t>)</w:t>
      </w:r>
      <w:r w:rsidRPr="00EB7039">
        <w:rPr>
          <w:rFonts w:ascii="Simplified Arabic" w:hAnsi="Simplified Arabic" w:cs="Simplified Arabic"/>
          <w:sz w:val="24"/>
          <w:szCs w:val="24"/>
          <w:rtl/>
        </w:rPr>
        <w:t xml:space="preserve"> </w:t>
      </w:r>
      <w:r>
        <w:rPr>
          <w:rFonts w:ascii="Simplified Arabic" w:hAnsi="Simplified Arabic" w:cs="Simplified Arabic" w:hint="cs"/>
          <w:sz w:val="24"/>
          <w:szCs w:val="24"/>
          <w:rtl/>
        </w:rPr>
        <w:t>وال</w:t>
      </w:r>
      <w:r w:rsidRPr="00EB7039">
        <w:rPr>
          <w:rFonts w:ascii="Simplified Arabic" w:hAnsi="Simplified Arabic" w:cs="Simplified Arabic" w:hint="cs"/>
          <w:sz w:val="24"/>
          <w:szCs w:val="24"/>
          <w:rtl/>
        </w:rPr>
        <w:t>مجموعات</w:t>
      </w:r>
      <w:r w:rsidRPr="00EB7039">
        <w:rPr>
          <w:rFonts w:ascii="Simplified Arabic" w:hAnsi="Simplified Arabic" w:cs="Simplified Arabic"/>
          <w:sz w:val="24"/>
          <w:szCs w:val="24"/>
          <w:rtl/>
        </w:rPr>
        <w:t xml:space="preserve"> </w:t>
      </w:r>
      <w:r>
        <w:rPr>
          <w:rFonts w:ascii="Simplified Arabic" w:hAnsi="Simplified Arabic" w:cs="Simplified Arabic" w:hint="cs"/>
          <w:sz w:val="24"/>
          <w:szCs w:val="24"/>
          <w:rtl/>
        </w:rPr>
        <w:t>الهيكلية</w:t>
      </w:r>
      <w:r w:rsidRPr="00EB7039">
        <w:rPr>
          <w:rFonts w:ascii="Simplified Arabic" w:hAnsi="Simplified Arabic" w:cs="Simplified Arabic"/>
          <w:sz w:val="24"/>
          <w:szCs w:val="24"/>
          <w:rtl/>
        </w:rPr>
        <w:t xml:space="preserve"> </w:t>
      </w:r>
      <w:r w:rsidRPr="00EB7039">
        <w:rPr>
          <w:rFonts w:ascii="Simplified Arabic" w:hAnsi="Simplified Arabic" w:cs="Simplified Arabic" w:hint="cs"/>
          <w:sz w:val="24"/>
          <w:szCs w:val="24"/>
          <w:rtl/>
        </w:rPr>
        <w:t>(</w:t>
      </w:r>
      <w:r>
        <w:rPr>
          <w:rFonts w:ascii="Simplified Arabic" w:hAnsi="Simplified Arabic" w:cs="Simplified Arabic" w:hint="cs"/>
          <w:sz w:val="24"/>
          <w:szCs w:val="24"/>
          <w:rtl/>
        </w:rPr>
        <w:t xml:space="preserve">شبكة </w:t>
      </w:r>
      <w:r w:rsidRPr="00EB7039">
        <w:rPr>
          <w:rFonts w:ascii="Simplified Arabic" w:hAnsi="Simplified Arabic" w:cs="Simplified Arabic" w:hint="cs"/>
          <w:sz w:val="24"/>
          <w:szCs w:val="24"/>
          <w:rtl/>
        </w:rPr>
        <w:t>الطرق)</w:t>
      </w:r>
      <w:r w:rsidRPr="00EB7039">
        <w:rPr>
          <w:rFonts w:ascii="Simplified Arabic" w:hAnsi="Simplified Arabic" w:cs="Simplified Arabic"/>
          <w:sz w:val="24"/>
          <w:szCs w:val="24"/>
          <w:rtl/>
        </w:rPr>
        <w:t>.</w:t>
      </w:r>
      <w:r w:rsidRPr="00EB7039">
        <w:rPr>
          <w:rFonts w:ascii="Simplified Arabic" w:hAnsi="Simplified Arabic" w:cs="Simplified Arabic" w:hint="cs"/>
          <w:sz w:val="24"/>
          <w:szCs w:val="24"/>
          <w:rtl/>
        </w:rPr>
        <w:t xml:space="preserve"> </w:t>
      </w:r>
      <w:r w:rsidRPr="00EB7039">
        <w:rPr>
          <w:rFonts w:ascii="Simplified Arabic" w:hAnsi="Simplified Arabic" w:cs="Simplified Arabic" w:hint="cs"/>
          <w:sz w:val="24"/>
          <w:szCs w:val="24"/>
          <w:rtl/>
          <w:lang w:val="en-US" w:bidi="ar-DZ"/>
        </w:rPr>
        <w:t>تترابط</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تلك</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العناصر</w:t>
      </w:r>
      <w:r w:rsidRPr="00EB7039">
        <w:rPr>
          <w:rFonts w:ascii="Simplified Arabic" w:hAnsi="Simplified Arabic" w:cs="Simplified Arabic"/>
          <w:sz w:val="24"/>
          <w:szCs w:val="24"/>
          <w:rtl/>
          <w:lang w:val="en-US" w:bidi="ar-DZ"/>
        </w:rPr>
        <w:t xml:space="preserve"> </w:t>
      </w:r>
      <w:r w:rsidR="006B6112">
        <w:rPr>
          <w:rFonts w:ascii="Simplified Arabic" w:hAnsi="Simplified Arabic" w:cs="Simplified Arabic" w:hint="cs"/>
          <w:sz w:val="24"/>
          <w:szCs w:val="24"/>
          <w:rtl/>
          <w:lang w:val="en-US" w:bidi="ar-DZ"/>
        </w:rPr>
        <w:t>فيما بينها</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من</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خلال</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علاقة</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تجاور</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بسيط،</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مُكونة</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سلسلة</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من</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 xml:space="preserve">المباني </w:t>
      </w:r>
      <w:r>
        <w:rPr>
          <w:rFonts w:ascii="Simplified Arabic" w:hAnsi="Simplified Arabic" w:cs="Simplified Arabic" w:hint="cs"/>
          <w:sz w:val="24"/>
          <w:szCs w:val="24"/>
          <w:rtl/>
          <w:lang w:val="en-US" w:bidi="ar-DZ"/>
        </w:rPr>
        <w:t xml:space="preserve">والفراغات </w:t>
      </w:r>
      <w:r w:rsidRPr="00EB7039">
        <w:rPr>
          <w:rFonts w:ascii="Simplified Arabic" w:hAnsi="Simplified Arabic" w:cs="Simplified Arabic" w:hint="cs"/>
          <w:sz w:val="24"/>
          <w:szCs w:val="24"/>
          <w:rtl/>
          <w:lang w:val="en-US" w:bidi="ar-DZ"/>
        </w:rPr>
        <w:t>المتجاورة</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يمكن تسميتها</w:t>
      </w:r>
      <w:r w:rsidRPr="00EB7039">
        <w:rPr>
          <w:rFonts w:ascii="Simplified Arabic" w:hAnsi="Simplified Arabic" w:cs="Simplified Arabic"/>
          <w:sz w:val="24"/>
          <w:szCs w:val="24"/>
          <w:rtl/>
          <w:lang w:val="en-US" w:bidi="ar-DZ"/>
        </w:rPr>
        <w:t xml:space="preserve"> </w:t>
      </w:r>
      <w:r w:rsidRPr="00EB7039">
        <w:rPr>
          <w:rFonts w:ascii="Simplified Arabic" w:hAnsi="Simplified Arabic" w:cs="Simplified Arabic" w:hint="cs"/>
          <w:sz w:val="24"/>
          <w:szCs w:val="24"/>
          <w:rtl/>
          <w:lang w:val="en-US" w:bidi="ar-DZ"/>
        </w:rPr>
        <w:t>بالنسيج الحضري</w:t>
      </w:r>
      <w:r>
        <w:rPr>
          <w:rFonts w:ascii="Simplified Arabic" w:hAnsi="Simplified Arabic" w:cs="Simplified Arabic" w:hint="cs"/>
          <w:sz w:val="24"/>
          <w:szCs w:val="24"/>
          <w:rtl/>
          <w:lang w:val="en-US" w:bidi="ar-DZ"/>
        </w:rPr>
        <w:t>،</w:t>
      </w:r>
      <w:r w:rsidRPr="00EB7039">
        <w:rPr>
          <w:rFonts w:ascii="Simplified Arabic" w:hAnsi="Simplified Arabic" w:cs="Simplified Arabic" w:hint="cs"/>
          <w:sz w:val="24"/>
          <w:szCs w:val="24"/>
          <w:rtl/>
          <w:lang w:val="en-US" w:bidi="ar-DZ"/>
        </w:rPr>
        <w:t xml:space="preserve"> </w:t>
      </w:r>
      <w:r w:rsidRPr="00EB7039">
        <w:rPr>
          <w:rFonts w:ascii="Simplified Arabic" w:hAnsi="Simplified Arabic" w:cs="Simplified Arabic" w:hint="cs"/>
          <w:sz w:val="24"/>
          <w:szCs w:val="24"/>
          <w:rtl/>
          <w:lang w:bidi="ar-DZ"/>
        </w:rPr>
        <w:t>الشكل</w:t>
      </w:r>
      <w:r w:rsidRPr="00EB7039">
        <w:rPr>
          <w:rFonts w:ascii="Simplified Arabic" w:hAnsi="Simplified Arabic" w:cs="Simplified Arabic"/>
          <w:sz w:val="24"/>
          <w:szCs w:val="24"/>
          <w:rtl/>
          <w:lang w:bidi="ar-DZ"/>
        </w:rPr>
        <w:t xml:space="preserve"> </w:t>
      </w:r>
      <w:r w:rsidRPr="00EB7039">
        <w:rPr>
          <w:rFonts w:ascii="Simplified Arabic" w:hAnsi="Simplified Arabic" w:cs="Simplified Arabic" w:hint="cs"/>
          <w:sz w:val="24"/>
          <w:szCs w:val="24"/>
          <w:rtl/>
          <w:lang w:bidi="ar-DZ"/>
        </w:rPr>
        <w:t>رقم (6-</w:t>
      </w:r>
      <w:r>
        <w:rPr>
          <w:rFonts w:ascii="Simplified Arabic" w:hAnsi="Simplified Arabic" w:cs="Simplified Arabic" w:hint="cs"/>
          <w:sz w:val="24"/>
          <w:szCs w:val="24"/>
          <w:rtl/>
          <w:lang w:bidi="ar-DZ"/>
        </w:rPr>
        <w:t>1</w:t>
      </w:r>
      <w:r w:rsidRPr="00EB7039">
        <w:rPr>
          <w:rFonts w:ascii="Simplified Arabic" w:hAnsi="Simplified Arabic" w:cs="Simplified Arabic" w:hint="cs"/>
          <w:sz w:val="24"/>
          <w:szCs w:val="24"/>
          <w:rtl/>
          <w:lang w:bidi="ar-DZ"/>
        </w:rPr>
        <w:t>)</w:t>
      </w:r>
      <w:r w:rsidRPr="00EB7039">
        <w:rPr>
          <w:rFonts w:ascii="Simplified Arabic" w:hAnsi="Simplified Arabic" w:cs="Simplified Arabic"/>
          <w:sz w:val="24"/>
          <w:szCs w:val="24"/>
          <w:rtl/>
          <w:lang w:val="en-US" w:bidi="ar-DZ"/>
        </w:rPr>
        <w:t>.</w:t>
      </w:r>
      <w:r w:rsidRPr="008D3199">
        <w:rPr>
          <w:rFonts w:ascii="Simplified Arabic" w:hAnsi="Simplified Arabic" w:cs="Simplified Arabic"/>
          <w:color w:val="0D0D0D"/>
          <w:sz w:val="24"/>
          <w:szCs w:val="24"/>
          <w:rtl/>
          <w:lang w:val="en-US"/>
        </w:rPr>
        <w:t xml:space="preserve"> </w:t>
      </w:r>
    </w:p>
    <w:p w:rsidR="002A686B" w:rsidRDefault="002A686B" w:rsidP="0089158C">
      <w:pPr>
        <w:pStyle w:val="fegure"/>
        <w:spacing w:before="240"/>
        <w:rPr>
          <w:sz w:val="8"/>
          <w:szCs w:val="24"/>
          <w:rtl/>
          <w:lang w:bidi="ar-DZ"/>
        </w:rPr>
      </w:pPr>
      <w:bookmarkStart w:id="778" w:name="_Toc157608352"/>
      <w:bookmarkStart w:id="779" w:name="_Toc171803766"/>
      <w:r w:rsidRPr="00DA50D1">
        <w:rPr>
          <w:rFonts w:hint="cs"/>
          <w:sz w:val="8"/>
          <w:szCs w:val="24"/>
          <w:rtl/>
          <w:lang w:bidi="ar-DZ"/>
        </w:rPr>
        <w:t>الشكل</w:t>
      </w:r>
      <w:r w:rsidRPr="00DA50D1">
        <w:rPr>
          <w:sz w:val="8"/>
          <w:szCs w:val="24"/>
          <w:rtl/>
          <w:lang w:bidi="ar-DZ"/>
        </w:rPr>
        <w:t xml:space="preserve"> </w:t>
      </w:r>
      <w:r w:rsidRPr="00DA50D1">
        <w:rPr>
          <w:rFonts w:hint="cs"/>
          <w:sz w:val="8"/>
          <w:szCs w:val="24"/>
          <w:rtl/>
          <w:lang w:bidi="ar-DZ"/>
        </w:rPr>
        <w:t>(6-1): نموذج هيكلي ل</w:t>
      </w:r>
      <w:r w:rsidRPr="00DA50D1">
        <w:rPr>
          <w:rFonts w:hint="cs"/>
          <w:sz w:val="8"/>
          <w:szCs w:val="24"/>
          <w:rtl/>
        </w:rPr>
        <w:t xml:space="preserve">عناصر البيئة </w:t>
      </w:r>
      <w:r w:rsidR="008E533E" w:rsidRPr="00DA50D1">
        <w:rPr>
          <w:rFonts w:hint="cs"/>
          <w:sz w:val="8"/>
          <w:szCs w:val="24"/>
          <w:rtl/>
          <w:lang w:val="en-US"/>
        </w:rPr>
        <w:t>الحضرية</w:t>
      </w:r>
      <w:bookmarkEnd w:id="778"/>
      <w:bookmarkEnd w:id="779"/>
    </w:p>
    <w:p w:rsidR="00E65F90" w:rsidRPr="00E65F90" w:rsidRDefault="00E65F90" w:rsidP="00E65F90">
      <w:pPr>
        <w:pStyle w:val="fegure"/>
        <w:rPr>
          <w:sz w:val="8"/>
          <w:szCs w:val="24"/>
          <w:rtl/>
          <w:lang w:val="en-US" w:bidi="ar-DZ"/>
        </w:rPr>
      </w:pPr>
      <w:bookmarkStart w:id="780" w:name="_Toc171803767"/>
      <w:r>
        <w:rPr>
          <w:rFonts w:hint="cs"/>
          <w:sz w:val="8"/>
          <w:szCs w:val="24"/>
          <w:rtl/>
          <w:lang w:val="en-US"/>
        </w:rPr>
        <w:t>المصدر: (الباحث، 2022)</w:t>
      </w:r>
      <w:bookmarkEnd w:id="780"/>
    </w:p>
    <w:p w:rsidR="002A686B" w:rsidRDefault="00E65F90" w:rsidP="00E65F90">
      <w:pPr>
        <w:bidi/>
        <w:spacing w:after="0" w:line="240" w:lineRule="auto"/>
        <w:rPr>
          <w:rFonts w:ascii="Simplified Arabic" w:hAnsi="Simplified Arabic" w:cs="Simplified Arabic"/>
          <w:sz w:val="24"/>
          <w:szCs w:val="24"/>
          <w:rtl/>
          <w:lang w:val="en-US" w:bidi="ar-DZ"/>
        </w:rPr>
      </w:pPr>
      <w:r>
        <w:rPr>
          <w:noProof/>
          <w:lang w:eastAsia="fr-FR"/>
        </w:rPr>
        <mc:AlternateContent>
          <mc:Choice Requires="wps">
            <w:drawing>
              <wp:anchor distT="0" distB="0" distL="114300" distR="114300" simplePos="0" relativeHeight="251664896" behindDoc="0" locked="0" layoutInCell="1" allowOverlap="1" wp14:anchorId="3C36BE04" wp14:editId="1B247506">
                <wp:simplePos x="0" y="0"/>
                <wp:positionH relativeFrom="column">
                  <wp:posOffset>4872355</wp:posOffset>
                </wp:positionH>
                <wp:positionV relativeFrom="paragraph">
                  <wp:posOffset>3988064</wp:posOffset>
                </wp:positionV>
                <wp:extent cx="838200" cy="329565"/>
                <wp:effectExtent l="0" t="0" r="0" b="0"/>
                <wp:wrapNone/>
                <wp:docPr id="68" name="Zone de texte 68"/>
                <wp:cNvGraphicFramePr/>
                <a:graphic xmlns:a="http://schemas.openxmlformats.org/drawingml/2006/main">
                  <a:graphicData uri="http://schemas.microsoft.com/office/word/2010/wordprocessingShape">
                    <wps:wsp>
                      <wps:cNvSpPr txBox="1"/>
                      <wps:spPr>
                        <a:xfrm>
                          <a:off x="0" y="0"/>
                          <a:ext cx="838200" cy="32956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13702" w:rsidRPr="007E4B3F" w:rsidRDefault="00D13702" w:rsidP="002A686B">
                            <w:pPr>
                              <w:bidi/>
                              <w:spacing w:after="0" w:line="240" w:lineRule="auto"/>
                              <w:jc w:val="center"/>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النسيج الحضري</w:t>
                            </w:r>
                          </w:p>
                          <w:p w:rsidR="00D13702" w:rsidRDefault="00D13702" w:rsidP="002A68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68" o:spid="_x0000_s1052" type="#_x0000_t202" style="position:absolute;left:0;text-align:left;margin-left:383.65pt;margin-top:314pt;width:66pt;height:25.9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" fillcolor="white [3201]" stroked="f" strokeweight=".5pt">
                <v:textbox>
                  <w:txbxContent>
                    <w:p w:rsidR="00D13702" w:rsidRPr="007E4B3F" w:rsidRDefault="00D13702" w:rsidP="002A686B">
                      <w:pPr>
                        <w:bidi/>
                        <w:spacing w:after="0" w:line="240" w:lineRule="auto"/>
                        <w:jc w:val="center"/>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النسيج الحضري</w:t>
                      </w:r>
                    </w:p>
                    <w:p w:rsidR="00D13702" w:rsidRDefault="00D13702" w:rsidP="002A686B"/>
                  </w:txbxContent>
                </v:textbox>
              </v:shape>
            </w:pict>
          </mc:Fallback>
        </mc:AlternateContent>
      </w:r>
      <w:r>
        <w:rPr>
          <w:noProof/>
          <w:lang w:eastAsia="fr-FR"/>
        </w:rPr>
        <mc:AlternateContent>
          <mc:Choice Requires="wps">
            <w:drawing>
              <wp:anchor distT="0" distB="0" distL="114300" distR="114300" simplePos="0" relativeHeight="251640320" behindDoc="0" locked="0" layoutInCell="1" allowOverlap="1" wp14:anchorId="60AA2B4A" wp14:editId="7B4B93FD">
                <wp:simplePos x="0" y="0"/>
                <wp:positionH relativeFrom="column">
                  <wp:posOffset>22860</wp:posOffset>
                </wp:positionH>
                <wp:positionV relativeFrom="paragraph">
                  <wp:posOffset>44079</wp:posOffset>
                </wp:positionV>
                <wp:extent cx="2971800" cy="4362450"/>
                <wp:effectExtent l="0" t="0" r="0" b="0"/>
                <wp:wrapNone/>
                <wp:docPr id="5" name="Zone de texte 5"/>
                <wp:cNvGraphicFramePr/>
                <a:graphic xmlns:a="http://schemas.openxmlformats.org/drawingml/2006/main">
                  <a:graphicData uri="http://schemas.microsoft.com/office/word/2010/wordprocessingShape">
                    <wps:wsp>
                      <wps:cNvSpPr txBox="1"/>
                      <wps:spPr>
                        <a:xfrm>
                          <a:off x="0" y="0"/>
                          <a:ext cx="2971800" cy="4362450"/>
                        </a:xfrm>
                        <a:prstGeom prst="rect">
                          <a:avLst/>
                        </a:prstGeom>
                        <a:solidFill>
                          <a:schemeClr val="lt1"/>
                        </a:solidFill>
                        <a:ln w="12700">
                          <a:noFill/>
                          <a:prstDash val="sysDash"/>
                        </a:ln>
                        <a:effectLst/>
                      </wps:spPr>
                      <wps:style>
                        <a:lnRef idx="0">
                          <a:schemeClr val="accent1"/>
                        </a:lnRef>
                        <a:fillRef idx="0">
                          <a:schemeClr val="accent1"/>
                        </a:fillRef>
                        <a:effectRef idx="0">
                          <a:schemeClr val="accent1"/>
                        </a:effectRef>
                        <a:fontRef idx="minor">
                          <a:schemeClr val="dk1"/>
                        </a:fontRef>
                      </wps:style>
                      <wps:txbx>
                        <w:txbxContent>
                          <w:p w:rsidR="00D13702" w:rsidRPr="00CB3A99" w:rsidRDefault="00D13702" w:rsidP="002A686B">
                            <w:pPr>
                              <w:bidi/>
                              <w:spacing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b/>
                                <w:bCs/>
                                <w:sz w:val="24"/>
                                <w:szCs w:val="24"/>
                                <w:rtl/>
                                <w:lang w:bidi="ar-DZ"/>
                              </w:rPr>
                              <w:t xml:space="preserve">المرافق </w:t>
                            </w:r>
                          </w:p>
                          <w:p w:rsidR="00D13702" w:rsidRDefault="00D13702" w:rsidP="002A686B">
                            <w:pPr>
                              <w:bidi/>
                              <w:spacing w:after="0" w:line="240"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هي مباني عمومية يشكل مجموعها انظمة فرعية تقوم بتقديم الخدمات على مستوى الاحياء السكنية.</w:t>
                            </w:r>
                          </w:p>
                          <w:p w:rsidR="00D13702" w:rsidRPr="00CB3A99" w:rsidRDefault="00D13702" w:rsidP="002A686B">
                            <w:pPr>
                              <w:bidi/>
                              <w:spacing w:before="240"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b/>
                                <w:bCs/>
                                <w:sz w:val="24"/>
                                <w:szCs w:val="24"/>
                                <w:rtl/>
                                <w:lang w:bidi="ar-DZ"/>
                              </w:rPr>
                              <w:t>ال</w:t>
                            </w:r>
                            <w:r w:rsidRPr="00CB3A99">
                              <w:rPr>
                                <w:rFonts w:ascii="Simplified Arabic" w:hAnsi="Simplified Arabic" w:cs="Simplified Arabic" w:hint="cs"/>
                                <w:b/>
                                <w:bCs/>
                                <w:sz w:val="24"/>
                                <w:szCs w:val="24"/>
                                <w:rtl/>
                                <w:lang w:bidi="ar-DZ"/>
                              </w:rPr>
                              <w:t>م</w:t>
                            </w:r>
                            <w:r w:rsidRPr="00CB3A99">
                              <w:rPr>
                                <w:rFonts w:ascii="Simplified Arabic" w:hAnsi="Simplified Arabic" w:cs="Simplified Arabic"/>
                                <w:b/>
                                <w:bCs/>
                                <w:sz w:val="24"/>
                                <w:szCs w:val="24"/>
                                <w:rtl/>
                                <w:lang w:bidi="ar-DZ"/>
                              </w:rPr>
                              <w:t>ب</w:t>
                            </w:r>
                            <w:r w:rsidRPr="00CB3A99">
                              <w:rPr>
                                <w:rFonts w:ascii="Simplified Arabic" w:hAnsi="Simplified Arabic" w:cs="Simplified Arabic" w:hint="cs"/>
                                <w:b/>
                                <w:bCs/>
                                <w:sz w:val="24"/>
                                <w:szCs w:val="24"/>
                                <w:rtl/>
                                <w:lang w:bidi="ar-DZ"/>
                              </w:rPr>
                              <w:t>اني</w:t>
                            </w:r>
                          </w:p>
                          <w:p w:rsidR="00D13702" w:rsidRPr="00CF29C7" w:rsidRDefault="00D13702" w:rsidP="00DA50D1">
                            <w:pPr>
                              <w:bidi/>
                              <w:spacing w:after="0" w:line="240" w:lineRule="auto"/>
                              <w:jc w:val="both"/>
                              <w:rPr>
                                <w:rFonts w:ascii="Simplified Arabic" w:hAnsi="Simplified Arabic" w:cs="Simplified Arabic"/>
                                <w:sz w:val="36"/>
                                <w:szCs w:val="36"/>
                                <w:rtl/>
                                <w:lang w:bidi="ar-DZ"/>
                              </w:rPr>
                            </w:pPr>
                            <w:r w:rsidRPr="009F4B7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هي كتل بناء تشغل </w:t>
                            </w:r>
                            <w:r w:rsidRPr="00CF29C7">
                              <w:rPr>
                                <w:rFonts w:ascii="Simplified Arabic" w:hAnsi="Simplified Arabic" w:cs="Simplified Arabic" w:hint="cs"/>
                                <w:sz w:val="24"/>
                                <w:szCs w:val="24"/>
                                <w:rtl/>
                                <w:lang w:bidi="ar-DZ"/>
                              </w:rPr>
                              <w:t>جزء</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من</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الأرض</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متصل</w:t>
                            </w:r>
                            <w:r>
                              <w:rPr>
                                <w:rFonts w:ascii="Simplified Arabic" w:hAnsi="Simplified Arabic" w:cs="Simplified Arabic" w:hint="cs"/>
                                <w:sz w:val="24"/>
                                <w:szCs w:val="24"/>
                                <w:rtl/>
                                <w:lang w:bidi="ar-DZ"/>
                              </w:rPr>
                              <w:t>ة</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بال</w:t>
                            </w:r>
                            <w:r>
                              <w:rPr>
                                <w:rFonts w:ascii="Simplified Arabic" w:hAnsi="Simplified Arabic" w:cs="Simplified Arabic" w:hint="cs"/>
                                <w:sz w:val="24"/>
                                <w:szCs w:val="24"/>
                                <w:rtl/>
                                <w:lang w:bidi="ar-DZ"/>
                              </w:rPr>
                              <w:t>طرق</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 xml:space="preserve">من </w:t>
                            </w:r>
                            <w:r>
                              <w:rPr>
                                <w:rFonts w:ascii="Simplified Arabic" w:hAnsi="Simplified Arabic" w:cs="Simplified Arabic" w:hint="cs"/>
                                <w:sz w:val="24"/>
                                <w:szCs w:val="24"/>
                                <w:rtl/>
                                <w:lang w:bidi="ar-DZ"/>
                              </w:rPr>
                              <w:t>خلالها يسهل</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الوصول</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إليه</w:t>
                            </w:r>
                            <w:r>
                              <w:rPr>
                                <w:rFonts w:ascii="Simplified Arabic" w:hAnsi="Simplified Arabic" w:cs="Simplified Arabic" w:hint="cs"/>
                                <w:sz w:val="24"/>
                                <w:szCs w:val="24"/>
                                <w:rtl/>
                                <w:lang w:bidi="ar-DZ"/>
                              </w:rPr>
                              <w:t>ا</w:t>
                            </w:r>
                            <w:r w:rsidRPr="00CF29C7">
                              <w:rPr>
                                <w:rFonts w:ascii="Simplified Arabic" w:hAnsi="Simplified Arabic" w:cs="Simplified Arabic" w:hint="cs"/>
                                <w:sz w:val="24"/>
                                <w:szCs w:val="24"/>
                                <w:rtl/>
                                <w:lang w:bidi="ar-DZ"/>
                              </w:rPr>
                              <w:t>،</w:t>
                            </w:r>
                            <w:r w:rsidRPr="00CF29C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تعتبر اهم</w:t>
                            </w:r>
                            <w:r w:rsidRPr="00CF29C7">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مكون </w:t>
                            </w:r>
                            <w:r w:rsidRPr="00CF29C7">
                              <w:rPr>
                                <w:rFonts w:ascii="Simplified Arabic" w:hAnsi="Simplified Arabic" w:cs="Simplified Arabic" w:hint="cs"/>
                                <w:sz w:val="24"/>
                                <w:szCs w:val="24"/>
                                <w:rtl/>
                                <w:lang w:bidi="ar-DZ"/>
                              </w:rPr>
                              <w:t>وأصغر</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وحدة</w:t>
                            </w:r>
                            <w:r w:rsidRPr="00CF29C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لاستعمالات</w:t>
                            </w:r>
                            <w:r w:rsidRPr="00CF29C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w:t>
                            </w:r>
                            <w:r w:rsidRPr="00CF29C7">
                              <w:rPr>
                                <w:rFonts w:ascii="Simplified Arabic" w:hAnsi="Simplified Arabic" w:cs="Simplified Arabic" w:hint="cs"/>
                                <w:sz w:val="24"/>
                                <w:szCs w:val="24"/>
                                <w:rtl/>
                                <w:lang w:bidi="ar-DZ"/>
                              </w:rPr>
                              <w:t>لأر</w:t>
                            </w:r>
                            <w:r>
                              <w:rPr>
                                <w:rFonts w:ascii="Simplified Arabic" w:hAnsi="Simplified Arabic" w:cs="Simplified Arabic" w:hint="cs"/>
                                <w:sz w:val="24"/>
                                <w:szCs w:val="24"/>
                                <w:rtl/>
                                <w:lang w:bidi="ar-DZ"/>
                              </w:rPr>
                              <w:t>ا</w:t>
                            </w:r>
                            <w:r w:rsidRPr="00CF29C7">
                              <w:rPr>
                                <w:rFonts w:ascii="Simplified Arabic" w:hAnsi="Simplified Arabic" w:cs="Simplified Arabic" w:hint="cs"/>
                                <w:sz w:val="24"/>
                                <w:szCs w:val="24"/>
                                <w:rtl/>
                                <w:lang w:bidi="ar-DZ"/>
                              </w:rPr>
                              <w:t>ض</w:t>
                            </w:r>
                            <w:r>
                              <w:rPr>
                                <w:rFonts w:ascii="Simplified Arabic" w:hAnsi="Simplified Arabic" w:cs="Simplified Arabic" w:hint="cs"/>
                                <w:sz w:val="24"/>
                                <w:szCs w:val="24"/>
                                <w:rtl/>
                                <w:lang w:bidi="ar-DZ"/>
                              </w:rPr>
                              <w:t>ي الحضرية</w:t>
                            </w:r>
                            <w:r w:rsidRPr="00CF29C7">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p>
                          <w:p w:rsidR="00D13702" w:rsidRPr="00CB3A99" w:rsidRDefault="00D13702" w:rsidP="002A686B">
                            <w:pPr>
                              <w:bidi/>
                              <w:spacing w:before="240"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hint="cs"/>
                                <w:b/>
                                <w:bCs/>
                                <w:sz w:val="24"/>
                                <w:szCs w:val="24"/>
                                <w:rtl/>
                                <w:lang w:bidi="ar-DZ"/>
                              </w:rPr>
                              <w:t>ا</w:t>
                            </w:r>
                            <w:r w:rsidRPr="00CB3A99">
                              <w:rPr>
                                <w:rFonts w:ascii="Simplified Arabic" w:hAnsi="Simplified Arabic" w:cs="Simplified Arabic"/>
                                <w:b/>
                                <w:bCs/>
                                <w:sz w:val="24"/>
                                <w:szCs w:val="24"/>
                                <w:rtl/>
                                <w:lang w:bidi="ar-DZ"/>
                              </w:rPr>
                              <w:t>لطرق</w:t>
                            </w:r>
                          </w:p>
                          <w:p w:rsidR="00D13702" w:rsidRPr="009F4B75" w:rsidRDefault="00D13702" w:rsidP="002A686B">
                            <w:pPr>
                              <w:bidi/>
                              <w:spacing w:after="0" w:line="240" w:lineRule="auto"/>
                              <w:jc w:val="both"/>
                              <w:rPr>
                                <w:rFonts w:ascii="Simplified Arabic" w:hAnsi="Simplified Arabic" w:cs="Simplified Arabic"/>
                                <w:sz w:val="24"/>
                                <w:szCs w:val="24"/>
                                <w:rtl/>
                                <w:lang w:bidi="ar-DZ"/>
                              </w:rPr>
                            </w:pPr>
                            <w:r w:rsidRPr="009E3B3E">
                              <w:rPr>
                                <w:rFonts w:ascii="Simplified Arabic" w:hAnsi="Simplified Arabic" w:cs="Simplified Arabic" w:hint="cs"/>
                                <w:sz w:val="24"/>
                                <w:szCs w:val="24"/>
                                <w:rtl/>
                                <w:lang w:bidi="ar-DZ"/>
                              </w:rPr>
                              <w:t>عناصر</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ربط</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خطية</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تتنوع</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في</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المركزية </w:t>
                            </w:r>
                            <w:r w:rsidRPr="009E3B3E">
                              <w:rPr>
                                <w:rFonts w:ascii="Simplified Arabic" w:hAnsi="Simplified Arabic" w:cs="Simplified Arabic" w:hint="cs"/>
                                <w:sz w:val="24"/>
                                <w:szCs w:val="24"/>
                                <w:rtl/>
                                <w:lang w:bidi="ar-DZ"/>
                              </w:rPr>
                              <w:t>وفقًا</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لموقعها</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النسبي</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ضمن</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شبكة</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الطرق</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على عدة نطاقات واسعة.</w:t>
                            </w:r>
                          </w:p>
                          <w:p w:rsidR="00D13702" w:rsidRDefault="00D13702" w:rsidP="002A686B">
                            <w:pPr>
                              <w:bidi/>
                              <w:spacing w:before="240"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b/>
                                <w:bCs/>
                                <w:sz w:val="24"/>
                                <w:szCs w:val="24"/>
                                <w:rtl/>
                                <w:lang w:bidi="ar-DZ"/>
                              </w:rPr>
                              <w:t>النسيج الحضري</w:t>
                            </w:r>
                          </w:p>
                          <w:p w:rsidR="00D13702" w:rsidRPr="00ED5ACF" w:rsidRDefault="00D13702" w:rsidP="0054240E">
                            <w:pPr>
                              <w:autoSpaceDE w:val="0"/>
                              <w:autoSpaceDN w:val="0"/>
                              <w:bidi/>
                              <w:adjustRightInd w:val="0"/>
                              <w:spacing w:after="0" w:line="240" w:lineRule="auto"/>
                              <w:jc w:val="both"/>
                              <w:rPr>
                                <w:rFonts w:ascii="Calibri" w:hAnsi="Calibri" w:cs="Calibri"/>
                                <w:color w:val="0D0D0D"/>
                                <w:sz w:val="32"/>
                                <w:szCs w:val="32"/>
                              </w:rPr>
                            </w:pP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يُسمى</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أحيانًا</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الشكل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الحضري</w:t>
                            </w:r>
                            <w:r>
                              <w:rPr>
                                <w:rFonts w:ascii="Simplified Arabic" w:hAnsi="Simplified Arabic" w:cs="Simplified Arabic" w:hint="cs"/>
                                <w:sz w:val="24"/>
                                <w:szCs w:val="24"/>
                                <w:rtl/>
                                <w:lang w:bidi="ar-DZ"/>
                              </w:rPr>
                              <w:t>،</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هو</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أول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مبادئ</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التشكل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الحضري ال</w:t>
                            </w:r>
                            <w:r>
                              <w:rPr>
                                <w:rFonts w:ascii="Simplified Arabic" w:hAnsi="Simplified Arabic" w:cs="Simplified Arabic" w:hint="cs"/>
                                <w:sz w:val="24"/>
                                <w:szCs w:val="24"/>
                                <w:rtl/>
                                <w:lang w:bidi="ar-DZ"/>
                              </w:rPr>
                              <w:t>ذ</w:t>
                            </w:r>
                            <w:r w:rsidRPr="00ED5ACF">
                              <w:rPr>
                                <w:rFonts w:ascii="Simplified Arabic" w:hAnsi="Simplified Arabic" w:cs="Simplified Arabic" w:hint="cs"/>
                                <w:sz w:val="24"/>
                                <w:szCs w:val="24"/>
                                <w:rtl/>
                                <w:lang w:bidi="ar-DZ"/>
                              </w:rPr>
                              <w:t xml:space="preserve">ي </w:t>
                            </w:r>
                            <w:r>
                              <w:rPr>
                                <w:rFonts w:ascii="Simplified Arabic" w:hAnsi="Simplified Arabic" w:cs="Simplified Arabic" w:hint="cs"/>
                                <w:sz w:val="24"/>
                                <w:szCs w:val="24"/>
                                <w:rtl/>
                                <w:lang w:bidi="ar-DZ"/>
                              </w:rPr>
                              <w:t>ي</w:t>
                            </w:r>
                            <w:r w:rsidRPr="00ED5ACF">
                              <w:rPr>
                                <w:rFonts w:ascii="Simplified Arabic" w:hAnsi="Simplified Arabic" w:cs="Simplified Arabic" w:hint="cs"/>
                                <w:sz w:val="24"/>
                                <w:szCs w:val="24"/>
                                <w:rtl/>
                                <w:lang w:bidi="ar-DZ"/>
                              </w:rPr>
                              <w:t>شتمل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عادةً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على</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عدد</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قليل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من</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العناصر</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المادية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الأساسية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المباني،</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والهياكل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المادية،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مع</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ما</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يرتبط</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بها</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من</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أشكال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مفتوحة</w:t>
                            </w:r>
                            <w:r>
                              <w:rPr>
                                <w:rFonts w:ascii="Simplified Arabic" w:hAnsi="Simplified Arabic" w:cs="Simplified Arabic" w:hint="cs"/>
                                <w:sz w:val="24"/>
                                <w:szCs w:val="24"/>
                                <w:rtl/>
                                <w:lang w:bidi="ar-DZ"/>
                              </w:rPr>
                              <w:t xml:space="preserve"> </w:t>
                            </w:r>
                            <w:r w:rsidRPr="00ED5ACF">
                              <w:rPr>
                                <w:rFonts w:ascii="Simplified Arabic" w:hAnsi="Simplified Arabic" w:cs="Simplified Arabic" w:hint="cs"/>
                                <w:sz w:val="24"/>
                                <w:szCs w:val="24"/>
                                <w:rtl/>
                                <w:lang w:bidi="ar-DZ"/>
                              </w:rPr>
                              <w:t>أو</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فراغات</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بين</w:t>
                            </w:r>
                            <w:r w:rsidRPr="00ED5AC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المباني.</w:t>
                            </w:r>
                            <w:r w:rsidRPr="00ED5ACF">
                              <w:rPr>
                                <w:rFonts w:ascii="Simplified Arabic" w:hAnsi="Simplified Arabic" w:cs="Simplified Arabic"/>
                                <w:sz w:val="24"/>
                                <w:szCs w:val="24"/>
                                <w:rtl/>
                                <w:lang w:bidi="ar-DZ"/>
                              </w:rPr>
                              <w:t xml:space="preserve"> </w:t>
                            </w:r>
                          </w:p>
                          <w:p w:rsidR="00D13702" w:rsidRPr="009F4B75" w:rsidRDefault="00D13702" w:rsidP="002A686B">
                            <w:pPr>
                              <w:bidi/>
                              <w:spacing w:after="0" w:line="240" w:lineRule="auto"/>
                              <w:rPr>
                                <w:rFonts w:ascii="Simplified Arabic" w:hAnsi="Simplified Arabic" w:cs="Simplified Arabic"/>
                                <w:sz w:val="24"/>
                                <w:szCs w:val="24"/>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 o:spid="_x0000_s1053" type="#_x0000_t202" style="position:absolute;left:0;text-align:left;margin-left:1.8pt;margin-top:3.45pt;width:234pt;height:343.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" fillcolor="white [3201]" stroked="f" strokeweight="1pt">
                <v:stroke dashstyle="3 1"/>
                <v:textbox>
                  <w:txbxContent>
                    <w:p w:rsidR="00D13702" w:rsidRPr="00CB3A99" w:rsidRDefault="00D13702" w:rsidP="002A686B">
                      <w:pPr>
                        <w:bidi/>
                        <w:spacing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b/>
                          <w:bCs/>
                          <w:sz w:val="24"/>
                          <w:szCs w:val="24"/>
                          <w:rtl/>
                          <w:lang w:bidi="ar-DZ"/>
                        </w:rPr>
                        <w:t xml:space="preserve">المرافق </w:t>
                      </w:r>
                    </w:p>
                    <w:p w:rsidR="00D13702" w:rsidRDefault="00D13702" w:rsidP="002A686B">
                      <w:pPr>
                        <w:bidi/>
                        <w:spacing w:after="0" w:line="240" w:lineRule="auto"/>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هي مباني عمومية يشكل مجموعها انظمة فرعية تقوم بتقديم الخدمات على مستوى الاحياء السكنية.</w:t>
                      </w:r>
                    </w:p>
                    <w:p w:rsidR="00D13702" w:rsidRPr="00CB3A99" w:rsidRDefault="00D13702" w:rsidP="002A686B">
                      <w:pPr>
                        <w:bidi/>
                        <w:spacing w:before="240"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b/>
                          <w:bCs/>
                          <w:sz w:val="24"/>
                          <w:szCs w:val="24"/>
                          <w:rtl/>
                          <w:lang w:bidi="ar-DZ"/>
                        </w:rPr>
                        <w:t>ال</w:t>
                      </w:r>
                      <w:r w:rsidRPr="00CB3A99">
                        <w:rPr>
                          <w:rFonts w:ascii="Simplified Arabic" w:hAnsi="Simplified Arabic" w:cs="Simplified Arabic" w:hint="cs"/>
                          <w:b/>
                          <w:bCs/>
                          <w:sz w:val="24"/>
                          <w:szCs w:val="24"/>
                          <w:rtl/>
                          <w:lang w:bidi="ar-DZ"/>
                        </w:rPr>
                        <w:t>م</w:t>
                      </w:r>
                      <w:r w:rsidRPr="00CB3A99">
                        <w:rPr>
                          <w:rFonts w:ascii="Simplified Arabic" w:hAnsi="Simplified Arabic" w:cs="Simplified Arabic"/>
                          <w:b/>
                          <w:bCs/>
                          <w:sz w:val="24"/>
                          <w:szCs w:val="24"/>
                          <w:rtl/>
                          <w:lang w:bidi="ar-DZ"/>
                        </w:rPr>
                        <w:t>ب</w:t>
                      </w:r>
                      <w:r w:rsidRPr="00CB3A99">
                        <w:rPr>
                          <w:rFonts w:ascii="Simplified Arabic" w:hAnsi="Simplified Arabic" w:cs="Simplified Arabic" w:hint="cs"/>
                          <w:b/>
                          <w:bCs/>
                          <w:sz w:val="24"/>
                          <w:szCs w:val="24"/>
                          <w:rtl/>
                          <w:lang w:bidi="ar-DZ"/>
                        </w:rPr>
                        <w:t>اني</w:t>
                      </w:r>
                    </w:p>
                    <w:p w:rsidR="00D13702" w:rsidRPr="00CF29C7" w:rsidRDefault="00D13702" w:rsidP="00DA50D1">
                      <w:pPr>
                        <w:bidi/>
                        <w:spacing w:after="0" w:line="240" w:lineRule="auto"/>
                        <w:jc w:val="both"/>
                        <w:rPr>
                          <w:rFonts w:ascii="Simplified Arabic" w:hAnsi="Simplified Arabic" w:cs="Simplified Arabic"/>
                          <w:sz w:val="36"/>
                          <w:szCs w:val="36"/>
                          <w:rtl/>
                          <w:lang w:bidi="ar-DZ"/>
                        </w:rPr>
                      </w:pPr>
                      <w:r w:rsidRPr="009F4B7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هي كتل بناء تشغل </w:t>
                      </w:r>
                      <w:r w:rsidRPr="00CF29C7">
                        <w:rPr>
                          <w:rFonts w:ascii="Simplified Arabic" w:hAnsi="Simplified Arabic" w:cs="Simplified Arabic" w:hint="cs"/>
                          <w:sz w:val="24"/>
                          <w:szCs w:val="24"/>
                          <w:rtl/>
                          <w:lang w:bidi="ar-DZ"/>
                        </w:rPr>
                        <w:t>جزء</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من</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الأرض</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متصل</w:t>
                      </w:r>
                      <w:r>
                        <w:rPr>
                          <w:rFonts w:ascii="Simplified Arabic" w:hAnsi="Simplified Arabic" w:cs="Simplified Arabic" w:hint="cs"/>
                          <w:sz w:val="24"/>
                          <w:szCs w:val="24"/>
                          <w:rtl/>
                          <w:lang w:bidi="ar-DZ"/>
                        </w:rPr>
                        <w:t>ة</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بال</w:t>
                      </w:r>
                      <w:r>
                        <w:rPr>
                          <w:rFonts w:ascii="Simplified Arabic" w:hAnsi="Simplified Arabic" w:cs="Simplified Arabic" w:hint="cs"/>
                          <w:sz w:val="24"/>
                          <w:szCs w:val="24"/>
                          <w:rtl/>
                          <w:lang w:bidi="ar-DZ"/>
                        </w:rPr>
                        <w:t>طرق</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 xml:space="preserve">من </w:t>
                      </w:r>
                      <w:r>
                        <w:rPr>
                          <w:rFonts w:ascii="Simplified Arabic" w:hAnsi="Simplified Arabic" w:cs="Simplified Arabic" w:hint="cs"/>
                          <w:sz w:val="24"/>
                          <w:szCs w:val="24"/>
                          <w:rtl/>
                          <w:lang w:bidi="ar-DZ"/>
                        </w:rPr>
                        <w:t>خلالها يسهل</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الوصول</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إليه</w:t>
                      </w:r>
                      <w:r>
                        <w:rPr>
                          <w:rFonts w:ascii="Simplified Arabic" w:hAnsi="Simplified Arabic" w:cs="Simplified Arabic" w:hint="cs"/>
                          <w:sz w:val="24"/>
                          <w:szCs w:val="24"/>
                          <w:rtl/>
                          <w:lang w:bidi="ar-DZ"/>
                        </w:rPr>
                        <w:t>ا</w:t>
                      </w:r>
                      <w:r w:rsidRPr="00CF29C7">
                        <w:rPr>
                          <w:rFonts w:ascii="Simplified Arabic" w:hAnsi="Simplified Arabic" w:cs="Simplified Arabic" w:hint="cs"/>
                          <w:sz w:val="24"/>
                          <w:szCs w:val="24"/>
                          <w:rtl/>
                          <w:lang w:bidi="ar-DZ"/>
                        </w:rPr>
                        <w:t>،</w:t>
                      </w:r>
                      <w:r w:rsidRPr="00CF29C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تعتبر اهم</w:t>
                      </w:r>
                      <w:r w:rsidRPr="00CF29C7">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مكون </w:t>
                      </w:r>
                      <w:r w:rsidRPr="00CF29C7">
                        <w:rPr>
                          <w:rFonts w:ascii="Simplified Arabic" w:hAnsi="Simplified Arabic" w:cs="Simplified Arabic" w:hint="cs"/>
                          <w:sz w:val="24"/>
                          <w:szCs w:val="24"/>
                          <w:rtl/>
                          <w:lang w:bidi="ar-DZ"/>
                        </w:rPr>
                        <w:t>وأصغر</w:t>
                      </w:r>
                      <w:r w:rsidRPr="00CF29C7">
                        <w:rPr>
                          <w:rFonts w:ascii="Simplified Arabic" w:hAnsi="Simplified Arabic" w:cs="Simplified Arabic"/>
                          <w:sz w:val="24"/>
                          <w:szCs w:val="24"/>
                          <w:rtl/>
                          <w:lang w:bidi="ar-DZ"/>
                        </w:rPr>
                        <w:t xml:space="preserve"> </w:t>
                      </w:r>
                      <w:r w:rsidRPr="00CF29C7">
                        <w:rPr>
                          <w:rFonts w:ascii="Simplified Arabic" w:hAnsi="Simplified Arabic" w:cs="Simplified Arabic" w:hint="cs"/>
                          <w:sz w:val="24"/>
                          <w:szCs w:val="24"/>
                          <w:rtl/>
                          <w:lang w:bidi="ar-DZ"/>
                        </w:rPr>
                        <w:t>وحدة</w:t>
                      </w:r>
                      <w:r w:rsidRPr="00CF29C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لاستعمالات</w:t>
                      </w:r>
                      <w:r w:rsidRPr="00CF29C7">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w:t>
                      </w:r>
                      <w:r w:rsidRPr="00CF29C7">
                        <w:rPr>
                          <w:rFonts w:ascii="Simplified Arabic" w:hAnsi="Simplified Arabic" w:cs="Simplified Arabic" w:hint="cs"/>
                          <w:sz w:val="24"/>
                          <w:szCs w:val="24"/>
                          <w:rtl/>
                          <w:lang w:bidi="ar-DZ"/>
                        </w:rPr>
                        <w:t>لأر</w:t>
                      </w:r>
                      <w:r>
                        <w:rPr>
                          <w:rFonts w:ascii="Simplified Arabic" w:hAnsi="Simplified Arabic" w:cs="Simplified Arabic" w:hint="cs"/>
                          <w:sz w:val="24"/>
                          <w:szCs w:val="24"/>
                          <w:rtl/>
                          <w:lang w:bidi="ar-DZ"/>
                        </w:rPr>
                        <w:t>ا</w:t>
                      </w:r>
                      <w:r w:rsidRPr="00CF29C7">
                        <w:rPr>
                          <w:rFonts w:ascii="Simplified Arabic" w:hAnsi="Simplified Arabic" w:cs="Simplified Arabic" w:hint="cs"/>
                          <w:sz w:val="24"/>
                          <w:szCs w:val="24"/>
                          <w:rtl/>
                          <w:lang w:bidi="ar-DZ"/>
                        </w:rPr>
                        <w:t>ض</w:t>
                      </w:r>
                      <w:r>
                        <w:rPr>
                          <w:rFonts w:ascii="Simplified Arabic" w:hAnsi="Simplified Arabic" w:cs="Simplified Arabic" w:hint="cs"/>
                          <w:sz w:val="24"/>
                          <w:szCs w:val="24"/>
                          <w:rtl/>
                          <w:lang w:bidi="ar-DZ"/>
                        </w:rPr>
                        <w:t>ي الحضرية</w:t>
                      </w:r>
                      <w:r w:rsidRPr="00CF29C7">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p>
                    <w:p w:rsidR="00D13702" w:rsidRPr="00CB3A99" w:rsidRDefault="00D13702" w:rsidP="002A686B">
                      <w:pPr>
                        <w:bidi/>
                        <w:spacing w:before="240"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hint="cs"/>
                          <w:b/>
                          <w:bCs/>
                          <w:sz w:val="24"/>
                          <w:szCs w:val="24"/>
                          <w:rtl/>
                          <w:lang w:bidi="ar-DZ"/>
                        </w:rPr>
                        <w:t>ا</w:t>
                      </w:r>
                      <w:r w:rsidRPr="00CB3A99">
                        <w:rPr>
                          <w:rFonts w:ascii="Simplified Arabic" w:hAnsi="Simplified Arabic" w:cs="Simplified Arabic"/>
                          <w:b/>
                          <w:bCs/>
                          <w:sz w:val="24"/>
                          <w:szCs w:val="24"/>
                          <w:rtl/>
                          <w:lang w:bidi="ar-DZ"/>
                        </w:rPr>
                        <w:t>لطرق</w:t>
                      </w:r>
                    </w:p>
                    <w:p w:rsidR="00D13702" w:rsidRPr="009F4B75" w:rsidRDefault="00D13702" w:rsidP="002A686B">
                      <w:pPr>
                        <w:bidi/>
                        <w:spacing w:after="0" w:line="240" w:lineRule="auto"/>
                        <w:jc w:val="both"/>
                        <w:rPr>
                          <w:rFonts w:ascii="Simplified Arabic" w:hAnsi="Simplified Arabic" w:cs="Simplified Arabic"/>
                          <w:sz w:val="24"/>
                          <w:szCs w:val="24"/>
                          <w:rtl/>
                          <w:lang w:bidi="ar-DZ"/>
                        </w:rPr>
                      </w:pPr>
                      <w:r w:rsidRPr="009E3B3E">
                        <w:rPr>
                          <w:rFonts w:ascii="Simplified Arabic" w:hAnsi="Simplified Arabic" w:cs="Simplified Arabic" w:hint="cs"/>
                          <w:sz w:val="24"/>
                          <w:szCs w:val="24"/>
                          <w:rtl/>
                          <w:lang w:bidi="ar-DZ"/>
                        </w:rPr>
                        <w:t>عناصر</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ربط</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خطية</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تتنوع</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في</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المركزية </w:t>
                      </w:r>
                      <w:r w:rsidRPr="009E3B3E">
                        <w:rPr>
                          <w:rFonts w:ascii="Simplified Arabic" w:hAnsi="Simplified Arabic" w:cs="Simplified Arabic" w:hint="cs"/>
                          <w:sz w:val="24"/>
                          <w:szCs w:val="24"/>
                          <w:rtl/>
                          <w:lang w:bidi="ar-DZ"/>
                        </w:rPr>
                        <w:t>وفقًا</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لموقعها</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النسبي</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ضمن</w:t>
                      </w:r>
                      <w:r w:rsidRPr="009E3B3E">
                        <w:rPr>
                          <w:rFonts w:ascii="Simplified Arabic" w:hAnsi="Simplified Arabic" w:cs="Simplified Arabic"/>
                          <w:sz w:val="24"/>
                          <w:szCs w:val="24"/>
                          <w:rtl/>
                          <w:lang w:bidi="ar-DZ"/>
                        </w:rPr>
                        <w:t xml:space="preserve"> </w:t>
                      </w:r>
                      <w:r w:rsidRPr="009E3B3E">
                        <w:rPr>
                          <w:rFonts w:ascii="Simplified Arabic" w:hAnsi="Simplified Arabic" w:cs="Simplified Arabic" w:hint="cs"/>
                          <w:sz w:val="24"/>
                          <w:szCs w:val="24"/>
                          <w:rtl/>
                          <w:lang w:bidi="ar-DZ"/>
                        </w:rPr>
                        <w:t>شبكة</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الطرق</w:t>
                      </w:r>
                      <w:r w:rsidRPr="009E3B3E">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على عدة نطاقات واسعة.</w:t>
                      </w:r>
                    </w:p>
                    <w:p w:rsidR="00D13702" w:rsidRDefault="00D13702" w:rsidP="002A686B">
                      <w:pPr>
                        <w:bidi/>
                        <w:spacing w:before="240" w:after="0" w:line="240" w:lineRule="auto"/>
                        <w:rPr>
                          <w:rFonts w:ascii="Simplified Arabic" w:hAnsi="Simplified Arabic" w:cs="Simplified Arabic"/>
                          <w:b/>
                          <w:bCs/>
                          <w:sz w:val="24"/>
                          <w:szCs w:val="24"/>
                          <w:rtl/>
                          <w:lang w:bidi="ar-DZ"/>
                        </w:rPr>
                      </w:pPr>
                      <w:r w:rsidRPr="00CB3A99">
                        <w:rPr>
                          <w:rFonts w:ascii="Simplified Arabic" w:hAnsi="Simplified Arabic" w:cs="Simplified Arabic"/>
                          <w:b/>
                          <w:bCs/>
                          <w:sz w:val="24"/>
                          <w:szCs w:val="24"/>
                          <w:rtl/>
                          <w:lang w:bidi="ar-DZ"/>
                        </w:rPr>
                        <w:t>النسيج الحضري</w:t>
                      </w:r>
                    </w:p>
                    <w:p w:rsidR="00D13702" w:rsidRPr="00ED5ACF" w:rsidRDefault="00D13702" w:rsidP="0054240E">
                      <w:pPr>
                        <w:autoSpaceDE w:val="0"/>
                        <w:autoSpaceDN w:val="0"/>
                        <w:bidi/>
                        <w:adjustRightInd w:val="0"/>
                        <w:spacing w:after="0" w:line="240" w:lineRule="auto"/>
                        <w:jc w:val="both"/>
                        <w:rPr>
                          <w:rFonts w:ascii="Calibri" w:hAnsi="Calibri" w:cs="Calibri"/>
                          <w:color w:val="0D0D0D"/>
                          <w:sz w:val="32"/>
                          <w:szCs w:val="32"/>
                        </w:rPr>
                      </w:pP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يُسمى</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أحيانًا</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الشكل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الحضري</w:t>
                      </w:r>
                      <w:r>
                        <w:rPr>
                          <w:rFonts w:ascii="Simplified Arabic" w:hAnsi="Simplified Arabic" w:cs="Simplified Arabic" w:hint="cs"/>
                          <w:sz w:val="24"/>
                          <w:szCs w:val="24"/>
                          <w:rtl/>
                          <w:lang w:bidi="ar-DZ"/>
                        </w:rPr>
                        <w:t>،</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هو</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أول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مبادئ</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التشكل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الحضري ال</w:t>
                      </w:r>
                      <w:r>
                        <w:rPr>
                          <w:rFonts w:ascii="Simplified Arabic" w:hAnsi="Simplified Arabic" w:cs="Simplified Arabic" w:hint="cs"/>
                          <w:sz w:val="24"/>
                          <w:szCs w:val="24"/>
                          <w:rtl/>
                          <w:lang w:bidi="ar-DZ"/>
                        </w:rPr>
                        <w:t>ذ</w:t>
                      </w:r>
                      <w:r w:rsidRPr="00ED5ACF">
                        <w:rPr>
                          <w:rFonts w:ascii="Simplified Arabic" w:hAnsi="Simplified Arabic" w:cs="Simplified Arabic" w:hint="cs"/>
                          <w:sz w:val="24"/>
                          <w:szCs w:val="24"/>
                          <w:rtl/>
                          <w:lang w:bidi="ar-DZ"/>
                        </w:rPr>
                        <w:t xml:space="preserve">ي </w:t>
                      </w:r>
                      <w:r>
                        <w:rPr>
                          <w:rFonts w:ascii="Simplified Arabic" w:hAnsi="Simplified Arabic" w:cs="Simplified Arabic" w:hint="cs"/>
                          <w:sz w:val="24"/>
                          <w:szCs w:val="24"/>
                          <w:rtl/>
                          <w:lang w:bidi="ar-DZ"/>
                        </w:rPr>
                        <w:t>ي</w:t>
                      </w:r>
                      <w:r w:rsidRPr="00ED5ACF">
                        <w:rPr>
                          <w:rFonts w:ascii="Simplified Arabic" w:hAnsi="Simplified Arabic" w:cs="Simplified Arabic" w:hint="cs"/>
                          <w:sz w:val="24"/>
                          <w:szCs w:val="24"/>
                          <w:rtl/>
                          <w:lang w:bidi="ar-DZ"/>
                        </w:rPr>
                        <w:t>شتمل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عادةً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على</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عدد</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قليل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من</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العناصر</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المادية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الأساسية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المباني،</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والهياكل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المادية،</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مع</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ما</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يرتبط</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بها</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من</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أشكال</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مفتوحة</w:t>
                      </w:r>
                      <w:r>
                        <w:rPr>
                          <w:rFonts w:ascii="Simplified Arabic" w:hAnsi="Simplified Arabic" w:cs="Simplified Arabic" w:hint="cs"/>
                          <w:sz w:val="24"/>
                          <w:szCs w:val="24"/>
                          <w:rtl/>
                          <w:lang w:bidi="ar-DZ"/>
                        </w:rPr>
                        <w:t xml:space="preserve"> </w:t>
                      </w:r>
                      <w:r w:rsidRPr="00ED5ACF">
                        <w:rPr>
                          <w:rFonts w:ascii="Simplified Arabic" w:hAnsi="Simplified Arabic" w:cs="Simplified Arabic" w:hint="cs"/>
                          <w:sz w:val="24"/>
                          <w:szCs w:val="24"/>
                          <w:rtl/>
                          <w:lang w:bidi="ar-DZ"/>
                        </w:rPr>
                        <w:t>أو</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فراغات</w:t>
                      </w:r>
                      <w:r w:rsidRPr="00ED5ACF">
                        <w:rPr>
                          <w:rFonts w:ascii="Simplified Arabic" w:hAnsi="Simplified Arabic" w:cs="Simplified Arabic"/>
                          <w:sz w:val="24"/>
                          <w:szCs w:val="24"/>
                          <w:rtl/>
                          <w:lang w:bidi="ar-DZ"/>
                        </w:rPr>
                        <w:t xml:space="preserve"> </w:t>
                      </w:r>
                      <w:r w:rsidRPr="00ED5ACF">
                        <w:rPr>
                          <w:rFonts w:ascii="Simplified Arabic" w:hAnsi="Simplified Arabic" w:cs="Simplified Arabic" w:hint="cs"/>
                          <w:sz w:val="24"/>
                          <w:szCs w:val="24"/>
                          <w:rtl/>
                          <w:lang w:bidi="ar-DZ"/>
                        </w:rPr>
                        <w:t>بين</w:t>
                      </w:r>
                      <w:r w:rsidRPr="00ED5AC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المباني.</w:t>
                      </w:r>
                      <w:r w:rsidRPr="00ED5ACF">
                        <w:rPr>
                          <w:rFonts w:ascii="Simplified Arabic" w:hAnsi="Simplified Arabic" w:cs="Simplified Arabic"/>
                          <w:sz w:val="24"/>
                          <w:szCs w:val="24"/>
                          <w:rtl/>
                          <w:lang w:bidi="ar-DZ"/>
                        </w:rPr>
                        <w:t xml:space="preserve"> </w:t>
                      </w:r>
                    </w:p>
                    <w:p w:rsidR="00D13702" w:rsidRPr="009F4B75" w:rsidRDefault="00D13702" w:rsidP="002A686B">
                      <w:pPr>
                        <w:bidi/>
                        <w:spacing w:after="0" w:line="240" w:lineRule="auto"/>
                        <w:rPr>
                          <w:rFonts w:ascii="Simplified Arabic" w:hAnsi="Simplified Arabic" w:cs="Simplified Arabic"/>
                          <w:sz w:val="24"/>
                          <w:szCs w:val="24"/>
                          <w:lang w:bidi="ar-DZ"/>
                        </w:rPr>
                      </w:pPr>
                    </w:p>
                  </w:txbxContent>
                </v:textbox>
              </v:shape>
            </w:pict>
          </mc:Fallback>
        </mc:AlternateContent>
      </w:r>
      <w:r w:rsidR="00972E43">
        <w:rPr>
          <w:noProof/>
          <w:lang w:eastAsia="fr-FR"/>
        </w:rPr>
        <mc:AlternateContent>
          <mc:Choice Requires="wps">
            <w:drawing>
              <wp:anchor distT="0" distB="0" distL="114300" distR="114300" simplePos="0" relativeHeight="251632128" behindDoc="0" locked="0" layoutInCell="1" allowOverlap="1" wp14:anchorId="1D795682" wp14:editId="52F88DF8">
                <wp:simplePos x="0" y="0"/>
                <wp:positionH relativeFrom="column">
                  <wp:posOffset>5132070</wp:posOffset>
                </wp:positionH>
                <wp:positionV relativeFrom="paragraph">
                  <wp:posOffset>396709</wp:posOffset>
                </wp:positionV>
                <wp:extent cx="587265" cy="295275"/>
                <wp:effectExtent l="0" t="0" r="3810" b="9525"/>
                <wp:wrapNone/>
                <wp:docPr id="89" name="Zone de texte 89"/>
                <wp:cNvGraphicFramePr/>
                <a:graphic xmlns:a="http://schemas.openxmlformats.org/drawingml/2006/main">
                  <a:graphicData uri="http://schemas.microsoft.com/office/word/2010/wordprocessingShape">
                    <wps:wsp>
                      <wps:cNvSpPr txBox="1"/>
                      <wps:spPr>
                        <a:xfrm>
                          <a:off x="0" y="0"/>
                          <a:ext cx="587265"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13702" w:rsidRPr="007E4B3F" w:rsidRDefault="00D13702" w:rsidP="00972E43">
                            <w:pPr>
                              <w:bidi/>
                              <w:spacing w:after="0" w:line="240" w:lineRule="auto"/>
                              <w:jc w:val="center"/>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w:t>
                            </w:r>
                            <w:r>
                              <w:rPr>
                                <w:rFonts w:ascii="Simplified Arabic" w:hAnsi="Simplified Arabic" w:cs="Simplified Arabic"/>
                                <w:b/>
                                <w:bCs/>
                                <w:sz w:val="20"/>
                                <w:szCs w:val="20"/>
                                <w:rtl/>
                                <w:lang w:bidi="ar-DZ"/>
                              </w:rPr>
                              <w:t>مر</w:t>
                            </w:r>
                            <w:r>
                              <w:rPr>
                                <w:rFonts w:ascii="Simplified Arabic" w:hAnsi="Simplified Arabic" w:cs="Simplified Arabic" w:hint="cs"/>
                                <w:b/>
                                <w:bCs/>
                                <w:sz w:val="20"/>
                                <w:szCs w:val="20"/>
                                <w:rtl/>
                                <w:lang w:bidi="ar-DZ"/>
                              </w:rPr>
                              <w:t>ا</w:t>
                            </w:r>
                            <w:r w:rsidRPr="007E4B3F">
                              <w:rPr>
                                <w:rFonts w:ascii="Simplified Arabic" w:hAnsi="Simplified Arabic" w:cs="Simplified Arabic"/>
                                <w:b/>
                                <w:bCs/>
                                <w:sz w:val="20"/>
                                <w:szCs w:val="20"/>
                                <w:rtl/>
                                <w:lang w:bidi="ar-DZ"/>
                              </w:rPr>
                              <w:t>فق</w:t>
                            </w:r>
                            <w:r>
                              <w:rPr>
                                <w:rFonts w:ascii="Simplified Arabic" w:hAnsi="Simplified Arabic" w:cs="Simplified Arabic" w:hint="cs"/>
                                <w:b/>
                                <w:bCs/>
                                <w:sz w:val="20"/>
                                <w:szCs w:val="20"/>
                                <w:rtl/>
                                <w:lang w:bidi="ar-DZ"/>
                              </w:rPr>
                              <w:t xml:space="preserve"> </w:t>
                            </w:r>
                          </w:p>
                          <w:p w:rsidR="00D13702" w:rsidRDefault="00D13702" w:rsidP="002A68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89" o:spid="_x0000_s1054" type="#_x0000_t202" style="position:absolute;left:0;text-align:left;margin-left:404.1pt;margin-top:31.25pt;width:46.25pt;height:23.2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" fillcolor="white [3201]" stroked="f" strokeweight=".5pt">
                <v:textbox>
                  <w:txbxContent>
                    <w:p w:rsidR="00D13702" w:rsidRPr="007E4B3F" w:rsidRDefault="00D13702" w:rsidP="00972E43">
                      <w:pPr>
                        <w:bidi/>
                        <w:spacing w:after="0" w:line="240" w:lineRule="auto"/>
                        <w:jc w:val="center"/>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w:t>
                      </w:r>
                      <w:r>
                        <w:rPr>
                          <w:rFonts w:ascii="Simplified Arabic" w:hAnsi="Simplified Arabic" w:cs="Simplified Arabic"/>
                          <w:b/>
                          <w:bCs/>
                          <w:sz w:val="20"/>
                          <w:szCs w:val="20"/>
                          <w:rtl/>
                          <w:lang w:bidi="ar-DZ"/>
                        </w:rPr>
                        <w:t>مر</w:t>
                      </w:r>
                      <w:r>
                        <w:rPr>
                          <w:rFonts w:ascii="Simplified Arabic" w:hAnsi="Simplified Arabic" w:cs="Simplified Arabic" w:hint="cs"/>
                          <w:b/>
                          <w:bCs/>
                          <w:sz w:val="20"/>
                          <w:szCs w:val="20"/>
                          <w:rtl/>
                          <w:lang w:bidi="ar-DZ"/>
                        </w:rPr>
                        <w:t>ا</w:t>
                      </w:r>
                      <w:r w:rsidRPr="007E4B3F">
                        <w:rPr>
                          <w:rFonts w:ascii="Simplified Arabic" w:hAnsi="Simplified Arabic" w:cs="Simplified Arabic"/>
                          <w:b/>
                          <w:bCs/>
                          <w:sz w:val="20"/>
                          <w:szCs w:val="20"/>
                          <w:rtl/>
                          <w:lang w:bidi="ar-DZ"/>
                        </w:rPr>
                        <w:t>فق</w:t>
                      </w:r>
                      <w:r>
                        <w:rPr>
                          <w:rFonts w:ascii="Simplified Arabic" w:hAnsi="Simplified Arabic" w:cs="Simplified Arabic" w:hint="cs"/>
                          <w:b/>
                          <w:bCs/>
                          <w:sz w:val="20"/>
                          <w:szCs w:val="20"/>
                          <w:rtl/>
                          <w:lang w:bidi="ar-DZ"/>
                        </w:rPr>
                        <w:t xml:space="preserve"> </w:t>
                      </w:r>
                    </w:p>
                    <w:p w:rsidR="00D13702" w:rsidRDefault="00D13702" w:rsidP="002A686B"/>
                  </w:txbxContent>
                </v:textbox>
              </v:shape>
            </w:pict>
          </mc:Fallback>
        </mc:AlternateContent>
      </w:r>
      <w:r w:rsidR="002A686B">
        <w:rPr>
          <w:noProof/>
          <w:lang w:eastAsia="fr-FR"/>
        </w:rPr>
        <mc:AlternateContent>
          <mc:Choice Requires="wps">
            <w:drawing>
              <wp:anchor distT="0" distB="0" distL="114300" distR="114300" simplePos="0" relativeHeight="251648512" behindDoc="0" locked="0" layoutInCell="1" allowOverlap="1" wp14:anchorId="246B4DA5" wp14:editId="438E71A8">
                <wp:simplePos x="0" y="0"/>
                <wp:positionH relativeFrom="column">
                  <wp:posOffset>5234305</wp:posOffset>
                </wp:positionH>
                <wp:positionV relativeFrom="paragraph">
                  <wp:posOffset>1175385</wp:posOffset>
                </wp:positionV>
                <wp:extent cx="485775" cy="295275"/>
                <wp:effectExtent l="0" t="0" r="9525" b="9525"/>
                <wp:wrapNone/>
                <wp:docPr id="70" name="Zone de texte 70"/>
                <wp:cNvGraphicFramePr/>
                <a:graphic xmlns:a="http://schemas.openxmlformats.org/drawingml/2006/main">
                  <a:graphicData uri="http://schemas.microsoft.com/office/word/2010/wordprocessingShape">
                    <wps:wsp>
                      <wps:cNvSpPr txBox="1"/>
                      <wps:spPr>
                        <a:xfrm>
                          <a:off x="0" y="0"/>
                          <a:ext cx="485775"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13702" w:rsidRPr="007E4B3F" w:rsidRDefault="00D13702" w:rsidP="002A686B">
                            <w:pPr>
                              <w:bidi/>
                              <w:spacing w:after="0" w:line="240" w:lineRule="auto"/>
                              <w:jc w:val="center"/>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المباني</w:t>
                            </w:r>
                          </w:p>
                          <w:p w:rsidR="00D13702" w:rsidRDefault="00D13702" w:rsidP="002A68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70" o:spid="_x0000_s1055" type="#_x0000_t202" style="position:absolute;left:0;text-align:left;margin-left:412.15pt;margin-top:92.55pt;width:38.25pt;height:23.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" fillcolor="white [3201]" stroked="f" strokeweight=".5pt">
                <v:textbox>
                  <w:txbxContent>
                    <w:p w:rsidR="00D13702" w:rsidRPr="007E4B3F" w:rsidRDefault="00D13702" w:rsidP="002A686B">
                      <w:pPr>
                        <w:bidi/>
                        <w:spacing w:after="0" w:line="240" w:lineRule="auto"/>
                        <w:jc w:val="center"/>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المباني</w:t>
                      </w:r>
                    </w:p>
                    <w:p w:rsidR="00D13702" w:rsidRDefault="00D13702" w:rsidP="002A686B"/>
                  </w:txbxContent>
                </v:textbox>
              </v:shape>
            </w:pict>
          </mc:Fallback>
        </mc:AlternateContent>
      </w:r>
      <w:r w:rsidR="002A686B">
        <w:rPr>
          <w:noProof/>
          <w:lang w:eastAsia="fr-FR"/>
        </w:rPr>
        <mc:AlternateContent>
          <mc:Choice Requires="wps">
            <w:drawing>
              <wp:anchor distT="0" distB="0" distL="114300" distR="114300" simplePos="0" relativeHeight="251656704" behindDoc="0" locked="0" layoutInCell="1" allowOverlap="1" wp14:anchorId="4AAB1525" wp14:editId="2057017D">
                <wp:simplePos x="0" y="0"/>
                <wp:positionH relativeFrom="column">
                  <wp:posOffset>5250815</wp:posOffset>
                </wp:positionH>
                <wp:positionV relativeFrom="paragraph">
                  <wp:posOffset>2042160</wp:posOffset>
                </wp:positionV>
                <wp:extent cx="468630" cy="295275"/>
                <wp:effectExtent l="0" t="0" r="7620" b="9525"/>
                <wp:wrapNone/>
                <wp:docPr id="90" name="Zone de texte 90"/>
                <wp:cNvGraphicFramePr/>
                <a:graphic xmlns:a="http://schemas.openxmlformats.org/drawingml/2006/main">
                  <a:graphicData uri="http://schemas.microsoft.com/office/word/2010/wordprocessingShape">
                    <wps:wsp>
                      <wps:cNvSpPr txBox="1"/>
                      <wps:spPr>
                        <a:xfrm>
                          <a:off x="0" y="0"/>
                          <a:ext cx="468630" cy="2952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13702" w:rsidRPr="007E4B3F" w:rsidRDefault="00D13702" w:rsidP="002A686B">
                            <w:pPr>
                              <w:bidi/>
                              <w:spacing w:after="0" w:line="240" w:lineRule="auto"/>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الطرق</w:t>
                            </w:r>
                          </w:p>
                          <w:p w:rsidR="00D13702" w:rsidRDefault="00D13702" w:rsidP="002A68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90" o:spid="_x0000_s1056" type="#_x0000_t202" style="position:absolute;left:0;text-align:left;margin-left:413.45pt;margin-top:160.8pt;width:36.9pt;height:23.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" fillcolor="white [3201]" stroked="f" strokeweight=".5pt">
                <v:textbox>
                  <w:txbxContent>
                    <w:p w:rsidR="00D13702" w:rsidRPr="007E4B3F" w:rsidRDefault="00D13702" w:rsidP="002A686B">
                      <w:pPr>
                        <w:bidi/>
                        <w:spacing w:after="0" w:line="240" w:lineRule="auto"/>
                        <w:rPr>
                          <w:rFonts w:ascii="Simplified Arabic" w:hAnsi="Simplified Arabic" w:cs="Simplified Arabic"/>
                          <w:b/>
                          <w:bCs/>
                          <w:sz w:val="20"/>
                          <w:szCs w:val="20"/>
                          <w:rtl/>
                          <w:lang w:bidi="ar-DZ"/>
                        </w:rPr>
                      </w:pPr>
                      <w:r>
                        <w:rPr>
                          <w:rFonts w:ascii="Simplified Arabic" w:hAnsi="Simplified Arabic" w:cs="Simplified Arabic" w:hint="cs"/>
                          <w:b/>
                          <w:bCs/>
                          <w:sz w:val="20"/>
                          <w:szCs w:val="20"/>
                          <w:rtl/>
                          <w:lang w:bidi="ar-DZ"/>
                        </w:rPr>
                        <w:t>الطرق</w:t>
                      </w:r>
                    </w:p>
                    <w:p w:rsidR="00D13702" w:rsidRDefault="00D13702" w:rsidP="002A686B"/>
                  </w:txbxContent>
                </v:textbox>
              </v:shape>
            </w:pict>
          </mc:Fallback>
        </mc:AlternateContent>
      </w:r>
      <w:r w:rsidR="002A686B">
        <w:rPr>
          <w:noProof/>
          <w:lang w:eastAsia="fr-FR"/>
        </w:rPr>
        <w:drawing>
          <wp:inline distT="0" distB="0" distL="0" distR="0" wp14:anchorId="44E0D21B" wp14:editId="7FE92A66">
            <wp:extent cx="2742348" cy="4362450"/>
            <wp:effectExtent l="19050" t="19050" r="20320" b="19050"/>
            <wp:docPr id="98" name="Imag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5"/>
                    <a:stretch>
                      <a:fillRect/>
                    </a:stretch>
                  </pic:blipFill>
                  <pic:spPr>
                    <a:xfrm>
                      <a:off x="0" y="0"/>
                      <a:ext cx="2756015" cy="4384191"/>
                    </a:xfrm>
                    <a:prstGeom prst="rect">
                      <a:avLst/>
                    </a:prstGeom>
                    <a:ln>
                      <a:solidFill>
                        <a:schemeClr val="tx1"/>
                      </a:solidFill>
                    </a:ln>
                  </pic:spPr>
                </pic:pic>
              </a:graphicData>
            </a:graphic>
          </wp:inline>
        </w:drawing>
      </w:r>
    </w:p>
    <w:p w:rsidR="002A686B" w:rsidRPr="002856CE" w:rsidRDefault="002A686B" w:rsidP="006B6112">
      <w:pPr>
        <w:tabs>
          <w:tab w:val="right" w:pos="567"/>
        </w:tabs>
        <w:bidi/>
        <w:spacing w:before="240" w:after="0"/>
        <w:ind w:firstLine="283"/>
        <w:jc w:val="both"/>
        <w:rPr>
          <w:rFonts w:ascii="Simplified Arabic" w:hAnsi="Simplified Arabic" w:cs="Simplified Arabic"/>
          <w:sz w:val="24"/>
          <w:szCs w:val="24"/>
          <w:lang w:val="en-US" w:bidi="ar-DZ"/>
        </w:rPr>
      </w:pPr>
      <w:r w:rsidRPr="002856CE">
        <w:rPr>
          <w:rFonts w:ascii="Simplified Arabic" w:hAnsi="Simplified Arabic" w:cs="Simplified Arabic" w:hint="cs"/>
          <w:sz w:val="24"/>
          <w:szCs w:val="24"/>
          <w:rtl/>
          <w:lang w:val="en-US" w:bidi="ar-DZ"/>
        </w:rPr>
        <w:t>ركزت</w:t>
      </w:r>
      <w:r w:rsidRPr="002856CE">
        <w:rPr>
          <w:rFonts w:ascii="Simplified Arabic" w:hAnsi="Simplified Arabic" w:cs="Simplified Arabic"/>
          <w:sz w:val="24"/>
          <w:szCs w:val="24"/>
          <w:rtl/>
          <w:lang w:val="en-US" w:bidi="ar-DZ"/>
        </w:rPr>
        <w:t xml:space="preserve"> </w:t>
      </w:r>
      <w:r w:rsidR="0040455E">
        <w:rPr>
          <w:rFonts w:ascii="Simplified Arabic" w:hAnsi="Simplified Arabic" w:cs="Simplified Arabic" w:hint="cs"/>
          <w:sz w:val="24"/>
          <w:szCs w:val="24"/>
          <w:rtl/>
          <w:lang w:val="en-US" w:bidi="ar-DZ"/>
        </w:rPr>
        <w:t>الابحاث</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بشكل</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خاص</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على</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تلك</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المكونات</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التي</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تساهم</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في</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تقليل</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تعرض</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الأنظمة</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الحضرية</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وقابلية</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تعرضها</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للمخاطر</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المرتبطة</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بتغير</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المناخ</w:t>
      </w:r>
      <w:r w:rsidRPr="002856CE">
        <w:rPr>
          <w:rFonts w:ascii="Simplified Arabic" w:hAnsi="Simplified Arabic" w:cs="Simplified Arabic"/>
          <w:sz w:val="24"/>
          <w:szCs w:val="24"/>
          <w:rtl/>
          <w:lang w:val="en-US" w:bidi="ar-DZ"/>
        </w:rPr>
        <w:t xml:space="preserve"> </w:t>
      </w:r>
      <w:r w:rsidRPr="002856CE">
        <w:rPr>
          <w:rFonts w:asciiTheme="majorBidi" w:hAnsiTheme="majorBidi" w:cstheme="majorBidi"/>
          <w:sz w:val="24"/>
          <w:szCs w:val="24"/>
          <w:rtl/>
          <w:lang w:val="en-US" w:bidi="ar-DZ"/>
        </w:rPr>
        <w:t>(</w:t>
      </w:r>
      <w:r w:rsidRPr="002856CE">
        <w:rPr>
          <w:rFonts w:asciiTheme="majorBidi" w:hAnsiTheme="majorBidi" w:cstheme="majorBidi"/>
          <w:sz w:val="24"/>
          <w:szCs w:val="24"/>
          <w:lang w:val="en-US" w:bidi="ar-DZ"/>
        </w:rPr>
        <w:t>Arup, 2014</w:t>
      </w:r>
      <w:r w:rsidRPr="002856CE">
        <w:rPr>
          <w:rFonts w:asciiTheme="majorBidi" w:hAnsiTheme="majorBidi" w:cstheme="majorBidi"/>
          <w:sz w:val="24"/>
          <w:szCs w:val="24"/>
          <w:rtl/>
          <w:lang w:val="en-US" w:bidi="ar-DZ"/>
        </w:rPr>
        <w:t>)</w:t>
      </w:r>
      <w:r w:rsidRPr="002856CE">
        <w:rPr>
          <w:rFonts w:ascii="Simplified Arabic" w:hAnsi="Simplified Arabic" w:cs="Simplified Arabic" w:hint="cs"/>
          <w:sz w:val="24"/>
          <w:szCs w:val="24"/>
          <w:rtl/>
          <w:lang w:val="en-US" w:bidi="ar-DZ"/>
        </w:rPr>
        <w:t>،</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بدءًا</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من</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أنظمة</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النقل</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والاتصالات</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الطرق</w:t>
      </w:r>
      <w:r w:rsidRPr="002856CE">
        <w:rPr>
          <w:rFonts w:ascii="Simplified Arabic" w:hAnsi="Simplified Arabic" w:cs="Simplified Arabic"/>
          <w:sz w:val="24"/>
          <w:szCs w:val="24"/>
          <w:rtl/>
          <w:lang w:val="en-US" w:bidi="ar-DZ"/>
        </w:rPr>
        <w:t>)</w:t>
      </w:r>
      <w:r w:rsidRPr="002856CE">
        <w:rPr>
          <w:rFonts w:ascii="Simplified Arabic" w:hAnsi="Simplified Arabic" w:cs="Simplified Arabic" w:hint="cs"/>
          <w:sz w:val="24"/>
          <w:szCs w:val="24"/>
          <w:rtl/>
          <w:lang w:val="en-US" w:bidi="ar-DZ"/>
        </w:rPr>
        <w:t>، المرافق</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والمؤسسات</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العامة</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أي</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المستشفيات</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والمدارس</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ومراكز</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الإطفاء</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والشرطة</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والمباني</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المساكن</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وما</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إلى</w:t>
      </w:r>
      <w:r w:rsidRPr="002856CE">
        <w:rPr>
          <w:rFonts w:ascii="Simplified Arabic" w:hAnsi="Simplified Arabic" w:cs="Simplified Arabic"/>
          <w:sz w:val="24"/>
          <w:szCs w:val="24"/>
          <w:rtl/>
          <w:lang w:val="en-US" w:bidi="ar-DZ"/>
        </w:rPr>
        <w:t xml:space="preserve"> </w:t>
      </w:r>
      <w:r w:rsidRPr="002856CE">
        <w:rPr>
          <w:rFonts w:ascii="Simplified Arabic" w:hAnsi="Simplified Arabic" w:cs="Simplified Arabic" w:hint="cs"/>
          <w:sz w:val="24"/>
          <w:szCs w:val="24"/>
          <w:rtl/>
          <w:lang w:val="en-US" w:bidi="ar-DZ"/>
        </w:rPr>
        <w:t>ذلك</w:t>
      </w:r>
      <w:r w:rsidRPr="002856CE">
        <w:rPr>
          <w:rFonts w:ascii="Simplified Arabic" w:hAnsi="Simplified Arabic" w:cs="Simplified Arabic"/>
          <w:sz w:val="24"/>
          <w:szCs w:val="24"/>
          <w:rtl/>
          <w:lang w:val="en-US" w:bidi="ar-DZ"/>
        </w:rPr>
        <w:t xml:space="preserve">. </w:t>
      </w:r>
    </w:p>
    <w:p w:rsidR="002A686B" w:rsidRDefault="002A686B" w:rsidP="002A686B">
      <w:pPr>
        <w:bidi/>
        <w:spacing w:after="0"/>
        <w:ind w:firstLine="283"/>
        <w:jc w:val="both"/>
        <w:rPr>
          <w:rFonts w:ascii="Simplified Arabic" w:hAnsi="Simplified Arabic" w:cs="Simplified Arabic"/>
          <w:sz w:val="24"/>
          <w:szCs w:val="24"/>
          <w:rtl/>
          <w:lang w:bidi="ar-DZ"/>
        </w:rPr>
      </w:pPr>
      <w:r w:rsidRPr="004D444D">
        <w:rPr>
          <w:rFonts w:ascii="Simplified Arabic" w:hAnsi="Simplified Arabic" w:cs="Simplified Arabic" w:hint="cs"/>
          <w:sz w:val="24"/>
          <w:szCs w:val="24"/>
          <w:rtl/>
          <w:lang w:bidi="ar-DZ"/>
        </w:rPr>
        <w:t>في</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الآونة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الأخيرة،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تم اقتراح</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تصنيفات</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جديدة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وأكثر</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عمومية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لصياغة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تفسيرات</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جديدة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للمكونات</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الحضرية الأساسية وفق</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شكل</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التسلسل</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الهرمي</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التركيبي</w:t>
      </w:r>
      <w:r w:rsidRPr="004D444D">
        <w:rPr>
          <w:rFonts w:ascii="Simplified Arabic" w:hAnsi="Simplified Arabic" w:cs="Simplified Arabic"/>
          <w:sz w:val="24"/>
          <w:szCs w:val="24"/>
          <w:rtl/>
          <w:lang w:bidi="ar-DZ"/>
        </w:rPr>
        <w:t xml:space="preserve"> </w:t>
      </w:r>
      <w:r w:rsidRPr="007A1AB7">
        <w:rPr>
          <w:rFonts w:asciiTheme="majorBidi" w:hAnsiTheme="majorBidi" w:cstheme="majorBidi"/>
          <w:sz w:val="24"/>
          <w:szCs w:val="24"/>
          <w:rtl/>
          <w:lang w:bidi="ar-DZ"/>
        </w:rPr>
        <w:t>(</w:t>
      </w:r>
      <w:r w:rsidRPr="00157C4E">
        <w:rPr>
          <w:rFonts w:asciiTheme="majorBidi" w:hAnsiTheme="majorBidi" w:cstheme="majorBidi"/>
          <w:sz w:val="24"/>
          <w:szCs w:val="24"/>
          <w:lang w:bidi="ar-DZ"/>
        </w:rPr>
        <w:t>Dibble</w:t>
      </w:r>
      <w:r w:rsidRPr="007A1AB7">
        <w:rPr>
          <w:rFonts w:asciiTheme="majorBidi" w:hAnsiTheme="majorBidi" w:cstheme="majorBidi"/>
          <w:sz w:val="24"/>
          <w:szCs w:val="24"/>
          <w:lang w:bidi="ar-DZ"/>
        </w:rPr>
        <w:t>, 2016</w:t>
      </w:r>
      <w:r w:rsidRPr="007A1AB7">
        <w:rPr>
          <w:rFonts w:asciiTheme="majorBidi" w:hAnsiTheme="majorBidi" w:cstheme="majorBidi"/>
          <w:sz w:val="24"/>
          <w:szCs w:val="24"/>
          <w:rtl/>
          <w:lang w:bidi="ar-DZ"/>
        </w:rPr>
        <w:t xml:space="preserve"> </w:t>
      </w:r>
      <w:r w:rsidRPr="00157C4E">
        <w:rPr>
          <w:rFonts w:asciiTheme="majorBidi" w:hAnsiTheme="majorBidi" w:cstheme="majorBidi"/>
          <w:sz w:val="24"/>
          <w:szCs w:val="24"/>
          <w:lang w:bidi="ar-DZ"/>
        </w:rPr>
        <w:t>Scheer</w:t>
      </w:r>
      <w:r w:rsidRPr="007A1AB7">
        <w:rPr>
          <w:rFonts w:asciiTheme="majorBidi" w:hAnsiTheme="majorBidi" w:cstheme="majorBidi"/>
          <w:sz w:val="24"/>
          <w:szCs w:val="24"/>
          <w:lang w:bidi="ar-DZ"/>
        </w:rPr>
        <w:t>, 2016;</w:t>
      </w:r>
      <w:r w:rsidRPr="007A1AB7">
        <w:rPr>
          <w:rFonts w:asciiTheme="majorBidi" w:hAnsiTheme="majorBidi" w:cstheme="majorBidi"/>
          <w:sz w:val="24"/>
          <w:szCs w:val="24"/>
          <w:rtl/>
          <w:lang w:bidi="ar-DZ"/>
        </w:rPr>
        <w:t xml:space="preserve"> </w:t>
      </w:r>
      <w:r w:rsidRPr="00157C4E">
        <w:rPr>
          <w:rFonts w:asciiTheme="majorBidi" w:hAnsiTheme="majorBidi" w:cstheme="majorBidi"/>
          <w:sz w:val="24"/>
          <w:szCs w:val="24"/>
          <w:lang w:bidi="ar-DZ"/>
        </w:rPr>
        <w:t>Kropf, 2014;</w:t>
      </w:r>
      <w:r w:rsidRPr="00157C4E">
        <w:rPr>
          <w:rFonts w:asciiTheme="majorBidi" w:hAnsiTheme="majorBidi" w:cstheme="majorBidi"/>
          <w:sz w:val="24"/>
          <w:szCs w:val="24"/>
          <w:rtl/>
          <w:lang w:bidi="ar-DZ"/>
        </w:rPr>
        <w:t>)</w:t>
      </w:r>
      <w:r w:rsidRPr="00157C4E">
        <w:rPr>
          <w:rFonts w:ascii="Simplified Arabic" w:hAnsi="Simplified Arabic" w:cs="Simplified Arabic"/>
          <w:sz w:val="24"/>
          <w:szCs w:val="24"/>
          <w:rtl/>
          <w:lang w:bidi="ar-DZ"/>
        </w:rPr>
        <w:t xml:space="preserve">. </w:t>
      </w:r>
      <w:r w:rsidRPr="00157C4E">
        <w:rPr>
          <w:rFonts w:ascii="Simplified Arabic" w:hAnsi="Simplified Arabic" w:cs="Simplified Arabic" w:hint="cs"/>
          <w:sz w:val="24"/>
          <w:szCs w:val="24"/>
          <w:rtl/>
          <w:lang w:bidi="ar-DZ"/>
        </w:rPr>
        <w:t>بدءًا</w:t>
      </w:r>
      <w:r w:rsidRPr="00157C4E">
        <w:rPr>
          <w:rFonts w:ascii="Simplified Arabic" w:hAnsi="Simplified Arabic" w:cs="Simplified Arabic"/>
          <w:sz w:val="24"/>
          <w:szCs w:val="24"/>
          <w:rtl/>
          <w:lang w:bidi="ar-DZ"/>
        </w:rPr>
        <w:t xml:space="preserve"> </w:t>
      </w:r>
      <w:r w:rsidRPr="00157C4E">
        <w:rPr>
          <w:rFonts w:ascii="Simplified Arabic" w:hAnsi="Simplified Arabic" w:cs="Simplified Arabic" w:hint="cs"/>
          <w:sz w:val="24"/>
          <w:szCs w:val="24"/>
          <w:rtl/>
          <w:lang w:bidi="ar-DZ"/>
        </w:rPr>
        <w:t>من</w:t>
      </w:r>
      <w:r w:rsidRPr="00157C4E">
        <w:rPr>
          <w:rFonts w:ascii="Simplified Arabic" w:hAnsi="Simplified Arabic" w:cs="Simplified Arabic"/>
          <w:sz w:val="24"/>
          <w:szCs w:val="24"/>
          <w:rtl/>
          <w:lang w:bidi="ar-DZ"/>
        </w:rPr>
        <w:t xml:space="preserve"> </w:t>
      </w:r>
      <w:r w:rsidRPr="00157C4E">
        <w:rPr>
          <w:rFonts w:ascii="Simplified Arabic" w:hAnsi="Simplified Arabic" w:cs="Simplified Arabic" w:hint="cs"/>
          <w:sz w:val="24"/>
          <w:szCs w:val="24"/>
          <w:rtl/>
          <w:lang w:bidi="ar-DZ"/>
        </w:rPr>
        <w:t>مساهمات</w:t>
      </w:r>
      <w:r w:rsidRPr="00157C4E">
        <w:rPr>
          <w:rFonts w:ascii="Simplified Arabic" w:hAnsi="Simplified Arabic" w:cs="Simplified Arabic"/>
          <w:sz w:val="24"/>
          <w:szCs w:val="24"/>
          <w:rtl/>
          <w:lang w:bidi="ar-DZ"/>
        </w:rPr>
        <w:t xml:space="preserve"> </w:t>
      </w:r>
      <w:r w:rsidRPr="00157C4E">
        <w:rPr>
          <w:rFonts w:ascii="Simplified Arabic" w:hAnsi="Simplified Arabic" w:cs="Simplified Arabic" w:hint="cs"/>
          <w:sz w:val="24"/>
          <w:szCs w:val="24"/>
          <w:rtl/>
          <w:lang w:bidi="ar-DZ"/>
        </w:rPr>
        <w:t xml:space="preserve">هؤلاء على غرار </w:t>
      </w:r>
      <w:r w:rsidRPr="00157C4E">
        <w:rPr>
          <w:rFonts w:asciiTheme="majorBidi" w:hAnsiTheme="majorBidi" w:cstheme="majorBidi"/>
          <w:sz w:val="24"/>
          <w:szCs w:val="24"/>
          <w:rtl/>
          <w:lang w:bidi="ar-DZ"/>
        </w:rPr>
        <w:t xml:space="preserve">(2016، </w:t>
      </w:r>
      <w:r w:rsidRPr="00157C4E">
        <w:rPr>
          <w:rFonts w:asciiTheme="majorBidi" w:hAnsiTheme="majorBidi" w:cstheme="majorBidi"/>
          <w:sz w:val="24"/>
          <w:szCs w:val="24"/>
          <w:lang w:bidi="ar-DZ"/>
        </w:rPr>
        <w:t>Dibble</w:t>
      </w:r>
      <w:r w:rsidRPr="00157C4E">
        <w:rPr>
          <w:rFonts w:asciiTheme="majorBidi" w:hAnsiTheme="majorBidi" w:cstheme="majorBidi"/>
          <w:sz w:val="24"/>
          <w:szCs w:val="24"/>
          <w:rtl/>
          <w:lang w:bidi="ar-DZ"/>
        </w:rPr>
        <w:t>)</w:t>
      </w:r>
      <w:r w:rsidRPr="004D444D">
        <w:rPr>
          <w:rFonts w:ascii="Simplified Arabic" w:hAnsi="Simplified Arabic" w:cs="Simplified Arabic" w:hint="cs"/>
          <w:sz w:val="24"/>
          <w:szCs w:val="24"/>
          <w:rtl/>
          <w:lang w:bidi="ar-DZ"/>
        </w:rPr>
        <w:t>،</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تم</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وضع سلسلة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من</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المقاييس</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لاختيار مجموعة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من</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المكونات</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الحضرية</w:t>
      </w:r>
      <w:r w:rsidRPr="004D444D">
        <w:rPr>
          <w:rFonts w:ascii="Simplified Arabic" w:hAnsi="Simplified Arabic" w:cs="Simplified Arabic"/>
          <w:sz w:val="24"/>
          <w:szCs w:val="24"/>
          <w:rtl/>
          <w:lang w:bidi="ar-DZ"/>
        </w:rPr>
        <w:t xml:space="preserve"> </w:t>
      </w:r>
      <w:r w:rsidRPr="004D444D">
        <w:rPr>
          <w:rFonts w:ascii="Simplified Arabic" w:hAnsi="Simplified Arabic" w:cs="Simplified Arabic" w:hint="cs"/>
          <w:sz w:val="24"/>
          <w:szCs w:val="24"/>
          <w:rtl/>
          <w:lang w:bidi="ar-DZ"/>
        </w:rPr>
        <w:t>كالتالي:</w:t>
      </w:r>
    </w:p>
    <w:p w:rsidR="002A686B" w:rsidRPr="003B33B4" w:rsidRDefault="002A686B" w:rsidP="00972E43">
      <w:pPr>
        <w:pStyle w:val="Paragraphedeliste"/>
        <w:numPr>
          <w:ilvl w:val="0"/>
          <w:numId w:val="75"/>
        </w:numPr>
        <w:tabs>
          <w:tab w:val="right" w:pos="567"/>
        </w:tabs>
        <w:bidi/>
        <w:spacing w:after="0"/>
        <w:ind w:left="0" w:firstLine="283"/>
        <w:jc w:val="both"/>
        <w:rPr>
          <w:rFonts w:ascii="Simplified Arabic" w:hAnsi="Simplified Arabic" w:cs="Simplified Arabic"/>
          <w:sz w:val="24"/>
          <w:szCs w:val="24"/>
          <w:lang w:bidi="ar-DZ"/>
        </w:rPr>
      </w:pPr>
      <w:r w:rsidRPr="003B33B4">
        <w:rPr>
          <w:rFonts w:ascii="Simplified Arabic" w:hAnsi="Simplified Arabic" w:cs="Simplified Arabic" w:hint="cs"/>
          <w:sz w:val="24"/>
          <w:szCs w:val="24"/>
          <w:rtl/>
          <w:lang w:bidi="ar-DZ"/>
        </w:rPr>
        <w:lastRenderedPageBreak/>
        <w:t>يمكن</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ملاحظتها محليا</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في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أي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مستوطنة،</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بغض</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النظر</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عن</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نوع</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النسيج</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حضري، ضواحي،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تقليدي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وحديث).</w:t>
      </w:r>
    </w:p>
    <w:p w:rsidR="002A686B" w:rsidRPr="003B33B4" w:rsidRDefault="002A686B" w:rsidP="001D0548">
      <w:pPr>
        <w:pStyle w:val="Paragraphedeliste"/>
        <w:numPr>
          <w:ilvl w:val="0"/>
          <w:numId w:val="75"/>
        </w:numPr>
        <w:tabs>
          <w:tab w:val="right" w:pos="567"/>
        </w:tabs>
        <w:bidi/>
        <w:spacing w:before="240" w:after="0"/>
        <w:ind w:left="0" w:firstLine="283"/>
        <w:jc w:val="both"/>
        <w:rPr>
          <w:rFonts w:ascii="Simplified Arabic" w:hAnsi="Simplified Arabic" w:cs="Simplified Arabic"/>
          <w:b/>
          <w:bCs/>
          <w:sz w:val="24"/>
          <w:szCs w:val="24"/>
          <w:lang w:bidi="ar-DZ"/>
        </w:rPr>
      </w:pPr>
      <w:r>
        <w:rPr>
          <w:rFonts w:ascii="Simplified Arabic" w:hAnsi="Simplified Arabic" w:cs="Simplified Arabic" w:hint="cs"/>
          <w:sz w:val="24"/>
          <w:szCs w:val="24"/>
          <w:rtl/>
          <w:lang w:bidi="ar-DZ"/>
        </w:rPr>
        <w:t xml:space="preserve"> </w:t>
      </w:r>
      <w:r w:rsidRPr="003B33B4">
        <w:rPr>
          <w:rFonts w:ascii="Simplified Arabic" w:hAnsi="Simplified Arabic" w:cs="Simplified Arabic" w:hint="cs"/>
          <w:sz w:val="24"/>
          <w:szCs w:val="24"/>
          <w:rtl/>
          <w:lang w:bidi="ar-DZ"/>
        </w:rPr>
        <w:t>لا لبس</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في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تحديدها وتمثيلها</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مكانيًا</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وهندسيًا</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على</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الخريطة.</w:t>
      </w:r>
    </w:p>
    <w:p w:rsidR="002A686B" w:rsidRPr="003B33B4" w:rsidRDefault="002A686B" w:rsidP="001D0548">
      <w:pPr>
        <w:pStyle w:val="Paragraphedeliste"/>
        <w:numPr>
          <w:ilvl w:val="0"/>
          <w:numId w:val="75"/>
        </w:numPr>
        <w:tabs>
          <w:tab w:val="right" w:pos="567"/>
        </w:tabs>
        <w:bidi/>
        <w:spacing w:before="240" w:after="0"/>
        <w:ind w:left="0" w:firstLine="283"/>
        <w:jc w:val="both"/>
        <w:rPr>
          <w:rFonts w:ascii="Simplified Arabic" w:hAnsi="Simplified Arabic" w:cs="Simplified Arabic"/>
          <w:b/>
          <w:bCs/>
          <w:sz w:val="24"/>
          <w:szCs w:val="24"/>
          <w:lang w:bidi="ar-DZ"/>
        </w:rPr>
      </w:pPr>
      <w:r w:rsidRPr="003B33B4">
        <w:rPr>
          <w:rFonts w:ascii="Simplified Arabic" w:hAnsi="Simplified Arabic" w:cs="Simplified Arabic" w:hint="cs"/>
          <w:sz w:val="24"/>
          <w:szCs w:val="24"/>
          <w:rtl/>
          <w:lang w:bidi="ar-DZ"/>
        </w:rPr>
        <w:t xml:space="preserve"> قابلة للقياس</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بشكل</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موضوعي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في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بعدها</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المادي</w:t>
      </w:r>
      <w:r w:rsidRPr="003B33B4">
        <w:rPr>
          <w:rFonts w:ascii="Simplified Arabic" w:hAnsi="Simplified Arabic" w:cs="Simplified Arabic"/>
          <w:sz w:val="24"/>
          <w:szCs w:val="24"/>
          <w:rtl/>
          <w:lang w:bidi="ar-DZ"/>
        </w:rPr>
        <w:t xml:space="preserve"> </w:t>
      </w:r>
      <w:r w:rsidRPr="003B33B4">
        <w:rPr>
          <w:rFonts w:ascii="Simplified Arabic" w:hAnsi="Simplified Arabic" w:cs="Simplified Arabic" w:hint="cs"/>
          <w:sz w:val="24"/>
          <w:szCs w:val="24"/>
          <w:rtl/>
          <w:lang w:bidi="ar-DZ"/>
        </w:rPr>
        <w:t>والهندسي.</w:t>
      </w:r>
    </w:p>
    <w:p w:rsidR="002A686B" w:rsidRPr="000F5D03" w:rsidRDefault="002A686B" w:rsidP="006B6112">
      <w:pPr>
        <w:autoSpaceDE w:val="0"/>
        <w:autoSpaceDN w:val="0"/>
        <w:bidi/>
        <w:adjustRightInd w:val="0"/>
        <w:spacing w:after="0"/>
        <w:ind w:firstLine="283"/>
        <w:jc w:val="both"/>
        <w:rPr>
          <w:rFonts w:ascii="Simplified Arabic" w:hAnsi="Simplified Arabic" w:cs="Simplified Arabic"/>
          <w:color w:val="0D0D0D"/>
          <w:sz w:val="24"/>
          <w:szCs w:val="24"/>
          <w:rtl/>
          <w:lang w:val="en-US"/>
        </w:rPr>
      </w:pPr>
      <w:r w:rsidRPr="000F5D03">
        <w:rPr>
          <w:rFonts w:ascii="Simplified Arabic" w:hAnsi="Simplified Arabic" w:cs="Simplified Arabic" w:hint="cs"/>
          <w:color w:val="0D0D0D"/>
          <w:sz w:val="24"/>
          <w:szCs w:val="24"/>
          <w:rtl/>
          <w:lang w:val="en-US"/>
        </w:rPr>
        <w:t>يعد</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تحديد</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المكونات</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الحضرية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بشكل</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واضح</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مع</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تعريفات</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صارمة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أمرًا</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بالغ</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الأهمية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لمناقشة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السمات</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الاربعة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المحددة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التي</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تم</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تقديمها</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سابقًا</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ضمن</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قسم سمات</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المرونة المكانية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في</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السياق</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الحضري (الفصل 1)</w:t>
      </w:r>
      <w:r w:rsidRPr="000F5D03">
        <w:rPr>
          <w:rFonts w:ascii="Simplified Arabic" w:hAnsi="Simplified Arabic" w:cs="Simplified Arabic"/>
          <w:color w:val="0D0D0D"/>
          <w:sz w:val="24"/>
          <w:szCs w:val="24"/>
          <w:rtl/>
          <w:lang w:val="en-US"/>
        </w:rPr>
        <w:t>.</w:t>
      </w:r>
      <w:r w:rsidRPr="000F5D03">
        <w:rPr>
          <w:rFonts w:ascii="Simplified Arabic" w:hAnsi="Simplified Arabic" w:cs="Simplified Arabic" w:hint="cs"/>
          <w:color w:val="0D0D0D"/>
          <w:sz w:val="24"/>
          <w:szCs w:val="24"/>
          <w:rtl/>
          <w:lang w:val="en-US"/>
        </w:rPr>
        <w:t xml:space="preserve"> يتطلب استكشاف تلك العلاقة المكانية تحليل المكونات</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الحضرية</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 xml:space="preserve">من حيث: كثافة </w:t>
      </w:r>
      <w:r w:rsidR="006B6112">
        <w:rPr>
          <w:rFonts w:ascii="Simplified Arabic" w:hAnsi="Simplified Arabic" w:cs="Simplified Arabic" w:hint="cs"/>
          <w:color w:val="0D0D0D"/>
          <w:sz w:val="24"/>
          <w:szCs w:val="24"/>
          <w:rtl/>
          <w:lang w:val="en-US"/>
        </w:rPr>
        <w:t>البناء</w:t>
      </w:r>
      <w:r w:rsidRPr="000F5D03">
        <w:rPr>
          <w:rFonts w:ascii="Simplified Arabic" w:hAnsi="Simplified Arabic" w:cs="Simplified Arabic" w:hint="cs"/>
          <w:color w:val="0D0D0D"/>
          <w:sz w:val="24"/>
          <w:szCs w:val="24"/>
          <w:rtl/>
          <w:lang w:val="en-US"/>
        </w:rPr>
        <w:t>،</w:t>
      </w:r>
      <w:r w:rsidRPr="000F5D03">
        <w:rPr>
          <w:rFonts w:ascii="Simplified Arabic" w:hAnsi="Simplified Arabic" w:cs="Simplified Arabic"/>
          <w:color w:val="0D0D0D"/>
          <w:sz w:val="24"/>
          <w:szCs w:val="24"/>
          <w:rtl/>
          <w:lang w:val="en-US"/>
        </w:rPr>
        <w:t xml:space="preserve"> تنوع</w:t>
      </w:r>
      <w:r w:rsidRPr="000F5D03">
        <w:rPr>
          <w:rFonts w:ascii="Simplified Arabic" w:hAnsi="Simplified Arabic" w:cs="Simplified Arabic" w:hint="cs"/>
          <w:color w:val="0D0D0D"/>
          <w:sz w:val="24"/>
          <w:szCs w:val="24"/>
          <w:rtl/>
          <w:lang w:val="en-US"/>
        </w:rPr>
        <w:t xml:space="preserve"> المرافق،</w:t>
      </w:r>
      <w:r w:rsidRPr="000F5D03">
        <w:rPr>
          <w:rFonts w:ascii="Simplified Arabic" w:hAnsi="Simplified Arabic" w:cs="Simplified Arabic"/>
          <w:color w:val="0D0D0D"/>
          <w:sz w:val="24"/>
          <w:szCs w:val="24"/>
          <w:rtl/>
          <w:lang w:val="en-US"/>
        </w:rPr>
        <w:t xml:space="preserve"> </w:t>
      </w:r>
      <w:r w:rsidRPr="000F5D03">
        <w:rPr>
          <w:rFonts w:ascii="Simplified Arabic" w:hAnsi="Simplified Arabic" w:cs="Simplified Arabic" w:hint="cs"/>
          <w:color w:val="0D0D0D"/>
          <w:sz w:val="24"/>
          <w:szCs w:val="24"/>
          <w:rtl/>
          <w:lang w:val="en-US"/>
        </w:rPr>
        <w:t>اتصال الطرق الشريانية وتكرار تقاطع شبكة الطرق.</w:t>
      </w:r>
    </w:p>
    <w:p w:rsidR="002A686B" w:rsidRDefault="002A686B" w:rsidP="00346B91">
      <w:pPr>
        <w:autoSpaceDE w:val="0"/>
        <w:autoSpaceDN w:val="0"/>
        <w:bidi/>
        <w:adjustRightInd w:val="0"/>
        <w:spacing w:after="0"/>
        <w:ind w:firstLine="283"/>
        <w:jc w:val="both"/>
        <w:rPr>
          <w:rFonts w:ascii="Simplified Arabic" w:hAnsi="Simplified Arabic" w:cs="Simplified Arabic"/>
          <w:sz w:val="24"/>
          <w:szCs w:val="24"/>
          <w:rtl/>
          <w:lang w:val="en-US" w:bidi="ar-DZ"/>
        </w:rPr>
      </w:pPr>
      <w:r w:rsidRPr="00010D2A">
        <w:rPr>
          <w:rFonts w:ascii="Simplified Arabic" w:hAnsi="Simplified Arabic" w:cs="Simplified Arabic" w:hint="cs"/>
          <w:color w:val="0D0D0D"/>
          <w:sz w:val="24"/>
          <w:szCs w:val="24"/>
          <w:rtl/>
          <w:lang w:val="en-US"/>
        </w:rPr>
        <w:t>يسعى</w:t>
      </w:r>
      <w:r w:rsidRPr="00010D2A">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البحث</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الحالي</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إلى</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استكشاف</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قدرة</w:t>
      </w:r>
      <w:r w:rsidRPr="00010D2A">
        <w:rPr>
          <w:rFonts w:ascii="Simplified Arabic" w:hAnsi="Simplified Arabic" w:cs="Simplified Arabic"/>
          <w:color w:val="0D0D0D"/>
          <w:sz w:val="24"/>
          <w:szCs w:val="24"/>
          <w:rtl/>
          <w:lang w:val="en-US"/>
        </w:rPr>
        <w:t xml:space="preserve"> </w:t>
      </w:r>
      <w:r w:rsidR="00972E43">
        <w:rPr>
          <w:rFonts w:ascii="Simplified Arabic" w:hAnsi="Simplified Arabic" w:cs="Simplified Arabic" w:hint="cs"/>
          <w:color w:val="0D0D0D"/>
          <w:sz w:val="24"/>
          <w:szCs w:val="24"/>
          <w:rtl/>
          <w:lang w:val="en-US"/>
        </w:rPr>
        <w:t>ال</w:t>
      </w:r>
      <w:r w:rsidR="00DA50D1">
        <w:rPr>
          <w:rFonts w:ascii="Simplified Arabic" w:hAnsi="Simplified Arabic" w:cs="Simplified Arabic" w:hint="cs"/>
          <w:color w:val="0D0D0D"/>
          <w:sz w:val="24"/>
          <w:szCs w:val="24"/>
          <w:rtl/>
          <w:lang w:val="en-US"/>
        </w:rPr>
        <w:t xml:space="preserve">احياء </w:t>
      </w:r>
      <w:r w:rsidR="00972E43">
        <w:rPr>
          <w:rFonts w:ascii="Simplified Arabic" w:hAnsi="Simplified Arabic" w:cs="Simplified Arabic" w:hint="cs"/>
          <w:color w:val="0D0D0D"/>
          <w:sz w:val="24"/>
          <w:szCs w:val="24"/>
          <w:rtl/>
          <w:lang w:val="en-US"/>
        </w:rPr>
        <w:t xml:space="preserve">السكنية </w:t>
      </w:r>
      <w:r w:rsidR="00DA50D1">
        <w:rPr>
          <w:rFonts w:ascii="Simplified Arabic" w:hAnsi="Simplified Arabic" w:cs="Simplified Arabic" w:hint="cs"/>
          <w:color w:val="0D0D0D"/>
          <w:sz w:val="24"/>
          <w:szCs w:val="24"/>
          <w:rtl/>
          <w:lang w:val="en-US"/>
        </w:rPr>
        <w:t xml:space="preserve">عبر </w:t>
      </w:r>
      <w:r>
        <w:rPr>
          <w:rFonts w:ascii="Simplified Arabic" w:hAnsi="Simplified Arabic" w:cs="Simplified Arabic" w:hint="cs"/>
          <w:color w:val="0D0D0D"/>
          <w:sz w:val="24"/>
          <w:szCs w:val="24"/>
          <w:rtl/>
          <w:lang w:val="en-US"/>
        </w:rPr>
        <w:t>الانسجة الحضرية لمدينة بوسعادة</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على</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التكيف</w:t>
      </w:r>
      <w:r w:rsidRPr="00010D2A">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مع ال</w:t>
      </w:r>
      <w:r w:rsidRPr="00010D2A">
        <w:rPr>
          <w:rFonts w:ascii="Simplified Arabic" w:hAnsi="Simplified Arabic" w:cs="Simplified Arabic" w:hint="cs"/>
          <w:color w:val="0D0D0D"/>
          <w:sz w:val="24"/>
          <w:szCs w:val="24"/>
          <w:rtl/>
          <w:lang w:val="en-US"/>
        </w:rPr>
        <w:t>تغي</w:t>
      </w:r>
      <w:r>
        <w:rPr>
          <w:rFonts w:ascii="Simplified Arabic" w:hAnsi="Simplified Arabic" w:cs="Simplified Arabic" w:hint="cs"/>
          <w:color w:val="0D0D0D"/>
          <w:sz w:val="24"/>
          <w:szCs w:val="24"/>
          <w:rtl/>
          <w:lang w:val="en-US"/>
        </w:rPr>
        <w:t>ّ</w:t>
      </w:r>
      <w:r w:rsidRPr="00010D2A">
        <w:rPr>
          <w:rFonts w:ascii="Simplified Arabic" w:hAnsi="Simplified Arabic" w:cs="Simplified Arabic" w:hint="cs"/>
          <w:color w:val="0D0D0D"/>
          <w:sz w:val="24"/>
          <w:szCs w:val="24"/>
          <w:rtl/>
          <w:lang w:val="en-US"/>
        </w:rPr>
        <w:t>ر</w:t>
      </w:r>
      <w:r>
        <w:rPr>
          <w:rFonts w:ascii="Simplified Arabic" w:hAnsi="Simplified Arabic" w:cs="Simplified Arabic" w:hint="cs"/>
          <w:color w:val="0D0D0D"/>
          <w:sz w:val="24"/>
          <w:szCs w:val="24"/>
          <w:rtl/>
          <w:lang w:val="en-US"/>
        </w:rPr>
        <w:t>ات</w:t>
      </w:r>
      <w:r w:rsidRPr="00010D2A">
        <w:rPr>
          <w:rFonts w:ascii="Simplified Arabic" w:hAnsi="Simplified Arabic" w:cs="Simplified Arabic"/>
          <w:color w:val="0D0D0D"/>
          <w:sz w:val="24"/>
          <w:szCs w:val="24"/>
          <w:rtl/>
          <w:lang w:val="en-US"/>
        </w:rPr>
        <w:t xml:space="preserve"> </w:t>
      </w:r>
      <w:r w:rsidR="006B6112">
        <w:rPr>
          <w:rFonts w:ascii="Simplified Arabic" w:hAnsi="Simplified Arabic" w:cs="Simplified Arabic" w:hint="cs"/>
          <w:color w:val="0D0D0D"/>
          <w:sz w:val="24"/>
          <w:szCs w:val="24"/>
          <w:rtl/>
          <w:lang w:val="en-US"/>
        </w:rPr>
        <w:t>المناخية</w:t>
      </w:r>
      <w:r>
        <w:rPr>
          <w:rFonts w:ascii="Simplified Arabic" w:hAnsi="Simplified Arabic" w:cs="Simplified Arabic"/>
          <w:color w:val="0D0D0D"/>
          <w:sz w:val="24"/>
          <w:szCs w:val="24"/>
          <w:rtl/>
          <w:lang w:val="en-US"/>
        </w:rPr>
        <w:t>.</w:t>
      </w:r>
      <w:r>
        <w:rPr>
          <w:rFonts w:ascii="Simplified Arabic" w:hAnsi="Simplified Arabic" w:cs="Simplified Arabic" w:hint="cs"/>
          <w:color w:val="0D0D0D"/>
          <w:sz w:val="24"/>
          <w:szCs w:val="24"/>
          <w:rtl/>
          <w:lang w:val="en-US"/>
        </w:rPr>
        <w:t xml:space="preserve"> ل</w:t>
      </w:r>
      <w:r w:rsidRPr="00010D2A">
        <w:rPr>
          <w:rFonts w:ascii="Simplified Arabic" w:hAnsi="Simplified Arabic" w:cs="Simplified Arabic" w:hint="cs"/>
          <w:color w:val="0D0D0D"/>
          <w:sz w:val="24"/>
          <w:szCs w:val="24"/>
          <w:rtl/>
          <w:lang w:val="en-US"/>
        </w:rPr>
        <w:t>ذلك</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يجب</w:t>
      </w:r>
      <w:r w:rsidRPr="00010D2A">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الأخذ</w:t>
      </w:r>
      <w:r w:rsidRPr="00010D2A">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 xml:space="preserve">في الحسبان </w:t>
      </w:r>
      <w:r w:rsidR="003337FD">
        <w:rPr>
          <w:rFonts w:ascii="Simplified Arabic" w:hAnsi="Simplified Arabic" w:cs="Simplified Arabic" w:hint="cs"/>
          <w:sz w:val="24"/>
          <w:szCs w:val="24"/>
          <w:rtl/>
        </w:rPr>
        <w:t>استعمال</w:t>
      </w:r>
      <w:r w:rsidR="00972E43">
        <w:rPr>
          <w:rFonts w:ascii="Simplified Arabic" w:hAnsi="Simplified Arabic" w:cs="Simplified Arabic" w:hint="cs"/>
          <w:sz w:val="24"/>
          <w:szCs w:val="24"/>
          <w:rtl/>
        </w:rPr>
        <w:t>ات</w:t>
      </w:r>
      <w:r w:rsidRPr="00010D2A">
        <w:rPr>
          <w:rFonts w:ascii="Simplified Arabic" w:hAnsi="Simplified Arabic" w:cs="Simplified Arabic"/>
          <w:color w:val="0D0D0D"/>
          <w:sz w:val="24"/>
          <w:szCs w:val="24"/>
          <w:rtl/>
          <w:lang w:val="en-US"/>
        </w:rPr>
        <w:t xml:space="preserve"> </w:t>
      </w:r>
      <w:r w:rsidRPr="00010D2A">
        <w:rPr>
          <w:rFonts w:ascii="Simplified Arabic" w:hAnsi="Simplified Arabic" w:cs="Simplified Arabic" w:hint="cs"/>
          <w:color w:val="0D0D0D"/>
          <w:sz w:val="24"/>
          <w:szCs w:val="24"/>
          <w:rtl/>
          <w:lang w:val="en-US"/>
        </w:rPr>
        <w:t>الأر</w:t>
      </w:r>
      <w:r w:rsidR="00972E43">
        <w:rPr>
          <w:rFonts w:ascii="Simplified Arabic" w:hAnsi="Simplified Arabic" w:cs="Simplified Arabic" w:hint="cs"/>
          <w:color w:val="0D0D0D"/>
          <w:sz w:val="24"/>
          <w:szCs w:val="24"/>
          <w:rtl/>
          <w:lang w:val="en-US"/>
        </w:rPr>
        <w:t>ا</w:t>
      </w:r>
      <w:r w:rsidRPr="00010D2A">
        <w:rPr>
          <w:rFonts w:ascii="Simplified Arabic" w:hAnsi="Simplified Arabic" w:cs="Simplified Arabic" w:hint="cs"/>
          <w:color w:val="0D0D0D"/>
          <w:sz w:val="24"/>
          <w:szCs w:val="24"/>
          <w:rtl/>
          <w:lang w:val="en-US"/>
        </w:rPr>
        <w:t>ض</w:t>
      </w:r>
      <w:r w:rsidR="00972E43">
        <w:rPr>
          <w:rFonts w:ascii="Simplified Arabic" w:hAnsi="Simplified Arabic" w:cs="Simplified Arabic" w:hint="cs"/>
          <w:color w:val="0D0D0D"/>
          <w:sz w:val="24"/>
          <w:szCs w:val="24"/>
          <w:rtl/>
          <w:lang w:val="en-US"/>
        </w:rPr>
        <w:t>ي</w:t>
      </w:r>
      <w:r w:rsidRPr="00010D2A">
        <w:rPr>
          <w:rFonts w:ascii="Simplified Arabic" w:hAnsi="Simplified Arabic" w:cs="Simplified Arabic" w:hint="cs"/>
          <w:color w:val="0D0D0D"/>
          <w:sz w:val="24"/>
          <w:szCs w:val="24"/>
          <w:rtl/>
          <w:lang w:val="en-US"/>
        </w:rPr>
        <w:t xml:space="preserve"> </w:t>
      </w:r>
      <w:r>
        <w:rPr>
          <w:rFonts w:ascii="Simplified Arabic" w:hAnsi="Simplified Arabic" w:cs="Simplified Arabic" w:hint="cs"/>
          <w:color w:val="0D0D0D"/>
          <w:sz w:val="24"/>
          <w:szCs w:val="24"/>
          <w:rtl/>
          <w:lang w:val="en-US"/>
        </w:rPr>
        <w:t xml:space="preserve">الحضرية </w:t>
      </w:r>
      <w:r w:rsidRPr="00010D2A">
        <w:rPr>
          <w:rFonts w:ascii="Simplified Arabic" w:hAnsi="Simplified Arabic" w:cs="Simplified Arabic" w:hint="cs"/>
          <w:color w:val="0D0D0D"/>
          <w:sz w:val="24"/>
          <w:szCs w:val="24"/>
          <w:rtl/>
          <w:lang w:val="en-US"/>
        </w:rPr>
        <w:t>من</w:t>
      </w:r>
      <w:r w:rsidRPr="00010D2A">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حيث</w:t>
      </w:r>
      <w:r w:rsidRPr="00010D2A">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التوزيع المكاني ل</w:t>
      </w:r>
      <w:r w:rsidRPr="00010D2A">
        <w:rPr>
          <w:rFonts w:ascii="Simplified Arabic" w:hAnsi="Simplified Arabic" w:cs="Simplified Arabic" w:hint="cs"/>
          <w:color w:val="0D0D0D"/>
          <w:sz w:val="24"/>
          <w:szCs w:val="24"/>
          <w:rtl/>
          <w:lang w:val="en-US"/>
        </w:rPr>
        <w:t>لمب</w:t>
      </w:r>
      <w:r>
        <w:rPr>
          <w:rFonts w:ascii="Simplified Arabic" w:hAnsi="Simplified Arabic" w:cs="Simplified Arabic" w:hint="cs"/>
          <w:color w:val="0D0D0D"/>
          <w:sz w:val="24"/>
          <w:szCs w:val="24"/>
          <w:rtl/>
          <w:lang w:val="en-US"/>
        </w:rPr>
        <w:t>ا</w:t>
      </w:r>
      <w:r w:rsidRPr="00010D2A">
        <w:rPr>
          <w:rFonts w:ascii="Simplified Arabic" w:hAnsi="Simplified Arabic" w:cs="Simplified Arabic" w:hint="cs"/>
          <w:color w:val="0D0D0D"/>
          <w:sz w:val="24"/>
          <w:szCs w:val="24"/>
          <w:rtl/>
          <w:lang w:val="en-US"/>
        </w:rPr>
        <w:t>ني</w:t>
      </w:r>
      <w:r>
        <w:rPr>
          <w:rFonts w:ascii="Simplified Arabic" w:hAnsi="Simplified Arabic" w:cs="Simplified Arabic" w:hint="cs"/>
          <w:color w:val="0D0D0D"/>
          <w:sz w:val="24"/>
          <w:szCs w:val="24"/>
          <w:rtl/>
          <w:lang w:val="en-US"/>
        </w:rPr>
        <w:t xml:space="preserve">، المرافق الحضرية وشبكة الطرق، </w:t>
      </w:r>
      <w:r w:rsidR="00972E43">
        <w:rPr>
          <w:rFonts w:ascii="Simplified Arabic" w:hAnsi="Simplified Arabic" w:cs="Simplified Arabic" w:hint="cs"/>
          <w:color w:val="0D0D0D"/>
          <w:sz w:val="24"/>
          <w:szCs w:val="24"/>
          <w:rtl/>
          <w:lang w:val="en-US"/>
        </w:rPr>
        <w:t>با</w:t>
      </w:r>
      <w:r w:rsidR="00972E43" w:rsidRPr="00010D2A">
        <w:rPr>
          <w:rFonts w:ascii="Simplified Arabic" w:hAnsi="Simplified Arabic" w:cs="Simplified Arabic" w:hint="cs"/>
          <w:color w:val="0D0D0D"/>
          <w:sz w:val="24"/>
          <w:szCs w:val="24"/>
          <w:rtl/>
          <w:lang w:val="en-US"/>
        </w:rPr>
        <w:t>عتبار</w:t>
      </w:r>
      <w:r>
        <w:rPr>
          <w:rFonts w:ascii="Simplified Arabic" w:hAnsi="Simplified Arabic" w:cs="Simplified Arabic" w:hint="cs"/>
          <w:color w:val="0D0D0D"/>
          <w:sz w:val="24"/>
          <w:szCs w:val="24"/>
          <w:rtl/>
          <w:lang w:val="en-US"/>
        </w:rPr>
        <w:t>ها مكونات حضرية ذات اهمية في تقييم المرونة الحضرية.</w:t>
      </w:r>
    </w:p>
    <w:p w:rsidR="002A686B" w:rsidRPr="00C87697" w:rsidRDefault="002A686B" w:rsidP="001D0548">
      <w:pPr>
        <w:pStyle w:val="Paragraphedeliste"/>
        <w:numPr>
          <w:ilvl w:val="1"/>
          <w:numId w:val="174"/>
        </w:numPr>
        <w:tabs>
          <w:tab w:val="right" w:pos="567"/>
        </w:tabs>
        <w:bidi/>
        <w:spacing w:before="240" w:after="0"/>
        <w:ind w:left="0" w:firstLine="0"/>
        <w:jc w:val="both"/>
        <w:outlineLvl w:val="0"/>
        <w:rPr>
          <w:rFonts w:ascii="Simplified Arabic" w:hAnsi="Simplified Arabic" w:cs="Simplified Arabic"/>
          <w:b/>
          <w:bCs/>
          <w:sz w:val="24"/>
          <w:szCs w:val="24"/>
          <w:rtl/>
          <w:lang w:bidi="ar-DZ"/>
        </w:rPr>
      </w:pPr>
      <w:bookmarkStart w:id="781" w:name="_Toc171803768"/>
      <w:r w:rsidRPr="00C87697">
        <w:rPr>
          <w:rFonts w:ascii="Simplified Arabic" w:hAnsi="Simplified Arabic" w:cs="Simplified Arabic" w:hint="cs"/>
          <w:b/>
          <w:bCs/>
          <w:sz w:val="24"/>
          <w:szCs w:val="24"/>
          <w:rtl/>
          <w:lang w:bidi="ar-DZ"/>
        </w:rPr>
        <w:t>اطار مفاهيمي لتحليل مرونة النظم الحضرية</w:t>
      </w:r>
      <w:bookmarkEnd w:id="781"/>
      <w:r w:rsidRPr="00C87697">
        <w:rPr>
          <w:rFonts w:ascii="Simplified Arabic" w:hAnsi="Simplified Arabic" w:cs="Simplified Arabic" w:hint="cs"/>
          <w:b/>
          <w:bCs/>
          <w:sz w:val="24"/>
          <w:szCs w:val="24"/>
          <w:rtl/>
          <w:lang w:bidi="ar-DZ"/>
        </w:rPr>
        <w:t xml:space="preserve"> </w:t>
      </w:r>
    </w:p>
    <w:p w:rsidR="002A686B" w:rsidRDefault="002A686B" w:rsidP="00E804B0">
      <w:pPr>
        <w:bidi/>
        <w:spacing w:after="0"/>
        <w:ind w:firstLine="283"/>
        <w:jc w:val="both"/>
        <w:rPr>
          <w:rFonts w:ascii="Simplified Arabic" w:hAnsi="Simplified Arabic" w:cs="Simplified Arabic"/>
          <w:sz w:val="24"/>
          <w:szCs w:val="24"/>
          <w:rtl/>
          <w:lang w:bidi="ar-DZ"/>
        </w:rPr>
      </w:pPr>
      <w:r w:rsidRPr="00CB47BD">
        <w:rPr>
          <w:rFonts w:ascii="Simplified Arabic" w:hAnsi="Simplified Arabic" w:cs="Simplified Arabic" w:hint="cs"/>
          <w:sz w:val="24"/>
          <w:szCs w:val="24"/>
          <w:rtl/>
          <w:lang w:bidi="ar-DZ"/>
        </w:rPr>
        <w:t>إن</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الدرجة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التي</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يستطيع</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بها</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النظام</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الاستجابة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أو</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التكيّف</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تعتمد</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جزئيا</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على</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طبيعة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التغي</w:t>
      </w:r>
      <w:r>
        <w:rPr>
          <w:rFonts w:ascii="Simplified Arabic" w:hAnsi="Simplified Arabic" w:cs="Simplified Arabic" w:hint="cs"/>
          <w:sz w:val="24"/>
          <w:szCs w:val="24"/>
          <w:rtl/>
          <w:lang w:bidi="ar-DZ"/>
        </w:rPr>
        <w:t>ّ</w:t>
      </w:r>
      <w:r w:rsidRPr="00CB47BD">
        <w:rPr>
          <w:rFonts w:ascii="Simplified Arabic" w:hAnsi="Simplified Arabic" w:cs="Simplified Arabic" w:hint="cs"/>
          <w:sz w:val="24"/>
          <w:szCs w:val="24"/>
          <w:rtl/>
          <w:lang w:bidi="ar-DZ"/>
        </w:rPr>
        <w:t>رات</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وقوة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الصدمات</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التي</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يتعرض</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لها</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في الحقيقة</w:t>
      </w:r>
      <w:r w:rsidRPr="00CB47BD">
        <w:rPr>
          <w:rFonts w:ascii="Simplified Arabic" w:hAnsi="Simplified Arabic" w:cs="Simplified Arabic" w:hint="cs"/>
          <w:sz w:val="24"/>
          <w:szCs w:val="24"/>
          <w:rtl/>
          <w:lang w:bidi="ar-DZ"/>
        </w:rPr>
        <w:t>،</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قد</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يكون</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النظام</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الحضري </w:t>
      </w:r>
      <w:r w:rsidRPr="00CB47BD">
        <w:rPr>
          <w:rFonts w:ascii="Simplified Arabic" w:hAnsi="Simplified Arabic" w:cs="Simplified Arabic" w:hint="cs"/>
          <w:sz w:val="24"/>
          <w:szCs w:val="24"/>
          <w:rtl/>
          <w:lang w:bidi="ar-DZ"/>
        </w:rPr>
        <w:t>أكثر</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أو</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أقل</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استعدادًا</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لتنفيذ</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استجابة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معينة</w:t>
      </w:r>
      <w:r>
        <w:rPr>
          <w:rFonts w:ascii="Simplified Arabic" w:hAnsi="Simplified Arabic" w:cs="Simplified Arabic" w:hint="cs"/>
          <w:sz w:val="24"/>
          <w:szCs w:val="24"/>
          <w:rtl/>
          <w:lang w:bidi="ar-DZ"/>
        </w:rPr>
        <w:t>،</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بناءً</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على</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سلسلة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من</w:t>
      </w:r>
      <w:r w:rsidRPr="00CB47BD">
        <w:rPr>
          <w:rFonts w:ascii="Simplified Arabic" w:hAnsi="Simplified Arabic" w:cs="Simplified Arabic"/>
          <w:sz w:val="24"/>
          <w:szCs w:val="24"/>
          <w:rtl/>
          <w:lang w:bidi="ar-DZ"/>
        </w:rPr>
        <w:t xml:space="preserve"> </w:t>
      </w:r>
      <w:r w:rsidR="006B6112">
        <w:rPr>
          <w:rFonts w:ascii="Simplified Arabic" w:hAnsi="Simplified Arabic" w:cs="Simplified Arabic" w:hint="cs"/>
          <w:sz w:val="24"/>
          <w:szCs w:val="24"/>
          <w:rtl/>
          <w:lang w:bidi="ar-DZ"/>
        </w:rPr>
        <w:t>السم</w:t>
      </w:r>
      <w:r w:rsidRPr="00CB47BD">
        <w:rPr>
          <w:rFonts w:ascii="Simplified Arabic" w:hAnsi="Simplified Arabic" w:cs="Simplified Arabic" w:hint="cs"/>
          <w:sz w:val="24"/>
          <w:szCs w:val="24"/>
          <w:rtl/>
          <w:lang w:bidi="ar-DZ"/>
        </w:rPr>
        <w:t>ات</w:t>
      </w:r>
      <w:r>
        <w:rPr>
          <w:rFonts w:ascii="Simplified Arabic" w:hAnsi="Simplified Arabic" w:cs="Simplified Arabic" w:hint="cs"/>
          <w:sz w:val="24"/>
          <w:szCs w:val="24"/>
          <w:rtl/>
          <w:lang w:bidi="ar-DZ"/>
        </w:rPr>
        <w:t xml:space="preserve"> </w:t>
      </w:r>
      <w:r w:rsidRPr="00CB47BD">
        <w:rPr>
          <w:rFonts w:ascii="Simplified Arabic" w:hAnsi="Simplified Arabic" w:cs="Simplified Arabic" w:hint="cs"/>
          <w:sz w:val="24"/>
          <w:szCs w:val="24"/>
          <w:rtl/>
          <w:lang w:bidi="ar-DZ"/>
        </w:rPr>
        <w:t>التي</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w:t>
      </w:r>
      <w:r w:rsidRPr="00CB47BD">
        <w:rPr>
          <w:rFonts w:ascii="Simplified Arabic" w:hAnsi="Simplified Arabic" w:cs="Simplified Arabic" w:hint="cs"/>
          <w:sz w:val="24"/>
          <w:szCs w:val="24"/>
          <w:rtl/>
          <w:lang w:bidi="ar-DZ"/>
        </w:rPr>
        <w:t>متلكها</w:t>
      </w:r>
      <w:r>
        <w:rPr>
          <w:rFonts w:ascii="Simplified Arabic" w:hAnsi="Simplified Arabic" w:cs="Simplified Arabic" w:hint="cs"/>
          <w:sz w:val="24"/>
          <w:szCs w:val="24"/>
          <w:rtl/>
          <w:lang w:bidi="ar-DZ"/>
        </w:rPr>
        <w:t xml:space="preserve"> المكونات</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الوظيفية و</w:t>
      </w:r>
      <w:r w:rsidRPr="00CB47BD">
        <w:rPr>
          <w:rFonts w:ascii="Simplified Arabic" w:hAnsi="Simplified Arabic" w:cs="Simplified Arabic" w:hint="cs"/>
          <w:sz w:val="24"/>
          <w:szCs w:val="24"/>
          <w:rtl/>
          <w:lang w:bidi="ar-DZ"/>
        </w:rPr>
        <w:t>الهيكلية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الكامنة</w:t>
      </w:r>
      <w:r>
        <w:rPr>
          <w:rFonts w:ascii="Simplified Arabic" w:hAnsi="Simplified Arabic" w:cs="Simplified Arabic" w:hint="cs"/>
          <w:sz w:val="24"/>
          <w:szCs w:val="24"/>
          <w:rtl/>
          <w:lang w:bidi="ar-DZ"/>
        </w:rPr>
        <w:t xml:space="preserve"> (الضمنية للنظام)</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هذه</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الصفات</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أو</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السمات</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بطبيعتها</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تكون متواجدة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في</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جميع</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أنواع</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الأنظمة</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المعقدة </w:t>
      </w:r>
      <w:r w:rsidRPr="00CB47BD">
        <w:rPr>
          <w:rFonts w:ascii="Simplified Arabic" w:hAnsi="Simplified Arabic" w:cs="Simplified Arabic" w:hint="cs"/>
          <w:sz w:val="24"/>
          <w:szCs w:val="24"/>
          <w:rtl/>
          <w:lang w:bidi="ar-DZ"/>
        </w:rPr>
        <w:t>ولا</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ترتبط</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بأي</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اضطراب</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معين</w:t>
      </w:r>
      <w:r>
        <w:rPr>
          <w:rFonts w:ascii="Simplified Arabic" w:hAnsi="Simplified Arabic" w:cs="Simplified Arabic" w:hint="cs"/>
          <w:sz w:val="24"/>
          <w:szCs w:val="24"/>
          <w:rtl/>
          <w:lang w:bidi="ar-DZ"/>
        </w:rPr>
        <w:t xml:space="preserve">، </w:t>
      </w:r>
      <w:r w:rsidRPr="00CB47BD">
        <w:rPr>
          <w:rFonts w:ascii="Simplified Arabic" w:hAnsi="Simplified Arabic" w:cs="Simplified Arabic" w:hint="cs"/>
          <w:sz w:val="24"/>
          <w:szCs w:val="24"/>
          <w:rtl/>
          <w:lang w:bidi="ar-DZ"/>
        </w:rPr>
        <w:t>لكن</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لها</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تأثير</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على</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سلوك</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الأنظمة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بشكل</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عام</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CB47BD">
        <w:rPr>
          <w:rFonts w:ascii="Simplified Arabic" w:hAnsi="Simplified Arabic" w:cs="Simplified Arabic" w:hint="cs"/>
          <w:sz w:val="24"/>
          <w:szCs w:val="24"/>
          <w:rtl/>
          <w:lang w:bidi="ar-DZ"/>
        </w:rPr>
        <w:t>بناءً</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على</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ذلك،</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فإن</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توافر</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أو</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عدم</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توافر</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سمة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معينة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قد</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يزيد</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أو</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يقلل</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من</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فعالية</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النظام</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في</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التعامل</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مع</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الضغوط</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أو</w:t>
      </w:r>
      <w:r w:rsidRPr="00CB47BD">
        <w:rPr>
          <w:rFonts w:ascii="Simplified Arabic" w:hAnsi="Simplified Arabic" w:cs="Simplified Arabic"/>
          <w:sz w:val="24"/>
          <w:szCs w:val="24"/>
          <w:rtl/>
          <w:lang w:bidi="ar-DZ"/>
        </w:rPr>
        <w:t xml:space="preserve"> </w:t>
      </w:r>
      <w:r w:rsidRPr="00CB47BD">
        <w:rPr>
          <w:rFonts w:ascii="Simplified Arabic" w:hAnsi="Simplified Arabic" w:cs="Simplified Arabic" w:hint="cs"/>
          <w:sz w:val="24"/>
          <w:szCs w:val="24"/>
          <w:rtl/>
          <w:lang w:bidi="ar-DZ"/>
        </w:rPr>
        <w:t>الصدمات</w:t>
      </w:r>
      <w:r w:rsidRPr="00CB47BD">
        <w:rPr>
          <w:rFonts w:ascii="Simplified Arabic" w:hAnsi="Simplified Arabic" w:cs="Simplified Arabic"/>
          <w:sz w:val="24"/>
          <w:szCs w:val="24"/>
          <w:rtl/>
          <w:lang w:bidi="ar-DZ"/>
        </w:rPr>
        <w:t xml:space="preserve"> </w:t>
      </w:r>
      <w:r w:rsidRPr="00CB47BD">
        <w:rPr>
          <w:rFonts w:asciiTheme="majorBidi" w:hAnsiTheme="majorBidi" w:cstheme="majorBidi"/>
          <w:sz w:val="24"/>
          <w:szCs w:val="24"/>
          <w:rtl/>
          <w:lang w:bidi="ar-DZ"/>
        </w:rPr>
        <w:t>(</w:t>
      </w:r>
      <w:r w:rsidRPr="00806B42">
        <w:rPr>
          <w:rFonts w:ascii="Times New Roman" w:eastAsia="Times New Roman" w:hAnsi="Times New Roman" w:cs="Times New Roman"/>
          <w:color w:val="000000"/>
          <w:sz w:val="24"/>
          <w:szCs w:val="24"/>
          <w:lang w:val="en-US" w:eastAsia="fr-FR"/>
        </w:rPr>
        <w:t>ARUP</w:t>
      </w:r>
      <w:r w:rsidRPr="00CB47BD">
        <w:rPr>
          <w:rFonts w:asciiTheme="majorBidi" w:hAnsiTheme="majorBidi" w:cstheme="majorBidi"/>
          <w:sz w:val="24"/>
          <w:szCs w:val="24"/>
          <w:lang w:bidi="ar-DZ"/>
        </w:rPr>
        <w:t>, 2014</w:t>
      </w:r>
      <w:r w:rsidRPr="00CB47BD">
        <w:rPr>
          <w:rFonts w:asciiTheme="majorBidi" w:hAnsiTheme="majorBidi" w:cstheme="majorBidi"/>
          <w:sz w:val="24"/>
          <w:szCs w:val="24"/>
          <w:rtl/>
          <w:lang w:bidi="ar-DZ"/>
        </w:rPr>
        <w:t>)</w:t>
      </w:r>
      <w:r w:rsidRPr="00CB47BD">
        <w:rPr>
          <w:rFonts w:ascii="Simplified Arabic" w:hAnsi="Simplified Arabic" w:cs="Simplified Arabic"/>
          <w:sz w:val="24"/>
          <w:szCs w:val="24"/>
          <w:rtl/>
          <w:lang w:bidi="ar-DZ"/>
        </w:rPr>
        <w:t xml:space="preserve">. </w:t>
      </w:r>
    </w:p>
    <w:p w:rsidR="00662049" w:rsidRDefault="002A686B" w:rsidP="002A686B">
      <w:pPr>
        <w:bidi/>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في سياق آخر، </w:t>
      </w:r>
      <w:r w:rsidRPr="00893225">
        <w:rPr>
          <w:rFonts w:ascii="Simplified Arabic" w:hAnsi="Simplified Arabic" w:cs="Simplified Arabic" w:hint="cs"/>
          <w:sz w:val="24"/>
          <w:szCs w:val="24"/>
          <w:rtl/>
          <w:lang w:bidi="ar-DZ"/>
        </w:rPr>
        <w:t>اقترح</w:t>
      </w:r>
      <w:r w:rsidRPr="00893225">
        <w:rPr>
          <w:rFonts w:ascii="Simplified Arabic" w:hAnsi="Simplified Arabic" w:cs="Simplified Arabic"/>
          <w:sz w:val="24"/>
          <w:szCs w:val="24"/>
          <w:rtl/>
          <w:lang w:bidi="ar-DZ"/>
        </w:rPr>
        <w:t xml:space="preserve"> </w:t>
      </w:r>
      <w:r w:rsidRPr="00F90289">
        <w:rPr>
          <w:rFonts w:asciiTheme="majorBidi" w:hAnsiTheme="majorBidi" w:cstheme="majorBidi"/>
          <w:sz w:val="24"/>
          <w:szCs w:val="24"/>
          <w:rtl/>
        </w:rPr>
        <w:t>(</w:t>
      </w:r>
      <w:r w:rsidRPr="0024519A">
        <w:rPr>
          <w:rFonts w:asciiTheme="majorBidi" w:hAnsiTheme="majorBidi" w:cstheme="majorBidi"/>
          <w:sz w:val="24"/>
          <w:szCs w:val="24"/>
        </w:rPr>
        <w:t>Sharifi</w:t>
      </w:r>
      <w:r w:rsidRPr="00F90289">
        <w:rPr>
          <w:rFonts w:asciiTheme="majorBidi" w:hAnsiTheme="majorBidi" w:cstheme="majorBidi"/>
          <w:sz w:val="24"/>
          <w:szCs w:val="24"/>
        </w:rPr>
        <w:t>, 2019</w:t>
      </w:r>
      <w:r w:rsidRPr="00F90289">
        <w:rPr>
          <w:rFonts w:asciiTheme="majorBidi" w:hAnsiTheme="majorBidi" w:cstheme="majorBidi"/>
          <w:sz w:val="24"/>
          <w:szCs w:val="24"/>
          <w:rtl/>
        </w:rPr>
        <w:t>)</w:t>
      </w:r>
      <w:r>
        <w:rPr>
          <w:rFonts w:asciiTheme="majorBidi" w:hAnsiTheme="majorBidi" w:cstheme="majorBidi"/>
          <w:sz w:val="24"/>
          <w:szCs w:val="24"/>
        </w:rPr>
        <w:t xml:space="preserve"> </w:t>
      </w:r>
      <w:r>
        <w:rPr>
          <w:rFonts w:ascii="Simplified Arabic" w:hAnsi="Simplified Arabic" w:cs="Simplified Arabic" w:hint="cs"/>
          <w:sz w:val="24"/>
          <w:szCs w:val="24"/>
          <w:rtl/>
          <w:lang w:bidi="ar-DZ"/>
        </w:rPr>
        <w:t>إطار</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مفاهيمي</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لتحليل</w:t>
      </w:r>
      <w:r w:rsidRPr="0089322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893225">
        <w:rPr>
          <w:rFonts w:ascii="Simplified Arabic" w:hAnsi="Simplified Arabic" w:cs="Simplified Arabic" w:hint="cs"/>
          <w:sz w:val="24"/>
          <w:szCs w:val="24"/>
          <w:rtl/>
          <w:lang w:bidi="ar-DZ"/>
        </w:rPr>
        <w:t>مرونة</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الحضري</w:t>
      </w:r>
      <w:r>
        <w:rPr>
          <w:rFonts w:ascii="Simplified Arabic" w:hAnsi="Simplified Arabic" w:cs="Simplified Arabic" w:hint="cs"/>
          <w:sz w:val="24"/>
          <w:szCs w:val="24"/>
          <w:rtl/>
          <w:lang w:bidi="ar-DZ"/>
        </w:rPr>
        <w:t>ة،</w:t>
      </w:r>
      <w:r w:rsidRPr="0089322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وفق </w:t>
      </w:r>
      <w:r w:rsidRPr="00893225">
        <w:rPr>
          <w:rFonts w:ascii="Simplified Arabic" w:hAnsi="Simplified Arabic" w:cs="Simplified Arabic" w:hint="cs"/>
          <w:sz w:val="24"/>
          <w:szCs w:val="24"/>
          <w:rtl/>
          <w:lang w:bidi="ar-DZ"/>
        </w:rPr>
        <w:t>الشكل</w:t>
      </w:r>
      <w:r w:rsidRPr="0089322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رقم (6-2)</w:t>
      </w:r>
      <w:r w:rsidR="00662049">
        <w:rPr>
          <w:rFonts w:ascii="Simplified Arabic" w:hAnsi="Simplified Arabic" w:cs="Simplified Arabic" w:hint="cs"/>
          <w:sz w:val="24"/>
          <w:szCs w:val="24"/>
          <w:rtl/>
          <w:lang w:bidi="ar-DZ"/>
        </w:rPr>
        <w:t>.</w:t>
      </w:r>
    </w:p>
    <w:p w:rsidR="00662049" w:rsidRPr="0089158C" w:rsidRDefault="00662049" w:rsidP="00D2461F">
      <w:pPr>
        <w:pStyle w:val="fegure"/>
        <w:spacing w:before="240"/>
        <w:rPr>
          <w:sz w:val="8"/>
          <w:szCs w:val="24"/>
          <w:rtl/>
          <w:lang w:bidi="ar-DZ"/>
        </w:rPr>
      </w:pPr>
      <w:bookmarkStart w:id="782" w:name="_Toc157608353"/>
      <w:bookmarkStart w:id="783" w:name="_Toc171803769"/>
      <w:r w:rsidRPr="0089158C">
        <w:rPr>
          <w:rFonts w:hint="cs"/>
          <w:sz w:val="8"/>
          <w:szCs w:val="24"/>
          <w:rtl/>
          <w:lang w:bidi="ar-DZ"/>
        </w:rPr>
        <w:t>الشكل</w:t>
      </w:r>
      <w:r w:rsidRPr="0089158C">
        <w:rPr>
          <w:sz w:val="8"/>
          <w:szCs w:val="24"/>
          <w:rtl/>
          <w:lang w:bidi="ar-DZ"/>
        </w:rPr>
        <w:t xml:space="preserve"> </w:t>
      </w:r>
      <w:r w:rsidRPr="0089158C">
        <w:rPr>
          <w:rFonts w:hint="cs"/>
          <w:sz w:val="8"/>
          <w:szCs w:val="24"/>
          <w:rtl/>
          <w:lang w:bidi="ar-DZ"/>
        </w:rPr>
        <w:t>(6-2): اطار مفاهيمي لتحليل مرونة النظم الحضرية</w:t>
      </w:r>
      <w:bookmarkEnd w:id="782"/>
      <w:bookmarkEnd w:id="783"/>
    </w:p>
    <w:p w:rsidR="00662049" w:rsidRPr="00D2461F" w:rsidRDefault="00662049" w:rsidP="00662049">
      <w:pPr>
        <w:bidi/>
        <w:spacing w:after="0" w:line="240" w:lineRule="auto"/>
        <w:jc w:val="center"/>
        <w:rPr>
          <w:rFonts w:ascii="Simplified Arabic" w:hAnsi="Simplified Arabic" w:cs="Simplified Arabic"/>
          <w:b/>
          <w:bCs/>
          <w:sz w:val="24"/>
          <w:szCs w:val="24"/>
          <w:rtl/>
          <w:lang w:bidi="ar-DZ"/>
        </w:rPr>
      </w:pPr>
      <w:r w:rsidRPr="00D2461F">
        <w:rPr>
          <w:rFonts w:ascii="Simplified Arabic" w:hAnsi="Simplified Arabic" w:cs="Simplified Arabic" w:hint="cs"/>
          <w:b/>
          <w:bCs/>
          <w:sz w:val="24"/>
          <w:szCs w:val="24"/>
          <w:rtl/>
        </w:rPr>
        <w:t>المصدر: (ترجمة الباحث وفق اطار</w:t>
      </w:r>
      <w:r w:rsidRPr="00D2461F">
        <w:rPr>
          <w:rFonts w:asciiTheme="majorBidi" w:hAnsiTheme="majorBidi" w:cstheme="majorBidi"/>
          <w:b/>
          <w:bCs/>
          <w:sz w:val="24"/>
          <w:szCs w:val="24"/>
          <w:rtl/>
        </w:rPr>
        <w:t>(</w:t>
      </w:r>
      <w:r w:rsidRPr="00D2461F">
        <w:rPr>
          <w:rFonts w:asciiTheme="majorBidi" w:hAnsiTheme="majorBidi" w:cstheme="majorBidi"/>
          <w:b/>
          <w:bCs/>
          <w:sz w:val="24"/>
          <w:szCs w:val="24"/>
        </w:rPr>
        <w:t>Sharifi, 2019</w:t>
      </w:r>
      <w:r w:rsidRPr="00D2461F">
        <w:rPr>
          <w:rFonts w:asciiTheme="majorBidi" w:hAnsiTheme="majorBidi" w:cstheme="majorBidi"/>
          <w:b/>
          <w:bCs/>
          <w:sz w:val="24"/>
          <w:szCs w:val="24"/>
          <w:rtl/>
        </w:rPr>
        <w:t>)</w:t>
      </w:r>
      <w:r w:rsidRPr="00D2461F">
        <w:rPr>
          <w:rFonts w:ascii="Simplified Arabic" w:hAnsi="Simplified Arabic" w:cs="Simplified Arabic"/>
          <w:b/>
          <w:bCs/>
          <w:sz w:val="24"/>
          <w:szCs w:val="24"/>
          <w:rtl/>
        </w:rPr>
        <w:t>)</w:t>
      </w:r>
    </w:p>
    <w:p w:rsidR="00662049" w:rsidRDefault="00662049" w:rsidP="00662049">
      <w:pPr>
        <w:bidi/>
        <w:spacing w:after="0"/>
        <w:ind w:firstLine="283"/>
        <w:jc w:val="center"/>
        <w:rPr>
          <w:rFonts w:ascii="Simplified Arabic" w:hAnsi="Simplified Arabic" w:cs="Simplified Arabic"/>
          <w:sz w:val="24"/>
          <w:szCs w:val="24"/>
          <w:rtl/>
          <w:lang w:bidi="ar-DZ"/>
        </w:rPr>
      </w:pPr>
      <w:r>
        <w:rPr>
          <w:rFonts w:ascii="Simplified Arabic" w:hAnsi="Simplified Arabic" w:cs="Simplified Arabic"/>
          <w:noProof/>
          <w:color w:val="000000" w:themeColor="text1"/>
          <w:sz w:val="24"/>
          <w:szCs w:val="24"/>
          <w:rtl/>
          <w:lang w:eastAsia="fr-FR"/>
        </w:rPr>
        <w:drawing>
          <wp:inline distT="0" distB="0" distL="0" distR="0" wp14:anchorId="2F0C8E08" wp14:editId="0FB18FDE">
            <wp:extent cx="4899803" cy="2363638"/>
            <wp:effectExtent l="38100" t="19050" r="53340" b="36830"/>
            <wp:docPr id="106" name="Diagramme 10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6" r:lo="rId277" r:qs="rId278" r:cs="rId279"/>
              </a:graphicData>
            </a:graphic>
          </wp:inline>
        </w:drawing>
      </w:r>
    </w:p>
    <w:p w:rsidR="00662049" w:rsidRDefault="00662049" w:rsidP="00662049">
      <w:pPr>
        <w:bidi/>
        <w:spacing w:after="0"/>
        <w:ind w:firstLine="283"/>
        <w:jc w:val="both"/>
        <w:rPr>
          <w:rFonts w:ascii="Simplified Arabic" w:hAnsi="Simplified Arabic" w:cs="Simplified Arabic"/>
          <w:sz w:val="24"/>
          <w:szCs w:val="24"/>
          <w:rtl/>
          <w:lang w:bidi="ar-DZ"/>
        </w:rPr>
      </w:pPr>
    </w:p>
    <w:p w:rsidR="002A686B" w:rsidRDefault="002A686B" w:rsidP="00FF0E60">
      <w:pPr>
        <w:bidi/>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lastRenderedPageBreak/>
        <w:t>قام</w:t>
      </w:r>
      <w:r w:rsidRPr="00893225">
        <w:rPr>
          <w:rFonts w:ascii="Simplified Arabic" w:hAnsi="Simplified Arabic" w:cs="Simplified Arabic"/>
          <w:sz w:val="24"/>
          <w:szCs w:val="24"/>
          <w:rtl/>
          <w:lang w:bidi="ar-DZ"/>
        </w:rPr>
        <w:t xml:space="preserve"> </w:t>
      </w:r>
      <w:r w:rsidR="00662049" w:rsidRPr="00F90289">
        <w:rPr>
          <w:rFonts w:asciiTheme="majorBidi" w:hAnsiTheme="majorBidi" w:cstheme="majorBidi"/>
          <w:sz w:val="24"/>
          <w:szCs w:val="24"/>
          <w:rtl/>
        </w:rPr>
        <w:t>(</w:t>
      </w:r>
      <w:r w:rsidR="00662049" w:rsidRPr="0024519A">
        <w:rPr>
          <w:rFonts w:asciiTheme="majorBidi" w:hAnsiTheme="majorBidi" w:cstheme="majorBidi"/>
          <w:sz w:val="24"/>
          <w:szCs w:val="24"/>
        </w:rPr>
        <w:t>Sharifi</w:t>
      </w:r>
      <w:r w:rsidR="00662049" w:rsidRPr="00F90289">
        <w:rPr>
          <w:rFonts w:asciiTheme="majorBidi" w:hAnsiTheme="majorBidi" w:cstheme="majorBidi"/>
          <w:sz w:val="24"/>
          <w:szCs w:val="24"/>
        </w:rPr>
        <w:t>, 2019</w:t>
      </w:r>
      <w:r w:rsidR="00662049" w:rsidRPr="00F90289">
        <w:rPr>
          <w:rFonts w:asciiTheme="majorBidi" w:hAnsiTheme="majorBidi" w:cstheme="majorBidi"/>
          <w:sz w:val="24"/>
          <w:szCs w:val="24"/>
          <w:rtl/>
        </w:rPr>
        <w:t>)</w:t>
      </w:r>
      <w:r w:rsidR="00662049">
        <w:rPr>
          <w:rFonts w:asciiTheme="majorBidi" w:hAnsiTheme="majorBidi" w:cstheme="majorBidi" w:hint="cs"/>
          <w:sz w:val="24"/>
          <w:szCs w:val="24"/>
          <w:rtl/>
        </w:rPr>
        <w:t xml:space="preserve"> </w:t>
      </w:r>
      <w:r w:rsidR="00FF0E60">
        <w:rPr>
          <w:rFonts w:ascii="Simplified Arabic" w:hAnsi="Simplified Arabic" w:cs="Simplified Arabic" w:hint="cs"/>
          <w:sz w:val="24"/>
          <w:szCs w:val="24"/>
          <w:rtl/>
          <w:lang w:bidi="ar-DZ"/>
        </w:rPr>
        <w:t>بتطوير إطار</w:t>
      </w:r>
      <w:r w:rsidR="00FF0E60" w:rsidRPr="00893225">
        <w:rPr>
          <w:rFonts w:ascii="Simplified Arabic" w:hAnsi="Simplified Arabic" w:cs="Simplified Arabic"/>
          <w:sz w:val="24"/>
          <w:szCs w:val="24"/>
          <w:rtl/>
          <w:lang w:bidi="ar-DZ"/>
        </w:rPr>
        <w:t xml:space="preserve"> </w:t>
      </w:r>
      <w:r w:rsidR="00FF0E60" w:rsidRPr="00893225">
        <w:rPr>
          <w:rFonts w:ascii="Simplified Arabic" w:hAnsi="Simplified Arabic" w:cs="Simplified Arabic" w:hint="cs"/>
          <w:sz w:val="24"/>
          <w:szCs w:val="24"/>
          <w:rtl/>
          <w:lang w:bidi="ar-DZ"/>
        </w:rPr>
        <w:t>مفاهيمي</w:t>
      </w:r>
      <w:r w:rsidR="00FF0E60" w:rsidRPr="00893225">
        <w:rPr>
          <w:rFonts w:ascii="Simplified Arabic" w:hAnsi="Simplified Arabic" w:cs="Simplified Arabic"/>
          <w:sz w:val="24"/>
          <w:szCs w:val="24"/>
          <w:rtl/>
          <w:lang w:bidi="ar-DZ"/>
        </w:rPr>
        <w:t xml:space="preserve"> </w:t>
      </w:r>
      <w:r w:rsidR="00FF0E60" w:rsidRPr="00893225">
        <w:rPr>
          <w:rFonts w:ascii="Simplified Arabic" w:hAnsi="Simplified Arabic" w:cs="Simplified Arabic" w:hint="cs"/>
          <w:sz w:val="24"/>
          <w:szCs w:val="24"/>
          <w:rtl/>
          <w:lang w:bidi="ar-DZ"/>
        </w:rPr>
        <w:t>لتحليل</w:t>
      </w:r>
      <w:r w:rsidR="00FF0E60" w:rsidRPr="00893225">
        <w:rPr>
          <w:rFonts w:ascii="Simplified Arabic" w:hAnsi="Simplified Arabic" w:cs="Simplified Arabic"/>
          <w:sz w:val="24"/>
          <w:szCs w:val="24"/>
          <w:rtl/>
          <w:lang w:bidi="ar-DZ"/>
        </w:rPr>
        <w:t xml:space="preserve"> </w:t>
      </w:r>
      <w:r w:rsidR="00FF0E60">
        <w:rPr>
          <w:rFonts w:ascii="Simplified Arabic" w:hAnsi="Simplified Arabic" w:cs="Simplified Arabic" w:hint="cs"/>
          <w:sz w:val="24"/>
          <w:szCs w:val="24"/>
          <w:rtl/>
          <w:lang w:bidi="ar-DZ"/>
        </w:rPr>
        <w:t>ال</w:t>
      </w:r>
      <w:r w:rsidR="00FF0E60" w:rsidRPr="00893225">
        <w:rPr>
          <w:rFonts w:ascii="Simplified Arabic" w:hAnsi="Simplified Arabic" w:cs="Simplified Arabic" w:hint="cs"/>
          <w:sz w:val="24"/>
          <w:szCs w:val="24"/>
          <w:rtl/>
          <w:lang w:bidi="ar-DZ"/>
        </w:rPr>
        <w:t>مرونة</w:t>
      </w:r>
      <w:r w:rsidR="00FF0E60" w:rsidRPr="00893225">
        <w:rPr>
          <w:rFonts w:ascii="Simplified Arabic" w:hAnsi="Simplified Arabic" w:cs="Simplified Arabic"/>
          <w:sz w:val="24"/>
          <w:szCs w:val="24"/>
          <w:rtl/>
          <w:lang w:bidi="ar-DZ"/>
        </w:rPr>
        <w:t xml:space="preserve"> </w:t>
      </w:r>
      <w:r w:rsidR="00FF0E60" w:rsidRPr="00893225">
        <w:rPr>
          <w:rFonts w:ascii="Simplified Arabic" w:hAnsi="Simplified Arabic" w:cs="Simplified Arabic" w:hint="cs"/>
          <w:sz w:val="24"/>
          <w:szCs w:val="24"/>
          <w:rtl/>
          <w:lang w:bidi="ar-DZ"/>
        </w:rPr>
        <w:t>الحضري</w:t>
      </w:r>
      <w:r w:rsidR="00FF0E60">
        <w:rPr>
          <w:rFonts w:ascii="Simplified Arabic" w:hAnsi="Simplified Arabic" w:cs="Simplified Arabic" w:hint="cs"/>
          <w:sz w:val="24"/>
          <w:szCs w:val="24"/>
          <w:rtl/>
          <w:lang w:bidi="ar-DZ"/>
        </w:rPr>
        <w:t>ة</w:t>
      </w:r>
      <w:r w:rsidR="00FF0E60" w:rsidRPr="00893225">
        <w:rPr>
          <w:rFonts w:ascii="Simplified Arabic" w:hAnsi="Simplified Arabic" w:cs="Simplified Arabic" w:hint="cs"/>
          <w:sz w:val="24"/>
          <w:szCs w:val="24"/>
          <w:rtl/>
          <w:lang w:bidi="ar-DZ"/>
        </w:rPr>
        <w:t xml:space="preserve"> </w:t>
      </w:r>
      <w:r w:rsidRPr="00893225">
        <w:rPr>
          <w:rFonts w:ascii="Simplified Arabic" w:hAnsi="Simplified Arabic" w:cs="Simplified Arabic" w:hint="cs"/>
          <w:sz w:val="24"/>
          <w:szCs w:val="24"/>
          <w:rtl/>
          <w:lang w:bidi="ar-DZ"/>
        </w:rPr>
        <w:t>بناءً</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على</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الأسئلة</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التالية</w:t>
      </w:r>
      <w:r w:rsidRPr="00893225">
        <w:rPr>
          <w:rFonts w:ascii="Simplified Arabic" w:hAnsi="Simplified Arabic" w:cs="Simplified Arabic"/>
          <w:sz w:val="24"/>
          <w:szCs w:val="24"/>
          <w:rtl/>
          <w:lang w:bidi="ar-DZ"/>
        </w:rPr>
        <w:t xml:space="preserve">: </w:t>
      </w:r>
    </w:p>
    <w:p w:rsidR="002A686B" w:rsidRPr="008C3391" w:rsidRDefault="002A686B" w:rsidP="001D0548">
      <w:pPr>
        <w:pStyle w:val="Paragraphedeliste"/>
        <w:numPr>
          <w:ilvl w:val="0"/>
          <w:numId w:val="71"/>
        </w:numPr>
        <w:bidi/>
        <w:spacing w:after="0"/>
        <w:jc w:val="both"/>
        <w:rPr>
          <w:rFonts w:ascii="Simplified Arabic" w:hAnsi="Simplified Arabic" w:cs="Simplified Arabic"/>
          <w:sz w:val="24"/>
          <w:szCs w:val="24"/>
          <w:rtl/>
          <w:lang w:bidi="ar-DZ"/>
        </w:rPr>
      </w:pPr>
      <w:r w:rsidRPr="008C3391">
        <w:rPr>
          <w:rFonts w:ascii="Simplified Arabic" w:hAnsi="Simplified Arabic" w:cs="Simplified Arabic" w:hint="cs"/>
          <w:sz w:val="24"/>
          <w:szCs w:val="24"/>
          <w:rtl/>
          <w:lang w:bidi="ar-DZ"/>
        </w:rPr>
        <w:t>المرونة</w:t>
      </w:r>
      <w:r>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في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سياق</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ماذا؟؛</w:t>
      </w:r>
      <w:r w:rsidRPr="008C3391">
        <w:rPr>
          <w:rFonts w:ascii="Simplified Arabic" w:hAnsi="Simplified Arabic" w:cs="Simplified Arabic"/>
          <w:sz w:val="24"/>
          <w:szCs w:val="24"/>
          <w:rtl/>
          <w:lang w:bidi="ar-DZ"/>
        </w:rPr>
        <w:t xml:space="preserve"> </w:t>
      </w:r>
    </w:p>
    <w:p w:rsidR="002A686B" w:rsidRPr="008C3391" w:rsidRDefault="002A686B" w:rsidP="001D0548">
      <w:pPr>
        <w:pStyle w:val="Paragraphedeliste"/>
        <w:numPr>
          <w:ilvl w:val="0"/>
          <w:numId w:val="71"/>
        </w:numPr>
        <w:bidi/>
        <w:spacing w:after="0"/>
        <w:jc w:val="both"/>
        <w:rPr>
          <w:rFonts w:ascii="Simplified Arabic" w:hAnsi="Simplified Arabic" w:cs="Simplified Arabic"/>
          <w:sz w:val="24"/>
          <w:szCs w:val="24"/>
          <w:rtl/>
          <w:lang w:bidi="ar-DZ"/>
        </w:rPr>
      </w:pPr>
      <w:r w:rsidRPr="008C3391">
        <w:rPr>
          <w:rFonts w:ascii="Simplified Arabic" w:hAnsi="Simplified Arabic" w:cs="Simplified Arabic" w:hint="cs"/>
          <w:sz w:val="24"/>
          <w:szCs w:val="24"/>
          <w:rtl/>
          <w:lang w:bidi="ar-DZ"/>
        </w:rPr>
        <w:t>المرونة</w:t>
      </w:r>
      <w:r>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في مواجهة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ماذا؟؛</w:t>
      </w:r>
      <w:r w:rsidRPr="008C3391">
        <w:rPr>
          <w:rFonts w:ascii="Simplified Arabic" w:hAnsi="Simplified Arabic" w:cs="Simplified Arabic"/>
          <w:sz w:val="24"/>
          <w:szCs w:val="24"/>
          <w:rtl/>
          <w:lang w:bidi="ar-DZ"/>
        </w:rPr>
        <w:t xml:space="preserve"> </w:t>
      </w:r>
    </w:p>
    <w:p w:rsidR="002A686B" w:rsidRPr="008C3391" w:rsidRDefault="002A686B" w:rsidP="001D0548">
      <w:pPr>
        <w:pStyle w:val="Paragraphedeliste"/>
        <w:numPr>
          <w:ilvl w:val="0"/>
          <w:numId w:val="71"/>
        </w:numPr>
        <w:bidi/>
        <w:spacing w:after="0"/>
        <w:jc w:val="both"/>
        <w:rPr>
          <w:rFonts w:ascii="Simplified Arabic" w:hAnsi="Simplified Arabic" w:cs="Simplified Arabic"/>
          <w:sz w:val="24"/>
          <w:szCs w:val="24"/>
          <w:rtl/>
          <w:lang w:bidi="ar-DZ"/>
        </w:rPr>
      </w:pPr>
      <w:r w:rsidRPr="008C3391">
        <w:rPr>
          <w:rFonts w:ascii="Simplified Arabic" w:hAnsi="Simplified Arabic" w:cs="Simplified Arabic" w:hint="cs"/>
          <w:sz w:val="24"/>
          <w:szCs w:val="24"/>
          <w:rtl/>
          <w:lang w:bidi="ar-DZ"/>
        </w:rPr>
        <w:t>المرونة</w:t>
      </w:r>
      <w:r>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في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أي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مرحلة؟؛</w:t>
      </w:r>
      <w:r w:rsidRPr="008C3391">
        <w:rPr>
          <w:rFonts w:ascii="Simplified Arabic" w:hAnsi="Simplified Arabic" w:cs="Simplified Arabic"/>
          <w:sz w:val="24"/>
          <w:szCs w:val="24"/>
          <w:rtl/>
          <w:lang w:bidi="ar-DZ"/>
        </w:rPr>
        <w:t xml:space="preserve"> </w:t>
      </w:r>
    </w:p>
    <w:p w:rsidR="002A686B" w:rsidRPr="008C3391" w:rsidRDefault="002A686B" w:rsidP="001D0548">
      <w:pPr>
        <w:pStyle w:val="Paragraphedeliste"/>
        <w:numPr>
          <w:ilvl w:val="0"/>
          <w:numId w:val="71"/>
        </w:numPr>
        <w:bidi/>
        <w:spacing w:after="0"/>
        <w:jc w:val="both"/>
        <w:rPr>
          <w:rFonts w:ascii="Simplified Arabic" w:hAnsi="Simplified Arabic" w:cs="Simplified Arabic"/>
          <w:sz w:val="24"/>
          <w:szCs w:val="24"/>
          <w:rtl/>
          <w:lang w:bidi="ar-DZ"/>
        </w:rPr>
      </w:pPr>
      <w:r w:rsidRPr="008C3391">
        <w:rPr>
          <w:rFonts w:ascii="Simplified Arabic" w:hAnsi="Simplified Arabic" w:cs="Simplified Arabic" w:hint="cs"/>
          <w:sz w:val="24"/>
          <w:szCs w:val="24"/>
          <w:rtl/>
          <w:lang w:bidi="ar-DZ"/>
        </w:rPr>
        <w:t>المرونة</w:t>
      </w:r>
      <w:r>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لأي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غرض؟</w:t>
      </w:r>
      <w:r w:rsidRPr="008C3391">
        <w:rPr>
          <w:rFonts w:ascii="Simplified Arabic" w:hAnsi="Simplified Arabic" w:cs="Simplified Arabic"/>
          <w:sz w:val="24"/>
          <w:szCs w:val="24"/>
          <w:rtl/>
          <w:lang w:bidi="ar-DZ"/>
        </w:rPr>
        <w:t xml:space="preserve">. </w:t>
      </w:r>
    </w:p>
    <w:p w:rsidR="002A686B" w:rsidRDefault="002A686B" w:rsidP="002A686B">
      <w:pPr>
        <w:bidi/>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للإجابة على هذه الاسئلة،</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من</w:t>
      </w:r>
      <w:r w:rsidRPr="00893225">
        <w:rPr>
          <w:rFonts w:ascii="Simplified Arabic" w:hAnsi="Simplified Arabic" w:cs="Simplified Arabic"/>
          <w:sz w:val="24"/>
          <w:szCs w:val="24"/>
          <w:rtl/>
          <w:lang w:bidi="ar-DZ"/>
        </w:rPr>
        <w:t xml:space="preserve"> </w:t>
      </w:r>
      <w:r w:rsidRPr="00893225">
        <w:rPr>
          <w:rFonts w:ascii="Simplified Arabic" w:hAnsi="Simplified Arabic" w:cs="Simplified Arabic" w:hint="cs"/>
          <w:sz w:val="24"/>
          <w:szCs w:val="24"/>
          <w:rtl/>
          <w:lang w:bidi="ar-DZ"/>
        </w:rPr>
        <w:t>الضروري</w:t>
      </w:r>
      <w:r>
        <w:rPr>
          <w:rFonts w:ascii="Simplified Arabic" w:hAnsi="Simplified Arabic" w:cs="Simplified Arabic" w:hint="cs"/>
          <w:sz w:val="24"/>
          <w:szCs w:val="24"/>
          <w:rtl/>
          <w:lang w:bidi="ar-DZ"/>
        </w:rPr>
        <w:t xml:space="preserve"> القيام بما يلي:</w:t>
      </w:r>
    </w:p>
    <w:p w:rsidR="002A686B" w:rsidRPr="008C3391" w:rsidRDefault="002A686B" w:rsidP="001D0548">
      <w:pPr>
        <w:pStyle w:val="Paragraphedeliste"/>
        <w:numPr>
          <w:ilvl w:val="0"/>
          <w:numId w:val="72"/>
        </w:numPr>
        <w:bidi/>
        <w:spacing w:after="0"/>
        <w:jc w:val="both"/>
        <w:rPr>
          <w:rFonts w:ascii="Simplified Arabic" w:hAnsi="Simplified Arabic" w:cs="Simplified Arabic"/>
          <w:sz w:val="24"/>
          <w:szCs w:val="24"/>
          <w:rtl/>
          <w:lang w:bidi="ar-DZ"/>
        </w:rPr>
      </w:pPr>
      <w:r w:rsidRPr="008C3391">
        <w:rPr>
          <w:rFonts w:ascii="Simplified Arabic" w:hAnsi="Simplified Arabic" w:cs="Simplified Arabic" w:hint="cs"/>
          <w:sz w:val="24"/>
          <w:szCs w:val="24"/>
          <w:rtl/>
          <w:lang w:bidi="ar-DZ"/>
        </w:rPr>
        <w:t>فحص</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 xml:space="preserve">خصائص </w:t>
      </w:r>
      <w:r w:rsidR="003337FD">
        <w:rPr>
          <w:rFonts w:ascii="Simplified Arabic" w:hAnsi="Simplified Arabic" w:cs="Simplified Arabic" w:hint="cs"/>
          <w:sz w:val="24"/>
          <w:szCs w:val="24"/>
          <w:rtl/>
        </w:rPr>
        <w:t>استعمالات</w:t>
      </w:r>
      <w:r w:rsidRPr="008C3391">
        <w:rPr>
          <w:rFonts w:ascii="Simplified Arabic" w:hAnsi="Simplified Arabic" w:cs="Simplified Arabic" w:hint="cs"/>
          <w:sz w:val="24"/>
          <w:szCs w:val="24"/>
          <w:rtl/>
          <w:lang w:bidi="ar-DZ"/>
        </w:rPr>
        <w:t xml:space="preserve"> الار</w:t>
      </w:r>
      <w:r w:rsidR="003337FD">
        <w:rPr>
          <w:rFonts w:ascii="Simplified Arabic" w:hAnsi="Simplified Arabic" w:cs="Simplified Arabic" w:hint="cs"/>
          <w:sz w:val="24"/>
          <w:szCs w:val="24"/>
          <w:rtl/>
          <w:lang w:bidi="ar-DZ"/>
        </w:rPr>
        <w:t>ا</w:t>
      </w:r>
      <w:r w:rsidRPr="008C3391">
        <w:rPr>
          <w:rFonts w:ascii="Simplified Arabic" w:hAnsi="Simplified Arabic" w:cs="Simplified Arabic" w:hint="cs"/>
          <w:sz w:val="24"/>
          <w:szCs w:val="24"/>
          <w:rtl/>
          <w:lang w:bidi="ar-DZ"/>
        </w:rPr>
        <w:t>ض</w:t>
      </w:r>
      <w:r w:rsidR="003337FD">
        <w:rPr>
          <w:rFonts w:ascii="Simplified Arabic" w:hAnsi="Simplified Arabic" w:cs="Simplified Arabic" w:hint="cs"/>
          <w:sz w:val="24"/>
          <w:szCs w:val="24"/>
          <w:rtl/>
          <w:lang w:bidi="ar-DZ"/>
        </w:rPr>
        <w:t>ي</w:t>
      </w:r>
      <w:r w:rsidRPr="008C3391">
        <w:rPr>
          <w:rFonts w:ascii="Simplified Arabic" w:hAnsi="Simplified Arabic" w:cs="Simplified Arabic" w:hint="cs"/>
          <w:sz w:val="24"/>
          <w:szCs w:val="24"/>
          <w:rtl/>
          <w:lang w:bidi="ar-DZ"/>
        </w:rPr>
        <w:t xml:space="preserve"> الحضرية ومرونة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عناصر</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 xml:space="preserve">البيئة </w:t>
      </w:r>
      <w:r w:rsidR="008E533E">
        <w:rPr>
          <w:rFonts w:ascii="Simplified Arabic" w:hAnsi="Simplified Arabic" w:cs="Simplified Arabic" w:hint="cs"/>
          <w:sz w:val="24"/>
          <w:szCs w:val="24"/>
          <w:rtl/>
          <w:lang w:val="en-US"/>
        </w:rPr>
        <w:t>الحضرية</w:t>
      </w:r>
      <w:r w:rsidRPr="008C3391">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ردًا</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على ''المرونة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في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سياق</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ماذا؟</w:t>
      </w:r>
      <w:r w:rsidRPr="008C3391">
        <w:rPr>
          <w:rFonts w:ascii="Simplified Arabic" w:hAnsi="Simplified Arabic" w:cs="Simplified Arabic"/>
          <w:sz w:val="24"/>
          <w:szCs w:val="24"/>
          <w:rtl/>
          <w:lang w:bidi="ar-DZ"/>
        </w:rPr>
        <w:t>''</w:t>
      </w:r>
      <w:r w:rsidRPr="008C3391">
        <w:rPr>
          <w:rFonts w:ascii="Simplified Arabic" w:hAnsi="Simplified Arabic" w:cs="Simplified Arabic" w:hint="cs"/>
          <w:sz w:val="24"/>
          <w:szCs w:val="24"/>
          <w:rtl/>
          <w:lang w:bidi="ar-DZ"/>
        </w:rPr>
        <w:t>.</w:t>
      </w:r>
    </w:p>
    <w:p w:rsidR="002A686B" w:rsidRPr="008C3391" w:rsidRDefault="002A686B" w:rsidP="001D0548">
      <w:pPr>
        <w:pStyle w:val="Paragraphedeliste"/>
        <w:numPr>
          <w:ilvl w:val="0"/>
          <w:numId w:val="72"/>
        </w:numPr>
        <w:bidi/>
        <w:spacing w:after="0"/>
        <w:jc w:val="both"/>
        <w:rPr>
          <w:rFonts w:ascii="Simplified Arabic" w:hAnsi="Simplified Arabic" w:cs="Simplified Arabic"/>
          <w:sz w:val="24"/>
          <w:szCs w:val="24"/>
          <w:rtl/>
          <w:lang w:bidi="ar-DZ"/>
        </w:rPr>
      </w:pPr>
      <w:r w:rsidRPr="008C3391">
        <w:rPr>
          <w:rFonts w:ascii="Simplified Arabic" w:hAnsi="Simplified Arabic" w:cs="Simplified Arabic" w:hint="cs"/>
          <w:sz w:val="24"/>
          <w:szCs w:val="24"/>
          <w:rtl/>
          <w:lang w:bidi="ar-DZ"/>
        </w:rPr>
        <w:t>معرفة نوع</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الصدمات</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والضغوط</w:t>
      </w:r>
      <w:r w:rsidR="00DA50D1">
        <w:rPr>
          <w:rFonts w:ascii="Simplified Arabic" w:hAnsi="Simplified Arabic" w:cs="Simplified Arabic" w:hint="cs"/>
          <w:sz w:val="24"/>
          <w:szCs w:val="24"/>
          <w:rtl/>
          <w:lang w:bidi="ar-DZ"/>
        </w:rPr>
        <w:t xml:space="preserve"> والاجهادات</w:t>
      </w:r>
      <w:r>
        <w:rPr>
          <w:rFonts w:ascii="Simplified Arabic" w:hAnsi="Simplified Arabic" w:cs="Simplified Arabic" w:hint="cs"/>
          <w:sz w:val="24"/>
          <w:szCs w:val="24"/>
          <w:rtl/>
          <w:lang w:bidi="ar-DZ"/>
        </w:rPr>
        <w:t xml:space="preserve"> كالمخاطر الطبيعية (الفيضانات)</w:t>
      </w:r>
      <w:r w:rsidRPr="008C3391">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ردًا</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على ''المرونة في مواجهة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ماذا؟</w:t>
      </w:r>
      <w:r w:rsidRPr="008C3391">
        <w:rPr>
          <w:rFonts w:ascii="Simplified Arabic" w:hAnsi="Simplified Arabic" w:cs="Simplified Arabic"/>
          <w:sz w:val="24"/>
          <w:szCs w:val="24"/>
          <w:rtl/>
          <w:lang w:bidi="ar-DZ"/>
        </w:rPr>
        <w:t xml:space="preserve">''. </w:t>
      </w:r>
    </w:p>
    <w:p w:rsidR="002A686B" w:rsidRPr="008C3391" w:rsidRDefault="002A686B" w:rsidP="001D0548">
      <w:pPr>
        <w:pStyle w:val="Paragraphedeliste"/>
        <w:numPr>
          <w:ilvl w:val="0"/>
          <w:numId w:val="72"/>
        </w:numPr>
        <w:bidi/>
        <w:spacing w:after="0"/>
        <w:jc w:val="both"/>
        <w:rPr>
          <w:rFonts w:ascii="Simplified Arabic" w:hAnsi="Simplified Arabic" w:cs="Simplified Arabic"/>
          <w:sz w:val="24"/>
          <w:szCs w:val="24"/>
          <w:rtl/>
          <w:lang w:bidi="ar-DZ"/>
        </w:rPr>
      </w:pPr>
      <w:r w:rsidRPr="008C3391">
        <w:rPr>
          <w:rFonts w:ascii="Simplified Arabic" w:hAnsi="Simplified Arabic" w:cs="Simplified Arabic" w:hint="cs"/>
          <w:sz w:val="24"/>
          <w:szCs w:val="24"/>
          <w:rtl/>
          <w:lang w:bidi="ar-DZ"/>
        </w:rPr>
        <w:t>يتطلب</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تحليل</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المرونة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دراية</w:t>
      </w:r>
      <w:r w:rsidRPr="008C339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ب</w:t>
      </w:r>
      <w:r w:rsidRPr="008C3391">
        <w:rPr>
          <w:rFonts w:ascii="Simplified Arabic" w:hAnsi="Simplified Arabic" w:cs="Simplified Arabic" w:hint="cs"/>
          <w:sz w:val="24"/>
          <w:szCs w:val="24"/>
          <w:rtl/>
          <w:lang w:bidi="ar-DZ"/>
        </w:rPr>
        <w:t>مراحل</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تسيير</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مخاطر</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الكوارث</w:t>
      </w:r>
      <w:r>
        <w:rPr>
          <w:rFonts w:ascii="Simplified Arabic" w:hAnsi="Simplified Arabic" w:cs="Simplified Arabic" w:hint="cs"/>
          <w:sz w:val="24"/>
          <w:szCs w:val="24"/>
          <w:rtl/>
          <w:lang w:bidi="ar-DZ"/>
        </w:rPr>
        <w:t xml:space="preserve"> (مرحلة الاستجابة</w:t>
      </w:r>
      <w:r w:rsidR="00DA50D1">
        <w:rPr>
          <w:rFonts w:ascii="Simplified Arabic" w:hAnsi="Simplified Arabic" w:cs="Simplified Arabic" w:hint="cs"/>
          <w:sz w:val="24"/>
          <w:szCs w:val="24"/>
          <w:rtl/>
          <w:lang w:bidi="ar-DZ"/>
        </w:rPr>
        <w:t xml:space="preserve"> والتكيف</w:t>
      </w:r>
      <w:r>
        <w:rPr>
          <w:rFonts w:ascii="Simplified Arabic" w:hAnsi="Simplified Arabic" w:cs="Simplified Arabic" w:hint="cs"/>
          <w:sz w:val="24"/>
          <w:szCs w:val="24"/>
          <w:rtl/>
          <w:lang w:bidi="ar-DZ"/>
        </w:rPr>
        <w:t>)</w:t>
      </w:r>
      <w:r w:rsidRPr="008C3391">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ردًا</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على</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''المرونة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في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أي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مرحلة؟''</w:t>
      </w:r>
      <w:r w:rsidRPr="008C3391">
        <w:rPr>
          <w:rFonts w:ascii="Simplified Arabic" w:hAnsi="Simplified Arabic" w:cs="Simplified Arabic"/>
          <w:sz w:val="24"/>
          <w:szCs w:val="24"/>
          <w:rtl/>
          <w:lang w:bidi="ar-DZ"/>
        </w:rPr>
        <w:t xml:space="preserve">. </w:t>
      </w:r>
    </w:p>
    <w:p w:rsidR="002A686B" w:rsidRDefault="002A686B" w:rsidP="00FF0E60">
      <w:pPr>
        <w:pStyle w:val="Paragraphedeliste"/>
        <w:numPr>
          <w:ilvl w:val="0"/>
          <w:numId w:val="72"/>
        </w:numPr>
        <w:bidi/>
        <w:jc w:val="both"/>
        <w:rPr>
          <w:rFonts w:ascii="Simplified Arabic" w:hAnsi="Simplified Arabic" w:cs="Simplified Arabic"/>
          <w:sz w:val="24"/>
          <w:szCs w:val="24"/>
          <w:lang w:bidi="ar-DZ"/>
        </w:rPr>
      </w:pPr>
      <w:r w:rsidRPr="008C3391">
        <w:rPr>
          <w:rFonts w:ascii="Simplified Arabic" w:hAnsi="Simplified Arabic" w:cs="Simplified Arabic" w:hint="cs"/>
          <w:sz w:val="24"/>
          <w:szCs w:val="24"/>
          <w:rtl/>
          <w:lang w:bidi="ar-DZ"/>
        </w:rPr>
        <w:t>توضيح</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سمات</w:t>
      </w:r>
      <w:r w:rsidRPr="008C339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المرونة المكانية </w:t>
      </w:r>
      <w:r w:rsidRPr="008C3391">
        <w:rPr>
          <w:rFonts w:ascii="Simplified Arabic" w:hAnsi="Simplified Arabic" w:cs="Simplified Arabic" w:hint="cs"/>
          <w:sz w:val="24"/>
          <w:szCs w:val="24"/>
          <w:rtl/>
          <w:lang w:bidi="ar-DZ"/>
        </w:rPr>
        <w:t>التي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يمكن</w:t>
      </w:r>
      <w:r w:rsidRPr="008C339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ان </w:t>
      </w:r>
      <w:r w:rsidRPr="008C3391">
        <w:rPr>
          <w:rFonts w:ascii="Simplified Arabic" w:hAnsi="Simplified Arabic" w:cs="Simplified Arabic" w:hint="cs"/>
          <w:sz w:val="24"/>
          <w:szCs w:val="24"/>
          <w:rtl/>
          <w:lang w:bidi="ar-DZ"/>
        </w:rPr>
        <w:t>تعزز</w:t>
      </w:r>
      <w:r w:rsidRPr="008C339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من </w:t>
      </w:r>
      <w:r w:rsidRPr="008C3391">
        <w:rPr>
          <w:rFonts w:ascii="Simplified Arabic" w:hAnsi="Simplified Arabic" w:cs="Simplified Arabic" w:hint="cs"/>
          <w:sz w:val="24"/>
          <w:szCs w:val="24"/>
          <w:rtl/>
          <w:lang w:bidi="ar-DZ"/>
        </w:rPr>
        <w:t>مرونة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الاحياء</w:t>
      </w:r>
      <w:r>
        <w:rPr>
          <w:rFonts w:ascii="Simplified Arabic" w:hAnsi="Simplified Arabic" w:cs="Simplified Arabic" w:hint="cs"/>
          <w:sz w:val="24"/>
          <w:szCs w:val="24"/>
          <w:rtl/>
          <w:lang w:bidi="ar-DZ"/>
        </w:rPr>
        <w:t xml:space="preserve"> السكنية</w:t>
      </w:r>
      <w:r w:rsidRPr="008C3391">
        <w:rPr>
          <w:rFonts w:ascii="Simplified Arabic" w:hAnsi="Simplified Arabic" w:cs="Simplified Arabic" w:hint="cs"/>
          <w:sz w:val="24"/>
          <w:szCs w:val="24"/>
          <w:rtl/>
          <w:lang w:bidi="ar-DZ"/>
        </w:rPr>
        <w:t>،</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ردًا</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على</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''المرونة</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لأي</w:t>
      </w:r>
      <w:r w:rsidRPr="008C3391">
        <w:rPr>
          <w:rFonts w:ascii="Simplified Arabic" w:hAnsi="Simplified Arabic" w:cs="Simplified Arabic"/>
          <w:sz w:val="24"/>
          <w:szCs w:val="24"/>
          <w:rtl/>
          <w:lang w:bidi="ar-DZ"/>
        </w:rPr>
        <w:t xml:space="preserve"> </w:t>
      </w:r>
      <w:r w:rsidRPr="008C3391">
        <w:rPr>
          <w:rFonts w:ascii="Simplified Arabic" w:hAnsi="Simplified Arabic" w:cs="Simplified Arabic" w:hint="cs"/>
          <w:sz w:val="24"/>
          <w:szCs w:val="24"/>
          <w:rtl/>
          <w:lang w:bidi="ar-DZ"/>
        </w:rPr>
        <w:t>غرض؟''</w:t>
      </w:r>
      <w:r w:rsidRPr="008C3391">
        <w:rPr>
          <w:rFonts w:ascii="Simplified Arabic" w:hAnsi="Simplified Arabic" w:cs="Simplified Arabic"/>
          <w:sz w:val="24"/>
          <w:szCs w:val="24"/>
          <w:rtl/>
          <w:lang w:bidi="ar-DZ"/>
        </w:rPr>
        <w:t>.</w:t>
      </w:r>
    </w:p>
    <w:p w:rsidR="00FF0E60" w:rsidRPr="00FF0E60" w:rsidRDefault="00FF0E60" w:rsidP="00FF0E60">
      <w:pPr>
        <w:pStyle w:val="Paragraphedeliste"/>
        <w:bidi/>
        <w:ind w:left="359"/>
        <w:jc w:val="both"/>
        <w:rPr>
          <w:rFonts w:ascii="Simplified Arabic" w:hAnsi="Simplified Arabic" w:cs="Simplified Arabic"/>
          <w:sz w:val="12"/>
          <w:szCs w:val="12"/>
          <w:rtl/>
          <w:lang w:bidi="ar-DZ"/>
        </w:rPr>
      </w:pPr>
    </w:p>
    <w:p w:rsidR="002A686B" w:rsidRPr="00C87697" w:rsidRDefault="002A686B" w:rsidP="00FF0E60">
      <w:pPr>
        <w:pStyle w:val="Paragraphedeliste"/>
        <w:numPr>
          <w:ilvl w:val="1"/>
          <w:numId w:val="175"/>
        </w:numPr>
        <w:tabs>
          <w:tab w:val="right" w:pos="567"/>
        </w:tabs>
        <w:bidi/>
        <w:spacing w:before="240" w:after="0"/>
        <w:ind w:left="0" w:firstLine="0"/>
        <w:jc w:val="both"/>
        <w:outlineLvl w:val="0"/>
        <w:rPr>
          <w:rFonts w:ascii="Simplified Arabic" w:hAnsi="Simplified Arabic" w:cs="Simplified Arabic"/>
          <w:b/>
          <w:bCs/>
          <w:sz w:val="24"/>
          <w:szCs w:val="24"/>
          <w:lang w:bidi="ar-DZ"/>
        </w:rPr>
      </w:pPr>
      <w:bookmarkStart w:id="784" w:name="_Toc171803770"/>
      <w:r w:rsidRPr="00C87697">
        <w:rPr>
          <w:rFonts w:ascii="Simplified Arabic" w:hAnsi="Simplified Arabic" w:cs="Simplified Arabic" w:hint="cs"/>
          <w:b/>
          <w:bCs/>
          <w:sz w:val="24"/>
          <w:szCs w:val="24"/>
          <w:rtl/>
          <w:lang w:bidi="ar-DZ"/>
        </w:rPr>
        <w:t xml:space="preserve">قياس سمات المرونة المكانية </w:t>
      </w:r>
      <w:r w:rsidR="00FF0E60">
        <w:rPr>
          <w:rFonts w:ascii="Simplified Arabic" w:hAnsi="Simplified Arabic" w:cs="Simplified Arabic" w:hint="cs"/>
          <w:b/>
          <w:bCs/>
          <w:sz w:val="24"/>
          <w:szCs w:val="24"/>
          <w:rtl/>
          <w:lang w:bidi="ar-DZ"/>
        </w:rPr>
        <w:t>لبحث امكانية التحول</w:t>
      </w:r>
      <w:r w:rsidRPr="00C87697">
        <w:rPr>
          <w:rFonts w:ascii="Simplified Arabic" w:hAnsi="Simplified Arabic" w:cs="Simplified Arabic" w:hint="cs"/>
          <w:b/>
          <w:bCs/>
          <w:sz w:val="24"/>
          <w:szCs w:val="24"/>
          <w:rtl/>
          <w:lang w:bidi="ar-DZ"/>
        </w:rPr>
        <w:t xml:space="preserve"> </w:t>
      </w:r>
      <w:r w:rsidR="003C3A3B">
        <w:rPr>
          <w:rFonts w:ascii="Simplified Arabic" w:hAnsi="Simplified Arabic" w:cs="Simplified Arabic" w:hint="cs"/>
          <w:b/>
          <w:bCs/>
          <w:sz w:val="24"/>
          <w:szCs w:val="24"/>
          <w:rtl/>
          <w:lang w:bidi="ar-DZ"/>
        </w:rPr>
        <w:t xml:space="preserve">المكاني </w:t>
      </w:r>
      <w:r w:rsidR="00FF0E60">
        <w:rPr>
          <w:rFonts w:ascii="Simplified Arabic" w:hAnsi="Simplified Arabic" w:cs="Simplified Arabic" w:hint="cs"/>
          <w:b/>
          <w:bCs/>
          <w:sz w:val="24"/>
          <w:szCs w:val="24"/>
          <w:rtl/>
          <w:lang w:bidi="ar-DZ"/>
        </w:rPr>
        <w:t xml:space="preserve">(التكيف) </w:t>
      </w:r>
      <w:r w:rsidR="003C3A3B">
        <w:rPr>
          <w:rFonts w:ascii="Simplified Arabic" w:hAnsi="Simplified Arabic" w:cs="Simplified Arabic" w:hint="cs"/>
          <w:b/>
          <w:bCs/>
          <w:sz w:val="24"/>
          <w:szCs w:val="24"/>
          <w:rtl/>
          <w:lang w:bidi="ar-DZ"/>
        </w:rPr>
        <w:t>ل</w:t>
      </w:r>
      <w:r w:rsidR="003C3A3B" w:rsidRPr="00C87697">
        <w:rPr>
          <w:rFonts w:ascii="Simplified Arabic" w:hAnsi="Simplified Arabic" w:cs="Simplified Arabic" w:hint="cs"/>
          <w:b/>
          <w:bCs/>
          <w:sz w:val="24"/>
          <w:szCs w:val="24"/>
          <w:rtl/>
          <w:lang w:bidi="ar-DZ"/>
        </w:rPr>
        <w:t>أحياء</w:t>
      </w:r>
      <w:r w:rsidRPr="00C87697">
        <w:rPr>
          <w:rFonts w:ascii="Simplified Arabic" w:hAnsi="Simplified Arabic" w:cs="Simplified Arabic" w:hint="cs"/>
          <w:b/>
          <w:bCs/>
          <w:sz w:val="24"/>
          <w:szCs w:val="24"/>
          <w:rtl/>
          <w:lang w:bidi="ar-DZ"/>
        </w:rPr>
        <w:t xml:space="preserve"> مدينة بوسعادة</w:t>
      </w:r>
      <w:bookmarkEnd w:id="784"/>
    </w:p>
    <w:p w:rsidR="002A686B" w:rsidRDefault="002A686B" w:rsidP="00DF16EA">
      <w:pPr>
        <w:bidi/>
        <w:spacing w:after="0"/>
        <w:ind w:firstLine="283"/>
        <w:jc w:val="both"/>
        <w:rPr>
          <w:rFonts w:cs="Arial"/>
          <w:rtl/>
          <w:lang w:val="en-US" w:bidi="ar-DZ"/>
        </w:rPr>
      </w:pPr>
      <w:r w:rsidRPr="00762794">
        <w:rPr>
          <w:rFonts w:ascii="Simplified Arabic" w:hAnsi="Simplified Arabic" w:cs="Simplified Arabic" w:hint="cs"/>
          <w:color w:val="000000" w:themeColor="text1"/>
          <w:sz w:val="24"/>
          <w:szCs w:val="24"/>
          <w:rtl/>
          <w:lang w:val="en-US"/>
        </w:rPr>
        <w:t>وفق</w:t>
      </w:r>
      <w:r w:rsidRPr="00FD7AD9">
        <w:rPr>
          <w:rFonts w:cs="Arial"/>
          <w:rtl/>
          <w:lang w:val="en-US" w:bidi="ar-DZ"/>
        </w:rPr>
        <w:t xml:space="preserve"> </w:t>
      </w:r>
      <w:r w:rsidRPr="00F46BC5">
        <w:rPr>
          <w:rFonts w:asciiTheme="majorBidi" w:hAnsiTheme="majorBidi" w:cstheme="majorBidi"/>
          <w:sz w:val="24"/>
          <w:szCs w:val="24"/>
        </w:rPr>
        <w:t>(Carpenter et al., 2005)</w:t>
      </w:r>
      <w:r>
        <w:rPr>
          <w:rFonts w:asciiTheme="majorBidi" w:hAnsiTheme="majorBidi" w:cstheme="majorBidi" w:hint="cs"/>
          <w:sz w:val="24"/>
          <w:szCs w:val="24"/>
          <w:rtl/>
        </w:rPr>
        <w:t xml:space="preserve"> </w:t>
      </w:r>
      <w:r w:rsidRPr="00762794">
        <w:rPr>
          <w:rFonts w:ascii="Simplified Arabic" w:hAnsi="Simplified Arabic" w:cs="Simplified Arabic" w:hint="cs"/>
          <w:color w:val="000000" w:themeColor="text1"/>
          <w:sz w:val="24"/>
          <w:szCs w:val="24"/>
          <w:rtl/>
          <w:lang w:val="en-US"/>
        </w:rPr>
        <w:t>لا</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توجد</w:t>
      </w:r>
      <w:r>
        <w:rPr>
          <w:rFonts w:ascii="Simplified Arabic" w:hAnsi="Simplified Arabic" w:cs="Simplified Arabic" w:hint="cs"/>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آلية</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صحيحة</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واحدة</w:t>
      </w:r>
      <w:r w:rsidRPr="00762794">
        <w:rPr>
          <w:rFonts w:ascii="Simplified Arabic" w:hAnsi="Simplified Arabic" w:cs="Simplified Arabic"/>
          <w:color w:val="000000" w:themeColor="text1"/>
          <w:sz w:val="24"/>
          <w:szCs w:val="24"/>
          <w:rtl/>
          <w:lang w:val="en-US"/>
        </w:rPr>
        <w:t xml:space="preserve"> </w:t>
      </w:r>
      <w:r w:rsidR="003C3A3B">
        <w:rPr>
          <w:rFonts w:ascii="Simplified Arabic" w:hAnsi="Simplified Arabic" w:cs="Simplified Arabic" w:hint="cs"/>
          <w:color w:val="000000" w:themeColor="text1"/>
          <w:sz w:val="24"/>
          <w:szCs w:val="24"/>
          <w:rtl/>
          <w:lang w:val="en-US"/>
        </w:rPr>
        <w:t>لقياس</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سمات</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المرونة</w:t>
      </w:r>
      <w:r>
        <w:rPr>
          <w:rFonts w:ascii="Simplified Arabic" w:hAnsi="Simplified Arabic" w:cs="Simplified Arabic" w:hint="cs"/>
          <w:color w:val="000000" w:themeColor="text1"/>
          <w:sz w:val="24"/>
          <w:szCs w:val="24"/>
          <w:rtl/>
          <w:lang w:val="en-US"/>
        </w:rPr>
        <w:t xml:space="preserve"> </w:t>
      </w:r>
      <w:r w:rsidR="003C3A3B">
        <w:rPr>
          <w:rFonts w:ascii="Simplified Arabic" w:hAnsi="Simplified Arabic" w:cs="Simplified Arabic" w:hint="cs"/>
          <w:color w:val="000000" w:themeColor="text1"/>
          <w:sz w:val="24"/>
          <w:szCs w:val="24"/>
          <w:rtl/>
          <w:lang w:val="en-US"/>
        </w:rPr>
        <w:t xml:space="preserve">التي تسمح بإحداث </w:t>
      </w:r>
      <w:r w:rsidR="003C3A3B" w:rsidRPr="003C3A3B">
        <w:rPr>
          <w:rFonts w:ascii="Simplified Arabic" w:hAnsi="Simplified Arabic" w:cs="Simplified Arabic" w:hint="cs"/>
          <w:color w:val="000000" w:themeColor="text1"/>
          <w:sz w:val="24"/>
          <w:szCs w:val="24"/>
          <w:rtl/>
          <w:lang w:val="en-US"/>
        </w:rPr>
        <w:t xml:space="preserve">التحول </w:t>
      </w:r>
      <w:r w:rsidR="003C3A3B">
        <w:rPr>
          <w:rFonts w:ascii="Simplified Arabic" w:hAnsi="Simplified Arabic" w:cs="Simplified Arabic" w:hint="cs"/>
          <w:color w:val="000000" w:themeColor="text1"/>
          <w:sz w:val="24"/>
          <w:szCs w:val="24"/>
          <w:rtl/>
          <w:lang w:val="en-US"/>
        </w:rPr>
        <w:t xml:space="preserve">المكاني </w:t>
      </w:r>
      <w:r w:rsidR="003C3A3B" w:rsidRPr="003C3A3B">
        <w:rPr>
          <w:rFonts w:ascii="Simplified Arabic" w:hAnsi="Simplified Arabic" w:cs="Simplified Arabic" w:hint="cs"/>
          <w:color w:val="000000" w:themeColor="text1"/>
          <w:sz w:val="24"/>
          <w:szCs w:val="24"/>
          <w:rtl/>
          <w:lang w:val="en-US"/>
        </w:rPr>
        <w:t xml:space="preserve">(التحول </w:t>
      </w:r>
      <w:r w:rsidR="003C3A3B">
        <w:rPr>
          <w:rFonts w:ascii="Simplified Arabic" w:hAnsi="Simplified Arabic" w:cs="Simplified Arabic" w:hint="cs"/>
          <w:color w:val="000000" w:themeColor="text1"/>
          <w:sz w:val="24"/>
          <w:szCs w:val="24"/>
          <w:rtl/>
          <w:lang w:val="en-US"/>
        </w:rPr>
        <w:t xml:space="preserve">المكاني </w:t>
      </w:r>
      <w:r w:rsidR="003C3A3B" w:rsidRPr="003C3A3B">
        <w:rPr>
          <w:rFonts w:ascii="Simplified Arabic" w:hAnsi="Simplified Arabic" w:cs="Simplified Arabic" w:hint="cs"/>
          <w:color w:val="000000" w:themeColor="text1"/>
          <w:sz w:val="24"/>
          <w:szCs w:val="24"/>
          <w:rtl/>
          <w:lang w:val="en-US"/>
        </w:rPr>
        <w:t>هو</w:t>
      </w:r>
      <w:r w:rsidR="003C3A3B" w:rsidRPr="003C3A3B">
        <w:rPr>
          <w:rFonts w:ascii="Simplified Arabic" w:hAnsi="Simplified Arabic" w:cs="Simplified Arabic"/>
          <w:color w:val="000000" w:themeColor="text1"/>
          <w:sz w:val="24"/>
          <w:szCs w:val="24"/>
          <w:rtl/>
          <w:lang w:val="en-US"/>
        </w:rPr>
        <w:t xml:space="preserve"> </w:t>
      </w:r>
      <w:r w:rsidR="003C3A3B" w:rsidRPr="003C3A3B">
        <w:rPr>
          <w:rFonts w:ascii="Simplified Arabic" w:hAnsi="Simplified Arabic" w:cs="Simplified Arabic" w:hint="cs"/>
          <w:color w:val="000000" w:themeColor="text1"/>
          <w:sz w:val="24"/>
          <w:szCs w:val="24"/>
          <w:rtl/>
          <w:lang w:val="en-US"/>
        </w:rPr>
        <w:t>اول عملية</w:t>
      </w:r>
      <w:r w:rsidR="003C3A3B" w:rsidRPr="003C3A3B">
        <w:rPr>
          <w:rFonts w:ascii="Simplified Arabic" w:hAnsi="Simplified Arabic" w:cs="Simplified Arabic"/>
          <w:color w:val="000000" w:themeColor="text1"/>
          <w:sz w:val="24"/>
          <w:szCs w:val="24"/>
          <w:rtl/>
          <w:lang w:val="en-US"/>
        </w:rPr>
        <w:t xml:space="preserve"> </w:t>
      </w:r>
      <w:r w:rsidR="003C3A3B" w:rsidRPr="003C3A3B">
        <w:rPr>
          <w:rFonts w:ascii="Simplified Arabic" w:hAnsi="Simplified Arabic" w:cs="Simplified Arabic" w:hint="cs"/>
          <w:color w:val="000000" w:themeColor="text1"/>
          <w:sz w:val="24"/>
          <w:szCs w:val="24"/>
          <w:rtl/>
          <w:lang w:val="en-US"/>
        </w:rPr>
        <w:t>التي</w:t>
      </w:r>
      <w:r w:rsidR="003C3A3B" w:rsidRPr="003C3A3B">
        <w:rPr>
          <w:rFonts w:ascii="Simplified Arabic" w:hAnsi="Simplified Arabic" w:cs="Simplified Arabic"/>
          <w:color w:val="000000" w:themeColor="text1"/>
          <w:sz w:val="24"/>
          <w:szCs w:val="24"/>
          <w:rtl/>
          <w:lang w:val="en-US"/>
        </w:rPr>
        <w:t xml:space="preserve"> </w:t>
      </w:r>
      <w:r w:rsidR="003C3A3B" w:rsidRPr="003C3A3B">
        <w:rPr>
          <w:rFonts w:ascii="Simplified Arabic" w:hAnsi="Simplified Arabic" w:cs="Simplified Arabic" w:hint="cs"/>
          <w:color w:val="000000" w:themeColor="text1"/>
          <w:sz w:val="24"/>
          <w:szCs w:val="24"/>
          <w:rtl/>
          <w:lang w:val="en-US"/>
        </w:rPr>
        <w:t>سيحدث</w:t>
      </w:r>
      <w:r w:rsidR="003C3A3B" w:rsidRPr="003C3A3B">
        <w:rPr>
          <w:rFonts w:ascii="Simplified Arabic" w:hAnsi="Simplified Arabic" w:cs="Simplified Arabic"/>
          <w:color w:val="000000" w:themeColor="text1"/>
          <w:sz w:val="24"/>
          <w:szCs w:val="24"/>
          <w:rtl/>
          <w:lang w:val="en-US"/>
        </w:rPr>
        <w:t xml:space="preserve"> </w:t>
      </w:r>
      <w:r w:rsidR="003C3A3B" w:rsidRPr="003C3A3B">
        <w:rPr>
          <w:rFonts w:ascii="Simplified Arabic" w:hAnsi="Simplified Arabic" w:cs="Simplified Arabic" w:hint="cs"/>
          <w:color w:val="000000" w:themeColor="text1"/>
          <w:sz w:val="24"/>
          <w:szCs w:val="24"/>
          <w:rtl/>
          <w:lang w:val="en-US"/>
        </w:rPr>
        <w:t>من</w:t>
      </w:r>
      <w:r w:rsidR="003C3A3B" w:rsidRPr="003C3A3B">
        <w:rPr>
          <w:rFonts w:ascii="Simplified Arabic" w:hAnsi="Simplified Arabic" w:cs="Simplified Arabic"/>
          <w:color w:val="000000" w:themeColor="text1"/>
          <w:sz w:val="24"/>
          <w:szCs w:val="24"/>
          <w:rtl/>
          <w:lang w:val="en-US"/>
        </w:rPr>
        <w:t xml:space="preserve"> </w:t>
      </w:r>
      <w:r w:rsidR="003C3A3B" w:rsidRPr="003C3A3B">
        <w:rPr>
          <w:rFonts w:ascii="Simplified Arabic" w:hAnsi="Simplified Arabic" w:cs="Simplified Arabic" w:hint="cs"/>
          <w:color w:val="000000" w:themeColor="text1"/>
          <w:sz w:val="24"/>
          <w:szCs w:val="24"/>
          <w:rtl/>
          <w:lang w:val="en-US"/>
        </w:rPr>
        <w:t>خلالها</w:t>
      </w:r>
      <w:r w:rsidR="003C3A3B" w:rsidRPr="003C3A3B">
        <w:rPr>
          <w:rFonts w:ascii="Simplified Arabic" w:hAnsi="Simplified Arabic" w:cs="Simplified Arabic"/>
          <w:color w:val="000000" w:themeColor="text1"/>
          <w:sz w:val="24"/>
          <w:szCs w:val="24"/>
          <w:rtl/>
          <w:lang w:val="en-US"/>
        </w:rPr>
        <w:t xml:space="preserve"> </w:t>
      </w:r>
      <w:r w:rsidR="00DF16EA">
        <w:rPr>
          <w:rFonts w:ascii="Simplified Arabic" w:hAnsi="Simplified Arabic" w:cs="Simplified Arabic" w:hint="cs"/>
          <w:color w:val="000000" w:themeColor="text1"/>
          <w:sz w:val="24"/>
          <w:szCs w:val="24"/>
          <w:rtl/>
          <w:lang w:val="en-US"/>
        </w:rPr>
        <w:t>التكيف)</w:t>
      </w:r>
      <w:r>
        <w:rPr>
          <w:rFonts w:ascii="Simplified Arabic" w:hAnsi="Simplified Arabic" w:cs="Simplified Arabic" w:hint="cs"/>
          <w:color w:val="000000" w:themeColor="text1"/>
          <w:sz w:val="24"/>
          <w:szCs w:val="24"/>
          <w:rtl/>
          <w:lang w:val="en-US"/>
        </w:rPr>
        <w:t>.</w:t>
      </w:r>
      <w:r w:rsidRPr="00762794">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عيّن</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العديد</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من</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المؤلفين</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سلسلة</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من</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معايير</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تحديد</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واختيار</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السمات</w:t>
      </w:r>
      <w:r w:rsidRPr="00FD7AD9">
        <w:rPr>
          <w:rFonts w:cs="Arial"/>
          <w:rtl/>
          <w:lang w:val="en-US" w:bidi="ar-DZ"/>
        </w:rPr>
        <w:t xml:space="preserve"> </w:t>
      </w:r>
      <w:r w:rsidRPr="00F46BC5">
        <w:rPr>
          <w:rFonts w:asciiTheme="majorBidi" w:hAnsiTheme="majorBidi" w:cstheme="majorBidi"/>
          <w:sz w:val="24"/>
          <w:szCs w:val="24"/>
        </w:rPr>
        <w:t>(Tyler et al., 2016, Carpenter et al., 2005)</w:t>
      </w:r>
      <w:r>
        <w:rPr>
          <w:rFonts w:hint="cs"/>
          <w:sz w:val="24"/>
          <w:szCs w:val="24"/>
          <w:rtl/>
        </w:rPr>
        <w:t>.</w:t>
      </w:r>
      <w:r w:rsidRPr="00762794">
        <w:rPr>
          <w:rFonts w:ascii="Simplified Arabic" w:hAnsi="Simplified Arabic" w:cs="Simplified Arabic" w:hint="cs"/>
          <w:color w:val="000000" w:themeColor="text1"/>
          <w:sz w:val="24"/>
          <w:szCs w:val="24"/>
          <w:rtl/>
          <w:lang w:val="en-US"/>
        </w:rPr>
        <w:t xml:space="preserve"> لذلك،</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تم</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تعريف</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سلسلة</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من</w:t>
      </w:r>
      <w:r w:rsidRPr="00762794">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المقاييس</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لاختيار</w:t>
      </w:r>
      <w:r w:rsidRPr="00762794">
        <w:rPr>
          <w:rFonts w:ascii="Simplified Arabic" w:hAnsi="Simplified Arabic" w:cs="Simplified Arabic"/>
          <w:color w:val="000000" w:themeColor="text1"/>
          <w:sz w:val="24"/>
          <w:szCs w:val="24"/>
          <w:rtl/>
          <w:lang w:val="en-US"/>
        </w:rPr>
        <w:t xml:space="preserve"> </w:t>
      </w:r>
      <w:r w:rsidRPr="00762794">
        <w:rPr>
          <w:rFonts w:ascii="Simplified Arabic" w:hAnsi="Simplified Arabic" w:cs="Simplified Arabic" w:hint="cs"/>
          <w:color w:val="000000" w:themeColor="text1"/>
          <w:sz w:val="24"/>
          <w:szCs w:val="24"/>
          <w:rtl/>
          <w:lang w:val="en-US"/>
        </w:rPr>
        <w:t>تلك السمات</w:t>
      </w:r>
      <w:r>
        <w:rPr>
          <w:rFonts w:ascii="Simplified Arabic" w:hAnsi="Simplified Arabic" w:cs="Simplified Arabic" w:hint="cs"/>
          <w:color w:val="000000" w:themeColor="text1"/>
          <w:sz w:val="24"/>
          <w:szCs w:val="24"/>
          <w:rtl/>
          <w:lang w:val="en-US"/>
        </w:rPr>
        <w:t xml:space="preserve"> كالتالي: </w:t>
      </w:r>
    </w:p>
    <w:p w:rsidR="002A686B" w:rsidRPr="00E61001" w:rsidRDefault="002A686B" w:rsidP="001D0548">
      <w:pPr>
        <w:pStyle w:val="Paragraphedeliste"/>
        <w:numPr>
          <w:ilvl w:val="0"/>
          <w:numId w:val="74"/>
        </w:numPr>
        <w:tabs>
          <w:tab w:val="right" w:pos="424"/>
        </w:tabs>
        <w:bidi/>
        <w:spacing w:after="0"/>
        <w:ind w:left="-1" w:firstLine="0"/>
        <w:jc w:val="both"/>
        <w:rPr>
          <w:rFonts w:asciiTheme="majorBidi" w:hAnsiTheme="majorBidi" w:cstheme="majorBidi"/>
          <w:sz w:val="24"/>
          <w:szCs w:val="24"/>
          <w:rtl/>
        </w:rPr>
      </w:pPr>
      <w:r w:rsidRPr="00E61001">
        <w:rPr>
          <w:rFonts w:ascii="Simplified Arabic" w:hAnsi="Simplified Arabic" w:cs="Simplified Arabic" w:hint="cs"/>
          <w:color w:val="000000" w:themeColor="text1"/>
          <w:sz w:val="24"/>
          <w:szCs w:val="24"/>
          <w:rtl/>
          <w:lang w:val="en-US"/>
        </w:rPr>
        <w:t>يجب</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أن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تكون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السمات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تم دراستها من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الناحية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النظرية ويعتمد ذلك</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على</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السمات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المعترف</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بها</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عالميًا</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وعلى</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فكرة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نظرية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ثابتة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 xml:space="preserve">للمرونة </w:t>
      </w:r>
      <w:r w:rsidRPr="00E61001">
        <w:rPr>
          <w:rFonts w:asciiTheme="majorBidi" w:hAnsiTheme="majorBidi" w:cstheme="majorBidi"/>
          <w:sz w:val="24"/>
          <w:szCs w:val="24"/>
        </w:rPr>
        <w:t>(Tyler et al., 2016, Carpenter et al., 2005)</w:t>
      </w:r>
      <w:r w:rsidRPr="00E61001">
        <w:rPr>
          <w:rFonts w:asciiTheme="majorBidi" w:hAnsiTheme="majorBidi" w:cstheme="majorBidi" w:hint="cs"/>
          <w:sz w:val="24"/>
          <w:szCs w:val="24"/>
          <w:rtl/>
        </w:rPr>
        <w:t xml:space="preserve">. </w:t>
      </w:r>
    </w:p>
    <w:p w:rsidR="002A686B" w:rsidRPr="00E61001" w:rsidRDefault="002A686B" w:rsidP="001D0548">
      <w:pPr>
        <w:pStyle w:val="Paragraphedeliste"/>
        <w:numPr>
          <w:ilvl w:val="0"/>
          <w:numId w:val="74"/>
        </w:numPr>
        <w:tabs>
          <w:tab w:val="right" w:pos="424"/>
          <w:tab w:val="right" w:pos="707"/>
        </w:tabs>
        <w:bidi/>
        <w:spacing w:after="0"/>
        <w:ind w:left="-1" w:firstLine="0"/>
        <w:jc w:val="both"/>
        <w:rPr>
          <w:rFonts w:ascii="Simplified Arabic" w:hAnsi="Simplified Arabic" w:cs="Simplified Arabic"/>
          <w:color w:val="000000" w:themeColor="text1"/>
          <w:sz w:val="24"/>
          <w:szCs w:val="24"/>
          <w:rtl/>
          <w:lang w:val="en-US"/>
        </w:rPr>
      </w:pPr>
      <w:r w:rsidRPr="00E61001">
        <w:rPr>
          <w:rFonts w:ascii="Simplified Arabic" w:hAnsi="Simplified Arabic" w:cs="Simplified Arabic" w:hint="cs"/>
          <w:color w:val="000000" w:themeColor="text1"/>
          <w:sz w:val="24"/>
          <w:szCs w:val="24"/>
          <w:rtl/>
          <w:lang w:val="en-US"/>
        </w:rPr>
        <w:t>نظرًا</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لأن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المرونة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هي</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مفهوم</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متعدد</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الأوجه،</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يجب</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أن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تؤخذ</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في</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الاعتبار</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السمات المتعددة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 xml:space="preserve">والمتأصلة </w:t>
      </w:r>
      <w:r w:rsidRPr="00E61001">
        <w:rPr>
          <w:rFonts w:asciiTheme="majorBidi" w:hAnsiTheme="majorBidi" w:cstheme="majorBidi"/>
          <w:sz w:val="24"/>
          <w:szCs w:val="24"/>
        </w:rPr>
        <w:t>(Carpenter et al., 2005)</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لذلك،</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يجب</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أن تكون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سمات المرونة المكانية ذات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صلة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بالظاهرة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التي</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سيتم</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قياسها، كما هو الحال لمدينة بوسعادة</w:t>
      </w:r>
      <w:r w:rsidRPr="00E61001">
        <w:rPr>
          <w:rFonts w:ascii="Simplified Arabic" w:hAnsi="Simplified Arabic" w:cs="Simplified Arabic"/>
          <w:color w:val="000000" w:themeColor="text1"/>
          <w:sz w:val="24"/>
          <w:szCs w:val="24"/>
          <w:rtl/>
          <w:lang w:val="en-US"/>
        </w:rPr>
        <w:t>.</w:t>
      </w:r>
      <w:r w:rsidRPr="00E61001">
        <w:rPr>
          <w:rFonts w:ascii="Simplified Arabic" w:hAnsi="Simplified Arabic" w:cs="Simplified Arabic" w:hint="cs"/>
          <w:color w:val="000000" w:themeColor="text1"/>
          <w:sz w:val="24"/>
          <w:szCs w:val="24"/>
          <w:rtl/>
          <w:lang w:val="en-US"/>
        </w:rPr>
        <w:t xml:space="preserve"> </w:t>
      </w:r>
    </w:p>
    <w:p w:rsidR="002A686B" w:rsidRPr="00E61001" w:rsidRDefault="002A686B" w:rsidP="001D0548">
      <w:pPr>
        <w:pStyle w:val="Paragraphedeliste"/>
        <w:numPr>
          <w:ilvl w:val="0"/>
          <w:numId w:val="74"/>
        </w:numPr>
        <w:tabs>
          <w:tab w:val="right" w:pos="424"/>
        </w:tabs>
        <w:bidi/>
        <w:spacing w:after="0"/>
        <w:ind w:left="-1" w:firstLine="0"/>
        <w:jc w:val="both"/>
        <w:rPr>
          <w:rFonts w:ascii="Simplified Arabic" w:hAnsi="Simplified Arabic" w:cs="Simplified Arabic"/>
          <w:color w:val="000000" w:themeColor="text1"/>
          <w:sz w:val="24"/>
          <w:szCs w:val="24"/>
          <w:rtl/>
          <w:lang w:val="en-US"/>
        </w:rPr>
      </w:pPr>
      <w:r w:rsidRPr="00E61001">
        <w:rPr>
          <w:rFonts w:ascii="Simplified Arabic" w:hAnsi="Simplified Arabic" w:cs="Simplified Arabic" w:hint="cs"/>
          <w:color w:val="000000" w:themeColor="text1"/>
          <w:sz w:val="24"/>
          <w:szCs w:val="24"/>
          <w:rtl/>
          <w:lang w:val="en-US"/>
        </w:rPr>
        <w:t>يجب</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أن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تُمكّن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السمات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التي يتم مناقشتها من الدراسة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الدقيقة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للنظام</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لذلك،</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يجب</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تعريف</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تلك السمات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 xml:space="preserve">بموضوعية. </w:t>
      </w:r>
    </w:p>
    <w:p w:rsidR="002A686B" w:rsidRPr="00E61001" w:rsidRDefault="002A686B" w:rsidP="001D0548">
      <w:pPr>
        <w:pStyle w:val="Paragraphedeliste"/>
        <w:numPr>
          <w:ilvl w:val="0"/>
          <w:numId w:val="74"/>
        </w:numPr>
        <w:tabs>
          <w:tab w:val="right" w:pos="424"/>
        </w:tabs>
        <w:bidi/>
        <w:spacing w:after="0"/>
        <w:ind w:left="-1" w:firstLine="0"/>
        <w:jc w:val="both"/>
        <w:rPr>
          <w:rFonts w:ascii="Simplified Arabic" w:hAnsi="Simplified Arabic" w:cs="Simplified Arabic"/>
          <w:color w:val="000000" w:themeColor="text1"/>
          <w:sz w:val="24"/>
          <w:szCs w:val="24"/>
          <w:rtl/>
          <w:lang w:val="en-US"/>
        </w:rPr>
      </w:pPr>
      <w:r w:rsidRPr="00E61001">
        <w:rPr>
          <w:rFonts w:ascii="Simplified Arabic" w:hAnsi="Simplified Arabic" w:cs="Simplified Arabic" w:hint="cs"/>
          <w:color w:val="000000" w:themeColor="text1"/>
          <w:sz w:val="24"/>
          <w:szCs w:val="24"/>
          <w:rtl/>
          <w:lang w:val="en-US"/>
        </w:rPr>
        <w:t>يجب</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اختيار</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السمات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مع</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مراعاة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العراقيل</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المحتملة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التي</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تحول</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دون</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الوصول</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إلى</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البيانات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الكمية الدقيقة والى تفسير</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النتائج التي يمكن الحصول عليها.</w:t>
      </w:r>
    </w:p>
    <w:p w:rsidR="00E30288" w:rsidRDefault="002A686B" w:rsidP="00C23656">
      <w:pPr>
        <w:pStyle w:val="Paragraphedeliste"/>
        <w:tabs>
          <w:tab w:val="right" w:pos="424"/>
          <w:tab w:val="right" w:pos="707"/>
        </w:tabs>
        <w:bidi/>
        <w:spacing w:after="0"/>
        <w:ind w:left="-1" w:firstLine="284"/>
        <w:jc w:val="both"/>
        <w:rPr>
          <w:rFonts w:ascii="Simplified Arabic" w:hAnsi="Simplified Arabic" w:cs="Simplified Arabic"/>
          <w:color w:val="000000" w:themeColor="text1"/>
          <w:sz w:val="24"/>
          <w:szCs w:val="24"/>
          <w:rtl/>
          <w:lang w:val="en-US"/>
        </w:rPr>
      </w:pPr>
      <w:r w:rsidRPr="00CB47BD">
        <w:rPr>
          <w:rFonts w:ascii="Simplified Arabic" w:hAnsi="Simplified Arabic" w:cs="Simplified Arabic" w:hint="cs"/>
          <w:sz w:val="24"/>
          <w:szCs w:val="24"/>
          <w:rtl/>
          <w:lang w:bidi="ar-DZ"/>
        </w:rPr>
        <w:t>بالاعتماد</w:t>
      </w:r>
      <w:r w:rsidRPr="00CB47BD">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على </w:t>
      </w:r>
      <w:r w:rsidR="0040455E">
        <w:rPr>
          <w:rFonts w:ascii="Simplified Arabic" w:hAnsi="Simplified Arabic" w:cs="Simplified Arabic" w:hint="cs"/>
          <w:sz w:val="24"/>
          <w:szCs w:val="24"/>
          <w:rtl/>
          <w:lang w:bidi="ar-DZ"/>
        </w:rPr>
        <w:t>مطالعة الابحاث</w:t>
      </w:r>
      <w:r>
        <w:rPr>
          <w:rFonts w:ascii="Simplified Arabic" w:hAnsi="Simplified Arabic" w:cs="Simplified Arabic" w:hint="cs"/>
          <w:sz w:val="24"/>
          <w:szCs w:val="24"/>
          <w:rtl/>
          <w:lang w:bidi="ar-DZ"/>
        </w:rPr>
        <w:t xml:space="preserve"> (الفصل 1، الفقرة 8.2.)، افضت الى</w:t>
      </w:r>
      <w:r w:rsidRPr="007129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تضمين</w:t>
      </w:r>
      <w:r w:rsidRPr="007129E0">
        <w:rPr>
          <w:rFonts w:ascii="Simplified Arabic" w:hAnsi="Simplified Arabic" w:cs="Simplified Arabic"/>
          <w:sz w:val="24"/>
          <w:szCs w:val="24"/>
          <w:rtl/>
          <w:lang w:bidi="ar-DZ"/>
        </w:rPr>
        <w:t xml:space="preserve"> ثلاث </w:t>
      </w:r>
      <w:r>
        <w:rPr>
          <w:rFonts w:ascii="Simplified Arabic" w:hAnsi="Simplified Arabic" w:cs="Simplified Arabic" w:hint="cs"/>
          <w:sz w:val="24"/>
          <w:szCs w:val="24"/>
          <w:rtl/>
          <w:lang w:bidi="ar-DZ"/>
        </w:rPr>
        <w:t>فئات</w:t>
      </w:r>
      <w:r w:rsidRPr="007129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من ال</w:t>
      </w:r>
      <w:r w:rsidRPr="007129E0">
        <w:rPr>
          <w:rFonts w:ascii="Simplified Arabic" w:hAnsi="Simplified Arabic" w:cs="Simplified Arabic"/>
          <w:sz w:val="24"/>
          <w:szCs w:val="24"/>
          <w:rtl/>
          <w:lang w:bidi="ar-DZ"/>
        </w:rPr>
        <w:t xml:space="preserve">مفاهيم </w:t>
      </w:r>
      <w:r>
        <w:rPr>
          <w:rFonts w:ascii="Simplified Arabic" w:hAnsi="Simplified Arabic" w:cs="Simplified Arabic" w:hint="cs"/>
          <w:sz w:val="24"/>
          <w:szCs w:val="24"/>
          <w:rtl/>
          <w:lang w:bidi="ar-DZ"/>
        </w:rPr>
        <w:t>ال</w:t>
      </w:r>
      <w:r w:rsidRPr="007129E0">
        <w:rPr>
          <w:rFonts w:ascii="Simplified Arabic" w:hAnsi="Simplified Arabic" w:cs="Simplified Arabic"/>
          <w:sz w:val="24"/>
          <w:szCs w:val="24"/>
          <w:rtl/>
          <w:lang w:bidi="ar-DZ"/>
        </w:rPr>
        <w:t>رئيسية</w:t>
      </w:r>
      <w:r>
        <w:rPr>
          <w:rFonts w:ascii="Simplified Arabic" w:hAnsi="Simplified Arabic" w:cs="Simplified Arabic" w:hint="cs"/>
          <w:sz w:val="24"/>
          <w:szCs w:val="24"/>
          <w:rtl/>
          <w:lang w:bidi="ar-DZ"/>
        </w:rPr>
        <w:t xml:space="preserve"> لسمات المرونة المكانية</w:t>
      </w:r>
      <w:r w:rsidRPr="007129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w:t>
      </w:r>
      <w:r w:rsidRPr="007129E0">
        <w:rPr>
          <w:rFonts w:ascii="Simplified Arabic" w:hAnsi="Simplified Arabic" w:cs="Simplified Arabic"/>
          <w:sz w:val="24"/>
          <w:szCs w:val="24"/>
          <w:rtl/>
          <w:lang w:bidi="ar-DZ"/>
        </w:rPr>
        <w:t>تضمن ال</w:t>
      </w:r>
      <w:r>
        <w:rPr>
          <w:rFonts w:ascii="Simplified Arabic" w:hAnsi="Simplified Arabic" w:cs="Simplified Arabic" w:hint="cs"/>
          <w:sz w:val="24"/>
          <w:szCs w:val="24"/>
          <w:rtl/>
          <w:lang w:bidi="ar-DZ"/>
        </w:rPr>
        <w:t>فئة</w:t>
      </w:r>
      <w:r w:rsidRPr="007129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التي تم الاخذ بها في هذا البحث،</w:t>
      </w:r>
      <w:r w:rsidRPr="007129E0">
        <w:rPr>
          <w:rFonts w:ascii="Simplified Arabic" w:hAnsi="Simplified Arabic" w:cs="Simplified Arabic"/>
          <w:sz w:val="24"/>
          <w:szCs w:val="24"/>
          <w:rtl/>
          <w:lang w:bidi="ar-DZ"/>
        </w:rPr>
        <w:t xml:space="preserve"> </w:t>
      </w:r>
      <w:r w:rsidR="00E30288">
        <w:rPr>
          <w:rFonts w:ascii="Simplified Arabic" w:hAnsi="Simplified Arabic" w:cs="Simplified Arabic" w:hint="cs"/>
          <w:sz w:val="24"/>
          <w:szCs w:val="24"/>
          <w:rtl/>
          <w:lang w:bidi="ar-DZ"/>
        </w:rPr>
        <w:t xml:space="preserve">مناقشة </w:t>
      </w:r>
      <w:r>
        <w:rPr>
          <w:rFonts w:ascii="Simplified Arabic" w:hAnsi="Simplified Arabic" w:cs="Simplified Arabic" w:hint="cs"/>
          <w:sz w:val="24"/>
          <w:szCs w:val="24"/>
          <w:rtl/>
          <w:lang w:bidi="ar-DZ"/>
        </w:rPr>
        <w:t>ال</w:t>
      </w:r>
      <w:r w:rsidRPr="007129E0">
        <w:rPr>
          <w:rFonts w:ascii="Simplified Arabic" w:hAnsi="Simplified Arabic" w:cs="Simplified Arabic"/>
          <w:sz w:val="24"/>
          <w:szCs w:val="24"/>
          <w:rtl/>
          <w:lang w:bidi="ar-DZ"/>
        </w:rPr>
        <w:t>سم</w:t>
      </w:r>
      <w:r>
        <w:rPr>
          <w:rFonts w:ascii="Simplified Arabic" w:hAnsi="Simplified Arabic" w:cs="Simplified Arabic" w:hint="cs"/>
          <w:sz w:val="24"/>
          <w:szCs w:val="24"/>
          <w:rtl/>
          <w:lang w:bidi="ar-DZ"/>
        </w:rPr>
        <w:t>ات</w:t>
      </w:r>
      <w:r w:rsidRPr="007129E0">
        <w:rPr>
          <w:rFonts w:ascii="Simplified Arabic" w:hAnsi="Simplified Arabic" w:cs="Simplified Arabic"/>
          <w:sz w:val="24"/>
          <w:szCs w:val="24"/>
          <w:rtl/>
          <w:lang w:bidi="ar-DZ"/>
        </w:rPr>
        <w:t xml:space="preserve"> التي تعبر عن </w:t>
      </w:r>
      <w:r>
        <w:rPr>
          <w:rFonts w:ascii="Simplified Arabic" w:hAnsi="Simplified Arabic" w:cs="Simplified Arabic" w:hint="cs"/>
          <w:sz w:val="24"/>
          <w:szCs w:val="24"/>
          <w:rtl/>
          <w:lang w:bidi="ar-DZ"/>
        </w:rPr>
        <w:t>المكونات الحضرية</w:t>
      </w:r>
      <w:r w:rsidRPr="007129E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الوظيفية و</w:t>
      </w:r>
      <w:r>
        <w:rPr>
          <w:rFonts w:ascii="Simplified Arabic" w:hAnsi="Simplified Arabic" w:cs="Simplified Arabic"/>
          <w:sz w:val="24"/>
          <w:szCs w:val="24"/>
          <w:rtl/>
          <w:lang w:bidi="ar-DZ"/>
        </w:rPr>
        <w:t>الهيكلية</w:t>
      </w:r>
      <w:r w:rsidRPr="001273F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(المكون الفيزيائي).</w:t>
      </w:r>
      <w:r w:rsidR="00E30288">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تتمثل هذه السمات في: </w:t>
      </w:r>
      <w:r w:rsidRPr="007129E0">
        <w:rPr>
          <w:rFonts w:ascii="Simplified Arabic" w:hAnsi="Simplified Arabic" w:cs="Simplified Arabic"/>
          <w:sz w:val="24"/>
          <w:szCs w:val="24"/>
          <w:rtl/>
          <w:lang w:bidi="ar-DZ"/>
        </w:rPr>
        <w:t>ال</w:t>
      </w:r>
      <w:r>
        <w:rPr>
          <w:rFonts w:ascii="Simplified Arabic" w:hAnsi="Simplified Arabic" w:cs="Simplified Arabic"/>
          <w:sz w:val="24"/>
          <w:szCs w:val="24"/>
          <w:rtl/>
          <w:lang w:bidi="ar-DZ"/>
        </w:rPr>
        <w:t xml:space="preserve">كثافة، التنوع، </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و</w:t>
      </w:r>
      <w:r>
        <w:rPr>
          <w:rFonts w:ascii="Simplified Arabic" w:hAnsi="Simplified Arabic" w:cs="Simplified Arabic"/>
          <w:sz w:val="24"/>
          <w:szCs w:val="24"/>
          <w:rtl/>
          <w:lang w:bidi="ar-DZ"/>
        </w:rPr>
        <w:t>التكرار</w:t>
      </w:r>
      <w:r>
        <w:rPr>
          <w:rFonts w:ascii="Simplified Arabic" w:hAnsi="Simplified Arabic" w:cs="Simplified Arabic" w:hint="cs"/>
          <w:sz w:val="24"/>
          <w:szCs w:val="24"/>
          <w:rtl/>
          <w:lang w:bidi="ar-DZ"/>
        </w:rPr>
        <w:t>،</w:t>
      </w:r>
      <w:r w:rsidRPr="00181321">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bidi="ar-DZ"/>
        </w:rPr>
        <w:t xml:space="preserve">التي اتفق عليها غالبية الباحثين والمذكورة بشكل متكرر في </w:t>
      </w:r>
      <w:r w:rsidR="0040455E">
        <w:rPr>
          <w:rFonts w:ascii="Simplified Arabic" w:hAnsi="Simplified Arabic" w:cs="Simplified Arabic" w:hint="cs"/>
          <w:sz w:val="24"/>
          <w:szCs w:val="24"/>
          <w:rtl/>
          <w:lang w:bidi="ar-DZ"/>
        </w:rPr>
        <w:t>الابحاث</w:t>
      </w:r>
      <w:r>
        <w:rPr>
          <w:rFonts w:ascii="Simplified Arabic" w:hAnsi="Simplified Arabic" w:cs="Simplified Arabic" w:hint="cs"/>
          <w:sz w:val="24"/>
          <w:szCs w:val="24"/>
          <w:rtl/>
          <w:lang w:bidi="ar-DZ"/>
        </w:rPr>
        <w:t xml:space="preserve"> و</w:t>
      </w:r>
      <w:r w:rsidRPr="00E61001">
        <w:rPr>
          <w:rFonts w:ascii="Simplified Arabic" w:hAnsi="Simplified Arabic" w:cs="Simplified Arabic" w:hint="cs"/>
          <w:color w:val="000000" w:themeColor="text1"/>
          <w:sz w:val="24"/>
          <w:szCs w:val="24"/>
          <w:rtl/>
          <w:lang w:val="en-US"/>
        </w:rPr>
        <w:t>ذات</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صلة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بالظاهرة</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التي</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سيتم</w:t>
      </w:r>
      <w:r w:rsidRPr="00E61001">
        <w:rPr>
          <w:rFonts w:ascii="Simplified Arabic" w:hAnsi="Simplified Arabic" w:cs="Simplified Arabic"/>
          <w:color w:val="000000" w:themeColor="text1"/>
          <w:sz w:val="24"/>
          <w:szCs w:val="24"/>
          <w:rtl/>
          <w:lang w:val="en-US"/>
        </w:rPr>
        <w:t xml:space="preserve"> </w:t>
      </w:r>
      <w:r w:rsidRPr="00E61001">
        <w:rPr>
          <w:rFonts w:ascii="Simplified Arabic" w:hAnsi="Simplified Arabic" w:cs="Simplified Arabic" w:hint="cs"/>
          <w:color w:val="000000" w:themeColor="text1"/>
          <w:sz w:val="24"/>
          <w:szCs w:val="24"/>
          <w:rtl/>
          <w:lang w:val="en-US"/>
        </w:rPr>
        <w:t xml:space="preserve">قياسها، كما هو الحال </w:t>
      </w:r>
      <w:r w:rsidR="00FF0E60">
        <w:rPr>
          <w:rFonts w:ascii="Simplified Arabic" w:hAnsi="Simplified Arabic" w:cs="Simplified Arabic" w:hint="cs"/>
          <w:color w:val="000000" w:themeColor="text1"/>
          <w:sz w:val="24"/>
          <w:szCs w:val="24"/>
          <w:rtl/>
          <w:lang w:val="en-US"/>
        </w:rPr>
        <w:t>ل</w:t>
      </w:r>
      <w:r w:rsidRPr="00E61001">
        <w:rPr>
          <w:rFonts w:ascii="Simplified Arabic" w:hAnsi="Simplified Arabic" w:cs="Simplified Arabic" w:hint="cs"/>
          <w:color w:val="000000" w:themeColor="text1"/>
          <w:sz w:val="24"/>
          <w:szCs w:val="24"/>
          <w:rtl/>
          <w:lang w:val="en-US"/>
        </w:rPr>
        <w:t>مدينة بوسعادة</w:t>
      </w:r>
      <w:r w:rsidRPr="00E61001">
        <w:rPr>
          <w:rFonts w:ascii="Simplified Arabic" w:hAnsi="Simplified Arabic" w:cs="Simplified Arabic"/>
          <w:color w:val="000000" w:themeColor="text1"/>
          <w:sz w:val="24"/>
          <w:szCs w:val="24"/>
          <w:rtl/>
          <w:lang w:val="en-US"/>
        </w:rPr>
        <w:t>.</w:t>
      </w:r>
      <w:r w:rsidRPr="00E61001">
        <w:rPr>
          <w:rFonts w:ascii="Simplified Arabic" w:hAnsi="Simplified Arabic" w:cs="Simplified Arabic" w:hint="cs"/>
          <w:color w:val="000000" w:themeColor="text1"/>
          <w:sz w:val="24"/>
          <w:szCs w:val="24"/>
          <w:rtl/>
          <w:lang w:val="en-US"/>
        </w:rPr>
        <w:t xml:space="preserve"> </w:t>
      </w:r>
    </w:p>
    <w:p w:rsidR="00E30288" w:rsidRDefault="00E30288" w:rsidP="00C23656">
      <w:pPr>
        <w:tabs>
          <w:tab w:val="right" w:pos="282"/>
        </w:tabs>
        <w:bidi/>
        <w:spacing w:after="0"/>
        <w:ind w:firstLine="282"/>
        <w:jc w:val="both"/>
        <w:rPr>
          <w:rFonts w:ascii="Simplified Arabic" w:hAnsi="Simplified Arabic" w:cs="Simplified Arabic"/>
          <w:sz w:val="24"/>
          <w:szCs w:val="24"/>
          <w:rtl/>
          <w:lang w:val="en-US"/>
        </w:rPr>
      </w:pPr>
      <w:r w:rsidRPr="00EA0C6C">
        <w:rPr>
          <w:rFonts w:ascii="Simplified Arabic" w:hAnsi="Simplified Arabic" w:cs="Simplified Arabic" w:hint="cs"/>
          <w:sz w:val="24"/>
          <w:szCs w:val="24"/>
          <w:rtl/>
          <w:lang w:val="en-US"/>
        </w:rPr>
        <w:lastRenderedPageBreak/>
        <w:t>تسعى</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النتائج</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المستخلصة</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من</w:t>
      </w:r>
      <w:r w:rsidRPr="00EA0C6C">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المناقشة</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إلى</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إنشاء</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بعض</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الروابط</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بين</w:t>
      </w:r>
      <w:r w:rsidRPr="00EA0C6C">
        <w:rPr>
          <w:rFonts w:ascii="Simplified Arabic" w:hAnsi="Simplified Arabic" w:cs="Simplified Arabic"/>
          <w:sz w:val="24"/>
          <w:szCs w:val="24"/>
          <w:rtl/>
          <w:lang w:val="en-US"/>
        </w:rPr>
        <w:t xml:space="preserve"> </w:t>
      </w:r>
      <w:r w:rsidR="006B6112">
        <w:rPr>
          <w:rFonts w:ascii="Simplified Arabic" w:hAnsi="Simplified Arabic" w:cs="Simplified Arabic" w:hint="cs"/>
          <w:sz w:val="24"/>
          <w:szCs w:val="24"/>
          <w:rtl/>
          <w:lang w:val="en-US"/>
        </w:rPr>
        <w:t>ال</w:t>
      </w:r>
      <w:r>
        <w:rPr>
          <w:rFonts w:ascii="Simplified Arabic" w:hAnsi="Simplified Arabic" w:cs="Simplified Arabic" w:hint="cs"/>
          <w:sz w:val="24"/>
          <w:szCs w:val="24"/>
          <w:rtl/>
          <w:lang w:val="en-US"/>
        </w:rPr>
        <w:t>مكونات الحضرية</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والتي</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يتم</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تناولها</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من</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منظور</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سمات</w:t>
      </w:r>
      <w:r w:rsidRPr="00EA0C6C">
        <w:rPr>
          <w:rFonts w:ascii="Simplified Arabic" w:hAnsi="Simplified Arabic" w:cs="Simplified Arabic"/>
          <w:sz w:val="24"/>
          <w:szCs w:val="24"/>
          <w:rtl/>
          <w:lang w:val="en-US"/>
        </w:rPr>
        <w:t xml:space="preserve"> </w:t>
      </w:r>
      <w:r w:rsidRPr="00EA0C6C">
        <w:rPr>
          <w:rFonts w:ascii="Simplified Arabic" w:hAnsi="Simplified Arabic" w:cs="Simplified Arabic" w:hint="cs"/>
          <w:sz w:val="24"/>
          <w:szCs w:val="24"/>
          <w:rtl/>
          <w:lang w:val="en-US"/>
        </w:rPr>
        <w:t>المرونة</w:t>
      </w:r>
      <w:r w:rsidRPr="00EA0C6C">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الاربعة</w:t>
      </w:r>
      <w:r w:rsidRPr="00EA0C6C">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الكثافة، التنوع،</w:t>
      </w:r>
      <w:r w:rsidRPr="00E21FB7">
        <w:rPr>
          <w:rFonts w:ascii="Simplified Arabic" w:hAnsi="Simplified Arabic" w:cs="Simplified Arabic"/>
          <w:sz w:val="24"/>
          <w:szCs w:val="24"/>
          <w:rtl/>
          <w:lang w:val="en-US"/>
        </w:rPr>
        <w:t xml:space="preserve"> </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والتكرار</w:t>
      </w:r>
      <w:r w:rsidRPr="00EA0C6C">
        <w:rPr>
          <w:rFonts w:ascii="Simplified Arabic" w:hAnsi="Simplified Arabic" w:cs="Simplified Arabic"/>
          <w:sz w:val="24"/>
          <w:szCs w:val="24"/>
          <w:rtl/>
          <w:lang w:val="en-US"/>
        </w:rPr>
        <w:t>)</w:t>
      </w:r>
      <w:r w:rsidRPr="00EA0C6C">
        <w:rPr>
          <w:rFonts w:ascii="Simplified Arabic" w:hAnsi="Simplified Arabic" w:cs="Simplified Arabic" w:hint="cs"/>
          <w:sz w:val="24"/>
          <w:szCs w:val="24"/>
          <w:rtl/>
          <w:lang w:val="en-US"/>
        </w:rPr>
        <w:t>،</w:t>
      </w:r>
      <w:r w:rsidRPr="00EA0C6C">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bidi="ar-DZ"/>
        </w:rPr>
        <w:t xml:space="preserve">المعبر عنها في </w:t>
      </w:r>
      <w:r>
        <w:rPr>
          <w:rFonts w:ascii="Simplified Arabic" w:hAnsi="Simplified Arabic" w:cs="Simplified Arabic" w:hint="cs"/>
          <w:color w:val="000000" w:themeColor="text1"/>
          <w:sz w:val="24"/>
          <w:szCs w:val="24"/>
          <w:rtl/>
          <w:lang w:val="en-US"/>
        </w:rPr>
        <w:t>الشكل (6-3)</w:t>
      </w:r>
      <w:r w:rsidR="00221015">
        <w:rPr>
          <w:rFonts w:ascii="Simplified Arabic" w:hAnsi="Simplified Arabic" w:cs="Simplified Arabic" w:hint="cs"/>
          <w:color w:val="000000" w:themeColor="text1"/>
          <w:sz w:val="24"/>
          <w:szCs w:val="24"/>
          <w:rtl/>
          <w:lang w:val="en-US"/>
        </w:rPr>
        <w:t>.</w:t>
      </w:r>
      <w:r>
        <w:rPr>
          <w:rFonts w:ascii="Simplified Arabic" w:hAnsi="Simplified Arabic" w:cs="Simplified Arabic" w:hint="cs"/>
          <w:sz w:val="24"/>
          <w:szCs w:val="24"/>
          <w:rtl/>
          <w:lang w:val="en-US"/>
        </w:rPr>
        <w:t xml:space="preserve"> </w:t>
      </w:r>
    </w:p>
    <w:p w:rsidR="002A686B" w:rsidRDefault="002A686B" w:rsidP="001341DA">
      <w:pPr>
        <w:pStyle w:val="fegure"/>
        <w:spacing w:before="240"/>
        <w:rPr>
          <w:sz w:val="8"/>
          <w:szCs w:val="24"/>
          <w:rtl/>
          <w:lang w:bidi="ar-DZ"/>
        </w:rPr>
      </w:pPr>
      <w:bookmarkStart w:id="785" w:name="_Toc157608354"/>
      <w:bookmarkStart w:id="786" w:name="_Toc171803771"/>
      <w:r w:rsidRPr="0089158C">
        <w:rPr>
          <w:rFonts w:hint="cs"/>
          <w:sz w:val="8"/>
          <w:szCs w:val="24"/>
          <w:rtl/>
          <w:lang w:bidi="ar-DZ"/>
        </w:rPr>
        <w:t>الشكل</w:t>
      </w:r>
      <w:r w:rsidRPr="0089158C">
        <w:rPr>
          <w:sz w:val="8"/>
          <w:szCs w:val="24"/>
          <w:rtl/>
          <w:lang w:bidi="ar-DZ"/>
        </w:rPr>
        <w:t xml:space="preserve"> </w:t>
      </w:r>
      <w:r w:rsidRPr="0089158C">
        <w:rPr>
          <w:rFonts w:hint="cs"/>
          <w:sz w:val="8"/>
          <w:szCs w:val="24"/>
          <w:rtl/>
          <w:lang w:bidi="ar-DZ"/>
        </w:rPr>
        <w:t xml:space="preserve">(6-3): توضيح </w:t>
      </w:r>
      <w:r w:rsidRPr="0089158C">
        <w:rPr>
          <w:rFonts w:hint="cs"/>
          <w:sz w:val="8"/>
          <w:szCs w:val="24"/>
          <w:rtl/>
          <w:lang w:val="en-US"/>
        </w:rPr>
        <w:t>السمات</w:t>
      </w:r>
      <w:r w:rsidRPr="0089158C">
        <w:rPr>
          <w:sz w:val="8"/>
          <w:szCs w:val="24"/>
          <w:rtl/>
          <w:lang w:val="en-US"/>
        </w:rPr>
        <w:t xml:space="preserve"> </w:t>
      </w:r>
      <w:r w:rsidRPr="0089158C">
        <w:rPr>
          <w:rFonts w:hint="cs"/>
          <w:sz w:val="8"/>
          <w:szCs w:val="24"/>
          <w:rtl/>
          <w:lang w:val="en-US"/>
        </w:rPr>
        <w:t>الاربعة</w:t>
      </w:r>
      <w:r w:rsidRPr="0089158C">
        <w:rPr>
          <w:sz w:val="8"/>
          <w:szCs w:val="24"/>
          <w:rtl/>
          <w:lang w:val="en-US"/>
        </w:rPr>
        <w:t xml:space="preserve"> </w:t>
      </w:r>
      <w:r w:rsidRPr="0089158C">
        <w:rPr>
          <w:rFonts w:hint="cs"/>
          <w:sz w:val="8"/>
          <w:szCs w:val="24"/>
          <w:rtl/>
          <w:lang w:val="en-US"/>
        </w:rPr>
        <w:t>للمرونة المكانية</w:t>
      </w:r>
      <w:bookmarkEnd w:id="785"/>
      <w:bookmarkEnd w:id="786"/>
    </w:p>
    <w:p w:rsidR="00346B91" w:rsidRPr="00D2461F" w:rsidRDefault="00D2461F" w:rsidP="001341DA">
      <w:pPr>
        <w:pStyle w:val="fegure"/>
        <w:rPr>
          <w:sz w:val="8"/>
          <w:szCs w:val="24"/>
          <w:rtl/>
          <w:lang w:val="en-US" w:bidi="ar-DZ"/>
        </w:rPr>
      </w:pPr>
      <w:bookmarkStart w:id="787" w:name="_Toc171803772"/>
      <w:r>
        <w:rPr>
          <w:rFonts w:hint="cs"/>
          <w:sz w:val="8"/>
          <w:szCs w:val="24"/>
          <w:rtl/>
          <w:lang w:val="en-US"/>
        </w:rPr>
        <w:t>(الباحث، 2022)</w:t>
      </w:r>
      <w:bookmarkEnd w:id="787"/>
    </w:p>
    <w:p w:rsidR="002A686B" w:rsidRPr="00492D2B" w:rsidRDefault="002A686B" w:rsidP="001341DA">
      <w:pPr>
        <w:bidi/>
        <w:spacing w:after="0" w:line="240" w:lineRule="auto"/>
        <w:ind w:left="-1"/>
        <w:jc w:val="center"/>
        <w:rPr>
          <w:rFonts w:ascii="Simplified Arabic" w:hAnsi="Simplified Arabic" w:cs="Simplified Arabic"/>
          <w:sz w:val="24"/>
          <w:szCs w:val="24"/>
          <w:rtl/>
          <w:lang w:val="en-US"/>
        </w:rPr>
      </w:pPr>
      <w:r>
        <w:rPr>
          <w:noProof/>
          <w:lang w:eastAsia="fr-FR"/>
        </w:rPr>
        <w:drawing>
          <wp:inline distT="0" distB="0" distL="0" distR="0" wp14:anchorId="29E8EBA6" wp14:editId="67A51B64">
            <wp:extent cx="4452419" cy="2294626"/>
            <wp:effectExtent l="0" t="0" r="5715" b="0"/>
            <wp:docPr id="107"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1">
                      <a:extLst>
                        <a:ext uri="{28A0092B-C50C-407E-A947-70E740481C1C}">
                          <a14:useLocalDpi xmlns:a14="http://schemas.microsoft.com/office/drawing/2010/main" val="0"/>
                        </a:ext>
                      </a:extLst>
                    </a:blip>
                    <a:stretch>
                      <a:fillRect/>
                    </a:stretch>
                  </pic:blipFill>
                  <pic:spPr>
                    <a:xfrm>
                      <a:off x="0" y="0"/>
                      <a:ext cx="4457149" cy="2297064"/>
                    </a:xfrm>
                    <a:prstGeom prst="rect">
                      <a:avLst/>
                    </a:prstGeom>
                  </pic:spPr>
                </pic:pic>
              </a:graphicData>
            </a:graphic>
          </wp:inline>
        </w:drawing>
      </w:r>
    </w:p>
    <w:p w:rsidR="002A686B" w:rsidRDefault="002A686B" w:rsidP="00B1589F">
      <w:pPr>
        <w:tabs>
          <w:tab w:val="right" w:pos="282"/>
        </w:tabs>
        <w:bidi/>
        <w:spacing w:before="240" w:after="0"/>
        <w:ind w:firstLine="282"/>
        <w:jc w:val="both"/>
        <w:rPr>
          <w:rFonts w:ascii="Simplified Arabic" w:hAnsi="Simplified Arabic" w:cs="Simplified Arabic"/>
          <w:sz w:val="24"/>
          <w:szCs w:val="24"/>
          <w:rtl/>
          <w:lang w:val="en-US"/>
        </w:rPr>
      </w:pPr>
      <w:r>
        <w:rPr>
          <w:rFonts w:ascii="Simplified Arabic" w:eastAsia="Times New Roman" w:hAnsi="Simplified Arabic" w:cs="Simplified Arabic" w:hint="cs"/>
          <w:b/>
          <w:sz w:val="24"/>
          <w:szCs w:val="24"/>
          <w:rtl/>
          <w:lang w:val="en-US" w:eastAsia="fr-FR"/>
        </w:rPr>
        <w:t xml:space="preserve">يعتبر </w:t>
      </w:r>
      <w:r w:rsidR="00D61866">
        <w:rPr>
          <w:rFonts w:ascii="Simplified Arabic" w:hAnsi="Simplified Arabic" w:cs="Simplified Arabic" w:hint="cs"/>
          <w:color w:val="000000" w:themeColor="text1"/>
          <w:sz w:val="24"/>
          <w:szCs w:val="24"/>
          <w:rtl/>
          <w:lang w:val="en-US"/>
        </w:rPr>
        <w:t>قياس</w:t>
      </w:r>
      <w:r w:rsidR="00D61866" w:rsidRPr="007F4054">
        <w:rPr>
          <w:rFonts w:ascii="Simplified Arabic" w:hAnsi="Simplified Arabic" w:cs="Simplified Arabic"/>
          <w:color w:val="000000" w:themeColor="text1"/>
          <w:sz w:val="24"/>
          <w:szCs w:val="24"/>
          <w:rtl/>
          <w:lang w:val="en-US"/>
        </w:rPr>
        <w:t xml:space="preserve"> </w:t>
      </w:r>
      <w:r w:rsidR="00D61866">
        <w:rPr>
          <w:rFonts w:ascii="Simplified Arabic" w:hAnsi="Simplified Arabic" w:cs="Simplified Arabic" w:hint="cs"/>
          <w:color w:val="000000" w:themeColor="text1"/>
          <w:sz w:val="24"/>
          <w:szCs w:val="24"/>
          <w:rtl/>
          <w:lang w:val="en-US"/>
        </w:rPr>
        <w:t>مستويات ال</w:t>
      </w:r>
      <w:r w:rsidR="00D61866" w:rsidRPr="007F4054">
        <w:rPr>
          <w:rFonts w:ascii="Simplified Arabic" w:hAnsi="Simplified Arabic" w:cs="Simplified Arabic" w:hint="cs"/>
          <w:color w:val="000000" w:themeColor="text1"/>
          <w:sz w:val="24"/>
          <w:szCs w:val="24"/>
          <w:rtl/>
          <w:lang w:val="en-US"/>
        </w:rPr>
        <w:t>سمات</w:t>
      </w:r>
      <w:r w:rsidR="00D61866" w:rsidRPr="007F4054">
        <w:rPr>
          <w:rFonts w:ascii="Simplified Arabic" w:hAnsi="Simplified Arabic" w:cs="Simplified Arabic"/>
          <w:color w:val="000000" w:themeColor="text1"/>
          <w:sz w:val="24"/>
          <w:szCs w:val="24"/>
          <w:rtl/>
          <w:lang w:val="en-US"/>
        </w:rPr>
        <w:t xml:space="preserve"> </w:t>
      </w:r>
      <w:r w:rsidR="00D61866">
        <w:rPr>
          <w:rFonts w:ascii="Simplified Arabic" w:hAnsi="Simplified Arabic" w:cs="Simplified Arabic" w:hint="cs"/>
          <w:color w:val="000000" w:themeColor="text1"/>
          <w:sz w:val="24"/>
          <w:szCs w:val="24"/>
          <w:rtl/>
          <w:lang w:val="en-US"/>
        </w:rPr>
        <w:t>الاربعة</w:t>
      </w:r>
      <w:r w:rsidR="00D61866" w:rsidRPr="007F4054">
        <w:rPr>
          <w:rFonts w:ascii="Simplified Arabic" w:hAnsi="Simplified Arabic" w:cs="Simplified Arabic"/>
          <w:color w:val="000000" w:themeColor="text1"/>
          <w:sz w:val="24"/>
          <w:szCs w:val="24"/>
          <w:rtl/>
          <w:lang w:val="en-US"/>
        </w:rPr>
        <w:t xml:space="preserve"> </w:t>
      </w:r>
      <w:r w:rsidR="00D61866">
        <w:rPr>
          <w:rFonts w:ascii="Simplified Arabic" w:hAnsi="Simplified Arabic" w:cs="Simplified Arabic" w:hint="cs"/>
          <w:color w:val="000000" w:themeColor="text1"/>
          <w:sz w:val="24"/>
          <w:szCs w:val="24"/>
          <w:rtl/>
          <w:lang w:val="en-US"/>
        </w:rPr>
        <w:t>للمرونة المكانية</w:t>
      </w:r>
      <w:r w:rsidR="00D61866">
        <w:rPr>
          <w:rFonts w:ascii="Simplified Arabic" w:eastAsia="Times New Roman" w:hAnsi="Simplified Arabic" w:cs="Simplified Arabic" w:hint="cs"/>
          <w:b/>
          <w:sz w:val="24"/>
          <w:szCs w:val="24"/>
          <w:rtl/>
          <w:lang w:val="en-US" w:eastAsia="fr-FR"/>
        </w:rPr>
        <w:t xml:space="preserve"> ل</w:t>
      </w:r>
      <w:r>
        <w:rPr>
          <w:rFonts w:ascii="Simplified Arabic" w:eastAsia="Times New Roman" w:hAnsi="Simplified Arabic" w:cs="Simplified Arabic" w:hint="cs"/>
          <w:b/>
          <w:sz w:val="24"/>
          <w:szCs w:val="24"/>
          <w:rtl/>
          <w:lang w:val="en-US" w:eastAsia="fr-FR"/>
        </w:rPr>
        <w:t xml:space="preserve">مدينة بوسعادة بمثابة اداة </w:t>
      </w:r>
      <w:r w:rsidRPr="00325382">
        <w:rPr>
          <w:rFonts w:ascii="Simplified Arabic" w:eastAsia="Times New Roman" w:hAnsi="Simplified Arabic" w:cs="Simplified Arabic" w:hint="cs"/>
          <w:b/>
          <w:sz w:val="24"/>
          <w:szCs w:val="24"/>
          <w:rtl/>
          <w:lang w:val="en-US" w:eastAsia="fr-FR"/>
        </w:rPr>
        <w:t>دعم</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قرار</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مكاني</w:t>
      </w:r>
      <w:r w:rsidRPr="003253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للمساعدة على</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تطوير</w:t>
      </w:r>
      <w:r w:rsidRPr="003253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الا</w:t>
      </w:r>
      <w:r w:rsidRPr="00325382">
        <w:rPr>
          <w:rFonts w:ascii="Simplified Arabic" w:eastAsia="Times New Roman" w:hAnsi="Simplified Arabic" w:cs="Simplified Arabic" w:hint="cs"/>
          <w:b/>
          <w:sz w:val="24"/>
          <w:szCs w:val="24"/>
          <w:rtl/>
          <w:lang w:val="en-US" w:eastAsia="fr-FR"/>
        </w:rPr>
        <w:t>ستراتيجيات</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والتدخلات</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المناسبة</w:t>
      </w:r>
      <w:r w:rsidRPr="00325382">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w:t>
      </w:r>
      <w:r w:rsidRPr="00325382">
        <w:rPr>
          <w:rFonts w:ascii="Simplified Arabic" w:eastAsia="Times New Roman" w:hAnsi="Simplified Arabic" w:cs="Simplified Arabic" w:hint="cs"/>
          <w:b/>
          <w:sz w:val="24"/>
          <w:szCs w:val="24"/>
          <w:rtl/>
          <w:lang w:val="en-US" w:eastAsia="fr-FR"/>
        </w:rPr>
        <w:t>مواجهة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مشكلة</w:t>
      </w:r>
      <w:r w:rsidRPr="00325382">
        <w:rPr>
          <w:rFonts w:ascii="Simplified Arabic" w:eastAsia="Times New Roman" w:hAnsi="Simplified Arabic" w:cs="Simplified Arabic"/>
          <w:b/>
          <w:sz w:val="24"/>
          <w:szCs w:val="24"/>
          <w:rtl/>
          <w:lang w:val="en-US" w:eastAsia="fr-FR"/>
        </w:rPr>
        <w:t xml:space="preserve"> </w:t>
      </w:r>
      <w:r w:rsidRPr="00325382">
        <w:rPr>
          <w:rFonts w:ascii="Simplified Arabic" w:eastAsia="Times New Roman" w:hAnsi="Simplified Arabic" w:cs="Simplified Arabic" w:hint="cs"/>
          <w:b/>
          <w:sz w:val="24"/>
          <w:szCs w:val="24"/>
          <w:rtl/>
          <w:lang w:val="en-US" w:eastAsia="fr-FR"/>
        </w:rPr>
        <w:t>مكانية</w:t>
      </w:r>
      <w:r w:rsidRPr="00325382">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 xml:space="preserve"> الغاية من </w:t>
      </w:r>
      <w:r>
        <w:rPr>
          <w:rFonts w:ascii="Simplified Arabic" w:hAnsi="Simplified Arabic" w:cs="Simplified Arabic" w:hint="cs"/>
          <w:color w:val="000000" w:themeColor="text1"/>
          <w:sz w:val="24"/>
          <w:szCs w:val="24"/>
          <w:rtl/>
          <w:lang w:val="en-US"/>
        </w:rPr>
        <w:t>قياس</w:t>
      </w:r>
      <w:r w:rsidRPr="007F4054">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ال</w:t>
      </w:r>
      <w:r w:rsidRPr="007F4054">
        <w:rPr>
          <w:rFonts w:ascii="Simplified Arabic" w:hAnsi="Simplified Arabic" w:cs="Simplified Arabic" w:hint="cs"/>
          <w:color w:val="000000" w:themeColor="text1"/>
          <w:sz w:val="24"/>
          <w:szCs w:val="24"/>
          <w:rtl/>
          <w:lang w:val="en-US"/>
        </w:rPr>
        <w:t>سمات</w:t>
      </w:r>
      <w:r w:rsidRPr="007F4054">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الاربعة</w:t>
      </w:r>
      <w:r w:rsidRPr="007F4054">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للمرونة المكانية: الكثافة، ا</w:t>
      </w:r>
      <w:r w:rsidRPr="007F4054">
        <w:rPr>
          <w:rFonts w:ascii="Simplified Arabic" w:hAnsi="Simplified Arabic" w:cs="Simplified Arabic" w:hint="cs"/>
          <w:color w:val="000000" w:themeColor="text1"/>
          <w:sz w:val="24"/>
          <w:szCs w:val="24"/>
          <w:rtl/>
          <w:lang w:val="en-US"/>
        </w:rPr>
        <w:t>لتنوع</w:t>
      </w:r>
      <w:r>
        <w:rPr>
          <w:rFonts w:ascii="Simplified Arabic" w:hAnsi="Simplified Arabic" w:cs="Simplified Arabic" w:hint="cs"/>
          <w:color w:val="000000" w:themeColor="text1"/>
          <w:sz w:val="24"/>
          <w:szCs w:val="24"/>
          <w:rtl/>
          <w:lang w:val="en-US"/>
        </w:rPr>
        <w:t>،</w:t>
      </w:r>
      <w:r w:rsidRPr="007F4054">
        <w:rPr>
          <w:rFonts w:ascii="Simplified Arabic" w:hAnsi="Simplified Arabic" w:cs="Simplified Arabic"/>
          <w:color w:val="000000" w:themeColor="text1"/>
          <w:sz w:val="24"/>
          <w:szCs w:val="24"/>
          <w:rtl/>
          <w:lang w:val="en-US"/>
        </w:rPr>
        <w:t xml:space="preserve"> </w:t>
      </w:r>
      <w:r w:rsidR="00C23656" w:rsidRPr="0062340E">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Pr="007F4054">
        <w:rPr>
          <w:rFonts w:ascii="Simplified Arabic" w:hAnsi="Simplified Arabic" w:cs="Simplified Arabic"/>
          <w:color w:val="000000" w:themeColor="text1"/>
          <w:sz w:val="24"/>
          <w:szCs w:val="24"/>
          <w:rtl/>
          <w:lang w:val="en-US"/>
        </w:rPr>
        <w:t xml:space="preserve"> </w:t>
      </w:r>
      <w:r w:rsidRPr="007F4054">
        <w:rPr>
          <w:rFonts w:ascii="Simplified Arabic" w:hAnsi="Simplified Arabic" w:cs="Simplified Arabic" w:hint="cs"/>
          <w:color w:val="000000" w:themeColor="text1"/>
          <w:sz w:val="24"/>
          <w:szCs w:val="24"/>
          <w:rtl/>
          <w:lang w:val="en-US"/>
        </w:rPr>
        <w:t>والتكرار</w:t>
      </w:r>
      <w:r>
        <w:rPr>
          <w:rFonts w:ascii="Simplified Arabic" w:hAnsi="Simplified Arabic" w:cs="Simplified Arabic" w:hint="cs"/>
          <w:color w:val="000000" w:themeColor="text1"/>
          <w:sz w:val="24"/>
          <w:szCs w:val="24"/>
          <w:rtl/>
          <w:lang w:val="en-US"/>
        </w:rPr>
        <w:t xml:space="preserve">، </w:t>
      </w:r>
      <w:r>
        <w:rPr>
          <w:rFonts w:ascii="Simplified Arabic" w:eastAsia="Times New Roman" w:hAnsi="Simplified Arabic" w:cs="Simplified Arabic" w:hint="cs"/>
          <w:b/>
          <w:sz w:val="24"/>
          <w:szCs w:val="24"/>
          <w:rtl/>
          <w:lang w:val="en-US" w:eastAsia="fr-FR"/>
        </w:rPr>
        <w:t xml:space="preserve">هو </w:t>
      </w:r>
      <w:r>
        <w:rPr>
          <w:rFonts w:ascii="Simplified Arabic" w:hAnsi="Simplified Arabic" w:cs="Simplified Arabic" w:hint="cs"/>
          <w:sz w:val="24"/>
          <w:szCs w:val="24"/>
          <w:rtl/>
          <w:lang w:val="en-US"/>
        </w:rPr>
        <w:t xml:space="preserve">إبراز قدرة </w:t>
      </w:r>
      <w:r w:rsidRPr="005C13D9">
        <w:rPr>
          <w:rFonts w:ascii="Simplified Arabic" w:hAnsi="Simplified Arabic" w:cs="Simplified Arabic" w:hint="cs"/>
          <w:sz w:val="24"/>
          <w:szCs w:val="24"/>
          <w:rtl/>
          <w:lang w:val="en-US"/>
        </w:rPr>
        <w:t xml:space="preserve">مدينة بوسعادة </w:t>
      </w:r>
      <w:r>
        <w:rPr>
          <w:rFonts w:ascii="Simplified Arabic" w:hAnsi="Simplified Arabic" w:cs="Simplified Arabic" w:hint="cs"/>
          <w:sz w:val="24"/>
          <w:szCs w:val="24"/>
          <w:rtl/>
          <w:lang w:val="en-US"/>
        </w:rPr>
        <w:t xml:space="preserve">على التكيّف </w:t>
      </w:r>
      <w:r w:rsidR="00B1589F">
        <w:rPr>
          <w:rFonts w:ascii="Simplified Arabic" w:hAnsi="Simplified Arabic" w:cs="Simplified Arabic" w:hint="cs"/>
          <w:sz w:val="24"/>
          <w:szCs w:val="24"/>
          <w:rtl/>
          <w:lang w:val="en-US"/>
        </w:rPr>
        <w:t>اثناء مراحل نموها الحضري</w:t>
      </w:r>
      <w:r w:rsidRPr="00E85560">
        <w:rPr>
          <w:rFonts w:ascii="Simplified Arabic" w:hAnsi="Simplified Arabic" w:cs="Simplified Arabic" w:hint="cs"/>
          <w:sz w:val="24"/>
          <w:szCs w:val="24"/>
          <w:rtl/>
          <w:lang w:val="en-US"/>
        </w:rPr>
        <w:t xml:space="preserve">، </w:t>
      </w:r>
      <w:r w:rsidR="00B1589F">
        <w:rPr>
          <w:rFonts w:ascii="Simplified Arabic" w:hAnsi="Simplified Arabic" w:cs="Simplified Arabic" w:hint="cs"/>
          <w:sz w:val="24"/>
          <w:szCs w:val="24"/>
          <w:rtl/>
          <w:lang w:val="en-US"/>
        </w:rPr>
        <w:t xml:space="preserve">من خلال </w:t>
      </w:r>
      <w:r w:rsidR="00DF16EA">
        <w:rPr>
          <w:rFonts w:ascii="Simplified Arabic" w:hAnsi="Simplified Arabic" w:cs="Simplified Arabic" w:hint="cs"/>
          <w:sz w:val="24"/>
          <w:szCs w:val="24"/>
          <w:rtl/>
          <w:lang w:val="en-US"/>
        </w:rPr>
        <w:t xml:space="preserve">اعادة البناء واحداث التحول </w:t>
      </w:r>
      <w:r w:rsidR="00B1589F">
        <w:rPr>
          <w:rFonts w:ascii="Simplified Arabic" w:hAnsi="Simplified Arabic" w:cs="Simplified Arabic" w:hint="cs"/>
          <w:sz w:val="24"/>
          <w:szCs w:val="24"/>
          <w:rtl/>
          <w:lang w:val="en-US"/>
        </w:rPr>
        <w:t>و</w:t>
      </w:r>
      <w:r>
        <w:rPr>
          <w:rFonts w:ascii="Simplified Arabic" w:hAnsi="Simplified Arabic" w:cs="Simplified Arabic" w:hint="cs"/>
          <w:sz w:val="24"/>
          <w:szCs w:val="24"/>
          <w:rtl/>
          <w:lang w:val="en-US"/>
        </w:rPr>
        <w:t>ا</w:t>
      </w:r>
      <w:r w:rsidRPr="00F946ED">
        <w:rPr>
          <w:rFonts w:ascii="Simplified Arabic" w:hAnsi="Simplified Arabic" w:cs="Simplified Arabic" w:hint="cs"/>
          <w:sz w:val="24"/>
          <w:szCs w:val="24"/>
          <w:rtl/>
          <w:lang w:val="en-US"/>
        </w:rPr>
        <w:t>لتدخلات</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التخطيطية</w:t>
      </w:r>
      <w:r w:rsidRPr="00F946ED">
        <w:rPr>
          <w:rFonts w:ascii="Simplified Arabic" w:hAnsi="Simplified Arabic" w:cs="Simplified Arabic"/>
          <w:sz w:val="24"/>
          <w:szCs w:val="24"/>
          <w:rtl/>
          <w:lang w:val="en-US"/>
        </w:rPr>
        <w:t xml:space="preserve"> </w:t>
      </w:r>
      <w:r w:rsidRPr="00F946ED">
        <w:rPr>
          <w:rFonts w:ascii="Simplified Arabic" w:hAnsi="Simplified Arabic" w:cs="Simplified Arabic" w:hint="cs"/>
          <w:sz w:val="24"/>
          <w:szCs w:val="24"/>
          <w:rtl/>
          <w:lang w:val="en-US"/>
        </w:rPr>
        <w:t>وممارسات</w:t>
      </w:r>
      <w:r w:rsidRPr="00F946ED">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عملية التحسين الحضري على </w:t>
      </w:r>
      <w:r>
        <w:rPr>
          <w:rFonts w:ascii="Simplified Arabic" w:hAnsi="Simplified Arabic" w:cs="Simplified Arabic" w:hint="cs"/>
          <w:sz w:val="24"/>
          <w:szCs w:val="24"/>
          <w:rtl/>
        </w:rPr>
        <w:t>الاحياء السكنية التي تعاني مستوى مرونة متدنِّ</w:t>
      </w:r>
      <w:r>
        <w:rPr>
          <w:rFonts w:ascii="Simplified Arabic" w:hAnsi="Simplified Arabic" w:cs="Simplified Arabic" w:hint="cs"/>
          <w:sz w:val="24"/>
          <w:szCs w:val="24"/>
          <w:rtl/>
          <w:lang w:val="en-US"/>
        </w:rPr>
        <w:t>.</w:t>
      </w:r>
    </w:p>
    <w:p w:rsidR="006B6112" w:rsidRDefault="002A686B" w:rsidP="001341DA">
      <w:pPr>
        <w:tabs>
          <w:tab w:val="right" w:pos="282"/>
        </w:tabs>
        <w:bidi/>
        <w:spacing w:after="0"/>
        <w:ind w:firstLine="282"/>
        <w:jc w:val="both"/>
        <w:rPr>
          <w:rFonts w:ascii="Simplified Arabic" w:hAnsi="Simplified Arabic" w:cs="Simplified Arabic"/>
          <w:sz w:val="24"/>
          <w:szCs w:val="24"/>
          <w:rtl/>
          <w:lang w:val="en-US"/>
        </w:rPr>
      </w:pPr>
      <w:r w:rsidRPr="00E21FB7">
        <w:rPr>
          <w:rFonts w:ascii="Simplified Arabic" w:hAnsi="Simplified Arabic" w:cs="Simplified Arabic" w:hint="cs"/>
          <w:sz w:val="24"/>
          <w:szCs w:val="24"/>
          <w:rtl/>
          <w:lang w:val="en-US"/>
        </w:rPr>
        <w:t>من</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حيث نمط</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النسيج</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الحضري</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يمكن</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تقسيم</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مدينة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بوسعادة إلى</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اربعة فئات</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رئيسية،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يقصد بتلك الفئات الاربعة، فئة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النسيج الحضري التقليدي (أ)،</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فئة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النسيج الحضري الاستيطاني (ب)، فئة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النسيج الحضري شبه</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المخطط (جـ) وفئة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النسيج الحضري المخطط (د).</w:t>
      </w:r>
      <w:r w:rsidR="00E30288">
        <w:rPr>
          <w:rFonts w:ascii="Simplified Arabic" w:hAnsi="Simplified Arabic" w:cs="Simplified Arabic" w:hint="cs"/>
          <w:sz w:val="24"/>
          <w:szCs w:val="24"/>
          <w:rtl/>
          <w:lang w:val="en-US"/>
        </w:rPr>
        <w:t xml:space="preserve"> </w:t>
      </w:r>
    </w:p>
    <w:p w:rsidR="002A686B" w:rsidRDefault="002A686B" w:rsidP="001417E8">
      <w:pPr>
        <w:tabs>
          <w:tab w:val="right" w:pos="282"/>
        </w:tabs>
        <w:bidi/>
        <w:spacing w:after="0"/>
        <w:ind w:firstLine="282"/>
        <w:jc w:val="both"/>
        <w:rPr>
          <w:rFonts w:ascii="Simplified Arabic" w:hAnsi="Simplified Arabic" w:cs="Simplified Arabic"/>
          <w:sz w:val="24"/>
          <w:szCs w:val="24"/>
          <w:rtl/>
          <w:lang w:val="en-US"/>
        </w:rPr>
      </w:pPr>
      <w:r w:rsidRPr="00E21FB7">
        <w:rPr>
          <w:rFonts w:ascii="Simplified Arabic" w:hAnsi="Simplified Arabic" w:cs="Simplified Arabic" w:hint="cs"/>
          <w:sz w:val="24"/>
          <w:szCs w:val="24"/>
          <w:rtl/>
          <w:lang w:val="en-US"/>
        </w:rPr>
        <w:t>من اجل اجراء التحليل</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المقارن</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في</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هذ</w:t>
      </w:r>
      <w:r w:rsidR="00E30288">
        <w:rPr>
          <w:rFonts w:ascii="Simplified Arabic" w:hAnsi="Simplified Arabic" w:cs="Simplified Arabic" w:hint="cs"/>
          <w:sz w:val="24"/>
          <w:szCs w:val="24"/>
          <w:rtl/>
          <w:lang w:val="en-US"/>
        </w:rPr>
        <w:t>ا البحث</w:t>
      </w:r>
      <w:r w:rsidRPr="00E21FB7">
        <w:rPr>
          <w:rFonts w:ascii="Simplified Arabic" w:hAnsi="Simplified Arabic" w:cs="Simplified Arabic" w:hint="cs"/>
          <w:sz w:val="24"/>
          <w:szCs w:val="24"/>
          <w:rtl/>
          <w:lang w:val="en-US"/>
        </w:rPr>
        <w:t>،</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اخترنا</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اربعة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أحياء</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تمثل</w:t>
      </w:r>
      <w:r w:rsidRPr="00E21FB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الانسجة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الحضرية</w:t>
      </w:r>
      <w:r w:rsidRPr="00E21FB7">
        <w:rPr>
          <w:rFonts w:ascii="Simplified Arabic" w:hAnsi="Simplified Arabic" w:cs="Simplified Arabic"/>
          <w:sz w:val="24"/>
          <w:szCs w:val="24"/>
          <w:rtl/>
          <w:lang w:val="en-US"/>
        </w:rPr>
        <w:t xml:space="preserve"> </w:t>
      </w:r>
      <w:r w:rsidRPr="00E21FB7">
        <w:rPr>
          <w:rFonts w:ascii="Simplified Arabic" w:hAnsi="Simplified Arabic" w:cs="Simplified Arabic" w:hint="cs"/>
          <w:sz w:val="24"/>
          <w:szCs w:val="24"/>
          <w:rtl/>
          <w:lang w:val="en-US"/>
        </w:rPr>
        <w:t>الاربعة</w:t>
      </w:r>
      <w:r w:rsidR="00E30288">
        <w:rPr>
          <w:rFonts w:ascii="Simplified Arabic" w:hAnsi="Simplified Arabic" w:cs="Simplified Arabic" w:hint="cs"/>
          <w:sz w:val="24"/>
          <w:szCs w:val="24"/>
          <w:rtl/>
          <w:lang w:val="en-US"/>
        </w:rPr>
        <w:t>،</w:t>
      </w:r>
      <w:r w:rsidRPr="00E21FB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كما هو مدون في الجدول (6-</w:t>
      </w:r>
      <w:r w:rsidR="00B24A3A">
        <w:rPr>
          <w:rFonts w:ascii="Simplified Arabic" w:hAnsi="Simplified Arabic" w:cs="Simplified Arabic"/>
          <w:sz w:val="24"/>
          <w:szCs w:val="24"/>
          <w:lang w:val="en-US"/>
        </w:rPr>
        <w:t>1</w:t>
      </w:r>
      <w:r>
        <w:rPr>
          <w:rFonts w:ascii="Simplified Arabic" w:hAnsi="Simplified Arabic" w:cs="Simplified Arabic" w:hint="cs"/>
          <w:sz w:val="24"/>
          <w:szCs w:val="24"/>
          <w:rtl/>
          <w:lang w:val="en-US"/>
        </w:rPr>
        <w:t>)</w:t>
      </w:r>
      <w:r w:rsidRPr="00E21FB7">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 xml:space="preserve">هذا الاختيار من شأنه تعميم النتائج، </w:t>
      </w:r>
      <w:r w:rsidRPr="00B27B00">
        <w:rPr>
          <w:rFonts w:ascii="Simplified Arabic" w:hAnsi="Simplified Arabic" w:cs="Simplified Arabic" w:hint="cs"/>
          <w:sz w:val="24"/>
          <w:szCs w:val="24"/>
          <w:rtl/>
          <w:lang w:val="en-US"/>
        </w:rPr>
        <w:t>وتؤدي</w:t>
      </w:r>
      <w:r w:rsidRPr="00B27B00">
        <w:rPr>
          <w:rFonts w:ascii="Simplified Arabic" w:hAnsi="Simplified Arabic" w:cs="Simplified Arabic"/>
          <w:sz w:val="24"/>
          <w:szCs w:val="24"/>
          <w:rtl/>
          <w:lang w:val="en-US"/>
        </w:rPr>
        <w:t xml:space="preserve"> </w:t>
      </w:r>
      <w:r w:rsidRPr="00B27B00">
        <w:rPr>
          <w:rFonts w:ascii="Simplified Arabic" w:hAnsi="Simplified Arabic" w:cs="Simplified Arabic" w:hint="cs"/>
          <w:sz w:val="24"/>
          <w:szCs w:val="24"/>
          <w:rtl/>
          <w:lang w:val="en-US"/>
        </w:rPr>
        <w:t>إلى</w:t>
      </w:r>
      <w:r w:rsidRPr="00B27B00">
        <w:rPr>
          <w:rFonts w:ascii="Simplified Arabic" w:hAnsi="Simplified Arabic" w:cs="Simplified Arabic"/>
          <w:sz w:val="24"/>
          <w:szCs w:val="24"/>
          <w:rtl/>
          <w:lang w:val="en-US"/>
        </w:rPr>
        <w:t xml:space="preserve"> </w:t>
      </w:r>
      <w:r w:rsidRPr="00B27B00">
        <w:rPr>
          <w:rFonts w:ascii="Simplified Arabic" w:hAnsi="Simplified Arabic" w:cs="Simplified Arabic" w:hint="cs"/>
          <w:sz w:val="24"/>
          <w:szCs w:val="24"/>
          <w:rtl/>
          <w:lang w:val="en-US"/>
        </w:rPr>
        <w:t>نتائج</w:t>
      </w:r>
      <w:r w:rsidRPr="00B27B00">
        <w:rPr>
          <w:rFonts w:ascii="Simplified Arabic" w:hAnsi="Simplified Arabic" w:cs="Simplified Arabic"/>
          <w:sz w:val="24"/>
          <w:szCs w:val="24"/>
          <w:rtl/>
          <w:lang w:val="en-US"/>
        </w:rPr>
        <w:t xml:space="preserve"> </w:t>
      </w:r>
      <w:r w:rsidRPr="00B27B00">
        <w:rPr>
          <w:rFonts w:ascii="Simplified Arabic" w:hAnsi="Simplified Arabic" w:cs="Simplified Arabic" w:hint="cs"/>
          <w:sz w:val="24"/>
          <w:szCs w:val="24"/>
          <w:rtl/>
          <w:lang w:val="en-US"/>
        </w:rPr>
        <w:t>يمكن</w:t>
      </w:r>
      <w:r w:rsidRPr="00B27B00">
        <w:rPr>
          <w:rFonts w:ascii="Simplified Arabic" w:hAnsi="Simplified Arabic" w:cs="Simplified Arabic"/>
          <w:sz w:val="24"/>
          <w:szCs w:val="24"/>
          <w:rtl/>
          <w:lang w:val="en-US"/>
        </w:rPr>
        <w:t xml:space="preserve"> </w:t>
      </w:r>
      <w:r w:rsidRPr="00B27B00">
        <w:rPr>
          <w:rFonts w:ascii="Simplified Arabic" w:hAnsi="Simplified Arabic" w:cs="Simplified Arabic" w:hint="cs"/>
          <w:sz w:val="24"/>
          <w:szCs w:val="24"/>
          <w:rtl/>
          <w:lang w:val="en-US"/>
        </w:rPr>
        <w:t>تطبيقها</w:t>
      </w:r>
      <w:r w:rsidRPr="00B27B00">
        <w:rPr>
          <w:rFonts w:ascii="Simplified Arabic" w:hAnsi="Simplified Arabic" w:cs="Simplified Arabic"/>
          <w:sz w:val="24"/>
          <w:szCs w:val="24"/>
          <w:rtl/>
          <w:lang w:val="en-US"/>
        </w:rPr>
        <w:t xml:space="preserve"> </w:t>
      </w:r>
      <w:r w:rsidRPr="00B27B00">
        <w:rPr>
          <w:rFonts w:ascii="Simplified Arabic" w:hAnsi="Simplified Arabic" w:cs="Simplified Arabic" w:hint="cs"/>
          <w:sz w:val="24"/>
          <w:szCs w:val="24"/>
          <w:rtl/>
          <w:lang w:val="en-US"/>
        </w:rPr>
        <w:t>على</w:t>
      </w:r>
      <w:r w:rsidRPr="00B27B00">
        <w:rPr>
          <w:rFonts w:ascii="Simplified Arabic" w:hAnsi="Simplified Arabic" w:cs="Simplified Arabic"/>
          <w:sz w:val="24"/>
          <w:szCs w:val="24"/>
          <w:rtl/>
          <w:lang w:val="en-US"/>
        </w:rPr>
        <w:t xml:space="preserve"> </w:t>
      </w:r>
      <w:r w:rsidRPr="00B27B00">
        <w:rPr>
          <w:rFonts w:ascii="Simplified Arabic" w:hAnsi="Simplified Arabic" w:cs="Simplified Arabic" w:hint="cs"/>
          <w:sz w:val="24"/>
          <w:szCs w:val="24"/>
          <w:rtl/>
          <w:lang w:val="en-US"/>
        </w:rPr>
        <w:t>نطاق</w:t>
      </w:r>
      <w:r w:rsidRPr="00B27B00">
        <w:rPr>
          <w:rFonts w:ascii="Simplified Arabic" w:hAnsi="Simplified Arabic" w:cs="Simplified Arabic"/>
          <w:sz w:val="24"/>
          <w:szCs w:val="24"/>
          <w:rtl/>
          <w:lang w:val="en-US"/>
        </w:rPr>
        <w:t xml:space="preserve"> </w:t>
      </w:r>
      <w:r w:rsidRPr="00B27B00">
        <w:rPr>
          <w:rFonts w:ascii="Simplified Arabic" w:hAnsi="Simplified Arabic" w:cs="Simplified Arabic" w:hint="cs"/>
          <w:sz w:val="24"/>
          <w:szCs w:val="24"/>
          <w:rtl/>
          <w:lang w:val="en-US"/>
        </w:rPr>
        <w:t>أوسع</w:t>
      </w:r>
      <w:r>
        <w:rPr>
          <w:rFonts w:ascii="Simplified Arabic" w:hAnsi="Simplified Arabic" w:cs="Simplified Arabic" w:hint="cs"/>
          <w:sz w:val="24"/>
          <w:szCs w:val="24"/>
          <w:rtl/>
          <w:lang w:val="en-US"/>
        </w:rPr>
        <w:t xml:space="preserve">. </w:t>
      </w:r>
    </w:p>
    <w:p w:rsidR="002A686B" w:rsidRDefault="002A686B" w:rsidP="001341DA">
      <w:pPr>
        <w:pStyle w:val="Tableau"/>
        <w:rPr>
          <w:rtl/>
        </w:rPr>
      </w:pPr>
      <w:bookmarkStart w:id="788" w:name="_Toc157613010"/>
      <w:bookmarkStart w:id="789" w:name="_Toc171803773"/>
      <w:r>
        <w:rPr>
          <w:rFonts w:hint="cs"/>
          <w:rtl/>
        </w:rPr>
        <w:t>الجدول (6-</w:t>
      </w:r>
      <w:r w:rsidR="00B24A3A">
        <w:t>1</w:t>
      </w:r>
      <w:r>
        <w:rPr>
          <w:rFonts w:hint="cs"/>
          <w:rtl/>
        </w:rPr>
        <w:t>): تفيئة وتصنيف الاحياء السكنية حسب نوع النسيج الحضري</w:t>
      </w:r>
      <w:r w:rsidR="00011212" w:rsidRPr="00011212">
        <w:rPr>
          <w:rFonts w:hint="cs"/>
          <w:rtl/>
        </w:rPr>
        <w:t xml:space="preserve"> </w:t>
      </w:r>
      <w:r w:rsidR="00011212">
        <w:rPr>
          <w:rFonts w:hint="cs"/>
          <w:rtl/>
        </w:rPr>
        <w:t>ومستوى المرونة</w:t>
      </w:r>
      <w:bookmarkEnd w:id="788"/>
      <w:bookmarkEnd w:id="789"/>
    </w:p>
    <w:p w:rsidR="00D2461F" w:rsidRPr="00D2461F" w:rsidRDefault="00D2461F" w:rsidP="001341DA">
      <w:pPr>
        <w:pStyle w:val="fegure"/>
        <w:rPr>
          <w:sz w:val="8"/>
          <w:szCs w:val="24"/>
          <w:rtl/>
          <w:lang w:val="en-US" w:bidi="ar-DZ"/>
        </w:rPr>
      </w:pPr>
      <w:bookmarkStart w:id="790" w:name="_Toc171803774"/>
      <w:r>
        <w:rPr>
          <w:rFonts w:hint="cs"/>
          <w:sz w:val="8"/>
          <w:szCs w:val="24"/>
          <w:rtl/>
          <w:lang w:val="en-US"/>
        </w:rPr>
        <w:t>(الباحث، 2022)</w:t>
      </w:r>
      <w:bookmarkEnd w:id="79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22"/>
        <w:gridCol w:w="1440"/>
        <w:gridCol w:w="1236"/>
        <w:gridCol w:w="1816"/>
      </w:tblGrid>
      <w:tr w:rsidR="002A686B" w:rsidRPr="00143C39" w:rsidTr="00350EF3">
        <w:trPr>
          <w:trHeight w:val="449"/>
          <w:jc w:val="center"/>
        </w:trPr>
        <w:tc>
          <w:tcPr>
            <w:tcW w:w="0" w:type="auto"/>
            <w:shd w:val="clear" w:color="auto" w:fill="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فئة النسيج الحضري</w:t>
            </w:r>
          </w:p>
        </w:tc>
        <w:tc>
          <w:tcPr>
            <w:tcW w:w="0" w:type="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اسم الحي</w:t>
            </w:r>
            <w:r>
              <w:rPr>
                <w:rFonts w:ascii="Simplified Arabic" w:eastAsia="Times New Roman" w:hAnsi="Simplified Arabic" w:cs="Simplified Arabic" w:hint="cs"/>
                <w:color w:val="000000"/>
                <w:sz w:val="24"/>
                <w:szCs w:val="24"/>
                <w:rtl/>
                <w:lang w:eastAsia="fr-FR"/>
              </w:rPr>
              <w:t xml:space="preserve"> السكني</w:t>
            </w:r>
          </w:p>
        </w:tc>
        <w:tc>
          <w:tcPr>
            <w:tcW w:w="0" w:type="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مستوى</w:t>
            </w:r>
            <w:r w:rsidRPr="008A594F">
              <w:rPr>
                <w:rFonts w:ascii="Simplified Arabic" w:eastAsia="Times New Roman" w:hAnsi="Simplified Arabic" w:cs="Simplified Arabic" w:hint="cs"/>
                <w:color w:val="000000"/>
                <w:sz w:val="24"/>
                <w:szCs w:val="24"/>
                <w:rtl/>
                <w:lang w:eastAsia="fr-FR"/>
              </w:rPr>
              <w:t xml:space="preserve"> المرونة</w:t>
            </w:r>
          </w:p>
        </w:tc>
        <w:tc>
          <w:tcPr>
            <w:tcW w:w="0" w:type="auto"/>
            <w:vAlign w:val="center"/>
          </w:tcPr>
          <w:p w:rsidR="002A686B" w:rsidRPr="008A594F"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سمات المرونة المكانية</w:t>
            </w:r>
          </w:p>
        </w:tc>
      </w:tr>
      <w:tr w:rsidR="002A686B" w:rsidRPr="00143C39" w:rsidTr="00BA7442">
        <w:trPr>
          <w:trHeight w:val="64"/>
          <w:jc w:val="center"/>
        </w:trPr>
        <w:tc>
          <w:tcPr>
            <w:tcW w:w="0" w:type="auto"/>
            <w:shd w:val="clear" w:color="auto" w:fill="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أ</w:t>
            </w:r>
          </w:p>
        </w:tc>
        <w:tc>
          <w:tcPr>
            <w:tcW w:w="0" w:type="auto"/>
            <w:vAlign w:val="center"/>
          </w:tcPr>
          <w:p w:rsidR="002A686B" w:rsidRPr="00FA4954" w:rsidRDefault="002A686B" w:rsidP="001341DA">
            <w:pPr>
              <w:bidi/>
              <w:spacing w:after="0" w:line="240" w:lineRule="auto"/>
              <w:jc w:val="center"/>
              <w:rPr>
                <w:rFonts w:ascii="Simplified Arabic" w:eastAsia="Times New Roman" w:hAnsi="Simplified Arabic" w:cs="Simplified Arabic"/>
                <w:color w:val="000000"/>
                <w:sz w:val="24"/>
                <w:szCs w:val="24"/>
                <w:lang w:eastAsia="fr-FR"/>
              </w:rPr>
            </w:pPr>
            <w:r w:rsidRPr="00FA4954">
              <w:rPr>
                <w:rFonts w:ascii="Simplified Arabic" w:eastAsia="Times New Roman" w:hAnsi="Simplified Arabic" w:cs="Simplified Arabic" w:hint="cs"/>
                <w:color w:val="000000"/>
                <w:sz w:val="24"/>
                <w:szCs w:val="24"/>
                <w:rtl/>
                <w:lang w:eastAsia="fr-FR"/>
              </w:rPr>
              <w:t>القصر</w:t>
            </w:r>
          </w:p>
        </w:tc>
        <w:tc>
          <w:tcPr>
            <w:tcW w:w="0" w:type="auto"/>
            <w:shd w:val="clear" w:color="auto" w:fill="03EB19"/>
            <w:vAlign w:val="center"/>
          </w:tcPr>
          <w:p w:rsidR="002A686B" w:rsidRPr="008A594F" w:rsidRDefault="002A686B" w:rsidP="001341DA">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8A594F">
              <w:rPr>
                <w:rFonts w:ascii="Simplified Arabic" w:hAnsi="Simplified Arabic" w:cs="Simplified Arabic"/>
                <w:color w:val="000000" w:themeColor="text1"/>
                <w:sz w:val="24"/>
                <w:szCs w:val="24"/>
                <w:rtl/>
                <w:lang w:val="en-US"/>
              </w:rPr>
              <w:t>عالية</w:t>
            </w:r>
          </w:p>
        </w:tc>
        <w:tc>
          <w:tcPr>
            <w:tcW w:w="0" w:type="auto"/>
            <w:vMerge w:val="restart"/>
            <w:shd w:val="clear" w:color="auto" w:fill="auto"/>
            <w:vAlign w:val="center"/>
          </w:tcPr>
          <w:p w:rsidR="002A686B" w:rsidRDefault="002A686B" w:rsidP="001341DA">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الكثافة</w:t>
            </w:r>
          </w:p>
          <w:p w:rsidR="002A686B" w:rsidRDefault="002A686B" w:rsidP="001341DA">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التنوع</w:t>
            </w:r>
          </w:p>
          <w:p w:rsidR="002A686B" w:rsidRDefault="00C23656" w:rsidP="001341DA">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62340E">
              <w:rPr>
                <w:rFonts w:ascii="Simplified Arabic" w:hAnsi="Simplified Arabic" w:cs="Simplified Arabic" w:hint="cs"/>
                <w:sz w:val="24"/>
                <w:szCs w:val="24"/>
                <w:rtl/>
              </w:rPr>
              <w:t>الاتصال</w:t>
            </w:r>
            <w:r>
              <w:rPr>
                <w:rFonts w:ascii="Simplified Arabic" w:hAnsi="Simplified Arabic" w:cs="Simplified Arabic" w:hint="cs"/>
                <w:sz w:val="24"/>
                <w:szCs w:val="24"/>
                <w:rtl/>
              </w:rPr>
              <w:t>ية</w:t>
            </w:r>
          </w:p>
          <w:p w:rsidR="002A686B" w:rsidRPr="008A594F" w:rsidRDefault="002A686B" w:rsidP="001341DA">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التكرار</w:t>
            </w:r>
          </w:p>
        </w:tc>
      </w:tr>
      <w:tr w:rsidR="002A686B" w:rsidRPr="00143C39" w:rsidTr="00BA7442">
        <w:trPr>
          <w:trHeight w:val="64"/>
          <w:jc w:val="center"/>
        </w:trPr>
        <w:tc>
          <w:tcPr>
            <w:tcW w:w="0" w:type="auto"/>
            <w:shd w:val="clear" w:color="auto" w:fill="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ب</w:t>
            </w:r>
          </w:p>
        </w:tc>
        <w:tc>
          <w:tcPr>
            <w:tcW w:w="0" w:type="auto"/>
            <w:vAlign w:val="center"/>
          </w:tcPr>
          <w:p w:rsidR="002A686B" w:rsidRPr="00FA4954" w:rsidRDefault="002A686B" w:rsidP="001341DA">
            <w:pPr>
              <w:bidi/>
              <w:spacing w:after="0" w:line="240" w:lineRule="auto"/>
              <w:jc w:val="center"/>
              <w:rPr>
                <w:rFonts w:ascii="Simplified Arabic" w:eastAsia="Times New Roman" w:hAnsi="Simplified Arabic" w:cs="Simplified Arabic"/>
                <w:color w:val="000000"/>
                <w:sz w:val="24"/>
                <w:szCs w:val="24"/>
                <w:lang w:eastAsia="fr-FR"/>
              </w:rPr>
            </w:pPr>
            <w:r w:rsidRPr="00FA4954">
              <w:rPr>
                <w:rFonts w:ascii="Simplified Arabic" w:eastAsia="Times New Roman" w:hAnsi="Simplified Arabic" w:cs="Simplified Arabic"/>
                <w:color w:val="000000"/>
                <w:sz w:val="24"/>
                <w:szCs w:val="24"/>
                <w:rtl/>
                <w:lang w:eastAsia="fr-FR"/>
              </w:rPr>
              <w:t>بلاتو</w:t>
            </w:r>
          </w:p>
        </w:tc>
        <w:tc>
          <w:tcPr>
            <w:tcW w:w="0" w:type="auto"/>
            <w:shd w:val="clear" w:color="auto" w:fill="03EB19"/>
            <w:vAlign w:val="center"/>
          </w:tcPr>
          <w:p w:rsidR="002A686B" w:rsidRPr="008A594F" w:rsidRDefault="002A686B" w:rsidP="001341DA">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8A594F">
              <w:rPr>
                <w:rFonts w:ascii="Simplified Arabic" w:hAnsi="Simplified Arabic" w:cs="Simplified Arabic"/>
                <w:color w:val="000000" w:themeColor="text1"/>
                <w:sz w:val="24"/>
                <w:szCs w:val="24"/>
                <w:rtl/>
                <w:lang w:val="en-US"/>
              </w:rPr>
              <w:t>عالية</w:t>
            </w:r>
          </w:p>
        </w:tc>
        <w:tc>
          <w:tcPr>
            <w:tcW w:w="0" w:type="auto"/>
            <w:vMerge/>
            <w:shd w:val="clear" w:color="auto" w:fill="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p>
        </w:tc>
      </w:tr>
      <w:tr w:rsidR="002A686B" w:rsidRPr="00143C39" w:rsidTr="00BA7442">
        <w:trPr>
          <w:trHeight w:val="64"/>
          <w:jc w:val="center"/>
        </w:trPr>
        <w:tc>
          <w:tcPr>
            <w:tcW w:w="0" w:type="auto"/>
            <w:shd w:val="clear" w:color="auto" w:fill="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w:t>
            </w:r>
            <w:r>
              <w:rPr>
                <w:rFonts w:ascii="Simplified Arabic" w:eastAsia="Times New Roman" w:hAnsi="Simplified Arabic" w:cs="Simplified Arabic" w:hint="cs"/>
                <w:color w:val="000000"/>
                <w:sz w:val="24"/>
                <w:szCs w:val="24"/>
                <w:rtl/>
                <w:lang w:eastAsia="fr-FR"/>
              </w:rPr>
              <w:t>ج</w:t>
            </w:r>
          </w:p>
        </w:tc>
        <w:tc>
          <w:tcPr>
            <w:tcW w:w="0" w:type="auto"/>
            <w:vAlign w:val="center"/>
          </w:tcPr>
          <w:p w:rsidR="002A686B" w:rsidRPr="00FA4954" w:rsidRDefault="002A686B" w:rsidP="001341DA">
            <w:pPr>
              <w:bidi/>
              <w:spacing w:after="0" w:line="240" w:lineRule="auto"/>
              <w:jc w:val="center"/>
              <w:rPr>
                <w:rFonts w:ascii="Simplified Arabic" w:eastAsia="Times New Roman" w:hAnsi="Simplified Arabic" w:cs="Simplified Arabic"/>
                <w:color w:val="000000"/>
                <w:sz w:val="24"/>
                <w:szCs w:val="24"/>
                <w:lang w:eastAsia="fr-FR"/>
              </w:rPr>
            </w:pPr>
            <w:r w:rsidRPr="00FA4954">
              <w:rPr>
                <w:rFonts w:ascii="Simplified Arabic" w:eastAsia="Times New Roman" w:hAnsi="Simplified Arabic" w:cs="Simplified Arabic"/>
                <w:color w:val="000000"/>
                <w:sz w:val="24"/>
                <w:szCs w:val="24"/>
                <w:rtl/>
                <w:lang w:eastAsia="fr-FR"/>
              </w:rPr>
              <w:t>سيدي سليمان</w:t>
            </w:r>
          </w:p>
        </w:tc>
        <w:tc>
          <w:tcPr>
            <w:tcW w:w="0" w:type="auto"/>
            <w:shd w:val="clear" w:color="auto" w:fill="FFFF00"/>
            <w:vAlign w:val="center"/>
          </w:tcPr>
          <w:p w:rsidR="002A686B" w:rsidRPr="008A594F"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sidRPr="008A594F">
              <w:rPr>
                <w:rFonts w:ascii="Simplified Arabic" w:eastAsia="Times New Roman" w:hAnsi="Simplified Arabic" w:cs="Simplified Arabic" w:hint="cs"/>
                <w:color w:val="000000"/>
                <w:sz w:val="24"/>
                <w:szCs w:val="24"/>
                <w:rtl/>
                <w:lang w:eastAsia="fr-FR"/>
              </w:rPr>
              <w:t>متوسطة</w:t>
            </w:r>
          </w:p>
        </w:tc>
        <w:tc>
          <w:tcPr>
            <w:tcW w:w="0" w:type="auto"/>
            <w:vMerge/>
            <w:shd w:val="clear" w:color="auto" w:fill="auto"/>
            <w:vAlign w:val="center"/>
          </w:tcPr>
          <w:p w:rsidR="002A686B" w:rsidRPr="008A594F"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p>
        </w:tc>
      </w:tr>
      <w:tr w:rsidR="002A686B" w:rsidRPr="00143C39" w:rsidTr="00BA7442">
        <w:trPr>
          <w:trHeight w:val="64"/>
          <w:jc w:val="center"/>
        </w:trPr>
        <w:tc>
          <w:tcPr>
            <w:tcW w:w="0" w:type="auto"/>
            <w:shd w:val="clear" w:color="auto" w:fill="auto"/>
            <w:vAlign w:val="center"/>
          </w:tcPr>
          <w:p w:rsidR="002A686B" w:rsidRPr="00143C39"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w:t>
            </w:r>
            <w:r>
              <w:rPr>
                <w:rFonts w:ascii="Simplified Arabic" w:eastAsia="Times New Roman" w:hAnsi="Simplified Arabic" w:cs="Simplified Arabic" w:hint="cs"/>
                <w:color w:val="000000"/>
                <w:sz w:val="24"/>
                <w:szCs w:val="24"/>
                <w:rtl/>
                <w:lang w:eastAsia="fr-FR"/>
              </w:rPr>
              <w:t>د</w:t>
            </w:r>
          </w:p>
        </w:tc>
        <w:tc>
          <w:tcPr>
            <w:tcW w:w="0" w:type="auto"/>
            <w:vAlign w:val="center"/>
          </w:tcPr>
          <w:p w:rsidR="002A686B" w:rsidRPr="00FA4954"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sidRPr="00FA4954">
              <w:rPr>
                <w:rFonts w:ascii="Simplified Arabic" w:eastAsia="Times New Roman" w:hAnsi="Simplified Arabic" w:cs="Simplified Arabic"/>
                <w:color w:val="000000"/>
                <w:sz w:val="24"/>
                <w:szCs w:val="24"/>
                <w:rtl/>
                <w:lang w:eastAsia="fr-FR"/>
              </w:rPr>
              <w:t>الحمايد</w:t>
            </w:r>
          </w:p>
        </w:tc>
        <w:tc>
          <w:tcPr>
            <w:tcW w:w="0" w:type="auto"/>
            <w:shd w:val="clear" w:color="auto" w:fill="FFFF00"/>
            <w:vAlign w:val="center"/>
          </w:tcPr>
          <w:p w:rsidR="002A686B" w:rsidRPr="008A594F"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r w:rsidRPr="008A594F">
              <w:rPr>
                <w:rFonts w:ascii="Simplified Arabic" w:eastAsia="Times New Roman" w:hAnsi="Simplified Arabic" w:cs="Simplified Arabic" w:hint="cs"/>
                <w:color w:val="000000"/>
                <w:sz w:val="24"/>
                <w:szCs w:val="24"/>
                <w:rtl/>
                <w:lang w:eastAsia="fr-FR"/>
              </w:rPr>
              <w:t>متوسطة</w:t>
            </w:r>
          </w:p>
        </w:tc>
        <w:tc>
          <w:tcPr>
            <w:tcW w:w="0" w:type="auto"/>
            <w:vMerge/>
            <w:shd w:val="clear" w:color="auto" w:fill="auto"/>
            <w:vAlign w:val="center"/>
          </w:tcPr>
          <w:p w:rsidR="002A686B" w:rsidRPr="008A594F" w:rsidRDefault="002A686B" w:rsidP="001341DA">
            <w:pPr>
              <w:bidi/>
              <w:spacing w:after="0" w:line="240" w:lineRule="auto"/>
              <w:jc w:val="center"/>
              <w:rPr>
                <w:rFonts w:ascii="Simplified Arabic" w:eastAsia="Times New Roman" w:hAnsi="Simplified Arabic" w:cs="Simplified Arabic"/>
                <w:color w:val="000000"/>
                <w:sz w:val="24"/>
                <w:szCs w:val="24"/>
                <w:rtl/>
                <w:lang w:eastAsia="fr-FR"/>
              </w:rPr>
            </w:pPr>
          </w:p>
        </w:tc>
      </w:tr>
    </w:tbl>
    <w:p w:rsidR="002A686B" w:rsidRPr="00E24028" w:rsidRDefault="002A686B" w:rsidP="001341DA">
      <w:pPr>
        <w:pStyle w:val="Paragraphedeliste"/>
        <w:numPr>
          <w:ilvl w:val="1"/>
          <w:numId w:val="180"/>
        </w:numPr>
        <w:tabs>
          <w:tab w:val="right" w:pos="567"/>
        </w:tabs>
        <w:bidi/>
        <w:spacing w:before="240" w:after="0"/>
        <w:ind w:left="0" w:firstLine="0"/>
        <w:jc w:val="both"/>
        <w:outlineLvl w:val="0"/>
        <w:rPr>
          <w:rFonts w:ascii="Simplified Arabic" w:hAnsi="Simplified Arabic" w:cs="Simplified Arabic"/>
          <w:b/>
          <w:bCs/>
          <w:sz w:val="24"/>
          <w:szCs w:val="24"/>
          <w:lang w:bidi="ar-DZ"/>
        </w:rPr>
      </w:pPr>
      <w:bookmarkStart w:id="791" w:name="_Toc171803775"/>
      <w:r w:rsidRPr="00E24028">
        <w:rPr>
          <w:rFonts w:ascii="Simplified Arabic" w:hAnsi="Simplified Arabic" w:cs="Simplified Arabic" w:hint="cs"/>
          <w:b/>
          <w:bCs/>
          <w:sz w:val="24"/>
          <w:szCs w:val="24"/>
          <w:rtl/>
          <w:lang w:bidi="ar-DZ"/>
        </w:rPr>
        <w:lastRenderedPageBreak/>
        <w:t>نموذج قياس القدرة</w:t>
      </w:r>
      <w:r w:rsidRPr="00E24028">
        <w:rPr>
          <w:rFonts w:ascii="Simplified Arabic" w:hAnsi="Simplified Arabic" w:cs="Simplified Arabic"/>
          <w:b/>
          <w:bCs/>
          <w:sz w:val="24"/>
          <w:szCs w:val="24"/>
          <w:rtl/>
          <w:lang w:bidi="ar-DZ"/>
        </w:rPr>
        <w:t xml:space="preserve"> </w:t>
      </w:r>
      <w:r w:rsidRPr="00E24028">
        <w:rPr>
          <w:rFonts w:ascii="Simplified Arabic" w:hAnsi="Simplified Arabic" w:cs="Simplified Arabic" w:hint="cs"/>
          <w:b/>
          <w:bCs/>
          <w:sz w:val="24"/>
          <w:szCs w:val="24"/>
          <w:rtl/>
          <w:lang w:bidi="ar-DZ"/>
        </w:rPr>
        <w:t>على ا</w:t>
      </w:r>
      <w:r w:rsidRPr="00E24028">
        <w:rPr>
          <w:rFonts w:ascii="Simplified Arabic" w:hAnsi="Simplified Arabic" w:cs="Simplified Arabic"/>
          <w:b/>
          <w:bCs/>
          <w:sz w:val="24"/>
          <w:szCs w:val="24"/>
          <w:rtl/>
          <w:lang w:bidi="ar-DZ"/>
        </w:rPr>
        <w:t>لتكيف المكاني</w:t>
      </w:r>
      <w:r w:rsidRPr="00E24028">
        <w:rPr>
          <w:rFonts w:ascii="Simplified Arabic" w:hAnsi="Simplified Arabic" w:cs="Simplified Arabic"/>
          <w:b/>
          <w:bCs/>
          <w:sz w:val="24"/>
          <w:szCs w:val="24"/>
          <w:lang w:bidi="ar-DZ"/>
        </w:rPr>
        <w:t xml:space="preserve"> </w:t>
      </w:r>
      <w:r w:rsidRPr="00E24028">
        <w:rPr>
          <w:rFonts w:ascii="Simplified Arabic" w:hAnsi="Simplified Arabic" w:cs="Simplified Arabic" w:hint="cs"/>
          <w:b/>
          <w:bCs/>
          <w:sz w:val="24"/>
          <w:szCs w:val="24"/>
          <w:rtl/>
          <w:lang w:bidi="ar-DZ"/>
        </w:rPr>
        <w:t>(</w:t>
      </w:r>
      <w:r w:rsidRPr="00E24028">
        <w:rPr>
          <w:rFonts w:asciiTheme="majorBidi" w:hAnsiTheme="majorBidi" w:cstheme="majorBidi"/>
          <w:b/>
          <w:bCs/>
          <w:sz w:val="20"/>
          <w:szCs w:val="20"/>
        </w:rPr>
        <w:t xml:space="preserve">Spatial Adaptive </w:t>
      </w:r>
      <w:r w:rsidRPr="00E24028">
        <w:rPr>
          <w:rFonts w:asciiTheme="majorBidi" w:hAnsiTheme="majorBidi" w:cstheme="majorBidi"/>
          <w:b/>
          <w:bCs/>
          <w:sz w:val="20"/>
          <w:szCs w:val="20"/>
          <w:lang w:val="en-US"/>
        </w:rPr>
        <w:t>Potential Assessment Model</w:t>
      </w:r>
      <w:r w:rsidRPr="00E24028">
        <w:rPr>
          <w:rFonts w:ascii="Simplified Arabic" w:hAnsi="Simplified Arabic" w:cs="Simplified Arabic" w:hint="cs"/>
          <w:b/>
          <w:bCs/>
          <w:sz w:val="24"/>
          <w:szCs w:val="24"/>
          <w:rtl/>
          <w:lang w:bidi="ar-DZ"/>
        </w:rPr>
        <w:t>)</w:t>
      </w:r>
      <w:bookmarkEnd w:id="791"/>
    </w:p>
    <w:p w:rsidR="002A686B" w:rsidRDefault="002A686B" w:rsidP="00872687">
      <w:pPr>
        <w:bidi/>
        <w:spacing w:after="0"/>
        <w:ind w:firstLine="283"/>
        <w:jc w:val="both"/>
        <w:rPr>
          <w:rFonts w:ascii="Simplified Arabic" w:hAnsi="Simplified Arabic" w:cs="Simplified Arabic"/>
          <w:color w:val="0D0D0D"/>
          <w:sz w:val="24"/>
          <w:szCs w:val="24"/>
          <w:lang w:val="en-US"/>
        </w:rPr>
      </w:pPr>
      <w:r w:rsidRPr="000C0656">
        <w:rPr>
          <w:rFonts w:ascii="Simplified Arabic" w:hAnsi="Simplified Arabic" w:cs="Simplified Arabic"/>
          <w:color w:val="0D0D0D"/>
          <w:sz w:val="24"/>
          <w:szCs w:val="24"/>
          <w:rtl/>
          <w:lang w:val="en-US"/>
        </w:rPr>
        <w:t xml:space="preserve">يهدف هذا القسم إلى تقديم نظرة عامة أكثر تفصيلاً عن </w:t>
      </w:r>
      <w:r>
        <w:rPr>
          <w:rFonts w:ascii="Simplified Arabic" w:hAnsi="Simplified Arabic" w:cs="Simplified Arabic" w:hint="cs"/>
          <w:color w:val="0D0D0D"/>
          <w:sz w:val="24"/>
          <w:szCs w:val="24"/>
          <w:rtl/>
          <w:lang w:val="en-US"/>
        </w:rPr>
        <w:t>نموذج قياس</w:t>
      </w:r>
      <w:r w:rsidRPr="000C0656">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 xml:space="preserve">سمات </w:t>
      </w:r>
      <w:r w:rsidRPr="000C0656">
        <w:rPr>
          <w:rFonts w:ascii="Simplified Arabic" w:hAnsi="Simplified Arabic" w:cs="Simplified Arabic"/>
          <w:color w:val="0D0D0D"/>
          <w:sz w:val="24"/>
          <w:szCs w:val="24"/>
          <w:rtl/>
          <w:lang w:val="en-US"/>
        </w:rPr>
        <w:t xml:space="preserve">المرونة </w:t>
      </w:r>
      <w:r>
        <w:rPr>
          <w:rFonts w:ascii="Simplified Arabic" w:hAnsi="Simplified Arabic" w:cs="Simplified Arabic" w:hint="cs"/>
          <w:color w:val="0D0D0D"/>
          <w:sz w:val="24"/>
          <w:szCs w:val="24"/>
          <w:rtl/>
          <w:lang w:val="en-US"/>
        </w:rPr>
        <w:t>المكانية الاربعة</w:t>
      </w:r>
      <w:r w:rsidRPr="000C0656">
        <w:rPr>
          <w:rFonts w:ascii="Simplified Arabic" w:hAnsi="Simplified Arabic" w:cs="Simplified Arabic"/>
          <w:color w:val="0D0D0D"/>
          <w:sz w:val="24"/>
          <w:szCs w:val="24"/>
          <w:rtl/>
          <w:lang w:val="en-US"/>
        </w:rPr>
        <w:t xml:space="preserve"> والمقاييس المصاحبة لها.</w:t>
      </w:r>
    </w:p>
    <w:p w:rsidR="002A686B" w:rsidRDefault="00221015" w:rsidP="00DF16EA">
      <w:pPr>
        <w:bidi/>
        <w:spacing w:after="0"/>
        <w:ind w:firstLine="283"/>
        <w:jc w:val="both"/>
        <w:rPr>
          <w:rFonts w:ascii="Simplified Arabic" w:hAnsi="Simplified Arabic" w:cs="Simplified Arabic"/>
          <w:color w:val="0D0D0D"/>
          <w:sz w:val="24"/>
          <w:szCs w:val="24"/>
          <w:rtl/>
          <w:lang w:val="en-US"/>
        </w:rPr>
      </w:pPr>
      <w:r>
        <w:rPr>
          <w:rFonts w:ascii="Simplified Arabic" w:hAnsi="Simplified Arabic" w:cs="Simplified Arabic" w:hint="cs"/>
          <w:color w:val="0D0D0D"/>
          <w:sz w:val="24"/>
          <w:szCs w:val="24"/>
          <w:rtl/>
          <w:lang w:val="en-US"/>
        </w:rPr>
        <w:t>يعطي</w:t>
      </w:r>
      <w:r w:rsidR="002A686B" w:rsidRPr="000C0656">
        <w:rPr>
          <w:rFonts w:ascii="Simplified Arabic" w:hAnsi="Simplified Arabic" w:cs="Simplified Arabic"/>
          <w:color w:val="0D0D0D"/>
          <w:sz w:val="24"/>
          <w:szCs w:val="24"/>
          <w:rtl/>
          <w:lang w:val="en-US"/>
        </w:rPr>
        <w:t xml:space="preserve"> الشكل </w:t>
      </w:r>
      <w:r w:rsidR="002A686B">
        <w:rPr>
          <w:rFonts w:ascii="Simplified Arabic" w:hAnsi="Simplified Arabic" w:cs="Simplified Arabic" w:hint="cs"/>
          <w:color w:val="0D0D0D"/>
          <w:sz w:val="24"/>
          <w:szCs w:val="24"/>
          <w:rtl/>
          <w:lang w:val="en-US"/>
        </w:rPr>
        <w:t>(6-</w:t>
      </w:r>
      <w:r w:rsidR="00B24A3A">
        <w:rPr>
          <w:rFonts w:ascii="Simplified Arabic" w:hAnsi="Simplified Arabic" w:cs="Simplified Arabic"/>
          <w:color w:val="0D0D0D"/>
          <w:sz w:val="24"/>
          <w:szCs w:val="24"/>
          <w:lang w:val="en-US"/>
        </w:rPr>
        <w:t>4</w:t>
      </w:r>
      <w:r w:rsidR="002A686B">
        <w:rPr>
          <w:rFonts w:ascii="Simplified Arabic" w:hAnsi="Simplified Arabic" w:cs="Simplified Arabic" w:hint="cs"/>
          <w:color w:val="0D0D0D"/>
          <w:sz w:val="24"/>
          <w:szCs w:val="24"/>
          <w:rtl/>
          <w:lang w:val="en-US"/>
        </w:rPr>
        <w:t xml:space="preserve">)، </w:t>
      </w:r>
      <w:r w:rsidR="002A686B" w:rsidRPr="000C0656">
        <w:rPr>
          <w:rFonts w:ascii="Simplified Arabic" w:hAnsi="Simplified Arabic" w:cs="Simplified Arabic"/>
          <w:color w:val="0D0D0D"/>
          <w:sz w:val="24"/>
          <w:szCs w:val="24"/>
          <w:rtl/>
          <w:lang w:val="en-US"/>
        </w:rPr>
        <w:t xml:space="preserve">نظرة عامة على </w:t>
      </w:r>
      <w:r w:rsidR="002A686B">
        <w:rPr>
          <w:rFonts w:ascii="Simplified Arabic" w:hAnsi="Simplified Arabic" w:cs="Simplified Arabic" w:hint="cs"/>
          <w:color w:val="0D0D0D"/>
          <w:sz w:val="24"/>
          <w:szCs w:val="24"/>
          <w:rtl/>
          <w:lang w:val="en-US"/>
        </w:rPr>
        <w:t>نموذج قياس القدرة على التكيف المكاني</w:t>
      </w:r>
      <w:r w:rsidR="00872687">
        <w:rPr>
          <w:rFonts w:ascii="Simplified Arabic" w:hAnsi="Simplified Arabic" w:cs="Simplified Arabic" w:hint="cs"/>
          <w:color w:val="0D0D0D"/>
          <w:sz w:val="24"/>
          <w:szCs w:val="24"/>
          <w:rtl/>
          <w:lang w:val="en-US"/>
        </w:rPr>
        <w:t xml:space="preserve"> لمدينة بوسعادة</w:t>
      </w:r>
      <w:r w:rsidR="002A686B" w:rsidRPr="000C0656">
        <w:rPr>
          <w:rFonts w:ascii="Simplified Arabic" w:hAnsi="Simplified Arabic" w:cs="Simplified Arabic"/>
          <w:color w:val="0D0D0D"/>
          <w:sz w:val="24"/>
          <w:szCs w:val="24"/>
          <w:rtl/>
          <w:lang w:val="en-US"/>
        </w:rPr>
        <w:t xml:space="preserve">. يبدأ </w:t>
      </w:r>
      <w:r w:rsidR="0031518C">
        <w:rPr>
          <w:rFonts w:ascii="Simplified Arabic" w:hAnsi="Simplified Arabic" w:cs="Simplified Arabic" w:hint="cs"/>
          <w:color w:val="0D0D0D"/>
          <w:sz w:val="24"/>
          <w:szCs w:val="24"/>
          <w:rtl/>
          <w:lang w:val="en-US"/>
        </w:rPr>
        <w:t xml:space="preserve">تنفيذ </w:t>
      </w:r>
      <w:r w:rsidR="002A686B">
        <w:rPr>
          <w:rFonts w:ascii="Simplified Arabic" w:hAnsi="Simplified Arabic" w:cs="Simplified Arabic" w:hint="cs"/>
          <w:color w:val="0D0D0D"/>
          <w:sz w:val="24"/>
          <w:szCs w:val="24"/>
          <w:rtl/>
          <w:lang w:val="en-US"/>
        </w:rPr>
        <w:t xml:space="preserve">نموذج </w:t>
      </w:r>
      <w:r w:rsidR="0031518C" w:rsidRPr="0031518C">
        <w:rPr>
          <w:rFonts w:asciiTheme="majorBidi" w:hAnsiTheme="majorBidi" w:cstheme="majorBidi"/>
          <w:b/>
          <w:bCs/>
          <w:rtl/>
          <w:lang w:bidi="ar-DZ"/>
        </w:rPr>
        <w:t>(</w:t>
      </w:r>
      <w:r w:rsidR="0031518C" w:rsidRPr="0031518C">
        <w:rPr>
          <w:rFonts w:asciiTheme="majorBidi" w:hAnsiTheme="majorBidi" w:cstheme="majorBidi"/>
          <w:b/>
          <w:bCs/>
        </w:rPr>
        <w:t>S.A.</w:t>
      </w:r>
      <w:r w:rsidR="0031518C" w:rsidRPr="0031518C">
        <w:rPr>
          <w:rFonts w:asciiTheme="majorBidi" w:hAnsiTheme="majorBidi" w:cstheme="majorBidi"/>
          <w:b/>
          <w:bCs/>
          <w:lang w:val="en-US"/>
        </w:rPr>
        <w:t>P.A.M</w:t>
      </w:r>
      <w:r w:rsidR="0031518C" w:rsidRPr="0031518C">
        <w:rPr>
          <w:rFonts w:asciiTheme="majorBidi" w:hAnsiTheme="majorBidi" w:cstheme="majorBidi"/>
          <w:b/>
          <w:bCs/>
          <w:rtl/>
          <w:lang w:bidi="ar-DZ"/>
        </w:rPr>
        <w:t>)</w:t>
      </w:r>
      <w:r w:rsidR="0031518C">
        <w:rPr>
          <w:rFonts w:ascii="Simplified Arabic" w:hAnsi="Simplified Arabic" w:cs="Simplified Arabic" w:hint="cs"/>
          <w:b/>
          <w:bCs/>
          <w:sz w:val="24"/>
          <w:szCs w:val="24"/>
          <w:rtl/>
          <w:lang w:bidi="ar-DZ"/>
        </w:rPr>
        <w:t xml:space="preserve"> </w:t>
      </w:r>
      <w:r w:rsidR="002A686B" w:rsidRPr="000C0656">
        <w:rPr>
          <w:rFonts w:ascii="Simplified Arabic" w:hAnsi="Simplified Arabic" w:cs="Simplified Arabic"/>
          <w:color w:val="0D0D0D"/>
          <w:sz w:val="24"/>
          <w:szCs w:val="24"/>
          <w:rtl/>
          <w:lang w:val="en-US"/>
        </w:rPr>
        <w:t>على الجانب الأيسر من الشكل</w:t>
      </w:r>
      <w:r w:rsidR="00DF16EA" w:rsidRPr="00DF16EA">
        <w:rPr>
          <w:rFonts w:ascii="Simplified Arabic" w:hAnsi="Simplified Arabic" w:cs="Simplified Arabic"/>
          <w:color w:val="0D0D0D"/>
          <w:sz w:val="24"/>
          <w:szCs w:val="24"/>
          <w:rtl/>
          <w:lang w:val="en-US"/>
        </w:rPr>
        <w:t xml:space="preserve"> </w:t>
      </w:r>
      <w:r w:rsidR="00DF16EA">
        <w:rPr>
          <w:rFonts w:ascii="Simplified Arabic" w:hAnsi="Simplified Arabic" w:cs="Simplified Arabic" w:hint="cs"/>
          <w:color w:val="0D0D0D"/>
          <w:sz w:val="24"/>
          <w:szCs w:val="24"/>
          <w:rtl/>
          <w:lang w:val="en-US"/>
        </w:rPr>
        <w:t>ب</w:t>
      </w:r>
      <w:r w:rsidR="00DF16EA" w:rsidRPr="000C0656">
        <w:rPr>
          <w:rFonts w:ascii="Simplified Arabic" w:hAnsi="Simplified Arabic" w:cs="Simplified Arabic"/>
          <w:color w:val="0D0D0D"/>
          <w:sz w:val="24"/>
          <w:szCs w:val="24"/>
          <w:rtl/>
          <w:lang w:val="en-US"/>
        </w:rPr>
        <w:t>إدخال</w:t>
      </w:r>
      <w:r w:rsidR="002A686B" w:rsidRPr="000C0656">
        <w:rPr>
          <w:rFonts w:ascii="Simplified Arabic" w:hAnsi="Simplified Arabic" w:cs="Simplified Arabic"/>
          <w:color w:val="0D0D0D"/>
          <w:sz w:val="24"/>
          <w:szCs w:val="24"/>
          <w:rtl/>
          <w:lang w:val="en-US"/>
        </w:rPr>
        <w:t xml:space="preserve"> </w:t>
      </w:r>
      <w:r w:rsidR="00DF16EA">
        <w:rPr>
          <w:rFonts w:ascii="Simplified Arabic" w:hAnsi="Simplified Arabic" w:cs="Simplified Arabic" w:hint="cs"/>
          <w:color w:val="0D0D0D"/>
          <w:sz w:val="24"/>
          <w:szCs w:val="24"/>
          <w:rtl/>
          <w:lang w:val="en-US"/>
        </w:rPr>
        <w:t>ال</w:t>
      </w:r>
      <w:r w:rsidR="002A686B" w:rsidRPr="000C0656">
        <w:rPr>
          <w:rFonts w:ascii="Simplified Arabic" w:hAnsi="Simplified Arabic" w:cs="Simplified Arabic"/>
          <w:color w:val="0D0D0D"/>
          <w:sz w:val="24"/>
          <w:szCs w:val="24"/>
          <w:rtl/>
          <w:lang w:val="en-US"/>
        </w:rPr>
        <w:t xml:space="preserve">بيانات المستخدمة </w:t>
      </w:r>
      <w:r w:rsidR="002A686B">
        <w:rPr>
          <w:rFonts w:ascii="Simplified Arabic" w:hAnsi="Simplified Arabic" w:cs="Simplified Arabic" w:hint="cs"/>
          <w:color w:val="0D0D0D"/>
          <w:sz w:val="24"/>
          <w:szCs w:val="24"/>
          <w:rtl/>
          <w:lang w:val="en-US"/>
        </w:rPr>
        <w:t>للقياس</w:t>
      </w:r>
      <w:r w:rsidR="002A686B" w:rsidRPr="000C0656">
        <w:rPr>
          <w:rFonts w:ascii="Simplified Arabic" w:hAnsi="Simplified Arabic" w:cs="Simplified Arabic"/>
          <w:color w:val="0D0D0D"/>
          <w:sz w:val="24"/>
          <w:szCs w:val="24"/>
          <w:rtl/>
          <w:lang w:val="en-US"/>
        </w:rPr>
        <w:t xml:space="preserve">. تستخدم البيانات المدخلة أنواعًا مختلفة من البيانات المكانية القادرة على التقاط عناصر مختلفة من </w:t>
      </w:r>
      <w:r w:rsidR="002A686B">
        <w:rPr>
          <w:rFonts w:ascii="Simplified Arabic" w:hAnsi="Simplified Arabic" w:cs="Simplified Arabic" w:hint="cs"/>
          <w:color w:val="0D0D0D"/>
          <w:sz w:val="24"/>
          <w:szCs w:val="24"/>
          <w:rtl/>
          <w:lang w:val="en-US"/>
        </w:rPr>
        <w:t>المكونات</w:t>
      </w:r>
      <w:r w:rsidR="002A686B" w:rsidRPr="000C0656">
        <w:rPr>
          <w:rFonts w:ascii="Simplified Arabic" w:hAnsi="Simplified Arabic" w:cs="Simplified Arabic"/>
          <w:color w:val="0D0D0D"/>
          <w:sz w:val="24"/>
          <w:szCs w:val="24"/>
          <w:rtl/>
          <w:lang w:val="en-US"/>
        </w:rPr>
        <w:t xml:space="preserve"> الحضري</w:t>
      </w:r>
      <w:r w:rsidR="002A686B">
        <w:rPr>
          <w:rFonts w:ascii="Simplified Arabic" w:hAnsi="Simplified Arabic" w:cs="Simplified Arabic" w:hint="cs"/>
          <w:color w:val="0D0D0D"/>
          <w:sz w:val="24"/>
          <w:szCs w:val="24"/>
          <w:rtl/>
          <w:lang w:val="en-US"/>
        </w:rPr>
        <w:t>ة (المكون الوظيفي والهيكلي)</w:t>
      </w:r>
      <w:r w:rsidR="002A686B" w:rsidRPr="000C0656">
        <w:rPr>
          <w:rFonts w:ascii="Simplified Arabic" w:hAnsi="Simplified Arabic" w:cs="Simplified Arabic"/>
          <w:color w:val="0D0D0D"/>
          <w:sz w:val="24"/>
          <w:szCs w:val="24"/>
          <w:rtl/>
          <w:lang w:val="en-US"/>
        </w:rPr>
        <w:t xml:space="preserve">. </w:t>
      </w:r>
      <w:r w:rsidR="002A686B">
        <w:rPr>
          <w:rFonts w:ascii="Simplified Arabic" w:hAnsi="Simplified Arabic" w:cs="Simplified Arabic" w:hint="cs"/>
          <w:color w:val="0D0D0D"/>
          <w:sz w:val="24"/>
          <w:szCs w:val="24"/>
          <w:rtl/>
          <w:lang w:val="en-US"/>
        </w:rPr>
        <w:t xml:space="preserve">منها </w:t>
      </w:r>
      <w:r w:rsidR="002A686B" w:rsidRPr="000C0656">
        <w:rPr>
          <w:rFonts w:ascii="Simplified Arabic" w:hAnsi="Simplified Arabic" w:cs="Simplified Arabic"/>
          <w:color w:val="0D0D0D"/>
          <w:sz w:val="24"/>
          <w:szCs w:val="24"/>
          <w:rtl/>
          <w:lang w:val="en-US"/>
        </w:rPr>
        <w:t xml:space="preserve">البيانات التي تمثل </w:t>
      </w:r>
      <w:r w:rsidR="002A686B">
        <w:rPr>
          <w:rFonts w:ascii="Simplified Arabic" w:hAnsi="Simplified Arabic" w:cs="Simplified Arabic" w:hint="cs"/>
          <w:color w:val="0D0D0D"/>
          <w:sz w:val="24"/>
          <w:szCs w:val="24"/>
          <w:rtl/>
          <w:lang w:val="en-US"/>
        </w:rPr>
        <w:t>المكون الوظيفي و</w:t>
      </w:r>
      <w:r w:rsidR="002A686B" w:rsidRPr="00B54E4D">
        <w:rPr>
          <w:rFonts w:ascii="Simplified Arabic" w:hAnsi="Simplified Arabic" w:cs="Simplified Arabic" w:hint="cs"/>
          <w:sz w:val="24"/>
          <w:szCs w:val="24"/>
          <w:rtl/>
        </w:rPr>
        <w:t>هي المرافق</w:t>
      </w:r>
      <w:r w:rsidR="002A686B" w:rsidRPr="00B54E4D">
        <w:rPr>
          <w:rFonts w:ascii="Simplified Arabic" w:hAnsi="Simplified Arabic" w:cs="Simplified Arabic"/>
          <w:sz w:val="24"/>
          <w:szCs w:val="24"/>
          <w:rtl/>
        </w:rPr>
        <w:t xml:space="preserve"> </w:t>
      </w:r>
      <w:r w:rsidR="002A686B">
        <w:rPr>
          <w:rFonts w:ascii="Simplified Arabic" w:hAnsi="Simplified Arabic" w:cs="Simplified Arabic" w:hint="cs"/>
          <w:color w:val="0D0D0D"/>
          <w:sz w:val="24"/>
          <w:szCs w:val="24"/>
          <w:rtl/>
          <w:lang w:val="en-US"/>
        </w:rPr>
        <w:t xml:space="preserve">والسكن </w:t>
      </w:r>
      <w:r w:rsidR="002A686B" w:rsidRPr="000C0656">
        <w:rPr>
          <w:rFonts w:ascii="Simplified Arabic" w:hAnsi="Simplified Arabic" w:cs="Simplified Arabic"/>
          <w:color w:val="0D0D0D"/>
          <w:sz w:val="24"/>
          <w:szCs w:val="24"/>
          <w:rtl/>
          <w:lang w:val="en-US"/>
        </w:rPr>
        <w:t xml:space="preserve">(لتمثيل </w:t>
      </w:r>
      <w:r>
        <w:rPr>
          <w:rFonts w:ascii="Simplified Arabic" w:hAnsi="Simplified Arabic" w:cs="Simplified Arabic" w:hint="cs"/>
          <w:color w:val="0D0D0D"/>
          <w:sz w:val="24"/>
          <w:szCs w:val="24"/>
          <w:rtl/>
          <w:lang w:val="en-US"/>
        </w:rPr>
        <w:t>ال</w:t>
      </w:r>
      <w:r w:rsidR="002A686B">
        <w:rPr>
          <w:rFonts w:ascii="Simplified Arabic" w:hAnsi="Simplified Arabic" w:cs="Simplified Arabic" w:hint="cs"/>
          <w:color w:val="0D0D0D"/>
          <w:sz w:val="24"/>
          <w:szCs w:val="24"/>
          <w:rtl/>
          <w:lang w:val="en-US"/>
        </w:rPr>
        <w:t xml:space="preserve">اطار </w:t>
      </w:r>
      <w:r>
        <w:rPr>
          <w:rFonts w:ascii="Simplified Arabic" w:hAnsi="Simplified Arabic" w:cs="Simplified Arabic" w:hint="cs"/>
          <w:color w:val="0D0D0D"/>
          <w:sz w:val="24"/>
          <w:szCs w:val="24"/>
          <w:rtl/>
          <w:lang w:val="en-US"/>
        </w:rPr>
        <w:t>المبني</w:t>
      </w:r>
      <w:r w:rsidR="002A686B" w:rsidRPr="000C0656">
        <w:rPr>
          <w:rFonts w:ascii="Simplified Arabic" w:hAnsi="Simplified Arabic" w:cs="Simplified Arabic"/>
          <w:color w:val="0D0D0D"/>
          <w:sz w:val="24"/>
          <w:szCs w:val="24"/>
          <w:rtl/>
          <w:lang w:val="en-US"/>
        </w:rPr>
        <w:t xml:space="preserve">) والبيانات التي تمثل </w:t>
      </w:r>
      <w:r w:rsidR="002A686B">
        <w:rPr>
          <w:rFonts w:ascii="Simplified Arabic" w:hAnsi="Simplified Arabic" w:cs="Simplified Arabic" w:hint="cs"/>
          <w:color w:val="0D0D0D"/>
          <w:sz w:val="24"/>
          <w:szCs w:val="24"/>
          <w:rtl/>
          <w:lang w:val="en-US"/>
        </w:rPr>
        <w:t>المكون الهيكلي و</w:t>
      </w:r>
      <w:r w:rsidR="002A686B" w:rsidRPr="00B54E4D">
        <w:rPr>
          <w:rFonts w:ascii="Simplified Arabic" w:hAnsi="Simplified Arabic" w:cs="Simplified Arabic" w:hint="cs"/>
          <w:sz w:val="24"/>
          <w:szCs w:val="24"/>
          <w:rtl/>
        </w:rPr>
        <w:t xml:space="preserve">هي </w:t>
      </w:r>
      <w:r w:rsidR="002A686B" w:rsidRPr="000C0656">
        <w:rPr>
          <w:rFonts w:ascii="Simplified Arabic" w:hAnsi="Simplified Arabic" w:cs="Simplified Arabic"/>
          <w:color w:val="0D0D0D"/>
          <w:sz w:val="24"/>
          <w:szCs w:val="24"/>
          <w:rtl/>
          <w:lang w:val="en-US"/>
        </w:rPr>
        <w:t xml:space="preserve">شبكة </w:t>
      </w:r>
      <w:r w:rsidR="002A686B">
        <w:rPr>
          <w:rFonts w:ascii="Simplified Arabic" w:hAnsi="Simplified Arabic" w:cs="Simplified Arabic" w:hint="cs"/>
          <w:color w:val="0D0D0D"/>
          <w:sz w:val="24"/>
          <w:szCs w:val="24"/>
          <w:rtl/>
          <w:lang w:val="en-US"/>
        </w:rPr>
        <w:t>الطرق</w:t>
      </w:r>
      <w:r w:rsidR="002A686B">
        <w:rPr>
          <w:rFonts w:ascii="Simplified Arabic" w:hAnsi="Simplified Arabic" w:cs="Simplified Arabic" w:hint="cs"/>
          <w:color w:val="000000" w:themeColor="text1"/>
          <w:sz w:val="24"/>
          <w:szCs w:val="24"/>
          <w:rtl/>
          <w:lang w:val="en-US"/>
        </w:rPr>
        <w:t xml:space="preserve"> الرئيسية والثانوية والداخلية</w:t>
      </w:r>
      <w:r w:rsidR="002A686B" w:rsidRPr="00F06D02">
        <w:rPr>
          <w:rFonts w:ascii="Simplified Arabic" w:hAnsi="Simplified Arabic" w:cs="Simplified Arabic"/>
          <w:color w:val="0D0D0D"/>
          <w:sz w:val="24"/>
          <w:szCs w:val="24"/>
          <w:rtl/>
          <w:lang w:val="en-US"/>
        </w:rPr>
        <w:t xml:space="preserve"> </w:t>
      </w:r>
      <w:r w:rsidR="002A686B" w:rsidRPr="000C0656">
        <w:rPr>
          <w:rFonts w:ascii="Simplified Arabic" w:hAnsi="Simplified Arabic" w:cs="Simplified Arabic"/>
          <w:color w:val="0D0D0D"/>
          <w:sz w:val="24"/>
          <w:szCs w:val="24"/>
          <w:rtl/>
          <w:lang w:val="en-US"/>
        </w:rPr>
        <w:t xml:space="preserve">(لتمثيل </w:t>
      </w:r>
      <w:r>
        <w:rPr>
          <w:rFonts w:ascii="Simplified Arabic" w:hAnsi="Simplified Arabic" w:cs="Simplified Arabic" w:hint="cs"/>
          <w:color w:val="0D0D0D"/>
          <w:sz w:val="24"/>
          <w:szCs w:val="24"/>
          <w:rtl/>
          <w:lang w:val="en-US"/>
        </w:rPr>
        <w:t>الاطار غير المبني</w:t>
      </w:r>
      <w:r w:rsidR="002A686B" w:rsidRPr="000C0656">
        <w:rPr>
          <w:rFonts w:ascii="Simplified Arabic" w:hAnsi="Simplified Arabic" w:cs="Simplified Arabic"/>
          <w:color w:val="0D0D0D"/>
          <w:sz w:val="24"/>
          <w:szCs w:val="24"/>
          <w:rtl/>
          <w:lang w:val="en-US"/>
        </w:rPr>
        <w:t>)</w:t>
      </w:r>
      <w:r w:rsidR="002A686B">
        <w:rPr>
          <w:rFonts w:ascii="Simplified Arabic" w:hAnsi="Simplified Arabic" w:cs="Simplified Arabic" w:hint="cs"/>
          <w:color w:val="0D0D0D"/>
          <w:sz w:val="24"/>
          <w:szCs w:val="24"/>
          <w:rtl/>
          <w:lang w:val="en-US"/>
        </w:rPr>
        <w:t xml:space="preserve">. </w:t>
      </w:r>
    </w:p>
    <w:p w:rsidR="001423BA" w:rsidRDefault="002A686B" w:rsidP="0031518C">
      <w:pPr>
        <w:pStyle w:val="fegure"/>
        <w:spacing w:before="240"/>
        <w:rPr>
          <w:sz w:val="8"/>
          <w:szCs w:val="24"/>
          <w:rtl/>
          <w:lang w:val="en-US"/>
        </w:rPr>
      </w:pPr>
      <w:bookmarkStart w:id="792" w:name="_Toc157608355"/>
      <w:bookmarkStart w:id="793" w:name="_Toc171803776"/>
      <w:r w:rsidRPr="0089158C">
        <w:rPr>
          <w:rFonts w:hint="cs"/>
          <w:sz w:val="8"/>
          <w:szCs w:val="24"/>
          <w:rtl/>
          <w:lang w:bidi="ar-DZ"/>
        </w:rPr>
        <w:t>الشكل</w:t>
      </w:r>
      <w:r w:rsidRPr="0089158C">
        <w:rPr>
          <w:sz w:val="8"/>
          <w:szCs w:val="24"/>
          <w:rtl/>
          <w:lang w:bidi="ar-DZ"/>
        </w:rPr>
        <w:t xml:space="preserve"> </w:t>
      </w:r>
      <w:r w:rsidRPr="0089158C">
        <w:rPr>
          <w:rFonts w:hint="cs"/>
          <w:sz w:val="8"/>
          <w:szCs w:val="24"/>
          <w:rtl/>
          <w:lang w:bidi="ar-DZ"/>
        </w:rPr>
        <w:t>(6-</w:t>
      </w:r>
      <w:r w:rsidR="00B24A3A" w:rsidRPr="008B4DD2">
        <w:rPr>
          <w:b/>
          <w:bCs w:val="0"/>
          <w:lang w:bidi="ar-DZ"/>
        </w:rPr>
        <w:t>4</w:t>
      </w:r>
      <w:r w:rsidRPr="0089158C">
        <w:rPr>
          <w:rFonts w:hint="cs"/>
          <w:sz w:val="8"/>
          <w:szCs w:val="24"/>
          <w:rtl/>
          <w:lang w:bidi="ar-DZ"/>
        </w:rPr>
        <w:t xml:space="preserve">): </w:t>
      </w:r>
      <w:r w:rsidR="001423BA" w:rsidRPr="0089158C">
        <w:rPr>
          <w:rFonts w:hint="cs"/>
          <w:sz w:val="8"/>
          <w:szCs w:val="24"/>
          <w:rtl/>
          <w:lang w:val="en-US"/>
        </w:rPr>
        <w:t>نموذج قياس القدرة على التكيف المكاني</w:t>
      </w:r>
      <w:bookmarkEnd w:id="792"/>
      <w:bookmarkEnd w:id="793"/>
      <w:r w:rsidR="001423BA" w:rsidRPr="0089158C">
        <w:rPr>
          <w:rFonts w:hint="cs"/>
          <w:sz w:val="8"/>
          <w:szCs w:val="24"/>
          <w:rtl/>
          <w:lang w:val="en-US"/>
        </w:rPr>
        <w:t xml:space="preserve"> </w:t>
      </w:r>
    </w:p>
    <w:p w:rsidR="00D2461F" w:rsidRDefault="00D2461F" w:rsidP="00D2461F">
      <w:pPr>
        <w:pStyle w:val="fegure"/>
        <w:rPr>
          <w:sz w:val="8"/>
          <w:szCs w:val="24"/>
          <w:rtl/>
          <w:lang w:val="en-US"/>
        </w:rPr>
      </w:pPr>
      <w:bookmarkStart w:id="794" w:name="_Toc171803777"/>
      <w:r>
        <w:rPr>
          <w:rFonts w:hint="cs"/>
          <w:sz w:val="8"/>
          <w:szCs w:val="24"/>
          <w:rtl/>
          <w:lang w:val="en-US"/>
        </w:rPr>
        <w:t>(الباحث، 2022)</w:t>
      </w:r>
      <w:bookmarkEnd w:id="794"/>
    </w:p>
    <w:p w:rsidR="005728A4" w:rsidRPr="0089158C" w:rsidRDefault="005728A4" w:rsidP="00D2461F">
      <w:pPr>
        <w:pStyle w:val="fegure"/>
        <w:rPr>
          <w:sz w:val="8"/>
          <w:szCs w:val="24"/>
          <w:rtl/>
          <w:lang w:val="en-US" w:bidi="ar-DZ"/>
        </w:rPr>
      </w:pPr>
      <w:bookmarkStart w:id="795" w:name="_Toc171803778"/>
      <w:r>
        <w:rPr>
          <w:noProof/>
          <w:sz w:val="8"/>
          <w:szCs w:val="24"/>
          <w:rtl/>
          <w:lang w:eastAsia="fr-FR"/>
        </w:rPr>
        <w:drawing>
          <wp:inline distT="0" distB="0" distL="0" distR="0" wp14:anchorId="01A85566" wp14:editId="31E0E519">
            <wp:extent cx="5714647" cy="3217653"/>
            <wp:effectExtent l="19050" t="19050" r="19685" b="20955"/>
            <wp:docPr id="244" name="Image 244" descr="C:\Users\NTC\Desktop\إخراج_الخرائط_النهائي\نموذج  للمرحلة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TC\Desktop\إخراج_الخرائط_النهائي\نموذج  للمرحلة 3.jpg"/>
                    <pic:cNvPicPr>
                      <a:picLocks noChangeAspect="1" noChangeArrowheads="1"/>
                    </pic:cNvPicPr>
                  </pic:nvPicPr>
                  <pic:blipFill>
                    <a:blip r:embed="rId282">
                      <a:extLst>
                        <a:ext uri="{BEBA8EAE-BF5A-486C-A8C5-ECC9F3942E4B}">
                          <a14:imgProps xmlns:a14="http://schemas.microsoft.com/office/drawing/2010/main">
                            <a14:imgLayer r:embed="rId283">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710830" cy="3215504"/>
                    </a:xfrm>
                    <a:prstGeom prst="rect">
                      <a:avLst/>
                    </a:prstGeom>
                    <a:noFill/>
                    <a:ln w="6350">
                      <a:solidFill>
                        <a:schemeClr val="tx1"/>
                      </a:solidFill>
                    </a:ln>
                  </pic:spPr>
                </pic:pic>
              </a:graphicData>
            </a:graphic>
          </wp:inline>
        </w:drawing>
      </w:r>
      <w:bookmarkEnd w:id="795"/>
    </w:p>
    <w:p w:rsidR="002A686B" w:rsidRPr="00623197" w:rsidRDefault="002A686B" w:rsidP="00872687">
      <w:pPr>
        <w:autoSpaceDE w:val="0"/>
        <w:autoSpaceDN w:val="0"/>
        <w:bidi/>
        <w:adjustRightInd w:val="0"/>
        <w:spacing w:before="240" w:after="0"/>
        <w:ind w:firstLine="283"/>
        <w:jc w:val="both"/>
        <w:rPr>
          <w:rFonts w:ascii="Simplified Arabic" w:hAnsi="Simplified Arabic" w:cs="Simplified Arabic"/>
          <w:color w:val="0D0D0D"/>
          <w:sz w:val="24"/>
          <w:szCs w:val="24"/>
          <w:rtl/>
          <w:lang w:val="en-US"/>
        </w:rPr>
      </w:pPr>
      <w:r w:rsidRPr="00623197">
        <w:rPr>
          <w:rFonts w:ascii="Simplified Arabic" w:hAnsi="Simplified Arabic" w:cs="Simplified Arabic"/>
          <w:color w:val="0D0D0D"/>
          <w:sz w:val="24"/>
          <w:szCs w:val="24"/>
          <w:rtl/>
          <w:lang w:val="en-US"/>
        </w:rPr>
        <w:t>تصف الأقسام التالية</w:t>
      </w:r>
      <w:r>
        <w:rPr>
          <w:rFonts w:ascii="Simplified Arabic" w:hAnsi="Simplified Arabic" w:cs="Simplified Arabic" w:hint="cs"/>
          <w:color w:val="0D0D0D"/>
          <w:sz w:val="24"/>
          <w:szCs w:val="24"/>
          <w:rtl/>
          <w:lang w:val="en-US"/>
        </w:rPr>
        <w:t xml:space="preserve"> (</w:t>
      </w:r>
      <w:r w:rsidR="00872687" w:rsidRPr="00872687">
        <w:rPr>
          <w:rFonts w:ascii="Simplified Arabic" w:hAnsi="Simplified Arabic" w:cs="Simplified Arabic" w:hint="cs"/>
          <w:b/>
          <w:bCs/>
          <w:color w:val="0D0D0D"/>
          <w:sz w:val="24"/>
          <w:szCs w:val="24"/>
          <w:rtl/>
          <w:lang w:val="en-US"/>
        </w:rPr>
        <w:t>1.4.6</w:t>
      </w:r>
      <w:r>
        <w:rPr>
          <w:rFonts w:ascii="Simplified Arabic" w:hAnsi="Simplified Arabic" w:cs="Simplified Arabic" w:hint="cs"/>
          <w:color w:val="0D0D0D"/>
          <w:sz w:val="24"/>
          <w:szCs w:val="24"/>
          <w:rtl/>
          <w:lang w:val="en-US"/>
        </w:rPr>
        <w:t>،</w:t>
      </w:r>
      <w:r w:rsidR="00872687">
        <w:rPr>
          <w:rFonts w:ascii="Simplified Arabic" w:hAnsi="Simplified Arabic" w:cs="Simplified Arabic" w:hint="cs"/>
          <w:color w:val="0D0D0D"/>
          <w:sz w:val="24"/>
          <w:szCs w:val="24"/>
          <w:rtl/>
          <w:lang w:val="en-US"/>
        </w:rPr>
        <w:t xml:space="preserve"> </w:t>
      </w:r>
      <w:r w:rsidR="00872687">
        <w:rPr>
          <w:rFonts w:ascii="Simplified Arabic" w:hAnsi="Simplified Arabic" w:cs="Simplified Arabic" w:hint="cs"/>
          <w:b/>
          <w:bCs/>
          <w:color w:val="0D0D0D"/>
          <w:sz w:val="24"/>
          <w:szCs w:val="24"/>
          <w:rtl/>
          <w:lang w:val="en-US"/>
        </w:rPr>
        <w:t>2</w:t>
      </w:r>
      <w:r w:rsidR="00872687" w:rsidRPr="00872687">
        <w:rPr>
          <w:rFonts w:ascii="Simplified Arabic" w:hAnsi="Simplified Arabic" w:cs="Simplified Arabic" w:hint="cs"/>
          <w:b/>
          <w:bCs/>
          <w:color w:val="0D0D0D"/>
          <w:sz w:val="24"/>
          <w:szCs w:val="24"/>
          <w:rtl/>
          <w:lang w:val="en-US"/>
        </w:rPr>
        <w:t>.4.6</w:t>
      </w:r>
      <w:r>
        <w:rPr>
          <w:rFonts w:ascii="Simplified Arabic" w:hAnsi="Simplified Arabic" w:cs="Simplified Arabic" w:hint="cs"/>
          <w:color w:val="0D0D0D"/>
          <w:sz w:val="24"/>
          <w:szCs w:val="24"/>
          <w:rtl/>
          <w:lang w:val="en-US"/>
        </w:rPr>
        <w:t xml:space="preserve">، </w:t>
      </w:r>
      <w:r w:rsidR="00872687">
        <w:rPr>
          <w:rFonts w:ascii="Simplified Arabic" w:hAnsi="Simplified Arabic" w:cs="Simplified Arabic" w:hint="cs"/>
          <w:b/>
          <w:bCs/>
          <w:color w:val="0D0D0D"/>
          <w:sz w:val="24"/>
          <w:szCs w:val="24"/>
          <w:rtl/>
          <w:lang w:val="en-US"/>
        </w:rPr>
        <w:t>3</w:t>
      </w:r>
      <w:r w:rsidR="00872687" w:rsidRPr="00872687">
        <w:rPr>
          <w:rFonts w:ascii="Simplified Arabic" w:hAnsi="Simplified Arabic" w:cs="Simplified Arabic" w:hint="cs"/>
          <w:b/>
          <w:bCs/>
          <w:color w:val="0D0D0D"/>
          <w:sz w:val="24"/>
          <w:szCs w:val="24"/>
          <w:rtl/>
          <w:lang w:val="en-US"/>
        </w:rPr>
        <w:t>.4.6</w:t>
      </w:r>
      <w:r>
        <w:rPr>
          <w:rFonts w:ascii="Simplified Arabic" w:hAnsi="Simplified Arabic" w:cs="Simplified Arabic" w:hint="cs"/>
          <w:color w:val="0D0D0D"/>
          <w:sz w:val="24"/>
          <w:szCs w:val="24"/>
          <w:rtl/>
          <w:lang w:val="en-US"/>
        </w:rPr>
        <w:t xml:space="preserve">، </w:t>
      </w:r>
      <w:r w:rsidR="00872687">
        <w:rPr>
          <w:rFonts w:ascii="Simplified Arabic" w:hAnsi="Simplified Arabic" w:cs="Simplified Arabic" w:hint="cs"/>
          <w:b/>
          <w:bCs/>
          <w:color w:val="0D0D0D"/>
          <w:sz w:val="24"/>
          <w:szCs w:val="24"/>
          <w:rtl/>
          <w:lang w:val="en-US"/>
        </w:rPr>
        <w:t>4</w:t>
      </w:r>
      <w:r w:rsidR="00872687" w:rsidRPr="00872687">
        <w:rPr>
          <w:rFonts w:ascii="Simplified Arabic" w:hAnsi="Simplified Arabic" w:cs="Simplified Arabic" w:hint="cs"/>
          <w:b/>
          <w:bCs/>
          <w:color w:val="0D0D0D"/>
          <w:sz w:val="24"/>
          <w:szCs w:val="24"/>
          <w:rtl/>
          <w:lang w:val="en-US"/>
        </w:rPr>
        <w:t>.4.6</w:t>
      </w:r>
      <w:r>
        <w:rPr>
          <w:rFonts w:ascii="Simplified Arabic" w:hAnsi="Simplified Arabic" w:cs="Simplified Arabic" w:hint="cs"/>
          <w:color w:val="0D0D0D"/>
          <w:sz w:val="24"/>
          <w:szCs w:val="24"/>
          <w:rtl/>
          <w:lang w:val="en-US"/>
        </w:rPr>
        <w:t>)</w:t>
      </w:r>
      <w:r w:rsidRPr="00623197">
        <w:rPr>
          <w:rFonts w:ascii="Simplified Arabic" w:hAnsi="Simplified Arabic" w:cs="Simplified Arabic"/>
          <w:color w:val="0D0D0D"/>
          <w:sz w:val="24"/>
          <w:szCs w:val="24"/>
          <w:rtl/>
          <w:lang w:val="en-US"/>
        </w:rPr>
        <w:t xml:space="preserve"> </w:t>
      </w:r>
      <w:r w:rsidR="001423BA" w:rsidRPr="000C0656">
        <w:rPr>
          <w:rFonts w:ascii="Simplified Arabic" w:hAnsi="Simplified Arabic" w:cs="Simplified Arabic"/>
          <w:color w:val="0D0D0D"/>
          <w:sz w:val="24"/>
          <w:szCs w:val="24"/>
          <w:rtl/>
          <w:lang w:val="en-US"/>
        </w:rPr>
        <w:t xml:space="preserve">تفاصيل إنشاء </w:t>
      </w:r>
      <w:r w:rsidR="001423BA">
        <w:rPr>
          <w:rFonts w:ascii="Simplified Arabic" w:hAnsi="Simplified Arabic" w:cs="Simplified Arabic" w:hint="cs"/>
          <w:color w:val="0D0D0D"/>
          <w:sz w:val="24"/>
          <w:szCs w:val="24"/>
          <w:rtl/>
          <w:lang w:val="en-US"/>
        </w:rPr>
        <w:t>و</w:t>
      </w:r>
      <w:r>
        <w:rPr>
          <w:rFonts w:ascii="Simplified Arabic" w:hAnsi="Simplified Arabic" w:cs="Simplified Arabic" w:hint="cs"/>
          <w:color w:val="0D0D0D"/>
          <w:sz w:val="24"/>
          <w:szCs w:val="24"/>
          <w:rtl/>
          <w:lang w:val="en-US"/>
        </w:rPr>
        <w:t>قياس</w:t>
      </w:r>
      <w:r w:rsidRPr="00623197">
        <w:rPr>
          <w:rFonts w:ascii="Simplified Arabic" w:hAnsi="Simplified Arabic" w:cs="Simplified Arabic"/>
          <w:color w:val="0D0D0D"/>
          <w:sz w:val="24"/>
          <w:szCs w:val="24"/>
          <w:rtl/>
          <w:lang w:val="en-US"/>
        </w:rPr>
        <w:t xml:space="preserve"> كل من </w:t>
      </w:r>
      <w:r>
        <w:rPr>
          <w:rFonts w:ascii="Simplified Arabic" w:hAnsi="Simplified Arabic" w:cs="Simplified Arabic" w:hint="cs"/>
          <w:color w:val="0D0D0D"/>
          <w:sz w:val="24"/>
          <w:szCs w:val="24"/>
          <w:rtl/>
          <w:lang w:val="en-US"/>
        </w:rPr>
        <w:t>السمات</w:t>
      </w:r>
      <w:r w:rsidRPr="00623197">
        <w:rPr>
          <w:rFonts w:ascii="Simplified Arabic" w:hAnsi="Simplified Arabic" w:cs="Simplified Arabic"/>
          <w:color w:val="0D0D0D"/>
          <w:sz w:val="24"/>
          <w:szCs w:val="24"/>
          <w:rtl/>
          <w:lang w:val="en-US"/>
        </w:rPr>
        <w:t xml:space="preserve"> </w:t>
      </w:r>
      <w:r>
        <w:rPr>
          <w:rFonts w:ascii="Simplified Arabic" w:hAnsi="Simplified Arabic" w:cs="Simplified Arabic" w:hint="cs"/>
          <w:color w:val="0D0D0D"/>
          <w:sz w:val="24"/>
          <w:szCs w:val="24"/>
          <w:rtl/>
          <w:lang w:val="en-US"/>
        </w:rPr>
        <w:t>الاربع</w:t>
      </w:r>
      <w:r>
        <w:rPr>
          <w:rFonts w:ascii="Simplified Arabic" w:hAnsi="Simplified Arabic" w:cs="Simplified Arabic"/>
          <w:color w:val="0D0D0D"/>
          <w:sz w:val="24"/>
          <w:szCs w:val="24"/>
          <w:rtl/>
          <w:lang w:val="en-US"/>
        </w:rPr>
        <w:t>ة</w:t>
      </w:r>
      <w:r w:rsidR="001423BA">
        <w:rPr>
          <w:rFonts w:ascii="Simplified Arabic" w:hAnsi="Simplified Arabic" w:cs="Simplified Arabic" w:hint="cs"/>
          <w:color w:val="0D0D0D"/>
          <w:sz w:val="24"/>
          <w:szCs w:val="24"/>
          <w:rtl/>
          <w:lang w:val="en-US"/>
        </w:rPr>
        <w:t xml:space="preserve"> </w:t>
      </w:r>
      <w:r w:rsidR="001423BA" w:rsidRPr="000C0656">
        <w:rPr>
          <w:rFonts w:ascii="Simplified Arabic" w:hAnsi="Simplified Arabic" w:cs="Simplified Arabic"/>
          <w:color w:val="0D0D0D"/>
          <w:sz w:val="24"/>
          <w:szCs w:val="24"/>
          <w:rtl/>
          <w:lang w:val="en-US"/>
        </w:rPr>
        <w:t>والمقاييس المصاحبة لها</w:t>
      </w:r>
      <w:r w:rsidR="00B1589F">
        <w:rPr>
          <w:rFonts w:ascii="Simplified Arabic" w:hAnsi="Simplified Arabic" w:cs="Simplified Arabic" w:hint="cs"/>
          <w:color w:val="0D0D0D"/>
          <w:sz w:val="24"/>
          <w:szCs w:val="24"/>
          <w:rtl/>
          <w:lang w:val="en-US"/>
        </w:rPr>
        <w:t xml:space="preserve"> كما يلي</w:t>
      </w:r>
      <w:r>
        <w:rPr>
          <w:rFonts w:ascii="Simplified Arabic" w:hAnsi="Simplified Arabic" w:cs="Simplified Arabic" w:hint="cs"/>
          <w:color w:val="0D0D0D"/>
          <w:sz w:val="24"/>
          <w:szCs w:val="24"/>
          <w:rtl/>
          <w:lang w:val="en-US"/>
        </w:rPr>
        <w:t>:</w:t>
      </w:r>
    </w:p>
    <w:p w:rsidR="002A686B" w:rsidRPr="00DD0D9B" w:rsidRDefault="002A686B" w:rsidP="0031518C">
      <w:pPr>
        <w:pStyle w:val="Paragraphedeliste"/>
        <w:numPr>
          <w:ilvl w:val="2"/>
          <w:numId w:val="181"/>
        </w:numPr>
        <w:tabs>
          <w:tab w:val="right" w:pos="850"/>
        </w:tabs>
        <w:bidi/>
        <w:spacing w:before="240" w:after="0"/>
        <w:ind w:left="0" w:firstLine="0"/>
        <w:jc w:val="both"/>
        <w:outlineLvl w:val="1"/>
        <w:rPr>
          <w:rFonts w:ascii="Simplified Arabic" w:hAnsi="Simplified Arabic" w:cs="Simplified Arabic"/>
          <w:b/>
          <w:bCs/>
          <w:sz w:val="24"/>
          <w:szCs w:val="24"/>
          <w:lang w:bidi="ar-DZ"/>
        </w:rPr>
      </w:pPr>
      <w:bookmarkStart w:id="796" w:name="_Toc171803779"/>
      <w:r w:rsidRPr="00DD0D9B">
        <w:rPr>
          <w:rFonts w:ascii="Simplified Arabic" w:hAnsi="Simplified Arabic" w:cs="Simplified Arabic" w:hint="cs"/>
          <w:b/>
          <w:bCs/>
          <w:sz w:val="24"/>
          <w:szCs w:val="24"/>
          <w:rtl/>
          <w:lang w:bidi="ar-DZ"/>
        </w:rPr>
        <w:t>سمة الكثافة</w:t>
      </w:r>
      <w:bookmarkEnd w:id="796"/>
    </w:p>
    <w:p w:rsidR="006E0021" w:rsidRDefault="001423BA" w:rsidP="001417E8">
      <w:pPr>
        <w:tabs>
          <w:tab w:val="right" w:pos="-1"/>
        </w:tabs>
        <w:bidi/>
        <w:spacing w:after="0"/>
        <w:ind w:left="-1" w:firstLine="283"/>
        <w:jc w:val="both"/>
        <w:rPr>
          <w:rFonts w:ascii="Simplified Arabic" w:hAnsi="Simplified Arabic" w:cs="Simplified Arabic"/>
          <w:sz w:val="24"/>
          <w:szCs w:val="24"/>
          <w:rtl/>
          <w:lang w:val="en-US"/>
        </w:rPr>
      </w:pPr>
      <w:r>
        <w:rPr>
          <w:rFonts w:ascii="Simplified Arabic" w:hAnsi="Simplified Arabic" w:cs="Simplified Arabic" w:hint="cs"/>
          <w:color w:val="000000" w:themeColor="text1"/>
          <w:sz w:val="24"/>
          <w:szCs w:val="24"/>
          <w:rtl/>
          <w:lang w:bidi="ar-DZ"/>
        </w:rPr>
        <w:t>ي</w:t>
      </w:r>
      <w:r w:rsidRPr="002C2285">
        <w:rPr>
          <w:rFonts w:ascii="Simplified Arabic" w:hAnsi="Simplified Arabic" w:cs="Simplified Arabic" w:hint="cs"/>
          <w:color w:val="000000" w:themeColor="text1"/>
          <w:sz w:val="24"/>
          <w:szCs w:val="24"/>
          <w:rtl/>
          <w:lang w:bidi="ar-DZ"/>
        </w:rPr>
        <w:t>ستخدم البحث</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الحالي كثافة</w:t>
      </w:r>
      <w:r w:rsidRPr="002C2285">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w:t>
      </w:r>
      <w:r w:rsidRPr="002C2285">
        <w:rPr>
          <w:rFonts w:ascii="Simplified Arabic" w:hAnsi="Simplified Arabic" w:cs="Simplified Arabic" w:hint="cs"/>
          <w:color w:val="000000" w:themeColor="text1"/>
          <w:sz w:val="24"/>
          <w:szCs w:val="24"/>
          <w:rtl/>
          <w:lang w:bidi="ar-DZ"/>
        </w:rPr>
        <w:t>ب</w:t>
      </w:r>
      <w:r>
        <w:rPr>
          <w:rFonts w:ascii="Simplified Arabic" w:hAnsi="Simplified Arabic" w:cs="Simplified Arabic" w:hint="cs"/>
          <w:color w:val="000000" w:themeColor="text1"/>
          <w:sz w:val="24"/>
          <w:szCs w:val="24"/>
          <w:rtl/>
          <w:lang w:bidi="ar-DZ"/>
        </w:rPr>
        <w:t>ن</w:t>
      </w:r>
      <w:r w:rsidRPr="002C2285">
        <w:rPr>
          <w:rFonts w:ascii="Simplified Arabic" w:hAnsi="Simplified Arabic" w:cs="Simplified Arabic" w:hint="cs"/>
          <w:color w:val="000000" w:themeColor="text1"/>
          <w:sz w:val="24"/>
          <w:szCs w:val="24"/>
          <w:rtl/>
          <w:lang w:bidi="ar-DZ"/>
        </w:rPr>
        <w:t>ا</w:t>
      </w:r>
      <w:r>
        <w:rPr>
          <w:rFonts w:ascii="Simplified Arabic" w:hAnsi="Simplified Arabic" w:cs="Simplified Arabic" w:hint="cs"/>
          <w:color w:val="000000" w:themeColor="text1"/>
          <w:sz w:val="24"/>
          <w:szCs w:val="24"/>
          <w:rtl/>
          <w:lang w:bidi="ar-DZ"/>
        </w:rPr>
        <w:t>ء</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و</w:t>
      </w:r>
      <w:r w:rsidR="0031518C">
        <w:rPr>
          <w:rFonts w:ascii="Simplified Arabic" w:hAnsi="Simplified Arabic" w:cs="Simplified Arabic" w:hint="cs"/>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هي</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الأكثر</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استخدامًا</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لوصف</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وتنظيم التنمية</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الحضرية</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ولتقييم مستوى المرونة الحضرية</w:t>
      </w:r>
      <w:r w:rsidRPr="002C2285">
        <w:rPr>
          <w:rFonts w:ascii="Simplified Arabic" w:hAnsi="Simplified Arabic" w:cs="Simplified Arabic"/>
          <w:color w:val="000000" w:themeColor="text1"/>
          <w:sz w:val="24"/>
          <w:szCs w:val="24"/>
          <w:rtl/>
          <w:lang w:bidi="ar-DZ"/>
        </w:rPr>
        <w:t>.</w:t>
      </w:r>
      <w:r w:rsidRPr="002C2285">
        <w:rPr>
          <w:rFonts w:ascii="Simplified Arabic" w:hAnsi="Simplified Arabic" w:cs="Simplified Arabic" w:hint="cs"/>
          <w:color w:val="000000" w:themeColor="text1"/>
          <w:sz w:val="24"/>
          <w:szCs w:val="24"/>
          <w:rtl/>
          <w:lang w:bidi="ar-DZ"/>
        </w:rPr>
        <w:t xml:space="preserve"> بينما</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تزيد</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المستويات</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الأعلى</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للكثافة</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من</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مرونة</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الطاقة</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في</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المدن،</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هناك</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أدلة</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تظهر</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أن</w:t>
      </w:r>
      <w:r w:rsidRPr="002C2285">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 xml:space="preserve">معيار </w:t>
      </w:r>
      <w:r w:rsidRPr="002C2285">
        <w:rPr>
          <w:rFonts w:ascii="Simplified Arabic" w:hAnsi="Simplified Arabic" w:cs="Simplified Arabic" w:hint="cs"/>
          <w:color w:val="000000" w:themeColor="text1"/>
          <w:sz w:val="24"/>
          <w:szCs w:val="24"/>
          <w:rtl/>
          <w:lang w:bidi="ar-DZ"/>
        </w:rPr>
        <w:t>الكثافة</w:t>
      </w:r>
      <w:r w:rsidRPr="002C2285">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المثلى</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هي</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الأفضل</w:t>
      </w:r>
      <w:r w:rsidRPr="002C2285">
        <w:rPr>
          <w:rFonts w:ascii="Simplified Arabic" w:hAnsi="Simplified Arabic" w:cs="Simplified Arabic"/>
          <w:color w:val="000000" w:themeColor="text1"/>
          <w:sz w:val="24"/>
          <w:szCs w:val="24"/>
          <w:rtl/>
          <w:lang w:bidi="ar-DZ"/>
        </w:rPr>
        <w:t xml:space="preserve"> </w:t>
      </w:r>
      <w:r w:rsidRPr="002C2285">
        <w:rPr>
          <w:rFonts w:ascii="Simplified Arabic" w:hAnsi="Simplified Arabic" w:cs="Simplified Arabic" w:hint="cs"/>
          <w:color w:val="000000" w:themeColor="text1"/>
          <w:sz w:val="24"/>
          <w:szCs w:val="24"/>
          <w:rtl/>
          <w:lang w:bidi="ar-DZ"/>
        </w:rPr>
        <w:t>للمرونة</w:t>
      </w:r>
      <w:r w:rsidRPr="002C2285">
        <w:rPr>
          <w:rFonts w:ascii="Simplified Arabic" w:hAnsi="Simplified Arabic" w:cs="Simplified Arabic"/>
          <w:color w:val="000000" w:themeColor="text1"/>
          <w:sz w:val="24"/>
          <w:szCs w:val="24"/>
          <w:rtl/>
          <w:lang w:bidi="ar-DZ"/>
        </w:rPr>
        <w:t xml:space="preserve"> </w:t>
      </w:r>
      <w:r w:rsidRPr="009B7900">
        <w:rPr>
          <w:rFonts w:asciiTheme="majorBidi" w:hAnsiTheme="majorBidi" w:cstheme="majorBidi"/>
          <w:color w:val="000000" w:themeColor="text1"/>
          <w:sz w:val="24"/>
          <w:szCs w:val="24"/>
          <w:rtl/>
          <w:lang w:bidi="ar-DZ"/>
        </w:rPr>
        <w:t>(</w:t>
      </w:r>
      <w:r w:rsidRPr="009B7900">
        <w:rPr>
          <w:rFonts w:asciiTheme="majorBidi" w:hAnsiTheme="majorBidi" w:cstheme="majorBidi"/>
          <w:color w:val="000000" w:themeColor="text1"/>
          <w:sz w:val="24"/>
          <w:szCs w:val="24"/>
          <w:lang w:bidi="ar-DZ"/>
        </w:rPr>
        <w:t>Burton, 2014</w:t>
      </w:r>
      <w:r w:rsidRPr="009B7900">
        <w:rPr>
          <w:rFonts w:asciiTheme="majorBidi" w:hAnsiTheme="majorBidi" w:cstheme="majorBidi"/>
          <w:color w:val="000000" w:themeColor="text1"/>
          <w:sz w:val="24"/>
          <w:szCs w:val="24"/>
          <w:rtl/>
          <w:lang w:bidi="ar-DZ"/>
        </w:rPr>
        <w:t>)</w:t>
      </w:r>
      <w:r w:rsidRPr="002C2285">
        <w:rPr>
          <w:rFonts w:ascii="Simplified Arabic" w:hAnsi="Simplified Arabic" w:cs="Simplified Arabic"/>
          <w:color w:val="000000" w:themeColor="text1"/>
          <w:sz w:val="24"/>
          <w:szCs w:val="24"/>
          <w:rtl/>
          <w:lang w:bidi="ar-DZ"/>
        </w:rPr>
        <w:t>.</w:t>
      </w:r>
      <w:r w:rsidRPr="002C2285">
        <w:rPr>
          <w:rFonts w:ascii="Simplified Arabic" w:hAnsi="Simplified Arabic" w:cs="Simplified Arabic" w:hint="cs"/>
          <w:color w:val="000000" w:themeColor="text1"/>
          <w:sz w:val="24"/>
          <w:szCs w:val="24"/>
          <w:rtl/>
          <w:lang w:bidi="ar-DZ"/>
        </w:rPr>
        <w:t xml:space="preserve"> </w:t>
      </w:r>
    </w:p>
    <w:p w:rsidR="00E556EB" w:rsidRDefault="00D61C5B" w:rsidP="00DF16EA">
      <w:pPr>
        <w:tabs>
          <w:tab w:val="right" w:pos="-1"/>
        </w:tabs>
        <w:bidi/>
        <w:spacing w:before="240" w:after="0"/>
        <w:ind w:left="-1" w:firstLine="283"/>
        <w:jc w:val="both"/>
        <w:rPr>
          <w:rFonts w:ascii="Simplified Arabic" w:hAnsi="Simplified Arabic" w:cs="Simplified Arabic"/>
          <w:sz w:val="24"/>
          <w:szCs w:val="24"/>
          <w:lang w:val="en-US"/>
        </w:rPr>
      </w:pPr>
      <w:r w:rsidRPr="00D61C5B">
        <w:rPr>
          <w:rFonts w:ascii="Simplified Arabic" w:hAnsi="Simplified Arabic" w:cs="Simplified Arabic" w:hint="cs"/>
          <w:sz w:val="24"/>
          <w:szCs w:val="24"/>
          <w:rtl/>
          <w:lang w:val="en-US"/>
        </w:rPr>
        <w:lastRenderedPageBreak/>
        <w:t>يعد</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ضمان</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مستويات</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الكثافة</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المثلى،</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خاصة</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في</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المناطق</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ذات</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الشوارع</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الضيقة،</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أمرًا</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ضروريًا</w:t>
      </w:r>
      <w:r w:rsidRPr="00D61C5B">
        <w:rPr>
          <w:rFonts w:ascii="Simplified Arabic" w:hAnsi="Simplified Arabic" w:cs="Simplified Arabic"/>
          <w:sz w:val="24"/>
          <w:szCs w:val="24"/>
          <w:rtl/>
          <w:lang w:val="en-US"/>
        </w:rPr>
        <w:t xml:space="preserve"> </w:t>
      </w:r>
      <w:r w:rsidRPr="00D61C5B">
        <w:rPr>
          <w:rFonts w:ascii="Simplified Arabic" w:hAnsi="Simplified Arabic" w:cs="Simplified Arabic" w:hint="cs"/>
          <w:sz w:val="24"/>
          <w:szCs w:val="24"/>
          <w:rtl/>
          <w:lang w:val="en-US"/>
        </w:rPr>
        <w:t>لتحسين</w:t>
      </w:r>
      <w:r w:rsidRPr="00D61C5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المرونة الفيزيائية</w:t>
      </w:r>
      <w:r w:rsidRPr="00D61C5B">
        <w:rPr>
          <w:rFonts w:ascii="Simplified Arabic" w:hAnsi="Simplified Arabic" w:cs="Simplified Arabic"/>
          <w:sz w:val="24"/>
          <w:szCs w:val="24"/>
          <w:rtl/>
          <w:lang w:val="en-US"/>
        </w:rPr>
        <w:t>.</w:t>
      </w:r>
      <w:r w:rsidRPr="00D61C5B">
        <w:rPr>
          <w:rFonts w:ascii="Simplified Arabic" w:hAnsi="Simplified Arabic" w:cs="Simplified Arabic" w:hint="cs"/>
          <w:color w:val="000000" w:themeColor="text1"/>
          <w:sz w:val="24"/>
          <w:szCs w:val="24"/>
          <w:rtl/>
          <w:lang w:bidi="ar-DZ"/>
        </w:rPr>
        <w:t xml:space="preserve"> </w:t>
      </w:r>
      <w:r w:rsidRPr="008D1804">
        <w:rPr>
          <w:rFonts w:ascii="Simplified Arabic" w:hAnsi="Simplified Arabic" w:cs="Simplified Arabic" w:hint="cs"/>
          <w:color w:val="000000" w:themeColor="text1"/>
          <w:sz w:val="24"/>
          <w:szCs w:val="24"/>
          <w:rtl/>
          <w:lang w:bidi="ar-DZ"/>
        </w:rPr>
        <w:t>يوضح</w:t>
      </w:r>
      <w:r w:rsidRPr="008D1804">
        <w:rPr>
          <w:rFonts w:ascii="Simplified Arabic" w:hAnsi="Simplified Arabic" w:cs="Simplified Arabic"/>
          <w:color w:val="000000" w:themeColor="text1"/>
          <w:sz w:val="24"/>
          <w:szCs w:val="24"/>
          <w:rtl/>
          <w:lang w:bidi="ar-DZ"/>
        </w:rPr>
        <w:t xml:space="preserve"> </w:t>
      </w:r>
      <w:r w:rsidRPr="008D1804">
        <w:rPr>
          <w:rFonts w:ascii="Simplified Arabic" w:hAnsi="Simplified Arabic" w:cs="Simplified Arabic" w:hint="cs"/>
          <w:color w:val="000000" w:themeColor="text1"/>
          <w:sz w:val="24"/>
          <w:szCs w:val="24"/>
          <w:rtl/>
          <w:lang w:bidi="ar-DZ"/>
        </w:rPr>
        <w:t>الشكل (6-</w:t>
      </w:r>
      <w:r w:rsidR="00B24A3A">
        <w:rPr>
          <w:rFonts w:ascii="Simplified Arabic" w:hAnsi="Simplified Arabic" w:cs="Simplified Arabic"/>
          <w:color w:val="000000" w:themeColor="text1"/>
          <w:sz w:val="24"/>
          <w:szCs w:val="24"/>
          <w:lang w:bidi="ar-DZ"/>
        </w:rPr>
        <w:t>5</w:t>
      </w:r>
      <w:r w:rsidRPr="008D1804">
        <w:rPr>
          <w:rFonts w:ascii="Simplified Arabic" w:hAnsi="Simplified Arabic" w:cs="Simplified Arabic" w:hint="cs"/>
          <w:color w:val="000000" w:themeColor="text1"/>
          <w:sz w:val="24"/>
          <w:szCs w:val="24"/>
          <w:rtl/>
          <w:lang w:bidi="ar-DZ"/>
        </w:rPr>
        <w:t xml:space="preserve">) تباين </w:t>
      </w:r>
      <w:r w:rsidR="00163AEE" w:rsidRPr="002C2285">
        <w:rPr>
          <w:rFonts w:ascii="Simplified Arabic" w:hAnsi="Simplified Arabic" w:cs="Simplified Arabic" w:hint="cs"/>
          <w:color w:val="000000" w:themeColor="text1"/>
          <w:sz w:val="24"/>
          <w:szCs w:val="24"/>
          <w:rtl/>
          <w:lang w:bidi="ar-DZ"/>
        </w:rPr>
        <w:t>مستويات</w:t>
      </w:r>
      <w:r w:rsidR="00163AEE" w:rsidRPr="002C2285">
        <w:rPr>
          <w:rFonts w:ascii="Simplified Arabic" w:hAnsi="Simplified Arabic" w:cs="Simplified Arabic"/>
          <w:color w:val="000000" w:themeColor="text1"/>
          <w:sz w:val="24"/>
          <w:szCs w:val="24"/>
          <w:rtl/>
          <w:lang w:bidi="ar-DZ"/>
        </w:rPr>
        <w:t xml:space="preserve"> </w:t>
      </w:r>
      <w:r w:rsidR="00163AEE" w:rsidRPr="002C2285">
        <w:rPr>
          <w:rFonts w:ascii="Simplified Arabic" w:hAnsi="Simplified Arabic" w:cs="Simplified Arabic" w:hint="cs"/>
          <w:color w:val="000000" w:themeColor="text1"/>
          <w:sz w:val="24"/>
          <w:szCs w:val="24"/>
          <w:rtl/>
          <w:lang w:bidi="ar-DZ"/>
        </w:rPr>
        <w:t>كثافة</w:t>
      </w:r>
      <w:r w:rsidR="00163AEE">
        <w:rPr>
          <w:rFonts w:ascii="Simplified Arabic" w:hAnsi="Simplified Arabic" w:cs="Simplified Arabic" w:hint="cs"/>
          <w:color w:val="000000" w:themeColor="text1"/>
          <w:sz w:val="24"/>
          <w:szCs w:val="24"/>
          <w:rtl/>
          <w:lang w:bidi="ar-DZ"/>
        </w:rPr>
        <w:t xml:space="preserve"> البناء </w:t>
      </w:r>
      <w:r w:rsidRPr="008D1804">
        <w:rPr>
          <w:rFonts w:ascii="Simplified Arabic" w:hAnsi="Simplified Arabic" w:cs="Simplified Arabic" w:hint="cs"/>
          <w:color w:val="000000" w:themeColor="text1"/>
          <w:sz w:val="24"/>
          <w:szCs w:val="24"/>
          <w:rtl/>
          <w:lang w:bidi="ar-DZ"/>
        </w:rPr>
        <w:t>وفق</w:t>
      </w:r>
      <w:r w:rsidRPr="008D1804">
        <w:rPr>
          <w:rFonts w:ascii="Simplified Arabic" w:hAnsi="Simplified Arabic" w:cs="Simplified Arabic"/>
          <w:color w:val="000000" w:themeColor="text1"/>
          <w:sz w:val="24"/>
          <w:szCs w:val="24"/>
          <w:rtl/>
          <w:lang w:bidi="ar-DZ"/>
        </w:rPr>
        <w:t xml:space="preserve"> </w:t>
      </w:r>
      <w:r w:rsidR="00DF16EA">
        <w:rPr>
          <w:rFonts w:ascii="Simplified Arabic" w:hAnsi="Simplified Arabic" w:cs="Simplified Arabic" w:hint="cs"/>
          <w:color w:val="000000" w:themeColor="text1"/>
          <w:sz w:val="24"/>
          <w:szCs w:val="24"/>
          <w:rtl/>
          <w:lang w:bidi="ar-DZ"/>
        </w:rPr>
        <w:t>ا</w:t>
      </w:r>
      <w:r w:rsidRPr="008D1804">
        <w:rPr>
          <w:rFonts w:ascii="Simplified Arabic" w:hAnsi="Simplified Arabic" w:cs="Simplified Arabic" w:hint="cs"/>
          <w:color w:val="000000" w:themeColor="text1"/>
          <w:sz w:val="24"/>
          <w:szCs w:val="24"/>
          <w:rtl/>
          <w:lang w:bidi="ar-DZ"/>
        </w:rPr>
        <w:t>نم</w:t>
      </w:r>
      <w:r w:rsidR="00DF16EA">
        <w:rPr>
          <w:rFonts w:ascii="Simplified Arabic" w:hAnsi="Simplified Arabic" w:cs="Simplified Arabic" w:hint="cs"/>
          <w:color w:val="000000" w:themeColor="text1"/>
          <w:sz w:val="24"/>
          <w:szCs w:val="24"/>
          <w:rtl/>
          <w:lang w:bidi="ar-DZ"/>
        </w:rPr>
        <w:t>ا</w:t>
      </w:r>
      <w:r w:rsidRPr="008D1804">
        <w:rPr>
          <w:rFonts w:ascii="Simplified Arabic" w:hAnsi="Simplified Arabic" w:cs="Simplified Arabic" w:hint="cs"/>
          <w:color w:val="000000" w:themeColor="text1"/>
          <w:sz w:val="24"/>
          <w:szCs w:val="24"/>
          <w:rtl/>
          <w:lang w:bidi="ar-DZ"/>
        </w:rPr>
        <w:t xml:space="preserve">ط </w:t>
      </w:r>
      <w:r w:rsidR="00DF16EA">
        <w:rPr>
          <w:rFonts w:ascii="Simplified Arabic" w:hAnsi="Simplified Arabic" w:cs="Simplified Arabic" w:hint="cs"/>
          <w:color w:val="000000" w:themeColor="text1"/>
          <w:sz w:val="24"/>
          <w:szCs w:val="24"/>
          <w:rtl/>
          <w:lang w:bidi="ar-DZ"/>
        </w:rPr>
        <w:t>مختلفة ل</w:t>
      </w:r>
      <w:r w:rsidR="003337FD">
        <w:rPr>
          <w:rFonts w:ascii="Simplified Arabic" w:hAnsi="Simplified Arabic" w:cs="Simplified Arabic" w:hint="cs"/>
          <w:sz w:val="24"/>
          <w:szCs w:val="24"/>
          <w:rtl/>
        </w:rPr>
        <w:t>استعمال</w:t>
      </w:r>
      <w:r w:rsidR="00DF16EA">
        <w:rPr>
          <w:rFonts w:ascii="Simplified Arabic" w:hAnsi="Simplified Arabic" w:cs="Simplified Arabic" w:hint="cs"/>
          <w:sz w:val="24"/>
          <w:szCs w:val="24"/>
          <w:rtl/>
        </w:rPr>
        <w:t>ات</w:t>
      </w:r>
      <w:r w:rsidRPr="008D1804">
        <w:rPr>
          <w:rFonts w:ascii="Simplified Arabic" w:hAnsi="Simplified Arabic" w:cs="Simplified Arabic" w:hint="cs"/>
          <w:color w:val="000000" w:themeColor="text1"/>
          <w:sz w:val="24"/>
          <w:szCs w:val="24"/>
          <w:rtl/>
          <w:lang w:bidi="ar-DZ"/>
        </w:rPr>
        <w:t xml:space="preserve"> الأر</w:t>
      </w:r>
      <w:r w:rsidR="00DF16EA">
        <w:rPr>
          <w:rFonts w:ascii="Simplified Arabic" w:hAnsi="Simplified Arabic" w:cs="Simplified Arabic" w:hint="cs"/>
          <w:color w:val="000000" w:themeColor="text1"/>
          <w:sz w:val="24"/>
          <w:szCs w:val="24"/>
          <w:rtl/>
          <w:lang w:bidi="ar-DZ"/>
        </w:rPr>
        <w:t>ا</w:t>
      </w:r>
      <w:r w:rsidRPr="008D1804">
        <w:rPr>
          <w:rFonts w:ascii="Simplified Arabic" w:hAnsi="Simplified Arabic" w:cs="Simplified Arabic" w:hint="cs"/>
          <w:color w:val="000000" w:themeColor="text1"/>
          <w:sz w:val="24"/>
          <w:szCs w:val="24"/>
          <w:rtl/>
          <w:lang w:bidi="ar-DZ"/>
        </w:rPr>
        <w:t>ض</w:t>
      </w:r>
      <w:r w:rsidR="00DF16EA">
        <w:rPr>
          <w:rFonts w:ascii="Simplified Arabic" w:hAnsi="Simplified Arabic" w:cs="Simplified Arabic" w:hint="cs"/>
          <w:color w:val="000000" w:themeColor="text1"/>
          <w:sz w:val="24"/>
          <w:szCs w:val="24"/>
          <w:rtl/>
          <w:lang w:bidi="ar-DZ"/>
        </w:rPr>
        <w:t>ي الحضرية</w:t>
      </w:r>
      <w:r>
        <w:rPr>
          <w:rFonts w:ascii="Simplified Arabic" w:hAnsi="Simplified Arabic" w:cs="Simplified Arabic" w:hint="cs"/>
          <w:color w:val="000000" w:themeColor="text1"/>
          <w:sz w:val="24"/>
          <w:szCs w:val="24"/>
          <w:rtl/>
          <w:lang w:bidi="ar-DZ"/>
        </w:rPr>
        <w:t>.</w:t>
      </w:r>
    </w:p>
    <w:p w:rsidR="002A686B" w:rsidRPr="0089158C" w:rsidRDefault="002A686B" w:rsidP="00DF16EA">
      <w:pPr>
        <w:pStyle w:val="fegure"/>
        <w:spacing w:before="240"/>
        <w:rPr>
          <w:szCs w:val="24"/>
          <w:rtl/>
        </w:rPr>
      </w:pPr>
      <w:bookmarkStart w:id="797" w:name="_Toc157608356"/>
      <w:bookmarkStart w:id="798" w:name="_Toc171803780"/>
      <w:r w:rsidRPr="0089158C">
        <w:rPr>
          <w:rFonts w:hint="cs"/>
          <w:szCs w:val="24"/>
          <w:rtl/>
          <w:lang w:val="en-US"/>
        </w:rPr>
        <w:t xml:space="preserve">الشكل </w:t>
      </w:r>
      <w:r w:rsidRPr="0089158C">
        <w:rPr>
          <w:rFonts w:hint="cs"/>
          <w:szCs w:val="24"/>
          <w:rtl/>
        </w:rPr>
        <w:t>(6-</w:t>
      </w:r>
      <w:r w:rsidR="0089158C">
        <w:rPr>
          <w:rFonts w:hint="cs"/>
          <w:szCs w:val="24"/>
          <w:rtl/>
        </w:rPr>
        <w:t>5</w:t>
      </w:r>
      <w:r w:rsidRPr="0089158C">
        <w:rPr>
          <w:rFonts w:hint="cs"/>
          <w:szCs w:val="24"/>
          <w:rtl/>
        </w:rPr>
        <w:t>)</w:t>
      </w:r>
      <w:r w:rsidRPr="0089158C">
        <w:rPr>
          <w:szCs w:val="24"/>
          <w:rtl/>
        </w:rPr>
        <w:t>:</w:t>
      </w:r>
      <w:r w:rsidRPr="0089158C">
        <w:rPr>
          <w:rFonts w:hint="cs"/>
          <w:szCs w:val="24"/>
          <w:rtl/>
        </w:rPr>
        <w:t xml:space="preserve"> </w:t>
      </w:r>
      <w:r w:rsidR="00163AEE" w:rsidRPr="0089158C">
        <w:rPr>
          <w:rFonts w:hint="cs"/>
          <w:szCs w:val="24"/>
          <w:rtl/>
          <w:lang w:bidi="ar-DZ"/>
        </w:rPr>
        <w:t xml:space="preserve">تباين </w:t>
      </w:r>
      <w:r w:rsidRPr="0089158C">
        <w:rPr>
          <w:rFonts w:hint="cs"/>
          <w:szCs w:val="24"/>
          <w:rtl/>
          <w:lang w:bidi="ar-DZ"/>
        </w:rPr>
        <w:t>مستويات</w:t>
      </w:r>
      <w:r w:rsidRPr="0089158C">
        <w:rPr>
          <w:szCs w:val="24"/>
          <w:rtl/>
          <w:lang w:bidi="ar-DZ"/>
        </w:rPr>
        <w:t xml:space="preserve"> </w:t>
      </w:r>
      <w:r w:rsidRPr="0089158C">
        <w:rPr>
          <w:rFonts w:hint="cs"/>
          <w:szCs w:val="24"/>
          <w:rtl/>
          <w:lang w:bidi="ar-DZ"/>
        </w:rPr>
        <w:t xml:space="preserve">كثافة البناء </w:t>
      </w:r>
      <w:r w:rsidR="00DF16EA">
        <w:rPr>
          <w:rFonts w:hint="cs"/>
          <w:szCs w:val="24"/>
          <w:rtl/>
          <w:lang w:bidi="ar-DZ"/>
        </w:rPr>
        <w:t>و</w:t>
      </w:r>
      <w:r w:rsidRPr="0089158C">
        <w:rPr>
          <w:rFonts w:hint="cs"/>
          <w:szCs w:val="24"/>
          <w:rtl/>
        </w:rPr>
        <w:t>مستويات المرونة</w:t>
      </w:r>
      <w:bookmarkEnd w:id="797"/>
      <w:bookmarkEnd w:id="798"/>
    </w:p>
    <w:p w:rsidR="002A686B" w:rsidRPr="00621D65" w:rsidRDefault="002A686B" w:rsidP="002A686B">
      <w:pPr>
        <w:pStyle w:val="Default"/>
        <w:bidi/>
        <w:spacing w:line="276" w:lineRule="auto"/>
        <w:jc w:val="center"/>
        <w:rPr>
          <w:rFonts w:asciiTheme="majorBidi" w:eastAsia="Times New Roman" w:hAnsiTheme="majorBidi" w:cstheme="majorBidi"/>
          <w:b/>
          <w:bCs/>
          <w:rtl/>
          <w:lang w:val="en-US" w:eastAsia="fr-FR"/>
        </w:rPr>
      </w:pPr>
      <w:r w:rsidRPr="00621D65">
        <w:rPr>
          <w:rFonts w:ascii="Simplified Arabic" w:hAnsi="Simplified Arabic" w:cs="Simplified Arabic" w:hint="cs"/>
          <w:b/>
          <w:bCs/>
          <w:rtl/>
        </w:rPr>
        <w:t>المصدر:</w:t>
      </w:r>
      <w:r w:rsidRPr="00621D65">
        <w:rPr>
          <w:rFonts w:asciiTheme="majorBidi" w:eastAsia="Times New Roman" w:hAnsiTheme="majorBidi" w:cstheme="majorBidi"/>
          <w:b/>
          <w:bCs/>
          <w:rtl/>
          <w:lang w:val="en-US" w:eastAsia="fr-FR"/>
        </w:rPr>
        <w:t xml:space="preserve"> (</w:t>
      </w:r>
      <w:r w:rsidRPr="00621D65">
        <w:rPr>
          <w:rFonts w:asciiTheme="majorBidi" w:eastAsia="Times New Roman" w:hAnsiTheme="majorBidi" w:cstheme="majorBidi"/>
          <w:b/>
          <w:bCs/>
          <w:lang w:eastAsia="fr-FR"/>
        </w:rPr>
        <w:t>Sharifi et al., 2021</w:t>
      </w:r>
      <w:r w:rsidRPr="00621D65">
        <w:rPr>
          <w:rFonts w:asciiTheme="majorBidi" w:eastAsia="Times New Roman" w:hAnsiTheme="majorBidi" w:cstheme="majorBidi"/>
          <w:b/>
          <w:bCs/>
          <w:rtl/>
          <w:lang w:val="en-US" w:eastAsia="fr-FR"/>
        </w:rPr>
        <w:t>)</w:t>
      </w:r>
    </w:p>
    <w:p w:rsidR="002A686B" w:rsidRDefault="002A686B" w:rsidP="002A686B">
      <w:pPr>
        <w:pStyle w:val="Default"/>
        <w:bidi/>
        <w:spacing w:line="276" w:lineRule="auto"/>
        <w:jc w:val="center"/>
        <w:rPr>
          <w:rFonts w:asciiTheme="majorBidi" w:eastAsia="Times New Roman" w:hAnsiTheme="majorBidi" w:cstheme="majorBidi"/>
          <w:bCs/>
          <w:rtl/>
          <w:lang w:val="en-US" w:eastAsia="fr-FR"/>
        </w:rPr>
      </w:pPr>
      <w:r>
        <w:rPr>
          <w:noProof/>
          <w:lang w:eastAsia="fr-FR"/>
        </w:rPr>
        <w:drawing>
          <wp:inline distT="0" distB="0" distL="0" distR="0" wp14:anchorId="1BC1CF05" wp14:editId="752FB71C">
            <wp:extent cx="2715655" cy="3048965"/>
            <wp:effectExtent l="19050" t="19050" r="27940" b="18415"/>
            <wp:docPr id="172" name="Imag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4"/>
                    <a:stretch>
                      <a:fillRect/>
                    </a:stretch>
                  </pic:blipFill>
                  <pic:spPr>
                    <a:xfrm>
                      <a:off x="0" y="0"/>
                      <a:ext cx="2733747" cy="3069277"/>
                    </a:xfrm>
                    <a:prstGeom prst="rect">
                      <a:avLst/>
                    </a:prstGeom>
                    <a:ln w="6350">
                      <a:solidFill>
                        <a:schemeClr val="tx1"/>
                      </a:solidFill>
                    </a:ln>
                  </pic:spPr>
                </pic:pic>
              </a:graphicData>
            </a:graphic>
          </wp:inline>
        </w:drawing>
      </w:r>
    </w:p>
    <w:p w:rsidR="001423BA" w:rsidRDefault="002601B3" w:rsidP="00BD4569">
      <w:pPr>
        <w:bidi/>
        <w:spacing w:after="0"/>
        <w:ind w:firstLine="283"/>
        <w:jc w:val="both"/>
        <w:rPr>
          <w:rFonts w:ascii="Simplified Arabic" w:hAnsi="Simplified Arabic" w:cs="Simplified Arabic"/>
          <w:color w:val="000000" w:themeColor="text1"/>
          <w:sz w:val="24"/>
          <w:szCs w:val="24"/>
          <w:rtl/>
          <w:lang w:bidi="ar-DZ"/>
        </w:rPr>
      </w:pPr>
      <w:r>
        <w:rPr>
          <w:rFonts w:ascii="Simplified Arabic" w:hAnsi="Simplified Arabic" w:cs="Simplified Arabic" w:hint="cs"/>
          <w:color w:val="000000" w:themeColor="text1"/>
          <w:sz w:val="24"/>
          <w:szCs w:val="24"/>
          <w:rtl/>
          <w:lang w:bidi="ar-DZ"/>
        </w:rPr>
        <w:t>يمكن</w:t>
      </w:r>
      <w:r w:rsidR="001423BA">
        <w:rPr>
          <w:rFonts w:ascii="Simplified Arabic" w:hAnsi="Simplified Arabic" w:cs="Simplified Arabic" w:hint="cs"/>
          <w:color w:val="000000" w:themeColor="text1"/>
          <w:sz w:val="24"/>
          <w:szCs w:val="24"/>
          <w:rtl/>
          <w:lang w:bidi="ar-DZ"/>
        </w:rPr>
        <w:t xml:space="preserve"> تحد</w:t>
      </w:r>
      <w:r>
        <w:rPr>
          <w:rFonts w:ascii="Simplified Arabic" w:hAnsi="Simplified Arabic" w:cs="Simplified Arabic" w:hint="cs"/>
          <w:color w:val="000000" w:themeColor="text1"/>
          <w:sz w:val="24"/>
          <w:szCs w:val="24"/>
          <w:rtl/>
          <w:lang w:bidi="ar-DZ"/>
        </w:rPr>
        <w:t>ي</w:t>
      </w:r>
      <w:r w:rsidR="001423BA">
        <w:rPr>
          <w:rFonts w:ascii="Simplified Arabic" w:hAnsi="Simplified Arabic" w:cs="Simplified Arabic" w:hint="cs"/>
          <w:color w:val="000000" w:themeColor="text1"/>
          <w:sz w:val="24"/>
          <w:szCs w:val="24"/>
          <w:rtl/>
          <w:lang w:bidi="ar-DZ"/>
        </w:rPr>
        <w:t xml:space="preserve">د </w:t>
      </w:r>
      <w:r w:rsidR="001423BA" w:rsidRPr="00582395">
        <w:rPr>
          <w:rFonts w:ascii="Simplified Arabic" w:hAnsi="Simplified Arabic" w:cs="Simplified Arabic" w:hint="cs"/>
          <w:color w:val="000000" w:themeColor="text1"/>
          <w:sz w:val="24"/>
          <w:szCs w:val="24"/>
          <w:rtl/>
          <w:lang w:bidi="ar-DZ"/>
        </w:rPr>
        <w:t>كثافة</w:t>
      </w:r>
      <w:r w:rsidR="001423BA" w:rsidRPr="00582395">
        <w:rPr>
          <w:rFonts w:ascii="Simplified Arabic" w:hAnsi="Simplified Arabic" w:cs="Simplified Arabic"/>
          <w:color w:val="000000" w:themeColor="text1"/>
          <w:sz w:val="24"/>
          <w:szCs w:val="24"/>
          <w:rtl/>
          <w:lang w:bidi="ar-DZ"/>
        </w:rPr>
        <w:t xml:space="preserve"> </w:t>
      </w:r>
      <w:r w:rsidR="00FF26E7">
        <w:rPr>
          <w:rFonts w:ascii="Simplified Arabic" w:hAnsi="Simplified Arabic" w:cs="Simplified Arabic" w:hint="cs"/>
          <w:color w:val="000000" w:themeColor="text1"/>
          <w:sz w:val="24"/>
          <w:szCs w:val="24"/>
          <w:rtl/>
          <w:lang w:bidi="ar-DZ"/>
        </w:rPr>
        <w:t>المباني</w:t>
      </w:r>
      <w:r w:rsidR="001423BA" w:rsidRPr="00582395">
        <w:rPr>
          <w:rFonts w:ascii="Simplified Arabic" w:hAnsi="Simplified Arabic" w:cs="Simplified Arabic"/>
          <w:color w:val="000000" w:themeColor="text1"/>
          <w:sz w:val="24"/>
          <w:szCs w:val="24"/>
          <w:rtl/>
          <w:lang w:bidi="ar-DZ"/>
        </w:rPr>
        <w:t xml:space="preserve"> </w:t>
      </w:r>
      <w:r w:rsidR="00FF26E7" w:rsidRPr="00FA505F">
        <w:rPr>
          <w:rFonts w:ascii="Simplified Arabic" w:hAnsi="Simplified Arabic" w:cs="Simplified Arabic" w:hint="cs"/>
          <w:color w:val="000000" w:themeColor="text1"/>
          <w:sz w:val="24"/>
          <w:szCs w:val="24"/>
          <w:rtl/>
          <w:lang w:bidi="ar-DZ"/>
        </w:rPr>
        <w:t>التي</w:t>
      </w:r>
      <w:r w:rsidR="00FF26E7" w:rsidRPr="00FA505F">
        <w:rPr>
          <w:rFonts w:ascii="Simplified Arabic" w:hAnsi="Simplified Arabic" w:cs="Simplified Arabic"/>
          <w:color w:val="000000" w:themeColor="text1"/>
          <w:sz w:val="24"/>
          <w:szCs w:val="24"/>
          <w:rtl/>
          <w:lang w:bidi="ar-DZ"/>
        </w:rPr>
        <w:t xml:space="preserve"> </w:t>
      </w:r>
      <w:r w:rsidR="00FF26E7" w:rsidRPr="00FA505F">
        <w:rPr>
          <w:rFonts w:ascii="Simplified Arabic" w:hAnsi="Simplified Arabic" w:cs="Simplified Arabic" w:hint="cs"/>
          <w:color w:val="000000" w:themeColor="text1"/>
          <w:sz w:val="24"/>
          <w:szCs w:val="24"/>
          <w:rtl/>
          <w:lang w:bidi="ar-DZ"/>
        </w:rPr>
        <w:t>يمكن</w:t>
      </w:r>
      <w:r w:rsidR="00FF26E7" w:rsidRPr="00FA505F">
        <w:rPr>
          <w:rFonts w:ascii="Simplified Arabic" w:hAnsi="Simplified Arabic" w:cs="Simplified Arabic"/>
          <w:color w:val="000000" w:themeColor="text1"/>
          <w:sz w:val="24"/>
          <w:szCs w:val="24"/>
          <w:rtl/>
          <w:lang w:bidi="ar-DZ"/>
        </w:rPr>
        <w:t xml:space="preserve"> </w:t>
      </w:r>
      <w:r w:rsidR="00FF26E7" w:rsidRPr="00FA505F">
        <w:rPr>
          <w:rFonts w:ascii="Simplified Arabic" w:hAnsi="Simplified Arabic" w:cs="Simplified Arabic" w:hint="cs"/>
          <w:color w:val="000000" w:themeColor="text1"/>
          <w:sz w:val="24"/>
          <w:szCs w:val="24"/>
          <w:rtl/>
          <w:lang w:bidi="ar-DZ"/>
        </w:rPr>
        <w:t>الوصول</w:t>
      </w:r>
      <w:r w:rsidR="00FF26E7" w:rsidRPr="00FA505F">
        <w:rPr>
          <w:rFonts w:ascii="Simplified Arabic" w:hAnsi="Simplified Arabic" w:cs="Simplified Arabic"/>
          <w:color w:val="000000" w:themeColor="text1"/>
          <w:sz w:val="24"/>
          <w:szCs w:val="24"/>
          <w:rtl/>
          <w:lang w:bidi="ar-DZ"/>
        </w:rPr>
        <w:t xml:space="preserve"> </w:t>
      </w:r>
      <w:r w:rsidR="00FF26E7" w:rsidRPr="00FA505F">
        <w:rPr>
          <w:rFonts w:ascii="Simplified Arabic" w:hAnsi="Simplified Arabic" w:cs="Simplified Arabic" w:hint="cs"/>
          <w:color w:val="000000" w:themeColor="text1"/>
          <w:sz w:val="24"/>
          <w:szCs w:val="24"/>
          <w:rtl/>
          <w:lang w:bidi="ar-DZ"/>
        </w:rPr>
        <w:t>إليها</w:t>
      </w:r>
      <w:r w:rsidR="00FF26E7" w:rsidRPr="00FA505F">
        <w:rPr>
          <w:rFonts w:ascii="Simplified Arabic" w:hAnsi="Simplified Arabic" w:cs="Simplified Arabic"/>
          <w:color w:val="000000" w:themeColor="text1"/>
          <w:sz w:val="24"/>
          <w:szCs w:val="24"/>
          <w:rtl/>
          <w:lang w:bidi="ar-DZ"/>
        </w:rPr>
        <w:t xml:space="preserve"> </w:t>
      </w:r>
      <w:r w:rsidR="0027472C">
        <w:rPr>
          <w:rFonts w:ascii="Simplified Arabic" w:hAnsi="Simplified Arabic" w:cs="Simplified Arabic" w:hint="cs"/>
          <w:color w:val="000000" w:themeColor="text1"/>
          <w:sz w:val="24"/>
          <w:szCs w:val="24"/>
          <w:rtl/>
          <w:lang w:bidi="ar-DZ"/>
        </w:rPr>
        <w:t xml:space="preserve">من خلال </w:t>
      </w:r>
      <w:r w:rsidR="001423BA" w:rsidRPr="00582395">
        <w:rPr>
          <w:rFonts w:ascii="Simplified Arabic" w:hAnsi="Simplified Arabic" w:cs="Simplified Arabic" w:hint="cs"/>
          <w:color w:val="000000" w:themeColor="text1"/>
          <w:sz w:val="24"/>
          <w:szCs w:val="24"/>
          <w:rtl/>
          <w:lang w:bidi="ar-DZ"/>
        </w:rPr>
        <w:t>مقياس</w:t>
      </w:r>
      <w:r w:rsidR="001423BA" w:rsidRPr="00582395">
        <w:rPr>
          <w:rFonts w:ascii="Simplified Arabic" w:hAnsi="Simplified Arabic" w:cs="Simplified Arabic"/>
          <w:color w:val="000000" w:themeColor="text1"/>
          <w:sz w:val="24"/>
          <w:szCs w:val="24"/>
          <w:rtl/>
          <w:lang w:bidi="ar-DZ"/>
        </w:rPr>
        <w:t xml:space="preserve"> </w:t>
      </w:r>
      <w:r w:rsidR="00DF4D58" w:rsidRPr="00582395">
        <w:rPr>
          <w:rFonts w:ascii="Simplified Arabic" w:hAnsi="Simplified Arabic" w:cs="Simplified Arabic" w:hint="cs"/>
          <w:color w:val="000000" w:themeColor="text1"/>
          <w:sz w:val="24"/>
          <w:szCs w:val="24"/>
          <w:rtl/>
          <w:lang w:bidi="ar-DZ"/>
        </w:rPr>
        <w:t xml:space="preserve">النسبة بين </w:t>
      </w:r>
      <w:r w:rsidR="00BD4569">
        <w:rPr>
          <w:rFonts w:ascii="Simplified Arabic" w:hAnsi="Simplified Arabic" w:cs="Simplified Arabic" w:hint="cs"/>
          <w:color w:val="000000" w:themeColor="text1"/>
          <w:sz w:val="24"/>
          <w:szCs w:val="24"/>
          <w:rtl/>
          <w:lang w:bidi="ar-DZ"/>
        </w:rPr>
        <w:t>ال</w:t>
      </w:r>
      <w:r w:rsidR="001423BA" w:rsidRPr="00FA505F">
        <w:rPr>
          <w:rFonts w:ascii="Simplified Arabic" w:hAnsi="Simplified Arabic" w:cs="Simplified Arabic" w:hint="cs"/>
          <w:color w:val="000000" w:themeColor="text1"/>
          <w:sz w:val="24"/>
          <w:szCs w:val="24"/>
          <w:rtl/>
          <w:lang w:bidi="ar-DZ"/>
        </w:rPr>
        <w:t>مسافة</w:t>
      </w:r>
      <w:r w:rsidR="001423BA" w:rsidRPr="00FA505F">
        <w:rPr>
          <w:rFonts w:ascii="Simplified Arabic" w:hAnsi="Simplified Arabic" w:cs="Simplified Arabic"/>
          <w:color w:val="000000" w:themeColor="text1"/>
          <w:sz w:val="24"/>
          <w:szCs w:val="24"/>
          <w:rtl/>
          <w:lang w:bidi="ar-DZ"/>
        </w:rPr>
        <w:t xml:space="preserve"> </w:t>
      </w:r>
      <w:r w:rsidR="00BD4569">
        <w:rPr>
          <w:rFonts w:ascii="Simplified Arabic" w:hAnsi="Simplified Arabic" w:cs="Simplified Arabic" w:hint="cs"/>
          <w:color w:val="000000" w:themeColor="text1"/>
          <w:sz w:val="24"/>
          <w:szCs w:val="24"/>
          <w:rtl/>
          <w:lang w:bidi="ar-DZ"/>
        </w:rPr>
        <w:t>ال</w:t>
      </w:r>
      <w:r w:rsidR="001423BA" w:rsidRPr="00FA505F">
        <w:rPr>
          <w:rFonts w:ascii="Simplified Arabic" w:hAnsi="Simplified Arabic" w:cs="Simplified Arabic" w:hint="cs"/>
          <w:color w:val="000000" w:themeColor="text1"/>
          <w:sz w:val="24"/>
          <w:szCs w:val="24"/>
          <w:rtl/>
          <w:lang w:bidi="ar-DZ"/>
        </w:rPr>
        <w:t>مترية</w:t>
      </w:r>
      <w:r w:rsidR="001423BA" w:rsidRPr="00FA505F">
        <w:rPr>
          <w:rFonts w:ascii="Simplified Arabic" w:hAnsi="Simplified Arabic" w:cs="Simplified Arabic"/>
          <w:color w:val="000000" w:themeColor="text1"/>
          <w:sz w:val="24"/>
          <w:szCs w:val="24"/>
          <w:rtl/>
          <w:lang w:bidi="ar-DZ"/>
        </w:rPr>
        <w:t xml:space="preserve"> </w:t>
      </w:r>
      <w:r w:rsidR="00BD4569">
        <w:rPr>
          <w:rFonts w:ascii="Simplified Arabic" w:hAnsi="Simplified Arabic" w:cs="Simplified Arabic" w:hint="cs"/>
          <w:color w:val="000000" w:themeColor="text1"/>
          <w:sz w:val="24"/>
          <w:szCs w:val="24"/>
          <w:rtl/>
          <w:lang w:bidi="ar-DZ"/>
        </w:rPr>
        <w:t>ال</w:t>
      </w:r>
      <w:r w:rsidR="001423BA" w:rsidRPr="00FA505F">
        <w:rPr>
          <w:rFonts w:ascii="Simplified Arabic" w:hAnsi="Simplified Arabic" w:cs="Simplified Arabic" w:hint="cs"/>
          <w:color w:val="000000" w:themeColor="text1"/>
          <w:sz w:val="24"/>
          <w:szCs w:val="24"/>
          <w:rtl/>
          <w:lang w:bidi="ar-DZ"/>
        </w:rPr>
        <w:t>محددة</w:t>
      </w:r>
      <w:r w:rsidR="001423BA" w:rsidRPr="00FA505F">
        <w:rPr>
          <w:rFonts w:ascii="Simplified Arabic" w:hAnsi="Simplified Arabic" w:cs="Simplified Arabic"/>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من</w:t>
      </w:r>
      <w:r w:rsidR="001423BA" w:rsidRPr="00FA505F">
        <w:rPr>
          <w:rFonts w:ascii="Simplified Arabic" w:hAnsi="Simplified Arabic" w:cs="Simplified Arabic"/>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قبل</w:t>
      </w:r>
      <w:r w:rsidR="001423BA" w:rsidRPr="00FA505F">
        <w:rPr>
          <w:rFonts w:ascii="Simplified Arabic" w:hAnsi="Simplified Arabic" w:cs="Simplified Arabic"/>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المستخدم</w:t>
      </w:r>
      <w:r w:rsidR="001423BA" w:rsidRPr="00FA505F">
        <w:rPr>
          <w:rFonts w:ascii="Simplified Arabic" w:hAnsi="Simplified Arabic" w:cs="Simplified Arabic"/>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محسوبة</w:t>
      </w:r>
      <w:r w:rsidR="001423BA" w:rsidRPr="00FA505F">
        <w:rPr>
          <w:rFonts w:ascii="Simplified Arabic" w:hAnsi="Simplified Arabic" w:cs="Simplified Arabic"/>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على</w:t>
      </w:r>
      <w:r w:rsidR="001423BA" w:rsidRPr="00FA505F">
        <w:rPr>
          <w:rFonts w:ascii="Simplified Arabic" w:hAnsi="Simplified Arabic" w:cs="Simplified Arabic"/>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شبكة</w:t>
      </w:r>
      <w:r w:rsidR="001423BA" w:rsidRPr="00FA505F">
        <w:rPr>
          <w:rFonts w:ascii="Simplified Arabic" w:hAnsi="Simplified Arabic" w:cs="Simplified Arabic"/>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الشوارع</w:t>
      </w:r>
      <w:r w:rsidR="001423BA" w:rsidRPr="00FA505F">
        <w:rPr>
          <w:rFonts w:ascii="Simplified Arabic" w:hAnsi="Simplified Arabic" w:cs="Simplified Arabic"/>
          <w:color w:val="000000" w:themeColor="text1"/>
          <w:sz w:val="24"/>
          <w:szCs w:val="24"/>
          <w:rtl/>
          <w:lang w:bidi="ar-DZ"/>
        </w:rPr>
        <w:t xml:space="preserve"> </w:t>
      </w:r>
      <w:r w:rsidR="00D23D78">
        <w:rPr>
          <w:rFonts w:ascii="Simplified Arabic" w:hAnsi="Simplified Arabic" w:cs="Simplified Arabic" w:hint="cs"/>
          <w:color w:val="000000" w:themeColor="text1"/>
          <w:sz w:val="24"/>
          <w:szCs w:val="24"/>
          <w:rtl/>
          <w:lang w:bidi="ar-DZ"/>
        </w:rPr>
        <w:t>(</w:t>
      </w:r>
      <w:r w:rsidR="00D23D78" w:rsidRPr="00D23D78">
        <w:rPr>
          <w:rFonts w:ascii="Simplified Arabic" w:hAnsi="Simplified Arabic" w:cs="Simplified Arabic" w:hint="cs"/>
          <w:color w:val="000000" w:themeColor="text1"/>
          <w:sz w:val="24"/>
          <w:szCs w:val="24"/>
          <w:rtl/>
          <w:lang w:bidi="ar-DZ"/>
        </w:rPr>
        <w:t>المشاة</w:t>
      </w:r>
      <w:r w:rsidR="00D23D78">
        <w:rPr>
          <w:rFonts w:ascii="Simplified Arabic" w:hAnsi="Simplified Arabic" w:cs="Simplified Arabic" w:hint="cs"/>
          <w:color w:val="000000" w:themeColor="text1"/>
          <w:sz w:val="24"/>
          <w:szCs w:val="24"/>
          <w:rtl/>
          <w:lang w:bidi="ar-DZ"/>
        </w:rPr>
        <w:t xml:space="preserve">) </w:t>
      </w:r>
      <w:r w:rsidR="001423BA" w:rsidRPr="00FA505F">
        <w:rPr>
          <w:rFonts w:ascii="Simplified Arabic" w:hAnsi="Simplified Arabic" w:cs="Simplified Arabic" w:hint="cs"/>
          <w:color w:val="000000" w:themeColor="text1"/>
          <w:sz w:val="24"/>
          <w:szCs w:val="24"/>
          <w:rtl/>
          <w:lang w:bidi="ar-DZ"/>
        </w:rPr>
        <w:t>إلى</w:t>
      </w:r>
      <w:r w:rsidR="001423BA" w:rsidRPr="00FA505F">
        <w:rPr>
          <w:rFonts w:ascii="Simplified Arabic" w:hAnsi="Simplified Arabic" w:cs="Simplified Arabic"/>
          <w:color w:val="000000" w:themeColor="text1"/>
          <w:sz w:val="24"/>
          <w:szCs w:val="24"/>
          <w:rtl/>
          <w:lang w:bidi="ar-DZ"/>
        </w:rPr>
        <w:t xml:space="preserve"> </w:t>
      </w:r>
      <w:r w:rsidR="00BD4569">
        <w:rPr>
          <w:rFonts w:ascii="Simplified Arabic" w:hAnsi="Simplified Arabic" w:cs="Simplified Arabic" w:hint="cs"/>
          <w:color w:val="000000" w:themeColor="text1"/>
          <w:sz w:val="24"/>
          <w:szCs w:val="24"/>
          <w:rtl/>
          <w:lang w:bidi="ar-DZ"/>
        </w:rPr>
        <w:t>المسافة</w:t>
      </w:r>
      <w:r w:rsidR="001423BA" w:rsidRPr="00FA505F">
        <w:rPr>
          <w:rFonts w:ascii="Simplified Arabic" w:hAnsi="Simplified Arabic" w:cs="Simplified Arabic"/>
          <w:color w:val="000000" w:themeColor="text1"/>
          <w:sz w:val="24"/>
          <w:szCs w:val="24"/>
          <w:rtl/>
          <w:lang w:bidi="ar-DZ"/>
        </w:rPr>
        <w:t xml:space="preserve"> </w:t>
      </w:r>
      <w:r w:rsidR="00BD4569">
        <w:rPr>
          <w:rFonts w:ascii="Simplified Arabic" w:hAnsi="Simplified Arabic" w:cs="Simplified Arabic" w:hint="cs"/>
          <w:color w:val="000000" w:themeColor="text1"/>
          <w:sz w:val="24"/>
          <w:szCs w:val="24"/>
          <w:rtl/>
          <w:lang w:bidi="ar-DZ"/>
        </w:rPr>
        <w:t>ال</w:t>
      </w:r>
      <w:r w:rsidR="001423BA" w:rsidRPr="00FA505F">
        <w:rPr>
          <w:rFonts w:ascii="Simplified Arabic" w:hAnsi="Simplified Arabic" w:cs="Simplified Arabic" w:hint="cs"/>
          <w:color w:val="000000" w:themeColor="text1"/>
          <w:sz w:val="24"/>
          <w:szCs w:val="24"/>
          <w:rtl/>
          <w:lang w:bidi="ar-DZ"/>
        </w:rPr>
        <w:t>محسوبة</w:t>
      </w:r>
      <w:r w:rsidR="001423BA" w:rsidRPr="00FA505F">
        <w:rPr>
          <w:rFonts w:ascii="Simplified Arabic" w:hAnsi="Simplified Arabic" w:cs="Simplified Arabic"/>
          <w:color w:val="000000" w:themeColor="text1"/>
          <w:sz w:val="24"/>
          <w:szCs w:val="24"/>
          <w:rtl/>
          <w:lang w:bidi="ar-DZ"/>
        </w:rPr>
        <w:t xml:space="preserve"> </w:t>
      </w:r>
      <w:r w:rsidR="001423BA">
        <w:rPr>
          <w:rFonts w:ascii="Simplified Arabic" w:hAnsi="Simplified Arabic" w:cs="Simplified Arabic" w:hint="cs"/>
          <w:color w:val="000000" w:themeColor="text1"/>
          <w:sz w:val="24"/>
          <w:szCs w:val="24"/>
          <w:rtl/>
          <w:lang w:bidi="ar-DZ"/>
        </w:rPr>
        <w:t>اقليديا</w:t>
      </w:r>
      <w:r w:rsidR="00BD4569">
        <w:rPr>
          <w:rFonts w:ascii="Simplified Arabic" w:hAnsi="Simplified Arabic" w:cs="Simplified Arabic" w:hint="cs"/>
          <w:color w:val="000000" w:themeColor="text1"/>
          <w:sz w:val="24"/>
          <w:szCs w:val="24"/>
          <w:rtl/>
          <w:lang w:bidi="ar-DZ"/>
        </w:rPr>
        <w:t>،</w:t>
      </w:r>
      <w:r w:rsidR="00BD4569" w:rsidRPr="00BD4569">
        <w:rPr>
          <w:rFonts w:ascii="Simplified Arabic" w:hAnsi="Simplified Arabic" w:cs="Simplified Arabic" w:hint="cs"/>
          <w:color w:val="000000" w:themeColor="text1"/>
          <w:sz w:val="24"/>
          <w:szCs w:val="24"/>
          <w:rtl/>
          <w:lang w:bidi="ar-DZ"/>
        </w:rPr>
        <w:t xml:space="preserve"> </w:t>
      </w:r>
      <w:r w:rsidR="00BD4569" w:rsidRPr="00FA505F">
        <w:rPr>
          <w:rFonts w:ascii="Simplified Arabic" w:hAnsi="Simplified Arabic" w:cs="Simplified Arabic" w:hint="cs"/>
          <w:color w:val="000000" w:themeColor="text1"/>
          <w:sz w:val="24"/>
          <w:szCs w:val="24"/>
          <w:rtl/>
          <w:lang w:bidi="ar-DZ"/>
        </w:rPr>
        <w:t>ضمن</w:t>
      </w:r>
      <w:r w:rsidR="00BD4569" w:rsidRPr="00FA505F">
        <w:rPr>
          <w:rFonts w:ascii="Simplified Arabic" w:hAnsi="Simplified Arabic" w:cs="Simplified Arabic"/>
          <w:color w:val="000000" w:themeColor="text1"/>
          <w:sz w:val="24"/>
          <w:szCs w:val="24"/>
          <w:rtl/>
          <w:lang w:bidi="ar-DZ"/>
        </w:rPr>
        <w:t xml:space="preserve"> </w:t>
      </w:r>
      <w:r w:rsidR="00BD4569" w:rsidRPr="00FA505F">
        <w:rPr>
          <w:rFonts w:ascii="Simplified Arabic" w:hAnsi="Simplified Arabic" w:cs="Simplified Arabic" w:hint="cs"/>
          <w:color w:val="000000" w:themeColor="text1"/>
          <w:sz w:val="24"/>
          <w:szCs w:val="24"/>
          <w:rtl/>
          <w:lang w:bidi="ar-DZ"/>
        </w:rPr>
        <w:t>نفس</w:t>
      </w:r>
      <w:r w:rsidR="00BD4569" w:rsidRPr="00FA505F">
        <w:rPr>
          <w:rFonts w:ascii="Simplified Arabic" w:hAnsi="Simplified Arabic" w:cs="Simplified Arabic"/>
          <w:color w:val="000000" w:themeColor="text1"/>
          <w:sz w:val="24"/>
          <w:szCs w:val="24"/>
          <w:rtl/>
          <w:lang w:bidi="ar-DZ"/>
        </w:rPr>
        <w:t xml:space="preserve"> </w:t>
      </w:r>
      <w:r w:rsidR="00BD4569">
        <w:rPr>
          <w:rFonts w:ascii="Simplified Arabic" w:hAnsi="Simplified Arabic" w:cs="Simplified Arabic" w:hint="cs"/>
          <w:color w:val="000000" w:themeColor="text1"/>
          <w:sz w:val="24"/>
          <w:szCs w:val="24"/>
          <w:rtl/>
          <w:lang w:bidi="ar-DZ"/>
        </w:rPr>
        <w:t>الحيز</w:t>
      </w:r>
      <w:r w:rsidR="001423BA" w:rsidRPr="00BA686F">
        <w:rPr>
          <w:rFonts w:ascii="Simplified Arabic" w:hAnsi="Simplified Arabic" w:cs="Simplified Arabic" w:hint="cs"/>
          <w:color w:val="000000" w:themeColor="text1"/>
          <w:sz w:val="24"/>
          <w:szCs w:val="24"/>
          <w:rtl/>
          <w:lang w:bidi="ar-DZ"/>
        </w:rPr>
        <w:t>، الشكل (6-</w:t>
      </w:r>
      <w:r w:rsidR="00B24A3A" w:rsidRPr="00BA686F">
        <w:rPr>
          <w:rFonts w:ascii="Simplified Arabic" w:hAnsi="Simplified Arabic" w:cs="Simplified Arabic"/>
          <w:color w:val="000000" w:themeColor="text1"/>
          <w:sz w:val="24"/>
          <w:szCs w:val="24"/>
          <w:lang w:bidi="ar-DZ"/>
        </w:rPr>
        <w:t>6</w:t>
      </w:r>
      <w:r w:rsidR="001423BA" w:rsidRPr="00BA686F">
        <w:rPr>
          <w:rFonts w:ascii="Simplified Arabic" w:hAnsi="Simplified Arabic" w:cs="Simplified Arabic" w:hint="cs"/>
          <w:color w:val="000000" w:themeColor="text1"/>
          <w:sz w:val="24"/>
          <w:szCs w:val="24"/>
          <w:rtl/>
          <w:lang w:bidi="ar-DZ"/>
        </w:rPr>
        <w:t>)</w:t>
      </w:r>
      <w:r w:rsidR="001423BA" w:rsidRPr="008D1804">
        <w:rPr>
          <w:rFonts w:ascii="Simplified Arabic" w:hAnsi="Simplified Arabic" w:cs="Simplified Arabic" w:hint="cs"/>
          <w:color w:val="000000" w:themeColor="text1"/>
          <w:sz w:val="24"/>
          <w:szCs w:val="24"/>
          <w:rtl/>
          <w:lang w:bidi="ar-DZ"/>
        </w:rPr>
        <w:t>.</w:t>
      </w:r>
      <w:r w:rsidR="00D23D78" w:rsidRPr="00D23D78">
        <w:rPr>
          <w:rFonts w:ascii="Simplified Arabic" w:hAnsi="Simplified Arabic" w:cs="Simplified Arabic" w:hint="cs"/>
          <w:color w:val="000000" w:themeColor="text1"/>
          <w:sz w:val="24"/>
          <w:szCs w:val="24"/>
          <w:rtl/>
          <w:lang w:bidi="ar-DZ"/>
        </w:rPr>
        <w:t xml:space="preserve"> </w:t>
      </w:r>
    </w:p>
    <w:p w:rsidR="00D67836" w:rsidRPr="008D1804" w:rsidRDefault="00D67836" w:rsidP="00D67836">
      <w:pPr>
        <w:bidi/>
        <w:spacing w:after="0"/>
        <w:ind w:firstLine="283"/>
        <w:jc w:val="both"/>
        <w:rPr>
          <w:rtl/>
          <w:lang w:bidi="ar-DZ"/>
        </w:rPr>
      </w:pPr>
      <w:r w:rsidRPr="00582395">
        <w:rPr>
          <w:rFonts w:ascii="Simplified Arabic" w:hAnsi="Simplified Arabic" w:cs="Simplified Arabic" w:hint="cs"/>
          <w:color w:val="000000" w:themeColor="text1"/>
          <w:sz w:val="24"/>
          <w:szCs w:val="24"/>
          <w:rtl/>
          <w:lang w:bidi="ar-DZ"/>
        </w:rPr>
        <w:t>تتم طريقة حساب المسافة باستخدام العلاقة التالية</w:t>
      </w:r>
      <w:r w:rsidRPr="00582395">
        <w:rPr>
          <w:rFonts w:ascii="Simplified Arabic" w:hAnsi="Simplified Arabic" w:cs="Simplified Arabic" w:hint="cs"/>
          <w:sz w:val="24"/>
          <w:szCs w:val="24"/>
          <w:rtl/>
          <w:lang w:bidi="ar-DZ"/>
        </w:rPr>
        <w:t xml:space="preserve"> </w:t>
      </w:r>
      <w:r w:rsidRPr="00582395">
        <w:rPr>
          <w:rFonts w:asciiTheme="majorBidi" w:hAnsiTheme="majorBidi" w:cstheme="majorBidi"/>
          <w:sz w:val="24"/>
          <w:szCs w:val="24"/>
          <w:lang w:bidi="ar-DZ"/>
        </w:rPr>
        <w:t>(Li, 2018)</w:t>
      </w:r>
      <w:r w:rsidRPr="00582395">
        <w:rPr>
          <w:rFonts w:ascii="Simplified Arabic" w:hAnsi="Simplified Arabic" w:cs="Simplified Arabic" w:hint="cs"/>
          <w:sz w:val="24"/>
          <w:szCs w:val="24"/>
          <w:rtl/>
          <w:lang w:bidi="ar-DZ"/>
        </w:rPr>
        <w:t>:</w:t>
      </w:r>
    </w:p>
    <w:p w:rsidR="00D67836" w:rsidRPr="004A3470" w:rsidRDefault="00D67836" w:rsidP="00D67836">
      <w:pPr>
        <w:tabs>
          <w:tab w:val="right" w:pos="-1"/>
        </w:tabs>
        <w:bidi/>
        <w:ind w:left="-1" w:firstLine="283"/>
        <w:jc w:val="both"/>
        <w:rPr>
          <w:rFonts w:ascii="Simplified Arabic" w:eastAsiaTheme="minorEastAsia" w:hAnsi="Simplified Arabic" w:cs="Simplified Arabic"/>
          <w:iCs/>
          <w:sz w:val="24"/>
          <w:szCs w:val="24"/>
          <w:rtl/>
          <w:lang w:bidi="ar-DZ"/>
        </w:rPr>
      </w:pPr>
      <m:oMathPara>
        <m:oMath>
          <m:r>
            <m:rPr>
              <m:sty m:val="p"/>
            </m:rPr>
            <w:rPr>
              <w:rFonts w:ascii="Cambria Math" w:hAnsi="Cambria Math" w:cstheme="majorBidi"/>
              <w:sz w:val="24"/>
              <w:szCs w:val="24"/>
              <w:lang w:val="en-US" w:bidi="ar-DZ"/>
            </w:rPr>
            <m:t>Dist(p,q)=</m:t>
          </m:r>
          <m:rad>
            <m:radPr>
              <m:degHide m:val="1"/>
              <m:ctrlPr>
                <w:rPr>
                  <w:rFonts w:ascii="Cambria Math" w:hAnsi="Cambria Math" w:cstheme="majorBidi"/>
                  <w:iCs/>
                  <w:sz w:val="24"/>
                  <w:szCs w:val="24"/>
                  <w:lang w:bidi="ar-DZ"/>
                </w:rPr>
              </m:ctrlPr>
            </m:radPr>
            <m:deg/>
            <m:e>
              <m:sSup>
                <m:sSupPr>
                  <m:ctrlPr>
                    <w:rPr>
                      <w:rFonts w:ascii="Cambria Math" w:hAnsi="Cambria Math" w:cstheme="majorBidi"/>
                      <w:iCs/>
                      <w:sz w:val="24"/>
                      <w:szCs w:val="24"/>
                      <w:lang w:bidi="ar-DZ"/>
                    </w:rPr>
                  </m:ctrlPr>
                </m:sSupPr>
                <m:e>
                  <m:r>
                    <m:rPr>
                      <m:sty m:val="p"/>
                    </m:rP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x</m:t>
                      </m:r>
                    </m:e>
                    <m:sub>
                      <m:r>
                        <w:rPr>
                          <w:rFonts w:ascii="Cambria Math" w:hAnsi="Cambria Math" w:cstheme="majorBidi"/>
                          <w:sz w:val="24"/>
                          <w:szCs w:val="24"/>
                          <w:lang w:bidi="ar-DZ"/>
                        </w:rPr>
                        <m:t>p</m:t>
                      </m:r>
                    </m:sub>
                  </m:sSub>
                  <m: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x</m:t>
                      </m:r>
                    </m:e>
                    <m:sub>
                      <m:r>
                        <w:rPr>
                          <w:rFonts w:ascii="Cambria Math" w:hAnsi="Cambria Math" w:cstheme="majorBidi"/>
                          <w:sz w:val="24"/>
                          <w:szCs w:val="24"/>
                          <w:lang w:bidi="ar-DZ"/>
                        </w:rPr>
                        <m:t>q</m:t>
                      </m:r>
                    </m:sub>
                  </m:sSub>
                  <m:r>
                    <w:rPr>
                      <w:rFonts w:ascii="Cambria Math" w:hAnsi="Cambria Math" w:cstheme="majorBidi"/>
                      <w:sz w:val="24"/>
                      <w:szCs w:val="24"/>
                      <w:lang w:bidi="ar-DZ"/>
                    </w:rPr>
                    <m:t>)</m:t>
                  </m:r>
                </m:e>
                <m:sup>
                  <m:r>
                    <m:rPr>
                      <m:sty m:val="p"/>
                    </m:rPr>
                    <w:rPr>
                      <w:rFonts w:ascii="Cambria Math" w:hAnsi="Cambria Math" w:cstheme="majorBidi"/>
                      <w:sz w:val="24"/>
                      <w:szCs w:val="24"/>
                      <w:lang w:bidi="ar-DZ"/>
                    </w:rPr>
                    <m:t>2</m:t>
                  </m:r>
                </m:sup>
              </m:sSup>
              <m:r>
                <m:rPr>
                  <m:sty m:val="p"/>
                </m:rPr>
                <w:rPr>
                  <w:rFonts w:ascii="Cambria Math" w:hAnsi="Cambria Math" w:cstheme="majorBidi"/>
                  <w:sz w:val="24"/>
                  <w:szCs w:val="24"/>
                  <w:lang w:bidi="ar-DZ"/>
                </w:rPr>
                <m:t>+</m:t>
              </m:r>
              <m:sSup>
                <m:sSupPr>
                  <m:ctrlPr>
                    <w:rPr>
                      <w:rFonts w:ascii="Cambria Math" w:hAnsi="Cambria Math" w:cstheme="majorBidi"/>
                      <w:iCs/>
                      <w:sz w:val="24"/>
                      <w:szCs w:val="24"/>
                      <w:lang w:bidi="ar-DZ"/>
                    </w:rPr>
                  </m:ctrlPr>
                </m:sSupPr>
                <m:e>
                  <m:r>
                    <m:rPr>
                      <m:sty m:val="p"/>
                    </m:rP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y</m:t>
                      </m:r>
                    </m:e>
                    <m:sub>
                      <m:r>
                        <w:rPr>
                          <w:rFonts w:ascii="Cambria Math" w:hAnsi="Cambria Math" w:cstheme="majorBidi"/>
                          <w:sz w:val="24"/>
                          <w:szCs w:val="24"/>
                          <w:lang w:bidi="ar-DZ"/>
                        </w:rPr>
                        <m:t>p</m:t>
                      </m:r>
                    </m:sub>
                  </m:sSub>
                  <m: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y</m:t>
                      </m:r>
                    </m:e>
                    <m:sub>
                      <m:r>
                        <w:rPr>
                          <w:rFonts w:ascii="Cambria Math" w:hAnsi="Cambria Math" w:cstheme="majorBidi"/>
                          <w:sz w:val="24"/>
                          <w:szCs w:val="24"/>
                          <w:lang w:bidi="ar-DZ"/>
                        </w:rPr>
                        <m:t>q</m:t>
                      </m:r>
                    </m:sub>
                  </m:sSub>
                  <m:r>
                    <w:rPr>
                      <w:rFonts w:ascii="Cambria Math" w:hAnsi="Cambria Math" w:cstheme="majorBidi"/>
                      <w:sz w:val="24"/>
                      <w:szCs w:val="24"/>
                      <w:lang w:bidi="ar-DZ"/>
                    </w:rPr>
                    <m:t>)</m:t>
                  </m:r>
                </m:e>
                <m:sup>
                  <m:r>
                    <m:rPr>
                      <m:sty m:val="p"/>
                    </m:rPr>
                    <w:rPr>
                      <w:rFonts w:ascii="Cambria Math" w:hAnsi="Cambria Math" w:cstheme="majorBidi"/>
                      <w:sz w:val="24"/>
                      <w:szCs w:val="24"/>
                      <w:lang w:bidi="ar-DZ"/>
                    </w:rPr>
                    <m:t>2</m:t>
                  </m:r>
                </m:sup>
              </m:sSup>
            </m:e>
          </m:rad>
        </m:oMath>
      </m:oMathPara>
    </w:p>
    <w:p w:rsidR="00E03D46" w:rsidRPr="0089158C" w:rsidRDefault="002A686B" w:rsidP="004A6317">
      <w:pPr>
        <w:pStyle w:val="fegure"/>
        <w:spacing w:before="240"/>
        <w:rPr>
          <w:sz w:val="8"/>
          <w:szCs w:val="24"/>
          <w:rtl/>
          <w:lang w:val="en-US"/>
        </w:rPr>
      </w:pPr>
      <w:bookmarkStart w:id="799" w:name="_Toc157608357"/>
      <w:bookmarkStart w:id="800" w:name="_Toc171803781"/>
      <w:r w:rsidRPr="0089158C">
        <w:rPr>
          <w:rFonts w:hint="cs"/>
          <w:sz w:val="8"/>
          <w:szCs w:val="24"/>
          <w:rtl/>
          <w:lang w:val="en-US"/>
        </w:rPr>
        <w:t xml:space="preserve">الشكل </w:t>
      </w:r>
      <w:r w:rsidRPr="0089158C">
        <w:rPr>
          <w:rFonts w:hint="cs"/>
          <w:sz w:val="8"/>
          <w:szCs w:val="24"/>
          <w:rtl/>
        </w:rPr>
        <w:t>(6-</w:t>
      </w:r>
      <w:r w:rsidR="00B24A3A" w:rsidRPr="008B4DD2">
        <w:rPr>
          <w:b/>
          <w:bCs w:val="0"/>
        </w:rPr>
        <w:t>6</w:t>
      </w:r>
      <w:r w:rsidRPr="0089158C">
        <w:rPr>
          <w:rFonts w:hint="cs"/>
          <w:sz w:val="8"/>
          <w:szCs w:val="24"/>
          <w:rtl/>
        </w:rPr>
        <w:t>)</w:t>
      </w:r>
      <w:r w:rsidRPr="0089158C">
        <w:rPr>
          <w:sz w:val="8"/>
          <w:szCs w:val="24"/>
          <w:rtl/>
        </w:rPr>
        <w:t>:</w:t>
      </w:r>
      <w:r w:rsidRPr="0089158C">
        <w:rPr>
          <w:rFonts w:hint="cs"/>
          <w:sz w:val="8"/>
          <w:szCs w:val="24"/>
          <w:rtl/>
        </w:rPr>
        <w:t xml:space="preserve"> </w:t>
      </w:r>
      <w:r w:rsidR="00E03D46" w:rsidRPr="0089158C">
        <w:rPr>
          <w:rFonts w:hint="cs"/>
          <w:sz w:val="8"/>
          <w:szCs w:val="24"/>
          <w:rtl/>
          <w:lang w:val="en-US"/>
        </w:rPr>
        <w:t>الفرق</w:t>
      </w:r>
      <w:r w:rsidR="00E03D46" w:rsidRPr="0089158C">
        <w:rPr>
          <w:sz w:val="8"/>
          <w:szCs w:val="24"/>
          <w:rtl/>
          <w:lang w:val="en-US"/>
        </w:rPr>
        <w:t xml:space="preserve"> </w:t>
      </w:r>
      <w:r w:rsidR="00E03D46" w:rsidRPr="0089158C">
        <w:rPr>
          <w:rFonts w:hint="cs"/>
          <w:sz w:val="8"/>
          <w:szCs w:val="24"/>
          <w:rtl/>
          <w:lang w:val="en-US"/>
        </w:rPr>
        <w:t>بين</w:t>
      </w:r>
      <w:r w:rsidR="00E03D46" w:rsidRPr="0089158C">
        <w:rPr>
          <w:sz w:val="8"/>
          <w:szCs w:val="24"/>
          <w:rtl/>
          <w:lang w:val="en-US"/>
        </w:rPr>
        <w:t xml:space="preserve"> </w:t>
      </w:r>
      <w:r w:rsidR="00E03D46" w:rsidRPr="0089158C">
        <w:rPr>
          <w:rFonts w:hint="cs"/>
          <w:sz w:val="8"/>
          <w:szCs w:val="24"/>
          <w:rtl/>
          <w:lang w:val="en-US"/>
        </w:rPr>
        <w:t>المباني</w:t>
      </w:r>
      <w:r w:rsidR="00E03D46" w:rsidRPr="0089158C">
        <w:rPr>
          <w:sz w:val="8"/>
          <w:szCs w:val="24"/>
          <w:rtl/>
          <w:lang w:val="en-US"/>
        </w:rPr>
        <w:t xml:space="preserve"> </w:t>
      </w:r>
      <w:r w:rsidR="00E03D46" w:rsidRPr="0089158C">
        <w:rPr>
          <w:rFonts w:hint="cs"/>
          <w:sz w:val="8"/>
          <w:szCs w:val="24"/>
          <w:rtl/>
          <w:lang w:val="en-US"/>
        </w:rPr>
        <w:t>التي</w:t>
      </w:r>
      <w:r w:rsidR="00E03D46" w:rsidRPr="0089158C">
        <w:rPr>
          <w:sz w:val="8"/>
          <w:szCs w:val="24"/>
          <w:rtl/>
          <w:lang w:val="en-US"/>
        </w:rPr>
        <w:t xml:space="preserve"> </w:t>
      </w:r>
      <w:r w:rsidR="00E03D46" w:rsidRPr="0089158C">
        <w:rPr>
          <w:rFonts w:hint="cs"/>
          <w:sz w:val="8"/>
          <w:szCs w:val="24"/>
          <w:rtl/>
          <w:lang w:val="en-US"/>
        </w:rPr>
        <w:t>يمكن</w:t>
      </w:r>
      <w:r w:rsidR="00E03D46" w:rsidRPr="0089158C">
        <w:rPr>
          <w:sz w:val="8"/>
          <w:szCs w:val="24"/>
          <w:rtl/>
          <w:lang w:val="en-US"/>
        </w:rPr>
        <w:t xml:space="preserve"> </w:t>
      </w:r>
      <w:r w:rsidR="00E03D46" w:rsidRPr="0089158C">
        <w:rPr>
          <w:rFonts w:hint="cs"/>
          <w:sz w:val="8"/>
          <w:szCs w:val="24"/>
          <w:rtl/>
          <w:lang w:val="en-US"/>
        </w:rPr>
        <w:t>الوصول</w:t>
      </w:r>
      <w:r w:rsidR="00E03D46" w:rsidRPr="0089158C">
        <w:rPr>
          <w:sz w:val="8"/>
          <w:szCs w:val="24"/>
          <w:rtl/>
          <w:lang w:val="en-US"/>
        </w:rPr>
        <w:t xml:space="preserve"> </w:t>
      </w:r>
      <w:r w:rsidR="00E03D46" w:rsidRPr="0089158C">
        <w:rPr>
          <w:rFonts w:hint="cs"/>
          <w:sz w:val="8"/>
          <w:szCs w:val="24"/>
          <w:rtl/>
          <w:lang w:val="en-US"/>
        </w:rPr>
        <w:t>إليها</w:t>
      </w:r>
      <w:r w:rsidR="00E03D46" w:rsidRPr="0089158C">
        <w:rPr>
          <w:sz w:val="8"/>
          <w:szCs w:val="24"/>
          <w:rtl/>
          <w:lang w:val="en-US"/>
        </w:rPr>
        <w:t xml:space="preserve"> </w:t>
      </w:r>
      <w:r w:rsidR="00E03D46" w:rsidRPr="0089158C">
        <w:rPr>
          <w:rFonts w:hint="cs"/>
          <w:sz w:val="8"/>
          <w:szCs w:val="24"/>
          <w:rtl/>
          <w:lang w:val="en-US"/>
        </w:rPr>
        <w:t>عند</w:t>
      </w:r>
      <w:r w:rsidR="00E03D46" w:rsidRPr="0089158C">
        <w:rPr>
          <w:sz w:val="8"/>
          <w:szCs w:val="24"/>
          <w:rtl/>
          <w:lang w:val="en-US"/>
        </w:rPr>
        <w:t xml:space="preserve"> </w:t>
      </w:r>
      <w:r w:rsidR="00E03D46" w:rsidRPr="0089158C">
        <w:rPr>
          <w:rFonts w:hint="cs"/>
          <w:sz w:val="8"/>
          <w:szCs w:val="24"/>
          <w:rtl/>
          <w:lang w:val="en-US"/>
        </w:rPr>
        <w:t>حسابها</w:t>
      </w:r>
      <w:r w:rsidR="00E03D46" w:rsidRPr="0089158C">
        <w:rPr>
          <w:sz w:val="8"/>
          <w:szCs w:val="24"/>
          <w:rtl/>
          <w:lang w:val="en-US"/>
        </w:rPr>
        <w:t xml:space="preserve"> </w:t>
      </w:r>
      <w:r w:rsidR="00E03D46" w:rsidRPr="0089158C">
        <w:rPr>
          <w:rFonts w:hint="cs"/>
          <w:sz w:val="8"/>
          <w:szCs w:val="24"/>
          <w:rtl/>
          <w:lang w:val="en-US"/>
        </w:rPr>
        <w:t>على</w:t>
      </w:r>
      <w:r w:rsidR="00BD4569" w:rsidRPr="0089158C">
        <w:rPr>
          <w:rFonts w:hint="cs"/>
          <w:sz w:val="8"/>
          <w:szCs w:val="24"/>
          <w:rtl/>
          <w:lang w:val="en-US"/>
        </w:rPr>
        <w:t xml:space="preserve"> مسافة</w:t>
      </w:r>
      <w:r w:rsidR="00E03D46" w:rsidRPr="0089158C">
        <w:rPr>
          <w:sz w:val="8"/>
          <w:szCs w:val="24"/>
          <w:rtl/>
          <w:lang w:val="en-US"/>
        </w:rPr>
        <w:t xml:space="preserve"> </w:t>
      </w:r>
      <w:r w:rsidR="00E03D46" w:rsidRPr="0089158C">
        <w:rPr>
          <w:rFonts w:hint="cs"/>
          <w:sz w:val="8"/>
          <w:szCs w:val="24"/>
          <w:rtl/>
          <w:lang w:val="en-US"/>
        </w:rPr>
        <w:t>شبكة</w:t>
      </w:r>
      <w:r w:rsidR="00E03D46" w:rsidRPr="0089158C">
        <w:rPr>
          <w:sz w:val="8"/>
          <w:szCs w:val="24"/>
          <w:rtl/>
          <w:lang w:val="en-US"/>
        </w:rPr>
        <w:t xml:space="preserve"> </w:t>
      </w:r>
      <w:r w:rsidR="00E03D46" w:rsidRPr="0089158C">
        <w:rPr>
          <w:rFonts w:hint="cs"/>
          <w:sz w:val="8"/>
          <w:szCs w:val="24"/>
          <w:rtl/>
          <w:lang w:val="en-US"/>
        </w:rPr>
        <w:t>الشوارع</w:t>
      </w:r>
      <w:r w:rsidR="00E03D46" w:rsidRPr="0089158C">
        <w:rPr>
          <w:sz w:val="8"/>
          <w:szCs w:val="24"/>
          <w:rtl/>
          <w:lang w:val="en-US"/>
        </w:rPr>
        <w:t xml:space="preserve"> (</w:t>
      </w:r>
      <w:r w:rsidR="00E03D46" w:rsidRPr="0089158C">
        <w:rPr>
          <w:rFonts w:hint="cs"/>
          <w:sz w:val="8"/>
          <w:szCs w:val="24"/>
          <w:rtl/>
          <w:lang w:val="en-US"/>
        </w:rPr>
        <w:t>على</w:t>
      </w:r>
      <w:r w:rsidR="00E03D46" w:rsidRPr="0089158C">
        <w:rPr>
          <w:sz w:val="8"/>
          <w:szCs w:val="24"/>
          <w:rtl/>
          <w:lang w:val="en-US"/>
        </w:rPr>
        <w:t xml:space="preserve"> </w:t>
      </w:r>
      <w:r w:rsidR="00E03D46" w:rsidRPr="0089158C">
        <w:rPr>
          <w:rFonts w:hint="cs"/>
          <w:sz w:val="8"/>
          <w:szCs w:val="24"/>
          <w:rtl/>
          <w:lang w:val="en-US"/>
        </w:rPr>
        <w:t>اليمين</w:t>
      </w:r>
      <w:r w:rsidR="00E03D46" w:rsidRPr="0089158C">
        <w:rPr>
          <w:sz w:val="8"/>
          <w:szCs w:val="24"/>
          <w:rtl/>
          <w:lang w:val="en-US"/>
        </w:rPr>
        <w:t xml:space="preserve">) </w:t>
      </w:r>
      <w:r w:rsidR="00E03D46" w:rsidRPr="0089158C">
        <w:rPr>
          <w:rFonts w:hint="cs"/>
          <w:sz w:val="8"/>
          <w:szCs w:val="24"/>
          <w:rtl/>
          <w:lang w:val="en-US"/>
        </w:rPr>
        <w:t>والمباني</w:t>
      </w:r>
      <w:r w:rsidR="00E03D46" w:rsidRPr="0089158C">
        <w:rPr>
          <w:sz w:val="8"/>
          <w:szCs w:val="24"/>
          <w:rtl/>
          <w:lang w:val="en-US"/>
        </w:rPr>
        <w:t xml:space="preserve"> </w:t>
      </w:r>
      <w:r w:rsidR="00E03D46" w:rsidRPr="0089158C">
        <w:rPr>
          <w:rFonts w:hint="cs"/>
          <w:sz w:val="8"/>
          <w:szCs w:val="24"/>
          <w:rtl/>
          <w:lang w:val="en-US"/>
        </w:rPr>
        <w:t>التي</w:t>
      </w:r>
      <w:r w:rsidR="00E03D46" w:rsidRPr="0089158C">
        <w:rPr>
          <w:sz w:val="8"/>
          <w:szCs w:val="24"/>
          <w:rtl/>
          <w:lang w:val="en-US"/>
        </w:rPr>
        <w:t xml:space="preserve"> </w:t>
      </w:r>
      <w:r w:rsidR="00E03D46" w:rsidRPr="0089158C">
        <w:rPr>
          <w:rFonts w:hint="cs"/>
          <w:sz w:val="8"/>
          <w:szCs w:val="24"/>
          <w:rtl/>
          <w:lang w:val="en-US"/>
        </w:rPr>
        <w:t>يمكن</w:t>
      </w:r>
      <w:r w:rsidR="00E03D46" w:rsidRPr="0089158C">
        <w:rPr>
          <w:sz w:val="8"/>
          <w:szCs w:val="24"/>
          <w:rtl/>
          <w:lang w:val="en-US"/>
        </w:rPr>
        <w:t xml:space="preserve"> </w:t>
      </w:r>
      <w:r w:rsidR="00E03D46" w:rsidRPr="0089158C">
        <w:rPr>
          <w:rFonts w:hint="cs"/>
          <w:sz w:val="8"/>
          <w:szCs w:val="24"/>
          <w:rtl/>
          <w:lang w:val="en-US"/>
        </w:rPr>
        <w:t>الوصول</w:t>
      </w:r>
      <w:r w:rsidR="00E03D46" w:rsidRPr="0089158C">
        <w:rPr>
          <w:sz w:val="8"/>
          <w:szCs w:val="24"/>
          <w:rtl/>
          <w:lang w:val="en-US"/>
        </w:rPr>
        <w:t xml:space="preserve"> </w:t>
      </w:r>
      <w:r w:rsidR="00E03D46" w:rsidRPr="0089158C">
        <w:rPr>
          <w:rFonts w:hint="cs"/>
          <w:sz w:val="8"/>
          <w:szCs w:val="24"/>
          <w:rtl/>
          <w:lang w:val="en-US"/>
        </w:rPr>
        <w:t>إليها</w:t>
      </w:r>
      <w:r w:rsidR="00E03D46" w:rsidRPr="0089158C">
        <w:rPr>
          <w:sz w:val="8"/>
          <w:szCs w:val="24"/>
          <w:rtl/>
          <w:lang w:val="en-US"/>
        </w:rPr>
        <w:t xml:space="preserve"> </w:t>
      </w:r>
      <w:r w:rsidR="00BA686F" w:rsidRPr="0089158C">
        <w:rPr>
          <w:rFonts w:hint="cs"/>
          <w:sz w:val="8"/>
          <w:szCs w:val="24"/>
          <w:rtl/>
          <w:lang w:val="en-US"/>
        </w:rPr>
        <w:t>عند</w:t>
      </w:r>
      <w:r w:rsidR="00BA686F" w:rsidRPr="0089158C">
        <w:rPr>
          <w:sz w:val="8"/>
          <w:szCs w:val="24"/>
          <w:rtl/>
          <w:lang w:val="en-US"/>
        </w:rPr>
        <w:t xml:space="preserve"> </w:t>
      </w:r>
      <w:r w:rsidR="00BA686F" w:rsidRPr="0089158C">
        <w:rPr>
          <w:rFonts w:hint="cs"/>
          <w:sz w:val="8"/>
          <w:szCs w:val="24"/>
          <w:rtl/>
          <w:lang w:val="en-US"/>
        </w:rPr>
        <w:t>حسابها</w:t>
      </w:r>
      <w:r w:rsidR="00BA686F" w:rsidRPr="0089158C">
        <w:rPr>
          <w:sz w:val="8"/>
          <w:szCs w:val="24"/>
          <w:rtl/>
          <w:lang w:val="en-US"/>
        </w:rPr>
        <w:t xml:space="preserve"> </w:t>
      </w:r>
      <w:r w:rsidR="00BA686F" w:rsidRPr="0089158C">
        <w:rPr>
          <w:rFonts w:hint="cs"/>
          <w:sz w:val="8"/>
          <w:szCs w:val="24"/>
          <w:rtl/>
          <w:lang w:val="en-US"/>
        </w:rPr>
        <w:t>على</w:t>
      </w:r>
      <w:r w:rsidR="00BA686F" w:rsidRPr="0089158C">
        <w:rPr>
          <w:sz w:val="8"/>
          <w:szCs w:val="24"/>
          <w:rtl/>
          <w:lang w:val="en-US"/>
        </w:rPr>
        <w:t xml:space="preserve"> </w:t>
      </w:r>
      <w:r w:rsidR="00BA686F" w:rsidRPr="0089158C">
        <w:rPr>
          <w:rFonts w:hint="cs"/>
          <w:sz w:val="8"/>
          <w:szCs w:val="24"/>
          <w:rtl/>
          <w:lang w:val="en-US"/>
        </w:rPr>
        <w:t>نصف</w:t>
      </w:r>
      <w:r w:rsidR="00BA686F" w:rsidRPr="0089158C">
        <w:rPr>
          <w:sz w:val="8"/>
          <w:szCs w:val="24"/>
          <w:rtl/>
          <w:lang w:val="en-US"/>
        </w:rPr>
        <w:t xml:space="preserve"> </w:t>
      </w:r>
      <w:r w:rsidR="00BA686F" w:rsidRPr="0089158C">
        <w:rPr>
          <w:rFonts w:hint="cs"/>
          <w:sz w:val="8"/>
          <w:szCs w:val="24"/>
          <w:rtl/>
          <w:lang w:val="en-US"/>
        </w:rPr>
        <w:t>قطر</w:t>
      </w:r>
      <w:r w:rsidR="00BA686F" w:rsidRPr="0089158C">
        <w:rPr>
          <w:sz w:val="8"/>
          <w:szCs w:val="24"/>
          <w:rtl/>
          <w:lang w:val="en-US"/>
        </w:rPr>
        <w:t xml:space="preserve"> </w:t>
      </w:r>
      <w:r w:rsidR="00BA686F" w:rsidRPr="0089158C">
        <w:rPr>
          <w:rFonts w:hint="cs"/>
          <w:sz w:val="8"/>
          <w:szCs w:val="24"/>
          <w:rtl/>
          <w:lang w:val="en-US"/>
        </w:rPr>
        <w:t>المسافة الإقليدية</w:t>
      </w:r>
      <w:r w:rsidR="00BA686F" w:rsidRPr="0089158C">
        <w:rPr>
          <w:sz w:val="8"/>
          <w:szCs w:val="24"/>
          <w:rtl/>
          <w:lang w:val="en-US"/>
        </w:rPr>
        <w:t xml:space="preserve"> </w:t>
      </w:r>
      <w:r w:rsidR="00E03D46" w:rsidRPr="0089158C">
        <w:rPr>
          <w:sz w:val="8"/>
          <w:szCs w:val="24"/>
          <w:rtl/>
          <w:lang w:val="en-US"/>
        </w:rPr>
        <w:t>(</w:t>
      </w:r>
      <w:r w:rsidR="00E03D46" w:rsidRPr="0089158C">
        <w:rPr>
          <w:rFonts w:hint="cs"/>
          <w:sz w:val="8"/>
          <w:szCs w:val="24"/>
          <w:rtl/>
          <w:lang w:val="en-US"/>
        </w:rPr>
        <w:t>على اليسار</w:t>
      </w:r>
      <w:r w:rsidR="00E03D46" w:rsidRPr="0089158C">
        <w:rPr>
          <w:sz w:val="8"/>
          <w:szCs w:val="24"/>
          <w:rtl/>
          <w:lang w:val="en-US"/>
        </w:rPr>
        <w:t>).</w:t>
      </w:r>
      <w:bookmarkEnd w:id="799"/>
      <w:bookmarkEnd w:id="800"/>
    </w:p>
    <w:p w:rsidR="002A686B" w:rsidRPr="00621D65" w:rsidRDefault="002A686B" w:rsidP="00163AEE">
      <w:pPr>
        <w:bidi/>
        <w:spacing w:after="0" w:line="240" w:lineRule="auto"/>
        <w:jc w:val="center"/>
        <w:rPr>
          <w:rFonts w:asciiTheme="majorBidi" w:hAnsiTheme="majorBidi" w:cstheme="majorBidi"/>
          <w:b/>
          <w:bCs/>
          <w:sz w:val="24"/>
          <w:szCs w:val="24"/>
          <w:rtl/>
          <w:lang w:bidi="ar-DZ"/>
        </w:rPr>
      </w:pPr>
      <w:r w:rsidRPr="00621D65">
        <w:rPr>
          <w:rFonts w:ascii="Simplified Arabic" w:hAnsi="Simplified Arabic" w:cs="Simplified Arabic" w:hint="cs"/>
          <w:b/>
          <w:bCs/>
          <w:sz w:val="24"/>
          <w:szCs w:val="24"/>
          <w:rtl/>
          <w:lang w:val="en-US"/>
        </w:rPr>
        <w:t xml:space="preserve">المصدر: </w:t>
      </w:r>
      <w:r w:rsidR="00183412" w:rsidRPr="00621D65">
        <w:rPr>
          <w:rFonts w:asciiTheme="majorBidi" w:hAnsiTheme="majorBidi" w:cstheme="majorBidi"/>
          <w:b/>
          <w:bCs/>
          <w:sz w:val="24"/>
          <w:szCs w:val="24"/>
          <w:lang w:bidi="ar-DZ"/>
        </w:rPr>
        <w:t>(</w:t>
      </w:r>
      <w:r w:rsidR="00183412" w:rsidRPr="00621D65">
        <w:rPr>
          <w:rFonts w:asciiTheme="majorBidi" w:hAnsiTheme="majorBidi" w:cstheme="majorBidi"/>
          <w:b/>
          <w:bCs/>
          <w:sz w:val="24"/>
          <w:szCs w:val="24"/>
          <w:lang w:val="en-US"/>
        </w:rPr>
        <w:t>Feliciotti</w:t>
      </w:r>
      <w:r w:rsidR="00183412" w:rsidRPr="00621D65">
        <w:rPr>
          <w:rFonts w:asciiTheme="majorBidi" w:hAnsiTheme="majorBidi" w:cstheme="majorBidi"/>
          <w:b/>
          <w:bCs/>
          <w:sz w:val="24"/>
          <w:szCs w:val="24"/>
          <w:lang w:bidi="ar-DZ"/>
        </w:rPr>
        <w:t>, 2018)</w:t>
      </w:r>
    </w:p>
    <w:p w:rsidR="00F63976" w:rsidRDefault="00F63976" w:rsidP="00F63976">
      <w:pPr>
        <w:bidi/>
        <w:spacing w:after="0" w:line="240" w:lineRule="auto"/>
        <w:jc w:val="center"/>
        <w:rPr>
          <w:rFonts w:asciiTheme="majorBidi" w:hAnsiTheme="majorBidi" w:cstheme="majorBidi"/>
          <w:sz w:val="24"/>
          <w:szCs w:val="24"/>
          <w:rtl/>
          <w:lang w:bidi="ar-DZ"/>
        </w:rPr>
      </w:pPr>
      <w:r>
        <w:rPr>
          <w:noProof/>
          <w:lang w:eastAsia="fr-FR"/>
        </w:rPr>
        <w:drawing>
          <wp:inline distT="0" distB="0" distL="0" distR="0" wp14:anchorId="4290AFE2" wp14:editId="43B85954">
            <wp:extent cx="3707201" cy="2104086"/>
            <wp:effectExtent l="19050" t="19050" r="26670" b="10795"/>
            <wp:docPr id="239" name="Imag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5">
                      <a:extLst>
                        <a:ext uri="{28A0092B-C50C-407E-A947-70E740481C1C}">
                          <a14:useLocalDpi xmlns:a14="http://schemas.microsoft.com/office/drawing/2010/main" val="0"/>
                        </a:ext>
                      </a:extLst>
                    </a:blip>
                    <a:stretch>
                      <a:fillRect/>
                    </a:stretch>
                  </pic:blipFill>
                  <pic:spPr>
                    <a:xfrm>
                      <a:off x="0" y="0"/>
                      <a:ext cx="3708620" cy="2104892"/>
                    </a:xfrm>
                    <a:prstGeom prst="rect">
                      <a:avLst/>
                    </a:prstGeom>
                    <a:ln w="3175">
                      <a:solidFill>
                        <a:schemeClr val="tx1"/>
                      </a:solidFill>
                    </a:ln>
                  </pic:spPr>
                </pic:pic>
              </a:graphicData>
            </a:graphic>
          </wp:inline>
        </w:drawing>
      </w:r>
    </w:p>
    <w:p w:rsidR="002A686B" w:rsidRPr="00DD0D9B" w:rsidRDefault="002A686B" w:rsidP="001D0548">
      <w:pPr>
        <w:pStyle w:val="Paragraphedeliste"/>
        <w:numPr>
          <w:ilvl w:val="2"/>
          <w:numId w:val="182"/>
        </w:numPr>
        <w:tabs>
          <w:tab w:val="right" w:pos="850"/>
        </w:tabs>
        <w:bidi/>
        <w:spacing w:before="240" w:after="0"/>
        <w:ind w:left="0" w:firstLine="0"/>
        <w:jc w:val="both"/>
        <w:outlineLvl w:val="1"/>
        <w:rPr>
          <w:rFonts w:ascii="Simplified Arabic" w:hAnsi="Simplified Arabic" w:cs="Simplified Arabic"/>
          <w:b/>
          <w:bCs/>
          <w:sz w:val="24"/>
          <w:szCs w:val="24"/>
          <w:rtl/>
          <w:lang w:bidi="ar-DZ"/>
        </w:rPr>
      </w:pPr>
      <w:bookmarkStart w:id="801" w:name="_Toc171803782"/>
      <w:r w:rsidRPr="00DD0D9B">
        <w:rPr>
          <w:rFonts w:ascii="Simplified Arabic" w:hAnsi="Simplified Arabic" w:cs="Simplified Arabic" w:hint="cs"/>
          <w:b/>
          <w:bCs/>
          <w:sz w:val="24"/>
          <w:szCs w:val="24"/>
          <w:rtl/>
          <w:lang w:bidi="ar-DZ"/>
        </w:rPr>
        <w:lastRenderedPageBreak/>
        <w:t>سمة التنوع</w:t>
      </w:r>
      <w:bookmarkEnd w:id="801"/>
    </w:p>
    <w:p w:rsidR="002A686B" w:rsidRDefault="002A686B" w:rsidP="003337FD">
      <w:pPr>
        <w:bidi/>
        <w:spacing w:after="0"/>
        <w:ind w:firstLine="283"/>
        <w:jc w:val="both"/>
        <w:rPr>
          <w:rFonts w:ascii="Simplified Arabic" w:hAnsi="Simplified Arabic" w:cs="Simplified Arabic"/>
          <w:sz w:val="24"/>
          <w:szCs w:val="24"/>
          <w:rtl/>
          <w:lang w:bidi="ar-DZ"/>
        </w:rPr>
      </w:pPr>
      <w:r w:rsidRPr="00B37441">
        <w:rPr>
          <w:rFonts w:ascii="Simplified Arabic" w:hAnsi="Simplified Arabic" w:cs="Simplified Arabic" w:hint="cs"/>
          <w:sz w:val="24"/>
          <w:szCs w:val="24"/>
          <w:rtl/>
          <w:lang w:bidi="ar-DZ"/>
        </w:rPr>
        <w:t>التنوع</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موضوعًا</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مركزيًا</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للتحليل</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الحضري،</w:t>
      </w:r>
      <w:r w:rsidRPr="00B3744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يعتبر</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حاليًا</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المقياس</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المكاني</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الأكثر</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شيوعًا</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في</w:t>
      </w:r>
      <w:r w:rsidRPr="00B37441">
        <w:rPr>
          <w:rFonts w:ascii="Simplified Arabic" w:hAnsi="Simplified Arabic" w:cs="Simplified Arabic"/>
          <w:sz w:val="24"/>
          <w:szCs w:val="24"/>
          <w:rtl/>
          <w:lang w:bidi="ar-DZ"/>
        </w:rPr>
        <w:t xml:space="preserve"> </w:t>
      </w:r>
      <w:r w:rsidR="0040455E">
        <w:rPr>
          <w:rFonts w:ascii="Simplified Arabic" w:hAnsi="Simplified Arabic" w:cs="Simplified Arabic" w:hint="cs"/>
          <w:sz w:val="24"/>
          <w:szCs w:val="24"/>
          <w:rtl/>
          <w:lang w:bidi="ar-DZ"/>
        </w:rPr>
        <w:t>ابحاث</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التصميم</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والتخطيط</w:t>
      </w:r>
      <w:r w:rsidRPr="00B37441">
        <w:rPr>
          <w:rFonts w:ascii="Simplified Arabic" w:hAnsi="Simplified Arabic" w:cs="Simplified Arabic"/>
          <w:sz w:val="24"/>
          <w:szCs w:val="24"/>
          <w:rtl/>
          <w:lang w:bidi="ar-DZ"/>
        </w:rPr>
        <w:t xml:space="preserve"> </w:t>
      </w:r>
      <w:r w:rsidRPr="00B37441">
        <w:rPr>
          <w:rFonts w:ascii="Simplified Arabic" w:hAnsi="Simplified Arabic" w:cs="Simplified Arabic" w:hint="cs"/>
          <w:sz w:val="24"/>
          <w:szCs w:val="24"/>
          <w:rtl/>
          <w:lang w:bidi="ar-DZ"/>
        </w:rPr>
        <w:t>الحضري</w:t>
      </w:r>
      <w:r w:rsidRPr="00C22D2F">
        <w:rPr>
          <w:rFonts w:cs="Arial"/>
          <w:rtl/>
          <w:lang w:bidi="ar-DZ"/>
        </w:rPr>
        <w:t xml:space="preserve"> </w:t>
      </w:r>
      <w:r w:rsidRPr="00B37441">
        <w:rPr>
          <w:rFonts w:asciiTheme="majorBidi" w:hAnsiTheme="majorBidi" w:cstheme="majorBidi"/>
          <w:sz w:val="24"/>
          <w:szCs w:val="24"/>
        </w:rPr>
        <w:t>(Boeing, 2017)</w:t>
      </w:r>
      <w:r>
        <w:rPr>
          <w:rFonts w:ascii="Simplified Arabic" w:hAnsi="Simplified Arabic" w:cs="Simplified Arabic" w:hint="cs"/>
          <w:sz w:val="24"/>
          <w:szCs w:val="24"/>
          <w:rtl/>
          <w:lang w:bidi="ar-DZ"/>
        </w:rPr>
        <w:t xml:space="preserve"> و</w:t>
      </w:r>
      <w:r w:rsidRPr="00493A15">
        <w:rPr>
          <w:rFonts w:ascii="Simplified Arabic" w:hAnsi="Simplified Arabic" w:cs="Simplified Arabic" w:hint="cs"/>
          <w:sz w:val="24"/>
          <w:szCs w:val="24"/>
          <w:rtl/>
          <w:lang w:bidi="ar-DZ"/>
        </w:rPr>
        <w:t>يظهر</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بشكل</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متكرر</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فيما</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يتعلق</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ب</w:t>
      </w:r>
      <w:r w:rsidR="003337FD">
        <w:rPr>
          <w:rFonts w:ascii="Simplified Arabic" w:hAnsi="Simplified Arabic" w:cs="Simplified Arabic" w:hint="cs"/>
          <w:sz w:val="24"/>
          <w:szCs w:val="24"/>
          <w:rtl/>
        </w:rPr>
        <w:t>استعمال</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الارض</w:t>
      </w:r>
      <w:r w:rsidRPr="00493A15">
        <w:rPr>
          <w:rFonts w:ascii="Arial" w:hAnsi="Arial" w:cs="Arial"/>
          <w:color w:val="000000"/>
          <w:sz w:val="23"/>
          <w:szCs w:val="23"/>
          <w:rtl/>
          <w:lang w:val="en-US"/>
        </w:rPr>
        <w:t xml:space="preserve"> </w:t>
      </w:r>
      <w:r w:rsidRPr="00493A15">
        <w:rPr>
          <w:rFonts w:asciiTheme="majorBidi" w:hAnsiTheme="majorBidi" w:cstheme="majorBidi"/>
          <w:color w:val="000000"/>
          <w:sz w:val="24"/>
          <w:szCs w:val="24"/>
          <w:rtl/>
          <w:lang w:val="en-US"/>
        </w:rPr>
        <w:t>(</w:t>
      </w:r>
      <w:r w:rsidRPr="00157C4E">
        <w:rPr>
          <w:rFonts w:asciiTheme="majorBidi" w:hAnsiTheme="majorBidi" w:cstheme="majorBidi"/>
          <w:color w:val="000000"/>
          <w:sz w:val="24"/>
          <w:szCs w:val="24"/>
          <w:lang w:val="en-US"/>
        </w:rPr>
        <w:t>Jacobs</w:t>
      </w:r>
      <w:r w:rsidRPr="00493A15">
        <w:rPr>
          <w:rFonts w:asciiTheme="majorBidi" w:hAnsiTheme="majorBidi" w:cstheme="majorBidi"/>
          <w:color w:val="000000"/>
          <w:sz w:val="24"/>
          <w:szCs w:val="24"/>
          <w:lang w:val="en-US"/>
        </w:rPr>
        <w:t>, 1961</w:t>
      </w:r>
      <w:r w:rsidRPr="00493A15">
        <w:rPr>
          <w:rFonts w:asciiTheme="majorBidi" w:hAnsiTheme="majorBidi" w:cstheme="majorBidi"/>
          <w:color w:val="000000"/>
          <w:sz w:val="24"/>
          <w:szCs w:val="24"/>
          <w:rtl/>
          <w:lang w:val="en-US"/>
        </w:rPr>
        <w:t>)</w:t>
      </w:r>
      <w:r w:rsidRPr="00493A15">
        <w:rPr>
          <w:rFonts w:ascii="Arial" w:hAnsi="Arial" w:cs="Arial"/>
          <w:color w:val="000000"/>
          <w:sz w:val="23"/>
          <w:szCs w:val="23"/>
          <w:rtl/>
          <w:lang w:val="en-US"/>
        </w:rPr>
        <w:t>.</w:t>
      </w:r>
      <w:r w:rsidRPr="00493A15">
        <w:rPr>
          <w:rFonts w:ascii="Simplified Arabic" w:hAnsi="Simplified Arabic" w:cs="Simplified Arabic" w:hint="cs"/>
          <w:sz w:val="24"/>
          <w:szCs w:val="24"/>
          <w:rtl/>
          <w:lang w:val="en-US" w:bidi="ar-DZ"/>
        </w:rPr>
        <w:t xml:space="preserve"> </w:t>
      </w:r>
      <w:r w:rsidRPr="00B37441">
        <w:rPr>
          <w:rFonts w:ascii="Simplified Arabic" w:hAnsi="Simplified Arabic" w:cs="Simplified Arabic"/>
          <w:sz w:val="24"/>
          <w:szCs w:val="24"/>
          <w:rtl/>
          <w:lang w:bidi="ar-DZ"/>
        </w:rPr>
        <w:t>ك</w:t>
      </w:r>
      <w:r w:rsidRPr="00493A15">
        <w:rPr>
          <w:rFonts w:ascii="Simplified Arabic" w:hAnsi="Simplified Arabic" w:cs="Simplified Arabic" w:hint="cs"/>
          <w:sz w:val="24"/>
          <w:szCs w:val="24"/>
          <w:rtl/>
          <w:lang w:bidi="ar-DZ"/>
        </w:rPr>
        <w:t>ما</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سبق</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توضيحه</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في</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الفصل</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1،</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يمكن</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للنظام</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الذي</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يتميز</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بالتنوع</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الوظيفي</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أن</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 xml:space="preserve">يزيد من </w:t>
      </w:r>
      <w:r>
        <w:rPr>
          <w:rFonts w:ascii="Simplified Arabic" w:hAnsi="Simplified Arabic" w:cs="Simplified Arabic" w:hint="cs"/>
          <w:sz w:val="24"/>
          <w:szCs w:val="24"/>
          <w:rtl/>
          <w:lang w:bidi="ar-DZ"/>
        </w:rPr>
        <w:t>ال</w:t>
      </w:r>
      <w:r w:rsidRPr="00493A15">
        <w:rPr>
          <w:rFonts w:ascii="Simplified Arabic" w:hAnsi="Simplified Arabic" w:cs="Simplified Arabic" w:hint="cs"/>
          <w:sz w:val="24"/>
          <w:szCs w:val="24"/>
          <w:rtl/>
          <w:lang w:bidi="ar-DZ"/>
        </w:rPr>
        <w:t xml:space="preserve">قدرة </w:t>
      </w:r>
      <w:r>
        <w:rPr>
          <w:rFonts w:ascii="Simplified Arabic" w:hAnsi="Simplified Arabic" w:cs="Simplified Arabic" w:hint="cs"/>
          <w:sz w:val="24"/>
          <w:szCs w:val="24"/>
          <w:rtl/>
          <w:lang w:bidi="ar-DZ"/>
        </w:rPr>
        <w:t xml:space="preserve">على </w:t>
      </w:r>
      <w:r w:rsidRPr="00493A15">
        <w:rPr>
          <w:rFonts w:ascii="Simplified Arabic" w:hAnsi="Simplified Arabic" w:cs="Simplified Arabic" w:hint="cs"/>
          <w:sz w:val="24"/>
          <w:szCs w:val="24"/>
          <w:rtl/>
          <w:lang w:bidi="ar-DZ"/>
        </w:rPr>
        <w:t>استجابة</w:t>
      </w:r>
      <w:r>
        <w:rPr>
          <w:rFonts w:ascii="Simplified Arabic" w:hAnsi="Simplified Arabic" w:cs="Simplified Arabic" w:hint="cs"/>
          <w:sz w:val="24"/>
          <w:szCs w:val="24"/>
          <w:rtl/>
          <w:lang w:bidi="ar-DZ"/>
        </w:rPr>
        <w:t xml:space="preserve"> الانظمة </w:t>
      </w:r>
      <w:r w:rsidRPr="00493A15">
        <w:rPr>
          <w:rFonts w:ascii="Simplified Arabic" w:hAnsi="Simplified Arabic" w:cs="Simplified Arabic" w:hint="cs"/>
          <w:sz w:val="24"/>
          <w:szCs w:val="24"/>
          <w:rtl/>
          <w:lang w:bidi="ar-DZ"/>
        </w:rPr>
        <w:t>اثناء وأعقاب</w:t>
      </w:r>
      <w:r w:rsidRPr="00493A15">
        <w:rPr>
          <w:rFonts w:ascii="Simplified Arabic" w:hAnsi="Simplified Arabic" w:cs="Simplified Arabic"/>
          <w:sz w:val="24"/>
          <w:szCs w:val="24"/>
          <w:rtl/>
          <w:lang w:bidi="ar-DZ"/>
        </w:rPr>
        <w:t xml:space="preserve"> </w:t>
      </w:r>
      <w:r w:rsidRPr="00493A15">
        <w:rPr>
          <w:rFonts w:ascii="Simplified Arabic" w:hAnsi="Simplified Arabic" w:cs="Simplified Arabic" w:hint="cs"/>
          <w:sz w:val="24"/>
          <w:szCs w:val="24"/>
          <w:rtl/>
          <w:lang w:bidi="ar-DZ"/>
        </w:rPr>
        <w:t>الأزمة</w:t>
      </w:r>
      <w:r w:rsidRPr="00493A15">
        <w:rPr>
          <w:rFonts w:ascii="Simplified Arabic" w:hAnsi="Simplified Arabic" w:cs="Simplified Arabic"/>
          <w:sz w:val="24"/>
          <w:szCs w:val="24"/>
          <w:rtl/>
          <w:lang w:bidi="ar-DZ"/>
        </w:rPr>
        <w:t xml:space="preserve"> </w:t>
      </w:r>
      <w:r w:rsidRPr="00493A15">
        <w:rPr>
          <w:rFonts w:asciiTheme="majorBidi" w:hAnsiTheme="majorBidi" w:cstheme="majorBidi"/>
          <w:sz w:val="24"/>
          <w:szCs w:val="24"/>
          <w:rtl/>
          <w:lang w:bidi="ar-DZ"/>
        </w:rPr>
        <w:t>(</w:t>
      </w:r>
      <w:r w:rsidRPr="00157C4E">
        <w:rPr>
          <w:rFonts w:asciiTheme="majorBidi" w:hAnsiTheme="majorBidi" w:cstheme="majorBidi"/>
          <w:sz w:val="24"/>
          <w:szCs w:val="24"/>
          <w:lang w:bidi="ar-DZ"/>
        </w:rPr>
        <w:t>Sharifi and Yamagata, 2016</w:t>
      </w:r>
      <w:r w:rsidRPr="00157C4E">
        <w:rPr>
          <w:rFonts w:asciiTheme="majorBidi" w:hAnsiTheme="majorBidi" w:cstheme="majorBidi"/>
          <w:sz w:val="24"/>
          <w:szCs w:val="24"/>
          <w:rtl/>
          <w:lang w:bidi="ar-DZ"/>
        </w:rPr>
        <w:t>)</w:t>
      </w:r>
      <w:r w:rsidRPr="00157C4E">
        <w:rPr>
          <w:rFonts w:ascii="Simplified Arabic" w:hAnsi="Simplified Arabic" w:cs="Simplified Arabic" w:hint="cs"/>
          <w:color w:val="000000" w:themeColor="text1"/>
          <w:sz w:val="24"/>
          <w:szCs w:val="24"/>
          <w:rtl/>
          <w:lang w:val="en-US"/>
        </w:rPr>
        <w:t>،</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تستخدم</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كل</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نوع وظيفة</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استراتيجيتها</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الخاصة</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للاستجابة</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مع</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الاضطراب،</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بالتالي</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ضمان</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استمرار</w:t>
      </w:r>
      <w:r w:rsidRPr="00157C4E">
        <w:rPr>
          <w:rFonts w:ascii="Simplified Arabic" w:hAnsi="Simplified Arabic" w:cs="Simplified Arabic"/>
          <w:color w:val="000000" w:themeColor="text1"/>
          <w:sz w:val="24"/>
          <w:szCs w:val="24"/>
          <w:rtl/>
          <w:lang w:val="en-US"/>
        </w:rPr>
        <w:t xml:space="preserve"> </w:t>
      </w:r>
      <w:r w:rsidRPr="00157C4E">
        <w:rPr>
          <w:rFonts w:ascii="Simplified Arabic" w:hAnsi="Simplified Arabic" w:cs="Simplified Arabic" w:hint="cs"/>
          <w:color w:val="000000" w:themeColor="text1"/>
          <w:sz w:val="24"/>
          <w:szCs w:val="24"/>
          <w:rtl/>
          <w:lang w:val="en-US"/>
        </w:rPr>
        <w:t>أداء الوظائف</w:t>
      </w:r>
      <w:r w:rsidRPr="00157C4E">
        <w:rPr>
          <w:rFonts w:ascii="Simplified Arabic" w:hAnsi="Simplified Arabic" w:cs="Simplified Arabic"/>
          <w:color w:val="000000" w:themeColor="text1"/>
          <w:sz w:val="24"/>
          <w:szCs w:val="24"/>
          <w:rtl/>
          <w:lang w:val="en-US"/>
        </w:rPr>
        <w:t xml:space="preserve"> (</w:t>
      </w:r>
      <w:r w:rsidRPr="00157C4E">
        <w:rPr>
          <w:rFonts w:asciiTheme="majorBidi" w:hAnsiTheme="majorBidi" w:cstheme="majorBidi"/>
          <w:color w:val="000000" w:themeColor="text1"/>
          <w:sz w:val="24"/>
          <w:szCs w:val="24"/>
          <w:lang w:val="en-US"/>
        </w:rPr>
        <w:t>Ferreira,</w:t>
      </w:r>
      <w:r w:rsidRPr="00125CCB">
        <w:rPr>
          <w:rFonts w:asciiTheme="majorBidi" w:hAnsiTheme="majorBidi" w:cstheme="majorBidi"/>
          <w:color w:val="000000" w:themeColor="text1"/>
          <w:sz w:val="24"/>
          <w:szCs w:val="24"/>
          <w:lang w:val="en-US"/>
        </w:rPr>
        <w:t xml:space="preserve"> 2016</w:t>
      </w:r>
      <w:r w:rsidRPr="00125CCB">
        <w:rPr>
          <w:rFonts w:asciiTheme="majorBidi" w:hAnsiTheme="majorBidi" w:cstheme="majorBidi"/>
          <w:color w:val="000000" w:themeColor="text1"/>
          <w:sz w:val="24"/>
          <w:szCs w:val="24"/>
          <w:rtl/>
          <w:lang w:val="en-US"/>
        </w:rPr>
        <w:t>)</w:t>
      </w:r>
      <w:r w:rsidRPr="004B27C0">
        <w:rPr>
          <w:rFonts w:ascii="Simplified Arabic" w:hAnsi="Simplified Arabic" w:cs="Simplified Arabic"/>
          <w:sz w:val="24"/>
          <w:szCs w:val="24"/>
          <w:rtl/>
          <w:lang w:bidi="ar-DZ"/>
        </w:rPr>
        <w:t>.</w:t>
      </w:r>
      <w:r w:rsidRPr="004B27C0">
        <w:rPr>
          <w:rFonts w:ascii="Simplified Arabic" w:hAnsi="Simplified Arabic" w:cs="Simplified Arabic" w:hint="cs"/>
          <w:sz w:val="24"/>
          <w:szCs w:val="24"/>
          <w:rtl/>
          <w:lang w:bidi="ar-DZ"/>
        </w:rPr>
        <w:t xml:space="preserve"> </w:t>
      </w:r>
    </w:p>
    <w:p w:rsidR="002A686B" w:rsidRDefault="002A686B" w:rsidP="002A686B">
      <w:pPr>
        <w:bidi/>
        <w:spacing w:after="0"/>
        <w:ind w:firstLine="283"/>
        <w:jc w:val="both"/>
        <w:rPr>
          <w:rFonts w:ascii="Simplified Arabic" w:hAnsi="Simplified Arabic" w:cs="Simplified Arabic"/>
          <w:sz w:val="24"/>
          <w:szCs w:val="24"/>
          <w:lang w:bidi="ar-DZ"/>
        </w:rPr>
      </w:pPr>
      <w:r>
        <w:rPr>
          <w:rFonts w:ascii="Simplified Arabic" w:hAnsi="Simplified Arabic" w:cs="Simplified Arabic"/>
          <w:sz w:val="24"/>
          <w:szCs w:val="24"/>
          <w:rtl/>
          <w:lang w:bidi="ar-DZ"/>
        </w:rPr>
        <w:t xml:space="preserve">أكد </w:t>
      </w:r>
      <w:r>
        <w:rPr>
          <w:rFonts w:asciiTheme="majorBidi" w:hAnsiTheme="majorBidi" w:cstheme="majorBidi"/>
          <w:color w:val="0D0D0D"/>
          <w:sz w:val="24"/>
          <w:szCs w:val="24"/>
        </w:rPr>
        <w:t>(Allen et al., 2016)</w:t>
      </w:r>
      <w:r>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على ضرورة تكامل وكذلك الترتيبات المكانية للعناصر من اجل تحسين المرونة. بهذا المعنى، ي</w:t>
      </w:r>
      <w:r w:rsidRPr="00B72F7F">
        <w:rPr>
          <w:rFonts w:ascii="Simplified Arabic" w:hAnsi="Simplified Arabic" w:cs="Simplified Arabic" w:hint="cs"/>
          <w:sz w:val="24"/>
          <w:szCs w:val="24"/>
          <w:rtl/>
          <w:lang w:bidi="ar-DZ"/>
        </w:rPr>
        <w:t>فهم</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التنوع</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وظيفيًا،</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على</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أنه</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توافر</w:t>
      </w:r>
      <w:r w:rsidRPr="00B72F7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انواع مختلفة</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من</w:t>
      </w:r>
      <w:r w:rsidRPr="00B72F7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المرافق والخدمات</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المتميزة</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في</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الجوار</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القريب</w:t>
      </w:r>
      <w:r w:rsidRPr="00B72F7F">
        <w:rPr>
          <w:rFonts w:ascii="Simplified Arabic" w:hAnsi="Simplified Arabic" w:cs="Simplified Arabic"/>
          <w:sz w:val="24"/>
          <w:szCs w:val="24"/>
          <w:rtl/>
          <w:lang w:bidi="ar-DZ"/>
        </w:rPr>
        <w:t>.</w:t>
      </w:r>
      <w:r w:rsidRPr="00135241">
        <w:rPr>
          <w:rFonts w:ascii="Simplified Arabic" w:hAnsi="Simplified Arabic" w:cs="Simplified Arabic" w:hint="cs"/>
          <w:sz w:val="24"/>
          <w:szCs w:val="24"/>
          <w:rtl/>
          <w:lang w:bidi="ar-DZ"/>
        </w:rPr>
        <w:t xml:space="preserve"> </w:t>
      </w:r>
      <w:r w:rsidRPr="00FC4049">
        <w:rPr>
          <w:rFonts w:ascii="Simplified Arabic" w:hAnsi="Simplified Arabic" w:cs="Simplified Arabic" w:hint="cs"/>
          <w:color w:val="000000" w:themeColor="text1"/>
          <w:sz w:val="24"/>
          <w:szCs w:val="24"/>
          <w:rtl/>
          <w:lang w:val="en-US"/>
        </w:rPr>
        <w:t>يركز</w:t>
      </w:r>
      <w:r w:rsidRPr="00FC4049">
        <w:rPr>
          <w:rFonts w:ascii="Simplified Arabic" w:hAnsi="Simplified Arabic" w:cs="Simplified Arabic"/>
          <w:color w:val="000000" w:themeColor="text1"/>
          <w:sz w:val="24"/>
          <w:szCs w:val="24"/>
          <w:rtl/>
          <w:lang w:val="en-US"/>
        </w:rPr>
        <w:t xml:space="preserve"> </w:t>
      </w:r>
      <w:r w:rsidRPr="00FC4049">
        <w:rPr>
          <w:rFonts w:ascii="Simplified Arabic" w:hAnsi="Simplified Arabic" w:cs="Simplified Arabic" w:hint="cs"/>
          <w:color w:val="000000" w:themeColor="text1"/>
          <w:sz w:val="24"/>
          <w:szCs w:val="24"/>
          <w:rtl/>
          <w:lang w:val="en-US"/>
        </w:rPr>
        <w:t>التنوع</w:t>
      </w:r>
      <w:r w:rsidRPr="00FC4049">
        <w:rPr>
          <w:rFonts w:ascii="Simplified Arabic" w:hAnsi="Simplified Arabic" w:cs="Simplified Arabic"/>
          <w:color w:val="000000" w:themeColor="text1"/>
          <w:sz w:val="24"/>
          <w:szCs w:val="24"/>
          <w:rtl/>
          <w:lang w:val="en-US"/>
        </w:rPr>
        <w:t xml:space="preserve"> </w:t>
      </w:r>
      <w:r w:rsidRPr="00FC4049">
        <w:rPr>
          <w:rFonts w:ascii="Simplified Arabic" w:hAnsi="Simplified Arabic" w:cs="Simplified Arabic" w:hint="cs"/>
          <w:color w:val="000000" w:themeColor="text1"/>
          <w:sz w:val="24"/>
          <w:szCs w:val="24"/>
          <w:rtl/>
          <w:lang w:val="en-US"/>
        </w:rPr>
        <w:t>على</w:t>
      </w:r>
      <w:r w:rsidRPr="00FC4049">
        <w:rPr>
          <w:rFonts w:ascii="Simplified Arabic" w:hAnsi="Simplified Arabic" w:cs="Simplified Arabic"/>
          <w:color w:val="000000" w:themeColor="text1"/>
          <w:sz w:val="24"/>
          <w:szCs w:val="24"/>
          <w:rtl/>
          <w:lang w:val="en-US"/>
        </w:rPr>
        <w:t xml:space="preserve"> </w:t>
      </w:r>
      <w:r w:rsidRPr="00FC4049">
        <w:rPr>
          <w:rFonts w:ascii="Simplified Arabic" w:hAnsi="Simplified Arabic" w:cs="Simplified Arabic" w:hint="cs"/>
          <w:color w:val="000000" w:themeColor="text1"/>
          <w:sz w:val="24"/>
          <w:szCs w:val="24"/>
          <w:rtl/>
          <w:lang w:val="en-US"/>
        </w:rPr>
        <w:t>نسبة</w:t>
      </w:r>
      <w:r w:rsidRPr="00FC4049">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 xml:space="preserve">تواجد </w:t>
      </w:r>
      <w:r>
        <w:rPr>
          <w:rFonts w:ascii="Simplified Arabic" w:hAnsi="Simplified Arabic" w:cs="Simplified Arabic" w:hint="cs"/>
          <w:sz w:val="24"/>
          <w:szCs w:val="24"/>
          <w:rtl/>
          <w:lang w:bidi="ar-DZ"/>
        </w:rPr>
        <w:t xml:space="preserve">المرافق </w:t>
      </w:r>
      <w:r w:rsidRPr="00FC4049">
        <w:rPr>
          <w:rFonts w:ascii="Simplified Arabic" w:hAnsi="Simplified Arabic" w:cs="Simplified Arabic" w:hint="cs"/>
          <w:color w:val="000000" w:themeColor="text1"/>
          <w:sz w:val="24"/>
          <w:szCs w:val="24"/>
          <w:rtl/>
          <w:lang w:val="en-US"/>
        </w:rPr>
        <w:t>الم</w:t>
      </w:r>
      <w:r>
        <w:rPr>
          <w:rFonts w:ascii="Simplified Arabic" w:hAnsi="Simplified Arabic" w:cs="Simplified Arabic" w:hint="cs"/>
          <w:color w:val="000000" w:themeColor="text1"/>
          <w:sz w:val="24"/>
          <w:szCs w:val="24"/>
          <w:rtl/>
          <w:lang w:val="en-US"/>
        </w:rPr>
        <w:t>تنوع</w:t>
      </w:r>
      <w:r w:rsidRPr="00FC4049">
        <w:rPr>
          <w:rFonts w:ascii="Simplified Arabic" w:hAnsi="Simplified Arabic" w:cs="Simplified Arabic" w:hint="cs"/>
          <w:color w:val="000000" w:themeColor="text1"/>
          <w:sz w:val="24"/>
          <w:szCs w:val="24"/>
          <w:rtl/>
          <w:lang w:val="en-US"/>
        </w:rPr>
        <w:t>ة</w:t>
      </w:r>
      <w:r>
        <w:rPr>
          <w:rFonts w:ascii="Simplified Arabic" w:hAnsi="Simplified Arabic" w:cs="Simplified Arabic" w:hint="cs"/>
          <w:color w:val="000000" w:themeColor="text1"/>
          <w:sz w:val="24"/>
          <w:szCs w:val="24"/>
          <w:rtl/>
          <w:lang w:val="en-US"/>
        </w:rPr>
        <w:t xml:space="preserve">. </w:t>
      </w:r>
      <w:r w:rsidRPr="00135241">
        <w:rPr>
          <w:rFonts w:ascii="Simplified Arabic" w:hAnsi="Simplified Arabic" w:cs="Simplified Arabic" w:hint="cs"/>
          <w:sz w:val="24"/>
          <w:szCs w:val="24"/>
          <w:rtl/>
          <w:lang w:bidi="ar-DZ"/>
        </w:rPr>
        <w:t>حاليًا</w:t>
      </w:r>
      <w:r>
        <w:rPr>
          <w:rFonts w:ascii="Simplified Arabic" w:hAnsi="Simplified Arabic" w:cs="Simplified Arabic" w:hint="cs"/>
          <w:sz w:val="24"/>
          <w:szCs w:val="24"/>
          <w:rtl/>
          <w:lang w:bidi="ar-DZ"/>
        </w:rPr>
        <w:t xml:space="preserve">، </w:t>
      </w:r>
      <w:r w:rsidRPr="00135241">
        <w:rPr>
          <w:rFonts w:ascii="Simplified Arabic" w:hAnsi="Simplified Arabic" w:cs="Simplified Arabic" w:hint="cs"/>
          <w:sz w:val="24"/>
          <w:szCs w:val="24"/>
          <w:rtl/>
          <w:lang w:bidi="ar-DZ"/>
        </w:rPr>
        <w:t>لا</w:t>
      </w:r>
      <w:r w:rsidRPr="0013524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w:t>
      </w:r>
      <w:r w:rsidRPr="00135241">
        <w:rPr>
          <w:rFonts w:ascii="Simplified Arabic" w:hAnsi="Simplified Arabic" w:cs="Simplified Arabic" w:hint="cs"/>
          <w:sz w:val="24"/>
          <w:szCs w:val="24"/>
          <w:rtl/>
          <w:lang w:bidi="ar-DZ"/>
        </w:rPr>
        <w:t>وجد</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نمط</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صحيح</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من</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التنوع</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للمرونة</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المكانية</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ضمن</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تحليل</w:t>
      </w:r>
      <w:r w:rsidRPr="0013524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سمة </w:t>
      </w:r>
      <w:r w:rsidRPr="00135241">
        <w:rPr>
          <w:rFonts w:ascii="Simplified Arabic" w:hAnsi="Simplified Arabic" w:cs="Simplified Arabic" w:hint="cs"/>
          <w:sz w:val="24"/>
          <w:szCs w:val="24"/>
          <w:rtl/>
          <w:lang w:bidi="ar-DZ"/>
        </w:rPr>
        <w:t>التنوع</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لذلك،</w:t>
      </w:r>
      <w:r w:rsidRPr="00135241">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w:t>
      </w:r>
      <w:r w:rsidRPr="00135241">
        <w:rPr>
          <w:rFonts w:ascii="Simplified Arabic" w:hAnsi="Simplified Arabic" w:cs="Simplified Arabic" w:hint="cs"/>
          <w:sz w:val="24"/>
          <w:szCs w:val="24"/>
          <w:rtl/>
          <w:lang w:bidi="ar-DZ"/>
        </w:rPr>
        <w:t>فترض</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هذ</w:t>
      </w:r>
      <w:r>
        <w:rPr>
          <w:rFonts w:ascii="Simplified Arabic" w:hAnsi="Simplified Arabic" w:cs="Simplified Arabic" w:hint="cs"/>
          <w:sz w:val="24"/>
          <w:szCs w:val="24"/>
          <w:rtl/>
          <w:lang w:bidi="ar-DZ"/>
        </w:rPr>
        <w:t>ا البحث</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أن</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التنوع</w:t>
      </w:r>
      <w:r w:rsidRPr="00135241">
        <w:rPr>
          <w:rFonts w:ascii="Simplified Arabic" w:hAnsi="Simplified Arabic" w:cs="Simplified Arabic"/>
          <w:sz w:val="24"/>
          <w:szCs w:val="24"/>
          <w:rtl/>
          <w:lang w:bidi="ar-DZ"/>
        </w:rPr>
        <w:t xml:space="preserve"> </w:t>
      </w:r>
      <w:r w:rsidRPr="00135241">
        <w:rPr>
          <w:rFonts w:ascii="Simplified Arabic" w:hAnsi="Simplified Arabic" w:cs="Simplified Arabic" w:hint="cs"/>
          <w:sz w:val="24"/>
          <w:szCs w:val="24"/>
          <w:rtl/>
          <w:lang w:bidi="ar-DZ"/>
        </w:rPr>
        <w:t xml:space="preserve">الأفضل </w:t>
      </w:r>
      <w:r>
        <w:rPr>
          <w:rFonts w:ascii="Simplified Arabic" w:hAnsi="Simplified Arabic" w:cs="Simplified Arabic" w:hint="cs"/>
          <w:sz w:val="24"/>
          <w:szCs w:val="24"/>
          <w:rtl/>
          <w:lang w:bidi="ar-DZ"/>
        </w:rPr>
        <w:t xml:space="preserve">الذي يضم عدد </w:t>
      </w:r>
      <w:r w:rsidRPr="0030761A">
        <w:rPr>
          <w:rFonts w:ascii="Simplified Arabic" w:hAnsi="Simplified Arabic" w:cs="Simplified Arabic" w:hint="cs"/>
          <w:sz w:val="24"/>
          <w:szCs w:val="24"/>
          <w:rtl/>
          <w:lang w:bidi="ar-DZ"/>
        </w:rPr>
        <w:t>أعلى</w:t>
      </w:r>
      <w:r w:rsidRPr="0030761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من انواع المرافق، تقع ضمن مسافة معيارية نظرية.</w:t>
      </w:r>
    </w:p>
    <w:p w:rsidR="002A686B" w:rsidRPr="0030761A" w:rsidRDefault="002A686B" w:rsidP="000D5C80">
      <w:pPr>
        <w:bidi/>
        <w:spacing w:after="0"/>
        <w:ind w:firstLine="283"/>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يذكر هنا، </w:t>
      </w:r>
      <w:r w:rsidRPr="0030761A">
        <w:rPr>
          <w:rFonts w:ascii="Simplified Arabic" w:hAnsi="Simplified Arabic" w:cs="Simplified Arabic" w:hint="cs"/>
          <w:sz w:val="24"/>
          <w:szCs w:val="24"/>
          <w:rtl/>
          <w:lang w:bidi="ar-DZ"/>
        </w:rPr>
        <w:t>ضمن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تحليل</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التنوع</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أنه</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لا</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توجد</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حاليًا</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معايير</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حالية</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لما</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يعتبر</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جيدًا</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التنوع</w:t>
      </w:r>
      <w:r w:rsidRPr="0030761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من حيث القياس </w:t>
      </w:r>
      <w:r w:rsidRPr="0030761A">
        <w:rPr>
          <w:rFonts w:ascii="Simplified Arabic" w:hAnsi="Simplified Arabic" w:cs="Simplified Arabic" w:hint="cs"/>
          <w:sz w:val="24"/>
          <w:szCs w:val="24"/>
          <w:rtl/>
          <w:lang w:bidi="ar-DZ"/>
        </w:rPr>
        <w:t>الكمي</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أو</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النوع</w:t>
      </w:r>
      <w:r>
        <w:rPr>
          <w:rFonts w:ascii="Simplified Arabic" w:hAnsi="Simplified Arabic" w:cs="Simplified Arabic" w:hint="cs"/>
          <w:sz w:val="24"/>
          <w:szCs w:val="24"/>
          <w:rtl/>
          <w:lang w:bidi="ar-DZ"/>
        </w:rPr>
        <w:t>ي</w:t>
      </w:r>
      <w:r w:rsidRPr="0030761A">
        <w:rPr>
          <w:rFonts w:ascii="Simplified Arabic" w:hAnsi="Simplified Arabic" w:cs="Simplified Arabic" w:hint="cs"/>
          <w:sz w:val="24"/>
          <w:szCs w:val="24"/>
          <w:rtl/>
          <w:lang w:bidi="ar-DZ"/>
        </w:rPr>
        <w:t xml:space="preserve"> الصحيح</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للمرونة</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المكانية</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الحضرية</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لذلك،</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كان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الافتراض</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الأساسي</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في</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هذ</w:t>
      </w:r>
      <w:r>
        <w:rPr>
          <w:rFonts w:ascii="Simplified Arabic" w:hAnsi="Simplified Arabic" w:cs="Simplified Arabic" w:hint="cs"/>
          <w:sz w:val="24"/>
          <w:szCs w:val="24"/>
          <w:rtl/>
          <w:lang w:bidi="ar-DZ"/>
        </w:rPr>
        <w:t xml:space="preserve">ا البحث، </w:t>
      </w:r>
      <w:r w:rsidRPr="0030761A">
        <w:rPr>
          <w:rFonts w:ascii="Simplified Arabic" w:hAnsi="Simplified Arabic" w:cs="Simplified Arabic" w:hint="cs"/>
          <w:sz w:val="24"/>
          <w:szCs w:val="24"/>
          <w:rtl/>
          <w:lang w:bidi="ar-DZ"/>
        </w:rPr>
        <w:t>أن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التنوع</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الأفضل هو</w:t>
      </w:r>
      <w:r>
        <w:rPr>
          <w:rFonts w:ascii="Simplified Arabic" w:hAnsi="Simplified Arabic" w:cs="Simplified Arabic" w:hint="cs"/>
          <w:sz w:val="24"/>
          <w:szCs w:val="24"/>
          <w:rtl/>
          <w:lang w:bidi="ar-DZ"/>
        </w:rPr>
        <w:t xml:space="preserve"> عدد </w:t>
      </w:r>
      <w:r w:rsidRPr="0030761A">
        <w:rPr>
          <w:rFonts w:ascii="Simplified Arabic" w:hAnsi="Simplified Arabic" w:cs="Simplified Arabic" w:hint="cs"/>
          <w:sz w:val="24"/>
          <w:szCs w:val="24"/>
          <w:rtl/>
          <w:lang w:bidi="ar-DZ"/>
        </w:rPr>
        <w:t>أعلى</w:t>
      </w:r>
      <w:r w:rsidRPr="0030761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من انواع المرافق</w:t>
      </w:r>
      <w:r w:rsidRPr="0030761A">
        <w:rPr>
          <w:rFonts w:ascii="Simplified Arabic" w:hAnsi="Simplified Arabic" w:cs="Simplified Arabic" w:hint="cs"/>
          <w:sz w:val="24"/>
          <w:szCs w:val="24"/>
          <w:rtl/>
          <w:lang w:bidi="ar-DZ"/>
        </w:rPr>
        <w:t>،</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على</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الرغم</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أن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مقاييس</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التنوع</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المستخدمة</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لتقييم</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تنوع</w:t>
      </w:r>
      <w:r w:rsidRPr="0030761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مكونات العناصر الحضرية</w:t>
      </w:r>
      <w:r w:rsidRPr="0030761A">
        <w:rPr>
          <w:rFonts w:ascii="Simplified Arabic" w:hAnsi="Simplified Arabic" w:cs="Simplified Arabic" w:hint="cs"/>
          <w:sz w:val="24"/>
          <w:szCs w:val="24"/>
          <w:rtl/>
          <w:lang w:bidi="ar-DZ"/>
        </w:rPr>
        <w:t>،</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قد</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تم</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انتقادها</w:t>
      </w:r>
      <w:r w:rsidRPr="0030761A">
        <w:rPr>
          <w:rFonts w:ascii="Simplified Arabic" w:hAnsi="Simplified Arabic" w:cs="Simplified Arabic"/>
          <w:sz w:val="24"/>
          <w:szCs w:val="24"/>
          <w:rtl/>
          <w:lang w:bidi="ar-DZ"/>
        </w:rPr>
        <w:t xml:space="preserve"> </w:t>
      </w:r>
      <w:r w:rsidRPr="00157C4E">
        <w:rPr>
          <w:rFonts w:ascii="Simplified Arabic" w:hAnsi="Simplified Arabic" w:cs="Simplified Arabic" w:hint="cs"/>
          <w:sz w:val="24"/>
          <w:szCs w:val="24"/>
          <w:rtl/>
          <w:lang w:bidi="ar-DZ"/>
        </w:rPr>
        <w:t>سابقًا</w:t>
      </w:r>
      <w:r w:rsidRPr="00157C4E">
        <w:rPr>
          <w:rFonts w:cs="Arial"/>
          <w:sz w:val="24"/>
          <w:szCs w:val="24"/>
          <w:rtl/>
          <w:lang w:bidi="ar-DZ"/>
        </w:rPr>
        <w:t xml:space="preserve"> </w:t>
      </w:r>
      <w:r w:rsidRPr="00157C4E">
        <w:rPr>
          <w:rFonts w:asciiTheme="majorBidi" w:hAnsiTheme="majorBidi" w:cstheme="majorBidi"/>
          <w:color w:val="000000" w:themeColor="text1"/>
          <w:sz w:val="24"/>
          <w:szCs w:val="24"/>
          <w:rtl/>
          <w:lang w:val="en-US"/>
        </w:rPr>
        <w:t>(</w:t>
      </w:r>
      <w:r w:rsidRPr="00157C4E">
        <w:rPr>
          <w:rFonts w:asciiTheme="majorBidi" w:hAnsiTheme="majorBidi" w:cstheme="majorBidi"/>
          <w:color w:val="000000" w:themeColor="text1"/>
          <w:sz w:val="24"/>
          <w:szCs w:val="24"/>
          <w:lang w:val="en-US"/>
        </w:rPr>
        <w:t>Bourdic et al., 2012; Dovey and Pafka, 2017</w:t>
      </w:r>
      <w:r w:rsidRPr="00157C4E">
        <w:rPr>
          <w:rFonts w:asciiTheme="majorBidi" w:hAnsiTheme="majorBidi" w:cstheme="majorBidi"/>
          <w:color w:val="000000" w:themeColor="text1"/>
          <w:sz w:val="24"/>
          <w:szCs w:val="24"/>
          <w:rtl/>
          <w:lang w:val="en-US"/>
        </w:rPr>
        <w:t>)</w:t>
      </w:r>
      <w:r w:rsidRPr="00157C4E">
        <w:rPr>
          <w:rFonts w:asciiTheme="majorBidi" w:hAnsiTheme="majorBidi" w:cstheme="majorBidi" w:hint="cs"/>
          <w:color w:val="000000" w:themeColor="text1"/>
          <w:sz w:val="24"/>
          <w:szCs w:val="24"/>
          <w:rtl/>
          <w:lang w:val="en-US"/>
        </w:rPr>
        <w:t>،</w:t>
      </w:r>
      <w:r w:rsidRPr="00157C4E">
        <w:rPr>
          <w:rFonts w:cs="Arial"/>
          <w:sz w:val="24"/>
          <w:szCs w:val="24"/>
          <w:rtl/>
          <w:lang w:bidi="ar-DZ"/>
        </w:rPr>
        <w:t xml:space="preserve"> </w:t>
      </w:r>
      <w:r w:rsidRPr="00157C4E">
        <w:rPr>
          <w:rFonts w:ascii="Simplified Arabic" w:hAnsi="Simplified Arabic" w:cs="Simplified Arabic" w:hint="cs"/>
          <w:sz w:val="24"/>
          <w:szCs w:val="24"/>
          <w:rtl/>
          <w:lang w:bidi="ar-DZ"/>
        </w:rPr>
        <w:t>لأنه</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من</w:t>
      </w:r>
      <w:r w:rsidRPr="0030761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المفترض</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أن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يكون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هناك</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توزيع</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متساوي</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للعناصر</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الحضرية</w:t>
      </w:r>
      <w:r>
        <w:rPr>
          <w:rFonts w:ascii="Simplified Arabic" w:hAnsi="Simplified Arabic" w:cs="Simplified Arabic" w:hint="cs"/>
          <w:sz w:val="24"/>
          <w:szCs w:val="24"/>
          <w:rtl/>
          <w:lang w:bidi="ar-DZ"/>
        </w:rPr>
        <w:t xml:space="preserve"> </w:t>
      </w:r>
      <w:r w:rsidRPr="00DB4514">
        <w:rPr>
          <w:rFonts w:asciiTheme="majorBidi" w:hAnsiTheme="majorBidi" w:cstheme="majorBidi"/>
          <w:sz w:val="24"/>
          <w:szCs w:val="24"/>
          <w:rtl/>
        </w:rPr>
        <w:t>(</w:t>
      </w:r>
      <w:r w:rsidRPr="00DB4514">
        <w:rPr>
          <w:rFonts w:asciiTheme="majorBidi" w:hAnsiTheme="majorBidi" w:cstheme="majorBidi"/>
          <w:sz w:val="24"/>
          <w:szCs w:val="24"/>
        </w:rPr>
        <w:t>Mayouf and Nouibat, 2022</w:t>
      </w:r>
      <w:r w:rsidRPr="00DB4514">
        <w:rPr>
          <w:rFonts w:asciiTheme="majorBidi" w:hAnsiTheme="majorBidi" w:cstheme="majorBidi"/>
          <w:sz w:val="24"/>
          <w:szCs w:val="24"/>
          <w:rtl/>
        </w:rPr>
        <w:t>)</w:t>
      </w:r>
      <w:r w:rsidRPr="0030761A">
        <w:rPr>
          <w:rFonts w:ascii="Simplified Arabic" w:hAnsi="Simplified Arabic" w:cs="Simplified Arabic"/>
          <w:sz w:val="24"/>
          <w:szCs w:val="24"/>
          <w:rtl/>
          <w:lang w:bidi="ar-DZ"/>
        </w:rPr>
        <w:t>.</w:t>
      </w:r>
    </w:p>
    <w:p w:rsidR="002A686B" w:rsidRPr="008D1804" w:rsidRDefault="002A686B" w:rsidP="002A686B">
      <w:pPr>
        <w:bidi/>
        <w:spacing w:after="0"/>
        <w:ind w:firstLine="283"/>
        <w:jc w:val="both"/>
        <w:rPr>
          <w:rtl/>
          <w:lang w:bidi="ar-DZ"/>
        </w:rPr>
      </w:pPr>
      <w:r w:rsidRPr="00A93E95">
        <w:rPr>
          <w:rFonts w:ascii="Simplified Arabic" w:hAnsi="Simplified Arabic" w:cs="Simplified Arabic" w:hint="cs"/>
          <w:sz w:val="24"/>
          <w:szCs w:val="24"/>
          <w:rtl/>
          <w:lang w:val="en-US" w:bidi="ar-DZ"/>
        </w:rPr>
        <w:t>يتم</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قياس</w:t>
      </w:r>
      <w:r w:rsidRPr="00A93E95">
        <w:rPr>
          <w:rFonts w:ascii="Simplified Arabic" w:hAnsi="Simplified Arabic" w:cs="Simplified Arabic"/>
          <w:sz w:val="24"/>
          <w:szCs w:val="24"/>
          <w:rtl/>
          <w:lang w:val="en-US" w:bidi="ar-DZ"/>
        </w:rPr>
        <w:t xml:space="preserve"> </w:t>
      </w:r>
      <w:r w:rsidRPr="00582395">
        <w:rPr>
          <w:rFonts w:ascii="Simplified Arabic" w:hAnsi="Simplified Arabic" w:cs="Simplified Arabic" w:hint="cs"/>
          <w:color w:val="000000" w:themeColor="text1"/>
          <w:sz w:val="24"/>
          <w:szCs w:val="24"/>
          <w:rtl/>
          <w:lang w:bidi="ar-DZ"/>
        </w:rPr>
        <w:t xml:space="preserve">تنوع </w:t>
      </w:r>
      <w:r>
        <w:rPr>
          <w:rFonts w:ascii="Simplified Arabic" w:hAnsi="Simplified Arabic" w:cs="Simplified Arabic" w:hint="cs"/>
          <w:color w:val="000000" w:themeColor="text1"/>
          <w:sz w:val="24"/>
          <w:szCs w:val="24"/>
          <w:rtl/>
          <w:lang w:bidi="ar-DZ"/>
        </w:rPr>
        <w:t>ا</w:t>
      </w:r>
      <w:r w:rsidRPr="00582395">
        <w:rPr>
          <w:rFonts w:ascii="Simplified Arabic" w:hAnsi="Simplified Arabic" w:cs="Simplified Arabic" w:hint="cs"/>
          <w:color w:val="000000" w:themeColor="text1"/>
          <w:sz w:val="24"/>
          <w:szCs w:val="24"/>
          <w:rtl/>
          <w:lang w:bidi="ar-DZ"/>
        </w:rPr>
        <w:t xml:space="preserve">لمرافق المحتمل </w:t>
      </w:r>
      <w:r w:rsidRPr="00B14D18">
        <w:rPr>
          <w:rFonts w:ascii="Simplified Arabic" w:eastAsia="Times New Roman" w:hAnsi="Simplified Arabic" w:cs="Simplified Arabic" w:hint="cs"/>
          <w:b/>
          <w:sz w:val="24"/>
          <w:szCs w:val="24"/>
          <w:rtl/>
          <w:lang w:val="en-US" w:eastAsia="fr-FR"/>
        </w:rPr>
        <w:t>لكل</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حي سكني</w:t>
      </w:r>
      <w:r w:rsidRPr="00A93E95">
        <w:rPr>
          <w:rFonts w:ascii="Simplified Arabic" w:hAnsi="Simplified Arabic" w:cs="Simplified Arabic" w:hint="cs"/>
          <w:sz w:val="24"/>
          <w:szCs w:val="24"/>
          <w:rtl/>
          <w:lang w:val="en-US" w:bidi="ar-DZ"/>
        </w:rPr>
        <w:t xml:space="preserve"> </w:t>
      </w:r>
      <w:r w:rsidRPr="00582395">
        <w:rPr>
          <w:rFonts w:ascii="Simplified Arabic" w:hAnsi="Simplified Arabic" w:cs="Simplified Arabic" w:hint="cs"/>
          <w:color w:val="000000" w:themeColor="text1"/>
          <w:sz w:val="24"/>
          <w:szCs w:val="24"/>
          <w:rtl/>
          <w:lang w:bidi="ar-DZ"/>
        </w:rPr>
        <w:t xml:space="preserve">من خلال النظر في تنوع </w:t>
      </w:r>
      <w:r>
        <w:rPr>
          <w:rFonts w:ascii="Simplified Arabic" w:hAnsi="Simplified Arabic" w:cs="Simplified Arabic" w:hint="cs"/>
          <w:color w:val="000000" w:themeColor="text1"/>
          <w:sz w:val="24"/>
          <w:szCs w:val="24"/>
          <w:rtl/>
          <w:lang w:bidi="ar-DZ"/>
        </w:rPr>
        <w:t>ا</w:t>
      </w:r>
      <w:r w:rsidRPr="00582395">
        <w:rPr>
          <w:rFonts w:ascii="Simplified Arabic" w:hAnsi="Simplified Arabic" w:cs="Simplified Arabic" w:hint="cs"/>
          <w:color w:val="000000" w:themeColor="text1"/>
          <w:sz w:val="24"/>
          <w:szCs w:val="24"/>
          <w:rtl/>
          <w:lang w:bidi="ar-DZ"/>
        </w:rPr>
        <w:t xml:space="preserve">لمرافق ومن خلال </w:t>
      </w:r>
      <w:r>
        <w:rPr>
          <w:rFonts w:ascii="Simplified Arabic" w:hAnsi="Simplified Arabic" w:cs="Simplified Arabic" w:hint="cs"/>
          <w:color w:val="000000" w:themeColor="text1"/>
          <w:sz w:val="24"/>
          <w:szCs w:val="24"/>
          <w:rtl/>
          <w:lang w:bidi="ar-DZ"/>
        </w:rPr>
        <w:t>مسافة التغطية ب</w:t>
      </w:r>
      <w:r w:rsidR="00D2461F">
        <w:rPr>
          <w:rFonts w:ascii="Simplified Arabic" w:hAnsi="Simplified Arabic" w:cs="Simplified Arabic" w:hint="cs"/>
          <w:color w:val="000000" w:themeColor="text1"/>
          <w:sz w:val="24"/>
          <w:szCs w:val="24"/>
          <w:rtl/>
          <w:lang w:bidi="ar-DZ"/>
        </w:rPr>
        <w:t>ال</w:t>
      </w:r>
      <w:r>
        <w:rPr>
          <w:rFonts w:ascii="Simplified Arabic" w:hAnsi="Simplified Arabic" w:cs="Simplified Arabic" w:hint="cs"/>
          <w:color w:val="000000" w:themeColor="text1"/>
          <w:sz w:val="24"/>
          <w:szCs w:val="24"/>
          <w:rtl/>
          <w:lang w:bidi="ar-DZ"/>
        </w:rPr>
        <w:t xml:space="preserve">خدمة </w:t>
      </w:r>
      <w:r w:rsidR="001111A0">
        <w:rPr>
          <w:rFonts w:ascii="Simplified Arabic" w:hAnsi="Simplified Arabic" w:cs="Simplified Arabic" w:hint="cs"/>
          <w:color w:val="000000" w:themeColor="text1"/>
          <w:sz w:val="24"/>
          <w:szCs w:val="24"/>
          <w:rtl/>
          <w:lang w:bidi="ar-DZ"/>
        </w:rPr>
        <w:t xml:space="preserve">لتلك </w:t>
      </w:r>
      <w:r>
        <w:rPr>
          <w:rFonts w:ascii="Simplified Arabic" w:hAnsi="Simplified Arabic" w:cs="Simplified Arabic" w:hint="cs"/>
          <w:color w:val="000000" w:themeColor="text1"/>
          <w:sz w:val="24"/>
          <w:szCs w:val="24"/>
          <w:rtl/>
          <w:lang w:bidi="ar-DZ"/>
        </w:rPr>
        <w:t>المرافق</w:t>
      </w:r>
      <w:r w:rsidRPr="00582395">
        <w:rPr>
          <w:rFonts w:ascii="Simplified Arabic" w:hAnsi="Simplified Arabic" w:cs="Simplified Arabic"/>
          <w:color w:val="000000" w:themeColor="text1"/>
          <w:sz w:val="24"/>
          <w:szCs w:val="24"/>
          <w:rtl/>
          <w:lang w:bidi="ar-DZ"/>
        </w:rPr>
        <w:t xml:space="preserve"> </w:t>
      </w:r>
      <w:r w:rsidRPr="00582395">
        <w:rPr>
          <w:rFonts w:ascii="Simplified Arabic" w:hAnsi="Simplified Arabic" w:cs="Simplified Arabic" w:hint="cs"/>
          <w:color w:val="000000" w:themeColor="text1"/>
          <w:sz w:val="24"/>
          <w:szCs w:val="24"/>
          <w:rtl/>
          <w:lang w:bidi="ar-DZ"/>
        </w:rPr>
        <w:t>اثناء الاضطراب</w:t>
      </w:r>
      <w:r>
        <w:rPr>
          <w:rFonts w:ascii="Simplified Arabic" w:hAnsi="Simplified Arabic" w:cs="Simplified Arabic" w:hint="cs"/>
          <w:color w:val="000000" w:themeColor="text1"/>
          <w:sz w:val="24"/>
          <w:szCs w:val="24"/>
          <w:rtl/>
          <w:lang w:bidi="ar-DZ"/>
        </w:rPr>
        <w:t>،</w:t>
      </w:r>
      <w:r w:rsidRPr="00582395">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 xml:space="preserve">حيث </w:t>
      </w:r>
      <w:r w:rsidRPr="00582395">
        <w:rPr>
          <w:rFonts w:ascii="Simplified Arabic" w:hAnsi="Simplified Arabic" w:cs="Simplified Arabic" w:hint="cs"/>
          <w:color w:val="000000" w:themeColor="text1"/>
          <w:sz w:val="24"/>
          <w:szCs w:val="24"/>
          <w:rtl/>
          <w:lang w:bidi="ar-DZ"/>
        </w:rPr>
        <w:t xml:space="preserve">تكون </w:t>
      </w:r>
      <w:r>
        <w:rPr>
          <w:rFonts w:ascii="Simplified Arabic" w:hAnsi="Simplified Arabic" w:cs="Simplified Arabic" w:hint="cs"/>
          <w:color w:val="000000" w:themeColor="text1"/>
          <w:sz w:val="24"/>
          <w:szCs w:val="24"/>
          <w:rtl/>
          <w:lang w:bidi="ar-DZ"/>
        </w:rPr>
        <w:t>مسافة التغطية بخدمة المرفق</w:t>
      </w:r>
      <w:r w:rsidRPr="00582395">
        <w:rPr>
          <w:rFonts w:ascii="Simplified Arabic" w:hAnsi="Simplified Arabic" w:cs="Simplified Arabic" w:hint="cs"/>
          <w:color w:val="000000" w:themeColor="text1"/>
          <w:sz w:val="24"/>
          <w:szCs w:val="24"/>
          <w:rtl/>
          <w:lang w:bidi="ar-DZ"/>
        </w:rPr>
        <w:t xml:space="preserve"> ضمن</w:t>
      </w:r>
      <w:r w:rsidRPr="00582395">
        <w:rPr>
          <w:rFonts w:ascii="Simplified Arabic" w:hAnsi="Simplified Arabic" w:cs="Simplified Arabic"/>
          <w:color w:val="000000" w:themeColor="text1"/>
          <w:sz w:val="24"/>
          <w:szCs w:val="24"/>
          <w:rtl/>
          <w:lang w:bidi="ar-DZ"/>
        </w:rPr>
        <w:t xml:space="preserve"> </w:t>
      </w:r>
      <w:r w:rsidRPr="00582395">
        <w:rPr>
          <w:rFonts w:ascii="Simplified Arabic" w:hAnsi="Simplified Arabic" w:cs="Simplified Arabic" w:hint="cs"/>
          <w:color w:val="000000" w:themeColor="text1"/>
          <w:sz w:val="24"/>
          <w:szCs w:val="24"/>
          <w:rtl/>
          <w:lang w:bidi="ar-DZ"/>
        </w:rPr>
        <w:t>عتبة</w:t>
      </w:r>
      <w:r w:rsidRPr="00582395">
        <w:rPr>
          <w:rFonts w:ascii="Simplified Arabic" w:hAnsi="Simplified Arabic" w:cs="Simplified Arabic"/>
          <w:color w:val="000000" w:themeColor="text1"/>
          <w:sz w:val="24"/>
          <w:szCs w:val="24"/>
          <w:rtl/>
          <w:lang w:bidi="ar-DZ"/>
        </w:rPr>
        <w:t xml:space="preserve"> </w:t>
      </w:r>
      <w:r w:rsidRPr="00582395">
        <w:rPr>
          <w:rFonts w:ascii="Simplified Arabic" w:hAnsi="Simplified Arabic" w:cs="Simplified Arabic" w:hint="cs"/>
          <w:color w:val="000000" w:themeColor="text1"/>
          <w:sz w:val="24"/>
          <w:szCs w:val="24"/>
          <w:rtl/>
          <w:lang w:bidi="ar-DZ"/>
        </w:rPr>
        <w:t>المسافة</w:t>
      </w:r>
      <w:r>
        <w:rPr>
          <w:rFonts w:ascii="Simplified Arabic" w:hAnsi="Simplified Arabic" w:cs="Simplified Arabic" w:hint="cs"/>
          <w:color w:val="000000" w:themeColor="text1"/>
          <w:sz w:val="24"/>
          <w:szCs w:val="24"/>
          <w:rtl/>
          <w:lang w:bidi="ar-DZ"/>
        </w:rPr>
        <w:t xml:space="preserve"> المعيارية النظرية</w:t>
      </w:r>
      <w:r w:rsidRPr="00582395">
        <w:rPr>
          <w:rFonts w:ascii="Simplified Arabic" w:hAnsi="Simplified Arabic" w:cs="Simplified Arabic" w:hint="cs"/>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اي</w:t>
      </w:r>
      <w:r w:rsidRPr="00992D6D">
        <w:rPr>
          <w:rFonts w:ascii="Simplified Arabic" w:hAnsi="Simplified Arabic" w:cs="Simplified Arabic" w:hint="cs"/>
          <w:color w:val="000000" w:themeColor="text1"/>
          <w:sz w:val="24"/>
          <w:szCs w:val="24"/>
          <w:rtl/>
          <w:lang w:bidi="ar-DZ"/>
        </w:rPr>
        <w:t xml:space="preserve"> المسافة</w:t>
      </w:r>
      <w:r w:rsidRPr="00992D6D">
        <w:rPr>
          <w:rFonts w:ascii="Simplified Arabic" w:hAnsi="Simplified Arabic" w:cs="Simplified Arabic"/>
          <w:color w:val="000000" w:themeColor="text1"/>
          <w:sz w:val="24"/>
          <w:szCs w:val="24"/>
          <w:rtl/>
          <w:lang w:bidi="ar-DZ"/>
        </w:rPr>
        <w:t xml:space="preserve"> </w:t>
      </w:r>
      <w:r w:rsidRPr="00992D6D">
        <w:rPr>
          <w:rFonts w:ascii="Simplified Arabic" w:hAnsi="Simplified Arabic" w:cs="Simplified Arabic" w:hint="cs"/>
          <w:color w:val="000000" w:themeColor="text1"/>
          <w:sz w:val="24"/>
          <w:szCs w:val="24"/>
          <w:rtl/>
          <w:lang w:bidi="ar-DZ"/>
        </w:rPr>
        <w:t>من</w:t>
      </w:r>
      <w:r w:rsidRPr="00992D6D">
        <w:rPr>
          <w:rFonts w:ascii="Simplified Arabic" w:hAnsi="Simplified Arabic" w:cs="Simplified Arabic"/>
          <w:color w:val="000000" w:themeColor="text1"/>
          <w:sz w:val="24"/>
          <w:szCs w:val="24"/>
          <w:rtl/>
          <w:lang w:bidi="ar-DZ"/>
        </w:rPr>
        <w:t xml:space="preserve"> </w:t>
      </w:r>
      <w:r w:rsidRPr="00992D6D">
        <w:rPr>
          <w:rFonts w:ascii="Simplified Arabic" w:hAnsi="Simplified Arabic" w:cs="Simplified Arabic" w:hint="cs"/>
          <w:color w:val="000000" w:themeColor="text1"/>
          <w:sz w:val="24"/>
          <w:szCs w:val="24"/>
          <w:rtl/>
          <w:lang w:bidi="ar-DZ"/>
        </w:rPr>
        <w:t>مركز</w:t>
      </w:r>
      <w:r w:rsidRPr="00992D6D">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المرفق</w:t>
      </w:r>
      <w:r w:rsidRPr="00992D6D">
        <w:rPr>
          <w:rFonts w:ascii="Simplified Arabic" w:hAnsi="Simplified Arabic" w:cs="Simplified Arabic"/>
          <w:color w:val="000000" w:themeColor="text1"/>
          <w:sz w:val="24"/>
          <w:szCs w:val="24"/>
          <w:rtl/>
          <w:lang w:bidi="ar-DZ"/>
        </w:rPr>
        <w:t xml:space="preserve"> </w:t>
      </w:r>
      <w:r w:rsidRPr="00992D6D">
        <w:rPr>
          <w:rFonts w:ascii="Simplified Arabic" w:hAnsi="Simplified Arabic" w:cs="Simplified Arabic" w:hint="cs"/>
          <w:color w:val="000000" w:themeColor="text1"/>
          <w:sz w:val="24"/>
          <w:szCs w:val="24"/>
          <w:rtl/>
          <w:lang w:bidi="ar-DZ"/>
        </w:rPr>
        <w:t>إلى</w:t>
      </w:r>
      <w:r w:rsidRPr="00992D6D">
        <w:rPr>
          <w:rFonts w:ascii="Simplified Arabic" w:hAnsi="Simplified Arabic" w:cs="Simplified Arabic"/>
          <w:color w:val="000000" w:themeColor="text1"/>
          <w:sz w:val="24"/>
          <w:szCs w:val="24"/>
          <w:rtl/>
          <w:lang w:bidi="ar-DZ"/>
        </w:rPr>
        <w:t xml:space="preserve"> </w:t>
      </w:r>
      <w:r w:rsidRPr="00992D6D">
        <w:rPr>
          <w:rFonts w:ascii="Simplified Arabic" w:hAnsi="Simplified Arabic" w:cs="Simplified Arabic" w:hint="cs"/>
          <w:color w:val="000000" w:themeColor="text1"/>
          <w:sz w:val="24"/>
          <w:szCs w:val="24"/>
          <w:rtl/>
          <w:lang w:bidi="ar-DZ"/>
        </w:rPr>
        <w:t>المباني</w:t>
      </w:r>
      <w:r w:rsidRPr="00992D6D">
        <w:rPr>
          <w:rFonts w:ascii="Simplified Arabic" w:hAnsi="Simplified Arabic" w:cs="Simplified Arabic"/>
          <w:color w:val="000000" w:themeColor="text1"/>
          <w:sz w:val="24"/>
          <w:szCs w:val="24"/>
          <w:rtl/>
          <w:lang w:bidi="ar-DZ"/>
        </w:rPr>
        <w:t xml:space="preserve"> (</w:t>
      </w:r>
      <w:r w:rsidRPr="00992D6D">
        <w:rPr>
          <w:rFonts w:ascii="Simplified Arabic" w:hAnsi="Simplified Arabic" w:cs="Simplified Arabic" w:hint="cs"/>
          <w:color w:val="000000" w:themeColor="text1"/>
          <w:sz w:val="24"/>
          <w:szCs w:val="24"/>
          <w:rtl/>
          <w:lang w:bidi="ar-DZ"/>
        </w:rPr>
        <w:t>المسافة</w:t>
      </w:r>
      <w:r w:rsidRPr="00992D6D">
        <w:rPr>
          <w:rFonts w:ascii="Simplified Arabic" w:hAnsi="Simplified Arabic" w:cs="Simplified Arabic"/>
          <w:color w:val="000000" w:themeColor="text1"/>
          <w:sz w:val="24"/>
          <w:szCs w:val="24"/>
          <w:rtl/>
          <w:lang w:bidi="ar-DZ"/>
        </w:rPr>
        <w:t xml:space="preserve"> </w:t>
      </w:r>
      <w:r w:rsidRPr="00992D6D">
        <w:rPr>
          <w:rFonts w:ascii="Simplified Arabic" w:hAnsi="Simplified Arabic" w:cs="Simplified Arabic" w:hint="cs"/>
          <w:color w:val="000000" w:themeColor="text1"/>
          <w:sz w:val="24"/>
          <w:szCs w:val="24"/>
          <w:rtl/>
          <w:lang w:bidi="ar-DZ"/>
        </w:rPr>
        <w:t>الإقليدية</w:t>
      </w:r>
      <w:r w:rsidRPr="00992D6D">
        <w:rPr>
          <w:rFonts w:ascii="Simplified Arabic" w:hAnsi="Simplified Arabic" w:cs="Simplified Arabic"/>
          <w:color w:val="000000" w:themeColor="text1"/>
          <w:sz w:val="24"/>
          <w:szCs w:val="24"/>
          <w:rtl/>
          <w:lang w:bidi="ar-DZ"/>
        </w:rPr>
        <w:t>)</w:t>
      </w:r>
      <w:r>
        <w:rPr>
          <w:rFonts w:ascii="Simplified Arabic" w:hAnsi="Simplified Arabic" w:cs="Simplified Arabic" w:hint="cs"/>
          <w:color w:val="000000" w:themeColor="text1"/>
          <w:sz w:val="24"/>
          <w:szCs w:val="24"/>
          <w:rtl/>
          <w:lang w:bidi="ar-DZ"/>
        </w:rPr>
        <w:t>.</w:t>
      </w:r>
      <w:r w:rsidRPr="00582395">
        <w:rPr>
          <w:rFonts w:ascii="Simplified Arabic" w:hAnsi="Simplified Arabic" w:cs="Simplified Arabic" w:hint="cs"/>
          <w:color w:val="000000" w:themeColor="text1"/>
          <w:sz w:val="24"/>
          <w:szCs w:val="24"/>
          <w:rtl/>
          <w:lang w:bidi="ar-DZ"/>
        </w:rPr>
        <w:t xml:space="preserve"> </w:t>
      </w:r>
      <w:r w:rsidRPr="00582395">
        <w:rPr>
          <w:rFonts w:ascii="Simplified Arabic" w:hAnsi="Simplified Arabic" w:cs="Simplified Arabic"/>
          <w:color w:val="000000" w:themeColor="text1"/>
          <w:sz w:val="24"/>
          <w:szCs w:val="24"/>
          <w:rtl/>
          <w:lang w:bidi="ar-DZ"/>
        </w:rPr>
        <w:t xml:space="preserve">يتم حساب </w:t>
      </w:r>
      <w:r>
        <w:rPr>
          <w:rFonts w:ascii="Simplified Arabic" w:hAnsi="Simplified Arabic" w:cs="Simplified Arabic" w:hint="cs"/>
          <w:color w:val="000000" w:themeColor="text1"/>
          <w:sz w:val="24"/>
          <w:szCs w:val="24"/>
          <w:rtl/>
          <w:lang w:bidi="ar-DZ"/>
        </w:rPr>
        <w:t>مسافة التغطية بخدمة المرفق</w:t>
      </w:r>
      <w:r>
        <w:rPr>
          <w:rFonts w:ascii="Simplified Arabic" w:hAnsi="Simplified Arabic" w:cs="Simplified Arabic" w:hint="cs"/>
          <w:sz w:val="24"/>
          <w:szCs w:val="24"/>
          <w:rtl/>
          <w:lang w:bidi="ar-DZ"/>
        </w:rPr>
        <w:t xml:space="preserve"> </w:t>
      </w:r>
      <w:r w:rsidRPr="00582395">
        <w:rPr>
          <w:rFonts w:ascii="Simplified Arabic" w:hAnsi="Simplified Arabic" w:cs="Simplified Arabic" w:hint="cs"/>
          <w:color w:val="000000" w:themeColor="text1"/>
          <w:sz w:val="24"/>
          <w:szCs w:val="24"/>
          <w:rtl/>
          <w:lang w:bidi="ar-DZ"/>
        </w:rPr>
        <w:t>باستخدام العلاقة التالية</w:t>
      </w:r>
      <w:r w:rsidRPr="00582395">
        <w:rPr>
          <w:rFonts w:ascii="Simplified Arabic" w:hAnsi="Simplified Arabic" w:cs="Simplified Arabic" w:hint="cs"/>
          <w:sz w:val="24"/>
          <w:szCs w:val="24"/>
          <w:rtl/>
          <w:lang w:bidi="ar-DZ"/>
        </w:rPr>
        <w:t xml:space="preserve"> </w:t>
      </w:r>
      <w:r w:rsidRPr="00582395">
        <w:rPr>
          <w:rFonts w:asciiTheme="majorBidi" w:hAnsiTheme="majorBidi" w:cstheme="majorBidi"/>
          <w:sz w:val="24"/>
          <w:szCs w:val="24"/>
          <w:lang w:bidi="ar-DZ"/>
        </w:rPr>
        <w:t>(Li, 2018)</w:t>
      </w:r>
      <w:r w:rsidRPr="00582395">
        <w:rPr>
          <w:rFonts w:ascii="Simplified Arabic" w:hAnsi="Simplified Arabic" w:cs="Simplified Arabic" w:hint="cs"/>
          <w:sz w:val="24"/>
          <w:szCs w:val="24"/>
          <w:rtl/>
          <w:lang w:bidi="ar-DZ"/>
        </w:rPr>
        <w:t>:</w:t>
      </w:r>
    </w:p>
    <w:p w:rsidR="002A686B" w:rsidRPr="001A4F7D" w:rsidRDefault="002A686B" w:rsidP="002A686B">
      <w:pPr>
        <w:bidi/>
        <w:spacing w:before="240" w:after="0" w:line="240" w:lineRule="auto"/>
        <w:ind w:firstLine="283"/>
        <w:jc w:val="both"/>
        <w:rPr>
          <w:rFonts w:ascii="Simplified Arabic" w:hAnsi="Simplified Arabic" w:cs="Simplified Arabic"/>
          <w:sz w:val="24"/>
          <w:szCs w:val="24"/>
          <w:rtl/>
          <w:lang w:bidi="ar-DZ"/>
        </w:rPr>
      </w:pPr>
      <m:oMathPara>
        <m:oMath>
          <m:r>
            <m:rPr>
              <m:sty m:val="p"/>
            </m:rPr>
            <w:rPr>
              <w:rFonts w:ascii="Cambria Math" w:hAnsi="Cambria Math" w:cstheme="majorBidi"/>
              <w:sz w:val="24"/>
              <w:szCs w:val="24"/>
              <w:lang w:val="en-US" w:bidi="ar-DZ"/>
            </w:rPr>
            <m:t>Dist(p,q)=</m:t>
          </m:r>
          <m:rad>
            <m:radPr>
              <m:degHide m:val="1"/>
              <m:ctrlPr>
                <w:rPr>
                  <w:rFonts w:ascii="Cambria Math" w:hAnsi="Cambria Math" w:cstheme="majorBidi"/>
                  <w:iCs/>
                  <w:sz w:val="24"/>
                  <w:szCs w:val="24"/>
                  <w:lang w:bidi="ar-DZ"/>
                </w:rPr>
              </m:ctrlPr>
            </m:radPr>
            <m:deg/>
            <m:e>
              <m:sSup>
                <m:sSupPr>
                  <m:ctrlPr>
                    <w:rPr>
                      <w:rFonts w:ascii="Cambria Math" w:hAnsi="Cambria Math" w:cstheme="majorBidi"/>
                      <w:iCs/>
                      <w:sz w:val="24"/>
                      <w:szCs w:val="24"/>
                      <w:lang w:bidi="ar-DZ"/>
                    </w:rPr>
                  </m:ctrlPr>
                </m:sSupPr>
                <m:e>
                  <m:r>
                    <m:rPr>
                      <m:sty m:val="p"/>
                    </m:rP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x</m:t>
                      </m:r>
                    </m:e>
                    <m:sub>
                      <m:r>
                        <w:rPr>
                          <w:rFonts w:ascii="Cambria Math" w:hAnsi="Cambria Math" w:cstheme="majorBidi"/>
                          <w:sz w:val="24"/>
                          <w:szCs w:val="24"/>
                          <w:lang w:bidi="ar-DZ"/>
                        </w:rPr>
                        <m:t>p</m:t>
                      </m:r>
                    </m:sub>
                  </m:sSub>
                  <m: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x</m:t>
                      </m:r>
                    </m:e>
                    <m:sub>
                      <m:r>
                        <w:rPr>
                          <w:rFonts w:ascii="Cambria Math" w:hAnsi="Cambria Math" w:cstheme="majorBidi"/>
                          <w:sz w:val="24"/>
                          <w:szCs w:val="24"/>
                          <w:lang w:bidi="ar-DZ"/>
                        </w:rPr>
                        <m:t>q</m:t>
                      </m:r>
                    </m:sub>
                  </m:sSub>
                  <m:r>
                    <w:rPr>
                      <w:rFonts w:ascii="Cambria Math" w:hAnsi="Cambria Math" w:cstheme="majorBidi"/>
                      <w:sz w:val="24"/>
                      <w:szCs w:val="24"/>
                      <w:lang w:bidi="ar-DZ"/>
                    </w:rPr>
                    <m:t>)</m:t>
                  </m:r>
                </m:e>
                <m:sup>
                  <m:r>
                    <m:rPr>
                      <m:sty m:val="p"/>
                    </m:rPr>
                    <w:rPr>
                      <w:rFonts w:ascii="Cambria Math" w:hAnsi="Cambria Math" w:cstheme="majorBidi"/>
                      <w:sz w:val="24"/>
                      <w:szCs w:val="24"/>
                      <w:lang w:bidi="ar-DZ"/>
                    </w:rPr>
                    <m:t>2</m:t>
                  </m:r>
                </m:sup>
              </m:sSup>
              <m:r>
                <m:rPr>
                  <m:sty m:val="p"/>
                </m:rPr>
                <w:rPr>
                  <w:rFonts w:ascii="Cambria Math" w:hAnsi="Cambria Math" w:cstheme="majorBidi"/>
                  <w:sz w:val="24"/>
                  <w:szCs w:val="24"/>
                  <w:lang w:bidi="ar-DZ"/>
                </w:rPr>
                <m:t>+</m:t>
              </m:r>
              <m:sSup>
                <m:sSupPr>
                  <m:ctrlPr>
                    <w:rPr>
                      <w:rFonts w:ascii="Cambria Math" w:hAnsi="Cambria Math" w:cstheme="majorBidi"/>
                      <w:iCs/>
                      <w:sz w:val="24"/>
                      <w:szCs w:val="24"/>
                      <w:lang w:bidi="ar-DZ"/>
                    </w:rPr>
                  </m:ctrlPr>
                </m:sSupPr>
                <m:e>
                  <m:r>
                    <m:rPr>
                      <m:sty m:val="p"/>
                    </m:rP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y</m:t>
                      </m:r>
                    </m:e>
                    <m:sub>
                      <m:r>
                        <w:rPr>
                          <w:rFonts w:ascii="Cambria Math" w:hAnsi="Cambria Math" w:cstheme="majorBidi"/>
                          <w:sz w:val="24"/>
                          <w:szCs w:val="24"/>
                          <w:lang w:bidi="ar-DZ"/>
                        </w:rPr>
                        <m:t>p</m:t>
                      </m:r>
                    </m:sub>
                  </m:sSub>
                  <m: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y</m:t>
                      </m:r>
                    </m:e>
                    <m:sub>
                      <m:r>
                        <w:rPr>
                          <w:rFonts w:ascii="Cambria Math" w:hAnsi="Cambria Math" w:cstheme="majorBidi"/>
                          <w:sz w:val="24"/>
                          <w:szCs w:val="24"/>
                          <w:lang w:bidi="ar-DZ"/>
                        </w:rPr>
                        <m:t>q</m:t>
                      </m:r>
                    </m:sub>
                  </m:sSub>
                  <m:r>
                    <w:rPr>
                      <w:rFonts w:ascii="Cambria Math" w:hAnsi="Cambria Math" w:cstheme="majorBidi"/>
                      <w:sz w:val="24"/>
                      <w:szCs w:val="24"/>
                      <w:lang w:bidi="ar-DZ"/>
                    </w:rPr>
                    <m:t>)</m:t>
                  </m:r>
                </m:e>
                <m:sup>
                  <m:r>
                    <m:rPr>
                      <m:sty m:val="p"/>
                    </m:rPr>
                    <w:rPr>
                      <w:rFonts w:ascii="Cambria Math" w:hAnsi="Cambria Math" w:cstheme="majorBidi"/>
                      <w:sz w:val="24"/>
                      <w:szCs w:val="24"/>
                      <w:lang w:bidi="ar-DZ"/>
                    </w:rPr>
                    <m:t>2</m:t>
                  </m:r>
                </m:sup>
              </m:sSup>
            </m:e>
          </m:rad>
        </m:oMath>
      </m:oMathPara>
    </w:p>
    <w:p w:rsidR="002A686B" w:rsidRPr="00DD0D9B" w:rsidRDefault="002A686B" w:rsidP="001D0548">
      <w:pPr>
        <w:pStyle w:val="Paragraphedeliste"/>
        <w:numPr>
          <w:ilvl w:val="2"/>
          <w:numId w:val="183"/>
        </w:numPr>
        <w:tabs>
          <w:tab w:val="right" w:pos="850"/>
        </w:tabs>
        <w:bidi/>
        <w:spacing w:before="240" w:after="0"/>
        <w:ind w:left="0" w:firstLine="0"/>
        <w:jc w:val="both"/>
        <w:outlineLvl w:val="1"/>
        <w:rPr>
          <w:rFonts w:ascii="Simplified Arabic" w:hAnsi="Simplified Arabic" w:cs="Simplified Arabic"/>
          <w:b/>
          <w:bCs/>
          <w:sz w:val="24"/>
          <w:szCs w:val="24"/>
          <w:lang w:bidi="ar-DZ"/>
        </w:rPr>
      </w:pPr>
      <w:bookmarkStart w:id="802" w:name="_Toc171803783"/>
      <w:r w:rsidRPr="00DD0D9B">
        <w:rPr>
          <w:rFonts w:ascii="Simplified Arabic" w:hAnsi="Simplified Arabic" w:cs="Simplified Arabic" w:hint="cs"/>
          <w:b/>
          <w:bCs/>
          <w:sz w:val="24"/>
          <w:szCs w:val="24"/>
          <w:rtl/>
          <w:lang w:bidi="ar-DZ"/>
        </w:rPr>
        <w:t>الاتصال</w:t>
      </w:r>
      <w:r w:rsidR="00C23656">
        <w:rPr>
          <w:rFonts w:ascii="Simplified Arabic" w:hAnsi="Simplified Arabic" w:cs="Simplified Arabic" w:hint="cs"/>
          <w:b/>
          <w:bCs/>
          <w:sz w:val="24"/>
          <w:szCs w:val="24"/>
          <w:rtl/>
          <w:lang w:bidi="ar-DZ"/>
        </w:rPr>
        <w:t>ية</w:t>
      </w:r>
      <w:r w:rsidRPr="00DD0D9B">
        <w:rPr>
          <w:rFonts w:ascii="Simplified Arabic" w:hAnsi="Simplified Arabic" w:cs="Simplified Arabic" w:hint="cs"/>
          <w:b/>
          <w:bCs/>
          <w:sz w:val="24"/>
          <w:szCs w:val="24"/>
          <w:rtl/>
          <w:lang w:bidi="ar-DZ"/>
        </w:rPr>
        <w:t>:</w:t>
      </w:r>
      <w:bookmarkEnd w:id="802"/>
      <w:r w:rsidRPr="00DD0D9B">
        <w:rPr>
          <w:rFonts w:ascii="Simplified Arabic" w:hAnsi="Simplified Arabic" w:cs="Simplified Arabic" w:hint="cs"/>
          <w:b/>
          <w:bCs/>
          <w:sz w:val="24"/>
          <w:szCs w:val="24"/>
          <w:rtl/>
          <w:lang w:bidi="ar-DZ"/>
        </w:rPr>
        <w:t xml:space="preserve"> </w:t>
      </w:r>
    </w:p>
    <w:p w:rsidR="002A686B" w:rsidRPr="008F70BD" w:rsidRDefault="002A686B" w:rsidP="00FA7E02">
      <w:pPr>
        <w:bidi/>
        <w:spacing w:after="0"/>
        <w:ind w:firstLine="283"/>
        <w:jc w:val="both"/>
        <w:rPr>
          <w:rFonts w:ascii="Simplified Arabic" w:hAnsi="Simplified Arabic" w:cs="Simplified Arabic"/>
          <w:sz w:val="24"/>
          <w:szCs w:val="24"/>
        </w:rPr>
      </w:pPr>
      <w:r w:rsidRPr="00327026">
        <w:rPr>
          <w:rFonts w:ascii="Simplified Arabic" w:hAnsi="Simplified Arabic" w:cs="Simplified Arabic"/>
          <w:color w:val="000000"/>
          <w:sz w:val="24"/>
          <w:szCs w:val="24"/>
          <w:rtl/>
        </w:rPr>
        <w:t>لا يقصد بالاتصال</w:t>
      </w:r>
      <w:r w:rsidR="00C23656">
        <w:rPr>
          <w:rFonts w:ascii="Simplified Arabic" w:hAnsi="Simplified Arabic" w:cs="Simplified Arabic" w:hint="cs"/>
          <w:color w:val="000000"/>
          <w:sz w:val="24"/>
          <w:szCs w:val="24"/>
          <w:rtl/>
        </w:rPr>
        <w:t>ية</w:t>
      </w:r>
      <w:r w:rsidRPr="00327026">
        <w:rPr>
          <w:rFonts w:ascii="Simplified Arabic" w:hAnsi="Simplified Arabic" w:cs="Simplified Arabic"/>
          <w:color w:val="000000"/>
          <w:sz w:val="24"/>
          <w:szCs w:val="24"/>
          <w:rtl/>
        </w:rPr>
        <w:t xml:space="preserve"> نشر المعرفة وايصال المعلومة حول انتشار الاضطرابات. في هذا البحث</w:t>
      </w:r>
      <w:r>
        <w:rPr>
          <w:rFonts w:ascii="Simplified Arabic" w:hAnsi="Simplified Arabic" w:cs="Simplified Arabic" w:hint="cs"/>
          <w:color w:val="000000"/>
          <w:sz w:val="24"/>
          <w:szCs w:val="24"/>
          <w:rtl/>
        </w:rPr>
        <w:t>،</w:t>
      </w:r>
      <w:r w:rsidRPr="00327026">
        <w:rPr>
          <w:rFonts w:ascii="Simplified Arabic" w:hAnsi="Simplified Arabic" w:cs="Simplified Arabic"/>
          <w:color w:val="000000"/>
          <w:sz w:val="24"/>
          <w:szCs w:val="24"/>
          <w:rtl/>
        </w:rPr>
        <w:t xml:space="preserve"> </w:t>
      </w:r>
      <w:r w:rsidRPr="00327026">
        <w:rPr>
          <w:rFonts w:ascii="Simplified Arabic" w:hAnsi="Simplified Arabic" w:cs="Simplified Arabic" w:hint="cs"/>
          <w:color w:val="000000"/>
          <w:sz w:val="24"/>
          <w:szCs w:val="24"/>
          <w:rtl/>
        </w:rPr>
        <w:t>يعني</w:t>
      </w:r>
      <w:r w:rsidRPr="00327026">
        <w:rPr>
          <w:rFonts w:ascii="Simplified Arabic" w:hAnsi="Simplified Arabic" w:cs="Simplified Arabic"/>
          <w:color w:val="000000"/>
          <w:sz w:val="24"/>
          <w:szCs w:val="24"/>
          <w:rtl/>
        </w:rPr>
        <w:t xml:space="preserve"> </w:t>
      </w:r>
      <w:r w:rsidRPr="00327026">
        <w:rPr>
          <w:rFonts w:ascii="Simplified Arabic" w:hAnsi="Simplified Arabic" w:cs="Simplified Arabic" w:hint="cs"/>
          <w:color w:val="000000"/>
          <w:sz w:val="24"/>
          <w:szCs w:val="24"/>
          <w:rtl/>
        </w:rPr>
        <w:t>ب</w:t>
      </w:r>
      <w:r w:rsidRPr="00327026">
        <w:rPr>
          <w:rFonts w:ascii="Simplified Arabic" w:hAnsi="Simplified Arabic" w:cs="Simplified Arabic"/>
          <w:color w:val="000000"/>
          <w:sz w:val="24"/>
          <w:szCs w:val="24"/>
          <w:rtl/>
        </w:rPr>
        <w:t>الاتصال</w:t>
      </w:r>
      <w:r w:rsidR="00C23656">
        <w:rPr>
          <w:rFonts w:ascii="Simplified Arabic" w:hAnsi="Simplified Arabic" w:cs="Simplified Arabic" w:hint="cs"/>
          <w:color w:val="000000"/>
          <w:sz w:val="24"/>
          <w:szCs w:val="24"/>
          <w:rtl/>
        </w:rPr>
        <w:t>ية</w:t>
      </w:r>
      <w:r>
        <w:rPr>
          <w:rFonts w:ascii="Simplified Arabic" w:hAnsi="Simplified Arabic" w:cs="Simplified Arabic" w:hint="cs"/>
          <w:color w:val="000000"/>
          <w:sz w:val="24"/>
          <w:szCs w:val="24"/>
          <w:rtl/>
        </w:rPr>
        <w:t>،</w:t>
      </w:r>
      <w:r w:rsidRPr="00327026">
        <w:rPr>
          <w:rFonts w:ascii="Simplified Arabic" w:hAnsi="Simplified Arabic" w:cs="Simplified Arabic"/>
          <w:color w:val="000000"/>
          <w:sz w:val="24"/>
          <w:szCs w:val="24"/>
          <w:rtl/>
        </w:rPr>
        <w:t xml:space="preserve"> </w:t>
      </w:r>
      <w:r>
        <w:rPr>
          <w:rFonts w:ascii="Simplified Arabic" w:hAnsi="Simplified Arabic" w:cs="Simplified Arabic"/>
          <w:color w:val="000000"/>
          <w:sz w:val="24"/>
          <w:szCs w:val="24"/>
          <w:rtl/>
        </w:rPr>
        <w:t>سهولة الوصول</w:t>
      </w:r>
      <w:r w:rsidR="008F70BD">
        <w:rPr>
          <w:rFonts w:ascii="Simplified Arabic" w:hAnsi="Simplified Arabic" w:cs="Simplified Arabic" w:hint="cs"/>
          <w:color w:val="000000"/>
          <w:sz w:val="24"/>
          <w:szCs w:val="24"/>
          <w:rtl/>
        </w:rPr>
        <w:t xml:space="preserve"> المكاني</w:t>
      </w:r>
      <w:r>
        <w:rPr>
          <w:rFonts w:ascii="Simplified Arabic" w:hAnsi="Simplified Arabic" w:cs="Simplified Arabic"/>
          <w:color w:val="000000"/>
          <w:sz w:val="24"/>
          <w:szCs w:val="24"/>
          <w:rtl/>
        </w:rPr>
        <w:t xml:space="preserve"> داخل النظام</w:t>
      </w:r>
      <w:r w:rsidRPr="00327026">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 xml:space="preserve">حيث </w:t>
      </w:r>
      <w:r w:rsidRPr="00327026">
        <w:rPr>
          <w:rFonts w:ascii="Simplified Arabic" w:hAnsi="Simplified Arabic" w:cs="Simplified Arabic"/>
          <w:color w:val="000000"/>
          <w:sz w:val="24"/>
          <w:szCs w:val="24"/>
          <w:rtl/>
        </w:rPr>
        <w:t>يؤثر كل من الاتصال الداخلي والخارجي بشكل كبير على حركة الأشخاص وموقع الأنشطة وكثافتها</w:t>
      </w:r>
      <w:r w:rsidRPr="00327026">
        <w:rPr>
          <w:rFonts w:ascii="Simplified Arabic" w:hAnsi="Simplified Arabic" w:cs="Simplified Arabic"/>
          <w:sz w:val="24"/>
          <w:szCs w:val="24"/>
          <w:rtl/>
          <w:lang w:val="en-US"/>
        </w:rPr>
        <w:t xml:space="preserve"> </w:t>
      </w:r>
      <w:r w:rsidRPr="00327026">
        <w:rPr>
          <w:rFonts w:asciiTheme="majorBidi" w:hAnsiTheme="majorBidi" w:cstheme="majorBidi"/>
          <w:sz w:val="24"/>
          <w:szCs w:val="24"/>
          <w:rtl/>
          <w:lang w:val="en-US"/>
        </w:rPr>
        <w:t>(</w:t>
      </w:r>
      <w:r w:rsidRPr="00157C4E">
        <w:rPr>
          <w:rFonts w:asciiTheme="majorBidi" w:hAnsiTheme="majorBidi" w:cstheme="majorBidi"/>
          <w:sz w:val="24"/>
          <w:szCs w:val="24"/>
          <w:lang w:val="en-US"/>
        </w:rPr>
        <w:t>Mehaffy</w:t>
      </w:r>
      <w:r w:rsidRPr="00327026">
        <w:rPr>
          <w:rFonts w:asciiTheme="majorBidi" w:hAnsiTheme="majorBidi" w:cstheme="majorBidi"/>
          <w:sz w:val="24"/>
          <w:szCs w:val="24"/>
          <w:lang w:val="en-US"/>
        </w:rPr>
        <w:t xml:space="preserve"> et al., 2010</w:t>
      </w:r>
      <w:r w:rsidRPr="00327026">
        <w:rPr>
          <w:rFonts w:asciiTheme="majorBidi" w:hAnsiTheme="majorBidi" w:cstheme="majorBidi"/>
          <w:sz w:val="24"/>
          <w:szCs w:val="24"/>
          <w:rtl/>
          <w:lang w:val="en-US"/>
        </w:rPr>
        <w:t>)</w:t>
      </w:r>
      <w:r w:rsidRPr="00327026">
        <w:rPr>
          <w:rFonts w:ascii="Simplified Arabic" w:hAnsi="Simplified Arabic" w:cs="Simplified Arabic"/>
          <w:sz w:val="24"/>
          <w:szCs w:val="24"/>
          <w:rtl/>
          <w:lang w:val="en-US"/>
        </w:rPr>
        <w:t>.</w:t>
      </w:r>
      <w:r w:rsidR="008F70BD">
        <w:rPr>
          <w:rFonts w:ascii="Simplified Arabic" w:hAnsi="Simplified Arabic" w:cs="Simplified Arabic" w:hint="cs"/>
          <w:sz w:val="24"/>
          <w:szCs w:val="24"/>
          <w:rtl/>
          <w:lang w:val="en-US"/>
        </w:rPr>
        <w:t xml:space="preserve"> </w:t>
      </w:r>
    </w:p>
    <w:p w:rsidR="00183412" w:rsidRDefault="002A686B" w:rsidP="003528CC">
      <w:pPr>
        <w:bidi/>
        <w:spacing w:after="0"/>
        <w:ind w:firstLine="283"/>
        <w:jc w:val="both"/>
        <w:rPr>
          <w:rFonts w:ascii="Simplified Arabic" w:hAnsi="Simplified Arabic" w:cs="Simplified Arabic"/>
          <w:color w:val="000000"/>
          <w:sz w:val="24"/>
          <w:szCs w:val="24"/>
          <w:rtl/>
          <w:lang w:bidi="ar-DZ"/>
        </w:rPr>
      </w:pPr>
      <w:r w:rsidRPr="00EA791A">
        <w:rPr>
          <w:rFonts w:ascii="Simplified Arabic" w:hAnsi="Simplified Arabic" w:cs="Simplified Arabic"/>
          <w:color w:val="000000" w:themeColor="text1"/>
          <w:sz w:val="24"/>
          <w:szCs w:val="24"/>
          <w:rtl/>
          <w:lang w:val="en-US"/>
        </w:rPr>
        <w:t xml:space="preserve">يمنح عمق الطرق الشريانية (الرئيسية والثانوية) سهولة الوصول إلى الخدمات والمرافق في حالة الاضطرابات </w:t>
      </w:r>
      <w:r w:rsidRPr="00157C4E">
        <w:rPr>
          <w:rFonts w:asciiTheme="majorBidi" w:hAnsiTheme="majorBidi" w:cstheme="majorBidi"/>
          <w:sz w:val="24"/>
          <w:szCs w:val="24"/>
          <w:lang w:val="en-US"/>
        </w:rPr>
        <w:t>(Dehghani et al., 2022)</w:t>
      </w:r>
      <w:r w:rsidRPr="00157C4E">
        <w:rPr>
          <w:rFonts w:ascii="Simplified Arabic" w:hAnsi="Simplified Arabic" w:cs="Simplified Arabic"/>
          <w:color w:val="000000" w:themeColor="text1"/>
          <w:sz w:val="24"/>
          <w:szCs w:val="24"/>
          <w:rtl/>
          <w:lang w:val="en-US"/>
        </w:rPr>
        <w:t>.</w:t>
      </w:r>
      <w:r w:rsidRPr="00EA791A">
        <w:rPr>
          <w:rFonts w:ascii="Simplified Arabic" w:hAnsi="Simplified Arabic" w:cs="Simplified Arabic"/>
          <w:color w:val="000000" w:themeColor="text1"/>
          <w:sz w:val="24"/>
          <w:szCs w:val="24"/>
          <w:rtl/>
          <w:lang w:val="en-US"/>
        </w:rPr>
        <w:t xml:space="preserve"> كما تشير القيم الأعلى لعمق الطرق الشريانية إلى إمكانية وصول اكثر، </w:t>
      </w:r>
      <w:r w:rsidRPr="00EA791A">
        <w:rPr>
          <w:rFonts w:ascii="Simplified Arabic" w:hAnsi="Simplified Arabic" w:cs="Simplified Arabic"/>
          <w:color w:val="000000"/>
          <w:sz w:val="24"/>
          <w:szCs w:val="24"/>
          <w:rtl/>
        </w:rPr>
        <w:t>استنادًا إلى فكرة أنه في الشبكات عالية الاتصال</w:t>
      </w:r>
      <w:r w:rsidR="00C23656">
        <w:rPr>
          <w:rFonts w:ascii="Simplified Arabic" w:hAnsi="Simplified Arabic" w:cs="Simplified Arabic" w:hint="cs"/>
          <w:color w:val="000000"/>
          <w:sz w:val="24"/>
          <w:szCs w:val="24"/>
          <w:rtl/>
        </w:rPr>
        <w:t>ية</w:t>
      </w:r>
      <w:r w:rsidRPr="00EA791A">
        <w:rPr>
          <w:rFonts w:ascii="Simplified Arabic" w:hAnsi="Simplified Arabic" w:cs="Simplified Arabic"/>
          <w:color w:val="000000"/>
          <w:sz w:val="24"/>
          <w:szCs w:val="24"/>
          <w:rtl/>
        </w:rPr>
        <w:t xml:space="preserve">، يتم </w:t>
      </w:r>
      <w:r w:rsidR="003528CC">
        <w:rPr>
          <w:rFonts w:ascii="Simplified Arabic" w:hAnsi="Simplified Arabic" w:cs="Simplified Arabic" w:hint="cs"/>
          <w:color w:val="000000"/>
          <w:sz w:val="24"/>
          <w:szCs w:val="24"/>
          <w:rtl/>
        </w:rPr>
        <w:t>التقليل</w:t>
      </w:r>
      <w:r w:rsidRPr="00EA791A">
        <w:rPr>
          <w:rFonts w:ascii="Simplified Arabic" w:hAnsi="Simplified Arabic" w:cs="Simplified Arabic"/>
          <w:color w:val="000000"/>
          <w:sz w:val="24"/>
          <w:szCs w:val="24"/>
          <w:rtl/>
        </w:rPr>
        <w:t xml:space="preserve"> في عمق مقاطع الطرق </w:t>
      </w:r>
      <w:r w:rsidR="003528CC">
        <w:rPr>
          <w:rFonts w:ascii="Simplified Arabic" w:hAnsi="Simplified Arabic" w:cs="Simplified Arabic" w:hint="cs"/>
          <w:color w:val="000000"/>
          <w:sz w:val="24"/>
          <w:szCs w:val="24"/>
          <w:rtl/>
        </w:rPr>
        <w:t xml:space="preserve">الثانوية </w:t>
      </w:r>
      <w:r w:rsidRPr="00EA791A">
        <w:rPr>
          <w:rFonts w:ascii="Simplified Arabic" w:hAnsi="Simplified Arabic" w:cs="Simplified Arabic"/>
          <w:color w:val="000000"/>
          <w:sz w:val="24"/>
          <w:szCs w:val="24"/>
          <w:rtl/>
        </w:rPr>
        <w:t>التي</w:t>
      </w:r>
      <w:r w:rsidRPr="00EA791A">
        <w:rPr>
          <w:rFonts w:ascii="Simplified Arabic" w:hAnsi="Simplified Arabic" w:cs="Simplified Arabic"/>
          <w:color w:val="000000" w:themeColor="text1"/>
          <w:sz w:val="24"/>
          <w:szCs w:val="24"/>
          <w:rtl/>
          <w:lang w:val="en-US"/>
        </w:rPr>
        <w:t xml:space="preserve"> تربط بين </w:t>
      </w:r>
      <w:r w:rsidR="00FA7E02">
        <w:rPr>
          <w:rFonts w:ascii="Simplified Arabic" w:hAnsi="Simplified Arabic" w:cs="Simplified Arabic" w:hint="cs"/>
          <w:color w:val="000000" w:themeColor="text1"/>
          <w:sz w:val="24"/>
          <w:szCs w:val="24"/>
          <w:rtl/>
          <w:lang w:val="en-US" w:bidi="ar-DZ"/>
        </w:rPr>
        <w:t xml:space="preserve">الطرق </w:t>
      </w:r>
      <w:r w:rsidR="003528CC">
        <w:rPr>
          <w:rFonts w:ascii="Simplified Arabic" w:hAnsi="Simplified Arabic" w:cs="Simplified Arabic" w:hint="cs"/>
          <w:color w:val="000000"/>
          <w:sz w:val="24"/>
          <w:szCs w:val="24"/>
          <w:rtl/>
        </w:rPr>
        <w:t>الرئيسية</w:t>
      </w:r>
      <w:r w:rsidR="003528CC" w:rsidRPr="00EA791A">
        <w:rPr>
          <w:rFonts w:ascii="Simplified Arabic" w:hAnsi="Simplified Arabic" w:cs="Simplified Arabic"/>
          <w:color w:val="000000"/>
          <w:sz w:val="24"/>
          <w:szCs w:val="24"/>
          <w:rtl/>
        </w:rPr>
        <w:t xml:space="preserve"> </w:t>
      </w:r>
      <w:r w:rsidRPr="00EA791A">
        <w:rPr>
          <w:rFonts w:ascii="Simplified Arabic" w:hAnsi="Simplified Arabic" w:cs="Simplified Arabic"/>
          <w:color w:val="000000" w:themeColor="text1"/>
          <w:sz w:val="24"/>
          <w:szCs w:val="24"/>
          <w:rtl/>
          <w:lang w:val="en-US"/>
        </w:rPr>
        <w:t>لتحسين المرونة الحضرية</w:t>
      </w:r>
      <w:r w:rsidRPr="00EA791A">
        <w:rPr>
          <w:rFonts w:ascii="Simplified Arabic" w:hAnsi="Simplified Arabic" w:cs="Simplified Arabic"/>
          <w:color w:val="000000"/>
          <w:sz w:val="24"/>
          <w:szCs w:val="24"/>
          <w:rtl/>
        </w:rPr>
        <w:t>.</w:t>
      </w:r>
      <w:r>
        <w:rPr>
          <w:rFonts w:ascii="Simplified Arabic" w:hAnsi="Simplified Arabic" w:cs="Simplified Arabic" w:hint="cs"/>
          <w:color w:val="000000"/>
          <w:sz w:val="24"/>
          <w:szCs w:val="24"/>
          <w:rtl/>
          <w:lang w:bidi="ar-DZ"/>
        </w:rPr>
        <w:t xml:space="preserve"> </w:t>
      </w:r>
    </w:p>
    <w:p w:rsidR="002A686B" w:rsidRPr="00F75466" w:rsidRDefault="002A686B" w:rsidP="00ED50C9">
      <w:pPr>
        <w:bidi/>
        <w:spacing w:after="0"/>
        <w:ind w:firstLine="283"/>
        <w:jc w:val="both"/>
        <w:rPr>
          <w:rFonts w:asciiTheme="majorBidi" w:hAnsiTheme="majorBidi" w:cstheme="majorBidi"/>
          <w:color w:val="000000"/>
          <w:sz w:val="24"/>
          <w:szCs w:val="24"/>
          <w:rtl/>
        </w:rPr>
      </w:pPr>
      <w:r w:rsidRPr="00F75466">
        <w:rPr>
          <w:rFonts w:ascii="Simplified Arabic" w:hAnsi="Simplified Arabic" w:cs="Simplified Arabic" w:hint="cs"/>
          <w:color w:val="000000"/>
          <w:sz w:val="24"/>
          <w:szCs w:val="24"/>
          <w:rtl/>
          <w:lang w:bidi="ar-DZ"/>
        </w:rPr>
        <w:lastRenderedPageBreak/>
        <w:t>و</w:t>
      </w:r>
      <w:r>
        <w:rPr>
          <w:rFonts w:ascii="Simplified Arabic" w:hAnsi="Simplified Arabic" w:cs="Simplified Arabic" w:hint="cs"/>
          <w:color w:val="000000"/>
          <w:sz w:val="24"/>
          <w:szCs w:val="24"/>
          <w:rtl/>
          <w:lang w:bidi="ar-DZ"/>
        </w:rPr>
        <w:t xml:space="preserve">فق دراسة قام بها </w:t>
      </w:r>
      <w:r w:rsidRPr="00F75466">
        <w:rPr>
          <w:rFonts w:asciiTheme="majorBidi" w:hAnsiTheme="majorBidi" w:cstheme="majorBidi"/>
          <w:color w:val="000000"/>
          <w:sz w:val="24"/>
          <w:szCs w:val="24"/>
        </w:rPr>
        <w:t>(</w:t>
      </w:r>
      <w:r w:rsidRPr="00F75466">
        <w:rPr>
          <w:rFonts w:asciiTheme="majorBidi" w:hAnsiTheme="majorBidi" w:cstheme="majorBidi"/>
          <w:sz w:val="24"/>
          <w:szCs w:val="24"/>
          <w:lang w:val="en-US" w:bidi="ar-DZ"/>
        </w:rPr>
        <w:t>Porta et al, 2014</w:t>
      </w:r>
      <w:r w:rsidRPr="00F75466">
        <w:rPr>
          <w:rFonts w:asciiTheme="majorBidi" w:hAnsiTheme="majorBidi" w:cstheme="majorBidi"/>
          <w:color w:val="000000"/>
          <w:sz w:val="24"/>
          <w:szCs w:val="24"/>
        </w:rPr>
        <w:t>)</w:t>
      </w:r>
      <w:r>
        <w:rPr>
          <w:rFonts w:ascii="Simplified Arabic" w:hAnsi="Simplified Arabic" w:cs="Simplified Arabic" w:hint="cs"/>
          <w:color w:val="000000"/>
          <w:sz w:val="24"/>
          <w:szCs w:val="24"/>
          <w:rtl/>
          <w:lang w:bidi="ar-DZ"/>
        </w:rPr>
        <w:t>،</w:t>
      </w:r>
      <w:r w:rsidRPr="00F75466">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وجد</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أنه</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قبل</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ظهور</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نماذج</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التخطيط</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التلقائي</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والمهني،</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كانت</w:t>
      </w:r>
      <w:r w:rsidRPr="000C03AF">
        <w:rPr>
          <w:rFonts w:ascii="Simplified Arabic" w:hAnsi="Simplified Arabic" w:cs="Simplified Arabic"/>
          <w:color w:val="000000"/>
          <w:sz w:val="24"/>
          <w:szCs w:val="24"/>
          <w:rtl/>
          <w:lang w:bidi="ar-DZ"/>
        </w:rPr>
        <w:t xml:space="preserve"> </w:t>
      </w:r>
      <w:r>
        <w:rPr>
          <w:rFonts w:ascii="Simplified Arabic" w:hAnsi="Simplified Arabic" w:cs="Simplified Arabic" w:hint="cs"/>
          <w:color w:val="000000"/>
          <w:sz w:val="24"/>
          <w:szCs w:val="24"/>
          <w:rtl/>
          <w:lang w:bidi="ar-DZ"/>
        </w:rPr>
        <w:t>الطرق</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الرئيسية</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تلتقي</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في</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كثير</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من</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الأحيان</w:t>
      </w:r>
      <w:r w:rsidRPr="000C03AF">
        <w:rPr>
          <w:rFonts w:ascii="Simplified Arabic" w:hAnsi="Simplified Arabic" w:cs="Simplified Arabic"/>
          <w:color w:val="000000"/>
          <w:sz w:val="24"/>
          <w:szCs w:val="24"/>
          <w:rtl/>
          <w:lang w:bidi="ar-DZ"/>
        </w:rPr>
        <w:t xml:space="preserve"> </w:t>
      </w:r>
      <w:r w:rsidR="00DF4D58">
        <w:rPr>
          <w:rFonts w:ascii="Simplified Arabic" w:hAnsi="Simplified Arabic" w:cs="Simplified Arabic" w:hint="cs"/>
          <w:color w:val="000000"/>
          <w:sz w:val="24"/>
          <w:szCs w:val="24"/>
          <w:rtl/>
          <w:lang w:bidi="ar-DZ"/>
        </w:rPr>
        <w:t>ضمن</w:t>
      </w:r>
      <w:r w:rsidRPr="000C03AF">
        <w:rPr>
          <w:rFonts w:ascii="Simplified Arabic" w:hAnsi="Simplified Arabic" w:cs="Simplified Arabic"/>
          <w:color w:val="000000"/>
          <w:sz w:val="24"/>
          <w:szCs w:val="24"/>
          <w:rtl/>
          <w:lang w:bidi="ar-DZ"/>
        </w:rPr>
        <w:t xml:space="preserve"> </w:t>
      </w:r>
      <w:r w:rsidR="00DF4D58">
        <w:rPr>
          <w:rFonts w:ascii="Simplified Arabic" w:hAnsi="Simplified Arabic" w:cs="Simplified Arabic" w:hint="cs"/>
          <w:color w:val="000000"/>
          <w:sz w:val="24"/>
          <w:szCs w:val="24"/>
          <w:rtl/>
          <w:lang w:bidi="ar-DZ"/>
        </w:rPr>
        <w:t>حيز مكاني</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نادرًا</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ما</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تتجاوز</w:t>
      </w:r>
      <w:r>
        <w:rPr>
          <w:rFonts w:ascii="Simplified Arabic" w:hAnsi="Simplified Arabic" w:cs="Simplified Arabic" w:hint="cs"/>
          <w:color w:val="000000"/>
          <w:sz w:val="24"/>
          <w:szCs w:val="24"/>
          <w:rtl/>
          <w:lang w:bidi="ar-DZ"/>
        </w:rPr>
        <w:t xml:space="preserve"> مسافة</w:t>
      </w:r>
      <w:r w:rsidRPr="000C03AF">
        <w:rPr>
          <w:rFonts w:ascii="Simplified Arabic" w:hAnsi="Simplified Arabic" w:cs="Simplified Arabic"/>
          <w:color w:val="000000"/>
          <w:sz w:val="24"/>
          <w:szCs w:val="24"/>
          <w:rtl/>
          <w:lang w:bidi="ar-DZ"/>
        </w:rPr>
        <w:t xml:space="preserve"> 400 </w:t>
      </w:r>
      <w:r w:rsidRPr="000C03AF">
        <w:rPr>
          <w:rFonts w:ascii="Simplified Arabic" w:hAnsi="Simplified Arabic" w:cs="Simplified Arabic" w:hint="cs"/>
          <w:color w:val="000000"/>
          <w:sz w:val="24"/>
          <w:szCs w:val="24"/>
          <w:rtl/>
          <w:lang w:bidi="ar-DZ"/>
        </w:rPr>
        <w:t>متر،</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مما</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يعكس</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القيود</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المفروضة</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على</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حركات</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المشاة</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ومنطق</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التنظيم</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الذاتي</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للمناطق</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الحضرية</w:t>
      </w:r>
      <w:r w:rsidRPr="000C03AF">
        <w:rPr>
          <w:rFonts w:ascii="Simplified Arabic" w:hAnsi="Simplified Arabic" w:cs="Simplified Arabic"/>
          <w:color w:val="000000"/>
          <w:sz w:val="24"/>
          <w:szCs w:val="24"/>
          <w:rtl/>
          <w:lang w:bidi="ar-DZ"/>
        </w:rPr>
        <w:t xml:space="preserve"> </w:t>
      </w:r>
      <w:r w:rsidRPr="000C03AF">
        <w:rPr>
          <w:rFonts w:ascii="Simplified Arabic" w:hAnsi="Simplified Arabic" w:cs="Simplified Arabic" w:hint="cs"/>
          <w:color w:val="000000"/>
          <w:sz w:val="24"/>
          <w:szCs w:val="24"/>
          <w:rtl/>
          <w:lang w:bidi="ar-DZ"/>
        </w:rPr>
        <w:t>الاجتماعية</w:t>
      </w:r>
      <w:r>
        <w:rPr>
          <w:rFonts w:ascii="Simplified Arabic" w:hAnsi="Simplified Arabic" w:cs="Simplified Arabic" w:hint="cs"/>
          <w:color w:val="000000"/>
          <w:sz w:val="24"/>
          <w:szCs w:val="24"/>
          <w:rtl/>
          <w:lang w:bidi="ar-DZ"/>
        </w:rPr>
        <w:t xml:space="preserve">، كما </w:t>
      </w:r>
      <w:r w:rsidRPr="00F75466">
        <w:rPr>
          <w:rFonts w:ascii="Simplified Arabic" w:hAnsi="Simplified Arabic" w:cs="Simplified Arabic" w:hint="cs"/>
          <w:color w:val="000000"/>
          <w:sz w:val="24"/>
          <w:szCs w:val="24"/>
          <w:rtl/>
          <w:lang w:bidi="ar-DZ"/>
        </w:rPr>
        <w:t>وجد</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أن</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في</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المدن</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المعاصرة،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وبسبب</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معايير</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التخطيط</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الجديدة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وإدخال</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السيارة،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كانت</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هذه</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المسافة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أكثر</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من</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ضعف</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المسافة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في</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المدن</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التقليدية،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وبالتالي</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زادت</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مساحة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مناطق</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الحرم</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أربعة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أضعاف،</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مع</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تأثير</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ضار</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كبير</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على</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الاتصال</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وإمكانية</w:t>
      </w:r>
      <w:r w:rsidRPr="00F75466">
        <w:rPr>
          <w:rFonts w:ascii="Simplified Arabic" w:hAnsi="Simplified Arabic" w:cs="Simplified Arabic"/>
          <w:color w:val="000000"/>
          <w:sz w:val="24"/>
          <w:szCs w:val="24"/>
          <w:rtl/>
          <w:lang w:bidi="ar-DZ"/>
        </w:rPr>
        <w:t xml:space="preserve"> </w:t>
      </w:r>
      <w:r w:rsidRPr="00F75466">
        <w:rPr>
          <w:rFonts w:ascii="Simplified Arabic" w:hAnsi="Simplified Arabic" w:cs="Simplified Arabic" w:hint="cs"/>
          <w:color w:val="000000"/>
          <w:sz w:val="24"/>
          <w:szCs w:val="24"/>
          <w:rtl/>
          <w:lang w:bidi="ar-DZ"/>
        </w:rPr>
        <w:t>الوصول</w:t>
      </w:r>
      <w:r>
        <w:rPr>
          <w:rFonts w:ascii="Simplified Arabic" w:hAnsi="Simplified Arabic" w:cs="Simplified Arabic" w:hint="cs"/>
          <w:color w:val="000000"/>
          <w:sz w:val="24"/>
          <w:szCs w:val="24"/>
          <w:rtl/>
          <w:lang w:bidi="ar-DZ"/>
        </w:rPr>
        <w:t xml:space="preserve">، </w:t>
      </w:r>
      <w:r>
        <w:rPr>
          <w:rFonts w:ascii="Simplified Arabic" w:hAnsi="Simplified Arabic" w:cs="Simplified Arabic" w:hint="cs"/>
          <w:color w:val="000000" w:themeColor="text1"/>
          <w:sz w:val="24"/>
          <w:szCs w:val="24"/>
          <w:rtl/>
          <w:lang w:val="en-US"/>
        </w:rPr>
        <w:t xml:space="preserve">الشكل </w:t>
      </w:r>
      <w:r w:rsidRPr="00EE338D">
        <w:rPr>
          <w:rFonts w:ascii="Simplified Arabic" w:hAnsi="Simplified Arabic" w:cs="Simplified Arabic" w:hint="cs"/>
          <w:sz w:val="24"/>
          <w:szCs w:val="24"/>
          <w:rtl/>
        </w:rPr>
        <w:t>(</w:t>
      </w:r>
      <w:r>
        <w:rPr>
          <w:rFonts w:ascii="Simplified Arabic" w:hAnsi="Simplified Arabic" w:cs="Simplified Arabic" w:hint="cs"/>
          <w:sz w:val="24"/>
          <w:szCs w:val="24"/>
          <w:rtl/>
        </w:rPr>
        <w:t>6-</w:t>
      </w:r>
      <w:r w:rsidR="00B24A3A">
        <w:rPr>
          <w:rFonts w:ascii="Simplified Arabic" w:hAnsi="Simplified Arabic" w:cs="Simplified Arabic"/>
          <w:sz w:val="24"/>
          <w:szCs w:val="24"/>
        </w:rPr>
        <w:t>7</w:t>
      </w:r>
      <w:r w:rsidRPr="00EE338D">
        <w:rPr>
          <w:rFonts w:ascii="Simplified Arabic" w:hAnsi="Simplified Arabic" w:cs="Simplified Arabic" w:hint="cs"/>
          <w:sz w:val="24"/>
          <w:szCs w:val="24"/>
          <w:rtl/>
        </w:rPr>
        <w:t>)</w:t>
      </w:r>
      <w:r>
        <w:rPr>
          <w:rFonts w:ascii="Simplified Arabic" w:hAnsi="Simplified Arabic" w:cs="Simplified Arabic" w:hint="cs"/>
          <w:color w:val="000000"/>
          <w:sz w:val="24"/>
          <w:szCs w:val="24"/>
          <w:rtl/>
          <w:lang w:bidi="ar-DZ"/>
        </w:rPr>
        <w:t>.</w:t>
      </w:r>
      <w:r w:rsidRPr="00F75466">
        <w:rPr>
          <w:rFonts w:asciiTheme="majorBidi" w:hAnsiTheme="majorBidi" w:cstheme="majorBidi"/>
          <w:color w:val="000000"/>
          <w:sz w:val="24"/>
          <w:szCs w:val="24"/>
          <w:rtl/>
        </w:rPr>
        <w:t xml:space="preserve"> </w:t>
      </w:r>
      <w:r w:rsidR="00ED50C9" w:rsidRPr="00ED50C9">
        <w:rPr>
          <w:rFonts w:ascii="Simplified Arabic" w:hAnsi="Simplified Arabic" w:cs="Simplified Arabic" w:hint="cs"/>
          <w:color w:val="000000"/>
          <w:sz w:val="24"/>
          <w:szCs w:val="24"/>
          <w:rtl/>
          <w:lang w:bidi="ar-DZ"/>
        </w:rPr>
        <w:t>لذلك حدد</w:t>
      </w:r>
      <w:r w:rsidR="00ED50C9">
        <w:rPr>
          <w:rFonts w:ascii="Simplified Arabic" w:hAnsi="Simplified Arabic" w:cs="Simplified Arabic" w:hint="cs"/>
          <w:color w:val="000000"/>
          <w:sz w:val="24"/>
          <w:szCs w:val="24"/>
          <w:rtl/>
          <w:lang w:bidi="ar-DZ"/>
        </w:rPr>
        <w:t xml:space="preserve"> </w:t>
      </w:r>
      <w:r w:rsidR="00ED50C9" w:rsidRPr="00F75466">
        <w:rPr>
          <w:rFonts w:asciiTheme="majorBidi" w:hAnsiTheme="majorBidi" w:cstheme="majorBidi"/>
          <w:color w:val="000000"/>
          <w:sz w:val="24"/>
          <w:szCs w:val="24"/>
        </w:rPr>
        <w:t>(</w:t>
      </w:r>
      <w:r w:rsidR="00ED50C9" w:rsidRPr="00F75466">
        <w:rPr>
          <w:rFonts w:asciiTheme="majorBidi" w:hAnsiTheme="majorBidi" w:cstheme="majorBidi"/>
          <w:sz w:val="24"/>
          <w:szCs w:val="24"/>
          <w:lang w:val="en-US" w:bidi="ar-DZ"/>
        </w:rPr>
        <w:t>Porta et al, 2014</w:t>
      </w:r>
      <w:r w:rsidR="00ED50C9" w:rsidRPr="00F75466">
        <w:rPr>
          <w:rFonts w:asciiTheme="majorBidi" w:hAnsiTheme="majorBidi" w:cstheme="majorBidi"/>
          <w:color w:val="000000"/>
          <w:sz w:val="24"/>
          <w:szCs w:val="24"/>
        </w:rPr>
        <w:t>)</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متوسط</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المسافة</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النموذجية</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بين</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الطرق</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الرئيسية</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الحضرية</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في</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التطورات</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العمرانية</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الجديدة</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المعاصرة</w:t>
      </w:r>
      <w:r w:rsidR="00ED50C9" w:rsidRPr="00557AE3">
        <w:rPr>
          <w:rFonts w:ascii="Simplified Arabic" w:hAnsi="Simplified Arabic" w:cs="Simplified Arabic"/>
          <w:sz w:val="24"/>
          <w:szCs w:val="24"/>
          <w:rtl/>
          <w:lang w:val="en-US" w:bidi="ar-DZ"/>
        </w:rPr>
        <w:t xml:space="preserve"> </w:t>
      </w:r>
      <w:r w:rsidR="00ED50C9" w:rsidRPr="00557AE3">
        <w:rPr>
          <w:rFonts w:ascii="Simplified Arabic" w:hAnsi="Simplified Arabic" w:cs="Simplified Arabic" w:hint="cs"/>
          <w:sz w:val="24"/>
          <w:szCs w:val="24"/>
          <w:rtl/>
          <w:lang w:val="en-US" w:bidi="ar-DZ"/>
        </w:rPr>
        <w:t>عند</w:t>
      </w:r>
      <w:r w:rsidR="00ED50C9" w:rsidRPr="00557AE3">
        <w:rPr>
          <w:rFonts w:ascii="Simplified Arabic" w:hAnsi="Simplified Arabic" w:cs="Simplified Arabic"/>
          <w:sz w:val="24"/>
          <w:szCs w:val="24"/>
          <w:rtl/>
          <w:lang w:val="en-US" w:bidi="ar-DZ"/>
        </w:rPr>
        <w:t xml:space="preserve"> 788 </w:t>
      </w:r>
      <w:r w:rsidR="00ED50C9" w:rsidRPr="00557AE3">
        <w:rPr>
          <w:rFonts w:ascii="Simplified Arabic" w:hAnsi="Simplified Arabic" w:cs="Simplified Arabic" w:hint="cs"/>
          <w:sz w:val="24"/>
          <w:szCs w:val="24"/>
          <w:rtl/>
          <w:lang w:val="en-US" w:bidi="ar-DZ"/>
        </w:rPr>
        <w:t>مترًا</w:t>
      </w:r>
      <w:r w:rsidR="00ED50C9">
        <w:rPr>
          <w:rFonts w:ascii="Simplified Arabic" w:hAnsi="Simplified Arabic" w:cs="Simplified Arabic" w:hint="cs"/>
          <w:sz w:val="24"/>
          <w:szCs w:val="24"/>
          <w:rtl/>
          <w:lang w:val="en-US" w:bidi="ar-DZ"/>
        </w:rPr>
        <w:t>.</w:t>
      </w:r>
    </w:p>
    <w:p w:rsidR="002A686B" w:rsidRPr="0089158C" w:rsidRDefault="002A686B" w:rsidP="0089158C">
      <w:pPr>
        <w:pStyle w:val="fegure"/>
        <w:rPr>
          <w:sz w:val="8"/>
          <w:szCs w:val="24"/>
          <w:rtl/>
        </w:rPr>
      </w:pPr>
      <w:bookmarkStart w:id="803" w:name="_Toc157608358"/>
      <w:bookmarkStart w:id="804" w:name="_Toc171803784"/>
      <w:r w:rsidRPr="0089158C">
        <w:rPr>
          <w:rFonts w:hint="cs"/>
          <w:sz w:val="8"/>
          <w:szCs w:val="24"/>
          <w:rtl/>
          <w:lang w:val="en-US"/>
        </w:rPr>
        <w:t xml:space="preserve">الشكل </w:t>
      </w:r>
      <w:r w:rsidRPr="0089158C">
        <w:rPr>
          <w:rFonts w:hint="cs"/>
          <w:sz w:val="8"/>
          <w:szCs w:val="24"/>
          <w:rtl/>
        </w:rPr>
        <w:t>(6-</w:t>
      </w:r>
      <w:r w:rsidR="0089158C">
        <w:rPr>
          <w:rFonts w:hint="cs"/>
          <w:sz w:val="8"/>
          <w:szCs w:val="24"/>
          <w:rtl/>
        </w:rPr>
        <w:t>7</w:t>
      </w:r>
      <w:r w:rsidRPr="0089158C">
        <w:rPr>
          <w:rFonts w:hint="cs"/>
          <w:sz w:val="8"/>
          <w:szCs w:val="24"/>
          <w:rtl/>
        </w:rPr>
        <w:t>)</w:t>
      </w:r>
      <w:r w:rsidRPr="0089158C">
        <w:rPr>
          <w:sz w:val="8"/>
          <w:szCs w:val="24"/>
          <w:rtl/>
        </w:rPr>
        <w:t>:</w:t>
      </w:r>
      <w:r w:rsidRPr="0089158C">
        <w:rPr>
          <w:rFonts w:hint="cs"/>
          <w:sz w:val="8"/>
          <w:szCs w:val="24"/>
          <w:rtl/>
        </w:rPr>
        <w:t xml:space="preserve"> مسافة</w:t>
      </w:r>
      <w:r w:rsidRPr="0089158C">
        <w:rPr>
          <w:sz w:val="8"/>
          <w:szCs w:val="24"/>
          <w:rtl/>
        </w:rPr>
        <w:t xml:space="preserve"> </w:t>
      </w:r>
      <w:r w:rsidRPr="0089158C">
        <w:rPr>
          <w:rFonts w:hint="cs"/>
          <w:sz w:val="8"/>
          <w:szCs w:val="24"/>
          <w:rtl/>
        </w:rPr>
        <w:t>الطرق</w:t>
      </w:r>
      <w:r w:rsidRPr="0089158C">
        <w:rPr>
          <w:sz w:val="8"/>
          <w:szCs w:val="24"/>
          <w:rtl/>
        </w:rPr>
        <w:t xml:space="preserve"> </w:t>
      </w:r>
      <w:r w:rsidRPr="0089158C">
        <w:rPr>
          <w:rFonts w:hint="cs"/>
          <w:sz w:val="8"/>
          <w:szCs w:val="24"/>
          <w:rtl/>
        </w:rPr>
        <w:t>الرئيسية</w:t>
      </w:r>
      <w:r w:rsidRPr="0089158C">
        <w:rPr>
          <w:sz w:val="8"/>
          <w:szCs w:val="24"/>
          <w:rtl/>
        </w:rPr>
        <w:t xml:space="preserve"> </w:t>
      </w:r>
      <w:r w:rsidR="009838BE" w:rsidRPr="0089158C">
        <w:rPr>
          <w:rFonts w:hint="cs"/>
          <w:sz w:val="8"/>
          <w:szCs w:val="24"/>
          <w:rtl/>
        </w:rPr>
        <w:t>ل</w:t>
      </w:r>
      <w:r w:rsidRPr="0089158C">
        <w:rPr>
          <w:rFonts w:hint="cs"/>
          <w:sz w:val="8"/>
          <w:szCs w:val="24"/>
          <w:rtl/>
        </w:rPr>
        <w:t>أربع</w:t>
      </w:r>
      <w:r w:rsidRPr="0089158C">
        <w:rPr>
          <w:sz w:val="8"/>
          <w:szCs w:val="24"/>
          <w:rtl/>
        </w:rPr>
        <w:t xml:space="preserve"> </w:t>
      </w:r>
      <w:r w:rsidRPr="0089158C">
        <w:rPr>
          <w:rFonts w:hint="cs"/>
          <w:sz w:val="8"/>
          <w:szCs w:val="24"/>
          <w:rtl/>
        </w:rPr>
        <w:t>مدن</w:t>
      </w:r>
      <w:r w:rsidRPr="0089158C">
        <w:rPr>
          <w:sz w:val="8"/>
          <w:szCs w:val="24"/>
          <w:rtl/>
        </w:rPr>
        <w:t xml:space="preserve"> </w:t>
      </w:r>
      <w:r w:rsidR="009838BE" w:rsidRPr="0089158C">
        <w:rPr>
          <w:rFonts w:hint="cs"/>
          <w:sz w:val="8"/>
          <w:szCs w:val="24"/>
          <w:rtl/>
        </w:rPr>
        <w:t xml:space="preserve">مختلفة </w:t>
      </w:r>
      <w:r w:rsidRPr="0089158C">
        <w:rPr>
          <w:rFonts w:hint="cs"/>
          <w:sz w:val="8"/>
          <w:szCs w:val="24"/>
          <w:rtl/>
        </w:rPr>
        <w:t>النسيج</w:t>
      </w:r>
      <w:r w:rsidRPr="0089158C">
        <w:rPr>
          <w:sz w:val="8"/>
          <w:szCs w:val="24"/>
          <w:rtl/>
        </w:rPr>
        <w:t xml:space="preserve">: </w:t>
      </w:r>
      <w:r w:rsidRPr="0089158C">
        <w:rPr>
          <w:rFonts w:hint="cs"/>
          <w:sz w:val="8"/>
          <w:szCs w:val="24"/>
          <w:rtl/>
        </w:rPr>
        <w:t>المدينة</w:t>
      </w:r>
      <w:r w:rsidRPr="0089158C">
        <w:rPr>
          <w:sz w:val="8"/>
          <w:szCs w:val="24"/>
          <w:rtl/>
        </w:rPr>
        <w:t xml:space="preserve"> </w:t>
      </w:r>
      <w:r w:rsidRPr="0089158C">
        <w:rPr>
          <w:rFonts w:hint="cs"/>
          <w:sz w:val="8"/>
          <w:szCs w:val="24"/>
          <w:rtl/>
        </w:rPr>
        <w:t>التاريخية</w:t>
      </w:r>
      <w:r w:rsidRPr="0089158C">
        <w:rPr>
          <w:sz w:val="8"/>
          <w:szCs w:val="24"/>
          <w:rtl/>
        </w:rPr>
        <w:t xml:space="preserve"> (</w:t>
      </w:r>
      <w:r w:rsidRPr="0089158C">
        <w:rPr>
          <w:rFonts w:hint="cs"/>
          <w:sz w:val="8"/>
          <w:szCs w:val="24"/>
          <w:rtl/>
        </w:rPr>
        <w:t>أعلى</w:t>
      </w:r>
      <w:r w:rsidRPr="0089158C">
        <w:rPr>
          <w:sz w:val="8"/>
          <w:szCs w:val="24"/>
          <w:rtl/>
        </w:rPr>
        <w:t xml:space="preserve"> </w:t>
      </w:r>
      <w:r w:rsidRPr="0089158C">
        <w:rPr>
          <w:rFonts w:hint="cs"/>
          <w:sz w:val="8"/>
          <w:szCs w:val="24"/>
          <w:rtl/>
        </w:rPr>
        <w:t>اليسار</w:t>
      </w:r>
      <w:r w:rsidRPr="0089158C">
        <w:rPr>
          <w:sz w:val="8"/>
          <w:szCs w:val="24"/>
          <w:rtl/>
        </w:rPr>
        <w:t>)</w:t>
      </w:r>
      <w:r w:rsidRPr="0089158C">
        <w:rPr>
          <w:rFonts w:hint="cs"/>
          <w:sz w:val="8"/>
          <w:szCs w:val="24"/>
          <w:rtl/>
        </w:rPr>
        <w:t>،</w:t>
      </w:r>
      <w:r w:rsidRPr="0089158C">
        <w:rPr>
          <w:sz w:val="8"/>
          <w:szCs w:val="24"/>
          <w:rtl/>
        </w:rPr>
        <w:t xml:space="preserve"> </w:t>
      </w:r>
      <w:r w:rsidRPr="0089158C">
        <w:rPr>
          <w:rFonts w:hint="cs"/>
          <w:sz w:val="8"/>
          <w:szCs w:val="24"/>
          <w:rtl/>
        </w:rPr>
        <w:t>المدينة</w:t>
      </w:r>
      <w:r w:rsidRPr="0089158C">
        <w:rPr>
          <w:sz w:val="8"/>
          <w:szCs w:val="24"/>
          <w:rtl/>
        </w:rPr>
        <w:t xml:space="preserve"> </w:t>
      </w:r>
      <w:r w:rsidRPr="0089158C">
        <w:rPr>
          <w:rFonts w:hint="cs"/>
          <w:sz w:val="8"/>
          <w:szCs w:val="24"/>
          <w:rtl/>
        </w:rPr>
        <w:t>غير</w:t>
      </w:r>
      <w:r w:rsidRPr="0089158C">
        <w:rPr>
          <w:sz w:val="8"/>
          <w:szCs w:val="24"/>
          <w:rtl/>
        </w:rPr>
        <w:t xml:space="preserve"> </w:t>
      </w:r>
      <w:r w:rsidR="00E03D46" w:rsidRPr="0089158C">
        <w:rPr>
          <w:rFonts w:hint="cs"/>
          <w:sz w:val="8"/>
          <w:szCs w:val="24"/>
          <w:rtl/>
        </w:rPr>
        <w:t>ال</w:t>
      </w:r>
      <w:r w:rsidR="009838BE" w:rsidRPr="0089158C">
        <w:rPr>
          <w:rFonts w:hint="cs"/>
          <w:sz w:val="8"/>
          <w:szCs w:val="24"/>
          <w:rtl/>
        </w:rPr>
        <w:t>م</w:t>
      </w:r>
      <w:r w:rsidR="00E03D46" w:rsidRPr="0089158C">
        <w:rPr>
          <w:rFonts w:hint="cs"/>
          <w:sz w:val="8"/>
          <w:szCs w:val="24"/>
          <w:rtl/>
        </w:rPr>
        <w:t>خططة</w:t>
      </w:r>
      <w:r w:rsidRPr="0089158C">
        <w:rPr>
          <w:sz w:val="8"/>
          <w:szCs w:val="24"/>
          <w:rtl/>
        </w:rPr>
        <w:t xml:space="preserve"> (</w:t>
      </w:r>
      <w:r w:rsidRPr="0089158C">
        <w:rPr>
          <w:rFonts w:hint="cs"/>
          <w:sz w:val="8"/>
          <w:szCs w:val="24"/>
          <w:rtl/>
        </w:rPr>
        <w:t>أعلى</w:t>
      </w:r>
      <w:r w:rsidRPr="0089158C">
        <w:rPr>
          <w:sz w:val="8"/>
          <w:szCs w:val="24"/>
          <w:rtl/>
        </w:rPr>
        <w:t xml:space="preserve"> </w:t>
      </w:r>
      <w:r w:rsidRPr="0089158C">
        <w:rPr>
          <w:rFonts w:hint="cs"/>
          <w:sz w:val="8"/>
          <w:szCs w:val="24"/>
          <w:rtl/>
        </w:rPr>
        <w:t>اليمين</w:t>
      </w:r>
      <w:r w:rsidRPr="0089158C">
        <w:rPr>
          <w:sz w:val="8"/>
          <w:szCs w:val="24"/>
          <w:rtl/>
        </w:rPr>
        <w:t xml:space="preserve">) </w:t>
      </w:r>
      <w:r w:rsidRPr="0089158C">
        <w:rPr>
          <w:rFonts w:hint="cs"/>
          <w:sz w:val="8"/>
          <w:szCs w:val="24"/>
          <w:rtl/>
        </w:rPr>
        <w:t>ومثالين</w:t>
      </w:r>
      <w:r w:rsidRPr="0089158C">
        <w:rPr>
          <w:sz w:val="8"/>
          <w:szCs w:val="24"/>
          <w:rtl/>
        </w:rPr>
        <w:t xml:space="preserve"> </w:t>
      </w:r>
      <w:r w:rsidRPr="0089158C">
        <w:rPr>
          <w:rFonts w:hint="cs"/>
          <w:sz w:val="8"/>
          <w:szCs w:val="24"/>
          <w:rtl/>
        </w:rPr>
        <w:t>للمدن</w:t>
      </w:r>
      <w:r w:rsidRPr="0089158C">
        <w:rPr>
          <w:sz w:val="8"/>
          <w:szCs w:val="24"/>
          <w:rtl/>
        </w:rPr>
        <w:t xml:space="preserve"> </w:t>
      </w:r>
      <w:r w:rsidRPr="0089158C">
        <w:rPr>
          <w:rFonts w:hint="cs"/>
          <w:sz w:val="8"/>
          <w:szCs w:val="24"/>
          <w:rtl/>
        </w:rPr>
        <w:t>المعاصرة</w:t>
      </w:r>
      <w:r w:rsidRPr="0089158C">
        <w:rPr>
          <w:sz w:val="8"/>
          <w:szCs w:val="24"/>
          <w:rtl/>
        </w:rPr>
        <w:t xml:space="preserve"> </w:t>
      </w:r>
      <w:r w:rsidRPr="0089158C">
        <w:rPr>
          <w:rFonts w:hint="cs"/>
          <w:sz w:val="8"/>
          <w:szCs w:val="24"/>
          <w:rtl/>
        </w:rPr>
        <w:t>المخططة،</w:t>
      </w:r>
      <w:r w:rsidRPr="0089158C">
        <w:rPr>
          <w:sz w:val="8"/>
          <w:szCs w:val="24"/>
          <w:rtl/>
        </w:rPr>
        <w:t xml:space="preserve"> </w:t>
      </w:r>
      <w:r w:rsidRPr="0089158C">
        <w:rPr>
          <w:rFonts w:hint="cs"/>
          <w:sz w:val="8"/>
          <w:szCs w:val="24"/>
          <w:rtl/>
        </w:rPr>
        <w:t>مدينة</w:t>
      </w:r>
      <w:r w:rsidRPr="0089158C">
        <w:rPr>
          <w:sz w:val="8"/>
          <w:szCs w:val="24"/>
          <w:rtl/>
        </w:rPr>
        <w:t xml:space="preserve"> </w:t>
      </w:r>
      <w:r w:rsidRPr="0089158C">
        <w:rPr>
          <w:rFonts w:hint="cs"/>
          <w:sz w:val="8"/>
          <w:szCs w:val="24"/>
          <w:rtl/>
        </w:rPr>
        <w:t>الحدائق</w:t>
      </w:r>
      <w:r w:rsidRPr="0089158C">
        <w:rPr>
          <w:sz w:val="8"/>
          <w:szCs w:val="24"/>
          <w:rtl/>
        </w:rPr>
        <w:t xml:space="preserve"> </w:t>
      </w:r>
      <w:r w:rsidRPr="004E1FA3">
        <w:rPr>
          <w:sz w:val="4"/>
          <w:szCs w:val="20"/>
          <w:rtl/>
        </w:rPr>
        <w:t xml:space="preserve">( </w:t>
      </w:r>
      <w:r w:rsidRPr="004E1FA3">
        <w:rPr>
          <w:rFonts w:hint="cs"/>
          <w:sz w:val="4"/>
          <w:szCs w:val="20"/>
          <w:rtl/>
        </w:rPr>
        <w:t>أسفل</w:t>
      </w:r>
      <w:r w:rsidRPr="004E1FA3">
        <w:rPr>
          <w:sz w:val="4"/>
          <w:szCs w:val="20"/>
          <w:rtl/>
        </w:rPr>
        <w:t xml:space="preserve"> </w:t>
      </w:r>
      <w:r w:rsidRPr="004E1FA3">
        <w:rPr>
          <w:rFonts w:hint="cs"/>
          <w:sz w:val="4"/>
          <w:szCs w:val="20"/>
          <w:rtl/>
        </w:rPr>
        <w:t>اليسار</w:t>
      </w:r>
      <w:r w:rsidRPr="004E1FA3">
        <w:rPr>
          <w:sz w:val="4"/>
          <w:szCs w:val="20"/>
          <w:rtl/>
        </w:rPr>
        <w:t xml:space="preserve">) </w:t>
      </w:r>
      <w:r w:rsidRPr="004E1FA3">
        <w:rPr>
          <w:rFonts w:hint="cs"/>
          <w:sz w:val="4"/>
          <w:szCs w:val="20"/>
          <w:rtl/>
        </w:rPr>
        <w:t>والمدينة</w:t>
      </w:r>
      <w:r w:rsidRPr="004E1FA3">
        <w:rPr>
          <w:sz w:val="4"/>
          <w:szCs w:val="20"/>
          <w:rtl/>
        </w:rPr>
        <w:t xml:space="preserve"> </w:t>
      </w:r>
      <w:r w:rsidRPr="004E1FA3">
        <w:rPr>
          <w:rFonts w:hint="cs"/>
          <w:sz w:val="4"/>
          <w:szCs w:val="20"/>
          <w:rtl/>
        </w:rPr>
        <w:t>المشعة</w:t>
      </w:r>
      <w:r w:rsidRPr="004E1FA3">
        <w:rPr>
          <w:sz w:val="4"/>
          <w:szCs w:val="20"/>
          <w:rtl/>
        </w:rPr>
        <w:t xml:space="preserve"> (</w:t>
      </w:r>
      <w:r w:rsidRPr="004E1FA3">
        <w:rPr>
          <w:rFonts w:hint="cs"/>
          <w:sz w:val="4"/>
          <w:szCs w:val="20"/>
          <w:rtl/>
        </w:rPr>
        <w:t>أسفل</w:t>
      </w:r>
      <w:r w:rsidRPr="004E1FA3">
        <w:rPr>
          <w:sz w:val="4"/>
          <w:szCs w:val="20"/>
          <w:rtl/>
        </w:rPr>
        <w:t xml:space="preserve"> </w:t>
      </w:r>
      <w:r w:rsidRPr="004E1FA3">
        <w:rPr>
          <w:rFonts w:hint="cs"/>
          <w:sz w:val="4"/>
          <w:szCs w:val="20"/>
          <w:rtl/>
        </w:rPr>
        <w:t>اليمين</w:t>
      </w:r>
      <w:r w:rsidRPr="004E1FA3">
        <w:rPr>
          <w:sz w:val="4"/>
          <w:szCs w:val="20"/>
          <w:rtl/>
        </w:rPr>
        <w:t>).</w:t>
      </w:r>
      <w:bookmarkEnd w:id="803"/>
      <w:bookmarkEnd w:id="804"/>
    </w:p>
    <w:p w:rsidR="002A686B" w:rsidRDefault="002A686B" w:rsidP="002A686B">
      <w:pPr>
        <w:pStyle w:val="Default"/>
        <w:bidi/>
        <w:spacing w:line="276" w:lineRule="auto"/>
        <w:jc w:val="center"/>
        <w:rPr>
          <w:rFonts w:asciiTheme="majorBidi" w:eastAsia="Times New Roman" w:hAnsiTheme="majorBidi" w:cstheme="majorBidi"/>
          <w:bCs/>
          <w:rtl/>
          <w:lang w:val="en-US" w:eastAsia="fr-FR"/>
        </w:rPr>
      </w:pPr>
      <w:r w:rsidRPr="00EE338D">
        <w:rPr>
          <w:rFonts w:ascii="Simplified Arabic" w:hAnsi="Simplified Arabic" w:cs="Simplified Arabic" w:hint="cs"/>
          <w:rtl/>
        </w:rPr>
        <w:t>المصدر:</w:t>
      </w:r>
      <w:r w:rsidRPr="00514A7A">
        <w:rPr>
          <w:rFonts w:asciiTheme="majorBidi" w:eastAsia="Times New Roman" w:hAnsiTheme="majorBidi" w:cstheme="majorBidi"/>
          <w:bCs/>
          <w:rtl/>
          <w:lang w:val="en-US" w:eastAsia="fr-FR"/>
        </w:rPr>
        <w:t xml:space="preserve"> (</w:t>
      </w:r>
      <w:r w:rsidRPr="00514A7A">
        <w:rPr>
          <w:rFonts w:asciiTheme="majorBidi" w:eastAsia="Times New Roman" w:hAnsiTheme="majorBidi" w:cstheme="majorBidi"/>
          <w:bCs/>
          <w:lang w:eastAsia="fr-FR"/>
        </w:rPr>
        <w:t>Sharifi et al., 2021</w:t>
      </w:r>
      <w:r w:rsidRPr="00514A7A">
        <w:rPr>
          <w:rFonts w:asciiTheme="majorBidi" w:eastAsia="Times New Roman" w:hAnsiTheme="majorBidi" w:cstheme="majorBidi"/>
          <w:bCs/>
          <w:rtl/>
          <w:lang w:val="en-US" w:eastAsia="fr-FR"/>
        </w:rPr>
        <w:t>)</w:t>
      </w:r>
    </w:p>
    <w:p w:rsidR="002A686B" w:rsidRDefault="002A686B" w:rsidP="00CC4870">
      <w:pPr>
        <w:bidi/>
        <w:spacing w:after="0"/>
        <w:jc w:val="center"/>
        <w:rPr>
          <w:rFonts w:ascii="Simplified Arabic" w:hAnsi="Simplified Arabic" w:cs="Simplified Arabic"/>
          <w:sz w:val="24"/>
          <w:szCs w:val="24"/>
          <w:rtl/>
          <w:lang w:val="en-US" w:bidi="ar-DZ"/>
        </w:rPr>
      </w:pPr>
      <w:r>
        <w:rPr>
          <w:noProof/>
          <w:lang w:eastAsia="fr-FR"/>
        </w:rPr>
        <w:drawing>
          <wp:inline distT="0" distB="0" distL="0" distR="0" wp14:anchorId="1247B865" wp14:editId="6479BC1A">
            <wp:extent cx="5003321" cy="2730920"/>
            <wp:effectExtent l="19050" t="19050" r="26035" b="12700"/>
            <wp:docPr id="176" name="Imag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6"/>
                    <a:stretch>
                      <a:fillRect/>
                    </a:stretch>
                  </pic:blipFill>
                  <pic:spPr>
                    <a:xfrm>
                      <a:off x="0" y="0"/>
                      <a:ext cx="5005093" cy="2731887"/>
                    </a:xfrm>
                    <a:prstGeom prst="rect">
                      <a:avLst/>
                    </a:prstGeom>
                    <a:ln w="3175">
                      <a:solidFill>
                        <a:schemeClr val="tx1"/>
                      </a:solidFill>
                    </a:ln>
                  </pic:spPr>
                </pic:pic>
              </a:graphicData>
            </a:graphic>
          </wp:inline>
        </w:drawing>
      </w:r>
    </w:p>
    <w:p w:rsidR="00FA7E02" w:rsidRPr="008D1804" w:rsidRDefault="002A686B" w:rsidP="00F43011">
      <w:pPr>
        <w:bidi/>
        <w:spacing w:after="0"/>
        <w:ind w:firstLine="283"/>
        <w:jc w:val="both"/>
        <w:rPr>
          <w:rtl/>
          <w:lang w:bidi="ar-DZ"/>
        </w:rPr>
      </w:pPr>
      <w:r w:rsidRPr="00A93E95">
        <w:rPr>
          <w:rFonts w:ascii="Simplified Arabic" w:hAnsi="Simplified Arabic" w:cs="Simplified Arabic" w:hint="cs"/>
          <w:sz w:val="24"/>
          <w:szCs w:val="24"/>
          <w:rtl/>
          <w:lang w:val="en-US" w:bidi="ar-DZ"/>
        </w:rPr>
        <w:t>يتم</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قياس</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اتصال</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شبكة</w:t>
      </w:r>
      <w:r>
        <w:rPr>
          <w:rFonts w:ascii="Simplified Arabic" w:hAnsi="Simplified Arabic" w:cs="Simplified Arabic" w:hint="cs"/>
          <w:sz w:val="24"/>
          <w:szCs w:val="24"/>
          <w:rtl/>
          <w:lang w:val="en-US" w:bidi="ar-DZ"/>
        </w:rPr>
        <w:t xml:space="preserve"> </w:t>
      </w:r>
      <w:r w:rsidRPr="00EA791A">
        <w:rPr>
          <w:rFonts w:ascii="Simplified Arabic" w:hAnsi="Simplified Arabic" w:cs="Simplified Arabic"/>
          <w:color w:val="000000"/>
          <w:sz w:val="24"/>
          <w:szCs w:val="24"/>
          <w:rtl/>
        </w:rPr>
        <w:t xml:space="preserve">الطرق </w:t>
      </w:r>
      <w:r w:rsidR="00EC1099">
        <w:rPr>
          <w:rFonts w:ascii="Simplified Arabic" w:hAnsi="Simplified Arabic" w:cs="Simplified Arabic" w:hint="cs"/>
          <w:color w:val="000000"/>
          <w:sz w:val="24"/>
          <w:szCs w:val="24"/>
          <w:rtl/>
        </w:rPr>
        <w:t>الرئيسية والثانوية</w:t>
      </w:r>
      <w:r w:rsidRPr="00A93E95">
        <w:rPr>
          <w:rFonts w:ascii="Simplified Arabic" w:hAnsi="Simplified Arabic" w:cs="Simplified Arabic"/>
          <w:sz w:val="24"/>
          <w:szCs w:val="24"/>
          <w:rtl/>
          <w:lang w:val="en-US" w:bidi="ar-DZ"/>
        </w:rPr>
        <w:t xml:space="preserve"> </w:t>
      </w:r>
      <w:r w:rsidRPr="00B14D18">
        <w:rPr>
          <w:rFonts w:ascii="Simplified Arabic" w:eastAsia="Times New Roman" w:hAnsi="Simplified Arabic" w:cs="Simplified Arabic" w:hint="cs"/>
          <w:b/>
          <w:sz w:val="24"/>
          <w:szCs w:val="24"/>
          <w:rtl/>
          <w:lang w:val="en-US" w:eastAsia="fr-FR"/>
        </w:rPr>
        <w:t>لكل</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حي سكني</w:t>
      </w:r>
      <w:r w:rsidRPr="00A93E95">
        <w:rPr>
          <w:rFonts w:ascii="Simplified Arabic" w:hAnsi="Simplified Arabic" w:cs="Simplified Arabic" w:hint="cs"/>
          <w:sz w:val="24"/>
          <w:szCs w:val="24"/>
          <w:rtl/>
          <w:lang w:val="en-US" w:bidi="ar-DZ"/>
        </w:rPr>
        <w:t xml:space="preserve"> من</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خلال</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مق</w:t>
      </w:r>
      <w:r>
        <w:rPr>
          <w:rFonts w:ascii="Simplified Arabic" w:hAnsi="Simplified Arabic" w:cs="Simplified Arabic" w:hint="cs"/>
          <w:sz w:val="24"/>
          <w:szCs w:val="24"/>
          <w:rtl/>
          <w:lang w:val="en-US" w:bidi="ar-DZ"/>
        </w:rPr>
        <w:t>يا</w:t>
      </w:r>
      <w:r w:rsidRPr="00A93E95">
        <w:rPr>
          <w:rFonts w:ascii="Simplified Arabic" w:hAnsi="Simplified Arabic" w:cs="Simplified Arabic" w:hint="cs"/>
          <w:sz w:val="24"/>
          <w:szCs w:val="24"/>
          <w:rtl/>
          <w:lang w:val="en-US" w:bidi="ar-DZ"/>
        </w:rPr>
        <w:t>س</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متري</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ل</w:t>
      </w:r>
      <w:r w:rsidR="00F43011">
        <w:rPr>
          <w:rFonts w:ascii="Simplified Arabic" w:hAnsi="Simplified Arabic" w:cs="Simplified Arabic" w:hint="cs"/>
          <w:sz w:val="24"/>
          <w:szCs w:val="24"/>
          <w:rtl/>
          <w:lang w:val="en-US" w:bidi="ar-DZ"/>
        </w:rPr>
        <w:t>عمق</w:t>
      </w:r>
      <w:r w:rsidR="009838BE">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 xml:space="preserve">الطرق </w:t>
      </w:r>
      <w:r w:rsidR="00FA7E02">
        <w:rPr>
          <w:rFonts w:ascii="Simplified Arabic" w:hAnsi="Simplified Arabic" w:cs="Simplified Arabic" w:hint="cs"/>
          <w:color w:val="000000"/>
          <w:sz w:val="24"/>
          <w:szCs w:val="24"/>
          <w:rtl/>
        </w:rPr>
        <w:t>الرئيسية والطرق الثانوية التي تربط بين الطرق الرئيسية</w:t>
      </w:r>
      <w:r>
        <w:rPr>
          <w:rFonts w:ascii="Simplified Arabic" w:hAnsi="Simplified Arabic" w:cs="Simplified Arabic" w:hint="cs"/>
          <w:sz w:val="24"/>
          <w:szCs w:val="24"/>
          <w:rtl/>
          <w:lang w:val="en-US"/>
        </w:rPr>
        <w:t xml:space="preserve"> </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الامتدادات</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الخطية</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w:t>
      </w:r>
      <w:r w:rsidR="00FA7E02">
        <w:rPr>
          <w:rFonts w:ascii="Simplified Arabic" w:hAnsi="Simplified Arabic" w:cs="Simplified Arabic" w:hint="cs"/>
          <w:sz w:val="24"/>
          <w:szCs w:val="24"/>
          <w:rtl/>
          <w:lang w:val="en-US"/>
        </w:rPr>
        <w:t>لطرق</w:t>
      </w:r>
      <w:r w:rsidRPr="00A93E95">
        <w:rPr>
          <w:rFonts w:ascii="Simplified Arabic" w:hAnsi="Simplified Arabic" w:cs="Simplified Arabic"/>
          <w:sz w:val="24"/>
          <w:szCs w:val="24"/>
          <w:rtl/>
          <w:lang w:val="en-US" w:bidi="ar-DZ"/>
        </w:rPr>
        <w:t>)</w:t>
      </w:r>
      <w:r>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bidi="ar-DZ"/>
        </w:rPr>
        <w:t xml:space="preserve"> </w:t>
      </w:r>
      <w:r w:rsidR="00FA7E02" w:rsidRPr="00582395">
        <w:rPr>
          <w:rFonts w:ascii="Simplified Arabic" w:hAnsi="Simplified Arabic" w:cs="Simplified Arabic"/>
          <w:color w:val="000000" w:themeColor="text1"/>
          <w:sz w:val="24"/>
          <w:szCs w:val="24"/>
          <w:rtl/>
          <w:lang w:bidi="ar-DZ"/>
        </w:rPr>
        <w:t xml:space="preserve">يتم حساب </w:t>
      </w:r>
      <w:r w:rsidR="00FA7E02">
        <w:rPr>
          <w:rFonts w:ascii="Simplified Arabic" w:hAnsi="Simplified Arabic" w:cs="Simplified Arabic" w:hint="cs"/>
          <w:color w:val="000000" w:themeColor="text1"/>
          <w:sz w:val="24"/>
          <w:szCs w:val="24"/>
          <w:rtl/>
          <w:lang w:bidi="ar-DZ"/>
        </w:rPr>
        <w:t>عمق</w:t>
      </w:r>
      <w:r w:rsidR="009838BE">
        <w:rPr>
          <w:rFonts w:ascii="Simplified Arabic" w:hAnsi="Simplified Arabic" w:cs="Simplified Arabic" w:hint="cs"/>
          <w:color w:val="000000" w:themeColor="text1"/>
          <w:sz w:val="24"/>
          <w:szCs w:val="24"/>
          <w:rtl/>
          <w:lang w:bidi="ar-DZ"/>
        </w:rPr>
        <w:t xml:space="preserve"> (طول)</w:t>
      </w:r>
      <w:r w:rsidR="00FA7E02">
        <w:rPr>
          <w:rFonts w:ascii="Simplified Arabic" w:hAnsi="Simplified Arabic" w:cs="Simplified Arabic" w:hint="cs"/>
          <w:color w:val="000000" w:themeColor="text1"/>
          <w:sz w:val="24"/>
          <w:szCs w:val="24"/>
          <w:rtl/>
          <w:lang w:bidi="ar-DZ"/>
        </w:rPr>
        <w:t xml:space="preserve"> الطرق الرئيسية والثانوية</w:t>
      </w:r>
      <w:r w:rsidR="00FA7E02">
        <w:rPr>
          <w:rFonts w:ascii="Simplified Arabic" w:hAnsi="Simplified Arabic" w:cs="Simplified Arabic" w:hint="cs"/>
          <w:sz w:val="24"/>
          <w:szCs w:val="24"/>
          <w:rtl/>
          <w:lang w:bidi="ar-DZ"/>
        </w:rPr>
        <w:t xml:space="preserve"> </w:t>
      </w:r>
      <w:r w:rsidR="00FA7E02" w:rsidRPr="00582395">
        <w:rPr>
          <w:rFonts w:ascii="Simplified Arabic" w:hAnsi="Simplified Arabic" w:cs="Simplified Arabic" w:hint="cs"/>
          <w:color w:val="000000" w:themeColor="text1"/>
          <w:sz w:val="24"/>
          <w:szCs w:val="24"/>
          <w:rtl/>
          <w:lang w:bidi="ar-DZ"/>
        </w:rPr>
        <w:t>باستخدام العلاقة التالية</w:t>
      </w:r>
      <w:r w:rsidR="00FA7E02" w:rsidRPr="00582395">
        <w:rPr>
          <w:rFonts w:ascii="Simplified Arabic" w:hAnsi="Simplified Arabic" w:cs="Simplified Arabic" w:hint="cs"/>
          <w:sz w:val="24"/>
          <w:szCs w:val="24"/>
          <w:rtl/>
          <w:lang w:bidi="ar-DZ"/>
        </w:rPr>
        <w:t xml:space="preserve"> </w:t>
      </w:r>
      <w:r w:rsidR="00FA7E02" w:rsidRPr="00582395">
        <w:rPr>
          <w:rFonts w:asciiTheme="majorBidi" w:hAnsiTheme="majorBidi" w:cstheme="majorBidi"/>
          <w:sz w:val="24"/>
          <w:szCs w:val="24"/>
          <w:lang w:bidi="ar-DZ"/>
        </w:rPr>
        <w:t>(Li, 2018)</w:t>
      </w:r>
      <w:r w:rsidR="00FA7E02" w:rsidRPr="00582395">
        <w:rPr>
          <w:rFonts w:ascii="Simplified Arabic" w:hAnsi="Simplified Arabic" w:cs="Simplified Arabic" w:hint="cs"/>
          <w:sz w:val="24"/>
          <w:szCs w:val="24"/>
          <w:rtl/>
          <w:lang w:bidi="ar-DZ"/>
        </w:rPr>
        <w:t>:</w:t>
      </w:r>
    </w:p>
    <w:p w:rsidR="00FA7E02" w:rsidRPr="001A4F7D" w:rsidRDefault="00FA7E02" w:rsidP="00FA7E02">
      <w:pPr>
        <w:bidi/>
        <w:spacing w:before="240" w:after="0" w:line="240" w:lineRule="auto"/>
        <w:ind w:firstLine="283"/>
        <w:jc w:val="both"/>
        <w:rPr>
          <w:rFonts w:ascii="Simplified Arabic" w:hAnsi="Simplified Arabic" w:cs="Simplified Arabic"/>
          <w:sz w:val="24"/>
          <w:szCs w:val="24"/>
          <w:rtl/>
          <w:lang w:bidi="ar-DZ"/>
        </w:rPr>
      </w:pPr>
      <m:oMathPara>
        <m:oMath>
          <m:r>
            <m:rPr>
              <m:sty m:val="p"/>
            </m:rPr>
            <w:rPr>
              <w:rFonts w:ascii="Cambria Math" w:hAnsi="Cambria Math" w:cstheme="majorBidi"/>
              <w:sz w:val="24"/>
              <w:szCs w:val="24"/>
              <w:lang w:val="en-US" w:bidi="ar-DZ"/>
            </w:rPr>
            <m:t>Dist(p,q)=</m:t>
          </m:r>
          <m:rad>
            <m:radPr>
              <m:degHide m:val="1"/>
              <m:ctrlPr>
                <w:rPr>
                  <w:rFonts w:ascii="Cambria Math" w:hAnsi="Cambria Math" w:cstheme="majorBidi"/>
                  <w:iCs/>
                  <w:sz w:val="24"/>
                  <w:szCs w:val="24"/>
                  <w:lang w:bidi="ar-DZ"/>
                </w:rPr>
              </m:ctrlPr>
            </m:radPr>
            <m:deg/>
            <m:e>
              <m:sSup>
                <m:sSupPr>
                  <m:ctrlPr>
                    <w:rPr>
                      <w:rFonts w:ascii="Cambria Math" w:hAnsi="Cambria Math" w:cstheme="majorBidi"/>
                      <w:iCs/>
                      <w:sz w:val="24"/>
                      <w:szCs w:val="24"/>
                      <w:lang w:bidi="ar-DZ"/>
                    </w:rPr>
                  </m:ctrlPr>
                </m:sSupPr>
                <m:e>
                  <m:r>
                    <m:rPr>
                      <m:sty m:val="p"/>
                    </m:rP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x</m:t>
                      </m:r>
                    </m:e>
                    <m:sub>
                      <m:r>
                        <w:rPr>
                          <w:rFonts w:ascii="Cambria Math" w:hAnsi="Cambria Math" w:cstheme="majorBidi"/>
                          <w:sz w:val="24"/>
                          <w:szCs w:val="24"/>
                          <w:lang w:bidi="ar-DZ"/>
                        </w:rPr>
                        <m:t>p</m:t>
                      </m:r>
                    </m:sub>
                  </m:sSub>
                  <m: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x</m:t>
                      </m:r>
                    </m:e>
                    <m:sub>
                      <m:r>
                        <w:rPr>
                          <w:rFonts w:ascii="Cambria Math" w:hAnsi="Cambria Math" w:cstheme="majorBidi"/>
                          <w:sz w:val="24"/>
                          <w:szCs w:val="24"/>
                          <w:lang w:bidi="ar-DZ"/>
                        </w:rPr>
                        <m:t>q</m:t>
                      </m:r>
                    </m:sub>
                  </m:sSub>
                  <m:r>
                    <w:rPr>
                      <w:rFonts w:ascii="Cambria Math" w:hAnsi="Cambria Math" w:cstheme="majorBidi"/>
                      <w:sz w:val="24"/>
                      <w:szCs w:val="24"/>
                      <w:lang w:bidi="ar-DZ"/>
                    </w:rPr>
                    <m:t>)</m:t>
                  </m:r>
                </m:e>
                <m:sup>
                  <m:r>
                    <m:rPr>
                      <m:sty m:val="p"/>
                    </m:rPr>
                    <w:rPr>
                      <w:rFonts w:ascii="Cambria Math" w:hAnsi="Cambria Math" w:cstheme="majorBidi"/>
                      <w:sz w:val="24"/>
                      <w:szCs w:val="24"/>
                      <w:lang w:bidi="ar-DZ"/>
                    </w:rPr>
                    <m:t>2</m:t>
                  </m:r>
                </m:sup>
              </m:sSup>
              <m:r>
                <m:rPr>
                  <m:sty m:val="p"/>
                </m:rPr>
                <w:rPr>
                  <w:rFonts w:ascii="Cambria Math" w:hAnsi="Cambria Math" w:cstheme="majorBidi"/>
                  <w:sz w:val="24"/>
                  <w:szCs w:val="24"/>
                  <w:lang w:bidi="ar-DZ"/>
                </w:rPr>
                <m:t>+</m:t>
              </m:r>
              <m:sSup>
                <m:sSupPr>
                  <m:ctrlPr>
                    <w:rPr>
                      <w:rFonts w:ascii="Cambria Math" w:hAnsi="Cambria Math" w:cstheme="majorBidi"/>
                      <w:iCs/>
                      <w:sz w:val="24"/>
                      <w:szCs w:val="24"/>
                      <w:lang w:bidi="ar-DZ"/>
                    </w:rPr>
                  </m:ctrlPr>
                </m:sSupPr>
                <m:e>
                  <m:r>
                    <m:rPr>
                      <m:sty m:val="p"/>
                    </m:rP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y</m:t>
                      </m:r>
                    </m:e>
                    <m:sub>
                      <m:r>
                        <w:rPr>
                          <w:rFonts w:ascii="Cambria Math" w:hAnsi="Cambria Math" w:cstheme="majorBidi"/>
                          <w:sz w:val="24"/>
                          <w:szCs w:val="24"/>
                          <w:lang w:bidi="ar-DZ"/>
                        </w:rPr>
                        <m:t>p</m:t>
                      </m:r>
                    </m:sub>
                  </m:sSub>
                  <m:r>
                    <w:rPr>
                      <w:rFonts w:ascii="Cambria Math" w:hAnsi="Cambria Math" w:cstheme="majorBidi"/>
                      <w:sz w:val="24"/>
                      <w:szCs w:val="24"/>
                      <w:lang w:bidi="ar-DZ"/>
                    </w:rPr>
                    <m:t>-</m:t>
                  </m:r>
                  <m:sSub>
                    <m:sSubPr>
                      <m:ctrlPr>
                        <w:rPr>
                          <w:rFonts w:ascii="Cambria Math" w:hAnsi="Cambria Math" w:cstheme="majorBidi"/>
                          <w:iCs/>
                          <w:sz w:val="24"/>
                          <w:szCs w:val="24"/>
                          <w:lang w:bidi="ar-DZ"/>
                        </w:rPr>
                      </m:ctrlPr>
                    </m:sSubPr>
                    <m:e>
                      <m:r>
                        <w:rPr>
                          <w:rFonts w:ascii="Cambria Math" w:hAnsi="Cambria Math" w:cstheme="majorBidi"/>
                          <w:sz w:val="24"/>
                          <w:szCs w:val="24"/>
                          <w:lang w:bidi="ar-DZ"/>
                        </w:rPr>
                        <m:t>y</m:t>
                      </m:r>
                    </m:e>
                    <m:sub>
                      <m:r>
                        <w:rPr>
                          <w:rFonts w:ascii="Cambria Math" w:hAnsi="Cambria Math" w:cstheme="majorBidi"/>
                          <w:sz w:val="24"/>
                          <w:szCs w:val="24"/>
                          <w:lang w:bidi="ar-DZ"/>
                        </w:rPr>
                        <m:t>q</m:t>
                      </m:r>
                    </m:sub>
                  </m:sSub>
                  <m:r>
                    <w:rPr>
                      <w:rFonts w:ascii="Cambria Math" w:hAnsi="Cambria Math" w:cstheme="majorBidi"/>
                      <w:sz w:val="24"/>
                      <w:szCs w:val="24"/>
                      <w:lang w:bidi="ar-DZ"/>
                    </w:rPr>
                    <m:t>)</m:t>
                  </m:r>
                </m:e>
                <m:sup>
                  <m:r>
                    <m:rPr>
                      <m:sty m:val="p"/>
                    </m:rPr>
                    <w:rPr>
                      <w:rFonts w:ascii="Cambria Math" w:hAnsi="Cambria Math" w:cstheme="majorBidi"/>
                      <w:sz w:val="24"/>
                      <w:szCs w:val="24"/>
                      <w:lang w:bidi="ar-DZ"/>
                    </w:rPr>
                    <m:t>2</m:t>
                  </m:r>
                </m:sup>
              </m:sSup>
            </m:e>
          </m:rad>
        </m:oMath>
      </m:oMathPara>
    </w:p>
    <w:p w:rsidR="002A686B" w:rsidRDefault="00FA7E02" w:rsidP="00E24028">
      <w:pPr>
        <w:bidi/>
        <w:spacing w:before="240" w:after="0"/>
        <w:ind w:firstLine="283"/>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كما </w:t>
      </w:r>
      <w:r w:rsidR="002A686B">
        <w:rPr>
          <w:rFonts w:ascii="Simplified Arabic" w:hAnsi="Simplified Arabic" w:cs="Simplified Arabic" w:hint="cs"/>
          <w:sz w:val="24"/>
          <w:szCs w:val="24"/>
          <w:rtl/>
          <w:lang w:bidi="ar-DZ"/>
        </w:rPr>
        <w:t>ي</w:t>
      </w:r>
      <w:r w:rsidR="002A686B" w:rsidRPr="00B525A9">
        <w:rPr>
          <w:rFonts w:ascii="Simplified Arabic" w:hAnsi="Simplified Arabic" w:cs="Simplified Arabic" w:hint="cs"/>
          <w:sz w:val="24"/>
          <w:szCs w:val="24"/>
          <w:rtl/>
          <w:lang w:bidi="ar-DZ"/>
        </w:rPr>
        <w:t>تم</w:t>
      </w:r>
      <w:r w:rsidR="002A686B">
        <w:rPr>
          <w:rFonts w:ascii="Simplified Arabic" w:hAnsi="Simplified Arabic" w:cs="Simplified Arabic" w:hint="cs"/>
          <w:sz w:val="24"/>
          <w:szCs w:val="24"/>
          <w:rtl/>
          <w:lang w:bidi="ar-DZ"/>
        </w:rPr>
        <w:t xml:space="preserve"> </w:t>
      </w:r>
      <w:r w:rsidR="002A686B" w:rsidRPr="00852BF8">
        <w:rPr>
          <w:rFonts w:ascii="Simplified Arabic" w:hAnsi="Simplified Arabic" w:cs="Simplified Arabic" w:hint="cs"/>
          <w:sz w:val="24"/>
          <w:szCs w:val="24"/>
          <w:rtl/>
          <w:lang w:bidi="ar-DZ"/>
        </w:rPr>
        <w:t xml:space="preserve">حساب </w:t>
      </w:r>
      <w:r>
        <w:rPr>
          <w:rFonts w:ascii="Simplified Arabic" w:hAnsi="Simplified Arabic" w:cs="Simplified Arabic" w:hint="cs"/>
          <w:sz w:val="24"/>
          <w:szCs w:val="24"/>
          <w:rtl/>
          <w:lang w:bidi="ar-DZ"/>
        </w:rPr>
        <w:t>كثافة شبكة الطرق</w:t>
      </w:r>
      <w:r w:rsidR="002A686B">
        <w:rPr>
          <w:rFonts w:ascii="Simplified Arabic" w:hAnsi="Simplified Arabic" w:cs="Simplified Arabic" w:hint="cs"/>
          <w:sz w:val="24"/>
          <w:szCs w:val="24"/>
          <w:rtl/>
          <w:lang w:bidi="ar-DZ"/>
        </w:rPr>
        <w:t xml:space="preserve"> </w:t>
      </w:r>
      <w:r w:rsidR="002A686B" w:rsidRPr="00852BF8">
        <w:rPr>
          <w:rFonts w:ascii="Simplified Arabic" w:hAnsi="Simplified Arabic" w:cs="Simplified Arabic" w:hint="cs"/>
          <w:sz w:val="24"/>
          <w:szCs w:val="24"/>
          <w:rtl/>
          <w:lang w:bidi="ar-DZ"/>
        </w:rPr>
        <w:t xml:space="preserve">باستخدام العلاقة التالية </w:t>
      </w:r>
      <w:r w:rsidR="002A686B" w:rsidRPr="00852BF8">
        <w:rPr>
          <w:rFonts w:asciiTheme="majorBidi" w:hAnsiTheme="majorBidi" w:cstheme="majorBidi"/>
          <w:sz w:val="24"/>
          <w:szCs w:val="24"/>
          <w:lang w:bidi="ar-DZ"/>
        </w:rPr>
        <w:t>(</w:t>
      </w:r>
      <w:r w:rsidR="002A686B" w:rsidRPr="00157C4E">
        <w:rPr>
          <w:rFonts w:asciiTheme="majorBidi" w:hAnsiTheme="majorBidi" w:cstheme="majorBidi"/>
          <w:sz w:val="24"/>
          <w:szCs w:val="24"/>
          <w:lang w:val="en-US"/>
        </w:rPr>
        <w:t>Feliciotti</w:t>
      </w:r>
      <w:r w:rsidR="002A686B" w:rsidRPr="00852BF8">
        <w:rPr>
          <w:rFonts w:asciiTheme="majorBidi" w:hAnsiTheme="majorBidi" w:cstheme="majorBidi"/>
          <w:sz w:val="24"/>
          <w:szCs w:val="24"/>
          <w:lang w:bidi="ar-DZ"/>
        </w:rPr>
        <w:t xml:space="preserve">, </w:t>
      </w:r>
      <w:r w:rsidR="002A686B">
        <w:rPr>
          <w:rFonts w:asciiTheme="majorBidi" w:hAnsiTheme="majorBidi" w:cstheme="majorBidi"/>
          <w:sz w:val="24"/>
          <w:szCs w:val="24"/>
          <w:lang w:bidi="ar-DZ"/>
        </w:rPr>
        <w:t>2018</w:t>
      </w:r>
      <w:r w:rsidR="002A686B" w:rsidRPr="00852BF8">
        <w:rPr>
          <w:rFonts w:asciiTheme="majorBidi" w:hAnsiTheme="majorBidi" w:cstheme="majorBidi"/>
          <w:sz w:val="24"/>
          <w:szCs w:val="24"/>
          <w:lang w:bidi="ar-DZ"/>
        </w:rPr>
        <w:t>)</w:t>
      </w:r>
      <w:r w:rsidR="002A686B" w:rsidRPr="00852BF8">
        <w:rPr>
          <w:rFonts w:ascii="Simplified Arabic" w:hAnsi="Simplified Arabic" w:cs="Simplified Arabic" w:hint="cs"/>
          <w:sz w:val="24"/>
          <w:szCs w:val="24"/>
          <w:rtl/>
          <w:lang w:bidi="ar-DZ"/>
        </w:rPr>
        <w:t>:</w:t>
      </w:r>
    </w:p>
    <w:p w:rsidR="002A686B" w:rsidRPr="00EE6C77" w:rsidRDefault="00B62F86" w:rsidP="009838BE">
      <w:pPr>
        <w:tabs>
          <w:tab w:val="right" w:pos="-1"/>
        </w:tabs>
        <w:bidi/>
        <w:spacing w:before="240" w:line="240" w:lineRule="auto"/>
        <w:ind w:left="-1" w:firstLine="283"/>
        <w:jc w:val="center"/>
        <w:rPr>
          <w:rFonts w:ascii="Simplified Arabic" w:eastAsiaTheme="minorEastAsia" w:hAnsi="Simplified Arabic" w:cs="Simplified Arabic"/>
          <w:sz w:val="24"/>
          <w:szCs w:val="24"/>
          <w:rtl/>
          <w:lang w:bidi="ar-DZ"/>
        </w:rPr>
      </w:pPr>
      <m:oMathPara>
        <m:oMath>
          <m:sSub>
            <m:sSubPr>
              <m:ctrlPr>
                <w:rPr>
                  <w:rFonts w:ascii="Cambria Math" w:hAnsi="Cambria Math" w:cs="Cambria Math"/>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e</m:t>
              </m:r>
            </m:sub>
          </m:sSub>
          <m:r>
            <m:rPr>
              <m:sty m:val="p"/>
            </m:rPr>
            <w:rPr>
              <w:rFonts w:ascii="Cambria Math" w:hAnsi="Cambria Math" w:cstheme="majorBidi"/>
              <w:sz w:val="24"/>
              <w:szCs w:val="24"/>
              <w:lang w:bidi="ar-DZ"/>
            </w:rPr>
            <m:t>=</m:t>
          </m:r>
          <m:f>
            <m:fPr>
              <m:ctrlPr>
                <w:rPr>
                  <w:rFonts w:ascii="Cambria Math" w:hAnsi="Cambria Math" w:cstheme="majorBidi"/>
                  <w:sz w:val="24"/>
                  <w:szCs w:val="24"/>
                  <w:lang w:bidi="ar-DZ"/>
                </w:rPr>
              </m:ctrlPr>
            </m:fPr>
            <m:num>
              <m:r>
                <m:rPr>
                  <m:sty m:val="p"/>
                </m:rPr>
                <w:rPr>
                  <w:rFonts w:ascii="Cambria Math" w:hAnsi="Cambria Math" w:cs="Cambria Math"/>
                  <w:sz w:val="24"/>
                  <w:szCs w:val="24"/>
                </w:rPr>
                <m:t>1</m:t>
              </m:r>
            </m:num>
            <m:den>
              <m:sSub>
                <m:sSubPr>
                  <m:ctrlPr>
                    <w:rPr>
                      <w:rFonts w:ascii="Cambria Math" w:hAnsi="Cambria Math" w:cs="Cambria Math"/>
                      <w:sz w:val="24"/>
                      <w:szCs w:val="24"/>
                    </w:rPr>
                  </m:ctrlPr>
                </m:sSubPr>
                <m:e>
                  <m:r>
                    <m:rPr>
                      <m:sty m:val="p"/>
                    </m:rPr>
                    <w:rPr>
                      <w:rFonts w:ascii="Cambria Math" w:hAnsi="Cambria Math" w:cs="Cambria Math"/>
                      <w:sz w:val="24"/>
                      <w:szCs w:val="24"/>
                    </w:rPr>
                    <m:t>A</m:t>
                  </m:r>
                </m:e>
                <m:sub>
                  <m:r>
                    <m:rPr>
                      <m:sty m:val="p"/>
                    </m:rPr>
                    <w:rPr>
                      <w:rFonts w:ascii="Cambria Math" w:hAnsi="Cambria Math" w:cs="Cambria Math"/>
                      <w:sz w:val="24"/>
                      <w:szCs w:val="24"/>
                      <w:vertAlign w:val="subscript"/>
                    </w:rPr>
                    <m:t>tot</m:t>
                  </m:r>
                </m:sub>
              </m:sSub>
            </m:den>
          </m:f>
          <m:nary>
            <m:naryPr>
              <m:chr m:val="∑"/>
              <m:limLoc m:val="undOvr"/>
              <m:ctrlPr>
                <w:rPr>
                  <w:rFonts w:ascii="Cambria Math" w:hAnsi="Cambria Math" w:cstheme="majorBidi"/>
                  <w:sz w:val="24"/>
                  <w:szCs w:val="24"/>
                  <w:lang w:bidi="ar-DZ"/>
                </w:rPr>
              </m:ctrlPr>
            </m:naryPr>
            <m:sub>
              <m:r>
                <m:rPr>
                  <m:sty m:val="p"/>
                </m:rPr>
                <w:rPr>
                  <w:rFonts w:ascii="Cambria Math" w:hAnsi="Cambria Math" w:cstheme="majorBidi"/>
                  <w:sz w:val="24"/>
                  <w:szCs w:val="24"/>
                  <w:lang w:bidi="ar-DZ"/>
                </w:rPr>
                <m:t>i=1</m:t>
              </m:r>
            </m:sub>
            <m:sup>
              <m:r>
                <m:rPr>
                  <m:sty m:val="p"/>
                </m:rPr>
                <w:rPr>
                  <w:rFonts w:ascii="Cambria Math" w:hAnsi="Cambria Math" w:cstheme="majorBidi"/>
                  <w:sz w:val="24"/>
                  <w:szCs w:val="24"/>
                  <w:lang w:bidi="ar-DZ"/>
                </w:rPr>
                <m:t>n</m:t>
              </m:r>
            </m:sup>
            <m:e>
              <m:r>
                <m:rPr>
                  <m:sty m:val="p"/>
                </m:rPr>
                <w:rPr>
                  <w:rFonts w:ascii="Cambria Math" w:hAnsi="Cambria Math" w:cstheme="majorBidi"/>
                  <w:sz w:val="24"/>
                  <w:szCs w:val="24"/>
                  <w:lang w:bidi="ar-DZ"/>
                </w:rPr>
                <m:t>(</m:t>
              </m:r>
              <m:sSub>
                <m:sSubPr>
                  <m:ctrlPr>
                    <w:rPr>
                      <w:rFonts w:ascii="Cambria Math" w:hAnsi="Cambria Math" w:cstheme="majorBidi"/>
                      <w:sz w:val="24"/>
                      <w:szCs w:val="24"/>
                      <w:lang w:bidi="ar-DZ"/>
                    </w:rPr>
                  </m:ctrlPr>
                </m:sSubPr>
                <m:e>
                  <m:r>
                    <m:rPr>
                      <m:sty m:val="p"/>
                    </m:rPr>
                    <w:rPr>
                      <w:rFonts w:ascii="Cambria Math" w:hAnsi="Cambria Math" w:cstheme="majorBidi"/>
                      <w:sz w:val="24"/>
                      <w:szCs w:val="24"/>
                      <w:lang w:bidi="ar-DZ"/>
                    </w:rPr>
                    <m:t>l</m:t>
                  </m:r>
                </m:e>
                <m:sub>
                  <m:r>
                    <m:rPr>
                      <m:sty m:val="p"/>
                    </m:rPr>
                    <w:rPr>
                      <w:rFonts w:ascii="Cambria Math" w:hAnsi="Cambria Math" w:cstheme="majorBidi"/>
                      <w:sz w:val="24"/>
                      <w:szCs w:val="24"/>
                      <w:lang w:bidi="ar-DZ"/>
                    </w:rPr>
                    <m:t>i</m:t>
                  </m:r>
                </m:sub>
              </m:sSub>
            </m:e>
          </m:nary>
          <m:r>
            <m:rPr>
              <m:sty m:val="p"/>
            </m:rPr>
            <w:rPr>
              <w:rFonts w:ascii="Cambria Math" w:hAnsi="Cambria Math" w:cstheme="majorBidi"/>
              <w:sz w:val="24"/>
              <w:szCs w:val="24"/>
              <w:lang w:bidi="ar-DZ"/>
            </w:rPr>
            <m:t>)</m:t>
          </m:r>
        </m:oMath>
      </m:oMathPara>
    </w:p>
    <w:p w:rsidR="002A686B" w:rsidRPr="00992D6D" w:rsidRDefault="002A686B" w:rsidP="002A686B">
      <w:pPr>
        <w:pStyle w:val="Default"/>
        <w:bidi/>
        <w:rPr>
          <w:rFonts w:ascii="Simplified Arabic" w:hAnsi="Simplified Arabic" w:cs="Simplified Arabic"/>
          <w:lang w:val="en-US"/>
        </w:rPr>
      </w:pPr>
      <w:r w:rsidRPr="00183412">
        <w:rPr>
          <w:rFonts w:asciiTheme="majorBidi" w:hAnsiTheme="majorBidi" w:cstheme="majorBidi"/>
          <w:lang w:val="en-US"/>
        </w:rPr>
        <w:t>D</w:t>
      </w:r>
      <w:r w:rsidRPr="00183412">
        <w:rPr>
          <w:rFonts w:asciiTheme="majorBidi" w:hAnsiTheme="majorBidi" w:cstheme="majorBidi"/>
          <w:vertAlign w:val="subscript"/>
          <w:lang w:val="en-US"/>
        </w:rPr>
        <w:t>e</w:t>
      </w:r>
      <w:r w:rsidRPr="00992D6D">
        <w:rPr>
          <w:rFonts w:ascii="Simplified Arabic" w:hAnsi="Simplified Arabic" w:cs="Simplified Arabic"/>
          <w:rtl/>
          <w:lang w:val="en-US"/>
        </w:rPr>
        <w:t xml:space="preserve"> = إجمالي الحواف في الشبكة؛  </w:t>
      </w:r>
      <w:r w:rsidRPr="00183412">
        <w:rPr>
          <w:rFonts w:asciiTheme="majorBidi" w:hAnsiTheme="majorBidi" w:cstheme="majorBidi"/>
          <w:lang w:val="en-US"/>
        </w:rPr>
        <w:t>e</w:t>
      </w:r>
      <w:r w:rsidRPr="00992D6D">
        <w:rPr>
          <w:rFonts w:ascii="Simplified Arabic" w:hAnsi="Simplified Arabic" w:cs="Simplified Arabic"/>
          <w:rtl/>
          <w:lang w:val="en-US"/>
        </w:rPr>
        <w:t xml:space="preserve"> = الحافة؛  </w:t>
      </w:r>
      <w:r w:rsidRPr="00183412">
        <w:rPr>
          <w:rFonts w:asciiTheme="majorBidi" w:hAnsiTheme="majorBidi" w:cstheme="majorBidi"/>
          <w:lang w:val="en-US"/>
        </w:rPr>
        <w:t>l</w:t>
      </w:r>
      <w:r w:rsidRPr="00183412">
        <w:rPr>
          <w:rFonts w:asciiTheme="majorBidi" w:hAnsiTheme="majorBidi" w:cstheme="majorBidi"/>
          <w:vertAlign w:val="subscript"/>
          <w:lang w:val="en-US"/>
        </w:rPr>
        <w:t>i</w:t>
      </w:r>
      <w:r w:rsidRPr="00992D6D">
        <w:rPr>
          <w:rFonts w:ascii="Simplified Arabic" w:hAnsi="Simplified Arabic" w:cs="Simplified Arabic"/>
          <w:rtl/>
          <w:lang w:val="en-US"/>
        </w:rPr>
        <w:t xml:space="preserve"> = الطول المتري للحافة </w:t>
      </w:r>
      <w:r w:rsidRPr="00183412">
        <w:rPr>
          <w:rFonts w:asciiTheme="majorBidi" w:hAnsiTheme="majorBidi" w:cstheme="majorBidi"/>
          <w:lang w:val="en-US"/>
        </w:rPr>
        <w:t>i</w:t>
      </w:r>
      <w:r w:rsidRPr="00992D6D">
        <w:rPr>
          <w:rFonts w:ascii="Simplified Arabic" w:hAnsi="Simplified Arabic" w:cs="Simplified Arabic"/>
          <w:rtl/>
          <w:lang w:val="en-US"/>
        </w:rPr>
        <w:t>؛</w:t>
      </w:r>
    </w:p>
    <w:p w:rsidR="002A686B" w:rsidRPr="00992D6D" w:rsidRDefault="002A686B" w:rsidP="002A686B">
      <w:pPr>
        <w:tabs>
          <w:tab w:val="right" w:pos="-1"/>
        </w:tabs>
        <w:bidi/>
        <w:ind w:left="-1" w:firstLine="1"/>
        <w:jc w:val="both"/>
        <w:rPr>
          <w:rFonts w:ascii="Simplified Arabic" w:eastAsiaTheme="minorEastAsia" w:hAnsi="Simplified Arabic" w:cs="Simplified Arabic"/>
          <w:sz w:val="24"/>
          <w:szCs w:val="24"/>
          <w:rtl/>
          <w:lang w:bidi="ar-DZ"/>
        </w:rPr>
      </w:pPr>
      <w:r w:rsidRPr="00183412">
        <w:rPr>
          <w:rFonts w:asciiTheme="majorBidi" w:hAnsiTheme="majorBidi" w:cstheme="majorBidi"/>
          <w:color w:val="000000"/>
          <w:sz w:val="24"/>
          <w:szCs w:val="24"/>
          <w:lang w:val="en-US"/>
        </w:rPr>
        <w:t>Atot</w:t>
      </w:r>
      <w:r w:rsidRPr="00992D6D">
        <w:rPr>
          <w:rFonts w:ascii="Simplified Arabic" w:hAnsi="Simplified Arabic" w:cs="Simplified Arabic"/>
          <w:rtl/>
          <w:lang w:val="en-US"/>
        </w:rPr>
        <w:t xml:space="preserve"> = المساحة الإجمالية لمنطقة الدراسة.</w:t>
      </w:r>
    </w:p>
    <w:p w:rsidR="002A686B" w:rsidRPr="004A189C" w:rsidRDefault="002A686B" w:rsidP="001D0548">
      <w:pPr>
        <w:pStyle w:val="Paragraphedeliste"/>
        <w:numPr>
          <w:ilvl w:val="2"/>
          <w:numId w:val="240"/>
        </w:numPr>
        <w:tabs>
          <w:tab w:val="right" w:pos="850"/>
        </w:tabs>
        <w:bidi/>
        <w:spacing w:before="240" w:after="0"/>
        <w:ind w:left="0" w:firstLine="0"/>
        <w:jc w:val="both"/>
        <w:outlineLvl w:val="1"/>
        <w:rPr>
          <w:rFonts w:ascii="Simplified Arabic" w:hAnsi="Simplified Arabic" w:cs="Simplified Arabic"/>
          <w:b/>
          <w:bCs/>
          <w:sz w:val="24"/>
          <w:szCs w:val="24"/>
          <w:rtl/>
          <w:lang w:bidi="ar-DZ"/>
        </w:rPr>
      </w:pPr>
      <w:bookmarkStart w:id="805" w:name="_Toc171803785"/>
      <w:r w:rsidRPr="004A189C">
        <w:rPr>
          <w:rFonts w:ascii="Simplified Arabic" w:hAnsi="Simplified Arabic" w:cs="Simplified Arabic" w:hint="cs"/>
          <w:b/>
          <w:bCs/>
          <w:sz w:val="24"/>
          <w:szCs w:val="24"/>
          <w:rtl/>
          <w:lang w:bidi="ar-DZ"/>
        </w:rPr>
        <w:lastRenderedPageBreak/>
        <w:t>سمة التكرار</w:t>
      </w:r>
      <w:bookmarkEnd w:id="805"/>
    </w:p>
    <w:p w:rsidR="002A686B" w:rsidRDefault="002A686B" w:rsidP="002A686B">
      <w:pPr>
        <w:bidi/>
        <w:spacing w:after="0"/>
        <w:ind w:firstLine="282"/>
        <w:jc w:val="both"/>
        <w:rPr>
          <w:rFonts w:ascii="Simplified Arabic" w:hAnsi="Simplified Arabic" w:cs="Simplified Arabic"/>
          <w:sz w:val="24"/>
          <w:szCs w:val="24"/>
          <w:rtl/>
          <w:lang w:bidi="ar-DZ"/>
        </w:rPr>
      </w:pPr>
      <w:r w:rsidRPr="00030F28">
        <w:rPr>
          <w:rFonts w:ascii="Simplified Arabic" w:hAnsi="Simplified Arabic" w:cs="Simplified Arabic" w:hint="cs"/>
          <w:sz w:val="24"/>
          <w:szCs w:val="24"/>
          <w:rtl/>
          <w:lang w:bidi="ar-DZ"/>
        </w:rPr>
        <w:t>يسعى</w:t>
      </w:r>
      <w:r w:rsidRPr="00030F28">
        <w:rPr>
          <w:rFonts w:ascii="Simplified Arabic" w:hAnsi="Simplified Arabic" w:cs="Simplified Arabic"/>
          <w:sz w:val="24"/>
          <w:szCs w:val="24"/>
          <w:rtl/>
          <w:lang w:bidi="ar-DZ"/>
        </w:rPr>
        <w:t xml:space="preserve"> </w:t>
      </w:r>
      <w:r w:rsidRPr="00030F28">
        <w:rPr>
          <w:rFonts w:ascii="Simplified Arabic" w:hAnsi="Simplified Arabic" w:cs="Simplified Arabic" w:hint="cs"/>
          <w:sz w:val="24"/>
          <w:szCs w:val="24"/>
          <w:rtl/>
          <w:lang w:bidi="ar-DZ"/>
        </w:rPr>
        <w:t>مقياس</w:t>
      </w:r>
      <w:r w:rsidRPr="00030F28">
        <w:rPr>
          <w:rFonts w:ascii="Simplified Arabic" w:hAnsi="Simplified Arabic" w:cs="Simplified Arabic"/>
          <w:sz w:val="24"/>
          <w:szCs w:val="24"/>
          <w:rtl/>
          <w:lang w:bidi="ar-DZ"/>
        </w:rPr>
        <w:t xml:space="preserve"> </w:t>
      </w:r>
      <w:r w:rsidRPr="00030F28">
        <w:rPr>
          <w:rFonts w:ascii="Simplified Arabic" w:hAnsi="Simplified Arabic" w:cs="Simplified Arabic" w:hint="cs"/>
          <w:sz w:val="24"/>
          <w:szCs w:val="24"/>
          <w:rtl/>
          <w:lang w:bidi="ar-DZ"/>
        </w:rPr>
        <w:t>التكرار</w:t>
      </w:r>
      <w:r w:rsidRPr="00030F28">
        <w:rPr>
          <w:rFonts w:ascii="Simplified Arabic" w:hAnsi="Simplified Arabic" w:cs="Simplified Arabic"/>
          <w:sz w:val="24"/>
          <w:szCs w:val="24"/>
          <w:rtl/>
          <w:lang w:bidi="ar-DZ"/>
        </w:rPr>
        <w:t xml:space="preserve"> </w:t>
      </w:r>
      <w:r w:rsidRPr="00030F28">
        <w:rPr>
          <w:rFonts w:ascii="Simplified Arabic" w:hAnsi="Simplified Arabic" w:cs="Simplified Arabic" w:hint="cs"/>
          <w:sz w:val="24"/>
          <w:szCs w:val="24"/>
          <w:rtl/>
          <w:lang w:bidi="ar-DZ"/>
        </w:rPr>
        <w:t>الوظيفي</w:t>
      </w:r>
      <w:r w:rsidRPr="00030F28">
        <w:rPr>
          <w:rFonts w:ascii="Simplified Arabic" w:hAnsi="Simplified Arabic" w:cs="Simplified Arabic"/>
          <w:sz w:val="24"/>
          <w:szCs w:val="24"/>
          <w:rtl/>
          <w:lang w:bidi="ar-DZ"/>
        </w:rPr>
        <w:t xml:space="preserve"> </w:t>
      </w:r>
      <w:r w:rsidRPr="00030F28">
        <w:rPr>
          <w:rFonts w:ascii="Simplified Arabic" w:hAnsi="Simplified Arabic" w:cs="Simplified Arabic" w:hint="cs"/>
          <w:sz w:val="24"/>
          <w:szCs w:val="24"/>
          <w:rtl/>
          <w:lang w:bidi="ar-DZ"/>
        </w:rPr>
        <w:t>إلى</w:t>
      </w:r>
      <w:r w:rsidRPr="00030F28">
        <w:rPr>
          <w:rFonts w:ascii="Simplified Arabic" w:hAnsi="Simplified Arabic" w:cs="Simplified Arabic"/>
          <w:sz w:val="24"/>
          <w:szCs w:val="24"/>
          <w:rtl/>
          <w:lang w:bidi="ar-DZ"/>
        </w:rPr>
        <w:t xml:space="preserve"> </w:t>
      </w:r>
      <w:r w:rsidRPr="00030F28">
        <w:rPr>
          <w:rFonts w:ascii="Simplified Arabic" w:hAnsi="Simplified Arabic" w:cs="Simplified Arabic" w:hint="cs"/>
          <w:sz w:val="24"/>
          <w:szCs w:val="24"/>
          <w:rtl/>
          <w:lang w:bidi="ar-DZ"/>
        </w:rPr>
        <w:t>التقاط</w:t>
      </w:r>
      <w:r w:rsidRPr="00030F28">
        <w:rPr>
          <w:rFonts w:ascii="Simplified Arabic" w:hAnsi="Simplified Arabic" w:cs="Simplified Arabic"/>
          <w:sz w:val="24"/>
          <w:szCs w:val="24"/>
          <w:rtl/>
          <w:lang w:bidi="ar-DZ"/>
        </w:rPr>
        <w:t xml:space="preserve"> </w:t>
      </w:r>
      <w:r w:rsidRPr="00030F28">
        <w:rPr>
          <w:rFonts w:ascii="Simplified Arabic" w:hAnsi="Simplified Arabic" w:cs="Simplified Arabic" w:hint="cs"/>
          <w:sz w:val="24"/>
          <w:szCs w:val="24"/>
          <w:rtl/>
          <w:lang w:bidi="ar-DZ"/>
        </w:rPr>
        <w:t>مدى</w:t>
      </w:r>
      <w:r w:rsidRPr="00030F2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ازدواجية</w:t>
      </w:r>
      <w:r w:rsidRPr="00030F2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w:t>
      </w:r>
      <w:r w:rsidRPr="00030F28">
        <w:rPr>
          <w:rFonts w:ascii="Simplified Arabic" w:hAnsi="Simplified Arabic" w:cs="Simplified Arabic" w:hint="cs"/>
          <w:sz w:val="24"/>
          <w:szCs w:val="24"/>
          <w:rtl/>
          <w:lang w:bidi="ar-DZ"/>
        </w:rPr>
        <w:t>لوظائف</w:t>
      </w:r>
      <w:r w:rsidRPr="00030F28">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ضمن منطقة معينة. رغم ذلك، يرى </w:t>
      </w:r>
      <w:r w:rsidRPr="00332A01">
        <w:rPr>
          <w:rFonts w:asciiTheme="majorBidi" w:hAnsiTheme="majorBidi" w:cstheme="majorBidi"/>
          <w:color w:val="0D0D0D"/>
          <w:sz w:val="24"/>
          <w:szCs w:val="24"/>
          <w:rtl/>
        </w:rPr>
        <w:t>(</w:t>
      </w:r>
      <w:r w:rsidRPr="00157C4E">
        <w:rPr>
          <w:rFonts w:asciiTheme="majorBidi" w:hAnsiTheme="majorBidi" w:cstheme="majorBidi"/>
          <w:color w:val="0D0D0D"/>
          <w:sz w:val="24"/>
          <w:szCs w:val="24"/>
        </w:rPr>
        <w:t>Ahern, 20</w:t>
      </w:r>
      <w:r w:rsidRPr="00332A01">
        <w:rPr>
          <w:rFonts w:asciiTheme="majorBidi" w:hAnsiTheme="majorBidi" w:cstheme="majorBidi"/>
          <w:color w:val="0D0D0D"/>
          <w:sz w:val="24"/>
          <w:szCs w:val="24"/>
        </w:rPr>
        <w:t>11</w:t>
      </w:r>
      <w:r w:rsidRPr="00332A01">
        <w:rPr>
          <w:rFonts w:asciiTheme="majorBidi" w:hAnsiTheme="majorBidi" w:cstheme="majorBidi"/>
          <w:color w:val="0D0D0D"/>
          <w:sz w:val="24"/>
          <w:szCs w:val="24"/>
          <w:rtl/>
        </w:rPr>
        <w:t>)</w:t>
      </w:r>
      <w:r>
        <w:rPr>
          <w:rFonts w:asciiTheme="majorBidi" w:hAnsiTheme="majorBidi" w:cstheme="majorBidi" w:hint="cs"/>
          <w:color w:val="0D0D0D"/>
          <w:sz w:val="24"/>
          <w:szCs w:val="24"/>
          <w:rtl/>
        </w:rPr>
        <w:t xml:space="preserve">، </w:t>
      </w:r>
      <w:r w:rsidRPr="00687825">
        <w:rPr>
          <w:rFonts w:ascii="Simplified Arabic" w:hAnsi="Simplified Arabic" w:cs="Simplified Arabic" w:hint="cs"/>
          <w:sz w:val="24"/>
          <w:szCs w:val="24"/>
          <w:rtl/>
        </w:rPr>
        <w:t>أن</w:t>
      </w:r>
      <w:r>
        <w:rPr>
          <w:rFonts w:ascii="Simplified Arabic" w:hAnsi="Simplified Arabic" w:cs="Simplified Arabic" w:hint="cs"/>
          <w:sz w:val="24"/>
          <w:szCs w:val="24"/>
          <w:rtl/>
        </w:rPr>
        <w:t xml:space="preserve"> التكرار</w:t>
      </w:r>
      <w:r w:rsidRPr="0068782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الوظيفي </w:t>
      </w:r>
      <w:r w:rsidRPr="00687825">
        <w:rPr>
          <w:rFonts w:ascii="Simplified Arabic" w:hAnsi="Simplified Arabic" w:cs="Simplified Arabic" w:hint="cs"/>
          <w:sz w:val="24"/>
          <w:szCs w:val="24"/>
          <w:rtl/>
        </w:rPr>
        <w:t>يقلل</w:t>
      </w:r>
      <w:r w:rsidRPr="00687825">
        <w:rPr>
          <w:rFonts w:ascii="Simplified Arabic" w:hAnsi="Simplified Arabic" w:cs="Simplified Arabic"/>
          <w:sz w:val="24"/>
          <w:szCs w:val="24"/>
          <w:rtl/>
        </w:rPr>
        <w:t xml:space="preserve"> </w:t>
      </w:r>
      <w:r w:rsidRPr="00687825">
        <w:rPr>
          <w:rFonts w:ascii="Simplified Arabic" w:hAnsi="Simplified Arabic" w:cs="Simplified Arabic" w:hint="cs"/>
          <w:sz w:val="24"/>
          <w:szCs w:val="24"/>
          <w:rtl/>
        </w:rPr>
        <w:t>من</w:t>
      </w:r>
      <w:r w:rsidRPr="00687825">
        <w:rPr>
          <w:rFonts w:ascii="Simplified Arabic" w:hAnsi="Simplified Arabic" w:cs="Simplified Arabic"/>
          <w:sz w:val="24"/>
          <w:szCs w:val="24"/>
          <w:rtl/>
        </w:rPr>
        <w:t xml:space="preserve"> </w:t>
      </w:r>
      <w:r w:rsidRPr="00687825">
        <w:rPr>
          <w:rFonts w:ascii="Simplified Arabic" w:hAnsi="Simplified Arabic" w:cs="Simplified Arabic" w:hint="cs"/>
          <w:sz w:val="24"/>
          <w:szCs w:val="24"/>
          <w:rtl/>
        </w:rPr>
        <w:t>الكفاءة</w:t>
      </w:r>
      <w:r>
        <w:rPr>
          <w:rFonts w:ascii="Simplified Arabic" w:hAnsi="Simplified Arabic" w:cs="Simplified Arabic" w:hint="cs"/>
          <w:sz w:val="24"/>
          <w:szCs w:val="24"/>
          <w:rtl/>
        </w:rPr>
        <w:t xml:space="preserve"> (كفاءة التأطير البشري)</w:t>
      </w:r>
      <w:r w:rsidRPr="00332A01">
        <w:rPr>
          <w:rFonts w:ascii="Simplified Arabic" w:hAnsi="Simplified Arabic" w:cs="Simplified Arabic"/>
          <w:sz w:val="24"/>
          <w:szCs w:val="24"/>
          <w:rtl/>
        </w:rPr>
        <w:t>.</w:t>
      </w:r>
      <w:r w:rsidRPr="00687825">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كما ان </w:t>
      </w:r>
      <w:r w:rsidRPr="00712660">
        <w:rPr>
          <w:rFonts w:ascii="Simplified Arabic" w:hAnsi="Simplified Arabic" w:cs="Simplified Arabic" w:hint="cs"/>
          <w:sz w:val="24"/>
          <w:szCs w:val="24"/>
          <w:rtl/>
          <w:lang w:bidi="ar-DZ"/>
        </w:rPr>
        <w:t>التكرار</w:t>
      </w:r>
      <w:r w:rsidRPr="00712660">
        <w:rPr>
          <w:rFonts w:ascii="Simplified Arabic" w:hAnsi="Simplified Arabic" w:cs="Simplified Arabic"/>
          <w:sz w:val="24"/>
          <w:szCs w:val="24"/>
          <w:rtl/>
          <w:lang w:bidi="ar-DZ"/>
        </w:rPr>
        <w:t xml:space="preserve"> </w:t>
      </w:r>
      <w:r w:rsidRPr="00712660">
        <w:rPr>
          <w:rFonts w:ascii="Simplified Arabic" w:hAnsi="Simplified Arabic" w:cs="Simplified Arabic" w:hint="cs"/>
          <w:sz w:val="24"/>
          <w:szCs w:val="24"/>
          <w:rtl/>
          <w:lang w:bidi="ar-DZ"/>
        </w:rPr>
        <w:t>هو</w:t>
      </w:r>
      <w:r>
        <w:rPr>
          <w:rFonts w:ascii="Simplified Arabic" w:hAnsi="Simplified Arabic" w:cs="Simplified Arabic" w:hint="cs"/>
          <w:sz w:val="24"/>
          <w:szCs w:val="24"/>
          <w:rtl/>
          <w:lang w:bidi="ar-DZ"/>
        </w:rPr>
        <w:t xml:space="preserve"> ايضا</w:t>
      </w:r>
      <w:r w:rsidRPr="00712660">
        <w:rPr>
          <w:rFonts w:ascii="Simplified Arabic" w:hAnsi="Simplified Arabic" w:cs="Simplified Arabic"/>
          <w:sz w:val="24"/>
          <w:szCs w:val="24"/>
          <w:rtl/>
          <w:lang w:bidi="ar-DZ"/>
        </w:rPr>
        <w:t xml:space="preserve"> </w:t>
      </w:r>
      <w:r w:rsidRPr="00712660">
        <w:rPr>
          <w:rFonts w:ascii="Simplified Arabic" w:hAnsi="Simplified Arabic" w:cs="Simplified Arabic" w:hint="cs"/>
          <w:sz w:val="24"/>
          <w:szCs w:val="24"/>
          <w:rtl/>
          <w:lang w:bidi="ar-DZ"/>
        </w:rPr>
        <w:t>خاصية</w:t>
      </w:r>
      <w:r w:rsidRPr="00712660">
        <w:rPr>
          <w:rFonts w:ascii="Simplified Arabic" w:hAnsi="Simplified Arabic" w:cs="Simplified Arabic"/>
          <w:sz w:val="24"/>
          <w:szCs w:val="24"/>
          <w:rtl/>
          <w:lang w:bidi="ar-DZ"/>
        </w:rPr>
        <w:t xml:space="preserve"> </w:t>
      </w:r>
      <w:r w:rsidRPr="00712660">
        <w:rPr>
          <w:rFonts w:ascii="Simplified Arabic" w:hAnsi="Simplified Arabic" w:cs="Simplified Arabic" w:hint="cs"/>
          <w:sz w:val="24"/>
          <w:szCs w:val="24"/>
          <w:rtl/>
          <w:lang w:bidi="ar-DZ"/>
        </w:rPr>
        <w:t>هيكلية</w:t>
      </w:r>
      <w:r w:rsidRPr="00712660">
        <w:rPr>
          <w:rFonts w:ascii="Simplified Arabic" w:hAnsi="Simplified Arabic" w:cs="Simplified Arabic"/>
          <w:sz w:val="24"/>
          <w:szCs w:val="24"/>
          <w:rtl/>
          <w:lang w:bidi="ar-DZ"/>
        </w:rPr>
        <w:t xml:space="preserve"> </w:t>
      </w:r>
      <w:r w:rsidRPr="00712660">
        <w:rPr>
          <w:rFonts w:ascii="Simplified Arabic" w:hAnsi="Simplified Arabic" w:cs="Simplified Arabic" w:hint="cs"/>
          <w:sz w:val="24"/>
          <w:szCs w:val="24"/>
          <w:rtl/>
          <w:lang w:bidi="ar-DZ"/>
        </w:rPr>
        <w:t>للشكل</w:t>
      </w:r>
      <w:r w:rsidRPr="00712660">
        <w:rPr>
          <w:rFonts w:ascii="Simplified Arabic" w:hAnsi="Simplified Arabic" w:cs="Simplified Arabic"/>
          <w:sz w:val="24"/>
          <w:szCs w:val="24"/>
          <w:rtl/>
          <w:lang w:bidi="ar-DZ"/>
        </w:rPr>
        <w:t xml:space="preserve"> </w:t>
      </w:r>
      <w:r w:rsidRPr="00712660">
        <w:rPr>
          <w:rFonts w:ascii="Simplified Arabic" w:hAnsi="Simplified Arabic" w:cs="Simplified Arabic" w:hint="cs"/>
          <w:sz w:val="24"/>
          <w:szCs w:val="24"/>
          <w:rtl/>
          <w:lang w:bidi="ar-DZ"/>
        </w:rPr>
        <w:t>الحضري</w:t>
      </w:r>
      <w:r w:rsidRPr="00712660">
        <w:rPr>
          <w:rFonts w:ascii="Simplified Arabic" w:hAnsi="Simplified Arabic" w:cs="Simplified Arabic"/>
          <w:sz w:val="24"/>
          <w:szCs w:val="24"/>
          <w:rtl/>
          <w:lang w:bidi="ar-DZ"/>
        </w:rPr>
        <w:t xml:space="preserve"> </w:t>
      </w:r>
      <w:r w:rsidRPr="002C3044">
        <w:rPr>
          <w:rFonts w:asciiTheme="majorBidi" w:hAnsiTheme="majorBidi" w:cstheme="majorBidi"/>
          <w:sz w:val="24"/>
          <w:szCs w:val="24"/>
          <w:rtl/>
          <w:lang w:bidi="ar-DZ"/>
        </w:rPr>
        <w:t>(</w:t>
      </w:r>
      <w:r w:rsidRPr="00157C4E">
        <w:rPr>
          <w:rFonts w:asciiTheme="majorBidi" w:hAnsiTheme="majorBidi" w:cstheme="majorBidi"/>
          <w:sz w:val="24"/>
          <w:szCs w:val="24"/>
          <w:lang w:bidi="ar-DZ"/>
        </w:rPr>
        <w:t>Lhomme</w:t>
      </w:r>
      <w:r w:rsidRPr="002C3044">
        <w:rPr>
          <w:rFonts w:asciiTheme="majorBidi" w:hAnsiTheme="majorBidi" w:cstheme="majorBidi"/>
          <w:sz w:val="24"/>
          <w:szCs w:val="24"/>
          <w:lang w:bidi="ar-DZ"/>
        </w:rPr>
        <w:t xml:space="preserve"> et al., 2013</w:t>
      </w:r>
      <w:r w:rsidRPr="002C3044">
        <w:rPr>
          <w:rFonts w:asciiTheme="majorBidi" w:hAnsiTheme="majorBidi" w:cstheme="majorBidi"/>
          <w:sz w:val="24"/>
          <w:szCs w:val="24"/>
          <w:rtl/>
          <w:lang w:bidi="ar-DZ"/>
        </w:rPr>
        <w:t>)</w:t>
      </w:r>
      <w:r w:rsidRPr="00712660">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p>
    <w:p w:rsidR="002A686B" w:rsidRDefault="002A686B" w:rsidP="00E24028">
      <w:pPr>
        <w:bidi/>
        <w:spacing w:after="0"/>
        <w:ind w:firstLine="282"/>
        <w:jc w:val="both"/>
        <w:rPr>
          <w:rFonts w:ascii="Simplified Arabic" w:hAnsi="Simplified Arabic" w:cs="Simplified Arabic"/>
          <w:sz w:val="24"/>
          <w:szCs w:val="24"/>
          <w:rtl/>
        </w:rPr>
      </w:pPr>
      <w:r w:rsidRPr="00B91966">
        <w:rPr>
          <w:rFonts w:ascii="Simplified Arabic" w:eastAsia="Times New Roman" w:hAnsi="Simplified Arabic" w:cs="Simplified Arabic" w:hint="cs"/>
          <w:b/>
          <w:sz w:val="24"/>
          <w:szCs w:val="24"/>
          <w:rtl/>
          <w:lang w:val="en-US" w:eastAsia="fr-FR"/>
        </w:rPr>
        <w:t>ي</w:t>
      </w:r>
      <w:r w:rsidRPr="00B91966">
        <w:rPr>
          <w:rFonts w:ascii="Simplified Arabic" w:eastAsia="Times New Roman" w:hAnsi="Simplified Arabic" w:cs="Simplified Arabic"/>
          <w:b/>
          <w:sz w:val="24"/>
          <w:szCs w:val="24"/>
          <w:rtl/>
          <w:lang w:val="en-US" w:eastAsia="fr-FR"/>
        </w:rPr>
        <w:t xml:space="preserve">شير </w:t>
      </w:r>
      <w:r w:rsidRPr="00B91966">
        <w:rPr>
          <w:rFonts w:ascii="Simplified Arabic" w:eastAsia="Times New Roman" w:hAnsi="Simplified Arabic" w:cs="Simplified Arabic" w:hint="cs"/>
          <w:b/>
          <w:sz w:val="24"/>
          <w:szCs w:val="24"/>
          <w:rtl/>
          <w:lang w:val="en-US" w:eastAsia="fr-FR"/>
        </w:rPr>
        <w:t>تكرار</w:t>
      </w:r>
      <w:r w:rsidRPr="00B91966">
        <w:rPr>
          <w:rFonts w:ascii="Simplified Arabic" w:eastAsia="Times New Roman" w:hAnsi="Simplified Arabic" w:cs="Simplified Arabic"/>
          <w:b/>
          <w:sz w:val="24"/>
          <w:szCs w:val="24"/>
          <w:rtl/>
          <w:lang w:val="en-US" w:eastAsia="fr-FR"/>
        </w:rPr>
        <w:t xml:space="preserve"> </w:t>
      </w:r>
      <w:r w:rsidRPr="00B91966">
        <w:rPr>
          <w:rFonts w:ascii="Simplified Arabic" w:eastAsia="Times New Roman" w:hAnsi="Simplified Arabic" w:cs="Simplified Arabic" w:hint="cs"/>
          <w:b/>
          <w:sz w:val="24"/>
          <w:szCs w:val="24"/>
          <w:rtl/>
          <w:lang w:val="en-US" w:eastAsia="fr-FR"/>
        </w:rPr>
        <w:t xml:space="preserve">تقاطع </w:t>
      </w:r>
      <w:r>
        <w:rPr>
          <w:rFonts w:ascii="Simplified Arabic" w:eastAsia="Times New Roman" w:hAnsi="Simplified Arabic" w:cs="Simplified Arabic" w:hint="cs"/>
          <w:b/>
          <w:sz w:val="24"/>
          <w:szCs w:val="24"/>
          <w:rtl/>
          <w:lang w:val="en-US" w:eastAsia="fr-FR"/>
        </w:rPr>
        <w:t xml:space="preserve">شبكة </w:t>
      </w:r>
      <w:r w:rsidRPr="00B91966">
        <w:rPr>
          <w:rFonts w:ascii="Simplified Arabic" w:eastAsia="Times New Roman" w:hAnsi="Simplified Arabic" w:cs="Simplified Arabic" w:hint="cs"/>
          <w:b/>
          <w:sz w:val="24"/>
          <w:szCs w:val="24"/>
          <w:rtl/>
          <w:lang w:val="en-US" w:eastAsia="fr-FR"/>
        </w:rPr>
        <w:t xml:space="preserve">الطرق </w:t>
      </w:r>
      <w:r w:rsidRPr="00B91966">
        <w:rPr>
          <w:rFonts w:ascii="Simplified Arabic" w:eastAsia="Times New Roman" w:hAnsi="Simplified Arabic" w:cs="Simplified Arabic"/>
          <w:b/>
          <w:sz w:val="24"/>
          <w:szCs w:val="24"/>
          <w:rtl/>
          <w:lang w:val="en-US" w:eastAsia="fr-FR"/>
        </w:rPr>
        <w:t xml:space="preserve">إلى عدد </w:t>
      </w:r>
      <w:r w:rsidRPr="00B91966">
        <w:rPr>
          <w:rFonts w:ascii="Simplified Arabic" w:eastAsia="Times New Roman" w:hAnsi="Simplified Arabic" w:cs="Simplified Arabic" w:hint="cs"/>
          <w:b/>
          <w:sz w:val="24"/>
          <w:szCs w:val="24"/>
          <w:rtl/>
          <w:lang w:val="en-US" w:eastAsia="fr-FR"/>
        </w:rPr>
        <w:t>العقد</w:t>
      </w:r>
      <w:r w:rsidRPr="00B91966">
        <w:rPr>
          <w:rFonts w:ascii="Simplified Arabic" w:eastAsia="Times New Roman" w:hAnsi="Simplified Arabic" w:cs="Simplified Arabic"/>
          <w:b/>
          <w:sz w:val="24"/>
          <w:szCs w:val="24"/>
          <w:rtl/>
          <w:lang w:val="en-US" w:eastAsia="fr-FR"/>
        </w:rPr>
        <w:t xml:space="preserve"> لكل وحدة مساحة (</w:t>
      </w:r>
      <w:r w:rsidR="0028074B">
        <w:rPr>
          <w:rFonts w:ascii="Simplified Arabic" w:eastAsia="Times New Roman" w:hAnsi="Simplified Arabic" w:cs="Simplified Arabic" w:hint="cs"/>
          <w:b/>
          <w:sz w:val="24"/>
          <w:szCs w:val="24"/>
          <w:rtl/>
          <w:lang w:val="en-US" w:eastAsia="fr-FR"/>
        </w:rPr>
        <w:t>تقاطع</w:t>
      </w:r>
      <w:r w:rsidRPr="00B91966">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كلم</w:t>
      </w:r>
      <w:r w:rsidRPr="00D4062F">
        <w:rPr>
          <w:rFonts w:ascii="Simplified Arabic" w:eastAsia="Times New Roman" w:hAnsi="Simplified Arabic" w:cs="Simplified Arabic" w:hint="cs"/>
          <w:b/>
          <w:sz w:val="24"/>
          <w:szCs w:val="24"/>
          <w:vertAlign w:val="superscript"/>
          <w:rtl/>
          <w:lang w:val="en-US" w:eastAsia="fr-FR"/>
        </w:rPr>
        <w:t>2</w:t>
      </w:r>
      <w:r w:rsidRPr="00B91966">
        <w:rPr>
          <w:rFonts w:ascii="Simplified Arabic" w:eastAsia="Times New Roman" w:hAnsi="Simplified Arabic" w:cs="Simplified Arabic"/>
          <w:b/>
          <w:sz w:val="24"/>
          <w:szCs w:val="24"/>
          <w:rtl/>
          <w:lang w:val="en-US" w:eastAsia="fr-FR"/>
        </w:rPr>
        <w:t xml:space="preserve">)، يستخدم كمؤشر </w:t>
      </w:r>
      <w:r w:rsidRPr="00B91966">
        <w:rPr>
          <w:rFonts w:ascii="Simplified Arabic" w:eastAsia="Times New Roman" w:hAnsi="Simplified Arabic" w:cs="Simplified Arabic" w:hint="cs"/>
          <w:b/>
          <w:sz w:val="24"/>
          <w:szCs w:val="24"/>
          <w:rtl/>
          <w:lang w:val="en-US" w:eastAsia="fr-FR"/>
        </w:rPr>
        <w:t xml:space="preserve">لقياس المرونة </w:t>
      </w:r>
      <w:r w:rsidRPr="00B91966">
        <w:rPr>
          <w:rFonts w:ascii="Simplified Arabic" w:eastAsia="Times New Roman" w:hAnsi="Simplified Arabic" w:cs="Simplified Arabic"/>
          <w:b/>
          <w:sz w:val="24"/>
          <w:szCs w:val="24"/>
          <w:rtl/>
          <w:lang w:val="en-US" w:eastAsia="fr-FR"/>
        </w:rPr>
        <w:t>في المناطق الحضرية. مع ارتفاع هذا المؤشر، ي</w:t>
      </w:r>
      <w:r w:rsidRPr="00B91966">
        <w:rPr>
          <w:rFonts w:ascii="Simplified Arabic" w:eastAsia="Times New Roman" w:hAnsi="Simplified Arabic" w:cs="Simplified Arabic" w:hint="cs"/>
          <w:b/>
          <w:sz w:val="24"/>
          <w:szCs w:val="24"/>
          <w:rtl/>
          <w:lang w:val="en-US" w:eastAsia="fr-FR"/>
        </w:rPr>
        <w:t>رتفع</w:t>
      </w:r>
      <w:r w:rsidRPr="00B91966">
        <w:rPr>
          <w:rFonts w:ascii="Simplified Arabic" w:eastAsia="Times New Roman" w:hAnsi="Simplified Arabic" w:cs="Simplified Arabic"/>
          <w:b/>
          <w:sz w:val="24"/>
          <w:szCs w:val="24"/>
          <w:rtl/>
          <w:lang w:val="en-US" w:eastAsia="fr-FR"/>
        </w:rPr>
        <w:t xml:space="preserve"> </w:t>
      </w:r>
      <w:r w:rsidRPr="00B91966">
        <w:rPr>
          <w:rFonts w:ascii="Simplified Arabic" w:eastAsia="Times New Roman" w:hAnsi="Simplified Arabic" w:cs="Simplified Arabic" w:hint="cs"/>
          <w:b/>
          <w:sz w:val="24"/>
          <w:szCs w:val="24"/>
          <w:rtl/>
          <w:lang w:val="en-US" w:eastAsia="fr-FR"/>
        </w:rPr>
        <w:t>مستوى</w:t>
      </w:r>
      <w:r w:rsidRPr="00B91966">
        <w:rPr>
          <w:rFonts w:ascii="Simplified Arabic" w:eastAsia="Times New Roman" w:hAnsi="Simplified Arabic" w:cs="Simplified Arabic"/>
          <w:b/>
          <w:sz w:val="24"/>
          <w:szCs w:val="24"/>
          <w:rtl/>
          <w:lang w:val="en-US" w:eastAsia="fr-FR"/>
        </w:rPr>
        <w:t xml:space="preserve"> الإ</w:t>
      </w:r>
      <w:r w:rsidRPr="00B91966">
        <w:rPr>
          <w:rFonts w:ascii="Simplified Arabic" w:eastAsia="Times New Roman" w:hAnsi="Simplified Arabic" w:cs="Simplified Arabic" w:hint="cs"/>
          <w:b/>
          <w:sz w:val="24"/>
          <w:szCs w:val="24"/>
          <w:rtl/>
          <w:lang w:val="en-US" w:eastAsia="fr-FR"/>
        </w:rPr>
        <w:t>جلا</w:t>
      </w:r>
      <w:r w:rsidRPr="00B91966">
        <w:rPr>
          <w:rFonts w:ascii="Simplified Arabic" w:eastAsia="Times New Roman" w:hAnsi="Simplified Arabic" w:cs="Simplified Arabic"/>
          <w:b/>
          <w:sz w:val="24"/>
          <w:szCs w:val="24"/>
          <w:rtl/>
          <w:lang w:val="en-US" w:eastAsia="fr-FR"/>
        </w:rPr>
        <w:t>ء و</w:t>
      </w:r>
      <w:r w:rsidRPr="00B91966">
        <w:rPr>
          <w:rFonts w:ascii="Simplified Arabic" w:eastAsia="Times New Roman" w:hAnsi="Simplified Arabic" w:cs="Simplified Arabic" w:hint="cs"/>
          <w:b/>
          <w:sz w:val="24"/>
          <w:szCs w:val="24"/>
          <w:rtl/>
          <w:lang w:val="en-US" w:eastAsia="fr-FR"/>
        </w:rPr>
        <w:t xml:space="preserve">تقديم </w:t>
      </w:r>
      <w:r w:rsidRPr="00B91966">
        <w:rPr>
          <w:rFonts w:ascii="Simplified Arabic" w:eastAsia="Times New Roman" w:hAnsi="Simplified Arabic" w:cs="Simplified Arabic"/>
          <w:b/>
          <w:sz w:val="24"/>
          <w:szCs w:val="24"/>
          <w:rtl/>
          <w:lang w:val="en-US" w:eastAsia="fr-FR"/>
        </w:rPr>
        <w:t xml:space="preserve">الخدمة. </w:t>
      </w:r>
      <w:r w:rsidRPr="00B91966">
        <w:rPr>
          <w:rFonts w:ascii="Simplified Arabic" w:eastAsia="Times New Roman" w:hAnsi="Simplified Arabic" w:cs="Simplified Arabic" w:hint="cs"/>
          <w:b/>
          <w:sz w:val="24"/>
          <w:szCs w:val="24"/>
          <w:rtl/>
          <w:lang w:val="en-US" w:eastAsia="fr-FR"/>
        </w:rPr>
        <w:t xml:space="preserve">كما </w:t>
      </w:r>
      <w:r>
        <w:rPr>
          <w:rFonts w:ascii="Simplified Arabic" w:eastAsia="Times New Roman" w:hAnsi="Simplified Arabic" w:cs="Simplified Arabic" w:hint="cs"/>
          <w:b/>
          <w:sz w:val="24"/>
          <w:szCs w:val="24"/>
          <w:rtl/>
          <w:lang w:val="en-US" w:eastAsia="fr-FR"/>
        </w:rPr>
        <w:t>ت</w:t>
      </w:r>
      <w:r w:rsidRPr="00B91966">
        <w:rPr>
          <w:rFonts w:ascii="Simplified Arabic" w:eastAsia="Times New Roman" w:hAnsi="Simplified Arabic" w:cs="Simplified Arabic" w:hint="cs"/>
          <w:b/>
          <w:sz w:val="24"/>
          <w:szCs w:val="24"/>
          <w:rtl/>
          <w:lang w:val="en-US" w:eastAsia="fr-FR"/>
        </w:rPr>
        <w:t xml:space="preserve">شير المسافة </w:t>
      </w:r>
      <w:r>
        <w:rPr>
          <w:rFonts w:ascii="Simplified Arabic" w:eastAsia="Times New Roman" w:hAnsi="Simplified Arabic" w:cs="Simplified Arabic" w:hint="cs"/>
          <w:b/>
          <w:sz w:val="24"/>
          <w:szCs w:val="24"/>
          <w:rtl/>
          <w:lang w:val="en-US" w:eastAsia="fr-FR"/>
        </w:rPr>
        <w:t xml:space="preserve">الاقل </w:t>
      </w:r>
      <w:r w:rsidRPr="00B91966">
        <w:rPr>
          <w:rFonts w:ascii="Simplified Arabic" w:eastAsia="Times New Roman" w:hAnsi="Simplified Arabic" w:cs="Simplified Arabic" w:hint="cs"/>
          <w:b/>
          <w:sz w:val="24"/>
          <w:szCs w:val="24"/>
          <w:rtl/>
          <w:lang w:val="en-US" w:eastAsia="fr-FR"/>
        </w:rPr>
        <w:t xml:space="preserve">بين تقاطعات الطرق </w:t>
      </w:r>
      <w:r w:rsidRPr="005A4499">
        <w:rPr>
          <w:rFonts w:ascii="Simplified Arabic" w:eastAsia="Times New Roman" w:hAnsi="Simplified Arabic" w:cs="Simplified Arabic" w:hint="cs"/>
          <w:b/>
          <w:sz w:val="24"/>
          <w:szCs w:val="24"/>
          <w:rtl/>
          <w:lang w:val="en-US" w:eastAsia="fr-FR"/>
        </w:rPr>
        <w:t xml:space="preserve">الى </w:t>
      </w:r>
      <w:r>
        <w:rPr>
          <w:rFonts w:ascii="Simplified Arabic" w:eastAsia="Times New Roman" w:hAnsi="Simplified Arabic" w:cs="Simplified Arabic" w:hint="cs"/>
          <w:b/>
          <w:sz w:val="24"/>
          <w:szCs w:val="24"/>
          <w:rtl/>
          <w:lang w:val="en-US" w:eastAsia="fr-FR"/>
        </w:rPr>
        <w:t>زيادة مرونة الاحياء</w:t>
      </w:r>
      <w:r w:rsidR="000A17E8">
        <w:rPr>
          <w:rFonts w:ascii="Simplified Arabic" w:eastAsia="Times New Roman" w:hAnsi="Simplified Arabic" w:cs="Simplified Arabic" w:hint="cs"/>
          <w:b/>
          <w:sz w:val="24"/>
          <w:szCs w:val="24"/>
          <w:rtl/>
          <w:lang w:val="en-US" w:eastAsia="fr-FR"/>
        </w:rPr>
        <w:t>.</w:t>
      </w:r>
      <w:r w:rsidRPr="005A4499">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 xml:space="preserve">أي </w:t>
      </w:r>
      <w:r w:rsidRPr="00B91966">
        <w:rPr>
          <w:rFonts w:ascii="Simplified Arabic" w:eastAsia="Times New Roman" w:hAnsi="Simplified Arabic" w:cs="Simplified Arabic" w:hint="cs"/>
          <w:b/>
          <w:sz w:val="24"/>
          <w:szCs w:val="24"/>
          <w:rtl/>
          <w:lang w:val="en-US" w:eastAsia="fr-FR"/>
        </w:rPr>
        <w:t>كلما كان</w:t>
      </w:r>
      <w:r>
        <w:rPr>
          <w:rFonts w:ascii="Simplified Arabic" w:eastAsia="Times New Roman" w:hAnsi="Simplified Arabic" w:cs="Simplified Arabic" w:hint="cs"/>
          <w:b/>
          <w:sz w:val="24"/>
          <w:szCs w:val="24"/>
          <w:rtl/>
          <w:lang w:val="en-US" w:eastAsia="fr-FR"/>
        </w:rPr>
        <w:t>ت</w:t>
      </w:r>
      <w:r w:rsidRPr="00B91966">
        <w:rPr>
          <w:rFonts w:ascii="Simplified Arabic" w:eastAsia="Times New Roman" w:hAnsi="Simplified Arabic" w:cs="Simplified Arabic" w:hint="cs"/>
          <w:b/>
          <w:sz w:val="24"/>
          <w:szCs w:val="24"/>
          <w:rtl/>
          <w:lang w:val="en-US" w:eastAsia="fr-FR"/>
        </w:rPr>
        <w:t xml:space="preserve"> المسافة منخفضة </w:t>
      </w:r>
      <w:r w:rsidR="000A17E8">
        <w:rPr>
          <w:rFonts w:ascii="Simplified Arabic" w:eastAsia="Times New Roman" w:hAnsi="Simplified Arabic" w:cs="Simplified Arabic" w:hint="cs"/>
          <w:b/>
          <w:sz w:val="24"/>
          <w:szCs w:val="24"/>
          <w:rtl/>
          <w:lang w:val="en-US" w:eastAsia="fr-FR"/>
        </w:rPr>
        <w:t>و</w:t>
      </w:r>
      <w:r>
        <w:rPr>
          <w:rFonts w:ascii="Simplified Arabic" w:eastAsia="Times New Roman" w:hAnsi="Simplified Arabic" w:cs="Simplified Arabic" w:hint="cs"/>
          <w:b/>
          <w:sz w:val="24"/>
          <w:szCs w:val="24"/>
          <w:rtl/>
          <w:lang w:val="en-US" w:eastAsia="fr-FR"/>
        </w:rPr>
        <w:t xml:space="preserve">عدد العقد اكبر </w:t>
      </w:r>
      <w:r w:rsidRPr="00B91966">
        <w:rPr>
          <w:rFonts w:ascii="Simplified Arabic" w:eastAsia="Times New Roman" w:hAnsi="Simplified Arabic" w:cs="Simplified Arabic" w:hint="cs"/>
          <w:b/>
          <w:sz w:val="24"/>
          <w:szCs w:val="24"/>
          <w:rtl/>
          <w:lang w:val="en-US" w:eastAsia="fr-FR"/>
        </w:rPr>
        <w:t xml:space="preserve">كلما كان التنقل على الاقدام </w:t>
      </w:r>
      <w:r>
        <w:rPr>
          <w:rFonts w:ascii="Simplified Arabic" w:eastAsia="Times New Roman" w:hAnsi="Simplified Arabic" w:cs="Simplified Arabic" w:hint="cs"/>
          <w:b/>
          <w:sz w:val="24"/>
          <w:szCs w:val="24"/>
          <w:rtl/>
          <w:lang w:val="en-US" w:eastAsia="fr-FR"/>
        </w:rPr>
        <w:t xml:space="preserve">وعلى السيارة </w:t>
      </w:r>
      <w:r w:rsidRPr="00B91966">
        <w:rPr>
          <w:rFonts w:ascii="Simplified Arabic" w:eastAsia="Times New Roman" w:hAnsi="Simplified Arabic" w:cs="Simplified Arabic" w:hint="cs"/>
          <w:b/>
          <w:sz w:val="24"/>
          <w:szCs w:val="24"/>
          <w:rtl/>
          <w:lang w:val="en-US" w:eastAsia="fr-FR"/>
        </w:rPr>
        <w:t xml:space="preserve">مريحا. </w:t>
      </w:r>
      <w:r w:rsidRPr="00B91966">
        <w:rPr>
          <w:rFonts w:ascii="Simplified Arabic" w:eastAsia="Times New Roman" w:hAnsi="Simplified Arabic" w:cs="Simplified Arabic"/>
          <w:b/>
          <w:sz w:val="24"/>
          <w:szCs w:val="24"/>
          <w:rtl/>
          <w:lang w:val="en-US" w:eastAsia="fr-FR"/>
        </w:rPr>
        <w:t xml:space="preserve">لذلك، يأخذ في الاعتبار </w:t>
      </w:r>
      <w:r w:rsidRPr="00B91966">
        <w:rPr>
          <w:rFonts w:ascii="Simplified Arabic" w:eastAsia="Times New Roman" w:hAnsi="Simplified Arabic" w:cs="Simplified Arabic" w:hint="cs"/>
          <w:b/>
          <w:sz w:val="24"/>
          <w:szCs w:val="24"/>
          <w:rtl/>
          <w:lang w:val="en-US" w:eastAsia="fr-FR"/>
        </w:rPr>
        <w:t>تكرار</w:t>
      </w:r>
      <w:r w:rsidRPr="00B91966">
        <w:rPr>
          <w:rFonts w:ascii="Simplified Arabic" w:eastAsia="Times New Roman" w:hAnsi="Simplified Arabic" w:cs="Simplified Arabic"/>
          <w:b/>
          <w:sz w:val="24"/>
          <w:szCs w:val="24"/>
          <w:rtl/>
          <w:lang w:val="en-US" w:eastAsia="fr-FR"/>
        </w:rPr>
        <w:t xml:space="preserve"> </w:t>
      </w:r>
      <w:r w:rsidRPr="00B91966">
        <w:rPr>
          <w:rFonts w:ascii="Simplified Arabic" w:eastAsia="Times New Roman" w:hAnsi="Simplified Arabic" w:cs="Simplified Arabic" w:hint="cs"/>
          <w:b/>
          <w:sz w:val="24"/>
          <w:szCs w:val="24"/>
          <w:rtl/>
          <w:lang w:val="en-US" w:eastAsia="fr-FR"/>
        </w:rPr>
        <w:t>العقد</w:t>
      </w:r>
      <w:r w:rsidRPr="00B91966">
        <w:rPr>
          <w:rFonts w:ascii="Simplified Arabic" w:eastAsia="Times New Roman" w:hAnsi="Simplified Arabic" w:cs="Simplified Arabic"/>
          <w:b/>
          <w:sz w:val="24"/>
          <w:szCs w:val="24"/>
          <w:rtl/>
          <w:lang w:val="en-US" w:eastAsia="fr-FR"/>
        </w:rPr>
        <w:t xml:space="preserve"> لتقييم مستو</w:t>
      </w:r>
      <w:r w:rsidRPr="00B91966">
        <w:rPr>
          <w:rFonts w:ascii="Simplified Arabic" w:eastAsia="Times New Roman" w:hAnsi="Simplified Arabic" w:cs="Simplified Arabic" w:hint="cs"/>
          <w:b/>
          <w:sz w:val="24"/>
          <w:szCs w:val="24"/>
          <w:rtl/>
          <w:lang w:val="en-US" w:eastAsia="fr-FR"/>
        </w:rPr>
        <w:t>ى</w:t>
      </w:r>
      <w:r w:rsidRPr="00B91966">
        <w:rPr>
          <w:rFonts w:ascii="Simplified Arabic" w:eastAsia="Times New Roman" w:hAnsi="Simplified Arabic" w:cs="Simplified Arabic"/>
          <w:b/>
          <w:sz w:val="24"/>
          <w:szCs w:val="24"/>
          <w:rtl/>
          <w:lang w:val="en-US" w:eastAsia="fr-FR"/>
        </w:rPr>
        <w:t xml:space="preserve"> المرونة.</w:t>
      </w:r>
      <w:r>
        <w:rPr>
          <w:rFonts w:ascii="Simplified Arabic" w:eastAsia="Times New Roman" w:hAnsi="Simplified Arabic" w:cs="Simplified Arabic" w:hint="cs"/>
          <w:b/>
          <w:sz w:val="24"/>
          <w:szCs w:val="24"/>
          <w:rtl/>
          <w:lang w:val="en-US" w:eastAsia="fr-FR"/>
        </w:rPr>
        <w:t xml:space="preserve"> </w:t>
      </w:r>
      <w:r w:rsidRPr="00A707AD">
        <w:rPr>
          <w:rFonts w:ascii="Simplified Arabic" w:hAnsi="Simplified Arabic" w:cs="Simplified Arabic" w:hint="cs"/>
          <w:sz w:val="24"/>
          <w:szCs w:val="24"/>
          <w:rtl/>
        </w:rPr>
        <w:t>يسمح</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التكرار</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للشبكة</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بمواصلة</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العمل</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على</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الرغم</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من</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اضطراب</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أحد</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المقاطع</w:t>
      </w:r>
      <w:r w:rsidRPr="00A707AD">
        <w:rPr>
          <w:rFonts w:ascii="Simplified Arabic" w:hAnsi="Simplified Arabic" w:cs="Simplified Arabic"/>
          <w:sz w:val="24"/>
          <w:szCs w:val="24"/>
          <w:rtl/>
        </w:rPr>
        <w:t>.</w:t>
      </w:r>
      <w:r w:rsidRPr="00A707AD">
        <w:rPr>
          <w:rFonts w:ascii="Simplified Arabic" w:hAnsi="Simplified Arabic" w:cs="Simplified Arabic" w:hint="cs"/>
          <w:sz w:val="24"/>
          <w:szCs w:val="24"/>
          <w:rtl/>
        </w:rPr>
        <w:t xml:space="preserve"> لذا، يتم </w:t>
      </w:r>
      <w:r w:rsidRPr="00C863CE">
        <w:rPr>
          <w:rFonts w:ascii="Simplified Arabic" w:hAnsi="Simplified Arabic" w:cs="Simplified Arabic" w:hint="cs"/>
          <w:sz w:val="24"/>
          <w:szCs w:val="24"/>
          <w:rtl/>
        </w:rPr>
        <w:t xml:space="preserve">زيادة كثافة </w:t>
      </w:r>
      <w:r w:rsidRPr="00A707AD">
        <w:rPr>
          <w:rFonts w:ascii="Simplified Arabic" w:hAnsi="Simplified Arabic" w:cs="Simplified Arabic" w:hint="cs"/>
          <w:sz w:val="24"/>
          <w:szCs w:val="24"/>
          <w:rtl/>
        </w:rPr>
        <w:t xml:space="preserve">تقاطع </w:t>
      </w:r>
      <w:r w:rsidRPr="00C863CE">
        <w:rPr>
          <w:rFonts w:ascii="Simplified Arabic" w:hAnsi="Simplified Arabic" w:cs="Simplified Arabic" w:hint="cs"/>
          <w:sz w:val="24"/>
          <w:szCs w:val="24"/>
          <w:rtl/>
        </w:rPr>
        <w:t>شبكة الطرق و</w:t>
      </w:r>
      <w:r w:rsidRPr="00A707AD">
        <w:rPr>
          <w:rFonts w:ascii="Simplified Arabic" w:hAnsi="Simplified Arabic" w:cs="Simplified Arabic" w:hint="cs"/>
          <w:sz w:val="24"/>
          <w:szCs w:val="24"/>
          <w:rtl/>
        </w:rPr>
        <w:t>فحص</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عدد</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الاتصالات</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الموجودة</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في</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كل</w:t>
      </w:r>
      <w:r w:rsidRPr="00A707AD">
        <w:rPr>
          <w:rFonts w:ascii="Simplified Arabic" w:hAnsi="Simplified Arabic" w:cs="Simplified Arabic"/>
          <w:sz w:val="24"/>
          <w:szCs w:val="24"/>
          <w:rtl/>
        </w:rPr>
        <w:t xml:space="preserve"> </w:t>
      </w:r>
      <w:r w:rsidRPr="00A707AD">
        <w:rPr>
          <w:rFonts w:ascii="Simplified Arabic" w:hAnsi="Simplified Arabic" w:cs="Simplified Arabic" w:hint="cs"/>
          <w:sz w:val="24"/>
          <w:szCs w:val="24"/>
          <w:rtl/>
        </w:rPr>
        <w:t>تقاطع.</w:t>
      </w:r>
      <w:r w:rsidRPr="00C863CE">
        <w:rPr>
          <w:rFonts w:ascii="Simplified Arabic" w:hAnsi="Simplified Arabic" w:cs="Simplified Arabic" w:hint="cs"/>
          <w:sz w:val="24"/>
          <w:szCs w:val="24"/>
          <w:rtl/>
        </w:rPr>
        <w:t xml:space="preserve"> </w:t>
      </w:r>
    </w:p>
    <w:p w:rsidR="00012350" w:rsidRDefault="002A686B" w:rsidP="00AA7E5E">
      <w:pPr>
        <w:bidi/>
        <w:spacing w:after="0"/>
        <w:ind w:firstLine="282"/>
        <w:jc w:val="both"/>
        <w:rPr>
          <w:rFonts w:ascii="Simplified Arabic" w:hAnsi="Simplified Arabic" w:cs="Simplified Arabic"/>
          <w:sz w:val="24"/>
          <w:szCs w:val="24"/>
          <w:rtl/>
        </w:rPr>
      </w:pPr>
      <w:r w:rsidRPr="00B14D18">
        <w:rPr>
          <w:rFonts w:ascii="Simplified Arabic" w:eastAsia="Times New Roman" w:hAnsi="Simplified Arabic" w:cs="Simplified Arabic" w:hint="cs"/>
          <w:b/>
          <w:sz w:val="24"/>
          <w:szCs w:val="24"/>
          <w:rtl/>
          <w:lang w:val="en-US" w:eastAsia="fr-FR"/>
        </w:rPr>
        <w:t>تعد</w:t>
      </w:r>
      <w:r w:rsidRPr="00B14D18">
        <w:rPr>
          <w:rFonts w:ascii="Simplified Arabic" w:eastAsia="Times New Roman" w:hAnsi="Simplified Arabic" w:cs="Simplified Arabic"/>
          <w:b/>
          <w:sz w:val="24"/>
          <w:szCs w:val="24"/>
          <w:rtl/>
          <w:lang w:val="en-US" w:eastAsia="fr-FR"/>
        </w:rPr>
        <w:t xml:space="preserve"> </w:t>
      </w:r>
      <w:r w:rsidRPr="00A93E95">
        <w:rPr>
          <w:rFonts w:ascii="Simplified Arabic" w:hAnsi="Simplified Arabic" w:cs="Simplified Arabic" w:hint="cs"/>
          <w:sz w:val="24"/>
          <w:szCs w:val="24"/>
          <w:rtl/>
          <w:lang w:val="en-US" w:bidi="ar-DZ"/>
        </w:rPr>
        <w:t>نسبة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العقد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الم</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ص</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لة</w:t>
      </w:r>
      <w:r w:rsidR="00012350">
        <w:rPr>
          <w:rFonts w:ascii="Simplified Arabic" w:hAnsi="Simplified Arabic" w:cs="Simplified Arabic" w:hint="cs"/>
          <w:sz w:val="24"/>
          <w:szCs w:val="24"/>
          <w:rtl/>
          <w:lang w:val="en-US" w:bidi="ar-DZ"/>
        </w:rPr>
        <w:t xml:space="preserve"> و</w:t>
      </w:r>
      <w:r w:rsidR="00012350" w:rsidRPr="00A93E95">
        <w:rPr>
          <w:rFonts w:ascii="Simplified Arabic" w:hAnsi="Simplified Arabic" w:cs="Simplified Arabic" w:hint="cs"/>
          <w:sz w:val="24"/>
          <w:szCs w:val="24"/>
          <w:rtl/>
          <w:lang w:val="en-US" w:bidi="ar-DZ"/>
        </w:rPr>
        <w:t>نسبة</w:t>
      </w:r>
      <w:r w:rsidR="00012350" w:rsidRPr="00A93E95">
        <w:rPr>
          <w:rFonts w:ascii="Simplified Arabic" w:hAnsi="Simplified Arabic" w:cs="Simplified Arabic"/>
          <w:sz w:val="24"/>
          <w:szCs w:val="24"/>
          <w:rtl/>
          <w:lang w:val="en-US" w:bidi="ar-DZ"/>
        </w:rPr>
        <w:t xml:space="preserve"> </w:t>
      </w:r>
      <w:r w:rsidR="00AA7E5E">
        <w:rPr>
          <w:rFonts w:ascii="Simplified Arabic" w:hAnsi="Simplified Arabic" w:cs="Simplified Arabic" w:hint="cs"/>
          <w:sz w:val="24"/>
          <w:szCs w:val="24"/>
          <w:rtl/>
          <w:lang w:val="en-US" w:bidi="ar-DZ"/>
        </w:rPr>
        <w:t>ربط</w:t>
      </w:r>
      <w:r w:rsidR="00012350">
        <w:rPr>
          <w:rFonts w:ascii="Simplified Arabic" w:hAnsi="Simplified Arabic" w:cs="Simplified Arabic" w:hint="cs"/>
          <w:sz w:val="24"/>
          <w:szCs w:val="24"/>
          <w:rtl/>
          <w:lang w:val="en-US" w:bidi="ar-DZ"/>
        </w:rPr>
        <w:t>-</w:t>
      </w:r>
      <w:r w:rsidR="00012350" w:rsidRPr="00A93E95">
        <w:rPr>
          <w:rFonts w:ascii="Simplified Arabic" w:hAnsi="Simplified Arabic" w:cs="Simplified Arabic" w:hint="cs"/>
          <w:sz w:val="24"/>
          <w:szCs w:val="24"/>
          <w:rtl/>
          <w:lang w:val="en-US" w:bidi="ar-DZ"/>
        </w:rPr>
        <w:t>العقد</w:t>
      </w:r>
      <w:r w:rsidRPr="00B14D18">
        <w:rPr>
          <w:rFonts w:ascii="Simplified Arabic" w:eastAsia="Times New Roman" w:hAnsi="Simplified Arabic" w:cs="Simplified Arabic"/>
          <w:b/>
          <w:sz w:val="24"/>
          <w:szCs w:val="24"/>
          <w:rtl/>
          <w:lang w:val="en-US" w:eastAsia="fr-FR"/>
        </w:rPr>
        <w:t xml:space="preserve"> </w:t>
      </w:r>
      <w:r w:rsidR="00012350">
        <w:rPr>
          <w:rFonts w:ascii="Simplified Arabic" w:eastAsia="Times New Roman" w:hAnsi="Simplified Arabic" w:cs="Simplified Arabic" w:hint="cs"/>
          <w:b/>
          <w:sz w:val="24"/>
          <w:szCs w:val="24"/>
          <w:rtl/>
          <w:lang w:val="en-US" w:eastAsia="fr-FR"/>
        </w:rPr>
        <w:t>من</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المقاييس</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الأساسية</w:t>
      </w:r>
      <w:r w:rsidRPr="00B14D18">
        <w:rPr>
          <w:rFonts w:ascii="Simplified Arabic" w:eastAsia="Times New Roman" w:hAnsi="Simplified Arabic" w:cs="Simplified Arabic"/>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ل</w:t>
      </w:r>
      <w:r w:rsidRPr="00B14D18">
        <w:rPr>
          <w:rFonts w:ascii="Simplified Arabic" w:eastAsia="Times New Roman" w:hAnsi="Simplified Arabic" w:cs="Simplified Arabic" w:hint="cs"/>
          <w:b/>
          <w:sz w:val="24"/>
          <w:szCs w:val="24"/>
          <w:rtl/>
          <w:lang w:val="en-US" w:eastAsia="fr-FR"/>
        </w:rPr>
        <w:t>لاتصال</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بالشبكة</w:t>
      </w:r>
      <w:r>
        <w:rPr>
          <w:rFonts w:ascii="Simplified Arabic" w:eastAsia="Times New Roman" w:hAnsi="Simplified Arabic" w:cs="Simplified Arabic" w:hint="cs"/>
          <w:b/>
          <w:sz w:val="24"/>
          <w:szCs w:val="24"/>
          <w:rtl/>
          <w:lang w:val="en-US" w:eastAsia="fr-FR"/>
        </w:rPr>
        <w:t>،</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كلما</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زاد</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الرقم،</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كان</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الاتصال</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بالشبكة</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أفضل</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والقيم</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الأصغر</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من</w:t>
      </w:r>
      <w:r w:rsidRPr="00B14D18">
        <w:rPr>
          <w:rFonts w:ascii="Simplified Arabic" w:eastAsia="Times New Roman" w:hAnsi="Simplified Arabic" w:cs="Simplified Arabic"/>
          <w:b/>
          <w:sz w:val="24"/>
          <w:szCs w:val="24"/>
          <w:rtl/>
          <w:lang w:val="en-US" w:eastAsia="fr-FR"/>
        </w:rPr>
        <w:t xml:space="preserve"> 1 </w:t>
      </w:r>
      <w:r w:rsidRPr="00B14D18">
        <w:rPr>
          <w:rFonts w:ascii="Simplified Arabic" w:eastAsia="Times New Roman" w:hAnsi="Simplified Arabic" w:cs="Simplified Arabic" w:hint="cs"/>
          <w:b/>
          <w:sz w:val="24"/>
          <w:szCs w:val="24"/>
          <w:rtl/>
          <w:lang w:val="en-US" w:eastAsia="fr-FR"/>
        </w:rPr>
        <w:t>تمثل</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المناطق</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المنفصلة</w:t>
      </w:r>
      <w:r w:rsidRPr="00B14D18">
        <w:rPr>
          <w:rFonts w:ascii="Simplified Arabic" w:eastAsia="Times New Roman" w:hAnsi="Simplified Arabic" w:cs="Simplified Arabic"/>
          <w:b/>
          <w:sz w:val="24"/>
          <w:szCs w:val="24"/>
          <w:rtl/>
          <w:lang w:val="en-US" w:eastAsia="fr-FR"/>
        </w:rPr>
        <w:t>.</w:t>
      </w:r>
      <w:r w:rsidRPr="000147CB">
        <w:rPr>
          <w:rFonts w:ascii="Simplified Arabic" w:hAnsi="Simplified Arabic" w:cs="Simplified Arabic" w:hint="cs"/>
          <w:sz w:val="24"/>
          <w:szCs w:val="24"/>
          <w:rtl/>
        </w:rPr>
        <w:t xml:space="preserve"> </w:t>
      </w:r>
      <w:r w:rsidRPr="00024801">
        <w:rPr>
          <w:rFonts w:ascii="Simplified Arabic" w:hAnsi="Simplified Arabic" w:cs="Simplified Arabic" w:hint="cs"/>
          <w:sz w:val="24"/>
          <w:szCs w:val="24"/>
          <w:rtl/>
        </w:rPr>
        <w:t>وفقًا</w:t>
      </w:r>
      <w:r>
        <w:rPr>
          <w:rFonts w:ascii="Simplified Arabic" w:hAnsi="Simplified Arabic" w:cs="Simplified Arabic" w:hint="cs"/>
          <w:sz w:val="24"/>
          <w:szCs w:val="24"/>
          <w:rtl/>
        </w:rPr>
        <w:t xml:space="preserve"> </w:t>
      </w:r>
      <w:r w:rsidRPr="00332A01">
        <w:rPr>
          <w:rFonts w:asciiTheme="majorBidi" w:hAnsiTheme="majorBidi" w:cstheme="majorBidi"/>
          <w:color w:val="0D0D0D"/>
          <w:sz w:val="24"/>
          <w:szCs w:val="24"/>
          <w:rtl/>
        </w:rPr>
        <w:t>(</w:t>
      </w:r>
      <w:r w:rsidRPr="00157C4E">
        <w:rPr>
          <w:rFonts w:asciiTheme="majorBidi" w:hAnsiTheme="majorBidi" w:cstheme="majorBidi"/>
          <w:sz w:val="24"/>
          <w:szCs w:val="24"/>
        </w:rPr>
        <w:t>Boeing</w:t>
      </w:r>
      <w:r w:rsidRPr="005D1105">
        <w:rPr>
          <w:rFonts w:asciiTheme="majorBidi" w:hAnsiTheme="majorBidi" w:cstheme="majorBidi"/>
          <w:color w:val="0D0D0D"/>
          <w:sz w:val="24"/>
          <w:szCs w:val="24"/>
        </w:rPr>
        <w:t>, 2017</w:t>
      </w:r>
      <w:r w:rsidRPr="00332A01">
        <w:rPr>
          <w:rFonts w:asciiTheme="majorBidi" w:hAnsiTheme="majorBidi" w:cstheme="majorBidi"/>
          <w:color w:val="0D0D0D"/>
          <w:sz w:val="24"/>
          <w:szCs w:val="24"/>
          <w:rtl/>
        </w:rPr>
        <w:t>)</w:t>
      </w:r>
      <w:r w:rsidR="00012350">
        <w:rPr>
          <w:rFonts w:ascii="Simplified Arabic" w:hAnsi="Simplified Arabic" w:cs="Simplified Arabic" w:hint="cs"/>
          <w:sz w:val="24"/>
          <w:szCs w:val="24"/>
          <w:rtl/>
        </w:rPr>
        <w:t>.</w:t>
      </w:r>
    </w:p>
    <w:p w:rsidR="002A686B" w:rsidRDefault="002A686B" w:rsidP="00AA7E5E">
      <w:pPr>
        <w:bidi/>
        <w:spacing w:after="0"/>
        <w:ind w:firstLine="282"/>
        <w:jc w:val="both"/>
        <w:rPr>
          <w:rFonts w:ascii="Simplified Arabic" w:hAnsi="Simplified Arabic" w:cs="Simplified Arabic"/>
          <w:sz w:val="24"/>
          <w:szCs w:val="24"/>
          <w:rtl/>
          <w:lang w:val="en-US" w:bidi="ar-DZ"/>
        </w:rPr>
      </w:pPr>
      <w:r w:rsidRPr="00A93E95">
        <w:rPr>
          <w:rFonts w:ascii="Simplified Arabic" w:hAnsi="Simplified Arabic" w:cs="Simplified Arabic" w:hint="cs"/>
          <w:sz w:val="24"/>
          <w:szCs w:val="24"/>
          <w:rtl/>
          <w:lang w:val="en-US" w:bidi="ar-DZ"/>
        </w:rPr>
        <w:t>يتم</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قياس</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تكرار</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الشبكة</w:t>
      </w:r>
      <w:r w:rsidRPr="00A93E95">
        <w:rPr>
          <w:rFonts w:ascii="Simplified Arabic" w:hAnsi="Simplified Arabic" w:cs="Simplified Arabic"/>
          <w:sz w:val="24"/>
          <w:szCs w:val="24"/>
          <w:rtl/>
          <w:lang w:val="en-US" w:bidi="ar-DZ"/>
        </w:rPr>
        <w:t xml:space="preserve"> </w:t>
      </w:r>
      <w:r w:rsidRPr="00B14D18">
        <w:rPr>
          <w:rFonts w:ascii="Simplified Arabic" w:eastAsia="Times New Roman" w:hAnsi="Simplified Arabic" w:cs="Simplified Arabic" w:hint="cs"/>
          <w:b/>
          <w:sz w:val="24"/>
          <w:szCs w:val="24"/>
          <w:rtl/>
          <w:lang w:val="en-US" w:eastAsia="fr-FR"/>
        </w:rPr>
        <w:t>لكل</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حي سكني</w:t>
      </w:r>
      <w:r w:rsidRPr="00A93E95">
        <w:rPr>
          <w:rFonts w:ascii="Simplified Arabic" w:hAnsi="Simplified Arabic" w:cs="Simplified Arabic" w:hint="cs"/>
          <w:sz w:val="24"/>
          <w:szCs w:val="24"/>
          <w:rtl/>
          <w:lang w:val="en-US" w:bidi="ar-DZ"/>
        </w:rPr>
        <w:t xml:space="preserve"> من</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خلال</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مجموعة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مختارة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من</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المقاييس</w:t>
      </w:r>
      <w:r w:rsidR="006E0021">
        <w:rPr>
          <w:rFonts w:ascii="Simplified Arabic" w:hAnsi="Simplified Arabic" w:cs="Simplified Arabic" w:hint="cs"/>
          <w:sz w:val="24"/>
          <w:szCs w:val="24"/>
          <w:rtl/>
          <w:lang w:val="en-US" w:bidi="ar-DZ"/>
        </w:rPr>
        <w:t xml:space="preserve"> </w:t>
      </w:r>
      <w:r w:rsidRPr="00A93E95">
        <w:rPr>
          <w:rFonts w:ascii="Simplified Arabic" w:hAnsi="Simplified Arabic" w:cs="Simplified Arabic" w:hint="cs"/>
          <w:sz w:val="24"/>
          <w:szCs w:val="24"/>
          <w:rtl/>
          <w:lang w:val="en-US" w:bidi="ar-DZ"/>
        </w:rPr>
        <w:t>التي</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تحدد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الخصائص</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المترية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والطوبولوجية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المختلفة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لشبكة</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الطرق، الجدول (6-</w:t>
      </w:r>
      <w:r w:rsidR="00B24A3A">
        <w:rPr>
          <w:rFonts w:ascii="Simplified Arabic" w:hAnsi="Simplified Arabic" w:cs="Simplified Arabic"/>
          <w:sz w:val="24"/>
          <w:szCs w:val="24"/>
          <w:lang w:val="en-US" w:bidi="ar-DZ"/>
        </w:rPr>
        <w:t>2</w:t>
      </w:r>
      <w:r>
        <w:rPr>
          <w:rFonts w:ascii="Simplified Arabic" w:hAnsi="Simplified Arabic" w:cs="Simplified Arabic" w:hint="cs"/>
          <w:sz w:val="24"/>
          <w:szCs w:val="24"/>
          <w:rtl/>
          <w:lang w:val="en-US" w:bidi="ar-DZ"/>
        </w:rPr>
        <w:t>)</w:t>
      </w:r>
      <w:r w:rsidRPr="00A93E95">
        <w:rPr>
          <w:rFonts w:ascii="Simplified Arabic" w:hAnsi="Simplified Arabic" w:cs="Simplified Arabic" w:hint="cs"/>
          <w:sz w:val="24"/>
          <w:szCs w:val="24"/>
          <w:rtl/>
          <w:lang w:val="en-US" w:bidi="ar-DZ"/>
        </w:rPr>
        <w:t>،</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أي</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كثافة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التقاطع</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عدد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التقاطع</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لكل</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هكتار</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مع</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وبدون</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طرق</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مسدودة</w:t>
      </w:r>
      <w:r w:rsidRPr="00A93E95">
        <w:rPr>
          <w:rFonts w:ascii="Simplified Arabic" w:hAnsi="Simplified Arabic" w:cs="Simplified Arabic"/>
          <w:sz w:val="24"/>
          <w:szCs w:val="24"/>
          <w:rtl/>
          <w:lang w:val="en-US" w:bidi="ar-DZ"/>
        </w:rPr>
        <w:t>)</w:t>
      </w:r>
      <w:r w:rsidRPr="00A93E95">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w:t>
      </w:r>
      <w:r w:rsidRPr="00A93E95">
        <w:rPr>
          <w:rFonts w:ascii="Simplified Arabic" w:hAnsi="Simplified Arabic" w:cs="Simplified Arabic" w:hint="cs"/>
          <w:sz w:val="24"/>
          <w:szCs w:val="24"/>
          <w:rtl/>
          <w:lang w:val="en-US" w:bidi="ar-DZ"/>
        </w:rPr>
        <w:t>كثافة</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rPr>
        <w:t>الشوارع</w:t>
      </w:r>
      <w:r w:rsidRPr="00A93E95">
        <w:rPr>
          <w:rFonts w:ascii="Simplified Arabic" w:hAnsi="Simplified Arabic" w:cs="Simplified Arabic"/>
          <w:sz w:val="24"/>
          <w:szCs w:val="24"/>
          <w:rtl/>
          <w:lang w:val="en-US" w:bidi="ar-DZ"/>
        </w:rPr>
        <w:t xml:space="preserve"> ( </w:t>
      </w:r>
      <w:r w:rsidRPr="00A93E95">
        <w:rPr>
          <w:rFonts w:ascii="Simplified Arabic" w:hAnsi="Simplified Arabic" w:cs="Simplified Arabic" w:hint="cs"/>
          <w:sz w:val="24"/>
          <w:szCs w:val="24"/>
          <w:rtl/>
          <w:lang w:val="en-US" w:bidi="ar-DZ"/>
        </w:rPr>
        <w:t>الامتدادات</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الخطية</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w:t>
      </w:r>
      <w:r>
        <w:rPr>
          <w:rFonts w:ascii="Simplified Arabic" w:hAnsi="Simplified Arabic" w:cs="Simplified Arabic" w:hint="cs"/>
          <w:sz w:val="24"/>
          <w:szCs w:val="24"/>
          <w:rtl/>
          <w:lang w:val="en-US"/>
        </w:rPr>
        <w:t>لطرق</w:t>
      </w:r>
      <w:r w:rsidRPr="00A93E95">
        <w:rPr>
          <w:rFonts w:ascii="Simplified Arabic" w:hAnsi="Simplified Arabic" w:cs="Simplified Arabic" w:hint="cs"/>
          <w:sz w:val="24"/>
          <w:szCs w:val="24"/>
          <w:rtl/>
          <w:lang w:val="en-US" w:bidi="ar-DZ"/>
        </w:rPr>
        <w:t xml:space="preserve"> لكل</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كيلومتر مربع</w:t>
      </w:r>
      <w:r w:rsidRPr="00A93E95">
        <w:rPr>
          <w:rFonts w:ascii="Simplified Arabic" w:hAnsi="Simplified Arabic" w:cs="Simplified Arabic"/>
          <w:sz w:val="24"/>
          <w:szCs w:val="24"/>
          <w:rtl/>
          <w:lang w:val="en-US" w:bidi="ar-DZ"/>
        </w:rPr>
        <w:t>)</w:t>
      </w:r>
      <w:r w:rsidRPr="00A93E95">
        <w:rPr>
          <w:rFonts w:ascii="Simplified Arabic" w:hAnsi="Simplified Arabic" w:cs="Simplified Arabic" w:hint="cs"/>
          <w:sz w:val="24"/>
          <w:szCs w:val="24"/>
          <w:rtl/>
          <w:lang w:val="en-US" w:bidi="ar-DZ"/>
        </w:rPr>
        <w:t>،</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نسبة</w:t>
      </w:r>
      <w:r w:rsidRPr="00A93E95">
        <w:rPr>
          <w:rFonts w:ascii="Simplified Arabic" w:hAnsi="Simplified Arabic" w:cs="Simplified Arabic"/>
          <w:sz w:val="24"/>
          <w:szCs w:val="24"/>
          <w:rtl/>
          <w:lang w:val="en-US" w:bidi="ar-DZ"/>
        </w:rPr>
        <w:t xml:space="preserve"> </w:t>
      </w:r>
      <w:r w:rsidR="00AA7E5E">
        <w:rPr>
          <w:rFonts w:ascii="Simplified Arabic" w:hAnsi="Simplified Arabic" w:cs="Simplified Arabic" w:hint="cs"/>
          <w:sz w:val="24"/>
          <w:szCs w:val="24"/>
          <w:rtl/>
          <w:lang w:val="en-US" w:bidi="ar-DZ"/>
        </w:rPr>
        <w:t>ربط</w:t>
      </w:r>
      <w:r>
        <w:rPr>
          <w:rFonts w:ascii="Simplified Arabic" w:hAnsi="Simplified Arabic" w:cs="Simplified Arabic" w:hint="cs"/>
          <w:sz w:val="24"/>
          <w:szCs w:val="24"/>
          <w:rtl/>
          <w:lang w:val="en-US" w:bidi="ar-DZ"/>
        </w:rPr>
        <w:t>-</w:t>
      </w:r>
      <w:r w:rsidRPr="00A93E95">
        <w:rPr>
          <w:rFonts w:ascii="Simplified Arabic" w:hAnsi="Simplified Arabic" w:cs="Simplified Arabic" w:hint="cs"/>
          <w:sz w:val="24"/>
          <w:szCs w:val="24"/>
          <w:rtl/>
          <w:lang w:val="en-US" w:bidi="ar-DZ"/>
        </w:rPr>
        <w:t>العقد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نسبة</w:t>
      </w:r>
      <w:r w:rsidR="00F8756E">
        <w:rPr>
          <w:rFonts w:ascii="Simplified Arabic" w:hAnsi="Simplified Arabic" w:cs="Simplified Arabic" w:hint="cs"/>
          <w:sz w:val="24"/>
          <w:szCs w:val="24"/>
          <w:rtl/>
          <w:lang w:val="en-US" w:bidi="ar-DZ"/>
        </w:rPr>
        <w:t xml:space="preserve"> </w:t>
      </w:r>
      <w:r w:rsidRPr="00B14D18">
        <w:rPr>
          <w:rFonts w:ascii="Simplified Arabic" w:eastAsia="Times New Roman" w:hAnsi="Simplified Arabic" w:cs="Simplified Arabic" w:hint="cs"/>
          <w:b/>
          <w:sz w:val="24"/>
          <w:szCs w:val="24"/>
          <w:rtl/>
          <w:lang w:val="en-US" w:eastAsia="fr-FR"/>
        </w:rPr>
        <w:t>عدد</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أقسام</w:t>
      </w:r>
      <w:r w:rsidRPr="00B14D18">
        <w:rPr>
          <w:rFonts w:ascii="Simplified Arabic" w:eastAsia="Times New Roman" w:hAnsi="Simplified Arabic" w:cs="Simplified Arabic"/>
          <w:b/>
          <w:sz w:val="24"/>
          <w:szCs w:val="24"/>
          <w:rtl/>
          <w:lang w:val="en-US" w:eastAsia="fr-FR"/>
        </w:rPr>
        <w:t xml:space="preserve"> </w:t>
      </w:r>
      <w:r w:rsidRPr="00B14D18">
        <w:rPr>
          <w:rFonts w:ascii="Simplified Arabic" w:eastAsia="Times New Roman" w:hAnsi="Simplified Arabic" w:cs="Simplified Arabic" w:hint="cs"/>
          <w:b/>
          <w:sz w:val="24"/>
          <w:szCs w:val="24"/>
          <w:rtl/>
          <w:lang w:val="en-US" w:eastAsia="fr-FR"/>
        </w:rPr>
        <w:t>الشوارع</w:t>
      </w:r>
      <w:r w:rsidRPr="00B14D18">
        <w:rPr>
          <w:rFonts w:ascii="Simplified Arabic" w:eastAsia="Times New Roman" w:hAnsi="Simplified Arabic" w:cs="Simplified Arabic"/>
          <w:b/>
          <w:sz w:val="24"/>
          <w:szCs w:val="24"/>
          <w:rtl/>
          <w:lang w:val="en-US" w:eastAsia="fr-FR"/>
        </w:rPr>
        <w:t xml:space="preserve"> </w:t>
      </w:r>
      <w:r w:rsidRPr="00A93E95">
        <w:rPr>
          <w:rFonts w:ascii="Simplified Arabic" w:hAnsi="Simplified Arabic" w:cs="Simplified Arabic" w:hint="cs"/>
          <w:sz w:val="24"/>
          <w:szCs w:val="24"/>
          <w:rtl/>
          <w:lang w:val="en-US" w:bidi="ar-DZ"/>
        </w:rPr>
        <w:t>إلى</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عدد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العقد</w:t>
      </w:r>
      <w:r w:rsidRPr="00A93E95">
        <w:rPr>
          <w:rFonts w:ascii="Simplified Arabic" w:hAnsi="Simplified Arabic" w:cs="Simplified Arabic"/>
          <w:sz w:val="24"/>
          <w:szCs w:val="24"/>
          <w:rtl/>
          <w:lang w:val="en-US" w:bidi="ar-DZ"/>
        </w:rPr>
        <w:t>)</w:t>
      </w:r>
      <w:r w:rsidRPr="00A93E95">
        <w:rPr>
          <w:rFonts w:ascii="Simplified Arabic" w:hAnsi="Simplified Arabic" w:cs="Simplified Arabic" w:hint="cs"/>
          <w:sz w:val="24"/>
          <w:szCs w:val="24"/>
          <w:rtl/>
          <w:lang w:val="en-US" w:bidi="ar-DZ"/>
        </w:rPr>
        <w:t>،</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نسبة</w:t>
      </w:r>
      <w:r w:rsidRPr="00A93E9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العقد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الم</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ص</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لة</w:t>
      </w:r>
      <w:r w:rsidR="00F8756E">
        <w:rPr>
          <w:rFonts w:ascii="Simplified Arabic" w:hAnsi="Simplified Arabic" w:cs="Simplified Arabic" w:hint="cs"/>
          <w:sz w:val="24"/>
          <w:szCs w:val="24"/>
          <w:rtl/>
          <w:lang w:val="en-US" w:bidi="ar-DZ"/>
        </w:rPr>
        <w:t xml:space="preserve"> </w:t>
      </w:r>
      <w:r w:rsidRPr="00A93E95">
        <w:rPr>
          <w:rFonts w:ascii="Simplified Arabic" w:hAnsi="Simplified Arabic" w:cs="Simplified Arabic"/>
          <w:sz w:val="24"/>
          <w:szCs w:val="24"/>
          <w:rtl/>
          <w:lang w:val="en-US" w:bidi="ar-DZ"/>
        </w:rPr>
        <w:t>(</w:t>
      </w:r>
      <w:r w:rsidRPr="00A93E95">
        <w:rPr>
          <w:rFonts w:ascii="Simplified Arabic" w:hAnsi="Simplified Arabic" w:cs="Simplified Arabic" w:hint="cs"/>
          <w:sz w:val="24"/>
          <w:szCs w:val="24"/>
          <w:rtl/>
          <w:lang w:val="en-US" w:bidi="ar-DZ"/>
        </w:rPr>
        <w:t>النسبة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بين</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عدد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تقاطعات</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الشوارع</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إلى</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عدد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التقاطعات</w:t>
      </w:r>
      <w:r w:rsidR="006E0021">
        <w:rPr>
          <w:rFonts w:ascii="Simplified Arabic" w:hAnsi="Simplified Arabic" w:cs="Simplified Arabic" w:hint="cs"/>
          <w:sz w:val="24"/>
          <w:szCs w:val="24"/>
          <w:rtl/>
          <w:lang w:val="en-US" w:bidi="ar-DZ"/>
        </w:rPr>
        <w:t xml:space="preserve"> </w:t>
      </w:r>
      <w:r w:rsidRPr="00A93E95">
        <w:rPr>
          <w:rFonts w:ascii="Simplified Arabic" w:hAnsi="Simplified Arabic" w:cs="Simplified Arabic" w:hint="cs"/>
          <w:sz w:val="24"/>
          <w:szCs w:val="24"/>
          <w:rtl/>
          <w:lang w:val="en-US" w:bidi="ar-DZ"/>
        </w:rPr>
        <w:t>إضافة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إلى</w:t>
      </w:r>
      <w:r w:rsidRPr="00A93E95">
        <w:rPr>
          <w:rFonts w:ascii="Simplified Arabic" w:hAnsi="Simplified Arabic" w:cs="Simplified Arabic"/>
          <w:sz w:val="24"/>
          <w:szCs w:val="24"/>
          <w:rtl/>
          <w:lang w:val="en-US" w:bidi="ar-DZ"/>
        </w:rPr>
        <w:t xml:space="preserve"> </w:t>
      </w:r>
      <w:r w:rsidRPr="00AC016F">
        <w:rPr>
          <w:rFonts w:asciiTheme="majorBidi" w:hAnsiTheme="majorBidi" w:cstheme="majorBidi"/>
          <w:sz w:val="24"/>
          <w:szCs w:val="24"/>
          <w:lang w:bidi="ar-DZ"/>
        </w:rPr>
        <w:t>cul</w:t>
      </w:r>
      <w:r w:rsidRPr="00AC016F">
        <w:rPr>
          <w:rFonts w:asciiTheme="majorBidi" w:hAnsiTheme="majorBidi" w:cstheme="majorBidi"/>
          <w:sz w:val="24"/>
          <w:szCs w:val="24"/>
          <w:lang w:val="en-US" w:bidi="ar-DZ"/>
        </w:rPr>
        <w:t>-de-sac</w:t>
      </w:r>
      <w:r w:rsidRPr="00A93E95">
        <w:rPr>
          <w:rFonts w:ascii="Simplified Arabic" w:hAnsi="Simplified Arabic" w:cs="Simplified Arabic"/>
          <w:sz w:val="24"/>
          <w:szCs w:val="24"/>
          <w:rtl/>
          <w:lang w:val="en-US" w:bidi="ar-DZ"/>
        </w:rPr>
        <w:t>)</w:t>
      </w:r>
      <w:r w:rsidR="00012350">
        <w:rPr>
          <w:rFonts w:ascii="Simplified Arabic" w:hAnsi="Simplified Arabic" w:cs="Simplified Arabic" w:hint="cs"/>
          <w:sz w:val="24"/>
          <w:szCs w:val="24"/>
          <w:rtl/>
          <w:lang w:val="en-US" w:bidi="ar-DZ"/>
        </w:rPr>
        <w:t>.</w:t>
      </w:r>
    </w:p>
    <w:p w:rsidR="002A686B" w:rsidRDefault="002A686B" w:rsidP="00E87F28">
      <w:pPr>
        <w:pStyle w:val="Tableau"/>
        <w:rPr>
          <w:rtl/>
          <w:lang w:val="en-US" w:bidi="ar-DZ"/>
        </w:rPr>
      </w:pPr>
      <w:bookmarkStart w:id="806" w:name="_Toc157613011"/>
      <w:bookmarkStart w:id="807" w:name="_Toc171803786"/>
      <w:r>
        <w:rPr>
          <w:rFonts w:hint="cs"/>
          <w:color w:val="000000" w:themeColor="text1"/>
          <w:rtl/>
          <w:lang w:val="en-US"/>
        </w:rPr>
        <w:t xml:space="preserve">الجدول </w:t>
      </w:r>
      <w:r w:rsidRPr="00EE338D">
        <w:rPr>
          <w:rFonts w:hint="cs"/>
          <w:rtl/>
        </w:rPr>
        <w:t>(</w:t>
      </w:r>
      <w:r>
        <w:rPr>
          <w:rFonts w:hint="cs"/>
          <w:rtl/>
        </w:rPr>
        <w:t>6-</w:t>
      </w:r>
      <w:r w:rsidR="00B24A3A">
        <w:t>2</w:t>
      </w:r>
      <w:r w:rsidRPr="00EE338D">
        <w:rPr>
          <w:rFonts w:hint="cs"/>
          <w:rtl/>
        </w:rPr>
        <w:t>)</w:t>
      </w:r>
      <w:r w:rsidRPr="00EE338D">
        <w:rPr>
          <w:rtl/>
        </w:rPr>
        <w:t>:</w:t>
      </w:r>
      <w:r w:rsidRPr="00EE338D">
        <w:rPr>
          <w:rFonts w:hint="cs"/>
          <w:rtl/>
        </w:rPr>
        <w:t xml:space="preserve"> </w:t>
      </w:r>
      <w:r>
        <w:rPr>
          <w:rFonts w:hint="cs"/>
          <w:rtl/>
        </w:rPr>
        <w:t xml:space="preserve">ملخص قياس </w:t>
      </w:r>
      <w:r w:rsidRPr="00A93E95">
        <w:rPr>
          <w:rFonts w:hint="cs"/>
          <w:rtl/>
          <w:lang w:val="en-US" w:bidi="ar-DZ"/>
        </w:rPr>
        <w:t>الخصائص</w:t>
      </w:r>
      <w:r w:rsidRPr="00A93E95">
        <w:rPr>
          <w:rtl/>
          <w:lang w:val="en-US" w:bidi="ar-DZ"/>
        </w:rPr>
        <w:t xml:space="preserve"> </w:t>
      </w:r>
      <w:r w:rsidRPr="00A93E95">
        <w:rPr>
          <w:rFonts w:hint="cs"/>
          <w:rtl/>
          <w:lang w:val="en-US" w:bidi="ar-DZ"/>
        </w:rPr>
        <w:t>المترية</w:t>
      </w:r>
      <w:r w:rsidRPr="00A93E95">
        <w:rPr>
          <w:rtl/>
          <w:lang w:val="en-US" w:bidi="ar-DZ"/>
        </w:rPr>
        <w:t xml:space="preserve"> </w:t>
      </w:r>
      <w:r w:rsidRPr="00A93E95">
        <w:rPr>
          <w:rFonts w:hint="cs"/>
          <w:rtl/>
          <w:lang w:val="en-US" w:bidi="ar-DZ"/>
        </w:rPr>
        <w:t>والطوبولوجية</w:t>
      </w:r>
      <w:r>
        <w:rPr>
          <w:rFonts w:hint="cs"/>
          <w:rtl/>
          <w:lang w:val="en-US" w:bidi="ar-DZ"/>
        </w:rPr>
        <w:t xml:space="preserve"> </w:t>
      </w:r>
      <w:r w:rsidRPr="004A3D8D">
        <w:rPr>
          <w:rFonts w:hint="cs"/>
          <w:rtl/>
          <w:lang w:val="en-US" w:bidi="ar-DZ"/>
        </w:rPr>
        <w:t>لاتصال</w:t>
      </w:r>
      <w:r w:rsidRPr="004A3D8D">
        <w:rPr>
          <w:rtl/>
          <w:lang w:val="en-US" w:bidi="ar-DZ"/>
        </w:rPr>
        <w:t xml:space="preserve"> </w:t>
      </w:r>
      <w:r>
        <w:rPr>
          <w:rFonts w:hint="cs"/>
          <w:rtl/>
          <w:lang w:val="en-US" w:bidi="ar-DZ"/>
        </w:rPr>
        <w:t>الطرق الشوارع</w:t>
      </w:r>
      <w:bookmarkEnd w:id="806"/>
      <w:bookmarkEnd w:id="807"/>
    </w:p>
    <w:p w:rsidR="00A07706" w:rsidRPr="00A07706" w:rsidRDefault="00A07706" w:rsidP="00A07706">
      <w:pPr>
        <w:pStyle w:val="fegure"/>
        <w:rPr>
          <w:sz w:val="8"/>
          <w:szCs w:val="24"/>
          <w:rtl/>
          <w:lang w:val="en-US"/>
        </w:rPr>
      </w:pPr>
      <w:bookmarkStart w:id="808" w:name="_Toc171803787"/>
      <w:r>
        <w:rPr>
          <w:rFonts w:hint="cs"/>
          <w:sz w:val="8"/>
          <w:szCs w:val="24"/>
          <w:rtl/>
          <w:lang w:val="en-US"/>
        </w:rPr>
        <w:t>(الباحث، 2022)</w:t>
      </w:r>
      <w:bookmarkEnd w:id="808"/>
    </w:p>
    <w:tbl>
      <w:tblPr>
        <w:tblStyle w:val="Grilledutableau"/>
        <w:bidiVisual/>
        <w:tblW w:w="9120" w:type="dxa"/>
        <w:jc w:val="center"/>
        <w:tblInd w:w="249" w:type="dxa"/>
        <w:tblLook w:val="04A0" w:firstRow="1" w:lastRow="0" w:firstColumn="1" w:lastColumn="0" w:noHBand="0" w:noVBand="1"/>
      </w:tblPr>
      <w:tblGrid>
        <w:gridCol w:w="981"/>
        <w:gridCol w:w="1625"/>
        <w:gridCol w:w="4505"/>
        <w:gridCol w:w="2009"/>
      </w:tblGrid>
      <w:tr w:rsidR="004B7C45" w:rsidTr="004B7C45">
        <w:trPr>
          <w:jc w:val="center"/>
        </w:trPr>
        <w:tc>
          <w:tcPr>
            <w:tcW w:w="981" w:type="dxa"/>
            <w:vAlign w:val="center"/>
          </w:tcPr>
          <w:p w:rsidR="002A686B" w:rsidRDefault="002A686B" w:rsidP="000A1DE0">
            <w:pPr>
              <w:bidi/>
              <w:jc w:val="center"/>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القياس</w:t>
            </w:r>
          </w:p>
        </w:tc>
        <w:tc>
          <w:tcPr>
            <w:tcW w:w="1625" w:type="dxa"/>
            <w:vAlign w:val="center"/>
          </w:tcPr>
          <w:p w:rsidR="002A686B" w:rsidRDefault="002A686B" w:rsidP="000A1DE0">
            <w:pPr>
              <w:bidi/>
              <w:jc w:val="center"/>
              <w:rPr>
                <w:rFonts w:ascii="Simplified Arabic" w:hAnsi="Simplified Arabic" w:cs="Simplified Arabic"/>
                <w:sz w:val="24"/>
                <w:szCs w:val="24"/>
                <w:rtl/>
                <w:lang w:val="en-US"/>
              </w:rPr>
            </w:pPr>
            <w:r>
              <w:rPr>
                <w:rFonts w:ascii="Simplified Arabic" w:hAnsi="Simplified Arabic" w:cs="Simplified Arabic" w:hint="cs"/>
                <w:sz w:val="24"/>
                <w:szCs w:val="24"/>
                <w:rtl/>
                <w:lang w:val="en-US" w:bidi="ar-DZ"/>
              </w:rPr>
              <w:t>نوع القياس</w:t>
            </w:r>
          </w:p>
        </w:tc>
        <w:tc>
          <w:tcPr>
            <w:tcW w:w="4505" w:type="dxa"/>
            <w:vAlign w:val="center"/>
          </w:tcPr>
          <w:p w:rsidR="002A686B" w:rsidRDefault="002A686B" w:rsidP="000A1DE0">
            <w:pPr>
              <w:bidi/>
              <w:jc w:val="center"/>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وصف القياس</w:t>
            </w:r>
          </w:p>
        </w:tc>
        <w:tc>
          <w:tcPr>
            <w:tcW w:w="2009" w:type="dxa"/>
            <w:vAlign w:val="center"/>
          </w:tcPr>
          <w:p w:rsidR="002A686B" w:rsidRDefault="002A686B" w:rsidP="000A1DE0">
            <w:pPr>
              <w:bidi/>
              <w:jc w:val="center"/>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المعادلة</w:t>
            </w:r>
          </w:p>
        </w:tc>
      </w:tr>
      <w:tr w:rsidR="004B7C45" w:rsidTr="004B7C45">
        <w:trPr>
          <w:trHeight w:val="674"/>
          <w:jc w:val="center"/>
        </w:trPr>
        <w:tc>
          <w:tcPr>
            <w:tcW w:w="981" w:type="dxa"/>
            <w:vMerge w:val="restart"/>
            <w:vAlign w:val="center"/>
          </w:tcPr>
          <w:p w:rsidR="002A686B" w:rsidRDefault="002A686B" w:rsidP="000A1DE0">
            <w:pPr>
              <w:bidi/>
              <w:jc w:val="center"/>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متري</w:t>
            </w:r>
          </w:p>
        </w:tc>
        <w:tc>
          <w:tcPr>
            <w:tcW w:w="1625" w:type="dxa"/>
            <w:vAlign w:val="center"/>
          </w:tcPr>
          <w:p w:rsidR="002A686B" w:rsidRDefault="002A686B" w:rsidP="000A1DE0">
            <w:pPr>
              <w:bidi/>
              <w:jc w:val="center"/>
              <w:rPr>
                <w:rFonts w:ascii="Simplified Arabic" w:hAnsi="Simplified Arabic" w:cs="Simplified Arabic"/>
                <w:sz w:val="24"/>
                <w:szCs w:val="24"/>
                <w:lang w:val="en-US"/>
              </w:rPr>
            </w:pPr>
            <w:r>
              <w:rPr>
                <w:rFonts w:ascii="Simplified Arabic" w:hAnsi="Simplified Arabic" w:cs="Simplified Arabic" w:hint="cs"/>
                <w:sz w:val="24"/>
                <w:szCs w:val="24"/>
                <w:rtl/>
                <w:lang w:val="en-US"/>
              </w:rPr>
              <w:t>كثافة الشوارع</w:t>
            </w:r>
          </w:p>
          <w:p w:rsidR="007E1F40" w:rsidRDefault="007E1F40" w:rsidP="007E1F40">
            <w:pPr>
              <w:pStyle w:val="Default"/>
              <w:bidi/>
              <w:jc w:val="center"/>
              <w:rPr>
                <w:sz w:val="20"/>
                <w:szCs w:val="20"/>
              </w:rPr>
            </w:pPr>
            <w:r>
              <w:rPr>
                <w:sz w:val="20"/>
                <w:szCs w:val="20"/>
              </w:rPr>
              <w:t xml:space="preserve">Street </w:t>
            </w:r>
            <w:r w:rsidRPr="007E1F40">
              <w:rPr>
                <w:sz w:val="20"/>
                <w:szCs w:val="20"/>
                <w:lang w:val="en-US"/>
              </w:rPr>
              <w:t>density</w:t>
            </w:r>
            <w:r>
              <w:rPr>
                <w:sz w:val="20"/>
                <w:szCs w:val="20"/>
              </w:rPr>
              <w:t xml:space="preserve"> </w:t>
            </w:r>
          </w:p>
          <w:p w:rsidR="007E1F40" w:rsidRDefault="007E1F40" w:rsidP="007E1F40">
            <w:pPr>
              <w:bidi/>
              <w:jc w:val="center"/>
              <w:rPr>
                <w:rFonts w:ascii="Simplified Arabic" w:hAnsi="Simplified Arabic" w:cs="Simplified Arabic"/>
                <w:sz w:val="24"/>
                <w:szCs w:val="24"/>
                <w:rtl/>
                <w:lang w:val="en-US"/>
              </w:rPr>
            </w:pPr>
          </w:p>
        </w:tc>
        <w:tc>
          <w:tcPr>
            <w:tcW w:w="4505" w:type="dxa"/>
            <w:vAlign w:val="center"/>
          </w:tcPr>
          <w:p w:rsidR="002A686B" w:rsidRPr="0028074B" w:rsidRDefault="002A686B" w:rsidP="00F8756E">
            <w:pPr>
              <w:bidi/>
              <w:rPr>
                <w:rFonts w:ascii="Simplified Arabic" w:hAnsi="Simplified Arabic" w:cs="Simplified Arabic"/>
                <w:sz w:val="24"/>
                <w:szCs w:val="24"/>
                <w:rtl/>
                <w:lang w:val="en-US"/>
              </w:rPr>
            </w:pPr>
            <w:r w:rsidRPr="0028074B">
              <w:rPr>
                <w:rFonts w:ascii="Simplified Arabic" w:hAnsi="Simplified Arabic" w:cs="Simplified Arabic" w:hint="cs"/>
                <w:sz w:val="24"/>
                <w:szCs w:val="24"/>
                <w:rtl/>
                <w:lang w:val="en-US"/>
              </w:rPr>
              <w:t>الطول</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الإجمالي</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للطرق</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حسب</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وحدة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المساحة،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بناءً</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على</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فكرة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أن</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الشبكات</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المتصلة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بشكل</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كبير</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تحتوي</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على</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عدد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أكبر</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من</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الشوارع</w:t>
            </w:r>
            <w:r w:rsidRPr="0028074B">
              <w:rPr>
                <w:rFonts w:ascii="Simplified Arabic" w:hAnsi="Simplified Arabic" w:cs="Simplified Arabic"/>
                <w:sz w:val="24"/>
                <w:szCs w:val="24"/>
                <w:rtl/>
                <w:lang w:val="en-US"/>
              </w:rPr>
              <w:t>.</w:t>
            </w:r>
          </w:p>
        </w:tc>
        <w:tc>
          <w:tcPr>
            <w:tcW w:w="2009" w:type="dxa"/>
            <w:vAlign w:val="center"/>
          </w:tcPr>
          <w:p w:rsidR="002A686B" w:rsidRPr="002261CC" w:rsidRDefault="00B62F86" w:rsidP="000A1DE0">
            <w:pPr>
              <w:tabs>
                <w:tab w:val="right" w:pos="-1"/>
              </w:tabs>
              <w:bidi/>
              <w:ind w:left="-1" w:firstLine="283"/>
              <w:jc w:val="center"/>
              <w:rPr>
                <w:rFonts w:ascii="Simplified Arabic" w:eastAsiaTheme="minorEastAsia" w:hAnsi="Simplified Arabic" w:cs="Simplified Arabic"/>
                <w:sz w:val="24"/>
                <w:szCs w:val="24"/>
                <w:rtl/>
                <w:lang w:bidi="ar-DZ"/>
              </w:rPr>
            </w:pPr>
            <m:oMathPara>
              <m:oMath>
                <m:sSub>
                  <m:sSubPr>
                    <m:ctrlPr>
                      <w:rPr>
                        <w:rFonts w:ascii="Cambria Math" w:hAnsi="Cambria Math" w:cs="Cambria Math"/>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e</m:t>
                    </m:r>
                  </m:sub>
                </m:sSub>
                <m:r>
                  <m:rPr>
                    <m:sty m:val="p"/>
                  </m:rPr>
                  <w:rPr>
                    <w:rFonts w:ascii="Cambria Math" w:hAnsi="Cambria Math" w:cstheme="majorBidi"/>
                    <w:sz w:val="24"/>
                    <w:szCs w:val="24"/>
                    <w:lang w:val="en-US" w:bidi="ar-DZ"/>
                  </w:rPr>
                  <m:t>=</m:t>
                </m:r>
                <m:f>
                  <m:fPr>
                    <m:ctrlPr>
                      <w:rPr>
                        <w:rFonts w:ascii="Cambria Math" w:hAnsi="Cambria Math" w:cstheme="majorBidi"/>
                        <w:sz w:val="24"/>
                        <w:szCs w:val="24"/>
                        <w:lang w:bidi="ar-DZ"/>
                      </w:rPr>
                    </m:ctrlPr>
                  </m:fPr>
                  <m:num>
                    <m:r>
                      <m:rPr>
                        <m:sty m:val="p"/>
                      </m:rPr>
                      <w:rPr>
                        <w:rFonts w:ascii="Cambria Math" w:hAnsi="Cambria Math" w:cs="Cambria Math"/>
                        <w:sz w:val="24"/>
                        <w:szCs w:val="24"/>
                      </w:rPr>
                      <m:t>1</m:t>
                    </m:r>
                  </m:num>
                  <m:den>
                    <m:sSub>
                      <m:sSubPr>
                        <m:ctrlPr>
                          <w:rPr>
                            <w:rFonts w:ascii="Cambria Math" w:hAnsi="Cambria Math" w:cs="Cambria Math"/>
                            <w:sz w:val="24"/>
                            <w:szCs w:val="24"/>
                          </w:rPr>
                        </m:ctrlPr>
                      </m:sSubPr>
                      <m:e>
                        <m:r>
                          <m:rPr>
                            <m:sty m:val="p"/>
                          </m:rPr>
                          <w:rPr>
                            <w:rFonts w:ascii="Cambria Math" w:hAnsi="Cambria Math" w:cs="Cambria Math"/>
                            <w:sz w:val="24"/>
                            <w:szCs w:val="24"/>
                          </w:rPr>
                          <m:t>A</m:t>
                        </m:r>
                      </m:e>
                      <m:sub>
                        <m:r>
                          <m:rPr>
                            <m:sty m:val="p"/>
                          </m:rPr>
                          <w:rPr>
                            <w:rFonts w:ascii="Cambria Math" w:hAnsi="Cambria Math" w:cs="Cambria Math"/>
                            <w:sz w:val="24"/>
                            <w:szCs w:val="24"/>
                            <w:vertAlign w:val="subscript"/>
                          </w:rPr>
                          <m:t>tot</m:t>
                        </m:r>
                      </m:sub>
                    </m:sSub>
                  </m:den>
                </m:f>
                <m:nary>
                  <m:naryPr>
                    <m:chr m:val="∑"/>
                    <m:limLoc m:val="undOvr"/>
                    <m:ctrlPr>
                      <w:rPr>
                        <w:rFonts w:ascii="Cambria Math" w:hAnsi="Cambria Math" w:cstheme="majorBidi"/>
                        <w:sz w:val="24"/>
                        <w:szCs w:val="24"/>
                        <w:lang w:bidi="ar-DZ"/>
                      </w:rPr>
                    </m:ctrlPr>
                  </m:naryPr>
                  <m:sub>
                    <m:r>
                      <m:rPr>
                        <m:sty m:val="p"/>
                      </m:rPr>
                      <w:rPr>
                        <w:rFonts w:ascii="Cambria Math" w:hAnsi="Cambria Math" w:cstheme="majorBidi"/>
                        <w:sz w:val="24"/>
                        <w:szCs w:val="24"/>
                        <w:lang w:bidi="ar-DZ"/>
                      </w:rPr>
                      <m:t>i=1</m:t>
                    </m:r>
                  </m:sub>
                  <m:sup>
                    <m:r>
                      <m:rPr>
                        <m:sty m:val="p"/>
                      </m:rPr>
                      <w:rPr>
                        <w:rFonts w:ascii="Cambria Math" w:hAnsi="Cambria Math" w:cstheme="majorBidi"/>
                        <w:sz w:val="24"/>
                        <w:szCs w:val="24"/>
                        <w:lang w:bidi="ar-DZ"/>
                      </w:rPr>
                      <m:t>n</m:t>
                    </m:r>
                  </m:sup>
                  <m:e>
                    <m:r>
                      <m:rPr>
                        <m:sty m:val="p"/>
                      </m:rPr>
                      <w:rPr>
                        <w:rFonts w:ascii="Cambria Math" w:hAnsi="Cambria Math" w:cstheme="majorBidi"/>
                        <w:sz w:val="24"/>
                        <w:szCs w:val="24"/>
                        <w:lang w:bidi="ar-DZ"/>
                      </w:rPr>
                      <m:t>(</m:t>
                    </m:r>
                    <m:sSub>
                      <m:sSubPr>
                        <m:ctrlPr>
                          <w:rPr>
                            <w:rFonts w:ascii="Cambria Math" w:hAnsi="Cambria Math" w:cstheme="majorBidi"/>
                            <w:sz w:val="24"/>
                            <w:szCs w:val="24"/>
                            <w:lang w:bidi="ar-DZ"/>
                          </w:rPr>
                        </m:ctrlPr>
                      </m:sSubPr>
                      <m:e>
                        <m:r>
                          <m:rPr>
                            <m:sty m:val="p"/>
                          </m:rPr>
                          <w:rPr>
                            <w:rFonts w:ascii="Cambria Math" w:hAnsi="Cambria Math" w:cstheme="majorBidi"/>
                            <w:sz w:val="24"/>
                            <w:szCs w:val="24"/>
                            <w:lang w:bidi="ar-DZ"/>
                          </w:rPr>
                          <m:t>l</m:t>
                        </m:r>
                      </m:e>
                      <m:sub>
                        <m:r>
                          <m:rPr>
                            <m:sty m:val="p"/>
                          </m:rPr>
                          <w:rPr>
                            <w:rFonts w:ascii="Cambria Math" w:hAnsi="Cambria Math" w:cstheme="majorBidi"/>
                            <w:sz w:val="24"/>
                            <w:szCs w:val="24"/>
                            <w:lang w:bidi="ar-DZ"/>
                          </w:rPr>
                          <m:t>i</m:t>
                        </m:r>
                      </m:sub>
                    </m:sSub>
                  </m:e>
                </m:nary>
                <m:r>
                  <m:rPr>
                    <m:sty m:val="p"/>
                  </m:rPr>
                  <w:rPr>
                    <w:rFonts w:ascii="Cambria Math" w:hAnsi="Cambria Math" w:cstheme="majorBidi"/>
                    <w:sz w:val="24"/>
                    <w:szCs w:val="24"/>
                    <w:lang w:bidi="ar-DZ"/>
                  </w:rPr>
                  <m:t>)</m:t>
                </m:r>
              </m:oMath>
            </m:oMathPara>
          </w:p>
        </w:tc>
      </w:tr>
      <w:tr w:rsidR="004B7C45" w:rsidTr="004B7C45">
        <w:trPr>
          <w:trHeight w:val="568"/>
          <w:jc w:val="center"/>
        </w:trPr>
        <w:tc>
          <w:tcPr>
            <w:tcW w:w="981" w:type="dxa"/>
            <w:vMerge/>
            <w:vAlign w:val="center"/>
          </w:tcPr>
          <w:p w:rsidR="002A686B" w:rsidRDefault="002A686B" w:rsidP="000A1DE0">
            <w:pPr>
              <w:bidi/>
              <w:jc w:val="center"/>
              <w:rPr>
                <w:rFonts w:ascii="Simplified Arabic" w:hAnsi="Simplified Arabic" w:cs="Simplified Arabic"/>
                <w:sz w:val="24"/>
                <w:szCs w:val="24"/>
                <w:rtl/>
                <w:lang w:val="en-US"/>
              </w:rPr>
            </w:pPr>
          </w:p>
        </w:tc>
        <w:tc>
          <w:tcPr>
            <w:tcW w:w="1625" w:type="dxa"/>
            <w:vAlign w:val="center"/>
          </w:tcPr>
          <w:p w:rsidR="002A686B" w:rsidRDefault="002A686B" w:rsidP="000A1DE0">
            <w:pPr>
              <w:bidi/>
              <w:jc w:val="center"/>
              <w:rPr>
                <w:rFonts w:ascii="Simplified Arabic" w:hAnsi="Simplified Arabic" w:cs="Simplified Arabic"/>
                <w:sz w:val="24"/>
                <w:szCs w:val="24"/>
                <w:lang w:val="en-US" w:bidi="ar-DZ"/>
              </w:rPr>
            </w:pPr>
            <w:r w:rsidRPr="00A93E95">
              <w:rPr>
                <w:rFonts w:ascii="Simplified Arabic" w:hAnsi="Simplified Arabic" w:cs="Simplified Arabic" w:hint="cs"/>
                <w:sz w:val="24"/>
                <w:szCs w:val="24"/>
                <w:rtl/>
                <w:lang w:val="en-US" w:bidi="ar-DZ"/>
              </w:rPr>
              <w:t>كثافة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التقاطع</w:t>
            </w:r>
          </w:p>
          <w:p w:rsidR="007E1F40" w:rsidRPr="007E1F40" w:rsidRDefault="007E1F40" w:rsidP="007E1F40">
            <w:pPr>
              <w:pStyle w:val="Default"/>
              <w:bidi/>
              <w:jc w:val="center"/>
              <w:rPr>
                <w:sz w:val="20"/>
                <w:szCs w:val="20"/>
                <w:rtl/>
              </w:rPr>
            </w:pPr>
            <w:r>
              <w:rPr>
                <w:sz w:val="20"/>
                <w:szCs w:val="20"/>
              </w:rPr>
              <w:t xml:space="preserve">Intersection </w:t>
            </w:r>
            <w:r w:rsidRPr="007E1F40">
              <w:rPr>
                <w:sz w:val="20"/>
                <w:szCs w:val="20"/>
                <w:lang w:val="en-US"/>
              </w:rPr>
              <w:t>density</w:t>
            </w:r>
            <w:r>
              <w:rPr>
                <w:sz w:val="20"/>
                <w:szCs w:val="20"/>
              </w:rPr>
              <w:t xml:space="preserve"> </w:t>
            </w:r>
          </w:p>
        </w:tc>
        <w:tc>
          <w:tcPr>
            <w:tcW w:w="4505" w:type="dxa"/>
            <w:vAlign w:val="center"/>
          </w:tcPr>
          <w:p w:rsidR="002A686B" w:rsidRPr="0028074B" w:rsidRDefault="002A686B" w:rsidP="00F8756E">
            <w:pPr>
              <w:bidi/>
              <w:rPr>
                <w:rFonts w:ascii="Simplified Arabic" w:hAnsi="Simplified Arabic" w:cs="Simplified Arabic"/>
                <w:sz w:val="24"/>
                <w:szCs w:val="24"/>
                <w:rtl/>
                <w:lang w:val="en-US"/>
              </w:rPr>
            </w:pPr>
            <w:r w:rsidRPr="0028074B">
              <w:rPr>
                <w:rFonts w:ascii="Simplified Arabic" w:hAnsi="Simplified Arabic" w:cs="Simplified Arabic" w:hint="cs"/>
                <w:sz w:val="24"/>
                <w:szCs w:val="24"/>
                <w:rtl/>
                <w:lang w:val="en-US"/>
              </w:rPr>
              <w:t>عدد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تقاطعات</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الشوارع</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مع</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أو</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بدون</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طرق</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مسدودة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حسب</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وحدة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المساحة،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استنادًا</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إلى</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فكرة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أن</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الشبكات</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المتصلة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بشكل</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كبير</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لها</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تقاطعات</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متكررة</w:t>
            </w:r>
          </w:p>
        </w:tc>
        <w:tc>
          <w:tcPr>
            <w:tcW w:w="2009" w:type="dxa"/>
            <w:vAlign w:val="center"/>
          </w:tcPr>
          <w:p w:rsidR="002A686B" w:rsidRPr="002261CC" w:rsidRDefault="00B62F86" w:rsidP="000A1DE0">
            <w:pPr>
              <w:tabs>
                <w:tab w:val="right" w:pos="-1"/>
              </w:tabs>
              <w:bidi/>
              <w:ind w:left="-1" w:firstLine="283"/>
              <w:jc w:val="center"/>
              <w:rPr>
                <w:rFonts w:ascii="Simplified Arabic" w:eastAsiaTheme="minorEastAsia" w:hAnsi="Simplified Arabic" w:cs="Simplified Arabic"/>
                <w:sz w:val="24"/>
                <w:szCs w:val="24"/>
                <w:rtl/>
                <w:lang w:bidi="ar-DZ"/>
              </w:rPr>
            </w:pPr>
            <m:oMathPara>
              <m:oMathParaPr>
                <m:jc m:val="center"/>
              </m:oMathParaPr>
              <m:oMath>
                <m:sSub>
                  <m:sSubPr>
                    <m:ctrlPr>
                      <w:rPr>
                        <w:rFonts w:ascii="Cambria Math" w:hAnsi="Cambria Math" w:cs="Cambria Math"/>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v</m:t>
                    </m:r>
                  </m:sub>
                </m:sSub>
                <m:r>
                  <m:rPr>
                    <m:sty m:val="p"/>
                  </m:rPr>
                  <w:rPr>
                    <w:rFonts w:ascii="Cambria Math" w:hAnsi="Cambria Math" w:cstheme="majorBidi"/>
                    <w:sz w:val="24"/>
                    <w:szCs w:val="24"/>
                    <w:lang w:val="en-US" w:bidi="ar-DZ"/>
                  </w:rPr>
                  <m:t>=</m:t>
                </m:r>
                <m:f>
                  <m:fPr>
                    <m:ctrlPr>
                      <w:rPr>
                        <w:rFonts w:ascii="Cambria Math" w:hAnsi="Cambria Math" w:cstheme="majorBidi"/>
                        <w:iCs/>
                        <w:sz w:val="24"/>
                        <w:szCs w:val="24"/>
                        <w:lang w:bidi="ar-DZ"/>
                      </w:rPr>
                    </m:ctrlPr>
                  </m:fPr>
                  <m:num>
                    <m:r>
                      <m:rPr>
                        <m:sty m:val="p"/>
                      </m:rPr>
                      <w:rPr>
                        <w:rFonts w:ascii="Cambria Math" w:hAnsi="Cambria Math" w:cs="Cambria Math"/>
                        <w:sz w:val="24"/>
                        <w:szCs w:val="24"/>
                      </w:rPr>
                      <m:t>v</m:t>
                    </m:r>
                  </m:num>
                  <m:den>
                    <m:sSub>
                      <m:sSubPr>
                        <m:ctrlPr>
                          <w:rPr>
                            <w:rFonts w:ascii="Cambria Math" w:hAnsi="Cambria Math" w:cs="Cambria Math"/>
                            <w:sz w:val="24"/>
                            <w:szCs w:val="24"/>
                          </w:rPr>
                        </m:ctrlPr>
                      </m:sSubPr>
                      <m:e>
                        <m:r>
                          <m:rPr>
                            <m:sty m:val="p"/>
                          </m:rPr>
                          <w:rPr>
                            <w:rFonts w:ascii="Cambria Math" w:hAnsi="Cambria Math" w:cs="Cambria Math"/>
                            <w:sz w:val="24"/>
                            <w:szCs w:val="24"/>
                          </w:rPr>
                          <m:t>A</m:t>
                        </m:r>
                      </m:e>
                      <m:sub>
                        <m:r>
                          <m:rPr>
                            <m:sty m:val="p"/>
                          </m:rPr>
                          <w:rPr>
                            <w:rFonts w:ascii="Cambria Math" w:hAnsi="Cambria Math" w:cs="Cambria Math"/>
                            <w:sz w:val="24"/>
                            <w:szCs w:val="24"/>
                            <w:vertAlign w:val="subscript"/>
                          </w:rPr>
                          <m:t>tot</m:t>
                        </m:r>
                      </m:sub>
                    </m:sSub>
                  </m:den>
                </m:f>
              </m:oMath>
            </m:oMathPara>
          </w:p>
        </w:tc>
      </w:tr>
      <w:tr w:rsidR="004B7C45" w:rsidTr="004B7C45">
        <w:trPr>
          <w:trHeight w:val="571"/>
          <w:jc w:val="center"/>
        </w:trPr>
        <w:tc>
          <w:tcPr>
            <w:tcW w:w="981" w:type="dxa"/>
            <w:vMerge w:val="restart"/>
            <w:vAlign w:val="center"/>
          </w:tcPr>
          <w:p w:rsidR="002A686B" w:rsidRDefault="002A686B" w:rsidP="000A1DE0">
            <w:pPr>
              <w:bidi/>
              <w:jc w:val="center"/>
              <w:rPr>
                <w:rFonts w:ascii="Simplified Arabic" w:hAnsi="Simplified Arabic" w:cs="Simplified Arabic"/>
                <w:sz w:val="24"/>
                <w:szCs w:val="24"/>
                <w:rtl/>
                <w:lang w:val="en-US"/>
              </w:rPr>
            </w:pPr>
            <w:r>
              <w:rPr>
                <w:rFonts w:ascii="Simplified Arabic" w:hAnsi="Simplified Arabic" w:cs="Simplified Arabic" w:hint="cs"/>
                <w:sz w:val="24"/>
                <w:szCs w:val="24"/>
                <w:rtl/>
                <w:lang w:val="en-US"/>
              </w:rPr>
              <w:t>طوب</w:t>
            </w:r>
            <w:r>
              <w:rPr>
                <w:rFonts w:ascii="Simplified Arabic" w:hAnsi="Simplified Arabic" w:cs="Simplified Arabic" w:hint="cs"/>
                <w:sz w:val="24"/>
                <w:szCs w:val="24"/>
                <w:rtl/>
                <w:lang w:val="en-US" w:bidi="ar-DZ"/>
              </w:rPr>
              <w:t>و</w:t>
            </w:r>
            <w:r>
              <w:rPr>
                <w:rFonts w:ascii="Simplified Arabic" w:hAnsi="Simplified Arabic" w:cs="Simplified Arabic" w:hint="cs"/>
                <w:sz w:val="24"/>
                <w:szCs w:val="24"/>
                <w:rtl/>
                <w:lang w:val="en-US"/>
              </w:rPr>
              <w:t>لوجي</w:t>
            </w:r>
          </w:p>
        </w:tc>
        <w:tc>
          <w:tcPr>
            <w:tcW w:w="1625" w:type="dxa"/>
            <w:vAlign w:val="center"/>
          </w:tcPr>
          <w:p w:rsidR="007E1F40" w:rsidRDefault="002A686B" w:rsidP="000A1DE0">
            <w:pPr>
              <w:bidi/>
              <w:jc w:val="center"/>
              <w:rPr>
                <w:rFonts w:ascii="Simplified Arabic" w:hAnsi="Simplified Arabic" w:cs="Simplified Arabic"/>
                <w:sz w:val="24"/>
                <w:szCs w:val="24"/>
                <w:rtl/>
                <w:lang w:val="en-US"/>
              </w:rPr>
            </w:pPr>
            <w:r w:rsidRPr="00A93E95">
              <w:rPr>
                <w:rFonts w:ascii="Simplified Arabic" w:hAnsi="Simplified Arabic" w:cs="Simplified Arabic" w:hint="cs"/>
                <w:sz w:val="24"/>
                <w:szCs w:val="24"/>
                <w:rtl/>
                <w:lang w:val="en-US" w:bidi="ar-DZ"/>
              </w:rPr>
              <w:t>نسبة</w:t>
            </w:r>
            <w:r w:rsidRPr="00A93E95">
              <w:rPr>
                <w:rFonts w:ascii="Simplified Arabic" w:hAnsi="Simplified Arabic" w:cs="Simplified Arabic"/>
                <w:sz w:val="24"/>
                <w:szCs w:val="24"/>
                <w:rtl/>
                <w:lang w:val="en-US" w:bidi="ar-DZ"/>
              </w:rPr>
              <w:t xml:space="preserve"> </w:t>
            </w:r>
            <w:r w:rsidR="00AA7E5E">
              <w:rPr>
                <w:rFonts w:ascii="Simplified Arabic" w:hAnsi="Simplified Arabic" w:cs="Simplified Arabic" w:hint="cs"/>
                <w:sz w:val="24"/>
                <w:szCs w:val="24"/>
                <w:rtl/>
                <w:lang w:val="en-US" w:bidi="ar-DZ"/>
              </w:rPr>
              <w:t>ربط</w:t>
            </w:r>
            <w:r>
              <w:rPr>
                <w:rFonts w:ascii="Simplified Arabic" w:hAnsi="Simplified Arabic" w:cs="Simplified Arabic" w:hint="cs"/>
                <w:sz w:val="24"/>
                <w:szCs w:val="24"/>
                <w:rtl/>
                <w:lang w:val="en-US" w:bidi="ar-DZ"/>
              </w:rPr>
              <w:t>-</w:t>
            </w:r>
            <w:r w:rsidRPr="00A93E95">
              <w:rPr>
                <w:rFonts w:ascii="Simplified Arabic" w:hAnsi="Simplified Arabic" w:cs="Simplified Arabic" w:hint="cs"/>
                <w:sz w:val="24"/>
                <w:szCs w:val="24"/>
                <w:rtl/>
                <w:lang w:val="en-US" w:bidi="ar-DZ"/>
              </w:rPr>
              <w:t>العقد</w:t>
            </w:r>
          </w:p>
          <w:p w:rsidR="002A686B" w:rsidRPr="007E1F40" w:rsidRDefault="007E1F40" w:rsidP="007E1F40">
            <w:pPr>
              <w:pStyle w:val="Default"/>
              <w:bidi/>
              <w:jc w:val="center"/>
              <w:rPr>
                <w:sz w:val="20"/>
                <w:szCs w:val="20"/>
                <w:rtl/>
              </w:rPr>
            </w:pPr>
            <w:r>
              <w:rPr>
                <w:sz w:val="20"/>
                <w:szCs w:val="20"/>
              </w:rPr>
              <w:t>Link-</w:t>
            </w:r>
            <w:r w:rsidRPr="007E1F40">
              <w:rPr>
                <w:sz w:val="20"/>
                <w:szCs w:val="20"/>
                <w:lang w:val="en-US"/>
              </w:rPr>
              <w:t>Node</w:t>
            </w:r>
            <w:r>
              <w:rPr>
                <w:sz w:val="20"/>
                <w:szCs w:val="20"/>
              </w:rPr>
              <w:t xml:space="preserve"> Ratio </w:t>
            </w:r>
          </w:p>
        </w:tc>
        <w:tc>
          <w:tcPr>
            <w:tcW w:w="4505" w:type="dxa"/>
            <w:vAlign w:val="center"/>
          </w:tcPr>
          <w:p w:rsidR="002A686B" w:rsidRPr="0028074B" w:rsidRDefault="002A686B" w:rsidP="00F8756E">
            <w:pPr>
              <w:bidi/>
              <w:rPr>
                <w:rFonts w:ascii="Simplified Arabic" w:hAnsi="Simplified Arabic" w:cs="Simplified Arabic"/>
                <w:sz w:val="24"/>
                <w:szCs w:val="24"/>
                <w:rtl/>
                <w:lang w:val="en-US"/>
              </w:rPr>
            </w:pPr>
            <w:r w:rsidRPr="0028074B">
              <w:rPr>
                <w:rFonts w:ascii="Simplified Arabic" w:hAnsi="Simplified Arabic" w:cs="Simplified Arabic" w:hint="cs"/>
                <w:sz w:val="24"/>
                <w:szCs w:val="24"/>
                <w:rtl/>
                <w:lang w:val="en-US"/>
              </w:rPr>
              <w:t>نسبة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عدد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مقاطع الشوارع</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إلى</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عدد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العقد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في</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منطقة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ما،</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استنادًا</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إلى</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فكرة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أنه</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في</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الشبكات</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عالية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الاتصال</w:t>
            </w:r>
            <w:r w:rsidR="00C23656">
              <w:rPr>
                <w:rFonts w:ascii="Simplified Arabic" w:hAnsi="Simplified Arabic" w:cs="Simplified Arabic" w:hint="cs"/>
                <w:sz w:val="24"/>
                <w:szCs w:val="24"/>
                <w:rtl/>
                <w:lang w:val="en-US"/>
              </w:rPr>
              <w:t>ية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تنبثق</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العديد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من</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الشوارع</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من</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كل</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تقاطع.</w:t>
            </w:r>
          </w:p>
        </w:tc>
        <w:tc>
          <w:tcPr>
            <w:tcW w:w="2009" w:type="dxa"/>
            <w:vAlign w:val="center"/>
          </w:tcPr>
          <w:p w:rsidR="002A686B" w:rsidRPr="002261CC" w:rsidRDefault="002A686B" w:rsidP="000A1DE0">
            <w:pPr>
              <w:tabs>
                <w:tab w:val="right" w:pos="-1"/>
              </w:tabs>
              <w:bidi/>
              <w:ind w:left="-1" w:firstLine="283"/>
              <w:jc w:val="center"/>
              <w:rPr>
                <w:rFonts w:ascii="Simplified Arabic" w:eastAsiaTheme="minorEastAsia" w:hAnsi="Simplified Arabic" w:cs="Simplified Arabic"/>
                <w:sz w:val="24"/>
                <w:szCs w:val="24"/>
                <w:rtl/>
                <w:lang w:bidi="ar-DZ"/>
              </w:rPr>
            </w:pPr>
            <m:oMathPara>
              <m:oMath>
                <m:r>
                  <m:rPr>
                    <m:sty m:val="p"/>
                  </m:rPr>
                  <w:rPr>
                    <w:rFonts w:ascii="Cambria Math" w:hAnsi="Cambria Math" w:cs="Cambria Math"/>
                    <w:sz w:val="24"/>
                    <w:szCs w:val="24"/>
                  </w:rPr>
                  <m:t>LNR</m:t>
                </m:r>
                <m:r>
                  <m:rPr>
                    <m:sty m:val="p"/>
                  </m:rPr>
                  <w:rPr>
                    <w:rFonts w:ascii="Cambria Math" w:hAnsi="Cambria Math" w:cstheme="majorBidi"/>
                    <w:sz w:val="24"/>
                    <w:szCs w:val="24"/>
                    <w:lang w:val="en-US" w:bidi="ar-DZ"/>
                  </w:rPr>
                  <m:t>=</m:t>
                </m:r>
                <m:f>
                  <m:fPr>
                    <m:ctrlPr>
                      <w:rPr>
                        <w:rFonts w:ascii="Cambria Math" w:hAnsi="Cambria Math" w:cstheme="majorBidi"/>
                        <w:iCs/>
                        <w:sz w:val="24"/>
                        <w:szCs w:val="24"/>
                        <w:lang w:bidi="ar-DZ"/>
                      </w:rPr>
                    </m:ctrlPr>
                  </m:fPr>
                  <m:num>
                    <m:r>
                      <m:rPr>
                        <m:sty m:val="p"/>
                      </m:rPr>
                      <w:rPr>
                        <w:rFonts w:ascii="Cambria Math" w:hAnsi="Cambria Math" w:cs="Cambria Math"/>
                        <w:sz w:val="24"/>
                        <w:szCs w:val="24"/>
                      </w:rPr>
                      <m:t>e</m:t>
                    </m:r>
                  </m:num>
                  <m:den>
                    <m:r>
                      <m:rPr>
                        <m:sty m:val="p"/>
                      </m:rPr>
                      <w:rPr>
                        <w:rFonts w:ascii="Cambria Math" w:hAnsi="Cambria Math" w:cs="Cambria Math"/>
                        <w:sz w:val="24"/>
                        <w:szCs w:val="24"/>
                      </w:rPr>
                      <m:t>v</m:t>
                    </m:r>
                  </m:den>
                </m:f>
              </m:oMath>
            </m:oMathPara>
          </w:p>
        </w:tc>
      </w:tr>
      <w:tr w:rsidR="004B7C45" w:rsidTr="004B7C45">
        <w:trPr>
          <w:trHeight w:val="691"/>
          <w:jc w:val="center"/>
        </w:trPr>
        <w:tc>
          <w:tcPr>
            <w:tcW w:w="981" w:type="dxa"/>
            <w:vMerge/>
            <w:vAlign w:val="center"/>
          </w:tcPr>
          <w:p w:rsidR="002A686B" w:rsidRDefault="002A686B" w:rsidP="000A1DE0">
            <w:pPr>
              <w:bidi/>
              <w:jc w:val="center"/>
              <w:rPr>
                <w:rFonts w:ascii="Simplified Arabic" w:hAnsi="Simplified Arabic" w:cs="Simplified Arabic"/>
                <w:sz w:val="24"/>
                <w:szCs w:val="24"/>
                <w:rtl/>
                <w:lang w:val="en-US"/>
              </w:rPr>
            </w:pPr>
          </w:p>
        </w:tc>
        <w:tc>
          <w:tcPr>
            <w:tcW w:w="1625" w:type="dxa"/>
            <w:vAlign w:val="center"/>
          </w:tcPr>
          <w:p w:rsidR="007E1F40" w:rsidRDefault="002A686B" w:rsidP="000A1DE0">
            <w:pPr>
              <w:bidi/>
              <w:jc w:val="center"/>
              <w:rPr>
                <w:rFonts w:ascii="Simplified Arabic" w:hAnsi="Simplified Arabic" w:cs="Simplified Arabic"/>
                <w:sz w:val="24"/>
                <w:szCs w:val="24"/>
                <w:rtl/>
                <w:lang w:val="en-US"/>
              </w:rPr>
            </w:pPr>
            <w:r w:rsidRPr="00A93E95">
              <w:rPr>
                <w:rFonts w:ascii="Simplified Arabic" w:hAnsi="Simplified Arabic" w:cs="Simplified Arabic" w:hint="cs"/>
                <w:sz w:val="24"/>
                <w:szCs w:val="24"/>
                <w:rtl/>
                <w:lang w:val="en-US" w:bidi="ar-DZ"/>
              </w:rPr>
              <w:t>نسبة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العقد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الم</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ص</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لة</w:t>
            </w:r>
          </w:p>
          <w:p w:rsidR="002A686B" w:rsidRPr="007E1F40" w:rsidRDefault="007E1F40" w:rsidP="007E1F40">
            <w:pPr>
              <w:pStyle w:val="Default"/>
              <w:bidi/>
              <w:jc w:val="center"/>
              <w:rPr>
                <w:sz w:val="20"/>
                <w:szCs w:val="20"/>
                <w:rtl/>
              </w:rPr>
            </w:pPr>
            <w:r w:rsidRPr="004B7C45">
              <w:rPr>
                <w:sz w:val="20"/>
                <w:szCs w:val="20"/>
              </w:rPr>
              <w:t>Connected Node Ratio</w:t>
            </w:r>
            <w:r w:rsidRPr="004B7C45">
              <w:rPr>
                <w:sz w:val="22"/>
                <w:szCs w:val="22"/>
              </w:rPr>
              <w:t xml:space="preserve"> </w:t>
            </w:r>
          </w:p>
        </w:tc>
        <w:tc>
          <w:tcPr>
            <w:tcW w:w="4505" w:type="dxa"/>
            <w:vAlign w:val="center"/>
          </w:tcPr>
          <w:p w:rsidR="002A686B" w:rsidRPr="0028074B" w:rsidRDefault="002A686B" w:rsidP="00F8756E">
            <w:pPr>
              <w:bidi/>
              <w:rPr>
                <w:rFonts w:ascii="Simplified Arabic" w:hAnsi="Simplified Arabic" w:cs="Simplified Arabic"/>
                <w:sz w:val="24"/>
                <w:szCs w:val="24"/>
                <w:rtl/>
                <w:lang w:val="en-US"/>
              </w:rPr>
            </w:pPr>
            <w:r w:rsidRPr="0028074B">
              <w:rPr>
                <w:rFonts w:ascii="Simplified Arabic" w:hAnsi="Simplified Arabic" w:cs="Simplified Arabic" w:hint="cs"/>
                <w:sz w:val="24"/>
                <w:szCs w:val="24"/>
                <w:rtl/>
                <w:lang w:val="en-US"/>
              </w:rPr>
              <w:t>نسبة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عدد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العقد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إلى</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عدد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العقد</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بما فيها عقد الطرق</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المسدودة،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بناءً</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على</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فكرة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أنه</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في</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الشبكات</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عالية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الاتصال</w:t>
            </w:r>
            <w:r w:rsidR="00C23656">
              <w:rPr>
                <w:rFonts w:ascii="Simplified Arabic" w:hAnsi="Simplified Arabic" w:cs="Simplified Arabic" w:hint="cs"/>
                <w:sz w:val="24"/>
                <w:szCs w:val="24"/>
                <w:rtl/>
                <w:lang w:val="en-US"/>
              </w:rPr>
              <w:t>ية</w:t>
            </w:r>
            <w:r w:rsidRPr="0028074B">
              <w:rPr>
                <w:rFonts w:ascii="Simplified Arabic" w:hAnsi="Simplified Arabic" w:cs="Simplified Arabic"/>
                <w:sz w:val="24"/>
                <w:szCs w:val="24"/>
                <w:rtl/>
                <w:lang w:val="en-US"/>
              </w:rPr>
              <w:t xml:space="preserve"> (</w:t>
            </w:r>
            <w:r w:rsidR="00F8756E" w:rsidRPr="0028074B">
              <w:rPr>
                <w:rFonts w:ascii="Simplified Arabic" w:hAnsi="Simplified Arabic" w:cs="Simplified Arabic" w:hint="cs"/>
                <w:sz w:val="24"/>
                <w:szCs w:val="24"/>
                <w:rtl/>
                <w:lang w:val="en-US"/>
              </w:rPr>
              <w:t>ال</w:t>
            </w:r>
            <w:r w:rsidRPr="0028074B">
              <w:rPr>
                <w:rFonts w:ascii="Simplified Arabic" w:hAnsi="Simplified Arabic" w:cs="Simplified Arabic" w:hint="cs"/>
                <w:sz w:val="24"/>
                <w:szCs w:val="24"/>
                <w:rtl/>
                <w:lang w:val="en-US"/>
              </w:rPr>
              <w:t>قريبة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من</w:t>
            </w:r>
            <w:r w:rsidRPr="0028074B">
              <w:rPr>
                <w:rFonts w:ascii="Simplified Arabic" w:hAnsi="Simplified Arabic" w:cs="Simplified Arabic"/>
                <w:sz w:val="24"/>
                <w:szCs w:val="24"/>
                <w:rtl/>
                <w:lang w:val="en-US"/>
              </w:rPr>
              <w:t xml:space="preserve"> 1) </w:t>
            </w:r>
            <w:r w:rsidRPr="0028074B">
              <w:rPr>
                <w:rFonts w:ascii="Simplified Arabic" w:hAnsi="Simplified Arabic" w:cs="Simplified Arabic" w:hint="cs"/>
                <w:sz w:val="24"/>
                <w:szCs w:val="24"/>
                <w:rtl/>
                <w:lang w:val="en-US"/>
              </w:rPr>
              <w:t>يتم</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تقليل</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حصة</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الطرق</w:t>
            </w:r>
            <w:r w:rsidRPr="0028074B">
              <w:rPr>
                <w:rFonts w:ascii="Simplified Arabic" w:hAnsi="Simplified Arabic" w:cs="Simplified Arabic"/>
                <w:sz w:val="24"/>
                <w:szCs w:val="24"/>
                <w:rtl/>
                <w:lang w:val="en-US"/>
              </w:rPr>
              <w:t xml:space="preserve"> </w:t>
            </w:r>
            <w:r w:rsidRPr="0028074B">
              <w:rPr>
                <w:rFonts w:ascii="Simplified Arabic" w:hAnsi="Simplified Arabic" w:cs="Simplified Arabic" w:hint="cs"/>
                <w:sz w:val="24"/>
                <w:szCs w:val="24"/>
                <w:rtl/>
                <w:lang w:val="en-US"/>
              </w:rPr>
              <w:t>المسدودة</w:t>
            </w:r>
            <w:r w:rsidRPr="0028074B">
              <w:rPr>
                <w:rFonts w:ascii="Simplified Arabic" w:hAnsi="Simplified Arabic" w:cs="Simplified Arabic"/>
                <w:sz w:val="24"/>
                <w:szCs w:val="24"/>
                <w:rtl/>
                <w:lang w:val="en-US"/>
              </w:rPr>
              <w:t>.</w:t>
            </w:r>
          </w:p>
        </w:tc>
        <w:tc>
          <w:tcPr>
            <w:tcW w:w="2009" w:type="dxa"/>
            <w:vAlign w:val="center"/>
          </w:tcPr>
          <w:p w:rsidR="002A686B" w:rsidRPr="002261CC" w:rsidRDefault="002A686B" w:rsidP="000A1DE0">
            <w:pPr>
              <w:tabs>
                <w:tab w:val="right" w:pos="-1"/>
              </w:tabs>
              <w:bidi/>
              <w:ind w:left="-1" w:firstLine="283"/>
              <w:jc w:val="center"/>
              <w:rPr>
                <w:rFonts w:ascii="Simplified Arabic" w:eastAsiaTheme="minorEastAsia" w:hAnsi="Simplified Arabic" w:cs="Simplified Arabic"/>
                <w:sz w:val="24"/>
                <w:szCs w:val="24"/>
                <w:rtl/>
                <w:lang w:bidi="ar-DZ"/>
              </w:rPr>
            </w:pPr>
            <m:oMathPara>
              <m:oMath>
                <m:r>
                  <m:rPr>
                    <m:sty m:val="p"/>
                  </m:rPr>
                  <w:rPr>
                    <w:rFonts w:ascii="Cambria Math" w:hAnsi="Cambria Math" w:cs="Cambria Math"/>
                    <w:sz w:val="24"/>
                    <w:szCs w:val="24"/>
                  </w:rPr>
                  <m:t>CNR</m:t>
                </m:r>
                <m:r>
                  <m:rPr>
                    <m:sty m:val="p"/>
                  </m:rPr>
                  <w:rPr>
                    <w:rFonts w:ascii="Cambria Math" w:hAnsi="Cambria Math" w:cstheme="majorBidi"/>
                    <w:sz w:val="24"/>
                    <w:szCs w:val="24"/>
                    <w:lang w:val="en-US" w:bidi="ar-DZ"/>
                  </w:rPr>
                  <m:t>=</m:t>
                </m:r>
                <m:f>
                  <m:fPr>
                    <m:ctrlPr>
                      <w:rPr>
                        <w:rFonts w:ascii="Cambria Math" w:hAnsi="Cambria Math" w:cstheme="majorBidi"/>
                        <w:iCs/>
                        <w:sz w:val="24"/>
                        <w:szCs w:val="24"/>
                        <w:lang w:bidi="ar-DZ"/>
                      </w:rPr>
                    </m:ctrlPr>
                  </m:fPr>
                  <m:num>
                    <m:r>
                      <m:rPr>
                        <m:sty m:val="p"/>
                      </m:rPr>
                      <w:rPr>
                        <w:rFonts w:ascii="Cambria Math" w:hAnsi="Cambria Math" w:cs="Cambria Math"/>
                        <w:sz w:val="24"/>
                        <w:szCs w:val="24"/>
                      </w:rPr>
                      <m:t>v</m:t>
                    </m:r>
                  </m:num>
                  <m:den>
                    <m:r>
                      <m:rPr>
                        <m:sty m:val="p"/>
                      </m:rPr>
                      <w:rPr>
                        <w:rFonts w:ascii="Cambria Math" w:hAnsi="Cambria Math" w:cs="Cambria Math"/>
                        <w:sz w:val="24"/>
                        <w:szCs w:val="24"/>
                      </w:rPr>
                      <m:t>v+</m:t>
                    </m:r>
                    <m:sSub>
                      <m:sSubPr>
                        <m:ctrlPr>
                          <w:rPr>
                            <w:rFonts w:ascii="Cambria Math" w:hAnsi="Cambria Math" w:cs="Cambria Math"/>
                            <w:sz w:val="24"/>
                            <w:szCs w:val="24"/>
                          </w:rPr>
                        </m:ctrlPr>
                      </m:sSubPr>
                      <m:e>
                        <m:r>
                          <w:rPr>
                            <w:rFonts w:ascii="Cambria Math" w:hAnsi="Cambria Math" w:cs="Cambria Math"/>
                            <w:sz w:val="24"/>
                            <w:szCs w:val="24"/>
                          </w:rPr>
                          <m:t>v</m:t>
                        </m:r>
                      </m:e>
                      <m:sub>
                        <m:r>
                          <w:rPr>
                            <w:rFonts w:ascii="Cambria Math" w:hAnsi="Cambria Math" w:cs="Cambria Math"/>
                            <w:sz w:val="24"/>
                            <w:szCs w:val="24"/>
                          </w:rPr>
                          <m:t>d</m:t>
                        </m:r>
                      </m:sub>
                    </m:sSub>
                  </m:den>
                </m:f>
              </m:oMath>
            </m:oMathPara>
          </w:p>
        </w:tc>
      </w:tr>
      <w:tr w:rsidR="002A686B" w:rsidTr="004B7C45">
        <w:trPr>
          <w:jc w:val="center"/>
        </w:trPr>
        <w:tc>
          <w:tcPr>
            <w:tcW w:w="9120" w:type="dxa"/>
            <w:gridSpan w:val="4"/>
            <w:vAlign w:val="center"/>
          </w:tcPr>
          <w:p w:rsidR="002A686B" w:rsidRPr="005F1A2F" w:rsidRDefault="002A686B" w:rsidP="000A1DE0">
            <w:pPr>
              <w:pStyle w:val="Default"/>
              <w:bidi/>
              <w:rPr>
                <w:lang w:val="en-US"/>
              </w:rPr>
            </w:pPr>
            <w:r w:rsidRPr="005F1A2F">
              <w:rPr>
                <w:lang w:val="en-US"/>
              </w:rPr>
              <w:t>V</w:t>
            </w:r>
            <w:r w:rsidRPr="005F1A2F">
              <w:rPr>
                <w:rtl/>
                <w:lang w:val="en-US"/>
              </w:rPr>
              <w:t xml:space="preserve"> = </w:t>
            </w:r>
            <w:r w:rsidRPr="005F1A2F">
              <w:rPr>
                <w:rFonts w:hint="cs"/>
                <w:rtl/>
                <w:lang w:val="en-US"/>
              </w:rPr>
              <w:t>إجمالي</w:t>
            </w:r>
            <w:r w:rsidRPr="005F1A2F">
              <w:rPr>
                <w:rtl/>
                <w:lang w:val="en-US"/>
              </w:rPr>
              <w:t xml:space="preserve"> </w:t>
            </w:r>
            <w:r w:rsidRPr="005F1A2F">
              <w:rPr>
                <w:rFonts w:hint="cs"/>
                <w:rtl/>
                <w:lang w:val="en-US"/>
              </w:rPr>
              <w:t>العقد</w:t>
            </w:r>
            <w:r w:rsidRPr="005F1A2F">
              <w:rPr>
                <w:rtl/>
                <w:lang w:val="en-US"/>
              </w:rPr>
              <w:t xml:space="preserve"> </w:t>
            </w:r>
            <w:r w:rsidRPr="005F1A2F">
              <w:rPr>
                <w:rFonts w:hint="cs"/>
                <w:rtl/>
                <w:lang w:val="en-US"/>
              </w:rPr>
              <w:t>في</w:t>
            </w:r>
            <w:r w:rsidRPr="005F1A2F">
              <w:rPr>
                <w:rtl/>
                <w:lang w:val="en-US"/>
              </w:rPr>
              <w:t xml:space="preserve"> </w:t>
            </w:r>
            <w:r w:rsidRPr="005F1A2F">
              <w:rPr>
                <w:rFonts w:hint="cs"/>
                <w:rtl/>
                <w:lang w:val="en-US"/>
              </w:rPr>
              <w:t xml:space="preserve">الشبكة؛ </w:t>
            </w:r>
            <w:r w:rsidRPr="005F1A2F">
              <w:rPr>
                <w:lang w:val="en-US"/>
              </w:rPr>
              <w:t>v</w:t>
            </w:r>
            <w:r w:rsidRPr="005F1A2F">
              <w:rPr>
                <w:rtl/>
                <w:lang w:val="en-US"/>
              </w:rPr>
              <w:t xml:space="preserve"> = </w:t>
            </w:r>
            <w:r w:rsidRPr="005F1A2F">
              <w:rPr>
                <w:rFonts w:hint="cs"/>
                <w:rtl/>
                <w:lang w:val="en-US"/>
              </w:rPr>
              <w:t xml:space="preserve">العقدة؛ </w:t>
            </w:r>
            <w:r w:rsidRPr="005F1A2F">
              <w:rPr>
                <w:lang w:val="en-US"/>
              </w:rPr>
              <w:t>v</w:t>
            </w:r>
            <w:r w:rsidRPr="005F1A2F">
              <w:rPr>
                <w:vertAlign w:val="subscript"/>
                <w:lang w:val="en-US"/>
              </w:rPr>
              <w:t>d</w:t>
            </w:r>
            <w:r w:rsidRPr="005F1A2F">
              <w:rPr>
                <w:rtl/>
                <w:lang w:val="en-US"/>
              </w:rPr>
              <w:t xml:space="preserve"> = </w:t>
            </w:r>
            <w:r w:rsidRPr="005F1A2F">
              <w:rPr>
                <w:rFonts w:hint="cs"/>
                <w:rtl/>
                <w:lang w:val="en-US"/>
              </w:rPr>
              <w:t>العقدة</w:t>
            </w:r>
            <w:r w:rsidRPr="005F1A2F">
              <w:rPr>
                <w:rtl/>
                <w:lang w:val="en-US"/>
              </w:rPr>
              <w:t xml:space="preserve"> </w:t>
            </w:r>
            <w:r w:rsidRPr="005F1A2F">
              <w:rPr>
                <w:rFonts w:hint="cs"/>
                <w:rtl/>
                <w:lang w:val="en-US"/>
              </w:rPr>
              <w:t>المتدلية؛</w:t>
            </w:r>
            <w:r w:rsidRPr="005F1A2F">
              <w:rPr>
                <w:rtl/>
                <w:lang w:val="en-US"/>
              </w:rPr>
              <w:t xml:space="preserve">  </w:t>
            </w:r>
            <w:r w:rsidRPr="005F1A2F">
              <w:rPr>
                <w:lang w:val="en-US"/>
              </w:rPr>
              <w:t>e</w:t>
            </w:r>
            <w:r w:rsidRPr="005F1A2F">
              <w:rPr>
                <w:rtl/>
                <w:lang w:val="en-US"/>
              </w:rPr>
              <w:t xml:space="preserve"> = </w:t>
            </w:r>
            <w:r w:rsidRPr="005F1A2F">
              <w:rPr>
                <w:rFonts w:hint="cs"/>
                <w:rtl/>
                <w:lang w:val="en-US"/>
              </w:rPr>
              <w:t>الحافة؛</w:t>
            </w:r>
            <w:r w:rsidRPr="005F1A2F">
              <w:rPr>
                <w:rtl/>
                <w:lang w:val="en-US"/>
              </w:rPr>
              <w:t xml:space="preserve">  </w:t>
            </w:r>
            <w:r w:rsidRPr="005F1A2F">
              <w:rPr>
                <w:lang w:val="en-US"/>
              </w:rPr>
              <w:t>l</w:t>
            </w:r>
            <w:r w:rsidRPr="005F1A2F">
              <w:rPr>
                <w:vertAlign w:val="subscript"/>
                <w:lang w:val="en-US"/>
              </w:rPr>
              <w:t>i</w:t>
            </w:r>
            <w:r w:rsidRPr="005F1A2F">
              <w:rPr>
                <w:rtl/>
                <w:lang w:val="en-US"/>
              </w:rPr>
              <w:t xml:space="preserve"> = </w:t>
            </w:r>
            <w:r w:rsidRPr="005F1A2F">
              <w:rPr>
                <w:rFonts w:hint="cs"/>
                <w:rtl/>
                <w:lang w:val="en-US"/>
              </w:rPr>
              <w:t>الطول</w:t>
            </w:r>
            <w:r w:rsidRPr="005F1A2F">
              <w:rPr>
                <w:rtl/>
                <w:lang w:val="en-US"/>
              </w:rPr>
              <w:t xml:space="preserve"> </w:t>
            </w:r>
            <w:r w:rsidRPr="005F1A2F">
              <w:rPr>
                <w:rFonts w:hint="cs"/>
                <w:rtl/>
                <w:lang w:val="en-US"/>
              </w:rPr>
              <w:t>المتري</w:t>
            </w:r>
            <w:r w:rsidRPr="005F1A2F">
              <w:rPr>
                <w:rtl/>
                <w:lang w:val="en-US"/>
              </w:rPr>
              <w:t xml:space="preserve"> </w:t>
            </w:r>
            <w:r w:rsidRPr="005F1A2F">
              <w:rPr>
                <w:rFonts w:hint="cs"/>
                <w:rtl/>
                <w:lang w:val="en-US"/>
              </w:rPr>
              <w:t>للحافة</w:t>
            </w:r>
            <w:r w:rsidRPr="005F1A2F">
              <w:rPr>
                <w:rtl/>
                <w:lang w:val="en-US"/>
              </w:rPr>
              <w:t xml:space="preserve"> </w:t>
            </w:r>
            <w:r w:rsidRPr="005F1A2F">
              <w:rPr>
                <w:lang w:val="en-US"/>
              </w:rPr>
              <w:t>i</w:t>
            </w:r>
            <w:r w:rsidRPr="005F1A2F">
              <w:rPr>
                <w:rFonts w:hint="cs"/>
                <w:rtl/>
                <w:lang w:val="en-US"/>
              </w:rPr>
              <w:t>؛</w:t>
            </w:r>
          </w:p>
          <w:p w:rsidR="002A686B" w:rsidRPr="00027DA8" w:rsidRDefault="002A686B" w:rsidP="000A1DE0">
            <w:pPr>
              <w:pStyle w:val="Default"/>
              <w:bidi/>
              <w:rPr>
                <w:rtl/>
                <w:lang w:val="en-US"/>
              </w:rPr>
            </w:pPr>
            <w:r>
              <w:t>A</w:t>
            </w:r>
            <w:r w:rsidRPr="005F1A2F">
              <w:rPr>
                <w:vertAlign w:val="subscript"/>
              </w:rPr>
              <w:t>tot</w:t>
            </w:r>
            <w:r>
              <w:t xml:space="preserve"> </w:t>
            </w:r>
            <w:r>
              <w:rPr>
                <w:lang w:val="en-US"/>
              </w:rPr>
              <w:t xml:space="preserve">  </w:t>
            </w:r>
            <w:r w:rsidRPr="005F1A2F">
              <w:rPr>
                <w:rtl/>
                <w:lang w:val="en-US"/>
              </w:rPr>
              <w:t xml:space="preserve"> = </w:t>
            </w:r>
            <w:r w:rsidRPr="005F1A2F">
              <w:rPr>
                <w:rFonts w:hint="cs"/>
                <w:rtl/>
                <w:lang w:val="en-US"/>
              </w:rPr>
              <w:t>المساحة</w:t>
            </w:r>
            <w:r w:rsidRPr="005F1A2F">
              <w:rPr>
                <w:rtl/>
                <w:lang w:val="en-US"/>
              </w:rPr>
              <w:t xml:space="preserve"> </w:t>
            </w:r>
            <w:r w:rsidRPr="005F1A2F">
              <w:rPr>
                <w:rFonts w:hint="cs"/>
                <w:rtl/>
                <w:lang w:val="en-US"/>
              </w:rPr>
              <w:t>الإجمالية</w:t>
            </w:r>
            <w:r w:rsidRPr="005F1A2F">
              <w:rPr>
                <w:rtl/>
                <w:lang w:val="en-US"/>
              </w:rPr>
              <w:t xml:space="preserve"> </w:t>
            </w:r>
            <w:r w:rsidRPr="005F1A2F">
              <w:rPr>
                <w:rFonts w:hint="cs"/>
                <w:rtl/>
                <w:lang w:val="en-US"/>
              </w:rPr>
              <w:t>لمنطقة</w:t>
            </w:r>
            <w:r w:rsidRPr="005F1A2F">
              <w:rPr>
                <w:rtl/>
                <w:lang w:val="en-US"/>
              </w:rPr>
              <w:t xml:space="preserve"> </w:t>
            </w:r>
            <w:r w:rsidRPr="005F1A2F">
              <w:rPr>
                <w:rFonts w:hint="cs"/>
                <w:rtl/>
                <w:lang w:val="en-US"/>
              </w:rPr>
              <w:t>الدراسة</w:t>
            </w:r>
            <w:r>
              <w:rPr>
                <w:rFonts w:hint="cs"/>
                <w:rtl/>
                <w:lang w:val="en-US"/>
              </w:rPr>
              <w:t>.</w:t>
            </w:r>
          </w:p>
        </w:tc>
      </w:tr>
    </w:tbl>
    <w:p w:rsidR="002A686B" w:rsidRPr="004A189C" w:rsidRDefault="002A686B" w:rsidP="001D0548">
      <w:pPr>
        <w:pStyle w:val="Paragraphedeliste"/>
        <w:numPr>
          <w:ilvl w:val="1"/>
          <w:numId w:val="44"/>
        </w:numPr>
        <w:tabs>
          <w:tab w:val="right" w:pos="567"/>
        </w:tabs>
        <w:bidi/>
        <w:spacing w:before="240" w:after="0"/>
        <w:ind w:left="0" w:firstLine="0"/>
        <w:jc w:val="both"/>
        <w:outlineLvl w:val="0"/>
        <w:rPr>
          <w:rFonts w:ascii="Simplified Arabic" w:hAnsi="Simplified Arabic" w:cs="Simplified Arabic"/>
          <w:b/>
          <w:bCs/>
          <w:sz w:val="24"/>
          <w:szCs w:val="24"/>
          <w:lang w:bidi="ar-DZ"/>
        </w:rPr>
      </w:pPr>
      <w:bookmarkStart w:id="809" w:name="_Toc171803788"/>
      <w:r w:rsidRPr="004A189C">
        <w:rPr>
          <w:rFonts w:ascii="Simplified Arabic" w:hAnsi="Simplified Arabic" w:cs="Simplified Arabic" w:hint="cs"/>
          <w:b/>
          <w:bCs/>
          <w:sz w:val="24"/>
          <w:szCs w:val="24"/>
          <w:rtl/>
          <w:lang w:bidi="ar-DZ"/>
        </w:rPr>
        <w:lastRenderedPageBreak/>
        <w:t>ال</w:t>
      </w:r>
      <w:r w:rsidRPr="004A189C">
        <w:rPr>
          <w:rFonts w:ascii="Simplified Arabic" w:hAnsi="Simplified Arabic" w:cs="Simplified Arabic"/>
          <w:b/>
          <w:bCs/>
          <w:sz w:val="24"/>
          <w:szCs w:val="24"/>
          <w:rtl/>
          <w:lang w:bidi="ar-DZ"/>
        </w:rPr>
        <w:t>تحليل</w:t>
      </w:r>
      <w:r w:rsidRPr="004A189C">
        <w:rPr>
          <w:rFonts w:ascii="Simplified Arabic" w:hAnsi="Simplified Arabic" w:cs="Simplified Arabic" w:hint="cs"/>
          <w:b/>
          <w:bCs/>
          <w:sz w:val="24"/>
          <w:szCs w:val="24"/>
          <w:rtl/>
          <w:lang w:bidi="ar-DZ"/>
        </w:rPr>
        <w:t xml:space="preserve"> </w:t>
      </w:r>
      <w:r w:rsidRPr="004A189C">
        <w:rPr>
          <w:rFonts w:ascii="Simplified Arabic" w:hAnsi="Simplified Arabic" w:cs="Simplified Arabic"/>
          <w:b/>
          <w:bCs/>
          <w:sz w:val="24"/>
          <w:szCs w:val="24"/>
          <w:rtl/>
          <w:lang w:bidi="ar-DZ"/>
        </w:rPr>
        <w:t>المكاني</w:t>
      </w:r>
      <w:r w:rsidRPr="004A189C">
        <w:rPr>
          <w:rFonts w:ascii="Simplified Arabic" w:hAnsi="Simplified Arabic" w:cs="Simplified Arabic" w:hint="cs"/>
          <w:b/>
          <w:bCs/>
          <w:sz w:val="24"/>
          <w:szCs w:val="24"/>
          <w:rtl/>
          <w:lang w:bidi="ar-DZ"/>
        </w:rPr>
        <w:t xml:space="preserve"> والشبكي (المعايير)</w:t>
      </w:r>
      <w:bookmarkEnd w:id="809"/>
    </w:p>
    <w:p w:rsidR="002A686B" w:rsidRPr="00F36BDA" w:rsidRDefault="002A686B" w:rsidP="005E54A7">
      <w:pPr>
        <w:bidi/>
        <w:spacing w:after="0"/>
        <w:ind w:firstLine="283"/>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يستعمل برنامج </w:t>
      </w:r>
      <w:r w:rsidRPr="00C5334C">
        <w:rPr>
          <w:rFonts w:asciiTheme="majorBidi" w:hAnsiTheme="majorBidi" w:cstheme="majorBidi"/>
          <w:sz w:val="24"/>
          <w:szCs w:val="24"/>
        </w:rPr>
        <w:t>Arc GIS 10.3</w:t>
      </w:r>
      <w:r>
        <w:rPr>
          <w:rFonts w:ascii="Simplified Arabic" w:hAnsi="Simplified Arabic" w:cs="Simplified Arabic" w:hint="cs"/>
          <w:sz w:val="24"/>
          <w:szCs w:val="24"/>
          <w:rtl/>
          <w:lang w:bidi="ar-DZ"/>
        </w:rPr>
        <w:t xml:space="preserve"> في عملية تحليل التوزيع المكاني والشبكي لقياس </w:t>
      </w:r>
      <w:r w:rsidRPr="00480A69">
        <w:rPr>
          <w:rFonts w:ascii="Simplified Arabic" w:hAnsi="Simplified Arabic" w:cs="Simplified Arabic" w:hint="cs"/>
          <w:sz w:val="24"/>
          <w:szCs w:val="24"/>
          <w:rtl/>
          <w:lang w:bidi="ar-DZ"/>
        </w:rPr>
        <w:t xml:space="preserve">سمات المرونة المكانية </w:t>
      </w:r>
      <w:r>
        <w:rPr>
          <w:rFonts w:ascii="Simplified Arabic" w:hAnsi="Simplified Arabic" w:cs="Simplified Arabic" w:hint="cs"/>
          <w:sz w:val="24"/>
          <w:szCs w:val="24"/>
          <w:rtl/>
          <w:lang w:bidi="ar-DZ"/>
        </w:rPr>
        <w:t>باستخدام ادوات خاصة ضمن البرنامج، لتحديد</w:t>
      </w:r>
      <w:r w:rsidRPr="00917F05">
        <w:rPr>
          <w:rFonts w:ascii="Simplified Arabic" w:hAnsi="Simplified Arabic" w:cs="Simplified Arabic"/>
          <w:sz w:val="24"/>
          <w:szCs w:val="24"/>
          <w:rtl/>
          <w:lang w:bidi="ar-DZ"/>
        </w:rPr>
        <w:t xml:space="preserve"> </w:t>
      </w:r>
      <w:r w:rsidRPr="00917F05">
        <w:rPr>
          <w:rFonts w:ascii="Simplified Arabic" w:hAnsi="Simplified Arabic" w:cs="Simplified Arabic" w:hint="cs"/>
          <w:sz w:val="24"/>
          <w:szCs w:val="24"/>
          <w:rtl/>
          <w:lang w:bidi="ar-DZ"/>
        </w:rPr>
        <w:t>درجات</w:t>
      </w:r>
      <w:r w:rsidRPr="00917F0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التباين</w:t>
      </w:r>
      <w:r w:rsidR="005E54A7">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فيما بين</w:t>
      </w:r>
      <w:r w:rsidRPr="00917F05">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الاحياء السكنية </w:t>
      </w:r>
      <w:r w:rsidR="00F8756E">
        <w:rPr>
          <w:rFonts w:ascii="Simplified Arabic" w:hAnsi="Simplified Arabic" w:cs="Simplified Arabic" w:hint="cs"/>
          <w:sz w:val="24"/>
          <w:szCs w:val="24"/>
          <w:rtl/>
          <w:lang w:bidi="ar-DZ"/>
        </w:rPr>
        <w:t>و</w:t>
      </w:r>
      <w:r>
        <w:rPr>
          <w:rFonts w:ascii="Simplified Arabic" w:hAnsi="Simplified Arabic" w:cs="Simplified Arabic" w:hint="cs"/>
          <w:sz w:val="24"/>
          <w:szCs w:val="24"/>
          <w:rtl/>
          <w:lang w:bidi="ar-DZ"/>
        </w:rPr>
        <w:t>فئات الانسجة الحضرية الاربعة (أ، ب، جـ، د)</w:t>
      </w:r>
      <w:r w:rsidRPr="00917F0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F36BDA">
        <w:rPr>
          <w:rFonts w:ascii="Simplified Arabic" w:hAnsi="Simplified Arabic" w:cs="Simplified Arabic"/>
          <w:sz w:val="24"/>
          <w:szCs w:val="24"/>
          <w:rtl/>
        </w:rPr>
        <w:t xml:space="preserve">بينما يتم تنفيذ إجراءات التحليل الإحصائي بشكل أساسي باستخدام برنامج </w:t>
      </w:r>
      <w:r w:rsidRPr="00F36BDA">
        <w:rPr>
          <w:rFonts w:asciiTheme="majorBidi" w:hAnsiTheme="majorBidi" w:cstheme="majorBidi"/>
          <w:sz w:val="24"/>
          <w:szCs w:val="24"/>
        </w:rPr>
        <w:t>Microsoft Excel 2016</w:t>
      </w:r>
      <w:r w:rsidRPr="00F36BD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36BDA">
        <w:rPr>
          <w:rFonts w:ascii="Simplified Arabic" w:hAnsi="Simplified Arabic" w:cs="Simplified Arabic"/>
          <w:sz w:val="24"/>
          <w:szCs w:val="24"/>
          <w:rtl/>
        </w:rPr>
        <w:t>ركز هذا البحث على التحليل المكاني والشبكي المتمثل في:</w:t>
      </w:r>
    </w:p>
    <w:p w:rsidR="00E24028" w:rsidRDefault="002A686B" w:rsidP="001D0548">
      <w:pPr>
        <w:pStyle w:val="Paragraphedeliste"/>
        <w:numPr>
          <w:ilvl w:val="2"/>
          <w:numId w:val="261"/>
        </w:numPr>
        <w:tabs>
          <w:tab w:val="right" w:pos="850"/>
        </w:tabs>
        <w:autoSpaceDE w:val="0"/>
        <w:autoSpaceDN w:val="0"/>
        <w:bidi/>
        <w:adjustRightInd w:val="0"/>
        <w:spacing w:after="0"/>
        <w:ind w:left="0" w:firstLine="0"/>
        <w:jc w:val="both"/>
        <w:outlineLvl w:val="1"/>
        <w:rPr>
          <w:rFonts w:ascii="Simplified Arabic" w:hAnsi="Simplified Arabic" w:cs="Simplified Arabic"/>
          <w:sz w:val="24"/>
          <w:szCs w:val="24"/>
        </w:rPr>
      </w:pPr>
      <w:bookmarkStart w:id="810" w:name="_Toc171803789"/>
      <w:r w:rsidRPr="00E24028">
        <w:rPr>
          <w:rFonts w:ascii="Simplified Arabic" w:hAnsi="Simplified Arabic" w:cs="Simplified Arabic"/>
          <w:b/>
          <w:bCs/>
          <w:sz w:val="24"/>
          <w:szCs w:val="24"/>
          <w:rtl/>
        </w:rPr>
        <w:t>تحديد</w:t>
      </w:r>
      <w:r w:rsidRPr="00E24028">
        <w:rPr>
          <w:rFonts w:ascii="Simplified Arabic" w:hAnsi="Simplified Arabic" w:cs="Simplified Arabic" w:hint="cs"/>
          <w:b/>
          <w:bCs/>
          <w:sz w:val="24"/>
          <w:szCs w:val="24"/>
          <w:rtl/>
        </w:rPr>
        <w:t xml:space="preserve"> موقع </w:t>
      </w:r>
      <w:r w:rsidR="00D24BF7" w:rsidRPr="00E24028">
        <w:rPr>
          <w:rFonts w:ascii="Simplified Arabic" w:hAnsi="Simplified Arabic" w:cs="Simplified Arabic" w:hint="cs"/>
          <w:b/>
          <w:bCs/>
          <w:sz w:val="24"/>
          <w:szCs w:val="24"/>
          <w:rtl/>
        </w:rPr>
        <w:t>المباني</w:t>
      </w:r>
      <w:r w:rsidRPr="00E24028">
        <w:rPr>
          <w:rFonts w:ascii="Simplified Arabic" w:hAnsi="Simplified Arabic" w:cs="Simplified Arabic" w:hint="cs"/>
          <w:sz w:val="24"/>
          <w:szCs w:val="24"/>
          <w:rtl/>
        </w:rPr>
        <w:t xml:space="preserve"> </w:t>
      </w:r>
      <w:r w:rsidR="00DD3FBD" w:rsidRPr="00E24028">
        <w:rPr>
          <w:rFonts w:ascii="Simplified Arabic" w:hAnsi="Simplified Arabic" w:cs="Simplified Arabic" w:hint="cs"/>
          <w:b/>
          <w:bCs/>
          <w:sz w:val="24"/>
          <w:szCs w:val="24"/>
          <w:rtl/>
        </w:rPr>
        <w:t>السكنية</w:t>
      </w:r>
      <w:r w:rsidR="00DD3FBD" w:rsidRPr="00E24028">
        <w:rPr>
          <w:rFonts w:ascii="Simplified Arabic" w:hAnsi="Simplified Arabic" w:cs="Simplified Arabic" w:hint="cs"/>
          <w:sz w:val="24"/>
          <w:szCs w:val="24"/>
          <w:rtl/>
        </w:rPr>
        <w:t xml:space="preserve"> </w:t>
      </w:r>
      <w:r w:rsidRPr="00E24028">
        <w:rPr>
          <w:rFonts w:ascii="Simplified Arabic" w:hAnsi="Simplified Arabic" w:cs="Simplified Arabic" w:hint="cs"/>
          <w:b/>
          <w:bCs/>
          <w:sz w:val="24"/>
          <w:szCs w:val="24"/>
          <w:rtl/>
        </w:rPr>
        <w:t>للمعيار</w:t>
      </w:r>
      <w:r w:rsidRPr="00E24028">
        <w:rPr>
          <w:rFonts w:asciiTheme="majorBidi" w:eastAsia="Times New Roman" w:hAnsiTheme="majorBidi" w:cstheme="majorBidi" w:hint="cs"/>
          <w:b/>
          <w:rtl/>
          <w:lang w:val="en-US" w:eastAsia="fr-FR"/>
        </w:rPr>
        <w:t xml:space="preserve"> (</w:t>
      </w:r>
      <w:r w:rsidRPr="00E24028">
        <w:rPr>
          <w:rFonts w:asciiTheme="majorBidi" w:eastAsia="Times New Roman" w:hAnsiTheme="majorBidi" w:cstheme="majorBidi"/>
          <w:b/>
          <w:lang w:val="en-US" w:eastAsia="fr-FR"/>
        </w:rPr>
        <w:t>C6</w:t>
      </w:r>
      <w:r w:rsidRPr="00E24028">
        <w:rPr>
          <w:rFonts w:asciiTheme="majorBidi" w:eastAsia="Times New Roman" w:hAnsiTheme="majorBidi" w:cstheme="majorBidi" w:hint="cs"/>
          <w:b/>
          <w:rtl/>
          <w:lang w:val="en-US" w:eastAsia="fr-FR"/>
        </w:rPr>
        <w:t>)</w:t>
      </w:r>
      <w:r w:rsidRPr="00E24028">
        <w:rPr>
          <w:rFonts w:ascii="Simplified Arabic" w:hAnsi="Simplified Arabic" w:cs="Simplified Arabic" w:hint="cs"/>
          <w:sz w:val="24"/>
          <w:szCs w:val="24"/>
          <w:rtl/>
        </w:rPr>
        <w:t>:</w:t>
      </w:r>
      <w:bookmarkEnd w:id="810"/>
      <w:r w:rsidRPr="00E24028">
        <w:rPr>
          <w:rFonts w:ascii="Simplified Arabic" w:hAnsi="Simplified Arabic" w:cs="Simplified Arabic" w:hint="cs"/>
          <w:sz w:val="24"/>
          <w:szCs w:val="24"/>
          <w:rtl/>
        </w:rPr>
        <w:t xml:space="preserve"> </w:t>
      </w:r>
    </w:p>
    <w:p w:rsidR="002A686B" w:rsidRPr="00E24028" w:rsidRDefault="002A686B" w:rsidP="00E24028">
      <w:pPr>
        <w:pStyle w:val="Paragraphedeliste"/>
        <w:tabs>
          <w:tab w:val="right" w:pos="567"/>
        </w:tabs>
        <w:autoSpaceDE w:val="0"/>
        <w:autoSpaceDN w:val="0"/>
        <w:bidi/>
        <w:adjustRightInd w:val="0"/>
        <w:spacing w:after="0"/>
        <w:ind w:left="0" w:firstLine="283"/>
        <w:jc w:val="both"/>
        <w:rPr>
          <w:rFonts w:ascii="Simplified Arabic" w:hAnsi="Simplified Arabic" w:cs="Simplified Arabic"/>
          <w:sz w:val="24"/>
          <w:szCs w:val="24"/>
        </w:rPr>
      </w:pPr>
      <w:r w:rsidRPr="00E24028">
        <w:rPr>
          <w:rFonts w:ascii="Simplified Arabic" w:hAnsi="Simplified Arabic" w:cs="Simplified Arabic" w:hint="cs"/>
          <w:sz w:val="24"/>
          <w:szCs w:val="24"/>
          <w:rtl/>
        </w:rPr>
        <w:t xml:space="preserve">يتم </w:t>
      </w:r>
      <w:r w:rsidR="00D24BF7" w:rsidRPr="00E24028">
        <w:rPr>
          <w:rFonts w:ascii="Simplified Arabic" w:hAnsi="Simplified Arabic" w:cs="Simplified Arabic" w:hint="cs"/>
          <w:sz w:val="24"/>
          <w:szCs w:val="24"/>
          <w:rtl/>
        </w:rPr>
        <w:t xml:space="preserve">ذلك </w:t>
      </w:r>
      <w:r w:rsidRPr="00E24028">
        <w:rPr>
          <w:rFonts w:ascii="Simplified Arabic" w:hAnsi="Simplified Arabic" w:cs="Simplified Arabic" w:hint="cs"/>
          <w:sz w:val="24"/>
          <w:szCs w:val="24"/>
          <w:rtl/>
        </w:rPr>
        <w:t>عبر احياء مدينة بوسعادة</w:t>
      </w:r>
      <w:r w:rsidR="00D24BF7" w:rsidRPr="00E24028">
        <w:rPr>
          <w:rFonts w:ascii="Simplified Arabic" w:hAnsi="Simplified Arabic" w:cs="Simplified Arabic" w:hint="cs"/>
          <w:sz w:val="24"/>
          <w:szCs w:val="24"/>
          <w:rtl/>
        </w:rPr>
        <w:t>:</w:t>
      </w:r>
      <w:r w:rsidRPr="00E24028">
        <w:rPr>
          <w:rFonts w:ascii="Simplified Arabic" w:hAnsi="Simplified Arabic" w:cs="Simplified Arabic" w:hint="cs"/>
          <w:sz w:val="24"/>
          <w:szCs w:val="24"/>
          <w:rtl/>
        </w:rPr>
        <w:t xml:space="preserve"> </w:t>
      </w:r>
      <w:r w:rsidR="00D24BF7" w:rsidRPr="00E24028">
        <w:rPr>
          <w:rFonts w:ascii="Simplified Arabic" w:eastAsia="Times New Roman" w:hAnsi="Simplified Arabic" w:cs="Simplified Arabic" w:hint="cs"/>
          <w:color w:val="000000"/>
          <w:sz w:val="24"/>
          <w:szCs w:val="24"/>
          <w:rtl/>
          <w:lang w:eastAsia="fr-FR"/>
        </w:rPr>
        <w:t>القصر،</w:t>
      </w:r>
      <w:r w:rsidR="00D24BF7" w:rsidRPr="00E24028">
        <w:rPr>
          <w:rFonts w:ascii="Simplified Arabic" w:hAnsi="Simplified Arabic" w:cs="Simplified Arabic" w:hint="cs"/>
          <w:sz w:val="24"/>
          <w:szCs w:val="24"/>
          <w:rtl/>
        </w:rPr>
        <w:t xml:space="preserve"> </w:t>
      </w:r>
      <w:r w:rsidR="00D24BF7" w:rsidRPr="00E24028">
        <w:rPr>
          <w:rFonts w:ascii="Simplified Arabic" w:eastAsia="Times New Roman" w:hAnsi="Simplified Arabic" w:cs="Simplified Arabic"/>
          <w:color w:val="000000"/>
          <w:sz w:val="24"/>
          <w:szCs w:val="24"/>
          <w:rtl/>
          <w:lang w:eastAsia="fr-FR"/>
        </w:rPr>
        <w:t>بلاتو</w:t>
      </w:r>
      <w:r w:rsidR="00D24BF7" w:rsidRPr="00E24028">
        <w:rPr>
          <w:rFonts w:ascii="Simplified Arabic" w:eastAsia="Times New Roman" w:hAnsi="Simplified Arabic" w:cs="Simplified Arabic" w:hint="cs"/>
          <w:color w:val="000000"/>
          <w:sz w:val="24"/>
          <w:szCs w:val="24"/>
          <w:rtl/>
          <w:lang w:eastAsia="fr-FR"/>
        </w:rPr>
        <w:t>،</w:t>
      </w:r>
      <w:r w:rsidR="00D24BF7" w:rsidRPr="00E24028">
        <w:rPr>
          <w:rFonts w:ascii="Simplified Arabic" w:hAnsi="Simplified Arabic" w:cs="Simplified Arabic" w:hint="cs"/>
          <w:sz w:val="24"/>
          <w:szCs w:val="24"/>
          <w:rtl/>
        </w:rPr>
        <w:t xml:space="preserve"> </w:t>
      </w:r>
      <w:r w:rsidR="00D24BF7" w:rsidRPr="00E24028">
        <w:rPr>
          <w:rFonts w:ascii="Simplified Arabic" w:eastAsia="Times New Roman" w:hAnsi="Simplified Arabic" w:cs="Simplified Arabic"/>
          <w:color w:val="000000"/>
          <w:sz w:val="24"/>
          <w:szCs w:val="24"/>
          <w:rtl/>
          <w:lang w:eastAsia="fr-FR"/>
        </w:rPr>
        <w:t>سيدي سليمان</w:t>
      </w:r>
      <w:r w:rsidR="00D24BF7" w:rsidRPr="00E24028">
        <w:rPr>
          <w:rFonts w:ascii="Simplified Arabic" w:hAnsi="Simplified Arabic" w:cs="Simplified Arabic" w:hint="cs"/>
          <w:sz w:val="24"/>
          <w:szCs w:val="24"/>
          <w:rtl/>
        </w:rPr>
        <w:t xml:space="preserve"> و</w:t>
      </w:r>
      <w:r w:rsidR="00D24BF7" w:rsidRPr="00E24028">
        <w:rPr>
          <w:rFonts w:ascii="Simplified Arabic" w:eastAsia="Times New Roman" w:hAnsi="Simplified Arabic" w:cs="Simplified Arabic"/>
          <w:color w:val="000000"/>
          <w:sz w:val="24"/>
          <w:szCs w:val="24"/>
          <w:rtl/>
          <w:lang w:eastAsia="fr-FR"/>
        </w:rPr>
        <w:t>الحمايد</w:t>
      </w:r>
      <w:r w:rsidR="00DD3FBD" w:rsidRPr="00E24028">
        <w:rPr>
          <w:rFonts w:ascii="Simplified Arabic" w:eastAsia="Times New Roman" w:hAnsi="Simplified Arabic" w:cs="Simplified Arabic" w:hint="cs"/>
          <w:color w:val="000000"/>
          <w:sz w:val="24"/>
          <w:szCs w:val="24"/>
          <w:rtl/>
          <w:lang w:eastAsia="fr-FR"/>
        </w:rPr>
        <w:t>،</w:t>
      </w:r>
      <w:r w:rsidR="00D24BF7" w:rsidRPr="00E24028">
        <w:rPr>
          <w:rFonts w:ascii="Simplified Arabic" w:hAnsi="Simplified Arabic" w:cs="Simplified Arabic" w:hint="cs"/>
          <w:sz w:val="24"/>
          <w:szCs w:val="24"/>
          <w:rtl/>
        </w:rPr>
        <w:t xml:space="preserve"> </w:t>
      </w:r>
      <w:r w:rsidR="00F757AC" w:rsidRPr="00E24028">
        <w:rPr>
          <w:rFonts w:ascii="Simplified Arabic" w:hAnsi="Simplified Arabic" w:cs="Simplified Arabic" w:hint="cs"/>
          <w:sz w:val="24"/>
          <w:szCs w:val="24"/>
          <w:rtl/>
        </w:rPr>
        <w:t>من</w:t>
      </w:r>
      <w:r w:rsidRPr="00E24028">
        <w:rPr>
          <w:rFonts w:ascii="Simplified Arabic" w:hAnsi="Simplified Arabic" w:cs="Simplified Arabic" w:hint="cs"/>
          <w:sz w:val="24"/>
          <w:szCs w:val="24"/>
          <w:rtl/>
        </w:rPr>
        <w:t xml:space="preserve"> </w:t>
      </w:r>
      <w:r w:rsidR="00F757AC" w:rsidRPr="00E24028">
        <w:rPr>
          <w:rFonts w:ascii="Simplified Arabic" w:hAnsi="Simplified Arabic" w:cs="Simplified Arabic" w:hint="cs"/>
          <w:sz w:val="24"/>
          <w:szCs w:val="24"/>
          <w:rtl/>
        </w:rPr>
        <w:t>اجل</w:t>
      </w:r>
      <w:r w:rsidRPr="00E24028">
        <w:rPr>
          <w:rFonts w:ascii="Simplified Arabic" w:hAnsi="Simplified Arabic" w:cs="Simplified Arabic" w:hint="cs"/>
          <w:sz w:val="24"/>
          <w:szCs w:val="24"/>
          <w:rtl/>
        </w:rPr>
        <w:t xml:space="preserve"> </w:t>
      </w:r>
      <w:r w:rsidR="00F757AC" w:rsidRPr="00E24028">
        <w:rPr>
          <w:rFonts w:ascii="Simplified Arabic" w:hAnsi="Simplified Arabic" w:cs="Simplified Arabic" w:hint="cs"/>
          <w:sz w:val="24"/>
          <w:szCs w:val="24"/>
          <w:rtl/>
        </w:rPr>
        <w:t xml:space="preserve">حساب </w:t>
      </w:r>
      <w:r w:rsidRPr="00E24028">
        <w:rPr>
          <w:rFonts w:ascii="Simplified Arabic" w:hAnsi="Simplified Arabic" w:cs="Simplified Arabic" w:hint="cs"/>
          <w:sz w:val="24"/>
          <w:szCs w:val="24"/>
          <w:rtl/>
        </w:rPr>
        <w:t xml:space="preserve">مقياس </w:t>
      </w:r>
      <w:r w:rsidR="00023DFC" w:rsidRPr="00E24028">
        <w:rPr>
          <w:rFonts w:ascii="Simplified Arabic" w:hAnsi="Simplified Arabic" w:cs="Simplified Arabic" w:hint="cs"/>
          <w:sz w:val="24"/>
          <w:szCs w:val="24"/>
          <w:rtl/>
        </w:rPr>
        <w:t>كثافة المباني التي يمكن ال</w:t>
      </w:r>
      <w:r w:rsidRPr="00E24028">
        <w:rPr>
          <w:rFonts w:ascii="Simplified Arabic" w:hAnsi="Simplified Arabic" w:cs="Simplified Arabic" w:hint="cs"/>
          <w:sz w:val="24"/>
          <w:szCs w:val="24"/>
          <w:rtl/>
        </w:rPr>
        <w:t xml:space="preserve">وصول </w:t>
      </w:r>
      <w:r w:rsidR="00023DFC" w:rsidRPr="00E24028">
        <w:rPr>
          <w:rFonts w:ascii="Simplified Arabic" w:hAnsi="Simplified Arabic" w:cs="Simplified Arabic" w:hint="cs"/>
          <w:sz w:val="24"/>
          <w:szCs w:val="24"/>
          <w:rtl/>
        </w:rPr>
        <w:t xml:space="preserve">اليها </w:t>
      </w:r>
      <w:r w:rsidRPr="00E24028">
        <w:rPr>
          <w:rFonts w:ascii="Simplified Arabic" w:hAnsi="Simplified Arabic" w:cs="Simplified Arabic" w:hint="cs"/>
          <w:sz w:val="24"/>
          <w:szCs w:val="24"/>
          <w:rtl/>
        </w:rPr>
        <w:t>ضمن الكثافة المعيارية النظرية المحددة في الجدول (6-</w:t>
      </w:r>
      <w:r w:rsidR="00B24A3A" w:rsidRPr="00E24028">
        <w:rPr>
          <w:rFonts w:ascii="Simplified Arabic" w:hAnsi="Simplified Arabic" w:cs="Simplified Arabic"/>
          <w:sz w:val="24"/>
          <w:szCs w:val="24"/>
        </w:rPr>
        <w:t>3</w:t>
      </w:r>
      <w:r w:rsidRPr="00E24028">
        <w:rPr>
          <w:rFonts w:ascii="Simplified Arabic" w:hAnsi="Simplified Arabic" w:cs="Simplified Arabic" w:hint="cs"/>
          <w:sz w:val="24"/>
          <w:szCs w:val="24"/>
          <w:rtl/>
        </w:rPr>
        <w:t xml:space="preserve">). الغاية من ذلك الكشف عن سمة الكثافة للمرونة المكانية على مستوى كل فئة من فئات النسيج الحضري. </w:t>
      </w:r>
    </w:p>
    <w:p w:rsidR="004B7EFC" w:rsidRDefault="00EB1849" w:rsidP="005E54A7">
      <w:pPr>
        <w:autoSpaceDE w:val="0"/>
        <w:autoSpaceDN w:val="0"/>
        <w:bidi/>
        <w:adjustRightInd w:val="0"/>
        <w:spacing w:after="0"/>
        <w:ind w:firstLine="283"/>
        <w:jc w:val="both"/>
        <w:rPr>
          <w:rFonts w:ascii="Simplified Arabic" w:hAnsi="Simplified Arabic" w:cs="Simplified Arabic"/>
          <w:color w:val="000000" w:themeColor="text1"/>
          <w:sz w:val="24"/>
          <w:szCs w:val="24"/>
          <w:rtl/>
        </w:rPr>
      </w:pPr>
      <w:r w:rsidRPr="00D2637F">
        <w:rPr>
          <w:rFonts w:ascii="Simplified Arabic" w:hAnsi="Simplified Arabic" w:cs="Simplified Arabic" w:hint="cs"/>
          <w:sz w:val="24"/>
          <w:szCs w:val="24"/>
          <w:rtl/>
        </w:rPr>
        <w:t>تم</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تحديد</w:t>
      </w:r>
      <w:r w:rsidRPr="00D2637F">
        <w:rPr>
          <w:rFonts w:ascii="Simplified Arabic" w:hAnsi="Simplified Arabic" w:cs="Simplified Arabic"/>
          <w:sz w:val="24"/>
          <w:szCs w:val="24"/>
          <w:rtl/>
        </w:rPr>
        <w:t xml:space="preserve"> </w:t>
      </w:r>
      <w:r>
        <w:rPr>
          <w:rFonts w:ascii="Simplified Arabic" w:hAnsi="Simplified Arabic" w:cs="Simplified Arabic" w:hint="cs"/>
          <w:sz w:val="24"/>
          <w:szCs w:val="24"/>
          <w:rtl/>
        </w:rPr>
        <w:t>المباني</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في</w:t>
      </w:r>
      <w:r w:rsidRPr="00D2637F">
        <w:rPr>
          <w:rFonts w:ascii="Simplified Arabic" w:hAnsi="Simplified Arabic" w:cs="Simplified Arabic"/>
          <w:sz w:val="24"/>
          <w:szCs w:val="24"/>
          <w:rtl/>
        </w:rPr>
        <w:t xml:space="preserve"> </w:t>
      </w:r>
      <w:r>
        <w:rPr>
          <w:rFonts w:ascii="Simplified Arabic" w:hAnsi="Simplified Arabic" w:cs="Simplified Arabic" w:hint="cs"/>
          <w:sz w:val="24"/>
          <w:szCs w:val="24"/>
          <w:rtl/>
        </w:rPr>
        <w:t>كل حي</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كأصول</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للرحلات</w:t>
      </w:r>
      <w:r w:rsidR="005E54A7">
        <w:rPr>
          <w:rFonts w:ascii="Simplified Arabic" w:hAnsi="Simplified Arabic" w:cs="Simplified Arabic" w:hint="cs"/>
          <w:sz w:val="24"/>
          <w:szCs w:val="24"/>
          <w:rtl/>
        </w:rPr>
        <w:t xml:space="preserve"> من خلال </w:t>
      </w:r>
      <w:r w:rsidRPr="00D2637F">
        <w:rPr>
          <w:rFonts w:ascii="Simplified Arabic" w:hAnsi="Simplified Arabic" w:cs="Simplified Arabic" w:hint="cs"/>
          <w:sz w:val="24"/>
          <w:szCs w:val="24"/>
          <w:rtl/>
        </w:rPr>
        <w:t>تعيين</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جميع</w:t>
      </w:r>
      <w:r w:rsidRPr="00D2637F">
        <w:rPr>
          <w:rFonts w:ascii="Simplified Arabic" w:hAnsi="Simplified Arabic" w:cs="Simplified Arabic"/>
          <w:sz w:val="24"/>
          <w:szCs w:val="24"/>
          <w:rtl/>
        </w:rPr>
        <w:t xml:space="preserve"> </w:t>
      </w:r>
      <w:r>
        <w:rPr>
          <w:rFonts w:ascii="Simplified Arabic" w:hAnsi="Simplified Arabic" w:cs="Simplified Arabic" w:hint="cs"/>
          <w:sz w:val="24"/>
          <w:szCs w:val="24"/>
          <w:rtl/>
        </w:rPr>
        <w:t>المباني</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في</w:t>
      </w:r>
      <w:r w:rsidRPr="00D2637F">
        <w:rPr>
          <w:rFonts w:ascii="Simplified Arabic" w:hAnsi="Simplified Arabic" w:cs="Simplified Arabic"/>
          <w:sz w:val="24"/>
          <w:szCs w:val="24"/>
          <w:rtl/>
        </w:rPr>
        <w:t xml:space="preserve"> </w:t>
      </w:r>
      <w:r>
        <w:rPr>
          <w:rFonts w:ascii="Simplified Arabic" w:hAnsi="Simplified Arabic" w:cs="Simplified Arabic" w:hint="cs"/>
          <w:sz w:val="24"/>
          <w:szCs w:val="24"/>
          <w:rtl/>
        </w:rPr>
        <w:t>الحي السكني</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كوجهات</w:t>
      </w:r>
      <w:r>
        <w:rPr>
          <w:rFonts w:ascii="Simplified Arabic" w:hAnsi="Simplified Arabic" w:cs="Simplified Arabic" w:hint="cs"/>
          <w:sz w:val="24"/>
          <w:szCs w:val="24"/>
          <w:rtl/>
        </w:rPr>
        <w:t xml:space="preserve"> للوصول</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تم</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تحديد</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نصف</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قطر</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البحث</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على</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مسافة</w:t>
      </w:r>
      <w:r w:rsidRPr="00D2637F">
        <w:rPr>
          <w:rFonts w:ascii="Simplified Arabic" w:hAnsi="Simplified Arabic" w:cs="Simplified Arabic"/>
          <w:sz w:val="24"/>
          <w:szCs w:val="24"/>
          <w:rtl/>
        </w:rPr>
        <w:t xml:space="preserve"> </w:t>
      </w:r>
      <w:r w:rsidR="000915D5">
        <w:rPr>
          <w:rFonts w:ascii="Simplified Arabic" w:hAnsi="Simplified Arabic" w:cs="Simplified Arabic" w:hint="cs"/>
          <w:sz w:val="24"/>
          <w:szCs w:val="24"/>
          <w:rtl/>
        </w:rPr>
        <w:t>300</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متر</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من</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كل</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مصدر</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ومعامل</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تكرار</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يصل</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إلى</w:t>
      </w:r>
      <w:r w:rsidRPr="00D2637F">
        <w:rPr>
          <w:rFonts w:ascii="Simplified Arabic" w:hAnsi="Simplified Arabic" w:cs="Simplified Arabic"/>
          <w:sz w:val="24"/>
          <w:szCs w:val="24"/>
          <w:rtl/>
        </w:rPr>
        <w:t xml:space="preserve"> 20% </w:t>
      </w:r>
      <w:r w:rsidRPr="00D2637F">
        <w:rPr>
          <w:rFonts w:ascii="Simplified Arabic" w:hAnsi="Simplified Arabic" w:cs="Simplified Arabic" w:hint="cs"/>
          <w:sz w:val="24"/>
          <w:szCs w:val="24"/>
          <w:rtl/>
        </w:rPr>
        <w:t>على</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أقصر</w:t>
      </w:r>
      <w:r w:rsidRPr="00D2637F">
        <w:rPr>
          <w:rFonts w:ascii="Simplified Arabic" w:hAnsi="Simplified Arabic" w:cs="Simplified Arabic"/>
          <w:sz w:val="24"/>
          <w:szCs w:val="24"/>
          <w:rtl/>
        </w:rPr>
        <w:t xml:space="preserve"> </w:t>
      </w:r>
      <w:r w:rsidRPr="00D2637F">
        <w:rPr>
          <w:rFonts w:ascii="Simplified Arabic" w:hAnsi="Simplified Arabic" w:cs="Simplified Arabic" w:hint="cs"/>
          <w:sz w:val="24"/>
          <w:szCs w:val="24"/>
          <w:rtl/>
        </w:rPr>
        <w:t>مسار</w:t>
      </w:r>
      <w:r w:rsidRPr="00D2637F">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BD50EF" w:rsidRPr="00D61E03">
        <w:rPr>
          <w:rFonts w:ascii="Simplified Arabic" w:hAnsi="Simplified Arabic" w:cs="Simplified Arabic"/>
          <w:sz w:val="24"/>
          <w:szCs w:val="24"/>
          <w:rtl/>
        </w:rPr>
        <w:t xml:space="preserve">تم قياس </w:t>
      </w:r>
      <w:r w:rsidR="00023DFC">
        <w:rPr>
          <w:rFonts w:ascii="Simplified Arabic" w:hAnsi="Simplified Arabic" w:cs="Simplified Arabic" w:hint="cs"/>
          <w:sz w:val="24"/>
          <w:szCs w:val="24"/>
          <w:rtl/>
        </w:rPr>
        <w:t xml:space="preserve">ذلك عن طريق </w:t>
      </w:r>
      <w:r w:rsidR="00BD50EF" w:rsidRPr="00D61E03">
        <w:rPr>
          <w:rFonts w:ascii="Simplified Arabic" w:hAnsi="Simplified Arabic" w:cs="Simplified Arabic" w:hint="cs"/>
          <w:sz w:val="24"/>
          <w:szCs w:val="24"/>
          <w:rtl/>
          <w:lang w:bidi="ar-DZ"/>
        </w:rPr>
        <w:t>نسبة</w:t>
      </w:r>
      <w:r w:rsidR="00BD50EF" w:rsidRPr="00D61E03">
        <w:rPr>
          <w:rFonts w:ascii="Simplified Arabic" w:hAnsi="Simplified Arabic" w:cs="Simplified Arabic"/>
          <w:sz w:val="24"/>
          <w:szCs w:val="24"/>
          <w:rtl/>
          <w:lang w:bidi="ar-DZ"/>
        </w:rPr>
        <w:t xml:space="preserve"> </w:t>
      </w:r>
      <w:r w:rsidR="00BD50EF" w:rsidRPr="00D61E03">
        <w:rPr>
          <w:rFonts w:ascii="Simplified Arabic" w:hAnsi="Simplified Arabic" w:cs="Simplified Arabic" w:hint="cs"/>
          <w:sz w:val="24"/>
          <w:szCs w:val="24"/>
          <w:rtl/>
          <w:lang w:bidi="ar-DZ"/>
        </w:rPr>
        <w:t>كثافة</w:t>
      </w:r>
      <w:r w:rsidR="00BD50EF" w:rsidRPr="00D61E03">
        <w:rPr>
          <w:rFonts w:ascii="Simplified Arabic" w:hAnsi="Simplified Arabic" w:cs="Simplified Arabic"/>
          <w:sz w:val="24"/>
          <w:szCs w:val="24"/>
          <w:rtl/>
          <w:lang w:bidi="ar-DZ"/>
        </w:rPr>
        <w:t xml:space="preserve"> </w:t>
      </w:r>
      <w:r w:rsidR="005E54A7">
        <w:rPr>
          <w:rFonts w:ascii="Simplified Arabic" w:hAnsi="Simplified Arabic" w:cs="Simplified Arabic" w:hint="cs"/>
          <w:sz w:val="24"/>
          <w:szCs w:val="24"/>
          <w:rtl/>
          <w:lang w:bidi="ar-DZ"/>
        </w:rPr>
        <w:t>المواقع</w:t>
      </w:r>
      <w:r w:rsidR="00BD50EF" w:rsidRPr="00D61E03">
        <w:rPr>
          <w:rFonts w:ascii="Simplified Arabic" w:hAnsi="Simplified Arabic" w:cs="Simplified Arabic"/>
          <w:sz w:val="24"/>
          <w:szCs w:val="24"/>
          <w:rtl/>
          <w:lang w:bidi="ar-DZ"/>
        </w:rPr>
        <w:t xml:space="preserve"> </w:t>
      </w:r>
      <w:r w:rsidR="00023DFC">
        <w:rPr>
          <w:rFonts w:ascii="Simplified Arabic" w:hAnsi="Simplified Arabic" w:cs="Simplified Arabic" w:hint="cs"/>
          <w:sz w:val="24"/>
          <w:szCs w:val="24"/>
          <w:rtl/>
          <w:lang w:bidi="ar-DZ"/>
        </w:rPr>
        <w:t>التي</w:t>
      </w:r>
      <w:r w:rsidR="00BD50EF" w:rsidRPr="00D61E03">
        <w:rPr>
          <w:rFonts w:ascii="Simplified Arabic" w:hAnsi="Simplified Arabic" w:cs="Simplified Arabic"/>
          <w:sz w:val="24"/>
          <w:szCs w:val="24"/>
          <w:rtl/>
          <w:lang w:bidi="ar-DZ"/>
        </w:rPr>
        <w:t xml:space="preserve"> </w:t>
      </w:r>
      <w:r w:rsidR="00BD50EF" w:rsidRPr="00D61E03">
        <w:rPr>
          <w:rFonts w:ascii="Simplified Arabic" w:hAnsi="Simplified Arabic" w:cs="Simplified Arabic" w:hint="cs"/>
          <w:sz w:val="24"/>
          <w:szCs w:val="24"/>
          <w:rtl/>
          <w:lang w:bidi="ar-DZ"/>
        </w:rPr>
        <w:t>يمكن</w:t>
      </w:r>
      <w:r w:rsidR="00BD50EF" w:rsidRPr="00D61E03">
        <w:rPr>
          <w:rFonts w:ascii="Simplified Arabic" w:hAnsi="Simplified Arabic" w:cs="Simplified Arabic"/>
          <w:sz w:val="24"/>
          <w:szCs w:val="24"/>
          <w:rtl/>
          <w:lang w:bidi="ar-DZ"/>
        </w:rPr>
        <w:t xml:space="preserve"> </w:t>
      </w:r>
      <w:r w:rsidR="00BD50EF" w:rsidRPr="00D61E03">
        <w:rPr>
          <w:rFonts w:ascii="Simplified Arabic" w:hAnsi="Simplified Arabic" w:cs="Simplified Arabic" w:hint="cs"/>
          <w:sz w:val="24"/>
          <w:szCs w:val="24"/>
          <w:rtl/>
          <w:lang w:bidi="ar-DZ"/>
        </w:rPr>
        <w:t>الوصول</w:t>
      </w:r>
      <w:r w:rsidR="00BD50EF" w:rsidRPr="00D61E03">
        <w:rPr>
          <w:rFonts w:ascii="Simplified Arabic" w:hAnsi="Simplified Arabic" w:cs="Simplified Arabic"/>
          <w:sz w:val="24"/>
          <w:szCs w:val="24"/>
          <w:rtl/>
          <w:lang w:bidi="ar-DZ"/>
        </w:rPr>
        <w:t xml:space="preserve"> </w:t>
      </w:r>
      <w:r w:rsidR="00BD50EF" w:rsidRPr="00D61E03">
        <w:rPr>
          <w:rFonts w:ascii="Simplified Arabic" w:hAnsi="Simplified Arabic" w:cs="Simplified Arabic" w:hint="cs"/>
          <w:sz w:val="24"/>
          <w:szCs w:val="24"/>
          <w:rtl/>
          <w:lang w:bidi="ar-DZ"/>
        </w:rPr>
        <w:t>إليه</w:t>
      </w:r>
      <w:r w:rsidR="00023DFC">
        <w:rPr>
          <w:rFonts w:ascii="Simplified Arabic" w:hAnsi="Simplified Arabic" w:cs="Simplified Arabic" w:hint="cs"/>
          <w:sz w:val="24"/>
          <w:szCs w:val="24"/>
          <w:rtl/>
          <w:lang w:bidi="ar-DZ"/>
        </w:rPr>
        <w:t>ا</w:t>
      </w:r>
      <w:r w:rsidR="00BD50EF" w:rsidRPr="00D61E03">
        <w:rPr>
          <w:rFonts w:ascii="Simplified Arabic" w:hAnsi="Simplified Arabic" w:cs="Simplified Arabic"/>
          <w:sz w:val="24"/>
          <w:szCs w:val="24"/>
          <w:rtl/>
          <w:lang w:bidi="ar-DZ"/>
        </w:rPr>
        <w:t xml:space="preserve"> </w:t>
      </w:r>
      <w:r w:rsidR="00BD50EF" w:rsidRPr="00D61E03">
        <w:rPr>
          <w:rFonts w:asciiTheme="majorBidi" w:hAnsiTheme="majorBidi" w:cstheme="majorBidi"/>
          <w:sz w:val="24"/>
          <w:szCs w:val="24"/>
          <w:rtl/>
          <w:lang w:bidi="ar-DZ"/>
        </w:rPr>
        <w:t>(</w:t>
      </w:r>
      <w:r w:rsidR="00BD50EF" w:rsidRPr="00D61E03">
        <w:rPr>
          <w:rFonts w:asciiTheme="majorBidi" w:hAnsiTheme="majorBidi" w:cstheme="majorBidi"/>
          <w:sz w:val="24"/>
          <w:szCs w:val="24"/>
          <w:lang w:bidi="ar-DZ"/>
        </w:rPr>
        <w:t>ALDR</w:t>
      </w:r>
      <w:r w:rsidR="00BD50EF" w:rsidRPr="00D61E03">
        <w:rPr>
          <w:rFonts w:asciiTheme="majorBidi" w:hAnsiTheme="majorBidi" w:cstheme="majorBidi"/>
          <w:sz w:val="24"/>
          <w:szCs w:val="24"/>
          <w:rtl/>
          <w:lang w:bidi="ar-DZ"/>
        </w:rPr>
        <w:t>)</w:t>
      </w:r>
      <w:r w:rsidR="00BD50EF" w:rsidRPr="00D61E03">
        <w:rPr>
          <w:rFonts w:ascii="Simplified Arabic" w:hAnsi="Simplified Arabic" w:cs="Simplified Arabic"/>
          <w:sz w:val="24"/>
          <w:szCs w:val="24"/>
          <w:rtl/>
          <w:lang w:bidi="ar-DZ"/>
        </w:rPr>
        <w:t xml:space="preserve"> </w:t>
      </w:r>
      <w:r w:rsidR="00023DFC">
        <w:rPr>
          <w:rFonts w:ascii="Simplified Arabic" w:hAnsi="Simplified Arabic" w:cs="Simplified Arabic" w:hint="cs"/>
          <w:sz w:val="24"/>
          <w:szCs w:val="24"/>
          <w:rtl/>
        </w:rPr>
        <w:t>وهو</w:t>
      </w:r>
      <w:r w:rsidR="00BD50EF" w:rsidRPr="00D61E03">
        <w:rPr>
          <w:rFonts w:ascii="Simplified Arabic" w:hAnsi="Simplified Arabic" w:cs="Simplified Arabic"/>
          <w:sz w:val="24"/>
          <w:szCs w:val="24"/>
          <w:rtl/>
        </w:rPr>
        <w:t xml:space="preserve"> النسبة بين </w:t>
      </w:r>
      <w:r>
        <w:rPr>
          <w:rFonts w:ascii="Simplified Arabic" w:hAnsi="Simplified Arabic" w:cs="Simplified Arabic" w:hint="cs"/>
          <w:color w:val="000000" w:themeColor="text1"/>
          <w:sz w:val="24"/>
          <w:szCs w:val="24"/>
          <w:rtl/>
          <w:lang w:bidi="ar-DZ"/>
        </w:rPr>
        <w:t>ال</w:t>
      </w:r>
      <w:r w:rsidR="00BD50EF" w:rsidRPr="00FA505F">
        <w:rPr>
          <w:rFonts w:ascii="Simplified Arabic" w:hAnsi="Simplified Arabic" w:cs="Simplified Arabic" w:hint="cs"/>
          <w:color w:val="000000" w:themeColor="text1"/>
          <w:sz w:val="24"/>
          <w:szCs w:val="24"/>
          <w:rtl/>
          <w:lang w:bidi="ar-DZ"/>
        </w:rPr>
        <w:t>مسافة</w:t>
      </w:r>
      <w:r w:rsidR="00BD50EF" w:rsidRPr="00FA505F">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w:t>
      </w:r>
      <w:r w:rsidR="00BD50EF" w:rsidRPr="00FA505F">
        <w:rPr>
          <w:rFonts w:ascii="Simplified Arabic" w:hAnsi="Simplified Arabic" w:cs="Simplified Arabic" w:hint="cs"/>
          <w:color w:val="000000" w:themeColor="text1"/>
          <w:sz w:val="24"/>
          <w:szCs w:val="24"/>
          <w:rtl/>
          <w:lang w:bidi="ar-DZ"/>
        </w:rPr>
        <w:t>مترية</w:t>
      </w:r>
      <w:r w:rsidR="00BD50EF" w:rsidRPr="00FA505F">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w:t>
      </w:r>
      <w:r w:rsidR="00BD50EF" w:rsidRPr="00FA505F">
        <w:rPr>
          <w:rFonts w:ascii="Simplified Arabic" w:hAnsi="Simplified Arabic" w:cs="Simplified Arabic" w:hint="cs"/>
          <w:color w:val="000000" w:themeColor="text1"/>
          <w:sz w:val="24"/>
          <w:szCs w:val="24"/>
          <w:rtl/>
          <w:lang w:bidi="ar-DZ"/>
        </w:rPr>
        <w:t>محددة</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من</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قبل</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المستخدم</w:t>
      </w:r>
      <w:r w:rsidR="00BD50EF" w:rsidRPr="00FA505F">
        <w:rPr>
          <w:rFonts w:ascii="Simplified Arabic" w:hAnsi="Simplified Arabic" w:cs="Simplified Arabic"/>
          <w:color w:val="000000" w:themeColor="text1"/>
          <w:sz w:val="24"/>
          <w:szCs w:val="24"/>
          <w:rtl/>
          <w:lang w:bidi="ar-DZ"/>
        </w:rPr>
        <w:t xml:space="preserve"> </w:t>
      </w:r>
      <w:r w:rsidR="005E54A7">
        <w:rPr>
          <w:rFonts w:ascii="Simplified Arabic" w:hAnsi="Simplified Arabic" w:cs="Simplified Arabic" w:hint="cs"/>
          <w:color w:val="000000" w:themeColor="text1"/>
          <w:sz w:val="24"/>
          <w:szCs w:val="24"/>
          <w:rtl/>
          <w:lang w:bidi="ar-DZ"/>
        </w:rPr>
        <w:t xml:space="preserve">(المشاة) </w:t>
      </w:r>
      <w:r w:rsidR="00BD50EF" w:rsidRPr="00FA505F">
        <w:rPr>
          <w:rFonts w:ascii="Simplified Arabic" w:hAnsi="Simplified Arabic" w:cs="Simplified Arabic" w:hint="cs"/>
          <w:color w:val="000000" w:themeColor="text1"/>
          <w:sz w:val="24"/>
          <w:szCs w:val="24"/>
          <w:rtl/>
          <w:lang w:bidi="ar-DZ"/>
        </w:rPr>
        <w:t>محسوبة</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على</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شبكة</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الشوارع</w:t>
      </w:r>
      <w:r w:rsidR="00BD50EF" w:rsidRPr="00FA505F">
        <w:rPr>
          <w:rFonts w:ascii="Simplified Arabic" w:hAnsi="Simplified Arabic" w:cs="Simplified Arabic"/>
          <w:color w:val="000000" w:themeColor="text1"/>
          <w:sz w:val="24"/>
          <w:szCs w:val="24"/>
          <w:rtl/>
          <w:lang w:bidi="ar-DZ"/>
        </w:rPr>
        <w:t xml:space="preserve"> </w:t>
      </w:r>
      <w:r w:rsidR="005E54A7">
        <w:rPr>
          <w:rFonts w:ascii="Simplified Arabic" w:hAnsi="Simplified Arabic" w:cs="Simplified Arabic" w:hint="cs"/>
          <w:color w:val="000000" w:themeColor="text1"/>
          <w:sz w:val="24"/>
          <w:szCs w:val="24"/>
          <w:rtl/>
          <w:lang w:bidi="ar-DZ"/>
        </w:rPr>
        <w:t xml:space="preserve">وبين </w:t>
      </w:r>
      <w:r>
        <w:rPr>
          <w:rFonts w:ascii="Simplified Arabic" w:hAnsi="Simplified Arabic" w:cs="Simplified Arabic" w:hint="cs"/>
          <w:color w:val="000000" w:themeColor="text1"/>
          <w:sz w:val="24"/>
          <w:szCs w:val="24"/>
          <w:rtl/>
          <w:lang w:bidi="ar-DZ"/>
        </w:rPr>
        <w:t>ال</w:t>
      </w:r>
      <w:r w:rsidRPr="00FA505F">
        <w:rPr>
          <w:rFonts w:ascii="Simplified Arabic" w:hAnsi="Simplified Arabic" w:cs="Simplified Arabic" w:hint="cs"/>
          <w:color w:val="000000" w:themeColor="text1"/>
          <w:sz w:val="24"/>
          <w:szCs w:val="24"/>
          <w:rtl/>
          <w:lang w:bidi="ar-DZ"/>
        </w:rPr>
        <w:t>مسافة</w:t>
      </w:r>
      <w:r w:rsidRPr="00FA505F">
        <w:rPr>
          <w:rFonts w:ascii="Simplified Arabic" w:hAnsi="Simplified Arabic" w:cs="Simplified Arabic"/>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w:t>
      </w:r>
      <w:r w:rsidRPr="00FA505F">
        <w:rPr>
          <w:rFonts w:ascii="Simplified Arabic" w:hAnsi="Simplified Arabic" w:cs="Simplified Arabic" w:hint="cs"/>
          <w:color w:val="000000" w:themeColor="text1"/>
          <w:sz w:val="24"/>
          <w:szCs w:val="24"/>
          <w:rtl/>
          <w:lang w:bidi="ar-DZ"/>
        </w:rPr>
        <w:t>مترية</w:t>
      </w:r>
      <w:r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ضمن</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نفس</w:t>
      </w:r>
      <w:r w:rsidR="00BD50EF" w:rsidRPr="00FA505F">
        <w:rPr>
          <w:rFonts w:ascii="Simplified Arabic" w:hAnsi="Simplified Arabic" w:cs="Simplified Arabic"/>
          <w:color w:val="000000" w:themeColor="text1"/>
          <w:sz w:val="24"/>
          <w:szCs w:val="24"/>
          <w:rtl/>
          <w:lang w:bidi="ar-DZ"/>
        </w:rPr>
        <w:t xml:space="preserve"> </w:t>
      </w:r>
      <w:r w:rsidR="00023DFC">
        <w:rPr>
          <w:rFonts w:ascii="Simplified Arabic" w:hAnsi="Simplified Arabic" w:cs="Simplified Arabic" w:hint="cs"/>
          <w:color w:val="000000" w:themeColor="text1"/>
          <w:sz w:val="24"/>
          <w:szCs w:val="24"/>
          <w:rtl/>
          <w:lang w:bidi="ar-DZ"/>
        </w:rPr>
        <w:t>الحيز</w:t>
      </w:r>
      <w:r w:rsidR="00BD50EF" w:rsidRPr="00FA505F">
        <w:rPr>
          <w:rFonts w:ascii="Simplified Arabic" w:hAnsi="Simplified Arabic" w:cs="Simplified Arabic"/>
          <w:color w:val="000000" w:themeColor="text1"/>
          <w:sz w:val="24"/>
          <w:szCs w:val="24"/>
          <w:rtl/>
          <w:lang w:bidi="ar-DZ"/>
        </w:rPr>
        <w:t xml:space="preserve"> </w:t>
      </w:r>
      <w:r w:rsidR="00BD50EF" w:rsidRPr="00FA505F">
        <w:rPr>
          <w:rFonts w:ascii="Simplified Arabic" w:hAnsi="Simplified Arabic" w:cs="Simplified Arabic" w:hint="cs"/>
          <w:color w:val="000000" w:themeColor="text1"/>
          <w:sz w:val="24"/>
          <w:szCs w:val="24"/>
          <w:rtl/>
          <w:lang w:bidi="ar-DZ"/>
        </w:rPr>
        <w:t>محسوب</w:t>
      </w:r>
      <w:r w:rsidR="004724BE">
        <w:rPr>
          <w:rFonts w:ascii="Simplified Arabic" w:hAnsi="Simplified Arabic" w:cs="Simplified Arabic" w:hint="cs"/>
          <w:color w:val="000000" w:themeColor="text1"/>
          <w:sz w:val="24"/>
          <w:szCs w:val="24"/>
          <w:rtl/>
          <w:lang w:bidi="ar-DZ"/>
        </w:rPr>
        <w:t>ة</w:t>
      </w:r>
      <w:r w:rsidR="00BD50EF" w:rsidRPr="00FA505F">
        <w:rPr>
          <w:rFonts w:ascii="Simplified Arabic" w:hAnsi="Simplified Arabic" w:cs="Simplified Arabic"/>
          <w:color w:val="000000" w:themeColor="text1"/>
          <w:sz w:val="24"/>
          <w:szCs w:val="24"/>
          <w:rtl/>
          <w:lang w:bidi="ar-DZ"/>
        </w:rPr>
        <w:t xml:space="preserve"> </w:t>
      </w:r>
      <w:r w:rsidR="00BD50EF">
        <w:rPr>
          <w:rFonts w:ascii="Simplified Arabic" w:hAnsi="Simplified Arabic" w:cs="Simplified Arabic" w:hint="cs"/>
          <w:color w:val="000000" w:themeColor="text1"/>
          <w:sz w:val="24"/>
          <w:szCs w:val="24"/>
          <w:rtl/>
          <w:lang w:bidi="ar-DZ"/>
        </w:rPr>
        <w:t>اقليديا</w:t>
      </w:r>
      <w:r w:rsidR="00BD50EF" w:rsidRPr="00D61E03">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تم</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حساب</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مؤشر</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التكرار</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لكل</w:t>
      </w:r>
      <w:r w:rsidR="002A686B" w:rsidRPr="00D2637F">
        <w:rPr>
          <w:rFonts w:ascii="Simplified Arabic" w:hAnsi="Simplified Arabic" w:cs="Simplified Arabic"/>
          <w:sz w:val="24"/>
          <w:szCs w:val="24"/>
          <w:rtl/>
        </w:rPr>
        <w:t xml:space="preserve"> </w:t>
      </w:r>
      <w:r w:rsidR="00F8756E">
        <w:rPr>
          <w:rFonts w:ascii="Simplified Arabic" w:hAnsi="Simplified Arabic" w:cs="Simplified Arabic" w:hint="cs"/>
          <w:sz w:val="24"/>
          <w:szCs w:val="24"/>
          <w:rtl/>
        </w:rPr>
        <w:t>مبنى</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باستخدام</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أدوات</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التكرار</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المضمنة</w:t>
      </w:r>
      <w:r w:rsidR="002A686B" w:rsidRPr="00D2637F">
        <w:rPr>
          <w:rFonts w:ascii="Simplified Arabic" w:hAnsi="Simplified Arabic" w:cs="Simplified Arabic"/>
          <w:sz w:val="24"/>
          <w:szCs w:val="24"/>
          <w:rtl/>
        </w:rPr>
        <w:t xml:space="preserve"> </w:t>
      </w:r>
      <w:r w:rsidR="002A686B" w:rsidRPr="00D2637F">
        <w:rPr>
          <w:rFonts w:ascii="Simplified Arabic" w:hAnsi="Simplified Arabic" w:cs="Simplified Arabic" w:hint="cs"/>
          <w:sz w:val="24"/>
          <w:szCs w:val="24"/>
          <w:rtl/>
        </w:rPr>
        <w:t>في</w:t>
      </w:r>
      <w:r w:rsidR="002A686B" w:rsidRPr="00D2637F">
        <w:rPr>
          <w:rFonts w:ascii="Simplified Arabic" w:hAnsi="Simplified Arabic" w:cs="Simplified Arabic"/>
          <w:sz w:val="24"/>
          <w:szCs w:val="24"/>
          <w:rtl/>
        </w:rPr>
        <w:t xml:space="preserve"> </w:t>
      </w:r>
      <w:r w:rsidR="002A686B" w:rsidRPr="00120C28">
        <w:rPr>
          <w:rFonts w:asciiTheme="majorBidi" w:hAnsiTheme="majorBidi" w:cstheme="majorBidi"/>
          <w:sz w:val="24"/>
          <w:szCs w:val="24"/>
        </w:rPr>
        <w:t xml:space="preserve">Urban Network Analysis Toolbox </w:t>
      </w:r>
      <w:r w:rsidR="00023DFC">
        <w:rPr>
          <w:rFonts w:ascii="Simplified Arabic" w:hAnsi="Simplified Arabic" w:cs="Simplified Arabic" w:hint="cs"/>
          <w:sz w:val="24"/>
          <w:szCs w:val="24"/>
          <w:rtl/>
        </w:rPr>
        <w:t xml:space="preserve">، حيث </w:t>
      </w:r>
      <w:r w:rsidR="004B7EFC" w:rsidRPr="00D2637F">
        <w:rPr>
          <w:rFonts w:ascii="Simplified Arabic" w:hAnsi="Simplified Arabic" w:cs="Simplified Arabic" w:hint="cs"/>
          <w:color w:val="000000" w:themeColor="text1"/>
          <w:sz w:val="24"/>
          <w:szCs w:val="24"/>
          <w:rtl/>
        </w:rPr>
        <w:t>تم</w:t>
      </w:r>
      <w:r w:rsidR="004B7EFC" w:rsidRPr="00D2637F">
        <w:rPr>
          <w:rFonts w:ascii="Simplified Arabic" w:hAnsi="Simplified Arabic" w:cs="Simplified Arabic"/>
          <w:color w:val="000000" w:themeColor="text1"/>
          <w:sz w:val="24"/>
          <w:szCs w:val="24"/>
          <w:rtl/>
        </w:rPr>
        <w:t xml:space="preserve"> </w:t>
      </w:r>
      <w:r w:rsidR="004B7EFC">
        <w:rPr>
          <w:rFonts w:ascii="Simplified Arabic" w:hAnsi="Simplified Arabic" w:cs="Simplified Arabic" w:hint="cs"/>
          <w:color w:val="000000" w:themeColor="text1"/>
          <w:sz w:val="24"/>
          <w:szCs w:val="24"/>
          <w:rtl/>
        </w:rPr>
        <w:t>استكمال</w:t>
      </w:r>
      <w:r w:rsidR="004B7EFC" w:rsidRPr="00D2637F">
        <w:rPr>
          <w:rFonts w:ascii="Simplified Arabic" w:hAnsi="Simplified Arabic" w:cs="Simplified Arabic"/>
          <w:color w:val="000000" w:themeColor="text1"/>
          <w:sz w:val="24"/>
          <w:szCs w:val="24"/>
          <w:rtl/>
        </w:rPr>
        <w:t xml:space="preserve"> </w:t>
      </w:r>
      <w:r w:rsidR="004B7EFC" w:rsidRPr="00D2637F">
        <w:rPr>
          <w:rFonts w:ascii="Simplified Arabic" w:hAnsi="Simplified Arabic" w:cs="Simplified Arabic" w:hint="cs"/>
          <w:color w:val="000000" w:themeColor="text1"/>
          <w:sz w:val="24"/>
          <w:szCs w:val="24"/>
          <w:rtl/>
        </w:rPr>
        <w:t>هذه</w:t>
      </w:r>
      <w:r w:rsidR="004B7EFC" w:rsidRPr="00D2637F">
        <w:rPr>
          <w:rFonts w:ascii="Simplified Arabic" w:hAnsi="Simplified Arabic" w:cs="Simplified Arabic"/>
          <w:color w:val="000000" w:themeColor="text1"/>
          <w:sz w:val="24"/>
          <w:szCs w:val="24"/>
          <w:rtl/>
        </w:rPr>
        <w:t xml:space="preserve"> </w:t>
      </w:r>
      <w:r w:rsidR="004B7EFC" w:rsidRPr="00D2637F">
        <w:rPr>
          <w:rFonts w:ascii="Simplified Arabic" w:hAnsi="Simplified Arabic" w:cs="Simplified Arabic" w:hint="cs"/>
          <w:color w:val="000000" w:themeColor="text1"/>
          <w:sz w:val="24"/>
          <w:szCs w:val="24"/>
          <w:rtl/>
        </w:rPr>
        <w:t>العملية</w:t>
      </w:r>
      <w:r w:rsidR="004B7EFC" w:rsidRPr="00D2637F">
        <w:rPr>
          <w:rFonts w:ascii="Simplified Arabic" w:hAnsi="Simplified Arabic" w:cs="Simplified Arabic"/>
          <w:color w:val="000000" w:themeColor="text1"/>
          <w:sz w:val="24"/>
          <w:szCs w:val="24"/>
          <w:rtl/>
        </w:rPr>
        <w:t xml:space="preserve"> </w:t>
      </w:r>
      <w:r w:rsidR="004B7EFC" w:rsidRPr="00D2637F">
        <w:rPr>
          <w:rFonts w:ascii="Simplified Arabic" w:hAnsi="Simplified Arabic" w:cs="Simplified Arabic" w:hint="cs"/>
          <w:color w:val="000000" w:themeColor="text1"/>
          <w:sz w:val="24"/>
          <w:szCs w:val="24"/>
          <w:rtl/>
        </w:rPr>
        <w:t>باستخدام</w:t>
      </w:r>
      <w:r w:rsidR="004B7EFC" w:rsidRPr="00D2637F">
        <w:rPr>
          <w:rFonts w:ascii="Simplified Arabic" w:hAnsi="Simplified Arabic" w:cs="Simplified Arabic"/>
          <w:color w:val="000000" w:themeColor="text1"/>
          <w:sz w:val="24"/>
          <w:szCs w:val="24"/>
          <w:rtl/>
        </w:rPr>
        <w:t xml:space="preserve"> </w:t>
      </w:r>
      <w:r w:rsidR="004B7EFC" w:rsidRPr="003E6C31">
        <w:rPr>
          <w:rFonts w:asciiTheme="majorBidi" w:hAnsiTheme="majorBidi" w:cstheme="majorBidi"/>
          <w:color w:val="000000" w:themeColor="text1"/>
          <w:sz w:val="24"/>
          <w:szCs w:val="24"/>
        </w:rPr>
        <w:t>Model</w:t>
      </w:r>
      <w:r w:rsidR="004B7EFC" w:rsidRPr="00D2637F">
        <w:rPr>
          <w:rFonts w:ascii="Simplified Arabic" w:hAnsi="Simplified Arabic" w:cs="Simplified Arabic"/>
          <w:color w:val="000000" w:themeColor="text1"/>
          <w:sz w:val="24"/>
          <w:szCs w:val="24"/>
        </w:rPr>
        <w:t xml:space="preserve"> </w:t>
      </w:r>
      <w:r w:rsidR="004B7EFC" w:rsidRPr="003E6C31">
        <w:rPr>
          <w:rFonts w:asciiTheme="majorBidi" w:hAnsiTheme="majorBidi" w:cstheme="majorBidi"/>
          <w:color w:val="000000" w:themeColor="text1"/>
          <w:sz w:val="24"/>
          <w:szCs w:val="24"/>
        </w:rPr>
        <w:t>Builder</w:t>
      </w:r>
      <w:r w:rsidR="004B7EFC" w:rsidRPr="00D2637F">
        <w:rPr>
          <w:rFonts w:ascii="Simplified Arabic" w:hAnsi="Simplified Arabic" w:cs="Simplified Arabic"/>
          <w:color w:val="000000" w:themeColor="text1"/>
          <w:sz w:val="24"/>
          <w:szCs w:val="24"/>
          <w:rtl/>
        </w:rPr>
        <w:t>.</w:t>
      </w:r>
      <w:r w:rsidR="004B7EFC">
        <w:rPr>
          <w:rFonts w:ascii="Simplified Arabic" w:hAnsi="Simplified Arabic" w:cs="Simplified Arabic" w:hint="cs"/>
          <w:color w:val="000000" w:themeColor="text1"/>
          <w:sz w:val="24"/>
          <w:szCs w:val="24"/>
          <w:rtl/>
        </w:rPr>
        <w:t xml:space="preserve"> </w:t>
      </w:r>
    </w:p>
    <w:p w:rsidR="00681A57" w:rsidRDefault="00681A57" w:rsidP="00681A57">
      <w:pPr>
        <w:bidi/>
        <w:spacing w:after="0"/>
        <w:ind w:firstLine="283"/>
        <w:jc w:val="both"/>
        <w:rPr>
          <w:rFonts w:ascii="Simplified Arabic" w:hAnsi="Simplified Arabic" w:cs="Simplified Arabic"/>
          <w:sz w:val="24"/>
          <w:szCs w:val="24"/>
          <w:rtl/>
        </w:rPr>
      </w:pPr>
      <w:r w:rsidRPr="009616F1">
        <w:rPr>
          <w:rFonts w:ascii="Simplified Arabic" w:hAnsi="Simplified Arabic" w:cs="Simplified Arabic" w:hint="cs"/>
          <w:sz w:val="24"/>
          <w:szCs w:val="24"/>
          <w:rtl/>
        </w:rPr>
        <w:t>مرت عملية التحليل المكاني بمراحل لبناء نموذج الكش</w:t>
      </w:r>
      <w:r>
        <w:rPr>
          <w:rFonts w:ascii="Simplified Arabic" w:hAnsi="Simplified Arabic" w:cs="Simplified Arabic" w:hint="cs"/>
          <w:sz w:val="24"/>
          <w:szCs w:val="24"/>
          <w:rtl/>
        </w:rPr>
        <w:t xml:space="preserve">ف عن سمة الكثافة، </w:t>
      </w:r>
      <w:r w:rsidR="00276D01" w:rsidRPr="00B54E4D">
        <w:rPr>
          <w:rFonts w:ascii="Simplified Arabic" w:hAnsi="Simplified Arabic" w:cs="Simplified Arabic" w:hint="cs"/>
          <w:sz w:val="24"/>
          <w:szCs w:val="24"/>
          <w:rtl/>
        </w:rPr>
        <w:t>يظهر</w:t>
      </w:r>
      <w:r w:rsidR="00276D01" w:rsidRPr="00B54E4D">
        <w:rPr>
          <w:rFonts w:ascii="Simplified Arabic" w:hAnsi="Simplified Arabic" w:cs="Simplified Arabic"/>
          <w:sz w:val="24"/>
          <w:szCs w:val="24"/>
          <w:rtl/>
        </w:rPr>
        <w:t xml:space="preserve"> </w:t>
      </w:r>
      <w:r w:rsidR="00276D01" w:rsidRPr="00B54E4D">
        <w:rPr>
          <w:rFonts w:ascii="Simplified Arabic" w:hAnsi="Simplified Arabic" w:cs="Simplified Arabic" w:hint="cs"/>
          <w:sz w:val="24"/>
          <w:szCs w:val="24"/>
          <w:rtl/>
        </w:rPr>
        <w:t>الشكل</w:t>
      </w:r>
      <w:r w:rsidR="00276D01" w:rsidRPr="00B54E4D">
        <w:rPr>
          <w:rFonts w:ascii="Simplified Arabic" w:hAnsi="Simplified Arabic" w:cs="Simplified Arabic"/>
          <w:sz w:val="24"/>
          <w:szCs w:val="24"/>
          <w:rtl/>
        </w:rPr>
        <w:t xml:space="preserve"> </w:t>
      </w:r>
      <w:r w:rsidR="00276D01" w:rsidRPr="00B54E4D">
        <w:rPr>
          <w:rFonts w:ascii="Simplified Arabic" w:hAnsi="Simplified Arabic" w:cs="Simplified Arabic" w:hint="cs"/>
          <w:sz w:val="24"/>
          <w:szCs w:val="24"/>
          <w:rtl/>
        </w:rPr>
        <w:t>(6-</w:t>
      </w:r>
      <w:r w:rsidR="00B24A3A">
        <w:rPr>
          <w:rFonts w:ascii="Simplified Arabic" w:hAnsi="Simplified Arabic" w:cs="Simplified Arabic"/>
          <w:sz w:val="24"/>
          <w:szCs w:val="24"/>
        </w:rPr>
        <w:t>8</w:t>
      </w:r>
      <w:r w:rsidR="00276D01" w:rsidRPr="00B54E4D">
        <w:rPr>
          <w:rFonts w:ascii="Simplified Arabic" w:hAnsi="Simplified Arabic" w:cs="Simplified Arabic" w:hint="cs"/>
          <w:sz w:val="24"/>
          <w:szCs w:val="24"/>
          <w:rtl/>
        </w:rPr>
        <w:t>)،</w:t>
      </w:r>
      <w:r w:rsidR="00276D01" w:rsidRPr="00B54E4D">
        <w:rPr>
          <w:rFonts w:ascii="Simplified Arabic" w:hAnsi="Simplified Arabic" w:cs="Simplified Arabic"/>
          <w:sz w:val="24"/>
          <w:szCs w:val="24"/>
          <w:rtl/>
        </w:rPr>
        <w:t xml:space="preserve"> </w:t>
      </w:r>
      <w:r w:rsidR="00276D01" w:rsidRPr="00B54E4D">
        <w:rPr>
          <w:rFonts w:ascii="Simplified Arabic" w:hAnsi="Simplified Arabic" w:cs="Simplified Arabic" w:hint="cs"/>
          <w:sz w:val="24"/>
          <w:szCs w:val="24"/>
          <w:rtl/>
        </w:rPr>
        <w:t>مخطط انسيابي</w:t>
      </w:r>
      <w:r w:rsidR="00276D01" w:rsidRPr="00B54E4D">
        <w:rPr>
          <w:rFonts w:ascii="Simplified Arabic" w:hAnsi="Simplified Arabic" w:cs="Simplified Arabic"/>
          <w:sz w:val="24"/>
          <w:szCs w:val="24"/>
          <w:rtl/>
        </w:rPr>
        <w:t xml:space="preserve"> </w:t>
      </w:r>
      <w:r w:rsidR="00276D01" w:rsidRPr="00B54E4D">
        <w:rPr>
          <w:rFonts w:ascii="Simplified Arabic" w:hAnsi="Simplified Arabic" w:cs="Simplified Arabic" w:hint="cs"/>
          <w:sz w:val="24"/>
          <w:szCs w:val="24"/>
          <w:rtl/>
        </w:rPr>
        <w:t>للعملية</w:t>
      </w:r>
      <w:r w:rsidR="00276D01" w:rsidRPr="00B54E4D">
        <w:rPr>
          <w:rFonts w:ascii="Simplified Arabic" w:hAnsi="Simplified Arabic" w:cs="Simplified Arabic"/>
          <w:sz w:val="24"/>
          <w:szCs w:val="24"/>
          <w:rtl/>
        </w:rPr>
        <w:t xml:space="preserve"> </w:t>
      </w:r>
      <w:r w:rsidR="00276D01" w:rsidRPr="00B54E4D">
        <w:rPr>
          <w:rFonts w:ascii="Simplified Arabic" w:hAnsi="Simplified Arabic" w:cs="Simplified Arabic" w:hint="cs"/>
          <w:sz w:val="24"/>
          <w:szCs w:val="24"/>
          <w:rtl/>
        </w:rPr>
        <w:t>المستخدمة</w:t>
      </w:r>
      <w:r w:rsidR="00276D01" w:rsidRPr="00B54E4D">
        <w:rPr>
          <w:rFonts w:ascii="Simplified Arabic" w:hAnsi="Simplified Arabic" w:cs="Simplified Arabic"/>
          <w:sz w:val="24"/>
          <w:szCs w:val="24"/>
          <w:rtl/>
        </w:rPr>
        <w:t xml:space="preserve"> </w:t>
      </w:r>
      <w:r w:rsidR="00276D01" w:rsidRPr="00B54E4D">
        <w:rPr>
          <w:rFonts w:ascii="Simplified Arabic" w:hAnsi="Simplified Arabic" w:cs="Simplified Arabic" w:hint="cs"/>
          <w:sz w:val="24"/>
          <w:szCs w:val="24"/>
          <w:rtl/>
        </w:rPr>
        <w:t>لكشف سمة</w:t>
      </w:r>
      <w:r w:rsidR="00276D01" w:rsidRPr="00B54E4D">
        <w:rPr>
          <w:rFonts w:ascii="Simplified Arabic" w:hAnsi="Simplified Arabic" w:cs="Simplified Arabic"/>
          <w:sz w:val="24"/>
          <w:szCs w:val="24"/>
          <w:rtl/>
        </w:rPr>
        <w:t xml:space="preserve"> </w:t>
      </w:r>
      <w:r w:rsidR="00276D01">
        <w:rPr>
          <w:rFonts w:ascii="Simplified Arabic" w:hAnsi="Simplified Arabic" w:cs="Simplified Arabic" w:hint="cs"/>
          <w:sz w:val="24"/>
          <w:szCs w:val="24"/>
          <w:rtl/>
        </w:rPr>
        <w:t>الكثافة</w:t>
      </w:r>
      <w:r w:rsidR="00276D01" w:rsidRPr="00B54E4D">
        <w:rPr>
          <w:rFonts w:ascii="Simplified Arabic" w:hAnsi="Simplified Arabic" w:cs="Simplified Arabic"/>
          <w:sz w:val="24"/>
          <w:szCs w:val="24"/>
          <w:rtl/>
        </w:rPr>
        <w:t xml:space="preserve">. </w:t>
      </w:r>
    </w:p>
    <w:p w:rsidR="00681A57" w:rsidRDefault="00681A57" w:rsidP="005D7A23">
      <w:pPr>
        <w:pStyle w:val="fegure"/>
        <w:spacing w:before="240"/>
        <w:rPr>
          <w:sz w:val="8"/>
          <w:szCs w:val="24"/>
          <w:rtl/>
        </w:rPr>
      </w:pPr>
      <w:bookmarkStart w:id="811" w:name="_Toc171803790"/>
      <w:r w:rsidRPr="0089158C">
        <w:rPr>
          <w:rFonts w:hint="cs"/>
          <w:sz w:val="8"/>
          <w:szCs w:val="24"/>
          <w:rtl/>
          <w:lang w:bidi="ar-DZ"/>
        </w:rPr>
        <w:t>الشكل</w:t>
      </w:r>
      <w:r w:rsidRPr="0089158C">
        <w:rPr>
          <w:sz w:val="8"/>
          <w:szCs w:val="24"/>
          <w:rtl/>
          <w:lang w:bidi="ar-DZ"/>
        </w:rPr>
        <w:t xml:space="preserve"> </w:t>
      </w:r>
      <w:r w:rsidRPr="0089158C">
        <w:rPr>
          <w:rFonts w:hint="cs"/>
          <w:sz w:val="8"/>
          <w:szCs w:val="24"/>
          <w:rtl/>
          <w:lang w:bidi="ar-DZ"/>
        </w:rPr>
        <w:t>(6-8)</w:t>
      </w:r>
      <w:r w:rsidRPr="0089158C">
        <w:rPr>
          <w:sz w:val="8"/>
          <w:szCs w:val="24"/>
          <w:rtl/>
          <w:lang w:bidi="ar-DZ"/>
        </w:rPr>
        <w:t xml:space="preserve"> </w:t>
      </w:r>
      <w:r w:rsidRPr="0089158C">
        <w:rPr>
          <w:rFonts w:hint="cs"/>
          <w:sz w:val="8"/>
          <w:szCs w:val="24"/>
          <w:rtl/>
          <w:lang w:bidi="ar-DZ"/>
        </w:rPr>
        <w:t>مراحل بناء نموذج</w:t>
      </w:r>
      <w:r w:rsidRPr="0089158C">
        <w:rPr>
          <w:sz w:val="8"/>
          <w:szCs w:val="24"/>
          <w:rtl/>
          <w:lang w:bidi="ar-DZ"/>
        </w:rPr>
        <w:t xml:space="preserve"> </w:t>
      </w:r>
      <w:r w:rsidRPr="0089158C">
        <w:rPr>
          <w:rFonts w:hint="cs"/>
          <w:sz w:val="8"/>
          <w:szCs w:val="24"/>
          <w:rtl/>
          <w:lang w:bidi="ar-DZ"/>
        </w:rPr>
        <w:t>مقترح ل</w:t>
      </w:r>
      <w:r w:rsidR="005D7A23">
        <w:rPr>
          <w:rFonts w:hint="cs"/>
          <w:sz w:val="8"/>
          <w:szCs w:val="24"/>
          <w:rtl/>
          <w:lang w:bidi="ar-DZ"/>
        </w:rPr>
        <w:t>كشف</w:t>
      </w:r>
      <w:r w:rsidRPr="0089158C">
        <w:rPr>
          <w:sz w:val="8"/>
          <w:szCs w:val="24"/>
          <w:rtl/>
          <w:lang w:bidi="ar-DZ"/>
        </w:rPr>
        <w:t xml:space="preserve"> </w:t>
      </w:r>
      <w:r w:rsidRPr="0089158C">
        <w:rPr>
          <w:rFonts w:hint="cs"/>
          <w:sz w:val="8"/>
          <w:szCs w:val="24"/>
          <w:rtl/>
          <w:lang w:bidi="ar-DZ"/>
        </w:rPr>
        <w:t xml:space="preserve">سمة </w:t>
      </w:r>
      <w:r w:rsidRPr="0089158C">
        <w:rPr>
          <w:rFonts w:hint="cs"/>
          <w:sz w:val="8"/>
          <w:szCs w:val="24"/>
          <w:rtl/>
        </w:rPr>
        <w:t>الكثافة</w:t>
      </w:r>
      <w:bookmarkEnd w:id="811"/>
    </w:p>
    <w:p w:rsidR="001111A0" w:rsidRPr="001111A0" w:rsidRDefault="001111A0" w:rsidP="001111A0">
      <w:pPr>
        <w:pStyle w:val="fegure"/>
        <w:rPr>
          <w:sz w:val="8"/>
          <w:szCs w:val="24"/>
          <w:rtl/>
          <w:lang w:val="en-US" w:bidi="ar-DZ"/>
        </w:rPr>
      </w:pPr>
      <w:bookmarkStart w:id="812" w:name="_Toc171803791"/>
      <w:r>
        <w:rPr>
          <w:rFonts w:hint="cs"/>
          <w:sz w:val="8"/>
          <w:szCs w:val="24"/>
          <w:rtl/>
          <w:lang w:val="en-US"/>
        </w:rPr>
        <w:t>(الباحث، 2022)</w:t>
      </w:r>
      <w:bookmarkEnd w:id="812"/>
    </w:p>
    <w:p w:rsidR="00681A57" w:rsidRPr="00F82AE2" w:rsidRDefault="00681A57" w:rsidP="00681A57">
      <w:pPr>
        <w:tabs>
          <w:tab w:val="right" w:pos="567"/>
          <w:tab w:val="right" w:pos="850"/>
        </w:tabs>
        <w:autoSpaceDE w:val="0"/>
        <w:autoSpaceDN w:val="0"/>
        <w:bidi/>
        <w:adjustRightInd w:val="0"/>
        <w:spacing w:line="240" w:lineRule="auto"/>
        <w:jc w:val="center"/>
        <w:rPr>
          <w:rFonts w:ascii="Simplified Arabic" w:hAnsi="Simplified Arabic" w:cs="Simplified Arabic"/>
          <w:sz w:val="24"/>
          <w:szCs w:val="24"/>
          <w:rtl/>
        </w:rPr>
      </w:pPr>
      <w:r>
        <w:rPr>
          <w:noProof/>
          <w:lang w:eastAsia="fr-FR"/>
        </w:rPr>
        <w:drawing>
          <wp:inline distT="0" distB="0" distL="0" distR="0" wp14:anchorId="2D32213D" wp14:editId="7731FB4C">
            <wp:extent cx="4356339" cy="1725283"/>
            <wp:effectExtent l="19050" t="19050" r="25400" b="27940"/>
            <wp:docPr id="177" name="Imag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7">
                      <a:extLst>
                        <a:ext uri="{BEBA8EAE-BF5A-486C-A8C5-ECC9F3942E4B}">
                          <a14:imgProps xmlns:a14="http://schemas.microsoft.com/office/drawing/2010/main">
                            <a14:imgLayer r:embed="rId288">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355950" cy="1725129"/>
                    </a:xfrm>
                    <a:prstGeom prst="rect">
                      <a:avLst/>
                    </a:prstGeom>
                    <a:ln>
                      <a:solidFill>
                        <a:schemeClr val="tx1"/>
                      </a:solidFill>
                    </a:ln>
                  </pic:spPr>
                </pic:pic>
              </a:graphicData>
            </a:graphic>
          </wp:inline>
        </w:drawing>
      </w:r>
    </w:p>
    <w:p w:rsidR="004E1FA3" w:rsidRDefault="00276D01" w:rsidP="005D7A23">
      <w:pPr>
        <w:autoSpaceDE w:val="0"/>
        <w:autoSpaceDN w:val="0"/>
        <w:bidi/>
        <w:adjustRightInd w:val="0"/>
        <w:spacing w:after="0"/>
        <w:ind w:firstLine="283"/>
        <w:jc w:val="both"/>
        <w:rPr>
          <w:sz w:val="8"/>
          <w:szCs w:val="24"/>
          <w:rtl/>
          <w:lang w:bidi="ar-DZ"/>
        </w:rPr>
      </w:pPr>
      <w:r w:rsidRPr="00B54E4D">
        <w:rPr>
          <w:rFonts w:ascii="Simplified Arabic" w:hAnsi="Simplified Arabic" w:cs="Simplified Arabic" w:hint="cs"/>
          <w:sz w:val="24"/>
          <w:szCs w:val="24"/>
          <w:rtl/>
        </w:rPr>
        <w:t>بدءًا</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من</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الجانب</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الأيسر</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للشكل</w:t>
      </w:r>
      <w:r w:rsidR="00490829">
        <w:rPr>
          <w:rFonts w:ascii="Simplified Arabic" w:hAnsi="Simplified Arabic" w:cs="Simplified Arabic" w:hint="cs"/>
          <w:sz w:val="24"/>
          <w:szCs w:val="24"/>
          <w:rtl/>
        </w:rPr>
        <w:t xml:space="preserve"> </w:t>
      </w:r>
      <w:r w:rsidR="00681A57" w:rsidRPr="00B54E4D">
        <w:rPr>
          <w:rFonts w:ascii="Simplified Arabic" w:hAnsi="Simplified Arabic" w:cs="Simplified Arabic" w:hint="cs"/>
          <w:sz w:val="24"/>
          <w:szCs w:val="24"/>
          <w:rtl/>
        </w:rPr>
        <w:t>(6-</w:t>
      </w:r>
      <w:r w:rsidR="00681A57">
        <w:rPr>
          <w:rFonts w:ascii="Simplified Arabic" w:hAnsi="Simplified Arabic" w:cs="Simplified Arabic"/>
          <w:sz w:val="24"/>
          <w:szCs w:val="24"/>
        </w:rPr>
        <w:t>8</w:t>
      </w:r>
      <w:r w:rsidR="00681A57" w:rsidRPr="00B54E4D">
        <w:rPr>
          <w:rFonts w:ascii="Simplified Arabic" w:hAnsi="Simplified Arabic" w:cs="Simplified Arabic" w:hint="cs"/>
          <w:sz w:val="24"/>
          <w:szCs w:val="24"/>
          <w:rtl/>
        </w:rPr>
        <w:t>)</w:t>
      </w:r>
      <w:r w:rsidRPr="00B54E4D">
        <w:rPr>
          <w:rFonts w:ascii="Simplified Arabic" w:hAnsi="Simplified Arabic" w:cs="Simplified Arabic" w:hint="cs"/>
          <w:sz w:val="24"/>
          <w:szCs w:val="24"/>
          <w:rtl/>
        </w:rPr>
        <w:t>،</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توجد</w:t>
      </w:r>
      <w:r w:rsidRPr="00056214">
        <w:rPr>
          <w:rFonts w:ascii="Simplified Arabic" w:hAnsi="Simplified Arabic" w:cs="Simplified Arabic" w:hint="cs"/>
          <w:sz w:val="24"/>
          <w:szCs w:val="24"/>
          <w:rtl/>
        </w:rPr>
        <w:t xml:space="preserve"> </w:t>
      </w:r>
      <w:r w:rsidR="002A686B" w:rsidRPr="00056214">
        <w:rPr>
          <w:rFonts w:ascii="Simplified Arabic" w:hAnsi="Simplified Arabic" w:cs="Simplified Arabic" w:hint="cs"/>
          <w:sz w:val="24"/>
          <w:szCs w:val="24"/>
          <w:rtl/>
        </w:rPr>
        <w:t>بيانات</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الإدخال</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المطلوبة</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للتقييم</w:t>
      </w:r>
      <w:r w:rsidR="002A686B">
        <w:rPr>
          <w:rFonts w:ascii="Simplified Arabic" w:hAnsi="Simplified Arabic" w:cs="Simplified Arabic" w:hint="cs"/>
          <w:sz w:val="24"/>
          <w:szCs w:val="24"/>
          <w:rtl/>
        </w:rPr>
        <w:t xml:space="preserve"> </w:t>
      </w:r>
      <w:r w:rsidR="002A686B" w:rsidRPr="00056214">
        <w:rPr>
          <w:rFonts w:ascii="Simplified Arabic" w:hAnsi="Simplified Arabic" w:cs="Simplified Arabic" w:hint="cs"/>
          <w:sz w:val="24"/>
          <w:szCs w:val="24"/>
          <w:rtl/>
        </w:rPr>
        <w:t>هي</w:t>
      </w:r>
      <w:r w:rsidR="002A686B" w:rsidRPr="00056214">
        <w:rPr>
          <w:rFonts w:ascii="Simplified Arabic" w:hAnsi="Simplified Arabic" w:cs="Simplified Arabic"/>
          <w:sz w:val="24"/>
          <w:szCs w:val="24"/>
          <w:rtl/>
        </w:rPr>
        <w:t xml:space="preserve"> </w:t>
      </w:r>
      <w:r w:rsidR="002A686B" w:rsidRPr="00120C28">
        <w:rPr>
          <w:rFonts w:ascii="Simplified Arabic" w:hAnsi="Simplified Arabic" w:cs="Simplified Arabic" w:hint="cs"/>
          <w:sz w:val="24"/>
          <w:szCs w:val="24"/>
          <w:rtl/>
        </w:rPr>
        <w:t>المباني</w:t>
      </w:r>
      <w:r w:rsidR="002A686B" w:rsidRPr="00056214">
        <w:rPr>
          <w:rFonts w:ascii="Simplified Arabic" w:hAnsi="Simplified Arabic" w:cs="Simplified Arabic" w:hint="cs"/>
          <w:sz w:val="24"/>
          <w:szCs w:val="24"/>
          <w:rtl/>
        </w:rPr>
        <w:t>،</w:t>
      </w:r>
      <w:r w:rsidR="002A686B" w:rsidRPr="00056214">
        <w:rPr>
          <w:rFonts w:ascii="Simplified Arabic" w:hAnsi="Simplified Arabic" w:cs="Simplified Arabic"/>
          <w:sz w:val="24"/>
          <w:szCs w:val="24"/>
          <w:rtl/>
        </w:rPr>
        <w:t xml:space="preserve"> </w:t>
      </w:r>
      <w:r w:rsidR="00EB1849">
        <w:rPr>
          <w:rFonts w:ascii="Simplified Arabic" w:hAnsi="Simplified Arabic" w:cs="Simplified Arabic" w:hint="cs"/>
          <w:sz w:val="24"/>
          <w:szCs w:val="24"/>
          <w:rtl/>
        </w:rPr>
        <w:t>ي</w:t>
      </w:r>
      <w:r w:rsidR="00EB1849" w:rsidRPr="00D2637F">
        <w:rPr>
          <w:rFonts w:ascii="Simplified Arabic" w:hAnsi="Simplified Arabic" w:cs="Simplified Arabic" w:hint="cs"/>
          <w:sz w:val="24"/>
          <w:szCs w:val="24"/>
          <w:rtl/>
        </w:rPr>
        <w:t>تم</w:t>
      </w:r>
      <w:r w:rsidR="00EB1849" w:rsidRPr="00D2637F">
        <w:rPr>
          <w:rFonts w:ascii="Simplified Arabic" w:hAnsi="Simplified Arabic" w:cs="Simplified Arabic"/>
          <w:sz w:val="24"/>
          <w:szCs w:val="24"/>
          <w:rtl/>
        </w:rPr>
        <w:t xml:space="preserve"> </w:t>
      </w:r>
      <w:r w:rsidR="00EB1849" w:rsidRPr="00D2637F">
        <w:rPr>
          <w:rFonts w:ascii="Simplified Arabic" w:hAnsi="Simplified Arabic" w:cs="Simplified Arabic" w:hint="cs"/>
          <w:sz w:val="24"/>
          <w:szCs w:val="24"/>
          <w:rtl/>
        </w:rPr>
        <w:t>تحديد</w:t>
      </w:r>
      <w:r w:rsidR="00EB1849" w:rsidRPr="00D2637F">
        <w:rPr>
          <w:rFonts w:ascii="Simplified Arabic" w:hAnsi="Simplified Arabic" w:cs="Simplified Arabic"/>
          <w:sz w:val="24"/>
          <w:szCs w:val="24"/>
          <w:rtl/>
        </w:rPr>
        <w:t xml:space="preserve"> </w:t>
      </w:r>
      <w:r w:rsidR="00EB1849" w:rsidRPr="00D2637F">
        <w:rPr>
          <w:rFonts w:ascii="Simplified Arabic" w:hAnsi="Simplified Arabic" w:cs="Simplified Arabic" w:hint="cs"/>
          <w:sz w:val="24"/>
          <w:szCs w:val="24"/>
          <w:rtl/>
        </w:rPr>
        <w:t>نصف</w:t>
      </w:r>
      <w:r w:rsidR="00EB1849" w:rsidRPr="00D2637F">
        <w:rPr>
          <w:rFonts w:ascii="Simplified Arabic" w:hAnsi="Simplified Arabic" w:cs="Simplified Arabic"/>
          <w:sz w:val="24"/>
          <w:szCs w:val="24"/>
          <w:rtl/>
        </w:rPr>
        <w:t xml:space="preserve"> </w:t>
      </w:r>
      <w:r w:rsidR="00EB1849" w:rsidRPr="00D2637F">
        <w:rPr>
          <w:rFonts w:ascii="Simplified Arabic" w:hAnsi="Simplified Arabic" w:cs="Simplified Arabic" w:hint="cs"/>
          <w:sz w:val="24"/>
          <w:szCs w:val="24"/>
          <w:rtl/>
        </w:rPr>
        <w:t>قطر</w:t>
      </w:r>
      <w:r w:rsidR="00EB1849" w:rsidRPr="00D2637F">
        <w:rPr>
          <w:rFonts w:ascii="Simplified Arabic" w:hAnsi="Simplified Arabic" w:cs="Simplified Arabic"/>
          <w:sz w:val="24"/>
          <w:szCs w:val="24"/>
          <w:rtl/>
        </w:rPr>
        <w:t xml:space="preserve"> </w:t>
      </w:r>
      <w:r w:rsidR="00EB1849">
        <w:rPr>
          <w:rFonts w:ascii="Simplified Arabic" w:hAnsi="Simplified Arabic" w:cs="Simplified Arabic" w:hint="cs"/>
          <w:sz w:val="24"/>
          <w:szCs w:val="24"/>
          <w:rtl/>
        </w:rPr>
        <w:t>الحيز المكاني</w:t>
      </w:r>
      <w:r w:rsidR="00EB1849" w:rsidRPr="00D2637F">
        <w:rPr>
          <w:rFonts w:ascii="Simplified Arabic" w:hAnsi="Simplified Arabic" w:cs="Simplified Arabic"/>
          <w:sz w:val="24"/>
          <w:szCs w:val="24"/>
          <w:rtl/>
        </w:rPr>
        <w:t xml:space="preserve"> </w:t>
      </w:r>
      <w:r w:rsidR="00EB1849" w:rsidRPr="00D2637F">
        <w:rPr>
          <w:rFonts w:ascii="Simplified Arabic" w:hAnsi="Simplified Arabic" w:cs="Simplified Arabic" w:hint="cs"/>
          <w:sz w:val="24"/>
          <w:szCs w:val="24"/>
          <w:rtl/>
        </w:rPr>
        <w:t>على</w:t>
      </w:r>
      <w:r w:rsidR="00EB1849" w:rsidRPr="00D2637F">
        <w:rPr>
          <w:rFonts w:ascii="Simplified Arabic" w:hAnsi="Simplified Arabic" w:cs="Simplified Arabic"/>
          <w:sz w:val="24"/>
          <w:szCs w:val="24"/>
          <w:rtl/>
        </w:rPr>
        <w:t xml:space="preserve"> </w:t>
      </w:r>
      <w:r w:rsidR="00EB1849" w:rsidRPr="00D2637F">
        <w:rPr>
          <w:rFonts w:ascii="Simplified Arabic" w:hAnsi="Simplified Arabic" w:cs="Simplified Arabic" w:hint="cs"/>
          <w:sz w:val="24"/>
          <w:szCs w:val="24"/>
          <w:rtl/>
        </w:rPr>
        <w:t>مسافة</w:t>
      </w:r>
      <w:r w:rsidR="00EB1849" w:rsidRPr="00D2637F">
        <w:rPr>
          <w:rFonts w:ascii="Simplified Arabic" w:hAnsi="Simplified Arabic" w:cs="Simplified Arabic"/>
          <w:sz w:val="24"/>
          <w:szCs w:val="24"/>
          <w:rtl/>
        </w:rPr>
        <w:t xml:space="preserve"> </w:t>
      </w:r>
      <w:r w:rsidR="000915D5">
        <w:rPr>
          <w:rFonts w:ascii="Simplified Arabic" w:hAnsi="Simplified Arabic" w:cs="Simplified Arabic" w:hint="cs"/>
          <w:sz w:val="24"/>
          <w:szCs w:val="24"/>
          <w:rtl/>
        </w:rPr>
        <w:t>300</w:t>
      </w:r>
      <w:r w:rsidR="00EB1849" w:rsidRPr="00D2637F">
        <w:rPr>
          <w:rFonts w:ascii="Simplified Arabic" w:hAnsi="Simplified Arabic" w:cs="Simplified Arabic"/>
          <w:sz w:val="24"/>
          <w:szCs w:val="24"/>
          <w:rtl/>
        </w:rPr>
        <w:t xml:space="preserve"> </w:t>
      </w:r>
      <w:r w:rsidR="00EB1849" w:rsidRPr="00D2637F">
        <w:rPr>
          <w:rFonts w:ascii="Simplified Arabic" w:hAnsi="Simplified Arabic" w:cs="Simplified Arabic" w:hint="cs"/>
          <w:sz w:val="24"/>
          <w:szCs w:val="24"/>
          <w:rtl/>
        </w:rPr>
        <w:t>متر</w:t>
      </w:r>
      <w:r w:rsidR="00EB1849">
        <w:rPr>
          <w:rFonts w:ascii="Simplified Arabic" w:hAnsi="Simplified Arabic" w:cs="Simplified Arabic" w:hint="cs"/>
          <w:sz w:val="24"/>
          <w:szCs w:val="24"/>
          <w:rtl/>
        </w:rPr>
        <w:t xml:space="preserve">، يتم تحديد مبنى كأصل لانطلاق الرحلة، يتم حساب </w:t>
      </w:r>
      <w:r w:rsidR="00EB1849">
        <w:rPr>
          <w:rFonts w:ascii="Simplified Arabic" w:hAnsi="Simplified Arabic" w:cs="Simplified Arabic" w:hint="cs"/>
          <w:color w:val="000000" w:themeColor="text1"/>
          <w:sz w:val="24"/>
          <w:szCs w:val="24"/>
          <w:rtl/>
          <w:lang w:bidi="ar-DZ"/>
        </w:rPr>
        <w:t>ال</w:t>
      </w:r>
      <w:r w:rsidR="00EB1849" w:rsidRPr="00FA505F">
        <w:rPr>
          <w:rFonts w:ascii="Simplified Arabic" w:hAnsi="Simplified Arabic" w:cs="Simplified Arabic" w:hint="cs"/>
          <w:color w:val="000000" w:themeColor="text1"/>
          <w:sz w:val="24"/>
          <w:szCs w:val="24"/>
          <w:rtl/>
          <w:lang w:bidi="ar-DZ"/>
        </w:rPr>
        <w:t>مسافة</w:t>
      </w:r>
      <w:r w:rsidR="00EB1849" w:rsidRPr="00FA505F">
        <w:rPr>
          <w:rFonts w:ascii="Simplified Arabic" w:hAnsi="Simplified Arabic" w:cs="Simplified Arabic"/>
          <w:color w:val="000000" w:themeColor="text1"/>
          <w:sz w:val="24"/>
          <w:szCs w:val="24"/>
          <w:rtl/>
          <w:lang w:bidi="ar-DZ"/>
        </w:rPr>
        <w:t xml:space="preserve"> </w:t>
      </w:r>
      <w:r w:rsidR="00EB1849">
        <w:rPr>
          <w:rFonts w:ascii="Simplified Arabic" w:hAnsi="Simplified Arabic" w:cs="Simplified Arabic" w:hint="cs"/>
          <w:color w:val="000000" w:themeColor="text1"/>
          <w:sz w:val="24"/>
          <w:szCs w:val="24"/>
          <w:rtl/>
          <w:lang w:bidi="ar-DZ"/>
        </w:rPr>
        <w:t>ال</w:t>
      </w:r>
      <w:r w:rsidR="00EB1849" w:rsidRPr="00FA505F">
        <w:rPr>
          <w:rFonts w:ascii="Simplified Arabic" w:hAnsi="Simplified Arabic" w:cs="Simplified Arabic" w:hint="cs"/>
          <w:color w:val="000000" w:themeColor="text1"/>
          <w:sz w:val="24"/>
          <w:szCs w:val="24"/>
          <w:rtl/>
          <w:lang w:bidi="ar-DZ"/>
        </w:rPr>
        <w:t>مترية</w:t>
      </w:r>
      <w:r w:rsidR="00EB1849" w:rsidRPr="00FA505F">
        <w:rPr>
          <w:rFonts w:ascii="Simplified Arabic" w:hAnsi="Simplified Arabic" w:cs="Simplified Arabic"/>
          <w:color w:val="000000" w:themeColor="text1"/>
          <w:sz w:val="24"/>
          <w:szCs w:val="24"/>
          <w:rtl/>
          <w:lang w:bidi="ar-DZ"/>
        </w:rPr>
        <w:t xml:space="preserve"> </w:t>
      </w:r>
      <w:r w:rsidR="00EB1849" w:rsidRPr="00FA505F">
        <w:rPr>
          <w:rFonts w:ascii="Simplified Arabic" w:hAnsi="Simplified Arabic" w:cs="Simplified Arabic" w:hint="cs"/>
          <w:color w:val="000000" w:themeColor="text1"/>
          <w:sz w:val="24"/>
          <w:szCs w:val="24"/>
          <w:rtl/>
          <w:lang w:bidi="ar-DZ"/>
        </w:rPr>
        <w:t>محسوبة</w:t>
      </w:r>
      <w:r w:rsidR="00EB1849" w:rsidRPr="00FA505F">
        <w:rPr>
          <w:rFonts w:ascii="Simplified Arabic" w:hAnsi="Simplified Arabic" w:cs="Simplified Arabic"/>
          <w:color w:val="000000" w:themeColor="text1"/>
          <w:sz w:val="24"/>
          <w:szCs w:val="24"/>
          <w:rtl/>
          <w:lang w:bidi="ar-DZ"/>
        </w:rPr>
        <w:t xml:space="preserve"> </w:t>
      </w:r>
      <w:r w:rsidR="00EB1849" w:rsidRPr="00FA505F">
        <w:rPr>
          <w:rFonts w:ascii="Simplified Arabic" w:hAnsi="Simplified Arabic" w:cs="Simplified Arabic" w:hint="cs"/>
          <w:color w:val="000000" w:themeColor="text1"/>
          <w:sz w:val="24"/>
          <w:szCs w:val="24"/>
          <w:rtl/>
          <w:lang w:bidi="ar-DZ"/>
        </w:rPr>
        <w:t>على</w:t>
      </w:r>
      <w:r w:rsidR="00EB1849" w:rsidRPr="00FA505F">
        <w:rPr>
          <w:rFonts w:ascii="Simplified Arabic" w:hAnsi="Simplified Arabic" w:cs="Simplified Arabic"/>
          <w:color w:val="000000" w:themeColor="text1"/>
          <w:sz w:val="24"/>
          <w:szCs w:val="24"/>
          <w:rtl/>
          <w:lang w:bidi="ar-DZ"/>
        </w:rPr>
        <w:t xml:space="preserve"> </w:t>
      </w:r>
      <w:r w:rsidR="00EB1849" w:rsidRPr="00FA505F">
        <w:rPr>
          <w:rFonts w:ascii="Simplified Arabic" w:hAnsi="Simplified Arabic" w:cs="Simplified Arabic" w:hint="cs"/>
          <w:color w:val="000000" w:themeColor="text1"/>
          <w:sz w:val="24"/>
          <w:szCs w:val="24"/>
          <w:rtl/>
          <w:lang w:bidi="ar-DZ"/>
        </w:rPr>
        <w:t>شبكة</w:t>
      </w:r>
      <w:r w:rsidR="00EB1849" w:rsidRPr="00FA505F">
        <w:rPr>
          <w:rFonts w:ascii="Simplified Arabic" w:hAnsi="Simplified Arabic" w:cs="Simplified Arabic"/>
          <w:color w:val="000000" w:themeColor="text1"/>
          <w:sz w:val="24"/>
          <w:szCs w:val="24"/>
          <w:rtl/>
          <w:lang w:bidi="ar-DZ"/>
        </w:rPr>
        <w:t xml:space="preserve"> </w:t>
      </w:r>
      <w:r w:rsidR="00EB1849" w:rsidRPr="00FA505F">
        <w:rPr>
          <w:rFonts w:ascii="Simplified Arabic" w:hAnsi="Simplified Arabic" w:cs="Simplified Arabic" w:hint="cs"/>
          <w:color w:val="000000" w:themeColor="text1"/>
          <w:sz w:val="24"/>
          <w:szCs w:val="24"/>
          <w:rtl/>
          <w:lang w:bidi="ar-DZ"/>
        </w:rPr>
        <w:t>الشوارع</w:t>
      </w:r>
      <w:r w:rsidR="00EB1849" w:rsidRPr="00FA505F">
        <w:rPr>
          <w:rFonts w:ascii="Simplified Arabic" w:hAnsi="Simplified Arabic" w:cs="Simplified Arabic"/>
          <w:color w:val="000000" w:themeColor="text1"/>
          <w:sz w:val="24"/>
          <w:szCs w:val="24"/>
          <w:rtl/>
          <w:lang w:bidi="ar-DZ"/>
        </w:rPr>
        <w:t xml:space="preserve"> </w:t>
      </w:r>
      <w:r w:rsidR="00EB1849">
        <w:rPr>
          <w:rFonts w:ascii="Simplified Arabic" w:hAnsi="Simplified Arabic" w:cs="Simplified Arabic" w:hint="cs"/>
          <w:color w:val="000000" w:themeColor="text1"/>
          <w:sz w:val="24"/>
          <w:szCs w:val="24"/>
          <w:rtl/>
          <w:lang w:bidi="ar-DZ"/>
        </w:rPr>
        <w:t xml:space="preserve">ثم </w:t>
      </w:r>
      <w:r w:rsidR="00EB1849">
        <w:rPr>
          <w:rFonts w:ascii="Simplified Arabic" w:hAnsi="Simplified Arabic" w:cs="Simplified Arabic" w:hint="cs"/>
          <w:sz w:val="24"/>
          <w:szCs w:val="24"/>
          <w:rtl/>
        </w:rPr>
        <w:t xml:space="preserve">حساب </w:t>
      </w:r>
      <w:r w:rsidR="00EB1849">
        <w:rPr>
          <w:rFonts w:ascii="Simplified Arabic" w:hAnsi="Simplified Arabic" w:cs="Simplified Arabic" w:hint="cs"/>
          <w:color w:val="000000" w:themeColor="text1"/>
          <w:sz w:val="24"/>
          <w:szCs w:val="24"/>
          <w:rtl/>
          <w:lang w:bidi="ar-DZ"/>
        </w:rPr>
        <w:t>ال</w:t>
      </w:r>
      <w:r w:rsidR="00EB1849" w:rsidRPr="00FA505F">
        <w:rPr>
          <w:rFonts w:ascii="Simplified Arabic" w:hAnsi="Simplified Arabic" w:cs="Simplified Arabic" w:hint="cs"/>
          <w:color w:val="000000" w:themeColor="text1"/>
          <w:sz w:val="24"/>
          <w:szCs w:val="24"/>
          <w:rtl/>
          <w:lang w:bidi="ar-DZ"/>
        </w:rPr>
        <w:t>مسافة</w:t>
      </w:r>
      <w:r w:rsidR="00EB1849" w:rsidRPr="00FA505F">
        <w:rPr>
          <w:rFonts w:ascii="Simplified Arabic" w:hAnsi="Simplified Arabic" w:cs="Simplified Arabic"/>
          <w:color w:val="000000" w:themeColor="text1"/>
          <w:sz w:val="24"/>
          <w:szCs w:val="24"/>
          <w:rtl/>
          <w:lang w:bidi="ar-DZ"/>
        </w:rPr>
        <w:t xml:space="preserve"> </w:t>
      </w:r>
      <w:r w:rsidR="00EB1849">
        <w:rPr>
          <w:rFonts w:ascii="Simplified Arabic" w:hAnsi="Simplified Arabic" w:cs="Simplified Arabic" w:hint="cs"/>
          <w:color w:val="000000" w:themeColor="text1"/>
          <w:sz w:val="24"/>
          <w:szCs w:val="24"/>
          <w:rtl/>
          <w:lang w:bidi="ar-DZ"/>
        </w:rPr>
        <w:t>ال</w:t>
      </w:r>
      <w:r w:rsidR="00EB1849" w:rsidRPr="00FA505F">
        <w:rPr>
          <w:rFonts w:ascii="Simplified Arabic" w:hAnsi="Simplified Arabic" w:cs="Simplified Arabic" w:hint="cs"/>
          <w:color w:val="000000" w:themeColor="text1"/>
          <w:sz w:val="24"/>
          <w:szCs w:val="24"/>
          <w:rtl/>
          <w:lang w:bidi="ar-DZ"/>
        </w:rPr>
        <w:t>مترية</w:t>
      </w:r>
      <w:r w:rsidR="00EB1849" w:rsidRPr="00FA505F">
        <w:rPr>
          <w:rFonts w:ascii="Simplified Arabic" w:hAnsi="Simplified Arabic" w:cs="Simplified Arabic"/>
          <w:color w:val="000000" w:themeColor="text1"/>
          <w:sz w:val="24"/>
          <w:szCs w:val="24"/>
          <w:rtl/>
          <w:lang w:bidi="ar-DZ"/>
        </w:rPr>
        <w:t xml:space="preserve"> </w:t>
      </w:r>
      <w:r w:rsidR="00EB1849" w:rsidRPr="00FA505F">
        <w:rPr>
          <w:rFonts w:ascii="Simplified Arabic" w:hAnsi="Simplified Arabic" w:cs="Simplified Arabic" w:hint="cs"/>
          <w:color w:val="000000" w:themeColor="text1"/>
          <w:sz w:val="24"/>
          <w:szCs w:val="24"/>
          <w:rtl/>
          <w:lang w:bidi="ar-DZ"/>
        </w:rPr>
        <w:t>ضمن</w:t>
      </w:r>
      <w:r w:rsidR="00EB1849" w:rsidRPr="00FA505F">
        <w:rPr>
          <w:rFonts w:ascii="Simplified Arabic" w:hAnsi="Simplified Arabic" w:cs="Simplified Arabic"/>
          <w:color w:val="000000" w:themeColor="text1"/>
          <w:sz w:val="24"/>
          <w:szCs w:val="24"/>
          <w:rtl/>
          <w:lang w:bidi="ar-DZ"/>
        </w:rPr>
        <w:t xml:space="preserve"> </w:t>
      </w:r>
      <w:r w:rsidR="00EB1849" w:rsidRPr="00FA505F">
        <w:rPr>
          <w:rFonts w:ascii="Simplified Arabic" w:hAnsi="Simplified Arabic" w:cs="Simplified Arabic" w:hint="cs"/>
          <w:color w:val="000000" w:themeColor="text1"/>
          <w:sz w:val="24"/>
          <w:szCs w:val="24"/>
          <w:rtl/>
          <w:lang w:bidi="ar-DZ"/>
        </w:rPr>
        <w:t>نفس</w:t>
      </w:r>
      <w:r w:rsidR="00EB1849" w:rsidRPr="00FA505F">
        <w:rPr>
          <w:rFonts w:ascii="Simplified Arabic" w:hAnsi="Simplified Arabic" w:cs="Simplified Arabic"/>
          <w:color w:val="000000" w:themeColor="text1"/>
          <w:sz w:val="24"/>
          <w:szCs w:val="24"/>
          <w:rtl/>
          <w:lang w:bidi="ar-DZ"/>
        </w:rPr>
        <w:t xml:space="preserve"> </w:t>
      </w:r>
      <w:r w:rsidR="00EB1849">
        <w:rPr>
          <w:rFonts w:ascii="Simplified Arabic" w:hAnsi="Simplified Arabic" w:cs="Simplified Arabic" w:hint="cs"/>
          <w:color w:val="000000" w:themeColor="text1"/>
          <w:sz w:val="24"/>
          <w:szCs w:val="24"/>
          <w:rtl/>
          <w:lang w:bidi="ar-DZ"/>
        </w:rPr>
        <w:t>الحيز</w:t>
      </w:r>
      <w:r w:rsidR="00EB1849" w:rsidRPr="00FA505F">
        <w:rPr>
          <w:rFonts w:ascii="Simplified Arabic" w:hAnsi="Simplified Arabic" w:cs="Simplified Arabic"/>
          <w:color w:val="000000" w:themeColor="text1"/>
          <w:sz w:val="24"/>
          <w:szCs w:val="24"/>
          <w:rtl/>
          <w:lang w:bidi="ar-DZ"/>
        </w:rPr>
        <w:t xml:space="preserve"> </w:t>
      </w:r>
      <w:r w:rsidR="00EB1849" w:rsidRPr="00FA505F">
        <w:rPr>
          <w:rFonts w:ascii="Simplified Arabic" w:hAnsi="Simplified Arabic" w:cs="Simplified Arabic" w:hint="cs"/>
          <w:color w:val="000000" w:themeColor="text1"/>
          <w:sz w:val="24"/>
          <w:szCs w:val="24"/>
          <w:rtl/>
          <w:lang w:bidi="ar-DZ"/>
        </w:rPr>
        <w:t>المحسوب</w:t>
      </w:r>
      <w:r w:rsidR="00EB1849">
        <w:rPr>
          <w:rFonts w:ascii="Simplified Arabic" w:hAnsi="Simplified Arabic" w:cs="Simplified Arabic" w:hint="cs"/>
          <w:color w:val="000000" w:themeColor="text1"/>
          <w:sz w:val="24"/>
          <w:szCs w:val="24"/>
          <w:rtl/>
          <w:lang w:bidi="ar-DZ"/>
        </w:rPr>
        <w:t>ة</w:t>
      </w:r>
      <w:r w:rsidR="00EB1849" w:rsidRPr="00FA505F">
        <w:rPr>
          <w:rFonts w:ascii="Simplified Arabic" w:hAnsi="Simplified Arabic" w:cs="Simplified Arabic"/>
          <w:color w:val="000000" w:themeColor="text1"/>
          <w:sz w:val="24"/>
          <w:szCs w:val="24"/>
          <w:rtl/>
          <w:lang w:bidi="ar-DZ"/>
        </w:rPr>
        <w:t xml:space="preserve"> </w:t>
      </w:r>
      <w:r w:rsidR="00EB1849">
        <w:rPr>
          <w:rFonts w:ascii="Simplified Arabic" w:hAnsi="Simplified Arabic" w:cs="Simplified Arabic" w:hint="cs"/>
          <w:color w:val="000000" w:themeColor="text1"/>
          <w:sz w:val="24"/>
          <w:szCs w:val="24"/>
          <w:rtl/>
          <w:lang w:bidi="ar-DZ"/>
        </w:rPr>
        <w:t>اقليديا</w:t>
      </w:r>
      <w:r w:rsidR="00CC3695">
        <w:rPr>
          <w:rFonts w:ascii="Simplified Arabic" w:hAnsi="Simplified Arabic" w:cs="Simplified Arabic" w:hint="cs"/>
          <w:color w:val="000000" w:themeColor="text1"/>
          <w:sz w:val="24"/>
          <w:szCs w:val="24"/>
          <w:rtl/>
          <w:lang w:bidi="ar-DZ"/>
        </w:rPr>
        <w:t xml:space="preserve">، يتم تكرار العملية </w:t>
      </w:r>
      <w:r w:rsidR="00FF793B">
        <w:rPr>
          <w:rFonts w:ascii="Simplified Arabic" w:hAnsi="Simplified Arabic" w:cs="Simplified Arabic" w:hint="cs"/>
          <w:color w:val="000000" w:themeColor="text1"/>
          <w:sz w:val="24"/>
          <w:szCs w:val="24"/>
          <w:rtl/>
          <w:lang w:bidi="ar-DZ"/>
        </w:rPr>
        <w:t>في</w:t>
      </w:r>
      <w:r w:rsidR="00CC3695">
        <w:rPr>
          <w:rFonts w:ascii="Simplified Arabic" w:hAnsi="Simplified Arabic" w:cs="Simplified Arabic" w:hint="cs"/>
          <w:color w:val="000000" w:themeColor="text1"/>
          <w:sz w:val="24"/>
          <w:szCs w:val="24"/>
          <w:rtl/>
          <w:lang w:bidi="ar-DZ"/>
        </w:rPr>
        <w:t xml:space="preserve"> كل حيز مكاني. </w:t>
      </w:r>
      <w:r w:rsidR="002A686B" w:rsidRPr="00056214">
        <w:rPr>
          <w:rFonts w:ascii="Simplified Arabic" w:hAnsi="Simplified Arabic" w:cs="Simplified Arabic" w:hint="cs"/>
          <w:sz w:val="24"/>
          <w:szCs w:val="24"/>
          <w:rtl/>
        </w:rPr>
        <w:t>تقييم</w:t>
      </w:r>
      <w:r w:rsidR="002A686B" w:rsidRPr="00056214">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امكانية الوصول</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المستخدمة</w:t>
      </w:r>
      <w:r w:rsidR="002A686B" w:rsidRPr="00056214">
        <w:rPr>
          <w:rFonts w:ascii="Simplified Arabic" w:hAnsi="Simplified Arabic" w:cs="Simplified Arabic"/>
          <w:sz w:val="24"/>
          <w:szCs w:val="24"/>
          <w:rtl/>
        </w:rPr>
        <w:t xml:space="preserve"> </w:t>
      </w:r>
      <w:r w:rsidR="00F8756E" w:rsidRPr="00D2637F">
        <w:rPr>
          <w:rFonts w:ascii="Simplified Arabic" w:hAnsi="Simplified Arabic" w:cs="Simplified Arabic" w:hint="cs"/>
          <w:sz w:val="24"/>
          <w:szCs w:val="24"/>
          <w:rtl/>
        </w:rPr>
        <w:t>لكل</w:t>
      </w:r>
      <w:r w:rsidR="00F8756E" w:rsidRPr="00D2637F">
        <w:rPr>
          <w:rFonts w:ascii="Simplified Arabic" w:hAnsi="Simplified Arabic" w:cs="Simplified Arabic"/>
          <w:sz w:val="24"/>
          <w:szCs w:val="24"/>
          <w:rtl/>
        </w:rPr>
        <w:t xml:space="preserve"> </w:t>
      </w:r>
      <w:r w:rsidR="00F8756E">
        <w:rPr>
          <w:rFonts w:ascii="Simplified Arabic" w:hAnsi="Simplified Arabic" w:cs="Simplified Arabic" w:hint="cs"/>
          <w:sz w:val="24"/>
          <w:szCs w:val="24"/>
          <w:rtl/>
        </w:rPr>
        <w:t>حي سكني</w:t>
      </w:r>
      <w:r w:rsidR="00CC3695">
        <w:rPr>
          <w:rFonts w:ascii="Simplified Arabic" w:hAnsi="Simplified Arabic" w:cs="Simplified Arabic" w:hint="cs"/>
          <w:sz w:val="24"/>
          <w:szCs w:val="24"/>
          <w:rtl/>
        </w:rPr>
        <w:t xml:space="preserve"> هي</w:t>
      </w:r>
      <w:r w:rsidR="00CC3695" w:rsidRPr="00CC3695">
        <w:rPr>
          <w:rFonts w:ascii="Simplified Arabic" w:hAnsi="Simplified Arabic" w:cs="Simplified Arabic" w:hint="cs"/>
          <w:color w:val="000000" w:themeColor="text1"/>
          <w:sz w:val="24"/>
          <w:szCs w:val="24"/>
          <w:rtl/>
          <w:lang w:bidi="ar-DZ"/>
        </w:rPr>
        <w:t xml:space="preserve"> </w:t>
      </w:r>
      <w:r w:rsidR="00CC3695">
        <w:rPr>
          <w:rFonts w:ascii="Simplified Arabic" w:hAnsi="Simplified Arabic" w:cs="Simplified Arabic" w:hint="cs"/>
          <w:color w:val="000000" w:themeColor="text1"/>
          <w:sz w:val="24"/>
          <w:szCs w:val="24"/>
          <w:rtl/>
          <w:lang w:bidi="ar-DZ"/>
        </w:rPr>
        <w:t xml:space="preserve">حاصل القسمة بين مسافة شبكة الشوارع (المشاة) والمسافة الاقليدية لكل </w:t>
      </w:r>
      <w:r w:rsidR="00CC3695">
        <w:rPr>
          <w:rFonts w:ascii="Simplified Arabic" w:hAnsi="Simplified Arabic" w:cs="Simplified Arabic" w:hint="cs"/>
          <w:color w:val="000000" w:themeColor="text1"/>
          <w:sz w:val="24"/>
          <w:szCs w:val="24"/>
          <w:rtl/>
          <w:lang w:bidi="ar-DZ"/>
        </w:rPr>
        <w:lastRenderedPageBreak/>
        <w:t>حيز مكاني</w:t>
      </w:r>
      <w:r w:rsidR="002A686B" w:rsidRPr="00056214">
        <w:rPr>
          <w:rFonts w:ascii="Simplified Arabic" w:hAnsi="Simplified Arabic" w:cs="Simplified Arabic"/>
          <w:sz w:val="24"/>
          <w:szCs w:val="24"/>
          <w:rtl/>
        </w:rPr>
        <w:t>.</w:t>
      </w:r>
      <w:r w:rsidR="00122989" w:rsidRPr="00EA791A">
        <w:rPr>
          <w:rFonts w:ascii="Simplified Arabic" w:hAnsi="Simplified Arabic" w:cs="Simplified Arabic"/>
          <w:sz w:val="24"/>
          <w:szCs w:val="24"/>
          <w:rtl/>
        </w:rPr>
        <w:t xml:space="preserve"> </w:t>
      </w:r>
      <w:r w:rsidR="00122989" w:rsidRPr="00EA791A">
        <w:rPr>
          <w:rFonts w:ascii="Simplified Arabic" w:hAnsi="Simplified Arabic" w:cs="Simplified Arabic" w:hint="cs"/>
          <w:sz w:val="24"/>
          <w:szCs w:val="24"/>
          <w:rtl/>
        </w:rPr>
        <w:t>أخيرًا،</w:t>
      </w:r>
      <w:r w:rsidR="00122989" w:rsidRPr="00EA791A">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يتم</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تسوية</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نتائج</w:t>
      </w:r>
      <w:r w:rsidR="002A686B" w:rsidRPr="00056214">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ال</w:t>
      </w:r>
      <w:r w:rsidR="002A686B" w:rsidRPr="00056214">
        <w:rPr>
          <w:rFonts w:ascii="Simplified Arabic" w:hAnsi="Simplified Arabic" w:cs="Simplified Arabic" w:hint="cs"/>
          <w:sz w:val="24"/>
          <w:szCs w:val="24"/>
          <w:rtl/>
        </w:rPr>
        <w:t>قياس</w:t>
      </w:r>
      <w:r w:rsidR="002A686B" w:rsidRPr="00056214">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 xml:space="preserve">بين </w:t>
      </w:r>
      <w:r w:rsidR="00D24BF7">
        <w:rPr>
          <w:rFonts w:ascii="Simplified Arabic" w:hAnsi="Simplified Arabic" w:cs="Simplified Arabic" w:hint="cs"/>
          <w:sz w:val="24"/>
          <w:szCs w:val="24"/>
          <w:rtl/>
        </w:rPr>
        <w:t>(</w:t>
      </w:r>
      <w:r w:rsidR="00D24BF7">
        <w:rPr>
          <w:rFonts w:ascii="Simplified Arabic" w:hAnsi="Simplified Arabic" w:cs="Simplified Arabic"/>
          <w:sz w:val="24"/>
          <w:szCs w:val="24"/>
          <w:rtl/>
        </w:rPr>
        <w:t>0-1</w:t>
      </w:r>
      <w:r w:rsidR="00D24BF7">
        <w:rPr>
          <w:rFonts w:ascii="Simplified Arabic" w:hAnsi="Simplified Arabic" w:cs="Simplified Arabic" w:hint="cs"/>
          <w:sz w:val="24"/>
          <w:szCs w:val="24"/>
          <w:rtl/>
        </w:rPr>
        <w:t>)</w:t>
      </w:r>
      <w:r w:rsidR="002A686B">
        <w:rPr>
          <w:rFonts w:ascii="Simplified Arabic" w:hAnsi="Simplified Arabic" w:cs="Simplified Arabic" w:hint="cs"/>
          <w:sz w:val="24"/>
          <w:szCs w:val="24"/>
          <w:rtl/>
        </w:rPr>
        <w:t>،</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ثم</w:t>
      </w:r>
      <w:r w:rsidR="002A686B" w:rsidRPr="00056214">
        <w:rPr>
          <w:rFonts w:ascii="Simplified Arabic" w:hAnsi="Simplified Arabic" w:cs="Simplified Arabic"/>
          <w:sz w:val="24"/>
          <w:szCs w:val="24"/>
          <w:rtl/>
        </w:rPr>
        <w:t xml:space="preserve"> </w:t>
      </w:r>
      <w:r w:rsidR="002A686B" w:rsidRPr="00056214">
        <w:rPr>
          <w:rFonts w:ascii="Simplified Arabic" w:hAnsi="Simplified Arabic" w:cs="Simplified Arabic" w:hint="cs"/>
          <w:sz w:val="24"/>
          <w:szCs w:val="24"/>
          <w:rtl/>
        </w:rPr>
        <w:t>يتم</w:t>
      </w:r>
      <w:r w:rsidR="002A686B" w:rsidRPr="00056214">
        <w:rPr>
          <w:rFonts w:ascii="Simplified Arabic" w:hAnsi="Simplified Arabic" w:cs="Simplified Arabic"/>
          <w:sz w:val="24"/>
          <w:szCs w:val="24"/>
          <w:rtl/>
        </w:rPr>
        <w:t xml:space="preserve"> </w:t>
      </w:r>
      <w:r w:rsidR="002A686B" w:rsidRPr="00BD4569">
        <w:rPr>
          <w:rFonts w:ascii="Simplified Arabic" w:hAnsi="Simplified Arabic" w:cs="Simplified Arabic" w:hint="cs"/>
          <w:color w:val="000000" w:themeColor="text1"/>
          <w:sz w:val="24"/>
          <w:szCs w:val="24"/>
          <w:rtl/>
          <w:lang w:bidi="ar-DZ"/>
        </w:rPr>
        <w:t>دمجها</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مع</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أوزان</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متساوية</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من</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خلال</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نهج</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التركيبة</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الخطية</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الموزونة</w:t>
      </w:r>
      <w:r w:rsidR="002A686B" w:rsidRPr="00BD4569">
        <w:rPr>
          <w:rFonts w:ascii="Simplified Arabic" w:hAnsi="Simplified Arabic" w:cs="Simplified Arabic"/>
          <w:color w:val="000000" w:themeColor="text1"/>
          <w:sz w:val="24"/>
          <w:szCs w:val="24"/>
          <w:rtl/>
          <w:lang w:bidi="ar-DZ"/>
        </w:rPr>
        <w:t xml:space="preserve"> </w:t>
      </w:r>
      <w:r w:rsidR="005D7A23">
        <w:rPr>
          <w:rFonts w:ascii="Simplified Arabic" w:hAnsi="Simplified Arabic" w:cs="Simplified Arabic" w:hint="cs"/>
          <w:color w:val="000000" w:themeColor="text1"/>
          <w:sz w:val="24"/>
          <w:szCs w:val="24"/>
          <w:rtl/>
          <w:lang w:bidi="ar-DZ"/>
        </w:rPr>
        <w:t>لكشف سمة</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الكثافة</w:t>
      </w:r>
      <w:r w:rsidR="00EB1849" w:rsidRPr="00BD4569">
        <w:rPr>
          <w:rFonts w:ascii="Simplified Arabic" w:hAnsi="Simplified Arabic" w:cs="Simplified Arabic" w:hint="cs"/>
          <w:color w:val="000000" w:themeColor="text1"/>
          <w:sz w:val="24"/>
          <w:szCs w:val="24"/>
          <w:rtl/>
          <w:lang w:bidi="ar-DZ"/>
        </w:rPr>
        <w:t>.</w:t>
      </w:r>
      <w:r w:rsidR="00D0508F" w:rsidRPr="00BD4569">
        <w:rPr>
          <w:rFonts w:ascii="Simplified Arabic" w:hAnsi="Simplified Arabic" w:cs="Simplified Arabic" w:hint="cs"/>
          <w:color w:val="000000" w:themeColor="text1"/>
          <w:sz w:val="24"/>
          <w:szCs w:val="24"/>
          <w:rtl/>
          <w:lang w:bidi="ar-DZ"/>
        </w:rPr>
        <w:t xml:space="preserve"> تشير</w:t>
      </w:r>
      <w:r w:rsidR="00D0508F" w:rsidRPr="00BD4569">
        <w:rPr>
          <w:rFonts w:ascii="Simplified Arabic" w:hAnsi="Simplified Arabic" w:cs="Simplified Arabic"/>
          <w:color w:val="000000" w:themeColor="text1"/>
          <w:sz w:val="24"/>
          <w:szCs w:val="24"/>
          <w:rtl/>
          <w:lang w:bidi="ar-DZ"/>
        </w:rPr>
        <w:t xml:space="preserve"> </w:t>
      </w:r>
      <w:r w:rsidR="00D0508F" w:rsidRPr="00BD4569">
        <w:rPr>
          <w:rFonts w:ascii="Simplified Arabic" w:hAnsi="Simplified Arabic" w:cs="Simplified Arabic" w:hint="cs"/>
          <w:color w:val="000000" w:themeColor="text1"/>
          <w:sz w:val="24"/>
          <w:szCs w:val="24"/>
          <w:rtl/>
          <w:lang w:bidi="ar-DZ"/>
        </w:rPr>
        <w:t>القيم</w:t>
      </w:r>
      <w:r w:rsidR="00D0508F" w:rsidRPr="00BD4569">
        <w:rPr>
          <w:rFonts w:ascii="Simplified Arabic" w:hAnsi="Simplified Arabic" w:cs="Simplified Arabic"/>
          <w:color w:val="000000" w:themeColor="text1"/>
          <w:sz w:val="24"/>
          <w:szCs w:val="24"/>
          <w:rtl/>
          <w:lang w:bidi="ar-DZ"/>
        </w:rPr>
        <w:t xml:space="preserve"> </w:t>
      </w:r>
      <w:r w:rsidR="00D0508F" w:rsidRPr="00BD4569">
        <w:rPr>
          <w:rFonts w:ascii="Simplified Arabic" w:hAnsi="Simplified Arabic" w:cs="Simplified Arabic" w:hint="cs"/>
          <w:color w:val="000000" w:themeColor="text1"/>
          <w:sz w:val="24"/>
          <w:szCs w:val="24"/>
          <w:rtl/>
          <w:lang w:bidi="ar-DZ"/>
        </w:rPr>
        <w:t>ال</w:t>
      </w:r>
      <w:r w:rsidR="002A686B" w:rsidRPr="00BD4569">
        <w:rPr>
          <w:rFonts w:ascii="Simplified Arabic" w:hAnsi="Simplified Arabic" w:cs="Simplified Arabic" w:hint="cs"/>
          <w:color w:val="000000" w:themeColor="text1"/>
          <w:sz w:val="24"/>
          <w:szCs w:val="24"/>
          <w:rtl/>
          <w:lang w:bidi="ar-DZ"/>
        </w:rPr>
        <w:t>قر</w:t>
      </w:r>
      <w:r w:rsidR="00D0508F" w:rsidRPr="00BD4569">
        <w:rPr>
          <w:rFonts w:ascii="Simplified Arabic" w:hAnsi="Simplified Arabic" w:cs="Simplified Arabic" w:hint="cs"/>
          <w:color w:val="000000" w:themeColor="text1"/>
          <w:sz w:val="24"/>
          <w:szCs w:val="24"/>
          <w:rtl/>
          <w:lang w:bidi="ar-DZ"/>
        </w:rPr>
        <w:t>ي</w:t>
      </w:r>
      <w:r w:rsidR="002A686B" w:rsidRPr="00BD4569">
        <w:rPr>
          <w:rFonts w:ascii="Simplified Arabic" w:hAnsi="Simplified Arabic" w:cs="Simplified Arabic" w:hint="cs"/>
          <w:color w:val="000000" w:themeColor="text1"/>
          <w:sz w:val="24"/>
          <w:szCs w:val="24"/>
          <w:rtl/>
          <w:lang w:bidi="ar-DZ"/>
        </w:rPr>
        <w:t>ب</w:t>
      </w:r>
      <w:r w:rsidR="00D0508F" w:rsidRPr="00BD4569">
        <w:rPr>
          <w:rFonts w:ascii="Simplified Arabic" w:hAnsi="Simplified Arabic" w:cs="Simplified Arabic" w:hint="cs"/>
          <w:color w:val="000000" w:themeColor="text1"/>
          <w:sz w:val="24"/>
          <w:szCs w:val="24"/>
          <w:rtl/>
          <w:lang w:bidi="ar-DZ"/>
        </w:rPr>
        <w:t>ة</w:t>
      </w:r>
      <w:r w:rsidR="002A686B" w:rsidRPr="00BD4569">
        <w:rPr>
          <w:rFonts w:ascii="Simplified Arabic" w:hAnsi="Simplified Arabic" w:cs="Simplified Arabic"/>
          <w:color w:val="000000" w:themeColor="text1"/>
          <w:sz w:val="24"/>
          <w:szCs w:val="24"/>
          <w:rtl/>
          <w:lang w:bidi="ar-DZ"/>
        </w:rPr>
        <w:t xml:space="preserve"> </w:t>
      </w:r>
      <w:r w:rsidR="00D0508F" w:rsidRPr="00BD4569">
        <w:rPr>
          <w:rFonts w:ascii="Simplified Arabic" w:hAnsi="Simplified Arabic" w:cs="Simplified Arabic" w:hint="cs"/>
          <w:color w:val="000000" w:themeColor="text1"/>
          <w:sz w:val="24"/>
          <w:szCs w:val="24"/>
          <w:rtl/>
          <w:lang w:bidi="ar-DZ"/>
        </w:rPr>
        <w:t>من</w:t>
      </w:r>
      <w:r w:rsidR="002A686B" w:rsidRPr="00BD4569">
        <w:rPr>
          <w:rFonts w:ascii="Simplified Arabic" w:hAnsi="Simplified Arabic" w:cs="Simplified Arabic"/>
          <w:color w:val="000000" w:themeColor="text1"/>
          <w:sz w:val="24"/>
          <w:szCs w:val="24"/>
          <w:rtl/>
          <w:lang w:bidi="ar-DZ"/>
        </w:rPr>
        <w:t xml:space="preserve"> 1 </w:t>
      </w:r>
      <w:r w:rsidR="002A686B" w:rsidRPr="00BD4569">
        <w:rPr>
          <w:rFonts w:ascii="Simplified Arabic" w:hAnsi="Simplified Arabic" w:cs="Simplified Arabic" w:hint="cs"/>
          <w:color w:val="000000" w:themeColor="text1"/>
          <w:sz w:val="24"/>
          <w:szCs w:val="24"/>
          <w:rtl/>
          <w:lang w:bidi="ar-DZ"/>
        </w:rPr>
        <w:t>إلى</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أن</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شبكة</w:t>
      </w:r>
      <w:r w:rsidR="002A686B" w:rsidRPr="00BD4569">
        <w:rPr>
          <w:rFonts w:ascii="Simplified Arabic" w:hAnsi="Simplified Arabic" w:cs="Simplified Arabic"/>
          <w:color w:val="000000" w:themeColor="text1"/>
          <w:sz w:val="24"/>
          <w:szCs w:val="24"/>
          <w:rtl/>
          <w:lang w:bidi="ar-DZ"/>
        </w:rPr>
        <w:t xml:space="preserve"> </w:t>
      </w:r>
      <w:r w:rsidR="00D0508F" w:rsidRPr="00BD4569">
        <w:rPr>
          <w:rFonts w:ascii="Simplified Arabic" w:hAnsi="Simplified Arabic" w:cs="Simplified Arabic" w:hint="cs"/>
          <w:color w:val="000000" w:themeColor="text1"/>
          <w:sz w:val="24"/>
          <w:szCs w:val="24"/>
          <w:rtl/>
          <w:lang w:bidi="ar-DZ"/>
        </w:rPr>
        <w:t xml:space="preserve">الطرق </w:t>
      </w:r>
      <w:r w:rsidR="002A686B" w:rsidRPr="00BD4569">
        <w:rPr>
          <w:rFonts w:ascii="Simplified Arabic" w:hAnsi="Simplified Arabic" w:cs="Simplified Arabic" w:hint="cs"/>
          <w:color w:val="000000" w:themeColor="text1"/>
          <w:sz w:val="24"/>
          <w:szCs w:val="24"/>
          <w:rtl/>
          <w:lang w:bidi="ar-DZ"/>
        </w:rPr>
        <w:t>توفر</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وصولاً</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أفضل</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إلى</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المواقع</w:t>
      </w:r>
      <w:r w:rsidR="002A686B" w:rsidRPr="00BD4569">
        <w:rPr>
          <w:rFonts w:ascii="Simplified Arabic" w:hAnsi="Simplified Arabic" w:cs="Simplified Arabic"/>
          <w:color w:val="000000" w:themeColor="text1"/>
          <w:sz w:val="24"/>
          <w:szCs w:val="24"/>
          <w:rtl/>
          <w:lang w:bidi="ar-DZ"/>
        </w:rPr>
        <w:t xml:space="preserve"> </w:t>
      </w:r>
      <w:r w:rsidR="002A686B" w:rsidRPr="00BD4569">
        <w:rPr>
          <w:rFonts w:ascii="Simplified Arabic" w:hAnsi="Simplified Arabic" w:cs="Simplified Arabic" w:hint="cs"/>
          <w:color w:val="000000" w:themeColor="text1"/>
          <w:sz w:val="24"/>
          <w:szCs w:val="24"/>
          <w:rtl/>
          <w:lang w:bidi="ar-DZ"/>
        </w:rPr>
        <w:t>المحتملة</w:t>
      </w:r>
      <w:r w:rsidR="002A686B" w:rsidRPr="00BD4569">
        <w:rPr>
          <w:rFonts w:ascii="Simplified Arabic" w:hAnsi="Simplified Arabic" w:cs="Simplified Arabic"/>
          <w:color w:val="000000" w:themeColor="text1"/>
          <w:sz w:val="24"/>
          <w:szCs w:val="24"/>
          <w:rtl/>
          <w:lang w:bidi="ar-DZ"/>
        </w:rPr>
        <w:t>.</w:t>
      </w:r>
      <w:r w:rsidR="00023DFC" w:rsidRPr="00023DFC">
        <w:rPr>
          <w:rFonts w:ascii="Simplified Arabic" w:hAnsi="Simplified Arabic" w:cs="Simplified Arabic" w:hint="cs"/>
          <w:color w:val="000000" w:themeColor="text1"/>
          <w:sz w:val="24"/>
          <w:szCs w:val="24"/>
          <w:rtl/>
          <w:lang w:bidi="ar-DZ"/>
        </w:rPr>
        <w:t xml:space="preserve"> </w:t>
      </w:r>
      <w:r w:rsidR="00023DFC">
        <w:rPr>
          <w:rFonts w:ascii="Simplified Arabic" w:hAnsi="Simplified Arabic" w:cs="Simplified Arabic" w:hint="cs"/>
          <w:color w:val="000000" w:themeColor="text1"/>
          <w:sz w:val="24"/>
          <w:szCs w:val="24"/>
          <w:rtl/>
          <w:lang w:bidi="ar-DZ"/>
        </w:rPr>
        <w:t>ي</w:t>
      </w:r>
      <w:r w:rsidR="00023DFC" w:rsidRPr="00582395">
        <w:rPr>
          <w:rFonts w:ascii="Simplified Arabic" w:hAnsi="Simplified Arabic" w:cs="Simplified Arabic" w:hint="cs"/>
          <w:color w:val="000000" w:themeColor="text1"/>
          <w:sz w:val="24"/>
          <w:szCs w:val="24"/>
          <w:rtl/>
          <w:lang w:bidi="ar-DZ"/>
        </w:rPr>
        <w:t>حد</w:t>
      </w:r>
      <w:r w:rsidR="00023DFC">
        <w:rPr>
          <w:rFonts w:ascii="Simplified Arabic" w:hAnsi="Simplified Arabic" w:cs="Simplified Arabic" w:hint="cs"/>
          <w:color w:val="000000" w:themeColor="text1"/>
          <w:sz w:val="24"/>
          <w:szCs w:val="24"/>
          <w:rtl/>
          <w:lang w:bidi="ar-DZ"/>
        </w:rPr>
        <w:t>ّ</w:t>
      </w:r>
      <w:r w:rsidR="00023DFC" w:rsidRPr="00582395">
        <w:rPr>
          <w:rFonts w:ascii="Simplified Arabic" w:hAnsi="Simplified Arabic" w:cs="Simplified Arabic" w:hint="cs"/>
          <w:color w:val="000000" w:themeColor="text1"/>
          <w:sz w:val="24"/>
          <w:szCs w:val="24"/>
          <w:rtl/>
          <w:lang w:bidi="ar-DZ"/>
        </w:rPr>
        <w:t>د</w:t>
      </w:r>
      <w:r w:rsidR="00023DFC" w:rsidRPr="00582395">
        <w:rPr>
          <w:rFonts w:ascii="Simplified Arabic" w:hAnsi="Simplified Arabic" w:cs="Simplified Arabic"/>
          <w:color w:val="000000" w:themeColor="text1"/>
          <w:sz w:val="24"/>
          <w:szCs w:val="24"/>
          <w:rtl/>
          <w:lang w:bidi="ar-DZ"/>
        </w:rPr>
        <w:t xml:space="preserve"> </w:t>
      </w:r>
      <w:r w:rsidR="00681A57">
        <w:rPr>
          <w:rFonts w:ascii="Simplified Arabic" w:hAnsi="Simplified Arabic" w:cs="Simplified Arabic" w:hint="cs"/>
          <w:color w:val="000000" w:themeColor="text1"/>
          <w:sz w:val="24"/>
          <w:szCs w:val="24"/>
          <w:rtl/>
          <w:lang w:bidi="ar-DZ"/>
        </w:rPr>
        <w:t>قياس</w:t>
      </w:r>
      <w:r w:rsidR="00023DFC" w:rsidRPr="00BA686F">
        <w:rPr>
          <w:rFonts w:ascii="Simplified Arabic" w:hAnsi="Simplified Arabic" w:cs="Simplified Arabic"/>
          <w:color w:val="000000" w:themeColor="text1"/>
          <w:sz w:val="24"/>
          <w:szCs w:val="24"/>
          <w:rtl/>
          <w:lang w:bidi="ar-DZ"/>
        </w:rPr>
        <w:t xml:space="preserve"> </w:t>
      </w:r>
      <w:r w:rsidR="00023DFC" w:rsidRPr="00BA686F">
        <w:rPr>
          <w:rFonts w:ascii="Simplified Arabic" w:hAnsi="Simplified Arabic" w:cs="Simplified Arabic" w:hint="cs"/>
          <w:color w:val="000000" w:themeColor="text1"/>
          <w:sz w:val="24"/>
          <w:szCs w:val="24"/>
          <w:rtl/>
          <w:lang w:bidi="ar-DZ"/>
        </w:rPr>
        <w:t>كثافة</w:t>
      </w:r>
      <w:r w:rsidR="00023DFC" w:rsidRPr="00BA686F">
        <w:rPr>
          <w:rFonts w:ascii="Simplified Arabic" w:hAnsi="Simplified Arabic" w:cs="Simplified Arabic"/>
          <w:color w:val="000000" w:themeColor="text1"/>
          <w:sz w:val="24"/>
          <w:szCs w:val="24"/>
          <w:rtl/>
          <w:lang w:bidi="ar-DZ"/>
        </w:rPr>
        <w:t xml:space="preserve"> </w:t>
      </w:r>
      <w:r w:rsidR="00023DFC" w:rsidRPr="00BA686F">
        <w:rPr>
          <w:rFonts w:ascii="Simplified Arabic" w:hAnsi="Simplified Arabic" w:cs="Simplified Arabic" w:hint="cs"/>
          <w:color w:val="000000" w:themeColor="text1"/>
          <w:sz w:val="24"/>
          <w:szCs w:val="24"/>
          <w:rtl/>
          <w:lang w:bidi="ar-DZ"/>
        </w:rPr>
        <w:t>البناء</w:t>
      </w:r>
      <w:r w:rsidR="00023DFC" w:rsidRPr="00BA686F">
        <w:rPr>
          <w:rFonts w:ascii="Simplified Arabic" w:hAnsi="Simplified Arabic" w:cs="Simplified Arabic"/>
          <w:color w:val="000000" w:themeColor="text1"/>
          <w:sz w:val="24"/>
          <w:szCs w:val="24"/>
          <w:rtl/>
          <w:lang w:bidi="ar-DZ"/>
        </w:rPr>
        <w:t xml:space="preserve"> </w:t>
      </w:r>
      <w:r w:rsidR="00023DFC" w:rsidRPr="00BA686F">
        <w:rPr>
          <w:rFonts w:ascii="Simplified Arabic" w:hAnsi="Simplified Arabic" w:cs="Simplified Arabic" w:hint="cs"/>
          <w:color w:val="000000" w:themeColor="text1"/>
          <w:sz w:val="24"/>
          <w:szCs w:val="24"/>
          <w:rtl/>
          <w:lang w:bidi="ar-DZ"/>
        </w:rPr>
        <w:t>الناتج</w:t>
      </w:r>
      <w:r w:rsidR="00023DFC" w:rsidRPr="00BA686F">
        <w:rPr>
          <w:rFonts w:ascii="Simplified Arabic" w:hAnsi="Simplified Arabic" w:cs="Simplified Arabic"/>
          <w:color w:val="000000" w:themeColor="text1"/>
          <w:sz w:val="24"/>
          <w:szCs w:val="24"/>
          <w:rtl/>
          <w:lang w:bidi="ar-DZ"/>
        </w:rPr>
        <w:t xml:space="preserve"> </w:t>
      </w:r>
      <w:r w:rsidR="009616F1">
        <w:rPr>
          <w:rFonts w:ascii="Simplified Arabic" w:hAnsi="Simplified Arabic" w:cs="Simplified Arabic" w:hint="cs"/>
          <w:color w:val="000000" w:themeColor="text1"/>
          <w:sz w:val="24"/>
          <w:szCs w:val="24"/>
          <w:rtl/>
          <w:lang w:bidi="ar-DZ"/>
        </w:rPr>
        <w:t xml:space="preserve">عن </w:t>
      </w:r>
      <w:r w:rsidR="00023DFC" w:rsidRPr="00730089">
        <w:rPr>
          <w:rFonts w:ascii="Simplified Arabic" w:hAnsi="Simplified Arabic" w:cs="Simplified Arabic" w:hint="cs"/>
          <w:color w:val="000000" w:themeColor="text1"/>
          <w:sz w:val="24"/>
          <w:szCs w:val="24"/>
          <w:rtl/>
          <w:lang w:bidi="ar-DZ"/>
        </w:rPr>
        <w:t>التقسيم</w:t>
      </w:r>
      <w:r w:rsidR="00BD4569">
        <w:rPr>
          <w:rFonts w:ascii="Simplified Arabic" w:hAnsi="Simplified Arabic" w:cs="Simplified Arabic" w:hint="cs"/>
          <w:color w:val="000000" w:themeColor="text1"/>
          <w:sz w:val="24"/>
          <w:szCs w:val="24"/>
          <w:rtl/>
          <w:lang w:bidi="ar-DZ"/>
        </w:rPr>
        <w:t>ات</w:t>
      </w:r>
      <w:r w:rsidR="00023DFC" w:rsidRPr="00730089">
        <w:rPr>
          <w:rFonts w:ascii="Simplified Arabic" w:hAnsi="Simplified Arabic" w:cs="Simplified Arabic"/>
          <w:color w:val="000000" w:themeColor="text1"/>
          <w:sz w:val="24"/>
          <w:szCs w:val="24"/>
          <w:rtl/>
          <w:lang w:bidi="ar-DZ"/>
        </w:rPr>
        <w:t xml:space="preserve"> </w:t>
      </w:r>
      <w:r w:rsidR="00023DFC" w:rsidRPr="00730089">
        <w:rPr>
          <w:rFonts w:ascii="Simplified Arabic" w:hAnsi="Simplified Arabic" w:cs="Simplified Arabic" w:hint="cs"/>
          <w:color w:val="000000" w:themeColor="text1"/>
          <w:sz w:val="24"/>
          <w:szCs w:val="24"/>
          <w:rtl/>
          <w:lang w:bidi="ar-DZ"/>
        </w:rPr>
        <w:t>الفرعي</w:t>
      </w:r>
      <w:r w:rsidR="00BD4569">
        <w:rPr>
          <w:rFonts w:ascii="Simplified Arabic" w:hAnsi="Simplified Arabic" w:cs="Simplified Arabic" w:hint="cs"/>
          <w:color w:val="000000" w:themeColor="text1"/>
          <w:sz w:val="24"/>
          <w:szCs w:val="24"/>
          <w:rtl/>
          <w:lang w:bidi="ar-DZ"/>
        </w:rPr>
        <w:t>ة</w:t>
      </w:r>
      <w:r w:rsidR="00023DFC">
        <w:rPr>
          <w:rFonts w:ascii="Simplified Arabic" w:hAnsi="Simplified Arabic" w:cs="Simplified Arabic" w:hint="cs"/>
          <w:color w:val="000000" w:themeColor="text1"/>
          <w:sz w:val="24"/>
          <w:szCs w:val="24"/>
          <w:rtl/>
          <w:lang w:bidi="ar-DZ"/>
        </w:rPr>
        <w:t xml:space="preserve">، </w:t>
      </w:r>
      <w:r w:rsidR="00023DFC" w:rsidRPr="00582395">
        <w:rPr>
          <w:rFonts w:ascii="Simplified Arabic" w:hAnsi="Simplified Arabic" w:cs="Simplified Arabic" w:hint="cs"/>
          <w:color w:val="000000" w:themeColor="text1"/>
          <w:sz w:val="24"/>
          <w:szCs w:val="24"/>
          <w:rtl/>
          <w:lang w:bidi="ar-DZ"/>
        </w:rPr>
        <w:t>مقدار</w:t>
      </w:r>
      <w:r w:rsidR="00023DFC" w:rsidRPr="00582395">
        <w:rPr>
          <w:rFonts w:ascii="Simplified Arabic" w:hAnsi="Simplified Arabic" w:cs="Simplified Arabic"/>
          <w:color w:val="000000" w:themeColor="text1"/>
          <w:sz w:val="24"/>
          <w:szCs w:val="24"/>
          <w:rtl/>
          <w:lang w:bidi="ar-DZ"/>
        </w:rPr>
        <w:t xml:space="preserve"> </w:t>
      </w:r>
      <w:r w:rsidR="00023DFC" w:rsidRPr="00582395">
        <w:rPr>
          <w:rFonts w:ascii="Simplified Arabic" w:hAnsi="Simplified Arabic" w:cs="Simplified Arabic" w:hint="cs"/>
          <w:color w:val="000000" w:themeColor="text1"/>
          <w:sz w:val="24"/>
          <w:szCs w:val="24"/>
          <w:rtl/>
          <w:lang w:bidi="ar-DZ"/>
        </w:rPr>
        <w:t>الشدة</w:t>
      </w:r>
      <w:r w:rsidR="00023DFC" w:rsidRPr="00582395">
        <w:rPr>
          <w:rFonts w:ascii="Simplified Arabic" w:hAnsi="Simplified Arabic" w:cs="Simplified Arabic"/>
          <w:color w:val="000000" w:themeColor="text1"/>
          <w:sz w:val="24"/>
          <w:szCs w:val="24"/>
          <w:rtl/>
          <w:lang w:bidi="ar-DZ"/>
        </w:rPr>
        <w:t xml:space="preserve"> </w:t>
      </w:r>
      <w:r w:rsidR="00023DFC">
        <w:rPr>
          <w:rFonts w:ascii="Simplified Arabic" w:hAnsi="Simplified Arabic" w:cs="Simplified Arabic" w:hint="cs"/>
          <w:color w:val="000000" w:themeColor="text1"/>
          <w:sz w:val="24"/>
          <w:szCs w:val="24"/>
          <w:rtl/>
          <w:lang w:bidi="ar-DZ"/>
        </w:rPr>
        <w:t xml:space="preserve">الممكنة </w:t>
      </w:r>
      <w:r w:rsidR="00023DFC" w:rsidRPr="00582395">
        <w:rPr>
          <w:rFonts w:ascii="Simplified Arabic" w:hAnsi="Simplified Arabic" w:cs="Simplified Arabic" w:hint="cs"/>
          <w:color w:val="000000" w:themeColor="text1"/>
          <w:sz w:val="24"/>
          <w:szCs w:val="24"/>
          <w:rtl/>
          <w:lang w:bidi="ar-DZ"/>
        </w:rPr>
        <w:t>في</w:t>
      </w:r>
      <w:r w:rsidR="00023DFC" w:rsidRPr="00582395">
        <w:rPr>
          <w:rFonts w:ascii="Simplified Arabic" w:hAnsi="Simplified Arabic" w:cs="Simplified Arabic"/>
          <w:color w:val="000000" w:themeColor="text1"/>
          <w:sz w:val="24"/>
          <w:szCs w:val="24"/>
          <w:rtl/>
          <w:lang w:bidi="ar-DZ"/>
        </w:rPr>
        <w:t xml:space="preserve"> </w:t>
      </w:r>
      <w:r w:rsidR="003337FD">
        <w:rPr>
          <w:rFonts w:ascii="Simplified Arabic" w:hAnsi="Simplified Arabic" w:cs="Simplified Arabic" w:hint="cs"/>
          <w:sz w:val="24"/>
          <w:szCs w:val="24"/>
          <w:rtl/>
        </w:rPr>
        <w:t>استعمال</w:t>
      </w:r>
      <w:r w:rsidR="00023DFC" w:rsidRPr="00582395">
        <w:rPr>
          <w:rFonts w:ascii="Simplified Arabic" w:hAnsi="Simplified Arabic" w:cs="Simplified Arabic"/>
          <w:color w:val="000000" w:themeColor="text1"/>
          <w:sz w:val="24"/>
          <w:szCs w:val="24"/>
          <w:rtl/>
          <w:lang w:bidi="ar-DZ"/>
        </w:rPr>
        <w:t xml:space="preserve"> </w:t>
      </w:r>
      <w:r w:rsidR="00023DFC" w:rsidRPr="00582395">
        <w:rPr>
          <w:rFonts w:ascii="Simplified Arabic" w:hAnsi="Simplified Arabic" w:cs="Simplified Arabic" w:hint="cs"/>
          <w:color w:val="000000" w:themeColor="text1"/>
          <w:sz w:val="24"/>
          <w:szCs w:val="24"/>
          <w:rtl/>
          <w:lang w:bidi="ar-DZ"/>
        </w:rPr>
        <w:t>الفضاء</w:t>
      </w:r>
      <w:r w:rsidR="00023DFC">
        <w:rPr>
          <w:rFonts w:ascii="Simplified Arabic" w:hAnsi="Simplified Arabic" w:cs="Simplified Arabic" w:hint="cs"/>
          <w:color w:val="000000" w:themeColor="text1"/>
          <w:sz w:val="24"/>
          <w:szCs w:val="24"/>
          <w:rtl/>
          <w:lang w:bidi="ar-DZ"/>
        </w:rPr>
        <w:t>.</w:t>
      </w:r>
      <w:r w:rsidR="00023DFC" w:rsidRPr="0022590C">
        <w:rPr>
          <w:rFonts w:ascii="Simplified Arabic" w:hAnsi="Simplified Arabic" w:cs="Simplified Arabic" w:hint="cs"/>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كلما</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كانت</w:t>
      </w:r>
      <w:r w:rsidR="00F757AC" w:rsidRPr="00BD4569">
        <w:rPr>
          <w:rFonts w:ascii="Simplified Arabic" w:hAnsi="Simplified Arabic" w:cs="Simplified Arabic"/>
          <w:color w:val="000000" w:themeColor="text1"/>
          <w:sz w:val="24"/>
          <w:szCs w:val="24"/>
          <w:rtl/>
          <w:lang w:bidi="ar-DZ"/>
        </w:rPr>
        <w:t xml:space="preserve"> </w:t>
      </w:r>
      <w:r w:rsidR="00BD4569" w:rsidRPr="00730089">
        <w:rPr>
          <w:rFonts w:ascii="Simplified Arabic" w:hAnsi="Simplified Arabic" w:cs="Simplified Arabic" w:hint="cs"/>
          <w:color w:val="000000" w:themeColor="text1"/>
          <w:sz w:val="24"/>
          <w:szCs w:val="24"/>
          <w:rtl/>
          <w:lang w:bidi="ar-DZ"/>
        </w:rPr>
        <w:t>التقسيم</w:t>
      </w:r>
      <w:r w:rsidR="00BD4569">
        <w:rPr>
          <w:rFonts w:ascii="Simplified Arabic" w:hAnsi="Simplified Arabic" w:cs="Simplified Arabic" w:hint="cs"/>
          <w:color w:val="000000" w:themeColor="text1"/>
          <w:sz w:val="24"/>
          <w:szCs w:val="24"/>
          <w:rtl/>
          <w:lang w:bidi="ar-DZ"/>
        </w:rPr>
        <w:t>ات</w:t>
      </w:r>
      <w:r w:rsidR="00BD4569" w:rsidRPr="00730089">
        <w:rPr>
          <w:rFonts w:ascii="Simplified Arabic" w:hAnsi="Simplified Arabic" w:cs="Simplified Arabic"/>
          <w:color w:val="000000" w:themeColor="text1"/>
          <w:sz w:val="24"/>
          <w:szCs w:val="24"/>
          <w:rtl/>
          <w:lang w:bidi="ar-DZ"/>
        </w:rPr>
        <w:t xml:space="preserve"> </w:t>
      </w:r>
      <w:r w:rsidR="00BD4569" w:rsidRPr="00730089">
        <w:rPr>
          <w:rFonts w:ascii="Simplified Arabic" w:hAnsi="Simplified Arabic" w:cs="Simplified Arabic" w:hint="cs"/>
          <w:color w:val="000000" w:themeColor="text1"/>
          <w:sz w:val="24"/>
          <w:szCs w:val="24"/>
          <w:rtl/>
          <w:lang w:bidi="ar-DZ"/>
        </w:rPr>
        <w:t>الفرعي</w:t>
      </w:r>
      <w:r w:rsidR="00BD4569">
        <w:rPr>
          <w:rFonts w:ascii="Simplified Arabic" w:hAnsi="Simplified Arabic" w:cs="Simplified Arabic" w:hint="cs"/>
          <w:color w:val="000000" w:themeColor="text1"/>
          <w:sz w:val="24"/>
          <w:szCs w:val="24"/>
          <w:rtl/>
          <w:lang w:bidi="ar-DZ"/>
        </w:rPr>
        <w:t>ة</w:t>
      </w:r>
      <w:r w:rsidR="00BD4569" w:rsidRPr="000D5C80">
        <w:rPr>
          <w:rFonts w:ascii="Simplified Arabic" w:hAnsi="Simplified Arabic" w:cs="Simplified Arabic" w:hint="cs"/>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أصغر،</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زادت</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القيمة</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المبلغ</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عنها،</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بالتالي</w:t>
      </w:r>
      <w:r w:rsidR="00F757AC" w:rsidRPr="00BD4569">
        <w:rPr>
          <w:rFonts w:ascii="Simplified Arabic" w:hAnsi="Simplified Arabic" w:cs="Simplified Arabic"/>
          <w:color w:val="000000" w:themeColor="text1"/>
          <w:sz w:val="24"/>
          <w:szCs w:val="24"/>
          <w:rtl/>
          <w:lang w:bidi="ar-DZ"/>
        </w:rPr>
        <w:t xml:space="preserve"> </w:t>
      </w:r>
      <w:r w:rsidR="00BD4569">
        <w:rPr>
          <w:rFonts w:ascii="Simplified Arabic" w:hAnsi="Simplified Arabic" w:cs="Simplified Arabic" w:hint="cs"/>
          <w:color w:val="000000" w:themeColor="text1"/>
          <w:sz w:val="24"/>
          <w:szCs w:val="24"/>
          <w:rtl/>
          <w:lang w:bidi="ar-DZ"/>
        </w:rPr>
        <w:t>تعدد الوجهات</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المحتمل</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الوصول</w:t>
      </w:r>
      <w:r w:rsidR="00F757AC" w:rsidRPr="00BD4569">
        <w:rPr>
          <w:rFonts w:ascii="Simplified Arabic" w:hAnsi="Simplified Arabic" w:cs="Simplified Arabic"/>
          <w:color w:val="000000" w:themeColor="text1"/>
          <w:sz w:val="24"/>
          <w:szCs w:val="24"/>
          <w:rtl/>
          <w:lang w:bidi="ar-DZ"/>
        </w:rPr>
        <w:t xml:space="preserve"> </w:t>
      </w:r>
      <w:r w:rsidR="00F757AC" w:rsidRPr="00BD4569">
        <w:rPr>
          <w:rFonts w:ascii="Simplified Arabic" w:hAnsi="Simplified Arabic" w:cs="Simplified Arabic" w:hint="cs"/>
          <w:color w:val="000000" w:themeColor="text1"/>
          <w:sz w:val="24"/>
          <w:szCs w:val="24"/>
          <w:rtl/>
          <w:lang w:bidi="ar-DZ"/>
        </w:rPr>
        <w:t>إليه</w:t>
      </w:r>
      <w:r w:rsidR="00BD4569">
        <w:rPr>
          <w:rFonts w:ascii="Simplified Arabic" w:hAnsi="Simplified Arabic" w:cs="Simplified Arabic" w:hint="cs"/>
          <w:color w:val="000000" w:themeColor="text1"/>
          <w:sz w:val="24"/>
          <w:szCs w:val="24"/>
          <w:rtl/>
          <w:lang w:bidi="ar-DZ"/>
        </w:rPr>
        <w:t>ا.</w:t>
      </w:r>
      <w:r w:rsidR="006C2547" w:rsidRPr="009616F1">
        <w:rPr>
          <w:rFonts w:ascii="Simplified Arabic" w:hAnsi="Simplified Arabic" w:cs="Simplified Arabic"/>
          <w:sz w:val="24"/>
          <w:szCs w:val="24"/>
          <w:rtl/>
        </w:rPr>
        <w:t xml:space="preserve"> يتم حساب كثافة </w:t>
      </w:r>
      <w:r w:rsidR="006C2547" w:rsidRPr="009616F1">
        <w:rPr>
          <w:rFonts w:ascii="Simplified Arabic" w:hAnsi="Simplified Arabic" w:cs="Simplified Arabic" w:hint="cs"/>
          <w:sz w:val="24"/>
          <w:szCs w:val="24"/>
          <w:rtl/>
        </w:rPr>
        <w:t>البناء</w:t>
      </w:r>
      <w:r w:rsidR="006C2547" w:rsidRPr="009616F1">
        <w:rPr>
          <w:rFonts w:ascii="Simplified Arabic" w:hAnsi="Simplified Arabic" w:cs="Simplified Arabic"/>
          <w:sz w:val="24"/>
          <w:szCs w:val="24"/>
          <w:rtl/>
        </w:rPr>
        <w:t xml:space="preserve"> باستخدام</w:t>
      </w:r>
      <w:r w:rsidR="006C2547" w:rsidRPr="009616F1">
        <w:rPr>
          <w:rFonts w:asciiTheme="majorBidi" w:hAnsiTheme="majorBidi"/>
          <w:rtl/>
        </w:rPr>
        <w:t xml:space="preserve"> </w:t>
      </w:r>
      <w:r w:rsidR="006C2547" w:rsidRPr="009616F1">
        <w:rPr>
          <w:rFonts w:asciiTheme="majorBidi" w:hAnsiTheme="majorBidi" w:cstheme="majorBidi" w:hint="cs"/>
          <w:sz w:val="24"/>
          <w:szCs w:val="24"/>
          <w:rtl/>
        </w:rPr>
        <w:t>2010</w:t>
      </w:r>
      <w:r w:rsidR="006C2547" w:rsidRPr="009616F1">
        <w:rPr>
          <w:rFonts w:asciiTheme="majorBidi" w:hAnsiTheme="majorBidi" w:cstheme="majorBidi"/>
          <w:sz w:val="24"/>
          <w:szCs w:val="24"/>
        </w:rPr>
        <w:t xml:space="preserve">Microsoft Excel </w:t>
      </w:r>
      <w:r w:rsidR="006C2547" w:rsidRPr="009616F1">
        <w:rPr>
          <w:rFonts w:ascii="Simplified Arabic" w:hAnsi="Simplified Arabic" w:cs="Simplified Arabic" w:hint="cs"/>
          <w:rtl/>
        </w:rPr>
        <w:t xml:space="preserve">، </w:t>
      </w:r>
      <w:r w:rsidR="006C2547" w:rsidRPr="009616F1">
        <w:rPr>
          <w:rFonts w:ascii="Simplified Arabic" w:hAnsi="Simplified Arabic" w:cs="Simplified Arabic" w:hint="cs"/>
          <w:sz w:val="24"/>
          <w:szCs w:val="24"/>
          <w:rtl/>
        </w:rPr>
        <w:t>بعد</w:t>
      </w:r>
      <w:r w:rsidR="006C2547" w:rsidRPr="009616F1">
        <w:rPr>
          <w:rFonts w:ascii="Simplified Arabic" w:hAnsi="Simplified Arabic" w:cs="Simplified Arabic"/>
          <w:sz w:val="24"/>
          <w:szCs w:val="24"/>
          <w:rtl/>
        </w:rPr>
        <w:t xml:space="preserve"> </w:t>
      </w:r>
      <w:r w:rsidR="006C2547" w:rsidRPr="009616F1">
        <w:rPr>
          <w:rFonts w:ascii="Simplified Arabic" w:hAnsi="Simplified Arabic" w:cs="Simplified Arabic" w:hint="cs"/>
          <w:sz w:val="24"/>
          <w:szCs w:val="24"/>
          <w:rtl/>
        </w:rPr>
        <w:t>تصدير</w:t>
      </w:r>
      <w:r w:rsidR="006C2547" w:rsidRPr="009616F1">
        <w:rPr>
          <w:rFonts w:ascii="Simplified Arabic" w:hAnsi="Simplified Arabic" w:cs="Simplified Arabic"/>
          <w:sz w:val="24"/>
          <w:szCs w:val="24"/>
          <w:rtl/>
        </w:rPr>
        <w:t xml:space="preserve"> </w:t>
      </w:r>
      <w:r w:rsidR="006C2547" w:rsidRPr="009616F1">
        <w:rPr>
          <w:rFonts w:ascii="Simplified Arabic" w:hAnsi="Simplified Arabic" w:cs="Simplified Arabic" w:hint="cs"/>
          <w:sz w:val="24"/>
          <w:szCs w:val="24"/>
          <w:rtl/>
        </w:rPr>
        <w:t>جداول</w:t>
      </w:r>
      <w:r w:rsidR="006C2547" w:rsidRPr="009616F1">
        <w:rPr>
          <w:rFonts w:ascii="Simplified Arabic" w:hAnsi="Simplified Arabic" w:cs="Simplified Arabic"/>
          <w:sz w:val="24"/>
          <w:szCs w:val="24"/>
          <w:rtl/>
        </w:rPr>
        <w:t xml:space="preserve"> </w:t>
      </w:r>
      <w:r w:rsidR="006C2547" w:rsidRPr="009616F1">
        <w:rPr>
          <w:rFonts w:ascii="Simplified Arabic" w:hAnsi="Simplified Arabic" w:cs="Simplified Arabic" w:hint="cs"/>
          <w:sz w:val="24"/>
          <w:szCs w:val="24"/>
          <w:rtl/>
        </w:rPr>
        <w:t>البيانات</w:t>
      </w:r>
      <w:r w:rsidR="006C2547" w:rsidRPr="009616F1">
        <w:rPr>
          <w:rFonts w:ascii="Simplified Arabic" w:hAnsi="Simplified Arabic" w:cs="Simplified Arabic"/>
          <w:sz w:val="24"/>
          <w:szCs w:val="24"/>
          <w:rtl/>
        </w:rPr>
        <w:t xml:space="preserve"> </w:t>
      </w:r>
      <w:r w:rsidR="006C2547" w:rsidRPr="009616F1">
        <w:rPr>
          <w:rFonts w:ascii="Simplified Arabic" w:hAnsi="Simplified Arabic" w:cs="Simplified Arabic" w:hint="cs"/>
          <w:sz w:val="24"/>
          <w:szCs w:val="24"/>
          <w:rtl/>
        </w:rPr>
        <w:t>المرتبطة</w:t>
      </w:r>
      <w:r w:rsidR="006C2547" w:rsidRPr="009616F1">
        <w:rPr>
          <w:rFonts w:ascii="Simplified Arabic" w:hAnsi="Simplified Arabic" w:cs="Simplified Arabic"/>
          <w:sz w:val="24"/>
          <w:szCs w:val="24"/>
          <w:rtl/>
        </w:rPr>
        <w:t xml:space="preserve"> </w:t>
      </w:r>
      <w:r w:rsidR="006C2547" w:rsidRPr="009616F1">
        <w:rPr>
          <w:rFonts w:ascii="Simplified Arabic" w:hAnsi="Simplified Arabic" w:cs="Simplified Arabic" w:hint="cs"/>
          <w:sz w:val="24"/>
          <w:szCs w:val="24"/>
          <w:rtl/>
        </w:rPr>
        <w:t>ب</w:t>
      </w:r>
      <w:r w:rsidR="009616F1" w:rsidRPr="009616F1">
        <w:rPr>
          <w:rFonts w:ascii="Simplified Arabic" w:hAnsi="Simplified Arabic" w:cs="Simplified Arabic" w:hint="cs"/>
          <w:color w:val="000000" w:themeColor="text1"/>
          <w:sz w:val="24"/>
          <w:szCs w:val="24"/>
          <w:rtl/>
          <w:lang w:bidi="ar-DZ"/>
        </w:rPr>
        <w:t>كثافة</w:t>
      </w:r>
      <w:r w:rsidR="009616F1" w:rsidRPr="009616F1">
        <w:rPr>
          <w:rFonts w:ascii="Simplified Arabic" w:hAnsi="Simplified Arabic" w:cs="Simplified Arabic"/>
          <w:color w:val="000000" w:themeColor="text1"/>
          <w:sz w:val="24"/>
          <w:szCs w:val="24"/>
          <w:rtl/>
          <w:lang w:bidi="ar-DZ"/>
        </w:rPr>
        <w:t xml:space="preserve"> </w:t>
      </w:r>
      <w:r w:rsidR="009616F1" w:rsidRPr="009616F1">
        <w:rPr>
          <w:rFonts w:ascii="Simplified Arabic" w:hAnsi="Simplified Arabic" w:cs="Simplified Arabic" w:hint="cs"/>
          <w:color w:val="000000" w:themeColor="text1"/>
          <w:sz w:val="24"/>
          <w:szCs w:val="24"/>
          <w:rtl/>
          <w:lang w:bidi="ar-DZ"/>
        </w:rPr>
        <w:t>البناء</w:t>
      </w:r>
      <w:r w:rsidR="006C2547" w:rsidRPr="009616F1">
        <w:rPr>
          <w:rFonts w:ascii="Simplified Arabic" w:hAnsi="Simplified Arabic" w:cs="Simplified Arabic" w:hint="cs"/>
          <w:sz w:val="24"/>
          <w:szCs w:val="24"/>
          <w:rtl/>
        </w:rPr>
        <w:t xml:space="preserve"> لكل</w:t>
      </w:r>
      <w:r w:rsidR="006C2547" w:rsidRPr="009616F1">
        <w:rPr>
          <w:rFonts w:ascii="Simplified Arabic" w:hAnsi="Simplified Arabic" w:cs="Simplified Arabic"/>
          <w:sz w:val="24"/>
          <w:szCs w:val="24"/>
          <w:rtl/>
        </w:rPr>
        <w:t xml:space="preserve"> </w:t>
      </w:r>
      <w:r w:rsidR="006C2547" w:rsidRPr="009616F1">
        <w:rPr>
          <w:rFonts w:ascii="Simplified Arabic" w:hAnsi="Simplified Arabic" w:cs="Simplified Arabic" w:hint="cs"/>
          <w:sz w:val="24"/>
          <w:szCs w:val="24"/>
          <w:rtl/>
        </w:rPr>
        <w:t>فئة من فئات النسيج الحضري</w:t>
      </w:r>
      <w:r w:rsidR="006C2547" w:rsidRPr="009616F1">
        <w:rPr>
          <w:rFonts w:ascii="Simplified Arabic" w:hAnsi="Simplified Arabic" w:cs="Simplified Arabic"/>
          <w:sz w:val="24"/>
          <w:szCs w:val="24"/>
          <w:rtl/>
        </w:rPr>
        <w:t>.</w:t>
      </w:r>
      <w:r w:rsidR="006C2547" w:rsidRPr="009616F1">
        <w:rPr>
          <w:rFonts w:ascii="Simplified Arabic" w:hAnsi="Simplified Arabic" w:cs="Simplified Arabic" w:hint="cs"/>
          <w:sz w:val="24"/>
          <w:szCs w:val="24"/>
          <w:rtl/>
        </w:rPr>
        <w:t xml:space="preserve"> </w:t>
      </w:r>
      <w:bookmarkStart w:id="813" w:name="_Toc157608359"/>
    </w:p>
    <w:p w:rsidR="00E24028" w:rsidRPr="00E24028" w:rsidRDefault="002A686B" w:rsidP="001D0548">
      <w:pPr>
        <w:pStyle w:val="Paragraphedeliste"/>
        <w:numPr>
          <w:ilvl w:val="2"/>
          <w:numId w:val="262"/>
        </w:numPr>
        <w:tabs>
          <w:tab w:val="right" w:pos="850"/>
        </w:tabs>
        <w:autoSpaceDE w:val="0"/>
        <w:autoSpaceDN w:val="0"/>
        <w:bidi/>
        <w:adjustRightInd w:val="0"/>
        <w:spacing w:before="240" w:after="0"/>
        <w:ind w:left="0" w:firstLine="0"/>
        <w:jc w:val="both"/>
        <w:outlineLvl w:val="1"/>
        <w:rPr>
          <w:rFonts w:ascii="Simplified Arabic" w:hAnsi="Simplified Arabic" w:cs="Simplified Arabic"/>
          <w:sz w:val="24"/>
          <w:szCs w:val="24"/>
        </w:rPr>
      </w:pPr>
      <w:bookmarkStart w:id="814" w:name="_Toc171803792"/>
      <w:bookmarkEnd w:id="813"/>
      <w:r w:rsidRPr="00E24028">
        <w:rPr>
          <w:rFonts w:ascii="Simplified Arabic" w:hAnsi="Simplified Arabic" w:cs="Simplified Arabic"/>
          <w:b/>
          <w:bCs/>
          <w:sz w:val="24"/>
          <w:szCs w:val="24"/>
          <w:rtl/>
        </w:rPr>
        <w:t>تحديد</w:t>
      </w:r>
      <w:r w:rsidRPr="00E24028">
        <w:rPr>
          <w:rFonts w:ascii="Simplified Arabic" w:hAnsi="Simplified Arabic" w:cs="Simplified Arabic" w:hint="cs"/>
          <w:b/>
          <w:bCs/>
          <w:sz w:val="24"/>
          <w:szCs w:val="24"/>
          <w:rtl/>
        </w:rPr>
        <w:t xml:space="preserve"> موقع </w:t>
      </w:r>
      <w:r w:rsidRPr="00E24028">
        <w:rPr>
          <w:rFonts w:ascii="Simplified Arabic" w:hAnsi="Simplified Arabic" w:cs="Simplified Arabic"/>
          <w:b/>
          <w:bCs/>
          <w:sz w:val="24"/>
          <w:szCs w:val="24"/>
          <w:rtl/>
        </w:rPr>
        <w:t>كل</w:t>
      </w:r>
      <w:r w:rsidRPr="00E24028">
        <w:rPr>
          <w:rFonts w:ascii="Simplified Arabic" w:hAnsi="Simplified Arabic" w:cs="Simplified Arabic" w:hint="cs"/>
          <w:b/>
          <w:bCs/>
          <w:sz w:val="24"/>
          <w:szCs w:val="24"/>
          <w:rtl/>
        </w:rPr>
        <w:t xml:space="preserve"> مرفق للمعايير (</w:t>
      </w:r>
      <w:r w:rsidRPr="00E24028">
        <w:rPr>
          <w:rFonts w:asciiTheme="majorBidi" w:hAnsiTheme="majorBidi" w:cstheme="majorBidi"/>
          <w:b/>
          <w:bCs/>
          <w:sz w:val="24"/>
          <w:szCs w:val="24"/>
        </w:rPr>
        <w:t>C1</w:t>
      </w:r>
      <w:r w:rsidRPr="00E24028">
        <w:rPr>
          <w:rFonts w:asciiTheme="majorBidi" w:hAnsiTheme="majorBidi" w:cstheme="majorBidi"/>
          <w:b/>
          <w:bCs/>
          <w:sz w:val="24"/>
          <w:szCs w:val="24"/>
          <w:rtl/>
        </w:rPr>
        <w:t xml:space="preserve">، </w:t>
      </w:r>
      <w:r w:rsidRPr="00E24028">
        <w:rPr>
          <w:rFonts w:asciiTheme="majorBidi" w:hAnsiTheme="majorBidi" w:cstheme="majorBidi"/>
          <w:b/>
          <w:bCs/>
          <w:sz w:val="24"/>
          <w:szCs w:val="24"/>
        </w:rPr>
        <w:t>C2</w:t>
      </w:r>
      <w:r w:rsidRPr="00E24028">
        <w:rPr>
          <w:rFonts w:asciiTheme="majorBidi" w:hAnsiTheme="majorBidi" w:cstheme="majorBidi"/>
          <w:b/>
          <w:bCs/>
          <w:sz w:val="24"/>
          <w:szCs w:val="24"/>
          <w:rtl/>
        </w:rPr>
        <w:t xml:space="preserve">، </w:t>
      </w:r>
      <w:r w:rsidRPr="00E24028">
        <w:rPr>
          <w:rFonts w:asciiTheme="majorBidi" w:hAnsiTheme="majorBidi" w:cstheme="majorBidi"/>
          <w:b/>
          <w:bCs/>
          <w:sz w:val="24"/>
          <w:szCs w:val="24"/>
        </w:rPr>
        <w:t>C3</w:t>
      </w:r>
      <w:r w:rsidRPr="00E24028">
        <w:rPr>
          <w:rFonts w:asciiTheme="majorBidi" w:hAnsiTheme="majorBidi" w:cstheme="majorBidi"/>
          <w:b/>
          <w:bCs/>
          <w:sz w:val="24"/>
          <w:szCs w:val="24"/>
          <w:rtl/>
        </w:rPr>
        <w:t xml:space="preserve">، </w:t>
      </w:r>
      <w:r w:rsidRPr="00E24028">
        <w:rPr>
          <w:rFonts w:asciiTheme="majorBidi" w:hAnsiTheme="majorBidi" w:cstheme="majorBidi"/>
          <w:b/>
          <w:bCs/>
          <w:sz w:val="24"/>
          <w:szCs w:val="24"/>
        </w:rPr>
        <w:t xml:space="preserve"> C4</w:t>
      </w:r>
      <w:r w:rsidRPr="00E24028">
        <w:rPr>
          <w:rFonts w:asciiTheme="majorBidi" w:hAnsiTheme="majorBidi" w:cstheme="majorBidi"/>
          <w:b/>
          <w:bCs/>
          <w:sz w:val="24"/>
          <w:szCs w:val="24"/>
          <w:rtl/>
        </w:rPr>
        <w:t>،</w:t>
      </w:r>
      <w:r w:rsidRPr="00E24028">
        <w:rPr>
          <w:rFonts w:asciiTheme="majorBidi" w:hAnsiTheme="majorBidi" w:cstheme="majorBidi"/>
          <w:b/>
          <w:bCs/>
          <w:sz w:val="24"/>
          <w:szCs w:val="24"/>
        </w:rPr>
        <w:t>C5</w:t>
      </w:r>
      <w:r w:rsidRPr="00E24028">
        <w:rPr>
          <w:rFonts w:ascii="Simplified Arabic" w:hAnsi="Simplified Arabic" w:cs="Simplified Arabic" w:hint="cs"/>
          <w:b/>
          <w:bCs/>
          <w:sz w:val="24"/>
          <w:szCs w:val="24"/>
          <w:rtl/>
        </w:rPr>
        <w:t>):</w:t>
      </w:r>
      <w:bookmarkEnd w:id="814"/>
    </w:p>
    <w:p w:rsidR="002A686B" w:rsidRPr="00DD0D9B" w:rsidRDefault="00122989" w:rsidP="00E24028">
      <w:pPr>
        <w:pStyle w:val="Paragraphedeliste"/>
        <w:tabs>
          <w:tab w:val="right" w:pos="850"/>
        </w:tabs>
        <w:autoSpaceDE w:val="0"/>
        <w:autoSpaceDN w:val="0"/>
        <w:bidi/>
        <w:adjustRightInd w:val="0"/>
        <w:spacing w:before="240" w:after="0"/>
        <w:ind w:left="0" w:firstLine="283"/>
        <w:jc w:val="both"/>
        <w:rPr>
          <w:rFonts w:ascii="Simplified Arabic" w:hAnsi="Simplified Arabic" w:cs="Simplified Arabic"/>
          <w:sz w:val="24"/>
          <w:szCs w:val="24"/>
        </w:rPr>
      </w:pPr>
      <w:r w:rsidRPr="00D24BF7">
        <w:rPr>
          <w:rFonts w:ascii="Simplified Arabic" w:hAnsi="Simplified Arabic" w:cs="Simplified Arabic" w:hint="cs"/>
          <w:sz w:val="24"/>
          <w:szCs w:val="24"/>
          <w:rtl/>
        </w:rPr>
        <w:t xml:space="preserve">تم </w:t>
      </w:r>
      <w:r>
        <w:rPr>
          <w:rFonts w:ascii="Simplified Arabic" w:hAnsi="Simplified Arabic" w:cs="Simplified Arabic" w:hint="cs"/>
          <w:sz w:val="24"/>
          <w:szCs w:val="24"/>
          <w:rtl/>
        </w:rPr>
        <w:t xml:space="preserve">ذلك </w:t>
      </w:r>
      <w:r w:rsidRPr="00D24BF7">
        <w:rPr>
          <w:rFonts w:ascii="Simplified Arabic" w:hAnsi="Simplified Arabic" w:cs="Simplified Arabic" w:hint="cs"/>
          <w:sz w:val="24"/>
          <w:szCs w:val="24"/>
          <w:rtl/>
        </w:rPr>
        <w:t>عبر احياء مدينة بوسعادة</w:t>
      </w:r>
      <w:r>
        <w:rPr>
          <w:rFonts w:ascii="Simplified Arabic" w:hAnsi="Simplified Arabic" w:cs="Simplified Arabic" w:hint="cs"/>
          <w:sz w:val="24"/>
          <w:szCs w:val="24"/>
          <w:rtl/>
        </w:rPr>
        <w:t>:</w:t>
      </w:r>
      <w:r w:rsidRPr="00D24BF7">
        <w:rPr>
          <w:rFonts w:ascii="Simplified Arabic" w:hAnsi="Simplified Arabic" w:cs="Simplified Arabic" w:hint="cs"/>
          <w:sz w:val="24"/>
          <w:szCs w:val="24"/>
          <w:rtl/>
        </w:rPr>
        <w:t xml:space="preserve"> </w:t>
      </w:r>
      <w:r w:rsidRPr="00D24BF7">
        <w:rPr>
          <w:rFonts w:ascii="Simplified Arabic" w:eastAsia="Times New Roman" w:hAnsi="Simplified Arabic" w:cs="Simplified Arabic" w:hint="cs"/>
          <w:color w:val="000000"/>
          <w:sz w:val="24"/>
          <w:szCs w:val="24"/>
          <w:rtl/>
          <w:lang w:eastAsia="fr-FR"/>
        </w:rPr>
        <w:t>القصر</w:t>
      </w:r>
      <w:r>
        <w:rPr>
          <w:rFonts w:ascii="Simplified Arabic" w:eastAsia="Times New Roman" w:hAnsi="Simplified Arabic" w:cs="Simplified Arabic" w:hint="cs"/>
          <w:color w:val="000000"/>
          <w:sz w:val="24"/>
          <w:szCs w:val="24"/>
          <w:rtl/>
          <w:lang w:eastAsia="fr-FR"/>
        </w:rPr>
        <w:t>،</w:t>
      </w:r>
      <w:r w:rsidRPr="00D24BF7">
        <w:rPr>
          <w:rFonts w:ascii="Simplified Arabic" w:hAnsi="Simplified Arabic" w:cs="Simplified Arabic" w:hint="cs"/>
          <w:sz w:val="24"/>
          <w:szCs w:val="24"/>
          <w:rtl/>
        </w:rPr>
        <w:t xml:space="preserve"> </w:t>
      </w:r>
      <w:r w:rsidRPr="00D24BF7">
        <w:rPr>
          <w:rFonts w:ascii="Simplified Arabic" w:eastAsia="Times New Roman" w:hAnsi="Simplified Arabic" w:cs="Simplified Arabic"/>
          <w:color w:val="000000"/>
          <w:sz w:val="24"/>
          <w:szCs w:val="24"/>
          <w:rtl/>
          <w:lang w:eastAsia="fr-FR"/>
        </w:rPr>
        <w:t>بلاتو</w:t>
      </w:r>
      <w:r>
        <w:rPr>
          <w:rFonts w:ascii="Simplified Arabic" w:eastAsia="Times New Roman" w:hAnsi="Simplified Arabic" w:cs="Simplified Arabic" w:hint="cs"/>
          <w:color w:val="000000"/>
          <w:sz w:val="24"/>
          <w:szCs w:val="24"/>
          <w:rtl/>
          <w:lang w:eastAsia="fr-FR"/>
        </w:rPr>
        <w:t>،</w:t>
      </w:r>
      <w:r w:rsidRPr="00D24BF7">
        <w:rPr>
          <w:rFonts w:ascii="Simplified Arabic" w:hAnsi="Simplified Arabic" w:cs="Simplified Arabic" w:hint="cs"/>
          <w:sz w:val="24"/>
          <w:szCs w:val="24"/>
          <w:rtl/>
        </w:rPr>
        <w:t xml:space="preserve"> </w:t>
      </w:r>
      <w:r w:rsidRPr="00D24BF7">
        <w:rPr>
          <w:rFonts w:ascii="Simplified Arabic" w:eastAsia="Times New Roman" w:hAnsi="Simplified Arabic" w:cs="Simplified Arabic"/>
          <w:color w:val="000000"/>
          <w:sz w:val="24"/>
          <w:szCs w:val="24"/>
          <w:rtl/>
          <w:lang w:eastAsia="fr-FR"/>
        </w:rPr>
        <w:t>سيدي سليمان</w:t>
      </w:r>
      <w:r w:rsidRPr="00D24BF7">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و</w:t>
      </w:r>
      <w:r w:rsidRPr="00D24BF7">
        <w:rPr>
          <w:rFonts w:ascii="Simplified Arabic" w:eastAsia="Times New Roman" w:hAnsi="Simplified Arabic" w:cs="Simplified Arabic"/>
          <w:color w:val="000000"/>
          <w:sz w:val="24"/>
          <w:szCs w:val="24"/>
          <w:rtl/>
          <w:lang w:eastAsia="fr-FR"/>
        </w:rPr>
        <w:t>الحمايد</w:t>
      </w:r>
      <w:r w:rsidR="00DD3FBD">
        <w:rPr>
          <w:rFonts w:ascii="Simplified Arabic" w:eastAsia="Times New Roman" w:hAnsi="Simplified Arabic" w:cs="Simplified Arabic" w:hint="cs"/>
          <w:color w:val="000000"/>
          <w:sz w:val="24"/>
          <w:szCs w:val="24"/>
          <w:rtl/>
          <w:lang w:eastAsia="fr-FR"/>
        </w:rPr>
        <w:t>،</w:t>
      </w:r>
      <w:r>
        <w:rPr>
          <w:rFonts w:ascii="Simplified Arabic" w:hAnsi="Simplified Arabic" w:cs="Simplified Arabic" w:hint="cs"/>
          <w:sz w:val="24"/>
          <w:szCs w:val="24"/>
          <w:rtl/>
        </w:rPr>
        <w:t xml:space="preserve"> </w:t>
      </w:r>
      <w:r w:rsidRPr="00D24BF7">
        <w:rPr>
          <w:rFonts w:ascii="Simplified Arabic" w:hAnsi="Simplified Arabic" w:cs="Simplified Arabic" w:hint="cs"/>
          <w:sz w:val="24"/>
          <w:szCs w:val="24"/>
          <w:rtl/>
        </w:rPr>
        <w:t>على اساس مقياس</w:t>
      </w:r>
      <w:r w:rsidR="002A686B" w:rsidRPr="00DD0D9B">
        <w:rPr>
          <w:rFonts w:ascii="Simplified Arabic" w:hAnsi="Simplified Arabic" w:cs="Simplified Arabic" w:hint="cs"/>
          <w:sz w:val="24"/>
          <w:szCs w:val="24"/>
          <w:rtl/>
        </w:rPr>
        <w:t xml:space="preserve"> مسافة</w:t>
      </w:r>
      <w:r w:rsidR="00DD3FBD">
        <w:rPr>
          <w:rFonts w:ascii="Simplified Arabic" w:hAnsi="Simplified Arabic" w:cs="Simplified Arabic" w:hint="cs"/>
          <w:sz w:val="24"/>
          <w:szCs w:val="24"/>
          <w:rtl/>
        </w:rPr>
        <w:t xml:space="preserve"> الوصول</w:t>
      </w:r>
      <w:r w:rsidR="002A686B" w:rsidRPr="00DD0D9B">
        <w:rPr>
          <w:rFonts w:ascii="Simplified Arabic" w:hAnsi="Simplified Arabic" w:cs="Simplified Arabic" w:hint="cs"/>
          <w:sz w:val="24"/>
          <w:szCs w:val="24"/>
          <w:rtl/>
        </w:rPr>
        <w:t xml:space="preserve">، لمعرفة نطاق التغطية بالخدمة الذي يمكن ان يقدمه المرفق </w:t>
      </w:r>
      <w:r w:rsidR="005D1105">
        <w:rPr>
          <w:rFonts w:ascii="Simplified Arabic" w:hAnsi="Simplified Arabic" w:cs="Simplified Arabic" w:hint="cs"/>
          <w:sz w:val="24"/>
          <w:szCs w:val="24"/>
          <w:rtl/>
        </w:rPr>
        <w:t>ل</w:t>
      </w:r>
      <w:r w:rsidR="005D1105" w:rsidRPr="00BB2737">
        <w:rPr>
          <w:rFonts w:ascii="Simplified Arabic" w:hAnsi="Simplified Arabic" w:cs="Simplified Arabic" w:hint="cs"/>
          <w:sz w:val="24"/>
          <w:szCs w:val="24"/>
          <w:rtl/>
        </w:rPr>
        <w:t>كل</w:t>
      </w:r>
      <w:r w:rsidR="005D1105" w:rsidRPr="00BB2737">
        <w:rPr>
          <w:rFonts w:ascii="Simplified Arabic" w:hAnsi="Simplified Arabic" w:cs="Simplified Arabic"/>
          <w:sz w:val="24"/>
          <w:szCs w:val="24"/>
          <w:rtl/>
        </w:rPr>
        <w:t xml:space="preserve"> </w:t>
      </w:r>
      <w:r w:rsidR="005D1105" w:rsidRPr="00BB2737">
        <w:rPr>
          <w:rFonts w:ascii="Simplified Arabic" w:hAnsi="Simplified Arabic" w:cs="Simplified Arabic" w:hint="cs"/>
          <w:sz w:val="24"/>
          <w:szCs w:val="24"/>
          <w:rtl/>
        </w:rPr>
        <w:t>حي سكني</w:t>
      </w:r>
      <w:r w:rsidR="005D1105" w:rsidRPr="00DD0D9B">
        <w:rPr>
          <w:rFonts w:ascii="Simplified Arabic" w:hAnsi="Simplified Arabic" w:cs="Simplified Arabic" w:hint="cs"/>
          <w:sz w:val="24"/>
          <w:szCs w:val="24"/>
          <w:rtl/>
        </w:rPr>
        <w:t xml:space="preserve"> </w:t>
      </w:r>
      <w:r w:rsidR="002A686B" w:rsidRPr="00DD0D9B">
        <w:rPr>
          <w:rFonts w:ascii="Simplified Arabic" w:hAnsi="Simplified Arabic" w:cs="Simplified Arabic" w:hint="cs"/>
          <w:sz w:val="24"/>
          <w:szCs w:val="24"/>
          <w:rtl/>
        </w:rPr>
        <w:t>ضمن المسافة المعيارية النظرية المحددة في الجدول (6-</w:t>
      </w:r>
      <w:r w:rsidR="00B24A3A">
        <w:rPr>
          <w:rFonts w:ascii="Simplified Arabic" w:hAnsi="Simplified Arabic" w:cs="Simplified Arabic"/>
          <w:sz w:val="24"/>
          <w:szCs w:val="24"/>
        </w:rPr>
        <w:t>3</w:t>
      </w:r>
      <w:r w:rsidR="002A686B" w:rsidRPr="00DD0D9B">
        <w:rPr>
          <w:rFonts w:ascii="Simplified Arabic" w:hAnsi="Simplified Arabic" w:cs="Simplified Arabic" w:hint="cs"/>
          <w:sz w:val="24"/>
          <w:szCs w:val="24"/>
          <w:rtl/>
        </w:rPr>
        <w:t xml:space="preserve">). الغاية من ذلك الكشف عن سمة التنوع للمرونة المكانية على مستوى كل فئة من فئات النسيج الحضري. </w:t>
      </w:r>
    </w:p>
    <w:p w:rsidR="002A686B" w:rsidRDefault="002A686B" w:rsidP="004B7EFC">
      <w:pPr>
        <w:autoSpaceDE w:val="0"/>
        <w:autoSpaceDN w:val="0"/>
        <w:bidi/>
        <w:adjustRightInd w:val="0"/>
        <w:spacing w:after="0"/>
        <w:ind w:firstLine="283"/>
        <w:jc w:val="both"/>
        <w:rPr>
          <w:rFonts w:ascii="Simplified Arabic" w:hAnsi="Simplified Arabic" w:cs="Simplified Arabic"/>
          <w:color w:val="000000" w:themeColor="text1"/>
          <w:sz w:val="24"/>
          <w:szCs w:val="24"/>
          <w:rtl/>
        </w:rPr>
      </w:pPr>
      <w:r w:rsidRPr="00D2637F">
        <w:rPr>
          <w:rFonts w:ascii="Simplified Arabic" w:hAnsi="Simplified Arabic" w:cs="Simplified Arabic" w:hint="cs"/>
          <w:color w:val="000000" w:themeColor="text1"/>
          <w:sz w:val="24"/>
          <w:szCs w:val="24"/>
          <w:rtl/>
        </w:rPr>
        <w:t>يتم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حساب</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تنوع</w:t>
      </w:r>
      <w:r w:rsidRPr="00D2637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المرافق</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التي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يمكن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الوصول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إليها</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في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خطوتين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أولاً،</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يتم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تحديد</w:t>
      </w:r>
      <w:r w:rsidRPr="00D2637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انواع</w:t>
      </w:r>
      <w:r w:rsidRPr="00D2637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المرافق</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التي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يمكن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الوصول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إليها</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ضمن</w:t>
      </w:r>
      <w:r w:rsidRPr="00D2637F">
        <w:rPr>
          <w:rFonts w:ascii="Simplified Arabic" w:hAnsi="Simplified Arabic" w:cs="Simplified Arabic"/>
          <w:color w:val="000000" w:themeColor="text1"/>
          <w:sz w:val="24"/>
          <w:szCs w:val="24"/>
          <w:rtl/>
        </w:rPr>
        <w:t xml:space="preserve"> </w:t>
      </w:r>
      <w:r w:rsidR="00DD3FBD" w:rsidRPr="00DD0D9B">
        <w:rPr>
          <w:rFonts w:ascii="Simplified Arabic" w:hAnsi="Simplified Arabic" w:cs="Simplified Arabic" w:hint="cs"/>
          <w:sz w:val="24"/>
          <w:szCs w:val="24"/>
          <w:rtl/>
        </w:rPr>
        <w:t xml:space="preserve">المسافة المعيارية النظرية </w:t>
      </w:r>
      <w:r w:rsidR="003A36D7">
        <w:rPr>
          <w:rFonts w:ascii="Simplified Arabic" w:hAnsi="Simplified Arabic" w:cs="Simplified Arabic" w:hint="cs"/>
          <w:color w:val="000000" w:themeColor="text1"/>
          <w:sz w:val="24"/>
          <w:szCs w:val="24"/>
          <w:rtl/>
        </w:rPr>
        <w:t>لكل حي سكني</w:t>
      </w:r>
      <w:r w:rsidR="00DD3FBD">
        <w:rPr>
          <w:rFonts w:ascii="Simplified Arabic" w:hAnsi="Simplified Arabic" w:cs="Simplified Arabic" w:hint="cs"/>
          <w:color w:val="000000" w:themeColor="text1"/>
          <w:sz w:val="24"/>
          <w:szCs w:val="24"/>
          <w:rtl/>
        </w:rPr>
        <w:t>،</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خلال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إنشاء</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مضلع</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منطقة</w:t>
      </w:r>
      <w:r w:rsidRPr="00D2637F">
        <w:rPr>
          <w:rFonts w:ascii="Simplified Arabic" w:hAnsi="Simplified Arabic" w:cs="Simplified Arabic"/>
          <w:color w:val="000000" w:themeColor="text1"/>
          <w:sz w:val="24"/>
          <w:szCs w:val="24"/>
          <w:rtl/>
        </w:rPr>
        <w:t xml:space="preserve"> </w:t>
      </w:r>
      <w:r w:rsidR="00DD3FBD">
        <w:rPr>
          <w:rFonts w:ascii="Simplified Arabic" w:hAnsi="Simplified Arabic" w:cs="Simplified Arabic" w:hint="cs"/>
          <w:color w:val="000000" w:themeColor="text1"/>
          <w:sz w:val="24"/>
          <w:szCs w:val="24"/>
          <w:rtl/>
        </w:rPr>
        <w:t>ال</w:t>
      </w:r>
      <w:r w:rsidRPr="00D2637F">
        <w:rPr>
          <w:rFonts w:ascii="Simplified Arabic" w:hAnsi="Simplified Arabic" w:cs="Simplified Arabic" w:hint="cs"/>
          <w:color w:val="000000" w:themeColor="text1"/>
          <w:sz w:val="24"/>
          <w:szCs w:val="24"/>
          <w:rtl/>
        </w:rPr>
        <w:t>خدمة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لكل</w:t>
      </w:r>
      <w:r w:rsidRPr="00D2637F">
        <w:rPr>
          <w:rFonts w:ascii="Simplified Arabic" w:hAnsi="Simplified Arabic" w:cs="Simplified Arabic"/>
          <w:color w:val="000000" w:themeColor="text1"/>
          <w:sz w:val="24"/>
          <w:szCs w:val="24"/>
          <w:rtl/>
        </w:rPr>
        <w:t xml:space="preserve"> </w:t>
      </w:r>
      <w:r w:rsidR="003A36D7">
        <w:rPr>
          <w:rFonts w:ascii="Simplified Arabic" w:hAnsi="Simplified Arabic" w:cs="Simplified Arabic" w:hint="cs"/>
          <w:color w:val="000000" w:themeColor="text1"/>
          <w:sz w:val="24"/>
          <w:szCs w:val="24"/>
          <w:rtl/>
        </w:rPr>
        <w:t>مرفق</w:t>
      </w:r>
      <w:r w:rsidRPr="00D2637F">
        <w:rPr>
          <w:rFonts w:ascii="Simplified Arabic" w:hAnsi="Simplified Arabic" w:cs="Simplified Arabic" w:hint="cs"/>
          <w:color w:val="000000" w:themeColor="text1"/>
          <w:sz w:val="24"/>
          <w:szCs w:val="24"/>
          <w:rtl/>
        </w:rPr>
        <w:t>،</w:t>
      </w:r>
      <w:r w:rsidRPr="00D2637F">
        <w:rPr>
          <w:rFonts w:ascii="Simplified Arabic" w:hAnsi="Simplified Arabic" w:cs="Simplified Arabic"/>
          <w:color w:val="000000" w:themeColor="text1"/>
          <w:sz w:val="24"/>
          <w:szCs w:val="24"/>
          <w:rtl/>
        </w:rPr>
        <w:t xml:space="preserve"> </w:t>
      </w:r>
      <w:r w:rsidR="003A36D7">
        <w:rPr>
          <w:rFonts w:ascii="Simplified Arabic" w:hAnsi="Simplified Arabic" w:cs="Simplified Arabic" w:hint="cs"/>
          <w:color w:val="000000" w:themeColor="text1"/>
          <w:sz w:val="24"/>
          <w:szCs w:val="24"/>
          <w:rtl/>
        </w:rPr>
        <w:t>ت</w:t>
      </w:r>
      <w:r w:rsidRPr="00D2637F">
        <w:rPr>
          <w:rFonts w:ascii="Simplified Arabic" w:hAnsi="Simplified Arabic" w:cs="Simplified Arabic" w:hint="cs"/>
          <w:color w:val="000000" w:themeColor="text1"/>
          <w:sz w:val="24"/>
          <w:szCs w:val="24"/>
          <w:rtl/>
        </w:rPr>
        <w:t>حدد</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مسافة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حد</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مسار</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الشبكة</w:t>
      </w:r>
      <w:r w:rsidRPr="00D2637F">
        <w:rPr>
          <w:rFonts w:ascii="Simplified Arabic" w:hAnsi="Simplified Arabic" w:cs="Simplified Arabic"/>
          <w:color w:val="000000" w:themeColor="text1"/>
          <w:sz w:val="24"/>
          <w:szCs w:val="24"/>
          <w:rtl/>
        </w:rPr>
        <w:t xml:space="preserve"> </w:t>
      </w:r>
      <w:r w:rsidR="003A36D7">
        <w:rPr>
          <w:rFonts w:ascii="Simplified Arabic" w:hAnsi="Simplified Arabic" w:cs="Simplified Arabic" w:hint="cs"/>
          <w:color w:val="000000" w:themeColor="text1"/>
          <w:sz w:val="24"/>
          <w:szCs w:val="24"/>
          <w:rtl/>
        </w:rPr>
        <w:t>بال</w:t>
      </w:r>
      <w:r w:rsidRPr="00D2637F">
        <w:rPr>
          <w:rFonts w:ascii="Simplified Arabic" w:hAnsi="Simplified Arabic" w:cs="Simplified Arabic" w:hint="cs"/>
          <w:color w:val="000000" w:themeColor="text1"/>
          <w:sz w:val="24"/>
          <w:szCs w:val="24"/>
          <w:rtl/>
        </w:rPr>
        <w:t>متر</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وحساب</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عدد</w:t>
      </w:r>
      <w:r w:rsidRPr="00D2637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المباني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الموجودة</w:t>
      </w:r>
      <w:r w:rsidRPr="00D2637F">
        <w:rPr>
          <w:rFonts w:ascii="Simplified Arabic" w:hAnsi="Simplified Arabic" w:cs="Simplified Arabic"/>
          <w:color w:val="000000" w:themeColor="text1"/>
          <w:sz w:val="24"/>
          <w:szCs w:val="24"/>
          <w:rtl/>
        </w:rPr>
        <w:t xml:space="preserve"> </w:t>
      </w:r>
      <w:r w:rsidR="004B7EFC">
        <w:rPr>
          <w:rFonts w:ascii="Simplified Arabic" w:hAnsi="Simplified Arabic" w:cs="Simplified Arabic" w:hint="cs"/>
          <w:color w:val="000000" w:themeColor="text1"/>
          <w:sz w:val="24"/>
          <w:szCs w:val="24"/>
          <w:rtl/>
        </w:rPr>
        <w:t>بمنطقة الخدمة</w:t>
      </w:r>
      <w:r>
        <w:rPr>
          <w:rFonts w:ascii="Simplified Arabic" w:hAnsi="Simplified Arabic" w:cs="Simplified Arabic" w:hint="cs"/>
          <w:color w:val="000000" w:themeColor="text1"/>
          <w:sz w:val="24"/>
          <w:szCs w:val="24"/>
          <w:rtl/>
        </w:rPr>
        <w:t xml:space="preserve"> (التي تقع ضمن المسافة المعيارية)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يتم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حساب</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عدد</w:t>
      </w:r>
      <w:r w:rsidRPr="00D2637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المباني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التي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يمكن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الوصول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إليها</w:t>
      </w:r>
      <w:r w:rsidRPr="00D2637F">
        <w:rPr>
          <w:rFonts w:ascii="Simplified Arabic" w:hAnsi="Simplified Arabic" w:cs="Simplified Arabic"/>
          <w:color w:val="000000" w:themeColor="text1"/>
          <w:sz w:val="24"/>
          <w:szCs w:val="24"/>
          <w:rtl/>
        </w:rPr>
        <w:t xml:space="preserve"> </w:t>
      </w:r>
      <w:r w:rsidR="0022590C" w:rsidRPr="00D2637F">
        <w:rPr>
          <w:rFonts w:ascii="Simplified Arabic" w:hAnsi="Simplified Arabic" w:cs="Simplified Arabic" w:hint="cs"/>
          <w:color w:val="000000" w:themeColor="text1"/>
          <w:sz w:val="24"/>
          <w:szCs w:val="24"/>
          <w:rtl/>
        </w:rPr>
        <w:t>ضمن</w:t>
      </w:r>
      <w:r w:rsidR="0022590C" w:rsidRPr="00D2637F">
        <w:rPr>
          <w:rFonts w:ascii="Simplified Arabic" w:hAnsi="Simplified Arabic" w:cs="Simplified Arabic"/>
          <w:color w:val="000000" w:themeColor="text1"/>
          <w:sz w:val="24"/>
          <w:szCs w:val="24"/>
          <w:rtl/>
        </w:rPr>
        <w:t xml:space="preserve"> </w:t>
      </w:r>
      <w:r w:rsidR="0022590C" w:rsidRPr="00DD0D9B">
        <w:rPr>
          <w:rFonts w:ascii="Simplified Arabic" w:hAnsi="Simplified Arabic" w:cs="Simplified Arabic" w:hint="cs"/>
          <w:sz w:val="24"/>
          <w:szCs w:val="24"/>
          <w:rtl/>
        </w:rPr>
        <w:t>المسافة المعيارية النظرية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كل</w:t>
      </w:r>
      <w:r w:rsidRPr="00D2637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مرفق</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عن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طريق</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رسم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سقيفة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بطول</w:t>
      </w:r>
      <w:r w:rsidRPr="00D2637F">
        <w:rPr>
          <w:rFonts w:ascii="Simplified Arabic" w:hAnsi="Simplified Arabic" w:cs="Simplified Arabic"/>
          <w:color w:val="000000" w:themeColor="text1"/>
          <w:sz w:val="24"/>
          <w:szCs w:val="24"/>
          <w:rtl/>
        </w:rPr>
        <w:t xml:space="preserve"> </w:t>
      </w:r>
      <w:r w:rsidR="0022590C">
        <w:rPr>
          <w:rFonts w:ascii="Simplified Arabic" w:hAnsi="Simplified Arabic" w:cs="Simplified Arabic" w:hint="cs"/>
          <w:color w:val="000000" w:themeColor="text1"/>
          <w:sz w:val="24"/>
          <w:szCs w:val="24"/>
          <w:rtl/>
        </w:rPr>
        <w:t>نفس</w:t>
      </w:r>
      <w:r w:rsidR="0022590C" w:rsidRPr="00D2637F">
        <w:rPr>
          <w:rFonts w:ascii="Simplified Arabic" w:hAnsi="Simplified Arabic" w:cs="Simplified Arabic"/>
          <w:color w:val="000000" w:themeColor="text1"/>
          <w:sz w:val="24"/>
          <w:szCs w:val="24"/>
          <w:rtl/>
        </w:rPr>
        <w:t xml:space="preserve"> </w:t>
      </w:r>
      <w:r w:rsidR="0022590C" w:rsidRPr="00DD0D9B">
        <w:rPr>
          <w:rFonts w:ascii="Simplified Arabic" w:hAnsi="Simplified Arabic" w:cs="Simplified Arabic" w:hint="cs"/>
          <w:sz w:val="24"/>
          <w:szCs w:val="24"/>
          <w:rtl/>
        </w:rPr>
        <w:t xml:space="preserve">المسافة المعيارية النظرية </w:t>
      </w:r>
      <w:r w:rsidRPr="00D2637F">
        <w:rPr>
          <w:rFonts w:ascii="Simplified Arabic" w:hAnsi="Simplified Arabic" w:cs="Simplified Arabic" w:hint="cs"/>
          <w:color w:val="000000" w:themeColor="text1"/>
          <w:sz w:val="24"/>
          <w:szCs w:val="24"/>
          <w:rtl/>
        </w:rPr>
        <w:t>حول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كل</w:t>
      </w:r>
      <w:r w:rsidRPr="00D2637F">
        <w:rPr>
          <w:rFonts w:ascii="Simplified Arabic" w:hAnsi="Simplified Arabic" w:cs="Simplified Arabic"/>
          <w:color w:val="000000" w:themeColor="text1"/>
          <w:sz w:val="24"/>
          <w:szCs w:val="24"/>
          <w:rtl/>
        </w:rPr>
        <w:t xml:space="preserve"> </w:t>
      </w:r>
      <w:r w:rsidR="003A36D7">
        <w:rPr>
          <w:rFonts w:ascii="Simplified Arabic" w:hAnsi="Simplified Arabic" w:cs="Simplified Arabic" w:hint="cs"/>
          <w:color w:val="000000" w:themeColor="text1"/>
          <w:sz w:val="24"/>
          <w:szCs w:val="24"/>
          <w:rtl/>
        </w:rPr>
        <w:t>مرفق</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باستخدام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أداة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المعالجة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الجغرافية</w:t>
      </w:r>
      <w:r w:rsidRPr="00D2637F">
        <w:rPr>
          <w:rFonts w:ascii="Simplified Arabic" w:hAnsi="Simplified Arabic" w:cs="Simplified Arabic"/>
          <w:color w:val="000000" w:themeColor="text1"/>
          <w:sz w:val="24"/>
          <w:szCs w:val="24"/>
          <w:rtl/>
        </w:rPr>
        <w:t xml:space="preserve"> </w:t>
      </w:r>
      <w:r w:rsidRPr="003E6C31">
        <w:rPr>
          <w:rFonts w:asciiTheme="majorBidi" w:hAnsiTheme="majorBidi" w:cstheme="majorBidi"/>
          <w:color w:val="000000" w:themeColor="text1"/>
          <w:sz w:val="24"/>
          <w:szCs w:val="24"/>
        </w:rPr>
        <w:t>Buffer</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وحساب</w:t>
      </w:r>
      <w:r w:rsidRPr="00D2637F">
        <w:rPr>
          <w:rFonts w:ascii="Simplified Arabic" w:hAnsi="Simplified Arabic" w:cs="Simplified Arabic"/>
          <w:color w:val="000000" w:themeColor="text1"/>
          <w:sz w:val="24"/>
          <w:szCs w:val="24"/>
          <w:rtl/>
        </w:rPr>
        <w:t xml:space="preserve"> </w:t>
      </w:r>
      <w:r>
        <w:rPr>
          <w:rFonts w:ascii="Simplified Arabic" w:hAnsi="Simplified Arabic" w:cs="Simplified Arabic" w:hint="cs"/>
          <w:color w:val="000000" w:themeColor="text1"/>
          <w:sz w:val="24"/>
          <w:szCs w:val="24"/>
          <w:rtl/>
        </w:rPr>
        <w:t>انو</w:t>
      </w:r>
      <w:r w:rsidR="003A36D7">
        <w:rPr>
          <w:rFonts w:ascii="Simplified Arabic" w:hAnsi="Simplified Arabic" w:cs="Simplified Arabic" w:hint="cs"/>
          <w:color w:val="000000" w:themeColor="text1"/>
          <w:sz w:val="24"/>
          <w:szCs w:val="24"/>
          <w:rtl/>
        </w:rPr>
        <w:t>ا</w:t>
      </w:r>
      <w:r>
        <w:rPr>
          <w:rFonts w:ascii="Simplified Arabic" w:hAnsi="Simplified Arabic" w:cs="Simplified Arabic" w:hint="cs"/>
          <w:color w:val="000000" w:themeColor="text1"/>
          <w:sz w:val="24"/>
          <w:szCs w:val="24"/>
          <w:rtl/>
        </w:rPr>
        <w:t>ع المرافق</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الموجودة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بها</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أخيرًا،</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يتم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ربط</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ملفي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الشكل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اللذين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تم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إنشاؤهما</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مكانيًا</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ويتم</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الحصول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على</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النسبة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بين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الشبكة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والعدد</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الإقليدي</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كعملية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بسيطة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بين</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حقول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جدول</w:t>
      </w:r>
      <w:r w:rsidRPr="00D2637F">
        <w:rPr>
          <w:rFonts w:ascii="Simplified Arabic" w:hAnsi="Simplified Arabic" w:cs="Simplified Arabic"/>
          <w:color w:val="000000" w:themeColor="text1"/>
          <w:sz w:val="24"/>
          <w:szCs w:val="24"/>
          <w:rtl/>
        </w:rPr>
        <w:t xml:space="preserve"> </w:t>
      </w:r>
      <w:r w:rsidR="0022590C">
        <w:rPr>
          <w:rFonts w:ascii="Simplified Arabic" w:hAnsi="Simplified Arabic" w:cs="Simplified Arabic" w:hint="cs"/>
          <w:sz w:val="24"/>
          <w:szCs w:val="24"/>
          <w:rtl/>
        </w:rPr>
        <w:t>الخصائص</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تم</w:t>
      </w:r>
      <w:r w:rsidRPr="00D2637F">
        <w:rPr>
          <w:rFonts w:ascii="Simplified Arabic" w:hAnsi="Simplified Arabic" w:cs="Simplified Arabic"/>
          <w:color w:val="000000" w:themeColor="text1"/>
          <w:sz w:val="24"/>
          <w:szCs w:val="24"/>
          <w:rtl/>
        </w:rPr>
        <w:t xml:space="preserve"> </w:t>
      </w:r>
      <w:r w:rsidR="004B7EFC">
        <w:rPr>
          <w:rFonts w:ascii="Simplified Arabic" w:hAnsi="Simplified Arabic" w:cs="Simplified Arabic" w:hint="cs"/>
          <w:color w:val="000000" w:themeColor="text1"/>
          <w:sz w:val="24"/>
          <w:szCs w:val="24"/>
          <w:rtl/>
        </w:rPr>
        <w:t>استكمال</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هذه</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العملية</w:t>
      </w:r>
      <w:r w:rsidRPr="00D2637F">
        <w:rPr>
          <w:rFonts w:ascii="Simplified Arabic" w:hAnsi="Simplified Arabic" w:cs="Simplified Arabic"/>
          <w:color w:val="000000" w:themeColor="text1"/>
          <w:sz w:val="24"/>
          <w:szCs w:val="24"/>
          <w:rtl/>
        </w:rPr>
        <w:t xml:space="preserve"> </w:t>
      </w:r>
      <w:r w:rsidRPr="00D2637F">
        <w:rPr>
          <w:rFonts w:ascii="Simplified Arabic" w:hAnsi="Simplified Arabic" w:cs="Simplified Arabic" w:hint="cs"/>
          <w:color w:val="000000" w:themeColor="text1"/>
          <w:sz w:val="24"/>
          <w:szCs w:val="24"/>
          <w:rtl/>
        </w:rPr>
        <w:t>باستخدام</w:t>
      </w:r>
      <w:r w:rsidRPr="00D2637F">
        <w:rPr>
          <w:rFonts w:ascii="Simplified Arabic" w:hAnsi="Simplified Arabic" w:cs="Simplified Arabic"/>
          <w:color w:val="000000" w:themeColor="text1"/>
          <w:sz w:val="24"/>
          <w:szCs w:val="24"/>
          <w:rtl/>
        </w:rPr>
        <w:t xml:space="preserve"> </w:t>
      </w:r>
      <w:r w:rsidRPr="003E6C31">
        <w:rPr>
          <w:rFonts w:asciiTheme="majorBidi" w:hAnsiTheme="majorBidi" w:cstheme="majorBidi"/>
          <w:color w:val="000000" w:themeColor="text1"/>
          <w:sz w:val="24"/>
          <w:szCs w:val="24"/>
        </w:rPr>
        <w:t>Model</w:t>
      </w:r>
      <w:r w:rsidRPr="00D2637F">
        <w:rPr>
          <w:rFonts w:ascii="Simplified Arabic" w:hAnsi="Simplified Arabic" w:cs="Simplified Arabic"/>
          <w:color w:val="000000" w:themeColor="text1"/>
          <w:sz w:val="24"/>
          <w:szCs w:val="24"/>
        </w:rPr>
        <w:t xml:space="preserve"> </w:t>
      </w:r>
      <w:r w:rsidRPr="003E6C31">
        <w:rPr>
          <w:rFonts w:asciiTheme="majorBidi" w:hAnsiTheme="majorBidi" w:cstheme="majorBidi"/>
          <w:color w:val="000000" w:themeColor="text1"/>
          <w:sz w:val="24"/>
          <w:szCs w:val="24"/>
        </w:rPr>
        <w:t>Builder</w:t>
      </w:r>
      <w:r w:rsidRPr="00D2637F">
        <w:rPr>
          <w:rFonts w:ascii="Simplified Arabic" w:hAnsi="Simplified Arabic" w:cs="Simplified Arabic"/>
          <w:color w:val="000000" w:themeColor="text1"/>
          <w:sz w:val="24"/>
          <w:szCs w:val="24"/>
          <w:rtl/>
        </w:rPr>
        <w:t>.</w:t>
      </w:r>
      <w:r>
        <w:rPr>
          <w:rFonts w:ascii="Simplified Arabic" w:hAnsi="Simplified Arabic" w:cs="Simplified Arabic" w:hint="cs"/>
          <w:color w:val="000000" w:themeColor="text1"/>
          <w:sz w:val="24"/>
          <w:szCs w:val="24"/>
          <w:rtl/>
        </w:rPr>
        <w:t xml:space="preserve"> </w:t>
      </w:r>
    </w:p>
    <w:p w:rsidR="00681A57" w:rsidRDefault="00E6260F" w:rsidP="00E6260F">
      <w:pPr>
        <w:bidi/>
        <w:spacing w:after="0"/>
        <w:ind w:firstLine="283"/>
        <w:jc w:val="both"/>
        <w:rPr>
          <w:rFonts w:ascii="Simplified Arabic" w:hAnsi="Simplified Arabic" w:cs="Simplified Arabic"/>
          <w:sz w:val="24"/>
          <w:szCs w:val="24"/>
          <w:rtl/>
        </w:rPr>
      </w:pPr>
      <w:r w:rsidRPr="00D2637F">
        <w:rPr>
          <w:rFonts w:ascii="Simplified Arabic" w:hAnsi="Simplified Arabic" w:cs="Simplified Arabic" w:hint="cs"/>
          <w:sz w:val="24"/>
          <w:szCs w:val="24"/>
          <w:rtl/>
        </w:rPr>
        <w:t xml:space="preserve">مرت عملية التحليل المكاني بمراحل لبناء نموذج الكشف عن سمة التنوع، </w:t>
      </w:r>
      <w:r w:rsidR="002A686B" w:rsidRPr="00B54E4D">
        <w:rPr>
          <w:rFonts w:ascii="Simplified Arabic" w:hAnsi="Simplified Arabic" w:cs="Simplified Arabic" w:hint="cs"/>
          <w:sz w:val="24"/>
          <w:szCs w:val="24"/>
          <w:rtl/>
        </w:rPr>
        <w:t>يظهر</w:t>
      </w:r>
      <w:r w:rsidR="002A686B" w:rsidRPr="00B54E4D">
        <w:rPr>
          <w:rFonts w:ascii="Simplified Arabic" w:hAnsi="Simplified Arabic" w:cs="Simplified Arabic"/>
          <w:sz w:val="24"/>
          <w:szCs w:val="24"/>
          <w:rtl/>
        </w:rPr>
        <w:t xml:space="preserve"> </w:t>
      </w:r>
      <w:r w:rsidR="002A686B" w:rsidRPr="00B54E4D">
        <w:rPr>
          <w:rFonts w:ascii="Simplified Arabic" w:hAnsi="Simplified Arabic" w:cs="Simplified Arabic" w:hint="cs"/>
          <w:sz w:val="24"/>
          <w:szCs w:val="24"/>
          <w:rtl/>
        </w:rPr>
        <w:t>الشكل</w:t>
      </w:r>
      <w:r w:rsidR="002A686B" w:rsidRPr="00B54E4D">
        <w:rPr>
          <w:rFonts w:ascii="Simplified Arabic" w:hAnsi="Simplified Arabic" w:cs="Simplified Arabic"/>
          <w:sz w:val="24"/>
          <w:szCs w:val="24"/>
          <w:rtl/>
        </w:rPr>
        <w:t xml:space="preserve"> </w:t>
      </w:r>
      <w:r w:rsidR="002A686B" w:rsidRPr="00B54E4D">
        <w:rPr>
          <w:rFonts w:ascii="Simplified Arabic" w:hAnsi="Simplified Arabic" w:cs="Simplified Arabic" w:hint="cs"/>
          <w:sz w:val="24"/>
          <w:szCs w:val="24"/>
          <w:rtl/>
        </w:rPr>
        <w:t>(6-</w:t>
      </w:r>
      <w:r w:rsidR="00B24A3A">
        <w:rPr>
          <w:rFonts w:ascii="Simplified Arabic" w:hAnsi="Simplified Arabic" w:cs="Simplified Arabic"/>
          <w:sz w:val="24"/>
          <w:szCs w:val="24"/>
        </w:rPr>
        <w:t>9</w:t>
      </w:r>
      <w:r w:rsidR="002A686B" w:rsidRPr="00B54E4D">
        <w:rPr>
          <w:rFonts w:ascii="Simplified Arabic" w:hAnsi="Simplified Arabic" w:cs="Simplified Arabic" w:hint="cs"/>
          <w:sz w:val="24"/>
          <w:szCs w:val="24"/>
          <w:rtl/>
        </w:rPr>
        <w:t>)،</w:t>
      </w:r>
      <w:r w:rsidR="002A686B" w:rsidRPr="00B54E4D">
        <w:rPr>
          <w:rFonts w:ascii="Simplified Arabic" w:hAnsi="Simplified Arabic" w:cs="Simplified Arabic"/>
          <w:sz w:val="24"/>
          <w:szCs w:val="24"/>
          <w:rtl/>
        </w:rPr>
        <w:t xml:space="preserve"> </w:t>
      </w:r>
      <w:r w:rsidR="002A686B" w:rsidRPr="00B54E4D">
        <w:rPr>
          <w:rFonts w:ascii="Simplified Arabic" w:hAnsi="Simplified Arabic" w:cs="Simplified Arabic" w:hint="cs"/>
          <w:sz w:val="24"/>
          <w:szCs w:val="24"/>
          <w:rtl/>
        </w:rPr>
        <w:t>مخطط انسيابي</w:t>
      </w:r>
      <w:r w:rsidR="002A686B" w:rsidRPr="00B54E4D">
        <w:rPr>
          <w:rFonts w:ascii="Simplified Arabic" w:hAnsi="Simplified Arabic" w:cs="Simplified Arabic"/>
          <w:sz w:val="24"/>
          <w:szCs w:val="24"/>
          <w:rtl/>
        </w:rPr>
        <w:t xml:space="preserve"> </w:t>
      </w:r>
      <w:r w:rsidR="002A686B" w:rsidRPr="00B54E4D">
        <w:rPr>
          <w:rFonts w:ascii="Simplified Arabic" w:hAnsi="Simplified Arabic" w:cs="Simplified Arabic" w:hint="cs"/>
          <w:sz w:val="24"/>
          <w:szCs w:val="24"/>
          <w:rtl/>
        </w:rPr>
        <w:t>للعملية</w:t>
      </w:r>
      <w:r w:rsidR="002A686B" w:rsidRPr="00B54E4D">
        <w:rPr>
          <w:rFonts w:ascii="Simplified Arabic" w:hAnsi="Simplified Arabic" w:cs="Simplified Arabic"/>
          <w:sz w:val="24"/>
          <w:szCs w:val="24"/>
          <w:rtl/>
        </w:rPr>
        <w:t xml:space="preserve"> </w:t>
      </w:r>
      <w:r w:rsidR="002A686B" w:rsidRPr="00B54E4D">
        <w:rPr>
          <w:rFonts w:ascii="Simplified Arabic" w:hAnsi="Simplified Arabic" w:cs="Simplified Arabic" w:hint="cs"/>
          <w:sz w:val="24"/>
          <w:szCs w:val="24"/>
          <w:rtl/>
        </w:rPr>
        <w:t>المستخدمة</w:t>
      </w:r>
      <w:r w:rsidR="002A686B" w:rsidRPr="00B54E4D">
        <w:rPr>
          <w:rFonts w:ascii="Simplified Arabic" w:hAnsi="Simplified Arabic" w:cs="Simplified Arabic"/>
          <w:sz w:val="24"/>
          <w:szCs w:val="24"/>
          <w:rtl/>
        </w:rPr>
        <w:t xml:space="preserve"> </w:t>
      </w:r>
      <w:r w:rsidR="002A686B" w:rsidRPr="00B54E4D">
        <w:rPr>
          <w:rFonts w:ascii="Simplified Arabic" w:hAnsi="Simplified Arabic" w:cs="Simplified Arabic" w:hint="cs"/>
          <w:sz w:val="24"/>
          <w:szCs w:val="24"/>
          <w:rtl/>
        </w:rPr>
        <w:t>لكشف سمة</w:t>
      </w:r>
      <w:r w:rsidR="002A686B" w:rsidRPr="00B54E4D">
        <w:rPr>
          <w:rFonts w:ascii="Simplified Arabic" w:hAnsi="Simplified Arabic" w:cs="Simplified Arabic"/>
          <w:sz w:val="24"/>
          <w:szCs w:val="24"/>
          <w:rtl/>
        </w:rPr>
        <w:t xml:space="preserve"> </w:t>
      </w:r>
      <w:r w:rsidR="002A686B" w:rsidRPr="00B54E4D">
        <w:rPr>
          <w:rFonts w:ascii="Simplified Arabic" w:hAnsi="Simplified Arabic" w:cs="Simplified Arabic" w:hint="cs"/>
          <w:sz w:val="24"/>
          <w:szCs w:val="24"/>
          <w:rtl/>
        </w:rPr>
        <w:t>التنوع</w:t>
      </w:r>
      <w:r w:rsidR="002A686B" w:rsidRPr="00B54E4D">
        <w:rPr>
          <w:rFonts w:ascii="Simplified Arabic" w:hAnsi="Simplified Arabic" w:cs="Simplified Arabic"/>
          <w:sz w:val="24"/>
          <w:szCs w:val="24"/>
          <w:rtl/>
        </w:rPr>
        <w:t xml:space="preserve">. </w:t>
      </w:r>
    </w:p>
    <w:p w:rsidR="00E6260F" w:rsidRDefault="00E6260F" w:rsidP="005D7A23">
      <w:pPr>
        <w:pStyle w:val="fegure"/>
        <w:spacing w:before="240"/>
        <w:rPr>
          <w:szCs w:val="24"/>
          <w:rtl/>
        </w:rPr>
      </w:pPr>
      <w:bookmarkStart w:id="815" w:name="_Toc157608360"/>
      <w:bookmarkStart w:id="816" w:name="_Toc171803793"/>
      <w:r w:rsidRPr="0089158C">
        <w:rPr>
          <w:rFonts w:hint="cs"/>
          <w:szCs w:val="24"/>
          <w:rtl/>
          <w:lang w:bidi="ar-DZ"/>
        </w:rPr>
        <w:t>الشكل</w:t>
      </w:r>
      <w:r w:rsidRPr="0089158C">
        <w:rPr>
          <w:szCs w:val="24"/>
          <w:rtl/>
          <w:lang w:bidi="ar-DZ"/>
        </w:rPr>
        <w:t xml:space="preserve"> </w:t>
      </w:r>
      <w:r w:rsidRPr="0089158C">
        <w:rPr>
          <w:rFonts w:hint="cs"/>
          <w:szCs w:val="24"/>
          <w:rtl/>
          <w:lang w:bidi="ar-DZ"/>
        </w:rPr>
        <w:t>(6-9)</w:t>
      </w:r>
      <w:r w:rsidRPr="0089158C">
        <w:rPr>
          <w:szCs w:val="24"/>
          <w:rtl/>
          <w:lang w:bidi="ar-DZ"/>
        </w:rPr>
        <w:t xml:space="preserve"> </w:t>
      </w:r>
      <w:r w:rsidRPr="0089158C">
        <w:rPr>
          <w:rFonts w:hint="cs"/>
          <w:szCs w:val="24"/>
          <w:rtl/>
          <w:lang w:bidi="ar-DZ"/>
        </w:rPr>
        <w:t>مراحل بناء نموذج</w:t>
      </w:r>
      <w:r w:rsidRPr="0089158C">
        <w:rPr>
          <w:szCs w:val="24"/>
          <w:rtl/>
          <w:lang w:bidi="ar-DZ"/>
        </w:rPr>
        <w:t xml:space="preserve"> </w:t>
      </w:r>
      <w:r w:rsidRPr="0089158C">
        <w:rPr>
          <w:rFonts w:hint="cs"/>
          <w:szCs w:val="24"/>
          <w:rtl/>
          <w:lang w:bidi="ar-DZ"/>
        </w:rPr>
        <w:t>مقترح ل</w:t>
      </w:r>
      <w:r w:rsidR="005D7A23">
        <w:rPr>
          <w:rFonts w:hint="cs"/>
          <w:szCs w:val="24"/>
          <w:rtl/>
          <w:lang w:bidi="ar-DZ"/>
        </w:rPr>
        <w:t>كشف</w:t>
      </w:r>
      <w:r w:rsidRPr="0089158C">
        <w:rPr>
          <w:szCs w:val="24"/>
          <w:rtl/>
          <w:lang w:bidi="ar-DZ"/>
        </w:rPr>
        <w:t xml:space="preserve"> </w:t>
      </w:r>
      <w:r w:rsidRPr="0089158C">
        <w:rPr>
          <w:rFonts w:hint="cs"/>
          <w:szCs w:val="24"/>
          <w:rtl/>
          <w:lang w:bidi="ar-DZ"/>
        </w:rPr>
        <w:t xml:space="preserve">سمة </w:t>
      </w:r>
      <w:r w:rsidRPr="0089158C">
        <w:rPr>
          <w:rFonts w:hint="cs"/>
          <w:szCs w:val="24"/>
          <w:rtl/>
        </w:rPr>
        <w:t>التنوع</w:t>
      </w:r>
      <w:bookmarkEnd w:id="815"/>
      <w:bookmarkEnd w:id="816"/>
    </w:p>
    <w:p w:rsidR="001111A0" w:rsidRPr="001111A0" w:rsidRDefault="001111A0" w:rsidP="001111A0">
      <w:pPr>
        <w:pStyle w:val="fegure"/>
        <w:rPr>
          <w:sz w:val="8"/>
          <w:szCs w:val="24"/>
          <w:rtl/>
          <w:lang w:val="en-US" w:bidi="ar-DZ"/>
        </w:rPr>
      </w:pPr>
      <w:bookmarkStart w:id="817" w:name="_Toc171803794"/>
      <w:r>
        <w:rPr>
          <w:rFonts w:hint="cs"/>
          <w:sz w:val="8"/>
          <w:szCs w:val="24"/>
          <w:rtl/>
          <w:lang w:val="en-US"/>
        </w:rPr>
        <w:t>(الباحث، 2022)</w:t>
      </w:r>
      <w:bookmarkEnd w:id="817"/>
    </w:p>
    <w:p w:rsidR="00E6260F" w:rsidRPr="00F82AE2" w:rsidRDefault="00E6260F" w:rsidP="00490829">
      <w:pPr>
        <w:tabs>
          <w:tab w:val="right" w:pos="567"/>
          <w:tab w:val="right" w:pos="850"/>
        </w:tabs>
        <w:autoSpaceDE w:val="0"/>
        <w:autoSpaceDN w:val="0"/>
        <w:bidi/>
        <w:adjustRightInd w:val="0"/>
        <w:spacing w:line="240" w:lineRule="auto"/>
        <w:jc w:val="center"/>
        <w:rPr>
          <w:rFonts w:ascii="Simplified Arabic" w:hAnsi="Simplified Arabic" w:cs="Simplified Arabic"/>
          <w:sz w:val="24"/>
          <w:szCs w:val="24"/>
          <w:rtl/>
        </w:rPr>
      </w:pPr>
      <w:r>
        <w:rPr>
          <w:noProof/>
          <w:lang w:eastAsia="fr-FR"/>
        </w:rPr>
        <w:drawing>
          <wp:inline distT="0" distB="0" distL="0" distR="0" wp14:anchorId="53828027" wp14:editId="507B4796">
            <wp:extent cx="5692559" cy="2441276"/>
            <wp:effectExtent l="19050" t="19050" r="22860" b="16510"/>
            <wp:docPr id="178" name="Imag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9">
                      <a:extLst>
                        <a:ext uri="{BEBA8EAE-BF5A-486C-A8C5-ECC9F3942E4B}">
                          <a14:imgProps xmlns:a14="http://schemas.microsoft.com/office/drawing/2010/main">
                            <a14:imgLayer r:embed="rId290">
                              <a14:imgEffect>
                                <a14:colorTemperature colorTemp="72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5689237" cy="2439851"/>
                    </a:xfrm>
                    <a:prstGeom prst="rect">
                      <a:avLst/>
                    </a:prstGeom>
                    <a:ln>
                      <a:solidFill>
                        <a:schemeClr val="tx1"/>
                      </a:solidFill>
                    </a:ln>
                  </pic:spPr>
                </pic:pic>
              </a:graphicData>
            </a:graphic>
          </wp:inline>
        </w:drawing>
      </w:r>
    </w:p>
    <w:p w:rsidR="002A686B" w:rsidRPr="005D1105" w:rsidRDefault="002A686B" w:rsidP="005D7A23">
      <w:pPr>
        <w:bidi/>
        <w:spacing w:after="0"/>
        <w:ind w:firstLine="283"/>
        <w:jc w:val="both"/>
        <w:rPr>
          <w:rFonts w:ascii="Simplified Arabic" w:hAnsi="Simplified Arabic" w:cs="Simplified Arabic"/>
          <w:sz w:val="24"/>
          <w:szCs w:val="24"/>
          <w:rtl/>
        </w:rPr>
      </w:pPr>
      <w:r w:rsidRPr="00B54E4D">
        <w:rPr>
          <w:rFonts w:ascii="Simplified Arabic" w:hAnsi="Simplified Arabic" w:cs="Simplified Arabic" w:hint="cs"/>
          <w:sz w:val="24"/>
          <w:szCs w:val="24"/>
          <w:rtl/>
        </w:rPr>
        <w:lastRenderedPageBreak/>
        <w:t>بدءًا</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من</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الجانب</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الأيسر</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للشكل</w:t>
      </w:r>
      <w:r w:rsidR="00490829">
        <w:rPr>
          <w:rFonts w:ascii="Simplified Arabic" w:hAnsi="Simplified Arabic" w:cs="Simplified Arabic" w:hint="cs"/>
          <w:sz w:val="24"/>
          <w:szCs w:val="24"/>
          <w:rtl/>
        </w:rPr>
        <w:t xml:space="preserve"> </w:t>
      </w:r>
      <w:r w:rsidR="00490829" w:rsidRPr="00B54E4D">
        <w:rPr>
          <w:rFonts w:ascii="Simplified Arabic" w:hAnsi="Simplified Arabic" w:cs="Simplified Arabic" w:hint="cs"/>
          <w:sz w:val="24"/>
          <w:szCs w:val="24"/>
          <w:rtl/>
        </w:rPr>
        <w:t>(6-</w:t>
      </w:r>
      <w:r w:rsidR="00490829">
        <w:rPr>
          <w:rFonts w:ascii="Simplified Arabic" w:hAnsi="Simplified Arabic" w:cs="Simplified Arabic"/>
          <w:sz w:val="24"/>
          <w:szCs w:val="24"/>
        </w:rPr>
        <w:t>9</w:t>
      </w:r>
      <w:r w:rsidR="00490829" w:rsidRPr="00B54E4D">
        <w:rPr>
          <w:rFonts w:ascii="Simplified Arabic" w:hAnsi="Simplified Arabic" w:cs="Simplified Arabic" w:hint="cs"/>
          <w:sz w:val="24"/>
          <w:szCs w:val="24"/>
          <w:rtl/>
        </w:rPr>
        <w:t>)</w:t>
      </w:r>
      <w:r w:rsidRPr="00B54E4D">
        <w:rPr>
          <w:rFonts w:ascii="Simplified Arabic" w:hAnsi="Simplified Arabic" w:cs="Simplified Arabic" w:hint="cs"/>
          <w:sz w:val="24"/>
          <w:szCs w:val="24"/>
          <w:rtl/>
        </w:rPr>
        <w:t>،</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توجد</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بيانات</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الإدخال</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المطلوبة</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للقياس</w:t>
      </w:r>
      <w:r w:rsidRPr="00B54E4D">
        <w:rPr>
          <w:rFonts w:ascii="Simplified Arabic" w:hAnsi="Simplified Arabic" w:cs="Simplified Arabic"/>
          <w:sz w:val="24"/>
          <w:szCs w:val="24"/>
          <w:rtl/>
        </w:rPr>
        <w:t xml:space="preserve">. </w:t>
      </w:r>
      <w:r w:rsidR="005D7A23">
        <w:rPr>
          <w:rFonts w:ascii="Simplified Arabic" w:hAnsi="Simplified Arabic" w:cs="Simplified Arabic" w:hint="cs"/>
          <w:color w:val="000000" w:themeColor="text1"/>
          <w:sz w:val="24"/>
          <w:szCs w:val="24"/>
          <w:rtl/>
          <w:lang w:bidi="ar-DZ"/>
        </w:rPr>
        <w:t>لكشف سمة</w:t>
      </w:r>
      <w:r w:rsidR="005D7A23" w:rsidRPr="00BD4569">
        <w:rPr>
          <w:rFonts w:ascii="Simplified Arabic" w:hAnsi="Simplified Arabic" w:cs="Simplified Arabic"/>
          <w:color w:val="000000" w:themeColor="text1"/>
          <w:sz w:val="24"/>
          <w:szCs w:val="24"/>
          <w:rtl/>
          <w:lang w:bidi="ar-DZ"/>
        </w:rPr>
        <w:t xml:space="preserve"> </w:t>
      </w:r>
      <w:r w:rsidRPr="00B54E4D">
        <w:rPr>
          <w:rFonts w:ascii="Simplified Arabic" w:hAnsi="Simplified Arabic" w:cs="Simplified Arabic" w:hint="cs"/>
          <w:sz w:val="24"/>
          <w:szCs w:val="24"/>
          <w:rtl/>
        </w:rPr>
        <w:t>التنوع،</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يلزم</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وجود</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مجموعة</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بيانات</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مختلفة،</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هي المرافق</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الحضرية:</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مراكز التعليم الابتدائي،</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المراكز الصحية،</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مراكز الانقاذ والاجلاء، مراكز الامن والمراكز الدينية/الثقافية</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باستخدام</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بيانات</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الإدخال</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المشار</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إليها،</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يتم</w:t>
      </w:r>
      <w:r w:rsidRPr="00B54E4D">
        <w:rPr>
          <w:rFonts w:ascii="Simplified Arabic" w:hAnsi="Simplified Arabic" w:cs="Simplified Arabic"/>
          <w:sz w:val="24"/>
          <w:szCs w:val="24"/>
          <w:rtl/>
        </w:rPr>
        <w:t xml:space="preserve"> </w:t>
      </w:r>
      <w:r w:rsidRPr="00B54E4D">
        <w:rPr>
          <w:rFonts w:ascii="Simplified Arabic" w:hAnsi="Simplified Arabic" w:cs="Simplified Arabic" w:hint="cs"/>
          <w:sz w:val="24"/>
          <w:szCs w:val="24"/>
          <w:rtl/>
        </w:rPr>
        <w:t xml:space="preserve">قياس التنوع </w:t>
      </w:r>
      <w:r w:rsidR="003A36D7">
        <w:rPr>
          <w:rFonts w:ascii="Simplified Arabic" w:hAnsi="Simplified Arabic" w:cs="Simplified Arabic" w:hint="cs"/>
          <w:sz w:val="24"/>
          <w:szCs w:val="24"/>
          <w:rtl/>
        </w:rPr>
        <w:t>لكل حي</w:t>
      </w:r>
      <w:r w:rsidRPr="002240DE">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2240DE">
        <w:rPr>
          <w:rFonts w:ascii="Simplified Arabic" w:hAnsi="Simplified Arabic" w:cs="Simplified Arabic" w:hint="cs"/>
          <w:sz w:val="24"/>
          <w:szCs w:val="24"/>
          <w:rtl/>
        </w:rPr>
        <w:t>بعد</w:t>
      </w:r>
      <w:r w:rsidRPr="002240DE">
        <w:rPr>
          <w:rFonts w:ascii="Simplified Arabic" w:hAnsi="Simplified Arabic" w:cs="Simplified Arabic"/>
          <w:sz w:val="24"/>
          <w:szCs w:val="24"/>
          <w:rtl/>
        </w:rPr>
        <w:t xml:space="preserve"> </w:t>
      </w:r>
      <w:r w:rsidRPr="002240DE">
        <w:rPr>
          <w:rFonts w:ascii="Simplified Arabic" w:hAnsi="Simplified Arabic" w:cs="Simplified Arabic" w:hint="cs"/>
          <w:sz w:val="24"/>
          <w:szCs w:val="24"/>
          <w:rtl/>
        </w:rPr>
        <w:t>ذلك،</w:t>
      </w:r>
      <w:r w:rsidRPr="002240DE">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يتم</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تسوية</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نتائج</w:t>
      </w:r>
      <w:r w:rsidRPr="00056214">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056214">
        <w:rPr>
          <w:rFonts w:ascii="Simplified Arabic" w:hAnsi="Simplified Arabic" w:cs="Simplified Arabic" w:hint="cs"/>
          <w:sz w:val="24"/>
          <w:szCs w:val="24"/>
          <w:rtl/>
        </w:rPr>
        <w:t>قياس</w:t>
      </w:r>
      <w:r w:rsidRPr="00056214">
        <w:rPr>
          <w:rFonts w:ascii="Simplified Arabic" w:hAnsi="Simplified Arabic" w:cs="Simplified Arabic"/>
          <w:sz w:val="24"/>
          <w:szCs w:val="24"/>
          <w:rtl/>
        </w:rPr>
        <w:t xml:space="preserve"> </w:t>
      </w:r>
      <w:r>
        <w:rPr>
          <w:rFonts w:ascii="Simplified Arabic" w:hAnsi="Simplified Arabic" w:cs="Simplified Arabic" w:hint="cs"/>
          <w:sz w:val="24"/>
          <w:szCs w:val="24"/>
          <w:rtl/>
        </w:rPr>
        <w:t>بين</w:t>
      </w:r>
      <w:r w:rsidRPr="00056214">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056214">
        <w:rPr>
          <w:rFonts w:ascii="Simplified Arabic" w:hAnsi="Simplified Arabic" w:cs="Simplified Arabic"/>
          <w:sz w:val="24"/>
          <w:szCs w:val="24"/>
          <w:rtl/>
        </w:rPr>
        <w:t>0-1</w:t>
      </w:r>
      <w:r>
        <w:rPr>
          <w:rFonts w:ascii="Simplified Arabic" w:hAnsi="Simplified Arabic" w:cs="Simplified Arabic" w:hint="cs"/>
          <w:sz w:val="24"/>
          <w:szCs w:val="24"/>
          <w:rtl/>
        </w:rPr>
        <w:t>)،</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ثم</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يتم</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دمجها</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مع</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أوزان</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متساوية</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من</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خلال</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نهج</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التركيبة</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الخطية</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الموزونة</w:t>
      </w:r>
      <w:r w:rsidRPr="00056214">
        <w:rPr>
          <w:rFonts w:ascii="Simplified Arabic" w:hAnsi="Simplified Arabic" w:cs="Simplified Arabic"/>
          <w:sz w:val="24"/>
          <w:szCs w:val="24"/>
          <w:rtl/>
        </w:rPr>
        <w:t xml:space="preserve"> </w:t>
      </w:r>
      <w:r w:rsidR="005D7A23">
        <w:rPr>
          <w:rFonts w:ascii="Simplified Arabic" w:hAnsi="Simplified Arabic" w:cs="Simplified Arabic" w:hint="cs"/>
          <w:sz w:val="24"/>
          <w:szCs w:val="24"/>
          <w:rtl/>
        </w:rPr>
        <w:t>لكشف</w:t>
      </w:r>
      <w:r w:rsidRPr="00056214">
        <w:rPr>
          <w:rFonts w:ascii="Simplified Arabic" w:hAnsi="Simplified Arabic" w:cs="Simplified Arabic"/>
          <w:sz w:val="24"/>
          <w:szCs w:val="24"/>
          <w:rtl/>
        </w:rPr>
        <w:t xml:space="preserve"> </w:t>
      </w:r>
      <w:r w:rsidRPr="00056214">
        <w:rPr>
          <w:rFonts w:ascii="Simplified Arabic" w:hAnsi="Simplified Arabic" w:cs="Simplified Arabic" w:hint="cs"/>
          <w:sz w:val="24"/>
          <w:szCs w:val="24"/>
          <w:rtl/>
        </w:rPr>
        <w:t>التنوع</w:t>
      </w:r>
      <w:r>
        <w:rPr>
          <w:rFonts w:ascii="Simplified Arabic" w:hAnsi="Simplified Arabic" w:cs="Simplified Arabic" w:hint="cs"/>
          <w:sz w:val="24"/>
          <w:szCs w:val="24"/>
          <w:rtl/>
        </w:rPr>
        <w:t>،</w:t>
      </w:r>
      <w:r w:rsidRPr="002240DE">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ترتبط</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القيم</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الأعلى</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القريبة</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من</w:t>
      </w:r>
      <w:r w:rsidRPr="004974A0">
        <w:rPr>
          <w:rFonts w:ascii="Simplified Arabic" w:hAnsi="Simplified Arabic" w:cs="Simplified Arabic"/>
          <w:sz w:val="24"/>
          <w:szCs w:val="24"/>
          <w:rtl/>
        </w:rPr>
        <w:t xml:space="preserve"> 1) </w:t>
      </w:r>
      <w:r w:rsidR="00681A57">
        <w:rPr>
          <w:rFonts w:ascii="Simplified Arabic" w:hAnsi="Simplified Arabic" w:cs="Simplified Arabic" w:hint="cs"/>
          <w:sz w:val="24"/>
          <w:szCs w:val="24"/>
          <w:rtl/>
        </w:rPr>
        <w:t>بتنوع</w:t>
      </w:r>
      <w:r>
        <w:rPr>
          <w:rFonts w:ascii="Simplified Arabic" w:hAnsi="Simplified Arabic" w:cs="Simplified Arabic" w:hint="cs"/>
          <w:sz w:val="24"/>
          <w:szCs w:val="24"/>
          <w:rtl/>
        </w:rPr>
        <w:t xml:space="preserve"> المرافق</w:t>
      </w:r>
      <w:r w:rsidRPr="004974A0">
        <w:rPr>
          <w:rFonts w:ascii="Simplified Arabic" w:hAnsi="Simplified Arabic" w:cs="Simplified Arabic"/>
          <w:sz w:val="24"/>
          <w:szCs w:val="24"/>
          <w:rtl/>
        </w:rPr>
        <w:t xml:space="preserve"> </w:t>
      </w:r>
      <w:r>
        <w:rPr>
          <w:rFonts w:ascii="Simplified Arabic" w:hAnsi="Simplified Arabic" w:cs="Simplified Arabic" w:hint="cs"/>
          <w:sz w:val="24"/>
          <w:szCs w:val="24"/>
          <w:rtl/>
        </w:rPr>
        <w:t>التي تقع ضمن عتبة المسافة المعيارية</w:t>
      </w:r>
      <w:r w:rsidR="00F76477">
        <w:rPr>
          <w:rFonts w:ascii="Simplified Arabic" w:hAnsi="Simplified Arabic" w:cs="Simplified Arabic" w:hint="cs"/>
          <w:sz w:val="24"/>
          <w:szCs w:val="24"/>
          <w:rtl/>
        </w:rPr>
        <w:t xml:space="preserve"> </w:t>
      </w:r>
      <w:r w:rsidR="00681A57">
        <w:rPr>
          <w:rFonts w:ascii="Simplified Arabic" w:hAnsi="Simplified Arabic" w:cs="Simplified Arabic" w:hint="cs"/>
          <w:sz w:val="24"/>
          <w:szCs w:val="24"/>
          <w:rtl/>
        </w:rPr>
        <w:t>ل</w:t>
      </w:r>
      <w:r w:rsidR="00F76477">
        <w:rPr>
          <w:rFonts w:ascii="Simplified Arabic" w:hAnsi="Simplified Arabic" w:cs="Simplified Arabic" w:hint="cs"/>
          <w:sz w:val="24"/>
          <w:szCs w:val="24"/>
          <w:rtl/>
        </w:rPr>
        <w:t>لحي السكني</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كلما</w:t>
      </w:r>
      <w:r w:rsidRPr="004974A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كان </w:t>
      </w:r>
      <w:r w:rsidR="00681A57">
        <w:rPr>
          <w:rFonts w:ascii="Simplified Arabic" w:hAnsi="Simplified Arabic" w:cs="Simplified Arabic" w:hint="cs"/>
          <w:sz w:val="24"/>
          <w:szCs w:val="24"/>
          <w:rtl/>
        </w:rPr>
        <w:t xml:space="preserve">تنوع </w:t>
      </w:r>
      <w:r>
        <w:rPr>
          <w:rFonts w:ascii="Simplified Arabic" w:hAnsi="Simplified Arabic" w:cs="Simplified Arabic" w:hint="cs"/>
          <w:sz w:val="24"/>
          <w:szCs w:val="24"/>
          <w:rtl/>
        </w:rPr>
        <w:t>المرافق اكبر</w:t>
      </w:r>
      <w:r w:rsidRPr="004974A0">
        <w:rPr>
          <w:rFonts w:ascii="Simplified Arabic" w:hAnsi="Simplified Arabic" w:cs="Simplified Arabic" w:hint="cs"/>
          <w:sz w:val="24"/>
          <w:szCs w:val="24"/>
          <w:rtl/>
        </w:rPr>
        <w:t>،</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زادت</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القيمة</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المبلغ</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عنها</w:t>
      </w:r>
      <w:r>
        <w:rPr>
          <w:rFonts w:ascii="Simplified Arabic" w:hAnsi="Simplified Arabic" w:cs="Simplified Arabic" w:hint="cs"/>
          <w:sz w:val="24"/>
          <w:szCs w:val="24"/>
          <w:rtl/>
        </w:rPr>
        <w:t>.</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بالتالي،</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التنوع</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المحتمل</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الذي</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يسهل</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الوصول</w:t>
      </w:r>
      <w:r w:rsidRPr="004974A0">
        <w:rPr>
          <w:rFonts w:ascii="Simplified Arabic" w:hAnsi="Simplified Arabic" w:cs="Simplified Arabic"/>
          <w:sz w:val="24"/>
          <w:szCs w:val="24"/>
          <w:rtl/>
        </w:rPr>
        <w:t xml:space="preserve"> </w:t>
      </w:r>
      <w:r w:rsidRPr="004974A0">
        <w:rPr>
          <w:rFonts w:ascii="Simplified Arabic" w:hAnsi="Simplified Arabic" w:cs="Simplified Arabic" w:hint="cs"/>
          <w:sz w:val="24"/>
          <w:szCs w:val="24"/>
          <w:rtl/>
        </w:rPr>
        <w:t>إليه</w:t>
      </w:r>
      <w:r w:rsidRPr="004974A0">
        <w:rPr>
          <w:rFonts w:ascii="Simplified Arabic" w:hAnsi="Simplified Arabic" w:cs="Simplified Arabic"/>
          <w:sz w:val="24"/>
          <w:szCs w:val="24"/>
          <w:rtl/>
        </w:rPr>
        <w:t xml:space="preserve"> </w:t>
      </w:r>
      <w:r w:rsidR="005D1105" w:rsidRPr="005D1105">
        <w:rPr>
          <w:rFonts w:asciiTheme="majorBidi" w:hAnsiTheme="majorBidi" w:cstheme="majorBidi"/>
          <w:sz w:val="24"/>
          <w:szCs w:val="24"/>
        </w:rPr>
        <w:t>(</w:t>
      </w:r>
      <w:r w:rsidR="005D1105" w:rsidRPr="00157C4E">
        <w:rPr>
          <w:rFonts w:asciiTheme="majorBidi" w:hAnsiTheme="majorBidi" w:cstheme="majorBidi"/>
          <w:sz w:val="24"/>
          <w:szCs w:val="24"/>
        </w:rPr>
        <w:t>Bobkova</w:t>
      </w:r>
      <w:r w:rsidR="005D1105" w:rsidRPr="005D1105">
        <w:rPr>
          <w:rFonts w:asciiTheme="majorBidi" w:hAnsiTheme="majorBidi" w:cstheme="majorBidi"/>
          <w:sz w:val="24"/>
          <w:szCs w:val="24"/>
        </w:rPr>
        <w:t xml:space="preserve"> et al., 2017)</w:t>
      </w:r>
      <w:r w:rsidR="005D1105">
        <w:rPr>
          <w:rFonts w:ascii="Simplified Arabic" w:hAnsi="Simplified Arabic" w:cs="Simplified Arabic" w:hint="cs"/>
          <w:sz w:val="24"/>
          <w:szCs w:val="24"/>
          <w:rtl/>
        </w:rPr>
        <w:t>.</w:t>
      </w:r>
    </w:p>
    <w:p w:rsidR="002A686B" w:rsidRPr="00D2637F" w:rsidRDefault="002A686B" w:rsidP="00E6260F">
      <w:pPr>
        <w:bidi/>
        <w:spacing w:after="0"/>
        <w:ind w:firstLine="283"/>
        <w:jc w:val="both"/>
        <w:rPr>
          <w:rFonts w:ascii="Simplified Arabic" w:hAnsi="Simplified Arabic" w:cs="Simplified Arabic"/>
          <w:sz w:val="24"/>
          <w:szCs w:val="24"/>
        </w:rPr>
      </w:pPr>
      <w:r w:rsidRPr="00320DCC">
        <w:rPr>
          <w:rFonts w:ascii="Simplified Arabic" w:hAnsi="Simplified Arabic" w:cs="Simplified Arabic"/>
          <w:sz w:val="24"/>
          <w:szCs w:val="24"/>
          <w:rtl/>
        </w:rPr>
        <w:t xml:space="preserve">يتم حساب </w:t>
      </w:r>
      <w:r>
        <w:rPr>
          <w:rFonts w:ascii="Simplified Arabic" w:hAnsi="Simplified Arabic" w:cs="Simplified Arabic" w:hint="cs"/>
          <w:sz w:val="24"/>
          <w:szCs w:val="24"/>
          <w:rtl/>
        </w:rPr>
        <w:t>تنوع المرافق</w:t>
      </w:r>
      <w:r w:rsidRPr="00320DCC">
        <w:rPr>
          <w:rFonts w:ascii="Simplified Arabic" w:hAnsi="Simplified Arabic" w:cs="Simplified Arabic"/>
          <w:sz w:val="24"/>
          <w:szCs w:val="24"/>
          <w:rtl/>
        </w:rPr>
        <w:t xml:space="preserve"> </w:t>
      </w:r>
      <w:r>
        <w:rPr>
          <w:rFonts w:ascii="Simplified Arabic" w:hAnsi="Simplified Arabic" w:cs="Simplified Arabic" w:hint="cs"/>
          <w:sz w:val="24"/>
          <w:szCs w:val="24"/>
          <w:rtl/>
        </w:rPr>
        <w:t>ضمن جدول</w:t>
      </w:r>
      <w:r w:rsidRPr="00320DCC">
        <w:rPr>
          <w:rFonts w:ascii="Simplified Arabic" w:hAnsi="Simplified Arabic" w:cs="Simplified Arabic"/>
          <w:sz w:val="24"/>
          <w:szCs w:val="24"/>
          <w:rtl/>
        </w:rPr>
        <w:t xml:space="preserve"> باستخدام</w:t>
      </w:r>
      <w:r w:rsidRPr="00355E23">
        <w:rPr>
          <w:rFonts w:asciiTheme="majorBidi" w:hAnsiTheme="majorBidi"/>
          <w:rtl/>
        </w:rPr>
        <w:t xml:space="preserve"> </w:t>
      </w:r>
      <w:r>
        <w:rPr>
          <w:rFonts w:asciiTheme="majorBidi" w:hAnsiTheme="majorBidi" w:cstheme="majorBidi" w:hint="cs"/>
          <w:rtl/>
        </w:rPr>
        <w:t>2010</w:t>
      </w:r>
      <w:r w:rsidRPr="00355E23">
        <w:rPr>
          <w:rFonts w:asciiTheme="majorBidi" w:hAnsiTheme="majorBidi" w:cstheme="majorBidi"/>
        </w:rPr>
        <w:t xml:space="preserve">Microsoft Excel </w:t>
      </w:r>
      <w:r w:rsidRPr="00320DCC">
        <w:rPr>
          <w:rFonts w:ascii="Simplified Arabic" w:hAnsi="Simplified Arabic" w:cs="Simplified Arabic" w:hint="cs"/>
          <w:sz w:val="24"/>
          <w:szCs w:val="24"/>
          <w:rtl/>
        </w:rPr>
        <w:t>، بعد</w:t>
      </w:r>
      <w:r w:rsidRPr="00320DCC">
        <w:rPr>
          <w:rFonts w:ascii="Simplified Arabic" w:hAnsi="Simplified Arabic" w:cs="Simplified Arabic"/>
          <w:sz w:val="24"/>
          <w:szCs w:val="24"/>
          <w:rtl/>
        </w:rPr>
        <w:t xml:space="preserve"> </w:t>
      </w:r>
      <w:r w:rsidRPr="00320DCC">
        <w:rPr>
          <w:rFonts w:ascii="Simplified Arabic" w:hAnsi="Simplified Arabic" w:cs="Simplified Arabic" w:hint="cs"/>
          <w:sz w:val="24"/>
          <w:szCs w:val="24"/>
          <w:rtl/>
        </w:rPr>
        <w:t>تصدير</w:t>
      </w:r>
      <w:r w:rsidRPr="00320DCC">
        <w:rPr>
          <w:rFonts w:ascii="Simplified Arabic" w:hAnsi="Simplified Arabic" w:cs="Simplified Arabic"/>
          <w:sz w:val="24"/>
          <w:szCs w:val="24"/>
          <w:rtl/>
        </w:rPr>
        <w:t xml:space="preserve"> </w:t>
      </w:r>
      <w:r w:rsidRPr="00320DCC">
        <w:rPr>
          <w:rFonts w:ascii="Simplified Arabic" w:hAnsi="Simplified Arabic" w:cs="Simplified Arabic" w:hint="cs"/>
          <w:sz w:val="24"/>
          <w:szCs w:val="24"/>
          <w:rtl/>
        </w:rPr>
        <w:t>جداول</w:t>
      </w:r>
      <w:r w:rsidRPr="00320DCC">
        <w:rPr>
          <w:rFonts w:ascii="Simplified Arabic" w:hAnsi="Simplified Arabic" w:cs="Simplified Arabic"/>
          <w:sz w:val="24"/>
          <w:szCs w:val="24"/>
          <w:rtl/>
        </w:rPr>
        <w:t xml:space="preserve"> </w:t>
      </w:r>
      <w:r w:rsidRPr="00320DCC">
        <w:rPr>
          <w:rFonts w:ascii="Simplified Arabic" w:hAnsi="Simplified Arabic" w:cs="Simplified Arabic" w:hint="cs"/>
          <w:sz w:val="24"/>
          <w:szCs w:val="24"/>
          <w:rtl/>
        </w:rPr>
        <w:t>البيانات</w:t>
      </w:r>
      <w:r w:rsidRPr="00320DCC">
        <w:rPr>
          <w:rFonts w:ascii="Simplified Arabic" w:hAnsi="Simplified Arabic" w:cs="Simplified Arabic"/>
          <w:sz w:val="24"/>
          <w:szCs w:val="24"/>
          <w:rtl/>
        </w:rPr>
        <w:t xml:space="preserve"> </w:t>
      </w:r>
      <w:r w:rsidRPr="00320DCC">
        <w:rPr>
          <w:rFonts w:ascii="Simplified Arabic" w:hAnsi="Simplified Arabic" w:cs="Simplified Arabic" w:hint="cs"/>
          <w:sz w:val="24"/>
          <w:szCs w:val="24"/>
          <w:rtl/>
        </w:rPr>
        <w:t>المرتبطة</w:t>
      </w:r>
      <w:r w:rsidRPr="00320DCC">
        <w:rPr>
          <w:rFonts w:ascii="Simplified Arabic" w:hAnsi="Simplified Arabic" w:cs="Simplified Arabic"/>
          <w:sz w:val="24"/>
          <w:szCs w:val="24"/>
          <w:rtl/>
        </w:rPr>
        <w:t xml:space="preserve"> </w:t>
      </w:r>
      <w:r>
        <w:rPr>
          <w:rFonts w:ascii="Simplified Arabic" w:hAnsi="Simplified Arabic" w:cs="Simplified Arabic" w:hint="cs"/>
          <w:sz w:val="24"/>
          <w:szCs w:val="24"/>
          <w:rtl/>
        </w:rPr>
        <w:t>بتنوع المرافق عبر الاحياء السكنية وعبر</w:t>
      </w:r>
      <w:r w:rsidRPr="00320DCC">
        <w:rPr>
          <w:rFonts w:ascii="Simplified Arabic" w:hAnsi="Simplified Arabic" w:cs="Simplified Arabic"/>
          <w:sz w:val="24"/>
          <w:szCs w:val="24"/>
          <w:rtl/>
        </w:rPr>
        <w:t xml:space="preserve"> </w:t>
      </w:r>
      <w:r w:rsidRPr="00320DCC">
        <w:rPr>
          <w:rFonts w:ascii="Simplified Arabic" w:hAnsi="Simplified Arabic" w:cs="Simplified Arabic" w:hint="cs"/>
          <w:sz w:val="24"/>
          <w:szCs w:val="24"/>
          <w:rtl/>
        </w:rPr>
        <w:t>كل</w:t>
      </w:r>
      <w:r w:rsidRPr="00320DCC">
        <w:rPr>
          <w:rFonts w:ascii="Simplified Arabic" w:hAnsi="Simplified Arabic" w:cs="Simplified Arabic"/>
          <w:sz w:val="24"/>
          <w:szCs w:val="24"/>
          <w:rtl/>
        </w:rPr>
        <w:t xml:space="preserve"> </w:t>
      </w:r>
      <w:r w:rsidRPr="00320DCC">
        <w:rPr>
          <w:rFonts w:ascii="Simplified Arabic" w:hAnsi="Simplified Arabic" w:cs="Simplified Arabic" w:hint="cs"/>
          <w:sz w:val="24"/>
          <w:szCs w:val="24"/>
          <w:rtl/>
        </w:rPr>
        <w:t>فئة من فئات النسيج الحضري</w:t>
      </w:r>
      <w:r w:rsidRPr="00320DCC">
        <w:rPr>
          <w:rFonts w:ascii="Simplified Arabic" w:hAnsi="Simplified Arabic" w:cs="Simplified Arabic"/>
          <w:sz w:val="24"/>
          <w:szCs w:val="24"/>
          <w:rtl/>
        </w:rPr>
        <w:t>.</w:t>
      </w:r>
      <w:r w:rsidRPr="00320DCC">
        <w:rPr>
          <w:rFonts w:ascii="Simplified Arabic" w:hAnsi="Simplified Arabic" w:cs="Simplified Arabic" w:hint="cs"/>
          <w:sz w:val="24"/>
          <w:szCs w:val="24"/>
          <w:rtl/>
        </w:rPr>
        <w:t xml:space="preserve"> </w:t>
      </w:r>
    </w:p>
    <w:p w:rsidR="002A686B" w:rsidRPr="00E24028" w:rsidRDefault="002A686B" w:rsidP="001D0548">
      <w:pPr>
        <w:pStyle w:val="Paragraphedeliste"/>
        <w:widowControl w:val="0"/>
        <w:numPr>
          <w:ilvl w:val="2"/>
          <w:numId w:val="263"/>
        </w:numPr>
        <w:tabs>
          <w:tab w:val="right" w:pos="850"/>
        </w:tabs>
        <w:autoSpaceDE w:val="0"/>
        <w:autoSpaceDN w:val="0"/>
        <w:bidi/>
        <w:adjustRightInd w:val="0"/>
        <w:spacing w:before="240" w:after="0"/>
        <w:ind w:left="0" w:firstLine="0"/>
        <w:jc w:val="both"/>
        <w:outlineLvl w:val="1"/>
        <w:rPr>
          <w:rFonts w:ascii="Simplified Arabic" w:eastAsia="Times New Roman" w:hAnsi="Simplified Arabic" w:cs="Simplified Arabic"/>
          <w:b/>
          <w:sz w:val="24"/>
          <w:szCs w:val="24"/>
          <w:rtl/>
          <w:lang w:val="en-US" w:eastAsia="fr-FR"/>
        </w:rPr>
      </w:pPr>
      <w:bookmarkStart w:id="818" w:name="_Toc171803795"/>
      <w:r w:rsidRPr="00E24028">
        <w:rPr>
          <w:rFonts w:ascii="Simplified Arabic" w:hAnsi="Simplified Arabic" w:cs="Simplified Arabic"/>
          <w:b/>
          <w:bCs/>
          <w:sz w:val="24"/>
          <w:szCs w:val="24"/>
          <w:rtl/>
        </w:rPr>
        <w:t>تحديد</w:t>
      </w:r>
      <w:r w:rsidRPr="00E24028">
        <w:rPr>
          <w:rFonts w:ascii="Simplified Arabic" w:hAnsi="Simplified Arabic" w:cs="Simplified Arabic" w:hint="cs"/>
          <w:b/>
          <w:bCs/>
          <w:sz w:val="24"/>
          <w:szCs w:val="24"/>
          <w:rtl/>
        </w:rPr>
        <w:t xml:space="preserve"> موقع شبكة </w:t>
      </w:r>
      <w:r w:rsidRPr="00E24028">
        <w:rPr>
          <w:rFonts w:ascii="Simplified Arabic" w:hAnsi="Simplified Arabic" w:cs="Simplified Arabic"/>
          <w:b/>
          <w:bCs/>
          <w:sz w:val="24"/>
          <w:szCs w:val="24"/>
          <w:rtl/>
        </w:rPr>
        <w:t>الطرق</w:t>
      </w:r>
      <w:r w:rsidRPr="00E24028">
        <w:rPr>
          <w:rFonts w:ascii="Simplified Arabic" w:hAnsi="Simplified Arabic" w:cs="Simplified Arabic" w:hint="cs"/>
          <w:b/>
          <w:bCs/>
          <w:sz w:val="24"/>
          <w:szCs w:val="24"/>
          <w:rtl/>
        </w:rPr>
        <w:t xml:space="preserve"> للمعيار (</w:t>
      </w:r>
      <w:r w:rsidRPr="00E24028">
        <w:rPr>
          <w:rFonts w:asciiTheme="majorBidi" w:hAnsiTheme="majorBidi" w:cstheme="majorBidi"/>
          <w:b/>
          <w:bCs/>
          <w:sz w:val="24"/>
          <w:szCs w:val="24"/>
        </w:rPr>
        <w:t>C7</w:t>
      </w:r>
      <w:r w:rsidRPr="00E24028">
        <w:rPr>
          <w:rFonts w:ascii="Simplified Arabic" w:hAnsi="Simplified Arabic" w:cs="Simplified Arabic" w:hint="cs"/>
          <w:b/>
          <w:bCs/>
          <w:sz w:val="24"/>
          <w:szCs w:val="24"/>
          <w:rtl/>
        </w:rPr>
        <w:t xml:space="preserve">): </w:t>
      </w:r>
      <w:r w:rsidRPr="00E24028">
        <w:rPr>
          <w:rFonts w:ascii="Simplified Arabic" w:eastAsia="Times New Roman" w:hAnsi="Simplified Arabic" w:cs="Simplified Arabic" w:hint="cs"/>
          <w:b/>
          <w:sz w:val="24"/>
          <w:szCs w:val="24"/>
          <w:rtl/>
          <w:lang w:val="en-US" w:eastAsia="fr-FR"/>
        </w:rPr>
        <w:t>تم تقسيم مكون شبكة الطرق الى قسمين:</w:t>
      </w:r>
      <w:bookmarkEnd w:id="818"/>
    </w:p>
    <w:p w:rsidR="0000770C" w:rsidRPr="0000770C" w:rsidRDefault="002A686B" w:rsidP="001D0548">
      <w:pPr>
        <w:pStyle w:val="Paragraphedeliste"/>
        <w:numPr>
          <w:ilvl w:val="3"/>
          <w:numId w:val="184"/>
        </w:numPr>
        <w:tabs>
          <w:tab w:val="right" w:pos="992"/>
        </w:tabs>
        <w:autoSpaceDE w:val="0"/>
        <w:autoSpaceDN w:val="0"/>
        <w:bidi/>
        <w:adjustRightInd w:val="0"/>
        <w:spacing w:before="240" w:after="0"/>
        <w:ind w:left="0" w:firstLine="0"/>
        <w:jc w:val="both"/>
        <w:rPr>
          <w:rFonts w:ascii="Simplified Arabic" w:hAnsi="Simplified Arabic" w:cs="Simplified Arabic"/>
          <w:sz w:val="24"/>
          <w:szCs w:val="24"/>
          <w:rtl/>
        </w:rPr>
      </w:pPr>
      <w:r w:rsidRPr="00BB2737">
        <w:rPr>
          <w:rFonts w:ascii="Simplified Arabic" w:hAnsi="Simplified Arabic" w:cs="Simplified Arabic" w:hint="cs"/>
          <w:b/>
          <w:bCs/>
          <w:sz w:val="24"/>
          <w:szCs w:val="24"/>
          <w:rtl/>
        </w:rPr>
        <w:t>القسم الاول</w:t>
      </w:r>
      <w:r w:rsidRPr="00BB2737">
        <w:rPr>
          <w:rFonts w:ascii="Simplified Arabic" w:hAnsi="Simplified Arabic" w:cs="Simplified Arabic" w:hint="cs"/>
          <w:sz w:val="24"/>
          <w:szCs w:val="24"/>
          <w:rtl/>
        </w:rPr>
        <w:t xml:space="preserve">: </w:t>
      </w:r>
      <w:r w:rsidR="005D1105" w:rsidRPr="00D24BF7">
        <w:rPr>
          <w:rFonts w:ascii="Simplified Arabic" w:hAnsi="Simplified Arabic" w:cs="Simplified Arabic" w:hint="cs"/>
          <w:sz w:val="24"/>
          <w:szCs w:val="24"/>
          <w:rtl/>
        </w:rPr>
        <w:t xml:space="preserve">تم </w:t>
      </w:r>
      <w:r w:rsidRPr="00BB2737">
        <w:rPr>
          <w:rFonts w:ascii="Simplified Arabic" w:hAnsi="Simplified Arabic" w:cs="Simplified Arabic"/>
          <w:sz w:val="24"/>
          <w:szCs w:val="24"/>
          <w:rtl/>
        </w:rPr>
        <w:t>تحديد</w:t>
      </w:r>
      <w:r w:rsidRPr="00BB2737">
        <w:rPr>
          <w:rFonts w:ascii="Simplified Arabic" w:hAnsi="Simplified Arabic" w:cs="Simplified Arabic" w:hint="cs"/>
          <w:sz w:val="24"/>
          <w:szCs w:val="24"/>
          <w:rtl/>
        </w:rPr>
        <w:t xml:space="preserve"> موقع </w:t>
      </w:r>
      <w:r w:rsidRPr="00BB2737">
        <w:rPr>
          <w:rFonts w:ascii="Simplified Arabic" w:eastAsia="Times New Roman" w:hAnsi="Simplified Arabic" w:cs="Simplified Arabic" w:hint="cs"/>
          <w:b/>
          <w:sz w:val="24"/>
          <w:szCs w:val="24"/>
          <w:rtl/>
          <w:lang w:val="en-US" w:eastAsia="fr-FR"/>
        </w:rPr>
        <w:t>عمق</w:t>
      </w:r>
      <w:r w:rsidR="009838BE">
        <w:rPr>
          <w:rFonts w:ascii="Simplified Arabic" w:eastAsia="Times New Roman" w:hAnsi="Simplified Arabic" w:cs="Simplified Arabic" w:hint="cs"/>
          <w:b/>
          <w:sz w:val="24"/>
          <w:szCs w:val="24"/>
          <w:rtl/>
          <w:lang w:val="en-US" w:eastAsia="fr-FR"/>
        </w:rPr>
        <w:t xml:space="preserve"> (طول)</w:t>
      </w:r>
      <w:r w:rsidRPr="00BB2737">
        <w:rPr>
          <w:rFonts w:ascii="Simplified Arabic" w:eastAsia="Times New Roman" w:hAnsi="Simplified Arabic" w:cs="Simplified Arabic" w:hint="cs"/>
          <w:b/>
          <w:sz w:val="24"/>
          <w:szCs w:val="24"/>
          <w:rtl/>
          <w:lang w:val="en-US" w:eastAsia="fr-FR"/>
        </w:rPr>
        <w:t xml:space="preserve"> الطرق </w:t>
      </w:r>
      <w:r w:rsidRPr="00BB2737">
        <w:rPr>
          <w:rFonts w:ascii="Simplified Arabic" w:hAnsi="Simplified Arabic" w:cs="Simplified Arabic" w:hint="cs"/>
          <w:sz w:val="24"/>
          <w:szCs w:val="24"/>
          <w:rtl/>
        </w:rPr>
        <w:t xml:space="preserve">الرئيسية والثانوية </w:t>
      </w:r>
      <w:r w:rsidR="005D1105" w:rsidRPr="00D24BF7">
        <w:rPr>
          <w:rFonts w:ascii="Simplified Arabic" w:hAnsi="Simplified Arabic" w:cs="Simplified Arabic" w:hint="cs"/>
          <w:sz w:val="24"/>
          <w:szCs w:val="24"/>
          <w:rtl/>
        </w:rPr>
        <w:t>عبر احياء مدينة بوسعادة</w:t>
      </w:r>
      <w:r w:rsidR="005D1105">
        <w:rPr>
          <w:rFonts w:ascii="Simplified Arabic" w:hAnsi="Simplified Arabic" w:cs="Simplified Arabic" w:hint="cs"/>
          <w:sz w:val="24"/>
          <w:szCs w:val="24"/>
          <w:rtl/>
        </w:rPr>
        <w:t>:</w:t>
      </w:r>
      <w:r w:rsidR="005D1105" w:rsidRPr="00D24BF7">
        <w:rPr>
          <w:rFonts w:ascii="Simplified Arabic" w:hAnsi="Simplified Arabic" w:cs="Simplified Arabic" w:hint="cs"/>
          <w:sz w:val="24"/>
          <w:szCs w:val="24"/>
          <w:rtl/>
        </w:rPr>
        <w:t xml:space="preserve"> </w:t>
      </w:r>
      <w:r w:rsidR="005D1105" w:rsidRPr="00D24BF7">
        <w:rPr>
          <w:rFonts w:ascii="Simplified Arabic" w:eastAsia="Times New Roman" w:hAnsi="Simplified Arabic" w:cs="Simplified Arabic" w:hint="cs"/>
          <w:color w:val="000000"/>
          <w:sz w:val="24"/>
          <w:szCs w:val="24"/>
          <w:rtl/>
          <w:lang w:eastAsia="fr-FR"/>
        </w:rPr>
        <w:t>القصر</w:t>
      </w:r>
      <w:r w:rsidR="005D1105">
        <w:rPr>
          <w:rFonts w:ascii="Simplified Arabic" w:eastAsia="Times New Roman" w:hAnsi="Simplified Arabic" w:cs="Simplified Arabic" w:hint="cs"/>
          <w:color w:val="000000"/>
          <w:sz w:val="24"/>
          <w:szCs w:val="24"/>
          <w:rtl/>
          <w:lang w:eastAsia="fr-FR"/>
        </w:rPr>
        <w:t>،</w:t>
      </w:r>
      <w:r w:rsidR="005D1105" w:rsidRPr="00D24BF7">
        <w:rPr>
          <w:rFonts w:ascii="Simplified Arabic" w:hAnsi="Simplified Arabic" w:cs="Simplified Arabic" w:hint="cs"/>
          <w:sz w:val="24"/>
          <w:szCs w:val="24"/>
          <w:rtl/>
        </w:rPr>
        <w:t xml:space="preserve"> </w:t>
      </w:r>
      <w:r w:rsidR="005D1105" w:rsidRPr="00D24BF7">
        <w:rPr>
          <w:rFonts w:ascii="Simplified Arabic" w:eastAsia="Times New Roman" w:hAnsi="Simplified Arabic" w:cs="Simplified Arabic"/>
          <w:color w:val="000000"/>
          <w:sz w:val="24"/>
          <w:szCs w:val="24"/>
          <w:rtl/>
          <w:lang w:eastAsia="fr-FR"/>
        </w:rPr>
        <w:t>بلاتو</w:t>
      </w:r>
      <w:r w:rsidR="005D1105">
        <w:rPr>
          <w:rFonts w:ascii="Simplified Arabic" w:eastAsia="Times New Roman" w:hAnsi="Simplified Arabic" w:cs="Simplified Arabic" w:hint="cs"/>
          <w:color w:val="000000"/>
          <w:sz w:val="24"/>
          <w:szCs w:val="24"/>
          <w:rtl/>
          <w:lang w:eastAsia="fr-FR"/>
        </w:rPr>
        <w:t>،</w:t>
      </w:r>
      <w:r w:rsidR="005D1105" w:rsidRPr="00D24BF7">
        <w:rPr>
          <w:rFonts w:ascii="Simplified Arabic" w:hAnsi="Simplified Arabic" w:cs="Simplified Arabic" w:hint="cs"/>
          <w:sz w:val="24"/>
          <w:szCs w:val="24"/>
          <w:rtl/>
        </w:rPr>
        <w:t xml:space="preserve"> </w:t>
      </w:r>
      <w:r w:rsidR="005D1105" w:rsidRPr="00D24BF7">
        <w:rPr>
          <w:rFonts w:ascii="Simplified Arabic" w:eastAsia="Times New Roman" w:hAnsi="Simplified Arabic" w:cs="Simplified Arabic"/>
          <w:color w:val="000000"/>
          <w:sz w:val="24"/>
          <w:szCs w:val="24"/>
          <w:rtl/>
          <w:lang w:eastAsia="fr-FR"/>
        </w:rPr>
        <w:t>سيدي سليمان</w:t>
      </w:r>
      <w:r w:rsidR="005D1105" w:rsidRPr="00D24BF7">
        <w:rPr>
          <w:rFonts w:ascii="Simplified Arabic" w:hAnsi="Simplified Arabic" w:cs="Simplified Arabic" w:hint="cs"/>
          <w:sz w:val="24"/>
          <w:szCs w:val="24"/>
          <w:rtl/>
        </w:rPr>
        <w:t xml:space="preserve"> </w:t>
      </w:r>
      <w:r w:rsidR="005D1105">
        <w:rPr>
          <w:rFonts w:ascii="Simplified Arabic" w:hAnsi="Simplified Arabic" w:cs="Simplified Arabic" w:hint="cs"/>
          <w:sz w:val="24"/>
          <w:szCs w:val="24"/>
          <w:rtl/>
        </w:rPr>
        <w:t>و</w:t>
      </w:r>
      <w:r w:rsidR="005D1105" w:rsidRPr="00D24BF7">
        <w:rPr>
          <w:rFonts w:ascii="Simplified Arabic" w:eastAsia="Times New Roman" w:hAnsi="Simplified Arabic" w:cs="Simplified Arabic"/>
          <w:color w:val="000000"/>
          <w:sz w:val="24"/>
          <w:szCs w:val="24"/>
          <w:rtl/>
          <w:lang w:eastAsia="fr-FR"/>
        </w:rPr>
        <w:t>الحمايد</w:t>
      </w:r>
      <w:r w:rsidR="005D1105">
        <w:rPr>
          <w:rFonts w:ascii="Simplified Arabic" w:eastAsia="Times New Roman" w:hAnsi="Simplified Arabic" w:cs="Simplified Arabic" w:hint="cs"/>
          <w:color w:val="000000"/>
          <w:sz w:val="24"/>
          <w:szCs w:val="24"/>
          <w:rtl/>
          <w:lang w:eastAsia="fr-FR"/>
        </w:rPr>
        <w:t>،</w:t>
      </w:r>
      <w:r w:rsidR="005D1105">
        <w:rPr>
          <w:rFonts w:ascii="Simplified Arabic" w:hAnsi="Simplified Arabic" w:cs="Simplified Arabic" w:hint="cs"/>
          <w:sz w:val="24"/>
          <w:szCs w:val="24"/>
          <w:rtl/>
        </w:rPr>
        <w:t xml:space="preserve"> </w:t>
      </w:r>
      <w:r w:rsidR="005D1105" w:rsidRPr="00D24BF7">
        <w:rPr>
          <w:rFonts w:ascii="Simplified Arabic" w:hAnsi="Simplified Arabic" w:cs="Simplified Arabic" w:hint="cs"/>
          <w:sz w:val="24"/>
          <w:szCs w:val="24"/>
          <w:rtl/>
        </w:rPr>
        <w:t>على اساس</w:t>
      </w:r>
      <w:r w:rsidRPr="00BB2737">
        <w:rPr>
          <w:rFonts w:ascii="Simplified Arabic" w:hAnsi="Simplified Arabic" w:cs="Simplified Arabic" w:hint="cs"/>
          <w:sz w:val="24"/>
          <w:szCs w:val="24"/>
          <w:rtl/>
          <w:lang w:bidi="ar-DZ"/>
        </w:rPr>
        <w:t xml:space="preserve"> مقياس</w:t>
      </w:r>
      <w:r w:rsidRPr="00BB2737">
        <w:rPr>
          <w:rFonts w:ascii="Simplified Arabic" w:hAnsi="Simplified Arabic" w:cs="Simplified Arabic"/>
          <w:sz w:val="24"/>
          <w:szCs w:val="24"/>
          <w:rtl/>
          <w:lang w:bidi="ar-DZ"/>
        </w:rPr>
        <w:t xml:space="preserve"> </w:t>
      </w:r>
      <w:r w:rsidRPr="00BB2737">
        <w:rPr>
          <w:rFonts w:ascii="Simplified Arabic" w:hAnsi="Simplified Arabic" w:cs="Simplified Arabic" w:hint="cs"/>
          <w:sz w:val="24"/>
          <w:szCs w:val="24"/>
          <w:rtl/>
          <w:lang w:bidi="ar-DZ"/>
        </w:rPr>
        <w:t>ال</w:t>
      </w:r>
      <w:r w:rsidR="00F43011">
        <w:rPr>
          <w:rFonts w:ascii="Simplified Arabic" w:hAnsi="Simplified Arabic" w:cs="Simplified Arabic" w:hint="cs"/>
          <w:sz w:val="24"/>
          <w:szCs w:val="24"/>
          <w:rtl/>
          <w:lang w:val="en-US" w:bidi="ar-DZ"/>
        </w:rPr>
        <w:t>عمق</w:t>
      </w:r>
      <w:r w:rsidRPr="00BB2737">
        <w:rPr>
          <w:rFonts w:ascii="Simplified Arabic" w:hAnsi="Simplified Arabic" w:cs="Simplified Arabic" w:hint="cs"/>
          <w:sz w:val="24"/>
          <w:szCs w:val="24"/>
          <w:rtl/>
        </w:rPr>
        <w:t>، لمعرفة امكانية الوصول ضمن ال</w:t>
      </w:r>
      <w:r w:rsidR="00F43011">
        <w:rPr>
          <w:rFonts w:ascii="Simplified Arabic" w:hAnsi="Simplified Arabic" w:cs="Simplified Arabic" w:hint="cs"/>
          <w:sz w:val="24"/>
          <w:szCs w:val="24"/>
          <w:rtl/>
          <w:lang w:val="en-US" w:bidi="ar-DZ"/>
        </w:rPr>
        <w:t>عمق</w:t>
      </w:r>
      <w:r w:rsidRPr="00BB2737">
        <w:rPr>
          <w:rFonts w:ascii="Simplified Arabic" w:hAnsi="Simplified Arabic" w:cs="Simplified Arabic" w:hint="cs"/>
          <w:sz w:val="24"/>
          <w:szCs w:val="24"/>
          <w:rtl/>
        </w:rPr>
        <w:t xml:space="preserve"> المعياري النظري المحدد في الجدول (6-</w:t>
      </w:r>
      <w:r w:rsidR="00B24A3A">
        <w:rPr>
          <w:rFonts w:ascii="Simplified Arabic" w:hAnsi="Simplified Arabic" w:cs="Simplified Arabic"/>
          <w:sz w:val="24"/>
          <w:szCs w:val="24"/>
        </w:rPr>
        <w:t>3</w:t>
      </w:r>
      <w:r w:rsidRPr="00BB2737">
        <w:rPr>
          <w:rFonts w:ascii="Simplified Arabic" w:hAnsi="Simplified Arabic" w:cs="Simplified Arabic" w:hint="cs"/>
          <w:sz w:val="24"/>
          <w:szCs w:val="24"/>
          <w:rtl/>
        </w:rPr>
        <w:t>).</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تمت</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دراسة</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متوسط</w:t>
      </w:r>
      <w:r w:rsidRPr="00BB2737">
        <w:rPr>
          <w:rFonts w:ascii="Simplified Arabic" w:hAnsi="Simplified Arabic" w:cs="Simplified Arabic"/>
          <w:sz w:val="24"/>
          <w:szCs w:val="24"/>
          <w:rtl/>
        </w:rPr>
        <w:t xml:space="preserve"> </w:t>
      </w:r>
      <w:r w:rsidR="00F43011">
        <w:rPr>
          <w:rFonts w:ascii="Simplified Arabic" w:hAnsi="Simplified Arabic" w:cs="Simplified Arabic" w:hint="cs"/>
          <w:sz w:val="24"/>
          <w:szCs w:val="24"/>
          <w:rtl/>
          <w:lang w:val="en-US" w:bidi="ar-DZ"/>
        </w:rPr>
        <w:t>عمق</w:t>
      </w:r>
      <w:r w:rsidR="00F43011" w:rsidRPr="00B60609">
        <w:rPr>
          <w:rFonts w:ascii="Simplified Arabic" w:hAnsi="Simplified Arabic" w:cs="Simplified Arabic"/>
          <w:sz w:val="24"/>
          <w:szCs w:val="24"/>
          <w:rtl/>
          <w:lang w:val="en-US" w:bidi="ar-DZ"/>
        </w:rPr>
        <w:t xml:space="preserve"> </w:t>
      </w:r>
      <w:r w:rsidRPr="00BB2737">
        <w:rPr>
          <w:rFonts w:ascii="Simplified Arabic" w:hAnsi="Simplified Arabic" w:cs="Simplified Arabic" w:hint="cs"/>
          <w:sz w:val="24"/>
          <w:szCs w:val="24"/>
          <w:rtl/>
        </w:rPr>
        <w:t>الطريق</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الرئيسي والثانوي</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من</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خلال</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النظر</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في</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الإحصائيات</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الوصفية</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ل</w:t>
      </w:r>
      <w:r w:rsidR="00F43011">
        <w:rPr>
          <w:rFonts w:ascii="Simplified Arabic" w:hAnsi="Simplified Arabic" w:cs="Simplified Arabic" w:hint="cs"/>
          <w:sz w:val="24"/>
          <w:szCs w:val="24"/>
          <w:rtl/>
          <w:lang w:val="en-US" w:bidi="ar-DZ"/>
        </w:rPr>
        <w:t xml:space="preserve">عمق </w:t>
      </w:r>
      <w:r w:rsidRPr="00BB2737">
        <w:rPr>
          <w:rFonts w:ascii="Simplified Arabic" w:hAnsi="Simplified Arabic" w:cs="Simplified Arabic" w:hint="cs"/>
          <w:sz w:val="24"/>
          <w:szCs w:val="24"/>
          <w:rtl/>
        </w:rPr>
        <w:t>الطريق</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الرئيسي والثانوي</w:t>
      </w:r>
      <w:r w:rsidRPr="00BB2737">
        <w:rPr>
          <w:rFonts w:ascii="Simplified Arabic" w:hAnsi="Simplified Arabic" w:cs="Simplified Arabic"/>
          <w:sz w:val="24"/>
          <w:szCs w:val="24"/>
          <w:rtl/>
        </w:rPr>
        <w:t xml:space="preserve"> </w:t>
      </w:r>
      <w:r w:rsidR="005D1105">
        <w:rPr>
          <w:rFonts w:ascii="Simplified Arabic" w:hAnsi="Simplified Arabic" w:cs="Simplified Arabic" w:hint="cs"/>
          <w:sz w:val="24"/>
          <w:szCs w:val="24"/>
          <w:rtl/>
        </w:rPr>
        <w:t>ل</w:t>
      </w:r>
      <w:r w:rsidRPr="00BB2737">
        <w:rPr>
          <w:rFonts w:ascii="Simplified Arabic" w:hAnsi="Simplified Arabic" w:cs="Simplified Arabic" w:hint="cs"/>
          <w:sz w:val="24"/>
          <w:szCs w:val="24"/>
          <w:rtl/>
        </w:rPr>
        <w:t>كل</w:t>
      </w:r>
      <w:r w:rsidRPr="00BB2737">
        <w:rPr>
          <w:rFonts w:ascii="Simplified Arabic" w:hAnsi="Simplified Arabic" w:cs="Simplified Arabic"/>
          <w:sz w:val="24"/>
          <w:szCs w:val="24"/>
          <w:rtl/>
        </w:rPr>
        <w:t xml:space="preserve"> </w:t>
      </w:r>
      <w:r w:rsidRPr="00BB2737">
        <w:rPr>
          <w:rFonts w:ascii="Simplified Arabic" w:hAnsi="Simplified Arabic" w:cs="Simplified Arabic" w:hint="cs"/>
          <w:sz w:val="24"/>
          <w:szCs w:val="24"/>
          <w:rtl/>
        </w:rPr>
        <w:t>حي سكني</w:t>
      </w:r>
      <w:r w:rsidRPr="00BB2737">
        <w:rPr>
          <w:rFonts w:ascii="Simplified Arabic" w:hAnsi="Simplified Arabic" w:cs="Simplified Arabic"/>
          <w:sz w:val="24"/>
          <w:szCs w:val="24"/>
          <w:rtl/>
        </w:rPr>
        <w:t>.</w:t>
      </w:r>
      <w:r w:rsidRPr="00BB2737">
        <w:rPr>
          <w:rFonts w:ascii="Simplified Arabic" w:hAnsi="Simplified Arabic" w:cs="Simplified Arabic" w:hint="cs"/>
          <w:sz w:val="24"/>
          <w:szCs w:val="24"/>
          <w:rtl/>
        </w:rPr>
        <w:t xml:space="preserve"> الغاية من ذلك الكشف عن سمة الاتصال</w:t>
      </w:r>
      <w:r w:rsidR="00C23656">
        <w:rPr>
          <w:rFonts w:ascii="Simplified Arabic" w:hAnsi="Simplified Arabic" w:cs="Simplified Arabic" w:hint="cs"/>
          <w:sz w:val="24"/>
          <w:szCs w:val="24"/>
          <w:rtl/>
        </w:rPr>
        <w:t>ية</w:t>
      </w:r>
      <w:r w:rsidRPr="00BB2737">
        <w:rPr>
          <w:rFonts w:ascii="Simplified Arabic" w:hAnsi="Simplified Arabic" w:cs="Simplified Arabic" w:hint="cs"/>
          <w:sz w:val="24"/>
          <w:szCs w:val="24"/>
          <w:rtl/>
        </w:rPr>
        <w:t xml:space="preserve"> للمرونة المكانية على مستو</w:t>
      </w:r>
      <w:r w:rsidR="009838BE">
        <w:rPr>
          <w:rFonts w:ascii="Simplified Arabic" w:hAnsi="Simplified Arabic" w:cs="Simplified Arabic" w:hint="cs"/>
          <w:sz w:val="24"/>
          <w:szCs w:val="24"/>
          <w:rtl/>
        </w:rPr>
        <w:t>ى كل فئة من فئات النسيج الحضري.</w:t>
      </w:r>
    </w:p>
    <w:p w:rsidR="002A686B" w:rsidRDefault="00E6260F" w:rsidP="005D7A23">
      <w:pPr>
        <w:bidi/>
        <w:spacing w:after="0"/>
        <w:ind w:firstLine="283"/>
        <w:jc w:val="both"/>
        <w:rPr>
          <w:rFonts w:ascii="Simplified Arabic" w:hAnsi="Simplified Arabic" w:cs="Simplified Arabic"/>
          <w:sz w:val="24"/>
          <w:szCs w:val="24"/>
          <w:rtl/>
        </w:rPr>
      </w:pPr>
      <w:r w:rsidRPr="00DB3124">
        <w:rPr>
          <w:rFonts w:ascii="Simplified Arabic" w:hAnsi="Simplified Arabic" w:cs="Simplified Arabic" w:hint="cs"/>
          <w:sz w:val="24"/>
          <w:szCs w:val="24"/>
          <w:rtl/>
        </w:rPr>
        <w:t xml:space="preserve">مرت عملية التحليل المكاني بمراحل لبناء نموذج الكشف عن سمة </w:t>
      </w:r>
      <w:r w:rsidRPr="0035693B">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00C2564A" w:rsidRPr="00DB3124">
        <w:rPr>
          <w:rFonts w:ascii="Simplified Arabic" w:hAnsi="Simplified Arabic" w:cs="Simplified Arabic" w:hint="cs"/>
          <w:sz w:val="24"/>
          <w:szCs w:val="24"/>
          <w:rtl/>
        </w:rPr>
        <w:t>،</w:t>
      </w:r>
      <w:r w:rsidRPr="002240DE">
        <w:rPr>
          <w:rFonts w:ascii="Simplified Arabic" w:hAnsi="Simplified Arabic" w:cs="Simplified Arabic" w:hint="cs"/>
          <w:sz w:val="24"/>
          <w:szCs w:val="24"/>
          <w:rtl/>
        </w:rPr>
        <w:t xml:space="preserve"> </w:t>
      </w:r>
      <w:r w:rsidR="002A686B" w:rsidRPr="002240DE">
        <w:rPr>
          <w:rFonts w:ascii="Simplified Arabic" w:hAnsi="Simplified Arabic" w:cs="Simplified Arabic" w:hint="cs"/>
          <w:sz w:val="24"/>
          <w:szCs w:val="24"/>
          <w:rtl/>
        </w:rPr>
        <w:t>يظهر</w:t>
      </w:r>
      <w:r w:rsidR="002A686B" w:rsidRPr="002240DE">
        <w:rPr>
          <w:rFonts w:ascii="Simplified Arabic" w:hAnsi="Simplified Arabic" w:cs="Simplified Arabic"/>
          <w:sz w:val="24"/>
          <w:szCs w:val="24"/>
          <w:rtl/>
        </w:rPr>
        <w:t xml:space="preserve"> </w:t>
      </w:r>
      <w:r w:rsidR="002A686B" w:rsidRPr="00893225">
        <w:rPr>
          <w:rFonts w:ascii="Simplified Arabic" w:hAnsi="Simplified Arabic" w:cs="Simplified Arabic" w:hint="cs"/>
          <w:sz w:val="24"/>
          <w:szCs w:val="24"/>
          <w:rtl/>
          <w:lang w:bidi="ar-DZ"/>
        </w:rPr>
        <w:t>الشكل</w:t>
      </w:r>
      <w:r w:rsidR="002A686B" w:rsidRPr="00893225">
        <w:rPr>
          <w:rFonts w:ascii="Simplified Arabic" w:hAnsi="Simplified Arabic" w:cs="Simplified Arabic"/>
          <w:sz w:val="24"/>
          <w:szCs w:val="24"/>
          <w:rtl/>
          <w:lang w:bidi="ar-DZ"/>
        </w:rPr>
        <w:t xml:space="preserve"> </w:t>
      </w:r>
      <w:r w:rsidR="002A686B">
        <w:rPr>
          <w:rFonts w:ascii="Simplified Arabic" w:hAnsi="Simplified Arabic" w:cs="Simplified Arabic" w:hint="cs"/>
          <w:sz w:val="24"/>
          <w:szCs w:val="24"/>
          <w:rtl/>
          <w:lang w:bidi="ar-DZ"/>
        </w:rPr>
        <w:t>(6-</w:t>
      </w:r>
      <w:r w:rsidR="00B24A3A">
        <w:rPr>
          <w:rFonts w:ascii="Simplified Arabic" w:hAnsi="Simplified Arabic" w:cs="Simplified Arabic"/>
          <w:sz w:val="24"/>
          <w:szCs w:val="24"/>
          <w:lang w:bidi="ar-DZ"/>
        </w:rPr>
        <w:t>10</w:t>
      </w:r>
      <w:r w:rsidR="002A686B">
        <w:rPr>
          <w:rFonts w:ascii="Simplified Arabic" w:hAnsi="Simplified Arabic" w:cs="Simplified Arabic" w:hint="cs"/>
          <w:sz w:val="24"/>
          <w:szCs w:val="24"/>
          <w:rtl/>
          <w:lang w:bidi="ar-DZ"/>
        </w:rPr>
        <w:t>)،</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مخطط انسيابي</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للعملية</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المستخدمة</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لكشف سمة</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بدءًا</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من</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الجانب</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الأيسر</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من</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الشكل،</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 xml:space="preserve">يتم </w:t>
      </w:r>
      <w:r w:rsidR="002A686B" w:rsidRPr="002240DE">
        <w:rPr>
          <w:rFonts w:ascii="Simplified Arabic" w:hAnsi="Simplified Arabic" w:cs="Simplified Arabic" w:hint="cs"/>
          <w:sz w:val="24"/>
          <w:szCs w:val="24"/>
          <w:rtl/>
        </w:rPr>
        <w:t>إدخال</w:t>
      </w:r>
      <w:r w:rsidR="002A686B" w:rsidRPr="002240DE">
        <w:rPr>
          <w:rFonts w:ascii="Simplified Arabic" w:hAnsi="Simplified Arabic" w:cs="Simplified Arabic"/>
          <w:sz w:val="24"/>
          <w:szCs w:val="24"/>
          <w:rtl/>
        </w:rPr>
        <w:t xml:space="preserve"> </w:t>
      </w:r>
      <w:r w:rsidR="00F76477">
        <w:rPr>
          <w:rFonts w:ascii="Simplified Arabic" w:hAnsi="Simplified Arabic" w:cs="Simplified Arabic" w:hint="cs"/>
          <w:sz w:val="24"/>
          <w:szCs w:val="24"/>
          <w:rtl/>
        </w:rPr>
        <w:t>ال</w:t>
      </w:r>
      <w:r w:rsidR="002A686B" w:rsidRPr="002240DE">
        <w:rPr>
          <w:rFonts w:ascii="Simplified Arabic" w:hAnsi="Simplified Arabic" w:cs="Simplified Arabic" w:hint="cs"/>
          <w:sz w:val="24"/>
          <w:szCs w:val="24"/>
          <w:rtl/>
        </w:rPr>
        <w:t>بيانات</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المطلوبة</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للتقييم</w:t>
      </w:r>
      <w:r w:rsidR="00F76477">
        <w:rPr>
          <w:rFonts w:ascii="Simplified Arabic" w:hAnsi="Simplified Arabic" w:cs="Simplified Arabic" w:hint="cs"/>
          <w:sz w:val="24"/>
          <w:szCs w:val="24"/>
          <w:rtl/>
        </w:rPr>
        <w:t xml:space="preserve"> </w:t>
      </w:r>
      <w:r w:rsidR="002A686B">
        <w:rPr>
          <w:rFonts w:ascii="Simplified Arabic" w:hAnsi="Simplified Arabic" w:cs="Simplified Arabic" w:hint="cs"/>
          <w:sz w:val="24"/>
          <w:szCs w:val="24"/>
          <w:rtl/>
        </w:rPr>
        <w:t xml:space="preserve">وهي: </w:t>
      </w:r>
      <w:r w:rsidR="002A686B" w:rsidRPr="002240DE">
        <w:rPr>
          <w:rFonts w:ascii="Simplified Arabic" w:hAnsi="Simplified Arabic" w:cs="Simplified Arabic" w:hint="cs"/>
          <w:sz w:val="24"/>
          <w:szCs w:val="24"/>
          <w:rtl/>
        </w:rPr>
        <w:t>شبكة</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color w:val="000000" w:themeColor="text1"/>
          <w:sz w:val="24"/>
          <w:szCs w:val="24"/>
          <w:rtl/>
          <w:lang w:val="en-US"/>
        </w:rPr>
        <w:t>ال</w:t>
      </w:r>
      <w:r w:rsidR="002A686B" w:rsidRPr="00327026">
        <w:rPr>
          <w:rFonts w:ascii="Simplified Arabic" w:hAnsi="Simplified Arabic" w:cs="Simplified Arabic" w:hint="cs"/>
          <w:color w:val="000000" w:themeColor="text1"/>
          <w:sz w:val="24"/>
          <w:szCs w:val="24"/>
          <w:rtl/>
          <w:lang w:val="en-US"/>
        </w:rPr>
        <w:t xml:space="preserve">طرق </w:t>
      </w:r>
      <w:r w:rsidR="002A686B">
        <w:rPr>
          <w:rFonts w:ascii="Simplified Arabic" w:hAnsi="Simplified Arabic" w:cs="Simplified Arabic" w:hint="cs"/>
          <w:color w:val="000000" w:themeColor="text1"/>
          <w:sz w:val="24"/>
          <w:szCs w:val="24"/>
          <w:rtl/>
          <w:lang w:val="en-US"/>
        </w:rPr>
        <w:t>الشريانية (الطرق الرئيسية والثانوية)</w:t>
      </w:r>
      <w:r w:rsidR="002A686B" w:rsidRPr="002240DE">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بعد</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ذلك،</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باستخدام</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بيانات</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الإدخال</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المشار</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إليها،</w:t>
      </w:r>
      <w:r w:rsidR="002A686B">
        <w:rPr>
          <w:rFonts w:ascii="Simplified Arabic" w:hAnsi="Simplified Arabic" w:cs="Simplified Arabic" w:hint="cs"/>
          <w:sz w:val="24"/>
          <w:szCs w:val="24"/>
          <w:rtl/>
        </w:rPr>
        <w:t xml:space="preserve"> </w:t>
      </w:r>
      <w:r w:rsidR="002A686B" w:rsidRPr="00A96441">
        <w:rPr>
          <w:rFonts w:ascii="Simplified Arabic" w:hAnsi="Simplified Arabic" w:cs="Simplified Arabic" w:hint="cs"/>
          <w:sz w:val="24"/>
          <w:szCs w:val="24"/>
          <w:rtl/>
        </w:rPr>
        <w:t>يتم</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تقييم</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مق</w:t>
      </w:r>
      <w:r w:rsidR="002A686B">
        <w:rPr>
          <w:rFonts w:ascii="Simplified Arabic" w:hAnsi="Simplified Arabic" w:cs="Simplified Arabic" w:hint="cs"/>
          <w:sz w:val="24"/>
          <w:szCs w:val="24"/>
          <w:rtl/>
        </w:rPr>
        <w:t>ي</w:t>
      </w:r>
      <w:r w:rsidR="002A686B" w:rsidRPr="00A96441">
        <w:rPr>
          <w:rFonts w:ascii="Simplified Arabic" w:hAnsi="Simplified Arabic" w:cs="Simplified Arabic" w:hint="cs"/>
          <w:sz w:val="24"/>
          <w:szCs w:val="24"/>
          <w:rtl/>
        </w:rPr>
        <w:t>اس</w:t>
      </w:r>
      <w:r w:rsidR="002A686B" w:rsidRPr="00A96441">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الاتصال</w:t>
      </w:r>
      <w:r w:rsidR="002A686B" w:rsidRPr="00A96441">
        <w:rPr>
          <w:rFonts w:ascii="Simplified Arabic" w:hAnsi="Simplified Arabic" w:cs="Simplified Arabic"/>
          <w:sz w:val="24"/>
          <w:szCs w:val="24"/>
          <w:rtl/>
        </w:rPr>
        <w:t xml:space="preserve"> </w:t>
      </w:r>
      <w:r w:rsidR="005D7A23">
        <w:rPr>
          <w:rFonts w:ascii="Simplified Arabic" w:hAnsi="Simplified Arabic" w:cs="Simplified Arabic" w:hint="cs"/>
          <w:color w:val="000000" w:themeColor="text1"/>
          <w:sz w:val="24"/>
          <w:szCs w:val="24"/>
          <w:rtl/>
          <w:lang w:bidi="ar-DZ"/>
        </w:rPr>
        <w:t>لكشف سمة</w:t>
      </w:r>
      <w:r w:rsidR="005D7A23" w:rsidRPr="00BD4569">
        <w:rPr>
          <w:rFonts w:ascii="Simplified Arabic" w:hAnsi="Simplified Arabic" w:cs="Simplified Arabic"/>
          <w:color w:val="000000" w:themeColor="text1"/>
          <w:sz w:val="24"/>
          <w:szCs w:val="24"/>
          <w:rtl/>
          <w:lang w:bidi="ar-DZ"/>
        </w:rPr>
        <w:t xml:space="preserve"> </w:t>
      </w:r>
      <w:r w:rsidR="002A686B">
        <w:rPr>
          <w:rFonts w:ascii="Simplified Arabic" w:hAnsi="Simplified Arabic" w:cs="Simplified Arabic" w:hint="cs"/>
          <w:sz w:val="24"/>
          <w:szCs w:val="24"/>
          <w:rtl/>
        </w:rPr>
        <w:t>الاتصال</w:t>
      </w:r>
      <w:r w:rsidR="00C23656">
        <w:rPr>
          <w:rFonts w:ascii="Simplified Arabic" w:hAnsi="Simplified Arabic" w:cs="Simplified Arabic" w:hint="cs"/>
          <w:sz w:val="24"/>
          <w:szCs w:val="24"/>
          <w:rtl/>
        </w:rPr>
        <w:t>ية</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بشكل</w:t>
      </w:r>
      <w:r w:rsidR="002A686B" w:rsidRPr="00A96441">
        <w:rPr>
          <w:rFonts w:ascii="Simplified Arabic" w:hAnsi="Simplified Arabic" w:cs="Simplified Arabic"/>
          <w:sz w:val="24"/>
          <w:szCs w:val="24"/>
          <w:rtl/>
        </w:rPr>
        <w:t xml:space="preserve"> </w:t>
      </w:r>
      <w:r w:rsidR="002A686B" w:rsidRPr="00A96441">
        <w:rPr>
          <w:rFonts w:ascii="Simplified Arabic" w:hAnsi="Simplified Arabic" w:cs="Simplified Arabic" w:hint="cs"/>
          <w:sz w:val="24"/>
          <w:szCs w:val="24"/>
          <w:rtl/>
        </w:rPr>
        <w:t>فردي</w:t>
      </w:r>
      <w:r w:rsidR="002A686B" w:rsidRPr="00A96441">
        <w:rPr>
          <w:rFonts w:ascii="Simplified Arabic" w:hAnsi="Simplified Arabic" w:cs="Simplified Arabic"/>
          <w:sz w:val="24"/>
          <w:szCs w:val="24"/>
          <w:rtl/>
        </w:rPr>
        <w:t xml:space="preserve"> </w:t>
      </w:r>
      <w:r w:rsidR="00276D01">
        <w:rPr>
          <w:rFonts w:ascii="Simplified Arabic" w:hAnsi="Simplified Arabic" w:cs="Simplified Arabic" w:hint="cs"/>
          <w:sz w:val="24"/>
          <w:szCs w:val="24"/>
          <w:rtl/>
        </w:rPr>
        <w:t>لكل حي سكني</w:t>
      </w:r>
      <w:r w:rsidR="002A686B" w:rsidRPr="002240DE">
        <w:rPr>
          <w:rFonts w:ascii="Simplified Arabic" w:hAnsi="Simplified Arabic" w:cs="Simplified Arabic"/>
          <w:sz w:val="24"/>
          <w:szCs w:val="24"/>
          <w:rtl/>
        </w:rPr>
        <w:t>.</w:t>
      </w:r>
      <w:r w:rsidR="002A686B">
        <w:rPr>
          <w:rFonts w:ascii="Simplified Arabic" w:hAnsi="Simplified Arabic" w:cs="Simplified Arabic" w:hint="cs"/>
          <w:sz w:val="24"/>
          <w:szCs w:val="24"/>
          <w:rtl/>
        </w:rPr>
        <w:t xml:space="preserve"> </w:t>
      </w:r>
      <w:r w:rsidR="00EC1099">
        <w:rPr>
          <w:rFonts w:ascii="Simplified Arabic" w:hAnsi="Simplified Arabic" w:cs="Simplified Arabic" w:hint="cs"/>
          <w:sz w:val="24"/>
          <w:szCs w:val="24"/>
          <w:rtl/>
        </w:rPr>
        <w:t>كلما كان</w:t>
      </w:r>
      <w:r w:rsidR="002A686B" w:rsidRPr="004974A0">
        <w:rPr>
          <w:rFonts w:ascii="Simplified Arabic" w:hAnsi="Simplified Arabic" w:cs="Simplified Arabic"/>
          <w:sz w:val="24"/>
          <w:szCs w:val="24"/>
          <w:rtl/>
        </w:rPr>
        <w:t xml:space="preserve"> </w:t>
      </w:r>
      <w:r w:rsidR="00F43011">
        <w:rPr>
          <w:rFonts w:ascii="Simplified Arabic" w:hAnsi="Simplified Arabic" w:cs="Simplified Arabic" w:hint="cs"/>
          <w:sz w:val="24"/>
          <w:szCs w:val="24"/>
          <w:rtl/>
          <w:lang w:val="en-US" w:bidi="ar-DZ"/>
        </w:rPr>
        <w:t>عمق</w:t>
      </w:r>
      <w:r w:rsidR="00F43011" w:rsidRPr="00B60609">
        <w:rPr>
          <w:rFonts w:ascii="Simplified Arabic" w:hAnsi="Simplified Arabic" w:cs="Simplified Arabic"/>
          <w:sz w:val="24"/>
          <w:szCs w:val="24"/>
          <w:rtl/>
          <w:lang w:val="en-US" w:bidi="ar-DZ"/>
        </w:rPr>
        <w:t xml:space="preserve"> </w:t>
      </w:r>
      <w:r w:rsidR="00EC1099">
        <w:rPr>
          <w:rFonts w:ascii="Simplified Arabic" w:hAnsi="Simplified Arabic" w:cs="Simplified Arabic" w:hint="cs"/>
          <w:color w:val="000000" w:themeColor="text1"/>
          <w:sz w:val="24"/>
          <w:szCs w:val="24"/>
          <w:rtl/>
          <w:lang w:val="en-US"/>
        </w:rPr>
        <w:t>الطرق الرئيسية والثانوية</w:t>
      </w:r>
      <w:r w:rsidR="002A686B" w:rsidRPr="004974A0">
        <w:rPr>
          <w:rFonts w:ascii="Simplified Arabic" w:hAnsi="Simplified Arabic" w:cs="Simplified Arabic"/>
          <w:sz w:val="24"/>
          <w:szCs w:val="24"/>
          <w:rtl/>
        </w:rPr>
        <w:t xml:space="preserve"> </w:t>
      </w:r>
      <w:r w:rsidR="00E37A74">
        <w:rPr>
          <w:rFonts w:ascii="Simplified Arabic" w:hAnsi="Simplified Arabic" w:cs="Simplified Arabic" w:hint="cs"/>
          <w:sz w:val="24"/>
          <w:szCs w:val="24"/>
          <w:rtl/>
        </w:rPr>
        <w:t>اقل</w:t>
      </w:r>
      <w:r w:rsidR="002A686B" w:rsidRPr="0030761A">
        <w:rPr>
          <w:rFonts w:ascii="Simplified Arabic" w:hAnsi="Simplified Arabic" w:cs="Simplified Arabic" w:hint="cs"/>
          <w:sz w:val="24"/>
          <w:szCs w:val="24"/>
          <w:rtl/>
        </w:rPr>
        <w:t>،</w:t>
      </w:r>
      <w:r w:rsidR="002A686B" w:rsidRPr="004974A0">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 xml:space="preserve">كلما </w:t>
      </w:r>
      <w:r w:rsidR="00EC1099">
        <w:rPr>
          <w:rFonts w:ascii="Simplified Arabic" w:hAnsi="Simplified Arabic" w:cs="Simplified Arabic" w:hint="cs"/>
          <w:sz w:val="24"/>
          <w:szCs w:val="24"/>
          <w:rtl/>
        </w:rPr>
        <w:t xml:space="preserve">تحقق </w:t>
      </w:r>
      <w:r w:rsidR="002A686B">
        <w:rPr>
          <w:rFonts w:ascii="Simplified Arabic" w:hAnsi="Simplified Arabic" w:cs="Simplified Arabic" w:hint="cs"/>
          <w:sz w:val="24"/>
          <w:szCs w:val="24"/>
          <w:rtl/>
        </w:rPr>
        <w:t>الوصول الى الاتصال</w:t>
      </w:r>
      <w:r w:rsidR="002A686B" w:rsidRPr="004974A0">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المرغوب فيه</w:t>
      </w:r>
      <w:r w:rsidR="002A686B" w:rsidRPr="004974A0">
        <w:rPr>
          <w:rFonts w:ascii="Simplified Arabic" w:hAnsi="Simplified Arabic" w:cs="Simplified Arabic"/>
          <w:sz w:val="24"/>
          <w:szCs w:val="24"/>
          <w:rtl/>
        </w:rPr>
        <w:t xml:space="preserve"> </w:t>
      </w:r>
      <w:r w:rsidR="00276D01" w:rsidRPr="005D1105">
        <w:rPr>
          <w:rFonts w:asciiTheme="majorBidi" w:hAnsiTheme="majorBidi" w:cstheme="majorBidi"/>
          <w:sz w:val="24"/>
          <w:szCs w:val="24"/>
        </w:rPr>
        <w:t>(</w:t>
      </w:r>
      <w:r w:rsidR="00276D01" w:rsidRPr="00157C4E">
        <w:rPr>
          <w:rFonts w:asciiTheme="majorBidi" w:hAnsiTheme="majorBidi" w:cstheme="majorBidi"/>
          <w:sz w:val="24"/>
          <w:szCs w:val="24"/>
        </w:rPr>
        <w:t>Bobkova</w:t>
      </w:r>
      <w:r w:rsidR="00276D01" w:rsidRPr="005D1105">
        <w:rPr>
          <w:rFonts w:asciiTheme="majorBidi" w:hAnsiTheme="majorBidi" w:cstheme="majorBidi"/>
          <w:sz w:val="24"/>
          <w:szCs w:val="24"/>
        </w:rPr>
        <w:t xml:space="preserve"> et al., 2017)</w:t>
      </w:r>
      <w:r w:rsidR="00276D01">
        <w:rPr>
          <w:rFonts w:ascii="Simplified Arabic" w:hAnsi="Simplified Arabic" w:cs="Simplified Arabic" w:hint="cs"/>
          <w:sz w:val="24"/>
          <w:szCs w:val="24"/>
          <w:rtl/>
        </w:rPr>
        <w:t>.</w:t>
      </w:r>
    </w:p>
    <w:p w:rsidR="002A686B" w:rsidRPr="00DB3124" w:rsidRDefault="002A686B" w:rsidP="00C2564A">
      <w:pPr>
        <w:bidi/>
        <w:spacing w:after="0"/>
        <w:ind w:firstLine="283"/>
        <w:jc w:val="both"/>
        <w:rPr>
          <w:rFonts w:ascii="Simplified Arabic" w:hAnsi="Simplified Arabic" w:cs="Simplified Arabic"/>
          <w:sz w:val="24"/>
          <w:szCs w:val="24"/>
        </w:rPr>
      </w:pPr>
      <w:r w:rsidRPr="008225EB">
        <w:rPr>
          <w:rFonts w:ascii="Simplified Arabic" w:hAnsi="Simplified Arabic" w:cs="Simplified Arabic"/>
          <w:color w:val="000000" w:themeColor="text1"/>
          <w:sz w:val="24"/>
          <w:szCs w:val="24"/>
          <w:rtl/>
          <w:lang w:val="en-US"/>
        </w:rPr>
        <w:t xml:space="preserve">يتم حساب </w:t>
      </w:r>
      <w:r w:rsidRPr="008225EB">
        <w:rPr>
          <w:rFonts w:ascii="Simplified Arabic" w:hAnsi="Simplified Arabic" w:cs="Simplified Arabic" w:hint="cs"/>
          <w:color w:val="000000" w:themeColor="text1"/>
          <w:sz w:val="24"/>
          <w:szCs w:val="24"/>
          <w:rtl/>
          <w:lang w:val="en-US"/>
        </w:rPr>
        <w:t>اتصال</w:t>
      </w:r>
      <w:r w:rsidRPr="008225EB">
        <w:rPr>
          <w:rFonts w:ascii="Simplified Arabic" w:hAnsi="Simplified Arabic" w:cs="Simplified Arabic"/>
          <w:color w:val="000000" w:themeColor="text1"/>
          <w:sz w:val="24"/>
          <w:szCs w:val="24"/>
          <w:rtl/>
          <w:lang w:val="en-US"/>
        </w:rPr>
        <w:t xml:space="preserve"> الشبكة باستخدام</w:t>
      </w:r>
      <w:r w:rsidRPr="00065B75">
        <w:rPr>
          <w:rFonts w:asciiTheme="majorBidi" w:hAnsiTheme="majorBidi"/>
          <w:sz w:val="24"/>
          <w:szCs w:val="24"/>
          <w:rtl/>
        </w:rPr>
        <w:t xml:space="preserve"> </w:t>
      </w:r>
      <w:r w:rsidRPr="00065B75">
        <w:rPr>
          <w:rFonts w:asciiTheme="majorBidi" w:hAnsiTheme="majorBidi" w:cstheme="majorBidi" w:hint="cs"/>
          <w:sz w:val="24"/>
          <w:szCs w:val="24"/>
          <w:rtl/>
        </w:rPr>
        <w:t>2010</w:t>
      </w:r>
      <w:r w:rsidRPr="00065B75">
        <w:rPr>
          <w:rFonts w:asciiTheme="majorBidi" w:hAnsiTheme="majorBidi" w:cstheme="majorBidi"/>
          <w:sz w:val="24"/>
          <w:szCs w:val="24"/>
        </w:rPr>
        <w:t xml:space="preserve">Microsoft Excel </w:t>
      </w:r>
      <w:r w:rsidRPr="00065B75">
        <w:rPr>
          <w:rFonts w:ascii="Simplified Arabic" w:hAnsi="Simplified Arabic" w:cs="Simplified Arabic" w:hint="cs"/>
          <w:sz w:val="24"/>
          <w:szCs w:val="24"/>
          <w:rtl/>
        </w:rPr>
        <w:t xml:space="preserve">، </w:t>
      </w:r>
      <w:r w:rsidRPr="00065B75">
        <w:rPr>
          <w:rFonts w:ascii="Simplified Arabic" w:hAnsi="Simplified Arabic" w:cs="Simplified Arabic" w:hint="cs"/>
          <w:sz w:val="24"/>
          <w:szCs w:val="24"/>
          <w:rtl/>
          <w:lang w:bidi="ar-DZ"/>
        </w:rPr>
        <w:t>بعد</w:t>
      </w:r>
      <w:r w:rsidRPr="00065B75">
        <w:rPr>
          <w:rFonts w:ascii="Simplified Arabic" w:hAnsi="Simplified Arabic" w:cs="Simplified Arabic"/>
          <w:sz w:val="24"/>
          <w:szCs w:val="24"/>
          <w:rtl/>
          <w:lang w:bidi="ar-DZ"/>
        </w:rPr>
        <w:t xml:space="preserve"> </w:t>
      </w:r>
      <w:r w:rsidRPr="00065B75">
        <w:rPr>
          <w:rFonts w:ascii="Simplified Arabic" w:hAnsi="Simplified Arabic" w:cs="Simplified Arabic" w:hint="cs"/>
          <w:sz w:val="24"/>
          <w:szCs w:val="24"/>
          <w:rtl/>
          <w:lang w:bidi="ar-DZ"/>
        </w:rPr>
        <w:t>تصدير</w:t>
      </w:r>
      <w:r w:rsidRPr="00065B75">
        <w:rPr>
          <w:rFonts w:ascii="Simplified Arabic" w:hAnsi="Simplified Arabic" w:cs="Simplified Arabic"/>
          <w:sz w:val="24"/>
          <w:szCs w:val="24"/>
          <w:rtl/>
          <w:lang w:bidi="ar-DZ"/>
        </w:rPr>
        <w:t xml:space="preserve"> </w:t>
      </w:r>
      <w:r w:rsidRPr="00065B75">
        <w:rPr>
          <w:rFonts w:ascii="Simplified Arabic" w:hAnsi="Simplified Arabic" w:cs="Simplified Arabic" w:hint="cs"/>
          <w:sz w:val="24"/>
          <w:szCs w:val="24"/>
          <w:rtl/>
          <w:lang w:bidi="ar-DZ"/>
        </w:rPr>
        <w:t>جداول</w:t>
      </w:r>
      <w:r w:rsidRPr="00065B75">
        <w:rPr>
          <w:rFonts w:ascii="Simplified Arabic" w:hAnsi="Simplified Arabic" w:cs="Simplified Arabic"/>
          <w:sz w:val="24"/>
          <w:szCs w:val="24"/>
          <w:rtl/>
          <w:lang w:bidi="ar-DZ"/>
        </w:rPr>
        <w:t xml:space="preserve"> </w:t>
      </w:r>
      <w:r w:rsidRPr="00065B75">
        <w:rPr>
          <w:rFonts w:ascii="Simplified Arabic" w:hAnsi="Simplified Arabic" w:cs="Simplified Arabic" w:hint="cs"/>
          <w:sz w:val="24"/>
          <w:szCs w:val="24"/>
          <w:rtl/>
          <w:lang w:bidi="ar-DZ"/>
        </w:rPr>
        <w:t>البيانات</w:t>
      </w:r>
      <w:r w:rsidRPr="00065B75">
        <w:rPr>
          <w:rFonts w:ascii="Simplified Arabic" w:hAnsi="Simplified Arabic" w:cs="Simplified Arabic"/>
          <w:sz w:val="24"/>
          <w:szCs w:val="24"/>
          <w:rtl/>
          <w:lang w:bidi="ar-DZ"/>
        </w:rPr>
        <w:t xml:space="preserve"> </w:t>
      </w:r>
      <w:r w:rsidRPr="00065B75">
        <w:rPr>
          <w:rFonts w:ascii="Simplified Arabic" w:hAnsi="Simplified Arabic" w:cs="Simplified Arabic" w:hint="cs"/>
          <w:sz w:val="24"/>
          <w:szCs w:val="24"/>
          <w:rtl/>
          <w:lang w:bidi="ar-DZ"/>
        </w:rPr>
        <w:t>المرتبطة</w:t>
      </w:r>
      <w:r w:rsidRPr="00065B75">
        <w:rPr>
          <w:rFonts w:ascii="Simplified Arabic" w:hAnsi="Simplified Arabic" w:cs="Simplified Arabic"/>
          <w:sz w:val="24"/>
          <w:szCs w:val="24"/>
          <w:rtl/>
          <w:lang w:bidi="ar-DZ"/>
        </w:rPr>
        <w:t xml:space="preserve"> </w:t>
      </w:r>
      <w:r w:rsidRPr="00065B75">
        <w:rPr>
          <w:rFonts w:ascii="Simplified Arabic" w:hAnsi="Simplified Arabic" w:cs="Simplified Arabic" w:hint="cs"/>
          <w:sz w:val="24"/>
          <w:szCs w:val="24"/>
          <w:rtl/>
          <w:lang w:bidi="ar-DZ"/>
        </w:rPr>
        <w:t>ب</w:t>
      </w:r>
      <w:r w:rsidR="00F43011">
        <w:rPr>
          <w:rFonts w:ascii="Simplified Arabic" w:hAnsi="Simplified Arabic" w:cs="Simplified Arabic" w:hint="cs"/>
          <w:sz w:val="24"/>
          <w:szCs w:val="24"/>
          <w:rtl/>
          <w:lang w:val="en-US" w:bidi="ar-DZ"/>
        </w:rPr>
        <w:t xml:space="preserve">عمق </w:t>
      </w:r>
      <w:r w:rsidRPr="00065B75">
        <w:rPr>
          <w:rFonts w:ascii="Simplified Arabic" w:hAnsi="Simplified Arabic" w:cs="Simplified Arabic" w:hint="cs"/>
          <w:sz w:val="24"/>
          <w:szCs w:val="24"/>
          <w:rtl/>
          <w:lang w:bidi="ar-DZ"/>
        </w:rPr>
        <w:t xml:space="preserve">الطرق </w:t>
      </w:r>
      <w:r w:rsidRPr="00A96441">
        <w:rPr>
          <w:rFonts w:ascii="Simplified Arabic" w:hAnsi="Simplified Arabic" w:cs="Simplified Arabic" w:hint="cs"/>
          <w:sz w:val="24"/>
          <w:szCs w:val="24"/>
          <w:rtl/>
          <w:lang w:bidi="ar-DZ"/>
        </w:rPr>
        <w:t xml:space="preserve">الرئيسي والثانوي </w:t>
      </w:r>
      <w:r>
        <w:rPr>
          <w:rFonts w:ascii="Simplified Arabic" w:hAnsi="Simplified Arabic" w:cs="Simplified Arabic" w:hint="cs"/>
          <w:sz w:val="24"/>
          <w:szCs w:val="24"/>
          <w:rtl/>
          <w:lang w:bidi="ar-DZ"/>
        </w:rPr>
        <w:t xml:space="preserve">التي تمر عبر الحي السكني </w:t>
      </w:r>
      <w:r w:rsidRPr="00065B75">
        <w:rPr>
          <w:rFonts w:ascii="Simplified Arabic" w:hAnsi="Simplified Arabic" w:cs="Simplified Arabic" w:hint="cs"/>
          <w:sz w:val="24"/>
          <w:szCs w:val="24"/>
          <w:rtl/>
          <w:lang w:bidi="ar-DZ"/>
        </w:rPr>
        <w:t>لكل</w:t>
      </w:r>
      <w:r w:rsidRPr="00065B75">
        <w:rPr>
          <w:rFonts w:ascii="Simplified Arabic" w:hAnsi="Simplified Arabic" w:cs="Simplified Arabic"/>
          <w:sz w:val="24"/>
          <w:szCs w:val="24"/>
          <w:rtl/>
          <w:lang w:bidi="ar-DZ"/>
        </w:rPr>
        <w:t xml:space="preserve"> </w:t>
      </w:r>
      <w:r w:rsidRPr="00065B75">
        <w:rPr>
          <w:rFonts w:ascii="Simplified Arabic" w:hAnsi="Simplified Arabic" w:cs="Simplified Arabic" w:hint="cs"/>
          <w:sz w:val="24"/>
          <w:szCs w:val="24"/>
          <w:rtl/>
          <w:lang w:bidi="ar-DZ"/>
        </w:rPr>
        <w:t>فئة من فئات النسيج الحضري</w:t>
      </w:r>
      <w:r w:rsidRPr="00065B75">
        <w:rPr>
          <w:rFonts w:ascii="Simplified Arabic" w:hAnsi="Simplified Arabic" w:cs="Simplified Arabic"/>
          <w:sz w:val="24"/>
          <w:szCs w:val="24"/>
          <w:rtl/>
          <w:lang w:bidi="ar-DZ"/>
        </w:rPr>
        <w:t>.</w:t>
      </w:r>
      <w:r w:rsidRPr="00065B75">
        <w:rPr>
          <w:rFonts w:ascii="Simplified Arabic" w:hAnsi="Simplified Arabic" w:cs="Simplified Arabic" w:hint="cs"/>
          <w:sz w:val="24"/>
          <w:szCs w:val="24"/>
          <w:rtl/>
          <w:lang w:bidi="ar-DZ"/>
        </w:rPr>
        <w:t xml:space="preserve"> </w:t>
      </w:r>
    </w:p>
    <w:p w:rsidR="002A686B" w:rsidRDefault="002A686B" w:rsidP="005D7A23">
      <w:pPr>
        <w:pStyle w:val="fegure"/>
        <w:rPr>
          <w:szCs w:val="24"/>
          <w:rtl/>
        </w:rPr>
      </w:pPr>
      <w:bookmarkStart w:id="819" w:name="_Toc157608361"/>
      <w:bookmarkStart w:id="820" w:name="_Toc171803796"/>
      <w:r w:rsidRPr="0089158C">
        <w:rPr>
          <w:rFonts w:hint="cs"/>
          <w:szCs w:val="24"/>
          <w:rtl/>
          <w:lang w:bidi="ar-DZ"/>
        </w:rPr>
        <w:t>الشكل</w:t>
      </w:r>
      <w:r w:rsidRPr="0089158C">
        <w:rPr>
          <w:szCs w:val="24"/>
          <w:rtl/>
          <w:lang w:bidi="ar-DZ"/>
        </w:rPr>
        <w:t xml:space="preserve"> </w:t>
      </w:r>
      <w:r w:rsidRPr="0089158C">
        <w:rPr>
          <w:rFonts w:hint="cs"/>
          <w:szCs w:val="24"/>
          <w:rtl/>
          <w:lang w:bidi="ar-DZ"/>
        </w:rPr>
        <w:t>(6-</w:t>
      </w:r>
      <w:r w:rsidR="0089158C" w:rsidRPr="0089158C">
        <w:rPr>
          <w:rFonts w:hint="cs"/>
          <w:szCs w:val="24"/>
          <w:rtl/>
          <w:lang w:bidi="ar-DZ"/>
        </w:rPr>
        <w:t>10</w:t>
      </w:r>
      <w:r w:rsidRPr="0089158C">
        <w:rPr>
          <w:rFonts w:hint="cs"/>
          <w:szCs w:val="24"/>
          <w:rtl/>
          <w:lang w:bidi="ar-DZ"/>
        </w:rPr>
        <w:t>)</w:t>
      </w:r>
      <w:r w:rsidRPr="0089158C">
        <w:rPr>
          <w:szCs w:val="24"/>
          <w:rtl/>
          <w:lang w:bidi="ar-DZ"/>
        </w:rPr>
        <w:t xml:space="preserve"> </w:t>
      </w:r>
      <w:r w:rsidRPr="0089158C">
        <w:rPr>
          <w:rFonts w:hint="cs"/>
          <w:szCs w:val="24"/>
          <w:rtl/>
          <w:lang w:bidi="ar-DZ"/>
        </w:rPr>
        <w:t>مراحل بناء نموذج</w:t>
      </w:r>
      <w:r w:rsidRPr="0089158C">
        <w:rPr>
          <w:szCs w:val="24"/>
          <w:rtl/>
          <w:lang w:bidi="ar-DZ"/>
        </w:rPr>
        <w:t xml:space="preserve"> </w:t>
      </w:r>
      <w:r w:rsidRPr="0089158C">
        <w:rPr>
          <w:rFonts w:hint="cs"/>
          <w:szCs w:val="24"/>
          <w:rtl/>
          <w:lang w:bidi="ar-DZ"/>
        </w:rPr>
        <w:t>مقترح ل</w:t>
      </w:r>
      <w:r w:rsidR="005D7A23">
        <w:rPr>
          <w:rFonts w:hint="cs"/>
          <w:szCs w:val="24"/>
          <w:rtl/>
          <w:lang w:bidi="ar-DZ"/>
        </w:rPr>
        <w:t>كشف</w:t>
      </w:r>
      <w:r w:rsidRPr="0089158C">
        <w:rPr>
          <w:szCs w:val="24"/>
          <w:rtl/>
          <w:lang w:bidi="ar-DZ"/>
        </w:rPr>
        <w:t xml:space="preserve"> </w:t>
      </w:r>
      <w:r w:rsidRPr="0089158C">
        <w:rPr>
          <w:rFonts w:hint="cs"/>
          <w:szCs w:val="24"/>
          <w:rtl/>
          <w:lang w:bidi="ar-DZ"/>
        </w:rPr>
        <w:t xml:space="preserve">سمة </w:t>
      </w:r>
      <w:r w:rsidRPr="0089158C">
        <w:rPr>
          <w:rFonts w:hint="cs"/>
          <w:szCs w:val="24"/>
          <w:rtl/>
        </w:rPr>
        <w:t>الاتصال</w:t>
      </w:r>
      <w:bookmarkEnd w:id="819"/>
      <w:r w:rsidR="00C23656">
        <w:rPr>
          <w:rFonts w:hint="cs"/>
          <w:szCs w:val="24"/>
          <w:rtl/>
        </w:rPr>
        <w:t>ية</w:t>
      </w:r>
      <w:bookmarkEnd w:id="820"/>
    </w:p>
    <w:p w:rsidR="001111A0" w:rsidRPr="001111A0" w:rsidRDefault="001111A0" w:rsidP="001111A0">
      <w:pPr>
        <w:pStyle w:val="fegure"/>
        <w:rPr>
          <w:sz w:val="8"/>
          <w:szCs w:val="24"/>
          <w:rtl/>
          <w:lang w:val="en-US" w:bidi="ar-DZ"/>
        </w:rPr>
      </w:pPr>
      <w:bookmarkStart w:id="821" w:name="_Toc171803797"/>
      <w:r>
        <w:rPr>
          <w:rFonts w:hint="cs"/>
          <w:sz w:val="8"/>
          <w:szCs w:val="24"/>
          <w:rtl/>
          <w:lang w:val="en-US"/>
        </w:rPr>
        <w:t>(الباحث، 2022)</w:t>
      </w:r>
      <w:bookmarkEnd w:id="821"/>
    </w:p>
    <w:p w:rsidR="002A686B" w:rsidRPr="00F82AE2" w:rsidRDefault="002A686B" w:rsidP="002A686B">
      <w:pPr>
        <w:tabs>
          <w:tab w:val="right" w:pos="567"/>
          <w:tab w:val="right" w:pos="850"/>
        </w:tabs>
        <w:autoSpaceDE w:val="0"/>
        <w:autoSpaceDN w:val="0"/>
        <w:bidi/>
        <w:adjustRightInd w:val="0"/>
        <w:spacing w:after="0" w:line="240" w:lineRule="auto"/>
        <w:jc w:val="center"/>
        <w:rPr>
          <w:rFonts w:ascii="Simplified Arabic" w:hAnsi="Simplified Arabic" w:cs="Simplified Arabic"/>
          <w:sz w:val="24"/>
          <w:szCs w:val="24"/>
          <w:rtl/>
        </w:rPr>
      </w:pPr>
      <w:r>
        <w:rPr>
          <w:noProof/>
          <w:lang w:eastAsia="fr-FR"/>
        </w:rPr>
        <w:drawing>
          <wp:inline distT="0" distB="0" distL="0" distR="0" wp14:anchorId="24762328" wp14:editId="632F6AF4">
            <wp:extent cx="4736475" cy="1897812"/>
            <wp:effectExtent l="19050" t="19050" r="26035" b="26670"/>
            <wp:docPr id="18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1">
                      <a:extLst>
                        <a:ext uri="{BEBA8EAE-BF5A-486C-A8C5-ECC9F3942E4B}">
                          <a14:imgProps xmlns:a14="http://schemas.microsoft.com/office/drawing/2010/main">
                            <a14:imgLayer r:embed="rId292">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731971" cy="1896007"/>
                    </a:xfrm>
                    <a:prstGeom prst="rect">
                      <a:avLst/>
                    </a:prstGeom>
                    <a:ln>
                      <a:solidFill>
                        <a:schemeClr val="tx1"/>
                      </a:solidFill>
                    </a:ln>
                  </pic:spPr>
                </pic:pic>
              </a:graphicData>
            </a:graphic>
          </wp:inline>
        </w:drawing>
      </w:r>
    </w:p>
    <w:p w:rsidR="002A686B" w:rsidRPr="00C2564A" w:rsidRDefault="002A686B" w:rsidP="00820396">
      <w:pPr>
        <w:pStyle w:val="Paragraphedeliste"/>
        <w:widowControl w:val="0"/>
        <w:numPr>
          <w:ilvl w:val="3"/>
          <w:numId w:val="185"/>
        </w:numPr>
        <w:tabs>
          <w:tab w:val="right" w:pos="992"/>
        </w:tabs>
        <w:autoSpaceDE w:val="0"/>
        <w:autoSpaceDN w:val="0"/>
        <w:bidi/>
        <w:adjustRightInd w:val="0"/>
        <w:spacing w:before="240" w:after="0"/>
        <w:ind w:left="0" w:firstLine="0"/>
        <w:jc w:val="both"/>
        <w:rPr>
          <w:rFonts w:ascii="Simplified Arabic" w:hAnsi="Simplified Arabic" w:cs="Simplified Arabic"/>
          <w:sz w:val="24"/>
          <w:szCs w:val="24"/>
          <w:rtl/>
        </w:rPr>
      </w:pPr>
      <w:r w:rsidRPr="00C2564A">
        <w:rPr>
          <w:rFonts w:ascii="Simplified Arabic" w:hAnsi="Simplified Arabic" w:cs="Simplified Arabic" w:hint="cs"/>
          <w:b/>
          <w:bCs/>
          <w:sz w:val="24"/>
          <w:szCs w:val="24"/>
          <w:rtl/>
        </w:rPr>
        <w:lastRenderedPageBreak/>
        <w:t>القسم الثاني:</w:t>
      </w:r>
      <w:r w:rsidRPr="00C2564A">
        <w:rPr>
          <w:rFonts w:ascii="Simplified Arabic" w:hAnsi="Simplified Arabic" w:cs="Simplified Arabic" w:hint="cs"/>
          <w:sz w:val="24"/>
          <w:szCs w:val="24"/>
          <w:rtl/>
        </w:rPr>
        <w:t xml:space="preserve"> </w:t>
      </w:r>
      <w:r w:rsidRPr="00C2564A">
        <w:rPr>
          <w:rFonts w:ascii="Simplified Arabic" w:hAnsi="Simplified Arabic" w:cs="Simplified Arabic"/>
          <w:sz w:val="24"/>
          <w:szCs w:val="24"/>
          <w:rtl/>
        </w:rPr>
        <w:t>تحديد</w:t>
      </w:r>
      <w:r w:rsidRPr="00C2564A">
        <w:rPr>
          <w:rFonts w:ascii="Simplified Arabic" w:hAnsi="Simplified Arabic" w:cs="Simplified Arabic" w:hint="cs"/>
          <w:sz w:val="24"/>
          <w:szCs w:val="24"/>
          <w:rtl/>
        </w:rPr>
        <w:t xml:space="preserve"> موقع وعدد تقاطعات الطرق الشريانية </w:t>
      </w:r>
      <w:r w:rsidR="00276D01" w:rsidRPr="00C2564A">
        <w:rPr>
          <w:rFonts w:ascii="Simplified Arabic" w:hAnsi="Simplified Arabic" w:cs="Simplified Arabic" w:hint="cs"/>
          <w:sz w:val="24"/>
          <w:szCs w:val="24"/>
          <w:rtl/>
        </w:rPr>
        <w:t>والشوارع</w:t>
      </w:r>
      <w:r w:rsidRPr="00C2564A">
        <w:rPr>
          <w:rFonts w:ascii="Simplified Arabic" w:hAnsi="Simplified Arabic" w:cs="Simplified Arabic" w:hint="cs"/>
          <w:sz w:val="24"/>
          <w:szCs w:val="24"/>
          <w:rtl/>
        </w:rPr>
        <w:t xml:space="preserve"> </w:t>
      </w:r>
      <w:r w:rsidR="00276D01" w:rsidRPr="00C2564A">
        <w:rPr>
          <w:rFonts w:ascii="Simplified Arabic" w:hAnsi="Simplified Arabic" w:cs="Simplified Arabic" w:hint="cs"/>
          <w:sz w:val="24"/>
          <w:szCs w:val="24"/>
          <w:rtl/>
        </w:rPr>
        <w:t xml:space="preserve">عبر احياء مدينة بوسعادة: </w:t>
      </w:r>
      <w:r w:rsidR="00276D01" w:rsidRPr="00C2564A">
        <w:rPr>
          <w:rFonts w:ascii="Simplified Arabic" w:eastAsia="Times New Roman" w:hAnsi="Simplified Arabic" w:cs="Simplified Arabic" w:hint="cs"/>
          <w:color w:val="000000"/>
          <w:sz w:val="24"/>
          <w:szCs w:val="24"/>
          <w:rtl/>
          <w:lang w:eastAsia="fr-FR"/>
        </w:rPr>
        <w:t>القصر،</w:t>
      </w:r>
      <w:r w:rsidR="00276D01" w:rsidRPr="00C2564A">
        <w:rPr>
          <w:rFonts w:ascii="Simplified Arabic" w:hAnsi="Simplified Arabic" w:cs="Simplified Arabic" w:hint="cs"/>
          <w:sz w:val="24"/>
          <w:szCs w:val="24"/>
          <w:rtl/>
        </w:rPr>
        <w:t xml:space="preserve"> </w:t>
      </w:r>
      <w:r w:rsidR="00276D01" w:rsidRPr="00C2564A">
        <w:rPr>
          <w:rFonts w:ascii="Simplified Arabic" w:eastAsia="Times New Roman" w:hAnsi="Simplified Arabic" w:cs="Simplified Arabic"/>
          <w:color w:val="000000"/>
          <w:sz w:val="24"/>
          <w:szCs w:val="24"/>
          <w:rtl/>
          <w:lang w:eastAsia="fr-FR"/>
        </w:rPr>
        <w:t>بلاتو</w:t>
      </w:r>
      <w:r w:rsidR="00276D01" w:rsidRPr="00C2564A">
        <w:rPr>
          <w:rFonts w:ascii="Simplified Arabic" w:eastAsia="Times New Roman" w:hAnsi="Simplified Arabic" w:cs="Simplified Arabic" w:hint="cs"/>
          <w:color w:val="000000"/>
          <w:sz w:val="24"/>
          <w:szCs w:val="24"/>
          <w:rtl/>
          <w:lang w:eastAsia="fr-FR"/>
        </w:rPr>
        <w:t>،</w:t>
      </w:r>
      <w:r w:rsidR="00276D01" w:rsidRPr="00C2564A">
        <w:rPr>
          <w:rFonts w:ascii="Simplified Arabic" w:hAnsi="Simplified Arabic" w:cs="Simplified Arabic" w:hint="cs"/>
          <w:sz w:val="24"/>
          <w:szCs w:val="24"/>
          <w:rtl/>
        </w:rPr>
        <w:t xml:space="preserve"> </w:t>
      </w:r>
      <w:r w:rsidR="00276D01" w:rsidRPr="00C2564A">
        <w:rPr>
          <w:rFonts w:ascii="Simplified Arabic" w:eastAsia="Times New Roman" w:hAnsi="Simplified Arabic" w:cs="Simplified Arabic"/>
          <w:color w:val="000000"/>
          <w:sz w:val="24"/>
          <w:szCs w:val="24"/>
          <w:rtl/>
          <w:lang w:eastAsia="fr-FR"/>
        </w:rPr>
        <w:t>سيدي سليمان</w:t>
      </w:r>
      <w:r w:rsidR="00276D01" w:rsidRPr="00C2564A">
        <w:rPr>
          <w:rFonts w:ascii="Simplified Arabic" w:hAnsi="Simplified Arabic" w:cs="Simplified Arabic" w:hint="cs"/>
          <w:sz w:val="24"/>
          <w:szCs w:val="24"/>
          <w:rtl/>
        </w:rPr>
        <w:t xml:space="preserve"> و</w:t>
      </w:r>
      <w:r w:rsidR="00276D01" w:rsidRPr="00C2564A">
        <w:rPr>
          <w:rFonts w:ascii="Simplified Arabic" w:eastAsia="Times New Roman" w:hAnsi="Simplified Arabic" w:cs="Simplified Arabic"/>
          <w:color w:val="000000"/>
          <w:sz w:val="24"/>
          <w:szCs w:val="24"/>
          <w:rtl/>
          <w:lang w:eastAsia="fr-FR"/>
        </w:rPr>
        <w:t>الحمايد</w:t>
      </w:r>
      <w:r w:rsidR="00276D01" w:rsidRPr="00C2564A">
        <w:rPr>
          <w:rFonts w:ascii="Simplified Arabic" w:eastAsia="Times New Roman" w:hAnsi="Simplified Arabic" w:cs="Simplified Arabic" w:hint="cs"/>
          <w:color w:val="000000"/>
          <w:sz w:val="24"/>
          <w:szCs w:val="24"/>
          <w:rtl/>
          <w:lang w:eastAsia="fr-FR"/>
        </w:rPr>
        <w:t>،</w:t>
      </w:r>
      <w:r w:rsidR="00276D01" w:rsidRPr="00C2564A">
        <w:rPr>
          <w:rFonts w:ascii="Simplified Arabic" w:hAnsi="Simplified Arabic" w:cs="Simplified Arabic" w:hint="cs"/>
          <w:sz w:val="24"/>
          <w:szCs w:val="24"/>
          <w:rtl/>
        </w:rPr>
        <w:t xml:space="preserve"> على اساس</w:t>
      </w:r>
      <w:r w:rsidR="00276D01" w:rsidRPr="00C2564A">
        <w:rPr>
          <w:rFonts w:ascii="Simplified Arabic" w:hAnsi="Simplified Arabic" w:cs="Simplified Arabic" w:hint="cs"/>
          <w:sz w:val="24"/>
          <w:szCs w:val="24"/>
          <w:rtl/>
          <w:lang w:bidi="ar-DZ"/>
        </w:rPr>
        <w:t xml:space="preserve"> </w:t>
      </w:r>
      <w:r w:rsidRPr="00C2564A">
        <w:rPr>
          <w:rFonts w:ascii="Simplified Arabic" w:hAnsi="Simplified Arabic" w:cs="Simplified Arabic" w:hint="cs"/>
          <w:sz w:val="24"/>
          <w:szCs w:val="24"/>
          <w:rtl/>
        </w:rPr>
        <w:t>مقياس عددي ضمن القيمة المعيارية النظرية المحددة في الجدول (6-</w:t>
      </w:r>
      <w:r w:rsidR="00B24A3A" w:rsidRPr="00C2564A">
        <w:rPr>
          <w:rFonts w:ascii="Simplified Arabic" w:hAnsi="Simplified Arabic" w:cs="Simplified Arabic"/>
          <w:sz w:val="24"/>
          <w:szCs w:val="24"/>
        </w:rPr>
        <w:t>3</w:t>
      </w:r>
      <w:r w:rsidRPr="00C2564A">
        <w:rPr>
          <w:rFonts w:ascii="Simplified Arabic" w:hAnsi="Simplified Arabic" w:cs="Simplified Arabic" w:hint="cs"/>
          <w:sz w:val="24"/>
          <w:szCs w:val="24"/>
          <w:rtl/>
        </w:rPr>
        <w:t>). الغاية من ذلك الكشف عن سمة التكرار للمرونة المكانية على مستوى كل فئة من فئات النسيج الحضري. تم</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تحديد</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عدد</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التقاطعات</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المتاخمة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للكتلة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عن</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طريق</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صب</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حاجز</w:t>
      </w:r>
      <w:r w:rsidRPr="00C2564A">
        <w:rPr>
          <w:rFonts w:ascii="Simplified Arabic" w:hAnsi="Simplified Arabic" w:cs="Simplified Arabic"/>
          <w:sz w:val="24"/>
          <w:szCs w:val="24"/>
          <w:rtl/>
        </w:rPr>
        <w:t xml:space="preserve"> 30 </w:t>
      </w:r>
      <w:r w:rsidRPr="00C2564A">
        <w:rPr>
          <w:rFonts w:ascii="Simplified Arabic" w:hAnsi="Simplified Arabic" w:cs="Simplified Arabic" w:hint="cs"/>
          <w:sz w:val="24"/>
          <w:szCs w:val="24"/>
          <w:rtl/>
        </w:rPr>
        <w:t>مترًا</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حول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كل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مضلع</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كتلة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وحساب</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عدد</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العقد</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التي</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تقع</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داخل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المخزن</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المؤقت</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يتم</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حساب</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مقاييس</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اتصال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الشبكة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الم</w:t>
      </w:r>
      <w:r w:rsidR="00BF42ED" w:rsidRPr="00C2564A">
        <w:rPr>
          <w:rFonts w:ascii="Simplified Arabic" w:hAnsi="Simplified Arabic" w:cs="Simplified Arabic" w:hint="cs"/>
          <w:sz w:val="24"/>
          <w:szCs w:val="24"/>
          <w:rtl/>
        </w:rPr>
        <w:t>توافقة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كثافة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العقدة،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كثافة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الش</w:t>
      </w:r>
      <w:r w:rsidR="008A4C45" w:rsidRPr="00C2564A">
        <w:rPr>
          <w:rFonts w:ascii="Simplified Arabic" w:hAnsi="Simplified Arabic" w:cs="Simplified Arabic" w:hint="cs"/>
          <w:sz w:val="24"/>
          <w:szCs w:val="24"/>
          <w:rtl/>
        </w:rPr>
        <w:t>و</w:t>
      </w:r>
      <w:r w:rsidRPr="00C2564A">
        <w:rPr>
          <w:rFonts w:ascii="Simplified Arabic" w:hAnsi="Simplified Arabic" w:cs="Simplified Arabic" w:hint="cs"/>
          <w:sz w:val="24"/>
          <w:szCs w:val="24"/>
          <w:rtl/>
        </w:rPr>
        <w:t>ارع،</w:t>
      </w:r>
      <w:r w:rsidRPr="00C2564A">
        <w:rPr>
          <w:rFonts w:ascii="Simplified Arabic" w:hAnsi="Simplified Arabic" w:cs="Simplified Arabic"/>
          <w:sz w:val="24"/>
          <w:szCs w:val="24"/>
          <w:rtl/>
        </w:rPr>
        <w:t xml:space="preserve"> </w:t>
      </w:r>
      <w:r w:rsidR="008A4C45" w:rsidRPr="00C2564A">
        <w:rPr>
          <w:rFonts w:ascii="Simplified Arabic" w:hAnsi="Simplified Arabic" w:cs="Simplified Arabic" w:hint="cs"/>
          <w:sz w:val="24"/>
          <w:szCs w:val="24"/>
          <w:rtl/>
          <w:lang w:val="en-US" w:bidi="ar-DZ"/>
        </w:rPr>
        <w:t>نسبة</w:t>
      </w:r>
      <w:r w:rsidR="008A4C45" w:rsidRPr="00C2564A">
        <w:rPr>
          <w:rFonts w:ascii="Simplified Arabic" w:hAnsi="Simplified Arabic" w:cs="Simplified Arabic"/>
          <w:sz w:val="24"/>
          <w:szCs w:val="24"/>
          <w:rtl/>
          <w:lang w:val="en-US" w:bidi="ar-DZ"/>
        </w:rPr>
        <w:t xml:space="preserve"> </w:t>
      </w:r>
      <w:r w:rsidR="00AA7E5E">
        <w:rPr>
          <w:rFonts w:ascii="Simplified Arabic" w:hAnsi="Simplified Arabic" w:cs="Simplified Arabic" w:hint="cs"/>
          <w:sz w:val="24"/>
          <w:szCs w:val="24"/>
          <w:rtl/>
          <w:lang w:val="en-US" w:bidi="ar-DZ"/>
        </w:rPr>
        <w:t>ربط</w:t>
      </w:r>
      <w:r w:rsidR="008A4C45" w:rsidRPr="00C2564A">
        <w:rPr>
          <w:rFonts w:ascii="Simplified Arabic" w:hAnsi="Simplified Arabic" w:cs="Simplified Arabic" w:hint="cs"/>
          <w:sz w:val="24"/>
          <w:szCs w:val="24"/>
          <w:rtl/>
          <w:lang w:val="en-US" w:bidi="ar-DZ"/>
        </w:rPr>
        <w:t>-العقد</w:t>
      </w:r>
      <w:r w:rsidRPr="00C2564A">
        <w:rPr>
          <w:rFonts w:ascii="Simplified Arabic" w:hAnsi="Simplified Arabic" w:cs="Simplified Arabic" w:hint="cs"/>
          <w:sz w:val="24"/>
          <w:szCs w:val="24"/>
          <w:rtl/>
        </w:rPr>
        <w:t>،</w:t>
      </w:r>
      <w:r w:rsidRPr="00C2564A">
        <w:rPr>
          <w:rFonts w:ascii="Simplified Arabic" w:hAnsi="Simplified Arabic" w:cs="Simplified Arabic"/>
          <w:sz w:val="24"/>
          <w:szCs w:val="24"/>
          <w:rtl/>
        </w:rPr>
        <w:t xml:space="preserve"> </w:t>
      </w:r>
      <w:r w:rsidR="008A4C45" w:rsidRPr="00C2564A">
        <w:rPr>
          <w:rFonts w:ascii="Simplified Arabic" w:hAnsi="Simplified Arabic" w:cs="Simplified Arabic" w:hint="cs"/>
          <w:sz w:val="24"/>
          <w:szCs w:val="24"/>
          <w:rtl/>
          <w:lang w:val="en-US" w:bidi="ar-DZ"/>
        </w:rPr>
        <w:t>نسبة</w:t>
      </w:r>
      <w:r w:rsidR="008A4C45" w:rsidRPr="00C2564A">
        <w:rPr>
          <w:rFonts w:ascii="Simplified Arabic" w:hAnsi="Simplified Arabic" w:cs="Simplified Arabic"/>
          <w:sz w:val="24"/>
          <w:szCs w:val="24"/>
          <w:rtl/>
          <w:lang w:val="en-US" w:bidi="ar-DZ"/>
        </w:rPr>
        <w:t xml:space="preserve"> </w:t>
      </w:r>
      <w:r w:rsidR="008A4C45" w:rsidRPr="00C2564A">
        <w:rPr>
          <w:rFonts w:ascii="Simplified Arabic" w:hAnsi="Simplified Arabic" w:cs="Simplified Arabic" w:hint="cs"/>
          <w:sz w:val="24"/>
          <w:szCs w:val="24"/>
          <w:rtl/>
          <w:lang w:val="en-US" w:bidi="ar-DZ"/>
        </w:rPr>
        <w:t>العقد</w:t>
      </w:r>
      <w:r w:rsidR="008A4C45" w:rsidRPr="00C2564A">
        <w:rPr>
          <w:rFonts w:ascii="Simplified Arabic" w:hAnsi="Simplified Arabic" w:cs="Simplified Arabic"/>
          <w:sz w:val="24"/>
          <w:szCs w:val="24"/>
          <w:rtl/>
          <w:lang w:val="en-US" w:bidi="ar-DZ"/>
        </w:rPr>
        <w:t xml:space="preserve"> </w:t>
      </w:r>
      <w:r w:rsidR="008A4C45" w:rsidRPr="00C2564A">
        <w:rPr>
          <w:rFonts w:ascii="Simplified Arabic" w:hAnsi="Simplified Arabic" w:cs="Simplified Arabic" w:hint="cs"/>
          <w:sz w:val="24"/>
          <w:szCs w:val="24"/>
          <w:rtl/>
          <w:lang w:val="en-US" w:bidi="ar-DZ"/>
        </w:rPr>
        <w:t>الموصولة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باستخدام</w:t>
      </w:r>
      <w:r w:rsidRPr="00C2564A">
        <w:rPr>
          <w:rFonts w:ascii="Simplified Arabic" w:hAnsi="Simplified Arabic" w:cs="Simplified Arabic"/>
          <w:sz w:val="24"/>
          <w:szCs w:val="24"/>
          <w:rtl/>
        </w:rPr>
        <w:t xml:space="preserve"> </w:t>
      </w:r>
      <w:r w:rsidRPr="00C2564A">
        <w:rPr>
          <w:rFonts w:asciiTheme="majorBidi" w:hAnsiTheme="majorBidi" w:cstheme="majorBidi"/>
          <w:sz w:val="24"/>
          <w:szCs w:val="24"/>
        </w:rPr>
        <w:t xml:space="preserve">Microsoft Excel </w:t>
      </w:r>
      <w:r w:rsidR="008A4C45" w:rsidRPr="00C2564A">
        <w:rPr>
          <w:rFonts w:asciiTheme="majorBidi" w:hAnsiTheme="majorBidi" w:cstheme="majorBidi"/>
          <w:sz w:val="24"/>
          <w:szCs w:val="24"/>
        </w:rPr>
        <w:t>2010</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بعد</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تصدير</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جداول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السمات</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المرتبطة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بأجزاء</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الشارع</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وتقاطعات</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الشوارع</w:t>
      </w:r>
      <w:r w:rsidRPr="00C2564A">
        <w:rPr>
          <w:rFonts w:ascii="Simplified Arabic" w:hAnsi="Simplified Arabic" w:cs="Simplified Arabic"/>
          <w:sz w:val="24"/>
          <w:szCs w:val="24"/>
          <w:rtl/>
        </w:rPr>
        <w:t xml:space="preserve"> </w:t>
      </w:r>
      <w:r w:rsidR="00E37A74" w:rsidRPr="00C2564A">
        <w:rPr>
          <w:rFonts w:ascii="Simplified Arabic" w:hAnsi="Simplified Arabic" w:cs="Simplified Arabic" w:hint="cs"/>
          <w:sz w:val="24"/>
          <w:szCs w:val="24"/>
          <w:rtl/>
        </w:rPr>
        <w:t>لكل</w:t>
      </w:r>
      <w:r w:rsidR="00E37A74" w:rsidRPr="00C2564A">
        <w:rPr>
          <w:rFonts w:ascii="Simplified Arabic" w:hAnsi="Simplified Arabic" w:cs="Simplified Arabic"/>
          <w:sz w:val="24"/>
          <w:szCs w:val="24"/>
          <w:rtl/>
        </w:rPr>
        <w:t xml:space="preserve"> </w:t>
      </w:r>
      <w:r w:rsidR="00E37A74" w:rsidRPr="00C2564A">
        <w:rPr>
          <w:rFonts w:ascii="Simplified Arabic" w:hAnsi="Simplified Arabic" w:cs="Simplified Arabic" w:hint="cs"/>
          <w:sz w:val="24"/>
          <w:szCs w:val="24"/>
          <w:rtl/>
        </w:rPr>
        <w:t>فئة من فئات النسيج الحضري</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تم</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تقدير</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التشابك</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المحلي</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التكرار</w:t>
      </w:r>
      <w:r w:rsidRPr="00C2564A">
        <w:rPr>
          <w:rFonts w:ascii="Simplified Arabic" w:hAnsi="Simplified Arabic" w:cs="Simplified Arabic"/>
          <w:sz w:val="24"/>
          <w:szCs w:val="24"/>
          <w:rtl/>
        </w:rPr>
        <w:t xml:space="preserve">) </w:t>
      </w:r>
      <w:r w:rsidR="008A4C45" w:rsidRPr="00C2564A">
        <w:rPr>
          <w:rFonts w:ascii="Simplified Arabic" w:hAnsi="Simplified Arabic" w:cs="Simplified Arabic" w:hint="cs"/>
          <w:sz w:val="24"/>
          <w:szCs w:val="24"/>
          <w:rtl/>
        </w:rPr>
        <w:t>لكل</w:t>
      </w:r>
      <w:r w:rsidR="008A4C45" w:rsidRPr="00C2564A">
        <w:rPr>
          <w:rFonts w:ascii="Simplified Arabic" w:hAnsi="Simplified Arabic" w:cs="Simplified Arabic"/>
          <w:sz w:val="24"/>
          <w:szCs w:val="24"/>
          <w:rtl/>
        </w:rPr>
        <w:t xml:space="preserve"> </w:t>
      </w:r>
      <w:r w:rsidR="008A4C45" w:rsidRPr="00C2564A">
        <w:rPr>
          <w:rFonts w:ascii="Simplified Arabic" w:hAnsi="Simplified Arabic" w:cs="Simplified Arabic" w:hint="cs"/>
          <w:sz w:val="24"/>
          <w:szCs w:val="24"/>
          <w:rtl/>
        </w:rPr>
        <w:t xml:space="preserve">حي سكني </w:t>
      </w:r>
      <w:r w:rsidRPr="00C2564A">
        <w:rPr>
          <w:rFonts w:ascii="Simplified Arabic" w:hAnsi="Simplified Arabic" w:cs="Simplified Arabic" w:hint="cs"/>
          <w:sz w:val="24"/>
          <w:szCs w:val="24"/>
          <w:rtl/>
        </w:rPr>
        <w:t>من</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خلال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تطوير</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عملية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تكرارية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في</w:t>
      </w:r>
      <w:r w:rsidRPr="00C2564A">
        <w:rPr>
          <w:rFonts w:ascii="Simplified Arabic" w:hAnsi="Simplified Arabic" w:cs="Simplified Arabic"/>
          <w:sz w:val="24"/>
          <w:szCs w:val="24"/>
          <w:rtl/>
        </w:rPr>
        <w:t xml:space="preserve"> </w:t>
      </w:r>
      <w:r w:rsidRPr="00C2564A">
        <w:rPr>
          <w:rFonts w:asciiTheme="majorBidi" w:hAnsiTheme="majorBidi" w:cstheme="majorBidi"/>
          <w:sz w:val="24"/>
          <w:szCs w:val="24"/>
        </w:rPr>
        <w:t>Model Builder</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التي</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سمحت</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بحساب</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معامل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التشابك</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للشبكة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الفرعية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للعقد</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والحواف</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الموجودة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لكل</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عقدة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شبكة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في</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منطقة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الدراسة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في</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هذا</w:t>
      </w:r>
      <w:r w:rsidRPr="00C2564A">
        <w:rPr>
          <w:rFonts w:ascii="Simplified Arabic" w:hAnsi="Simplified Arabic" w:cs="Simplified Arabic"/>
          <w:sz w:val="24"/>
          <w:szCs w:val="24"/>
          <w:rtl/>
        </w:rPr>
        <w:t xml:space="preserve"> </w:t>
      </w:r>
      <w:r w:rsidR="008A4C45" w:rsidRPr="00C2564A">
        <w:rPr>
          <w:rFonts w:ascii="Simplified Arabic" w:hAnsi="Simplified Arabic" w:cs="Simplified Arabic" w:hint="cs"/>
          <w:sz w:val="24"/>
          <w:szCs w:val="24"/>
          <w:rtl/>
        </w:rPr>
        <w:t>البحث</w:t>
      </w:r>
      <w:r w:rsidRPr="00C2564A">
        <w:rPr>
          <w:rFonts w:ascii="Simplified Arabic" w:hAnsi="Simplified Arabic" w:cs="Simplified Arabic" w:hint="cs"/>
          <w:sz w:val="24"/>
          <w:szCs w:val="24"/>
          <w:rtl/>
        </w:rPr>
        <w:t>،</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تم</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استخدام</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تشابك</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العقدة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كأساس</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لدراسة</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التوزيع</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الإحصائي</w:t>
      </w:r>
      <w:r w:rsidRPr="00C2564A">
        <w:rPr>
          <w:rFonts w:ascii="Simplified Arabic" w:hAnsi="Simplified Arabic" w:cs="Simplified Arabic"/>
          <w:sz w:val="24"/>
          <w:szCs w:val="24"/>
          <w:rtl/>
        </w:rPr>
        <w:t xml:space="preserve"> </w:t>
      </w:r>
      <w:r w:rsidRPr="00C2564A">
        <w:rPr>
          <w:rFonts w:ascii="Simplified Arabic" w:hAnsi="Simplified Arabic" w:cs="Simplified Arabic" w:hint="cs"/>
          <w:sz w:val="24"/>
          <w:szCs w:val="24"/>
          <w:rtl/>
        </w:rPr>
        <w:t>للقيم</w:t>
      </w:r>
      <w:r w:rsidRPr="00C2564A">
        <w:rPr>
          <w:rFonts w:ascii="Simplified Arabic" w:hAnsi="Simplified Arabic" w:cs="Simplified Arabic"/>
          <w:sz w:val="24"/>
          <w:szCs w:val="24"/>
          <w:rtl/>
        </w:rPr>
        <w:t xml:space="preserve">. </w:t>
      </w:r>
    </w:p>
    <w:p w:rsidR="002A686B" w:rsidRPr="00DB3124" w:rsidRDefault="00C2564A" w:rsidP="005D7A23">
      <w:pPr>
        <w:pStyle w:val="Paragraphedeliste"/>
        <w:widowControl w:val="0"/>
        <w:tabs>
          <w:tab w:val="right" w:pos="567"/>
          <w:tab w:val="right" w:pos="850"/>
          <w:tab w:val="right" w:pos="1134"/>
        </w:tabs>
        <w:autoSpaceDE w:val="0"/>
        <w:autoSpaceDN w:val="0"/>
        <w:bidi/>
        <w:spacing w:after="0"/>
        <w:ind w:left="0" w:firstLine="283"/>
        <w:jc w:val="both"/>
        <w:rPr>
          <w:rFonts w:ascii="Simplified Arabic" w:hAnsi="Simplified Arabic" w:cs="Simplified Arabic"/>
          <w:sz w:val="24"/>
          <w:szCs w:val="24"/>
        </w:rPr>
      </w:pPr>
      <w:r w:rsidRPr="00DB3124">
        <w:rPr>
          <w:rFonts w:ascii="Simplified Arabic" w:hAnsi="Simplified Arabic" w:cs="Simplified Arabic" w:hint="cs"/>
          <w:sz w:val="24"/>
          <w:szCs w:val="24"/>
          <w:rtl/>
        </w:rPr>
        <w:t xml:space="preserve">مرت عملية التحليل المكاني بمراحل لبناء نموذج الكشف عن سمة </w:t>
      </w:r>
      <w:r>
        <w:rPr>
          <w:rFonts w:ascii="Simplified Arabic" w:hAnsi="Simplified Arabic" w:cs="Simplified Arabic" w:hint="cs"/>
          <w:sz w:val="24"/>
          <w:szCs w:val="24"/>
          <w:rtl/>
        </w:rPr>
        <w:t>التكرار</w:t>
      </w:r>
      <w:r w:rsidRPr="00DB3124">
        <w:rPr>
          <w:rFonts w:ascii="Simplified Arabic" w:hAnsi="Simplified Arabic" w:cs="Simplified Arabic" w:hint="cs"/>
          <w:sz w:val="24"/>
          <w:szCs w:val="24"/>
          <w:rtl/>
        </w:rPr>
        <w:t xml:space="preserve">، </w:t>
      </w:r>
      <w:r w:rsidR="002A686B" w:rsidRPr="002240DE">
        <w:rPr>
          <w:rFonts w:ascii="Simplified Arabic" w:hAnsi="Simplified Arabic" w:cs="Simplified Arabic" w:hint="cs"/>
          <w:sz w:val="24"/>
          <w:szCs w:val="24"/>
          <w:rtl/>
        </w:rPr>
        <w:t>يظهر</w:t>
      </w:r>
      <w:r w:rsidR="002A686B" w:rsidRPr="002240DE">
        <w:rPr>
          <w:rFonts w:ascii="Simplified Arabic" w:hAnsi="Simplified Arabic" w:cs="Simplified Arabic"/>
          <w:sz w:val="24"/>
          <w:szCs w:val="24"/>
          <w:rtl/>
        </w:rPr>
        <w:t xml:space="preserve"> </w:t>
      </w:r>
      <w:r w:rsidR="002A686B" w:rsidRPr="00893225">
        <w:rPr>
          <w:rFonts w:ascii="Simplified Arabic" w:hAnsi="Simplified Arabic" w:cs="Simplified Arabic" w:hint="cs"/>
          <w:sz w:val="24"/>
          <w:szCs w:val="24"/>
          <w:rtl/>
          <w:lang w:bidi="ar-DZ"/>
        </w:rPr>
        <w:t>الشكل</w:t>
      </w:r>
      <w:r w:rsidR="002A686B" w:rsidRPr="00893225">
        <w:rPr>
          <w:rFonts w:ascii="Simplified Arabic" w:hAnsi="Simplified Arabic" w:cs="Simplified Arabic"/>
          <w:sz w:val="24"/>
          <w:szCs w:val="24"/>
          <w:rtl/>
          <w:lang w:bidi="ar-DZ"/>
        </w:rPr>
        <w:t xml:space="preserve"> </w:t>
      </w:r>
      <w:r w:rsidR="002A686B">
        <w:rPr>
          <w:rFonts w:ascii="Simplified Arabic" w:hAnsi="Simplified Arabic" w:cs="Simplified Arabic" w:hint="cs"/>
          <w:sz w:val="24"/>
          <w:szCs w:val="24"/>
          <w:rtl/>
          <w:lang w:bidi="ar-DZ"/>
        </w:rPr>
        <w:t>(6-</w:t>
      </w:r>
      <w:r w:rsidR="00B24A3A">
        <w:rPr>
          <w:rFonts w:ascii="Simplified Arabic" w:hAnsi="Simplified Arabic" w:cs="Simplified Arabic"/>
          <w:sz w:val="24"/>
          <w:szCs w:val="24"/>
          <w:lang w:bidi="ar-DZ"/>
        </w:rPr>
        <w:t>11</w:t>
      </w:r>
      <w:r w:rsidR="002A686B">
        <w:rPr>
          <w:rFonts w:ascii="Simplified Arabic" w:hAnsi="Simplified Arabic" w:cs="Simplified Arabic" w:hint="cs"/>
          <w:sz w:val="24"/>
          <w:szCs w:val="24"/>
          <w:rtl/>
          <w:lang w:bidi="ar-DZ"/>
        </w:rPr>
        <w:t>)،</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مخطط انسيابي</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للعملية</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المستخدمة</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لكشف سمة</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التكرار</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بدءًا</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من</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الجانب</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الأيسر</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ل</w:t>
      </w:r>
      <w:r w:rsidR="002A686B" w:rsidRPr="002240DE">
        <w:rPr>
          <w:rFonts w:ascii="Simplified Arabic" w:hAnsi="Simplified Arabic" w:cs="Simplified Arabic" w:hint="cs"/>
          <w:sz w:val="24"/>
          <w:szCs w:val="24"/>
          <w:rtl/>
        </w:rPr>
        <w:t>لشكل،</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توجد</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بيانات</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الإدخال</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المطلوبة</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للتقييم</w:t>
      </w:r>
      <w:r w:rsidR="002A686B" w:rsidRPr="002240DE">
        <w:rPr>
          <w:rFonts w:ascii="Simplified Arabic" w:hAnsi="Simplified Arabic" w:cs="Simplified Arabic"/>
          <w:sz w:val="24"/>
          <w:szCs w:val="24"/>
          <w:rtl/>
        </w:rPr>
        <w:t xml:space="preserve">. </w:t>
      </w:r>
      <w:r w:rsidR="005D7A23">
        <w:rPr>
          <w:rFonts w:ascii="Simplified Arabic" w:hAnsi="Simplified Arabic" w:cs="Simplified Arabic" w:hint="cs"/>
          <w:color w:val="000000" w:themeColor="text1"/>
          <w:sz w:val="24"/>
          <w:szCs w:val="24"/>
          <w:rtl/>
          <w:lang w:bidi="ar-DZ"/>
        </w:rPr>
        <w:t>لكشف سمة</w:t>
      </w:r>
      <w:r w:rsidR="005D7A23" w:rsidRPr="00BD4569">
        <w:rPr>
          <w:rFonts w:ascii="Simplified Arabic" w:hAnsi="Simplified Arabic" w:cs="Simplified Arabic"/>
          <w:color w:val="000000" w:themeColor="text1"/>
          <w:sz w:val="24"/>
          <w:szCs w:val="24"/>
          <w:rtl/>
          <w:lang w:bidi="ar-DZ"/>
        </w:rPr>
        <w:t xml:space="preserve"> </w:t>
      </w:r>
      <w:r w:rsidR="002A686B" w:rsidRPr="002240DE">
        <w:rPr>
          <w:rFonts w:ascii="Simplified Arabic" w:hAnsi="Simplified Arabic" w:cs="Simplified Arabic" w:hint="cs"/>
          <w:sz w:val="24"/>
          <w:szCs w:val="24"/>
          <w:rtl/>
        </w:rPr>
        <w:t>التكرار،</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يلزم</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وجود</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بيانات</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وهي</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عدد تقاطعات شبكة الطرق</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بعد</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ذلك،</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باستخدام</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بيانات</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الإدخال</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المشار</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إليها،</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يتم</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تقييم</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 xml:space="preserve">تكرار تقاطعات شبكة الطرق </w:t>
      </w:r>
      <w:r w:rsidR="005D7A23">
        <w:rPr>
          <w:rFonts w:ascii="Simplified Arabic" w:hAnsi="Simplified Arabic" w:cs="Simplified Arabic" w:hint="cs"/>
          <w:color w:val="000000" w:themeColor="text1"/>
          <w:sz w:val="24"/>
          <w:szCs w:val="24"/>
          <w:rtl/>
          <w:lang w:bidi="ar-DZ"/>
        </w:rPr>
        <w:t>لكشف سمة</w:t>
      </w:r>
      <w:r w:rsidR="005D7A23" w:rsidRPr="00BD4569">
        <w:rPr>
          <w:rFonts w:ascii="Simplified Arabic" w:hAnsi="Simplified Arabic" w:cs="Simplified Arabic"/>
          <w:color w:val="000000" w:themeColor="text1"/>
          <w:sz w:val="24"/>
          <w:szCs w:val="24"/>
          <w:rtl/>
          <w:lang w:bidi="ar-DZ"/>
        </w:rPr>
        <w:t xml:space="preserve"> </w:t>
      </w:r>
      <w:r w:rsidR="002A686B" w:rsidRPr="002240DE">
        <w:rPr>
          <w:rFonts w:ascii="Simplified Arabic" w:hAnsi="Simplified Arabic" w:cs="Simplified Arabic" w:hint="cs"/>
          <w:sz w:val="24"/>
          <w:szCs w:val="24"/>
          <w:rtl/>
        </w:rPr>
        <w:t>التكرار</w:t>
      </w:r>
      <w:r w:rsidR="002A686B" w:rsidRPr="002240DE">
        <w:rPr>
          <w:rFonts w:ascii="Simplified Arabic" w:hAnsi="Simplified Arabic" w:cs="Simplified Arabic"/>
          <w:sz w:val="24"/>
          <w:szCs w:val="24"/>
          <w:rtl/>
        </w:rPr>
        <w:t xml:space="preserve"> </w:t>
      </w:r>
      <w:r w:rsidR="002A686B">
        <w:rPr>
          <w:rFonts w:ascii="Simplified Arabic" w:hAnsi="Simplified Arabic" w:cs="Simplified Arabic" w:hint="cs"/>
          <w:sz w:val="24"/>
          <w:szCs w:val="24"/>
          <w:rtl/>
        </w:rPr>
        <w:t>ب</w:t>
      </w:r>
      <w:r w:rsidR="002A686B" w:rsidRPr="002240DE">
        <w:rPr>
          <w:rFonts w:ascii="Simplified Arabic" w:hAnsi="Simplified Arabic" w:cs="Simplified Arabic" w:hint="cs"/>
          <w:sz w:val="24"/>
          <w:szCs w:val="24"/>
          <w:rtl/>
        </w:rPr>
        <w:t>منطقة</w:t>
      </w:r>
      <w:r w:rsidR="002A686B" w:rsidRPr="002240DE">
        <w:rPr>
          <w:rFonts w:ascii="Simplified Arabic" w:hAnsi="Simplified Arabic" w:cs="Simplified Arabic"/>
          <w:sz w:val="24"/>
          <w:szCs w:val="24"/>
          <w:rtl/>
        </w:rPr>
        <w:t xml:space="preserve"> </w:t>
      </w:r>
      <w:r w:rsidR="002A686B" w:rsidRPr="002240DE">
        <w:rPr>
          <w:rFonts w:ascii="Simplified Arabic" w:hAnsi="Simplified Arabic" w:cs="Simplified Arabic" w:hint="cs"/>
          <w:sz w:val="24"/>
          <w:szCs w:val="24"/>
          <w:rtl/>
        </w:rPr>
        <w:t>الدراسة</w:t>
      </w:r>
      <w:r w:rsidR="002A686B" w:rsidRPr="002240DE">
        <w:rPr>
          <w:rFonts w:ascii="Simplified Arabic" w:hAnsi="Simplified Arabic" w:cs="Simplified Arabic"/>
          <w:sz w:val="24"/>
          <w:szCs w:val="24"/>
          <w:rtl/>
        </w:rPr>
        <w:t>.</w:t>
      </w:r>
      <w:r w:rsidR="002A686B" w:rsidRPr="003842B3">
        <w:rPr>
          <w:rFonts w:ascii="Simplified Arabic" w:hAnsi="Simplified Arabic" w:cs="Simplified Arabic" w:hint="cs"/>
          <w:sz w:val="24"/>
          <w:szCs w:val="24"/>
          <w:rtl/>
        </w:rPr>
        <w:t xml:space="preserve"> </w:t>
      </w:r>
    </w:p>
    <w:p w:rsidR="002A686B" w:rsidRDefault="002A686B" w:rsidP="005D7A23">
      <w:pPr>
        <w:pStyle w:val="fegure"/>
        <w:rPr>
          <w:sz w:val="8"/>
          <w:szCs w:val="24"/>
          <w:rtl/>
          <w:lang w:bidi="ar-DZ"/>
        </w:rPr>
      </w:pPr>
      <w:bookmarkStart w:id="822" w:name="_Toc157608362"/>
      <w:bookmarkStart w:id="823" w:name="_Toc171803798"/>
      <w:r w:rsidRPr="0089158C">
        <w:rPr>
          <w:rFonts w:hint="cs"/>
          <w:sz w:val="8"/>
          <w:szCs w:val="24"/>
          <w:rtl/>
          <w:lang w:bidi="ar-DZ"/>
        </w:rPr>
        <w:t>الشكل</w:t>
      </w:r>
      <w:r w:rsidRPr="0089158C">
        <w:rPr>
          <w:sz w:val="8"/>
          <w:szCs w:val="24"/>
          <w:rtl/>
          <w:lang w:bidi="ar-DZ"/>
        </w:rPr>
        <w:t xml:space="preserve"> </w:t>
      </w:r>
      <w:r w:rsidRPr="0089158C">
        <w:rPr>
          <w:rFonts w:hint="cs"/>
          <w:sz w:val="8"/>
          <w:szCs w:val="24"/>
          <w:rtl/>
          <w:lang w:bidi="ar-DZ"/>
        </w:rPr>
        <w:t>(6-</w:t>
      </w:r>
      <w:r w:rsidR="0089158C" w:rsidRPr="0089158C">
        <w:rPr>
          <w:rFonts w:hint="cs"/>
          <w:sz w:val="8"/>
          <w:szCs w:val="24"/>
          <w:rtl/>
          <w:lang w:bidi="ar-DZ"/>
        </w:rPr>
        <w:t>11</w:t>
      </w:r>
      <w:r w:rsidRPr="0089158C">
        <w:rPr>
          <w:rFonts w:hint="cs"/>
          <w:sz w:val="8"/>
          <w:szCs w:val="24"/>
          <w:rtl/>
          <w:lang w:bidi="ar-DZ"/>
        </w:rPr>
        <w:t>): مخطط</w:t>
      </w:r>
      <w:r w:rsidRPr="0089158C">
        <w:rPr>
          <w:sz w:val="8"/>
          <w:szCs w:val="24"/>
          <w:rtl/>
          <w:lang w:bidi="ar-DZ"/>
        </w:rPr>
        <w:t xml:space="preserve"> </w:t>
      </w:r>
      <w:r w:rsidRPr="0089158C">
        <w:rPr>
          <w:rFonts w:hint="cs"/>
          <w:sz w:val="8"/>
          <w:szCs w:val="24"/>
          <w:rtl/>
          <w:lang w:bidi="ar-DZ"/>
        </w:rPr>
        <w:t>انسيابي</w:t>
      </w:r>
      <w:r w:rsidRPr="0089158C">
        <w:rPr>
          <w:sz w:val="8"/>
          <w:szCs w:val="24"/>
          <w:rtl/>
          <w:lang w:bidi="ar-DZ"/>
        </w:rPr>
        <w:t xml:space="preserve"> </w:t>
      </w:r>
      <w:r w:rsidRPr="0089158C">
        <w:rPr>
          <w:rFonts w:hint="cs"/>
          <w:sz w:val="8"/>
          <w:szCs w:val="24"/>
          <w:rtl/>
          <w:lang w:bidi="ar-DZ"/>
        </w:rPr>
        <w:t>مقترح ل</w:t>
      </w:r>
      <w:r w:rsidR="005D7A23">
        <w:rPr>
          <w:rFonts w:hint="cs"/>
          <w:sz w:val="8"/>
          <w:szCs w:val="24"/>
          <w:rtl/>
          <w:lang w:bidi="ar-DZ"/>
        </w:rPr>
        <w:t>كشف</w:t>
      </w:r>
      <w:r w:rsidRPr="0089158C">
        <w:rPr>
          <w:sz w:val="8"/>
          <w:szCs w:val="24"/>
          <w:rtl/>
          <w:lang w:bidi="ar-DZ"/>
        </w:rPr>
        <w:t xml:space="preserve"> </w:t>
      </w:r>
      <w:r w:rsidRPr="0089158C">
        <w:rPr>
          <w:rFonts w:hint="cs"/>
          <w:sz w:val="8"/>
          <w:szCs w:val="24"/>
          <w:rtl/>
          <w:lang w:bidi="ar-DZ"/>
        </w:rPr>
        <w:t>سمة التكرار</w:t>
      </w:r>
      <w:bookmarkEnd w:id="822"/>
      <w:bookmarkEnd w:id="823"/>
      <w:r w:rsidRPr="0089158C">
        <w:rPr>
          <w:sz w:val="8"/>
          <w:szCs w:val="24"/>
          <w:rtl/>
          <w:lang w:bidi="ar-DZ"/>
        </w:rPr>
        <w:t xml:space="preserve"> </w:t>
      </w:r>
    </w:p>
    <w:p w:rsidR="001111A0" w:rsidRPr="001111A0" w:rsidRDefault="001111A0" w:rsidP="001111A0">
      <w:pPr>
        <w:pStyle w:val="fegure"/>
        <w:rPr>
          <w:sz w:val="8"/>
          <w:szCs w:val="24"/>
          <w:rtl/>
          <w:lang w:val="en-US" w:bidi="ar-DZ"/>
        </w:rPr>
      </w:pPr>
      <w:bookmarkStart w:id="824" w:name="_Toc171803799"/>
      <w:r>
        <w:rPr>
          <w:rFonts w:hint="cs"/>
          <w:sz w:val="8"/>
          <w:szCs w:val="24"/>
          <w:rtl/>
          <w:lang w:val="en-US"/>
        </w:rPr>
        <w:t>(الباحث، 2022)</w:t>
      </w:r>
      <w:bookmarkEnd w:id="824"/>
    </w:p>
    <w:p w:rsidR="002A686B" w:rsidRDefault="002A686B" w:rsidP="002A686B">
      <w:pPr>
        <w:bidi/>
        <w:spacing w:after="0"/>
        <w:ind w:firstLine="283"/>
        <w:jc w:val="center"/>
        <w:rPr>
          <w:rFonts w:ascii="Simplified Arabic" w:hAnsi="Simplified Arabic" w:cs="Simplified Arabic"/>
          <w:sz w:val="24"/>
          <w:szCs w:val="24"/>
          <w:rtl/>
        </w:rPr>
      </w:pPr>
      <w:r>
        <w:rPr>
          <w:noProof/>
          <w:lang w:eastAsia="fr-FR"/>
        </w:rPr>
        <w:drawing>
          <wp:inline distT="0" distB="0" distL="0" distR="0" wp14:anchorId="2D27000A" wp14:editId="4C393A9A">
            <wp:extent cx="4733240" cy="1966822"/>
            <wp:effectExtent l="19050" t="19050" r="10795" b="14605"/>
            <wp:docPr id="189"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1">
                      <a:extLst>
                        <a:ext uri="{BEBA8EAE-BF5A-486C-A8C5-ECC9F3942E4B}">
                          <a14:imgProps xmlns:a14="http://schemas.microsoft.com/office/drawing/2010/main">
                            <a14:imgLayer r:embed="rId292">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746845" cy="1972476"/>
                    </a:xfrm>
                    <a:prstGeom prst="rect">
                      <a:avLst/>
                    </a:prstGeom>
                    <a:ln>
                      <a:solidFill>
                        <a:schemeClr val="tx1"/>
                      </a:solidFill>
                    </a:ln>
                  </pic:spPr>
                </pic:pic>
              </a:graphicData>
            </a:graphic>
          </wp:inline>
        </w:drawing>
      </w:r>
    </w:p>
    <w:p w:rsidR="002A686B" w:rsidRDefault="002A686B" w:rsidP="008B4DD2">
      <w:pPr>
        <w:pStyle w:val="Tableau"/>
        <w:rPr>
          <w:rtl/>
          <w:lang w:val="en-US" w:eastAsia="fr-FR"/>
        </w:rPr>
      </w:pPr>
      <w:bookmarkStart w:id="825" w:name="_Toc157613012"/>
      <w:bookmarkStart w:id="826" w:name="_Toc171803800"/>
      <w:r w:rsidRPr="00EE1777">
        <w:rPr>
          <w:rtl/>
          <w:lang w:val="en-US" w:eastAsia="fr-FR"/>
        </w:rPr>
        <w:t xml:space="preserve">الجدول </w:t>
      </w:r>
      <w:r>
        <w:rPr>
          <w:rFonts w:hint="cs"/>
          <w:rtl/>
          <w:lang w:val="en-US" w:eastAsia="fr-FR"/>
        </w:rPr>
        <w:t>(6-</w:t>
      </w:r>
      <w:r w:rsidR="00B24A3A" w:rsidRPr="00B24A3A">
        <w:rPr>
          <w:lang w:val="en-US" w:eastAsia="fr-FR"/>
        </w:rPr>
        <w:t>3</w:t>
      </w:r>
      <w:r>
        <w:rPr>
          <w:rFonts w:hint="cs"/>
          <w:rtl/>
          <w:lang w:val="en-US" w:eastAsia="fr-FR"/>
        </w:rPr>
        <w:t>):</w:t>
      </w:r>
      <w:r w:rsidRPr="003121E8">
        <w:rPr>
          <w:rtl/>
          <w:lang w:val="en-US" w:eastAsia="fr-FR"/>
        </w:rPr>
        <w:t xml:space="preserve"> </w:t>
      </w:r>
      <w:r w:rsidRPr="00456E70">
        <w:rPr>
          <w:rFonts w:hint="cs"/>
          <w:rtl/>
          <w:lang w:val="en-US" w:eastAsia="fr-FR"/>
        </w:rPr>
        <w:t>قياس</w:t>
      </w:r>
      <w:r>
        <w:rPr>
          <w:rFonts w:hint="cs"/>
          <w:rtl/>
          <w:lang w:val="en-US" w:eastAsia="fr-FR"/>
        </w:rPr>
        <w:t xml:space="preserve"> </w:t>
      </w:r>
      <w:r w:rsidRPr="00B80059">
        <w:rPr>
          <w:rtl/>
          <w:lang w:val="en-US" w:eastAsia="fr-FR"/>
        </w:rPr>
        <w:t>سم</w:t>
      </w:r>
      <w:r w:rsidRPr="00B80059">
        <w:rPr>
          <w:rFonts w:hint="cs"/>
          <w:rtl/>
          <w:lang w:val="en-US" w:eastAsia="fr-FR"/>
        </w:rPr>
        <w:t>ات</w:t>
      </w:r>
      <w:r w:rsidRPr="00B80059">
        <w:rPr>
          <w:rtl/>
          <w:lang w:val="en-US" w:eastAsia="fr-FR"/>
        </w:rPr>
        <w:t xml:space="preserve"> المرونة</w:t>
      </w:r>
      <w:r w:rsidRPr="00B80059">
        <w:rPr>
          <w:rFonts w:hint="cs"/>
          <w:rtl/>
          <w:lang w:val="en-US" w:eastAsia="fr-FR"/>
        </w:rPr>
        <w:t xml:space="preserve"> المكانية</w:t>
      </w:r>
      <w:r w:rsidRPr="00B80059">
        <w:rPr>
          <w:rtl/>
          <w:lang w:val="en-US" w:eastAsia="fr-FR"/>
        </w:rPr>
        <w:t xml:space="preserve"> </w:t>
      </w:r>
      <w:r>
        <w:rPr>
          <w:rFonts w:hint="cs"/>
          <w:rtl/>
          <w:lang w:val="en-US" w:eastAsia="fr-FR"/>
        </w:rPr>
        <w:t xml:space="preserve">ووحدة القياس </w:t>
      </w:r>
      <w:r w:rsidRPr="00A516E7">
        <w:rPr>
          <w:rFonts w:hint="cs"/>
          <w:rtl/>
          <w:lang w:val="en-US" w:eastAsia="fr-FR"/>
        </w:rPr>
        <w:t>لكل</w:t>
      </w:r>
      <w:r w:rsidRPr="00A516E7">
        <w:rPr>
          <w:rtl/>
          <w:lang w:val="en-US" w:eastAsia="fr-FR"/>
        </w:rPr>
        <w:t xml:space="preserve"> </w:t>
      </w:r>
      <w:r>
        <w:rPr>
          <w:rFonts w:hint="cs"/>
          <w:rtl/>
          <w:lang w:val="en-US" w:eastAsia="fr-FR"/>
        </w:rPr>
        <w:t>حي</w:t>
      </w:r>
      <w:bookmarkEnd w:id="825"/>
      <w:bookmarkEnd w:id="826"/>
    </w:p>
    <w:p w:rsidR="001111A0" w:rsidRPr="001111A0" w:rsidRDefault="001111A0" w:rsidP="001111A0">
      <w:pPr>
        <w:pStyle w:val="fegure"/>
        <w:rPr>
          <w:sz w:val="8"/>
          <w:szCs w:val="24"/>
          <w:rtl/>
          <w:lang w:val="en-US" w:bidi="ar-DZ"/>
        </w:rPr>
      </w:pPr>
      <w:bookmarkStart w:id="827" w:name="_Toc171803801"/>
      <w:r>
        <w:rPr>
          <w:rFonts w:hint="cs"/>
          <w:sz w:val="8"/>
          <w:szCs w:val="24"/>
          <w:rtl/>
          <w:lang w:val="en-US"/>
        </w:rPr>
        <w:t>(الباحث، 2022)</w:t>
      </w:r>
      <w:bookmarkEnd w:id="827"/>
    </w:p>
    <w:tbl>
      <w:tblPr>
        <w:tblStyle w:val="Grilledutableau"/>
        <w:bidiVisual/>
        <w:tblW w:w="8789" w:type="dxa"/>
        <w:jc w:val="center"/>
        <w:tblInd w:w="-654" w:type="dxa"/>
        <w:tblLook w:val="04A0" w:firstRow="1" w:lastRow="0" w:firstColumn="1" w:lastColumn="0" w:noHBand="0" w:noVBand="1"/>
      </w:tblPr>
      <w:tblGrid>
        <w:gridCol w:w="706"/>
        <w:gridCol w:w="1562"/>
        <w:gridCol w:w="854"/>
        <w:gridCol w:w="1070"/>
        <w:gridCol w:w="974"/>
        <w:gridCol w:w="656"/>
        <w:gridCol w:w="2057"/>
        <w:gridCol w:w="910"/>
      </w:tblGrid>
      <w:tr w:rsidR="00AC36AD" w:rsidRPr="00AC36AD" w:rsidTr="00CC4870">
        <w:trPr>
          <w:trHeight w:val="458"/>
          <w:jc w:val="center"/>
        </w:trPr>
        <w:tc>
          <w:tcPr>
            <w:tcW w:w="2270" w:type="dxa"/>
            <w:gridSpan w:val="2"/>
            <w:tcBorders>
              <w:top w:val="single" w:sz="8" w:space="0" w:color="auto"/>
              <w:left w:val="single" w:sz="8" w:space="0" w:color="auto"/>
              <w:bottom w:val="single" w:sz="8" w:space="0" w:color="auto"/>
              <w:right w:val="single" w:sz="8" w:space="0" w:color="auto"/>
            </w:tcBorders>
            <w:vAlign w:val="center"/>
          </w:tcPr>
          <w:p w:rsidR="002A686B" w:rsidRPr="00BA6A71" w:rsidRDefault="002A686B" w:rsidP="000A1DE0">
            <w:pPr>
              <w:bidi/>
              <w:rPr>
                <w:rFonts w:ascii="Simplified Arabic" w:eastAsia="Times New Roman" w:hAnsi="Simplified Arabic" w:cs="Simplified Arabic"/>
                <w:b/>
                <w:sz w:val="24"/>
                <w:szCs w:val="24"/>
                <w:rtl/>
                <w:lang w:val="en-US" w:eastAsia="fr-FR"/>
              </w:rPr>
            </w:pPr>
            <w:r w:rsidRPr="00BA6A71">
              <w:rPr>
                <w:rFonts w:ascii="Simplified Arabic" w:eastAsia="Times New Roman" w:hAnsi="Simplified Arabic" w:cs="Simplified Arabic"/>
                <w:b/>
                <w:sz w:val="24"/>
                <w:szCs w:val="24"/>
                <w:rtl/>
                <w:lang w:val="en-US" w:eastAsia="fr-FR"/>
              </w:rPr>
              <w:t xml:space="preserve">نوع واسم المكون الحضري </w:t>
            </w:r>
          </w:p>
        </w:tc>
        <w:tc>
          <w:tcPr>
            <w:tcW w:w="834" w:type="dxa"/>
            <w:tcBorders>
              <w:top w:val="single" w:sz="8" w:space="0" w:color="auto"/>
              <w:left w:val="single" w:sz="8" w:space="0" w:color="auto"/>
              <w:bottom w:val="single" w:sz="8" w:space="0" w:color="auto"/>
              <w:right w:val="single" w:sz="8" w:space="0" w:color="auto"/>
            </w:tcBorders>
            <w:vAlign w:val="center"/>
          </w:tcPr>
          <w:p w:rsidR="002A686B" w:rsidRPr="00BA6A71" w:rsidRDefault="002A686B" w:rsidP="000A1DE0">
            <w:pPr>
              <w:bidi/>
              <w:jc w:val="center"/>
              <w:rPr>
                <w:rFonts w:ascii="Simplified Arabic" w:eastAsia="Times New Roman" w:hAnsi="Simplified Arabic" w:cs="Simplified Arabic"/>
                <w:b/>
                <w:sz w:val="24"/>
                <w:szCs w:val="24"/>
                <w:rtl/>
                <w:lang w:val="en-US" w:eastAsia="fr-FR"/>
              </w:rPr>
            </w:pPr>
            <w:r w:rsidRPr="00BA6A71">
              <w:rPr>
                <w:rFonts w:ascii="Simplified Arabic" w:eastAsia="Times New Roman" w:hAnsi="Simplified Arabic" w:cs="Simplified Arabic"/>
                <w:b/>
                <w:sz w:val="24"/>
                <w:szCs w:val="24"/>
                <w:rtl/>
                <w:lang w:val="en-US" w:eastAsia="fr-FR"/>
              </w:rPr>
              <w:t>سمة المرونة</w:t>
            </w:r>
          </w:p>
        </w:tc>
        <w:tc>
          <w:tcPr>
            <w:tcW w:w="1072" w:type="dxa"/>
            <w:tcBorders>
              <w:top w:val="single" w:sz="8" w:space="0" w:color="auto"/>
              <w:left w:val="single" w:sz="8" w:space="0" w:color="auto"/>
              <w:bottom w:val="single" w:sz="8" w:space="0" w:color="auto"/>
              <w:right w:val="single" w:sz="8" w:space="0" w:color="auto"/>
            </w:tcBorders>
            <w:vAlign w:val="center"/>
          </w:tcPr>
          <w:p w:rsidR="002A686B" w:rsidRPr="00BA6A71" w:rsidRDefault="002A686B" w:rsidP="000A1DE0">
            <w:pPr>
              <w:bidi/>
              <w:jc w:val="center"/>
              <w:rPr>
                <w:rFonts w:ascii="Simplified Arabic" w:eastAsia="Times New Roman" w:hAnsi="Simplified Arabic" w:cs="Simplified Arabic"/>
                <w:b/>
                <w:sz w:val="24"/>
                <w:szCs w:val="24"/>
                <w:rtl/>
                <w:lang w:val="en-US" w:eastAsia="fr-FR"/>
              </w:rPr>
            </w:pPr>
            <w:r w:rsidRPr="00BA6A71">
              <w:rPr>
                <w:rFonts w:ascii="Simplified Arabic" w:eastAsia="Times New Roman" w:hAnsi="Simplified Arabic" w:cs="Simplified Arabic"/>
                <w:b/>
                <w:sz w:val="24"/>
                <w:szCs w:val="24"/>
                <w:rtl/>
                <w:lang w:val="en-US" w:eastAsia="fr-FR"/>
              </w:rPr>
              <w:t>القياس</w:t>
            </w:r>
          </w:p>
        </w:tc>
        <w:tc>
          <w:tcPr>
            <w:tcW w:w="975" w:type="dxa"/>
            <w:tcBorders>
              <w:top w:val="single" w:sz="8" w:space="0" w:color="auto"/>
              <w:left w:val="single" w:sz="8" w:space="0" w:color="auto"/>
              <w:bottom w:val="single" w:sz="8" w:space="0" w:color="auto"/>
              <w:right w:val="single" w:sz="8" w:space="0" w:color="auto"/>
            </w:tcBorders>
            <w:vAlign w:val="center"/>
          </w:tcPr>
          <w:p w:rsidR="002A686B" w:rsidRPr="00BA6A71" w:rsidRDefault="002A686B" w:rsidP="000A1DE0">
            <w:pPr>
              <w:bidi/>
              <w:jc w:val="center"/>
              <w:rPr>
                <w:rFonts w:ascii="Simplified Arabic" w:eastAsia="Times New Roman" w:hAnsi="Simplified Arabic" w:cs="Simplified Arabic"/>
                <w:b/>
                <w:sz w:val="24"/>
                <w:szCs w:val="24"/>
                <w:rtl/>
                <w:lang w:val="en-US" w:eastAsia="fr-FR"/>
              </w:rPr>
            </w:pPr>
            <w:r w:rsidRPr="00BA6A71">
              <w:rPr>
                <w:rFonts w:ascii="Simplified Arabic" w:eastAsia="Times New Roman" w:hAnsi="Simplified Arabic" w:cs="Simplified Arabic"/>
                <w:b/>
                <w:sz w:val="24"/>
                <w:szCs w:val="24"/>
                <w:rtl/>
                <w:lang w:val="en-US" w:eastAsia="fr-FR"/>
              </w:rPr>
              <w:t>المعيار الحسابي</w:t>
            </w:r>
          </w:p>
        </w:tc>
        <w:tc>
          <w:tcPr>
            <w:tcW w:w="2728" w:type="dxa"/>
            <w:gridSpan w:val="2"/>
            <w:tcBorders>
              <w:top w:val="single" w:sz="8" w:space="0" w:color="auto"/>
              <w:left w:val="single" w:sz="8" w:space="0" w:color="auto"/>
              <w:bottom w:val="single" w:sz="8" w:space="0" w:color="auto"/>
              <w:right w:val="single" w:sz="8" w:space="0" w:color="auto"/>
            </w:tcBorders>
            <w:vAlign w:val="center"/>
          </w:tcPr>
          <w:p w:rsidR="002A686B" w:rsidRPr="00BA6A71" w:rsidRDefault="002A686B" w:rsidP="000A1DE0">
            <w:pPr>
              <w:bidi/>
              <w:jc w:val="center"/>
              <w:rPr>
                <w:rFonts w:ascii="Simplified Arabic" w:eastAsia="Times New Roman" w:hAnsi="Simplified Arabic" w:cs="Simplified Arabic"/>
                <w:b/>
                <w:sz w:val="24"/>
                <w:szCs w:val="24"/>
                <w:rtl/>
                <w:lang w:val="en-US" w:eastAsia="fr-FR"/>
              </w:rPr>
            </w:pPr>
            <w:r w:rsidRPr="00BA6A71">
              <w:rPr>
                <w:rFonts w:ascii="Simplified Arabic" w:eastAsia="Times New Roman" w:hAnsi="Simplified Arabic" w:cs="Simplified Arabic"/>
                <w:b/>
                <w:sz w:val="24"/>
                <w:szCs w:val="24"/>
                <w:rtl/>
                <w:lang w:val="en-US" w:eastAsia="fr-FR"/>
              </w:rPr>
              <w:t>الوصف</w:t>
            </w:r>
          </w:p>
        </w:tc>
        <w:tc>
          <w:tcPr>
            <w:tcW w:w="910" w:type="dxa"/>
            <w:tcBorders>
              <w:top w:val="single" w:sz="8" w:space="0" w:color="auto"/>
              <w:left w:val="single" w:sz="8" w:space="0" w:color="auto"/>
              <w:bottom w:val="single" w:sz="8" w:space="0" w:color="auto"/>
              <w:right w:val="single" w:sz="8" w:space="0" w:color="auto"/>
            </w:tcBorders>
            <w:vAlign w:val="center"/>
          </w:tcPr>
          <w:p w:rsidR="002A686B" w:rsidRPr="00BA6A71" w:rsidRDefault="002A686B" w:rsidP="000A1DE0">
            <w:pPr>
              <w:bidi/>
              <w:jc w:val="center"/>
              <w:rPr>
                <w:rFonts w:ascii="Simplified Arabic" w:eastAsia="Times New Roman" w:hAnsi="Simplified Arabic" w:cs="Simplified Arabic"/>
                <w:b/>
                <w:sz w:val="24"/>
                <w:szCs w:val="24"/>
                <w:rtl/>
                <w:lang w:val="en-US" w:eastAsia="fr-FR"/>
              </w:rPr>
            </w:pPr>
            <w:r w:rsidRPr="00BA6A71">
              <w:rPr>
                <w:rFonts w:ascii="Simplified Arabic" w:eastAsia="Times New Roman" w:hAnsi="Simplified Arabic" w:cs="Simplified Arabic"/>
                <w:b/>
                <w:sz w:val="24"/>
                <w:szCs w:val="24"/>
                <w:rtl/>
                <w:lang w:val="en-US" w:eastAsia="fr-FR"/>
              </w:rPr>
              <w:t>وحدة القياس</w:t>
            </w:r>
          </w:p>
        </w:tc>
      </w:tr>
      <w:tr w:rsidR="00AC36AD" w:rsidRPr="00AC36AD" w:rsidTr="00CC4870">
        <w:trPr>
          <w:trHeight w:val="1565"/>
          <w:jc w:val="center"/>
        </w:trPr>
        <w:tc>
          <w:tcPr>
            <w:tcW w:w="706" w:type="dxa"/>
            <w:vMerge w:val="restart"/>
            <w:tcBorders>
              <w:top w:val="single" w:sz="8" w:space="0" w:color="auto"/>
              <w:left w:val="single" w:sz="8" w:space="0" w:color="auto"/>
              <w:right w:val="single" w:sz="8" w:space="0" w:color="auto"/>
            </w:tcBorders>
            <w:vAlign w:val="center"/>
          </w:tcPr>
          <w:p w:rsidR="00FF793B" w:rsidRPr="00AC36AD" w:rsidRDefault="00FF793B" w:rsidP="00FF793B">
            <w:pPr>
              <w:bidi/>
              <w:rPr>
                <w:rFonts w:ascii="Simplified Arabic" w:eastAsia="Times New Roman" w:hAnsi="Simplified Arabic" w:cs="Simplified Arabic"/>
                <w:b/>
                <w:sz w:val="24"/>
                <w:szCs w:val="24"/>
                <w:rtl/>
                <w:lang w:val="en-US" w:eastAsia="fr-FR"/>
              </w:rPr>
            </w:pPr>
            <w:r w:rsidRPr="00AC36AD">
              <w:rPr>
                <w:rFonts w:ascii="Simplified Arabic" w:eastAsia="Times New Roman" w:hAnsi="Simplified Arabic" w:cs="Simplified Arabic"/>
                <w:b/>
                <w:sz w:val="24"/>
                <w:szCs w:val="24"/>
                <w:rtl/>
                <w:lang w:val="en-US" w:eastAsia="fr-FR"/>
              </w:rPr>
              <w:t xml:space="preserve">مكون وظيفي </w:t>
            </w:r>
          </w:p>
        </w:tc>
        <w:tc>
          <w:tcPr>
            <w:tcW w:w="1564" w:type="dxa"/>
            <w:tcBorders>
              <w:top w:val="single" w:sz="8" w:space="0" w:color="auto"/>
              <w:left w:val="single" w:sz="8" w:space="0" w:color="auto"/>
              <w:right w:val="single" w:sz="8" w:space="0" w:color="auto"/>
            </w:tcBorders>
            <w:vAlign w:val="center"/>
          </w:tcPr>
          <w:p w:rsidR="00FF793B" w:rsidRPr="00BA6A71" w:rsidRDefault="00FF793B" w:rsidP="000A1DE0">
            <w:pPr>
              <w:bidi/>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التكفل الطبي</w:t>
            </w:r>
          </w:p>
          <w:p w:rsidR="00FF793B" w:rsidRPr="00BA6A71" w:rsidRDefault="00FF793B" w:rsidP="000A1DE0">
            <w:pPr>
              <w:bidi/>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الإنقاذ/الإجلاء</w:t>
            </w:r>
          </w:p>
          <w:p w:rsidR="00FF793B" w:rsidRPr="00BA6A71" w:rsidRDefault="00FF793B" w:rsidP="000A1DE0">
            <w:pPr>
              <w:bidi/>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الأمن</w:t>
            </w:r>
          </w:p>
          <w:p w:rsidR="00FF793B" w:rsidRPr="00BA6A71" w:rsidRDefault="00FF793B" w:rsidP="000A1DE0">
            <w:pPr>
              <w:bidi/>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المدارس الابتدائية</w:t>
            </w:r>
          </w:p>
          <w:p w:rsidR="00FF793B" w:rsidRPr="00BA6A71" w:rsidRDefault="00FF793B" w:rsidP="000A1DE0">
            <w:pPr>
              <w:bidi/>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 xml:space="preserve">المساجد/الجمعيات </w:t>
            </w:r>
          </w:p>
        </w:tc>
        <w:tc>
          <w:tcPr>
            <w:tcW w:w="834" w:type="dxa"/>
            <w:tcBorders>
              <w:top w:val="single" w:sz="8" w:space="0" w:color="auto"/>
              <w:left w:val="single" w:sz="8" w:space="0" w:color="auto"/>
              <w:right w:val="single" w:sz="8" w:space="0" w:color="auto"/>
            </w:tcBorders>
            <w:vAlign w:val="center"/>
          </w:tcPr>
          <w:p w:rsidR="00FF793B" w:rsidRPr="00BA6A71" w:rsidRDefault="00FF793B" w:rsidP="000A1DE0">
            <w:pPr>
              <w:bidi/>
              <w:jc w:val="center"/>
              <w:rPr>
                <w:rFonts w:ascii="Simplified Arabic" w:eastAsia="Times New Roman" w:hAnsi="Simplified Arabic" w:cs="Simplified Arabic"/>
                <w:b/>
                <w:sz w:val="20"/>
                <w:szCs w:val="20"/>
                <w:lang w:val="en-US" w:eastAsia="fr-FR"/>
              </w:rPr>
            </w:pPr>
            <w:r w:rsidRPr="00BA6A71">
              <w:rPr>
                <w:rFonts w:ascii="Simplified Arabic" w:eastAsia="Times New Roman" w:hAnsi="Simplified Arabic" w:cs="Simplified Arabic"/>
                <w:b/>
                <w:sz w:val="20"/>
                <w:szCs w:val="20"/>
                <w:rtl/>
                <w:lang w:val="en-US" w:eastAsia="fr-FR"/>
              </w:rPr>
              <w:t>التنوع</w:t>
            </w:r>
          </w:p>
        </w:tc>
        <w:tc>
          <w:tcPr>
            <w:tcW w:w="1072" w:type="dxa"/>
            <w:tcBorders>
              <w:top w:val="single" w:sz="8" w:space="0" w:color="auto"/>
              <w:left w:val="single" w:sz="8" w:space="0" w:color="auto"/>
              <w:right w:val="single" w:sz="8" w:space="0" w:color="auto"/>
            </w:tcBorders>
            <w:vAlign w:val="center"/>
          </w:tcPr>
          <w:p w:rsidR="00FF793B" w:rsidRPr="00BA6A71" w:rsidRDefault="00FF793B" w:rsidP="000A1DE0">
            <w:pPr>
              <w:bidi/>
              <w:jc w:val="center"/>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مسافة التغطية بالخدمة</w:t>
            </w:r>
          </w:p>
        </w:tc>
        <w:tc>
          <w:tcPr>
            <w:tcW w:w="975" w:type="dxa"/>
            <w:tcBorders>
              <w:top w:val="single" w:sz="8" w:space="0" w:color="auto"/>
              <w:left w:val="single" w:sz="8" w:space="0" w:color="auto"/>
              <w:right w:val="single" w:sz="8" w:space="0" w:color="auto"/>
            </w:tcBorders>
            <w:vAlign w:val="center"/>
          </w:tcPr>
          <w:p w:rsidR="00FF793B" w:rsidRPr="00BA6A71" w:rsidRDefault="00FF793B" w:rsidP="000A1DE0">
            <w:pPr>
              <w:bidi/>
              <w:jc w:val="center"/>
              <w:rPr>
                <w:rFonts w:ascii="Simplified Arabic" w:eastAsia="Times New Roman" w:hAnsi="Simplified Arabic" w:cs="Simplified Arabic"/>
                <w:b/>
                <w:color w:val="000000"/>
                <w:sz w:val="20"/>
                <w:szCs w:val="20"/>
                <w:lang w:eastAsia="fr-FR"/>
              </w:rPr>
            </w:pPr>
            <w:r w:rsidRPr="00BA6A71">
              <w:rPr>
                <w:rFonts w:ascii="Simplified Arabic" w:eastAsia="Times New Roman" w:hAnsi="Simplified Arabic" w:cs="Simplified Arabic"/>
                <w:b/>
                <w:color w:val="000000"/>
                <w:sz w:val="20"/>
                <w:szCs w:val="20"/>
                <w:rtl/>
                <w:lang w:eastAsia="fr-FR"/>
              </w:rPr>
              <w:t>800 م</w:t>
            </w:r>
          </w:p>
          <w:p w:rsidR="00FF793B" w:rsidRPr="00BA6A71" w:rsidRDefault="00FF793B" w:rsidP="003C0667">
            <w:pPr>
              <w:bidi/>
              <w:jc w:val="center"/>
              <w:rPr>
                <w:rFonts w:ascii="Simplified Arabic" w:eastAsia="Times New Roman" w:hAnsi="Simplified Arabic" w:cs="Simplified Arabic"/>
                <w:b/>
                <w:color w:val="000000"/>
                <w:sz w:val="20"/>
                <w:szCs w:val="20"/>
                <w:rtl/>
                <w:lang w:eastAsia="fr-FR"/>
              </w:rPr>
            </w:pPr>
            <w:r w:rsidRPr="00BA6A71">
              <w:rPr>
                <w:rFonts w:ascii="Simplified Arabic" w:eastAsia="Times New Roman" w:hAnsi="Simplified Arabic" w:cs="Simplified Arabic"/>
                <w:b/>
                <w:color w:val="000000"/>
                <w:sz w:val="20"/>
                <w:szCs w:val="20"/>
                <w:rtl/>
                <w:lang w:eastAsia="fr-FR"/>
              </w:rPr>
              <w:t>2000 م</w:t>
            </w:r>
          </w:p>
          <w:p w:rsidR="00FF793B" w:rsidRPr="00BA6A71" w:rsidRDefault="00FF793B" w:rsidP="003C0667">
            <w:pPr>
              <w:bidi/>
              <w:jc w:val="center"/>
              <w:rPr>
                <w:rFonts w:ascii="Simplified Arabic" w:eastAsia="Times New Roman" w:hAnsi="Simplified Arabic" w:cs="Simplified Arabic"/>
                <w:b/>
                <w:color w:val="000000"/>
                <w:sz w:val="20"/>
                <w:szCs w:val="20"/>
                <w:rtl/>
                <w:lang w:eastAsia="fr-FR"/>
              </w:rPr>
            </w:pPr>
            <w:r w:rsidRPr="00BA6A71">
              <w:rPr>
                <w:rFonts w:ascii="Simplified Arabic" w:eastAsia="Times New Roman" w:hAnsi="Simplified Arabic" w:cs="Simplified Arabic"/>
                <w:b/>
                <w:color w:val="000000"/>
                <w:sz w:val="20"/>
                <w:szCs w:val="20"/>
                <w:rtl/>
                <w:lang w:eastAsia="fr-FR"/>
              </w:rPr>
              <w:t>800 م</w:t>
            </w:r>
          </w:p>
          <w:p w:rsidR="00FF793B" w:rsidRPr="00BA6A71" w:rsidRDefault="00FF793B" w:rsidP="003C0667">
            <w:pPr>
              <w:bidi/>
              <w:jc w:val="center"/>
              <w:rPr>
                <w:rFonts w:ascii="Simplified Arabic" w:eastAsia="Times New Roman" w:hAnsi="Simplified Arabic" w:cs="Simplified Arabic"/>
                <w:b/>
                <w:color w:val="000000"/>
                <w:sz w:val="20"/>
                <w:szCs w:val="20"/>
                <w:rtl/>
                <w:lang w:eastAsia="fr-FR"/>
              </w:rPr>
            </w:pPr>
            <w:r w:rsidRPr="00BA6A71">
              <w:rPr>
                <w:rFonts w:ascii="Simplified Arabic" w:eastAsia="Times New Roman" w:hAnsi="Simplified Arabic" w:cs="Simplified Arabic"/>
                <w:b/>
                <w:color w:val="000000"/>
                <w:sz w:val="20"/>
                <w:szCs w:val="20"/>
                <w:rtl/>
                <w:lang w:eastAsia="fr-FR"/>
              </w:rPr>
              <w:t>400 م</w:t>
            </w:r>
          </w:p>
          <w:p w:rsidR="00FF793B" w:rsidRPr="00BA6A71" w:rsidRDefault="00FF793B" w:rsidP="003C0667">
            <w:pPr>
              <w:bidi/>
              <w:jc w:val="center"/>
              <w:rPr>
                <w:rFonts w:ascii="Simplified Arabic" w:eastAsia="Times New Roman" w:hAnsi="Simplified Arabic" w:cs="Simplified Arabic"/>
                <w:b/>
                <w:color w:val="000000"/>
                <w:sz w:val="20"/>
                <w:szCs w:val="20"/>
                <w:lang w:eastAsia="fr-FR"/>
              </w:rPr>
            </w:pPr>
            <w:r w:rsidRPr="00BA6A71">
              <w:rPr>
                <w:rFonts w:ascii="Simplified Arabic" w:eastAsia="Times New Roman" w:hAnsi="Simplified Arabic" w:cs="Simplified Arabic"/>
                <w:b/>
                <w:color w:val="000000"/>
                <w:sz w:val="20"/>
                <w:szCs w:val="20"/>
                <w:rtl/>
                <w:lang w:eastAsia="fr-FR"/>
              </w:rPr>
              <w:t>800 م</w:t>
            </w:r>
          </w:p>
        </w:tc>
        <w:tc>
          <w:tcPr>
            <w:tcW w:w="2728" w:type="dxa"/>
            <w:gridSpan w:val="2"/>
            <w:tcBorders>
              <w:top w:val="single" w:sz="8" w:space="0" w:color="auto"/>
              <w:left w:val="single" w:sz="8" w:space="0" w:color="auto"/>
              <w:right w:val="single" w:sz="8" w:space="0" w:color="auto"/>
            </w:tcBorders>
            <w:shd w:val="clear" w:color="auto" w:fill="auto"/>
            <w:vAlign w:val="center"/>
          </w:tcPr>
          <w:p w:rsidR="00FF793B" w:rsidRPr="00BA6A71" w:rsidRDefault="00FF793B" w:rsidP="0030761B">
            <w:pPr>
              <w:bidi/>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المسافة الاقليدية للتغطية بخدمة المرفق</w:t>
            </w:r>
          </w:p>
        </w:tc>
        <w:tc>
          <w:tcPr>
            <w:tcW w:w="910" w:type="dxa"/>
            <w:tcBorders>
              <w:top w:val="single" w:sz="8" w:space="0" w:color="auto"/>
              <w:left w:val="single" w:sz="8" w:space="0" w:color="auto"/>
              <w:right w:val="single" w:sz="8" w:space="0" w:color="auto"/>
            </w:tcBorders>
            <w:vAlign w:val="center"/>
          </w:tcPr>
          <w:p w:rsidR="00FF793B" w:rsidRPr="00BA6A71" w:rsidRDefault="00FF793B" w:rsidP="000A1DE0">
            <w:pPr>
              <w:bidi/>
              <w:jc w:val="center"/>
              <w:rPr>
                <w:rFonts w:ascii="Simplified Arabic" w:eastAsia="Times New Roman" w:hAnsi="Simplified Arabic" w:cs="Simplified Arabic"/>
                <w:b/>
                <w:sz w:val="20"/>
                <w:szCs w:val="20"/>
                <w:rtl/>
                <w:lang w:val="en-US" w:eastAsia="fr-FR"/>
              </w:rPr>
            </w:pPr>
            <w:r w:rsidRPr="00BA6A71">
              <w:rPr>
                <w:rFonts w:ascii="Simplified Arabic" w:eastAsia="Times New Roman" w:hAnsi="Simplified Arabic" w:cs="Simplified Arabic"/>
                <w:b/>
                <w:sz w:val="20"/>
                <w:szCs w:val="20"/>
                <w:rtl/>
                <w:lang w:val="en-US" w:eastAsia="fr-FR"/>
              </w:rPr>
              <w:t>المتر</w:t>
            </w:r>
          </w:p>
        </w:tc>
      </w:tr>
      <w:tr w:rsidR="00AC36AD" w:rsidRPr="00AC36AD" w:rsidTr="00CC4870">
        <w:trPr>
          <w:trHeight w:val="60"/>
          <w:jc w:val="center"/>
        </w:trPr>
        <w:tc>
          <w:tcPr>
            <w:tcW w:w="706" w:type="dxa"/>
            <w:vMerge/>
            <w:tcBorders>
              <w:left w:val="single" w:sz="8" w:space="0" w:color="auto"/>
              <w:bottom w:val="single" w:sz="8" w:space="0" w:color="auto"/>
              <w:right w:val="single" w:sz="8" w:space="0" w:color="auto"/>
            </w:tcBorders>
            <w:vAlign w:val="center"/>
          </w:tcPr>
          <w:p w:rsidR="00FF793B" w:rsidRPr="00AC36AD" w:rsidRDefault="00FF793B" w:rsidP="00FF793B">
            <w:pPr>
              <w:bidi/>
              <w:rPr>
                <w:rFonts w:ascii="Simplified Arabic" w:eastAsia="Times New Roman" w:hAnsi="Simplified Arabic" w:cs="Simplified Arabic"/>
                <w:b/>
                <w:sz w:val="24"/>
                <w:szCs w:val="24"/>
                <w:rtl/>
                <w:lang w:val="en-US" w:eastAsia="fr-FR"/>
              </w:rPr>
            </w:pPr>
          </w:p>
        </w:tc>
        <w:tc>
          <w:tcPr>
            <w:tcW w:w="1564" w:type="dxa"/>
            <w:tcBorders>
              <w:left w:val="single" w:sz="8" w:space="0" w:color="auto"/>
              <w:bottom w:val="single" w:sz="8" w:space="0" w:color="auto"/>
              <w:right w:val="single" w:sz="8" w:space="0" w:color="auto"/>
            </w:tcBorders>
            <w:vAlign w:val="center"/>
          </w:tcPr>
          <w:p w:rsidR="00FF793B" w:rsidRPr="00BA6A71" w:rsidRDefault="00FF793B" w:rsidP="00FF793B">
            <w:pPr>
              <w:bidi/>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مخزون المسكن</w:t>
            </w:r>
          </w:p>
        </w:tc>
        <w:tc>
          <w:tcPr>
            <w:tcW w:w="834" w:type="dxa"/>
            <w:tcBorders>
              <w:left w:val="single" w:sz="8" w:space="0" w:color="auto"/>
              <w:bottom w:val="single" w:sz="8" w:space="0" w:color="auto"/>
              <w:right w:val="single" w:sz="8" w:space="0" w:color="auto"/>
            </w:tcBorders>
            <w:vAlign w:val="center"/>
          </w:tcPr>
          <w:p w:rsidR="00FF793B" w:rsidRPr="00BA6A71" w:rsidRDefault="00FF793B" w:rsidP="000A1DE0">
            <w:pPr>
              <w:bidi/>
              <w:jc w:val="center"/>
              <w:rPr>
                <w:rFonts w:ascii="Simplified Arabic" w:eastAsia="Times New Roman" w:hAnsi="Simplified Arabic" w:cs="Simplified Arabic"/>
                <w:b/>
                <w:lang w:val="en-US" w:eastAsia="fr-FR"/>
              </w:rPr>
            </w:pPr>
            <w:r w:rsidRPr="00BA6A71">
              <w:rPr>
                <w:rFonts w:ascii="Simplified Arabic" w:eastAsia="Times New Roman" w:hAnsi="Simplified Arabic" w:cs="Simplified Arabic"/>
                <w:b/>
                <w:rtl/>
                <w:lang w:val="en-US" w:eastAsia="fr-FR"/>
              </w:rPr>
              <w:t>الكثافة</w:t>
            </w:r>
          </w:p>
        </w:tc>
        <w:tc>
          <w:tcPr>
            <w:tcW w:w="1072" w:type="dxa"/>
            <w:tcBorders>
              <w:left w:val="single" w:sz="8" w:space="0" w:color="auto"/>
              <w:bottom w:val="single" w:sz="8" w:space="0" w:color="auto"/>
              <w:right w:val="single" w:sz="8" w:space="0" w:color="auto"/>
            </w:tcBorders>
            <w:vAlign w:val="center"/>
          </w:tcPr>
          <w:p w:rsidR="00FF793B" w:rsidRPr="00BA6A71" w:rsidRDefault="00FF793B" w:rsidP="0028074B">
            <w:pPr>
              <w:bidi/>
              <w:jc w:val="center"/>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 xml:space="preserve">مسافة الوصول الى </w:t>
            </w:r>
            <w:r w:rsidR="0028074B" w:rsidRPr="00BA6A71">
              <w:rPr>
                <w:rFonts w:ascii="Simplified Arabic" w:eastAsia="Times New Roman" w:hAnsi="Simplified Arabic" w:cs="Simplified Arabic" w:hint="cs"/>
                <w:b/>
                <w:rtl/>
                <w:lang w:val="en-US" w:eastAsia="fr-FR"/>
              </w:rPr>
              <w:t>المباني</w:t>
            </w:r>
          </w:p>
        </w:tc>
        <w:tc>
          <w:tcPr>
            <w:tcW w:w="975" w:type="dxa"/>
            <w:tcBorders>
              <w:left w:val="single" w:sz="8" w:space="0" w:color="auto"/>
              <w:bottom w:val="single" w:sz="8" w:space="0" w:color="auto"/>
              <w:right w:val="single" w:sz="8" w:space="0" w:color="auto"/>
            </w:tcBorders>
            <w:vAlign w:val="center"/>
          </w:tcPr>
          <w:p w:rsidR="00FF793B" w:rsidRPr="00BA6A71" w:rsidRDefault="000915D5" w:rsidP="000A1DE0">
            <w:pPr>
              <w:bidi/>
              <w:jc w:val="center"/>
              <w:rPr>
                <w:rFonts w:ascii="Simplified Arabic" w:eastAsia="Times New Roman" w:hAnsi="Simplified Arabic" w:cs="Simplified Arabic"/>
                <w:b/>
                <w:color w:val="000000"/>
                <w:lang w:eastAsia="fr-FR"/>
              </w:rPr>
            </w:pPr>
            <w:r w:rsidRPr="00BA6A71">
              <w:rPr>
                <w:rFonts w:ascii="Simplified Arabic" w:eastAsia="Times New Roman" w:hAnsi="Simplified Arabic" w:cs="Simplified Arabic"/>
                <w:b/>
                <w:color w:val="000000"/>
                <w:rtl/>
                <w:lang w:eastAsia="fr-FR"/>
              </w:rPr>
              <w:t>300</w:t>
            </w:r>
            <w:r w:rsidR="00FF793B" w:rsidRPr="00BA6A71">
              <w:rPr>
                <w:rFonts w:ascii="Simplified Arabic" w:eastAsia="Times New Roman" w:hAnsi="Simplified Arabic" w:cs="Simplified Arabic"/>
                <w:b/>
                <w:color w:val="000000"/>
                <w:rtl/>
                <w:lang w:eastAsia="fr-FR"/>
              </w:rPr>
              <w:t xml:space="preserve"> م</w:t>
            </w:r>
          </w:p>
        </w:tc>
        <w:tc>
          <w:tcPr>
            <w:tcW w:w="2728" w:type="dxa"/>
            <w:gridSpan w:val="2"/>
            <w:tcBorders>
              <w:left w:val="single" w:sz="8" w:space="0" w:color="auto"/>
              <w:bottom w:val="single" w:sz="8" w:space="0" w:color="auto"/>
              <w:right w:val="single" w:sz="8" w:space="0" w:color="auto"/>
            </w:tcBorders>
            <w:shd w:val="clear" w:color="auto" w:fill="auto"/>
            <w:vAlign w:val="center"/>
          </w:tcPr>
          <w:p w:rsidR="00FF793B" w:rsidRPr="00BA6A71" w:rsidRDefault="00FF793B" w:rsidP="0028074B">
            <w:pPr>
              <w:bidi/>
              <w:rPr>
                <w:rFonts w:ascii="Simplified Arabic" w:eastAsia="Times New Roman" w:hAnsi="Simplified Arabic" w:cs="Simplified Arabic"/>
                <w:b/>
                <w:rtl/>
                <w:lang w:val="en-US" w:eastAsia="fr-FR"/>
              </w:rPr>
            </w:pPr>
            <w:r w:rsidRPr="00BA6A71">
              <w:rPr>
                <w:rFonts w:ascii="Simplified Arabic" w:hAnsi="Simplified Arabic" w:cs="Simplified Arabic"/>
                <w:b/>
                <w:rtl/>
              </w:rPr>
              <w:t xml:space="preserve">نصف قطر الحيز المكاني </w:t>
            </w:r>
            <w:r w:rsidR="0028074B" w:rsidRPr="00BA6A71">
              <w:rPr>
                <w:rFonts w:ascii="Simplified Arabic" w:hAnsi="Simplified Arabic" w:cs="Simplified Arabic" w:hint="cs"/>
                <w:b/>
                <w:rtl/>
              </w:rPr>
              <w:t>ب</w:t>
            </w:r>
            <w:r w:rsidRPr="00BA6A71">
              <w:rPr>
                <w:rFonts w:ascii="Simplified Arabic" w:hAnsi="Simplified Arabic" w:cs="Simplified Arabic"/>
                <w:b/>
                <w:rtl/>
              </w:rPr>
              <w:t xml:space="preserve">مسافة </w:t>
            </w:r>
            <w:r w:rsidR="000915D5" w:rsidRPr="00BA6A71">
              <w:rPr>
                <w:rFonts w:ascii="Simplified Arabic" w:hAnsi="Simplified Arabic" w:cs="Simplified Arabic"/>
                <w:b/>
                <w:rtl/>
              </w:rPr>
              <w:t>300</w:t>
            </w:r>
            <w:r w:rsidRPr="00BA6A71">
              <w:rPr>
                <w:rFonts w:ascii="Simplified Arabic" w:hAnsi="Simplified Arabic" w:cs="Simplified Arabic"/>
                <w:b/>
                <w:rtl/>
              </w:rPr>
              <w:t xml:space="preserve"> متر، </w:t>
            </w:r>
            <w:r w:rsidR="0028074B" w:rsidRPr="00BA6A71">
              <w:rPr>
                <w:rFonts w:ascii="Simplified Arabic" w:hAnsi="Simplified Arabic" w:cs="Simplified Arabic" w:hint="cs"/>
                <w:b/>
                <w:rtl/>
              </w:rPr>
              <w:t>ال</w:t>
            </w:r>
            <w:r w:rsidR="0028074B" w:rsidRPr="00BA6A71">
              <w:rPr>
                <w:rFonts w:ascii="Simplified Arabic" w:hAnsi="Simplified Arabic" w:cs="Simplified Arabic"/>
                <w:b/>
                <w:color w:val="000000" w:themeColor="text1"/>
                <w:rtl/>
                <w:lang w:bidi="ar-DZ"/>
              </w:rPr>
              <w:t xml:space="preserve">مسافة </w:t>
            </w:r>
            <w:r w:rsidR="0028074B" w:rsidRPr="00BA6A71">
              <w:rPr>
                <w:rFonts w:ascii="Simplified Arabic" w:hAnsi="Simplified Arabic" w:cs="Simplified Arabic" w:hint="cs"/>
                <w:b/>
                <w:color w:val="000000" w:themeColor="text1"/>
                <w:rtl/>
                <w:lang w:bidi="ar-DZ"/>
              </w:rPr>
              <w:t>الم</w:t>
            </w:r>
            <w:r w:rsidRPr="00BA6A71">
              <w:rPr>
                <w:rFonts w:ascii="Simplified Arabic" w:hAnsi="Simplified Arabic" w:cs="Simplified Arabic"/>
                <w:b/>
                <w:rtl/>
              </w:rPr>
              <w:t>حس</w:t>
            </w:r>
            <w:r w:rsidR="0028074B" w:rsidRPr="00BA6A71">
              <w:rPr>
                <w:rFonts w:ascii="Simplified Arabic" w:hAnsi="Simplified Arabic" w:cs="Simplified Arabic" w:hint="cs"/>
                <w:b/>
                <w:rtl/>
              </w:rPr>
              <w:t>و</w:t>
            </w:r>
            <w:r w:rsidRPr="00BA6A71">
              <w:rPr>
                <w:rFonts w:ascii="Simplified Arabic" w:hAnsi="Simplified Arabic" w:cs="Simplified Arabic"/>
                <w:b/>
                <w:rtl/>
              </w:rPr>
              <w:t>ب</w:t>
            </w:r>
            <w:r w:rsidR="0028074B" w:rsidRPr="00BA6A71">
              <w:rPr>
                <w:rFonts w:ascii="Simplified Arabic" w:hAnsi="Simplified Arabic" w:cs="Simplified Arabic" w:hint="cs"/>
                <w:b/>
                <w:rtl/>
              </w:rPr>
              <w:t>ة</w:t>
            </w:r>
            <w:r w:rsidRPr="00BA6A71">
              <w:rPr>
                <w:rFonts w:ascii="Simplified Arabic" w:hAnsi="Simplified Arabic" w:cs="Simplified Arabic"/>
                <w:b/>
                <w:rtl/>
              </w:rPr>
              <w:t xml:space="preserve"> </w:t>
            </w:r>
            <w:r w:rsidR="0028074B" w:rsidRPr="00BA6A71">
              <w:rPr>
                <w:rFonts w:ascii="Simplified Arabic" w:hAnsi="Simplified Arabic" w:cs="Simplified Arabic" w:hint="cs"/>
                <w:b/>
                <w:rtl/>
              </w:rPr>
              <w:t xml:space="preserve">على </w:t>
            </w:r>
            <w:r w:rsidRPr="00BA6A71">
              <w:rPr>
                <w:rFonts w:ascii="Simplified Arabic" w:hAnsi="Simplified Arabic" w:cs="Simplified Arabic"/>
                <w:b/>
                <w:color w:val="000000" w:themeColor="text1"/>
                <w:rtl/>
                <w:lang w:bidi="ar-DZ"/>
              </w:rPr>
              <w:t xml:space="preserve">شبكة الشوارع </w:t>
            </w:r>
            <w:r w:rsidR="0028074B" w:rsidRPr="00BA6A71">
              <w:rPr>
                <w:rFonts w:ascii="Simplified Arabic" w:hAnsi="Simplified Arabic" w:cs="Simplified Arabic" w:hint="cs"/>
                <w:b/>
                <w:color w:val="000000" w:themeColor="text1"/>
                <w:rtl/>
                <w:lang w:bidi="ar-DZ"/>
              </w:rPr>
              <w:t>على</w:t>
            </w:r>
            <w:r w:rsidRPr="00BA6A71">
              <w:rPr>
                <w:rFonts w:ascii="Simplified Arabic" w:hAnsi="Simplified Arabic" w:cs="Simplified Arabic"/>
                <w:b/>
                <w:color w:val="000000" w:themeColor="text1"/>
                <w:rtl/>
                <w:lang w:bidi="ar-DZ"/>
              </w:rPr>
              <w:t xml:space="preserve"> المسافة </w:t>
            </w:r>
            <w:r w:rsidR="0028074B" w:rsidRPr="00BA6A71">
              <w:rPr>
                <w:rFonts w:ascii="Simplified Arabic" w:hAnsi="Simplified Arabic" w:cs="Simplified Arabic" w:hint="cs"/>
                <w:b/>
                <w:color w:val="000000" w:themeColor="text1"/>
                <w:rtl/>
                <w:lang w:bidi="ar-DZ"/>
              </w:rPr>
              <w:t>الم</w:t>
            </w:r>
            <w:r w:rsidR="0028074B" w:rsidRPr="00BA6A71">
              <w:rPr>
                <w:rFonts w:ascii="Simplified Arabic" w:hAnsi="Simplified Arabic" w:cs="Simplified Arabic"/>
                <w:b/>
                <w:rtl/>
              </w:rPr>
              <w:t>حس</w:t>
            </w:r>
            <w:r w:rsidR="0028074B" w:rsidRPr="00BA6A71">
              <w:rPr>
                <w:rFonts w:ascii="Simplified Arabic" w:hAnsi="Simplified Arabic" w:cs="Simplified Arabic" w:hint="cs"/>
                <w:b/>
                <w:rtl/>
              </w:rPr>
              <w:t>و</w:t>
            </w:r>
            <w:r w:rsidR="0028074B" w:rsidRPr="00BA6A71">
              <w:rPr>
                <w:rFonts w:ascii="Simplified Arabic" w:hAnsi="Simplified Arabic" w:cs="Simplified Arabic"/>
                <w:b/>
                <w:rtl/>
              </w:rPr>
              <w:t>ب</w:t>
            </w:r>
            <w:r w:rsidR="0028074B" w:rsidRPr="00BA6A71">
              <w:rPr>
                <w:rFonts w:ascii="Simplified Arabic" w:hAnsi="Simplified Arabic" w:cs="Simplified Arabic" w:hint="cs"/>
                <w:b/>
                <w:rtl/>
              </w:rPr>
              <w:t>ة</w:t>
            </w:r>
            <w:r w:rsidR="0028074B" w:rsidRPr="00BA6A71">
              <w:rPr>
                <w:rFonts w:ascii="Simplified Arabic" w:hAnsi="Simplified Arabic" w:cs="Simplified Arabic"/>
                <w:b/>
                <w:rtl/>
              </w:rPr>
              <w:t xml:space="preserve"> </w:t>
            </w:r>
            <w:r w:rsidR="0028074B" w:rsidRPr="00BA6A71">
              <w:rPr>
                <w:rFonts w:ascii="Simplified Arabic" w:hAnsi="Simplified Arabic" w:cs="Simplified Arabic"/>
                <w:b/>
                <w:color w:val="000000" w:themeColor="text1"/>
                <w:rtl/>
                <w:lang w:bidi="ar-DZ"/>
              </w:rPr>
              <w:t>اقليديا</w:t>
            </w:r>
            <w:r w:rsidR="0028074B" w:rsidRPr="00BA6A71">
              <w:rPr>
                <w:rFonts w:ascii="Simplified Arabic" w:hAnsi="Simplified Arabic" w:cs="Simplified Arabic" w:hint="cs"/>
                <w:b/>
                <w:color w:val="000000" w:themeColor="text1"/>
                <w:rtl/>
                <w:lang w:bidi="ar-DZ"/>
              </w:rPr>
              <w:t xml:space="preserve">، </w:t>
            </w:r>
            <w:r w:rsidRPr="00BA6A71">
              <w:rPr>
                <w:rFonts w:ascii="Simplified Arabic" w:hAnsi="Simplified Arabic" w:cs="Simplified Arabic"/>
                <w:b/>
                <w:color w:val="000000" w:themeColor="text1"/>
                <w:rtl/>
                <w:lang w:bidi="ar-DZ"/>
              </w:rPr>
              <w:t>ضمن نفس الحيز المكاني</w:t>
            </w:r>
          </w:p>
        </w:tc>
        <w:tc>
          <w:tcPr>
            <w:tcW w:w="910" w:type="dxa"/>
            <w:tcBorders>
              <w:left w:val="single" w:sz="8" w:space="0" w:color="auto"/>
              <w:bottom w:val="single" w:sz="8" w:space="0" w:color="auto"/>
              <w:right w:val="single" w:sz="8" w:space="0" w:color="auto"/>
            </w:tcBorders>
            <w:vAlign w:val="center"/>
          </w:tcPr>
          <w:p w:rsidR="00FF793B" w:rsidRPr="00BA6A71" w:rsidRDefault="00FF793B" w:rsidP="000A1DE0">
            <w:pPr>
              <w:bidi/>
              <w:jc w:val="center"/>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المتر</w:t>
            </w:r>
          </w:p>
        </w:tc>
      </w:tr>
      <w:tr w:rsidR="00BA6A71" w:rsidRPr="00AC36AD" w:rsidTr="00490829">
        <w:trPr>
          <w:trHeight w:val="581"/>
          <w:jc w:val="center"/>
        </w:trPr>
        <w:tc>
          <w:tcPr>
            <w:tcW w:w="706" w:type="dxa"/>
            <w:vMerge w:val="restart"/>
            <w:tcBorders>
              <w:top w:val="single" w:sz="8" w:space="0" w:color="auto"/>
              <w:left w:val="single" w:sz="8" w:space="0" w:color="auto"/>
              <w:right w:val="single" w:sz="8" w:space="0" w:color="auto"/>
            </w:tcBorders>
            <w:vAlign w:val="center"/>
          </w:tcPr>
          <w:p w:rsidR="00BA6A71" w:rsidRPr="00BA6A71" w:rsidRDefault="00BA6A71" w:rsidP="00BA6A71">
            <w:pPr>
              <w:bidi/>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 xml:space="preserve">مكون هيكلي </w:t>
            </w:r>
          </w:p>
        </w:tc>
        <w:tc>
          <w:tcPr>
            <w:tcW w:w="1564" w:type="dxa"/>
            <w:vMerge w:val="restart"/>
            <w:tcBorders>
              <w:top w:val="single" w:sz="8" w:space="0" w:color="auto"/>
              <w:left w:val="single" w:sz="8" w:space="0" w:color="auto"/>
              <w:right w:val="single" w:sz="8" w:space="0" w:color="auto"/>
            </w:tcBorders>
            <w:vAlign w:val="center"/>
          </w:tcPr>
          <w:p w:rsidR="00BA6A71" w:rsidRPr="00BA6A71" w:rsidRDefault="00BA6A71" w:rsidP="00BA6A71">
            <w:pPr>
              <w:bidi/>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الطرق الرئيسية والثانوية</w:t>
            </w:r>
          </w:p>
        </w:tc>
        <w:tc>
          <w:tcPr>
            <w:tcW w:w="834" w:type="dxa"/>
            <w:vMerge w:val="restart"/>
            <w:tcBorders>
              <w:top w:val="single" w:sz="8" w:space="0" w:color="auto"/>
              <w:left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lang w:val="en-US" w:eastAsia="fr-FR"/>
              </w:rPr>
            </w:pPr>
            <w:r w:rsidRPr="00BA6A71">
              <w:rPr>
                <w:rFonts w:ascii="Simplified Arabic" w:eastAsia="Times New Roman" w:hAnsi="Simplified Arabic" w:cs="Simplified Arabic"/>
                <w:b/>
                <w:rtl/>
                <w:lang w:val="en-US" w:eastAsia="fr-FR"/>
              </w:rPr>
              <w:t>الاتصال</w:t>
            </w:r>
            <w:r w:rsidR="00C23656">
              <w:rPr>
                <w:rFonts w:ascii="Simplified Arabic" w:eastAsia="Times New Roman" w:hAnsi="Simplified Arabic" w:cs="Simplified Arabic" w:hint="cs"/>
                <w:b/>
                <w:rtl/>
                <w:lang w:val="en-US" w:eastAsia="fr-FR"/>
              </w:rPr>
              <w:t>ية</w:t>
            </w:r>
          </w:p>
        </w:tc>
        <w:tc>
          <w:tcPr>
            <w:tcW w:w="1072" w:type="dxa"/>
            <w:vMerge w:val="restart"/>
            <w:tcBorders>
              <w:top w:val="single" w:sz="8" w:space="0" w:color="auto"/>
              <w:left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hint="cs"/>
                <w:b/>
                <w:rtl/>
                <w:lang w:val="en-US" w:eastAsia="fr-FR"/>
              </w:rPr>
              <w:t>عمق</w:t>
            </w:r>
            <w:r w:rsidRPr="00BA6A71">
              <w:rPr>
                <w:rFonts w:ascii="Simplified Arabic" w:eastAsia="Times New Roman" w:hAnsi="Simplified Arabic" w:cs="Simplified Arabic"/>
                <w:b/>
                <w:rtl/>
                <w:lang w:val="en-US" w:eastAsia="fr-FR"/>
              </w:rPr>
              <w:t xml:space="preserve"> الطرق الرئيسية </w:t>
            </w:r>
          </w:p>
        </w:tc>
        <w:tc>
          <w:tcPr>
            <w:tcW w:w="1636" w:type="dxa"/>
            <w:gridSpan w:val="2"/>
            <w:tcBorders>
              <w:top w:val="single" w:sz="8" w:space="0" w:color="auto"/>
              <w:left w:val="single" w:sz="8" w:space="0" w:color="auto"/>
              <w:bottom w:val="single" w:sz="8" w:space="0" w:color="auto"/>
              <w:right w:val="single" w:sz="8" w:space="0" w:color="auto"/>
            </w:tcBorders>
            <w:vAlign w:val="center"/>
          </w:tcPr>
          <w:p w:rsidR="00BA6A71" w:rsidRPr="00BA6A71" w:rsidRDefault="00BA6A71" w:rsidP="00BA6A71">
            <w:pPr>
              <w:bidi/>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 xml:space="preserve">400م نسيج تقليدي </w:t>
            </w:r>
          </w:p>
        </w:tc>
        <w:tc>
          <w:tcPr>
            <w:tcW w:w="2067" w:type="dxa"/>
            <w:vMerge w:val="restart"/>
            <w:tcBorders>
              <w:top w:val="single" w:sz="8" w:space="0" w:color="auto"/>
              <w:left w:val="single" w:sz="8" w:space="0" w:color="auto"/>
              <w:right w:val="single" w:sz="8" w:space="0" w:color="auto"/>
            </w:tcBorders>
            <w:shd w:val="clear" w:color="auto" w:fill="auto"/>
            <w:vAlign w:val="center"/>
          </w:tcPr>
          <w:p w:rsidR="00BA6A71" w:rsidRPr="00BA6A71" w:rsidRDefault="00BA6A71" w:rsidP="00BA6A71">
            <w:pPr>
              <w:bidi/>
              <w:rPr>
                <w:rFonts w:ascii="Simplified Arabic" w:eastAsia="Times New Roman" w:hAnsi="Simplified Arabic" w:cs="Simplified Arabic"/>
                <w:b/>
                <w:rtl/>
                <w:lang w:val="en-US" w:eastAsia="fr-FR"/>
              </w:rPr>
            </w:pPr>
            <w:r w:rsidRPr="00BA6A71">
              <w:rPr>
                <w:rFonts w:ascii="Simplified Arabic" w:hAnsi="Simplified Arabic" w:cs="Simplified Arabic" w:hint="cs"/>
                <w:b/>
                <w:rtl/>
                <w:lang w:val="en-US" w:bidi="ar-DZ"/>
              </w:rPr>
              <w:t>عمق</w:t>
            </w:r>
            <w:r w:rsidRPr="00BA6A71">
              <w:rPr>
                <w:rFonts w:ascii="Simplified Arabic" w:hAnsi="Simplified Arabic" w:cs="Simplified Arabic"/>
                <w:b/>
                <w:rtl/>
                <w:lang w:val="en-US" w:bidi="ar-DZ"/>
              </w:rPr>
              <w:t xml:space="preserve"> </w:t>
            </w:r>
            <w:r w:rsidRPr="00BA6A71">
              <w:rPr>
                <w:rFonts w:ascii="Simplified Arabic" w:eastAsia="Times New Roman" w:hAnsi="Simplified Arabic" w:cs="Simplified Arabic"/>
                <w:b/>
                <w:rtl/>
                <w:lang w:val="en-US" w:eastAsia="fr-FR"/>
              </w:rPr>
              <w:t xml:space="preserve">الطريق الرئيسي هو المسافة بين تقاطعات الطرق الرئيسية </w:t>
            </w:r>
          </w:p>
        </w:tc>
        <w:tc>
          <w:tcPr>
            <w:tcW w:w="910" w:type="dxa"/>
            <w:vMerge w:val="restart"/>
            <w:tcBorders>
              <w:top w:val="single" w:sz="8" w:space="0" w:color="auto"/>
              <w:left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كم /كم</w:t>
            </w:r>
            <w:r w:rsidRPr="00BA6A71">
              <w:rPr>
                <w:rFonts w:ascii="Simplified Arabic" w:eastAsia="Times New Roman" w:hAnsi="Simplified Arabic" w:cs="Simplified Arabic"/>
                <w:b/>
                <w:vertAlign w:val="superscript"/>
                <w:rtl/>
                <w:lang w:val="en-US" w:eastAsia="fr-FR"/>
              </w:rPr>
              <w:t>2</w:t>
            </w:r>
          </w:p>
        </w:tc>
      </w:tr>
      <w:tr w:rsidR="00BA6A71" w:rsidRPr="00AC36AD" w:rsidTr="00490829">
        <w:trPr>
          <w:trHeight w:val="50"/>
          <w:jc w:val="center"/>
        </w:trPr>
        <w:tc>
          <w:tcPr>
            <w:tcW w:w="706" w:type="dxa"/>
            <w:vMerge/>
            <w:tcBorders>
              <w:left w:val="single" w:sz="8" w:space="0" w:color="auto"/>
              <w:right w:val="single" w:sz="8" w:space="0" w:color="auto"/>
            </w:tcBorders>
            <w:vAlign w:val="center"/>
          </w:tcPr>
          <w:p w:rsidR="00BA6A71" w:rsidRPr="00BA6A71" w:rsidRDefault="00BA6A71" w:rsidP="00BA6A71">
            <w:pPr>
              <w:bidi/>
              <w:rPr>
                <w:rFonts w:ascii="Simplified Arabic" w:eastAsia="Times New Roman" w:hAnsi="Simplified Arabic" w:cs="Simplified Arabic"/>
                <w:b/>
                <w:rtl/>
                <w:lang w:val="en-US" w:eastAsia="fr-FR"/>
              </w:rPr>
            </w:pPr>
          </w:p>
        </w:tc>
        <w:tc>
          <w:tcPr>
            <w:tcW w:w="1564" w:type="dxa"/>
            <w:vMerge/>
            <w:tcBorders>
              <w:left w:val="single" w:sz="8" w:space="0" w:color="auto"/>
              <w:right w:val="single" w:sz="8" w:space="0" w:color="auto"/>
            </w:tcBorders>
            <w:vAlign w:val="center"/>
          </w:tcPr>
          <w:p w:rsidR="00BA6A71" w:rsidRPr="00BA6A71" w:rsidRDefault="00BA6A71" w:rsidP="00BA6A71">
            <w:pPr>
              <w:bidi/>
              <w:rPr>
                <w:rFonts w:ascii="Simplified Arabic" w:eastAsia="Times New Roman" w:hAnsi="Simplified Arabic" w:cs="Simplified Arabic"/>
                <w:b/>
                <w:rtl/>
                <w:lang w:val="en-US" w:eastAsia="fr-FR"/>
              </w:rPr>
            </w:pPr>
          </w:p>
        </w:tc>
        <w:tc>
          <w:tcPr>
            <w:tcW w:w="834" w:type="dxa"/>
            <w:vMerge/>
            <w:tcBorders>
              <w:left w:val="single" w:sz="8" w:space="0" w:color="auto"/>
              <w:bottom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p>
        </w:tc>
        <w:tc>
          <w:tcPr>
            <w:tcW w:w="1072" w:type="dxa"/>
            <w:vMerge/>
            <w:tcBorders>
              <w:left w:val="single" w:sz="8" w:space="0" w:color="auto"/>
              <w:bottom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p>
        </w:tc>
        <w:tc>
          <w:tcPr>
            <w:tcW w:w="1636" w:type="dxa"/>
            <w:gridSpan w:val="2"/>
            <w:tcBorders>
              <w:top w:val="single" w:sz="8" w:space="0" w:color="auto"/>
              <w:left w:val="single" w:sz="8" w:space="0" w:color="auto"/>
              <w:bottom w:val="single" w:sz="8" w:space="0" w:color="auto"/>
              <w:right w:val="single" w:sz="8" w:space="0" w:color="auto"/>
            </w:tcBorders>
            <w:vAlign w:val="center"/>
          </w:tcPr>
          <w:p w:rsidR="00BA6A71" w:rsidRPr="00BA6A71" w:rsidRDefault="00BA6A71" w:rsidP="00490829">
            <w:pPr>
              <w:bidi/>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778م نسيج</w:t>
            </w:r>
            <w:r w:rsidR="00490829">
              <w:rPr>
                <w:rFonts w:ascii="Simplified Arabic" w:eastAsia="Times New Roman" w:hAnsi="Simplified Arabic" w:cs="Simplified Arabic" w:hint="cs"/>
                <w:b/>
                <w:rtl/>
                <w:lang w:val="en-US" w:eastAsia="fr-FR"/>
              </w:rPr>
              <w:t xml:space="preserve"> </w:t>
            </w:r>
            <w:r w:rsidRPr="00BA6A71">
              <w:rPr>
                <w:rFonts w:ascii="Simplified Arabic" w:eastAsia="Times New Roman" w:hAnsi="Simplified Arabic" w:cs="Simplified Arabic"/>
                <w:b/>
                <w:rtl/>
                <w:lang w:val="en-US" w:eastAsia="fr-FR"/>
              </w:rPr>
              <w:t>عصري</w:t>
            </w:r>
          </w:p>
        </w:tc>
        <w:tc>
          <w:tcPr>
            <w:tcW w:w="2067" w:type="dxa"/>
            <w:vMerge/>
            <w:tcBorders>
              <w:left w:val="single" w:sz="8" w:space="0" w:color="auto"/>
              <w:bottom w:val="single" w:sz="8" w:space="0" w:color="auto"/>
              <w:right w:val="single" w:sz="8" w:space="0" w:color="auto"/>
            </w:tcBorders>
            <w:shd w:val="clear" w:color="auto" w:fill="auto"/>
            <w:vAlign w:val="center"/>
          </w:tcPr>
          <w:p w:rsidR="00BA6A71" w:rsidRPr="00BA6A71" w:rsidRDefault="00BA6A71" w:rsidP="00BA6A71">
            <w:pPr>
              <w:bidi/>
              <w:rPr>
                <w:rFonts w:ascii="Simplified Arabic" w:eastAsia="Times New Roman" w:hAnsi="Simplified Arabic" w:cs="Simplified Arabic"/>
                <w:b/>
                <w:rtl/>
                <w:lang w:val="en-US" w:eastAsia="fr-FR"/>
              </w:rPr>
            </w:pPr>
          </w:p>
        </w:tc>
        <w:tc>
          <w:tcPr>
            <w:tcW w:w="910" w:type="dxa"/>
            <w:vMerge/>
            <w:tcBorders>
              <w:left w:val="single" w:sz="8" w:space="0" w:color="auto"/>
              <w:bottom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p>
        </w:tc>
      </w:tr>
      <w:tr w:rsidR="00BA6A71" w:rsidRPr="00AC36AD" w:rsidTr="00CC4870">
        <w:trPr>
          <w:trHeight w:val="50"/>
          <w:jc w:val="center"/>
        </w:trPr>
        <w:tc>
          <w:tcPr>
            <w:tcW w:w="706" w:type="dxa"/>
            <w:vMerge/>
            <w:tcBorders>
              <w:left w:val="single" w:sz="8" w:space="0" w:color="auto"/>
              <w:bottom w:val="single" w:sz="8" w:space="0" w:color="auto"/>
              <w:right w:val="single" w:sz="8" w:space="0" w:color="auto"/>
            </w:tcBorders>
            <w:vAlign w:val="center"/>
          </w:tcPr>
          <w:p w:rsidR="00BA6A71" w:rsidRPr="00BA6A71" w:rsidRDefault="00BA6A71" w:rsidP="00BA6A71">
            <w:pPr>
              <w:bidi/>
              <w:rPr>
                <w:rFonts w:ascii="Simplified Arabic" w:eastAsia="Times New Roman" w:hAnsi="Simplified Arabic" w:cs="Simplified Arabic"/>
                <w:b/>
                <w:rtl/>
                <w:lang w:val="en-US" w:eastAsia="fr-FR"/>
              </w:rPr>
            </w:pPr>
          </w:p>
        </w:tc>
        <w:tc>
          <w:tcPr>
            <w:tcW w:w="1564" w:type="dxa"/>
            <w:tcBorders>
              <w:left w:val="single" w:sz="8" w:space="0" w:color="auto"/>
              <w:bottom w:val="single" w:sz="8" w:space="0" w:color="auto"/>
              <w:right w:val="single" w:sz="8" w:space="0" w:color="auto"/>
            </w:tcBorders>
            <w:vAlign w:val="center"/>
          </w:tcPr>
          <w:p w:rsidR="00BA6A71" w:rsidRPr="00BA6A71" w:rsidRDefault="00BA6A71" w:rsidP="00BA6A71">
            <w:pPr>
              <w:bidi/>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شبكة الطرق</w:t>
            </w:r>
          </w:p>
        </w:tc>
        <w:tc>
          <w:tcPr>
            <w:tcW w:w="834" w:type="dxa"/>
            <w:tcBorders>
              <w:top w:val="single" w:sz="8" w:space="0" w:color="auto"/>
              <w:left w:val="single" w:sz="8" w:space="0" w:color="auto"/>
              <w:bottom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lang w:val="en-US" w:eastAsia="fr-FR"/>
              </w:rPr>
            </w:pPr>
            <w:r w:rsidRPr="00BA6A71">
              <w:rPr>
                <w:rFonts w:ascii="Simplified Arabic" w:eastAsia="Times New Roman" w:hAnsi="Simplified Arabic" w:cs="Simplified Arabic"/>
                <w:b/>
                <w:rtl/>
                <w:lang w:val="en-US" w:eastAsia="fr-FR"/>
              </w:rPr>
              <w:t>التكرار</w:t>
            </w:r>
          </w:p>
        </w:tc>
        <w:tc>
          <w:tcPr>
            <w:tcW w:w="1072" w:type="dxa"/>
            <w:tcBorders>
              <w:top w:val="single" w:sz="8" w:space="0" w:color="auto"/>
              <w:left w:val="single" w:sz="8" w:space="0" w:color="auto"/>
              <w:bottom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كثافة تقاطع شبكة الطرق</w:t>
            </w:r>
          </w:p>
        </w:tc>
        <w:tc>
          <w:tcPr>
            <w:tcW w:w="975" w:type="dxa"/>
            <w:tcBorders>
              <w:top w:val="single" w:sz="8" w:space="0" w:color="auto"/>
              <w:left w:val="single" w:sz="8" w:space="0" w:color="auto"/>
              <w:bottom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150 تقاطع</w:t>
            </w:r>
            <w:r w:rsidRPr="00BA6A71">
              <w:rPr>
                <w:rFonts w:ascii="Simplified Arabic" w:eastAsia="Times New Roman" w:hAnsi="Simplified Arabic" w:cs="Simplified Arabic" w:hint="cs"/>
                <w:b/>
                <w:rtl/>
                <w:lang w:val="en-US" w:eastAsia="fr-FR"/>
              </w:rPr>
              <w:t>/كم</w:t>
            </w:r>
            <w:r w:rsidRPr="00BA6A71">
              <w:rPr>
                <w:rFonts w:ascii="Simplified Arabic" w:eastAsia="Times New Roman" w:hAnsi="Simplified Arabic" w:cs="Simplified Arabic" w:hint="cs"/>
                <w:b/>
                <w:vertAlign w:val="superscript"/>
                <w:rtl/>
                <w:lang w:val="en-US" w:eastAsia="fr-FR"/>
              </w:rPr>
              <w:t>2</w:t>
            </w:r>
          </w:p>
        </w:tc>
        <w:tc>
          <w:tcPr>
            <w:tcW w:w="2728" w:type="dxa"/>
            <w:gridSpan w:val="2"/>
            <w:tcBorders>
              <w:top w:val="single" w:sz="8" w:space="0" w:color="auto"/>
              <w:left w:val="single" w:sz="8" w:space="0" w:color="auto"/>
              <w:bottom w:val="single" w:sz="8" w:space="0" w:color="auto"/>
              <w:right w:val="single" w:sz="8" w:space="0" w:color="auto"/>
            </w:tcBorders>
            <w:shd w:val="clear" w:color="auto" w:fill="auto"/>
            <w:vAlign w:val="center"/>
          </w:tcPr>
          <w:p w:rsidR="00BA6A71" w:rsidRPr="00BA6A71" w:rsidRDefault="00BA6A71" w:rsidP="00BA6A71">
            <w:pPr>
              <w:bidi/>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اجمالي عدد تقاطعات  الطرق الشريانية والشوارع لكل حي (كم²)</w:t>
            </w:r>
          </w:p>
        </w:tc>
        <w:tc>
          <w:tcPr>
            <w:tcW w:w="910" w:type="dxa"/>
            <w:tcBorders>
              <w:top w:val="single" w:sz="8" w:space="0" w:color="auto"/>
              <w:left w:val="single" w:sz="8" w:space="0" w:color="auto"/>
              <w:bottom w:val="single" w:sz="8" w:space="0" w:color="auto"/>
              <w:right w:val="single" w:sz="8" w:space="0" w:color="auto"/>
            </w:tcBorders>
            <w:vAlign w:val="center"/>
          </w:tcPr>
          <w:p w:rsidR="00BA6A71" w:rsidRPr="00BA6A71" w:rsidRDefault="00BA6A71" w:rsidP="00BA6A71">
            <w:pPr>
              <w:bidi/>
              <w:jc w:val="center"/>
              <w:rPr>
                <w:rFonts w:ascii="Simplified Arabic" w:eastAsia="Times New Roman" w:hAnsi="Simplified Arabic" w:cs="Simplified Arabic"/>
                <w:b/>
                <w:rtl/>
                <w:lang w:val="en-US" w:eastAsia="fr-FR"/>
              </w:rPr>
            </w:pPr>
            <w:r w:rsidRPr="00BA6A71">
              <w:rPr>
                <w:rFonts w:ascii="Simplified Arabic" w:eastAsia="Times New Roman" w:hAnsi="Simplified Arabic" w:cs="Simplified Arabic"/>
                <w:b/>
                <w:rtl/>
                <w:lang w:val="en-US" w:eastAsia="fr-FR"/>
              </w:rPr>
              <w:t>تقاطع/كم</w:t>
            </w:r>
            <w:r w:rsidRPr="00BA6A71">
              <w:rPr>
                <w:rFonts w:ascii="Simplified Arabic" w:eastAsia="Times New Roman" w:hAnsi="Simplified Arabic" w:cs="Simplified Arabic"/>
                <w:b/>
                <w:vertAlign w:val="superscript"/>
                <w:rtl/>
                <w:lang w:val="en-US" w:eastAsia="fr-FR"/>
              </w:rPr>
              <w:t>2</w:t>
            </w:r>
          </w:p>
        </w:tc>
      </w:tr>
    </w:tbl>
    <w:p w:rsidR="002A686B" w:rsidRPr="000115BF" w:rsidRDefault="002A686B" w:rsidP="001D0548">
      <w:pPr>
        <w:pStyle w:val="Paragraphedeliste"/>
        <w:numPr>
          <w:ilvl w:val="1"/>
          <w:numId w:val="241"/>
        </w:numPr>
        <w:tabs>
          <w:tab w:val="right" w:pos="567"/>
        </w:tabs>
        <w:bidi/>
        <w:spacing w:before="240" w:after="0"/>
        <w:ind w:left="0" w:firstLine="0"/>
        <w:jc w:val="both"/>
        <w:outlineLvl w:val="0"/>
        <w:rPr>
          <w:rFonts w:ascii="Simplified Arabic" w:hAnsi="Simplified Arabic" w:cs="Simplified Arabic"/>
          <w:b/>
          <w:bCs/>
          <w:sz w:val="24"/>
          <w:szCs w:val="24"/>
          <w:rtl/>
          <w:lang w:bidi="ar-DZ"/>
        </w:rPr>
      </w:pPr>
      <w:bookmarkStart w:id="828" w:name="_Toc171803802"/>
      <w:r w:rsidRPr="000115BF">
        <w:rPr>
          <w:rFonts w:ascii="Simplified Arabic" w:hAnsi="Simplified Arabic" w:cs="Simplified Arabic" w:hint="cs"/>
          <w:b/>
          <w:bCs/>
          <w:sz w:val="24"/>
          <w:szCs w:val="24"/>
          <w:rtl/>
          <w:lang w:bidi="ar-DZ"/>
        </w:rPr>
        <w:t>مناقشة نتائج الكشف عن توافر سمات المرونة المكانية</w:t>
      </w:r>
      <w:bookmarkEnd w:id="828"/>
      <w:r w:rsidRPr="000115BF">
        <w:rPr>
          <w:rFonts w:ascii="Simplified Arabic" w:hAnsi="Simplified Arabic" w:cs="Simplified Arabic" w:hint="cs"/>
          <w:b/>
          <w:bCs/>
          <w:sz w:val="24"/>
          <w:szCs w:val="24"/>
          <w:rtl/>
          <w:lang w:bidi="ar-DZ"/>
        </w:rPr>
        <w:t xml:space="preserve"> </w:t>
      </w:r>
    </w:p>
    <w:p w:rsidR="002A686B" w:rsidRPr="00E24028" w:rsidRDefault="002A686B" w:rsidP="001D0548">
      <w:pPr>
        <w:pStyle w:val="Paragraphedeliste"/>
        <w:numPr>
          <w:ilvl w:val="2"/>
          <w:numId w:val="264"/>
        </w:numPr>
        <w:tabs>
          <w:tab w:val="right" w:pos="850"/>
        </w:tabs>
        <w:bidi/>
        <w:spacing w:after="0"/>
        <w:ind w:left="0" w:firstLine="0"/>
        <w:jc w:val="both"/>
        <w:outlineLvl w:val="1"/>
        <w:rPr>
          <w:rFonts w:ascii="Simplified Arabic" w:hAnsi="Simplified Arabic" w:cs="Simplified Arabic"/>
          <w:b/>
          <w:bCs/>
          <w:sz w:val="24"/>
          <w:szCs w:val="24"/>
          <w:rtl/>
          <w:lang w:bidi="ar-DZ"/>
        </w:rPr>
      </w:pPr>
      <w:bookmarkStart w:id="829" w:name="_Toc171803803"/>
      <w:r w:rsidRPr="00E24028">
        <w:rPr>
          <w:rFonts w:ascii="Simplified Arabic" w:hAnsi="Simplified Arabic" w:cs="Simplified Arabic" w:hint="cs"/>
          <w:b/>
          <w:bCs/>
          <w:sz w:val="24"/>
          <w:szCs w:val="24"/>
          <w:rtl/>
          <w:lang w:bidi="ar-DZ"/>
        </w:rPr>
        <w:t>سمة الكثافة</w:t>
      </w:r>
      <w:bookmarkEnd w:id="829"/>
      <w:r w:rsidRPr="00E24028">
        <w:rPr>
          <w:rFonts w:ascii="Simplified Arabic" w:hAnsi="Simplified Arabic" w:cs="Simplified Arabic" w:hint="cs"/>
          <w:b/>
          <w:bCs/>
          <w:sz w:val="24"/>
          <w:szCs w:val="24"/>
          <w:rtl/>
          <w:lang w:bidi="ar-DZ"/>
        </w:rPr>
        <w:t xml:space="preserve"> </w:t>
      </w:r>
    </w:p>
    <w:p w:rsidR="00CF6DC1" w:rsidRPr="00AF687E" w:rsidRDefault="002A686B" w:rsidP="00BC18CD">
      <w:pPr>
        <w:tabs>
          <w:tab w:val="right" w:pos="567"/>
        </w:tabs>
        <w:autoSpaceDE w:val="0"/>
        <w:autoSpaceDN w:val="0"/>
        <w:bidi/>
        <w:adjustRightInd w:val="0"/>
        <w:spacing w:after="0"/>
        <w:ind w:firstLine="282"/>
        <w:jc w:val="both"/>
        <w:rPr>
          <w:rFonts w:ascii="Simplified Arabic" w:hAnsi="Simplified Arabic" w:cs="Simplified Arabic"/>
          <w:sz w:val="24"/>
          <w:szCs w:val="24"/>
          <w:lang w:bidi="ar-DZ"/>
        </w:rPr>
      </w:pPr>
      <w:r>
        <w:rPr>
          <w:rFonts w:ascii="Simplified Arabic" w:hAnsi="Simplified Arabic" w:cs="Simplified Arabic" w:hint="cs"/>
          <w:sz w:val="24"/>
          <w:szCs w:val="24"/>
          <w:rtl/>
          <w:lang w:bidi="ar-DZ"/>
        </w:rPr>
        <w:t>تم الكشف عن سمة كثافة البنا</w:t>
      </w:r>
      <w:r w:rsidR="001435F8">
        <w:rPr>
          <w:rFonts w:ascii="Simplified Arabic" w:hAnsi="Simplified Arabic" w:cs="Simplified Arabic" w:hint="cs"/>
          <w:sz w:val="24"/>
          <w:szCs w:val="24"/>
          <w:rtl/>
          <w:lang w:bidi="ar-DZ"/>
        </w:rPr>
        <w:t>ء</w:t>
      </w:r>
      <w:r>
        <w:rPr>
          <w:rFonts w:ascii="Simplified Arabic" w:hAnsi="Simplified Arabic" w:cs="Simplified Arabic" w:hint="cs"/>
          <w:sz w:val="24"/>
          <w:szCs w:val="24"/>
          <w:rtl/>
          <w:lang w:bidi="ar-DZ"/>
        </w:rPr>
        <w:t xml:space="preserve"> </w:t>
      </w:r>
      <w:r w:rsidR="00B82A42">
        <w:rPr>
          <w:rFonts w:ascii="Simplified Arabic" w:hAnsi="Simplified Arabic" w:cs="Simplified Arabic" w:hint="cs"/>
          <w:sz w:val="24"/>
          <w:szCs w:val="24"/>
          <w:rtl/>
          <w:lang w:bidi="ar-DZ"/>
        </w:rPr>
        <w:t>للأحياء</w:t>
      </w:r>
      <w:r w:rsidR="00FC5C44">
        <w:rPr>
          <w:rFonts w:ascii="Simplified Arabic" w:hAnsi="Simplified Arabic" w:cs="Simplified Arabic" w:hint="cs"/>
          <w:sz w:val="24"/>
          <w:szCs w:val="24"/>
          <w:rtl/>
          <w:lang w:bidi="ar-DZ"/>
        </w:rPr>
        <w:t xml:space="preserve"> السكنية: القصر، بلاتو، سيدي سليمان والحمايد</w:t>
      </w:r>
      <w:r w:rsidR="00B82A42" w:rsidRPr="00B82A42">
        <w:rPr>
          <w:rFonts w:ascii="Simplified Arabic" w:hAnsi="Simplified Arabic" w:cs="Simplified Arabic" w:hint="cs"/>
          <w:sz w:val="24"/>
          <w:szCs w:val="24"/>
          <w:rtl/>
          <w:lang w:bidi="ar-DZ"/>
        </w:rPr>
        <w:t xml:space="preserve"> </w:t>
      </w:r>
      <w:r w:rsidR="00B82A42">
        <w:rPr>
          <w:rFonts w:ascii="Simplified Arabic" w:hAnsi="Simplified Arabic" w:cs="Simplified Arabic" w:hint="cs"/>
          <w:sz w:val="24"/>
          <w:szCs w:val="24"/>
          <w:rtl/>
          <w:lang w:bidi="ar-DZ"/>
        </w:rPr>
        <w:t>التي تمثل فئات النسيج الحضري الاربعة</w:t>
      </w:r>
      <w:r w:rsidR="0094754E">
        <w:rPr>
          <w:rFonts w:ascii="Simplified Arabic" w:hAnsi="Simplified Arabic" w:cs="Simplified Arabic" w:hint="cs"/>
          <w:sz w:val="24"/>
          <w:szCs w:val="24"/>
          <w:rtl/>
          <w:lang w:bidi="ar-DZ"/>
        </w:rPr>
        <w:t xml:space="preserve"> </w:t>
      </w:r>
      <w:r w:rsidR="0094754E" w:rsidRPr="002151E1">
        <w:rPr>
          <w:rFonts w:ascii="Simplified Arabic" w:hAnsi="Simplified Arabic" w:cs="Simplified Arabic" w:hint="cs"/>
          <w:sz w:val="24"/>
          <w:szCs w:val="24"/>
          <w:rtl/>
          <w:lang w:bidi="ar-DZ"/>
        </w:rPr>
        <w:t xml:space="preserve">باستخدام برنامج </w:t>
      </w:r>
      <w:r w:rsidR="0094754E" w:rsidRPr="002151E1">
        <w:rPr>
          <w:rFonts w:asciiTheme="majorBidi" w:hAnsiTheme="majorBidi" w:cstheme="majorBidi"/>
          <w:sz w:val="24"/>
          <w:szCs w:val="24"/>
        </w:rPr>
        <w:t>Arc GIS 10.3</w:t>
      </w:r>
      <w:r w:rsidR="004646C1">
        <w:rPr>
          <w:rFonts w:asciiTheme="majorBidi" w:hAnsiTheme="majorBidi" w:cstheme="majorBidi" w:hint="cs"/>
          <w:sz w:val="24"/>
          <w:szCs w:val="24"/>
          <w:rtl/>
        </w:rPr>
        <w:t>.</w:t>
      </w:r>
      <w:r w:rsidR="00FC5C44">
        <w:rPr>
          <w:rFonts w:ascii="Simplified Arabic" w:hAnsi="Simplified Arabic" w:cs="Simplified Arabic" w:hint="cs"/>
          <w:sz w:val="24"/>
          <w:szCs w:val="24"/>
          <w:rtl/>
          <w:lang w:bidi="ar-DZ"/>
        </w:rPr>
        <w:t xml:space="preserve"> </w:t>
      </w:r>
      <w:r w:rsidR="0094754E">
        <w:rPr>
          <w:rFonts w:ascii="Simplified Arabic" w:hAnsi="Simplified Arabic" w:cs="Simplified Arabic" w:hint="cs"/>
          <w:sz w:val="24"/>
          <w:szCs w:val="24"/>
          <w:rtl/>
          <w:lang w:bidi="ar-DZ"/>
        </w:rPr>
        <w:t xml:space="preserve">تم </w:t>
      </w:r>
      <w:r w:rsidR="00BC18CD">
        <w:rPr>
          <w:rFonts w:ascii="Simplified Arabic" w:hAnsi="Simplified Arabic" w:cs="Simplified Arabic" w:hint="cs"/>
          <w:sz w:val="24"/>
          <w:szCs w:val="24"/>
          <w:rtl/>
          <w:lang w:bidi="ar-DZ"/>
        </w:rPr>
        <w:t>تقسيم كل حي سكني الى</w:t>
      </w:r>
      <w:r w:rsidR="004646C1">
        <w:rPr>
          <w:rFonts w:ascii="Simplified Arabic" w:hAnsi="Simplified Arabic" w:cs="Simplified Arabic" w:hint="cs"/>
          <w:sz w:val="24"/>
          <w:szCs w:val="24"/>
          <w:rtl/>
          <w:lang w:bidi="ar-DZ"/>
        </w:rPr>
        <w:t xml:space="preserve"> عدة احياز مكانية </w:t>
      </w:r>
      <w:r w:rsidR="00BC18CD">
        <w:rPr>
          <w:rFonts w:ascii="Simplified Arabic" w:hAnsi="Simplified Arabic" w:cs="Simplified Arabic" w:hint="cs"/>
          <w:sz w:val="24"/>
          <w:szCs w:val="24"/>
          <w:rtl/>
          <w:lang w:bidi="ar-DZ"/>
        </w:rPr>
        <w:t xml:space="preserve">دائرية </w:t>
      </w:r>
      <w:r w:rsidR="004646C1">
        <w:rPr>
          <w:rFonts w:ascii="Simplified Arabic" w:hAnsi="Simplified Arabic" w:cs="Simplified Arabic" w:hint="cs"/>
          <w:sz w:val="24"/>
          <w:szCs w:val="24"/>
          <w:rtl/>
          <w:lang w:bidi="ar-DZ"/>
        </w:rPr>
        <w:t xml:space="preserve">بقطر 300 متر، </w:t>
      </w:r>
      <w:r w:rsidR="00BC18CD">
        <w:rPr>
          <w:rFonts w:ascii="Simplified Arabic" w:hAnsi="Simplified Arabic" w:cs="Simplified Arabic" w:hint="cs"/>
          <w:sz w:val="24"/>
          <w:szCs w:val="24"/>
          <w:rtl/>
          <w:lang w:bidi="ar-DZ"/>
        </w:rPr>
        <w:t>يتم</w:t>
      </w:r>
      <w:r w:rsidR="00CF6DC1" w:rsidRPr="00AF687E">
        <w:rPr>
          <w:rFonts w:ascii="Simplified Arabic" w:hAnsi="Simplified Arabic" w:cs="Simplified Arabic"/>
          <w:sz w:val="24"/>
          <w:szCs w:val="24"/>
          <w:rtl/>
          <w:lang w:bidi="ar-DZ"/>
        </w:rPr>
        <w:t xml:space="preserve"> تقييم </w:t>
      </w:r>
      <w:r w:rsidR="0094754E">
        <w:rPr>
          <w:rFonts w:ascii="Simplified Arabic" w:hAnsi="Simplified Arabic" w:cs="Simplified Arabic" w:hint="cs"/>
          <w:sz w:val="24"/>
          <w:szCs w:val="24"/>
          <w:rtl/>
          <w:lang w:bidi="ar-DZ"/>
        </w:rPr>
        <w:t>عدد</w:t>
      </w:r>
      <w:r w:rsidR="00441886">
        <w:rPr>
          <w:rFonts w:ascii="Simplified Arabic" w:hAnsi="Simplified Arabic" w:cs="Simplified Arabic"/>
          <w:sz w:val="24"/>
          <w:szCs w:val="24"/>
          <w:rtl/>
          <w:lang w:bidi="ar-DZ"/>
        </w:rPr>
        <w:t xml:space="preserve"> المباني التي يمكن الوصول إليها</w:t>
      </w:r>
      <w:r w:rsidR="004646C1">
        <w:rPr>
          <w:rFonts w:ascii="Simplified Arabic" w:hAnsi="Simplified Arabic" w:cs="Simplified Arabic" w:hint="cs"/>
          <w:sz w:val="24"/>
          <w:szCs w:val="24"/>
          <w:rtl/>
          <w:lang w:bidi="ar-DZ"/>
        </w:rPr>
        <w:t xml:space="preserve">، </w:t>
      </w:r>
      <w:r w:rsidR="00BC18CD">
        <w:rPr>
          <w:rFonts w:ascii="Simplified Arabic" w:hAnsi="Simplified Arabic" w:cs="Simplified Arabic" w:hint="cs"/>
          <w:sz w:val="24"/>
          <w:szCs w:val="24"/>
          <w:rtl/>
          <w:lang w:bidi="ar-DZ"/>
        </w:rPr>
        <w:t>من خلال</w:t>
      </w:r>
      <w:r w:rsidR="008E77C5">
        <w:rPr>
          <w:rFonts w:ascii="Simplified Arabic" w:hAnsi="Simplified Arabic" w:cs="Simplified Arabic" w:hint="cs"/>
          <w:sz w:val="24"/>
          <w:szCs w:val="24"/>
          <w:rtl/>
          <w:lang w:bidi="ar-DZ"/>
        </w:rPr>
        <w:t xml:space="preserve"> </w:t>
      </w:r>
      <w:r w:rsidR="00B90CCE">
        <w:rPr>
          <w:rFonts w:ascii="Simplified Arabic" w:hAnsi="Simplified Arabic" w:cs="Simplified Arabic" w:hint="cs"/>
          <w:sz w:val="24"/>
          <w:szCs w:val="24"/>
          <w:rtl/>
          <w:lang w:bidi="ar-DZ"/>
        </w:rPr>
        <w:t>النسبة</w:t>
      </w:r>
      <w:r w:rsidR="001435F8" w:rsidRPr="001C6266">
        <w:rPr>
          <w:rFonts w:ascii="Simplified Arabic" w:hAnsi="Simplified Arabic" w:cs="Simplified Arabic"/>
          <w:sz w:val="24"/>
          <w:szCs w:val="24"/>
          <w:rtl/>
          <w:lang w:bidi="ar-DZ"/>
        </w:rPr>
        <w:t xml:space="preserve"> </w:t>
      </w:r>
      <w:r w:rsidR="001435F8" w:rsidRPr="001C6266">
        <w:rPr>
          <w:rFonts w:ascii="Simplified Arabic" w:hAnsi="Simplified Arabic" w:cs="Simplified Arabic" w:hint="cs"/>
          <w:sz w:val="24"/>
          <w:szCs w:val="24"/>
          <w:rtl/>
          <w:lang w:bidi="ar-DZ"/>
        </w:rPr>
        <w:t>بين</w:t>
      </w:r>
      <w:r w:rsidR="001435F8" w:rsidRPr="001C6266">
        <w:rPr>
          <w:rFonts w:ascii="Simplified Arabic" w:hAnsi="Simplified Arabic" w:cs="Simplified Arabic"/>
          <w:sz w:val="24"/>
          <w:szCs w:val="24"/>
          <w:rtl/>
          <w:lang w:bidi="ar-DZ"/>
        </w:rPr>
        <w:t xml:space="preserve"> </w:t>
      </w:r>
      <w:r w:rsidR="00B90CCE">
        <w:rPr>
          <w:rFonts w:ascii="Simplified Arabic" w:hAnsi="Simplified Arabic" w:cs="Simplified Arabic" w:hint="cs"/>
          <w:sz w:val="24"/>
          <w:szCs w:val="24"/>
          <w:rtl/>
          <w:lang w:bidi="ar-DZ"/>
        </w:rPr>
        <w:t>مسافة</w:t>
      </w:r>
      <w:r w:rsidR="001435F8" w:rsidRPr="001C6266">
        <w:rPr>
          <w:rFonts w:ascii="Simplified Arabic" w:hAnsi="Simplified Arabic" w:cs="Simplified Arabic"/>
          <w:sz w:val="24"/>
          <w:szCs w:val="24"/>
          <w:rtl/>
          <w:lang w:bidi="ar-DZ"/>
        </w:rPr>
        <w:t xml:space="preserve"> </w:t>
      </w:r>
      <w:r w:rsidR="001435F8" w:rsidRPr="001C6266">
        <w:rPr>
          <w:rFonts w:ascii="Simplified Arabic" w:hAnsi="Simplified Arabic" w:cs="Simplified Arabic" w:hint="cs"/>
          <w:sz w:val="24"/>
          <w:szCs w:val="24"/>
          <w:rtl/>
          <w:lang w:bidi="ar-DZ"/>
        </w:rPr>
        <w:t>شبكة</w:t>
      </w:r>
      <w:r w:rsidR="001435F8" w:rsidRPr="001C6266">
        <w:rPr>
          <w:rFonts w:ascii="Simplified Arabic" w:hAnsi="Simplified Arabic" w:cs="Simplified Arabic"/>
          <w:sz w:val="24"/>
          <w:szCs w:val="24"/>
          <w:rtl/>
          <w:lang w:bidi="ar-DZ"/>
        </w:rPr>
        <w:t xml:space="preserve"> </w:t>
      </w:r>
      <w:r w:rsidR="001435F8">
        <w:rPr>
          <w:rFonts w:ascii="Simplified Arabic" w:hAnsi="Simplified Arabic" w:cs="Simplified Arabic" w:hint="cs"/>
          <w:sz w:val="24"/>
          <w:szCs w:val="24"/>
          <w:rtl/>
          <w:lang w:bidi="ar-DZ"/>
        </w:rPr>
        <w:t>الشوارع</w:t>
      </w:r>
      <w:r w:rsidR="0051322D">
        <w:rPr>
          <w:rFonts w:ascii="Simplified Arabic" w:hAnsi="Simplified Arabic" w:cs="Simplified Arabic" w:hint="cs"/>
          <w:sz w:val="24"/>
          <w:szCs w:val="24"/>
          <w:rtl/>
          <w:lang w:bidi="ar-DZ"/>
        </w:rPr>
        <w:t xml:space="preserve"> (مشيًا على مسافة 300م)</w:t>
      </w:r>
      <w:r w:rsidR="001435F8">
        <w:rPr>
          <w:rFonts w:ascii="Simplified Arabic" w:hAnsi="Simplified Arabic" w:cs="Simplified Arabic" w:hint="cs"/>
          <w:sz w:val="24"/>
          <w:szCs w:val="24"/>
          <w:rtl/>
          <w:lang w:bidi="ar-DZ"/>
        </w:rPr>
        <w:t xml:space="preserve"> </w:t>
      </w:r>
      <w:r w:rsidR="001435F8" w:rsidRPr="001C6266">
        <w:rPr>
          <w:rFonts w:ascii="Simplified Arabic" w:hAnsi="Simplified Arabic" w:cs="Simplified Arabic" w:hint="cs"/>
          <w:sz w:val="24"/>
          <w:szCs w:val="24"/>
          <w:rtl/>
          <w:lang w:bidi="ar-DZ"/>
        </w:rPr>
        <w:t>والمسافة</w:t>
      </w:r>
      <w:r w:rsidR="001435F8" w:rsidRPr="001C6266">
        <w:rPr>
          <w:rFonts w:ascii="Simplified Arabic" w:hAnsi="Simplified Arabic" w:cs="Simplified Arabic"/>
          <w:sz w:val="24"/>
          <w:szCs w:val="24"/>
          <w:rtl/>
          <w:lang w:bidi="ar-DZ"/>
        </w:rPr>
        <w:t xml:space="preserve"> </w:t>
      </w:r>
      <w:r w:rsidR="001435F8" w:rsidRPr="001C6266">
        <w:rPr>
          <w:rFonts w:ascii="Simplified Arabic" w:hAnsi="Simplified Arabic" w:cs="Simplified Arabic" w:hint="cs"/>
          <w:sz w:val="24"/>
          <w:szCs w:val="24"/>
          <w:rtl/>
          <w:lang w:bidi="ar-DZ"/>
        </w:rPr>
        <w:t>الإقليدية</w:t>
      </w:r>
      <w:r w:rsidR="004646C1">
        <w:rPr>
          <w:rFonts w:ascii="Simplified Arabic" w:hAnsi="Simplified Arabic" w:cs="Simplified Arabic" w:hint="cs"/>
          <w:sz w:val="24"/>
          <w:szCs w:val="24"/>
          <w:rtl/>
          <w:lang w:bidi="ar-DZ"/>
        </w:rPr>
        <w:t xml:space="preserve">، </w:t>
      </w:r>
      <w:r w:rsidR="00C722CC">
        <w:rPr>
          <w:rFonts w:ascii="Simplified Arabic" w:hAnsi="Simplified Arabic" w:cs="Simplified Arabic" w:hint="cs"/>
          <w:sz w:val="24"/>
          <w:szCs w:val="24"/>
          <w:rtl/>
          <w:lang w:bidi="ar-DZ"/>
        </w:rPr>
        <w:t xml:space="preserve">التي </w:t>
      </w:r>
      <w:r w:rsidR="001435F8" w:rsidRPr="001C6266">
        <w:rPr>
          <w:rFonts w:ascii="Simplified Arabic" w:hAnsi="Simplified Arabic" w:cs="Simplified Arabic" w:hint="cs"/>
          <w:sz w:val="24"/>
          <w:szCs w:val="24"/>
          <w:rtl/>
          <w:lang w:bidi="ar-DZ"/>
        </w:rPr>
        <w:t>يجب</w:t>
      </w:r>
      <w:r w:rsidR="001435F8" w:rsidRPr="001C6266">
        <w:rPr>
          <w:rFonts w:ascii="Simplified Arabic" w:hAnsi="Simplified Arabic" w:cs="Simplified Arabic"/>
          <w:sz w:val="24"/>
          <w:szCs w:val="24"/>
          <w:rtl/>
          <w:lang w:bidi="ar-DZ"/>
        </w:rPr>
        <w:t xml:space="preserve"> </w:t>
      </w:r>
      <w:r w:rsidR="001435F8" w:rsidRPr="001C6266">
        <w:rPr>
          <w:rFonts w:ascii="Simplified Arabic" w:hAnsi="Simplified Arabic" w:cs="Simplified Arabic" w:hint="cs"/>
          <w:sz w:val="24"/>
          <w:szCs w:val="24"/>
          <w:rtl/>
          <w:lang w:bidi="ar-DZ"/>
        </w:rPr>
        <w:t>أن</w:t>
      </w:r>
      <w:r w:rsidR="001435F8" w:rsidRPr="001C6266">
        <w:rPr>
          <w:rFonts w:ascii="Simplified Arabic" w:hAnsi="Simplified Arabic" w:cs="Simplified Arabic"/>
          <w:sz w:val="24"/>
          <w:szCs w:val="24"/>
          <w:rtl/>
          <w:lang w:bidi="ar-DZ"/>
        </w:rPr>
        <w:t xml:space="preserve"> </w:t>
      </w:r>
      <w:r w:rsidR="00C722CC">
        <w:rPr>
          <w:rFonts w:ascii="Simplified Arabic" w:hAnsi="Simplified Arabic" w:cs="Simplified Arabic" w:hint="cs"/>
          <w:sz w:val="24"/>
          <w:szCs w:val="24"/>
          <w:rtl/>
          <w:lang w:bidi="ar-DZ"/>
        </w:rPr>
        <w:t>ت</w:t>
      </w:r>
      <w:r w:rsidR="001435F8" w:rsidRPr="001C6266">
        <w:rPr>
          <w:rFonts w:ascii="Simplified Arabic" w:hAnsi="Simplified Arabic" w:cs="Simplified Arabic" w:hint="cs"/>
          <w:sz w:val="24"/>
          <w:szCs w:val="24"/>
          <w:rtl/>
          <w:lang w:bidi="ar-DZ"/>
        </w:rPr>
        <w:t>كون</w:t>
      </w:r>
      <w:r w:rsidR="001435F8" w:rsidRPr="001C6266">
        <w:rPr>
          <w:rFonts w:ascii="Simplified Arabic" w:hAnsi="Simplified Arabic" w:cs="Simplified Arabic"/>
          <w:sz w:val="24"/>
          <w:szCs w:val="24"/>
          <w:rtl/>
          <w:lang w:bidi="ar-DZ"/>
        </w:rPr>
        <w:t xml:space="preserve"> </w:t>
      </w:r>
      <w:r w:rsidR="00441886">
        <w:rPr>
          <w:rFonts w:ascii="Simplified Arabic" w:hAnsi="Simplified Arabic" w:cs="Simplified Arabic" w:hint="cs"/>
          <w:sz w:val="24"/>
          <w:szCs w:val="24"/>
          <w:rtl/>
          <w:lang w:bidi="ar-DZ"/>
        </w:rPr>
        <w:t xml:space="preserve">قيمتها </w:t>
      </w:r>
      <w:r w:rsidR="00C722CC">
        <w:rPr>
          <w:rFonts w:ascii="Simplified Arabic" w:hAnsi="Simplified Arabic" w:cs="Simplified Arabic" w:hint="cs"/>
          <w:sz w:val="24"/>
          <w:szCs w:val="24"/>
          <w:rtl/>
          <w:lang w:bidi="ar-DZ"/>
        </w:rPr>
        <w:t>منخفضة</w:t>
      </w:r>
      <w:r w:rsidR="001435F8" w:rsidRPr="001C6266">
        <w:rPr>
          <w:rFonts w:ascii="Simplified Arabic" w:hAnsi="Simplified Arabic" w:cs="Simplified Arabic"/>
          <w:sz w:val="24"/>
          <w:szCs w:val="24"/>
          <w:rtl/>
          <w:lang w:bidi="ar-DZ"/>
        </w:rPr>
        <w:t xml:space="preserve"> </w:t>
      </w:r>
      <w:r w:rsidR="001435F8" w:rsidRPr="001C6266">
        <w:rPr>
          <w:rFonts w:ascii="Simplified Arabic" w:hAnsi="Simplified Arabic" w:cs="Simplified Arabic" w:hint="cs"/>
          <w:sz w:val="24"/>
          <w:szCs w:val="24"/>
          <w:rtl/>
          <w:lang w:bidi="ar-DZ"/>
        </w:rPr>
        <w:t>نسبيًا</w:t>
      </w:r>
      <w:r w:rsidR="0094754E">
        <w:rPr>
          <w:rFonts w:ascii="Simplified Arabic" w:hAnsi="Simplified Arabic" w:cs="Simplified Arabic" w:hint="cs"/>
          <w:sz w:val="24"/>
          <w:szCs w:val="24"/>
          <w:rtl/>
          <w:lang w:bidi="ar-DZ"/>
        </w:rPr>
        <w:t>، حتى تحقق مستوى امكانية وصول عالية</w:t>
      </w:r>
      <w:r w:rsidR="001435F8" w:rsidRPr="001C6266">
        <w:rPr>
          <w:rFonts w:ascii="Simplified Arabic" w:hAnsi="Simplified Arabic" w:cs="Simplified Arabic"/>
          <w:sz w:val="24"/>
          <w:szCs w:val="24"/>
          <w:rtl/>
          <w:lang w:bidi="ar-DZ"/>
        </w:rPr>
        <w:t>.</w:t>
      </w:r>
      <w:r w:rsidR="00CF6DC1" w:rsidRPr="00AF687E">
        <w:rPr>
          <w:rFonts w:ascii="Simplified Arabic" w:hAnsi="Simplified Arabic" w:cs="Simplified Arabic"/>
          <w:sz w:val="24"/>
          <w:szCs w:val="24"/>
          <w:rtl/>
          <w:lang w:bidi="ar-DZ"/>
        </w:rPr>
        <w:t xml:space="preserve"> </w:t>
      </w:r>
    </w:p>
    <w:p w:rsidR="00917B75" w:rsidRPr="00917B75" w:rsidRDefault="00A92273" w:rsidP="00917B75">
      <w:pPr>
        <w:pStyle w:val="Paragraphedeliste"/>
        <w:numPr>
          <w:ilvl w:val="0"/>
          <w:numId w:val="69"/>
        </w:numPr>
        <w:autoSpaceDE w:val="0"/>
        <w:autoSpaceDN w:val="0"/>
        <w:bidi/>
        <w:adjustRightInd w:val="0"/>
        <w:spacing w:after="0"/>
        <w:ind w:left="0" w:firstLine="283"/>
        <w:jc w:val="both"/>
        <w:rPr>
          <w:rFonts w:ascii="Simplified Arabic" w:hAnsi="Simplified Arabic" w:cs="Simplified Arabic"/>
          <w:sz w:val="24"/>
          <w:szCs w:val="24"/>
          <w:rtl/>
        </w:rPr>
      </w:pPr>
      <w:r w:rsidRPr="00917B75">
        <w:rPr>
          <w:rFonts w:ascii="Simplified Arabic" w:hAnsi="Simplified Arabic" w:cs="Simplified Arabic" w:hint="cs"/>
          <w:sz w:val="24"/>
          <w:szCs w:val="24"/>
          <w:rtl/>
          <w:lang w:val="en-US" w:bidi="ar-DZ"/>
        </w:rPr>
        <w:t>ضمن فئة النسيج الحضري (أ)</w:t>
      </w:r>
      <w:r w:rsidR="004047B5" w:rsidRPr="00917B75">
        <w:rPr>
          <w:rFonts w:ascii="Simplified Arabic" w:hAnsi="Simplified Arabic" w:cs="Simplified Arabic" w:hint="cs"/>
          <w:sz w:val="24"/>
          <w:szCs w:val="24"/>
          <w:rtl/>
          <w:lang w:val="en-US" w:bidi="ar-DZ"/>
        </w:rPr>
        <w:t>،</w:t>
      </w:r>
      <w:r w:rsidR="004047B5" w:rsidRPr="00917B75">
        <w:rPr>
          <w:rFonts w:ascii="Simplified Arabic" w:hAnsi="Simplified Arabic" w:cs="Simplified Arabic"/>
          <w:sz w:val="24"/>
          <w:szCs w:val="24"/>
          <w:rtl/>
          <w:lang w:val="en-US" w:bidi="ar-DZ"/>
        </w:rPr>
        <w:t xml:space="preserve"> </w:t>
      </w:r>
      <w:r w:rsidR="004047B5" w:rsidRPr="00917B75">
        <w:rPr>
          <w:rFonts w:ascii="Simplified Arabic" w:hAnsi="Simplified Arabic" w:cs="Simplified Arabic" w:hint="cs"/>
          <w:sz w:val="24"/>
          <w:szCs w:val="24"/>
          <w:rtl/>
          <w:lang w:val="en-US" w:bidi="ar-DZ"/>
        </w:rPr>
        <w:t>يتميز</w:t>
      </w:r>
      <w:r w:rsidR="004047B5" w:rsidRPr="00917B75">
        <w:rPr>
          <w:rFonts w:ascii="Simplified Arabic" w:hAnsi="Simplified Arabic" w:cs="Simplified Arabic"/>
          <w:sz w:val="24"/>
          <w:szCs w:val="24"/>
          <w:rtl/>
          <w:lang w:val="en-US" w:bidi="ar-DZ"/>
        </w:rPr>
        <w:t xml:space="preserve"> </w:t>
      </w:r>
      <w:r w:rsidR="004047B5" w:rsidRPr="00917B75">
        <w:rPr>
          <w:rFonts w:ascii="Simplified Arabic" w:hAnsi="Simplified Arabic" w:cs="Simplified Arabic" w:hint="cs"/>
          <w:sz w:val="24"/>
          <w:szCs w:val="24"/>
          <w:rtl/>
          <w:lang w:val="en-US" w:bidi="ar-DZ"/>
        </w:rPr>
        <w:t xml:space="preserve">حي القصر (المدينة القديمة) </w:t>
      </w:r>
      <w:r w:rsidR="002A686B" w:rsidRPr="00917B75">
        <w:rPr>
          <w:rFonts w:ascii="Simplified Arabic" w:hAnsi="Simplified Arabic" w:cs="Simplified Arabic" w:hint="cs"/>
          <w:sz w:val="24"/>
          <w:szCs w:val="24"/>
          <w:rtl/>
          <w:lang w:val="en-US" w:bidi="ar-DZ"/>
        </w:rPr>
        <w:t>بقيم</w:t>
      </w:r>
      <w:r w:rsidR="002A686B" w:rsidRPr="00917B75">
        <w:rPr>
          <w:rFonts w:ascii="Simplified Arabic" w:hAnsi="Simplified Arabic" w:cs="Simplified Arabic"/>
          <w:sz w:val="24"/>
          <w:szCs w:val="24"/>
          <w:rtl/>
          <w:lang w:val="en-US" w:bidi="ar-DZ"/>
        </w:rPr>
        <w:t xml:space="preserve"> </w:t>
      </w:r>
      <w:r w:rsidR="002A686B" w:rsidRPr="00917B75">
        <w:rPr>
          <w:rFonts w:ascii="Simplified Arabic" w:hAnsi="Simplified Arabic" w:cs="Simplified Arabic" w:hint="cs"/>
          <w:sz w:val="24"/>
          <w:szCs w:val="24"/>
          <w:rtl/>
          <w:lang w:val="en-US" w:bidi="ar-DZ"/>
        </w:rPr>
        <w:t>منخفضة</w:t>
      </w:r>
      <w:r w:rsidR="002A686B" w:rsidRPr="00917B75">
        <w:rPr>
          <w:rFonts w:ascii="Simplified Arabic" w:hAnsi="Simplified Arabic" w:cs="Simplified Arabic"/>
          <w:sz w:val="24"/>
          <w:szCs w:val="24"/>
          <w:rtl/>
          <w:lang w:val="en-US" w:bidi="ar-DZ"/>
        </w:rPr>
        <w:t xml:space="preserve"> </w:t>
      </w:r>
      <w:r w:rsidR="009238B6" w:rsidRPr="00917B75">
        <w:rPr>
          <w:rFonts w:ascii="Simplified Arabic" w:hAnsi="Simplified Arabic" w:cs="Simplified Arabic" w:hint="cs"/>
          <w:sz w:val="24"/>
          <w:szCs w:val="24"/>
          <w:rtl/>
          <w:lang w:val="en-US" w:bidi="ar-DZ"/>
        </w:rPr>
        <w:t>ل</w:t>
      </w:r>
      <w:r w:rsidR="0094754E" w:rsidRPr="00917B75">
        <w:rPr>
          <w:rFonts w:ascii="Simplified Arabic" w:hAnsi="Simplified Arabic" w:cs="Simplified Arabic" w:hint="cs"/>
          <w:sz w:val="24"/>
          <w:szCs w:val="24"/>
          <w:rtl/>
          <w:lang w:val="en-US" w:bidi="ar-DZ"/>
        </w:rPr>
        <w:t>ل</w:t>
      </w:r>
      <w:r w:rsidR="009238B6" w:rsidRPr="00917B75">
        <w:rPr>
          <w:rFonts w:ascii="Simplified Arabic" w:hAnsi="Simplified Arabic" w:cs="Simplified Arabic" w:hint="cs"/>
          <w:sz w:val="24"/>
          <w:szCs w:val="24"/>
          <w:rtl/>
          <w:lang w:val="en-US" w:bidi="ar-DZ"/>
        </w:rPr>
        <w:t>نسب</w:t>
      </w:r>
      <w:r w:rsidR="004A6451" w:rsidRPr="00917B75">
        <w:rPr>
          <w:rFonts w:ascii="Simplified Arabic" w:hAnsi="Simplified Arabic" w:cs="Simplified Arabic" w:hint="cs"/>
          <w:sz w:val="24"/>
          <w:szCs w:val="24"/>
          <w:rtl/>
          <w:lang w:val="en-US" w:bidi="ar-DZ"/>
        </w:rPr>
        <w:t xml:space="preserve"> </w:t>
      </w:r>
      <w:r w:rsidR="004A6451" w:rsidRPr="00917B75">
        <w:rPr>
          <w:rFonts w:ascii="Simplified Arabic" w:hAnsi="Simplified Arabic" w:cs="Simplified Arabic" w:hint="cs"/>
          <w:sz w:val="24"/>
          <w:szCs w:val="24"/>
          <w:rtl/>
          <w:lang w:bidi="ar-DZ"/>
        </w:rPr>
        <w:t>بين</w:t>
      </w:r>
      <w:r w:rsidR="004A6451" w:rsidRPr="00917B75">
        <w:rPr>
          <w:rFonts w:ascii="Simplified Arabic" w:hAnsi="Simplified Arabic" w:cs="Simplified Arabic"/>
          <w:sz w:val="24"/>
          <w:szCs w:val="24"/>
          <w:rtl/>
          <w:lang w:bidi="ar-DZ"/>
        </w:rPr>
        <w:t xml:space="preserve"> </w:t>
      </w:r>
      <w:r w:rsidR="004A6451" w:rsidRPr="00917B75">
        <w:rPr>
          <w:rFonts w:ascii="Simplified Arabic" w:hAnsi="Simplified Arabic" w:cs="Simplified Arabic" w:hint="cs"/>
          <w:sz w:val="24"/>
          <w:szCs w:val="24"/>
          <w:rtl/>
          <w:lang w:bidi="ar-DZ"/>
        </w:rPr>
        <w:t>مسافة</w:t>
      </w:r>
      <w:r w:rsidR="004A6451" w:rsidRPr="00917B75">
        <w:rPr>
          <w:rFonts w:ascii="Simplified Arabic" w:hAnsi="Simplified Arabic" w:cs="Simplified Arabic"/>
          <w:sz w:val="24"/>
          <w:szCs w:val="24"/>
          <w:rtl/>
          <w:lang w:bidi="ar-DZ"/>
        </w:rPr>
        <w:t xml:space="preserve"> </w:t>
      </w:r>
      <w:r w:rsidR="004A6451" w:rsidRPr="00917B75">
        <w:rPr>
          <w:rFonts w:ascii="Simplified Arabic" w:hAnsi="Simplified Arabic" w:cs="Simplified Arabic" w:hint="cs"/>
          <w:sz w:val="24"/>
          <w:szCs w:val="24"/>
          <w:rtl/>
          <w:lang w:bidi="ar-DZ"/>
        </w:rPr>
        <w:t>شبكة</w:t>
      </w:r>
      <w:r w:rsidR="004A6451" w:rsidRPr="00917B75">
        <w:rPr>
          <w:rFonts w:ascii="Simplified Arabic" w:hAnsi="Simplified Arabic" w:cs="Simplified Arabic"/>
          <w:sz w:val="24"/>
          <w:szCs w:val="24"/>
          <w:rtl/>
          <w:lang w:bidi="ar-DZ"/>
        </w:rPr>
        <w:t xml:space="preserve"> </w:t>
      </w:r>
      <w:r w:rsidR="004A6451" w:rsidRPr="00917B75">
        <w:rPr>
          <w:rFonts w:ascii="Simplified Arabic" w:hAnsi="Simplified Arabic" w:cs="Simplified Arabic" w:hint="cs"/>
          <w:sz w:val="24"/>
          <w:szCs w:val="24"/>
          <w:rtl/>
          <w:lang w:bidi="ar-DZ"/>
        </w:rPr>
        <w:t>الشوارع والمسافة</w:t>
      </w:r>
      <w:r w:rsidR="004A6451" w:rsidRPr="00917B75">
        <w:rPr>
          <w:rFonts w:ascii="Simplified Arabic" w:hAnsi="Simplified Arabic" w:cs="Simplified Arabic"/>
          <w:sz w:val="24"/>
          <w:szCs w:val="24"/>
          <w:rtl/>
          <w:lang w:bidi="ar-DZ"/>
        </w:rPr>
        <w:t xml:space="preserve"> </w:t>
      </w:r>
      <w:r w:rsidR="004A6451" w:rsidRPr="00917B75">
        <w:rPr>
          <w:rFonts w:ascii="Simplified Arabic" w:hAnsi="Simplified Arabic" w:cs="Simplified Arabic" w:hint="cs"/>
          <w:sz w:val="24"/>
          <w:szCs w:val="24"/>
          <w:rtl/>
          <w:lang w:bidi="ar-DZ"/>
        </w:rPr>
        <w:t>الإقليدية</w:t>
      </w:r>
      <w:r w:rsidR="006378B6" w:rsidRPr="00917B75">
        <w:rPr>
          <w:rFonts w:ascii="Simplified Arabic" w:hAnsi="Simplified Arabic" w:cs="Simplified Arabic" w:hint="cs"/>
          <w:sz w:val="24"/>
          <w:szCs w:val="24"/>
          <w:rtl/>
          <w:lang w:val="en-US" w:bidi="ar-DZ"/>
        </w:rPr>
        <w:t>،</w:t>
      </w:r>
      <w:r w:rsidR="009238B6" w:rsidRPr="00917B75">
        <w:rPr>
          <w:rFonts w:ascii="Simplified Arabic" w:hAnsi="Simplified Arabic" w:cs="Simplified Arabic"/>
          <w:sz w:val="24"/>
          <w:szCs w:val="24"/>
          <w:rtl/>
          <w:lang w:val="en-US" w:bidi="ar-DZ"/>
        </w:rPr>
        <w:t xml:space="preserve"> </w:t>
      </w:r>
      <w:r w:rsidR="00D11880" w:rsidRPr="00917B75">
        <w:rPr>
          <w:rFonts w:ascii="Simplified Arabic" w:hAnsi="Simplified Arabic" w:cs="Simplified Arabic" w:hint="cs"/>
          <w:sz w:val="24"/>
          <w:szCs w:val="24"/>
          <w:rtl/>
          <w:lang w:val="en-US" w:bidi="ar-DZ"/>
        </w:rPr>
        <w:t>تتراوح بين 0.</w:t>
      </w:r>
      <w:r w:rsidR="009238B6" w:rsidRPr="00917B75">
        <w:rPr>
          <w:rFonts w:ascii="Simplified Arabic" w:hAnsi="Simplified Arabic" w:cs="Simplified Arabic" w:hint="cs"/>
          <w:sz w:val="24"/>
          <w:szCs w:val="24"/>
          <w:rtl/>
          <w:lang w:val="en-US" w:bidi="ar-DZ"/>
        </w:rPr>
        <w:t>20</w:t>
      </w:r>
      <w:r w:rsidR="00D11880" w:rsidRPr="00917B75">
        <w:rPr>
          <w:rFonts w:ascii="Simplified Arabic" w:hAnsi="Simplified Arabic" w:cs="Simplified Arabic" w:hint="cs"/>
          <w:sz w:val="24"/>
          <w:szCs w:val="24"/>
          <w:rtl/>
          <w:lang w:val="en-US" w:bidi="ar-DZ"/>
        </w:rPr>
        <w:t xml:space="preserve"> و 0.</w:t>
      </w:r>
      <w:r w:rsidR="009238B6" w:rsidRPr="00917B75">
        <w:rPr>
          <w:rFonts w:ascii="Simplified Arabic" w:hAnsi="Simplified Arabic" w:cs="Simplified Arabic" w:hint="cs"/>
          <w:sz w:val="24"/>
          <w:szCs w:val="24"/>
          <w:rtl/>
          <w:lang w:val="en-US" w:bidi="ar-DZ"/>
        </w:rPr>
        <w:t>3</w:t>
      </w:r>
      <w:r w:rsidR="00D11880" w:rsidRPr="00917B75">
        <w:rPr>
          <w:rFonts w:ascii="Simplified Arabic" w:hAnsi="Simplified Arabic" w:cs="Simplified Arabic" w:hint="cs"/>
          <w:sz w:val="24"/>
          <w:szCs w:val="24"/>
          <w:rtl/>
          <w:lang w:val="en-US" w:bidi="ar-DZ"/>
        </w:rPr>
        <w:t>1</w:t>
      </w:r>
      <w:r w:rsidR="002A686B" w:rsidRPr="00917B75">
        <w:rPr>
          <w:rFonts w:ascii="Simplified Arabic" w:hAnsi="Simplified Arabic" w:cs="Simplified Arabic" w:hint="cs"/>
          <w:sz w:val="24"/>
          <w:szCs w:val="24"/>
          <w:rtl/>
          <w:lang w:val="en-US" w:bidi="ar-DZ"/>
        </w:rPr>
        <w:t xml:space="preserve">، كما هو موضح في </w:t>
      </w:r>
      <w:r w:rsidR="004047B5" w:rsidRPr="00917B75">
        <w:rPr>
          <w:rFonts w:ascii="Simplified Arabic" w:hAnsi="Simplified Arabic" w:cs="Simplified Arabic" w:hint="cs"/>
          <w:sz w:val="24"/>
          <w:szCs w:val="24"/>
          <w:rtl/>
          <w:lang w:val="en-US" w:bidi="ar-DZ"/>
        </w:rPr>
        <w:t>الشكل</w:t>
      </w:r>
      <w:r w:rsidR="002A686B" w:rsidRPr="00917B75">
        <w:rPr>
          <w:rFonts w:ascii="Simplified Arabic" w:hAnsi="Simplified Arabic" w:cs="Simplified Arabic" w:hint="cs"/>
          <w:sz w:val="24"/>
          <w:szCs w:val="24"/>
          <w:rtl/>
          <w:lang w:val="en-US" w:bidi="ar-DZ"/>
        </w:rPr>
        <w:t xml:space="preserve"> (6-</w:t>
      </w:r>
      <w:r w:rsidR="00FA4CC5" w:rsidRPr="00917B75">
        <w:rPr>
          <w:rFonts w:ascii="Simplified Arabic" w:hAnsi="Simplified Arabic" w:cs="Simplified Arabic" w:hint="cs"/>
          <w:sz w:val="24"/>
          <w:szCs w:val="24"/>
          <w:rtl/>
          <w:lang w:val="en-US" w:bidi="ar-DZ"/>
        </w:rPr>
        <w:t>12</w:t>
      </w:r>
      <w:r w:rsidR="002A686B" w:rsidRPr="00917B75">
        <w:rPr>
          <w:rFonts w:ascii="Simplified Arabic" w:hAnsi="Simplified Arabic" w:cs="Simplified Arabic" w:hint="cs"/>
          <w:sz w:val="24"/>
          <w:szCs w:val="24"/>
          <w:rtl/>
          <w:lang w:val="en-US" w:bidi="ar-DZ"/>
        </w:rPr>
        <w:t>)</w:t>
      </w:r>
      <w:r w:rsidR="004A6451" w:rsidRPr="00917B75">
        <w:rPr>
          <w:rFonts w:ascii="Simplified Arabic" w:hAnsi="Simplified Arabic" w:cs="Simplified Arabic" w:hint="cs"/>
          <w:sz w:val="24"/>
          <w:szCs w:val="24"/>
          <w:rtl/>
          <w:lang w:val="en-US" w:bidi="ar-DZ"/>
        </w:rPr>
        <w:t>،</w:t>
      </w:r>
      <w:r w:rsidR="002A686B" w:rsidRPr="00917B75">
        <w:rPr>
          <w:rFonts w:ascii="Simplified Arabic" w:hAnsi="Simplified Arabic" w:cs="Simplified Arabic" w:hint="cs"/>
          <w:sz w:val="24"/>
          <w:szCs w:val="24"/>
          <w:rtl/>
          <w:lang w:val="en-US" w:bidi="ar-DZ"/>
        </w:rPr>
        <w:t xml:space="preserve"> يشير</w:t>
      </w:r>
      <w:r w:rsidR="002A686B" w:rsidRPr="00917B75">
        <w:rPr>
          <w:rFonts w:ascii="Simplified Arabic" w:hAnsi="Simplified Arabic" w:cs="Simplified Arabic"/>
          <w:sz w:val="24"/>
          <w:szCs w:val="24"/>
          <w:rtl/>
          <w:lang w:val="en-US" w:bidi="ar-DZ"/>
        </w:rPr>
        <w:t xml:space="preserve"> </w:t>
      </w:r>
      <w:r w:rsidR="004047B5" w:rsidRPr="00917B75">
        <w:rPr>
          <w:rFonts w:ascii="Simplified Arabic" w:hAnsi="Simplified Arabic" w:cs="Simplified Arabic" w:hint="cs"/>
          <w:sz w:val="24"/>
          <w:szCs w:val="24"/>
          <w:rtl/>
          <w:lang w:val="en-US" w:bidi="ar-DZ"/>
        </w:rPr>
        <w:t xml:space="preserve">ذلك </w:t>
      </w:r>
      <w:r w:rsidR="002A686B" w:rsidRPr="00917B75">
        <w:rPr>
          <w:rFonts w:ascii="Simplified Arabic" w:hAnsi="Simplified Arabic" w:cs="Simplified Arabic" w:hint="cs"/>
          <w:sz w:val="24"/>
          <w:szCs w:val="24"/>
          <w:rtl/>
          <w:lang w:val="en-US" w:bidi="ar-DZ"/>
        </w:rPr>
        <w:t>إلى</w:t>
      </w:r>
      <w:r w:rsidR="002A686B" w:rsidRPr="00917B75">
        <w:rPr>
          <w:rFonts w:ascii="Simplified Arabic" w:hAnsi="Simplified Arabic" w:cs="Simplified Arabic"/>
          <w:sz w:val="24"/>
          <w:szCs w:val="24"/>
          <w:rtl/>
          <w:lang w:val="en-US" w:bidi="ar-DZ"/>
        </w:rPr>
        <w:t xml:space="preserve"> </w:t>
      </w:r>
      <w:r w:rsidR="002A686B" w:rsidRPr="00917B75">
        <w:rPr>
          <w:rFonts w:ascii="Simplified Arabic" w:hAnsi="Simplified Arabic" w:cs="Simplified Arabic" w:hint="cs"/>
          <w:sz w:val="24"/>
          <w:szCs w:val="24"/>
          <w:rtl/>
          <w:lang w:val="en-US" w:bidi="ar-DZ"/>
        </w:rPr>
        <w:t>مستوى</w:t>
      </w:r>
      <w:r w:rsidR="002A686B" w:rsidRPr="00917B75">
        <w:rPr>
          <w:rFonts w:ascii="Simplified Arabic" w:hAnsi="Simplified Arabic" w:cs="Simplified Arabic"/>
          <w:sz w:val="24"/>
          <w:szCs w:val="24"/>
          <w:rtl/>
          <w:lang w:val="en-US" w:bidi="ar-DZ"/>
        </w:rPr>
        <w:t xml:space="preserve"> </w:t>
      </w:r>
      <w:r w:rsidR="00A7555A" w:rsidRPr="00917B75">
        <w:rPr>
          <w:rFonts w:ascii="Simplified Arabic" w:hAnsi="Simplified Arabic" w:cs="Simplified Arabic" w:hint="cs"/>
          <w:sz w:val="24"/>
          <w:szCs w:val="24"/>
          <w:rtl/>
          <w:lang w:val="en-US" w:bidi="ar-DZ"/>
        </w:rPr>
        <w:t>منخفض</w:t>
      </w:r>
      <w:r w:rsidR="00A7555A" w:rsidRPr="00917B75">
        <w:rPr>
          <w:rFonts w:ascii="Simplified Arabic" w:hAnsi="Simplified Arabic" w:cs="Simplified Arabic"/>
          <w:sz w:val="24"/>
          <w:szCs w:val="24"/>
          <w:rtl/>
          <w:lang w:val="en-US" w:bidi="ar-DZ"/>
        </w:rPr>
        <w:t xml:space="preserve"> </w:t>
      </w:r>
      <w:r w:rsidR="009238B6" w:rsidRPr="00917B75">
        <w:rPr>
          <w:rFonts w:ascii="Simplified Arabic" w:hAnsi="Simplified Arabic" w:cs="Simplified Arabic" w:hint="cs"/>
          <w:sz w:val="24"/>
          <w:szCs w:val="24"/>
          <w:rtl/>
          <w:lang w:val="en-US" w:bidi="ar-DZ"/>
        </w:rPr>
        <w:t>ل</w:t>
      </w:r>
      <w:r w:rsidR="004047B5" w:rsidRPr="00917B75">
        <w:rPr>
          <w:rFonts w:ascii="Simplified Arabic" w:hAnsi="Simplified Arabic" w:cs="Simplified Arabic" w:hint="cs"/>
          <w:sz w:val="24"/>
          <w:szCs w:val="24"/>
          <w:rtl/>
          <w:lang w:val="en-US" w:bidi="ar-DZ"/>
        </w:rPr>
        <w:t>إمكانية</w:t>
      </w:r>
      <w:r w:rsidR="002A686B" w:rsidRPr="00917B75">
        <w:rPr>
          <w:rFonts w:ascii="Simplified Arabic" w:hAnsi="Simplified Arabic" w:cs="Simplified Arabic"/>
          <w:sz w:val="24"/>
          <w:szCs w:val="24"/>
          <w:rtl/>
          <w:lang w:val="en-US" w:bidi="ar-DZ"/>
        </w:rPr>
        <w:t xml:space="preserve"> </w:t>
      </w:r>
      <w:r w:rsidR="001C6266" w:rsidRPr="00917B75">
        <w:rPr>
          <w:rFonts w:ascii="Simplified Arabic" w:hAnsi="Simplified Arabic" w:cs="Simplified Arabic" w:hint="cs"/>
          <w:sz w:val="24"/>
          <w:szCs w:val="24"/>
          <w:rtl/>
          <w:lang w:val="en-US" w:bidi="ar-DZ"/>
        </w:rPr>
        <w:t>ال</w:t>
      </w:r>
      <w:r w:rsidR="002A686B" w:rsidRPr="00917B75">
        <w:rPr>
          <w:rFonts w:ascii="Simplified Arabic" w:hAnsi="Simplified Arabic" w:cs="Simplified Arabic" w:hint="cs"/>
          <w:sz w:val="24"/>
          <w:szCs w:val="24"/>
          <w:rtl/>
          <w:lang w:val="en-US" w:bidi="ar-DZ"/>
        </w:rPr>
        <w:t>وصول</w:t>
      </w:r>
      <w:r w:rsidR="00E54E65" w:rsidRPr="00917B75">
        <w:rPr>
          <w:rFonts w:ascii="Simplified Arabic" w:hAnsi="Simplified Arabic" w:cs="Simplified Arabic" w:hint="cs"/>
          <w:sz w:val="24"/>
          <w:szCs w:val="24"/>
          <w:rtl/>
          <w:lang w:val="en-US" w:bidi="ar-DZ"/>
        </w:rPr>
        <w:t xml:space="preserve"> نحو مختلف الوجهات المحتملة لحي القصر</w:t>
      </w:r>
      <w:r w:rsidR="002713DB" w:rsidRPr="00917B75">
        <w:rPr>
          <w:rFonts w:ascii="Simplified Arabic" w:hAnsi="Simplified Arabic" w:cs="Simplified Arabic" w:hint="cs"/>
          <w:sz w:val="24"/>
          <w:szCs w:val="24"/>
          <w:rtl/>
          <w:lang w:val="en-US" w:bidi="ar-DZ"/>
        </w:rPr>
        <w:t>.</w:t>
      </w:r>
      <w:r w:rsidR="001435F8" w:rsidRPr="00917B75">
        <w:rPr>
          <w:rFonts w:ascii="Simplified Arabic" w:hAnsi="Simplified Arabic" w:cs="Simplified Arabic" w:hint="cs"/>
          <w:sz w:val="24"/>
          <w:szCs w:val="24"/>
          <w:rtl/>
        </w:rPr>
        <w:t xml:space="preserve"> </w:t>
      </w:r>
      <w:bookmarkStart w:id="830" w:name="_Toc157608363"/>
    </w:p>
    <w:p w:rsidR="006E636D" w:rsidRPr="00917B75" w:rsidRDefault="006E636D" w:rsidP="00917B75">
      <w:pPr>
        <w:autoSpaceDE w:val="0"/>
        <w:autoSpaceDN w:val="0"/>
        <w:bidi/>
        <w:adjustRightInd w:val="0"/>
        <w:spacing w:before="240" w:after="0"/>
        <w:jc w:val="both"/>
        <w:rPr>
          <w:rFonts w:ascii="Simplified Arabic" w:hAnsi="Simplified Arabic" w:cs="Simplified Arabic"/>
          <w:b/>
          <w:bCs/>
          <w:sz w:val="8"/>
          <w:szCs w:val="24"/>
          <w:rtl/>
          <w:lang w:val="en-US" w:bidi="ar-DZ"/>
        </w:rPr>
      </w:pPr>
      <w:r w:rsidRPr="00917B75">
        <w:rPr>
          <w:rFonts w:ascii="Simplified Arabic" w:hAnsi="Simplified Arabic" w:cs="Simplified Arabic"/>
          <w:b/>
          <w:bCs/>
          <w:sz w:val="8"/>
          <w:szCs w:val="24"/>
          <w:rtl/>
          <w:lang w:bidi="ar-DZ"/>
        </w:rPr>
        <w:t xml:space="preserve">الشكل (6-12) </w:t>
      </w:r>
      <w:r w:rsidRPr="00917B75">
        <w:rPr>
          <w:rFonts w:ascii="Simplified Arabic" w:hAnsi="Simplified Arabic" w:cs="Simplified Arabic"/>
          <w:b/>
          <w:bCs/>
          <w:sz w:val="8"/>
          <w:szCs w:val="24"/>
          <w:rtl/>
          <w:lang w:val="en-US" w:bidi="ar-DZ"/>
        </w:rPr>
        <w:t>ل</w:t>
      </w:r>
      <w:r w:rsidRPr="00917B75">
        <w:rPr>
          <w:rFonts w:ascii="Simplified Arabic" w:hAnsi="Simplified Arabic" w:cs="Simplified Arabic"/>
          <w:b/>
          <w:bCs/>
          <w:sz w:val="8"/>
          <w:szCs w:val="24"/>
          <w:rtl/>
          <w:lang w:bidi="ar-DZ"/>
        </w:rPr>
        <w:t>توزيع ا</w:t>
      </w:r>
      <w:r w:rsidRPr="00917B75">
        <w:rPr>
          <w:rFonts w:ascii="Simplified Arabic" w:hAnsi="Simplified Arabic" w:cs="Simplified Arabic"/>
          <w:b/>
          <w:bCs/>
          <w:sz w:val="8"/>
          <w:szCs w:val="24"/>
          <w:rtl/>
          <w:lang w:val="en-US" w:bidi="ar-DZ"/>
        </w:rPr>
        <w:t xml:space="preserve">لنسب </w:t>
      </w:r>
      <w:r w:rsidRPr="00917B75">
        <w:rPr>
          <w:rFonts w:ascii="Simplified Arabic" w:hAnsi="Simplified Arabic" w:cs="Simplified Arabic"/>
          <w:b/>
          <w:bCs/>
          <w:sz w:val="8"/>
          <w:szCs w:val="24"/>
          <w:rtl/>
          <w:lang w:bidi="ar-DZ"/>
        </w:rPr>
        <w:t>بين مسافة شبكة الشوارع والمسافة الإقليدية ل</w:t>
      </w:r>
      <w:r w:rsidRPr="00917B75">
        <w:rPr>
          <w:rFonts w:ascii="Simplified Arabic" w:hAnsi="Simplified Arabic" w:cs="Simplified Arabic"/>
          <w:b/>
          <w:bCs/>
          <w:sz w:val="8"/>
          <w:szCs w:val="24"/>
          <w:rtl/>
          <w:lang w:val="en-US" w:bidi="ar-DZ"/>
        </w:rPr>
        <w:t xml:space="preserve">فئة النسيج الحضري (أ)، </w:t>
      </w:r>
      <w:r w:rsidRPr="00917B75">
        <w:rPr>
          <w:rFonts w:ascii="Simplified Arabic" w:hAnsi="Simplified Arabic" w:cs="Simplified Arabic"/>
          <w:b/>
          <w:bCs/>
          <w:sz w:val="8"/>
          <w:szCs w:val="24"/>
          <w:rtl/>
        </w:rPr>
        <w:t xml:space="preserve">حي </w:t>
      </w:r>
      <w:r w:rsidRPr="00917B75">
        <w:rPr>
          <w:rFonts w:ascii="Simplified Arabic" w:hAnsi="Simplified Arabic" w:cs="Simplified Arabic"/>
          <w:b/>
          <w:bCs/>
          <w:sz w:val="8"/>
          <w:szCs w:val="24"/>
          <w:rtl/>
          <w:lang w:val="en-US" w:bidi="ar-DZ"/>
        </w:rPr>
        <w:t>القصر</w:t>
      </w:r>
      <w:bookmarkEnd w:id="830"/>
    </w:p>
    <w:p w:rsidR="00721C85" w:rsidRDefault="00721C85" w:rsidP="00721C85">
      <w:pPr>
        <w:pStyle w:val="fegure"/>
        <w:rPr>
          <w:sz w:val="8"/>
          <w:szCs w:val="24"/>
          <w:rtl/>
          <w:lang w:val="en-US"/>
        </w:rPr>
      </w:pPr>
      <w:bookmarkStart w:id="831" w:name="_Toc171803804"/>
      <w:r>
        <w:rPr>
          <w:rFonts w:hint="cs"/>
          <w:sz w:val="8"/>
          <w:szCs w:val="24"/>
          <w:rtl/>
          <w:lang w:val="en-US"/>
        </w:rPr>
        <w:t>(الباحث، 2022)</w:t>
      </w:r>
      <w:bookmarkEnd w:id="831"/>
    </w:p>
    <w:p w:rsidR="008508C7" w:rsidRDefault="008508C7" w:rsidP="00820396">
      <w:pPr>
        <w:pStyle w:val="fegure"/>
        <w:spacing w:before="240" w:after="240"/>
        <w:rPr>
          <w:sz w:val="8"/>
          <w:szCs w:val="24"/>
          <w:rtl/>
          <w:lang w:val="en-US" w:bidi="ar-DZ"/>
        </w:rPr>
      </w:pPr>
      <w:bookmarkStart w:id="832" w:name="_Toc171803805"/>
      <w:r>
        <w:rPr>
          <w:noProof/>
          <w:lang w:eastAsia="fr-FR"/>
        </w:rPr>
        <w:drawing>
          <wp:inline distT="0" distB="0" distL="0" distR="0" wp14:anchorId="4C109EFC" wp14:editId="34B0131F">
            <wp:extent cx="3916393" cy="2613803"/>
            <wp:effectExtent l="0" t="0" r="27305" b="15240"/>
            <wp:docPr id="102" name="Graphique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3"/>
              </a:graphicData>
            </a:graphic>
          </wp:inline>
        </w:drawing>
      </w:r>
      <w:bookmarkEnd w:id="832"/>
    </w:p>
    <w:p w:rsidR="00820396" w:rsidRDefault="00820396" w:rsidP="00917B75">
      <w:pPr>
        <w:pStyle w:val="Paragraphedeliste"/>
        <w:autoSpaceDE w:val="0"/>
        <w:autoSpaceDN w:val="0"/>
        <w:bidi/>
        <w:adjustRightInd w:val="0"/>
        <w:spacing w:after="0"/>
        <w:ind w:left="0" w:firstLine="283"/>
        <w:jc w:val="both"/>
        <w:rPr>
          <w:rFonts w:ascii="Simplified Arabic" w:hAnsi="Simplified Arabic" w:cs="Simplified Arabic"/>
          <w:sz w:val="24"/>
          <w:szCs w:val="24"/>
          <w:rtl/>
        </w:rPr>
      </w:pPr>
      <w:r w:rsidRPr="009C3712">
        <w:rPr>
          <w:rFonts w:ascii="Simplified Arabic" w:hAnsi="Simplified Arabic" w:cs="Simplified Arabic" w:hint="cs"/>
          <w:sz w:val="24"/>
          <w:szCs w:val="24"/>
          <w:rtl/>
        </w:rPr>
        <w:lastRenderedPageBreak/>
        <w:t>يرتبط هذا الانخفاض، بوجود</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تقسيمات</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فرعية كبيرة</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وعدد</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معتبر</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من</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المباني</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ذات</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مساحة</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rPr>
        <w:t>بناء صغيرة (اقل من 120م</w:t>
      </w:r>
      <w:r w:rsidRPr="009C3712">
        <w:rPr>
          <w:rFonts w:ascii="Simplified Arabic" w:hAnsi="Simplified Arabic" w:cs="Simplified Arabic" w:hint="cs"/>
          <w:sz w:val="24"/>
          <w:szCs w:val="24"/>
          <w:vertAlign w:val="superscript"/>
          <w:rtl/>
        </w:rPr>
        <w:t>2</w:t>
      </w:r>
      <w:r w:rsidRPr="009C3712">
        <w:rPr>
          <w:rFonts w:ascii="Simplified Arabic" w:hAnsi="Simplified Arabic" w:cs="Simplified Arabic" w:hint="cs"/>
          <w:sz w:val="24"/>
          <w:szCs w:val="24"/>
          <w:rtl/>
        </w:rPr>
        <w:t>) وطرق</w:t>
      </w:r>
      <w:r w:rsidRPr="009C3712">
        <w:rPr>
          <w:rFonts w:ascii="Simplified Arabic" w:hAnsi="Simplified Arabic" w:cs="Simplified Arabic"/>
          <w:sz w:val="24"/>
          <w:szCs w:val="24"/>
          <w:rtl/>
        </w:rPr>
        <w:t xml:space="preserve"> </w:t>
      </w:r>
      <w:r w:rsidRPr="009C3712">
        <w:rPr>
          <w:rFonts w:ascii="Simplified Arabic" w:hAnsi="Simplified Arabic" w:cs="Simplified Arabic" w:hint="cs"/>
          <w:sz w:val="24"/>
          <w:szCs w:val="24"/>
          <w:rtl/>
          <w:lang w:val="en-US" w:bidi="ar-DZ"/>
        </w:rPr>
        <w:t>ضيقة</w:t>
      </w:r>
      <w:r w:rsidRPr="009C3712">
        <w:rPr>
          <w:rFonts w:ascii="Simplified Arabic" w:hAnsi="Simplified Arabic" w:cs="Simplified Arabic"/>
          <w:sz w:val="24"/>
          <w:szCs w:val="24"/>
          <w:rtl/>
          <w:lang w:val="en-US" w:bidi="ar-DZ"/>
        </w:rPr>
        <w:t xml:space="preserve"> </w:t>
      </w:r>
      <w:r w:rsidRPr="009C3712">
        <w:rPr>
          <w:rFonts w:ascii="Simplified Arabic" w:hAnsi="Simplified Arabic" w:cs="Simplified Arabic" w:hint="cs"/>
          <w:sz w:val="24"/>
          <w:szCs w:val="24"/>
          <w:rtl/>
          <w:lang w:val="en-US" w:bidi="ar-DZ"/>
        </w:rPr>
        <w:t>تقل عن 4م و</w:t>
      </w:r>
      <w:r w:rsidRPr="009C3712">
        <w:rPr>
          <w:rFonts w:ascii="Simplified Arabic" w:hAnsi="Simplified Arabic" w:cs="Simplified Arabic" w:hint="cs"/>
          <w:sz w:val="24"/>
          <w:szCs w:val="24"/>
          <w:rtl/>
        </w:rPr>
        <w:t>متعرجة</w:t>
      </w:r>
      <w:r w:rsidRPr="009C3712">
        <w:rPr>
          <w:rFonts w:ascii="Simplified Arabic" w:hAnsi="Simplified Arabic" w:cs="Simplified Arabic"/>
          <w:sz w:val="24"/>
          <w:szCs w:val="24"/>
          <w:rtl/>
        </w:rPr>
        <w:t xml:space="preserve"> </w:t>
      </w:r>
      <w:r w:rsidRPr="009C3712">
        <w:rPr>
          <w:rFonts w:ascii="Simplified Arabic" w:hAnsi="Simplified Arabic" w:cs="Simplified Arabic" w:hint="cs"/>
          <w:color w:val="000000" w:themeColor="text1"/>
          <w:sz w:val="24"/>
          <w:szCs w:val="24"/>
          <w:rtl/>
        </w:rPr>
        <w:t xml:space="preserve">التي تقلل من </w:t>
      </w:r>
      <w:r w:rsidRPr="009C3712">
        <w:rPr>
          <w:rFonts w:ascii="Simplified Arabic" w:hAnsi="Simplified Arabic" w:cs="Simplified Arabic" w:hint="cs"/>
          <w:sz w:val="24"/>
          <w:szCs w:val="24"/>
          <w:rtl/>
        </w:rPr>
        <w:t xml:space="preserve">امكانية الوصول نحو الوجهات المختلفة للمباني، </w:t>
      </w:r>
      <w:r w:rsidRPr="009C3712">
        <w:rPr>
          <w:rFonts w:ascii="Simplified Arabic" w:hAnsi="Simplified Arabic" w:cs="Simplified Arabic"/>
          <w:sz w:val="24"/>
          <w:szCs w:val="24"/>
          <w:rtl/>
        </w:rPr>
        <w:t>بالتالي</w:t>
      </w:r>
      <w:r w:rsidRPr="009C3712">
        <w:rPr>
          <w:rFonts w:ascii="Simplified Arabic" w:hAnsi="Simplified Arabic" w:cs="Simplified Arabic" w:hint="cs"/>
          <w:sz w:val="24"/>
          <w:szCs w:val="24"/>
          <w:rtl/>
        </w:rPr>
        <w:t>،</w:t>
      </w:r>
      <w:r w:rsidRPr="009C3712">
        <w:rPr>
          <w:rFonts w:ascii="Simplified Arabic" w:hAnsi="Simplified Arabic" w:cs="Simplified Arabic"/>
          <w:sz w:val="24"/>
          <w:szCs w:val="24"/>
          <w:rtl/>
        </w:rPr>
        <w:t xml:space="preserve"> تحقق </w:t>
      </w:r>
      <w:r w:rsidRPr="009C3712">
        <w:rPr>
          <w:rFonts w:ascii="Simplified Arabic" w:hAnsi="Simplified Arabic" w:cs="Simplified Arabic" w:hint="cs"/>
          <w:sz w:val="24"/>
          <w:szCs w:val="24"/>
          <w:rtl/>
          <w:lang w:val="en-US" w:bidi="ar-DZ"/>
        </w:rPr>
        <w:t xml:space="preserve">فئة النسيج الحضري (أ) </w:t>
      </w:r>
      <w:r w:rsidRPr="009C3712">
        <w:rPr>
          <w:rFonts w:ascii="Simplified Arabic" w:hAnsi="Simplified Arabic" w:cs="Simplified Arabic" w:hint="cs"/>
          <w:sz w:val="24"/>
          <w:szCs w:val="24"/>
          <w:rtl/>
        </w:rPr>
        <w:t xml:space="preserve">مستوى </w:t>
      </w:r>
      <w:r w:rsidRPr="009C3712">
        <w:rPr>
          <w:rFonts w:ascii="Simplified Arabic" w:hAnsi="Simplified Arabic" w:cs="Simplified Arabic"/>
          <w:sz w:val="24"/>
          <w:szCs w:val="24"/>
          <w:rtl/>
        </w:rPr>
        <w:t xml:space="preserve">مرونة </w:t>
      </w:r>
      <w:r w:rsidRPr="009C3712">
        <w:rPr>
          <w:rFonts w:ascii="Simplified Arabic" w:hAnsi="Simplified Arabic" w:cs="Simplified Arabic" w:hint="cs"/>
          <w:sz w:val="24"/>
          <w:szCs w:val="24"/>
          <w:rtl/>
        </w:rPr>
        <w:t xml:space="preserve">مكانية </w:t>
      </w:r>
      <w:r w:rsidRPr="009C3712">
        <w:rPr>
          <w:rFonts w:ascii="Simplified Arabic" w:hAnsi="Simplified Arabic" w:cs="Simplified Arabic" w:hint="cs"/>
          <w:sz w:val="24"/>
          <w:szCs w:val="24"/>
          <w:rtl/>
          <w:lang w:val="en-US" w:bidi="ar-DZ"/>
        </w:rPr>
        <w:t>منخفضة</w:t>
      </w:r>
      <w:r w:rsidRPr="009C3712">
        <w:rPr>
          <w:rFonts w:ascii="Simplified Arabic" w:hAnsi="Simplified Arabic" w:cs="Simplified Arabic"/>
          <w:sz w:val="24"/>
          <w:szCs w:val="24"/>
          <w:rtl/>
        </w:rPr>
        <w:t xml:space="preserve">. </w:t>
      </w:r>
      <w:r>
        <w:rPr>
          <w:rFonts w:ascii="Simplified Arabic" w:hAnsi="Simplified Arabic" w:cs="Simplified Arabic" w:hint="cs"/>
          <w:sz w:val="24"/>
          <w:szCs w:val="24"/>
          <w:rtl/>
        </w:rPr>
        <w:t>من</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جهة</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ا</w:t>
      </w:r>
      <w:r w:rsidRPr="0074440A">
        <w:rPr>
          <w:rFonts w:ascii="Simplified Arabic" w:hAnsi="Simplified Arabic" w:cs="Simplified Arabic" w:hint="cs"/>
          <w:sz w:val="24"/>
          <w:szCs w:val="24"/>
          <w:rtl/>
        </w:rPr>
        <w:t>خ</w:t>
      </w:r>
      <w:r>
        <w:rPr>
          <w:rFonts w:ascii="Simplified Arabic" w:hAnsi="Simplified Arabic" w:cs="Simplified Arabic" w:hint="cs"/>
          <w:sz w:val="24"/>
          <w:szCs w:val="24"/>
          <w:rtl/>
        </w:rPr>
        <w:t>رى</w:t>
      </w:r>
      <w:r w:rsidRPr="0074440A">
        <w:rPr>
          <w:rFonts w:ascii="Simplified Arabic" w:hAnsi="Simplified Arabic" w:cs="Simplified Arabic" w:hint="cs"/>
          <w:sz w:val="24"/>
          <w:szCs w:val="24"/>
          <w:rtl/>
        </w:rPr>
        <w:t>،</w:t>
      </w:r>
      <w:r w:rsidRPr="0074440A">
        <w:rPr>
          <w:rFonts w:ascii="Simplified Arabic" w:hAnsi="Simplified Arabic" w:cs="Simplified Arabic"/>
          <w:sz w:val="24"/>
          <w:szCs w:val="24"/>
          <w:rtl/>
        </w:rPr>
        <w:t xml:space="preserve"> </w:t>
      </w:r>
      <w:r w:rsidRPr="007708D9">
        <w:rPr>
          <w:rFonts w:ascii="Simplified Arabic" w:hAnsi="Simplified Arabic" w:cs="Simplified Arabic" w:hint="cs"/>
          <w:sz w:val="24"/>
          <w:szCs w:val="24"/>
          <w:rtl/>
          <w:lang w:val="en-US" w:bidi="ar-DZ"/>
        </w:rPr>
        <w:t>تظهر</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مباني</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قليلة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ذروة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في</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إمكانية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الوصول</w:t>
      </w:r>
      <w:r w:rsidRPr="0074440A">
        <w:rPr>
          <w:rFonts w:ascii="Simplified Arabic" w:hAnsi="Simplified Arabic" w:cs="Simplified Arabic" w:hint="cs"/>
          <w:sz w:val="24"/>
          <w:szCs w:val="24"/>
          <w:rtl/>
        </w:rPr>
        <w:t xml:space="preserve"> التي</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تحتوي</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على</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تقسيمات</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 xml:space="preserve">فرعية </w:t>
      </w:r>
      <w:r>
        <w:rPr>
          <w:rFonts w:ascii="Simplified Arabic" w:hAnsi="Simplified Arabic" w:cs="Simplified Arabic" w:hint="cs"/>
          <w:sz w:val="24"/>
          <w:szCs w:val="24"/>
          <w:rtl/>
        </w:rPr>
        <w:t xml:space="preserve">صغيرة، </w:t>
      </w:r>
      <w:r w:rsidRPr="007708D9">
        <w:rPr>
          <w:rFonts w:ascii="Simplified Arabic" w:hAnsi="Simplified Arabic" w:cs="Simplified Arabic" w:hint="cs"/>
          <w:sz w:val="24"/>
          <w:szCs w:val="24"/>
          <w:rtl/>
          <w:lang w:val="en-US" w:bidi="ar-DZ"/>
        </w:rPr>
        <w:t>تقع</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في</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الشمال</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الغربي</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من</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الحي، كان عدد</w:t>
      </w:r>
      <w:r>
        <w:rPr>
          <w:rFonts w:ascii="Simplified Arabic" w:hAnsi="Simplified Arabic" w:cs="Simplified Arabic" w:hint="cs"/>
          <w:sz w:val="24"/>
          <w:szCs w:val="24"/>
          <w:rtl/>
        </w:rPr>
        <w:t xml:space="preserve"> </w:t>
      </w:r>
      <w:r w:rsidRPr="00AF687E">
        <w:rPr>
          <w:rFonts w:ascii="Simplified Arabic" w:hAnsi="Simplified Arabic" w:cs="Simplified Arabic"/>
          <w:sz w:val="24"/>
          <w:szCs w:val="24"/>
          <w:rtl/>
          <w:lang w:bidi="ar-DZ"/>
        </w:rPr>
        <w:t xml:space="preserve">المباني التي يمكن الوصول إليها </w:t>
      </w:r>
      <w:r>
        <w:rPr>
          <w:rFonts w:ascii="Simplified Arabic" w:hAnsi="Simplified Arabic" w:cs="Simplified Arabic" w:hint="cs"/>
          <w:sz w:val="24"/>
          <w:szCs w:val="24"/>
          <w:rtl/>
          <w:lang w:bidi="ar-DZ"/>
        </w:rPr>
        <w:t>مرتفع ب</w:t>
      </w:r>
      <w:r w:rsidRPr="00AF687E">
        <w:rPr>
          <w:rFonts w:ascii="Simplified Arabic" w:hAnsi="Simplified Arabic" w:cs="Simplified Arabic"/>
          <w:sz w:val="24"/>
          <w:szCs w:val="24"/>
          <w:rtl/>
          <w:lang w:bidi="ar-DZ"/>
        </w:rPr>
        <w:t xml:space="preserve">نسبة </w:t>
      </w:r>
      <w:r>
        <w:rPr>
          <w:rFonts w:ascii="Simplified Arabic" w:hAnsi="Simplified Arabic" w:cs="Simplified Arabic" w:hint="cs"/>
          <w:sz w:val="24"/>
          <w:szCs w:val="24"/>
          <w:rtl/>
        </w:rPr>
        <w:t>تساوي 0.31.</w:t>
      </w:r>
    </w:p>
    <w:p w:rsidR="005331EC" w:rsidRDefault="002A686B" w:rsidP="00820396">
      <w:pPr>
        <w:autoSpaceDE w:val="0"/>
        <w:autoSpaceDN w:val="0"/>
        <w:bidi/>
        <w:adjustRightInd w:val="0"/>
        <w:ind w:firstLine="283"/>
        <w:jc w:val="both"/>
        <w:rPr>
          <w:rFonts w:ascii="Simplified Arabic" w:hAnsi="Simplified Arabic" w:cs="Simplified Arabic"/>
          <w:sz w:val="24"/>
          <w:szCs w:val="24"/>
          <w:rtl/>
        </w:rPr>
      </w:pPr>
      <w:r w:rsidRPr="007708D9">
        <w:rPr>
          <w:rFonts w:ascii="Simplified Arabic" w:hAnsi="Simplified Arabic" w:cs="Simplified Arabic" w:hint="cs"/>
          <w:sz w:val="24"/>
          <w:szCs w:val="24"/>
          <w:rtl/>
          <w:lang w:val="en-US" w:bidi="ar-DZ"/>
        </w:rPr>
        <w:t>من</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الناحية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المكانية،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تبلغ</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كثافة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البناء</w:t>
      </w:r>
      <w:r w:rsidR="004130F1">
        <w:rPr>
          <w:rFonts w:ascii="Simplified Arabic" w:hAnsi="Simplified Arabic" w:cs="Simplified Arabic" w:hint="cs"/>
          <w:sz w:val="24"/>
          <w:szCs w:val="24"/>
          <w:rtl/>
          <w:lang w:val="en-US" w:bidi="ar-DZ"/>
        </w:rPr>
        <w:t xml:space="preserve"> بحي القصر (المدينة القديمة) </w:t>
      </w:r>
      <w:r w:rsidR="004047B5">
        <w:rPr>
          <w:rFonts w:ascii="Simplified Arabic" w:hAnsi="Simplified Arabic" w:cs="Simplified Arabic" w:hint="cs"/>
          <w:sz w:val="24"/>
          <w:szCs w:val="24"/>
          <w:rtl/>
          <w:lang w:val="en-US" w:bidi="ar-DZ"/>
        </w:rPr>
        <w:t>47</w:t>
      </w:r>
      <w:r w:rsidR="00457387">
        <w:rPr>
          <w:rFonts w:ascii="Simplified Arabic" w:hAnsi="Simplified Arabic" w:cs="Simplified Arabic" w:hint="cs"/>
          <w:sz w:val="24"/>
          <w:szCs w:val="24"/>
          <w:rtl/>
          <w:lang w:val="en-US" w:bidi="ar-DZ"/>
        </w:rPr>
        <w:t xml:space="preserve"> سكن</w:t>
      </w:r>
      <w:r w:rsidR="004047B5">
        <w:rPr>
          <w:rFonts w:ascii="Simplified Arabic" w:hAnsi="Simplified Arabic" w:cs="Simplified Arabic" w:hint="cs"/>
          <w:sz w:val="24"/>
          <w:szCs w:val="24"/>
          <w:rtl/>
          <w:lang w:val="en-US" w:bidi="ar-DZ"/>
        </w:rPr>
        <w:t>/هك</w:t>
      </w:r>
      <w:r w:rsidR="00457387">
        <w:rPr>
          <w:rFonts w:ascii="Simplified Arabic" w:hAnsi="Simplified Arabic" w:cs="Simplified Arabic" w:hint="cs"/>
          <w:sz w:val="24"/>
          <w:szCs w:val="24"/>
          <w:rtl/>
          <w:lang w:val="en-US" w:bidi="ar-DZ"/>
        </w:rPr>
        <w:t>تار</w:t>
      </w:r>
      <w:r w:rsidR="00331E34">
        <w:rPr>
          <w:rFonts w:ascii="Simplified Arabic" w:hAnsi="Simplified Arabic" w:cs="Simplified Arabic" w:hint="cs"/>
          <w:sz w:val="24"/>
          <w:szCs w:val="24"/>
          <w:rtl/>
          <w:lang w:val="en-US" w:bidi="ar-DZ"/>
        </w:rPr>
        <w:t>، تمثل اقصى</w:t>
      </w:r>
      <w:r w:rsidR="00E54E65">
        <w:rPr>
          <w:rFonts w:ascii="Simplified Arabic" w:hAnsi="Simplified Arabic" w:cs="Simplified Arabic" w:hint="cs"/>
          <w:sz w:val="24"/>
          <w:szCs w:val="24"/>
          <w:rtl/>
          <w:lang w:val="en-US" w:bidi="ar-DZ"/>
        </w:rPr>
        <w:t xml:space="preserve"> </w:t>
      </w:r>
      <w:r w:rsidR="00331E34">
        <w:rPr>
          <w:rFonts w:ascii="Simplified Arabic" w:hAnsi="Simplified Arabic" w:cs="Simplified Arabic" w:hint="cs"/>
          <w:sz w:val="24"/>
          <w:szCs w:val="24"/>
          <w:rtl/>
          <w:lang w:val="en-US" w:bidi="ar-DZ"/>
        </w:rPr>
        <w:t>كثافة</w:t>
      </w:r>
      <w:r w:rsidR="00E54E65">
        <w:rPr>
          <w:rFonts w:ascii="Simplified Arabic" w:hAnsi="Simplified Arabic" w:cs="Simplified Arabic" w:hint="cs"/>
          <w:sz w:val="24"/>
          <w:szCs w:val="24"/>
          <w:rtl/>
          <w:lang w:val="en-US" w:bidi="ar-DZ"/>
        </w:rPr>
        <w:t xml:space="preserve"> </w:t>
      </w:r>
      <w:r w:rsidR="00331E34">
        <w:rPr>
          <w:rFonts w:ascii="Simplified Arabic" w:hAnsi="Simplified Arabic" w:cs="Simplified Arabic" w:hint="cs"/>
          <w:sz w:val="24"/>
          <w:szCs w:val="24"/>
          <w:rtl/>
          <w:lang w:val="en-US" w:bidi="ar-DZ"/>
        </w:rPr>
        <w:t xml:space="preserve">سكنية </w:t>
      </w:r>
      <w:r w:rsidR="00E54E65">
        <w:rPr>
          <w:rFonts w:ascii="Simplified Arabic" w:hAnsi="Simplified Arabic" w:cs="Simplified Arabic" w:hint="cs"/>
          <w:sz w:val="24"/>
          <w:szCs w:val="24"/>
          <w:rtl/>
          <w:lang w:val="en-US" w:bidi="ar-DZ"/>
        </w:rPr>
        <w:t>بالمدينة</w:t>
      </w:r>
      <w:r w:rsidR="004047B5">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(الخريطة (6-1)</w:t>
      </w:r>
      <w:r w:rsidR="00E54E65">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w:t>
      </w:r>
      <w:r w:rsidR="004130F1">
        <w:rPr>
          <w:rFonts w:ascii="Simplified Arabic" w:hAnsi="Simplified Arabic" w:cs="Simplified Arabic" w:hint="cs"/>
          <w:sz w:val="24"/>
          <w:szCs w:val="24"/>
          <w:rtl/>
          <w:lang w:val="en-US" w:bidi="ar-DZ"/>
        </w:rPr>
        <w:t>ي</w:t>
      </w:r>
      <w:r w:rsidR="004130F1" w:rsidRPr="007708D9">
        <w:rPr>
          <w:rFonts w:ascii="Simplified Arabic" w:hAnsi="Simplified Arabic" w:cs="Simplified Arabic" w:hint="cs"/>
          <w:sz w:val="24"/>
          <w:szCs w:val="24"/>
          <w:rtl/>
          <w:lang w:val="en-US" w:bidi="ar-DZ"/>
        </w:rPr>
        <w:t>تميز</w:t>
      </w:r>
      <w:r w:rsidR="004130F1" w:rsidRPr="007708D9">
        <w:rPr>
          <w:rFonts w:ascii="Simplified Arabic" w:hAnsi="Simplified Arabic" w:cs="Simplified Arabic"/>
          <w:sz w:val="24"/>
          <w:szCs w:val="24"/>
          <w:rtl/>
          <w:lang w:val="en-US" w:bidi="ar-DZ"/>
        </w:rPr>
        <w:t xml:space="preserve"> </w:t>
      </w:r>
      <w:r w:rsidR="004130F1">
        <w:rPr>
          <w:rFonts w:ascii="Simplified Arabic" w:hAnsi="Simplified Arabic" w:cs="Simplified Arabic" w:hint="cs"/>
          <w:sz w:val="24"/>
          <w:szCs w:val="24"/>
          <w:rtl/>
          <w:lang w:val="en-US" w:bidi="ar-DZ"/>
        </w:rPr>
        <w:t>ب</w:t>
      </w:r>
      <w:r>
        <w:rPr>
          <w:rFonts w:ascii="Simplified Arabic" w:hAnsi="Simplified Arabic" w:cs="Simplified Arabic" w:hint="cs"/>
          <w:sz w:val="24"/>
          <w:szCs w:val="24"/>
          <w:rtl/>
          <w:lang w:val="en-US" w:bidi="ar-DZ"/>
        </w:rPr>
        <w:t>بناء متراص</w:t>
      </w:r>
      <w:r w:rsidR="004130F1">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w:t>
      </w:r>
      <w:r w:rsidR="004130F1">
        <w:rPr>
          <w:rFonts w:ascii="Simplified Arabic" w:hAnsi="Simplified Arabic" w:cs="Simplified Arabic" w:hint="cs"/>
          <w:sz w:val="24"/>
          <w:szCs w:val="24"/>
          <w:rtl/>
          <w:lang w:val="en-US" w:bidi="ar-DZ"/>
        </w:rPr>
        <w:t xml:space="preserve">أزقة ضيقة وقلة تكرار </w:t>
      </w:r>
      <w:r w:rsidR="004130F1" w:rsidRPr="007708D9">
        <w:rPr>
          <w:rFonts w:ascii="Simplified Arabic" w:hAnsi="Simplified Arabic" w:cs="Simplified Arabic" w:hint="cs"/>
          <w:sz w:val="24"/>
          <w:szCs w:val="24"/>
          <w:rtl/>
          <w:lang w:val="en-US" w:bidi="ar-DZ"/>
        </w:rPr>
        <w:t>تقاط</w:t>
      </w:r>
      <w:r w:rsidR="004130F1">
        <w:rPr>
          <w:rFonts w:ascii="Simplified Arabic" w:hAnsi="Simplified Arabic" w:cs="Simplified Arabic" w:hint="cs"/>
          <w:sz w:val="24"/>
          <w:szCs w:val="24"/>
          <w:rtl/>
          <w:lang w:val="en-US" w:bidi="ar-DZ"/>
        </w:rPr>
        <w:t xml:space="preserve">عات </w:t>
      </w:r>
      <w:r w:rsidRPr="007708D9">
        <w:rPr>
          <w:rFonts w:ascii="Simplified Arabic" w:hAnsi="Simplified Arabic" w:cs="Simplified Arabic" w:hint="cs"/>
          <w:sz w:val="24"/>
          <w:szCs w:val="24"/>
          <w:rtl/>
          <w:lang w:val="en-US" w:bidi="ar-DZ"/>
        </w:rPr>
        <w:t>شبكة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طرق</w:t>
      </w:r>
      <w:r w:rsidR="00331E34">
        <w:rPr>
          <w:rFonts w:ascii="Simplified Arabic" w:hAnsi="Simplified Arabic" w:cs="Simplified Arabic" w:hint="cs"/>
          <w:sz w:val="24"/>
          <w:szCs w:val="24"/>
          <w:rtl/>
          <w:lang w:val="en-US" w:bidi="ar-DZ"/>
        </w:rPr>
        <w:t>،</w:t>
      </w:r>
      <w:r w:rsidR="006378B6" w:rsidRPr="006378B6">
        <w:rPr>
          <w:rFonts w:ascii="Simplified Arabic" w:hAnsi="Simplified Arabic" w:cs="Simplified Arabic" w:hint="cs"/>
          <w:sz w:val="24"/>
          <w:szCs w:val="24"/>
          <w:rtl/>
        </w:rPr>
        <w:t xml:space="preserve"> </w:t>
      </w:r>
      <w:r w:rsidR="006378B6">
        <w:rPr>
          <w:rFonts w:ascii="Simplified Arabic" w:hAnsi="Simplified Arabic" w:cs="Simplified Arabic" w:hint="cs"/>
          <w:sz w:val="24"/>
          <w:szCs w:val="24"/>
          <w:rtl/>
        </w:rPr>
        <w:t>قللت من مستويات إمكانية الوصول</w:t>
      </w:r>
      <w:r w:rsidR="00A7555A" w:rsidRPr="00A7555A">
        <w:rPr>
          <w:rFonts w:ascii="Simplified Arabic" w:hAnsi="Simplified Arabic" w:cs="Simplified Arabic" w:hint="cs"/>
          <w:sz w:val="24"/>
          <w:szCs w:val="24"/>
          <w:rtl/>
        </w:rPr>
        <w:t xml:space="preserve"> </w:t>
      </w:r>
      <w:r w:rsidR="00A7555A">
        <w:rPr>
          <w:rFonts w:ascii="Simplified Arabic" w:hAnsi="Simplified Arabic" w:cs="Simplified Arabic" w:hint="cs"/>
          <w:sz w:val="24"/>
          <w:szCs w:val="24"/>
          <w:rtl/>
        </w:rPr>
        <w:t>بسبب كثافة البناء المرتفع</w:t>
      </w:r>
      <w:r w:rsidR="00671277">
        <w:rPr>
          <w:rFonts w:ascii="Simplified Arabic" w:hAnsi="Simplified Arabic" w:cs="Simplified Arabic" w:hint="cs"/>
          <w:sz w:val="24"/>
          <w:szCs w:val="24"/>
          <w:rtl/>
          <w:lang w:val="en-US" w:bidi="ar-DZ"/>
        </w:rPr>
        <w:t xml:space="preserve">. </w:t>
      </w:r>
      <w:r w:rsidR="005331EC">
        <w:rPr>
          <w:rFonts w:ascii="Simplified Arabic" w:hAnsi="Simplified Arabic" w:cs="Simplified Arabic" w:hint="cs"/>
          <w:sz w:val="24"/>
          <w:szCs w:val="24"/>
          <w:rtl/>
        </w:rPr>
        <w:t>كما</w:t>
      </w:r>
      <w:r w:rsidR="009238B6" w:rsidRPr="0074440A">
        <w:rPr>
          <w:rFonts w:ascii="Simplified Arabic" w:hAnsi="Simplified Arabic" w:cs="Simplified Arabic"/>
          <w:sz w:val="24"/>
          <w:szCs w:val="24"/>
          <w:rtl/>
        </w:rPr>
        <w:t xml:space="preserve"> </w:t>
      </w:r>
      <w:r w:rsidR="009238B6" w:rsidRPr="0074440A">
        <w:rPr>
          <w:rFonts w:ascii="Simplified Arabic" w:hAnsi="Simplified Arabic" w:cs="Simplified Arabic" w:hint="cs"/>
          <w:sz w:val="24"/>
          <w:szCs w:val="24"/>
          <w:rtl/>
        </w:rPr>
        <w:t>تعاني</w:t>
      </w:r>
      <w:r w:rsidR="009238B6" w:rsidRPr="0074440A">
        <w:rPr>
          <w:rFonts w:ascii="Simplified Arabic" w:hAnsi="Simplified Arabic" w:cs="Simplified Arabic"/>
          <w:sz w:val="24"/>
          <w:szCs w:val="24"/>
          <w:rtl/>
        </w:rPr>
        <w:t xml:space="preserve"> </w:t>
      </w:r>
      <w:r w:rsidR="00474C2D">
        <w:rPr>
          <w:rFonts w:ascii="Simplified Arabic" w:hAnsi="Simplified Arabic" w:cs="Simplified Arabic" w:hint="cs"/>
          <w:sz w:val="24"/>
          <w:szCs w:val="24"/>
          <w:rtl/>
        </w:rPr>
        <w:t>المباني</w:t>
      </w:r>
      <w:r w:rsidR="009238B6" w:rsidRPr="0074440A">
        <w:rPr>
          <w:rFonts w:ascii="Simplified Arabic" w:hAnsi="Simplified Arabic" w:cs="Simplified Arabic"/>
          <w:sz w:val="24"/>
          <w:szCs w:val="24"/>
          <w:rtl/>
        </w:rPr>
        <w:t xml:space="preserve"> </w:t>
      </w:r>
      <w:r w:rsidR="005331EC">
        <w:rPr>
          <w:rFonts w:ascii="Simplified Arabic" w:hAnsi="Simplified Arabic" w:cs="Simplified Arabic" w:hint="cs"/>
          <w:sz w:val="24"/>
          <w:szCs w:val="24"/>
          <w:rtl/>
        </w:rPr>
        <w:t>الواقعة جنب</w:t>
      </w:r>
      <w:r w:rsidR="009238B6" w:rsidRPr="0074440A">
        <w:rPr>
          <w:rFonts w:ascii="Simplified Arabic" w:hAnsi="Simplified Arabic" w:cs="Simplified Arabic"/>
          <w:sz w:val="24"/>
          <w:szCs w:val="24"/>
          <w:rtl/>
        </w:rPr>
        <w:t xml:space="preserve"> </w:t>
      </w:r>
      <w:r w:rsidR="00671277">
        <w:rPr>
          <w:rFonts w:ascii="Simplified Arabic" w:hAnsi="Simplified Arabic" w:cs="Simplified Arabic" w:hint="cs"/>
          <w:sz w:val="24"/>
          <w:szCs w:val="24"/>
          <w:rtl/>
        </w:rPr>
        <w:t xml:space="preserve">واد بوسعادة </w:t>
      </w:r>
      <w:r w:rsidR="005331EC">
        <w:rPr>
          <w:rFonts w:ascii="Simplified Arabic" w:hAnsi="Simplified Arabic" w:cs="Simplified Arabic" w:hint="cs"/>
          <w:sz w:val="24"/>
          <w:szCs w:val="24"/>
          <w:rtl/>
        </w:rPr>
        <w:t>من انخفاض مستوى امكانية الوصول،</w:t>
      </w:r>
      <w:r w:rsidR="005331EC" w:rsidRPr="0074440A">
        <w:rPr>
          <w:rFonts w:ascii="Simplified Arabic" w:hAnsi="Simplified Arabic" w:cs="Simplified Arabic" w:hint="cs"/>
          <w:sz w:val="24"/>
          <w:szCs w:val="24"/>
          <w:rtl/>
        </w:rPr>
        <w:t xml:space="preserve"> </w:t>
      </w:r>
      <w:r w:rsidR="006378B6">
        <w:rPr>
          <w:rFonts w:ascii="Simplified Arabic" w:hAnsi="Simplified Arabic" w:cs="Simplified Arabic" w:hint="cs"/>
          <w:sz w:val="24"/>
          <w:szCs w:val="24"/>
          <w:rtl/>
        </w:rPr>
        <w:t>سبب ذلك،</w:t>
      </w:r>
      <w:r w:rsidR="009238B6" w:rsidRPr="0074440A">
        <w:rPr>
          <w:rFonts w:ascii="Simplified Arabic" w:hAnsi="Simplified Arabic" w:cs="Simplified Arabic"/>
          <w:sz w:val="24"/>
          <w:szCs w:val="24"/>
          <w:rtl/>
        </w:rPr>
        <w:t xml:space="preserve"> </w:t>
      </w:r>
      <w:r w:rsidR="009238B6" w:rsidRPr="0074440A">
        <w:rPr>
          <w:rFonts w:ascii="Simplified Arabic" w:hAnsi="Simplified Arabic" w:cs="Simplified Arabic" w:hint="cs"/>
          <w:sz w:val="24"/>
          <w:szCs w:val="24"/>
          <w:rtl/>
        </w:rPr>
        <w:t>تأثير</w:t>
      </w:r>
      <w:r w:rsidR="009238B6" w:rsidRPr="0074440A">
        <w:rPr>
          <w:rFonts w:ascii="Simplified Arabic" w:hAnsi="Simplified Arabic" w:cs="Simplified Arabic"/>
          <w:sz w:val="24"/>
          <w:szCs w:val="24"/>
          <w:rtl/>
        </w:rPr>
        <w:t xml:space="preserve"> </w:t>
      </w:r>
      <w:r w:rsidR="009238B6" w:rsidRPr="0074440A">
        <w:rPr>
          <w:rFonts w:ascii="Simplified Arabic" w:hAnsi="Simplified Arabic" w:cs="Simplified Arabic" w:hint="cs"/>
          <w:sz w:val="24"/>
          <w:szCs w:val="24"/>
          <w:rtl/>
        </w:rPr>
        <w:t>الحافة</w:t>
      </w:r>
      <w:r w:rsidR="009238B6" w:rsidRPr="0074440A">
        <w:rPr>
          <w:rFonts w:ascii="Simplified Arabic" w:hAnsi="Simplified Arabic" w:cs="Simplified Arabic"/>
          <w:sz w:val="24"/>
          <w:szCs w:val="24"/>
          <w:rtl/>
        </w:rPr>
        <w:t xml:space="preserve"> </w:t>
      </w:r>
      <w:r w:rsidR="009238B6" w:rsidRPr="0074440A">
        <w:rPr>
          <w:rFonts w:ascii="Simplified Arabic" w:hAnsi="Simplified Arabic" w:cs="Simplified Arabic" w:hint="cs"/>
          <w:sz w:val="24"/>
          <w:szCs w:val="24"/>
          <w:rtl/>
        </w:rPr>
        <w:t>الطبيعية</w:t>
      </w:r>
      <w:r w:rsidR="009238B6" w:rsidRPr="0074440A">
        <w:rPr>
          <w:rFonts w:ascii="Simplified Arabic" w:hAnsi="Simplified Arabic" w:cs="Simplified Arabic"/>
          <w:sz w:val="24"/>
          <w:szCs w:val="24"/>
          <w:rtl/>
        </w:rPr>
        <w:t xml:space="preserve"> </w:t>
      </w:r>
      <w:r w:rsidR="009238B6" w:rsidRPr="0074440A">
        <w:rPr>
          <w:rFonts w:ascii="Simplified Arabic" w:hAnsi="Simplified Arabic" w:cs="Simplified Arabic" w:hint="cs"/>
          <w:sz w:val="24"/>
          <w:szCs w:val="24"/>
          <w:rtl/>
        </w:rPr>
        <w:t>الناجم</w:t>
      </w:r>
      <w:r w:rsidR="00671277">
        <w:rPr>
          <w:rFonts w:ascii="Simplified Arabic" w:hAnsi="Simplified Arabic" w:cs="Simplified Arabic" w:hint="cs"/>
          <w:sz w:val="24"/>
          <w:szCs w:val="24"/>
          <w:rtl/>
        </w:rPr>
        <w:t>ة</w:t>
      </w:r>
      <w:r w:rsidR="009238B6" w:rsidRPr="0074440A">
        <w:rPr>
          <w:rFonts w:ascii="Simplified Arabic" w:hAnsi="Simplified Arabic" w:cs="Simplified Arabic"/>
          <w:sz w:val="24"/>
          <w:szCs w:val="24"/>
          <w:rtl/>
        </w:rPr>
        <w:t xml:space="preserve"> </w:t>
      </w:r>
      <w:r w:rsidR="009238B6" w:rsidRPr="0074440A">
        <w:rPr>
          <w:rFonts w:ascii="Simplified Arabic" w:hAnsi="Simplified Arabic" w:cs="Simplified Arabic" w:hint="cs"/>
          <w:sz w:val="24"/>
          <w:szCs w:val="24"/>
          <w:rtl/>
        </w:rPr>
        <w:t>عن</w:t>
      </w:r>
      <w:r w:rsidR="009238B6" w:rsidRPr="0074440A">
        <w:rPr>
          <w:rFonts w:ascii="Simplified Arabic" w:hAnsi="Simplified Arabic" w:cs="Simplified Arabic"/>
          <w:sz w:val="24"/>
          <w:szCs w:val="24"/>
          <w:rtl/>
        </w:rPr>
        <w:t xml:space="preserve"> </w:t>
      </w:r>
      <w:r w:rsidR="005331EC">
        <w:rPr>
          <w:rFonts w:ascii="Simplified Arabic" w:hAnsi="Simplified Arabic" w:cs="Simplified Arabic" w:hint="cs"/>
          <w:sz w:val="24"/>
          <w:szCs w:val="24"/>
          <w:rtl/>
        </w:rPr>
        <w:t>الواد</w:t>
      </w:r>
      <w:r w:rsidR="00457548">
        <w:rPr>
          <w:rFonts w:ascii="Simplified Arabic" w:hAnsi="Simplified Arabic" w:cs="Simplified Arabic" w:hint="cs"/>
          <w:sz w:val="24"/>
          <w:szCs w:val="24"/>
          <w:rtl/>
          <w:lang w:val="en-US" w:bidi="ar-DZ"/>
        </w:rPr>
        <w:t>.</w:t>
      </w:r>
      <w:r w:rsidR="005331EC" w:rsidRPr="005331EC">
        <w:rPr>
          <w:rFonts w:ascii="Simplified Arabic" w:hAnsi="Simplified Arabic" w:cs="Simplified Arabic" w:hint="cs"/>
          <w:sz w:val="24"/>
          <w:szCs w:val="24"/>
          <w:rtl/>
        </w:rPr>
        <w:t xml:space="preserve"> </w:t>
      </w:r>
      <w:r w:rsidR="005331EC" w:rsidRPr="0074440A">
        <w:rPr>
          <w:rFonts w:ascii="Simplified Arabic" w:hAnsi="Simplified Arabic" w:cs="Simplified Arabic" w:hint="cs"/>
          <w:sz w:val="24"/>
          <w:szCs w:val="24"/>
          <w:rtl/>
        </w:rPr>
        <w:t>نتيجة</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للطريقة</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التي</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تم</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بها</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قياس</w:t>
      </w:r>
      <w:r w:rsidR="005331EC" w:rsidRPr="0074440A">
        <w:rPr>
          <w:rFonts w:ascii="Simplified Arabic" w:hAnsi="Simplified Arabic" w:cs="Simplified Arabic"/>
          <w:sz w:val="24"/>
          <w:szCs w:val="24"/>
          <w:rtl/>
        </w:rPr>
        <w:t xml:space="preserve"> </w:t>
      </w:r>
      <w:r w:rsidR="00474C2D">
        <w:rPr>
          <w:rFonts w:ascii="Simplified Arabic" w:hAnsi="Simplified Arabic" w:cs="Simplified Arabic" w:hint="cs"/>
          <w:sz w:val="24"/>
          <w:szCs w:val="24"/>
          <w:rtl/>
        </w:rPr>
        <w:t>عدد</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المباني</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التي</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يمكن</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الوصول</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إليها،</w:t>
      </w:r>
      <w:r w:rsidR="005331EC" w:rsidRPr="0074440A">
        <w:rPr>
          <w:rFonts w:ascii="Simplified Arabic" w:hAnsi="Simplified Arabic" w:cs="Simplified Arabic"/>
          <w:sz w:val="24"/>
          <w:szCs w:val="24"/>
          <w:rtl/>
        </w:rPr>
        <w:t xml:space="preserve"> </w:t>
      </w:r>
      <w:r w:rsidR="005331EC">
        <w:rPr>
          <w:rFonts w:ascii="Simplified Arabic" w:hAnsi="Simplified Arabic" w:cs="Simplified Arabic" w:hint="cs"/>
          <w:sz w:val="24"/>
          <w:szCs w:val="24"/>
          <w:rtl/>
        </w:rPr>
        <w:t xml:space="preserve">حصلت بعض </w:t>
      </w:r>
      <w:r w:rsidR="00474C2D">
        <w:rPr>
          <w:rFonts w:ascii="Simplified Arabic" w:hAnsi="Simplified Arabic" w:cs="Simplified Arabic" w:hint="cs"/>
          <w:sz w:val="24"/>
          <w:szCs w:val="24"/>
          <w:rtl/>
        </w:rPr>
        <w:t>المباني</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المعزولة</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على</w:t>
      </w:r>
      <w:r w:rsidR="005331EC" w:rsidRPr="0074440A">
        <w:rPr>
          <w:rFonts w:ascii="Simplified Arabic" w:hAnsi="Simplified Arabic" w:cs="Simplified Arabic"/>
          <w:sz w:val="24"/>
          <w:szCs w:val="24"/>
          <w:rtl/>
        </w:rPr>
        <w:t xml:space="preserve"> </w:t>
      </w:r>
      <w:r w:rsidR="006378B6">
        <w:rPr>
          <w:rFonts w:ascii="Simplified Arabic" w:hAnsi="Simplified Arabic" w:cs="Simplified Arabic" w:hint="cs"/>
          <w:sz w:val="24"/>
          <w:szCs w:val="24"/>
          <w:rtl/>
        </w:rPr>
        <w:t>مستوى</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أعلى</w:t>
      </w:r>
      <w:r w:rsidR="005331EC" w:rsidRPr="0074440A">
        <w:rPr>
          <w:rFonts w:ascii="Simplified Arabic" w:hAnsi="Simplified Arabic" w:cs="Simplified Arabic"/>
          <w:sz w:val="24"/>
          <w:szCs w:val="24"/>
          <w:rtl/>
        </w:rPr>
        <w:t xml:space="preserve"> </w:t>
      </w:r>
      <w:r w:rsidR="005331EC">
        <w:rPr>
          <w:rFonts w:ascii="Simplified Arabic" w:hAnsi="Simplified Arabic" w:cs="Simplified Arabic" w:hint="cs"/>
          <w:sz w:val="24"/>
          <w:szCs w:val="24"/>
          <w:rtl/>
        </w:rPr>
        <w:t>لإمكانية الوصول،</w:t>
      </w:r>
      <w:r w:rsidR="005331EC" w:rsidRPr="0074440A">
        <w:rPr>
          <w:rFonts w:ascii="Simplified Arabic" w:hAnsi="Simplified Arabic" w:cs="Simplified Arabic" w:hint="cs"/>
          <w:sz w:val="24"/>
          <w:szCs w:val="24"/>
          <w:rtl/>
        </w:rPr>
        <w:t xml:space="preserve"> حتى</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لو</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كان</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بها</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عدد</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قليل</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من</w:t>
      </w:r>
      <w:r w:rsidR="005331EC" w:rsidRPr="0074440A">
        <w:rPr>
          <w:rFonts w:ascii="Simplified Arabic" w:hAnsi="Simplified Arabic" w:cs="Simplified Arabic"/>
          <w:sz w:val="24"/>
          <w:szCs w:val="24"/>
          <w:rtl/>
        </w:rPr>
        <w:t xml:space="preserve"> </w:t>
      </w:r>
      <w:r w:rsidR="005331EC" w:rsidRPr="0074440A">
        <w:rPr>
          <w:rFonts w:ascii="Simplified Arabic" w:hAnsi="Simplified Arabic" w:cs="Simplified Arabic" w:hint="cs"/>
          <w:sz w:val="24"/>
          <w:szCs w:val="24"/>
          <w:rtl/>
        </w:rPr>
        <w:t>المباني</w:t>
      </w:r>
      <w:r w:rsidR="005331EC" w:rsidRPr="0074440A">
        <w:rPr>
          <w:rFonts w:ascii="Simplified Arabic" w:hAnsi="Simplified Arabic" w:cs="Simplified Arabic"/>
          <w:sz w:val="24"/>
          <w:szCs w:val="24"/>
          <w:rtl/>
        </w:rPr>
        <w:t>.</w:t>
      </w:r>
      <w:r w:rsidR="005331EC" w:rsidRPr="008E77C5">
        <w:rPr>
          <w:rFonts w:ascii="Simplified Arabic" w:hAnsi="Simplified Arabic" w:cs="Simplified Arabic" w:hint="cs"/>
          <w:sz w:val="24"/>
          <w:szCs w:val="24"/>
          <w:rtl/>
        </w:rPr>
        <w:t xml:space="preserve"> </w:t>
      </w:r>
    </w:p>
    <w:p w:rsidR="00F45439" w:rsidRDefault="00F45439" w:rsidP="00721C85">
      <w:pPr>
        <w:pStyle w:val="carte"/>
        <w:spacing w:after="0"/>
        <w:rPr>
          <w:rtl/>
          <w:lang w:val="en-US" w:bidi="ar-DZ"/>
        </w:rPr>
      </w:pPr>
      <w:bookmarkStart w:id="833" w:name="_Toc157616609"/>
      <w:bookmarkStart w:id="834" w:name="_Toc171803806"/>
      <w:r w:rsidRPr="00FA4CC5">
        <w:rPr>
          <w:rFonts w:hint="cs"/>
          <w:rtl/>
          <w:lang w:bidi="ar-DZ"/>
        </w:rPr>
        <w:t>الخريطة (6-1) تباي</w:t>
      </w:r>
      <w:r w:rsidR="001E3532">
        <w:rPr>
          <w:rFonts w:hint="cs"/>
          <w:rtl/>
          <w:lang w:bidi="ar-DZ"/>
        </w:rPr>
        <w:t xml:space="preserve">ن التوزيع المكاني لكثافة البناء، </w:t>
      </w:r>
      <w:r w:rsidRPr="00FA4CC5">
        <w:rPr>
          <w:rFonts w:hint="cs"/>
          <w:rtl/>
          <w:lang w:val="en-US" w:bidi="ar-DZ"/>
        </w:rPr>
        <w:t>فئة النسيج الحضري (أ)،</w:t>
      </w:r>
      <w:r w:rsidRPr="00FA4CC5">
        <w:rPr>
          <w:rtl/>
          <w:lang w:val="en-US" w:bidi="ar-DZ"/>
        </w:rPr>
        <w:t xml:space="preserve"> </w:t>
      </w:r>
      <w:r w:rsidRPr="00FA4CC5">
        <w:rPr>
          <w:rFonts w:hint="cs"/>
          <w:rtl/>
        </w:rPr>
        <w:t xml:space="preserve">حي </w:t>
      </w:r>
      <w:r w:rsidRPr="00FA4CC5">
        <w:rPr>
          <w:rFonts w:hint="cs"/>
          <w:rtl/>
          <w:lang w:val="en-US" w:bidi="ar-DZ"/>
        </w:rPr>
        <w:t>القصر</w:t>
      </w:r>
      <w:bookmarkEnd w:id="833"/>
      <w:bookmarkEnd w:id="834"/>
    </w:p>
    <w:p w:rsidR="00721C85" w:rsidRPr="00721C85" w:rsidRDefault="00721C85" w:rsidP="00721C85">
      <w:pPr>
        <w:pStyle w:val="fegure"/>
        <w:rPr>
          <w:sz w:val="8"/>
          <w:szCs w:val="24"/>
          <w:lang w:val="en-US"/>
        </w:rPr>
      </w:pPr>
      <w:bookmarkStart w:id="835" w:name="_Toc171803807"/>
      <w:r>
        <w:rPr>
          <w:rFonts w:hint="cs"/>
          <w:sz w:val="8"/>
          <w:szCs w:val="24"/>
          <w:rtl/>
          <w:lang w:val="en-US"/>
        </w:rPr>
        <w:t>(الباحث، 2022)</w:t>
      </w:r>
      <w:bookmarkEnd w:id="835"/>
    </w:p>
    <w:p w:rsidR="00F45439" w:rsidRDefault="00F45439" w:rsidP="00F45439">
      <w:pPr>
        <w:autoSpaceDE w:val="0"/>
        <w:autoSpaceDN w:val="0"/>
        <w:bidi/>
        <w:adjustRightInd w:val="0"/>
        <w:spacing w:after="0" w:line="240" w:lineRule="auto"/>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w:t>
      </w:r>
      <w:r>
        <w:rPr>
          <w:rFonts w:ascii="Simplified Arabic" w:hAnsi="Simplified Arabic" w:cs="Simplified Arabic"/>
          <w:noProof/>
          <w:sz w:val="24"/>
          <w:szCs w:val="24"/>
          <w:lang w:eastAsia="fr-FR"/>
        </w:rPr>
        <w:drawing>
          <wp:inline distT="0" distB="0" distL="0" distR="0" wp14:anchorId="61DA637A" wp14:editId="122729A6">
            <wp:extent cx="4246376" cy="5184476"/>
            <wp:effectExtent l="0" t="0" r="1905" b="0"/>
            <wp:docPr id="323" name="Imag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4" cstate="print">
                      <a:extLst>
                        <a:ext uri="{28A0092B-C50C-407E-A947-70E740481C1C}">
                          <a14:useLocalDpi xmlns:a14="http://schemas.microsoft.com/office/drawing/2010/main" val="0"/>
                        </a:ext>
                      </a:extLst>
                    </a:blip>
                    <a:srcRect t="8477"/>
                    <a:stretch/>
                  </pic:blipFill>
                  <pic:spPr bwMode="auto">
                    <a:xfrm>
                      <a:off x="0" y="0"/>
                      <a:ext cx="4246376" cy="518447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sz w:val="24"/>
          <w:szCs w:val="24"/>
          <w:lang w:bidi="ar-DZ"/>
        </w:rPr>
        <w:t xml:space="preserve">  </w:t>
      </w:r>
    </w:p>
    <w:p w:rsidR="00B90CCE" w:rsidRPr="009C3712" w:rsidRDefault="00A92273" w:rsidP="009C3712">
      <w:pPr>
        <w:pStyle w:val="Paragraphedeliste"/>
        <w:numPr>
          <w:ilvl w:val="0"/>
          <w:numId w:val="69"/>
        </w:numPr>
        <w:autoSpaceDE w:val="0"/>
        <w:autoSpaceDN w:val="0"/>
        <w:bidi/>
        <w:adjustRightInd w:val="0"/>
        <w:spacing w:after="0"/>
        <w:ind w:left="0" w:firstLine="283"/>
        <w:jc w:val="both"/>
        <w:rPr>
          <w:rFonts w:ascii="Simplified Arabic" w:hAnsi="Simplified Arabic" w:cs="Simplified Arabic"/>
          <w:sz w:val="24"/>
          <w:szCs w:val="24"/>
          <w:rtl/>
        </w:rPr>
      </w:pPr>
      <w:r>
        <w:rPr>
          <w:rFonts w:ascii="Simplified Arabic" w:hAnsi="Simplified Arabic" w:cs="Simplified Arabic" w:hint="cs"/>
          <w:sz w:val="24"/>
          <w:szCs w:val="24"/>
          <w:rtl/>
          <w:lang w:val="en-US" w:bidi="ar-DZ"/>
        </w:rPr>
        <w:lastRenderedPageBreak/>
        <w:t>ضمن</w:t>
      </w:r>
      <w:r w:rsidR="002A686B" w:rsidRPr="009C3712">
        <w:rPr>
          <w:rFonts w:ascii="Simplified Arabic" w:hAnsi="Simplified Arabic" w:cs="Simplified Arabic" w:hint="cs"/>
          <w:sz w:val="24"/>
          <w:szCs w:val="24"/>
          <w:rtl/>
          <w:lang w:val="en-US" w:bidi="ar-DZ"/>
        </w:rPr>
        <w:t xml:space="preserve"> فئة النسيج </w:t>
      </w:r>
      <w:r w:rsidR="005331EC" w:rsidRPr="009C3712">
        <w:rPr>
          <w:rFonts w:ascii="Simplified Arabic" w:hAnsi="Simplified Arabic" w:cs="Simplified Arabic" w:hint="cs"/>
          <w:sz w:val="24"/>
          <w:szCs w:val="24"/>
          <w:rtl/>
          <w:lang w:val="en-US" w:bidi="ar-DZ"/>
        </w:rPr>
        <w:t xml:space="preserve">الحضري </w:t>
      </w:r>
      <w:r w:rsidR="002A686B" w:rsidRPr="009C3712">
        <w:rPr>
          <w:rFonts w:ascii="Simplified Arabic" w:hAnsi="Simplified Arabic" w:cs="Simplified Arabic" w:hint="cs"/>
          <w:sz w:val="24"/>
          <w:szCs w:val="24"/>
          <w:rtl/>
          <w:lang w:val="en-US" w:bidi="ar-DZ"/>
        </w:rPr>
        <w:t>(ب)،</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 xml:space="preserve">يتميز حي بلاتو </w:t>
      </w:r>
      <w:r w:rsidR="005331EC" w:rsidRPr="009C3712">
        <w:rPr>
          <w:rFonts w:ascii="Simplified Arabic" w:hAnsi="Simplified Arabic" w:cs="Simplified Arabic" w:hint="cs"/>
          <w:sz w:val="24"/>
          <w:szCs w:val="24"/>
          <w:rtl/>
          <w:lang w:val="en-US" w:bidi="ar-DZ"/>
        </w:rPr>
        <w:t>ب</w:t>
      </w:r>
      <w:r w:rsidR="00995BE5" w:rsidRPr="009C3712">
        <w:rPr>
          <w:rFonts w:ascii="Simplified Arabic" w:hAnsi="Simplified Arabic" w:cs="Simplified Arabic" w:hint="cs"/>
          <w:sz w:val="24"/>
          <w:szCs w:val="24"/>
          <w:rtl/>
          <w:lang w:val="en-US" w:bidi="ar-DZ"/>
        </w:rPr>
        <w:t>عدد</w:t>
      </w:r>
      <w:r w:rsidR="005331EC" w:rsidRPr="009C3712">
        <w:rPr>
          <w:rFonts w:ascii="Simplified Arabic" w:hAnsi="Simplified Arabic" w:cs="Simplified Arabic"/>
          <w:sz w:val="24"/>
          <w:szCs w:val="24"/>
          <w:rtl/>
          <w:lang w:bidi="ar-DZ"/>
        </w:rPr>
        <w:t xml:space="preserve"> </w:t>
      </w:r>
      <w:r w:rsidR="004A6451" w:rsidRPr="009C3712">
        <w:rPr>
          <w:rFonts w:ascii="Simplified Arabic" w:hAnsi="Simplified Arabic" w:cs="Simplified Arabic" w:hint="cs"/>
          <w:sz w:val="24"/>
          <w:szCs w:val="24"/>
          <w:rtl/>
          <w:lang w:bidi="ar-DZ"/>
        </w:rPr>
        <w:t>مرتفع ل</w:t>
      </w:r>
      <w:r w:rsidR="005331EC" w:rsidRPr="009C3712">
        <w:rPr>
          <w:rFonts w:ascii="Simplified Arabic" w:hAnsi="Simplified Arabic" w:cs="Simplified Arabic" w:hint="cs"/>
          <w:sz w:val="24"/>
          <w:szCs w:val="24"/>
          <w:rtl/>
          <w:lang w:val="en-US" w:bidi="ar-DZ"/>
        </w:rPr>
        <w:t>لمباني</w:t>
      </w:r>
      <w:r w:rsidR="005331EC" w:rsidRPr="009C3712">
        <w:rPr>
          <w:rFonts w:ascii="Simplified Arabic" w:hAnsi="Simplified Arabic" w:cs="Simplified Arabic"/>
          <w:sz w:val="24"/>
          <w:szCs w:val="24"/>
          <w:rtl/>
          <w:lang w:val="en-US" w:bidi="ar-DZ"/>
        </w:rPr>
        <w:t xml:space="preserve"> </w:t>
      </w:r>
      <w:r w:rsidR="005331EC" w:rsidRPr="009C3712">
        <w:rPr>
          <w:rFonts w:ascii="Simplified Arabic" w:hAnsi="Simplified Arabic" w:cs="Simplified Arabic" w:hint="cs"/>
          <w:sz w:val="24"/>
          <w:szCs w:val="24"/>
          <w:rtl/>
          <w:lang w:val="en-US" w:bidi="ar-DZ"/>
        </w:rPr>
        <w:t>التي</w:t>
      </w:r>
      <w:r w:rsidR="005331EC" w:rsidRPr="009C3712">
        <w:rPr>
          <w:rFonts w:ascii="Simplified Arabic" w:hAnsi="Simplified Arabic" w:cs="Simplified Arabic"/>
          <w:sz w:val="24"/>
          <w:szCs w:val="24"/>
          <w:rtl/>
          <w:lang w:val="en-US" w:bidi="ar-DZ"/>
        </w:rPr>
        <w:t xml:space="preserve"> </w:t>
      </w:r>
      <w:r w:rsidR="005331EC" w:rsidRPr="009C3712">
        <w:rPr>
          <w:rFonts w:ascii="Simplified Arabic" w:hAnsi="Simplified Arabic" w:cs="Simplified Arabic" w:hint="cs"/>
          <w:sz w:val="24"/>
          <w:szCs w:val="24"/>
          <w:rtl/>
          <w:lang w:val="en-US" w:bidi="ar-DZ"/>
        </w:rPr>
        <w:t>يمكن</w:t>
      </w:r>
      <w:r w:rsidR="005331EC" w:rsidRPr="009C3712">
        <w:rPr>
          <w:rFonts w:ascii="Simplified Arabic" w:hAnsi="Simplified Arabic" w:cs="Simplified Arabic"/>
          <w:sz w:val="24"/>
          <w:szCs w:val="24"/>
          <w:rtl/>
          <w:lang w:val="en-US" w:bidi="ar-DZ"/>
        </w:rPr>
        <w:t xml:space="preserve"> </w:t>
      </w:r>
      <w:r w:rsidR="005331EC" w:rsidRPr="009C3712">
        <w:rPr>
          <w:rFonts w:ascii="Simplified Arabic" w:hAnsi="Simplified Arabic" w:cs="Simplified Arabic" w:hint="cs"/>
          <w:sz w:val="24"/>
          <w:szCs w:val="24"/>
          <w:rtl/>
          <w:lang w:val="en-US" w:bidi="ar-DZ"/>
        </w:rPr>
        <w:t>الوصول</w:t>
      </w:r>
      <w:r w:rsidR="005331EC" w:rsidRPr="009C3712">
        <w:rPr>
          <w:rFonts w:ascii="Simplified Arabic" w:hAnsi="Simplified Arabic" w:cs="Simplified Arabic"/>
          <w:sz w:val="24"/>
          <w:szCs w:val="24"/>
          <w:rtl/>
          <w:lang w:val="en-US" w:bidi="ar-DZ"/>
        </w:rPr>
        <w:t xml:space="preserve"> </w:t>
      </w:r>
      <w:r w:rsidR="005331EC" w:rsidRPr="009C3712">
        <w:rPr>
          <w:rFonts w:ascii="Simplified Arabic" w:hAnsi="Simplified Arabic" w:cs="Simplified Arabic" w:hint="cs"/>
          <w:sz w:val="24"/>
          <w:szCs w:val="24"/>
          <w:rtl/>
          <w:lang w:val="en-US" w:bidi="ar-DZ"/>
        </w:rPr>
        <w:t>إليها</w:t>
      </w:r>
      <w:r w:rsidR="006378B6" w:rsidRPr="009C3712">
        <w:rPr>
          <w:rFonts w:ascii="Simplified Arabic" w:hAnsi="Simplified Arabic" w:cs="Simplified Arabic" w:hint="cs"/>
          <w:sz w:val="24"/>
          <w:szCs w:val="24"/>
          <w:rtl/>
          <w:lang w:val="en-US" w:bidi="ar-DZ"/>
        </w:rPr>
        <w:t>،</w:t>
      </w:r>
      <w:r w:rsidR="005331EC" w:rsidRPr="009C3712">
        <w:rPr>
          <w:rFonts w:ascii="Simplified Arabic" w:hAnsi="Simplified Arabic" w:cs="Simplified Arabic" w:hint="cs"/>
          <w:sz w:val="24"/>
          <w:szCs w:val="24"/>
          <w:rtl/>
          <w:lang w:val="en-US" w:bidi="ar-DZ"/>
        </w:rPr>
        <w:t xml:space="preserve"> </w:t>
      </w:r>
      <w:r w:rsidR="00B1084C" w:rsidRPr="009C3712">
        <w:rPr>
          <w:rFonts w:ascii="Simplified Arabic" w:hAnsi="Simplified Arabic" w:cs="Simplified Arabic" w:hint="cs"/>
          <w:sz w:val="24"/>
          <w:szCs w:val="24"/>
          <w:rtl/>
          <w:lang w:val="en-US" w:bidi="ar-DZ"/>
        </w:rPr>
        <w:t xml:space="preserve">تتراوح </w:t>
      </w:r>
      <w:r w:rsidR="004A6451" w:rsidRPr="009C3712">
        <w:rPr>
          <w:rFonts w:ascii="Simplified Arabic" w:hAnsi="Simplified Arabic" w:cs="Simplified Arabic" w:hint="cs"/>
          <w:sz w:val="24"/>
          <w:szCs w:val="24"/>
          <w:rtl/>
          <w:lang w:val="en-US" w:bidi="ar-DZ"/>
        </w:rPr>
        <w:t xml:space="preserve">النسب </w:t>
      </w:r>
      <w:r w:rsidR="004A6451" w:rsidRPr="009C3712">
        <w:rPr>
          <w:rFonts w:ascii="Simplified Arabic" w:hAnsi="Simplified Arabic" w:cs="Simplified Arabic" w:hint="cs"/>
          <w:sz w:val="24"/>
          <w:szCs w:val="24"/>
          <w:rtl/>
          <w:lang w:bidi="ar-DZ"/>
        </w:rPr>
        <w:t>بين</w:t>
      </w:r>
      <w:r w:rsidR="004A6451" w:rsidRPr="009C3712">
        <w:rPr>
          <w:rFonts w:ascii="Simplified Arabic" w:hAnsi="Simplified Arabic" w:cs="Simplified Arabic"/>
          <w:sz w:val="24"/>
          <w:szCs w:val="24"/>
          <w:rtl/>
          <w:lang w:bidi="ar-DZ"/>
        </w:rPr>
        <w:t xml:space="preserve"> </w:t>
      </w:r>
      <w:r w:rsidR="004A6451" w:rsidRPr="009C3712">
        <w:rPr>
          <w:rFonts w:ascii="Simplified Arabic" w:hAnsi="Simplified Arabic" w:cs="Simplified Arabic" w:hint="cs"/>
          <w:sz w:val="24"/>
          <w:szCs w:val="24"/>
          <w:rtl/>
          <w:lang w:bidi="ar-DZ"/>
        </w:rPr>
        <w:t>مسافة</w:t>
      </w:r>
      <w:r w:rsidR="004A6451" w:rsidRPr="009C3712">
        <w:rPr>
          <w:rFonts w:ascii="Simplified Arabic" w:hAnsi="Simplified Arabic" w:cs="Simplified Arabic"/>
          <w:sz w:val="24"/>
          <w:szCs w:val="24"/>
          <w:rtl/>
          <w:lang w:bidi="ar-DZ"/>
        </w:rPr>
        <w:t xml:space="preserve"> </w:t>
      </w:r>
      <w:r w:rsidR="004A6451" w:rsidRPr="009C3712">
        <w:rPr>
          <w:rFonts w:ascii="Simplified Arabic" w:hAnsi="Simplified Arabic" w:cs="Simplified Arabic" w:hint="cs"/>
          <w:sz w:val="24"/>
          <w:szCs w:val="24"/>
          <w:rtl/>
          <w:lang w:bidi="ar-DZ"/>
        </w:rPr>
        <w:t>شبكة</w:t>
      </w:r>
      <w:r w:rsidR="004A6451" w:rsidRPr="009C3712">
        <w:rPr>
          <w:rFonts w:ascii="Simplified Arabic" w:hAnsi="Simplified Arabic" w:cs="Simplified Arabic"/>
          <w:sz w:val="24"/>
          <w:szCs w:val="24"/>
          <w:rtl/>
          <w:lang w:bidi="ar-DZ"/>
        </w:rPr>
        <w:t xml:space="preserve"> </w:t>
      </w:r>
      <w:r w:rsidR="004A6451" w:rsidRPr="009C3712">
        <w:rPr>
          <w:rFonts w:ascii="Simplified Arabic" w:hAnsi="Simplified Arabic" w:cs="Simplified Arabic" w:hint="cs"/>
          <w:sz w:val="24"/>
          <w:szCs w:val="24"/>
          <w:rtl/>
          <w:lang w:bidi="ar-DZ"/>
        </w:rPr>
        <w:t>الشوارع والمسافة</w:t>
      </w:r>
      <w:r w:rsidR="004A6451" w:rsidRPr="009C3712">
        <w:rPr>
          <w:rFonts w:ascii="Simplified Arabic" w:hAnsi="Simplified Arabic" w:cs="Simplified Arabic"/>
          <w:sz w:val="24"/>
          <w:szCs w:val="24"/>
          <w:rtl/>
          <w:lang w:bidi="ar-DZ"/>
        </w:rPr>
        <w:t xml:space="preserve"> </w:t>
      </w:r>
      <w:r w:rsidR="004A6451" w:rsidRPr="009C3712">
        <w:rPr>
          <w:rFonts w:ascii="Simplified Arabic" w:hAnsi="Simplified Arabic" w:cs="Simplified Arabic" w:hint="cs"/>
          <w:sz w:val="24"/>
          <w:szCs w:val="24"/>
          <w:rtl/>
          <w:lang w:bidi="ar-DZ"/>
        </w:rPr>
        <w:t>الإقليدية</w:t>
      </w:r>
      <w:r w:rsidR="004A6451" w:rsidRPr="009C3712">
        <w:rPr>
          <w:rFonts w:ascii="Simplified Arabic" w:hAnsi="Simplified Arabic" w:cs="Simplified Arabic" w:hint="cs"/>
          <w:sz w:val="24"/>
          <w:szCs w:val="24"/>
          <w:rtl/>
          <w:lang w:val="en-US" w:bidi="ar-DZ"/>
        </w:rPr>
        <w:t xml:space="preserve"> م</w:t>
      </w:r>
      <w:r w:rsidR="00B1084C" w:rsidRPr="009C3712">
        <w:rPr>
          <w:rFonts w:ascii="Simplified Arabic" w:hAnsi="Simplified Arabic" w:cs="Simplified Arabic" w:hint="cs"/>
          <w:sz w:val="24"/>
          <w:szCs w:val="24"/>
          <w:rtl/>
          <w:lang w:val="en-US" w:bidi="ar-DZ"/>
        </w:rPr>
        <w:t>ن 0.</w:t>
      </w:r>
      <w:r w:rsidR="00ED58E0" w:rsidRPr="009C3712">
        <w:rPr>
          <w:rFonts w:ascii="Simplified Arabic" w:hAnsi="Simplified Arabic" w:cs="Simplified Arabic" w:hint="cs"/>
          <w:sz w:val="24"/>
          <w:szCs w:val="24"/>
          <w:rtl/>
          <w:lang w:val="en-US" w:bidi="ar-DZ"/>
        </w:rPr>
        <w:t>47</w:t>
      </w:r>
      <w:r w:rsidR="00B1084C" w:rsidRPr="009C3712">
        <w:rPr>
          <w:rFonts w:ascii="Simplified Arabic" w:hAnsi="Simplified Arabic" w:cs="Simplified Arabic" w:hint="cs"/>
          <w:sz w:val="24"/>
          <w:szCs w:val="24"/>
          <w:rtl/>
          <w:lang w:val="en-US" w:bidi="ar-DZ"/>
        </w:rPr>
        <w:t xml:space="preserve"> </w:t>
      </w:r>
      <w:r w:rsidR="004A6451" w:rsidRPr="009C3712">
        <w:rPr>
          <w:rFonts w:ascii="Simplified Arabic" w:hAnsi="Simplified Arabic" w:cs="Simplified Arabic" w:hint="cs"/>
          <w:sz w:val="24"/>
          <w:szCs w:val="24"/>
          <w:rtl/>
          <w:lang w:val="en-US" w:bidi="ar-DZ"/>
        </w:rPr>
        <w:t>الى</w:t>
      </w:r>
      <w:r w:rsidR="00B1084C" w:rsidRPr="009C3712">
        <w:rPr>
          <w:rFonts w:ascii="Simplified Arabic" w:hAnsi="Simplified Arabic" w:cs="Simplified Arabic" w:hint="cs"/>
          <w:sz w:val="24"/>
          <w:szCs w:val="24"/>
          <w:rtl/>
          <w:lang w:val="en-US" w:bidi="ar-DZ"/>
        </w:rPr>
        <w:t xml:space="preserve"> 0.</w:t>
      </w:r>
      <w:r w:rsidR="00A7555A" w:rsidRPr="009C3712">
        <w:rPr>
          <w:rFonts w:ascii="Simplified Arabic" w:hAnsi="Simplified Arabic" w:cs="Simplified Arabic" w:hint="cs"/>
          <w:sz w:val="24"/>
          <w:szCs w:val="24"/>
          <w:rtl/>
          <w:lang w:val="en-US" w:bidi="ar-DZ"/>
        </w:rPr>
        <w:t>58</w:t>
      </w:r>
      <w:r w:rsidR="00B1084C" w:rsidRPr="009C3712">
        <w:rPr>
          <w:rFonts w:ascii="Simplified Arabic" w:hAnsi="Simplified Arabic" w:cs="Simplified Arabic" w:hint="cs"/>
          <w:sz w:val="24"/>
          <w:szCs w:val="24"/>
          <w:rtl/>
          <w:lang w:val="en-US" w:bidi="ar-DZ"/>
        </w:rPr>
        <w:t xml:space="preserve">، كما هو </w:t>
      </w:r>
      <w:r w:rsidR="006378B6" w:rsidRPr="009C3712">
        <w:rPr>
          <w:rFonts w:ascii="Simplified Arabic" w:hAnsi="Simplified Arabic" w:cs="Simplified Arabic" w:hint="cs"/>
          <w:sz w:val="24"/>
          <w:szCs w:val="24"/>
          <w:rtl/>
          <w:lang w:val="en-US" w:bidi="ar-DZ"/>
        </w:rPr>
        <w:t>مبين</w:t>
      </w:r>
      <w:r w:rsidR="00B1084C" w:rsidRPr="009C3712">
        <w:rPr>
          <w:rFonts w:ascii="Simplified Arabic" w:hAnsi="Simplified Arabic" w:cs="Simplified Arabic" w:hint="cs"/>
          <w:sz w:val="24"/>
          <w:szCs w:val="24"/>
          <w:rtl/>
          <w:lang w:val="en-US" w:bidi="ar-DZ"/>
        </w:rPr>
        <w:t xml:space="preserve"> في الشكل (6-</w:t>
      </w:r>
      <w:r w:rsidR="005373F7" w:rsidRPr="009C3712">
        <w:rPr>
          <w:rFonts w:ascii="Simplified Arabic" w:hAnsi="Simplified Arabic" w:cs="Simplified Arabic" w:hint="cs"/>
          <w:sz w:val="24"/>
          <w:szCs w:val="24"/>
          <w:rtl/>
          <w:lang w:val="en-US" w:bidi="ar-DZ"/>
        </w:rPr>
        <w:t>13</w:t>
      </w:r>
      <w:r w:rsidR="00B1084C" w:rsidRPr="009C3712">
        <w:rPr>
          <w:rFonts w:ascii="Simplified Arabic" w:hAnsi="Simplified Arabic" w:cs="Simplified Arabic" w:hint="cs"/>
          <w:sz w:val="24"/>
          <w:szCs w:val="24"/>
          <w:rtl/>
          <w:lang w:val="en-US" w:bidi="ar-DZ"/>
        </w:rPr>
        <w:t>)</w:t>
      </w:r>
      <w:r w:rsidR="00B90CCE" w:rsidRPr="009C3712">
        <w:rPr>
          <w:rFonts w:ascii="Simplified Arabic" w:hAnsi="Simplified Arabic" w:cs="Simplified Arabic" w:hint="cs"/>
          <w:sz w:val="24"/>
          <w:szCs w:val="24"/>
          <w:rtl/>
          <w:lang w:val="en-US" w:bidi="ar-DZ"/>
        </w:rPr>
        <w:t xml:space="preserve"> </w:t>
      </w:r>
      <w:r w:rsidR="002A686B" w:rsidRPr="009C3712">
        <w:rPr>
          <w:rFonts w:ascii="Simplified Arabic" w:hAnsi="Simplified Arabic" w:cs="Simplified Arabic" w:hint="cs"/>
          <w:sz w:val="24"/>
          <w:szCs w:val="24"/>
          <w:rtl/>
          <w:lang w:val="en-US" w:bidi="ar-DZ"/>
        </w:rPr>
        <w:t>وه</w:t>
      </w:r>
      <w:r w:rsidR="004130F1" w:rsidRPr="009C3712">
        <w:rPr>
          <w:rFonts w:ascii="Simplified Arabic" w:hAnsi="Simplified Arabic" w:cs="Simplified Arabic" w:hint="cs"/>
          <w:sz w:val="24"/>
          <w:szCs w:val="24"/>
          <w:rtl/>
          <w:lang w:val="en-US" w:bidi="ar-DZ"/>
        </w:rPr>
        <w:t>ي</w:t>
      </w:r>
      <w:r w:rsidR="002A686B" w:rsidRPr="009C3712">
        <w:rPr>
          <w:rFonts w:ascii="Simplified Arabic" w:hAnsi="Simplified Arabic" w:cs="Simplified Arabic"/>
          <w:sz w:val="24"/>
          <w:szCs w:val="24"/>
          <w:rtl/>
          <w:lang w:val="en-US" w:bidi="ar-DZ"/>
        </w:rPr>
        <w:t xml:space="preserve"> </w:t>
      </w:r>
      <w:r w:rsidR="00D21839" w:rsidRPr="009C3712">
        <w:rPr>
          <w:rFonts w:ascii="Simplified Arabic" w:hAnsi="Simplified Arabic" w:cs="Simplified Arabic" w:hint="cs"/>
          <w:sz w:val="24"/>
          <w:szCs w:val="24"/>
          <w:rtl/>
          <w:lang w:val="en-US" w:bidi="ar-DZ"/>
        </w:rPr>
        <w:t>نسب</w:t>
      </w:r>
      <w:r w:rsidR="002A686B" w:rsidRPr="009C3712">
        <w:rPr>
          <w:rFonts w:ascii="Simplified Arabic" w:hAnsi="Simplified Arabic" w:cs="Simplified Arabic"/>
          <w:sz w:val="24"/>
          <w:szCs w:val="24"/>
          <w:rtl/>
          <w:lang w:val="en-US" w:bidi="ar-DZ"/>
        </w:rPr>
        <w:t xml:space="preserve"> </w:t>
      </w:r>
      <w:r w:rsidR="006378B6" w:rsidRPr="009C3712">
        <w:rPr>
          <w:rFonts w:ascii="Simplified Arabic" w:hAnsi="Simplified Arabic" w:cs="Simplified Arabic" w:hint="cs"/>
          <w:sz w:val="24"/>
          <w:szCs w:val="24"/>
          <w:rtl/>
          <w:lang w:val="en-US" w:bidi="ar-DZ"/>
        </w:rPr>
        <w:t>مرتفعة</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مقارنة</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بالفئة</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السابقة (أ)</w:t>
      </w:r>
      <w:r w:rsidR="006378B6" w:rsidRPr="009C3712">
        <w:rPr>
          <w:rFonts w:ascii="Simplified Arabic" w:hAnsi="Simplified Arabic" w:cs="Simplified Arabic" w:hint="cs"/>
          <w:sz w:val="24"/>
          <w:szCs w:val="24"/>
          <w:rtl/>
          <w:lang w:val="en-US" w:bidi="ar-DZ"/>
        </w:rPr>
        <w:t>.</w:t>
      </w:r>
      <w:r w:rsidR="002A686B" w:rsidRPr="009C3712">
        <w:rPr>
          <w:rFonts w:ascii="Simplified Arabic" w:hAnsi="Simplified Arabic" w:cs="Simplified Arabic" w:hint="cs"/>
          <w:sz w:val="24"/>
          <w:szCs w:val="24"/>
          <w:rtl/>
          <w:lang w:val="en-US" w:bidi="ar-DZ"/>
        </w:rPr>
        <w:t xml:space="preserve"> مما</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يدل على</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مستوى</w:t>
      </w:r>
      <w:r w:rsidR="002A686B" w:rsidRPr="009C3712">
        <w:rPr>
          <w:rFonts w:ascii="Simplified Arabic" w:hAnsi="Simplified Arabic" w:cs="Simplified Arabic"/>
          <w:sz w:val="24"/>
          <w:szCs w:val="24"/>
          <w:rtl/>
          <w:lang w:val="en-US" w:bidi="ar-DZ"/>
        </w:rPr>
        <w:t xml:space="preserve"> </w:t>
      </w:r>
      <w:r w:rsidR="00A7555A" w:rsidRPr="009C3712">
        <w:rPr>
          <w:rFonts w:ascii="Simplified Arabic" w:hAnsi="Simplified Arabic" w:cs="Simplified Arabic" w:hint="cs"/>
          <w:sz w:val="24"/>
          <w:szCs w:val="24"/>
          <w:rtl/>
          <w:lang w:val="en-US" w:bidi="ar-DZ"/>
        </w:rPr>
        <w:t xml:space="preserve">عالٍ </w:t>
      </w:r>
      <w:r w:rsidR="00B1084C" w:rsidRPr="009C3712">
        <w:rPr>
          <w:rFonts w:ascii="Simplified Arabic" w:hAnsi="Simplified Arabic" w:cs="Simplified Arabic" w:hint="cs"/>
          <w:sz w:val="24"/>
          <w:szCs w:val="24"/>
          <w:rtl/>
          <w:lang w:val="en-US" w:bidi="ar-DZ"/>
        </w:rPr>
        <w:t>لإمكانية</w:t>
      </w:r>
      <w:r w:rsidR="002A686B" w:rsidRPr="009C3712">
        <w:rPr>
          <w:rFonts w:ascii="Simplified Arabic" w:hAnsi="Simplified Arabic" w:cs="Simplified Arabic"/>
          <w:sz w:val="24"/>
          <w:szCs w:val="24"/>
          <w:rtl/>
          <w:lang w:val="en-US" w:bidi="ar-DZ"/>
        </w:rPr>
        <w:t xml:space="preserve"> </w:t>
      </w:r>
      <w:r w:rsidR="00B1084C" w:rsidRPr="009C3712">
        <w:rPr>
          <w:rFonts w:ascii="Simplified Arabic" w:hAnsi="Simplified Arabic" w:cs="Simplified Arabic" w:hint="cs"/>
          <w:sz w:val="24"/>
          <w:szCs w:val="24"/>
          <w:rtl/>
          <w:lang w:val="en-US" w:bidi="ar-DZ"/>
        </w:rPr>
        <w:t>ال</w:t>
      </w:r>
      <w:r w:rsidR="002A686B" w:rsidRPr="009C3712">
        <w:rPr>
          <w:rFonts w:ascii="Simplified Arabic" w:hAnsi="Simplified Arabic" w:cs="Simplified Arabic" w:hint="cs"/>
          <w:sz w:val="24"/>
          <w:szCs w:val="24"/>
          <w:rtl/>
          <w:lang w:val="en-US" w:bidi="ar-DZ"/>
        </w:rPr>
        <w:t>وصول</w:t>
      </w:r>
      <w:r w:rsidR="002A686B" w:rsidRPr="009C3712">
        <w:rPr>
          <w:rFonts w:ascii="Simplified Arabic" w:hAnsi="Simplified Arabic" w:cs="Simplified Arabic"/>
          <w:sz w:val="24"/>
          <w:szCs w:val="24"/>
          <w:rtl/>
          <w:lang w:val="en-US" w:bidi="ar-DZ"/>
        </w:rPr>
        <w:t xml:space="preserve"> </w:t>
      </w:r>
      <w:r w:rsidR="002713DB" w:rsidRPr="009C3712">
        <w:rPr>
          <w:rFonts w:ascii="Simplified Arabic" w:hAnsi="Simplified Arabic" w:cs="Simplified Arabic" w:hint="cs"/>
          <w:sz w:val="24"/>
          <w:szCs w:val="24"/>
          <w:rtl/>
          <w:lang w:val="en-US" w:bidi="ar-DZ"/>
        </w:rPr>
        <w:t>نحو</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جميع</w:t>
      </w:r>
      <w:r w:rsidR="002A686B" w:rsidRPr="009C3712">
        <w:rPr>
          <w:rFonts w:ascii="Simplified Arabic" w:hAnsi="Simplified Arabic" w:cs="Simplified Arabic"/>
          <w:sz w:val="24"/>
          <w:szCs w:val="24"/>
          <w:rtl/>
          <w:lang w:val="en-US" w:bidi="ar-DZ"/>
        </w:rPr>
        <w:t xml:space="preserve"> </w:t>
      </w:r>
      <w:r w:rsidR="004A0667" w:rsidRPr="009C3712">
        <w:rPr>
          <w:rFonts w:ascii="Simplified Arabic" w:hAnsi="Simplified Arabic" w:cs="Simplified Arabic" w:hint="cs"/>
          <w:sz w:val="24"/>
          <w:szCs w:val="24"/>
          <w:rtl/>
          <w:lang w:val="en-US" w:bidi="ar-DZ"/>
        </w:rPr>
        <w:t>الوجهات</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المحتملة لحي بلاتو</w:t>
      </w:r>
      <w:r w:rsidR="00457387" w:rsidRPr="009C3712">
        <w:rPr>
          <w:rFonts w:ascii="Simplified Arabic" w:hAnsi="Simplified Arabic" w:cs="Simplified Arabic" w:hint="cs"/>
          <w:sz w:val="24"/>
          <w:szCs w:val="24"/>
          <w:rtl/>
          <w:lang w:val="en-US" w:bidi="ar-DZ"/>
        </w:rPr>
        <w:t>.</w:t>
      </w:r>
      <w:r w:rsidR="002A686B" w:rsidRPr="009C3712">
        <w:rPr>
          <w:rFonts w:ascii="Simplified Arabic" w:hAnsi="Simplified Arabic" w:cs="Simplified Arabic"/>
          <w:sz w:val="24"/>
          <w:szCs w:val="24"/>
          <w:rtl/>
          <w:lang w:val="en-US" w:bidi="ar-DZ"/>
        </w:rPr>
        <w:t xml:space="preserve"> </w:t>
      </w:r>
      <w:r w:rsidR="00457548" w:rsidRPr="009C3712">
        <w:rPr>
          <w:rFonts w:ascii="Simplified Arabic" w:hAnsi="Simplified Arabic" w:cs="Simplified Arabic" w:hint="cs"/>
          <w:sz w:val="24"/>
          <w:szCs w:val="24"/>
          <w:rtl/>
          <w:lang w:val="en-US" w:bidi="ar-DZ"/>
        </w:rPr>
        <w:t>تتركز</w:t>
      </w:r>
      <w:r w:rsidR="00457548" w:rsidRPr="009C3712">
        <w:rPr>
          <w:rFonts w:ascii="Simplified Arabic" w:hAnsi="Simplified Arabic" w:cs="Simplified Arabic"/>
          <w:sz w:val="24"/>
          <w:szCs w:val="24"/>
          <w:rtl/>
          <w:lang w:val="en-US" w:bidi="ar-DZ"/>
        </w:rPr>
        <w:t xml:space="preserve"> </w:t>
      </w:r>
      <w:r w:rsidR="002713DB" w:rsidRPr="009C3712">
        <w:rPr>
          <w:rFonts w:ascii="Simplified Arabic" w:hAnsi="Simplified Arabic" w:cs="Simplified Arabic" w:hint="cs"/>
          <w:sz w:val="24"/>
          <w:szCs w:val="24"/>
          <w:rtl/>
          <w:lang w:val="en-US" w:bidi="ar-DZ"/>
        </w:rPr>
        <w:t xml:space="preserve">تلك </w:t>
      </w:r>
      <w:r w:rsidR="00D21839" w:rsidRPr="009C3712">
        <w:rPr>
          <w:rFonts w:ascii="Simplified Arabic" w:hAnsi="Simplified Arabic" w:cs="Simplified Arabic" w:hint="cs"/>
          <w:sz w:val="24"/>
          <w:szCs w:val="24"/>
          <w:rtl/>
          <w:lang w:val="en-US" w:bidi="ar-DZ"/>
        </w:rPr>
        <w:t>ا</w:t>
      </w:r>
      <w:r w:rsidR="00CF627C" w:rsidRPr="009C3712">
        <w:rPr>
          <w:rFonts w:ascii="Simplified Arabic" w:hAnsi="Simplified Arabic" w:cs="Simplified Arabic" w:hint="cs"/>
          <w:sz w:val="24"/>
          <w:szCs w:val="24"/>
          <w:rtl/>
        </w:rPr>
        <w:t>لمباني</w:t>
      </w:r>
      <w:r w:rsidR="00CF627C" w:rsidRPr="009C3712">
        <w:rPr>
          <w:rFonts w:ascii="Simplified Arabic" w:hAnsi="Simplified Arabic" w:cs="Simplified Arabic"/>
          <w:sz w:val="24"/>
          <w:szCs w:val="24"/>
          <w:rtl/>
        </w:rPr>
        <w:t xml:space="preserve"> </w:t>
      </w:r>
      <w:r w:rsidR="00457387" w:rsidRPr="009C3712">
        <w:rPr>
          <w:rFonts w:ascii="Simplified Arabic" w:hAnsi="Simplified Arabic" w:cs="Simplified Arabic" w:hint="cs"/>
          <w:sz w:val="24"/>
          <w:szCs w:val="24"/>
          <w:rtl/>
          <w:lang w:val="en-US" w:bidi="ar-DZ"/>
        </w:rPr>
        <w:t>التي</w:t>
      </w:r>
      <w:r w:rsidR="00457387" w:rsidRPr="009C3712">
        <w:rPr>
          <w:rFonts w:ascii="Simplified Arabic" w:hAnsi="Simplified Arabic" w:cs="Simplified Arabic"/>
          <w:sz w:val="24"/>
          <w:szCs w:val="24"/>
          <w:rtl/>
          <w:lang w:val="en-US" w:bidi="ar-DZ"/>
        </w:rPr>
        <w:t xml:space="preserve"> </w:t>
      </w:r>
      <w:r w:rsidR="00457387" w:rsidRPr="009C3712">
        <w:rPr>
          <w:rFonts w:ascii="Simplified Arabic" w:hAnsi="Simplified Arabic" w:cs="Simplified Arabic" w:hint="cs"/>
          <w:sz w:val="24"/>
          <w:szCs w:val="24"/>
          <w:rtl/>
          <w:lang w:val="en-US" w:bidi="ar-DZ"/>
        </w:rPr>
        <w:t>يمكن</w:t>
      </w:r>
      <w:r w:rsidR="00457387" w:rsidRPr="009C3712">
        <w:rPr>
          <w:rFonts w:ascii="Simplified Arabic" w:hAnsi="Simplified Arabic" w:cs="Simplified Arabic"/>
          <w:sz w:val="24"/>
          <w:szCs w:val="24"/>
          <w:rtl/>
          <w:lang w:val="en-US" w:bidi="ar-DZ"/>
        </w:rPr>
        <w:t xml:space="preserve"> </w:t>
      </w:r>
      <w:r w:rsidR="00457387" w:rsidRPr="009C3712">
        <w:rPr>
          <w:rFonts w:ascii="Simplified Arabic" w:hAnsi="Simplified Arabic" w:cs="Simplified Arabic" w:hint="cs"/>
          <w:sz w:val="24"/>
          <w:szCs w:val="24"/>
          <w:rtl/>
          <w:lang w:val="en-US" w:bidi="ar-DZ"/>
        </w:rPr>
        <w:t>الوصول</w:t>
      </w:r>
      <w:r w:rsidR="00457387" w:rsidRPr="009C3712">
        <w:rPr>
          <w:rFonts w:ascii="Simplified Arabic" w:hAnsi="Simplified Arabic" w:cs="Simplified Arabic"/>
          <w:sz w:val="24"/>
          <w:szCs w:val="24"/>
          <w:rtl/>
          <w:lang w:val="en-US" w:bidi="ar-DZ"/>
        </w:rPr>
        <w:t xml:space="preserve"> </w:t>
      </w:r>
      <w:r w:rsidR="00457387" w:rsidRPr="009C3712">
        <w:rPr>
          <w:rFonts w:ascii="Simplified Arabic" w:hAnsi="Simplified Arabic" w:cs="Simplified Arabic" w:hint="cs"/>
          <w:sz w:val="24"/>
          <w:szCs w:val="24"/>
          <w:rtl/>
          <w:lang w:val="en-US" w:bidi="ar-DZ"/>
        </w:rPr>
        <w:t>إليها</w:t>
      </w:r>
      <w:r w:rsidR="00D21839" w:rsidRPr="009C3712">
        <w:rPr>
          <w:rFonts w:ascii="Simplified Arabic" w:hAnsi="Simplified Arabic" w:cs="Simplified Arabic" w:hint="cs"/>
          <w:sz w:val="24"/>
          <w:szCs w:val="24"/>
          <w:rtl/>
          <w:lang w:val="en-US" w:bidi="ar-DZ"/>
        </w:rPr>
        <w:t>، خصوصا الواقعة</w:t>
      </w:r>
      <w:r w:rsidR="00457387" w:rsidRPr="009C3712">
        <w:rPr>
          <w:rFonts w:ascii="Simplified Arabic" w:hAnsi="Simplified Arabic" w:cs="Simplified Arabic"/>
          <w:sz w:val="24"/>
          <w:szCs w:val="24"/>
          <w:rtl/>
          <w:lang w:val="en-US" w:bidi="ar-DZ"/>
        </w:rPr>
        <w:t xml:space="preserve"> </w:t>
      </w:r>
      <w:r w:rsidR="00457548" w:rsidRPr="009C3712">
        <w:rPr>
          <w:rFonts w:ascii="Simplified Arabic" w:hAnsi="Simplified Arabic" w:cs="Simplified Arabic" w:hint="cs"/>
          <w:sz w:val="24"/>
          <w:szCs w:val="24"/>
          <w:rtl/>
          <w:lang w:val="en-US" w:bidi="ar-DZ"/>
        </w:rPr>
        <w:t>في</w:t>
      </w:r>
      <w:r w:rsidR="00457548" w:rsidRPr="009C3712">
        <w:rPr>
          <w:rFonts w:ascii="Simplified Arabic" w:hAnsi="Simplified Arabic" w:cs="Simplified Arabic"/>
          <w:sz w:val="24"/>
          <w:szCs w:val="24"/>
          <w:rtl/>
          <w:lang w:val="en-US" w:bidi="ar-DZ"/>
        </w:rPr>
        <w:t xml:space="preserve"> </w:t>
      </w:r>
      <w:r w:rsidR="00457548" w:rsidRPr="009C3712">
        <w:rPr>
          <w:rFonts w:ascii="Simplified Arabic" w:hAnsi="Simplified Arabic" w:cs="Simplified Arabic" w:hint="cs"/>
          <w:sz w:val="24"/>
          <w:szCs w:val="24"/>
          <w:rtl/>
          <w:lang w:val="en-US" w:bidi="ar-DZ"/>
        </w:rPr>
        <w:t>وسط</w:t>
      </w:r>
      <w:r w:rsidR="00457548" w:rsidRPr="009C3712">
        <w:rPr>
          <w:rFonts w:ascii="Simplified Arabic" w:hAnsi="Simplified Arabic" w:cs="Simplified Arabic"/>
          <w:sz w:val="24"/>
          <w:szCs w:val="24"/>
          <w:rtl/>
          <w:lang w:val="en-US" w:bidi="ar-DZ"/>
        </w:rPr>
        <w:t xml:space="preserve"> </w:t>
      </w:r>
      <w:r w:rsidR="00457548" w:rsidRPr="009C3712">
        <w:rPr>
          <w:rFonts w:ascii="Simplified Arabic" w:hAnsi="Simplified Arabic" w:cs="Simplified Arabic" w:hint="cs"/>
          <w:sz w:val="24"/>
          <w:szCs w:val="24"/>
          <w:rtl/>
          <w:lang w:val="en-US" w:bidi="ar-DZ"/>
        </w:rPr>
        <w:t>الحي</w:t>
      </w:r>
      <w:r w:rsidR="002713DB" w:rsidRPr="009C3712">
        <w:rPr>
          <w:rFonts w:ascii="Simplified Arabic" w:hAnsi="Simplified Arabic" w:cs="Simplified Arabic" w:hint="cs"/>
          <w:sz w:val="24"/>
          <w:szCs w:val="24"/>
          <w:rtl/>
          <w:lang w:val="en-US" w:bidi="ar-DZ"/>
        </w:rPr>
        <w:t xml:space="preserve">. </w:t>
      </w:r>
      <w:r w:rsidR="002A686B" w:rsidRPr="009C3712">
        <w:rPr>
          <w:rFonts w:ascii="Simplified Arabic" w:hAnsi="Simplified Arabic" w:cs="Simplified Arabic" w:hint="cs"/>
          <w:sz w:val="24"/>
          <w:szCs w:val="24"/>
          <w:rtl/>
          <w:lang w:val="en-US" w:bidi="ar-DZ"/>
        </w:rPr>
        <w:t>يرتبط</w:t>
      </w:r>
      <w:r w:rsidR="002A686B" w:rsidRPr="009C3712">
        <w:rPr>
          <w:rFonts w:ascii="Simplified Arabic" w:hAnsi="Simplified Arabic" w:cs="Simplified Arabic"/>
          <w:sz w:val="24"/>
          <w:szCs w:val="24"/>
          <w:rtl/>
          <w:lang w:val="en-US" w:bidi="ar-DZ"/>
        </w:rPr>
        <w:t xml:space="preserve"> </w:t>
      </w:r>
      <w:r w:rsidR="002713DB" w:rsidRPr="009C3712">
        <w:rPr>
          <w:rFonts w:ascii="Simplified Arabic" w:hAnsi="Simplified Arabic" w:cs="Simplified Arabic" w:hint="cs"/>
          <w:sz w:val="24"/>
          <w:szCs w:val="24"/>
          <w:rtl/>
          <w:lang w:val="en-US" w:bidi="ar-DZ"/>
        </w:rPr>
        <w:t xml:space="preserve">ذلك </w:t>
      </w:r>
      <w:r w:rsidR="002A686B" w:rsidRPr="009C3712">
        <w:rPr>
          <w:rFonts w:ascii="Simplified Arabic" w:hAnsi="Simplified Arabic" w:cs="Simplified Arabic" w:hint="cs"/>
          <w:sz w:val="24"/>
          <w:szCs w:val="24"/>
          <w:rtl/>
          <w:lang w:val="en-US" w:bidi="ar-DZ"/>
        </w:rPr>
        <w:t>بثلاثة</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عوامل</w:t>
      </w:r>
      <w:r w:rsidR="002A686B" w:rsidRPr="009C3712">
        <w:rPr>
          <w:rFonts w:ascii="Simplified Arabic" w:hAnsi="Simplified Arabic" w:cs="Simplified Arabic"/>
          <w:sz w:val="24"/>
          <w:szCs w:val="24"/>
          <w:rtl/>
          <w:lang w:val="en-US" w:bidi="ar-DZ"/>
        </w:rPr>
        <w:t xml:space="preserve"> </w:t>
      </w:r>
      <w:r w:rsidR="002A686B" w:rsidRPr="009C3712">
        <w:rPr>
          <w:rFonts w:ascii="Simplified Arabic" w:hAnsi="Simplified Arabic" w:cs="Simplified Arabic" w:hint="cs"/>
          <w:sz w:val="24"/>
          <w:szCs w:val="24"/>
          <w:rtl/>
          <w:lang w:val="en-US" w:bidi="ar-DZ"/>
        </w:rPr>
        <w:t>مهمة</w:t>
      </w:r>
      <w:r w:rsidR="002A686B" w:rsidRPr="009C3712">
        <w:rPr>
          <w:rFonts w:ascii="Simplified Arabic" w:hAnsi="Simplified Arabic" w:cs="Simplified Arabic"/>
          <w:sz w:val="24"/>
          <w:szCs w:val="24"/>
          <w:rtl/>
          <w:lang w:val="en-US" w:bidi="ar-DZ"/>
        </w:rPr>
        <w:t xml:space="preserve">: </w:t>
      </w:r>
      <w:r w:rsidR="00B90CCE" w:rsidRPr="009C3712">
        <w:rPr>
          <w:rFonts w:ascii="Simplified Arabic" w:hAnsi="Simplified Arabic" w:cs="Simplified Arabic" w:hint="cs"/>
          <w:sz w:val="24"/>
          <w:szCs w:val="24"/>
          <w:rtl/>
        </w:rPr>
        <w:t>تقسيمات</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sz w:val="24"/>
          <w:szCs w:val="24"/>
          <w:rtl/>
        </w:rPr>
        <w:t xml:space="preserve">فرعية </w:t>
      </w:r>
      <w:r w:rsidR="00457548" w:rsidRPr="009C3712">
        <w:rPr>
          <w:rFonts w:ascii="Simplified Arabic" w:hAnsi="Simplified Arabic" w:cs="Simplified Arabic" w:hint="cs"/>
          <w:sz w:val="24"/>
          <w:szCs w:val="24"/>
          <w:rtl/>
        </w:rPr>
        <w:t>صغيرة</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sz w:val="24"/>
          <w:szCs w:val="24"/>
          <w:rtl/>
        </w:rPr>
        <w:t>ومباني</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sz w:val="24"/>
          <w:szCs w:val="24"/>
          <w:rtl/>
        </w:rPr>
        <w:t>ذات</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sz w:val="24"/>
          <w:szCs w:val="24"/>
          <w:rtl/>
        </w:rPr>
        <w:t>مساحة</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sz w:val="24"/>
          <w:szCs w:val="24"/>
          <w:rtl/>
        </w:rPr>
        <w:t>بناء متوسطة (اكبر من 1</w:t>
      </w:r>
      <w:r w:rsidR="00AF3640" w:rsidRPr="009C3712">
        <w:rPr>
          <w:rFonts w:ascii="Simplified Arabic" w:hAnsi="Simplified Arabic" w:cs="Simplified Arabic" w:hint="cs"/>
          <w:sz w:val="24"/>
          <w:szCs w:val="24"/>
          <w:rtl/>
        </w:rPr>
        <w:t>9</w:t>
      </w:r>
      <w:r w:rsidR="00B90CCE" w:rsidRPr="009C3712">
        <w:rPr>
          <w:rFonts w:ascii="Simplified Arabic" w:hAnsi="Simplified Arabic" w:cs="Simplified Arabic" w:hint="cs"/>
          <w:sz w:val="24"/>
          <w:szCs w:val="24"/>
          <w:rtl/>
        </w:rPr>
        <w:t>0م</w:t>
      </w:r>
      <w:r w:rsidR="00B90CCE" w:rsidRPr="009C3712">
        <w:rPr>
          <w:rFonts w:ascii="Simplified Arabic" w:hAnsi="Simplified Arabic" w:cs="Simplified Arabic" w:hint="cs"/>
          <w:sz w:val="24"/>
          <w:szCs w:val="24"/>
          <w:vertAlign w:val="superscript"/>
          <w:rtl/>
        </w:rPr>
        <w:t>2</w:t>
      </w:r>
      <w:r w:rsidR="00B90CCE" w:rsidRPr="009C3712">
        <w:rPr>
          <w:rFonts w:ascii="Simplified Arabic" w:hAnsi="Simplified Arabic" w:cs="Simplified Arabic" w:hint="cs"/>
          <w:sz w:val="24"/>
          <w:szCs w:val="24"/>
          <w:rtl/>
        </w:rPr>
        <w:t xml:space="preserve">) </w:t>
      </w:r>
      <w:r w:rsidR="002A686B" w:rsidRPr="009C3712">
        <w:rPr>
          <w:rFonts w:ascii="Simplified Arabic" w:hAnsi="Simplified Arabic" w:cs="Simplified Arabic" w:hint="cs"/>
          <w:sz w:val="24"/>
          <w:szCs w:val="24"/>
          <w:rtl/>
          <w:lang w:val="en-US" w:bidi="ar-DZ"/>
        </w:rPr>
        <w:t xml:space="preserve">ووجود </w:t>
      </w:r>
      <w:r w:rsidR="00B90CCE" w:rsidRPr="009C3712">
        <w:rPr>
          <w:rFonts w:ascii="Simplified Arabic" w:hAnsi="Simplified Arabic" w:cs="Simplified Arabic" w:hint="cs"/>
          <w:sz w:val="24"/>
          <w:szCs w:val="24"/>
          <w:rtl/>
        </w:rPr>
        <w:t>طرق</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sz w:val="24"/>
          <w:szCs w:val="24"/>
          <w:rtl/>
        </w:rPr>
        <w:t>واسعة</w:t>
      </w:r>
      <w:r w:rsidR="00B90CCE" w:rsidRPr="009C3712">
        <w:rPr>
          <w:rFonts w:ascii="Simplified Arabic" w:hAnsi="Simplified Arabic" w:cs="Simplified Arabic"/>
          <w:sz w:val="24"/>
          <w:szCs w:val="24"/>
          <w:rtl/>
          <w:lang w:val="en-US" w:bidi="ar-DZ"/>
        </w:rPr>
        <w:t xml:space="preserve"> </w:t>
      </w:r>
      <w:r w:rsidR="00B90CCE" w:rsidRPr="009C3712">
        <w:rPr>
          <w:rFonts w:ascii="Simplified Arabic" w:hAnsi="Simplified Arabic" w:cs="Simplified Arabic" w:hint="cs"/>
          <w:sz w:val="24"/>
          <w:szCs w:val="24"/>
          <w:rtl/>
          <w:lang w:val="en-US" w:bidi="ar-DZ"/>
        </w:rPr>
        <w:t>شطرنجية</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color w:val="000000" w:themeColor="text1"/>
          <w:sz w:val="24"/>
          <w:szCs w:val="24"/>
          <w:rtl/>
        </w:rPr>
        <w:t xml:space="preserve">التي تزيد من </w:t>
      </w:r>
      <w:r w:rsidR="00B90CCE" w:rsidRPr="009C3712">
        <w:rPr>
          <w:rFonts w:ascii="Simplified Arabic" w:hAnsi="Simplified Arabic" w:cs="Simplified Arabic" w:hint="cs"/>
          <w:sz w:val="24"/>
          <w:szCs w:val="24"/>
          <w:rtl/>
        </w:rPr>
        <w:t>امكانية الوصول</w:t>
      </w:r>
      <w:r w:rsidR="00457548" w:rsidRPr="009C3712">
        <w:rPr>
          <w:rFonts w:ascii="Simplified Arabic" w:hAnsi="Simplified Arabic" w:cs="Simplified Arabic" w:hint="cs"/>
          <w:sz w:val="24"/>
          <w:szCs w:val="24"/>
          <w:rtl/>
        </w:rPr>
        <w:t xml:space="preserve"> </w:t>
      </w:r>
      <w:r w:rsidR="004A0667" w:rsidRPr="009C3712">
        <w:rPr>
          <w:rFonts w:ascii="Simplified Arabic" w:hAnsi="Simplified Arabic" w:cs="Simplified Arabic" w:hint="cs"/>
          <w:sz w:val="24"/>
          <w:szCs w:val="24"/>
          <w:rtl/>
        </w:rPr>
        <w:t>نحو الوجهات المختلفة للمباني</w:t>
      </w:r>
      <w:r w:rsidR="00B90CCE" w:rsidRPr="009C3712">
        <w:rPr>
          <w:rFonts w:ascii="Simplified Arabic" w:hAnsi="Simplified Arabic" w:cs="Simplified Arabic" w:hint="cs"/>
          <w:sz w:val="24"/>
          <w:szCs w:val="24"/>
          <w:rtl/>
        </w:rPr>
        <w:t xml:space="preserve">، </w:t>
      </w:r>
      <w:r w:rsidR="00B90CCE" w:rsidRPr="009C3712">
        <w:rPr>
          <w:rFonts w:ascii="Simplified Arabic" w:hAnsi="Simplified Arabic" w:cs="Simplified Arabic"/>
          <w:sz w:val="24"/>
          <w:szCs w:val="24"/>
          <w:rtl/>
        </w:rPr>
        <w:t>بالتالي</w:t>
      </w:r>
      <w:r w:rsidR="00B90CCE" w:rsidRPr="009C3712">
        <w:rPr>
          <w:rFonts w:ascii="Simplified Arabic" w:hAnsi="Simplified Arabic" w:cs="Simplified Arabic" w:hint="cs"/>
          <w:sz w:val="24"/>
          <w:szCs w:val="24"/>
          <w:rtl/>
        </w:rPr>
        <w:t>،</w:t>
      </w:r>
      <w:r w:rsidR="00B90CCE" w:rsidRPr="009C3712">
        <w:rPr>
          <w:rFonts w:ascii="Simplified Arabic" w:hAnsi="Simplified Arabic" w:cs="Simplified Arabic"/>
          <w:sz w:val="24"/>
          <w:szCs w:val="24"/>
          <w:rtl/>
        </w:rPr>
        <w:t xml:space="preserve"> تحقق</w:t>
      </w:r>
      <w:r w:rsidR="002713DB" w:rsidRPr="009C3712">
        <w:rPr>
          <w:rFonts w:ascii="Simplified Arabic" w:hAnsi="Simplified Arabic" w:cs="Simplified Arabic"/>
          <w:sz w:val="24"/>
          <w:szCs w:val="24"/>
          <w:rtl/>
        </w:rPr>
        <w:t xml:space="preserve"> </w:t>
      </w:r>
      <w:r w:rsidR="002713DB" w:rsidRPr="009C3712">
        <w:rPr>
          <w:rFonts w:ascii="Simplified Arabic" w:hAnsi="Simplified Arabic" w:cs="Simplified Arabic" w:hint="cs"/>
          <w:sz w:val="24"/>
          <w:szCs w:val="24"/>
          <w:rtl/>
          <w:lang w:val="en-US" w:bidi="ar-DZ"/>
        </w:rPr>
        <w:t xml:space="preserve">فئة النسيج الحضري (ب) </w:t>
      </w:r>
      <w:r w:rsidR="002713DB" w:rsidRPr="009C3712">
        <w:rPr>
          <w:rFonts w:ascii="Simplified Arabic" w:hAnsi="Simplified Arabic" w:cs="Simplified Arabic" w:hint="cs"/>
          <w:sz w:val="24"/>
          <w:szCs w:val="24"/>
          <w:rtl/>
        </w:rPr>
        <w:t xml:space="preserve">مستوى </w:t>
      </w:r>
      <w:r w:rsidR="002713DB" w:rsidRPr="009C3712">
        <w:rPr>
          <w:rFonts w:ascii="Simplified Arabic" w:hAnsi="Simplified Arabic" w:cs="Simplified Arabic"/>
          <w:sz w:val="24"/>
          <w:szCs w:val="24"/>
          <w:rtl/>
        </w:rPr>
        <w:t xml:space="preserve">مرونة </w:t>
      </w:r>
      <w:r w:rsidR="002713DB" w:rsidRPr="009C3712">
        <w:rPr>
          <w:rFonts w:ascii="Simplified Arabic" w:hAnsi="Simplified Arabic" w:cs="Simplified Arabic" w:hint="cs"/>
          <w:sz w:val="24"/>
          <w:szCs w:val="24"/>
          <w:rtl/>
        </w:rPr>
        <w:t>مكانية</w:t>
      </w:r>
      <w:r w:rsidR="00B90CCE" w:rsidRPr="009C3712">
        <w:rPr>
          <w:rFonts w:ascii="Simplified Arabic" w:hAnsi="Simplified Arabic" w:cs="Simplified Arabic"/>
          <w:sz w:val="24"/>
          <w:szCs w:val="24"/>
          <w:rtl/>
        </w:rPr>
        <w:t xml:space="preserve"> </w:t>
      </w:r>
      <w:r w:rsidR="00B90CCE" w:rsidRPr="009C3712">
        <w:rPr>
          <w:rFonts w:ascii="Simplified Arabic" w:hAnsi="Simplified Arabic" w:cs="Simplified Arabic" w:hint="cs"/>
          <w:sz w:val="24"/>
          <w:szCs w:val="24"/>
          <w:rtl/>
        </w:rPr>
        <w:t>عالية</w:t>
      </w:r>
      <w:r w:rsidR="00B90CCE" w:rsidRPr="009C3712">
        <w:rPr>
          <w:rFonts w:ascii="Simplified Arabic" w:hAnsi="Simplified Arabic" w:cs="Simplified Arabic"/>
          <w:sz w:val="24"/>
          <w:szCs w:val="24"/>
          <w:rtl/>
        </w:rPr>
        <w:t>.</w:t>
      </w:r>
    </w:p>
    <w:p w:rsidR="00076D1B" w:rsidRDefault="00076D1B" w:rsidP="00721C85">
      <w:pPr>
        <w:pStyle w:val="fegure"/>
        <w:spacing w:before="240"/>
        <w:rPr>
          <w:sz w:val="6"/>
          <w:szCs w:val="22"/>
          <w:rtl/>
          <w:lang w:val="en-US" w:bidi="ar-DZ"/>
        </w:rPr>
      </w:pPr>
      <w:bookmarkStart w:id="836" w:name="_Toc157608364"/>
      <w:bookmarkStart w:id="837" w:name="_Toc171803808"/>
      <w:r w:rsidRPr="00A251AC">
        <w:rPr>
          <w:rFonts w:hint="cs"/>
          <w:sz w:val="6"/>
          <w:szCs w:val="22"/>
          <w:rtl/>
          <w:lang w:bidi="ar-DZ"/>
        </w:rPr>
        <w:t>الشكل (6-</w:t>
      </w:r>
      <w:r w:rsidR="005373F7" w:rsidRPr="00A251AC">
        <w:rPr>
          <w:rFonts w:hint="cs"/>
          <w:sz w:val="6"/>
          <w:szCs w:val="22"/>
          <w:rtl/>
          <w:lang w:bidi="ar-DZ"/>
        </w:rPr>
        <w:t>13</w:t>
      </w:r>
      <w:r w:rsidRPr="00A251AC">
        <w:rPr>
          <w:rFonts w:hint="cs"/>
          <w:sz w:val="6"/>
          <w:szCs w:val="22"/>
          <w:rtl/>
          <w:lang w:bidi="ar-DZ"/>
        </w:rPr>
        <w:t xml:space="preserve">) </w:t>
      </w:r>
      <w:r w:rsidRPr="00A251AC">
        <w:rPr>
          <w:rFonts w:hint="cs"/>
          <w:sz w:val="6"/>
          <w:szCs w:val="22"/>
          <w:rtl/>
          <w:lang w:val="en-US" w:bidi="ar-DZ"/>
        </w:rPr>
        <w:t>ل</w:t>
      </w:r>
      <w:r w:rsidRPr="00A251AC">
        <w:rPr>
          <w:rFonts w:hint="cs"/>
          <w:sz w:val="6"/>
          <w:szCs w:val="22"/>
          <w:rtl/>
          <w:lang w:bidi="ar-DZ"/>
        </w:rPr>
        <w:t>توزيع ا</w:t>
      </w:r>
      <w:r w:rsidRPr="00A251AC">
        <w:rPr>
          <w:rFonts w:hint="cs"/>
          <w:sz w:val="6"/>
          <w:szCs w:val="22"/>
          <w:rtl/>
          <w:lang w:val="en-US" w:bidi="ar-DZ"/>
        </w:rPr>
        <w:t xml:space="preserve">لنسب </w:t>
      </w:r>
      <w:r w:rsidRPr="00A251AC">
        <w:rPr>
          <w:rFonts w:hint="cs"/>
          <w:sz w:val="6"/>
          <w:szCs w:val="22"/>
          <w:rtl/>
          <w:lang w:bidi="ar-DZ"/>
        </w:rPr>
        <w:t>بين</w:t>
      </w:r>
      <w:r w:rsidRPr="00A251AC">
        <w:rPr>
          <w:sz w:val="6"/>
          <w:szCs w:val="22"/>
          <w:rtl/>
          <w:lang w:bidi="ar-DZ"/>
        </w:rPr>
        <w:t xml:space="preserve"> </w:t>
      </w:r>
      <w:r w:rsidRPr="00A251AC">
        <w:rPr>
          <w:rFonts w:hint="cs"/>
          <w:sz w:val="6"/>
          <w:szCs w:val="22"/>
          <w:rtl/>
          <w:lang w:bidi="ar-DZ"/>
        </w:rPr>
        <w:t>مسافة</w:t>
      </w:r>
      <w:r w:rsidRPr="00A251AC">
        <w:rPr>
          <w:sz w:val="6"/>
          <w:szCs w:val="22"/>
          <w:rtl/>
          <w:lang w:bidi="ar-DZ"/>
        </w:rPr>
        <w:t xml:space="preserve"> </w:t>
      </w:r>
      <w:r w:rsidRPr="00A251AC">
        <w:rPr>
          <w:rFonts w:hint="cs"/>
          <w:sz w:val="6"/>
          <w:szCs w:val="22"/>
          <w:rtl/>
          <w:lang w:bidi="ar-DZ"/>
        </w:rPr>
        <w:t>شبكة</w:t>
      </w:r>
      <w:r w:rsidRPr="00A251AC">
        <w:rPr>
          <w:sz w:val="6"/>
          <w:szCs w:val="22"/>
          <w:rtl/>
          <w:lang w:bidi="ar-DZ"/>
        </w:rPr>
        <w:t xml:space="preserve"> </w:t>
      </w:r>
      <w:r w:rsidRPr="00A251AC">
        <w:rPr>
          <w:rFonts w:hint="cs"/>
          <w:sz w:val="6"/>
          <w:szCs w:val="22"/>
          <w:rtl/>
          <w:lang w:bidi="ar-DZ"/>
        </w:rPr>
        <w:t>الشوارع والمسافة</w:t>
      </w:r>
      <w:r w:rsidRPr="00A251AC">
        <w:rPr>
          <w:sz w:val="6"/>
          <w:szCs w:val="22"/>
          <w:rtl/>
          <w:lang w:bidi="ar-DZ"/>
        </w:rPr>
        <w:t xml:space="preserve"> </w:t>
      </w:r>
      <w:r w:rsidRPr="00A251AC">
        <w:rPr>
          <w:rFonts w:hint="cs"/>
          <w:sz w:val="6"/>
          <w:szCs w:val="22"/>
          <w:rtl/>
          <w:lang w:bidi="ar-DZ"/>
        </w:rPr>
        <w:t>الإقليدية</w:t>
      </w:r>
      <w:r w:rsidRPr="00A251AC">
        <w:rPr>
          <w:sz w:val="6"/>
          <w:szCs w:val="22"/>
          <w:rtl/>
          <w:lang w:bidi="ar-DZ"/>
        </w:rPr>
        <w:t xml:space="preserve"> </w:t>
      </w:r>
      <w:r w:rsidRPr="00A251AC">
        <w:rPr>
          <w:rFonts w:hint="cs"/>
          <w:sz w:val="6"/>
          <w:szCs w:val="22"/>
          <w:rtl/>
          <w:lang w:bidi="ar-DZ"/>
        </w:rPr>
        <w:t>ل</w:t>
      </w:r>
      <w:r w:rsidRPr="00A251AC">
        <w:rPr>
          <w:rFonts w:hint="cs"/>
          <w:sz w:val="6"/>
          <w:szCs w:val="22"/>
          <w:rtl/>
          <w:lang w:val="en-US" w:bidi="ar-DZ"/>
        </w:rPr>
        <w:t>فئة النسيج الحضري (ب)،</w:t>
      </w:r>
      <w:r w:rsidRPr="00A251AC">
        <w:rPr>
          <w:sz w:val="6"/>
          <w:szCs w:val="22"/>
          <w:rtl/>
          <w:lang w:val="en-US" w:bidi="ar-DZ"/>
        </w:rPr>
        <w:t xml:space="preserve"> </w:t>
      </w:r>
      <w:r w:rsidRPr="00A251AC">
        <w:rPr>
          <w:rFonts w:hint="cs"/>
          <w:sz w:val="6"/>
          <w:szCs w:val="22"/>
          <w:rtl/>
        </w:rPr>
        <w:t xml:space="preserve">حي </w:t>
      </w:r>
      <w:r w:rsidRPr="00A251AC">
        <w:rPr>
          <w:rFonts w:hint="cs"/>
          <w:sz w:val="6"/>
          <w:szCs w:val="22"/>
          <w:rtl/>
          <w:lang w:val="en-US" w:bidi="ar-DZ"/>
        </w:rPr>
        <w:t>بلاتو</w:t>
      </w:r>
      <w:bookmarkEnd w:id="836"/>
      <w:bookmarkEnd w:id="837"/>
    </w:p>
    <w:p w:rsidR="00721C85" w:rsidRPr="00721C85" w:rsidRDefault="00721C85" w:rsidP="00721C85">
      <w:pPr>
        <w:pStyle w:val="fegure"/>
        <w:rPr>
          <w:sz w:val="8"/>
          <w:szCs w:val="24"/>
          <w:lang w:val="en-US"/>
        </w:rPr>
      </w:pPr>
      <w:bookmarkStart w:id="838" w:name="_Toc171803809"/>
      <w:r>
        <w:rPr>
          <w:rFonts w:hint="cs"/>
          <w:sz w:val="8"/>
          <w:szCs w:val="24"/>
          <w:rtl/>
          <w:lang w:val="en-US"/>
        </w:rPr>
        <w:t>(الباحث، 2022)</w:t>
      </w:r>
      <w:bookmarkEnd w:id="838"/>
    </w:p>
    <w:p w:rsidR="00452A83" w:rsidRDefault="00452A83" w:rsidP="00224CB9">
      <w:pPr>
        <w:autoSpaceDE w:val="0"/>
        <w:autoSpaceDN w:val="0"/>
        <w:bidi/>
        <w:adjustRightInd w:val="0"/>
        <w:spacing w:after="0"/>
        <w:jc w:val="center"/>
        <w:rPr>
          <w:rFonts w:ascii="Simplified Arabic" w:hAnsi="Simplified Arabic" w:cs="Simplified Arabic"/>
          <w:sz w:val="24"/>
          <w:szCs w:val="24"/>
          <w:rtl/>
          <w:lang w:val="en-US" w:bidi="ar-DZ"/>
        </w:rPr>
      </w:pPr>
      <w:r>
        <w:rPr>
          <w:noProof/>
          <w:lang w:eastAsia="fr-FR"/>
        </w:rPr>
        <w:drawing>
          <wp:inline distT="0" distB="0" distL="0" distR="0" wp14:anchorId="03756F1E" wp14:editId="4B349303">
            <wp:extent cx="3976778" cy="2743200"/>
            <wp:effectExtent l="0" t="0" r="24130" b="19050"/>
            <wp:docPr id="91" name="Graphique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5"/>
              </a:graphicData>
            </a:graphic>
          </wp:inline>
        </w:drawing>
      </w:r>
    </w:p>
    <w:p w:rsidR="00534DCA" w:rsidRDefault="00534DCA" w:rsidP="00224CB9">
      <w:pPr>
        <w:pStyle w:val="carte"/>
        <w:spacing w:after="0"/>
        <w:rPr>
          <w:rtl/>
          <w:lang w:bidi="ar-DZ"/>
        </w:rPr>
      </w:pPr>
      <w:bookmarkStart w:id="839" w:name="_Toc157616610"/>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534DCA">
      <w:pPr>
        <w:pStyle w:val="carte"/>
        <w:spacing w:after="0"/>
        <w:jc w:val="left"/>
        <w:rPr>
          <w:rtl/>
          <w:lang w:bidi="ar-DZ"/>
        </w:rPr>
      </w:pPr>
    </w:p>
    <w:p w:rsidR="00534DCA" w:rsidRDefault="00534DCA" w:rsidP="00534DCA">
      <w:pPr>
        <w:pStyle w:val="carte"/>
        <w:spacing w:after="0"/>
        <w:jc w:val="left"/>
        <w:rPr>
          <w:rtl/>
          <w:lang w:bidi="ar-DZ"/>
        </w:rPr>
      </w:pPr>
    </w:p>
    <w:p w:rsidR="00534DCA" w:rsidRDefault="00534DCA" w:rsidP="00534DCA">
      <w:pPr>
        <w:pStyle w:val="carte"/>
        <w:spacing w:after="0"/>
        <w:jc w:val="left"/>
        <w:rPr>
          <w:rtl/>
          <w:lang w:bidi="ar-DZ"/>
        </w:rPr>
      </w:pPr>
    </w:p>
    <w:p w:rsidR="00534DCA" w:rsidRDefault="00534DCA" w:rsidP="00534DCA">
      <w:pPr>
        <w:pStyle w:val="carte"/>
        <w:spacing w:after="0"/>
        <w:jc w:val="left"/>
        <w:rPr>
          <w:rtl/>
          <w:lang w:bidi="ar-DZ"/>
        </w:rPr>
      </w:pPr>
    </w:p>
    <w:p w:rsidR="00534DCA" w:rsidRDefault="00534DCA" w:rsidP="00534DCA">
      <w:pPr>
        <w:autoSpaceDE w:val="0"/>
        <w:autoSpaceDN w:val="0"/>
        <w:bidi/>
        <w:adjustRightInd w:val="0"/>
        <w:spacing w:before="240" w:after="0"/>
        <w:ind w:firstLine="283"/>
        <w:jc w:val="both"/>
        <w:rPr>
          <w:rFonts w:ascii="Simplified Arabic" w:hAnsi="Simplified Arabic" w:cs="Simplified Arabic"/>
          <w:sz w:val="24"/>
          <w:szCs w:val="24"/>
          <w:rtl/>
          <w:lang w:val="en-US" w:bidi="ar-DZ"/>
        </w:rPr>
      </w:pPr>
      <w:r w:rsidRPr="007708D9">
        <w:rPr>
          <w:rFonts w:ascii="Simplified Arabic" w:hAnsi="Simplified Arabic" w:cs="Simplified Arabic" w:hint="cs"/>
          <w:sz w:val="24"/>
          <w:szCs w:val="24"/>
          <w:rtl/>
          <w:lang w:val="en-US" w:bidi="ar-DZ"/>
        </w:rPr>
        <w:lastRenderedPageBreak/>
        <w:t>من</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الناحية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المكانية،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تبلغ</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كثافة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البناء بحي بلاتو 13 سكن/هكتار وهي ادنى مستوى بالمدينة، (الخريطة (6-2). </w:t>
      </w:r>
      <w:r w:rsidRPr="00CE5136">
        <w:rPr>
          <w:rFonts w:ascii="Times New Roman" w:hAnsi="Times New Roman" w:cs="Times New Roman" w:hint="cs"/>
          <w:sz w:val="24"/>
          <w:szCs w:val="24"/>
          <w:rtl/>
          <w:lang w:val="en-US" w:bidi="ar-DZ"/>
        </w:rPr>
        <w:t>​​</w:t>
      </w:r>
      <w:r w:rsidRPr="00457387">
        <w:rPr>
          <w:rFonts w:ascii="Simplified Arabic" w:hAnsi="Simplified Arabic" w:cs="Simplified Arabic" w:hint="cs"/>
          <w:sz w:val="24"/>
          <w:szCs w:val="24"/>
          <w:rtl/>
          <w:lang w:val="en-US" w:bidi="ar-DZ"/>
        </w:rPr>
        <w:t xml:space="preserve"> </w:t>
      </w:r>
      <w:r w:rsidRPr="005014AF">
        <w:rPr>
          <w:rFonts w:ascii="Simplified Arabic" w:hAnsi="Simplified Arabic" w:cs="Simplified Arabic" w:hint="cs"/>
          <w:sz w:val="24"/>
          <w:szCs w:val="24"/>
          <w:rtl/>
          <w:lang w:val="en-US" w:bidi="ar-DZ"/>
        </w:rPr>
        <w:t>حيث</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كتل البناء متباعدة </w:t>
      </w:r>
      <w:r w:rsidRPr="007708D9">
        <w:rPr>
          <w:rFonts w:ascii="Simplified Arabic" w:hAnsi="Simplified Arabic" w:cs="Simplified Arabic" w:hint="cs"/>
          <w:sz w:val="24"/>
          <w:szCs w:val="24"/>
          <w:rtl/>
          <w:lang w:val="en-US" w:bidi="ar-DZ"/>
        </w:rPr>
        <w:t>وشبكة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طرق</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واسعة </w:t>
      </w:r>
      <w:r w:rsidRPr="007708D9">
        <w:rPr>
          <w:rFonts w:ascii="Simplified Arabic" w:hAnsi="Simplified Arabic" w:cs="Simplified Arabic" w:hint="cs"/>
          <w:sz w:val="24"/>
          <w:szCs w:val="24"/>
          <w:rtl/>
          <w:lang w:val="en-US" w:bidi="ar-DZ"/>
        </w:rPr>
        <w:t>تتميز</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ب</w:t>
      </w:r>
      <w:r w:rsidRPr="007708D9">
        <w:rPr>
          <w:rFonts w:ascii="Simplified Arabic" w:hAnsi="Simplified Arabic" w:cs="Simplified Arabic" w:hint="cs"/>
          <w:sz w:val="24"/>
          <w:szCs w:val="24"/>
          <w:rtl/>
          <w:lang w:val="en-US" w:bidi="ar-DZ"/>
        </w:rPr>
        <w:t>التقاطعات</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المتكررة</w:t>
      </w:r>
      <w:r w:rsidRPr="00E3031B">
        <w:rPr>
          <w:rFonts w:asciiTheme="majorBidi" w:hAnsiTheme="majorBidi" w:cstheme="majorBidi"/>
          <w:sz w:val="24"/>
          <w:szCs w:val="24"/>
          <w:rtl/>
        </w:rPr>
        <w:t>.</w:t>
      </w:r>
      <w:r w:rsidRPr="00FD1399">
        <w:rPr>
          <w:rFonts w:ascii="Simplified Arabic" w:hAnsi="Simplified Arabic" w:cs="Simplified Arabic" w:hint="cs"/>
          <w:sz w:val="24"/>
          <w:szCs w:val="24"/>
          <w:rtl/>
          <w:lang w:val="en-US" w:bidi="ar-DZ"/>
        </w:rPr>
        <w:t xml:space="preserve"> </w:t>
      </w:r>
      <w:r w:rsidRPr="0074440A">
        <w:rPr>
          <w:rFonts w:ascii="Simplified Arabic" w:hAnsi="Simplified Arabic" w:cs="Simplified Arabic" w:hint="cs"/>
          <w:sz w:val="24"/>
          <w:szCs w:val="24"/>
          <w:rtl/>
        </w:rPr>
        <w:t>إضافة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إلى</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ذلك،</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تعاني</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المباني</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الواقعة جنب</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واد بوسعادة من انخفاض مستوى امكانية الوصول،</w:t>
      </w:r>
      <w:r w:rsidRPr="0074440A">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سبب ذلك،</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تأثير</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الحافة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الطبيعية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الناجم</w:t>
      </w:r>
      <w:r>
        <w:rPr>
          <w:rFonts w:ascii="Simplified Arabic" w:hAnsi="Simplified Arabic" w:cs="Simplified Arabic" w:hint="cs"/>
          <w:sz w:val="24"/>
          <w:szCs w:val="24"/>
          <w:rtl/>
        </w:rPr>
        <w:t>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عن</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الواد</w:t>
      </w:r>
      <w:r>
        <w:rPr>
          <w:rFonts w:ascii="Simplified Arabic" w:hAnsi="Simplified Arabic" w:cs="Simplified Arabic" w:hint="cs"/>
          <w:sz w:val="24"/>
          <w:szCs w:val="24"/>
          <w:rtl/>
          <w:lang w:val="en-US" w:bidi="ar-DZ"/>
        </w:rPr>
        <w:t>.</w:t>
      </w:r>
    </w:p>
    <w:p w:rsidR="00787828" w:rsidRDefault="00787828" w:rsidP="00224CB9">
      <w:pPr>
        <w:pStyle w:val="carte"/>
        <w:spacing w:after="0"/>
        <w:rPr>
          <w:rtl/>
          <w:lang w:val="en-US" w:bidi="ar-DZ"/>
        </w:rPr>
      </w:pPr>
      <w:bookmarkStart w:id="840" w:name="_Toc171803810"/>
      <w:r w:rsidRPr="00456E70">
        <w:rPr>
          <w:rFonts w:hint="cs"/>
          <w:rtl/>
          <w:lang w:bidi="ar-DZ"/>
        </w:rPr>
        <w:t>الخريطة (6-</w:t>
      </w:r>
      <w:r w:rsidR="00456E70">
        <w:rPr>
          <w:rFonts w:hint="cs"/>
          <w:rtl/>
          <w:lang w:bidi="ar-DZ"/>
        </w:rPr>
        <w:t>2</w:t>
      </w:r>
      <w:r w:rsidRPr="00456E70">
        <w:rPr>
          <w:rFonts w:hint="cs"/>
          <w:rtl/>
          <w:lang w:bidi="ar-DZ"/>
        </w:rPr>
        <w:t xml:space="preserve">) تباين التوزيع المكاني لكثافة البناء </w:t>
      </w:r>
      <w:r w:rsidR="00076D1B" w:rsidRPr="00456E70">
        <w:rPr>
          <w:rFonts w:hint="cs"/>
          <w:rtl/>
          <w:lang w:bidi="ar-DZ"/>
        </w:rPr>
        <w:t>ل</w:t>
      </w:r>
      <w:r w:rsidRPr="00456E70">
        <w:rPr>
          <w:rFonts w:hint="cs"/>
          <w:rtl/>
          <w:lang w:val="en-US" w:bidi="ar-DZ"/>
        </w:rPr>
        <w:t>فئة النسيج الحضري (</w:t>
      </w:r>
      <w:r w:rsidR="0000770C" w:rsidRPr="00456E70">
        <w:rPr>
          <w:rFonts w:hint="cs"/>
          <w:rtl/>
          <w:lang w:val="en-US" w:bidi="ar-DZ"/>
        </w:rPr>
        <w:t>ب</w:t>
      </w:r>
      <w:r w:rsidRPr="00456E70">
        <w:rPr>
          <w:rFonts w:hint="cs"/>
          <w:rtl/>
          <w:lang w:val="en-US" w:bidi="ar-DZ"/>
        </w:rPr>
        <w:t>)،</w:t>
      </w:r>
      <w:r w:rsidRPr="00456E70">
        <w:rPr>
          <w:rtl/>
          <w:lang w:val="en-US" w:bidi="ar-DZ"/>
        </w:rPr>
        <w:t xml:space="preserve"> </w:t>
      </w:r>
      <w:r w:rsidRPr="00456E70">
        <w:rPr>
          <w:rFonts w:hint="cs"/>
          <w:rtl/>
        </w:rPr>
        <w:t xml:space="preserve">حي </w:t>
      </w:r>
      <w:r w:rsidR="0000770C" w:rsidRPr="00456E70">
        <w:rPr>
          <w:rFonts w:hint="cs"/>
          <w:rtl/>
          <w:lang w:val="en-US" w:bidi="ar-DZ"/>
        </w:rPr>
        <w:t>بلاتو</w:t>
      </w:r>
      <w:bookmarkEnd w:id="839"/>
      <w:bookmarkEnd w:id="840"/>
    </w:p>
    <w:p w:rsidR="00224CB9" w:rsidRPr="00224CB9" w:rsidRDefault="00224CB9" w:rsidP="00224CB9">
      <w:pPr>
        <w:pStyle w:val="fegure"/>
        <w:rPr>
          <w:sz w:val="8"/>
          <w:szCs w:val="24"/>
          <w:lang w:val="en-US"/>
        </w:rPr>
      </w:pPr>
      <w:bookmarkStart w:id="841" w:name="_Toc171803811"/>
      <w:r>
        <w:rPr>
          <w:rFonts w:hint="cs"/>
          <w:sz w:val="8"/>
          <w:szCs w:val="24"/>
          <w:rtl/>
          <w:lang w:val="en-US"/>
        </w:rPr>
        <w:t>(الباحث، 2022)</w:t>
      </w:r>
      <w:bookmarkEnd w:id="841"/>
    </w:p>
    <w:p w:rsidR="00787828" w:rsidRDefault="00787828" w:rsidP="00A92273">
      <w:pPr>
        <w:autoSpaceDE w:val="0"/>
        <w:autoSpaceDN w:val="0"/>
        <w:bidi/>
        <w:adjustRightInd w:val="0"/>
        <w:spacing w:line="240" w:lineRule="auto"/>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w:t>
      </w:r>
      <w:r>
        <w:rPr>
          <w:rFonts w:ascii="Simplified Arabic" w:hAnsi="Simplified Arabic" w:cs="Simplified Arabic"/>
          <w:noProof/>
          <w:sz w:val="24"/>
          <w:szCs w:val="24"/>
          <w:lang w:eastAsia="fr-FR"/>
        </w:rPr>
        <w:drawing>
          <wp:inline distT="0" distB="0" distL="0" distR="0" wp14:anchorId="3AF8AE03" wp14:editId="71386D59">
            <wp:extent cx="4536868" cy="5555411"/>
            <wp:effectExtent l="0" t="0" r="0" b="7620"/>
            <wp:docPr id="320" name="Imag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6">
                      <a:extLst>
                        <a:ext uri="{28A0092B-C50C-407E-A947-70E740481C1C}">
                          <a14:useLocalDpi xmlns:a14="http://schemas.microsoft.com/office/drawing/2010/main" val="0"/>
                        </a:ext>
                      </a:extLst>
                    </a:blip>
                    <a:srcRect t="8200"/>
                    <a:stretch/>
                  </pic:blipFill>
                  <pic:spPr bwMode="auto">
                    <a:xfrm>
                      <a:off x="0" y="0"/>
                      <a:ext cx="4571068" cy="5597289"/>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sz w:val="24"/>
          <w:szCs w:val="24"/>
          <w:lang w:bidi="ar-DZ"/>
        </w:rPr>
        <w:t xml:space="preserve">  </w:t>
      </w:r>
    </w:p>
    <w:p w:rsidR="00534DCA" w:rsidRDefault="00534DCA" w:rsidP="00534DCA">
      <w:pPr>
        <w:autoSpaceDE w:val="0"/>
        <w:autoSpaceDN w:val="0"/>
        <w:bidi/>
        <w:adjustRightInd w:val="0"/>
        <w:spacing w:line="240" w:lineRule="auto"/>
        <w:jc w:val="center"/>
        <w:rPr>
          <w:rFonts w:ascii="Simplified Arabic" w:hAnsi="Simplified Arabic" w:cs="Simplified Arabic"/>
          <w:sz w:val="24"/>
          <w:szCs w:val="24"/>
          <w:rtl/>
          <w:lang w:bidi="ar-DZ"/>
        </w:rPr>
      </w:pPr>
    </w:p>
    <w:p w:rsidR="00534DCA" w:rsidRDefault="00534DCA" w:rsidP="00534DCA">
      <w:pPr>
        <w:autoSpaceDE w:val="0"/>
        <w:autoSpaceDN w:val="0"/>
        <w:bidi/>
        <w:adjustRightInd w:val="0"/>
        <w:spacing w:line="240" w:lineRule="auto"/>
        <w:jc w:val="center"/>
        <w:rPr>
          <w:rFonts w:ascii="Simplified Arabic" w:hAnsi="Simplified Arabic" w:cs="Simplified Arabic"/>
          <w:sz w:val="24"/>
          <w:szCs w:val="24"/>
          <w:rtl/>
          <w:lang w:bidi="ar-DZ"/>
        </w:rPr>
      </w:pPr>
    </w:p>
    <w:p w:rsidR="00534DCA" w:rsidRDefault="00534DCA" w:rsidP="00534DCA">
      <w:pPr>
        <w:autoSpaceDE w:val="0"/>
        <w:autoSpaceDN w:val="0"/>
        <w:bidi/>
        <w:adjustRightInd w:val="0"/>
        <w:spacing w:line="240" w:lineRule="auto"/>
        <w:jc w:val="center"/>
        <w:rPr>
          <w:rFonts w:ascii="Simplified Arabic" w:hAnsi="Simplified Arabic" w:cs="Simplified Arabic"/>
          <w:sz w:val="24"/>
          <w:szCs w:val="24"/>
          <w:rtl/>
          <w:lang w:bidi="ar-DZ"/>
        </w:rPr>
      </w:pPr>
    </w:p>
    <w:p w:rsidR="00534DCA" w:rsidRDefault="00534DCA" w:rsidP="00534DCA">
      <w:pPr>
        <w:autoSpaceDE w:val="0"/>
        <w:autoSpaceDN w:val="0"/>
        <w:bidi/>
        <w:adjustRightInd w:val="0"/>
        <w:spacing w:line="240" w:lineRule="auto"/>
        <w:jc w:val="center"/>
        <w:rPr>
          <w:rFonts w:ascii="Simplified Arabic" w:hAnsi="Simplified Arabic" w:cs="Simplified Arabic"/>
          <w:sz w:val="24"/>
          <w:szCs w:val="24"/>
          <w:rtl/>
          <w:lang w:bidi="ar-DZ"/>
        </w:rPr>
      </w:pPr>
    </w:p>
    <w:p w:rsidR="00076D1B" w:rsidRDefault="002A686B" w:rsidP="009C3712">
      <w:pPr>
        <w:pStyle w:val="Paragraphedeliste"/>
        <w:numPr>
          <w:ilvl w:val="0"/>
          <w:numId w:val="69"/>
        </w:numPr>
        <w:autoSpaceDE w:val="0"/>
        <w:autoSpaceDN w:val="0"/>
        <w:bidi/>
        <w:adjustRightInd w:val="0"/>
        <w:spacing w:before="240" w:after="0"/>
        <w:ind w:left="0" w:firstLine="283"/>
        <w:jc w:val="both"/>
        <w:rPr>
          <w:rFonts w:ascii="Simplified Arabic" w:hAnsi="Simplified Arabic" w:cs="Simplified Arabic"/>
          <w:sz w:val="24"/>
          <w:szCs w:val="24"/>
        </w:rPr>
      </w:pPr>
      <w:r w:rsidRPr="009C3712">
        <w:rPr>
          <w:rFonts w:ascii="Simplified Arabic" w:hAnsi="Simplified Arabic" w:cs="Simplified Arabic" w:hint="cs"/>
          <w:sz w:val="24"/>
          <w:szCs w:val="24"/>
          <w:rtl/>
          <w:lang w:val="en-US" w:bidi="ar-DZ"/>
        </w:rPr>
        <w:lastRenderedPageBreak/>
        <w:t>في فئة النسيج</w:t>
      </w:r>
      <w:r w:rsidR="006378B6" w:rsidRPr="009C3712">
        <w:rPr>
          <w:rFonts w:ascii="Simplified Arabic" w:hAnsi="Simplified Arabic" w:cs="Simplified Arabic" w:hint="cs"/>
          <w:sz w:val="24"/>
          <w:szCs w:val="24"/>
          <w:rtl/>
          <w:lang w:val="en-US" w:bidi="ar-DZ"/>
        </w:rPr>
        <w:t xml:space="preserve"> الحضري</w:t>
      </w:r>
      <w:r w:rsidRPr="009C3712">
        <w:rPr>
          <w:rFonts w:ascii="Simplified Arabic" w:hAnsi="Simplified Arabic" w:cs="Simplified Arabic" w:hint="cs"/>
          <w:sz w:val="24"/>
          <w:szCs w:val="24"/>
          <w:rtl/>
          <w:lang w:val="en-US" w:bidi="ar-DZ"/>
        </w:rPr>
        <w:t xml:space="preserve"> (جـ)،</w:t>
      </w:r>
      <w:r w:rsidRPr="009C3712">
        <w:rPr>
          <w:rFonts w:ascii="Simplified Arabic" w:hAnsi="Simplified Arabic" w:cs="Simplified Arabic"/>
          <w:sz w:val="24"/>
          <w:szCs w:val="24"/>
          <w:rtl/>
          <w:lang w:val="en-US" w:bidi="ar-DZ"/>
        </w:rPr>
        <w:t xml:space="preserve"> </w:t>
      </w:r>
      <w:r w:rsidRPr="009C3712">
        <w:rPr>
          <w:rFonts w:ascii="Simplified Arabic" w:hAnsi="Simplified Arabic" w:cs="Simplified Arabic" w:hint="cs"/>
          <w:sz w:val="24"/>
          <w:szCs w:val="24"/>
          <w:rtl/>
          <w:lang w:val="en-US" w:bidi="ar-DZ"/>
        </w:rPr>
        <w:t xml:space="preserve">يتميز </w:t>
      </w:r>
      <w:r w:rsidRPr="009C3712">
        <w:rPr>
          <w:rFonts w:ascii="Simplified Arabic" w:hAnsi="Simplified Arabic" w:cs="Simplified Arabic" w:hint="cs"/>
          <w:sz w:val="24"/>
          <w:szCs w:val="24"/>
          <w:rtl/>
        </w:rPr>
        <w:t xml:space="preserve">حي سيدي سليمان </w:t>
      </w:r>
      <w:r w:rsidR="00D21839" w:rsidRPr="009C3712">
        <w:rPr>
          <w:rFonts w:ascii="Simplified Arabic" w:hAnsi="Simplified Arabic" w:cs="Simplified Arabic" w:hint="cs"/>
          <w:sz w:val="24"/>
          <w:szCs w:val="24"/>
          <w:rtl/>
          <w:lang w:val="en-US" w:bidi="ar-DZ"/>
        </w:rPr>
        <w:t>بعدد</w:t>
      </w:r>
      <w:r w:rsidR="00D21839" w:rsidRPr="009C3712">
        <w:rPr>
          <w:rFonts w:ascii="Simplified Arabic" w:hAnsi="Simplified Arabic" w:cs="Simplified Arabic"/>
          <w:sz w:val="24"/>
          <w:szCs w:val="24"/>
          <w:rtl/>
          <w:lang w:bidi="ar-DZ"/>
        </w:rPr>
        <w:t xml:space="preserve"> </w:t>
      </w:r>
      <w:r w:rsidR="00D21839" w:rsidRPr="009C3712">
        <w:rPr>
          <w:rFonts w:ascii="Simplified Arabic" w:hAnsi="Simplified Arabic" w:cs="Simplified Arabic" w:hint="cs"/>
          <w:sz w:val="24"/>
          <w:szCs w:val="24"/>
          <w:rtl/>
          <w:lang w:bidi="ar-DZ"/>
        </w:rPr>
        <w:t>متوسط ل</w:t>
      </w:r>
      <w:r w:rsidR="00D21839" w:rsidRPr="009C3712">
        <w:rPr>
          <w:rFonts w:ascii="Simplified Arabic" w:hAnsi="Simplified Arabic" w:cs="Simplified Arabic" w:hint="cs"/>
          <w:sz w:val="24"/>
          <w:szCs w:val="24"/>
          <w:rtl/>
          <w:lang w:val="en-US" w:bidi="ar-DZ"/>
        </w:rPr>
        <w:t>لمباني</w:t>
      </w:r>
      <w:r w:rsidR="00D21839" w:rsidRPr="009C3712">
        <w:rPr>
          <w:rFonts w:ascii="Simplified Arabic" w:hAnsi="Simplified Arabic" w:cs="Simplified Arabic"/>
          <w:sz w:val="24"/>
          <w:szCs w:val="24"/>
          <w:rtl/>
          <w:lang w:val="en-US" w:bidi="ar-DZ"/>
        </w:rPr>
        <w:t xml:space="preserve"> </w:t>
      </w:r>
      <w:r w:rsidR="00D21839" w:rsidRPr="009C3712">
        <w:rPr>
          <w:rFonts w:ascii="Simplified Arabic" w:hAnsi="Simplified Arabic" w:cs="Simplified Arabic" w:hint="cs"/>
          <w:sz w:val="24"/>
          <w:szCs w:val="24"/>
          <w:rtl/>
          <w:lang w:val="en-US" w:bidi="ar-DZ"/>
        </w:rPr>
        <w:t>التي</w:t>
      </w:r>
      <w:r w:rsidR="00D21839" w:rsidRPr="009C3712">
        <w:rPr>
          <w:rFonts w:ascii="Simplified Arabic" w:hAnsi="Simplified Arabic" w:cs="Simplified Arabic"/>
          <w:sz w:val="24"/>
          <w:szCs w:val="24"/>
          <w:rtl/>
          <w:lang w:val="en-US" w:bidi="ar-DZ"/>
        </w:rPr>
        <w:t xml:space="preserve"> </w:t>
      </w:r>
      <w:r w:rsidR="00D21839" w:rsidRPr="009C3712">
        <w:rPr>
          <w:rFonts w:ascii="Simplified Arabic" w:hAnsi="Simplified Arabic" w:cs="Simplified Arabic" w:hint="cs"/>
          <w:sz w:val="24"/>
          <w:szCs w:val="24"/>
          <w:rtl/>
          <w:lang w:val="en-US" w:bidi="ar-DZ"/>
        </w:rPr>
        <w:t>يمكن</w:t>
      </w:r>
      <w:r w:rsidR="00D21839" w:rsidRPr="009C3712">
        <w:rPr>
          <w:rFonts w:ascii="Simplified Arabic" w:hAnsi="Simplified Arabic" w:cs="Simplified Arabic"/>
          <w:sz w:val="24"/>
          <w:szCs w:val="24"/>
          <w:rtl/>
          <w:lang w:val="en-US" w:bidi="ar-DZ"/>
        </w:rPr>
        <w:t xml:space="preserve"> </w:t>
      </w:r>
      <w:r w:rsidR="00D21839" w:rsidRPr="009C3712">
        <w:rPr>
          <w:rFonts w:ascii="Simplified Arabic" w:hAnsi="Simplified Arabic" w:cs="Simplified Arabic" w:hint="cs"/>
          <w:sz w:val="24"/>
          <w:szCs w:val="24"/>
          <w:rtl/>
          <w:lang w:val="en-US" w:bidi="ar-DZ"/>
        </w:rPr>
        <w:t>الوصول</w:t>
      </w:r>
      <w:r w:rsidR="00D21839" w:rsidRPr="009C3712">
        <w:rPr>
          <w:rFonts w:ascii="Simplified Arabic" w:hAnsi="Simplified Arabic" w:cs="Simplified Arabic"/>
          <w:sz w:val="24"/>
          <w:szCs w:val="24"/>
          <w:rtl/>
          <w:lang w:val="en-US" w:bidi="ar-DZ"/>
        </w:rPr>
        <w:t xml:space="preserve"> </w:t>
      </w:r>
      <w:r w:rsidR="00D21839" w:rsidRPr="009C3712">
        <w:rPr>
          <w:rFonts w:ascii="Simplified Arabic" w:hAnsi="Simplified Arabic" w:cs="Simplified Arabic" w:hint="cs"/>
          <w:sz w:val="24"/>
          <w:szCs w:val="24"/>
          <w:rtl/>
          <w:lang w:val="en-US" w:bidi="ar-DZ"/>
        </w:rPr>
        <w:t xml:space="preserve">إليها، تتراوح النسب </w:t>
      </w:r>
      <w:r w:rsidR="00D21839" w:rsidRPr="009C3712">
        <w:rPr>
          <w:rFonts w:ascii="Simplified Arabic" w:hAnsi="Simplified Arabic" w:cs="Simplified Arabic" w:hint="cs"/>
          <w:sz w:val="24"/>
          <w:szCs w:val="24"/>
          <w:rtl/>
          <w:lang w:bidi="ar-DZ"/>
        </w:rPr>
        <w:t>بين</w:t>
      </w:r>
      <w:r w:rsidR="00D21839" w:rsidRPr="009C3712">
        <w:rPr>
          <w:rFonts w:ascii="Simplified Arabic" w:hAnsi="Simplified Arabic" w:cs="Simplified Arabic"/>
          <w:sz w:val="24"/>
          <w:szCs w:val="24"/>
          <w:rtl/>
          <w:lang w:bidi="ar-DZ"/>
        </w:rPr>
        <w:t xml:space="preserve"> </w:t>
      </w:r>
      <w:r w:rsidR="00D21839" w:rsidRPr="009C3712">
        <w:rPr>
          <w:rFonts w:ascii="Simplified Arabic" w:hAnsi="Simplified Arabic" w:cs="Simplified Arabic" w:hint="cs"/>
          <w:sz w:val="24"/>
          <w:szCs w:val="24"/>
          <w:rtl/>
          <w:lang w:bidi="ar-DZ"/>
        </w:rPr>
        <w:t>مسافة</w:t>
      </w:r>
      <w:r w:rsidR="00D21839" w:rsidRPr="009C3712">
        <w:rPr>
          <w:rFonts w:ascii="Simplified Arabic" w:hAnsi="Simplified Arabic" w:cs="Simplified Arabic"/>
          <w:sz w:val="24"/>
          <w:szCs w:val="24"/>
          <w:rtl/>
          <w:lang w:bidi="ar-DZ"/>
        </w:rPr>
        <w:t xml:space="preserve"> </w:t>
      </w:r>
      <w:r w:rsidR="00D21839" w:rsidRPr="009C3712">
        <w:rPr>
          <w:rFonts w:ascii="Simplified Arabic" w:hAnsi="Simplified Arabic" w:cs="Simplified Arabic" w:hint="cs"/>
          <w:sz w:val="24"/>
          <w:szCs w:val="24"/>
          <w:rtl/>
          <w:lang w:bidi="ar-DZ"/>
        </w:rPr>
        <w:t>شبكة</w:t>
      </w:r>
      <w:r w:rsidR="00D21839" w:rsidRPr="009C3712">
        <w:rPr>
          <w:rFonts w:ascii="Simplified Arabic" w:hAnsi="Simplified Arabic" w:cs="Simplified Arabic"/>
          <w:sz w:val="24"/>
          <w:szCs w:val="24"/>
          <w:rtl/>
          <w:lang w:bidi="ar-DZ"/>
        </w:rPr>
        <w:t xml:space="preserve"> </w:t>
      </w:r>
      <w:r w:rsidR="00D21839" w:rsidRPr="009C3712">
        <w:rPr>
          <w:rFonts w:ascii="Simplified Arabic" w:hAnsi="Simplified Arabic" w:cs="Simplified Arabic" w:hint="cs"/>
          <w:sz w:val="24"/>
          <w:szCs w:val="24"/>
          <w:rtl/>
          <w:lang w:bidi="ar-DZ"/>
        </w:rPr>
        <w:t>الشوارع والمسافة</w:t>
      </w:r>
      <w:r w:rsidR="00D21839" w:rsidRPr="009C3712">
        <w:rPr>
          <w:rFonts w:ascii="Simplified Arabic" w:hAnsi="Simplified Arabic" w:cs="Simplified Arabic"/>
          <w:sz w:val="24"/>
          <w:szCs w:val="24"/>
          <w:rtl/>
          <w:lang w:bidi="ar-DZ"/>
        </w:rPr>
        <w:t xml:space="preserve"> </w:t>
      </w:r>
      <w:r w:rsidR="00D21839" w:rsidRPr="009C3712">
        <w:rPr>
          <w:rFonts w:ascii="Simplified Arabic" w:hAnsi="Simplified Arabic" w:cs="Simplified Arabic" w:hint="cs"/>
          <w:sz w:val="24"/>
          <w:szCs w:val="24"/>
          <w:rtl/>
          <w:lang w:bidi="ar-DZ"/>
        </w:rPr>
        <w:t>الإقليدية</w:t>
      </w:r>
      <w:r w:rsidR="00D21839" w:rsidRPr="009C3712">
        <w:rPr>
          <w:rFonts w:ascii="Simplified Arabic" w:hAnsi="Simplified Arabic" w:cs="Simplified Arabic" w:hint="cs"/>
          <w:sz w:val="24"/>
          <w:szCs w:val="24"/>
          <w:rtl/>
          <w:lang w:val="en-US" w:bidi="ar-DZ"/>
        </w:rPr>
        <w:t xml:space="preserve"> من</w:t>
      </w:r>
      <w:r w:rsidR="00A7555A" w:rsidRPr="009C3712">
        <w:rPr>
          <w:rFonts w:ascii="Simplified Arabic" w:hAnsi="Simplified Arabic" w:cs="Simplified Arabic" w:hint="cs"/>
          <w:sz w:val="24"/>
          <w:szCs w:val="24"/>
          <w:rtl/>
          <w:lang w:val="en-US" w:bidi="ar-DZ"/>
        </w:rPr>
        <w:t xml:space="preserve"> </w:t>
      </w:r>
      <w:r w:rsidR="00CF627C" w:rsidRPr="009C3712">
        <w:rPr>
          <w:rFonts w:ascii="Simplified Arabic" w:hAnsi="Simplified Arabic" w:cs="Simplified Arabic" w:hint="cs"/>
          <w:sz w:val="24"/>
          <w:szCs w:val="24"/>
          <w:rtl/>
          <w:lang w:val="en-US" w:bidi="ar-DZ"/>
        </w:rPr>
        <w:t>0.</w:t>
      </w:r>
      <w:r w:rsidR="000915D5" w:rsidRPr="009C3712">
        <w:rPr>
          <w:rFonts w:ascii="Simplified Arabic" w:hAnsi="Simplified Arabic" w:cs="Simplified Arabic" w:hint="cs"/>
          <w:sz w:val="24"/>
          <w:szCs w:val="24"/>
          <w:rtl/>
          <w:lang w:val="en-US" w:bidi="ar-DZ"/>
        </w:rPr>
        <w:t>39</w:t>
      </w:r>
      <w:r w:rsidR="00CF627C" w:rsidRPr="009C3712">
        <w:rPr>
          <w:rFonts w:ascii="Simplified Arabic" w:hAnsi="Simplified Arabic" w:cs="Simplified Arabic" w:hint="cs"/>
          <w:sz w:val="24"/>
          <w:szCs w:val="24"/>
          <w:rtl/>
          <w:lang w:val="en-US" w:bidi="ar-DZ"/>
        </w:rPr>
        <w:t xml:space="preserve"> </w:t>
      </w:r>
      <w:r w:rsidR="00D21839" w:rsidRPr="009C3712">
        <w:rPr>
          <w:rFonts w:ascii="Simplified Arabic" w:hAnsi="Simplified Arabic" w:cs="Simplified Arabic" w:hint="cs"/>
          <w:sz w:val="24"/>
          <w:szCs w:val="24"/>
          <w:rtl/>
          <w:lang w:val="en-US" w:bidi="ar-DZ"/>
        </w:rPr>
        <w:t>الى</w:t>
      </w:r>
      <w:r w:rsidR="00CF627C" w:rsidRPr="009C3712">
        <w:rPr>
          <w:rFonts w:ascii="Simplified Arabic" w:hAnsi="Simplified Arabic" w:cs="Simplified Arabic" w:hint="cs"/>
          <w:sz w:val="24"/>
          <w:szCs w:val="24"/>
          <w:rtl/>
          <w:lang w:val="en-US" w:bidi="ar-DZ"/>
        </w:rPr>
        <w:t xml:space="preserve"> 0.</w:t>
      </w:r>
      <w:r w:rsidR="00A7555A" w:rsidRPr="009C3712">
        <w:rPr>
          <w:rFonts w:ascii="Simplified Arabic" w:hAnsi="Simplified Arabic" w:cs="Simplified Arabic" w:hint="cs"/>
          <w:sz w:val="24"/>
          <w:szCs w:val="24"/>
          <w:rtl/>
          <w:lang w:val="en-US" w:bidi="ar-DZ"/>
        </w:rPr>
        <w:t>48</w:t>
      </w:r>
      <w:r w:rsidR="00CF627C" w:rsidRPr="009C3712">
        <w:rPr>
          <w:rFonts w:ascii="Simplified Arabic" w:hAnsi="Simplified Arabic" w:cs="Simplified Arabic" w:hint="cs"/>
          <w:sz w:val="24"/>
          <w:szCs w:val="24"/>
          <w:rtl/>
          <w:lang w:val="en-US" w:bidi="ar-DZ"/>
        </w:rPr>
        <w:t>، كما هو موضح في الشكل (6-</w:t>
      </w:r>
      <w:r w:rsidR="005373F7" w:rsidRPr="009C3712">
        <w:rPr>
          <w:rFonts w:ascii="Simplified Arabic" w:hAnsi="Simplified Arabic" w:cs="Simplified Arabic" w:hint="cs"/>
          <w:sz w:val="24"/>
          <w:szCs w:val="24"/>
          <w:rtl/>
          <w:lang w:val="en-US" w:bidi="ar-DZ"/>
        </w:rPr>
        <w:t>14</w:t>
      </w:r>
      <w:r w:rsidR="00CF627C" w:rsidRPr="009C3712">
        <w:rPr>
          <w:rFonts w:ascii="Simplified Arabic" w:hAnsi="Simplified Arabic" w:cs="Simplified Arabic" w:hint="cs"/>
          <w:sz w:val="24"/>
          <w:szCs w:val="24"/>
          <w:rtl/>
          <w:lang w:val="en-US" w:bidi="ar-DZ"/>
        </w:rPr>
        <w:t>)</w:t>
      </w:r>
      <w:r w:rsidR="00D316BB" w:rsidRPr="009C3712">
        <w:rPr>
          <w:rFonts w:ascii="Simplified Arabic" w:hAnsi="Simplified Arabic" w:cs="Simplified Arabic" w:hint="cs"/>
          <w:sz w:val="24"/>
          <w:szCs w:val="24"/>
          <w:rtl/>
          <w:lang w:val="en-US" w:bidi="ar-DZ"/>
        </w:rPr>
        <w:t xml:space="preserve"> وهي قيم</w:t>
      </w:r>
      <w:r w:rsidR="00D316BB" w:rsidRPr="009C3712">
        <w:rPr>
          <w:rFonts w:ascii="Simplified Arabic" w:hAnsi="Simplified Arabic" w:cs="Simplified Arabic"/>
          <w:sz w:val="24"/>
          <w:szCs w:val="24"/>
          <w:rtl/>
          <w:lang w:val="en-US" w:bidi="ar-DZ"/>
        </w:rPr>
        <w:t xml:space="preserve"> </w:t>
      </w:r>
      <w:r w:rsidR="00D316BB" w:rsidRPr="009C3712">
        <w:rPr>
          <w:rFonts w:ascii="Simplified Arabic" w:hAnsi="Simplified Arabic" w:cs="Simplified Arabic" w:hint="cs"/>
          <w:sz w:val="24"/>
          <w:szCs w:val="24"/>
          <w:rtl/>
          <w:lang w:val="en-US" w:bidi="ar-DZ"/>
        </w:rPr>
        <w:t>اكبر</w:t>
      </w:r>
      <w:r w:rsidR="00D316BB" w:rsidRPr="009C3712">
        <w:rPr>
          <w:rFonts w:ascii="Simplified Arabic" w:hAnsi="Simplified Arabic" w:cs="Simplified Arabic"/>
          <w:sz w:val="24"/>
          <w:szCs w:val="24"/>
          <w:rtl/>
          <w:lang w:val="en-US" w:bidi="ar-DZ"/>
        </w:rPr>
        <w:t xml:space="preserve"> </w:t>
      </w:r>
      <w:r w:rsidR="00D316BB" w:rsidRPr="009C3712">
        <w:rPr>
          <w:rFonts w:ascii="Simplified Arabic" w:hAnsi="Simplified Arabic" w:cs="Simplified Arabic" w:hint="cs"/>
          <w:sz w:val="24"/>
          <w:szCs w:val="24"/>
          <w:rtl/>
          <w:lang w:val="en-US" w:bidi="ar-DZ"/>
        </w:rPr>
        <w:t>مقارنة</w:t>
      </w:r>
      <w:r w:rsidR="00D316BB" w:rsidRPr="009C3712">
        <w:rPr>
          <w:rFonts w:ascii="Simplified Arabic" w:hAnsi="Simplified Arabic" w:cs="Simplified Arabic"/>
          <w:sz w:val="24"/>
          <w:szCs w:val="24"/>
          <w:rtl/>
          <w:lang w:val="en-US" w:bidi="ar-DZ"/>
        </w:rPr>
        <w:t xml:space="preserve"> </w:t>
      </w:r>
      <w:r w:rsidR="00D316BB" w:rsidRPr="009C3712">
        <w:rPr>
          <w:rFonts w:ascii="Simplified Arabic" w:hAnsi="Simplified Arabic" w:cs="Simplified Arabic" w:hint="cs"/>
          <w:sz w:val="24"/>
          <w:szCs w:val="24"/>
          <w:rtl/>
          <w:lang w:val="en-US" w:bidi="ar-DZ"/>
        </w:rPr>
        <w:t>مع الفئة</w:t>
      </w:r>
      <w:r w:rsidR="00D316BB" w:rsidRPr="009C3712">
        <w:rPr>
          <w:rFonts w:ascii="Simplified Arabic" w:hAnsi="Simplified Arabic" w:cs="Simplified Arabic"/>
          <w:sz w:val="24"/>
          <w:szCs w:val="24"/>
          <w:rtl/>
          <w:lang w:val="en-US" w:bidi="ar-DZ"/>
        </w:rPr>
        <w:t xml:space="preserve"> </w:t>
      </w:r>
      <w:r w:rsidR="00D316BB" w:rsidRPr="009C3712">
        <w:rPr>
          <w:rFonts w:ascii="Simplified Arabic" w:hAnsi="Simplified Arabic" w:cs="Simplified Arabic" w:hint="cs"/>
          <w:sz w:val="24"/>
          <w:szCs w:val="24"/>
          <w:rtl/>
          <w:lang w:val="en-US" w:bidi="ar-DZ"/>
        </w:rPr>
        <w:t xml:space="preserve">(أ) واقل </w:t>
      </w:r>
      <w:r w:rsidR="00D21839" w:rsidRPr="009C3712">
        <w:rPr>
          <w:rFonts w:ascii="Simplified Arabic" w:hAnsi="Simplified Arabic" w:cs="Simplified Arabic" w:hint="cs"/>
          <w:sz w:val="24"/>
          <w:szCs w:val="24"/>
          <w:rtl/>
          <w:lang w:val="en-US" w:bidi="ar-DZ"/>
        </w:rPr>
        <w:t>من</w:t>
      </w:r>
      <w:r w:rsidR="00D316BB" w:rsidRPr="009C3712">
        <w:rPr>
          <w:rFonts w:ascii="Simplified Arabic" w:hAnsi="Simplified Arabic" w:cs="Simplified Arabic" w:hint="cs"/>
          <w:sz w:val="24"/>
          <w:szCs w:val="24"/>
          <w:rtl/>
          <w:lang w:val="en-US" w:bidi="ar-DZ"/>
        </w:rPr>
        <w:t xml:space="preserve"> الفئة (ب)</w:t>
      </w:r>
      <w:r w:rsidR="00D21839" w:rsidRPr="009C3712">
        <w:rPr>
          <w:rFonts w:ascii="Simplified Arabic" w:hAnsi="Simplified Arabic" w:cs="Simplified Arabic" w:hint="cs"/>
          <w:sz w:val="24"/>
          <w:szCs w:val="24"/>
          <w:rtl/>
          <w:lang w:val="en-US" w:bidi="ar-DZ"/>
        </w:rPr>
        <w:t>.</w:t>
      </w:r>
      <w:r w:rsidRPr="009C3712">
        <w:rPr>
          <w:rFonts w:ascii="Simplified Arabic" w:hAnsi="Simplified Arabic" w:cs="Simplified Arabic" w:hint="cs"/>
          <w:sz w:val="24"/>
          <w:szCs w:val="24"/>
          <w:rtl/>
          <w:lang w:val="en-US" w:bidi="ar-DZ"/>
        </w:rPr>
        <w:t xml:space="preserve"> مما</w:t>
      </w:r>
      <w:r w:rsidRPr="009C3712">
        <w:rPr>
          <w:rFonts w:ascii="Simplified Arabic" w:hAnsi="Simplified Arabic" w:cs="Simplified Arabic"/>
          <w:sz w:val="24"/>
          <w:szCs w:val="24"/>
          <w:rtl/>
          <w:lang w:val="en-US" w:bidi="ar-DZ"/>
        </w:rPr>
        <w:t xml:space="preserve"> </w:t>
      </w:r>
      <w:r w:rsidRPr="009C3712">
        <w:rPr>
          <w:rFonts w:ascii="Simplified Arabic" w:hAnsi="Simplified Arabic" w:cs="Simplified Arabic" w:hint="cs"/>
          <w:sz w:val="24"/>
          <w:szCs w:val="24"/>
          <w:rtl/>
          <w:lang w:val="en-US" w:bidi="ar-DZ"/>
        </w:rPr>
        <w:t>يدل على</w:t>
      </w:r>
      <w:r w:rsidRPr="009C3712">
        <w:rPr>
          <w:rFonts w:ascii="Simplified Arabic" w:hAnsi="Simplified Arabic" w:cs="Simplified Arabic"/>
          <w:sz w:val="24"/>
          <w:szCs w:val="24"/>
          <w:rtl/>
          <w:lang w:val="en-US" w:bidi="ar-DZ"/>
        </w:rPr>
        <w:t xml:space="preserve"> </w:t>
      </w:r>
      <w:r w:rsidRPr="009C3712">
        <w:rPr>
          <w:rFonts w:ascii="Simplified Arabic" w:hAnsi="Simplified Arabic" w:cs="Simplified Arabic" w:hint="cs"/>
          <w:sz w:val="24"/>
          <w:szCs w:val="24"/>
          <w:rtl/>
          <w:lang w:val="en-US" w:bidi="ar-DZ"/>
        </w:rPr>
        <w:t>مستوى</w:t>
      </w:r>
      <w:r w:rsidRPr="009C3712">
        <w:rPr>
          <w:rFonts w:ascii="Simplified Arabic" w:hAnsi="Simplified Arabic" w:cs="Simplified Arabic"/>
          <w:sz w:val="24"/>
          <w:szCs w:val="24"/>
          <w:rtl/>
          <w:lang w:val="en-US" w:bidi="ar-DZ"/>
        </w:rPr>
        <w:t xml:space="preserve"> </w:t>
      </w:r>
      <w:r w:rsidR="00603244" w:rsidRPr="009C3712">
        <w:rPr>
          <w:rFonts w:ascii="Simplified Arabic" w:hAnsi="Simplified Arabic" w:cs="Simplified Arabic" w:hint="cs"/>
          <w:sz w:val="24"/>
          <w:szCs w:val="24"/>
          <w:rtl/>
          <w:lang w:val="en-US" w:bidi="ar-DZ"/>
        </w:rPr>
        <w:t>متوسط</w:t>
      </w:r>
      <w:r w:rsidRPr="009C3712">
        <w:rPr>
          <w:rFonts w:ascii="Simplified Arabic" w:hAnsi="Simplified Arabic" w:cs="Simplified Arabic" w:hint="cs"/>
          <w:sz w:val="24"/>
          <w:szCs w:val="24"/>
          <w:rtl/>
          <w:lang w:val="en-US" w:bidi="ar-DZ"/>
        </w:rPr>
        <w:t xml:space="preserve"> لإمكانية</w:t>
      </w:r>
      <w:r w:rsidRPr="009C3712">
        <w:rPr>
          <w:rFonts w:ascii="Simplified Arabic" w:hAnsi="Simplified Arabic" w:cs="Simplified Arabic"/>
          <w:sz w:val="24"/>
          <w:szCs w:val="24"/>
          <w:rtl/>
          <w:lang w:val="en-US" w:bidi="ar-DZ"/>
        </w:rPr>
        <w:t xml:space="preserve"> </w:t>
      </w:r>
      <w:r w:rsidR="002713DB" w:rsidRPr="009C3712">
        <w:rPr>
          <w:rFonts w:ascii="Simplified Arabic" w:hAnsi="Simplified Arabic" w:cs="Simplified Arabic" w:hint="cs"/>
          <w:sz w:val="24"/>
          <w:szCs w:val="24"/>
          <w:rtl/>
          <w:lang w:val="en-US" w:bidi="ar-DZ"/>
        </w:rPr>
        <w:t>ال</w:t>
      </w:r>
      <w:r w:rsidRPr="009C3712">
        <w:rPr>
          <w:rFonts w:ascii="Simplified Arabic" w:hAnsi="Simplified Arabic" w:cs="Simplified Arabic" w:hint="cs"/>
          <w:sz w:val="24"/>
          <w:szCs w:val="24"/>
          <w:rtl/>
          <w:lang w:val="en-US" w:bidi="ar-DZ"/>
        </w:rPr>
        <w:t>وصول</w:t>
      </w:r>
      <w:r w:rsidRPr="009C3712">
        <w:rPr>
          <w:rFonts w:ascii="Simplified Arabic" w:hAnsi="Simplified Arabic" w:cs="Simplified Arabic"/>
          <w:sz w:val="24"/>
          <w:szCs w:val="24"/>
          <w:rtl/>
          <w:lang w:val="en-US" w:bidi="ar-DZ"/>
        </w:rPr>
        <w:t xml:space="preserve"> </w:t>
      </w:r>
      <w:r w:rsidRPr="009C3712">
        <w:rPr>
          <w:rFonts w:ascii="Simplified Arabic" w:hAnsi="Simplified Arabic" w:cs="Simplified Arabic" w:hint="cs"/>
          <w:sz w:val="24"/>
          <w:szCs w:val="24"/>
          <w:rtl/>
          <w:lang w:val="en-US" w:bidi="ar-DZ"/>
        </w:rPr>
        <w:t>إلى</w:t>
      </w:r>
      <w:r w:rsidRPr="009C3712">
        <w:rPr>
          <w:rFonts w:ascii="Simplified Arabic" w:hAnsi="Simplified Arabic" w:cs="Simplified Arabic"/>
          <w:sz w:val="24"/>
          <w:szCs w:val="24"/>
          <w:rtl/>
          <w:lang w:val="en-US" w:bidi="ar-DZ"/>
        </w:rPr>
        <w:t xml:space="preserve"> </w:t>
      </w:r>
      <w:r w:rsidRPr="009C3712">
        <w:rPr>
          <w:rFonts w:ascii="Simplified Arabic" w:hAnsi="Simplified Arabic" w:cs="Simplified Arabic" w:hint="cs"/>
          <w:sz w:val="24"/>
          <w:szCs w:val="24"/>
          <w:rtl/>
          <w:lang w:val="en-US" w:bidi="ar-DZ"/>
        </w:rPr>
        <w:t>جميع</w:t>
      </w:r>
      <w:r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ال</w:t>
      </w:r>
      <w:r w:rsidR="004A0667" w:rsidRPr="009C3712">
        <w:rPr>
          <w:rFonts w:ascii="Simplified Arabic" w:hAnsi="Simplified Arabic" w:cs="Simplified Arabic" w:hint="cs"/>
          <w:sz w:val="24"/>
          <w:szCs w:val="24"/>
          <w:rtl/>
          <w:lang w:val="en-US" w:bidi="ar-DZ"/>
        </w:rPr>
        <w:t>و</w:t>
      </w:r>
      <w:r w:rsidR="00CF627C" w:rsidRPr="009C3712">
        <w:rPr>
          <w:rFonts w:ascii="Simplified Arabic" w:hAnsi="Simplified Arabic" w:cs="Simplified Arabic" w:hint="cs"/>
          <w:sz w:val="24"/>
          <w:szCs w:val="24"/>
          <w:rtl/>
          <w:lang w:val="en-US" w:bidi="ar-DZ"/>
        </w:rPr>
        <w:t>جهات</w:t>
      </w:r>
      <w:r w:rsidRPr="009C3712">
        <w:rPr>
          <w:rFonts w:ascii="Simplified Arabic" w:hAnsi="Simplified Arabic" w:cs="Simplified Arabic"/>
          <w:sz w:val="24"/>
          <w:szCs w:val="24"/>
          <w:rtl/>
          <w:lang w:val="en-US" w:bidi="ar-DZ"/>
        </w:rPr>
        <w:t xml:space="preserve"> </w:t>
      </w:r>
      <w:r w:rsidRPr="009C3712">
        <w:rPr>
          <w:rFonts w:ascii="Simplified Arabic" w:hAnsi="Simplified Arabic" w:cs="Simplified Arabic" w:hint="cs"/>
          <w:sz w:val="24"/>
          <w:szCs w:val="24"/>
          <w:rtl/>
          <w:lang w:val="en-US" w:bidi="ar-DZ"/>
        </w:rPr>
        <w:t xml:space="preserve">المحتملة </w:t>
      </w:r>
      <w:r w:rsidR="002713DB" w:rsidRPr="009C3712">
        <w:rPr>
          <w:rFonts w:ascii="Simplified Arabic" w:hAnsi="Simplified Arabic" w:cs="Simplified Arabic" w:hint="cs"/>
          <w:sz w:val="24"/>
          <w:szCs w:val="24"/>
          <w:rtl/>
          <w:lang w:val="en-US" w:bidi="ar-DZ"/>
        </w:rPr>
        <w:t>لحي سيدي سليمان.</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يرتبط</w:t>
      </w:r>
      <w:r w:rsidR="00CF627C" w:rsidRPr="009C3712">
        <w:rPr>
          <w:rFonts w:ascii="Simplified Arabic" w:hAnsi="Simplified Arabic" w:cs="Simplified Arabic"/>
          <w:sz w:val="24"/>
          <w:szCs w:val="24"/>
          <w:rtl/>
          <w:lang w:val="en-US" w:bidi="ar-DZ"/>
        </w:rPr>
        <w:t xml:space="preserve"> </w:t>
      </w:r>
      <w:r w:rsidR="002713DB" w:rsidRPr="009C3712">
        <w:rPr>
          <w:rFonts w:ascii="Simplified Arabic" w:hAnsi="Simplified Arabic" w:cs="Simplified Arabic" w:hint="cs"/>
          <w:sz w:val="24"/>
          <w:szCs w:val="24"/>
          <w:rtl/>
          <w:lang w:val="en-US" w:bidi="ar-DZ"/>
        </w:rPr>
        <w:t xml:space="preserve">ذلك </w:t>
      </w:r>
      <w:r w:rsidR="00CF627C" w:rsidRPr="009C3712">
        <w:rPr>
          <w:rFonts w:ascii="Simplified Arabic" w:hAnsi="Simplified Arabic" w:cs="Simplified Arabic" w:hint="cs"/>
          <w:sz w:val="24"/>
          <w:szCs w:val="24"/>
          <w:rtl/>
          <w:lang w:val="en-US" w:bidi="ar-DZ"/>
        </w:rPr>
        <w:t>بثلاثة</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عوامل</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مهمة</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تقسيمات</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 xml:space="preserve">فرعية </w:t>
      </w:r>
      <w:r w:rsidR="00603244" w:rsidRPr="009C3712">
        <w:rPr>
          <w:rFonts w:ascii="Simplified Arabic" w:hAnsi="Simplified Arabic" w:cs="Simplified Arabic" w:hint="cs"/>
          <w:sz w:val="24"/>
          <w:szCs w:val="24"/>
          <w:rtl/>
          <w:lang w:val="en-US" w:bidi="ar-DZ"/>
        </w:rPr>
        <w:t>صغيرة</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وعدد</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معتبر</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من</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المباني</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ذات</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مساحة</w:t>
      </w:r>
      <w:r w:rsidR="00CF627C" w:rsidRPr="009C3712">
        <w:rPr>
          <w:rFonts w:ascii="Simplified Arabic" w:hAnsi="Simplified Arabic" w:cs="Simplified Arabic"/>
          <w:sz w:val="24"/>
          <w:szCs w:val="24"/>
          <w:rtl/>
          <w:lang w:val="en-US" w:bidi="ar-DZ"/>
        </w:rPr>
        <w:t xml:space="preserve"> </w:t>
      </w:r>
      <w:r w:rsidR="00CF627C" w:rsidRPr="009C3712">
        <w:rPr>
          <w:rFonts w:ascii="Simplified Arabic" w:hAnsi="Simplified Arabic" w:cs="Simplified Arabic" w:hint="cs"/>
          <w:sz w:val="24"/>
          <w:szCs w:val="24"/>
          <w:rtl/>
          <w:lang w:val="en-US" w:bidi="ar-DZ"/>
        </w:rPr>
        <w:t>بناء متوسطة (</w:t>
      </w:r>
      <w:r w:rsidR="00603244" w:rsidRPr="009C3712">
        <w:rPr>
          <w:rFonts w:ascii="Simplified Arabic" w:hAnsi="Simplified Arabic" w:cs="Simplified Arabic" w:hint="cs"/>
          <w:sz w:val="24"/>
          <w:szCs w:val="24"/>
          <w:rtl/>
          <w:lang w:val="en-US" w:bidi="ar-DZ"/>
        </w:rPr>
        <w:t>اقل</w:t>
      </w:r>
      <w:r w:rsidR="00CF627C" w:rsidRPr="009C3712">
        <w:rPr>
          <w:rFonts w:ascii="Simplified Arabic" w:hAnsi="Simplified Arabic" w:cs="Simplified Arabic" w:hint="cs"/>
          <w:sz w:val="24"/>
          <w:szCs w:val="24"/>
          <w:rtl/>
          <w:lang w:val="en-US" w:bidi="ar-DZ"/>
        </w:rPr>
        <w:t xml:space="preserve"> من</w:t>
      </w:r>
      <w:r w:rsidR="00CF627C" w:rsidRPr="009C3712">
        <w:rPr>
          <w:rFonts w:ascii="Simplified Arabic" w:hAnsi="Simplified Arabic" w:cs="Simplified Arabic" w:hint="cs"/>
          <w:sz w:val="24"/>
          <w:szCs w:val="24"/>
          <w:rtl/>
        </w:rPr>
        <w:t xml:space="preserve"> 1</w:t>
      </w:r>
      <w:r w:rsidR="00AF3640" w:rsidRPr="009C3712">
        <w:rPr>
          <w:rFonts w:ascii="Simplified Arabic" w:hAnsi="Simplified Arabic" w:cs="Simplified Arabic" w:hint="cs"/>
          <w:sz w:val="24"/>
          <w:szCs w:val="24"/>
          <w:rtl/>
        </w:rPr>
        <w:t>8</w:t>
      </w:r>
      <w:r w:rsidR="00CF627C" w:rsidRPr="009C3712">
        <w:rPr>
          <w:rFonts w:ascii="Simplified Arabic" w:hAnsi="Simplified Arabic" w:cs="Simplified Arabic" w:hint="cs"/>
          <w:sz w:val="24"/>
          <w:szCs w:val="24"/>
          <w:rtl/>
        </w:rPr>
        <w:t>0م</w:t>
      </w:r>
      <w:r w:rsidR="00CF627C" w:rsidRPr="009C3712">
        <w:rPr>
          <w:rFonts w:ascii="Simplified Arabic" w:hAnsi="Simplified Arabic" w:cs="Simplified Arabic" w:hint="cs"/>
          <w:sz w:val="24"/>
          <w:szCs w:val="24"/>
          <w:vertAlign w:val="superscript"/>
          <w:rtl/>
        </w:rPr>
        <w:t>2</w:t>
      </w:r>
      <w:r w:rsidR="00CF627C" w:rsidRPr="009C3712">
        <w:rPr>
          <w:rFonts w:ascii="Simplified Arabic" w:hAnsi="Simplified Arabic" w:cs="Simplified Arabic" w:hint="cs"/>
          <w:sz w:val="24"/>
          <w:szCs w:val="24"/>
          <w:rtl/>
        </w:rPr>
        <w:t xml:space="preserve">) </w:t>
      </w:r>
      <w:r w:rsidR="00CF627C" w:rsidRPr="009C3712">
        <w:rPr>
          <w:rFonts w:ascii="Simplified Arabic" w:hAnsi="Simplified Arabic" w:cs="Simplified Arabic" w:hint="cs"/>
          <w:sz w:val="24"/>
          <w:szCs w:val="24"/>
          <w:rtl/>
          <w:lang w:val="en-US" w:bidi="ar-DZ"/>
        </w:rPr>
        <w:t xml:space="preserve">ووجود </w:t>
      </w:r>
      <w:r w:rsidR="00CF627C" w:rsidRPr="009C3712">
        <w:rPr>
          <w:rFonts w:ascii="Simplified Arabic" w:hAnsi="Simplified Arabic" w:cs="Simplified Arabic" w:hint="cs"/>
          <w:sz w:val="24"/>
          <w:szCs w:val="24"/>
          <w:rtl/>
        </w:rPr>
        <w:t>طرق</w:t>
      </w:r>
      <w:r w:rsidR="00CF627C" w:rsidRPr="009C3712">
        <w:rPr>
          <w:rFonts w:ascii="Simplified Arabic" w:hAnsi="Simplified Arabic" w:cs="Simplified Arabic"/>
          <w:sz w:val="24"/>
          <w:szCs w:val="24"/>
          <w:rtl/>
        </w:rPr>
        <w:t xml:space="preserve"> </w:t>
      </w:r>
      <w:r w:rsidR="004A0667" w:rsidRPr="009C3712">
        <w:rPr>
          <w:rFonts w:ascii="Simplified Arabic" w:hAnsi="Simplified Arabic" w:cs="Simplified Arabic" w:hint="cs"/>
          <w:sz w:val="24"/>
          <w:szCs w:val="24"/>
          <w:rtl/>
          <w:lang w:val="en-US" w:bidi="ar-DZ"/>
        </w:rPr>
        <w:t>شطرنجية</w:t>
      </w:r>
      <w:r w:rsidR="004A0667" w:rsidRPr="009C3712">
        <w:rPr>
          <w:rFonts w:ascii="Simplified Arabic" w:hAnsi="Simplified Arabic" w:cs="Simplified Arabic"/>
          <w:sz w:val="24"/>
          <w:szCs w:val="24"/>
          <w:rtl/>
        </w:rPr>
        <w:t xml:space="preserve"> </w:t>
      </w:r>
      <w:r w:rsidR="00CF627C" w:rsidRPr="009C3712">
        <w:rPr>
          <w:rFonts w:ascii="Simplified Arabic" w:hAnsi="Simplified Arabic" w:cs="Simplified Arabic" w:hint="cs"/>
          <w:sz w:val="24"/>
          <w:szCs w:val="24"/>
          <w:rtl/>
        </w:rPr>
        <w:t>واسعة</w:t>
      </w:r>
      <w:r w:rsidR="004A0667" w:rsidRPr="009C3712">
        <w:rPr>
          <w:rFonts w:ascii="Simplified Arabic" w:hAnsi="Simplified Arabic" w:cs="Simplified Arabic" w:hint="cs"/>
          <w:sz w:val="24"/>
          <w:szCs w:val="24"/>
          <w:rtl/>
        </w:rPr>
        <w:t xml:space="preserve"> واحيانًا تميل الى ان تكون ضيقة</w:t>
      </w:r>
      <w:r w:rsidR="004A0667" w:rsidRPr="009C3712">
        <w:rPr>
          <w:rFonts w:ascii="Simplified Arabic" w:hAnsi="Simplified Arabic" w:cs="Simplified Arabic" w:hint="cs"/>
          <w:sz w:val="24"/>
          <w:szCs w:val="24"/>
          <w:rtl/>
          <w:lang w:val="en-US"/>
        </w:rPr>
        <w:t>، مما ي</w:t>
      </w:r>
      <w:r w:rsidR="004A0667" w:rsidRPr="009C3712">
        <w:rPr>
          <w:rFonts w:ascii="Simplified Arabic" w:hAnsi="Simplified Arabic" w:cs="Simplified Arabic" w:hint="cs"/>
          <w:color w:val="000000" w:themeColor="text1"/>
          <w:sz w:val="24"/>
          <w:szCs w:val="24"/>
          <w:rtl/>
        </w:rPr>
        <w:t>قلل ذلك</w:t>
      </w:r>
      <w:r w:rsidR="00CF627C" w:rsidRPr="009C3712">
        <w:rPr>
          <w:rFonts w:ascii="Simplified Arabic" w:hAnsi="Simplified Arabic" w:cs="Simplified Arabic" w:hint="cs"/>
          <w:color w:val="000000" w:themeColor="text1"/>
          <w:sz w:val="24"/>
          <w:szCs w:val="24"/>
          <w:rtl/>
        </w:rPr>
        <w:t xml:space="preserve"> من </w:t>
      </w:r>
      <w:r w:rsidR="00CF627C" w:rsidRPr="009C3712">
        <w:rPr>
          <w:rFonts w:ascii="Simplified Arabic" w:hAnsi="Simplified Arabic" w:cs="Simplified Arabic" w:hint="cs"/>
          <w:sz w:val="24"/>
          <w:szCs w:val="24"/>
          <w:rtl/>
        </w:rPr>
        <w:t xml:space="preserve">امكانية الوصول نحو </w:t>
      </w:r>
      <w:r w:rsidR="004A0667" w:rsidRPr="009C3712">
        <w:rPr>
          <w:rFonts w:ascii="Simplified Arabic" w:hAnsi="Simplified Arabic" w:cs="Simplified Arabic" w:hint="cs"/>
          <w:sz w:val="24"/>
          <w:szCs w:val="24"/>
          <w:rtl/>
        </w:rPr>
        <w:t>ال</w:t>
      </w:r>
      <w:r w:rsidR="00CF627C" w:rsidRPr="009C3712">
        <w:rPr>
          <w:rFonts w:ascii="Simplified Arabic" w:hAnsi="Simplified Arabic" w:cs="Simplified Arabic" w:hint="cs"/>
          <w:sz w:val="24"/>
          <w:szCs w:val="24"/>
          <w:rtl/>
        </w:rPr>
        <w:t xml:space="preserve">وجهات </w:t>
      </w:r>
      <w:r w:rsidR="004A0667" w:rsidRPr="009C3712">
        <w:rPr>
          <w:rFonts w:ascii="Simplified Arabic" w:hAnsi="Simplified Arabic" w:cs="Simplified Arabic" w:hint="cs"/>
          <w:sz w:val="24"/>
          <w:szCs w:val="24"/>
          <w:rtl/>
        </w:rPr>
        <w:t>ال</w:t>
      </w:r>
      <w:r w:rsidR="00CF627C" w:rsidRPr="009C3712">
        <w:rPr>
          <w:rFonts w:ascii="Simplified Arabic" w:hAnsi="Simplified Arabic" w:cs="Simplified Arabic" w:hint="cs"/>
          <w:sz w:val="24"/>
          <w:szCs w:val="24"/>
          <w:rtl/>
        </w:rPr>
        <w:t>مختلفة</w:t>
      </w:r>
      <w:r w:rsidR="004A0667" w:rsidRPr="009C3712">
        <w:rPr>
          <w:rFonts w:ascii="Simplified Arabic" w:hAnsi="Simplified Arabic" w:cs="Simplified Arabic" w:hint="cs"/>
          <w:sz w:val="24"/>
          <w:szCs w:val="24"/>
          <w:rtl/>
        </w:rPr>
        <w:t xml:space="preserve"> للمباني</w:t>
      </w:r>
      <w:r w:rsidR="00CF627C" w:rsidRPr="009C3712">
        <w:rPr>
          <w:rFonts w:ascii="Simplified Arabic" w:hAnsi="Simplified Arabic" w:cs="Simplified Arabic" w:hint="cs"/>
          <w:sz w:val="24"/>
          <w:szCs w:val="24"/>
          <w:rtl/>
        </w:rPr>
        <w:t xml:space="preserve">، </w:t>
      </w:r>
      <w:r w:rsidR="002713DB" w:rsidRPr="009C3712">
        <w:rPr>
          <w:rFonts w:ascii="Simplified Arabic" w:hAnsi="Simplified Arabic" w:cs="Simplified Arabic"/>
          <w:sz w:val="24"/>
          <w:szCs w:val="24"/>
          <w:rtl/>
        </w:rPr>
        <w:t>بالتالي</w:t>
      </w:r>
      <w:r w:rsidR="002713DB" w:rsidRPr="009C3712">
        <w:rPr>
          <w:rFonts w:ascii="Simplified Arabic" w:hAnsi="Simplified Arabic" w:cs="Simplified Arabic" w:hint="cs"/>
          <w:sz w:val="24"/>
          <w:szCs w:val="24"/>
          <w:rtl/>
        </w:rPr>
        <w:t>،</w:t>
      </w:r>
      <w:r w:rsidR="002713DB" w:rsidRPr="009C3712">
        <w:rPr>
          <w:rFonts w:ascii="Simplified Arabic" w:hAnsi="Simplified Arabic" w:cs="Simplified Arabic"/>
          <w:sz w:val="24"/>
          <w:szCs w:val="24"/>
          <w:rtl/>
        </w:rPr>
        <w:t xml:space="preserve"> تحقق </w:t>
      </w:r>
      <w:r w:rsidR="002713DB" w:rsidRPr="009C3712">
        <w:rPr>
          <w:rFonts w:ascii="Simplified Arabic" w:hAnsi="Simplified Arabic" w:cs="Simplified Arabic" w:hint="cs"/>
          <w:sz w:val="24"/>
          <w:szCs w:val="24"/>
          <w:rtl/>
          <w:lang w:val="en-US" w:bidi="ar-DZ"/>
        </w:rPr>
        <w:t>فئة النسيج الحضري (</w:t>
      </w:r>
      <w:r w:rsidR="004A0667" w:rsidRPr="009C3712">
        <w:rPr>
          <w:rFonts w:ascii="Simplified Arabic" w:hAnsi="Simplified Arabic" w:cs="Simplified Arabic" w:hint="cs"/>
          <w:sz w:val="24"/>
          <w:szCs w:val="24"/>
          <w:rtl/>
          <w:lang w:val="en-US" w:bidi="ar-DZ"/>
        </w:rPr>
        <w:t>جـ</w:t>
      </w:r>
      <w:r w:rsidR="002713DB" w:rsidRPr="009C3712">
        <w:rPr>
          <w:rFonts w:ascii="Simplified Arabic" w:hAnsi="Simplified Arabic" w:cs="Simplified Arabic" w:hint="cs"/>
          <w:sz w:val="24"/>
          <w:szCs w:val="24"/>
          <w:rtl/>
          <w:lang w:val="en-US" w:bidi="ar-DZ"/>
        </w:rPr>
        <w:t xml:space="preserve">) </w:t>
      </w:r>
      <w:r w:rsidR="002713DB" w:rsidRPr="009C3712">
        <w:rPr>
          <w:rFonts w:ascii="Simplified Arabic" w:hAnsi="Simplified Arabic" w:cs="Simplified Arabic" w:hint="cs"/>
          <w:sz w:val="24"/>
          <w:szCs w:val="24"/>
          <w:rtl/>
        </w:rPr>
        <w:t xml:space="preserve">مستوى </w:t>
      </w:r>
      <w:r w:rsidR="002713DB" w:rsidRPr="009C3712">
        <w:rPr>
          <w:rFonts w:ascii="Simplified Arabic" w:hAnsi="Simplified Arabic" w:cs="Simplified Arabic"/>
          <w:sz w:val="24"/>
          <w:szCs w:val="24"/>
          <w:rtl/>
        </w:rPr>
        <w:t xml:space="preserve">مرونة </w:t>
      </w:r>
      <w:r w:rsidR="002713DB" w:rsidRPr="009C3712">
        <w:rPr>
          <w:rFonts w:ascii="Simplified Arabic" w:hAnsi="Simplified Arabic" w:cs="Simplified Arabic" w:hint="cs"/>
          <w:sz w:val="24"/>
          <w:szCs w:val="24"/>
          <w:rtl/>
        </w:rPr>
        <w:t xml:space="preserve">مكانية </w:t>
      </w:r>
      <w:r w:rsidR="00603244" w:rsidRPr="009C3712">
        <w:rPr>
          <w:rFonts w:ascii="Simplified Arabic" w:hAnsi="Simplified Arabic" w:cs="Simplified Arabic" w:hint="cs"/>
          <w:sz w:val="24"/>
          <w:szCs w:val="24"/>
          <w:rtl/>
        </w:rPr>
        <w:t>متوسطة</w:t>
      </w:r>
      <w:r w:rsidR="00FD1399" w:rsidRPr="009C3712">
        <w:rPr>
          <w:rFonts w:ascii="Simplified Arabic" w:hAnsi="Simplified Arabic" w:cs="Simplified Arabic" w:hint="cs"/>
          <w:sz w:val="24"/>
          <w:szCs w:val="24"/>
          <w:rtl/>
        </w:rPr>
        <w:t>.</w:t>
      </w:r>
    </w:p>
    <w:p w:rsidR="00076D1B" w:rsidRPr="00534DCA" w:rsidRDefault="00076D1B" w:rsidP="00224CB9">
      <w:pPr>
        <w:pStyle w:val="fegure"/>
        <w:spacing w:before="240"/>
        <w:rPr>
          <w:sz w:val="6"/>
          <w:szCs w:val="22"/>
          <w:rtl/>
        </w:rPr>
      </w:pPr>
      <w:bookmarkStart w:id="842" w:name="_Toc157608365"/>
      <w:bookmarkStart w:id="843" w:name="_Toc171803812"/>
      <w:r w:rsidRPr="00534DCA">
        <w:rPr>
          <w:rFonts w:hint="cs"/>
          <w:sz w:val="6"/>
          <w:szCs w:val="22"/>
          <w:rtl/>
          <w:lang w:bidi="ar-DZ"/>
        </w:rPr>
        <w:t>الشكل (6-</w:t>
      </w:r>
      <w:r w:rsidR="005373F7" w:rsidRPr="00534DCA">
        <w:rPr>
          <w:rFonts w:hint="cs"/>
          <w:sz w:val="6"/>
          <w:szCs w:val="22"/>
          <w:rtl/>
          <w:lang w:bidi="ar-DZ"/>
        </w:rPr>
        <w:t>14</w:t>
      </w:r>
      <w:r w:rsidRPr="00534DCA">
        <w:rPr>
          <w:rFonts w:hint="cs"/>
          <w:sz w:val="6"/>
          <w:szCs w:val="22"/>
          <w:rtl/>
          <w:lang w:bidi="ar-DZ"/>
        </w:rPr>
        <w:t xml:space="preserve">) </w:t>
      </w:r>
      <w:r w:rsidRPr="00534DCA">
        <w:rPr>
          <w:rFonts w:hint="cs"/>
          <w:sz w:val="6"/>
          <w:szCs w:val="22"/>
          <w:rtl/>
          <w:lang w:val="en-US" w:bidi="ar-DZ"/>
        </w:rPr>
        <w:t>ل</w:t>
      </w:r>
      <w:r w:rsidRPr="00534DCA">
        <w:rPr>
          <w:rFonts w:hint="cs"/>
          <w:sz w:val="6"/>
          <w:szCs w:val="22"/>
          <w:rtl/>
          <w:lang w:bidi="ar-DZ"/>
        </w:rPr>
        <w:t>توزيع ا</w:t>
      </w:r>
      <w:r w:rsidRPr="00534DCA">
        <w:rPr>
          <w:rFonts w:hint="cs"/>
          <w:sz w:val="6"/>
          <w:szCs w:val="22"/>
          <w:rtl/>
          <w:lang w:val="en-US" w:bidi="ar-DZ"/>
        </w:rPr>
        <w:t xml:space="preserve">لنسب </w:t>
      </w:r>
      <w:r w:rsidRPr="00534DCA">
        <w:rPr>
          <w:rFonts w:hint="cs"/>
          <w:sz w:val="6"/>
          <w:szCs w:val="22"/>
          <w:rtl/>
          <w:lang w:bidi="ar-DZ"/>
        </w:rPr>
        <w:t>بين</w:t>
      </w:r>
      <w:r w:rsidRPr="00534DCA">
        <w:rPr>
          <w:sz w:val="6"/>
          <w:szCs w:val="22"/>
          <w:rtl/>
          <w:lang w:bidi="ar-DZ"/>
        </w:rPr>
        <w:t xml:space="preserve"> </w:t>
      </w:r>
      <w:r w:rsidRPr="00534DCA">
        <w:rPr>
          <w:rFonts w:hint="cs"/>
          <w:sz w:val="6"/>
          <w:szCs w:val="22"/>
          <w:rtl/>
          <w:lang w:bidi="ar-DZ"/>
        </w:rPr>
        <w:t>مسافة</w:t>
      </w:r>
      <w:r w:rsidRPr="00534DCA">
        <w:rPr>
          <w:sz w:val="6"/>
          <w:szCs w:val="22"/>
          <w:rtl/>
          <w:lang w:bidi="ar-DZ"/>
        </w:rPr>
        <w:t xml:space="preserve"> </w:t>
      </w:r>
      <w:r w:rsidRPr="00534DCA">
        <w:rPr>
          <w:rFonts w:hint="cs"/>
          <w:sz w:val="6"/>
          <w:szCs w:val="22"/>
          <w:rtl/>
          <w:lang w:bidi="ar-DZ"/>
        </w:rPr>
        <w:t>شبكة</w:t>
      </w:r>
      <w:r w:rsidRPr="00534DCA">
        <w:rPr>
          <w:sz w:val="6"/>
          <w:szCs w:val="22"/>
          <w:rtl/>
          <w:lang w:bidi="ar-DZ"/>
        </w:rPr>
        <w:t xml:space="preserve"> </w:t>
      </w:r>
      <w:r w:rsidRPr="00534DCA">
        <w:rPr>
          <w:rFonts w:hint="cs"/>
          <w:sz w:val="6"/>
          <w:szCs w:val="22"/>
          <w:rtl/>
          <w:lang w:bidi="ar-DZ"/>
        </w:rPr>
        <w:t>الشوارع والمسافة</w:t>
      </w:r>
      <w:r w:rsidRPr="00534DCA">
        <w:rPr>
          <w:sz w:val="6"/>
          <w:szCs w:val="22"/>
          <w:rtl/>
          <w:lang w:bidi="ar-DZ"/>
        </w:rPr>
        <w:t xml:space="preserve"> </w:t>
      </w:r>
      <w:r w:rsidRPr="00534DCA">
        <w:rPr>
          <w:rFonts w:hint="cs"/>
          <w:sz w:val="6"/>
          <w:szCs w:val="22"/>
          <w:rtl/>
          <w:lang w:bidi="ar-DZ"/>
        </w:rPr>
        <w:t>الإقليدية</w:t>
      </w:r>
      <w:r w:rsidRPr="00534DCA">
        <w:rPr>
          <w:sz w:val="6"/>
          <w:szCs w:val="22"/>
          <w:rtl/>
          <w:lang w:bidi="ar-DZ"/>
        </w:rPr>
        <w:t xml:space="preserve"> </w:t>
      </w:r>
      <w:r w:rsidRPr="00534DCA">
        <w:rPr>
          <w:rFonts w:hint="cs"/>
          <w:sz w:val="6"/>
          <w:szCs w:val="22"/>
          <w:rtl/>
          <w:lang w:bidi="ar-DZ"/>
        </w:rPr>
        <w:t>ل</w:t>
      </w:r>
      <w:r w:rsidRPr="00534DCA">
        <w:rPr>
          <w:rFonts w:hint="cs"/>
          <w:sz w:val="6"/>
          <w:szCs w:val="22"/>
          <w:rtl/>
          <w:lang w:val="en-US" w:bidi="ar-DZ"/>
        </w:rPr>
        <w:t>فئة النسيج الحضري (جـ)،</w:t>
      </w:r>
      <w:r w:rsidRPr="00534DCA">
        <w:rPr>
          <w:sz w:val="6"/>
          <w:szCs w:val="22"/>
          <w:rtl/>
          <w:lang w:val="en-US" w:bidi="ar-DZ"/>
        </w:rPr>
        <w:t xml:space="preserve"> </w:t>
      </w:r>
      <w:r w:rsidRPr="00534DCA">
        <w:rPr>
          <w:rFonts w:hint="cs"/>
          <w:sz w:val="6"/>
          <w:szCs w:val="22"/>
          <w:rtl/>
        </w:rPr>
        <w:t>حي سيدي سليمان</w:t>
      </w:r>
      <w:bookmarkEnd w:id="842"/>
      <w:bookmarkEnd w:id="843"/>
    </w:p>
    <w:p w:rsidR="00224CB9" w:rsidRPr="00224CB9" w:rsidRDefault="00224CB9" w:rsidP="002F3AF2">
      <w:pPr>
        <w:pStyle w:val="fegure"/>
        <w:spacing w:after="240"/>
        <w:rPr>
          <w:sz w:val="8"/>
          <w:szCs w:val="24"/>
          <w:rtl/>
          <w:lang w:val="en-US"/>
        </w:rPr>
      </w:pPr>
      <w:bookmarkStart w:id="844" w:name="_Toc171803813"/>
      <w:r>
        <w:rPr>
          <w:rFonts w:hint="cs"/>
          <w:sz w:val="8"/>
          <w:szCs w:val="24"/>
          <w:rtl/>
          <w:lang w:val="en-US"/>
        </w:rPr>
        <w:t>(الباحث، 2022)</w:t>
      </w:r>
      <w:bookmarkEnd w:id="844"/>
    </w:p>
    <w:p w:rsidR="003B1C61" w:rsidRDefault="003B1C61" w:rsidP="002F3AF2">
      <w:pPr>
        <w:pStyle w:val="fegure"/>
        <w:spacing w:before="240" w:after="240"/>
        <w:rPr>
          <w:sz w:val="6"/>
          <w:szCs w:val="22"/>
          <w:rtl/>
        </w:rPr>
      </w:pPr>
      <w:bookmarkStart w:id="845" w:name="_Toc171803814"/>
      <w:r>
        <w:rPr>
          <w:noProof/>
          <w:lang w:eastAsia="fr-FR"/>
        </w:rPr>
        <w:drawing>
          <wp:inline distT="0" distB="0" distL="0" distR="0" wp14:anchorId="1CC7DB62" wp14:editId="3A37EF61">
            <wp:extent cx="4459856" cy="2717321"/>
            <wp:effectExtent l="0" t="0" r="17145" b="26035"/>
            <wp:docPr id="103" name="Graphique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7"/>
              </a:graphicData>
            </a:graphic>
          </wp:inline>
        </w:drawing>
      </w:r>
      <w:bookmarkEnd w:id="845"/>
    </w:p>
    <w:p w:rsidR="00534DCA" w:rsidRDefault="00534DCA" w:rsidP="00224CB9">
      <w:pPr>
        <w:pStyle w:val="carte"/>
        <w:spacing w:after="0"/>
        <w:rPr>
          <w:rtl/>
          <w:lang w:bidi="ar-DZ"/>
        </w:rPr>
      </w:pPr>
      <w:bookmarkStart w:id="846" w:name="_Toc157616611"/>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224CB9">
      <w:pPr>
        <w:pStyle w:val="carte"/>
        <w:spacing w:after="0"/>
        <w:rPr>
          <w:rtl/>
          <w:lang w:bidi="ar-DZ"/>
        </w:rPr>
      </w:pPr>
    </w:p>
    <w:p w:rsidR="00534DCA" w:rsidRDefault="00534DCA" w:rsidP="00534DCA">
      <w:pPr>
        <w:autoSpaceDE w:val="0"/>
        <w:autoSpaceDN w:val="0"/>
        <w:bidi/>
        <w:adjustRightInd w:val="0"/>
        <w:spacing w:before="240" w:after="0"/>
        <w:ind w:firstLine="283"/>
        <w:jc w:val="both"/>
        <w:rPr>
          <w:rFonts w:ascii="Simplified Arabic" w:hAnsi="Simplified Arabic" w:cs="Simplified Arabic"/>
          <w:sz w:val="24"/>
          <w:szCs w:val="24"/>
          <w:rtl/>
        </w:rPr>
      </w:pPr>
      <w:r w:rsidRPr="007708D9">
        <w:rPr>
          <w:rFonts w:ascii="Simplified Arabic" w:hAnsi="Simplified Arabic" w:cs="Simplified Arabic" w:hint="cs"/>
          <w:sz w:val="24"/>
          <w:szCs w:val="24"/>
          <w:rtl/>
          <w:lang w:val="en-US" w:bidi="ar-DZ"/>
        </w:rPr>
        <w:lastRenderedPageBreak/>
        <w:t>من</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الناحية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المكانية،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تبلغ</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كثافة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البناء بحي سيدي سليمان</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45 سكن/هكتار، وهي من المستويات القصوى بالمدينة، (الخريطة (6-3). </w:t>
      </w:r>
      <w:r w:rsidRPr="005014AF">
        <w:rPr>
          <w:rFonts w:ascii="Simplified Arabic" w:hAnsi="Simplified Arabic" w:cs="Simplified Arabic" w:hint="cs"/>
          <w:sz w:val="24"/>
          <w:szCs w:val="24"/>
          <w:rtl/>
          <w:lang w:val="en-US" w:bidi="ar-DZ"/>
        </w:rPr>
        <w:t>حيث</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كتل البناء متباعدة </w:t>
      </w:r>
      <w:r w:rsidRPr="007708D9">
        <w:rPr>
          <w:rFonts w:ascii="Simplified Arabic" w:hAnsi="Simplified Arabic" w:cs="Simplified Arabic" w:hint="cs"/>
          <w:sz w:val="24"/>
          <w:szCs w:val="24"/>
          <w:rtl/>
          <w:lang w:val="en-US" w:bidi="ar-DZ"/>
        </w:rPr>
        <w:t>وشبكة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طرق</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rPr>
        <w:t>واسعة واحيانًا تميل الى ان تكون ضيقة</w:t>
      </w:r>
      <w:r>
        <w:rPr>
          <w:rFonts w:ascii="Simplified Arabic" w:hAnsi="Simplified Arabic" w:cs="Simplified Arabic" w:hint="cs"/>
          <w:sz w:val="24"/>
          <w:szCs w:val="24"/>
          <w:rtl/>
          <w:lang w:val="en-US" w:bidi="ar-DZ"/>
        </w:rPr>
        <w:t xml:space="preserve">، </w:t>
      </w:r>
      <w:r w:rsidRPr="007708D9">
        <w:rPr>
          <w:rFonts w:ascii="Simplified Arabic" w:hAnsi="Simplified Arabic" w:cs="Simplified Arabic" w:hint="cs"/>
          <w:sz w:val="24"/>
          <w:szCs w:val="24"/>
          <w:rtl/>
          <w:lang w:val="en-US" w:bidi="ar-DZ"/>
        </w:rPr>
        <w:t>تتميز</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بتكرار </w:t>
      </w:r>
      <w:r w:rsidRPr="007708D9">
        <w:rPr>
          <w:rFonts w:ascii="Simplified Arabic" w:hAnsi="Simplified Arabic" w:cs="Simplified Arabic" w:hint="cs"/>
          <w:sz w:val="24"/>
          <w:szCs w:val="24"/>
          <w:rtl/>
          <w:lang w:val="en-US" w:bidi="ar-DZ"/>
        </w:rPr>
        <w:t>تقاط</w:t>
      </w:r>
      <w:r>
        <w:rPr>
          <w:rFonts w:ascii="Simplified Arabic" w:hAnsi="Simplified Arabic" w:cs="Simplified Arabic" w:hint="cs"/>
          <w:sz w:val="24"/>
          <w:szCs w:val="24"/>
          <w:rtl/>
          <w:lang w:val="en-US" w:bidi="ar-DZ"/>
        </w:rPr>
        <w:t>ع الطرق.</w:t>
      </w:r>
      <w:r w:rsidRPr="007708D9">
        <w:rPr>
          <w:rFonts w:ascii="Simplified Arabic" w:hAnsi="Simplified Arabic" w:cs="Simplified Arabic"/>
          <w:sz w:val="24"/>
          <w:szCs w:val="24"/>
          <w:rtl/>
          <w:lang w:val="en-US" w:bidi="ar-DZ"/>
        </w:rPr>
        <w:t xml:space="preserve"> </w:t>
      </w:r>
      <w:r w:rsidRPr="0074440A">
        <w:rPr>
          <w:rFonts w:ascii="Simplified Arabic" w:hAnsi="Simplified Arabic" w:cs="Simplified Arabic" w:hint="cs"/>
          <w:sz w:val="24"/>
          <w:szCs w:val="24"/>
          <w:rtl/>
        </w:rPr>
        <w:t>إضافة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إلى</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ذلك</w:t>
      </w:r>
      <w:r>
        <w:rPr>
          <w:rFonts w:ascii="Simplified Arabic" w:hAnsi="Simplified Arabic" w:cs="Simplified Arabic" w:hint="cs"/>
          <w:sz w:val="24"/>
          <w:szCs w:val="24"/>
          <w:rtl/>
        </w:rPr>
        <w:t>،</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تعاني</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المباني</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الواقعة جنب سفح جبل عزالدين وواد بوسعادة من انخفاض مستوى امكانية الوصول،</w:t>
      </w:r>
      <w:r w:rsidRPr="0074440A">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سبب ذلك،</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تأثير</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منحدرات الجبل و</w:t>
      </w:r>
      <w:r w:rsidRPr="0074440A">
        <w:rPr>
          <w:rFonts w:ascii="Simplified Arabic" w:hAnsi="Simplified Arabic" w:cs="Simplified Arabic" w:hint="cs"/>
          <w:sz w:val="24"/>
          <w:szCs w:val="24"/>
          <w:rtl/>
        </w:rPr>
        <w:t>الحافة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الطبيعية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الناجم</w:t>
      </w:r>
      <w:r>
        <w:rPr>
          <w:rFonts w:ascii="Simplified Arabic" w:hAnsi="Simplified Arabic" w:cs="Simplified Arabic" w:hint="cs"/>
          <w:sz w:val="24"/>
          <w:szCs w:val="24"/>
          <w:rtl/>
        </w:rPr>
        <w:t>ة</w:t>
      </w:r>
      <w:r w:rsidRPr="0074440A">
        <w:rPr>
          <w:rFonts w:ascii="Simplified Arabic" w:hAnsi="Simplified Arabic" w:cs="Simplified Arabic"/>
          <w:sz w:val="24"/>
          <w:szCs w:val="24"/>
          <w:rtl/>
        </w:rPr>
        <w:t xml:space="preserve"> </w:t>
      </w:r>
      <w:r w:rsidRPr="0074440A">
        <w:rPr>
          <w:rFonts w:ascii="Simplified Arabic" w:hAnsi="Simplified Arabic" w:cs="Simplified Arabic" w:hint="cs"/>
          <w:sz w:val="24"/>
          <w:szCs w:val="24"/>
          <w:rtl/>
        </w:rPr>
        <w:t>عن</w:t>
      </w:r>
      <w:r w:rsidRPr="0074440A">
        <w:rPr>
          <w:rFonts w:ascii="Simplified Arabic" w:hAnsi="Simplified Arabic" w:cs="Simplified Arabic"/>
          <w:sz w:val="24"/>
          <w:szCs w:val="24"/>
          <w:rtl/>
        </w:rPr>
        <w:t xml:space="preserve"> </w:t>
      </w:r>
      <w:r>
        <w:rPr>
          <w:rFonts w:ascii="Simplified Arabic" w:hAnsi="Simplified Arabic" w:cs="Simplified Arabic" w:hint="cs"/>
          <w:sz w:val="24"/>
          <w:szCs w:val="24"/>
          <w:rtl/>
        </w:rPr>
        <w:t>الواد.</w:t>
      </w:r>
    </w:p>
    <w:p w:rsidR="00550E38" w:rsidRDefault="00550E38" w:rsidP="00224CB9">
      <w:pPr>
        <w:pStyle w:val="carte"/>
        <w:spacing w:after="0"/>
        <w:rPr>
          <w:rtl/>
        </w:rPr>
      </w:pPr>
      <w:bookmarkStart w:id="847" w:name="_Toc171803815"/>
      <w:r w:rsidRPr="00456E70">
        <w:rPr>
          <w:rFonts w:hint="cs"/>
          <w:rtl/>
          <w:lang w:bidi="ar-DZ"/>
        </w:rPr>
        <w:t>الخريطة (6-</w:t>
      </w:r>
      <w:r>
        <w:rPr>
          <w:rFonts w:hint="cs"/>
          <w:rtl/>
          <w:lang w:bidi="ar-DZ"/>
        </w:rPr>
        <w:t>3</w:t>
      </w:r>
      <w:r w:rsidRPr="00456E70">
        <w:rPr>
          <w:rFonts w:hint="cs"/>
          <w:rtl/>
          <w:lang w:bidi="ar-DZ"/>
        </w:rPr>
        <w:t>) تباين التوزيع المكاني لكثافة البناء ل</w:t>
      </w:r>
      <w:r w:rsidRPr="00456E70">
        <w:rPr>
          <w:rFonts w:hint="cs"/>
          <w:rtl/>
          <w:lang w:val="en-US" w:bidi="ar-DZ"/>
        </w:rPr>
        <w:t>فئة النسيج الحضري (جـ)،</w:t>
      </w:r>
      <w:r w:rsidRPr="00456E70">
        <w:rPr>
          <w:rtl/>
          <w:lang w:val="en-US" w:bidi="ar-DZ"/>
        </w:rPr>
        <w:t xml:space="preserve"> </w:t>
      </w:r>
      <w:r w:rsidRPr="00456E70">
        <w:rPr>
          <w:rFonts w:hint="cs"/>
          <w:rtl/>
        </w:rPr>
        <w:t>حي سيدي سليمان</w:t>
      </w:r>
      <w:bookmarkEnd w:id="846"/>
      <w:bookmarkEnd w:id="847"/>
    </w:p>
    <w:p w:rsidR="00224CB9" w:rsidRPr="00224CB9" w:rsidRDefault="00224CB9" w:rsidP="00224CB9">
      <w:pPr>
        <w:pStyle w:val="fegure"/>
        <w:rPr>
          <w:sz w:val="8"/>
          <w:szCs w:val="24"/>
          <w:lang w:val="en-US"/>
        </w:rPr>
      </w:pPr>
      <w:bookmarkStart w:id="848" w:name="_Toc171803816"/>
      <w:r>
        <w:rPr>
          <w:rFonts w:hint="cs"/>
          <w:sz w:val="8"/>
          <w:szCs w:val="24"/>
          <w:rtl/>
          <w:lang w:val="en-US"/>
        </w:rPr>
        <w:t>(الباحث، 2022)</w:t>
      </w:r>
      <w:bookmarkEnd w:id="848"/>
    </w:p>
    <w:p w:rsidR="00787828" w:rsidRDefault="00787828" w:rsidP="00482FC6">
      <w:pPr>
        <w:autoSpaceDE w:val="0"/>
        <w:autoSpaceDN w:val="0"/>
        <w:bidi/>
        <w:adjustRightInd w:val="0"/>
        <w:spacing w:after="0" w:line="240" w:lineRule="auto"/>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w:t>
      </w:r>
      <w:r>
        <w:rPr>
          <w:rFonts w:ascii="Simplified Arabic" w:hAnsi="Simplified Arabic" w:cs="Simplified Arabic"/>
          <w:noProof/>
          <w:sz w:val="24"/>
          <w:szCs w:val="24"/>
          <w:lang w:eastAsia="fr-FR"/>
        </w:rPr>
        <w:drawing>
          <wp:inline distT="0" distB="0" distL="0" distR="0" wp14:anchorId="0EE73F99" wp14:editId="587F7E83">
            <wp:extent cx="4355253" cy="5296619"/>
            <wp:effectExtent l="0" t="0" r="7620" b="0"/>
            <wp:docPr id="277" name="Imag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8" cstate="print">
                      <a:extLst>
                        <a:ext uri="{28A0092B-C50C-407E-A947-70E740481C1C}">
                          <a14:useLocalDpi xmlns:a14="http://schemas.microsoft.com/office/drawing/2010/main" val="0"/>
                        </a:ext>
                      </a:extLst>
                    </a:blip>
                    <a:srcRect t="8789"/>
                    <a:stretch/>
                  </pic:blipFill>
                  <pic:spPr bwMode="auto">
                    <a:xfrm>
                      <a:off x="0" y="0"/>
                      <a:ext cx="4359484" cy="5301765"/>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sz w:val="24"/>
          <w:szCs w:val="24"/>
          <w:lang w:bidi="ar-DZ"/>
        </w:rPr>
        <w:t xml:space="preserve">  </w:t>
      </w:r>
    </w:p>
    <w:p w:rsidR="00482FC6" w:rsidRDefault="00482FC6" w:rsidP="00482FC6">
      <w:pPr>
        <w:autoSpaceDE w:val="0"/>
        <w:autoSpaceDN w:val="0"/>
        <w:bidi/>
        <w:adjustRightInd w:val="0"/>
        <w:spacing w:after="0" w:line="240" w:lineRule="auto"/>
        <w:jc w:val="center"/>
        <w:rPr>
          <w:rFonts w:ascii="Simplified Arabic" w:hAnsi="Simplified Arabic" w:cs="Simplified Arabic"/>
          <w:sz w:val="24"/>
          <w:szCs w:val="24"/>
          <w:rtl/>
          <w:lang w:bidi="ar-DZ"/>
        </w:rPr>
      </w:pPr>
    </w:p>
    <w:p w:rsidR="00482FC6" w:rsidRDefault="00482FC6" w:rsidP="00482FC6">
      <w:pPr>
        <w:autoSpaceDE w:val="0"/>
        <w:autoSpaceDN w:val="0"/>
        <w:bidi/>
        <w:adjustRightInd w:val="0"/>
        <w:spacing w:after="0" w:line="240" w:lineRule="auto"/>
        <w:jc w:val="center"/>
        <w:rPr>
          <w:rFonts w:ascii="Simplified Arabic" w:hAnsi="Simplified Arabic" w:cs="Simplified Arabic"/>
          <w:sz w:val="24"/>
          <w:szCs w:val="24"/>
          <w:rtl/>
          <w:lang w:bidi="ar-DZ"/>
        </w:rPr>
      </w:pPr>
    </w:p>
    <w:p w:rsidR="00482FC6" w:rsidRDefault="00482FC6" w:rsidP="00482FC6">
      <w:pPr>
        <w:autoSpaceDE w:val="0"/>
        <w:autoSpaceDN w:val="0"/>
        <w:bidi/>
        <w:adjustRightInd w:val="0"/>
        <w:spacing w:after="0" w:line="240" w:lineRule="auto"/>
        <w:jc w:val="center"/>
        <w:rPr>
          <w:rFonts w:ascii="Simplified Arabic" w:hAnsi="Simplified Arabic" w:cs="Simplified Arabic"/>
          <w:sz w:val="24"/>
          <w:szCs w:val="24"/>
          <w:rtl/>
          <w:lang w:bidi="ar-DZ"/>
        </w:rPr>
      </w:pPr>
    </w:p>
    <w:p w:rsidR="00482FC6" w:rsidRDefault="00482FC6" w:rsidP="00482FC6">
      <w:pPr>
        <w:autoSpaceDE w:val="0"/>
        <w:autoSpaceDN w:val="0"/>
        <w:bidi/>
        <w:adjustRightInd w:val="0"/>
        <w:spacing w:after="0" w:line="240" w:lineRule="auto"/>
        <w:jc w:val="center"/>
        <w:rPr>
          <w:rFonts w:ascii="Simplified Arabic" w:hAnsi="Simplified Arabic" w:cs="Simplified Arabic"/>
          <w:sz w:val="24"/>
          <w:szCs w:val="24"/>
          <w:rtl/>
          <w:lang w:bidi="ar-DZ"/>
        </w:rPr>
      </w:pPr>
    </w:p>
    <w:p w:rsidR="00482FC6" w:rsidRDefault="00482FC6" w:rsidP="00482FC6">
      <w:pPr>
        <w:autoSpaceDE w:val="0"/>
        <w:autoSpaceDN w:val="0"/>
        <w:bidi/>
        <w:adjustRightInd w:val="0"/>
        <w:spacing w:after="0" w:line="240" w:lineRule="auto"/>
        <w:jc w:val="center"/>
        <w:rPr>
          <w:rFonts w:ascii="Simplified Arabic" w:hAnsi="Simplified Arabic" w:cs="Simplified Arabic"/>
          <w:sz w:val="24"/>
          <w:szCs w:val="24"/>
          <w:rtl/>
          <w:lang w:bidi="ar-DZ"/>
        </w:rPr>
      </w:pPr>
    </w:p>
    <w:p w:rsidR="00482FC6" w:rsidRDefault="00482FC6" w:rsidP="00482FC6">
      <w:pPr>
        <w:autoSpaceDE w:val="0"/>
        <w:autoSpaceDN w:val="0"/>
        <w:bidi/>
        <w:adjustRightInd w:val="0"/>
        <w:spacing w:after="0" w:line="240" w:lineRule="auto"/>
        <w:jc w:val="center"/>
        <w:rPr>
          <w:rFonts w:ascii="Simplified Arabic" w:hAnsi="Simplified Arabic" w:cs="Simplified Arabic"/>
          <w:sz w:val="24"/>
          <w:szCs w:val="24"/>
          <w:rtl/>
          <w:lang w:bidi="ar-DZ"/>
        </w:rPr>
      </w:pPr>
    </w:p>
    <w:p w:rsidR="00A92273" w:rsidRPr="00A92273" w:rsidRDefault="002A686B" w:rsidP="00FF68B3">
      <w:pPr>
        <w:pStyle w:val="Paragraphedeliste"/>
        <w:numPr>
          <w:ilvl w:val="0"/>
          <w:numId w:val="69"/>
        </w:numPr>
        <w:autoSpaceDE w:val="0"/>
        <w:autoSpaceDN w:val="0"/>
        <w:bidi/>
        <w:adjustRightInd w:val="0"/>
        <w:spacing w:before="240" w:after="0"/>
        <w:ind w:left="0" w:firstLine="283"/>
        <w:jc w:val="both"/>
        <w:rPr>
          <w:rFonts w:ascii="Simplified Arabic" w:hAnsi="Simplified Arabic" w:cs="Simplified Arabic"/>
          <w:sz w:val="24"/>
          <w:szCs w:val="24"/>
        </w:rPr>
      </w:pPr>
      <w:r w:rsidRPr="00A92273">
        <w:rPr>
          <w:rFonts w:ascii="Simplified Arabic" w:hAnsi="Simplified Arabic" w:cs="Simplified Arabic" w:hint="cs"/>
          <w:sz w:val="24"/>
          <w:szCs w:val="24"/>
          <w:rtl/>
          <w:lang w:val="en-US" w:bidi="ar-DZ"/>
        </w:rPr>
        <w:lastRenderedPageBreak/>
        <w:t xml:space="preserve">اما فئة النسيج </w:t>
      </w:r>
      <w:r w:rsidR="00C92D2C" w:rsidRPr="00A92273">
        <w:rPr>
          <w:rFonts w:ascii="Simplified Arabic" w:hAnsi="Simplified Arabic" w:cs="Simplified Arabic" w:hint="cs"/>
          <w:sz w:val="24"/>
          <w:szCs w:val="24"/>
          <w:rtl/>
          <w:lang w:val="en-US" w:bidi="ar-DZ"/>
        </w:rPr>
        <w:t xml:space="preserve">الحضري </w:t>
      </w:r>
      <w:r w:rsidRPr="00A92273">
        <w:rPr>
          <w:rFonts w:ascii="Simplified Arabic" w:hAnsi="Simplified Arabic" w:cs="Simplified Arabic" w:hint="cs"/>
          <w:sz w:val="24"/>
          <w:szCs w:val="24"/>
          <w:rtl/>
          <w:lang w:val="en-US" w:bidi="ar-DZ"/>
        </w:rPr>
        <w:t>(د)،</w:t>
      </w:r>
      <w:r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 xml:space="preserve">يتميز </w:t>
      </w:r>
      <w:r w:rsidRPr="00A92273">
        <w:rPr>
          <w:rFonts w:ascii="Simplified Arabic" w:hAnsi="Simplified Arabic" w:cs="Simplified Arabic" w:hint="cs"/>
          <w:sz w:val="24"/>
          <w:szCs w:val="24"/>
          <w:rtl/>
        </w:rPr>
        <w:t xml:space="preserve">حي الحمايد </w:t>
      </w:r>
      <w:r w:rsidR="00C92D2C" w:rsidRPr="00A92273">
        <w:rPr>
          <w:rFonts w:ascii="Simplified Arabic" w:hAnsi="Simplified Arabic" w:cs="Simplified Arabic" w:hint="cs"/>
          <w:sz w:val="24"/>
          <w:szCs w:val="24"/>
          <w:rtl/>
          <w:lang w:val="en-US" w:bidi="ar-DZ"/>
        </w:rPr>
        <w:t>ب</w:t>
      </w:r>
      <w:r w:rsidR="00E54E65" w:rsidRPr="00A92273">
        <w:rPr>
          <w:rFonts w:ascii="Simplified Arabic" w:hAnsi="Simplified Arabic" w:cs="Simplified Arabic" w:hint="cs"/>
          <w:sz w:val="24"/>
          <w:szCs w:val="24"/>
          <w:rtl/>
          <w:lang w:val="en-US" w:bidi="ar-DZ"/>
        </w:rPr>
        <w:t>عدد</w:t>
      </w:r>
      <w:r w:rsidR="00C92D2C" w:rsidRPr="00A92273">
        <w:rPr>
          <w:rFonts w:ascii="Simplified Arabic" w:hAnsi="Simplified Arabic" w:cs="Simplified Arabic" w:hint="cs"/>
          <w:sz w:val="24"/>
          <w:szCs w:val="24"/>
          <w:rtl/>
          <w:lang w:val="en-US" w:bidi="ar-DZ"/>
        </w:rPr>
        <w:t xml:space="preserve"> مرتفع</w:t>
      </w:r>
      <w:r w:rsidR="00E54E65" w:rsidRPr="00A92273">
        <w:rPr>
          <w:rFonts w:ascii="Simplified Arabic" w:hAnsi="Simplified Arabic" w:cs="Simplified Arabic" w:hint="cs"/>
          <w:sz w:val="24"/>
          <w:szCs w:val="24"/>
          <w:rtl/>
          <w:lang w:val="en-US" w:bidi="ar-DZ"/>
        </w:rPr>
        <w:t xml:space="preserve"> ل</w:t>
      </w:r>
      <w:r w:rsidR="00C92D2C" w:rsidRPr="00A92273">
        <w:rPr>
          <w:rFonts w:ascii="Simplified Arabic" w:hAnsi="Simplified Arabic" w:cs="Simplified Arabic" w:hint="cs"/>
          <w:sz w:val="24"/>
          <w:szCs w:val="24"/>
          <w:rtl/>
          <w:lang w:val="en-US" w:bidi="ar-DZ"/>
        </w:rPr>
        <w:t>لمباني</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التي</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يمكن</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الوصول</w:t>
      </w:r>
      <w:r w:rsidR="00C92D2C" w:rsidRPr="00A92273">
        <w:rPr>
          <w:rFonts w:ascii="Simplified Arabic" w:hAnsi="Simplified Arabic" w:cs="Simplified Arabic"/>
          <w:sz w:val="24"/>
          <w:szCs w:val="24"/>
          <w:rtl/>
          <w:lang w:val="en-US" w:bidi="ar-DZ"/>
        </w:rPr>
        <w:t xml:space="preserve"> </w:t>
      </w:r>
      <w:r w:rsidR="00E54E65" w:rsidRPr="00A92273">
        <w:rPr>
          <w:rFonts w:ascii="Simplified Arabic" w:hAnsi="Simplified Arabic" w:cs="Simplified Arabic" w:hint="cs"/>
          <w:sz w:val="24"/>
          <w:szCs w:val="24"/>
          <w:rtl/>
          <w:lang w:val="en-US" w:bidi="ar-DZ"/>
        </w:rPr>
        <w:t xml:space="preserve">إليها، تتراوح النسب </w:t>
      </w:r>
      <w:r w:rsidR="00E54E65" w:rsidRPr="00A92273">
        <w:rPr>
          <w:rFonts w:ascii="Simplified Arabic" w:hAnsi="Simplified Arabic" w:cs="Simplified Arabic" w:hint="cs"/>
          <w:sz w:val="24"/>
          <w:szCs w:val="24"/>
          <w:rtl/>
          <w:lang w:bidi="ar-DZ"/>
        </w:rPr>
        <w:t>بين</w:t>
      </w:r>
      <w:r w:rsidR="00E54E65" w:rsidRPr="00A92273">
        <w:rPr>
          <w:rFonts w:ascii="Simplified Arabic" w:hAnsi="Simplified Arabic" w:cs="Simplified Arabic"/>
          <w:sz w:val="24"/>
          <w:szCs w:val="24"/>
          <w:rtl/>
          <w:lang w:bidi="ar-DZ"/>
        </w:rPr>
        <w:t xml:space="preserve"> </w:t>
      </w:r>
      <w:r w:rsidR="00E54E65" w:rsidRPr="00A92273">
        <w:rPr>
          <w:rFonts w:ascii="Simplified Arabic" w:hAnsi="Simplified Arabic" w:cs="Simplified Arabic" w:hint="cs"/>
          <w:sz w:val="24"/>
          <w:szCs w:val="24"/>
          <w:rtl/>
          <w:lang w:bidi="ar-DZ"/>
        </w:rPr>
        <w:t>مسافة</w:t>
      </w:r>
      <w:r w:rsidR="00E54E65" w:rsidRPr="00A92273">
        <w:rPr>
          <w:rFonts w:ascii="Simplified Arabic" w:hAnsi="Simplified Arabic" w:cs="Simplified Arabic"/>
          <w:sz w:val="24"/>
          <w:szCs w:val="24"/>
          <w:rtl/>
          <w:lang w:bidi="ar-DZ"/>
        </w:rPr>
        <w:t xml:space="preserve"> </w:t>
      </w:r>
      <w:r w:rsidR="00E54E65" w:rsidRPr="00A92273">
        <w:rPr>
          <w:rFonts w:ascii="Simplified Arabic" w:hAnsi="Simplified Arabic" w:cs="Simplified Arabic" w:hint="cs"/>
          <w:sz w:val="24"/>
          <w:szCs w:val="24"/>
          <w:rtl/>
          <w:lang w:bidi="ar-DZ"/>
        </w:rPr>
        <w:t>شبكة</w:t>
      </w:r>
      <w:r w:rsidR="00E54E65" w:rsidRPr="00A92273">
        <w:rPr>
          <w:rFonts w:ascii="Simplified Arabic" w:hAnsi="Simplified Arabic" w:cs="Simplified Arabic"/>
          <w:sz w:val="24"/>
          <w:szCs w:val="24"/>
          <w:rtl/>
          <w:lang w:bidi="ar-DZ"/>
        </w:rPr>
        <w:t xml:space="preserve"> </w:t>
      </w:r>
      <w:r w:rsidR="00E54E65" w:rsidRPr="00A92273">
        <w:rPr>
          <w:rFonts w:ascii="Simplified Arabic" w:hAnsi="Simplified Arabic" w:cs="Simplified Arabic" w:hint="cs"/>
          <w:sz w:val="24"/>
          <w:szCs w:val="24"/>
          <w:rtl/>
          <w:lang w:bidi="ar-DZ"/>
        </w:rPr>
        <w:t>الشوارع والمسافة</w:t>
      </w:r>
      <w:r w:rsidR="00E54E65" w:rsidRPr="00A92273">
        <w:rPr>
          <w:rFonts w:ascii="Simplified Arabic" w:hAnsi="Simplified Arabic" w:cs="Simplified Arabic"/>
          <w:sz w:val="24"/>
          <w:szCs w:val="24"/>
          <w:rtl/>
          <w:lang w:bidi="ar-DZ"/>
        </w:rPr>
        <w:t xml:space="preserve"> </w:t>
      </w:r>
      <w:r w:rsidR="00E54E65" w:rsidRPr="00A92273">
        <w:rPr>
          <w:rFonts w:ascii="Simplified Arabic" w:hAnsi="Simplified Arabic" w:cs="Simplified Arabic" w:hint="cs"/>
          <w:sz w:val="24"/>
          <w:szCs w:val="24"/>
          <w:rtl/>
          <w:lang w:bidi="ar-DZ"/>
        </w:rPr>
        <w:t>الإقليدية</w:t>
      </w:r>
      <w:r w:rsidR="00E54E65" w:rsidRPr="00A92273">
        <w:rPr>
          <w:rFonts w:ascii="Simplified Arabic" w:hAnsi="Simplified Arabic" w:cs="Simplified Arabic" w:hint="cs"/>
          <w:sz w:val="24"/>
          <w:szCs w:val="24"/>
          <w:rtl/>
          <w:lang w:val="en-US" w:bidi="ar-DZ"/>
        </w:rPr>
        <w:t xml:space="preserve"> من</w:t>
      </w:r>
      <w:r w:rsidR="00C92D2C" w:rsidRPr="00A92273">
        <w:rPr>
          <w:rFonts w:ascii="Simplified Arabic" w:hAnsi="Simplified Arabic" w:cs="Simplified Arabic" w:hint="cs"/>
          <w:sz w:val="24"/>
          <w:szCs w:val="24"/>
          <w:rtl/>
          <w:lang w:val="en-US" w:bidi="ar-DZ"/>
        </w:rPr>
        <w:t xml:space="preserve"> 0.</w:t>
      </w:r>
      <w:r w:rsidR="0023280A" w:rsidRPr="00A92273">
        <w:rPr>
          <w:rFonts w:ascii="Simplified Arabic" w:hAnsi="Simplified Arabic" w:cs="Simplified Arabic" w:hint="cs"/>
          <w:sz w:val="24"/>
          <w:szCs w:val="24"/>
          <w:rtl/>
          <w:lang w:val="en-US" w:bidi="ar-DZ"/>
        </w:rPr>
        <w:t>4</w:t>
      </w:r>
      <w:r w:rsidR="00FF68B3">
        <w:rPr>
          <w:rFonts w:ascii="Simplified Arabic" w:hAnsi="Simplified Arabic" w:cs="Simplified Arabic" w:hint="cs"/>
          <w:sz w:val="24"/>
          <w:szCs w:val="24"/>
          <w:rtl/>
          <w:lang w:val="en-US" w:bidi="ar-DZ"/>
        </w:rPr>
        <w:t>8</w:t>
      </w:r>
      <w:r w:rsidR="00C92D2C" w:rsidRPr="00A92273">
        <w:rPr>
          <w:rFonts w:ascii="Simplified Arabic" w:hAnsi="Simplified Arabic" w:cs="Simplified Arabic" w:hint="cs"/>
          <w:sz w:val="24"/>
          <w:szCs w:val="24"/>
          <w:rtl/>
          <w:lang w:val="en-US" w:bidi="ar-DZ"/>
        </w:rPr>
        <w:t xml:space="preserve"> و 0.</w:t>
      </w:r>
      <w:r w:rsidR="0023280A" w:rsidRPr="00A92273">
        <w:rPr>
          <w:rFonts w:ascii="Simplified Arabic" w:hAnsi="Simplified Arabic" w:cs="Simplified Arabic" w:hint="cs"/>
          <w:sz w:val="24"/>
          <w:szCs w:val="24"/>
          <w:rtl/>
          <w:lang w:val="en-US" w:bidi="ar-DZ"/>
        </w:rPr>
        <w:t>5</w:t>
      </w:r>
      <w:r w:rsidR="00ED58E0" w:rsidRPr="00A92273">
        <w:rPr>
          <w:rFonts w:ascii="Simplified Arabic" w:hAnsi="Simplified Arabic" w:cs="Simplified Arabic" w:hint="cs"/>
          <w:sz w:val="24"/>
          <w:szCs w:val="24"/>
          <w:rtl/>
          <w:lang w:val="en-US" w:bidi="ar-DZ"/>
        </w:rPr>
        <w:t>4</w:t>
      </w:r>
      <w:r w:rsidR="00C92D2C" w:rsidRPr="00A92273">
        <w:rPr>
          <w:rFonts w:ascii="Simplified Arabic" w:hAnsi="Simplified Arabic" w:cs="Simplified Arabic" w:hint="cs"/>
          <w:sz w:val="24"/>
          <w:szCs w:val="24"/>
          <w:rtl/>
          <w:lang w:val="en-US" w:bidi="ar-DZ"/>
        </w:rPr>
        <w:t>، كما هو مبين في الشكل (6-</w:t>
      </w:r>
      <w:r w:rsidR="005373F7" w:rsidRPr="00A92273">
        <w:rPr>
          <w:rFonts w:ascii="Simplified Arabic" w:hAnsi="Simplified Arabic" w:cs="Simplified Arabic" w:hint="cs"/>
          <w:sz w:val="24"/>
          <w:szCs w:val="24"/>
          <w:rtl/>
          <w:lang w:val="en-US" w:bidi="ar-DZ"/>
        </w:rPr>
        <w:t>15</w:t>
      </w:r>
      <w:r w:rsidR="00C92D2C" w:rsidRPr="00A92273">
        <w:rPr>
          <w:rFonts w:ascii="Simplified Arabic" w:hAnsi="Simplified Arabic" w:cs="Simplified Arabic" w:hint="cs"/>
          <w:sz w:val="24"/>
          <w:szCs w:val="24"/>
          <w:rtl/>
          <w:lang w:val="en-US" w:bidi="ar-DZ"/>
        </w:rPr>
        <w:t>)، مما</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يدل على</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مستوى</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عالٍ لإمكانية</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الوصول</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نحو</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جميع</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الأنحاء</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 xml:space="preserve">المحتملة لحي </w:t>
      </w:r>
      <w:r w:rsidR="00C92D2C" w:rsidRPr="00A92273">
        <w:rPr>
          <w:rFonts w:ascii="Simplified Arabic" w:hAnsi="Simplified Arabic" w:cs="Simplified Arabic" w:hint="cs"/>
          <w:sz w:val="24"/>
          <w:szCs w:val="24"/>
          <w:rtl/>
        </w:rPr>
        <w:t>الحمايد</w:t>
      </w:r>
      <w:r w:rsidR="00C92D2C" w:rsidRPr="00A92273">
        <w:rPr>
          <w:rFonts w:ascii="Simplified Arabic" w:hAnsi="Simplified Arabic" w:cs="Simplified Arabic" w:hint="cs"/>
          <w:sz w:val="24"/>
          <w:szCs w:val="24"/>
          <w:rtl/>
          <w:lang w:val="en-US" w:bidi="ar-DZ"/>
        </w:rPr>
        <w:t xml:space="preserve"> وهي</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قيم</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مرتفعة</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مقارنة</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بالفئة</w:t>
      </w:r>
      <w:r w:rsidR="00C92D2C" w:rsidRPr="00A92273">
        <w:rPr>
          <w:rFonts w:ascii="Simplified Arabic" w:hAnsi="Simplified Arabic" w:cs="Simplified Arabic"/>
          <w:sz w:val="24"/>
          <w:szCs w:val="24"/>
          <w:rtl/>
          <w:lang w:val="en-US" w:bidi="ar-DZ"/>
        </w:rPr>
        <w:t xml:space="preserve"> </w:t>
      </w:r>
      <w:r w:rsidR="00C92D2C" w:rsidRPr="00A92273">
        <w:rPr>
          <w:rFonts w:ascii="Simplified Arabic" w:hAnsi="Simplified Arabic" w:cs="Simplified Arabic" w:hint="cs"/>
          <w:sz w:val="24"/>
          <w:szCs w:val="24"/>
          <w:rtl/>
          <w:lang w:val="en-US" w:bidi="ar-DZ"/>
        </w:rPr>
        <w:t>السابقة (أ،جـ)</w:t>
      </w:r>
      <w:r w:rsidR="00AF3640" w:rsidRPr="00A92273">
        <w:rPr>
          <w:rFonts w:ascii="Simplified Arabic" w:hAnsi="Simplified Arabic" w:cs="Simplified Arabic" w:hint="cs"/>
          <w:sz w:val="24"/>
          <w:szCs w:val="24"/>
          <w:rtl/>
          <w:lang w:val="en-US" w:bidi="ar-DZ"/>
        </w:rPr>
        <w:t>. مما</w:t>
      </w:r>
      <w:r w:rsidR="00AF3640" w:rsidRPr="00A92273">
        <w:rPr>
          <w:rFonts w:ascii="Simplified Arabic" w:hAnsi="Simplified Arabic" w:cs="Simplified Arabic"/>
          <w:sz w:val="24"/>
          <w:szCs w:val="24"/>
          <w:rtl/>
          <w:lang w:val="en-US" w:bidi="ar-DZ"/>
        </w:rPr>
        <w:t xml:space="preserve"> </w:t>
      </w:r>
      <w:r w:rsidR="003B2908" w:rsidRPr="00A92273">
        <w:rPr>
          <w:rFonts w:ascii="Simplified Arabic" w:hAnsi="Simplified Arabic" w:cs="Simplified Arabic" w:hint="cs"/>
          <w:sz w:val="24"/>
          <w:szCs w:val="24"/>
          <w:rtl/>
          <w:lang w:val="en-US" w:bidi="ar-DZ"/>
        </w:rPr>
        <w:t>يشير</w:t>
      </w:r>
      <w:r w:rsidR="00AF3640" w:rsidRPr="00A92273">
        <w:rPr>
          <w:rFonts w:ascii="Simplified Arabic" w:hAnsi="Simplified Arabic" w:cs="Simplified Arabic" w:hint="cs"/>
          <w:sz w:val="24"/>
          <w:szCs w:val="24"/>
          <w:rtl/>
          <w:lang w:val="en-US" w:bidi="ar-DZ"/>
        </w:rPr>
        <w:t xml:space="preserve"> </w:t>
      </w:r>
      <w:r w:rsidR="003B2908" w:rsidRPr="00A92273">
        <w:rPr>
          <w:rFonts w:ascii="Simplified Arabic" w:hAnsi="Simplified Arabic" w:cs="Simplified Arabic" w:hint="cs"/>
          <w:sz w:val="24"/>
          <w:szCs w:val="24"/>
          <w:rtl/>
          <w:lang w:val="en-US" w:bidi="ar-DZ"/>
        </w:rPr>
        <w:t>ا</w:t>
      </w:r>
      <w:r w:rsidR="00AF3640" w:rsidRPr="00A92273">
        <w:rPr>
          <w:rFonts w:ascii="Simplified Arabic" w:hAnsi="Simplified Arabic" w:cs="Simplified Arabic" w:hint="cs"/>
          <w:sz w:val="24"/>
          <w:szCs w:val="24"/>
          <w:rtl/>
          <w:lang w:val="en-US" w:bidi="ar-DZ"/>
        </w:rPr>
        <w:t>لى</w:t>
      </w:r>
      <w:r w:rsidR="00AF3640" w:rsidRPr="00A92273">
        <w:rPr>
          <w:rFonts w:ascii="Simplified Arabic" w:hAnsi="Simplified Arabic" w:cs="Simplified Arabic"/>
          <w:sz w:val="24"/>
          <w:szCs w:val="24"/>
          <w:rtl/>
          <w:lang w:val="en-US" w:bidi="ar-DZ"/>
        </w:rPr>
        <w:t xml:space="preserve"> </w:t>
      </w:r>
      <w:r w:rsidR="00AF3640" w:rsidRPr="00A92273">
        <w:rPr>
          <w:rFonts w:ascii="Simplified Arabic" w:hAnsi="Simplified Arabic" w:cs="Simplified Arabic" w:hint="cs"/>
          <w:sz w:val="24"/>
          <w:szCs w:val="24"/>
          <w:rtl/>
          <w:lang w:val="en-US" w:bidi="ar-DZ"/>
        </w:rPr>
        <w:t>مستوى</w:t>
      </w:r>
      <w:r w:rsidR="00AF3640" w:rsidRPr="00A92273">
        <w:rPr>
          <w:rFonts w:ascii="Simplified Arabic" w:hAnsi="Simplified Arabic" w:cs="Simplified Arabic"/>
          <w:sz w:val="24"/>
          <w:szCs w:val="24"/>
          <w:rtl/>
          <w:lang w:val="en-US" w:bidi="ar-DZ"/>
        </w:rPr>
        <w:t xml:space="preserve"> </w:t>
      </w:r>
      <w:r w:rsidR="00AF3640" w:rsidRPr="00A92273">
        <w:rPr>
          <w:rFonts w:ascii="Simplified Arabic" w:hAnsi="Simplified Arabic" w:cs="Simplified Arabic" w:hint="cs"/>
          <w:sz w:val="24"/>
          <w:szCs w:val="24"/>
          <w:rtl/>
          <w:lang w:val="en-US" w:bidi="ar-DZ"/>
        </w:rPr>
        <w:t>عالٍ لإمكانية</w:t>
      </w:r>
      <w:r w:rsidR="00AF3640" w:rsidRPr="00A92273">
        <w:rPr>
          <w:rFonts w:ascii="Simplified Arabic" w:hAnsi="Simplified Arabic" w:cs="Simplified Arabic"/>
          <w:sz w:val="24"/>
          <w:szCs w:val="24"/>
          <w:rtl/>
          <w:lang w:val="en-US" w:bidi="ar-DZ"/>
        </w:rPr>
        <w:t xml:space="preserve"> </w:t>
      </w:r>
      <w:r w:rsidR="00AF3640" w:rsidRPr="00A92273">
        <w:rPr>
          <w:rFonts w:ascii="Simplified Arabic" w:hAnsi="Simplified Arabic" w:cs="Simplified Arabic" w:hint="cs"/>
          <w:sz w:val="24"/>
          <w:szCs w:val="24"/>
          <w:rtl/>
          <w:lang w:val="en-US" w:bidi="ar-DZ"/>
        </w:rPr>
        <w:t>الوصول</w:t>
      </w:r>
      <w:r w:rsidR="00AF3640" w:rsidRPr="00A92273">
        <w:rPr>
          <w:rFonts w:ascii="Simplified Arabic" w:hAnsi="Simplified Arabic" w:cs="Simplified Arabic"/>
          <w:sz w:val="24"/>
          <w:szCs w:val="24"/>
          <w:rtl/>
          <w:lang w:val="en-US" w:bidi="ar-DZ"/>
        </w:rPr>
        <w:t xml:space="preserve"> </w:t>
      </w:r>
      <w:r w:rsidR="00AF3640" w:rsidRPr="00A92273">
        <w:rPr>
          <w:rFonts w:ascii="Simplified Arabic" w:hAnsi="Simplified Arabic" w:cs="Simplified Arabic" w:hint="cs"/>
          <w:sz w:val="24"/>
          <w:szCs w:val="24"/>
          <w:rtl/>
          <w:lang w:val="en-US" w:bidi="ar-DZ"/>
        </w:rPr>
        <w:t>نحو</w:t>
      </w:r>
      <w:r w:rsidR="00AF3640" w:rsidRPr="00A92273">
        <w:rPr>
          <w:rFonts w:ascii="Simplified Arabic" w:hAnsi="Simplified Arabic" w:cs="Simplified Arabic"/>
          <w:sz w:val="24"/>
          <w:szCs w:val="24"/>
          <w:rtl/>
          <w:lang w:val="en-US" w:bidi="ar-DZ"/>
        </w:rPr>
        <w:t xml:space="preserve"> </w:t>
      </w:r>
      <w:r w:rsidR="00AF3640" w:rsidRPr="00A92273">
        <w:rPr>
          <w:rFonts w:ascii="Simplified Arabic" w:hAnsi="Simplified Arabic" w:cs="Simplified Arabic" w:hint="cs"/>
          <w:sz w:val="24"/>
          <w:szCs w:val="24"/>
          <w:rtl/>
          <w:lang w:val="en-US" w:bidi="ar-DZ"/>
        </w:rPr>
        <w:t>جميع</w:t>
      </w:r>
      <w:r w:rsidR="00AF3640" w:rsidRPr="00A92273">
        <w:rPr>
          <w:rFonts w:ascii="Simplified Arabic" w:hAnsi="Simplified Arabic" w:cs="Simplified Arabic"/>
          <w:sz w:val="24"/>
          <w:szCs w:val="24"/>
          <w:rtl/>
          <w:lang w:val="en-US" w:bidi="ar-DZ"/>
        </w:rPr>
        <w:t xml:space="preserve"> </w:t>
      </w:r>
      <w:r w:rsidR="00AF3640" w:rsidRPr="00A92273">
        <w:rPr>
          <w:rFonts w:ascii="Simplified Arabic" w:hAnsi="Simplified Arabic" w:cs="Simplified Arabic" w:hint="cs"/>
          <w:sz w:val="24"/>
          <w:szCs w:val="24"/>
          <w:rtl/>
          <w:lang w:val="en-US" w:bidi="ar-DZ"/>
        </w:rPr>
        <w:t>الوجهات</w:t>
      </w:r>
      <w:r w:rsidR="00AF3640" w:rsidRPr="00A92273">
        <w:rPr>
          <w:rFonts w:ascii="Simplified Arabic" w:hAnsi="Simplified Arabic" w:cs="Simplified Arabic"/>
          <w:sz w:val="24"/>
          <w:szCs w:val="24"/>
          <w:rtl/>
          <w:lang w:val="en-US" w:bidi="ar-DZ"/>
        </w:rPr>
        <w:t xml:space="preserve"> </w:t>
      </w:r>
      <w:r w:rsidR="00AF3640" w:rsidRPr="00A92273">
        <w:rPr>
          <w:rFonts w:ascii="Simplified Arabic" w:hAnsi="Simplified Arabic" w:cs="Simplified Arabic" w:hint="cs"/>
          <w:sz w:val="24"/>
          <w:szCs w:val="24"/>
          <w:rtl/>
          <w:lang w:val="en-US" w:bidi="ar-DZ"/>
        </w:rPr>
        <w:t xml:space="preserve">المحتملة لحي </w:t>
      </w:r>
      <w:r w:rsidR="00D316BB" w:rsidRPr="00A92273">
        <w:rPr>
          <w:rFonts w:ascii="Simplified Arabic" w:hAnsi="Simplified Arabic" w:cs="Simplified Arabic" w:hint="cs"/>
          <w:sz w:val="24"/>
          <w:szCs w:val="24"/>
          <w:rtl/>
        </w:rPr>
        <w:t>الحمايد</w:t>
      </w:r>
      <w:r w:rsidR="00AF3640" w:rsidRPr="00A92273">
        <w:rPr>
          <w:rFonts w:ascii="Simplified Arabic" w:hAnsi="Simplified Arabic" w:cs="Simplified Arabic" w:hint="cs"/>
          <w:sz w:val="24"/>
          <w:szCs w:val="24"/>
          <w:rtl/>
          <w:lang w:val="en-US" w:bidi="ar-DZ"/>
        </w:rPr>
        <w:t>.</w:t>
      </w:r>
      <w:r w:rsidR="00AF3640" w:rsidRPr="00A92273">
        <w:rPr>
          <w:rFonts w:ascii="Simplified Arabic" w:hAnsi="Simplified Arabic" w:cs="Simplified Arabic"/>
          <w:sz w:val="24"/>
          <w:szCs w:val="24"/>
          <w:rtl/>
          <w:lang w:val="en-US" w:bidi="ar-DZ"/>
        </w:rPr>
        <w:t xml:space="preserve"> </w:t>
      </w:r>
    </w:p>
    <w:p w:rsidR="00AF3640" w:rsidRPr="00A92273" w:rsidRDefault="00AF3640" w:rsidP="00A92273">
      <w:pPr>
        <w:pStyle w:val="Paragraphedeliste"/>
        <w:autoSpaceDE w:val="0"/>
        <w:autoSpaceDN w:val="0"/>
        <w:bidi/>
        <w:adjustRightInd w:val="0"/>
        <w:spacing w:before="240" w:after="0"/>
        <w:ind w:left="0" w:firstLine="283"/>
        <w:jc w:val="both"/>
        <w:rPr>
          <w:rFonts w:ascii="Simplified Arabic" w:hAnsi="Simplified Arabic" w:cs="Simplified Arabic"/>
          <w:sz w:val="24"/>
          <w:szCs w:val="24"/>
          <w:rtl/>
        </w:rPr>
      </w:pPr>
      <w:r w:rsidRPr="00A92273">
        <w:rPr>
          <w:rFonts w:ascii="Simplified Arabic" w:hAnsi="Simplified Arabic" w:cs="Simplified Arabic" w:hint="cs"/>
          <w:sz w:val="24"/>
          <w:szCs w:val="24"/>
          <w:rtl/>
          <w:lang w:val="en-US" w:bidi="ar-DZ"/>
        </w:rPr>
        <w:t>تتركز</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 xml:space="preserve">خصوصا تلك </w:t>
      </w:r>
      <w:r w:rsidR="003B2908" w:rsidRPr="00A92273">
        <w:rPr>
          <w:rFonts w:ascii="Simplified Arabic" w:hAnsi="Simplified Arabic" w:cs="Simplified Arabic" w:hint="cs"/>
          <w:sz w:val="24"/>
          <w:szCs w:val="24"/>
          <w:rtl/>
          <w:lang w:val="en-US" w:bidi="ar-DZ"/>
        </w:rPr>
        <w:t>الاعداد</w:t>
      </w:r>
      <w:r w:rsidRPr="00A92273">
        <w:rPr>
          <w:rFonts w:ascii="Simplified Arabic" w:hAnsi="Simplified Arabic" w:cs="Simplified Arabic"/>
          <w:sz w:val="24"/>
          <w:szCs w:val="24"/>
          <w:rtl/>
        </w:rPr>
        <w:t xml:space="preserve"> </w:t>
      </w:r>
      <w:r w:rsidR="003B2908" w:rsidRPr="00A92273">
        <w:rPr>
          <w:rFonts w:ascii="Simplified Arabic" w:hAnsi="Simplified Arabic" w:cs="Simplified Arabic" w:hint="cs"/>
          <w:sz w:val="24"/>
          <w:szCs w:val="24"/>
          <w:rtl/>
          <w:lang w:val="en-US" w:bidi="ar-DZ"/>
        </w:rPr>
        <w:t>المرتفعة</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ل</w:t>
      </w:r>
      <w:r w:rsidRPr="00A92273">
        <w:rPr>
          <w:rFonts w:ascii="Simplified Arabic" w:hAnsi="Simplified Arabic" w:cs="Simplified Arabic" w:hint="cs"/>
          <w:sz w:val="24"/>
          <w:szCs w:val="24"/>
          <w:rtl/>
        </w:rPr>
        <w:t>لمباني</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lang w:val="en-US" w:bidi="ar-DZ"/>
        </w:rPr>
        <w:t>التي</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يمكن</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الوصول</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إليها</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في</w:t>
      </w:r>
      <w:r w:rsidRPr="00A92273">
        <w:rPr>
          <w:rFonts w:ascii="Simplified Arabic" w:hAnsi="Simplified Arabic" w:cs="Simplified Arabic"/>
          <w:sz w:val="24"/>
          <w:szCs w:val="24"/>
          <w:rtl/>
          <w:lang w:val="en-US" w:bidi="ar-DZ"/>
        </w:rPr>
        <w:t xml:space="preserve"> </w:t>
      </w:r>
      <w:r w:rsidR="00D316BB" w:rsidRPr="00A92273">
        <w:rPr>
          <w:rFonts w:ascii="Simplified Arabic" w:hAnsi="Simplified Arabic" w:cs="Simplified Arabic" w:hint="cs"/>
          <w:sz w:val="24"/>
          <w:szCs w:val="24"/>
          <w:rtl/>
          <w:lang w:val="en-US" w:bidi="ar-DZ"/>
        </w:rPr>
        <w:t>الجزء الشمالي</w:t>
      </w:r>
      <w:r w:rsidRPr="00A92273">
        <w:rPr>
          <w:rFonts w:ascii="Simplified Arabic" w:hAnsi="Simplified Arabic" w:cs="Simplified Arabic"/>
          <w:sz w:val="24"/>
          <w:szCs w:val="24"/>
          <w:rtl/>
          <w:lang w:val="en-US" w:bidi="ar-DZ"/>
        </w:rPr>
        <w:t xml:space="preserve"> </w:t>
      </w:r>
      <w:r w:rsidR="00D316BB" w:rsidRPr="00A92273">
        <w:rPr>
          <w:rFonts w:ascii="Simplified Arabic" w:hAnsi="Simplified Arabic" w:cs="Simplified Arabic" w:hint="cs"/>
          <w:sz w:val="24"/>
          <w:szCs w:val="24"/>
          <w:rtl/>
          <w:lang w:val="en-US" w:bidi="ar-DZ"/>
        </w:rPr>
        <w:t>ل</w:t>
      </w:r>
      <w:r w:rsidRPr="00A92273">
        <w:rPr>
          <w:rFonts w:ascii="Simplified Arabic" w:hAnsi="Simplified Arabic" w:cs="Simplified Arabic" w:hint="cs"/>
          <w:sz w:val="24"/>
          <w:szCs w:val="24"/>
          <w:rtl/>
          <w:lang w:val="en-US" w:bidi="ar-DZ"/>
        </w:rPr>
        <w:t>لحي. يرتبط</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ذلك بثلاثة</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عوامل</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مهمة</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rPr>
        <w:t>تقسيمات</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rPr>
        <w:t>فرعية صغيرة</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rPr>
        <w:t>ومباني</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rPr>
        <w:t>ذات</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rPr>
        <w:t>مساحة</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rPr>
        <w:t xml:space="preserve">بناء </w:t>
      </w:r>
      <w:r w:rsidR="00D316BB" w:rsidRPr="00A92273">
        <w:rPr>
          <w:rFonts w:ascii="Simplified Arabic" w:hAnsi="Simplified Arabic" w:cs="Simplified Arabic" w:hint="cs"/>
          <w:sz w:val="24"/>
          <w:szCs w:val="24"/>
          <w:rtl/>
        </w:rPr>
        <w:t>كبيرة</w:t>
      </w:r>
      <w:r w:rsidRPr="00A92273">
        <w:rPr>
          <w:rFonts w:ascii="Simplified Arabic" w:hAnsi="Simplified Arabic" w:cs="Simplified Arabic" w:hint="cs"/>
          <w:sz w:val="24"/>
          <w:szCs w:val="24"/>
          <w:rtl/>
        </w:rPr>
        <w:t xml:space="preserve"> (اكبر من </w:t>
      </w:r>
      <w:r w:rsidR="00D316BB" w:rsidRPr="00A92273">
        <w:rPr>
          <w:rFonts w:ascii="Simplified Arabic" w:hAnsi="Simplified Arabic" w:cs="Simplified Arabic" w:hint="cs"/>
          <w:sz w:val="24"/>
          <w:szCs w:val="24"/>
          <w:rtl/>
        </w:rPr>
        <w:t>211</w:t>
      </w:r>
      <w:r w:rsidRPr="00A92273">
        <w:rPr>
          <w:rFonts w:ascii="Simplified Arabic" w:hAnsi="Simplified Arabic" w:cs="Simplified Arabic" w:hint="cs"/>
          <w:sz w:val="24"/>
          <w:szCs w:val="24"/>
          <w:rtl/>
        </w:rPr>
        <w:t>م</w:t>
      </w:r>
      <w:r w:rsidRPr="00A92273">
        <w:rPr>
          <w:rFonts w:ascii="Simplified Arabic" w:hAnsi="Simplified Arabic" w:cs="Simplified Arabic" w:hint="cs"/>
          <w:sz w:val="24"/>
          <w:szCs w:val="24"/>
          <w:vertAlign w:val="superscript"/>
          <w:rtl/>
        </w:rPr>
        <w:t>2</w:t>
      </w:r>
      <w:r w:rsidRPr="00A92273">
        <w:rPr>
          <w:rFonts w:ascii="Simplified Arabic" w:hAnsi="Simplified Arabic" w:cs="Simplified Arabic" w:hint="cs"/>
          <w:sz w:val="24"/>
          <w:szCs w:val="24"/>
          <w:rtl/>
        </w:rPr>
        <w:t xml:space="preserve">) </w:t>
      </w:r>
      <w:r w:rsidRPr="00A92273">
        <w:rPr>
          <w:rFonts w:ascii="Simplified Arabic" w:hAnsi="Simplified Arabic" w:cs="Simplified Arabic" w:hint="cs"/>
          <w:sz w:val="24"/>
          <w:szCs w:val="24"/>
          <w:rtl/>
          <w:lang w:val="en-US" w:bidi="ar-DZ"/>
        </w:rPr>
        <w:t xml:space="preserve">ووجود </w:t>
      </w:r>
      <w:r w:rsidRPr="00A92273">
        <w:rPr>
          <w:rFonts w:ascii="Simplified Arabic" w:hAnsi="Simplified Arabic" w:cs="Simplified Arabic" w:hint="cs"/>
          <w:sz w:val="24"/>
          <w:szCs w:val="24"/>
          <w:rtl/>
        </w:rPr>
        <w:t>طرق</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rPr>
        <w:t>واسعة</w:t>
      </w:r>
      <w:r w:rsidRPr="00A92273">
        <w:rPr>
          <w:rFonts w:ascii="Simplified Arabic" w:hAnsi="Simplified Arabic" w:cs="Simplified Arabic"/>
          <w:sz w:val="24"/>
          <w:szCs w:val="24"/>
          <w:rtl/>
          <w:lang w:val="en-US" w:bidi="ar-DZ"/>
        </w:rPr>
        <w:t xml:space="preserve"> </w:t>
      </w:r>
      <w:r w:rsidRPr="00A92273">
        <w:rPr>
          <w:rFonts w:ascii="Simplified Arabic" w:hAnsi="Simplified Arabic" w:cs="Simplified Arabic" w:hint="cs"/>
          <w:sz w:val="24"/>
          <w:szCs w:val="24"/>
          <w:rtl/>
          <w:lang w:val="en-US" w:bidi="ar-DZ"/>
        </w:rPr>
        <w:t>شطرنجية</w:t>
      </w:r>
      <w:r w:rsidRPr="00A92273">
        <w:rPr>
          <w:rFonts w:ascii="Simplified Arabic" w:hAnsi="Simplified Arabic" w:cs="Simplified Arabic"/>
          <w:sz w:val="24"/>
          <w:szCs w:val="24"/>
          <w:rtl/>
        </w:rPr>
        <w:t xml:space="preserve"> </w:t>
      </w:r>
      <w:r w:rsidRPr="00A92273">
        <w:rPr>
          <w:rFonts w:ascii="Simplified Arabic" w:hAnsi="Simplified Arabic" w:cs="Simplified Arabic" w:hint="cs"/>
          <w:color w:val="000000" w:themeColor="text1"/>
          <w:sz w:val="24"/>
          <w:szCs w:val="24"/>
          <w:rtl/>
        </w:rPr>
        <w:t xml:space="preserve">التي تزيد من </w:t>
      </w:r>
      <w:r w:rsidRPr="00A92273">
        <w:rPr>
          <w:rFonts w:ascii="Simplified Arabic" w:hAnsi="Simplified Arabic" w:cs="Simplified Arabic" w:hint="cs"/>
          <w:sz w:val="24"/>
          <w:szCs w:val="24"/>
          <w:rtl/>
        </w:rPr>
        <w:t xml:space="preserve">امكانية الوصول نحو الوجهات المختلفة للمباني، </w:t>
      </w:r>
      <w:r w:rsidRPr="00A92273">
        <w:rPr>
          <w:rFonts w:ascii="Simplified Arabic" w:hAnsi="Simplified Arabic" w:cs="Simplified Arabic"/>
          <w:sz w:val="24"/>
          <w:szCs w:val="24"/>
          <w:rtl/>
        </w:rPr>
        <w:t>بالتالي</w:t>
      </w:r>
      <w:r w:rsidRPr="00A92273">
        <w:rPr>
          <w:rFonts w:ascii="Simplified Arabic" w:hAnsi="Simplified Arabic" w:cs="Simplified Arabic" w:hint="cs"/>
          <w:sz w:val="24"/>
          <w:szCs w:val="24"/>
          <w:rtl/>
        </w:rPr>
        <w:t>،</w:t>
      </w:r>
      <w:r w:rsidRPr="00A92273">
        <w:rPr>
          <w:rFonts w:ascii="Simplified Arabic" w:hAnsi="Simplified Arabic" w:cs="Simplified Arabic"/>
          <w:sz w:val="24"/>
          <w:szCs w:val="24"/>
          <w:rtl/>
        </w:rPr>
        <w:t xml:space="preserve"> تحقق </w:t>
      </w:r>
      <w:r w:rsidRPr="00A92273">
        <w:rPr>
          <w:rFonts w:ascii="Simplified Arabic" w:hAnsi="Simplified Arabic" w:cs="Simplified Arabic" w:hint="cs"/>
          <w:sz w:val="24"/>
          <w:szCs w:val="24"/>
          <w:rtl/>
          <w:lang w:val="en-US" w:bidi="ar-DZ"/>
        </w:rPr>
        <w:t>فئة النسيج الحضري (</w:t>
      </w:r>
      <w:r w:rsidR="0007343E" w:rsidRPr="00A92273">
        <w:rPr>
          <w:rFonts w:ascii="Simplified Arabic" w:hAnsi="Simplified Arabic" w:cs="Simplified Arabic" w:hint="cs"/>
          <w:sz w:val="24"/>
          <w:szCs w:val="24"/>
          <w:rtl/>
          <w:lang w:val="en-US" w:bidi="ar-DZ"/>
        </w:rPr>
        <w:t>د</w:t>
      </w:r>
      <w:r w:rsidRPr="00A92273">
        <w:rPr>
          <w:rFonts w:ascii="Simplified Arabic" w:hAnsi="Simplified Arabic" w:cs="Simplified Arabic" w:hint="cs"/>
          <w:sz w:val="24"/>
          <w:szCs w:val="24"/>
          <w:rtl/>
          <w:lang w:val="en-US" w:bidi="ar-DZ"/>
        </w:rPr>
        <w:t xml:space="preserve">) </w:t>
      </w:r>
      <w:r w:rsidRPr="00A92273">
        <w:rPr>
          <w:rFonts w:ascii="Simplified Arabic" w:hAnsi="Simplified Arabic" w:cs="Simplified Arabic" w:hint="cs"/>
          <w:sz w:val="24"/>
          <w:szCs w:val="24"/>
          <w:rtl/>
        </w:rPr>
        <w:t xml:space="preserve">مستوى </w:t>
      </w:r>
      <w:r w:rsidRPr="00A92273">
        <w:rPr>
          <w:rFonts w:ascii="Simplified Arabic" w:hAnsi="Simplified Arabic" w:cs="Simplified Arabic"/>
          <w:sz w:val="24"/>
          <w:szCs w:val="24"/>
          <w:rtl/>
        </w:rPr>
        <w:t xml:space="preserve">مرونة </w:t>
      </w:r>
      <w:r w:rsidRPr="00A92273">
        <w:rPr>
          <w:rFonts w:ascii="Simplified Arabic" w:hAnsi="Simplified Arabic" w:cs="Simplified Arabic" w:hint="cs"/>
          <w:sz w:val="24"/>
          <w:szCs w:val="24"/>
          <w:rtl/>
        </w:rPr>
        <w:t>مكانية</w:t>
      </w:r>
      <w:r w:rsidRPr="00A92273">
        <w:rPr>
          <w:rFonts w:ascii="Simplified Arabic" w:hAnsi="Simplified Arabic" w:cs="Simplified Arabic"/>
          <w:sz w:val="24"/>
          <w:szCs w:val="24"/>
          <w:rtl/>
        </w:rPr>
        <w:t xml:space="preserve"> </w:t>
      </w:r>
      <w:r w:rsidRPr="00A92273">
        <w:rPr>
          <w:rFonts w:ascii="Simplified Arabic" w:hAnsi="Simplified Arabic" w:cs="Simplified Arabic" w:hint="cs"/>
          <w:sz w:val="24"/>
          <w:szCs w:val="24"/>
          <w:rtl/>
        </w:rPr>
        <w:t>عالية</w:t>
      </w:r>
      <w:r w:rsidRPr="00A92273">
        <w:rPr>
          <w:rFonts w:ascii="Simplified Arabic" w:hAnsi="Simplified Arabic" w:cs="Simplified Arabic"/>
          <w:sz w:val="24"/>
          <w:szCs w:val="24"/>
          <w:rtl/>
        </w:rPr>
        <w:t>.</w:t>
      </w:r>
    </w:p>
    <w:p w:rsidR="00076D1B" w:rsidRDefault="00076D1B" w:rsidP="00224CB9">
      <w:pPr>
        <w:pStyle w:val="fegure"/>
        <w:spacing w:before="240"/>
        <w:rPr>
          <w:sz w:val="6"/>
          <w:szCs w:val="22"/>
          <w:rtl/>
          <w:lang w:bidi="ar-DZ"/>
        </w:rPr>
      </w:pPr>
      <w:bookmarkStart w:id="849" w:name="_Toc157608366"/>
      <w:bookmarkStart w:id="850" w:name="_Toc171803817"/>
      <w:r w:rsidRPr="00A251AC">
        <w:rPr>
          <w:rFonts w:hint="cs"/>
          <w:sz w:val="6"/>
          <w:szCs w:val="22"/>
          <w:rtl/>
          <w:lang w:bidi="ar-DZ"/>
        </w:rPr>
        <w:t>الشكل (6-</w:t>
      </w:r>
      <w:r w:rsidR="005373F7" w:rsidRPr="00A251AC">
        <w:rPr>
          <w:rFonts w:hint="cs"/>
          <w:sz w:val="6"/>
          <w:szCs w:val="22"/>
          <w:rtl/>
          <w:lang w:bidi="ar-DZ"/>
        </w:rPr>
        <w:t>15</w:t>
      </w:r>
      <w:r w:rsidRPr="00A251AC">
        <w:rPr>
          <w:rFonts w:hint="cs"/>
          <w:sz w:val="6"/>
          <w:szCs w:val="22"/>
          <w:rtl/>
          <w:lang w:bidi="ar-DZ"/>
        </w:rPr>
        <w:t xml:space="preserve">) </w:t>
      </w:r>
      <w:r w:rsidRPr="00A251AC">
        <w:rPr>
          <w:rFonts w:hint="cs"/>
          <w:sz w:val="6"/>
          <w:szCs w:val="22"/>
          <w:rtl/>
          <w:lang w:val="en-US" w:bidi="ar-DZ"/>
        </w:rPr>
        <w:t>ل</w:t>
      </w:r>
      <w:r w:rsidRPr="00A251AC">
        <w:rPr>
          <w:rFonts w:hint="cs"/>
          <w:sz w:val="6"/>
          <w:szCs w:val="22"/>
          <w:rtl/>
          <w:lang w:bidi="ar-DZ"/>
        </w:rPr>
        <w:t>توزيع ا</w:t>
      </w:r>
      <w:r w:rsidRPr="00A251AC">
        <w:rPr>
          <w:rFonts w:hint="cs"/>
          <w:sz w:val="6"/>
          <w:szCs w:val="22"/>
          <w:rtl/>
          <w:lang w:val="en-US" w:bidi="ar-DZ"/>
        </w:rPr>
        <w:t xml:space="preserve">لنسب </w:t>
      </w:r>
      <w:r w:rsidRPr="00A251AC">
        <w:rPr>
          <w:rFonts w:hint="cs"/>
          <w:sz w:val="6"/>
          <w:szCs w:val="22"/>
          <w:rtl/>
          <w:lang w:bidi="ar-DZ"/>
        </w:rPr>
        <w:t>بين</w:t>
      </w:r>
      <w:r w:rsidRPr="00A251AC">
        <w:rPr>
          <w:sz w:val="6"/>
          <w:szCs w:val="22"/>
          <w:rtl/>
          <w:lang w:bidi="ar-DZ"/>
        </w:rPr>
        <w:t xml:space="preserve"> </w:t>
      </w:r>
      <w:r w:rsidRPr="00A251AC">
        <w:rPr>
          <w:rFonts w:hint="cs"/>
          <w:sz w:val="6"/>
          <w:szCs w:val="22"/>
          <w:rtl/>
          <w:lang w:bidi="ar-DZ"/>
        </w:rPr>
        <w:t>مسافة</w:t>
      </w:r>
      <w:r w:rsidRPr="00A251AC">
        <w:rPr>
          <w:sz w:val="6"/>
          <w:szCs w:val="22"/>
          <w:rtl/>
          <w:lang w:bidi="ar-DZ"/>
        </w:rPr>
        <w:t xml:space="preserve"> </w:t>
      </w:r>
      <w:r w:rsidRPr="00A251AC">
        <w:rPr>
          <w:rFonts w:hint="cs"/>
          <w:sz w:val="6"/>
          <w:szCs w:val="22"/>
          <w:rtl/>
          <w:lang w:bidi="ar-DZ"/>
        </w:rPr>
        <w:t>شبكة</w:t>
      </w:r>
      <w:r w:rsidRPr="00A251AC">
        <w:rPr>
          <w:sz w:val="6"/>
          <w:szCs w:val="22"/>
          <w:rtl/>
          <w:lang w:bidi="ar-DZ"/>
        </w:rPr>
        <w:t xml:space="preserve"> </w:t>
      </w:r>
      <w:r w:rsidRPr="00A251AC">
        <w:rPr>
          <w:rFonts w:hint="cs"/>
          <w:sz w:val="6"/>
          <w:szCs w:val="22"/>
          <w:rtl/>
          <w:lang w:bidi="ar-DZ"/>
        </w:rPr>
        <w:t>الشوارع والمسافة</w:t>
      </w:r>
      <w:r w:rsidRPr="00A251AC">
        <w:rPr>
          <w:sz w:val="6"/>
          <w:szCs w:val="22"/>
          <w:rtl/>
          <w:lang w:bidi="ar-DZ"/>
        </w:rPr>
        <w:t xml:space="preserve"> </w:t>
      </w:r>
      <w:r w:rsidRPr="00A251AC">
        <w:rPr>
          <w:rFonts w:hint="cs"/>
          <w:sz w:val="6"/>
          <w:szCs w:val="22"/>
          <w:rtl/>
          <w:lang w:bidi="ar-DZ"/>
        </w:rPr>
        <w:t>الإقليدية</w:t>
      </w:r>
      <w:r w:rsidRPr="00A251AC">
        <w:rPr>
          <w:sz w:val="6"/>
          <w:szCs w:val="22"/>
          <w:rtl/>
          <w:lang w:bidi="ar-DZ"/>
        </w:rPr>
        <w:t xml:space="preserve"> </w:t>
      </w:r>
      <w:r w:rsidRPr="00A251AC">
        <w:rPr>
          <w:rFonts w:hint="cs"/>
          <w:sz w:val="6"/>
          <w:szCs w:val="22"/>
          <w:rtl/>
          <w:lang w:bidi="ar-DZ"/>
        </w:rPr>
        <w:t>ل</w:t>
      </w:r>
      <w:r w:rsidRPr="00A251AC">
        <w:rPr>
          <w:rFonts w:hint="cs"/>
          <w:sz w:val="6"/>
          <w:szCs w:val="22"/>
          <w:rtl/>
          <w:lang w:val="en-US" w:bidi="ar-DZ"/>
        </w:rPr>
        <w:t>فئة النسيج الحضري (د)،</w:t>
      </w:r>
      <w:r w:rsidRPr="00A251AC">
        <w:rPr>
          <w:sz w:val="6"/>
          <w:szCs w:val="22"/>
          <w:rtl/>
          <w:lang w:val="en-US" w:bidi="ar-DZ"/>
        </w:rPr>
        <w:t xml:space="preserve"> </w:t>
      </w:r>
      <w:r w:rsidRPr="00A251AC">
        <w:rPr>
          <w:rFonts w:hint="cs"/>
          <w:sz w:val="6"/>
          <w:szCs w:val="22"/>
          <w:rtl/>
        </w:rPr>
        <w:t>حي الحمايد</w:t>
      </w:r>
      <w:bookmarkEnd w:id="849"/>
      <w:bookmarkEnd w:id="850"/>
      <w:r w:rsidRPr="00A251AC">
        <w:rPr>
          <w:rFonts w:hint="cs"/>
          <w:sz w:val="6"/>
          <w:szCs w:val="22"/>
          <w:rtl/>
          <w:lang w:bidi="ar-DZ"/>
        </w:rPr>
        <w:t xml:space="preserve"> </w:t>
      </w:r>
    </w:p>
    <w:p w:rsidR="00224CB9" w:rsidRPr="00224CB9" w:rsidRDefault="00986BEA" w:rsidP="00224CB9">
      <w:pPr>
        <w:pStyle w:val="fegure"/>
        <w:rPr>
          <w:sz w:val="8"/>
          <w:szCs w:val="24"/>
          <w:rtl/>
          <w:lang w:val="en-US"/>
        </w:rPr>
      </w:pPr>
      <w:bookmarkStart w:id="851" w:name="_Toc171803818"/>
      <w:r>
        <w:rPr>
          <w:rFonts w:hint="cs"/>
          <w:sz w:val="8"/>
          <w:szCs w:val="24"/>
          <w:rtl/>
          <w:lang w:val="en-US"/>
        </w:rPr>
        <w:t xml:space="preserve">المصدر: </w:t>
      </w:r>
      <w:r w:rsidR="00224CB9">
        <w:rPr>
          <w:rFonts w:hint="cs"/>
          <w:sz w:val="8"/>
          <w:szCs w:val="24"/>
          <w:rtl/>
          <w:lang w:val="en-US"/>
        </w:rPr>
        <w:t>(الباحث، 2022)</w:t>
      </w:r>
      <w:bookmarkEnd w:id="851"/>
    </w:p>
    <w:p w:rsidR="00FF68B3" w:rsidRPr="00A251AC" w:rsidRDefault="00FF68B3" w:rsidP="00224CB9">
      <w:pPr>
        <w:pStyle w:val="fegure"/>
        <w:spacing w:after="240"/>
        <w:rPr>
          <w:sz w:val="6"/>
          <w:szCs w:val="22"/>
          <w:rtl/>
          <w:lang w:bidi="ar-DZ"/>
        </w:rPr>
      </w:pPr>
      <w:bookmarkStart w:id="852" w:name="_Toc171803819"/>
      <w:r>
        <w:rPr>
          <w:noProof/>
          <w:lang w:eastAsia="fr-FR"/>
        </w:rPr>
        <w:drawing>
          <wp:inline distT="0" distB="0" distL="0" distR="0" wp14:anchorId="2E254EB1" wp14:editId="6848B3BD">
            <wp:extent cx="4261449" cy="2398144"/>
            <wp:effectExtent l="0" t="0" r="25400" b="2159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9"/>
              </a:graphicData>
            </a:graphic>
          </wp:inline>
        </w:drawing>
      </w:r>
      <w:bookmarkEnd w:id="852"/>
    </w:p>
    <w:p w:rsidR="00482FC6" w:rsidRDefault="00482FC6" w:rsidP="00456E70">
      <w:pPr>
        <w:autoSpaceDE w:val="0"/>
        <w:autoSpaceDN w:val="0"/>
        <w:bidi/>
        <w:adjustRightInd w:val="0"/>
        <w:spacing w:before="240" w:after="0"/>
        <w:ind w:firstLine="283"/>
        <w:jc w:val="both"/>
        <w:rPr>
          <w:rFonts w:ascii="Simplified Arabic" w:hAnsi="Simplified Arabic" w:cs="Simplified Arabic"/>
          <w:sz w:val="24"/>
          <w:szCs w:val="24"/>
          <w:rtl/>
          <w:lang w:val="en-US" w:bidi="ar-DZ"/>
        </w:rPr>
      </w:pPr>
    </w:p>
    <w:p w:rsidR="00482FC6" w:rsidRDefault="00482FC6" w:rsidP="00482FC6">
      <w:pPr>
        <w:autoSpaceDE w:val="0"/>
        <w:autoSpaceDN w:val="0"/>
        <w:bidi/>
        <w:adjustRightInd w:val="0"/>
        <w:spacing w:before="240" w:after="0"/>
        <w:ind w:firstLine="283"/>
        <w:jc w:val="both"/>
        <w:rPr>
          <w:rFonts w:ascii="Simplified Arabic" w:hAnsi="Simplified Arabic" w:cs="Simplified Arabic"/>
          <w:sz w:val="24"/>
          <w:szCs w:val="24"/>
          <w:rtl/>
          <w:lang w:val="en-US" w:bidi="ar-DZ"/>
        </w:rPr>
      </w:pPr>
    </w:p>
    <w:p w:rsidR="00482FC6" w:rsidRDefault="00482FC6" w:rsidP="00482FC6">
      <w:pPr>
        <w:autoSpaceDE w:val="0"/>
        <w:autoSpaceDN w:val="0"/>
        <w:bidi/>
        <w:adjustRightInd w:val="0"/>
        <w:spacing w:before="240" w:after="0"/>
        <w:ind w:firstLine="283"/>
        <w:jc w:val="both"/>
        <w:rPr>
          <w:rFonts w:ascii="Simplified Arabic" w:hAnsi="Simplified Arabic" w:cs="Simplified Arabic"/>
          <w:sz w:val="24"/>
          <w:szCs w:val="24"/>
          <w:rtl/>
          <w:lang w:val="en-US" w:bidi="ar-DZ"/>
        </w:rPr>
      </w:pPr>
    </w:p>
    <w:p w:rsidR="00482FC6" w:rsidRDefault="00482FC6" w:rsidP="00482FC6">
      <w:pPr>
        <w:autoSpaceDE w:val="0"/>
        <w:autoSpaceDN w:val="0"/>
        <w:bidi/>
        <w:adjustRightInd w:val="0"/>
        <w:spacing w:before="240" w:after="0"/>
        <w:ind w:firstLine="283"/>
        <w:jc w:val="both"/>
        <w:rPr>
          <w:rFonts w:ascii="Simplified Arabic" w:hAnsi="Simplified Arabic" w:cs="Simplified Arabic"/>
          <w:sz w:val="24"/>
          <w:szCs w:val="24"/>
          <w:rtl/>
          <w:lang w:val="en-US" w:bidi="ar-DZ"/>
        </w:rPr>
      </w:pPr>
    </w:p>
    <w:p w:rsidR="00482FC6" w:rsidRDefault="00482FC6" w:rsidP="00482FC6">
      <w:pPr>
        <w:autoSpaceDE w:val="0"/>
        <w:autoSpaceDN w:val="0"/>
        <w:bidi/>
        <w:adjustRightInd w:val="0"/>
        <w:spacing w:before="240" w:after="0"/>
        <w:ind w:firstLine="283"/>
        <w:jc w:val="both"/>
        <w:rPr>
          <w:rFonts w:ascii="Simplified Arabic" w:hAnsi="Simplified Arabic" w:cs="Simplified Arabic"/>
          <w:sz w:val="24"/>
          <w:szCs w:val="24"/>
          <w:rtl/>
          <w:lang w:val="en-US" w:bidi="ar-DZ"/>
        </w:rPr>
      </w:pPr>
    </w:p>
    <w:p w:rsidR="00482FC6" w:rsidRDefault="00482FC6" w:rsidP="00482FC6">
      <w:pPr>
        <w:autoSpaceDE w:val="0"/>
        <w:autoSpaceDN w:val="0"/>
        <w:bidi/>
        <w:adjustRightInd w:val="0"/>
        <w:spacing w:before="240" w:after="0"/>
        <w:ind w:firstLine="283"/>
        <w:jc w:val="both"/>
        <w:rPr>
          <w:rFonts w:ascii="Simplified Arabic" w:hAnsi="Simplified Arabic" w:cs="Simplified Arabic"/>
          <w:sz w:val="24"/>
          <w:szCs w:val="24"/>
          <w:rtl/>
          <w:lang w:val="en-US" w:bidi="ar-DZ"/>
        </w:rPr>
      </w:pPr>
    </w:p>
    <w:p w:rsidR="00A5193A" w:rsidRDefault="00D316BB" w:rsidP="00482FC6">
      <w:pPr>
        <w:autoSpaceDE w:val="0"/>
        <w:autoSpaceDN w:val="0"/>
        <w:bidi/>
        <w:adjustRightInd w:val="0"/>
        <w:spacing w:before="240" w:after="0"/>
        <w:ind w:firstLine="283"/>
        <w:jc w:val="both"/>
        <w:rPr>
          <w:rFonts w:ascii="Simplified Arabic" w:hAnsi="Simplified Arabic" w:cs="Simplified Arabic"/>
          <w:sz w:val="24"/>
          <w:szCs w:val="24"/>
          <w:rtl/>
        </w:rPr>
      </w:pPr>
      <w:r w:rsidRPr="007708D9">
        <w:rPr>
          <w:rFonts w:ascii="Simplified Arabic" w:hAnsi="Simplified Arabic" w:cs="Simplified Arabic" w:hint="cs"/>
          <w:sz w:val="24"/>
          <w:szCs w:val="24"/>
          <w:rtl/>
          <w:lang w:val="en-US" w:bidi="ar-DZ"/>
        </w:rPr>
        <w:lastRenderedPageBreak/>
        <w:t>من</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الناحية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المكانية،</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تبلغ</w:t>
      </w:r>
      <w:r w:rsidRPr="007708D9">
        <w:rPr>
          <w:rFonts w:ascii="Simplified Arabic" w:hAnsi="Simplified Arabic" w:cs="Simplified Arabic"/>
          <w:sz w:val="24"/>
          <w:szCs w:val="24"/>
          <w:rtl/>
          <w:lang w:val="en-US" w:bidi="ar-DZ"/>
        </w:rPr>
        <w:t xml:space="preserve"> </w:t>
      </w:r>
      <w:r w:rsidRPr="007708D9">
        <w:rPr>
          <w:rFonts w:ascii="Simplified Arabic" w:hAnsi="Simplified Arabic" w:cs="Simplified Arabic" w:hint="cs"/>
          <w:sz w:val="24"/>
          <w:szCs w:val="24"/>
          <w:rtl/>
          <w:lang w:val="en-US" w:bidi="ar-DZ"/>
        </w:rPr>
        <w:t>كثافة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البناء</w:t>
      </w:r>
      <w:r w:rsidR="003B2908">
        <w:rPr>
          <w:rFonts w:ascii="Simplified Arabic" w:hAnsi="Simplified Arabic" w:cs="Simplified Arabic" w:hint="cs"/>
          <w:sz w:val="24"/>
          <w:szCs w:val="24"/>
          <w:rtl/>
          <w:lang w:val="en-US" w:bidi="ar-DZ"/>
        </w:rPr>
        <w:t xml:space="preserve"> بحي الحمايد</w:t>
      </w:r>
      <w:r w:rsidRPr="007708D9">
        <w:rPr>
          <w:rFonts w:ascii="Simplified Arabic" w:hAnsi="Simplified Arabic" w:cs="Simplified Arabic"/>
          <w:sz w:val="24"/>
          <w:szCs w:val="24"/>
          <w:rtl/>
          <w:lang w:val="en-US" w:bidi="ar-DZ"/>
        </w:rPr>
        <w:t xml:space="preserve"> </w:t>
      </w:r>
      <w:r w:rsidR="0007343E">
        <w:rPr>
          <w:rFonts w:ascii="Simplified Arabic" w:hAnsi="Simplified Arabic" w:cs="Simplified Arabic" w:hint="cs"/>
          <w:sz w:val="24"/>
          <w:szCs w:val="24"/>
          <w:rtl/>
          <w:lang w:val="en-US" w:bidi="ar-DZ"/>
        </w:rPr>
        <w:t>21</w:t>
      </w:r>
      <w:r>
        <w:rPr>
          <w:rFonts w:ascii="Simplified Arabic" w:hAnsi="Simplified Arabic" w:cs="Simplified Arabic" w:hint="cs"/>
          <w:sz w:val="24"/>
          <w:szCs w:val="24"/>
          <w:rtl/>
          <w:lang w:val="en-US" w:bidi="ar-DZ"/>
        </w:rPr>
        <w:t xml:space="preserve"> سكن/هكتار</w:t>
      </w:r>
      <w:r w:rsidR="003B2908">
        <w:rPr>
          <w:rFonts w:ascii="Simplified Arabic" w:hAnsi="Simplified Arabic" w:cs="Simplified Arabic" w:hint="cs"/>
          <w:sz w:val="24"/>
          <w:szCs w:val="24"/>
          <w:rtl/>
          <w:lang w:val="en-US" w:bidi="ar-DZ"/>
        </w:rPr>
        <w:t xml:space="preserve">، وهي من المستويات الادنى بالمدينة، </w:t>
      </w:r>
      <w:r>
        <w:rPr>
          <w:rFonts w:ascii="Simplified Arabic" w:hAnsi="Simplified Arabic" w:cs="Simplified Arabic" w:hint="cs"/>
          <w:sz w:val="24"/>
          <w:szCs w:val="24"/>
          <w:rtl/>
          <w:lang w:val="en-US" w:bidi="ar-DZ"/>
        </w:rPr>
        <w:t>(الخريطة (6-</w:t>
      </w:r>
      <w:r w:rsidR="00456E70">
        <w:rPr>
          <w:rFonts w:ascii="Simplified Arabic" w:hAnsi="Simplified Arabic" w:cs="Simplified Arabic" w:hint="cs"/>
          <w:sz w:val="24"/>
          <w:szCs w:val="24"/>
          <w:rtl/>
          <w:lang w:val="en-US" w:bidi="ar-DZ"/>
        </w:rPr>
        <w:t>4</w:t>
      </w:r>
      <w:r>
        <w:rPr>
          <w:rFonts w:ascii="Simplified Arabic" w:hAnsi="Simplified Arabic" w:cs="Simplified Arabic" w:hint="cs"/>
          <w:sz w:val="24"/>
          <w:szCs w:val="24"/>
          <w:rtl/>
          <w:lang w:val="en-US" w:bidi="ar-DZ"/>
        </w:rPr>
        <w:t xml:space="preserve">). </w:t>
      </w:r>
      <w:r w:rsidR="0007343E" w:rsidRPr="005014AF">
        <w:rPr>
          <w:rFonts w:ascii="Simplified Arabic" w:hAnsi="Simplified Arabic" w:cs="Simplified Arabic" w:hint="cs"/>
          <w:sz w:val="24"/>
          <w:szCs w:val="24"/>
          <w:rtl/>
          <w:lang w:val="en-US" w:bidi="ar-DZ"/>
        </w:rPr>
        <w:t>حيث</w:t>
      </w:r>
      <w:r w:rsidR="0007343E" w:rsidRPr="007708D9">
        <w:rPr>
          <w:rFonts w:ascii="Simplified Arabic" w:hAnsi="Simplified Arabic" w:cs="Simplified Arabic"/>
          <w:sz w:val="24"/>
          <w:szCs w:val="24"/>
          <w:rtl/>
          <w:lang w:val="en-US" w:bidi="ar-DZ"/>
        </w:rPr>
        <w:t xml:space="preserve"> </w:t>
      </w:r>
      <w:r w:rsidR="0007343E">
        <w:rPr>
          <w:rFonts w:ascii="Simplified Arabic" w:hAnsi="Simplified Arabic" w:cs="Simplified Arabic" w:hint="cs"/>
          <w:sz w:val="24"/>
          <w:szCs w:val="24"/>
          <w:rtl/>
          <w:lang w:val="en-US" w:bidi="ar-DZ"/>
        </w:rPr>
        <w:t xml:space="preserve">كتل البناء متباعدة </w:t>
      </w:r>
      <w:r w:rsidR="0007343E" w:rsidRPr="007708D9">
        <w:rPr>
          <w:rFonts w:ascii="Simplified Arabic" w:hAnsi="Simplified Arabic" w:cs="Simplified Arabic" w:hint="cs"/>
          <w:sz w:val="24"/>
          <w:szCs w:val="24"/>
          <w:rtl/>
          <w:lang w:val="en-US" w:bidi="ar-DZ"/>
        </w:rPr>
        <w:t>وشبكة</w:t>
      </w:r>
      <w:r w:rsidR="0007343E" w:rsidRPr="007708D9">
        <w:rPr>
          <w:rFonts w:ascii="Simplified Arabic" w:hAnsi="Simplified Arabic" w:cs="Simplified Arabic"/>
          <w:sz w:val="24"/>
          <w:szCs w:val="24"/>
          <w:rtl/>
          <w:lang w:val="en-US" w:bidi="ar-DZ"/>
        </w:rPr>
        <w:t xml:space="preserve"> </w:t>
      </w:r>
      <w:r w:rsidR="0007343E">
        <w:rPr>
          <w:rFonts w:ascii="Simplified Arabic" w:hAnsi="Simplified Arabic" w:cs="Simplified Arabic" w:hint="cs"/>
          <w:sz w:val="24"/>
          <w:szCs w:val="24"/>
          <w:rtl/>
          <w:lang w:val="en-US" w:bidi="ar-DZ"/>
        </w:rPr>
        <w:t>طرق</w:t>
      </w:r>
      <w:r w:rsidR="0007343E" w:rsidRPr="007708D9">
        <w:rPr>
          <w:rFonts w:ascii="Simplified Arabic" w:hAnsi="Simplified Arabic" w:cs="Simplified Arabic"/>
          <w:sz w:val="24"/>
          <w:szCs w:val="24"/>
          <w:rtl/>
          <w:lang w:val="en-US" w:bidi="ar-DZ"/>
        </w:rPr>
        <w:t xml:space="preserve"> </w:t>
      </w:r>
      <w:r w:rsidR="0007343E">
        <w:rPr>
          <w:rFonts w:ascii="Simplified Arabic" w:hAnsi="Simplified Arabic" w:cs="Simplified Arabic" w:hint="cs"/>
          <w:sz w:val="24"/>
          <w:szCs w:val="24"/>
          <w:rtl/>
          <w:lang w:val="en-US" w:bidi="ar-DZ"/>
        </w:rPr>
        <w:t xml:space="preserve">واسعة </w:t>
      </w:r>
      <w:r w:rsidR="0007343E" w:rsidRPr="007708D9">
        <w:rPr>
          <w:rFonts w:ascii="Simplified Arabic" w:hAnsi="Simplified Arabic" w:cs="Simplified Arabic" w:hint="cs"/>
          <w:sz w:val="24"/>
          <w:szCs w:val="24"/>
          <w:rtl/>
          <w:lang w:val="en-US" w:bidi="ar-DZ"/>
        </w:rPr>
        <w:t>تتميز</w:t>
      </w:r>
      <w:r w:rsidR="0007343E" w:rsidRPr="007708D9">
        <w:rPr>
          <w:rFonts w:ascii="Simplified Arabic" w:hAnsi="Simplified Arabic" w:cs="Simplified Arabic"/>
          <w:sz w:val="24"/>
          <w:szCs w:val="24"/>
          <w:rtl/>
          <w:lang w:val="en-US" w:bidi="ar-DZ"/>
        </w:rPr>
        <w:t xml:space="preserve"> </w:t>
      </w:r>
      <w:r w:rsidR="0007343E">
        <w:rPr>
          <w:rFonts w:ascii="Simplified Arabic" w:hAnsi="Simplified Arabic" w:cs="Simplified Arabic" w:hint="cs"/>
          <w:sz w:val="24"/>
          <w:szCs w:val="24"/>
          <w:rtl/>
          <w:lang w:val="en-US" w:bidi="ar-DZ"/>
        </w:rPr>
        <w:t>ب</w:t>
      </w:r>
      <w:r w:rsidR="0007343E" w:rsidRPr="007708D9">
        <w:rPr>
          <w:rFonts w:ascii="Simplified Arabic" w:hAnsi="Simplified Arabic" w:cs="Simplified Arabic" w:hint="cs"/>
          <w:sz w:val="24"/>
          <w:szCs w:val="24"/>
          <w:rtl/>
          <w:lang w:val="en-US" w:bidi="ar-DZ"/>
        </w:rPr>
        <w:t>التقاطعات</w:t>
      </w:r>
      <w:r w:rsidR="0007343E" w:rsidRPr="007708D9">
        <w:rPr>
          <w:rFonts w:ascii="Simplified Arabic" w:hAnsi="Simplified Arabic" w:cs="Simplified Arabic"/>
          <w:sz w:val="24"/>
          <w:szCs w:val="24"/>
          <w:rtl/>
          <w:lang w:val="en-US" w:bidi="ar-DZ"/>
        </w:rPr>
        <w:t xml:space="preserve"> </w:t>
      </w:r>
      <w:r w:rsidR="0007343E" w:rsidRPr="007708D9">
        <w:rPr>
          <w:rFonts w:ascii="Simplified Arabic" w:hAnsi="Simplified Arabic" w:cs="Simplified Arabic" w:hint="cs"/>
          <w:sz w:val="24"/>
          <w:szCs w:val="24"/>
          <w:rtl/>
          <w:lang w:val="en-US" w:bidi="ar-DZ"/>
        </w:rPr>
        <w:t>المتكررة</w:t>
      </w:r>
      <w:r w:rsidR="0007343E" w:rsidRPr="00E3031B">
        <w:rPr>
          <w:rFonts w:asciiTheme="majorBidi" w:hAnsiTheme="majorBidi" w:cstheme="majorBidi"/>
          <w:sz w:val="24"/>
          <w:szCs w:val="24"/>
          <w:rtl/>
        </w:rPr>
        <w:t>.</w:t>
      </w:r>
      <w:r w:rsidR="0007343E" w:rsidRPr="00FD1399">
        <w:rPr>
          <w:rFonts w:ascii="Simplified Arabic" w:hAnsi="Simplified Arabic" w:cs="Simplified Arabic" w:hint="cs"/>
          <w:sz w:val="24"/>
          <w:szCs w:val="24"/>
          <w:rtl/>
          <w:lang w:val="en-US" w:bidi="ar-DZ"/>
        </w:rPr>
        <w:t xml:space="preserve"> </w:t>
      </w:r>
      <w:r w:rsidR="00A5193A" w:rsidRPr="0074440A">
        <w:rPr>
          <w:rFonts w:ascii="Simplified Arabic" w:hAnsi="Simplified Arabic" w:cs="Simplified Arabic" w:hint="cs"/>
          <w:sz w:val="24"/>
          <w:szCs w:val="24"/>
          <w:rtl/>
        </w:rPr>
        <w:t>إضافة</w:t>
      </w:r>
      <w:r w:rsidR="00A5193A" w:rsidRPr="0074440A">
        <w:rPr>
          <w:rFonts w:ascii="Simplified Arabic" w:hAnsi="Simplified Arabic" w:cs="Simplified Arabic"/>
          <w:sz w:val="24"/>
          <w:szCs w:val="24"/>
          <w:rtl/>
        </w:rPr>
        <w:t xml:space="preserve"> </w:t>
      </w:r>
      <w:r w:rsidR="00A5193A" w:rsidRPr="0074440A">
        <w:rPr>
          <w:rFonts w:ascii="Simplified Arabic" w:hAnsi="Simplified Arabic" w:cs="Simplified Arabic" w:hint="cs"/>
          <w:sz w:val="24"/>
          <w:szCs w:val="24"/>
          <w:rtl/>
        </w:rPr>
        <w:t>إلى</w:t>
      </w:r>
      <w:r w:rsidR="00A5193A" w:rsidRPr="0074440A">
        <w:rPr>
          <w:rFonts w:ascii="Simplified Arabic" w:hAnsi="Simplified Arabic" w:cs="Simplified Arabic"/>
          <w:sz w:val="24"/>
          <w:szCs w:val="24"/>
          <w:rtl/>
        </w:rPr>
        <w:t xml:space="preserve"> </w:t>
      </w:r>
      <w:r w:rsidR="00A5193A" w:rsidRPr="0074440A">
        <w:rPr>
          <w:rFonts w:ascii="Simplified Arabic" w:hAnsi="Simplified Arabic" w:cs="Simplified Arabic" w:hint="cs"/>
          <w:sz w:val="24"/>
          <w:szCs w:val="24"/>
          <w:rtl/>
        </w:rPr>
        <w:t>ذلك</w:t>
      </w:r>
      <w:r w:rsidR="00A5193A">
        <w:rPr>
          <w:rFonts w:ascii="Simplified Arabic" w:hAnsi="Simplified Arabic" w:cs="Simplified Arabic" w:hint="cs"/>
          <w:sz w:val="24"/>
          <w:szCs w:val="24"/>
          <w:rtl/>
        </w:rPr>
        <w:t>،</w:t>
      </w:r>
      <w:r w:rsidR="00A5193A" w:rsidRPr="0074440A">
        <w:rPr>
          <w:rFonts w:ascii="Simplified Arabic" w:hAnsi="Simplified Arabic" w:cs="Simplified Arabic"/>
          <w:sz w:val="24"/>
          <w:szCs w:val="24"/>
          <w:rtl/>
        </w:rPr>
        <w:t xml:space="preserve"> </w:t>
      </w:r>
      <w:r w:rsidR="00A5193A" w:rsidRPr="0074440A">
        <w:rPr>
          <w:rFonts w:ascii="Simplified Arabic" w:hAnsi="Simplified Arabic" w:cs="Simplified Arabic" w:hint="cs"/>
          <w:sz w:val="24"/>
          <w:szCs w:val="24"/>
          <w:rtl/>
        </w:rPr>
        <w:t>تعاني</w:t>
      </w:r>
      <w:r w:rsidR="00A5193A" w:rsidRPr="0074440A">
        <w:rPr>
          <w:rFonts w:ascii="Simplified Arabic" w:hAnsi="Simplified Arabic" w:cs="Simplified Arabic"/>
          <w:sz w:val="24"/>
          <w:szCs w:val="24"/>
          <w:rtl/>
        </w:rPr>
        <w:t xml:space="preserve"> </w:t>
      </w:r>
      <w:r w:rsidR="00474C2D">
        <w:rPr>
          <w:rFonts w:ascii="Simplified Arabic" w:hAnsi="Simplified Arabic" w:cs="Simplified Arabic" w:hint="cs"/>
          <w:sz w:val="24"/>
          <w:szCs w:val="24"/>
          <w:rtl/>
        </w:rPr>
        <w:t>المباني</w:t>
      </w:r>
      <w:r w:rsidR="00A5193A" w:rsidRPr="0074440A">
        <w:rPr>
          <w:rFonts w:ascii="Simplified Arabic" w:hAnsi="Simplified Arabic" w:cs="Simplified Arabic"/>
          <w:sz w:val="24"/>
          <w:szCs w:val="24"/>
          <w:rtl/>
        </w:rPr>
        <w:t xml:space="preserve"> </w:t>
      </w:r>
      <w:r w:rsidR="00A5193A">
        <w:rPr>
          <w:rFonts w:ascii="Simplified Arabic" w:hAnsi="Simplified Arabic" w:cs="Simplified Arabic" w:hint="cs"/>
          <w:sz w:val="24"/>
          <w:szCs w:val="24"/>
          <w:rtl/>
        </w:rPr>
        <w:t>الواقعة جنب سفح جبل كردادة من انخفاض مستوى امكانية الوصول،</w:t>
      </w:r>
      <w:r w:rsidR="00A5193A" w:rsidRPr="0074440A">
        <w:rPr>
          <w:rFonts w:ascii="Simplified Arabic" w:hAnsi="Simplified Arabic" w:cs="Simplified Arabic" w:hint="cs"/>
          <w:sz w:val="24"/>
          <w:szCs w:val="24"/>
          <w:rtl/>
        </w:rPr>
        <w:t xml:space="preserve"> </w:t>
      </w:r>
      <w:r w:rsidR="00A5193A">
        <w:rPr>
          <w:rFonts w:ascii="Simplified Arabic" w:hAnsi="Simplified Arabic" w:cs="Simplified Arabic" w:hint="cs"/>
          <w:sz w:val="24"/>
          <w:szCs w:val="24"/>
          <w:rtl/>
        </w:rPr>
        <w:t>سبب ذلك،</w:t>
      </w:r>
      <w:r w:rsidR="00A5193A" w:rsidRPr="0074440A">
        <w:rPr>
          <w:rFonts w:ascii="Simplified Arabic" w:hAnsi="Simplified Arabic" w:cs="Simplified Arabic"/>
          <w:sz w:val="24"/>
          <w:szCs w:val="24"/>
          <w:rtl/>
        </w:rPr>
        <w:t xml:space="preserve"> </w:t>
      </w:r>
      <w:r w:rsidR="00A5193A" w:rsidRPr="0074440A">
        <w:rPr>
          <w:rFonts w:ascii="Simplified Arabic" w:hAnsi="Simplified Arabic" w:cs="Simplified Arabic" w:hint="cs"/>
          <w:sz w:val="24"/>
          <w:szCs w:val="24"/>
          <w:rtl/>
        </w:rPr>
        <w:t>تأثير</w:t>
      </w:r>
      <w:r w:rsidR="00A5193A" w:rsidRPr="0074440A">
        <w:rPr>
          <w:rFonts w:ascii="Simplified Arabic" w:hAnsi="Simplified Arabic" w:cs="Simplified Arabic"/>
          <w:sz w:val="24"/>
          <w:szCs w:val="24"/>
          <w:rtl/>
        </w:rPr>
        <w:t xml:space="preserve"> </w:t>
      </w:r>
      <w:r w:rsidR="00A5193A">
        <w:rPr>
          <w:rFonts w:ascii="Simplified Arabic" w:hAnsi="Simplified Arabic" w:cs="Simplified Arabic" w:hint="cs"/>
          <w:sz w:val="24"/>
          <w:szCs w:val="24"/>
          <w:rtl/>
        </w:rPr>
        <w:t>منحدرات الجبل.</w:t>
      </w:r>
    </w:p>
    <w:p w:rsidR="00787828" w:rsidRDefault="00787828" w:rsidP="00F41989">
      <w:pPr>
        <w:pStyle w:val="carte"/>
        <w:spacing w:after="0"/>
        <w:rPr>
          <w:rtl/>
        </w:rPr>
      </w:pPr>
      <w:bookmarkStart w:id="853" w:name="_Toc157616612"/>
      <w:bookmarkStart w:id="854" w:name="_Toc171803820"/>
      <w:r w:rsidRPr="00456E70">
        <w:rPr>
          <w:rFonts w:hint="cs"/>
          <w:rtl/>
          <w:lang w:bidi="ar-DZ"/>
        </w:rPr>
        <w:t>الخريطة (6-</w:t>
      </w:r>
      <w:r w:rsidR="00456E70">
        <w:rPr>
          <w:rFonts w:hint="cs"/>
          <w:rtl/>
          <w:lang w:bidi="ar-DZ"/>
        </w:rPr>
        <w:t>4</w:t>
      </w:r>
      <w:r w:rsidRPr="00456E70">
        <w:rPr>
          <w:rFonts w:hint="cs"/>
          <w:rtl/>
          <w:lang w:bidi="ar-DZ"/>
        </w:rPr>
        <w:t xml:space="preserve">) تباين التوزيع المكاني لكثافة البناء </w:t>
      </w:r>
      <w:r w:rsidR="00076D1B" w:rsidRPr="00456E70">
        <w:rPr>
          <w:rFonts w:hint="cs"/>
          <w:rtl/>
          <w:lang w:bidi="ar-DZ"/>
        </w:rPr>
        <w:t>ل</w:t>
      </w:r>
      <w:r w:rsidRPr="00456E70">
        <w:rPr>
          <w:rFonts w:hint="cs"/>
          <w:rtl/>
          <w:lang w:val="en-US" w:bidi="ar-DZ"/>
        </w:rPr>
        <w:t>فئة النسيج الحضري (د)،</w:t>
      </w:r>
      <w:r w:rsidRPr="00456E70">
        <w:rPr>
          <w:rtl/>
          <w:lang w:val="en-US" w:bidi="ar-DZ"/>
        </w:rPr>
        <w:t xml:space="preserve"> </w:t>
      </w:r>
      <w:r w:rsidRPr="00456E70">
        <w:rPr>
          <w:rFonts w:hint="cs"/>
          <w:rtl/>
        </w:rPr>
        <w:t>حي الحمايد</w:t>
      </w:r>
      <w:bookmarkEnd w:id="853"/>
      <w:bookmarkEnd w:id="854"/>
    </w:p>
    <w:p w:rsidR="00986BEA" w:rsidRPr="00986BEA" w:rsidRDefault="00986BEA" w:rsidP="00986BEA">
      <w:pPr>
        <w:pStyle w:val="fegure"/>
        <w:rPr>
          <w:sz w:val="8"/>
          <w:szCs w:val="24"/>
          <w:rtl/>
          <w:lang w:val="en-US"/>
        </w:rPr>
      </w:pPr>
      <w:bookmarkStart w:id="855" w:name="_Toc171803821"/>
      <w:r>
        <w:rPr>
          <w:rFonts w:hint="cs"/>
          <w:sz w:val="8"/>
          <w:szCs w:val="24"/>
          <w:rtl/>
          <w:lang w:val="en-US" w:bidi="ar-DZ"/>
        </w:rPr>
        <w:t xml:space="preserve">المصدر: </w:t>
      </w:r>
      <w:r>
        <w:rPr>
          <w:rFonts w:hint="cs"/>
          <w:sz w:val="8"/>
          <w:szCs w:val="24"/>
          <w:rtl/>
          <w:lang w:val="en-US"/>
        </w:rPr>
        <w:t>(الباحث، 2022)</w:t>
      </w:r>
      <w:bookmarkEnd w:id="855"/>
    </w:p>
    <w:p w:rsidR="00787828" w:rsidRDefault="00787828" w:rsidP="00787828">
      <w:pPr>
        <w:autoSpaceDE w:val="0"/>
        <w:autoSpaceDN w:val="0"/>
        <w:bidi/>
        <w:adjustRightInd w:val="0"/>
        <w:spacing w:after="0" w:line="240" w:lineRule="auto"/>
        <w:jc w:val="center"/>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w:t>
      </w:r>
      <w:r>
        <w:rPr>
          <w:rFonts w:ascii="Simplified Arabic" w:hAnsi="Simplified Arabic" w:cs="Simplified Arabic"/>
          <w:noProof/>
          <w:sz w:val="24"/>
          <w:szCs w:val="24"/>
          <w:lang w:eastAsia="fr-FR"/>
        </w:rPr>
        <w:drawing>
          <wp:inline distT="0" distB="0" distL="0" distR="0" wp14:anchorId="482458E3" wp14:editId="3572E6A4">
            <wp:extent cx="4351674" cy="5315730"/>
            <wp:effectExtent l="0" t="0" r="0" b="0"/>
            <wp:docPr id="240" name="Imag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00" cstate="print">
                      <a:extLst>
                        <a:ext uri="{28A0092B-C50C-407E-A947-70E740481C1C}">
                          <a14:useLocalDpi xmlns:a14="http://schemas.microsoft.com/office/drawing/2010/main" val="0"/>
                        </a:ext>
                      </a:extLst>
                    </a:blip>
                    <a:srcRect t="8358"/>
                    <a:stretch/>
                  </pic:blipFill>
                  <pic:spPr bwMode="auto">
                    <a:xfrm>
                      <a:off x="0" y="0"/>
                      <a:ext cx="4371272" cy="533967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sz w:val="24"/>
          <w:szCs w:val="24"/>
          <w:lang w:bidi="ar-DZ"/>
        </w:rPr>
        <w:t xml:space="preserve">  </w:t>
      </w:r>
    </w:p>
    <w:p w:rsidR="00AC60D2" w:rsidRDefault="00AC60D2" w:rsidP="00FB663A">
      <w:pPr>
        <w:bidi/>
        <w:spacing w:before="240"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من خلال ال</w:t>
      </w:r>
      <w:r w:rsidRPr="00FF7625">
        <w:rPr>
          <w:rFonts w:ascii="Simplified Arabic" w:hAnsi="Simplified Arabic" w:cs="Simplified Arabic" w:hint="cs"/>
          <w:sz w:val="24"/>
          <w:szCs w:val="24"/>
          <w:rtl/>
          <w:lang w:val="en-US" w:bidi="ar-DZ"/>
        </w:rPr>
        <w:t>مقارنة</w:t>
      </w:r>
      <w:r w:rsidRPr="00FF7625">
        <w:rPr>
          <w:rFonts w:ascii="Simplified Arabic" w:hAnsi="Simplified Arabic" w:cs="Simplified Arabic"/>
          <w:sz w:val="24"/>
          <w:szCs w:val="24"/>
          <w:rtl/>
          <w:lang w:val="en-US" w:bidi="ar-DZ"/>
        </w:rPr>
        <w:t xml:space="preserve"> </w:t>
      </w:r>
      <w:r w:rsidRPr="00FF7625">
        <w:rPr>
          <w:rFonts w:ascii="Simplified Arabic" w:hAnsi="Simplified Arabic" w:cs="Simplified Arabic" w:hint="cs"/>
          <w:sz w:val="24"/>
          <w:szCs w:val="24"/>
          <w:rtl/>
          <w:lang w:val="en-US" w:bidi="ar-DZ"/>
        </w:rPr>
        <w:t>بين</w:t>
      </w:r>
      <w:r w:rsidRPr="00FF762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احياء </w:t>
      </w:r>
      <w:r w:rsidRPr="009501BE">
        <w:rPr>
          <w:rFonts w:ascii="Simplified Arabic" w:hAnsi="Simplified Arabic" w:cs="Simplified Arabic" w:hint="cs"/>
          <w:sz w:val="24"/>
          <w:szCs w:val="24"/>
          <w:rtl/>
          <w:lang w:val="en-US" w:bidi="ar-DZ"/>
        </w:rPr>
        <w:t>فئات الانسجة الحضرية الاربعة</w:t>
      </w:r>
      <w:r>
        <w:rPr>
          <w:rFonts w:ascii="Simplified Arabic" w:hAnsi="Simplified Arabic" w:cs="Simplified Arabic" w:hint="cs"/>
          <w:sz w:val="24"/>
          <w:szCs w:val="24"/>
          <w:rtl/>
          <w:lang w:val="en-US" w:bidi="ar-DZ"/>
        </w:rPr>
        <w:t>،</w:t>
      </w:r>
      <w:r w:rsidRPr="00FF7625">
        <w:rPr>
          <w:rFonts w:ascii="Simplified Arabic" w:hAnsi="Simplified Arabic" w:cs="Simplified Arabic"/>
          <w:sz w:val="24"/>
          <w:szCs w:val="24"/>
          <w:rtl/>
          <w:lang w:val="en-US" w:bidi="ar-DZ"/>
        </w:rPr>
        <w:t xml:space="preserve"> </w:t>
      </w:r>
      <w:r w:rsidRPr="00FF7625">
        <w:rPr>
          <w:rFonts w:ascii="Simplified Arabic" w:hAnsi="Simplified Arabic" w:cs="Simplified Arabic" w:hint="cs"/>
          <w:sz w:val="24"/>
          <w:szCs w:val="24"/>
          <w:rtl/>
          <w:lang w:val="en-US" w:bidi="ar-DZ"/>
        </w:rPr>
        <w:t>لوحظ</w:t>
      </w:r>
      <w:r w:rsidRPr="00FF7625">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انتقال</w:t>
      </w:r>
      <w:r w:rsidRPr="009501B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واضح</w:t>
      </w:r>
      <w:r w:rsidRPr="009501B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في قيم </w:t>
      </w:r>
      <w:r w:rsidR="004A5559">
        <w:rPr>
          <w:rFonts w:ascii="Simplified Arabic" w:hAnsi="Simplified Arabic" w:cs="Simplified Arabic" w:hint="cs"/>
          <w:sz w:val="24"/>
          <w:szCs w:val="24"/>
          <w:rtl/>
          <w:lang w:val="en-US" w:bidi="ar-DZ"/>
        </w:rPr>
        <w:t>عدد</w:t>
      </w:r>
      <w:r w:rsidRPr="009501B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المباني التي</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يمكن</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الوصول</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إليها</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بين</w:t>
      </w:r>
      <w:r w:rsidRPr="009501B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الفئة (أ) </w:t>
      </w:r>
      <w:r w:rsidRPr="009501BE">
        <w:rPr>
          <w:rFonts w:ascii="Simplified Arabic" w:hAnsi="Simplified Arabic" w:cs="Simplified Arabic" w:hint="cs"/>
          <w:sz w:val="24"/>
          <w:szCs w:val="24"/>
          <w:rtl/>
          <w:lang w:val="en-US" w:bidi="ar-DZ"/>
        </w:rPr>
        <w:t>و</w:t>
      </w:r>
      <w:r>
        <w:rPr>
          <w:rFonts w:ascii="Simplified Arabic" w:hAnsi="Simplified Arabic" w:cs="Simplified Arabic" w:hint="cs"/>
          <w:sz w:val="24"/>
          <w:szCs w:val="24"/>
          <w:rtl/>
          <w:lang w:val="en-US" w:bidi="ar-DZ"/>
        </w:rPr>
        <w:t>الفئة (ب، ج، د).</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مما</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يشير</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إلى</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أن</w:t>
      </w:r>
      <w:r w:rsidRPr="009501B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الفئة (أ) </w:t>
      </w:r>
      <w:r w:rsidRPr="009501BE">
        <w:rPr>
          <w:rFonts w:ascii="Simplified Arabic" w:hAnsi="Simplified Arabic" w:cs="Simplified Arabic" w:hint="cs"/>
          <w:sz w:val="24"/>
          <w:szCs w:val="24"/>
          <w:rtl/>
          <w:lang w:val="en-US" w:bidi="ar-DZ"/>
        </w:rPr>
        <w:t>فقد</w:t>
      </w:r>
      <w:r>
        <w:rPr>
          <w:rFonts w:ascii="Simplified Arabic" w:hAnsi="Simplified Arabic" w:cs="Simplified Arabic" w:hint="cs"/>
          <w:sz w:val="24"/>
          <w:szCs w:val="24"/>
          <w:rtl/>
          <w:lang w:val="en-US" w:bidi="ar-DZ"/>
        </w:rPr>
        <w:t>ت</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قدرته</w:t>
      </w:r>
      <w:r>
        <w:rPr>
          <w:rFonts w:ascii="Simplified Arabic" w:hAnsi="Simplified Arabic" w:cs="Simplified Arabic" w:hint="cs"/>
          <w:sz w:val="24"/>
          <w:szCs w:val="24"/>
          <w:rtl/>
          <w:lang w:val="en-US" w:bidi="ar-DZ"/>
        </w:rPr>
        <w:t>ا</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على</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توفير</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وصول</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سهل</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لعدد</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من</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الوجهات</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المختلفة</w:t>
      </w:r>
      <w:r w:rsidRPr="009501BE">
        <w:rPr>
          <w:rFonts w:ascii="Simplified Arabic" w:hAnsi="Simplified Arabic" w:cs="Simplified Arabic"/>
          <w:sz w:val="24"/>
          <w:szCs w:val="24"/>
          <w:rtl/>
          <w:lang w:val="en-US" w:bidi="ar-DZ"/>
        </w:rPr>
        <w:t xml:space="preserve">. </w:t>
      </w:r>
    </w:p>
    <w:p w:rsidR="007A371C" w:rsidRDefault="002A686B" w:rsidP="005373F7">
      <w:pPr>
        <w:autoSpaceDE w:val="0"/>
        <w:autoSpaceDN w:val="0"/>
        <w:bidi/>
        <w:adjustRightInd w:val="0"/>
        <w:spacing w:after="0"/>
        <w:ind w:firstLine="283"/>
        <w:jc w:val="both"/>
        <w:rPr>
          <w:rFonts w:ascii="Simplified Arabic" w:hAnsi="Simplified Arabic" w:cs="Simplified Arabic"/>
          <w:sz w:val="24"/>
          <w:szCs w:val="24"/>
          <w:rtl/>
          <w:lang w:val="en-US" w:bidi="ar-DZ"/>
        </w:rPr>
      </w:pPr>
      <w:r w:rsidRPr="009501BE">
        <w:rPr>
          <w:rFonts w:ascii="Simplified Arabic" w:hAnsi="Simplified Arabic" w:cs="Simplified Arabic" w:hint="cs"/>
          <w:sz w:val="24"/>
          <w:szCs w:val="24"/>
          <w:rtl/>
          <w:lang w:val="en-US" w:bidi="ar-DZ"/>
        </w:rPr>
        <w:t>من</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حيث</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التوزيع المكاني لكثافة</w:t>
      </w:r>
      <w:r w:rsidRPr="009501B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البناء </w:t>
      </w:r>
      <w:r w:rsidR="00830775">
        <w:rPr>
          <w:rFonts w:ascii="Simplified Arabic" w:hAnsi="Simplified Arabic" w:cs="Simplified Arabic" w:hint="cs"/>
          <w:sz w:val="24"/>
          <w:szCs w:val="24"/>
          <w:rtl/>
          <w:lang w:val="en-US" w:bidi="ar-DZ"/>
        </w:rPr>
        <w:t xml:space="preserve">ونتائج </w:t>
      </w:r>
      <w:r>
        <w:rPr>
          <w:rFonts w:ascii="Simplified Arabic" w:hAnsi="Simplified Arabic" w:cs="Simplified Arabic" w:hint="cs"/>
          <w:sz w:val="24"/>
          <w:szCs w:val="24"/>
          <w:rtl/>
          <w:lang w:val="en-US" w:bidi="ar-DZ"/>
        </w:rPr>
        <w:t xml:space="preserve">مقياس </w:t>
      </w:r>
      <w:r w:rsidR="000220B2">
        <w:rPr>
          <w:rFonts w:ascii="Simplified Arabic" w:hAnsi="Simplified Arabic" w:cs="Simplified Arabic" w:hint="cs"/>
          <w:sz w:val="24"/>
          <w:szCs w:val="24"/>
          <w:rtl/>
          <w:lang w:val="en-US" w:bidi="ar-DZ"/>
        </w:rPr>
        <w:t xml:space="preserve">النسبة </w:t>
      </w:r>
      <w:r w:rsidR="00F96F2E">
        <w:rPr>
          <w:rFonts w:ascii="Simplified Arabic" w:hAnsi="Simplified Arabic" w:cs="Simplified Arabic" w:hint="cs"/>
          <w:sz w:val="24"/>
          <w:szCs w:val="24"/>
          <w:rtl/>
          <w:lang w:val="en-US" w:bidi="ar-DZ"/>
        </w:rPr>
        <w:t>بين مسافة شبكة الطرق</w:t>
      </w:r>
      <w:r w:rsidR="00830775">
        <w:rPr>
          <w:rFonts w:ascii="Simplified Arabic" w:hAnsi="Simplified Arabic" w:cs="Simplified Arabic" w:hint="cs"/>
          <w:sz w:val="24"/>
          <w:szCs w:val="24"/>
          <w:rtl/>
          <w:lang w:val="en-US" w:bidi="ar-DZ"/>
        </w:rPr>
        <w:t xml:space="preserve"> (المشاة)</w:t>
      </w:r>
      <w:r w:rsidR="00F96F2E">
        <w:rPr>
          <w:rFonts w:ascii="Simplified Arabic" w:hAnsi="Simplified Arabic" w:cs="Simplified Arabic" w:hint="cs"/>
          <w:sz w:val="24"/>
          <w:szCs w:val="24"/>
          <w:rtl/>
          <w:lang w:val="en-US" w:bidi="ar-DZ"/>
        </w:rPr>
        <w:t xml:space="preserve"> والمسافة الاقليدية</w:t>
      </w:r>
      <w:r w:rsidRPr="009501BE">
        <w:rPr>
          <w:rFonts w:ascii="Simplified Arabic" w:hAnsi="Simplified Arabic" w:cs="Simplified Arabic" w:hint="cs"/>
          <w:sz w:val="24"/>
          <w:szCs w:val="24"/>
          <w:rtl/>
          <w:lang w:val="en-US" w:bidi="ar-DZ"/>
        </w:rPr>
        <w:t xml:space="preserve">، تبين ان هناك تباين </w:t>
      </w:r>
      <w:r>
        <w:rPr>
          <w:rFonts w:ascii="Simplified Arabic" w:hAnsi="Simplified Arabic" w:cs="Simplified Arabic" w:hint="cs"/>
          <w:sz w:val="24"/>
          <w:szCs w:val="24"/>
          <w:rtl/>
          <w:lang w:val="en-US" w:bidi="ar-DZ"/>
        </w:rPr>
        <w:t xml:space="preserve">حول مستويات </w:t>
      </w:r>
      <w:r w:rsidRPr="00094797">
        <w:rPr>
          <w:rFonts w:ascii="Simplified Arabic" w:hAnsi="Simplified Arabic" w:cs="Simplified Arabic" w:hint="cs"/>
          <w:sz w:val="24"/>
          <w:szCs w:val="24"/>
          <w:rtl/>
          <w:lang w:val="en-US" w:bidi="ar-DZ"/>
        </w:rPr>
        <w:t>إمكانية</w:t>
      </w:r>
      <w:r w:rsidRPr="00094797">
        <w:rPr>
          <w:rFonts w:ascii="Simplified Arabic" w:hAnsi="Simplified Arabic" w:cs="Simplified Arabic"/>
          <w:sz w:val="24"/>
          <w:szCs w:val="24"/>
          <w:rtl/>
          <w:lang w:val="en-US" w:bidi="ar-DZ"/>
        </w:rPr>
        <w:t xml:space="preserve"> </w:t>
      </w:r>
      <w:r w:rsidR="00830775">
        <w:rPr>
          <w:rFonts w:ascii="Simplified Arabic" w:hAnsi="Simplified Arabic" w:cs="Simplified Arabic" w:hint="cs"/>
          <w:sz w:val="24"/>
          <w:szCs w:val="24"/>
          <w:rtl/>
          <w:lang w:val="en-US" w:bidi="ar-DZ"/>
        </w:rPr>
        <w:t>ال</w:t>
      </w:r>
      <w:r w:rsidRPr="00094797">
        <w:rPr>
          <w:rFonts w:ascii="Simplified Arabic" w:hAnsi="Simplified Arabic" w:cs="Simplified Arabic" w:hint="cs"/>
          <w:sz w:val="24"/>
          <w:szCs w:val="24"/>
          <w:rtl/>
          <w:lang w:val="en-US" w:bidi="ar-DZ"/>
        </w:rPr>
        <w:t>وصول</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إلى</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جميع</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الأنحاء</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المحتملة لأحياء</w:t>
      </w:r>
      <w:r w:rsidR="00830775" w:rsidRPr="00830775">
        <w:rPr>
          <w:rFonts w:ascii="Simplified Arabic" w:hAnsi="Simplified Arabic" w:cs="Simplified Arabic" w:hint="cs"/>
          <w:sz w:val="24"/>
          <w:szCs w:val="24"/>
          <w:rtl/>
          <w:lang w:val="en-US" w:bidi="ar-DZ"/>
        </w:rPr>
        <w:t xml:space="preserve"> </w:t>
      </w:r>
      <w:r w:rsidR="00830775" w:rsidRPr="009501BE">
        <w:rPr>
          <w:rFonts w:ascii="Simplified Arabic" w:hAnsi="Simplified Arabic" w:cs="Simplified Arabic" w:hint="cs"/>
          <w:sz w:val="24"/>
          <w:szCs w:val="24"/>
          <w:rtl/>
          <w:lang w:val="en-US" w:bidi="ar-DZ"/>
        </w:rPr>
        <w:t>فئات الانسجة الحضرية الاربعة</w:t>
      </w:r>
      <w:r>
        <w:rPr>
          <w:rFonts w:ascii="Simplified Arabic" w:hAnsi="Simplified Arabic" w:cs="Simplified Arabic" w:hint="cs"/>
          <w:sz w:val="24"/>
          <w:szCs w:val="24"/>
          <w:rtl/>
          <w:lang w:val="en-US" w:bidi="ar-DZ"/>
        </w:rPr>
        <w:t>، كما هو موضح في الشكل (6-</w:t>
      </w:r>
      <w:r w:rsidR="005373F7">
        <w:rPr>
          <w:rFonts w:ascii="Simplified Arabic" w:hAnsi="Simplified Arabic" w:cs="Simplified Arabic" w:hint="cs"/>
          <w:sz w:val="24"/>
          <w:szCs w:val="24"/>
          <w:rtl/>
          <w:lang w:val="en-US" w:bidi="ar-DZ"/>
        </w:rPr>
        <w:t>16</w:t>
      </w:r>
      <w:r>
        <w:rPr>
          <w:rFonts w:ascii="Simplified Arabic" w:hAnsi="Simplified Arabic" w:cs="Simplified Arabic" w:hint="cs"/>
          <w:sz w:val="24"/>
          <w:szCs w:val="24"/>
          <w:rtl/>
          <w:lang w:val="en-US" w:bidi="ar-DZ"/>
        </w:rPr>
        <w:t>)</w:t>
      </w:r>
      <w:r w:rsidR="00830775">
        <w:rPr>
          <w:rFonts w:ascii="Simplified Arabic" w:hAnsi="Simplified Arabic" w:cs="Simplified Arabic" w:hint="cs"/>
          <w:sz w:val="24"/>
          <w:szCs w:val="24"/>
          <w:rtl/>
          <w:lang w:val="en-US" w:bidi="ar-DZ"/>
        </w:rPr>
        <w:t>.</w:t>
      </w:r>
      <w:r w:rsidRPr="009501BE">
        <w:rPr>
          <w:rFonts w:ascii="Simplified Arabic" w:hAnsi="Simplified Arabic" w:cs="Simplified Arabic"/>
          <w:sz w:val="24"/>
          <w:szCs w:val="24"/>
          <w:rtl/>
          <w:lang w:val="en-US" w:bidi="ar-DZ"/>
        </w:rPr>
        <w:t xml:space="preserve"> </w:t>
      </w:r>
    </w:p>
    <w:p w:rsidR="000220B2" w:rsidRDefault="000220B2" w:rsidP="007A371C">
      <w:pPr>
        <w:autoSpaceDE w:val="0"/>
        <w:autoSpaceDN w:val="0"/>
        <w:bidi/>
        <w:adjustRightInd w:val="0"/>
        <w:spacing w:after="0"/>
        <w:ind w:firstLine="283"/>
        <w:jc w:val="both"/>
        <w:rPr>
          <w:rFonts w:ascii="Simplified Arabic" w:hAnsi="Simplified Arabic" w:cs="Simplified Arabic"/>
          <w:sz w:val="24"/>
          <w:szCs w:val="24"/>
          <w:rtl/>
          <w:lang w:val="en-US" w:bidi="ar-DZ"/>
        </w:rPr>
      </w:pPr>
      <w:r w:rsidRPr="00DA3837">
        <w:rPr>
          <w:rFonts w:ascii="Simplified Arabic" w:hAnsi="Simplified Arabic" w:cs="Simplified Arabic" w:hint="cs"/>
          <w:sz w:val="24"/>
          <w:szCs w:val="24"/>
          <w:rtl/>
          <w:lang w:val="en-US" w:bidi="ar-DZ"/>
        </w:rPr>
        <w:lastRenderedPageBreak/>
        <w:t>يمكن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تفسير</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ذلك</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من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خلال</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التكوين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غير</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المنتظم</w:t>
      </w:r>
      <w:r w:rsidRPr="00DA3837">
        <w:rPr>
          <w:rFonts w:ascii="Simplified Arabic" w:hAnsi="Simplified Arabic" w:cs="Simplified Arabic"/>
          <w:sz w:val="24"/>
          <w:szCs w:val="24"/>
          <w:rtl/>
          <w:lang w:val="en-US" w:bidi="ar-DZ"/>
        </w:rPr>
        <w:t xml:space="preserve"> </w:t>
      </w:r>
      <w:r w:rsidR="004A5559">
        <w:rPr>
          <w:rFonts w:ascii="Simplified Arabic" w:hAnsi="Simplified Arabic" w:cs="Simplified Arabic" w:hint="cs"/>
          <w:sz w:val="24"/>
          <w:szCs w:val="24"/>
          <w:rtl/>
          <w:lang w:val="en-US" w:bidi="ar-DZ"/>
        </w:rPr>
        <w:t>للتقسيمات الفرعية و</w:t>
      </w:r>
      <w:r w:rsidRPr="00DA3837">
        <w:rPr>
          <w:rFonts w:ascii="Simplified Arabic" w:hAnsi="Simplified Arabic" w:cs="Simplified Arabic" w:hint="cs"/>
          <w:sz w:val="24"/>
          <w:szCs w:val="24"/>
          <w:rtl/>
          <w:lang w:val="en-US" w:bidi="ar-DZ"/>
        </w:rPr>
        <w:t>لشبكة</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الشوارع</w:t>
      </w:r>
      <w:r w:rsidR="00830775">
        <w:rPr>
          <w:rFonts w:ascii="Simplified Arabic" w:hAnsi="Simplified Arabic" w:cs="Simplified Arabic" w:hint="cs"/>
          <w:sz w:val="24"/>
          <w:szCs w:val="24"/>
          <w:rtl/>
          <w:lang w:val="en-US" w:bidi="ar-DZ"/>
        </w:rPr>
        <w:t xml:space="preserve"> </w:t>
      </w:r>
      <w:r w:rsidR="00830775" w:rsidRPr="004A5559">
        <w:rPr>
          <w:rFonts w:ascii="Simplified Arabic" w:hAnsi="Simplified Arabic" w:cs="Simplified Arabic" w:hint="cs"/>
          <w:sz w:val="24"/>
          <w:szCs w:val="24"/>
          <w:rtl/>
          <w:lang w:val="en-US" w:bidi="ar-DZ"/>
        </w:rPr>
        <w:t>ومباني</w:t>
      </w:r>
      <w:r w:rsidR="00830775" w:rsidRPr="004A5559">
        <w:rPr>
          <w:rFonts w:ascii="Simplified Arabic" w:hAnsi="Simplified Arabic" w:cs="Simplified Arabic"/>
          <w:sz w:val="24"/>
          <w:szCs w:val="24"/>
          <w:rtl/>
          <w:lang w:val="en-US" w:bidi="ar-DZ"/>
        </w:rPr>
        <w:t xml:space="preserve"> </w:t>
      </w:r>
      <w:r w:rsidR="00830775" w:rsidRPr="004A5559">
        <w:rPr>
          <w:rFonts w:ascii="Simplified Arabic" w:hAnsi="Simplified Arabic" w:cs="Simplified Arabic" w:hint="cs"/>
          <w:sz w:val="24"/>
          <w:szCs w:val="24"/>
          <w:rtl/>
          <w:lang w:val="en-US" w:bidi="ar-DZ"/>
        </w:rPr>
        <w:t>ذات</w:t>
      </w:r>
      <w:r w:rsidR="00830775" w:rsidRPr="004A5559">
        <w:rPr>
          <w:rFonts w:ascii="Simplified Arabic" w:hAnsi="Simplified Arabic" w:cs="Simplified Arabic"/>
          <w:sz w:val="24"/>
          <w:szCs w:val="24"/>
          <w:rtl/>
          <w:lang w:val="en-US" w:bidi="ar-DZ"/>
        </w:rPr>
        <w:t xml:space="preserve"> </w:t>
      </w:r>
      <w:r w:rsidR="00830775" w:rsidRPr="004A5559">
        <w:rPr>
          <w:rFonts w:ascii="Simplified Arabic" w:hAnsi="Simplified Arabic" w:cs="Simplified Arabic" w:hint="cs"/>
          <w:sz w:val="24"/>
          <w:szCs w:val="24"/>
          <w:rtl/>
          <w:lang w:val="en-US" w:bidi="ar-DZ"/>
        </w:rPr>
        <w:t>مساحة</w:t>
      </w:r>
      <w:r w:rsidR="00830775" w:rsidRPr="004A5559">
        <w:rPr>
          <w:rFonts w:ascii="Simplified Arabic" w:hAnsi="Simplified Arabic" w:cs="Simplified Arabic"/>
          <w:sz w:val="24"/>
          <w:szCs w:val="24"/>
          <w:rtl/>
          <w:lang w:val="en-US" w:bidi="ar-DZ"/>
        </w:rPr>
        <w:t xml:space="preserve"> </w:t>
      </w:r>
      <w:r w:rsidR="00830775" w:rsidRPr="004A5559">
        <w:rPr>
          <w:rFonts w:ascii="Simplified Arabic" w:hAnsi="Simplified Arabic" w:cs="Simplified Arabic" w:hint="cs"/>
          <w:sz w:val="24"/>
          <w:szCs w:val="24"/>
          <w:rtl/>
          <w:lang w:val="en-US" w:bidi="ar-DZ"/>
        </w:rPr>
        <w:t>بناء صغيرة (اقل من 120م2</w:t>
      </w:r>
      <w:r w:rsidR="00AC60D2" w:rsidRPr="004A5559">
        <w:rPr>
          <w:rFonts w:ascii="Simplified Arabic" w:hAnsi="Simplified Arabic" w:cs="Simplified Arabic" w:hint="cs"/>
          <w:sz w:val="24"/>
          <w:szCs w:val="24"/>
          <w:rtl/>
          <w:lang w:val="en-US" w:bidi="ar-DZ"/>
        </w:rPr>
        <w:t>)</w:t>
      </w:r>
      <w:r w:rsidRPr="00DA3837">
        <w:rPr>
          <w:rFonts w:ascii="Simplified Arabic" w:hAnsi="Simplified Arabic" w:cs="Simplified Arabic" w:hint="cs"/>
          <w:sz w:val="24"/>
          <w:szCs w:val="24"/>
          <w:rtl/>
          <w:lang w:val="en-US" w:bidi="ar-DZ"/>
        </w:rPr>
        <w:t>،</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مما</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يعني</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أن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عدد</w:t>
      </w:r>
      <w:r w:rsidRPr="00DA3837">
        <w:rPr>
          <w:rFonts w:ascii="Simplified Arabic" w:hAnsi="Simplified Arabic" w:cs="Simplified Arabic"/>
          <w:sz w:val="24"/>
          <w:szCs w:val="24"/>
          <w:rtl/>
          <w:lang w:val="en-US" w:bidi="ar-DZ"/>
        </w:rPr>
        <w:t xml:space="preserve"> </w:t>
      </w:r>
      <w:r w:rsidR="00DA3837" w:rsidRPr="00DA3837">
        <w:rPr>
          <w:rFonts w:ascii="Simplified Arabic" w:hAnsi="Simplified Arabic" w:cs="Simplified Arabic" w:hint="cs"/>
          <w:sz w:val="24"/>
          <w:szCs w:val="24"/>
          <w:rtl/>
          <w:lang w:val="en-US" w:bidi="ar-DZ"/>
        </w:rPr>
        <w:t>المباني</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التي</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يمكن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الوصول</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إليها</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فعليًا</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على</w:t>
      </w:r>
      <w:r w:rsidRPr="00DA3837">
        <w:rPr>
          <w:rFonts w:ascii="Simplified Arabic" w:hAnsi="Simplified Arabic" w:cs="Simplified Arabic"/>
          <w:sz w:val="24"/>
          <w:szCs w:val="24"/>
          <w:rtl/>
          <w:lang w:val="en-US" w:bidi="ar-DZ"/>
        </w:rPr>
        <w:t xml:space="preserve"> </w:t>
      </w:r>
      <w:r w:rsidR="00AC60D2">
        <w:rPr>
          <w:rFonts w:ascii="Simplified Arabic" w:hAnsi="Simplified Arabic" w:cs="Simplified Arabic" w:hint="cs"/>
          <w:sz w:val="24"/>
          <w:szCs w:val="24"/>
          <w:rtl/>
          <w:lang w:val="en-US" w:bidi="ar-DZ"/>
        </w:rPr>
        <w:t>مسافة</w:t>
      </w:r>
      <w:r w:rsidR="004A5559">
        <w:rPr>
          <w:rFonts w:ascii="Simplified Arabic" w:hAnsi="Simplified Arabic" w:cs="Simplified Arabic" w:hint="cs"/>
          <w:sz w:val="24"/>
          <w:szCs w:val="24"/>
          <w:rtl/>
          <w:lang w:val="en-US" w:bidi="ar-DZ"/>
        </w:rPr>
        <w:t xml:space="preserve"> بقطر</w:t>
      </w:r>
      <w:r w:rsidRPr="00DA3837">
        <w:rPr>
          <w:rFonts w:ascii="Simplified Arabic" w:hAnsi="Simplified Arabic" w:cs="Simplified Arabic"/>
          <w:sz w:val="24"/>
          <w:szCs w:val="24"/>
          <w:rtl/>
          <w:lang w:val="en-US" w:bidi="ar-DZ"/>
        </w:rPr>
        <w:t xml:space="preserve"> </w:t>
      </w:r>
      <w:r w:rsidR="000915D5">
        <w:rPr>
          <w:rFonts w:ascii="Simplified Arabic" w:hAnsi="Simplified Arabic" w:cs="Simplified Arabic" w:hint="cs"/>
          <w:sz w:val="24"/>
          <w:szCs w:val="24"/>
          <w:rtl/>
          <w:lang w:val="en-US" w:bidi="ar-DZ"/>
        </w:rPr>
        <w:t>300</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متر</w:t>
      </w:r>
      <w:r w:rsidRPr="00DA3837">
        <w:rPr>
          <w:rFonts w:ascii="Simplified Arabic" w:hAnsi="Simplified Arabic" w:cs="Simplified Arabic"/>
          <w:sz w:val="24"/>
          <w:szCs w:val="24"/>
          <w:rtl/>
          <w:lang w:val="en-US" w:bidi="ar-DZ"/>
        </w:rPr>
        <w:t xml:space="preserve"> </w:t>
      </w:r>
      <w:r w:rsidR="00AC60D2">
        <w:rPr>
          <w:rFonts w:ascii="Simplified Arabic" w:hAnsi="Simplified Arabic" w:cs="Simplified Arabic" w:hint="cs"/>
          <w:sz w:val="24"/>
          <w:szCs w:val="24"/>
          <w:rtl/>
          <w:lang w:val="en-US" w:bidi="ar-DZ"/>
        </w:rPr>
        <w:t>ضمن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شبكة</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الشوارع،</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أقل</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بكثير</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من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عدد</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المباني</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يمكن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الوصول</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إليها</w:t>
      </w:r>
      <w:r w:rsidRPr="00DA3837">
        <w:rPr>
          <w:rFonts w:ascii="Simplified Arabic" w:hAnsi="Simplified Arabic" w:cs="Simplified Arabic"/>
          <w:sz w:val="24"/>
          <w:szCs w:val="24"/>
          <w:rtl/>
          <w:lang w:val="en-US" w:bidi="ar-DZ"/>
        </w:rPr>
        <w:t xml:space="preserve"> </w:t>
      </w:r>
      <w:r w:rsidR="00830775" w:rsidRPr="00DA3837">
        <w:rPr>
          <w:rFonts w:ascii="Simplified Arabic" w:hAnsi="Simplified Arabic" w:cs="Simplified Arabic" w:hint="cs"/>
          <w:sz w:val="24"/>
          <w:szCs w:val="24"/>
          <w:rtl/>
          <w:lang w:val="en-US" w:bidi="ar-DZ"/>
        </w:rPr>
        <w:t>نظريًا</w:t>
      </w:r>
      <w:r w:rsidR="00830775"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ضمن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المسافة</w:t>
      </w:r>
      <w:r w:rsidRPr="00DA3837">
        <w:rPr>
          <w:rFonts w:ascii="Simplified Arabic" w:hAnsi="Simplified Arabic" w:cs="Simplified Arabic"/>
          <w:sz w:val="24"/>
          <w:szCs w:val="24"/>
          <w:rtl/>
          <w:lang w:val="en-US" w:bidi="ar-DZ"/>
        </w:rPr>
        <w:t xml:space="preserve"> </w:t>
      </w:r>
      <w:r w:rsidR="00DA3837" w:rsidRPr="00DA3837">
        <w:rPr>
          <w:rFonts w:ascii="Simplified Arabic" w:hAnsi="Simplified Arabic" w:cs="Simplified Arabic" w:hint="cs"/>
          <w:sz w:val="24"/>
          <w:szCs w:val="24"/>
          <w:rtl/>
          <w:lang w:val="en-US" w:bidi="ar-DZ"/>
        </w:rPr>
        <w:t>الاقليدية</w:t>
      </w:r>
      <w:r w:rsidRPr="00DA3837">
        <w:rPr>
          <w:rFonts w:ascii="Simplified Arabic" w:hAnsi="Simplified Arabic" w:cs="Simplified Arabic"/>
          <w:sz w:val="24"/>
          <w:szCs w:val="24"/>
          <w:rtl/>
          <w:lang w:val="en-US" w:bidi="ar-DZ"/>
        </w:rPr>
        <w:t>.</w:t>
      </w:r>
    </w:p>
    <w:p w:rsidR="002A686B" w:rsidRPr="00EB6C8C" w:rsidRDefault="002A686B" w:rsidP="00E56528">
      <w:pPr>
        <w:bidi/>
        <w:spacing w:after="0"/>
        <w:ind w:firstLine="425"/>
        <w:jc w:val="both"/>
        <w:rPr>
          <w:rFonts w:ascii="Simplified Arabic" w:hAnsi="Simplified Arabic" w:cs="Simplified Arabic"/>
          <w:sz w:val="24"/>
          <w:szCs w:val="24"/>
          <w:lang w:val="en-US" w:bidi="ar-DZ"/>
        </w:rPr>
      </w:pPr>
      <w:r w:rsidRPr="00D352CC">
        <w:rPr>
          <w:rFonts w:ascii="Simplified Arabic" w:hAnsi="Simplified Arabic" w:cs="Simplified Arabic" w:hint="cs"/>
          <w:sz w:val="24"/>
          <w:szCs w:val="24"/>
          <w:rtl/>
          <w:lang w:val="en-US" w:bidi="ar-DZ"/>
        </w:rPr>
        <w:t>أخيرًا،</w:t>
      </w:r>
      <w:r w:rsidRPr="00D352CC">
        <w:rPr>
          <w:rFonts w:ascii="Simplified Arabic" w:hAnsi="Simplified Arabic" w:cs="Simplified Arabic"/>
          <w:sz w:val="24"/>
          <w:szCs w:val="24"/>
          <w:rtl/>
          <w:lang w:val="en-US" w:bidi="ar-DZ"/>
        </w:rPr>
        <w:t xml:space="preserve"> </w:t>
      </w:r>
      <w:r w:rsidRPr="00D352CC">
        <w:rPr>
          <w:rFonts w:ascii="Simplified Arabic" w:hAnsi="Simplified Arabic" w:cs="Simplified Arabic" w:hint="cs"/>
          <w:sz w:val="24"/>
          <w:szCs w:val="24"/>
          <w:rtl/>
          <w:lang w:val="en-US" w:bidi="ar-DZ"/>
        </w:rPr>
        <w:t>تتميز</w:t>
      </w:r>
      <w:r w:rsidRPr="00D352CC">
        <w:rPr>
          <w:rFonts w:ascii="Simplified Arabic" w:hAnsi="Simplified Arabic" w:cs="Simplified Arabic"/>
          <w:sz w:val="24"/>
          <w:szCs w:val="24"/>
          <w:rtl/>
          <w:lang w:val="en-US" w:bidi="ar-DZ"/>
        </w:rPr>
        <w:t xml:space="preserve"> </w:t>
      </w:r>
      <w:r w:rsidRPr="00D352CC">
        <w:rPr>
          <w:rFonts w:ascii="Simplified Arabic" w:hAnsi="Simplified Arabic" w:cs="Simplified Arabic" w:hint="cs"/>
          <w:sz w:val="24"/>
          <w:szCs w:val="24"/>
          <w:rtl/>
          <w:lang w:val="en-US" w:bidi="ar-DZ"/>
        </w:rPr>
        <w:t>الفئة (أ) بكثافة</w:t>
      </w:r>
      <w:r w:rsidRPr="00D352CC">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سكنية</w:t>
      </w:r>
      <w:r w:rsidR="009D545A">
        <w:rPr>
          <w:rFonts w:ascii="Simplified Arabic" w:hAnsi="Simplified Arabic" w:cs="Simplified Arabic" w:hint="cs"/>
          <w:sz w:val="24"/>
          <w:szCs w:val="24"/>
          <w:rtl/>
          <w:lang w:val="en-US" w:bidi="ar-DZ"/>
        </w:rPr>
        <w:t xml:space="preserve"> قصوى</w:t>
      </w:r>
      <w:r>
        <w:rPr>
          <w:rFonts w:ascii="Simplified Arabic" w:hAnsi="Simplified Arabic" w:cs="Simplified Arabic" w:hint="cs"/>
          <w:sz w:val="24"/>
          <w:szCs w:val="24"/>
          <w:rtl/>
          <w:lang w:val="en-US" w:bidi="ar-DZ"/>
        </w:rPr>
        <w:t>، و</w:t>
      </w:r>
      <w:r w:rsidR="009D545A">
        <w:rPr>
          <w:rFonts w:ascii="Simplified Arabic" w:hAnsi="Simplified Arabic" w:cs="Simplified Arabic" w:hint="cs"/>
          <w:sz w:val="24"/>
          <w:szCs w:val="24"/>
          <w:rtl/>
          <w:lang w:val="en-US" w:bidi="ar-DZ"/>
        </w:rPr>
        <w:t xml:space="preserve">انخفاض </w:t>
      </w:r>
      <w:r>
        <w:rPr>
          <w:rFonts w:ascii="Simplified Arabic" w:hAnsi="Simplified Arabic" w:cs="Simplified Arabic" w:hint="cs"/>
          <w:sz w:val="24"/>
          <w:szCs w:val="24"/>
          <w:rtl/>
          <w:lang w:val="en-US" w:bidi="ar-DZ"/>
        </w:rPr>
        <w:t>امكانية</w:t>
      </w:r>
      <w:r w:rsidRPr="00D352CC">
        <w:rPr>
          <w:rFonts w:ascii="Simplified Arabic" w:hAnsi="Simplified Arabic" w:cs="Simplified Arabic"/>
          <w:sz w:val="24"/>
          <w:szCs w:val="24"/>
          <w:rtl/>
          <w:lang w:val="en-US" w:bidi="ar-DZ"/>
        </w:rPr>
        <w:t xml:space="preserve"> </w:t>
      </w:r>
      <w:r w:rsidR="009D545A">
        <w:rPr>
          <w:rFonts w:ascii="Simplified Arabic" w:hAnsi="Simplified Arabic" w:cs="Simplified Arabic" w:hint="cs"/>
          <w:sz w:val="24"/>
          <w:szCs w:val="24"/>
          <w:rtl/>
          <w:lang w:val="en-US" w:bidi="ar-DZ"/>
        </w:rPr>
        <w:t>ال</w:t>
      </w:r>
      <w:r w:rsidRPr="00D352CC">
        <w:rPr>
          <w:rFonts w:ascii="Simplified Arabic" w:hAnsi="Simplified Arabic" w:cs="Simplified Arabic" w:hint="cs"/>
          <w:sz w:val="24"/>
          <w:szCs w:val="24"/>
          <w:rtl/>
          <w:lang w:val="en-US" w:bidi="ar-DZ"/>
        </w:rPr>
        <w:t>وصول</w:t>
      </w:r>
      <w:r w:rsidRPr="00D352CC">
        <w:rPr>
          <w:rFonts w:ascii="Simplified Arabic" w:hAnsi="Simplified Arabic" w:cs="Simplified Arabic"/>
          <w:sz w:val="24"/>
          <w:szCs w:val="24"/>
          <w:rtl/>
          <w:lang w:val="en-US" w:bidi="ar-DZ"/>
        </w:rPr>
        <w:t xml:space="preserve"> </w:t>
      </w:r>
      <w:r w:rsidR="004A5559">
        <w:rPr>
          <w:rFonts w:ascii="Simplified Arabic" w:hAnsi="Simplified Arabic" w:cs="Simplified Arabic" w:hint="cs"/>
          <w:sz w:val="24"/>
          <w:szCs w:val="24"/>
          <w:rtl/>
          <w:lang w:val="en-US" w:bidi="ar-DZ"/>
        </w:rPr>
        <w:t>إلى المباني</w:t>
      </w:r>
      <w:r w:rsidR="00787828">
        <w:rPr>
          <w:rFonts w:ascii="Simplified Arabic" w:hAnsi="Simplified Arabic" w:cs="Simplified Arabic" w:hint="cs"/>
          <w:sz w:val="24"/>
          <w:szCs w:val="24"/>
          <w:rtl/>
          <w:lang w:val="en-US" w:bidi="ar-DZ"/>
        </w:rPr>
        <w:t xml:space="preserve"> عبر شبكة الطرق</w:t>
      </w:r>
      <w:r>
        <w:rPr>
          <w:rFonts w:ascii="Simplified Arabic" w:hAnsi="Simplified Arabic" w:cs="Simplified Arabic" w:hint="cs"/>
          <w:sz w:val="24"/>
          <w:szCs w:val="24"/>
          <w:rtl/>
          <w:lang w:val="en-US" w:bidi="ar-DZ"/>
        </w:rPr>
        <w:t>،</w:t>
      </w:r>
      <w:r w:rsidRPr="00D352CC">
        <w:rPr>
          <w:rFonts w:ascii="Simplified Arabic" w:hAnsi="Simplified Arabic" w:cs="Simplified Arabic"/>
          <w:sz w:val="24"/>
          <w:szCs w:val="24"/>
          <w:rtl/>
          <w:lang w:val="en-US" w:bidi="ar-DZ"/>
        </w:rPr>
        <w:t xml:space="preserve"> </w:t>
      </w:r>
      <w:r w:rsidRPr="00D352CC">
        <w:rPr>
          <w:rFonts w:ascii="Simplified Arabic" w:hAnsi="Simplified Arabic" w:cs="Simplified Arabic" w:hint="cs"/>
          <w:sz w:val="24"/>
          <w:szCs w:val="24"/>
          <w:rtl/>
          <w:lang w:val="en-US" w:bidi="ar-DZ"/>
        </w:rPr>
        <w:t>بال</w:t>
      </w:r>
      <w:r w:rsidR="00787828">
        <w:rPr>
          <w:rFonts w:ascii="Simplified Arabic" w:hAnsi="Simplified Arabic" w:cs="Simplified Arabic" w:hint="cs"/>
          <w:sz w:val="24"/>
          <w:szCs w:val="24"/>
          <w:rtl/>
          <w:lang w:val="en-US" w:bidi="ar-DZ"/>
        </w:rPr>
        <w:t>تالي مستوى ضعيف للمرونة الحضرية.</w:t>
      </w:r>
      <w:r w:rsidRPr="00D352CC">
        <w:rPr>
          <w:rFonts w:ascii="Simplified Arabic" w:hAnsi="Simplified Arabic" w:cs="Simplified Arabic"/>
          <w:sz w:val="24"/>
          <w:szCs w:val="24"/>
          <w:rtl/>
          <w:lang w:val="en-US" w:bidi="ar-DZ"/>
        </w:rPr>
        <w:t xml:space="preserve"> </w:t>
      </w:r>
      <w:r w:rsidR="00787828">
        <w:rPr>
          <w:rFonts w:ascii="Simplified Arabic" w:hAnsi="Simplified Arabic" w:cs="Simplified Arabic" w:hint="cs"/>
          <w:sz w:val="24"/>
          <w:szCs w:val="24"/>
          <w:rtl/>
          <w:lang w:val="en-US" w:bidi="ar-DZ"/>
        </w:rPr>
        <w:t>اما ال</w:t>
      </w:r>
      <w:r w:rsidR="00AC60D2">
        <w:rPr>
          <w:rFonts w:ascii="Simplified Arabic" w:hAnsi="Simplified Arabic" w:cs="Simplified Arabic" w:hint="cs"/>
          <w:sz w:val="24"/>
          <w:szCs w:val="24"/>
          <w:rtl/>
          <w:lang w:val="en-US" w:bidi="ar-DZ"/>
        </w:rPr>
        <w:t>فئة (ج)</w:t>
      </w:r>
      <w:r w:rsidR="00AC60D2" w:rsidRPr="00D352CC">
        <w:rPr>
          <w:rFonts w:ascii="Simplified Arabic" w:hAnsi="Simplified Arabic" w:cs="Simplified Arabic" w:hint="cs"/>
          <w:sz w:val="24"/>
          <w:szCs w:val="24"/>
          <w:rtl/>
          <w:lang w:val="en-US" w:bidi="ar-DZ"/>
        </w:rPr>
        <w:t>،</w:t>
      </w:r>
      <w:r w:rsidR="00AC60D2" w:rsidRPr="00D352CC">
        <w:rPr>
          <w:rFonts w:ascii="Simplified Arabic" w:hAnsi="Simplified Arabic" w:cs="Simplified Arabic"/>
          <w:sz w:val="24"/>
          <w:szCs w:val="24"/>
          <w:rtl/>
          <w:lang w:val="en-US" w:bidi="ar-DZ"/>
        </w:rPr>
        <w:t xml:space="preserve"> </w:t>
      </w:r>
      <w:r w:rsidR="009D545A">
        <w:rPr>
          <w:rFonts w:ascii="Simplified Arabic" w:hAnsi="Simplified Arabic" w:cs="Simplified Arabic" w:hint="cs"/>
          <w:sz w:val="24"/>
          <w:szCs w:val="24"/>
          <w:rtl/>
          <w:lang w:val="en-US" w:bidi="ar-DZ"/>
        </w:rPr>
        <w:t>تتميز ب</w:t>
      </w:r>
      <w:r w:rsidR="00AC60D2">
        <w:rPr>
          <w:rFonts w:ascii="Simplified Arabic" w:hAnsi="Simplified Arabic" w:cs="Simplified Arabic" w:hint="cs"/>
          <w:sz w:val="24"/>
          <w:szCs w:val="24"/>
          <w:rtl/>
          <w:lang w:val="en-US" w:bidi="ar-DZ"/>
        </w:rPr>
        <w:t xml:space="preserve">كثافة سكنية </w:t>
      </w:r>
      <w:r w:rsidR="004A5559">
        <w:rPr>
          <w:rFonts w:ascii="Simplified Arabic" w:hAnsi="Simplified Arabic" w:cs="Simplified Arabic" w:hint="cs"/>
          <w:sz w:val="24"/>
          <w:szCs w:val="24"/>
          <w:rtl/>
          <w:lang w:val="en-US" w:bidi="ar-DZ"/>
        </w:rPr>
        <w:t xml:space="preserve">قصوى </w:t>
      </w:r>
      <w:r w:rsidR="00AC60D2">
        <w:rPr>
          <w:rFonts w:ascii="Simplified Arabic" w:hAnsi="Simplified Arabic" w:cs="Simplified Arabic" w:hint="cs"/>
          <w:sz w:val="24"/>
          <w:szCs w:val="24"/>
          <w:rtl/>
          <w:lang w:val="en-US" w:bidi="ar-DZ"/>
        </w:rPr>
        <w:t xml:space="preserve">مع </w:t>
      </w:r>
      <w:r w:rsidR="00AC60D2" w:rsidRPr="00D352CC">
        <w:rPr>
          <w:rFonts w:ascii="Simplified Arabic" w:hAnsi="Simplified Arabic" w:cs="Simplified Arabic" w:hint="cs"/>
          <w:sz w:val="24"/>
          <w:szCs w:val="24"/>
          <w:rtl/>
          <w:lang w:val="en-US" w:bidi="ar-DZ"/>
        </w:rPr>
        <w:t>إمكانية</w:t>
      </w:r>
      <w:r w:rsidR="00AC60D2" w:rsidRPr="00D352CC">
        <w:rPr>
          <w:rFonts w:ascii="Simplified Arabic" w:hAnsi="Simplified Arabic" w:cs="Simplified Arabic"/>
          <w:sz w:val="24"/>
          <w:szCs w:val="24"/>
          <w:rtl/>
          <w:lang w:val="en-US" w:bidi="ar-DZ"/>
        </w:rPr>
        <w:t xml:space="preserve"> </w:t>
      </w:r>
      <w:r w:rsidR="00AC60D2" w:rsidRPr="00D352CC">
        <w:rPr>
          <w:rFonts w:ascii="Simplified Arabic" w:hAnsi="Simplified Arabic" w:cs="Simplified Arabic" w:hint="cs"/>
          <w:sz w:val="24"/>
          <w:szCs w:val="24"/>
          <w:rtl/>
          <w:lang w:val="en-US" w:bidi="ar-DZ"/>
        </w:rPr>
        <w:t>وصول</w:t>
      </w:r>
      <w:r w:rsidR="00AC60D2" w:rsidRPr="00D352CC">
        <w:rPr>
          <w:rFonts w:ascii="Simplified Arabic" w:hAnsi="Simplified Arabic" w:cs="Simplified Arabic"/>
          <w:sz w:val="24"/>
          <w:szCs w:val="24"/>
          <w:rtl/>
          <w:lang w:val="en-US" w:bidi="ar-DZ"/>
        </w:rPr>
        <w:t xml:space="preserve"> </w:t>
      </w:r>
      <w:r w:rsidR="00AC60D2">
        <w:rPr>
          <w:rFonts w:ascii="Simplified Arabic" w:hAnsi="Simplified Arabic" w:cs="Simplified Arabic" w:hint="cs"/>
          <w:sz w:val="24"/>
          <w:szCs w:val="24"/>
          <w:rtl/>
          <w:lang w:val="en-US" w:bidi="ar-DZ"/>
        </w:rPr>
        <w:t>متوسطة</w:t>
      </w:r>
      <w:r w:rsidR="00E56528">
        <w:rPr>
          <w:rFonts w:ascii="Simplified Arabic" w:hAnsi="Simplified Arabic" w:cs="Simplified Arabic" w:hint="cs"/>
          <w:sz w:val="24"/>
          <w:szCs w:val="24"/>
          <w:rtl/>
          <w:lang w:val="en-US" w:bidi="ar-DZ"/>
        </w:rPr>
        <w:t>، مع مستوى متوسط للمرونة الحضرية</w:t>
      </w:r>
      <w:r w:rsidR="00787828">
        <w:rPr>
          <w:rFonts w:ascii="Simplified Arabic" w:hAnsi="Simplified Arabic" w:cs="Simplified Arabic" w:hint="cs"/>
          <w:sz w:val="24"/>
          <w:szCs w:val="24"/>
          <w:rtl/>
          <w:lang w:val="en-US" w:bidi="ar-DZ"/>
        </w:rPr>
        <w:t>.</w:t>
      </w:r>
      <w:r w:rsidR="00AC60D2">
        <w:rPr>
          <w:rFonts w:ascii="Simplified Arabic" w:hAnsi="Simplified Arabic" w:cs="Simplified Arabic" w:hint="cs"/>
          <w:sz w:val="24"/>
          <w:szCs w:val="24"/>
          <w:rtl/>
          <w:lang w:val="en-US" w:bidi="ar-DZ"/>
        </w:rPr>
        <w:t xml:space="preserve"> </w:t>
      </w:r>
      <w:r w:rsidRPr="00D352CC">
        <w:rPr>
          <w:rFonts w:ascii="Simplified Arabic" w:hAnsi="Simplified Arabic" w:cs="Simplified Arabic" w:hint="cs"/>
          <w:sz w:val="24"/>
          <w:szCs w:val="24"/>
          <w:rtl/>
          <w:lang w:val="en-US" w:bidi="ar-DZ"/>
        </w:rPr>
        <w:t>في</w:t>
      </w:r>
      <w:r w:rsidRPr="00D352CC">
        <w:rPr>
          <w:rFonts w:ascii="Simplified Arabic" w:hAnsi="Simplified Arabic" w:cs="Simplified Arabic"/>
          <w:sz w:val="24"/>
          <w:szCs w:val="24"/>
          <w:rtl/>
          <w:lang w:val="en-US" w:bidi="ar-DZ"/>
        </w:rPr>
        <w:t xml:space="preserve"> </w:t>
      </w:r>
      <w:r w:rsidRPr="00D352CC">
        <w:rPr>
          <w:rFonts w:ascii="Simplified Arabic" w:hAnsi="Simplified Arabic" w:cs="Simplified Arabic" w:hint="cs"/>
          <w:sz w:val="24"/>
          <w:szCs w:val="24"/>
          <w:rtl/>
          <w:lang w:val="en-US" w:bidi="ar-DZ"/>
        </w:rPr>
        <w:t>حين</w:t>
      </w:r>
      <w:r w:rsidRPr="00D352CC">
        <w:rPr>
          <w:rFonts w:ascii="Simplified Arabic" w:hAnsi="Simplified Arabic" w:cs="Simplified Arabic"/>
          <w:sz w:val="24"/>
          <w:szCs w:val="24"/>
          <w:rtl/>
          <w:lang w:val="en-US" w:bidi="ar-DZ"/>
        </w:rPr>
        <w:t xml:space="preserve"> </w:t>
      </w:r>
      <w:r w:rsidRPr="00D352CC">
        <w:rPr>
          <w:rFonts w:ascii="Simplified Arabic" w:hAnsi="Simplified Arabic" w:cs="Simplified Arabic" w:hint="cs"/>
          <w:sz w:val="24"/>
          <w:szCs w:val="24"/>
          <w:rtl/>
          <w:lang w:val="en-US" w:bidi="ar-DZ"/>
        </w:rPr>
        <w:t>أن</w:t>
      </w:r>
      <w:r w:rsidRPr="00D352CC">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الفئة (ب</w:t>
      </w:r>
      <w:r w:rsidR="00DA3837">
        <w:rPr>
          <w:rFonts w:ascii="Simplified Arabic" w:hAnsi="Simplified Arabic" w:cs="Simplified Arabic" w:hint="cs"/>
          <w:sz w:val="24"/>
          <w:szCs w:val="24"/>
          <w:rtl/>
          <w:lang w:val="en-US" w:bidi="ar-DZ"/>
        </w:rPr>
        <w:t>، د</w:t>
      </w:r>
      <w:r>
        <w:rPr>
          <w:rFonts w:ascii="Simplified Arabic" w:hAnsi="Simplified Arabic" w:cs="Simplified Arabic" w:hint="cs"/>
          <w:sz w:val="24"/>
          <w:szCs w:val="24"/>
          <w:rtl/>
          <w:lang w:val="en-US" w:bidi="ar-DZ"/>
        </w:rPr>
        <w:t>)</w:t>
      </w:r>
      <w:r w:rsidR="00FF7625">
        <w:rPr>
          <w:rFonts w:ascii="Simplified Arabic" w:hAnsi="Simplified Arabic" w:cs="Simplified Arabic" w:hint="cs"/>
          <w:sz w:val="24"/>
          <w:szCs w:val="24"/>
          <w:rtl/>
          <w:lang w:val="en-US" w:bidi="ar-DZ"/>
        </w:rPr>
        <w:t>،</w:t>
      </w:r>
      <w:r w:rsidRPr="00D352CC">
        <w:rPr>
          <w:rFonts w:ascii="Simplified Arabic" w:hAnsi="Simplified Arabic" w:cs="Simplified Arabic"/>
          <w:sz w:val="24"/>
          <w:szCs w:val="24"/>
          <w:rtl/>
          <w:lang w:val="en-US" w:bidi="ar-DZ"/>
        </w:rPr>
        <w:t xml:space="preserve"> </w:t>
      </w:r>
      <w:r w:rsidR="009D545A">
        <w:rPr>
          <w:rFonts w:ascii="Simplified Arabic" w:hAnsi="Simplified Arabic" w:cs="Simplified Arabic" w:hint="cs"/>
          <w:sz w:val="24"/>
          <w:szCs w:val="24"/>
          <w:rtl/>
          <w:lang w:val="en-US" w:bidi="ar-DZ"/>
        </w:rPr>
        <w:t>تتميزان</w:t>
      </w:r>
      <w:r w:rsidR="00787828" w:rsidRPr="00D352CC">
        <w:rPr>
          <w:rFonts w:ascii="Simplified Arabic" w:hAnsi="Simplified Arabic" w:cs="Simplified Arabic"/>
          <w:sz w:val="24"/>
          <w:szCs w:val="24"/>
          <w:rtl/>
          <w:lang w:val="en-US" w:bidi="ar-DZ"/>
        </w:rPr>
        <w:t xml:space="preserve"> </w:t>
      </w:r>
      <w:r w:rsidR="009D545A">
        <w:rPr>
          <w:rFonts w:ascii="Simplified Arabic" w:hAnsi="Simplified Arabic" w:cs="Simplified Arabic" w:hint="cs"/>
          <w:sz w:val="24"/>
          <w:szCs w:val="24"/>
          <w:rtl/>
          <w:lang w:val="en-US" w:bidi="ar-DZ"/>
        </w:rPr>
        <w:t>ب</w:t>
      </w:r>
      <w:r w:rsidR="00787828">
        <w:rPr>
          <w:rFonts w:ascii="Simplified Arabic" w:hAnsi="Simplified Arabic" w:cs="Simplified Arabic" w:hint="cs"/>
          <w:sz w:val="24"/>
          <w:szCs w:val="24"/>
          <w:rtl/>
          <w:lang w:val="en-US" w:bidi="ar-DZ"/>
        </w:rPr>
        <w:t xml:space="preserve">كثافة سكنية منخفضة مع </w:t>
      </w:r>
      <w:r w:rsidR="00787828" w:rsidRPr="00D352CC">
        <w:rPr>
          <w:rFonts w:ascii="Simplified Arabic" w:hAnsi="Simplified Arabic" w:cs="Simplified Arabic" w:hint="cs"/>
          <w:sz w:val="24"/>
          <w:szCs w:val="24"/>
          <w:rtl/>
          <w:lang w:val="en-US" w:bidi="ar-DZ"/>
        </w:rPr>
        <w:t>إمكانية</w:t>
      </w:r>
      <w:r w:rsidR="00787828" w:rsidRPr="00D352CC">
        <w:rPr>
          <w:rFonts w:ascii="Simplified Arabic" w:hAnsi="Simplified Arabic" w:cs="Simplified Arabic"/>
          <w:sz w:val="24"/>
          <w:szCs w:val="24"/>
          <w:rtl/>
          <w:lang w:val="en-US" w:bidi="ar-DZ"/>
        </w:rPr>
        <w:t xml:space="preserve"> </w:t>
      </w:r>
      <w:r w:rsidR="00787828" w:rsidRPr="00D352CC">
        <w:rPr>
          <w:rFonts w:ascii="Simplified Arabic" w:hAnsi="Simplified Arabic" w:cs="Simplified Arabic" w:hint="cs"/>
          <w:sz w:val="24"/>
          <w:szCs w:val="24"/>
          <w:rtl/>
          <w:lang w:val="en-US" w:bidi="ar-DZ"/>
        </w:rPr>
        <w:t>وصول</w:t>
      </w:r>
      <w:r w:rsidR="00787828" w:rsidRPr="00D352CC">
        <w:rPr>
          <w:rFonts w:ascii="Simplified Arabic" w:hAnsi="Simplified Arabic" w:cs="Simplified Arabic"/>
          <w:sz w:val="24"/>
          <w:szCs w:val="24"/>
          <w:rtl/>
          <w:lang w:val="en-US" w:bidi="ar-DZ"/>
        </w:rPr>
        <w:t xml:space="preserve"> </w:t>
      </w:r>
      <w:r w:rsidR="00787828">
        <w:rPr>
          <w:rFonts w:ascii="Simplified Arabic" w:hAnsi="Simplified Arabic" w:cs="Simplified Arabic" w:hint="cs"/>
          <w:sz w:val="24"/>
          <w:szCs w:val="24"/>
          <w:rtl/>
          <w:lang w:val="en-US" w:bidi="ar-DZ"/>
        </w:rPr>
        <w:t xml:space="preserve">مرتفعة، </w:t>
      </w:r>
      <w:r>
        <w:rPr>
          <w:rFonts w:ascii="Simplified Arabic" w:hAnsi="Simplified Arabic" w:cs="Simplified Arabic" w:hint="cs"/>
          <w:sz w:val="24"/>
          <w:szCs w:val="24"/>
          <w:rtl/>
          <w:lang w:val="en-US" w:bidi="ar-DZ"/>
        </w:rPr>
        <w:t xml:space="preserve">هذا يشير الى </w:t>
      </w:r>
      <w:r w:rsidRPr="00D352CC">
        <w:rPr>
          <w:rFonts w:ascii="Simplified Arabic" w:hAnsi="Simplified Arabic" w:cs="Simplified Arabic" w:hint="cs"/>
          <w:sz w:val="24"/>
          <w:szCs w:val="24"/>
          <w:rtl/>
          <w:lang w:val="en-US" w:bidi="ar-DZ"/>
        </w:rPr>
        <w:t>مستو</w:t>
      </w:r>
      <w:r>
        <w:rPr>
          <w:rFonts w:ascii="Simplified Arabic" w:hAnsi="Simplified Arabic" w:cs="Simplified Arabic" w:hint="cs"/>
          <w:sz w:val="24"/>
          <w:szCs w:val="24"/>
          <w:rtl/>
          <w:lang w:val="en-US" w:bidi="ar-DZ"/>
        </w:rPr>
        <w:t xml:space="preserve">يات اعلى </w:t>
      </w:r>
      <w:r w:rsidRPr="00D352CC">
        <w:rPr>
          <w:rFonts w:ascii="Simplified Arabic" w:hAnsi="Simplified Arabic" w:cs="Simplified Arabic" w:hint="cs"/>
          <w:sz w:val="24"/>
          <w:szCs w:val="24"/>
          <w:rtl/>
          <w:lang w:val="en-US" w:bidi="ar-DZ"/>
        </w:rPr>
        <w:t>للمرونة الحضرية</w:t>
      </w:r>
      <w:r w:rsidR="00787828">
        <w:rPr>
          <w:rFonts w:ascii="Simplified Arabic" w:hAnsi="Simplified Arabic" w:cs="Simplified Arabic" w:hint="cs"/>
          <w:sz w:val="24"/>
          <w:szCs w:val="24"/>
          <w:rtl/>
          <w:lang w:val="en-US" w:bidi="ar-DZ"/>
        </w:rPr>
        <w:t>.</w:t>
      </w:r>
    </w:p>
    <w:p w:rsidR="002A686B" w:rsidRDefault="00410D7E" w:rsidP="004E1FA3">
      <w:pPr>
        <w:pStyle w:val="fegure"/>
        <w:spacing w:before="240"/>
        <w:rPr>
          <w:sz w:val="6"/>
          <w:szCs w:val="22"/>
          <w:rtl/>
          <w:lang w:bidi="ar-DZ"/>
        </w:rPr>
      </w:pPr>
      <w:r w:rsidRPr="00A251AC">
        <w:rPr>
          <w:sz w:val="6"/>
          <w:szCs w:val="22"/>
          <w:lang w:bidi="ar-DZ"/>
        </w:rPr>
        <w:t xml:space="preserve">  </w:t>
      </w:r>
      <w:bookmarkStart w:id="856" w:name="_Toc157608367"/>
      <w:bookmarkStart w:id="857" w:name="_Toc171803822"/>
      <w:r w:rsidR="002A686B" w:rsidRPr="00A251AC">
        <w:rPr>
          <w:rFonts w:hint="cs"/>
          <w:sz w:val="6"/>
          <w:szCs w:val="22"/>
          <w:rtl/>
          <w:lang w:bidi="ar-DZ"/>
        </w:rPr>
        <w:t>الشكل (6-</w:t>
      </w:r>
      <w:r w:rsidR="005373F7" w:rsidRPr="00A251AC">
        <w:rPr>
          <w:rFonts w:hint="cs"/>
          <w:sz w:val="6"/>
          <w:szCs w:val="22"/>
          <w:rtl/>
          <w:lang w:bidi="ar-DZ"/>
        </w:rPr>
        <w:t>16</w:t>
      </w:r>
      <w:r w:rsidR="002A686B" w:rsidRPr="00A251AC">
        <w:rPr>
          <w:rFonts w:hint="cs"/>
          <w:sz w:val="6"/>
          <w:szCs w:val="22"/>
          <w:rtl/>
          <w:lang w:bidi="ar-DZ"/>
        </w:rPr>
        <w:t xml:space="preserve">) </w:t>
      </w:r>
      <w:r w:rsidR="00076D1B" w:rsidRPr="00A251AC">
        <w:rPr>
          <w:rFonts w:hint="cs"/>
          <w:sz w:val="6"/>
          <w:szCs w:val="22"/>
          <w:rtl/>
          <w:lang w:val="en-US" w:bidi="ar-DZ"/>
        </w:rPr>
        <w:t>ل</w:t>
      </w:r>
      <w:r w:rsidR="00076D1B" w:rsidRPr="00A251AC">
        <w:rPr>
          <w:rFonts w:hint="cs"/>
          <w:sz w:val="6"/>
          <w:szCs w:val="22"/>
          <w:rtl/>
          <w:lang w:bidi="ar-DZ"/>
        </w:rPr>
        <w:t>توزيع ا</w:t>
      </w:r>
      <w:r w:rsidR="00076D1B" w:rsidRPr="00A251AC">
        <w:rPr>
          <w:rFonts w:hint="cs"/>
          <w:sz w:val="6"/>
          <w:szCs w:val="22"/>
          <w:rtl/>
          <w:lang w:val="en-US" w:bidi="ar-DZ"/>
        </w:rPr>
        <w:t xml:space="preserve">لنسب </w:t>
      </w:r>
      <w:r w:rsidR="00076D1B" w:rsidRPr="00A251AC">
        <w:rPr>
          <w:rFonts w:hint="cs"/>
          <w:sz w:val="6"/>
          <w:szCs w:val="22"/>
          <w:rtl/>
          <w:lang w:bidi="ar-DZ"/>
        </w:rPr>
        <w:t>بين</w:t>
      </w:r>
      <w:r w:rsidR="00076D1B" w:rsidRPr="00A251AC">
        <w:rPr>
          <w:sz w:val="6"/>
          <w:szCs w:val="22"/>
          <w:rtl/>
          <w:lang w:bidi="ar-DZ"/>
        </w:rPr>
        <w:t xml:space="preserve"> </w:t>
      </w:r>
      <w:r w:rsidR="00076D1B" w:rsidRPr="00A251AC">
        <w:rPr>
          <w:rFonts w:hint="cs"/>
          <w:sz w:val="6"/>
          <w:szCs w:val="22"/>
          <w:rtl/>
          <w:lang w:bidi="ar-DZ"/>
        </w:rPr>
        <w:t>مسافة</w:t>
      </w:r>
      <w:r w:rsidR="00076D1B" w:rsidRPr="00A251AC">
        <w:rPr>
          <w:sz w:val="6"/>
          <w:szCs w:val="22"/>
          <w:rtl/>
          <w:lang w:bidi="ar-DZ"/>
        </w:rPr>
        <w:t xml:space="preserve"> </w:t>
      </w:r>
      <w:r w:rsidR="00076D1B" w:rsidRPr="00A251AC">
        <w:rPr>
          <w:rFonts w:hint="cs"/>
          <w:sz w:val="6"/>
          <w:szCs w:val="22"/>
          <w:rtl/>
          <w:lang w:bidi="ar-DZ"/>
        </w:rPr>
        <w:t>شبكة</w:t>
      </w:r>
      <w:r w:rsidR="00076D1B" w:rsidRPr="00A251AC">
        <w:rPr>
          <w:sz w:val="6"/>
          <w:szCs w:val="22"/>
          <w:rtl/>
          <w:lang w:bidi="ar-DZ"/>
        </w:rPr>
        <w:t xml:space="preserve"> </w:t>
      </w:r>
      <w:r w:rsidR="00076D1B" w:rsidRPr="00A251AC">
        <w:rPr>
          <w:rFonts w:hint="cs"/>
          <w:sz w:val="6"/>
          <w:szCs w:val="22"/>
          <w:rtl/>
          <w:lang w:bidi="ar-DZ"/>
        </w:rPr>
        <w:t>الشوارع والمسافة</w:t>
      </w:r>
      <w:r w:rsidR="00076D1B" w:rsidRPr="00A251AC">
        <w:rPr>
          <w:sz w:val="6"/>
          <w:szCs w:val="22"/>
          <w:rtl/>
          <w:lang w:bidi="ar-DZ"/>
        </w:rPr>
        <w:t xml:space="preserve"> </w:t>
      </w:r>
      <w:r w:rsidR="00076D1B" w:rsidRPr="00A251AC">
        <w:rPr>
          <w:rFonts w:hint="cs"/>
          <w:sz w:val="6"/>
          <w:szCs w:val="22"/>
          <w:rtl/>
          <w:lang w:bidi="ar-DZ"/>
        </w:rPr>
        <w:t>الإقليدية</w:t>
      </w:r>
      <w:r w:rsidR="00076D1B" w:rsidRPr="00A251AC">
        <w:rPr>
          <w:sz w:val="6"/>
          <w:szCs w:val="22"/>
          <w:rtl/>
          <w:lang w:bidi="ar-DZ"/>
        </w:rPr>
        <w:t xml:space="preserve"> </w:t>
      </w:r>
      <w:r w:rsidR="009C0BBE" w:rsidRPr="00A251AC">
        <w:rPr>
          <w:rFonts w:hint="cs"/>
          <w:sz w:val="6"/>
          <w:szCs w:val="22"/>
          <w:rtl/>
          <w:lang w:bidi="ar-DZ"/>
        </w:rPr>
        <w:t>لأحياء</w:t>
      </w:r>
      <w:r w:rsidR="002A686B" w:rsidRPr="00A251AC">
        <w:rPr>
          <w:rFonts w:hint="cs"/>
          <w:sz w:val="6"/>
          <w:szCs w:val="22"/>
          <w:rtl/>
          <w:lang w:bidi="ar-DZ"/>
        </w:rPr>
        <w:t xml:space="preserve"> فئات</w:t>
      </w:r>
      <w:r w:rsidR="009C0BBE" w:rsidRPr="00A251AC">
        <w:rPr>
          <w:rFonts w:hint="cs"/>
          <w:sz w:val="6"/>
          <w:szCs w:val="22"/>
          <w:rtl/>
          <w:lang w:bidi="ar-DZ"/>
        </w:rPr>
        <w:t xml:space="preserve"> الانسجة</w:t>
      </w:r>
      <w:r w:rsidR="002A686B" w:rsidRPr="00A251AC">
        <w:rPr>
          <w:rFonts w:hint="cs"/>
          <w:sz w:val="6"/>
          <w:szCs w:val="22"/>
          <w:rtl/>
          <w:lang w:bidi="ar-DZ"/>
        </w:rPr>
        <w:t xml:space="preserve"> الاربعة (أ، ب، جـ، د)</w:t>
      </w:r>
      <w:r w:rsidR="002A686B" w:rsidRPr="00A251AC">
        <w:rPr>
          <w:sz w:val="6"/>
          <w:szCs w:val="22"/>
          <w:rtl/>
          <w:lang w:bidi="ar-DZ"/>
        </w:rPr>
        <w:t>.</w:t>
      </w:r>
      <w:bookmarkStart w:id="858" w:name="_Toc157608368"/>
      <w:bookmarkEnd w:id="856"/>
      <w:bookmarkEnd w:id="857"/>
    </w:p>
    <w:p w:rsidR="00986BEA" w:rsidRPr="00986BEA" w:rsidRDefault="00986BEA" w:rsidP="00986BEA">
      <w:pPr>
        <w:pStyle w:val="fegure"/>
        <w:rPr>
          <w:sz w:val="8"/>
          <w:szCs w:val="24"/>
          <w:rtl/>
          <w:lang w:val="en-US"/>
        </w:rPr>
      </w:pPr>
      <w:bookmarkStart w:id="859" w:name="_Toc171803823"/>
      <w:r>
        <w:rPr>
          <w:rFonts w:hint="cs"/>
          <w:sz w:val="8"/>
          <w:szCs w:val="24"/>
          <w:rtl/>
          <w:lang w:val="en-US" w:bidi="ar-DZ"/>
        </w:rPr>
        <w:t xml:space="preserve">المصدر: </w:t>
      </w:r>
      <w:r>
        <w:rPr>
          <w:rFonts w:hint="cs"/>
          <w:sz w:val="8"/>
          <w:szCs w:val="24"/>
          <w:rtl/>
          <w:lang w:val="en-US"/>
        </w:rPr>
        <w:t>(الباحث، 2022)</w:t>
      </w:r>
      <w:bookmarkEnd w:id="859"/>
    </w:p>
    <w:p w:rsidR="003D0161" w:rsidRPr="00A251AC" w:rsidRDefault="003D0161" w:rsidP="00986BEA">
      <w:pPr>
        <w:pStyle w:val="fegure"/>
        <w:rPr>
          <w:sz w:val="6"/>
          <w:szCs w:val="22"/>
          <w:lang w:bidi="ar-DZ"/>
        </w:rPr>
      </w:pPr>
      <w:bookmarkStart w:id="860" w:name="_Toc171803824"/>
      <w:r>
        <w:rPr>
          <w:noProof/>
          <w:lang w:eastAsia="fr-FR"/>
        </w:rPr>
        <w:drawing>
          <wp:inline distT="0" distB="0" distL="0" distR="0" wp14:anchorId="1406E3D1" wp14:editId="675E9247">
            <wp:extent cx="4744528" cy="2648309"/>
            <wp:effectExtent l="0" t="0" r="18415" b="19050"/>
            <wp:docPr id="79" name="Graphique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1"/>
              </a:graphicData>
            </a:graphic>
          </wp:inline>
        </w:drawing>
      </w:r>
      <w:bookmarkEnd w:id="860"/>
    </w:p>
    <w:p w:rsidR="002A686B" w:rsidRPr="00E24028" w:rsidRDefault="002A686B" w:rsidP="001D0548">
      <w:pPr>
        <w:pStyle w:val="Paragraphedeliste"/>
        <w:numPr>
          <w:ilvl w:val="2"/>
          <w:numId w:val="265"/>
        </w:numPr>
        <w:tabs>
          <w:tab w:val="right" w:pos="850"/>
        </w:tabs>
        <w:bidi/>
        <w:spacing w:before="240" w:after="0"/>
        <w:ind w:left="0" w:firstLine="0"/>
        <w:jc w:val="both"/>
        <w:outlineLvl w:val="1"/>
        <w:rPr>
          <w:rFonts w:ascii="Simplified Arabic" w:hAnsi="Simplified Arabic" w:cs="Simplified Arabic"/>
          <w:b/>
          <w:bCs/>
          <w:sz w:val="24"/>
          <w:szCs w:val="24"/>
          <w:lang w:bidi="ar-DZ"/>
        </w:rPr>
      </w:pPr>
      <w:bookmarkStart w:id="861" w:name="_Toc171803825"/>
      <w:r w:rsidRPr="00E24028">
        <w:rPr>
          <w:rFonts w:ascii="Simplified Arabic" w:hAnsi="Simplified Arabic" w:cs="Simplified Arabic" w:hint="cs"/>
          <w:b/>
          <w:bCs/>
          <w:sz w:val="24"/>
          <w:szCs w:val="24"/>
          <w:rtl/>
          <w:lang w:bidi="ar-DZ"/>
        </w:rPr>
        <w:t>سمة التنوع</w:t>
      </w:r>
      <w:bookmarkEnd w:id="861"/>
      <w:r w:rsidRPr="00E24028">
        <w:rPr>
          <w:rFonts w:ascii="Simplified Arabic" w:hAnsi="Simplified Arabic" w:cs="Simplified Arabic" w:hint="cs"/>
          <w:b/>
          <w:bCs/>
          <w:sz w:val="24"/>
          <w:szCs w:val="24"/>
          <w:rtl/>
          <w:lang w:bidi="ar-DZ"/>
        </w:rPr>
        <w:t xml:space="preserve"> </w:t>
      </w:r>
    </w:p>
    <w:p w:rsidR="005B5149" w:rsidRDefault="00F146C0" w:rsidP="00B8335B">
      <w:pPr>
        <w:bidi/>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حتى يتم استكشاف ال</w:t>
      </w:r>
      <w:r w:rsidRPr="000A690E">
        <w:rPr>
          <w:rFonts w:ascii="Simplified Arabic" w:hAnsi="Simplified Arabic" w:cs="Simplified Arabic" w:hint="cs"/>
          <w:sz w:val="24"/>
          <w:szCs w:val="24"/>
          <w:rtl/>
          <w:lang w:bidi="ar-DZ"/>
        </w:rPr>
        <w:t>تنوع</w:t>
      </w:r>
      <w:r>
        <w:rPr>
          <w:rFonts w:ascii="Simplified Arabic" w:hAnsi="Simplified Arabic" w:cs="Simplified Arabic" w:hint="cs"/>
          <w:sz w:val="24"/>
          <w:szCs w:val="24"/>
          <w:rtl/>
          <w:lang w:bidi="ar-DZ"/>
        </w:rPr>
        <w:t xml:space="preserve"> في الخدمات التي تقدمها مختلف المرافق العامة،</w:t>
      </w:r>
      <w:r w:rsidRPr="000A690E">
        <w:rPr>
          <w:rFonts w:ascii="Simplified Arabic" w:hAnsi="Simplified Arabic" w:cs="Simplified Arabic" w:hint="cs"/>
          <w:sz w:val="24"/>
          <w:szCs w:val="24"/>
          <w:rtl/>
          <w:lang w:bidi="ar-DZ"/>
        </w:rPr>
        <w:t xml:space="preserve"> </w:t>
      </w:r>
      <w:r w:rsidR="002A686B">
        <w:rPr>
          <w:rFonts w:ascii="Simplified Arabic" w:hAnsi="Simplified Arabic" w:cs="Simplified Arabic" w:hint="cs"/>
          <w:sz w:val="24"/>
          <w:szCs w:val="24"/>
          <w:rtl/>
          <w:lang w:bidi="ar-DZ"/>
        </w:rPr>
        <w:t>لابد من</w:t>
      </w:r>
      <w:r w:rsidR="002A686B" w:rsidRPr="000A690E">
        <w:rPr>
          <w:rFonts w:ascii="Simplified Arabic" w:hAnsi="Simplified Arabic" w:cs="Simplified Arabic" w:hint="cs"/>
          <w:sz w:val="24"/>
          <w:szCs w:val="24"/>
          <w:rtl/>
          <w:lang w:bidi="ar-DZ"/>
        </w:rPr>
        <w:t xml:space="preserve"> معرفة </w:t>
      </w:r>
      <w:r w:rsidR="00B8335B">
        <w:rPr>
          <w:rFonts w:ascii="Simplified Arabic" w:hAnsi="Simplified Arabic" w:cs="Simplified Arabic" w:hint="cs"/>
          <w:sz w:val="24"/>
          <w:szCs w:val="24"/>
          <w:rtl/>
          <w:lang w:bidi="ar-DZ"/>
        </w:rPr>
        <w:t>نطاق</w:t>
      </w:r>
      <w:r>
        <w:rPr>
          <w:rFonts w:ascii="Simplified Arabic" w:hAnsi="Simplified Arabic" w:cs="Simplified Arabic" w:hint="cs"/>
          <w:sz w:val="24"/>
          <w:szCs w:val="24"/>
          <w:rtl/>
          <w:lang w:bidi="ar-DZ"/>
        </w:rPr>
        <w:t xml:space="preserve"> </w:t>
      </w:r>
      <w:r w:rsidR="002A686B" w:rsidRPr="000A690E">
        <w:rPr>
          <w:rFonts w:ascii="Simplified Arabic" w:hAnsi="Simplified Arabic" w:cs="Simplified Arabic" w:hint="cs"/>
          <w:sz w:val="24"/>
          <w:szCs w:val="24"/>
          <w:rtl/>
          <w:lang w:bidi="ar-DZ"/>
        </w:rPr>
        <w:t>التغطية ب</w:t>
      </w:r>
      <w:r w:rsidR="00B8335B">
        <w:rPr>
          <w:rFonts w:ascii="Simplified Arabic" w:hAnsi="Simplified Arabic" w:cs="Simplified Arabic" w:hint="cs"/>
          <w:sz w:val="24"/>
          <w:szCs w:val="24"/>
          <w:rtl/>
          <w:lang w:bidi="ar-DZ"/>
        </w:rPr>
        <w:t>ال</w:t>
      </w:r>
      <w:r>
        <w:rPr>
          <w:rFonts w:ascii="Simplified Arabic" w:hAnsi="Simplified Arabic" w:cs="Simplified Arabic" w:hint="cs"/>
          <w:sz w:val="24"/>
          <w:szCs w:val="24"/>
          <w:rtl/>
          <w:lang w:bidi="ar-DZ"/>
        </w:rPr>
        <w:t xml:space="preserve">خدمة </w:t>
      </w:r>
      <w:r w:rsidR="00B8335B">
        <w:rPr>
          <w:rFonts w:ascii="Simplified Arabic" w:hAnsi="Simplified Arabic" w:cs="Simplified Arabic" w:hint="cs"/>
          <w:sz w:val="24"/>
          <w:szCs w:val="24"/>
          <w:rtl/>
          <w:lang w:bidi="ar-DZ"/>
        </w:rPr>
        <w:t>ل</w:t>
      </w:r>
      <w:r w:rsidR="002A686B" w:rsidRPr="000A690E">
        <w:rPr>
          <w:rFonts w:ascii="Simplified Arabic" w:hAnsi="Simplified Arabic" w:cs="Simplified Arabic" w:hint="cs"/>
          <w:sz w:val="24"/>
          <w:szCs w:val="24"/>
          <w:rtl/>
          <w:lang w:bidi="ar-DZ"/>
        </w:rPr>
        <w:t xml:space="preserve">لمرافق </w:t>
      </w:r>
      <w:r w:rsidR="00B8335B">
        <w:rPr>
          <w:rFonts w:ascii="Simplified Arabic" w:hAnsi="Simplified Arabic" w:cs="Simplified Arabic" w:hint="cs"/>
          <w:sz w:val="24"/>
          <w:szCs w:val="24"/>
          <w:rtl/>
          <w:lang w:bidi="ar-DZ"/>
        </w:rPr>
        <w:t xml:space="preserve">على مستوى </w:t>
      </w:r>
      <w:r w:rsidR="000220B2">
        <w:rPr>
          <w:rFonts w:ascii="Simplified Arabic" w:hAnsi="Simplified Arabic" w:cs="Simplified Arabic" w:hint="cs"/>
          <w:sz w:val="24"/>
          <w:szCs w:val="24"/>
          <w:rtl/>
        </w:rPr>
        <w:t>أحياء مختلف فئات النسيج الحضري الاربعة</w:t>
      </w:r>
      <w:r w:rsidR="00B8335B">
        <w:rPr>
          <w:rFonts w:ascii="Simplified Arabic" w:hAnsi="Simplified Arabic" w:cs="Simplified Arabic" w:hint="cs"/>
          <w:sz w:val="24"/>
          <w:szCs w:val="24"/>
          <w:rtl/>
        </w:rPr>
        <w:t xml:space="preserve"> لمدينة بوسعادة</w:t>
      </w:r>
      <w:r w:rsidR="002A686B">
        <w:rPr>
          <w:rFonts w:ascii="Simplified Arabic" w:hAnsi="Simplified Arabic" w:cs="Simplified Arabic" w:hint="cs"/>
          <w:sz w:val="24"/>
          <w:szCs w:val="24"/>
          <w:rtl/>
          <w:lang w:bidi="ar-DZ"/>
        </w:rPr>
        <w:t>،</w:t>
      </w:r>
      <w:r w:rsidR="002A686B" w:rsidRPr="000A690E">
        <w:rPr>
          <w:rFonts w:ascii="Simplified Arabic" w:hAnsi="Simplified Arabic" w:cs="Simplified Arabic" w:hint="cs"/>
          <w:sz w:val="24"/>
          <w:szCs w:val="24"/>
          <w:rtl/>
          <w:lang w:bidi="ar-DZ"/>
        </w:rPr>
        <w:t xml:space="preserve"> لذا نستعمل الادا</w:t>
      </w:r>
      <w:r w:rsidR="005B5149">
        <w:rPr>
          <w:rFonts w:ascii="Simplified Arabic" w:hAnsi="Simplified Arabic" w:cs="Simplified Arabic" w:hint="cs"/>
          <w:sz w:val="24"/>
          <w:szCs w:val="24"/>
          <w:rtl/>
          <w:lang w:bidi="ar-DZ"/>
        </w:rPr>
        <w:t>ة</w:t>
      </w:r>
      <w:r w:rsidR="002A686B" w:rsidRPr="000A690E">
        <w:rPr>
          <w:rFonts w:ascii="Simplified Arabic" w:hAnsi="Simplified Arabic" w:cs="Simplified Arabic" w:hint="cs"/>
          <w:sz w:val="24"/>
          <w:szCs w:val="24"/>
          <w:rtl/>
          <w:lang w:bidi="ar-DZ"/>
        </w:rPr>
        <w:t xml:space="preserve"> التالي</w:t>
      </w:r>
      <w:r w:rsidR="005B5149">
        <w:rPr>
          <w:rFonts w:ascii="Simplified Arabic" w:hAnsi="Simplified Arabic" w:cs="Simplified Arabic" w:hint="cs"/>
          <w:sz w:val="24"/>
          <w:szCs w:val="24"/>
          <w:rtl/>
          <w:lang w:bidi="ar-DZ"/>
        </w:rPr>
        <w:t>ة</w:t>
      </w:r>
      <w:r w:rsidR="002A686B" w:rsidRPr="000A690E">
        <w:rPr>
          <w:rFonts w:ascii="Simplified Arabic" w:hAnsi="Simplified Arabic" w:cs="Simplified Arabic" w:hint="cs"/>
          <w:sz w:val="24"/>
          <w:szCs w:val="24"/>
          <w:rtl/>
          <w:lang w:bidi="ar-DZ"/>
        </w:rPr>
        <w:t>:</w:t>
      </w:r>
    </w:p>
    <w:p w:rsidR="00D55C84" w:rsidRPr="00627E4F" w:rsidRDefault="00D55C84" w:rsidP="003D0161">
      <w:pPr>
        <w:pStyle w:val="Paragraphedeliste"/>
        <w:numPr>
          <w:ilvl w:val="3"/>
          <w:numId w:val="186"/>
        </w:numPr>
        <w:tabs>
          <w:tab w:val="right" w:pos="992"/>
        </w:tabs>
        <w:bidi/>
        <w:spacing w:before="240" w:after="0"/>
        <w:ind w:left="0" w:firstLine="0"/>
        <w:jc w:val="both"/>
        <w:outlineLvl w:val="2"/>
        <w:rPr>
          <w:rFonts w:ascii="Simplified Arabic" w:hAnsi="Simplified Arabic" w:cs="Simplified Arabic"/>
          <w:b/>
          <w:bCs/>
          <w:sz w:val="24"/>
          <w:szCs w:val="24"/>
          <w:rtl/>
          <w:lang w:bidi="ar-DZ"/>
        </w:rPr>
      </w:pPr>
      <w:bookmarkStart w:id="862" w:name="_Toc171803826"/>
      <w:r w:rsidRPr="00627E4F">
        <w:rPr>
          <w:rFonts w:ascii="Simplified Arabic" w:hAnsi="Simplified Arabic" w:cs="Simplified Arabic" w:hint="cs"/>
          <w:b/>
          <w:bCs/>
          <w:sz w:val="24"/>
          <w:szCs w:val="24"/>
          <w:rtl/>
          <w:lang w:bidi="ar-DZ"/>
        </w:rPr>
        <w:t>تحليل الجار الاقرب</w:t>
      </w:r>
      <w:bookmarkEnd w:id="862"/>
    </w:p>
    <w:p w:rsidR="00D55C84" w:rsidRDefault="00D55C84" w:rsidP="005373F7">
      <w:pPr>
        <w:autoSpaceDE w:val="0"/>
        <w:autoSpaceDN w:val="0"/>
        <w:bidi/>
        <w:adjustRightInd w:val="0"/>
        <w:spacing w:after="0"/>
        <w:ind w:firstLine="283"/>
        <w:jc w:val="both"/>
        <w:rPr>
          <w:rFonts w:ascii="Simplified Arabic" w:hAnsi="Simplified Arabic" w:cs="Simplified Arabic"/>
          <w:sz w:val="24"/>
          <w:szCs w:val="24"/>
          <w:rtl/>
        </w:rPr>
      </w:pPr>
      <w:r w:rsidRPr="005D79AD">
        <w:rPr>
          <w:rFonts w:ascii="Simplified Arabic" w:hAnsi="Simplified Arabic" w:cs="Simplified Arabic" w:hint="cs"/>
          <w:sz w:val="24"/>
          <w:szCs w:val="24"/>
          <w:rtl/>
        </w:rPr>
        <w:t>إن</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نمط</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التوزيع</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يعني</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الطريقة</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والشكل</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والاتجاه</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الذي</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تأخذه</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مفردات</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الظاهرة</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قيد</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الد</w:t>
      </w:r>
      <w:r>
        <w:rPr>
          <w:rFonts w:ascii="Simplified Arabic" w:hAnsi="Simplified Arabic" w:cs="Simplified Arabic" w:hint="cs"/>
          <w:sz w:val="24"/>
          <w:szCs w:val="24"/>
          <w:rtl/>
        </w:rPr>
        <w:t xml:space="preserve">راسة </w:t>
      </w:r>
      <w:r w:rsidRPr="005D79AD">
        <w:rPr>
          <w:rFonts w:ascii="Simplified Arabic" w:hAnsi="Simplified Arabic" w:cs="Simplified Arabic" w:hint="cs"/>
          <w:sz w:val="24"/>
          <w:szCs w:val="24"/>
          <w:rtl/>
        </w:rPr>
        <w:t>في</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توزيعها</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فوق</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مساحة</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معينة</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من</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سطح</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الأرض</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ما</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يهم</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هو</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تحديد</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نمط</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التوزيع</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لتلك</w:t>
      </w:r>
      <w:r>
        <w:rPr>
          <w:rFonts w:ascii="Simplified Arabic" w:hAnsi="Simplified Arabic" w:cs="Simplified Arabic" w:hint="cs"/>
          <w:sz w:val="24"/>
          <w:szCs w:val="24"/>
          <w:rtl/>
        </w:rPr>
        <w:t xml:space="preserve"> </w:t>
      </w:r>
      <w:r w:rsidRPr="005D79AD">
        <w:rPr>
          <w:rFonts w:ascii="Simplified Arabic" w:hAnsi="Simplified Arabic" w:cs="Simplified Arabic" w:hint="cs"/>
          <w:sz w:val="24"/>
          <w:szCs w:val="24"/>
          <w:rtl/>
        </w:rPr>
        <w:t>المواقع</w:t>
      </w:r>
      <w:r>
        <w:rPr>
          <w:rFonts w:ascii="Simplified Arabic" w:hAnsi="Simplified Arabic" w:cs="Simplified Arabic" w:hint="cs"/>
          <w:sz w:val="24"/>
          <w:szCs w:val="24"/>
          <w:rtl/>
        </w:rPr>
        <w:t>.</w:t>
      </w:r>
      <w:r w:rsidRPr="00524FD0">
        <w:rPr>
          <w:rFonts w:ascii="Simplified Arabic" w:hAnsi="Simplified Arabic" w:cs="Simplified Arabic"/>
          <w:sz w:val="24"/>
          <w:szCs w:val="24"/>
          <w:rtl/>
        </w:rPr>
        <w:t xml:space="preserve"> </w:t>
      </w:r>
      <w:r w:rsidRPr="00864A9A">
        <w:rPr>
          <w:rFonts w:ascii="Simplified Arabic" w:hAnsi="Simplified Arabic" w:cs="Simplified Arabic"/>
          <w:sz w:val="24"/>
          <w:szCs w:val="24"/>
          <w:rtl/>
        </w:rPr>
        <w:t>وذلك</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بقصد</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التوصل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معيار</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كمي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يستدل</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به</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نمط التوزيع</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المكاني</w:t>
      </w:r>
      <w:r>
        <w:rPr>
          <w:rFonts w:ascii="Simplified Arabic" w:hAnsi="Simplified Arabic" w:cs="Simplified Arabic" w:hint="cs"/>
          <w:sz w:val="24"/>
          <w:szCs w:val="24"/>
          <w:rtl/>
        </w:rPr>
        <w:t xml:space="preserve"> </w:t>
      </w:r>
      <w:r w:rsidRPr="00864A9A">
        <w:rPr>
          <w:rFonts w:ascii="Simplified Arabic" w:hAnsi="Simplified Arabic" w:cs="Simplified Arabic"/>
          <w:sz w:val="24"/>
          <w:szCs w:val="24"/>
          <w:rtl/>
        </w:rPr>
        <w:t>للنقاط</w:t>
      </w:r>
      <w:r>
        <w:rPr>
          <w:rFonts w:ascii="Simplified Arabic" w:hAnsi="Simplified Arabic" w:cs="Simplified Arabic" w:hint="cs"/>
          <w:sz w:val="24"/>
          <w:szCs w:val="24"/>
          <w:rtl/>
        </w:rPr>
        <w:t xml:space="preserve"> (عشوائي، منتظم، متمركز)، كما هو مبين </w:t>
      </w:r>
      <w:r w:rsidRPr="005D7AD7">
        <w:rPr>
          <w:rFonts w:ascii="Simplified Arabic" w:hAnsi="Simplified Arabic" w:cs="Simplified Arabic" w:hint="cs"/>
          <w:sz w:val="24"/>
          <w:szCs w:val="24"/>
          <w:rtl/>
        </w:rPr>
        <w:t>في الاشكال (6-</w:t>
      </w:r>
      <w:r w:rsidR="005373F7">
        <w:rPr>
          <w:rFonts w:ascii="Simplified Arabic" w:hAnsi="Simplified Arabic" w:cs="Simplified Arabic" w:hint="cs"/>
          <w:sz w:val="24"/>
          <w:szCs w:val="24"/>
          <w:rtl/>
        </w:rPr>
        <w:t>17</w:t>
      </w:r>
      <w:r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18</w:t>
      </w:r>
      <w:r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19</w:t>
      </w:r>
      <w:r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20</w:t>
      </w:r>
      <w:r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21</w:t>
      </w:r>
      <w:r w:rsidRPr="005D7AD7">
        <w:rPr>
          <w:rFonts w:ascii="Simplified Arabic" w:hAnsi="Simplified Arabic" w:cs="Simplified Arabic" w:hint="cs"/>
          <w:sz w:val="24"/>
          <w:szCs w:val="24"/>
          <w:rtl/>
        </w:rPr>
        <w:t>)</w:t>
      </w:r>
      <w:r w:rsidR="005D7AD7">
        <w:rPr>
          <w:rFonts w:ascii="Simplified Arabic" w:hAnsi="Simplified Arabic" w:cs="Simplified Arabic" w:hint="cs"/>
          <w:sz w:val="24"/>
          <w:szCs w:val="24"/>
          <w:rtl/>
        </w:rPr>
        <w:t xml:space="preserve"> والخرائط (</w:t>
      </w:r>
      <w:r w:rsidR="005D7AD7" w:rsidRPr="005D7AD7">
        <w:rPr>
          <w:rFonts w:ascii="Simplified Arabic" w:hAnsi="Simplified Arabic" w:cs="Simplified Arabic" w:hint="cs"/>
          <w:sz w:val="24"/>
          <w:szCs w:val="24"/>
          <w:rtl/>
        </w:rPr>
        <w:t>6-</w:t>
      </w:r>
      <w:r w:rsidR="005373F7">
        <w:rPr>
          <w:rFonts w:ascii="Simplified Arabic" w:hAnsi="Simplified Arabic" w:cs="Simplified Arabic" w:hint="cs"/>
          <w:sz w:val="24"/>
          <w:szCs w:val="24"/>
          <w:rtl/>
        </w:rPr>
        <w:t>5</w:t>
      </w:r>
      <w:r w:rsidR="005D7AD7"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6</w:t>
      </w:r>
      <w:r w:rsidR="005D7AD7"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7</w:t>
      </w:r>
      <w:r w:rsidR="005D7AD7"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8</w:t>
      </w:r>
      <w:r w:rsidR="005D7AD7" w:rsidRPr="005D7AD7">
        <w:rPr>
          <w:rFonts w:ascii="Simplified Arabic" w:hAnsi="Simplified Arabic" w:cs="Simplified Arabic" w:hint="cs"/>
          <w:sz w:val="24"/>
          <w:szCs w:val="24"/>
          <w:rtl/>
        </w:rPr>
        <w:t>)، (6-</w:t>
      </w:r>
      <w:r w:rsidR="005373F7">
        <w:rPr>
          <w:rFonts w:ascii="Simplified Arabic" w:hAnsi="Simplified Arabic" w:cs="Simplified Arabic" w:hint="cs"/>
          <w:sz w:val="24"/>
          <w:szCs w:val="24"/>
          <w:rtl/>
        </w:rPr>
        <w:t>9</w:t>
      </w:r>
      <w:r w:rsidR="005D7AD7" w:rsidRPr="005D7AD7">
        <w:rPr>
          <w:rFonts w:ascii="Simplified Arabic" w:hAnsi="Simplified Arabic" w:cs="Simplified Arabic" w:hint="cs"/>
          <w:sz w:val="24"/>
          <w:szCs w:val="24"/>
          <w:rtl/>
        </w:rPr>
        <w:t>)</w:t>
      </w:r>
      <w:r w:rsidRPr="005D7AD7">
        <w:rPr>
          <w:rFonts w:ascii="Simplified Arabic" w:hAnsi="Simplified Arabic" w:cs="Simplified Arabic" w:hint="cs"/>
          <w:sz w:val="24"/>
          <w:szCs w:val="24"/>
          <w:rtl/>
        </w:rPr>
        <w:t xml:space="preserve">. يتم </w:t>
      </w:r>
      <w:r w:rsidRPr="005D7AD7">
        <w:rPr>
          <w:rFonts w:ascii="Simplified Arabic" w:hAnsi="Simplified Arabic" w:cs="Simplified Arabic"/>
          <w:sz w:val="24"/>
          <w:szCs w:val="24"/>
          <w:rtl/>
        </w:rPr>
        <w:t>ذلك</w:t>
      </w:r>
      <w:r w:rsidRPr="005D7AD7">
        <w:rPr>
          <w:rFonts w:ascii="Simplified Arabic" w:hAnsi="Simplified Arabic" w:cs="Simplified Arabic" w:hint="cs"/>
          <w:sz w:val="24"/>
          <w:szCs w:val="24"/>
          <w:rtl/>
        </w:rPr>
        <w:t xml:space="preserve"> </w:t>
      </w:r>
      <w:r w:rsidRPr="005D7AD7">
        <w:rPr>
          <w:rFonts w:ascii="Simplified Arabic" w:hAnsi="Simplified Arabic" w:cs="Simplified Arabic"/>
          <w:sz w:val="24"/>
          <w:szCs w:val="24"/>
          <w:rtl/>
        </w:rPr>
        <w:t>من</w:t>
      </w:r>
      <w:r w:rsidRPr="005D7AD7">
        <w:rPr>
          <w:rFonts w:ascii="Simplified Arabic" w:hAnsi="Simplified Arabic" w:cs="Simplified Arabic" w:hint="cs"/>
          <w:sz w:val="24"/>
          <w:szCs w:val="24"/>
          <w:rtl/>
        </w:rPr>
        <w:t xml:space="preserve"> </w:t>
      </w:r>
      <w:r w:rsidRPr="005D7AD7">
        <w:rPr>
          <w:rFonts w:ascii="Simplified Arabic" w:hAnsi="Simplified Arabic" w:cs="Simplified Arabic"/>
          <w:sz w:val="24"/>
          <w:szCs w:val="24"/>
          <w:rtl/>
        </w:rPr>
        <w:t>خلال</w:t>
      </w:r>
      <w:r w:rsidRPr="005D7AD7">
        <w:rPr>
          <w:rFonts w:ascii="Simplified Arabic" w:hAnsi="Simplified Arabic" w:cs="Simplified Arabic" w:hint="cs"/>
          <w:sz w:val="24"/>
          <w:szCs w:val="24"/>
          <w:rtl/>
        </w:rPr>
        <w:t xml:space="preserve"> </w:t>
      </w:r>
      <w:r w:rsidRPr="005D7AD7">
        <w:rPr>
          <w:rFonts w:ascii="Simplified Arabic" w:hAnsi="Simplified Arabic" w:cs="Simplified Arabic"/>
          <w:sz w:val="24"/>
          <w:szCs w:val="24"/>
          <w:rtl/>
        </w:rPr>
        <w:t>مقارنة</w:t>
      </w:r>
      <w:r w:rsidRPr="005D7AD7">
        <w:rPr>
          <w:rFonts w:ascii="Simplified Arabic" w:hAnsi="Simplified Arabic" w:cs="Simplified Arabic" w:hint="cs"/>
          <w:sz w:val="24"/>
          <w:szCs w:val="24"/>
          <w:rtl/>
        </w:rPr>
        <w:t xml:space="preserve"> </w:t>
      </w:r>
      <w:r w:rsidRPr="005D7AD7">
        <w:rPr>
          <w:rFonts w:ascii="Simplified Arabic" w:hAnsi="Simplified Arabic" w:cs="Simplified Arabic"/>
          <w:sz w:val="24"/>
          <w:szCs w:val="24"/>
          <w:rtl/>
        </w:rPr>
        <w:t>التوزيع</w:t>
      </w:r>
      <w:r w:rsidRPr="005D7AD7">
        <w:rPr>
          <w:rFonts w:ascii="Simplified Arabic" w:hAnsi="Simplified Arabic" w:cs="Simplified Arabic" w:hint="cs"/>
          <w:sz w:val="24"/>
          <w:szCs w:val="24"/>
          <w:rtl/>
        </w:rPr>
        <w:t xml:space="preserve"> </w:t>
      </w:r>
      <w:r w:rsidR="005D7AD7">
        <w:rPr>
          <w:rFonts w:ascii="Simplified Arabic" w:hAnsi="Simplified Arabic" w:cs="Simplified Arabic" w:hint="cs"/>
          <w:sz w:val="24"/>
          <w:szCs w:val="24"/>
          <w:rtl/>
        </w:rPr>
        <w:t xml:space="preserve">في </w:t>
      </w:r>
      <w:r w:rsidR="005D7AD7" w:rsidRPr="005D7AD7">
        <w:rPr>
          <w:rFonts w:ascii="Simplified Arabic" w:hAnsi="Simplified Arabic" w:cs="Simplified Arabic" w:hint="cs"/>
          <w:sz w:val="24"/>
          <w:szCs w:val="24"/>
          <w:rtl/>
        </w:rPr>
        <w:t>الواقع</w:t>
      </w:r>
      <w:r w:rsidRPr="005D7AD7">
        <w:rPr>
          <w:rFonts w:ascii="Simplified Arabic" w:hAnsi="Simplified Arabic" w:cs="Simplified Arabic" w:hint="cs"/>
          <w:sz w:val="24"/>
          <w:szCs w:val="24"/>
          <w:rtl/>
        </w:rPr>
        <w:t xml:space="preserve"> </w:t>
      </w:r>
      <w:r w:rsidRPr="005D7AD7">
        <w:rPr>
          <w:rFonts w:ascii="Simplified Arabic" w:hAnsi="Simplified Arabic" w:cs="Simplified Arabic"/>
          <w:sz w:val="24"/>
          <w:szCs w:val="24"/>
          <w:rtl/>
        </w:rPr>
        <w:t>للظاهر</w:t>
      </w:r>
      <w:r w:rsidRPr="005D7AD7">
        <w:rPr>
          <w:rFonts w:ascii="Simplified Arabic" w:hAnsi="Simplified Arabic" w:cs="Simplified Arabic" w:hint="cs"/>
          <w:sz w:val="24"/>
          <w:szCs w:val="24"/>
          <w:rtl/>
        </w:rPr>
        <w:t>ا</w:t>
      </w:r>
      <w:r w:rsidRPr="005D7AD7">
        <w:rPr>
          <w:rFonts w:ascii="Simplified Arabic" w:hAnsi="Simplified Arabic" w:cs="Simplified Arabic"/>
          <w:sz w:val="24"/>
          <w:szCs w:val="24"/>
          <w:rtl/>
        </w:rPr>
        <w:t>ت</w:t>
      </w:r>
      <w:r w:rsidRPr="005D7AD7">
        <w:rPr>
          <w:rFonts w:ascii="Simplified Arabic" w:hAnsi="Simplified Arabic" w:cs="Simplified Arabic" w:hint="cs"/>
          <w:sz w:val="24"/>
          <w:szCs w:val="24"/>
          <w:rtl/>
        </w:rPr>
        <w:t xml:space="preserve"> </w:t>
      </w:r>
      <w:r w:rsidRPr="005D7AD7">
        <w:rPr>
          <w:rFonts w:ascii="Simplified Arabic" w:hAnsi="Simplified Arabic" w:cs="Simplified Arabic"/>
          <w:sz w:val="24"/>
          <w:szCs w:val="24"/>
          <w:rtl/>
        </w:rPr>
        <w:t>مع</w:t>
      </w:r>
      <w:r w:rsidRPr="005D7AD7">
        <w:rPr>
          <w:rFonts w:ascii="Simplified Arabic" w:hAnsi="Simplified Arabic" w:cs="Simplified Arabic" w:hint="cs"/>
          <w:sz w:val="24"/>
          <w:szCs w:val="24"/>
          <w:rtl/>
        </w:rPr>
        <w:t xml:space="preserve"> ال</w:t>
      </w:r>
      <w:r w:rsidRPr="005D7AD7">
        <w:rPr>
          <w:rFonts w:ascii="Simplified Arabic" w:hAnsi="Simplified Arabic" w:cs="Simplified Arabic"/>
          <w:sz w:val="24"/>
          <w:szCs w:val="24"/>
          <w:rtl/>
        </w:rPr>
        <w:t>توزيع</w:t>
      </w:r>
      <w:r>
        <w:rPr>
          <w:rFonts w:ascii="Simplified Arabic" w:hAnsi="Simplified Arabic" w:cs="Simplified Arabic" w:hint="cs"/>
          <w:sz w:val="24"/>
          <w:szCs w:val="24"/>
          <w:rtl/>
        </w:rPr>
        <w:t xml:space="preserve"> ال</w:t>
      </w:r>
      <w:r w:rsidRPr="00864A9A">
        <w:rPr>
          <w:rFonts w:ascii="Simplified Arabic" w:hAnsi="Simplified Arabic" w:cs="Simplified Arabic"/>
          <w:sz w:val="24"/>
          <w:szCs w:val="24"/>
          <w:rtl/>
        </w:rPr>
        <w:t>نظري</w:t>
      </w:r>
      <w:r w:rsidR="009E24B5">
        <w:rPr>
          <w:rFonts w:ascii="Simplified Arabic" w:hAnsi="Simplified Arabic" w:cs="Simplified Arabic" w:hint="cs"/>
          <w:sz w:val="24"/>
          <w:szCs w:val="24"/>
          <w:rtl/>
        </w:rPr>
        <w:t>،</w:t>
      </w:r>
      <w:r w:rsidR="00A30B24">
        <w:rPr>
          <w:rFonts w:ascii="Simplified Arabic" w:hAnsi="Simplified Arabic" w:cs="Simplified Arabic" w:hint="cs"/>
          <w:sz w:val="24"/>
          <w:szCs w:val="24"/>
          <w:rtl/>
        </w:rPr>
        <w:t xml:space="preserve"> </w:t>
      </w:r>
      <w:r w:rsidR="009E24B5">
        <w:rPr>
          <w:rFonts w:ascii="Simplified Arabic" w:hAnsi="Simplified Arabic" w:cs="Simplified Arabic" w:hint="cs"/>
          <w:sz w:val="24"/>
          <w:szCs w:val="24"/>
          <w:rtl/>
        </w:rPr>
        <w:t xml:space="preserve"> حيث </w:t>
      </w:r>
      <w:r w:rsidR="00A30B24">
        <w:rPr>
          <w:rFonts w:ascii="Simplified Arabic" w:hAnsi="Simplified Arabic" w:cs="Simplified Arabic" w:hint="cs"/>
          <w:sz w:val="24"/>
          <w:szCs w:val="24"/>
          <w:rtl/>
        </w:rPr>
        <w:t>كانت النتائج كما يلي:</w:t>
      </w:r>
    </w:p>
    <w:p w:rsidR="007A371C" w:rsidRPr="003E166E" w:rsidRDefault="008D558B" w:rsidP="00277010">
      <w:pPr>
        <w:pStyle w:val="Paragraphedeliste"/>
        <w:numPr>
          <w:ilvl w:val="0"/>
          <w:numId w:val="69"/>
        </w:numPr>
        <w:tabs>
          <w:tab w:val="right" w:pos="708"/>
          <w:tab w:val="right" w:pos="4110"/>
          <w:tab w:val="right" w:pos="4252"/>
        </w:tabs>
        <w:autoSpaceDE w:val="0"/>
        <w:autoSpaceDN w:val="0"/>
        <w:bidi/>
        <w:adjustRightInd w:val="0"/>
        <w:spacing w:after="0"/>
        <w:ind w:left="0" w:firstLine="283"/>
        <w:jc w:val="both"/>
        <w:rPr>
          <w:rFonts w:ascii="Simplified Arabic" w:hAnsi="Simplified Arabic" w:cs="Simplified Arabic"/>
          <w:sz w:val="24"/>
          <w:szCs w:val="24"/>
          <w:rtl/>
        </w:rPr>
      </w:pPr>
      <w:r w:rsidRPr="003E166E">
        <w:rPr>
          <w:rFonts w:ascii="Simplified Arabic" w:hAnsi="Simplified Arabic" w:cs="Simplified Arabic" w:hint="cs"/>
          <w:sz w:val="24"/>
          <w:szCs w:val="24"/>
          <w:rtl/>
        </w:rPr>
        <w:lastRenderedPageBreak/>
        <w:t>بعد تحليل صلة الجوار لمواقع معيار التكفل الطبي</w:t>
      </w:r>
      <w:r w:rsidR="007A371C" w:rsidRPr="003E166E">
        <w:rPr>
          <w:rFonts w:ascii="Simplified Arabic" w:hAnsi="Simplified Arabic" w:cs="Simplified Arabic" w:hint="cs"/>
          <w:sz w:val="24"/>
          <w:szCs w:val="24"/>
          <w:rtl/>
        </w:rPr>
        <w:t xml:space="preserve"> </w:t>
      </w:r>
      <w:r w:rsidR="007A371C" w:rsidRPr="003E166E">
        <w:rPr>
          <w:rFonts w:asciiTheme="majorBidi" w:eastAsia="Times New Roman" w:hAnsiTheme="majorBidi" w:cstheme="majorBidi"/>
          <w:b/>
          <w:sz w:val="24"/>
          <w:szCs w:val="24"/>
          <w:lang w:val="en-US" w:eastAsia="fr-FR"/>
        </w:rPr>
        <w:t>C1</w:t>
      </w:r>
      <w:r w:rsidR="00C577E6" w:rsidRPr="003E166E">
        <w:rPr>
          <w:rFonts w:ascii="Simplified Arabic" w:hAnsi="Simplified Arabic" w:cs="Simplified Arabic" w:hint="cs"/>
          <w:sz w:val="24"/>
          <w:szCs w:val="24"/>
          <w:rtl/>
        </w:rPr>
        <w:t>، الشكل (6-</w:t>
      </w:r>
      <w:r w:rsidR="005373F7" w:rsidRPr="003E166E">
        <w:rPr>
          <w:rFonts w:ascii="Simplified Arabic" w:hAnsi="Simplified Arabic" w:cs="Simplified Arabic" w:hint="cs"/>
          <w:sz w:val="24"/>
          <w:szCs w:val="24"/>
          <w:rtl/>
        </w:rPr>
        <w:t>17</w:t>
      </w:r>
      <w:r w:rsidR="00C577E6" w:rsidRPr="003E166E">
        <w:rPr>
          <w:rFonts w:ascii="Simplified Arabic" w:hAnsi="Simplified Arabic" w:cs="Simplified Arabic" w:hint="cs"/>
          <w:sz w:val="24"/>
          <w:szCs w:val="24"/>
          <w:rtl/>
        </w:rPr>
        <w:t>)</w:t>
      </w:r>
      <w:r w:rsidRPr="003E166E">
        <w:rPr>
          <w:rFonts w:ascii="Simplified Arabic" w:hAnsi="Simplified Arabic" w:cs="Simplified Arabic" w:hint="cs"/>
          <w:sz w:val="24"/>
          <w:szCs w:val="24"/>
          <w:rtl/>
        </w:rPr>
        <w:t xml:space="preserve">، تبين ان قيمة متوسط المسافة الحقيقية بين المواقع لذات المعيار قد بلغت </w:t>
      </w:r>
      <w:r w:rsidR="00806C3E" w:rsidRPr="003E166E">
        <w:rPr>
          <w:rFonts w:ascii="Simplified Arabic" w:hAnsi="Simplified Arabic" w:cs="Simplified Arabic" w:hint="cs"/>
          <w:sz w:val="24"/>
          <w:szCs w:val="24"/>
          <w:rtl/>
        </w:rPr>
        <w:t>1069</w:t>
      </w:r>
      <w:r w:rsidRPr="003E166E">
        <w:rPr>
          <w:rFonts w:ascii="Simplified Arabic" w:hAnsi="Simplified Arabic" w:cs="Simplified Arabic" w:hint="cs"/>
          <w:sz w:val="24"/>
          <w:szCs w:val="24"/>
          <w:rtl/>
        </w:rPr>
        <w:t>.</w:t>
      </w:r>
      <w:r w:rsidR="00806C3E" w:rsidRPr="003E166E">
        <w:rPr>
          <w:rFonts w:ascii="Simplified Arabic" w:hAnsi="Simplified Arabic" w:cs="Simplified Arabic" w:hint="cs"/>
          <w:sz w:val="24"/>
          <w:szCs w:val="24"/>
          <w:rtl/>
        </w:rPr>
        <w:t>75</w:t>
      </w:r>
      <w:r w:rsidRPr="003E166E">
        <w:rPr>
          <w:rFonts w:ascii="Simplified Arabic" w:hAnsi="Simplified Arabic" w:cs="Simplified Arabic" w:hint="cs"/>
          <w:sz w:val="24"/>
          <w:szCs w:val="24"/>
          <w:rtl/>
        </w:rPr>
        <w:t xml:space="preserve"> متر التي كانت </w:t>
      </w:r>
      <w:r w:rsidR="00F15019" w:rsidRPr="003E166E">
        <w:rPr>
          <w:rFonts w:ascii="Simplified Arabic" w:hAnsi="Simplified Arabic" w:cs="Simplified Arabic" w:hint="cs"/>
          <w:sz w:val="24"/>
          <w:szCs w:val="24"/>
          <w:rtl/>
        </w:rPr>
        <w:t>اكبر</w:t>
      </w:r>
      <w:r w:rsidRPr="003E166E">
        <w:rPr>
          <w:rFonts w:ascii="Simplified Arabic" w:hAnsi="Simplified Arabic" w:cs="Simplified Arabic" w:hint="cs"/>
          <w:sz w:val="24"/>
          <w:szCs w:val="24"/>
          <w:rtl/>
        </w:rPr>
        <w:t xml:space="preserve"> </w:t>
      </w:r>
      <w:r w:rsidR="00F76477" w:rsidRPr="003E166E">
        <w:rPr>
          <w:rFonts w:ascii="Simplified Arabic" w:hAnsi="Simplified Arabic" w:cs="Simplified Arabic" w:hint="cs"/>
          <w:sz w:val="24"/>
          <w:szCs w:val="24"/>
          <w:rtl/>
        </w:rPr>
        <w:t xml:space="preserve">من </w:t>
      </w:r>
      <w:r w:rsidR="00750146" w:rsidRPr="003E166E">
        <w:rPr>
          <w:rFonts w:ascii="Simplified Arabic" w:hAnsi="Simplified Arabic" w:cs="Simplified Arabic" w:hint="cs"/>
          <w:sz w:val="24"/>
          <w:szCs w:val="24"/>
          <w:rtl/>
        </w:rPr>
        <w:t xml:space="preserve">قيمة </w:t>
      </w:r>
      <w:r w:rsidRPr="003E166E">
        <w:rPr>
          <w:rFonts w:ascii="Simplified Arabic" w:hAnsi="Simplified Arabic" w:cs="Simplified Arabic" w:hint="cs"/>
          <w:sz w:val="24"/>
          <w:szCs w:val="24"/>
          <w:rtl/>
        </w:rPr>
        <w:t xml:space="preserve">المسافة المتوقعة البالغة </w:t>
      </w:r>
      <w:r w:rsidR="00806C3E" w:rsidRPr="003E166E">
        <w:rPr>
          <w:rFonts w:ascii="Simplified Arabic" w:hAnsi="Simplified Arabic" w:cs="Simplified Arabic" w:hint="cs"/>
          <w:sz w:val="24"/>
          <w:szCs w:val="24"/>
          <w:rtl/>
        </w:rPr>
        <w:t>715</w:t>
      </w:r>
      <w:r w:rsidRPr="003E166E">
        <w:rPr>
          <w:rFonts w:ascii="Simplified Arabic" w:hAnsi="Simplified Arabic" w:cs="Simplified Arabic" w:hint="cs"/>
          <w:sz w:val="24"/>
          <w:szCs w:val="24"/>
          <w:rtl/>
        </w:rPr>
        <w:t>.</w:t>
      </w:r>
      <w:r w:rsidR="00806C3E" w:rsidRPr="003E166E">
        <w:rPr>
          <w:rFonts w:ascii="Simplified Arabic" w:hAnsi="Simplified Arabic" w:cs="Simplified Arabic" w:hint="cs"/>
          <w:sz w:val="24"/>
          <w:szCs w:val="24"/>
          <w:rtl/>
        </w:rPr>
        <w:t>08</w:t>
      </w:r>
      <w:r w:rsidRPr="003E166E">
        <w:rPr>
          <w:rFonts w:ascii="Simplified Arabic" w:hAnsi="Simplified Arabic" w:cs="Simplified Arabic" w:hint="cs"/>
          <w:sz w:val="24"/>
          <w:szCs w:val="24"/>
          <w:rtl/>
        </w:rPr>
        <w:t xml:space="preserve"> متر</w:t>
      </w:r>
      <w:r w:rsidR="00F15019" w:rsidRPr="003E166E">
        <w:rPr>
          <w:rFonts w:ascii="Simplified Arabic" w:hAnsi="Simplified Arabic" w:cs="Simplified Arabic" w:hint="cs"/>
          <w:sz w:val="24"/>
          <w:szCs w:val="24"/>
          <w:rtl/>
        </w:rPr>
        <w:t xml:space="preserve">، </w:t>
      </w:r>
      <w:r w:rsidR="00806C3E" w:rsidRPr="003E166E">
        <w:rPr>
          <w:rFonts w:ascii="Simplified Arabic" w:hAnsi="Simplified Arabic" w:cs="Simplified Arabic" w:hint="cs"/>
          <w:sz w:val="24"/>
          <w:szCs w:val="24"/>
          <w:rtl/>
        </w:rPr>
        <w:t xml:space="preserve">منحت </w:t>
      </w:r>
      <w:r w:rsidRPr="003E166E">
        <w:rPr>
          <w:rFonts w:ascii="Simplified Arabic" w:hAnsi="Simplified Arabic" w:cs="Simplified Arabic" w:hint="cs"/>
          <w:sz w:val="24"/>
          <w:szCs w:val="24"/>
          <w:rtl/>
        </w:rPr>
        <w:t>نسبة جار اقرب تساوي 1.</w:t>
      </w:r>
      <w:r w:rsidR="00806C3E" w:rsidRPr="003E166E">
        <w:rPr>
          <w:rFonts w:ascii="Simplified Arabic" w:hAnsi="Simplified Arabic" w:cs="Simplified Arabic" w:hint="cs"/>
          <w:sz w:val="24"/>
          <w:szCs w:val="24"/>
          <w:rtl/>
        </w:rPr>
        <w:t>49</w:t>
      </w:r>
      <w:r w:rsidRPr="003E166E">
        <w:rPr>
          <w:rFonts w:ascii="Simplified Arabic" w:hAnsi="Simplified Arabic" w:cs="Simplified Arabic" w:hint="cs"/>
          <w:sz w:val="24"/>
          <w:szCs w:val="24"/>
          <w:rtl/>
        </w:rPr>
        <w:t xml:space="preserve"> وقيمة </w:t>
      </w:r>
      <w:r w:rsidRPr="003E166E">
        <w:rPr>
          <w:rFonts w:asciiTheme="majorBidi" w:hAnsiTheme="majorBidi" w:cstheme="majorBidi"/>
          <w:sz w:val="24"/>
          <w:szCs w:val="24"/>
        </w:rPr>
        <w:t>Z</w:t>
      </w:r>
      <w:r w:rsidRPr="003E166E">
        <w:rPr>
          <w:rFonts w:ascii="Simplified Arabic" w:hAnsi="Simplified Arabic" w:cs="Simplified Arabic" w:hint="cs"/>
          <w:sz w:val="24"/>
          <w:szCs w:val="24"/>
          <w:rtl/>
        </w:rPr>
        <w:t xml:space="preserve"> </w:t>
      </w:r>
      <w:r w:rsidR="00806C3E" w:rsidRPr="003E166E">
        <w:rPr>
          <w:rFonts w:ascii="Simplified Arabic" w:hAnsi="Simplified Arabic" w:cs="Simplified Arabic" w:hint="cs"/>
          <w:sz w:val="24"/>
          <w:szCs w:val="24"/>
          <w:rtl/>
        </w:rPr>
        <w:t xml:space="preserve">موجبة </w:t>
      </w:r>
      <w:r w:rsidRPr="003E166E">
        <w:rPr>
          <w:rFonts w:ascii="Simplified Arabic" w:hAnsi="Simplified Arabic" w:cs="Simplified Arabic" w:hint="cs"/>
          <w:sz w:val="24"/>
          <w:szCs w:val="24"/>
          <w:rtl/>
        </w:rPr>
        <w:t xml:space="preserve">قدرت بـ: </w:t>
      </w:r>
      <w:r w:rsidR="00806C3E" w:rsidRPr="003E166E">
        <w:rPr>
          <w:rFonts w:ascii="Simplified Arabic" w:hAnsi="Simplified Arabic" w:cs="Simplified Arabic" w:hint="cs"/>
          <w:sz w:val="24"/>
          <w:szCs w:val="24"/>
          <w:rtl/>
        </w:rPr>
        <w:t>3</w:t>
      </w:r>
      <w:r w:rsidRPr="003E166E">
        <w:rPr>
          <w:rFonts w:ascii="Simplified Arabic" w:hAnsi="Simplified Arabic" w:cs="Simplified Arabic" w:hint="cs"/>
          <w:sz w:val="24"/>
          <w:szCs w:val="24"/>
          <w:rtl/>
        </w:rPr>
        <w:t>.</w:t>
      </w:r>
      <w:r w:rsidR="00806C3E" w:rsidRPr="003E166E">
        <w:rPr>
          <w:rFonts w:ascii="Simplified Arabic" w:hAnsi="Simplified Arabic" w:cs="Simplified Arabic" w:hint="cs"/>
          <w:sz w:val="24"/>
          <w:szCs w:val="24"/>
          <w:rtl/>
        </w:rPr>
        <w:t>28.</w:t>
      </w:r>
      <w:r w:rsidRPr="003E166E">
        <w:rPr>
          <w:rFonts w:ascii="Simplified Arabic" w:hAnsi="Simplified Arabic" w:cs="Simplified Arabic" w:hint="cs"/>
          <w:sz w:val="24"/>
          <w:szCs w:val="24"/>
          <w:rtl/>
        </w:rPr>
        <w:t xml:space="preserve"> يشير ذلك الى توزيع </w:t>
      </w:r>
      <w:r w:rsidR="00E11D21" w:rsidRPr="003E166E">
        <w:rPr>
          <w:rFonts w:ascii="Simplified Arabic" w:hAnsi="Simplified Arabic" w:cs="Simplified Arabic" w:hint="cs"/>
          <w:sz w:val="24"/>
          <w:szCs w:val="24"/>
          <w:rtl/>
        </w:rPr>
        <w:t>متباعد</w:t>
      </w:r>
      <w:r w:rsidRPr="003E166E">
        <w:rPr>
          <w:rFonts w:ascii="Simplified Arabic" w:hAnsi="Simplified Arabic" w:cs="Simplified Arabic" w:hint="cs"/>
          <w:sz w:val="24"/>
          <w:szCs w:val="24"/>
          <w:rtl/>
        </w:rPr>
        <w:t xml:space="preserve"> </w:t>
      </w:r>
      <w:r w:rsidR="0001342B" w:rsidRPr="003E166E">
        <w:rPr>
          <w:rFonts w:ascii="Simplified Arabic" w:hAnsi="Simplified Arabic" w:cs="Simplified Arabic" w:hint="cs"/>
          <w:sz w:val="24"/>
          <w:szCs w:val="24"/>
          <w:rtl/>
        </w:rPr>
        <w:t xml:space="preserve">المسافة </w:t>
      </w:r>
      <w:r w:rsidRPr="003E166E">
        <w:rPr>
          <w:rFonts w:ascii="Simplified Arabic" w:hAnsi="Simplified Arabic" w:cs="Simplified Arabic" w:hint="cs"/>
          <w:sz w:val="24"/>
          <w:szCs w:val="24"/>
          <w:rtl/>
        </w:rPr>
        <w:t xml:space="preserve">يتجه </w:t>
      </w:r>
      <w:r w:rsidR="00E11D21" w:rsidRPr="003E166E">
        <w:rPr>
          <w:rFonts w:ascii="Simplified Arabic" w:hAnsi="Simplified Arabic" w:cs="Simplified Arabic" w:hint="cs"/>
          <w:sz w:val="24"/>
          <w:szCs w:val="24"/>
          <w:rtl/>
        </w:rPr>
        <w:t>نحو</w:t>
      </w:r>
      <w:r w:rsidRPr="003E166E">
        <w:rPr>
          <w:rFonts w:ascii="Simplified Arabic" w:hAnsi="Simplified Arabic" w:cs="Simplified Arabic" w:hint="cs"/>
          <w:sz w:val="24"/>
          <w:szCs w:val="24"/>
          <w:rtl/>
        </w:rPr>
        <w:t xml:space="preserve"> العشوائية لنقاط الظاهرة</w:t>
      </w:r>
      <w:r w:rsidR="00806C3E" w:rsidRPr="003E166E">
        <w:rPr>
          <w:rFonts w:ascii="Simplified Arabic" w:hAnsi="Simplified Arabic" w:cs="Simplified Arabic" w:hint="cs"/>
          <w:sz w:val="24"/>
          <w:szCs w:val="24"/>
          <w:rtl/>
        </w:rPr>
        <w:t>،</w:t>
      </w:r>
      <w:r w:rsidRPr="003E166E">
        <w:rPr>
          <w:rFonts w:ascii="Simplified Arabic" w:hAnsi="Simplified Arabic" w:cs="Simplified Arabic" w:hint="cs"/>
          <w:sz w:val="24"/>
          <w:szCs w:val="24"/>
          <w:rtl/>
        </w:rPr>
        <w:t xml:space="preserve"> </w:t>
      </w:r>
      <w:r w:rsidR="004D702A" w:rsidRPr="003E166E">
        <w:rPr>
          <w:rFonts w:ascii="Simplified Arabic" w:hAnsi="Simplified Arabic" w:cs="Simplified Arabic" w:hint="cs"/>
          <w:sz w:val="24"/>
          <w:szCs w:val="24"/>
          <w:rtl/>
          <w:lang w:bidi="ar-DZ"/>
        </w:rPr>
        <w:t>مع احتمال اقل من 1</w:t>
      </w:r>
      <w:r w:rsidR="004D702A" w:rsidRPr="003E166E">
        <w:rPr>
          <w:rFonts w:ascii="Simplified Arabic" w:hAnsi="Simplified Arabic" w:cs="Simplified Arabic"/>
          <w:sz w:val="24"/>
          <w:szCs w:val="24"/>
          <w:lang w:bidi="ar-DZ"/>
        </w:rPr>
        <w:t>%</w:t>
      </w:r>
      <w:r w:rsidR="004D702A" w:rsidRPr="003E166E">
        <w:rPr>
          <w:rFonts w:ascii="Simplified Arabic" w:hAnsi="Simplified Arabic" w:cs="Simplified Arabic" w:hint="cs"/>
          <w:sz w:val="24"/>
          <w:szCs w:val="24"/>
          <w:rtl/>
          <w:lang w:bidi="ar-DZ"/>
        </w:rPr>
        <w:t xml:space="preserve"> في ان يكون هذا التباعد نتيجة لفرصة عشوائية. </w:t>
      </w:r>
      <w:r w:rsidRPr="003E166E">
        <w:rPr>
          <w:rFonts w:ascii="Simplified Arabic" w:hAnsi="Simplified Arabic" w:cs="Simplified Arabic" w:hint="cs"/>
          <w:sz w:val="24"/>
          <w:szCs w:val="24"/>
          <w:rtl/>
        </w:rPr>
        <w:t xml:space="preserve">يدل ذلك </w:t>
      </w:r>
      <w:r w:rsidR="00750146" w:rsidRPr="003E166E">
        <w:rPr>
          <w:rFonts w:ascii="Simplified Arabic" w:hAnsi="Simplified Arabic" w:cs="Simplified Arabic" w:hint="cs"/>
          <w:sz w:val="24"/>
          <w:szCs w:val="24"/>
          <w:rtl/>
        </w:rPr>
        <w:t>على</w:t>
      </w:r>
      <w:r w:rsidRPr="003E166E">
        <w:rPr>
          <w:rFonts w:ascii="Simplified Arabic" w:hAnsi="Simplified Arabic" w:cs="Simplified Arabic" w:hint="cs"/>
          <w:sz w:val="24"/>
          <w:szCs w:val="24"/>
          <w:rtl/>
        </w:rPr>
        <w:t xml:space="preserve"> تركز معيار التكفل الطبي في مناطق دون غيرها، حيث تتقارب المسافة بين مجموعة نقاط</w:t>
      </w:r>
      <w:r w:rsidR="00F15019" w:rsidRPr="003E166E">
        <w:rPr>
          <w:rFonts w:ascii="Simplified Arabic" w:hAnsi="Simplified Arabic" w:cs="Simplified Arabic" w:hint="cs"/>
          <w:sz w:val="24"/>
          <w:szCs w:val="24"/>
          <w:rtl/>
        </w:rPr>
        <w:t>،</w:t>
      </w:r>
      <w:r w:rsidRPr="003E166E">
        <w:rPr>
          <w:rFonts w:ascii="Simplified Arabic" w:hAnsi="Simplified Arabic" w:cs="Simplified Arabic" w:hint="cs"/>
          <w:sz w:val="24"/>
          <w:szCs w:val="24"/>
          <w:rtl/>
        </w:rPr>
        <w:t xml:space="preserve"> بينما القلة تتباعد المسافة فيما بينها ضمن مساحة شاسعة</w:t>
      </w:r>
      <w:r w:rsidR="007A371C" w:rsidRPr="003E166E">
        <w:rPr>
          <w:rFonts w:ascii="Simplified Arabic" w:hAnsi="Simplified Arabic" w:cs="Simplified Arabic" w:hint="cs"/>
          <w:sz w:val="24"/>
          <w:szCs w:val="24"/>
          <w:rtl/>
        </w:rPr>
        <w:t>.</w:t>
      </w:r>
    </w:p>
    <w:p w:rsidR="00A30B24" w:rsidRDefault="00E11D21" w:rsidP="00277010">
      <w:pPr>
        <w:tabs>
          <w:tab w:val="right" w:pos="4110"/>
          <w:tab w:val="right" w:pos="4252"/>
        </w:tabs>
        <w:autoSpaceDE w:val="0"/>
        <w:autoSpaceDN w:val="0"/>
        <w:bidi/>
        <w:adjustRightInd w:val="0"/>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w:t>
      </w:r>
      <w:r w:rsidR="0031078D">
        <w:rPr>
          <w:rFonts w:ascii="Simplified Arabic" w:hAnsi="Simplified Arabic" w:cs="Simplified Arabic" w:hint="cs"/>
          <w:sz w:val="24"/>
          <w:szCs w:val="24"/>
          <w:rtl/>
        </w:rPr>
        <w:t xml:space="preserve">من الناحية المكانية، </w:t>
      </w:r>
      <w:r w:rsidR="0031078D">
        <w:rPr>
          <w:rFonts w:ascii="Simplified Arabic" w:hAnsi="Simplified Arabic" w:cs="Simplified Arabic" w:hint="cs"/>
          <w:sz w:val="24"/>
          <w:szCs w:val="24"/>
          <w:rtl/>
          <w:lang w:bidi="ar-DZ"/>
        </w:rPr>
        <w:t>اظهرت</w:t>
      </w:r>
      <w:r w:rsidR="00A30B24">
        <w:rPr>
          <w:rFonts w:ascii="Simplified Arabic" w:hAnsi="Simplified Arabic" w:cs="Simplified Arabic" w:hint="cs"/>
          <w:sz w:val="24"/>
          <w:szCs w:val="24"/>
          <w:rtl/>
          <w:lang w:bidi="ar-DZ"/>
        </w:rPr>
        <w:t xml:space="preserve"> الخريطة (6-</w:t>
      </w:r>
      <w:r w:rsidR="00456E70">
        <w:rPr>
          <w:rFonts w:ascii="Simplified Arabic" w:hAnsi="Simplified Arabic" w:cs="Simplified Arabic" w:hint="cs"/>
          <w:sz w:val="24"/>
          <w:szCs w:val="24"/>
          <w:rtl/>
          <w:lang w:bidi="ar-DZ"/>
        </w:rPr>
        <w:t>5</w:t>
      </w:r>
      <w:r w:rsidR="00A30B24">
        <w:rPr>
          <w:rFonts w:ascii="Simplified Arabic" w:hAnsi="Simplified Arabic" w:cs="Simplified Arabic" w:hint="cs"/>
          <w:sz w:val="24"/>
          <w:szCs w:val="24"/>
          <w:rtl/>
          <w:lang w:bidi="ar-DZ"/>
        </w:rPr>
        <w:t xml:space="preserve">)، ان مساحة التغطية بالخدمة </w:t>
      </w:r>
      <w:r w:rsidR="00A30B24" w:rsidRPr="00226F93">
        <w:rPr>
          <w:rFonts w:ascii="Simplified Arabic" w:hAnsi="Simplified Arabic" w:cs="Simplified Arabic" w:hint="cs"/>
          <w:sz w:val="24"/>
          <w:szCs w:val="24"/>
          <w:rtl/>
          <w:lang w:bidi="ar-DZ"/>
        </w:rPr>
        <w:t xml:space="preserve">الصحية </w:t>
      </w:r>
      <w:r w:rsidRPr="00226F93">
        <w:rPr>
          <w:rFonts w:ascii="Simplified Arabic" w:hAnsi="Simplified Arabic" w:cs="Simplified Arabic" w:hint="cs"/>
          <w:sz w:val="24"/>
          <w:szCs w:val="24"/>
          <w:rtl/>
          <w:lang w:bidi="ar-DZ"/>
        </w:rPr>
        <w:t>على</w:t>
      </w:r>
      <w:r>
        <w:rPr>
          <w:rFonts w:ascii="Simplified Arabic" w:hAnsi="Simplified Arabic" w:cs="Simplified Arabic" w:hint="cs"/>
          <w:sz w:val="24"/>
          <w:szCs w:val="24"/>
          <w:rtl/>
          <w:lang w:bidi="ar-DZ"/>
        </w:rPr>
        <w:t xml:space="preserve"> مستوى حي القصر، بلاتو، سيدي سليمان</w:t>
      </w:r>
      <w:r w:rsidRPr="00226F93">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والحمايد </w:t>
      </w:r>
      <w:r w:rsidR="00A30B24">
        <w:rPr>
          <w:rFonts w:ascii="Simplified Arabic" w:hAnsi="Simplified Arabic" w:cs="Simplified Arabic" w:hint="cs"/>
          <w:sz w:val="24"/>
          <w:szCs w:val="24"/>
          <w:rtl/>
          <w:lang w:bidi="ar-DZ"/>
        </w:rPr>
        <w:t>تختلف من حي سكن</w:t>
      </w:r>
      <w:r w:rsidR="005D7AD7">
        <w:rPr>
          <w:rFonts w:ascii="Simplified Arabic" w:hAnsi="Simplified Arabic" w:cs="Simplified Arabic" w:hint="cs"/>
          <w:sz w:val="24"/>
          <w:szCs w:val="24"/>
          <w:rtl/>
          <w:lang w:bidi="ar-DZ"/>
        </w:rPr>
        <w:t>ي</w:t>
      </w:r>
      <w:r w:rsidR="00A30B24">
        <w:rPr>
          <w:rFonts w:ascii="Simplified Arabic" w:hAnsi="Simplified Arabic" w:cs="Simplified Arabic" w:hint="cs"/>
          <w:sz w:val="24"/>
          <w:szCs w:val="24"/>
          <w:rtl/>
          <w:lang w:bidi="ar-DZ"/>
        </w:rPr>
        <w:t xml:space="preserve"> الى آخر</w:t>
      </w:r>
      <w:r>
        <w:rPr>
          <w:rFonts w:ascii="Simplified Arabic" w:hAnsi="Simplified Arabic" w:cs="Simplified Arabic" w:hint="cs"/>
          <w:sz w:val="24"/>
          <w:szCs w:val="24"/>
          <w:rtl/>
          <w:lang w:bidi="ar-DZ"/>
        </w:rPr>
        <w:t>.</w:t>
      </w:r>
      <w:r w:rsidR="00A30B24">
        <w:rPr>
          <w:rFonts w:ascii="Simplified Arabic" w:hAnsi="Simplified Arabic" w:cs="Simplified Arabic" w:hint="cs"/>
          <w:sz w:val="24"/>
          <w:szCs w:val="24"/>
          <w:rtl/>
          <w:lang w:bidi="ar-DZ"/>
        </w:rPr>
        <w:t xml:space="preserve"> </w:t>
      </w:r>
    </w:p>
    <w:p w:rsidR="008D558B" w:rsidRDefault="00C36165" w:rsidP="00860073">
      <w:pPr>
        <w:bidi/>
        <w:spacing w:after="0" w:line="240" w:lineRule="auto"/>
        <w:rPr>
          <w:rFonts w:ascii="Simplified Arabic" w:hAnsi="Simplified Arabic" w:cs="Simplified Arabic"/>
          <w:sz w:val="24"/>
          <w:szCs w:val="24"/>
          <w:rtl/>
          <w:lang w:bidi="ar-DZ"/>
        </w:rPr>
      </w:pPr>
      <w:r>
        <w:rPr>
          <w:rFonts w:ascii="Simplified Arabic" w:hAnsi="Simplified Arabic" w:cs="Simplified Arabic"/>
          <w:noProof/>
          <w:sz w:val="24"/>
          <w:szCs w:val="24"/>
          <w:rtl/>
          <w:lang w:eastAsia="fr-FR"/>
        </w:rPr>
        <mc:AlternateContent>
          <mc:Choice Requires="wps">
            <w:drawing>
              <wp:anchor distT="0" distB="0" distL="114300" distR="114300" simplePos="0" relativeHeight="251686400" behindDoc="0" locked="0" layoutInCell="1" allowOverlap="1" wp14:anchorId="321EA754" wp14:editId="5D060CD1">
                <wp:simplePos x="0" y="0"/>
                <wp:positionH relativeFrom="column">
                  <wp:posOffset>12700</wp:posOffset>
                </wp:positionH>
                <wp:positionV relativeFrom="paragraph">
                  <wp:posOffset>170815</wp:posOffset>
                </wp:positionV>
                <wp:extent cx="3070225" cy="4779010"/>
                <wp:effectExtent l="0" t="0" r="15875" b="21590"/>
                <wp:wrapNone/>
                <wp:docPr id="287" name="Zone de texte 287"/>
                <wp:cNvGraphicFramePr/>
                <a:graphic xmlns:a="http://schemas.openxmlformats.org/drawingml/2006/main">
                  <a:graphicData uri="http://schemas.microsoft.com/office/word/2010/wordprocessingShape">
                    <wps:wsp>
                      <wps:cNvSpPr txBox="1"/>
                      <wps:spPr>
                        <a:xfrm>
                          <a:off x="0" y="0"/>
                          <a:ext cx="3070225" cy="4779010"/>
                        </a:xfrm>
                        <a:prstGeom prst="rect">
                          <a:avLst/>
                        </a:prstGeom>
                        <a:no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986BEA">
                            <w:pPr>
                              <w:pStyle w:val="fegure"/>
                              <w:rPr>
                                <w:sz w:val="22"/>
                                <w:szCs w:val="22"/>
                                <w:lang w:bidi="ar-DZ"/>
                              </w:rPr>
                            </w:pPr>
                            <w:bookmarkStart w:id="863" w:name="_Toc157616613"/>
                            <w:bookmarkStart w:id="864" w:name="_Toc171803827"/>
                            <w:r w:rsidRPr="00383F18">
                              <w:rPr>
                                <w:rFonts w:hint="cs"/>
                                <w:sz w:val="22"/>
                                <w:szCs w:val="22"/>
                                <w:rtl/>
                                <w:lang w:bidi="ar-DZ"/>
                              </w:rPr>
                              <w:t>الخريطة (6-5) مساحة التغطية بالخدمة الصحية</w:t>
                            </w:r>
                            <w:bookmarkEnd w:id="863"/>
                            <w:bookmarkEnd w:id="864"/>
                          </w:p>
                          <w:p w:rsidR="00D13702" w:rsidRPr="00482FC6" w:rsidRDefault="00D13702" w:rsidP="00ED3102">
                            <w:pPr>
                              <w:pStyle w:val="fegure"/>
                              <w:ind w:left="-140"/>
                              <w:rPr>
                                <w:sz w:val="8"/>
                                <w:szCs w:val="24"/>
                                <w:rtl/>
                                <w:lang w:val="en-US"/>
                              </w:rPr>
                            </w:pPr>
                            <w:bookmarkStart w:id="865" w:name="_Toc171803828"/>
                            <w:r>
                              <w:rPr>
                                <w:rFonts w:hint="cs"/>
                                <w:sz w:val="8"/>
                                <w:szCs w:val="24"/>
                                <w:rtl/>
                                <w:lang w:val="en-US" w:bidi="ar-DZ"/>
                              </w:rPr>
                              <w:t xml:space="preserve">المصدر: </w:t>
                            </w:r>
                            <w:r>
                              <w:rPr>
                                <w:rFonts w:hint="cs"/>
                                <w:sz w:val="8"/>
                                <w:szCs w:val="24"/>
                                <w:rtl/>
                                <w:lang w:val="en-US"/>
                              </w:rPr>
                              <w:t>(الباحث، 2022)</w:t>
                            </w:r>
                            <w:r>
                              <w:rPr>
                                <w:noProof/>
                                <w:szCs w:val="24"/>
                                <w:lang w:eastAsia="fr-FR"/>
                              </w:rPr>
                              <w:drawing>
                                <wp:inline distT="0" distB="0" distL="0" distR="0" wp14:anchorId="0D208639" wp14:editId="33C9F361">
                                  <wp:extent cx="2974819" cy="3605841"/>
                                  <wp:effectExtent l="19050" t="19050" r="16510" b="13970"/>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02" cstate="print">
                                            <a:extLst>
                                              <a:ext uri="{28A0092B-C50C-407E-A947-70E740481C1C}">
                                                <a14:useLocalDpi xmlns:a14="http://schemas.microsoft.com/office/drawing/2010/main" val="0"/>
                                              </a:ext>
                                            </a:extLst>
                                          </a:blip>
                                          <a:srcRect t="8022" b="1074"/>
                                          <a:stretch/>
                                        </pic:blipFill>
                                        <pic:spPr bwMode="auto">
                                          <a:xfrm>
                                            <a:off x="0" y="0"/>
                                            <a:ext cx="2996034" cy="363155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bookmarkEnd w:id="865"/>
                          </w:p>
                          <w:p w:rsidR="00D13702" w:rsidRDefault="00D13702" w:rsidP="002B194C">
                            <w:pPr>
                              <w:rPr>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87" o:spid="_x0000_s1057" type="#_x0000_t202" style="position:absolute;left:0;text-align:left;margin-left:1pt;margin-top:13.45pt;width:241.75pt;height:376.3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" filled="f" strokecolor="black [3213]" strokeweight=".25pt">
                <v:textbox>
                  <w:txbxContent>
                    <w:p w:rsidR="00D13702" w:rsidRDefault="00D13702" w:rsidP="00986BEA">
                      <w:pPr>
                        <w:pStyle w:val="fegure"/>
                        <w:rPr>
                          <w:sz w:val="22"/>
                          <w:szCs w:val="22"/>
                          <w:lang w:bidi="ar-DZ"/>
                        </w:rPr>
                      </w:pPr>
                      <w:bookmarkStart w:id="872" w:name="_Toc157616613"/>
                      <w:bookmarkStart w:id="873" w:name="_Toc171803827"/>
                      <w:r w:rsidRPr="00383F18">
                        <w:rPr>
                          <w:rFonts w:hint="cs"/>
                          <w:sz w:val="22"/>
                          <w:szCs w:val="22"/>
                          <w:rtl/>
                          <w:lang w:bidi="ar-DZ"/>
                        </w:rPr>
                        <w:t>الخريطة (6-5) مساحة التغطية بالخدمة الصحية</w:t>
                      </w:r>
                      <w:bookmarkEnd w:id="872"/>
                      <w:bookmarkEnd w:id="873"/>
                    </w:p>
                    <w:p w:rsidR="00D13702" w:rsidRPr="00482FC6" w:rsidRDefault="00D13702" w:rsidP="00ED3102">
                      <w:pPr>
                        <w:pStyle w:val="fegure"/>
                        <w:ind w:left="-140"/>
                        <w:rPr>
                          <w:sz w:val="8"/>
                          <w:szCs w:val="24"/>
                          <w:rtl/>
                          <w:lang w:val="en-US"/>
                        </w:rPr>
                      </w:pPr>
                      <w:bookmarkStart w:id="874" w:name="_Toc171803828"/>
                      <w:r>
                        <w:rPr>
                          <w:rFonts w:hint="cs"/>
                          <w:sz w:val="8"/>
                          <w:szCs w:val="24"/>
                          <w:rtl/>
                          <w:lang w:val="en-US" w:bidi="ar-DZ"/>
                        </w:rPr>
                        <w:t xml:space="preserve">المصدر: </w:t>
                      </w:r>
                      <w:r>
                        <w:rPr>
                          <w:rFonts w:hint="cs"/>
                          <w:sz w:val="8"/>
                          <w:szCs w:val="24"/>
                          <w:rtl/>
                          <w:lang w:val="en-US"/>
                        </w:rPr>
                        <w:t>(الباحث، 2022)</w:t>
                      </w:r>
                      <w:r>
                        <w:rPr>
                          <w:noProof/>
                          <w:szCs w:val="24"/>
                          <w:lang w:eastAsia="fr-FR"/>
                        </w:rPr>
                        <w:drawing>
                          <wp:inline distT="0" distB="0" distL="0" distR="0" wp14:anchorId="4650F9D7" wp14:editId="2B8D817A">
                            <wp:extent cx="2974819" cy="3605841"/>
                            <wp:effectExtent l="19050" t="19050" r="16510" b="13970"/>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03" cstate="print">
                                      <a:extLst>
                                        <a:ext uri="{28A0092B-C50C-407E-A947-70E740481C1C}">
                                          <a14:useLocalDpi xmlns:a14="http://schemas.microsoft.com/office/drawing/2010/main" val="0"/>
                                        </a:ext>
                                      </a:extLst>
                                    </a:blip>
                                    <a:srcRect t="8022" b="1074"/>
                                    <a:stretch/>
                                  </pic:blipFill>
                                  <pic:spPr bwMode="auto">
                                    <a:xfrm>
                                      <a:off x="0" y="0"/>
                                      <a:ext cx="2996034" cy="363155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bookmarkEnd w:id="874"/>
                    </w:p>
                    <w:p w:rsidR="00D13702" w:rsidRDefault="00D13702" w:rsidP="002B194C">
                      <w:pPr>
                        <w:rPr>
                          <w:lang w:bidi="ar-DZ"/>
                        </w:rPr>
                      </w:pPr>
                    </w:p>
                  </w:txbxContent>
                </v:textbox>
              </v:shape>
            </w:pict>
          </mc:Fallback>
        </mc:AlternateContent>
      </w:r>
      <w:r>
        <w:rPr>
          <w:rFonts w:ascii="Simplified Arabic" w:hAnsi="Simplified Arabic" w:cs="Simplified Arabic"/>
          <w:noProof/>
          <w:sz w:val="24"/>
          <w:szCs w:val="24"/>
          <w:rtl/>
          <w:lang w:eastAsia="fr-FR"/>
        </w:rPr>
        <mc:AlternateContent>
          <mc:Choice Requires="wps">
            <w:drawing>
              <wp:anchor distT="0" distB="0" distL="114300" distR="114300" simplePos="0" relativeHeight="251679232" behindDoc="0" locked="0" layoutInCell="1" allowOverlap="1" wp14:anchorId="4C269CD2" wp14:editId="005AF78A">
                <wp:simplePos x="0" y="0"/>
                <wp:positionH relativeFrom="column">
                  <wp:posOffset>3144520</wp:posOffset>
                </wp:positionH>
                <wp:positionV relativeFrom="paragraph">
                  <wp:posOffset>170815</wp:posOffset>
                </wp:positionV>
                <wp:extent cx="2587625" cy="4779010"/>
                <wp:effectExtent l="0" t="0" r="22225" b="21590"/>
                <wp:wrapNone/>
                <wp:docPr id="286" name="Zone de texte 286"/>
                <wp:cNvGraphicFramePr/>
                <a:graphic xmlns:a="http://schemas.openxmlformats.org/drawingml/2006/main">
                  <a:graphicData uri="http://schemas.microsoft.com/office/word/2010/wordprocessingShape">
                    <wps:wsp>
                      <wps:cNvSpPr txBox="1"/>
                      <wps:spPr>
                        <a:xfrm>
                          <a:off x="0" y="0"/>
                          <a:ext cx="2587625" cy="4779010"/>
                        </a:xfrm>
                        <a:prstGeom prst="rect">
                          <a:avLst/>
                        </a:prstGeom>
                        <a:no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Pr="00A251AC" w:rsidRDefault="00D13702" w:rsidP="00A251AC">
                            <w:pPr>
                              <w:pStyle w:val="fegure"/>
                              <w:rPr>
                                <w:sz w:val="22"/>
                                <w:szCs w:val="22"/>
                                <w:rtl/>
                                <w:lang w:val="en-US" w:bidi="ar-DZ"/>
                              </w:rPr>
                            </w:pPr>
                            <w:bookmarkStart w:id="866" w:name="_Toc157790925"/>
                            <w:bookmarkStart w:id="867" w:name="_Toc171803829"/>
                            <w:r w:rsidRPr="00A251AC">
                              <w:rPr>
                                <w:rFonts w:hint="cs"/>
                                <w:sz w:val="22"/>
                                <w:szCs w:val="22"/>
                                <w:rtl/>
                                <w:lang w:bidi="ar-DZ"/>
                              </w:rPr>
                              <w:t xml:space="preserve">الشكل (6-17) </w:t>
                            </w:r>
                            <w:r w:rsidRPr="00A251AC">
                              <w:rPr>
                                <w:rFonts w:hint="cs"/>
                                <w:sz w:val="22"/>
                                <w:szCs w:val="22"/>
                                <w:rtl/>
                                <w:lang w:val="en-US" w:bidi="ar-DZ"/>
                              </w:rPr>
                              <w:t>تحليل الجار الاقرب</w:t>
                            </w:r>
                            <w:bookmarkEnd w:id="866"/>
                            <w:bookmarkEnd w:id="867"/>
                            <w:r w:rsidRPr="00A251AC">
                              <w:rPr>
                                <w:rFonts w:hint="cs"/>
                                <w:sz w:val="22"/>
                                <w:szCs w:val="22"/>
                                <w:rtl/>
                                <w:lang w:val="en-US" w:bidi="ar-DZ"/>
                              </w:rPr>
                              <w:t xml:space="preserve"> </w:t>
                            </w:r>
                          </w:p>
                          <w:p w:rsidR="00D13702" w:rsidRDefault="00D13702" w:rsidP="00986BEA">
                            <w:pPr>
                              <w:pStyle w:val="fegure"/>
                              <w:rPr>
                                <w:rFonts w:asciiTheme="majorBidi" w:eastAsia="Times New Roman" w:hAnsiTheme="majorBidi" w:cstheme="majorBidi"/>
                                <w:b/>
                                <w:sz w:val="22"/>
                                <w:szCs w:val="22"/>
                                <w:lang w:val="en-US" w:eastAsia="fr-FR"/>
                              </w:rPr>
                            </w:pPr>
                            <w:bookmarkStart w:id="868" w:name="_Toc157608369"/>
                            <w:bookmarkStart w:id="869" w:name="_Toc157790926"/>
                            <w:bookmarkStart w:id="870" w:name="_Toc171803830"/>
                            <w:r w:rsidRPr="00A251AC">
                              <w:rPr>
                                <w:rFonts w:hint="cs"/>
                                <w:sz w:val="22"/>
                                <w:szCs w:val="22"/>
                                <w:rtl/>
                                <w:lang w:val="en-US" w:bidi="ar-DZ"/>
                              </w:rPr>
                              <w:t xml:space="preserve">لمعيار </w:t>
                            </w:r>
                            <w:r w:rsidRPr="00A251AC">
                              <w:rPr>
                                <w:sz w:val="22"/>
                                <w:szCs w:val="22"/>
                                <w:rtl/>
                                <w:lang w:val="en-US" w:bidi="ar-DZ"/>
                              </w:rPr>
                              <w:t>التكفل الطبي</w:t>
                            </w:r>
                            <w:r w:rsidRPr="00A251AC">
                              <w:rPr>
                                <w:rFonts w:asciiTheme="majorBidi" w:eastAsia="Times New Roman" w:hAnsiTheme="majorBidi" w:cstheme="majorBidi"/>
                                <w:b/>
                                <w:sz w:val="22"/>
                                <w:szCs w:val="22"/>
                                <w:lang w:val="en-US" w:eastAsia="fr-FR"/>
                              </w:rPr>
                              <w:t>C1</w:t>
                            </w:r>
                            <w:bookmarkEnd w:id="868"/>
                            <w:bookmarkEnd w:id="869"/>
                            <w:bookmarkEnd w:id="870"/>
                          </w:p>
                          <w:p w:rsidR="00D13702" w:rsidRPr="00986BEA" w:rsidRDefault="00D13702" w:rsidP="00986BEA">
                            <w:pPr>
                              <w:pStyle w:val="fegure"/>
                              <w:rPr>
                                <w:sz w:val="8"/>
                                <w:szCs w:val="24"/>
                                <w:rtl/>
                                <w:lang w:val="en-US"/>
                              </w:rPr>
                            </w:pPr>
                            <w:bookmarkStart w:id="871" w:name="_Toc171803831"/>
                            <w:r>
                              <w:rPr>
                                <w:rFonts w:hint="cs"/>
                                <w:sz w:val="8"/>
                                <w:szCs w:val="24"/>
                                <w:rtl/>
                                <w:lang w:val="en-US" w:bidi="ar-DZ"/>
                              </w:rPr>
                              <w:t xml:space="preserve">المصدر: </w:t>
                            </w:r>
                            <w:r>
                              <w:rPr>
                                <w:rFonts w:hint="cs"/>
                                <w:sz w:val="8"/>
                                <w:szCs w:val="24"/>
                                <w:rtl/>
                                <w:lang w:val="en-US"/>
                              </w:rPr>
                              <w:t>(الباحث، 2022)</w:t>
                            </w:r>
                            <w:bookmarkEnd w:id="871"/>
                          </w:p>
                          <w:p w:rsidR="00D13702" w:rsidRDefault="00D13702" w:rsidP="00976B6A">
                            <w:pPr>
                              <w:bidi/>
                              <w:spacing w:after="0" w:line="240" w:lineRule="auto"/>
                              <w:jc w:val="center"/>
                            </w:pPr>
                            <w:r>
                              <w:rPr>
                                <w:noProof/>
                                <w:lang w:eastAsia="fr-FR"/>
                              </w:rPr>
                              <w:drawing>
                                <wp:inline distT="0" distB="0" distL="0" distR="0" wp14:anchorId="1AA457AA" wp14:editId="2DC3E6E1">
                                  <wp:extent cx="2423256" cy="3861521"/>
                                  <wp:effectExtent l="19050" t="19050" r="15240" b="24765"/>
                                  <wp:docPr id="242" name="Imag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4" cstate="print">
                                            <a:extLst>
                                              <a:ext uri="{28A0092B-C50C-407E-A947-70E740481C1C}">
                                                <a14:useLocalDpi xmlns:a14="http://schemas.microsoft.com/office/drawing/2010/main" val="0"/>
                                              </a:ext>
                                            </a:extLst>
                                          </a:blip>
                                          <a:stretch>
                                            <a:fillRect/>
                                          </a:stretch>
                                        </pic:blipFill>
                                        <pic:spPr>
                                          <a:xfrm>
                                            <a:off x="0" y="0"/>
                                            <a:ext cx="2430741" cy="3873448"/>
                                          </a:xfrm>
                                          <a:prstGeom prst="rect">
                                            <a:avLst/>
                                          </a:prstGeom>
                                          <a:ln>
                                            <a:solidFill>
                                              <a:schemeClr val="tx1"/>
                                            </a:solid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86" o:spid="_x0000_s1058" type="#_x0000_t202" style="position:absolute;left:0;text-align:left;margin-left:247.6pt;margin-top:13.45pt;width:203.75pt;height:376.3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" filled="f" strokecolor="black [3213]" strokeweight=".25pt">
                <v:textbox>
                  <w:txbxContent>
                    <w:p w:rsidR="00D13702" w:rsidRPr="00A251AC" w:rsidRDefault="00D13702" w:rsidP="00A251AC">
                      <w:pPr>
                        <w:pStyle w:val="fegure"/>
                        <w:rPr>
                          <w:sz w:val="22"/>
                          <w:szCs w:val="22"/>
                          <w:rtl/>
                          <w:lang w:val="en-US" w:bidi="ar-DZ"/>
                        </w:rPr>
                      </w:pPr>
                      <w:bookmarkStart w:id="881" w:name="_Toc157790925"/>
                      <w:bookmarkStart w:id="882" w:name="_Toc171803829"/>
                      <w:r w:rsidRPr="00A251AC">
                        <w:rPr>
                          <w:rFonts w:hint="cs"/>
                          <w:sz w:val="22"/>
                          <w:szCs w:val="22"/>
                          <w:rtl/>
                          <w:lang w:bidi="ar-DZ"/>
                        </w:rPr>
                        <w:t xml:space="preserve">الشكل (6-17) </w:t>
                      </w:r>
                      <w:r w:rsidRPr="00A251AC">
                        <w:rPr>
                          <w:rFonts w:hint="cs"/>
                          <w:sz w:val="22"/>
                          <w:szCs w:val="22"/>
                          <w:rtl/>
                          <w:lang w:val="en-US" w:bidi="ar-DZ"/>
                        </w:rPr>
                        <w:t>تحليل الجار الاقرب</w:t>
                      </w:r>
                      <w:bookmarkEnd w:id="881"/>
                      <w:bookmarkEnd w:id="882"/>
                      <w:r w:rsidRPr="00A251AC">
                        <w:rPr>
                          <w:rFonts w:hint="cs"/>
                          <w:sz w:val="22"/>
                          <w:szCs w:val="22"/>
                          <w:rtl/>
                          <w:lang w:val="en-US" w:bidi="ar-DZ"/>
                        </w:rPr>
                        <w:t xml:space="preserve"> </w:t>
                      </w:r>
                    </w:p>
                    <w:p w:rsidR="00D13702" w:rsidRDefault="00D13702" w:rsidP="00986BEA">
                      <w:pPr>
                        <w:pStyle w:val="fegure"/>
                        <w:rPr>
                          <w:rFonts w:asciiTheme="majorBidi" w:eastAsia="Times New Roman" w:hAnsiTheme="majorBidi" w:cstheme="majorBidi"/>
                          <w:b/>
                          <w:sz w:val="22"/>
                          <w:szCs w:val="22"/>
                          <w:lang w:val="en-US" w:eastAsia="fr-FR"/>
                        </w:rPr>
                      </w:pPr>
                      <w:bookmarkStart w:id="883" w:name="_Toc157608369"/>
                      <w:bookmarkStart w:id="884" w:name="_Toc157790926"/>
                      <w:bookmarkStart w:id="885" w:name="_Toc171803830"/>
                      <w:r w:rsidRPr="00A251AC">
                        <w:rPr>
                          <w:rFonts w:hint="cs"/>
                          <w:sz w:val="22"/>
                          <w:szCs w:val="22"/>
                          <w:rtl/>
                          <w:lang w:val="en-US" w:bidi="ar-DZ"/>
                        </w:rPr>
                        <w:t xml:space="preserve">لمعيار </w:t>
                      </w:r>
                      <w:r w:rsidRPr="00A251AC">
                        <w:rPr>
                          <w:sz w:val="22"/>
                          <w:szCs w:val="22"/>
                          <w:rtl/>
                          <w:lang w:val="en-US" w:bidi="ar-DZ"/>
                        </w:rPr>
                        <w:t>التكفل الطبي</w:t>
                      </w:r>
                      <w:r w:rsidRPr="00A251AC">
                        <w:rPr>
                          <w:rFonts w:asciiTheme="majorBidi" w:eastAsia="Times New Roman" w:hAnsiTheme="majorBidi" w:cstheme="majorBidi"/>
                          <w:b/>
                          <w:sz w:val="22"/>
                          <w:szCs w:val="22"/>
                          <w:lang w:val="en-US" w:eastAsia="fr-FR"/>
                        </w:rPr>
                        <w:t>C1</w:t>
                      </w:r>
                      <w:bookmarkEnd w:id="883"/>
                      <w:bookmarkEnd w:id="884"/>
                      <w:bookmarkEnd w:id="885"/>
                    </w:p>
                    <w:p w:rsidR="00D13702" w:rsidRPr="00986BEA" w:rsidRDefault="00D13702" w:rsidP="00986BEA">
                      <w:pPr>
                        <w:pStyle w:val="fegure"/>
                        <w:rPr>
                          <w:sz w:val="8"/>
                          <w:szCs w:val="24"/>
                          <w:rtl/>
                          <w:lang w:val="en-US"/>
                        </w:rPr>
                      </w:pPr>
                      <w:bookmarkStart w:id="886" w:name="_Toc171803831"/>
                      <w:r>
                        <w:rPr>
                          <w:rFonts w:hint="cs"/>
                          <w:sz w:val="8"/>
                          <w:szCs w:val="24"/>
                          <w:rtl/>
                          <w:lang w:val="en-US" w:bidi="ar-DZ"/>
                        </w:rPr>
                        <w:t xml:space="preserve">المصدر: </w:t>
                      </w:r>
                      <w:r>
                        <w:rPr>
                          <w:rFonts w:hint="cs"/>
                          <w:sz w:val="8"/>
                          <w:szCs w:val="24"/>
                          <w:rtl/>
                          <w:lang w:val="en-US"/>
                        </w:rPr>
                        <w:t>(الباحث، 2022)</w:t>
                      </w:r>
                      <w:bookmarkEnd w:id="886"/>
                    </w:p>
                    <w:p w:rsidR="00D13702" w:rsidRDefault="00D13702" w:rsidP="00976B6A">
                      <w:pPr>
                        <w:bidi/>
                        <w:spacing w:after="0" w:line="240" w:lineRule="auto"/>
                        <w:jc w:val="center"/>
                      </w:pPr>
                      <w:r>
                        <w:rPr>
                          <w:noProof/>
                          <w:lang w:eastAsia="fr-FR"/>
                        </w:rPr>
                        <w:drawing>
                          <wp:inline distT="0" distB="0" distL="0" distR="0" wp14:anchorId="335F747F" wp14:editId="7004EE12">
                            <wp:extent cx="2423256" cy="3861521"/>
                            <wp:effectExtent l="19050" t="19050" r="15240" b="24765"/>
                            <wp:docPr id="242" name="Imag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5" cstate="print">
                                      <a:extLst>
                                        <a:ext uri="{28A0092B-C50C-407E-A947-70E740481C1C}">
                                          <a14:useLocalDpi xmlns:a14="http://schemas.microsoft.com/office/drawing/2010/main" val="0"/>
                                        </a:ext>
                                      </a:extLst>
                                    </a:blip>
                                    <a:stretch>
                                      <a:fillRect/>
                                    </a:stretch>
                                  </pic:blipFill>
                                  <pic:spPr>
                                    <a:xfrm>
                                      <a:off x="0" y="0"/>
                                      <a:ext cx="2430741" cy="3873448"/>
                                    </a:xfrm>
                                    <a:prstGeom prst="rect">
                                      <a:avLst/>
                                    </a:prstGeom>
                                    <a:ln>
                                      <a:solidFill>
                                        <a:schemeClr val="tx1"/>
                                      </a:solidFill>
                                    </a:ln>
                                  </pic:spPr>
                                </pic:pic>
                              </a:graphicData>
                            </a:graphic>
                          </wp:inline>
                        </w:drawing>
                      </w:r>
                    </w:p>
                  </w:txbxContent>
                </v:textbox>
              </v:shape>
            </w:pict>
          </mc:Fallback>
        </mc:AlternateContent>
      </w:r>
    </w:p>
    <w:p w:rsidR="00D55C84" w:rsidRDefault="00D55C84" w:rsidP="00214539">
      <w:pPr>
        <w:tabs>
          <w:tab w:val="right" w:pos="4110"/>
          <w:tab w:val="right" w:pos="4252"/>
        </w:tabs>
        <w:bidi/>
        <w:spacing w:after="0" w:line="240" w:lineRule="auto"/>
        <w:jc w:val="center"/>
        <w:rPr>
          <w:rFonts w:ascii="Simplified Arabic" w:hAnsi="Simplified Arabic" w:cs="Simplified Arabic"/>
          <w:sz w:val="24"/>
          <w:szCs w:val="24"/>
          <w:rtl/>
          <w:lang w:bidi="ar-DZ"/>
        </w:rPr>
      </w:pPr>
    </w:p>
    <w:p w:rsidR="00860073" w:rsidRDefault="00860073" w:rsidP="005373F7">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860073" w:rsidRDefault="00860073" w:rsidP="00860073">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482FC6">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482FC6">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482FC6">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482FC6">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482FC6">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D408D1">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482FC6">
      <w:pPr>
        <w:tabs>
          <w:tab w:val="right" w:pos="4110"/>
          <w:tab w:val="right" w:pos="4252"/>
        </w:tabs>
        <w:bidi/>
        <w:spacing w:after="0"/>
        <w:ind w:firstLine="283"/>
        <w:rPr>
          <w:rFonts w:ascii="Simplified Arabic" w:hAnsi="Simplified Arabic" w:cs="Simplified Arabic"/>
          <w:sz w:val="24"/>
          <w:szCs w:val="24"/>
          <w:rtl/>
        </w:rPr>
      </w:pPr>
    </w:p>
    <w:p w:rsidR="00482FC6" w:rsidRDefault="00482FC6" w:rsidP="00482FC6">
      <w:pPr>
        <w:tabs>
          <w:tab w:val="right" w:pos="4110"/>
          <w:tab w:val="right" w:pos="4252"/>
        </w:tabs>
        <w:bidi/>
        <w:spacing w:after="0"/>
        <w:ind w:firstLine="283"/>
        <w:rPr>
          <w:rFonts w:ascii="Simplified Arabic" w:hAnsi="Simplified Arabic" w:cs="Simplified Arabic"/>
          <w:sz w:val="24"/>
          <w:szCs w:val="24"/>
          <w:rtl/>
        </w:rPr>
      </w:pPr>
    </w:p>
    <w:p w:rsidR="005D7AD7" w:rsidRPr="003E166E" w:rsidRDefault="00E016D1" w:rsidP="00D408D1">
      <w:pPr>
        <w:pStyle w:val="Paragraphedeliste"/>
        <w:numPr>
          <w:ilvl w:val="0"/>
          <w:numId w:val="69"/>
        </w:numPr>
        <w:tabs>
          <w:tab w:val="right" w:pos="708"/>
          <w:tab w:val="right" w:pos="4110"/>
          <w:tab w:val="right" w:pos="4252"/>
        </w:tabs>
        <w:bidi/>
        <w:spacing w:before="240" w:after="0"/>
        <w:ind w:left="0" w:firstLine="283"/>
        <w:rPr>
          <w:rFonts w:ascii="Simplified Arabic" w:hAnsi="Simplified Arabic" w:cs="Simplified Arabic"/>
          <w:sz w:val="24"/>
          <w:szCs w:val="24"/>
          <w:rtl/>
          <w:lang w:bidi="ar-DZ"/>
        </w:rPr>
      </w:pPr>
      <w:r w:rsidRPr="003E166E">
        <w:rPr>
          <w:rFonts w:ascii="Simplified Arabic" w:hAnsi="Simplified Arabic" w:cs="Simplified Arabic" w:hint="cs"/>
          <w:sz w:val="24"/>
          <w:szCs w:val="24"/>
          <w:rtl/>
        </w:rPr>
        <w:lastRenderedPageBreak/>
        <w:t xml:space="preserve">لم يتمكن البحث من الحصول على ملخص </w:t>
      </w:r>
      <w:r w:rsidR="00A30B24" w:rsidRPr="003E166E">
        <w:rPr>
          <w:rFonts w:ascii="Simplified Arabic" w:hAnsi="Simplified Arabic" w:cs="Simplified Arabic" w:hint="cs"/>
          <w:sz w:val="24"/>
          <w:szCs w:val="24"/>
          <w:rtl/>
        </w:rPr>
        <w:t>صلة الجوار</w:t>
      </w:r>
      <w:r w:rsidRPr="003E166E">
        <w:rPr>
          <w:rFonts w:ascii="Simplified Arabic" w:hAnsi="Simplified Arabic" w:cs="Simplified Arabic" w:hint="cs"/>
          <w:sz w:val="24"/>
          <w:szCs w:val="24"/>
          <w:rtl/>
        </w:rPr>
        <w:t xml:space="preserve"> الاقرب</w:t>
      </w:r>
      <w:r w:rsidR="00A30B24" w:rsidRPr="003E166E">
        <w:rPr>
          <w:rFonts w:ascii="Simplified Arabic" w:hAnsi="Simplified Arabic" w:cs="Simplified Arabic" w:hint="cs"/>
          <w:sz w:val="24"/>
          <w:szCs w:val="24"/>
          <w:rtl/>
        </w:rPr>
        <w:t xml:space="preserve"> لمواقع معيار </w:t>
      </w:r>
      <w:r w:rsidR="00A30B24" w:rsidRPr="003E166E">
        <w:rPr>
          <w:rFonts w:ascii="Simplified Arabic" w:hAnsi="Simplified Arabic" w:cs="Simplified Arabic"/>
          <w:sz w:val="24"/>
          <w:szCs w:val="24"/>
          <w:rtl/>
          <w:lang w:val="en-US" w:bidi="ar-DZ"/>
        </w:rPr>
        <w:t>الإنقاذ والإجلاء</w:t>
      </w:r>
      <w:r w:rsidR="005B1E2F" w:rsidRPr="003E166E">
        <w:rPr>
          <w:rFonts w:ascii="Simplified Arabic" w:hAnsi="Simplified Arabic" w:cs="Simplified Arabic" w:hint="cs"/>
          <w:sz w:val="24"/>
          <w:szCs w:val="24"/>
          <w:rtl/>
          <w:lang w:val="en-US" w:bidi="ar-DZ"/>
        </w:rPr>
        <w:t xml:space="preserve"> </w:t>
      </w:r>
      <w:r w:rsidR="005B1E2F" w:rsidRPr="003E166E">
        <w:rPr>
          <w:rFonts w:asciiTheme="majorBidi" w:eastAsia="Times New Roman" w:hAnsiTheme="majorBidi" w:cstheme="majorBidi"/>
          <w:b/>
          <w:sz w:val="24"/>
          <w:szCs w:val="24"/>
          <w:lang w:val="en-US" w:eastAsia="fr-FR"/>
        </w:rPr>
        <w:t>C2</w:t>
      </w:r>
      <w:r w:rsidR="00A30B24" w:rsidRPr="003E166E">
        <w:rPr>
          <w:rFonts w:ascii="Simplified Arabic" w:hAnsi="Simplified Arabic" w:cs="Simplified Arabic" w:hint="cs"/>
          <w:sz w:val="24"/>
          <w:szCs w:val="24"/>
          <w:rtl/>
        </w:rPr>
        <w:t xml:space="preserve">، باعتبار </w:t>
      </w:r>
      <w:r w:rsidR="00A30B24" w:rsidRPr="003E166E">
        <w:rPr>
          <w:rFonts w:ascii="Simplified Arabic" w:hAnsi="Simplified Arabic" w:cs="Simplified Arabic" w:hint="cs"/>
          <w:sz w:val="24"/>
          <w:szCs w:val="24"/>
          <w:rtl/>
          <w:lang w:bidi="ar-DZ"/>
        </w:rPr>
        <w:t>ان هذا المعيار يضم ظاهرة واحدة على مستوى مدينة</w:t>
      </w:r>
      <w:r w:rsidRPr="003E166E">
        <w:rPr>
          <w:rFonts w:ascii="Simplified Arabic" w:hAnsi="Simplified Arabic" w:cs="Simplified Arabic" w:hint="cs"/>
          <w:sz w:val="24"/>
          <w:szCs w:val="24"/>
          <w:rtl/>
          <w:lang w:bidi="ar-DZ"/>
        </w:rPr>
        <w:t xml:space="preserve"> بوسعادة</w:t>
      </w:r>
      <w:r w:rsidR="0014541B" w:rsidRPr="003E166E">
        <w:rPr>
          <w:rFonts w:ascii="Simplified Arabic" w:hAnsi="Simplified Arabic" w:cs="Simplified Arabic" w:hint="cs"/>
          <w:sz w:val="24"/>
          <w:szCs w:val="24"/>
          <w:rtl/>
          <w:lang w:bidi="ar-DZ"/>
        </w:rPr>
        <w:t>، الشكل (6-</w:t>
      </w:r>
      <w:r w:rsidR="005373F7" w:rsidRPr="003E166E">
        <w:rPr>
          <w:rFonts w:ascii="Simplified Arabic" w:hAnsi="Simplified Arabic" w:cs="Simplified Arabic" w:hint="cs"/>
          <w:sz w:val="24"/>
          <w:szCs w:val="24"/>
          <w:rtl/>
          <w:lang w:bidi="ar-DZ"/>
        </w:rPr>
        <w:t>18</w:t>
      </w:r>
      <w:r w:rsidR="0014541B" w:rsidRPr="003E166E">
        <w:rPr>
          <w:rFonts w:ascii="Simplified Arabic" w:hAnsi="Simplified Arabic" w:cs="Simplified Arabic" w:hint="cs"/>
          <w:sz w:val="24"/>
          <w:szCs w:val="24"/>
          <w:rtl/>
          <w:lang w:bidi="ar-DZ"/>
        </w:rPr>
        <w:t>)</w:t>
      </w:r>
      <w:r w:rsidR="00A30B24" w:rsidRPr="003E166E">
        <w:rPr>
          <w:rFonts w:ascii="Simplified Arabic" w:hAnsi="Simplified Arabic" w:cs="Simplified Arabic" w:hint="cs"/>
          <w:sz w:val="24"/>
          <w:szCs w:val="24"/>
          <w:rtl/>
          <w:lang w:bidi="ar-DZ"/>
        </w:rPr>
        <w:t>.</w:t>
      </w:r>
      <w:r w:rsidRPr="003E166E">
        <w:rPr>
          <w:rFonts w:ascii="Simplified Arabic" w:hAnsi="Simplified Arabic" w:cs="Simplified Arabic" w:hint="cs"/>
          <w:sz w:val="24"/>
          <w:szCs w:val="24"/>
          <w:rtl/>
          <w:lang w:bidi="ar-DZ"/>
        </w:rPr>
        <w:t xml:space="preserve"> </w:t>
      </w:r>
      <w:r w:rsidR="0031078D" w:rsidRPr="003E166E">
        <w:rPr>
          <w:rFonts w:ascii="Simplified Arabic" w:hAnsi="Simplified Arabic" w:cs="Simplified Arabic" w:hint="cs"/>
          <w:sz w:val="24"/>
          <w:szCs w:val="24"/>
          <w:rtl/>
        </w:rPr>
        <w:t xml:space="preserve">من الناحية المكانية، </w:t>
      </w:r>
      <w:r w:rsidR="0031078D" w:rsidRPr="003E166E">
        <w:rPr>
          <w:rFonts w:ascii="Simplified Arabic" w:hAnsi="Simplified Arabic" w:cs="Simplified Arabic" w:hint="cs"/>
          <w:sz w:val="24"/>
          <w:szCs w:val="24"/>
          <w:rtl/>
          <w:lang w:bidi="ar-DZ"/>
        </w:rPr>
        <w:t xml:space="preserve">اظهرت </w:t>
      </w:r>
      <w:r w:rsidR="00A30B24" w:rsidRPr="003E166E">
        <w:rPr>
          <w:rFonts w:ascii="Simplified Arabic" w:hAnsi="Simplified Arabic" w:cs="Simplified Arabic" w:hint="cs"/>
          <w:sz w:val="24"/>
          <w:szCs w:val="24"/>
          <w:rtl/>
          <w:lang w:bidi="ar-DZ"/>
        </w:rPr>
        <w:t>الخريطة (6-</w:t>
      </w:r>
      <w:r w:rsidR="00456E70" w:rsidRPr="003E166E">
        <w:rPr>
          <w:rFonts w:ascii="Simplified Arabic" w:hAnsi="Simplified Arabic" w:cs="Simplified Arabic" w:hint="cs"/>
          <w:sz w:val="24"/>
          <w:szCs w:val="24"/>
          <w:rtl/>
          <w:lang w:bidi="ar-DZ"/>
        </w:rPr>
        <w:t>6</w:t>
      </w:r>
      <w:r w:rsidR="00A30B24" w:rsidRPr="003E166E">
        <w:rPr>
          <w:rFonts w:ascii="Simplified Arabic" w:hAnsi="Simplified Arabic" w:cs="Simplified Arabic" w:hint="cs"/>
          <w:sz w:val="24"/>
          <w:szCs w:val="24"/>
          <w:rtl/>
          <w:lang w:bidi="ar-DZ"/>
        </w:rPr>
        <w:t xml:space="preserve">)، ان مساحة التغطية بخدمة الانقاذ والاجلاء </w:t>
      </w:r>
      <w:r w:rsidR="0014541B" w:rsidRPr="003E166E">
        <w:rPr>
          <w:rFonts w:ascii="Simplified Arabic" w:hAnsi="Simplified Arabic" w:cs="Simplified Arabic" w:hint="cs"/>
          <w:sz w:val="24"/>
          <w:szCs w:val="24"/>
          <w:rtl/>
          <w:lang w:bidi="ar-DZ"/>
        </w:rPr>
        <w:t xml:space="preserve">ضمن المسافة المعيارية النظرية، تمس </w:t>
      </w:r>
      <w:r w:rsidR="00A30B24" w:rsidRPr="003E166E">
        <w:rPr>
          <w:rFonts w:ascii="Simplified Arabic" w:hAnsi="Simplified Arabic" w:cs="Simplified Arabic" w:hint="cs"/>
          <w:sz w:val="24"/>
          <w:szCs w:val="24"/>
          <w:rtl/>
          <w:lang w:bidi="ar-DZ"/>
        </w:rPr>
        <w:t xml:space="preserve">حي القصر </w:t>
      </w:r>
      <w:r w:rsidR="0014541B" w:rsidRPr="003E166E">
        <w:rPr>
          <w:rFonts w:ascii="Simplified Arabic" w:hAnsi="Simplified Arabic" w:cs="Simplified Arabic" w:hint="cs"/>
          <w:sz w:val="24"/>
          <w:szCs w:val="24"/>
          <w:rtl/>
          <w:lang w:bidi="ar-DZ"/>
        </w:rPr>
        <w:t>و</w:t>
      </w:r>
      <w:r w:rsidR="00A30B24" w:rsidRPr="003E166E">
        <w:rPr>
          <w:rFonts w:ascii="Simplified Arabic" w:hAnsi="Simplified Arabic" w:cs="Simplified Arabic" w:hint="cs"/>
          <w:sz w:val="24"/>
          <w:szCs w:val="24"/>
          <w:rtl/>
          <w:lang w:bidi="ar-DZ"/>
        </w:rPr>
        <w:t>بلاتو</w:t>
      </w:r>
      <w:r w:rsidR="0014541B" w:rsidRPr="003E166E">
        <w:rPr>
          <w:rFonts w:ascii="Simplified Arabic" w:hAnsi="Simplified Arabic" w:cs="Simplified Arabic" w:hint="cs"/>
          <w:sz w:val="24"/>
          <w:szCs w:val="24"/>
          <w:rtl/>
          <w:lang w:bidi="ar-DZ"/>
        </w:rPr>
        <w:t>، بينما يقع حي</w:t>
      </w:r>
      <w:r w:rsidR="00A30B24" w:rsidRPr="003E166E">
        <w:rPr>
          <w:rFonts w:ascii="Simplified Arabic" w:hAnsi="Simplified Arabic" w:cs="Simplified Arabic" w:hint="cs"/>
          <w:sz w:val="24"/>
          <w:szCs w:val="24"/>
          <w:rtl/>
          <w:lang w:bidi="ar-DZ"/>
        </w:rPr>
        <w:t xml:space="preserve"> سيدي سليمان والحمايد</w:t>
      </w:r>
      <w:r w:rsidR="0014541B" w:rsidRPr="003E166E">
        <w:rPr>
          <w:rFonts w:ascii="Simplified Arabic" w:hAnsi="Simplified Arabic" w:cs="Simplified Arabic" w:hint="cs"/>
          <w:sz w:val="24"/>
          <w:szCs w:val="24"/>
          <w:rtl/>
          <w:lang w:bidi="ar-DZ"/>
        </w:rPr>
        <w:t xml:space="preserve"> خارج نطاق التغطية بالخدمة</w:t>
      </w:r>
      <w:r w:rsidR="00F76477" w:rsidRPr="003E166E">
        <w:rPr>
          <w:rFonts w:ascii="Simplified Arabic" w:hAnsi="Simplified Arabic" w:cs="Simplified Arabic" w:hint="cs"/>
          <w:sz w:val="24"/>
          <w:szCs w:val="24"/>
          <w:rtl/>
          <w:lang w:bidi="ar-DZ"/>
        </w:rPr>
        <w:t xml:space="preserve"> ضمن المسافة المعيارية النظرية</w:t>
      </w:r>
      <w:r w:rsidR="0014541B" w:rsidRPr="003E166E">
        <w:rPr>
          <w:rFonts w:ascii="Simplified Arabic" w:hAnsi="Simplified Arabic" w:cs="Simplified Arabic" w:hint="cs"/>
          <w:sz w:val="24"/>
          <w:szCs w:val="24"/>
          <w:rtl/>
          <w:lang w:bidi="ar-DZ"/>
        </w:rPr>
        <w:t>.</w:t>
      </w:r>
    </w:p>
    <w:p w:rsidR="00976B6A" w:rsidRDefault="00976B6A" w:rsidP="00E016D1">
      <w:pPr>
        <w:autoSpaceDE w:val="0"/>
        <w:autoSpaceDN w:val="0"/>
        <w:bidi/>
        <w:adjustRightInd w:val="0"/>
        <w:spacing w:after="0"/>
        <w:ind w:firstLine="283"/>
        <w:jc w:val="both"/>
        <w:rPr>
          <w:noProof/>
          <w:rtl/>
          <w:lang w:eastAsia="fr-FR"/>
        </w:rPr>
      </w:pPr>
    </w:p>
    <w:p w:rsidR="00976B6A" w:rsidRDefault="00C36165" w:rsidP="00976B6A">
      <w:pPr>
        <w:autoSpaceDE w:val="0"/>
        <w:autoSpaceDN w:val="0"/>
        <w:bidi/>
        <w:adjustRightInd w:val="0"/>
        <w:spacing w:after="0"/>
        <w:ind w:firstLine="283"/>
        <w:jc w:val="both"/>
        <w:rPr>
          <w:noProof/>
          <w:rtl/>
          <w:lang w:eastAsia="fr-FR"/>
        </w:rPr>
      </w:pPr>
      <w:r w:rsidRPr="00A30B24">
        <w:rPr>
          <w:rFonts w:ascii="Simplified Arabic" w:hAnsi="Simplified Arabic" w:cs="Simplified Arabic"/>
          <w:noProof/>
          <w:sz w:val="24"/>
          <w:szCs w:val="24"/>
          <w:rtl/>
          <w:lang w:eastAsia="fr-FR"/>
        </w:rPr>
        <mc:AlternateContent>
          <mc:Choice Requires="wps">
            <w:drawing>
              <wp:anchor distT="0" distB="0" distL="114300" distR="114300" simplePos="0" relativeHeight="251700736" behindDoc="0" locked="0" layoutInCell="1" allowOverlap="1" wp14:anchorId="3CD7150B" wp14:editId="224F0B69">
                <wp:simplePos x="0" y="0"/>
                <wp:positionH relativeFrom="column">
                  <wp:posOffset>21590</wp:posOffset>
                </wp:positionH>
                <wp:positionV relativeFrom="paragraph">
                  <wp:posOffset>8890</wp:posOffset>
                </wp:positionV>
                <wp:extent cx="3053715" cy="4779010"/>
                <wp:effectExtent l="0" t="0" r="13335" b="21590"/>
                <wp:wrapNone/>
                <wp:docPr id="294" name="Zone de texte 294"/>
                <wp:cNvGraphicFramePr/>
                <a:graphic xmlns:a="http://schemas.openxmlformats.org/drawingml/2006/main">
                  <a:graphicData uri="http://schemas.microsoft.com/office/word/2010/wordprocessingShape">
                    <wps:wsp>
                      <wps:cNvSpPr txBox="1"/>
                      <wps:spPr>
                        <a:xfrm>
                          <a:off x="0" y="0"/>
                          <a:ext cx="3053715" cy="4779010"/>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ED3102">
                            <w:pPr>
                              <w:pStyle w:val="carte"/>
                              <w:spacing w:before="0" w:after="0"/>
                              <w:ind w:left="-188"/>
                              <w:rPr>
                                <w:sz w:val="22"/>
                                <w:szCs w:val="22"/>
                                <w:lang w:val="en-US" w:bidi="ar-DZ"/>
                              </w:rPr>
                            </w:pPr>
                            <w:bookmarkStart w:id="872" w:name="_Toc157616614"/>
                            <w:bookmarkStart w:id="873" w:name="_Toc171803832"/>
                            <w:r w:rsidRPr="00383F18">
                              <w:rPr>
                                <w:rFonts w:hint="cs"/>
                                <w:sz w:val="22"/>
                                <w:szCs w:val="22"/>
                                <w:rtl/>
                                <w:lang w:bidi="ar-DZ"/>
                              </w:rPr>
                              <w:t xml:space="preserve">الخريطة (6-6) مساحة التغطية بخدمة </w:t>
                            </w:r>
                            <w:r w:rsidRPr="00383F18">
                              <w:rPr>
                                <w:sz w:val="22"/>
                                <w:szCs w:val="22"/>
                                <w:rtl/>
                                <w:lang w:val="en-US" w:bidi="ar-DZ"/>
                              </w:rPr>
                              <w:t>الإنقاذ والإجلاء</w:t>
                            </w:r>
                            <w:bookmarkEnd w:id="872"/>
                            <w:bookmarkEnd w:id="873"/>
                          </w:p>
                          <w:p w:rsidR="00D13702" w:rsidRPr="00D408D1" w:rsidRDefault="00D13702" w:rsidP="00D408D1">
                            <w:pPr>
                              <w:pStyle w:val="fegure"/>
                              <w:ind w:left="-188"/>
                              <w:rPr>
                                <w:szCs w:val="24"/>
                                <w:rtl/>
                                <w:lang w:bidi="ar-DZ"/>
                              </w:rPr>
                            </w:pPr>
                            <w:bookmarkStart w:id="874" w:name="_Toc171803833"/>
                            <w:r>
                              <w:rPr>
                                <w:rFonts w:hint="cs"/>
                                <w:sz w:val="8"/>
                                <w:szCs w:val="24"/>
                                <w:rtl/>
                                <w:lang w:val="en-US" w:bidi="ar-DZ"/>
                              </w:rPr>
                              <w:t xml:space="preserve">المصدر: </w:t>
                            </w:r>
                            <w:r>
                              <w:rPr>
                                <w:rFonts w:hint="cs"/>
                                <w:sz w:val="8"/>
                                <w:szCs w:val="24"/>
                                <w:rtl/>
                                <w:lang w:val="en-US"/>
                              </w:rPr>
                              <w:t>(الباحث، 2022)</w:t>
                            </w:r>
                            <w:r>
                              <w:rPr>
                                <w:rFonts w:hint="cs"/>
                                <w:szCs w:val="24"/>
                                <w:rtl/>
                                <w:lang w:bidi="ar-DZ"/>
                              </w:rPr>
                              <w:t xml:space="preserve">     </w:t>
                            </w:r>
                            <w:r>
                              <w:rPr>
                                <w:noProof/>
                                <w:szCs w:val="24"/>
                                <w:lang w:eastAsia="fr-FR"/>
                              </w:rPr>
                              <w:drawing>
                                <wp:inline distT="0" distB="0" distL="0" distR="0" wp14:anchorId="02D1494A" wp14:editId="31F55547">
                                  <wp:extent cx="2996774" cy="3657600"/>
                                  <wp:effectExtent l="0" t="0" r="0" b="0"/>
                                  <wp:docPr id="248"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06" cstate="print">
                                            <a:extLst>
                                              <a:ext uri="{28A0092B-C50C-407E-A947-70E740481C1C}">
                                                <a14:useLocalDpi xmlns:a14="http://schemas.microsoft.com/office/drawing/2010/main" val="0"/>
                                              </a:ext>
                                            </a:extLst>
                                          </a:blip>
                                          <a:srcRect t="8467"/>
                                          <a:stretch/>
                                        </pic:blipFill>
                                        <pic:spPr bwMode="auto">
                                          <a:xfrm>
                                            <a:off x="0" y="0"/>
                                            <a:ext cx="2996774" cy="3657600"/>
                                          </a:xfrm>
                                          <a:prstGeom prst="rect">
                                            <a:avLst/>
                                          </a:prstGeom>
                                          <a:noFill/>
                                          <a:ln>
                                            <a:noFill/>
                                          </a:ln>
                                          <a:extLst>
                                            <a:ext uri="{53640926-AAD7-44D8-BBD7-CCE9431645EC}">
                                              <a14:shadowObscured xmlns:a14="http://schemas.microsoft.com/office/drawing/2010/main"/>
                                            </a:ext>
                                          </a:extLst>
                                        </pic:spPr>
                                      </pic:pic>
                                    </a:graphicData>
                                  </a:graphic>
                                </wp:inline>
                              </w:drawing>
                            </w:r>
                            <w:bookmarkEnd w:id="874"/>
                          </w:p>
                          <w:p w:rsidR="00D13702" w:rsidRDefault="00D13702" w:rsidP="00ED3102">
                            <w:pPr>
                              <w:ind w:left="-188"/>
                              <w:rPr>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94" o:spid="_x0000_s1059" type="#_x0000_t202" style="position:absolute;left:0;text-align:left;margin-left:1.7pt;margin-top:.7pt;width:240.45pt;height:376.3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" fillcolor="white [3201]" strokecolor="black [3213]" strokeweight=".25pt">
                <v:textbox>
                  <w:txbxContent>
                    <w:p w:rsidR="00D13702" w:rsidRDefault="00D13702" w:rsidP="00ED3102">
                      <w:pPr>
                        <w:pStyle w:val="carte"/>
                        <w:spacing w:before="0" w:after="0"/>
                        <w:ind w:left="-188"/>
                        <w:rPr>
                          <w:sz w:val="22"/>
                          <w:szCs w:val="22"/>
                          <w:lang w:val="en-US" w:bidi="ar-DZ"/>
                        </w:rPr>
                      </w:pPr>
                      <w:bookmarkStart w:id="890" w:name="_Toc157616614"/>
                      <w:bookmarkStart w:id="891" w:name="_Toc171803832"/>
                      <w:r w:rsidRPr="00383F18">
                        <w:rPr>
                          <w:rFonts w:hint="cs"/>
                          <w:sz w:val="22"/>
                          <w:szCs w:val="22"/>
                          <w:rtl/>
                          <w:lang w:bidi="ar-DZ"/>
                        </w:rPr>
                        <w:t xml:space="preserve">الخريطة (6-6) مساحة التغطية بخدمة </w:t>
                      </w:r>
                      <w:r w:rsidRPr="00383F18">
                        <w:rPr>
                          <w:sz w:val="22"/>
                          <w:szCs w:val="22"/>
                          <w:rtl/>
                          <w:lang w:val="en-US" w:bidi="ar-DZ"/>
                        </w:rPr>
                        <w:t>الإنقاذ والإجلاء</w:t>
                      </w:r>
                      <w:bookmarkEnd w:id="890"/>
                      <w:bookmarkEnd w:id="891"/>
                    </w:p>
                    <w:p w:rsidR="00D13702" w:rsidRPr="00D408D1" w:rsidRDefault="00D13702" w:rsidP="00D408D1">
                      <w:pPr>
                        <w:pStyle w:val="fegure"/>
                        <w:ind w:left="-188"/>
                        <w:rPr>
                          <w:szCs w:val="24"/>
                          <w:rtl/>
                          <w:lang w:bidi="ar-DZ"/>
                        </w:rPr>
                      </w:pPr>
                      <w:bookmarkStart w:id="892" w:name="_Toc171803833"/>
                      <w:r>
                        <w:rPr>
                          <w:rFonts w:hint="cs"/>
                          <w:sz w:val="8"/>
                          <w:szCs w:val="24"/>
                          <w:rtl/>
                          <w:lang w:val="en-US" w:bidi="ar-DZ"/>
                        </w:rPr>
                        <w:t xml:space="preserve">المصدر: </w:t>
                      </w:r>
                      <w:r>
                        <w:rPr>
                          <w:rFonts w:hint="cs"/>
                          <w:sz w:val="8"/>
                          <w:szCs w:val="24"/>
                          <w:rtl/>
                          <w:lang w:val="en-US"/>
                        </w:rPr>
                        <w:t>(الباحث، 2022)</w:t>
                      </w:r>
                      <w:r>
                        <w:rPr>
                          <w:rFonts w:hint="cs"/>
                          <w:szCs w:val="24"/>
                          <w:rtl/>
                          <w:lang w:bidi="ar-DZ"/>
                        </w:rPr>
                        <w:t xml:space="preserve">     </w:t>
                      </w:r>
                      <w:r>
                        <w:rPr>
                          <w:noProof/>
                          <w:szCs w:val="24"/>
                          <w:lang w:eastAsia="fr-FR"/>
                        </w:rPr>
                        <w:drawing>
                          <wp:inline distT="0" distB="0" distL="0" distR="0" wp14:anchorId="1836C651" wp14:editId="0862D77D">
                            <wp:extent cx="2996774" cy="3657600"/>
                            <wp:effectExtent l="0" t="0" r="0" b="0"/>
                            <wp:docPr id="248"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07" cstate="print">
                                      <a:extLst>
                                        <a:ext uri="{28A0092B-C50C-407E-A947-70E740481C1C}">
                                          <a14:useLocalDpi xmlns:a14="http://schemas.microsoft.com/office/drawing/2010/main" val="0"/>
                                        </a:ext>
                                      </a:extLst>
                                    </a:blip>
                                    <a:srcRect t="8467"/>
                                    <a:stretch/>
                                  </pic:blipFill>
                                  <pic:spPr bwMode="auto">
                                    <a:xfrm>
                                      <a:off x="0" y="0"/>
                                      <a:ext cx="2996774" cy="3657600"/>
                                    </a:xfrm>
                                    <a:prstGeom prst="rect">
                                      <a:avLst/>
                                    </a:prstGeom>
                                    <a:noFill/>
                                    <a:ln>
                                      <a:noFill/>
                                    </a:ln>
                                    <a:extLst>
                                      <a:ext uri="{53640926-AAD7-44D8-BBD7-CCE9431645EC}">
                                        <a14:shadowObscured xmlns:a14="http://schemas.microsoft.com/office/drawing/2010/main"/>
                                      </a:ext>
                                    </a:extLst>
                                  </pic:spPr>
                                </pic:pic>
                              </a:graphicData>
                            </a:graphic>
                          </wp:inline>
                        </w:drawing>
                      </w:r>
                      <w:bookmarkEnd w:id="892"/>
                    </w:p>
                    <w:p w:rsidR="00D13702" w:rsidRDefault="00D13702" w:rsidP="00ED3102">
                      <w:pPr>
                        <w:ind w:left="-188"/>
                        <w:rPr>
                          <w:lang w:bidi="ar-DZ"/>
                        </w:rPr>
                      </w:pPr>
                    </w:p>
                  </w:txbxContent>
                </v:textbox>
              </v:shape>
            </w:pict>
          </mc:Fallback>
        </mc:AlternateContent>
      </w:r>
      <w:r w:rsidRPr="00A30B24">
        <w:rPr>
          <w:rFonts w:ascii="Simplified Arabic" w:hAnsi="Simplified Arabic" w:cs="Simplified Arabic"/>
          <w:noProof/>
          <w:sz w:val="24"/>
          <w:szCs w:val="24"/>
          <w:rtl/>
          <w:lang w:eastAsia="fr-FR"/>
        </w:rPr>
        <mc:AlternateContent>
          <mc:Choice Requires="wps">
            <w:drawing>
              <wp:anchor distT="0" distB="0" distL="114300" distR="114300" simplePos="0" relativeHeight="251693568" behindDoc="0" locked="0" layoutInCell="1" allowOverlap="1" wp14:anchorId="4D7576C9" wp14:editId="2E5AED57">
                <wp:simplePos x="0" y="0"/>
                <wp:positionH relativeFrom="column">
                  <wp:posOffset>3161797</wp:posOffset>
                </wp:positionH>
                <wp:positionV relativeFrom="paragraph">
                  <wp:posOffset>9429</wp:posOffset>
                </wp:positionV>
                <wp:extent cx="2552065" cy="4779010"/>
                <wp:effectExtent l="0" t="0" r="19685" b="21590"/>
                <wp:wrapNone/>
                <wp:docPr id="292" name="Zone de texte 292"/>
                <wp:cNvGraphicFramePr/>
                <a:graphic xmlns:a="http://schemas.openxmlformats.org/drawingml/2006/main">
                  <a:graphicData uri="http://schemas.microsoft.com/office/word/2010/wordprocessingShape">
                    <wps:wsp>
                      <wps:cNvSpPr txBox="1"/>
                      <wps:spPr>
                        <a:xfrm>
                          <a:off x="0" y="0"/>
                          <a:ext cx="2552065" cy="4779010"/>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Pr="00A251AC" w:rsidRDefault="00D13702" w:rsidP="00A251AC">
                            <w:pPr>
                              <w:pStyle w:val="fegure"/>
                              <w:rPr>
                                <w:sz w:val="22"/>
                                <w:szCs w:val="22"/>
                                <w:rtl/>
                                <w:lang w:val="en-US" w:bidi="ar-DZ"/>
                              </w:rPr>
                            </w:pPr>
                            <w:bookmarkStart w:id="875" w:name="_Toc157608370"/>
                            <w:bookmarkStart w:id="876" w:name="_Toc157790927"/>
                            <w:bookmarkStart w:id="877" w:name="_Toc171803834"/>
                            <w:r w:rsidRPr="00A251AC">
                              <w:rPr>
                                <w:rFonts w:hint="cs"/>
                                <w:sz w:val="22"/>
                                <w:szCs w:val="22"/>
                                <w:rtl/>
                                <w:lang w:bidi="ar-DZ"/>
                              </w:rPr>
                              <w:t xml:space="preserve">الشكل (6-18) </w:t>
                            </w:r>
                            <w:r w:rsidRPr="00A251AC">
                              <w:rPr>
                                <w:rFonts w:hint="cs"/>
                                <w:sz w:val="22"/>
                                <w:szCs w:val="22"/>
                                <w:rtl/>
                                <w:lang w:val="en-US" w:bidi="ar-DZ"/>
                              </w:rPr>
                              <w:t>تحليل الجار الاقرب</w:t>
                            </w:r>
                            <w:bookmarkEnd w:id="875"/>
                            <w:bookmarkEnd w:id="876"/>
                            <w:bookmarkEnd w:id="877"/>
                            <w:r w:rsidRPr="00A251AC">
                              <w:rPr>
                                <w:rFonts w:hint="cs"/>
                                <w:sz w:val="22"/>
                                <w:szCs w:val="22"/>
                                <w:rtl/>
                                <w:lang w:val="en-US" w:bidi="ar-DZ"/>
                              </w:rPr>
                              <w:t xml:space="preserve"> </w:t>
                            </w:r>
                          </w:p>
                          <w:p w:rsidR="00D13702" w:rsidRDefault="00D13702" w:rsidP="00A251AC">
                            <w:pPr>
                              <w:pStyle w:val="fegure"/>
                              <w:rPr>
                                <w:rFonts w:asciiTheme="majorBidi" w:eastAsia="Times New Roman" w:hAnsiTheme="majorBidi" w:cstheme="majorBidi"/>
                                <w:b/>
                                <w:sz w:val="22"/>
                                <w:szCs w:val="22"/>
                                <w:lang w:val="en-US" w:eastAsia="fr-FR"/>
                              </w:rPr>
                            </w:pPr>
                            <w:bookmarkStart w:id="878" w:name="_Toc157608371"/>
                            <w:bookmarkStart w:id="879" w:name="_Toc157790928"/>
                            <w:bookmarkStart w:id="880" w:name="_Toc171803835"/>
                            <w:r w:rsidRPr="00A251AC">
                              <w:rPr>
                                <w:rFonts w:hint="cs"/>
                                <w:sz w:val="22"/>
                                <w:szCs w:val="22"/>
                                <w:rtl/>
                                <w:lang w:val="en-US" w:bidi="ar-DZ"/>
                              </w:rPr>
                              <w:t xml:space="preserve">لمعيار </w:t>
                            </w:r>
                            <w:r w:rsidRPr="00A251AC">
                              <w:rPr>
                                <w:sz w:val="22"/>
                                <w:szCs w:val="22"/>
                                <w:rtl/>
                                <w:lang w:val="en-US" w:bidi="ar-DZ"/>
                              </w:rPr>
                              <w:t>الإنقاذ والإجلاء</w:t>
                            </w:r>
                            <w:r w:rsidRPr="00A251AC">
                              <w:rPr>
                                <w:rFonts w:eastAsia="Times New Roman"/>
                                <w:b/>
                                <w:sz w:val="22"/>
                                <w:szCs w:val="22"/>
                                <w:lang w:val="en-US" w:eastAsia="fr-FR"/>
                              </w:rPr>
                              <w:t xml:space="preserve"> </w:t>
                            </w:r>
                            <w:r w:rsidRPr="00A251AC">
                              <w:rPr>
                                <w:rFonts w:asciiTheme="majorBidi" w:eastAsia="Times New Roman" w:hAnsiTheme="majorBidi" w:cstheme="majorBidi"/>
                                <w:b/>
                                <w:sz w:val="22"/>
                                <w:szCs w:val="22"/>
                                <w:lang w:val="en-US" w:eastAsia="fr-FR"/>
                              </w:rPr>
                              <w:t>C2</w:t>
                            </w:r>
                            <w:bookmarkEnd w:id="878"/>
                            <w:bookmarkEnd w:id="879"/>
                            <w:bookmarkEnd w:id="880"/>
                          </w:p>
                          <w:p w:rsidR="00D13702" w:rsidRPr="00986BEA" w:rsidRDefault="00D13702" w:rsidP="00986BEA">
                            <w:pPr>
                              <w:pStyle w:val="fegure"/>
                              <w:rPr>
                                <w:sz w:val="8"/>
                                <w:szCs w:val="24"/>
                                <w:rtl/>
                                <w:lang w:val="en-US"/>
                              </w:rPr>
                            </w:pPr>
                            <w:bookmarkStart w:id="881" w:name="_Toc171803836"/>
                            <w:r>
                              <w:rPr>
                                <w:rFonts w:hint="cs"/>
                                <w:sz w:val="8"/>
                                <w:szCs w:val="24"/>
                                <w:rtl/>
                                <w:lang w:val="en-US" w:bidi="ar-DZ"/>
                              </w:rPr>
                              <w:t xml:space="preserve">المصدر: </w:t>
                            </w:r>
                            <w:r>
                              <w:rPr>
                                <w:rFonts w:hint="cs"/>
                                <w:sz w:val="8"/>
                                <w:szCs w:val="24"/>
                                <w:rtl/>
                                <w:lang w:val="en-US"/>
                              </w:rPr>
                              <w:t>(الباحث، 2022)</w:t>
                            </w:r>
                            <w:bookmarkEnd w:id="881"/>
                          </w:p>
                          <w:p w:rsidR="00D13702" w:rsidRDefault="00D13702" w:rsidP="00976B6A">
                            <w:pPr>
                              <w:bidi/>
                              <w:spacing w:after="0" w:line="240" w:lineRule="auto"/>
                              <w:jc w:val="center"/>
                            </w:pPr>
                            <w:r>
                              <w:rPr>
                                <w:noProof/>
                                <w:lang w:eastAsia="fr-FR"/>
                              </w:rPr>
                              <w:drawing>
                                <wp:inline distT="0" distB="0" distL="0" distR="0" wp14:anchorId="56581AB6" wp14:editId="0D05AD29">
                                  <wp:extent cx="2328863" cy="3855576"/>
                                  <wp:effectExtent l="19050" t="19050" r="14605" b="12065"/>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8" cstate="print">
                                            <a:extLst>
                                              <a:ext uri="{28A0092B-C50C-407E-A947-70E740481C1C}">
                                                <a14:useLocalDpi xmlns:a14="http://schemas.microsoft.com/office/drawing/2010/main" val="0"/>
                                              </a:ext>
                                            </a:extLst>
                                          </a:blip>
                                          <a:stretch>
                                            <a:fillRect/>
                                          </a:stretch>
                                        </pic:blipFill>
                                        <pic:spPr>
                                          <a:xfrm>
                                            <a:off x="0" y="0"/>
                                            <a:ext cx="2328863" cy="3855576"/>
                                          </a:xfrm>
                                          <a:prstGeom prst="rect">
                                            <a:avLst/>
                                          </a:prstGeom>
                                          <a:ln>
                                            <a:solidFill>
                                              <a:schemeClr val="tx1"/>
                                            </a:solid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92" o:spid="_x0000_s1060" type="#_x0000_t202" style="position:absolute;left:0;text-align:left;margin-left:248.95pt;margin-top:.75pt;width:200.95pt;height:376.3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" fillcolor="white [3201]" strokecolor="black [3213]" strokeweight=".25pt">
                <v:textbox>
                  <w:txbxContent>
                    <w:p w:rsidR="00D13702" w:rsidRPr="00A251AC" w:rsidRDefault="00D13702" w:rsidP="00A251AC">
                      <w:pPr>
                        <w:pStyle w:val="fegure"/>
                        <w:rPr>
                          <w:sz w:val="22"/>
                          <w:szCs w:val="22"/>
                          <w:rtl/>
                          <w:lang w:val="en-US" w:bidi="ar-DZ"/>
                        </w:rPr>
                      </w:pPr>
                      <w:bookmarkStart w:id="900" w:name="_Toc157608370"/>
                      <w:bookmarkStart w:id="901" w:name="_Toc157790927"/>
                      <w:bookmarkStart w:id="902" w:name="_Toc171803834"/>
                      <w:r w:rsidRPr="00A251AC">
                        <w:rPr>
                          <w:rFonts w:hint="cs"/>
                          <w:sz w:val="22"/>
                          <w:szCs w:val="22"/>
                          <w:rtl/>
                          <w:lang w:bidi="ar-DZ"/>
                        </w:rPr>
                        <w:t xml:space="preserve">الشكل (6-18) </w:t>
                      </w:r>
                      <w:r w:rsidRPr="00A251AC">
                        <w:rPr>
                          <w:rFonts w:hint="cs"/>
                          <w:sz w:val="22"/>
                          <w:szCs w:val="22"/>
                          <w:rtl/>
                          <w:lang w:val="en-US" w:bidi="ar-DZ"/>
                        </w:rPr>
                        <w:t>تحليل الجار الاقرب</w:t>
                      </w:r>
                      <w:bookmarkEnd w:id="900"/>
                      <w:bookmarkEnd w:id="901"/>
                      <w:bookmarkEnd w:id="902"/>
                      <w:r w:rsidRPr="00A251AC">
                        <w:rPr>
                          <w:rFonts w:hint="cs"/>
                          <w:sz w:val="22"/>
                          <w:szCs w:val="22"/>
                          <w:rtl/>
                          <w:lang w:val="en-US" w:bidi="ar-DZ"/>
                        </w:rPr>
                        <w:t xml:space="preserve"> </w:t>
                      </w:r>
                    </w:p>
                    <w:p w:rsidR="00D13702" w:rsidRDefault="00D13702" w:rsidP="00A251AC">
                      <w:pPr>
                        <w:pStyle w:val="fegure"/>
                        <w:rPr>
                          <w:rFonts w:asciiTheme="majorBidi" w:eastAsia="Times New Roman" w:hAnsiTheme="majorBidi" w:cstheme="majorBidi"/>
                          <w:b/>
                          <w:sz w:val="22"/>
                          <w:szCs w:val="22"/>
                          <w:lang w:val="en-US" w:eastAsia="fr-FR"/>
                        </w:rPr>
                      </w:pPr>
                      <w:bookmarkStart w:id="903" w:name="_Toc157608371"/>
                      <w:bookmarkStart w:id="904" w:name="_Toc157790928"/>
                      <w:bookmarkStart w:id="905" w:name="_Toc171803835"/>
                      <w:r w:rsidRPr="00A251AC">
                        <w:rPr>
                          <w:rFonts w:hint="cs"/>
                          <w:sz w:val="22"/>
                          <w:szCs w:val="22"/>
                          <w:rtl/>
                          <w:lang w:val="en-US" w:bidi="ar-DZ"/>
                        </w:rPr>
                        <w:t xml:space="preserve">لمعيار </w:t>
                      </w:r>
                      <w:r w:rsidRPr="00A251AC">
                        <w:rPr>
                          <w:sz w:val="22"/>
                          <w:szCs w:val="22"/>
                          <w:rtl/>
                          <w:lang w:val="en-US" w:bidi="ar-DZ"/>
                        </w:rPr>
                        <w:t>الإنقاذ والإجلاء</w:t>
                      </w:r>
                      <w:r w:rsidRPr="00A251AC">
                        <w:rPr>
                          <w:rFonts w:eastAsia="Times New Roman"/>
                          <w:b/>
                          <w:sz w:val="22"/>
                          <w:szCs w:val="22"/>
                          <w:lang w:val="en-US" w:eastAsia="fr-FR"/>
                        </w:rPr>
                        <w:t xml:space="preserve"> </w:t>
                      </w:r>
                      <w:r w:rsidRPr="00A251AC">
                        <w:rPr>
                          <w:rFonts w:asciiTheme="majorBidi" w:eastAsia="Times New Roman" w:hAnsiTheme="majorBidi" w:cstheme="majorBidi"/>
                          <w:b/>
                          <w:sz w:val="22"/>
                          <w:szCs w:val="22"/>
                          <w:lang w:val="en-US" w:eastAsia="fr-FR"/>
                        </w:rPr>
                        <w:t>C2</w:t>
                      </w:r>
                      <w:bookmarkEnd w:id="903"/>
                      <w:bookmarkEnd w:id="904"/>
                      <w:bookmarkEnd w:id="905"/>
                    </w:p>
                    <w:p w:rsidR="00D13702" w:rsidRPr="00986BEA" w:rsidRDefault="00D13702" w:rsidP="00986BEA">
                      <w:pPr>
                        <w:pStyle w:val="fegure"/>
                        <w:rPr>
                          <w:sz w:val="8"/>
                          <w:szCs w:val="24"/>
                          <w:rtl/>
                          <w:lang w:val="en-US"/>
                        </w:rPr>
                      </w:pPr>
                      <w:bookmarkStart w:id="906" w:name="_Toc171803836"/>
                      <w:r>
                        <w:rPr>
                          <w:rFonts w:hint="cs"/>
                          <w:sz w:val="8"/>
                          <w:szCs w:val="24"/>
                          <w:rtl/>
                          <w:lang w:val="en-US" w:bidi="ar-DZ"/>
                        </w:rPr>
                        <w:t xml:space="preserve">المصدر: </w:t>
                      </w:r>
                      <w:r>
                        <w:rPr>
                          <w:rFonts w:hint="cs"/>
                          <w:sz w:val="8"/>
                          <w:szCs w:val="24"/>
                          <w:rtl/>
                          <w:lang w:val="en-US"/>
                        </w:rPr>
                        <w:t>(الباحث، 2022)</w:t>
                      </w:r>
                      <w:bookmarkEnd w:id="906"/>
                    </w:p>
                    <w:p w:rsidR="00D13702" w:rsidRDefault="00D13702" w:rsidP="00976B6A">
                      <w:pPr>
                        <w:bidi/>
                        <w:spacing w:after="0" w:line="240" w:lineRule="auto"/>
                        <w:jc w:val="center"/>
                      </w:pPr>
                      <w:r>
                        <w:rPr>
                          <w:noProof/>
                          <w:lang w:eastAsia="fr-FR"/>
                        </w:rPr>
                        <w:drawing>
                          <wp:inline distT="0" distB="0" distL="0" distR="0" wp14:anchorId="5993F8FB" wp14:editId="1CC38C2E">
                            <wp:extent cx="2328863" cy="3855576"/>
                            <wp:effectExtent l="19050" t="19050" r="14605" b="12065"/>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9" cstate="print">
                                      <a:extLst>
                                        <a:ext uri="{28A0092B-C50C-407E-A947-70E740481C1C}">
                                          <a14:useLocalDpi xmlns:a14="http://schemas.microsoft.com/office/drawing/2010/main" val="0"/>
                                        </a:ext>
                                      </a:extLst>
                                    </a:blip>
                                    <a:stretch>
                                      <a:fillRect/>
                                    </a:stretch>
                                  </pic:blipFill>
                                  <pic:spPr>
                                    <a:xfrm>
                                      <a:off x="0" y="0"/>
                                      <a:ext cx="2328863" cy="3855576"/>
                                    </a:xfrm>
                                    <a:prstGeom prst="rect">
                                      <a:avLst/>
                                    </a:prstGeom>
                                    <a:ln>
                                      <a:solidFill>
                                        <a:schemeClr val="tx1"/>
                                      </a:solidFill>
                                    </a:ln>
                                  </pic:spPr>
                                </pic:pic>
                              </a:graphicData>
                            </a:graphic>
                          </wp:inline>
                        </w:drawing>
                      </w:r>
                    </w:p>
                  </w:txbxContent>
                </v:textbox>
              </v:shape>
            </w:pict>
          </mc:Fallback>
        </mc:AlternateContent>
      </w: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214539">
      <w:pPr>
        <w:tabs>
          <w:tab w:val="right" w:pos="4252"/>
        </w:tabs>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214539">
      <w:pPr>
        <w:tabs>
          <w:tab w:val="right" w:pos="4252"/>
        </w:tabs>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976B6A" w:rsidRDefault="00976B6A" w:rsidP="00976B6A">
      <w:pPr>
        <w:autoSpaceDE w:val="0"/>
        <w:autoSpaceDN w:val="0"/>
        <w:bidi/>
        <w:adjustRightInd w:val="0"/>
        <w:spacing w:after="0"/>
        <w:ind w:firstLine="283"/>
        <w:jc w:val="both"/>
        <w:rPr>
          <w:noProof/>
          <w:rtl/>
          <w:lang w:eastAsia="fr-FR"/>
        </w:rPr>
      </w:pPr>
    </w:p>
    <w:p w:rsidR="00860073" w:rsidRDefault="00860073" w:rsidP="00ED3102">
      <w:pPr>
        <w:autoSpaceDE w:val="0"/>
        <w:autoSpaceDN w:val="0"/>
        <w:bidi/>
        <w:adjustRightInd w:val="0"/>
        <w:spacing w:before="240" w:after="0"/>
        <w:jc w:val="both"/>
        <w:rPr>
          <w:rFonts w:ascii="Simplified Arabic" w:hAnsi="Simplified Arabic" w:cs="Simplified Arabic"/>
          <w:sz w:val="24"/>
          <w:szCs w:val="24"/>
          <w:rtl/>
          <w:lang w:bidi="ar-DZ"/>
        </w:rPr>
      </w:pPr>
    </w:p>
    <w:p w:rsidR="00482FC6" w:rsidRDefault="00482FC6" w:rsidP="00482FC6">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482FC6" w:rsidRDefault="00482FC6" w:rsidP="00482FC6">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jc w:val="both"/>
        <w:rPr>
          <w:rFonts w:ascii="Simplified Arabic" w:hAnsi="Simplified Arabic" w:cs="Simplified Arabic"/>
          <w:sz w:val="24"/>
          <w:szCs w:val="24"/>
          <w:rtl/>
          <w:lang w:bidi="ar-DZ"/>
        </w:rPr>
      </w:pPr>
    </w:p>
    <w:p w:rsidR="00ED3102" w:rsidRDefault="00ED3102" w:rsidP="00ED3102">
      <w:pPr>
        <w:tabs>
          <w:tab w:val="right" w:pos="4252"/>
        </w:tabs>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482FC6" w:rsidRPr="00ED3102" w:rsidRDefault="005A0491" w:rsidP="00482FC6">
      <w:pPr>
        <w:pStyle w:val="Paragraphedeliste"/>
        <w:numPr>
          <w:ilvl w:val="0"/>
          <w:numId w:val="69"/>
        </w:numPr>
        <w:autoSpaceDE w:val="0"/>
        <w:autoSpaceDN w:val="0"/>
        <w:bidi/>
        <w:adjustRightInd w:val="0"/>
        <w:spacing w:before="240" w:after="0"/>
        <w:ind w:left="0" w:firstLine="283"/>
        <w:jc w:val="both"/>
        <w:rPr>
          <w:rFonts w:ascii="Simplified Arabic" w:hAnsi="Simplified Arabic" w:cs="Simplified Arabic"/>
          <w:sz w:val="24"/>
          <w:szCs w:val="24"/>
          <w:rtl/>
        </w:rPr>
      </w:pPr>
      <w:r w:rsidRPr="00ED3102">
        <w:rPr>
          <w:rFonts w:ascii="Simplified Arabic" w:hAnsi="Simplified Arabic" w:cs="Simplified Arabic" w:hint="cs"/>
          <w:sz w:val="24"/>
          <w:szCs w:val="24"/>
          <w:rtl/>
          <w:lang w:bidi="ar-DZ"/>
        </w:rPr>
        <w:lastRenderedPageBreak/>
        <w:t xml:space="preserve">بعد تحليل صلة الجوار لمواقع معيار </w:t>
      </w:r>
      <w:r w:rsidRPr="00ED3102">
        <w:rPr>
          <w:rFonts w:ascii="Simplified Arabic" w:hAnsi="Simplified Arabic" w:cs="Simplified Arabic"/>
          <w:sz w:val="24"/>
          <w:szCs w:val="24"/>
          <w:rtl/>
          <w:lang w:bidi="ar-DZ"/>
        </w:rPr>
        <w:t>الأمن</w:t>
      </w:r>
      <w:r w:rsidR="00C577E6" w:rsidRPr="00ED3102">
        <w:rPr>
          <w:rFonts w:ascii="Simplified Arabic" w:hAnsi="Simplified Arabic" w:cs="Simplified Arabic" w:hint="cs"/>
          <w:sz w:val="24"/>
          <w:szCs w:val="24"/>
          <w:rtl/>
        </w:rPr>
        <w:t>، الشكل (6-</w:t>
      </w:r>
      <w:r w:rsidR="005373F7" w:rsidRPr="00ED3102">
        <w:rPr>
          <w:rFonts w:ascii="Simplified Arabic" w:hAnsi="Simplified Arabic" w:cs="Simplified Arabic" w:hint="cs"/>
          <w:sz w:val="24"/>
          <w:szCs w:val="24"/>
          <w:rtl/>
        </w:rPr>
        <w:t>19</w:t>
      </w:r>
      <w:r w:rsidR="00C577E6" w:rsidRPr="00ED3102">
        <w:rPr>
          <w:rFonts w:ascii="Simplified Arabic" w:hAnsi="Simplified Arabic" w:cs="Simplified Arabic" w:hint="cs"/>
          <w:sz w:val="24"/>
          <w:szCs w:val="24"/>
          <w:rtl/>
        </w:rPr>
        <w:t>)</w:t>
      </w:r>
      <w:r w:rsidRPr="00ED3102">
        <w:rPr>
          <w:rFonts w:ascii="Simplified Arabic" w:hAnsi="Simplified Arabic" w:cs="Simplified Arabic" w:hint="cs"/>
          <w:sz w:val="24"/>
          <w:szCs w:val="24"/>
          <w:rtl/>
          <w:lang w:bidi="ar-DZ"/>
        </w:rPr>
        <w:t xml:space="preserve">، تبين ان قيمة متوسط المسافة الحقيقية بين المواقع لذات المعيار قد بلغت </w:t>
      </w:r>
      <w:r w:rsidR="00F15019" w:rsidRPr="00ED3102">
        <w:rPr>
          <w:rFonts w:ascii="Simplified Arabic" w:hAnsi="Simplified Arabic" w:cs="Simplified Arabic" w:hint="cs"/>
          <w:sz w:val="24"/>
          <w:szCs w:val="24"/>
          <w:rtl/>
          <w:lang w:bidi="ar-DZ"/>
        </w:rPr>
        <w:t>1353</w:t>
      </w:r>
      <w:r w:rsidRPr="00ED3102">
        <w:rPr>
          <w:rFonts w:ascii="Simplified Arabic" w:hAnsi="Simplified Arabic" w:cs="Simplified Arabic" w:hint="cs"/>
          <w:sz w:val="24"/>
          <w:szCs w:val="24"/>
          <w:rtl/>
          <w:lang w:bidi="ar-DZ"/>
        </w:rPr>
        <w:t>.</w:t>
      </w:r>
      <w:r w:rsidR="00F15019" w:rsidRPr="00ED3102">
        <w:rPr>
          <w:rFonts w:ascii="Simplified Arabic" w:hAnsi="Simplified Arabic" w:cs="Simplified Arabic" w:hint="cs"/>
          <w:sz w:val="24"/>
          <w:szCs w:val="24"/>
          <w:rtl/>
          <w:lang w:bidi="ar-DZ"/>
        </w:rPr>
        <w:t>11</w:t>
      </w:r>
      <w:r w:rsidRPr="00ED3102">
        <w:rPr>
          <w:rFonts w:ascii="Simplified Arabic" w:hAnsi="Simplified Arabic" w:cs="Simplified Arabic" w:hint="cs"/>
          <w:sz w:val="24"/>
          <w:szCs w:val="24"/>
          <w:rtl/>
          <w:lang w:bidi="ar-DZ"/>
        </w:rPr>
        <w:t xml:space="preserve"> متر التي كانت </w:t>
      </w:r>
      <w:r w:rsidR="00F15019" w:rsidRPr="00ED3102">
        <w:rPr>
          <w:rFonts w:ascii="Simplified Arabic" w:hAnsi="Simplified Arabic" w:cs="Simplified Arabic" w:hint="cs"/>
          <w:sz w:val="24"/>
          <w:szCs w:val="24"/>
          <w:rtl/>
          <w:lang w:bidi="ar-DZ"/>
        </w:rPr>
        <w:t>اكبر</w:t>
      </w:r>
      <w:r w:rsidRPr="00ED3102">
        <w:rPr>
          <w:rFonts w:ascii="Simplified Arabic" w:hAnsi="Simplified Arabic" w:cs="Simplified Arabic" w:hint="cs"/>
          <w:sz w:val="24"/>
          <w:szCs w:val="24"/>
          <w:rtl/>
          <w:lang w:bidi="ar-DZ"/>
        </w:rPr>
        <w:t xml:space="preserve"> من </w:t>
      </w:r>
      <w:r w:rsidR="00750146" w:rsidRPr="00ED3102">
        <w:rPr>
          <w:rFonts w:ascii="Simplified Arabic" w:hAnsi="Simplified Arabic" w:cs="Simplified Arabic" w:hint="cs"/>
          <w:sz w:val="24"/>
          <w:szCs w:val="24"/>
          <w:rtl/>
        </w:rPr>
        <w:t xml:space="preserve">قيمة </w:t>
      </w:r>
      <w:r w:rsidRPr="00ED3102">
        <w:rPr>
          <w:rFonts w:ascii="Simplified Arabic" w:hAnsi="Simplified Arabic" w:cs="Simplified Arabic" w:hint="cs"/>
          <w:sz w:val="24"/>
          <w:szCs w:val="24"/>
          <w:rtl/>
          <w:lang w:bidi="ar-DZ"/>
        </w:rPr>
        <w:t xml:space="preserve">المسافة المتوقعة البالغة </w:t>
      </w:r>
      <w:r w:rsidR="00F15019" w:rsidRPr="00ED3102">
        <w:rPr>
          <w:rFonts w:ascii="Simplified Arabic" w:hAnsi="Simplified Arabic" w:cs="Simplified Arabic" w:hint="cs"/>
          <w:sz w:val="24"/>
          <w:szCs w:val="24"/>
          <w:rtl/>
          <w:lang w:bidi="ar-DZ"/>
        </w:rPr>
        <w:t>641</w:t>
      </w:r>
      <w:r w:rsidRPr="00ED3102">
        <w:rPr>
          <w:rFonts w:ascii="Simplified Arabic" w:hAnsi="Simplified Arabic" w:cs="Simplified Arabic" w:hint="cs"/>
          <w:sz w:val="24"/>
          <w:szCs w:val="24"/>
          <w:rtl/>
          <w:lang w:bidi="ar-DZ"/>
        </w:rPr>
        <w:t>.</w:t>
      </w:r>
      <w:r w:rsidR="00F15019" w:rsidRPr="00ED3102">
        <w:rPr>
          <w:rFonts w:ascii="Simplified Arabic" w:hAnsi="Simplified Arabic" w:cs="Simplified Arabic" w:hint="cs"/>
          <w:sz w:val="24"/>
          <w:szCs w:val="24"/>
          <w:rtl/>
          <w:lang w:bidi="ar-DZ"/>
        </w:rPr>
        <w:t>57</w:t>
      </w:r>
      <w:r w:rsidRPr="00ED3102">
        <w:rPr>
          <w:rFonts w:ascii="Simplified Arabic" w:hAnsi="Simplified Arabic" w:cs="Simplified Arabic" w:hint="cs"/>
          <w:sz w:val="24"/>
          <w:szCs w:val="24"/>
          <w:rtl/>
          <w:lang w:bidi="ar-DZ"/>
        </w:rPr>
        <w:t xml:space="preserve"> متر</w:t>
      </w:r>
      <w:r w:rsidR="00F15019" w:rsidRPr="00ED3102">
        <w:rPr>
          <w:rFonts w:ascii="Simplified Arabic" w:hAnsi="Simplified Arabic" w:cs="Simplified Arabic" w:hint="cs"/>
          <w:sz w:val="24"/>
          <w:szCs w:val="24"/>
          <w:rtl/>
          <w:lang w:bidi="ar-DZ"/>
        </w:rPr>
        <w:t>،</w:t>
      </w:r>
      <w:r w:rsidRPr="00ED3102">
        <w:rPr>
          <w:rFonts w:ascii="Simplified Arabic" w:hAnsi="Simplified Arabic" w:cs="Simplified Arabic" w:hint="cs"/>
          <w:sz w:val="24"/>
          <w:szCs w:val="24"/>
          <w:rtl/>
          <w:lang w:bidi="ar-DZ"/>
        </w:rPr>
        <w:t xml:space="preserve"> منح</w:t>
      </w:r>
      <w:r w:rsidR="00EB2B12" w:rsidRPr="00ED3102">
        <w:rPr>
          <w:rFonts w:ascii="Simplified Arabic" w:hAnsi="Simplified Arabic" w:cs="Simplified Arabic" w:hint="cs"/>
          <w:sz w:val="24"/>
          <w:szCs w:val="24"/>
          <w:rtl/>
          <w:lang w:bidi="ar-DZ"/>
        </w:rPr>
        <w:t>ت</w:t>
      </w:r>
      <w:r w:rsidRPr="00ED3102">
        <w:rPr>
          <w:rFonts w:ascii="Simplified Arabic" w:hAnsi="Simplified Arabic" w:cs="Simplified Arabic" w:hint="cs"/>
          <w:sz w:val="24"/>
          <w:szCs w:val="24"/>
          <w:rtl/>
          <w:lang w:bidi="ar-DZ"/>
        </w:rPr>
        <w:t xml:space="preserve"> نسبة جار اقرب تساوي </w:t>
      </w:r>
      <w:r w:rsidR="00F15019" w:rsidRPr="00ED3102">
        <w:rPr>
          <w:rFonts w:ascii="Simplified Arabic" w:hAnsi="Simplified Arabic" w:cs="Simplified Arabic" w:hint="cs"/>
          <w:sz w:val="24"/>
          <w:szCs w:val="24"/>
          <w:rtl/>
          <w:lang w:bidi="ar-DZ"/>
        </w:rPr>
        <w:t>2</w:t>
      </w:r>
      <w:r w:rsidRPr="00ED3102">
        <w:rPr>
          <w:rFonts w:ascii="Simplified Arabic" w:hAnsi="Simplified Arabic" w:cs="Simplified Arabic" w:hint="cs"/>
          <w:sz w:val="24"/>
          <w:szCs w:val="24"/>
          <w:rtl/>
          <w:lang w:bidi="ar-DZ"/>
        </w:rPr>
        <w:t>.</w:t>
      </w:r>
      <w:r w:rsidR="00F15019" w:rsidRPr="00ED3102">
        <w:rPr>
          <w:rFonts w:ascii="Simplified Arabic" w:hAnsi="Simplified Arabic" w:cs="Simplified Arabic" w:hint="cs"/>
          <w:sz w:val="24"/>
          <w:szCs w:val="24"/>
          <w:rtl/>
          <w:lang w:bidi="ar-DZ"/>
        </w:rPr>
        <w:t>11</w:t>
      </w:r>
      <w:r w:rsidRPr="00ED3102">
        <w:rPr>
          <w:rFonts w:ascii="Simplified Arabic" w:hAnsi="Simplified Arabic" w:cs="Simplified Arabic" w:hint="cs"/>
          <w:sz w:val="24"/>
          <w:szCs w:val="24"/>
          <w:rtl/>
          <w:lang w:bidi="ar-DZ"/>
        </w:rPr>
        <w:t xml:space="preserve"> وقيمة </w:t>
      </w:r>
      <w:r w:rsidRPr="00ED3102">
        <w:rPr>
          <w:rFonts w:asciiTheme="majorBidi" w:hAnsiTheme="majorBidi" w:cstheme="majorBidi"/>
          <w:sz w:val="24"/>
          <w:szCs w:val="24"/>
          <w:lang w:bidi="ar-DZ"/>
        </w:rPr>
        <w:t>Z</w:t>
      </w:r>
      <w:r w:rsidRPr="00ED3102">
        <w:rPr>
          <w:rFonts w:ascii="Simplified Arabic" w:hAnsi="Simplified Arabic" w:cs="Simplified Arabic" w:hint="cs"/>
          <w:sz w:val="24"/>
          <w:szCs w:val="24"/>
          <w:rtl/>
          <w:lang w:bidi="ar-DZ"/>
        </w:rPr>
        <w:t xml:space="preserve"> </w:t>
      </w:r>
      <w:r w:rsidR="00F15019" w:rsidRPr="00ED3102">
        <w:rPr>
          <w:rFonts w:ascii="Simplified Arabic" w:hAnsi="Simplified Arabic" w:cs="Simplified Arabic" w:hint="cs"/>
          <w:sz w:val="24"/>
          <w:szCs w:val="24"/>
          <w:rtl/>
          <w:lang w:bidi="ar-DZ"/>
        </w:rPr>
        <w:t xml:space="preserve">موجبة </w:t>
      </w:r>
      <w:r w:rsidRPr="00ED3102">
        <w:rPr>
          <w:rFonts w:ascii="Simplified Arabic" w:hAnsi="Simplified Arabic" w:cs="Simplified Arabic" w:hint="cs"/>
          <w:sz w:val="24"/>
          <w:szCs w:val="24"/>
          <w:rtl/>
          <w:lang w:bidi="ar-DZ"/>
        </w:rPr>
        <w:t xml:space="preserve">قدرت بـ: </w:t>
      </w:r>
      <w:r w:rsidR="00F15019" w:rsidRPr="00ED3102">
        <w:rPr>
          <w:rFonts w:ascii="Simplified Arabic" w:hAnsi="Simplified Arabic" w:cs="Simplified Arabic" w:hint="cs"/>
          <w:sz w:val="24"/>
          <w:szCs w:val="24"/>
          <w:rtl/>
          <w:lang w:bidi="ar-DZ"/>
        </w:rPr>
        <w:t>5</w:t>
      </w:r>
      <w:r w:rsidRPr="00ED3102">
        <w:rPr>
          <w:rFonts w:ascii="Simplified Arabic" w:hAnsi="Simplified Arabic" w:cs="Simplified Arabic" w:hint="cs"/>
          <w:sz w:val="24"/>
          <w:szCs w:val="24"/>
          <w:rtl/>
          <w:lang w:bidi="ar-DZ"/>
        </w:rPr>
        <w:t>.</w:t>
      </w:r>
      <w:r w:rsidR="00F15019" w:rsidRPr="00ED3102">
        <w:rPr>
          <w:rFonts w:ascii="Simplified Arabic" w:hAnsi="Simplified Arabic" w:cs="Simplified Arabic" w:hint="cs"/>
          <w:sz w:val="24"/>
          <w:szCs w:val="24"/>
          <w:rtl/>
          <w:lang w:bidi="ar-DZ"/>
        </w:rPr>
        <w:t>19</w:t>
      </w:r>
      <w:r w:rsidR="009E24B5" w:rsidRPr="00ED3102">
        <w:rPr>
          <w:rFonts w:ascii="Simplified Arabic" w:hAnsi="Simplified Arabic" w:cs="Simplified Arabic" w:hint="cs"/>
          <w:sz w:val="24"/>
          <w:szCs w:val="24"/>
          <w:rtl/>
          <w:lang w:bidi="ar-DZ"/>
        </w:rPr>
        <w:t>.</w:t>
      </w:r>
      <w:r w:rsidRPr="00ED3102">
        <w:rPr>
          <w:rFonts w:ascii="Simplified Arabic" w:hAnsi="Simplified Arabic" w:cs="Simplified Arabic" w:hint="cs"/>
          <w:sz w:val="24"/>
          <w:szCs w:val="24"/>
          <w:rtl/>
          <w:lang w:bidi="ar-DZ"/>
        </w:rPr>
        <w:t xml:space="preserve"> يشير ذلك الى توزيع </w:t>
      </w:r>
      <w:r w:rsidR="00750146" w:rsidRPr="00ED3102">
        <w:rPr>
          <w:rFonts w:ascii="Simplified Arabic" w:hAnsi="Simplified Arabic" w:cs="Simplified Arabic" w:hint="cs"/>
          <w:sz w:val="24"/>
          <w:szCs w:val="24"/>
          <w:rtl/>
          <w:lang w:bidi="ar-DZ"/>
        </w:rPr>
        <w:t>متباعد</w:t>
      </w:r>
      <w:r w:rsidRPr="00ED3102">
        <w:rPr>
          <w:rFonts w:ascii="Simplified Arabic" w:hAnsi="Simplified Arabic" w:cs="Simplified Arabic" w:hint="cs"/>
          <w:sz w:val="24"/>
          <w:szCs w:val="24"/>
          <w:rtl/>
          <w:lang w:bidi="ar-DZ"/>
        </w:rPr>
        <w:t xml:space="preserve"> يتجه ناحية العشوائية لنقاط الظاهرة</w:t>
      </w:r>
      <w:r w:rsidR="00750146" w:rsidRPr="00ED3102">
        <w:rPr>
          <w:rFonts w:ascii="Simplified Arabic" w:hAnsi="Simplified Arabic" w:cs="Simplified Arabic" w:hint="cs"/>
          <w:sz w:val="24"/>
          <w:szCs w:val="24"/>
          <w:rtl/>
          <w:lang w:bidi="ar-DZ"/>
        </w:rPr>
        <w:t>، مع احتمال اقل من 1</w:t>
      </w:r>
      <w:r w:rsidR="00750146" w:rsidRPr="00ED3102">
        <w:rPr>
          <w:rFonts w:ascii="Simplified Arabic" w:hAnsi="Simplified Arabic" w:cs="Simplified Arabic"/>
          <w:sz w:val="24"/>
          <w:szCs w:val="24"/>
          <w:lang w:bidi="ar-DZ"/>
        </w:rPr>
        <w:t>%</w:t>
      </w:r>
      <w:r w:rsidR="00750146" w:rsidRPr="00ED3102">
        <w:rPr>
          <w:rFonts w:ascii="Simplified Arabic" w:hAnsi="Simplified Arabic" w:cs="Simplified Arabic" w:hint="cs"/>
          <w:sz w:val="24"/>
          <w:szCs w:val="24"/>
          <w:rtl/>
          <w:lang w:bidi="ar-DZ"/>
        </w:rPr>
        <w:t xml:space="preserve"> في ان يكون هذا التباعد نتيجة لفرصة عشوائية. </w:t>
      </w:r>
      <w:r w:rsidRPr="00ED3102">
        <w:rPr>
          <w:rFonts w:ascii="Simplified Arabic" w:hAnsi="Simplified Arabic" w:cs="Simplified Arabic" w:hint="cs"/>
          <w:sz w:val="24"/>
          <w:szCs w:val="24"/>
          <w:rtl/>
          <w:lang w:bidi="ar-DZ"/>
        </w:rPr>
        <w:t xml:space="preserve">كما يدل ذلك </w:t>
      </w:r>
      <w:r w:rsidR="00C577E6" w:rsidRPr="00ED3102">
        <w:rPr>
          <w:rFonts w:ascii="Simplified Arabic" w:hAnsi="Simplified Arabic" w:cs="Simplified Arabic" w:hint="cs"/>
          <w:sz w:val="24"/>
          <w:szCs w:val="24"/>
          <w:rtl/>
          <w:lang w:bidi="ar-DZ"/>
        </w:rPr>
        <w:t>على</w:t>
      </w:r>
      <w:r w:rsidRPr="00ED3102">
        <w:rPr>
          <w:rFonts w:ascii="Simplified Arabic" w:hAnsi="Simplified Arabic" w:cs="Simplified Arabic" w:hint="cs"/>
          <w:sz w:val="24"/>
          <w:szCs w:val="24"/>
          <w:rtl/>
          <w:lang w:bidi="ar-DZ"/>
        </w:rPr>
        <w:t xml:space="preserve"> تركز معيار </w:t>
      </w:r>
      <w:r w:rsidR="00750146" w:rsidRPr="00ED3102">
        <w:rPr>
          <w:rFonts w:ascii="Simplified Arabic" w:hAnsi="Simplified Arabic" w:cs="Simplified Arabic" w:hint="cs"/>
          <w:sz w:val="24"/>
          <w:szCs w:val="24"/>
          <w:rtl/>
          <w:lang w:bidi="ar-DZ"/>
        </w:rPr>
        <w:t>الامن</w:t>
      </w:r>
      <w:r w:rsidRPr="00ED3102">
        <w:rPr>
          <w:rFonts w:ascii="Simplified Arabic" w:hAnsi="Simplified Arabic" w:cs="Simplified Arabic" w:hint="cs"/>
          <w:sz w:val="24"/>
          <w:szCs w:val="24"/>
          <w:rtl/>
          <w:lang w:bidi="ar-DZ"/>
        </w:rPr>
        <w:t xml:space="preserve"> في مناطق دون غيرها، حيث تتقارب المسافة بين مجموعة نقاط </w:t>
      </w:r>
      <w:r w:rsidR="00750146" w:rsidRPr="00ED3102">
        <w:rPr>
          <w:rFonts w:ascii="Simplified Arabic" w:hAnsi="Simplified Arabic" w:cs="Simplified Arabic" w:hint="cs"/>
          <w:sz w:val="24"/>
          <w:szCs w:val="24"/>
          <w:rtl/>
          <w:lang w:bidi="ar-DZ"/>
        </w:rPr>
        <w:t>قليلة</w:t>
      </w:r>
      <w:r w:rsidRPr="00ED3102">
        <w:rPr>
          <w:rFonts w:ascii="Simplified Arabic" w:hAnsi="Simplified Arabic" w:cs="Simplified Arabic" w:hint="cs"/>
          <w:sz w:val="24"/>
          <w:szCs w:val="24"/>
          <w:rtl/>
          <w:lang w:bidi="ar-DZ"/>
        </w:rPr>
        <w:t xml:space="preserve"> ضمن مساحة ضيقة</w:t>
      </w:r>
      <w:r w:rsidR="00F15019" w:rsidRPr="00ED3102">
        <w:rPr>
          <w:rFonts w:ascii="Simplified Arabic" w:hAnsi="Simplified Arabic" w:cs="Simplified Arabic" w:hint="cs"/>
          <w:sz w:val="24"/>
          <w:szCs w:val="24"/>
          <w:rtl/>
          <w:lang w:bidi="ar-DZ"/>
        </w:rPr>
        <w:t>،</w:t>
      </w:r>
      <w:r w:rsidRPr="00ED3102">
        <w:rPr>
          <w:rFonts w:ascii="Simplified Arabic" w:hAnsi="Simplified Arabic" w:cs="Simplified Arabic" w:hint="cs"/>
          <w:sz w:val="24"/>
          <w:szCs w:val="24"/>
          <w:rtl/>
          <w:lang w:bidi="ar-DZ"/>
        </w:rPr>
        <w:t xml:space="preserve"> بينما القلة</w:t>
      </w:r>
      <w:r w:rsidR="00750146" w:rsidRPr="00ED3102">
        <w:rPr>
          <w:rFonts w:ascii="Simplified Arabic" w:hAnsi="Simplified Arabic" w:cs="Simplified Arabic" w:hint="cs"/>
          <w:sz w:val="24"/>
          <w:szCs w:val="24"/>
          <w:rtl/>
          <w:lang w:bidi="ar-DZ"/>
        </w:rPr>
        <w:t xml:space="preserve"> الاخرى</w:t>
      </w:r>
      <w:r w:rsidRPr="00ED3102">
        <w:rPr>
          <w:rFonts w:ascii="Simplified Arabic" w:hAnsi="Simplified Arabic" w:cs="Simplified Arabic" w:hint="cs"/>
          <w:sz w:val="24"/>
          <w:szCs w:val="24"/>
          <w:rtl/>
          <w:lang w:bidi="ar-DZ"/>
        </w:rPr>
        <w:t xml:space="preserve"> منها تتباعد المسافة فيما بينها ضمن مساحة شاسعة.</w:t>
      </w:r>
      <w:r w:rsidR="00734EF0" w:rsidRPr="00ED3102">
        <w:rPr>
          <w:rFonts w:ascii="Simplified Arabic" w:hAnsi="Simplified Arabic" w:cs="Simplified Arabic" w:hint="cs"/>
          <w:sz w:val="24"/>
          <w:szCs w:val="24"/>
          <w:rtl/>
        </w:rPr>
        <w:t xml:space="preserve"> </w:t>
      </w:r>
    </w:p>
    <w:p w:rsidR="00734EF0" w:rsidRPr="009E24B5" w:rsidRDefault="0031078D" w:rsidP="00277010">
      <w:pPr>
        <w:tabs>
          <w:tab w:val="right" w:pos="4110"/>
          <w:tab w:val="right" w:pos="4252"/>
        </w:tabs>
        <w:autoSpaceDE w:val="0"/>
        <w:autoSpaceDN w:val="0"/>
        <w:bidi/>
        <w:adjustRightInd w:val="0"/>
        <w:spacing w:after="0"/>
        <w:ind w:firstLine="283"/>
        <w:jc w:val="both"/>
        <w:rPr>
          <w:rFonts w:ascii="Simplified Arabic" w:hAnsi="Simplified Arabic" w:cs="Simplified Arabic"/>
          <w:sz w:val="24"/>
          <w:szCs w:val="24"/>
          <w:lang w:bidi="ar-DZ"/>
        </w:rPr>
      </w:pPr>
      <w:r>
        <w:rPr>
          <w:rFonts w:ascii="Simplified Arabic" w:hAnsi="Simplified Arabic" w:cs="Simplified Arabic" w:hint="cs"/>
          <w:sz w:val="24"/>
          <w:szCs w:val="24"/>
          <w:rtl/>
        </w:rPr>
        <w:t xml:space="preserve">من الناحية المكانية، </w:t>
      </w:r>
      <w:r>
        <w:rPr>
          <w:rFonts w:ascii="Simplified Arabic" w:hAnsi="Simplified Arabic" w:cs="Simplified Arabic" w:hint="cs"/>
          <w:sz w:val="24"/>
          <w:szCs w:val="24"/>
          <w:rtl/>
          <w:lang w:bidi="ar-DZ"/>
        </w:rPr>
        <w:t xml:space="preserve">اظهرت </w:t>
      </w:r>
      <w:r w:rsidR="00734EF0">
        <w:rPr>
          <w:rFonts w:ascii="Simplified Arabic" w:hAnsi="Simplified Arabic" w:cs="Simplified Arabic" w:hint="cs"/>
          <w:sz w:val="24"/>
          <w:szCs w:val="24"/>
          <w:rtl/>
          <w:lang w:bidi="ar-DZ"/>
        </w:rPr>
        <w:t>الخريطة (6-</w:t>
      </w:r>
      <w:r w:rsidR="00456E70">
        <w:rPr>
          <w:rFonts w:ascii="Simplified Arabic" w:hAnsi="Simplified Arabic" w:cs="Simplified Arabic" w:hint="cs"/>
          <w:sz w:val="24"/>
          <w:szCs w:val="24"/>
          <w:rtl/>
          <w:lang w:bidi="ar-DZ"/>
        </w:rPr>
        <w:t>7</w:t>
      </w:r>
      <w:r w:rsidR="00734EF0">
        <w:rPr>
          <w:rFonts w:ascii="Simplified Arabic" w:hAnsi="Simplified Arabic" w:cs="Simplified Arabic" w:hint="cs"/>
          <w:sz w:val="24"/>
          <w:szCs w:val="24"/>
          <w:rtl/>
          <w:lang w:bidi="ar-DZ"/>
        </w:rPr>
        <w:t xml:space="preserve">)، ان مساحة التغطية بالخدمة </w:t>
      </w:r>
      <w:r w:rsidR="00734EF0" w:rsidRPr="00226F93">
        <w:rPr>
          <w:rFonts w:ascii="Simplified Arabic" w:hAnsi="Simplified Arabic" w:cs="Simplified Arabic" w:hint="cs"/>
          <w:sz w:val="24"/>
          <w:szCs w:val="24"/>
          <w:rtl/>
          <w:lang w:bidi="ar-DZ"/>
        </w:rPr>
        <w:t>الامنية على</w:t>
      </w:r>
      <w:r w:rsidR="00734EF0">
        <w:rPr>
          <w:rFonts w:ascii="Simplified Arabic" w:hAnsi="Simplified Arabic" w:cs="Simplified Arabic" w:hint="cs"/>
          <w:sz w:val="24"/>
          <w:szCs w:val="24"/>
          <w:rtl/>
          <w:lang w:bidi="ar-DZ"/>
        </w:rPr>
        <w:t xml:space="preserve"> مستوى حي القصر، بلاتو، والحمايد تختلف من حي سكني الى آخر، فضلا على انها لا تغطي حي</w:t>
      </w:r>
      <w:r w:rsidR="00734EF0" w:rsidRPr="00734EF0">
        <w:rPr>
          <w:rFonts w:ascii="Simplified Arabic" w:hAnsi="Simplified Arabic" w:cs="Simplified Arabic" w:hint="cs"/>
          <w:sz w:val="24"/>
          <w:szCs w:val="24"/>
          <w:rtl/>
          <w:lang w:bidi="ar-DZ"/>
        </w:rPr>
        <w:t xml:space="preserve"> </w:t>
      </w:r>
      <w:r w:rsidR="00734EF0">
        <w:rPr>
          <w:rFonts w:ascii="Simplified Arabic" w:hAnsi="Simplified Arabic" w:cs="Simplified Arabic" w:hint="cs"/>
          <w:sz w:val="24"/>
          <w:szCs w:val="24"/>
          <w:rtl/>
          <w:lang w:bidi="ar-DZ"/>
        </w:rPr>
        <w:t xml:space="preserve">سيدي سليمان. </w:t>
      </w:r>
    </w:p>
    <w:p w:rsidR="005A0491" w:rsidRDefault="005A0491" w:rsidP="00214539">
      <w:pPr>
        <w:tabs>
          <w:tab w:val="right" w:pos="4252"/>
        </w:tabs>
        <w:autoSpaceDE w:val="0"/>
        <w:autoSpaceDN w:val="0"/>
        <w:bidi/>
        <w:adjustRightInd w:val="0"/>
        <w:spacing w:after="0" w:line="240" w:lineRule="auto"/>
        <w:jc w:val="center"/>
        <w:rPr>
          <w:noProof/>
          <w:rtl/>
          <w:lang w:eastAsia="fr-FR"/>
        </w:rPr>
      </w:pPr>
    </w:p>
    <w:p w:rsidR="005A0491" w:rsidRDefault="00C36165" w:rsidP="005A0491">
      <w:pPr>
        <w:tabs>
          <w:tab w:val="right" w:pos="4252"/>
        </w:tabs>
        <w:bidi/>
        <w:spacing w:before="240" w:after="0" w:line="240" w:lineRule="auto"/>
        <w:ind w:firstLine="283"/>
        <w:rPr>
          <w:noProof/>
          <w:rtl/>
          <w:lang w:eastAsia="fr-FR"/>
        </w:rPr>
      </w:pPr>
      <w:r w:rsidRPr="005A0491">
        <w:rPr>
          <w:rFonts w:ascii="Simplified Arabic" w:hAnsi="Simplified Arabic" w:cs="Simplified Arabic"/>
          <w:noProof/>
          <w:sz w:val="24"/>
          <w:szCs w:val="24"/>
          <w:rtl/>
          <w:lang w:eastAsia="fr-FR"/>
        </w:rPr>
        <mc:AlternateContent>
          <mc:Choice Requires="wps">
            <w:drawing>
              <wp:anchor distT="0" distB="0" distL="114300" distR="114300" simplePos="0" relativeHeight="251715072" behindDoc="0" locked="0" layoutInCell="1" allowOverlap="1" wp14:anchorId="714FE0CB" wp14:editId="206FC2CF">
                <wp:simplePos x="0" y="0"/>
                <wp:positionH relativeFrom="column">
                  <wp:posOffset>12700</wp:posOffset>
                </wp:positionH>
                <wp:positionV relativeFrom="paragraph">
                  <wp:posOffset>87630</wp:posOffset>
                </wp:positionV>
                <wp:extent cx="3044825" cy="4649470"/>
                <wp:effectExtent l="0" t="0" r="22225" b="17780"/>
                <wp:wrapNone/>
                <wp:docPr id="297" name="Zone de texte 297"/>
                <wp:cNvGraphicFramePr/>
                <a:graphic xmlns:a="http://schemas.openxmlformats.org/drawingml/2006/main">
                  <a:graphicData uri="http://schemas.microsoft.com/office/word/2010/wordprocessingShape">
                    <wps:wsp>
                      <wps:cNvSpPr txBox="1"/>
                      <wps:spPr>
                        <a:xfrm>
                          <a:off x="0" y="0"/>
                          <a:ext cx="3044825" cy="4649470"/>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214539">
                            <w:pPr>
                              <w:pStyle w:val="carte"/>
                              <w:spacing w:before="0" w:after="0"/>
                              <w:rPr>
                                <w:sz w:val="22"/>
                                <w:szCs w:val="22"/>
                                <w:lang w:val="en-US" w:bidi="ar-DZ"/>
                              </w:rPr>
                            </w:pPr>
                            <w:bookmarkStart w:id="882" w:name="_Toc157616615"/>
                            <w:bookmarkStart w:id="883" w:name="_Toc171803837"/>
                            <w:r w:rsidRPr="00383F18">
                              <w:rPr>
                                <w:rFonts w:hint="cs"/>
                                <w:sz w:val="22"/>
                                <w:szCs w:val="22"/>
                                <w:rtl/>
                                <w:lang w:bidi="ar-DZ"/>
                              </w:rPr>
                              <w:t xml:space="preserve">الخريطة (6-7) مساحة التغطية بخدمة </w:t>
                            </w:r>
                            <w:r w:rsidRPr="00383F18">
                              <w:rPr>
                                <w:rFonts w:hint="cs"/>
                                <w:sz w:val="22"/>
                                <w:szCs w:val="22"/>
                                <w:rtl/>
                                <w:lang w:val="en-US" w:bidi="ar-DZ"/>
                              </w:rPr>
                              <w:t>الامن</w:t>
                            </w:r>
                            <w:bookmarkEnd w:id="882"/>
                            <w:bookmarkEnd w:id="883"/>
                          </w:p>
                          <w:p w:rsidR="00D13702" w:rsidRPr="00986BEA" w:rsidRDefault="00D13702" w:rsidP="00214539">
                            <w:pPr>
                              <w:pStyle w:val="fegure"/>
                              <w:rPr>
                                <w:sz w:val="8"/>
                                <w:szCs w:val="24"/>
                                <w:rtl/>
                                <w:lang w:val="en-US"/>
                              </w:rPr>
                            </w:pPr>
                            <w:bookmarkStart w:id="884" w:name="_Toc171803838"/>
                            <w:r>
                              <w:rPr>
                                <w:rFonts w:hint="cs"/>
                                <w:sz w:val="8"/>
                                <w:szCs w:val="24"/>
                                <w:rtl/>
                                <w:lang w:val="en-US" w:bidi="ar-DZ"/>
                              </w:rPr>
                              <w:t xml:space="preserve">المصدر: </w:t>
                            </w:r>
                            <w:r>
                              <w:rPr>
                                <w:rFonts w:hint="cs"/>
                                <w:sz w:val="8"/>
                                <w:szCs w:val="24"/>
                                <w:rtl/>
                                <w:lang w:val="en-US"/>
                              </w:rPr>
                              <w:t>(الباحث، 2022)</w:t>
                            </w:r>
                            <w:bookmarkEnd w:id="884"/>
                          </w:p>
                          <w:p w:rsidR="00D13702" w:rsidRDefault="00D13702" w:rsidP="00D408D1">
                            <w:pPr>
                              <w:autoSpaceDE w:val="0"/>
                              <w:autoSpaceDN w:val="0"/>
                              <w:bidi/>
                              <w:adjustRightInd w:val="0"/>
                              <w:spacing w:after="0" w:line="240" w:lineRule="auto"/>
                              <w:ind w:left="-181"/>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0EAAD13E" wp14:editId="4A29F497">
                                  <wp:extent cx="2944671" cy="3597216"/>
                                  <wp:effectExtent l="0" t="0" r="8255" b="3810"/>
                                  <wp:docPr id="249" name="Imag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0" cstate="print">
                                            <a:extLst>
                                              <a:ext uri="{28A0092B-C50C-407E-A947-70E740481C1C}">
                                                <a14:useLocalDpi xmlns:a14="http://schemas.microsoft.com/office/drawing/2010/main" val="0"/>
                                              </a:ext>
                                            </a:extLst>
                                          </a:blip>
                                          <a:srcRect t="8385"/>
                                          <a:stretch/>
                                        </pic:blipFill>
                                        <pic:spPr bwMode="auto">
                                          <a:xfrm>
                                            <a:off x="0" y="0"/>
                                            <a:ext cx="2957022" cy="3612304"/>
                                          </a:xfrm>
                                          <a:prstGeom prst="rect">
                                            <a:avLst/>
                                          </a:prstGeom>
                                          <a:noFill/>
                                          <a:ln>
                                            <a:noFill/>
                                          </a:ln>
                                          <a:extLst>
                                            <a:ext uri="{53640926-AAD7-44D8-BBD7-CCE9431645EC}">
                                              <a14:shadowObscured xmlns:a14="http://schemas.microsoft.com/office/drawing/2010/main"/>
                                            </a:ext>
                                          </a:extLst>
                                        </pic:spPr>
                                      </pic:pic>
                                    </a:graphicData>
                                  </a:graphic>
                                </wp:inline>
                              </w:drawing>
                            </w:r>
                          </w:p>
                          <w:p w:rsidR="00D13702" w:rsidRDefault="00D13702" w:rsidP="005A0491">
                            <w:pPr>
                              <w:rPr>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97" o:spid="_x0000_s1061" type="#_x0000_t202" style="position:absolute;left:0;text-align:left;margin-left:1pt;margin-top:6.9pt;width:239.75pt;height:366.1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" fillcolor="white [3201]" strokecolor="black [3213]" strokeweight=".25pt">
                <v:textbox>
                  <w:txbxContent>
                    <w:p w:rsidR="00D13702" w:rsidRDefault="00D13702" w:rsidP="00214539">
                      <w:pPr>
                        <w:pStyle w:val="carte"/>
                        <w:spacing w:before="0" w:after="0"/>
                        <w:rPr>
                          <w:sz w:val="22"/>
                          <w:szCs w:val="22"/>
                          <w:lang w:val="en-US" w:bidi="ar-DZ"/>
                        </w:rPr>
                      </w:pPr>
                      <w:bookmarkStart w:id="910" w:name="_Toc157616615"/>
                      <w:bookmarkStart w:id="911" w:name="_Toc171803837"/>
                      <w:r w:rsidRPr="00383F18">
                        <w:rPr>
                          <w:rFonts w:hint="cs"/>
                          <w:sz w:val="22"/>
                          <w:szCs w:val="22"/>
                          <w:rtl/>
                          <w:lang w:bidi="ar-DZ"/>
                        </w:rPr>
                        <w:t xml:space="preserve">الخريطة (6-7) مساحة التغطية بخدمة </w:t>
                      </w:r>
                      <w:r w:rsidRPr="00383F18">
                        <w:rPr>
                          <w:rFonts w:hint="cs"/>
                          <w:sz w:val="22"/>
                          <w:szCs w:val="22"/>
                          <w:rtl/>
                          <w:lang w:val="en-US" w:bidi="ar-DZ"/>
                        </w:rPr>
                        <w:t>الامن</w:t>
                      </w:r>
                      <w:bookmarkEnd w:id="910"/>
                      <w:bookmarkEnd w:id="911"/>
                    </w:p>
                    <w:p w:rsidR="00D13702" w:rsidRPr="00986BEA" w:rsidRDefault="00D13702" w:rsidP="00214539">
                      <w:pPr>
                        <w:pStyle w:val="fegure"/>
                        <w:rPr>
                          <w:sz w:val="8"/>
                          <w:szCs w:val="24"/>
                          <w:rtl/>
                          <w:lang w:val="en-US"/>
                        </w:rPr>
                      </w:pPr>
                      <w:bookmarkStart w:id="912" w:name="_Toc171803838"/>
                      <w:r>
                        <w:rPr>
                          <w:rFonts w:hint="cs"/>
                          <w:sz w:val="8"/>
                          <w:szCs w:val="24"/>
                          <w:rtl/>
                          <w:lang w:val="en-US" w:bidi="ar-DZ"/>
                        </w:rPr>
                        <w:t xml:space="preserve">المصدر: </w:t>
                      </w:r>
                      <w:r>
                        <w:rPr>
                          <w:rFonts w:hint="cs"/>
                          <w:sz w:val="8"/>
                          <w:szCs w:val="24"/>
                          <w:rtl/>
                          <w:lang w:val="en-US"/>
                        </w:rPr>
                        <w:t>(الباحث، 2022)</w:t>
                      </w:r>
                      <w:bookmarkEnd w:id="912"/>
                    </w:p>
                    <w:p w:rsidR="00D13702" w:rsidRDefault="00D13702" w:rsidP="00D408D1">
                      <w:pPr>
                        <w:autoSpaceDE w:val="0"/>
                        <w:autoSpaceDN w:val="0"/>
                        <w:bidi/>
                        <w:adjustRightInd w:val="0"/>
                        <w:spacing w:after="0" w:line="240" w:lineRule="auto"/>
                        <w:ind w:left="-181"/>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302A59F7" wp14:editId="63CA17D1">
                            <wp:extent cx="2944671" cy="3597216"/>
                            <wp:effectExtent l="0" t="0" r="8255" b="3810"/>
                            <wp:docPr id="249" name="Imag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1" cstate="print">
                                      <a:extLst>
                                        <a:ext uri="{28A0092B-C50C-407E-A947-70E740481C1C}">
                                          <a14:useLocalDpi xmlns:a14="http://schemas.microsoft.com/office/drawing/2010/main" val="0"/>
                                        </a:ext>
                                      </a:extLst>
                                    </a:blip>
                                    <a:srcRect t="8385"/>
                                    <a:stretch/>
                                  </pic:blipFill>
                                  <pic:spPr bwMode="auto">
                                    <a:xfrm>
                                      <a:off x="0" y="0"/>
                                      <a:ext cx="2957022" cy="3612304"/>
                                    </a:xfrm>
                                    <a:prstGeom prst="rect">
                                      <a:avLst/>
                                    </a:prstGeom>
                                    <a:noFill/>
                                    <a:ln>
                                      <a:noFill/>
                                    </a:ln>
                                    <a:extLst>
                                      <a:ext uri="{53640926-AAD7-44D8-BBD7-CCE9431645EC}">
                                        <a14:shadowObscured xmlns:a14="http://schemas.microsoft.com/office/drawing/2010/main"/>
                                      </a:ext>
                                    </a:extLst>
                                  </pic:spPr>
                                </pic:pic>
                              </a:graphicData>
                            </a:graphic>
                          </wp:inline>
                        </w:drawing>
                      </w:r>
                    </w:p>
                    <w:p w:rsidR="00D13702" w:rsidRDefault="00D13702" w:rsidP="005A0491">
                      <w:pPr>
                        <w:rPr>
                          <w:lang w:bidi="ar-DZ"/>
                        </w:rPr>
                      </w:pPr>
                    </w:p>
                  </w:txbxContent>
                </v:textbox>
              </v:shape>
            </w:pict>
          </mc:Fallback>
        </mc:AlternateContent>
      </w:r>
      <w:r w:rsidRPr="005A0491">
        <w:rPr>
          <w:rFonts w:ascii="Simplified Arabic" w:hAnsi="Simplified Arabic" w:cs="Simplified Arabic"/>
          <w:noProof/>
          <w:sz w:val="24"/>
          <w:szCs w:val="24"/>
          <w:rtl/>
          <w:lang w:eastAsia="fr-FR"/>
        </w:rPr>
        <mc:AlternateContent>
          <mc:Choice Requires="wps">
            <w:drawing>
              <wp:anchor distT="0" distB="0" distL="114300" distR="114300" simplePos="0" relativeHeight="251910144" behindDoc="0" locked="0" layoutInCell="1" allowOverlap="1" wp14:anchorId="7A914ACC" wp14:editId="32EF7EE1">
                <wp:simplePos x="0" y="0"/>
                <wp:positionH relativeFrom="column">
                  <wp:posOffset>3135630</wp:posOffset>
                </wp:positionH>
                <wp:positionV relativeFrom="paragraph">
                  <wp:posOffset>87630</wp:posOffset>
                </wp:positionV>
                <wp:extent cx="2552065" cy="4649470"/>
                <wp:effectExtent l="0" t="0" r="19685" b="17780"/>
                <wp:wrapNone/>
                <wp:docPr id="296" name="Zone de texte 296"/>
                <wp:cNvGraphicFramePr/>
                <a:graphic xmlns:a="http://schemas.openxmlformats.org/drawingml/2006/main">
                  <a:graphicData uri="http://schemas.microsoft.com/office/word/2010/wordprocessingShape">
                    <wps:wsp>
                      <wps:cNvSpPr txBox="1"/>
                      <wps:spPr>
                        <a:xfrm>
                          <a:off x="0" y="0"/>
                          <a:ext cx="2552065" cy="4649470"/>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Pr="00A251AC" w:rsidRDefault="00D13702" w:rsidP="00482FC6">
                            <w:pPr>
                              <w:pStyle w:val="fegure"/>
                              <w:rPr>
                                <w:sz w:val="22"/>
                                <w:szCs w:val="22"/>
                                <w:rtl/>
                                <w:lang w:val="en-US" w:bidi="ar-DZ"/>
                              </w:rPr>
                            </w:pPr>
                            <w:bookmarkStart w:id="885" w:name="_Toc157608372"/>
                            <w:bookmarkStart w:id="886" w:name="_Toc157790929"/>
                            <w:bookmarkStart w:id="887" w:name="_Toc171803839"/>
                            <w:r w:rsidRPr="00A251AC">
                              <w:rPr>
                                <w:rFonts w:hint="cs"/>
                                <w:sz w:val="22"/>
                                <w:szCs w:val="22"/>
                                <w:rtl/>
                                <w:lang w:bidi="ar-DZ"/>
                              </w:rPr>
                              <w:t xml:space="preserve">الشكل (6-19) </w:t>
                            </w:r>
                            <w:r w:rsidRPr="00A251AC">
                              <w:rPr>
                                <w:rFonts w:hint="cs"/>
                                <w:sz w:val="22"/>
                                <w:szCs w:val="22"/>
                                <w:rtl/>
                                <w:lang w:val="en-US" w:bidi="ar-DZ"/>
                              </w:rPr>
                              <w:t>تحليل الجار الاقرب</w:t>
                            </w:r>
                            <w:bookmarkEnd w:id="885"/>
                            <w:bookmarkEnd w:id="886"/>
                            <w:bookmarkEnd w:id="887"/>
                            <w:r w:rsidRPr="00A251AC">
                              <w:rPr>
                                <w:rFonts w:hint="cs"/>
                                <w:sz w:val="22"/>
                                <w:szCs w:val="22"/>
                                <w:rtl/>
                                <w:lang w:val="en-US" w:bidi="ar-DZ"/>
                              </w:rPr>
                              <w:t xml:space="preserve"> </w:t>
                            </w:r>
                          </w:p>
                          <w:p w:rsidR="00D13702" w:rsidRDefault="00D13702" w:rsidP="00482FC6">
                            <w:pPr>
                              <w:pStyle w:val="fegure"/>
                              <w:rPr>
                                <w:rFonts w:asciiTheme="majorBidi" w:eastAsia="Times New Roman" w:hAnsiTheme="majorBidi" w:cstheme="majorBidi"/>
                                <w:b/>
                                <w:color w:val="000000"/>
                                <w:sz w:val="22"/>
                                <w:szCs w:val="22"/>
                                <w:rtl/>
                                <w:lang w:eastAsia="fr-FR"/>
                              </w:rPr>
                            </w:pPr>
                            <w:bookmarkStart w:id="888" w:name="_Toc157608373"/>
                            <w:bookmarkStart w:id="889" w:name="_Toc157790930"/>
                            <w:bookmarkStart w:id="890" w:name="_Toc171803840"/>
                            <w:r w:rsidRPr="00A251AC">
                              <w:rPr>
                                <w:rFonts w:hint="cs"/>
                                <w:sz w:val="22"/>
                                <w:szCs w:val="22"/>
                                <w:rtl/>
                                <w:lang w:val="en-US" w:bidi="ar-DZ"/>
                              </w:rPr>
                              <w:t>لمعيار ال</w:t>
                            </w:r>
                            <w:r w:rsidRPr="00A251AC">
                              <w:rPr>
                                <w:sz w:val="22"/>
                                <w:szCs w:val="22"/>
                                <w:rtl/>
                                <w:lang w:val="en-US" w:bidi="ar-DZ"/>
                              </w:rPr>
                              <w:t>أمن</w:t>
                            </w:r>
                            <w:r w:rsidRPr="00A251AC">
                              <w:rPr>
                                <w:rFonts w:eastAsia="Times New Roman"/>
                                <w:b/>
                                <w:color w:val="000000"/>
                                <w:sz w:val="22"/>
                                <w:szCs w:val="22"/>
                                <w:lang w:eastAsia="fr-FR"/>
                              </w:rPr>
                              <w:t xml:space="preserve"> </w:t>
                            </w:r>
                            <w:r w:rsidRPr="00A251AC">
                              <w:rPr>
                                <w:rFonts w:asciiTheme="majorBidi" w:eastAsia="Times New Roman" w:hAnsiTheme="majorBidi" w:cstheme="majorBidi"/>
                                <w:b/>
                                <w:color w:val="000000"/>
                                <w:sz w:val="22"/>
                                <w:szCs w:val="22"/>
                                <w:lang w:eastAsia="fr-FR"/>
                              </w:rPr>
                              <w:t>C3</w:t>
                            </w:r>
                            <w:bookmarkEnd w:id="888"/>
                            <w:bookmarkEnd w:id="889"/>
                            <w:bookmarkEnd w:id="890"/>
                          </w:p>
                          <w:p w:rsidR="00D13702" w:rsidRPr="00986BEA" w:rsidRDefault="00D13702" w:rsidP="00482FC6">
                            <w:pPr>
                              <w:pStyle w:val="fegure"/>
                              <w:rPr>
                                <w:sz w:val="8"/>
                                <w:szCs w:val="24"/>
                                <w:rtl/>
                                <w:lang w:val="en-US"/>
                              </w:rPr>
                            </w:pPr>
                            <w:bookmarkStart w:id="891" w:name="_Toc171803841"/>
                            <w:r>
                              <w:rPr>
                                <w:rFonts w:hint="cs"/>
                                <w:sz w:val="8"/>
                                <w:szCs w:val="24"/>
                                <w:rtl/>
                                <w:lang w:val="en-US" w:bidi="ar-DZ"/>
                              </w:rPr>
                              <w:t xml:space="preserve">المصدر: </w:t>
                            </w:r>
                            <w:r>
                              <w:rPr>
                                <w:rFonts w:hint="cs"/>
                                <w:sz w:val="8"/>
                                <w:szCs w:val="24"/>
                                <w:rtl/>
                                <w:lang w:val="en-US"/>
                              </w:rPr>
                              <w:t>(الباحث، 2022)</w:t>
                            </w:r>
                            <w:bookmarkEnd w:id="891"/>
                          </w:p>
                          <w:p w:rsidR="00D13702" w:rsidRDefault="00D13702" w:rsidP="00482FC6">
                            <w:pPr>
                              <w:bidi/>
                              <w:spacing w:after="0" w:line="240" w:lineRule="auto"/>
                              <w:jc w:val="center"/>
                            </w:pPr>
                            <w:r>
                              <w:rPr>
                                <w:noProof/>
                                <w:lang w:eastAsia="fr-FR"/>
                              </w:rPr>
                              <w:drawing>
                                <wp:inline distT="0" distB="0" distL="0" distR="0" wp14:anchorId="1A3B0F05" wp14:editId="66BBEA90">
                                  <wp:extent cx="2355012" cy="3745269"/>
                                  <wp:effectExtent l="19050" t="19050" r="26670" b="26670"/>
                                  <wp:docPr id="250" name="Imag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2" cstate="print">
                                            <a:extLst>
                                              <a:ext uri="{28A0092B-C50C-407E-A947-70E740481C1C}">
                                                <a14:useLocalDpi xmlns:a14="http://schemas.microsoft.com/office/drawing/2010/main" val="0"/>
                                              </a:ext>
                                            </a:extLst>
                                          </a:blip>
                                          <a:stretch>
                                            <a:fillRect/>
                                          </a:stretch>
                                        </pic:blipFill>
                                        <pic:spPr>
                                          <a:xfrm>
                                            <a:off x="0" y="0"/>
                                            <a:ext cx="2354803" cy="3744937"/>
                                          </a:xfrm>
                                          <a:prstGeom prst="rect">
                                            <a:avLst/>
                                          </a:prstGeom>
                                          <a:ln>
                                            <a:solidFill>
                                              <a:schemeClr val="tx1"/>
                                            </a:solid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296" o:spid="_x0000_s1062" type="#_x0000_t202" style="position:absolute;left:0;text-align:left;margin-left:246.9pt;margin-top:6.9pt;width:200.95pt;height:366.1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" fillcolor="white [3201]" strokecolor="black [3213]" strokeweight=".25pt">
                <v:textbox>
                  <w:txbxContent>
                    <w:p w:rsidR="00D13702" w:rsidRPr="00A251AC" w:rsidRDefault="00D13702" w:rsidP="00482FC6">
                      <w:pPr>
                        <w:pStyle w:val="fegure"/>
                        <w:rPr>
                          <w:sz w:val="22"/>
                          <w:szCs w:val="22"/>
                          <w:rtl/>
                          <w:lang w:val="en-US" w:bidi="ar-DZ"/>
                        </w:rPr>
                      </w:pPr>
                      <w:bookmarkStart w:id="920" w:name="_Toc157608372"/>
                      <w:bookmarkStart w:id="921" w:name="_Toc157790929"/>
                      <w:bookmarkStart w:id="922" w:name="_Toc171803839"/>
                      <w:r w:rsidRPr="00A251AC">
                        <w:rPr>
                          <w:rFonts w:hint="cs"/>
                          <w:sz w:val="22"/>
                          <w:szCs w:val="22"/>
                          <w:rtl/>
                          <w:lang w:bidi="ar-DZ"/>
                        </w:rPr>
                        <w:t xml:space="preserve">الشكل (6-19) </w:t>
                      </w:r>
                      <w:r w:rsidRPr="00A251AC">
                        <w:rPr>
                          <w:rFonts w:hint="cs"/>
                          <w:sz w:val="22"/>
                          <w:szCs w:val="22"/>
                          <w:rtl/>
                          <w:lang w:val="en-US" w:bidi="ar-DZ"/>
                        </w:rPr>
                        <w:t>تحليل الجار الاقرب</w:t>
                      </w:r>
                      <w:bookmarkEnd w:id="920"/>
                      <w:bookmarkEnd w:id="921"/>
                      <w:bookmarkEnd w:id="922"/>
                      <w:r w:rsidRPr="00A251AC">
                        <w:rPr>
                          <w:rFonts w:hint="cs"/>
                          <w:sz w:val="22"/>
                          <w:szCs w:val="22"/>
                          <w:rtl/>
                          <w:lang w:val="en-US" w:bidi="ar-DZ"/>
                        </w:rPr>
                        <w:t xml:space="preserve"> </w:t>
                      </w:r>
                    </w:p>
                    <w:p w:rsidR="00D13702" w:rsidRDefault="00D13702" w:rsidP="00482FC6">
                      <w:pPr>
                        <w:pStyle w:val="fegure"/>
                        <w:rPr>
                          <w:rFonts w:asciiTheme="majorBidi" w:eastAsia="Times New Roman" w:hAnsiTheme="majorBidi" w:cstheme="majorBidi"/>
                          <w:b/>
                          <w:color w:val="000000"/>
                          <w:sz w:val="22"/>
                          <w:szCs w:val="22"/>
                          <w:rtl/>
                          <w:lang w:eastAsia="fr-FR"/>
                        </w:rPr>
                      </w:pPr>
                      <w:bookmarkStart w:id="923" w:name="_Toc157608373"/>
                      <w:bookmarkStart w:id="924" w:name="_Toc157790930"/>
                      <w:bookmarkStart w:id="925" w:name="_Toc171803840"/>
                      <w:r w:rsidRPr="00A251AC">
                        <w:rPr>
                          <w:rFonts w:hint="cs"/>
                          <w:sz w:val="22"/>
                          <w:szCs w:val="22"/>
                          <w:rtl/>
                          <w:lang w:val="en-US" w:bidi="ar-DZ"/>
                        </w:rPr>
                        <w:t>لمعيار ال</w:t>
                      </w:r>
                      <w:r w:rsidRPr="00A251AC">
                        <w:rPr>
                          <w:sz w:val="22"/>
                          <w:szCs w:val="22"/>
                          <w:rtl/>
                          <w:lang w:val="en-US" w:bidi="ar-DZ"/>
                        </w:rPr>
                        <w:t>أمن</w:t>
                      </w:r>
                      <w:r w:rsidRPr="00A251AC">
                        <w:rPr>
                          <w:rFonts w:eastAsia="Times New Roman"/>
                          <w:b/>
                          <w:color w:val="000000"/>
                          <w:sz w:val="22"/>
                          <w:szCs w:val="22"/>
                          <w:lang w:eastAsia="fr-FR"/>
                        </w:rPr>
                        <w:t xml:space="preserve"> </w:t>
                      </w:r>
                      <w:r w:rsidRPr="00A251AC">
                        <w:rPr>
                          <w:rFonts w:asciiTheme="majorBidi" w:eastAsia="Times New Roman" w:hAnsiTheme="majorBidi" w:cstheme="majorBidi"/>
                          <w:b/>
                          <w:color w:val="000000"/>
                          <w:sz w:val="22"/>
                          <w:szCs w:val="22"/>
                          <w:lang w:eastAsia="fr-FR"/>
                        </w:rPr>
                        <w:t>C3</w:t>
                      </w:r>
                      <w:bookmarkEnd w:id="923"/>
                      <w:bookmarkEnd w:id="924"/>
                      <w:bookmarkEnd w:id="925"/>
                    </w:p>
                    <w:p w:rsidR="00D13702" w:rsidRPr="00986BEA" w:rsidRDefault="00D13702" w:rsidP="00482FC6">
                      <w:pPr>
                        <w:pStyle w:val="fegure"/>
                        <w:rPr>
                          <w:sz w:val="8"/>
                          <w:szCs w:val="24"/>
                          <w:rtl/>
                          <w:lang w:val="en-US"/>
                        </w:rPr>
                      </w:pPr>
                      <w:bookmarkStart w:id="926" w:name="_Toc171803841"/>
                      <w:r>
                        <w:rPr>
                          <w:rFonts w:hint="cs"/>
                          <w:sz w:val="8"/>
                          <w:szCs w:val="24"/>
                          <w:rtl/>
                          <w:lang w:val="en-US" w:bidi="ar-DZ"/>
                        </w:rPr>
                        <w:t xml:space="preserve">المصدر: </w:t>
                      </w:r>
                      <w:r>
                        <w:rPr>
                          <w:rFonts w:hint="cs"/>
                          <w:sz w:val="8"/>
                          <w:szCs w:val="24"/>
                          <w:rtl/>
                          <w:lang w:val="en-US"/>
                        </w:rPr>
                        <w:t>(الباحث، 2022)</w:t>
                      </w:r>
                      <w:bookmarkEnd w:id="926"/>
                    </w:p>
                    <w:p w:rsidR="00D13702" w:rsidRDefault="00D13702" w:rsidP="00482FC6">
                      <w:pPr>
                        <w:bidi/>
                        <w:spacing w:after="0" w:line="240" w:lineRule="auto"/>
                        <w:jc w:val="center"/>
                      </w:pPr>
                      <w:r>
                        <w:rPr>
                          <w:noProof/>
                          <w:lang w:eastAsia="fr-FR"/>
                        </w:rPr>
                        <w:drawing>
                          <wp:inline distT="0" distB="0" distL="0" distR="0" wp14:anchorId="2D92A170" wp14:editId="6D481BB4">
                            <wp:extent cx="2355012" cy="3745269"/>
                            <wp:effectExtent l="19050" t="19050" r="26670" b="26670"/>
                            <wp:docPr id="250" name="Imag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3" cstate="print">
                                      <a:extLst>
                                        <a:ext uri="{28A0092B-C50C-407E-A947-70E740481C1C}">
                                          <a14:useLocalDpi xmlns:a14="http://schemas.microsoft.com/office/drawing/2010/main" val="0"/>
                                        </a:ext>
                                      </a:extLst>
                                    </a:blip>
                                    <a:stretch>
                                      <a:fillRect/>
                                    </a:stretch>
                                  </pic:blipFill>
                                  <pic:spPr>
                                    <a:xfrm>
                                      <a:off x="0" y="0"/>
                                      <a:ext cx="2354803" cy="3744937"/>
                                    </a:xfrm>
                                    <a:prstGeom prst="rect">
                                      <a:avLst/>
                                    </a:prstGeom>
                                    <a:ln>
                                      <a:solidFill>
                                        <a:schemeClr val="tx1"/>
                                      </a:solidFill>
                                    </a:ln>
                                  </pic:spPr>
                                </pic:pic>
                              </a:graphicData>
                            </a:graphic>
                          </wp:inline>
                        </w:drawing>
                      </w:r>
                    </w:p>
                  </w:txbxContent>
                </v:textbox>
              </v:shape>
            </w:pict>
          </mc:Fallback>
        </mc:AlternateContent>
      </w:r>
    </w:p>
    <w:p w:rsidR="005A0491" w:rsidRDefault="005A0491" w:rsidP="00D408D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627E4F" w:rsidRDefault="00627E4F" w:rsidP="005373F7">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214539">
      <w:pPr>
        <w:tabs>
          <w:tab w:val="right" w:pos="3827"/>
        </w:tabs>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ED3102" w:rsidRDefault="00ED3102" w:rsidP="00ED3102">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7A371C" w:rsidRPr="003E166E" w:rsidRDefault="005A0491" w:rsidP="00275220">
      <w:pPr>
        <w:pStyle w:val="Paragraphedeliste"/>
        <w:numPr>
          <w:ilvl w:val="0"/>
          <w:numId w:val="69"/>
        </w:numPr>
        <w:tabs>
          <w:tab w:val="right" w:pos="708"/>
          <w:tab w:val="right" w:pos="4110"/>
          <w:tab w:val="right" w:pos="4252"/>
        </w:tabs>
        <w:autoSpaceDE w:val="0"/>
        <w:autoSpaceDN w:val="0"/>
        <w:bidi/>
        <w:adjustRightInd w:val="0"/>
        <w:spacing w:before="240" w:after="0"/>
        <w:ind w:left="0" w:firstLine="283"/>
        <w:jc w:val="both"/>
        <w:rPr>
          <w:rFonts w:ascii="Simplified Arabic" w:hAnsi="Simplified Arabic" w:cs="Simplified Arabic"/>
          <w:sz w:val="24"/>
          <w:szCs w:val="24"/>
          <w:rtl/>
        </w:rPr>
      </w:pPr>
      <w:r w:rsidRPr="003E166E">
        <w:rPr>
          <w:rFonts w:ascii="Simplified Arabic" w:hAnsi="Simplified Arabic" w:cs="Simplified Arabic" w:hint="cs"/>
          <w:sz w:val="24"/>
          <w:szCs w:val="24"/>
          <w:rtl/>
          <w:lang w:bidi="ar-DZ"/>
        </w:rPr>
        <w:lastRenderedPageBreak/>
        <w:t xml:space="preserve">بعد تحليل صلة الجوار لمواقع معيار </w:t>
      </w:r>
      <w:r w:rsidRPr="003E166E">
        <w:rPr>
          <w:rFonts w:ascii="Simplified Arabic" w:hAnsi="Simplified Arabic" w:cs="Simplified Arabic"/>
          <w:sz w:val="24"/>
          <w:szCs w:val="24"/>
          <w:rtl/>
          <w:lang w:bidi="ar-DZ"/>
        </w:rPr>
        <w:t>الايواء المؤقت</w:t>
      </w:r>
      <w:r w:rsidR="007A371C" w:rsidRPr="003E166E">
        <w:rPr>
          <w:rFonts w:ascii="Simplified Arabic" w:hAnsi="Simplified Arabic" w:cs="Simplified Arabic" w:hint="cs"/>
          <w:sz w:val="24"/>
          <w:szCs w:val="24"/>
          <w:rtl/>
          <w:lang w:bidi="ar-DZ"/>
        </w:rPr>
        <w:t xml:space="preserve"> </w:t>
      </w:r>
      <w:r w:rsidR="007A371C" w:rsidRPr="003E166E">
        <w:rPr>
          <w:rFonts w:asciiTheme="majorBidi" w:eastAsia="Times New Roman" w:hAnsiTheme="majorBidi" w:cstheme="majorBidi"/>
          <w:b/>
          <w:sz w:val="24"/>
          <w:szCs w:val="24"/>
          <w:lang w:val="en-US" w:eastAsia="fr-FR"/>
        </w:rPr>
        <w:t>C4</w:t>
      </w:r>
      <w:r w:rsidR="00C577E6" w:rsidRPr="003E166E">
        <w:rPr>
          <w:rFonts w:ascii="Simplified Arabic" w:hAnsi="Simplified Arabic" w:cs="Simplified Arabic" w:hint="cs"/>
          <w:sz w:val="24"/>
          <w:szCs w:val="24"/>
          <w:rtl/>
        </w:rPr>
        <w:t>، الشكل (6-</w:t>
      </w:r>
      <w:r w:rsidR="005373F7" w:rsidRPr="003E166E">
        <w:rPr>
          <w:rFonts w:ascii="Simplified Arabic" w:hAnsi="Simplified Arabic" w:cs="Simplified Arabic" w:hint="cs"/>
          <w:sz w:val="24"/>
          <w:szCs w:val="24"/>
          <w:rtl/>
        </w:rPr>
        <w:t>20</w:t>
      </w:r>
      <w:r w:rsidR="00C577E6" w:rsidRPr="003E166E">
        <w:rPr>
          <w:rFonts w:ascii="Simplified Arabic" w:hAnsi="Simplified Arabic" w:cs="Simplified Arabic" w:hint="cs"/>
          <w:sz w:val="24"/>
          <w:szCs w:val="24"/>
          <w:rtl/>
        </w:rPr>
        <w:t>)</w:t>
      </w:r>
      <w:r w:rsidRPr="003E166E">
        <w:rPr>
          <w:rFonts w:ascii="Simplified Arabic" w:hAnsi="Simplified Arabic" w:cs="Simplified Arabic" w:hint="cs"/>
          <w:sz w:val="24"/>
          <w:szCs w:val="24"/>
          <w:rtl/>
          <w:lang w:bidi="ar-DZ"/>
        </w:rPr>
        <w:t xml:space="preserve">، تبين ان قيمة متوسط المسافة الحقيقية بين المواقع لذات المعيار قد بلغت </w:t>
      </w:r>
      <w:r w:rsidR="00734EF0" w:rsidRPr="003E166E">
        <w:rPr>
          <w:rFonts w:ascii="Simplified Arabic" w:hAnsi="Simplified Arabic" w:cs="Simplified Arabic" w:hint="cs"/>
          <w:sz w:val="24"/>
          <w:szCs w:val="24"/>
          <w:rtl/>
          <w:lang w:bidi="ar-DZ"/>
        </w:rPr>
        <w:t>439</w:t>
      </w:r>
      <w:r w:rsidRPr="003E166E">
        <w:rPr>
          <w:rFonts w:ascii="Simplified Arabic" w:hAnsi="Simplified Arabic" w:cs="Simplified Arabic" w:hint="cs"/>
          <w:sz w:val="24"/>
          <w:szCs w:val="24"/>
          <w:rtl/>
          <w:lang w:bidi="ar-DZ"/>
        </w:rPr>
        <w:t>.</w:t>
      </w:r>
      <w:r w:rsidR="00734EF0" w:rsidRPr="003E166E">
        <w:rPr>
          <w:rFonts w:ascii="Simplified Arabic" w:hAnsi="Simplified Arabic" w:cs="Simplified Arabic" w:hint="cs"/>
          <w:sz w:val="24"/>
          <w:szCs w:val="24"/>
          <w:rtl/>
          <w:lang w:bidi="ar-DZ"/>
        </w:rPr>
        <w:t>63</w:t>
      </w:r>
      <w:r w:rsidRPr="003E166E">
        <w:rPr>
          <w:rFonts w:ascii="Simplified Arabic" w:hAnsi="Simplified Arabic" w:cs="Simplified Arabic" w:hint="cs"/>
          <w:sz w:val="24"/>
          <w:szCs w:val="24"/>
          <w:rtl/>
          <w:lang w:bidi="ar-DZ"/>
        </w:rPr>
        <w:t xml:space="preserve"> متر التي كانت </w:t>
      </w:r>
      <w:r w:rsidR="00734EF0" w:rsidRPr="003E166E">
        <w:rPr>
          <w:rFonts w:ascii="Simplified Arabic" w:hAnsi="Simplified Arabic" w:cs="Simplified Arabic" w:hint="cs"/>
          <w:sz w:val="24"/>
          <w:szCs w:val="24"/>
          <w:rtl/>
          <w:lang w:bidi="ar-DZ"/>
        </w:rPr>
        <w:t>اقل</w:t>
      </w:r>
      <w:r w:rsidRPr="003E166E">
        <w:rPr>
          <w:rFonts w:ascii="Simplified Arabic" w:hAnsi="Simplified Arabic" w:cs="Simplified Arabic" w:hint="cs"/>
          <w:sz w:val="24"/>
          <w:szCs w:val="24"/>
          <w:rtl/>
          <w:lang w:bidi="ar-DZ"/>
        </w:rPr>
        <w:t xml:space="preserve"> من </w:t>
      </w:r>
      <w:r w:rsidR="00627E4F" w:rsidRPr="003E166E">
        <w:rPr>
          <w:rFonts w:ascii="Simplified Arabic" w:hAnsi="Simplified Arabic" w:cs="Simplified Arabic" w:hint="cs"/>
          <w:sz w:val="24"/>
          <w:szCs w:val="24"/>
          <w:rtl/>
        </w:rPr>
        <w:t xml:space="preserve">قيمة </w:t>
      </w:r>
      <w:r w:rsidR="00627E4F" w:rsidRPr="003E166E">
        <w:rPr>
          <w:rFonts w:ascii="Simplified Arabic" w:hAnsi="Simplified Arabic" w:cs="Simplified Arabic" w:hint="cs"/>
          <w:sz w:val="24"/>
          <w:szCs w:val="24"/>
          <w:rtl/>
          <w:lang w:bidi="ar-DZ"/>
        </w:rPr>
        <w:t xml:space="preserve">المسافة المتوقعة </w:t>
      </w:r>
      <w:r w:rsidRPr="003E166E">
        <w:rPr>
          <w:rFonts w:ascii="Simplified Arabic" w:hAnsi="Simplified Arabic" w:cs="Simplified Arabic" w:hint="cs"/>
          <w:sz w:val="24"/>
          <w:szCs w:val="24"/>
          <w:rtl/>
          <w:lang w:bidi="ar-DZ"/>
        </w:rPr>
        <w:t xml:space="preserve">البالغة </w:t>
      </w:r>
      <w:r w:rsidR="00734EF0" w:rsidRPr="003E166E">
        <w:rPr>
          <w:rFonts w:ascii="Simplified Arabic" w:hAnsi="Simplified Arabic" w:cs="Simplified Arabic" w:hint="cs"/>
          <w:sz w:val="24"/>
          <w:szCs w:val="24"/>
          <w:rtl/>
          <w:lang w:bidi="ar-DZ"/>
        </w:rPr>
        <w:t>473</w:t>
      </w:r>
      <w:r w:rsidRPr="003E166E">
        <w:rPr>
          <w:rFonts w:ascii="Simplified Arabic" w:hAnsi="Simplified Arabic" w:cs="Simplified Arabic" w:hint="cs"/>
          <w:sz w:val="24"/>
          <w:szCs w:val="24"/>
          <w:rtl/>
          <w:lang w:bidi="ar-DZ"/>
        </w:rPr>
        <w:t>.</w:t>
      </w:r>
      <w:r w:rsidR="00734EF0" w:rsidRPr="003E166E">
        <w:rPr>
          <w:rFonts w:ascii="Simplified Arabic" w:hAnsi="Simplified Arabic" w:cs="Simplified Arabic" w:hint="cs"/>
          <w:sz w:val="24"/>
          <w:szCs w:val="24"/>
          <w:rtl/>
          <w:lang w:bidi="ar-DZ"/>
        </w:rPr>
        <w:t>95</w:t>
      </w:r>
      <w:r w:rsidRPr="003E166E">
        <w:rPr>
          <w:rFonts w:ascii="Simplified Arabic" w:hAnsi="Simplified Arabic" w:cs="Simplified Arabic" w:hint="cs"/>
          <w:sz w:val="24"/>
          <w:szCs w:val="24"/>
          <w:rtl/>
          <w:lang w:bidi="ar-DZ"/>
        </w:rPr>
        <w:t xml:space="preserve"> متر</w:t>
      </w:r>
      <w:r w:rsidR="00EB2B12" w:rsidRPr="003E166E">
        <w:rPr>
          <w:rFonts w:ascii="Simplified Arabic" w:hAnsi="Simplified Arabic" w:cs="Simplified Arabic" w:hint="cs"/>
          <w:sz w:val="24"/>
          <w:szCs w:val="24"/>
          <w:rtl/>
          <w:lang w:bidi="ar-DZ"/>
        </w:rPr>
        <w:t>،</w:t>
      </w:r>
      <w:r w:rsidRPr="003E166E">
        <w:rPr>
          <w:rFonts w:ascii="Simplified Arabic" w:hAnsi="Simplified Arabic" w:cs="Simplified Arabic" w:hint="cs"/>
          <w:sz w:val="24"/>
          <w:szCs w:val="24"/>
          <w:rtl/>
          <w:lang w:bidi="ar-DZ"/>
        </w:rPr>
        <w:t xml:space="preserve"> منح</w:t>
      </w:r>
      <w:r w:rsidR="00EB2B12" w:rsidRPr="003E166E">
        <w:rPr>
          <w:rFonts w:ascii="Simplified Arabic" w:hAnsi="Simplified Arabic" w:cs="Simplified Arabic" w:hint="cs"/>
          <w:sz w:val="24"/>
          <w:szCs w:val="24"/>
          <w:rtl/>
          <w:lang w:bidi="ar-DZ"/>
        </w:rPr>
        <w:t>ت</w:t>
      </w:r>
      <w:r w:rsidRPr="003E166E">
        <w:rPr>
          <w:rFonts w:ascii="Simplified Arabic" w:hAnsi="Simplified Arabic" w:cs="Simplified Arabic" w:hint="cs"/>
          <w:sz w:val="24"/>
          <w:szCs w:val="24"/>
          <w:rtl/>
          <w:lang w:bidi="ar-DZ"/>
        </w:rPr>
        <w:t xml:space="preserve"> نسبة جار اقرب تساوي </w:t>
      </w:r>
      <w:r w:rsidR="00734EF0" w:rsidRPr="003E166E">
        <w:rPr>
          <w:rFonts w:ascii="Simplified Arabic" w:hAnsi="Simplified Arabic" w:cs="Simplified Arabic" w:hint="cs"/>
          <w:sz w:val="24"/>
          <w:szCs w:val="24"/>
          <w:rtl/>
          <w:lang w:bidi="ar-DZ"/>
        </w:rPr>
        <w:t>0</w:t>
      </w:r>
      <w:r w:rsidRPr="003E166E">
        <w:rPr>
          <w:rFonts w:ascii="Simplified Arabic" w:hAnsi="Simplified Arabic" w:cs="Simplified Arabic" w:hint="cs"/>
          <w:sz w:val="24"/>
          <w:szCs w:val="24"/>
          <w:rtl/>
          <w:lang w:bidi="ar-DZ"/>
        </w:rPr>
        <w:t>.</w:t>
      </w:r>
      <w:r w:rsidR="00734EF0" w:rsidRPr="003E166E">
        <w:rPr>
          <w:rFonts w:ascii="Simplified Arabic" w:hAnsi="Simplified Arabic" w:cs="Simplified Arabic" w:hint="cs"/>
          <w:sz w:val="24"/>
          <w:szCs w:val="24"/>
          <w:rtl/>
          <w:lang w:bidi="ar-DZ"/>
        </w:rPr>
        <w:t>92</w:t>
      </w:r>
      <w:r w:rsidRPr="003E166E">
        <w:rPr>
          <w:rFonts w:ascii="Simplified Arabic" w:hAnsi="Simplified Arabic" w:cs="Simplified Arabic" w:hint="cs"/>
          <w:sz w:val="24"/>
          <w:szCs w:val="24"/>
          <w:rtl/>
          <w:lang w:bidi="ar-DZ"/>
        </w:rPr>
        <w:t xml:space="preserve"> وقيمة </w:t>
      </w:r>
      <w:r w:rsidRPr="003E166E">
        <w:rPr>
          <w:rFonts w:asciiTheme="majorBidi" w:hAnsiTheme="majorBidi" w:cstheme="majorBidi"/>
          <w:sz w:val="24"/>
          <w:szCs w:val="24"/>
          <w:lang w:bidi="ar-DZ"/>
        </w:rPr>
        <w:t>Z</w:t>
      </w:r>
      <w:r w:rsidRPr="003E166E">
        <w:rPr>
          <w:rFonts w:ascii="Simplified Arabic" w:hAnsi="Simplified Arabic" w:cs="Simplified Arabic" w:hint="cs"/>
          <w:sz w:val="24"/>
          <w:szCs w:val="24"/>
          <w:rtl/>
          <w:lang w:bidi="ar-DZ"/>
        </w:rPr>
        <w:t xml:space="preserve"> </w:t>
      </w:r>
      <w:r w:rsidR="00734EF0" w:rsidRPr="003E166E">
        <w:rPr>
          <w:rFonts w:ascii="Simplified Arabic" w:hAnsi="Simplified Arabic" w:cs="Simplified Arabic" w:hint="cs"/>
          <w:sz w:val="24"/>
          <w:szCs w:val="24"/>
          <w:rtl/>
          <w:lang w:bidi="ar-DZ"/>
        </w:rPr>
        <w:t xml:space="preserve">سالبة </w:t>
      </w:r>
      <w:r w:rsidRPr="003E166E">
        <w:rPr>
          <w:rFonts w:ascii="Simplified Arabic" w:hAnsi="Simplified Arabic" w:cs="Simplified Arabic" w:hint="cs"/>
          <w:sz w:val="24"/>
          <w:szCs w:val="24"/>
          <w:rtl/>
          <w:lang w:bidi="ar-DZ"/>
        </w:rPr>
        <w:t xml:space="preserve">قدرت بـ: </w:t>
      </w:r>
      <w:r w:rsidR="00734EF0" w:rsidRPr="003E166E">
        <w:rPr>
          <w:rFonts w:ascii="Simplified Arabic" w:hAnsi="Simplified Arabic" w:cs="Simplified Arabic" w:hint="cs"/>
          <w:sz w:val="24"/>
          <w:szCs w:val="24"/>
          <w:rtl/>
          <w:lang w:bidi="ar-DZ"/>
        </w:rPr>
        <w:t>0</w:t>
      </w:r>
      <w:r w:rsidRPr="003E166E">
        <w:rPr>
          <w:rFonts w:ascii="Simplified Arabic" w:hAnsi="Simplified Arabic" w:cs="Simplified Arabic" w:hint="cs"/>
          <w:sz w:val="24"/>
          <w:szCs w:val="24"/>
          <w:rtl/>
          <w:lang w:bidi="ar-DZ"/>
        </w:rPr>
        <w:t>.</w:t>
      </w:r>
      <w:r w:rsidR="00734EF0" w:rsidRPr="003E166E">
        <w:rPr>
          <w:rFonts w:ascii="Simplified Arabic" w:hAnsi="Simplified Arabic" w:cs="Simplified Arabic" w:hint="cs"/>
          <w:sz w:val="24"/>
          <w:szCs w:val="24"/>
          <w:rtl/>
          <w:lang w:bidi="ar-DZ"/>
        </w:rPr>
        <w:t>95-</w:t>
      </w:r>
      <w:r w:rsidR="009E24B5" w:rsidRPr="003E166E">
        <w:rPr>
          <w:rFonts w:ascii="Simplified Arabic" w:hAnsi="Simplified Arabic" w:cs="Simplified Arabic" w:hint="cs"/>
          <w:sz w:val="24"/>
          <w:szCs w:val="24"/>
          <w:rtl/>
          <w:lang w:bidi="ar-DZ"/>
        </w:rPr>
        <w:t>.</w:t>
      </w:r>
      <w:r w:rsidRPr="003E166E">
        <w:rPr>
          <w:rFonts w:ascii="Simplified Arabic" w:hAnsi="Simplified Arabic" w:cs="Simplified Arabic" w:hint="cs"/>
          <w:sz w:val="24"/>
          <w:szCs w:val="24"/>
          <w:rtl/>
          <w:lang w:bidi="ar-DZ"/>
        </w:rPr>
        <w:t xml:space="preserve"> يشير ذلك الى توزيع متقارب يتج</w:t>
      </w:r>
      <w:r w:rsidR="00C577E6" w:rsidRPr="003E166E">
        <w:rPr>
          <w:rFonts w:ascii="Simplified Arabic" w:hAnsi="Simplified Arabic" w:cs="Simplified Arabic" w:hint="cs"/>
          <w:sz w:val="24"/>
          <w:szCs w:val="24"/>
          <w:rtl/>
          <w:lang w:bidi="ar-DZ"/>
        </w:rPr>
        <w:t>ه ناحية العشوائية لنقاط الظاهرة</w:t>
      </w:r>
      <w:r w:rsidR="00CA3620" w:rsidRPr="003E166E">
        <w:rPr>
          <w:rFonts w:ascii="Simplified Arabic" w:hAnsi="Simplified Arabic" w:cs="Simplified Arabic" w:hint="cs"/>
          <w:sz w:val="24"/>
          <w:szCs w:val="24"/>
          <w:rtl/>
          <w:lang w:bidi="ar-DZ"/>
        </w:rPr>
        <w:t>، لا يبدو نمط التوزيع مختلفا بشكل كبير عن العشوائية</w:t>
      </w:r>
      <w:r w:rsidR="00C577E6" w:rsidRPr="003E166E">
        <w:rPr>
          <w:rFonts w:ascii="Simplified Arabic" w:hAnsi="Simplified Arabic" w:cs="Simplified Arabic" w:hint="cs"/>
          <w:sz w:val="24"/>
          <w:szCs w:val="24"/>
          <w:rtl/>
          <w:lang w:bidi="ar-DZ"/>
        </w:rPr>
        <w:t xml:space="preserve">. </w:t>
      </w:r>
      <w:r w:rsidRPr="003E166E">
        <w:rPr>
          <w:rFonts w:ascii="Simplified Arabic" w:hAnsi="Simplified Arabic" w:cs="Simplified Arabic" w:hint="cs"/>
          <w:sz w:val="24"/>
          <w:szCs w:val="24"/>
          <w:rtl/>
          <w:lang w:bidi="ar-DZ"/>
        </w:rPr>
        <w:t xml:space="preserve">كما يدل ذلك </w:t>
      </w:r>
      <w:r w:rsidR="00C577E6" w:rsidRPr="003E166E">
        <w:rPr>
          <w:rFonts w:ascii="Simplified Arabic" w:hAnsi="Simplified Arabic" w:cs="Simplified Arabic" w:hint="cs"/>
          <w:sz w:val="24"/>
          <w:szCs w:val="24"/>
          <w:rtl/>
          <w:lang w:bidi="ar-DZ"/>
        </w:rPr>
        <w:t>على</w:t>
      </w:r>
      <w:r w:rsidRPr="003E166E">
        <w:rPr>
          <w:rFonts w:ascii="Simplified Arabic" w:hAnsi="Simplified Arabic" w:cs="Simplified Arabic" w:hint="cs"/>
          <w:sz w:val="24"/>
          <w:szCs w:val="24"/>
          <w:rtl/>
          <w:lang w:bidi="ar-DZ"/>
        </w:rPr>
        <w:t xml:space="preserve"> تركز معيار التكفل الطبي في مناطق دون غيرها، حيث تتقارب المسافة بين م</w:t>
      </w:r>
      <w:r w:rsidR="0031078D" w:rsidRPr="003E166E">
        <w:rPr>
          <w:rFonts w:ascii="Simplified Arabic" w:hAnsi="Simplified Arabic" w:cs="Simplified Arabic" w:hint="cs"/>
          <w:sz w:val="24"/>
          <w:szCs w:val="24"/>
          <w:rtl/>
          <w:lang w:bidi="ar-DZ"/>
        </w:rPr>
        <w:t>جموعة نقاط كبيرة ضمن مساحة ضيقة</w:t>
      </w:r>
      <w:r w:rsidR="00C577E6" w:rsidRPr="003E166E">
        <w:rPr>
          <w:rFonts w:ascii="Simplified Arabic" w:hAnsi="Simplified Arabic" w:cs="Simplified Arabic" w:hint="cs"/>
          <w:sz w:val="24"/>
          <w:szCs w:val="24"/>
          <w:rtl/>
          <w:lang w:bidi="ar-DZ"/>
        </w:rPr>
        <w:t xml:space="preserve">، </w:t>
      </w:r>
      <w:r w:rsidRPr="003E166E">
        <w:rPr>
          <w:rFonts w:ascii="Simplified Arabic" w:hAnsi="Simplified Arabic" w:cs="Simplified Arabic" w:hint="cs"/>
          <w:sz w:val="24"/>
          <w:szCs w:val="24"/>
          <w:rtl/>
          <w:lang w:bidi="ar-DZ"/>
        </w:rPr>
        <w:t xml:space="preserve">بينما القلة منها تتباعد المسافة فيما بينها ضمن مساحة </w:t>
      </w:r>
      <w:r w:rsidR="00C577E6" w:rsidRPr="003E166E">
        <w:rPr>
          <w:rFonts w:ascii="Simplified Arabic" w:hAnsi="Simplified Arabic" w:cs="Simplified Arabic" w:hint="cs"/>
          <w:sz w:val="24"/>
          <w:szCs w:val="24"/>
          <w:rtl/>
          <w:lang w:bidi="ar-DZ"/>
        </w:rPr>
        <w:t>واسعة</w:t>
      </w:r>
      <w:r w:rsidRPr="003E166E">
        <w:rPr>
          <w:rFonts w:ascii="Simplified Arabic" w:hAnsi="Simplified Arabic" w:cs="Simplified Arabic" w:hint="cs"/>
          <w:sz w:val="24"/>
          <w:szCs w:val="24"/>
          <w:rtl/>
          <w:lang w:bidi="ar-DZ"/>
        </w:rPr>
        <w:t>.</w:t>
      </w:r>
      <w:r w:rsidR="009E24B5" w:rsidRPr="003E166E">
        <w:rPr>
          <w:rFonts w:ascii="Simplified Arabic" w:hAnsi="Simplified Arabic" w:cs="Simplified Arabic" w:hint="cs"/>
          <w:sz w:val="24"/>
          <w:szCs w:val="24"/>
          <w:rtl/>
        </w:rPr>
        <w:t xml:space="preserve"> </w:t>
      </w:r>
    </w:p>
    <w:p w:rsidR="009E24B5" w:rsidRDefault="00C577E6" w:rsidP="00C36165">
      <w:pPr>
        <w:tabs>
          <w:tab w:val="right" w:pos="283"/>
          <w:tab w:val="right" w:pos="4110"/>
          <w:tab w:val="right" w:pos="4252"/>
        </w:tabs>
        <w:autoSpaceDE w:val="0"/>
        <w:autoSpaceDN w:val="0"/>
        <w:bidi/>
        <w:adjustRightInd w:val="0"/>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rPr>
        <w:t>من الناحية المكانية</w:t>
      </w:r>
      <w:r w:rsidR="0031078D">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 xml:space="preserve">اظهرت </w:t>
      </w:r>
      <w:r w:rsidR="009E24B5">
        <w:rPr>
          <w:rFonts w:ascii="Simplified Arabic" w:hAnsi="Simplified Arabic" w:cs="Simplified Arabic" w:hint="cs"/>
          <w:sz w:val="24"/>
          <w:szCs w:val="24"/>
          <w:rtl/>
          <w:lang w:bidi="ar-DZ"/>
        </w:rPr>
        <w:t>الخريطة (6-</w:t>
      </w:r>
      <w:r w:rsidR="00456E70">
        <w:rPr>
          <w:rFonts w:ascii="Simplified Arabic" w:hAnsi="Simplified Arabic" w:cs="Simplified Arabic" w:hint="cs"/>
          <w:sz w:val="24"/>
          <w:szCs w:val="24"/>
          <w:rtl/>
          <w:lang w:bidi="ar-DZ"/>
        </w:rPr>
        <w:t>8</w:t>
      </w:r>
      <w:r w:rsidR="009E24B5">
        <w:rPr>
          <w:rFonts w:ascii="Simplified Arabic" w:hAnsi="Simplified Arabic" w:cs="Simplified Arabic" w:hint="cs"/>
          <w:sz w:val="24"/>
          <w:szCs w:val="24"/>
          <w:rtl/>
          <w:lang w:bidi="ar-DZ"/>
        </w:rPr>
        <w:t xml:space="preserve">)، ان مساحة التغطية بخدمة التعليم الابتدائي </w:t>
      </w:r>
      <w:r w:rsidR="009E24B5" w:rsidRPr="00226F93">
        <w:rPr>
          <w:rFonts w:ascii="Simplified Arabic" w:hAnsi="Simplified Arabic" w:cs="Simplified Arabic" w:hint="cs"/>
          <w:sz w:val="24"/>
          <w:szCs w:val="24"/>
          <w:rtl/>
          <w:lang w:bidi="ar-DZ"/>
        </w:rPr>
        <w:t>على</w:t>
      </w:r>
      <w:r w:rsidR="009E24B5">
        <w:rPr>
          <w:rFonts w:ascii="Simplified Arabic" w:hAnsi="Simplified Arabic" w:cs="Simplified Arabic" w:hint="cs"/>
          <w:sz w:val="24"/>
          <w:szCs w:val="24"/>
          <w:rtl/>
          <w:lang w:bidi="ar-DZ"/>
        </w:rPr>
        <w:t xml:space="preserve"> مستوى حي القصر، بلاتو، </w:t>
      </w:r>
      <w:r>
        <w:rPr>
          <w:rFonts w:ascii="Simplified Arabic" w:hAnsi="Simplified Arabic" w:cs="Simplified Arabic" w:hint="cs"/>
          <w:sz w:val="24"/>
          <w:szCs w:val="24"/>
          <w:rtl/>
          <w:lang w:bidi="ar-DZ"/>
        </w:rPr>
        <w:t xml:space="preserve">سيدي سليمان </w:t>
      </w:r>
      <w:r w:rsidR="009E24B5">
        <w:rPr>
          <w:rFonts w:ascii="Simplified Arabic" w:hAnsi="Simplified Arabic" w:cs="Simplified Arabic" w:hint="cs"/>
          <w:sz w:val="24"/>
          <w:szCs w:val="24"/>
          <w:rtl/>
          <w:lang w:bidi="ar-DZ"/>
        </w:rPr>
        <w:t>والحمايد تتقارب ف</w:t>
      </w:r>
      <w:r>
        <w:rPr>
          <w:rFonts w:ascii="Simplified Arabic" w:hAnsi="Simplified Arabic" w:cs="Simplified Arabic" w:hint="cs"/>
          <w:sz w:val="24"/>
          <w:szCs w:val="24"/>
          <w:rtl/>
          <w:lang w:bidi="ar-DZ"/>
        </w:rPr>
        <w:t>ي</w:t>
      </w:r>
      <w:r w:rsidR="009E24B5">
        <w:rPr>
          <w:rFonts w:ascii="Simplified Arabic" w:hAnsi="Simplified Arabic" w:cs="Simplified Arabic" w:hint="cs"/>
          <w:sz w:val="24"/>
          <w:szCs w:val="24"/>
          <w:rtl/>
          <w:lang w:bidi="ar-DZ"/>
        </w:rPr>
        <w:t xml:space="preserve">ما بينها. </w:t>
      </w:r>
    </w:p>
    <w:p w:rsidR="005A0491" w:rsidRDefault="00C36165" w:rsidP="005A0491">
      <w:pPr>
        <w:tabs>
          <w:tab w:val="right" w:pos="4252"/>
        </w:tabs>
        <w:bidi/>
        <w:spacing w:before="240" w:after="0" w:line="240" w:lineRule="auto"/>
        <w:ind w:firstLine="283"/>
        <w:rPr>
          <w:noProof/>
          <w:rtl/>
          <w:lang w:eastAsia="fr-FR"/>
        </w:rPr>
      </w:pPr>
      <w:r w:rsidRPr="005A0491">
        <w:rPr>
          <w:rFonts w:cs="Arial"/>
          <w:noProof/>
          <w:rtl/>
          <w:lang w:eastAsia="fr-FR"/>
        </w:rPr>
        <mc:AlternateContent>
          <mc:Choice Requires="wps">
            <w:drawing>
              <wp:anchor distT="0" distB="0" distL="114300" distR="114300" simplePos="0" relativeHeight="251722240" behindDoc="0" locked="0" layoutInCell="1" allowOverlap="1" wp14:anchorId="28E34080" wp14:editId="312E4245">
                <wp:simplePos x="0" y="0"/>
                <wp:positionH relativeFrom="column">
                  <wp:posOffset>3153170</wp:posOffset>
                </wp:positionH>
                <wp:positionV relativeFrom="paragraph">
                  <wp:posOffset>205357</wp:posOffset>
                </wp:positionV>
                <wp:extent cx="2569210" cy="4761230"/>
                <wp:effectExtent l="0" t="0" r="21590" b="20320"/>
                <wp:wrapNone/>
                <wp:docPr id="305" name="Zone de texte 305"/>
                <wp:cNvGraphicFramePr/>
                <a:graphic xmlns:a="http://schemas.openxmlformats.org/drawingml/2006/main">
                  <a:graphicData uri="http://schemas.microsoft.com/office/word/2010/wordprocessingShape">
                    <wps:wsp>
                      <wps:cNvSpPr txBox="1"/>
                      <wps:spPr>
                        <a:xfrm>
                          <a:off x="0" y="0"/>
                          <a:ext cx="2569210" cy="4761230"/>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Pr="00A251AC" w:rsidRDefault="00D13702" w:rsidP="00A251AC">
                            <w:pPr>
                              <w:pStyle w:val="fegure"/>
                              <w:rPr>
                                <w:sz w:val="22"/>
                                <w:szCs w:val="22"/>
                                <w:rtl/>
                                <w:lang w:val="en-US" w:bidi="ar-DZ"/>
                              </w:rPr>
                            </w:pPr>
                            <w:bookmarkStart w:id="892" w:name="_Toc157608374"/>
                            <w:bookmarkStart w:id="893" w:name="_Toc157790931"/>
                            <w:bookmarkStart w:id="894" w:name="_Toc171803842"/>
                            <w:r w:rsidRPr="00A251AC">
                              <w:rPr>
                                <w:rFonts w:hint="cs"/>
                                <w:sz w:val="22"/>
                                <w:szCs w:val="22"/>
                                <w:rtl/>
                                <w:lang w:bidi="ar-DZ"/>
                              </w:rPr>
                              <w:t xml:space="preserve">الشكل (6-20) </w:t>
                            </w:r>
                            <w:r w:rsidRPr="00A251AC">
                              <w:rPr>
                                <w:rFonts w:hint="cs"/>
                                <w:sz w:val="22"/>
                                <w:szCs w:val="22"/>
                                <w:rtl/>
                                <w:lang w:val="en-US" w:bidi="ar-DZ"/>
                              </w:rPr>
                              <w:t>تحليل الجار الاقرب</w:t>
                            </w:r>
                            <w:bookmarkEnd w:id="892"/>
                            <w:bookmarkEnd w:id="893"/>
                            <w:bookmarkEnd w:id="894"/>
                            <w:r w:rsidRPr="00A251AC">
                              <w:rPr>
                                <w:rFonts w:hint="cs"/>
                                <w:sz w:val="22"/>
                                <w:szCs w:val="22"/>
                                <w:rtl/>
                                <w:lang w:val="en-US" w:bidi="ar-DZ"/>
                              </w:rPr>
                              <w:t xml:space="preserve"> </w:t>
                            </w:r>
                          </w:p>
                          <w:p w:rsidR="00D13702" w:rsidRDefault="00D13702" w:rsidP="00A251AC">
                            <w:pPr>
                              <w:pStyle w:val="fegure"/>
                              <w:rPr>
                                <w:rFonts w:asciiTheme="majorBidi" w:eastAsia="Times New Roman" w:hAnsiTheme="majorBidi" w:cstheme="majorBidi"/>
                                <w:b/>
                                <w:sz w:val="22"/>
                                <w:szCs w:val="22"/>
                                <w:rtl/>
                                <w:lang w:val="en-US" w:eastAsia="fr-FR"/>
                              </w:rPr>
                            </w:pPr>
                            <w:bookmarkStart w:id="895" w:name="_Toc157608375"/>
                            <w:bookmarkStart w:id="896" w:name="_Toc157790932"/>
                            <w:bookmarkStart w:id="897" w:name="_Toc171803843"/>
                            <w:r w:rsidRPr="00A251AC">
                              <w:rPr>
                                <w:rFonts w:hint="cs"/>
                                <w:sz w:val="22"/>
                                <w:szCs w:val="22"/>
                                <w:rtl/>
                                <w:lang w:val="en-US" w:bidi="ar-DZ"/>
                              </w:rPr>
                              <w:t xml:space="preserve">لمعيار </w:t>
                            </w:r>
                            <w:r w:rsidRPr="00A251AC">
                              <w:rPr>
                                <w:sz w:val="22"/>
                                <w:szCs w:val="22"/>
                                <w:rtl/>
                                <w:lang w:val="en-US" w:bidi="ar-DZ"/>
                              </w:rPr>
                              <w:t>الايواء المؤقت</w:t>
                            </w:r>
                            <w:r w:rsidRPr="00A251AC">
                              <w:rPr>
                                <w:rFonts w:eastAsia="Times New Roman" w:hint="cs"/>
                                <w:b/>
                                <w:sz w:val="22"/>
                                <w:szCs w:val="22"/>
                                <w:rtl/>
                                <w:lang w:val="en-US" w:eastAsia="fr-FR"/>
                              </w:rPr>
                              <w:t xml:space="preserve"> </w:t>
                            </w:r>
                            <w:r w:rsidRPr="00A251AC">
                              <w:rPr>
                                <w:rFonts w:eastAsia="Times New Roman"/>
                                <w:b/>
                                <w:sz w:val="22"/>
                                <w:szCs w:val="22"/>
                                <w:lang w:val="en-US" w:eastAsia="fr-FR"/>
                              </w:rPr>
                              <w:t xml:space="preserve"> </w:t>
                            </w:r>
                            <w:r w:rsidRPr="00A251AC">
                              <w:rPr>
                                <w:rFonts w:asciiTheme="majorBidi" w:eastAsia="Times New Roman" w:hAnsiTheme="majorBidi" w:cstheme="majorBidi"/>
                                <w:b/>
                                <w:sz w:val="22"/>
                                <w:szCs w:val="22"/>
                                <w:lang w:val="en-US" w:eastAsia="fr-FR"/>
                              </w:rPr>
                              <w:t>C4</w:t>
                            </w:r>
                            <w:bookmarkEnd w:id="895"/>
                            <w:bookmarkEnd w:id="896"/>
                            <w:bookmarkEnd w:id="897"/>
                          </w:p>
                          <w:p w:rsidR="00D13702" w:rsidRPr="00986BEA" w:rsidRDefault="00D13702" w:rsidP="00986BEA">
                            <w:pPr>
                              <w:pStyle w:val="fegure"/>
                              <w:rPr>
                                <w:sz w:val="8"/>
                                <w:szCs w:val="24"/>
                                <w:rtl/>
                                <w:lang w:val="en-US"/>
                              </w:rPr>
                            </w:pPr>
                            <w:bookmarkStart w:id="898" w:name="_Toc171803844"/>
                            <w:r>
                              <w:rPr>
                                <w:rFonts w:hint="cs"/>
                                <w:sz w:val="8"/>
                                <w:szCs w:val="24"/>
                                <w:rtl/>
                                <w:lang w:val="en-US" w:bidi="ar-DZ"/>
                              </w:rPr>
                              <w:t xml:space="preserve">المصدر: </w:t>
                            </w:r>
                            <w:r>
                              <w:rPr>
                                <w:rFonts w:hint="cs"/>
                                <w:sz w:val="8"/>
                                <w:szCs w:val="24"/>
                                <w:rtl/>
                                <w:lang w:val="en-US"/>
                              </w:rPr>
                              <w:t>(الباحث، 2022)</w:t>
                            </w:r>
                            <w:bookmarkEnd w:id="898"/>
                          </w:p>
                          <w:p w:rsidR="00D13702" w:rsidRDefault="00D13702" w:rsidP="005A0491">
                            <w:pPr>
                              <w:bidi/>
                              <w:spacing w:after="0" w:line="240" w:lineRule="auto"/>
                              <w:jc w:val="center"/>
                            </w:pPr>
                            <w:r>
                              <w:rPr>
                                <w:noProof/>
                                <w:lang w:eastAsia="fr-FR"/>
                              </w:rPr>
                              <w:drawing>
                                <wp:inline distT="0" distB="0" distL="0" distR="0" wp14:anchorId="2FDF3E60" wp14:editId="2268B72D">
                                  <wp:extent cx="2411062" cy="3812876"/>
                                  <wp:effectExtent l="19050" t="19050" r="27940" b="16510"/>
                                  <wp:docPr id="25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4" cstate="print">
                                            <a:extLst>
                                              <a:ext uri="{28A0092B-C50C-407E-A947-70E740481C1C}">
                                                <a14:useLocalDpi xmlns:a14="http://schemas.microsoft.com/office/drawing/2010/main" val="0"/>
                                              </a:ext>
                                            </a:extLst>
                                          </a:blip>
                                          <a:stretch>
                                            <a:fillRect/>
                                          </a:stretch>
                                        </pic:blipFill>
                                        <pic:spPr>
                                          <a:xfrm>
                                            <a:off x="0" y="0"/>
                                            <a:ext cx="2410454" cy="3811914"/>
                                          </a:xfrm>
                                          <a:prstGeom prst="rect">
                                            <a:avLst/>
                                          </a:prstGeom>
                                          <a:ln>
                                            <a:solidFill>
                                              <a:schemeClr val="tx1"/>
                                            </a:solid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05" o:spid="_x0000_s1063" type="#_x0000_t202" style="position:absolute;left:0;text-align:left;margin-left:248.3pt;margin-top:16.15pt;width:202.3pt;height:374.9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" fillcolor="white [3201]" strokecolor="black [3213]" strokeweight=".25pt">
                <v:textbox>
                  <w:txbxContent>
                    <w:p w:rsidR="00D13702" w:rsidRPr="00A251AC" w:rsidRDefault="00D13702" w:rsidP="00A251AC">
                      <w:pPr>
                        <w:pStyle w:val="fegure"/>
                        <w:rPr>
                          <w:sz w:val="22"/>
                          <w:szCs w:val="22"/>
                          <w:rtl/>
                          <w:lang w:val="en-US" w:bidi="ar-DZ"/>
                        </w:rPr>
                      </w:pPr>
                      <w:bookmarkStart w:id="934" w:name="_Toc157608374"/>
                      <w:bookmarkStart w:id="935" w:name="_Toc157790931"/>
                      <w:bookmarkStart w:id="936" w:name="_Toc171803842"/>
                      <w:r w:rsidRPr="00A251AC">
                        <w:rPr>
                          <w:rFonts w:hint="cs"/>
                          <w:sz w:val="22"/>
                          <w:szCs w:val="22"/>
                          <w:rtl/>
                          <w:lang w:bidi="ar-DZ"/>
                        </w:rPr>
                        <w:t xml:space="preserve">الشكل (6-20) </w:t>
                      </w:r>
                      <w:r w:rsidRPr="00A251AC">
                        <w:rPr>
                          <w:rFonts w:hint="cs"/>
                          <w:sz w:val="22"/>
                          <w:szCs w:val="22"/>
                          <w:rtl/>
                          <w:lang w:val="en-US" w:bidi="ar-DZ"/>
                        </w:rPr>
                        <w:t>تحليل الجار الاقرب</w:t>
                      </w:r>
                      <w:bookmarkEnd w:id="934"/>
                      <w:bookmarkEnd w:id="935"/>
                      <w:bookmarkEnd w:id="936"/>
                      <w:r w:rsidRPr="00A251AC">
                        <w:rPr>
                          <w:rFonts w:hint="cs"/>
                          <w:sz w:val="22"/>
                          <w:szCs w:val="22"/>
                          <w:rtl/>
                          <w:lang w:val="en-US" w:bidi="ar-DZ"/>
                        </w:rPr>
                        <w:t xml:space="preserve"> </w:t>
                      </w:r>
                    </w:p>
                    <w:p w:rsidR="00D13702" w:rsidRDefault="00D13702" w:rsidP="00A251AC">
                      <w:pPr>
                        <w:pStyle w:val="fegure"/>
                        <w:rPr>
                          <w:rFonts w:asciiTheme="majorBidi" w:eastAsia="Times New Roman" w:hAnsiTheme="majorBidi" w:cstheme="majorBidi"/>
                          <w:b/>
                          <w:sz w:val="22"/>
                          <w:szCs w:val="22"/>
                          <w:rtl/>
                          <w:lang w:val="en-US" w:eastAsia="fr-FR"/>
                        </w:rPr>
                      </w:pPr>
                      <w:bookmarkStart w:id="937" w:name="_Toc157608375"/>
                      <w:bookmarkStart w:id="938" w:name="_Toc157790932"/>
                      <w:bookmarkStart w:id="939" w:name="_Toc171803843"/>
                      <w:r w:rsidRPr="00A251AC">
                        <w:rPr>
                          <w:rFonts w:hint="cs"/>
                          <w:sz w:val="22"/>
                          <w:szCs w:val="22"/>
                          <w:rtl/>
                          <w:lang w:val="en-US" w:bidi="ar-DZ"/>
                        </w:rPr>
                        <w:t xml:space="preserve">لمعيار </w:t>
                      </w:r>
                      <w:r w:rsidRPr="00A251AC">
                        <w:rPr>
                          <w:sz w:val="22"/>
                          <w:szCs w:val="22"/>
                          <w:rtl/>
                          <w:lang w:val="en-US" w:bidi="ar-DZ"/>
                        </w:rPr>
                        <w:t>الايواء المؤقت</w:t>
                      </w:r>
                      <w:r w:rsidRPr="00A251AC">
                        <w:rPr>
                          <w:rFonts w:eastAsia="Times New Roman" w:hint="cs"/>
                          <w:b/>
                          <w:sz w:val="22"/>
                          <w:szCs w:val="22"/>
                          <w:rtl/>
                          <w:lang w:val="en-US" w:eastAsia="fr-FR"/>
                        </w:rPr>
                        <w:t xml:space="preserve"> </w:t>
                      </w:r>
                      <w:r w:rsidRPr="00A251AC">
                        <w:rPr>
                          <w:rFonts w:eastAsia="Times New Roman"/>
                          <w:b/>
                          <w:sz w:val="22"/>
                          <w:szCs w:val="22"/>
                          <w:lang w:val="en-US" w:eastAsia="fr-FR"/>
                        </w:rPr>
                        <w:t xml:space="preserve"> </w:t>
                      </w:r>
                      <w:r w:rsidRPr="00A251AC">
                        <w:rPr>
                          <w:rFonts w:asciiTheme="majorBidi" w:eastAsia="Times New Roman" w:hAnsiTheme="majorBidi" w:cstheme="majorBidi"/>
                          <w:b/>
                          <w:sz w:val="22"/>
                          <w:szCs w:val="22"/>
                          <w:lang w:val="en-US" w:eastAsia="fr-FR"/>
                        </w:rPr>
                        <w:t>C4</w:t>
                      </w:r>
                      <w:bookmarkEnd w:id="937"/>
                      <w:bookmarkEnd w:id="938"/>
                      <w:bookmarkEnd w:id="939"/>
                    </w:p>
                    <w:p w:rsidR="00D13702" w:rsidRPr="00986BEA" w:rsidRDefault="00D13702" w:rsidP="00986BEA">
                      <w:pPr>
                        <w:pStyle w:val="fegure"/>
                        <w:rPr>
                          <w:sz w:val="8"/>
                          <w:szCs w:val="24"/>
                          <w:rtl/>
                          <w:lang w:val="en-US"/>
                        </w:rPr>
                      </w:pPr>
                      <w:bookmarkStart w:id="940" w:name="_Toc171803844"/>
                      <w:r>
                        <w:rPr>
                          <w:rFonts w:hint="cs"/>
                          <w:sz w:val="8"/>
                          <w:szCs w:val="24"/>
                          <w:rtl/>
                          <w:lang w:val="en-US" w:bidi="ar-DZ"/>
                        </w:rPr>
                        <w:t xml:space="preserve">المصدر: </w:t>
                      </w:r>
                      <w:r>
                        <w:rPr>
                          <w:rFonts w:hint="cs"/>
                          <w:sz w:val="8"/>
                          <w:szCs w:val="24"/>
                          <w:rtl/>
                          <w:lang w:val="en-US"/>
                        </w:rPr>
                        <w:t>(الباحث، 2022)</w:t>
                      </w:r>
                      <w:bookmarkEnd w:id="940"/>
                    </w:p>
                    <w:p w:rsidR="00D13702" w:rsidRDefault="00D13702" w:rsidP="005A0491">
                      <w:pPr>
                        <w:bidi/>
                        <w:spacing w:after="0" w:line="240" w:lineRule="auto"/>
                        <w:jc w:val="center"/>
                      </w:pPr>
                      <w:r>
                        <w:rPr>
                          <w:noProof/>
                          <w:lang w:eastAsia="fr-FR"/>
                        </w:rPr>
                        <w:drawing>
                          <wp:inline distT="0" distB="0" distL="0" distR="0" wp14:anchorId="268E585B" wp14:editId="3DE06A8F">
                            <wp:extent cx="2411062" cy="3812876"/>
                            <wp:effectExtent l="19050" t="19050" r="27940" b="16510"/>
                            <wp:docPr id="25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5" cstate="print">
                                      <a:extLst>
                                        <a:ext uri="{28A0092B-C50C-407E-A947-70E740481C1C}">
                                          <a14:useLocalDpi xmlns:a14="http://schemas.microsoft.com/office/drawing/2010/main" val="0"/>
                                        </a:ext>
                                      </a:extLst>
                                    </a:blip>
                                    <a:stretch>
                                      <a:fillRect/>
                                    </a:stretch>
                                  </pic:blipFill>
                                  <pic:spPr>
                                    <a:xfrm>
                                      <a:off x="0" y="0"/>
                                      <a:ext cx="2410454" cy="3811914"/>
                                    </a:xfrm>
                                    <a:prstGeom prst="rect">
                                      <a:avLst/>
                                    </a:prstGeom>
                                    <a:ln>
                                      <a:solidFill>
                                        <a:schemeClr val="tx1"/>
                                      </a:solidFill>
                                    </a:ln>
                                  </pic:spPr>
                                </pic:pic>
                              </a:graphicData>
                            </a:graphic>
                          </wp:inline>
                        </w:drawing>
                      </w:r>
                    </w:p>
                  </w:txbxContent>
                </v:textbox>
              </v:shape>
            </w:pict>
          </mc:Fallback>
        </mc:AlternateContent>
      </w:r>
      <w:r w:rsidRPr="005A0491">
        <w:rPr>
          <w:rFonts w:cs="Arial"/>
          <w:noProof/>
          <w:rtl/>
          <w:lang w:eastAsia="fr-FR"/>
        </w:rPr>
        <mc:AlternateContent>
          <mc:Choice Requires="wps">
            <w:drawing>
              <wp:anchor distT="0" distB="0" distL="114300" distR="114300" simplePos="0" relativeHeight="251729408" behindDoc="0" locked="0" layoutInCell="1" allowOverlap="1" wp14:anchorId="56B12DC0" wp14:editId="66351309">
                <wp:simplePos x="0" y="0"/>
                <wp:positionH relativeFrom="column">
                  <wp:posOffset>12700</wp:posOffset>
                </wp:positionH>
                <wp:positionV relativeFrom="paragraph">
                  <wp:posOffset>205105</wp:posOffset>
                </wp:positionV>
                <wp:extent cx="3044825" cy="4761230"/>
                <wp:effectExtent l="0" t="0" r="22225" b="20320"/>
                <wp:wrapNone/>
                <wp:docPr id="306" name="Zone de texte 306"/>
                <wp:cNvGraphicFramePr/>
                <a:graphic xmlns:a="http://schemas.openxmlformats.org/drawingml/2006/main">
                  <a:graphicData uri="http://schemas.microsoft.com/office/word/2010/wordprocessingShape">
                    <wps:wsp>
                      <wps:cNvSpPr txBox="1"/>
                      <wps:spPr>
                        <a:xfrm>
                          <a:off x="0" y="0"/>
                          <a:ext cx="3044825" cy="4761230"/>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277010">
                            <w:pPr>
                              <w:pStyle w:val="carte"/>
                              <w:spacing w:before="0" w:after="0"/>
                              <w:rPr>
                                <w:sz w:val="22"/>
                                <w:szCs w:val="22"/>
                                <w:rtl/>
                                <w:lang w:val="en-US" w:bidi="ar-DZ"/>
                              </w:rPr>
                            </w:pPr>
                            <w:bookmarkStart w:id="899" w:name="_Toc157616616"/>
                            <w:bookmarkStart w:id="900" w:name="_Toc171803845"/>
                            <w:r w:rsidRPr="00383F18">
                              <w:rPr>
                                <w:rFonts w:hint="cs"/>
                                <w:sz w:val="22"/>
                                <w:szCs w:val="22"/>
                                <w:rtl/>
                                <w:lang w:bidi="ar-DZ"/>
                              </w:rPr>
                              <w:t xml:space="preserve">الخريطة (6-8) مساحة التغطية بخدمة </w:t>
                            </w:r>
                            <w:r w:rsidRPr="00383F18">
                              <w:rPr>
                                <w:rFonts w:hint="cs"/>
                                <w:sz w:val="22"/>
                                <w:szCs w:val="22"/>
                                <w:rtl/>
                                <w:lang w:val="en-US" w:bidi="ar-DZ"/>
                              </w:rPr>
                              <w:t>التعليم الابتدائي</w:t>
                            </w:r>
                            <w:bookmarkEnd w:id="899"/>
                            <w:bookmarkEnd w:id="900"/>
                          </w:p>
                          <w:p w:rsidR="00D13702" w:rsidRPr="00986BEA" w:rsidRDefault="00D13702" w:rsidP="00277010">
                            <w:pPr>
                              <w:pStyle w:val="fegure"/>
                              <w:rPr>
                                <w:sz w:val="8"/>
                                <w:szCs w:val="24"/>
                                <w:rtl/>
                                <w:lang w:val="en-US"/>
                              </w:rPr>
                            </w:pPr>
                            <w:bookmarkStart w:id="901" w:name="_Toc171803846"/>
                            <w:r>
                              <w:rPr>
                                <w:rFonts w:hint="cs"/>
                                <w:sz w:val="8"/>
                                <w:szCs w:val="24"/>
                                <w:rtl/>
                                <w:lang w:val="en-US" w:bidi="ar-DZ"/>
                              </w:rPr>
                              <w:t xml:space="preserve">المصدر: </w:t>
                            </w:r>
                            <w:r>
                              <w:rPr>
                                <w:rFonts w:hint="cs"/>
                                <w:sz w:val="8"/>
                                <w:szCs w:val="24"/>
                                <w:rtl/>
                                <w:lang w:val="en-US"/>
                              </w:rPr>
                              <w:t>(الباحث، 2022)</w:t>
                            </w:r>
                            <w:bookmarkEnd w:id="901"/>
                          </w:p>
                          <w:p w:rsidR="00D13702" w:rsidRDefault="00D13702" w:rsidP="00C36165">
                            <w:pPr>
                              <w:autoSpaceDE w:val="0"/>
                              <w:autoSpaceDN w:val="0"/>
                              <w:bidi/>
                              <w:adjustRightInd w:val="0"/>
                              <w:spacing w:after="0" w:line="240" w:lineRule="auto"/>
                              <w:ind w:left="-181"/>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18DD0434" wp14:editId="71F70326">
                                  <wp:extent cx="2983299" cy="3657600"/>
                                  <wp:effectExtent l="0" t="0" r="7620" b="0"/>
                                  <wp:docPr id="253"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6" cstate="print">
                                            <a:extLst>
                                              <a:ext uri="{28A0092B-C50C-407E-A947-70E740481C1C}">
                                                <a14:useLocalDpi xmlns:a14="http://schemas.microsoft.com/office/drawing/2010/main" val="0"/>
                                              </a:ext>
                                            </a:extLst>
                                          </a:blip>
                                          <a:srcRect t="8053"/>
                                          <a:stretch/>
                                        </pic:blipFill>
                                        <pic:spPr bwMode="auto">
                                          <a:xfrm>
                                            <a:off x="0" y="0"/>
                                            <a:ext cx="2997034" cy="3674439"/>
                                          </a:xfrm>
                                          <a:prstGeom prst="rect">
                                            <a:avLst/>
                                          </a:prstGeom>
                                          <a:noFill/>
                                          <a:ln>
                                            <a:noFill/>
                                          </a:ln>
                                          <a:extLst>
                                            <a:ext uri="{53640926-AAD7-44D8-BBD7-CCE9431645EC}">
                                              <a14:shadowObscured xmlns:a14="http://schemas.microsoft.com/office/drawing/2010/main"/>
                                            </a:ext>
                                          </a:extLst>
                                        </pic:spPr>
                                      </pic:pic>
                                    </a:graphicData>
                                  </a:graphic>
                                </wp:inline>
                              </w:drawing>
                            </w:r>
                          </w:p>
                          <w:p w:rsidR="00D13702" w:rsidRDefault="00D13702" w:rsidP="005A0491">
                            <w:pPr>
                              <w:rPr>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06" o:spid="_x0000_s1064" type="#_x0000_t202" style="position:absolute;left:0;text-align:left;margin-left:1pt;margin-top:16.15pt;width:239.75pt;height:374.9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" fillcolor="white [3201]" strokecolor="black [3213]" strokeweight=".25pt">
                <v:textbox>
                  <w:txbxContent>
                    <w:p w:rsidR="00D13702" w:rsidRDefault="00D13702" w:rsidP="00277010">
                      <w:pPr>
                        <w:pStyle w:val="carte"/>
                        <w:spacing w:before="0" w:after="0"/>
                        <w:rPr>
                          <w:sz w:val="22"/>
                          <w:szCs w:val="22"/>
                          <w:rtl/>
                          <w:lang w:val="en-US" w:bidi="ar-DZ"/>
                        </w:rPr>
                      </w:pPr>
                      <w:bookmarkStart w:id="944" w:name="_Toc157616616"/>
                      <w:bookmarkStart w:id="945" w:name="_Toc171803845"/>
                      <w:r w:rsidRPr="00383F18">
                        <w:rPr>
                          <w:rFonts w:hint="cs"/>
                          <w:sz w:val="22"/>
                          <w:szCs w:val="22"/>
                          <w:rtl/>
                          <w:lang w:bidi="ar-DZ"/>
                        </w:rPr>
                        <w:t xml:space="preserve">الخريطة (6-8) مساحة التغطية بخدمة </w:t>
                      </w:r>
                      <w:r w:rsidRPr="00383F18">
                        <w:rPr>
                          <w:rFonts w:hint="cs"/>
                          <w:sz w:val="22"/>
                          <w:szCs w:val="22"/>
                          <w:rtl/>
                          <w:lang w:val="en-US" w:bidi="ar-DZ"/>
                        </w:rPr>
                        <w:t>التعليم الابتدائي</w:t>
                      </w:r>
                      <w:bookmarkEnd w:id="944"/>
                      <w:bookmarkEnd w:id="945"/>
                    </w:p>
                    <w:p w:rsidR="00D13702" w:rsidRPr="00986BEA" w:rsidRDefault="00D13702" w:rsidP="00277010">
                      <w:pPr>
                        <w:pStyle w:val="fegure"/>
                        <w:rPr>
                          <w:sz w:val="8"/>
                          <w:szCs w:val="24"/>
                          <w:rtl/>
                          <w:lang w:val="en-US"/>
                        </w:rPr>
                      </w:pPr>
                      <w:bookmarkStart w:id="946" w:name="_Toc171803846"/>
                      <w:r>
                        <w:rPr>
                          <w:rFonts w:hint="cs"/>
                          <w:sz w:val="8"/>
                          <w:szCs w:val="24"/>
                          <w:rtl/>
                          <w:lang w:val="en-US" w:bidi="ar-DZ"/>
                        </w:rPr>
                        <w:t xml:space="preserve">المصدر: </w:t>
                      </w:r>
                      <w:r>
                        <w:rPr>
                          <w:rFonts w:hint="cs"/>
                          <w:sz w:val="8"/>
                          <w:szCs w:val="24"/>
                          <w:rtl/>
                          <w:lang w:val="en-US"/>
                        </w:rPr>
                        <w:t>(الباحث، 2022)</w:t>
                      </w:r>
                      <w:bookmarkEnd w:id="946"/>
                    </w:p>
                    <w:p w:rsidR="00D13702" w:rsidRDefault="00D13702" w:rsidP="00C36165">
                      <w:pPr>
                        <w:autoSpaceDE w:val="0"/>
                        <w:autoSpaceDN w:val="0"/>
                        <w:bidi/>
                        <w:adjustRightInd w:val="0"/>
                        <w:spacing w:after="0" w:line="240" w:lineRule="auto"/>
                        <w:ind w:left="-181"/>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4007BD65" wp14:editId="03F9925A">
                            <wp:extent cx="2983299" cy="3657600"/>
                            <wp:effectExtent l="0" t="0" r="7620" b="0"/>
                            <wp:docPr id="253"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7" cstate="print">
                                      <a:extLst>
                                        <a:ext uri="{28A0092B-C50C-407E-A947-70E740481C1C}">
                                          <a14:useLocalDpi xmlns:a14="http://schemas.microsoft.com/office/drawing/2010/main" val="0"/>
                                        </a:ext>
                                      </a:extLst>
                                    </a:blip>
                                    <a:srcRect t="8053"/>
                                    <a:stretch/>
                                  </pic:blipFill>
                                  <pic:spPr bwMode="auto">
                                    <a:xfrm>
                                      <a:off x="0" y="0"/>
                                      <a:ext cx="2997034" cy="3674439"/>
                                    </a:xfrm>
                                    <a:prstGeom prst="rect">
                                      <a:avLst/>
                                    </a:prstGeom>
                                    <a:noFill/>
                                    <a:ln>
                                      <a:noFill/>
                                    </a:ln>
                                    <a:extLst>
                                      <a:ext uri="{53640926-AAD7-44D8-BBD7-CCE9431645EC}">
                                        <a14:shadowObscured xmlns:a14="http://schemas.microsoft.com/office/drawing/2010/main"/>
                                      </a:ext>
                                    </a:extLst>
                                  </pic:spPr>
                                </pic:pic>
                              </a:graphicData>
                            </a:graphic>
                          </wp:inline>
                        </w:drawing>
                      </w:r>
                    </w:p>
                    <w:p w:rsidR="00D13702" w:rsidRDefault="00D13702" w:rsidP="005A0491">
                      <w:pPr>
                        <w:rPr>
                          <w:lang w:bidi="ar-DZ"/>
                        </w:rPr>
                      </w:pPr>
                    </w:p>
                  </w:txbxContent>
                </v:textbox>
              </v:shape>
            </w:pict>
          </mc:Fallback>
        </mc:AlternateContent>
      </w: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5A0491" w:rsidRDefault="005A0491" w:rsidP="005A0491">
      <w:pPr>
        <w:tabs>
          <w:tab w:val="right" w:pos="4252"/>
        </w:tabs>
        <w:bidi/>
        <w:spacing w:before="240" w:after="0" w:line="240" w:lineRule="auto"/>
        <w:ind w:firstLine="283"/>
        <w:rPr>
          <w:noProof/>
          <w:rtl/>
          <w:lang w:eastAsia="fr-FR"/>
        </w:rPr>
      </w:pPr>
    </w:p>
    <w:p w:rsidR="00860073" w:rsidRDefault="00860073" w:rsidP="00DD7278">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860073" w:rsidRDefault="00860073" w:rsidP="00860073">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7A371C" w:rsidRDefault="007A371C" w:rsidP="007A371C">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277010" w:rsidRDefault="00277010" w:rsidP="00277010">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277010" w:rsidRDefault="00277010" w:rsidP="00277010">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277010" w:rsidRDefault="00277010" w:rsidP="00277010">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277010" w:rsidRDefault="00277010" w:rsidP="00277010">
      <w:pPr>
        <w:autoSpaceDE w:val="0"/>
        <w:autoSpaceDN w:val="0"/>
        <w:bidi/>
        <w:adjustRightInd w:val="0"/>
        <w:spacing w:before="240" w:after="0"/>
        <w:ind w:firstLine="283"/>
        <w:jc w:val="both"/>
        <w:rPr>
          <w:rFonts w:ascii="Simplified Arabic" w:hAnsi="Simplified Arabic" w:cs="Simplified Arabic"/>
          <w:sz w:val="24"/>
          <w:szCs w:val="24"/>
          <w:rtl/>
          <w:lang w:bidi="ar-DZ"/>
        </w:rPr>
      </w:pPr>
    </w:p>
    <w:p w:rsidR="00180C88" w:rsidRPr="003E166E" w:rsidRDefault="00B136D1" w:rsidP="00277010">
      <w:pPr>
        <w:pStyle w:val="Paragraphedeliste"/>
        <w:numPr>
          <w:ilvl w:val="0"/>
          <w:numId w:val="69"/>
        </w:numPr>
        <w:tabs>
          <w:tab w:val="right" w:pos="708"/>
        </w:tabs>
        <w:autoSpaceDE w:val="0"/>
        <w:autoSpaceDN w:val="0"/>
        <w:bidi/>
        <w:adjustRightInd w:val="0"/>
        <w:spacing w:before="240" w:after="0"/>
        <w:ind w:left="0" w:firstLine="283"/>
        <w:jc w:val="both"/>
        <w:rPr>
          <w:rFonts w:ascii="Simplified Arabic" w:hAnsi="Simplified Arabic" w:cs="Simplified Arabic"/>
          <w:sz w:val="24"/>
          <w:szCs w:val="24"/>
          <w:rtl/>
        </w:rPr>
      </w:pPr>
      <w:r w:rsidRPr="003E166E">
        <w:rPr>
          <w:rFonts w:ascii="Simplified Arabic" w:hAnsi="Simplified Arabic" w:cs="Simplified Arabic" w:hint="cs"/>
          <w:sz w:val="24"/>
          <w:szCs w:val="24"/>
          <w:rtl/>
          <w:lang w:bidi="ar-DZ"/>
        </w:rPr>
        <w:lastRenderedPageBreak/>
        <w:t xml:space="preserve">بعد تحليل صلة الجوار لمواقع معيار </w:t>
      </w:r>
      <w:r w:rsidRPr="003E166E">
        <w:rPr>
          <w:rFonts w:ascii="Simplified Arabic" w:hAnsi="Simplified Arabic" w:cs="Simplified Arabic"/>
          <w:sz w:val="24"/>
          <w:szCs w:val="24"/>
          <w:rtl/>
          <w:lang w:bidi="ar-DZ"/>
        </w:rPr>
        <w:t>التضامن والتموين</w:t>
      </w:r>
      <w:r w:rsidR="003E166E" w:rsidRPr="003E166E">
        <w:rPr>
          <w:rFonts w:ascii="Simplified Arabic" w:hAnsi="Simplified Arabic" w:cs="Simplified Arabic" w:hint="cs"/>
          <w:sz w:val="24"/>
          <w:szCs w:val="24"/>
          <w:rtl/>
          <w:lang w:bidi="ar-DZ"/>
        </w:rPr>
        <w:t xml:space="preserve"> </w:t>
      </w:r>
      <w:r w:rsidR="003E166E" w:rsidRPr="003E166E">
        <w:rPr>
          <w:rFonts w:asciiTheme="majorBidi" w:eastAsia="Times New Roman" w:hAnsiTheme="majorBidi" w:cstheme="majorBidi"/>
          <w:b/>
          <w:lang w:val="en-US" w:eastAsia="fr-FR"/>
        </w:rPr>
        <w:t>C5</w:t>
      </w:r>
      <w:r w:rsidR="00C577E6" w:rsidRPr="003E166E">
        <w:rPr>
          <w:rFonts w:ascii="Simplified Arabic" w:hAnsi="Simplified Arabic" w:cs="Simplified Arabic" w:hint="cs"/>
          <w:sz w:val="24"/>
          <w:szCs w:val="24"/>
          <w:rtl/>
        </w:rPr>
        <w:t>، الشكل (6-</w:t>
      </w:r>
      <w:r w:rsidR="005373F7" w:rsidRPr="003E166E">
        <w:rPr>
          <w:rFonts w:ascii="Simplified Arabic" w:hAnsi="Simplified Arabic" w:cs="Simplified Arabic" w:hint="cs"/>
          <w:sz w:val="24"/>
          <w:szCs w:val="24"/>
          <w:rtl/>
        </w:rPr>
        <w:t>21</w:t>
      </w:r>
      <w:r w:rsidR="00C577E6" w:rsidRPr="003E166E">
        <w:rPr>
          <w:rFonts w:ascii="Simplified Arabic" w:hAnsi="Simplified Arabic" w:cs="Simplified Arabic" w:hint="cs"/>
          <w:sz w:val="24"/>
          <w:szCs w:val="24"/>
          <w:rtl/>
        </w:rPr>
        <w:t>)</w:t>
      </w:r>
      <w:r w:rsidRPr="003E166E">
        <w:rPr>
          <w:rFonts w:ascii="Simplified Arabic" w:hAnsi="Simplified Arabic" w:cs="Simplified Arabic" w:hint="cs"/>
          <w:sz w:val="24"/>
          <w:szCs w:val="24"/>
          <w:rtl/>
          <w:lang w:bidi="ar-DZ"/>
        </w:rPr>
        <w:t xml:space="preserve">، تبين ان قيمة متوسط المسافة الحقيقية بين المواقع لذات المعيار قد بلغت </w:t>
      </w:r>
      <w:r w:rsidR="00C577E6" w:rsidRPr="003E166E">
        <w:rPr>
          <w:rFonts w:ascii="Simplified Arabic" w:hAnsi="Simplified Arabic" w:cs="Simplified Arabic" w:hint="cs"/>
          <w:sz w:val="24"/>
          <w:szCs w:val="24"/>
          <w:rtl/>
          <w:lang w:bidi="ar-DZ"/>
        </w:rPr>
        <w:t>382</w:t>
      </w:r>
      <w:r w:rsidRPr="003E166E">
        <w:rPr>
          <w:rFonts w:ascii="Simplified Arabic" w:hAnsi="Simplified Arabic" w:cs="Simplified Arabic" w:hint="cs"/>
          <w:sz w:val="24"/>
          <w:szCs w:val="24"/>
          <w:rtl/>
          <w:lang w:bidi="ar-DZ"/>
        </w:rPr>
        <w:t>.</w:t>
      </w:r>
      <w:r w:rsidR="00C577E6" w:rsidRPr="003E166E">
        <w:rPr>
          <w:rFonts w:ascii="Simplified Arabic" w:hAnsi="Simplified Arabic" w:cs="Simplified Arabic" w:hint="cs"/>
          <w:sz w:val="24"/>
          <w:szCs w:val="24"/>
          <w:rtl/>
          <w:lang w:bidi="ar-DZ"/>
        </w:rPr>
        <w:t>66</w:t>
      </w:r>
      <w:r w:rsidRPr="003E166E">
        <w:rPr>
          <w:rFonts w:ascii="Simplified Arabic" w:hAnsi="Simplified Arabic" w:cs="Simplified Arabic" w:hint="cs"/>
          <w:sz w:val="24"/>
          <w:szCs w:val="24"/>
          <w:rtl/>
          <w:lang w:bidi="ar-DZ"/>
        </w:rPr>
        <w:t xml:space="preserve"> متر التي كانت </w:t>
      </w:r>
      <w:r w:rsidR="00C577E6" w:rsidRPr="003E166E">
        <w:rPr>
          <w:rFonts w:ascii="Simplified Arabic" w:hAnsi="Simplified Arabic" w:cs="Simplified Arabic" w:hint="cs"/>
          <w:sz w:val="24"/>
          <w:szCs w:val="24"/>
          <w:rtl/>
          <w:lang w:bidi="ar-DZ"/>
        </w:rPr>
        <w:t>اقل</w:t>
      </w:r>
      <w:r w:rsidRPr="003E166E">
        <w:rPr>
          <w:rFonts w:ascii="Simplified Arabic" w:hAnsi="Simplified Arabic" w:cs="Simplified Arabic" w:hint="cs"/>
          <w:sz w:val="24"/>
          <w:szCs w:val="24"/>
          <w:rtl/>
          <w:lang w:bidi="ar-DZ"/>
        </w:rPr>
        <w:t xml:space="preserve"> من</w:t>
      </w:r>
      <w:r w:rsidR="00C577E6" w:rsidRPr="003E166E">
        <w:rPr>
          <w:rFonts w:ascii="Simplified Arabic" w:hAnsi="Simplified Arabic" w:cs="Simplified Arabic" w:hint="cs"/>
          <w:sz w:val="24"/>
          <w:szCs w:val="24"/>
          <w:rtl/>
          <w:lang w:bidi="ar-DZ"/>
        </w:rPr>
        <w:t xml:space="preserve"> قيمة</w:t>
      </w:r>
      <w:r w:rsidRPr="003E166E">
        <w:rPr>
          <w:rFonts w:ascii="Simplified Arabic" w:hAnsi="Simplified Arabic" w:cs="Simplified Arabic" w:hint="cs"/>
          <w:sz w:val="24"/>
          <w:szCs w:val="24"/>
          <w:rtl/>
          <w:lang w:bidi="ar-DZ"/>
        </w:rPr>
        <w:t xml:space="preserve"> المسافة المتوقعة البالغة </w:t>
      </w:r>
      <w:r w:rsidR="00C577E6" w:rsidRPr="003E166E">
        <w:rPr>
          <w:rFonts w:ascii="Simplified Arabic" w:hAnsi="Simplified Arabic" w:cs="Simplified Arabic" w:hint="cs"/>
          <w:sz w:val="24"/>
          <w:szCs w:val="24"/>
          <w:rtl/>
          <w:lang w:bidi="ar-DZ"/>
        </w:rPr>
        <w:t>437</w:t>
      </w:r>
      <w:r w:rsidRPr="003E166E">
        <w:rPr>
          <w:rFonts w:ascii="Simplified Arabic" w:hAnsi="Simplified Arabic" w:cs="Simplified Arabic" w:hint="cs"/>
          <w:sz w:val="24"/>
          <w:szCs w:val="24"/>
          <w:rtl/>
          <w:lang w:bidi="ar-DZ"/>
        </w:rPr>
        <w:t>.</w:t>
      </w:r>
      <w:r w:rsidR="00C577E6" w:rsidRPr="003E166E">
        <w:rPr>
          <w:rFonts w:ascii="Simplified Arabic" w:hAnsi="Simplified Arabic" w:cs="Simplified Arabic" w:hint="cs"/>
          <w:sz w:val="24"/>
          <w:szCs w:val="24"/>
          <w:rtl/>
          <w:lang w:bidi="ar-DZ"/>
        </w:rPr>
        <w:t>21</w:t>
      </w:r>
      <w:r w:rsidRPr="003E166E">
        <w:rPr>
          <w:rFonts w:ascii="Simplified Arabic" w:hAnsi="Simplified Arabic" w:cs="Simplified Arabic" w:hint="cs"/>
          <w:sz w:val="24"/>
          <w:szCs w:val="24"/>
          <w:rtl/>
          <w:lang w:bidi="ar-DZ"/>
        </w:rPr>
        <w:t xml:space="preserve"> متر</w:t>
      </w:r>
      <w:r w:rsidR="00C577E6" w:rsidRPr="003E166E">
        <w:rPr>
          <w:rFonts w:ascii="Simplified Arabic" w:hAnsi="Simplified Arabic" w:cs="Simplified Arabic" w:hint="cs"/>
          <w:sz w:val="24"/>
          <w:szCs w:val="24"/>
          <w:rtl/>
          <w:lang w:bidi="ar-DZ"/>
        </w:rPr>
        <w:t>،</w:t>
      </w:r>
      <w:r w:rsidRPr="003E166E">
        <w:rPr>
          <w:rFonts w:ascii="Simplified Arabic" w:hAnsi="Simplified Arabic" w:cs="Simplified Arabic" w:hint="cs"/>
          <w:sz w:val="24"/>
          <w:szCs w:val="24"/>
          <w:rtl/>
          <w:lang w:bidi="ar-DZ"/>
        </w:rPr>
        <w:t xml:space="preserve"> </w:t>
      </w:r>
      <w:r w:rsidR="00C577E6" w:rsidRPr="003E166E">
        <w:rPr>
          <w:rFonts w:ascii="Simplified Arabic" w:hAnsi="Simplified Arabic" w:cs="Simplified Arabic" w:hint="cs"/>
          <w:sz w:val="24"/>
          <w:szCs w:val="24"/>
          <w:rtl/>
          <w:lang w:bidi="ar-DZ"/>
        </w:rPr>
        <w:t xml:space="preserve">منحت نسبة جار اقرب تساوي 0.87 وقيمة </w:t>
      </w:r>
      <w:r w:rsidR="00C577E6" w:rsidRPr="003E166E">
        <w:rPr>
          <w:rFonts w:asciiTheme="majorBidi" w:hAnsiTheme="majorBidi" w:cstheme="majorBidi"/>
          <w:sz w:val="24"/>
          <w:szCs w:val="24"/>
          <w:lang w:bidi="ar-DZ"/>
        </w:rPr>
        <w:t>Z</w:t>
      </w:r>
      <w:r w:rsidR="00C577E6" w:rsidRPr="003E166E">
        <w:rPr>
          <w:rFonts w:ascii="Simplified Arabic" w:hAnsi="Simplified Arabic" w:cs="Simplified Arabic" w:hint="cs"/>
          <w:sz w:val="24"/>
          <w:szCs w:val="24"/>
          <w:rtl/>
          <w:lang w:bidi="ar-DZ"/>
        </w:rPr>
        <w:t xml:space="preserve"> سالبة قدرت بـ: 1.58-. </w:t>
      </w:r>
      <w:r w:rsidR="00CA3620" w:rsidRPr="003E166E">
        <w:rPr>
          <w:rFonts w:ascii="Simplified Arabic" w:hAnsi="Simplified Arabic" w:cs="Simplified Arabic" w:hint="cs"/>
          <w:sz w:val="24"/>
          <w:szCs w:val="24"/>
          <w:rtl/>
          <w:lang w:bidi="ar-DZ"/>
        </w:rPr>
        <w:t xml:space="preserve">يشير ذلك الى توزيع متقارب يتجه ناحية العشوائية لنقاط الظاهرة، لا يبدو نمط التوزيع مختلفا بشكل كبير عن العشوائية. </w:t>
      </w:r>
      <w:r w:rsidRPr="003E166E">
        <w:rPr>
          <w:rFonts w:ascii="Simplified Arabic" w:hAnsi="Simplified Arabic" w:cs="Simplified Arabic" w:hint="cs"/>
          <w:sz w:val="24"/>
          <w:szCs w:val="24"/>
          <w:rtl/>
          <w:lang w:bidi="ar-DZ"/>
        </w:rPr>
        <w:t xml:space="preserve">كما يدل ذلك </w:t>
      </w:r>
      <w:r w:rsidR="0031078D" w:rsidRPr="003E166E">
        <w:rPr>
          <w:rFonts w:ascii="Simplified Arabic" w:hAnsi="Simplified Arabic" w:cs="Simplified Arabic" w:hint="cs"/>
          <w:sz w:val="24"/>
          <w:szCs w:val="24"/>
          <w:rtl/>
          <w:lang w:bidi="ar-DZ"/>
        </w:rPr>
        <w:t>على</w:t>
      </w:r>
      <w:r w:rsidRPr="003E166E">
        <w:rPr>
          <w:rFonts w:ascii="Simplified Arabic" w:hAnsi="Simplified Arabic" w:cs="Simplified Arabic" w:hint="cs"/>
          <w:sz w:val="24"/>
          <w:szCs w:val="24"/>
          <w:rtl/>
          <w:lang w:bidi="ar-DZ"/>
        </w:rPr>
        <w:t xml:space="preserve"> تركز معيار التكفل الطبي في مناطق دون غيرها، حيث تتقارب المسافة بين مجموعة نقاط </w:t>
      </w:r>
      <w:r w:rsidR="0031078D" w:rsidRPr="003E166E">
        <w:rPr>
          <w:rFonts w:ascii="Simplified Arabic" w:hAnsi="Simplified Arabic" w:cs="Simplified Arabic" w:hint="cs"/>
          <w:sz w:val="24"/>
          <w:szCs w:val="24"/>
          <w:rtl/>
          <w:lang w:bidi="ar-DZ"/>
        </w:rPr>
        <w:t>وتتكتل احيانا</w:t>
      </w:r>
      <w:r w:rsidRPr="003E166E">
        <w:rPr>
          <w:rFonts w:ascii="Simplified Arabic" w:hAnsi="Simplified Arabic" w:cs="Simplified Arabic" w:hint="cs"/>
          <w:sz w:val="24"/>
          <w:szCs w:val="24"/>
          <w:rtl/>
          <w:lang w:bidi="ar-DZ"/>
        </w:rPr>
        <w:t xml:space="preserve"> ضمن مساحة ضيقة</w:t>
      </w:r>
      <w:r w:rsidR="0031078D" w:rsidRPr="003E166E">
        <w:rPr>
          <w:rFonts w:ascii="Simplified Arabic" w:hAnsi="Simplified Arabic" w:cs="Simplified Arabic" w:hint="cs"/>
          <w:sz w:val="24"/>
          <w:szCs w:val="24"/>
          <w:rtl/>
          <w:lang w:bidi="ar-DZ"/>
        </w:rPr>
        <w:t>،</w:t>
      </w:r>
      <w:r w:rsidRPr="003E166E">
        <w:rPr>
          <w:rFonts w:ascii="Simplified Arabic" w:hAnsi="Simplified Arabic" w:cs="Simplified Arabic" w:hint="cs"/>
          <w:sz w:val="24"/>
          <w:szCs w:val="24"/>
          <w:rtl/>
          <w:lang w:bidi="ar-DZ"/>
        </w:rPr>
        <w:t xml:space="preserve"> بينما القلة منها تتباعد المسافة فيما بينها ضمن مساحة </w:t>
      </w:r>
      <w:r w:rsidR="0031078D" w:rsidRPr="003E166E">
        <w:rPr>
          <w:rFonts w:ascii="Simplified Arabic" w:hAnsi="Simplified Arabic" w:cs="Simplified Arabic" w:hint="cs"/>
          <w:sz w:val="24"/>
          <w:szCs w:val="24"/>
          <w:rtl/>
          <w:lang w:bidi="ar-DZ"/>
        </w:rPr>
        <w:t>واسعة</w:t>
      </w:r>
      <w:r w:rsidRPr="003E166E">
        <w:rPr>
          <w:rFonts w:ascii="Simplified Arabic" w:hAnsi="Simplified Arabic" w:cs="Simplified Arabic" w:hint="cs"/>
          <w:sz w:val="24"/>
          <w:szCs w:val="24"/>
          <w:rtl/>
          <w:lang w:bidi="ar-DZ"/>
        </w:rPr>
        <w:t>.</w:t>
      </w:r>
      <w:r w:rsidR="0031078D" w:rsidRPr="003E166E">
        <w:rPr>
          <w:rFonts w:ascii="Simplified Arabic" w:hAnsi="Simplified Arabic" w:cs="Simplified Arabic" w:hint="cs"/>
          <w:sz w:val="24"/>
          <w:szCs w:val="24"/>
          <w:rtl/>
        </w:rPr>
        <w:t xml:space="preserve"> </w:t>
      </w:r>
    </w:p>
    <w:p w:rsidR="009C28A1" w:rsidRDefault="00F54A68" w:rsidP="00C36165">
      <w:pPr>
        <w:tabs>
          <w:tab w:val="right" w:pos="4110"/>
          <w:tab w:val="right" w:pos="4252"/>
        </w:tabs>
        <w:autoSpaceDE w:val="0"/>
        <w:autoSpaceDN w:val="0"/>
        <w:bidi/>
        <w:adjustRightInd w:val="0"/>
        <w:spacing w:line="240" w:lineRule="auto"/>
        <w:ind w:firstLine="283"/>
        <w:jc w:val="both"/>
        <w:rPr>
          <w:rFonts w:ascii="Simplified Arabic" w:hAnsi="Simplified Arabic" w:cs="Simplified Arabic"/>
          <w:sz w:val="24"/>
          <w:szCs w:val="24"/>
          <w:rtl/>
          <w:lang w:bidi="ar-DZ"/>
        </w:rPr>
      </w:pPr>
      <w:r w:rsidRPr="00B136D1">
        <w:rPr>
          <w:rFonts w:ascii="Simplified Arabic" w:hAnsi="Simplified Arabic" w:cs="Simplified Arabic"/>
          <w:noProof/>
          <w:sz w:val="24"/>
          <w:szCs w:val="24"/>
          <w:rtl/>
          <w:lang w:eastAsia="fr-FR"/>
        </w:rPr>
        <mc:AlternateContent>
          <mc:Choice Requires="wps">
            <w:drawing>
              <wp:anchor distT="0" distB="0" distL="114300" distR="114300" simplePos="0" relativeHeight="251897856" behindDoc="0" locked="0" layoutInCell="1" allowOverlap="1" wp14:anchorId="1D283CE1" wp14:editId="2BB439D7">
                <wp:simplePos x="0" y="0"/>
                <wp:positionH relativeFrom="column">
                  <wp:posOffset>-4445</wp:posOffset>
                </wp:positionH>
                <wp:positionV relativeFrom="paragraph">
                  <wp:posOffset>561975</wp:posOffset>
                </wp:positionV>
                <wp:extent cx="3053715" cy="4744085"/>
                <wp:effectExtent l="0" t="0" r="13335" b="18415"/>
                <wp:wrapNone/>
                <wp:docPr id="343" name="Zone de texte 343"/>
                <wp:cNvGraphicFramePr/>
                <a:graphic xmlns:a="http://schemas.openxmlformats.org/drawingml/2006/main">
                  <a:graphicData uri="http://schemas.microsoft.com/office/word/2010/wordprocessingShape">
                    <wps:wsp>
                      <wps:cNvSpPr txBox="1"/>
                      <wps:spPr>
                        <a:xfrm>
                          <a:off x="0" y="0"/>
                          <a:ext cx="3053715" cy="4744085"/>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Default="00D13702" w:rsidP="00F54A68">
                            <w:pPr>
                              <w:pStyle w:val="carte"/>
                              <w:spacing w:before="0" w:after="0"/>
                              <w:rPr>
                                <w:sz w:val="22"/>
                                <w:szCs w:val="22"/>
                                <w:rtl/>
                                <w:lang w:val="en-US" w:bidi="ar-DZ"/>
                              </w:rPr>
                            </w:pPr>
                            <w:bookmarkStart w:id="902" w:name="_Toc157616617"/>
                            <w:bookmarkStart w:id="903" w:name="_Toc171803847"/>
                            <w:r w:rsidRPr="00383F18">
                              <w:rPr>
                                <w:rFonts w:hint="cs"/>
                                <w:sz w:val="22"/>
                                <w:szCs w:val="22"/>
                                <w:rtl/>
                                <w:lang w:bidi="ar-DZ"/>
                              </w:rPr>
                              <w:t xml:space="preserve">الخريطة (6-9) مساحة التغطية بالخدمة </w:t>
                            </w:r>
                            <w:r w:rsidRPr="00383F18">
                              <w:rPr>
                                <w:rFonts w:hint="cs"/>
                                <w:sz w:val="22"/>
                                <w:szCs w:val="22"/>
                                <w:rtl/>
                                <w:lang w:val="en-US" w:bidi="ar-DZ"/>
                              </w:rPr>
                              <w:t>الدينية/الثقافية</w:t>
                            </w:r>
                            <w:bookmarkEnd w:id="902"/>
                            <w:bookmarkEnd w:id="903"/>
                          </w:p>
                          <w:p w:rsidR="00D13702" w:rsidRPr="00986BEA" w:rsidRDefault="00D13702" w:rsidP="00F54A68">
                            <w:pPr>
                              <w:pStyle w:val="fegure"/>
                              <w:rPr>
                                <w:sz w:val="8"/>
                                <w:szCs w:val="24"/>
                                <w:rtl/>
                                <w:lang w:val="en-US"/>
                              </w:rPr>
                            </w:pPr>
                            <w:bookmarkStart w:id="904" w:name="_Toc171803848"/>
                            <w:r>
                              <w:rPr>
                                <w:rFonts w:hint="cs"/>
                                <w:sz w:val="8"/>
                                <w:szCs w:val="24"/>
                                <w:rtl/>
                                <w:lang w:val="en-US" w:bidi="ar-DZ"/>
                              </w:rPr>
                              <w:t xml:space="preserve">المصدر: </w:t>
                            </w:r>
                            <w:r>
                              <w:rPr>
                                <w:rFonts w:hint="cs"/>
                                <w:sz w:val="8"/>
                                <w:szCs w:val="24"/>
                                <w:rtl/>
                                <w:lang w:val="en-US"/>
                              </w:rPr>
                              <w:t>(الباحث، 2022)</w:t>
                            </w:r>
                            <w:bookmarkEnd w:id="904"/>
                          </w:p>
                          <w:p w:rsidR="00D13702" w:rsidRDefault="00D13702" w:rsidP="00C36165">
                            <w:pPr>
                              <w:autoSpaceDE w:val="0"/>
                              <w:autoSpaceDN w:val="0"/>
                              <w:bidi/>
                              <w:adjustRightInd w:val="0"/>
                              <w:spacing w:after="0" w:line="240" w:lineRule="auto"/>
                              <w:ind w:left="-181"/>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041CE4C4" wp14:editId="6380E5B4">
                                  <wp:extent cx="2896806" cy="3545457"/>
                                  <wp:effectExtent l="19050" t="19050" r="18415" b="17145"/>
                                  <wp:docPr id="255"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8" cstate="print">
                                            <a:extLst>
                                              <a:ext uri="{28A0092B-C50C-407E-A947-70E740481C1C}">
                                                <a14:useLocalDpi xmlns:a14="http://schemas.microsoft.com/office/drawing/2010/main" val="0"/>
                                              </a:ext>
                                            </a:extLst>
                                          </a:blip>
                                          <a:srcRect t="8211"/>
                                          <a:stretch/>
                                        </pic:blipFill>
                                        <pic:spPr bwMode="auto">
                                          <a:xfrm>
                                            <a:off x="0" y="0"/>
                                            <a:ext cx="2896806" cy="354545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D13702" w:rsidRDefault="00D13702" w:rsidP="004E1FA3">
                            <w:pPr>
                              <w:jc w:val="center"/>
                              <w:rPr>
                                <w:lang w:bidi="ar-DZ"/>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43" o:spid="_x0000_s1065" type="#_x0000_t202" style="position:absolute;left:0;text-align:left;margin-left:-.35pt;margin-top:44.25pt;width:240.45pt;height:373.55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" fillcolor="white [3201]" strokecolor="black [3213]" strokeweight=".25pt">
                <v:textbox>
                  <w:txbxContent>
                    <w:p w:rsidR="00D13702" w:rsidRDefault="00D13702" w:rsidP="00F54A68">
                      <w:pPr>
                        <w:pStyle w:val="carte"/>
                        <w:spacing w:before="0" w:after="0"/>
                        <w:rPr>
                          <w:sz w:val="22"/>
                          <w:szCs w:val="22"/>
                          <w:rtl/>
                          <w:lang w:val="en-US" w:bidi="ar-DZ"/>
                        </w:rPr>
                      </w:pPr>
                      <w:bookmarkStart w:id="950" w:name="_Toc157616617"/>
                      <w:bookmarkStart w:id="951" w:name="_Toc171803847"/>
                      <w:r w:rsidRPr="00383F18">
                        <w:rPr>
                          <w:rFonts w:hint="cs"/>
                          <w:sz w:val="22"/>
                          <w:szCs w:val="22"/>
                          <w:rtl/>
                          <w:lang w:bidi="ar-DZ"/>
                        </w:rPr>
                        <w:t xml:space="preserve">الخريطة (6-9) مساحة التغطية بالخدمة </w:t>
                      </w:r>
                      <w:r w:rsidRPr="00383F18">
                        <w:rPr>
                          <w:rFonts w:hint="cs"/>
                          <w:sz w:val="22"/>
                          <w:szCs w:val="22"/>
                          <w:rtl/>
                          <w:lang w:val="en-US" w:bidi="ar-DZ"/>
                        </w:rPr>
                        <w:t>الدينية/الثقافية</w:t>
                      </w:r>
                      <w:bookmarkEnd w:id="950"/>
                      <w:bookmarkEnd w:id="951"/>
                    </w:p>
                    <w:p w:rsidR="00D13702" w:rsidRPr="00986BEA" w:rsidRDefault="00D13702" w:rsidP="00F54A68">
                      <w:pPr>
                        <w:pStyle w:val="fegure"/>
                        <w:rPr>
                          <w:sz w:val="8"/>
                          <w:szCs w:val="24"/>
                          <w:rtl/>
                          <w:lang w:val="en-US"/>
                        </w:rPr>
                      </w:pPr>
                      <w:bookmarkStart w:id="952" w:name="_Toc171803848"/>
                      <w:r>
                        <w:rPr>
                          <w:rFonts w:hint="cs"/>
                          <w:sz w:val="8"/>
                          <w:szCs w:val="24"/>
                          <w:rtl/>
                          <w:lang w:val="en-US" w:bidi="ar-DZ"/>
                        </w:rPr>
                        <w:t xml:space="preserve">المصدر: </w:t>
                      </w:r>
                      <w:r>
                        <w:rPr>
                          <w:rFonts w:hint="cs"/>
                          <w:sz w:val="8"/>
                          <w:szCs w:val="24"/>
                          <w:rtl/>
                          <w:lang w:val="en-US"/>
                        </w:rPr>
                        <w:t>(الباحث، 2022)</w:t>
                      </w:r>
                      <w:bookmarkEnd w:id="952"/>
                    </w:p>
                    <w:p w:rsidR="00D13702" w:rsidRDefault="00D13702" w:rsidP="00C36165">
                      <w:pPr>
                        <w:autoSpaceDE w:val="0"/>
                        <w:autoSpaceDN w:val="0"/>
                        <w:bidi/>
                        <w:adjustRightInd w:val="0"/>
                        <w:spacing w:after="0" w:line="240" w:lineRule="auto"/>
                        <w:ind w:left="-181"/>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309D6ADC" wp14:editId="22193724">
                            <wp:extent cx="2896806" cy="3545457"/>
                            <wp:effectExtent l="19050" t="19050" r="18415" b="17145"/>
                            <wp:docPr id="255"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19" cstate="print">
                                      <a:extLst>
                                        <a:ext uri="{28A0092B-C50C-407E-A947-70E740481C1C}">
                                          <a14:useLocalDpi xmlns:a14="http://schemas.microsoft.com/office/drawing/2010/main" val="0"/>
                                        </a:ext>
                                      </a:extLst>
                                    </a:blip>
                                    <a:srcRect t="8211"/>
                                    <a:stretch/>
                                  </pic:blipFill>
                                  <pic:spPr bwMode="auto">
                                    <a:xfrm>
                                      <a:off x="0" y="0"/>
                                      <a:ext cx="2896806" cy="354545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D13702" w:rsidRDefault="00D13702" w:rsidP="004E1FA3">
                      <w:pPr>
                        <w:jc w:val="center"/>
                        <w:rPr>
                          <w:lang w:bidi="ar-DZ"/>
                        </w:rPr>
                      </w:pPr>
                    </w:p>
                  </w:txbxContent>
                </v:textbox>
              </v:shape>
            </w:pict>
          </mc:Fallback>
        </mc:AlternateContent>
      </w:r>
      <w:r w:rsidRPr="00B136D1">
        <w:rPr>
          <w:rFonts w:ascii="Simplified Arabic" w:hAnsi="Simplified Arabic" w:cs="Simplified Arabic"/>
          <w:noProof/>
          <w:sz w:val="24"/>
          <w:szCs w:val="24"/>
          <w:rtl/>
          <w:lang w:eastAsia="fr-FR"/>
        </w:rPr>
        <mc:AlternateContent>
          <mc:Choice Requires="wps">
            <w:drawing>
              <wp:anchor distT="0" distB="0" distL="114300" distR="114300" simplePos="0" relativeHeight="251896832" behindDoc="0" locked="0" layoutInCell="1" allowOverlap="1" wp14:anchorId="3C1BA620" wp14:editId="0BC0FC3C">
                <wp:simplePos x="0" y="0"/>
                <wp:positionH relativeFrom="column">
                  <wp:posOffset>3169920</wp:posOffset>
                </wp:positionH>
                <wp:positionV relativeFrom="paragraph">
                  <wp:posOffset>561975</wp:posOffset>
                </wp:positionV>
                <wp:extent cx="2548255" cy="4744085"/>
                <wp:effectExtent l="0" t="0" r="23495" b="18415"/>
                <wp:wrapNone/>
                <wp:docPr id="342" name="Zone de texte 342"/>
                <wp:cNvGraphicFramePr/>
                <a:graphic xmlns:a="http://schemas.openxmlformats.org/drawingml/2006/main">
                  <a:graphicData uri="http://schemas.microsoft.com/office/word/2010/wordprocessingShape">
                    <wps:wsp>
                      <wps:cNvSpPr txBox="1"/>
                      <wps:spPr>
                        <a:xfrm>
                          <a:off x="0" y="0"/>
                          <a:ext cx="2548255" cy="4744085"/>
                        </a:xfrm>
                        <a:prstGeom prst="rect">
                          <a:avLst/>
                        </a:prstGeom>
                        <a:solidFill>
                          <a:schemeClr val="lt1"/>
                        </a:solidFill>
                        <a:ln w="31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rsidR="00D13702" w:rsidRPr="005E7A52" w:rsidRDefault="00D13702" w:rsidP="004E1FA3">
                            <w:pPr>
                              <w:pStyle w:val="fegure"/>
                              <w:rPr>
                                <w:sz w:val="22"/>
                                <w:szCs w:val="22"/>
                                <w:rtl/>
                                <w:lang w:val="en-US" w:bidi="ar-DZ"/>
                              </w:rPr>
                            </w:pPr>
                            <w:bookmarkStart w:id="905" w:name="_Toc157608376"/>
                            <w:bookmarkStart w:id="906" w:name="_Toc157790933"/>
                            <w:bookmarkStart w:id="907" w:name="_Toc171803849"/>
                            <w:r w:rsidRPr="005E7A52">
                              <w:rPr>
                                <w:rFonts w:hint="cs"/>
                                <w:sz w:val="22"/>
                                <w:szCs w:val="22"/>
                                <w:rtl/>
                                <w:lang w:bidi="ar-DZ"/>
                              </w:rPr>
                              <w:t xml:space="preserve">الشكل (6-21) </w:t>
                            </w:r>
                            <w:r w:rsidRPr="005E7A52">
                              <w:rPr>
                                <w:rFonts w:hint="cs"/>
                                <w:sz w:val="22"/>
                                <w:szCs w:val="22"/>
                                <w:rtl/>
                                <w:lang w:val="en-US" w:bidi="ar-DZ"/>
                              </w:rPr>
                              <w:t>تحليل الجار الاقرب</w:t>
                            </w:r>
                            <w:bookmarkEnd w:id="905"/>
                            <w:bookmarkEnd w:id="906"/>
                            <w:bookmarkEnd w:id="907"/>
                            <w:r w:rsidRPr="005E7A52">
                              <w:rPr>
                                <w:rFonts w:hint="cs"/>
                                <w:sz w:val="22"/>
                                <w:szCs w:val="22"/>
                                <w:rtl/>
                                <w:lang w:val="en-US" w:bidi="ar-DZ"/>
                              </w:rPr>
                              <w:t xml:space="preserve"> </w:t>
                            </w:r>
                          </w:p>
                          <w:p w:rsidR="00D13702" w:rsidRDefault="00D13702" w:rsidP="004E1FA3">
                            <w:pPr>
                              <w:pStyle w:val="fegure"/>
                              <w:rPr>
                                <w:rFonts w:asciiTheme="majorBidi" w:eastAsia="Times New Roman" w:hAnsiTheme="majorBidi" w:cstheme="majorBidi"/>
                                <w:b/>
                                <w:sz w:val="22"/>
                                <w:szCs w:val="22"/>
                                <w:rtl/>
                                <w:lang w:val="en-US" w:eastAsia="fr-FR"/>
                              </w:rPr>
                            </w:pPr>
                            <w:bookmarkStart w:id="908" w:name="_Toc157608377"/>
                            <w:bookmarkStart w:id="909" w:name="_Toc157790934"/>
                            <w:bookmarkStart w:id="910" w:name="_Toc171803850"/>
                            <w:r w:rsidRPr="005E7A52">
                              <w:rPr>
                                <w:rFonts w:hint="cs"/>
                                <w:sz w:val="22"/>
                                <w:szCs w:val="22"/>
                                <w:rtl/>
                                <w:lang w:val="en-US" w:bidi="ar-DZ"/>
                              </w:rPr>
                              <w:t xml:space="preserve">لمعيار </w:t>
                            </w:r>
                            <w:r w:rsidRPr="005E7A52">
                              <w:rPr>
                                <w:sz w:val="22"/>
                                <w:szCs w:val="22"/>
                                <w:rtl/>
                                <w:lang w:val="en-US" w:bidi="ar-DZ"/>
                              </w:rPr>
                              <w:t>التضامن والتموين</w:t>
                            </w:r>
                            <w:r w:rsidRPr="005E7A52">
                              <w:rPr>
                                <w:rFonts w:eastAsia="Times New Roman"/>
                                <w:b/>
                                <w:sz w:val="22"/>
                                <w:szCs w:val="22"/>
                                <w:lang w:val="en-US" w:eastAsia="fr-FR"/>
                              </w:rPr>
                              <w:t xml:space="preserve"> </w:t>
                            </w:r>
                            <w:r w:rsidRPr="005E7A52">
                              <w:rPr>
                                <w:rFonts w:asciiTheme="majorBidi" w:eastAsia="Times New Roman" w:hAnsiTheme="majorBidi" w:cstheme="majorBidi"/>
                                <w:b/>
                                <w:sz w:val="22"/>
                                <w:szCs w:val="22"/>
                                <w:lang w:val="en-US" w:eastAsia="fr-FR"/>
                              </w:rPr>
                              <w:t>C5</w:t>
                            </w:r>
                            <w:bookmarkEnd w:id="908"/>
                            <w:bookmarkEnd w:id="909"/>
                            <w:bookmarkEnd w:id="910"/>
                          </w:p>
                          <w:p w:rsidR="00D13702" w:rsidRPr="00986BEA" w:rsidRDefault="00D13702" w:rsidP="00986BEA">
                            <w:pPr>
                              <w:pStyle w:val="fegure"/>
                              <w:rPr>
                                <w:sz w:val="8"/>
                                <w:szCs w:val="24"/>
                                <w:rtl/>
                                <w:lang w:val="en-US"/>
                              </w:rPr>
                            </w:pPr>
                            <w:bookmarkStart w:id="911" w:name="_Toc171803851"/>
                            <w:r>
                              <w:rPr>
                                <w:rFonts w:hint="cs"/>
                                <w:sz w:val="8"/>
                                <w:szCs w:val="24"/>
                                <w:rtl/>
                                <w:lang w:val="en-US" w:bidi="ar-DZ"/>
                              </w:rPr>
                              <w:t xml:space="preserve">المصدر: </w:t>
                            </w:r>
                            <w:r>
                              <w:rPr>
                                <w:rFonts w:hint="cs"/>
                                <w:sz w:val="8"/>
                                <w:szCs w:val="24"/>
                                <w:rtl/>
                                <w:lang w:val="en-US"/>
                              </w:rPr>
                              <w:t>(الباحث، 2022)</w:t>
                            </w:r>
                            <w:bookmarkEnd w:id="911"/>
                          </w:p>
                          <w:p w:rsidR="00D13702" w:rsidRDefault="00D13702" w:rsidP="004E1FA3">
                            <w:pPr>
                              <w:bidi/>
                              <w:spacing w:after="0" w:line="240" w:lineRule="auto"/>
                              <w:jc w:val="center"/>
                            </w:pPr>
                            <w:r>
                              <w:rPr>
                                <w:noProof/>
                                <w:lang w:eastAsia="fr-FR"/>
                              </w:rPr>
                              <w:drawing>
                                <wp:inline distT="0" distB="0" distL="0" distR="0" wp14:anchorId="5F2F2D3A" wp14:editId="2FE703AE">
                                  <wp:extent cx="2392950" cy="3786996"/>
                                  <wp:effectExtent l="19050" t="19050" r="26670" b="23495"/>
                                  <wp:docPr id="254"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0" cstate="print">
                                            <a:extLst>
                                              <a:ext uri="{28A0092B-C50C-407E-A947-70E740481C1C}">
                                                <a14:useLocalDpi xmlns:a14="http://schemas.microsoft.com/office/drawing/2010/main" val="0"/>
                                              </a:ext>
                                            </a:extLst>
                                          </a:blip>
                                          <a:stretch>
                                            <a:fillRect/>
                                          </a:stretch>
                                        </pic:blipFill>
                                        <pic:spPr>
                                          <a:xfrm>
                                            <a:off x="0" y="0"/>
                                            <a:ext cx="2397225" cy="3793762"/>
                                          </a:xfrm>
                                          <a:prstGeom prst="rect">
                                            <a:avLst/>
                                          </a:prstGeom>
                                          <a:ln>
                                            <a:solidFill>
                                              <a:schemeClr val="tx1"/>
                                            </a:solid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342" o:spid="_x0000_s1066" type="#_x0000_t202" style="position:absolute;left:0;text-align:left;margin-left:249.6pt;margin-top:44.25pt;width:200.65pt;height:373.5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" fillcolor="white [3201]" strokecolor="black [3213]" strokeweight=".25pt">
                <v:textbox>
                  <w:txbxContent>
                    <w:p w:rsidR="00D13702" w:rsidRPr="005E7A52" w:rsidRDefault="00D13702" w:rsidP="004E1FA3">
                      <w:pPr>
                        <w:pStyle w:val="fegure"/>
                        <w:rPr>
                          <w:sz w:val="22"/>
                          <w:szCs w:val="22"/>
                          <w:rtl/>
                          <w:lang w:val="en-US" w:bidi="ar-DZ"/>
                        </w:rPr>
                      </w:pPr>
                      <w:bookmarkStart w:id="960" w:name="_Toc157608376"/>
                      <w:bookmarkStart w:id="961" w:name="_Toc157790933"/>
                      <w:bookmarkStart w:id="962" w:name="_Toc171803849"/>
                      <w:r w:rsidRPr="005E7A52">
                        <w:rPr>
                          <w:rFonts w:hint="cs"/>
                          <w:sz w:val="22"/>
                          <w:szCs w:val="22"/>
                          <w:rtl/>
                          <w:lang w:bidi="ar-DZ"/>
                        </w:rPr>
                        <w:t xml:space="preserve">الشكل (6-21) </w:t>
                      </w:r>
                      <w:r w:rsidRPr="005E7A52">
                        <w:rPr>
                          <w:rFonts w:hint="cs"/>
                          <w:sz w:val="22"/>
                          <w:szCs w:val="22"/>
                          <w:rtl/>
                          <w:lang w:val="en-US" w:bidi="ar-DZ"/>
                        </w:rPr>
                        <w:t>تحليل الجار الاقرب</w:t>
                      </w:r>
                      <w:bookmarkEnd w:id="960"/>
                      <w:bookmarkEnd w:id="961"/>
                      <w:bookmarkEnd w:id="962"/>
                      <w:r w:rsidRPr="005E7A52">
                        <w:rPr>
                          <w:rFonts w:hint="cs"/>
                          <w:sz w:val="22"/>
                          <w:szCs w:val="22"/>
                          <w:rtl/>
                          <w:lang w:val="en-US" w:bidi="ar-DZ"/>
                        </w:rPr>
                        <w:t xml:space="preserve"> </w:t>
                      </w:r>
                    </w:p>
                    <w:p w:rsidR="00D13702" w:rsidRDefault="00D13702" w:rsidP="004E1FA3">
                      <w:pPr>
                        <w:pStyle w:val="fegure"/>
                        <w:rPr>
                          <w:rFonts w:asciiTheme="majorBidi" w:eastAsia="Times New Roman" w:hAnsiTheme="majorBidi" w:cstheme="majorBidi"/>
                          <w:b/>
                          <w:sz w:val="22"/>
                          <w:szCs w:val="22"/>
                          <w:rtl/>
                          <w:lang w:val="en-US" w:eastAsia="fr-FR"/>
                        </w:rPr>
                      </w:pPr>
                      <w:bookmarkStart w:id="963" w:name="_Toc157608377"/>
                      <w:bookmarkStart w:id="964" w:name="_Toc157790934"/>
                      <w:bookmarkStart w:id="965" w:name="_Toc171803850"/>
                      <w:r w:rsidRPr="005E7A52">
                        <w:rPr>
                          <w:rFonts w:hint="cs"/>
                          <w:sz w:val="22"/>
                          <w:szCs w:val="22"/>
                          <w:rtl/>
                          <w:lang w:val="en-US" w:bidi="ar-DZ"/>
                        </w:rPr>
                        <w:t xml:space="preserve">لمعيار </w:t>
                      </w:r>
                      <w:r w:rsidRPr="005E7A52">
                        <w:rPr>
                          <w:sz w:val="22"/>
                          <w:szCs w:val="22"/>
                          <w:rtl/>
                          <w:lang w:val="en-US" w:bidi="ar-DZ"/>
                        </w:rPr>
                        <w:t>التضامن والتموين</w:t>
                      </w:r>
                      <w:r w:rsidRPr="005E7A52">
                        <w:rPr>
                          <w:rFonts w:eastAsia="Times New Roman"/>
                          <w:b/>
                          <w:sz w:val="22"/>
                          <w:szCs w:val="22"/>
                          <w:lang w:val="en-US" w:eastAsia="fr-FR"/>
                        </w:rPr>
                        <w:t xml:space="preserve"> </w:t>
                      </w:r>
                      <w:r w:rsidRPr="005E7A52">
                        <w:rPr>
                          <w:rFonts w:asciiTheme="majorBidi" w:eastAsia="Times New Roman" w:hAnsiTheme="majorBidi" w:cstheme="majorBidi"/>
                          <w:b/>
                          <w:sz w:val="22"/>
                          <w:szCs w:val="22"/>
                          <w:lang w:val="en-US" w:eastAsia="fr-FR"/>
                        </w:rPr>
                        <w:t>C5</w:t>
                      </w:r>
                      <w:bookmarkEnd w:id="963"/>
                      <w:bookmarkEnd w:id="964"/>
                      <w:bookmarkEnd w:id="965"/>
                    </w:p>
                    <w:p w:rsidR="00D13702" w:rsidRPr="00986BEA" w:rsidRDefault="00D13702" w:rsidP="00986BEA">
                      <w:pPr>
                        <w:pStyle w:val="fegure"/>
                        <w:rPr>
                          <w:sz w:val="8"/>
                          <w:szCs w:val="24"/>
                          <w:rtl/>
                          <w:lang w:val="en-US"/>
                        </w:rPr>
                      </w:pPr>
                      <w:bookmarkStart w:id="966" w:name="_Toc171803851"/>
                      <w:r>
                        <w:rPr>
                          <w:rFonts w:hint="cs"/>
                          <w:sz w:val="8"/>
                          <w:szCs w:val="24"/>
                          <w:rtl/>
                          <w:lang w:val="en-US" w:bidi="ar-DZ"/>
                        </w:rPr>
                        <w:t xml:space="preserve">المصدر: </w:t>
                      </w:r>
                      <w:r>
                        <w:rPr>
                          <w:rFonts w:hint="cs"/>
                          <w:sz w:val="8"/>
                          <w:szCs w:val="24"/>
                          <w:rtl/>
                          <w:lang w:val="en-US"/>
                        </w:rPr>
                        <w:t>(الباحث، 2022)</w:t>
                      </w:r>
                      <w:bookmarkEnd w:id="966"/>
                    </w:p>
                    <w:p w:rsidR="00D13702" w:rsidRDefault="00D13702" w:rsidP="004E1FA3">
                      <w:pPr>
                        <w:bidi/>
                        <w:spacing w:after="0" w:line="240" w:lineRule="auto"/>
                        <w:jc w:val="center"/>
                      </w:pPr>
                      <w:r>
                        <w:rPr>
                          <w:noProof/>
                          <w:lang w:eastAsia="fr-FR"/>
                        </w:rPr>
                        <w:drawing>
                          <wp:inline distT="0" distB="0" distL="0" distR="0" wp14:anchorId="53B2EB49" wp14:editId="11F930DB">
                            <wp:extent cx="2392950" cy="3786996"/>
                            <wp:effectExtent l="19050" t="19050" r="26670" b="23495"/>
                            <wp:docPr id="254"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1" cstate="print">
                                      <a:extLst>
                                        <a:ext uri="{28A0092B-C50C-407E-A947-70E740481C1C}">
                                          <a14:useLocalDpi xmlns:a14="http://schemas.microsoft.com/office/drawing/2010/main" val="0"/>
                                        </a:ext>
                                      </a:extLst>
                                    </a:blip>
                                    <a:stretch>
                                      <a:fillRect/>
                                    </a:stretch>
                                  </pic:blipFill>
                                  <pic:spPr>
                                    <a:xfrm>
                                      <a:off x="0" y="0"/>
                                      <a:ext cx="2397225" cy="3793762"/>
                                    </a:xfrm>
                                    <a:prstGeom prst="rect">
                                      <a:avLst/>
                                    </a:prstGeom>
                                    <a:ln>
                                      <a:solidFill>
                                        <a:schemeClr val="tx1"/>
                                      </a:solidFill>
                                    </a:ln>
                                  </pic:spPr>
                                </pic:pic>
                              </a:graphicData>
                            </a:graphic>
                          </wp:inline>
                        </w:drawing>
                      </w:r>
                    </w:p>
                  </w:txbxContent>
                </v:textbox>
              </v:shape>
            </w:pict>
          </mc:Fallback>
        </mc:AlternateContent>
      </w:r>
      <w:r w:rsidR="009C28A1">
        <w:rPr>
          <w:rFonts w:ascii="Simplified Arabic" w:hAnsi="Simplified Arabic" w:cs="Simplified Arabic" w:hint="cs"/>
          <w:sz w:val="24"/>
          <w:szCs w:val="24"/>
          <w:rtl/>
        </w:rPr>
        <w:t xml:space="preserve">من الناحية المكانية، </w:t>
      </w:r>
      <w:r w:rsidR="009C28A1">
        <w:rPr>
          <w:rFonts w:ascii="Simplified Arabic" w:hAnsi="Simplified Arabic" w:cs="Simplified Arabic" w:hint="cs"/>
          <w:sz w:val="24"/>
          <w:szCs w:val="24"/>
          <w:rtl/>
          <w:lang w:bidi="ar-DZ"/>
        </w:rPr>
        <w:t xml:space="preserve">اظهرت الخريطة (6-9)، ان مساحة التغطية بالخدمة الدينية/الثقافية </w:t>
      </w:r>
      <w:r w:rsidR="009C28A1" w:rsidRPr="00226F93">
        <w:rPr>
          <w:rFonts w:ascii="Simplified Arabic" w:hAnsi="Simplified Arabic" w:cs="Simplified Arabic" w:hint="cs"/>
          <w:sz w:val="24"/>
          <w:szCs w:val="24"/>
          <w:rtl/>
          <w:lang w:bidi="ar-DZ"/>
        </w:rPr>
        <w:t>على</w:t>
      </w:r>
      <w:r w:rsidR="009C28A1">
        <w:rPr>
          <w:rFonts w:ascii="Simplified Arabic" w:hAnsi="Simplified Arabic" w:cs="Simplified Arabic" w:hint="cs"/>
          <w:sz w:val="24"/>
          <w:szCs w:val="24"/>
          <w:rtl/>
          <w:lang w:bidi="ar-DZ"/>
        </w:rPr>
        <w:t xml:space="preserve"> مستوى حي القصر، بلاتو، سيدي سليمان والحمايد تتقارب فيما بينها. </w:t>
      </w:r>
    </w:p>
    <w:p w:rsidR="00B136D1" w:rsidRDefault="00B136D1" w:rsidP="00B136D1">
      <w:pPr>
        <w:bidi/>
        <w:spacing w:before="240" w:after="0" w:line="240" w:lineRule="auto"/>
        <w:ind w:firstLine="283"/>
        <w:rPr>
          <w:rFonts w:ascii="Simplified Arabic" w:hAnsi="Simplified Arabic" w:cs="Simplified Arabic"/>
          <w:sz w:val="24"/>
          <w:szCs w:val="24"/>
          <w:rtl/>
          <w:lang w:val="en-US" w:bidi="ar-DZ"/>
        </w:rPr>
      </w:pPr>
    </w:p>
    <w:p w:rsidR="00860073" w:rsidRDefault="00860073" w:rsidP="00860073">
      <w:pPr>
        <w:bidi/>
        <w:spacing w:before="240" w:after="0" w:line="240" w:lineRule="auto"/>
        <w:ind w:firstLine="283"/>
        <w:rPr>
          <w:rFonts w:ascii="Simplified Arabic" w:hAnsi="Simplified Arabic" w:cs="Simplified Arabic"/>
          <w:sz w:val="24"/>
          <w:szCs w:val="24"/>
          <w:rtl/>
          <w:lang w:val="en-US" w:bidi="ar-DZ"/>
        </w:rPr>
      </w:pPr>
    </w:p>
    <w:p w:rsidR="004E1FA3" w:rsidRDefault="004E1FA3" w:rsidP="004E1FA3">
      <w:pPr>
        <w:bidi/>
        <w:spacing w:before="240" w:after="0" w:line="240" w:lineRule="auto"/>
        <w:ind w:firstLine="283"/>
        <w:rPr>
          <w:rFonts w:ascii="Simplified Arabic" w:hAnsi="Simplified Arabic" w:cs="Simplified Arabic"/>
          <w:sz w:val="24"/>
          <w:szCs w:val="24"/>
          <w:rtl/>
          <w:lang w:val="en-US" w:bidi="ar-DZ"/>
        </w:rPr>
      </w:pPr>
    </w:p>
    <w:p w:rsidR="004E1FA3" w:rsidRDefault="004E1FA3" w:rsidP="004E1FA3">
      <w:pPr>
        <w:bidi/>
        <w:spacing w:before="240" w:after="0" w:line="240" w:lineRule="auto"/>
        <w:ind w:firstLine="283"/>
        <w:rPr>
          <w:rFonts w:ascii="Simplified Arabic" w:hAnsi="Simplified Arabic" w:cs="Simplified Arabic"/>
          <w:sz w:val="24"/>
          <w:szCs w:val="24"/>
          <w:rtl/>
          <w:lang w:val="en-US" w:bidi="ar-DZ"/>
        </w:rPr>
      </w:pPr>
    </w:p>
    <w:p w:rsidR="004E1FA3" w:rsidRDefault="004E1FA3" w:rsidP="004E1FA3">
      <w:pPr>
        <w:bidi/>
        <w:spacing w:before="240" w:after="0" w:line="240" w:lineRule="auto"/>
        <w:ind w:firstLine="283"/>
        <w:rPr>
          <w:rFonts w:ascii="Simplified Arabic" w:hAnsi="Simplified Arabic" w:cs="Simplified Arabic"/>
          <w:sz w:val="24"/>
          <w:szCs w:val="24"/>
          <w:rtl/>
          <w:lang w:val="en-US" w:bidi="ar-DZ"/>
        </w:rPr>
      </w:pPr>
    </w:p>
    <w:p w:rsidR="004E1FA3" w:rsidRDefault="004E1FA3" w:rsidP="004E1FA3">
      <w:pPr>
        <w:bidi/>
        <w:spacing w:before="240" w:after="0" w:line="240" w:lineRule="auto"/>
        <w:ind w:firstLine="283"/>
        <w:rPr>
          <w:rFonts w:ascii="Simplified Arabic" w:hAnsi="Simplified Arabic" w:cs="Simplified Arabic"/>
          <w:sz w:val="24"/>
          <w:szCs w:val="24"/>
          <w:rtl/>
          <w:lang w:val="en-US" w:bidi="ar-DZ"/>
        </w:rPr>
      </w:pPr>
    </w:p>
    <w:p w:rsidR="004E1FA3" w:rsidRDefault="004E1FA3" w:rsidP="004E1FA3">
      <w:pPr>
        <w:bidi/>
        <w:spacing w:before="240" w:after="0" w:line="240" w:lineRule="auto"/>
        <w:ind w:firstLine="283"/>
        <w:rPr>
          <w:rFonts w:ascii="Simplified Arabic" w:hAnsi="Simplified Arabic" w:cs="Simplified Arabic"/>
          <w:sz w:val="24"/>
          <w:szCs w:val="24"/>
          <w:rtl/>
          <w:lang w:val="en-US" w:bidi="ar-DZ"/>
        </w:rPr>
      </w:pPr>
    </w:p>
    <w:p w:rsidR="004E1FA3" w:rsidRDefault="004E1FA3" w:rsidP="004E1FA3">
      <w:pPr>
        <w:bidi/>
        <w:spacing w:before="240" w:after="0" w:line="240" w:lineRule="auto"/>
        <w:ind w:firstLine="283"/>
        <w:rPr>
          <w:rFonts w:ascii="Simplified Arabic" w:hAnsi="Simplified Arabic" w:cs="Simplified Arabic"/>
          <w:sz w:val="24"/>
          <w:szCs w:val="24"/>
          <w:rtl/>
          <w:lang w:val="en-US" w:bidi="ar-DZ"/>
        </w:rPr>
      </w:pPr>
    </w:p>
    <w:p w:rsidR="004E1FA3" w:rsidRDefault="004E1FA3" w:rsidP="004E1FA3">
      <w:pPr>
        <w:bidi/>
        <w:spacing w:before="240" w:after="0" w:line="240" w:lineRule="auto"/>
        <w:ind w:firstLine="283"/>
        <w:rPr>
          <w:rFonts w:ascii="Simplified Arabic" w:hAnsi="Simplified Arabic" w:cs="Simplified Arabic"/>
          <w:sz w:val="24"/>
          <w:szCs w:val="24"/>
          <w:rtl/>
          <w:lang w:val="en-US" w:bidi="ar-DZ"/>
        </w:rPr>
      </w:pPr>
    </w:p>
    <w:p w:rsidR="00C36165" w:rsidRDefault="00C36165" w:rsidP="009C28A1">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C36165" w:rsidRDefault="00C36165"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p>
    <w:p w:rsidR="00D55C84" w:rsidRDefault="00D55C84" w:rsidP="00C36165">
      <w:pPr>
        <w:autoSpaceDE w:val="0"/>
        <w:autoSpaceDN w:val="0"/>
        <w:bidi/>
        <w:adjustRightInd w:val="0"/>
        <w:spacing w:after="0" w:line="240" w:lineRule="auto"/>
        <w:ind w:firstLine="283"/>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lastRenderedPageBreak/>
        <w:t>تم تلخيص تحليل صلة الجار الاقرب التي تم مناقشتها ضمن الاشكال السابقة وفق الجدول (6-</w:t>
      </w:r>
      <w:r w:rsidR="00F377EC">
        <w:rPr>
          <w:rFonts w:ascii="Simplified Arabic" w:hAnsi="Simplified Arabic" w:cs="Simplified Arabic" w:hint="cs"/>
          <w:sz w:val="24"/>
          <w:szCs w:val="24"/>
          <w:rtl/>
          <w:lang w:val="en-US" w:bidi="ar-DZ"/>
        </w:rPr>
        <w:t>4</w:t>
      </w:r>
      <w:r>
        <w:rPr>
          <w:rFonts w:ascii="Simplified Arabic" w:hAnsi="Simplified Arabic" w:cs="Simplified Arabic" w:hint="cs"/>
          <w:sz w:val="24"/>
          <w:szCs w:val="24"/>
          <w:rtl/>
          <w:lang w:val="en-US" w:bidi="ar-DZ"/>
        </w:rPr>
        <w:t>)</w:t>
      </w:r>
    </w:p>
    <w:p w:rsidR="00D55C84" w:rsidRDefault="00D55C84" w:rsidP="00986BEA">
      <w:pPr>
        <w:pStyle w:val="Tableau"/>
        <w:rPr>
          <w:rtl/>
          <w:lang w:val="en-US" w:bidi="ar-DZ"/>
        </w:rPr>
      </w:pPr>
      <w:bookmarkStart w:id="912" w:name="_Toc157613013"/>
      <w:bookmarkStart w:id="913" w:name="_Toc171803852"/>
      <w:r>
        <w:rPr>
          <w:rFonts w:hint="cs"/>
          <w:rtl/>
          <w:lang w:val="en-US" w:bidi="ar-DZ"/>
        </w:rPr>
        <w:t>الجدول (6-</w:t>
      </w:r>
      <w:r w:rsidR="00F377EC">
        <w:rPr>
          <w:rFonts w:hint="cs"/>
          <w:rtl/>
          <w:lang w:val="en-US" w:bidi="ar-DZ"/>
        </w:rPr>
        <w:t>4</w:t>
      </w:r>
      <w:r>
        <w:rPr>
          <w:rFonts w:hint="cs"/>
          <w:rtl/>
          <w:lang w:val="en-US" w:bidi="ar-DZ"/>
        </w:rPr>
        <w:t>): نتائج تحليل صلة الجار الاقرب</w:t>
      </w:r>
      <w:bookmarkEnd w:id="912"/>
      <w:bookmarkEnd w:id="913"/>
      <w:r>
        <w:rPr>
          <w:rFonts w:hint="cs"/>
          <w:rtl/>
          <w:lang w:val="en-US" w:bidi="ar-DZ"/>
        </w:rPr>
        <w:t xml:space="preserve"> </w:t>
      </w:r>
    </w:p>
    <w:p w:rsidR="00986BEA" w:rsidRPr="00986BEA" w:rsidRDefault="00986BEA" w:rsidP="00986BEA">
      <w:pPr>
        <w:pStyle w:val="fegure"/>
        <w:rPr>
          <w:sz w:val="8"/>
          <w:szCs w:val="24"/>
          <w:rtl/>
          <w:lang w:val="en-US"/>
        </w:rPr>
      </w:pPr>
      <w:bookmarkStart w:id="914" w:name="_Toc171803853"/>
      <w:r>
        <w:rPr>
          <w:rFonts w:hint="cs"/>
          <w:sz w:val="8"/>
          <w:szCs w:val="24"/>
          <w:rtl/>
          <w:lang w:val="en-US" w:bidi="ar-DZ"/>
        </w:rPr>
        <w:t xml:space="preserve">المصدر: </w:t>
      </w:r>
      <w:r>
        <w:rPr>
          <w:rFonts w:hint="cs"/>
          <w:sz w:val="8"/>
          <w:szCs w:val="24"/>
          <w:rtl/>
          <w:lang w:val="en-US"/>
        </w:rPr>
        <w:t>(الباحث، 2022)</w:t>
      </w:r>
      <w:bookmarkEnd w:id="914"/>
    </w:p>
    <w:tbl>
      <w:tblPr>
        <w:tblStyle w:val="Grilledutableau"/>
        <w:bidiVisual/>
        <w:tblW w:w="0" w:type="auto"/>
        <w:jc w:val="center"/>
        <w:tblInd w:w="108" w:type="dxa"/>
        <w:tblLayout w:type="fixed"/>
        <w:tblLook w:val="04A0" w:firstRow="1" w:lastRow="0" w:firstColumn="1" w:lastColumn="0" w:noHBand="0" w:noVBand="1"/>
      </w:tblPr>
      <w:tblGrid>
        <w:gridCol w:w="1062"/>
        <w:gridCol w:w="992"/>
        <w:gridCol w:w="992"/>
        <w:gridCol w:w="709"/>
        <w:gridCol w:w="850"/>
        <w:gridCol w:w="851"/>
        <w:gridCol w:w="2551"/>
        <w:gridCol w:w="921"/>
      </w:tblGrid>
      <w:tr w:rsidR="003B235F" w:rsidRPr="006D0480" w:rsidTr="003E166E">
        <w:trPr>
          <w:jc w:val="center"/>
        </w:trPr>
        <w:tc>
          <w:tcPr>
            <w:tcW w:w="1062" w:type="dxa"/>
            <w:vAlign w:val="center"/>
          </w:tcPr>
          <w:p w:rsidR="00D55C84" w:rsidRPr="006D0480" w:rsidRDefault="00D55C84" w:rsidP="00897632">
            <w:pPr>
              <w:autoSpaceDE w:val="0"/>
              <w:autoSpaceDN w:val="0"/>
              <w:bidi/>
              <w:adjustRightInd w:val="0"/>
              <w:jc w:val="center"/>
              <w:rPr>
                <w:rFonts w:ascii="Simplified Arabic" w:hAnsi="Simplified Arabic" w:cs="Simplified Arabic"/>
                <w:sz w:val="24"/>
                <w:szCs w:val="24"/>
                <w:rtl/>
              </w:rPr>
            </w:pPr>
            <w:r w:rsidRPr="006D0480">
              <w:rPr>
                <w:rFonts w:ascii="Simplified Arabic" w:hAnsi="Simplified Arabic" w:cs="Simplified Arabic" w:hint="cs"/>
                <w:sz w:val="24"/>
                <w:szCs w:val="24"/>
                <w:rtl/>
              </w:rPr>
              <w:t>المعيار</w:t>
            </w:r>
          </w:p>
        </w:tc>
        <w:tc>
          <w:tcPr>
            <w:tcW w:w="992" w:type="dxa"/>
            <w:vAlign w:val="center"/>
          </w:tcPr>
          <w:p w:rsidR="00D55C84" w:rsidRPr="003E6C31" w:rsidRDefault="00D55C84" w:rsidP="00897632">
            <w:pPr>
              <w:autoSpaceDE w:val="0"/>
              <w:autoSpaceDN w:val="0"/>
              <w:bidi/>
              <w:adjustRightInd w:val="0"/>
              <w:jc w:val="center"/>
              <w:rPr>
                <w:rFonts w:ascii="Simplified Arabic" w:hAnsi="Simplified Arabic" w:cs="Simplified Arabic"/>
                <w:sz w:val="24"/>
                <w:szCs w:val="24"/>
                <w:rtl/>
              </w:rPr>
            </w:pPr>
            <w:r w:rsidRPr="003E6C31">
              <w:rPr>
                <w:rFonts w:ascii="Simplified Arabic" w:hAnsi="Simplified Arabic" w:cs="Simplified Arabic" w:hint="cs"/>
                <w:sz w:val="24"/>
                <w:szCs w:val="24"/>
                <w:rtl/>
              </w:rPr>
              <w:t>متوسط المسافة في الواقع</w:t>
            </w:r>
          </w:p>
        </w:tc>
        <w:tc>
          <w:tcPr>
            <w:tcW w:w="992" w:type="dxa"/>
            <w:vAlign w:val="center"/>
          </w:tcPr>
          <w:p w:rsidR="00D55C84" w:rsidRPr="006D0480" w:rsidRDefault="00897632"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متوسط </w:t>
            </w:r>
            <w:r w:rsidR="00D55C84" w:rsidRPr="006D0480">
              <w:rPr>
                <w:rFonts w:ascii="Simplified Arabic" w:hAnsi="Simplified Arabic" w:cs="Simplified Arabic" w:hint="cs"/>
                <w:sz w:val="24"/>
                <w:szCs w:val="24"/>
                <w:rtl/>
              </w:rPr>
              <w:t>المسافة النظرية</w:t>
            </w:r>
          </w:p>
        </w:tc>
        <w:tc>
          <w:tcPr>
            <w:tcW w:w="709" w:type="dxa"/>
            <w:vAlign w:val="center"/>
          </w:tcPr>
          <w:p w:rsidR="00D55C84" w:rsidRPr="006D0480" w:rsidRDefault="00D55C84" w:rsidP="00897632">
            <w:pPr>
              <w:autoSpaceDE w:val="0"/>
              <w:autoSpaceDN w:val="0"/>
              <w:bidi/>
              <w:adjustRightInd w:val="0"/>
              <w:jc w:val="center"/>
              <w:rPr>
                <w:rFonts w:ascii="Simplified Arabic" w:hAnsi="Simplified Arabic" w:cs="Simplified Arabic"/>
                <w:sz w:val="24"/>
                <w:szCs w:val="24"/>
                <w:rtl/>
              </w:rPr>
            </w:pPr>
            <w:r w:rsidRPr="006D0480">
              <w:rPr>
                <w:rFonts w:ascii="Simplified Arabic" w:hAnsi="Simplified Arabic" w:cs="Simplified Arabic" w:hint="cs"/>
                <w:sz w:val="24"/>
                <w:szCs w:val="24"/>
                <w:rtl/>
              </w:rPr>
              <w:t>اقرب نسبة الجار</w:t>
            </w:r>
          </w:p>
        </w:tc>
        <w:tc>
          <w:tcPr>
            <w:tcW w:w="850" w:type="dxa"/>
            <w:vAlign w:val="center"/>
          </w:tcPr>
          <w:p w:rsidR="00D55C84" w:rsidRPr="006D0480" w:rsidRDefault="00D55C84" w:rsidP="00897632">
            <w:pPr>
              <w:autoSpaceDE w:val="0"/>
              <w:autoSpaceDN w:val="0"/>
              <w:bidi/>
              <w:adjustRightInd w:val="0"/>
              <w:jc w:val="center"/>
              <w:rPr>
                <w:rFonts w:ascii="Simplified Arabic" w:hAnsi="Simplified Arabic" w:cs="Simplified Arabic"/>
                <w:sz w:val="24"/>
                <w:szCs w:val="24"/>
              </w:rPr>
            </w:pPr>
            <w:r w:rsidRPr="006D0480">
              <w:rPr>
                <w:rFonts w:ascii="Simplified Arabic" w:hAnsi="Simplified Arabic" w:cs="Simplified Arabic" w:hint="cs"/>
                <w:sz w:val="24"/>
                <w:szCs w:val="24"/>
                <w:rtl/>
              </w:rPr>
              <w:t xml:space="preserve">القيمة المعيارية </w:t>
            </w:r>
            <w:r w:rsidRPr="006D0480">
              <w:rPr>
                <w:rFonts w:asciiTheme="majorBidi" w:hAnsiTheme="majorBidi" w:cstheme="majorBidi"/>
                <w:sz w:val="24"/>
                <w:szCs w:val="24"/>
              </w:rPr>
              <w:t>Z</w:t>
            </w:r>
          </w:p>
        </w:tc>
        <w:tc>
          <w:tcPr>
            <w:tcW w:w="851" w:type="dxa"/>
            <w:vAlign w:val="center"/>
          </w:tcPr>
          <w:p w:rsidR="00D55C84" w:rsidRPr="006D0480" w:rsidRDefault="00D55C84" w:rsidP="00897632">
            <w:pPr>
              <w:autoSpaceDE w:val="0"/>
              <w:autoSpaceDN w:val="0"/>
              <w:bidi/>
              <w:adjustRightInd w:val="0"/>
              <w:jc w:val="center"/>
              <w:rPr>
                <w:rFonts w:ascii="Simplified Arabic" w:hAnsi="Simplified Arabic" w:cs="Simplified Arabic"/>
                <w:sz w:val="24"/>
                <w:szCs w:val="24"/>
                <w:rtl/>
                <w:lang w:bidi="ar-DZ"/>
              </w:rPr>
            </w:pPr>
            <w:r w:rsidRPr="006D0480">
              <w:rPr>
                <w:rFonts w:ascii="Simplified Arabic" w:hAnsi="Simplified Arabic" w:cs="Simplified Arabic" w:hint="cs"/>
                <w:sz w:val="24"/>
                <w:szCs w:val="24"/>
                <w:rtl/>
              </w:rPr>
              <w:t>قيمة قلة الجوار</w:t>
            </w:r>
            <w:r w:rsidRPr="006D0480">
              <w:rPr>
                <w:rFonts w:asciiTheme="majorBidi" w:hAnsiTheme="majorBidi" w:cstheme="majorBidi"/>
                <w:sz w:val="24"/>
                <w:szCs w:val="24"/>
              </w:rPr>
              <w:t>P</w:t>
            </w:r>
          </w:p>
        </w:tc>
        <w:tc>
          <w:tcPr>
            <w:tcW w:w="2551" w:type="dxa"/>
            <w:vAlign w:val="center"/>
          </w:tcPr>
          <w:p w:rsidR="00D55C84" w:rsidRPr="006D0480" w:rsidRDefault="00D55C84" w:rsidP="00897632">
            <w:pPr>
              <w:autoSpaceDE w:val="0"/>
              <w:autoSpaceDN w:val="0"/>
              <w:bidi/>
              <w:adjustRightInd w:val="0"/>
              <w:jc w:val="center"/>
              <w:rPr>
                <w:rFonts w:ascii="Simplified Arabic" w:hAnsi="Simplified Arabic" w:cs="Simplified Arabic"/>
                <w:sz w:val="24"/>
                <w:szCs w:val="24"/>
                <w:rtl/>
              </w:rPr>
            </w:pPr>
            <w:r w:rsidRPr="006D0480">
              <w:rPr>
                <w:rFonts w:ascii="Simplified Arabic" w:hAnsi="Simplified Arabic" w:cs="Simplified Arabic" w:hint="cs"/>
                <w:sz w:val="24"/>
                <w:szCs w:val="24"/>
                <w:rtl/>
              </w:rPr>
              <w:t>نمط التوزيع</w:t>
            </w:r>
          </w:p>
        </w:tc>
        <w:tc>
          <w:tcPr>
            <w:tcW w:w="921" w:type="dxa"/>
            <w:vAlign w:val="center"/>
          </w:tcPr>
          <w:p w:rsidR="00D55C84" w:rsidRPr="006D0480" w:rsidRDefault="00D55C84" w:rsidP="00897632">
            <w:pPr>
              <w:autoSpaceDE w:val="0"/>
              <w:autoSpaceDN w:val="0"/>
              <w:bidi/>
              <w:adjustRightInd w:val="0"/>
              <w:jc w:val="center"/>
              <w:rPr>
                <w:rFonts w:ascii="Simplified Arabic" w:hAnsi="Simplified Arabic" w:cs="Simplified Arabic"/>
                <w:sz w:val="24"/>
                <w:szCs w:val="24"/>
                <w:rtl/>
              </w:rPr>
            </w:pPr>
            <w:r w:rsidRPr="006D0480">
              <w:rPr>
                <w:rFonts w:ascii="Simplified Arabic" w:hAnsi="Simplified Arabic" w:cs="Simplified Arabic" w:hint="cs"/>
                <w:sz w:val="24"/>
                <w:szCs w:val="24"/>
                <w:rtl/>
              </w:rPr>
              <w:t>النمط الفرعي</w:t>
            </w:r>
          </w:p>
        </w:tc>
      </w:tr>
      <w:tr w:rsidR="003B235F" w:rsidRPr="006D0480" w:rsidTr="003E166E">
        <w:trPr>
          <w:trHeight w:val="475"/>
          <w:jc w:val="center"/>
        </w:trPr>
        <w:tc>
          <w:tcPr>
            <w:tcW w:w="1062" w:type="dxa"/>
            <w:vAlign w:val="center"/>
          </w:tcPr>
          <w:p w:rsidR="00D55C84" w:rsidRPr="00B57FAC" w:rsidRDefault="00D55C84" w:rsidP="00897632">
            <w:pPr>
              <w:bidi/>
              <w:jc w:val="center"/>
              <w:rPr>
                <w:rFonts w:ascii="Simplified Arabic" w:eastAsia="Times New Roman" w:hAnsi="Simplified Arabic" w:cs="Simplified Arabic"/>
                <w:b/>
                <w:sz w:val="24"/>
                <w:szCs w:val="24"/>
                <w:rtl/>
                <w:lang w:val="en-US" w:eastAsia="fr-FR"/>
              </w:rPr>
            </w:pPr>
            <w:r w:rsidRPr="00B57FAC">
              <w:rPr>
                <w:rFonts w:ascii="Simplified Arabic" w:eastAsia="Times New Roman" w:hAnsi="Simplified Arabic" w:cs="Simplified Arabic"/>
                <w:b/>
                <w:sz w:val="24"/>
                <w:szCs w:val="24"/>
                <w:rtl/>
                <w:lang w:val="en-US" w:eastAsia="fr-FR"/>
              </w:rPr>
              <w:t>التكفل الطبي</w:t>
            </w:r>
          </w:p>
        </w:tc>
        <w:tc>
          <w:tcPr>
            <w:tcW w:w="992" w:type="dxa"/>
            <w:vAlign w:val="center"/>
          </w:tcPr>
          <w:p w:rsidR="00D55C84" w:rsidRPr="006D0480" w:rsidRDefault="00897632" w:rsidP="00897632">
            <w:pPr>
              <w:bidi/>
              <w:jc w:val="center"/>
              <w:rPr>
                <w:rFonts w:asciiTheme="majorBidi" w:eastAsia="Times New Roman" w:hAnsiTheme="majorBidi" w:cstheme="majorBidi"/>
                <w:b/>
                <w:color w:val="000000"/>
                <w:sz w:val="24"/>
                <w:szCs w:val="24"/>
                <w:lang w:eastAsia="fr-FR"/>
              </w:rPr>
            </w:pPr>
            <w:r>
              <w:rPr>
                <w:rFonts w:ascii="Simplified Arabic" w:hAnsi="Simplified Arabic" w:cs="Simplified Arabic" w:hint="cs"/>
                <w:sz w:val="24"/>
                <w:szCs w:val="24"/>
                <w:rtl/>
              </w:rPr>
              <w:t>1069</w:t>
            </w:r>
            <w:r w:rsidRPr="00CA27AA">
              <w:rPr>
                <w:rFonts w:ascii="Simplified Arabic" w:hAnsi="Simplified Arabic" w:cs="Simplified Arabic" w:hint="cs"/>
                <w:sz w:val="24"/>
                <w:szCs w:val="24"/>
                <w:rtl/>
              </w:rPr>
              <w:t>.</w:t>
            </w:r>
            <w:r>
              <w:rPr>
                <w:rFonts w:ascii="Simplified Arabic" w:hAnsi="Simplified Arabic" w:cs="Simplified Arabic" w:hint="cs"/>
                <w:sz w:val="24"/>
                <w:szCs w:val="24"/>
                <w:rtl/>
              </w:rPr>
              <w:t>75</w:t>
            </w:r>
          </w:p>
        </w:tc>
        <w:tc>
          <w:tcPr>
            <w:tcW w:w="992" w:type="dxa"/>
            <w:vAlign w:val="center"/>
          </w:tcPr>
          <w:p w:rsidR="00D55C84" w:rsidRPr="00897632" w:rsidRDefault="00897632" w:rsidP="00897632">
            <w:pPr>
              <w:bidi/>
              <w:jc w:val="center"/>
              <w:rPr>
                <w:rFonts w:ascii="Simplified Arabic" w:hAnsi="Simplified Arabic" w:cs="Simplified Arabic"/>
                <w:sz w:val="24"/>
                <w:szCs w:val="24"/>
              </w:rPr>
            </w:pPr>
            <w:r w:rsidRPr="00897632">
              <w:rPr>
                <w:rFonts w:ascii="Simplified Arabic" w:hAnsi="Simplified Arabic" w:cs="Simplified Arabic"/>
                <w:sz w:val="24"/>
                <w:szCs w:val="24"/>
                <w:rtl/>
              </w:rPr>
              <w:t>715.08</w:t>
            </w:r>
          </w:p>
        </w:tc>
        <w:tc>
          <w:tcPr>
            <w:tcW w:w="709" w:type="dxa"/>
            <w:vAlign w:val="center"/>
          </w:tcPr>
          <w:p w:rsidR="00D55C84" w:rsidRPr="006D0480" w:rsidRDefault="00897632" w:rsidP="00897632">
            <w:pPr>
              <w:bidi/>
              <w:jc w:val="center"/>
              <w:rPr>
                <w:rFonts w:ascii="Simplified Arabic" w:hAnsi="Simplified Arabic" w:cs="Simplified Arabic"/>
                <w:sz w:val="24"/>
                <w:szCs w:val="24"/>
                <w:rtl/>
              </w:rPr>
            </w:pPr>
            <w:r w:rsidRPr="00CA27AA">
              <w:rPr>
                <w:rFonts w:ascii="Simplified Arabic" w:hAnsi="Simplified Arabic" w:cs="Simplified Arabic" w:hint="cs"/>
                <w:sz w:val="24"/>
                <w:szCs w:val="24"/>
                <w:rtl/>
              </w:rPr>
              <w:t>1.</w:t>
            </w:r>
            <w:r>
              <w:rPr>
                <w:rFonts w:ascii="Simplified Arabic" w:hAnsi="Simplified Arabic" w:cs="Simplified Arabic" w:hint="cs"/>
                <w:sz w:val="24"/>
                <w:szCs w:val="24"/>
                <w:rtl/>
              </w:rPr>
              <w:t>49</w:t>
            </w:r>
          </w:p>
        </w:tc>
        <w:tc>
          <w:tcPr>
            <w:tcW w:w="850" w:type="dxa"/>
            <w:vAlign w:val="center"/>
          </w:tcPr>
          <w:p w:rsidR="00D55C84" w:rsidRPr="006D0480" w:rsidRDefault="00897632" w:rsidP="00897632">
            <w:pPr>
              <w:bidi/>
              <w:jc w:val="center"/>
              <w:rPr>
                <w:rFonts w:ascii="Simplified Arabic" w:hAnsi="Simplified Arabic" w:cs="Simplified Arabic"/>
                <w:sz w:val="24"/>
                <w:szCs w:val="24"/>
                <w:rtl/>
              </w:rPr>
            </w:pPr>
            <w:r>
              <w:rPr>
                <w:rFonts w:ascii="Simplified Arabic" w:hAnsi="Simplified Arabic" w:cs="Simplified Arabic" w:hint="cs"/>
                <w:sz w:val="24"/>
                <w:szCs w:val="24"/>
                <w:rtl/>
              </w:rPr>
              <w:t>3.28</w:t>
            </w:r>
          </w:p>
        </w:tc>
        <w:tc>
          <w:tcPr>
            <w:tcW w:w="851" w:type="dxa"/>
            <w:vAlign w:val="center"/>
          </w:tcPr>
          <w:p w:rsidR="00D55C84" w:rsidRPr="006D0480" w:rsidRDefault="00897632" w:rsidP="00897632">
            <w:pPr>
              <w:bidi/>
              <w:jc w:val="center"/>
              <w:rPr>
                <w:rFonts w:ascii="Simplified Arabic" w:hAnsi="Simplified Arabic" w:cs="Simplified Arabic"/>
                <w:sz w:val="24"/>
                <w:szCs w:val="24"/>
                <w:rtl/>
              </w:rPr>
            </w:pPr>
            <w:r>
              <w:rPr>
                <w:rFonts w:ascii="Simplified Arabic" w:hAnsi="Simplified Arabic" w:cs="Simplified Arabic" w:hint="cs"/>
                <w:sz w:val="24"/>
                <w:szCs w:val="24"/>
                <w:rtl/>
              </w:rPr>
              <w:t>0.00</w:t>
            </w:r>
          </w:p>
        </w:tc>
        <w:tc>
          <w:tcPr>
            <w:tcW w:w="2551" w:type="dxa"/>
            <w:vAlign w:val="center"/>
          </w:tcPr>
          <w:p w:rsidR="00D55C84" w:rsidRPr="006D0480" w:rsidRDefault="00F65A5A" w:rsidP="00F65A5A">
            <w:pPr>
              <w:autoSpaceDE w:val="0"/>
              <w:autoSpaceDN w:val="0"/>
              <w:bidi/>
              <w:adjustRightInd w:val="0"/>
              <w:rPr>
                <w:rFonts w:ascii="Simplified Arabic" w:hAnsi="Simplified Arabic" w:cs="Simplified Arabic"/>
                <w:sz w:val="24"/>
                <w:szCs w:val="24"/>
                <w:rtl/>
              </w:rPr>
            </w:pPr>
            <w:r>
              <w:rPr>
                <w:rFonts w:ascii="Simplified Arabic" w:hAnsi="Simplified Arabic" w:cs="Simplified Arabic" w:hint="cs"/>
                <w:sz w:val="24"/>
                <w:szCs w:val="24"/>
                <w:rtl/>
              </w:rPr>
              <w:t xml:space="preserve">بما ان </w:t>
            </w:r>
            <w:r w:rsidRPr="00CA27AA">
              <w:rPr>
                <w:rFonts w:ascii="Simplified Arabic" w:hAnsi="Simplified Arabic" w:cs="Simplified Arabic" w:hint="cs"/>
                <w:sz w:val="24"/>
                <w:szCs w:val="24"/>
                <w:rtl/>
              </w:rPr>
              <w:t xml:space="preserve">قيمة </w:t>
            </w:r>
            <w:r w:rsidRPr="00806C3E">
              <w:rPr>
                <w:rFonts w:asciiTheme="majorBidi" w:hAnsiTheme="majorBidi" w:cstheme="majorBidi"/>
                <w:sz w:val="24"/>
                <w:szCs w:val="24"/>
              </w:rPr>
              <w:t>Z</w:t>
            </w:r>
            <w:r w:rsidRPr="00CA27AA">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موجبة </w:t>
            </w:r>
            <w:r w:rsidRPr="00CA27AA">
              <w:rPr>
                <w:rFonts w:ascii="Simplified Arabic" w:hAnsi="Simplified Arabic" w:cs="Simplified Arabic" w:hint="cs"/>
                <w:sz w:val="24"/>
                <w:szCs w:val="24"/>
                <w:rtl/>
              </w:rPr>
              <w:t xml:space="preserve">قدرت بـ: </w:t>
            </w:r>
            <w:r>
              <w:rPr>
                <w:rFonts w:ascii="Simplified Arabic" w:hAnsi="Simplified Arabic" w:cs="Simplified Arabic" w:hint="cs"/>
                <w:sz w:val="24"/>
                <w:szCs w:val="24"/>
                <w:rtl/>
              </w:rPr>
              <w:t>3</w:t>
            </w:r>
            <w:r w:rsidRPr="00CA27AA">
              <w:rPr>
                <w:rFonts w:ascii="Simplified Arabic" w:hAnsi="Simplified Arabic" w:cs="Simplified Arabic" w:hint="cs"/>
                <w:sz w:val="24"/>
                <w:szCs w:val="24"/>
                <w:rtl/>
              </w:rPr>
              <w:t>.</w:t>
            </w:r>
            <w:r>
              <w:rPr>
                <w:rFonts w:ascii="Simplified Arabic" w:hAnsi="Simplified Arabic" w:cs="Simplified Arabic" w:hint="cs"/>
                <w:sz w:val="24"/>
                <w:szCs w:val="24"/>
                <w:rtl/>
              </w:rPr>
              <w:t>28.</w:t>
            </w:r>
            <w:r w:rsidRPr="00CA27AA">
              <w:rPr>
                <w:rFonts w:ascii="Simplified Arabic" w:hAnsi="Simplified Arabic" w:cs="Simplified Arabic" w:hint="cs"/>
                <w:sz w:val="24"/>
                <w:szCs w:val="24"/>
                <w:rtl/>
              </w:rPr>
              <w:t xml:space="preserve"> يشير ذلك الى </w:t>
            </w:r>
            <w:r>
              <w:rPr>
                <w:rFonts w:ascii="Simplified Arabic" w:hAnsi="Simplified Arabic" w:cs="Simplified Arabic" w:hint="cs"/>
                <w:sz w:val="24"/>
                <w:szCs w:val="24"/>
                <w:rtl/>
                <w:lang w:bidi="ar-DZ"/>
              </w:rPr>
              <w:t>احتمال اقل من 1</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في ان يكون هذا التباعد نتيجة لفرصة عشوائية</w:t>
            </w:r>
          </w:p>
        </w:tc>
        <w:tc>
          <w:tcPr>
            <w:tcW w:w="921" w:type="dxa"/>
            <w:vAlign w:val="center"/>
          </w:tcPr>
          <w:p w:rsidR="00D55C84" w:rsidRPr="006D0480" w:rsidRDefault="00F65A5A"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متباعد المسافة</w:t>
            </w:r>
          </w:p>
        </w:tc>
      </w:tr>
      <w:tr w:rsidR="003B235F" w:rsidRPr="006D0480" w:rsidTr="003E166E">
        <w:trPr>
          <w:trHeight w:val="373"/>
          <w:jc w:val="center"/>
        </w:trPr>
        <w:tc>
          <w:tcPr>
            <w:tcW w:w="1062" w:type="dxa"/>
            <w:vAlign w:val="center"/>
          </w:tcPr>
          <w:p w:rsidR="003B235F" w:rsidRPr="003E166E" w:rsidRDefault="003B235F" w:rsidP="003E166E">
            <w:pPr>
              <w:bidi/>
              <w:jc w:val="center"/>
              <w:rPr>
                <w:rFonts w:ascii="Simplified Arabic" w:eastAsia="Times New Roman" w:hAnsi="Simplified Arabic" w:cs="Simplified Arabic"/>
                <w:b/>
                <w:sz w:val="24"/>
                <w:szCs w:val="24"/>
                <w:rtl/>
                <w:lang w:val="en-US" w:eastAsia="fr-FR"/>
              </w:rPr>
            </w:pPr>
            <w:r w:rsidRPr="003E166E">
              <w:rPr>
                <w:rFonts w:ascii="Simplified Arabic" w:eastAsia="Times New Roman" w:hAnsi="Simplified Arabic" w:cs="Simplified Arabic"/>
                <w:b/>
                <w:sz w:val="24"/>
                <w:szCs w:val="24"/>
                <w:rtl/>
                <w:lang w:val="en-US" w:eastAsia="fr-FR"/>
              </w:rPr>
              <w:t>إنقاذ</w:t>
            </w:r>
            <w:r w:rsidR="003E166E">
              <w:rPr>
                <w:rFonts w:ascii="Simplified Arabic" w:eastAsia="Times New Roman" w:hAnsi="Simplified Arabic" w:cs="Simplified Arabic" w:hint="cs"/>
                <w:b/>
                <w:sz w:val="24"/>
                <w:szCs w:val="24"/>
                <w:rtl/>
                <w:lang w:val="en-US" w:eastAsia="fr-FR"/>
              </w:rPr>
              <w:t>/</w:t>
            </w:r>
            <w:r w:rsidRPr="003E166E">
              <w:rPr>
                <w:rFonts w:ascii="Simplified Arabic" w:eastAsia="Times New Roman" w:hAnsi="Simplified Arabic" w:cs="Simplified Arabic"/>
                <w:b/>
                <w:sz w:val="24"/>
                <w:szCs w:val="24"/>
                <w:rtl/>
                <w:lang w:val="en-US" w:eastAsia="fr-FR"/>
              </w:rPr>
              <w:t>إجلاء</w:t>
            </w:r>
          </w:p>
        </w:tc>
        <w:tc>
          <w:tcPr>
            <w:tcW w:w="992" w:type="dxa"/>
            <w:shd w:val="clear" w:color="auto" w:fill="F2F2F2" w:themeFill="background1" w:themeFillShade="F2"/>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992" w:type="dxa"/>
            <w:shd w:val="clear" w:color="auto" w:fill="F2F2F2" w:themeFill="background1" w:themeFillShade="F2"/>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709" w:type="dxa"/>
            <w:shd w:val="clear" w:color="auto" w:fill="F2F2F2" w:themeFill="background1" w:themeFillShade="F2"/>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850" w:type="dxa"/>
            <w:shd w:val="clear" w:color="auto" w:fill="F2F2F2" w:themeFill="background1" w:themeFillShade="F2"/>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851" w:type="dxa"/>
            <w:shd w:val="clear" w:color="auto" w:fill="F2F2F2" w:themeFill="background1" w:themeFillShade="F2"/>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2551" w:type="dxa"/>
            <w:shd w:val="clear" w:color="auto" w:fill="F2F2F2" w:themeFill="background1" w:themeFillShade="F2"/>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921" w:type="dxa"/>
            <w:shd w:val="clear" w:color="auto" w:fill="F2F2F2" w:themeFill="background1" w:themeFillShade="F2"/>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r>
      <w:tr w:rsidR="003B235F" w:rsidRPr="006D0480" w:rsidTr="003E166E">
        <w:trPr>
          <w:jc w:val="center"/>
        </w:trPr>
        <w:tc>
          <w:tcPr>
            <w:tcW w:w="1062" w:type="dxa"/>
            <w:vAlign w:val="center"/>
          </w:tcPr>
          <w:p w:rsidR="003B235F" w:rsidRPr="00B57FAC" w:rsidRDefault="003B235F" w:rsidP="00897632">
            <w:pPr>
              <w:bidi/>
              <w:jc w:val="center"/>
              <w:rPr>
                <w:rFonts w:ascii="Simplified Arabic" w:eastAsia="Times New Roman" w:hAnsi="Simplified Arabic" w:cs="Simplified Arabic"/>
                <w:b/>
                <w:sz w:val="24"/>
                <w:szCs w:val="24"/>
                <w:rtl/>
                <w:lang w:val="en-US" w:eastAsia="fr-FR"/>
              </w:rPr>
            </w:pPr>
            <w:r w:rsidRPr="00B57FAC">
              <w:rPr>
                <w:rFonts w:ascii="Simplified Arabic" w:eastAsia="Times New Roman" w:hAnsi="Simplified Arabic" w:cs="Simplified Arabic"/>
                <w:b/>
                <w:sz w:val="24"/>
                <w:szCs w:val="24"/>
                <w:rtl/>
                <w:lang w:val="en-US" w:eastAsia="fr-FR"/>
              </w:rPr>
              <w:t>الأمن</w:t>
            </w:r>
          </w:p>
        </w:tc>
        <w:tc>
          <w:tcPr>
            <w:tcW w:w="992" w:type="dxa"/>
            <w:vAlign w:val="center"/>
          </w:tcPr>
          <w:p w:rsidR="003B235F" w:rsidRPr="006D0480" w:rsidRDefault="003B235F" w:rsidP="00897632">
            <w:pPr>
              <w:bidi/>
              <w:jc w:val="center"/>
              <w:rPr>
                <w:rFonts w:asciiTheme="majorBidi" w:eastAsia="Times New Roman" w:hAnsiTheme="majorBidi" w:cstheme="majorBidi"/>
                <w:b/>
                <w:color w:val="000000"/>
                <w:sz w:val="24"/>
                <w:szCs w:val="24"/>
                <w:lang w:eastAsia="fr-FR"/>
              </w:rPr>
            </w:pPr>
            <w:r>
              <w:rPr>
                <w:rFonts w:ascii="Simplified Arabic" w:hAnsi="Simplified Arabic" w:cs="Simplified Arabic" w:hint="cs"/>
                <w:sz w:val="24"/>
                <w:szCs w:val="24"/>
                <w:rtl/>
                <w:lang w:bidi="ar-DZ"/>
              </w:rPr>
              <w:t>1353</w:t>
            </w:r>
            <w:r w:rsidRPr="005C775B">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11</w:t>
            </w:r>
          </w:p>
        </w:tc>
        <w:tc>
          <w:tcPr>
            <w:tcW w:w="992" w:type="dxa"/>
            <w:vAlign w:val="center"/>
          </w:tcPr>
          <w:p w:rsidR="003B235F" w:rsidRPr="006D0480" w:rsidRDefault="003B235F" w:rsidP="00897632">
            <w:pPr>
              <w:bidi/>
              <w:jc w:val="center"/>
              <w:rPr>
                <w:rFonts w:asciiTheme="majorBidi" w:eastAsia="Times New Roman" w:hAnsiTheme="majorBidi" w:cstheme="majorBidi"/>
                <w:b/>
                <w:color w:val="000000"/>
                <w:lang w:eastAsia="fr-FR"/>
              </w:rPr>
            </w:pPr>
            <w:r>
              <w:rPr>
                <w:rFonts w:asciiTheme="majorBidi" w:eastAsia="Times New Roman" w:hAnsiTheme="majorBidi" w:cstheme="majorBidi" w:hint="cs"/>
                <w:b/>
                <w:color w:val="000000"/>
                <w:rtl/>
                <w:lang w:eastAsia="fr-FR"/>
              </w:rPr>
              <w:t>641.57</w:t>
            </w:r>
          </w:p>
        </w:tc>
        <w:tc>
          <w:tcPr>
            <w:tcW w:w="709" w:type="dxa"/>
            <w:vAlign w:val="center"/>
          </w:tcPr>
          <w:p w:rsidR="003B235F" w:rsidRPr="006D0480" w:rsidRDefault="003B235F"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lang w:bidi="ar-DZ"/>
              </w:rPr>
              <w:t>2</w:t>
            </w:r>
            <w:r w:rsidRPr="005C775B">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11</w:t>
            </w:r>
          </w:p>
        </w:tc>
        <w:tc>
          <w:tcPr>
            <w:tcW w:w="850" w:type="dxa"/>
            <w:vAlign w:val="center"/>
          </w:tcPr>
          <w:p w:rsidR="003B235F" w:rsidRPr="006D0480" w:rsidRDefault="003B235F"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5.19</w:t>
            </w:r>
          </w:p>
        </w:tc>
        <w:tc>
          <w:tcPr>
            <w:tcW w:w="851" w:type="dxa"/>
            <w:vAlign w:val="center"/>
          </w:tcPr>
          <w:p w:rsidR="003B235F" w:rsidRPr="006D0480" w:rsidRDefault="003B235F"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0.00</w:t>
            </w:r>
          </w:p>
        </w:tc>
        <w:tc>
          <w:tcPr>
            <w:tcW w:w="2551" w:type="dxa"/>
            <w:vAlign w:val="center"/>
          </w:tcPr>
          <w:p w:rsidR="003B235F" w:rsidRPr="006D0480" w:rsidRDefault="003B235F" w:rsidP="00943107">
            <w:pPr>
              <w:autoSpaceDE w:val="0"/>
              <w:autoSpaceDN w:val="0"/>
              <w:bidi/>
              <w:adjustRightInd w:val="0"/>
              <w:rPr>
                <w:rFonts w:ascii="Simplified Arabic" w:hAnsi="Simplified Arabic" w:cs="Simplified Arabic"/>
                <w:sz w:val="24"/>
                <w:szCs w:val="24"/>
                <w:rtl/>
              </w:rPr>
            </w:pPr>
            <w:r>
              <w:rPr>
                <w:rFonts w:ascii="Simplified Arabic" w:hAnsi="Simplified Arabic" w:cs="Simplified Arabic" w:hint="cs"/>
                <w:sz w:val="24"/>
                <w:szCs w:val="24"/>
                <w:rtl/>
              </w:rPr>
              <w:t xml:space="preserve">بما ان </w:t>
            </w:r>
            <w:r w:rsidRPr="00CA27AA">
              <w:rPr>
                <w:rFonts w:ascii="Simplified Arabic" w:hAnsi="Simplified Arabic" w:cs="Simplified Arabic" w:hint="cs"/>
                <w:sz w:val="24"/>
                <w:szCs w:val="24"/>
                <w:rtl/>
              </w:rPr>
              <w:t xml:space="preserve">قيمة </w:t>
            </w:r>
            <w:r w:rsidRPr="00806C3E">
              <w:rPr>
                <w:rFonts w:asciiTheme="majorBidi" w:hAnsiTheme="majorBidi" w:cstheme="majorBidi"/>
                <w:sz w:val="24"/>
                <w:szCs w:val="24"/>
              </w:rPr>
              <w:t>Z</w:t>
            </w:r>
            <w:r w:rsidRPr="00CA27AA">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موجبة </w:t>
            </w:r>
            <w:r w:rsidRPr="005C775B">
              <w:rPr>
                <w:rFonts w:ascii="Simplified Arabic" w:hAnsi="Simplified Arabic" w:cs="Simplified Arabic" w:hint="cs"/>
                <w:sz w:val="24"/>
                <w:szCs w:val="24"/>
                <w:rtl/>
                <w:lang w:bidi="ar-DZ"/>
              </w:rPr>
              <w:t xml:space="preserve">قدرت بـ: </w:t>
            </w:r>
            <w:r>
              <w:rPr>
                <w:rFonts w:ascii="Simplified Arabic" w:hAnsi="Simplified Arabic" w:cs="Simplified Arabic" w:hint="cs"/>
                <w:sz w:val="24"/>
                <w:szCs w:val="24"/>
                <w:rtl/>
                <w:lang w:bidi="ar-DZ"/>
              </w:rPr>
              <w:t>5</w:t>
            </w:r>
            <w:r w:rsidRPr="005C775B">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19.</w:t>
            </w:r>
            <w:r w:rsidRPr="005C775B">
              <w:rPr>
                <w:rFonts w:ascii="Simplified Arabic" w:hAnsi="Simplified Arabic" w:cs="Simplified Arabic" w:hint="cs"/>
                <w:sz w:val="24"/>
                <w:szCs w:val="24"/>
                <w:rtl/>
                <w:lang w:bidi="ar-DZ"/>
              </w:rPr>
              <w:t xml:space="preserve"> يشير ذلك الى </w:t>
            </w:r>
            <w:r>
              <w:rPr>
                <w:rFonts w:ascii="Simplified Arabic" w:hAnsi="Simplified Arabic" w:cs="Simplified Arabic" w:hint="cs"/>
                <w:sz w:val="24"/>
                <w:szCs w:val="24"/>
                <w:rtl/>
                <w:lang w:bidi="ar-DZ"/>
              </w:rPr>
              <w:t>احتمال اقل من 1</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في ان يكون هذا التباعد نتيجة لفرصة عشوائية</w:t>
            </w:r>
          </w:p>
        </w:tc>
        <w:tc>
          <w:tcPr>
            <w:tcW w:w="921" w:type="dxa"/>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متباعد المسافة</w:t>
            </w:r>
          </w:p>
        </w:tc>
      </w:tr>
      <w:tr w:rsidR="003B235F" w:rsidRPr="006D0480" w:rsidTr="003E166E">
        <w:trPr>
          <w:jc w:val="center"/>
        </w:trPr>
        <w:tc>
          <w:tcPr>
            <w:tcW w:w="1062" w:type="dxa"/>
            <w:vAlign w:val="center"/>
          </w:tcPr>
          <w:p w:rsidR="003B235F" w:rsidRPr="00B57FAC" w:rsidRDefault="003B235F" w:rsidP="00897632">
            <w:pPr>
              <w:bidi/>
              <w:jc w:val="center"/>
              <w:rPr>
                <w:rFonts w:ascii="Simplified Arabic" w:eastAsia="Times New Roman" w:hAnsi="Simplified Arabic" w:cs="Simplified Arabic"/>
                <w:b/>
                <w:sz w:val="24"/>
                <w:szCs w:val="24"/>
                <w:rtl/>
                <w:lang w:val="en-US" w:eastAsia="fr-FR"/>
              </w:rPr>
            </w:pPr>
            <w:r w:rsidRPr="00B57FAC">
              <w:rPr>
                <w:rFonts w:ascii="Simplified Arabic" w:eastAsia="Times New Roman" w:hAnsi="Simplified Arabic" w:cs="Simplified Arabic"/>
                <w:b/>
                <w:sz w:val="24"/>
                <w:szCs w:val="24"/>
                <w:rtl/>
                <w:lang w:val="en-US" w:eastAsia="fr-FR"/>
              </w:rPr>
              <w:t>الايواء المؤقت</w:t>
            </w:r>
          </w:p>
        </w:tc>
        <w:tc>
          <w:tcPr>
            <w:tcW w:w="992" w:type="dxa"/>
            <w:vAlign w:val="center"/>
          </w:tcPr>
          <w:p w:rsidR="003B235F" w:rsidRPr="006D0480" w:rsidRDefault="003B235F" w:rsidP="00897632">
            <w:pPr>
              <w:bidi/>
              <w:jc w:val="center"/>
              <w:rPr>
                <w:rFonts w:asciiTheme="majorBidi" w:eastAsia="Times New Roman" w:hAnsiTheme="majorBidi" w:cstheme="majorBidi"/>
                <w:b/>
                <w:color w:val="000000"/>
                <w:sz w:val="24"/>
                <w:szCs w:val="24"/>
                <w:lang w:eastAsia="fr-FR"/>
              </w:rPr>
            </w:pPr>
            <w:r>
              <w:rPr>
                <w:rFonts w:ascii="Simplified Arabic" w:hAnsi="Simplified Arabic" w:cs="Simplified Arabic" w:hint="cs"/>
                <w:sz w:val="24"/>
                <w:szCs w:val="24"/>
                <w:rtl/>
                <w:lang w:bidi="ar-DZ"/>
              </w:rPr>
              <w:t>439.63</w:t>
            </w:r>
          </w:p>
        </w:tc>
        <w:tc>
          <w:tcPr>
            <w:tcW w:w="992" w:type="dxa"/>
            <w:vAlign w:val="center"/>
          </w:tcPr>
          <w:p w:rsidR="003B235F" w:rsidRPr="006D0480" w:rsidRDefault="003B235F" w:rsidP="00897632">
            <w:pPr>
              <w:bidi/>
              <w:jc w:val="center"/>
              <w:rPr>
                <w:rFonts w:asciiTheme="majorBidi" w:eastAsia="Times New Roman" w:hAnsiTheme="majorBidi" w:cstheme="majorBidi"/>
                <w:b/>
                <w:color w:val="000000"/>
                <w:lang w:eastAsia="fr-FR"/>
              </w:rPr>
            </w:pPr>
            <w:r>
              <w:rPr>
                <w:rFonts w:asciiTheme="majorBidi" w:eastAsia="Times New Roman" w:hAnsiTheme="majorBidi" w:cstheme="majorBidi" w:hint="cs"/>
                <w:b/>
                <w:color w:val="000000"/>
                <w:rtl/>
                <w:lang w:eastAsia="fr-FR"/>
              </w:rPr>
              <w:t>473.95</w:t>
            </w:r>
          </w:p>
        </w:tc>
        <w:tc>
          <w:tcPr>
            <w:tcW w:w="709" w:type="dxa"/>
            <w:vAlign w:val="center"/>
          </w:tcPr>
          <w:p w:rsidR="003B235F" w:rsidRPr="006D0480" w:rsidRDefault="003B235F"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lang w:bidi="ar-DZ"/>
              </w:rPr>
              <w:t>0.92</w:t>
            </w:r>
          </w:p>
        </w:tc>
        <w:tc>
          <w:tcPr>
            <w:tcW w:w="850" w:type="dxa"/>
            <w:vAlign w:val="center"/>
          </w:tcPr>
          <w:p w:rsidR="003B235F" w:rsidRPr="006D0480" w:rsidRDefault="003B235F" w:rsidP="003B235F">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lang w:bidi="ar-DZ"/>
              </w:rPr>
              <w:t>0.95-</w:t>
            </w:r>
          </w:p>
        </w:tc>
        <w:tc>
          <w:tcPr>
            <w:tcW w:w="851" w:type="dxa"/>
            <w:vAlign w:val="center"/>
          </w:tcPr>
          <w:p w:rsidR="003B235F" w:rsidRPr="006D0480" w:rsidRDefault="003B235F"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0.34</w:t>
            </w:r>
          </w:p>
        </w:tc>
        <w:tc>
          <w:tcPr>
            <w:tcW w:w="2551" w:type="dxa"/>
          </w:tcPr>
          <w:p w:rsidR="003B235F" w:rsidRPr="00F65A5A" w:rsidRDefault="003B235F" w:rsidP="00F65A5A">
            <w:pPr>
              <w:bidi/>
            </w:pPr>
            <w:r w:rsidRPr="00F65A5A">
              <w:rPr>
                <w:rFonts w:ascii="Simplified Arabic" w:hAnsi="Simplified Arabic" w:cs="Simplified Arabic" w:hint="cs"/>
                <w:rtl/>
                <w:lang w:bidi="ar-DZ"/>
              </w:rPr>
              <w:t>لا يبدو نمط التوزيع مختلفا بشكل كبير عن العشوائية</w:t>
            </w:r>
          </w:p>
        </w:tc>
        <w:tc>
          <w:tcPr>
            <w:tcW w:w="921" w:type="dxa"/>
            <w:vAlign w:val="center"/>
          </w:tcPr>
          <w:p w:rsidR="003B235F" w:rsidRPr="006D0480" w:rsidRDefault="003B235F" w:rsidP="00F65A5A">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متقارب المسافة</w:t>
            </w:r>
          </w:p>
        </w:tc>
      </w:tr>
      <w:tr w:rsidR="003B235F" w:rsidRPr="006D0480" w:rsidTr="003E166E">
        <w:trPr>
          <w:jc w:val="center"/>
        </w:trPr>
        <w:tc>
          <w:tcPr>
            <w:tcW w:w="1062" w:type="dxa"/>
            <w:vAlign w:val="center"/>
          </w:tcPr>
          <w:p w:rsidR="003B235F" w:rsidRPr="00B57FAC" w:rsidRDefault="003B235F" w:rsidP="003B235F">
            <w:pPr>
              <w:bidi/>
              <w:jc w:val="center"/>
              <w:rPr>
                <w:rFonts w:ascii="Simplified Arabic" w:eastAsia="Times New Roman" w:hAnsi="Simplified Arabic" w:cs="Simplified Arabic"/>
                <w:b/>
                <w:sz w:val="24"/>
                <w:szCs w:val="24"/>
                <w:rtl/>
                <w:lang w:val="en-US" w:eastAsia="fr-FR"/>
              </w:rPr>
            </w:pPr>
            <w:r w:rsidRPr="00B57FAC">
              <w:rPr>
                <w:rFonts w:ascii="Simplified Arabic" w:eastAsia="Times New Roman" w:hAnsi="Simplified Arabic" w:cs="Simplified Arabic"/>
                <w:b/>
                <w:sz w:val="24"/>
                <w:szCs w:val="24"/>
                <w:rtl/>
                <w:lang w:val="en-US" w:eastAsia="fr-FR"/>
              </w:rPr>
              <w:t>التضامن</w:t>
            </w:r>
            <w:r>
              <w:rPr>
                <w:rFonts w:ascii="Simplified Arabic" w:eastAsia="Times New Roman" w:hAnsi="Simplified Arabic" w:cs="Simplified Arabic" w:hint="cs"/>
                <w:b/>
                <w:sz w:val="24"/>
                <w:szCs w:val="24"/>
                <w:rtl/>
                <w:lang w:val="en-US" w:eastAsia="fr-FR"/>
              </w:rPr>
              <w:t xml:space="preserve"> و</w:t>
            </w:r>
            <w:r w:rsidRPr="00B57FAC">
              <w:rPr>
                <w:rFonts w:ascii="Simplified Arabic" w:eastAsia="Times New Roman" w:hAnsi="Simplified Arabic" w:cs="Simplified Arabic"/>
                <w:b/>
                <w:sz w:val="24"/>
                <w:szCs w:val="24"/>
                <w:rtl/>
                <w:lang w:val="en-US" w:eastAsia="fr-FR"/>
              </w:rPr>
              <w:t>التموين</w:t>
            </w:r>
          </w:p>
        </w:tc>
        <w:tc>
          <w:tcPr>
            <w:tcW w:w="992" w:type="dxa"/>
            <w:vAlign w:val="center"/>
          </w:tcPr>
          <w:p w:rsidR="003B235F" w:rsidRPr="006D0480" w:rsidRDefault="003B235F" w:rsidP="00897632">
            <w:pPr>
              <w:bidi/>
              <w:jc w:val="center"/>
              <w:rPr>
                <w:rFonts w:asciiTheme="majorBidi" w:eastAsia="Times New Roman" w:hAnsiTheme="majorBidi" w:cstheme="majorBidi"/>
                <w:b/>
                <w:color w:val="000000"/>
                <w:sz w:val="24"/>
                <w:szCs w:val="24"/>
                <w:lang w:eastAsia="fr-FR"/>
              </w:rPr>
            </w:pPr>
            <w:r>
              <w:rPr>
                <w:rFonts w:ascii="Simplified Arabic" w:hAnsi="Simplified Arabic" w:cs="Simplified Arabic" w:hint="cs"/>
                <w:sz w:val="24"/>
                <w:szCs w:val="24"/>
                <w:rtl/>
                <w:lang w:bidi="ar-DZ"/>
              </w:rPr>
              <w:t>382.66</w:t>
            </w:r>
          </w:p>
        </w:tc>
        <w:tc>
          <w:tcPr>
            <w:tcW w:w="992" w:type="dxa"/>
            <w:vAlign w:val="center"/>
          </w:tcPr>
          <w:p w:rsidR="003B235F" w:rsidRPr="006D0480" w:rsidRDefault="003B235F" w:rsidP="00897632">
            <w:pPr>
              <w:bidi/>
              <w:jc w:val="center"/>
              <w:rPr>
                <w:rFonts w:asciiTheme="majorBidi" w:eastAsia="Times New Roman" w:hAnsiTheme="majorBidi" w:cstheme="majorBidi"/>
                <w:b/>
                <w:color w:val="000000"/>
                <w:lang w:eastAsia="fr-FR"/>
              </w:rPr>
            </w:pPr>
            <w:r>
              <w:rPr>
                <w:rFonts w:asciiTheme="majorBidi" w:eastAsia="Times New Roman" w:hAnsiTheme="majorBidi" w:cstheme="majorBidi" w:hint="cs"/>
                <w:b/>
                <w:color w:val="000000"/>
                <w:rtl/>
                <w:lang w:eastAsia="fr-FR"/>
              </w:rPr>
              <w:t>437.21</w:t>
            </w:r>
          </w:p>
        </w:tc>
        <w:tc>
          <w:tcPr>
            <w:tcW w:w="709" w:type="dxa"/>
            <w:vAlign w:val="center"/>
          </w:tcPr>
          <w:p w:rsidR="003B235F" w:rsidRPr="006D0480" w:rsidRDefault="003B235F" w:rsidP="003B235F">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lang w:bidi="ar-DZ"/>
              </w:rPr>
              <w:t>0.87</w:t>
            </w:r>
          </w:p>
        </w:tc>
        <w:tc>
          <w:tcPr>
            <w:tcW w:w="850" w:type="dxa"/>
            <w:vAlign w:val="center"/>
          </w:tcPr>
          <w:p w:rsidR="003B235F" w:rsidRPr="006D0480" w:rsidRDefault="003B235F" w:rsidP="003B235F">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lang w:bidi="ar-DZ"/>
              </w:rPr>
              <w:t>1.58-</w:t>
            </w:r>
          </w:p>
        </w:tc>
        <w:tc>
          <w:tcPr>
            <w:tcW w:w="851" w:type="dxa"/>
            <w:vAlign w:val="center"/>
          </w:tcPr>
          <w:p w:rsidR="003B235F" w:rsidRPr="006D0480" w:rsidRDefault="003B235F" w:rsidP="00897632">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0.11</w:t>
            </w:r>
          </w:p>
        </w:tc>
        <w:tc>
          <w:tcPr>
            <w:tcW w:w="2551" w:type="dxa"/>
          </w:tcPr>
          <w:p w:rsidR="003B235F" w:rsidRPr="00F65A5A" w:rsidRDefault="003B235F" w:rsidP="00F65A5A">
            <w:pPr>
              <w:bidi/>
            </w:pPr>
            <w:r w:rsidRPr="00F65A5A">
              <w:rPr>
                <w:rFonts w:ascii="Simplified Arabic" w:hAnsi="Simplified Arabic" w:cs="Simplified Arabic" w:hint="cs"/>
                <w:rtl/>
                <w:lang w:bidi="ar-DZ"/>
              </w:rPr>
              <w:t>لا يبدو نمط التوزيع مختلفا بشكل كبير عن العشوائية</w:t>
            </w:r>
          </w:p>
        </w:tc>
        <w:tc>
          <w:tcPr>
            <w:tcW w:w="921" w:type="dxa"/>
            <w:vAlign w:val="center"/>
          </w:tcPr>
          <w:p w:rsidR="003B235F" w:rsidRPr="006D0480" w:rsidRDefault="003B235F" w:rsidP="00943107">
            <w:pPr>
              <w:autoSpaceDE w:val="0"/>
              <w:autoSpaceDN w:val="0"/>
              <w:bidi/>
              <w:adjustRightInd w:val="0"/>
              <w:jc w:val="center"/>
              <w:rPr>
                <w:rFonts w:ascii="Simplified Arabic" w:hAnsi="Simplified Arabic" w:cs="Simplified Arabic"/>
                <w:sz w:val="24"/>
                <w:szCs w:val="24"/>
                <w:rtl/>
              </w:rPr>
            </w:pPr>
            <w:r>
              <w:rPr>
                <w:rFonts w:ascii="Simplified Arabic" w:hAnsi="Simplified Arabic" w:cs="Simplified Arabic" w:hint="cs"/>
                <w:sz w:val="24"/>
                <w:szCs w:val="24"/>
                <w:rtl/>
              </w:rPr>
              <w:t>متقارب المسافة</w:t>
            </w:r>
          </w:p>
        </w:tc>
      </w:tr>
    </w:tbl>
    <w:p w:rsidR="002A686B" w:rsidRPr="00627E4F" w:rsidRDefault="002A686B" w:rsidP="001D0548">
      <w:pPr>
        <w:pStyle w:val="Paragraphedeliste"/>
        <w:numPr>
          <w:ilvl w:val="3"/>
          <w:numId w:val="187"/>
        </w:numPr>
        <w:tabs>
          <w:tab w:val="right" w:pos="992"/>
        </w:tabs>
        <w:bidi/>
        <w:spacing w:before="240" w:after="0"/>
        <w:ind w:left="0" w:firstLine="0"/>
        <w:jc w:val="both"/>
        <w:outlineLvl w:val="2"/>
        <w:rPr>
          <w:rFonts w:ascii="Simplified Arabic" w:hAnsi="Simplified Arabic" w:cs="Simplified Arabic"/>
          <w:b/>
          <w:bCs/>
          <w:sz w:val="24"/>
          <w:szCs w:val="24"/>
          <w:rtl/>
          <w:lang w:bidi="ar-DZ"/>
        </w:rPr>
      </w:pPr>
      <w:bookmarkStart w:id="915" w:name="_Toc171803854"/>
      <w:r w:rsidRPr="00627E4F">
        <w:rPr>
          <w:rFonts w:ascii="Simplified Arabic" w:hAnsi="Simplified Arabic" w:cs="Simplified Arabic" w:hint="cs"/>
          <w:b/>
          <w:bCs/>
          <w:sz w:val="24"/>
          <w:szCs w:val="24"/>
          <w:rtl/>
          <w:lang w:bidi="ar-DZ"/>
        </w:rPr>
        <w:t xml:space="preserve">استخراج خريطة سمة التنوع </w:t>
      </w:r>
      <w:r w:rsidR="00CD7FCC" w:rsidRPr="00627E4F">
        <w:rPr>
          <w:rFonts w:ascii="Simplified Arabic" w:hAnsi="Simplified Arabic" w:cs="Simplified Arabic" w:hint="cs"/>
          <w:b/>
          <w:bCs/>
          <w:sz w:val="24"/>
          <w:szCs w:val="24"/>
          <w:rtl/>
          <w:lang w:bidi="ar-DZ"/>
        </w:rPr>
        <w:t>لأحياء</w:t>
      </w:r>
      <w:r w:rsidRPr="00627E4F">
        <w:rPr>
          <w:rFonts w:ascii="Simplified Arabic" w:hAnsi="Simplified Arabic" w:cs="Simplified Arabic" w:hint="cs"/>
          <w:b/>
          <w:bCs/>
          <w:sz w:val="24"/>
          <w:szCs w:val="24"/>
          <w:rtl/>
          <w:lang w:bidi="ar-DZ"/>
        </w:rPr>
        <w:t xml:space="preserve"> </w:t>
      </w:r>
      <w:r w:rsidR="002A6A1E" w:rsidRPr="00627E4F">
        <w:rPr>
          <w:rFonts w:ascii="Simplified Arabic" w:hAnsi="Simplified Arabic" w:cs="Simplified Arabic" w:hint="cs"/>
          <w:b/>
          <w:bCs/>
          <w:sz w:val="24"/>
          <w:szCs w:val="24"/>
          <w:rtl/>
          <w:lang w:bidi="ar-DZ"/>
        </w:rPr>
        <w:t>فئات الانسجة الحضرية الاربعة</w:t>
      </w:r>
      <w:bookmarkEnd w:id="915"/>
    </w:p>
    <w:p w:rsidR="00977025" w:rsidRDefault="00B8335B" w:rsidP="00D160A7">
      <w:pPr>
        <w:autoSpaceDE w:val="0"/>
        <w:autoSpaceDN w:val="0"/>
        <w:bidi/>
        <w:adjustRightInd w:val="0"/>
        <w:spacing w:after="0"/>
        <w:ind w:firstLine="282"/>
        <w:jc w:val="both"/>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بعد تحديد نطاق التغطية بالخدمة للمرافق </w:t>
      </w:r>
      <w:r w:rsidRPr="00040621">
        <w:rPr>
          <w:rFonts w:ascii="Simplified Arabic" w:hAnsi="Simplified Arabic" w:cs="Simplified Arabic" w:hint="cs"/>
          <w:sz w:val="24"/>
          <w:szCs w:val="24"/>
          <w:rtl/>
        </w:rPr>
        <w:t>من خلال المسافة المعيارية النظرية</w:t>
      </w:r>
      <w:r>
        <w:rPr>
          <w:rFonts w:ascii="Simplified Arabic" w:hAnsi="Simplified Arabic" w:cs="Simplified Arabic" w:hint="cs"/>
          <w:sz w:val="24"/>
          <w:szCs w:val="24"/>
          <w:rtl/>
        </w:rPr>
        <w:t xml:space="preserve">، </w:t>
      </w:r>
      <w:r w:rsidR="00977025">
        <w:rPr>
          <w:rFonts w:ascii="Simplified Arabic" w:hAnsi="Simplified Arabic" w:cs="Simplified Arabic" w:hint="cs"/>
          <w:sz w:val="24"/>
          <w:szCs w:val="24"/>
          <w:rtl/>
        </w:rPr>
        <w:t xml:space="preserve">كما هو مبين في </w:t>
      </w:r>
      <w:r w:rsidR="002A686B">
        <w:rPr>
          <w:rFonts w:ascii="Simplified Arabic" w:hAnsi="Simplified Arabic" w:cs="Simplified Arabic" w:hint="cs"/>
          <w:sz w:val="24"/>
          <w:szCs w:val="24"/>
          <w:rtl/>
        </w:rPr>
        <w:t xml:space="preserve">الخرائط </w:t>
      </w:r>
      <w:r>
        <w:rPr>
          <w:rFonts w:ascii="Simplified Arabic" w:hAnsi="Simplified Arabic" w:cs="Simplified Arabic" w:hint="cs"/>
          <w:sz w:val="24"/>
          <w:szCs w:val="24"/>
          <w:rtl/>
        </w:rPr>
        <w:t>السابقة</w:t>
      </w:r>
      <w:r w:rsidR="002A686B">
        <w:rPr>
          <w:rFonts w:ascii="Simplified Arabic" w:hAnsi="Simplified Arabic" w:cs="Simplified Arabic" w:hint="cs"/>
          <w:sz w:val="24"/>
          <w:szCs w:val="24"/>
          <w:rtl/>
        </w:rPr>
        <w:t xml:space="preserve"> (6-</w:t>
      </w:r>
      <w:r w:rsidR="005373F7">
        <w:rPr>
          <w:rFonts w:ascii="Simplified Arabic" w:hAnsi="Simplified Arabic" w:cs="Simplified Arabic" w:hint="cs"/>
          <w:sz w:val="24"/>
          <w:szCs w:val="24"/>
          <w:rtl/>
        </w:rPr>
        <w:t>5</w:t>
      </w:r>
      <w:r w:rsidR="002A686B">
        <w:rPr>
          <w:rFonts w:ascii="Simplified Arabic" w:hAnsi="Simplified Arabic" w:cs="Simplified Arabic" w:hint="cs"/>
          <w:sz w:val="24"/>
          <w:szCs w:val="24"/>
          <w:rtl/>
        </w:rPr>
        <w:t>)، (6-</w:t>
      </w:r>
      <w:r w:rsidR="005373F7">
        <w:rPr>
          <w:rFonts w:ascii="Simplified Arabic" w:hAnsi="Simplified Arabic" w:cs="Simplified Arabic" w:hint="cs"/>
          <w:sz w:val="24"/>
          <w:szCs w:val="24"/>
          <w:rtl/>
        </w:rPr>
        <w:t>6</w:t>
      </w:r>
      <w:r w:rsidR="002A686B">
        <w:rPr>
          <w:rFonts w:ascii="Simplified Arabic" w:hAnsi="Simplified Arabic" w:cs="Simplified Arabic" w:hint="cs"/>
          <w:sz w:val="24"/>
          <w:szCs w:val="24"/>
          <w:rtl/>
        </w:rPr>
        <w:t>)، (6-</w:t>
      </w:r>
      <w:r w:rsidR="005373F7">
        <w:rPr>
          <w:rFonts w:ascii="Simplified Arabic" w:hAnsi="Simplified Arabic" w:cs="Simplified Arabic" w:hint="cs"/>
          <w:sz w:val="24"/>
          <w:szCs w:val="24"/>
          <w:rtl/>
        </w:rPr>
        <w:t>7</w:t>
      </w:r>
      <w:r w:rsidR="002A686B">
        <w:rPr>
          <w:rFonts w:ascii="Simplified Arabic" w:hAnsi="Simplified Arabic" w:cs="Simplified Arabic" w:hint="cs"/>
          <w:sz w:val="24"/>
          <w:szCs w:val="24"/>
          <w:rtl/>
        </w:rPr>
        <w:t>)، (6-</w:t>
      </w:r>
      <w:r w:rsidR="005373F7">
        <w:rPr>
          <w:rFonts w:ascii="Simplified Arabic" w:hAnsi="Simplified Arabic" w:cs="Simplified Arabic" w:hint="cs"/>
          <w:sz w:val="24"/>
          <w:szCs w:val="24"/>
          <w:rtl/>
        </w:rPr>
        <w:t>8</w:t>
      </w:r>
      <w:r w:rsidR="002A686B">
        <w:rPr>
          <w:rFonts w:ascii="Simplified Arabic" w:hAnsi="Simplified Arabic" w:cs="Simplified Arabic" w:hint="cs"/>
          <w:sz w:val="24"/>
          <w:szCs w:val="24"/>
          <w:rtl/>
        </w:rPr>
        <w:t>)، (6-</w:t>
      </w:r>
      <w:r w:rsidR="005373F7">
        <w:rPr>
          <w:rFonts w:ascii="Simplified Arabic" w:hAnsi="Simplified Arabic" w:cs="Simplified Arabic" w:hint="cs"/>
          <w:sz w:val="24"/>
          <w:szCs w:val="24"/>
          <w:rtl/>
        </w:rPr>
        <w:t>9</w:t>
      </w:r>
      <w:r w:rsidR="002A686B">
        <w:rPr>
          <w:rFonts w:ascii="Simplified Arabic" w:hAnsi="Simplified Arabic" w:cs="Simplified Arabic" w:hint="cs"/>
          <w:sz w:val="24"/>
          <w:szCs w:val="24"/>
          <w:rtl/>
        </w:rPr>
        <w:t>)</w:t>
      </w:r>
      <w:r w:rsidR="006352D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يتم الجمع بين طبقات </w:t>
      </w:r>
      <w:r w:rsidR="00977025">
        <w:rPr>
          <w:rFonts w:ascii="Simplified Arabic" w:hAnsi="Simplified Arabic" w:cs="Simplified Arabic" w:hint="cs"/>
          <w:sz w:val="24"/>
          <w:szCs w:val="24"/>
          <w:rtl/>
        </w:rPr>
        <w:t xml:space="preserve">الخرائط </w:t>
      </w:r>
      <w:r>
        <w:rPr>
          <w:rFonts w:ascii="Simplified Arabic" w:hAnsi="Simplified Arabic" w:cs="Simplified Arabic" w:hint="cs"/>
          <w:sz w:val="24"/>
          <w:szCs w:val="24"/>
          <w:rtl/>
        </w:rPr>
        <w:t xml:space="preserve">لمعرفة </w:t>
      </w:r>
      <w:r w:rsidR="00E22D47">
        <w:rPr>
          <w:rFonts w:ascii="Simplified Arabic" w:hAnsi="Simplified Arabic" w:cs="Simplified Arabic" w:hint="cs"/>
          <w:sz w:val="24"/>
          <w:szCs w:val="24"/>
          <w:rtl/>
        </w:rPr>
        <w:t>قيمة</w:t>
      </w:r>
      <w:r>
        <w:rPr>
          <w:rFonts w:ascii="Simplified Arabic" w:hAnsi="Simplified Arabic" w:cs="Simplified Arabic" w:hint="cs"/>
          <w:sz w:val="24"/>
          <w:szCs w:val="24"/>
          <w:rtl/>
        </w:rPr>
        <w:t xml:space="preserve"> تنوع </w:t>
      </w:r>
      <w:r w:rsidR="007A4566">
        <w:rPr>
          <w:rFonts w:ascii="Simplified Arabic" w:hAnsi="Simplified Arabic" w:cs="Simplified Arabic" w:hint="cs"/>
          <w:sz w:val="24"/>
          <w:szCs w:val="24"/>
          <w:rtl/>
        </w:rPr>
        <w:t xml:space="preserve">المرافق </w:t>
      </w:r>
      <w:r w:rsidR="00040621">
        <w:rPr>
          <w:rFonts w:ascii="Simplified Arabic" w:hAnsi="Simplified Arabic" w:cs="Simplified Arabic" w:hint="cs"/>
          <w:sz w:val="24"/>
          <w:szCs w:val="24"/>
          <w:rtl/>
        </w:rPr>
        <w:t xml:space="preserve">على </w:t>
      </w:r>
      <w:r w:rsidR="006352DB">
        <w:rPr>
          <w:rFonts w:ascii="Simplified Arabic" w:hAnsi="Simplified Arabic" w:cs="Simplified Arabic" w:hint="cs"/>
          <w:sz w:val="24"/>
          <w:szCs w:val="24"/>
          <w:rtl/>
        </w:rPr>
        <w:t>مستوى حي القصر، بلاتو، سيدي سليمان</w:t>
      </w:r>
      <w:r w:rsidR="006352DB" w:rsidRPr="00226F93">
        <w:rPr>
          <w:rFonts w:ascii="Simplified Arabic" w:hAnsi="Simplified Arabic" w:cs="Simplified Arabic" w:hint="cs"/>
          <w:sz w:val="24"/>
          <w:szCs w:val="24"/>
          <w:rtl/>
        </w:rPr>
        <w:t xml:space="preserve"> </w:t>
      </w:r>
      <w:r w:rsidR="006352DB">
        <w:rPr>
          <w:rFonts w:ascii="Simplified Arabic" w:hAnsi="Simplified Arabic" w:cs="Simplified Arabic" w:hint="cs"/>
          <w:sz w:val="24"/>
          <w:szCs w:val="24"/>
          <w:rtl/>
        </w:rPr>
        <w:t>والحمايد</w:t>
      </w:r>
      <w:r w:rsidR="002A686B" w:rsidRPr="00214967">
        <w:rPr>
          <w:rFonts w:ascii="Simplified Arabic" w:hAnsi="Simplified Arabic" w:cs="Simplified Arabic" w:hint="cs"/>
          <w:sz w:val="24"/>
          <w:szCs w:val="24"/>
          <w:rtl/>
        </w:rPr>
        <w:t>.</w:t>
      </w:r>
      <w:r w:rsidR="00040621">
        <w:rPr>
          <w:rFonts w:ascii="Simplified Arabic" w:hAnsi="Simplified Arabic" w:cs="Simplified Arabic" w:hint="cs"/>
          <w:sz w:val="24"/>
          <w:szCs w:val="24"/>
          <w:rtl/>
        </w:rPr>
        <w:t xml:space="preserve"> </w:t>
      </w:r>
      <w:r w:rsidR="00977025">
        <w:rPr>
          <w:rFonts w:ascii="Simplified Arabic" w:hAnsi="Simplified Arabic" w:cs="Simplified Arabic" w:hint="cs"/>
          <w:sz w:val="24"/>
          <w:szCs w:val="24"/>
          <w:rtl/>
        </w:rPr>
        <w:t xml:space="preserve">يتم </w:t>
      </w:r>
      <w:r w:rsidR="007207F1">
        <w:rPr>
          <w:rFonts w:ascii="Simplified Arabic" w:hAnsi="Simplified Arabic" w:cs="Simplified Arabic" w:hint="cs"/>
          <w:sz w:val="24"/>
          <w:szCs w:val="24"/>
          <w:rtl/>
        </w:rPr>
        <w:t>الت</w:t>
      </w:r>
      <w:r w:rsidR="00583AF4">
        <w:rPr>
          <w:rFonts w:ascii="Simplified Arabic" w:hAnsi="Simplified Arabic" w:cs="Simplified Arabic" w:hint="cs"/>
          <w:sz w:val="24"/>
          <w:szCs w:val="24"/>
          <w:rtl/>
        </w:rPr>
        <w:t>قسيم</w:t>
      </w:r>
      <w:r w:rsidR="00977025">
        <w:rPr>
          <w:rFonts w:ascii="Simplified Arabic" w:hAnsi="Simplified Arabic" w:cs="Simplified Arabic" w:hint="cs"/>
          <w:sz w:val="24"/>
          <w:szCs w:val="24"/>
          <w:rtl/>
        </w:rPr>
        <w:t xml:space="preserve"> </w:t>
      </w:r>
      <w:r w:rsidR="00E22D47">
        <w:rPr>
          <w:rFonts w:ascii="Simplified Arabic" w:hAnsi="Simplified Arabic" w:cs="Simplified Arabic" w:hint="cs"/>
          <w:sz w:val="24"/>
          <w:szCs w:val="24"/>
          <w:rtl/>
        </w:rPr>
        <w:t>المكاني</w:t>
      </w:r>
      <w:r w:rsidR="008D2353">
        <w:rPr>
          <w:rFonts w:ascii="Simplified Arabic" w:hAnsi="Simplified Arabic" w:cs="Simplified Arabic" w:hint="cs"/>
          <w:sz w:val="24"/>
          <w:szCs w:val="24"/>
          <w:rtl/>
        </w:rPr>
        <w:t xml:space="preserve"> </w:t>
      </w:r>
      <w:r w:rsidR="00583AF4">
        <w:rPr>
          <w:rFonts w:ascii="Simplified Arabic" w:hAnsi="Simplified Arabic" w:cs="Simplified Arabic" w:hint="cs"/>
          <w:sz w:val="24"/>
          <w:szCs w:val="24"/>
          <w:rtl/>
        </w:rPr>
        <w:t>ل</w:t>
      </w:r>
      <w:r w:rsidR="008D2353">
        <w:rPr>
          <w:rFonts w:ascii="Simplified Arabic" w:hAnsi="Simplified Arabic" w:cs="Simplified Arabic" w:hint="cs"/>
          <w:sz w:val="24"/>
          <w:szCs w:val="24"/>
          <w:rtl/>
        </w:rPr>
        <w:t xml:space="preserve">كل حي الى </w:t>
      </w:r>
      <w:r w:rsidR="00977025">
        <w:rPr>
          <w:rFonts w:ascii="Simplified Arabic" w:hAnsi="Simplified Arabic" w:cs="Simplified Arabic" w:hint="cs"/>
          <w:sz w:val="24"/>
          <w:szCs w:val="24"/>
          <w:rtl/>
        </w:rPr>
        <w:t>مناطق</w:t>
      </w:r>
      <w:r w:rsidR="00583AF4">
        <w:rPr>
          <w:rFonts w:ascii="Simplified Arabic" w:hAnsi="Simplified Arabic" w:cs="Simplified Arabic" w:hint="cs"/>
          <w:sz w:val="24"/>
          <w:szCs w:val="24"/>
          <w:rtl/>
        </w:rPr>
        <w:t xml:space="preserve"> تنوع</w:t>
      </w:r>
      <w:r w:rsidR="00411E35">
        <w:rPr>
          <w:rFonts w:ascii="Simplified Arabic" w:hAnsi="Simplified Arabic" w:cs="Simplified Arabic" w:hint="cs"/>
          <w:sz w:val="24"/>
          <w:szCs w:val="24"/>
          <w:rtl/>
        </w:rPr>
        <w:t xml:space="preserve">، مع تحديد مساحة </w:t>
      </w:r>
      <w:r w:rsidR="006B69EC">
        <w:rPr>
          <w:rFonts w:ascii="Simplified Arabic" w:hAnsi="Simplified Arabic" w:cs="Simplified Arabic" w:hint="cs"/>
          <w:sz w:val="24"/>
          <w:szCs w:val="24"/>
          <w:rtl/>
        </w:rPr>
        <w:t xml:space="preserve">كل </w:t>
      </w:r>
      <w:r w:rsidR="00411E35">
        <w:rPr>
          <w:rFonts w:ascii="Simplified Arabic" w:hAnsi="Simplified Arabic" w:cs="Simplified Arabic" w:hint="cs"/>
          <w:sz w:val="24"/>
          <w:szCs w:val="24"/>
          <w:rtl/>
        </w:rPr>
        <w:t>منطقة مغطاة بخدم</w:t>
      </w:r>
      <w:r w:rsidR="0037624B">
        <w:rPr>
          <w:rFonts w:ascii="Simplified Arabic" w:hAnsi="Simplified Arabic" w:cs="Simplified Arabic" w:hint="cs"/>
          <w:sz w:val="24"/>
          <w:szCs w:val="24"/>
          <w:rtl/>
        </w:rPr>
        <w:t>ات</w:t>
      </w:r>
      <w:r w:rsidR="00411E35">
        <w:rPr>
          <w:rFonts w:ascii="Simplified Arabic" w:hAnsi="Simplified Arabic" w:cs="Simplified Arabic" w:hint="cs"/>
          <w:sz w:val="24"/>
          <w:szCs w:val="24"/>
          <w:rtl/>
        </w:rPr>
        <w:t xml:space="preserve"> المرافق</w:t>
      </w:r>
      <w:r w:rsidR="006B69EC">
        <w:rPr>
          <w:rFonts w:ascii="Simplified Arabic" w:hAnsi="Simplified Arabic" w:cs="Simplified Arabic" w:hint="cs"/>
          <w:sz w:val="24"/>
          <w:szCs w:val="24"/>
          <w:rtl/>
        </w:rPr>
        <w:t xml:space="preserve"> الموجودة</w:t>
      </w:r>
      <w:r w:rsidR="00411E35">
        <w:rPr>
          <w:rFonts w:ascii="Simplified Arabic" w:hAnsi="Simplified Arabic" w:cs="Simplified Arabic" w:hint="cs"/>
          <w:sz w:val="24"/>
          <w:szCs w:val="24"/>
          <w:rtl/>
        </w:rPr>
        <w:t xml:space="preserve">، التي تتحكم فيها </w:t>
      </w:r>
      <w:r w:rsidR="00411E35" w:rsidRPr="00040621">
        <w:rPr>
          <w:rFonts w:ascii="Simplified Arabic" w:hAnsi="Simplified Arabic" w:cs="Simplified Arabic" w:hint="cs"/>
          <w:sz w:val="24"/>
          <w:szCs w:val="24"/>
          <w:rtl/>
        </w:rPr>
        <w:t>المسافة المعيارية النظرية</w:t>
      </w:r>
      <w:r w:rsidR="00992123">
        <w:rPr>
          <w:rFonts w:ascii="Simplified Arabic" w:hAnsi="Simplified Arabic" w:cs="Simplified Arabic" w:hint="cs"/>
          <w:sz w:val="24"/>
          <w:szCs w:val="24"/>
          <w:rtl/>
        </w:rPr>
        <w:t>.</w:t>
      </w:r>
      <w:r w:rsidR="00977025">
        <w:rPr>
          <w:rFonts w:ascii="Simplified Arabic" w:hAnsi="Simplified Arabic" w:cs="Simplified Arabic" w:hint="cs"/>
          <w:sz w:val="24"/>
          <w:szCs w:val="24"/>
          <w:rtl/>
        </w:rPr>
        <w:t xml:space="preserve"> </w:t>
      </w:r>
      <w:r w:rsidR="00933659">
        <w:rPr>
          <w:rFonts w:ascii="Simplified Arabic" w:hAnsi="Simplified Arabic" w:cs="Simplified Arabic" w:hint="cs"/>
          <w:sz w:val="24"/>
          <w:szCs w:val="24"/>
          <w:rtl/>
        </w:rPr>
        <w:t>يتم منح</w:t>
      </w:r>
      <w:r w:rsidR="00992123">
        <w:rPr>
          <w:rFonts w:ascii="Simplified Arabic" w:hAnsi="Simplified Arabic" w:cs="Simplified Arabic" w:hint="cs"/>
          <w:sz w:val="24"/>
          <w:szCs w:val="24"/>
          <w:rtl/>
        </w:rPr>
        <w:t xml:space="preserve"> </w:t>
      </w:r>
      <w:r w:rsidR="004B6901">
        <w:rPr>
          <w:rFonts w:ascii="Simplified Arabic" w:hAnsi="Simplified Arabic" w:cs="Simplified Arabic" w:hint="cs"/>
          <w:sz w:val="24"/>
          <w:szCs w:val="24"/>
          <w:rtl/>
        </w:rPr>
        <w:t>كل منطقة</w:t>
      </w:r>
      <w:r w:rsidR="00E22D47">
        <w:rPr>
          <w:rFonts w:ascii="Simplified Arabic" w:hAnsi="Simplified Arabic" w:cs="Simplified Arabic" w:hint="cs"/>
          <w:sz w:val="24"/>
          <w:szCs w:val="24"/>
          <w:rtl/>
        </w:rPr>
        <w:t xml:space="preserve"> قيمة تنوع</w:t>
      </w:r>
      <w:r w:rsidR="00411E35">
        <w:rPr>
          <w:rFonts w:ascii="Simplified Arabic" w:hAnsi="Simplified Arabic" w:cs="Simplified Arabic" w:hint="cs"/>
          <w:sz w:val="24"/>
          <w:szCs w:val="24"/>
          <w:rtl/>
        </w:rPr>
        <w:t xml:space="preserve"> ناتجة عن </w:t>
      </w:r>
      <w:r w:rsidR="004B6901">
        <w:rPr>
          <w:rFonts w:ascii="Simplified Arabic" w:hAnsi="Simplified Arabic" w:cs="Simplified Arabic" w:hint="cs"/>
          <w:sz w:val="24"/>
          <w:szCs w:val="24"/>
          <w:rtl/>
        </w:rPr>
        <w:t>مجموع اوزان</w:t>
      </w:r>
      <w:r w:rsidR="00D06F53" w:rsidRPr="00D06F53">
        <w:rPr>
          <w:rFonts w:ascii="Simplified Arabic" w:hAnsi="Simplified Arabic" w:cs="Simplified Arabic"/>
          <w:sz w:val="24"/>
          <w:szCs w:val="24"/>
          <w:rtl/>
          <w:lang w:val="en-US"/>
        </w:rPr>
        <w:t xml:space="preserve"> </w:t>
      </w:r>
      <w:r w:rsidR="00D06F53">
        <w:rPr>
          <w:rFonts w:ascii="Simplified Arabic" w:hAnsi="Simplified Arabic" w:cs="Simplified Arabic" w:hint="cs"/>
          <w:sz w:val="24"/>
          <w:szCs w:val="24"/>
          <w:rtl/>
          <w:lang w:val="en-US"/>
        </w:rPr>
        <w:t>المعايير</w:t>
      </w:r>
      <w:r w:rsidR="0081474D" w:rsidRPr="0081474D">
        <w:rPr>
          <w:rFonts w:ascii="Simplified Arabic" w:hAnsi="Simplified Arabic" w:cs="Simplified Arabic"/>
          <w:sz w:val="24"/>
          <w:szCs w:val="24"/>
          <w:rtl/>
          <w:lang w:val="en-US"/>
        </w:rPr>
        <w:t xml:space="preserve"> </w:t>
      </w:r>
      <w:r w:rsidR="0081474D" w:rsidRPr="00F90C3F">
        <w:rPr>
          <w:rFonts w:ascii="Simplified Arabic" w:hAnsi="Simplified Arabic" w:cs="Simplified Arabic"/>
          <w:sz w:val="24"/>
          <w:szCs w:val="24"/>
          <w:rtl/>
          <w:lang w:val="en-US"/>
        </w:rPr>
        <w:t xml:space="preserve">المستمدة من </w:t>
      </w:r>
      <w:r w:rsidR="0081474D">
        <w:rPr>
          <w:rFonts w:ascii="Simplified Arabic" w:hAnsi="Simplified Arabic" w:cs="Simplified Arabic"/>
          <w:sz w:val="24"/>
          <w:szCs w:val="24"/>
          <w:rtl/>
          <w:lang w:val="en-US"/>
        </w:rPr>
        <w:t>عملية</w:t>
      </w:r>
      <w:r w:rsidR="0081474D">
        <w:rPr>
          <w:rFonts w:ascii="Simplified Arabic" w:hAnsi="Simplified Arabic" w:cs="Simplified Arabic" w:hint="cs"/>
          <w:sz w:val="24"/>
          <w:szCs w:val="24"/>
          <w:rtl/>
          <w:lang w:val="en-US"/>
        </w:rPr>
        <w:t xml:space="preserve"> </w:t>
      </w:r>
      <w:r w:rsidR="0081474D" w:rsidRPr="002960EB">
        <w:rPr>
          <w:rFonts w:asciiTheme="majorBidi" w:eastAsia="Times New Roman" w:hAnsiTheme="majorBidi" w:cstheme="majorBidi"/>
          <w:b/>
          <w:sz w:val="24"/>
          <w:szCs w:val="24"/>
          <w:rtl/>
          <w:lang w:val="en-US" w:eastAsia="fr-FR"/>
        </w:rPr>
        <w:t>(</w:t>
      </w:r>
      <w:r w:rsidR="0081474D" w:rsidRPr="002960EB">
        <w:rPr>
          <w:rStyle w:val="y2iqfc"/>
          <w:rFonts w:asciiTheme="majorBidi" w:hAnsiTheme="majorBidi" w:cstheme="majorBidi"/>
          <w:color w:val="202124"/>
          <w:sz w:val="24"/>
          <w:szCs w:val="24"/>
          <w:lang w:bidi="ar-DZ"/>
        </w:rPr>
        <w:t>AHP</w:t>
      </w:r>
      <w:r w:rsidR="0081474D" w:rsidRPr="002960EB">
        <w:rPr>
          <w:rFonts w:asciiTheme="majorBidi" w:eastAsia="Times New Roman" w:hAnsiTheme="majorBidi" w:cstheme="majorBidi"/>
          <w:b/>
          <w:sz w:val="24"/>
          <w:szCs w:val="24"/>
          <w:rtl/>
          <w:lang w:val="en-US" w:eastAsia="fr-FR"/>
        </w:rPr>
        <w:t>)</w:t>
      </w:r>
      <w:r w:rsidR="0081474D">
        <w:rPr>
          <w:rFonts w:ascii="Simplified Arabic" w:hAnsi="Simplified Arabic" w:cs="Simplified Arabic" w:hint="cs"/>
          <w:sz w:val="24"/>
          <w:szCs w:val="24"/>
          <w:rtl/>
          <w:lang w:val="en-US"/>
        </w:rPr>
        <w:t>، (</w:t>
      </w:r>
      <w:r w:rsidR="0081474D" w:rsidRPr="00990AED">
        <w:rPr>
          <w:rFonts w:ascii="Simplified Arabic" w:eastAsia="Times New Roman" w:hAnsi="Simplified Arabic" w:cs="Simplified Arabic"/>
          <w:b/>
          <w:sz w:val="24"/>
          <w:szCs w:val="24"/>
          <w:rtl/>
          <w:lang w:val="en-US" w:eastAsia="fr-FR"/>
        </w:rPr>
        <w:t>التكفل الطبي</w:t>
      </w:r>
      <w:r w:rsidR="0081474D">
        <w:rPr>
          <w:rFonts w:ascii="Simplified Arabic" w:eastAsia="Times New Roman" w:hAnsi="Simplified Arabic" w:cs="Simplified Arabic" w:hint="cs"/>
          <w:b/>
          <w:sz w:val="24"/>
          <w:szCs w:val="24"/>
          <w:rtl/>
          <w:lang w:val="en-US" w:eastAsia="fr-FR"/>
        </w:rPr>
        <w:t xml:space="preserve"> </w:t>
      </w:r>
      <w:r w:rsidR="0081474D" w:rsidRPr="00933659">
        <w:rPr>
          <w:rFonts w:ascii="Simplified Arabic" w:hAnsi="Simplified Arabic" w:cs="Simplified Arabic"/>
          <w:color w:val="000000"/>
          <w:sz w:val="24"/>
          <w:szCs w:val="24"/>
          <w:rtl/>
        </w:rPr>
        <w:t>25,71</w:t>
      </w:r>
      <w:r w:rsidR="0081474D">
        <w:rPr>
          <w:rFonts w:ascii="Simplified Arabic" w:eastAsia="Times New Roman" w:hAnsi="Simplified Arabic" w:cs="Simplified Arabic" w:hint="cs"/>
          <w:b/>
          <w:sz w:val="24"/>
          <w:szCs w:val="24"/>
          <w:rtl/>
          <w:lang w:val="en-US" w:eastAsia="fr-FR"/>
        </w:rPr>
        <w:t>=</w:t>
      </w:r>
      <w:r w:rsidR="0081474D" w:rsidRPr="00240377">
        <w:rPr>
          <w:rFonts w:asciiTheme="majorBidi" w:eastAsia="Times New Roman" w:hAnsiTheme="majorBidi" w:cstheme="majorBidi"/>
          <w:color w:val="000000"/>
          <w:sz w:val="24"/>
          <w:szCs w:val="24"/>
          <w:lang w:eastAsia="fr-FR"/>
        </w:rPr>
        <w:t>C1</w:t>
      </w:r>
      <w:r w:rsidR="00EA0A67">
        <w:rPr>
          <w:rStyle w:val="y2iqfc"/>
          <w:rFonts w:ascii="Simplified Arabic" w:hAnsi="Simplified Arabic" w:cs="Simplified Arabic" w:hint="cs"/>
          <w:color w:val="202124"/>
          <w:sz w:val="24"/>
          <w:szCs w:val="24"/>
          <w:rtl/>
          <w:lang w:val="en-US"/>
        </w:rPr>
        <w:t xml:space="preserve">، </w:t>
      </w:r>
      <w:r w:rsidR="0081474D" w:rsidRPr="00E50618">
        <w:rPr>
          <w:rFonts w:ascii="Simplified Arabic" w:eastAsia="Times New Roman" w:hAnsi="Simplified Arabic" w:cs="Simplified Arabic"/>
          <w:b/>
          <w:sz w:val="24"/>
          <w:szCs w:val="24"/>
          <w:rtl/>
          <w:lang w:val="en-US" w:eastAsia="fr-FR"/>
        </w:rPr>
        <w:t>الإنقاذ</w:t>
      </w:r>
      <w:r w:rsidR="0081474D">
        <w:rPr>
          <w:rFonts w:ascii="Simplified Arabic" w:eastAsia="Times New Roman" w:hAnsi="Simplified Arabic" w:cs="Simplified Arabic" w:hint="cs"/>
          <w:b/>
          <w:sz w:val="24"/>
          <w:szCs w:val="24"/>
          <w:rtl/>
          <w:lang w:val="en-US" w:eastAsia="fr-FR"/>
        </w:rPr>
        <w:t xml:space="preserve"> و</w:t>
      </w:r>
      <w:r w:rsidR="0081474D" w:rsidRPr="00E50618">
        <w:rPr>
          <w:rFonts w:ascii="Simplified Arabic" w:eastAsia="Times New Roman" w:hAnsi="Simplified Arabic" w:cs="Simplified Arabic"/>
          <w:b/>
          <w:sz w:val="24"/>
          <w:szCs w:val="24"/>
          <w:rtl/>
          <w:lang w:val="en-US" w:eastAsia="fr-FR"/>
        </w:rPr>
        <w:t>الإجلاء</w:t>
      </w:r>
      <w:r w:rsidR="0081474D">
        <w:rPr>
          <w:rFonts w:ascii="Simplified Arabic" w:eastAsia="Times New Roman" w:hAnsi="Simplified Arabic" w:cs="Simplified Arabic" w:hint="cs"/>
          <w:b/>
          <w:sz w:val="24"/>
          <w:szCs w:val="24"/>
          <w:rtl/>
          <w:lang w:val="en-US" w:eastAsia="fr-FR"/>
        </w:rPr>
        <w:t xml:space="preserve"> </w:t>
      </w:r>
      <w:r w:rsidR="0081474D" w:rsidRPr="00933659">
        <w:rPr>
          <w:rFonts w:ascii="Simplified Arabic" w:hAnsi="Simplified Arabic" w:cs="Simplified Arabic"/>
          <w:color w:val="000000"/>
          <w:sz w:val="24"/>
          <w:szCs w:val="24"/>
          <w:rtl/>
        </w:rPr>
        <w:t>15,45</w:t>
      </w:r>
      <w:r w:rsidR="0081474D">
        <w:rPr>
          <w:rFonts w:ascii="Simplified Arabic" w:eastAsia="Times New Roman" w:hAnsi="Simplified Arabic" w:cs="Simplified Arabic" w:hint="cs"/>
          <w:b/>
          <w:sz w:val="24"/>
          <w:szCs w:val="24"/>
          <w:rtl/>
          <w:lang w:val="en-US" w:eastAsia="fr-FR"/>
        </w:rPr>
        <w:t>=</w:t>
      </w:r>
      <w:r w:rsidR="0081474D" w:rsidRPr="0081474D">
        <w:rPr>
          <w:rFonts w:asciiTheme="majorBidi" w:eastAsia="Times New Roman" w:hAnsiTheme="majorBidi" w:cstheme="majorBidi"/>
          <w:color w:val="000000"/>
          <w:sz w:val="24"/>
          <w:szCs w:val="24"/>
          <w:lang w:eastAsia="fr-FR"/>
        </w:rPr>
        <w:t xml:space="preserve"> </w:t>
      </w:r>
      <w:r w:rsidR="0081474D" w:rsidRPr="00240377">
        <w:rPr>
          <w:rFonts w:asciiTheme="majorBidi" w:eastAsia="Times New Roman" w:hAnsiTheme="majorBidi" w:cstheme="majorBidi"/>
          <w:color w:val="000000"/>
          <w:sz w:val="24"/>
          <w:szCs w:val="24"/>
          <w:lang w:eastAsia="fr-FR"/>
        </w:rPr>
        <w:t>C2</w:t>
      </w:r>
      <w:r w:rsidR="0081474D">
        <w:rPr>
          <w:rStyle w:val="y2iqfc"/>
          <w:rFonts w:ascii="Simplified Arabic" w:hAnsi="Simplified Arabic" w:cs="Simplified Arabic" w:hint="cs"/>
          <w:color w:val="202124"/>
          <w:sz w:val="24"/>
          <w:szCs w:val="24"/>
          <w:rtl/>
          <w:lang w:val="en-US"/>
        </w:rPr>
        <w:t>،</w:t>
      </w:r>
      <w:r w:rsidR="0081474D" w:rsidRPr="0081474D">
        <w:rPr>
          <w:rFonts w:ascii="Simplified Arabic" w:eastAsia="Times New Roman" w:hAnsi="Simplified Arabic" w:cs="Simplified Arabic"/>
          <w:b/>
          <w:sz w:val="24"/>
          <w:szCs w:val="24"/>
          <w:rtl/>
          <w:lang w:val="en-US" w:eastAsia="fr-FR"/>
        </w:rPr>
        <w:t xml:space="preserve"> </w:t>
      </w:r>
      <w:r w:rsidR="0081474D" w:rsidRPr="00E50618">
        <w:rPr>
          <w:rFonts w:ascii="Simplified Arabic" w:eastAsia="Times New Roman" w:hAnsi="Simplified Arabic" w:cs="Simplified Arabic"/>
          <w:b/>
          <w:sz w:val="24"/>
          <w:szCs w:val="24"/>
          <w:rtl/>
          <w:lang w:val="en-US" w:eastAsia="fr-FR"/>
        </w:rPr>
        <w:t>الأمن</w:t>
      </w:r>
      <w:r w:rsidR="0081474D">
        <w:rPr>
          <w:rFonts w:ascii="Simplified Arabic" w:eastAsia="Times New Roman" w:hAnsi="Simplified Arabic" w:cs="Simplified Arabic" w:hint="cs"/>
          <w:b/>
          <w:sz w:val="24"/>
          <w:szCs w:val="24"/>
          <w:rtl/>
          <w:lang w:val="en-US" w:eastAsia="fr-FR"/>
        </w:rPr>
        <w:t xml:space="preserve"> </w:t>
      </w:r>
      <w:r w:rsidR="0081474D" w:rsidRPr="00933659">
        <w:rPr>
          <w:rFonts w:ascii="Simplified Arabic" w:hAnsi="Simplified Arabic" w:cs="Simplified Arabic"/>
          <w:color w:val="000000"/>
          <w:sz w:val="24"/>
          <w:szCs w:val="24"/>
          <w:rtl/>
        </w:rPr>
        <w:t>25,71</w:t>
      </w:r>
      <w:r w:rsidR="0081474D">
        <w:rPr>
          <w:rFonts w:ascii="Simplified Arabic" w:eastAsia="Times New Roman" w:hAnsi="Simplified Arabic" w:cs="Simplified Arabic" w:hint="cs"/>
          <w:b/>
          <w:sz w:val="24"/>
          <w:szCs w:val="24"/>
          <w:rtl/>
          <w:lang w:val="en-US" w:eastAsia="fr-FR"/>
        </w:rPr>
        <w:t>=</w:t>
      </w:r>
      <w:r w:rsidR="0081474D" w:rsidRPr="0081474D">
        <w:rPr>
          <w:rFonts w:asciiTheme="majorBidi" w:eastAsia="Times New Roman" w:hAnsiTheme="majorBidi" w:cstheme="majorBidi"/>
          <w:color w:val="000000"/>
          <w:sz w:val="24"/>
          <w:szCs w:val="24"/>
          <w:lang w:eastAsia="fr-FR"/>
        </w:rPr>
        <w:t xml:space="preserve"> </w:t>
      </w:r>
      <w:r w:rsidR="0081474D" w:rsidRPr="00240377">
        <w:rPr>
          <w:rFonts w:asciiTheme="majorBidi" w:eastAsia="Times New Roman" w:hAnsiTheme="majorBidi" w:cstheme="majorBidi"/>
          <w:color w:val="000000"/>
          <w:sz w:val="24"/>
          <w:szCs w:val="24"/>
          <w:lang w:eastAsia="fr-FR"/>
        </w:rPr>
        <w:t>C3</w:t>
      </w:r>
      <w:r w:rsidR="0081474D">
        <w:rPr>
          <w:rStyle w:val="y2iqfc"/>
          <w:rFonts w:ascii="Simplified Arabic" w:hAnsi="Simplified Arabic" w:cs="Simplified Arabic" w:hint="cs"/>
          <w:color w:val="202124"/>
          <w:sz w:val="24"/>
          <w:szCs w:val="24"/>
          <w:rtl/>
          <w:lang w:val="en-US"/>
        </w:rPr>
        <w:t>،</w:t>
      </w:r>
      <w:r w:rsidR="0081474D" w:rsidRPr="0081474D">
        <w:rPr>
          <w:rFonts w:ascii="Simplified Arabic" w:eastAsia="Times New Roman" w:hAnsi="Simplified Arabic" w:cs="Simplified Arabic"/>
          <w:b/>
          <w:sz w:val="24"/>
          <w:szCs w:val="24"/>
          <w:rtl/>
          <w:lang w:val="en-US" w:eastAsia="fr-FR"/>
        </w:rPr>
        <w:t xml:space="preserve"> </w:t>
      </w:r>
      <w:r w:rsidR="0081474D" w:rsidRPr="00E50618">
        <w:rPr>
          <w:rFonts w:ascii="Simplified Arabic" w:eastAsia="Times New Roman" w:hAnsi="Simplified Arabic" w:cs="Simplified Arabic"/>
          <w:b/>
          <w:sz w:val="24"/>
          <w:szCs w:val="24"/>
          <w:rtl/>
          <w:lang w:val="en-US" w:eastAsia="fr-FR"/>
        </w:rPr>
        <w:t>الايواء المؤقت</w:t>
      </w:r>
      <w:r w:rsidR="0081474D">
        <w:rPr>
          <w:rFonts w:ascii="Simplified Arabic" w:eastAsia="Times New Roman" w:hAnsi="Simplified Arabic" w:cs="Simplified Arabic" w:hint="cs"/>
          <w:b/>
          <w:sz w:val="24"/>
          <w:szCs w:val="24"/>
          <w:rtl/>
          <w:lang w:val="en-US" w:eastAsia="fr-FR"/>
        </w:rPr>
        <w:t xml:space="preserve"> </w:t>
      </w:r>
      <w:r w:rsidR="0081474D" w:rsidRPr="00933659">
        <w:rPr>
          <w:rFonts w:ascii="Simplified Arabic" w:hAnsi="Simplified Arabic" w:cs="Simplified Arabic"/>
          <w:color w:val="000000"/>
          <w:sz w:val="24"/>
          <w:szCs w:val="24"/>
          <w:rtl/>
        </w:rPr>
        <w:t>25,71</w:t>
      </w:r>
      <w:r w:rsidR="0081474D">
        <w:rPr>
          <w:rFonts w:ascii="Simplified Arabic" w:eastAsia="Times New Roman" w:hAnsi="Simplified Arabic" w:cs="Simplified Arabic" w:hint="cs"/>
          <w:b/>
          <w:sz w:val="24"/>
          <w:szCs w:val="24"/>
          <w:rtl/>
          <w:lang w:val="en-US" w:eastAsia="fr-FR"/>
        </w:rPr>
        <w:t>=</w:t>
      </w:r>
      <w:r w:rsidR="0081474D" w:rsidRPr="00240377">
        <w:rPr>
          <w:rFonts w:asciiTheme="majorBidi" w:eastAsia="Times New Roman" w:hAnsiTheme="majorBidi" w:cstheme="majorBidi"/>
          <w:color w:val="000000"/>
          <w:sz w:val="24"/>
          <w:szCs w:val="24"/>
          <w:lang w:eastAsia="fr-FR"/>
        </w:rPr>
        <w:t>C4</w:t>
      </w:r>
      <w:r w:rsidR="0081474D">
        <w:rPr>
          <w:rStyle w:val="y2iqfc"/>
          <w:rFonts w:ascii="Simplified Arabic" w:hAnsi="Simplified Arabic" w:cs="Simplified Arabic" w:hint="cs"/>
          <w:color w:val="202124"/>
          <w:sz w:val="24"/>
          <w:szCs w:val="24"/>
          <w:rtl/>
          <w:lang w:val="en-US"/>
        </w:rPr>
        <w:t>،</w:t>
      </w:r>
      <w:r w:rsidR="0081474D" w:rsidRPr="0081474D">
        <w:rPr>
          <w:rFonts w:ascii="Simplified Arabic" w:eastAsia="Times New Roman" w:hAnsi="Simplified Arabic" w:cs="Simplified Arabic"/>
          <w:b/>
          <w:sz w:val="24"/>
          <w:szCs w:val="24"/>
          <w:rtl/>
          <w:lang w:val="en-US" w:eastAsia="fr-FR"/>
        </w:rPr>
        <w:t xml:space="preserve"> </w:t>
      </w:r>
      <w:r w:rsidR="0081474D" w:rsidRPr="00E50618">
        <w:rPr>
          <w:rFonts w:ascii="Simplified Arabic" w:eastAsia="Times New Roman" w:hAnsi="Simplified Arabic" w:cs="Simplified Arabic"/>
          <w:b/>
          <w:sz w:val="24"/>
          <w:szCs w:val="24"/>
          <w:rtl/>
          <w:lang w:val="en-US" w:eastAsia="fr-FR"/>
        </w:rPr>
        <w:t>التضامن والتموين</w:t>
      </w:r>
      <w:r w:rsidR="0081474D">
        <w:rPr>
          <w:rFonts w:ascii="Simplified Arabic" w:eastAsia="Times New Roman" w:hAnsi="Simplified Arabic" w:cs="Simplified Arabic" w:hint="cs"/>
          <w:b/>
          <w:sz w:val="24"/>
          <w:szCs w:val="24"/>
          <w:rtl/>
          <w:lang w:val="en-US" w:eastAsia="fr-FR"/>
        </w:rPr>
        <w:t xml:space="preserve"> </w:t>
      </w:r>
      <w:r w:rsidR="0081474D" w:rsidRPr="00933659">
        <w:rPr>
          <w:rFonts w:ascii="Simplified Arabic" w:hAnsi="Simplified Arabic" w:cs="Simplified Arabic"/>
          <w:color w:val="000000"/>
          <w:sz w:val="24"/>
          <w:szCs w:val="24"/>
          <w:rtl/>
        </w:rPr>
        <w:t>25,71</w:t>
      </w:r>
      <w:r w:rsidR="0081474D">
        <w:rPr>
          <w:rFonts w:ascii="Simplified Arabic" w:eastAsia="Times New Roman" w:hAnsi="Simplified Arabic" w:cs="Simplified Arabic" w:hint="cs"/>
          <w:b/>
          <w:sz w:val="24"/>
          <w:szCs w:val="24"/>
          <w:rtl/>
          <w:lang w:val="en-US" w:eastAsia="fr-FR"/>
        </w:rPr>
        <w:t>=</w:t>
      </w:r>
      <w:r w:rsidR="0081474D" w:rsidRPr="00240377">
        <w:rPr>
          <w:rFonts w:asciiTheme="majorBidi" w:eastAsia="Times New Roman" w:hAnsiTheme="majorBidi" w:cstheme="majorBidi"/>
          <w:color w:val="000000"/>
          <w:sz w:val="24"/>
          <w:szCs w:val="24"/>
          <w:lang w:eastAsia="fr-FR"/>
        </w:rPr>
        <w:t>C5</w:t>
      </w:r>
      <w:r w:rsidR="0081474D">
        <w:rPr>
          <w:rStyle w:val="y2iqfc"/>
          <w:rFonts w:ascii="Simplified Arabic" w:hAnsi="Simplified Arabic" w:cs="Simplified Arabic" w:hint="cs"/>
          <w:color w:val="202124"/>
          <w:sz w:val="24"/>
          <w:szCs w:val="24"/>
          <w:rtl/>
          <w:lang w:val="en-US"/>
        </w:rPr>
        <w:t xml:space="preserve">)، </w:t>
      </w:r>
      <w:r w:rsidR="00EA0A67">
        <w:rPr>
          <w:rStyle w:val="y2iqfc"/>
          <w:rFonts w:ascii="Simplified Arabic" w:hAnsi="Simplified Arabic" w:cs="Simplified Arabic" w:hint="cs"/>
          <w:color w:val="202124"/>
          <w:sz w:val="24"/>
          <w:szCs w:val="24"/>
          <w:rtl/>
          <w:lang w:val="en-US"/>
        </w:rPr>
        <w:t xml:space="preserve">حيث ان </w:t>
      </w:r>
      <w:r w:rsidR="006B69EC">
        <w:rPr>
          <w:rFonts w:ascii="Simplified Arabic" w:hAnsi="Simplified Arabic" w:cs="Simplified Arabic" w:hint="cs"/>
          <w:sz w:val="24"/>
          <w:szCs w:val="24"/>
          <w:rtl/>
        </w:rPr>
        <w:t xml:space="preserve">قيمة التنوع </w:t>
      </w:r>
      <w:r w:rsidR="00EA0A67">
        <w:rPr>
          <w:rFonts w:ascii="Simplified Arabic" w:hAnsi="Simplified Arabic" w:cs="Simplified Arabic" w:hint="cs"/>
          <w:sz w:val="24"/>
          <w:szCs w:val="24"/>
          <w:rtl/>
        </w:rPr>
        <w:t>هي علاقة تقابل بين</w:t>
      </w:r>
      <w:r w:rsidR="00411E35">
        <w:rPr>
          <w:rFonts w:ascii="Simplified Arabic" w:hAnsi="Simplified Arabic" w:cs="Simplified Arabic" w:hint="cs"/>
          <w:sz w:val="24"/>
          <w:szCs w:val="24"/>
          <w:rtl/>
        </w:rPr>
        <w:t xml:space="preserve"> عدد المرافق</w:t>
      </w:r>
      <w:r w:rsidR="00D7621F">
        <w:rPr>
          <w:rFonts w:ascii="Simplified Arabic" w:hAnsi="Simplified Arabic" w:cs="Simplified Arabic" w:hint="cs"/>
          <w:sz w:val="24"/>
          <w:szCs w:val="24"/>
          <w:rtl/>
        </w:rPr>
        <w:t xml:space="preserve"> (المعايير)</w:t>
      </w:r>
      <w:r w:rsidR="00411E35">
        <w:rPr>
          <w:rFonts w:ascii="Simplified Arabic" w:hAnsi="Simplified Arabic" w:cs="Simplified Arabic" w:hint="cs"/>
          <w:sz w:val="24"/>
          <w:szCs w:val="24"/>
          <w:rtl/>
        </w:rPr>
        <w:t xml:space="preserve"> الموجودة بالمنطقة</w:t>
      </w:r>
      <w:r w:rsidR="006B69EC">
        <w:rPr>
          <w:rFonts w:ascii="Simplified Arabic" w:hAnsi="Simplified Arabic" w:cs="Simplified Arabic" w:hint="cs"/>
          <w:sz w:val="24"/>
          <w:szCs w:val="24"/>
          <w:rtl/>
        </w:rPr>
        <w:t xml:space="preserve"> و</w:t>
      </w:r>
      <w:r w:rsidR="00EA0A67">
        <w:rPr>
          <w:rFonts w:ascii="Simplified Arabic" w:hAnsi="Simplified Arabic" w:cs="Simplified Arabic" w:hint="cs"/>
          <w:sz w:val="24"/>
          <w:szCs w:val="24"/>
          <w:rtl/>
        </w:rPr>
        <w:t xml:space="preserve">بين </w:t>
      </w:r>
      <w:r w:rsidR="006B69EC">
        <w:rPr>
          <w:rFonts w:ascii="Simplified Arabic" w:hAnsi="Simplified Arabic" w:cs="Simplified Arabic" w:hint="cs"/>
          <w:sz w:val="24"/>
          <w:szCs w:val="24"/>
          <w:rtl/>
        </w:rPr>
        <w:t>مجموع اوزان</w:t>
      </w:r>
      <w:r w:rsidR="006B69EC" w:rsidRPr="00D06F53">
        <w:rPr>
          <w:rFonts w:ascii="Simplified Arabic" w:hAnsi="Simplified Arabic" w:cs="Simplified Arabic"/>
          <w:sz w:val="24"/>
          <w:szCs w:val="24"/>
          <w:rtl/>
          <w:lang w:val="en-US"/>
        </w:rPr>
        <w:t xml:space="preserve"> </w:t>
      </w:r>
      <w:r w:rsidR="006B69EC">
        <w:rPr>
          <w:rFonts w:ascii="Simplified Arabic" w:hAnsi="Simplified Arabic" w:cs="Simplified Arabic" w:hint="cs"/>
          <w:sz w:val="24"/>
          <w:szCs w:val="24"/>
          <w:rtl/>
          <w:lang w:val="en-US"/>
        </w:rPr>
        <w:t>المعايير</w:t>
      </w:r>
      <w:r w:rsidR="00D160A7">
        <w:rPr>
          <w:rStyle w:val="y2iqfc"/>
          <w:rFonts w:ascii="Simplified Arabic" w:hAnsi="Simplified Arabic" w:cs="Simplified Arabic" w:hint="cs"/>
          <w:color w:val="202124"/>
          <w:sz w:val="24"/>
          <w:szCs w:val="24"/>
          <w:rtl/>
          <w:lang w:val="en-US"/>
        </w:rPr>
        <w:t>، كما هو في (الملحق 5)</w:t>
      </w:r>
      <w:r w:rsidR="008D2353">
        <w:rPr>
          <w:rFonts w:ascii="Simplified Arabic" w:hAnsi="Simplified Arabic" w:cs="Simplified Arabic" w:hint="cs"/>
          <w:sz w:val="24"/>
          <w:szCs w:val="24"/>
          <w:rtl/>
          <w:lang w:bidi="ar-DZ"/>
        </w:rPr>
        <w:t>.</w:t>
      </w:r>
    </w:p>
    <w:p w:rsidR="00F54A68" w:rsidRDefault="00F54A68" w:rsidP="00F54A68">
      <w:pPr>
        <w:autoSpaceDE w:val="0"/>
        <w:autoSpaceDN w:val="0"/>
        <w:bidi/>
        <w:adjustRightInd w:val="0"/>
        <w:spacing w:after="0"/>
        <w:ind w:firstLine="282"/>
        <w:jc w:val="both"/>
        <w:rPr>
          <w:rFonts w:ascii="Simplified Arabic" w:hAnsi="Simplified Arabic" w:cs="Simplified Arabic"/>
          <w:sz w:val="24"/>
          <w:szCs w:val="24"/>
          <w:rtl/>
          <w:lang w:bidi="ar-DZ"/>
        </w:rPr>
      </w:pPr>
    </w:p>
    <w:p w:rsidR="00F54A68" w:rsidRDefault="00F54A68" w:rsidP="00F54A68">
      <w:pPr>
        <w:autoSpaceDE w:val="0"/>
        <w:autoSpaceDN w:val="0"/>
        <w:bidi/>
        <w:adjustRightInd w:val="0"/>
        <w:spacing w:after="0"/>
        <w:ind w:firstLine="282"/>
        <w:jc w:val="both"/>
        <w:rPr>
          <w:rFonts w:ascii="Simplified Arabic" w:hAnsi="Simplified Arabic" w:cs="Simplified Arabic"/>
          <w:sz w:val="24"/>
          <w:szCs w:val="24"/>
          <w:rtl/>
          <w:lang w:bidi="ar-DZ"/>
        </w:rPr>
      </w:pPr>
    </w:p>
    <w:p w:rsidR="00F54A68" w:rsidRDefault="00F54A68" w:rsidP="00F54A68">
      <w:pPr>
        <w:autoSpaceDE w:val="0"/>
        <w:autoSpaceDN w:val="0"/>
        <w:bidi/>
        <w:adjustRightInd w:val="0"/>
        <w:spacing w:after="0"/>
        <w:ind w:firstLine="282"/>
        <w:jc w:val="both"/>
        <w:rPr>
          <w:rFonts w:ascii="Simplified Arabic" w:hAnsi="Simplified Arabic" w:cs="Simplified Arabic"/>
          <w:sz w:val="24"/>
          <w:szCs w:val="24"/>
          <w:rtl/>
          <w:lang w:bidi="ar-DZ"/>
        </w:rPr>
      </w:pPr>
    </w:p>
    <w:p w:rsidR="00E430ED" w:rsidRPr="00180C88" w:rsidRDefault="00040621" w:rsidP="00180C88">
      <w:pPr>
        <w:pStyle w:val="Paragraphedeliste"/>
        <w:numPr>
          <w:ilvl w:val="0"/>
          <w:numId w:val="69"/>
        </w:numPr>
        <w:autoSpaceDE w:val="0"/>
        <w:autoSpaceDN w:val="0"/>
        <w:bidi/>
        <w:adjustRightInd w:val="0"/>
        <w:spacing w:after="0"/>
        <w:ind w:left="0" w:firstLine="283"/>
        <w:jc w:val="both"/>
        <w:rPr>
          <w:rFonts w:ascii="Simplified Arabic" w:hAnsi="Simplified Arabic" w:cs="Simplified Arabic"/>
          <w:sz w:val="24"/>
          <w:szCs w:val="24"/>
          <w:rtl/>
          <w:lang w:val="en-US" w:bidi="ar-DZ"/>
        </w:rPr>
      </w:pPr>
      <w:r w:rsidRPr="00180C88">
        <w:rPr>
          <w:rFonts w:ascii="Simplified Arabic" w:hAnsi="Simplified Arabic" w:cs="Simplified Arabic" w:hint="cs"/>
          <w:sz w:val="24"/>
          <w:szCs w:val="24"/>
          <w:rtl/>
          <w:lang w:val="en-US" w:bidi="ar-DZ"/>
        </w:rPr>
        <w:lastRenderedPageBreak/>
        <w:t>من</w:t>
      </w:r>
      <w:r w:rsidRPr="00180C88">
        <w:rPr>
          <w:rFonts w:ascii="Simplified Arabic" w:hAnsi="Simplified Arabic" w:cs="Simplified Arabic"/>
          <w:sz w:val="24"/>
          <w:szCs w:val="24"/>
          <w:rtl/>
          <w:lang w:val="en-US" w:bidi="ar-DZ"/>
        </w:rPr>
        <w:t xml:space="preserve"> </w:t>
      </w:r>
      <w:r w:rsidR="00E430ED" w:rsidRPr="00180C88">
        <w:rPr>
          <w:rFonts w:ascii="Simplified Arabic" w:hAnsi="Simplified Arabic" w:cs="Simplified Arabic" w:hint="cs"/>
          <w:sz w:val="24"/>
          <w:szCs w:val="24"/>
          <w:rtl/>
          <w:lang w:val="en-US" w:bidi="ar-DZ"/>
        </w:rPr>
        <w:t>ال</w:t>
      </w:r>
      <w:r w:rsidRPr="00180C88">
        <w:rPr>
          <w:rFonts w:ascii="Simplified Arabic" w:hAnsi="Simplified Arabic" w:cs="Simplified Arabic" w:hint="cs"/>
          <w:sz w:val="24"/>
          <w:szCs w:val="24"/>
          <w:rtl/>
          <w:lang w:val="en-US" w:bidi="ar-DZ"/>
        </w:rPr>
        <w:t>ناحية</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المكاني</w:t>
      </w:r>
      <w:r w:rsidR="00E430ED" w:rsidRPr="00180C88">
        <w:rPr>
          <w:rFonts w:ascii="Simplified Arabic" w:hAnsi="Simplified Arabic" w:cs="Simplified Arabic" w:hint="cs"/>
          <w:sz w:val="24"/>
          <w:szCs w:val="24"/>
          <w:rtl/>
          <w:lang w:val="en-US" w:bidi="ar-DZ"/>
        </w:rPr>
        <w:t>ة</w:t>
      </w:r>
      <w:r w:rsidR="00586B41" w:rsidRPr="00180C88">
        <w:rPr>
          <w:rFonts w:ascii="Simplified Arabic" w:hAnsi="Simplified Arabic" w:cs="Simplified Arabic" w:hint="cs"/>
          <w:sz w:val="24"/>
          <w:szCs w:val="24"/>
          <w:rtl/>
          <w:lang w:val="en-US" w:bidi="ar-DZ"/>
        </w:rPr>
        <w:t>،</w:t>
      </w:r>
      <w:r w:rsidR="009666F3" w:rsidRPr="00180C88">
        <w:rPr>
          <w:rFonts w:ascii="Simplified Arabic" w:hAnsi="Simplified Arabic" w:cs="Simplified Arabic" w:hint="cs"/>
          <w:sz w:val="24"/>
          <w:szCs w:val="24"/>
          <w:rtl/>
          <w:lang w:val="en-US" w:bidi="ar-DZ"/>
        </w:rPr>
        <w:t xml:space="preserve"> </w:t>
      </w:r>
      <w:r w:rsidR="00E430ED" w:rsidRPr="00180C88">
        <w:rPr>
          <w:rFonts w:ascii="Simplified Arabic" w:hAnsi="Simplified Arabic" w:cs="Simplified Arabic" w:hint="cs"/>
          <w:sz w:val="24"/>
          <w:szCs w:val="24"/>
          <w:rtl/>
          <w:lang w:val="en-US" w:bidi="ar-DZ"/>
        </w:rPr>
        <w:t>يظهر</w:t>
      </w:r>
      <w:r w:rsidR="00E430ED"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 xml:space="preserve">حي </w:t>
      </w:r>
      <w:r w:rsidR="00CD7FCC" w:rsidRPr="00180C88">
        <w:rPr>
          <w:rFonts w:ascii="Simplified Arabic" w:hAnsi="Simplified Arabic" w:cs="Simplified Arabic" w:hint="cs"/>
          <w:sz w:val="24"/>
          <w:szCs w:val="24"/>
          <w:rtl/>
        </w:rPr>
        <w:t>القص</w:t>
      </w:r>
      <w:r w:rsidR="00586B41" w:rsidRPr="00180C88">
        <w:rPr>
          <w:rFonts w:ascii="Simplified Arabic" w:hAnsi="Simplified Arabic" w:cs="Simplified Arabic" w:hint="cs"/>
          <w:sz w:val="24"/>
          <w:szCs w:val="24"/>
          <w:rtl/>
        </w:rPr>
        <w:t>ر</w:t>
      </w:r>
      <w:r w:rsidRPr="00180C88">
        <w:rPr>
          <w:rFonts w:ascii="Simplified Arabic" w:hAnsi="Simplified Arabic" w:cs="Simplified Arabic" w:hint="cs"/>
          <w:sz w:val="24"/>
          <w:szCs w:val="24"/>
          <w:rtl/>
          <w:lang w:val="en-US" w:bidi="ar-DZ"/>
        </w:rPr>
        <w:t>،</w:t>
      </w:r>
      <w:r w:rsidRPr="00180C88">
        <w:rPr>
          <w:rFonts w:ascii="Simplified Arabic" w:hAnsi="Simplified Arabic" w:cs="Simplified Arabic"/>
          <w:sz w:val="24"/>
          <w:szCs w:val="24"/>
          <w:rtl/>
          <w:lang w:val="en-US" w:bidi="ar-DZ"/>
        </w:rPr>
        <w:t xml:space="preserve"> </w:t>
      </w:r>
      <w:r w:rsidR="009666F3" w:rsidRPr="00180C88">
        <w:rPr>
          <w:rFonts w:ascii="Simplified Arabic" w:hAnsi="Simplified Arabic" w:cs="Simplified Arabic" w:hint="cs"/>
          <w:sz w:val="24"/>
          <w:szCs w:val="24"/>
          <w:rtl/>
          <w:lang w:val="en-US" w:bidi="ar-DZ"/>
        </w:rPr>
        <w:t>توزيع</w:t>
      </w:r>
      <w:r w:rsidR="009666F3" w:rsidRPr="00180C88">
        <w:rPr>
          <w:rFonts w:ascii="Simplified Arabic" w:hAnsi="Simplified Arabic" w:cs="Simplified Arabic"/>
          <w:sz w:val="24"/>
          <w:szCs w:val="24"/>
          <w:rtl/>
          <w:lang w:val="en-US" w:bidi="ar-DZ"/>
        </w:rPr>
        <w:t xml:space="preserve"> </w:t>
      </w:r>
      <w:r w:rsidR="009666F3" w:rsidRPr="00180C88">
        <w:rPr>
          <w:rFonts w:ascii="Simplified Arabic" w:hAnsi="Simplified Arabic" w:cs="Simplified Arabic" w:hint="cs"/>
          <w:sz w:val="24"/>
          <w:szCs w:val="24"/>
          <w:rtl/>
          <w:lang w:val="en-US" w:bidi="ar-DZ"/>
        </w:rPr>
        <w:t>أ</w:t>
      </w:r>
      <w:r w:rsidR="00E430ED" w:rsidRPr="00180C88">
        <w:rPr>
          <w:rFonts w:ascii="Simplified Arabic" w:hAnsi="Simplified Arabic" w:cs="Simplified Arabic" w:hint="cs"/>
          <w:sz w:val="24"/>
          <w:szCs w:val="24"/>
          <w:rtl/>
          <w:lang w:val="en-US" w:bidi="ar-DZ"/>
        </w:rPr>
        <w:t>نواع مختلفة من المرافق</w:t>
      </w:r>
      <w:r w:rsidR="009666F3" w:rsidRPr="00180C88">
        <w:rPr>
          <w:rFonts w:ascii="Simplified Arabic" w:hAnsi="Simplified Arabic" w:cs="Simplified Arabic" w:hint="cs"/>
          <w:sz w:val="24"/>
          <w:szCs w:val="24"/>
          <w:rtl/>
          <w:lang w:val="en-US" w:bidi="ar-DZ"/>
        </w:rPr>
        <w:t>،</w:t>
      </w:r>
      <w:r w:rsidR="009666F3" w:rsidRPr="00180C88">
        <w:rPr>
          <w:rFonts w:ascii="Simplified Arabic" w:hAnsi="Simplified Arabic" w:cs="Simplified Arabic"/>
          <w:sz w:val="24"/>
          <w:szCs w:val="24"/>
          <w:rtl/>
          <w:lang w:val="en-US" w:bidi="ar-DZ"/>
        </w:rPr>
        <w:t xml:space="preserve"> </w:t>
      </w:r>
      <w:r w:rsidR="00E430ED" w:rsidRPr="00180C88">
        <w:rPr>
          <w:rFonts w:ascii="Simplified Arabic" w:hAnsi="Simplified Arabic" w:cs="Simplified Arabic" w:hint="cs"/>
          <w:sz w:val="24"/>
          <w:szCs w:val="24"/>
          <w:rtl/>
          <w:lang w:bidi="ar-DZ"/>
        </w:rPr>
        <w:t>يتبع</w:t>
      </w:r>
      <w:r w:rsidR="00E430ED" w:rsidRPr="00180C88">
        <w:rPr>
          <w:rFonts w:ascii="Simplified Arabic" w:hAnsi="Simplified Arabic" w:cs="Simplified Arabic"/>
          <w:sz w:val="24"/>
          <w:szCs w:val="24"/>
          <w:rtl/>
          <w:lang w:bidi="ar-DZ"/>
        </w:rPr>
        <w:t xml:space="preserve"> </w:t>
      </w:r>
      <w:r w:rsidR="00E430ED" w:rsidRPr="00180C88">
        <w:rPr>
          <w:rFonts w:ascii="Simplified Arabic" w:hAnsi="Simplified Arabic" w:cs="Simplified Arabic" w:hint="cs"/>
          <w:sz w:val="24"/>
          <w:szCs w:val="24"/>
          <w:rtl/>
          <w:lang w:bidi="ar-DZ"/>
        </w:rPr>
        <w:t>نمطًا</w:t>
      </w:r>
      <w:r w:rsidR="00E430ED" w:rsidRPr="00180C88">
        <w:rPr>
          <w:rFonts w:ascii="Simplified Arabic" w:hAnsi="Simplified Arabic" w:cs="Simplified Arabic"/>
          <w:sz w:val="24"/>
          <w:szCs w:val="24"/>
          <w:rtl/>
          <w:lang w:bidi="ar-DZ"/>
        </w:rPr>
        <w:t xml:space="preserve"> </w:t>
      </w:r>
      <w:r w:rsidR="00E430ED" w:rsidRPr="00180C88">
        <w:rPr>
          <w:rFonts w:ascii="Simplified Arabic" w:hAnsi="Simplified Arabic" w:cs="Simplified Arabic" w:hint="cs"/>
          <w:sz w:val="24"/>
          <w:szCs w:val="24"/>
          <w:rtl/>
          <w:lang w:bidi="ar-DZ"/>
        </w:rPr>
        <w:t>مبعثرًا</w:t>
      </w:r>
      <w:r w:rsidR="00E430ED" w:rsidRPr="00180C88">
        <w:rPr>
          <w:rFonts w:ascii="Simplified Arabic" w:hAnsi="Simplified Arabic" w:cs="Simplified Arabic"/>
          <w:sz w:val="24"/>
          <w:szCs w:val="24"/>
          <w:rtl/>
          <w:lang w:bidi="ar-DZ"/>
        </w:rPr>
        <w:t xml:space="preserve"> </w:t>
      </w:r>
      <w:r w:rsidR="00882D2F" w:rsidRPr="00180C88">
        <w:rPr>
          <w:rFonts w:ascii="Simplified Arabic" w:hAnsi="Simplified Arabic" w:cs="Simplified Arabic" w:hint="cs"/>
          <w:sz w:val="24"/>
          <w:szCs w:val="24"/>
          <w:rtl/>
          <w:lang w:bidi="ar-DZ"/>
        </w:rPr>
        <w:t xml:space="preserve">مثلما هو على مستوى المدينة، </w:t>
      </w:r>
      <w:r w:rsidR="00E430ED" w:rsidRPr="00180C88">
        <w:rPr>
          <w:rFonts w:ascii="Simplified Arabic" w:hAnsi="Simplified Arabic" w:cs="Simplified Arabic" w:hint="cs"/>
          <w:sz w:val="24"/>
          <w:szCs w:val="24"/>
          <w:rtl/>
          <w:lang w:bidi="ar-DZ"/>
        </w:rPr>
        <w:t xml:space="preserve">الخريطة </w:t>
      </w:r>
      <w:r w:rsidR="00E430ED" w:rsidRPr="00180C88">
        <w:rPr>
          <w:rFonts w:ascii="Simplified Arabic" w:hAnsi="Simplified Arabic" w:cs="Simplified Arabic"/>
          <w:sz w:val="24"/>
          <w:szCs w:val="24"/>
          <w:rtl/>
          <w:lang w:bidi="ar-DZ"/>
        </w:rPr>
        <w:t>(</w:t>
      </w:r>
      <w:r w:rsidR="00E430ED" w:rsidRPr="00180C88">
        <w:rPr>
          <w:rFonts w:ascii="Simplified Arabic" w:hAnsi="Simplified Arabic" w:cs="Simplified Arabic" w:hint="cs"/>
          <w:sz w:val="24"/>
          <w:szCs w:val="24"/>
          <w:rtl/>
          <w:lang w:bidi="ar-DZ"/>
        </w:rPr>
        <w:t>6-</w:t>
      </w:r>
      <w:r w:rsidR="005373F7" w:rsidRPr="00180C88">
        <w:rPr>
          <w:rFonts w:ascii="Simplified Arabic" w:hAnsi="Simplified Arabic" w:cs="Simplified Arabic" w:hint="cs"/>
          <w:sz w:val="24"/>
          <w:szCs w:val="24"/>
          <w:rtl/>
          <w:lang w:bidi="ar-DZ"/>
        </w:rPr>
        <w:t>10</w:t>
      </w:r>
      <w:r w:rsidR="00E430ED" w:rsidRPr="00180C88">
        <w:rPr>
          <w:rFonts w:ascii="Simplified Arabic" w:hAnsi="Simplified Arabic" w:cs="Simplified Arabic"/>
          <w:sz w:val="24"/>
          <w:szCs w:val="24"/>
          <w:rtl/>
          <w:lang w:bidi="ar-DZ"/>
        </w:rPr>
        <w:t>)</w:t>
      </w:r>
      <w:r w:rsidR="00586B41" w:rsidRPr="00180C88">
        <w:rPr>
          <w:rFonts w:ascii="Simplified Arabic" w:hAnsi="Simplified Arabic" w:cs="Simplified Arabic" w:hint="cs"/>
          <w:sz w:val="24"/>
          <w:szCs w:val="24"/>
          <w:rtl/>
          <w:lang w:bidi="ar-DZ"/>
        </w:rPr>
        <w:t xml:space="preserve">، مع تركيز اعلى لمرافق </w:t>
      </w:r>
      <w:r w:rsidR="009660F8" w:rsidRPr="00180C88">
        <w:rPr>
          <w:rFonts w:ascii="Simplified Arabic" w:hAnsi="Simplified Arabic" w:cs="Simplified Arabic" w:hint="cs"/>
          <w:sz w:val="24"/>
          <w:szCs w:val="24"/>
          <w:rtl/>
          <w:lang w:bidi="ar-DZ"/>
        </w:rPr>
        <w:t>التعليم الابتدائي.</w:t>
      </w:r>
      <w:r w:rsidR="00586B41" w:rsidRPr="00180C88">
        <w:rPr>
          <w:rFonts w:ascii="Simplified Arabic" w:hAnsi="Simplified Arabic" w:cs="Simplified Arabic" w:hint="cs"/>
          <w:sz w:val="24"/>
          <w:szCs w:val="24"/>
          <w:rtl/>
          <w:lang w:bidi="ar-DZ"/>
        </w:rPr>
        <w:t xml:space="preserve"> </w:t>
      </w:r>
    </w:p>
    <w:p w:rsidR="002A686B" w:rsidRDefault="00BE5F58" w:rsidP="00986BEA">
      <w:pPr>
        <w:pStyle w:val="carte"/>
        <w:spacing w:after="0"/>
        <w:rPr>
          <w:rtl/>
          <w:lang w:bidi="ar-DZ"/>
        </w:rPr>
      </w:pPr>
      <w:bookmarkStart w:id="916" w:name="_Toc157616618"/>
      <w:bookmarkStart w:id="917" w:name="_Toc171803855"/>
      <w:r w:rsidRPr="005373F7">
        <w:rPr>
          <w:rFonts w:hint="cs"/>
          <w:rtl/>
          <w:lang w:bidi="ar-DZ"/>
        </w:rPr>
        <w:t>ال</w:t>
      </w:r>
      <w:r w:rsidR="002A686B" w:rsidRPr="005373F7">
        <w:rPr>
          <w:rFonts w:hint="cs"/>
          <w:rtl/>
          <w:lang w:bidi="ar-DZ"/>
        </w:rPr>
        <w:t>خريطة (6-</w:t>
      </w:r>
      <w:r w:rsidR="005373F7" w:rsidRPr="005373F7">
        <w:rPr>
          <w:rFonts w:hint="cs"/>
          <w:rtl/>
          <w:lang w:bidi="ar-DZ"/>
        </w:rPr>
        <w:t>10</w:t>
      </w:r>
      <w:r w:rsidR="002A686B" w:rsidRPr="005373F7">
        <w:rPr>
          <w:rFonts w:hint="cs"/>
          <w:rtl/>
          <w:lang w:bidi="ar-DZ"/>
        </w:rPr>
        <w:t xml:space="preserve">) تنوع </w:t>
      </w:r>
      <w:r w:rsidR="00710400" w:rsidRPr="005373F7">
        <w:rPr>
          <w:rFonts w:hint="cs"/>
          <w:rtl/>
          <w:lang w:bidi="ar-DZ"/>
        </w:rPr>
        <w:t xml:space="preserve">المرافق </w:t>
      </w:r>
      <w:r w:rsidR="002A686B" w:rsidRPr="005373F7">
        <w:rPr>
          <w:rFonts w:hint="cs"/>
          <w:rtl/>
          <w:lang w:bidi="ar-DZ"/>
        </w:rPr>
        <w:t xml:space="preserve">على </w:t>
      </w:r>
      <w:r w:rsidR="006352DB" w:rsidRPr="005373F7">
        <w:rPr>
          <w:rFonts w:hint="cs"/>
          <w:rtl/>
          <w:lang w:bidi="ar-DZ"/>
        </w:rPr>
        <w:t>مستوى حي القصر</w:t>
      </w:r>
      <w:bookmarkEnd w:id="916"/>
      <w:bookmarkEnd w:id="917"/>
    </w:p>
    <w:p w:rsidR="00986BEA" w:rsidRPr="00986BEA" w:rsidRDefault="00986BEA" w:rsidP="00986BEA">
      <w:pPr>
        <w:pStyle w:val="fegure"/>
        <w:rPr>
          <w:sz w:val="8"/>
          <w:szCs w:val="24"/>
          <w:rtl/>
          <w:lang w:val="en-US"/>
        </w:rPr>
      </w:pPr>
      <w:bookmarkStart w:id="918" w:name="_Toc171803856"/>
      <w:r>
        <w:rPr>
          <w:rFonts w:hint="cs"/>
          <w:sz w:val="8"/>
          <w:szCs w:val="24"/>
          <w:rtl/>
          <w:lang w:val="en-US" w:bidi="ar-DZ"/>
        </w:rPr>
        <w:t xml:space="preserve">المصدر: </w:t>
      </w:r>
      <w:r>
        <w:rPr>
          <w:rFonts w:hint="cs"/>
          <w:sz w:val="8"/>
          <w:szCs w:val="24"/>
          <w:rtl/>
          <w:lang w:val="en-US"/>
        </w:rPr>
        <w:t>(الباحث، 2022)</w:t>
      </w:r>
      <w:bookmarkEnd w:id="918"/>
    </w:p>
    <w:p w:rsidR="006352DB" w:rsidRDefault="006352DB" w:rsidP="006352DB">
      <w:pPr>
        <w:autoSpaceDE w:val="0"/>
        <w:autoSpaceDN w:val="0"/>
        <w:bidi/>
        <w:adjustRightInd w:val="0"/>
        <w:spacing w:after="0" w:line="240" w:lineRule="auto"/>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05993EC6" wp14:editId="6309F583">
            <wp:extent cx="3666227" cy="4477414"/>
            <wp:effectExtent l="0" t="0" r="0" b="0"/>
            <wp:docPr id="291" name="Imag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22" cstate="print">
                      <a:extLst>
                        <a:ext uri="{28A0092B-C50C-407E-A947-70E740481C1C}">
                          <a14:useLocalDpi xmlns:a14="http://schemas.microsoft.com/office/drawing/2010/main" val="0"/>
                        </a:ext>
                      </a:extLst>
                    </a:blip>
                    <a:srcRect t="8411"/>
                    <a:stretch/>
                  </pic:blipFill>
                  <pic:spPr bwMode="auto">
                    <a:xfrm>
                      <a:off x="0" y="0"/>
                      <a:ext cx="3684851" cy="4500159"/>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hint="cs"/>
          <w:sz w:val="24"/>
          <w:szCs w:val="24"/>
          <w:rtl/>
          <w:lang w:bidi="ar-DZ"/>
        </w:rPr>
        <w:t xml:space="preserve"> </w:t>
      </w:r>
    </w:p>
    <w:p w:rsidR="00180C88" w:rsidRDefault="00180C88" w:rsidP="00180C88">
      <w:pPr>
        <w:autoSpaceDE w:val="0"/>
        <w:autoSpaceDN w:val="0"/>
        <w:bidi/>
        <w:adjustRightInd w:val="0"/>
        <w:spacing w:after="0"/>
        <w:ind w:firstLine="282"/>
        <w:jc w:val="both"/>
        <w:rPr>
          <w:rFonts w:ascii="Simplified Arabic" w:hAnsi="Simplified Arabic" w:cs="Simplified Arabic"/>
          <w:sz w:val="24"/>
          <w:szCs w:val="24"/>
          <w:rtl/>
          <w:lang w:bidi="ar-DZ"/>
        </w:rPr>
      </w:pPr>
      <w:r w:rsidRPr="00DD2046">
        <w:rPr>
          <w:rFonts w:ascii="Simplified Arabic" w:hAnsi="Simplified Arabic" w:cs="Simplified Arabic" w:hint="cs"/>
          <w:sz w:val="24"/>
          <w:szCs w:val="24"/>
          <w:rtl/>
          <w:lang w:bidi="ar-DZ"/>
        </w:rPr>
        <w:t>تشير</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دراسة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التنوع</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val="en-US" w:bidi="ar-DZ"/>
        </w:rPr>
        <w:t xml:space="preserve">في </w:t>
      </w:r>
      <w:r w:rsidRPr="00040621">
        <w:rPr>
          <w:rFonts w:ascii="Simplified Arabic" w:hAnsi="Simplified Arabic" w:cs="Simplified Arabic" w:hint="cs"/>
          <w:sz w:val="24"/>
          <w:szCs w:val="24"/>
          <w:rtl/>
          <w:lang w:val="en-US" w:bidi="ar-DZ"/>
        </w:rPr>
        <w:t xml:space="preserve">حي </w:t>
      </w:r>
      <w:r>
        <w:rPr>
          <w:rFonts w:ascii="Simplified Arabic" w:hAnsi="Simplified Arabic" w:cs="Simplified Arabic" w:hint="cs"/>
          <w:sz w:val="24"/>
          <w:szCs w:val="24"/>
          <w:rtl/>
        </w:rPr>
        <w:t>القصر، الواقع ضمن فئة النسيج الحضري (أ)</w:t>
      </w:r>
      <w:r w:rsidRPr="007708D9">
        <w:rPr>
          <w:rFonts w:ascii="Simplified Arabic" w:hAnsi="Simplified Arabic" w:cs="Simplified Arabic" w:hint="cs"/>
          <w:sz w:val="24"/>
          <w:szCs w:val="24"/>
          <w:rtl/>
          <w:lang w:val="en-US" w:bidi="ar-DZ"/>
        </w:rPr>
        <w:t>،</w:t>
      </w:r>
      <w:r w:rsidRPr="00040621">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الى توفر العديد من انواع المرافق، يمكن الوصول اليها ضمن عتبة المسافة المعيارية النظرية. </w:t>
      </w:r>
      <w:r w:rsidRPr="004E1B18">
        <w:rPr>
          <w:rFonts w:ascii="Simplified Arabic" w:hAnsi="Simplified Arabic" w:cs="Simplified Arabic" w:hint="cs"/>
          <w:sz w:val="24"/>
          <w:szCs w:val="24"/>
          <w:rtl/>
          <w:lang w:val="en-US" w:bidi="ar-DZ"/>
        </w:rPr>
        <w:t>يظهر</w:t>
      </w:r>
      <w:r w:rsidRPr="004E1B18">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rPr>
        <w:t>استعمالات</w:t>
      </w:r>
      <w:r>
        <w:rPr>
          <w:rFonts w:ascii="Simplified Arabic" w:hAnsi="Simplified Arabic" w:cs="Simplified Arabic" w:hint="cs"/>
          <w:sz w:val="24"/>
          <w:szCs w:val="24"/>
          <w:rtl/>
          <w:lang w:val="en-US" w:bidi="ar-DZ"/>
        </w:rPr>
        <w:t xml:space="preserve"> الارض ان المساحة المغطاة بالخدمات تبلغ 30.89 هكتار وقيمة تنوع 100</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w:t>
      </w:r>
      <w:r w:rsidRPr="00DD2046">
        <w:rPr>
          <w:rFonts w:ascii="Simplified Arabic" w:hAnsi="Simplified Arabic" w:cs="Simplified Arabic" w:hint="cs"/>
          <w:sz w:val="24"/>
          <w:szCs w:val="24"/>
          <w:rtl/>
          <w:lang w:bidi="ar-DZ"/>
        </w:rPr>
        <w:t>مما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يعني</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جميع </w:t>
      </w:r>
      <w:r w:rsidRPr="00DD2046">
        <w:rPr>
          <w:rFonts w:ascii="Simplified Arabic" w:hAnsi="Simplified Arabic" w:cs="Simplified Arabic" w:hint="cs"/>
          <w:sz w:val="24"/>
          <w:szCs w:val="24"/>
          <w:rtl/>
          <w:lang w:bidi="ar-DZ"/>
        </w:rPr>
        <w:t>فئات</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المرافق</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المختلفة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يتم</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تمثيلها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في</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جميع</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أنحاء</w:t>
      </w:r>
      <w:r>
        <w:rPr>
          <w:rFonts w:ascii="Simplified Arabic" w:hAnsi="Simplified Arabic" w:cs="Simplified Arabic" w:hint="cs"/>
          <w:sz w:val="24"/>
          <w:szCs w:val="24"/>
          <w:rtl/>
          <w:lang w:bidi="ar-DZ"/>
        </w:rPr>
        <w:t xml:space="preserve"> الحي ويمنح درجة عالية جدا من التنوع، الجدول (6-5)</w:t>
      </w:r>
      <w:r w:rsidRPr="00DD2046">
        <w:rPr>
          <w:rFonts w:ascii="Simplified Arabic" w:hAnsi="Simplified Arabic" w:cs="Simplified Arabic"/>
          <w:sz w:val="24"/>
          <w:szCs w:val="24"/>
          <w:rtl/>
          <w:lang w:bidi="ar-DZ"/>
        </w:rPr>
        <w:t>.</w:t>
      </w:r>
    </w:p>
    <w:p w:rsidR="00180C88" w:rsidRDefault="00180C88" w:rsidP="00180C88">
      <w:pPr>
        <w:pStyle w:val="Tableau"/>
        <w:rPr>
          <w:rtl/>
        </w:rPr>
      </w:pPr>
      <w:bookmarkStart w:id="919" w:name="_Toc157613014"/>
      <w:bookmarkStart w:id="920" w:name="_Toc171803857"/>
      <w:r>
        <w:rPr>
          <w:rFonts w:hint="cs"/>
          <w:rtl/>
          <w:lang w:val="en-US" w:bidi="ar-DZ"/>
        </w:rPr>
        <w:t xml:space="preserve">الجدول (6-5): </w:t>
      </w:r>
      <w:r w:rsidRPr="002759D5">
        <w:rPr>
          <w:rFonts w:hint="cs"/>
          <w:rtl/>
          <w:lang w:bidi="ar-DZ"/>
        </w:rPr>
        <w:t>تصنيف</w:t>
      </w:r>
      <w:r w:rsidRPr="002759D5">
        <w:rPr>
          <w:rtl/>
          <w:lang w:bidi="ar-DZ"/>
        </w:rPr>
        <w:t xml:space="preserve"> </w:t>
      </w:r>
      <w:r>
        <w:rPr>
          <w:rFonts w:hint="cs"/>
          <w:rtl/>
        </w:rPr>
        <w:t xml:space="preserve">تنوع </w:t>
      </w:r>
      <w:r>
        <w:rPr>
          <w:rFonts w:eastAsia="Times New Roman" w:hint="cs"/>
          <w:color w:val="000000"/>
          <w:rtl/>
          <w:lang w:eastAsia="fr-FR"/>
        </w:rPr>
        <w:t>المرافق ب</w:t>
      </w:r>
      <w:r w:rsidRPr="00040621">
        <w:rPr>
          <w:rFonts w:hint="cs"/>
          <w:rtl/>
          <w:lang w:val="en-US" w:bidi="ar-DZ"/>
        </w:rPr>
        <w:t xml:space="preserve">حي </w:t>
      </w:r>
      <w:r>
        <w:rPr>
          <w:rFonts w:hint="cs"/>
          <w:rtl/>
        </w:rPr>
        <w:t>القصر</w:t>
      </w:r>
      <w:bookmarkEnd w:id="919"/>
      <w:bookmarkEnd w:id="920"/>
    </w:p>
    <w:p w:rsidR="00986BEA" w:rsidRPr="00986BEA" w:rsidRDefault="00986BEA" w:rsidP="00986BEA">
      <w:pPr>
        <w:pStyle w:val="fegure"/>
        <w:rPr>
          <w:sz w:val="8"/>
          <w:szCs w:val="24"/>
          <w:rtl/>
          <w:lang w:val="en-US"/>
        </w:rPr>
      </w:pPr>
      <w:bookmarkStart w:id="921" w:name="_Toc171803858"/>
      <w:r>
        <w:rPr>
          <w:rFonts w:hint="cs"/>
          <w:sz w:val="8"/>
          <w:szCs w:val="24"/>
          <w:rtl/>
          <w:lang w:val="en-US" w:bidi="ar-DZ"/>
        </w:rPr>
        <w:t xml:space="preserve">المصدر: </w:t>
      </w:r>
      <w:r>
        <w:rPr>
          <w:rFonts w:hint="cs"/>
          <w:sz w:val="8"/>
          <w:szCs w:val="24"/>
          <w:rtl/>
          <w:lang w:val="en-US"/>
        </w:rPr>
        <w:t>(الباحث، 2022)</w:t>
      </w:r>
      <w:bookmarkEnd w:id="921"/>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00"/>
        <w:gridCol w:w="992"/>
        <w:gridCol w:w="851"/>
        <w:gridCol w:w="1365"/>
        <w:gridCol w:w="2126"/>
        <w:gridCol w:w="992"/>
        <w:gridCol w:w="1011"/>
      </w:tblGrid>
      <w:tr w:rsidR="00180C88" w:rsidRPr="00143C39" w:rsidTr="001326BC">
        <w:trPr>
          <w:trHeight w:val="449"/>
          <w:jc w:val="center"/>
        </w:trPr>
        <w:tc>
          <w:tcPr>
            <w:tcW w:w="1100" w:type="dxa"/>
            <w:tcBorders>
              <w:top w:val="double" w:sz="6" w:space="0" w:color="auto"/>
              <w:left w:val="double" w:sz="6" w:space="0" w:color="auto"/>
              <w:bottom w:val="double" w:sz="6" w:space="0" w:color="auto"/>
            </w:tcBorders>
            <w:shd w:val="clear" w:color="auto" w:fill="auto"/>
            <w:vAlign w:val="center"/>
          </w:tcPr>
          <w:p w:rsidR="00180C88" w:rsidRPr="00143C39"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فئة النسيج الحضري</w:t>
            </w:r>
          </w:p>
        </w:tc>
        <w:tc>
          <w:tcPr>
            <w:tcW w:w="992" w:type="dxa"/>
            <w:tcBorders>
              <w:top w:val="double" w:sz="6" w:space="0" w:color="auto"/>
              <w:bottom w:val="double" w:sz="6" w:space="0" w:color="auto"/>
            </w:tcBorders>
            <w:vAlign w:val="center"/>
          </w:tcPr>
          <w:p w:rsidR="00180C88" w:rsidRPr="00143C39" w:rsidRDefault="00180C88" w:rsidP="001326BC">
            <w:pPr>
              <w:bidi/>
              <w:spacing w:after="0" w:line="240" w:lineRule="auto"/>
              <w:jc w:val="center"/>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اسم الحي</w:t>
            </w:r>
            <w:r>
              <w:rPr>
                <w:rFonts w:ascii="Simplified Arabic" w:eastAsia="Times New Roman" w:hAnsi="Simplified Arabic" w:cs="Simplified Arabic" w:hint="cs"/>
                <w:color w:val="000000"/>
                <w:sz w:val="24"/>
                <w:szCs w:val="24"/>
                <w:rtl/>
                <w:lang w:eastAsia="fr-FR"/>
              </w:rPr>
              <w:t xml:space="preserve"> السكني</w:t>
            </w:r>
          </w:p>
        </w:tc>
        <w:tc>
          <w:tcPr>
            <w:tcW w:w="851" w:type="dxa"/>
            <w:tcBorders>
              <w:top w:val="double" w:sz="6" w:space="0" w:color="auto"/>
              <w:bottom w:val="double" w:sz="6" w:space="0" w:color="auto"/>
            </w:tcBorders>
            <w:vAlign w:val="center"/>
          </w:tcPr>
          <w:p w:rsidR="00180C88" w:rsidRPr="00143C39"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المنطقة</w:t>
            </w:r>
          </w:p>
        </w:tc>
        <w:tc>
          <w:tcPr>
            <w:tcW w:w="1365" w:type="dxa"/>
            <w:tcBorders>
              <w:top w:val="double" w:sz="6" w:space="0" w:color="auto"/>
              <w:bottom w:val="double" w:sz="6" w:space="0" w:color="auto"/>
            </w:tcBorders>
            <w:vAlign w:val="center"/>
          </w:tcPr>
          <w:p w:rsidR="00180C88" w:rsidRPr="008A594F"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المساحة المغطاة بالخدمة (هك)</w:t>
            </w:r>
          </w:p>
        </w:tc>
        <w:tc>
          <w:tcPr>
            <w:tcW w:w="2126" w:type="dxa"/>
            <w:tcBorders>
              <w:top w:val="double" w:sz="6" w:space="0" w:color="auto"/>
              <w:bottom w:val="double" w:sz="6" w:space="0" w:color="auto"/>
            </w:tcBorders>
            <w:vAlign w:val="center"/>
          </w:tcPr>
          <w:p w:rsidR="00180C88"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نوع المرفق (رمز المعيار)</w:t>
            </w:r>
          </w:p>
        </w:tc>
        <w:tc>
          <w:tcPr>
            <w:tcW w:w="992" w:type="dxa"/>
            <w:tcBorders>
              <w:top w:val="double" w:sz="6" w:space="0" w:color="auto"/>
              <w:bottom w:val="double" w:sz="6" w:space="0" w:color="auto"/>
            </w:tcBorders>
            <w:vAlign w:val="center"/>
          </w:tcPr>
          <w:p w:rsidR="00180C88" w:rsidRDefault="00180C88" w:rsidP="001326BC">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قيمة التنوع</w:t>
            </w:r>
          </w:p>
          <w:p w:rsidR="00180C88" w:rsidRPr="009F10F6"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w:t>
            </w:r>
          </w:p>
        </w:tc>
        <w:tc>
          <w:tcPr>
            <w:tcW w:w="1011" w:type="dxa"/>
            <w:tcBorders>
              <w:top w:val="double" w:sz="6" w:space="0" w:color="auto"/>
              <w:bottom w:val="double" w:sz="6" w:space="0" w:color="auto"/>
              <w:right w:val="double" w:sz="6" w:space="0" w:color="auto"/>
            </w:tcBorders>
            <w:vAlign w:val="center"/>
          </w:tcPr>
          <w:p w:rsidR="00180C88" w:rsidRDefault="00180C88" w:rsidP="001326BC">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درجة</w:t>
            </w:r>
            <w:r w:rsidRPr="002759D5">
              <w:rPr>
                <w:rFonts w:ascii="Simplified Arabic" w:hAnsi="Simplified Arabic" w:cs="Simplified Arabic"/>
                <w:sz w:val="24"/>
                <w:szCs w:val="24"/>
                <w:rtl/>
                <w:lang w:bidi="ar-DZ"/>
              </w:rPr>
              <w:t xml:space="preserve"> </w:t>
            </w:r>
            <w:r w:rsidRPr="002759D5">
              <w:rPr>
                <w:rFonts w:ascii="Simplified Arabic" w:hAnsi="Simplified Arabic" w:cs="Simplified Arabic" w:hint="cs"/>
                <w:sz w:val="24"/>
                <w:szCs w:val="24"/>
                <w:rtl/>
                <w:lang w:bidi="ar-DZ"/>
              </w:rPr>
              <w:t>التنوع</w:t>
            </w:r>
          </w:p>
        </w:tc>
      </w:tr>
      <w:tr w:rsidR="00180C88" w:rsidRPr="00143C39" w:rsidTr="001326BC">
        <w:trPr>
          <w:trHeight w:val="64"/>
          <w:jc w:val="center"/>
        </w:trPr>
        <w:tc>
          <w:tcPr>
            <w:tcW w:w="1100" w:type="dxa"/>
            <w:vMerge w:val="restart"/>
            <w:tcBorders>
              <w:top w:val="double" w:sz="6" w:space="0" w:color="auto"/>
              <w:left w:val="double" w:sz="6" w:space="0" w:color="auto"/>
            </w:tcBorders>
            <w:shd w:val="clear" w:color="auto" w:fill="auto"/>
            <w:vAlign w:val="center"/>
          </w:tcPr>
          <w:p w:rsidR="00180C88" w:rsidRPr="00143C39"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w:t>
            </w:r>
            <w:r>
              <w:rPr>
                <w:rFonts w:ascii="Simplified Arabic" w:eastAsia="Times New Roman" w:hAnsi="Simplified Arabic" w:cs="Simplified Arabic" w:hint="cs"/>
                <w:color w:val="000000"/>
                <w:sz w:val="24"/>
                <w:szCs w:val="24"/>
                <w:rtl/>
                <w:lang w:eastAsia="fr-FR"/>
              </w:rPr>
              <w:t>(</w:t>
            </w:r>
            <w:r w:rsidRPr="00143C39">
              <w:rPr>
                <w:rFonts w:ascii="Simplified Arabic" w:eastAsia="Times New Roman" w:hAnsi="Simplified Arabic" w:cs="Simplified Arabic"/>
                <w:color w:val="000000"/>
                <w:sz w:val="24"/>
                <w:szCs w:val="24"/>
                <w:rtl/>
                <w:lang w:eastAsia="fr-FR"/>
              </w:rPr>
              <w:t>أ</w:t>
            </w:r>
            <w:r>
              <w:rPr>
                <w:rFonts w:ascii="Simplified Arabic" w:eastAsia="Times New Roman" w:hAnsi="Simplified Arabic" w:cs="Simplified Arabic" w:hint="cs"/>
                <w:color w:val="000000"/>
                <w:sz w:val="24"/>
                <w:szCs w:val="24"/>
                <w:rtl/>
                <w:lang w:eastAsia="fr-FR"/>
              </w:rPr>
              <w:t>)</w:t>
            </w:r>
          </w:p>
        </w:tc>
        <w:tc>
          <w:tcPr>
            <w:tcW w:w="992" w:type="dxa"/>
            <w:vMerge w:val="restart"/>
            <w:tcBorders>
              <w:top w:val="double" w:sz="6" w:space="0" w:color="auto"/>
            </w:tcBorders>
            <w:vAlign w:val="center"/>
          </w:tcPr>
          <w:p w:rsidR="00180C88" w:rsidRPr="00FA4954" w:rsidRDefault="00180C88" w:rsidP="001326BC">
            <w:pPr>
              <w:bidi/>
              <w:spacing w:after="0" w:line="240" w:lineRule="auto"/>
              <w:jc w:val="center"/>
              <w:rPr>
                <w:rFonts w:ascii="Simplified Arabic" w:eastAsia="Times New Roman" w:hAnsi="Simplified Arabic" w:cs="Simplified Arabic"/>
                <w:color w:val="000000"/>
                <w:sz w:val="24"/>
                <w:szCs w:val="24"/>
                <w:lang w:eastAsia="fr-FR"/>
              </w:rPr>
            </w:pPr>
            <w:r w:rsidRPr="00FA4954">
              <w:rPr>
                <w:rFonts w:ascii="Simplified Arabic" w:eastAsia="Times New Roman" w:hAnsi="Simplified Arabic" w:cs="Simplified Arabic" w:hint="cs"/>
                <w:color w:val="000000"/>
                <w:sz w:val="24"/>
                <w:szCs w:val="24"/>
                <w:rtl/>
                <w:lang w:eastAsia="fr-FR"/>
              </w:rPr>
              <w:t>القصر</w:t>
            </w:r>
          </w:p>
        </w:tc>
        <w:tc>
          <w:tcPr>
            <w:tcW w:w="851" w:type="dxa"/>
            <w:tcBorders>
              <w:top w:val="double" w:sz="6" w:space="0" w:color="auto"/>
              <w:bottom w:val="double" w:sz="6" w:space="0" w:color="auto"/>
            </w:tcBorders>
            <w:shd w:val="clear" w:color="auto" w:fill="auto"/>
            <w:vAlign w:val="center"/>
          </w:tcPr>
          <w:p w:rsidR="00180C88" w:rsidRPr="008A594F" w:rsidRDefault="00180C88" w:rsidP="001326BC">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1</w:t>
            </w:r>
          </w:p>
        </w:tc>
        <w:tc>
          <w:tcPr>
            <w:tcW w:w="1365" w:type="dxa"/>
            <w:tcBorders>
              <w:top w:val="double" w:sz="6" w:space="0" w:color="auto"/>
              <w:bottom w:val="double" w:sz="6" w:space="0" w:color="auto"/>
            </w:tcBorders>
            <w:shd w:val="clear" w:color="auto" w:fill="auto"/>
            <w:vAlign w:val="center"/>
          </w:tcPr>
          <w:p w:rsidR="00180C88" w:rsidRPr="008A594F" w:rsidRDefault="000E3FE0" w:rsidP="000E3FE0">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27</w:t>
            </w:r>
            <w:r w:rsidR="00180C88">
              <w:rPr>
                <w:rFonts w:ascii="Simplified Arabic" w:hAnsi="Simplified Arabic" w:cs="Simplified Arabic" w:hint="cs"/>
                <w:color w:val="000000" w:themeColor="text1"/>
                <w:sz w:val="24"/>
                <w:szCs w:val="24"/>
                <w:rtl/>
                <w:lang w:val="en-US"/>
              </w:rPr>
              <w:t>.</w:t>
            </w:r>
            <w:r>
              <w:rPr>
                <w:rFonts w:ascii="Simplified Arabic" w:hAnsi="Simplified Arabic" w:cs="Simplified Arabic" w:hint="cs"/>
                <w:color w:val="000000" w:themeColor="text1"/>
                <w:sz w:val="24"/>
                <w:szCs w:val="24"/>
                <w:rtl/>
                <w:lang w:val="en-US"/>
              </w:rPr>
              <w:t>94</w:t>
            </w:r>
          </w:p>
        </w:tc>
        <w:tc>
          <w:tcPr>
            <w:tcW w:w="2126" w:type="dxa"/>
            <w:tcBorders>
              <w:top w:val="double" w:sz="6" w:space="0" w:color="auto"/>
              <w:bottom w:val="double" w:sz="6" w:space="0" w:color="auto"/>
            </w:tcBorders>
            <w:vAlign w:val="center"/>
          </w:tcPr>
          <w:p w:rsidR="00180C88" w:rsidRPr="00D96C41" w:rsidRDefault="00180C88" w:rsidP="001326BC">
            <w:pPr>
              <w:autoSpaceDE w:val="0"/>
              <w:autoSpaceDN w:val="0"/>
              <w:bidi/>
              <w:adjustRightInd w:val="0"/>
              <w:spacing w:after="0" w:line="240" w:lineRule="auto"/>
              <w:jc w:val="center"/>
              <w:rPr>
                <w:rFonts w:asciiTheme="majorBidi" w:hAnsiTheme="majorBidi" w:cstheme="majorBidi"/>
                <w:color w:val="000000" w:themeColor="text1"/>
                <w:sz w:val="24"/>
                <w:szCs w:val="24"/>
                <w:rtl/>
                <w:lang w:val="en-US"/>
              </w:rPr>
            </w:pPr>
            <w:r w:rsidRPr="00D96C41">
              <w:rPr>
                <w:rFonts w:asciiTheme="majorBidi" w:hAnsiTheme="majorBidi" w:cstheme="majorBidi"/>
                <w:color w:val="000000" w:themeColor="text1"/>
                <w:sz w:val="24"/>
                <w:szCs w:val="24"/>
                <w:lang w:val="en-US"/>
              </w:rPr>
              <w:t>C1+C2+C3+C4+C5</w:t>
            </w:r>
          </w:p>
        </w:tc>
        <w:tc>
          <w:tcPr>
            <w:tcW w:w="992" w:type="dxa"/>
            <w:tcBorders>
              <w:top w:val="double" w:sz="6" w:space="0" w:color="auto"/>
              <w:bottom w:val="double" w:sz="6" w:space="0" w:color="auto"/>
            </w:tcBorders>
            <w:vAlign w:val="center"/>
          </w:tcPr>
          <w:p w:rsidR="00180C88" w:rsidRPr="008A594F" w:rsidRDefault="00180C88" w:rsidP="001326BC">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100</w:t>
            </w:r>
          </w:p>
        </w:tc>
        <w:tc>
          <w:tcPr>
            <w:tcW w:w="1011" w:type="dxa"/>
            <w:tcBorders>
              <w:top w:val="double" w:sz="6" w:space="0" w:color="auto"/>
              <w:bottom w:val="double" w:sz="6" w:space="0" w:color="auto"/>
              <w:right w:val="double" w:sz="6" w:space="0" w:color="auto"/>
            </w:tcBorders>
            <w:vAlign w:val="center"/>
          </w:tcPr>
          <w:p w:rsidR="00180C88" w:rsidRPr="008A594F" w:rsidRDefault="00180C88" w:rsidP="001326BC">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9F10F6">
              <w:rPr>
                <w:rFonts w:ascii="Simplified Arabic" w:hAnsi="Simplified Arabic" w:cs="Simplified Arabic" w:hint="cs"/>
                <w:color w:val="000000" w:themeColor="text1"/>
                <w:sz w:val="24"/>
                <w:szCs w:val="24"/>
                <w:rtl/>
                <w:lang w:val="en-US"/>
              </w:rPr>
              <w:t>عالي</w:t>
            </w:r>
            <w:r>
              <w:rPr>
                <w:rFonts w:ascii="Simplified Arabic" w:hAnsi="Simplified Arabic" w:cs="Simplified Arabic" w:hint="cs"/>
                <w:color w:val="000000" w:themeColor="text1"/>
                <w:sz w:val="24"/>
                <w:szCs w:val="24"/>
                <w:rtl/>
                <w:lang w:val="en-US"/>
              </w:rPr>
              <w:t>ة</w:t>
            </w:r>
            <w:r w:rsidRPr="009F10F6">
              <w:rPr>
                <w:rFonts w:ascii="Simplified Arabic" w:hAnsi="Simplified Arabic" w:cs="Simplified Arabic"/>
                <w:color w:val="000000" w:themeColor="text1"/>
                <w:sz w:val="24"/>
                <w:szCs w:val="24"/>
                <w:rtl/>
                <w:lang w:val="en-US"/>
              </w:rPr>
              <w:t xml:space="preserve"> </w:t>
            </w:r>
            <w:r w:rsidRPr="009F10F6">
              <w:rPr>
                <w:rFonts w:ascii="Simplified Arabic" w:hAnsi="Simplified Arabic" w:cs="Simplified Arabic" w:hint="cs"/>
                <w:color w:val="000000" w:themeColor="text1"/>
                <w:sz w:val="24"/>
                <w:szCs w:val="24"/>
                <w:rtl/>
                <w:lang w:val="en-US"/>
              </w:rPr>
              <w:t>جدا</w:t>
            </w:r>
          </w:p>
        </w:tc>
      </w:tr>
      <w:tr w:rsidR="00180C88" w:rsidRPr="00143C39" w:rsidTr="001326BC">
        <w:trPr>
          <w:trHeight w:val="64"/>
          <w:jc w:val="center"/>
        </w:trPr>
        <w:tc>
          <w:tcPr>
            <w:tcW w:w="1100" w:type="dxa"/>
            <w:vMerge/>
            <w:tcBorders>
              <w:left w:val="double" w:sz="6" w:space="0" w:color="auto"/>
            </w:tcBorders>
            <w:shd w:val="clear" w:color="auto" w:fill="auto"/>
            <w:vAlign w:val="center"/>
          </w:tcPr>
          <w:p w:rsidR="00180C88"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p>
        </w:tc>
        <w:tc>
          <w:tcPr>
            <w:tcW w:w="992" w:type="dxa"/>
            <w:vMerge/>
            <w:vAlign w:val="center"/>
          </w:tcPr>
          <w:p w:rsidR="00180C88" w:rsidRPr="00FA4954" w:rsidRDefault="00180C88" w:rsidP="001326BC">
            <w:pPr>
              <w:bidi/>
              <w:spacing w:after="0" w:line="240" w:lineRule="auto"/>
              <w:jc w:val="center"/>
              <w:rPr>
                <w:rFonts w:ascii="Simplified Arabic" w:eastAsia="Times New Roman" w:hAnsi="Simplified Arabic" w:cs="Simplified Arabic"/>
                <w:color w:val="000000"/>
                <w:sz w:val="24"/>
                <w:szCs w:val="24"/>
                <w:rtl/>
                <w:lang w:eastAsia="fr-FR"/>
              </w:rPr>
            </w:pPr>
          </w:p>
        </w:tc>
        <w:tc>
          <w:tcPr>
            <w:tcW w:w="851" w:type="dxa"/>
            <w:tcBorders>
              <w:top w:val="double" w:sz="6" w:space="0" w:color="auto"/>
            </w:tcBorders>
            <w:shd w:val="clear" w:color="auto" w:fill="auto"/>
            <w:vAlign w:val="center"/>
          </w:tcPr>
          <w:p w:rsidR="00180C88" w:rsidRDefault="00180C88" w:rsidP="001326BC">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2</w:t>
            </w:r>
          </w:p>
        </w:tc>
        <w:tc>
          <w:tcPr>
            <w:tcW w:w="1365" w:type="dxa"/>
            <w:tcBorders>
              <w:top w:val="double" w:sz="6" w:space="0" w:color="auto"/>
            </w:tcBorders>
            <w:shd w:val="clear" w:color="auto" w:fill="auto"/>
            <w:vAlign w:val="center"/>
          </w:tcPr>
          <w:p w:rsidR="00180C88" w:rsidRPr="001652AB" w:rsidRDefault="000E3FE0" w:rsidP="000E3FE0">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color w:val="000000" w:themeColor="text1"/>
                <w:sz w:val="24"/>
                <w:szCs w:val="24"/>
                <w:lang w:val="en-US"/>
              </w:rPr>
              <w:t>3</w:t>
            </w:r>
            <w:r w:rsidR="00180C88" w:rsidRPr="001652AB">
              <w:rPr>
                <w:rFonts w:ascii="Simplified Arabic" w:hAnsi="Simplified Arabic" w:cs="Simplified Arabic"/>
                <w:color w:val="000000" w:themeColor="text1"/>
                <w:sz w:val="24"/>
                <w:szCs w:val="24"/>
                <w:lang w:val="en-US"/>
              </w:rPr>
              <w:t>.</w:t>
            </w:r>
            <w:r>
              <w:rPr>
                <w:rFonts w:ascii="Simplified Arabic" w:hAnsi="Simplified Arabic" w:cs="Simplified Arabic"/>
                <w:color w:val="000000" w:themeColor="text1"/>
                <w:sz w:val="24"/>
                <w:szCs w:val="24"/>
                <w:lang w:val="en-US"/>
              </w:rPr>
              <w:t>00</w:t>
            </w:r>
          </w:p>
        </w:tc>
        <w:tc>
          <w:tcPr>
            <w:tcW w:w="2126" w:type="dxa"/>
            <w:tcBorders>
              <w:top w:val="double" w:sz="6" w:space="0" w:color="auto"/>
            </w:tcBorders>
            <w:vAlign w:val="center"/>
          </w:tcPr>
          <w:p w:rsidR="00180C88" w:rsidRPr="007E3E5B" w:rsidRDefault="00180C88" w:rsidP="001326BC">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C3+C4+C5</w:t>
            </w:r>
          </w:p>
        </w:tc>
        <w:tc>
          <w:tcPr>
            <w:tcW w:w="992" w:type="dxa"/>
            <w:tcBorders>
              <w:top w:val="double" w:sz="6" w:space="0" w:color="auto"/>
            </w:tcBorders>
            <w:vAlign w:val="center"/>
          </w:tcPr>
          <w:p w:rsidR="00180C88" w:rsidRPr="007E3E5B" w:rsidRDefault="00180C88" w:rsidP="001326BC">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58,84</w:t>
            </w:r>
          </w:p>
        </w:tc>
        <w:tc>
          <w:tcPr>
            <w:tcW w:w="1011" w:type="dxa"/>
            <w:tcBorders>
              <w:top w:val="double" w:sz="6" w:space="0" w:color="auto"/>
              <w:right w:val="double" w:sz="6" w:space="0" w:color="auto"/>
            </w:tcBorders>
            <w:vAlign w:val="center"/>
          </w:tcPr>
          <w:p w:rsidR="00180C88" w:rsidRPr="008A594F" w:rsidRDefault="00180C88" w:rsidP="001326BC">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مقبولة</w:t>
            </w:r>
            <w:r w:rsidRPr="009F10F6">
              <w:rPr>
                <w:rFonts w:ascii="Simplified Arabic" w:hAnsi="Simplified Arabic" w:cs="Simplified Arabic"/>
                <w:color w:val="000000" w:themeColor="text1"/>
                <w:sz w:val="24"/>
                <w:szCs w:val="24"/>
                <w:rtl/>
                <w:lang w:val="en-US"/>
              </w:rPr>
              <w:t xml:space="preserve"> </w:t>
            </w:r>
          </w:p>
        </w:tc>
      </w:tr>
    </w:tbl>
    <w:p w:rsidR="00180C88" w:rsidRPr="00180C88" w:rsidRDefault="00180C88" w:rsidP="00180C88">
      <w:pPr>
        <w:pStyle w:val="Paragraphedeliste"/>
        <w:numPr>
          <w:ilvl w:val="0"/>
          <w:numId w:val="69"/>
        </w:numPr>
        <w:autoSpaceDE w:val="0"/>
        <w:autoSpaceDN w:val="0"/>
        <w:bidi/>
        <w:adjustRightInd w:val="0"/>
        <w:spacing w:before="240" w:after="0"/>
        <w:ind w:left="0" w:firstLine="283"/>
        <w:jc w:val="both"/>
        <w:rPr>
          <w:rFonts w:ascii="Simplified Arabic" w:hAnsi="Simplified Arabic" w:cs="Simplified Arabic"/>
          <w:sz w:val="24"/>
          <w:szCs w:val="24"/>
          <w:rtl/>
          <w:lang w:val="en-US" w:bidi="ar-DZ"/>
        </w:rPr>
      </w:pPr>
      <w:r w:rsidRPr="00180C88">
        <w:rPr>
          <w:rFonts w:ascii="Simplified Arabic" w:hAnsi="Simplified Arabic" w:cs="Simplified Arabic" w:hint="cs"/>
          <w:sz w:val="24"/>
          <w:szCs w:val="24"/>
          <w:rtl/>
          <w:lang w:val="en-US" w:bidi="ar-DZ"/>
        </w:rPr>
        <w:lastRenderedPageBreak/>
        <w:t>من</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الناحية</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المكانية، يظهر</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 xml:space="preserve">حي </w:t>
      </w:r>
      <w:r w:rsidRPr="00180C88">
        <w:rPr>
          <w:rFonts w:ascii="Simplified Arabic" w:hAnsi="Simplified Arabic" w:cs="Simplified Arabic" w:hint="cs"/>
          <w:sz w:val="24"/>
          <w:szCs w:val="24"/>
          <w:rtl/>
        </w:rPr>
        <w:t>بلاتو</w:t>
      </w:r>
      <w:r w:rsidRPr="00180C88">
        <w:rPr>
          <w:rFonts w:ascii="Simplified Arabic" w:hAnsi="Simplified Arabic" w:cs="Simplified Arabic" w:hint="cs"/>
          <w:sz w:val="24"/>
          <w:szCs w:val="24"/>
          <w:rtl/>
          <w:lang w:val="en-US" w:bidi="ar-DZ"/>
        </w:rPr>
        <w:t>،</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توزيع</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أنواع مختلفة من المرافق،</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bidi="ar-DZ"/>
        </w:rPr>
        <w:t>يتبع</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نمطًا</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مبعثرًا</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 xml:space="preserve">كما هو موضح في الخريطة </w:t>
      </w:r>
      <w:r w:rsidRPr="00180C88">
        <w:rPr>
          <w:rFonts w:ascii="Simplified Arabic" w:hAnsi="Simplified Arabic" w:cs="Simplified Arabic"/>
          <w:sz w:val="24"/>
          <w:szCs w:val="24"/>
          <w:rtl/>
          <w:lang w:bidi="ar-DZ"/>
        </w:rPr>
        <w:t>(</w:t>
      </w:r>
      <w:r w:rsidRPr="00180C88">
        <w:rPr>
          <w:rFonts w:ascii="Simplified Arabic" w:hAnsi="Simplified Arabic" w:cs="Simplified Arabic" w:hint="cs"/>
          <w:sz w:val="24"/>
          <w:szCs w:val="24"/>
          <w:rtl/>
          <w:lang w:bidi="ar-DZ"/>
        </w:rPr>
        <w:t>6-11</w:t>
      </w:r>
      <w:r w:rsidRPr="00180C88">
        <w:rPr>
          <w:rFonts w:ascii="Simplified Arabic" w:hAnsi="Simplified Arabic" w:cs="Simplified Arabic"/>
          <w:sz w:val="24"/>
          <w:szCs w:val="24"/>
          <w:rtl/>
          <w:lang w:bidi="ar-DZ"/>
        </w:rPr>
        <w:t>)</w:t>
      </w:r>
      <w:r w:rsidRPr="00180C88">
        <w:rPr>
          <w:rFonts w:ascii="Simplified Arabic" w:hAnsi="Simplified Arabic" w:cs="Simplified Arabic" w:hint="cs"/>
          <w:sz w:val="24"/>
          <w:szCs w:val="24"/>
          <w:rtl/>
          <w:lang w:bidi="ar-DZ"/>
        </w:rPr>
        <w:t xml:space="preserve">، مع تركيز اعلى للمرافق في الجزء الشمالي للحي. </w:t>
      </w:r>
    </w:p>
    <w:p w:rsidR="00180C88" w:rsidRDefault="00180C88" w:rsidP="00986BEA">
      <w:pPr>
        <w:pStyle w:val="carte"/>
        <w:spacing w:after="0"/>
        <w:rPr>
          <w:rtl/>
          <w:lang w:bidi="ar-DZ"/>
        </w:rPr>
      </w:pPr>
      <w:bookmarkStart w:id="922" w:name="_Toc157613016"/>
      <w:bookmarkStart w:id="923" w:name="_Toc157616619"/>
      <w:bookmarkStart w:id="924" w:name="_Toc171803859"/>
      <w:r w:rsidRPr="005373F7">
        <w:rPr>
          <w:rFonts w:hint="cs"/>
          <w:rtl/>
          <w:lang w:bidi="ar-DZ"/>
        </w:rPr>
        <w:t>الخريطة (6-11) تنوع المرافق على مستوى حي بلاتو</w:t>
      </w:r>
      <w:bookmarkEnd w:id="922"/>
      <w:bookmarkEnd w:id="923"/>
      <w:bookmarkEnd w:id="924"/>
    </w:p>
    <w:p w:rsidR="00986BEA" w:rsidRPr="00986BEA" w:rsidRDefault="00986BEA" w:rsidP="00986BEA">
      <w:pPr>
        <w:pStyle w:val="fegure"/>
        <w:rPr>
          <w:sz w:val="8"/>
          <w:szCs w:val="24"/>
          <w:rtl/>
          <w:lang w:val="en-US"/>
        </w:rPr>
      </w:pPr>
      <w:bookmarkStart w:id="925" w:name="_Toc171803860"/>
      <w:r>
        <w:rPr>
          <w:rFonts w:hint="cs"/>
          <w:sz w:val="8"/>
          <w:szCs w:val="24"/>
          <w:rtl/>
          <w:lang w:val="en-US" w:bidi="ar-DZ"/>
        </w:rPr>
        <w:t xml:space="preserve">المصدر: </w:t>
      </w:r>
      <w:r>
        <w:rPr>
          <w:rFonts w:hint="cs"/>
          <w:sz w:val="8"/>
          <w:szCs w:val="24"/>
          <w:rtl/>
          <w:lang w:val="en-US"/>
        </w:rPr>
        <w:t>(الباحث، 2022)</w:t>
      </w:r>
      <w:bookmarkEnd w:id="925"/>
    </w:p>
    <w:p w:rsidR="00180C88" w:rsidRDefault="00180C88" w:rsidP="00180C88">
      <w:pPr>
        <w:autoSpaceDE w:val="0"/>
        <w:autoSpaceDN w:val="0"/>
        <w:bidi/>
        <w:adjustRightInd w:val="0"/>
        <w:spacing w:after="0" w:line="240" w:lineRule="auto"/>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101C9CA7" wp14:editId="34B26206">
            <wp:extent cx="3243532" cy="3958775"/>
            <wp:effectExtent l="0" t="0" r="0" b="3810"/>
            <wp:docPr id="237" name="Imag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23" cstate="print">
                      <a:extLst>
                        <a:ext uri="{28A0092B-C50C-407E-A947-70E740481C1C}">
                          <a14:useLocalDpi xmlns:a14="http://schemas.microsoft.com/office/drawing/2010/main" val="0"/>
                        </a:ext>
                      </a:extLst>
                    </a:blip>
                    <a:srcRect t="8395"/>
                    <a:stretch/>
                  </pic:blipFill>
                  <pic:spPr bwMode="auto">
                    <a:xfrm>
                      <a:off x="0" y="0"/>
                      <a:ext cx="3248876" cy="3965298"/>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hint="cs"/>
          <w:sz w:val="24"/>
          <w:szCs w:val="24"/>
          <w:rtl/>
          <w:lang w:bidi="ar-DZ"/>
        </w:rPr>
        <w:t xml:space="preserve"> </w:t>
      </w:r>
    </w:p>
    <w:p w:rsidR="00F0667B" w:rsidRDefault="00F0667B" w:rsidP="00180C88">
      <w:pPr>
        <w:autoSpaceDE w:val="0"/>
        <w:autoSpaceDN w:val="0"/>
        <w:bidi/>
        <w:adjustRightInd w:val="0"/>
        <w:spacing w:before="240" w:after="0"/>
        <w:ind w:firstLine="282"/>
        <w:jc w:val="both"/>
        <w:rPr>
          <w:rFonts w:ascii="Simplified Arabic" w:hAnsi="Simplified Arabic" w:cs="Simplified Arabic"/>
          <w:sz w:val="24"/>
          <w:szCs w:val="24"/>
          <w:rtl/>
          <w:lang w:bidi="ar-DZ"/>
        </w:rPr>
      </w:pPr>
      <w:r w:rsidRPr="00DD2046">
        <w:rPr>
          <w:rFonts w:ascii="Simplified Arabic" w:hAnsi="Simplified Arabic" w:cs="Simplified Arabic" w:hint="cs"/>
          <w:sz w:val="24"/>
          <w:szCs w:val="24"/>
          <w:rtl/>
          <w:lang w:bidi="ar-DZ"/>
        </w:rPr>
        <w:t>تشير</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دراسة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التنوع</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val="en-US" w:bidi="ar-DZ"/>
        </w:rPr>
        <w:t xml:space="preserve">في </w:t>
      </w:r>
      <w:r w:rsidRPr="00040621">
        <w:rPr>
          <w:rFonts w:ascii="Simplified Arabic" w:hAnsi="Simplified Arabic" w:cs="Simplified Arabic" w:hint="cs"/>
          <w:sz w:val="24"/>
          <w:szCs w:val="24"/>
          <w:rtl/>
          <w:lang w:val="en-US" w:bidi="ar-DZ"/>
        </w:rPr>
        <w:t xml:space="preserve">حي </w:t>
      </w:r>
      <w:r w:rsidRPr="00FA4954">
        <w:rPr>
          <w:rFonts w:ascii="Simplified Arabic" w:eastAsia="Times New Roman" w:hAnsi="Simplified Arabic" w:cs="Simplified Arabic"/>
          <w:color w:val="000000"/>
          <w:sz w:val="24"/>
          <w:szCs w:val="24"/>
          <w:rtl/>
          <w:lang w:eastAsia="fr-FR"/>
        </w:rPr>
        <w:t>بلاتو</w:t>
      </w:r>
      <w:r>
        <w:rPr>
          <w:rFonts w:ascii="Simplified Arabic" w:hAnsi="Simplified Arabic" w:cs="Simplified Arabic" w:hint="cs"/>
          <w:sz w:val="24"/>
          <w:szCs w:val="24"/>
          <w:rtl/>
        </w:rPr>
        <w:t>، الواقع ضمن فئة النسيج الحضري (ب)</w:t>
      </w:r>
      <w:r w:rsidRPr="007708D9">
        <w:rPr>
          <w:rFonts w:ascii="Simplified Arabic" w:hAnsi="Simplified Arabic" w:cs="Simplified Arabic" w:hint="cs"/>
          <w:sz w:val="24"/>
          <w:szCs w:val="24"/>
          <w:rtl/>
          <w:lang w:val="en-US" w:bidi="ar-DZ"/>
        </w:rPr>
        <w:t>،</w:t>
      </w:r>
      <w:r w:rsidRPr="00040621">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الى توفر العديد من انواع المرافق</w:t>
      </w:r>
      <w:r w:rsidR="00EA11D7">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يمكن الوصول اليها ضمن عتبة المسافة المعيارية النظرية. </w:t>
      </w:r>
      <w:r w:rsidRPr="004E1B18">
        <w:rPr>
          <w:rFonts w:ascii="Simplified Arabic" w:hAnsi="Simplified Arabic" w:cs="Simplified Arabic" w:hint="cs"/>
          <w:sz w:val="24"/>
          <w:szCs w:val="24"/>
          <w:rtl/>
          <w:lang w:val="en-US" w:bidi="ar-DZ"/>
        </w:rPr>
        <w:t>يظهر</w:t>
      </w:r>
      <w:r w:rsidRPr="004E1B18">
        <w:rPr>
          <w:rFonts w:ascii="Simplified Arabic" w:hAnsi="Simplified Arabic" w:cs="Simplified Arabic"/>
          <w:sz w:val="24"/>
          <w:szCs w:val="24"/>
          <w:rtl/>
          <w:lang w:val="en-US" w:bidi="ar-DZ"/>
        </w:rPr>
        <w:t xml:space="preserve"> </w:t>
      </w:r>
      <w:r w:rsidR="003337FD">
        <w:rPr>
          <w:rFonts w:ascii="Simplified Arabic" w:hAnsi="Simplified Arabic" w:cs="Simplified Arabic" w:hint="cs"/>
          <w:sz w:val="24"/>
          <w:szCs w:val="24"/>
          <w:rtl/>
        </w:rPr>
        <w:t>استعمالات</w:t>
      </w:r>
      <w:r>
        <w:rPr>
          <w:rFonts w:ascii="Simplified Arabic" w:hAnsi="Simplified Arabic" w:cs="Simplified Arabic" w:hint="cs"/>
          <w:sz w:val="24"/>
          <w:szCs w:val="24"/>
          <w:rtl/>
          <w:lang w:val="en-US" w:bidi="ar-DZ"/>
        </w:rPr>
        <w:t xml:space="preserve"> الارض ان المساحة مغطاة </w:t>
      </w:r>
      <w:r w:rsidR="00943107">
        <w:rPr>
          <w:rFonts w:ascii="Simplified Arabic" w:hAnsi="Simplified Arabic" w:cs="Simplified Arabic" w:hint="cs"/>
          <w:sz w:val="24"/>
          <w:szCs w:val="24"/>
          <w:rtl/>
          <w:lang w:val="en-US" w:bidi="ar-DZ"/>
        </w:rPr>
        <w:t>بالخدم</w:t>
      </w:r>
      <w:r w:rsidR="002F2E6E">
        <w:rPr>
          <w:rFonts w:ascii="Simplified Arabic" w:hAnsi="Simplified Arabic" w:cs="Simplified Arabic" w:hint="cs"/>
          <w:sz w:val="24"/>
          <w:szCs w:val="24"/>
          <w:rtl/>
          <w:lang w:val="en-US" w:bidi="ar-DZ"/>
        </w:rPr>
        <w:t>ات</w:t>
      </w:r>
      <w:r w:rsidR="00943107">
        <w:rPr>
          <w:rFonts w:ascii="Simplified Arabic" w:hAnsi="Simplified Arabic" w:cs="Simplified Arabic" w:hint="cs"/>
          <w:sz w:val="24"/>
          <w:szCs w:val="24"/>
          <w:rtl/>
          <w:lang w:val="en-US" w:bidi="ar-DZ"/>
        </w:rPr>
        <w:t>، تساوي</w:t>
      </w:r>
      <w:r>
        <w:rPr>
          <w:rFonts w:ascii="Simplified Arabic" w:hAnsi="Simplified Arabic" w:cs="Simplified Arabic" w:hint="cs"/>
          <w:sz w:val="24"/>
          <w:szCs w:val="24"/>
          <w:rtl/>
          <w:lang w:val="en-US" w:bidi="ar-DZ"/>
        </w:rPr>
        <w:t xml:space="preserve"> </w:t>
      </w:r>
      <w:r w:rsidR="00943107">
        <w:rPr>
          <w:rFonts w:ascii="Simplified Arabic" w:hAnsi="Simplified Arabic" w:cs="Simplified Arabic" w:hint="cs"/>
          <w:sz w:val="24"/>
          <w:szCs w:val="24"/>
          <w:rtl/>
          <w:lang w:val="en-US" w:bidi="ar-DZ"/>
        </w:rPr>
        <w:t>54</w:t>
      </w:r>
      <w:r>
        <w:rPr>
          <w:rFonts w:ascii="Simplified Arabic" w:hAnsi="Simplified Arabic" w:cs="Simplified Arabic" w:hint="cs"/>
          <w:sz w:val="24"/>
          <w:szCs w:val="24"/>
          <w:rtl/>
          <w:lang w:val="en-US" w:bidi="ar-DZ"/>
        </w:rPr>
        <w:t>.</w:t>
      </w:r>
      <w:r w:rsidR="00943107">
        <w:rPr>
          <w:rFonts w:ascii="Simplified Arabic" w:hAnsi="Simplified Arabic" w:cs="Simplified Arabic" w:hint="cs"/>
          <w:sz w:val="24"/>
          <w:szCs w:val="24"/>
          <w:rtl/>
          <w:lang w:val="en-US" w:bidi="ar-DZ"/>
        </w:rPr>
        <w:t>04</w:t>
      </w:r>
      <w:r>
        <w:rPr>
          <w:rFonts w:ascii="Simplified Arabic" w:hAnsi="Simplified Arabic" w:cs="Simplified Arabic" w:hint="cs"/>
          <w:sz w:val="24"/>
          <w:szCs w:val="24"/>
          <w:rtl/>
          <w:lang w:val="en-US" w:bidi="ar-DZ"/>
        </w:rPr>
        <w:t xml:space="preserve"> هكتار وقيمة تنوع 100</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w:t>
      </w:r>
      <w:r w:rsidRPr="00DD2046">
        <w:rPr>
          <w:rFonts w:ascii="Simplified Arabic" w:hAnsi="Simplified Arabic" w:cs="Simplified Arabic" w:hint="cs"/>
          <w:sz w:val="24"/>
          <w:szCs w:val="24"/>
          <w:rtl/>
          <w:lang w:bidi="ar-DZ"/>
        </w:rPr>
        <w:t>مما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يعني</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جميع </w:t>
      </w:r>
      <w:r w:rsidRPr="00DD2046">
        <w:rPr>
          <w:rFonts w:ascii="Simplified Arabic" w:hAnsi="Simplified Arabic" w:cs="Simplified Arabic" w:hint="cs"/>
          <w:sz w:val="24"/>
          <w:szCs w:val="24"/>
          <w:rtl/>
          <w:lang w:bidi="ar-DZ"/>
        </w:rPr>
        <w:t>فئات</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المرافق</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المختلفة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يتم</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تمثيلها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في</w:t>
      </w:r>
      <w:r w:rsidRPr="00DD2046">
        <w:rPr>
          <w:rFonts w:ascii="Simplified Arabic" w:hAnsi="Simplified Arabic" w:cs="Simplified Arabic"/>
          <w:sz w:val="24"/>
          <w:szCs w:val="24"/>
          <w:rtl/>
          <w:lang w:bidi="ar-DZ"/>
        </w:rPr>
        <w:t xml:space="preserve"> </w:t>
      </w:r>
      <w:r w:rsidR="00943107">
        <w:rPr>
          <w:rFonts w:ascii="Simplified Arabic" w:hAnsi="Simplified Arabic" w:cs="Simplified Arabic" w:hint="cs"/>
          <w:sz w:val="24"/>
          <w:szCs w:val="24"/>
          <w:rtl/>
          <w:lang w:bidi="ar-DZ"/>
        </w:rPr>
        <w:t>اغلب</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أنحاء</w:t>
      </w:r>
      <w:r w:rsidR="00943107">
        <w:rPr>
          <w:rFonts w:ascii="Simplified Arabic" w:hAnsi="Simplified Arabic" w:cs="Simplified Arabic" w:hint="cs"/>
          <w:sz w:val="24"/>
          <w:szCs w:val="24"/>
          <w:rtl/>
          <w:lang w:bidi="ar-DZ"/>
        </w:rPr>
        <w:t xml:space="preserve"> الحي و</w:t>
      </w:r>
      <w:r>
        <w:rPr>
          <w:rFonts w:ascii="Simplified Arabic" w:hAnsi="Simplified Arabic" w:cs="Simplified Arabic" w:hint="cs"/>
          <w:sz w:val="24"/>
          <w:szCs w:val="24"/>
          <w:rtl/>
          <w:lang w:bidi="ar-DZ"/>
        </w:rPr>
        <w:t xml:space="preserve">يمنح درجة عالية جدا من التنوع، </w:t>
      </w:r>
      <w:r w:rsidR="0030771E">
        <w:rPr>
          <w:rFonts w:ascii="Simplified Arabic" w:hAnsi="Simplified Arabic" w:cs="Simplified Arabic" w:hint="cs"/>
          <w:sz w:val="24"/>
          <w:szCs w:val="24"/>
          <w:rtl/>
          <w:lang w:bidi="ar-DZ"/>
        </w:rPr>
        <w:t xml:space="preserve">تبدا درجة التنوع في التناقص كلما </w:t>
      </w:r>
      <w:r w:rsidR="00A01128">
        <w:rPr>
          <w:rFonts w:ascii="Simplified Arabic" w:hAnsi="Simplified Arabic" w:cs="Simplified Arabic" w:hint="cs"/>
          <w:sz w:val="24"/>
          <w:szCs w:val="24"/>
          <w:rtl/>
          <w:lang w:bidi="ar-DZ"/>
        </w:rPr>
        <w:t>ا</w:t>
      </w:r>
      <w:r w:rsidR="0030771E">
        <w:rPr>
          <w:rFonts w:ascii="Simplified Arabic" w:hAnsi="Simplified Arabic" w:cs="Simplified Arabic" w:hint="cs"/>
          <w:sz w:val="24"/>
          <w:szCs w:val="24"/>
          <w:rtl/>
          <w:lang w:bidi="ar-DZ"/>
        </w:rPr>
        <w:t xml:space="preserve">تجهنا نحو هوامش الحي، </w:t>
      </w:r>
      <w:r>
        <w:rPr>
          <w:rFonts w:ascii="Simplified Arabic" w:hAnsi="Simplified Arabic" w:cs="Simplified Arabic" w:hint="cs"/>
          <w:sz w:val="24"/>
          <w:szCs w:val="24"/>
          <w:rtl/>
          <w:lang w:bidi="ar-DZ"/>
        </w:rPr>
        <w:t>الجدول (6-</w:t>
      </w:r>
      <w:r w:rsidR="00F377EC">
        <w:rPr>
          <w:rFonts w:ascii="Simplified Arabic" w:hAnsi="Simplified Arabic" w:cs="Simplified Arabic" w:hint="cs"/>
          <w:sz w:val="24"/>
          <w:szCs w:val="24"/>
          <w:rtl/>
          <w:lang w:bidi="ar-DZ"/>
        </w:rPr>
        <w:t>6</w:t>
      </w:r>
      <w:r>
        <w:rPr>
          <w:rFonts w:ascii="Simplified Arabic" w:hAnsi="Simplified Arabic" w:cs="Simplified Arabic" w:hint="cs"/>
          <w:sz w:val="24"/>
          <w:szCs w:val="24"/>
          <w:rtl/>
          <w:lang w:bidi="ar-DZ"/>
        </w:rPr>
        <w:t>)</w:t>
      </w:r>
      <w:r w:rsidRPr="00DD2046">
        <w:rPr>
          <w:rFonts w:ascii="Simplified Arabic" w:hAnsi="Simplified Arabic" w:cs="Simplified Arabic"/>
          <w:sz w:val="24"/>
          <w:szCs w:val="24"/>
          <w:rtl/>
          <w:lang w:bidi="ar-DZ"/>
        </w:rPr>
        <w:t>.</w:t>
      </w:r>
    </w:p>
    <w:p w:rsidR="00710400" w:rsidRDefault="00710400" w:rsidP="00637C32">
      <w:pPr>
        <w:pStyle w:val="Tableau"/>
        <w:rPr>
          <w:rFonts w:eastAsia="Times New Roman"/>
          <w:color w:val="000000"/>
          <w:rtl/>
          <w:lang w:eastAsia="fr-FR"/>
        </w:rPr>
      </w:pPr>
      <w:bookmarkStart w:id="926" w:name="_Toc157613015"/>
      <w:bookmarkStart w:id="927" w:name="_Toc171803861"/>
      <w:r>
        <w:rPr>
          <w:rFonts w:hint="cs"/>
          <w:rtl/>
          <w:lang w:val="en-US" w:bidi="ar-DZ"/>
        </w:rPr>
        <w:t>الجدول (6-</w:t>
      </w:r>
      <w:r w:rsidR="00F377EC">
        <w:rPr>
          <w:rFonts w:hint="cs"/>
          <w:rtl/>
          <w:lang w:val="en-US" w:bidi="ar-DZ"/>
        </w:rPr>
        <w:t>6</w:t>
      </w:r>
      <w:r>
        <w:rPr>
          <w:rFonts w:hint="cs"/>
          <w:rtl/>
          <w:lang w:val="en-US" w:bidi="ar-DZ"/>
        </w:rPr>
        <w:t xml:space="preserve">): </w:t>
      </w:r>
      <w:r w:rsidRPr="002759D5">
        <w:rPr>
          <w:rFonts w:hint="cs"/>
          <w:rtl/>
          <w:lang w:bidi="ar-DZ"/>
        </w:rPr>
        <w:t>تصنيف</w:t>
      </w:r>
      <w:r w:rsidRPr="002759D5">
        <w:rPr>
          <w:rtl/>
          <w:lang w:bidi="ar-DZ"/>
        </w:rPr>
        <w:t xml:space="preserve"> </w:t>
      </w:r>
      <w:r>
        <w:rPr>
          <w:rFonts w:hint="cs"/>
          <w:rtl/>
        </w:rPr>
        <w:t xml:space="preserve">تنوع </w:t>
      </w:r>
      <w:r>
        <w:rPr>
          <w:rFonts w:eastAsia="Times New Roman" w:hint="cs"/>
          <w:color w:val="000000"/>
          <w:rtl/>
          <w:lang w:eastAsia="fr-FR"/>
        </w:rPr>
        <w:t>المرافق ب</w:t>
      </w:r>
      <w:r w:rsidRPr="00040621">
        <w:rPr>
          <w:rFonts w:hint="cs"/>
          <w:rtl/>
          <w:lang w:val="en-US" w:bidi="ar-DZ"/>
        </w:rPr>
        <w:t xml:space="preserve">حي </w:t>
      </w:r>
      <w:r w:rsidR="00F0667B" w:rsidRPr="00FA4954">
        <w:rPr>
          <w:rFonts w:eastAsia="Times New Roman"/>
          <w:color w:val="000000"/>
          <w:rtl/>
          <w:lang w:eastAsia="fr-FR"/>
        </w:rPr>
        <w:t>بلاتو</w:t>
      </w:r>
      <w:bookmarkEnd w:id="926"/>
      <w:bookmarkEnd w:id="927"/>
    </w:p>
    <w:p w:rsidR="00986BEA" w:rsidRPr="00986BEA" w:rsidRDefault="00986BEA" w:rsidP="00986BEA">
      <w:pPr>
        <w:pStyle w:val="fegure"/>
        <w:rPr>
          <w:sz w:val="8"/>
          <w:szCs w:val="24"/>
          <w:rtl/>
          <w:lang w:val="en-US"/>
        </w:rPr>
      </w:pPr>
      <w:bookmarkStart w:id="928" w:name="_Toc171803862"/>
      <w:r>
        <w:rPr>
          <w:rFonts w:hint="cs"/>
          <w:sz w:val="8"/>
          <w:szCs w:val="24"/>
          <w:rtl/>
          <w:lang w:val="en-US" w:bidi="ar-DZ"/>
        </w:rPr>
        <w:t xml:space="preserve">المصدر: </w:t>
      </w:r>
      <w:r>
        <w:rPr>
          <w:rFonts w:hint="cs"/>
          <w:sz w:val="8"/>
          <w:szCs w:val="24"/>
          <w:rtl/>
          <w:lang w:val="en-US"/>
        </w:rPr>
        <w:t>(الباحث، 2022)</w:t>
      </w:r>
      <w:bookmarkEnd w:id="92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7"/>
        <w:gridCol w:w="1222"/>
        <w:gridCol w:w="708"/>
        <w:gridCol w:w="876"/>
        <w:gridCol w:w="2101"/>
        <w:gridCol w:w="992"/>
        <w:gridCol w:w="1418"/>
      </w:tblGrid>
      <w:tr w:rsidR="009749C2" w:rsidRPr="00143C39" w:rsidTr="00F54A68">
        <w:trPr>
          <w:trHeight w:val="449"/>
          <w:jc w:val="center"/>
        </w:trPr>
        <w:tc>
          <w:tcPr>
            <w:tcW w:w="1207" w:type="dxa"/>
            <w:tcBorders>
              <w:top w:val="double" w:sz="6" w:space="0" w:color="auto"/>
              <w:left w:val="double" w:sz="6" w:space="0" w:color="auto"/>
              <w:bottom w:val="double" w:sz="6" w:space="0" w:color="auto"/>
            </w:tcBorders>
            <w:shd w:val="clear" w:color="auto" w:fill="auto"/>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فئة النسيج الحضري</w:t>
            </w:r>
          </w:p>
        </w:tc>
        <w:tc>
          <w:tcPr>
            <w:tcW w:w="1222" w:type="dxa"/>
            <w:tcBorders>
              <w:top w:val="double" w:sz="6" w:space="0" w:color="auto"/>
              <w:bottom w:val="double" w:sz="6" w:space="0" w:color="auto"/>
            </w:tcBorders>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اسم الحي</w:t>
            </w:r>
            <w:r>
              <w:rPr>
                <w:rFonts w:ascii="Simplified Arabic" w:eastAsia="Times New Roman" w:hAnsi="Simplified Arabic" w:cs="Simplified Arabic" w:hint="cs"/>
                <w:color w:val="000000"/>
                <w:sz w:val="24"/>
                <w:szCs w:val="24"/>
                <w:rtl/>
                <w:lang w:eastAsia="fr-FR"/>
              </w:rPr>
              <w:t xml:space="preserve"> السكني</w:t>
            </w:r>
          </w:p>
        </w:tc>
        <w:tc>
          <w:tcPr>
            <w:tcW w:w="708" w:type="dxa"/>
            <w:tcBorders>
              <w:top w:val="double" w:sz="6" w:space="0" w:color="auto"/>
              <w:bottom w:val="double" w:sz="6" w:space="0" w:color="auto"/>
            </w:tcBorders>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المنطقة</w:t>
            </w:r>
          </w:p>
        </w:tc>
        <w:tc>
          <w:tcPr>
            <w:tcW w:w="876" w:type="dxa"/>
            <w:tcBorders>
              <w:top w:val="double" w:sz="6" w:space="0" w:color="auto"/>
              <w:bottom w:val="double" w:sz="6" w:space="0" w:color="auto"/>
            </w:tcBorders>
            <w:vAlign w:val="center"/>
          </w:tcPr>
          <w:p w:rsidR="009749C2" w:rsidRPr="008A594F"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المساحة (هك)</w:t>
            </w:r>
          </w:p>
        </w:tc>
        <w:tc>
          <w:tcPr>
            <w:tcW w:w="2101" w:type="dxa"/>
            <w:tcBorders>
              <w:top w:val="double" w:sz="6" w:space="0" w:color="auto"/>
              <w:bottom w:val="double" w:sz="6" w:space="0" w:color="auto"/>
            </w:tcBorders>
            <w:vAlign w:val="center"/>
          </w:tcPr>
          <w:p w:rsidR="009749C2"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نوع المرفق (رمز المعيار)</w:t>
            </w:r>
          </w:p>
        </w:tc>
        <w:tc>
          <w:tcPr>
            <w:tcW w:w="992" w:type="dxa"/>
            <w:tcBorders>
              <w:top w:val="double" w:sz="6" w:space="0" w:color="auto"/>
              <w:bottom w:val="double" w:sz="6" w:space="0" w:color="auto"/>
            </w:tcBorders>
            <w:vAlign w:val="center"/>
          </w:tcPr>
          <w:p w:rsidR="009749C2" w:rsidRDefault="009749C2" w:rsidP="00B13406">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قيمة التنوع</w:t>
            </w:r>
          </w:p>
          <w:p w:rsidR="009749C2" w:rsidRPr="009F10F6"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w:t>
            </w:r>
          </w:p>
        </w:tc>
        <w:tc>
          <w:tcPr>
            <w:tcW w:w="1418" w:type="dxa"/>
            <w:tcBorders>
              <w:top w:val="double" w:sz="6" w:space="0" w:color="auto"/>
              <w:bottom w:val="double" w:sz="6" w:space="0" w:color="auto"/>
              <w:right w:val="double" w:sz="6" w:space="0" w:color="auto"/>
            </w:tcBorders>
            <w:vAlign w:val="center"/>
          </w:tcPr>
          <w:p w:rsidR="009749C2" w:rsidRDefault="0030771E" w:rsidP="00B13406">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درجة</w:t>
            </w:r>
            <w:r w:rsidR="009749C2" w:rsidRPr="002759D5">
              <w:rPr>
                <w:rFonts w:ascii="Simplified Arabic" w:hAnsi="Simplified Arabic" w:cs="Simplified Arabic"/>
                <w:sz w:val="24"/>
                <w:szCs w:val="24"/>
                <w:rtl/>
                <w:lang w:bidi="ar-DZ"/>
              </w:rPr>
              <w:t xml:space="preserve"> </w:t>
            </w:r>
            <w:r w:rsidR="009749C2" w:rsidRPr="002759D5">
              <w:rPr>
                <w:rFonts w:ascii="Simplified Arabic" w:hAnsi="Simplified Arabic" w:cs="Simplified Arabic" w:hint="cs"/>
                <w:sz w:val="24"/>
                <w:szCs w:val="24"/>
                <w:rtl/>
                <w:lang w:bidi="ar-DZ"/>
              </w:rPr>
              <w:t>التنوع</w:t>
            </w:r>
          </w:p>
        </w:tc>
      </w:tr>
      <w:tr w:rsidR="009749C2" w:rsidRPr="00143C39" w:rsidTr="00F54A68">
        <w:trPr>
          <w:trHeight w:val="64"/>
          <w:jc w:val="center"/>
        </w:trPr>
        <w:tc>
          <w:tcPr>
            <w:tcW w:w="1207" w:type="dxa"/>
            <w:vMerge w:val="restart"/>
            <w:tcBorders>
              <w:top w:val="double" w:sz="6" w:space="0" w:color="auto"/>
              <w:left w:val="double" w:sz="6" w:space="0" w:color="auto"/>
            </w:tcBorders>
            <w:shd w:val="clear" w:color="auto" w:fill="auto"/>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w:t>
            </w:r>
            <w:r w:rsidR="002E0AAE">
              <w:rPr>
                <w:rFonts w:ascii="Simplified Arabic" w:eastAsia="Times New Roman" w:hAnsi="Simplified Arabic" w:cs="Simplified Arabic" w:hint="cs"/>
                <w:color w:val="000000"/>
                <w:sz w:val="24"/>
                <w:szCs w:val="24"/>
                <w:rtl/>
                <w:lang w:eastAsia="fr-FR"/>
              </w:rPr>
              <w:t>(</w:t>
            </w:r>
            <w:r w:rsidRPr="00143C39">
              <w:rPr>
                <w:rFonts w:ascii="Simplified Arabic" w:eastAsia="Times New Roman" w:hAnsi="Simplified Arabic" w:cs="Simplified Arabic"/>
                <w:color w:val="000000"/>
                <w:sz w:val="24"/>
                <w:szCs w:val="24"/>
                <w:rtl/>
                <w:lang w:eastAsia="fr-FR"/>
              </w:rPr>
              <w:t>ب</w:t>
            </w:r>
            <w:r w:rsidR="002E0AAE">
              <w:rPr>
                <w:rFonts w:ascii="Simplified Arabic" w:eastAsia="Times New Roman" w:hAnsi="Simplified Arabic" w:cs="Simplified Arabic" w:hint="cs"/>
                <w:color w:val="000000"/>
                <w:sz w:val="24"/>
                <w:szCs w:val="24"/>
                <w:rtl/>
                <w:lang w:eastAsia="fr-FR"/>
              </w:rPr>
              <w:t>)</w:t>
            </w:r>
          </w:p>
        </w:tc>
        <w:tc>
          <w:tcPr>
            <w:tcW w:w="1222" w:type="dxa"/>
            <w:vMerge w:val="restart"/>
            <w:tcBorders>
              <w:top w:val="double" w:sz="6" w:space="0" w:color="auto"/>
            </w:tcBorders>
            <w:vAlign w:val="center"/>
          </w:tcPr>
          <w:p w:rsidR="009749C2" w:rsidRPr="00FA4954" w:rsidRDefault="009749C2" w:rsidP="00B13406">
            <w:pPr>
              <w:bidi/>
              <w:spacing w:after="0" w:line="240" w:lineRule="auto"/>
              <w:jc w:val="center"/>
              <w:rPr>
                <w:rFonts w:ascii="Simplified Arabic" w:eastAsia="Times New Roman" w:hAnsi="Simplified Arabic" w:cs="Simplified Arabic"/>
                <w:color w:val="000000"/>
                <w:sz w:val="24"/>
                <w:szCs w:val="24"/>
                <w:lang w:eastAsia="fr-FR"/>
              </w:rPr>
            </w:pPr>
            <w:r w:rsidRPr="00FA4954">
              <w:rPr>
                <w:rFonts w:ascii="Simplified Arabic" w:eastAsia="Times New Roman" w:hAnsi="Simplified Arabic" w:cs="Simplified Arabic"/>
                <w:color w:val="000000"/>
                <w:sz w:val="24"/>
                <w:szCs w:val="24"/>
                <w:rtl/>
                <w:lang w:eastAsia="fr-FR"/>
              </w:rPr>
              <w:t>بلاتو</w:t>
            </w:r>
          </w:p>
        </w:tc>
        <w:tc>
          <w:tcPr>
            <w:tcW w:w="708" w:type="dxa"/>
            <w:tcBorders>
              <w:top w:val="double" w:sz="6" w:space="0" w:color="auto"/>
            </w:tcBorders>
            <w:shd w:val="clear" w:color="auto" w:fill="auto"/>
            <w:vAlign w:val="center"/>
          </w:tcPr>
          <w:p w:rsidR="009749C2" w:rsidRPr="008A594F" w:rsidRDefault="009749C2"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1</w:t>
            </w:r>
          </w:p>
        </w:tc>
        <w:tc>
          <w:tcPr>
            <w:tcW w:w="876" w:type="dxa"/>
            <w:tcBorders>
              <w:top w:val="double" w:sz="6" w:space="0" w:color="auto"/>
            </w:tcBorders>
            <w:shd w:val="clear" w:color="auto" w:fill="auto"/>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54.04</w:t>
            </w:r>
          </w:p>
        </w:tc>
        <w:tc>
          <w:tcPr>
            <w:tcW w:w="2101" w:type="dxa"/>
            <w:tcBorders>
              <w:top w:val="double" w:sz="6" w:space="0" w:color="auto"/>
            </w:tcBorders>
            <w:vAlign w:val="center"/>
          </w:tcPr>
          <w:p w:rsidR="009749C2" w:rsidRPr="00D96C41" w:rsidRDefault="009749C2" w:rsidP="00B13406">
            <w:pPr>
              <w:autoSpaceDE w:val="0"/>
              <w:autoSpaceDN w:val="0"/>
              <w:bidi/>
              <w:adjustRightInd w:val="0"/>
              <w:spacing w:after="0" w:line="240" w:lineRule="auto"/>
              <w:jc w:val="center"/>
              <w:rPr>
                <w:rFonts w:asciiTheme="majorBidi" w:hAnsiTheme="majorBidi" w:cstheme="majorBidi"/>
                <w:color w:val="000000" w:themeColor="text1"/>
                <w:sz w:val="24"/>
                <w:szCs w:val="24"/>
                <w:rtl/>
                <w:lang w:val="en-US"/>
              </w:rPr>
            </w:pPr>
            <w:r w:rsidRPr="00D96C41">
              <w:rPr>
                <w:rFonts w:asciiTheme="majorBidi" w:hAnsiTheme="majorBidi" w:cstheme="majorBidi"/>
                <w:color w:val="000000" w:themeColor="text1"/>
                <w:sz w:val="24"/>
                <w:szCs w:val="24"/>
                <w:lang w:val="en-US"/>
              </w:rPr>
              <w:t>C1+C2+C3+C4+C5</w:t>
            </w:r>
          </w:p>
        </w:tc>
        <w:tc>
          <w:tcPr>
            <w:tcW w:w="992" w:type="dxa"/>
            <w:tcBorders>
              <w:top w:val="double" w:sz="6" w:space="0" w:color="auto"/>
            </w:tcBorders>
            <w:vAlign w:val="center"/>
          </w:tcPr>
          <w:p w:rsidR="009749C2" w:rsidRPr="00143C39" w:rsidRDefault="00F0667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100</w:t>
            </w:r>
          </w:p>
        </w:tc>
        <w:tc>
          <w:tcPr>
            <w:tcW w:w="1418" w:type="dxa"/>
            <w:tcBorders>
              <w:top w:val="double" w:sz="6" w:space="0" w:color="auto"/>
              <w:right w:val="double" w:sz="6" w:space="0" w:color="auto"/>
            </w:tcBorders>
            <w:vAlign w:val="center"/>
          </w:tcPr>
          <w:p w:rsidR="009749C2" w:rsidRPr="00143C39" w:rsidRDefault="00F0667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عالي</w:t>
            </w:r>
            <w:r w:rsidR="00A01128">
              <w:rPr>
                <w:rFonts w:ascii="Simplified Arabic" w:eastAsia="Times New Roman" w:hAnsi="Simplified Arabic" w:cs="Simplified Arabic" w:hint="cs"/>
                <w:color w:val="000000"/>
                <w:sz w:val="24"/>
                <w:szCs w:val="24"/>
                <w:rtl/>
                <w:lang w:eastAsia="fr-FR"/>
              </w:rPr>
              <w:t>ة</w:t>
            </w:r>
            <w:r>
              <w:rPr>
                <w:rFonts w:ascii="Simplified Arabic" w:eastAsia="Times New Roman" w:hAnsi="Simplified Arabic" w:cs="Simplified Arabic" w:hint="cs"/>
                <w:color w:val="000000"/>
                <w:sz w:val="24"/>
                <w:szCs w:val="24"/>
                <w:rtl/>
                <w:lang w:eastAsia="fr-FR"/>
              </w:rPr>
              <w:t xml:space="preserve"> جدا</w:t>
            </w:r>
          </w:p>
        </w:tc>
      </w:tr>
      <w:tr w:rsidR="009749C2" w:rsidRPr="00143C39" w:rsidTr="00F54A68">
        <w:trPr>
          <w:trHeight w:val="64"/>
          <w:jc w:val="center"/>
        </w:trPr>
        <w:tc>
          <w:tcPr>
            <w:tcW w:w="1207" w:type="dxa"/>
            <w:vMerge/>
            <w:tcBorders>
              <w:left w:val="double" w:sz="6" w:space="0" w:color="auto"/>
            </w:tcBorders>
            <w:shd w:val="clear" w:color="auto" w:fill="auto"/>
            <w:vAlign w:val="center"/>
          </w:tcPr>
          <w:p w:rsidR="009749C2"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vAlign w:val="center"/>
          </w:tcPr>
          <w:p w:rsidR="009749C2" w:rsidRPr="00FA4954"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shd w:val="clear" w:color="auto" w:fill="auto"/>
            <w:vAlign w:val="center"/>
          </w:tcPr>
          <w:p w:rsidR="009749C2" w:rsidRPr="008A594F" w:rsidRDefault="009749C2"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2</w:t>
            </w:r>
          </w:p>
        </w:tc>
        <w:tc>
          <w:tcPr>
            <w:tcW w:w="876" w:type="dxa"/>
            <w:shd w:val="clear" w:color="auto" w:fill="auto"/>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1.93</w:t>
            </w:r>
          </w:p>
        </w:tc>
        <w:tc>
          <w:tcPr>
            <w:tcW w:w="2101" w:type="dxa"/>
            <w:vAlign w:val="center"/>
          </w:tcPr>
          <w:p w:rsidR="009749C2" w:rsidRPr="00D96C41" w:rsidRDefault="009749C2" w:rsidP="00B13406">
            <w:pPr>
              <w:autoSpaceDE w:val="0"/>
              <w:autoSpaceDN w:val="0"/>
              <w:bidi/>
              <w:adjustRightInd w:val="0"/>
              <w:spacing w:after="0" w:line="240" w:lineRule="auto"/>
              <w:jc w:val="center"/>
              <w:rPr>
                <w:rFonts w:asciiTheme="majorBidi" w:hAnsiTheme="majorBidi" w:cstheme="majorBidi"/>
                <w:color w:val="000000" w:themeColor="text1"/>
                <w:sz w:val="24"/>
                <w:szCs w:val="24"/>
                <w:rtl/>
                <w:lang w:val="en-US"/>
              </w:rPr>
            </w:pPr>
            <w:r w:rsidRPr="00D96C41">
              <w:rPr>
                <w:rFonts w:asciiTheme="majorBidi" w:hAnsiTheme="majorBidi" w:cstheme="majorBidi"/>
                <w:color w:val="000000" w:themeColor="text1"/>
                <w:sz w:val="24"/>
                <w:szCs w:val="24"/>
                <w:lang w:val="en-US"/>
              </w:rPr>
              <w:t>C1+C2+C4+C5</w:t>
            </w:r>
          </w:p>
        </w:tc>
        <w:tc>
          <w:tcPr>
            <w:tcW w:w="992" w:type="dxa"/>
            <w:vAlign w:val="center"/>
          </w:tcPr>
          <w:p w:rsidR="009749C2" w:rsidRPr="008A594F" w:rsidRDefault="009749C2"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78.62</w:t>
            </w:r>
          </w:p>
        </w:tc>
        <w:tc>
          <w:tcPr>
            <w:tcW w:w="1418" w:type="dxa"/>
            <w:tcBorders>
              <w:right w:val="double" w:sz="6" w:space="0" w:color="auto"/>
            </w:tcBorders>
            <w:vAlign w:val="center"/>
          </w:tcPr>
          <w:p w:rsidR="009749C2" w:rsidRPr="008A594F" w:rsidRDefault="009749C2"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9F10F6">
              <w:rPr>
                <w:rFonts w:ascii="Simplified Arabic" w:hAnsi="Simplified Arabic" w:cs="Simplified Arabic" w:hint="cs"/>
                <w:color w:val="000000" w:themeColor="text1"/>
                <w:sz w:val="24"/>
                <w:szCs w:val="24"/>
                <w:rtl/>
                <w:lang w:val="en-US"/>
              </w:rPr>
              <w:t>عالي</w:t>
            </w:r>
            <w:r w:rsidR="00A01128">
              <w:rPr>
                <w:rFonts w:ascii="Simplified Arabic" w:hAnsi="Simplified Arabic" w:cs="Simplified Arabic" w:hint="cs"/>
                <w:color w:val="000000" w:themeColor="text1"/>
                <w:sz w:val="24"/>
                <w:szCs w:val="24"/>
                <w:rtl/>
                <w:lang w:val="en-US"/>
              </w:rPr>
              <w:t>ة</w:t>
            </w:r>
          </w:p>
        </w:tc>
      </w:tr>
      <w:tr w:rsidR="009749C2" w:rsidRPr="00143C39" w:rsidTr="00F54A68">
        <w:trPr>
          <w:trHeight w:val="64"/>
          <w:jc w:val="center"/>
        </w:trPr>
        <w:tc>
          <w:tcPr>
            <w:tcW w:w="1207" w:type="dxa"/>
            <w:vMerge/>
            <w:tcBorders>
              <w:left w:val="double" w:sz="6" w:space="0" w:color="auto"/>
            </w:tcBorders>
            <w:shd w:val="clear" w:color="auto" w:fill="auto"/>
            <w:vAlign w:val="center"/>
          </w:tcPr>
          <w:p w:rsidR="009749C2"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vAlign w:val="center"/>
          </w:tcPr>
          <w:p w:rsidR="009749C2" w:rsidRPr="00FA4954"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shd w:val="clear" w:color="auto" w:fill="auto"/>
            <w:vAlign w:val="center"/>
          </w:tcPr>
          <w:p w:rsidR="009749C2" w:rsidRPr="008A594F" w:rsidRDefault="009749C2"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3</w:t>
            </w:r>
          </w:p>
        </w:tc>
        <w:tc>
          <w:tcPr>
            <w:tcW w:w="876" w:type="dxa"/>
            <w:shd w:val="clear" w:color="auto" w:fill="auto"/>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0.43</w:t>
            </w:r>
          </w:p>
        </w:tc>
        <w:tc>
          <w:tcPr>
            <w:tcW w:w="2101" w:type="dxa"/>
            <w:vAlign w:val="center"/>
          </w:tcPr>
          <w:p w:rsidR="009749C2" w:rsidRPr="00D96C41" w:rsidRDefault="009749C2" w:rsidP="00B13406">
            <w:pPr>
              <w:bidi/>
              <w:spacing w:after="0" w:line="240" w:lineRule="auto"/>
              <w:jc w:val="center"/>
              <w:rPr>
                <w:rFonts w:asciiTheme="majorBidi" w:eastAsia="Times New Roman" w:hAnsiTheme="majorBidi" w:cstheme="majorBidi"/>
                <w:color w:val="000000"/>
                <w:sz w:val="24"/>
                <w:szCs w:val="24"/>
                <w:rtl/>
                <w:lang w:eastAsia="fr-FR"/>
              </w:rPr>
            </w:pPr>
            <w:r w:rsidRPr="00D96C41">
              <w:rPr>
                <w:rFonts w:asciiTheme="majorBidi" w:eastAsia="Times New Roman" w:hAnsiTheme="majorBidi" w:cstheme="majorBidi"/>
                <w:color w:val="000000"/>
                <w:sz w:val="24"/>
                <w:szCs w:val="24"/>
                <w:lang w:eastAsia="fr-FR"/>
              </w:rPr>
              <w:t>C2+C4+C5</w:t>
            </w:r>
          </w:p>
        </w:tc>
        <w:tc>
          <w:tcPr>
            <w:tcW w:w="992" w:type="dxa"/>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52.91</w:t>
            </w:r>
          </w:p>
        </w:tc>
        <w:tc>
          <w:tcPr>
            <w:tcW w:w="1418" w:type="dxa"/>
            <w:tcBorders>
              <w:right w:val="double" w:sz="6" w:space="0" w:color="auto"/>
            </w:tcBorders>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مقبول</w:t>
            </w:r>
            <w:r w:rsidR="00A01128">
              <w:rPr>
                <w:rFonts w:ascii="Simplified Arabic" w:eastAsia="Times New Roman" w:hAnsi="Simplified Arabic" w:cs="Simplified Arabic" w:hint="cs"/>
                <w:color w:val="000000"/>
                <w:sz w:val="24"/>
                <w:szCs w:val="24"/>
                <w:rtl/>
                <w:lang w:eastAsia="fr-FR"/>
              </w:rPr>
              <w:t>ة</w:t>
            </w:r>
          </w:p>
        </w:tc>
      </w:tr>
      <w:tr w:rsidR="009749C2" w:rsidRPr="00143C39" w:rsidTr="00F54A68">
        <w:trPr>
          <w:trHeight w:val="64"/>
          <w:jc w:val="center"/>
        </w:trPr>
        <w:tc>
          <w:tcPr>
            <w:tcW w:w="1207" w:type="dxa"/>
            <w:vMerge/>
            <w:tcBorders>
              <w:left w:val="double" w:sz="6" w:space="0" w:color="auto"/>
              <w:bottom w:val="double" w:sz="6" w:space="0" w:color="auto"/>
            </w:tcBorders>
            <w:shd w:val="clear" w:color="auto" w:fill="auto"/>
            <w:vAlign w:val="center"/>
          </w:tcPr>
          <w:p w:rsidR="009749C2"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tcBorders>
              <w:bottom w:val="double" w:sz="6" w:space="0" w:color="auto"/>
            </w:tcBorders>
            <w:vAlign w:val="center"/>
          </w:tcPr>
          <w:p w:rsidR="009749C2" w:rsidRPr="00FA4954"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tcBorders>
              <w:bottom w:val="double" w:sz="6" w:space="0" w:color="auto"/>
            </w:tcBorders>
            <w:shd w:val="clear" w:color="auto" w:fill="auto"/>
            <w:vAlign w:val="center"/>
          </w:tcPr>
          <w:p w:rsidR="009749C2" w:rsidRPr="008A594F" w:rsidRDefault="009749C2"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Pr>
                <w:rFonts w:ascii="Simplified Arabic" w:hAnsi="Simplified Arabic" w:cs="Simplified Arabic" w:hint="cs"/>
                <w:color w:val="000000" w:themeColor="text1"/>
                <w:sz w:val="24"/>
                <w:szCs w:val="24"/>
                <w:rtl/>
                <w:lang w:val="en-US"/>
              </w:rPr>
              <w:t>4</w:t>
            </w:r>
          </w:p>
        </w:tc>
        <w:tc>
          <w:tcPr>
            <w:tcW w:w="876" w:type="dxa"/>
            <w:tcBorders>
              <w:bottom w:val="double" w:sz="6" w:space="0" w:color="auto"/>
            </w:tcBorders>
            <w:shd w:val="clear" w:color="auto" w:fill="auto"/>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2.83</w:t>
            </w:r>
          </w:p>
        </w:tc>
        <w:tc>
          <w:tcPr>
            <w:tcW w:w="2101" w:type="dxa"/>
            <w:tcBorders>
              <w:bottom w:val="double" w:sz="6" w:space="0" w:color="auto"/>
            </w:tcBorders>
            <w:vAlign w:val="center"/>
          </w:tcPr>
          <w:p w:rsidR="009749C2" w:rsidRPr="00D96C41" w:rsidRDefault="009749C2" w:rsidP="00B13406">
            <w:pPr>
              <w:bidi/>
              <w:spacing w:after="0" w:line="240" w:lineRule="auto"/>
              <w:jc w:val="center"/>
              <w:rPr>
                <w:rFonts w:asciiTheme="majorBidi" w:eastAsia="Times New Roman" w:hAnsiTheme="majorBidi" w:cstheme="majorBidi"/>
                <w:color w:val="000000"/>
                <w:sz w:val="24"/>
                <w:szCs w:val="24"/>
                <w:rtl/>
                <w:lang w:eastAsia="fr-FR"/>
              </w:rPr>
            </w:pPr>
            <w:r w:rsidRPr="00D96C41">
              <w:rPr>
                <w:rFonts w:asciiTheme="majorBidi" w:eastAsia="Times New Roman" w:hAnsiTheme="majorBidi" w:cstheme="majorBidi"/>
                <w:color w:val="000000"/>
                <w:sz w:val="24"/>
                <w:szCs w:val="24"/>
                <w:lang w:eastAsia="fr-FR"/>
              </w:rPr>
              <w:t>C2+C5</w:t>
            </w:r>
          </w:p>
        </w:tc>
        <w:tc>
          <w:tcPr>
            <w:tcW w:w="992" w:type="dxa"/>
            <w:tcBorders>
              <w:bottom w:val="double" w:sz="6" w:space="0" w:color="auto"/>
            </w:tcBorders>
            <w:vAlign w:val="center"/>
          </w:tcPr>
          <w:p w:rsidR="009749C2" w:rsidRPr="00143C39"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28.89</w:t>
            </w:r>
          </w:p>
        </w:tc>
        <w:tc>
          <w:tcPr>
            <w:tcW w:w="1418" w:type="dxa"/>
            <w:tcBorders>
              <w:bottom w:val="double" w:sz="6" w:space="0" w:color="auto"/>
              <w:right w:val="double" w:sz="6" w:space="0" w:color="auto"/>
            </w:tcBorders>
            <w:vAlign w:val="center"/>
          </w:tcPr>
          <w:p w:rsidR="009749C2" w:rsidRPr="008A594F" w:rsidRDefault="009749C2"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منخفض</w:t>
            </w:r>
            <w:r w:rsidR="00A01128">
              <w:rPr>
                <w:rFonts w:ascii="Simplified Arabic" w:eastAsia="Times New Roman" w:hAnsi="Simplified Arabic" w:cs="Simplified Arabic" w:hint="cs"/>
                <w:color w:val="000000"/>
                <w:sz w:val="24"/>
                <w:szCs w:val="24"/>
                <w:rtl/>
                <w:lang w:eastAsia="fr-FR"/>
              </w:rPr>
              <w:t>ة</w:t>
            </w:r>
          </w:p>
        </w:tc>
      </w:tr>
    </w:tbl>
    <w:p w:rsidR="00180C88" w:rsidRPr="00180C88" w:rsidRDefault="00180C88" w:rsidP="00180C88">
      <w:pPr>
        <w:pStyle w:val="Paragraphedeliste"/>
        <w:numPr>
          <w:ilvl w:val="0"/>
          <w:numId w:val="69"/>
        </w:numPr>
        <w:autoSpaceDE w:val="0"/>
        <w:autoSpaceDN w:val="0"/>
        <w:bidi/>
        <w:adjustRightInd w:val="0"/>
        <w:spacing w:before="240" w:after="0"/>
        <w:ind w:left="0" w:firstLine="283"/>
        <w:jc w:val="both"/>
        <w:rPr>
          <w:rFonts w:ascii="Simplified Arabic" w:hAnsi="Simplified Arabic" w:cs="Simplified Arabic"/>
          <w:sz w:val="24"/>
          <w:szCs w:val="24"/>
          <w:rtl/>
          <w:lang w:val="en-US" w:bidi="ar-DZ"/>
        </w:rPr>
      </w:pPr>
      <w:r w:rsidRPr="00180C88">
        <w:rPr>
          <w:rFonts w:ascii="Simplified Arabic" w:hAnsi="Simplified Arabic" w:cs="Simplified Arabic" w:hint="cs"/>
          <w:sz w:val="24"/>
          <w:szCs w:val="24"/>
          <w:rtl/>
          <w:lang w:val="en-US" w:bidi="ar-DZ"/>
        </w:rPr>
        <w:lastRenderedPageBreak/>
        <w:t>من</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الناحية</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المكانية، يظهر</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 xml:space="preserve">حي </w:t>
      </w:r>
      <w:r w:rsidRPr="00180C88">
        <w:rPr>
          <w:rFonts w:ascii="Simplified Arabic" w:hAnsi="Simplified Arabic" w:cs="Simplified Arabic" w:hint="cs"/>
          <w:sz w:val="24"/>
          <w:szCs w:val="24"/>
          <w:rtl/>
        </w:rPr>
        <w:t>سيدي سليمان</w:t>
      </w:r>
      <w:r w:rsidRPr="00180C88">
        <w:rPr>
          <w:rFonts w:ascii="Simplified Arabic" w:hAnsi="Simplified Arabic" w:cs="Simplified Arabic" w:hint="cs"/>
          <w:sz w:val="24"/>
          <w:szCs w:val="24"/>
          <w:rtl/>
          <w:lang w:val="en-US" w:bidi="ar-DZ"/>
        </w:rPr>
        <w:t>،</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توزيع</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أنواع مختلفة من المرافق،</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bidi="ar-DZ"/>
        </w:rPr>
        <w:t>يتبع</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نمطًا</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مبعثرًا</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 xml:space="preserve">كما هو موضح في الخريطة </w:t>
      </w:r>
      <w:r w:rsidRPr="00180C88">
        <w:rPr>
          <w:rFonts w:ascii="Simplified Arabic" w:hAnsi="Simplified Arabic" w:cs="Simplified Arabic"/>
          <w:sz w:val="24"/>
          <w:szCs w:val="24"/>
          <w:rtl/>
          <w:lang w:bidi="ar-DZ"/>
        </w:rPr>
        <w:t>(</w:t>
      </w:r>
      <w:r w:rsidRPr="00180C88">
        <w:rPr>
          <w:rFonts w:ascii="Simplified Arabic" w:hAnsi="Simplified Arabic" w:cs="Simplified Arabic" w:hint="cs"/>
          <w:sz w:val="24"/>
          <w:szCs w:val="24"/>
          <w:rtl/>
          <w:lang w:bidi="ar-DZ"/>
        </w:rPr>
        <w:t>6-12</w:t>
      </w:r>
      <w:r w:rsidRPr="00180C88">
        <w:rPr>
          <w:rFonts w:ascii="Simplified Arabic" w:hAnsi="Simplified Arabic" w:cs="Simplified Arabic"/>
          <w:sz w:val="24"/>
          <w:szCs w:val="24"/>
          <w:rtl/>
          <w:lang w:bidi="ar-DZ"/>
        </w:rPr>
        <w:t>)</w:t>
      </w:r>
      <w:r w:rsidRPr="00180C88">
        <w:rPr>
          <w:rFonts w:ascii="Simplified Arabic" w:hAnsi="Simplified Arabic" w:cs="Simplified Arabic" w:hint="cs"/>
          <w:sz w:val="24"/>
          <w:szCs w:val="24"/>
          <w:rtl/>
          <w:lang w:bidi="ar-DZ"/>
        </w:rPr>
        <w:t xml:space="preserve">، مع تركيز اعلى للمرافق في الجزء الشمالي للحي الاقرب الى وسط المدينة. </w:t>
      </w:r>
    </w:p>
    <w:p w:rsidR="00180C88" w:rsidRDefault="00180C88" w:rsidP="00986BEA">
      <w:pPr>
        <w:pStyle w:val="carte"/>
        <w:spacing w:after="0"/>
        <w:rPr>
          <w:rtl/>
          <w:lang w:bidi="ar-DZ"/>
        </w:rPr>
      </w:pPr>
      <w:bookmarkStart w:id="929" w:name="_Toc157616620"/>
      <w:bookmarkStart w:id="930" w:name="_Toc171803863"/>
      <w:r w:rsidRPr="005373F7">
        <w:rPr>
          <w:rFonts w:hint="cs"/>
          <w:rtl/>
          <w:lang w:bidi="ar-DZ"/>
        </w:rPr>
        <w:t>الخريطة (6-12) تنوع المرافق على مستوى حي سيدي سليمان</w:t>
      </w:r>
      <w:bookmarkEnd w:id="929"/>
      <w:bookmarkEnd w:id="930"/>
    </w:p>
    <w:p w:rsidR="00986BEA" w:rsidRPr="00986BEA" w:rsidRDefault="00986BEA" w:rsidP="00986BEA">
      <w:pPr>
        <w:pStyle w:val="fegure"/>
        <w:rPr>
          <w:sz w:val="8"/>
          <w:szCs w:val="24"/>
          <w:rtl/>
          <w:lang w:val="en-US"/>
        </w:rPr>
      </w:pPr>
      <w:bookmarkStart w:id="931" w:name="_Toc171803864"/>
      <w:r>
        <w:rPr>
          <w:rFonts w:hint="cs"/>
          <w:sz w:val="8"/>
          <w:szCs w:val="24"/>
          <w:rtl/>
          <w:lang w:val="en-US" w:bidi="ar-DZ"/>
        </w:rPr>
        <w:t xml:space="preserve">المصدر: </w:t>
      </w:r>
      <w:r>
        <w:rPr>
          <w:rFonts w:hint="cs"/>
          <w:sz w:val="8"/>
          <w:szCs w:val="24"/>
          <w:rtl/>
          <w:lang w:val="en-US"/>
        </w:rPr>
        <w:t>(الباحث، 2022)</w:t>
      </w:r>
      <w:bookmarkEnd w:id="931"/>
    </w:p>
    <w:p w:rsidR="00180C88" w:rsidRDefault="00180C88" w:rsidP="00180C88">
      <w:pPr>
        <w:autoSpaceDE w:val="0"/>
        <w:autoSpaceDN w:val="0"/>
        <w:bidi/>
        <w:adjustRightInd w:val="0"/>
        <w:spacing w:after="0" w:line="240" w:lineRule="auto"/>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3A67523A" wp14:editId="28CA50F1">
            <wp:extent cx="3345942" cy="4079903"/>
            <wp:effectExtent l="0" t="0" r="6985" b="0"/>
            <wp:docPr id="238" name="Imag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24">
                      <a:extLst>
                        <a:ext uri="{28A0092B-C50C-407E-A947-70E740481C1C}">
                          <a14:useLocalDpi xmlns:a14="http://schemas.microsoft.com/office/drawing/2010/main" val="0"/>
                        </a:ext>
                      </a:extLst>
                    </a:blip>
                    <a:srcRect t="8581"/>
                    <a:stretch/>
                  </pic:blipFill>
                  <pic:spPr bwMode="auto">
                    <a:xfrm>
                      <a:off x="0" y="0"/>
                      <a:ext cx="3343798" cy="4077289"/>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hint="cs"/>
          <w:sz w:val="24"/>
          <w:szCs w:val="24"/>
          <w:rtl/>
          <w:lang w:bidi="ar-DZ"/>
        </w:rPr>
        <w:t xml:space="preserve"> </w:t>
      </w:r>
    </w:p>
    <w:p w:rsidR="00EA11D7" w:rsidRDefault="00EA11D7" w:rsidP="00180C88">
      <w:pPr>
        <w:autoSpaceDE w:val="0"/>
        <w:autoSpaceDN w:val="0"/>
        <w:bidi/>
        <w:adjustRightInd w:val="0"/>
        <w:spacing w:before="240" w:after="0"/>
        <w:ind w:firstLine="282"/>
        <w:jc w:val="both"/>
        <w:rPr>
          <w:rFonts w:ascii="Simplified Arabic" w:hAnsi="Simplified Arabic" w:cs="Simplified Arabic"/>
          <w:sz w:val="24"/>
          <w:szCs w:val="24"/>
          <w:rtl/>
          <w:lang w:bidi="ar-DZ"/>
        </w:rPr>
      </w:pPr>
      <w:r w:rsidRPr="00DD2046">
        <w:rPr>
          <w:rFonts w:ascii="Simplified Arabic" w:hAnsi="Simplified Arabic" w:cs="Simplified Arabic" w:hint="cs"/>
          <w:sz w:val="24"/>
          <w:szCs w:val="24"/>
          <w:rtl/>
          <w:lang w:bidi="ar-DZ"/>
        </w:rPr>
        <w:t>تشير</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دراسة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التنوع</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val="en-US" w:bidi="ar-DZ"/>
        </w:rPr>
        <w:t xml:space="preserve">في </w:t>
      </w:r>
      <w:r w:rsidRPr="00040621">
        <w:rPr>
          <w:rFonts w:ascii="Simplified Arabic" w:hAnsi="Simplified Arabic" w:cs="Simplified Arabic" w:hint="cs"/>
          <w:sz w:val="24"/>
          <w:szCs w:val="24"/>
          <w:rtl/>
          <w:lang w:val="en-US" w:bidi="ar-DZ"/>
        </w:rPr>
        <w:t xml:space="preserve">حي </w:t>
      </w:r>
      <w:r>
        <w:rPr>
          <w:rFonts w:ascii="Simplified Arabic" w:hAnsi="Simplified Arabic" w:cs="Simplified Arabic" w:hint="cs"/>
          <w:sz w:val="24"/>
          <w:szCs w:val="24"/>
          <w:rtl/>
          <w:lang w:bidi="ar-DZ"/>
        </w:rPr>
        <w:t>سيدي سليمان</w:t>
      </w:r>
      <w:r>
        <w:rPr>
          <w:rFonts w:ascii="Simplified Arabic" w:hAnsi="Simplified Arabic" w:cs="Simplified Arabic" w:hint="cs"/>
          <w:sz w:val="24"/>
          <w:szCs w:val="24"/>
          <w:rtl/>
        </w:rPr>
        <w:t>، الواقع ضمن فئة النسيج الحضري (جـ)</w:t>
      </w:r>
      <w:r w:rsidRPr="007708D9">
        <w:rPr>
          <w:rFonts w:ascii="Simplified Arabic" w:hAnsi="Simplified Arabic" w:cs="Simplified Arabic" w:hint="cs"/>
          <w:sz w:val="24"/>
          <w:szCs w:val="24"/>
          <w:rtl/>
          <w:lang w:val="en-US" w:bidi="ar-DZ"/>
        </w:rPr>
        <w:t>،</w:t>
      </w:r>
      <w:r w:rsidRPr="00040621">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الى توفر </w:t>
      </w:r>
      <w:r w:rsidR="002F2E6E">
        <w:rPr>
          <w:rFonts w:ascii="Simplified Arabic" w:hAnsi="Simplified Arabic" w:cs="Simplified Arabic" w:hint="cs"/>
          <w:sz w:val="24"/>
          <w:szCs w:val="24"/>
          <w:rtl/>
          <w:lang w:val="en-US" w:bidi="ar-DZ"/>
        </w:rPr>
        <w:t>نسبي لأنواع</w:t>
      </w:r>
      <w:r>
        <w:rPr>
          <w:rFonts w:ascii="Simplified Arabic" w:hAnsi="Simplified Arabic" w:cs="Simplified Arabic" w:hint="cs"/>
          <w:sz w:val="24"/>
          <w:szCs w:val="24"/>
          <w:rtl/>
          <w:lang w:val="en-US" w:bidi="ar-DZ"/>
        </w:rPr>
        <w:t xml:space="preserve"> </w:t>
      </w:r>
      <w:r w:rsidR="002F2E6E">
        <w:rPr>
          <w:rFonts w:ascii="Simplified Arabic" w:hAnsi="Simplified Arabic" w:cs="Simplified Arabic" w:hint="cs"/>
          <w:sz w:val="24"/>
          <w:szCs w:val="24"/>
          <w:rtl/>
          <w:lang w:val="en-US" w:bidi="ar-DZ"/>
        </w:rPr>
        <w:t xml:space="preserve">من </w:t>
      </w:r>
      <w:r>
        <w:rPr>
          <w:rFonts w:ascii="Simplified Arabic" w:hAnsi="Simplified Arabic" w:cs="Simplified Arabic" w:hint="cs"/>
          <w:sz w:val="24"/>
          <w:szCs w:val="24"/>
          <w:rtl/>
          <w:lang w:val="en-US" w:bidi="ar-DZ"/>
        </w:rPr>
        <w:t xml:space="preserve">المرافق يمكن الوصول اليها ضمن عتبة المسافة المعيارية النظرية. </w:t>
      </w:r>
      <w:r w:rsidRPr="004E1B18">
        <w:rPr>
          <w:rFonts w:ascii="Simplified Arabic" w:hAnsi="Simplified Arabic" w:cs="Simplified Arabic" w:hint="cs"/>
          <w:sz w:val="24"/>
          <w:szCs w:val="24"/>
          <w:rtl/>
          <w:lang w:val="en-US" w:bidi="ar-DZ"/>
        </w:rPr>
        <w:t>يظهر</w:t>
      </w:r>
      <w:r w:rsidRPr="004E1B18">
        <w:rPr>
          <w:rFonts w:ascii="Simplified Arabic" w:hAnsi="Simplified Arabic" w:cs="Simplified Arabic"/>
          <w:sz w:val="24"/>
          <w:szCs w:val="24"/>
          <w:rtl/>
          <w:lang w:val="en-US" w:bidi="ar-DZ"/>
        </w:rPr>
        <w:t xml:space="preserve"> </w:t>
      </w:r>
      <w:r w:rsidR="003337FD">
        <w:rPr>
          <w:rFonts w:ascii="Simplified Arabic" w:hAnsi="Simplified Arabic" w:cs="Simplified Arabic" w:hint="cs"/>
          <w:sz w:val="24"/>
          <w:szCs w:val="24"/>
          <w:rtl/>
        </w:rPr>
        <w:t>استعمالات</w:t>
      </w:r>
      <w:r>
        <w:rPr>
          <w:rFonts w:ascii="Simplified Arabic" w:hAnsi="Simplified Arabic" w:cs="Simplified Arabic" w:hint="cs"/>
          <w:sz w:val="24"/>
          <w:szCs w:val="24"/>
          <w:rtl/>
          <w:lang w:val="en-US" w:bidi="ar-DZ"/>
        </w:rPr>
        <w:t xml:space="preserve"> الارض ان اغلب المساحة مغطاة بالخدم</w:t>
      </w:r>
      <w:r w:rsidR="002F2E6E">
        <w:rPr>
          <w:rFonts w:ascii="Simplified Arabic" w:hAnsi="Simplified Arabic" w:cs="Simplified Arabic" w:hint="cs"/>
          <w:sz w:val="24"/>
          <w:szCs w:val="24"/>
          <w:rtl/>
          <w:lang w:val="en-US" w:bidi="ar-DZ"/>
        </w:rPr>
        <w:t>ات</w:t>
      </w:r>
      <w:r>
        <w:rPr>
          <w:rFonts w:ascii="Simplified Arabic" w:hAnsi="Simplified Arabic" w:cs="Simplified Arabic" w:hint="cs"/>
          <w:sz w:val="24"/>
          <w:szCs w:val="24"/>
          <w:rtl/>
          <w:lang w:val="en-US" w:bidi="ar-DZ"/>
        </w:rPr>
        <w:t xml:space="preserve">، تساوي </w:t>
      </w:r>
      <w:r>
        <w:rPr>
          <w:rFonts w:ascii="Simplified Arabic" w:eastAsia="Times New Roman" w:hAnsi="Simplified Arabic" w:cs="Simplified Arabic" w:hint="cs"/>
          <w:color w:val="000000"/>
          <w:sz w:val="24"/>
          <w:szCs w:val="24"/>
          <w:rtl/>
          <w:lang w:eastAsia="fr-FR"/>
        </w:rPr>
        <w:t>106.02</w:t>
      </w:r>
      <w:r>
        <w:rPr>
          <w:rFonts w:ascii="Simplified Arabic" w:hAnsi="Simplified Arabic" w:cs="Simplified Arabic" w:hint="cs"/>
          <w:sz w:val="24"/>
          <w:szCs w:val="24"/>
          <w:rtl/>
          <w:lang w:val="en-US" w:bidi="ar-DZ"/>
        </w:rPr>
        <w:t xml:space="preserve"> هكتار وقيمة تنوع 63.17 </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w:t>
      </w:r>
      <w:r w:rsidRPr="00DD2046">
        <w:rPr>
          <w:rFonts w:ascii="Simplified Arabic" w:hAnsi="Simplified Arabic" w:cs="Simplified Arabic" w:hint="cs"/>
          <w:sz w:val="24"/>
          <w:szCs w:val="24"/>
          <w:rtl/>
          <w:lang w:bidi="ar-DZ"/>
        </w:rPr>
        <w:t>مما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يعني</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معظم </w:t>
      </w:r>
      <w:r w:rsidRPr="00DD2046">
        <w:rPr>
          <w:rFonts w:ascii="Simplified Arabic" w:hAnsi="Simplified Arabic" w:cs="Simplified Arabic" w:hint="cs"/>
          <w:sz w:val="24"/>
          <w:szCs w:val="24"/>
          <w:rtl/>
          <w:lang w:bidi="ar-DZ"/>
        </w:rPr>
        <w:t>فئات</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المرافق</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المختلفة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يتم</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تمثيلها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في</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اغلب</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أنحاء</w:t>
      </w:r>
      <w:r>
        <w:rPr>
          <w:rFonts w:ascii="Simplified Arabic" w:hAnsi="Simplified Arabic" w:cs="Simplified Arabic" w:hint="cs"/>
          <w:sz w:val="24"/>
          <w:szCs w:val="24"/>
          <w:rtl/>
          <w:lang w:bidi="ar-DZ"/>
        </w:rPr>
        <w:t xml:space="preserve"> الحي ويمنح درجة عالية من التنوع، </w:t>
      </w:r>
      <w:r w:rsidR="0030771E">
        <w:rPr>
          <w:rFonts w:ascii="Simplified Arabic" w:hAnsi="Simplified Arabic" w:cs="Simplified Arabic" w:hint="cs"/>
          <w:sz w:val="24"/>
          <w:szCs w:val="24"/>
          <w:rtl/>
          <w:lang w:bidi="ar-DZ"/>
        </w:rPr>
        <w:t xml:space="preserve">تبدا درجة التنوع في التناقص كلما تجهنا نحو هوامش الحي، </w:t>
      </w:r>
      <w:r>
        <w:rPr>
          <w:rFonts w:ascii="Simplified Arabic" w:hAnsi="Simplified Arabic" w:cs="Simplified Arabic" w:hint="cs"/>
          <w:sz w:val="24"/>
          <w:szCs w:val="24"/>
          <w:rtl/>
          <w:lang w:bidi="ar-DZ"/>
        </w:rPr>
        <w:t>الجدول (6-</w:t>
      </w:r>
      <w:r w:rsidR="00F377EC">
        <w:rPr>
          <w:rFonts w:ascii="Simplified Arabic" w:hAnsi="Simplified Arabic" w:cs="Simplified Arabic" w:hint="cs"/>
          <w:sz w:val="24"/>
          <w:szCs w:val="24"/>
          <w:rtl/>
          <w:lang w:bidi="ar-DZ"/>
        </w:rPr>
        <w:t>7</w:t>
      </w:r>
      <w:r>
        <w:rPr>
          <w:rFonts w:ascii="Simplified Arabic" w:hAnsi="Simplified Arabic" w:cs="Simplified Arabic" w:hint="cs"/>
          <w:sz w:val="24"/>
          <w:szCs w:val="24"/>
          <w:rtl/>
          <w:lang w:bidi="ar-DZ"/>
        </w:rPr>
        <w:t>)</w:t>
      </w:r>
      <w:r w:rsidRPr="00DD2046">
        <w:rPr>
          <w:rFonts w:ascii="Simplified Arabic" w:hAnsi="Simplified Arabic" w:cs="Simplified Arabic"/>
          <w:sz w:val="24"/>
          <w:szCs w:val="24"/>
          <w:rtl/>
          <w:lang w:bidi="ar-DZ"/>
        </w:rPr>
        <w:t>.</w:t>
      </w:r>
    </w:p>
    <w:p w:rsidR="00710400" w:rsidRDefault="00710400" w:rsidP="00637C32">
      <w:pPr>
        <w:pStyle w:val="Tableau"/>
        <w:rPr>
          <w:rtl/>
          <w:lang w:bidi="ar-DZ"/>
        </w:rPr>
      </w:pPr>
      <w:bookmarkStart w:id="932" w:name="_Toc157613017"/>
      <w:bookmarkStart w:id="933" w:name="_Toc171803865"/>
      <w:r>
        <w:rPr>
          <w:rFonts w:hint="cs"/>
          <w:rtl/>
          <w:lang w:val="en-US" w:bidi="ar-DZ"/>
        </w:rPr>
        <w:t>الجدول (6-</w:t>
      </w:r>
      <w:r w:rsidR="00F377EC">
        <w:rPr>
          <w:rFonts w:hint="cs"/>
          <w:rtl/>
          <w:lang w:val="en-US" w:bidi="ar-DZ"/>
        </w:rPr>
        <w:t>7</w:t>
      </w:r>
      <w:r>
        <w:rPr>
          <w:rFonts w:hint="cs"/>
          <w:rtl/>
          <w:lang w:val="en-US" w:bidi="ar-DZ"/>
        </w:rPr>
        <w:t xml:space="preserve">): </w:t>
      </w:r>
      <w:r w:rsidRPr="002759D5">
        <w:rPr>
          <w:rFonts w:hint="cs"/>
          <w:rtl/>
          <w:lang w:bidi="ar-DZ"/>
        </w:rPr>
        <w:t>تصنيف</w:t>
      </w:r>
      <w:r w:rsidRPr="002759D5">
        <w:rPr>
          <w:rtl/>
          <w:lang w:bidi="ar-DZ"/>
        </w:rPr>
        <w:t xml:space="preserve"> </w:t>
      </w:r>
      <w:r>
        <w:rPr>
          <w:rFonts w:hint="cs"/>
          <w:rtl/>
        </w:rPr>
        <w:t xml:space="preserve">تنوع </w:t>
      </w:r>
      <w:r>
        <w:rPr>
          <w:rFonts w:eastAsia="Times New Roman" w:hint="cs"/>
          <w:color w:val="000000"/>
          <w:rtl/>
          <w:lang w:eastAsia="fr-FR"/>
        </w:rPr>
        <w:t>المرافق ب</w:t>
      </w:r>
      <w:r w:rsidRPr="00040621">
        <w:rPr>
          <w:rFonts w:hint="cs"/>
          <w:rtl/>
          <w:lang w:val="en-US" w:bidi="ar-DZ"/>
        </w:rPr>
        <w:t xml:space="preserve">حي </w:t>
      </w:r>
      <w:r w:rsidR="00CC1EC5">
        <w:rPr>
          <w:rFonts w:hint="cs"/>
          <w:rtl/>
          <w:lang w:bidi="ar-DZ"/>
        </w:rPr>
        <w:t>سيدي سليمان</w:t>
      </w:r>
      <w:bookmarkEnd w:id="932"/>
      <w:bookmarkEnd w:id="933"/>
    </w:p>
    <w:p w:rsidR="00986BEA" w:rsidRPr="00986BEA" w:rsidRDefault="00986BEA" w:rsidP="00986BEA">
      <w:pPr>
        <w:pStyle w:val="fegure"/>
        <w:rPr>
          <w:sz w:val="8"/>
          <w:szCs w:val="24"/>
          <w:rtl/>
          <w:lang w:val="en-US"/>
        </w:rPr>
      </w:pPr>
      <w:bookmarkStart w:id="934" w:name="_Toc171803866"/>
      <w:r>
        <w:rPr>
          <w:rFonts w:hint="cs"/>
          <w:sz w:val="8"/>
          <w:szCs w:val="24"/>
          <w:rtl/>
          <w:lang w:val="en-US" w:bidi="ar-DZ"/>
        </w:rPr>
        <w:t xml:space="preserve">المصدر: </w:t>
      </w:r>
      <w:r>
        <w:rPr>
          <w:rFonts w:hint="cs"/>
          <w:sz w:val="8"/>
          <w:szCs w:val="24"/>
          <w:rtl/>
          <w:lang w:val="en-US"/>
        </w:rPr>
        <w:t>(الباحث، 2022)</w:t>
      </w:r>
      <w:bookmarkEnd w:id="934"/>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7"/>
        <w:gridCol w:w="1222"/>
        <w:gridCol w:w="708"/>
        <w:gridCol w:w="876"/>
        <w:gridCol w:w="2101"/>
        <w:gridCol w:w="992"/>
        <w:gridCol w:w="1153"/>
      </w:tblGrid>
      <w:tr w:rsidR="002E0AAE" w:rsidRPr="00143C39" w:rsidTr="00A3776B">
        <w:trPr>
          <w:trHeight w:val="449"/>
          <w:jc w:val="center"/>
        </w:trPr>
        <w:tc>
          <w:tcPr>
            <w:tcW w:w="1207" w:type="dxa"/>
            <w:tcBorders>
              <w:top w:val="double" w:sz="6" w:space="0" w:color="auto"/>
              <w:left w:val="double" w:sz="6" w:space="0" w:color="auto"/>
              <w:bottom w:val="double" w:sz="6" w:space="0" w:color="auto"/>
            </w:tcBorders>
            <w:shd w:val="clear" w:color="auto" w:fill="auto"/>
            <w:vAlign w:val="center"/>
          </w:tcPr>
          <w:p w:rsidR="002E0AAE" w:rsidRPr="00143C39"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فئة النسيج الحضري</w:t>
            </w:r>
          </w:p>
        </w:tc>
        <w:tc>
          <w:tcPr>
            <w:tcW w:w="1222" w:type="dxa"/>
            <w:tcBorders>
              <w:top w:val="double" w:sz="6" w:space="0" w:color="auto"/>
              <w:bottom w:val="double" w:sz="6" w:space="0" w:color="auto"/>
            </w:tcBorders>
            <w:vAlign w:val="center"/>
          </w:tcPr>
          <w:p w:rsidR="002E0AAE" w:rsidRPr="00143C39" w:rsidRDefault="002E0AAE" w:rsidP="00B13406">
            <w:pPr>
              <w:bidi/>
              <w:spacing w:after="0" w:line="240" w:lineRule="auto"/>
              <w:jc w:val="center"/>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اسم الحي</w:t>
            </w:r>
            <w:r>
              <w:rPr>
                <w:rFonts w:ascii="Simplified Arabic" w:eastAsia="Times New Roman" w:hAnsi="Simplified Arabic" w:cs="Simplified Arabic" w:hint="cs"/>
                <w:color w:val="000000"/>
                <w:sz w:val="24"/>
                <w:szCs w:val="24"/>
                <w:rtl/>
                <w:lang w:eastAsia="fr-FR"/>
              </w:rPr>
              <w:t xml:space="preserve"> السكني</w:t>
            </w:r>
          </w:p>
        </w:tc>
        <w:tc>
          <w:tcPr>
            <w:tcW w:w="708" w:type="dxa"/>
            <w:tcBorders>
              <w:top w:val="double" w:sz="6" w:space="0" w:color="auto"/>
              <w:bottom w:val="double" w:sz="6" w:space="0" w:color="auto"/>
            </w:tcBorders>
            <w:vAlign w:val="center"/>
          </w:tcPr>
          <w:p w:rsidR="002E0AAE" w:rsidRPr="00143C39"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المنطقة</w:t>
            </w:r>
          </w:p>
        </w:tc>
        <w:tc>
          <w:tcPr>
            <w:tcW w:w="876" w:type="dxa"/>
            <w:tcBorders>
              <w:top w:val="double" w:sz="6" w:space="0" w:color="auto"/>
              <w:bottom w:val="double" w:sz="6" w:space="0" w:color="auto"/>
            </w:tcBorders>
            <w:vAlign w:val="center"/>
          </w:tcPr>
          <w:p w:rsidR="002E0AAE" w:rsidRPr="008A594F"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المساحة (هك)</w:t>
            </w:r>
          </w:p>
        </w:tc>
        <w:tc>
          <w:tcPr>
            <w:tcW w:w="2101" w:type="dxa"/>
            <w:tcBorders>
              <w:top w:val="double" w:sz="6" w:space="0" w:color="auto"/>
              <w:bottom w:val="double" w:sz="6" w:space="0" w:color="auto"/>
            </w:tcBorders>
            <w:vAlign w:val="center"/>
          </w:tcPr>
          <w:p w:rsidR="002E0AAE"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نوع المرفق (رمز المعيار)</w:t>
            </w:r>
          </w:p>
        </w:tc>
        <w:tc>
          <w:tcPr>
            <w:tcW w:w="992" w:type="dxa"/>
            <w:tcBorders>
              <w:top w:val="double" w:sz="6" w:space="0" w:color="auto"/>
              <w:bottom w:val="double" w:sz="6" w:space="0" w:color="auto"/>
            </w:tcBorders>
            <w:vAlign w:val="center"/>
          </w:tcPr>
          <w:p w:rsidR="002E0AAE" w:rsidRDefault="002E0AAE" w:rsidP="00B13406">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قيمة التنوع</w:t>
            </w:r>
          </w:p>
          <w:p w:rsidR="002E0AAE" w:rsidRPr="009F10F6"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w:t>
            </w:r>
          </w:p>
        </w:tc>
        <w:tc>
          <w:tcPr>
            <w:tcW w:w="1153" w:type="dxa"/>
            <w:tcBorders>
              <w:top w:val="double" w:sz="6" w:space="0" w:color="auto"/>
              <w:bottom w:val="double" w:sz="6" w:space="0" w:color="auto"/>
              <w:right w:val="double" w:sz="6" w:space="0" w:color="auto"/>
            </w:tcBorders>
            <w:vAlign w:val="center"/>
          </w:tcPr>
          <w:p w:rsidR="002E0AAE" w:rsidRDefault="0030771E" w:rsidP="00B13406">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درجة</w:t>
            </w:r>
            <w:r w:rsidR="002E0AAE" w:rsidRPr="002759D5">
              <w:rPr>
                <w:rFonts w:ascii="Simplified Arabic" w:hAnsi="Simplified Arabic" w:cs="Simplified Arabic"/>
                <w:sz w:val="24"/>
                <w:szCs w:val="24"/>
                <w:rtl/>
                <w:lang w:bidi="ar-DZ"/>
              </w:rPr>
              <w:t xml:space="preserve"> </w:t>
            </w:r>
            <w:r w:rsidR="002E0AAE" w:rsidRPr="002759D5">
              <w:rPr>
                <w:rFonts w:ascii="Simplified Arabic" w:hAnsi="Simplified Arabic" w:cs="Simplified Arabic" w:hint="cs"/>
                <w:sz w:val="24"/>
                <w:szCs w:val="24"/>
                <w:rtl/>
                <w:lang w:bidi="ar-DZ"/>
              </w:rPr>
              <w:t>التنوع</w:t>
            </w:r>
          </w:p>
        </w:tc>
      </w:tr>
      <w:tr w:rsidR="006F47C4" w:rsidRPr="00143C39" w:rsidTr="00B13406">
        <w:trPr>
          <w:trHeight w:val="64"/>
          <w:jc w:val="center"/>
        </w:trPr>
        <w:tc>
          <w:tcPr>
            <w:tcW w:w="1207" w:type="dxa"/>
            <w:vMerge w:val="restart"/>
            <w:tcBorders>
              <w:top w:val="double" w:sz="6" w:space="0" w:color="auto"/>
              <w:left w:val="double" w:sz="6" w:space="0" w:color="auto"/>
            </w:tcBorders>
            <w:shd w:val="clear" w:color="auto" w:fill="auto"/>
            <w:vAlign w:val="center"/>
          </w:tcPr>
          <w:p w:rsidR="006F47C4" w:rsidRPr="00143C39"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w:t>
            </w:r>
            <w:r>
              <w:rPr>
                <w:rFonts w:ascii="Simplified Arabic" w:eastAsia="Times New Roman" w:hAnsi="Simplified Arabic" w:cs="Simplified Arabic" w:hint="cs"/>
                <w:color w:val="000000"/>
                <w:sz w:val="24"/>
                <w:szCs w:val="24"/>
                <w:rtl/>
                <w:lang w:eastAsia="fr-FR"/>
              </w:rPr>
              <w:t>(ج)</w:t>
            </w:r>
          </w:p>
        </w:tc>
        <w:tc>
          <w:tcPr>
            <w:tcW w:w="1222" w:type="dxa"/>
            <w:vMerge w:val="restart"/>
            <w:tcBorders>
              <w:top w:val="double" w:sz="6" w:space="0" w:color="auto"/>
            </w:tcBorders>
            <w:vAlign w:val="center"/>
          </w:tcPr>
          <w:p w:rsidR="006F47C4" w:rsidRPr="008A594F"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sidRPr="00FA4954">
              <w:rPr>
                <w:rFonts w:ascii="Simplified Arabic" w:eastAsia="Times New Roman" w:hAnsi="Simplified Arabic" w:cs="Simplified Arabic"/>
                <w:color w:val="000000"/>
                <w:sz w:val="24"/>
                <w:szCs w:val="24"/>
                <w:rtl/>
                <w:lang w:eastAsia="fr-FR"/>
              </w:rPr>
              <w:t>سيدي سليمان</w:t>
            </w:r>
          </w:p>
        </w:tc>
        <w:tc>
          <w:tcPr>
            <w:tcW w:w="708" w:type="dxa"/>
            <w:tcBorders>
              <w:top w:val="double" w:sz="6" w:space="0" w:color="auto"/>
            </w:tcBorders>
            <w:shd w:val="clear" w:color="auto" w:fill="auto"/>
            <w:vAlign w:val="center"/>
          </w:tcPr>
          <w:p w:rsidR="006F47C4" w:rsidRPr="00143C39"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2</w:t>
            </w:r>
          </w:p>
        </w:tc>
        <w:tc>
          <w:tcPr>
            <w:tcW w:w="876" w:type="dxa"/>
            <w:tcBorders>
              <w:top w:val="double" w:sz="6" w:space="0" w:color="auto"/>
            </w:tcBorders>
            <w:shd w:val="clear" w:color="auto" w:fill="auto"/>
            <w:vAlign w:val="center"/>
          </w:tcPr>
          <w:p w:rsidR="006F47C4" w:rsidRPr="008A594F"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106.02</w:t>
            </w:r>
          </w:p>
        </w:tc>
        <w:tc>
          <w:tcPr>
            <w:tcW w:w="2101" w:type="dxa"/>
            <w:tcBorders>
              <w:top w:val="double" w:sz="6" w:space="0" w:color="auto"/>
            </w:tcBorders>
            <w:vAlign w:val="center"/>
          </w:tcPr>
          <w:p w:rsidR="006F47C4" w:rsidRPr="009749C2" w:rsidRDefault="006F47C4" w:rsidP="00B13406">
            <w:pPr>
              <w:bidi/>
              <w:spacing w:after="0" w:line="240" w:lineRule="auto"/>
              <w:jc w:val="center"/>
              <w:rPr>
                <w:rFonts w:asciiTheme="majorBidi" w:eastAsia="Times New Roman" w:hAnsiTheme="majorBidi" w:cstheme="majorBidi"/>
                <w:color w:val="000000"/>
                <w:sz w:val="24"/>
                <w:szCs w:val="24"/>
                <w:rtl/>
                <w:lang w:eastAsia="fr-FR"/>
              </w:rPr>
            </w:pPr>
            <w:r w:rsidRPr="009749C2">
              <w:rPr>
                <w:rFonts w:asciiTheme="majorBidi" w:eastAsia="Times New Roman" w:hAnsiTheme="majorBidi" w:cstheme="majorBidi"/>
                <w:color w:val="000000"/>
                <w:sz w:val="24"/>
                <w:szCs w:val="24"/>
                <w:lang w:eastAsia="fr-FR"/>
              </w:rPr>
              <w:t>C1+C4+C5</w:t>
            </w:r>
          </w:p>
        </w:tc>
        <w:tc>
          <w:tcPr>
            <w:tcW w:w="992" w:type="dxa"/>
            <w:tcBorders>
              <w:top w:val="double" w:sz="6" w:space="0" w:color="auto"/>
            </w:tcBorders>
            <w:vAlign w:val="center"/>
          </w:tcPr>
          <w:p w:rsidR="006F47C4" w:rsidRPr="008A594F"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63.17</w:t>
            </w:r>
          </w:p>
        </w:tc>
        <w:tc>
          <w:tcPr>
            <w:tcW w:w="1153" w:type="dxa"/>
            <w:tcBorders>
              <w:top w:val="double" w:sz="6" w:space="0" w:color="auto"/>
              <w:right w:val="double" w:sz="6" w:space="0" w:color="auto"/>
            </w:tcBorders>
            <w:vAlign w:val="center"/>
          </w:tcPr>
          <w:p w:rsidR="006F47C4" w:rsidRPr="008A594F" w:rsidRDefault="006F47C4"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9F10F6">
              <w:rPr>
                <w:rFonts w:ascii="Simplified Arabic" w:hAnsi="Simplified Arabic" w:cs="Simplified Arabic" w:hint="cs"/>
                <w:color w:val="000000" w:themeColor="text1"/>
                <w:sz w:val="24"/>
                <w:szCs w:val="24"/>
                <w:rtl/>
                <w:lang w:val="en-US"/>
              </w:rPr>
              <w:t>عالي</w:t>
            </w:r>
          </w:p>
        </w:tc>
      </w:tr>
      <w:tr w:rsidR="006F47C4" w:rsidRPr="00143C39" w:rsidTr="00B13406">
        <w:trPr>
          <w:trHeight w:val="64"/>
          <w:jc w:val="center"/>
        </w:trPr>
        <w:tc>
          <w:tcPr>
            <w:tcW w:w="1207" w:type="dxa"/>
            <w:vMerge/>
            <w:tcBorders>
              <w:left w:val="double" w:sz="6" w:space="0" w:color="auto"/>
            </w:tcBorders>
            <w:shd w:val="clear" w:color="auto" w:fill="auto"/>
            <w:vAlign w:val="center"/>
          </w:tcPr>
          <w:p w:rsidR="006F47C4"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vAlign w:val="center"/>
          </w:tcPr>
          <w:p w:rsidR="006F47C4" w:rsidRPr="00FA4954"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shd w:val="clear" w:color="auto" w:fill="auto"/>
            <w:vAlign w:val="center"/>
          </w:tcPr>
          <w:p w:rsidR="006F47C4" w:rsidRPr="008A594F"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3</w:t>
            </w:r>
          </w:p>
        </w:tc>
        <w:tc>
          <w:tcPr>
            <w:tcW w:w="876" w:type="dxa"/>
            <w:shd w:val="clear" w:color="auto" w:fill="auto"/>
            <w:vAlign w:val="center"/>
          </w:tcPr>
          <w:p w:rsidR="006F47C4" w:rsidRPr="008A594F" w:rsidRDefault="006F47C4" w:rsidP="00692407">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23.90</w:t>
            </w:r>
          </w:p>
        </w:tc>
        <w:tc>
          <w:tcPr>
            <w:tcW w:w="2101" w:type="dxa"/>
            <w:vAlign w:val="center"/>
          </w:tcPr>
          <w:p w:rsidR="006F47C4" w:rsidRPr="009749C2" w:rsidRDefault="006F47C4" w:rsidP="00B13406">
            <w:pPr>
              <w:bidi/>
              <w:spacing w:after="0" w:line="240" w:lineRule="auto"/>
              <w:jc w:val="center"/>
              <w:rPr>
                <w:rFonts w:asciiTheme="majorBidi" w:eastAsia="Times New Roman" w:hAnsiTheme="majorBidi" w:cstheme="majorBidi"/>
                <w:color w:val="000000"/>
                <w:sz w:val="24"/>
                <w:szCs w:val="24"/>
                <w:rtl/>
                <w:lang w:eastAsia="fr-FR"/>
              </w:rPr>
            </w:pPr>
            <w:r w:rsidRPr="009749C2">
              <w:rPr>
                <w:rFonts w:asciiTheme="majorBidi" w:eastAsia="Times New Roman" w:hAnsiTheme="majorBidi" w:cstheme="majorBidi"/>
                <w:color w:val="000000"/>
                <w:sz w:val="24"/>
                <w:szCs w:val="24"/>
                <w:lang w:eastAsia="fr-FR"/>
              </w:rPr>
              <w:t>C1+C5</w:t>
            </w:r>
          </w:p>
        </w:tc>
        <w:tc>
          <w:tcPr>
            <w:tcW w:w="992" w:type="dxa"/>
            <w:vAlign w:val="center"/>
          </w:tcPr>
          <w:p w:rsidR="006F47C4" w:rsidRPr="008A594F"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39.15</w:t>
            </w:r>
          </w:p>
        </w:tc>
        <w:tc>
          <w:tcPr>
            <w:tcW w:w="1153" w:type="dxa"/>
            <w:tcBorders>
              <w:right w:val="double" w:sz="6" w:space="0" w:color="auto"/>
            </w:tcBorders>
            <w:vAlign w:val="center"/>
          </w:tcPr>
          <w:p w:rsidR="006F47C4" w:rsidRPr="00143C39" w:rsidRDefault="006F47C4"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مقبول</w:t>
            </w:r>
          </w:p>
        </w:tc>
      </w:tr>
      <w:tr w:rsidR="00A3776B" w:rsidRPr="00143C39" w:rsidTr="00A3776B">
        <w:trPr>
          <w:trHeight w:val="70"/>
          <w:jc w:val="center"/>
        </w:trPr>
        <w:tc>
          <w:tcPr>
            <w:tcW w:w="1207" w:type="dxa"/>
            <w:vMerge/>
            <w:tcBorders>
              <w:left w:val="double" w:sz="6" w:space="0" w:color="auto"/>
              <w:bottom w:val="double" w:sz="6" w:space="0" w:color="auto"/>
            </w:tcBorders>
            <w:shd w:val="clear" w:color="auto" w:fill="auto"/>
            <w:vAlign w:val="center"/>
          </w:tcPr>
          <w:p w:rsidR="00A3776B"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tcBorders>
              <w:bottom w:val="double" w:sz="6" w:space="0" w:color="auto"/>
            </w:tcBorders>
            <w:vAlign w:val="center"/>
          </w:tcPr>
          <w:p w:rsidR="00A3776B" w:rsidRPr="00FA4954"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tcBorders>
              <w:bottom w:val="double" w:sz="6" w:space="0" w:color="auto"/>
            </w:tcBorders>
            <w:shd w:val="clear" w:color="auto" w:fill="auto"/>
            <w:vAlign w:val="center"/>
          </w:tcPr>
          <w:p w:rsidR="00A3776B"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4</w:t>
            </w:r>
          </w:p>
        </w:tc>
        <w:tc>
          <w:tcPr>
            <w:tcW w:w="876" w:type="dxa"/>
            <w:tcBorders>
              <w:bottom w:val="double" w:sz="6" w:space="0" w:color="auto"/>
            </w:tcBorders>
            <w:shd w:val="clear" w:color="auto" w:fill="auto"/>
            <w:vAlign w:val="center"/>
          </w:tcPr>
          <w:p w:rsidR="00A3776B"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13.14</w:t>
            </w:r>
          </w:p>
        </w:tc>
        <w:tc>
          <w:tcPr>
            <w:tcW w:w="2101" w:type="dxa"/>
            <w:tcBorders>
              <w:bottom w:val="double" w:sz="6" w:space="0" w:color="auto"/>
            </w:tcBorders>
            <w:vAlign w:val="center"/>
          </w:tcPr>
          <w:p w:rsidR="00A3776B" w:rsidRPr="009749C2" w:rsidRDefault="00A3776B" w:rsidP="00B13406">
            <w:pPr>
              <w:bidi/>
              <w:spacing w:after="0" w:line="240" w:lineRule="auto"/>
              <w:jc w:val="center"/>
              <w:rPr>
                <w:rFonts w:asciiTheme="majorBidi" w:eastAsia="Times New Roman" w:hAnsiTheme="majorBidi" w:cstheme="majorBidi"/>
                <w:color w:val="000000"/>
                <w:sz w:val="24"/>
                <w:szCs w:val="24"/>
                <w:lang w:eastAsia="fr-FR"/>
              </w:rPr>
            </w:pPr>
            <w:r w:rsidRPr="009749C2">
              <w:rPr>
                <w:rFonts w:asciiTheme="majorBidi" w:eastAsia="Times New Roman" w:hAnsiTheme="majorBidi" w:cstheme="majorBidi"/>
                <w:color w:val="000000"/>
                <w:sz w:val="24"/>
                <w:szCs w:val="24"/>
                <w:lang w:eastAsia="fr-FR"/>
              </w:rPr>
              <w:t>C4+C5</w:t>
            </w:r>
          </w:p>
        </w:tc>
        <w:tc>
          <w:tcPr>
            <w:tcW w:w="992" w:type="dxa"/>
            <w:tcBorders>
              <w:bottom w:val="double" w:sz="6" w:space="0" w:color="auto"/>
            </w:tcBorders>
            <w:vAlign w:val="center"/>
          </w:tcPr>
          <w:p w:rsidR="00A3776B"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37.46</w:t>
            </w:r>
          </w:p>
        </w:tc>
        <w:tc>
          <w:tcPr>
            <w:tcW w:w="1153" w:type="dxa"/>
            <w:tcBorders>
              <w:bottom w:val="double" w:sz="6" w:space="0" w:color="auto"/>
              <w:right w:val="double" w:sz="6" w:space="0" w:color="auto"/>
            </w:tcBorders>
            <w:vAlign w:val="center"/>
          </w:tcPr>
          <w:p w:rsidR="00A3776B" w:rsidRPr="008A594F" w:rsidRDefault="00A3776B" w:rsidP="007529D2">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منخفض</w:t>
            </w:r>
          </w:p>
        </w:tc>
      </w:tr>
    </w:tbl>
    <w:p w:rsidR="00180C88" w:rsidRPr="00180C88" w:rsidRDefault="00180C88" w:rsidP="00180C88">
      <w:pPr>
        <w:pStyle w:val="Paragraphedeliste"/>
        <w:numPr>
          <w:ilvl w:val="0"/>
          <w:numId w:val="69"/>
        </w:numPr>
        <w:autoSpaceDE w:val="0"/>
        <w:autoSpaceDN w:val="0"/>
        <w:bidi/>
        <w:adjustRightInd w:val="0"/>
        <w:spacing w:before="240" w:after="0"/>
        <w:ind w:left="0" w:firstLine="283"/>
        <w:jc w:val="both"/>
        <w:rPr>
          <w:rFonts w:ascii="Simplified Arabic" w:hAnsi="Simplified Arabic" w:cs="Simplified Arabic"/>
          <w:sz w:val="24"/>
          <w:szCs w:val="24"/>
          <w:rtl/>
          <w:lang w:val="en-US" w:bidi="ar-DZ"/>
        </w:rPr>
      </w:pPr>
      <w:r w:rsidRPr="00180C88">
        <w:rPr>
          <w:rFonts w:ascii="Simplified Arabic" w:hAnsi="Simplified Arabic" w:cs="Simplified Arabic" w:hint="cs"/>
          <w:sz w:val="24"/>
          <w:szCs w:val="24"/>
          <w:rtl/>
          <w:lang w:val="en-US" w:bidi="ar-DZ"/>
        </w:rPr>
        <w:lastRenderedPageBreak/>
        <w:t>من</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الناحية</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المكانية، يظهر</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 xml:space="preserve">حي </w:t>
      </w:r>
      <w:r w:rsidRPr="00180C88">
        <w:rPr>
          <w:rFonts w:ascii="Simplified Arabic" w:eastAsia="Times New Roman" w:hAnsi="Simplified Arabic" w:cs="Simplified Arabic"/>
          <w:color w:val="000000"/>
          <w:sz w:val="24"/>
          <w:szCs w:val="24"/>
          <w:rtl/>
          <w:lang w:eastAsia="fr-FR"/>
        </w:rPr>
        <w:t>الحمايد</w:t>
      </w:r>
      <w:r w:rsidRPr="00180C88">
        <w:rPr>
          <w:rFonts w:ascii="Simplified Arabic" w:hAnsi="Simplified Arabic" w:cs="Simplified Arabic" w:hint="cs"/>
          <w:sz w:val="24"/>
          <w:szCs w:val="24"/>
          <w:rtl/>
          <w:lang w:val="en-US" w:bidi="ar-DZ"/>
        </w:rPr>
        <w:t>،</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توزيع</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val="en-US" w:bidi="ar-DZ"/>
        </w:rPr>
        <w:t>أنواع مختلفة من المرافق،</w:t>
      </w:r>
      <w:r w:rsidRPr="00180C88">
        <w:rPr>
          <w:rFonts w:ascii="Simplified Arabic" w:hAnsi="Simplified Arabic" w:cs="Simplified Arabic"/>
          <w:sz w:val="24"/>
          <w:szCs w:val="24"/>
          <w:rtl/>
          <w:lang w:val="en-US" w:bidi="ar-DZ"/>
        </w:rPr>
        <w:t xml:space="preserve"> </w:t>
      </w:r>
      <w:r w:rsidRPr="00180C88">
        <w:rPr>
          <w:rFonts w:ascii="Simplified Arabic" w:hAnsi="Simplified Arabic" w:cs="Simplified Arabic" w:hint="cs"/>
          <w:sz w:val="24"/>
          <w:szCs w:val="24"/>
          <w:rtl/>
          <w:lang w:bidi="ar-DZ"/>
        </w:rPr>
        <w:t>يتبع</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نمطًا</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مبعثرًا</w:t>
      </w:r>
      <w:r w:rsidRPr="00180C88">
        <w:rPr>
          <w:rFonts w:ascii="Simplified Arabic" w:hAnsi="Simplified Arabic" w:cs="Simplified Arabic"/>
          <w:sz w:val="24"/>
          <w:szCs w:val="24"/>
          <w:rtl/>
          <w:lang w:bidi="ar-DZ"/>
        </w:rPr>
        <w:t xml:space="preserve"> </w:t>
      </w:r>
      <w:r w:rsidRPr="00180C88">
        <w:rPr>
          <w:rFonts w:ascii="Simplified Arabic" w:hAnsi="Simplified Arabic" w:cs="Simplified Arabic" w:hint="cs"/>
          <w:sz w:val="24"/>
          <w:szCs w:val="24"/>
          <w:rtl/>
          <w:lang w:bidi="ar-DZ"/>
        </w:rPr>
        <w:t xml:space="preserve">كما هو موضح في الخريطة </w:t>
      </w:r>
      <w:r w:rsidRPr="00180C88">
        <w:rPr>
          <w:rFonts w:ascii="Simplified Arabic" w:hAnsi="Simplified Arabic" w:cs="Simplified Arabic"/>
          <w:sz w:val="24"/>
          <w:szCs w:val="24"/>
          <w:rtl/>
          <w:lang w:bidi="ar-DZ"/>
        </w:rPr>
        <w:t>(</w:t>
      </w:r>
      <w:r w:rsidRPr="00180C88">
        <w:rPr>
          <w:rFonts w:ascii="Simplified Arabic" w:hAnsi="Simplified Arabic" w:cs="Simplified Arabic" w:hint="cs"/>
          <w:sz w:val="24"/>
          <w:szCs w:val="24"/>
          <w:rtl/>
          <w:lang w:bidi="ar-DZ"/>
        </w:rPr>
        <w:t>6-13</w:t>
      </w:r>
      <w:r w:rsidRPr="00180C88">
        <w:rPr>
          <w:rFonts w:ascii="Simplified Arabic" w:hAnsi="Simplified Arabic" w:cs="Simplified Arabic"/>
          <w:sz w:val="24"/>
          <w:szCs w:val="24"/>
          <w:rtl/>
          <w:lang w:bidi="ar-DZ"/>
        </w:rPr>
        <w:t>)</w:t>
      </w:r>
      <w:r w:rsidRPr="00180C88">
        <w:rPr>
          <w:rFonts w:ascii="Simplified Arabic" w:hAnsi="Simplified Arabic" w:cs="Simplified Arabic" w:hint="cs"/>
          <w:sz w:val="24"/>
          <w:szCs w:val="24"/>
          <w:rtl/>
          <w:lang w:bidi="ar-DZ"/>
        </w:rPr>
        <w:t xml:space="preserve">، مع تركيز اعلى للمرافق في الجزء الغربي للحي الاقرب الى وسط المدينة. </w:t>
      </w:r>
    </w:p>
    <w:p w:rsidR="00180C88" w:rsidRDefault="00180C88" w:rsidP="00986BEA">
      <w:pPr>
        <w:pStyle w:val="carte"/>
        <w:spacing w:after="0"/>
        <w:rPr>
          <w:rtl/>
          <w:lang w:bidi="ar-DZ"/>
        </w:rPr>
      </w:pPr>
      <w:bookmarkStart w:id="935" w:name="_Toc157616621"/>
      <w:bookmarkStart w:id="936" w:name="_Toc171803867"/>
      <w:r w:rsidRPr="005373F7">
        <w:rPr>
          <w:rFonts w:hint="cs"/>
          <w:rtl/>
          <w:lang w:bidi="ar-DZ"/>
        </w:rPr>
        <w:t>الخريطة (6-13) تنوع المرافق على مستوى حي الحمايد</w:t>
      </w:r>
      <w:bookmarkEnd w:id="935"/>
      <w:bookmarkEnd w:id="936"/>
    </w:p>
    <w:p w:rsidR="00986BEA" w:rsidRPr="00986BEA" w:rsidRDefault="00986BEA" w:rsidP="00986BEA">
      <w:pPr>
        <w:pStyle w:val="fegure"/>
        <w:rPr>
          <w:sz w:val="8"/>
          <w:szCs w:val="24"/>
          <w:rtl/>
          <w:lang w:val="en-US"/>
        </w:rPr>
      </w:pPr>
      <w:bookmarkStart w:id="937" w:name="_Toc171803868"/>
      <w:r>
        <w:rPr>
          <w:rFonts w:hint="cs"/>
          <w:sz w:val="8"/>
          <w:szCs w:val="24"/>
          <w:rtl/>
          <w:lang w:val="en-US" w:bidi="ar-DZ"/>
        </w:rPr>
        <w:t xml:space="preserve">المصدر: </w:t>
      </w:r>
      <w:r>
        <w:rPr>
          <w:rFonts w:hint="cs"/>
          <w:sz w:val="8"/>
          <w:szCs w:val="24"/>
          <w:rtl/>
          <w:lang w:val="en-US"/>
        </w:rPr>
        <w:t>(الباحث، 2022)</w:t>
      </w:r>
      <w:bookmarkEnd w:id="937"/>
    </w:p>
    <w:p w:rsidR="00180C88" w:rsidRDefault="00180C88" w:rsidP="00180C88">
      <w:pPr>
        <w:autoSpaceDE w:val="0"/>
        <w:autoSpaceDN w:val="0"/>
        <w:bidi/>
        <w:adjustRightInd w:val="0"/>
        <w:spacing w:after="0" w:line="240" w:lineRule="auto"/>
        <w:jc w:val="center"/>
        <w:rPr>
          <w:rFonts w:ascii="Simplified Arabic" w:hAnsi="Simplified Arabic" w:cs="Simplified Arabic"/>
          <w:sz w:val="24"/>
          <w:szCs w:val="24"/>
          <w:rtl/>
          <w:lang w:bidi="ar-DZ"/>
        </w:rPr>
      </w:pPr>
      <w:r>
        <w:rPr>
          <w:rFonts w:ascii="Simplified Arabic" w:hAnsi="Simplified Arabic" w:cs="Simplified Arabic"/>
          <w:noProof/>
          <w:sz w:val="24"/>
          <w:szCs w:val="24"/>
          <w:lang w:eastAsia="fr-FR"/>
        </w:rPr>
        <w:drawing>
          <wp:inline distT="0" distB="0" distL="0" distR="0" wp14:anchorId="748FE72B" wp14:editId="4FA4509C">
            <wp:extent cx="2708694" cy="3324935"/>
            <wp:effectExtent l="0" t="0" r="0" b="8890"/>
            <wp:docPr id="241" name="Imag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25" cstate="print">
                      <a:extLst>
                        <a:ext uri="{28A0092B-C50C-407E-A947-70E740481C1C}">
                          <a14:useLocalDpi xmlns:a14="http://schemas.microsoft.com/office/drawing/2010/main" val="0"/>
                        </a:ext>
                      </a:extLst>
                    </a:blip>
                    <a:srcRect t="8233" r="2237" b="819"/>
                    <a:stretch/>
                  </pic:blipFill>
                  <pic:spPr bwMode="auto">
                    <a:xfrm>
                      <a:off x="0" y="0"/>
                      <a:ext cx="2722270" cy="3341599"/>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hint="cs"/>
          <w:sz w:val="24"/>
          <w:szCs w:val="24"/>
          <w:rtl/>
          <w:lang w:bidi="ar-DZ"/>
        </w:rPr>
        <w:t xml:space="preserve"> </w:t>
      </w:r>
    </w:p>
    <w:p w:rsidR="00CC1EC5" w:rsidRDefault="00CC1EC5" w:rsidP="00180C88">
      <w:pPr>
        <w:autoSpaceDE w:val="0"/>
        <w:autoSpaceDN w:val="0"/>
        <w:bidi/>
        <w:adjustRightInd w:val="0"/>
        <w:spacing w:before="240" w:after="0"/>
        <w:ind w:firstLine="282"/>
        <w:jc w:val="both"/>
        <w:rPr>
          <w:rFonts w:ascii="Simplified Arabic" w:hAnsi="Simplified Arabic" w:cs="Simplified Arabic"/>
          <w:sz w:val="24"/>
          <w:szCs w:val="24"/>
          <w:rtl/>
          <w:lang w:bidi="ar-DZ"/>
        </w:rPr>
      </w:pPr>
      <w:r w:rsidRPr="00DD2046">
        <w:rPr>
          <w:rFonts w:ascii="Simplified Arabic" w:hAnsi="Simplified Arabic" w:cs="Simplified Arabic" w:hint="cs"/>
          <w:sz w:val="24"/>
          <w:szCs w:val="24"/>
          <w:rtl/>
          <w:lang w:bidi="ar-DZ"/>
        </w:rPr>
        <w:t>تشير</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دراسة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التنوع</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val="en-US" w:bidi="ar-DZ"/>
        </w:rPr>
        <w:t xml:space="preserve">في </w:t>
      </w:r>
      <w:r w:rsidRPr="00040621">
        <w:rPr>
          <w:rFonts w:ascii="Simplified Arabic" w:hAnsi="Simplified Arabic" w:cs="Simplified Arabic" w:hint="cs"/>
          <w:sz w:val="24"/>
          <w:szCs w:val="24"/>
          <w:rtl/>
          <w:lang w:val="en-US" w:bidi="ar-DZ"/>
        </w:rPr>
        <w:t xml:space="preserve">حي </w:t>
      </w:r>
      <w:r>
        <w:rPr>
          <w:rFonts w:ascii="Simplified Arabic" w:hAnsi="Simplified Arabic" w:cs="Simplified Arabic" w:hint="cs"/>
          <w:sz w:val="24"/>
          <w:szCs w:val="24"/>
          <w:rtl/>
          <w:lang w:bidi="ar-DZ"/>
        </w:rPr>
        <w:t>الحمايد</w:t>
      </w:r>
      <w:r>
        <w:rPr>
          <w:rFonts w:ascii="Simplified Arabic" w:hAnsi="Simplified Arabic" w:cs="Simplified Arabic" w:hint="cs"/>
          <w:sz w:val="24"/>
          <w:szCs w:val="24"/>
          <w:rtl/>
        </w:rPr>
        <w:t>، الواقع ضمن فئة النسيج الحضري (د)</w:t>
      </w:r>
      <w:r w:rsidRPr="007708D9">
        <w:rPr>
          <w:rFonts w:ascii="Simplified Arabic" w:hAnsi="Simplified Arabic" w:cs="Simplified Arabic" w:hint="cs"/>
          <w:sz w:val="24"/>
          <w:szCs w:val="24"/>
          <w:rtl/>
          <w:lang w:val="en-US" w:bidi="ar-DZ"/>
        </w:rPr>
        <w:t>،</w:t>
      </w:r>
      <w:r w:rsidRPr="00040621">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الى توفر </w:t>
      </w:r>
      <w:r w:rsidR="002F2E6E">
        <w:rPr>
          <w:rFonts w:ascii="Simplified Arabic" w:hAnsi="Simplified Arabic" w:cs="Simplified Arabic" w:hint="cs"/>
          <w:sz w:val="24"/>
          <w:szCs w:val="24"/>
          <w:rtl/>
          <w:lang w:val="en-US" w:bidi="ar-DZ"/>
        </w:rPr>
        <w:t>نسبي لأنواع</w:t>
      </w:r>
      <w:r>
        <w:rPr>
          <w:rFonts w:ascii="Simplified Arabic" w:hAnsi="Simplified Arabic" w:cs="Simplified Arabic" w:hint="cs"/>
          <w:sz w:val="24"/>
          <w:szCs w:val="24"/>
          <w:rtl/>
          <w:lang w:val="en-US" w:bidi="ar-DZ"/>
        </w:rPr>
        <w:t xml:space="preserve"> </w:t>
      </w:r>
      <w:r w:rsidR="002F2E6E">
        <w:rPr>
          <w:rFonts w:ascii="Simplified Arabic" w:hAnsi="Simplified Arabic" w:cs="Simplified Arabic" w:hint="cs"/>
          <w:sz w:val="24"/>
          <w:szCs w:val="24"/>
          <w:rtl/>
          <w:lang w:val="en-US" w:bidi="ar-DZ"/>
        </w:rPr>
        <w:t xml:space="preserve">من </w:t>
      </w:r>
      <w:r>
        <w:rPr>
          <w:rFonts w:ascii="Simplified Arabic" w:hAnsi="Simplified Arabic" w:cs="Simplified Arabic" w:hint="cs"/>
          <w:sz w:val="24"/>
          <w:szCs w:val="24"/>
          <w:rtl/>
          <w:lang w:val="en-US" w:bidi="ar-DZ"/>
        </w:rPr>
        <w:t xml:space="preserve">المرافق يمكن الوصول اليها ضمن عتبة المسافة المعيارية النظرية. </w:t>
      </w:r>
      <w:r w:rsidRPr="004E1B18">
        <w:rPr>
          <w:rFonts w:ascii="Simplified Arabic" w:hAnsi="Simplified Arabic" w:cs="Simplified Arabic" w:hint="cs"/>
          <w:sz w:val="24"/>
          <w:szCs w:val="24"/>
          <w:rtl/>
          <w:lang w:val="en-US" w:bidi="ar-DZ"/>
        </w:rPr>
        <w:t>يظهر</w:t>
      </w:r>
      <w:r w:rsidRPr="004E1B18">
        <w:rPr>
          <w:rFonts w:ascii="Simplified Arabic" w:hAnsi="Simplified Arabic" w:cs="Simplified Arabic"/>
          <w:sz w:val="24"/>
          <w:szCs w:val="24"/>
          <w:rtl/>
          <w:lang w:val="en-US" w:bidi="ar-DZ"/>
        </w:rPr>
        <w:t xml:space="preserve"> </w:t>
      </w:r>
      <w:r w:rsidR="003337FD">
        <w:rPr>
          <w:rFonts w:ascii="Simplified Arabic" w:hAnsi="Simplified Arabic" w:cs="Simplified Arabic" w:hint="cs"/>
          <w:sz w:val="24"/>
          <w:szCs w:val="24"/>
          <w:rtl/>
        </w:rPr>
        <w:t>استعمالات</w:t>
      </w:r>
      <w:r>
        <w:rPr>
          <w:rFonts w:ascii="Simplified Arabic" w:hAnsi="Simplified Arabic" w:cs="Simplified Arabic" w:hint="cs"/>
          <w:sz w:val="24"/>
          <w:szCs w:val="24"/>
          <w:rtl/>
          <w:lang w:val="en-US" w:bidi="ar-DZ"/>
        </w:rPr>
        <w:t xml:space="preserve"> الارض ان المساحة </w:t>
      </w:r>
      <w:r w:rsidR="00AE0608">
        <w:rPr>
          <w:rFonts w:ascii="Simplified Arabic" w:hAnsi="Simplified Arabic" w:cs="Simplified Arabic" w:hint="cs"/>
          <w:sz w:val="24"/>
          <w:szCs w:val="24"/>
          <w:rtl/>
          <w:lang w:val="en-US" w:bidi="ar-DZ"/>
        </w:rPr>
        <w:t>ال</w:t>
      </w:r>
      <w:r>
        <w:rPr>
          <w:rFonts w:ascii="Simplified Arabic" w:hAnsi="Simplified Arabic" w:cs="Simplified Arabic" w:hint="cs"/>
          <w:sz w:val="24"/>
          <w:szCs w:val="24"/>
          <w:rtl/>
          <w:lang w:val="en-US" w:bidi="ar-DZ"/>
        </w:rPr>
        <w:t>مغطاة بالخدم</w:t>
      </w:r>
      <w:r w:rsidR="002F2E6E">
        <w:rPr>
          <w:rFonts w:ascii="Simplified Arabic" w:hAnsi="Simplified Arabic" w:cs="Simplified Arabic" w:hint="cs"/>
          <w:sz w:val="24"/>
          <w:szCs w:val="24"/>
          <w:rtl/>
          <w:lang w:val="en-US" w:bidi="ar-DZ"/>
        </w:rPr>
        <w:t>ات</w:t>
      </w:r>
      <w:r w:rsidR="00AE0608">
        <w:rPr>
          <w:rFonts w:ascii="Simplified Arabic" w:hAnsi="Simplified Arabic" w:cs="Simplified Arabic" w:hint="cs"/>
          <w:sz w:val="24"/>
          <w:szCs w:val="24"/>
          <w:rtl/>
          <w:lang w:val="en-US" w:bidi="ar-DZ"/>
        </w:rPr>
        <w:t xml:space="preserve"> للمنطقة1</w:t>
      </w:r>
      <w:r w:rsidR="0030771E">
        <w:rPr>
          <w:rFonts w:ascii="Simplified Arabic" w:hAnsi="Simplified Arabic" w:cs="Simplified Arabic" w:hint="cs"/>
          <w:sz w:val="24"/>
          <w:szCs w:val="24"/>
          <w:rtl/>
          <w:lang w:val="en-US" w:bidi="ar-DZ"/>
        </w:rPr>
        <w:t xml:space="preserve"> و2 على التوالي</w:t>
      </w:r>
      <w:r>
        <w:rPr>
          <w:rFonts w:ascii="Simplified Arabic" w:hAnsi="Simplified Arabic" w:cs="Simplified Arabic" w:hint="cs"/>
          <w:sz w:val="24"/>
          <w:szCs w:val="24"/>
          <w:rtl/>
          <w:lang w:val="en-US" w:bidi="ar-DZ"/>
        </w:rPr>
        <w:t xml:space="preserve"> تساوي</w:t>
      </w:r>
      <w:r w:rsidR="00F26AB3">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w:t>
      </w:r>
      <w:r w:rsidR="00AE0608">
        <w:rPr>
          <w:rFonts w:ascii="Simplified Arabic" w:eastAsia="Times New Roman" w:hAnsi="Simplified Arabic" w:cs="Simplified Arabic" w:hint="cs"/>
          <w:color w:val="000000"/>
          <w:sz w:val="24"/>
          <w:szCs w:val="24"/>
          <w:rtl/>
          <w:lang w:eastAsia="fr-FR"/>
        </w:rPr>
        <w:t>28</w:t>
      </w:r>
      <w:r>
        <w:rPr>
          <w:rFonts w:ascii="Simplified Arabic" w:eastAsia="Times New Roman" w:hAnsi="Simplified Arabic" w:cs="Simplified Arabic" w:hint="cs"/>
          <w:color w:val="000000"/>
          <w:sz w:val="24"/>
          <w:szCs w:val="24"/>
          <w:rtl/>
          <w:lang w:eastAsia="fr-FR"/>
        </w:rPr>
        <w:t>.</w:t>
      </w:r>
      <w:r w:rsidR="00AE0608">
        <w:rPr>
          <w:rFonts w:ascii="Simplified Arabic" w:eastAsia="Times New Roman" w:hAnsi="Simplified Arabic" w:cs="Simplified Arabic" w:hint="cs"/>
          <w:color w:val="000000"/>
          <w:sz w:val="24"/>
          <w:szCs w:val="24"/>
          <w:rtl/>
          <w:lang w:eastAsia="fr-FR"/>
        </w:rPr>
        <w:t>16</w:t>
      </w:r>
      <w:r w:rsidR="00F26AB3">
        <w:rPr>
          <w:rFonts w:ascii="Simplified Arabic" w:eastAsia="Times New Roman" w:hAnsi="Simplified Arabic" w:cs="Simplified Arabic" w:hint="cs"/>
          <w:color w:val="000000"/>
          <w:sz w:val="24"/>
          <w:szCs w:val="24"/>
          <w:rtl/>
          <w:lang w:eastAsia="fr-FR"/>
        </w:rPr>
        <w:t xml:space="preserve"> </w:t>
      </w:r>
      <w:r w:rsidR="00F26AB3">
        <w:rPr>
          <w:rFonts w:ascii="Simplified Arabic" w:hAnsi="Simplified Arabic" w:cs="Simplified Arabic" w:hint="cs"/>
          <w:sz w:val="24"/>
          <w:szCs w:val="24"/>
          <w:rtl/>
          <w:lang w:val="en-US" w:bidi="ar-DZ"/>
        </w:rPr>
        <w:t>و</w:t>
      </w:r>
      <w:r w:rsidR="00F26AB3">
        <w:rPr>
          <w:rFonts w:ascii="Simplified Arabic" w:eastAsia="Times New Roman" w:hAnsi="Simplified Arabic" w:cs="Simplified Arabic" w:hint="cs"/>
          <w:color w:val="000000"/>
          <w:sz w:val="24"/>
          <w:szCs w:val="24"/>
          <w:rtl/>
          <w:lang w:eastAsia="fr-FR"/>
        </w:rPr>
        <w:t xml:space="preserve">52.28 </w:t>
      </w:r>
      <w:r>
        <w:rPr>
          <w:rFonts w:ascii="Simplified Arabic" w:hAnsi="Simplified Arabic" w:cs="Simplified Arabic" w:hint="cs"/>
          <w:sz w:val="24"/>
          <w:szCs w:val="24"/>
          <w:rtl/>
          <w:lang w:val="en-US" w:bidi="ar-DZ"/>
        </w:rPr>
        <w:t>هكتار</w:t>
      </w:r>
      <w:r w:rsidR="00F26AB3">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w:t>
      </w:r>
      <w:r w:rsidR="00F26AB3">
        <w:rPr>
          <w:rFonts w:ascii="Simplified Arabic" w:hAnsi="Simplified Arabic" w:cs="Simplified Arabic" w:hint="cs"/>
          <w:sz w:val="24"/>
          <w:szCs w:val="24"/>
          <w:rtl/>
          <w:lang w:val="en-US" w:bidi="ar-DZ"/>
        </w:rPr>
        <w:t xml:space="preserve">تقابلهما </w:t>
      </w:r>
      <w:r>
        <w:rPr>
          <w:rFonts w:ascii="Simplified Arabic" w:hAnsi="Simplified Arabic" w:cs="Simplified Arabic" w:hint="cs"/>
          <w:sz w:val="24"/>
          <w:szCs w:val="24"/>
          <w:rtl/>
          <w:lang w:val="en-US" w:bidi="ar-DZ"/>
        </w:rPr>
        <w:t xml:space="preserve">قيمة تنوع </w:t>
      </w:r>
      <w:r w:rsidR="00F26AB3">
        <w:rPr>
          <w:rFonts w:ascii="Simplified Arabic" w:hAnsi="Simplified Arabic" w:cs="Simplified Arabic" w:hint="cs"/>
          <w:sz w:val="24"/>
          <w:szCs w:val="24"/>
          <w:rtl/>
          <w:lang w:val="en-US" w:bidi="ar-DZ"/>
        </w:rPr>
        <w:t xml:space="preserve">على التوالي </w:t>
      </w:r>
      <w:r w:rsidR="00AE0608">
        <w:rPr>
          <w:rFonts w:ascii="Simplified Arabic" w:hAnsi="Simplified Arabic" w:cs="Simplified Arabic" w:hint="cs"/>
          <w:sz w:val="24"/>
          <w:szCs w:val="24"/>
          <w:rtl/>
          <w:lang w:val="en-US" w:bidi="ar-DZ"/>
        </w:rPr>
        <w:t>74</w:t>
      </w:r>
      <w:r>
        <w:rPr>
          <w:rFonts w:ascii="Simplified Arabic" w:hAnsi="Simplified Arabic" w:cs="Simplified Arabic" w:hint="cs"/>
          <w:sz w:val="24"/>
          <w:szCs w:val="24"/>
          <w:rtl/>
          <w:lang w:val="en-US" w:bidi="ar-DZ"/>
        </w:rPr>
        <w:t>.</w:t>
      </w:r>
      <w:r w:rsidR="00AE0608">
        <w:rPr>
          <w:rFonts w:ascii="Simplified Arabic" w:hAnsi="Simplified Arabic" w:cs="Simplified Arabic" w:hint="cs"/>
          <w:sz w:val="24"/>
          <w:szCs w:val="24"/>
          <w:rtl/>
          <w:lang w:val="en-US" w:bidi="ar-DZ"/>
        </w:rPr>
        <w:t>29</w:t>
      </w:r>
      <w:r w:rsidR="00F26AB3">
        <w:rPr>
          <w:rFonts w:ascii="Simplified Arabic" w:hAnsi="Simplified Arabic" w:cs="Simplified Arabic"/>
          <w:sz w:val="24"/>
          <w:szCs w:val="24"/>
          <w:lang w:bidi="ar-DZ"/>
        </w:rPr>
        <w:t>%</w:t>
      </w:r>
      <w:r w:rsidR="00F26AB3" w:rsidRPr="00F26AB3">
        <w:rPr>
          <w:rFonts w:ascii="Simplified Arabic" w:hAnsi="Simplified Arabic" w:cs="Simplified Arabic" w:hint="cs"/>
          <w:sz w:val="24"/>
          <w:szCs w:val="24"/>
          <w:rtl/>
          <w:lang w:val="en-US" w:bidi="ar-DZ"/>
        </w:rPr>
        <w:t xml:space="preserve"> </w:t>
      </w:r>
      <w:r w:rsidR="00F26AB3">
        <w:rPr>
          <w:rFonts w:ascii="Simplified Arabic" w:hAnsi="Simplified Arabic" w:cs="Simplified Arabic" w:hint="cs"/>
          <w:sz w:val="24"/>
          <w:szCs w:val="24"/>
          <w:rtl/>
          <w:lang w:val="en-US" w:bidi="ar-DZ"/>
        </w:rPr>
        <w:t>و63.17</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w:t>
      </w:r>
      <w:r w:rsidR="00F26AB3">
        <w:rPr>
          <w:rFonts w:ascii="Simplified Arabic" w:hAnsi="Simplified Arabic" w:cs="Simplified Arabic" w:hint="cs"/>
          <w:sz w:val="24"/>
          <w:szCs w:val="24"/>
          <w:rtl/>
          <w:lang w:bidi="ar-DZ"/>
        </w:rPr>
        <w:t>هذا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يعني</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معظم </w:t>
      </w:r>
      <w:r w:rsidRPr="00DD2046">
        <w:rPr>
          <w:rFonts w:ascii="Simplified Arabic" w:hAnsi="Simplified Arabic" w:cs="Simplified Arabic" w:hint="cs"/>
          <w:sz w:val="24"/>
          <w:szCs w:val="24"/>
          <w:rtl/>
          <w:lang w:bidi="ar-DZ"/>
        </w:rPr>
        <w:t>فئات</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المرافق</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يتم</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تمثيلها</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في</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أنحاء</w:t>
      </w:r>
      <w:r>
        <w:rPr>
          <w:rFonts w:ascii="Simplified Arabic" w:hAnsi="Simplified Arabic" w:cs="Simplified Arabic" w:hint="cs"/>
          <w:sz w:val="24"/>
          <w:szCs w:val="24"/>
          <w:rtl/>
          <w:lang w:bidi="ar-DZ"/>
        </w:rPr>
        <w:t xml:space="preserve"> الحي ويمنح درجة عالية من التنوع. </w:t>
      </w:r>
      <w:r w:rsidR="0030771E">
        <w:rPr>
          <w:rFonts w:ascii="Simplified Arabic" w:hAnsi="Simplified Arabic" w:cs="Simplified Arabic" w:hint="cs"/>
          <w:sz w:val="24"/>
          <w:szCs w:val="24"/>
          <w:rtl/>
          <w:lang w:bidi="ar-DZ"/>
        </w:rPr>
        <w:t>تبدا درجة التنوع في التناقص كلما اتجهنا نحو هوامش الحي،</w:t>
      </w:r>
      <w:r>
        <w:rPr>
          <w:rFonts w:ascii="Simplified Arabic" w:hAnsi="Simplified Arabic" w:cs="Simplified Arabic" w:hint="cs"/>
          <w:sz w:val="24"/>
          <w:szCs w:val="24"/>
          <w:rtl/>
          <w:lang w:bidi="ar-DZ"/>
        </w:rPr>
        <w:t xml:space="preserve"> الجدول (6-</w:t>
      </w:r>
      <w:r w:rsidR="00F377EC">
        <w:rPr>
          <w:rFonts w:ascii="Simplified Arabic" w:hAnsi="Simplified Arabic" w:cs="Simplified Arabic" w:hint="cs"/>
          <w:sz w:val="24"/>
          <w:szCs w:val="24"/>
          <w:rtl/>
          <w:lang w:bidi="ar-DZ"/>
        </w:rPr>
        <w:t>8</w:t>
      </w:r>
      <w:r>
        <w:rPr>
          <w:rFonts w:ascii="Simplified Arabic" w:hAnsi="Simplified Arabic" w:cs="Simplified Arabic" w:hint="cs"/>
          <w:sz w:val="24"/>
          <w:szCs w:val="24"/>
          <w:rtl/>
          <w:lang w:bidi="ar-DZ"/>
        </w:rPr>
        <w:t>)</w:t>
      </w:r>
      <w:r w:rsidRPr="00DD2046">
        <w:rPr>
          <w:rFonts w:ascii="Simplified Arabic" w:hAnsi="Simplified Arabic" w:cs="Simplified Arabic"/>
          <w:sz w:val="24"/>
          <w:szCs w:val="24"/>
          <w:rtl/>
          <w:lang w:bidi="ar-DZ"/>
        </w:rPr>
        <w:t>.</w:t>
      </w:r>
      <w:r w:rsidR="002F2E6E" w:rsidRPr="002F2E6E">
        <w:rPr>
          <w:rFonts w:ascii="Simplified Arabic" w:hAnsi="Simplified Arabic" w:cs="Simplified Arabic" w:hint="cs"/>
          <w:sz w:val="24"/>
          <w:szCs w:val="24"/>
          <w:rtl/>
          <w:lang w:bidi="ar-DZ"/>
        </w:rPr>
        <w:t xml:space="preserve"> </w:t>
      </w:r>
    </w:p>
    <w:p w:rsidR="00710400" w:rsidRDefault="00710400" w:rsidP="00637C32">
      <w:pPr>
        <w:pStyle w:val="Tableau"/>
        <w:rPr>
          <w:rFonts w:eastAsia="Times New Roman"/>
          <w:color w:val="000000"/>
          <w:rtl/>
          <w:lang w:eastAsia="fr-FR"/>
        </w:rPr>
      </w:pPr>
      <w:bookmarkStart w:id="938" w:name="_Toc157613018"/>
      <w:bookmarkStart w:id="939" w:name="_Toc171803869"/>
      <w:r>
        <w:rPr>
          <w:rFonts w:hint="cs"/>
          <w:rtl/>
          <w:lang w:val="en-US" w:bidi="ar-DZ"/>
        </w:rPr>
        <w:t>الجدول (6-</w:t>
      </w:r>
      <w:r w:rsidR="00F377EC">
        <w:rPr>
          <w:rFonts w:hint="cs"/>
          <w:rtl/>
          <w:lang w:val="en-US" w:bidi="ar-DZ"/>
        </w:rPr>
        <w:t>8</w:t>
      </w:r>
      <w:r>
        <w:rPr>
          <w:rFonts w:hint="cs"/>
          <w:rtl/>
          <w:lang w:val="en-US" w:bidi="ar-DZ"/>
        </w:rPr>
        <w:t xml:space="preserve">): </w:t>
      </w:r>
      <w:r w:rsidRPr="002759D5">
        <w:rPr>
          <w:rFonts w:hint="cs"/>
          <w:rtl/>
          <w:lang w:bidi="ar-DZ"/>
        </w:rPr>
        <w:t>تصنيف</w:t>
      </w:r>
      <w:r w:rsidRPr="002759D5">
        <w:rPr>
          <w:rtl/>
          <w:lang w:bidi="ar-DZ"/>
        </w:rPr>
        <w:t xml:space="preserve"> </w:t>
      </w:r>
      <w:r>
        <w:rPr>
          <w:rFonts w:hint="cs"/>
          <w:rtl/>
        </w:rPr>
        <w:t xml:space="preserve">تنوع </w:t>
      </w:r>
      <w:r>
        <w:rPr>
          <w:rFonts w:eastAsia="Times New Roman" w:hint="cs"/>
          <w:color w:val="000000"/>
          <w:rtl/>
          <w:lang w:eastAsia="fr-FR"/>
        </w:rPr>
        <w:t>المرافق ب</w:t>
      </w:r>
      <w:r w:rsidRPr="00040621">
        <w:rPr>
          <w:rFonts w:hint="cs"/>
          <w:rtl/>
          <w:lang w:val="en-US" w:bidi="ar-DZ"/>
        </w:rPr>
        <w:t xml:space="preserve">حي </w:t>
      </w:r>
      <w:r w:rsidR="00CC1EC5" w:rsidRPr="00FA4954">
        <w:rPr>
          <w:rFonts w:eastAsia="Times New Roman"/>
          <w:color w:val="000000"/>
          <w:rtl/>
          <w:lang w:eastAsia="fr-FR"/>
        </w:rPr>
        <w:t>الحمايد</w:t>
      </w:r>
      <w:bookmarkEnd w:id="938"/>
      <w:bookmarkEnd w:id="939"/>
    </w:p>
    <w:p w:rsidR="00986BEA" w:rsidRPr="00986BEA" w:rsidRDefault="00986BEA" w:rsidP="00986BEA">
      <w:pPr>
        <w:pStyle w:val="fegure"/>
        <w:rPr>
          <w:sz w:val="8"/>
          <w:szCs w:val="24"/>
          <w:rtl/>
          <w:lang w:val="en-US"/>
        </w:rPr>
      </w:pPr>
      <w:bookmarkStart w:id="940" w:name="_Toc171803870"/>
      <w:r>
        <w:rPr>
          <w:rFonts w:hint="cs"/>
          <w:sz w:val="8"/>
          <w:szCs w:val="24"/>
          <w:rtl/>
          <w:lang w:val="en-US" w:bidi="ar-DZ"/>
        </w:rPr>
        <w:t xml:space="preserve">المصدر: </w:t>
      </w:r>
      <w:r>
        <w:rPr>
          <w:rFonts w:hint="cs"/>
          <w:sz w:val="8"/>
          <w:szCs w:val="24"/>
          <w:rtl/>
          <w:lang w:val="en-US"/>
        </w:rPr>
        <w:t>(الباحث، 2022)</w:t>
      </w:r>
      <w:bookmarkEnd w:id="94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7"/>
        <w:gridCol w:w="1222"/>
        <w:gridCol w:w="708"/>
        <w:gridCol w:w="876"/>
        <w:gridCol w:w="2101"/>
        <w:gridCol w:w="992"/>
        <w:gridCol w:w="1153"/>
      </w:tblGrid>
      <w:tr w:rsidR="002E0AAE" w:rsidRPr="00143C39" w:rsidTr="00F54A68">
        <w:trPr>
          <w:trHeight w:val="403"/>
          <w:jc w:val="center"/>
        </w:trPr>
        <w:tc>
          <w:tcPr>
            <w:tcW w:w="1207" w:type="dxa"/>
            <w:tcBorders>
              <w:top w:val="double" w:sz="6" w:space="0" w:color="auto"/>
              <w:left w:val="double" w:sz="6" w:space="0" w:color="auto"/>
              <w:bottom w:val="double" w:sz="6" w:space="0" w:color="auto"/>
            </w:tcBorders>
            <w:shd w:val="clear" w:color="auto" w:fill="auto"/>
            <w:vAlign w:val="center"/>
          </w:tcPr>
          <w:p w:rsidR="002E0AAE" w:rsidRPr="00143C39"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فئة النسيج الحضري</w:t>
            </w:r>
          </w:p>
        </w:tc>
        <w:tc>
          <w:tcPr>
            <w:tcW w:w="1222" w:type="dxa"/>
            <w:tcBorders>
              <w:top w:val="double" w:sz="6" w:space="0" w:color="auto"/>
              <w:bottom w:val="double" w:sz="6" w:space="0" w:color="auto"/>
            </w:tcBorders>
            <w:vAlign w:val="center"/>
          </w:tcPr>
          <w:p w:rsidR="002E0AAE" w:rsidRPr="00143C39" w:rsidRDefault="002E0AAE" w:rsidP="00B13406">
            <w:pPr>
              <w:bidi/>
              <w:spacing w:after="0" w:line="240" w:lineRule="auto"/>
              <w:jc w:val="center"/>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اسم الحي</w:t>
            </w:r>
            <w:r>
              <w:rPr>
                <w:rFonts w:ascii="Simplified Arabic" w:eastAsia="Times New Roman" w:hAnsi="Simplified Arabic" w:cs="Simplified Arabic" w:hint="cs"/>
                <w:color w:val="000000"/>
                <w:sz w:val="24"/>
                <w:szCs w:val="24"/>
                <w:rtl/>
                <w:lang w:eastAsia="fr-FR"/>
              </w:rPr>
              <w:t xml:space="preserve"> السكني</w:t>
            </w:r>
          </w:p>
        </w:tc>
        <w:tc>
          <w:tcPr>
            <w:tcW w:w="708" w:type="dxa"/>
            <w:tcBorders>
              <w:top w:val="double" w:sz="6" w:space="0" w:color="auto"/>
              <w:bottom w:val="double" w:sz="6" w:space="0" w:color="auto"/>
            </w:tcBorders>
            <w:vAlign w:val="center"/>
          </w:tcPr>
          <w:p w:rsidR="002E0AAE" w:rsidRPr="00143C39"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المنطقة</w:t>
            </w:r>
          </w:p>
        </w:tc>
        <w:tc>
          <w:tcPr>
            <w:tcW w:w="876" w:type="dxa"/>
            <w:tcBorders>
              <w:top w:val="double" w:sz="6" w:space="0" w:color="auto"/>
              <w:bottom w:val="double" w:sz="6" w:space="0" w:color="auto"/>
            </w:tcBorders>
            <w:vAlign w:val="center"/>
          </w:tcPr>
          <w:p w:rsidR="002E0AAE" w:rsidRPr="008A594F"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المساحة (هك)</w:t>
            </w:r>
          </w:p>
        </w:tc>
        <w:tc>
          <w:tcPr>
            <w:tcW w:w="2101" w:type="dxa"/>
            <w:tcBorders>
              <w:top w:val="double" w:sz="6" w:space="0" w:color="auto"/>
              <w:bottom w:val="double" w:sz="6" w:space="0" w:color="auto"/>
            </w:tcBorders>
            <w:vAlign w:val="center"/>
          </w:tcPr>
          <w:p w:rsidR="002E0AAE"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نوع المرفق (رمز المعيار)</w:t>
            </w:r>
          </w:p>
        </w:tc>
        <w:tc>
          <w:tcPr>
            <w:tcW w:w="992" w:type="dxa"/>
            <w:tcBorders>
              <w:top w:val="double" w:sz="6" w:space="0" w:color="auto"/>
              <w:bottom w:val="double" w:sz="6" w:space="0" w:color="auto"/>
            </w:tcBorders>
            <w:vAlign w:val="center"/>
          </w:tcPr>
          <w:p w:rsidR="002E0AAE" w:rsidRDefault="002E0AAE" w:rsidP="00B13406">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قيمة التنوع</w:t>
            </w:r>
          </w:p>
          <w:p w:rsidR="002E0AAE" w:rsidRPr="009F10F6" w:rsidRDefault="002E0AAE"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w:t>
            </w:r>
          </w:p>
        </w:tc>
        <w:tc>
          <w:tcPr>
            <w:tcW w:w="1153" w:type="dxa"/>
            <w:tcBorders>
              <w:top w:val="double" w:sz="6" w:space="0" w:color="auto"/>
              <w:bottom w:val="double" w:sz="6" w:space="0" w:color="auto"/>
              <w:right w:val="double" w:sz="6" w:space="0" w:color="auto"/>
            </w:tcBorders>
            <w:vAlign w:val="center"/>
          </w:tcPr>
          <w:p w:rsidR="002E0AAE" w:rsidRDefault="00F26AB3" w:rsidP="00B13406">
            <w:pPr>
              <w:bidi/>
              <w:spacing w:after="0" w:line="240" w:lineRule="auto"/>
              <w:jc w:val="center"/>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درجة</w:t>
            </w:r>
            <w:r w:rsidR="002E0AAE" w:rsidRPr="002759D5">
              <w:rPr>
                <w:rFonts w:ascii="Simplified Arabic" w:hAnsi="Simplified Arabic" w:cs="Simplified Arabic"/>
                <w:sz w:val="24"/>
                <w:szCs w:val="24"/>
                <w:rtl/>
                <w:lang w:bidi="ar-DZ"/>
              </w:rPr>
              <w:t xml:space="preserve"> </w:t>
            </w:r>
            <w:r w:rsidR="002E0AAE" w:rsidRPr="002759D5">
              <w:rPr>
                <w:rFonts w:ascii="Simplified Arabic" w:hAnsi="Simplified Arabic" w:cs="Simplified Arabic" w:hint="cs"/>
                <w:sz w:val="24"/>
                <w:szCs w:val="24"/>
                <w:rtl/>
                <w:lang w:bidi="ar-DZ"/>
              </w:rPr>
              <w:t>التنوع</w:t>
            </w:r>
          </w:p>
        </w:tc>
      </w:tr>
      <w:tr w:rsidR="00AE0608" w:rsidRPr="00143C39" w:rsidTr="00B13406">
        <w:trPr>
          <w:trHeight w:val="64"/>
          <w:jc w:val="center"/>
        </w:trPr>
        <w:tc>
          <w:tcPr>
            <w:tcW w:w="1207" w:type="dxa"/>
            <w:vMerge w:val="restart"/>
            <w:tcBorders>
              <w:top w:val="double" w:sz="6" w:space="0" w:color="auto"/>
              <w:left w:val="double" w:sz="6" w:space="0" w:color="auto"/>
            </w:tcBorders>
            <w:shd w:val="clear" w:color="auto" w:fill="auto"/>
            <w:vAlign w:val="center"/>
          </w:tcPr>
          <w:p w:rsidR="00AE0608" w:rsidRPr="00143C39" w:rsidRDefault="00AE0608" w:rsidP="002E0AAE">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w:t>
            </w:r>
            <w:r>
              <w:rPr>
                <w:rFonts w:ascii="Simplified Arabic" w:eastAsia="Times New Roman" w:hAnsi="Simplified Arabic" w:cs="Simplified Arabic" w:hint="cs"/>
                <w:color w:val="000000"/>
                <w:sz w:val="24"/>
                <w:szCs w:val="24"/>
                <w:rtl/>
                <w:lang w:eastAsia="fr-FR"/>
              </w:rPr>
              <w:t>(د)</w:t>
            </w:r>
          </w:p>
        </w:tc>
        <w:tc>
          <w:tcPr>
            <w:tcW w:w="1222" w:type="dxa"/>
            <w:vMerge w:val="restart"/>
            <w:tcBorders>
              <w:top w:val="double" w:sz="6" w:space="0" w:color="auto"/>
            </w:tcBorders>
            <w:vAlign w:val="center"/>
          </w:tcPr>
          <w:p w:rsidR="00AE0608" w:rsidRPr="00FA4954"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sidRPr="00FA4954">
              <w:rPr>
                <w:rFonts w:ascii="Simplified Arabic" w:eastAsia="Times New Roman" w:hAnsi="Simplified Arabic" w:cs="Simplified Arabic"/>
                <w:color w:val="000000"/>
                <w:sz w:val="24"/>
                <w:szCs w:val="24"/>
                <w:rtl/>
                <w:lang w:eastAsia="fr-FR"/>
              </w:rPr>
              <w:t>الحمايد</w:t>
            </w:r>
          </w:p>
        </w:tc>
        <w:tc>
          <w:tcPr>
            <w:tcW w:w="708" w:type="dxa"/>
            <w:tcBorders>
              <w:top w:val="double" w:sz="6" w:space="0" w:color="auto"/>
            </w:tcBorders>
            <w:shd w:val="clear" w:color="auto" w:fill="auto"/>
            <w:vAlign w:val="center"/>
          </w:tcPr>
          <w:p w:rsidR="00AE0608" w:rsidRPr="008A594F"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2</w:t>
            </w:r>
          </w:p>
        </w:tc>
        <w:tc>
          <w:tcPr>
            <w:tcW w:w="876" w:type="dxa"/>
            <w:tcBorders>
              <w:top w:val="double" w:sz="6" w:space="0" w:color="auto"/>
            </w:tcBorders>
            <w:shd w:val="clear" w:color="auto" w:fill="auto"/>
            <w:vAlign w:val="center"/>
          </w:tcPr>
          <w:p w:rsidR="00AE0608" w:rsidRPr="008A594F" w:rsidRDefault="00AE0608" w:rsidP="007529D2">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28.16</w:t>
            </w:r>
          </w:p>
        </w:tc>
        <w:tc>
          <w:tcPr>
            <w:tcW w:w="2101" w:type="dxa"/>
            <w:tcBorders>
              <w:top w:val="double" w:sz="6" w:space="0" w:color="auto"/>
            </w:tcBorders>
            <w:vAlign w:val="center"/>
          </w:tcPr>
          <w:p w:rsidR="00AE0608" w:rsidRPr="008A594F" w:rsidRDefault="00AE0608" w:rsidP="007529D2">
            <w:pPr>
              <w:bidi/>
              <w:spacing w:after="0" w:line="240" w:lineRule="auto"/>
              <w:jc w:val="center"/>
              <w:rPr>
                <w:rFonts w:ascii="Simplified Arabic" w:eastAsia="Times New Roman" w:hAnsi="Simplified Arabic" w:cs="Simplified Arabic"/>
                <w:color w:val="000000"/>
                <w:sz w:val="24"/>
                <w:szCs w:val="24"/>
                <w:rtl/>
                <w:lang w:eastAsia="fr-FR"/>
              </w:rPr>
            </w:pPr>
            <w:r w:rsidRPr="009F10F6">
              <w:rPr>
                <w:rFonts w:asciiTheme="majorBidi" w:hAnsiTheme="majorBidi" w:cstheme="majorBidi"/>
                <w:color w:val="000000" w:themeColor="text1"/>
                <w:sz w:val="24"/>
                <w:szCs w:val="24"/>
                <w:lang w:val="en-US"/>
              </w:rPr>
              <w:t>C1+C3+C4+C5</w:t>
            </w:r>
          </w:p>
        </w:tc>
        <w:tc>
          <w:tcPr>
            <w:tcW w:w="992" w:type="dxa"/>
            <w:tcBorders>
              <w:top w:val="double" w:sz="6" w:space="0" w:color="auto"/>
            </w:tcBorders>
            <w:vAlign w:val="center"/>
          </w:tcPr>
          <w:p w:rsidR="00AE0608" w:rsidRPr="008A594F" w:rsidRDefault="00AE0608" w:rsidP="007529D2">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color w:val="000000"/>
                <w:sz w:val="24"/>
                <w:szCs w:val="24"/>
                <w:lang w:eastAsia="fr-FR"/>
              </w:rPr>
              <w:t>74.29</w:t>
            </w:r>
          </w:p>
        </w:tc>
        <w:tc>
          <w:tcPr>
            <w:tcW w:w="1153" w:type="dxa"/>
            <w:tcBorders>
              <w:top w:val="double" w:sz="6" w:space="0" w:color="auto"/>
              <w:right w:val="double" w:sz="6" w:space="0" w:color="auto"/>
            </w:tcBorders>
            <w:vAlign w:val="center"/>
          </w:tcPr>
          <w:p w:rsidR="00AE0608" w:rsidRPr="008A594F" w:rsidRDefault="00AE0608"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9F10F6">
              <w:rPr>
                <w:rFonts w:ascii="Simplified Arabic" w:hAnsi="Simplified Arabic" w:cs="Simplified Arabic" w:hint="cs"/>
                <w:color w:val="000000" w:themeColor="text1"/>
                <w:sz w:val="24"/>
                <w:szCs w:val="24"/>
                <w:rtl/>
                <w:lang w:val="en-US"/>
              </w:rPr>
              <w:t>عالي</w:t>
            </w:r>
          </w:p>
        </w:tc>
      </w:tr>
      <w:tr w:rsidR="00AE0608" w:rsidRPr="00143C39" w:rsidTr="00B13406">
        <w:trPr>
          <w:trHeight w:val="64"/>
          <w:jc w:val="center"/>
        </w:trPr>
        <w:tc>
          <w:tcPr>
            <w:tcW w:w="1207" w:type="dxa"/>
            <w:vMerge/>
            <w:tcBorders>
              <w:left w:val="double" w:sz="6" w:space="0" w:color="auto"/>
            </w:tcBorders>
            <w:shd w:val="clear" w:color="auto" w:fill="auto"/>
            <w:vAlign w:val="center"/>
          </w:tcPr>
          <w:p w:rsidR="00AE0608"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vAlign w:val="center"/>
          </w:tcPr>
          <w:p w:rsidR="00AE0608" w:rsidRPr="00FA4954"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shd w:val="clear" w:color="auto" w:fill="auto"/>
            <w:vAlign w:val="center"/>
          </w:tcPr>
          <w:p w:rsidR="00AE0608" w:rsidRPr="008A594F"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3</w:t>
            </w:r>
          </w:p>
        </w:tc>
        <w:tc>
          <w:tcPr>
            <w:tcW w:w="876" w:type="dxa"/>
            <w:shd w:val="clear" w:color="auto" w:fill="auto"/>
            <w:vAlign w:val="center"/>
          </w:tcPr>
          <w:p w:rsidR="00AE0608" w:rsidRPr="008A594F" w:rsidRDefault="00AE0608" w:rsidP="007529D2">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52.28</w:t>
            </w:r>
          </w:p>
        </w:tc>
        <w:tc>
          <w:tcPr>
            <w:tcW w:w="2101" w:type="dxa"/>
            <w:vAlign w:val="center"/>
          </w:tcPr>
          <w:p w:rsidR="00AE0608" w:rsidRPr="008A594F" w:rsidRDefault="00AE0608" w:rsidP="007529D2">
            <w:pPr>
              <w:bidi/>
              <w:spacing w:after="0" w:line="240" w:lineRule="auto"/>
              <w:jc w:val="center"/>
              <w:rPr>
                <w:rFonts w:ascii="Simplified Arabic" w:eastAsia="Times New Roman" w:hAnsi="Simplified Arabic" w:cs="Simplified Arabic"/>
                <w:color w:val="000000"/>
                <w:sz w:val="24"/>
                <w:szCs w:val="24"/>
                <w:rtl/>
                <w:lang w:eastAsia="fr-FR"/>
              </w:rPr>
            </w:pPr>
            <w:r w:rsidRPr="009F10F6">
              <w:rPr>
                <w:rFonts w:asciiTheme="majorBidi" w:hAnsiTheme="majorBidi" w:cstheme="majorBidi"/>
                <w:color w:val="000000" w:themeColor="text1"/>
                <w:sz w:val="24"/>
                <w:szCs w:val="24"/>
                <w:lang w:val="en-US"/>
              </w:rPr>
              <w:t>C1+C4+C5</w:t>
            </w:r>
          </w:p>
        </w:tc>
        <w:tc>
          <w:tcPr>
            <w:tcW w:w="992" w:type="dxa"/>
            <w:vAlign w:val="center"/>
          </w:tcPr>
          <w:p w:rsidR="00AE0608" w:rsidRPr="008A594F" w:rsidRDefault="00AE0608" w:rsidP="007529D2">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color w:val="000000"/>
                <w:sz w:val="24"/>
                <w:szCs w:val="24"/>
                <w:lang w:eastAsia="fr-FR"/>
              </w:rPr>
              <w:t>63.17</w:t>
            </w:r>
          </w:p>
        </w:tc>
        <w:tc>
          <w:tcPr>
            <w:tcW w:w="1153" w:type="dxa"/>
            <w:tcBorders>
              <w:right w:val="double" w:sz="6" w:space="0" w:color="auto"/>
            </w:tcBorders>
            <w:vAlign w:val="center"/>
          </w:tcPr>
          <w:p w:rsidR="00AE0608" w:rsidRPr="008A594F" w:rsidRDefault="00AE0608" w:rsidP="00B13406">
            <w:pPr>
              <w:autoSpaceDE w:val="0"/>
              <w:autoSpaceDN w:val="0"/>
              <w:bidi/>
              <w:adjustRightInd w:val="0"/>
              <w:spacing w:after="0" w:line="240" w:lineRule="auto"/>
              <w:jc w:val="center"/>
              <w:rPr>
                <w:rFonts w:ascii="Simplified Arabic" w:hAnsi="Simplified Arabic" w:cs="Simplified Arabic"/>
                <w:color w:val="000000" w:themeColor="text1"/>
                <w:sz w:val="24"/>
                <w:szCs w:val="24"/>
                <w:rtl/>
                <w:lang w:val="en-US"/>
              </w:rPr>
            </w:pPr>
            <w:r w:rsidRPr="009F10F6">
              <w:rPr>
                <w:rFonts w:ascii="Simplified Arabic" w:hAnsi="Simplified Arabic" w:cs="Simplified Arabic" w:hint="cs"/>
                <w:color w:val="000000" w:themeColor="text1"/>
                <w:sz w:val="24"/>
                <w:szCs w:val="24"/>
                <w:rtl/>
                <w:lang w:val="en-US"/>
              </w:rPr>
              <w:t>عالي</w:t>
            </w:r>
          </w:p>
        </w:tc>
      </w:tr>
      <w:tr w:rsidR="00AE0608" w:rsidRPr="00143C39" w:rsidTr="00B13406">
        <w:trPr>
          <w:trHeight w:val="64"/>
          <w:jc w:val="center"/>
        </w:trPr>
        <w:tc>
          <w:tcPr>
            <w:tcW w:w="1207" w:type="dxa"/>
            <w:vMerge/>
            <w:tcBorders>
              <w:left w:val="double" w:sz="6" w:space="0" w:color="auto"/>
            </w:tcBorders>
            <w:shd w:val="clear" w:color="auto" w:fill="auto"/>
            <w:vAlign w:val="center"/>
          </w:tcPr>
          <w:p w:rsidR="00AE0608"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vAlign w:val="center"/>
          </w:tcPr>
          <w:p w:rsidR="00AE0608" w:rsidRPr="00FA4954"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shd w:val="clear" w:color="auto" w:fill="auto"/>
            <w:vAlign w:val="center"/>
          </w:tcPr>
          <w:p w:rsidR="00AE0608" w:rsidRPr="008A594F"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4</w:t>
            </w:r>
          </w:p>
        </w:tc>
        <w:tc>
          <w:tcPr>
            <w:tcW w:w="876" w:type="dxa"/>
            <w:shd w:val="clear" w:color="auto" w:fill="auto"/>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14.98</w:t>
            </w:r>
          </w:p>
        </w:tc>
        <w:tc>
          <w:tcPr>
            <w:tcW w:w="2101" w:type="dxa"/>
            <w:vAlign w:val="center"/>
          </w:tcPr>
          <w:p w:rsidR="00AE0608" w:rsidRPr="008A7FEF" w:rsidRDefault="00AE0608" w:rsidP="00B13406">
            <w:pPr>
              <w:bidi/>
              <w:spacing w:after="0" w:line="240" w:lineRule="auto"/>
              <w:jc w:val="center"/>
              <w:rPr>
                <w:rFonts w:asciiTheme="majorBidi" w:hAnsiTheme="majorBidi" w:cstheme="majorBidi"/>
                <w:color w:val="000000" w:themeColor="text1"/>
                <w:sz w:val="24"/>
                <w:szCs w:val="24"/>
                <w:rtl/>
                <w:lang w:val="en-US"/>
              </w:rPr>
            </w:pPr>
            <w:r w:rsidRPr="008A7FEF">
              <w:rPr>
                <w:rFonts w:asciiTheme="majorBidi" w:hAnsiTheme="majorBidi" w:cstheme="majorBidi"/>
                <w:color w:val="000000" w:themeColor="text1"/>
                <w:sz w:val="24"/>
                <w:szCs w:val="24"/>
                <w:lang w:val="en-US"/>
              </w:rPr>
              <w:t>C4+C5</w:t>
            </w:r>
          </w:p>
        </w:tc>
        <w:tc>
          <w:tcPr>
            <w:tcW w:w="992" w:type="dxa"/>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color w:val="000000"/>
                <w:sz w:val="24"/>
                <w:szCs w:val="24"/>
                <w:lang w:eastAsia="fr-FR"/>
              </w:rPr>
              <w:t>37.46</w:t>
            </w:r>
          </w:p>
        </w:tc>
        <w:tc>
          <w:tcPr>
            <w:tcW w:w="1153" w:type="dxa"/>
            <w:tcBorders>
              <w:right w:val="double" w:sz="6" w:space="0" w:color="auto"/>
            </w:tcBorders>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منخفض</w:t>
            </w:r>
          </w:p>
        </w:tc>
      </w:tr>
      <w:tr w:rsidR="00AE0608" w:rsidRPr="00143C39" w:rsidTr="00B13406">
        <w:trPr>
          <w:trHeight w:val="64"/>
          <w:jc w:val="center"/>
        </w:trPr>
        <w:tc>
          <w:tcPr>
            <w:tcW w:w="1207" w:type="dxa"/>
            <w:vMerge/>
            <w:tcBorders>
              <w:left w:val="double" w:sz="6" w:space="0" w:color="auto"/>
            </w:tcBorders>
            <w:shd w:val="clear" w:color="auto" w:fill="auto"/>
            <w:vAlign w:val="center"/>
          </w:tcPr>
          <w:p w:rsidR="00AE0608"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vAlign w:val="center"/>
          </w:tcPr>
          <w:p w:rsidR="00AE0608" w:rsidRPr="00FA4954"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shd w:val="clear" w:color="auto" w:fill="auto"/>
            <w:vAlign w:val="center"/>
          </w:tcPr>
          <w:p w:rsidR="00AE0608" w:rsidRPr="008A594F"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5</w:t>
            </w:r>
          </w:p>
        </w:tc>
        <w:tc>
          <w:tcPr>
            <w:tcW w:w="876" w:type="dxa"/>
            <w:shd w:val="clear" w:color="auto" w:fill="auto"/>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10.42</w:t>
            </w:r>
          </w:p>
        </w:tc>
        <w:tc>
          <w:tcPr>
            <w:tcW w:w="2101" w:type="dxa"/>
            <w:vAlign w:val="center"/>
          </w:tcPr>
          <w:p w:rsidR="00AE0608" w:rsidRPr="008A7FEF" w:rsidRDefault="00AE0608" w:rsidP="00B13406">
            <w:pPr>
              <w:bidi/>
              <w:spacing w:after="0" w:line="240" w:lineRule="auto"/>
              <w:jc w:val="center"/>
              <w:rPr>
                <w:rFonts w:asciiTheme="majorBidi" w:hAnsiTheme="majorBidi" w:cstheme="majorBidi"/>
                <w:color w:val="000000" w:themeColor="text1"/>
                <w:sz w:val="24"/>
                <w:szCs w:val="24"/>
                <w:rtl/>
                <w:lang w:val="en-US"/>
              </w:rPr>
            </w:pPr>
            <w:r w:rsidRPr="008A7FEF">
              <w:rPr>
                <w:rFonts w:asciiTheme="majorBidi" w:hAnsiTheme="majorBidi" w:cstheme="majorBidi"/>
                <w:color w:val="000000" w:themeColor="text1"/>
                <w:sz w:val="24"/>
                <w:szCs w:val="24"/>
                <w:lang w:val="en-US"/>
              </w:rPr>
              <w:t>C4</w:t>
            </w:r>
          </w:p>
        </w:tc>
        <w:tc>
          <w:tcPr>
            <w:tcW w:w="992" w:type="dxa"/>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color w:val="000000"/>
                <w:sz w:val="24"/>
                <w:szCs w:val="24"/>
                <w:lang w:eastAsia="fr-FR"/>
              </w:rPr>
              <w:t>24.02</w:t>
            </w:r>
          </w:p>
        </w:tc>
        <w:tc>
          <w:tcPr>
            <w:tcW w:w="1153" w:type="dxa"/>
            <w:tcBorders>
              <w:right w:val="double" w:sz="6" w:space="0" w:color="auto"/>
            </w:tcBorders>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منخفض جدا</w:t>
            </w:r>
          </w:p>
        </w:tc>
      </w:tr>
      <w:tr w:rsidR="00AE0608" w:rsidRPr="00143C39" w:rsidTr="00B13406">
        <w:trPr>
          <w:trHeight w:val="64"/>
          <w:jc w:val="center"/>
        </w:trPr>
        <w:tc>
          <w:tcPr>
            <w:tcW w:w="1207" w:type="dxa"/>
            <w:vMerge/>
            <w:tcBorders>
              <w:left w:val="double" w:sz="6" w:space="0" w:color="auto"/>
              <w:bottom w:val="double" w:sz="6" w:space="0" w:color="auto"/>
            </w:tcBorders>
            <w:shd w:val="clear" w:color="auto" w:fill="auto"/>
            <w:vAlign w:val="center"/>
          </w:tcPr>
          <w:p w:rsidR="00AE0608"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1222" w:type="dxa"/>
            <w:vMerge/>
            <w:tcBorders>
              <w:bottom w:val="double" w:sz="6" w:space="0" w:color="auto"/>
            </w:tcBorders>
            <w:vAlign w:val="center"/>
          </w:tcPr>
          <w:p w:rsidR="00AE0608" w:rsidRPr="00FA4954"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p>
        </w:tc>
        <w:tc>
          <w:tcPr>
            <w:tcW w:w="708" w:type="dxa"/>
            <w:tcBorders>
              <w:bottom w:val="double" w:sz="6" w:space="0" w:color="auto"/>
            </w:tcBorders>
            <w:shd w:val="clear" w:color="auto" w:fill="auto"/>
            <w:vAlign w:val="center"/>
          </w:tcPr>
          <w:p w:rsidR="00AE0608" w:rsidRPr="008A594F" w:rsidRDefault="00A3776B"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6</w:t>
            </w:r>
          </w:p>
        </w:tc>
        <w:tc>
          <w:tcPr>
            <w:tcW w:w="876" w:type="dxa"/>
            <w:tcBorders>
              <w:bottom w:val="double" w:sz="6" w:space="0" w:color="auto"/>
            </w:tcBorders>
            <w:shd w:val="clear" w:color="auto" w:fill="auto"/>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6.16</w:t>
            </w:r>
          </w:p>
        </w:tc>
        <w:tc>
          <w:tcPr>
            <w:tcW w:w="2101" w:type="dxa"/>
            <w:tcBorders>
              <w:bottom w:val="double" w:sz="6" w:space="0" w:color="auto"/>
            </w:tcBorders>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bidi="ar-DZ"/>
              </w:rPr>
            </w:pPr>
            <w:r>
              <w:rPr>
                <w:rFonts w:ascii="Simplified Arabic" w:eastAsia="Times New Roman" w:hAnsi="Simplified Arabic" w:cs="Simplified Arabic" w:hint="cs"/>
                <w:color w:val="000000"/>
                <w:sz w:val="24"/>
                <w:szCs w:val="24"/>
                <w:rtl/>
                <w:lang w:eastAsia="fr-FR" w:bidi="ar-DZ"/>
              </w:rPr>
              <w:t>غير مغطاة بالخدمة</w:t>
            </w:r>
          </w:p>
        </w:tc>
        <w:tc>
          <w:tcPr>
            <w:tcW w:w="992" w:type="dxa"/>
            <w:tcBorders>
              <w:bottom w:val="double" w:sz="6" w:space="0" w:color="auto"/>
            </w:tcBorders>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00</w:t>
            </w:r>
          </w:p>
        </w:tc>
        <w:tc>
          <w:tcPr>
            <w:tcW w:w="1153" w:type="dxa"/>
            <w:tcBorders>
              <w:bottom w:val="double" w:sz="6" w:space="0" w:color="auto"/>
              <w:right w:val="double" w:sz="6" w:space="0" w:color="auto"/>
            </w:tcBorders>
            <w:vAlign w:val="center"/>
          </w:tcPr>
          <w:p w:rsidR="00AE0608" w:rsidRPr="008A594F" w:rsidRDefault="00AE0608" w:rsidP="00B13406">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منعدمة</w:t>
            </w:r>
          </w:p>
        </w:tc>
      </w:tr>
    </w:tbl>
    <w:p w:rsidR="00F54A68" w:rsidRDefault="002F2E6E" w:rsidP="005373F7">
      <w:pPr>
        <w:bidi/>
        <w:spacing w:before="240" w:after="0"/>
        <w:ind w:firstLine="283"/>
        <w:jc w:val="both"/>
        <w:rPr>
          <w:rFonts w:ascii="Simplified Arabic" w:hAnsi="Simplified Arabic" w:cs="Simplified Arabic"/>
          <w:sz w:val="24"/>
          <w:szCs w:val="24"/>
          <w:rtl/>
          <w:lang w:val="en-US" w:bidi="ar-DZ"/>
        </w:rPr>
      </w:pPr>
      <w:r w:rsidRPr="00DD2046">
        <w:rPr>
          <w:rFonts w:ascii="Simplified Arabic" w:hAnsi="Simplified Arabic" w:cs="Simplified Arabic" w:hint="cs"/>
          <w:sz w:val="24"/>
          <w:szCs w:val="24"/>
          <w:rtl/>
          <w:lang w:bidi="ar-DZ"/>
        </w:rPr>
        <w:lastRenderedPageBreak/>
        <w:t>يسلط</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الضوء</w:t>
      </w:r>
      <w:r w:rsidRPr="00DD2046">
        <w:rPr>
          <w:rFonts w:ascii="Simplified Arabic" w:hAnsi="Simplified Arabic" w:cs="Simplified Arabic"/>
          <w:sz w:val="24"/>
          <w:szCs w:val="24"/>
          <w:rtl/>
          <w:lang w:bidi="ar-DZ"/>
        </w:rPr>
        <w:t xml:space="preserve"> </w:t>
      </w:r>
      <w:r w:rsidR="00EF572D">
        <w:rPr>
          <w:rFonts w:ascii="Simplified Arabic" w:hAnsi="Simplified Arabic" w:cs="Simplified Arabic" w:hint="cs"/>
          <w:sz w:val="24"/>
          <w:szCs w:val="24"/>
          <w:rtl/>
          <w:lang w:bidi="ar-DZ"/>
        </w:rPr>
        <w:t xml:space="preserve">في </w:t>
      </w:r>
      <w:r w:rsidRPr="00DD2046">
        <w:rPr>
          <w:rFonts w:ascii="Simplified Arabic" w:hAnsi="Simplified Arabic" w:cs="Simplified Arabic" w:hint="cs"/>
          <w:sz w:val="24"/>
          <w:szCs w:val="24"/>
          <w:rtl/>
          <w:lang w:bidi="ar-DZ"/>
        </w:rPr>
        <w:t>تحليل</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تباينات تنوع المرافق</w:t>
      </w:r>
      <w:r w:rsidRPr="00DD2046">
        <w:rPr>
          <w:rFonts w:ascii="Simplified Arabic" w:hAnsi="Simplified Arabic" w:cs="Simplified Arabic"/>
          <w:sz w:val="24"/>
          <w:szCs w:val="24"/>
          <w:rtl/>
          <w:lang w:bidi="ar-DZ"/>
        </w:rPr>
        <w:t xml:space="preserve"> </w:t>
      </w:r>
      <w:r w:rsidR="00242DC6">
        <w:rPr>
          <w:rFonts w:ascii="Simplified Arabic" w:hAnsi="Simplified Arabic" w:cs="Simplified Arabic" w:hint="cs"/>
          <w:sz w:val="24"/>
          <w:szCs w:val="24"/>
          <w:rtl/>
          <w:lang w:bidi="ar-DZ"/>
        </w:rPr>
        <w:t xml:space="preserve">الى وجود </w:t>
      </w:r>
      <w:r w:rsidRPr="00DD2046">
        <w:rPr>
          <w:rFonts w:ascii="Simplified Arabic" w:hAnsi="Simplified Arabic" w:cs="Simplified Arabic" w:hint="cs"/>
          <w:sz w:val="24"/>
          <w:szCs w:val="24"/>
          <w:rtl/>
          <w:lang w:bidi="ar-DZ"/>
        </w:rPr>
        <w:t>اختلافات</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مهمة</w:t>
      </w:r>
      <w:r w:rsidRPr="00DD2046">
        <w:rPr>
          <w:rFonts w:ascii="Simplified Arabic" w:hAnsi="Simplified Arabic" w:cs="Simplified Arabic"/>
          <w:sz w:val="24"/>
          <w:szCs w:val="24"/>
          <w:rtl/>
          <w:lang w:bidi="ar-DZ"/>
        </w:rPr>
        <w:t xml:space="preserve"> </w:t>
      </w:r>
      <w:r w:rsidR="00CD7FCC" w:rsidRPr="002F2E6E">
        <w:rPr>
          <w:rFonts w:ascii="Simplified Arabic" w:hAnsi="Simplified Arabic" w:cs="Simplified Arabic" w:hint="cs"/>
          <w:sz w:val="24"/>
          <w:szCs w:val="24"/>
          <w:rtl/>
          <w:lang w:val="en-US" w:bidi="ar-DZ"/>
        </w:rPr>
        <w:t>بين</w:t>
      </w:r>
      <w:r w:rsidR="00CD7FCC" w:rsidRPr="002F2E6E">
        <w:rPr>
          <w:rFonts w:ascii="Simplified Arabic" w:hAnsi="Simplified Arabic" w:cs="Simplified Arabic"/>
          <w:sz w:val="24"/>
          <w:szCs w:val="24"/>
          <w:rtl/>
          <w:lang w:val="en-US" w:bidi="ar-DZ"/>
        </w:rPr>
        <w:t xml:space="preserve"> </w:t>
      </w:r>
      <w:r w:rsidR="00CD7FCC" w:rsidRPr="002F2E6E">
        <w:rPr>
          <w:rFonts w:ascii="Simplified Arabic" w:hAnsi="Simplified Arabic" w:cs="Simplified Arabic" w:hint="cs"/>
          <w:sz w:val="24"/>
          <w:szCs w:val="24"/>
          <w:rtl/>
          <w:lang w:val="en-US" w:bidi="ar-DZ"/>
        </w:rPr>
        <w:t>احياء فئات الانسجة الحضرية الاربعة</w:t>
      </w:r>
      <w:r w:rsidR="00EF572D">
        <w:rPr>
          <w:rFonts w:ascii="Simplified Arabic" w:hAnsi="Simplified Arabic" w:cs="Simplified Arabic" w:hint="cs"/>
          <w:sz w:val="24"/>
          <w:szCs w:val="24"/>
          <w:rtl/>
          <w:lang w:val="en-US" w:bidi="ar-DZ"/>
        </w:rPr>
        <w:t xml:space="preserve"> لمدينة بوسعادة.</w:t>
      </w:r>
      <w:r w:rsidR="00CD7FCC" w:rsidRPr="002F2E6E">
        <w:rPr>
          <w:rFonts w:ascii="Simplified Arabic" w:hAnsi="Simplified Arabic" w:cs="Simplified Arabic"/>
          <w:sz w:val="24"/>
          <w:szCs w:val="24"/>
          <w:rtl/>
          <w:lang w:val="en-US" w:bidi="ar-DZ"/>
        </w:rPr>
        <w:t xml:space="preserve"> </w:t>
      </w:r>
      <w:r w:rsidR="00EF572D">
        <w:rPr>
          <w:rFonts w:ascii="Simplified Arabic" w:hAnsi="Simplified Arabic" w:cs="Simplified Arabic" w:hint="cs"/>
          <w:sz w:val="24"/>
          <w:szCs w:val="24"/>
          <w:rtl/>
          <w:lang w:val="en-US" w:bidi="ar-DZ"/>
        </w:rPr>
        <w:t>ظهر</w:t>
      </w:r>
      <w:r w:rsidR="00242DC6">
        <w:rPr>
          <w:rFonts w:ascii="Simplified Arabic" w:hAnsi="Simplified Arabic" w:cs="Simplified Arabic" w:hint="cs"/>
          <w:sz w:val="24"/>
          <w:szCs w:val="24"/>
          <w:rtl/>
          <w:lang w:val="en-US" w:bidi="ar-DZ"/>
        </w:rPr>
        <w:t xml:space="preserve"> </w:t>
      </w:r>
      <w:r w:rsidR="00CD7FCC" w:rsidRPr="002F2E6E">
        <w:rPr>
          <w:rFonts w:ascii="Simplified Arabic" w:hAnsi="Simplified Arabic" w:cs="Simplified Arabic" w:hint="cs"/>
          <w:sz w:val="24"/>
          <w:szCs w:val="24"/>
          <w:rtl/>
          <w:lang w:val="en-US" w:bidi="ar-DZ"/>
        </w:rPr>
        <w:t>ان هناك تباين</w:t>
      </w:r>
      <w:r w:rsidR="00EF572D">
        <w:rPr>
          <w:rFonts w:ascii="Simplified Arabic" w:hAnsi="Simplified Arabic" w:cs="Simplified Arabic" w:hint="cs"/>
          <w:sz w:val="24"/>
          <w:szCs w:val="24"/>
          <w:rtl/>
          <w:lang w:val="en-US" w:bidi="ar-DZ"/>
        </w:rPr>
        <w:t>ات</w:t>
      </w:r>
      <w:r w:rsidR="00CD7FCC" w:rsidRPr="002F2E6E">
        <w:rPr>
          <w:rFonts w:ascii="Simplified Arabic" w:hAnsi="Simplified Arabic" w:cs="Simplified Arabic" w:hint="cs"/>
          <w:sz w:val="24"/>
          <w:szCs w:val="24"/>
          <w:rtl/>
          <w:lang w:val="en-US" w:bidi="ar-DZ"/>
        </w:rPr>
        <w:t xml:space="preserve"> </w:t>
      </w:r>
      <w:r w:rsidR="006B46BC">
        <w:rPr>
          <w:rFonts w:ascii="Simplified Arabic" w:hAnsi="Simplified Arabic" w:cs="Simplified Arabic" w:hint="cs"/>
          <w:sz w:val="24"/>
          <w:szCs w:val="24"/>
          <w:rtl/>
          <w:lang w:val="en-US" w:bidi="ar-DZ"/>
        </w:rPr>
        <w:t>واضح</w:t>
      </w:r>
      <w:r w:rsidR="00EF572D">
        <w:rPr>
          <w:rFonts w:ascii="Simplified Arabic" w:hAnsi="Simplified Arabic" w:cs="Simplified Arabic" w:hint="cs"/>
          <w:sz w:val="24"/>
          <w:szCs w:val="24"/>
          <w:rtl/>
          <w:lang w:val="en-US" w:bidi="ar-DZ"/>
        </w:rPr>
        <w:t>ة</w:t>
      </w:r>
      <w:r w:rsidR="00CD7FCC" w:rsidRPr="002F2E6E">
        <w:rPr>
          <w:rFonts w:ascii="Simplified Arabic" w:hAnsi="Simplified Arabic" w:cs="Simplified Arabic" w:hint="cs"/>
          <w:sz w:val="24"/>
          <w:szCs w:val="24"/>
          <w:rtl/>
          <w:lang w:val="en-US" w:bidi="ar-DZ"/>
        </w:rPr>
        <w:t xml:space="preserve"> في قيم </w:t>
      </w:r>
      <w:r w:rsidRPr="002F2E6E">
        <w:rPr>
          <w:rFonts w:ascii="Simplified Arabic" w:hAnsi="Simplified Arabic" w:cs="Simplified Arabic" w:hint="cs"/>
          <w:sz w:val="24"/>
          <w:szCs w:val="24"/>
          <w:rtl/>
          <w:lang w:val="en-US" w:bidi="ar-DZ"/>
        </w:rPr>
        <w:t>ودرجة التنوع</w:t>
      </w:r>
      <w:r w:rsidR="006B46BC">
        <w:rPr>
          <w:rFonts w:ascii="Simplified Arabic" w:hAnsi="Simplified Arabic" w:cs="Simplified Arabic" w:hint="cs"/>
          <w:sz w:val="24"/>
          <w:szCs w:val="24"/>
          <w:rtl/>
          <w:lang w:val="en-US" w:bidi="ar-DZ"/>
        </w:rPr>
        <w:t>.</w:t>
      </w:r>
      <w:r w:rsidR="00CD7FCC" w:rsidRPr="002F2E6E">
        <w:rPr>
          <w:rFonts w:ascii="Simplified Arabic" w:hAnsi="Simplified Arabic" w:cs="Simplified Arabic" w:hint="cs"/>
          <w:sz w:val="24"/>
          <w:szCs w:val="24"/>
          <w:rtl/>
          <w:lang w:val="en-US" w:bidi="ar-DZ"/>
        </w:rPr>
        <w:t xml:space="preserve"> </w:t>
      </w:r>
    </w:p>
    <w:p w:rsidR="006B46BC" w:rsidRDefault="006B46BC" w:rsidP="00F54A68">
      <w:pPr>
        <w:bidi/>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بصفة</w:t>
      </w:r>
      <w:r w:rsidR="00EF572D">
        <w:rPr>
          <w:rFonts w:ascii="Simplified Arabic" w:hAnsi="Simplified Arabic" w:cs="Simplified Arabic" w:hint="cs"/>
          <w:sz w:val="24"/>
          <w:szCs w:val="24"/>
          <w:rtl/>
          <w:lang w:bidi="ar-DZ"/>
        </w:rPr>
        <w:t xml:space="preserve"> </w:t>
      </w:r>
      <w:r w:rsidRPr="00DD2046">
        <w:rPr>
          <w:rFonts w:ascii="Simplified Arabic" w:hAnsi="Simplified Arabic" w:cs="Simplified Arabic" w:hint="cs"/>
          <w:sz w:val="24"/>
          <w:szCs w:val="24"/>
          <w:rtl/>
          <w:lang w:bidi="ar-DZ"/>
        </w:rPr>
        <w:t>عام</w:t>
      </w:r>
      <w:r>
        <w:rPr>
          <w:rFonts w:ascii="Simplified Arabic" w:hAnsi="Simplified Arabic" w:cs="Simplified Arabic" w:hint="cs"/>
          <w:sz w:val="24"/>
          <w:szCs w:val="24"/>
          <w:rtl/>
          <w:lang w:bidi="ar-DZ"/>
        </w:rPr>
        <w:t>ة</w:t>
      </w:r>
      <w:r w:rsidRPr="00DD2046">
        <w:rPr>
          <w:rFonts w:ascii="Simplified Arabic" w:hAnsi="Simplified Arabic" w:cs="Simplified Arabic" w:hint="cs"/>
          <w:sz w:val="24"/>
          <w:szCs w:val="24"/>
          <w:rtl/>
          <w:lang w:bidi="ar-DZ"/>
        </w:rPr>
        <w:t>،</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تم</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تسجيل</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قيمة </w:t>
      </w:r>
      <w:r w:rsidR="00155D63">
        <w:rPr>
          <w:rFonts w:ascii="Simplified Arabic" w:hAnsi="Simplified Arabic" w:cs="Simplified Arabic" w:hint="cs"/>
          <w:sz w:val="24"/>
          <w:szCs w:val="24"/>
          <w:rtl/>
          <w:lang w:bidi="ar-DZ"/>
        </w:rPr>
        <w:t>تنوع تساوي 100</w:t>
      </w:r>
      <w:r w:rsidR="00155D63">
        <w:rPr>
          <w:rFonts w:ascii="Simplified Arabic" w:hAnsi="Simplified Arabic" w:cs="Simplified Arabic"/>
          <w:sz w:val="24"/>
          <w:szCs w:val="24"/>
          <w:lang w:bidi="ar-DZ"/>
        </w:rPr>
        <w:t>%</w:t>
      </w:r>
      <w:r w:rsidR="00155D63">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في حي القصر و</w:t>
      </w:r>
      <w:r w:rsidR="00E71828">
        <w:rPr>
          <w:rFonts w:ascii="Simplified Arabic" w:hAnsi="Simplified Arabic" w:cs="Simplified Arabic" w:hint="cs"/>
          <w:sz w:val="24"/>
          <w:szCs w:val="24"/>
          <w:rtl/>
          <w:lang w:bidi="ar-DZ"/>
        </w:rPr>
        <w:t>تراوحت</w:t>
      </w:r>
      <w:r w:rsidR="00155D63">
        <w:rPr>
          <w:rFonts w:ascii="Simplified Arabic" w:hAnsi="Simplified Arabic" w:cs="Simplified Arabic" w:hint="cs"/>
          <w:sz w:val="24"/>
          <w:szCs w:val="24"/>
          <w:rtl/>
          <w:lang w:bidi="ar-DZ"/>
        </w:rPr>
        <w:t xml:space="preserve"> بين </w:t>
      </w:r>
      <w:r w:rsidR="00155D63">
        <w:rPr>
          <w:rFonts w:ascii="Simplified Arabic" w:eastAsia="Times New Roman" w:hAnsi="Simplified Arabic" w:cs="Simplified Arabic" w:hint="cs"/>
          <w:color w:val="000000"/>
          <w:sz w:val="24"/>
          <w:szCs w:val="24"/>
          <w:rtl/>
          <w:lang w:eastAsia="fr-FR"/>
        </w:rPr>
        <w:t>28.89 و</w:t>
      </w:r>
      <w:r w:rsidR="00155D63">
        <w:rPr>
          <w:rFonts w:ascii="Simplified Arabic" w:hAnsi="Simplified Arabic" w:cs="Simplified Arabic" w:hint="cs"/>
          <w:sz w:val="24"/>
          <w:szCs w:val="24"/>
          <w:rtl/>
          <w:lang w:bidi="ar-DZ"/>
        </w:rPr>
        <w:t>100</w:t>
      </w:r>
      <w:r w:rsidR="00155D63">
        <w:rPr>
          <w:rFonts w:ascii="Simplified Arabic" w:hAnsi="Simplified Arabic" w:cs="Simplified Arabic"/>
          <w:sz w:val="24"/>
          <w:szCs w:val="24"/>
          <w:lang w:bidi="ar-DZ"/>
        </w:rPr>
        <w:t>%</w:t>
      </w:r>
      <w:r w:rsidR="00155D63">
        <w:rPr>
          <w:rFonts w:ascii="Simplified Arabic" w:hAnsi="Simplified Arabic" w:cs="Simplified Arabic" w:hint="cs"/>
          <w:sz w:val="24"/>
          <w:szCs w:val="24"/>
          <w:rtl/>
          <w:lang w:bidi="ar-DZ"/>
        </w:rPr>
        <w:t xml:space="preserve"> في حي </w:t>
      </w:r>
      <w:r>
        <w:rPr>
          <w:rFonts w:ascii="Simplified Arabic" w:hAnsi="Simplified Arabic" w:cs="Simplified Arabic" w:hint="cs"/>
          <w:sz w:val="24"/>
          <w:szCs w:val="24"/>
          <w:rtl/>
          <w:lang w:bidi="ar-DZ"/>
        </w:rPr>
        <w:t>بلاتو</w:t>
      </w:r>
      <w:r w:rsidR="00EF572D">
        <w:rPr>
          <w:rFonts w:ascii="Simplified Arabic" w:hAnsi="Simplified Arabic" w:cs="Simplified Arabic" w:hint="cs"/>
          <w:sz w:val="24"/>
          <w:szCs w:val="24"/>
          <w:rtl/>
          <w:lang w:bidi="ar-DZ"/>
        </w:rPr>
        <w:t xml:space="preserve">. بينما </w:t>
      </w:r>
      <w:r w:rsidR="00EF572D" w:rsidRPr="00DD2046">
        <w:rPr>
          <w:rFonts w:ascii="Simplified Arabic" w:hAnsi="Simplified Arabic" w:cs="Simplified Arabic" w:hint="cs"/>
          <w:sz w:val="24"/>
          <w:szCs w:val="24"/>
          <w:rtl/>
          <w:lang w:bidi="ar-DZ"/>
        </w:rPr>
        <w:t>تم</w:t>
      </w:r>
      <w:r w:rsidR="00EF572D" w:rsidRPr="00DD2046">
        <w:rPr>
          <w:rFonts w:ascii="Simplified Arabic" w:hAnsi="Simplified Arabic" w:cs="Simplified Arabic"/>
          <w:sz w:val="24"/>
          <w:szCs w:val="24"/>
          <w:rtl/>
          <w:lang w:bidi="ar-DZ"/>
        </w:rPr>
        <w:t xml:space="preserve"> </w:t>
      </w:r>
      <w:r w:rsidR="00EF572D" w:rsidRPr="00DD2046">
        <w:rPr>
          <w:rFonts w:ascii="Simplified Arabic" w:hAnsi="Simplified Arabic" w:cs="Simplified Arabic" w:hint="cs"/>
          <w:sz w:val="24"/>
          <w:szCs w:val="24"/>
          <w:rtl/>
          <w:lang w:bidi="ar-DZ"/>
        </w:rPr>
        <w:t>تسجيل</w:t>
      </w:r>
      <w:r w:rsidR="00EF572D" w:rsidRPr="00DD2046">
        <w:rPr>
          <w:rFonts w:ascii="Simplified Arabic" w:hAnsi="Simplified Arabic" w:cs="Simplified Arabic"/>
          <w:sz w:val="24"/>
          <w:szCs w:val="24"/>
          <w:rtl/>
          <w:lang w:bidi="ar-DZ"/>
        </w:rPr>
        <w:t xml:space="preserve"> </w:t>
      </w:r>
      <w:r w:rsidR="00EF572D">
        <w:rPr>
          <w:rFonts w:ascii="Simplified Arabic" w:hAnsi="Simplified Arabic" w:cs="Simplified Arabic" w:hint="cs"/>
          <w:sz w:val="24"/>
          <w:szCs w:val="24"/>
          <w:rtl/>
          <w:lang w:bidi="ar-DZ"/>
        </w:rPr>
        <w:t xml:space="preserve">قيمة تنوع تتراوح بين </w:t>
      </w:r>
      <w:r w:rsidR="00EF572D">
        <w:rPr>
          <w:rFonts w:ascii="Simplified Arabic" w:eastAsia="Times New Roman" w:hAnsi="Simplified Arabic" w:cs="Simplified Arabic" w:hint="cs"/>
          <w:color w:val="000000"/>
          <w:sz w:val="24"/>
          <w:szCs w:val="24"/>
          <w:rtl/>
          <w:lang w:eastAsia="fr-FR"/>
        </w:rPr>
        <w:t>37.46 و63.17</w:t>
      </w:r>
      <w:r w:rsidR="00EF572D">
        <w:rPr>
          <w:rFonts w:ascii="Simplified Arabic" w:hAnsi="Simplified Arabic" w:cs="Simplified Arabic"/>
          <w:sz w:val="24"/>
          <w:szCs w:val="24"/>
          <w:lang w:bidi="ar-DZ"/>
        </w:rPr>
        <w:t>%</w:t>
      </w:r>
      <w:r w:rsidR="00EF572D">
        <w:rPr>
          <w:rFonts w:ascii="Simplified Arabic" w:hAnsi="Simplified Arabic" w:cs="Simplified Arabic" w:hint="cs"/>
          <w:sz w:val="24"/>
          <w:szCs w:val="24"/>
          <w:rtl/>
          <w:lang w:bidi="ar-DZ"/>
        </w:rPr>
        <w:t xml:space="preserve"> في حي سيدي سليمان و</w:t>
      </w:r>
      <w:r w:rsidR="00E71828">
        <w:rPr>
          <w:rFonts w:ascii="Simplified Arabic" w:hAnsi="Simplified Arabic" w:cs="Simplified Arabic" w:hint="cs"/>
          <w:sz w:val="24"/>
          <w:szCs w:val="24"/>
          <w:rtl/>
          <w:lang w:bidi="ar-DZ"/>
        </w:rPr>
        <w:t xml:space="preserve"> تراوحت</w:t>
      </w:r>
      <w:r w:rsidR="00EF572D">
        <w:rPr>
          <w:rFonts w:ascii="Simplified Arabic" w:hAnsi="Simplified Arabic" w:cs="Simplified Arabic" w:hint="cs"/>
          <w:sz w:val="24"/>
          <w:szCs w:val="24"/>
          <w:rtl/>
          <w:lang w:bidi="ar-DZ"/>
        </w:rPr>
        <w:t xml:space="preserve"> بين </w:t>
      </w:r>
      <w:r w:rsidR="00EF572D">
        <w:rPr>
          <w:rFonts w:ascii="Simplified Arabic" w:eastAsia="Times New Roman" w:hAnsi="Simplified Arabic" w:cs="Simplified Arabic" w:hint="cs"/>
          <w:color w:val="000000"/>
          <w:sz w:val="24"/>
          <w:szCs w:val="24"/>
          <w:rtl/>
          <w:lang w:eastAsia="fr-FR"/>
        </w:rPr>
        <w:t>24.02 و74.29</w:t>
      </w:r>
      <w:r w:rsidR="00EF572D">
        <w:rPr>
          <w:rFonts w:ascii="Simplified Arabic" w:hAnsi="Simplified Arabic" w:cs="Simplified Arabic"/>
          <w:sz w:val="24"/>
          <w:szCs w:val="24"/>
          <w:lang w:bidi="ar-DZ"/>
        </w:rPr>
        <w:t>%</w:t>
      </w:r>
      <w:r w:rsidR="00EF572D">
        <w:rPr>
          <w:rFonts w:ascii="Simplified Arabic" w:hAnsi="Simplified Arabic" w:cs="Simplified Arabic" w:hint="cs"/>
          <w:sz w:val="24"/>
          <w:szCs w:val="24"/>
          <w:rtl/>
          <w:lang w:bidi="ar-DZ"/>
        </w:rPr>
        <w:t xml:space="preserve"> في حي الحمايد</w:t>
      </w:r>
      <w:r w:rsidR="00E71828">
        <w:rPr>
          <w:rFonts w:ascii="Simplified Arabic" w:hAnsi="Simplified Arabic" w:cs="Simplified Arabic" w:hint="cs"/>
          <w:sz w:val="24"/>
          <w:szCs w:val="24"/>
          <w:rtl/>
          <w:lang w:val="en-US" w:bidi="ar-DZ"/>
        </w:rPr>
        <w:t>، كما هو موضح في الشكل (6-</w:t>
      </w:r>
      <w:r w:rsidR="005373F7">
        <w:rPr>
          <w:rFonts w:ascii="Simplified Arabic" w:hAnsi="Simplified Arabic" w:cs="Simplified Arabic" w:hint="cs"/>
          <w:sz w:val="24"/>
          <w:szCs w:val="24"/>
          <w:rtl/>
          <w:lang w:val="en-US" w:bidi="ar-DZ"/>
        </w:rPr>
        <w:t>22</w:t>
      </w:r>
      <w:r w:rsidR="00E71828">
        <w:rPr>
          <w:rFonts w:ascii="Simplified Arabic" w:hAnsi="Simplified Arabic" w:cs="Simplified Arabic" w:hint="cs"/>
          <w:sz w:val="24"/>
          <w:szCs w:val="24"/>
          <w:rtl/>
          <w:lang w:val="en-US" w:bidi="ar-DZ"/>
        </w:rPr>
        <w:t>).</w:t>
      </w:r>
      <w:r w:rsidR="00F54A68">
        <w:rPr>
          <w:rFonts w:ascii="Simplified Arabic" w:hAnsi="Simplified Arabic" w:cs="Simplified Arabic" w:hint="cs"/>
          <w:sz w:val="24"/>
          <w:szCs w:val="24"/>
          <w:rtl/>
          <w:lang w:val="en-US" w:bidi="ar-DZ"/>
        </w:rPr>
        <w:t xml:space="preserve"> </w:t>
      </w:r>
      <w:r w:rsidR="00EF572D">
        <w:rPr>
          <w:rFonts w:ascii="Simplified Arabic" w:hAnsi="Simplified Arabic" w:cs="Simplified Arabic" w:hint="cs"/>
          <w:sz w:val="24"/>
          <w:szCs w:val="24"/>
          <w:rtl/>
          <w:lang w:bidi="ar-DZ"/>
        </w:rPr>
        <w:t xml:space="preserve">اظهر حي القصر وبلاتو </w:t>
      </w:r>
      <w:r w:rsidR="00155D63">
        <w:rPr>
          <w:rFonts w:ascii="Simplified Arabic" w:hAnsi="Simplified Arabic" w:cs="Simplified Arabic" w:hint="cs"/>
          <w:sz w:val="24"/>
          <w:szCs w:val="24"/>
          <w:rtl/>
          <w:lang w:bidi="ar-DZ"/>
        </w:rPr>
        <w:t>درجة تنوع عالية جدا</w:t>
      </w:r>
      <w:r w:rsidRPr="00DD2046">
        <w:rPr>
          <w:rFonts w:ascii="Simplified Arabic" w:hAnsi="Simplified Arabic" w:cs="Simplified Arabic" w:hint="cs"/>
          <w:sz w:val="24"/>
          <w:szCs w:val="24"/>
          <w:rtl/>
          <w:lang w:bidi="ar-DZ"/>
        </w:rPr>
        <w:t>،</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مقارنة</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بـ</w:t>
      </w:r>
      <w:r>
        <w:rPr>
          <w:rFonts w:ascii="Simplified Arabic" w:hAnsi="Simplified Arabic" w:cs="Simplified Arabic" w:hint="cs"/>
          <w:sz w:val="24"/>
          <w:szCs w:val="24"/>
          <w:rtl/>
          <w:lang w:bidi="ar-DZ"/>
        </w:rPr>
        <w:t>حي سيدي سليمان والحمايد</w:t>
      </w:r>
      <w:r w:rsidRPr="00DD2046">
        <w:rPr>
          <w:rFonts w:ascii="Simplified Arabic" w:hAnsi="Simplified Arabic" w:cs="Simplified Arabic" w:hint="cs"/>
          <w:sz w:val="24"/>
          <w:szCs w:val="24"/>
          <w:rtl/>
          <w:lang w:bidi="ar-DZ"/>
        </w:rPr>
        <w:t>،</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على</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الرغم</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من</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أن</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درجة تنوع المرافق</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في</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حي الحمايد</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أعلى</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منه</w:t>
      </w:r>
      <w:r w:rsidRPr="00DD2046">
        <w:rPr>
          <w:rFonts w:ascii="Simplified Arabic" w:hAnsi="Simplified Arabic" w:cs="Simplified Arabic"/>
          <w:sz w:val="24"/>
          <w:szCs w:val="24"/>
          <w:rtl/>
          <w:lang w:bidi="ar-DZ"/>
        </w:rPr>
        <w:t xml:space="preserve"> </w:t>
      </w:r>
      <w:r w:rsidRPr="00DD2046">
        <w:rPr>
          <w:rFonts w:ascii="Simplified Arabic" w:hAnsi="Simplified Arabic" w:cs="Simplified Arabic" w:hint="cs"/>
          <w:sz w:val="24"/>
          <w:szCs w:val="24"/>
          <w:rtl/>
          <w:lang w:bidi="ar-DZ"/>
        </w:rPr>
        <w:t>في</w:t>
      </w:r>
      <w:r w:rsidRPr="00DD2046">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حي سيدي سليمان.</w:t>
      </w:r>
    </w:p>
    <w:p w:rsidR="002A686B" w:rsidRPr="00986BEA" w:rsidRDefault="00475B29" w:rsidP="003E166E">
      <w:pPr>
        <w:pStyle w:val="fegure"/>
        <w:spacing w:before="240"/>
        <w:rPr>
          <w:sz w:val="8"/>
          <w:szCs w:val="24"/>
          <w:rtl/>
          <w:lang w:val="en-US" w:bidi="ar-DZ"/>
        </w:rPr>
      </w:pPr>
      <w:bookmarkStart w:id="941" w:name="_Toc157608378"/>
      <w:bookmarkStart w:id="942" w:name="_Toc171803871"/>
      <w:r w:rsidRPr="00986BEA">
        <w:rPr>
          <w:rFonts w:hint="cs"/>
          <w:sz w:val="8"/>
          <w:szCs w:val="24"/>
          <w:rtl/>
        </w:rPr>
        <w:t>الشكل</w:t>
      </w:r>
      <w:r w:rsidR="002A686B" w:rsidRPr="00986BEA">
        <w:rPr>
          <w:sz w:val="8"/>
          <w:szCs w:val="24"/>
          <w:rtl/>
        </w:rPr>
        <w:t xml:space="preserve"> (</w:t>
      </w:r>
      <w:r w:rsidR="002A686B" w:rsidRPr="00986BEA">
        <w:rPr>
          <w:rFonts w:hint="cs"/>
          <w:sz w:val="8"/>
          <w:szCs w:val="24"/>
          <w:rtl/>
        </w:rPr>
        <w:t>6-</w:t>
      </w:r>
      <w:r w:rsidR="005373F7" w:rsidRPr="00986BEA">
        <w:rPr>
          <w:rFonts w:hint="cs"/>
          <w:sz w:val="8"/>
          <w:szCs w:val="24"/>
          <w:rtl/>
        </w:rPr>
        <w:t>22</w:t>
      </w:r>
      <w:r w:rsidR="002A686B" w:rsidRPr="00986BEA">
        <w:rPr>
          <w:sz w:val="8"/>
          <w:szCs w:val="24"/>
          <w:rtl/>
        </w:rPr>
        <w:t>):</w:t>
      </w:r>
      <w:r w:rsidR="002A686B" w:rsidRPr="00986BEA">
        <w:rPr>
          <w:rFonts w:hint="cs"/>
          <w:sz w:val="8"/>
          <w:szCs w:val="24"/>
          <w:rtl/>
        </w:rPr>
        <w:t xml:space="preserve"> </w:t>
      </w:r>
      <w:r w:rsidR="00EA0F5A" w:rsidRPr="00986BEA">
        <w:rPr>
          <w:rFonts w:hint="cs"/>
          <w:sz w:val="8"/>
          <w:szCs w:val="24"/>
          <w:rtl/>
        </w:rPr>
        <w:t>مساحة التغطية</w:t>
      </w:r>
      <w:r w:rsidR="002A686B" w:rsidRPr="00986BEA">
        <w:rPr>
          <w:sz w:val="8"/>
          <w:szCs w:val="24"/>
          <w:rtl/>
        </w:rPr>
        <w:t xml:space="preserve"> </w:t>
      </w:r>
      <w:r w:rsidR="00EA0F5A" w:rsidRPr="00986BEA">
        <w:rPr>
          <w:rFonts w:hint="cs"/>
          <w:sz w:val="8"/>
          <w:szCs w:val="24"/>
          <w:rtl/>
        </w:rPr>
        <w:t>ب</w:t>
      </w:r>
      <w:r w:rsidR="007529D2" w:rsidRPr="00986BEA">
        <w:rPr>
          <w:rFonts w:hint="cs"/>
          <w:sz w:val="8"/>
          <w:szCs w:val="24"/>
          <w:rtl/>
        </w:rPr>
        <w:t xml:space="preserve">الخدمة </w:t>
      </w:r>
      <w:r w:rsidR="002A686B" w:rsidRPr="00986BEA">
        <w:rPr>
          <w:sz w:val="8"/>
          <w:szCs w:val="24"/>
          <w:rtl/>
        </w:rPr>
        <w:t xml:space="preserve">وقيم </w:t>
      </w:r>
      <w:r w:rsidR="002A686B" w:rsidRPr="00986BEA">
        <w:rPr>
          <w:rFonts w:hint="cs"/>
          <w:sz w:val="8"/>
          <w:szCs w:val="24"/>
          <w:rtl/>
        </w:rPr>
        <w:t>تنوع</w:t>
      </w:r>
      <w:r w:rsidR="002A686B" w:rsidRPr="00986BEA">
        <w:rPr>
          <w:sz w:val="8"/>
          <w:szCs w:val="24"/>
          <w:rtl/>
        </w:rPr>
        <w:t xml:space="preserve"> </w:t>
      </w:r>
      <w:r w:rsidR="002A686B" w:rsidRPr="00986BEA">
        <w:rPr>
          <w:rFonts w:hint="cs"/>
          <w:sz w:val="8"/>
          <w:szCs w:val="24"/>
          <w:rtl/>
        </w:rPr>
        <w:t xml:space="preserve">المرافق </w:t>
      </w:r>
      <w:r w:rsidR="002A686B" w:rsidRPr="00986BEA">
        <w:rPr>
          <w:rFonts w:hint="cs"/>
          <w:sz w:val="8"/>
          <w:szCs w:val="24"/>
          <w:rtl/>
          <w:lang w:bidi="ar-DZ"/>
        </w:rPr>
        <w:t>عبر</w:t>
      </w:r>
      <w:r w:rsidR="002A686B" w:rsidRPr="00986BEA">
        <w:rPr>
          <w:sz w:val="8"/>
          <w:szCs w:val="24"/>
          <w:rtl/>
          <w:lang w:bidi="ar-DZ"/>
        </w:rPr>
        <w:t xml:space="preserve"> </w:t>
      </w:r>
      <w:r w:rsidR="00710400" w:rsidRPr="00986BEA">
        <w:rPr>
          <w:rFonts w:hint="cs"/>
          <w:sz w:val="8"/>
          <w:szCs w:val="24"/>
          <w:rtl/>
          <w:lang w:val="en-US" w:bidi="ar-DZ"/>
        </w:rPr>
        <w:t>أحياء فئات الانسجة الحضرية الاربعة</w:t>
      </w:r>
      <w:bookmarkEnd w:id="941"/>
      <w:bookmarkEnd w:id="942"/>
    </w:p>
    <w:p w:rsidR="00986BEA" w:rsidRPr="00986BEA" w:rsidRDefault="00986BEA" w:rsidP="00986BEA">
      <w:pPr>
        <w:pStyle w:val="fegure"/>
        <w:rPr>
          <w:sz w:val="8"/>
          <w:szCs w:val="24"/>
          <w:rtl/>
          <w:lang w:val="en-US"/>
        </w:rPr>
      </w:pPr>
      <w:bookmarkStart w:id="943" w:name="_Toc171803872"/>
      <w:r>
        <w:rPr>
          <w:rFonts w:hint="cs"/>
          <w:sz w:val="8"/>
          <w:szCs w:val="24"/>
          <w:rtl/>
          <w:lang w:val="en-US" w:bidi="ar-DZ"/>
        </w:rPr>
        <w:t xml:space="preserve">المصدر: </w:t>
      </w:r>
      <w:r>
        <w:rPr>
          <w:rFonts w:hint="cs"/>
          <w:sz w:val="8"/>
          <w:szCs w:val="24"/>
          <w:rtl/>
          <w:lang w:val="en-US"/>
        </w:rPr>
        <w:t>(الباحث، 2022)</w:t>
      </w:r>
      <w:bookmarkEnd w:id="943"/>
    </w:p>
    <w:p w:rsidR="000E3FE0" w:rsidRPr="005E7A52" w:rsidRDefault="000E3FE0" w:rsidP="00986BEA">
      <w:pPr>
        <w:pStyle w:val="fegure"/>
        <w:rPr>
          <w:sz w:val="6"/>
          <w:szCs w:val="22"/>
          <w:rtl/>
          <w:lang w:val="en-US" w:bidi="ar-DZ"/>
        </w:rPr>
      </w:pPr>
      <w:bookmarkStart w:id="944" w:name="_Toc171803873"/>
      <w:r>
        <w:rPr>
          <w:noProof/>
          <w:lang w:eastAsia="fr-FR"/>
        </w:rPr>
        <w:drawing>
          <wp:inline distT="0" distB="0" distL="0" distR="0" wp14:anchorId="6DB55167" wp14:editId="6000C95D">
            <wp:extent cx="5619750" cy="3086100"/>
            <wp:effectExtent l="0" t="0" r="19050" b="19050"/>
            <wp:docPr id="104" name="Graphique 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6"/>
              </a:graphicData>
            </a:graphic>
          </wp:inline>
        </w:drawing>
      </w:r>
      <w:bookmarkEnd w:id="944"/>
    </w:p>
    <w:p w:rsidR="002A686B" w:rsidRPr="00860073" w:rsidRDefault="002A686B" w:rsidP="001D0548">
      <w:pPr>
        <w:pStyle w:val="Paragraphedeliste"/>
        <w:numPr>
          <w:ilvl w:val="2"/>
          <w:numId w:val="266"/>
        </w:numPr>
        <w:tabs>
          <w:tab w:val="right" w:pos="850"/>
        </w:tabs>
        <w:bidi/>
        <w:spacing w:before="240" w:after="0"/>
        <w:ind w:left="0" w:firstLine="0"/>
        <w:jc w:val="both"/>
        <w:outlineLvl w:val="1"/>
        <w:rPr>
          <w:rFonts w:ascii="Simplified Arabic" w:hAnsi="Simplified Arabic" w:cs="Simplified Arabic"/>
          <w:b/>
          <w:bCs/>
          <w:sz w:val="24"/>
          <w:szCs w:val="24"/>
          <w:rtl/>
          <w:lang w:bidi="ar-DZ"/>
        </w:rPr>
      </w:pPr>
      <w:bookmarkStart w:id="945" w:name="_Toc171803874"/>
      <w:r w:rsidRPr="00860073">
        <w:rPr>
          <w:rFonts w:ascii="Simplified Arabic" w:hAnsi="Simplified Arabic" w:cs="Simplified Arabic" w:hint="cs"/>
          <w:b/>
          <w:bCs/>
          <w:sz w:val="24"/>
          <w:szCs w:val="24"/>
          <w:rtl/>
          <w:lang w:bidi="ar-DZ"/>
        </w:rPr>
        <w:t>سمة الاتصال</w:t>
      </w:r>
      <w:r w:rsidR="00C23656">
        <w:rPr>
          <w:rFonts w:ascii="Simplified Arabic" w:hAnsi="Simplified Arabic" w:cs="Simplified Arabic" w:hint="cs"/>
          <w:b/>
          <w:bCs/>
          <w:sz w:val="24"/>
          <w:szCs w:val="24"/>
          <w:rtl/>
          <w:lang w:bidi="ar-DZ"/>
        </w:rPr>
        <w:t>ية</w:t>
      </w:r>
      <w:bookmarkEnd w:id="945"/>
      <w:r w:rsidRPr="00860073">
        <w:rPr>
          <w:rFonts w:ascii="Simplified Arabic" w:hAnsi="Simplified Arabic" w:cs="Simplified Arabic" w:hint="cs"/>
          <w:b/>
          <w:bCs/>
          <w:sz w:val="24"/>
          <w:szCs w:val="24"/>
          <w:rtl/>
          <w:lang w:bidi="ar-DZ"/>
        </w:rPr>
        <w:t xml:space="preserve"> </w:t>
      </w:r>
    </w:p>
    <w:p w:rsidR="002A686B" w:rsidRDefault="00441886" w:rsidP="00F377EC">
      <w:pPr>
        <w:tabs>
          <w:tab w:val="right" w:pos="567"/>
        </w:tabs>
        <w:autoSpaceDE w:val="0"/>
        <w:autoSpaceDN w:val="0"/>
        <w:bidi/>
        <w:adjustRightInd w:val="0"/>
        <w:spacing w:after="0"/>
        <w:ind w:firstLine="282"/>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bidi="ar-DZ"/>
        </w:rPr>
        <w:t>تم الكشف عن سمة الاتصال</w:t>
      </w:r>
      <w:r w:rsidR="00C23656">
        <w:rPr>
          <w:rFonts w:ascii="Simplified Arabic" w:hAnsi="Simplified Arabic" w:cs="Simplified Arabic" w:hint="cs"/>
          <w:sz w:val="24"/>
          <w:szCs w:val="24"/>
          <w:rtl/>
          <w:lang w:bidi="ar-DZ"/>
        </w:rPr>
        <w:t>ية</w:t>
      </w:r>
      <w:r w:rsidRPr="002151E1">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للأحياء السكنية: القصر، بلاتو، سيدي سليمان والحمايد</w:t>
      </w:r>
      <w:r w:rsidRPr="00B82A42">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lang w:bidi="ar-DZ"/>
        </w:rPr>
        <w:t xml:space="preserve">التي تمثل فئات النسيج الحضري الاربعة، </w:t>
      </w:r>
      <w:r w:rsidR="00437284" w:rsidRPr="002151E1">
        <w:rPr>
          <w:rFonts w:ascii="Simplified Arabic" w:hAnsi="Simplified Arabic" w:cs="Simplified Arabic" w:hint="cs"/>
          <w:sz w:val="24"/>
          <w:szCs w:val="24"/>
          <w:rtl/>
          <w:lang w:bidi="ar-DZ"/>
        </w:rPr>
        <w:t xml:space="preserve">باستخدام برنامج </w:t>
      </w:r>
      <w:r w:rsidR="00437284" w:rsidRPr="002151E1">
        <w:rPr>
          <w:rFonts w:asciiTheme="majorBidi" w:hAnsiTheme="majorBidi" w:cstheme="majorBidi"/>
          <w:sz w:val="24"/>
          <w:szCs w:val="24"/>
        </w:rPr>
        <w:t>Arc GIS 10.3</w:t>
      </w:r>
      <w:r w:rsidR="00437284" w:rsidRPr="002151E1">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من خلال</w:t>
      </w:r>
      <w:r w:rsidRPr="00AF687E">
        <w:rPr>
          <w:rFonts w:ascii="Simplified Arabic" w:hAnsi="Simplified Arabic" w:cs="Simplified Arabic"/>
          <w:sz w:val="24"/>
          <w:szCs w:val="24"/>
          <w:rtl/>
          <w:lang w:bidi="ar-DZ"/>
        </w:rPr>
        <w:t xml:space="preserve"> </w:t>
      </w:r>
      <w:r w:rsidR="00437284">
        <w:rPr>
          <w:rFonts w:ascii="Simplified Arabic" w:hAnsi="Simplified Arabic" w:cs="Simplified Arabic" w:hint="cs"/>
          <w:sz w:val="24"/>
          <w:szCs w:val="24"/>
          <w:rtl/>
          <w:lang w:bidi="ar-DZ"/>
        </w:rPr>
        <w:t>مقياس</w:t>
      </w:r>
      <w:r w:rsidRPr="00AF687E">
        <w:rPr>
          <w:rFonts w:ascii="Simplified Arabic" w:hAnsi="Simplified Arabic" w:cs="Simplified Arabic"/>
          <w:sz w:val="24"/>
          <w:szCs w:val="24"/>
          <w:rtl/>
          <w:lang w:bidi="ar-DZ"/>
        </w:rPr>
        <w:t xml:space="preserve"> </w:t>
      </w:r>
      <w:r w:rsidR="00437284" w:rsidRPr="00557AE3">
        <w:rPr>
          <w:rFonts w:ascii="Simplified Arabic" w:hAnsi="Simplified Arabic" w:cs="Simplified Arabic" w:hint="cs"/>
          <w:sz w:val="24"/>
          <w:szCs w:val="24"/>
          <w:rtl/>
          <w:lang w:val="en-US" w:bidi="ar-DZ"/>
        </w:rPr>
        <w:t>متوسط</w:t>
      </w:r>
      <w:r w:rsidR="00437284" w:rsidRPr="00557AE3">
        <w:rPr>
          <w:rFonts w:ascii="Simplified Arabic" w:hAnsi="Simplified Arabic" w:cs="Simplified Arabic"/>
          <w:sz w:val="24"/>
          <w:szCs w:val="24"/>
          <w:rtl/>
          <w:lang w:val="en-US" w:bidi="ar-DZ"/>
        </w:rPr>
        <w:t xml:space="preserve"> </w:t>
      </w:r>
      <w:r w:rsidR="00437284" w:rsidRPr="00557AE3">
        <w:rPr>
          <w:rFonts w:ascii="Simplified Arabic" w:hAnsi="Simplified Arabic" w:cs="Simplified Arabic" w:hint="cs"/>
          <w:sz w:val="24"/>
          <w:szCs w:val="24"/>
          <w:rtl/>
          <w:lang w:val="en-US" w:bidi="ar-DZ"/>
        </w:rPr>
        <w:t>المسافة</w:t>
      </w:r>
      <w:r w:rsidR="00437284" w:rsidRPr="00557AE3">
        <w:rPr>
          <w:rFonts w:ascii="Simplified Arabic" w:hAnsi="Simplified Arabic" w:cs="Simplified Arabic"/>
          <w:sz w:val="24"/>
          <w:szCs w:val="24"/>
          <w:rtl/>
          <w:lang w:val="en-US" w:bidi="ar-DZ"/>
        </w:rPr>
        <w:t xml:space="preserve"> </w:t>
      </w:r>
      <w:r w:rsidR="00437284" w:rsidRPr="00557AE3">
        <w:rPr>
          <w:rFonts w:ascii="Simplified Arabic" w:hAnsi="Simplified Arabic" w:cs="Simplified Arabic" w:hint="cs"/>
          <w:sz w:val="24"/>
          <w:szCs w:val="24"/>
          <w:rtl/>
          <w:lang w:val="en-US" w:bidi="ar-DZ"/>
        </w:rPr>
        <w:t>بين</w:t>
      </w:r>
      <w:r w:rsidR="00437284" w:rsidRPr="00557AE3">
        <w:rPr>
          <w:rFonts w:ascii="Simplified Arabic" w:hAnsi="Simplified Arabic" w:cs="Simplified Arabic"/>
          <w:sz w:val="24"/>
          <w:szCs w:val="24"/>
          <w:rtl/>
          <w:lang w:val="en-US" w:bidi="ar-DZ"/>
        </w:rPr>
        <w:t xml:space="preserve"> </w:t>
      </w:r>
      <w:r w:rsidR="00437284" w:rsidRPr="00557AE3">
        <w:rPr>
          <w:rFonts w:ascii="Simplified Arabic" w:hAnsi="Simplified Arabic" w:cs="Simplified Arabic" w:hint="cs"/>
          <w:sz w:val="24"/>
          <w:szCs w:val="24"/>
          <w:rtl/>
          <w:lang w:val="en-US" w:bidi="ar-DZ"/>
        </w:rPr>
        <w:t>الطرق</w:t>
      </w:r>
      <w:r w:rsidR="00437284" w:rsidRPr="00557AE3">
        <w:rPr>
          <w:rFonts w:ascii="Simplified Arabic" w:hAnsi="Simplified Arabic" w:cs="Simplified Arabic"/>
          <w:sz w:val="24"/>
          <w:szCs w:val="24"/>
          <w:rtl/>
          <w:lang w:val="en-US" w:bidi="ar-DZ"/>
        </w:rPr>
        <w:t xml:space="preserve"> </w:t>
      </w:r>
      <w:r w:rsidR="00437284" w:rsidRPr="00557AE3">
        <w:rPr>
          <w:rFonts w:ascii="Simplified Arabic" w:hAnsi="Simplified Arabic" w:cs="Simplified Arabic" w:hint="cs"/>
          <w:sz w:val="24"/>
          <w:szCs w:val="24"/>
          <w:rtl/>
          <w:lang w:val="en-US" w:bidi="ar-DZ"/>
        </w:rPr>
        <w:t>الرئيسية</w:t>
      </w:r>
      <w:r w:rsidR="00437284" w:rsidRPr="00557AE3">
        <w:rPr>
          <w:rFonts w:ascii="Simplified Arabic" w:hAnsi="Simplified Arabic" w:cs="Simplified Arabic"/>
          <w:sz w:val="24"/>
          <w:szCs w:val="24"/>
          <w:rtl/>
          <w:lang w:val="en-US" w:bidi="ar-DZ"/>
        </w:rPr>
        <w:t xml:space="preserve"> </w:t>
      </w:r>
      <w:r w:rsidR="00437284" w:rsidRPr="00557AE3">
        <w:rPr>
          <w:rFonts w:ascii="Simplified Arabic" w:hAnsi="Simplified Arabic" w:cs="Simplified Arabic" w:hint="cs"/>
          <w:sz w:val="24"/>
          <w:szCs w:val="24"/>
          <w:rtl/>
          <w:lang w:val="en-US" w:bidi="ar-DZ"/>
        </w:rPr>
        <w:t>الحضرية</w:t>
      </w:r>
      <w:r w:rsidR="00437284" w:rsidRPr="00557AE3">
        <w:rPr>
          <w:rFonts w:ascii="Simplified Arabic" w:hAnsi="Simplified Arabic" w:cs="Simplified Arabic"/>
          <w:sz w:val="24"/>
          <w:szCs w:val="24"/>
          <w:rtl/>
          <w:lang w:val="en-US" w:bidi="ar-DZ"/>
        </w:rPr>
        <w:t xml:space="preserve"> </w:t>
      </w:r>
      <w:r w:rsidR="00437284">
        <w:rPr>
          <w:rFonts w:ascii="Simplified Arabic" w:hAnsi="Simplified Arabic" w:cs="Simplified Arabic" w:hint="cs"/>
          <w:sz w:val="24"/>
          <w:szCs w:val="24"/>
          <w:rtl/>
          <w:lang w:val="en-US" w:bidi="ar-DZ"/>
        </w:rPr>
        <w:t xml:space="preserve">الذي يعتبر </w:t>
      </w:r>
      <w:r w:rsidR="00437284" w:rsidRPr="00557AE3">
        <w:rPr>
          <w:rFonts w:ascii="Simplified Arabic" w:hAnsi="Simplified Arabic" w:cs="Simplified Arabic" w:hint="cs"/>
          <w:sz w:val="24"/>
          <w:szCs w:val="24"/>
          <w:rtl/>
          <w:lang w:val="en-US" w:bidi="ar-DZ"/>
        </w:rPr>
        <w:t>مقياسًا</w:t>
      </w:r>
      <w:r w:rsidR="00437284" w:rsidRPr="00557AE3">
        <w:rPr>
          <w:rFonts w:ascii="Simplified Arabic" w:hAnsi="Simplified Arabic" w:cs="Simplified Arabic"/>
          <w:sz w:val="24"/>
          <w:szCs w:val="24"/>
          <w:rtl/>
          <w:lang w:val="en-US" w:bidi="ar-DZ"/>
        </w:rPr>
        <w:t xml:space="preserve"> </w:t>
      </w:r>
      <w:r w:rsidR="00437284" w:rsidRPr="00557AE3">
        <w:rPr>
          <w:rFonts w:ascii="Simplified Arabic" w:hAnsi="Simplified Arabic" w:cs="Simplified Arabic" w:hint="cs"/>
          <w:sz w:val="24"/>
          <w:szCs w:val="24"/>
          <w:rtl/>
          <w:lang w:val="en-US" w:bidi="ar-DZ"/>
        </w:rPr>
        <w:t>مهمًا</w:t>
      </w:r>
      <w:r w:rsidR="00437284" w:rsidRPr="00557AE3">
        <w:rPr>
          <w:rFonts w:ascii="Simplified Arabic" w:hAnsi="Simplified Arabic" w:cs="Simplified Arabic"/>
          <w:sz w:val="24"/>
          <w:szCs w:val="24"/>
          <w:rtl/>
          <w:lang w:val="en-US" w:bidi="ar-DZ"/>
        </w:rPr>
        <w:t xml:space="preserve"> </w:t>
      </w:r>
      <w:r w:rsidR="00437284" w:rsidRPr="00851D11">
        <w:rPr>
          <w:rFonts w:ascii="Simplified Arabic" w:hAnsi="Simplified Arabic" w:cs="Simplified Arabic" w:hint="cs"/>
          <w:sz w:val="24"/>
          <w:szCs w:val="24"/>
          <w:rtl/>
          <w:lang w:val="en-US" w:bidi="ar-DZ"/>
        </w:rPr>
        <w:t>للاتصال على</w:t>
      </w:r>
      <w:r w:rsidR="00437284" w:rsidRPr="00851D11">
        <w:rPr>
          <w:rFonts w:ascii="Simplified Arabic" w:hAnsi="Simplified Arabic" w:cs="Simplified Arabic"/>
          <w:sz w:val="24"/>
          <w:szCs w:val="24"/>
          <w:rtl/>
          <w:lang w:val="en-US" w:bidi="ar-DZ"/>
        </w:rPr>
        <w:t xml:space="preserve"> </w:t>
      </w:r>
      <w:r w:rsidR="00437284" w:rsidRPr="00851D11">
        <w:rPr>
          <w:rFonts w:ascii="Simplified Arabic" w:hAnsi="Simplified Arabic" w:cs="Simplified Arabic" w:hint="cs"/>
          <w:sz w:val="24"/>
          <w:szCs w:val="24"/>
          <w:rtl/>
          <w:lang w:val="en-US" w:bidi="ar-DZ"/>
        </w:rPr>
        <w:t>نطاق</w:t>
      </w:r>
      <w:r w:rsidR="00437284" w:rsidRPr="00851D11">
        <w:rPr>
          <w:rFonts w:ascii="Simplified Arabic" w:hAnsi="Simplified Arabic" w:cs="Simplified Arabic"/>
          <w:sz w:val="24"/>
          <w:szCs w:val="24"/>
          <w:rtl/>
          <w:lang w:val="en-US" w:bidi="ar-DZ"/>
        </w:rPr>
        <w:t xml:space="preserve"> </w:t>
      </w:r>
      <w:r w:rsidR="00437284" w:rsidRPr="00437284">
        <w:rPr>
          <w:rFonts w:ascii="Simplified Arabic" w:hAnsi="Simplified Arabic" w:cs="Simplified Arabic" w:hint="cs"/>
          <w:sz w:val="24"/>
          <w:szCs w:val="24"/>
          <w:rtl/>
          <w:lang w:bidi="ar-DZ"/>
        </w:rPr>
        <w:t>الحي السكني</w:t>
      </w:r>
      <w:r w:rsidR="00437284" w:rsidRPr="00437284">
        <w:rPr>
          <w:rFonts w:ascii="Simplified Arabic" w:hAnsi="Simplified Arabic" w:cs="Simplified Arabic"/>
          <w:sz w:val="24"/>
          <w:szCs w:val="24"/>
          <w:rtl/>
          <w:lang w:bidi="ar-DZ"/>
        </w:rPr>
        <w:t>.</w:t>
      </w:r>
      <w:r w:rsidR="002A686B" w:rsidRPr="002151E1">
        <w:rPr>
          <w:rFonts w:ascii="Simplified Arabic" w:hAnsi="Simplified Arabic" w:cs="Simplified Arabic" w:hint="cs"/>
          <w:sz w:val="24"/>
          <w:szCs w:val="24"/>
          <w:rtl/>
          <w:lang w:bidi="ar-DZ"/>
        </w:rPr>
        <w:t xml:space="preserve"> </w:t>
      </w:r>
    </w:p>
    <w:p w:rsidR="002A686B" w:rsidRPr="003E166E" w:rsidRDefault="002A686B" w:rsidP="003E166E">
      <w:pPr>
        <w:pStyle w:val="Paragraphedeliste"/>
        <w:numPr>
          <w:ilvl w:val="0"/>
          <w:numId w:val="69"/>
        </w:numPr>
        <w:bidi/>
        <w:spacing w:after="0"/>
        <w:ind w:left="0" w:firstLine="283"/>
        <w:jc w:val="both"/>
        <w:rPr>
          <w:rFonts w:ascii="Simplified Arabic" w:hAnsi="Simplified Arabic" w:cs="Simplified Arabic"/>
          <w:sz w:val="24"/>
          <w:szCs w:val="24"/>
          <w:rtl/>
          <w:lang w:val="en-US" w:bidi="ar-DZ"/>
        </w:rPr>
      </w:pPr>
      <w:r w:rsidRPr="003E166E">
        <w:rPr>
          <w:rFonts w:ascii="Simplified Arabic" w:hAnsi="Simplified Arabic" w:cs="Simplified Arabic" w:hint="cs"/>
          <w:sz w:val="24"/>
          <w:szCs w:val="24"/>
          <w:rtl/>
          <w:lang w:val="en-US" w:bidi="ar-DZ"/>
        </w:rPr>
        <w:t>في</w:t>
      </w:r>
      <w:r w:rsidR="00A76F07" w:rsidRPr="003E166E">
        <w:rPr>
          <w:rFonts w:ascii="Simplified Arabic" w:hAnsi="Simplified Arabic" w:cs="Simplified Arabic" w:hint="cs"/>
          <w:sz w:val="24"/>
          <w:szCs w:val="24"/>
          <w:rtl/>
          <w:lang w:val="en-US" w:bidi="ar-DZ"/>
        </w:rPr>
        <w:t xml:space="preserve"> حي القصر (المدينة القديمة) الواقع ضمن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فئة النسيج الحضري (أ)،</w:t>
      </w:r>
      <w:r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يبلغ</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متوسط المسافة بين</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الطرق</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الرئيسية والثانوية</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الحضرية</w:t>
      </w:r>
      <w:r w:rsidR="00B427F9" w:rsidRPr="003E166E">
        <w:rPr>
          <w:rFonts w:ascii="Simplified Arabic" w:hAnsi="Simplified Arabic" w:cs="Simplified Arabic"/>
          <w:sz w:val="24"/>
          <w:szCs w:val="24"/>
          <w:rtl/>
          <w:lang w:val="en-US" w:bidi="ar-DZ"/>
        </w:rPr>
        <w:t xml:space="preserve"> </w:t>
      </w:r>
      <w:r w:rsidR="008173AB" w:rsidRPr="003E166E">
        <w:rPr>
          <w:rFonts w:ascii="Simplified Arabic" w:eastAsia="Times New Roman" w:hAnsi="Simplified Arabic" w:cs="Simplified Arabic" w:hint="cs"/>
          <w:color w:val="000000"/>
          <w:sz w:val="24"/>
          <w:szCs w:val="24"/>
          <w:rtl/>
          <w:lang w:eastAsia="fr-FR"/>
        </w:rPr>
        <w:t>623</w:t>
      </w:r>
      <w:r w:rsidR="001A1F22" w:rsidRPr="003E166E">
        <w:rPr>
          <w:rFonts w:ascii="Simplified Arabic" w:eastAsia="Times New Roman" w:hAnsi="Simplified Arabic" w:cs="Simplified Arabic" w:hint="cs"/>
          <w:color w:val="000000"/>
          <w:sz w:val="24"/>
          <w:szCs w:val="24"/>
          <w:rtl/>
          <w:lang w:eastAsia="fr-FR"/>
        </w:rPr>
        <w:t xml:space="preserve"> </w:t>
      </w:r>
      <w:r w:rsidR="0065547D" w:rsidRPr="003E166E">
        <w:rPr>
          <w:rFonts w:ascii="Simplified Arabic" w:eastAsia="Times New Roman" w:hAnsi="Simplified Arabic" w:cs="Simplified Arabic" w:hint="cs"/>
          <w:color w:val="000000"/>
          <w:sz w:val="24"/>
          <w:szCs w:val="24"/>
          <w:rtl/>
          <w:lang w:eastAsia="fr-FR"/>
        </w:rPr>
        <w:t>م</w:t>
      </w:r>
      <w:r w:rsidR="008173AB" w:rsidRPr="003E166E">
        <w:rPr>
          <w:rFonts w:ascii="Simplified Arabic" w:eastAsia="Times New Roman" w:hAnsi="Simplified Arabic" w:cs="Simplified Arabic" w:hint="cs"/>
          <w:color w:val="000000"/>
          <w:sz w:val="24"/>
          <w:szCs w:val="24"/>
          <w:rtl/>
          <w:lang w:eastAsia="fr-FR"/>
        </w:rPr>
        <w:t xml:space="preserve"> </w:t>
      </w:r>
      <w:r w:rsidR="008173AB" w:rsidRPr="003E166E">
        <w:rPr>
          <w:rFonts w:ascii="Simplified Arabic" w:hAnsi="Simplified Arabic" w:cs="Simplified Arabic"/>
          <w:sz w:val="24"/>
          <w:szCs w:val="24"/>
          <w:rtl/>
          <w:lang w:val="en-US" w:bidi="ar-DZ"/>
        </w:rPr>
        <w:t>(</w:t>
      </w:r>
      <w:r w:rsidR="008173AB" w:rsidRPr="003E166E">
        <w:rPr>
          <w:rFonts w:ascii="Simplified Arabic" w:hAnsi="Simplified Arabic" w:cs="Simplified Arabic" w:hint="cs"/>
          <w:sz w:val="24"/>
          <w:szCs w:val="24"/>
          <w:rtl/>
          <w:lang w:val="en-US" w:bidi="ar-DZ"/>
        </w:rPr>
        <w:t>ال</w:t>
      </w:r>
      <w:r w:rsidR="00F43011" w:rsidRPr="003E166E">
        <w:rPr>
          <w:rFonts w:ascii="Simplified Arabic" w:hAnsi="Simplified Arabic" w:cs="Simplified Arabic" w:hint="cs"/>
          <w:sz w:val="24"/>
          <w:szCs w:val="24"/>
          <w:rtl/>
          <w:lang w:val="en-US" w:bidi="ar-DZ"/>
        </w:rPr>
        <w:t>عمق</w:t>
      </w:r>
      <w:r w:rsidR="00F43011" w:rsidRPr="003E166E">
        <w:rPr>
          <w:rFonts w:ascii="Simplified Arabic" w:hAnsi="Simplified Arabic" w:cs="Simplified Arabic"/>
          <w:sz w:val="24"/>
          <w:szCs w:val="24"/>
          <w:rtl/>
          <w:lang w:val="en-US" w:bidi="ar-DZ"/>
        </w:rPr>
        <w:t xml:space="preserve"> </w:t>
      </w:r>
      <w:r w:rsidR="008173AB" w:rsidRPr="003E166E">
        <w:rPr>
          <w:rFonts w:ascii="Simplified Arabic" w:hAnsi="Simplified Arabic" w:cs="Simplified Arabic" w:hint="cs"/>
          <w:sz w:val="24"/>
          <w:szCs w:val="24"/>
          <w:rtl/>
          <w:lang w:val="en-US" w:bidi="ar-DZ"/>
        </w:rPr>
        <w:t>الوسيط</w:t>
      </w:r>
      <w:r w:rsidR="008173AB" w:rsidRPr="003E166E">
        <w:rPr>
          <w:rFonts w:ascii="Simplified Arabic" w:hAnsi="Simplified Arabic" w:cs="Simplified Arabic"/>
          <w:sz w:val="24"/>
          <w:szCs w:val="24"/>
          <w:rtl/>
          <w:lang w:val="en-US" w:bidi="ar-DZ"/>
        </w:rPr>
        <w:t xml:space="preserve"> =</w:t>
      </w:r>
      <w:r w:rsidR="008173AB" w:rsidRPr="003E166E">
        <w:rPr>
          <w:rFonts w:ascii="Simplified Arabic" w:hAnsi="Simplified Arabic" w:cs="Simplified Arabic" w:hint="cs"/>
          <w:sz w:val="24"/>
          <w:szCs w:val="24"/>
          <w:rtl/>
          <w:lang w:val="en-US" w:bidi="ar-DZ"/>
        </w:rPr>
        <w:t xml:space="preserve"> 670 م</w:t>
      </w:r>
      <w:r w:rsidR="008173AB" w:rsidRPr="003E166E">
        <w:rPr>
          <w:rFonts w:ascii="Simplified Arabic" w:hAnsi="Simplified Arabic" w:cs="Simplified Arabic"/>
          <w:sz w:val="24"/>
          <w:szCs w:val="24"/>
          <w:rtl/>
          <w:lang w:val="en-US" w:bidi="ar-DZ"/>
        </w:rPr>
        <w:t>)</w:t>
      </w:r>
      <w:r w:rsidR="00A76F07" w:rsidRPr="003E166E">
        <w:rPr>
          <w:rFonts w:ascii="Simplified Arabic" w:hAnsi="Simplified Arabic" w:cs="Simplified Arabic" w:hint="cs"/>
          <w:sz w:val="24"/>
          <w:szCs w:val="24"/>
          <w:rtl/>
          <w:lang w:val="en-US" w:bidi="ar-DZ"/>
        </w:rPr>
        <w:t>، الجدول (6-</w:t>
      </w:r>
      <w:r w:rsidR="00F377EC" w:rsidRPr="003E166E">
        <w:rPr>
          <w:rFonts w:ascii="Simplified Arabic" w:hAnsi="Simplified Arabic" w:cs="Simplified Arabic" w:hint="cs"/>
          <w:sz w:val="24"/>
          <w:szCs w:val="24"/>
          <w:rtl/>
          <w:lang w:val="en-US" w:bidi="ar-DZ"/>
        </w:rPr>
        <w:t>9</w:t>
      </w:r>
      <w:r w:rsidR="00A76F07" w:rsidRPr="003E166E">
        <w:rPr>
          <w:rFonts w:ascii="Simplified Arabic" w:hAnsi="Simplified Arabic" w:cs="Simplified Arabic" w:hint="cs"/>
          <w:sz w:val="24"/>
          <w:szCs w:val="24"/>
          <w:rtl/>
          <w:lang w:val="en-US" w:bidi="ar-DZ"/>
        </w:rPr>
        <w:t>)</w:t>
      </w:r>
      <w:r w:rsidRPr="003E166E">
        <w:rPr>
          <w:rFonts w:ascii="Simplified Arabic" w:hAnsi="Simplified Arabic" w:cs="Simplified Arabic"/>
          <w:sz w:val="24"/>
          <w:szCs w:val="24"/>
          <w:rtl/>
          <w:lang w:val="en-US" w:bidi="ar-DZ"/>
        </w:rPr>
        <w:t xml:space="preserve">. </w:t>
      </w:r>
      <w:r w:rsidR="00A76F07" w:rsidRPr="003E166E">
        <w:rPr>
          <w:rFonts w:ascii="Simplified Arabic" w:hAnsi="Simplified Arabic" w:cs="Simplified Arabic" w:hint="cs"/>
          <w:sz w:val="24"/>
          <w:szCs w:val="24"/>
          <w:rtl/>
          <w:lang w:val="en-US" w:bidi="ar-DZ"/>
        </w:rPr>
        <w:t>يشير</w:t>
      </w:r>
      <w:r w:rsidR="00A76F07" w:rsidRPr="003E166E">
        <w:rPr>
          <w:rFonts w:ascii="Simplified Arabic" w:hAnsi="Simplified Arabic" w:cs="Simplified Arabic"/>
          <w:sz w:val="24"/>
          <w:szCs w:val="24"/>
          <w:rtl/>
          <w:lang w:val="en-US" w:bidi="ar-DZ"/>
        </w:rPr>
        <w:t xml:space="preserve"> </w:t>
      </w:r>
      <w:r w:rsidR="00890E75" w:rsidRPr="003E166E">
        <w:rPr>
          <w:rFonts w:ascii="Simplified Arabic" w:hAnsi="Simplified Arabic" w:cs="Simplified Arabic" w:hint="cs"/>
          <w:sz w:val="24"/>
          <w:szCs w:val="24"/>
          <w:rtl/>
          <w:lang w:val="en-US" w:bidi="ar-DZ"/>
        </w:rPr>
        <w:t xml:space="preserve">ذلك </w:t>
      </w:r>
      <w:r w:rsidR="00A76F07" w:rsidRPr="003E166E">
        <w:rPr>
          <w:rFonts w:ascii="Simplified Arabic" w:hAnsi="Simplified Arabic" w:cs="Simplified Arabic" w:hint="cs"/>
          <w:sz w:val="24"/>
          <w:szCs w:val="24"/>
          <w:rtl/>
          <w:lang w:val="en-US" w:bidi="ar-DZ"/>
        </w:rPr>
        <w:t>إلى</w:t>
      </w:r>
      <w:r w:rsidR="00A76F07" w:rsidRPr="003E166E">
        <w:rPr>
          <w:rFonts w:ascii="Simplified Arabic" w:hAnsi="Simplified Arabic" w:cs="Simplified Arabic"/>
          <w:sz w:val="24"/>
          <w:szCs w:val="24"/>
          <w:rtl/>
          <w:lang w:val="en-US" w:bidi="ar-DZ"/>
        </w:rPr>
        <w:t xml:space="preserve"> </w:t>
      </w:r>
      <w:r w:rsidR="00A76F07" w:rsidRPr="003E166E">
        <w:rPr>
          <w:rFonts w:ascii="Simplified Arabic" w:hAnsi="Simplified Arabic" w:cs="Simplified Arabic" w:hint="cs"/>
          <w:sz w:val="24"/>
          <w:szCs w:val="24"/>
          <w:rtl/>
          <w:lang w:val="en-US" w:bidi="ar-DZ"/>
        </w:rPr>
        <w:t>أن</w:t>
      </w:r>
      <w:r w:rsidR="00A76F07" w:rsidRPr="003E166E">
        <w:rPr>
          <w:rFonts w:ascii="Simplified Arabic" w:hAnsi="Simplified Arabic" w:cs="Simplified Arabic"/>
          <w:sz w:val="24"/>
          <w:szCs w:val="24"/>
          <w:rtl/>
          <w:lang w:val="en-US" w:bidi="ar-DZ"/>
        </w:rPr>
        <w:t xml:space="preserve"> </w:t>
      </w:r>
      <w:r w:rsidR="00A76F07" w:rsidRPr="003E166E">
        <w:rPr>
          <w:rFonts w:ascii="Simplified Arabic" w:hAnsi="Simplified Arabic" w:cs="Simplified Arabic" w:hint="cs"/>
          <w:sz w:val="24"/>
          <w:szCs w:val="24"/>
          <w:rtl/>
          <w:lang w:val="en-US" w:bidi="ar-DZ"/>
        </w:rPr>
        <w:t>شبكة</w:t>
      </w:r>
      <w:r w:rsidR="00A76F07" w:rsidRPr="003E166E">
        <w:rPr>
          <w:rFonts w:ascii="Simplified Arabic" w:hAnsi="Simplified Arabic" w:cs="Simplified Arabic"/>
          <w:sz w:val="24"/>
          <w:szCs w:val="24"/>
          <w:rtl/>
          <w:lang w:val="en-US" w:bidi="ar-DZ"/>
        </w:rPr>
        <w:t xml:space="preserve"> </w:t>
      </w:r>
      <w:r w:rsidR="00A76F07" w:rsidRPr="003E166E">
        <w:rPr>
          <w:rFonts w:ascii="Simplified Arabic" w:hAnsi="Simplified Arabic" w:cs="Simplified Arabic" w:hint="cs"/>
          <w:sz w:val="24"/>
          <w:szCs w:val="24"/>
          <w:rtl/>
          <w:lang w:val="en-US" w:bidi="ar-DZ"/>
        </w:rPr>
        <w:t>ال</w:t>
      </w:r>
      <w:r w:rsidR="00890E75" w:rsidRPr="003E166E">
        <w:rPr>
          <w:rFonts w:ascii="Simplified Arabic" w:hAnsi="Simplified Arabic" w:cs="Simplified Arabic" w:hint="cs"/>
          <w:sz w:val="24"/>
          <w:szCs w:val="24"/>
          <w:rtl/>
          <w:lang w:val="en-US" w:bidi="ar-DZ"/>
        </w:rPr>
        <w:t>طرق</w:t>
      </w:r>
      <w:r w:rsidR="00A76F07" w:rsidRPr="003E166E">
        <w:rPr>
          <w:rFonts w:ascii="Simplified Arabic" w:hAnsi="Simplified Arabic" w:cs="Simplified Arabic"/>
          <w:sz w:val="24"/>
          <w:szCs w:val="24"/>
          <w:rtl/>
          <w:lang w:val="en-US" w:bidi="ar-DZ"/>
        </w:rPr>
        <w:t xml:space="preserve"> </w:t>
      </w:r>
      <w:r w:rsidR="00A76F07" w:rsidRPr="003E166E">
        <w:rPr>
          <w:rFonts w:ascii="Simplified Arabic" w:hAnsi="Simplified Arabic" w:cs="Simplified Arabic" w:hint="cs"/>
          <w:sz w:val="24"/>
          <w:szCs w:val="24"/>
          <w:rtl/>
          <w:lang w:val="en-US" w:bidi="ar-DZ"/>
        </w:rPr>
        <w:t>الرئيسية</w:t>
      </w:r>
      <w:r w:rsidR="00A76F07" w:rsidRPr="003E166E">
        <w:rPr>
          <w:rFonts w:ascii="Simplified Arabic" w:hAnsi="Simplified Arabic" w:cs="Simplified Arabic"/>
          <w:sz w:val="24"/>
          <w:szCs w:val="24"/>
          <w:rtl/>
          <w:lang w:val="en-US" w:bidi="ar-DZ"/>
        </w:rPr>
        <w:t xml:space="preserve"> </w:t>
      </w:r>
      <w:r w:rsidR="00A76F07" w:rsidRPr="003E166E">
        <w:rPr>
          <w:rFonts w:ascii="Simplified Arabic" w:hAnsi="Simplified Arabic" w:cs="Simplified Arabic" w:hint="cs"/>
          <w:sz w:val="24"/>
          <w:szCs w:val="24"/>
          <w:rtl/>
          <w:lang w:val="en-US" w:bidi="ar-DZ"/>
        </w:rPr>
        <w:t>الحضرية</w:t>
      </w:r>
      <w:r w:rsidR="00A76F07" w:rsidRPr="003E166E">
        <w:rPr>
          <w:rFonts w:ascii="Simplified Arabic" w:hAnsi="Simplified Arabic" w:cs="Simplified Arabic"/>
          <w:sz w:val="24"/>
          <w:szCs w:val="24"/>
          <w:rtl/>
          <w:lang w:val="en-US" w:bidi="ar-DZ"/>
        </w:rPr>
        <w:t xml:space="preserve"> </w:t>
      </w:r>
      <w:r w:rsidR="00BD214E" w:rsidRPr="003E166E">
        <w:rPr>
          <w:rFonts w:ascii="Simplified Arabic" w:hAnsi="Simplified Arabic" w:cs="Simplified Arabic" w:hint="cs"/>
          <w:sz w:val="24"/>
          <w:szCs w:val="24"/>
          <w:rtl/>
          <w:lang w:val="en-US" w:bidi="ar-DZ"/>
        </w:rPr>
        <w:t>اقل</w:t>
      </w:r>
      <w:r w:rsidR="00A76F07" w:rsidRPr="003E166E">
        <w:rPr>
          <w:rFonts w:ascii="Simplified Arabic" w:hAnsi="Simplified Arabic" w:cs="Simplified Arabic"/>
          <w:sz w:val="24"/>
          <w:szCs w:val="24"/>
          <w:rtl/>
          <w:lang w:val="en-US" w:bidi="ar-DZ"/>
        </w:rPr>
        <w:t xml:space="preserve"> </w:t>
      </w:r>
      <w:r w:rsidR="00890E75" w:rsidRPr="003E166E">
        <w:rPr>
          <w:rFonts w:ascii="Simplified Arabic" w:hAnsi="Simplified Arabic" w:cs="Simplified Arabic" w:hint="cs"/>
          <w:sz w:val="24"/>
          <w:szCs w:val="24"/>
          <w:rtl/>
          <w:lang w:val="en-US" w:bidi="ar-DZ"/>
        </w:rPr>
        <w:t>احتواء</w:t>
      </w:r>
      <w:r w:rsidR="00A76F07"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ضمن</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نطاق</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هذا</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 xml:space="preserve">الحي. </w:t>
      </w:r>
      <w:r w:rsidR="00A76F07" w:rsidRPr="003E166E">
        <w:rPr>
          <w:rFonts w:ascii="Simplified Arabic" w:hAnsi="Simplified Arabic" w:cs="Simplified Arabic" w:hint="cs"/>
          <w:sz w:val="24"/>
          <w:szCs w:val="24"/>
          <w:rtl/>
          <w:lang w:val="en-US" w:bidi="ar-DZ"/>
        </w:rPr>
        <w:t>يمكن</w:t>
      </w:r>
      <w:r w:rsidR="00A76F07" w:rsidRPr="003E166E">
        <w:rPr>
          <w:rFonts w:ascii="Simplified Arabic" w:hAnsi="Simplified Arabic" w:cs="Simplified Arabic"/>
          <w:sz w:val="24"/>
          <w:szCs w:val="24"/>
          <w:rtl/>
          <w:lang w:val="en-US" w:bidi="ar-DZ"/>
        </w:rPr>
        <w:t xml:space="preserve"> </w:t>
      </w:r>
      <w:r w:rsidR="00395244" w:rsidRPr="003E166E">
        <w:rPr>
          <w:rFonts w:ascii="Simplified Arabic" w:hAnsi="Simplified Arabic" w:cs="Simplified Arabic" w:hint="cs"/>
          <w:sz w:val="24"/>
          <w:szCs w:val="24"/>
          <w:rtl/>
          <w:lang w:val="en-US" w:bidi="ar-DZ"/>
        </w:rPr>
        <w:t xml:space="preserve">اعتبار </w:t>
      </w:r>
      <w:r w:rsidR="00BA13F2" w:rsidRPr="003E166E">
        <w:rPr>
          <w:rFonts w:ascii="Simplified Arabic" w:hAnsi="Simplified Arabic" w:cs="Simplified Arabic" w:hint="cs"/>
          <w:sz w:val="24"/>
          <w:szCs w:val="24"/>
          <w:rtl/>
          <w:lang w:val="en-US" w:bidi="ar-DZ"/>
        </w:rPr>
        <w:t>أن</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القيم</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المسجلة</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تتعارض</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مع</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النتائج</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التي</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توصل</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إليها</w:t>
      </w:r>
      <w:r w:rsidR="00BA13F2" w:rsidRPr="003E166E">
        <w:rPr>
          <w:rFonts w:ascii="Simplified Arabic" w:hAnsi="Simplified Arabic" w:cs="Simplified Arabic"/>
          <w:sz w:val="24"/>
          <w:szCs w:val="24"/>
          <w:rtl/>
          <w:lang w:val="en-US" w:bidi="ar-DZ"/>
        </w:rPr>
        <w:t xml:space="preserve"> </w:t>
      </w:r>
      <w:r w:rsidR="0073772E" w:rsidRPr="003E166E">
        <w:rPr>
          <w:rFonts w:asciiTheme="majorBidi" w:hAnsiTheme="majorBidi" w:cstheme="majorBidi"/>
          <w:color w:val="000000"/>
          <w:sz w:val="24"/>
          <w:szCs w:val="24"/>
        </w:rPr>
        <w:t>(</w:t>
      </w:r>
      <w:r w:rsidR="0073772E" w:rsidRPr="003E166E">
        <w:rPr>
          <w:rFonts w:asciiTheme="majorBidi" w:hAnsiTheme="majorBidi" w:cstheme="majorBidi"/>
          <w:sz w:val="24"/>
          <w:szCs w:val="24"/>
          <w:lang w:val="en-US" w:bidi="ar-DZ"/>
        </w:rPr>
        <w:t>Porta et al, 2014</w:t>
      </w:r>
      <w:r w:rsidR="0073772E" w:rsidRPr="003E166E">
        <w:rPr>
          <w:rFonts w:asciiTheme="majorBidi" w:hAnsiTheme="majorBidi" w:cstheme="majorBidi"/>
          <w:color w:val="000000"/>
          <w:sz w:val="24"/>
          <w:szCs w:val="24"/>
        </w:rPr>
        <w:t>)</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الذي</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يحدد</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متوسط</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المسافة</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النموذجية</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بين</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الطرق</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الرئيسية</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الحضرية</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في</w:t>
      </w:r>
      <w:r w:rsidR="00BA13F2" w:rsidRPr="003E166E">
        <w:rPr>
          <w:rFonts w:ascii="Simplified Arabic" w:hAnsi="Simplified Arabic" w:cs="Simplified Arabic"/>
          <w:sz w:val="24"/>
          <w:szCs w:val="24"/>
          <w:rtl/>
          <w:lang w:val="en-US" w:bidi="ar-DZ"/>
        </w:rPr>
        <w:t xml:space="preserve"> </w:t>
      </w:r>
      <w:r w:rsidR="0073772E" w:rsidRPr="003E166E">
        <w:rPr>
          <w:rFonts w:ascii="Simplified Arabic" w:hAnsi="Simplified Arabic" w:cs="Simplified Arabic" w:hint="cs"/>
          <w:sz w:val="24"/>
          <w:szCs w:val="24"/>
          <w:rtl/>
          <w:lang w:val="en-US" w:bidi="ar-DZ"/>
        </w:rPr>
        <w:t>الانسجة التقليدية</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عند</w:t>
      </w:r>
      <w:r w:rsidR="00BA13F2" w:rsidRPr="003E166E">
        <w:rPr>
          <w:rFonts w:ascii="Simplified Arabic" w:hAnsi="Simplified Arabic" w:cs="Simplified Arabic"/>
          <w:sz w:val="24"/>
          <w:szCs w:val="24"/>
          <w:rtl/>
          <w:lang w:val="en-US" w:bidi="ar-DZ"/>
        </w:rPr>
        <w:t xml:space="preserve"> </w:t>
      </w:r>
      <w:r w:rsidR="0073772E" w:rsidRPr="003E166E">
        <w:rPr>
          <w:rFonts w:ascii="Simplified Arabic" w:hAnsi="Simplified Arabic" w:cs="Simplified Arabic" w:hint="cs"/>
          <w:sz w:val="24"/>
          <w:szCs w:val="24"/>
          <w:rtl/>
          <w:lang w:val="en-US" w:bidi="ar-DZ"/>
        </w:rPr>
        <w:t>400</w:t>
      </w:r>
      <w:r w:rsidR="00BA13F2" w:rsidRPr="003E166E">
        <w:rPr>
          <w:rFonts w:ascii="Simplified Arabic" w:hAnsi="Simplified Arabic" w:cs="Simplified Arabic"/>
          <w:sz w:val="24"/>
          <w:szCs w:val="24"/>
          <w:rtl/>
          <w:lang w:val="en-US" w:bidi="ar-DZ"/>
        </w:rPr>
        <w:t xml:space="preserve"> </w:t>
      </w:r>
      <w:r w:rsidR="00BA13F2" w:rsidRPr="003E166E">
        <w:rPr>
          <w:rFonts w:ascii="Simplified Arabic" w:hAnsi="Simplified Arabic" w:cs="Simplified Arabic" w:hint="cs"/>
          <w:sz w:val="24"/>
          <w:szCs w:val="24"/>
          <w:rtl/>
          <w:lang w:val="en-US" w:bidi="ar-DZ"/>
        </w:rPr>
        <w:t>مترًا</w:t>
      </w:r>
      <w:r w:rsidR="00BA13F2" w:rsidRPr="003E166E">
        <w:rPr>
          <w:rFonts w:ascii="Simplified Arabic" w:hAnsi="Simplified Arabic" w:cs="Simplified Arabic"/>
          <w:sz w:val="24"/>
          <w:szCs w:val="24"/>
          <w:rtl/>
          <w:lang w:val="en-US" w:bidi="ar-DZ"/>
        </w:rPr>
        <w:t>.</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مما</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يشير</w:t>
      </w:r>
      <w:r w:rsidRPr="003E166E">
        <w:rPr>
          <w:rFonts w:ascii="Simplified Arabic" w:hAnsi="Simplified Arabic" w:cs="Simplified Arabic"/>
          <w:sz w:val="24"/>
          <w:szCs w:val="24"/>
          <w:rtl/>
          <w:lang w:val="en-US" w:bidi="ar-DZ"/>
        </w:rPr>
        <w:t xml:space="preserve"> </w:t>
      </w:r>
      <w:r w:rsidR="00E93D55" w:rsidRPr="003E166E">
        <w:rPr>
          <w:rFonts w:ascii="Simplified Arabic" w:hAnsi="Simplified Arabic" w:cs="Simplified Arabic" w:hint="cs"/>
          <w:sz w:val="24"/>
          <w:szCs w:val="24"/>
          <w:rtl/>
          <w:lang w:val="en-US" w:bidi="ar-DZ"/>
        </w:rPr>
        <w:t>في</w:t>
      </w:r>
      <w:r w:rsidR="00E93D55" w:rsidRPr="003E166E">
        <w:rPr>
          <w:rFonts w:ascii="Simplified Arabic" w:hAnsi="Simplified Arabic" w:cs="Simplified Arabic"/>
          <w:sz w:val="24"/>
          <w:szCs w:val="24"/>
          <w:rtl/>
          <w:lang w:val="en-US" w:bidi="ar-DZ"/>
        </w:rPr>
        <w:t xml:space="preserve"> </w:t>
      </w:r>
      <w:r w:rsidR="00E93D55" w:rsidRPr="003E166E">
        <w:rPr>
          <w:rFonts w:ascii="Simplified Arabic" w:hAnsi="Simplified Arabic" w:cs="Simplified Arabic" w:hint="cs"/>
          <w:sz w:val="24"/>
          <w:szCs w:val="24"/>
          <w:rtl/>
          <w:lang w:val="en-US" w:bidi="ar-DZ"/>
        </w:rPr>
        <w:t>هذه</w:t>
      </w:r>
      <w:r w:rsidR="00E93D55" w:rsidRPr="003E166E">
        <w:rPr>
          <w:rFonts w:ascii="Simplified Arabic" w:hAnsi="Simplified Arabic" w:cs="Simplified Arabic"/>
          <w:sz w:val="24"/>
          <w:szCs w:val="24"/>
          <w:rtl/>
          <w:lang w:val="en-US" w:bidi="ar-DZ"/>
        </w:rPr>
        <w:t xml:space="preserve"> </w:t>
      </w:r>
      <w:r w:rsidR="00E93D55" w:rsidRPr="003E166E">
        <w:rPr>
          <w:rFonts w:ascii="Simplified Arabic" w:hAnsi="Simplified Arabic" w:cs="Simplified Arabic" w:hint="cs"/>
          <w:sz w:val="24"/>
          <w:szCs w:val="24"/>
          <w:rtl/>
          <w:lang w:val="en-US" w:bidi="ar-DZ"/>
        </w:rPr>
        <w:t xml:space="preserve">الحالة </w:t>
      </w:r>
      <w:r w:rsidRPr="003E166E">
        <w:rPr>
          <w:rFonts w:ascii="Simplified Arabic" w:hAnsi="Simplified Arabic" w:cs="Simplified Arabic" w:hint="cs"/>
          <w:sz w:val="24"/>
          <w:szCs w:val="24"/>
          <w:rtl/>
          <w:lang w:val="en-US" w:bidi="ar-DZ"/>
        </w:rPr>
        <w:t>إلى</w:t>
      </w:r>
      <w:r w:rsidRPr="003E166E">
        <w:rPr>
          <w:rFonts w:ascii="Simplified Arabic" w:hAnsi="Simplified Arabic" w:cs="Simplified Arabic"/>
          <w:sz w:val="24"/>
          <w:szCs w:val="24"/>
          <w:rtl/>
          <w:lang w:val="en-US" w:bidi="ar-DZ"/>
        </w:rPr>
        <w:t xml:space="preserve"> </w:t>
      </w:r>
      <w:r w:rsidR="00890E75" w:rsidRPr="003E166E">
        <w:rPr>
          <w:rFonts w:ascii="Simplified Arabic" w:hAnsi="Simplified Arabic" w:cs="Simplified Arabic" w:hint="cs"/>
          <w:sz w:val="24"/>
          <w:szCs w:val="24"/>
          <w:rtl/>
          <w:lang w:val="en-US" w:bidi="ar-DZ"/>
        </w:rPr>
        <w:t>امكانية وصول</w:t>
      </w:r>
      <w:r w:rsidRPr="003E166E">
        <w:rPr>
          <w:rFonts w:ascii="Simplified Arabic" w:hAnsi="Simplified Arabic" w:cs="Simplified Arabic"/>
          <w:sz w:val="24"/>
          <w:szCs w:val="24"/>
          <w:rtl/>
          <w:lang w:val="en-US" w:bidi="ar-DZ"/>
        </w:rPr>
        <w:t xml:space="preserve"> </w:t>
      </w:r>
      <w:r w:rsidR="00890E75" w:rsidRPr="003E166E">
        <w:rPr>
          <w:rFonts w:ascii="Simplified Arabic" w:hAnsi="Simplified Arabic" w:cs="Simplified Arabic" w:hint="cs"/>
          <w:sz w:val="24"/>
          <w:szCs w:val="24"/>
          <w:rtl/>
          <w:lang w:val="en-US" w:bidi="ar-DZ"/>
        </w:rPr>
        <w:t>منخفضة</w:t>
      </w:r>
      <w:r w:rsidR="00E93D55" w:rsidRPr="003E166E">
        <w:rPr>
          <w:rFonts w:ascii="Simplified Arabic" w:hAnsi="Simplified Arabic" w:cs="Simplified Arabic" w:hint="cs"/>
          <w:sz w:val="24"/>
          <w:szCs w:val="24"/>
          <w:rtl/>
          <w:lang w:val="en-US" w:bidi="ar-DZ"/>
        </w:rPr>
        <w:t xml:space="preserve"> </w:t>
      </w:r>
      <w:r w:rsidR="00421449" w:rsidRPr="003E166E">
        <w:rPr>
          <w:rFonts w:ascii="Simplified Arabic" w:hAnsi="Simplified Arabic" w:cs="Simplified Arabic" w:hint="cs"/>
          <w:sz w:val="24"/>
          <w:szCs w:val="24"/>
          <w:rtl/>
          <w:lang w:val="en-US" w:bidi="ar-DZ"/>
        </w:rPr>
        <w:t>الى</w:t>
      </w:r>
      <w:r w:rsidR="00E93D55" w:rsidRPr="003E166E">
        <w:rPr>
          <w:rFonts w:ascii="Simplified Arabic" w:hAnsi="Simplified Arabic" w:cs="Simplified Arabic" w:hint="cs"/>
          <w:sz w:val="24"/>
          <w:szCs w:val="24"/>
          <w:rtl/>
          <w:lang w:val="en-US" w:bidi="ar-DZ"/>
        </w:rPr>
        <w:t xml:space="preserve"> عمق</w:t>
      </w:r>
      <w:r w:rsidR="00421449" w:rsidRPr="003E166E">
        <w:rPr>
          <w:rFonts w:ascii="Simplified Arabic" w:hAnsi="Simplified Arabic" w:cs="Simplified Arabic" w:hint="cs"/>
          <w:sz w:val="24"/>
          <w:szCs w:val="24"/>
          <w:rtl/>
          <w:lang w:val="en-US" w:bidi="ar-DZ"/>
        </w:rPr>
        <w:t xml:space="preserve"> الحي</w:t>
      </w:r>
      <w:r w:rsidR="00890E75" w:rsidRPr="003E166E">
        <w:rPr>
          <w:rFonts w:ascii="Simplified Arabic" w:hAnsi="Simplified Arabic" w:cs="Simplified Arabic" w:hint="cs"/>
          <w:sz w:val="24"/>
          <w:szCs w:val="24"/>
          <w:rtl/>
          <w:lang w:val="en-US" w:bidi="ar-DZ"/>
        </w:rPr>
        <w:t xml:space="preserve">، </w:t>
      </w:r>
      <w:r w:rsidR="00A60DCC" w:rsidRPr="003E166E">
        <w:rPr>
          <w:rFonts w:ascii="Simplified Arabic" w:hAnsi="Simplified Arabic" w:cs="Simplified Arabic" w:hint="cs"/>
          <w:sz w:val="24"/>
          <w:szCs w:val="24"/>
          <w:rtl/>
          <w:lang w:val="en-US" w:bidi="ar-DZ"/>
        </w:rPr>
        <w:t>ال</w:t>
      </w:r>
      <w:r w:rsidR="00890E75" w:rsidRPr="003E166E">
        <w:rPr>
          <w:rFonts w:ascii="Simplified Arabic" w:hAnsi="Simplified Arabic" w:cs="Simplified Arabic" w:hint="cs"/>
          <w:sz w:val="24"/>
          <w:szCs w:val="24"/>
          <w:rtl/>
          <w:lang w:val="en-US" w:bidi="ar-DZ"/>
        </w:rPr>
        <w:t xml:space="preserve">سبب </w:t>
      </w:r>
      <w:r w:rsidR="00A60DCC" w:rsidRPr="003E166E">
        <w:rPr>
          <w:rFonts w:ascii="Simplified Arabic" w:hAnsi="Simplified Arabic" w:cs="Simplified Arabic" w:hint="cs"/>
          <w:sz w:val="24"/>
          <w:szCs w:val="24"/>
          <w:rtl/>
          <w:lang w:val="en-US" w:bidi="ar-DZ"/>
        </w:rPr>
        <w:t xml:space="preserve">في </w:t>
      </w:r>
      <w:r w:rsidR="00890E75" w:rsidRPr="003E166E">
        <w:rPr>
          <w:rFonts w:ascii="Simplified Arabic" w:hAnsi="Simplified Arabic" w:cs="Simplified Arabic" w:hint="cs"/>
          <w:sz w:val="24"/>
          <w:szCs w:val="24"/>
          <w:rtl/>
          <w:lang w:val="en-US" w:bidi="ar-DZ"/>
        </w:rPr>
        <w:t>ذلك</w:t>
      </w:r>
      <w:r w:rsidR="00421449" w:rsidRPr="003E166E">
        <w:rPr>
          <w:rFonts w:ascii="Simplified Arabic" w:hAnsi="Simplified Arabic" w:cs="Simplified Arabic" w:hint="cs"/>
          <w:sz w:val="24"/>
          <w:szCs w:val="24"/>
          <w:rtl/>
          <w:lang w:val="en-US" w:bidi="ar-DZ"/>
        </w:rPr>
        <w:t>،</w:t>
      </w:r>
      <w:r w:rsidR="00890E75" w:rsidRPr="003E166E">
        <w:rPr>
          <w:rFonts w:ascii="Simplified Arabic" w:hAnsi="Simplified Arabic" w:cs="Simplified Arabic" w:hint="cs"/>
          <w:sz w:val="24"/>
          <w:szCs w:val="24"/>
          <w:rtl/>
          <w:lang w:val="en-US" w:bidi="ar-DZ"/>
        </w:rPr>
        <w:t xml:space="preserve"> غياب طرق ربط ثانوية تخترق حي </w:t>
      </w:r>
      <w:r w:rsidR="00890E75" w:rsidRPr="003E166E">
        <w:rPr>
          <w:rFonts w:ascii="Simplified Arabic" w:hAnsi="Simplified Arabic" w:cs="Simplified Arabic" w:hint="cs"/>
          <w:sz w:val="24"/>
          <w:szCs w:val="24"/>
          <w:rtl/>
          <w:lang w:val="en-US" w:bidi="ar-DZ"/>
        </w:rPr>
        <w:lastRenderedPageBreak/>
        <w:t>القصر</w:t>
      </w:r>
      <w:r w:rsidR="00A60DCC" w:rsidRPr="003E166E">
        <w:rPr>
          <w:rFonts w:ascii="Simplified Arabic" w:hAnsi="Simplified Arabic" w:cs="Simplified Arabic"/>
          <w:sz w:val="24"/>
          <w:szCs w:val="24"/>
          <w:rtl/>
          <w:lang w:val="en-US" w:bidi="ar-DZ"/>
        </w:rPr>
        <w:t xml:space="preserve"> </w:t>
      </w:r>
      <w:r w:rsidR="0073772E" w:rsidRPr="003E166E">
        <w:rPr>
          <w:rFonts w:ascii="Simplified Arabic" w:hAnsi="Simplified Arabic" w:cs="Simplified Arabic" w:hint="cs"/>
          <w:sz w:val="24"/>
          <w:szCs w:val="24"/>
          <w:rtl/>
          <w:lang w:val="en-US" w:bidi="ar-DZ"/>
        </w:rPr>
        <w:t>و</w:t>
      </w:r>
      <w:r w:rsidR="00851D11" w:rsidRPr="003E166E">
        <w:rPr>
          <w:rFonts w:ascii="Simplified Arabic" w:hAnsi="Simplified Arabic" w:cs="Simplified Arabic" w:hint="cs"/>
          <w:sz w:val="24"/>
          <w:szCs w:val="24"/>
          <w:rtl/>
          <w:lang w:val="en-US" w:bidi="ar-DZ"/>
        </w:rPr>
        <w:t xml:space="preserve">انعدام </w:t>
      </w:r>
      <w:r w:rsidR="00A60DCC" w:rsidRPr="003E166E">
        <w:rPr>
          <w:rFonts w:ascii="Simplified Arabic" w:hAnsi="Simplified Arabic" w:cs="Simplified Arabic" w:hint="cs"/>
          <w:sz w:val="24"/>
          <w:szCs w:val="24"/>
          <w:rtl/>
          <w:lang w:val="en-US" w:bidi="ar-DZ"/>
        </w:rPr>
        <w:t>التقاطع</w:t>
      </w:r>
      <w:r w:rsidR="00A60DCC" w:rsidRPr="003E166E">
        <w:rPr>
          <w:rFonts w:ascii="Simplified Arabic" w:hAnsi="Simplified Arabic" w:cs="Simplified Arabic"/>
          <w:sz w:val="24"/>
          <w:szCs w:val="24"/>
          <w:rtl/>
          <w:lang w:val="en-US" w:bidi="ar-DZ"/>
        </w:rPr>
        <w:t xml:space="preserve"> </w:t>
      </w:r>
      <w:r w:rsidR="00A60DCC" w:rsidRPr="003E166E">
        <w:rPr>
          <w:rFonts w:ascii="Simplified Arabic" w:hAnsi="Simplified Arabic" w:cs="Simplified Arabic" w:hint="cs"/>
          <w:sz w:val="24"/>
          <w:szCs w:val="24"/>
          <w:rtl/>
          <w:lang w:val="en-US" w:bidi="ar-DZ"/>
        </w:rPr>
        <w:t>بين الطرق الرئيسية والثانوية</w:t>
      </w:r>
      <w:r w:rsidR="00A60DCC" w:rsidRPr="003E166E">
        <w:rPr>
          <w:rFonts w:ascii="Simplified Arabic" w:hAnsi="Simplified Arabic" w:cs="Simplified Arabic"/>
          <w:sz w:val="24"/>
          <w:szCs w:val="24"/>
          <w:rtl/>
          <w:lang w:val="en-US" w:bidi="ar-DZ"/>
        </w:rPr>
        <w:t>.</w:t>
      </w:r>
      <w:r w:rsidR="00890E75" w:rsidRPr="003E166E">
        <w:rPr>
          <w:rFonts w:ascii="Simplified Arabic" w:hAnsi="Simplified Arabic" w:cs="Simplified Arabic" w:hint="cs"/>
          <w:sz w:val="24"/>
          <w:szCs w:val="24"/>
          <w:rtl/>
          <w:lang w:val="en-US" w:bidi="ar-DZ"/>
        </w:rPr>
        <w:t xml:space="preserve"> </w:t>
      </w:r>
      <w:r w:rsidR="00E93D55" w:rsidRPr="003E166E">
        <w:rPr>
          <w:rFonts w:ascii="Simplified Arabic" w:hAnsi="Simplified Arabic" w:cs="Simplified Arabic" w:hint="cs"/>
          <w:sz w:val="24"/>
          <w:szCs w:val="24"/>
          <w:rtl/>
          <w:lang w:val="en-US" w:bidi="ar-DZ"/>
        </w:rPr>
        <w:t xml:space="preserve">في مقابل ذلك، </w:t>
      </w:r>
      <w:r w:rsidR="0073772E" w:rsidRPr="003E166E">
        <w:rPr>
          <w:rFonts w:ascii="Simplified Arabic" w:hAnsi="Simplified Arabic" w:cs="Simplified Arabic" w:hint="cs"/>
          <w:sz w:val="24"/>
          <w:szCs w:val="24"/>
          <w:rtl/>
          <w:lang w:val="en-US" w:bidi="ar-DZ"/>
        </w:rPr>
        <w:t>تمنح</w:t>
      </w:r>
      <w:r w:rsidR="00E93D55" w:rsidRPr="003E166E">
        <w:rPr>
          <w:rFonts w:ascii="Simplified Arabic" w:hAnsi="Simplified Arabic" w:cs="Simplified Arabic" w:hint="cs"/>
          <w:sz w:val="24"/>
          <w:szCs w:val="24"/>
          <w:rtl/>
          <w:lang w:val="en-US" w:bidi="ar-DZ"/>
        </w:rPr>
        <w:t xml:space="preserve"> الطرق الرئيسية التي تحيط بالحي امكانية وصول </w:t>
      </w:r>
      <w:r w:rsidR="0073772E" w:rsidRPr="003E166E">
        <w:rPr>
          <w:rFonts w:ascii="Simplified Arabic" w:hAnsi="Simplified Arabic" w:cs="Simplified Arabic" w:hint="cs"/>
          <w:sz w:val="24"/>
          <w:szCs w:val="24"/>
          <w:rtl/>
          <w:lang w:val="en-US" w:bidi="ar-DZ"/>
        </w:rPr>
        <w:t xml:space="preserve">عالية </w:t>
      </w:r>
      <w:r w:rsidR="00A60DCC" w:rsidRPr="003E166E">
        <w:rPr>
          <w:rFonts w:ascii="Simplified Arabic" w:hAnsi="Simplified Arabic" w:cs="Simplified Arabic" w:hint="cs"/>
          <w:sz w:val="24"/>
          <w:szCs w:val="24"/>
          <w:rtl/>
          <w:lang w:val="en-US" w:bidi="ar-DZ"/>
        </w:rPr>
        <w:t>الى</w:t>
      </w:r>
      <w:r w:rsidR="00E93D55" w:rsidRPr="003E166E">
        <w:rPr>
          <w:rFonts w:ascii="Simplified Arabic" w:hAnsi="Simplified Arabic" w:cs="Simplified Arabic" w:hint="cs"/>
          <w:sz w:val="24"/>
          <w:szCs w:val="24"/>
          <w:rtl/>
          <w:lang w:val="en-US" w:bidi="ar-DZ"/>
        </w:rPr>
        <w:t xml:space="preserve"> </w:t>
      </w:r>
      <w:r w:rsidR="0073772E" w:rsidRPr="003E166E">
        <w:rPr>
          <w:rFonts w:ascii="Simplified Arabic" w:hAnsi="Simplified Arabic" w:cs="Simplified Arabic" w:hint="cs"/>
          <w:sz w:val="24"/>
          <w:szCs w:val="24"/>
          <w:rtl/>
          <w:lang w:val="en-US" w:bidi="ar-DZ"/>
        </w:rPr>
        <w:t>بعض اجزاء ا</w:t>
      </w:r>
      <w:r w:rsidR="00E93D55" w:rsidRPr="003E166E">
        <w:rPr>
          <w:rFonts w:ascii="Simplified Arabic" w:hAnsi="Simplified Arabic" w:cs="Simplified Arabic" w:hint="cs"/>
          <w:sz w:val="24"/>
          <w:szCs w:val="24"/>
          <w:rtl/>
          <w:lang w:val="en-US" w:bidi="ar-DZ"/>
        </w:rPr>
        <w:t>لحي، كما هو موضح في الخريطة (6-</w:t>
      </w:r>
      <w:r w:rsidR="005373F7" w:rsidRPr="003E166E">
        <w:rPr>
          <w:rFonts w:ascii="Simplified Arabic" w:hAnsi="Simplified Arabic" w:cs="Simplified Arabic" w:hint="cs"/>
          <w:sz w:val="24"/>
          <w:szCs w:val="24"/>
          <w:rtl/>
          <w:lang w:val="en-US" w:bidi="ar-DZ"/>
        </w:rPr>
        <w:t>14</w:t>
      </w:r>
      <w:r w:rsidR="00E93D55" w:rsidRPr="003E166E">
        <w:rPr>
          <w:rFonts w:ascii="Simplified Arabic" w:hAnsi="Simplified Arabic" w:cs="Simplified Arabic" w:hint="cs"/>
          <w:sz w:val="24"/>
          <w:szCs w:val="24"/>
          <w:rtl/>
          <w:lang w:val="en-US" w:bidi="ar-DZ"/>
        </w:rPr>
        <w:t>).</w:t>
      </w:r>
      <w:r w:rsidRPr="003E166E">
        <w:rPr>
          <w:rFonts w:ascii="Simplified Arabic" w:hAnsi="Simplified Arabic" w:cs="Simplified Arabic"/>
          <w:sz w:val="24"/>
          <w:szCs w:val="24"/>
          <w:rtl/>
          <w:lang w:val="en-US" w:bidi="ar-DZ"/>
        </w:rPr>
        <w:t xml:space="preserve"> </w:t>
      </w:r>
    </w:p>
    <w:p w:rsidR="008808D6" w:rsidRDefault="008808D6" w:rsidP="00986BEA">
      <w:pPr>
        <w:pStyle w:val="carte"/>
        <w:spacing w:after="0"/>
        <w:rPr>
          <w:rtl/>
          <w:lang w:bidi="ar-DZ"/>
        </w:rPr>
      </w:pPr>
      <w:bookmarkStart w:id="946" w:name="_Toc157616622"/>
      <w:bookmarkStart w:id="947" w:name="_Toc171803875"/>
      <w:r w:rsidRPr="005373F7">
        <w:rPr>
          <w:rFonts w:hint="cs"/>
          <w:rtl/>
        </w:rPr>
        <w:t>الخريطة (6-</w:t>
      </w:r>
      <w:r w:rsidR="005373F7" w:rsidRPr="005373F7">
        <w:rPr>
          <w:rFonts w:hint="cs"/>
          <w:rtl/>
        </w:rPr>
        <w:t>14</w:t>
      </w:r>
      <w:r w:rsidRPr="005373F7">
        <w:rPr>
          <w:rFonts w:hint="cs"/>
          <w:rtl/>
        </w:rPr>
        <w:t>):</w:t>
      </w:r>
      <w:r w:rsidRPr="005373F7">
        <w:rPr>
          <w:rtl/>
          <w:lang w:val="en-US" w:bidi="ar-DZ"/>
        </w:rPr>
        <w:t xml:space="preserve"> </w:t>
      </w:r>
      <w:r w:rsidRPr="005373F7">
        <w:rPr>
          <w:rFonts w:hint="cs"/>
          <w:rtl/>
          <w:lang w:val="en-US" w:bidi="ar-DZ"/>
        </w:rPr>
        <w:t>كثافة و</w:t>
      </w:r>
      <w:r w:rsidR="00F43011" w:rsidRPr="005373F7">
        <w:rPr>
          <w:rFonts w:hint="cs"/>
          <w:rtl/>
          <w:lang w:val="en-US" w:bidi="ar-DZ"/>
        </w:rPr>
        <w:t>عمق</w:t>
      </w:r>
      <w:r w:rsidR="00F43011" w:rsidRPr="005373F7">
        <w:rPr>
          <w:rtl/>
          <w:lang w:val="en-US" w:bidi="ar-DZ"/>
        </w:rPr>
        <w:t xml:space="preserve"> </w:t>
      </w:r>
      <w:r w:rsidRPr="005373F7">
        <w:rPr>
          <w:rFonts w:hint="cs"/>
          <w:rtl/>
          <w:lang w:val="en-US" w:bidi="ar-DZ"/>
        </w:rPr>
        <w:t>الطرق</w:t>
      </w:r>
      <w:r w:rsidRPr="005373F7">
        <w:rPr>
          <w:rtl/>
          <w:lang w:val="en-US" w:bidi="ar-DZ"/>
        </w:rPr>
        <w:t xml:space="preserve"> </w:t>
      </w:r>
      <w:r w:rsidRPr="005373F7">
        <w:rPr>
          <w:rFonts w:hint="cs"/>
          <w:rtl/>
          <w:lang w:val="en-US" w:bidi="ar-DZ"/>
        </w:rPr>
        <w:t>الرئيسية</w:t>
      </w:r>
      <w:r w:rsidRPr="005373F7">
        <w:rPr>
          <w:rtl/>
          <w:lang w:val="en-US" w:bidi="ar-DZ"/>
        </w:rPr>
        <w:t xml:space="preserve"> </w:t>
      </w:r>
      <w:r w:rsidRPr="005373F7">
        <w:rPr>
          <w:rFonts w:hint="cs"/>
          <w:rtl/>
          <w:lang w:val="en-US" w:bidi="ar-DZ"/>
        </w:rPr>
        <w:t>والثانوية الحضرية</w:t>
      </w:r>
      <w:r w:rsidRPr="005373F7">
        <w:rPr>
          <w:rtl/>
          <w:lang w:val="en-US" w:bidi="ar-DZ"/>
        </w:rPr>
        <w:t xml:space="preserve"> </w:t>
      </w:r>
      <w:r w:rsidR="00066C86" w:rsidRPr="005373F7">
        <w:rPr>
          <w:rFonts w:hint="cs"/>
          <w:rtl/>
          <w:lang w:bidi="ar-DZ"/>
        </w:rPr>
        <w:t>عبر حي القصر</w:t>
      </w:r>
      <w:bookmarkEnd w:id="946"/>
      <w:bookmarkEnd w:id="947"/>
    </w:p>
    <w:p w:rsidR="00986BEA" w:rsidRPr="00986BEA" w:rsidRDefault="00986BEA" w:rsidP="00986BEA">
      <w:pPr>
        <w:pStyle w:val="fegure"/>
        <w:rPr>
          <w:sz w:val="8"/>
          <w:szCs w:val="24"/>
          <w:rtl/>
          <w:lang w:val="en-US"/>
        </w:rPr>
      </w:pPr>
      <w:bookmarkStart w:id="948" w:name="_Toc171803876"/>
      <w:r>
        <w:rPr>
          <w:rFonts w:hint="cs"/>
          <w:sz w:val="8"/>
          <w:szCs w:val="24"/>
          <w:rtl/>
          <w:lang w:val="en-US" w:bidi="ar-DZ"/>
        </w:rPr>
        <w:t xml:space="preserve">المصدر: </w:t>
      </w:r>
      <w:r>
        <w:rPr>
          <w:rFonts w:hint="cs"/>
          <w:sz w:val="8"/>
          <w:szCs w:val="24"/>
          <w:rtl/>
          <w:lang w:val="en-US"/>
        </w:rPr>
        <w:t>(الباحث، 2022)</w:t>
      </w:r>
      <w:bookmarkEnd w:id="948"/>
    </w:p>
    <w:p w:rsidR="008808D6" w:rsidRDefault="008808D6" w:rsidP="008808D6">
      <w:pPr>
        <w:bidi/>
        <w:spacing w:after="0"/>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1939D2D3" wp14:editId="5A599A8E">
            <wp:extent cx="4490641" cy="5477774"/>
            <wp:effectExtent l="0" t="0" r="5715" b="8890"/>
            <wp:docPr id="330" name="Imag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27" cstate="print">
                      <a:extLst>
                        <a:ext uri="{28A0092B-C50C-407E-A947-70E740481C1C}">
                          <a14:useLocalDpi xmlns:a14="http://schemas.microsoft.com/office/drawing/2010/main" val="0"/>
                        </a:ext>
                      </a:extLst>
                    </a:blip>
                    <a:srcRect t="8490"/>
                    <a:stretch/>
                  </pic:blipFill>
                  <pic:spPr bwMode="auto">
                    <a:xfrm>
                      <a:off x="0" y="0"/>
                      <a:ext cx="4502855" cy="5492673"/>
                    </a:xfrm>
                    <a:prstGeom prst="rect">
                      <a:avLst/>
                    </a:prstGeom>
                    <a:noFill/>
                    <a:ln>
                      <a:noFill/>
                    </a:ln>
                    <a:extLst>
                      <a:ext uri="{53640926-AAD7-44D8-BBD7-CCE9431645EC}">
                        <a14:shadowObscured xmlns:a14="http://schemas.microsoft.com/office/drawing/2010/main"/>
                      </a:ext>
                    </a:extLst>
                  </pic:spPr>
                </pic:pic>
              </a:graphicData>
            </a:graphic>
          </wp:inline>
        </w:drawing>
      </w:r>
    </w:p>
    <w:p w:rsidR="00730663" w:rsidRDefault="0073772E" w:rsidP="003E166E">
      <w:pPr>
        <w:pStyle w:val="Paragraphedeliste"/>
        <w:numPr>
          <w:ilvl w:val="0"/>
          <w:numId w:val="69"/>
        </w:numPr>
        <w:bidi/>
        <w:spacing w:after="0"/>
        <w:ind w:left="0" w:firstLine="283"/>
        <w:jc w:val="both"/>
        <w:rPr>
          <w:rFonts w:ascii="Simplified Arabic" w:hAnsi="Simplified Arabic" w:cs="Simplified Arabic"/>
          <w:sz w:val="24"/>
          <w:szCs w:val="24"/>
          <w:lang w:val="en-US" w:bidi="ar-DZ"/>
        </w:rPr>
      </w:pPr>
      <w:r w:rsidRPr="003E166E">
        <w:rPr>
          <w:rFonts w:ascii="Simplified Arabic" w:hAnsi="Simplified Arabic" w:cs="Simplified Arabic" w:hint="cs"/>
          <w:sz w:val="24"/>
          <w:szCs w:val="24"/>
          <w:rtl/>
          <w:lang w:val="en-US" w:bidi="ar-DZ"/>
        </w:rPr>
        <w:t>في حي بلاتو الواقع ضمن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فئة النسيج الحضري (ب)،</w:t>
      </w:r>
      <w:r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يبلغ</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متوسط المسافة بين</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الطرق</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الرئيسية والثانوية</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الحضرية</w:t>
      </w:r>
      <w:r w:rsidR="00B427F9" w:rsidRPr="003E166E">
        <w:rPr>
          <w:rFonts w:ascii="Simplified Arabic" w:hAnsi="Simplified Arabic" w:cs="Simplified Arabic"/>
          <w:sz w:val="24"/>
          <w:szCs w:val="24"/>
          <w:rtl/>
          <w:lang w:val="en-US" w:bidi="ar-DZ"/>
        </w:rPr>
        <w:t xml:space="preserve"> </w:t>
      </w:r>
      <w:r w:rsidR="00BD214E" w:rsidRPr="003E166E">
        <w:rPr>
          <w:rFonts w:ascii="Simplified Arabic" w:eastAsia="Times New Roman" w:hAnsi="Simplified Arabic" w:cs="Simplified Arabic" w:hint="cs"/>
          <w:color w:val="000000"/>
          <w:sz w:val="24"/>
          <w:szCs w:val="24"/>
          <w:rtl/>
          <w:lang w:eastAsia="fr-FR"/>
        </w:rPr>
        <w:t>470</w:t>
      </w:r>
      <w:r w:rsidRPr="003E166E">
        <w:rPr>
          <w:rFonts w:ascii="Simplified Arabic" w:eastAsia="Times New Roman" w:hAnsi="Simplified Arabic" w:cs="Simplified Arabic" w:hint="cs"/>
          <w:color w:val="000000"/>
          <w:sz w:val="24"/>
          <w:szCs w:val="24"/>
          <w:rtl/>
          <w:lang w:eastAsia="fr-FR"/>
        </w:rPr>
        <w:t xml:space="preserve"> م </w:t>
      </w:r>
      <w:r w:rsidRPr="003E166E">
        <w:rPr>
          <w:rFonts w:ascii="Simplified Arabic" w:hAnsi="Simplified Arabic" w:cs="Simplified Arabic"/>
          <w:sz w:val="24"/>
          <w:szCs w:val="24"/>
          <w:rtl/>
          <w:lang w:val="en-US" w:bidi="ar-DZ"/>
        </w:rPr>
        <w:t>(</w:t>
      </w:r>
      <w:r w:rsidRPr="003E166E">
        <w:rPr>
          <w:rFonts w:ascii="Simplified Arabic" w:hAnsi="Simplified Arabic" w:cs="Simplified Arabic" w:hint="cs"/>
          <w:sz w:val="24"/>
          <w:szCs w:val="24"/>
          <w:rtl/>
          <w:lang w:val="en-US" w:bidi="ar-DZ"/>
        </w:rPr>
        <w:t>ال</w:t>
      </w:r>
      <w:r w:rsidR="00F43011" w:rsidRPr="003E166E">
        <w:rPr>
          <w:rFonts w:ascii="Simplified Arabic" w:hAnsi="Simplified Arabic" w:cs="Simplified Arabic" w:hint="cs"/>
          <w:sz w:val="24"/>
          <w:szCs w:val="24"/>
          <w:rtl/>
          <w:lang w:val="en-US" w:bidi="ar-DZ"/>
        </w:rPr>
        <w:t>عمق</w:t>
      </w:r>
      <w:r w:rsidR="00F43011"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الوسيط</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 xml:space="preserve"> </w:t>
      </w:r>
      <w:r w:rsidR="00BD214E" w:rsidRPr="003E166E">
        <w:rPr>
          <w:rFonts w:ascii="Simplified Arabic" w:hAnsi="Simplified Arabic" w:cs="Simplified Arabic" w:hint="cs"/>
          <w:sz w:val="24"/>
          <w:szCs w:val="24"/>
          <w:rtl/>
          <w:lang w:val="en-US" w:bidi="ar-DZ"/>
        </w:rPr>
        <w:t>530</w:t>
      </w:r>
      <w:r w:rsidRPr="003E166E">
        <w:rPr>
          <w:rFonts w:ascii="Simplified Arabic" w:hAnsi="Simplified Arabic" w:cs="Simplified Arabic" w:hint="cs"/>
          <w:sz w:val="24"/>
          <w:szCs w:val="24"/>
          <w:rtl/>
          <w:lang w:val="en-US" w:bidi="ar-DZ"/>
        </w:rPr>
        <w:t xml:space="preserve"> م</w:t>
      </w:r>
      <w:r w:rsidRPr="003E166E">
        <w:rPr>
          <w:rFonts w:ascii="Simplified Arabic" w:hAnsi="Simplified Arabic" w:cs="Simplified Arabic"/>
          <w:sz w:val="24"/>
          <w:szCs w:val="24"/>
          <w:rtl/>
          <w:lang w:val="en-US" w:bidi="ar-DZ"/>
        </w:rPr>
        <w:t>)</w:t>
      </w:r>
      <w:r w:rsidRPr="003E166E">
        <w:rPr>
          <w:rFonts w:ascii="Simplified Arabic" w:hAnsi="Simplified Arabic" w:cs="Simplified Arabic" w:hint="cs"/>
          <w:sz w:val="24"/>
          <w:szCs w:val="24"/>
          <w:rtl/>
          <w:lang w:val="en-US" w:bidi="ar-DZ"/>
        </w:rPr>
        <w:t>، الجدول (6-</w:t>
      </w:r>
      <w:r w:rsidR="00F377EC" w:rsidRPr="003E166E">
        <w:rPr>
          <w:rFonts w:ascii="Simplified Arabic" w:hAnsi="Simplified Arabic" w:cs="Simplified Arabic" w:hint="cs"/>
          <w:color w:val="000000" w:themeColor="text1"/>
          <w:sz w:val="24"/>
          <w:szCs w:val="24"/>
          <w:rtl/>
          <w:lang w:val="en-US" w:bidi="ar-DZ"/>
        </w:rPr>
        <w:t>9</w:t>
      </w:r>
      <w:r w:rsidRPr="003E166E">
        <w:rPr>
          <w:rFonts w:ascii="Simplified Arabic" w:hAnsi="Simplified Arabic" w:cs="Simplified Arabic" w:hint="cs"/>
          <w:sz w:val="24"/>
          <w:szCs w:val="24"/>
          <w:rtl/>
          <w:lang w:val="en-US" w:bidi="ar-DZ"/>
        </w:rPr>
        <w:t>)</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يشير</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ذلك إلى</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أن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شبكة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الطرق</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الرئيسية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الحضرية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اكثر</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احتواء</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ضمن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نطاق</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هذا</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الحي. يمكن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اعتبار أن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القيم</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المسجلة</w:t>
      </w:r>
      <w:r w:rsidRPr="003E166E">
        <w:rPr>
          <w:rFonts w:ascii="Simplified Arabic" w:hAnsi="Simplified Arabic" w:cs="Simplified Arabic"/>
          <w:sz w:val="24"/>
          <w:szCs w:val="24"/>
          <w:rtl/>
          <w:lang w:val="en-US" w:bidi="ar-DZ"/>
        </w:rPr>
        <w:t xml:space="preserve"> </w:t>
      </w:r>
      <w:r w:rsidR="00BD214E" w:rsidRPr="003E166E">
        <w:rPr>
          <w:rFonts w:ascii="Simplified Arabic" w:hAnsi="Simplified Arabic" w:cs="Simplified Arabic" w:hint="cs"/>
          <w:sz w:val="24"/>
          <w:szCs w:val="24"/>
          <w:rtl/>
          <w:lang w:val="en-US" w:bidi="ar-DZ"/>
        </w:rPr>
        <w:t>تتوافق</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مع</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النتائج</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التي</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توصل</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إليها</w:t>
      </w:r>
      <w:r w:rsidRPr="003E166E">
        <w:rPr>
          <w:rFonts w:ascii="Simplified Arabic" w:hAnsi="Simplified Arabic" w:cs="Simplified Arabic"/>
          <w:sz w:val="24"/>
          <w:szCs w:val="24"/>
          <w:rtl/>
          <w:lang w:val="en-US" w:bidi="ar-DZ"/>
        </w:rPr>
        <w:t xml:space="preserve"> </w:t>
      </w:r>
      <w:r w:rsidRPr="003E166E">
        <w:rPr>
          <w:rFonts w:asciiTheme="majorBidi" w:hAnsiTheme="majorBidi" w:cstheme="majorBidi"/>
          <w:color w:val="000000"/>
          <w:sz w:val="24"/>
          <w:szCs w:val="24"/>
        </w:rPr>
        <w:t>(</w:t>
      </w:r>
      <w:r w:rsidRPr="003E166E">
        <w:rPr>
          <w:rFonts w:asciiTheme="majorBidi" w:hAnsiTheme="majorBidi" w:cstheme="majorBidi"/>
          <w:sz w:val="24"/>
          <w:szCs w:val="24"/>
          <w:lang w:val="en-US" w:bidi="ar-DZ"/>
        </w:rPr>
        <w:t>Porta et al, 2014</w:t>
      </w:r>
      <w:r w:rsidRPr="003E166E">
        <w:rPr>
          <w:rFonts w:asciiTheme="majorBidi" w:hAnsiTheme="majorBidi" w:cstheme="majorBidi"/>
          <w:color w:val="000000"/>
          <w:sz w:val="24"/>
          <w:szCs w:val="24"/>
        </w:rPr>
        <w:t>)</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الذي</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يحدد</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متوسط</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المسافة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النموذجية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بين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الطرق</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الرئيسية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الحضرية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في</w:t>
      </w:r>
      <w:r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التوسعات</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الحضرية</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الجديدة</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المعاصرة</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عند</w:t>
      </w:r>
      <w:r w:rsidR="00851D11" w:rsidRPr="003E166E">
        <w:rPr>
          <w:rFonts w:ascii="Simplified Arabic" w:hAnsi="Simplified Arabic" w:cs="Simplified Arabic"/>
          <w:sz w:val="24"/>
          <w:szCs w:val="24"/>
          <w:rtl/>
          <w:lang w:val="en-US" w:bidi="ar-DZ"/>
        </w:rPr>
        <w:t xml:space="preserve"> 788 </w:t>
      </w:r>
      <w:r w:rsidR="00851D11" w:rsidRPr="003E166E">
        <w:rPr>
          <w:rFonts w:ascii="Simplified Arabic" w:hAnsi="Simplified Arabic" w:cs="Simplified Arabic" w:hint="cs"/>
          <w:sz w:val="24"/>
          <w:szCs w:val="24"/>
          <w:rtl/>
          <w:lang w:val="en-US" w:bidi="ar-DZ"/>
        </w:rPr>
        <w:t>مترًا</w:t>
      </w:r>
      <w:r w:rsidR="00851D11" w:rsidRPr="003E166E">
        <w:rPr>
          <w:rFonts w:ascii="Simplified Arabic" w:hAnsi="Simplified Arabic" w:cs="Simplified Arabic"/>
          <w:sz w:val="24"/>
          <w:szCs w:val="24"/>
          <w:rtl/>
          <w:lang w:val="en-US" w:bidi="ar-DZ"/>
        </w:rPr>
        <w:t>.</w:t>
      </w:r>
      <w:r w:rsidR="00851D11" w:rsidRPr="003E166E">
        <w:rPr>
          <w:rFonts w:ascii="Simplified Arabic" w:hAnsi="Simplified Arabic" w:cs="Simplified Arabic" w:hint="cs"/>
          <w:sz w:val="24"/>
          <w:szCs w:val="24"/>
          <w:rtl/>
          <w:lang w:val="en-US" w:bidi="ar-DZ"/>
        </w:rPr>
        <w:t xml:space="preserve"> مما</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يشير</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في</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هذه</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الحالة إلى</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أن</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امكانية الوصول</w:t>
      </w:r>
      <w:r w:rsidR="00851D11"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عالية</w:t>
      </w:r>
      <w:r w:rsidR="00851D11" w:rsidRPr="003E166E">
        <w:rPr>
          <w:rFonts w:ascii="Simplified Arabic" w:hAnsi="Simplified Arabic" w:cs="Simplified Arabic" w:hint="cs"/>
          <w:sz w:val="24"/>
          <w:szCs w:val="24"/>
          <w:rtl/>
          <w:lang w:val="en-US" w:bidi="ar-DZ"/>
        </w:rPr>
        <w:t xml:space="preserve"> الى عمق الحي، سبب ذلك، وجود طرق ربط ثانوية تخترق حي بلاتو تربط بين الطرق الرئيسية. مقارنة</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بفئات</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النسيج</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الحضري الاخرى، هناك العديد من</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التقاطعات</w:t>
      </w:r>
      <w:r w:rsidR="00851D11" w:rsidRPr="003E166E">
        <w:rPr>
          <w:rFonts w:ascii="Simplified Arabic" w:hAnsi="Simplified Arabic" w:cs="Simplified Arabic"/>
          <w:sz w:val="24"/>
          <w:szCs w:val="24"/>
          <w:rtl/>
          <w:lang w:val="en-US" w:bidi="ar-DZ"/>
        </w:rPr>
        <w:t xml:space="preserve"> </w:t>
      </w:r>
      <w:r w:rsidR="00851D11" w:rsidRPr="003E166E">
        <w:rPr>
          <w:rFonts w:ascii="Simplified Arabic" w:hAnsi="Simplified Arabic" w:cs="Simplified Arabic" w:hint="cs"/>
          <w:sz w:val="24"/>
          <w:szCs w:val="24"/>
          <w:rtl/>
          <w:lang w:val="en-US" w:bidi="ar-DZ"/>
        </w:rPr>
        <w:t xml:space="preserve">بين الطرق الرئيسية والثانوية. </w:t>
      </w:r>
    </w:p>
    <w:p w:rsidR="0073772E" w:rsidRPr="003E166E" w:rsidRDefault="00851D11" w:rsidP="00730663">
      <w:pPr>
        <w:pStyle w:val="Paragraphedeliste"/>
        <w:bidi/>
        <w:spacing w:after="0"/>
        <w:ind w:left="0" w:firstLine="283"/>
        <w:jc w:val="both"/>
        <w:rPr>
          <w:rFonts w:ascii="Simplified Arabic" w:hAnsi="Simplified Arabic" w:cs="Simplified Arabic"/>
          <w:sz w:val="24"/>
          <w:szCs w:val="24"/>
          <w:rtl/>
          <w:lang w:val="en-US" w:bidi="ar-DZ"/>
        </w:rPr>
      </w:pPr>
      <w:r w:rsidRPr="003E166E">
        <w:rPr>
          <w:rFonts w:ascii="Simplified Arabic" w:hAnsi="Simplified Arabic" w:cs="Simplified Arabic" w:hint="cs"/>
          <w:sz w:val="24"/>
          <w:szCs w:val="24"/>
          <w:rtl/>
          <w:lang w:val="en-US" w:bidi="ar-DZ"/>
        </w:rPr>
        <w:lastRenderedPageBreak/>
        <w:t>في مقابل ذلك، تمنح الطرق الرئيسية التي تمر بالحي امكانية وصول الى عمق الحي، كما هو موضح في الخريطة (6-</w:t>
      </w:r>
      <w:r w:rsidR="005373F7" w:rsidRPr="003E166E">
        <w:rPr>
          <w:rFonts w:ascii="Simplified Arabic" w:hAnsi="Simplified Arabic" w:cs="Simplified Arabic" w:hint="cs"/>
          <w:sz w:val="24"/>
          <w:szCs w:val="24"/>
          <w:rtl/>
          <w:lang w:val="en-US" w:bidi="ar-DZ"/>
        </w:rPr>
        <w:t>15</w:t>
      </w:r>
      <w:r w:rsidRPr="003E166E">
        <w:rPr>
          <w:rFonts w:ascii="Simplified Arabic" w:hAnsi="Simplified Arabic" w:cs="Simplified Arabic" w:hint="cs"/>
          <w:sz w:val="24"/>
          <w:szCs w:val="24"/>
          <w:rtl/>
          <w:lang w:val="en-US" w:bidi="ar-DZ"/>
        </w:rPr>
        <w:t>).</w:t>
      </w:r>
    </w:p>
    <w:p w:rsidR="00066C86" w:rsidRDefault="00066C86" w:rsidP="00986BEA">
      <w:pPr>
        <w:pStyle w:val="carte"/>
        <w:spacing w:after="0"/>
        <w:rPr>
          <w:rtl/>
          <w:lang w:bidi="ar-DZ"/>
        </w:rPr>
      </w:pPr>
      <w:bookmarkStart w:id="949" w:name="_Toc157616623"/>
      <w:bookmarkStart w:id="950" w:name="_Toc171803877"/>
      <w:r w:rsidRPr="005373F7">
        <w:rPr>
          <w:rFonts w:hint="cs"/>
          <w:rtl/>
        </w:rPr>
        <w:t>الخريطة (6-</w:t>
      </w:r>
      <w:r w:rsidR="005373F7" w:rsidRPr="005373F7">
        <w:rPr>
          <w:rFonts w:hint="cs"/>
          <w:rtl/>
        </w:rPr>
        <w:t>15</w:t>
      </w:r>
      <w:r w:rsidRPr="005373F7">
        <w:rPr>
          <w:rFonts w:hint="cs"/>
          <w:rtl/>
        </w:rPr>
        <w:t>):</w:t>
      </w:r>
      <w:r w:rsidRPr="005373F7">
        <w:rPr>
          <w:rtl/>
          <w:lang w:val="en-US" w:bidi="ar-DZ"/>
        </w:rPr>
        <w:t xml:space="preserve"> </w:t>
      </w:r>
      <w:r w:rsidRPr="005373F7">
        <w:rPr>
          <w:rFonts w:hint="cs"/>
          <w:rtl/>
          <w:lang w:val="en-US" w:bidi="ar-DZ"/>
        </w:rPr>
        <w:t>كثافة و</w:t>
      </w:r>
      <w:r w:rsidR="00F43011" w:rsidRPr="005373F7">
        <w:rPr>
          <w:rFonts w:hint="cs"/>
          <w:rtl/>
          <w:lang w:val="en-US" w:bidi="ar-DZ"/>
        </w:rPr>
        <w:t>عمق</w:t>
      </w:r>
      <w:r w:rsidR="00F43011" w:rsidRPr="005373F7">
        <w:rPr>
          <w:rtl/>
          <w:lang w:val="en-US" w:bidi="ar-DZ"/>
        </w:rPr>
        <w:t xml:space="preserve"> </w:t>
      </w:r>
      <w:r w:rsidRPr="005373F7">
        <w:rPr>
          <w:rFonts w:hint="cs"/>
          <w:rtl/>
          <w:lang w:val="en-US" w:bidi="ar-DZ"/>
        </w:rPr>
        <w:t>الطرق</w:t>
      </w:r>
      <w:r w:rsidRPr="005373F7">
        <w:rPr>
          <w:rtl/>
          <w:lang w:val="en-US" w:bidi="ar-DZ"/>
        </w:rPr>
        <w:t xml:space="preserve"> </w:t>
      </w:r>
      <w:r w:rsidRPr="005373F7">
        <w:rPr>
          <w:rFonts w:hint="cs"/>
          <w:rtl/>
          <w:lang w:val="en-US" w:bidi="ar-DZ"/>
        </w:rPr>
        <w:t>الرئيسية</w:t>
      </w:r>
      <w:r w:rsidRPr="005373F7">
        <w:rPr>
          <w:rtl/>
          <w:lang w:val="en-US" w:bidi="ar-DZ"/>
        </w:rPr>
        <w:t xml:space="preserve"> </w:t>
      </w:r>
      <w:r w:rsidRPr="005373F7">
        <w:rPr>
          <w:rFonts w:hint="cs"/>
          <w:rtl/>
          <w:lang w:val="en-US" w:bidi="ar-DZ"/>
        </w:rPr>
        <w:t>والثانوية الحضرية</w:t>
      </w:r>
      <w:r w:rsidRPr="005373F7">
        <w:rPr>
          <w:rtl/>
          <w:lang w:val="en-US" w:bidi="ar-DZ"/>
        </w:rPr>
        <w:t xml:space="preserve"> </w:t>
      </w:r>
      <w:r w:rsidRPr="005373F7">
        <w:rPr>
          <w:rFonts w:hint="cs"/>
          <w:rtl/>
          <w:lang w:bidi="ar-DZ"/>
        </w:rPr>
        <w:t>عبر حي بلاتو</w:t>
      </w:r>
      <w:bookmarkEnd w:id="949"/>
      <w:bookmarkEnd w:id="950"/>
    </w:p>
    <w:p w:rsidR="00986BEA" w:rsidRPr="00986BEA" w:rsidRDefault="00986BEA" w:rsidP="00986BEA">
      <w:pPr>
        <w:pStyle w:val="fegure"/>
        <w:rPr>
          <w:sz w:val="8"/>
          <w:szCs w:val="24"/>
          <w:rtl/>
          <w:lang w:val="en-US"/>
        </w:rPr>
      </w:pPr>
      <w:bookmarkStart w:id="951" w:name="_Toc171803878"/>
      <w:r>
        <w:rPr>
          <w:rFonts w:hint="cs"/>
          <w:sz w:val="8"/>
          <w:szCs w:val="24"/>
          <w:rtl/>
          <w:lang w:val="en-US" w:bidi="ar-DZ"/>
        </w:rPr>
        <w:t xml:space="preserve">المصدر: </w:t>
      </w:r>
      <w:r>
        <w:rPr>
          <w:rFonts w:hint="cs"/>
          <w:sz w:val="8"/>
          <w:szCs w:val="24"/>
          <w:rtl/>
          <w:lang w:val="en-US"/>
        </w:rPr>
        <w:t>(الباحث، 2022)</w:t>
      </w:r>
      <w:bookmarkEnd w:id="951"/>
    </w:p>
    <w:p w:rsidR="00066C86" w:rsidRDefault="00066C86" w:rsidP="00066C86">
      <w:pPr>
        <w:bidi/>
        <w:spacing w:after="0"/>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3A8B1260" wp14:editId="044CD016">
            <wp:extent cx="4494122" cy="5477774"/>
            <wp:effectExtent l="0" t="0" r="1905" b="8890"/>
            <wp:docPr id="283" name="Imag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28" cstate="print">
                      <a:extLst>
                        <a:ext uri="{28A0092B-C50C-407E-A947-70E740481C1C}">
                          <a14:useLocalDpi xmlns:a14="http://schemas.microsoft.com/office/drawing/2010/main" val="0"/>
                        </a:ext>
                      </a:extLst>
                    </a:blip>
                    <a:srcRect t="8497"/>
                    <a:stretch/>
                  </pic:blipFill>
                  <pic:spPr bwMode="auto">
                    <a:xfrm>
                      <a:off x="0" y="0"/>
                      <a:ext cx="4509969" cy="5497089"/>
                    </a:xfrm>
                    <a:prstGeom prst="rect">
                      <a:avLst/>
                    </a:prstGeom>
                    <a:noFill/>
                    <a:ln>
                      <a:noFill/>
                    </a:ln>
                    <a:extLst>
                      <a:ext uri="{53640926-AAD7-44D8-BBD7-CCE9431645EC}">
                        <a14:shadowObscured xmlns:a14="http://schemas.microsoft.com/office/drawing/2010/main"/>
                      </a:ext>
                    </a:extLst>
                  </pic:spPr>
                </pic:pic>
              </a:graphicData>
            </a:graphic>
          </wp:inline>
        </w:drawing>
      </w:r>
    </w:p>
    <w:p w:rsidR="00730663" w:rsidRDefault="00851D11" w:rsidP="003E166E">
      <w:pPr>
        <w:pStyle w:val="Paragraphedeliste"/>
        <w:numPr>
          <w:ilvl w:val="0"/>
          <w:numId w:val="69"/>
        </w:numPr>
        <w:bidi/>
        <w:spacing w:after="0"/>
        <w:ind w:left="0" w:firstLine="283"/>
        <w:jc w:val="both"/>
        <w:rPr>
          <w:rFonts w:ascii="Simplified Arabic" w:hAnsi="Simplified Arabic" w:cs="Simplified Arabic"/>
          <w:sz w:val="24"/>
          <w:szCs w:val="24"/>
          <w:lang w:val="en-US" w:bidi="ar-DZ"/>
        </w:rPr>
      </w:pPr>
      <w:r w:rsidRPr="003E166E">
        <w:rPr>
          <w:rFonts w:ascii="Simplified Arabic" w:hAnsi="Simplified Arabic" w:cs="Simplified Arabic" w:hint="cs"/>
          <w:sz w:val="24"/>
          <w:szCs w:val="24"/>
          <w:rtl/>
          <w:lang w:val="en-US" w:bidi="ar-DZ"/>
        </w:rPr>
        <w:t>في حي سيدي سليمان الواقع ضمن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فئة النسيج الحضري (جـ)،</w:t>
      </w:r>
      <w:r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يبلغ</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متوسط المسافة بين</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الطرق</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الرئيسية والثانوية</w:t>
      </w:r>
      <w:r w:rsidR="00B427F9"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الحضرية</w:t>
      </w:r>
      <w:r w:rsidR="00B427F9" w:rsidRPr="003E166E">
        <w:rPr>
          <w:rFonts w:ascii="Simplified Arabic" w:hAnsi="Simplified Arabic" w:cs="Simplified Arabic"/>
          <w:sz w:val="24"/>
          <w:szCs w:val="24"/>
          <w:rtl/>
          <w:lang w:val="en-US" w:bidi="ar-DZ"/>
        </w:rPr>
        <w:t xml:space="preserve"> </w:t>
      </w:r>
      <w:r w:rsidRPr="003E166E">
        <w:rPr>
          <w:rFonts w:ascii="Simplified Arabic" w:eastAsia="Times New Roman" w:hAnsi="Simplified Arabic" w:cs="Simplified Arabic" w:hint="cs"/>
          <w:color w:val="000000"/>
          <w:sz w:val="24"/>
          <w:szCs w:val="24"/>
          <w:rtl/>
          <w:lang w:eastAsia="fr-FR"/>
        </w:rPr>
        <w:t xml:space="preserve">945 م </w:t>
      </w:r>
      <w:r w:rsidRPr="003E166E">
        <w:rPr>
          <w:rFonts w:ascii="Simplified Arabic" w:hAnsi="Simplified Arabic" w:cs="Simplified Arabic"/>
          <w:sz w:val="24"/>
          <w:szCs w:val="24"/>
          <w:rtl/>
          <w:lang w:val="en-US" w:bidi="ar-DZ"/>
        </w:rPr>
        <w:t>(</w:t>
      </w:r>
      <w:r w:rsidRPr="003E166E">
        <w:rPr>
          <w:rFonts w:ascii="Simplified Arabic" w:hAnsi="Simplified Arabic" w:cs="Simplified Arabic" w:hint="cs"/>
          <w:sz w:val="24"/>
          <w:szCs w:val="24"/>
          <w:rtl/>
          <w:lang w:val="en-US" w:bidi="ar-DZ"/>
        </w:rPr>
        <w:t>ال</w:t>
      </w:r>
      <w:r w:rsidR="00F43011" w:rsidRPr="003E166E">
        <w:rPr>
          <w:rFonts w:ascii="Simplified Arabic" w:hAnsi="Simplified Arabic" w:cs="Simplified Arabic" w:hint="cs"/>
          <w:sz w:val="24"/>
          <w:szCs w:val="24"/>
          <w:rtl/>
          <w:lang w:val="en-US" w:bidi="ar-DZ"/>
        </w:rPr>
        <w:t>عمق</w:t>
      </w:r>
      <w:r w:rsidR="00F43011"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الوسيط</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 xml:space="preserve"> 1253 م</w:t>
      </w:r>
      <w:r w:rsidRPr="003E166E">
        <w:rPr>
          <w:rFonts w:ascii="Simplified Arabic" w:hAnsi="Simplified Arabic" w:cs="Simplified Arabic"/>
          <w:sz w:val="24"/>
          <w:szCs w:val="24"/>
          <w:rtl/>
          <w:lang w:val="en-US" w:bidi="ar-DZ"/>
        </w:rPr>
        <w:t>)</w:t>
      </w:r>
      <w:r w:rsidRPr="003E166E">
        <w:rPr>
          <w:rFonts w:ascii="Simplified Arabic" w:hAnsi="Simplified Arabic" w:cs="Simplified Arabic" w:hint="cs"/>
          <w:sz w:val="24"/>
          <w:szCs w:val="24"/>
          <w:rtl/>
          <w:lang w:val="en-US" w:bidi="ar-DZ"/>
        </w:rPr>
        <w:t>، الجدول (6-</w:t>
      </w:r>
      <w:r w:rsidR="00F377EC" w:rsidRPr="003E166E">
        <w:rPr>
          <w:rFonts w:ascii="Simplified Arabic" w:hAnsi="Simplified Arabic" w:cs="Simplified Arabic" w:hint="cs"/>
          <w:sz w:val="24"/>
          <w:szCs w:val="24"/>
          <w:rtl/>
          <w:lang w:val="en-US" w:bidi="ar-DZ"/>
        </w:rPr>
        <w:t>9</w:t>
      </w:r>
      <w:r w:rsidRPr="003E166E">
        <w:rPr>
          <w:rFonts w:ascii="Simplified Arabic" w:hAnsi="Simplified Arabic" w:cs="Simplified Arabic" w:hint="cs"/>
          <w:sz w:val="24"/>
          <w:szCs w:val="24"/>
          <w:rtl/>
          <w:lang w:val="en-US" w:bidi="ar-DZ"/>
        </w:rPr>
        <w:t>)</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يشير</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ذلك إلى</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أن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شبكة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الطرق</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الرئيسية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الحضرية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اقل</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احتواء</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ضمن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نطاق</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هذا</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الحي. يمكن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اعتبار أن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القيم</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المسجلة</w:t>
      </w:r>
      <w:r w:rsidRPr="003E166E">
        <w:rPr>
          <w:rFonts w:ascii="Simplified Arabic" w:hAnsi="Simplified Arabic" w:cs="Simplified Arabic"/>
          <w:sz w:val="24"/>
          <w:szCs w:val="24"/>
          <w:rtl/>
          <w:lang w:val="en-US" w:bidi="ar-DZ"/>
        </w:rPr>
        <w:t xml:space="preserve"> </w:t>
      </w:r>
      <w:r w:rsidR="00B427F9" w:rsidRPr="003E166E">
        <w:rPr>
          <w:rFonts w:ascii="Simplified Arabic" w:hAnsi="Simplified Arabic" w:cs="Simplified Arabic" w:hint="cs"/>
          <w:sz w:val="24"/>
          <w:szCs w:val="24"/>
          <w:rtl/>
          <w:lang w:val="en-US" w:bidi="ar-DZ"/>
        </w:rPr>
        <w:t>تتعارض</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مع</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النتائج</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التي</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توصل</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إليها</w:t>
      </w:r>
      <w:r w:rsidRPr="003E166E">
        <w:rPr>
          <w:rFonts w:ascii="Simplified Arabic" w:hAnsi="Simplified Arabic" w:cs="Simplified Arabic"/>
          <w:sz w:val="24"/>
          <w:szCs w:val="24"/>
          <w:rtl/>
          <w:lang w:val="en-US" w:bidi="ar-DZ"/>
        </w:rPr>
        <w:t xml:space="preserve"> </w:t>
      </w:r>
      <w:r w:rsidRPr="003E166E">
        <w:rPr>
          <w:rFonts w:asciiTheme="majorBidi" w:hAnsiTheme="majorBidi" w:cstheme="majorBidi"/>
          <w:color w:val="000000"/>
          <w:sz w:val="24"/>
          <w:szCs w:val="24"/>
        </w:rPr>
        <w:t>(</w:t>
      </w:r>
      <w:r w:rsidRPr="003E166E">
        <w:rPr>
          <w:rFonts w:asciiTheme="majorBidi" w:hAnsiTheme="majorBidi" w:cstheme="majorBidi"/>
          <w:sz w:val="24"/>
          <w:szCs w:val="24"/>
          <w:lang w:val="en-US" w:bidi="ar-DZ"/>
        </w:rPr>
        <w:t>Porta et al, 2014</w:t>
      </w:r>
      <w:r w:rsidRPr="003E166E">
        <w:rPr>
          <w:rFonts w:asciiTheme="majorBidi" w:hAnsiTheme="majorBidi" w:cstheme="majorBidi"/>
          <w:color w:val="000000"/>
          <w:sz w:val="24"/>
          <w:szCs w:val="24"/>
        </w:rPr>
        <w:t>)</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الذي</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يحدد</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متوسط</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المسافة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النموذجية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بين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الطرق</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الرئيسية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الحضرية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في</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التوسعات</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الحضرية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الجديدة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المعاصرة</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عند</w:t>
      </w:r>
      <w:r w:rsidRPr="003E166E">
        <w:rPr>
          <w:rFonts w:ascii="Simplified Arabic" w:hAnsi="Simplified Arabic" w:cs="Simplified Arabic"/>
          <w:sz w:val="24"/>
          <w:szCs w:val="24"/>
          <w:rtl/>
          <w:lang w:val="en-US" w:bidi="ar-DZ"/>
        </w:rPr>
        <w:t xml:space="preserve"> 788 </w:t>
      </w:r>
      <w:r w:rsidRPr="003E166E">
        <w:rPr>
          <w:rFonts w:ascii="Simplified Arabic" w:hAnsi="Simplified Arabic" w:cs="Simplified Arabic" w:hint="cs"/>
          <w:sz w:val="24"/>
          <w:szCs w:val="24"/>
          <w:rtl/>
          <w:lang w:val="en-US" w:bidi="ar-DZ"/>
        </w:rPr>
        <w:t>مترًا</w:t>
      </w:r>
      <w:r w:rsidRPr="003E166E">
        <w:rPr>
          <w:rFonts w:ascii="Simplified Arabic" w:hAnsi="Simplified Arabic" w:cs="Simplified Arabic"/>
          <w:sz w:val="24"/>
          <w:szCs w:val="24"/>
          <w:rtl/>
          <w:lang w:val="en-US" w:bidi="ar-DZ"/>
        </w:rPr>
        <w:t>.</w:t>
      </w:r>
      <w:r w:rsidRPr="003E166E">
        <w:rPr>
          <w:rFonts w:ascii="Simplified Arabic" w:hAnsi="Simplified Arabic" w:cs="Simplified Arabic" w:hint="cs"/>
          <w:sz w:val="24"/>
          <w:szCs w:val="24"/>
          <w:rtl/>
          <w:lang w:val="en-US" w:bidi="ar-DZ"/>
        </w:rPr>
        <w:t xml:space="preserve"> مما</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يشير</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في</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هذه</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الحالة إلى</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امكانية وصول</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منخفضة الى عمق الحي، السبب في ذلك، غياب طرق ربط ثانوية تخترق حي سيدي سليمان</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وانعدام التقاطع</w:t>
      </w:r>
      <w:r w:rsidRPr="003E166E">
        <w:rPr>
          <w:rFonts w:ascii="Simplified Arabic" w:hAnsi="Simplified Arabic" w:cs="Simplified Arabic"/>
          <w:sz w:val="24"/>
          <w:szCs w:val="24"/>
          <w:rtl/>
          <w:lang w:val="en-US" w:bidi="ar-DZ"/>
        </w:rPr>
        <w:t xml:space="preserve"> </w:t>
      </w:r>
      <w:r w:rsidRPr="003E166E">
        <w:rPr>
          <w:rFonts w:ascii="Simplified Arabic" w:hAnsi="Simplified Arabic" w:cs="Simplified Arabic" w:hint="cs"/>
          <w:sz w:val="24"/>
          <w:szCs w:val="24"/>
          <w:rtl/>
          <w:lang w:val="en-US" w:bidi="ar-DZ"/>
        </w:rPr>
        <w:t>بين الطرق الرئيسية والثانوية</w:t>
      </w:r>
      <w:r w:rsidR="000575DC" w:rsidRPr="003E166E">
        <w:rPr>
          <w:rFonts w:ascii="Simplified Arabic" w:hAnsi="Simplified Arabic" w:cs="Simplified Arabic" w:hint="cs"/>
          <w:sz w:val="24"/>
          <w:szCs w:val="24"/>
          <w:rtl/>
          <w:lang w:val="en-US" w:bidi="ar-DZ"/>
        </w:rPr>
        <w:t xml:space="preserve"> وغياب التخطيط</w:t>
      </w:r>
      <w:r w:rsidRPr="003E166E">
        <w:rPr>
          <w:rFonts w:ascii="Simplified Arabic" w:hAnsi="Simplified Arabic" w:cs="Simplified Arabic"/>
          <w:sz w:val="24"/>
          <w:szCs w:val="24"/>
          <w:rtl/>
          <w:lang w:val="en-US" w:bidi="ar-DZ"/>
        </w:rPr>
        <w:t>.</w:t>
      </w:r>
      <w:r w:rsidRPr="003E166E">
        <w:rPr>
          <w:rFonts w:ascii="Simplified Arabic" w:hAnsi="Simplified Arabic" w:cs="Simplified Arabic" w:hint="cs"/>
          <w:sz w:val="24"/>
          <w:szCs w:val="24"/>
          <w:rtl/>
          <w:lang w:val="en-US" w:bidi="ar-DZ"/>
        </w:rPr>
        <w:t xml:space="preserve"> </w:t>
      </w:r>
    </w:p>
    <w:p w:rsidR="00851D11" w:rsidRPr="003E166E" w:rsidRDefault="00851D11" w:rsidP="00730663">
      <w:pPr>
        <w:pStyle w:val="Paragraphedeliste"/>
        <w:bidi/>
        <w:spacing w:after="0"/>
        <w:ind w:left="0" w:firstLine="283"/>
        <w:jc w:val="both"/>
        <w:rPr>
          <w:rFonts w:ascii="Simplified Arabic" w:hAnsi="Simplified Arabic" w:cs="Simplified Arabic"/>
          <w:sz w:val="24"/>
          <w:szCs w:val="24"/>
          <w:rtl/>
          <w:lang w:val="en-US" w:bidi="ar-DZ"/>
        </w:rPr>
      </w:pPr>
      <w:r w:rsidRPr="003E166E">
        <w:rPr>
          <w:rFonts w:ascii="Simplified Arabic" w:hAnsi="Simplified Arabic" w:cs="Simplified Arabic" w:hint="cs"/>
          <w:sz w:val="24"/>
          <w:szCs w:val="24"/>
          <w:rtl/>
          <w:lang w:val="en-US" w:bidi="ar-DZ"/>
        </w:rPr>
        <w:lastRenderedPageBreak/>
        <w:t>في مقابل ذلك، يمنح الطريق الرئيسي الذي يخترق الحي، امكانية وصول عالية الى بعض اجزائه، كما هو موضح في الخريطة (6-</w:t>
      </w:r>
      <w:r w:rsidR="005373F7" w:rsidRPr="003E166E">
        <w:rPr>
          <w:rFonts w:ascii="Simplified Arabic" w:hAnsi="Simplified Arabic" w:cs="Simplified Arabic" w:hint="cs"/>
          <w:sz w:val="24"/>
          <w:szCs w:val="24"/>
          <w:rtl/>
          <w:lang w:val="en-US" w:bidi="ar-DZ"/>
        </w:rPr>
        <w:t>16</w:t>
      </w:r>
      <w:r w:rsidRPr="003E166E">
        <w:rPr>
          <w:rFonts w:ascii="Simplified Arabic" w:hAnsi="Simplified Arabic" w:cs="Simplified Arabic" w:hint="cs"/>
          <w:sz w:val="24"/>
          <w:szCs w:val="24"/>
          <w:rtl/>
          <w:lang w:val="en-US" w:bidi="ar-DZ"/>
        </w:rPr>
        <w:t>).</w:t>
      </w:r>
      <w:r w:rsidRPr="003E166E">
        <w:rPr>
          <w:rFonts w:ascii="Simplified Arabic" w:hAnsi="Simplified Arabic" w:cs="Simplified Arabic"/>
          <w:sz w:val="24"/>
          <w:szCs w:val="24"/>
          <w:rtl/>
          <w:lang w:val="en-US" w:bidi="ar-DZ"/>
        </w:rPr>
        <w:t xml:space="preserve"> </w:t>
      </w:r>
    </w:p>
    <w:p w:rsidR="008808D6" w:rsidRDefault="008808D6" w:rsidP="00986BEA">
      <w:pPr>
        <w:pStyle w:val="carte"/>
        <w:spacing w:after="0"/>
        <w:rPr>
          <w:rtl/>
          <w:lang w:bidi="ar-DZ"/>
        </w:rPr>
      </w:pPr>
      <w:bookmarkStart w:id="952" w:name="_Toc157616624"/>
      <w:bookmarkStart w:id="953" w:name="_Toc171803879"/>
      <w:r w:rsidRPr="005373F7">
        <w:rPr>
          <w:rFonts w:hint="cs"/>
          <w:rtl/>
        </w:rPr>
        <w:t>الخريطة (6-</w:t>
      </w:r>
      <w:r w:rsidR="005373F7" w:rsidRPr="005373F7">
        <w:rPr>
          <w:rFonts w:hint="cs"/>
          <w:rtl/>
        </w:rPr>
        <w:t>16</w:t>
      </w:r>
      <w:r w:rsidRPr="005373F7">
        <w:rPr>
          <w:rFonts w:hint="cs"/>
          <w:rtl/>
        </w:rPr>
        <w:t>):</w:t>
      </w:r>
      <w:r w:rsidRPr="005373F7">
        <w:rPr>
          <w:rtl/>
          <w:lang w:val="en-US" w:bidi="ar-DZ"/>
        </w:rPr>
        <w:t xml:space="preserve"> </w:t>
      </w:r>
      <w:r w:rsidRPr="005373F7">
        <w:rPr>
          <w:rFonts w:hint="cs"/>
          <w:rtl/>
          <w:lang w:val="en-US" w:bidi="ar-DZ"/>
        </w:rPr>
        <w:t>كثافة و</w:t>
      </w:r>
      <w:r w:rsidR="00F43011" w:rsidRPr="005373F7">
        <w:rPr>
          <w:rFonts w:hint="cs"/>
          <w:rtl/>
          <w:lang w:val="en-US" w:bidi="ar-DZ"/>
        </w:rPr>
        <w:t>عمق</w:t>
      </w:r>
      <w:r w:rsidRPr="005373F7">
        <w:rPr>
          <w:rtl/>
          <w:lang w:val="en-US" w:bidi="ar-DZ"/>
        </w:rPr>
        <w:t xml:space="preserve"> </w:t>
      </w:r>
      <w:r w:rsidRPr="005373F7">
        <w:rPr>
          <w:rFonts w:hint="cs"/>
          <w:rtl/>
          <w:lang w:val="en-US" w:bidi="ar-DZ"/>
        </w:rPr>
        <w:t>الطرق</w:t>
      </w:r>
      <w:r w:rsidRPr="005373F7">
        <w:rPr>
          <w:rtl/>
          <w:lang w:val="en-US" w:bidi="ar-DZ"/>
        </w:rPr>
        <w:t xml:space="preserve"> </w:t>
      </w:r>
      <w:r w:rsidRPr="005373F7">
        <w:rPr>
          <w:rFonts w:hint="cs"/>
          <w:rtl/>
          <w:lang w:val="en-US" w:bidi="ar-DZ"/>
        </w:rPr>
        <w:t>الرئيسية</w:t>
      </w:r>
      <w:r w:rsidRPr="005373F7">
        <w:rPr>
          <w:rtl/>
          <w:lang w:val="en-US" w:bidi="ar-DZ"/>
        </w:rPr>
        <w:t xml:space="preserve"> </w:t>
      </w:r>
      <w:r w:rsidRPr="005373F7">
        <w:rPr>
          <w:rFonts w:hint="cs"/>
          <w:rtl/>
          <w:lang w:val="en-US" w:bidi="ar-DZ"/>
        </w:rPr>
        <w:t>والثانوية الحضرية</w:t>
      </w:r>
      <w:r w:rsidRPr="005373F7">
        <w:rPr>
          <w:rtl/>
          <w:lang w:val="en-US" w:bidi="ar-DZ"/>
        </w:rPr>
        <w:t xml:space="preserve"> </w:t>
      </w:r>
      <w:r w:rsidRPr="005373F7">
        <w:rPr>
          <w:rFonts w:hint="cs"/>
          <w:rtl/>
          <w:lang w:bidi="ar-DZ"/>
        </w:rPr>
        <w:t>عبر حي سيدي سليمان</w:t>
      </w:r>
      <w:bookmarkEnd w:id="952"/>
      <w:bookmarkEnd w:id="953"/>
    </w:p>
    <w:p w:rsidR="00986BEA" w:rsidRPr="00986BEA" w:rsidRDefault="00986BEA" w:rsidP="00986BEA">
      <w:pPr>
        <w:pStyle w:val="fegure"/>
        <w:rPr>
          <w:sz w:val="8"/>
          <w:szCs w:val="24"/>
          <w:rtl/>
          <w:lang w:val="en-US"/>
        </w:rPr>
      </w:pPr>
      <w:bookmarkStart w:id="954" w:name="_Toc171803880"/>
      <w:r>
        <w:rPr>
          <w:rFonts w:hint="cs"/>
          <w:sz w:val="8"/>
          <w:szCs w:val="24"/>
          <w:rtl/>
          <w:lang w:val="en-US" w:bidi="ar-DZ"/>
        </w:rPr>
        <w:t xml:space="preserve">المصدر: </w:t>
      </w:r>
      <w:r>
        <w:rPr>
          <w:rFonts w:hint="cs"/>
          <w:sz w:val="8"/>
          <w:szCs w:val="24"/>
          <w:rtl/>
          <w:lang w:val="en-US"/>
        </w:rPr>
        <w:t>(الباحث، 2022)</w:t>
      </w:r>
      <w:bookmarkEnd w:id="954"/>
    </w:p>
    <w:p w:rsidR="008808D6" w:rsidRDefault="008808D6" w:rsidP="008808D6">
      <w:pPr>
        <w:bidi/>
        <w:spacing w:after="0"/>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11D77BFD" wp14:editId="12BC61E5">
            <wp:extent cx="4419392" cy="5374257"/>
            <wp:effectExtent l="0" t="0" r="635" b="0"/>
            <wp:docPr id="331" name="Imag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29" cstate="print">
                      <a:extLst>
                        <a:ext uri="{28A0092B-C50C-407E-A947-70E740481C1C}">
                          <a14:useLocalDpi xmlns:a14="http://schemas.microsoft.com/office/drawing/2010/main" val="0"/>
                        </a:ext>
                      </a:extLst>
                    </a:blip>
                    <a:srcRect t="8728"/>
                    <a:stretch/>
                  </pic:blipFill>
                  <pic:spPr bwMode="auto">
                    <a:xfrm>
                      <a:off x="0" y="0"/>
                      <a:ext cx="4432115" cy="5389729"/>
                    </a:xfrm>
                    <a:prstGeom prst="rect">
                      <a:avLst/>
                    </a:prstGeom>
                    <a:noFill/>
                    <a:ln>
                      <a:noFill/>
                    </a:ln>
                    <a:extLst>
                      <a:ext uri="{53640926-AAD7-44D8-BBD7-CCE9431645EC}">
                        <a14:shadowObscured xmlns:a14="http://schemas.microsoft.com/office/drawing/2010/main"/>
                      </a:ext>
                    </a:extLst>
                  </pic:spPr>
                </pic:pic>
              </a:graphicData>
            </a:graphic>
          </wp:inline>
        </w:drawing>
      </w:r>
    </w:p>
    <w:p w:rsidR="00B427F9" w:rsidRPr="001326BC" w:rsidRDefault="00B427F9" w:rsidP="001326BC">
      <w:pPr>
        <w:pStyle w:val="Paragraphedeliste"/>
        <w:numPr>
          <w:ilvl w:val="0"/>
          <w:numId w:val="69"/>
        </w:numPr>
        <w:bidi/>
        <w:spacing w:after="0"/>
        <w:ind w:left="0" w:firstLine="283"/>
        <w:jc w:val="both"/>
        <w:rPr>
          <w:rFonts w:ascii="Simplified Arabic" w:hAnsi="Simplified Arabic" w:cs="Simplified Arabic"/>
          <w:sz w:val="24"/>
          <w:szCs w:val="24"/>
          <w:rtl/>
          <w:lang w:val="en-US" w:bidi="ar-DZ"/>
        </w:rPr>
      </w:pPr>
      <w:r w:rsidRPr="001326BC">
        <w:rPr>
          <w:rFonts w:ascii="Simplified Arabic" w:hAnsi="Simplified Arabic" w:cs="Simplified Arabic" w:hint="cs"/>
          <w:sz w:val="24"/>
          <w:szCs w:val="24"/>
          <w:rtl/>
          <w:lang w:val="en-US" w:bidi="ar-DZ"/>
        </w:rPr>
        <w:t>في حي الحمايد الواقع ضمن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فئة النسيج الحضري (د)،</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يبلغ</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متوسط المسافة بين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الطرق</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الرئيسية والثانوية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الحضرية</w:t>
      </w:r>
      <w:r w:rsidRPr="001326BC">
        <w:rPr>
          <w:rFonts w:ascii="Simplified Arabic" w:hAnsi="Simplified Arabic" w:cs="Simplified Arabic"/>
          <w:sz w:val="24"/>
          <w:szCs w:val="24"/>
          <w:rtl/>
          <w:lang w:val="en-US" w:bidi="ar-DZ"/>
        </w:rPr>
        <w:t xml:space="preserve"> </w:t>
      </w:r>
      <w:r w:rsidRPr="001326BC">
        <w:rPr>
          <w:rFonts w:ascii="Simplified Arabic" w:eastAsia="Times New Roman" w:hAnsi="Simplified Arabic" w:cs="Simplified Arabic" w:hint="cs"/>
          <w:color w:val="000000"/>
          <w:sz w:val="24"/>
          <w:szCs w:val="24"/>
          <w:rtl/>
          <w:lang w:eastAsia="fr-FR"/>
        </w:rPr>
        <w:t xml:space="preserve">905 م </w:t>
      </w:r>
      <w:r w:rsidRPr="001326BC">
        <w:rPr>
          <w:rFonts w:ascii="Simplified Arabic" w:hAnsi="Simplified Arabic" w:cs="Simplified Arabic"/>
          <w:sz w:val="24"/>
          <w:szCs w:val="24"/>
          <w:rtl/>
          <w:lang w:val="en-US" w:bidi="ar-DZ"/>
        </w:rPr>
        <w:t>(</w:t>
      </w:r>
      <w:r w:rsidRPr="001326BC">
        <w:rPr>
          <w:rFonts w:ascii="Simplified Arabic" w:hAnsi="Simplified Arabic" w:cs="Simplified Arabic" w:hint="cs"/>
          <w:sz w:val="24"/>
          <w:szCs w:val="24"/>
          <w:rtl/>
          <w:lang w:val="en-US" w:bidi="ar-DZ"/>
        </w:rPr>
        <w:t>ال</w:t>
      </w:r>
      <w:r w:rsidR="00F43011" w:rsidRPr="001326BC">
        <w:rPr>
          <w:rFonts w:ascii="Simplified Arabic" w:hAnsi="Simplified Arabic" w:cs="Simplified Arabic" w:hint="cs"/>
          <w:sz w:val="24"/>
          <w:szCs w:val="24"/>
          <w:rtl/>
          <w:lang w:val="en-US" w:bidi="ar-DZ"/>
        </w:rPr>
        <w:t>عمق</w:t>
      </w:r>
      <w:r w:rsidRPr="001326BC">
        <w:rPr>
          <w:rFonts w:ascii="Simplified Arabic" w:hAnsi="Simplified Arabic" w:cs="Simplified Arabic" w:hint="cs"/>
          <w:sz w:val="24"/>
          <w:szCs w:val="24"/>
          <w:rtl/>
          <w:lang w:val="en-US" w:bidi="ar-DZ"/>
        </w:rPr>
        <w:t xml:space="preserve"> الوسيط</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 xml:space="preserve"> 853 م</w:t>
      </w:r>
      <w:r w:rsidRPr="001326BC">
        <w:rPr>
          <w:rFonts w:ascii="Simplified Arabic" w:hAnsi="Simplified Arabic" w:cs="Simplified Arabic"/>
          <w:sz w:val="24"/>
          <w:szCs w:val="24"/>
          <w:rtl/>
          <w:lang w:val="en-US" w:bidi="ar-DZ"/>
        </w:rPr>
        <w:t>)</w:t>
      </w:r>
      <w:r w:rsidRPr="001326BC">
        <w:rPr>
          <w:rFonts w:ascii="Simplified Arabic" w:hAnsi="Simplified Arabic" w:cs="Simplified Arabic" w:hint="cs"/>
          <w:sz w:val="24"/>
          <w:szCs w:val="24"/>
          <w:rtl/>
          <w:lang w:val="en-US" w:bidi="ar-DZ"/>
        </w:rPr>
        <w:t>، الجدول (6-</w:t>
      </w:r>
      <w:r w:rsidR="00F377EC" w:rsidRPr="001326BC">
        <w:rPr>
          <w:rFonts w:ascii="Simplified Arabic" w:hAnsi="Simplified Arabic" w:cs="Simplified Arabic" w:hint="cs"/>
          <w:color w:val="000000" w:themeColor="text1"/>
          <w:sz w:val="24"/>
          <w:szCs w:val="24"/>
          <w:rtl/>
          <w:lang w:val="en-US" w:bidi="ar-DZ"/>
        </w:rPr>
        <w:t>9</w:t>
      </w:r>
      <w:r w:rsidRPr="001326BC">
        <w:rPr>
          <w:rFonts w:ascii="Simplified Arabic" w:hAnsi="Simplified Arabic" w:cs="Simplified Arabic" w:hint="cs"/>
          <w:sz w:val="24"/>
          <w:szCs w:val="24"/>
          <w:rtl/>
          <w:lang w:val="en-US" w:bidi="ar-DZ"/>
        </w:rPr>
        <w:t>)</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يشير</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ذلك إلى</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أن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شبكة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الطرق</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الرئيسية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الحضرية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اقرب الى الاحتواء</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ضمن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نطاق</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هذا</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الحي. يمكن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اعتبار أن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القيم</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المسجلة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تتقارب</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مع</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النتائج</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التي</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توصل</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إليها</w:t>
      </w:r>
      <w:r w:rsidRPr="001326BC">
        <w:rPr>
          <w:rFonts w:ascii="Simplified Arabic" w:hAnsi="Simplified Arabic" w:cs="Simplified Arabic"/>
          <w:sz w:val="24"/>
          <w:szCs w:val="24"/>
          <w:rtl/>
          <w:lang w:val="en-US" w:bidi="ar-DZ"/>
        </w:rPr>
        <w:t xml:space="preserve"> </w:t>
      </w:r>
      <w:r w:rsidRPr="001326BC">
        <w:rPr>
          <w:rFonts w:asciiTheme="majorBidi" w:hAnsiTheme="majorBidi" w:cstheme="majorBidi"/>
          <w:color w:val="000000"/>
          <w:sz w:val="24"/>
          <w:szCs w:val="24"/>
        </w:rPr>
        <w:t>(</w:t>
      </w:r>
      <w:r w:rsidRPr="001326BC">
        <w:rPr>
          <w:rFonts w:asciiTheme="majorBidi" w:hAnsiTheme="majorBidi" w:cstheme="majorBidi"/>
          <w:sz w:val="24"/>
          <w:szCs w:val="24"/>
          <w:lang w:val="en-US" w:bidi="ar-DZ"/>
        </w:rPr>
        <w:t>Porta et al, 2014</w:t>
      </w:r>
      <w:r w:rsidRPr="001326BC">
        <w:rPr>
          <w:rFonts w:asciiTheme="majorBidi" w:hAnsiTheme="majorBidi" w:cstheme="majorBidi"/>
          <w:color w:val="000000"/>
          <w:sz w:val="24"/>
          <w:szCs w:val="24"/>
        </w:rPr>
        <w:t>)</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الذي</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يحدد</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متوسط</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المسافة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النموذجية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بين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الطرق</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الرئيسية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الحضرية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في</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التوسعات</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الحضرية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الجديدة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المعاصرة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عند</w:t>
      </w:r>
      <w:r w:rsidRPr="001326BC">
        <w:rPr>
          <w:rFonts w:ascii="Simplified Arabic" w:hAnsi="Simplified Arabic" w:cs="Simplified Arabic"/>
          <w:sz w:val="24"/>
          <w:szCs w:val="24"/>
          <w:rtl/>
          <w:lang w:val="en-US" w:bidi="ar-DZ"/>
        </w:rPr>
        <w:t xml:space="preserve"> 788 </w:t>
      </w:r>
      <w:r w:rsidRPr="001326BC">
        <w:rPr>
          <w:rFonts w:ascii="Simplified Arabic" w:hAnsi="Simplified Arabic" w:cs="Simplified Arabic" w:hint="cs"/>
          <w:sz w:val="24"/>
          <w:szCs w:val="24"/>
          <w:rtl/>
          <w:lang w:val="en-US" w:bidi="ar-DZ"/>
        </w:rPr>
        <w:t>مترًا</w:t>
      </w:r>
      <w:r w:rsidRPr="001326BC">
        <w:rPr>
          <w:rFonts w:ascii="Simplified Arabic" w:hAnsi="Simplified Arabic" w:cs="Simplified Arabic"/>
          <w:sz w:val="24"/>
          <w:szCs w:val="24"/>
          <w:rtl/>
          <w:lang w:val="en-US" w:bidi="ar-DZ"/>
        </w:rPr>
        <w:t>.</w:t>
      </w:r>
      <w:r w:rsidRPr="001326BC">
        <w:rPr>
          <w:rFonts w:ascii="Simplified Arabic" w:hAnsi="Simplified Arabic" w:cs="Simplified Arabic" w:hint="cs"/>
          <w:sz w:val="24"/>
          <w:szCs w:val="24"/>
          <w:rtl/>
          <w:lang w:val="en-US" w:bidi="ar-DZ"/>
        </w:rPr>
        <w:t xml:space="preserve"> مما</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يشير</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في</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هذه</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الحالة إلى</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أن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امكانية الوصول</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 xml:space="preserve">متوسطة الى عمق الحي، سبب ذلك، ان مرحلة توسع الحي لم تأخذ بعين الاعتبار </w:t>
      </w:r>
      <w:r w:rsidR="000575DC" w:rsidRPr="001326BC">
        <w:rPr>
          <w:rFonts w:ascii="Simplified Arabic" w:hAnsi="Simplified Arabic" w:cs="Simplified Arabic" w:hint="cs"/>
          <w:sz w:val="24"/>
          <w:szCs w:val="24"/>
          <w:rtl/>
          <w:lang w:val="en-US" w:bidi="ar-DZ"/>
        </w:rPr>
        <w:t>ربط ال</w:t>
      </w:r>
      <w:r w:rsidRPr="001326BC">
        <w:rPr>
          <w:rFonts w:ascii="Simplified Arabic" w:hAnsi="Simplified Arabic" w:cs="Simplified Arabic" w:hint="cs"/>
          <w:sz w:val="24"/>
          <w:szCs w:val="24"/>
          <w:rtl/>
          <w:lang w:val="en-US" w:bidi="ar-DZ"/>
        </w:rPr>
        <w:t xml:space="preserve">طرق </w:t>
      </w:r>
      <w:r w:rsidR="000575DC" w:rsidRPr="001326BC">
        <w:rPr>
          <w:rFonts w:ascii="Simplified Arabic" w:hAnsi="Simplified Arabic" w:cs="Simplified Arabic" w:hint="cs"/>
          <w:sz w:val="24"/>
          <w:szCs w:val="24"/>
          <w:rtl/>
          <w:lang w:val="en-US" w:bidi="ar-DZ"/>
        </w:rPr>
        <w:t>الرئيسية بطرق ثانوية</w:t>
      </w:r>
      <w:r w:rsidRPr="001326BC">
        <w:rPr>
          <w:rFonts w:ascii="Simplified Arabic" w:hAnsi="Simplified Arabic" w:cs="Simplified Arabic" w:hint="cs"/>
          <w:sz w:val="24"/>
          <w:szCs w:val="24"/>
          <w:rtl/>
          <w:lang w:val="en-US" w:bidi="ar-DZ"/>
        </w:rPr>
        <w:t>. مقارنة</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بفئات</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النسيج</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 xml:space="preserve">الحضري الاخرى، هناك </w:t>
      </w:r>
      <w:r w:rsidR="000575DC" w:rsidRPr="001326BC">
        <w:rPr>
          <w:rFonts w:ascii="Simplified Arabic" w:hAnsi="Simplified Arabic" w:cs="Simplified Arabic" w:hint="cs"/>
          <w:sz w:val="24"/>
          <w:szCs w:val="24"/>
          <w:rtl/>
          <w:lang w:val="en-US" w:bidi="ar-DZ"/>
        </w:rPr>
        <w:t xml:space="preserve">عدد قليل من </w:t>
      </w:r>
      <w:r w:rsidRPr="001326BC">
        <w:rPr>
          <w:rFonts w:ascii="Simplified Arabic" w:hAnsi="Simplified Arabic" w:cs="Simplified Arabic" w:hint="cs"/>
          <w:sz w:val="24"/>
          <w:szCs w:val="24"/>
          <w:rtl/>
          <w:lang w:val="en-US" w:bidi="ar-DZ"/>
        </w:rPr>
        <w:lastRenderedPageBreak/>
        <w:t>التقاطعات</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 xml:space="preserve">بين الطرق الرئيسية والثانوية. في مقابل ذلك، </w:t>
      </w:r>
      <w:r w:rsidR="000575DC" w:rsidRPr="001326BC">
        <w:rPr>
          <w:rFonts w:ascii="Simplified Arabic" w:hAnsi="Simplified Arabic" w:cs="Simplified Arabic" w:hint="cs"/>
          <w:sz w:val="24"/>
          <w:szCs w:val="24"/>
          <w:rtl/>
          <w:lang w:val="en-US" w:bidi="ar-DZ"/>
        </w:rPr>
        <w:t>ي</w:t>
      </w:r>
      <w:r w:rsidRPr="001326BC">
        <w:rPr>
          <w:rFonts w:ascii="Simplified Arabic" w:hAnsi="Simplified Arabic" w:cs="Simplified Arabic" w:hint="cs"/>
          <w:sz w:val="24"/>
          <w:szCs w:val="24"/>
          <w:rtl/>
          <w:lang w:val="en-US" w:bidi="ar-DZ"/>
        </w:rPr>
        <w:t xml:space="preserve">منح </w:t>
      </w:r>
      <w:r w:rsidR="000575DC" w:rsidRPr="001326BC">
        <w:rPr>
          <w:rFonts w:ascii="Simplified Arabic" w:hAnsi="Simplified Arabic" w:cs="Simplified Arabic" w:hint="cs"/>
          <w:sz w:val="24"/>
          <w:szCs w:val="24"/>
          <w:rtl/>
          <w:lang w:val="en-US" w:bidi="ar-DZ"/>
        </w:rPr>
        <w:t>الطريق الثانوي الذ</w:t>
      </w:r>
      <w:r w:rsidRPr="001326BC">
        <w:rPr>
          <w:rFonts w:ascii="Simplified Arabic" w:hAnsi="Simplified Arabic" w:cs="Simplified Arabic" w:hint="cs"/>
          <w:sz w:val="24"/>
          <w:szCs w:val="24"/>
          <w:rtl/>
          <w:lang w:val="en-US" w:bidi="ar-DZ"/>
        </w:rPr>
        <w:t xml:space="preserve">ي </w:t>
      </w:r>
      <w:r w:rsidR="000575DC" w:rsidRPr="001326BC">
        <w:rPr>
          <w:rFonts w:ascii="Simplified Arabic" w:hAnsi="Simplified Arabic" w:cs="Simplified Arabic" w:hint="cs"/>
          <w:sz w:val="24"/>
          <w:szCs w:val="24"/>
          <w:rtl/>
          <w:lang w:val="en-US" w:bidi="ar-DZ"/>
        </w:rPr>
        <w:t>يخترق</w:t>
      </w:r>
      <w:r w:rsidRPr="001326BC">
        <w:rPr>
          <w:rFonts w:ascii="Simplified Arabic" w:hAnsi="Simplified Arabic" w:cs="Simplified Arabic" w:hint="cs"/>
          <w:sz w:val="24"/>
          <w:szCs w:val="24"/>
          <w:rtl/>
          <w:lang w:val="en-US" w:bidi="ar-DZ"/>
        </w:rPr>
        <w:t xml:space="preserve"> الحي</w:t>
      </w:r>
      <w:r w:rsidR="000575DC" w:rsidRPr="001326BC">
        <w:rPr>
          <w:rFonts w:ascii="Simplified Arabic" w:hAnsi="Simplified Arabic" w:cs="Simplified Arabic" w:hint="cs"/>
          <w:sz w:val="24"/>
          <w:szCs w:val="24"/>
          <w:rtl/>
          <w:lang w:val="en-US" w:bidi="ar-DZ"/>
        </w:rPr>
        <w:t>،</w:t>
      </w:r>
      <w:r w:rsidRPr="001326BC">
        <w:rPr>
          <w:rFonts w:ascii="Simplified Arabic" w:hAnsi="Simplified Arabic" w:cs="Simplified Arabic" w:hint="cs"/>
          <w:sz w:val="24"/>
          <w:szCs w:val="24"/>
          <w:rtl/>
          <w:lang w:val="en-US" w:bidi="ar-DZ"/>
        </w:rPr>
        <w:t xml:space="preserve"> امكانية وصول الى عمق الحي، كما هو موضح في الخريطة (6-</w:t>
      </w:r>
      <w:r w:rsidR="005373F7" w:rsidRPr="001326BC">
        <w:rPr>
          <w:rFonts w:ascii="Simplified Arabic" w:hAnsi="Simplified Arabic" w:cs="Simplified Arabic" w:hint="cs"/>
          <w:sz w:val="24"/>
          <w:szCs w:val="24"/>
          <w:rtl/>
          <w:lang w:val="en-US" w:bidi="ar-DZ"/>
        </w:rPr>
        <w:t>17</w:t>
      </w:r>
      <w:r w:rsidRPr="001326BC">
        <w:rPr>
          <w:rFonts w:ascii="Simplified Arabic" w:hAnsi="Simplified Arabic" w:cs="Simplified Arabic" w:hint="cs"/>
          <w:sz w:val="24"/>
          <w:szCs w:val="24"/>
          <w:rtl/>
          <w:lang w:val="en-US" w:bidi="ar-DZ"/>
        </w:rPr>
        <w:t>).</w:t>
      </w:r>
    </w:p>
    <w:p w:rsidR="002A686B" w:rsidRDefault="002A686B" w:rsidP="00986BEA">
      <w:pPr>
        <w:pStyle w:val="carte"/>
        <w:spacing w:after="0"/>
        <w:rPr>
          <w:rtl/>
          <w:lang w:bidi="ar-DZ"/>
        </w:rPr>
      </w:pPr>
      <w:bookmarkStart w:id="955" w:name="_Toc157616625"/>
      <w:bookmarkStart w:id="956" w:name="_Toc171803881"/>
      <w:r w:rsidRPr="005373F7">
        <w:rPr>
          <w:rFonts w:hint="cs"/>
          <w:rtl/>
        </w:rPr>
        <w:t>الخريطة (6-</w:t>
      </w:r>
      <w:r w:rsidR="005373F7" w:rsidRPr="005373F7">
        <w:rPr>
          <w:rFonts w:hint="cs"/>
          <w:rtl/>
        </w:rPr>
        <w:t>17</w:t>
      </w:r>
      <w:r w:rsidRPr="005373F7">
        <w:rPr>
          <w:rFonts w:hint="cs"/>
          <w:rtl/>
        </w:rPr>
        <w:t>):</w:t>
      </w:r>
      <w:r w:rsidRPr="005373F7">
        <w:rPr>
          <w:rtl/>
          <w:lang w:val="en-US" w:bidi="ar-DZ"/>
        </w:rPr>
        <w:t xml:space="preserve"> </w:t>
      </w:r>
      <w:r w:rsidR="00886596" w:rsidRPr="005373F7">
        <w:rPr>
          <w:rFonts w:hint="cs"/>
          <w:rtl/>
          <w:lang w:val="en-US" w:bidi="ar-DZ"/>
        </w:rPr>
        <w:t>كثافة و</w:t>
      </w:r>
      <w:r w:rsidR="00F43011" w:rsidRPr="005373F7">
        <w:rPr>
          <w:rFonts w:hint="cs"/>
          <w:rtl/>
          <w:lang w:val="en-US" w:bidi="ar-DZ"/>
        </w:rPr>
        <w:t>عمق</w:t>
      </w:r>
      <w:r w:rsidRPr="005373F7">
        <w:rPr>
          <w:rtl/>
          <w:lang w:val="en-US" w:bidi="ar-DZ"/>
        </w:rPr>
        <w:t xml:space="preserve"> </w:t>
      </w:r>
      <w:r w:rsidRPr="005373F7">
        <w:rPr>
          <w:rFonts w:hint="cs"/>
          <w:rtl/>
          <w:lang w:val="en-US" w:bidi="ar-DZ"/>
        </w:rPr>
        <w:t>الطرق</w:t>
      </w:r>
      <w:r w:rsidRPr="005373F7">
        <w:rPr>
          <w:rtl/>
          <w:lang w:val="en-US" w:bidi="ar-DZ"/>
        </w:rPr>
        <w:t xml:space="preserve"> </w:t>
      </w:r>
      <w:r w:rsidRPr="005373F7">
        <w:rPr>
          <w:rFonts w:hint="cs"/>
          <w:rtl/>
          <w:lang w:val="en-US" w:bidi="ar-DZ"/>
        </w:rPr>
        <w:t>الرئيسية</w:t>
      </w:r>
      <w:r w:rsidRPr="005373F7">
        <w:rPr>
          <w:rtl/>
          <w:lang w:val="en-US" w:bidi="ar-DZ"/>
        </w:rPr>
        <w:t xml:space="preserve"> </w:t>
      </w:r>
      <w:r w:rsidRPr="005373F7">
        <w:rPr>
          <w:rFonts w:hint="cs"/>
          <w:rtl/>
          <w:lang w:val="en-US" w:bidi="ar-DZ"/>
        </w:rPr>
        <w:t>والثانوية الحضرية</w:t>
      </w:r>
      <w:r w:rsidRPr="005373F7">
        <w:rPr>
          <w:rtl/>
          <w:lang w:val="en-US" w:bidi="ar-DZ"/>
        </w:rPr>
        <w:t xml:space="preserve"> </w:t>
      </w:r>
      <w:r w:rsidR="00886596" w:rsidRPr="005373F7">
        <w:rPr>
          <w:rFonts w:hint="cs"/>
          <w:rtl/>
          <w:lang w:bidi="ar-DZ"/>
        </w:rPr>
        <w:t>عبر حي الحمايد</w:t>
      </w:r>
      <w:bookmarkEnd w:id="955"/>
      <w:bookmarkEnd w:id="956"/>
    </w:p>
    <w:p w:rsidR="00986BEA" w:rsidRPr="00986BEA" w:rsidRDefault="00986BEA" w:rsidP="00986BEA">
      <w:pPr>
        <w:pStyle w:val="fegure"/>
        <w:rPr>
          <w:sz w:val="8"/>
          <w:szCs w:val="24"/>
          <w:rtl/>
          <w:lang w:val="en-US"/>
        </w:rPr>
      </w:pPr>
      <w:bookmarkStart w:id="957" w:name="_Toc171803882"/>
      <w:r>
        <w:rPr>
          <w:rFonts w:hint="cs"/>
          <w:sz w:val="8"/>
          <w:szCs w:val="24"/>
          <w:rtl/>
          <w:lang w:val="en-US" w:bidi="ar-DZ"/>
        </w:rPr>
        <w:t xml:space="preserve">المصدر: </w:t>
      </w:r>
      <w:r>
        <w:rPr>
          <w:rFonts w:hint="cs"/>
          <w:sz w:val="8"/>
          <w:szCs w:val="24"/>
          <w:rtl/>
          <w:lang w:val="en-US"/>
        </w:rPr>
        <w:t>(الباحث، 2022)</w:t>
      </w:r>
      <w:bookmarkEnd w:id="957"/>
    </w:p>
    <w:p w:rsidR="005378C0" w:rsidRDefault="005378C0" w:rsidP="00B57FAC">
      <w:pPr>
        <w:bidi/>
        <w:spacing w:after="0" w:line="240" w:lineRule="auto"/>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60043E85" wp14:editId="1DDF543A">
            <wp:extent cx="4607886" cy="5650302"/>
            <wp:effectExtent l="0" t="0" r="2540" b="7620"/>
            <wp:docPr id="275" name="Imag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30" cstate="print">
                      <a:extLst>
                        <a:ext uri="{28A0092B-C50C-407E-A947-70E740481C1C}">
                          <a14:useLocalDpi xmlns:a14="http://schemas.microsoft.com/office/drawing/2010/main" val="0"/>
                        </a:ext>
                      </a:extLst>
                    </a:blip>
                    <a:srcRect t="8033"/>
                    <a:stretch/>
                  </pic:blipFill>
                  <pic:spPr bwMode="auto">
                    <a:xfrm>
                      <a:off x="0" y="0"/>
                      <a:ext cx="4634244" cy="5682622"/>
                    </a:xfrm>
                    <a:prstGeom prst="rect">
                      <a:avLst/>
                    </a:prstGeom>
                    <a:noFill/>
                    <a:ln>
                      <a:noFill/>
                    </a:ln>
                    <a:extLst>
                      <a:ext uri="{53640926-AAD7-44D8-BBD7-CCE9431645EC}">
                        <a14:shadowObscured xmlns:a14="http://schemas.microsoft.com/office/drawing/2010/main"/>
                      </a:ext>
                    </a:extLst>
                  </pic:spPr>
                </pic:pic>
              </a:graphicData>
            </a:graphic>
          </wp:inline>
        </w:drawing>
      </w:r>
    </w:p>
    <w:p w:rsidR="000575DC" w:rsidRDefault="000575DC" w:rsidP="001326BC">
      <w:pPr>
        <w:bidi/>
        <w:spacing w:before="240"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من خلال ال</w:t>
      </w:r>
      <w:r w:rsidRPr="00FF7625">
        <w:rPr>
          <w:rFonts w:ascii="Simplified Arabic" w:hAnsi="Simplified Arabic" w:cs="Simplified Arabic" w:hint="cs"/>
          <w:sz w:val="24"/>
          <w:szCs w:val="24"/>
          <w:rtl/>
          <w:lang w:val="en-US" w:bidi="ar-DZ"/>
        </w:rPr>
        <w:t>مقارنة</w:t>
      </w:r>
      <w:r w:rsidRPr="00FF7625">
        <w:rPr>
          <w:rFonts w:ascii="Simplified Arabic" w:hAnsi="Simplified Arabic" w:cs="Simplified Arabic"/>
          <w:sz w:val="24"/>
          <w:szCs w:val="24"/>
          <w:rtl/>
          <w:lang w:val="en-US" w:bidi="ar-DZ"/>
        </w:rPr>
        <w:t xml:space="preserve"> </w:t>
      </w:r>
      <w:r w:rsidRPr="00FF7625">
        <w:rPr>
          <w:rFonts w:ascii="Simplified Arabic" w:hAnsi="Simplified Arabic" w:cs="Simplified Arabic" w:hint="cs"/>
          <w:sz w:val="24"/>
          <w:szCs w:val="24"/>
          <w:rtl/>
          <w:lang w:val="en-US" w:bidi="ar-DZ"/>
        </w:rPr>
        <w:t>بين</w:t>
      </w:r>
      <w:r w:rsidRPr="00FF7625">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احياء </w:t>
      </w:r>
      <w:r w:rsidRPr="009501BE">
        <w:rPr>
          <w:rFonts w:ascii="Simplified Arabic" w:hAnsi="Simplified Arabic" w:cs="Simplified Arabic" w:hint="cs"/>
          <w:sz w:val="24"/>
          <w:szCs w:val="24"/>
          <w:rtl/>
          <w:lang w:val="en-US" w:bidi="ar-DZ"/>
        </w:rPr>
        <w:t>فئات الانسجة الحضرية الاربعة</w:t>
      </w:r>
      <w:r>
        <w:rPr>
          <w:rFonts w:ascii="Simplified Arabic" w:hAnsi="Simplified Arabic" w:cs="Simplified Arabic" w:hint="cs"/>
          <w:sz w:val="24"/>
          <w:szCs w:val="24"/>
          <w:rtl/>
          <w:lang w:val="en-US" w:bidi="ar-DZ"/>
        </w:rPr>
        <w:t>،</w:t>
      </w:r>
      <w:r w:rsidR="001326BC" w:rsidRPr="001326BC">
        <w:rPr>
          <w:rFonts w:ascii="Simplified Arabic" w:hAnsi="Simplified Arabic" w:cs="Simplified Arabic" w:hint="cs"/>
          <w:sz w:val="24"/>
          <w:szCs w:val="24"/>
          <w:rtl/>
          <w:lang w:val="en-US" w:bidi="ar-DZ"/>
        </w:rPr>
        <w:t xml:space="preserve"> الجدول (6-</w:t>
      </w:r>
      <w:r w:rsidR="001326BC" w:rsidRPr="001326BC">
        <w:rPr>
          <w:rFonts w:ascii="Simplified Arabic" w:hAnsi="Simplified Arabic" w:cs="Simplified Arabic" w:hint="cs"/>
          <w:color w:val="000000" w:themeColor="text1"/>
          <w:sz w:val="24"/>
          <w:szCs w:val="24"/>
          <w:rtl/>
          <w:lang w:val="en-US" w:bidi="ar-DZ"/>
        </w:rPr>
        <w:t>9</w:t>
      </w:r>
      <w:r w:rsidR="001326BC" w:rsidRPr="001326BC">
        <w:rPr>
          <w:rFonts w:ascii="Simplified Arabic" w:hAnsi="Simplified Arabic" w:cs="Simplified Arabic" w:hint="cs"/>
          <w:sz w:val="24"/>
          <w:szCs w:val="24"/>
          <w:rtl/>
          <w:lang w:val="en-US" w:bidi="ar-DZ"/>
        </w:rPr>
        <w:t>)</w:t>
      </w:r>
      <w:r w:rsidR="001326BC">
        <w:rPr>
          <w:rFonts w:ascii="Simplified Arabic" w:hAnsi="Simplified Arabic" w:cs="Simplified Arabic" w:hint="cs"/>
          <w:sz w:val="24"/>
          <w:szCs w:val="24"/>
          <w:rtl/>
          <w:lang w:val="en-US" w:bidi="ar-DZ"/>
        </w:rPr>
        <w:t>،</w:t>
      </w:r>
      <w:r w:rsidRPr="00FF7625">
        <w:rPr>
          <w:rFonts w:ascii="Simplified Arabic" w:hAnsi="Simplified Arabic" w:cs="Simplified Arabic"/>
          <w:sz w:val="24"/>
          <w:szCs w:val="24"/>
          <w:rtl/>
          <w:lang w:val="en-US" w:bidi="ar-DZ"/>
        </w:rPr>
        <w:t xml:space="preserve"> </w:t>
      </w:r>
      <w:r w:rsidR="001326BC">
        <w:rPr>
          <w:rFonts w:ascii="Simplified Arabic" w:hAnsi="Simplified Arabic" w:cs="Simplified Arabic" w:hint="cs"/>
          <w:sz w:val="24"/>
          <w:szCs w:val="24"/>
          <w:rtl/>
          <w:lang w:val="en-US" w:bidi="ar-DZ"/>
        </w:rPr>
        <w:t>اتضح</w:t>
      </w:r>
      <w:r w:rsidR="0090405A">
        <w:rPr>
          <w:rFonts w:ascii="Simplified Arabic" w:hAnsi="Simplified Arabic" w:cs="Simplified Arabic" w:hint="cs"/>
          <w:sz w:val="24"/>
          <w:szCs w:val="24"/>
          <w:rtl/>
          <w:lang w:val="en-US" w:bidi="ar-DZ"/>
        </w:rPr>
        <w:t xml:space="preserve"> ان هناك تباين حرج في</w:t>
      </w:r>
      <w:r>
        <w:rPr>
          <w:rFonts w:ascii="Simplified Arabic" w:hAnsi="Simplified Arabic" w:cs="Simplified Arabic" w:hint="cs"/>
          <w:sz w:val="24"/>
          <w:szCs w:val="24"/>
          <w:rtl/>
          <w:lang w:val="en-US" w:bidi="ar-DZ"/>
        </w:rPr>
        <w:t xml:space="preserve"> قيم متوسط عمق الطرق الرئيسية </w:t>
      </w:r>
      <w:r w:rsidR="0090405A">
        <w:rPr>
          <w:rFonts w:ascii="Simplified Arabic" w:hAnsi="Simplified Arabic" w:cs="Simplified Arabic" w:hint="cs"/>
          <w:sz w:val="24"/>
          <w:szCs w:val="24"/>
          <w:rtl/>
          <w:lang w:val="en-US" w:bidi="ar-DZ"/>
        </w:rPr>
        <w:t xml:space="preserve">والثانوية </w:t>
      </w:r>
      <w:r>
        <w:rPr>
          <w:rFonts w:ascii="Simplified Arabic" w:hAnsi="Simplified Arabic" w:cs="Simplified Arabic" w:hint="cs"/>
          <w:sz w:val="24"/>
          <w:szCs w:val="24"/>
          <w:rtl/>
          <w:lang w:val="en-US" w:bidi="ar-DZ"/>
        </w:rPr>
        <w:t>بين الفئة</w:t>
      </w:r>
      <w:r w:rsidR="0090405A">
        <w:rPr>
          <w:rFonts w:ascii="Simplified Arabic" w:hAnsi="Simplified Arabic" w:cs="Simplified Arabic" w:hint="cs"/>
          <w:sz w:val="24"/>
          <w:szCs w:val="24"/>
          <w:rtl/>
          <w:lang w:val="en-US" w:bidi="ar-DZ"/>
        </w:rPr>
        <w:t xml:space="preserve"> (أ، ب)</w:t>
      </w:r>
      <w:r>
        <w:rPr>
          <w:rFonts w:ascii="Simplified Arabic" w:hAnsi="Simplified Arabic" w:cs="Simplified Arabic" w:hint="cs"/>
          <w:sz w:val="24"/>
          <w:szCs w:val="24"/>
          <w:rtl/>
          <w:lang w:val="en-US" w:bidi="ar-DZ"/>
        </w:rPr>
        <w:t xml:space="preserve"> </w:t>
      </w:r>
      <w:r w:rsidRPr="009501BE">
        <w:rPr>
          <w:rFonts w:ascii="Simplified Arabic" w:hAnsi="Simplified Arabic" w:cs="Simplified Arabic" w:hint="cs"/>
          <w:sz w:val="24"/>
          <w:szCs w:val="24"/>
          <w:rtl/>
          <w:lang w:val="en-US" w:bidi="ar-DZ"/>
        </w:rPr>
        <w:t>و</w:t>
      </w:r>
      <w:r>
        <w:rPr>
          <w:rFonts w:ascii="Simplified Arabic" w:hAnsi="Simplified Arabic" w:cs="Simplified Arabic" w:hint="cs"/>
          <w:sz w:val="24"/>
          <w:szCs w:val="24"/>
          <w:rtl/>
          <w:lang w:val="en-US" w:bidi="ar-DZ"/>
        </w:rPr>
        <w:t>الفئة</w:t>
      </w:r>
      <w:r w:rsidR="0090405A">
        <w:rPr>
          <w:rFonts w:ascii="Simplified Arabic" w:hAnsi="Simplified Arabic" w:cs="Simplified Arabic" w:hint="cs"/>
          <w:sz w:val="24"/>
          <w:szCs w:val="24"/>
          <w:rtl/>
          <w:lang w:val="en-US" w:bidi="ar-DZ"/>
        </w:rPr>
        <w:t xml:space="preserve"> (جـ، د)</w:t>
      </w:r>
      <w:r>
        <w:rPr>
          <w:rFonts w:ascii="Simplified Arabic" w:hAnsi="Simplified Arabic" w:cs="Simplified Arabic" w:hint="cs"/>
          <w:sz w:val="24"/>
          <w:szCs w:val="24"/>
          <w:rtl/>
          <w:lang w:val="en-US" w:bidi="ar-DZ"/>
        </w:rPr>
        <w:t>.</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مما</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يشير</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إلى</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أن</w:t>
      </w:r>
      <w:r w:rsidRPr="009501B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الفئة (</w:t>
      </w:r>
      <w:r w:rsidR="0090405A">
        <w:rPr>
          <w:rFonts w:ascii="Simplified Arabic" w:hAnsi="Simplified Arabic" w:cs="Simplified Arabic" w:hint="cs"/>
          <w:sz w:val="24"/>
          <w:szCs w:val="24"/>
          <w:rtl/>
          <w:lang w:val="en-US" w:bidi="ar-DZ"/>
        </w:rPr>
        <w:t>ج، د</w:t>
      </w:r>
      <w:r>
        <w:rPr>
          <w:rFonts w:ascii="Simplified Arabic" w:hAnsi="Simplified Arabic" w:cs="Simplified Arabic" w:hint="cs"/>
          <w:sz w:val="24"/>
          <w:szCs w:val="24"/>
          <w:rtl/>
          <w:lang w:val="en-US" w:bidi="ar-DZ"/>
        </w:rPr>
        <w:t xml:space="preserve">) </w:t>
      </w:r>
      <w:r w:rsidRPr="009501BE">
        <w:rPr>
          <w:rFonts w:ascii="Simplified Arabic" w:hAnsi="Simplified Arabic" w:cs="Simplified Arabic" w:hint="cs"/>
          <w:sz w:val="24"/>
          <w:szCs w:val="24"/>
          <w:rtl/>
          <w:lang w:val="en-US" w:bidi="ar-DZ"/>
        </w:rPr>
        <w:t>فقد</w:t>
      </w:r>
      <w:r>
        <w:rPr>
          <w:rFonts w:ascii="Simplified Arabic" w:hAnsi="Simplified Arabic" w:cs="Simplified Arabic" w:hint="cs"/>
          <w:sz w:val="24"/>
          <w:szCs w:val="24"/>
          <w:rtl/>
          <w:lang w:val="en-US" w:bidi="ar-DZ"/>
        </w:rPr>
        <w:t>ت</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قدرته</w:t>
      </w:r>
      <w:r>
        <w:rPr>
          <w:rFonts w:ascii="Simplified Arabic" w:hAnsi="Simplified Arabic" w:cs="Simplified Arabic" w:hint="cs"/>
          <w:sz w:val="24"/>
          <w:szCs w:val="24"/>
          <w:rtl/>
          <w:lang w:val="en-US" w:bidi="ar-DZ"/>
        </w:rPr>
        <w:t>ا</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على</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توفير</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وصول</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سهل</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لعدد</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من</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الوجهات</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المختلفة</w:t>
      </w:r>
      <w:r w:rsidR="0090405A">
        <w:rPr>
          <w:rFonts w:ascii="Simplified Arabic" w:hAnsi="Simplified Arabic" w:cs="Simplified Arabic" w:hint="cs"/>
          <w:sz w:val="24"/>
          <w:szCs w:val="24"/>
          <w:rtl/>
          <w:lang w:val="en-US" w:bidi="ar-DZ"/>
        </w:rPr>
        <w:t xml:space="preserve"> وبدرجة اقل على مستوى الفئة (د)</w:t>
      </w:r>
      <w:r w:rsidR="002F2579">
        <w:rPr>
          <w:rFonts w:ascii="Simplified Arabic" w:hAnsi="Simplified Arabic" w:cs="Simplified Arabic" w:hint="cs"/>
          <w:sz w:val="24"/>
          <w:szCs w:val="24"/>
          <w:rtl/>
          <w:lang w:val="en-US" w:bidi="ar-DZ"/>
        </w:rPr>
        <w:t xml:space="preserve"> بسبب القيم المرتفعة لمتوسط </w:t>
      </w:r>
      <w:r w:rsidR="00F43011">
        <w:rPr>
          <w:rFonts w:ascii="Simplified Arabic" w:hAnsi="Simplified Arabic" w:cs="Simplified Arabic" w:hint="cs"/>
          <w:sz w:val="24"/>
          <w:szCs w:val="24"/>
          <w:rtl/>
          <w:lang w:val="en-US" w:bidi="ar-DZ"/>
        </w:rPr>
        <w:t>عمق</w:t>
      </w:r>
      <w:r w:rsidR="00F43011" w:rsidRPr="00B60609">
        <w:rPr>
          <w:rFonts w:ascii="Simplified Arabic" w:hAnsi="Simplified Arabic" w:cs="Simplified Arabic"/>
          <w:sz w:val="24"/>
          <w:szCs w:val="24"/>
          <w:rtl/>
          <w:lang w:val="en-US" w:bidi="ar-DZ"/>
        </w:rPr>
        <w:t xml:space="preserve"> </w:t>
      </w:r>
      <w:r w:rsidR="002F2579">
        <w:rPr>
          <w:rFonts w:ascii="Simplified Arabic" w:hAnsi="Simplified Arabic" w:cs="Simplified Arabic" w:hint="cs"/>
          <w:sz w:val="24"/>
          <w:szCs w:val="24"/>
          <w:rtl/>
          <w:lang w:val="en-US" w:bidi="ar-DZ"/>
        </w:rPr>
        <w:t>الطرق الرئيسية</w:t>
      </w:r>
      <w:r w:rsidRPr="009501BE">
        <w:rPr>
          <w:rFonts w:ascii="Simplified Arabic" w:hAnsi="Simplified Arabic" w:cs="Simplified Arabic"/>
          <w:sz w:val="24"/>
          <w:szCs w:val="24"/>
          <w:rtl/>
          <w:lang w:val="en-US" w:bidi="ar-DZ"/>
        </w:rPr>
        <w:t xml:space="preserve">. </w:t>
      </w:r>
      <w:r w:rsidR="002F2579">
        <w:rPr>
          <w:rFonts w:ascii="Simplified Arabic" w:hAnsi="Simplified Arabic" w:cs="Simplified Arabic" w:hint="cs"/>
          <w:sz w:val="24"/>
          <w:szCs w:val="24"/>
          <w:rtl/>
          <w:lang w:val="en-US" w:bidi="ar-DZ"/>
        </w:rPr>
        <w:t xml:space="preserve">في مقابل ذلك، </w:t>
      </w:r>
      <w:r w:rsidR="002F2579" w:rsidRPr="008761F8">
        <w:rPr>
          <w:rFonts w:ascii="Simplified Arabic" w:hAnsi="Simplified Arabic" w:cs="Simplified Arabic" w:hint="cs"/>
          <w:sz w:val="24"/>
          <w:szCs w:val="24"/>
          <w:rtl/>
          <w:lang w:val="en-US" w:bidi="ar-DZ"/>
        </w:rPr>
        <w:t>تنخفض</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المسافة</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بين</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تقاطعات</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الشوارع</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الرئيسية</w:t>
      </w:r>
      <w:r w:rsidR="002F2579" w:rsidRPr="008761F8">
        <w:rPr>
          <w:rFonts w:ascii="Simplified Arabic" w:hAnsi="Simplified Arabic" w:cs="Simplified Arabic"/>
          <w:sz w:val="24"/>
          <w:szCs w:val="24"/>
          <w:rtl/>
          <w:lang w:val="en-US" w:bidi="ar-DZ"/>
        </w:rPr>
        <w:t xml:space="preserve"> </w:t>
      </w:r>
      <w:r w:rsidR="002F2579">
        <w:rPr>
          <w:rFonts w:ascii="Simplified Arabic" w:hAnsi="Simplified Arabic" w:cs="Simplified Arabic" w:hint="cs"/>
          <w:sz w:val="24"/>
          <w:szCs w:val="24"/>
          <w:rtl/>
          <w:lang w:val="en-US" w:bidi="ar-DZ"/>
        </w:rPr>
        <w:t>والثانوية في الفئة (ب)</w:t>
      </w:r>
      <w:r w:rsidR="002F2579" w:rsidRPr="008761F8">
        <w:rPr>
          <w:rFonts w:ascii="Simplified Arabic" w:hAnsi="Simplified Arabic" w:cs="Simplified Arabic" w:hint="cs"/>
          <w:sz w:val="24"/>
          <w:szCs w:val="24"/>
          <w:rtl/>
          <w:lang w:val="en-US" w:bidi="ar-DZ"/>
        </w:rPr>
        <w:t>،</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مما</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يشير</w:t>
      </w:r>
      <w:r w:rsidR="002F2579" w:rsidRPr="008761F8">
        <w:rPr>
          <w:rFonts w:ascii="Simplified Arabic" w:hAnsi="Simplified Arabic" w:cs="Simplified Arabic"/>
          <w:sz w:val="24"/>
          <w:szCs w:val="24"/>
          <w:rtl/>
          <w:lang w:val="en-US" w:bidi="ar-DZ"/>
        </w:rPr>
        <w:t xml:space="preserve"> </w:t>
      </w:r>
      <w:r w:rsidR="002F2579" w:rsidRPr="008761F8">
        <w:rPr>
          <w:rFonts w:ascii="Simplified Arabic" w:hAnsi="Simplified Arabic" w:cs="Simplified Arabic" w:hint="cs"/>
          <w:sz w:val="24"/>
          <w:szCs w:val="24"/>
          <w:rtl/>
          <w:lang w:val="en-US" w:bidi="ar-DZ"/>
        </w:rPr>
        <w:t>إلى</w:t>
      </w:r>
      <w:r w:rsidR="002F2579" w:rsidRPr="008761F8">
        <w:rPr>
          <w:rFonts w:ascii="Simplified Arabic" w:hAnsi="Simplified Arabic" w:cs="Simplified Arabic"/>
          <w:sz w:val="24"/>
          <w:szCs w:val="24"/>
          <w:rtl/>
          <w:lang w:val="en-US" w:bidi="ar-DZ"/>
        </w:rPr>
        <w:t xml:space="preserve"> </w:t>
      </w:r>
      <w:r w:rsidR="002F2579" w:rsidRPr="009501BE">
        <w:rPr>
          <w:rFonts w:ascii="Simplified Arabic" w:hAnsi="Simplified Arabic" w:cs="Simplified Arabic" w:hint="cs"/>
          <w:sz w:val="24"/>
          <w:szCs w:val="24"/>
          <w:rtl/>
          <w:lang w:val="en-US" w:bidi="ar-DZ"/>
        </w:rPr>
        <w:t>توفير</w:t>
      </w:r>
      <w:r w:rsidR="002F2579" w:rsidRPr="009501BE">
        <w:rPr>
          <w:rFonts w:ascii="Simplified Arabic" w:hAnsi="Simplified Arabic" w:cs="Simplified Arabic"/>
          <w:sz w:val="24"/>
          <w:szCs w:val="24"/>
          <w:rtl/>
          <w:lang w:val="en-US" w:bidi="ar-DZ"/>
        </w:rPr>
        <w:t xml:space="preserve"> </w:t>
      </w:r>
      <w:r w:rsidR="002F2579" w:rsidRPr="009501BE">
        <w:rPr>
          <w:rFonts w:ascii="Simplified Arabic" w:hAnsi="Simplified Arabic" w:cs="Simplified Arabic" w:hint="cs"/>
          <w:sz w:val="24"/>
          <w:szCs w:val="24"/>
          <w:rtl/>
          <w:lang w:val="en-US" w:bidi="ar-DZ"/>
        </w:rPr>
        <w:t>وصول</w:t>
      </w:r>
      <w:r w:rsidR="002F2579" w:rsidRPr="009501BE">
        <w:rPr>
          <w:rFonts w:ascii="Simplified Arabic" w:hAnsi="Simplified Arabic" w:cs="Simplified Arabic"/>
          <w:sz w:val="24"/>
          <w:szCs w:val="24"/>
          <w:rtl/>
          <w:lang w:val="en-US" w:bidi="ar-DZ"/>
        </w:rPr>
        <w:t xml:space="preserve"> </w:t>
      </w:r>
      <w:r w:rsidR="002F2579" w:rsidRPr="009501BE">
        <w:rPr>
          <w:rFonts w:ascii="Simplified Arabic" w:hAnsi="Simplified Arabic" w:cs="Simplified Arabic" w:hint="cs"/>
          <w:sz w:val="24"/>
          <w:szCs w:val="24"/>
          <w:rtl/>
          <w:lang w:val="en-US" w:bidi="ar-DZ"/>
        </w:rPr>
        <w:t>سهل</w:t>
      </w:r>
      <w:r w:rsidR="002F2579" w:rsidRPr="009501BE">
        <w:rPr>
          <w:rFonts w:ascii="Simplified Arabic" w:hAnsi="Simplified Arabic" w:cs="Simplified Arabic"/>
          <w:sz w:val="24"/>
          <w:szCs w:val="24"/>
          <w:rtl/>
          <w:lang w:val="en-US" w:bidi="ar-DZ"/>
        </w:rPr>
        <w:t xml:space="preserve"> </w:t>
      </w:r>
      <w:r w:rsidR="002F2579" w:rsidRPr="009501BE">
        <w:rPr>
          <w:rFonts w:ascii="Simplified Arabic" w:hAnsi="Simplified Arabic" w:cs="Simplified Arabic" w:hint="cs"/>
          <w:sz w:val="24"/>
          <w:szCs w:val="24"/>
          <w:rtl/>
          <w:lang w:val="en-US" w:bidi="ar-DZ"/>
        </w:rPr>
        <w:t>لعدد</w:t>
      </w:r>
      <w:r w:rsidR="002F2579" w:rsidRPr="009501BE">
        <w:rPr>
          <w:rFonts w:ascii="Simplified Arabic" w:hAnsi="Simplified Arabic" w:cs="Simplified Arabic"/>
          <w:sz w:val="24"/>
          <w:szCs w:val="24"/>
          <w:rtl/>
          <w:lang w:val="en-US" w:bidi="ar-DZ"/>
        </w:rPr>
        <w:t xml:space="preserve"> </w:t>
      </w:r>
      <w:r w:rsidR="002F2579" w:rsidRPr="009501BE">
        <w:rPr>
          <w:rFonts w:ascii="Simplified Arabic" w:hAnsi="Simplified Arabic" w:cs="Simplified Arabic" w:hint="cs"/>
          <w:sz w:val="24"/>
          <w:szCs w:val="24"/>
          <w:rtl/>
          <w:lang w:val="en-US" w:bidi="ar-DZ"/>
        </w:rPr>
        <w:t>من</w:t>
      </w:r>
      <w:r w:rsidR="002F2579" w:rsidRPr="009501BE">
        <w:rPr>
          <w:rFonts w:ascii="Simplified Arabic" w:hAnsi="Simplified Arabic" w:cs="Simplified Arabic"/>
          <w:sz w:val="24"/>
          <w:szCs w:val="24"/>
          <w:rtl/>
          <w:lang w:val="en-US" w:bidi="ar-DZ"/>
        </w:rPr>
        <w:t xml:space="preserve"> </w:t>
      </w:r>
      <w:r w:rsidR="002F2579" w:rsidRPr="009501BE">
        <w:rPr>
          <w:rFonts w:ascii="Simplified Arabic" w:hAnsi="Simplified Arabic" w:cs="Simplified Arabic" w:hint="cs"/>
          <w:sz w:val="24"/>
          <w:szCs w:val="24"/>
          <w:rtl/>
          <w:lang w:val="en-US" w:bidi="ar-DZ"/>
        </w:rPr>
        <w:t>الوجهات</w:t>
      </w:r>
      <w:r w:rsidR="002F2579" w:rsidRPr="009501BE">
        <w:rPr>
          <w:rFonts w:ascii="Simplified Arabic" w:hAnsi="Simplified Arabic" w:cs="Simplified Arabic"/>
          <w:sz w:val="24"/>
          <w:szCs w:val="24"/>
          <w:rtl/>
          <w:lang w:val="en-US" w:bidi="ar-DZ"/>
        </w:rPr>
        <w:t xml:space="preserve"> </w:t>
      </w:r>
      <w:r w:rsidR="002F2579" w:rsidRPr="009501BE">
        <w:rPr>
          <w:rFonts w:ascii="Simplified Arabic" w:hAnsi="Simplified Arabic" w:cs="Simplified Arabic" w:hint="cs"/>
          <w:sz w:val="24"/>
          <w:szCs w:val="24"/>
          <w:rtl/>
          <w:lang w:val="en-US" w:bidi="ar-DZ"/>
        </w:rPr>
        <w:t>المختلفة</w:t>
      </w:r>
      <w:r w:rsidR="002F2579">
        <w:rPr>
          <w:rFonts w:ascii="Simplified Arabic" w:hAnsi="Simplified Arabic" w:cs="Simplified Arabic" w:hint="cs"/>
          <w:sz w:val="24"/>
          <w:szCs w:val="24"/>
          <w:rtl/>
          <w:lang w:val="en-US" w:bidi="ar-DZ"/>
        </w:rPr>
        <w:t>.</w:t>
      </w:r>
    </w:p>
    <w:p w:rsidR="00730663" w:rsidRDefault="00730663" w:rsidP="00730663">
      <w:pPr>
        <w:pStyle w:val="Tableau"/>
        <w:rPr>
          <w:rtl/>
          <w:lang w:bidi="ar-DZ"/>
        </w:rPr>
      </w:pPr>
      <w:bookmarkStart w:id="958" w:name="_Toc157613019"/>
      <w:bookmarkStart w:id="959" w:name="_Toc171803883"/>
      <w:r w:rsidRPr="00F85D41">
        <w:rPr>
          <w:rFonts w:hint="cs"/>
          <w:rtl/>
        </w:rPr>
        <w:lastRenderedPageBreak/>
        <w:t>جدول رقم (6-</w:t>
      </w:r>
      <w:r>
        <w:rPr>
          <w:rFonts w:hint="cs"/>
          <w:rtl/>
        </w:rPr>
        <w:t>9</w:t>
      </w:r>
      <w:r w:rsidRPr="00F85D41">
        <w:rPr>
          <w:rFonts w:hint="cs"/>
          <w:rtl/>
        </w:rPr>
        <w:t xml:space="preserve">): </w:t>
      </w:r>
      <w:r>
        <w:rPr>
          <w:rFonts w:hint="cs"/>
          <w:rtl/>
        </w:rPr>
        <w:t xml:space="preserve">يلخص </w:t>
      </w:r>
      <w:r>
        <w:rPr>
          <w:rFonts w:hint="cs"/>
          <w:rtl/>
          <w:lang w:val="en-US" w:bidi="ar-DZ"/>
        </w:rPr>
        <w:t>عمق</w:t>
      </w:r>
      <w:r w:rsidRPr="00B60609">
        <w:rPr>
          <w:rtl/>
          <w:lang w:val="en-US" w:bidi="ar-DZ"/>
        </w:rPr>
        <w:t xml:space="preserve"> </w:t>
      </w:r>
      <w:r w:rsidRPr="00F85D41">
        <w:rPr>
          <w:rFonts w:hint="cs"/>
          <w:rtl/>
        </w:rPr>
        <w:t>الطرق</w:t>
      </w:r>
      <w:r w:rsidRPr="00F85D41">
        <w:rPr>
          <w:rtl/>
        </w:rPr>
        <w:t xml:space="preserve"> </w:t>
      </w:r>
      <w:r w:rsidRPr="00F85D41">
        <w:rPr>
          <w:rFonts w:hint="cs"/>
          <w:rtl/>
        </w:rPr>
        <w:t>الرئيسية</w:t>
      </w:r>
      <w:r w:rsidRPr="00F85D41">
        <w:rPr>
          <w:rtl/>
        </w:rPr>
        <w:t xml:space="preserve"> </w:t>
      </w:r>
      <w:r w:rsidRPr="00F85D41">
        <w:rPr>
          <w:rFonts w:hint="cs"/>
          <w:rtl/>
        </w:rPr>
        <w:t>والثانوية الحضرية</w:t>
      </w:r>
      <w:r w:rsidRPr="00F85D41">
        <w:rPr>
          <w:rtl/>
        </w:rPr>
        <w:t xml:space="preserve"> </w:t>
      </w:r>
      <w:r w:rsidRPr="00F85D41">
        <w:rPr>
          <w:rFonts w:hint="cs"/>
          <w:rtl/>
        </w:rPr>
        <w:t>عبر</w:t>
      </w:r>
      <w:r>
        <w:rPr>
          <w:rFonts w:hint="cs"/>
          <w:rtl/>
        </w:rPr>
        <w:t xml:space="preserve"> </w:t>
      </w:r>
      <w:r>
        <w:rPr>
          <w:rFonts w:hint="cs"/>
          <w:rtl/>
          <w:lang w:bidi="ar-DZ"/>
        </w:rPr>
        <w:t>حي القصر، بلاتو، سيدي سليمان</w:t>
      </w:r>
      <w:r w:rsidRPr="00226F93">
        <w:rPr>
          <w:rFonts w:hint="cs"/>
          <w:rtl/>
          <w:lang w:bidi="ar-DZ"/>
        </w:rPr>
        <w:t xml:space="preserve"> </w:t>
      </w:r>
      <w:r>
        <w:rPr>
          <w:rFonts w:hint="cs"/>
          <w:rtl/>
          <w:lang w:bidi="ar-DZ"/>
        </w:rPr>
        <w:t>والحمايد</w:t>
      </w:r>
      <w:bookmarkEnd w:id="958"/>
      <w:bookmarkEnd w:id="959"/>
    </w:p>
    <w:p w:rsidR="00730663" w:rsidRPr="00986BEA" w:rsidRDefault="00730663" w:rsidP="00730663">
      <w:pPr>
        <w:pStyle w:val="fegure"/>
        <w:rPr>
          <w:sz w:val="8"/>
          <w:szCs w:val="24"/>
          <w:rtl/>
          <w:lang w:val="en-US"/>
        </w:rPr>
      </w:pPr>
      <w:bookmarkStart w:id="960" w:name="_Toc171803884"/>
      <w:r>
        <w:rPr>
          <w:rFonts w:hint="cs"/>
          <w:sz w:val="8"/>
          <w:szCs w:val="24"/>
          <w:rtl/>
          <w:lang w:val="en-US" w:bidi="ar-DZ"/>
        </w:rPr>
        <w:t xml:space="preserve">المصدر: </w:t>
      </w:r>
      <w:r>
        <w:rPr>
          <w:rFonts w:hint="cs"/>
          <w:sz w:val="8"/>
          <w:szCs w:val="24"/>
          <w:rtl/>
          <w:lang w:val="en-US"/>
        </w:rPr>
        <w:t>(الباحث، 2022)</w:t>
      </w:r>
      <w:bookmarkEnd w:id="960"/>
    </w:p>
    <w:tbl>
      <w:tblPr>
        <w:bidiVisual/>
        <w:tblW w:w="8907" w:type="dxa"/>
        <w:jc w:val="center"/>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99"/>
        <w:gridCol w:w="1276"/>
        <w:gridCol w:w="840"/>
        <w:gridCol w:w="3261"/>
        <w:gridCol w:w="899"/>
        <w:gridCol w:w="1532"/>
      </w:tblGrid>
      <w:tr w:rsidR="00730663" w:rsidRPr="0094084B" w:rsidTr="00CF4A92">
        <w:trPr>
          <w:trHeight w:val="244"/>
          <w:jc w:val="center"/>
        </w:trPr>
        <w:tc>
          <w:tcPr>
            <w:tcW w:w="1099" w:type="dxa"/>
            <w:vMerge w:val="restart"/>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sidRPr="0094084B">
              <w:rPr>
                <w:rFonts w:ascii="Simplified Arabic" w:eastAsia="Times New Roman" w:hAnsi="Simplified Arabic" w:cs="Simplified Arabic" w:hint="cs"/>
                <w:color w:val="000000"/>
                <w:sz w:val="24"/>
                <w:szCs w:val="24"/>
                <w:rtl/>
                <w:lang w:eastAsia="fr-FR"/>
              </w:rPr>
              <w:t>فئة النسيج الحضري</w:t>
            </w:r>
          </w:p>
        </w:tc>
        <w:tc>
          <w:tcPr>
            <w:tcW w:w="1276" w:type="dxa"/>
            <w:vMerge w:val="restart"/>
            <w:shd w:val="clear" w:color="auto" w:fill="auto"/>
            <w:noWrap/>
            <w:vAlign w:val="center"/>
            <w:hideMark/>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94084B">
              <w:rPr>
                <w:rFonts w:ascii="Simplified Arabic" w:eastAsia="Times New Roman" w:hAnsi="Simplified Arabic" w:cs="Simplified Arabic"/>
                <w:color w:val="000000"/>
                <w:sz w:val="24"/>
                <w:szCs w:val="24"/>
                <w:rtl/>
                <w:lang w:eastAsia="fr-FR"/>
              </w:rPr>
              <w:t>اسم الحي</w:t>
            </w:r>
          </w:p>
        </w:tc>
        <w:tc>
          <w:tcPr>
            <w:tcW w:w="840" w:type="dxa"/>
            <w:vMerge w:val="restart"/>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sidRPr="0094084B">
              <w:rPr>
                <w:rFonts w:ascii="Simplified Arabic" w:eastAsia="Times New Roman" w:hAnsi="Simplified Arabic" w:cs="Simplified Arabic" w:hint="cs"/>
                <w:color w:val="000000"/>
                <w:sz w:val="24"/>
                <w:szCs w:val="24"/>
                <w:rtl/>
                <w:lang w:eastAsia="fr-FR"/>
              </w:rPr>
              <w:t xml:space="preserve">مساحة الحي </w:t>
            </w:r>
            <w:r w:rsidRPr="0094084B">
              <w:rPr>
                <w:rFonts w:ascii="Simplified Arabic" w:hAnsi="Simplified Arabic" w:cs="Simplified Arabic"/>
                <w:sz w:val="24"/>
                <w:szCs w:val="24"/>
                <w:rtl/>
                <w:lang w:val="en-US" w:bidi="ar-DZ"/>
              </w:rPr>
              <w:t>(</w:t>
            </w:r>
            <w:r w:rsidRPr="0094084B">
              <w:rPr>
                <w:rFonts w:ascii="Simplified Arabic" w:hAnsi="Simplified Arabic" w:cs="Simplified Arabic" w:hint="cs"/>
                <w:sz w:val="24"/>
                <w:szCs w:val="24"/>
                <w:rtl/>
                <w:lang w:val="en-US" w:bidi="ar-DZ"/>
              </w:rPr>
              <w:t>هك</w:t>
            </w:r>
            <w:r w:rsidRPr="0094084B">
              <w:rPr>
                <w:rFonts w:ascii="Simplified Arabic" w:hAnsi="Simplified Arabic" w:cs="Simplified Arabic"/>
                <w:sz w:val="24"/>
                <w:szCs w:val="24"/>
                <w:rtl/>
                <w:lang w:val="en-US" w:bidi="ar-DZ"/>
              </w:rPr>
              <w:t>)</w:t>
            </w:r>
          </w:p>
        </w:tc>
        <w:tc>
          <w:tcPr>
            <w:tcW w:w="5692" w:type="dxa"/>
            <w:gridSpan w:val="3"/>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sidRPr="0094084B">
              <w:rPr>
                <w:rFonts w:ascii="Simplified Arabic" w:eastAsia="Times New Roman" w:hAnsi="Simplified Arabic" w:cs="Simplified Arabic" w:hint="cs"/>
                <w:color w:val="000000"/>
                <w:sz w:val="24"/>
                <w:szCs w:val="24"/>
                <w:rtl/>
                <w:lang w:eastAsia="fr-FR"/>
              </w:rPr>
              <w:t>القياس والقيمة</w:t>
            </w:r>
          </w:p>
        </w:tc>
      </w:tr>
      <w:tr w:rsidR="00730663" w:rsidRPr="0094084B" w:rsidTr="00CF4A92">
        <w:trPr>
          <w:trHeight w:val="782"/>
          <w:jc w:val="center"/>
        </w:trPr>
        <w:tc>
          <w:tcPr>
            <w:tcW w:w="1099" w:type="dxa"/>
            <w:vMerge/>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p>
        </w:tc>
        <w:tc>
          <w:tcPr>
            <w:tcW w:w="1276" w:type="dxa"/>
            <w:vMerge/>
            <w:shd w:val="clear" w:color="auto" w:fill="auto"/>
            <w:noWrap/>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p>
        </w:tc>
        <w:tc>
          <w:tcPr>
            <w:tcW w:w="840" w:type="dxa"/>
            <w:vMerge/>
          </w:tcPr>
          <w:p w:rsidR="00730663" w:rsidRPr="0094084B" w:rsidRDefault="00730663" w:rsidP="00CF4A92">
            <w:pPr>
              <w:bidi/>
              <w:spacing w:after="0" w:line="240" w:lineRule="auto"/>
              <w:jc w:val="center"/>
              <w:rPr>
                <w:rFonts w:ascii="Simplified Arabic" w:hAnsi="Simplified Arabic" w:cs="Simplified Arabic"/>
                <w:sz w:val="24"/>
                <w:szCs w:val="24"/>
                <w:rtl/>
                <w:lang w:val="en-US" w:bidi="ar-DZ"/>
              </w:rPr>
            </w:pPr>
          </w:p>
        </w:tc>
        <w:tc>
          <w:tcPr>
            <w:tcW w:w="3261"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hAnsi="Simplified Arabic" w:cs="Simplified Arabic" w:hint="cs"/>
                <w:sz w:val="24"/>
                <w:szCs w:val="24"/>
                <w:rtl/>
                <w:lang w:val="en-US" w:bidi="ar-DZ"/>
              </w:rPr>
              <w:t>وسيط عمق</w:t>
            </w:r>
            <w:r w:rsidRPr="00B60609">
              <w:rPr>
                <w:rFonts w:ascii="Simplified Arabic" w:hAnsi="Simplified Arabic" w:cs="Simplified Arabic"/>
                <w:sz w:val="24"/>
                <w:szCs w:val="24"/>
                <w:rtl/>
                <w:lang w:val="en-US" w:bidi="ar-DZ"/>
              </w:rPr>
              <w:t xml:space="preserve"> </w:t>
            </w:r>
            <w:r w:rsidRPr="0094084B">
              <w:rPr>
                <w:rFonts w:ascii="Simplified Arabic" w:hAnsi="Simplified Arabic" w:cs="Simplified Arabic" w:hint="cs"/>
                <w:sz w:val="24"/>
                <w:szCs w:val="24"/>
                <w:rtl/>
                <w:lang w:val="en-US" w:bidi="ar-DZ"/>
              </w:rPr>
              <w:t>الطرق</w:t>
            </w:r>
            <w:r w:rsidRPr="0094084B">
              <w:rPr>
                <w:rFonts w:ascii="Simplified Arabic" w:hAnsi="Simplified Arabic" w:cs="Simplified Arabic"/>
                <w:sz w:val="24"/>
                <w:szCs w:val="24"/>
                <w:rtl/>
                <w:lang w:val="en-US" w:bidi="ar-DZ"/>
              </w:rPr>
              <w:t xml:space="preserve"> </w:t>
            </w:r>
            <w:r w:rsidRPr="0094084B">
              <w:rPr>
                <w:rFonts w:ascii="Simplified Arabic" w:hAnsi="Simplified Arabic" w:cs="Simplified Arabic" w:hint="cs"/>
                <w:sz w:val="24"/>
                <w:szCs w:val="24"/>
                <w:rtl/>
                <w:lang w:val="en-US" w:bidi="ar-DZ"/>
              </w:rPr>
              <w:t>الرئيسية</w:t>
            </w:r>
            <w:r w:rsidRPr="0094084B">
              <w:rPr>
                <w:rFonts w:ascii="Simplified Arabic" w:hAnsi="Simplified Arabic" w:cs="Simplified Arabic"/>
                <w:sz w:val="24"/>
                <w:szCs w:val="24"/>
                <w:rtl/>
                <w:lang w:val="en-US" w:bidi="ar-DZ"/>
              </w:rPr>
              <w:t xml:space="preserve"> </w:t>
            </w:r>
            <w:r w:rsidRPr="0094084B">
              <w:rPr>
                <w:rFonts w:ascii="Simplified Arabic" w:hAnsi="Simplified Arabic" w:cs="Simplified Arabic" w:hint="cs"/>
                <w:sz w:val="24"/>
                <w:szCs w:val="24"/>
                <w:rtl/>
                <w:lang w:val="en-US" w:bidi="ar-DZ"/>
              </w:rPr>
              <w:t xml:space="preserve">والثانوية </w:t>
            </w:r>
            <w:r w:rsidRPr="0094084B">
              <w:rPr>
                <w:rFonts w:ascii="Simplified Arabic" w:eastAsia="Times New Roman" w:hAnsi="Simplified Arabic" w:cs="Simplified Arabic"/>
                <w:color w:val="000000"/>
                <w:sz w:val="24"/>
                <w:szCs w:val="24"/>
                <w:rtl/>
                <w:lang w:eastAsia="fr-FR"/>
              </w:rPr>
              <w:t>(</w:t>
            </w:r>
            <w:r w:rsidRPr="0094084B">
              <w:rPr>
                <w:rFonts w:ascii="Simplified Arabic" w:eastAsia="Times New Roman" w:hAnsi="Simplified Arabic" w:cs="Simplified Arabic" w:hint="cs"/>
                <w:color w:val="000000"/>
                <w:sz w:val="24"/>
                <w:szCs w:val="24"/>
                <w:rtl/>
                <w:lang w:eastAsia="fr-FR"/>
              </w:rPr>
              <w:t>م</w:t>
            </w:r>
            <w:r w:rsidRPr="0094084B">
              <w:rPr>
                <w:rFonts w:ascii="Simplified Arabic" w:eastAsia="Times New Roman" w:hAnsi="Simplified Arabic" w:cs="Simplified Arabic"/>
                <w:color w:val="000000"/>
                <w:sz w:val="24"/>
                <w:szCs w:val="24"/>
                <w:rtl/>
                <w:lang w:eastAsia="fr-FR"/>
              </w:rPr>
              <w:t>)</w:t>
            </w:r>
          </w:p>
        </w:tc>
        <w:tc>
          <w:tcPr>
            <w:tcW w:w="899" w:type="dxa"/>
            <w:shd w:val="clear" w:color="auto" w:fill="auto"/>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hAnsi="Simplified Arabic" w:cs="Simplified Arabic" w:hint="cs"/>
                <w:sz w:val="24"/>
                <w:szCs w:val="24"/>
                <w:rtl/>
                <w:lang w:bidi="ar-DZ"/>
              </w:rPr>
              <w:t>مت</w:t>
            </w:r>
            <w:r w:rsidRPr="0094084B">
              <w:rPr>
                <w:rFonts w:ascii="Simplified Arabic" w:hAnsi="Simplified Arabic" w:cs="Simplified Arabic" w:hint="cs"/>
                <w:sz w:val="24"/>
                <w:szCs w:val="24"/>
                <w:rtl/>
                <w:lang w:val="en-US" w:bidi="ar-DZ"/>
              </w:rPr>
              <w:t xml:space="preserve">وسط </w:t>
            </w:r>
            <w:r>
              <w:rPr>
                <w:rFonts w:ascii="Simplified Arabic" w:hAnsi="Simplified Arabic" w:cs="Simplified Arabic" w:hint="cs"/>
                <w:sz w:val="24"/>
                <w:szCs w:val="24"/>
                <w:rtl/>
                <w:lang w:val="en-US" w:bidi="ar-DZ"/>
              </w:rPr>
              <w:t>العمق</w:t>
            </w:r>
            <w:r w:rsidRPr="00B60609">
              <w:rPr>
                <w:rFonts w:ascii="Simplified Arabic" w:hAnsi="Simplified Arabic" w:cs="Simplified Arabic"/>
                <w:sz w:val="24"/>
                <w:szCs w:val="24"/>
                <w:rtl/>
                <w:lang w:val="en-US" w:bidi="ar-DZ"/>
              </w:rPr>
              <w:t xml:space="preserve"> </w:t>
            </w:r>
            <w:r w:rsidRPr="0094084B">
              <w:rPr>
                <w:rFonts w:ascii="Simplified Arabic" w:hAnsi="Simplified Arabic" w:cs="Simplified Arabic"/>
                <w:sz w:val="24"/>
                <w:szCs w:val="24"/>
                <w:rtl/>
                <w:lang w:val="en-US" w:bidi="ar-DZ"/>
              </w:rPr>
              <w:t>(م)</w:t>
            </w:r>
          </w:p>
        </w:tc>
        <w:tc>
          <w:tcPr>
            <w:tcW w:w="1532" w:type="dxa"/>
            <w:shd w:val="clear" w:color="auto" w:fill="auto"/>
            <w:vAlign w:val="center"/>
          </w:tcPr>
          <w:p w:rsidR="00730663" w:rsidRPr="007605F0" w:rsidRDefault="00730663" w:rsidP="00CF4A92">
            <w:pPr>
              <w:bidi/>
              <w:spacing w:after="0"/>
              <w:jc w:val="center"/>
              <w:rPr>
                <w:rFonts w:ascii="Simplified Arabic" w:hAnsi="Simplified Arabic" w:cs="Simplified Arabic"/>
                <w:color w:val="000000"/>
                <w:sz w:val="24"/>
                <w:szCs w:val="24"/>
              </w:rPr>
            </w:pPr>
            <w:r w:rsidRPr="007605F0">
              <w:rPr>
                <w:rFonts w:ascii="Simplified Arabic" w:hAnsi="Simplified Arabic" w:cs="Simplified Arabic"/>
                <w:color w:val="000000"/>
                <w:sz w:val="24"/>
                <w:szCs w:val="24"/>
                <w:rtl/>
              </w:rPr>
              <w:t>كثافة شبكة الطرق (كم/كم2)</w:t>
            </w:r>
          </w:p>
        </w:tc>
      </w:tr>
      <w:tr w:rsidR="00730663" w:rsidRPr="0094084B" w:rsidTr="00CF4A92">
        <w:trPr>
          <w:trHeight w:val="60"/>
          <w:jc w:val="center"/>
        </w:trPr>
        <w:tc>
          <w:tcPr>
            <w:tcW w:w="10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sidRPr="0094084B">
              <w:rPr>
                <w:rFonts w:ascii="Simplified Arabic" w:eastAsia="Times New Roman" w:hAnsi="Simplified Arabic" w:cs="Simplified Arabic" w:hint="cs"/>
                <w:color w:val="000000"/>
                <w:sz w:val="24"/>
                <w:szCs w:val="24"/>
                <w:rtl/>
                <w:lang w:eastAsia="fr-FR"/>
              </w:rPr>
              <w:t>الفئة</w:t>
            </w:r>
            <w:r w:rsidRPr="0094084B">
              <w:rPr>
                <w:rFonts w:ascii="Simplified Arabic" w:eastAsia="Times New Roman" w:hAnsi="Simplified Arabic" w:cs="Simplified Arabic"/>
                <w:color w:val="000000"/>
                <w:sz w:val="24"/>
                <w:szCs w:val="24"/>
                <w:rtl/>
                <w:lang w:eastAsia="fr-FR"/>
              </w:rPr>
              <w:t xml:space="preserve"> أ</w:t>
            </w:r>
          </w:p>
        </w:tc>
        <w:tc>
          <w:tcPr>
            <w:tcW w:w="1276" w:type="dxa"/>
            <w:shd w:val="clear" w:color="auto" w:fill="auto"/>
            <w:vAlign w:val="center"/>
            <w:hideMark/>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94084B">
              <w:rPr>
                <w:rFonts w:ascii="Simplified Arabic" w:eastAsia="Times New Roman" w:hAnsi="Simplified Arabic" w:cs="Simplified Arabic"/>
                <w:color w:val="000000"/>
                <w:sz w:val="24"/>
                <w:szCs w:val="24"/>
                <w:rtl/>
                <w:lang w:eastAsia="fr-FR"/>
              </w:rPr>
              <w:t>المدينة القديمة</w:t>
            </w:r>
          </w:p>
        </w:tc>
        <w:tc>
          <w:tcPr>
            <w:tcW w:w="840" w:type="dxa"/>
            <w:vAlign w:val="center"/>
          </w:tcPr>
          <w:p w:rsidR="00730663" w:rsidRPr="007B1F0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B1F0B">
              <w:rPr>
                <w:rFonts w:ascii="Simplified Arabic" w:eastAsia="Times New Roman" w:hAnsi="Simplified Arabic" w:cs="Simplified Arabic"/>
                <w:color w:val="000000"/>
                <w:sz w:val="24"/>
                <w:szCs w:val="24"/>
                <w:lang w:eastAsia="fr-FR"/>
              </w:rPr>
              <w:t>27,10</w:t>
            </w:r>
          </w:p>
        </w:tc>
        <w:tc>
          <w:tcPr>
            <w:tcW w:w="3261" w:type="dxa"/>
            <w:shd w:val="clear" w:color="auto" w:fill="auto"/>
            <w:noWrap/>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bidi="ar-DZ"/>
              </w:rPr>
            </w:pPr>
            <w:r w:rsidRPr="0094084B">
              <w:rPr>
                <w:rFonts w:ascii="Simplified Arabic" w:eastAsia="Times New Roman" w:hAnsi="Simplified Arabic" w:cs="Simplified Arabic" w:hint="cs"/>
                <w:color w:val="000000"/>
                <w:sz w:val="24"/>
                <w:szCs w:val="24"/>
                <w:rtl/>
                <w:lang w:eastAsia="fr-FR"/>
              </w:rPr>
              <w:t>623م، 340م، 1047م</w:t>
            </w:r>
          </w:p>
        </w:tc>
        <w:tc>
          <w:tcPr>
            <w:tcW w:w="8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bidi="ar-DZ"/>
              </w:rPr>
            </w:pPr>
            <w:r w:rsidRPr="0094084B">
              <w:rPr>
                <w:rFonts w:ascii="Simplified Arabic" w:eastAsia="Times New Roman" w:hAnsi="Simplified Arabic" w:cs="Simplified Arabic" w:hint="cs"/>
                <w:color w:val="000000"/>
                <w:sz w:val="24"/>
                <w:szCs w:val="24"/>
                <w:rtl/>
                <w:lang w:eastAsia="fr-FR"/>
              </w:rPr>
              <w:t>670م</w:t>
            </w:r>
          </w:p>
        </w:tc>
        <w:tc>
          <w:tcPr>
            <w:tcW w:w="1532" w:type="dxa"/>
            <w:shd w:val="clear" w:color="auto" w:fill="auto"/>
            <w:vAlign w:val="center"/>
          </w:tcPr>
          <w:p w:rsidR="00730663" w:rsidRPr="007605F0"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605F0">
              <w:rPr>
                <w:rFonts w:ascii="Simplified Arabic" w:eastAsia="Times New Roman" w:hAnsi="Simplified Arabic" w:cs="Simplified Arabic"/>
                <w:color w:val="000000"/>
                <w:sz w:val="24"/>
                <w:szCs w:val="24"/>
                <w:lang w:eastAsia="fr-FR"/>
              </w:rPr>
              <w:t>6,79</w:t>
            </w:r>
          </w:p>
        </w:tc>
      </w:tr>
      <w:tr w:rsidR="00730663" w:rsidRPr="0094084B" w:rsidTr="00CF4A92">
        <w:trPr>
          <w:trHeight w:val="343"/>
          <w:jc w:val="center"/>
        </w:trPr>
        <w:tc>
          <w:tcPr>
            <w:tcW w:w="10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sidRPr="0094084B">
              <w:rPr>
                <w:rFonts w:ascii="Simplified Arabic" w:eastAsia="Times New Roman" w:hAnsi="Simplified Arabic" w:cs="Simplified Arabic" w:hint="cs"/>
                <w:color w:val="000000"/>
                <w:sz w:val="24"/>
                <w:szCs w:val="24"/>
                <w:rtl/>
                <w:lang w:eastAsia="fr-FR"/>
              </w:rPr>
              <w:t>الفئة</w:t>
            </w:r>
            <w:r w:rsidRPr="0094084B">
              <w:rPr>
                <w:rFonts w:ascii="Simplified Arabic" w:eastAsia="Times New Roman" w:hAnsi="Simplified Arabic" w:cs="Simplified Arabic"/>
                <w:color w:val="000000"/>
                <w:sz w:val="24"/>
                <w:szCs w:val="24"/>
                <w:rtl/>
                <w:lang w:eastAsia="fr-FR"/>
              </w:rPr>
              <w:t xml:space="preserve"> ب</w:t>
            </w:r>
          </w:p>
        </w:tc>
        <w:tc>
          <w:tcPr>
            <w:tcW w:w="1276" w:type="dxa"/>
            <w:shd w:val="clear" w:color="auto" w:fill="auto"/>
            <w:noWrap/>
            <w:vAlign w:val="center"/>
            <w:hideMark/>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94084B">
              <w:rPr>
                <w:rFonts w:ascii="Simplified Arabic" w:eastAsia="Times New Roman" w:hAnsi="Simplified Arabic" w:cs="Simplified Arabic"/>
                <w:color w:val="000000"/>
                <w:sz w:val="24"/>
                <w:szCs w:val="24"/>
                <w:rtl/>
                <w:lang w:eastAsia="fr-FR"/>
              </w:rPr>
              <w:t>بلاتو</w:t>
            </w:r>
          </w:p>
        </w:tc>
        <w:tc>
          <w:tcPr>
            <w:tcW w:w="840" w:type="dxa"/>
            <w:vAlign w:val="center"/>
          </w:tcPr>
          <w:p w:rsidR="00730663" w:rsidRPr="007B1F0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B1F0B">
              <w:rPr>
                <w:rFonts w:ascii="Simplified Arabic" w:eastAsia="Times New Roman" w:hAnsi="Simplified Arabic" w:cs="Simplified Arabic"/>
                <w:color w:val="000000"/>
                <w:sz w:val="24"/>
                <w:szCs w:val="24"/>
                <w:lang w:eastAsia="fr-FR"/>
              </w:rPr>
              <w:t>61,50</w:t>
            </w:r>
          </w:p>
        </w:tc>
        <w:tc>
          <w:tcPr>
            <w:tcW w:w="3261" w:type="dxa"/>
            <w:shd w:val="clear" w:color="auto" w:fill="auto"/>
            <w:noWrap/>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themeColor="text1"/>
                <w:sz w:val="24"/>
                <w:szCs w:val="24"/>
                <w:lang w:eastAsia="fr-FR" w:bidi="ar-DZ"/>
              </w:rPr>
            </w:pPr>
            <w:r w:rsidRPr="0094084B">
              <w:rPr>
                <w:rFonts w:ascii="Simplified Arabic" w:eastAsia="Times New Roman" w:hAnsi="Simplified Arabic" w:cs="Simplified Arabic" w:hint="cs"/>
                <w:color w:val="000000" w:themeColor="text1"/>
                <w:sz w:val="24"/>
                <w:szCs w:val="24"/>
                <w:rtl/>
                <w:lang w:eastAsia="fr-FR"/>
              </w:rPr>
              <w:t>536م، 203م، 460م، 750م، 432م، 470م، 290م، 1100م</w:t>
            </w:r>
          </w:p>
        </w:tc>
        <w:tc>
          <w:tcPr>
            <w:tcW w:w="8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themeColor="text1"/>
                <w:sz w:val="24"/>
                <w:szCs w:val="24"/>
                <w:lang w:eastAsia="fr-FR" w:bidi="ar-DZ"/>
              </w:rPr>
            </w:pPr>
            <w:r w:rsidRPr="0094084B">
              <w:rPr>
                <w:rFonts w:ascii="Simplified Arabic" w:eastAsia="Times New Roman" w:hAnsi="Simplified Arabic" w:cs="Simplified Arabic" w:hint="cs"/>
                <w:color w:val="000000" w:themeColor="text1"/>
                <w:sz w:val="24"/>
                <w:szCs w:val="24"/>
                <w:rtl/>
                <w:lang w:eastAsia="fr-FR"/>
              </w:rPr>
              <w:t>530م</w:t>
            </w:r>
          </w:p>
        </w:tc>
        <w:tc>
          <w:tcPr>
            <w:tcW w:w="1532" w:type="dxa"/>
            <w:shd w:val="clear" w:color="auto" w:fill="auto"/>
            <w:vAlign w:val="center"/>
          </w:tcPr>
          <w:p w:rsidR="00730663" w:rsidRPr="007605F0"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605F0">
              <w:rPr>
                <w:rFonts w:ascii="Simplified Arabic" w:eastAsia="Times New Roman" w:hAnsi="Simplified Arabic" w:cs="Simplified Arabic"/>
                <w:color w:val="000000"/>
                <w:sz w:val="24"/>
                <w:szCs w:val="24"/>
                <w:lang w:eastAsia="fr-FR"/>
              </w:rPr>
              <w:t>7,74</w:t>
            </w:r>
          </w:p>
        </w:tc>
      </w:tr>
      <w:tr w:rsidR="00730663" w:rsidRPr="0094084B" w:rsidTr="00CF4A92">
        <w:trPr>
          <w:trHeight w:val="343"/>
          <w:jc w:val="center"/>
        </w:trPr>
        <w:tc>
          <w:tcPr>
            <w:tcW w:w="10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sidRPr="0094084B">
              <w:rPr>
                <w:rFonts w:ascii="Simplified Arabic" w:eastAsia="Times New Roman" w:hAnsi="Simplified Arabic" w:cs="Simplified Arabic" w:hint="cs"/>
                <w:color w:val="000000"/>
                <w:sz w:val="24"/>
                <w:szCs w:val="24"/>
                <w:rtl/>
                <w:lang w:eastAsia="fr-FR"/>
              </w:rPr>
              <w:t>الفئة</w:t>
            </w:r>
            <w:r w:rsidRPr="0094084B">
              <w:rPr>
                <w:rFonts w:ascii="Simplified Arabic" w:eastAsia="Times New Roman" w:hAnsi="Simplified Arabic" w:cs="Simplified Arabic"/>
                <w:color w:val="000000"/>
                <w:sz w:val="24"/>
                <w:szCs w:val="24"/>
                <w:rtl/>
                <w:lang w:eastAsia="fr-FR"/>
              </w:rPr>
              <w:t xml:space="preserve"> جـ</w:t>
            </w:r>
          </w:p>
        </w:tc>
        <w:tc>
          <w:tcPr>
            <w:tcW w:w="1276"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94084B">
              <w:rPr>
                <w:rFonts w:ascii="Simplified Arabic" w:eastAsia="Times New Roman" w:hAnsi="Simplified Arabic" w:cs="Simplified Arabic"/>
                <w:color w:val="000000"/>
                <w:sz w:val="24"/>
                <w:szCs w:val="24"/>
                <w:rtl/>
                <w:lang w:eastAsia="fr-FR"/>
              </w:rPr>
              <w:t>سيدي سليمان</w:t>
            </w:r>
          </w:p>
        </w:tc>
        <w:tc>
          <w:tcPr>
            <w:tcW w:w="840" w:type="dxa"/>
            <w:vAlign w:val="center"/>
          </w:tcPr>
          <w:p w:rsidR="00730663" w:rsidRPr="007B1F0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B1F0B">
              <w:rPr>
                <w:rFonts w:ascii="Simplified Arabic" w:eastAsia="Times New Roman" w:hAnsi="Simplified Arabic" w:cs="Simplified Arabic"/>
                <w:color w:val="000000"/>
                <w:sz w:val="24"/>
                <w:szCs w:val="24"/>
                <w:lang w:eastAsia="fr-FR"/>
              </w:rPr>
              <w:t>104,00</w:t>
            </w:r>
          </w:p>
        </w:tc>
        <w:tc>
          <w:tcPr>
            <w:tcW w:w="3261" w:type="dxa"/>
            <w:shd w:val="clear" w:color="auto" w:fill="auto"/>
            <w:noWrap/>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bidi="ar-DZ"/>
              </w:rPr>
            </w:pPr>
            <w:r w:rsidRPr="0094084B">
              <w:rPr>
                <w:rFonts w:ascii="Simplified Arabic" w:eastAsia="Times New Roman" w:hAnsi="Simplified Arabic" w:cs="Simplified Arabic" w:hint="cs"/>
                <w:color w:val="000000"/>
                <w:sz w:val="24"/>
                <w:szCs w:val="24"/>
                <w:rtl/>
                <w:lang w:eastAsia="fr-FR"/>
              </w:rPr>
              <w:t>655م، 945م، 2160م</w:t>
            </w:r>
          </w:p>
        </w:tc>
        <w:tc>
          <w:tcPr>
            <w:tcW w:w="8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bidi="ar-DZ"/>
              </w:rPr>
            </w:pPr>
            <w:r w:rsidRPr="0094084B">
              <w:rPr>
                <w:rFonts w:ascii="Simplified Arabic" w:eastAsia="Times New Roman" w:hAnsi="Simplified Arabic" w:cs="Simplified Arabic" w:hint="cs"/>
                <w:color w:val="000000"/>
                <w:sz w:val="24"/>
                <w:szCs w:val="24"/>
                <w:rtl/>
                <w:lang w:eastAsia="fr-FR"/>
              </w:rPr>
              <w:t>1253</w:t>
            </w:r>
          </w:p>
        </w:tc>
        <w:tc>
          <w:tcPr>
            <w:tcW w:w="1532" w:type="dxa"/>
            <w:shd w:val="clear" w:color="auto" w:fill="auto"/>
            <w:vAlign w:val="center"/>
          </w:tcPr>
          <w:p w:rsidR="00730663" w:rsidRPr="007605F0"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605F0">
              <w:rPr>
                <w:rFonts w:ascii="Simplified Arabic" w:eastAsia="Times New Roman" w:hAnsi="Simplified Arabic" w:cs="Simplified Arabic"/>
                <w:color w:val="000000"/>
                <w:sz w:val="24"/>
                <w:szCs w:val="24"/>
                <w:lang w:eastAsia="fr-FR"/>
              </w:rPr>
              <w:t>3,15</w:t>
            </w:r>
          </w:p>
        </w:tc>
      </w:tr>
      <w:tr w:rsidR="00730663" w:rsidRPr="0094084B" w:rsidTr="00CF4A92">
        <w:trPr>
          <w:trHeight w:val="343"/>
          <w:jc w:val="center"/>
        </w:trPr>
        <w:tc>
          <w:tcPr>
            <w:tcW w:w="10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rtl/>
                <w:lang w:eastAsia="fr-FR"/>
              </w:rPr>
            </w:pPr>
            <w:r w:rsidRPr="0094084B">
              <w:rPr>
                <w:rFonts w:ascii="Simplified Arabic" w:eastAsia="Times New Roman" w:hAnsi="Simplified Arabic" w:cs="Simplified Arabic" w:hint="cs"/>
                <w:color w:val="000000"/>
                <w:sz w:val="24"/>
                <w:szCs w:val="24"/>
                <w:rtl/>
                <w:lang w:eastAsia="fr-FR"/>
              </w:rPr>
              <w:t>الفئة</w:t>
            </w:r>
            <w:r w:rsidRPr="0094084B">
              <w:rPr>
                <w:rFonts w:ascii="Simplified Arabic" w:eastAsia="Times New Roman" w:hAnsi="Simplified Arabic" w:cs="Simplified Arabic"/>
                <w:color w:val="000000"/>
                <w:sz w:val="24"/>
                <w:szCs w:val="24"/>
                <w:rtl/>
                <w:lang w:eastAsia="fr-FR"/>
              </w:rPr>
              <w:t xml:space="preserve"> د</w:t>
            </w:r>
          </w:p>
        </w:tc>
        <w:tc>
          <w:tcPr>
            <w:tcW w:w="1276" w:type="dxa"/>
            <w:shd w:val="clear" w:color="auto" w:fill="auto"/>
            <w:noWrap/>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94084B">
              <w:rPr>
                <w:rFonts w:ascii="Simplified Arabic" w:eastAsia="Times New Roman" w:hAnsi="Simplified Arabic" w:cs="Simplified Arabic"/>
                <w:color w:val="000000"/>
                <w:sz w:val="24"/>
                <w:szCs w:val="24"/>
                <w:rtl/>
                <w:lang w:eastAsia="fr-FR"/>
              </w:rPr>
              <w:t>الحمايد</w:t>
            </w:r>
          </w:p>
        </w:tc>
        <w:tc>
          <w:tcPr>
            <w:tcW w:w="840" w:type="dxa"/>
            <w:vAlign w:val="center"/>
          </w:tcPr>
          <w:p w:rsidR="00730663" w:rsidRPr="007B1F0B"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B1F0B">
              <w:rPr>
                <w:rFonts w:ascii="Simplified Arabic" w:eastAsia="Times New Roman" w:hAnsi="Simplified Arabic" w:cs="Simplified Arabic"/>
                <w:color w:val="000000"/>
                <w:sz w:val="24"/>
                <w:szCs w:val="24"/>
                <w:lang w:eastAsia="fr-FR"/>
              </w:rPr>
              <w:t>90,70</w:t>
            </w:r>
          </w:p>
        </w:tc>
        <w:tc>
          <w:tcPr>
            <w:tcW w:w="3261" w:type="dxa"/>
            <w:shd w:val="clear" w:color="auto" w:fill="auto"/>
            <w:noWrap/>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bidi="ar-DZ"/>
              </w:rPr>
            </w:pPr>
            <w:r w:rsidRPr="0094084B">
              <w:rPr>
                <w:rFonts w:ascii="Simplified Arabic" w:eastAsia="Times New Roman" w:hAnsi="Simplified Arabic" w:cs="Simplified Arabic" w:hint="cs"/>
                <w:color w:val="000000"/>
                <w:sz w:val="24"/>
                <w:szCs w:val="24"/>
                <w:rtl/>
                <w:lang w:eastAsia="fr-FR"/>
              </w:rPr>
              <w:t>610م، 1130، 590م، 905م، 1080م</w:t>
            </w:r>
          </w:p>
        </w:tc>
        <w:tc>
          <w:tcPr>
            <w:tcW w:w="899" w:type="dxa"/>
            <w:shd w:val="clear" w:color="auto" w:fill="auto"/>
            <w:vAlign w:val="center"/>
          </w:tcPr>
          <w:p w:rsidR="00730663" w:rsidRPr="0094084B" w:rsidRDefault="00730663" w:rsidP="00CF4A92">
            <w:pPr>
              <w:bidi/>
              <w:spacing w:after="0" w:line="240" w:lineRule="auto"/>
              <w:jc w:val="center"/>
              <w:rPr>
                <w:rFonts w:ascii="Simplified Arabic" w:eastAsia="Times New Roman" w:hAnsi="Simplified Arabic" w:cs="Simplified Arabic"/>
                <w:color w:val="000000"/>
                <w:sz w:val="24"/>
                <w:szCs w:val="24"/>
                <w:lang w:eastAsia="fr-FR" w:bidi="ar-DZ"/>
              </w:rPr>
            </w:pPr>
            <w:r w:rsidRPr="0094084B">
              <w:rPr>
                <w:rFonts w:ascii="Simplified Arabic" w:eastAsia="Times New Roman" w:hAnsi="Simplified Arabic" w:cs="Simplified Arabic" w:hint="cs"/>
                <w:color w:val="000000"/>
                <w:sz w:val="24"/>
                <w:szCs w:val="24"/>
                <w:rtl/>
                <w:lang w:eastAsia="fr-FR"/>
              </w:rPr>
              <w:t>863</w:t>
            </w:r>
          </w:p>
        </w:tc>
        <w:tc>
          <w:tcPr>
            <w:tcW w:w="1532" w:type="dxa"/>
            <w:shd w:val="clear" w:color="auto" w:fill="auto"/>
            <w:vAlign w:val="center"/>
          </w:tcPr>
          <w:p w:rsidR="00730663" w:rsidRPr="007605F0" w:rsidRDefault="00730663" w:rsidP="00CF4A92">
            <w:pPr>
              <w:bidi/>
              <w:spacing w:after="0" w:line="240" w:lineRule="auto"/>
              <w:jc w:val="center"/>
              <w:rPr>
                <w:rFonts w:ascii="Simplified Arabic" w:eastAsia="Times New Roman" w:hAnsi="Simplified Arabic" w:cs="Simplified Arabic"/>
                <w:color w:val="000000"/>
                <w:sz w:val="24"/>
                <w:szCs w:val="24"/>
                <w:lang w:eastAsia="fr-FR"/>
              </w:rPr>
            </w:pPr>
            <w:r w:rsidRPr="007605F0">
              <w:rPr>
                <w:rFonts w:ascii="Simplified Arabic" w:eastAsia="Times New Roman" w:hAnsi="Simplified Arabic" w:cs="Simplified Arabic"/>
                <w:color w:val="000000"/>
                <w:sz w:val="24"/>
                <w:szCs w:val="24"/>
                <w:lang w:eastAsia="fr-FR"/>
              </w:rPr>
              <w:t>4,56</w:t>
            </w:r>
          </w:p>
        </w:tc>
      </w:tr>
    </w:tbl>
    <w:p w:rsidR="000575DC" w:rsidRDefault="000575DC" w:rsidP="00730663">
      <w:pPr>
        <w:autoSpaceDE w:val="0"/>
        <w:autoSpaceDN w:val="0"/>
        <w:bidi/>
        <w:adjustRightInd w:val="0"/>
        <w:spacing w:before="240" w:after="0"/>
        <w:ind w:firstLine="283"/>
        <w:jc w:val="both"/>
        <w:rPr>
          <w:rFonts w:ascii="Simplified Arabic" w:hAnsi="Simplified Arabic" w:cs="Simplified Arabic"/>
          <w:sz w:val="24"/>
          <w:szCs w:val="24"/>
          <w:rtl/>
          <w:lang w:val="en-US" w:bidi="ar-DZ"/>
        </w:rPr>
      </w:pPr>
      <w:r w:rsidRPr="009501BE">
        <w:rPr>
          <w:rFonts w:ascii="Simplified Arabic" w:hAnsi="Simplified Arabic" w:cs="Simplified Arabic" w:hint="cs"/>
          <w:sz w:val="24"/>
          <w:szCs w:val="24"/>
          <w:rtl/>
          <w:lang w:val="en-US" w:bidi="ar-DZ"/>
        </w:rPr>
        <w:t>من</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حيث</w:t>
      </w:r>
      <w:r w:rsidRPr="009501BE">
        <w:rPr>
          <w:rFonts w:ascii="Simplified Arabic" w:hAnsi="Simplified Arabic" w:cs="Simplified Arabic"/>
          <w:sz w:val="24"/>
          <w:szCs w:val="24"/>
          <w:rtl/>
          <w:lang w:val="en-US" w:bidi="ar-DZ"/>
        </w:rPr>
        <w:t xml:space="preserve"> </w:t>
      </w:r>
      <w:r w:rsidRPr="009501BE">
        <w:rPr>
          <w:rFonts w:ascii="Simplified Arabic" w:hAnsi="Simplified Arabic" w:cs="Simplified Arabic" w:hint="cs"/>
          <w:sz w:val="24"/>
          <w:szCs w:val="24"/>
          <w:rtl/>
          <w:lang w:val="en-US" w:bidi="ar-DZ"/>
        </w:rPr>
        <w:t xml:space="preserve">التوزيع المكاني </w:t>
      </w:r>
      <w:r w:rsidR="0090405A">
        <w:rPr>
          <w:rFonts w:ascii="Simplified Arabic" w:hAnsi="Simplified Arabic" w:cs="Simplified Arabic" w:hint="cs"/>
          <w:sz w:val="24"/>
          <w:szCs w:val="24"/>
          <w:rtl/>
          <w:lang w:val="en-US" w:bidi="ar-DZ"/>
        </w:rPr>
        <w:t>لمتوسط عمق الطرق الرئيسية</w:t>
      </w:r>
      <w:r w:rsidR="0090405A" w:rsidRPr="009501BE">
        <w:rPr>
          <w:rFonts w:ascii="Simplified Arabic" w:hAnsi="Simplified Arabic" w:cs="Simplified Arabic" w:hint="cs"/>
          <w:sz w:val="24"/>
          <w:szCs w:val="24"/>
          <w:rtl/>
          <w:lang w:val="en-US" w:bidi="ar-DZ"/>
        </w:rPr>
        <w:t xml:space="preserve"> </w:t>
      </w:r>
      <w:r w:rsidR="0090405A">
        <w:rPr>
          <w:rFonts w:ascii="Simplified Arabic" w:hAnsi="Simplified Arabic" w:cs="Simplified Arabic" w:hint="cs"/>
          <w:sz w:val="24"/>
          <w:szCs w:val="24"/>
          <w:rtl/>
          <w:lang w:val="en-US" w:bidi="ar-DZ"/>
        </w:rPr>
        <w:t>والثانوية</w:t>
      </w:r>
      <w:r w:rsidRPr="009501BE">
        <w:rPr>
          <w:rFonts w:ascii="Simplified Arabic" w:hAnsi="Simplified Arabic" w:cs="Simplified Arabic" w:hint="cs"/>
          <w:sz w:val="24"/>
          <w:szCs w:val="24"/>
          <w:rtl/>
          <w:lang w:val="en-US" w:bidi="ar-DZ"/>
        </w:rPr>
        <w:t xml:space="preserve">، </w:t>
      </w:r>
      <w:r w:rsidR="0090405A">
        <w:rPr>
          <w:rFonts w:ascii="Simplified Arabic" w:hAnsi="Simplified Arabic" w:cs="Simplified Arabic" w:hint="cs"/>
          <w:sz w:val="24"/>
          <w:szCs w:val="24"/>
          <w:rtl/>
          <w:lang w:val="en-US" w:bidi="ar-DZ"/>
        </w:rPr>
        <w:t>ظهر</w:t>
      </w:r>
      <w:r w:rsidRPr="009501BE">
        <w:rPr>
          <w:rFonts w:ascii="Simplified Arabic" w:hAnsi="Simplified Arabic" w:cs="Simplified Arabic" w:hint="cs"/>
          <w:sz w:val="24"/>
          <w:szCs w:val="24"/>
          <w:rtl/>
          <w:lang w:val="en-US" w:bidi="ar-DZ"/>
        </w:rPr>
        <w:t xml:space="preserve"> ان هناك تباين </w:t>
      </w:r>
      <w:r>
        <w:rPr>
          <w:rFonts w:ascii="Simplified Arabic" w:hAnsi="Simplified Arabic" w:cs="Simplified Arabic" w:hint="cs"/>
          <w:sz w:val="24"/>
          <w:szCs w:val="24"/>
          <w:rtl/>
          <w:lang w:val="en-US" w:bidi="ar-DZ"/>
        </w:rPr>
        <w:t xml:space="preserve">حول مستويات </w:t>
      </w:r>
      <w:r w:rsidRPr="00094797">
        <w:rPr>
          <w:rFonts w:ascii="Simplified Arabic" w:hAnsi="Simplified Arabic" w:cs="Simplified Arabic" w:hint="cs"/>
          <w:sz w:val="24"/>
          <w:szCs w:val="24"/>
          <w:rtl/>
          <w:lang w:val="en-US" w:bidi="ar-DZ"/>
        </w:rPr>
        <w:t>إمكانية</w:t>
      </w:r>
      <w:r w:rsidRPr="0009479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w:t>
      </w:r>
      <w:r w:rsidRPr="00094797">
        <w:rPr>
          <w:rFonts w:ascii="Simplified Arabic" w:hAnsi="Simplified Arabic" w:cs="Simplified Arabic" w:hint="cs"/>
          <w:sz w:val="24"/>
          <w:szCs w:val="24"/>
          <w:rtl/>
          <w:lang w:val="en-US" w:bidi="ar-DZ"/>
        </w:rPr>
        <w:t>وصول</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إلى</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جميع</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الأنحاء</w:t>
      </w:r>
      <w:r w:rsidRPr="00094797">
        <w:rPr>
          <w:rFonts w:ascii="Simplified Arabic" w:hAnsi="Simplified Arabic" w:cs="Simplified Arabic"/>
          <w:sz w:val="24"/>
          <w:szCs w:val="24"/>
          <w:rtl/>
          <w:lang w:val="en-US" w:bidi="ar-DZ"/>
        </w:rPr>
        <w:t xml:space="preserve"> </w:t>
      </w:r>
      <w:r w:rsidRPr="00094797">
        <w:rPr>
          <w:rFonts w:ascii="Simplified Arabic" w:hAnsi="Simplified Arabic" w:cs="Simplified Arabic" w:hint="cs"/>
          <w:sz w:val="24"/>
          <w:szCs w:val="24"/>
          <w:rtl/>
          <w:lang w:val="en-US" w:bidi="ar-DZ"/>
        </w:rPr>
        <w:t>المحتملة لأحياء</w:t>
      </w:r>
      <w:r w:rsidRPr="00830775">
        <w:rPr>
          <w:rFonts w:ascii="Simplified Arabic" w:hAnsi="Simplified Arabic" w:cs="Simplified Arabic" w:hint="cs"/>
          <w:sz w:val="24"/>
          <w:szCs w:val="24"/>
          <w:rtl/>
          <w:lang w:val="en-US" w:bidi="ar-DZ"/>
        </w:rPr>
        <w:t xml:space="preserve"> </w:t>
      </w:r>
      <w:r w:rsidRPr="009501BE">
        <w:rPr>
          <w:rFonts w:ascii="Simplified Arabic" w:hAnsi="Simplified Arabic" w:cs="Simplified Arabic" w:hint="cs"/>
          <w:sz w:val="24"/>
          <w:szCs w:val="24"/>
          <w:rtl/>
          <w:lang w:val="en-US" w:bidi="ar-DZ"/>
        </w:rPr>
        <w:t>فئات الانسجة الحضرية الاربعة</w:t>
      </w:r>
      <w:r>
        <w:rPr>
          <w:rFonts w:ascii="Simplified Arabic" w:hAnsi="Simplified Arabic" w:cs="Simplified Arabic" w:hint="cs"/>
          <w:sz w:val="24"/>
          <w:szCs w:val="24"/>
          <w:rtl/>
          <w:lang w:val="en-US" w:bidi="ar-DZ"/>
        </w:rPr>
        <w:t>، كما هو موضح في الشكل (6-</w:t>
      </w:r>
      <w:r w:rsidR="00F377EC">
        <w:rPr>
          <w:rFonts w:ascii="Simplified Arabic" w:hAnsi="Simplified Arabic" w:cs="Simplified Arabic" w:hint="cs"/>
          <w:sz w:val="24"/>
          <w:szCs w:val="24"/>
          <w:rtl/>
          <w:lang w:val="en-US" w:bidi="ar-DZ"/>
        </w:rPr>
        <w:t>23</w:t>
      </w:r>
      <w:r>
        <w:rPr>
          <w:rFonts w:ascii="Simplified Arabic" w:hAnsi="Simplified Arabic" w:cs="Simplified Arabic" w:hint="cs"/>
          <w:sz w:val="24"/>
          <w:szCs w:val="24"/>
          <w:rtl/>
          <w:lang w:val="en-US" w:bidi="ar-DZ"/>
        </w:rPr>
        <w:t>).</w:t>
      </w:r>
      <w:r w:rsidRPr="009501BE">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يمكن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تفسير</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ذلك</w:t>
      </w:r>
      <w:r w:rsidR="0090405A">
        <w:rPr>
          <w:rFonts w:ascii="Simplified Arabic" w:hAnsi="Simplified Arabic" w:cs="Simplified Arabic" w:hint="cs"/>
          <w:sz w:val="24"/>
          <w:szCs w:val="24"/>
          <w:rtl/>
          <w:lang w:val="en-US" w:bidi="ar-DZ"/>
        </w:rPr>
        <w:t>،</w:t>
      </w:r>
      <w:r w:rsidRPr="00DA3837">
        <w:rPr>
          <w:rFonts w:ascii="Simplified Arabic" w:hAnsi="Simplified Arabic" w:cs="Simplified Arabic"/>
          <w:sz w:val="24"/>
          <w:szCs w:val="24"/>
          <w:rtl/>
          <w:lang w:val="en-US" w:bidi="ar-DZ"/>
        </w:rPr>
        <w:t xml:space="preserve"> </w:t>
      </w:r>
      <w:r w:rsidR="007B1F0B">
        <w:rPr>
          <w:rFonts w:ascii="Simplified Arabic" w:hAnsi="Simplified Arabic" w:cs="Simplified Arabic" w:hint="cs"/>
          <w:sz w:val="24"/>
          <w:szCs w:val="24"/>
          <w:rtl/>
          <w:lang w:val="en-US" w:bidi="ar-DZ"/>
        </w:rPr>
        <w:t>من خلال</w:t>
      </w:r>
      <w:r w:rsidR="0090405A">
        <w:rPr>
          <w:rFonts w:ascii="Simplified Arabic" w:hAnsi="Simplified Arabic" w:cs="Simplified Arabic" w:hint="cs"/>
          <w:sz w:val="24"/>
          <w:szCs w:val="24"/>
          <w:rtl/>
          <w:lang w:val="en-US" w:bidi="ar-DZ"/>
        </w:rPr>
        <w:t xml:space="preserve"> مرحلة توسع الاحياء المخططة لم تأخذ بعين الاعتبار ربط الطرق الرئيسية بطرق ثانوية</w:t>
      </w:r>
      <w:r w:rsidR="002F2579">
        <w:rPr>
          <w:rFonts w:ascii="Simplified Arabic" w:hAnsi="Simplified Arabic" w:cs="Simplified Arabic" w:hint="cs"/>
          <w:sz w:val="24"/>
          <w:szCs w:val="24"/>
          <w:rtl/>
          <w:lang w:val="en-US" w:bidi="ar-DZ"/>
        </w:rPr>
        <w:t xml:space="preserve"> </w:t>
      </w:r>
      <w:r w:rsidR="007B1F0B">
        <w:rPr>
          <w:rFonts w:ascii="Simplified Arabic" w:hAnsi="Simplified Arabic" w:cs="Simplified Arabic" w:hint="cs"/>
          <w:sz w:val="24"/>
          <w:szCs w:val="24"/>
          <w:rtl/>
          <w:lang w:val="en-US" w:bidi="ar-DZ"/>
        </w:rPr>
        <w:t xml:space="preserve">او </w:t>
      </w:r>
      <w:r w:rsidRPr="00DA3837">
        <w:rPr>
          <w:rFonts w:ascii="Simplified Arabic" w:hAnsi="Simplified Arabic" w:cs="Simplified Arabic" w:hint="cs"/>
          <w:sz w:val="24"/>
          <w:szCs w:val="24"/>
          <w:rtl/>
          <w:lang w:val="en-US" w:bidi="ar-DZ"/>
        </w:rPr>
        <w:t>من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خلال</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التكوين</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غير</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المنتظم</w:t>
      </w:r>
      <w:r w:rsidRPr="00DA383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للتقسيمات الفرعية و</w:t>
      </w:r>
      <w:r w:rsidRPr="00DA3837">
        <w:rPr>
          <w:rFonts w:ascii="Simplified Arabic" w:hAnsi="Simplified Arabic" w:cs="Simplified Arabic" w:hint="cs"/>
          <w:sz w:val="24"/>
          <w:szCs w:val="24"/>
          <w:rtl/>
          <w:lang w:val="en-US" w:bidi="ar-DZ"/>
        </w:rPr>
        <w:t>لشبكة</w:t>
      </w:r>
      <w:r w:rsidRPr="00DA3837">
        <w:rPr>
          <w:rFonts w:ascii="Simplified Arabic" w:hAnsi="Simplified Arabic" w:cs="Simplified Arabic"/>
          <w:sz w:val="24"/>
          <w:szCs w:val="24"/>
          <w:rtl/>
          <w:lang w:val="en-US" w:bidi="ar-DZ"/>
        </w:rPr>
        <w:t xml:space="preserve"> </w:t>
      </w:r>
      <w:r w:rsidRPr="00DA3837">
        <w:rPr>
          <w:rFonts w:ascii="Simplified Arabic" w:hAnsi="Simplified Arabic" w:cs="Simplified Arabic" w:hint="cs"/>
          <w:sz w:val="24"/>
          <w:szCs w:val="24"/>
          <w:rtl/>
          <w:lang w:val="en-US" w:bidi="ar-DZ"/>
        </w:rPr>
        <w:t>الشوارع</w:t>
      </w:r>
      <w:r>
        <w:rPr>
          <w:rFonts w:ascii="Simplified Arabic" w:hAnsi="Simplified Arabic" w:cs="Simplified Arabic" w:hint="cs"/>
          <w:sz w:val="24"/>
          <w:szCs w:val="24"/>
          <w:rtl/>
          <w:lang w:val="en-US" w:bidi="ar-DZ"/>
        </w:rPr>
        <w:t xml:space="preserve"> </w:t>
      </w:r>
      <w:r w:rsidR="002F2579">
        <w:rPr>
          <w:rFonts w:ascii="Simplified Arabic" w:hAnsi="Simplified Arabic" w:cs="Simplified Arabic" w:hint="cs"/>
          <w:sz w:val="24"/>
          <w:szCs w:val="24"/>
          <w:rtl/>
          <w:lang w:val="en-US" w:bidi="ar-DZ"/>
        </w:rPr>
        <w:t>للأحياء غير المخططة.</w:t>
      </w:r>
      <w:r w:rsidRPr="00DA3837">
        <w:rPr>
          <w:rFonts w:ascii="Simplified Arabic" w:hAnsi="Simplified Arabic" w:cs="Simplified Arabic"/>
          <w:sz w:val="24"/>
          <w:szCs w:val="24"/>
          <w:rtl/>
          <w:lang w:val="en-US" w:bidi="ar-DZ"/>
        </w:rPr>
        <w:t xml:space="preserve"> </w:t>
      </w:r>
    </w:p>
    <w:p w:rsidR="0090405A" w:rsidRPr="00730663" w:rsidRDefault="0090405A" w:rsidP="00730663">
      <w:pPr>
        <w:pStyle w:val="fegure"/>
        <w:spacing w:before="240"/>
        <w:rPr>
          <w:sz w:val="8"/>
          <w:szCs w:val="24"/>
          <w:rtl/>
          <w:lang w:bidi="ar-DZ"/>
        </w:rPr>
      </w:pPr>
      <w:bookmarkStart w:id="961" w:name="_Toc157608379"/>
      <w:bookmarkStart w:id="962" w:name="_Toc171803885"/>
      <w:r w:rsidRPr="00730663">
        <w:rPr>
          <w:rFonts w:hint="cs"/>
          <w:sz w:val="8"/>
          <w:szCs w:val="24"/>
          <w:rtl/>
          <w:lang w:bidi="ar-DZ"/>
        </w:rPr>
        <w:t>الشكل (6-</w:t>
      </w:r>
      <w:r w:rsidR="005373F7" w:rsidRPr="00730663">
        <w:rPr>
          <w:rFonts w:hint="cs"/>
          <w:sz w:val="8"/>
          <w:szCs w:val="24"/>
          <w:rtl/>
          <w:lang w:bidi="ar-DZ"/>
        </w:rPr>
        <w:t>23</w:t>
      </w:r>
      <w:r w:rsidRPr="00730663">
        <w:rPr>
          <w:rFonts w:hint="cs"/>
          <w:sz w:val="8"/>
          <w:szCs w:val="24"/>
          <w:rtl/>
          <w:lang w:bidi="ar-DZ"/>
        </w:rPr>
        <w:t xml:space="preserve">): </w:t>
      </w:r>
      <w:r w:rsidRPr="00730663">
        <w:rPr>
          <w:rFonts w:hint="cs"/>
          <w:sz w:val="8"/>
          <w:szCs w:val="24"/>
          <w:rtl/>
          <w:lang w:val="en-US" w:bidi="ar-DZ"/>
        </w:rPr>
        <w:t>مقارن</w:t>
      </w:r>
      <w:r w:rsidR="00730663">
        <w:rPr>
          <w:rFonts w:hint="cs"/>
          <w:sz w:val="8"/>
          <w:szCs w:val="24"/>
          <w:rtl/>
          <w:lang w:val="en-US" w:bidi="ar-DZ"/>
        </w:rPr>
        <w:t>ة</w:t>
      </w:r>
      <w:r w:rsidRPr="00730663">
        <w:rPr>
          <w:sz w:val="8"/>
          <w:szCs w:val="24"/>
          <w:rtl/>
          <w:lang w:val="en-US" w:bidi="ar-DZ"/>
        </w:rPr>
        <w:t xml:space="preserve"> </w:t>
      </w:r>
      <w:r w:rsidRPr="00730663">
        <w:rPr>
          <w:rFonts w:hint="cs"/>
          <w:sz w:val="8"/>
          <w:szCs w:val="24"/>
          <w:rtl/>
          <w:lang w:val="en-US" w:bidi="ar-DZ"/>
        </w:rPr>
        <w:t xml:space="preserve">متوسط </w:t>
      </w:r>
      <w:r w:rsidR="00F43011" w:rsidRPr="00730663">
        <w:rPr>
          <w:rFonts w:hint="cs"/>
          <w:sz w:val="8"/>
          <w:szCs w:val="24"/>
          <w:rtl/>
          <w:lang w:val="en-US" w:bidi="ar-DZ"/>
        </w:rPr>
        <w:t>عمق</w:t>
      </w:r>
      <w:r w:rsidRPr="00730663">
        <w:rPr>
          <w:sz w:val="8"/>
          <w:szCs w:val="24"/>
          <w:rtl/>
          <w:lang w:val="en-US" w:bidi="ar-DZ"/>
        </w:rPr>
        <w:t xml:space="preserve"> </w:t>
      </w:r>
      <w:r w:rsidRPr="00730663">
        <w:rPr>
          <w:rFonts w:hint="cs"/>
          <w:sz w:val="8"/>
          <w:szCs w:val="24"/>
          <w:rtl/>
          <w:lang w:val="en-US" w:bidi="ar-DZ"/>
        </w:rPr>
        <w:t>الطرق</w:t>
      </w:r>
      <w:r w:rsidRPr="00730663">
        <w:rPr>
          <w:sz w:val="8"/>
          <w:szCs w:val="24"/>
          <w:rtl/>
          <w:lang w:val="en-US" w:bidi="ar-DZ"/>
        </w:rPr>
        <w:t xml:space="preserve"> </w:t>
      </w:r>
      <w:r w:rsidRPr="00730663">
        <w:rPr>
          <w:rFonts w:hint="cs"/>
          <w:sz w:val="8"/>
          <w:szCs w:val="24"/>
          <w:rtl/>
          <w:lang w:val="en-US" w:bidi="ar-DZ"/>
        </w:rPr>
        <w:t>الرئيسية</w:t>
      </w:r>
      <w:r w:rsidRPr="00730663">
        <w:rPr>
          <w:sz w:val="8"/>
          <w:szCs w:val="24"/>
          <w:rtl/>
          <w:lang w:val="en-US" w:bidi="ar-DZ"/>
        </w:rPr>
        <w:t xml:space="preserve"> </w:t>
      </w:r>
      <w:r w:rsidRPr="00730663">
        <w:rPr>
          <w:rFonts w:hint="cs"/>
          <w:sz w:val="8"/>
          <w:szCs w:val="24"/>
          <w:rtl/>
          <w:lang w:val="en-US" w:bidi="ar-DZ"/>
        </w:rPr>
        <w:t xml:space="preserve">والثانوية </w:t>
      </w:r>
      <w:r w:rsidRPr="00730663">
        <w:rPr>
          <w:rFonts w:hint="cs"/>
          <w:sz w:val="8"/>
          <w:szCs w:val="24"/>
          <w:rtl/>
          <w:lang w:bidi="ar-DZ"/>
        </w:rPr>
        <w:t>عبر حي القصر، بلاتو، سيدي سليمان والحمايد</w:t>
      </w:r>
      <w:bookmarkEnd w:id="961"/>
      <w:bookmarkEnd w:id="962"/>
    </w:p>
    <w:p w:rsidR="00986BEA" w:rsidRPr="00986BEA" w:rsidRDefault="00986BEA" w:rsidP="00986BEA">
      <w:pPr>
        <w:pStyle w:val="fegure"/>
        <w:rPr>
          <w:sz w:val="8"/>
          <w:szCs w:val="24"/>
          <w:rtl/>
          <w:lang w:val="en-US"/>
        </w:rPr>
      </w:pPr>
      <w:bookmarkStart w:id="963" w:name="_Toc171803886"/>
      <w:r>
        <w:rPr>
          <w:rFonts w:hint="cs"/>
          <w:sz w:val="8"/>
          <w:szCs w:val="24"/>
          <w:rtl/>
          <w:lang w:val="en-US" w:bidi="ar-DZ"/>
        </w:rPr>
        <w:t xml:space="preserve">المصدر: </w:t>
      </w:r>
      <w:r>
        <w:rPr>
          <w:rFonts w:hint="cs"/>
          <w:sz w:val="8"/>
          <w:szCs w:val="24"/>
          <w:rtl/>
          <w:lang w:val="en-US"/>
        </w:rPr>
        <w:t>(الباحث، 2022)</w:t>
      </w:r>
      <w:bookmarkEnd w:id="963"/>
    </w:p>
    <w:p w:rsidR="0090405A" w:rsidRDefault="007B1F0B" w:rsidP="007B1F0B">
      <w:pPr>
        <w:bidi/>
        <w:spacing w:after="0" w:line="240" w:lineRule="auto"/>
        <w:jc w:val="center"/>
        <w:rPr>
          <w:rFonts w:ascii="Simplified Arabic" w:hAnsi="Simplified Arabic" w:cs="Simplified Arabic"/>
          <w:sz w:val="24"/>
          <w:szCs w:val="24"/>
          <w:rtl/>
          <w:lang w:val="en-US" w:bidi="ar-DZ"/>
        </w:rPr>
      </w:pPr>
      <w:r>
        <w:rPr>
          <w:noProof/>
          <w:lang w:eastAsia="fr-FR"/>
        </w:rPr>
        <w:drawing>
          <wp:inline distT="0" distB="0" distL="0" distR="0" wp14:anchorId="1BAEFBBB" wp14:editId="22FBF36D">
            <wp:extent cx="3588589" cy="2648309"/>
            <wp:effectExtent l="0" t="0" r="12065" b="19050"/>
            <wp:docPr id="94" name="Graphique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1"/>
              </a:graphicData>
            </a:graphic>
          </wp:inline>
        </w:drawing>
      </w:r>
    </w:p>
    <w:p w:rsidR="002A686B" w:rsidRPr="00FB6008" w:rsidRDefault="002A686B" w:rsidP="001D0548">
      <w:pPr>
        <w:pStyle w:val="Paragraphedeliste"/>
        <w:numPr>
          <w:ilvl w:val="2"/>
          <w:numId w:val="188"/>
        </w:numPr>
        <w:tabs>
          <w:tab w:val="right" w:pos="850"/>
        </w:tabs>
        <w:bidi/>
        <w:spacing w:before="240" w:after="0"/>
        <w:ind w:left="0" w:firstLine="0"/>
        <w:jc w:val="both"/>
        <w:outlineLvl w:val="1"/>
        <w:rPr>
          <w:rFonts w:ascii="Simplified Arabic" w:hAnsi="Simplified Arabic" w:cs="Simplified Arabic"/>
          <w:b/>
          <w:bCs/>
          <w:sz w:val="24"/>
          <w:szCs w:val="24"/>
          <w:rtl/>
          <w:lang w:bidi="ar-DZ"/>
        </w:rPr>
      </w:pPr>
      <w:bookmarkStart w:id="964" w:name="_Toc171803887"/>
      <w:r w:rsidRPr="00FB6008">
        <w:rPr>
          <w:rFonts w:ascii="Simplified Arabic" w:hAnsi="Simplified Arabic" w:cs="Simplified Arabic" w:hint="cs"/>
          <w:b/>
          <w:bCs/>
          <w:sz w:val="24"/>
          <w:szCs w:val="24"/>
          <w:rtl/>
          <w:lang w:bidi="ar-DZ"/>
        </w:rPr>
        <w:t>سمة التكرار</w:t>
      </w:r>
      <w:bookmarkEnd w:id="964"/>
      <w:r w:rsidRPr="00FB6008">
        <w:rPr>
          <w:rFonts w:ascii="Simplified Arabic" w:hAnsi="Simplified Arabic" w:cs="Simplified Arabic" w:hint="cs"/>
          <w:b/>
          <w:bCs/>
          <w:sz w:val="24"/>
          <w:szCs w:val="24"/>
          <w:rtl/>
          <w:lang w:bidi="ar-DZ"/>
        </w:rPr>
        <w:t xml:space="preserve"> </w:t>
      </w:r>
    </w:p>
    <w:p w:rsidR="00BF42ED" w:rsidRDefault="002A686B" w:rsidP="00F377EC">
      <w:pPr>
        <w:autoSpaceDE w:val="0"/>
        <w:autoSpaceDN w:val="0"/>
        <w:bidi/>
        <w:adjustRightInd w:val="0"/>
        <w:spacing w:after="0"/>
        <w:ind w:firstLine="282"/>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تم الكشف عن سمة التكرار باستخدام برنامج </w:t>
      </w:r>
      <w:r w:rsidRPr="00C5334C">
        <w:rPr>
          <w:rFonts w:asciiTheme="majorBidi" w:hAnsiTheme="majorBidi" w:cstheme="majorBidi"/>
          <w:sz w:val="24"/>
          <w:szCs w:val="24"/>
        </w:rPr>
        <w:t>Arc GIS 10.3</w:t>
      </w:r>
      <w:r>
        <w:rPr>
          <w:rFonts w:ascii="Simplified Arabic" w:hAnsi="Simplified Arabic" w:cs="Simplified Arabic" w:hint="cs"/>
          <w:sz w:val="24"/>
          <w:szCs w:val="24"/>
          <w:rtl/>
        </w:rPr>
        <w:t xml:space="preserve">، تم انشاء خريطة </w:t>
      </w:r>
      <w:r w:rsidR="008F1B5A">
        <w:rPr>
          <w:rFonts w:ascii="Simplified Arabic" w:hAnsi="Simplified Arabic" w:cs="Simplified Arabic" w:hint="cs"/>
          <w:sz w:val="24"/>
          <w:szCs w:val="24"/>
          <w:rtl/>
        </w:rPr>
        <w:t xml:space="preserve">لكل </w:t>
      </w:r>
      <w:r w:rsidR="008F1B5A">
        <w:rPr>
          <w:rFonts w:ascii="Simplified Arabic" w:hAnsi="Simplified Arabic" w:cs="Simplified Arabic" w:hint="cs"/>
          <w:sz w:val="24"/>
          <w:szCs w:val="24"/>
          <w:rtl/>
          <w:lang w:bidi="ar-DZ"/>
        </w:rPr>
        <w:t>حي سكني: القصر، بلاتو، سيدي سليمان والحمايد</w:t>
      </w:r>
      <w:r w:rsidR="008F1B5A" w:rsidRPr="00B82A42">
        <w:rPr>
          <w:rFonts w:ascii="Simplified Arabic" w:hAnsi="Simplified Arabic" w:cs="Simplified Arabic" w:hint="cs"/>
          <w:sz w:val="24"/>
          <w:szCs w:val="24"/>
          <w:rtl/>
          <w:lang w:bidi="ar-DZ"/>
        </w:rPr>
        <w:t xml:space="preserve"> </w:t>
      </w:r>
      <w:r w:rsidR="008F1B5A">
        <w:rPr>
          <w:rFonts w:ascii="Simplified Arabic" w:hAnsi="Simplified Arabic" w:cs="Simplified Arabic" w:hint="cs"/>
          <w:sz w:val="24"/>
          <w:szCs w:val="24"/>
          <w:rtl/>
          <w:lang w:bidi="ar-DZ"/>
        </w:rPr>
        <w:t>التي تمثل فئات النسيج الحضري الاربعة</w:t>
      </w:r>
      <w:r>
        <w:rPr>
          <w:rFonts w:ascii="Simplified Arabic" w:hAnsi="Simplified Arabic" w:cs="Simplified Arabic" w:hint="cs"/>
          <w:sz w:val="24"/>
          <w:szCs w:val="24"/>
          <w:rtl/>
        </w:rPr>
        <w:t xml:space="preserve">، </w:t>
      </w:r>
      <w:r w:rsidRPr="00214967">
        <w:rPr>
          <w:rFonts w:ascii="Simplified Arabic" w:hAnsi="Simplified Arabic" w:cs="Simplified Arabic" w:hint="cs"/>
          <w:sz w:val="24"/>
          <w:szCs w:val="24"/>
          <w:rtl/>
        </w:rPr>
        <w:t>تظهر</w:t>
      </w:r>
      <w:r>
        <w:rPr>
          <w:rFonts w:ascii="Simplified Arabic" w:hAnsi="Simplified Arabic" w:cs="Simplified Arabic" w:hint="cs"/>
          <w:sz w:val="24"/>
          <w:szCs w:val="24"/>
          <w:rtl/>
        </w:rPr>
        <w:t xml:space="preserve"> عدد تقاطعات الطرق </w:t>
      </w:r>
      <w:r w:rsidR="002F2579">
        <w:rPr>
          <w:rFonts w:ascii="Simplified Arabic" w:hAnsi="Simplified Arabic" w:cs="Simplified Arabic" w:hint="cs"/>
          <w:sz w:val="24"/>
          <w:szCs w:val="24"/>
          <w:rtl/>
        </w:rPr>
        <w:t>الرئيسية والثانوية</w:t>
      </w:r>
      <w:r>
        <w:rPr>
          <w:rFonts w:ascii="Simplified Arabic" w:hAnsi="Simplified Arabic" w:cs="Simplified Arabic" w:hint="cs"/>
          <w:sz w:val="24"/>
          <w:szCs w:val="24"/>
          <w:rtl/>
        </w:rPr>
        <w:t xml:space="preserve"> والداخلية </w:t>
      </w:r>
      <w:r w:rsidRPr="007F5486">
        <w:rPr>
          <w:rFonts w:ascii="Simplified Arabic" w:eastAsia="Times New Roman" w:hAnsi="Simplified Arabic" w:cs="Simplified Arabic"/>
          <w:b/>
          <w:sz w:val="24"/>
          <w:szCs w:val="24"/>
          <w:rtl/>
          <w:lang w:val="en-US" w:eastAsia="fr-FR"/>
        </w:rPr>
        <w:t>لكل وحدة مساحة (</w:t>
      </w:r>
      <w:r w:rsidR="00C23B81">
        <w:rPr>
          <w:rFonts w:ascii="Simplified Arabic" w:eastAsia="Times New Roman" w:hAnsi="Simplified Arabic" w:cs="Simplified Arabic" w:hint="cs"/>
          <w:b/>
          <w:sz w:val="24"/>
          <w:szCs w:val="24"/>
          <w:rtl/>
          <w:lang w:val="en-US" w:eastAsia="fr-FR"/>
        </w:rPr>
        <w:t>تقاطع</w:t>
      </w:r>
      <w:r w:rsidRPr="007F5486">
        <w:rPr>
          <w:rFonts w:ascii="Simplified Arabic" w:eastAsia="Times New Roman" w:hAnsi="Simplified Arabic" w:cs="Simplified Arabic"/>
          <w:b/>
          <w:sz w:val="24"/>
          <w:szCs w:val="24"/>
          <w:rtl/>
          <w:lang w:val="en-US" w:eastAsia="fr-FR"/>
        </w:rPr>
        <w:t>/</w:t>
      </w:r>
      <w:r w:rsidRPr="00D4062F">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كلم</w:t>
      </w:r>
      <w:r w:rsidRPr="00D4062F">
        <w:rPr>
          <w:rFonts w:ascii="Simplified Arabic" w:eastAsia="Times New Roman" w:hAnsi="Simplified Arabic" w:cs="Simplified Arabic" w:hint="cs"/>
          <w:b/>
          <w:sz w:val="24"/>
          <w:szCs w:val="24"/>
          <w:vertAlign w:val="superscript"/>
          <w:rtl/>
          <w:lang w:val="en-US" w:eastAsia="fr-FR"/>
        </w:rPr>
        <w:t>2</w:t>
      </w:r>
      <w:r w:rsidRPr="007F5486">
        <w:rPr>
          <w:rFonts w:ascii="Simplified Arabic" w:eastAsia="Times New Roman" w:hAnsi="Simplified Arabic" w:cs="Simplified Arabic"/>
          <w:b/>
          <w:sz w:val="24"/>
          <w:szCs w:val="24"/>
          <w:rtl/>
          <w:lang w:val="en-US" w:eastAsia="fr-FR"/>
        </w:rPr>
        <w:t>)</w:t>
      </w:r>
      <w:r w:rsidR="00F4495C">
        <w:rPr>
          <w:rFonts w:ascii="Simplified Arabic" w:eastAsia="Times New Roman" w:hAnsi="Simplified Arabic" w:cs="Simplified Arabic" w:hint="cs"/>
          <w:b/>
          <w:sz w:val="24"/>
          <w:szCs w:val="24"/>
          <w:rtl/>
          <w:lang w:val="en-US" w:eastAsia="fr-FR"/>
        </w:rPr>
        <w:t>،</w:t>
      </w:r>
      <w:r w:rsidR="00F4495C" w:rsidRPr="00F4495C">
        <w:rPr>
          <w:rFonts w:ascii="Simplified Arabic" w:hAnsi="Simplified Arabic" w:cs="Simplified Arabic" w:hint="cs"/>
          <w:sz w:val="24"/>
          <w:szCs w:val="24"/>
          <w:rtl/>
          <w:lang w:val="en-US" w:bidi="ar-DZ"/>
        </w:rPr>
        <w:t xml:space="preserve"> </w:t>
      </w:r>
      <w:r w:rsidR="00F4495C" w:rsidRPr="00C5250E">
        <w:rPr>
          <w:rFonts w:ascii="Simplified Arabic" w:hAnsi="Simplified Arabic" w:cs="Simplified Arabic" w:hint="cs"/>
          <w:sz w:val="24"/>
          <w:szCs w:val="24"/>
          <w:rtl/>
          <w:lang w:val="en-US" w:bidi="ar-DZ"/>
        </w:rPr>
        <w:t>كما</w:t>
      </w:r>
      <w:r w:rsidR="00F4495C" w:rsidRPr="00C5250E">
        <w:rPr>
          <w:rFonts w:ascii="Simplified Arabic" w:hAnsi="Simplified Arabic" w:cs="Simplified Arabic"/>
          <w:sz w:val="24"/>
          <w:szCs w:val="24"/>
          <w:rtl/>
          <w:lang w:val="en-US" w:bidi="ar-DZ"/>
        </w:rPr>
        <w:t xml:space="preserve"> </w:t>
      </w:r>
      <w:r w:rsidR="00F4495C" w:rsidRPr="00C5250E">
        <w:rPr>
          <w:rFonts w:ascii="Simplified Arabic" w:hAnsi="Simplified Arabic" w:cs="Simplified Arabic" w:hint="cs"/>
          <w:sz w:val="24"/>
          <w:szCs w:val="24"/>
          <w:rtl/>
          <w:lang w:val="en-US" w:bidi="ar-DZ"/>
        </w:rPr>
        <w:t>تم</w:t>
      </w:r>
      <w:r w:rsidR="00F4495C" w:rsidRPr="00C5250E">
        <w:rPr>
          <w:rFonts w:ascii="Simplified Arabic" w:hAnsi="Simplified Arabic" w:cs="Simplified Arabic"/>
          <w:sz w:val="24"/>
          <w:szCs w:val="24"/>
          <w:rtl/>
          <w:lang w:val="en-US" w:bidi="ar-DZ"/>
        </w:rPr>
        <w:t xml:space="preserve"> </w:t>
      </w:r>
      <w:r w:rsidR="00F4495C" w:rsidRPr="00C5250E">
        <w:rPr>
          <w:rFonts w:ascii="Simplified Arabic" w:hAnsi="Simplified Arabic" w:cs="Simplified Arabic" w:hint="cs"/>
          <w:sz w:val="24"/>
          <w:szCs w:val="24"/>
          <w:rtl/>
          <w:lang w:val="en-US" w:bidi="ar-DZ"/>
        </w:rPr>
        <w:t>تلخيصه</w:t>
      </w:r>
      <w:r w:rsidR="00F4495C" w:rsidRPr="00C5250E">
        <w:rPr>
          <w:rFonts w:ascii="Simplified Arabic" w:hAnsi="Simplified Arabic" w:cs="Simplified Arabic"/>
          <w:sz w:val="24"/>
          <w:szCs w:val="24"/>
          <w:rtl/>
          <w:lang w:val="en-US" w:bidi="ar-DZ"/>
        </w:rPr>
        <w:t xml:space="preserve"> </w:t>
      </w:r>
      <w:r w:rsidR="00F4495C">
        <w:rPr>
          <w:rFonts w:ascii="Simplified Arabic" w:hAnsi="Simplified Arabic" w:cs="Simplified Arabic" w:hint="cs"/>
          <w:sz w:val="24"/>
          <w:szCs w:val="24"/>
          <w:rtl/>
          <w:lang w:val="en-US" w:bidi="ar-DZ"/>
        </w:rPr>
        <w:t>في ال</w:t>
      </w:r>
      <w:r w:rsidR="00F4495C" w:rsidRPr="00C954A0">
        <w:rPr>
          <w:rFonts w:ascii="Simplified Arabic" w:hAnsi="Simplified Arabic" w:cs="Simplified Arabic" w:hint="cs"/>
          <w:sz w:val="24"/>
          <w:szCs w:val="24"/>
          <w:rtl/>
          <w:lang w:val="en-US" w:bidi="ar-DZ"/>
        </w:rPr>
        <w:t>جدول (6-</w:t>
      </w:r>
      <w:r w:rsidR="00F377EC">
        <w:rPr>
          <w:rFonts w:ascii="Simplified Arabic" w:hAnsi="Simplified Arabic" w:cs="Simplified Arabic" w:hint="cs"/>
          <w:sz w:val="24"/>
          <w:szCs w:val="24"/>
          <w:rtl/>
          <w:lang w:val="en-US" w:bidi="ar-DZ"/>
        </w:rPr>
        <w:t>10</w:t>
      </w:r>
      <w:r w:rsidR="00F4495C" w:rsidRPr="00C954A0">
        <w:rPr>
          <w:rFonts w:ascii="Simplified Arabic" w:hAnsi="Simplified Arabic" w:cs="Simplified Arabic" w:hint="cs"/>
          <w:sz w:val="24"/>
          <w:szCs w:val="24"/>
          <w:rtl/>
          <w:lang w:val="en-US" w:bidi="ar-DZ"/>
        </w:rPr>
        <w:t>)</w:t>
      </w:r>
      <w:r w:rsidR="00F4495C">
        <w:rPr>
          <w:rFonts w:ascii="Simplified Arabic" w:hAnsi="Simplified Arabic" w:cs="Simplified Arabic" w:hint="cs"/>
          <w:sz w:val="24"/>
          <w:szCs w:val="24"/>
          <w:rtl/>
          <w:lang w:val="en-US" w:bidi="ar-DZ"/>
        </w:rPr>
        <w:t>:</w:t>
      </w:r>
    </w:p>
    <w:p w:rsidR="002A686B" w:rsidRPr="00CF4A92" w:rsidRDefault="007160ED" w:rsidP="00277968">
      <w:pPr>
        <w:pStyle w:val="Paragraphedeliste"/>
        <w:numPr>
          <w:ilvl w:val="0"/>
          <w:numId w:val="69"/>
        </w:numPr>
        <w:autoSpaceDE w:val="0"/>
        <w:autoSpaceDN w:val="0"/>
        <w:bidi/>
        <w:adjustRightInd w:val="0"/>
        <w:spacing w:after="0"/>
        <w:ind w:left="0" w:firstLine="282"/>
        <w:jc w:val="both"/>
        <w:rPr>
          <w:rFonts w:ascii="Simplified Arabic" w:hAnsi="Simplified Arabic" w:cs="Simplified Arabic"/>
          <w:sz w:val="24"/>
          <w:szCs w:val="24"/>
          <w:rtl/>
          <w:lang w:val="en-US" w:bidi="ar-DZ"/>
        </w:rPr>
      </w:pPr>
      <w:r w:rsidRPr="00CF4A92">
        <w:rPr>
          <w:rFonts w:ascii="Simplified Arabic" w:hAnsi="Simplified Arabic" w:cs="Simplified Arabic" w:hint="cs"/>
          <w:sz w:val="24"/>
          <w:szCs w:val="24"/>
          <w:rtl/>
          <w:lang w:val="en-US" w:bidi="ar-DZ"/>
        </w:rPr>
        <w:lastRenderedPageBreak/>
        <w:t>احصى حي القصر (المدينة القديمة) الواقع ضمن</w:t>
      </w:r>
      <w:r w:rsidRPr="00CF4A92">
        <w:rPr>
          <w:rFonts w:ascii="Simplified Arabic" w:hAnsi="Simplified Arabic" w:cs="Simplified Arabic"/>
          <w:sz w:val="24"/>
          <w:szCs w:val="24"/>
          <w:rtl/>
          <w:lang w:val="en-US" w:bidi="ar-DZ"/>
        </w:rPr>
        <w:t xml:space="preserve"> </w:t>
      </w:r>
      <w:r w:rsidRPr="00CF4A92">
        <w:rPr>
          <w:rFonts w:ascii="Simplified Arabic" w:hAnsi="Simplified Arabic" w:cs="Simplified Arabic" w:hint="cs"/>
          <w:sz w:val="24"/>
          <w:szCs w:val="24"/>
          <w:rtl/>
          <w:lang w:val="en-US" w:bidi="ar-DZ"/>
        </w:rPr>
        <w:t>فئة النسيج الحضري (أ)،</w:t>
      </w:r>
      <w:r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حوالي</w:t>
      </w:r>
      <w:r w:rsidR="002A686B" w:rsidRPr="00CF4A92">
        <w:rPr>
          <w:rFonts w:ascii="Simplified Arabic" w:hAnsi="Simplified Arabic" w:cs="Simplified Arabic"/>
          <w:sz w:val="24"/>
          <w:szCs w:val="24"/>
          <w:rtl/>
          <w:lang w:val="en-US" w:bidi="ar-DZ"/>
        </w:rPr>
        <w:t xml:space="preserve"> </w:t>
      </w:r>
      <w:r w:rsidR="003F059C" w:rsidRPr="00CF4A92">
        <w:rPr>
          <w:rFonts w:ascii="Simplified Arabic" w:hAnsi="Simplified Arabic" w:cs="Simplified Arabic" w:hint="cs"/>
          <w:sz w:val="24"/>
          <w:szCs w:val="24"/>
          <w:rtl/>
          <w:lang w:val="en-US" w:bidi="ar-DZ"/>
        </w:rPr>
        <w:t>89</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تقاطع</w:t>
      </w:r>
      <w:r w:rsidR="002A686B" w:rsidRPr="00CF4A92">
        <w:rPr>
          <w:rFonts w:ascii="Simplified Arabic" w:hAnsi="Simplified Arabic" w:cs="Simplified Arabic"/>
          <w:sz w:val="24"/>
          <w:szCs w:val="24"/>
          <w:rtl/>
          <w:lang w:val="en-US" w:bidi="ar-DZ"/>
        </w:rPr>
        <w:t>/</w:t>
      </w:r>
      <w:r w:rsidR="002A686B" w:rsidRPr="00CF4A92">
        <w:rPr>
          <w:rFonts w:ascii="Simplified Arabic" w:hAnsi="Simplified Arabic" w:cs="Simplified Arabic" w:hint="cs"/>
          <w:sz w:val="24"/>
          <w:szCs w:val="24"/>
          <w:rtl/>
          <w:lang w:val="en-US" w:bidi="ar-DZ"/>
        </w:rPr>
        <w:t>كم</w:t>
      </w:r>
      <w:r w:rsidR="002A686B" w:rsidRPr="00CF4A92">
        <w:rPr>
          <w:rFonts w:ascii="Simplified Arabic" w:hAnsi="Simplified Arabic" w:cs="Simplified Arabic"/>
          <w:sz w:val="24"/>
          <w:szCs w:val="24"/>
          <w:vertAlign w:val="superscript"/>
          <w:rtl/>
          <w:lang w:val="en-US" w:bidi="ar-DZ"/>
        </w:rPr>
        <w:t>2</w:t>
      </w:r>
      <w:r w:rsidR="002A686B" w:rsidRPr="00CF4A92">
        <w:rPr>
          <w:rFonts w:ascii="Simplified Arabic" w:hAnsi="Simplified Arabic" w:cs="Simplified Arabic"/>
          <w:sz w:val="24"/>
          <w:szCs w:val="24"/>
          <w:rtl/>
          <w:lang w:val="en-US" w:bidi="ar-DZ"/>
        </w:rPr>
        <w:t xml:space="preserve"> (</w:t>
      </w:r>
      <w:r w:rsidR="003F059C" w:rsidRPr="00CF4A92">
        <w:rPr>
          <w:rFonts w:ascii="Simplified Arabic" w:hAnsi="Simplified Arabic" w:cs="Simplified Arabic" w:hint="cs"/>
          <w:sz w:val="24"/>
          <w:szCs w:val="24"/>
          <w:rtl/>
          <w:lang w:val="en-US" w:bidi="ar-DZ"/>
        </w:rPr>
        <w:t>74</w:t>
      </w:r>
      <w:r w:rsidR="002A686B" w:rsidRPr="00CF4A92">
        <w:rPr>
          <w:rFonts w:ascii="Simplified Arabic" w:hAnsi="Simplified Arabic" w:cs="Simplified Arabic"/>
          <w:sz w:val="24"/>
          <w:szCs w:val="24"/>
          <w:rtl/>
          <w:lang w:val="en-US" w:bidi="ar-DZ"/>
        </w:rPr>
        <w:t xml:space="preserve"> </w:t>
      </w:r>
      <w:r w:rsidR="003F059C" w:rsidRPr="00CF4A92">
        <w:rPr>
          <w:rFonts w:ascii="Simplified Arabic" w:hAnsi="Simplified Arabic" w:cs="Simplified Arabic" w:hint="cs"/>
          <w:sz w:val="24"/>
          <w:szCs w:val="24"/>
          <w:rtl/>
          <w:lang w:val="en-US" w:bidi="ar-DZ"/>
        </w:rPr>
        <w:t>بدون</w:t>
      </w:r>
      <w:r w:rsidR="001A5834" w:rsidRPr="00CF4A92">
        <w:rPr>
          <w:rFonts w:ascii="Simplified Arabic" w:hAnsi="Simplified Arabic" w:cs="Simplified Arabic" w:hint="cs"/>
          <w:sz w:val="24"/>
          <w:szCs w:val="24"/>
          <w:rtl/>
          <w:lang w:val="en-US" w:bidi="ar-DZ"/>
        </w:rPr>
        <w:t xml:space="preserve"> طرق مسدودة</w:t>
      </w:r>
      <w:r w:rsidR="002A686B" w:rsidRPr="00CF4A92">
        <w:rPr>
          <w:rFonts w:ascii="Simplified Arabic" w:hAnsi="Simplified Arabic" w:cs="Simplified Arabic"/>
          <w:sz w:val="24"/>
          <w:szCs w:val="24"/>
          <w:rtl/>
          <w:lang w:val="en-US" w:bidi="ar-DZ"/>
        </w:rPr>
        <w:t xml:space="preserve"> </w:t>
      </w:r>
      <w:r w:rsidR="002A686B" w:rsidRPr="00CF4A92">
        <w:rPr>
          <w:rFonts w:asciiTheme="majorBidi" w:hAnsiTheme="majorBidi" w:cstheme="majorBidi"/>
          <w:sz w:val="24"/>
          <w:szCs w:val="24"/>
          <w:lang w:val="en-US" w:bidi="ar-DZ"/>
        </w:rPr>
        <w:t>cul-de-sac</w:t>
      </w:r>
      <w:r w:rsidR="002A686B" w:rsidRPr="00CF4A92">
        <w:rPr>
          <w:rFonts w:ascii="Simplified Arabic" w:hAnsi="Simplified Arabic" w:cs="Simplified Arabic"/>
          <w:sz w:val="24"/>
          <w:szCs w:val="24"/>
          <w:rtl/>
          <w:lang w:val="en-US" w:bidi="ar-DZ"/>
        </w:rPr>
        <w:t>)</w:t>
      </w:r>
      <w:r w:rsidR="002A686B" w:rsidRPr="00CF4A92">
        <w:rPr>
          <w:rFonts w:ascii="Simplified Arabic" w:hAnsi="Simplified Arabic" w:cs="Simplified Arabic" w:hint="cs"/>
          <w:sz w:val="24"/>
          <w:szCs w:val="24"/>
          <w:rtl/>
          <w:lang w:val="en-US" w:bidi="ar-DZ"/>
        </w:rPr>
        <w:t>،</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كثافة</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شبكة</w:t>
      </w:r>
      <w:r w:rsidR="002A686B" w:rsidRPr="00CF4A92">
        <w:rPr>
          <w:rFonts w:ascii="Simplified Arabic" w:hAnsi="Simplified Arabic" w:cs="Simplified Arabic"/>
          <w:sz w:val="24"/>
          <w:szCs w:val="24"/>
          <w:rtl/>
          <w:lang w:val="en-US" w:bidi="ar-DZ"/>
        </w:rPr>
        <w:t xml:space="preserve"> </w:t>
      </w:r>
      <w:r w:rsidR="00C23B81" w:rsidRPr="00CF4A92">
        <w:rPr>
          <w:rFonts w:ascii="Simplified Arabic" w:hAnsi="Simplified Arabic" w:cs="Simplified Arabic" w:hint="cs"/>
          <w:sz w:val="24"/>
          <w:szCs w:val="24"/>
          <w:rtl/>
          <w:lang w:val="en-US" w:bidi="ar-DZ"/>
        </w:rPr>
        <w:t xml:space="preserve">الطرق </w:t>
      </w:r>
      <w:r w:rsidR="002A686B" w:rsidRPr="00CF4A92">
        <w:rPr>
          <w:rFonts w:ascii="Simplified Arabic" w:hAnsi="Simplified Arabic" w:cs="Simplified Arabic" w:hint="cs"/>
          <w:sz w:val="24"/>
          <w:szCs w:val="24"/>
          <w:rtl/>
          <w:lang w:val="en-US" w:bidi="ar-DZ"/>
        </w:rPr>
        <w:t>تبلغ</w:t>
      </w:r>
      <w:r w:rsidR="002A686B" w:rsidRPr="00CF4A92">
        <w:rPr>
          <w:rFonts w:ascii="Simplified Arabic" w:hAnsi="Simplified Arabic" w:cs="Simplified Arabic"/>
          <w:sz w:val="24"/>
          <w:szCs w:val="24"/>
          <w:rtl/>
          <w:lang w:val="en-US" w:bidi="ar-DZ"/>
        </w:rPr>
        <w:t xml:space="preserve"> </w:t>
      </w:r>
      <w:r w:rsidR="008F1B5A" w:rsidRPr="00CF4A92">
        <w:rPr>
          <w:rFonts w:ascii="Simplified Arabic" w:eastAsia="Times New Roman" w:hAnsi="Simplified Arabic" w:cs="Simplified Arabic"/>
          <w:color w:val="000000"/>
          <w:sz w:val="24"/>
          <w:szCs w:val="24"/>
          <w:rtl/>
          <w:lang w:eastAsia="fr-FR"/>
        </w:rPr>
        <w:t>27,35</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كم</w:t>
      </w:r>
      <w:r w:rsidR="008F1B5A" w:rsidRPr="00CF4A92">
        <w:rPr>
          <w:rFonts w:ascii="Simplified Arabic" w:hAnsi="Simplified Arabic" w:cs="Simplified Arabic"/>
          <w:sz w:val="24"/>
          <w:szCs w:val="24"/>
          <w:rtl/>
          <w:lang w:val="en-US" w:bidi="ar-DZ"/>
        </w:rPr>
        <w:t>/</w:t>
      </w:r>
      <w:r w:rsidR="002A686B" w:rsidRPr="00CF4A92">
        <w:rPr>
          <w:rFonts w:ascii="Simplified Arabic" w:hAnsi="Simplified Arabic" w:cs="Simplified Arabic" w:hint="cs"/>
          <w:sz w:val="24"/>
          <w:szCs w:val="24"/>
          <w:rtl/>
          <w:lang w:val="en-US" w:bidi="ar-DZ"/>
        </w:rPr>
        <w:t>كم</w:t>
      </w:r>
      <w:r w:rsidR="002A686B" w:rsidRPr="00CF4A92">
        <w:rPr>
          <w:rFonts w:ascii="Simplified Arabic" w:hAnsi="Simplified Arabic" w:cs="Simplified Arabic"/>
          <w:sz w:val="24"/>
          <w:szCs w:val="24"/>
          <w:vertAlign w:val="superscript"/>
          <w:rtl/>
          <w:lang w:val="en-US" w:bidi="ar-DZ"/>
        </w:rPr>
        <w:t>2</w:t>
      </w:r>
      <w:r w:rsidR="002A686B" w:rsidRPr="00CF4A92">
        <w:rPr>
          <w:rFonts w:ascii="Simplified Arabic" w:hAnsi="Simplified Arabic" w:cs="Simplified Arabic" w:hint="cs"/>
          <w:sz w:val="24"/>
          <w:szCs w:val="24"/>
          <w:rtl/>
          <w:lang w:val="en-US" w:bidi="ar-DZ"/>
        </w:rPr>
        <w:t>،</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بينما</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تظهر</w:t>
      </w:r>
      <w:r w:rsidR="002A686B" w:rsidRPr="00CF4A92">
        <w:rPr>
          <w:rFonts w:ascii="Simplified Arabic" w:hAnsi="Simplified Arabic" w:cs="Simplified Arabic"/>
          <w:sz w:val="24"/>
          <w:szCs w:val="24"/>
          <w:rtl/>
          <w:lang w:val="en-US" w:bidi="ar-DZ"/>
        </w:rPr>
        <w:t xml:space="preserve"> </w:t>
      </w:r>
      <w:r w:rsidR="008F1B5A" w:rsidRPr="00CF4A92">
        <w:rPr>
          <w:rFonts w:ascii="Simplified Arabic" w:hAnsi="Simplified Arabic" w:cs="Simplified Arabic" w:hint="cs"/>
          <w:sz w:val="24"/>
          <w:szCs w:val="24"/>
          <w:rtl/>
          <w:lang w:val="en-US" w:bidi="ar-DZ"/>
        </w:rPr>
        <w:t>نسبة</w:t>
      </w:r>
      <w:r w:rsidR="008F1B5A" w:rsidRPr="00CF4A92">
        <w:rPr>
          <w:rFonts w:ascii="Simplified Arabic" w:hAnsi="Simplified Arabic" w:cs="Simplified Arabic"/>
          <w:sz w:val="24"/>
          <w:szCs w:val="24"/>
          <w:rtl/>
          <w:lang w:val="en-US" w:bidi="ar-DZ"/>
        </w:rPr>
        <w:t xml:space="preserve"> </w:t>
      </w:r>
      <w:r w:rsidR="00AA7E5E" w:rsidRPr="00CF4A92">
        <w:rPr>
          <w:rFonts w:ascii="Simplified Arabic" w:hAnsi="Simplified Arabic" w:cs="Simplified Arabic" w:hint="cs"/>
          <w:sz w:val="24"/>
          <w:szCs w:val="24"/>
          <w:rtl/>
          <w:lang w:val="en-US" w:bidi="ar-DZ"/>
        </w:rPr>
        <w:t>ربط</w:t>
      </w:r>
      <w:r w:rsidR="008F1B5A" w:rsidRPr="00CF4A92">
        <w:rPr>
          <w:rFonts w:ascii="Simplified Arabic" w:hAnsi="Simplified Arabic" w:cs="Simplified Arabic"/>
          <w:sz w:val="24"/>
          <w:szCs w:val="24"/>
          <w:rtl/>
          <w:lang w:val="en-US" w:bidi="ar-DZ"/>
        </w:rPr>
        <w:t>-</w:t>
      </w:r>
      <w:r w:rsidR="008F1B5A" w:rsidRPr="00CF4A92">
        <w:rPr>
          <w:rFonts w:ascii="Simplified Arabic" w:hAnsi="Simplified Arabic" w:cs="Simplified Arabic" w:hint="cs"/>
          <w:sz w:val="24"/>
          <w:szCs w:val="24"/>
          <w:rtl/>
          <w:lang w:val="en-US" w:bidi="ar-DZ"/>
        </w:rPr>
        <w:t xml:space="preserve">العقد </w:t>
      </w:r>
      <w:r w:rsidR="002A686B" w:rsidRPr="00CF4A92">
        <w:rPr>
          <w:rFonts w:ascii="Simplified Arabic" w:hAnsi="Simplified Arabic" w:cs="Simplified Arabic" w:hint="cs"/>
          <w:sz w:val="24"/>
          <w:szCs w:val="24"/>
          <w:rtl/>
          <w:lang w:val="en-US" w:bidi="ar-DZ"/>
        </w:rPr>
        <w:t>ونسبة</w:t>
      </w:r>
      <w:r w:rsidR="002A686B" w:rsidRPr="00CF4A92">
        <w:rPr>
          <w:rFonts w:ascii="Simplified Arabic" w:hAnsi="Simplified Arabic" w:cs="Simplified Arabic"/>
          <w:sz w:val="24"/>
          <w:szCs w:val="24"/>
          <w:rtl/>
          <w:lang w:val="en-US" w:bidi="ar-DZ"/>
        </w:rPr>
        <w:t xml:space="preserve"> </w:t>
      </w:r>
      <w:r w:rsidR="008F1B5A" w:rsidRPr="00CF4A92">
        <w:rPr>
          <w:rFonts w:ascii="Simplified Arabic" w:hAnsi="Simplified Arabic" w:cs="Simplified Arabic" w:hint="cs"/>
          <w:sz w:val="24"/>
          <w:szCs w:val="24"/>
          <w:rtl/>
          <w:lang w:val="en-US" w:bidi="ar-DZ"/>
        </w:rPr>
        <w:t>العقد</w:t>
      </w:r>
      <w:r w:rsidR="008F1B5A" w:rsidRPr="00CF4A92">
        <w:rPr>
          <w:rFonts w:ascii="Simplified Arabic" w:hAnsi="Simplified Arabic" w:cs="Simplified Arabic"/>
          <w:sz w:val="24"/>
          <w:szCs w:val="24"/>
          <w:rtl/>
          <w:lang w:val="en-US" w:bidi="ar-DZ"/>
        </w:rPr>
        <w:t xml:space="preserve"> </w:t>
      </w:r>
      <w:r w:rsidR="008F1B5A" w:rsidRPr="00CF4A92">
        <w:rPr>
          <w:rFonts w:ascii="Simplified Arabic" w:hAnsi="Simplified Arabic" w:cs="Simplified Arabic" w:hint="cs"/>
          <w:sz w:val="24"/>
          <w:szCs w:val="24"/>
          <w:rtl/>
          <w:lang w:val="en-US" w:bidi="ar-DZ"/>
        </w:rPr>
        <w:t xml:space="preserve">الموصولة </w:t>
      </w:r>
      <w:r w:rsidR="002A686B" w:rsidRPr="00CF4A92">
        <w:rPr>
          <w:rFonts w:ascii="Simplified Arabic" w:hAnsi="Simplified Arabic" w:cs="Simplified Arabic" w:hint="cs"/>
          <w:sz w:val="24"/>
          <w:szCs w:val="24"/>
          <w:rtl/>
          <w:lang w:val="en-US" w:bidi="ar-DZ"/>
        </w:rPr>
        <w:t>قيمًا</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تبلغ</w:t>
      </w:r>
      <w:r w:rsidR="002A686B" w:rsidRPr="00CF4A92">
        <w:rPr>
          <w:rFonts w:ascii="Simplified Arabic" w:hAnsi="Simplified Arabic" w:cs="Simplified Arabic"/>
          <w:sz w:val="24"/>
          <w:szCs w:val="24"/>
          <w:rtl/>
          <w:lang w:val="en-US" w:bidi="ar-DZ"/>
        </w:rPr>
        <w:t xml:space="preserve"> </w:t>
      </w:r>
      <w:r w:rsidR="008F1B5A" w:rsidRPr="00CF4A92">
        <w:rPr>
          <w:rFonts w:ascii="Simplified Arabic" w:hAnsi="Simplified Arabic" w:cs="Simplified Arabic" w:hint="cs"/>
          <w:sz w:val="24"/>
          <w:szCs w:val="24"/>
          <w:rtl/>
          <w:lang w:val="en-US" w:bidi="ar-DZ"/>
        </w:rPr>
        <w:t>على</w:t>
      </w:r>
      <w:r w:rsidR="008F1B5A" w:rsidRPr="00CF4A92">
        <w:rPr>
          <w:rFonts w:ascii="Simplified Arabic" w:hAnsi="Simplified Arabic" w:cs="Simplified Arabic"/>
          <w:sz w:val="24"/>
          <w:szCs w:val="24"/>
          <w:rtl/>
          <w:lang w:val="en-US" w:bidi="ar-DZ"/>
        </w:rPr>
        <w:t xml:space="preserve"> </w:t>
      </w:r>
      <w:r w:rsidR="008F1B5A" w:rsidRPr="00CF4A92">
        <w:rPr>
          <w:rFonts w:ascii="Simplified Arabic" w:hAnsi="Simplified Arabic" w:cs="Simplified Arabic" w:hint="cs"/>
          <w:sz w:val="24"/>
          <w:szCs w:val="24"/>
          <w:rtl/>
          <w:lang w:val="en-US" w:bidi="ar-DZ"/>
        </w:rPr>
        <w:t>التوالي:</w:t>
      </w:r>
      <w:r w:rsidR="008F1B5A" w:rsidRPr="00CF4A92">
        <w:rPr>
          <w:rFonts w:ascii="Simplified Arabic" w:eastAsia="Times New Roman" w:hAnsi="Simplified Arabic" w:cs="Simplified Arabic" w:hint="cs"/>
          <w:color w:val="000000"/>
          <w:sz w:val="24"/>
          <w:szCs w:val="24"/>
          <w:rtl/>
          <w:lang w:eastAsia="fr-FR"/>
        </w:rPr>
        <w:t xml:space="preserve"> 1</w:t>
      </w:r>
      <w:r w:rsidR="008F1B5A" w:rsidRPr="00CF4A92">
        <w:rPr>
          <w:rFonts w:ascii="Simplified Arabic" w:eastAsia="Times New Roman" w:hAnsi="Simplified Arabic" w:cs="Simplified Arabic"/>
          <w:color w:val="000000"/>
          <w:sz w:val="24"/>
          <w:szCs w:val="24"/>
          <w:rtl/>
          <w:lang w:eastAsia="fr-FR"/>
        </w:rPr>
        <w:t>,</w:t>
      </w:r>
      <w:r w:rsidR="008F1B5A" w:rsidRPr="00CF4A92">
        <w:rPr>
          <w:rFonts w:ascii="Simplified Arabic" w:eastAsia="Times New Roman" w:hAnsi="Simplified Arabic" w:cs="Simplified Arabic" w:hint="cs"/>
          <w:color w:val="000000"/>
          <w:sz w:val="24"/>
          <w:szCs w:val="24"/>
          <w:rtl/>
          <w:lang w:eastAsia="fr-FR"/>
        </w:rPr>
        <w:t>31</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و</w:t>
      </w:r>
      <w:r w:rsidR="002A686B" w:rsidRPr="00CF4A92">
        <w:rPr>
          <w:rFonts w:ascii="Simplified Arabic" w:hAnsi="Simplified Arabic" w:cs="Simplified Arabic"/>
          <w:sz w:val="24"/>
          <w:szCs w:val="24"/>
          <w:rtl/>
          <w:lang w:val="en-US" w:bidi="ar-DZ"/>
        </w:rPr>
        <w:t xml:space="preserve"> </w:t>
      </w:r>
      <w:r w:rsidR="008F1B5A" w:rsidRPr="00CF4A92">
        <w:rPr>
          <w:rFonts w:ascii="Simplified Arabic" w:eastAsia="Times New Roman" w:hAnsi="Simplified Arabic" w:cs="Simplified Arabic" w:hint="cs"/>
          <w:color w:val="000000"/>
          <w:sz w:val="24"/>
          <w:szCs w:val="24"/>
          <w:rtl/>
          <w:lang w:eastAsia="fr-FR"/>
        </w:rPr>
        <w:t>0</w:t>
      </w:r>
      <w:r w:rsidR="008F1B5A" w:rsidRPr="00CF4A92">
        <w:rPr>
          <w:rFonts w:ascii="Simplified Arabic" w:eastAsia="Times New Roman" w:hAnsi="Simplified Arabic" w:cs="Simplified Arabic"/>
          <w:color w:val="000000"/>
          <w:sz w:val="24"/>
          <w:szCs w:val="24"/>
          <w:rtl/>
          <w:lang w:eastAsia="fr-FR"/>
        </w:rPr>
        <w:t>,</w:t>
      </w:r>
      <w:r w:rsidR="008F1B5A" w:rsidRPr="00CF4A92">
        <w:rPr>
          <w:rFonts w:ascii="Simplified Arabic" w:eastAsia="Times New Roman" w:hAnsi="Simplified Arabic" w:cs="Simplified Arabic" w:hint="cs"/>
          <w:color w:val="000000"/>
          <w:sz w:val="24"/>
          <w:szCs w:val="24"/>
          <w:rtl/>
          <w:lang w:eastAsia="fr-FR"/>
        </w:rPr>
        <w:t>83</w:t>
      </w:r>
      <w:r w:rsidR="002A686B" w:rsidRPr="00CF4A92">
        <w:rPr>
          <w:rFonts w:ascii="Simplified Arabic" w:hAnsi="Simplified Arabic" w:cs="Simplified Arabic" w:hint="cs"/>
          <w:sz w:val="24"/>
          <w:szCs w:val="24"/>
          <w:rtl/>
          <w:lang w:val="en-US" w:bidi="ar-DZ"/>
        </w:rPr>
        <w:t>،</w:t>
      </w:r>
      <w:r w:rsidR="002A686B"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تشير</w:t>
      </w:r>
      <w:r w:rsidR="00016357"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القيم</w:t>
      </w:r>
      <w:r w:rsidR="00016357"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إلى</w:t>
      </w:r>
      <w:r w:rsidR="00016357"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ان شبكة</w:t>
      </w:r>
      <w:r w:rsidR="00016357"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الشوارع</w:t>
      </w:r>
      <w:r w:rsidR="00356E02" w:rsidRPr="00CF4A92">
        <w:rPr>
          <w:rFonts w:ascii="Simplified Arabic" w:hAnsi="Simplified Arabic" w:cs="Simplified Arabic" w:hint="cs"/>
          <w:sz w:val="24"/>
          <w:szCs w:val="24"/>
          <w:rtl/>
          <w:lang w:val="en-US" w:bidi="ar-DZ"/>
        </w:rPr>
        <w:t xml:space="preserve"> أقل</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قابلية</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للمشي</w:t>
      </w:r>
      <w:r w:rsidR="00016357" w:rsidRPr="00CF4A92">
        <w:rPr>
          <w:rFonts w:ascii="Simplified Arabic" w:hAnsi="Simplified Arabic" w:cs="Simplified Arabic" w:hint="cs"/>
          <w:sz w:val="24"/>
          <w:szCs w:val="24"/>
          <w:rtl/>
          <w:lang w:val="en-US" w:bidi="ar-DZ"/>
        </w:rPr>
        <w:t>،</w:t>
      </w:r>
      <w:r w:rsidR="00016357"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يُعزى</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ذلك</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إلى</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وجود طرق مسدودة</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w:t>
      </w:r>
      <w:r w:rsidR="00356E02" w:rsidRPr="00CF4A92">
        <w:rPr>
          <w:rFonts w:asciiTheme="majorBidi" w:hAnsiTheme="majorBidi" w:cstheme="majorBidi"/>
          <w:sz w:val="24"/>
          <w:szCs w:val="24"/>
          <w:lang w:val="en-US" w:bidi="ar-DZ"/>
        </w:rPr>
        <w:t>cul-de-sac</w:t>
      </w:r>
      <w:r w:rsidR="00356E02" w:rsidRPr="00CF4A92">
        <w:rPr>
          <w:rFonts w:ascii="Simplified Arabic" w:hAnsi="Simplified Arabic" w:cs="Simplified Arabic" w:hint="cs"/>
          <w:sz w:val="24"/>
          <w:szCs w:val="24"/>
          <w:rtl/>
          <w:lang w:val="en-US" w:bidi="ar-DZ"/>
        </w:rPr>
        <w:t xml:space="preserve">)، </w:t>
      </w:r>
      <w:r w:rsidR="00016357" w:rsidRPr="00CF4A92">
        <w:rPr>
          <w:rFonts w:ascii="Simplified Arabic" w:hAnsi="Simplified Arabic" w:cs="Simplified Arabic" w:hint="cs"/>
          <w:sz w:val="24"/>
          <w:szCs w:val="24"/>
          <w:rtl/>
          <w:lang w:val="en-US" w:bidi="ar-DZ"/>
        </w:rPr>
        <w:t>عضوية، ضيقة</w:t>
      </w:r>
      <w:r w:rsidR="00016357"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ومتشابكة</w:t>
      </w:r>
      <w:r w:rsidR="00016357"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بدقة،</w:t>
      </w:r>
      <w:r w:rsidR="00016357"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مع</w:t>
      </w:r>
      <w:r w:rsidR="002A686B" w:rsidRPr="00CF4A92">
        <w:rPr>
          <w:rFonts w:ascii="Simplified Arabic" w:hAnsi="Simplified Arabic" w:cs="Simplified Arabic"/>
          <w:sz w:val="24"/>
          <w:szCs w:val="24"/>
          <w:rtl/>
          <w:lang w:val="en-US" w:bidi="ar-DZ"/>
        </w:rPr>
        <w:t xml:space="preserve"> </w:t>
      </w:r>
      <w:r w:rsidR="00016357" w:rsidRPr="00CF4A92">
        <w:rPr>
          <w:rFonts w:ascii="Simplified Arabic" w:hAnsi="Simplified Arabic" w:cs="Simplified Arabic" w:hint="cs"/>
          <w:sz w:val="24"/>
          <w:szCs w:val="24"/>
          <w:rtl/>
          <w:lang w:val="en-US" w:bidi="ar-DZ"/>
        </w:rPr>
        <w:t xml:space="preserve">انها تمنح </w:t>
      </w:r>
      <w:r w:rsidR="002A686B" w:rsidRPr="00CF4A92">
        <w:rPr>
          <w:rFonts w:ascii="Simplified Arabic" w:hAnsi="Simplified Arabic" w:cs="Simplified Arabic" w:hint="cs"/>
          <w:sz w:val="24"/>
          <w:szCs w:val="24"/>
          <w:rtl/>
          <w:lang w:val="en-US" w:bidi="ar-DZ"/>
        </w:rPr>
        <w:t>إمكانية</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مشي</w:t>
      </w:r>
      <w:r w:rsidR="002A686B" w:rsidRPr="00CF4A92">
        <w:rPr>
          <w:rFonts w:ascii="Simplified Arabic" w:hAnsi="Simplified Arabic" w:cs="Simplified Arabic"/>
          <w:sz w:val="24"/>
          <w:szCs w:val="24"/>
          <w:rtl/>
          <w:lang w:val="en-US" w:bidi="ar-DZ"/>
        </w:rPr>
        <w:t xml:space="preserve"> </w:t>
      </w:r>
      <w:r w:rsidR="00C23B81" w:rsidRPr="00CF4A92">
        <w:rPr>
          <w:rFonts w:ascii="Simplified Arabic" w:hAnsi="Simplified Arabic" w:cs="Simplified Arabic" w:hint="cs"/>
          <w:sz w:val="24"/>
          <w:szCs w:val="24"/>
          <w:rtl/>
          <w:lang w:val="en-US" w:bidi="ar-DZ"/>
        </w:rPr>
        <w:t>جيدة</w:t>
      </w:r>
      <w:r w:rsidR="00C23B81" w:rsidRPr="00CF4A92">
        <w:rPr>
          <w:rFonts w:ascii="Simplified Arabic" w:hAnsi="Simplified Arabic" w:cs="Simplified Arabic"/>
          <w:sz w:val="24"/>
          <w:szCs w:val="24"/>
          <w:rtl/>
          <w:lang w:val="en-US" w:bidi="ar-DZ"/>
        </w:rPr>
        <w:t xml:space="preserve"> </w:t>
      </w:r>
      <w:r w:rsidR="00C23B81" w:rsidRPr="00CF4A92">
        <w:rPr>
          <w:rFonts w:ascii="Simplified Arabic" w:hAnsi="Simplified Arabic" w:cs="Simplified Arabic" w:hint="cs"/>
          <w:sz w:val="24"/>
          <w:szCs w:val="24"/>
          <w:rtl/>
          <w:lang w:val="en-US" w:bidi="ar-DZ"/>
        </w:rPr>
        <w:t xml:space="preserve">على الاقدام </w:t>
      </w:r>
      <w:r w:rsidR="008F1B5A" w:rsidRPr="00CF4A92">
        <w:rPr>
          <w:rFonts w:ascii="Simplified Arabic" w:hAnsi="Simplified Arabic" w:cs="Simplified Arabic" w:hint="cs"/>
          <w:sz w:val="24"/>
          <w:szCs w:val="24"/>
          <w:rtl/>
          <w:lang w:val="en-US" w:bidi="ar-DZ"/>
        </w:rPr>
        <w:t>نحو</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جميع</w:t>
      </w:r>
      <w:r w:rsidR="002A686B" w:rsidRPr="00CF4A92">
        <w:rPr>
          <w:rFonts w:ascii="Simplified Arabic" w:hAnsi="Simplified Arabic" w:cs="Simplified Arabic"/>
          <w:sz w:val="24"/>
          <w:szCs w:val="24"/>
          <w:rtl/>
          <w:lang w:val="en-US" w:bidi="ar-DZ"/>
        </w:rPr>
        <w:t xml:space="preserve"> </w:t>
      </w:r>
      <w:r w:rsidR="008F1B5A" w:rsidRPr="00CF4A92">
        <w:rPr>
          <w:rFonts w:ascii="Simplified Arabic" w:hAnsi="Simplified Arabic" w:cs="Simplified Arabic" w:hint="cs"/>
          <w:sz w:val="24"/>
          <w:szCs w:val="24"/>
          <w:rtl/>
          <w:lang w:val="en-US" w:bidi="ar-DZ"/>
        </w:rPr>
        <w:t>الوجهات</w:t>
      </w:r>
      <w:r w:rsidR="002A686B" w:rsidRPr="00CF4A92">
        <w:rPr>
          <w:rFonts w:ascii="Simplified Arabic" w:hAnsi="Simplified Arabic" w:cs="Simplified Arabic"/>
          <w:sz w:val="24"/>
          <w:szCs w:val="24"/>
          <w:rtl/>
          <w:lang w:val="en-US" w:bidi="ar-DZ"/>
        </w:rPr>
        <w:t xml:space="preserve">. </w:t>
      </w:r>
      <w:r w:rsidR="008F1B5A" w:rsidRPr="00CF4A92">
        <w:rPr>
          <w:rFonts w:ascii="Simplified Arabic" w:hAnsi="Simplified Arabic" w:cs="Simplified Arabic" w:hint="cs"/>
          <w:sz w:val="24"/>
          <w:szCs w:val="24"/>
          <w:rtl/>
          <w:lang w:val="en-US" w:bidi="ar-DZ"/>
        </w:rPr>
        <w:t>كما هو موضح في الخريطة (6-</w:t>
      </w:r>
      <w:r w:rsidR="005373F7" w:rsidRPr="00CF4A92">
        <w:rPr>
          <w:rFonts w:ascii="Simplified Arabic" w:hAnsi="Simplified Arabic" w:cs="Simplified Arabic" w:hint="cs"/>
          <w:sz w:val="24"/>
          <w:szCs w:val="24"/>
          <w:rtl/>
          <w:lang w:val="en-US" w:bidi="ar-DZ"/>
        </w:rPr>
        <w:t>18</w:t>
      </w:r>
      <w:r w:rsidR="008F1B5A" w:rsidRPr="00CF4A92">
        <w:rPr>
          <w:rFonts w:ascii="Simplified Arabic" w:hAnsi="Simplified Arabic" w:cs="Simplified Arabic" w:hint="cs"/>
          <w:sz w:val="24"/>
          <w:szCs w:val="24"/>
          <w:rtl/>
          <w:lang w:val="en-US" w:bidi="ar-DZ"/>
        </w:rPr>
        <w:t>)</w:t>
      </w:r>
      <w:r w:rsidR="002A686B" w:rsidRPr="00CF4A92">
        <w:rPr>
          <w:rFonts w:ascii="Simplified Arabic" w:hAnsi="Simplified Arabic" w:cs="Simplified Arabic" w:hint="cs"/>
          <w:sz w:val="24"/>
          <w:szCs w:val="24"/>
          <w:rtl/>
          <w:lang w:val="en-US" w:bidi="ar-DZ"/>
        </w:rPr>
        <w:t>،</w:t>
      </w:r>
      <w:r w:rsidR="002A686B"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ي</w:t>
      </w:r>
      <w:r w:rsidR="002A686B" w:rsidRPr="00CF4A92">
        <w:rPr>
          <w:rFonts w:ascii="Simplified Arabic" w:hAnsi="Simplified Arabic" w:cs="Simplified Arabic" w:hint="cs"/>
          <w:sz w:val="24"/>
          <w:szCs w:val="24"/>
          <w:rtl/>
          <w:lang w:val="en-US" w:bidi="ar-DZ"/>
        </w:rPr>
        <w:t>سود</w:t>
      </w:r>
      <w:r w:rsidR="002A686B"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 xml:space="preserve">نوع </w:t>
      </w:r>
      <w:r w:rsidR="002A686B" w:rsidRPr="00CF4A92">
        <w:rPr>
          <w:rFonts w:ascii="Simplified Arabic" w:hAnsi="Simplified Arabic" w:cs="Simplified Arabic" w:hint="cs"/>
          <w:sz w:val="24"/>
          <w:szCs w:val="24"/>
          <w:rtl/>
          <w:lang w:val="en-US" w:bidi="ar-DZ"/>
        </w:rPr>
        <w:t>التقاطعات</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ثلاثية</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الاتجاهات،</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بما</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يعادل</w:t>
      </w:r>
      <w:r w:rsidR="002A686B"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79</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من</w:t>
      </w:r>
      <w:r w:rsidR="002A686B" w:rsidRPr="00CF4A92">
        <w:rPr>
          <w:rFonts w:ascii="Simplified Arabic" w:hAnsi="Simplified Arabic" w:cs="Simplified Arabic"/>
          <w:sz w:val="24"/>
          <w:szCs w:val="24"/>
          <w:rtl/>
          <w:lang w:val="en-US" w:bidi="ar-DZ"/>
        </w:rPr>
        <w:t xml:space="preserve"> </w:t>
      </w:r>
      <w:r w:rsidR="00DB4738" w:rsidRPr="00CF4A92">
        <w:rPr>
          <w:rFonts w:ascii="Simplified Arabic" w:hAnsi="Simplified Arabic" w:cs="Simplified Arabic" w:hint="cs"/>
          <w:sz w:val="24"/>
          <w:szCs w:val="24"/>
          <w:rtl/>
          <w:lang w:val="en-US" w:bidi="ar-DZ"/>
        </w:rPr>
        <w:t>مجموع</w:t>
      </w:r>
      <w:r w:rsidR="002A686B" w:rsidRPr="00CF4A92">
        <w:rPr>
          <w:rFonts w:ascii="Simplified Arabic" w:hAnsi="Simplified Arabic" w:cs="Simplified Arabic"/>
          <w:sz w:val="24"/>
          <w:szCs w:val="24"/>
          <w:rtl/>
          <w:lang w:val="en-US" w:bidi="ar-DZ"/>
        </w:rPr>
        <w:t xml:space="preserve"> </w:t>
      </w:r>
      <w:r w:rsidR="002A686B" w:rsidRPr="00CF4A92">
        <w:rPr>
          <w:rFonts w:ascii="Simplified Arabic" w:hAnsi="Simplified Arabic" w:cs="Simplified Arabic" w:hint="cs"/>
          <w:sz w:val="24"/>
          <w:szCs w:val="24"/>
          <w:rtl/>
          <w:lang w:val="en-US" w:bidi="ar-DZ"/>
        </w:rPr>
        <w:t>التقاطعات،</w:t>
      </w:r>
      <w:r w:rsidR="002A686B" w:rsidRPr="00CF4A92">
        <w:rPr>
          <w:rFonts w:ascii="Simplified Arabic" w:hAnsi="Simplified Arabic" w:cs="Simplified Arabic"/>
          <w:sz w:val="24"/>
          <w:szCs w:val="24"/>
          <w:rtl/>
          <w:lang w:val="en-US" w:bidi="ar-DZ"/>
        </w:rPr>
        <w:t xml:space="preserve"> </w:t>
      </w:r>
      <w:r w:rsidR="00C5282A" w:rsidRPr="00CF4A92">
        <w:rPr>
          <w:rFonts w:ascii="Simplified Arabic" w:hAnsi="Simplified Arabic" w:cs="Simplified Arabic" w:hint="cs"/>
          <w:sz w:val="24"/>
          <w:szCs w:val="24"/>
          <w:rtl/>
          <w:lang w:val="en-US" w:bidi="ar-DZ"/>
        </w:rPr>
        <w:t xml:space="preserve">بينما </w:t>
      </w:r>
      <w:r w:rsidR="002320E9" w:rsidRPr="00CF4A92">
        <w:rPr>
          <w:rFonts w:ascii="Simplified Arabic" w:hAnsi="Simplified Arabic" w:cs="Simplified Arabic" w:hint="cs"/>
          <w:sz w:val="24"/>
          <w:szCs w:val="24"/>
          <w:rtl/>
          <w:lang w:val="en-US" w:bidi="ar-DZ"/>
        </w:rPr>
        <w:t>ي</w:t>
      </w:r>
      <w:r w:rsidR="00C5282A" w:rsidRPr="00CF4A92">
        <w:rPr>
          <w:rFonts w:ascii="Simplified Arabic" w:hAnsi="Simplified Arabic" w:cs="Simplified Arabic" w:hint="cs"/>
          <w:sz w:val="24"/>
          <w:szCs w:val="24"/>
          <w:rtl/>
          <w:lang w:val="en-US" w:bidi="ar-DZ"/>
        </w:rPr>
        <w:t>مثل تقاطعات الطرق المسدودة</w:t>
      </w:r>
      <w:r w:rsidR="00C5282A" w:rsidRPr="00CF4A92">
        <w:rPr>
          <w:rFonts w:ascii="Simplified Arabic" w:hAnsi="Simplified Arabic" w:cs="Simplified Arabic"/>
          <w:sz w:val="24"/>
          <w:szCs w:val="24"/>
          <w:rtl/>
          <w:lang w:val="en-US" w:bidi="ar-DZ"/>
        </w:rPr>
        <w:t xml:space="preserve"> </w:t>
      </w:r>
      <w:r w:rsidR="00C5282A" w:rsidRPr="00CF4A92">
        <w:rPr>
          <w:rFonts w:ascii="Simplified Arabic" w:hAnsi="Simplified Arabic" w:cs="Simplified Arabic" w:hint="cs"/>
          <w:sz w:val="24"/>
          <w:szCs w:val="24"/>
          <w:rtl/>
          <w:lang w:val="en-US" w:bidi="ar-DZ"/>
        </w:rPr>
        <w:t>(</w:t>
      </w:r>
      <w:r w:rsidR="00C5282A" w:rsidRPr="00CF4A92">
        <w:rPr>
          <w:rFonts w:asciiTheme="majorBidi" w:hAnsiTheme="majorBidi" w:cstheme="majorBidi"/>
          <w:sz w:val="24"/>
          <w:szCs w:val="24"/>
          <w:lang w:val="en-US" w:bidi="ar-DZ"/>
        </w:rPr>
        <w:t>cul-de-sac</w:t>
      </w:r>
      <w:r w:rsidR="00C5282A" w:rsidRPr="00CF4A92">
        <w:rPr>
          <w:rFonts w:ascii="Simplified Arabic" w:hAnsi="Simplified Arabic" w:cs="Simplified Arabic" w:hint="cs"/>
          <w:sz w:val="24"/>
          <w:szCs w:val="24"/>
          <w:rtl/>
          <w:lang w:val="en-US" w:bidi="ar-DZ"/>
        </w:rPr>
        <w:t>)</w:t>
      </w:r>
      <w:r w:rsidR="00C5282A" w:rsidRPr="00CF4A92">
        <w:rPr>
          <w:rFonts w:ascii="Simplified Arabic" w:hAnsi="Simplified Arabic" w:cs="Simplified Arabic"/>
          <w:sz w:val="24"/>
          <w:szCs w:val="24"/>
          <w:rtl/>
          <w:lang w:val="en-US" w:bidi="ar-DZ"/>
        </w:rPr>
        <w:t xml:space="preserve"> </w:t>
      </w:r>
      <w:r w:rsidR="00C5282A" w:rsidRPr="00CF4A92">
        <w:rPr>
          <w:rFonts w:ascii="Simplified Arabic" w:hAnsi="Simplified Arabic" w:cs="Simplified Arabic" w:hint="cs"/>
          <w:sz w:val="24"/>
          <w:szCs w:val="24"/>
          <w:rtl/>
          <w:lang w:val="en-US" w:bidi="ar-DZ"/>
        </w:rPr>
        <w:t>ثاني</w:t>
      </w:r>
      <w:r w:rsidR="00C5282A" w:rsidRPr="00CF4A92">
        <w:rPr>
          <w:rFonts w:ascii="Simplified Arabic" w:hAnsi="Simplified Arabic" w:cs="Simplified Arabic"/>
          <w:sz w:val="24"/>
          <w:szCs w:val="24"/>
          <w:rtl/>
          <w:lang w:val="en-US" w:bidi="ar-DZ"/>
        </w:rPr>
        <w:t xml:space="preserve"> </w:t>
      </w:r>
      <w:r w:rsidR="00C5282A" w:rsidRPr="00CF4A92">
        <w:rPr>
          <w:rFonts w:ascii="Simplified Arabic" w:hAnsi="Simplified Arabic" w:cs="Simplified Arabic" w:hint="cs"/>
          <w:sz w:val="24"/>
          <w:szCs w:val="24"/>
          <w:rtl/>
          <w:lang w:val="en-US" w:bidi="ar-DZ"/>
        </w:rPr>
        <w:t>أنواع</w:t>
      </w:r>
      <w:r w:rsidR="00C5282A" w:rsidRPr="00CF4A92">
        <w:rPr>
          <w:rFonts w:ascii="Simplified Arabic" w:hAnsi="Simplified Arabic" w:cs="Simplified Arabic"/>
          <w:sz w:val="24"/>
          <w:szCs w:val="24"/>
          <w:rtl/>
          <w:lang w:val="en-US" w:bidi="ar-DZ"/>
        </w:rPr>
        <w:t xml:space="preserve"> </w:t>
      </w:r>
      <w:r w:rsidR="00C5282A" w:rsidRPr="00CF4A92">
        <w:rPr>
          <w:rFonts w:ascii="Simplified Arabic" w:hAnsi="Simplified Arabic" w:cs="Simplified Arabic" w:hint="cs"/>
          <w:sz w:val="24"/>
          <w:szCs w:val="24"/>
          <w:rtl/>
          <w:lang w:val="en-US" w:bidi="ar-DZ"/>
        </w:rPr>
        <w:t>التقاطع</w:t>
      </w:r>
      <w:r w:rsidR="00C5282A" w:rsidRPr="00CF4A92">
        <w:rPr>
          <w:rFonts w:ascii="Simplified Arabic" w:hAnsi="Simplified Arabic" w:cs="Simplified Arabic"/>
          <w:sz w:val="24"/>
          <w:szCs w:val="24"/>
          <w:rtl/>
          <w:lang w:val="en-US" w:bidi="ar-DZ"/>
        </w:rPr>
        <w:t xml:space="preserve"> </w:t>
      </w:r>
      <w:r w:rsidR="00C5282A" w:rsidRPr="00CF4A92">
        <w:rPr>
          <w:rFonts w:ascii="Simplified Arabic" w:hAnsi="Simplified Arabic" w:cs="Simplified Arabic" w:hint="cs"/>
          <w:sz w:val="24"/>
          <w:szCs w:val="24"/>
          <w:rtl/>
          <w:lang w:val="en-US" w:bidi="ar-DZ"/>
        </w:rPr>
        <w:t>شيوعًا</w:t>
      </w:r>
      <w:r w:rsidR="002320E9" w:rsidRPr="00CF4A92">
        <w:rPr>
          <w:rFonts w:ascii="Simplified Arabic" w:hAnsi="Simplified Arabic" w:cs="Simplified Arabic" w:hint="cs"/>
          <w:sz w:val="24"/>
          <w:szCs w:val="24"/>
          <w:rtl/>
          <w:lang w:val="en-US" w:bidi="ar-DZ"/>
        </w:rPr>
        <w:t xml:space="preserve"> تعادل 17</w:t>
      </w:r>
      <w:r w:rsidR="00C5282A" w:rsidRPr="00CF4A92">
        <w:rPr>
          <w:rFonts w:ascii="Simplified Arabic" w:hAnsi="Simplified Arabic" w:cs="Simplified Arabic"/>
          <w:sz w:val="24"/>
          <w:szCs w:val="24"/>
          <w:rtl/>
          <w:lang w:val="en-US" w:bidi="ar-DZ"/>
        </w:rPr>
        <w:t>٪</w:t>
      </w:r>
      <w:r w:rsidR="002320E9" w:rsidRPr="00CF4A92">
        <w:rPr>
          <w:rFonts w:ascii="Simplified Arabic" w:hAnsi="Simplified Arabic" w:cs="Simplified Arabic" w:hint="cs"/>
          <w:sz w:val="24"/>
          <w:szCs w:val="24"/>
          <w:rtl/>
          <w:lang w:val="en-US" w:bidi="ar-DZ"/>
        </w:rPr>
        <w:t xml:space="preserve">، </w:t>
      </w:r>
      <w:r w:rsidR="00356E02" w:rsidRPr="00CF4A92">
        <w:rPr>
          <w:rFonts w:ascii="Simplified Arabic" w:hAnsi="Simplified Arabic" w:cs="Simplified Arabic" w:hint="cs"/>
          <w:sz w:val="24"/>
          <w:szCs w:val="24"/>
          <w:rtl/>
          <w:lang w:val="en-US" w:bidi="ar-DZ"/>
        </w:rPr>
        <w:t>في</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حين</w:t>
      </w:r>
      <w:r w:rsidR="00356E02" w:rsidRPr="00CF4A92">
        <w:rPr>
          <w:rFonts w:ascii="Simplified Arabic" w:hAnsi="Simplified Arabic" w:cs="Simplified Arabic"/>
          <w:sz w:val="24"/>
          <w:szCs w:val="24"/>
          <w:rtl/>
          <w:lang w:val="en-US" w:bidi="ar-DZ"/>
        </w:rPr>
        <w:t xml:space="preserve"> </w:t>
      </w:r>
      <w:r w:rsidR="00356E02" w:rsidRPr="00CF4A92">
        <w:rPr>
          <w:rFonts w:ascii="Simplified Arabic" w:hAnsi="Simplified Arabic" w:cs="Simplified Arabic" w:hint="cs"/>
          <w:sz w:val="24"/>
          <w:szCs w:val="24"/>
          <w:rtl/>
          <w:lang w:val="en-US" w:bidi="ar-DZ"/>
        </w:rPr>
        <w:t>أن</w:t>
      </w:r>
      <w:r w:rsidR="00356E02"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 xml:space="preserve">نوع </w:t>
      </w:r>
      <w:r w:rsidR="00A63D6A" w:rsidRPr="00CF4A92">
        <w:rPr>
          <w:rFonts w:ascii="Simplified Arabic" w:hAnsi="Simplified Arabic" w:cs="Simplified Arabic" w:hint="cs"/>
          <w:sz w:val="24"/>
          <w:szCs w:val="24"/>
          <w:rtl/>
          <w:lang w:val="en-US" w:bidi="ar-DZ"/>
        </w:rPr>
        <w:t>التقاطعات</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رباعية</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الاتجاهات</w:t>
      </w:r>
      <w:r w:rsidR="00A63D6A"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 xml:space="preserve">تعادل </w:t>
      </w:r>
      <w:r w:rsidR="00356E02" w:rsidRPr="00CF4A92">
        <w:rPr>
          <w:rFonts w:ascii="Simplified Arabic" w:hAnsi="Simplified Arabic" w:cs="Simplified Arabic" w:hint="cs"/>
          <w:sz w:val="24"/>
          <w:szCs w:val="24"/>
          <w:rtl/>
          <w:lang w:val="en-US" w:bidi="ar-DZ"/>
        </w:rPr>
        <w:t>4</w:t>
      </w:r>
      <w:r w:rsidR="002320E9" w:rsidRPr="00CF4A92">
        <w:rPr>
          <w:rFonts w:ascii="Simplified Arabic" w:hAnsi="Simplified Arabic" w:cs="Simplified Arabic"/>
          <w:sz w:val="24"/>
          <w:szCs w:val="24"/>
          <w:rtl/>
          <w:lang w:val="en-US" w:bidi="ar-DZ"/>
        </w:rPr>
        <w:t>٪</w:t>
      </w:r>
      <w:r w:rsidR="002A686B" w:rsidRPr="00CF4A92">
        <w:rPr>
          <w:rFonts w:ascii="Simplified Arabic" w:hAnsi="Simplified Arabic" w:cs="Simplified Arabic" w:hint="cs"/>
          <w:sz w:val="24"/>
          <w:szCs w:val="24"/>
          <w:rtl/>
          <w:lang w:val="en-US" w:bidi="ar-DZ"/>
        </w:rPr>
        <w:t>.</w:t>
      </w:r>
      <w:r w:rsidR="00277968" w:rsidRPr="00CF4A92">
        <w:rPr>
          <w:rFonts w:ascii="Simplified Arabic" w:hAnsi="Simplified Arabic" w:cs="Simplified Arabic" w:hint="cs"/>
          <w:sz w:val="24"/>
          <w:szCs w:val="24"/>
          <w:rtl/>
          <w:lang w:val="en-US" w:bidi="ar-DZ"/>
        </w:rPr>
        <w:t xml:space="preserve"> </w:t>
      </w:r>
      <w:r w:rsidR="002320E9" w:rsidRPr="00CF4A92">
        <w:rPr>
          <w:rFonts w:ascii="Simplified Arabic" w:hAnsi="Simplified Arabic" w:cs="Simplified Arabic" w:hint="cs"/>
          <w:sz w:val="24"/>
          <w:szCs w:val="24"/>
          <w:rtl/>
          <w:lang w:val="en-US" w:bidi="ar-DZ"/>
        </w:rPr>
        <w:t>من الناحية ال</w:t>
      </w:r>
      <w:r w:rsidR="00A63D6A" w:rsidRPr="00CF4A92">
        <w:rPr>
          <w:rFonts w:ascii="Simplified Arabic" w:hAnsi="Simplified Arabic" w:cs="Simplified Arabic" w:hint="cs"/>
          <w:sz w:val="24"/>
          <w:szCs w:val="24"/>
          <w:rtl/>
          <w:lang w:val="en-US" w:bidi="ar-DZ"/>
        </w:rPr>
        <w:t>مكاني</w:t>
      </w:r>
      <w:r w:rsidR="002320E9" w:rsidRPr="00CF4A92">
        <w:rPr>
          <w:rFonts w:ascii="Simplified Arabic" w:hAnsi="Simplified Arabic" w:cs="Simplified Arabic" w:hint="cs"/>
          <w:sz w:val="24"/>
          <w:szCs w:val="24"/>
          <w:rtl/>
          <w:lang w:val="en-US" w:bidi="ar-DZ"/>
        </w:rPr>
        <w:t>ة</w:t>
      </w:r>
      <w:r w:rsidR="00A63D6A" w:rsidRPr="00CF4A92">
        <w:rPr>
          <w:rFonts w:ascii="Simplified Arabic" w:hAnsi="Simplified Arabic" w:cs="Simplified Arabic" w:hint="cs"/>
          <w:sz w:val="24"/>
          <w:szCs w:val="24"/>
          <w:rtl/>
          <w:lang w:val="en-US" w:bidi="ar-DZ"/>
        </w:rPr>
        <w:t>،</w:t>
      </w:r>
      <w:r w:rsidR="00A63D6A"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ينتشر</w:t>
      </w:r>
      <w:r w:rsidR="00A63D6A"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 xml:space="preserve">النوع </w:t>
      </w:r>
      <w:r w:rsidR="00A63D6A" w:rsidRPr="00CF4A92">
        <w:rPr>
          <w:rFonts w:ascii="Simplified Arabic" w:hAnsi="Simplified Arabic" w:cs="Simplified Arabic" w:hint="cs"/>
          <w:sz w:val="24"/>
          <w:szCs w:val="24"/>
          <w:rtl/>
          <w:lang w:val="en-US" w:bidi="ar-DZ"/>
        </w:rPr>
        <w:t>الأول</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في</w:t>
      </w:r>
      <w:r w:rsidR="00A63D6A" w:rsidRPr="00CF4A92">
        <w:rPr>
          <w:rFonts w:ascii="Simplified Arabic" w:hAnsi="Simplified Arabic" w:cs="Simplified Arabic"/>
          <w:sz w:val="24"/>
          <w:szCs w:val="24"/>
          <w:rtl/>
          <w:lang w:val="en-US" w:bidi="ar-DZ"/>
        </w:rPr>
        <w:t xml:space="preserve"> </w:t>
      </w:r>
      <w:r w:rsidR="008808D6" w:rsidRPr="00CF4A92">
        <w:rPr>
          <w:rFonts w:ascii="Simplified Arabic" w:hAnsi="Simplified Arabic" w:cs="Simplified Arabic" w:hint="cs"/>
          <w:sz w:val="24"/>
          <w:szCs w:val="24"/>
          <w:rtl/>
          <w:lang w:val="en-US" w:bidi="ar-DZ"/>
        </w:rPr>
        <w:t>اغلبية</w:t>
      </w:r>
      <w:r w:rsidR="00A63D6A" w:rsidRPr="00CF4A92">
        <w:rPr>
          <w:rFonts w:ascii="Simplified Arabic" w:hAnsi="Simplified Arabic" w:cs="Simplified Arabic"/>
          <w:sz w:val="24"/>
          <w:szCs w:val="24"/>
          <w:rtl/>
          <w:lang w:val="en-US" w:bidi="ar-DZ"/>
        </w:rPr>
        <w:t xml:space="preserve"> </w:t>
      </w:r>
      <w:r w:rsidR="002320E9" w:rsidRPr="00CF4A92">
        <w:rPr>
          <w:rFonts w:ascii="Simplified Arabic" w:hAnsi="Simplified Arabic" w:cs="Simplified Arabic" w:hint="cs"/>
          <w:sz w:val="24"/>
          <w:szCs w:val="24"/>
          <w:rtl/>
          <w:lang w:val="en-US" w:bidi="ar-DZ"/>
        </w:rPr>
        <w:t>اماكن الحي</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ويتركز</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الثاني</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في</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الجزء</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الغربي</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من</w:t>
      </w:r>
      <w:r w:rsidR="00A63D6A" w:rsidRPr="00CF4A92">
        <w:rPr>
          <w:rFonts w:ascii="Simplified Arabic" w:hAnsi="Simplified Arabic" w:cs="Simplified Arabic"/>
          <w:sz w:val="24"/>
          <w:szCs w:val="24"/>
          <w:rtl/>
          <w:lang w:val="en-US" w:bidi="ar-DZ"/>
        </w:rPr>
        <w:t xml:space="preserve"> </w:t>
      </w:r>
      <w:r w:rsidR="008808D6" w:rsidRPr="00CF4A92">
        <w:rPr>
          <w:rFonts w:ascii="Simplified Arabic" w:hAnsi="Simplified Arabic" w:cs="Simplified Arabic" w:hint="cs"/>
          <w:sz w:val="24"/>
          <w:szCs w:val="24"/>
          <w:rtl/>
          <w:lang w:val="en-US" w:bidi="ar-DZ"/>
        </w:rPr>
        <w:t>الحي</w:t>
      </w:r>
      <w:r w:rsidR="00A63D6A" w:rsidRPr="00CF4A92">
        <w:rPr>
          <w:rFonts w:ascii="Simplified Arabic" w:hAnsi="Simplified Arabic" w:cs="Simplified Arabic" w:hint="cs"/>
          <w:sz w:val="24"/>
          <w:szCs w:val="24"/>
          <w:rtl/>
          <w:lang w:val="en-US" w:bidi="ar-DZ"/>
        </w:rPr>
        <w:t>،</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في</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حين</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أن</w:t>
      </w:r>
      <w:r w:rsidR="00A63D6A" w:rsidRPr="00CF4A92">
        <w:rPr>
          <w:rFonts w:ascii="Simplified Arabic" w:hAnsi="Simplified Arabic" w:cs="Simplified Arabic"/>
          <w:sz w:val="24"/>
          <w:szCs w:val="24"/>
          <w:rtl/>
          <w:lang w:val="en-US" w:bidi="ar-DZ"/>
        </w:rPr>
        <w:t xml:space="preserve"> </w:t>
      </w:r>
      <w:r w:rsidR="008808D6" w:rsidRPr="00CF4A92">
        <w:rPr>
          <w:rFonts w:ascii="Simplified Arabic" w:hAnsi="Simplified Arabic" w:cs="Simplified Arabic" w:hint="cs"/>
          <w:sz w:val="24"/>
          <w:szCs w:val="24"/>
          <w:rtl/>
          <w:lang w:val="en-US" w:bidi="ar-DZ"/>
        </w:rPr>
        <w:t>الطرق المسدودة</w:t>
      </w:r>
      <w:r w:rsidR="008808D6" w:rsidRPr="00CF4A92">
        <w:rPr>
          <w:rFonts w:ascii="Simplified Arabic" w:hAnsi="Simplified Arabic" w:cs="Simplified Arabic"/>
          <w:sz w:val="24"/>
          <w:szCs w:val="24"/>
          <w:rtl/>
          <w:lang w:val="en-US" w:bidi="ar-DZ"/>
        </w:rPr>
        <w:t xml:space="preserve"> </w:t>
      </w:r>
      <w:r w:rsidR="008808D6" w:rsidRPr="00CF4A92">
        <w:rPr>
          <w:rFonts w:ascii="Simplified Arabic" w:hAnsi="Simplified Arabic" w:cs="Simplified Arabic" w:hint="cs"/>
          <w:sz w:val="24"/>
          <w:szCs w:val="24"/>
          <w:rtl/>
          <w:lang w:val="en-US" w:bidi="ar-DZ"/>
        </w:rPr>
        <w:t>(</w:t>
      </w:r>
      <w:r w:rsidR="008808D6" w:rsidRPr="00CF4A92">
        <w:rPr>
          <w:rFonts w:asciiTheme="majorBidi" w:hAnsiTheme="majorBidi" w:cstheme="majorBidi"/>
          <w:sz w:val="24"/>
          <w:szCs w:val="24"/>
          <w:lang w:val="en-US" w:bidi="ar-DZ"/>
        </w:rPr>
        <w:t>cul-de-sac</w:t>
      </w:r>
      <w:r w:rsidR="008808D6" w:rsidRPr="00CF4A92">
        <w:rPr>
          <w:rFonts w:ascii="Simplified Arabic" w:hAnsi="Simplified Arabic" w:cs="Simplified Arabic" w:hint="cs"/>
          <w:sz w:val="24"/>
          <w:szCs w:val="24"/>
          <w:rtl/>
          <w:lang w:val="en-US" w:bidi="ar-DZ"/>
        </w:rPr>
        <w:t>)</w:t>
      </w:r>
      <w:r w:rsidR="008808D6" w:rsidRPr="00CF4A92">
        <w:rPr>
          <w:rFonts w:ascii="Simplified Arabic" w:hAnsi="Simplified Arabic" w:cs="Simplified Arabic"/>
          <w:sz w:val="24"/>
          <w:szCs w:val="24"/>
          <w:rtl/>
          <w:lang w:val="en-US" w:bidi="ar-DZ"/>
        </w:rPr>
        <w:t xml:space="preserve"> </w:t>
      </w:r>
      <w:r w:rsidR="008808D6" w:rsidRPr="00CF4A92">
        <w:rPr>
          <w:rFonts w:ascii="Simplified Arabic" w:hAnsi="Simplified Arabic" w:cs="Simplified Arabic" w:hint="cs"/>
          <w:sz w:val="24"/>
          <w:szCs w:val="24"/>
          <w:rtl/>
          <w:lang w:val="en-US" w:bidi="ar-DZ"/>
        </w:rPr>
        <w:t>قليلة</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نسبيًا</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وتوجد</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غالبًا</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في</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ممرات</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الوصول</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الخلفية</w:t>
      </w:r>
      <w:r w:rsidR="00A63D6A" w:rsidRPr="00CF4A92">
        <w:rPr>
          <w:rFonts w:ascii="Simplified Arabic" w:hAnsi="Simplified Arabic" w:cs="Simplified Arabic"/>
          <w:sz w:val="24"/>
          <w:szCs w:val="24"/>
          <w:rtl/>
          <w:lang w:val="en-US" w:bidi="ar-DZ"/>
        </w:rPr>
        <w:t xml:space="preserve"> </w:t>
      </w:r>
      <w:r w:rsidR="00A63D6A" w:rsidRPr="00CF4A92">
        <w:rPr>
          <w:rFonts w:ascii="Simplified Arabic" w:hAnsi="Simplified Arabic" w:cs="Simplified Arabic" w:hint="cs"/>
          <w:sz w:val="24"/>
          <w:szCs w:val="24"/>
          <w:rtl/>
          <w:lang w:val="en-US" w:bidi="ar-DZ"/>
        </w:rPr>
        <w:t>في</w:t>
      </w:r>
      <w:r w:rsidR="00A63D6A" w:rsidRPr="00CF4A92">
        <w:rPr>
          <w:rFonts w:ascii="Simplified Arabic" w:hAnsi="Simplified Arabic" w:cs="Simplified Arabic"/>
          <w:sz w:val="24"/>
          <w:szCs w:val="24"/>
          <w:rtl/>
          <w:lang w:val="en-US" w:bidi="ar-DZ"/>
        </w:rPr>
        <w:t xml:space="preserve"> </w:t>
      </w:r>
      <w:r w:rsidR="008808D6" w:rsidRPr="00CF4A92">
        <w:rPr>
          <w:rFonts w:ascii="Simplified Arabic" w:hAnsi="Simplified Arabic" w:cs="Simplified Arabic" w:hint="cs"/>
          <w:sz w:val="24"/>
          <w:szCs w:val="24"/>
          <w:rtl/>
          <w:lang w:val="en-US" w:bidi="ar-DZ"/>
        </w:rPr>
        <w:t>ال</w:t>
      </w:r>
      <w:r w:rsidR="00A63D6A" w:rsidRPr="00CF4A92">
        <w:rPr>
          <w:rFonts w:ascii="Simplified Arabic" w:hAnsi="Simplified Arabic" w:cs="Simplified Arabic" w:hint="cs"/>
          <w:sz w:val="24"/>
          <w:szCs w:val="24"/>
          <w:rtl/>
          <w:lang w:val="en-US" w:bidi="ar-DZ"/>
        </w:rPr>
        <w:t>وسط</w:t>
      </w:r>
      <w:r w:rsidR="00A63D6A" w:rsidRPr="00CF4A92">
        <w:rPr>
          <w:rFonts w:ascii="Simplified Arabic" w:hAnsi="Simplified Arabic" w:cs="Simplified Arabic"/>
          <w:sz w:val="24"/>
          <w:szCs w:val="24"/>
          <w:rtl/>
          <w:lang w:val="en-US" w:bidi="ar-DZ"/>
        </w:rPr>
        <w:t xml:space="preserve"> </w:t>
      </w:r>
      <w:r w:rsidR="008808D6" w:rsidRPr="00CF4A92">
        <w:rPr>
          <w:rFonts w:ascii="Simplified Arabic" w:hAnsi="Simplified Arabic" w:cs="Simplified Arabic" w:hint="cs"/>
          <w:sz w:val="24"/>
          <w:szCs w:val="24"/>
          <w:rtl/>
          <w:lang w:val="en-US" w:bidi="ar-DZ"/>
        </w:rPr>
        <w:t>الهندسي للحي.</w:t>
      </w:r>
    </w:p>
    <w:p w:rsidR="008F1B5A" w:rsidRDefault="008F1B5A" w:rsidP="00986BEA">
      <w:pPr>
        <w:pStyle w:val="carte"/>
        <w:spacing w:after="0"/>
        <w:rPr>
          <w:rtl/>
          <w:lang w:val="en-US" w:bidi="ar-DZ"/>
        </w:rPr>
      </w:pPr>
      <w:bookmarkStart w:id="965" w:name="_Toc157616626"/>
      <w:bookmarkStart w:id="966" w:name="_Toc171803888"/>
      <w:r w:rsidRPr="005373F7">
        <w:rPr>
          <w:rFonts w:hint="cs"/>
          <w:rtl/>
          <w:lang w:val="en-US" w:bidi="ar-DZ"/>
        </w:rPr>
        <w:t>الخريطة</w:t>
      </w:r>
      <w:r w:rsidRPr="005373F7">
        <w:rPr>
          <w:rtl/>
          <w:lang w:val="en-US" w:bidi="ar-DZ"/>
        </w:rPr>
        <w:t xml:space="preserve"> </w:t>
      </w:r>
      <w:r w:rsidRPr="005373F7">
        <w:rPr>
          <w:rFonts w:hint="cs"/>
          <w:rtl/>
          <w:lang w:val="en-US" w:bidi="ar-DZ"/>
        </w:rPr>
        <w:t>(6-</w:t>
      </w:r>
      <w:r w:rsidR="005373F7" w:rsidRPr="005373F7">
        <w:rPr>
          <w:rFonts w:hint="cs"/>
          <w:rtl/>
          <w:lang w:val="en-US" w:bidi="ar-DZ"/>
        </w:rPr>
        <w:t>18</w:t>
      </w:r>
      <w:r w:rsidRPr="005373F7">
        <w:rPr>
          <w:rFonts w:hint="cs"/>
          <w:rtl/>
          <w:lang w:val="en-US" w:bidi="ar-DZ"/>
        </w:rPr>
        <w:t>)</w:t>
      </w:r>
      <w:r w:rsidRPr="005373F7">
        <w:rPr>
          <w:rtl/>
          <w:lang w:val="en-US" w:bidi="ar-DZ"/>
        </w:rPr>
        <w:t xml:space="preserve">. </w:t>
      </w:r>
      <w:r w:rsidRPr="005373F7">
        <w:rPr>
          <w:rFonts w:hint="cs"/>
          <w:rtl/>
          <w:lang w:val="en-US" w:bidi="ar-DZ"/>
        </w:rPr>
        <w:t>التوزيع</w:t>
      </w:r>
      <w:r w:rsidRPr="005373F7">
        <w:rPr>
          <w:rtl/>
          <w:lang w:val="en-US" w:bidi="ar-DZ"/>
        </w:rPr>
        <w:t xml:space="preserve"> </w:t>
      </w:r>
      <w:r w:rsidRPr="005373F7">
        <w:rPr>
          <w:rFonts w:hint="cs"/>
          <w:rtl/>
          <w:lang w:val="en-US" w:bidi="ar-DZ"/>
        </w:rPr>
        <w:t>المكاني</w:t>
      </w:r>
      <w:r w:rsidRPr="005373F7">
        <w:rPr>
          <w:rtl/>
          <w:lang w:val="en-US" w:bidi="ar-DZ"/>
        </w:rPr>
        <w:t xml:space="preserve"> </w:t>
      </w:r>
      <w:r w:rsidRPr="005373F7">
        <w:rPr>
          <w:rFonts w:hint="cs"/>
          <w:rtl/>
          <w:lang w:val="en-US" w:bidi="ar-DZ"/>
        </w:rPr>
        <w:t>لدرجة</w:t>
      </w:r>
      <w:r w:rsidRPr="005373F7">
        <w:rPr>
          <w:rtl/>
          <w:lang w:val="en-US" w:bidi="ar-DZ"/>
        </w:rPr>
        <w:t xml:space="preserve"> </w:t>
      </w:r>
      <w:r w:rsidRPr="005373F7">
        <w:rPr>
          <w:rFonts w:hint="cs"/>
          <w:rtl/>
          <w:lang w:val="en-US" w:bidi="ar-DZ"/>
        </w:rPr>
        <w:t>العقدة</w:t>
      </w:r>
      <w:r w:rsidR="00256295" w:rsidRPr="005373F7">
        <w:rPr>
          <w:rFonts w:hint="cs"/>
          <w:rtl/>
          <w:lang w:val="en-US" w:bidi="ar-DZ"/>
        </w:rPr>
        <w:t>،</w:t>
      </w:r>
      <w:r w:rsidRPr="005373F7">
        <w:rPr>
          <w:rtl/>
          <w:lang w:val="en-US" w:bidi="ar-DZ"/>
        </w:rPr>
        <w:t xml:space="preserve"> </w:t>
      </w:r>
      <w:r w:rsidR="00256295" w:rsidRPr="005373F7">
        <w:rPr>
          <w:rFonts w:hint="cs"/>
          <w:rtl/>
          <w:lang w:val="en-US" w:bidi="ar-DZ"/>
        </w:rPr>
        <w:t>حي القصر</w:t>
      </w:r>
      <w:r w:rsidR="00066C86" w:rsidRPr="005373F7">
        <w:rPr>
          <w:rFonts w:hint="cs"/>
          <w:rtl/>
          <w:lang w:val="en-US" w:bidi="ar-DZ"/>
        </w:rPr>
        <w:t>،</w:t>
      </w:r>
      <w:r w:rsidR="00256295" w:rsidRPr="005373F7">
        <w:rPr>
          <w:rtl/>
          <w:lang w:val="en-US" w:bidi="ar-DZ"/>
        </w:rPr>
        <w:t xml:space="preserve"> </w:t>
      </w:r>
      <w:r w:rsidR="00256295" w:rsidRPr="005373F7">
        <w:rPr>
          <w:rFonts w:hint="cs"/>
          <w:rtl/>
          <w:lang w:val="en-US" w:bidi="ar-DZ"/>
        </w:rPr>
        <w:t>فئة النسيج الحضري (أ)</w:t>
      </w:r>
      <w:bookmarkEnd w:id="965"/>
      <w:bookmarkEnd w:id="966"/>
    </w:p>
    <w:p w:rsidR="00986BEA" w:rsidRPr="00986BEA" w:rsidRDefault="00986BEA" w:rsidP="00986BEA">
      <w:pPr>
        <w:pStyle w:val="fegure"/>
        <w:rPr>
          <w:sz w:val="8"/>
          <w:szCs w:val="24"/>
          <w:rtl/>
          <w:lang w:val="en-US"/>
        </w:rPr>
      </w:pPr>
      <w:bookmarkStart w:id="967" w:name="_Toc171803889"/>
      <w:r>
        <w:rPr>
          <w:rFonts w:hint="cs"/>
          <w:sz w:val="8"/>
          <w:szCs w:val="24"/>
          <w:rtl/>
          <w:lang w:val="en-US" w:bidi="ar-DZ"/>
        </w:rPr>
        <w:t xml:space="preserve">المصدر: </w:t>
      </w:r>
      <w:r>
        <w:rPr>
          <w:rFonts w:hint="cs"/>
          <w:sz w:val="8"/>
          <w:szCs w:val="24"/>
          <w:rtl/>
          <w:lang w:val="en-US"/>
        </w:rPr>
        <w:t>(الباحث، 2022)</w:t>
      </w:r>
      <w:bookmarkEnd w:id="967"/>
    </w:p>
    <w:p w:rsidR="008F1B5A" w:rsidRDefault="008F1B5A" w:rsidP="00256295">
      <w:pPr>
        <w:bidi/>
        <w:spacing w:after="0"/>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36B662CE" wp14:editId="0DF95A3F">
            <wp:extent cx="4548329" cy="5555411"/>
            <wp:effectExtent l="0" t="0" r="5080" b="7620"/>
            <wp:docPr id="280" name="Imag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32" cstate="print">
                      <a:extLst>
                        <a:ext uri="{28A0092B-C50C-407E-A947-70E740481C1C}">
                          <a14:useLocalDpi xmlns:a14="http://schemas.microsoft.com/office/drawing/2010/main" val="0"/>
                        </a:ext>
                      </a:extLst>
                    </a:blip>
                    <a:srcRect t="8487"/>
                    <a:stretch/>
                  </pic:blipFill>
                  <pic:spPr bwMode="auto">
                    <a:xfrm>
                      <a:off x="0" y="0"/>
                      <a:ext cx="4570905" cy="5582986"/>
                    </a:xfrm>
                    <a:prstGeom prst="rect">
                      <a:avLst/>
                    </a:prstGeom>
                    <a:noFill/>
                    <a:ln>
                      <a:noFill/>
                    </a:ln>
                    <a:extLst>
                      <a:ext uri="{53640926-AAD7-44D8-BBD7-CCE9431645EC}">
                        <a14:shadowObscured xmlns:a14="http://schemas.microsoft.com/office/drawing/2010/main"/>
                      </a:ext>
                    </a:extLst>
                  </pic:spPr>
                </pic:pic>
              </a:graphicData>
            </a:graphic>
          </wp:inline>
        </w:drawing>
      </w:r>
    </w:p>
    <w:p w:rsidR="00404257" w:rsidRPr="001326BC" w:rsidRDefault="00256295" w:rsidP="00AA7E5E">
      <w:pPr>
        <w:pStyle w:val="Paragraphedeliste"/>
        <w:numPr>
          <w:ilvl w:val="0"/>
          <w:numId w:val="69"/>
        </w:numPr>
        <w:autoSpaceDE w:val="0"/>
        <w:autoSpaceDN w:val="0"/>
        <w:bidi/>
        <w:adjustRightInd w:val="0"/>
        <w:spacing w:after="0"/>
        <w:ind w:left="0" w:firstLine="283"/>
        <w:jc w:val="both"/>
        <w:rPr>
          <w:rFonts w:ascii="Simplified Arabic" w:hAnsi="Simplified Arabic" w:cs="Simplified Arabic"/>
          <w:sz w:val="24"/>
          <w:szCs w:val="24"/>
          <w:rtl/>
          <w:lang w:val="en-US" w:bidi="ar-DZ"/>
        </w:rPr>
      </w:pPr>
      <w:r w:rsidRPr="001326BC">
        <w:rPr>
          <w:rFonts w:ascii="Simplified Arabic" w:hAnsi="Simplified Arabic" w:cs="Simplified Arabic" w:hint="cs"/>
          <w:sz w:val="24"/>
          <w:szCs w:val="24"/>
          <w:rtl/>
          <w:lang w:val="en-US" w:bidi="ar-DZ"/>
        </w:rPr>
        <w:lastRenderedPageBreak/>
        <w:t>احصى حي بلاتو الواقع ضمن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فئة النسيج الحضري (</w:t>
      </w:r>
      <w:r w:rsidR="00277968" w:rsidRPr="001326BC">
        <w:rPr>
          <w:rFonts w:ascii="Simplified Arabic" w:hAnsi="Simplified Arabic" w:cs="Simplified Arabic" w:hint="cs"/>
          <w:sz w:val="24"/>
          <w:szCs w:val="24"/>
          <w:rtl/>
          <w:lang w:val="en-US" w:bidi="ar-DZ"/>
        </w:rPr>
        <w:t>ب</w:t>
      </w:r>
      <w:r w:rsidRPr="001326BC">
        <w:rPr>
          <w:rFonts w:ascii="Simplified Arabic" w:hAnsi="Simplified Arabic" w:cs="Simplified Arabic" w:hint="cs"/>
          <w:sz w:val="24"/>
          <w:szCs w:val="24"/>
          <w:rtl/>
          <w:lang w:val="en-US" w:bidi="ar-DZ"/>
        </w:rPr>
        <w:t>)،</w:t>
      </w:r>
      <w:r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حوالي</w:t>
      </w:r>
      <w:r w:rsidR="00066C86"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144</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تقاطع</w:t>
      </w:r>
      <w:r w:rsidR="00066C86" w:rsidRPr="001326BC">
        <w:rPr>
          <w:rFonts w:ascii="Simplified Arabic" w:hAnsi="Simplified Arabic" w:cs="Simplified Arabic"/>
          <w:sz w:val="24"/>
          <w:szCs w:val="24"/>
          <w:rtl/>
          <w:lang w:val="en-US" w:bidi="ar-DZ"/>
        </w:rPr>
        <w:t>/</w:t>
      </w:r>
      <w:r w:rsidR="00066C86" w:rsidRPr="001326BC">
        <w:rPr>
          <w:rFonts w:ascii="Simplified Arabic" w:hAnsi="Simplified Arabic" w:cs="Simplified Arabic" w:hint="cs"/>
          <w:sz w:val="24"/>
          <w:szCs w:val="24"/>
          <w:rtl/>
          <w:lang w:val="en-US" w:bidi="ar-DZ"/>
        </w:rPr>
        <w:t>كم</w:t>
      </w:r>
      <w:r w:rsidR="00066C86" w:rsidRPr="001326BC">
        <w:rPr>
          <w:rFonts w:ascii="Simplified Arabic" w:hAnsi="Simplified Arabic" w:cs="Simplified Arabic"/>
          <w:sz w:val="24"/>
          <w:szCs w:val="24"/>
          <w:vertAlign w:val="superscript"/>
          <w:rtl/>
          <w:lang w:val="en-US" w:bidi="ar-DZ"/>
        </w:rPr>
        <w:t>2</w:t>
      </w:r>
      <w:r w:rsidR="001A5834" w:rsidRPr="001326BC">
        <w:rPr>
          <w:rFonts w:ascii="Simplified Arabic" w:hAnsi="Simplified Arabic" w:cs="Simplified Arabic" w:hint="cs"/>
          <w:sz w:val="24"/>
          <w:szCs w:val="24"/>
          <w:rtl/>
          <w:lang w:val="en-US" w:bidi="ar-DZ"/>
        </w:rPr>
        <w:t xml:space="preserve">، </w:t>
      </w:r>
      <w:r w:rsidR="00C91EA0" w:rsidRPr="001326BC">
        <w:rPr>
          <w:rFonts w:ascii="Simplified Arabic" w:hAnsi="Simplified Arabic" w:cs="Simplified Arabic" w:hint="cs"/>
          <w:sz w:val="24"/>
          <w:szCs w:val="24"/>
          <w:rtl/>
          <w:lang w:val="en-US" w:bidi="ar-DZ"/>
        </w:rPr>
        <w:t>تنعدم فيه</w:t>
      </w:r>
      <w:r w:rsidR="001A5834" w:rsidRPr="001326BC">
        <w:rPr>
          <w:rFonts w:ascii="Simplified Arabic" w:hAnsi="Simplified Arabic" w:cs="Simplified Arabic" w:hint="cs"/>
          <w:sz w:val="24"/>
          <w:szCs w:val="24"/>
          <w:rtl/>
          <w:lang w:val="en-US" w:bidi="ar-DZ"/>
        </w:rPr>
        <w:t xml:space="preserve"> </w:t>
      </w:r>
      <w:r w:rsidR="00C91EA0" w:rsidRPr="001326BC">
        <w:rPr>
          <w:rFonts w:ascii="Simplified Arabic" w:hAnsi="Simplified Arabic" w:cs="Simplified Arabic" w:hint="cs"/>
          <w:sz w:val="24"/>
          <w:szCs w:val="24"/>
          <w:rtl/>
          <w:lang w:val="en-US" w:bidi="ar-DZ"/>
        </w:rPr>
        <w:t>ال</w:t>
      </w:r>
      <w:r w:rsidR="001A5834" w:rsidRPr="001326BC">
        <w:rPr>
          <w:rFonts w:ascii="Simplified Arabic" w:hAnsi="Simplified Arabic" w:cs="Simplified Arabic" w:hint="cs"/>
          <w:sz w:val="24"/>
          <w:szCs w:val="24"/>
          <w:rtl/>
          <w:lang w:val="en-US" w:bidi="ar-DZ"/>
        </w:rPr>
        <w:t xml:space="preserve">طرق </w:t>
      </w:r>
      <w:r w:rsidR="00C91EA0" w:rsidRPr="001326BC">
        <w:rPr>
          <w:rFonts w:ascii="Simplified Arabic" w:hAnsi="Simplified Arabic" w:cs="Simplified Arabic" w:hint="cs"/>
          <w:sz w:val="24"/>
          <w:szCs w:val="24"/>
          <w:rtl/>
          <w:lang w:val="en-US" w:bidi="ar-DZ"/>
        </w:rPr>
        <w:t>ال</w:t>
      </w:r>
      <w:r w:rsidR="001A5834" w:rsidRPr="001326BC">
        <w:rPr>
          <w:rFonts w:ascii="Simplified Arabic" w:hAnsi="Simplified Arabic" w:cs="Simplified Arabic" w:hint="cs"/>
          <w:sz w:val="24"/>
          <w:szCs w:val="24"/>
          <w:rtl/>
          <w:lang w:val="en-US" w:bidi="ar-DZ"/>
        </w:rPr>
        <w:t>مسدودة</w:t>
      </w:r>
      <w:r w:rsidR="001A5834"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w:t>
      </w:r>
      <w:r w:rsidR="00066C86" w:rsidRPr="001326BC">
        <w:rPr>
          <w:rFonts w:asciiTheme="majorBidi" w:hAnsiTheme="majorBidi" w:cstheme="majorBidi"/>
          <w:sz w:val="24"/>
          <w:szCs w:val="24"/>
          <w:lang w:val="en-US" w:bidi="ar-DZ"/>
        </w:rPr>
        <w:t>cul-de-sac</w:t>
      </w:r>
      <w:r w:rsidR="00066C86" w:rsidRPr="001326BC">
        <w:rPr>
          <w:rFonts w:ascii="Simplified Arabic" w:hAnsi="Simplified Arabic" w:cs="Simplified Arabic"/>
          <w:sz w:val="24"/>
          <w:szCs w:val="24"/>
          <w:rtl/>
          <w:lang w:val="en-US" w:bidi="ar-DZ"/>
        </w:rPr>
        <w:t>)</w:t>
      </w:r>
      <w:r w:rsidR="00066C86" w:rsidRPr="001326BC">
        <w:rPr>
          <w:rFonts w:ascii="Simplified Arabic" w:hAnsi="Simplified Arabic" w:cs="Simplified Arabic" w:hint="cs"/>
          <w:sz w:val="24"/>
          <w:szCs w:val="24"/>
          <w:rtl/>
          <w:lang w:val="en-US" w:bidi="ar-DZ"/>
        </w:rPr>
        <w:t>،</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كثافة</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شبكة</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الطرق تبلغ</w:t>
      </w:r>
      <w:r w:rsidR="00066C86" w:rsidRPr="001326BC">
        <w:rPr>
          <w:rFonts w:ascii="Simplified Arabic" w:hAnsi="Simplified Arabic" w:cs="Simplified Arabic"/>
          <w:sz w:val="24"/>
          <w:szCs w:val="24"/>
          <w:rtl/>
          <w:lang w:val="en-US" w:bidi="ar-DZ"/>
        </w:rPr>
        <w:t xml:space="preserve"> </w:t>
      </w:r>
      <w:r w:rsidR="00277968" w:rsidRPr="001326BC">
        <w:rPr>
          <w:rFonts w:ascii="Simplified Arabic" w:eastAsia="Times New Roman" w:hAnsi="Simplified Arabic" w:cs="Simplified Arabic" w:hint="cs"/>
          <w:color w:val="000000"/>
          <w:sz w:val="24"/>
          <w:szCs w:val="24"/>
          <w:rtl/>
          <w:lang w:eastAsia="fr-FR"/>
        </w:rPr>
        <w:t>28</w:t>
      </w:r>
      <w:r w:rsidR="00066C86" w:rsidRPr="001326BC">
        <w:rPr>
          <w:rFonts w:ascii="Simplified Arabic" w:eastAsia="Times New Roman" w:hAnsi="Simplified Arabic" w:cs="Simplified Arabic"/>
          <w:color w:val="000000"/>
          <w:sz w:val="24"/>
          <w:szCs w:val="24"/>
          <w:rtl/>
          <w:lang w:eastAsia="fr-FR"/>
        </w:rPr>
        <w:t>,</w:t>
      </w:r>
      <w:r w:rsidR="00277968" w:rsidRPr="001326BC">
        <w:rPr>
          <w:rFonts w:ascii="Simplified Arabic" w:eastAsia="Times New Roman" w:hAnsi="Simplified Arabic" w:cs="Simplified Arabic" w:hint="cs"/>
          <w:color w:val="000000"/>
          <w:sz w:val="24"/>
          <w:szCs w:val="24"/>
          <w:rtl/>
          <w:lang w:eastAsia="fr-FR"/>
        </w:rPr>
        <w:t>20</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كم</w:t>
      </w:r>
      <w:r w:rsidR="00066C86" w:rsidRPr="001326BC">
        <w:rPr>
          <w:rFonts w:ascii="Simplified Arabic" w:hAnsi="Simplified Arabic" w:cs="Simplified Arabic"/>
          <w:sz w:val="24"/>
          <w:szCs w:val="24"/>
          <w:rtl/>
          <w:lang w:val="en-US" w:bidi="ar-DZ"/>
        </w:rPr>
        <w:t>/</w:t>
      </w:r>
      <w:r w:rsidR="00066C86" w:rsidRPr="001326BC">
        <w:rPr>
          <w:rFonts w:ascii="Simplified Arabic" w:hAnsi="Simplified Arabic" w:cs="Simplified Arabic" w:hint="cs"/>
          <w:sz w:val="24"/>
          <w:szCs w:val="24"/>
          <w:rtl/>
          <w:lang w:val="en-US" w:bidi="ar-DZ"/>
        </w:rPr>
        <w:t>كم</w:t>
      </w:r>
      <w:r w:rsidR="00066C86" w:rsidRPr="001326BC">
        <w:rPr>
          <w:rFonts w:ascii="Simplified Arabic" w:hAnsi="Simplified Arabic" w:cs="Simplified Arabic"/>
          <w:sz w:val="24"/>
          <w:szCs w:val="24"/>
          <w:vertAlign w:val="superscript"/>
          <w:rtl/>
          <w:lang w:val="en-US" w:bidi="ar-DZ"/>
        </w:rPr>
        <w:t>2</w:t>
      </w:r>
      <w:r w:rsidR="00066C86" w:rsidRPr="001326BC">
        <w:rPr>
          <w:rFonts w:ascii="Simplified Arabic" w:hAnsi="Simplified Arabic" w:cs="Simplified Arabic" w:hint="cs"/>
          <w:sz w:val="24"/>
          <w:szCs w:val="24"/>
          <w:rtl/>
          <w:lang w:val="en-US" w:bidi="ar-DZ"/>
        </w:rPr>
        <w:t>،</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بينما</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تظهر</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نسبة</w:t>
      </w:r>
      <w:r w:rsidR="00066C86" w:rsidRPr="001326BC">
        <w:rPr>
          <w:rFonts w:ascii="Simplified Arabic" w:hAnsi="Simplified Arabic" w:cs="Simplified Arabic"/>
          <w:sz w:val="24"/>
          <w:szCs w:val="24"/>
          <w:rtl/>
          <w:lang w:val="en-US" w:bidi="ar-DZ"/>
        </w:rPr>
        <w:t xml:space="preserve"> </w:t>
      </w:r>
      <w:r w:rsidR="00AA7E5E">
        <w:rPr>
          <w:rFonts w:ascii="Simplified Arabic" w:hAnsi="Simplified Arabic" w:cs="Simplified Arabic" w:hint="cs"/>
          <w:sz w:val="24"/>
          <w:szCs w:val="24"/>
          <w:rtl/>
          <w:lang w:val="en-US" w:bidi="ar-DZ"/>
        </w:rPr>
        <w:t>ربط</w:t>
      </w:r>
      <w:r w:rsidR="00066C86" w:rsidRPr="001326BC">
        <w:rPr>
          <w:rFonts w:ascii="Simplified Arabic" w:hAnsi="Simplified Arabic" w:cs="Simplified Arabic"/>
          <w:sz w:val="24"/>
          <w:szCs w:val="24"/>
          <w:rtl/>
          <w:lang w:val="en-US" w:bidi="ar-DZ"/>
        </w:rPr>
        <w:t>-</w:t>
      </w:r>
      <w:r w:rsidR="00066C86" w:rsidRPr="001326BC">
        <w:rPr>
          <w:rFonts w:ascii="Simplified Arabic" w:hAnsi="Simplified Arabic" w:cs="Simplified Arabic" w:hint="cs"/>
          <w:sz w:val="24"/>
          <w:szCs w:val="24"/>
          <w:rtl/>
          <w:lang w:val="en-US" w:bidi="ar-DZ"/>
        </w:rPr>
        <w:t>العقد ونسبة</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العقد</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الموصولة قيمًا</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تبلغ</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على</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التوالي:</w:t>
      </w:r>
      <w:r w:rsidR="00066C86" w:rsidRPr="001326BC">
        <w:rPr>
          <w:rFonts w:ascii="Simplified Arabic" w:eastAsia="Times New Roman" w:hAnsi="Simplified Arabic" w:cs="Simplified Arabic" w:hint="cs"/>
          <w:color w:val="000000"/>
          <w:sz w:val="24"/>
          <w:szCs w:val="24"/>
          <w:rtl/>
          <w:lang w:eastAsia="fr-FR"/>
        </w:rPr>
        <w:t xml:space="preserve"> 1</w:t>
      </w:r>
      <w:r w:rsidR="00066C86" w:rsidRPr="001326BC">
        <w:rPr>
          <w:rFonts w:ascii="Simplified Arabic" w:eastAsia="Times New Roman" w:hAnsi="Simplified Arabic" w:cs="Simplified Arabic"/>
          <w:color w:val="000000"/>
          <w:sz w:val="24"/>
          <w:szCs w:val="24"/>
          <w:rtl/>
          <w:lang w:eastAsia="fr-FR"/>
        </w:rPr>
        <w:t>,</w:t>
      </w:r>
      <w:r w:rsidR="001A5834" w:rsidRPr="001326BC">
        <w:rPr>
          <w:rFonts w:ascii="Simplified Arabic" w:eastAsia="Times New Roman" w:hAnsi="Simplified Arabic" w:cs="Simplified Arabic" w:hint="cs"/>
          <w:color w:val="000000"/>
          <w:sz w:val="24"/>
          <w:szCs w:val="24"/>
          <w:rtl/>
          <w:lang w:eastAsia="fr-FR"/>
        </w:rPr>
        <w:t>44</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و</w:t>
      </w:r>
      <w:r w:rsidR="00066C86" w:rsidRPr="001326BC">
        <w:rPr>
          <w:rFonts w:ascii="Simplified Arabic" w:hAnsi="Simplified Arabic" w:cs="Simplified Arabic"/>
          <w:sz w:val="24"/>
          <w:szCs w:val="24"/>
          <w:rtl/>
          <w:lang w:val="en-US" w:bidi="ar-DZ"/>
        </w:rPr>
        <w:t xml:space="preserve"> </w:t>
      </w:r>
      <w:r w:rsidR="001A5834" w:rsidRPr="001326BC">
        <w:rPr>
          <w:rFonts w:ascii="Simplified Arabic" w:eastAsia="Times New Roman" w:hAnsi="Simplified Arabic" w:cs="Simplified Arabic" w:hint="cs"/>
          <w:color w:val="000000"/>
          <w:sz w:val="24"/>
          <w:szCs w:val="24"/>
          <w:rtl/>
          <w:lang w:eastAsia="fr-FR"/>
        </w:rPr>
        <w:t>1</w:t>
      </w:r>
      <w:r w:rsidR="00066C86" w:rsidRPr="001326BC">
        <w:rPr>
          <w:rFonts w:ascii="Simplified Arabic" w:hAnsi="Simplified Arabic" w:cs="Simplified Arabic" w:hint="cs"/>
          <w:sz w:val="24"/>
          <w:szCs w:val="24"/>
          <w:rtl/>
          <w:lang w:val="en-US" w:bidi="ar-DZ"/>
        </w:rPr>
        <w:t>،</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تشير</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القيم</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إلى</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ان شبكة</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 xml:space="preserve">الشوارع </w:t>
      </w:r>
      <w:r w:rsidR="001A5834" w:rsidRPr="001326BC">
        <w:rPr>
          <w:rFonts w:ascii="Simplified Arabic" w:hAnsi="Simplified Arabic" w:cs="Simplified Arabic" w:hint="cs"/>
          <w:sz w:val="24"/>
          <w:szCs w:val="24"/>
          <w:rtl/>
          <w:lang w:val="en-US" w:bidi="ar-DZ"/>
        </w:rPr>
        <w:t>اكثر</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قابلية</w:t>
      </w:r>
      <w:r w:rsidR="00066C86" w:rsidRPr="001326BC">
        <w:rPr>
          <w:rFonts w:ascii="Simplified Arabic" w:hAnsi="Simplified Arabic" w:cs="Simplified Arabic"/>
          <w:sz w:val="24"/>
          <w:szCs w:val="24"/>
          <w:rtl/>
          <w:lang w:val="en-US" w:bidi="ar-DZ"/>
        </w:rPr>
        <w:t xml:space="preserve"> </w:t>
      </w:r>
      <w:r w:rsidR="00404257" w:rsidRPr="001326BC">
        <w:rPr>
          <w:rFonts w:ascii="Simplified Arabic" w:hAnsi="Simplified Arabic" w:cs="Simplified Arabic" w:hint="cs"/>
          <w:sz w:val="24"/>
          <w:szCs w:val="24"/>
          <w:rtl/>
          <w:lang w:val="en-US" w:bidi="ar-DZ"/>
        </w:rPr>
        <w:t>للسير</w:t>
      </w:r>
      <w:r w:rsidR="00066C86" w:rsidRPr="001326BC">
        <w:rPr>
          <w:rFonts w:ascii="Simplified Arabic" w:hAnsi="Simplified Arabic" w:cs="Simplified Arabic" w:hint="cs"/>
          <w:sz w:val="24"/>
          <w:szCs w:val="24"/>
          <w:rtl/>
          <w:lang w:val="en-US" w:bidi="ar-DZ"/>
        </w:rPr>
        <w:t>،</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يُعزى</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ذلك</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إلى</w:t>
      </w:r>
      <w:r w:rsidR="00066C86" w:rsidRPr="001326BC">
        <w:rPr>
          <w:rFonts w:ascii="Simplified Arabic" w:hAnsi="Simplified Arabic" w:cs="Simplified Arabic"/>
          <w:sz w:val="24"/>
          <w:szCs w:val="24"/>
          <w:rtl/>
          <w:lang w:val="en-US" w:bidi="ar-DZ"/>
        </w:rPr>
        <w:t xml:space="preserve"> </w:t>
      </w:r>
      <w:r w:rsidR="00DB4738" w:rsidRPr="001326BC">
        <w:rPr>
          <w:rFonts w:ascii="Simplified Arabic" w:hAnsi="Simplified Arabic" w:cs="Simplified Arabic" w:hint="cs"/>
          <w:sz w:val="24"/>
          <w:szCs w:val="24"/>
          <w:rtl/>
          <w:lang w:val="en-US" w:bidi="ar-DZ"/>
        </w:rPr>
        <w:t>غياب</w:t>
      </w:r>
      <w:r w:rsidR="00066C86" w:rsidRPr="001326BC">
        <w:rPr>
          <w:rFonts w:ascii="Simplified Arabic" w:hAnsi="Simplified Arabic" w:cs="Simplified Arabic" w:hint="cs"/>
          <w:sz w:val="24"/>
          <w:szCs w:val="24"/>
          <w:rtl/>
          <w:lang w:val="en-US" w:bidi="ar-DZ"/>
        </w:rPr>
        <w:t xml:space="preserve"> </w:t>
      </w:r>
      <w:r w:rsidR="00DB4738" w:rsidRPr="001326BC">
        <w:rPr>
          <w:rFonts w:ascii="Simplified Arabic" w:hAnsi="Simplified Arabic" w:cs="Simplified Arabic" w:hint="cs"/>
          <w:sz w:val="24"/>
          <w:szCs w:val="24"/>
          <w:rtl/>
          <w:lang w:val="en-US" w:bidi="ar-DZ"/>
        </w:rPr>
        <w:t>ال</w:t>
      </w:r>
      <w:r w:rsidR="00066C86" w:rsidRPr="001326BC">
        <w:rPr>
          <w:rFonts w:ascii="Simplified Arabic" w:hAnsi="Simplified Arabic" w:cs="Simplified Arabic" w:hint="cs"/>
          <w:sz w:val="24"/>
          <w:szCs w:val="24"/>
          <w:rtl/>
          <w:lang w:val="en-US" w:bidi="ar-DZ"/>
        </w:rPr>
        <w:t xml:space="preserve">طرق </w:t>
      </w:r>
      <w:r w:rsidR="00DB4738" w:rsidRPr="001326BC">
        <w:rPr>
          <w:rFonts w:ascii="Simplified Arabic" w:hAnsi="Simplified Arabic" w:cs="Simplified Arabic" w:hint="cs"/>
          <w:sz w:val="24"/>
          <w:szCs w:val="24"/>
          <w:rtl/>
          <w:lang w:val="en-US" w:bidi="ar-DZ"/>
        </w:rPr>
        <w:t>ال</w:t>
      </w:r>
      <w:r w:rsidR="00066C86" w:rsidRPr="001326BC">
        <w:rPr>
          <w:rFonts w:ascii="Simplified Arabic" w:hAnsi="Simplified Arabic" w:cs="Simplified Arabic" w:hint="cs"/>
          <w:sz w:val="24"/>
          <w:szCs w:val="24"/>
          <w:rtl/>
          <w:lang w:val="en-US" w:bidi="ar-DZ"/>
        </w:rPr>
        <w:t>مسدودة</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w:t>
      </w:r>
      <w:r w:rsidR="00066C86" w:rsidRPr="001326BC">
        <w:rPr>
          <w:rFonts w:asciiTheme="majorBidi" w:hAnsiTheme="majorBidi" w:cstheme="majorBidi"/>
          <w:sz w:val="24"/>
          <w:szCs w:val="24"/>
          <w:lang w:val="en-US" w:bidi="ar-DZ"/>
        </w:rPr>
        <w:t>cul-de-sac</w:t>
      </w:r>
      <w:r w:rsidR="00066C86" w:rsidRPr="001326BC">
        <w:rPr>
          <w:rFonts w:ascii="Simplified Arabic" w:hAnsi="Simplified Arabic" w:cs="Simplified Arabic" w:hint="cs"/>
          <w:sz w:val="24"/>
          <w:szCs w:val="24"/>
          <w:rtl/>
          <w:lang w:val="en-US" w:bidi="ar-DZ"/>
        </w:rPr>
        <w:t xml:space="preserve">)، </w:t>
      </w:r>
      <w:r w:rsidR="00404257" w:rsidRPr="001326BC">
        <w:rPr>
          <w:rFonts w:ascii="Simplified Arabic" w:hAnsi="Simplified Arabic" w:cs="Simplified Arabic" w:hint="cs"/>
          <w:sz w:val="24"/>
          <w:szCs w:val="24"/>
          <w:rtl/>
          <w:lang w:val="en-US" w:bidi="ar-DZ"/>
        </w:rPr>
        <w:t xml:space="preserve">مع وجود طرق، كثيرة التقاطعات، </w:t>
      </w:r>
      <w:r w:rsidR="00066C86" w:rsidRPr="001326BC">
        <w:rPr>
          <w:rFonts w:ascii="Simplified Arabic" w:hAnsi="Simplified Arabic" w:cs="Simplified Arabic" w:hint="cs"/>
          <w:sz w:val="24"/>
          <w:szCs w:val="24"/>
          <w:rtl/>
          <w:lang w:val="en-US" w:bidi="ar-DZ"/>
        </w:rPr>
        <w:t>تمنح إمكانية</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مشي</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جيدة</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على الاقدام نحو</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جميع</w:t>
      </w:r>
      <w:r w:rsidR="00066C86" w:rsidRPr="001326BC">
        <w:rPr>
          <w:rFonts w:ascii="Simplified Arabic" w:hAnsi="Simplified Arabic" w:cs="Simplified Arabic"/>
          <w:sz w:val="24"/>
          <w:szCs w:val="24"/>
          <w:rtl/>
          <w:lang w:val="en-US" w:bidi="ar-DZ"/>
        </w:rPr>
        <w:t xml:space="preserve"> </w:t>
      </w:r>
      <w:r w:rsidR="00066C86" w:rsidRPr="001326BC">
        <w:rPr>
          <w:rFonts w:ascii="Simplified Arabic" w:hAnsi="Simplified Arabic" w:cs="Simplified Arabic" w:hint="cs"/>
          <w:sz w:val="24"/>
          <w:szCs w:val="24"/>
          <w:rtl/>
          <w:lang w:val="en-US" w:bidi="ar-DZ"/>
        </w:rPr>
        <w:t>الوجهات</w:t>
      </w:r>
      <w:r w:rsidR="00066C86" w:rsidRPr="001326BC">
        <w:rPr>
          <w:rFonts w:ascii="Simplified Arabic" w:hAnsi="Simplified Arabic" w:cs="Simplified Arabic"/>
          <w:sz w:val="24"/>
          <w:szCs w:val="24"/>
          <w:rtl/>
          <w:lang w:val="en-US" w:bidi="ar-DZ"/>
        </w:rPr>
        <w:t xml:space="preserve">. </w:t>
      </w:r>
    </w:p>
    <w:p w:rsidR="00066C86" w:rsidRDefault="00066C86" w:rsidP="00CF4A92">
      <w:pPr>
        <w:autoSpaceDE w:val="0"/>
        <w:autoSpaceDN w:val="0"/>
        <w:bidi/>
        <w:adjustRightInd w:val="0"/>
        <w:spacing w:after="0"/>
        <w:ind w:firstLine="282"/>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كما هو موضح في الخريطة (6-</w:t>
      </w:r>
      <w:r w:rsidR="005373F7">
        <w:rPr>
          <w:rFonts w:ascii="Simplified Arabic" w:hAnsi="Simplified Arabic" w:cs="Simplified Arabic" w:hint="cs"/>
          <w:sz w:val="24"/>
          <w:szCs w:val="24"/>
          <w:rtl/>
          <w:lang w:val="en-US" w:bidi="ar-DZ"/>
        </w:rPr>
        <w:t>19</w:t>
      </w:r>
      <w:r>
        <w:rPr>
          <w:rFonts w:ascii="Simplified Arabic" w:hAnsi="Simplified Arabic" w:cs="Simplified Arabic" w:hint="cs"/>
          <w:sz w:val="24"/>
          <w:szCs w:val="24"/>
          <w:rtl/>
          <w:lang w:val="en-US" w:bidi="ar-DZ"/>
        </w:rPr>
        <w:t>)</w:t>
      </w:r>
      <w:r w:rsidRPr="00C5250E">
        <w:rPr>
          <w:rFonts w:ascii="Simplified Arabic" w:hAnsi="Simplified Arabic" w:cs="Simplified Arabic" w:hint="cs"/>
          <w:sz w:val="24"/>
          <w:szCs w:val="24"/>
          <w:rtl/>
          <w:lang w:val="en-US" w:bidi="ar-DZ"/>
        </w:rPr>
        <w:t>،</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ي</w:t>
      </w:r>
      <w:r w:rsidRPr="00C5250E">
        <w:rPr>
          <w:rFonts w:ascii="Simplified Arabic" w:hAnsi="Simplified Arabic" w:cs="Simplified Arabic" w:hint="cs"/>
          <w:sz w:val="24"/>
          <w:szCs w:val="24"/>
          <w:rtl/>
          <w:lang w:val="en-US" w:bidi="ar-DZ"/>
        </w:rPr>
        <w:t>سود</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نوع </w:t>
      </w:r>
      <w:r w:rsidRPr="00C5250E">
        <w:rPr>
          <w:rFonts w:ascii="Simplified Arabic" w:hAnsi="Simplified Arabic" w:cs="Simplified Arabic" w:hint="cs"/>
          <w:sz w:val="24"/>
          <w:szCs w:val="24"/>
          <w:rtl/>
          <w:lang w:val="en-US" w:bidi="ar-DZ"/>
        </w:rPr>
        <w:t>التقاطعات</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ثلاثية</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الاتجاهات،</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بما</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يعادل</w:t>
      </w:r>
      <w:r w:rsidRPr="00C5250E">
        <w:rPr>
          <w:rFonts w:ascii="Simplified Arabic" w:hAnsi="Simplified Arabic" w:cs="Simplified Arabic"/>
          <w:sz w:val="24"/>
          <w:szCs w:val="24"/>
          <w:rtl/>
          <w:lang w:val="en-US" w:bidi="ar-DZ"/>
        </w:rPr>
        <w:t xml:space="preserve"> </w:t>
      </w:r>
      <w:r w:rsidR="00DB4738">
        <w:rPr>
          <w:rFonts w:ascii="Simplified Arabic" w:hAnsi="Simplified Arabic" w:cs="Simplified Arabic" w:hint="cs"/>
          <w:sz w:val="24"/>
          <w:szCs w:val="24"/>
          <w:rtl/>
          <w:lang w:val="en-US" w:bidi="ar-DZ"/>
        </w:rPr>
        <w:t>72</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من</w:t>
      </w:r>
      <w:r w:rsidRPr="00C5250E">
        <w:rPr>
          <w:rFonts w:ascii="Simplified Arabic" w:hAnsi="Simplified Arabic" w:cs="Simplified Arabic"/>
          <w:sz w:val="24"/>
          <w:szCs w:val="24"/>
          <w:rtl/>
          <w:lang w:val="en-US" w:bidi="ar-DZ"/>
        </w:rPr>
        <w:t xml:space="preserve"> </w:t>
      </w:r>
      <w:r w:rsidR="00DB4738">
        <w:rPr>
          <w:rFonts w:ascii="Simplified Arabic" w:hAnsi="Simplified Arabic" w:cs="Simplified Arabic" w:hint="cs"/>
          <w:sz w:val="24"/>
          <w:szCs w:val="24"/>
          <w:rtl/>
          <w:lang w:val="en-US" w:bidi="ar-DZ"/>
        </w:rPr>
        <w:t>مجموع</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التقاطعات،</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بينما </w:t>
      </w:r>
      <w:r w:rsidR="00277968">
        <w:rPr>
          <w:rFonts w:ascii="Simplified Arabic" w:hAnsi="Simplified Arabic" w:cs="Simplified Arabic" w:hint="cs"/>
          <w:sz w:val="24"/>
          <w:szCs w:val="24"/>
          <w:rtl/>
          <w:lang w:val="en-US" w:bidi="ar-DZ"/>
        </w:rPr>
        <w:t>ت</w:t>
      </w:r>
      <w:r>
        <w:rPr>
          <w:rFonts w:ascii="Simplified Arabic" w:hAnsi="Simplified Arabic" w:cs="Simplified Arabic" w:hint="cs"/>
          <w:sz w:val="24"/>
          <w:szCs w:val="24"/>
          <w:rtl/>
          <w:lang w:val="en-US" w:bidi="ar-DZ"/>
        </w:rPr>
        <w:t xml:space="preserve">مثل </w:t>
      </w:r>
      <w:r w:rsidR="00DB4738" w:rsidRPr="00C5250E">
        <w:rPr>
          <w:rFonts w:ascii="Simplified Arabic" w:hAnsi="Simplified Arabic" w:cs="Simplified Arabic" w:hint="cs"/>
          <w:sz w:val="24"/>
          <w:szCs w:val="24"/>
          <w:rtl/>
          <w:lang w:val="en-US" w:bidi="ar-DZ"/>
        </w:rPr>
        <w:t>التقاطعات</w:t>
      </w:r>
      <w:r w:rsidR="00DB4738" w:rsidRPr="00C5250E">
        <w:rPr>
          <w:rFonts w:ascii="Simplified Arabic" w:hAnsi="Simplified Arabic" w:cs="Simplified Arabic"/>
          <w:sz w:val="24"/>
          <w:szCs w:val="24"/>
          <w:rtl/>
          <w:lang w:val="en-US" w:bidi="ar-DZ"/>
        </w:rPr>
        <w:t xml:space="preserve"> </w:t>
      </w:r>
      <w:r w:rsidR="00DB4738">
        <w:rPr>
          <w:rFonts w:ascii="Simplified Arabic" w:hAnsi="Simplified Arabic" w:cs="Simplified Arabic" w:hint="cs"/>
          <w:sz w:val="24"/>
          <w:szCs w:val="24"/>
          <w:rtl/>
          <w:lang w:val="en-US" w:bidi="ar-DZ"/>
        </w:rPr>
        <w:t>رباعية</w:t>
      </w:r>
      <w:r w:rsidR="00DB4738" w:rsidRPr="00C5250E">
        <w:rPr>
          <w:rFonts w:ascii="Simplified Arabic" w:hAnsi="Simplified Arabic" w:cs="Simplified Arabic"/>
          <w:sz w:val="24"/>
          <w:szCs w:val="24"/>
          <w:rtl/>
          <w:lang w:val="en-US" w:bidi="ar-DZ"/>
        </w:rPr>
        <w:t xml:space="preserve"> </w:t>
      </w:r>
      <w:r w:rsidR="00DB4738" w:rsidRPr="00C5250E">
        <w:rPr>
          <w:rFonts w:ascii="Simplified Arabic" w:hAnsi="Simplified Arabic" w:cs="Simplified Arabic" w:hint="cs"/>
          <w:sz w:val="24"/>
          <w:szCs w:val="24"/>
          <w:rtl/>
          <w:lang w:val="en-US" w:bidi="ar-DZ"/>
        </w:rPr>
        <w:t>الاتجاهات</w:t>
      </w:r>
      <w:r w:rsidR="00DB4738"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ثاني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أنواع</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التقاطع</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شيوعًا</w:t>
      </w:r>
      <w:r>
        <w:rPr>
          <w:rFonts w:ascii="Simplified Arabic" w:hAnsi="Simplified Arabic" w:cs="Simplified Arabic" w:hint="cs"/>
          <w:sz w:val="24"/>
          <w:szCs w:val="24"/>
          <w:rtl/>
          <w:lang w:val="en-US" w:bidi="ar-DZ"/>
        </w:rPr>
        <w:t xml:space="preserve"> تعادل </w:t>
      </w:r>
      <w:r w:rsidR="00DB4738">
        <w:rPr>
          <w:rFonts w:ascii="Simplified Arabic" w:hAnsi="Simplified Arabic" w:cs="Simplified Arabic" w:hint="cs"/>
          <w:sz w:val="24"/>
          <w:szCs w:val="24"/>
          <w:rtl/>
          <w:lang w:val="en-US" w:bidi="ar-DZ"/>
        </w:rPr>
        <w:t>28</w:t>
      </w:r>
      <w:r w:rsidRPr="00C5250E">
        <w:rPr>
          <w:rFonts w:ascii="Simplified Arabic" w:hAnsi="Simplified Arabic" w:cs="Simplified Arabic"/>
          <w:sz w:val="24"/>
          <w:szCs w:val="24"/>
          <w:rtl/>
          <w:lang w:val="en-US" w:bidi="ar-DZ"/>
        </w:rPr>
        <w:t>٪</w:t>
      </w:r>
      <w:r w:rsidR="00277968">
        <w:rPr>
          <w:rFonts w:ascii="Simplified Arabic" w:hAnsi="Simplified Arabic" w:cs="Simplified Arabic" w:hint="cs"/>
          <w:sz w:val="24"/>
          <w:szCs w:val="24"/>
          <w:rtl/>
          <w:lang w:val="en-US" w:bidi="ar-DZ"/>
        </w:rPr>
        <w:t xml:space="preserve"> مع ارتفاع معتبر مقارنة مع الفئة النسيج الحضري (أ)</w:t>
      </w:r>
      <w:r>
        <w:rPr>
          <w:rFonts w:ascii="Simplified Arabic" w:hAnsi="Simplified Arabic" w:cs="Simplified Arabic" w:hint="cs"/>
          <w:sz w:val="24"/>
          <w:szCs w:val="24"/>
          <w:rtl/>
          <w:lang w:val="en-US" w:bidi="ar-DZ"/>
        </w:rPr>
        <w:t xml:space="preserve">، </w:t>
      </w:r>
      <w:r w:rsidR="00DB4738">
        <w:rPr>
          <w:rFonts w:ascii="Simplified Arabic" w:hAnsi="Simplified Arabic" w:cs="Simplified Arabic" w:hint="cs"/>
          <w:sz w:val="24"/>
          <w:szCs w:val="24"/>
          <w:rtl/>
          <w:lang w:val="en-US" w:bidi="ar-DZ"/>
        </w:rPr>
        <w:t xml:space="preserve">بينما </w:t>
      </w:r>
      <w:r w:rsidR="00277968">
        <w:rPr>
          <w:rFonts w:ascii="Simplified Arabic" w:hAnsi="Simplified Arabic" w:cs="Simplified Arabic" w:hint="cs"/>
          <w:sz w:val="24"/>
          <w:szCs w:val="24"/>
          <w:rtl/>
          <w:lang w:val="en-US" w:bidi="ar-DZ"/>
        </w:rPr>
        <w:t>ي</w:t>
      </w:r>
      <w:r w:rsidR="00DB4738">
        <w:rPr>
          <w:rFonts w:ascii="Simplified Arabic" w:hAnsi="Simplified Arabic" w:cs="Simplified Arabic" w:hint="cs"/>
          <w:sz w:val="24"/>
          <w:szCs w:val="24"/>
          <w:rtl/>
          <w:lang w:val="en-US" w:bidi="ar-DZ"/>
        </w:rPr>
        <w:t>نعدم</w:t>
      </w:r>
      <w:r w:rsidR="00DB4738" w:rsidRPr="00C5250E">
        <w:rPr>
          <w:rFonts w:ascii="Simplified Arabic" w:hAnsi="Simplified Arabic" w:cs="Simplified Arabic" w:hint="cs"/>
          <w:sz w:val="24"/>
          <w:szCs w:val="24"/>
          <w:rtl/>
          <w:lang w:val="en-US" w:bidi="ar-DZ"/>
        </w:rPr>
        <w:t xml:space="preserve"> </w:t>
      </w:r>
      <w:r w:rsidR="00277968">
        <w:rPr>
          <w:rFonts w:ascii="Simplified Arabic" w:hAnsi="Simplified Arabic" w:cs="Simplified Arabic" w:hint="cs"/>
          <w:sz w:val="24"/>
          <w:szCs w:val="24"/>
          <w:rtl/>
          <w:lang w:val="en-US" w:bidi="ar-DZ"/>
        </w:rPr>
        <w:t xml:space="preserve">تماما </w:t>
      </w:r>
      <w:r>
        <w:rPr>
          <w:rFonts w:ascii="Simplified Arabic" w:hAnsi="Simplified Arabic" w:cs="Simplified Arabic" w:hint="cs"/>
          <w:sz w:val="24"/>
          <w:szCs w:val="24"/>
          <w:rtl/>
          <w:lang w:val="en-US" w:bidi="ar-DZ"/>
        </w:rPr>
        <w:t xml:space="preserve">نوع </w:t>
      </w:r>
      <w:r w:rsidR="00DB4738">
        <w:rPr>
          <w:rFonts w:ascii="Simplified Arabic" w:hAnsi="Simplified Arabic" w:cs="Simplified Arabic" w:hint="cs"/>
          <w:sz w:val="24"/>
          <w:szCs w:val="24"/>
          <w:rtl/>
          <w:lang w:val="en-US" w:bidi="ar-DZ"/>
        </w:rPr>
        <w:t>تقاطعات الطرق المسدودة</w:t>
      </w:r>
      <w:r w:rsidR="00DB4738" w:rsidRPr="00C5250E">
        <w:rPr>
          <w:rFonts w:ascii="Simplified Arabic" w:hAnsi="Simplified Arabic" w:cs="Simplified Arabic"/>
          <w:sz w:val="24"/>
          <w:szCs w:val="24"/>
          <w:rtl/>
          <w:lang w:val="en-US" w:bidi="ar-DZ"/>
        </w:rPr>
        <w:t xml:space="preserve"> </w:t>
      </w:r>
      <w:r w:rsidR="00DB4738">
        <w:rPr>
          <w:rFonts w:ascii="Simplified Arabic" w:hAnsi="Simplified Arabic" w:cs="Simplified Arabic" w:hint="cs"/>
          <w:sz w:val="24"/>
          <w:szCs w:val="24"/>
          <w:rtl/>
          <w:lang w:val="en-US" w:bidi="ar-DZ"/>
        </w:rPr>
        <w:t>(</w:t>
      </w:r>
      <w:r w:rsidR="00DB4738" w:rsidRPr="00016357">
        <w:rPr>
          <w:rFonts w:asciiTheme="majorBidi" w:hAnsiTheme="majorBidi" w:cstheme="majorBidi"/>
          <w:sz w:val="24"/>
          <w:szCs w:val="24"/>
          <w:lang w:val="en-US" w:bidi="ar-DZ"/>
        </w:rPr>
        <w:t>cul-de-sac</w:t>
      </w:r>
      <w:r w:rsidR="00DB4738">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w:t>
      </w:r>
      <w:r w:rsidR="00277968">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من الناحية ال</w:t>
      </w:r>
      <w:r w:rsidRPr="00C5250E">
        <w:rPr>
          <w:rFonts w:ascii="Simplified Arabic" w:hAnsi="Simplified Arabic" w:cs="Simplified Arabic" w:hint="cs"/>
          <w:sz w:val="24"/>
          <w:szCs w:val="24"/>
          <w:rtl/>
          <w:lang w:val="en-US" w:bidi="ar-DZ"/>
        </w:rPr>
        <w:t>مكاني</w:t>
      </w:r>
      <w:r>
        <w:rPr>
          <w:rFonts w:ascii="Simplified Arabic" w:hAnsi="Simplified Arabic" w:cs="Simplified Arabic" w:hint="cs"/>
          <w:sz w:val="24"/>
          <w:szCs w:val="24"/>
          <w:rtl/>
          <w:lang w:val="en-US" w:bidi="ar-DZ"/>
        </w:rPr>
        <w:t>ة</w:t>
      </w:r>
      <w:r w:rsidRPr="00C5250E">
        <w:rPr>
          <w:rFonts w:ascii="Simplified Arabic" w:hAnsi="Simplified Arabic" w:cs="Simplified Arabic" w:hint="cs"/>
          <w:sz w:val="24"/>
          <w:szCs w:val="24"/>
          <w:rtl/>
          <w:lang w:val="en-US" w:bidi="ar-DZ"/>
        </w:rPr>
        <w:t>،</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ينتشر</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النوع </w:t>
      </w:r>
      <w:r w:rsidRPr="00C5250E">
        <w:rPr>
          <w:rFonts w:ascii="Simplified Arabic" w:hAnsi="Simplified Arabic" w:cs="Simplified Arabic" w:hint="cs"/>
          <w:sz w:val="24"/>
          <w:szCs w:val="24"/>
          <w:rtl/>
          <w:lang w:val="en-US" w:bidi="ar-DZ"/>
        </w:rPr>
        <w:t>الأول</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في</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اغلبية</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اماكن الحي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ويتركز</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الثاني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في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الجزء</w:t>
      </w:r>
      <w:r w:rsidRPr="00C5250E">
        <w:rPr>
          <w:rFonts w:ascii="Simplified Arabic" w:hAnsi="Simplified Arabic" w:cs="Simplified Arabic"/>
          <w:sz w:val="24"/>
          <w:szCs w:val="24"/>
          <w:rtl/>
          <w:lang w:val="en-US" w:bidi="ar-DZ"/>
        </w:rPr>
        <w:t xml:space="preserve"> </w:t>
      </w:r>
      <w:r w:rsidR="00DB4738">
        <w:rPr>
          <w:rFonts w:ascii="Simplified Arabic" w:hAnsi="Simplified Arabic" w:cs="Simplified Arabic" w:hint="cs"/>
          <w:sz w:val="24"/>
          <w:szCs w:val="24"/>
          <w:rtl/>
          <w:lang w:val="en-US" w:bidi="ar-DZ"/>
        </w:rPr>
        <w:t>الشمال</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من</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الحي.</w:t>
      </w:r>
    </w:p>
    <w:p w:rsidR="00256295" w:rsidRDefault="00256295" w:rsidP="00986BEA">
      <w:pPr>
        <w:pStyle w:val="carte"/>
        <w:spacing w:after="0"/>
        <w:rPr>
          <w:rtl/>
          <w:lang w:val="en-US" w:bidi="ar-DZ"/>
        </w:rPr>
      </w:pPr>
      <w:bookmarkStart w:id="968" w:name="_Toc157616627"/>
      <w:bookmarkStart w:id="969" w:name="_Toc171803890"/>
      <w:r w:rsidRPr="005373F7">
        <w:rPr>
          <w:rFonts w:hint="cs"/>
          <w:rtl/>
          <w:lang w:val="en-US" w:bidi="ar-DZ"/>
        </w:rPr>
        <w:t>الخريطة</w:t>
      </w:r>
      <w:r w:rsidRPr="005373F7">
        <w:rPr>
          <w:rtl/>
          <w:lang w:val="en-US" w:bidi="ar-DZ"/>
        </w:rPr>
        <w:t xml:space="preserve"> </w:t>
      </w:r>
      <w:r w:rsidRPr="005373F7">
        <w:rPr>
          <w:rFonts w:hint="cs"/>
          <w:rtl/>
          <w:lang w:val="en-US" w:bidi="ar-DZ"/>
        </w:rPr>
        <w:t>(6-</w:t>
      </w:r>
      <w:r w:rsidR="005373F7" w:rsidRPr="005373F7">
        <w:rPr>
          <w:rFonts w:hint="cs"/>
          <w:rtl/>
          <w:lang w:val="en-US" w:bidi="ar-DZ"/>
        </w:rPr>
        <w:t>19</w:t>
      </w:r>
      <w:r w:rsidRPr="005373F7">
        <w:rPr>
          <w:rFonts w:hint="cs"/>
          <w:rtl/>
          <w:lang w:val="en-US" w:bidi="ar-DZ"/>
        </w:rPr>
        <w:t>)</w:t>
      </w:r>
      <w:r w:rsidRPr="005373F7">
        <w:rPr>
          <w:rtl/>
          <w:lang w:val="en-US" w:bidi="ar-DZ"/>
        </w:rPr>
        <w:t xml:space="preserve">. </w:t>
      </w:r>
      <w:r w:rsidRPr="005373F7">
        <w:rPr>
          <w:rFonts w:hint="cs"/>
          <w:rtl/>
          <w:lang w:val="en-US" w:bidi="ar-DZ"/>
        </w:rPr>
        <w:t>التوزيع</w:t>
      </w:r>
      <w:r w:rsidRPr="005373F7">
        <w:rPr>
          <w:rtl/>
          <w:lang w:val="en-US" w:bidi="ar-DZ"/>
        </w:rPr>
        <w:t xml:space="preserve"> </w:t>
      </w:r>
      <w:r w:rsidRPr="005373F7">
        <w:rPr>
          <w:rFonts w:hint="cs"/>
          <w:rtl/>
          <w:lang w:val="en-US" w:bidi="ar-DZ"/>
        </w:rPr>
        <w:t>المكاني</w:t>
      </w:r>
      <w:r w:rsidRPr="005373F7">
        <w:rPr>
          <w:rtl/>
          <w:lang w:val="en-US" w:bidi="ar-DZ"/>
        </w:rPr>
        <w:t xml:space="preserve"> </w:t>
      </w:r>
      <w:r w:rsidRPr="005373F7">
        <w:rPr>
          <w:rFonts w:hint="cs"/>
          <w:rtl/>
          <w:lang w:val="en-US" w:bidi="ar-DZ"/>
        </w:rPr>
        <w:t>لدرجة</w:t>
      </w:r>
      <w:r w:rsidRPr="005373F7">
        <w:rPr>
          <w:rtl/>
          <w:lang w:val="en-US" w:bidi="ar-DZ"/>
        </w:rPr>
        <w:t xml:space="preserve"> </w:t>
      </w:r>
      <w:r w:rsidRPr="005373F7">
        <w:rPr>
          <w:rFonts w:hint="cs"/>
          <w:rtl/>
          <w:lang w:val="en-US" w:bidi="ar-DZ"/>
        </w:rPr>
        <w:t>العقدة،</w:t>
      </w:r>
      <w:r w:rsidRPr="005373F7">
        <w:rPr>
          <w:rtl/>
          <w:lang w:val="en-US" w:bidi="ar-DZ"/>
        </w:rPr>
        <w:t xml:space="preserve"> </w:t>
      </w:r>
      <w:r w:rsidRPr="005373F7">
        <w:rPr>
          <w:rFonts w:hint="cs"/>
          <w:rtl/>
          <w:lang w:val="en-US" w:bidi="ar-DZ"/>
        </w:rPr>
        <w:t>حي بلاتو</w:t>
      </w:r>
      <w:r w:rsidR="00066C86" w:rsidRPr="005373F7">
        <w:rPr>
          <w:rFonts w:hint="cs"/>
          <w:rtl/>
          <w:lang w:val="en-US" w:bidi="ar-DZ"/>
        </w:rPr>
        <w:t>،</w:t>
      </w:r>
      <w:r w:rsidRPr="005373F7">
        <w:rPr>
          <w:rtl/>
          <w:lang w:val="en-US" w:bidi="ar-DZ"/>
        </w:rPr>
        <w:t xml:space="preserve"> </w:t>
      </w:r>
      <w:r w:rsidRPr="005373F7">
        <w:rPr>
          <w:rFonts w:hint="cs"/>
          <w:rtl/>
          <w:lang w:val="en-US" w:bidi="ar-DZ"/>
        </w:rPr>
        <w:t>فئة النسيج الحضري (ب)</w:t>
      </w:r>
      <w:bookmarkEnd w:id="968"/>
      <w:bookmarkEnd w:id="969"/>
    </w:p>
    <w:p w:rsidR="00986BEA" w:rsidRPr="00986BEA" w:rsidRDefault="00986BEA" w:rsidP="00986BEA">
      <w:pPr>
        <w:pStyle w:val="fegure"/>
        <w:rPr>
          <w:sz w:val="8"/>
          <w:szCs w:val="24"/>
          <w:rtl/>
          <w:lang w:val="en-US"/>
        </w:rPr>
      </w:pPr>
      <w:bookmarkStart w:id="970" w:name="_Toc171803891"/>
      <w:r>
        <w:rPr>
          <w:rFonts w:hint="cs"/>
          <w:sz w:val="8"/>
          <w:szCs w:val="24"/>
          <w:rtl/>
          <w:lang w:val="en-US" w:bidi="ar-DZ"/>
        </w:rPr>
        <w:t xml:space="preserve">المصدر: </w:t>
      </w:r>
      <w:r>
        <w:rPr>
          <w:rFonts w:hint="cs"/>
          <w:sz w:val="8"/>
          <w:szCs w:val="24"/>
          <w:rtl/>
          <w:lang w:val="en-US"/>
        </w:rPr>
        <w:t>(الباحث، 2022)</w:t>
      </w:r>
      <w:bookmarkEnd w:id="970"/>
    </w:p>
    <w:p w:rsidR="00256295" w:rsidRDefault="00256295" w:rsidP="00066C86">
      <w:pPr>
        <w:bidi/>
        <w:spacing w:after="0"/>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3207DB75" wp14:editId="727AF6A9">
            <wp:extent cx="4686753" cy="5736566"/>
            <wp:effectExtent l="0" t="0" r="0" b="0"/>
            <wp:docPr id="326" name="Imag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33" cstate="print">
                      <a:extLst>
                        <a:ext uri="{28A0092B-C50C-407E-A947-70E740481C1C}">
                          <a14:useLocalDpi xmlns:a14="http://schemas.microsoft.com/office/drawing/2010/main" val="0"/>
                        </a:ext>
                      </a:extLst>
                    </a:blip>
                    <a:srcRect t="8238"/>
                    <a:stretch/>
                  </pic:blipFill>
                  <pic:spPr bwMode="auto">
                    <a:xfrm>
                      <a:off x="0" y="0"/>
                      <a:ext cx="4693324" cy="5744609"/>
                    </a:xfrm>
                    <a:prstGeom prst="rect">
                      <a:avLst/>
                    </a:prstGeom>
                    <a:noFill/>
                    <a:ln>
                      <a:noFill/>
                    </a:ln>
                    <a:extLst>
                      <a:ext uri="{53640926-AAD7-44D8-BBD7-CCE9431645EC}">
                        <a14:shadowObscured xmlns:a14="http://schemas.microsoft.com/office/drawing/2010/main"/>
                      </a:ext>
                    </a:extLst>
                  </pic:spPr>
                </pic:pic>
              </a:graphicData>
            </a:graphic>
          </wp:inline>
        </w:drawing>
      </w:r>
    </w:p>
    <w:p w:rsidR="001A5834" w:rsidRPr="00CF4A92" w:rsidRDefault="00256295" w:rsidP="00C91EA0">
      <w:pPr>
        <w:pStyle w:val="Paragraphedeliste"/>
        <w:numPr>
          <w:ilvl w:val="0"/>
          <w:numId w:val="69"/>
        </w:numPr>
        <w:autoSpaceDE w:val="0"/>
        <w:autoSpaceDN w:val="0"/>
        <w:bidi/>
        <w:adjustRightInd w:val="0"/>
        <w:spacing w:before="240" w:after="0"/>
        <w:ind w:left="0" w:firstLine="282"/>
        <w:jc w:val="both"/>
        <w:rPr>
          <w:rFonts w:ascii="Simplified Arabic" w:hAnsi="Simplified Arabic" w:cs="Simplified Arabic"/>
          <w:sz w:val="24"/>
          <w:szCs w:val="24"/>
          <w:rtl/>
          <w:lang w:val="en-US" w:bidi="ar-DZ"/>
        </w:rPr>
      </w:pPr>
      <w:r w:rsidRPr="00CF4A92">
        <w:rPr>
          <w:rFonts w:ascii="Simplified Arabic" w:hAnsi="Simplified Arabic" w:cs="Simplified Arabic" w:hint="cs"/>
          <w:sz w:val="24"/>
          <w:szCs w:val="24"/>
          <w:rtl/>
          <w:lang w:val="en-US" w:bidi="ar-DZ"/>
        </w:rPr>
        <w:lastRenderedPageBreak/>
        <w:t>احصى حي سيدي سليمان الواقع ضمن</w:t>
      </w:r>
      <w:r w:rsidRPr="00CF4A92">
        <w:rPr>
          <w:rFonts w:ascii="Simplified Arabic" w:hAnsi="Simplified Arabic" w:cs="Simplified Arabic"/>
          <w:sz w:val="24"/>
          <w:szCs w:val="24"/>
          <w:rtl/>
          <w:lang w:val="en-US" w:bidi="ar-DZ"/>
        </w:rPr>
        <w:t xml:space="preserve"> </w:t>
      </w:r>
      <w:r w:rsidRPr="00CF4A92">
        <w:rPr>
          <w:rFonts w:ascii="Simplified Arabic" w:hAnsi="Simplified Arabic" w:cs="Simplified Arabic" w:hint="cs"/>
          <w:sz w:val="24"/>
          <w:szCs w:val="24"/>
          <w:rtl/>
          <w:lang w:val="en-US" w:bidi="ar-DZ"/>
        </w:rPr>
        <w:t>فئة النسيج الحضري (</w:t>
      </w:r>
      <w:r w:rsidR="00277968" w:rsidRPr="00CF4A92">
        <w:rPr>
          <w:rFonts w:ascii="Simplified Arabic" w:hAnsi="Simplified Arabic" w:cs="Simplified Arabic" w:hint="cs"/>
          <w:sz w:val="24"/>
          <w:szCs w:val="24"/>
          <w:rtl/>
          <w:lang w:val="en-US" w:bidi="ar-DZ"/>
        </w:rPr>
        <w:t>جـ</w:t>
      </w:r>
      <w:r w:rsidRPr="00CF4A92">
        <w:rPr>
          <w:rFonts w:ascii="Simplified Arabic" w:hAnsi="Simplified Arabic" w:cs="Simplified Arabic" w:hint="cs"/>
          <w:sz w:val="24"/>
          <w:szCs w:val="24"/>
          <w:rtl/>
          <w:lang w:val="en-US" w:bidi="ar-DZ"/>
        </w:rPr>
        <w:t>)،</w:t>
      </w:r>
      <w:r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حوالي</w:t>
      </w:r>
      <w:r w:rsidR="001A5834" w:rsidRPr="00CF4A92">
        <w:rPr>
          <w:rFonts w:ascii="Simplified Arabic" w:hAnsi="Simplified Arabic" w:cs="Simplified Arabic"/>
          <w:sz w:val="24"/>
          <w:szCs w:val="24"/>
          <w:rtl/>
          <w:lang w:val="en-US" w:bidi="ar-DZ"/>
        </w:rPr>
        <w:t xml:space="preserve"> </w:t>
      </w:r>
      <w:r w:rsidR="00277968" w:rsidRPr="00CF4A92">
        <w:rPr>
          <w:rFonts w:ascii="Simplified Arabic" w:hAnsi="Simplified Arabic" w:cs="Simplified Arabic" w:hint="cs"/>
          <w:sz w:val="24"/>
          <w:szCs w:val="24"/>
          <w:rtl/>
          <w:lang w:val="en-US" w:bidi="ar-DZ"/>
        </w:rPr>
        <w:t>375</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تقاطع</w:t>
      </w:r>
      <w:r w:rsidR="001A5834" w:rsidRPr="00CF4A92">
        <w:rPr>
          <w:rFonts w:ascii="Simplified Arabic" w:hAnsi="Simplified Arabic" w:cs="Simplified Arabic"/>
          <w:sz w:val="24"/>
          <w:szCs w:val="24"/>
          <w:rtl/>
          <w:lang w:val="en-US" w:bidi="ar-DZ"/>
        </w:rPr>
        <w:t>/</w:t>
      </w:r>
      <w:r w:rsidR="001A5834" w:rsidRPr="00CF4A92">
        <w:rPr>
          <w:rFonts w:ascii="Simplified Arabic" w:hAnsi="Simplified Arabic" w:cs="Simplified Arabic" w:hint="cs"/>
          <w:sz w:val="24"/>
          <w:szCs w:val="24"/>
          <w:rtl/>
          <w:lang w:val="en-US" w:bidi="ar-DZ"/>
        </w:rPr>
        <w:t>كم</w:t>
      </w:r>
      <w:r w:rsidR="001A5834" w:rsidRPr="00CF4A92">
        <w:rPr>
          <w:rFonts w:ascii="Simplified Arabic" w:hAnsi="Simplified Arabic" w:cs="Simplified Arabic"/>
          <w:sz w:val="24"/>
          <w:szCs w:val="24"/>
          <w:vertAlign w:val="superscript"/>
          <w:rtl/>
          <w:lang w:val="en-US" w:bidi="ar-DZ"/>
        </w:rPr>
        <w:t>2</w:t>
      </w:r>
      <w:r w:rsidR="001A5834" w:rsidRPr="00CF4A92">
        <w:rPr>
          <w:rFonts w:ascii="Simplified Arabic" w:hAnsi="Simplified Arabic" w:cs="Simplified Arabic"/>
          <w:sz w:val="24"/>
          <w:szCs w:val="24"/>
          <w:rtl/>
          <w:lang w:val="en-US" w:bidi="ar-DZ"/>
        </w:rPr>
        <w:t xml:space="preserve"> (</w:t>
      </w:r>
      <w:r w:rsidR="00277968" w:rsidRPr="00CF4A92">
        <w:rPr>
          <w:rFonts w:ascii="Simplified Arabic" w:hAnsi="Simplified Arabic" w:cs="Simplified Arabic" w:hint="cs"/>
          <w:sz w:val="24"/>
          <w:szCs w:val="24"/>
          <w:rtl/>
          <w:lang w:val="en-US" w:bidi="ar-DZ"/>
        </w:rPr>
        <w:t>360</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بدون طرق مسدودة</w:t>
      </w:r>
      <w:r w:rsidR="001A5834" w:rsidRPr="00CF4A92">
        <w:rPr>
          <w:rFonts w:ascii="Simplified Arabic" w:hAnsi="Simplified Arabic" w:cs="Simplified Arabic"/>
          <w:sz w:val="24"/>
          <w:szCs w:val="24"/>
          <w:rtl/>
          <w:lang w:val="en-US" w:bidi="ar-DZ"/>
        </w:rPr>
        <w:t xml:space="preserve"> </w:t>
      </w:r>
      <w:r w:rsidR="001A5834" w:rsidRPr="00CF4A92">
        <w:rPr>
          <w:rFonts w:asciiTheme="majorBidi" w:hAnsiTheme="majorBidi" w:cstheme="majorBidi"/>
          <w:sz w:val="24"/>
          <w:szCs w:val="24"/>
          <w:lang w:val="en-US" w:bidi="ar-DZ"/>
        </w:rPr>
        <w:t>cul-de-sac</w:t>
      </w:r>
      <w:r w:rsidR="001A5834" w:rsidRPr="00CF4A92">
        <w:rPr>
          <w:rFonts w:ascii="Simplified Arabic" w:hAnsi="Simplified Arabic" w:cs="Simplified Arabic"/>
          <w:sz w:val="24"/>
          <w:szCs w:val="24"/>
          <w:rtl/>
          <w:lang w:val="en-US" w:bidi="ar-DZ"/>
        </w:rPr>
        <w:t>)</w:t>
      </w:r>
      <w:r w:rsidR="001A5834"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كثافة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شبكة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الطرق تبلغ</w:t>
      </w:r>
      <w:r w:rsidR="001A5834" w:rsidRPr="00CF4A92">
        <w:rPr>
          <w:rFonts w:ascii="Simplified Arabic" w:hAnsi="Simplified Arabic" w:cs="Simplified Arabic"/>
          <w:sz w:val="24"/>
          <w:szCs w:val="24"/>
          <w:rtl/>
          <w:lang w:val="en-US" w:bidi="ar-DZ"/>
        </w:rPr>
        <w:t xml:space="preserve"> </w:t>
      </w:r>
      <w:r w:rsidR="00277968" w:rsidRPr="00CF4A92">
        <w:rPr>
          <w:rFonts w:ascii="Simplified Arabic" w:eastAsia="Times New Roman" w:hAnsi="Simplified Arabic" w:cs="Simplified Arabic" w:hint="cs"/>
          <w:color w:val="000000"/>
          <w:sz w:val="24"/>
          <w:szCs w:val="24"/>
          <w:rtl/>
          <w:lang w:eastAsia="fr-FR"/>
        </w:rPr>
        <w:t>36</w:t>
      </w:r>
      <w:r w:rsidR="001A5834" w:rsidRPr="00CF4A92">
        <w:rPr>
          <w:rFonts w:ascii="Simplified Arabic" w:eastAsia="Times New Roman" w:hAnsi="Simplified Arabic" w:cs="Simplified Arabic"/>
          <w:color w:val="000000"/>
          <w:sz w:val="24"/>
          <w:szCs w:val="24"/>
          <w:rtl/>
          <w:lang w:eastAsia="fr-FR"/>
        </w:rPr>
        <w:t>,</w:t>
      </w:r>
      <w:r w:rsidR="00277968" w:rsidRPr="00CF4A92">
        <w:rPr>
          <w:rFonts w:ascii="Simplified Arabic" w:eastAsia="Times New Roman" w:hAnsi="Simplified Arabic" w:cs="Simplified Arabic" w:hint="cs"/>
          <w:color w:val="000000"/>
          <w:sz w:val="24"/>
          <w:szCs w:val="24"/>
          <w:rtl/>
          <w:lang w:eastAsia="fr-FR"/>
        </w:rPr>
        <w:t>48</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كم</w:t>
      </w:r>
      <w:r w:rsidR="001A5834" w:rsidRPr="00CF4A92">
        <w:rPr>
          <w:rFonts w:ascii="Simplified Arabic" w:hAnsi="Simplified Arabic" w:cs="Simplified Arabic"/>
          <w:sz w:val="24"/>
          <w:szCs w:val="24"/>
          <w:rtl/>
          <w:lang w:val="en-US" w:bidi="ar-DZ"/>
        </w:rPr>
        <w:t>/</w:t>
      </w:r>
      <w:r w:rsidR="001A5834" w:rsidRPr="00CF4A92">
        <w:rPr>
          <w:rFonts w:ascii="Simplified Arabic" w:hAnsi="Simplified Arabic" w:cs="Simplified Arabic" w:hint="cs"/>
          <w:sz w:val="24"/>
          <w:szCs w:val="24"/>
          <w:rtl/>
          <w:lang w:val="en-US" w:bidi="ar-DZ"/>
        </w:rPr>
        <w:t>كم</w:t>
      </w:r>
      <w:r w:rsidR="001A5834" w:rsidRPr="00CF4A92">
        <w:rPr>
          <w:rFonts w:ascii="Simplified Arabic" w:hAnsi="Simplified Arabic" w:cs="Simplified Arabic"/>
          <w:sz w:val="24"/>
          <w:szCs w:val="24"/>
          <w:vertAlign w:val="superscript"/>
          <w:rtl/>
          <w:lang w:val="en-US" w:bidi="ar-DZ"/>
        </w:rPr>
        <w:t>2</w:t>
      </w:r>
      <w:r w:rsidR="001A5834"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بينما</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تظهر</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نسبة</w:t>
      </w:r>
      <w:r w:rsidR="001A5834" w:rsidRPr="00CF4A92">
        <w:rPr>
          <w:rFonts w:ascii="Simplified Arabic" w:hAnsi="Simplified Arabic" w:cs="Simplified Arabic"/>
          <w:sz w:val="24"/>
          <w:szCs w:val="24"/>
          <w:rtl/>
          <w:lang w:val="en-US" w:bidi="ar-DZ"/>
        </w:rPr>
        <w:t xml:space="preserve"> </w:t>
      </w:r>
      <w:r w:rsidR="00AA7E5E" w:rsidRPr="00CF4A92">
        <w:rPr>
          <w:rFonts w:ascii="Simplified Arabic" w:hAnsi="Simplified Arabic" w:cs="Simplified Arabic" w:hint="cs"/>
          <w:sz w:val="24"/>
          <w:szCs w:val="24"/>
          <w:rtl/>
          <w:lang w:val="en-US" w:bidi="ar-DZ"/>
        </w:rPr>
        <w:t>ربط</w:t>
      </w:r>
      <w:r w:rsidR="001A5834" w:rsidRPr="00CF4A92">
        <w:rPr>
          <w:rFonts w:ascii="Simplified Arabic" w:hAnsi="Simplified Arabic" w:cs="Simplified Arabic"/>
          <w:sz w:val="24"/>
          <w:szCs w:val="24"/>
          <w:rtl/>
          <w:lang w:val="en-US" w:bidi="ar-DZ"/>
        </w:rPr>
        <w:t>-</w:t>
      </w:r>
      <w:r w:rsidR="001A5834" w:rsidRPr="00CF4A92">
        <w:rPr>
          <w:rFonts w:ascii="Simplified Arabic" w:hAnsi="Simplified Arabic" w:cs="Simplified Arabic" w:hint="cs"/>
          <w:sz w:val="24"/>
          <w:szCs w:val="24"/>
          <w:rtl/>
          <w:lang w:val="en-US" w:bidi="ar-DZ"/>
        </w:rPr>
        <w:t>العقد ونسبة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العقد</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الموصولة قيمًا</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تبلغ</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على</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التوالي:</w:t>
      </w:r>
      <w:r w:rsidR="001A5834" w:rsidRPr="00CF4A92">
        <w:rPr>
          <w:rFonts w:ascii="Simplified Arabic" w:eastAsia="Times New Roman" w:hAnsi="Simplified Arabic" w:cs="Simplified Arabic" w:hint="cs"/>
          <w:color w:val="000000"/>
          <w:sz w:val="24"/>
          <w:szCs w:val="24"/>
          <w:rtl/>
          <w:lang w:eastAsia="fr-FR"/>
        </w:rPr>
        <w:t xml:space="preserve"> 1</w:t>
      </w:r>
      <w:r w:rsidR="001A5834" w:rsidRPr="00CF4A92">
        <w:rPr>
          <w:rFonts w:ascii="Simplified Arabic" w:eastAsia="Times New Roman" w:hAnsi="Simplified Arabic" w:cs="Simplified Arabic"/>
          <w:color w:val="000000"/>
          <w:sz w:val="24"/>
          <w:szCs w:val="24"/>
          <w:rtl/>
          <w:lang w:eastAsia="fr-FR"/>
        </w:rPr>
        <w:t>,</w:t>
      </w:r>
      <w:r w:rsidR="001A5834" w:rsidRPr="00CF4A92">
        <w:rPr>
          <w:rFonts w:ascii="Simplified Arabic" w:eastAsia="Times New Roman" w:hAnsi="Simplified Arabic" w:cs="Simplified Arabic" w:hint="cs"/>
          <w:color w:val="000000"/>
          <w:sz w:val="24"/>
          <w:szCs w:val="24"/>
          <w:rtl/>
          <w:lang w:eastAsia="fr-FR"/>
        </w:rPr>
        <w:t>3</w:t>
      </w:r>
      <w:r w:rsidR="00277968" w:rsidRPr="00CF4A92">
        <w:rPr>
          <w:rFonts w:ascii="Simplified Arabic" w:eastAsia="Times New Roman" w:hAnsi="Simplified Arabic" w:cs="Simplified Arabic" w:hint="cs"/>
          <w:color w:val="000000"/>
          <w:sz w:val="24"/>
          <w:szCs w:val="24"/>
          <w:rtl/>
          <w:lang w:eastAsia="fr-FR"/>
        </w:rPr>
        <w:t>5</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و</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eastAsia="Times New Roman" w:hAnsi="Simplified Arabic" w:cs="Simplified Arabic" w:hint="cs"/>
          <w:color w:val="000000"/>
          <w:sz w:val="24"/>
          <w:szCs w:val="24"/>
          <w:rtl/>
          <w:lang w:eastAsia="fr-FR"/>
        </w:rPr>
        <w:t>0</w:t>
      </w:r>
      <w:r w:rsidR="001A5834" w:rsidRPr="00CF4A92">
        <w:rPr>
          <w:rFonts w:ascii="Simplified Arabic" w:eastAsia="Times New Roman" w:hAnsi="Simplified Arabic" w:cs="Simplified Arabic"/>
          <w:color w:val="000000"/>
          <w:sz w:val="24"/>
          <w:szCs w:val="24"/>
          <w:rtl/>
          <w:lang w:eastAsia="fr-FR"/>
        </w:rPr>
        <w:t>,</w:t>
      </w:r>
      <w:r w:rsidR="00277968" w:rsidRPr="00CF4A92">
        <w:rPr>
          <w:rFonts w:ascii="Simplified Arabic" w:eastAsia="Times New Roman" w:hAnsi="Simplified Arabic" w:cs="Simplified Arabic" w:hint="cs"/>
          <w:color w:val="000000"/>
          <w:sz w:val="24"/>
          <w:szCs w:val="24"/>
          <w:rtl/>
          <w:lang w:eastAsia="fr-FR"/>
        </w:rPr>
        <w:t>96</w:t>
      </w:r>
      <w:r w:rsidR="001A5834"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تشير</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القيم</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إلى</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ان شبكة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 xml:space="preserve">الشوارع </w:t>
      </w:r>
      <w:r w:rsidR="00277968" w:rsidRPr="00CF4A92">
        <w:rPr>
          <w:rFonts w:ascii="Simplified Arabic" w:hAnsi="Simplified Arabic" w:cs="Simplified Arabic" w:hint="cs"/>
          <w:sz w:val="24"/>
          <w:szCs w:val="24"/>
          <w:rtl/>
          <w:lang w:val="en-US" w:bidi="ar-DZ"/>
        </w:rPr>
        <w:t>لها</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قابلية</w:t>
      </w:r>
      <w:r w:rsidR="001A5834"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للسير</w:t>
      </w:r>
      <w:r w:rsidR="001A5834"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يُعزى</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ذلك</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إلى</w:t>
      </w:r>
      <w:r w:rsidR="001A5834"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ندرة</w:t>
      </w:r>
      <w:r w:rsidR="001A5834" w:rsidRPr="00CF4A92">
        <w:rPr>
          <w:rFonts w:ascii="Simplified Arabic" w:hAnsi="Simplified Arabic" w:cs="Simplified Arabic" w:hint="cs"/>
          <w:sz w:val="24"/>
          <w:szCs w:val="24"/>
          <w:rtl/>
          <w:lang w:val="en-US" w:bidi="ar-DZ"/>
        </w:rPr>
        <w:t xml:space="preserve"> </w:t>
      </w:r>
      <w:r w:rsidR="00277968" w:rsidRPr="00CF4A92">
        <w:rPr>
          <w:rFonts w:ascii="Simplified Arabic" w:hAnsi="Simplified Arabic" w:cs="Simplified Arabic" w:hint="cs"/>
          <w:sz w:val="24"/>
          <w:szCs w:val="24"/>
          <w:rtl/>
          <w:lang w:val="en-US" w:bidi="ar-DZ"/>
        </w:rPr>
        <w:t>ال</w:t>
      </w:r>
      <w:r w:rsidR="001A5834" w:rsidRPr="00CF4A92">
        <w:rPr>
          <w:rFonts w:ascii="Simplified Arabic" w:hAnsi="Simplified Arabic" w:cs="Simplified Arabic" w:hint="cs"/>
          <w:sz w:val="24"/>
          <w:szCs w:val="24"/>
          <w:rtl/>
          <w:lang w:val="en-US" w:bidi="ar-DZ"/>
        </w:rPr>
        <w:t xml:space="preserve">طرق </w:t>
      </w:r>
      <w:r w:rsidR="00277968" w:rsidRPr="00CF4A92">
        <w:rPr>
          <w:rFonts w:ascii="Simplified Arabic" w:hAnsi="Simplified Arabic" w:cs="Simplified Arabic" w:hint="cs"/>
          <w:sz w:val="24"/>
          <w:szCs w:val="24"/>
          <w:rtl/>
          <w:lang w:val="en-US" w:bidi="ar-DZ"/>
        </w:rPr>
        <w:t>ال</w:t>
      </w:r>
      <w:r w:rsidR="001A5834" w:rsidRPr="00CF4A92">
        <w:rPr>
          <w:rFonts w:ascii="Simplified Arabic" w:hAnsi="Simplified Arabic" w:cs="Simplified Arabic" w:hint="cs"/>
          <w:sz w:val="24"/>
          <w:szCs w:val="24"/>
          <w:rtl/>
          <w:lang w:val="en-US" w:bidi="ar-DZ"/>
        </w:rPr>
        <w:t>مسدودة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w:t>
      </w:r>
      <w:r w:rsidR="001A5834" w:rsidRPr="00CF4A92">
        <w:rPr>
          <w:rFonts w:asciiTheme="majorBidi" w:hAnsiTheme="majorBidi" w:cstheme="majorBidi"/>
          <w:sz w:val="24"/>
          <w:szCs w:val="24"/>
          <w:lang w:val="en-US" w:bidi="ar-DZ"/>
        </w:rPr>
        <w:t>cul-de-sac</w:t>
      </w:r>
      <w:r w:rsidR="001A5834" w:rsidRPr="00CF4A92">
        <w:rPr>
          <w:rFonts w:ascii="Simplified Arabic" w:hAnsi="Simplified Arabic" w:cs="Simplified Arabic" w:hint="cs"/>
          <w:sz w:val="24"/>
          <w:szCs w:val="24"/>
          <w:rtl/>
          <w:lang w:val="en-US" w:bidi="ar-DZ"/>
        </w:rPr>
        <w:t xml:space="preserve">)، </w:t>
      </w:r>
      <w:r w:rsidR="00404257" w:rsidRPr="00CF4A92">
        <w:rPr>
          <w:rFonts w:ascii="Simplified Arabic" w:hAnsi="Simplified Arabic" w:cs="Simplified Arabic" w:hint="cs"/>
          <w:sz w:val="24"/>
          <w:szCs w:val="24"/>
          <w:rtl/>
          <w:lang w:val="en-US" w:bidi="ar-DZ"/>
        </w:rPr>
        <w:t>مع وجود طرق</w:t>
      </w:r>
      <w:r w:rsidR="001A5834" w:rsidRPr="00CF4A92">
        <w:rPr>
          <w:rFonts w:ascii="Simplified Arabic" w:hAnsi="Simplified Arabic" w:cs="Simplified Arabic" w:hint="cs"/>
          <w:sz w:val="24"/>
          <w:szCs w:val="24"/>
          <w:rtl/>
          <w:lang w:val="en-US" w:bidi="ar-DZ"/>
        </w:rPr>
        <w:t xml:space="preserve">، </w:t>
      </w:r>
      <w:r w:rsidR="00404257" w:rsidRPr="00CF4A92">
        <w:rPr>
          <w:rFonts w:ascii="Simplified Arabic" w:hAnsi="Simplified Arabic" w:cs="Simplified Arabic" w:hint="cs"/>
          <w:sz w:val="24"/>
          <w:szCs w:val="24"/>
          <w:rtl/>
          <w:lang w:val="en-US" w:bidi="ar-DZ"/>
        </w:rPr>
        <w:t>كثيرة التقاطعات،</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تمنح إمكانية</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مشي</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مقبولة</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على الاقدام نحو</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جميع</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الوجهات</w:t>
      </w:r>
      <w:r w:rsidR="001A5834" w:rsidRPr="00CF4A92">
        <w:rPr>
          <w:rFonts w:ascii="Simplified Arabic" w:hAnsi="Simplified Arabic" w:cs="Simplified Arabic"/>
          <w:sz w:val="24"/>
          <w:szCs w:val="24"/>
          <w:rtl/>
          <w:lang w:val="en-US" w:bidi="ar-DZ"/>
        </w:rPr>
        <w:t>.</w:t>
      </w:r>
      <w:r w:rsidR="00CF4A92" w:rsidRPr="00CF4A92">
        <w:rPr>
          <w:rFonts w:ascii="Simplified Arabic" w:hAnsi="Simplified Arabic" w:cs="Simplified Arabic" w:hint="cs"/>
          <w:sz w:val="24"/>
          <w:szCs w:val="24"/>
          <w:rtl/>
          <w:lang w:val="en-US" w:bidi="ar-DZ"/>
        </w:rPr>
        <w:t xml:space="preserve"> </w:t>
      </w:r>
      <w:r w:rsidR="001A5834" w:rsidRPr="00CF4A92">
        <w:rPr>
          <w:rFonts w:ascii="Simplified Arabic" w:hAnsi="Simplified Arabic" w:cs="Simplified Arabic" w:hint="cs"/>
          <w:sz w:val="24"/>
          <w:szCs w:val="24"/>
          <w:rtl/>
          <w:lang w:val="en-US" w:bidi="ar-DZ"/>
        </w:rPr>
        <w:t>كما هو موضح في الخريطة (6-</w:t>
      </w:r>
      <w:r w:rsidR="005373F7" w:rsidRPr="00CF4A92">
        <w:rPr>
          <w:rFonts w:ascii="Simplified Arabic" w:hAnsi="Simplified Arabic" w:cs="Simplified Arabic" w:hint="cs"/>
          <w:sz w:val="24"/>
          <w:szCs w:val="24"/>
          <w:rtl/>
          <w:lang w:val="en-US" w:bidi="ar-DZ"/>
        </w:rPr>
        <w:t>20</w:t>
      </w:r>
      <w:r w:rsidR="001A5834"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يسود</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نوع التقاطعات</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ثلاثية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الاتجاهات،</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بما</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يعادل</w:t>
      </w:r>
      <w:r w:rsidR="001A5834"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66</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من</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جميع</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التقاطعات،</w:t>
      </w:r>
      <w:r w:rsidR="001A5834"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بينما تمثل التقاطعات</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رباعية</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الاتجاهات</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ثاني</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أنواع</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التقاطع</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شيوعًا تعادل 30</w:t>
      </w:r>
      <w:r w:rsidR="00404257" w:rsidRPr="00CF4A92">
        <w:rPr>
          <w:rFonts w:ascii="Simplified Arabic" w:hAnsi="Simplified Arabic" w:cs="Simplified Arabic"/>
          <w:sz w:val="24"/>
          <w:szCs w:val="24"/>
          <w:rtl/>
          <w:lang w:val="en-US" w:bidi="ar-DZ"/>
        </w:rPr>
        <w:t>٪</w:t>
      </w:r>
      <w:r w:rsidR="00404257" w:rsidRPr="00CF4A92">
        <w:rPr>
          <w:rFonts w:ascii="Simplified Arabic" w:hAnsi="Simplified Arabic" w:cs="Simplified Arabic" w:hint="cs"/>
          <w:sz w:val="24"/>
          <w:szCs w:val="24"/>
          <w:rtl/>
          <w:lang w:val="en-US" w:bidi="ar-DZ"/>
        </w:rPr>
        <w:t xml:space="preserve"> مع ارتفاع معتبر مقارنة مع الفئة النسيج الحضري (أ</w:t>
      </w:r>
      <w:r w:rsidR="00914F40" w:rsidRPr="00CF4A92">
        <w:rPr>
          <w:rFonts w:ascii="Simplified Arabic" w:hAnsi="Simplified Arabic" w:cs="Simplified Arabic" w:hint="cs"/>
          <w:sz w:val="24"/>
          <w:szCs w:val="24"/>
          <w:rtl/>
          <w:lang w:val="en-US" w:bidi="ar-DZ"/>
        </w:rPr>
        <w:t>، ب</w:t>
      </w:r>
      <w:r w:rsidR="00404257" w:rsidRPr="00CF4A92">
        <w:rPr>
          <w:rFonts w:ascii="Simplified Arabic" w:hAnsi="Simplified Arabic" w:cs="Simplified Arabic" w:hint="cs"/>
          <w:sz w:val="24"/>
          <w:szCs w:val="24"/>
          <w:rtl/>
          <w:lang w:val="en-US" w:bidi="ar-DZ"/>
        </w:rPr>
        <w:t>)، بينما ينعدم تماما نوع تقاطعات الطرق المسدودة</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w:t>
      </w:r>
      <w:r w:rsidR="00404257" w:rsidRPr="00CF4A92">
        <w:rPr>
          <w:rFonts w:asciiTheme="majorBidi" w:hAnsiTheme="majorBidi" w:cstheme="majorBidi"/>
          <w:sz w:val="24"/>
          <w:szCs w:val="24"/>
          <w:lang w:val="en-US" w:bidi="ar-DZ"/>
        </w:rPr>
        <w:t>cul-de-sac</w:t>
      </w:r>
      <w:r w:rsidR="00404257" w:rsidRPr="00CF4A92">
        <w:rPr>
          <w:rFonts w:ascii="Simplified Arabic" w:hAnsi="Simplified Arabic" w:cs="Simplified Arabic" w:hint="cs"/>
          <w:sz w:val="24"/>
          <w:szCs w:val="24"/>
          <w:rtl/>
          <w:lang w:val="en-US" w:bidi="ar-DZ"/>
        </w:rPr>
        <w:t>)، في</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حين</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أن</w:t>
      </w:r>
      <w:r w:rsidR="00404257"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 xml:space="preserve">نوع </w:t>
      </w:r>
      <w:r w:rsidR="001A5834" w:rsidRPr="00CF4A92">
        <w:rPr>
          <w:rFonts w:ascii="Simplified Arabic" w:hAnsi="Simplified Arabic" w:cs="Simplified Arabic" w:hint="cs"/>
          <w:sz w:val="24"/>
          <w:szCs w:val="24"/>
          <w:rtl/>
          <w:lang w:val="en-US" w:bidi="ar-DZ"/>
        </w:rPr>
        <w:t>تقاطعات الطرق المسدودة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w:t>
      </w:r>
      <w:r w:rsidR="001A5834" w:rsidRPr="00CF4A92">
        <w:rPr>
          <w:rFonts w:asciiTheme="majorBidi" w:hAnsiTheme="majorBidi" w:cstheme="majorBidi"/>
          <w:sz w:val="24"/>
          <w:szCs w:val="24"/>
          <w:lang w:val="en-US" w:bidi="ar-DZ"/>
        </w:rPr>
        <w:t>cul-de-sac</w:t>
      </w:r>
      <w:r w:rsidR="001A5834"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sz w:val="24"/>
          <w:szCs w:val="24"/>
          <w:rtl/>
          <w:lang w:val="en-US" w:bidi="ar-DZ"/>
        </w:rPr>
        <w:t xml:space="preserve"> </w:t>
      </w:r>
      <w:r w:rsidR="00404257" w:rsidRPr="00CF4A92">
        <w:rPr>
          <w:rFonts w:ascii="Simplified Arabic" w:hAnsi="Simplified Arabic" w:cs="Simplified Arabic" w:hint="cs"/>
          <w:sz w:val="24"/>
          <w:szCs w:val="24"/>
          <w:rtl/>
          <w:lang w:val="en-US" w:bidi="ar-DZ"/>
        </w:rPr>
        <w:t>ثالث</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أنواع</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التقاطع</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 xml:space="preserve">شيوعًا تعادل </w:t>
      </w:r>
      <w:r w:rsidR="00404257" w:rsidRPr="00CF4A92">
        <w:rPr>
          <w:rFonts w:ascii="Simplified Arabic" w:hAnsi="Simplified Arabic" w:cs="Simplified Arabic" w:hint="cs"/>
          <w:sz w:val="24"/>
          <w:szCs w:val="24"/>
          <w:rtl/>
          <w:lang w:val="en-US" w:bidi="ar-DZ"/>
        </w:rPr>
        <w:t>4</w:t>
      </w:r>
      <w:r w:rsidR="001A5834" w:rsidRPr="00CF4A92">
        <w:rPr>
          <w:rFonts w:ascii="Simplified Arabic" w:hAnsi="Simplified Arabic" w:cs="Simplified Arabic"/>
          <w:sz w:val="24"/>
          <w:szCs w:val="24"/>
          <w:rtl/>
          <w:lang w:val="en-US" w:bidi="ar-DZ"/>
        </w:rPr>
        <w:t>٪</w:t>
      </w:r>
      <w:r w:rsidR="00404257"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hint="cs"/>
          <w:sz w:val="24"/>
          <w:szCs w:val="24"/>
          <w:rtl/>
          <w:lang w:val="en-US" w:bidi="ar-DZ"/>
        </w:rPr>
        <w:t>من الناحية المكانية،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ينتشر</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النوع الأول</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في</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اغلبية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اماكن الحي</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ويتركز</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الثاني</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في</w:t>
      </w:r>
      <w:r w:rsidR="001A5834" w:rsidRPr="00CF4A92">
        <w:rPr>
          <w:rFonts w:ascii="Simplified Arabic" w:hAnsi="Simplified Arabic" w:cs="Simplified Arabic"/>
          <w:sz w:val="24"/>
          <w:szCs w:val="24"/>
          <w:rtl/>
          <w:lang w:val="en-US" w:bidi="ar-DZ"/>
        </w:rPr>
        <w:t xml:space="preserve"> </w:t>
      </w:r>
      <w:r w:rsidR="00C91EA0" w:rsidRPr="00CF4A92">
        <w:rPr>
          <w:rFonts w:ascii="Simplified Arabic" w:hAnsi="Simplified Arabic" w:cs="Simplified Arabic" w:hint="cs"/>
          <w:sz w:val="24"/>
          <w:szCs w:val="24"/>
          <w:rtl/>
          <w:lang w:val="en-US" w:bidi="ar-DZ"/>
        </w:rPr>
        <w:t>وسط</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الحي،</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في</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حين</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أن</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الطرق المسدودة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w:t>
      </w:r>
      <w:r w:rsidR="001A5834" w:rsidRPr="00CF4A92">
        <w:rPr>
          <w:rFonts w:asciiTheme="majorBidi" w:hAnsiTheme="majorBidi" w:cstheme="majorBidi"/>
          <w:sz w:val="24"/>
          <w:szCs w:val="24"/>
          <w:lang w:val="en-US" w:bidi="ar-DZ"/>
        </w:rPr>
        <w:t>cul-de-sac</w:t>
      </w:r>
      <w:r w:rsidR="001A5834" w:rsidRPr="00CF4A92">
        <w:rPr>
          <w:rFonts w:ascii="Simplified Arabic" w:hAnsi="Simplified Arabic" w:cs="Simplified Arabic" w:hint="cs"/>
          <w:sz w:val="24"/>
          <w:szCs w:val="24"/>
          <w:rtl/>
          <w:lang w:val="en-US" w:bidi="ar-DZ"/>
        </w:rPr>
        <w:t>)</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قليلة</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نسبيًا</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وتوجد</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غالبًا</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في</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ممرات</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الوصول</w:t>
      </w:r>
      <w:r w:rsidR="001A5834" w:rsidRPr="00CF4A92">
        <w:rPr>
          <w:rFonts w:ascii="Simplified Arabic" w:hAnsi="Simplified Arabic" w:cs="Simplified Arabic"/>
          <w:sz w:val="24"/>
          <w:szCs w:val="24"/>
          <w:rtl/>
          <w:lang w:val="en-US" w:bidi="ar-DZ"/>
        </w:rPr>
        <w:t xml:space="preserve"> </w:t>
      </w:r>
      <w:r w:rsidR="001A5834" w:rsidRPr="00CF4A92">
        <w:rPr>
          <w:rFonts w:ascii="Simplified Arabic" w:hAnsi="Simplified Arabic" w:cs="Simplified Arabic" w:hint="cs"/>
          <w:sz w:val="24"/>
          <w:szCs w:val="24"/>
          <w:rtl/>
          <w:lang w:val="en-US" w:bidi="ar-DZ"/>
        </w:rPr>
        <w:t>الخلفية</w:t>
      </w:r>
      <w:r w:rsidR="001A5834" w:rsidRPr="00CF4A92">
        <w:rPr>
          <w:rFonts w:ascii="Simplified Arabic" w:hAnsi="Simplified Arabic" w:cs="Simplified Arabic"/>
          <w:sz w:val="24"/>
          <w:szCs w:val="24"/>
          <w:rtl/>
          <w:lang w:val="en-US" w:bidi="ar-DZ"/>
        </w:rPr>
        <w:t xml:space="preserve"> </w:t>
      </w:r>
      <w:r w:rsidR="00C91EA0" w:rsidRPr="00CF4A92">
        <w:rPr>
          <w:rFonts w:ascii="Simplified Arabic" w:hAnsi="Simplified Arabic" w:cs="Simplified Arabic" w:hint="cs"/>
          <w:sz w:val="24"/>
          <w:szCs w:val="24"/>
          <w:rtl/>
          <w:lang w:val="en-US" w:bidi="ar-DZ"/>
        </w:rPr>
        <w:t>تنتهي الى حافة جبل عزالدين</w:t>
      </w:r>
      <w:r w:rsidR="001A5834" w:rsidRPr="00CF4A92">
        <w:rPr>
          <w:rFonts w:ascii="Simplified Arabic" w:hAnsi="Simplified Arabic" w:cs="Simplified Arabic" w:hint="cs"/>
          <w:sz w:val="24"/>
          <w:szCs w:val="24"/>
          <w:rtl/>
          <w:lang w:val="en-US" w:bidi="ar-DZ"/>
        </w:rPr>
        <w:t>.</w:t>
      </w:r>
    </w:p>
    <w:p w:rsidR="00256295" w:rsidRDefault="00256295" w:rsidP="00986BEA">
      <w:pPr>
        <w:pStyle w:val="carte"/>
        <w:spacing w:after="0"/>
        <w:rPr>
          <w:rtl/>
          <w:lang w:val="en-US" w:bidi="ar-DZ"/>
        </w:rPr>
      </w:pPr>
      <w:bookmarkStart w:id="971" w:name="_Toc157616628"/>
      <w:bookmarkStart w:id="972" w:name="_Toc171803892"/>
      <w:r w:rsidRPr="005373F7">
        <w:rPr>
          <w:rFonts w:hint="cs"/>
          <w:rtl/>
          <w:lang w:val="en-US" w:bidi="ar-DZ"/>
        </w:rPr>
        <w:t>الخريطة</w:t>
      </w:r>
      <w:r w:rsidRPr="005373F7">
        <w:rPr>
          <w:rtl/>
          <w:lang w:val="en-US" w:bidi="ar-DZ"/>
        </w:rPr>
        <w:t xml:space="preserve"> </w:t>
      </w:r>
      <w:r w:rsidRPr="005373F7">
        <w:rPr>
          <w:rFonts w:hint="cs"/>
          <w:rtl/>
          <w:lang w:val="en-US" w:bidi="ar-DZ"/>
        </w:rPr>
        <w:t>(6-</w:t>
      </w:r>
      <w:r w:rsidR="005373F7" w:rsidRPr="005373F7">
        <w:rPr>
          <w:rFonts w:hint="cs"/>
          <w:rtl/>
          <w:lang w:val="en-US" w:bidi="ar-DZ"/>
        </w:rPr>
        <w:t>20</w:t>
      </w:r>
      <w:r w:rsidRPr="005373F7">
        <w:rPr>
          <w:rFonts w:hint="cs"/>
          <w:rtl/>
          <w:lang w:val="en-US" w:bidi="ar-DZ"/>
        </w:rPr>
        <w:t>)</w:t>
      </w:r>
      <w:r w:rsidRPr="005373F7">
        <w:rPr>
          <w:rtl/>
          <w:lang w:val="en-US" w:bidi="ar-DZ"/>
        </w:rPr>
        <w:t xml:space="preserve">. </w:t>
      </w:r>
      <w:r w:rsidRPr="005373F7">
        <w:rPr>
          <w:rFonts w:hint="cs"/>
          <w:rtl/>
          <w:lang w:val="en-US" w:bidi="ar-DZ"/>
        </w:rPr>
        <w:t>التوزيع</w:t>
      </w:r>
      <w:r w:rsidRPr="005373F7">
        <w:rPr>
          <w:rtl/>
          <w:lang w:val="en-US" w:bidi="ar-DZ"/>
        </w:rPr>
        <w:t xml:space="preserve"> </w:t>
      </w:r>
      <w:r w:rsidRPr="005373F7">
        <w:rPr>
          <w:rFonts w:hint="cs"/>
          <w:rtl/>
          <w:lang w:val="en-US" w:bidi="ar-DZ"/>
        </w:rPr>
        <w:t>المكاني</w:t>
      </w:r>
      <w:r w:rsidRPr="005373F7">
        <w:rPr>
          <w:rtl/>
          <w:lang w:val="en-US" w:bidi="ar-DZ"/>
        </w:rPr>
        <w:t xml:space="preserve"> </w:t>
      </w:r>
      <w:r w:rsidRPr="005373F7">
        <w:rPr>
          <w:rFonts w:hint="cs"/>
          <w:rtl/>
          <w:lang w:val="en-US" w:bidi="ar-DZ"/>
        </w:rPr>
        <w:t>لدرجة</w:t>
      </w:r>
      <w:r w:rsidRPr="005373F7">
        <w:rPr>
          <w:rtl/>
          <w:lang w:val="en-US" w:bidi="ar-DZ"/>
        </w:rPr>
        <w:t xml:space="preserve"> </w:t>
      </w:r>
      <w:r w:rsidRPr="005373F7">
        <w:rPr>
          <w:rFonts w:hint="cs"/>
          <w:rtl/>
          <w:lang w:val="en-US" w:bidi="ar-DZ"/>
        </w:rPr>
        <w:t>العقدة،</w:t>
      </w:r>
      <w:r w:rsidRPr="005373F7">
        <w:rPr>
          <w:rtl/>
          <w:lang w:val="en-US" w:bidi="ar-DZ"/>
        </w:rPr>
        <w:t xml:space="preserve"> </w:t>
      </w:r>
      <w:r w:rsidRPr="005373F7">
        <w:rPr>
          <w:rFonts w:hint="cs"/>
          <w:rtl/>
          <w:lang w:val="en-US" w:bidi="ar-DZ"/>
        </w:rPr>
        <w:t>حي سيدي سليمان</w:t>
      </w:r>
      <w:r w:rsidR="00066C86" w:rsidRPr="005373F7">
        <w:rPr>
          <w:rFonts w:hint="cs"/>
          <w:rtl/>
          <w:lang w:val="en-US" w:bidi="ar-DZ"/>
        </w:rPr>
        <w:t>،</w:t>
      </w:r>
      <w:r w:rsidRPr="005373F7">
        <w:rPr>
          <w:rtl/>
          <w:lang w:val="en-US" w:bidi="ar-DZ"/>
        </w:rPr>
        <w:t xml:space="preserve"> </w:t>
      </w:r>
      <w:r w:rsidRPr="005373F7">
        <w:rPr>
          <w:rFonts w:hint="cs"/>
          <w:rtl/>
          <w:lang w:val="en-US" w:bidi="ar-DZ"/>
        </w:rPr>
        <w:t>فئة النسيج الحضري (جـ)</w:t>
      </w:r>
      <w:bookmarkEnd w:id="971"/>
      <w:bookmarkEnd w:id="972"/>
    </w:p>
    <w:p w:rsidR="00986BEA" w:rsidRPr="00986BEA" w:rsidRDefault="00986BEA" w:rsidP="00986BEA">
      <w:pPr>
        <w:pStyle w:val="fegure"/>
        <w:rPr>
          <w:sz w:val="8"/>
          <w:szCs w:val="24"/>
          <w:rtl/>
          <w:lang w:val="en-US"/>
        </w:rPr>
      </w:pPr>
      <w:bookmarkStart w:id="973" w:name="_Toc171803893"/>
      <w:r>
        <w:rPr>
          <w:rFonts w:hint="cs"/>
          <w:sz w:val="8"/>
          <w:szCs w:val="24"/>
          <w:rtl/>
          <w:lang w:val="en-US" w:bidi="ar-DZ"/>
        </w:rPr>
        <w:t xml:space="preserve">المصدر: </w:t>
      </w:r>
      <w:r>
        <w:rPr>
          <w:rFonts w:hint="cs"/>
          <w:sz w:val="8"/>
          <w:szCs w:val="24"/>
          <w:rtl/>
          <w:lang w:val="en-US"/>
        </w:rPr>
        <w:t>(الباحث، 2022)</w:t>
      </w:r>
      <w:bookmarkEnd w:id="973"/>
    </w:p>
    <w:p w:rsidR="00256295" w:rsidRDefault="00256295" w:rsidP="00256295">
      <w:pPr>
        <w:bidi/>
        <w:spacing w:after="0"/>
        <w:ind w:firstLine="283"/>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7255A575" wp14:editId="5AB96147">
            <wp:extent cx="4253368" cy="5201728"/>
            <wp:effectExtent l="0" t="0" r="0" b="0"/>
            <wp:docPr id="327" name="Imag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34" cstate="print">
                      <a:extLst>
                        <a:ext uri="{28A0092B-C50C-407E-A947-70E740481C1C}">
                          <a14:useLocalDpi xmlns:a14="http://schemas.microsoft.com/office/drawing/2010/main" val="0"/>
                        </a:ext>
                      </a:extLst>
                    </a:blip>
                    <a:srcRect t="8277"/>
                    <a:stretch/>
                  </pic:blipFill>
                  <pic:spPr bwMode="auto">
                    <a:xfrm>
                      <a:off x="0" y="0"/>
                      <a:ext cx="4291132" cy="5247913"/>
                    </a:xfrm>
                    <a:prstGeom prst="rect">
                      <a:avLst/>
                    </a:prstGeom>
                    <a:noFill/>
                    <a:ln>
                      <a:noFill/>
                    </a:ln>
                    <a:extLst>
                      <a:ext uri="{53640926-AAD7-44D8-BBD7-CCE9431645EC}">
                        <a14:shadowObscured xmlns:a14="http://schemas.microsoft.com/office/drawing/2010/main"/>
                      </a:ext>
                    </a:extLst>
                  </pic:spPr>
                </pic:pic>
              </a:graphicData>
            </a:graphic>
          </wp:inline>
        </w:drawing>
      </w:r>
    </w:p>
    <w:p w:rsidR="00914F40" w:rsidRPr="001326BC" w:rsidRDefault="00256295" w:rsidP="00AA7E5E">
      <w:pPr>
        <w:pStyle w:val="Paragraphedeliste"/>
        <w:numPr>
          <w:ilvl w:val="0"/>
          <w:numId w:val="69"/>
        </w:numPr>
        <w:autoSpaceDE w:val="0"/>
        <w:autoSpaceDN w:val="0"/>
        <w:bidi/>
        <w:adjustRightInd w:val="0"/>
        <w:spacing w:before="240" w:after="0"/>
        <w:ind w:left="0" w:firstLine="283"/>
        <w:jc w:val="both"/>
        <w:rPr>
          <w:rFonts w:ascii="Simplified Arabic" w:hAnsi="Simplified Arabic" w:cs="Simplified Arabic"/>
          <w:sz w:val="24"/>
          <w:szCs w:val="24"/>
          <w:rtl/>
          <w:lang w:val="en-US" w:bidi="ar-DZ"/>
        </w:rPr>
      </w:pPr>
      <w:r w:rsidRPr="001326BC">
        <w:rPr>
          <w:rFonts w:ascii="Simplified Arabic" w:hAnsi="Simplified Arabic" w:cs="Simplified Arabic" w:hint="cs"/>
          <w:sz w:val="24"/>
          <w:szCs w:val="24"/>
          <w:rtl/>
          <w:lang w:val="en-US" w:bidi="ar-DZ"/>
        </w:rPr>
        <w:lastRenderedPageBreak/>
        <w:t>احصى حي الحمايد الواقع ضمن</w:t>
      </w:r>
      <w:r w:rsidRPr="001326BC">
        <w:rPr>
          <w:rFonts w:ascii="Simplified Arabic" w:hAnsi="Simplified Arabic" w:cs="Simplified Arabic"/>
          <w:sz w:val="24"/>
          <w:szCs w:val="24"/>
          <w:rtl/>
          <w:lang w:val="en-US" w:bidi="ar-DZ"/>
        </w:rPr>
        <w:t xml:space="preserve"> </w:t>
      </w:r>
      <w:r w:rsidRPr="001326BC">
        <w:rPr>
          <w:rFonts w:ascii="Simplified Arabic" w:hAnsi="Simplified Arabic" w:cs="Simplified Arabic" w:hint="cs"/>
          <w:sz w:val="24"/>
          <w:szCs w:val="24"/>
          <w:rtl/>
          <w:lang w:val="en-US" w:bidi="ar-DZ"/>
        </w:rPr>
        <w:t>فئة النسيج الحضري (</w:t>
      </w:r>
      <w:r w:rsidR="00C91EA0" w:rsidRPr="001326BC">
        <w:rPr>
          <w:rFonts w:ascii="Simplified Arabic" w:hAnsi="Simplified Arabic" w:cs="Simplified Arabic" w:hint="cs"/>
          <w:sz w:val="24"/>
          <w:szCs w:val="24"/>
          <w:rtl/>
          <w:lang w:val="en-US" w:bidi="ar-DZ"/>
        </w:rPr>
        <w:t>د</w:t>
      </w:r>
      <w:r w:rsidRPr="001326BC">
        <w:rPr>
          <w:rFonts w:ascii="Simplified Arabic" w:hAnsi="Simplified Arabic" w:cs="Simplified Arabic" w:hint="cs"/>
          <w:sz w:val="24"/>
          <w:szCs w:val="24"/>
          <w:rtl/>
          <w:lang w:val="en-US" w:bidi="ar-DZ"/>
        </w:rPr>
        <w:t>)،</w:t>
      </w:r>
      <w:r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حوالي</w:t>
      </w:r>
      <w:r w:rsidR="001A5834" w:rsidRPr="001326BC">
        <w:rPr>
          <w:rFonts w:ascii="Simplified Arabic" w:hAnsi="Simplified Arabic" w:cs="Simplified Arabic"/>
          <w:sz w:val="24"/>
          <w:szCs w:val="24"/>
          <w:rtl/>
          <w:lang w:val="en-US" w:bidi="ar-DZ"/>
        </w:rPr>
        <w:t xml:space="preserve"> </w:t>
      </w:r>
      <w:r w:rsidR="00C91EA0" w:rsidRPr="001326BC">
        <w:rPr>
          <w:rFonts w:ascii="Simplified Arabic" w:hAnsi="Simplified Arabic" w:cs="Simplified Arabic" w:hint="cs"/>
          <w:sz w:val="24"/>
          <w:szCs w:val="24"/>
          <w:rtl/>
          <w:lang w:val="en-US" w:bidi="ar-DZ"/>
        </w:rPr>
        <w:t>283</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تقاطع</w:t>
      </w:r>
      <w:r w:rsidR="001A5834" w:rsidRPr="001326BC">
        <w:rPr>
          <w:rFonts w:ascii="Simplified Arabic" w:hAnsi="Simplified Arabic" w:cs="Simplified Arabic"/>
          <w:sz w:val="24"/>
          <w:szCs w:val="24"/>
          <w:rtl/>
          <w:lang w:val="en-US" w:bidi="ar-DZ"/>
        </w:rPr>
        <w:t>/</w:t>
      </w:r>
      <w:r w:rsidR="001A5834" w:rsidRPr="001326BC">
        <w:rPr>
          <w:rFonts w:ascii="Simplified Arabic" w:hAnsi="Simplified Arabic" w:cs="Simplified Arabic" w:hint="cs"/>
          <w:sz w:val="24"/>
          <w:szCs w:val="24"/>
          <w:rtl/>
          <w:lang w:val="en-US" w:bidi="ar-DZ"/>
        </w:rPr>
        <w:t>كم</w:t>
      </w:r>
      <w:r w:rsidR="001A5834" w:rsidRPr="001326BC">
        <w:rPr>
          <w:rFonts w:ascii="Simplified Arabic" w:hAnsi="Simplified Arabic" w:cs="Simplified Arabic"/>
          <w:sz w:val="24"/>
          <w:szCs w:val="24"/>
          <w:vertAlign w:val="superscript"/>
          <w:rtl/>
          <w:lang w:val="en-US" w:bidi="ar-DZ"/>
        </w:rPr>
        <w:t>2</w:t>
      </w:r>
      <w:r w:rsidR="001A5834"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تنعدم فيه الطرق المسدودة</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w:t>
      </w:r>
      <w:r w:rsidR="00914F40" w:rsidRPr="001326BC">
        <w:rPr>
          <w:rFonts w:asciiTheme="majorBidi" w:hAnsiTheme="majorBidi" w:cstheme="majorBidi"/>
          <w:sz w:val="24"/>
          <w:szCs w:val="24"/>
          <w:lang w:val="en-US" w:bidi="ar-DZ"/>
        </w:rPr>
        <w:t>cul-de-sac</w:t>
      </w:r>
      <w:r w:rsidR="00914F40" w:rsidRPr="001326BC">
        <w:rPr>
          <w:rFonts w:ascii="Simplified Arabic" w:hAnsi="Simplified Arabic" w:cs="Simplified Arabic"/>
          <w:sz w:val="24"/>
          <w:szCs w:val="24"/>
          <w:rtl/>
          <w:lang w:val="en-US" w:bidi="ar-DZ"/>
        </w:rPr>
        <w:t>)</w:t>
      </w:r>
      <w:r w:rsidR="00914F40" w:rsidRPr="001326BC">
        <w:rPr>
          <w:rFonts w:ascii="Simplified Arabic" w:hAnsi="Simplified Arabic" w:cs="Simplified Arabic" w:hint="cs"/>
          <w:sz w:val="24"/>
          <w:szCs w:val="24"/>
          <w:rtl/>
          <w:lang w:val="en-US" w:bidi="ar-DZ"/>
        </w:rPr>
        <w:t xml:space="preserve">، </w:t>
      </w:r>
      <w:r w:rsidR="001A5834" w:rsidRPr="001326BC">
        <w:rPr>
          <w:rFonts w:ascii="Simplified Arabic" w:hAnsi="Simplified Arabic" w:cs="Simplified Arabic" w:hint="cs"/>
          <w:sz w:val="24"/>
          <w:szCs w:val="24"/>
          <w:rtl/>
          <w:lang w:val="en-US" w:bidi="ar-DZ"/>
        </w:rPr>
        <w:t>كثافة</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شبكة</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الطرق تبلغ</w:t>
      </w:r>
      <w:r w:rsidR="001A5834" w:rsidRPr="001326BC">
        <w:rPr>
          <w:rFonts w:ascii="Simplified Arabic" w:hAnsi="Simplified Arabic" w:cs="Simplified Arabic"/>
          <w:sz w:val="24"/>
          <w:szCs w:val="24"/>
          <w:rtl/>
          <w:lang w:val="en-US" w:bidi="ar-DZ"/>
        </w:rPr>
        <w:t xml:space="preserve"> </w:t>
      </w:r>
      <w:r w:rsidR="00914F40" w:rsidRPr="001326BC">
        <w:rPr>
          <w:rFonts w:ascii="Simplified Arabic" w:eastAsia="Times New Roman" w:hAnsi="Simplified Arabic" w:cs="Simplified Arabic" w:hint="cs"/>
          <w:color w:val="000000"/>
          <w:sz w:val="24"/>
          <w:szCs w:val="24"/>
          <w:rtl/>
          <w:lang w:eastAsia="fr-FR"/>
        </w:rPr>
        <w:t>33</w:t>
      </w:r>
      <w:r w:rsidR="001A5834" w:rsidRPr="001326BC">
        <w:rPr>
          <w:rFonts w:ascii="Simplified Arabic" w:eastAsia="Times New Roman" w:hAnsi="Simplified Arabic" w:cs="Simplified Arabic"/>
          <w:color w:val="000000"/>
          <w:sz w:val="24"/>
          <w:szCs w:val="24"/>
          <w:rtl/>
          <w:lang w:eastAsia="fr-FR"/>
        </w:rPr>
        <w:t>,</w:t>
      </w:r>
      <w:r w:rsidR="00914F40" w:rsidRPr="001326BC">
        <w:rPr>
          <w:rFonts w:ascii="Simplified Arabic" w:eastAsia="Times New Roman" w:hAnsi="Simplified Arabic" w:cs="Simplified Arabic" w:hint="cs"/>
          <w:color w:val="000000"/>
          <w:sz w:val="24"/>
          <w:szCs w:val="24"/>
          <w:rtl/>
          <w:lang w:eastAsia="fr-FR"/>
        </w:rPr>
        <w:t>98</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كم</w:t>
      </w:r>
      <w:r w:rsidR="001A5834" w:rsidRPr="001326BC">
        <w:rPr>
          <w:rFonts w:ascii="Simplified Arabic" w:hAnsi="Simplified Arabic" w:cs="Simplified Arabic"/>
          <w:sz w:val="24"/>
          <w:szCs w:val="24"/>
          <w:rtl/>
          <w:lang w:val="en-US" w:bidi="ar-DZ"/>
        </w:rPr>
        <w:t>/</w:t>
      </w:r>
      <w:r w:rsidR="001A5834" w:rsidRPr="001326BC">
        <w:rPr>
          <w:rFonts w:ascii="Simplified Arabic" w:hAnsi="Simplified Arabic" w:cs="Simplified Arabic" w:hint="cs"/>
          <w:sz w:val="24"/>
          <w:szCs w:val="24"/>
          <w:rtl/>
          <w:lang w:val="en-US" w:bidi="ar-DZ"/>
        </w:rPr>
        <w:t>كم</w:t>
      </w:r>
      <w:r w:rsidR="001A5834" w:rsidRPr="001326BC">
        <w:rPr>
          <w:rFonts w:ascii="Simplified Arabic" w:hAnsi="Simplified Arabic" w:cs="Simplified Arabic"/>
          <w:sz w:val="24"/>
          <w:szCs w:val="24"/>
          <w:vertAlign w:val="superscript"/>
          <w:rtl/>
          <w:lang w:val="en-US" w:bidi="ar-DZ"/>
        </w:rPr>
        <w:t>2</w:t>
      </w:r>
      <w:r w:rsidR="001A5834" w:rsidRPr="001326BC">
        <w:rPr>
          <w:rFonts w:ascii="Simplified Arabic" w:hAnsi="Simplified Arabic" w:cs="Simplified Arabic" w:hint="cs"/>
          <w:sz w:val="24"/>
          <w:szCs w:val="24"/>
          <w:rtl/>
          <w:lang w:val="en-US" w:bidi="ar-DZ"/>
        </w:rPr>
        <w:t>،</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بينما</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تظهر</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نسبة</w:t>
      </w:r>
      <w:r w:rsidR="001A5834" w:rsidRPr="001326BC">
        <w:rPr>
          <w:rFonts w:ascii="Simplified Arabic" w:hAnsi="Simplified Arabic" w:cs="Simplified Arabic"/>
          <w:sz w:val="24"/>
          <w:szCs w:val="24"/>
          <w:rtl/>
          <w:lang w:val="en-US" w:bidi="ar-DZ"/>
        </w:rPr>
        <w:t xml:space="preserve"> </w:t>
      </w:r>
      <w:r w:rsidR="00AA7E5E">
        <w:rPr>
          <w:rFonts w:ascii="Simplified Arabic" w:hAnsi="Simplified Arabic" w:cs="Simplified Arabic" w:hint="cs"/>
          <w:sz w:val="24"/>
          <w:szCs w:val="24"/>
          <w:rtl/>
          <w:lang w:val="en-US" w:bidi="ar-DZ"/>
        </w:rPr>
        <w:t>ربط</w:t>
      </w:r>
      <w:r w:rsidR="001A5834" w:rsidRPr="001326BC">
        <w:rPr>
          <w:rFonts w:ascii="Simplified Arabic" w:hAnsi="Simplified Arabic" w:cs="Simplified Arabic"/>
          <w:sz w:val="24"/>
          <w:szCs w:val="24"/>
          <w:rtl/>
          <w:lang w:val="en-US" w:bidi="ar-DZ"/>
        </w:rPr>
        <w:t>-</w:t>
      </w:r>
      <w:r w:rsidR="001A5834" w:rsidRPr="001326BC">
        <w:rPr>
          <w:rFonts w:ascii="Simplified Arabic" w:hAnsi="Simplified Arabic" w:cs="Simplified Arabic" w:hint="cs"/>
          <w:sz w:val="24"/>
          <w:szCs w:val="24"/>
          <w:rtl/>
          <w:lang w:val="en-US" w:bidi="ar-DZ"/>
        </w:rPr>
        <w:t>العقد ونسبة</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العقد</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الموصولة قيمًا</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تبلغ</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على</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التوالي:</w:t>
      </w:r>
      <w:r w:rsidR="001A5834" w:rsidRPr="001326BC">
        <w:rPr>
          <w:rFonts w:ascii="Simplified Arabic" w:eastAsia="Times New Roman" w:hAnsi="Simplified Arabic" w:cs="Simplified Arabic" w:hint="cs"/>
          <w:color w:val="000000"/>
          <w:sz w:val="24"/>
          <w:szCs w:val="24"/>
          <w:rtl/>
          <w:lang w:eastAsia="fr-FR"/>
        </w:rPr>
        <w:t xml:space="preserve"> 1</w:t>
      </w:r>
      <w:r w:rsidR="001A5834" w:rsidRPr="001326BC">
        <w:rPr>
          <w:rFonts w:ascii="Simplified Arabic" w:eastAsia="Times New Roman" w:hAnsi="Simplified Arabic" w:cs="Simplified Arabic"/>
          <w:color w:val="000000"/>
          <w:sz w:val="24"/>
          <w:szCs w:val="24"/>
          <w:rtl/>
          <w:lang w:eastAsia="fr-FR"/>
        </w:rPr>
        <w:t>,</w:t>
      </w:r>
      <w:r w:rsidR="00914F40" w:rsidRPr="001326BC">
        <w:rPr>
          <w:rFonts w:ascii="Simplified Arabic" w:eastAsia="Times New Roman" w:hAnsi="Simplified Arabic" w:cs="Simplified Arabic" w:hint="cs"/>
          <w:color w:val="000000"/>
          <w:sz w:val="24"/>
          <w:szCs w:val="24"/>
          <w:rtl/>
          <w:lang w:eastAsia="fr-FR"/>
        </w:rPr>
        <w:t>52</w:t>
      </w:r>
      <w:r w:rsidR="001A5834" w:rsidRPr="001326BC">
        <w:rPr>
          <w:rFonts w:ascii="Simplified Arabic" w:hAnsi="Simplified Arabic" w:cs="Simplified Arabic"/>
          <w:sz w:val="24"/>
          <w:szCs w:val="24"/>
          <w:rtl/>
          <w:lang w:val="en-US" w:bidi="ar-DZ"/>
        </w:rPr>
        <w:t xml:space="preserve"> </w:t>
      </w:r>
      <w:r w:rsidR="001A5834" w:rsidRPr="001326BC">
        <w:rPr>
          <w:rFonts w:ascii="Simplified Arabic" w:hAnsi="Simplified Arabic" w:cs="Simplified Arabic" w:hint="cs"/>
          <w:sz w:val="24"/>
          <w:szCs w:val="24"/>
          <w:rtl/>
          <w:lang w:val="en-US" w:bidi="ar-DZ"/>
        </w:rPr>
        <w:t>و</w:t>
      </w:r>
      <w:r w:rsidR="001A5834" w:rsidRPr="001326BC">
        <w:rPr>
          <w:rFonts w:ascii="Simplified Arabic" w:hAnsi="Simplified Arabic" w:cs="Simplified Arabic"/>
          <w:sz w:val="24"/>
          <w:szCs w:val="24"/>
          <w:rtl/>
          <w:lang w:val="en-US" w:bidi="ar-DZ"/>
        </w:rPr>
        <w:t xml:space="preserve"> </w:t>
      </w:r>
      <w:r w:rsidR="00914F40" w:rsidRPr="001326BC">
        <w:rPr>
          <w:rFonts w:ascii="Simplified Arabic" w:eastAsia="Times New Roman" w:hAnsi="Simplified Arabic" w:cs="Simplified Arabic" w:hint="cs"/>
          <w:color w:val="000000"/>
          <w:sz w:val="24"/>
          <w:szCs w:val="24"/>
          <w:rtl/>
          <w:lang w:eastAsia="fr-FR"/>
        </w:rPr>
        <w:t>1</w:t>
      </w:r>
      <w:r w:rsidR="001A5834" w:rsidRPr="001326BC">
        <w:rPr>
          <w:rFonts w:ascii="Simplified Arabic" w:hAnsi="Simplified Arabic" w:cs="Simplified Arabic" w:hint="cs"/>
          <w:sz w:val="24"/>
          <w:szCs w:val="24"/>
          <w:rtl/>
          <w:lang w:val="en-US" w:bidi="ar-DZ"/>
        </w:rPr>
        <w:t>،</w:t>
      </w:r>
      <w:r w:rsidR="001A5834"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تشير</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القيم</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إلى</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ان شبكة</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الشوارع اكثر</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قابلية</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للسير،</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يُعزى</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ذلك</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إلى</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غياب الطرق المسدودة</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w:t>
      </w:r>
      <w:r w:rsidR="00914F40" w:rsidRPr="001326BC">
        <w:rPr>
          <w:rFonts w:asciiTheme="majorBidi" w:hAnsiTheme="majorBidi" w:cstheme="majorBidi"/>
          <w:sz w:val="24"/>
          <w:szCs w:val="24"/>
          <w:lang w:val="en-US" w:bidi="ar-DZ"/>
        </w:rPr>
        <w:t>cul-de-sac</w:t>
      </w:r>
      <w:r w:rsidR="00914F40" w:rsidRPr="001326BC">
        <w:rPr>
          <w:rFonts w:ascii="Simplified Arabic" w:hAnsi="Simplified Arabic" w:cs="Simplified Arabic" w:hint="cs"/>
          <w:sz w:val="24"/>
          <w:szCs w:val="24"/>
          <w:rtl/>
          <w:lang w:val="en-US" w:bidi="ar-DZ"/>
        </w:rPr>
        <w:t>)، مع وجود طرق، كثيرة التقاطعات، تمنح إمكانية</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مشي</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جيدة</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على الاقدام نحو</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جميع</w:t>
      </w:r>
      <w:r w:rsidR="00914F40" w:rsidRPr="001326BC">
        <w:rPr>
          <w:rFonts w:ascii="Simplified Arabic" w:hAnsi="Simplified Arabic" w:cs="Simplified Arabic"/>
          <w:sz w:val="24"/>
          <w:szCs w:val="24"/>
          <w:rtl/>
          <w:lang w:val="en-US" w:bidi="ar-DZ"/>
        </w:rPr>
        <w:t xml:space="preserve"> </w:t>
      </w:r>
      <w:r w:rsidR="00914F40" w:rsidRPr="001326BC">
        <w:rPr>
          <w:rFonts w:ascii="Simplified Arabic" w:hAnsi="Simplified Arabic" w:cs="Simplified Arabic" w:hint="cs"/>
          <w:sz w:val="24"/>
          <w:szCs w:val="24"/>
          <w:rtl/>
          <w:lang w:val="en-US" w:bidi="ar-DZ"/>
        </w:rPr>
        <w:t>الوجهات</w:t>
      </w:r>
      <w:r w:rsidR="00914F40" w:rsidRPr="001326BC">
        <w:rPr>
          <w:rFonts w:ascii="Simplified Arabic" w:hAnsi="Simplified Arabic" w:cs="Simplified Arabic"/>
          <w:sz w:val="24"/>
          <w:szCs w:val="24"/>
          <w:rtl/>
          <w:lang w:val="en-US" w:bidi="ar-DZ"/>
        </w:rPr>
        <w:t xml:space="preserve">. </w:t>
      </w:r>
    </w:p>
    <w:p w:rsidR="00914F40" w:rsidRDefault="00914F40" w:rsidP="005373F7">
      <w:pPr>
        <w:autoSpaceDE w:val="0"/>
        <w:autoSpaceDN w:val="0"/>
        <w:bidi/>
        <w:adjustRightInd w:val="0"/>
        <w:spacing w:after="0"/>
        <w:ind w:firstLine="282"/>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كما هو موضح في الخريطة (6-</w:t>
      </w:r>
      <w:r w:rsidR="005373F7">
        <w:rPr>
          <w:rFonts w:ascii="Simplified Arabic" w:hAnsi="Simplified Arabic" w:cs="Simplified Arabic" w:hint="cs"/>
          <w:sz w:val="24"/>
          <w:szCs w:val="24"/>
          <w:rtl/>
          <w:lang w:val="en-US" w:bidi="ar-DZ"/>
        </w:rPr>
        <w:t>21</w:t>
      </w:r>
      <w:r>
        <w:rPr>
          <w:rFonts w:ascii="Simplified Arabic" w:hAnsi="Simplified Arabic" w:cs="Simplified Arabic" w:hint="cs"/>
          <w:sz w:val="24"/>
          <w:szCs w:val="24"/>
          <w:rtl/>
          <w:lang w:val="en-US" w:bidi="ar-DZ"/>
        </w:rPr>
        <w:t>)</w:t>
      </w:r>
      <w:r w:rsidRPr="00C5250E">
        <w:rPr>
          <w:rFonts w:ascii="Simplified Arabic" w:hAnsi="Simplified Arabic" w:cs="Simplified Arabic" w:hint="cs"/>
          <w:sz w:val="24"/>
          <w:szCs w:val="24"/>
          <w:rtl/>
          <w:lang w:val="en-US" w:bidi="ar-DZ"/>
        </w:rPr>
        <w:t>،</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ي</w:t>
      </w:r>
      <w:r w:rsidRPr="00C5250E">
        <w:rPr>
          <w:rFonts w:ascii="Simplified Arabic" w:hAnsi="Simplified Arabic" w:cs="Simplified Arabic" w:hint="cs"/>
          <w:sz w:val="24"/>
          <w:szCs w:val="24"/>
          <w:rtl/>
          <w:lang w:val="en-US" w:bidi="ar-DZ"/>
        </w:rPr>
        <w:t>سود</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نوع </w:t>
      </w:r>
      <w:r w:rsidRPr="00C5250E">
        <w:rPr>
          <w:rFonts w:ascii="Simplified Arabic" w:hAnsi="Simplified Arabic" w:cs="Simplified Arabic" w:hint="cs"/>
          <w:sz w:val="24"/>
          <w:szCs w:val="24"/>
          <w:rtl/>
          <w:lang w:val="en-US" w:bidi="ar-DZ"/>
        </w:rPr>
        <w:t>التقاطعات</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ثلاثية</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الاتجاهات،</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بما</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يعادل</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81</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من</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مجموع</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التقاطعات،</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بينما تمثل </w:t>
      </w:r>
      <w:r w:rsidRPr="00C5250E">
        <w:rPr>
          <w:rFonts w:ascii="Simplified Arabic" w:hAnsi="Simplified Arabic" w:cs="Simplified Arabic" w:hint="cs"/>
          <w:sz w:val="24"/>
          <w:szCs w:val="24"/>
          <w:rtl/>
          <w:lang w:val="en-US" w:bidi="ar-DZ"/>
        </w:rPr>
        <w:t>التقاطعات</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رباعية</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الاتجاهات</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ثاني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أنواع</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التقاطع</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شيوعًا</w:t>
      </w:r>
      <w:r>
        <w:rPr>
          <w:rFonts w:ascii="Simplified Arabic" w:hAnsi="Simplified Arabic" w:cs="Simplified Arabic" w:hint="cs"/>
          <w:sz w:val="24"/>
          <w:szCs w:val="24"/>
          <w:rtl/>
          <w:lang w:val="en-US" w:bidi="ar-DZ"/>
        </w:rPr>
        <w:t xml:space="preserve"> تعادل 19</w:t>
      </w:r>
      <w:r w:rsidRPr="00C5250E">
        <w:rPr>
          <w:rFonts w:ascii="Simplified Arabic" w:hAnsi="Simplified Arabic" w:cs="Simplified Arabic"/>
          <w:sz w:val="24"/>
          <w:szCs w:val="24"/>
          <w:rtl/>
          <w:lang w:val="en-US" w:bidi="ar-DZ"/>
        </w:rPr>
        <w:t>٪</w:t>
      </w:r>
      <w:r>
        <w:rPr>
          <w:rFonts w:ascii="Simplified Arabic" w:hAnsi="Simplified Arabic" w:cs="Simplified Arabic" w:hint="cs"/>
          <w:sz w:val="24"/>
          <w:szCs w:val="24"/>
          <w:rtl/>
          <w:lang w:val="en-US" w:bidi="ar-DZ"/>
        </w:rPr>
        <w:t xml:space="preserve"> مع انخفاض معتبر مقارنة مع الفئة النسيج الحضري (ب، د)، بينما ينعدم</w:t>
      </w:r>
      <w:r w:rsidRPr="00C5250E">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تماما نوع تقاطعات الطرق المسدودة</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w:t>
      </w:r>
      <w:r w:rsidRPr="00016357">
        <w:rPr>
          <w:rFonts w:asciiTheme="majorBidi" w:hAnsiTheme="majorBidi" w:cstheme="majorBidi"/>
          <w:sz w:val="24"/>
          <w:szCs w:val="24"/>
          <w:lang w:val="en-US" w:bidi="ar-DZ"/>
        </w:rPr>
        <w:t>cul-de-sac</w:t>
      </w:r>
      <w:r>
        <w:rPr>
          <w:rFonts w:ascii="Simplified Arabic" w:hAnsi="Simplified Arabic" w:cs="Simplified Arabic" w:hint="cs"/>
          <w:sz w:val="24"/>
          <w:szCs w:val="24"/>
          <w:rtl/>
          <w:lang w:val="en-US" w:bidi="ar-DZ"/>
        </w:rPr>
        <w:t xml:space="preserve">). </w:t>
      </w:r>
    </w:p>
    <w:p w:rsidR="001A5834" w:rsidRDefault="001A5834" w:rsidP="00914F40">
      <w:pPr>
        <w:autoSpaceDE w:val="0"/>
        <w:autoSpaceDN w:val="0"/>
        <w:bidi/>
        <w:adjustRightInd w:val="0"/>
        <w:spacing w:after="0"/>
        <w:ind w:firstLine="282"/>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من الناحية ال</w:t>
      </w:r>
      <w:r w:rsidRPr="00C5250E">
        <w:rPr>
          <w:rFonts w:ascii="Simplified Arabic" w:hAnsi="Simplified Arabic" w:cs="Simplified Arabic" w:hint="cs"/>
          <w:sz w:val="24"/>
          <w:szCs w:val="24"/>
          <w:rtl/>
          <w:lang w:val="en-US" w:bidi="ar-DZ"/>
        </w:rPr>
        <w:t>مكاني</w:t>
      </w:r>
      <w:r>
        <w:rPr>
          <w:rFonts w:ascii="Simplified Arabic" w:hAnsi="Simplified Arabic" w:cs="Simplified Arabic" w:hint="cs"/>
          <w:sz w:val="24"/>
          <w:szCs w:val="24"/>
          <w:rtl/>
          <w:lang w:val="en-US" w:bidi="ar-DZ"/>
        </w:rPr>
        <w:t>ة</w:t>
      </w:r>
      <w:r w:rsidRPr="00C5250E">
        <w:rPr>
          <w:rFonts w:ascii="Simplified Arabic" w:hAnsi="Simplified Arabic" w:cs="Simplified Arabic" w:hint="cs"/>
          <w:sz w:val="24"/>
          <w:szCs w:val="24"/>
          <w:rtl/>
          <w:lang w:val="en-US" w:bidi="ar-DZ"/>
        </w:rPr>
        <w:t>،</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ينتشر</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النوع </w:t>
      </w:r>
      <w:r w:rsidRPr="00C5250E">
        <w:rPr>
          <w:rFonts w:ascii="Simplified Arabic" w:hAnsi="Simplified Arabic" w:cs="Simplified Arabic" w:hint="cs"/>
          <w:sz w:val="24"/>
          <w:szCs w:val="24"/>
          <w:rtl/>
          <w:lang w:val="en-US" w:bidi="ar-DZ"/>
        </w:rPr>
        <w:t>الأول</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في</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اغلبية</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اماكن الحي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ويتركز</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الثاني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في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الجزء</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الغربي</w:t>
      </w:r>
      <w:r w:rsidRPr="00C5250E">
        <w:rPr>
          <w:rFonts w:ascii="Simplified Arabic" w:hAnsi="Simplified Arabic" w:cs="Simplified Arabic"/>
          <w:sz w:val="24"/>
          <w:szCs w:val="24"/>
          <w:rtl/>
          <w:lang w:val="en-US" w:bidi="ar-DZ"/>
        </w:rPr>
        <w:t xml:space="preserve"> </w:t>
      </w:r>
      <w:r w:rsidRPr="00C5250E">
        <w:rPr>
          <w:rFonts w:ascii="Simplified Arabic" w:hAnsi="Simplified Arabic" w:cs="Simplified Arabic" w:hint="cs"/>
          <w:sz w:val="24"/>
          <w:szCs w:val="24"/>
          <w:rtl/>
          <w:lang w:val="en-US" w:bidi="ar-DZ"/>
        </w:rPr>
        <w:t>من</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الحي.</w:t>
      </w:r>
    </w:p>
    <w:p w:rsidR="00256295" w:rsidRDefault="00256295" w:rsidP="00986BEA">
      <w:pPr>
        <w:pStyle w:val="carte"/>
        <w:spacing w:after="0"/>
        <w:rPr>
          <w:rtl/>
          <w:lang w:val="en-US" w:bidi="ar-DZ"/>
        </w:rPr>
      </w:pPr>
      <w:bookmarkStart w:id="974" w:name="_Toc157616629"/>
      <w:bookmarkStart w:id="975" w:name="_Toc171803894"/>
      <w:r w:rsidRPr="005373F7">
        <w:rPr>
          <w:rFonts w:hint="cs"/>
          <w:rtl/>
          <w:lang w:val="en-US" w:bidi="ar-DZ"/>
        </w:rPr>
        <w:t>الخريطة</w:t>
      </w:r>
      <w:r w:rsidRPr="005373F7">
        <w:rPr>
          <w:rtl/>
          <w:lang w:val="en-US" w:bidi="ar-DZ"/>
        </w:rPr>
        <w:t xml:space="preserve"> </w:t>
      </w:r>
      <w:r w:rsidRPr="005373F7">
        <w:rPr>
          <w:rFonts w:hint="cs"/>
          <w:rtl/>
          <w:lang w:val="en-US" w:bidi="ar-DZ"/>
        </w:rPr>
        <w:t>(6-</w:t>
      </w:r>
      <w:r w:rsidR="005373F7" w:rsidRPr="005373F7">
        <w:rPr>
          <w:rFonts w:hint="cs"/>
          <w:rtl/>
          <w:lang w:val="en-US" w:bidi="ar-DZ"/>
        </w:rPr>
        <w:t>21</w:t>
      </w:r>
      <w:r w:rsidRPr="005373F7">
        <w:rPr>
          <w:rFonts w:hint="cs"/>
          <w:rtl/>
          <w:lang w:val="en-US" w:bidi="ar-DZ"/>
        </w:rPr>
        <w:t>)</w:t>
      </w:r>
      <w:r w:rsidRPr="005373F7">
        <w:rPr>
          <w:rtl/>
          <w:lang w:val="en-US" w:bidi="ar-DZ"/>
        </w:rPr>
        <w:t xml:space="preserve">. </w:t>
      </w:r>
      <w:r w:rsidRPr="005373F7">
        <w:rPr>
          <w:rFonts w:hint="cs"/>
          <w:rtl/>
          <w:lang w:val="en-US" w:bidi="ar-DZ"/>
        </w:rPr>
        <w:t>التوزيع</w:t>
      </w:r>
      <w:r w:rsidRPr="005373F7">
        <w:rPr>
          <w:rtl/>
          <w:lang w:val="en-US" w:bidi="ar-DZ"/>
        </w:rPr>
        <w:t xml:space="preserve"> </w:t>
      </w:r>
      <w:r w:rsidRPr="005373F7">
        <w:rPr>
          <w:rFonts w:hint="cs"/>
          <w:rtl/>
          <w:lang w:val="en-US" w:bidi="ar-DZ"/>
        </w:rPr>
        <w:t>المكاني</w:t>
      </w:r>
      <w:r w:rsidRPr="005373F7">
        <w:rPr>
          <w:rtl/>
          <w:lang w:val="en-US" w:bidi="ar-DZ"/>
        </w:rPr>
        <w:t xml:space="preserve"> </w:t>
      </w:r>
      <w:r w:rsidRPr="005373F7">
        <w:rPr>
          <w:rFonts w:hint="cs"/>
          <w:rtl/>
          <w:lang w:val="en-US" w:bidi="ar-DZ"/>
        </w:rPr>
        <w:t>لدرجة</w:t>
      </w:r>
      <w:r w:rsidRPr="005373F7">
        <w:rPr>
          <w:rtl/>
          <w:lang w:val="en-US" w:bidi="ar-DZ"/>
        </w:rPr>
        <w:t xml:space="preserve"> </w:t>
      </w:r>
      <w:r w:rsidRPr="005373F7">
        <w:rPr>
          <w:rFonts w:hint="cs"/>
          <w:rtl/>
          <w:lang w:val="en-US" w:bidi="ar-DZ"/>
        </w:rPr>
        <w:t>العقدة،</w:t>
      </w:r>
      <w:r w:rsidRPr="005373F7">
        <w:rPr>
          <w:rtl/>
          <w:lang w:val="en-US" w:bidi="ar-DZ"/>
        </w:rPr>
        <w:t xml:space="preserve"> </w:t>
      </w:r>
      <w:r w:rsidRPr="005373F7">
        <w:rPr>
          <w:rFonts w:hint="cs"/>
          <w:rtl/>
          <w:lang w:val="en-US" w:bidi="ar-DZ"/>
        </w:rPr>
        <w:t>حي الحمايد</w:t>
      </w:r>
      <w:r w:rsidR="00066C86" w:rsidRPr="005373F7">
        <w:rPr>
          <w:rFonts w:hint="cs"/>
          <w:rtl/>
          <w:lang w:val="en-US" w:bidi="ar-DZ"/>
        </w:rPr>
        <w:t>،</w:t>
      </w:r>
      <w:r w:rsidRPr="005373F7">
        <w:rPr>
          <w:rtl/>
          <w:lang w:val="en-US" w:bidi="ar-DZ"/>
        </w:rPr>
        <w:t xml:space="preserve"> </w:t>
      </w:r>
      <w:r w:rsidRPr="005373F7">
        <w:rPr>
          <w:rFonts w:hint="cs"/>
          <w:rtl/>
          <w:lang w:val="en-US" w:bidi="ar-DZ"/>
        </w:rPr>
        <w:t>فئة النسيج الحضري (د)</w:t>
      </w:r>
      <w:bookmarkEnd w:id="974"/>
      <w:bookmarkEnd w:id="975"/>
    </w:p>
    <w:p w:rsidR="00986BEA" w:rsidRPr="00986BEA" w:rsidRDefault="00986BEA" w:rsidP="00986BEA">
      <w:pPr>
        <w:pStyle w:val="fegure"/>
        <w:rPr>
          <w:sz w:val="8"/>
          <w:szCs w:val="24"/>
          <w:rtl/>
          <w:lang w:val="en-US"/>
        </w:rPr>
      </w:pPr>
      <w:bookmarkStart w:id="976" w:name="_Toc171803895"/>
      <w:r>
        <w:rPr>
          <w:rFonts w:hint="cs"/>
          <w:sz w:val="8"/>
          <w:szCs w:val="24"/>
          <w:rtl/>
          <w:lang w:val="en-US" w:bidi="ar-DZ"/>
        </w:rPr>
        <w:t xml:space="preserve">المصدر: </w:t>
      </w:r>
      <w:r>
        <w:rPr>
          <w:rFonts w:hint="cs"/>
          <w:sz w:val="8"/>
          <w:szCs w:val="24"/>
          <w:rtl/>
          <w:lang w:val="en-US"/>
        </w:rPr>
        <w:t>(الباحث، 2022)</w:t>
      </w:r>
      <w:bookmarkEnd w:id="976"/>
    </w:p>
    <w:p w:rsidR="00256295" w:rsidRDefault="00256295" w:rsidP="001A5834">
      <w:pPr>
        <w:bidi/>
        <w:spacing w:after="0"/>
        <w:jc w:val="center"/>
        <w:rPr>
          <w:rFonts w:ascii="Simplified Arabic" w:hAnsi="Simplified Arabic" w:cs="Simplified Arabic"/>
          <w:sz w:val="24"/>
          <w:szCs w:val="24"/>
          <w:rtl/>
          <w:lang w:val="en-US" w:bidi="ar-DZ"/>
        </w:rPr>
      </w:pPr>
      <w:r>
        <w:rPr>
          <w:rFonts w:ascii="Simplified Arabic" w:hAnsi="Simplified Arabic" w:cs="Simplified Arabic" w:hint="cs"/>
          <w:noProof/>
          <w:sz w:val="24"/>
          <w:szCs w:val="24"/>
          <w:rtl/>
          <w:lang w:eastAsia="fr-FR"/>
        </w:rPr>
        <w:drawing>
          <wp:inline distT="0" distB="0" distL="0" distR="0" wp14:anchorId="14D5D0AA" wp14:editId="69B2C480">
            <wp:extent cx="4718649" cy="5762697"/>
            <wp:effectExtent l="0" t="0" r="6350" b="0"/>
            <wp:docPr id="328" name="Imag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35" cstate="print">
                      <a:extLst>
                        <a:ext uri="{28A0092B-C50C-407E-A947-70E740481C1C}">
                          <a14:useLocalDpi xmlns:a14="http://schemas.microsoft.com/office/drawing/2010/main" val="0"/>
                        </a:ext>
                      </a:extLst>
                    </a:blip>
                    <a:srcRect t="8440"/>
                    <a:stretch/>
                  </pic:blipFill>
                  <pic:spPr bwMode="auto">
                    <a:xfrm>
                      <a:off x="0" y="0"/>
                      <a:ext cx="4733123" cy="5780374"/>
                    </a:xfrm>
                    <a:prstGeom prst="rect">
                      <a:avLst/>
                    </a:prstGeom>
                    <a:noFill/>
                    <a:ln>
                      <a:noFill/>
                    </a:ln>
                    <a:extLst>
                      <a:ext uri="{53640926-AAD7-44D8-BBD7-CCE9431645EC}">
                        <a14:shadowObscured xmlns:a14="http://schemas.microsoft.com/office/drawing/2010/main"/>
                      </a:ext>
                    </a:extLst>
                  </pic:spPr>
                </pic:pic>
              </a:graphicData>
            </a:graphic>
          </wp:inline>
        </w:drawing>
      </w:r>
    </w:p>
    <w:p w:rsidR="00CF4A92" w:rsidRDefault="00CF4A92" w:rsidP="00CF4A92">
      <w:pPr>
        <w:autoSpaceDE w:val="0"/>
        <w:autoSpaceDN w:val="0"/>
        <w:bidi/>
        <w:adjustRightInd w:val="0"/>
        <w:spacing w:after="0"/>
        <w:ind w:firstLine="282"/>
        <w:jc w:val="both"/>
        <w:rPr>
          <w:rFonts w:ascii="Simplified Arabic" w:hAnsi="Simplified Arabic" w:cs="Simplified Arabic"/>
          <w:sz w:val="24"/>
          <w:szCs w:val="24"/>
          <w:rtl/>
          <w:lang w:val="en-US" w:bidi="ar-DZ"/>
        </w:rPr>
      </w:pPr>
      <w:r w:rsidRPr="00214967">
        <w:rPr>
          <w:rFonts w:ascii="Simplified Arabic" w:hAnsi="Simplified Arabic" w:cs="Simplified Arabic" w:hint="cs"/>
          <w:sz w:val="24"/>
          <w:szCs w:val="24"/>
          <w:rtl/>
        </w:rPr>
        <w:lastRenderedPageBreak/>
        <w:t>تظهر</w:t>
      </w:r>
      <w:r>
        <w:rPr>
          <w:rFonts w:ascii="Simplified Arabic" w:hAnsi="Simplified Arabic" w:cs="Simplified Arabic" w:hint="cs"/>
          <w:sz w:val="24"/>
          <w:szCs w:val="24"/>
          <w:rtl/>
        </w:rPr>
        <w:t xml:space="preserve"> عدد تقاطعات الطرق الرئيسية والثانوية والداخلية </w:t>
      </w:r>
      <w:r w:rsidRPr="007F5486">
        <w:rPr>
          <w:rFonts w:ascii="Simplified Arabic" w:eastAsia="Times New Roman" w:hAnsi="Simplified Arabic" w:cs="Simplified Arabic"/>
          <w:b/>
          <w:sz w:val="24"/>
          <w:szCs w:val="24"/>
          <w:rtl/>
          <w:lang w:val="en-US" w:eastAsia="fr-FR"/>
        </w:rPr>
        <w:t>لكل وحدة مساحة (</w:t>
      </w:r>
      <w:r>
        <w:rPr>
          <w:rFonts w:ascii="Simplified Arabic" w:eastAsia="Times New Roman" w:hAnsi="Simplified Arabic" w:cs="Simplified Arabic" w:hint="cs"/>
          <w:b/>
          <w:sz w:val="24"/>
          <w:szCs w:val="24"/>
          <w:rtl/>
          <w:lang w:val="en-US" w:eastAsia="fr-FR"/>
        </w:rPr>
        <w:t>تقاطع</w:t>
      </w:r>
      <w:r w:rsidRPr="007F5486">
        <w:rPr>
          <w:rFonts w:ascii="Simplified Arabic" w:eastAsia="Times New Roman" w:hAnsi="Simplified Arabic" w:cs="Simplified Arabic"/>
          <w:b/>
          <w:sz w:val="24"/>
          <w:szCs w:val="24"/>
          <w:rtl/>
          <w:lang w:val="en-US" w:eastAsia="fr-FR"/>
        </w:rPr>
        <w:t>/</w:t>
      </w:r>
      <w:r w:rsidRPr="00D4062F">
        <w:rPr>
          <w:rFonts w:ascii="Simplified Arabic" w:eastAsia="Times New Roman" w:hAnsi="Simplified Arabic" w:cs="Simplified Arabic" w:hint="cs"/>
          <w:b/>
          <w:sz w:val="24"/>
          <w:szCs w:val="24"/>
          <w:rtl/>
          <w:lang w:val="en-US" w:eastAsia="fr-FR"/>
        </w:rPr>
        <w:t xml:space="preserve"> </w:t>
      </w:r>
      <w:r>
        <w:rPr>
          <w:rFonts w:ascii="Simplified Arabic" w:eastAsia="Times New Roman" w:hAnsi="Simplified Arabic" w:cs="Simplified Arabic" w:hint="cs"/>
          <w:b/>
          <w:sz w:val="24"/>
          <w:szCs w:val="24"/>
          <w:rtl/>
          <w:lang w:val="en-US" w:eastAsia="fr-FR"/>
        </w:rPr>
        <w:t>كلم</w:t>
      </w:r>
      <w:r w:rsidRPr="00D4062F">
        <w:rPr>
          <w:rFonts w:ascii="Simplified Arabic" w:eastAsia="Times New Roman" w:hAnsi="Simplified Arabic" w:cs="Simplified Arabic" w:hint="cs"/>
          <w:b/>
          <w:sz w:val="24"/>
          <w:szCs w:val="24"/>
          <w:vertAlign w:val="superscript"/>
          <w:rtl/>
          <w:lang w:val="en-US" w:eastAsia="fr-FR"/>
        </w:rPr>
        <w:t>2</w:t>
      </w:r>
      <w:r w:rsidRPr="007F5486">
        <w:rPr>
          <w:rFonts w:ascii="Simplified Arabic" w:eastAsia="Times New Roman" w:hAnsi="Simplified Arabic" w:cs="Simplified Arabic"/>
          <w:b/>
          <w:sz w:val="24"/>
          <w:szCs w:val="24"/>
          <w:rtl/>
          <w:lang w:val="en-US" w:eastAsia="fr-FR"/>
        </w:rPr>
        <w:t>)</w:t>
      </w:r>
      <w:r>
        <w:rPr>
          <w:rFonts w:ascii="Simplified Arabic" w:eastAsia="Times New Roman" w:hAnsi="Simplified Arabic" w:cs="Simplified Arabic" w:hint="cs"/>
          <w:b/>
          <w:sz w:val="24"/>
          <w:szCs w:val="24"/>
          <w:rtl/>
          <w:lang w:val="en-US" w:eastAsia="fr-FR"/>
        </w:rPr>
        <w:t>،</w:t>
      </w:r>
      <w:r w:rsidRPr="00F4495C">
        <w:rPr>
          <w:rFonts w:ascii="Simplified Arabic" w:hAnsi="Simplified Arabic" w:cs="Simplified Arabic" w:hint="cs"/>
          <w:sz w:val="24"/>
          <w:szCs w:val="24"/>
          <w:rtl/>
          <w:lang w:val="en-US" w:bidi="ar-DZ"/>
        </w:rPr>
        <w:t xml:space="preserve"> </w:t>
      </w:r>
      <w:r w:rsidRPr="00C5250E">
        <w:rPr>
          <w:rFonts w:ascii="Simplified Arabic" w:hAnsi="Simplified Arabic" w:cs="Simplified Arabic" w:hint="cs"/>
          <w:sz w:val="24"/>
          <w:szCs w:val="24"/>
          <w:rtl/>
          <w:lang w:val="en-US" w:bidi="ar-DZ"/>
        </w:rPr>
        <w:t>كما</w:t>
      </w:r>
      <w:r w:rsidRPr="00C5250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في ال</w:t>
      </w:r>
      <w:r w:rsidRPr="00C954A0">
        <w:rPr>
          <w:rFonts w:ascii="Simplified Arabic" w:hAnsi="Simplified Arabic" w:cs="Simplified Arabic" w:hint="cs"/>
          <w:sz w:val="24"/>
          <w:szCs w:val="24"/>
          <w:rtl/>
          <w:lang w:val="en-US" w:bidi="ar-DZ"/>
        </w:rPr>
        <w:t>جدول (6-</w:t>
      </w:r>
      <w:r>
        <w:rPr>
          <w:rFonts w:ascii="Simplified Arabic" w:hAnsi="Simplified Arabic" w:cs="Simplified Arabic" w:hint="cs"/>
          <w:sz w:val="24"/>
          <w:szCs w:val="24"/>
          <w:rtl/>
          <w:lang w:val="en-US" w:bidi="ar-DZ"/>
        </w:rPr>
        <w:t>10</w:t>
      </w:r>
      <w:r w:rsidRPr="00C954A0">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w:t>
      </w:r>
    </w:p>
    <w:p w:rsidR="002A686B" w:rsidRDefault="00C954A0" w:rsidP="00637C32">
      <w:pPr>
        <w:pStyle w:val="Tableau"/>
        <w:rPr>
          <w:rtl/>
        </w:rPr>
      </w:pPr>
      <w:bookmarkStart w:id="977" w:name="_Toc157613020"/>
      <w:bookmarkStart w:id="978" w:name="_Toc171803896"/>
      <w:r>
        <w:rPr>
          <w:rFonts w:hint="cs"/>
          <w:rtl/>
        </w:rPr>
        <w:t>ال</w:t>
      </w:r>
      <w:r w:rsidR="002A686B">
        <w:rPr>
          <w:rFonts w:hint="cs"/>
          <w:rtl/>
        </w:rPr>
        <w:t>جدول (6-</w:t>
      </w:r>
      <w:r w:rsidR="00F377EC">
        <w:rPr>
          <w:rFonts w:hint="cs"/>
          <w:rtl/>
        </w:rPr>
        <w:t>10</w:t>
      </w:r>
      <w:r w:rsidR="002A686B">
        <w:rPr>
          <w:rFonts w:hint="cs"/>
          <w:rtl/>
        </w:rPr>
        <w:t>): توزيع تقاطع الطرق الشريانية والداخلية عبر الاحياء السكنية</w:t>
      </w:r>
      <w:bookmarkEnd w:id="977"/>
      <w:bookmarkEnd w:id="978"/>
    </w:p>
    <w:p w:rsidR="00986BEA" w:rsidRPr="00986BEA" w:rsidRDefault="00986BEA" w:rsidP="00986BEA">
      <w:pPr>
        <w:pStyle w:val="fegure"/>
        <w:rPr>
          <w:sz w:val="8"/>
          <w:szCs w:val="24"/>
          <w:rtl/>
          <w:lang w:val="en-US"/>
        </w:rPr>
      </w:pPr>
      <w:bookmarkStart w:id="979" w:name="_Toc171803897"/>
      <w:r>
        <w:rPr>
          <w:rFonts w:hint="cs"/>
          <w:sz w:val="8"/>
          <w:szCs w:val="24"/>
          <w:rtl/>
          <w:lang w:val="en-US" w:bidi="ar-DZ"/>
        </w:rPr>
        <w:t xml:space="preserve">المصدر: </w:t>
      </w:r>
      <w:r>
        <w:rPr>
          <w:rFonts w:hint="cs"/>
          <w:sz w:val="8"/>
          <w:szCs w:val="24"/>
          <w:rtl/>
          <w:lang w:val="en-US"/>
        </w:rPr>
        <w:t>(الباحث، 2022)</w:t>
      </w:r>
      <w:bookmarkEnd w:id="979"/>
    </w:p>
    <w:tbl>
      <w:tblPr>
        <w:bidiVisual/>
        <w:tblW w:w="7482" w:type="dxa"/>
        <w:jc w:val="center"/>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6"/>
        <w:gridCol w:w="1257"/>
        <w:gridCol w:w="1285"/>
        <w:gridCol w:w="1316"/>
        <w:gridCol w:w="1137"/>
        <w:gridCol w:w="851"/>
        <w:gridCol w:w="850"/>
      </w:tblGrid>
      <w:tr w:rsidR="00111FD1" w:rsidRPr="00143C39" w:rsidTr="0040506F">
        <w:trPr>
          <w:trHeight w:val="64"/>
          <w:jc w:val="center"/>
        </w:trPr>
        <w:tc>
          <w:tcPr>
            <w:tcW w:w="786" w:type="dxa"/>
            <w:vMerge w:val="restart"/>
            <w:shd w:val="clear" w:color="auto" w:fill="auto"/>
            <w:vAlign w:val="center"/>
          </w:tcPr>
          <w:p w:rsidR="00111FD1" w:rsidRPr="00143C39" w:rsidRDefault="00111FD1" w:rsidP="004277F3">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فئة النسيج الحضري</w:t>
            </w:r>
          </w:p>
        </w:tc>
        <w:tc>
          <w:tcPr>
            <w:tcW w:w="1257" w:type="dxa"/>
            <w:vMerge w:val="restart"/>
            <w:shd w:val="clear" w:color="auto" w:fill="auto"/>
            <w:noWrap/>
            <w:vAlign w:val="center"/>
            <w:hideMark/>
          </w:tcPr>
          <w:p w:rsidR="00111FD1" w:rsidRPr="00143C39" w:rsidRDefault="00111FD1" w:rsidP="004277F3">
            <w:pPr>
              <w:bidi/>
              <w:spacing w:after="0" w:line="240" w:lineRule="auto"/>
              <w:jc w:val="center"/>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اسم الحي</w:t>
            </w:r>
          </w:p>
        </w:tc>
        <w:tc>
          <w:tcPr>
            <w:tcW w:w="5439" w:type="dxa"/>
            <w:gridSpan w:val="5"/>
            <w:shd w:val="clear" w:color="auto" w:fill="auto"/>
            <w:vAlign w:val="center"/>
          </w:tcPr>
          <w:p w:rsidR="00111FD1" w:rsidRDefault="00111FD1" w:rsidP="004277F3">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القياس والقيمة</w:t>
            </w:r>
          </w:p>
        </w:tc>
      </w:tr>
      <w:tr w:rsidR="00111FD1" w:rsidRPr="00143C39" w:rsidTr="00EE228D">
        <w:trPr>
          <w:trHeight w:val="324"/>
          <w:jc w:val="center"/>
        </w:trPr>
        <w:tc>
          <w:tcPr>
            <w:tcW w:w="786" w:type="dxa"/>
            <w:vMerge/>
            <w:shd w:val="clear" w:color="auto" w:fill="auto"/>
            <w:vAlign w:val="center"/>
          </w:tcPr>
          <w:p w:rsidR="00111FD1" w:rsidRDefault="00111FD1" w:rsidP="004277F3">
            <w:pPr>
              <w:bidi/>
              <w:spacing w:after="0" w:line="240" w:lineRule="auto"/>
              <w:jc w:val="center"/>
              <w:rPr>
                <w:rFonts w:ascii="Simplified Arabic" w:eastAsia="Times New Roman" w:hAnsi="Simplified Arabic" w:cs="Simplified Arabic"/>
                <w:color w:val="000000"/>
                <w:sz w:val="24"/>
                <w:szCs w:val="24"/>
                <w:rtl/>
                <w:lang w:eastAsia="fr-FR"/>
              </w:rPr>
            </w:pPr>
          </w:p>
        </w:tc>
        <w:tc>
          <w:tcPr>
            <w:tcW w:w="1257" w:type="dxa"/>
            <w:vMerge/>
            <w:shd w:val="clear" w:color="auto" w:fill="auto"/>
            <w:noWrap/>
            <w:vAlign w:val="center"/>
          </w:tcPr>
          <w:p w:rsidR="00111FD1" w:rsidRPr="00143C39" w:rsidRDefault="00111FD1" w:rsidP="004277F3">
            <w:pPr>
              <w:bidi/>
              <w:spacing w:after="0" w:line="240" w:lineRule="auto"/>
              <w:jc w:val="center"/>
              <w:rPr>
                <w:rFonts w:ascii="Simplified Arabic" w:eastAsia="Times New Roman" w:hAnsi="Simplified Arabic" w:cs="Simplified Arabic"/>
                <w:color w:val="000000"/>
                <w:sz w:val="24"/>
                <w:szCs w:val="24"/>
                <w:rtl/>
                <w:lang w:eastAsia="fr-FR"/>
              </w:rPr>
            </w:pPr>
          </w:p>
        </w:tc>
        <w:tc>
          <w:tcPr>
            <w:tcW w:w="2601" w:type="dxa"/>
            <w:gridSpan w:val="2"/>
            <w:shd w:val="clear" w:color="auto" w:fill="auto"/>
            <w:vAlign w:val="center"/>
          </w:tcPr>
          <w:p w:rsidR="00111FD1" w:rsidRPr="00601400" w:rsidRDefault="00111FD1" w:rsidP="004277F3">
            <w:pPr>
              <w:bidi/>
              <w:spacing w:after="0" w:line="240" w:lineRule="auto"/>
              <w:jc w:val="center"/>
              <w:rPr>
                <w:rFonts w:asciiTheme="majorBidi" w:eastAsia="Times New Roman" w:hAnsiTheme="majorBidi" w:cstheme="majorBidi"/>
                <w:color w:val="000000"/>
                <w:sz w:val="24"/>
                <w:szCs w:val="24"/>
                <w:rtl/>
                <w:lang w:eastAsia="fr-FR"/>
              </w:rPr>
            </w:pPr>
            <w:r>
              <w:rPr>
                <w:rFonts w:ascii="Simplified Arabic" w:eastAsia="Times New Roman" w:hAnsi="Simplified Arabic" w:cs="Simplified Arabic" w:hint="cs"/>
                <w:color w:val="000000"/>
                <w:sz w:val="24"/>
                <w:szCs w:val="24"/>
                <w:rtl/>
                <w:lang w:eastAsia="fr-FR"/>
              </w:rPr>
              <w:t>كثافة التقاطع</w:t>
            </w:r>
            <w:r w:rsidR="00EE228D">
              <w:rPr>
                <w:rFonts w:ascii="Simplified Arabic" w:eastAsia="Times New Roman" w:hAnsi="Simplified Arabic" w:cs="Simplified Arabic" w:hint="cs"/>
                <w:color w:val="000000"/>
                <w:sz w:val="24"/>
                <w:szCs w:val="24"/>
                <w:rtl/>
                <w:lang w:eastAsia="fr-FR"/>
              </w:rPr>
              <w:t xml:space="preserve"> (عقدة)</w:t>
            </w:r>
          </w:p>
        </w:tc>
        <w:tc>
          <w:tcPr>
            <w:tcW w:w="1137" w:type="dxa"/>
            <w:vMerge w:val="restart"/>
          </w:tcPr>
          <w:p w:rsidR="00111FD1" w:rsidRPr="00695538" w:rsidRDefault="00111FD1" w:rsidP="004277F3">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hAnsi="Simplified Arabic" w:cs="Simplified Arabic"/>
                <w:sz w:val="24"/>
                <w:szCs w:val="24"/>
                <w:rtl/>
                <w:lang w:val="en-US" w:bidi="ar-DZ"/>
              </w:rPr>
              <w:t>كثافة شبكة الشوارع (كم</w:t>
            </w:r>
            <w:r w:rsidRPr="004000F1">
              <w:rPr>
                <w:rFonts w:ascii="Simplified Arabic" w:hAnsi="Simplified Arabic" w:cs="Simplified Arabic"/>
                <w:sz w:val="24"/>
                <w:szCs w:val="24"/>
                <w:rtl/>
                <w:lang w:val="en-US" w:bidi="ar-DZ"/>
              </w:rPr>
              <w:t>/كم</w:t>
            </w:r>
            <w:r w:rsidRPr="00601400">
              <w:rPr>
                <w:rFonts w:ascii="Simplified Arabic" w:hAnsi="Simplified Arabic" w:cs="Simplified Arabic"/>
                <w:sz w:val="24"/>
                <w:szCs w:val="24"/>
                <w:vertAlign w:val="superscript"/>
                <w:rtl/>
                <w:lang w:val="en-US" w:bidi="ar-DZ"/>
              </w:rPr>
              <w:t>2</w:t>
            </w:r>
            <w:r w:rsidRPr="004000F1">
              <w:rPr>
                <w:rFonts w:ascii="Simplified Arabic" w:hAnsi="Simplified Arabic" w:cs="Simplified Arabic"/>
                <w:sz w:val="24"/>
                <w:szCs w:val="24"/>
                <w:rtl/>
                <w:lang w:val="en-US" w:bidi="ar-DZ"/>
              </w:rPr>
              <w:t>)</w:t>
            </w:r>
          </w:p>
        </w:tc>
        <w:tc>
          <w:tcPr>
            <w:tcW w:w="851" w:type="dxa"/>
            <w:vMerge w:val="restart"/>
          </w:tcPr>
          <w:p w:rsidR="00D02463" w:rsidRPr="004277F3" w:rsidRDefault="002D7A49" w:rsidP="004277F3">
            <w:pPr>
              <w:bidi/>
              <w:spacing w:after="0" w:line="240" w:lineRule="auto"/>
              <w:jc w:val="center"/>
              <w:rPr>
                <w:rFonts w:ascii="Simplified Arabic" w:hAnsi="Simplified Arabic" w:cs="Simplified Arabic"/>
                <w:sz w:val="24"/>
                <w:szCs w:val="24"/>
                <w:rtl/>
                <w:lang w:val="en-US" w:bidi="ar-DZ"/>
              </w:rPr>
            </w:pPr>
            <w:r w:rsidRPr="00A93E95">
              <w:rPr>
                <w:rFonts w:ascii="Simplified Arabic" w:hAnsi="Simplified Arabic" w:cs="Simplified Arabic" w:hint="cs"/>
                <w:sz w:val="24"/>
                <w:szCs w:val="24"/>
                <w:rtl/>
                <w:lang w:val="en-US" w:bidi="ar-DZ"/>
              </w:rPr>
              <w:t>نسبة</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العقد</w:t>
            </w:r>
            <w:r w:rsidRPr="00A93E95">
              <w:rPr>
                <w:rFonts w:ascii="Simplified Arabic" w:hAnsi="Simplified Arabic" w:cs="Simplified Arabic"/>
                <w:sz w:val="24"/>
                <w:szCs w:val="24"/>
                <w:rtl/>
                <w:lang w:val="en-US" w:bidi="ar-DZ"/>
              </w:rPr>
              <w:t xml:space="preserve"> </w:t>
            </w:r>
            <w:r w:rsidRPr="00A93E95">
              <w:rPr>
                <w:rFonts w:ascii="Simplified Arabic" w:hAnsi="Simplified Arabic" w:cs="Simplified Arabic" w:hint="cs"/>
                <w:sz w:val="24"/>
                <w:szCs w:val="24"/>
                <w:rtl/>
                <w:lang w:val="en-US" w:bidi="ar-DZ"/>
              </w:rPr>
              <w:t>الم</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ص</w:t>
            </w:r>
            <w:r>
              <w:rPr>
                <w:rFonts w:ascii="Simplified Arabic" w:hAnsi="Simplified Arabic" w:cs="Simplified Arabic" w:hint="cs"/>
                <w:sz w:val="24"/>
                <w:szCs w:val="24"/>
                <w:rtl/>
                <w:lang w:val="en-US" w:bidi="ar-DZ"/>
              </w:rPr>
              <w:t>و</w:t>
            </w:r>
            <w:r w:rsidRPr="00A93E95">
              <w:rPr>
                <w:rFonts w:ascii="Simplified Arabic" w:hAnsi="Simplified Arabic" w:cs="Simplified Arabic" w:hint="cs"/>
                <w:sz w:val="24"/>
                <w:szCs w:val="24"/>
                <w:rtl/>
                <w:lang w:val="en-US" w:bidi="ar-DZ"/>
              </w:rPr>
              <w:t>لة</w:t>
            </w:r>
          </w:p>
        </w:tc>
        <w:tc>
          <w:tcPr>
            <w:tcW w:w="850" w:type="dxa"/>
            <w:vMerge w:val="restart"/>
          </w:tcPr>
          <w:p w:rsidR="002D7A49" w:rsidRPr="004277F3" w:rsidRDefault="00111FD1" w:rsidP="004277F3">
            <w:pPr>
              <w:bidi/>
              <w:spacing w:after="0" w:line="240" w:lineRule="auto"/>
              <w:jc w:val="center"/>
              <w:rPr>
                <w:rFonts w:ascii="Simplified Arabic" w:hAnsi="Simplified Arabic" w:cs="Simplified Arabic"/>
                <w:sz w:val="24"/>
                <w:szCs w:val="24"/>
                <w:rtl/>
                <w:lang w:val="en-US" w:bidi="ar-DZ"/>
              </w:rPr>
            </w:pPr>
            <w:r w:rsidRPr="004000F1">
              <w:rPr>
                <w:rFonts w:ascii="Simplified Arabic" w:hAnsi="Simplified Arabic" w:cs="Simplified Arabic"/>
                <w:sz w:val="24"/>
                <w:szCs w:val="24"/>
                <w:rtl/>
                <w:lang w:val="en-US" w:bidi="ar-DZ"/>
              </w:rPr>
              <w:t xml:space="preserve">نسبة </w:t>
            </w:r>
            <w:r w:rsidR="00AA7E5E">
              <w:rPr>
                <w:rFonts w:ascii="Simplified Arabic" w:hAnsi="Simplified Arabic" w:cs="Simplified Arabic" w:hint="cs"/>
                <w:sz w:val="24"/>
                <w:szCs w:val="24"/>
                <w:rtl/>
                <w:lang w:val="en-US" w:bidi="ar-DZ"/>
              </w:rPr>
              <w:t>ربط</w:t>
            </w:r>
            <w:r w:rsidR="002D7A49">
              <w:rPr>
                <w:rFonts w:ascii="Simplified Arabic" w:hAnsi="Simplified Arabic" w:cs="Simplified Arabic" w:hint="cs"/>
                <w:sz w:val="24"/>
                <w:szCs w:val="24"/>
                <w:rtl/>
                <w:lang w:val="en-US" w:bidi="ar-DZ"/>
              </w:rPr>
              <w:t>-</w:t>
            </w:r>
            <w:r w:rsidR="002D7A49" w:rsidRPr="00A93E95">
              <w:rPr>
                <w:rFonts w:ascii="Simplified Arabic" w:hAnsi="Simplified Arabic" w:cs="Simplified Arabic" w:hint="cs"/>
                <w:sz w:val="24"/>
                <w:szCs w:val="24"/>
                <w:rtl/>
                <w:lang w:val="en-US" w:bidi="ar-DZ"/>
              </w:rPr>
              <w:t>العقد</w:t>
            </w:r>
          </w:p>
        </w:tc>
      </w:tr>
      <w:tr w:rsidR="00EE228D" w:rsidRPr="00143C39" w:rsidTr="0040506F">
        <w:trPr>
          <w:trHeight w:val="64"/>
          <w:jc w:val="center"/>
        </w:trPr>
        <w:tc>
          <w:tcPr>
            <w:tcW w:w="786" w:type="dxa"/>
            <w:vMerge/>
            <w:shd w:val="clear" w:color="auto" w:fill="auto"/>
            <w:vAlign w:val="center"/>
          </w:tcPr>
          <w:p w:rsidR="00111FD1" w:rsidRDefault="00111FD1" w:rsidP="004277F3">
            <w:pPr>
              <w:bidi/>
              <w:spacing w:after="0" w:line="240" w:lineRule="auto"/>
              <w:jc w:val="center"/>
              <w:rPr>
                <w:rFonts w:ascii="Simplified Arabic" w:eastAsia="Times New Roman" w:hAnsi="Simplified Arabic" w:cs="Simplified Arabic"/>
                <w:color w:val="000000"/>
                <w:sz w:val="24"/>
                <w:szCs w:val="24"/>
                <w:rtl/>
                <w:lang w:eastAsia="fr-FR"/>
              </w:rPr>
            </w:pPr>
          </w:p>
        </w:tc>
        <w:tc>
          <w:tcPr>
            <w:tcW w:w="1257" w:type="dxa"/>
            <w:vMerge/>
            <w:shd w:val="clear" w:color="auto" w:fill="auto"/>
            <w:noWrap/>
            <w:vAlign w:val="center"/>
          </w:tcPr>
          <w:p w:rsidR="00111FD1" w:rsidRPr="00143C39" w:rsidRDefault="00111FD1" w:rsidP="004277F3">
            <w:pPr>
              <w:bidi/>
              <w:spacing w:after="0" w:line="240" w:lineRule="auto"/>
              <w:jc w:val="center"/>
              <w:rPr>
                <w:rFonts w:ascii="Simplified Arabic" w:eastAsia="Times New Roman" w:hAnsi="Simplified Arabic" w:cs="Simplified Arabic"/>
                <w:color w:val="000000"/>
                <w:sz w:val="24"/>
                <w:szCs w:val="24"/>
                <w:rtl/>
                <w:lang w:eastAsia="fr-FR"/>
              </w:rPr>
            </w:pPr>
          </w:p>
        </w:tc>
        <w:tc>
          <w:tcPr>
            <w:tcW w:w="1285" w:type="dxa"/>
            <w:shd w:val="clear" w:color="auto" w:fill="auto"/>
            <w:vAlign w:val="center"/>
          </w:tcPr>
          <w:p w:rsidR="00111FD1" w:rsidRDefault="00111FD1" w:rsidP="004277F3">
            <w:pPr>
              <w:bidi/>
              <w:spacing w:after="0" w:line="240" w:lineRule="auto"/>
              <w:jc w:val="center"/>
              <w:rPr>
                <w:rFonts w:ascii="Simplified Arabic" w:eastAsia="Times New Roman" w:hAnsi="Simplified Arabic" w:cs="Simplified Arabic"/>
                <w:color w:val="000000"/>
                <w:sz w:val="24"/>
                <w:szCs w:val="24"/>
                <w:vertAlign w:val="superscript"/>
                <w:rtl/>
                <w:lang w:eastAsia="fr-FR"/>
              </w:rPr>
            </w:pPr>
            <w:r>
              <w:rPr>
                <w:rFonts w:ascii="Simplified Arabic" w:eastAsia="Times New Roman" w:hAnsi="Simplified Arabic" w:cs="Simplified Arabic" w:hint="cs"/>
                <w:color w:val="000000"/>
                <w:sz w:val="24"/>
                <w:szCs w:val="24"/>
                <w:rtl/>
                <w:lang w:eastAsia="fr-FR"/>
              </w:rPr>
              <w:t>تقاطع</w:t>
            </w:r>
            <w:r w:rsidRPr="00143C39">
              <w:rPr>
                <w:rFonts w:ascii="Simplified Arabic" w:eastAsia="Times New Roman" w:hAnsi="Simplified Arabic" w:cs="Simplified Arabic"/>
                <w:color w:val="000000"/>
                <w:sz w:val="24"/>
                <w:szCs w:val="24"/>
                <w:rtl/>
                <w:lang w:eastAsia="fr-FR"/>
              </w:rPr>
              <w:t>/</w:t>
            </w:r>
            <w:r>
              <w:rPr>
                <w:rFonts w:ascii="Simplified Arabic" w:eastAsia="Times New Roman" w:hAnsi="Simplified Arabic" w:cs="Simplified Arabic" w:hint="cs"/>
                <w:color w:val="000000"/>
                <w:sz w:val="24"/>
                <w:szCs w:val="24"/>
                <w:rtl/>
                <w:lang w:eastAsia="fr-FR"/>
              </w:rPr>
              <w:t>كم</w:t>
            </w:r>
            <w:r w:rsidRPr="00FB6008">
              <w:rPr>
                <w:rFonts w:ascii="Simplified Arabic" w:eastAsia="Times New Roman" w:hAnsi="Simplified Arabic" w:cs="Simplified Arabic" w:hint="cs"/>
                <w:color w:val="000000"/>
                <w:sz w:val="24"/>
                <w:szCs w:val="24"/>
                <w:vertAlign w:val="superscript"/>
                <w:rtl/>
                <w:lang w:eastAsia="fr-FR"/>
              </w:rPr>
              <w:t>2</w:t>
            </w:r>
          </w:p>
          <w:p w:rsidR="009D5A03" w:rsidRPr="00143C39" w:rsidRDefault="009D5A03" w:rsidP="009D5A03">
            <w:pPr>
              <w:bidi/>
              <w:spacing w:after="0" w:line="240" w:lineRule="auto"/>
              <w:jc w:val="center"/>
              <w:rPr>
                <w:rFonts w:ascii="Simplified Arabic" w:eastAsia="Times New Roman" w:hAnsi="Simplified Arabic" w:cs="Simplified Arabic"/>
                <w:color w:val="000000"/>
                <w:sz w:val="24"/>
                <w:szCs w:val="24"/>
                <w:lang w:eastAsia="fr-FR"/>
              </w:rPr>
            </w:pPr>
            <w:r>
              <w:rPr>
                <w:rFonts w:ascii="Simplified Arabic" w:hAnsi="Simplified Arabic" w:cs="Simplified Arabic" w:hint="cs"/>
                <w:sz w:val="24"/>
                <w:szCs w:val="24"/>
                <w:rtl/>
                <w:lang w:val="en-US" w:bidi="ar-DZ"/>
              </w:rPr>
              <w:t>مع</w:t>
            </w:r>
            <w:r w:rsidRPr="004000F1">
              <w:rPr>
                <w:rFonts w:ascii="Simplified Arabic" w:hAnsi="Simplified Arabic" w:cs="Simplified Arabic"/>
                <w:sz w:val="24"/>
                <w:szCs w:val="24"/>
                <w:rtl/>
                <w:lang w:val="en-US" w:bidi="ar-DZ"/>
              </w:rPr>
              <w:t xml:space="preserve"> </w:t>
            </w:r>
            <w:r w:rsidRPr="00601400">
              <w:rPr>
                <w:rFonts w:asciiTheme="majorBidi" w:hAnsiTheme="majorBidi" w:cstheme="majorBidi"/>
                <w:sz w:val="18"/>
                <w:szCs w:val="18"/>
                <w:lang w:bidi="ar-DZ"/>
              </w:rPr>
              <w:t>cul</w:t>
            </w:r>
            <w:r w:rsidRPr="00601400">
              <w:rPr>
                <w:rFonts w:asciiTheme="majorBidi" w:hAnsiTheme="majorBidi" w:cstheme="majorBidi"/>
                <w:sz w:val="18"/>
                <w:szCs w:val="18"/>
                <w:lang w:val="en-US" w:bidi="ar-DZ"/>
              </w:rPr>
              <w:t>-de-sac</w:t>
            </w:r>
          </w:p>
        </w:tc>
        <w:tc>
          <w:tcPr>
            <w:tcW w:w="1316" w:type="dxa"/>
          </w:tcPr>
          <w:p w:rsidR="00111FD1" w:rsidRPr="00601400" w:rsidRDefault="00111FD1" w:rsidP="009D5A03">
            <w:pPr>
              <w:bidi/>
              <w:spacing w:after="0" w:line="240" w:lineRule="auto"/>
              <w:jc w:val="center"/>
              <w:rPr>
                <w:rFonts w:asciiTheme="majorBidi" w:eastAsia="Times New Roman" w:hAnsiTheme="majorBidi" w:cstheme="majorBidi"/>
                <w:color w:val="000000"/>
                <w:sz w:val="24"/>
                <w:szCs w:val="24"/>
                <w:rtl/>
                <w:lang w:eastAsia="fr-FR"/>
              </w:rPr>
            </w:pPr>
            <w:r>
              <w:rPr>
                <w:rFonts w:ascii="Simplified Arabic" w:eastAsia="Times New Roman" w:hAnsi="Simplified Arabic" w:cs="Simplified Arabic" w:hint="cs"/>
                <w:color w:val="000000"/>
                <w:sz w:val="24"/>
                <w:szCs w:val="24"/>
                <w:rtl/>
                <w:lang w:eastAsia="fr-FR"/>
              </w:rPr>
              <w:t>تقاطع</w:t>
            </w:r>
            <w:r w:rsidRPr="00143C39">
              <w:rPr>
                <w:rFonts w:ascii="Simplified Arabic" w:eastAsia="Times New Roman" w:hAnsi="Simplified Arabic" w:cs="Simplified Arabic"/>
                <w:color w:val="000000"/>
                <w:sz w:val="24"/>
                <w:szCs w:val="24"/>
                <w:rtl/>
                <w:lang w:eastAsia="fr-FR"/>
              </w:rPr>
              <w:t>/</w:t>
            </w:r>
            <w:r>
              <w:rPr>
                <w:rFonts w:ascii="Simplified Arabic" w:eastAsia="Times New Roman" w:hAnsi="Simplified Arabic" w:cs="Simplified Arabic" w:hint="cs"/>
                <w:color w:val="000000"/>
                <w:sz w:val="24"/>
                <w:szCs w:val="24"/>
                <w:rtl/>
                <w:lang w:eastAsia="fr-FR"/>
              </w:rPr>
              <w:t>كم</w:t>
            </w:r>
            <w:r w:rsidRPr="00FB6008">
              <w:rPr>
                <w:rFonts w:ascii="Simplified Arabic" w:eastAsia="Times New Roman" w:hAnsi="Simplified Arabic" w:cs="Simplified Arabic" w:hint="cs"/>
                <w:color w:val="000000"/>
                <w:sz w:val="24"/>
                <w:szCs w:val="24"/>
                <w:vertAlign w:val="superscript"/>
                <w:rtl/>
                <w:lang w:eastAsia="fr-FR"/>
              </w:rPr>
              <w:t>2</w:t>
            </w:r>
            <w:r w:rsidRPr="004000F1">
              <w:rPr>
                <w:rFonts w:ascii="Simplified Arabic" w:hAnsi="Simplified Arabic" w:cs="Simplified Arabic"/>
                <w:sz w:val="24"/>
                <w:szCs w:val="24"/>
                <w:rtl/>
                <w:lang w:val="en-US" w:bidi="ar-DZ"/>
              </w:rPr>
              <w:t xml:space="preserve"> بدون </w:t>
            </w:r>
            <w:r w:rsidRPr="00601400">
              <w:rPr>
                <w:rFonts w:asciiTheme="majorBidi" w:hAnsiTheme="majorBidi" w:cstheme="majorBidi"/>
                <w:sz w:val="18"/>
                <w:szCs w:val="18"/>
                <w:lang w:bidi="ar-DZ"/>
              </w:rPr>
              <w:t>cul</w:t>
            </w:r>
            <w:r w:rsidRPr="00601400">
              <w:rPr>
                <w:rFonts w:asciiTheme="majorBidi" w:hAnsiTheme="majorBidi" w:cstheme="majorBidi"/>
                <w:sz w:val="18"/>
                <w:szCs w:val="18"/>
                <w:lang w:val="en-US" w:bidi="ar-DZ"/>
              </w:rPr>
              <w:t xml:space="preserve">-de-sac </w:t>
            </w:r>
          </w:p>
        </w:tc>
        <w:tc>
          <w:tcPr>
            <w:tcW w:w="1137" w:type="dxa"/>
            <w:vMerge/>
          </w:tcPr>
          <w:p w:rsidR="00111FD1" w:rsidRDefault="00111FD1" w:rsidP="004277F3">
            <w:pPr>
              <w:bidi/>
              <w:spacing w:after="0" w:line="240" w:lineRule="auto"/>
              <w:jc w:val="center"/>
              <w:rPr>
                <w:rFonts w:ascii="Simplified Arabic" w:hAnsi="Simplified Arabic" w:cs="Simplified Arabic"/>
                <w:sz w:val="24"/>
                <w:szCs w:val="24"/>
                <w:rtl/>
                <w:lang w:val="en-US" w:bidi="ar-DZ"/>
              </w:rPr>
            </w:pPr>
          </w:p>
        </w:tc>
        <w:tc>
          <w:tcPr>
            <w:tcW w:w="851" w:type="dxa"/>
            <w:vMerge/>
          </w:tcPr>
          <w:p w:rsidR="00111FD1" w:rsidRPr="004000F1" w:rsidRDefault="00111FD1" w:rsidP="004277F3">
            <w:pPr>
              <w:bidi/>
              <w:spacing w:after="0" w:line="240" w:lineRule="auto"/>
              <w:jc w:val="center"/>
              <w:rPr>
                <w:rFonts w:ascii="Simplified Arabic" w:hAnsi="Simplified Arabic" w:cs="Simplified Arabic"/>
                <w:sz w:val="24"/>
                <w:szCs w:val="24"/>
                <w:rtl/>
                <w:lang w:val="en-US" w:bidi="ar-DZ"/>
              </w:rPr>
            </w:pPr>
          </w:p>
        </w:tc>
        <w:tc>
          <w:tcPr>
            <w:tcW w:w="850" w:type="dxa"/>
            <w:vMerge/>
          </w:tcPr>
          <w:p w:rsidR="00111FD1" w:rsidRPr="004000F1" w:rsidRDefault="00111FD1" w:rsidP="004277F3">
            <w:pPr>
              <w:bidi/>
              <w:spacing w:after="0" w:line="240" w:lineRule="auto"/>
              <w:jc w:val="center"/>
              <w:rPr>
                <w:rFonts w:ascii="Simplified Arabic" w:hAnsi="Simplified Arabic" w:cs="Simplified Arabic"/>
                <w:sz w:val="24"/>
                <w:szCs w:val="24"/>
                <w:rtl/>
                <w:lang w:val="en-US" w:bidi="ar-DZ"/>
              </w:rPr>
            </w:pPr>
          </w:p>
        </w:tc>
      </w:tr>
      <w:tr w:rsidR="00995440" w:rsidRPr="00143C39" w:rsidTr="009D5A03">
        <w:trPr>
          <w:trHeight w:val="60"/>
          <w:jc w:val="center"/>
        </w:trPr>
        <w:tc>
          <w:tcPr>
            <w:tcW w:w="786" w:type="dxa"/>
            <w:shd w:val="clear" w:color="auto" w:fill="auto"/>
            <w:vAlign w:val="center"/>
          </w:tcPr>
          <w:p w:rsidR="00995440" w:rsidRPr="00143C39" w:rsidRDefault="00995440" w:rsidP="004277F3">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أ</w:t>
            </w:r>
          </w:p>
        </w:tc>
        <w:tc>
          <w:tcPr>
            <w:tcW w:w="1257" w:type="dxa"/>
            <w:shd w:val="clear" w:color="auto" w:fill="auto"/>
            <w:vAlign w:val="center"/>
            <w:hideMark/>
          </w:tcPr>
          <w:p w:rsidR="00995440" w:rsidRPr="00143C39" w:rsidRDefault="00995440" w:rsidP="004277F3">
            <w:pPr>
              <w:bidi/>
              <w:spacing w:after="0" w:line="240" w:lineRule="auto"/>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المدينة القديمة</w:t>
            </w:r>
          </w:p>
        </w:tc>
        <w:tc>
          <w:tcPr>
            <w:tcW w:w="1285" w:type="dxa"/>
            <w:shd w:val="clear" w:color="auto" w:fill="auto"/>
            <w:noWrap/>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89</w:t>
            </w:r>
          </w:p>
        </w:tc>
        <w:tc>
          <w:tcPr>
            <w:tcW w:w="1316"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74</w:t>
            </w:r>
          </w:p>
        </w:tc>
        <w:tc>
          <w:tcPr>
            <w:tcW w:w="1137"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27,35</w:t>
            </w:r>
          </w:p>
        </w:tc>
        <w:tc>
          <w:tcPr>
            <w:tcW w:w="851"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0,83</w:t>
            </w:r>
          </w:p>
        </w:tc>
        <w:tc>
          <w:tcPr>
            <w:tcW w:w="850"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1,31</w:t>
            </w:r>
          </w:p>
        </w:tc>
      </w:tr>
      <w:tr w:rsidR="00995440" w:rsidRPr="00143C39" w:rsidTr="00AA0720">
        <w:trPr>
          <w:trHeight w:val="64"/>
          <w:jc w:val="center"/>
        </w:trPr>
        <w:tc>
          <w:tcPr>
            <w:tcW w:w="786" w:type="dxa"/>
            <w:shd w:val="clear" w:color="auto" w:fill="auto"/>
            <w:vAlign w:val="center"/>
          </w:tcPr>
          <w:p w:rsidR="00995440" w:rsidRPr="00143C39" w:rsidRDefault="00995440" w:rsidP="004277F3">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ب</w:t>
            </w:r>
          </w:p>
        </w:tc>
        <w:tc>
          <w:tcPr>
            <w:tcW w:w="1257" w:type="dxa"/>
            <w:shd w:val="clear" w:color="auto" w:fill="auto"/>
            <w:noWrap/>
            <w:vAlign w:val="center"/>
            <w:hideMark/>
          </w:tcPr>
          <w:p w:rsidR="00995440" w:rsidRPr="00143C39" w:rsidRDefault="00995440" w:rsidP="004277F3">
            <w:pPr>
              <w:bidi/>
              <w:spacing w:after="0" w:line="240" w:lineRule="auto"/>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بلاتو</w:t>
            </w:r>
          </w:p>
        </w:tc>
        <w:tc>
          <w:tcPr>
            <w:tcW w:w="1285" w:type="dxa"/>
            <w:shd w:val="clear" w:color="auto" w:fill="auto"/>
            <w:noWrap/>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144</w:t>
            </w:r>
          </w:p>
        </w:tc>
        <w:tc>
          <w:tcPr>
            <w:tcW w:w="1316"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144</w:t>
            </w:r>
          </w:p>
        </w:tc>
        <w:tc>
          <w:tcPr>
            <w:tcW w:w="1137"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28,20</w:t>
            </w:r>
          </w:p>
        </w:tc>
        <w:tc>
          <w:tcPr>
            <w:tcW w:w="851"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w:t>
            </w:r>
          </w:p>
        </w:tc>
        <w:tc>
          <w:tcPr>
            <w:tcW w:w="850"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1,44</w:t>
            </w:r>
          </w:p>
        </w:tc>
      </w:tr>
      <w:tr w:rsidR="00995440" w:rsidRPr="00143C39" w:rsidTr="009D5A03">
        <w:trPr>
          <w:trHeight w:val="175"/>
          <w:jc w:val="center"/>
        </w:trPr>
        <w:tc>
          <w:tcPr>
            <w:tcW w:w="786" w:type="dxa"/>
            <w:shd w:val="clear" w:color="auto" w:fill="auto"/>
            <w:vAlign w:val="center"/>
          </w:tcPr>
          <w:p w:rsidR="00995440" w:rsidRPr="00143C39" w:rsidRDefault="00995440" w:rsidP="004277F3">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جـ</w:t>
            </w:r>
          </w:p>
        </w:tc>
        <w:tc>
          <w:tcPr>
            <w:tcW w:w="1257" w:type="dxa"/>
            <w:shd w:val="clear" w:color="auto" w:fill="auto"/>
            <w:vAlign w:val="center"/>
          </w:tcPr>
          <w:p w:rsidR="00995440" w:rsidRPr="00143C39" w:rsidRDefault="00995440" w:rsidP="004277F3">
            <w:pPr>
              <w:bidi/>
              <w:spacing w:after="0" w:line="240" w:lineRule="auto"/>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سيدي سليمان</w:t>
            </w:r>
          </w:p>
        </w:tc>
        <w:tc>
          <w:tcPr>
            <w:tcW w:w="1285" w:type="dxa"/>
            <w:shd w:val="clear" w:color="auto" w:fill="auto"/>
            <w:noWrap/>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375</w:t>
            </w:r>
          </w:p>
        </w:tc>
        <w:tc>
          <w:tcPr>
            <w:tcW w:w="1316"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360</w:t>
            </w:r>
          </w:p>
        </w:tc>
        <w:tc>
          <w:tcPr>
            <w:tcW w:w="1137"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36,48</w:t>
            </w:r>
          </w:p>
        </w:tc>
        <w:tc>
          <w:tcPr>
            <w:tcW w:w="851"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0,96</w:t>
            </w:r>
          </w:p>
        </w:tc>
        <w:tc>
          <w:tcPr>
            <w:tcW w:w="850"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1,35</w:t>
            </w:r>
          </w:p>
        </w:tc>
      </w:tr>
      <w:tr w:rsidR="00995440" w:rsidRPr="00143C39" w:rsidTr="0040506F">
        <w:trPr>
          <w:trHeight w:val="64"/>
          <w:jc w:val="center"/>
        </w:trPr>
        <w:tc>
          <w:tcPr>
            <w:tcW w:w="786" w:type="dxa"/>
            <w:shd w:val="clear" w:color="auto" w:fill="auto"/>
            <w:vAlign w:val="center"/>
          </w:tcPr>
          <w:p w:rsidR="00995440" w:rsidRPr="00143C39" w:rsidRDefault="00995440" w:rsidP="004277F3">
            <w:pPr>
              <w:bidi/>
              <w:spacing w:after="0" w:line="240" w:lineRule="auto"/>
              <w:jc w:val="center"/>
              <w:rPr>
                <w:rFonts w:ascii="Simplified Arabic" w:eastAsia="Times New Roman" w:hAnsi="Simplified Arabic" w:cs="Simplified Arabic"/>
                <w:color w:val="000000"/>
                <w:sz w:val="24"/>
                <w:szCs w:val="24"/>
                <w:rtl/>
                <w:lang w:eastAsia="fr-FR"/>
              </w:rPr>
            </w:pPr>
            <w:r>
              <w:rPr>
                <w:rFonts w:ascii="Simplified Arabic" w:eastAsia="Times New Roman" w:hAnsi="Simplified Arabic" w:cs="Simplified Arabic" w:hint="cs"/>
                <w:color w:val="000000"/>
                <w:sz w:val="24"/>
                <w:szCs w:val="24"/>
                <w:rtl/>
                <w:lang w:eastAsia="fr-FR"/>
              </w:rPr>
              <w:t>الفئة</w:t>
            </w:r>
            <w:r w:rsidRPr="00143C39">
              <w:rPr>
                <w:rFonts w:ascii="Simplified Arabic" w:eastAsia="Times New Roman" w:hAnsi="Simplified Arabic" w:cs="Simplified Arabic"/>
                <w:color w:val="000000"/>
                <w:sz w:val="24"/>
                <w:szCs w:val="24"/>
                <w:rtl/>
                <w:lang w:eastAsia="fr-FR"/>
              </w:rPr>
              <w:t xml:space="preserve"> د</w:t>
            </w:r>
          </w:p>
        </w:tc>
        <w:tc>
          <w:tcPr>
            <w:tcW w:w="1257" w:type="dxa"/>
            <w:shd w:val="clear" w:color="auto" w:fill="auto"/>
            <w:noWrap/>
            <w:vAlign w:val="center"/>
          </w:tcPr>
          <w:p w:rsidR="00995440" w:rsidRPr="00143C39" w:rsidRDefault="00995440" w:rsidP="004277F3">
            <w:pPr>
              <w:bidi/>
              <w:spacing w:after="0" w:line="240" w:lineRule="auto"/>
              <w:rPr>
                <w:rFonts w:ascii="Simplified Arabic" w:eastAsia="Times New Roman" w:hAnsi="Simplified Arabic" w:cs="Simplified Arabic"/>
                <w:color w:val="000000"/>
                <w:sz w:val="24"/>
                <w:szCs w:val="24"/>
                <w:lang w:eastAsia="fr-FR"/>
              </w:rPr>
            </w:pPr>
            <w:r w:rsidRPr="00143C39">
              <w:rPr>
                <w:rFonts w:ascii="Simplified Arabic" w:eastAsia="Times New Roman" w:hAnsi="Simplified Arabic" w:cs="Simplified Arabic"/>
                <w:color w:val="000000"/>
                <w:sz w:val="24"/>
                <w:szCs w:val="24"/>
                <w:rtl/>
                <w:lang w:eastAsia="fr-FR"/>
              </w:rPr>
              <w:t>الحمايد</w:t>
            </w:r>
          </w:p>
        </w:tc>
        <w:tc>
          <w:tcPr>
            <w:tcW w:w="1285" w:type="dxa"/>
            <w:shd w:val="clear" w:color="auto" w:fill="auto"/>
            <w:noWrap/>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283</w:t>
            </w:r>
          </w:p>
        </w:tc>
        <w:tc>
          <w:tcPr>
            <w:tcW w:w="1316"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283</w:t>
            </w:r>
          </w:p>
        </w:tc>
        <w:tc>
          <w:tcPr>
            <w:tcW w:w="1137"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33,98</w:t>
            </w:r>
          </w:p>
        </w:tc>
        <w:tc>
          <w:tcPr>
            <w:tcW w:w="851"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w:t>
            </w:r>
          </w:p>
        </w:tc>
        <w:tc>
          <w:tcPr>
            <w:tcW w:w="850" w:type="dxa"/>
            <w:vAlign w:val="center"/>
          </w:tcPr>
          <w:p w:rsidR="00995440" w:rsidRPr="00995440" w:rsidRDefault="00995440" w:rsidP="00995440">
            <w:pPr>
              <w:bidi/>
              <w:spacing w:after="0" w:line="240" w:lineRule="auto"/>
              <w:jc w:val="center"/>
              <w:rPr>
                <w:rFonts w:ascii="Simplified Arabic" w:eastAsia="Times New Roman" w:hAnsi="Simplified Arabic" w:cs="Simplified Arabic"/>
                <w:color w:val="000000"/>
                <w:sz w:val="24"/>
                <w:szCs w:val="24"/>
                <w:lang w:eastAsia="fr-FR"/>
              </w:rPr>
            </w:pPr>
            <w:r w:rsidRPr="00995440">
              <w:rPr>
                <w:rFonts w:ascii="Simplified Arabic" w:eastAsia="Times New Roman" w:hAnsi="Simplified Arabic" w:cs="Simplified Arabic"/>
                <w:color w:val="000000"/>
                <w:sz w:val="24"/>
                <w:szCs w:val="24"/>
                <w:rtl/>
                <w:lang w:eastAsia="fr-FR"/>
              </w:rPr>
              <w:t>1,52</w:t>
            </w:r>
          </w:p>
        </w:tc>
      </w:tr>
    </w:tbl>
    <w:p w:rsidR="00F377EC" w:rsidRDefault="00A126CC" w:rsidP="00AA7E5E">
      <w:pPr>
        <w:autoSpaceDE w:val="0"/>
        <w:autoSpaceDN w:val="0"/>
        <w:bidi/>
        <w:adjustRightInd w:val="0"/>
        <w:spacing w:before="240" w:after="0"/>
        <w:jc w:val="both"/>
        <w:rPr>
          <w:rFonts w:ascii="Simplified Arabic" w:hAnsi="Simplified Arabic" w:cs="Simplified Arabic"/>
          <w:sz w:val="24"/>
          <w:szCs w:val="24"/>
          <w:rtl/>
          <w:lang w:val="en-US" w:bidi="ar-DZ"/>
        </w:rPr>
      </w:pPr>
      <w:r w:rsidRPr="00A126CC">
        <w:rPr>
          <w:rFonts w:ascii="Simplified Arabic" w:hAnsi="Simplified Arabic" w:cs="Simplified Arabic"/>
          <w:sz w:val="32"/>
          <w:szCs w:val="32"/>
          <w:lang w:bidi="ar-DZ"/>
        </w:rPr>
        <w:t xml:space="preserve">  </w:t>
      </w:r>
      <w:r w:rsidRPr="00A126CC">
        <w:rPr>
          <w:rFonts w:ascii="Simplified Arabic" w:hAnsi="Simplified Arabic" w:cs="Simplified Arabic" w:hint="cs"/>
          <w:sz w:val="24"/>
          <w:szCs w:val="24"/>
          <w:rtl/>
          <w:lang w:val="en-US" w:bidi="ar-DZ"/>
        </w:rPr>
        <w:t>تسلط</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مقاييس</w:t>
      </w:r>
      <w:r w:rsidRPr="00A126CC">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تكرار</w:t>
      </w:r>
      <w:r w:rsidRPr="00A126CC">
        <w:rPr>
          <w:rFonts w:ascii="Simplified Arabic" w:hAnsi="Simplified Arabic" w:cs="Simplified Arabic"/>
          <w:sz w:val="24"/>
          <w:szCs w:val="24"/>
          <w:rtl/>
          <w:lang w:val="en-US" w:bidi="ar-DZ"/>
        </w:rPr>
        <w:t xml:space="preserve"> </w:t>
      </w:r>
      <w:r w:rsidR="003561B8" w:rsidRPr="00A126CC">
        <w:rPr>
          <w:rFonts w:ascii="Simplified Arabic" w:hAnsi="Simplified Arabic" w:cs="Simplified Arabic" w:hint="cs"/>
          <w:sz w:val="24"/>
          <w:szCs w:val="24"/>
          <w:rtl/>
          <w:lang w:val="en-US" w:bidi="ar-DZ"/>
        </w:rPr>
        <w:t>تقاطعات</w:t>
      </w:r>
      <w:r w:rsidR="003561B8"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شبكة</w:t>
      </w:r>
      <w:r w:rsidRPr="00A126CC">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الطرق</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الضوء</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على</w:t>
      </w:r>
      <w:r w:rsidRPr="00A126CC">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وجود </w:t>
      </w:r>
      <w:r w:rsidRPr="00A126CC">
        <w:rPr>
          <w:rFonts w:ascii="Simplified Arabic" w:hAnsi="Simplified Arabic" w:cs="Simplified Arabic" w:hint="cs"/>
          <w:sz w:val="24"/>
          <w:szCs w:val="24"/>
          <w:rtl/>
          <w:lang w:val="en-US" w:bidi="ar-DZ"/>
        </w:rPr>
        <w:t>تباين</w:t>
      </w:r>
      <w:r>
        <w:rPr>
          <w:rFonts w:ascii="Simplified Arabic" w:hAnsi="Simplified Arabic" w:cs="Simplified Arabic" w:hint="cs"/>
          <w:sz w:val="24"/>
          <w:szCs w:val="24"/>
          <w:rtl/>
          <w:lang w:val="en-US" w:bidi="ar-DZ"/>
        </w:rPr>
        <w:t>ات</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بين</w:t>
      </w:r>
      <w:r w:rsidRPr="00A126CC">
        <w:rPr>
          <w:rFonts w:ascii="Simplified Arabic" w:hAnsi="Simplified Arabic" w:cs="Simplified Arabic"/>
          <w:sz w:val="24"/>
          <w:szCs w:val="24"/>
          <w:rtl/>
          <w:lang w:val="en-US" w:bidi="ar-DZ"/>
        </w:rPr>
        <w:t xml:space="preserve"> </w:t>
      </w:r>
      <w:r w:rsidR="00A3776B">
        <w:rPr>
          <w:rFonts w:ascii="Simplified Arabic" w:hAnsi="Simplified Arabic" w:cs="Simplified Arabic" w:hint="cs"/>
          <w:sz w:val="24"/>
          <w:szCs w:val="24"/>
          <w:rtl/>
          <w:lang w:val="en-US" w:bidi="ar-DZ"/>
        </w:rPr>
        <w:t xml:space="preserve">احياء </w:t>
      </w:r>
      <w:r>
        <w:rPr>
          <w:rFonts w:ascii="Simplified Arabic" w:hAnsi="Simplified Arabic" w:cs="Simplified Arabic" w:hint="cs"/>
          <w:sz w:val="24"/>
          <w:szCs w:val="24"/>
          <w:rtl/>
          <w:lang w:val="en-US" w:bidi="ar-DZ"/>
        </w:rPr>
        <w:t>فئات الانسجة الحضرية الاربعة</w:t>
      </w:r>
      <w:r w:rsidRPr="00A126CC">
        <w:rPr>
          <w:rFonts w:ascii="Simplified Arabic" w:hAnsi="Simplified Arabic" w:cs="Simplified Arabic" w:hint="cs"/>
          <w:sz w:val="24"/>
          <w:szCs w:val="24"/>
          <w:rtl/>
          <w:lang w:val="en-US" w:bidi="ar-DZ"/>
        </w:rPr>
        <w:t>،</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بما</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يتماشى</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مع</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النتائج</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التي</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توصل</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إليها</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العديد</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من</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المؤلفين</w:t>
      </w:r>
      <w:r w:rsidRPr="00A126CC">
        <w:rPr>
          <w:rFonts w:ascii="Simplified Arabic" w:hAnsi="Simplified Arabic" w:cs="Simplified Arabic"/>
          <w:sz w:val="24"/>
          <w:szCs w:val="24"/>
          <w:rtl/>
          <w:lang w:val="en-US" w:bidi="ar-DZ"/>
        </w:rPr>
        <w:t xml:space="preserve"> (</w:t>
      </w:r>
      <w:r w:rsidRPr="00A126CC">
        <w:rPr>
          <w:rFonts w:asciiTheme="majorBidi" w:hAnsiTheme="majorBidi" w:cstheme="majorBidi"/>
          <w:sz w:val="24"/>
          <w:szCs w:val="24"/>
          <w:lang w:val="en-US" w:bidi="ar-DZ"/>
        </w:rPr>
        <w:t xml:space="preserve">Feliciotti, 2018 </w:t>
      </w:r>
      <w:r w:rsidRPr="00A126CC">
        <w:rPr>
          <w:rFonts w:asciiTheme="majorBidi" w:hAnsiTheme="majorBidi" w:cstheme="majorBidi"/>
          <w:sz w:val="24"/>
          <w:szCs w:val="24"/>
          <w:rtl/>
          <w:lang w:val="en-US" w:bidi="ar-DZ"/>
        </w:rPr>
        <w:t xml:space="preserve">، </w:t>
      </w:r>
      <w:r w:rsidRPr="00A126CC">
        <w:rPr>
          <w:rFonts w:asciiTheme="majorBidi" w:hAnsiTheme="majorBidi" w:cstheme="majorBidi"/>
          <w:sz w:val="24"/>
          <w:szCs w:val="24"/>
          <w:lang w:val="en-US" w:bidi="ar-DZ"/>
        </w:rPr>
        <w:t>Boeing</w:t>
      </w:r>
      <w:r w:rsidRPr="00A126CC">
        <w:rPr>
          <w:rFonts w:asciiTheme="majorBidi" w:hAnsiTheme="majorBidi" w:cstheme="majorBidi"/>
          <w:sz w:val="24"/>
          <w:szCs w:val="24"/>
          <w:lang w:bidi="ar-DZ"/>
        </w:rPr>
        <w:t>,</w:t>
      </w:r>
      <w:r w:rsidRPr="00A126CC">
        <w:rPr>
          <w:rFonts w:asciiTheme="majorBidi" w:hAnsiTheme="majorBidi" w:cstheme="majorBidi"/>
          <w:sz w:val="24"/>
          <w:szCs w:val="24"/>
          <w:lang w:val="en-US" w:bidi="ar-DZ"/>
        </w:rPr>
        <w:t xml:space="preserve"> 2017</w:t>
      </w:r>
      <w:r w:rsidRPr="00A126CC">
        <w:rPr>
          <w:rFonts w:asciiTheme="majorBidi" w:hAnsiTheme="majorBidi" w:cstheme="majorBidi"/>
          <w:sz w:val="24"/>
          <w:szCs w:val="24"/>
          <w:rtl/>
          <w:lang w:val="en-US" w:bidi="ar-DZ"/>
        </w:rPr>
        <w:t>)</w:t>
      </w:r>
      <w:r w:rsidR="006823D6">
        <w:rPr>
          <w:rFonts w:ascii="Simplified Arabic" w:hAnsi="Simplified Arabic" w:cs="Simplified Arabic" w:hint="cs"/>
          <w:sz w:val="24"/>
          <w:szCs w:val="24"/>
          <w:rtl/>
          <w:lang w:val="en-US" w:bidi="ar-DZ"/>
        </w:rPr>
        <w:t xml:space="preserve"> </w:t>
      </w:r>
      <w:r w:rsidRPr="00A126CC">
        <w:rPr>
          <w:rFonts w:ascii="Simplified Arabic" w:hAnsi="Simplified Arabic" w:cs="Simplified Arabic" w:hint="cs"/>
          <w:sz w:val="24"/>
          <w:szCs w:val="24"/>
          <w:rtl/>
          <w:lang w:val="en-US" w:bidi="ar-DZ"/>
        </w:rPr>
        <w:t>والتي</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تحدد</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العديد</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من</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الأمثلة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على</w:t>
      </w:r>
      <w:r w:rsidRPr="00A126CC">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الانسجة الحضرية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الحديثة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مع</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عدد</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قليل</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وتقاطعات</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متباعدة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يتم</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تأكيد</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ذلك</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من</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خلال</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نسبة</w:t>
      </w:r>
      <w:r w:rsidRPr="00A126CC">
        <w:rPr>
          <w:rFonts w:ascii="Simplified Arabic" w:hAnsi="Simplified Arabic" w:cs="Simplified Arabic"/>
          <w:sz w:val="24"/>
          <w:szCs w:val="24"/>
          <w:rtl/>
          <w:lang w:val="en-US" w:bidi="ar-DZ"/>
        </w:rPr>
        <w:t xml:space="preserve"> </w:t>
      </w:r>
      <w:r w:rsidR="00D421B2">
        <w:rPr>
          <w:rFonts w:ascii="Simplified Arabic" w:hAnsi="Simplified Arabic" w:cs="Simplified Arabic" w:hint="cs"/>
          <w:sz w:val="24"/>
          <w:szCs w:val="24"/>
          <w:rtl/>
          <w:lang w:val="en-US" w:bidi="ar-DZ"/>
        </w:rPr>
        <w:t>ال</w:t>
      </w:r>
      <w:r w:rsidRPr="00A126CC">
        <w:rPr>
          <w:rFonts w:ascii="Simplified Arabic" w:hAnsi="Simplified Arabic" w:cs="Simplified Arabic" w:hint="cs"/>
          <w:sz w:val="24"/>
          <w:szCs w:val="24"/>
          <w:rtl/>
          <w:lang w:val="en-US" w:bidi="ar-DZ"/>
        </w:rPr>
        <w:t>عقد</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w:t>
      </w:r>
      <w:r w:rsidR="00D421B2">
        <w:rPr>
          <w:rFonts w:ascii="Simplified Arabic" w:hAnsi="Simplified Arabic" w:cs="Simplified Arabic" w:hint="cs"/>
          <w:sz w:val="24"/>
          <w:szCs w:val="24"/>
          <w:rtl/>
          <w:lang w:val="en-US" w:bidi="ar-DZ"/>
        </w:rPr>
        <w:t>موصولة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ونسبة</w:t>
      </w:r>
      <w:r w:rsidRPr="00A126CC">
        <w:rPr>
          <w:rFonts w:ascii="Simplified Arabic" w:hAnsi="Simplified Arabic" w:cs="Simplified Arabic"/>
          <w:sz w:val="24"/>
          <w:szCs w:val="24"/>
          <w:rtl/>
          <w:lang w:val="en-US" w:bidi="ar-DZ"/>
        </w:rPr>
        <w:t xml:space="preserve"> </w:t>
      </w:r>
      <w:r w:rsidR="00AA7E5E">
        <w:rPr>
          <w:rFonts w:ascii="Simplified Arabic" w:hAnsi="Simplified Arabic" w:cs="Simplified Arabic" w:hint="cs"/>
          <w:sz w:val="24"/>
          <w:szCs w:val="24"/>
          <w:rtl/>
          <w:lang w:val="en-US" w:bidi="ar-DZ"/>
        </w:rPr>
        <w:t>ربط</w:t>
      </w:r>
      <w:r w:rsidR="00D421B2">
        <w:rPr>
          <w:rFonts w:ascii="Simplified Arabic" w:hAnsi="Simplified Arabic" w:cs="Simplified Arabic" w:hint="cs"/>
          <w:sz w:val="24"/>
          <w:szCs w:val="24"/>
          <w:rtl/>
          <w:lang w:val="en-US" w:bidi="ar-DZ"/>
        </w:rPr>
        <w:t>-</w:t>
      </w:r>
      <w:r w:rsidRPr="00A126CC">
        <w:rPr>
          <w:rFonts w:ascii="Simplified Arabic" w:hAnsi="Simplified Arabic" w:cs="Simplified Arabic" w:hint="cs"/>
          <w:sz w:val="24"/>
          <w:szCs w:val="24"/>
          <w:rtl/>
          <w:lang w:val="en-US" w:bidi="ar-DZ"/>
        </w:rPr>
        <w:t>العقد،</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مع</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تسجيل</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قيم</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أعلى</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في</w:t>
      </w:r>
      <w:r w:rsidRPr="00A126CC">
        <w:rPr>
          <w:rFonts w:ascii="Simplified Arabic" w:hAnsi="Simplified Arabic" w:cs="Simplified Arabic"/>
          <w:sz w:val="24"/>
          <w:szCs w:val="24"/>
          <w:rtl/>
          <w:lang w:val="en-US" w:bidi="ar-DZ"/>
        </w:rPr>
        <w:t xml:space="preserve"> </w:t>
      </w:r>
      <w:r w:rsidR="00A3776B">
        <w:rPr>
          <w:rFonts w:ascii="Simplified Arabic" w:hAnsi="Simplified Arabic" w:cs="Simplified Arabic" w:hint="cs"/>
          <w:sz w:val="24"/>
          <w:szCs w:val="24"/>
          <w:rtl/>
          <w:lang w:val="en-US" w:bidi="ar-DZ"/>
        </w:rPr>
        <w:t>ال</w:t>
      </w:r>
      <w:r w:rsidR="00D421B2">
        <w:rPr>
          <w:rFonts w:ascii="Simplified Arabic" w:hAnsi="Simplified Arabic" w:cs="Simplified Arabic" w:hint="cs"/>
          <w:sz w:val="24"/>
          <w:szCs w:val="24"/>
          <w:rtl/>
          <w:lang w:val="en-US" w:bidi="ar-DZ"/>
        </w:rPr>
        <w:t>حي</w:t>
      </w:r>
      <w:r w:rsidR="00A3776B">
        <w:rPr>
          <w:rFonts w:ascii="Simplified Arabic" w:hAnsi="Simplified Arabic" w:cs="Simplified Arabic" w:hint="cs"/>
          <w:sz w:val="24"/>
          <w:szCs w:val="24"/>
          <w:rtl/>
          <w:lang w:val="en-US" w:bidi="ar-DZ"/>
        </w:rPr>
        <w:t xml:space="preserve"> السكني</w:t>
      </w:r>
      <w:r w:rsidR="00D421B2">
        <w:rPr>
          <w:rFonts w:ascii="Simplified Arabic" w:hAnsi="Simplified Arabic" w:cs="Simplified Arabic" w:hint="cs"/>
          <w:sz w:val="24"/>
          <w:szCs w:val="24"/>
          <w:rtl/>
          <w:lang w:val="en-US" w:bidi="ar-DZ"/>
        </w:rPr>
        <w:t xml:space="preserve"> الحمايد وبلاتو</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وقيم</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أقل</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في</w:t>
      </w:r>
      <w:r w:rsidRPr="00A126CC">
        <w:rPr>
          <w:rFonts w:ascii="Simplified Arabic" w:hAnsi="Simplified Arabic" w:cs="Simplified Arabic"/>
          <w:sz w:val="24"/>
          <w:szCs w:val="24"/>
          <w:rtl/>
          <w:lang w:val="en-US" w:bidi="ar-DZ"/>
        </w:rPr>
        <w:t xml:space="preserve"> </w:t>
      </w:r>
      <w:r w:rsidR="00A3776B">
        <w:rPr>
          <w:rFonts w:ascii="Simplified Arabic" w:hAnsi="Simplified Arabic" w:cs="Simplified Arabic" w:hint="cs"/>
          <w:sz w:val="24"/>
          <w:szCs w:val="24"/>
          <w:rtl/>
          <w:lang w:val="en-US" w:bidi="ar-DZ"/>
        </w:rPr>
        <w:t>ال</w:t>
      </w:r>
      <w:r w:rsidR="00D421B2">
        <w:rPr>
          <w:rFonts w:ascii="Simplified Arabic" w:hAnsi="Simplified Arabic" w:cs="Simplified Arabic" w:hint="cs"/>
          <w:sz w:val="24"/>
          <w:szCs w:val="24"/>
          <w:rtl/>
          <w:lang w:val="en-US" w:bidi="ar-DZ"/>
        </w:rPr>
        <w:t>حي</w:t>
      </w:r>
      <w:r w:rsidR="00A3776B">
        <w:rPr>
          <w:rFonts w:ascii="Simplified Arabic" w:hAnsi="Simplified Arabic" w:cs="Simplified Arabic" w:hint="cs"/>
          <w:sz w:val="24"/>
          <w:szCs w:val="24"/>
          <w:rtl/>
          <w:lang w:val="en-US" w:bidi="ar-DZ"/>
        </w:rPr>
        <w:t xml:space="preserve"> السكني</w:t>
      </w:r>
      <w:r w:rsidR="00D421B2">
        <w:rPr>
          <w:rFonts w:ascii="Simplified Arabic" w:hAnsi="Simplified Arabic" w:cs="Simplified Arabic" w:hint="cs"/>
          <w:sz w:val="24"/>
          <w:szCs w:val="24"/>
          <w:rtl/>
          <w:lang w:val="en-US" w:bidi="ar-DZ"/>
        </w:rPr>
        <w:t xml:space="preserve"> القصر وسيدي سليمان</w:t>
      </w:r>
      <w:r w:rsidR="006823D6" w:rsidRPr="00A126CC">
        <w:rPr>
          <w:rFonts w:ascii="Simplified Arabic" w:hAnsi="Simplified Arabic" w:cs="Simplified Arabic" w:hint="cs"/>
          <w:sz w:val="24"/>
          <w:szCs w:val="24"/>
          <w:rtl/>
          <w:lang w:val="en-US" w:bidi="ar-DZ"/>
        </w:rPr>
        <w:t>،</w:t>
      </w:r>
      <w:r w:rsidR="006823D6" w:rsidRPr="00A126CC">
        <w:rPr>
          <w:rFonts w:ascii="Simplified Arabic" w:hAnsi="Simplified Arabic" w:cs="Simplified Arabic"/>
          <w:sz w:val="24"/>
          <w:szCs w:val="24"/>
          <w:rtl/>
          <w:lang w:val="en-US" w:bidi="ar-DZ"/>
        </w:rPr>
        <w:t xml:space="preserve"> </w:t>
      </w:r>
      <w:r w:rsidR="006823D6" w:rsidRPr="00A126CC">
        <w:rPr>
          <w:rFonts w:ascii="Simplified Arabic" w:hAnsi="Simplified Arabic" w:cs="Simplified Arabic" w:hint="cs"/>
          <w:sz w:val="24"/>
          <w:szCs w:val="24"/>
          <w:rtl/>
          <w:lang w:val="en-US" w:bidi="ar-DZ"/>
        </w:rPr>
        <w:t>الشكل</w:t>
      </w:r>
      <w:r w:rsidR="006823D6">
        <w:rPr>
          <w:rFonts w:ascii="Simplified Arabic" w:hAnsi="Simplified Arabic" w:cs="Simplified Arabic" w:hint="cs"/>
          <w:sz w:val="24"/>
          <w:szCs w:val="24"/>
          <w:rtl/>
          <w:lang w:val="en-US" w:bidi="ar-DZ"/>
        </w:rPr>
        <w:t xml:space="preserve"> (6-</w:t>
      </w:r>
      <w:r w:rsidR="00A3776B">
        <w:rPr>
          <w:rFonts w:ascii="Simplified Arabic" w:hAnsi="Simplified Arabic" w:cs="Simplified Arabic" w:hint="cs"/>
          <w:sz w:val="24"/>
          <w:szCs w:val="24"/>
          <w:rtl/>
          <w:lang w:val="en-US" w:bidi="ar-DZ"/>
        </w:rPr>
        <w:t>24</w:t>
      </w:r>
      <w:r w:rsidR="006823D6">
        <w:rPr>
          <w:rFonts w:ascii="Simplified Arabic" w:hAnsi="Simplified Arabic" w:cs="Simplified Arabic" w:hint="cs"/>
          <w:sz w:val="24"/>
          <w:szCs w:val="24"/>
          <w:rtl/>
          <w:lang w:val="en-US" w:bidi="ar-DZ"/>
        </w:rPr>
        <w:t>)</w:t>
      </w:r>
      <w:r w:rsidRPr="00A126CC">
        <w:rPr>
          <w:rFonts w:ascii="Simplified Arabic" w:hAnsi="Simplified Arabic" w:cs="Simplified Arabic"/>
          <w:sz w:val="24"/>
          <w:szCs w:val="24"/>
          <w:rtl/>
          <w:lang w:val="en-US" w:bidi="ar-DZ"/>
        </w:rPr>
        <w:t xml:space="preserve">. </w:t>
      </w:r>
      <w:r w:rsidR="004304C1">
        <w:rPr>
          <w:rFonts w:ascii="Simplified Arabic" w:hAnsi="Simplified Arabic" w:cs="Simplified Arabic" w:hint="cs"/>
          <w:sz w:val="24"/>
          <w:szCs w:val="24"/>
          <w:rtl/>
          <w:lang w:val="en-US" w:bidi="ar-DZ"/>
        </w:rPr>
        <w:t xml:space="preserve">كما </w:t>
      </w:r>
      <w:r w:rsidR="00D421B2">
        <w:rPr>
          <w:rFonts w:ascii="Simplified Arabic" w:hAnsi="Simplified Arabic" w:cs="Simplified Arabic" w:hint="cs"/>
          <w:sz w:val="24"/>
          <w:szCs w:val="24"/>
          <w:rtl/>
          <w:lang w:val="en-US" w:bidi="ar-DZ"/>
        </w:rPr>
        <w:t>ت</w:t>
      </w:r>
      <w:r w:rsidRPr="00A126CC">
        <w:rPr>
          <w:rFonts w:ascii="Simplified Arabic" w:hAnsi="Simplified Arabic" w:cs="Simplified Arabic" w:hint="cs"/>
          <w:sz w:val="24"/>
          <w:szCs w:val="24"/>
          <w:rtl/>
          <w:lang w:val="en-US" w:bidi="ar-DZ"/>
        </w:rPr>
        <w:t>شير</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مرة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أخرى</w:t>
      </w:r>
      <w:r w:rsidRPr="00A126CC">
        <w:rPr>
          <w:rFonts w:ascii="Simplified Arabic" w:hAnsi="Simplified Arabic" w:cs="Simplified Arabic"/>
          <w:sz w:val="24"/>
          <w:szCs w:val="24"/>
          <w:rtl/>
          <w:lang w:val="en-US" w:bidi="ar-DZ"/>
        </w:rPr>
        <w:t xml:space="preserve"> </w:t>
      </w:r>
      <w:r w:rsidR="006823D6" w:rsidRPr="00A126CC">
        <w:rPr>
          <w:rFonts w:ascii="Simplified Arabic" w:hAnsi="Simplified Arabic" w:cs="Simplified Arabic" w:hint="cs"/>
          <w:sz w:val="24"/>
          <w:szCs w:val="24"/>
          <w:rtl/>
          <w:lang w:val="en-US" w:bidi="ar-DZ"/>
        </w:rPr>
        <w:t>انتقال</w:t>
      </w:r>
      <w:r w:rsidR="006823D6" w:rsidRPr="00A126CC">
        <w:rPr>
          <w:rFonts w:ascii="Simplified Arabic" w:hAnsi="Simplified Arabic" w:cs="Simplified Arabic"/>
          <w:sz w:val="24"/>
          <w:szCs w:val="24"/>
          <w:rtl/>
          <w:lang w:val="en-US" w:bidi="ar-DZ"/>
        </w:rPr>
        <w:t xml:space="preserve"> </w:t>
      </w:r>
      <w:r w:rsidR="00D421B2" w:rsidRPr="00A126CC">
        <w:rPr>
          <w:rFonts w:ascii="Simplified Arabic" w:hAnsi="Simplified Arabic" w:cs="Simplified Arabic" w:hint="cs"/>
          <w:sz w:val="24"/>
          <w:szCs w:val="24"/>
          <w:rtl/>
          <w:lang w:val="en-US" w:bidi="ar-DZ"/>
        </w:rPr>
        <w:t>كثافة</w:t>
      </w:r>
      <w:r w:rsidR="00D421B2" w:rsidRPr="00A126CC">
        <w:rPr>
          <w:rFonts w:ascii="Simplified Arabic" w:hAnsi="Simplified Arabic" w:cs="Simplified Arabic"/>
          <w:sz w:val="24"/>
          <w:szCs w:val="24"/>
          <w:rtl/>
          <w:lang w:val="en-US" w:bidi="ar-DZ"/>
        </w:rPr>
        <w:t xml:space="preserve"> </w:t>
      </w:r>
      <w:r w:rsidR="00F700CC">
        <w:rPr>
          <w:rFonts w:ascii="Simplified Arabic" w:hAnsi="Simplified Arabic" w:cs="Simplified Arabic" w:hint="cs"/>
          <w:sz w:val="24"/>
          <w:szCs w:val="24"/>
          <w:rtl/>
          <w:lang w:val="en-US" w:bidi="ar-DZ"/>
        </w:rPr>
        <w:t xml:space="preserve">شبكة </w:t>
      </w:r>
      <w:r w:rsidR="00D421B2" w:rsidRPr="00A126CC">
        <w:rPr>
          <w:rFonts w:ascii="Simplified Arabic" w:hAnsi="Simplified Arabic" w:cs="Simplified Arabic" w:hint="cs"/>
          <w:sz w:val="24"/>
          <w:szCs w:val="24"/>
          <w:rtl/>
          <w:lang w:val="en-US" w:bidi="ar-DZ"/>
        </w:rPr>
        <w:t>الش</w:t>
      </w:r>
      <w:r w:rsidR="00F700CC">
        <w:rPr>
          <w:rFonts w:ascii="Simplified Arabic" w:hAnsi="Simplified Arabic" w:cs="Simplified Arabic" w:hint="cs"/>
          <w:sz w:val="24"/>
          <w:szCs w:val="24"/>
          <w:rtl/>
          <w:lang w:val="en-US" w:bidi="ar-DZ"/>
        </w:rPr>
        <w:t>و</w:t>
      </w:r>
      <w:r w:rsidR="00D421B2" w:rsidRPr="00A126CC">
        <w:rPr>
          <w:rFonts w:ascii="Simplified Arabic" w:hAnsi="Simplified Arabic" w:cs="Simplified Arabic" w:hint="cs"/>
          <w:sz w:val="24"/>
          <w:szCs w:val="24"/>
          <w:rtl/>
          <w:lang w:val="en-US" w:bidi="ar-DZ"/>
        </w:rPr>
        <w:t>ارع</w:t>
      </w:r>
      <w:r w:rsidR="00D421B2"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من</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شبكة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كثيفة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إلى</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شبكة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متفرقة</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والتي</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تستمر</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في</w:t>
      </w:r>
      <w:r w:rsidRPr="00A126CC">
        <w:rPr>
          <w:rFonts w:ascii="Simplified Arabic" w:hAnsi="Simplified Arabic" w:cs="Simplified Arabic"/>
          <w:sz w:val="24"/>
          <w:szCs w:val="24"/>
          <w:rtl/>
          <w:lang w:val="en-US" w:bidi="ar-DZ"/>
        </w:rPr>
        <w:t xml:space="preserve"> </w:t>
      </w:r>
      <w:r w:rsidRPr="00A126CC">
        <w:rPr>
          <w:rFonts w:ascii="Simplified Arabic" w:hAnsi="Simplified Arabic" w:cs="Simplified Arabic" w:hint="cs"/>
          <w:sz w:val="24"/>
          <w:szCs w:val="24"/>
          <w:rtl/>
          <w:lang w:val="en-US" w:bidi="ar-DZ"/>
        </w:rPr>
        <w:t>الانتقال</w:t>
      </w:r>
      <w:r w:rsidRPr="00A126CC">
        <w:rPr>
          <w:rFonts w:ascii="Simplified Arabic" w:hAnsi="Simplified Arabic" w:cs="Simplified Arabic"/>
          <w:sz w:val="24"/>
          <w:szCs w:val="24"/>
          <w:rtl/>
          <w:lang w:val="en-US" w:bidi="ar-DZ"/>
        </w:rPr>
        <w:t xml:space="preserve"> </w:t>
      </w:r>
      <w:r w:rsidR="00D421B2">
        <w:rPr>
          <w:rFonts w:ascii="Simplified Arabic" w:hAnsi="Simplified Arabic" w:cs="Simplified Arabic" w:hint="cs"/>
          <w:sz w:val="24"/>
          <w:szCs w:val="24"/>
          <w:rtl/>
          <w:lang w:val="en-US" w:bidi="ar-DZ"/>
        </w:rPr>
        <w:t>تصاعديا من الفئة (أ) ثم (ب) ثم (</w:t>
      </w:r>
      <w:r w:rsidR="004304C1">
        <w:rPr>
          <w:rFonts w:ascii="Simplified Arabic" w:hAnsi="Simplified Arabic" w:cs="Simplified Arabic" w:hint="cs"/>
          <w:sz w:val="24"/>
          <w:szCs w:val="24"/>
          <w:rtl/>
          <w:lang w:val="en-US" w:bidi="ar-DZ"/>
        </w:rPr>
        <w:t>د</w:t>
      </w:r>
      <w:r w:rsidR="00D421B2">
        <w:rPr>
          <w:rFonts w:ascii="Simplified Arabic" w:hAnsi="Simplified Arabic" w:cs="Simplified Arabic" w:hint="cs"/>
          <w:sz w:val="24"/>
          <w:szCs w:val="24"/>
          <w:rtl/>
          <w:lang w:val="en-US" w:bidi="ar-DZ"/>
        </w:rPr>
        <w:t>) الى (</w:t>
      </w:r>
      <w:r w:rsidR="004304C1">
        <w:rPr>
          <w:rFonts w:ascii="Simplified Arabic" w:hAnsi="Simplified Arabic" w:cs="Simplified Arabic" w:hint="cs"/>
          <w:sz w:val="24"/>
          <w:szCs w:val="24"/>
          <w:rtl/>
          <w:lang w:val="en-US" w:bidi="ar-DZ"/>
        </w:rPr>
        <w:t>جـ</w:t>
      </w:r>
      <w:r w:rsidR="00D421B2">
        <w:rPr>
          <w:rFonts w:ascii="Simplified Arabic" w:hAnsi="Simplified Arabic" w:cs="Simplified Arabic" w:hint="cs"/>
          <w:sz w:val="24"/>
          <w:szCs w:val="24"/>
          <w:rtl/>
          <w:lang w:val="en-US" w:bidi="ar-DZ"/>
        </w:rPr>
        <w:t>)</w:t>
      </w:r>
      <w:r w:rsidRPr="00A126CC">
        <w:rPr>
          <w:rFonts w:ascii="Simplified Arabic" w:hAnsi="Simplified Arabic" w:cs="Simplified Arabic"/>
          <w:sz w:val="24"/>
          <w:szCs w:val="24"/>
          <w:rtl/>
          <w:lang w:val="en-US" w:bidi="ar-DZ"/>
        </w:rPr>
        <w:t>.</w:t>
      </w:r>
    </w:p>
    <w:p w:rsidR="002A686B" w:rsidRDefault="002A686B" w:rsidP="00AA7E5E">
      <w:pPr>
        <w:pStyle w:val="fegure"/>
        <w:spacing w:before="240"/>
        <w:rPr>
          <w:rFonts w:eastAsia="Times New Roman"/>
          <w:color w:val="000000"/>
          <w:sz w:val="8"/>
          <w:szCs w:val="24"/>
          <w:rtl/>
          <w:lang w:eastAsia="fr-FR"/>
        </w:rPr>
      </w:pPr>
      <w:bookmarkStart w:id="980" w:name="_Toc157608380"/>
      <w:bookmarkStart w:id="981" w:name="_Toc171803898"/>
      <w:r w:rsidRPr="00986BEA">
        <w:rPr>
          <w:sz w:val="8"/>
          <w:szCs w:val="24"/>
          <w:rtl/>
          <w:lang w:bidi="ar-DZ"/>
        </w:rPr>
        <w:t>الشكل رقم (6-</w:t>
      </w:r>
      <w:r w:rsidR="005373F7" w:rsidRPr="00986BEA">
        <w:rPr>
          <w:rFonts w:hint="cs"/>
          <w:sz w:val="8"/>
          <w:szCs w:val="24"/>
          <w:rtl/>
          <w:lang w:bidi="ar-DZ"/>
        </w:rPr>
        <w:t>24</w:t>
      </w:r>
      <w:r w:rsidRPr="00986BEA">
        <w:rPr>
          <w:sz w:val="8"/>
          <w:szCs w:val="24"/>
          <w:rtl/>
          <w:lang w:bidi="ar-DZ"/>
        </w:rPr>
        <w:t xml:space="preserve">) </w:t>
      </w:r>
      <w:r w:rsidRPr="00986BEA">
        <w:rPr>
          <w:sz w:val="8"/>
          <w:szCs w:val="24"/>
          <w:rtl/>
          <w:lang w:val="en-US" w:bidi="ar-DZ"/>
        </w:rPr>
        <w:t xml:space="preserve">الأعمدة المشتركة: كثافة </w:t>
      </w:r>
      <w:r w:rsidR="00F700CC" w:rsidRPr="00986BEA">
        <w:rPr>
          <w:sz w:val="8"/>
          <w:szCs w:val="24"/>
          <w:rtl/>
          <w:lang w:val="en-US" w:bidi="ar-DZ"/>
        </w:rPr>
        <w:t>شبكة الشوارع</w:t>
      </w:r>
      <w:r w:rsidR="00F700CC" w:rsidRPr="00986BEA">
        <w:rPr>
          <w:rFonts w:hint="cs"/>
          <w:sz w:val="8"/>
          <w:szCs w:val="24"/>
          <w:rtl/>
          <w:lang w:val="en-US" w:bidi="ar-DZ"/>
        </w:rPr>
        <w:t>، نسبة</w:t>
      </w:r>
      <w:r w:rsidR="00F700CC" w:rsidRPr="00986BEA">
        <w:rPr>
          <w:sz w:val="8"/>
          <w:szCs w:val="24"/>
          <w:rtl/>
          <w:lang w:val="en-US" w:bidi="ar-DZ"/>
        </w:rPr>
        <w:t xml:space="preserve"> </w:t>
      </w:r>
      <w:r w:rsidR="00F700CC" w:rsidRPr="00986BEA">
        <w:rPr>
          <w:rFonts w:hint="cs"/>
          <w:sz w:val="8"/>
          <w:szCs w:val="24"/>
          <w:rtl/>
          <w:lang w:val="en-US" w:bidi="ar-DZ"/>
        </w:rPr>
        <w:t>العقد</w:t>
      </w:r>
      <w:r w:rsidR="00F700CC" w:rsidRPr="00986BEA">
        <w:rPr>
          <w:sz w:val="8"/>
          <w:szCs w:val="24"/>
          <w:rtl/>
          <w:lang w:val="en-US" w:bidi="ar-DZ"/>
        </w:rPr>
        <w:t xml:space="preserve"> </w:t>
      </w:r>
      <w:r w:rsidR="00F700CC" w:rsidRPr="00986BEA">
        <w:rPr>
          <w:rFonts w:hint="cs"/>
          <w:sz w:val="8"/>
          <w:szCs w:val="24"/>
          <w:rtl/>
          <w:lang w:val="en-US" w:bidi="ar-DZ"/>
        </w:rPr>
        <w:t>الموصولة،</w:t>
      </w:r>
      <w:r w:rsidR="00F700CC" w:rsidRPr="00986BEA">
        <w:rPr>
          <w:sz w:val="8"/>
          <w:szCs w:val="24"/>
          <w:rtl/>
          <w:lang w:val="en-US" w:bidi="ar-DZ"/>
        </w:rPr>
        <w:t xml:space="preserve"> نسبة </w:t>
      </w:r>
      <w:r w:rsidR="00AA7E5E">
        <w:rPr>
          <w:rFonts w:hint="cs"/>
          <w:szCs w:val="24"/>
          <w:rtl/>
          <w:lang w:val="en-US" w:bidi="ar-DZ"/>
        </w:rPr>
        <w:t>ربط</w:t>
      </w:r>
      <w:r w:rsidR="00F700CC" w:rsidRPr="00986BEA">
        <w:rPr>
          <w:rFonts w:hint="cs"/>
          <w:sz w:val="8"/>
          <w:szCs w:val="24"/>
          <w:rtl/>
          <w:lang w:val="en-US" w:bidi="ar-DZ"/>
        </w:rPr>
        <w:t>-العقد</w:t>
      </w:r>
      <w:r w:rsidR="00F700CC" w:rsidRPr="00986BEA">
        <w:rPr>
          <w:sz w:val="8"/>
          <w:szCs w:val="24"/>
          <w:rtl/>
          <w:lang w:val="en-US" w:bidi="ar-DZ"/>
        </w:rPr>
        <w:t xml:space="preserve"> </w:t>
      </w:r>
      <w:r w:rsidRPr="00986BEA">
        <w:rPr>
          <w:sz w:val="8"/>
          <w:szCs w:val="24"/>
          <w:rtl/>
        </w:rPr>
        <w:t xml:space="preserve">لكل </w:t>
      </w:r>
      <w:r w:rsidRPr="00986BEA">
        <w:rPr>
          <w:rFonts w:eastAsia="Times New Roman"/>
          <w:color w:val="000000"/>
          <w:sz w:val="8"/>
          <w:szCs w:val="24"/>
          <w:rtl/>
          <w:lang w:eastAsia="fr-FR"/>
        </w:rPr>
        <w:t>فئة</w:t>
      </w:r>
      <w:bookmarkEnd w:id="858"/>
      <w:bookmarkEnd w:id="980"/>
      <w:bookmarkEnd w:id="981"/>
    </w:p>
    <w:p w:rsidR="00986BEA" w:rsidRPr="00986BEA" w:rsidRDefault="00986BEA" w:rsidP="00986BEA">
      <w:pPr>
        <w:pStyle w:val="fegure"/>
        <w:rPr>
          <w:sz w:val="8"/>
          <w:szCs w:val="24"/>
          <w:rtl/>
          <w:lang w:val="en-US"/>
        </w:rPr>
      </w:pPr>
      <w:bookmarkStart w:id="982" w:name="_Toc171803899"/>
      <w:r>
        <w:rPr>
          <w:rFonts w:hint="cs"/>
          <w:sz w:val="8"/>
          <w:szCs w:val="24"/>
          <w:rtl/>
          <w:lang w:val="en-US" w:bidi="ar-DZ"/>
        </w:rPr>
        <w:t xml:space="preserve">المصدر: </w:t>
      </w:r>
      <w:r>
        <w:rPr>
          <w:rFonts w:hint="cs"/>
          <w:sz w:val="8"/>
          <w:szCs w:val="24"/>
          <w:rtl/>
          <w:lang w:val="en-US"/>
        </w:rPr>
        <w:t>(الباحث، 2022)</w:t>
      </w:r>
      <w:bookmarkEnd w:id="982"/>
    </w:p>
    <w:p w:rsidR="00AA0720" w:rsidRDefault="00BE53B0" w:rsidP="004B54BB">
      <w:pPr>
        <w:bidi/>
        <w:spacing w:line="240" w:lineRule="auto"/>
        <w:rPr>
          <w:rFonts w:ascii="Simplified Arabic" w:hAnsi="Simplified Arabic" w:cs="Simplified Arabic"/>
          <w:b/>
          <w:bCs/>
          <w:sz w:val="24"/>
          <w:szCs w:val="24"/>
          <w:rtl/>
          <w:lang w:bidi="ar-DZ"/>
        </w:rPr>
      </w:pPr>
      <w:r>
        <w:rPr>
          <w:rFonts w:ascii="Simplified Arabic" w:eastAsia="Times New Roman" w:hAnsi="Simplified Arabic" w:cs="Simplified Arabic" w:hint="cs"/>
          <w:color w:val="000000"/>
          <w:sz w:val="24"/>
          <w:szCs w:val="24"/>
          <w:rtl/>
          <w:lang w:eastAsia="fr-FR"/>
        </w:rPr>
        <w:t xml:space="preserve"> </w:t>
      </w:r>
      <w:r w:rsidR="002C6F9D">
        <w:rPr>
          <w:noProof/>
          <w:lang w:eastAsia="fr-FR"/>
        </w:rPr>
        <w:drawing>
          <wp:inline distT="0" distB="0" distL="0" distR="0" wp14:anchorId="2019F029" wp14:editId="1E1F053A">
            <wp:extent cx="2809875" cy="2714625"/>
            <wp:effectExtent l="0" t="0" r="9525" b="9525"/>
            <wp:docPr id="333" name="Graphique 3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6"/>
              </a:graphicData>
            </a:graphic>
          </wp:inline>
        </w:drawing>
      </w:r>
      <w:r w:rsidR="00C4648F">
        <w:rPr>
          <w:rFonts w:ascii="Simplified Arabic" w:eastAsia="Times New Roman" w:hAnsi="Simplified Arabic" w:cs="Simplified Arabic" w:hint="cs"/>
          <w:color w:val="000000"/>
          <w:sz w:val="24"/>
          <w:szCs w:val="24"/>
          <w:rtl/>
          <w:lang w:eastAsia="fr-FR"/>
        </w:rPr>
        <w:t xml:space="preserve">   </w:t>
      </w:r>
      <w:r w:rsidR="002C6F9D">
        <w:rPr>
          <w:rFonts w:ascii="Simplified Arabic" w:eastAsia="Times New Roman" w:hAnsi="Simplified Arabic" w:cs="Simplified Arabic" w:hint="cs"/>
          <w:color w:val="000000"/>
          <w:sz w:val="24"/>
          <w:szCs w:val="24"/>
          <w:rtl/>
          <w:lang w:eastAsia="fr-FR"/>
        </w:rPr>
        <w:t xml:space="preserve"> </w:t>
      </w:r>
      <w:r w:rsidR="00C4648F">
        <w:rPr>
          <w:noProof/>
          <w:lang w:eastAsia="fr-FR"/>
        </w:rPr>
        <w:drawing>
          <wp:inline distT="0" distB="0" distL="0" distR="0" wp14:anchorId="27183B9E" wp14:editId="67B3E30E">
            <wp:extent cx="2628900" cy="2714625"/>
            <wp:effectExtent l="0" t="0" r="19050" b="9525"/>
            <wp:docPr id="74" name="Graphique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7"/>
              </a:graphicData>
            </a:graphic>
          </wp:inline>
        </w:drawing>
      </w:r>
    </w:p>
    <w:p w:rsidR="00AA0720" w:rsidRDefault="00AA0720" w:rsidP="00AA0720">
      <w:pPr>
        <w:autoSpaceDE w:val="0"/>
        <w:autoSpaceDN w:val="0"/>
        <w:bidi/>
        <w:adjustRightInd w:val="0"/>
        <w:spacing w:after="0"/>
        <w:ind w:firstLine="283"/>
        <w:rPr>
          <w:rFonts w:ascii="Simplified Arabic" w:hAnsi="Simplified Arabic" w:cs="Simplified Arabic"/>
          <w:b/>
          <w:bCs/>
          <w:sz w:val="24"/>
          <w:szCs w:val="24"/>
          <w:rtl/>
          <w:lang w:bidi="ar-DZ"/>
        </w:rPr>
      </w:pPr>
    </w:p>
    <w:p w:rsidR="002A686B" w:rsidRPr="00CD3726" w:rsidRDefault="009016D1" w:rsidP="008454C2">
      <w:pPr>
        <w:autoSpaceDE w:val="0"/>
        <w:autoSpaceDN w:val="0"/>
        <w:bidi/>
        <w:adjustRightInd w:val="0"/>
        <w:spacing w:after="0"/>
        <w:ind w:firstLine="284"/>
        <w:outlineLvl w:val="0"/>
        <w:rPr>
          <w:rFonts w:ascii="Simplified Arabic" w:hAnsi="Simplified Arabic" w:cs="Simplified Arabic"/>
          <w:b/>
          <w:bCs/>
          <w:sz w:val="24"/>
          <w:szCs w:val="24"/>
          <w:rtl/>
          <w:lang w:bidi="ar-DZ"/>
        </w:rPr>
      </w:pPr>
      <w:bookmarkStart w:id="983" w:name="_Toc171803900"/>
      <w:r>
        <w:rPr>
          <w:rFonts w:ascii="Simplified Arabic" w:hAnsi="Simplified Arabic" w:cs="Simplified Arabic" w:hint="cs"/>
          <w:b/>
          <w:bCs/>
          <w:sz w:val="24"/>
          <w:szCs w:val="24"/>
          <w:rtl/>
          <w:lang w:bidi="ar-DZ"/>
        </w:rPr>
        <w:lastRenderedPageBreak/>
        <w:t>ال</w:t>
      </w:r>
      <w:r w:rsidR="002A686B" w:rsidRPr="00CD3726">
        <w:rPr>
          <w:rFonts w:ascii="Simplified Arabic" w:hAnsi="Simplified Arabic" w:cs="Simplified Arabic" w:hint="cs"/>
          <w:b/>
          <w:bCs/>
          <w:sz w:val="24"/>
          <w:szCs w:val="24"/>
          <w:rtl/>
          <w:lang w:bidi="ar-DZ"/>
        </w:rPr>
        <w:t>خلاصة</w:t>
      </w:r>
      <w:bookmarkEnd w:id="983"/>
      <w:r w:rsidR="002A686B" w:rsidRPr="00CD3726">
        <w:rPr>
          <w:rFonts w:ascii="Simplified Arabic" w:hAnsi="Simplified Arabic" w:cs="Simplified Arabic" w:hint="cs"/>
          <w:b/>
          <w:bCs/>
          <w:sz w:val="24"/>
          <w:szCs w:val="24"/>
          <w:rtl/>
          <w:lang w:bidi="ar-DZ"/>
        </w:rPr>
        <w:t xml:space="preserve"> </w:t>
      </w:r>
    </w:p>
    <w:p w:rsidR="002A686B" w:rsidRDefault="002A686B" w:rsidP="00B859CC">
      <w:pPr>
        <w:bidi/>
        <w:spacing w:after="0"/>
        <w:ind w:firstLine="283"/>
        <w:jc w:val="both"/>
        <w:rPr>
          <w:rFonts w:ascii="Simplified Arabic" w:hAnsi="Simplified Arabic" w:cs="Simplified Arabic"/>
          <w:sz w:val="24"/>
          <w:szCs w:val="24"/>
          <w:rtl/>
          <w:lang w:val="en-US" w:bidi="ar-DZ"/>
        </w:rPr>
      </w:pPr>
      <w:r w:rsidRPr="00AE0657">
        <w:rPr>
          <w:rFonts w:ascii="Simplified Arabic" w:hAnsi="Simplified Arabic" w:cs="Simplified Arabic" w:hint="cs"/>
          <w:sz w:val="24"/>
          <w:szCs w:val="24"/>
          <w:rtl/>
          <w:lang w:val="en-US" w:bidi="ar-DZ"/>
        </w:rPr>
        <w:t>سمح</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التحليل</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الكمي</w:t>
      </w:r>
      <w:r w:rsidRPr="00AE065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للسمات المكانية</w:t>
      </w:r>
      <w:r w:rsidR="00B2024C">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الكثافة، </w:t>
      </w:r>
      <w:r w:rsidRPr="00AE0657">
        <w:rPr>
          <w:rFonts w:ascii="Simplified Arabic" w:hAnsi="Simplified Arabic" w:cs="Simplified Arabic" w:hint="cs"/>
          <w:sz w:val="24"/>
          <w:szCs w:val="24"/>
          <w:rtl/>
          <w:lang w:val="en-US" w:bidi="ar-DZ"/>
        </w:rPr>
        <w:t>التنوع</w:t>
      </w:r>
      <w:r>
        <w:rPr>
          <w:rFonts w:ascii="Simplified Arabic" w:hAnsi="Simplified Arabic" w:cs="Simplified Arabic" w:hint="cs"/>
          <w:sz w:val="24"/>
          <w:szCs w:val="24"/>
          <w:rtl/>
          <w:lang w:val="en-US" w:bidi="ar-DZ"/>
        </w:rPr>
        <w:t xml:space="preserve">، </w:t>
      </w:r>
      <w:r w:rsidRPr="00AE0657">
        <w:rPr>
          <w:rFonts w:ascii="Simplified Arabic" w:hAnsi="Simplified Arabic" w:cs="Simplified Arabic" w:hint="cs"/>
          <w:sz w:val="24"/>
          <w:szCs w:val="24"/>
          <w:rtl/>
          <w:lang w:val="en-US" w:bidi="ar-DZ"/>
        </w:rPr>
        <w:t>ال</w:t>
      </w:r>
      <w:r>
        <w:rPr>
          <w:rFonts w:ascii="Simplified Arabic" w:hAnsi="Simplified Arabic" w:cs="Simplified Arabic" w:hint="cs"/>
          <w:sz w:val="24"/>
          <w:szCs w:val="24"/>
          <w:rtl/>
          <w:lang w:val="en-US" w:bidi="ar-DZ"/>
        </w:rPr>
        <w:t>ات</w:t>
      </w:r>
      <w:r w:rsidRPr="00AE0657">
        <w:rPr>
          <w:rFonts w:ascii="Simplified Arabic" w:hAnsi="Simplified Arabic" w:cs="Simplified Arabic" w:hint="cs"/>
          <w:sz w:val="24"/>
          <w:szCs w:val="24"/>
          <w:rtl/>
          <w:lang w:val="en-US" w:bidi="ar-DZ"/>
        </w:rPr>
        <w:t>ص</w:t>
      </w:r>
      <w:r>
        <w:rPr>
          <w:rFonts w:ascii="Simplified Arabic" w:hAnsi="Simplified Arabic" w:cs="Simplified Arabic" w:hint="cs"/>
          <w:sz w:val="24"/>
          <w:szCs w:val="24"/>
          <w:rtl/>
          <w:lang w:val="en-US" w:bidi="ar-DZ"/>
        </w:rPr>
        <w:t>ا</w:t>
      </w:r>
      <w:r w:rsidRPr="00AE0657">
        <w:rPr>
          <w:rFonts w:ascii="Simplified Arabic" w:hAnsi="Simplified Arabic" w:cs="Simplified Arabic" w:hint="cs"/>
          <w:sz w:val="24"/>
          <w:szCs w:val="24"/>
          <w:rtl/>
          <w:lang w:val="en-US" w:bidi="ar-DZ"/>
        </w:rPr>
        <w:t>ل</w:t>
      </w:r>
      <w:r w:rsidR="00C23656">
        <w:rPr>
          <w:rFonts w:ascii="Simplified Arabic" w:hAnsi="Simplified Arabic" w:cs="Simplified Arabic" w:hint="cs"/>
          <w:sz w:val="24"/>
          <w:szCs w:val="24"/>
          <w:rtl/>
          <w:lang w:val="en-US" w:bidi="ar-DZ"/>
        </w:rPr>
        <w:t>ية</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والتكرار بمقارنة</w:t>
      </w:r>
      <w:r w:rsidRPr="00AE0657">
        <w:rPr>
          <w:rFonts w:ascii="Simplified Arabic" w:hAnsi="Simplified Arabic" w:cs="Simplified Arabic"/>
          <w:sz w:val="24"/>
          <w:szCs w:val="24"/>
          <w:rtl/>
          <w:lang w:val="en-US" w:bidi="ar-DZ"/>
        </w:rPr>
        <w:t xml:space="preserve"> </w:t>
      </w:r>
      <w:r w:rsidR="00B859CC">
        <w:rPr>
          <w:rFonts w:ascii="Simplified Arabic" w:hAnsi="Simplified Arabic" w:cs="Simplified Arabic" w:hint="cs"/>
          <w:sz w:val="24"/>
          <w:szCs w:val="24"/>
          <w:rtl/>
          <w:lang w:val="en-US" w:bidi="ar-DZ"/>
        </w:rPr>
        <w:t xml:space="preserve">الاحياء الاربعة الواقعة ضمن </w:t>
      </w:r>
      <w:r>
        <w:rPr>
          <w:rFonts w:ascii="Simplified Arabic" w:hAnsi="Simplified Arabic" w:cs="Simplified Arabic" w:hint="cs"/>
          <w:sz w:val="24"/>
          <w:szCs w:val="24"/>
          <w:rtl/>
          <w:lang w:val="en-US" w:bidi="ar-DZ"/>
        </w:rPr>
        <w:t xml:space="preserve">فئات </w:t>
      </w:r>
      <w:r w:rsidR="00B859CC">
        <w:rPr>
          <w:rFonts w:ascii="Simplified Arabic" w:hAnsi="Simplified Arabic" w:cs="Simplified Arabic" w:hint="cs"/>
          <w:sz w:val="24"/>
          <w:szCs w:val="24"/>
          <w:rtl/>
          <w:lang w:val="en-US" w:bidi="ar-DZ"/>
        </w:rPr>
        <w:t>ا</w:t>
      </w:r>
      <w:r>
        <w:rPr>
          <w:rFonts w:ascii="Simplified Arabic" w:hAnsi="Simplified Arabic" w:cs="Simplified Arabic" w:hint="cs"/>
          <w:sz w:val="24"/>
          <w:szCs w:val="24"/>
          <w:rtl/>
          <w:lang w:val="en-US" w:bidi="ar-DZ"/>
        </w:rPr>
        <w:t xml:space="preserve">لأنسجة الحضرية </w:t>
      </w:r>
      <w:r w:rsidR="00B859CC">
        <w:rPr>
          <w:rFonts w:ascii="Simplified Arabic" w:hAnsi="Simplified Arabic" w:cs="Simplified Arabic" w:hint="cs"/>
          <w:sz w:val="24"/>
          <w:szCs w:val="24"/>
          <w:rtl/>
          <w:lang w:val="en-US" w:bidi="ar-DZ"/>
        </w:rPr>
        <w:t xml:space="preserve">الاربعة </w:t>
      </w:r>
      <w:r>
        <w:rPr>
          <w:rFonts w:ascii="Simplified Arabic" w:hAnsi="Simplified Arabic" w:cs="Simplified Arabic" w:hint="cs"/>
          <w:sz w:val="24"/>
          <w:szCs w:val="24"/>
          <w:rtl/>
          <w:lang w:val="en-US" w:bidi="ar-DZ"/>
        </w:rPr>
        <w:t>بمدينة بوسعادة</w:t>
      </w:r>
      <w:r w:rsidRPr="00AE0657">
        <w:rPr>
          <w:rFonts w:ascii="Simplified Arabic" w:hAnsi="Simplified Arabic" w:cs="Simplified Arabic"/>
          <w:sz w:val="24"/>
          <w:szCs w:val="24"/>
          <w:rtl/>
          <w:lang w:val="en-US" w:bidi="ar-DZ"/>
        </w:rPr>
        <w:t>.</w:t>
      </w:r>
      <w:r w:rsidR="001A55CF">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افضت مناقشة مختلف الخرائط و</w:t>
      </w:r>
      <w:r w:rsidR="00B859CC">
        <w:rPr>
          <w:rFonts w:ascii="Simplified Arabic" w:hAnsi="Simplified Arabic" w:cs="Simplified Arabic" w:hint="cs"/>
          <w:sz w:val="24"/>
          <w:szCs w:val="24"/>
          <w:rtl/>
          <w:lang w:val="en-US" w:bidi="ar-DZ"/>
        </w:rPr>
        <w:t>الاشكال و</w:t>
      </w:r>
      <w:r>
        <w:rPr>
          <w:rFonts w:ascii="Simplified Arabic" w:hAnsi="Simplified Arabic" w:cs="Simplified Arabic" w:hint="cs"/>
          <w:sz w:val="24"/>
          <w:szCs w:val="24"/>
          <w:rtl/>
          <w:lang w:val="en-US" w:bidi="ar-DZ"/>
        </w:rPr>
        <w:t xml:space="preserve">الرسومات البيانية </w:t>
      </w:r>
      <w:r w:rsidR="00B859CC">
        <w:rPr>
          <w:rFonts w:ascii="Simplified Arabic" w:hAnsi="Simplified Arabic" w:cs="Simplified Arabic" w:hint="cs"/>
          <w:sz w:val="24"/>
          <w:szCs w:val="24"/>
          <w:rtl/>
          <w:lang w:val="en-US" w:bidi="ar-DZ"/>
        </w:rPr>
        <w:t xml:space="preserve">الى </w:t>
      </w:r>
      <w:r>
        <w:rPr>
          <w:rFonts w:ascii="Simplified Arabic" w:hAnsi="Simplified Arabic" w:cs="Simplified Arabic" w:hint="cs"/>
          <w:sz w:val="24"/>
          <w:szCs w:val="24"/>
          <w:rtl/>
          <w:lang w:val="en-US" w:bidi="ar-DZ"/>
        </w:rPr>
        <w:t>ما يلي:</w:t>
      </w:r>
    </w:p>
    <w:p w:rsidR="002A686B" w:rsidRDefault="002A686B" w:rsidP="001D0548">
      <w:pPr>
        <w:pStyle w:val="Paragraphedeliste"/>
        <w:numPr>
          <w:ilvl w:val="0"/>
          <w:numId w:val="66"/>
        </w:numPr>
        <w:tabs>
          <w:tab w:val="right" w:pos="0"/>
          <w:tab w:val="right" w:pos="567"/>
        </w:tabs>
        <w:autoSpaceDE w:val="0"/>
        <w:autoSpaceDN w:val="0"/>
        <w:bidi/>
        <w:adjustRightInd w:val="0"/>
        <w:spacing w:after="0"/>
        <w:ind w:left="0" w:firstLine="283"/>
        <w:jc w:val="both"/>
        <w:rPr>
          <w:rFonts w:ascii="Simplified Arabic" w:hAnsi="Simplified Arabic" w:cs="Simplified Arabic"/>
          <w:sz w:val="24"/>
          <w:szCs w:val="24"/>
          <w:lang w:val="en-US" w:bidi="ar-DZ"/>
        </w:rPr>
      </w:pPr>
      <w:r>
        <w:rPr>
          <w:rFonts w:ascii="Simplified Arabic" w:hAnsi="Simplified Arabic" w:cs="Simplified Arabic" w:hint="cs"/>
          <w:sz w:val="24"/>
          <w:szCs w:val="24"/>
          <w:rtl/>
          <w:lang w:val="en-US" w:bidi="ar-DZ"/>
        </w:rPr>
        <w:t>اظهرت</w:t>
      </w:r>
      <w:r w:rsidRPr="00E3388F">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سمة ا</w:t>
      </w:r>
      <w:r w:rsidRPr="00E3388F">
        <w:rPr>
          <w:rFonts w:ascii="Simplified Arabic" w:hAnsi="Simplified Arabic" w:cs="Simplified Arabic" w:hint="cs"/>
          <w:sz w:val="24"/>
          <w:szCs w:val="24"/>
          <w:rtl/>
          <w:lang w:val="en-US" w:bidi="ar-DZ"/>
        </w:rPr>
        <w:t>لكثافة</w:t>
      </w:r>
      <w:r w:rsidRPr="00E3388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على مستوى </w:t>
      </w:r>
      <w:r w:rsidR="00B859CC">
        <w:rPr>
          <w:rFonts w:ascii="Simplified Arabic" w:hAnsi="Simplified Arabic" w:cs="Simplified Arabic" w:hint="cs"/>
          <w:sz w:val="24"/>
          <w:szCs w:val="24"/>
          <w:rtl/>
          <w:lang w:val="en-US" w:bidi="ar-DZ"/>
        </w:rPr>
        <w:t xml:space="preserve">احياء </w:t>
      </w:r>
      <w:r w:rsidRPr="00E3388F">
        <w:rPr>
          <w:rFonts w:ascii="Simplified Arabic" w:hAnsi="Simplified Arabic" w:cs="Simplified Arabic" w:hint="cs"/>
          <w:sz w:val="24"/>
          <w:szCs w:val="24"/>
          <w:rtl/>
          <w:lang w:val="en-US" w:bidi="ar-DZ"/>
        </w:rPr>
        <w:t>فئات الانسجة الحضرية الاربعة، ان هناك تباين</w:t>
      </w:r>
      <w:r w:rsidR="00871B35">
        <w:rPr>
          <w:rFonts w:ascii="Simplified Arabic" w:hAnsi="Simplified Arabic" w:cs="Simplified Arabic" w:hint="cs"/>
          <w:sz w:val="24"/>
          <w:szCs w:val="24"/>
          <w:rtl/>
          <w:lang w:val="en-US" w:bidi="ar-DZ"/>
        </w:rPr>
        <w:t>ات</w:t>
      </w:r>
      <w:r w:rsidRPr="00E3388F">
        <w:rPr>
          <w:rFonts w:ascii="Simplified Arabic" w:hAnsi="Simplified Arabic" w:cs="Simplified Arabic" w:hint="cs"/>
          <w:sz w:val="24"/>
          <w:szCs w:val="24"/>
          <w:rtl/>
          <w:lang w:val="en-US" w:bidi="ar-DZ"/>
        </w:rPr>
        <w:t xml:space="preserve"> حول مستويات إمكانية</w:t>
      </w:r>
      <w:r w:rsidRPr="00E3388F">
        <w:rPr>
          <w:rFonts w:ascii="Simplified Arabic" w:hAnsi="Simplified Arabic" w:cs="Simplified Arabic"/>
          <w:sz w:val="24"/>
          <w:szCs w:val="24"/>
          <w:rtl/>
          <w:lang w:val="en-US" w:bidi="ar-DZ"/>
        </w:rPr>
        <w:t xml:space="preserve"> </w:t>
      </w:r>
      <w:r w:rsidR="00B859CC">
        <w:rPr>
          <w:rFonts w:ascii="Simplified Arabic" w:hAnsi="Simplified Arabic" w:cs="Simplified Arabic" w:hint="cs"/>
          <w:sz w:val="24"/>
          <w:szCs w:val="24"/>
          <w:rtl/>
          <w:lang w:val="en-US" w:bidi="ar-DZ"/>
        </w:rPr>
        <w:t>ال</w:t>
      </w:r>
      <w:r w:rsidRPr="00E3388F">
        <w:rPr>
          <w:rFonts w:ascii="Simplified Arabic" w:hAnsi="Simplified Arabic" w:cs="Simplified Arabic" w:hint="cs"/>
          <w:sz w:val="24"/>
          <w:szCs w:val="24"/>
          <w:rtl/>
          <w:lang w:val="en-US" w:bidi="ar-DZ"/>
        </w:rPr>
        <w:t>وصول</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إلى</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جميع</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الأنحاء</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 xml:space="preserve">المحتملة </w:t>
      </w:r>
      <w:r w:rsidR="00B859CC">
        <w:rPr>
          <w:rFonts w:ascii="Simplified Arabic" w:hAnsi="Simplified Arabic" w:cs="Simplified Arabic" w:hint="cs"/>
          <w:sz w:val="24"/>
          <w:szCs w:val="24"/>
          <w:rtl/>
          <w:lang w:val="en-US" w:bidi="ar-DZ"/>
        </w:rPr>
        <w:t>على مستوى كل حي سكني</w:t>
      </w:r>
      <w:r w:rsidRPr="00E3388F">
        <w:rPr>
          <w:rFonts w:ascii="Simplified Arabic" w:hAnsi="Simplified Arabic" w:cs="Simplified Arabic" w:hint="cs"/>
          <w:sz w:val="24"/>
          <w:szCs w:val="24"/>
          <w:rtl/>
          <w:lang w:val="en-US" w:bidi="ar-DZ"/>
        </w:rPr>
        <w:t>،</w:t>
      </w:r>
      <w:r w:rsidRPr="00E3388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بسبب </w:t>
      </w:r>
      <w:r w:rsidR="00B859CC">
        <w:rPr>
          <w:rFonts w:ascii="Simplified Arabic" w:hAnsi="Simplified Arabic" w:cs="Simplified Arabic" w:hint="cs"/>
          <w:sz w:val="24"/>
          <w:szCs w:val="24"/>
          <w:rtl/>
          <w:lang w:val="en-US" w:bidi="ar-DZ"/>
        </w:rPr>
        <w:t xml:space="preserve">تباينات </w:t>
      </w:r>
      <w:r w:rsidR="003337FD">
        <w:rPr>
          <w:rFonts w:ascii="Simplified Arabic" w:hAnsi="Simplified Arabic" w:cs="Simplified Arabic" w:hint="cs"/>
          <w:sz w:val="24"/>
          <w:szCs w:val="24"/>
          <w:rtl/>
        </w:rPr>
        <w:t>استعمالات</w:t>
      </w:r>
      <w:r>
        <w:rPr>
          <w:rFonts w:ascii="Simplified Arabic" w:hAnsi="Simplified Arabic" w:cs="Simplified Arabic" w:hint="cs"/>
          <w:sz w:val="24"/>
          <w:szCs w:val="24"/>
          <w:rtl/>
          <w:lang w:val="en-US" w:bidi="ar-DZ"/>
        </w:rPr>
        <w:t xml:space="preserve"> </w:t>
      </w:r>
      <w:r w:rsidR="00B859CC">
        <w:rPr>
          <w:rFonts w:ascii="Simplified Arabic" w:hAnsi="Simplified Arabic" w:cs="Simplified Arabic" w:hint="cs"/>
          <w:sz w:val="24"/>
          <w:szCs w:val="24"/>
          <w:rtl/>
          <w:lang w:val="en-US" w:bidi="ar-DZ"/>
        </w:rPr>
        <w:t>ا</w:t>
      </w:r>
      <w:r>
        <w:rPr>
          <w:rFonts w:ascii="Simplified Arabic" w:hAnsi="Simplified Arabic" w:cs="Simplified Arabic" w:hint="cs"/>
          <w:sz w:val="24"/>
          <w:szCs w:val="24"/>
          <w:rtl/>
          <w:lang w:val="en-US" w:bidi="ar-DZ"/>
        </w:rPr>
        <w:t>لأرض</w:t>
      </w:r>
      <w:r w:rsidR="00871B35">
        <w:rPr>
          <w:rFonts w:ascii="Simplified Arabic" w:hAnsi="Simplified Arabic" w:cs="Simplified Arabic" w:hint="cs"/>
          <w:sz w:val="24"/>
          <w:szCs w:val="24"/>
          <w:rtl/>
          <w:lang w:val="en-US" w:bidi="ar-DZ"/>
        </w:rPr>
        <w:t xml:space="preserve">. هناك </w:t>
      </w:r>
      <w:r w:rsidRPr="00E3388F">
        <w:rPr>
          <w:rFonts w:ascii="Simplified Arabic" w:hAnsi="Simplified Arabic" w:cs="Simplified Arabic" w:hint="cs"/>
          <w:sz w:val="24"/>
          <w:szCs w:val="24"/>
          <w:rtl/>
          <w:lang w:val="en-US" w:bidi="ar-DZ"/>
        </w:rPr>
        <w:t>انتقال</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واضح</w:t>
      </w:r>
      <w:r>
        <w:rPr>
          <w:rFonts w:ascii="Simplified Arabic" w:hAnsi="Simplified Arabic" w:cs="Simplified Arabic" w:hint="cs"/>
          <w:sz w:val="24"/>
          <w:szCs w:val="24"/>
          <w:rtl/>
          <w:lang w:val="en-US" w:bidi="ar-DZ"/>
        </w:rPr>
        <w:t xml:space="preserve"> لقيم </w:t>
      </w:r>
      <w:r w:rsidR="00871B35">
        <w:rPr>
          <w:rFonts w:ascii="Simplified Arabic" w:hAnsi="Simplified Arabic" w:cs="Simplified Arabic" w:hint="cs"/>
          <w:sz w:val="24"/>
          <w:szCs w:val="24"/>
          <w:rtl/>
          <w:lang w:val="en-US" w:bidi="ar-DZ"/>
        </w:rPr>
        <w:t xml:space="preserve">نسبة المسافة المحسوبة على شبكة الطرق والمسافة المحسوبة اقليديا وهذا </w:t>
      </w:r>
      <w:r w:rsidRPr="00E3388F">
        <w:rPr>
          <w:rFonts w:ascii="Simplified Arabic" w:hAnsi="Simplified Arabic" w:cs="Simplified Arabic" w:hint="cs"/>
          <w:sz w:val="24"/>
          <w:szCs w:val="24"/>
          <w:rtl/>
          <w:lang w:val="en-US" w:bidi="ar-DZ"/>
        </w:rPr>
        <w:t>بين</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 xml:space="preserve">فئة </w:t>
      </w:r>
      <w:r w:rsidR="002A047A">
        <w:rPr>
          <w:rFonts w:ascii="Simplified Arabic" w:hAnsi="Simplified Arabic" w:cs="Simplified Arabic" w:hint="cs"/>
          <w:sz w:val="24"/>
          <w:szCs w:val="24"/>
          <w:rtl/>
          <w:lang w:bidi="ar-DZ"/>
        </w:rPr>
        <w:t>النسيج الحضري</w:t>
      </w:r>
      <w:r w:rsidR="002A047A" w:rsidRPr="00E3388F">
        <w:rPr>
          <w:rFonts w:ascii="Simplified Arabic" w:hAnsi="Simplified Arabic" w:cs="Simplified Arabic" w:hint="cs"/>
          <w:sz w:val="24"/>
          <w:szCs w:val="24"/>
          <w:rtl/>
          <w:lang w:val="en-US" w:bidi="ar-DZ"/>
        </w:rPr>
        <w:t xml:space="preserve"> </w:t>
      </w:r>
      <w:r w:rsidRPr="00E3388F">
        <w:rPr>
          <w:rFonts w:ascii="Simplified Arabic" w:hAnsi="Simplified Arabic" w:cs="Simplified Arabic" w:hint="cs"/>
          <w:sz w:val="24"/>
          <w:szCs w:val="24"/>
          <w:rtl/>
          <w:lang w:val="en-US" w:bidi="ar-DZ"/>
        </w:rPr>
        <w:t xml:space="preserve">(أ) </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و</w:t>
      </w:r>
      <w:r>
        <w:rPr>
          <w:rFonts w:ascii="Simplified Arabic" w:hAnsi="Simplified Arabic" w:cs="Simplified Arabic" w:hint="cs"/>
          <w:sz w:val="24"/>
          <w:szCs w:val="24"/>
          <w:rtl/>
          <w:lang w:val="en-US" w:bidi="ar-DZ"/>
        </w:rPr>
        <w:t xml:space="preserve">بين </w:t>
      </w:r>
      <w:r w:rsidRPr="00E3388F">
        <w:rPr>
          <w:rFonts w:ascii="Simplified Arabic" w:hAnsi="Simplified Arabic" w:cs="Simplified Arabic" w:hint="cs"/>
          <w:sz w:val="24"/>
          <w:szCs w:val="24"/>
          <w:rtl/>
          <w:lang w:val="en-US" w:bidi="ar-DZ"/>
        </w:rPr>
        <w:t>الفئة (ب</w:t>
      </w:r>
      <w:r w:rsidR="00B859CC" w:rsidRPr="00E3388F">
        <w:rPr>
          <w:rFonts w:ascii="Simplified Arabic" w:hAnsi="Simplified Arabic" w:cs="Simplified Arabic" w:hint="cs"/>
          <w:sz w:val="24"/>
          <w:szCs w:val="24"/>
          <w:rtl/>
          <w:lang w:val="en-US" w:bidi="ar-DZ"/>
        </w:rPr>
        <w:t>، جـ</w:t>
      </w:r>
      <w:r w:rsidRPr="00E3388F">
        <w:rPr>
          <w:rFonts w:ascii="Simplified Arabic" w:hAnsi="Simplified Arabic" w:cs="Simplified Arabic" w:hint="cs"/>
          <w:sz w:val="24"/>
          <w:szCs w:val="24"/>
          <w:rtl/>
          <w:lang w:val="en-US" w:bidi="ar-DZ"/>
        </w:rPr>
        <w:t>، د)</w:t>
      </w:r>
      <w:r w:rsidR="00871B35">
        <w:rPr>
          <w:rFonts w:ascii="Simplified Arabic" w:hAnsi="Simplified Arabic" w:cs="Simplified Arabic" w:hint="cs"/>
          <w:sz w:val="24"/>
          <w:szCs w:val="24"/>
          <w:rtl/>
          <w:lang w:val="en-US" w:bidi="ar-DZ"/>
        </w:rPr>
        <w:t>.</w:t>
      </w:r>
      <w:r w:rsidRPr="00E3388F">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دلّ ذلك</w:t>
      </w:r>
      <w:r w:rsidR="00871B35">
        <w:rPr>
          <w:rFonts w:ascii="Simplified Arabic" w:hAnsi="Simplified Arabic" w:cs="Simplified Arabic" w:hint="cs"/>
          <w:sz w:val="24"/>
          <w:szCs w:val="24"/>
          <w:rtl/>
          <w:lang w:val="en-US" w:bidi="ar-DZ"/>
        </w:rPr>
        <w:t>،</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أن</w:t>
      </w:r>
      <w:r w:rsidRPr="00E3388F">
        <w:rPr>
          <w:rFonts w:ascii="Simplified Arabic" w:hAnsi="Simplified Arabic" w:cs="Simplified Arabic"/>
          <w:sz w:val="24"/>
          <w:szCs w:val="24"/>
          <w:rtl/>
          <w:lang w:val="en-US" w:bidi="ar-DZ"/>
        </w:rPr>
        <w:t xml:space="preserve"> </w:t>
      </w:r>
      <w:r w:rsidR="00B859CC">
        <w:rPr>
          <w:rFonts w:ascii="Simplified Arabic" w:hAnsi="Simplified Arabic" w:cs="Simplified Arabic" w:hint="cs"/>
          <w:sz w:val="24"/>
          <w:szCs w:val="24"/>
          <w:rtl/>
          <w:lang w:val="en-US" w:bidi="ar-DZ"/>
        </w:rPr>
        <w:t>الفئة (أ</w:t>
      </w:r>
      <w:r w:rsidRPr="00E3388F">
        <w:rPr>
          <w:rFonts w:ascii="Simplified Arabic" w:hAnsi="Simplified Arabic" w:cs="Simplified Arabic" w:hint="cs"/>
          <w:sz w:val="24"/>
          <w:szCs w:val="24"/>
          <w:rtl/>
          <w:lang w:val="en-US" w:bidi="ar-DZ"/>
        </w:rPr>
        <w:t>) فقدت</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قدرتها</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على</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توفير</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وصول</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سهل</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لعدد</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أكبر</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من</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الوجهات</w:t>
      </w:r>
      <w:r w:rsidRPr="00E3388F">
        <w:rPr>
          <w:rFonts w:ascii="Simplified Arabic" w:hAnsi="Simplified Arabic" w:cs="Simplified Arabic"/>
          <w:sz w:val="24"/>
          <w:szCs w:val="24"/>
          <w:rtl/>
          <w:lang w:val="en-US" w:bidi="ar-DZ"/>
        </w:rPr>
        <w:t xml:space="preserve"> </w:t>
      </w:r>
      <w:r w:rsidRPr="00E3388F">
        <w:rPr>
          <w:rFonts w:ascii="Simplified Arabic" w:hAnsi="Simplified Arabic" w:cs="Simplified Arabic" w:hint="cs"/>
          <w:sz w:val="24"/>
          <w:szCs w:val="24"/>
          <w:rtl/>
          <w:lang w:val="en-US" w:bidi="ar-DZ"/>
        </w:rPr>
        <w:t>المختلفة</w:t>
      </w:r>
      <w:r w:rsidR="00871B35">
        <w:rPr>
          <w:rFonts w:ascii="Simplified Arabic" w:hAnsi="Simplified Arabic" w:cs="Simplified Arabic" w:hint="cs"/>
          <w:sz w:val="24"/>
          <w:szCs w:val="24"/>
          <w:rtl/>
          <w:lang w:val="en-US" w:bidi="ar-DZ"/>
        </w:rPr>
        <w:t>، بسبب تقسيمات الارض الفرعية الكبيرة وضيق وتعرج الشوارع.</w:t>
      </w:r>
    </w:p>
    <w:p w:rsidR="009B593E" w:rsidRPr="007B29E7" w:rsidRDefault="002A686B" w:rsidP="001D0548">
      <w:pPr>
        <w:pStyle w:val="Paragraphedeliste"/>
        <w:numPr>
          <w:ilvl w:val="0"/>
          <w:numId w:val="66"/>
        </w:numPr>
        <w:tabs>
          <w:tab w:val="right" w:pos="0"/>
          <w:tab w:val="right" w:pos="567"/>
        </w:tabs>
        <w:autoSpaceDE w:val="0"/>
        <w:autoSpaceDN w:val="0"/>
        <w:bidi/>
        <w:adjustRightInd w:val="0"/>
        <w:spacing w:after="0"/>
        <w:ind w:left="0" w:firstLine="283"/>
        <w:jc w:val="both"/>
        <w:rPr>
          <w:rFonts w:ascii="Simplified Arabic" w:hAnsi="Simplified Arabic" w:cs="Simplified Arabic"/>
          <w:sz w:val="24"/>
          <w:szCs w:val="24"/>
          <w:lang w:val="en-US" w:bidi="ar-DZ"/>
        </w:rPr>
      </w:pPr>
      <w:r w:rsidRPr="009B593E">
        <w:rPr>
          <w:rFonts w:ascii="Simplified Arabic" w:hAnsi="Simplified Arabic" w:cs="Simplified Arabic" w:hint="cs"/>
          <w:sz w:val="24"/>
          <w:szCs w:val="24"/>
          <w:rtl/>
          <w:lang w:val="en-US" w:bidi="ar-DZ"/>
        </w:rPr>
        <w:t xml:space="preserve">اظهرت سمة التنوع على مستوى </w:t>
      </w:r>
      <w:r w:rsidR="00F81791" w:rsidRPr="009B593E">
        <w:rPr>
          <w:rFonts w:ascii="Simplified Arabic" w:hAnsi="Simplified Arabic" w:cs="Simplified Arabic" w:hint="cs"/>
          <w:sz w:val="24"/>
          <w:szCs w:val="24"/>
          <w:rtl/>
          <w:lang w:val="en-US" w:bidi="ar-DZ"/>
        </w:rPr>
        <w:t xml:space="preserve">احياء </w:t>
      </w:r>
      <w:r w:rsidRPr="009B593E">
        <w:rPr>
          <w:rFonts w:ascii="Simplified Arabic" w:hAnsi="Simplified Arabic" w:cs="Simplified Arabic" w:hint="cs"/>
          <w:sz w:val="24"/>
          <w:szCs w:val="24"/>
          <w:rtl/>
          <w:lang w:val="en-US" w:bidi="ar-DZ"/>
        </w:rPr>
        <w:t>فئات الانسجة الحضرية الاربعة، تباين حول مستويات التغطية</w:t>
      </w:r>
      <w:r w:rsidRPr="009B593E">
        <w:rPr>
          <w:rFonts w:ascii="Simplified Arabic" w:hAnsi="Simplified Arabic" w:cs="Simplified Arabic"/>
          <w:sz w:val="24"/>
          <w:szCs w:val="24"/>
          <w:rtl/>
          <w:lang w:val="en-US" w:bidi="ar-DZ"/>
        </w:rPr>
        <w:t xml:space="preserve"> </w:t>
      </w:r>
      <w:r w:rsidRPr="009B593E">
        <w:rPr>
          <w:rFonts w:ascii="Simplified Arabic" w:hAnsi="Simplified Arabic" w:cs="Simplified Arabic" w:hint="cs"/>
          <w:sz w:val="24"/>
          <w:szCs w:val="24"/>
          <w:rtl/>
          <w:lang w:val="en-US" w:bidi="ar-DZ"/>
        </w:rPr>
        <w:t>بالمرافق</w:t>
      </w:r>
      <w:r w:rsidRPr="009B593E">
        <w:rPr>
          <w:rFonts w:ascii="Simplified Arabic" w:hAnsi="Simplified Arabic" w:cs="Simplified Arabic" w:hint="cs"/>
          <w:color w:val="000000" w:themeColor="text1"/>
          <w:sz w:val="24"/>
          <w:szCs w:val="24"/>
          <w:rtl/>
        </w:rPr>
        <w:t xml:space="preserve"> </w:t>
      </w:r>
      <w:r w:rsidRPr="009B593E">
        <w:rPr>
          <w:rFonts w:ascii="Simplified Arabic" w:hAnsi="Simplified Arabic" w:cs="Simplified Arabic" w:hint="cs"/>
          <w:sz w:val="24"/>
          <w:szCs w:val="24"/>
          <w:rtl/>
          <w:lang w:val="en-US" w:bidi="ar-DZ"/>
        </w:rPr>
        <w:t>عبر الأحياء السكنية،</w:t>
      </w:r>
      <w:r w:rsidRPr="009B593E">
        <w:rPr>
          <w:rFonts w:ascii="Simplified Arabic" w:hAnsi="Simplified Arabic" w:cs="Simplified Arabic"/>
          <w:sz w:val="24"/>
          <w:szCs w:val="24"/>
          <w:rtl/>
          <w:lang w:val="en-US" w:bidi="ar-DZ"/>
        </w:rPr>
        <w:t xml:space="preserve"> </w:t>
      </w:r>
      <w:r w:rsidRPr="009B593E">
        <w:rPr>
          <w:rFonts w:ascii="Simplified Arabic" w:hAnsi="Simplified Arabic" w:cs="Simplified Arabic" w:hint="cs"/>
          <w:sz w:val="24"/>
          <w:szCs w:val="24"/>
          <w:rtl/>
          <w:lang w:val="en-US" w:bidi="ar-DZ"/>
        </w:rPr>
        <w:t>تعكس</w:t>
      </w:r>
      <w:r w:rsidRPr="009B593E">
        <w:rPr>
          <w:rFonts w:ascii="Simplified Arabic" w:hAnsi="Simplified Arabic" w:cs="Simplified Arabic"/>
          <w:sz w:val="24"/>
          <w:szCs w:val="24"/>
          <w:rtl/>
          <w:lang w:val="en-US" w:bidi="ar-DZ"/>
        </w:rPr>
        <w:t xml:space="preserve"> </w:t>
      </w:r>
      <w:r w:rsidR="00F81791" w:rsidRPr="009B593E">
        <w:rPr>
          <w:rFonts w:ascii="Simplified Arabic" w:hAnsi="Simplified Arabic" w:cs="Simplified Arabic" w:hint="cs"/>
          <w:sz w:val="24"/>
          <w:szCs w:val="24"/>
          <w:rtl/>
          <w:lang w:val="en-US" w:bidi="ar-DZ"/>
        </w:rPr>
        <w:t>الصورة الحقيقية ل</w:t>
      </w:r>
      <w:r w:rsidRPr="009B593E">
        <w:rPr>
          <w:rFonts w:ascii="Simplified Arabic" w:hAnsi="Simplified Arabic" w:cs="Simplified Arabic" w:hint="cs"/>
          <w:sz w:val="24"/>
          <w:szCs w:val="24"/>
          <w:rtl/>
          <w:lang w:val="en-US" w:bidi="ar-DZ"/>
        </w:rPr>
        <w:t>تباين</w:t>
      </w:r>
      <w:r w:rsidR="00F81791" w:rsidRPr="009B593E">
        <w:rPr>
          <w:rFonts w:ascii="Simplified Arabic" w:hAnsi="Simplified Arabic" w:cs="Simplified Arabic" w:hint="cs"/>
          <w:sz w:val="24"/>
          <w:szCs w:val="24"/>
          <w:rtl/>
          <w:lang w:val="en-US" w:bidi="ar-DZ"/>
        </w:rPr>
        <w:t>ات</w:t>
      </w:r>
      <w:r w:rsidRPr="009B593E">
        <w:rPr>
          <w:rFonts w:ascii="Simplified Arabic" w:hAnsi="Simplified Arabic" w:cs="Simplified Arabic" w:hint="cs"/>
          <w:sz w:val="24"/>
          <w:szCs w:val="24"/>
          <w:rtl/>
          <w:lang w:val="en-US" w:bidi="ar-DZ"/>
        </w:rPr>
        <w:t xml:space="preserve"> </w:t>
      </w:r>
      <w:r w:rsidR="003337FD">
        <w:rPr>
          <w:rFonts w:ascii="Simplified Arabic" w:hAnsi="Simplified Arabic" w:cs="Simplified Arabic" w:hint="cs"/>
          <w:sz w:val="24"/>
          <w:szCs w:val="24"/>
          <w:rtl/>
        </w:rPr>
        <w:t>استعمالات</w:t>
      </w:r>
      <w:r w:rsidRPr="009B593E">
        <w:rPr>
          <w:rFonts w:ascii="Simplified Arabic" w:hAnsi="Simplified Arabic" w:cs="Simplified Arabic" w:hint="cs"/>
          <w:sz w:val="24"/>
          <w:szCs w:val="24"/>
          <w:rtl/>
          <w:lang w:val="en-US" w:bidi="ar-DZ"/>
        </w:rPr>
        <w:t xml:space="preserve"> الارض</w:t>
      </w:r>
      <w:r w:rsidRPr="009B593E">
        <w:rPr>
          <w:rFonts w:ascii="Simplified Arabic" w:hAnsi="Simplified Arabic" w:cs="Simplified Arabic"/>
          <w:sz w:val="24"/>
          <w:szCs w:val="24"/>
          <w:rtl/>
          <w:lang w:val="en-US" w:bidi="ar-DZ"/>
        </w:rPr>
        <w:t xml:space="preserve"> </w:t>
      </w:r>
      <w:r w:rsidRPr="009B593E">
        <w:rPr>
          <w:rFonts w:ascii="Simplified Arabic" w:hAnsi="Simplified Arabic" w:cs="Simplified Arabic" w:hint="cs"/>
          <w:sz w:val="24"/>
          <w:szCs w:val="24"/>
          <w:rtl/>
          <w:lang w:val="en-US" w:bidi="ar-DZ"/>
        </w:rPr>
        <w:t>و</w:t>
      </w:r>
      <w:r w:rsidR="002A047A" w:rsidRPr="009B593E">
        <w:rPr>
          <w:rFonts w:ascii="Simplified Arabic" w:hAnsi="Simplified Arabic" w:cs="Simplified Arabic" w:hint="cs"/>
          <w:sz w:val="24"/>
          <w:szCs w:val="24"/>
          <w:rtl/>
          <w:lang w:val="en-US" w:bidi="ar-DZ"/>
        </w:rPr>
        <w:t>ا</w:t>
      </w:r>
      <w:r w:rsidR="00A32BD5">
        <w:rPr>
          <w:rFonts w:ascii="Simplified Arabic" w:hAnsi="Simplified Arabic" w:cs="Simplified Arabic" w:hint="cs"/>
          <w:sz w:val="24"/>
          <w:szCs w:val="24"/>
          <w:rtl/>
          <w:lang w:val="en-US" w:bidi="ar-DZ"/>
        </w:rPr>
        <w:t>رتفاع</w:t>
      </w:r>
      <w:r w:rsidRPr="009B593E">
        <w:rPr>
          <w:rFonts w:ascii="Simplified Arabic" w:hAnsi="Simplified Arabic" w:cs="Simplified Arabic"/>
          <w:sz w:val="24"/>
          <w:szCs w:val="24"/>
          <w:rtl/>
          <w:lang w:val="en-US" w:bidi="ar-DZ"/>
        </w:rPr>
        <w:t xml:space="preserve"> </w:t>
      </w:r>
      <w:r w:rsidRPr="009B593E">
        <w:rPr>
          <w:rFonts w:ascii="Simplified Arabic" w:hAnsi="Simplified Arabic" w:cs="Simplified Arabic" w:hint="cs"/>
          <w:sz w:val="24"/>
          <w:szCs w:val="24"/>
          <w:rtl/>
          <w:lang w:val="en-US" w:bidi="ar-DZ"/>
        </w:rPr>
        <w:t xml:space="preserve">واضح لقيم </w:t>
      </w:r>
      <w:r w:rsidR="00F81791" w:rsidRPr="009B593E">
        <w:rPr>
          <w:rFonts w:ascii="Simplified Arabic" w:hAnsi="Simplified Arabic" w:cs="Simplified Arabic" w:hint="cs"/>
          <w:sz w:val="24"/>
          <w:szCs w:val="24"/>
          <w:rtl/>
          <w:lang w:val="en-US" w:bidi="ar-DZ"/>
        </w:rPr>
        <w:t>تنوع</w:t>
      </w:r>
      <w:r w:rsidR="00871B35" w:rsidRPr="009B593E">
        <w:rPr>
          <w:rFonts w:ascii="Simplified Arabic" w:hAnsi="Simplified Arabic" w:cs="Simplified Arabic" w:hint="cs"/>
          <w:sz w:val="24"/>
          <w:szCs w:val="24"/>
          <w:rtl/>
          <w:lang w:val="en-US" w:bidi="ar-DZ"/>
        </w:rPr>
        <w:t xml:space="preserve"> </w:t>
      </w:r>
      <w:r w:rsidR="00506E38">
        <w:rPr>
          <w:rFonts w:ascii="Simplified Arabic" w:hAnsi="Simplified Arabic" w:cs="Simplified Arabic" w:hint="cs"/>
          <w:sz w:val="24"/>
          <w:szCs w:val="24"/>
          <w:rtl/>
          <w:lang w:val="en-US" w:bidi="ar-DZ"/>
        </w:rPr>
        <w:t>ال</w:t>
      </w:r>
      <w:r w:rsidR="00871B35" w:rsidRPr="009B593E">
        <w:rPr>
          <w:rFonts w:ascii="Simplified Arabic" w:hAnsi="Simplified Arabic" w:cs="Simplified Arabic" w:hint="cs"/>
          <w:sz w:val="24"/>
          <w:szCs w:val="24"/>
          <w:rtl/>
          <w:lang w:val="en-US" w:bidi="ar-DZ"/>
        </w:rPr>
        <w:t xml:space="preserve">مرافق </w:t>
      </w:r>
      <w:r w:rsidR="00506E38">
        <w:rPr>
          <w:rFonts w:ascii="Simplified Arabic" w:hAnsi="Simplified Arabic" w:cs="Simplified Arabic" w:hint="cs"/>
          <w:sz w:val="24"/>
          <w:szCs w:val="24"/>
          <w:rtl/>
          <w:lang w:val="en-US" w:bidi="ar-DZ"/>
        </w:rPr>
        <w:t>ب</w:t>
      </w:r>
      <w:r w:rsidR="002A047A" w:rsidRPr="009B593E">
        <w:rPr>
          <w:rFonts w:ascii="Simplified Arabic" w:hAnsi="Simplified Arabic" w:cs="Simplified Arabic" w:hint="cs"/>
          <w:sz w:val="24"/>
          <w:szCs w:val="24"/>
          <w:rtl/>
          <w:lang w:bidi="ar-DZ"/>
        </w:rPr>
        <w:t>فئة النسيج الحضري</w:t>
      </w:r>
      <w:r w:rsidR="002A047A" w:rsidRPr="009B593E">
        <w:rPr>
          <w:rFonts w:ascii="Simplified Arabic" w:hAnsi="Simplified Arabic" w:cs="Simplified Arabic" w:hint="cs"/>
          <w:sz w:val="24"/>
          <w:szCs w:val="24"/>
          <w:rtl/>
          <w:lang w:val="en-US" w:bidi="ar-DZ"/>
        </w:rPr>
        <w:t xml:space="preserve"> </w:t>
      </w:r>
      <w:r w:rsidRPr="009B593E">
        <w:rPr>
          <w:rFonts w:ascii="Simplified Arabic" w:hAnsi="Simplified Arabic" w:cs="Simplified Arabic" w:hint="cs"/>
          <w:sz w:val="24"/>
          <w:szCs w:val="24"/>
          <w:rtl/>
          <w:lang w:val="en-US" w:bidi="ar-DZ"/>
        </w:rPr>
        <w:t xml:space="preserve">(أ، </w:t>
      </w:r>
      <w:r w:rsidR="00871B35" w:rsidRPr="009B593E">
        <w:rPr>
          <w:rFonts w:ascii="Simplified Arabic" w:hAnsi="Simplified Arabic" w:cs="Simplified Arabic" w:hint="cs"/>
          <w:sz w:val="24"/>
          <w:szCs w:val="24"/>
          <w:rtl/>
          <w:lang w:val="en-US" w:bidi="ar-DZ"/>
        </w:rPr>
        <w:t>ب</w:t>
      </w:r>
      <w:r w:rsidR="007B29E7">
        <w:rPr>
          <w:rFonts w:ascii="Simplified Arabic" w:hAnsi="Simplified Arabic" w:cs="Simplified Arabic" w:hint="cs"/>
          <w:sz w:val="24"/>
          <w:szCs w:val="24"/>
          <w:rtl/>
          <w:lang w:val="en-US" w:bidi="ar-DZ"/>
        </w:rPr>
        <w:t>)</w:t>
      </w:r>
      <w:r w:rsidR="002A047A" w:rsidRPr="009B593E">
        <w:rPr>
          <w:rFonts w:ascii="Simplified Arabic" w:hAnsi="Simplified Arabic" w:cs="Simplified Arabic" w:hint="cs"/>
          <w:sz w:val="24"/>
          <w:szCs w:val="24"/>
          <w:rtl/>
          <w:lang w:val="en-US" w:bidi="ar-DZ"/>
        </w:rPr>
        <w:t>.</w:t>
      </w:r>
      <w:r w:rsidRPr="009B593E">
        <w:rPr>
          <w:rFonts w:ascii="Simplified Arabic" w:hAnsi="Simplified Arabic" w:cs="Simplified Arabic"/>
          <w:sz w:val="24"/>
          <w:szCs w:val="24"/>
          <w:rtl/>
          <w:lang w:val="en-US" w:bidi="ar-DZ"/>
        </w:rPr>
        <w:t xml:space="preserve"> </w:t>
      </w:r>
      <w:r w:rsidRPr="009B593E">
        <w:rPr>
          <w:rFonts w:ascii="Simplified Arabic" w:hAnsi="Simplified Arabic" w:cs="Simplified Arabic" w:hint="cs"/>
          <w:sz w:val="24"/>
          <w:szCs w:val="24"/>
          <w:rtl/>
          <w:lang w:val="en-US" w:bidi="ar-DZ"/>
        </w:rPr>
        <w:t>دلّ ذلك</w:t>
      </w:r>
      <w:r w:rsidRPr="009B593E">
        <w:rPr>
          <w:rFonts w:ascii="Simplified Arabic" w:hAnsi="Simplified Arabic" w:cs="Simplified Arabic"/>
          <w:sz w:val="24"/>
          <w:szCs w:val="24"/>
          <w:rtl/>
          <w:lang w:val="en-US" w:bidi="ar-DZ"/>
        </w:rPr>
        <w:t xml:space="preserve"> </w:t>
      </w:r>
      <w:r w:rsidRPr="009B593E">
        <w:rPr>
          <w:rFonts w:ascii="Simplified Arabic" w:hAnsi="Simplified Arabic" w:cs="Simplified Arabic" w:hint="cs"/>
          <w:sz w:val="24"/>
          <w:szCs w:val="24"/>
          <w:rtl/>
          <w:lang w:val="en-US" w:bidi="ar-DZ"/>
        </w:rPr>
        <w:t>أن</w:t>
      </w:r>
      <w:r w:rsidRPr="009B593E">
        <w:rPr>
          <w:rFonts w:ascii="Simplified Arabic" w:hAnsi="Simplified Arabic" w:cs="Simplified Arabic"/>
          <w:sz w:val="24"/>
          <w:szCs w:val="24"/>
          <w:rtl/>
          <w:lang w:val="en-US" w:bidi="ar-DZ"/>
        </w:rPr>
        <w:t xml:space="preserve"> </w:t>
      </w:r>
      <w:r w:rsidR="00F81791" w:rsidRPr="009B593E">
        <w:rPr>
          <w:rFonts w:ascii="Simplified Arabic" w:hAnsi="Simplified Arabic" w:cs="Simplified Arabic" w:hint="cs"/>
          <w:sz w:val="24"/>
          <w:szCs w:val="24"/>
          <w:rtl/>
          <w:lang w:val="en-US" w:bidi="ar-DZ"/>
        </w:rPr>
        <w:t xml:space="preserve">حي القصر وبلاتو الواقعين ضمن </w:t>
      </w:r>
      <w:r w:rsidRPr="009B593E">
        <w:rPr>
          <w:rFonts w:ascii="Simplified Arabic" w:hAnsi="Simplified Arabic" w:cs="Simplified Arabic" w:hint="cs"/>
          <w:sz w:val="24"/>
          <w:szCs w:val="24"/>
          <w:rtl/>
          <w:lang w:val="en-US" w:bidi="ar-DZ"/>
        </w:rPr>
        <w:t xml:space="preserve">الفئة (أ، </w:t>
      </w:r>
      <w:r w:rsidR="002A047A" w:rsidRPr="009B593E">
        <w:rPr>
          <w:rFonts w:ascii="Simplified Arabic" w:hAnsi="Simplified Arabic" w:cs="Simplified Arabic" w:hint="cs"/>
          <w:sz w:val="24"/>
          <w:szCs w:val="24"/>
          <w:rtl/>
          <w:lang w:val="en-US" w:bidi="ar-DZ"/>
        </w:rPr>
        <w:t>ب</w:t>
      </w:r>
      <w:r w:rsidRPr="009B593E">
        <w:rPr>
          <w:rFonts w:ascii="Simplified Arabic" w:hAnsi="Simplified Arabic" w:cs="Simplified Arabic" w:hint="cs"/>
          <w:sz w:val="24"/>
          <w:szCs w:val="24"/>
          <w:rtl/>
          <w:lang w:val="en-US" w:bidi="ar-DZ"/>
        </w:rPr>
        <w:t xml:space="preserve">) </w:t>
      </w:r>
      <w:r w:rsidR="002A047A" w:rsidRPr="009B593E">
        <w:rPr>
          <w:rFonts w:ascii="Simplified Arabic" w:hAnsi="Simplified Arabic" w:cs="Simplified Arabic" w:hint="cs"/>
          <w:sz w:val="24"/>
          <w:szCs w:val="24"/>
          <w:rtl/>
          <w:lang w:val="en-US" w:bidi="ar-DZ"/>
        </w:rPr>
        <w:t>تتنوع به</w:t>
      </w:r>
      <w:r w:rsidR="007B29E7">
        <w:rPr>
          <w:rFonts w:ascii="Simplified Arabic" w:hAnsi="Simplified Arabic" w:cs="Simplified Arabic" w:hint="cs"/>
          <w:sz w:val="24"/>
          <w:szCs w:val="24"/>
          <w:rtl/>
          <w:lang w:val="en-US" w:bidi="ar-DZ"/>
        </w:rPr>
        <w:t>م</w:t>
      </w:r>
      <w:r w:rsidR="002A047A" w:rsidRPr="009B593E">
        <w:rPr>
          <w:rFonts w:ascii="Simplified Arabic" w:hAnsi="Simplified Arabic" w:cs="Simplified Arabic" w:hint="cs"/>
          <w:sz w:val="24"/>
          <w:szCs w:val="24"/>
          <w:rtl/>
          <w:lang w:val="en-US" w:bidi="ar-DZ"/>
        </w:rPr>
        <w:t>ا ال</w:t>
      </w:r>
      <w:r w:rsidRPr="009B593E">
        <w:rPr>
          <w:rFonts w:ascii="Simplified Arabic" w:hAnsi="Simplified Arabic" w:cs="Simplified Arabic" w:hint="cs"/>
          <w:sz w:val="24"/>
          <w:szCs w:val="24"/>
          <w:rtl/>
          <w:lang w:val="en-US" w:bidi="ar-DZ"/>
        </w:rPr>
        <w:t>مرافق، بسبب موقعه</w:t>
      </w:r>
      <w:r w:rsidR="00F81791" w:rsidRPr="009B593E">
        <w:rPr>
          <w:rFonts w:ascii="Simplified Arabic" w:hAnsi="Simplified Arabic" w:cs="Simplified Arabic" w:hint="cs"/>
          <w:sz w:val="24"/>
          <w:szCs w:val="24"/>
          <w:rtl/>
          <w:lang w:val="en-US" w:bidi="ar-DZ"/>
        </w:rPr>
        <w:t>م</w:t>
      </w:r>
      <w:r w:rsidRPr="009B593E">
        <w:rPr>
          <w:rFonts w:ascii="Simplified Arabic" w:hAnsi="Simplified Arabic" w:cs="Simplified Arabic" w:hint="cs"/>
          <w:sz w:val="24"/>
          <w:szCs w:val="24"/>
          <w:rtl/>
          <w:lang w:val="en-US" w:bidi="ar-DZ"/>
        </w:rPr>
        <w:t>ا وسط مدينة</w:t>
      </w:r>
      <w:r w:rsidR="002A047A" w:rsidRPr="009B593E">
        <w:rPr>
          <w:rFonts w:ascii="Simplified Arabic" w:hAnsi="Simplified Arabic" w:cs="Simplified Arabic"/>
          <w:sz w:val="24"/>
          <w:szCs w:val="24"/>
          <w:rtl/>
          <w:lang w:bidi="ar-DZ"/>
        </w:rPr>
        <w:t xml:space="preserve"> بوسعادة</w:t>
      </w:r>
      <w:r w:rsidR="002A047A" w:rsidRPr="009B593E">
        <w:rPr>
          <w:rFonts w:ascii="Simplified Arabic" w:hAnsi="Simplified Arabic" w:cs="Simplified Arabic" w:hint="cs"/>
          <w:sz w:val="24"/>
          <w:szCs w:val="24"/>
          <w:rtl/>
          <w:lang w:val="en-US" w:bidi="ar-DZ"/>
        </w:rPr>
        <w:t>،</w:t>
      </w:r>
      <w:r w:rsidRPr="009B593E">
        <w:rPr>
          <w:rFonts w:ascii="Simplified Arabic" w:hAnsi="Simplified Arabic" w:cs="Simplified Arabic" w:hint="cs"/>
          <w:sz w:val="24"/>
          <w:szCs w:val="24"/>
          <w:rtl/>
          <w:lang w:val="en-US" w:bidi="ar-DZ"/>
        </w:rPr>
        <w:t xml:space="preserve"> </w:t>
      </w:r>
      <w:r w:rsidRPr="007B29E7">
        <w:rPr>
          <w:rFonts w:ascii="Simplified Arabic" w:hAnsi="Simplified Arabic" w:cs="Simplified Arabic"/>
          <w:sz w:val="24"/>
          <w:szCs w:val="24"/>
          <w:rtl/>
          <w:lang w:val="en-US" w:bidi="ar-DZ"/>
        </w:rPr>
        <w:t>أظهر</w:t>
      </w:r>
      <w:r w:rsidR="00F81791" w:rsidRPr="007B29E7">
        <w:rPr>
          <w:rFonts w:ascii="Simplified Arabic" w:hAnsi="Simplified Arabic" w:cs="Simplified Arabic" w:hint="cs"/>
          <w:sz w:val="24"/>
          <w:szCs w:val="24"/>
          <w:rtl/>
          <w:lang w:val="en-US" w:bidi="ar-DZ"/>
        </w:rPr>
        <w:t xml:space="preserve">ا </w:t>
      </w:r>
      <w:r w:rsidRPr="007B29E7">
        <w:rPr>
          <w:rFonts w:ascii="Simplified Arabic" w:hAnsi="Simplified Arabic" w:cs="Simplified Arabic" w:hint="cs"/>
          <w:sz w:val="24"/>
          <w:szCs w:val="24"/>
          <w:rtl/>
          <w:lang w:val="en-US" w:bidi="ar-DZ"/>
        </w:rPr>
        <w:t>نوعًا</w:t>
      </w:r>
      <w:r w:rsidRPr="007B29E7">
        <w:rPr>
          <w:rFonts w:ascii="Simplified Arabic" w:hAnsi="Simplified Arabic" w:cs="Simplified Arabic"/>
          <w:sz w:val="24"/>
          <w:szCs w:val="24"/>
          <w:rtl/>
          <w:lang w:val="en-US" w:bidi="ar-DZ"/>
        </w:rPr>
        <w:t xml:space="preserve"> متزايدًا </w:t>
      </w:r>
      <w:r w:rsidRPr="007B29E7">
        <w:rPr>
          <w:rFonts w:ascii="Simplified Arabic" w:hAnsi="Simplified Arabic" w:cs="Simplified Arabic" w:hint="cs"/>
          <w:sz w:val="24"/>
          <w:szCs w:val="24"/>
          <w:rtl/>
          <w:lang w:val="en-US" w:bidi="ar-DZ"/>
        </w:rPr>
        <w:t>لمستوى</w:t>
      </w:r>
      <w:r w:rsidRPr="007B29E7">
        <w:rPr>
          <w:rFonts w:ascii="Simplified Arabic" w:hAnsi="Simplified Arabic" w:cs="Simplified Arabic"/>
          <w:sz w:val="24"/>
          <w:szCs w:val="24"/>
          <w:rtl/>
          <w:lang w:val="en-US" w:bidi="ar-DZ"/>
        </w:rPr>
        <w:t xml:space="preserve"> </w:t>
      </w:r>
      <w:r w:rsidR="002A047A" w:rsidRPr="007B29E7">
        <w:rPr>
          <w:rFonts w:ascii="Simplified Arabic" w:hAnsi="Simplified Arabic" w:cs="Simplified Arabic" w:hint="cs"/>
          <w:sz w:val="24"/>
          <w:szCs w:val="24"/>
          <w:rtl/>
          <w:lang w:val="en-US" w:bidi="ar-DZ"/>
        </w:rPr>
        <w:t>إمكانية</w:t>
      </w:r>
      <w:r w:rsidR="002A047A" w:rsidRPr="007B29E7">
        <w:rPr>
          <w:rFonts w:ascii="Simplified Arabic" w:hAnsi="Simplified Arabic" w:cs="Simplified Arabic"/>
          <w:sz w:val="24"/>
          <w:szCs w:val="24"/>
          <w:rtl/>
          <w:lang w:val="en-US" w:bidi="ar-DZ"/>
        </w:rPr>
        <w:t xml:space="preserve"> </w:t>
      </w:r>
      <w:r w:rsidR="002A047A" w:rsidRPr="007B29E7">
        <w:rPr>
          <w:rFonts w:ascii="Simplified Arabic" w:hAnsi="Simplified Arabic" w:cs="Simplified Arabic" w:hint="cs"/>
          <w:sz w:val="24"/>
          <w:szCs w:val="24"/>
          <w:rtl/>
          <w:lang w:val="en-US" w:bidi="ar-DZ"/>
        </w:rPr>
        <w:t>الوصول</w:t>
      </w:r>
      <w:r w:rsidR="002A047A" w:rsidRPr="007B29E7">
        <w:rPr>
          <w:rFonts w:ascii="Simplified Arabic" w:hAnsi="Simplified Arabic" w:cs="Simplified Arabic"/>
          <w:sz w:val="24"/>
          <w:szCs w:val="24"/>
          <w:rtl/>
          <w:lang w:val="en-US" w:bidi="ar-DZ"/>
        </w:rPr>
        <w:t xml:space="preserve"> </w:t>
      </w:r>
      <w:r w:rsidR="002A047A" w:rsidRPr="007B29E7">
        <w:rPr>
          <w:rFonts w:ascii="Simplified Arabic" w:hAnsi="Simplified Arabic" w:cs="Simplified Arabic" w:hint="cs"/>
          <w:sz w:val="24"/>
          <w:szCs w:val="24"/>
          <w:rtl/>
          <w:lang w:val="en-US" w:bidi="ar-DZ"/>
        </w:rPr>
        <w:t>إلى</w:t>
      </w:r>
      <w:r w:rsidR="002A047A" w:rsidRPr="007B29E7">
        <w:rPr>
          <w:rFonts w:ascii="Simplified Arabic" w:hAnsi="Simplified Arabic" w:cs="Simplified Arabic"/>
          <w:sz w:val="24"/>
          <w:szCs w:val="24"/>
          <w:rtl/>
          <w:lang w:val="en-US" w:bidi="ar-DZ"/>
        </w:rPr>
        <w:t xml:space="preserve"> </w:t>
      </w:r>
      <w:r w:rsidR="002A047A" w:rsidRPr="007B29E7">
        <w:rPr>
          <w:rFonts w:ascii="Simplified Arabic" w:hAnsi="Simplified Arabic" w:cs="Simplified Arabic" w:hint="cs"/>
          <w:sz w:val="24"/>
          <w:szCs w:val="24"/>
          <w:rtl/>
          <w:lang w:val="en-US" w:bidi="ar-DZ"/>
        </w:rPr>
        <w:t>المرافق</w:t>
      </w:r>
      <w:r w:rsidR="00F81791" w:rsidRPr="007B29E7">
        <w:rPr>
          <w:rFonts w:ascii="Simplified Arabic" w:hAnsi="Simplified Arabic" w:cs="Simplified Arabic" w:hint="cs"/>
          <w:sz w:val="24"/>
          <w:szCs w:val="24"/>
          <w:rtl/>
          <w:lang w:val="en-US" w:bidi="ar-DZ"/>
        </w:rPr>
        <w:t>. بين</w:t>
      </w:r>
      <w:r w:rsidR="009B593E" w:rsidRPr="007B29E7">
        <w:rPr>
          <w:rFonts w:ascii="Simplified Arabic" w:hAnsi="Simplified Arabic" w:cs="Simplified Arabic" w:hint="cs"/>
          <w:sz w:val="24"/>
          <w:szCs w:val="24"/>
          <w:rtl/>
          <w:lang w:val="en-US" w:bidi="ar-DZ"/>
        </w:rPr>
        <w:t>م</w:t>
      </w:r>
      <w:r w:rsidR="00F81791" w:rsidRPr="007B29E7">
        <w:rPr>
          <w:rFonts w:ascii="Simplified Arabic" w:hAnsi="Simplified Arabic" w:cs="Simplified Arabic" w:hint="cs"/>
          <w:sz w:val="24"/>
          <w:szCs w:val="24"/>
          <w:rtl/>
          <w:lang w:val="en-US" w:bidi="ar-DZ"/>
        </w:rPr>
        <w:t xml:space="preserve">ا تنخفض قيم التنوع </w:t>
      </w:r>
      <w:r w:rsidR="009B593E" w:rsidRPr="007B29E7">
        <w:rPr>
          <w:rFonts w:ascii="Simplified Arabic" w:hAnsi="Simplified Arabic" w:cs="Simplified Arabic" w:hint="cs"/>
          <w:sz w:val="24"/>
          <w:szCs w:val="24"/>
          <w:rtl/>
          <w:lang w:val="en-US" w:bidi="ar-DZ"/>
        </w:rPr>
        <w:t>ب</w:t>
      </w:r>
      <w:r w:rsidR="00F81791" w:rsidRPr="007B29E7">
        <w:rPr>
          <w:rFonts w:ascii="Simplified Arabic" w:hAnsi="Simplified Arabic" w:cs="Simplified Arabic" w:hint="cs"/>
          <w:sz w:val="24"/>
          <w:szCs w:val="24"/>
          <w:rtl/>
          <w:lang w:val="en-US" w:bidi="ar-DZ"/>
        </w:rPr>
        <w:t>فئة النسيج الحضري</w:t>
      </w:r>
      <w:r w:rsidRPr="007B29E7">
        <w:rPr>
          <w:rFonts w:ascii="Simplified Arabic" w:hAnsi="Simplified Arabic" w:cs="Simplified Arabic" w:hint="cs"/>
          <w:sz w:val="24"/>
          <w:szCs w:val="24"/>
          <w:rtl/>
          <w:lang w:val="en-US" w:bidi="ar-DZ"/>
        </w:rPr>
        <w:t xml:space="preserve"> (</w:t>
      </w:r>
      <w:r w:rsidR="00F81791" w:rsidRPr="007B29E7">
        <w:rPr>
          <w:rFonts w:ascii="Simplified Arabic" w:hAnsi="Simplified Arabic" w:cs="Simplified Arabic" w:hint="cs"/>
          <w:sz w:val="24"/>
          <w:szCs w:val="24"/>
          <w:rtl/>
          <w:lang w:val="en-US" w:bidi="ar-DZ"/>
        </w:rPr>
        <w:t>ج، د</w:t>
      </w:r>
      <w:r w:rsidRPr="007B29E7">
        <w:rPr>
          <w:rFonts w:ascii="Simplified Arabic" w:hAnsi="Simplified Arabic" w:cs="Simplified Arabic" w:hint="cs"/>
          <w:sz w:val="24"/>
          <w:szCs w:val="24"/>
          <w:rtl/>
          <w:lang w:val="en-US" w:bidi="ar-DZ"/>
        </w:rPr>
        <w:t>)</w:t>
      </w:r>
      <w:r w:rsidR="00F81791" w:rsidRPr="007B29E7">
        <w:rPr>
          <w:rFonts w:ascii="Simplified Arabic" w:hAnsi="Simplified Arabic" w:cs="Simplified Arabic" w:hint="cs"/>
          <w:sz w:val="24"/>
          <w:szCs w:val="24"/>
          <w:rtl/>
          <w:lang w:val="en-US" w:bidi="ar-DZ"/>
        </w:rPr>
        <w:t>،</w:t>
      </w:r>
      <w:r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دلّ ذلك</w:t>
      </w:r>
      <w:r w:rsidR="009B593E"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أن</w:t>
      </w:r>
      <w:r w:rsidR="009B593E"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 xml:space="preserve">حي سيدي سليمان والحمايد الواقعين ضمن الفئة (ج، د) </w:t>
      </w:r>
      <w:r w:rsidR="007B29E7" w:rsidRPr="007B29E7">
        <w:rPr>
          <w:rFonts w:ascii="Simplified Arabic" w:hAnsi="Simplified Arabic" w:cs="Simplified Arabic" w:hint="cs"/>
          <w:sz w:val="24"/>
          <w:szCs w:val="24"/>
          <w:rtl/>
          <w:lang w:val="en-US" w:bidi="ar-DZ"/>
        </w:rPr>
        <w:t>ي</w:t>
      </w:r>
      <w:r w:rsidR="009B593E" w:rsidRPr="007B29E7">
        <w:rPr>
          <w:rFonts w:ascii="Simplified Arabic" w:hAnsi="Simplified Arabic" w:cs="Simplified Arabic" w:hint="cs"/>
          <w:sz w:val="24"/>
          <w:szCs w:val="24"/>
          <w:rtl/>
          <w:lang w:val="en-US" w:bidi="ar-DZ"/>
        </w:rPr>
        <w:t>قل به</w:t>
      </w:r>
      <w:r w:rsidR="007B29E7" w:rsidRPr="007B29E7">
        <w:rPr>
          <w:rFonts w:ascii="Simplified Arabic" w:hAnsi="Simplified Arabic" w:cs="Simplified Arabic" w:hint="cs"/>
          <w:sz w:val="24"/>
          <w:szCs w:val="24"/>
          <w:rtl/>
          <w:lang w:val="en-US" w:bidi="ar-DZ"/>
        </w:rPr>
        <w:t>م</w:t>
      </w:r>
      <w:r w:rsidR="009B593E" w:rsidRPr="007B29E7">
        <w:rPr>
          <w:rFonts w:ascii="Simplified Arabic" w:hAnsi="Simplified Arabic" w:cs="Simplified Arabic" w:hint="cs"/>
          <w:sz w:val="24"/>
          <w:szCs w:val="24"/>
          <w:rtl/>
          <w:lang w:val="en-US" w:bidi="ar-DZ"/>
        </w:rPr>
        <w:t xml:space="preserve">ا تنوع المرافق، بسبب موقعهما </w:t>
      </w:r>
      <w:r w:rsidR="009B593E" w:rsidRPr="007B29E7">
        <w:rPr>
          <w:rFonts w:ascii="Simplified Arabic" w:hAnsi="Simplified Arabic" w:cs="Simplified Arabic"/>
          <w:sz w:val="24"/>
          <w:szCs w:val="24"/>
          <w:rtl/>
          <w:lang w:val="en-US" w:bidi="ar-DZ"/>
        </w:rPr>
        <w:t xml:space="preserve">في </w:t>
      </w:r>
      <w:r w:rsidR="009B593E" w:rsidRPr="007B29E7">
        <w:rPr>
          <w:rFonts w:ascii="Simplified Arabic" w:hAnsi="Simplified Arabic" w:cs="Simplified Arabic" w:hint="cs"/>
          <w:sz w:val="24"/>
          <w:szCs w:val="24"/>
          <w:rtl/>
          <w:lang w:val="en-US" w:bidi="ar-DZ"/>
        </w:rPr>
        <w:t>مناطق التوسع الحضري لمدينة</w:t>
      </w:r>
      <w:r w:rsidR="009B593E" w:rsidRPr="007B29E7">
        <w:rPr>
          <w:rFonts w:ascii="Simplified Arabic" w:hAnsi="Simplified Arabic" w:cs="Simplified Arabic"/>
          <w:sz w:val="24"/>
          <w:szCs w:val="24"/>
          <w:rtl/>
          <w:lang w:val="en-US" w:bidi="ar-DZ"/>
        </w:rPr>
        <w:t xml:space="preserve"> بوسعادة</w:t>
      </w:r>
      <w:r w:rsidR="009B593E" w:rsidRPr="007B29E7">
        <w:rPr>
          <w:rFonts w:ascii="Simplified Arabic" w:hAnsi="Simplified Arabic" w:cs="Simplified Arabic" w:hint="cs"/>
          <w:sz w:val="24"/>
          <w:szCs w:val="24"/>
          <w:rtl/>
          <w:lang w:val="en-US" w:bidi="ar-DZ"/>
        </w:rPr>
        <w:t xml:space="preserve">، </w:t>
      </w:r>
      <w:r w:rsidR="009B593E" w:rsidRPr="007B29E7">
        <w:rPr>
          <w:rFonts w:ascii="Simplified Arabic" w:hAnsi="Simplified Arabic" w:cs="Simplified Arabic"/>
          <w:sz w:val="24"/>
          <w:szCs w:val="24"/>
          <w:rtl/>
          <w:lang w:val="en-US" w:bidi="ar-DZ"/>
        </w:rPr>
        <w:t>أظهر</w:t>
      </w:r>
      <w:r w:rsidR="009B593E" w:rsidRPr="007B29E7">
        <w:rPr>
          <w:rFonts w:ascii="Simplified Arabic" w:hAnsi="Simplified Arabic" w:cs="Simplified Arabic" w:hint="cs"/>
          <w:sz w:val="24"/>
          <w:szCs w:val="24"/>
          <w:rtl/>
          <w:lang w:val="en-US" w:bidi="ar-DZ"/>
        </w:rPr>
        <w:t>ا نوعًا</w:t>
      </w:r>
      <w:r w:rsidR="009B593E" w:rsidRPr="007B29E7">
        <w:rPr>
          <w:rFonts w:ascii="Simplified Arabic" w:hAnsi="Simplified Arabic" w:cs="Simplified Arabic"/>
          <w:sz w:val="24"/>
          <w:szCs w:val="24"/>
          <w:rtl/>
          <w:lang w:val="en-US" w:bidi="ar-DZ"/>
        </w:rPr>
        <w:t xml:space="preserve"> </w:t>
      </w:r>
      <w:r w:rsidR="00A32BD5" w:rsidRPr="007B29E7">
        <w:rPr>
          <w:rFonts w:ascii="Simplified Arabic" w:hAnsi="Simplified Arabic" w:cs="Simplified Arabic" w:hint="cs"/>
          <w:sz w:val="24"/>
          <w:szCs w:val="24"/>
          <w:rtl/>
          <w:lang w:val="en-US" w:bidi="ar-DZ"/>
        </w:rPr>
        <w:t>متناقصا</w:t>
      </w:r>
      <w:r w:rsidR="009B593E"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لمستوى</w:t>
      </w:r>
      <w:r w:rsidR="009B593E"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إمكانية</w:t>
      </w:r>
      <w:r w:rsidR="009B593E"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الوصول</w:t>
      </w:r>
      <w:r w:rsidR="009B593E"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إلى</w:t>
      </w:r>
      <w:r w:rsidR="009B593E" w:rsidRPr="007B29E7">
        <w:rPr>
          <w:rFonts w:ascii="Simplified Arabic" w:hAnsi="Simplified Arabic" w:cs="Simplified Arabic"/>
          <w:sz w:val="24"/>
          <w:szCs w:val="24"/>
          <w:rtl/>
          <w:lang w:val="en-US" w:bidi="ar-DZ"/>
        </w:rPr>
        <w:t xml:space="preserve"> </w:t>
      </w:r>
      <w:r w:rsidR="009B593E" w:rsidRPr="007B29E7">
        <w:rPr>
          <w:rFonts w:ascii="Simplified Arabic" w:hAnsi="Simplified Arabic" w:cs="Simplified Arabic" w:hint="cs"/>
          <w:sz w:val="24"/>
          <w:szCs w:val="24"/>
          <w:rtl/>
          <w:lang w:val="en-US" w:bidi="ar-DZ"/>
        </w:rPr>
        <w:t>المرافق.</w:t>
      </w:r>
      <w:r w:rsidR="009B593E" w:rsidRPr="007B29E7">
        <w:rPr>
          <w:rFonts w:ascii="Simplified Arabic" w:hAnsi="Simplified Arabic" w:cs="Simplified Arabic"/>
          <w:sz w:val="24"/>
          <w:szCs w:val="24"/>
          <w:rtl/>
          <w:lang w:val="en-US" w:bidi="ar-DZ"/>
        </w:rPr>
        <w:t xml:space="preserve"> ذلك ان </w:t>
      </w:r>
      <w:r w:rsidR="009B593E" w:rsidRPr="007B29E7">
        <w:rPr>
          <w:rFonts w:ascii="Simplified Arabic" w:hAnsi="Simplified Arabic" w:cs="Simplified Arabic" w:hint="cs"/>
          <w:sz w:val="24"/>
          <w:szCs w:val="24"/>
          <w:rtl/>
          <w:lang w:val="en-US" w:bidi="ar-DZ"/>
        </w:rPr>
        <w:t>قيم تنوع المرافق</w:t>
      </w:r>
      <w:r w:rsidR="009B593E" w:rsidRPr="007B29E7">
        <w:rPr>
          <w:rFonts w:ascii="Simplified Arabic" w:hAnsi="Simplified Arabic" w:cs="Simplified Arabic"/>
          <w:sz w:val="24"/>
          <w:szCs w:val="24"/>
          <w:rtl/>
          <w:lang w:val="en-US" w:bidi="ar-DZ"/>
        </w:rPr>
        <w:t xml:space="preserve"> في وسط المدينة اكبر بكثير مما كانت عليه في </w:t>
      </w:r>
      <w:r w:rsidR="009B593E" w:rsidRPr="007B29E7">
        <w:rPr>
          <w:rFonts w:ascii="Simplified Arabic" w:hAnsi="Simplified Arabic" w:cs="Simplified Arabic" w:hint="cs"/>
          <w:sz w:val="24"/>
          <w:szCs w:val="24"/>
          <w:rtl/>
          <w:lang w:val="en-US" w:bidi="ar-DZ"/>
        </w:rPr>
        <w:t xml:space="preserve">مناطق التوسع الحضري </w:t>
      </w:r>
      <w:r w:rsidR="007B29E7" w:rsidRPr="007B29E7">
        <w:rPr>
          <w:rFonts w:ascii="Simplified Arabic" w:hAnsi="Simplified Arabic" w:cs="Simplified Arabic" w:hint="cs"/>
          <w:sz w:val="24"/>
          <w:szCs w:val="24"/>
          <w:rtl/>
          <w:lang w:bidi="ar-DZ"/>
        </w:rPr>
        <w:t>ل</w:t>
      </w:r>
      <w:r w:rsidR="009B593E" w:rsidRPr="007B29E7">
        <w:rPr>
          <w:rFonts w:ascii="Simplified Arabic" w:hAnsi="Simplified Arabic" w:cs="Simplified Arabic" w:hint="cs"/>
          <w:sz w:val="24"/>
          <w:szCs w:val="24"/>
          <w:rtl/>
          <w:lang w:val="en-US" w:bidi="ar-DZ"/>
        </w:rPr>
        <w:t>لمدينة</w:t>
      </w:r>
      <w:r w:rsidR="009B593E" w:rsidRPr="007B29E7">
        <w:rPr>
          <w:rFonts w:ascii="Simplified Arabic" w:hAnsi="Simplified Arabic" w:cs="Simplified Arabic"/>
          <w:sz w:val="24"/>
          <w:szCs w:val="24"/>
          <w:rtl/>
          <w:lang w:val="en-US" w:bidi="ar-DZ"/>
        </w:rPr>
        <w:t>.</w:t>
      </w:r>
    </w:p>
    <w:p w:rsidR="00A35C05" w:rsidRPr="00A35C05" w:rsidRDefault="007B29E7" w:rsidP="001D0548">
      <w:pPr>
        <w:pStyle w:val="Paragraphedeliste"/>
        <w:numPr>
          <w:ilvl w:val="0"/>
          <w:numId w:val="66"/>
        </w:numPr>
        <w:tabs>
          <w:tab w:val="right" w:pos="567"/>
        </w:tabs>
        <w:bidi/>
        <w:spacing w:after="0"/>
        <w:ind w:left="0" w:firstLine="283"/>
        <w:jc w:val="both"/>
        <w:rPr>
          <w:rFonts w:ascii="Simplified Arabic" w:hAnsi="Simplified Arabic" w:cs="Simplified Arabic"/>
          <w:sz w:val="24"/>
          <w:szCs w:val="24"/>
          <w:rtl/>
          <w:lang w:val="en-US" w:bidi="ar-DZ"/>
        </w:rPr>
      </w:pPr>
      <w:r w:rsidRPr="00A35C05">
        <w:rPr>
          <w:rFonts w:ascii="Simplified Arabic" w:hAnsi="Simplified Arabic" w:cs="Simplified Arabic" w:hint="cs"/>
          <w:sz w:val="24"/>
          <w:szCs w:val="24"/>
          <w:rtl/>
          <w:lang w:val="en-US" w:bidi="ar-DZ"/>
        </w:rPr>
        <w:t>اظهرت سمة</w:t>
      </w:r>
      <w:r w:rsidR="002A686B" w:rsidRPr="00A35C05">
        <w:rPr>
          <w:rFonts w:ascii="Simplified Arabic" w:hAnsi="Simplified Arabic" w:cs="Simplified Arabic" w:hint="cs"/>
          <w:sz w:val="24"/>
          <w:szCs w:val="24"/>
          <w:rtl/>
          <w:lang w:val="en-US" w:bidi="ar-DZ"/>
        </w:rPr>
        <w:t xml:space="preserve"> الاتصال</w:t>
      </w:r>
      <w:r w:rsidR="00C23656">
        <w:rPr>
          <w:rFonts w:ascii="Simplified Arabic" w:hAnsi="Simplified Arabic" w:cs="Simplified Arabic" w:hint="cs"/>
          <w:sz w:val="24"/>
          <w:szCs w:val="24"/>
          <w:rtl/>
          <w:lang w:val="en-US" w:bidi="ar-DZ"/>
        </w:rPr>
        <w:t>ية</w:t>
      </w:r>
      <w:r w:rsidR="002A686B" w:rsidRPr="00A35C05">
        <w:rPr>
          <w:rFonts w:ascii="Simplified Arabic" w:hAnsi="Simplified Arabic" w:cs="Simplified Arabic" w:hint="cs"/>
          <w:sz w:val="24"/>
          <w:szCs w:val="24"/>
          <w:rtl/>
          <w:lang w:val="en-US" w:bidi="ar-DZ"/>
        </w:rPr>
        <w:t xml:space="preserve"> على مستوى فئات الانسجة الحضرية الاربعة، </w:t>
      </w:r>
      <w:r w:rsidR="00506E38" w:rsidRPr="00A35C05">
        <w:rPr>
          <w:rFonts w:ascii="Simplified Arabic" w:hAnsi="Simplified Arabic" w:cs="Simplified Arabic" w:hint="cs"/>
          <w:sz w:val="24"/>
          <w:szCs w:val="24"/>
          <w:rtl/>
          <w:lang w:val="en-US" w:bidi="ar-DZ"/>
        </w:rPr>
        <w:t xml:space="preserve">تباين حول مستويات </w:t>
      </w:r>
      <w:r w:rsidR="00314509">
        <w:rPr>
          <w:rFonts w:ascii="Simplified Arabic" w:hAnsi="Simplified Arabic" w:cs="Simplified Arabic" w:hint="cs"/>
          <w:sz w:val="24"/>
          <w:szCs w:val="24"/>
          <w:rtl/>
          <w:lang w:val="en-US" w:bidi="ar-DZ"/>
        </w:rPr>
        <w:t>الاتصال</w:t>
      </w:r>
      <w:r w:rsidR="00C23656">
        <w:rPr>
          <w:rFonts w:ascii="Simplified Arabic" w:hAnsi="Simplified Arabic" w:cs="Simplified Arabic" w:hint="cs"/>
          <w:sz w:val="24"/>
          <w:szCs w:val="24"/>
          <w:rtl/>
          <w:lang w:val="en-US" w:bidi="ar-DZ"/>
        </w:rPr>
        <w:t>ية</w:t>
      </w:r>
      <w:r w:rsidR="00506E38">
        <w:rPr>
          <w:rFonts w:ascii="Simplified Arabic" w:hAnsi="Simplified Arabic" w:cs="Simplified Arabic" w:hint="cs"/>
          <w:sz w:val="24"/>
          <w:szCs w:val="24"/>
          <w:rtl/>
          <w:lang w:val="en-US" w:bidi="ar-DZ"/>
        </w:rPr>
        <w:t>،</w:t>
      </w:r>
      <w:r w:rsidR="00506E38" w:rsidRPr="00A35C05">
        <w:rPr>
          <w:rFonts w:ascii="Simplified Arabic" w:hAnsi="Simplified Arabic" w:cs="Simplified Arabic" w:hint="cs"/>
          <w:sz w:val="24"/>
          <w:szCs w:val="24"/>
          <w:rtl/>
          <w:lang w:val="en-US" w:bidi="ar-DZ"/>
        </w:rPr>
        <w:t xml:space="preserve"> </w:t>
      </w:r>
      <w:r w:rsidR="00314509">
        <w:rPr>
          <w:rFonts w:ascii="Simplified Arabic" w:hAnsi="Simplified Arabic" w:cs="Simplified Arabic" w:hint="cs"/>
          <w:sz w:val="24"/>
          <w:szCs w:val="24"/>
          <w:rtl/>
          <w:lang w:val="en-US" w:bidi="ar-DZ"/>
        </w:rPr>
        <w:t xml:space="preserve">الناتج عن </w:t>
      </w:r>
      <w:r w:rsidR="00506E38" w:rsidRPr="009B593E">
        <w:rPr>
          <w:rFonts w:ascii="Simplified Arabic" w:hAnsi="Simplified Arabic" w:cs="Simplified Arabic" w:hint="cs"/>
          <w:sz w:val="24"/>
          <w:szCs w:val="24"/>
          <w:rtl/>
          <w:lang w:val="en-US" w:bidi="ar-DZ"/>
        </w:rPr>
        <w:t xml:space="preserve">تباينات </w:t>
      </w:r>
      <w:r w:rsidR="003337FD">
        <w:rPr>
          <w:rFonts w:ascii="Simplified Arabic" w:hAnsi="Simplified Arabic" w:cs="Simplified Arabic" w:hint="cs"/>
          <w:sz w:val="24"/>
          <w:szCs w:val="24"/>
          <w:rtl/>
        </w:rPr>
        <w:t>استعمالات</w:t>
      </w:r>
      <w:r w:rsidR="00506E38" w:rsidRPr="009B593E">
        <w:rPr>
          <w:rFonts w:ascii="Simplified Arabic" w:hAnsi="Simplified Arabic" w:cs="Simplified Arabic" w:hint="cs"/>
          <w:sz w:val="24"/>
          <w:szCs w:val="24"/>
          <w:rtl/>
          <w:lang w:val="en-US" w:bidi="ar-DZ"/>
        </w:rPr>
        <w:t xml:space="preserve"> الارض</w:t>
      </w:r>
      <w:r w:rsidR="00506E38">
        <w:rPr>
          <w:rFonts w:ascii="Simplified Arabic" w:hAnsi="Simplified Arabic" w:cs="Simplified Arabic" w:hint="cs"/>
          <w:sz w:val="24"/>
          <w:szCs w:val="24"/>
          <w:rtl/>
          <w:lang w:val="en-US" w:bidi="ar-DZ"/>
        </w:rPr>
        <w:t>.</w:t>
      </w:r>
      <w:r w:rsidR="00E7551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تنخفض</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المسافة</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بين</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تقاطعات</w:t>
      </w:r>
      <w:r w:rsidR="00506E38" w:rsidRPr="00A35C05">
        <w:rPr>
          <w:rFonts w:ascii="Simplified Arabic" w:hAnsi="Simplified Arabic" w:cs="Simplified Arabic"/>
          <w:sz w:val="24"/>
          <w:szCs w:val="24"/>
          <w:rtl/>
          <w:lang w:val="en-US" w:bidi="ar-DZ"/>
        </w:rPr>
        <w:t xml:space="preserve"> </w:t>
      </w:r>
      <w:r w:rsidR="00314509">
        <w:rPr>
          <w:rFonts w:ascii="Simplified Arabic" w:hAnsi="Simplified Arabic" w:cs="Simplified Arabic" w:hint="cs"/>
          <w:sz w:val="24"/>
          <w:szCs w:val="24"/>
          <w:rtl/>
          <w:lang w:val="en-US" w:bidi="ar-DZ"/>
        </w:rPr>
        <w:t>الطرق</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الرئيسية</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 xml:space="preserve">والثانوية </w:t>
      </w:r>
      <w:r w:rsidR="00314509" w:rsidRPr="007B29E7">
        <w:rPr>
          <w:rFonts w:ascii="Simplified Arabic" w:hAnsi="Simplified Arabic" w:cs="Simplified Arabic" w:hint="cs"/>
          <w:sz w:val="24"/>
          <w:szCs w:val="24"/>
          <w:rtl/>
          <w:lang w:val="en-US" w:bidi="ar-DZ"/>
        </w:rPr>
        <w:t xml:space="preserve">بفئة النسيج الحضري </w:t>
      </w:r>
      <w:r w:rsidR="00506E38" w:rsidRPr="00A35C05">
        <w:rPr>
          <w:rFonts w:ascii="Simplified Arabic" w:hAnsi="Simplified Arabic" w:cs="Simplified Arabic" w:hint="cs"/>
          <w:sz w:val="24"/>
          <w:szCs w:val="24"/>
          <w:rtl/>
          <w:lang w:val="en-US" w:bidi="ar-DZ"/>
        </w:rPr>
        <w:t>(</w:t>
      </w:r>
      <w:r w:rsidR="00506E38">
        <w:rPr>
          <w:rFonts w:ascii="Simplified Arabic" w:hAnsi="Simplified Arabic" w:cs="Simplified Arabic" w:hint="cs"/>
          <w:sz w:val="24"/>
          <w:szCs w:val="24"/>
          <w:rtl/>
          <w:lang w:val="en-US" w:bidi="ar-DZ"/>
        </w:rPr>
        <w:t xml:space="preserve">أ، </w:t>
      </w:r>
      <w:r w:rsidR="00506E38" w:rsidRPr="00A35C05">
        <w:rPr>
          <w:rFonts w:ascii="Simplified Arabic" w:hAnsi="Simplified Arabic" w:cs="Simplified Arabic" w:hint="cs"/>
          <w:sz w:val="24"/>
          <w:szCs w:val="24"/>
          <w:rtl/>
          <w:lang w:val="en-US" w:bidi="ar-DZ"/>
        </w:rPr>
        <w:t>ب)،</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مما</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يشير</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إلى</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توفير</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وصول</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سهل</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لعدد</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من</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الوجهات</w:t>
      </w:r>
      <w:r w:rsidR="00506E38" w:rsidRPr="00A35C05">
        <w:rPr>
          <w:rFonts w:ascii="Simplified Arabic" w:hAnsi="Simplified Arabic" w:cs="Simplified Arabic"/>
          <w:sz w:val="24"/>
          <w:szCs w:val="24"/>
          <w:rtl/>
          <w:lang w:val="en-US" w:bidi="ar-DZ"/>
        </w:rPr>
        <w:t xml:space="preserve"> </w:t>
      </w:r>
      <w:r w:rsidR="00506E38" w:rsidRPr="00A35C05">
        <w:rPr>
          <w:rFonts w:ascii="Simplified Arabic" w:hAnsi="Simplified Arabic" w:cs="Simplified Arabic" w:hint="cs"/>
          <w:sz w:val="24"/>
          <w:szCs w:val="24"/>
          <w:rtl/>
          <w:lang w:val="en-US" w:bidi="ar-DZ"/>
        </w:rPr>
        <w:t>المختلفة.</w:t>
      </w:r>
      <w:r w:rsidR="00506E38">
        <w:rPr>
          <w:rFonts w:ascii="Simplified Arabic" w:hAnsi="Simplified Arabic" w:cs="Simplified Arabic" w:hint="cs"/>
          <w:sz w:val="24"/>
          <w:szCs w:val="24"/>
          <w:rtl/>
          <w:lang w:val="en-US" w:bidi="ar-DZ"/>
        </w:rPr>
        <w:t xml:space="preserve"> في حين</w:t>
      </w:r>
      <w:r w:rsidR="002A686B"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أن</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الفئة (ج، د) فقدت</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قدرتها</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على</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توفير</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وصول</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سهل</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لعدد</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من</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الوجهات</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المختلفة</w:t>
      </w:r>
      <w:r w:rsidR="00A35C05">
        <w:rPr>
          <w:rFonts w:ascii="Simplified Arabic" w:hAnsi="Simplified Arabic" w:cs="Simplified Arabic" w:hint="cs"/>
          <w:sz w:val="24"/>
          <w:szCs w:val="24"/>
          <w:rtl/>
          <w:lang w:val="en-US" w:bidi="ar-DZ"/>
        </w:rPr>
        <w:t xml:space="preserve">، </w:t>
      </w:r>
      <w:r w:rsidR="00A35C05" w:rsidRPr="00A35C05">
        <w:rPr>
          <w:rFonts w:ascii="Simplified Arabic" w:hAnsi="Simplified Arabic" w:cs="Simplified Arabic" w:hint="cs"/>
          <w:sz w:val="24"/>
          <w:szCs w:val="24"/>
          <w:rtl/>
          <w:lang w:val="en-US" w:bidi="ar-DZ"/>
        </w:rPr>
        <w:t>بسبب القيم المرتفعة لمتوسط عمق</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الطرق الرئيسية</w:t>
      </w:r>
      <w:r w:rsidR="00A35C05">
        <w:rPr>
          <w:rFonts w:ascii="Simplified Arabic" w:hAnsi="Simplified Arabic" w:cs="Simplified Arabic" w:hint="cs"/>
          <w:sz w:val="24"/>
          <w:szCs w:val="24"/>
          <w:rtl/>
          <w:lang w:val="en-US" w:bidi="ar-DZ"/>
        </w:rPr>
        <w:t>. رغم ذلك، ت</w:t>
      </w:r>
      <w:r w:rsidR="00A35C05" w:rsidRPr="00A35C05">
        <w:rPr>
          <w:rFonts w:ascii="Simplified Arabic" w:hAnsi="Simplified Arabic" w:cs="Simplified Arabic" w:hint="cs"/>
          <w:sz w:val="24"/>
          <w:szCs w:val="24"/>
          <w:rtl/>
          <w:lang w:val="en-US" w:bidi="ar-DZ"/>
        </w:rPr>
        <w:t>وفر</w:t>
      </w:r>
      <w:r w:rsidR="00A35C05" w:rsidRPr="00A35C05">
        <w:rPr>
          <w:rFonts w:ascii="Simplified Arabic" w:hAnsi="Simplified Arabic" w:cs="Simplified Arabic"/>
          <w:sz w:val="24"/>
          <w:szCs w:val="24"/>
          <w:rtl/>
          <w:lang w:val="en-US" w:bidi="ar-DZ"/>
        </w:rPr>
        <w:t xml:space="preserve"> </w:t>
      </w:r>
      <w:r w:rsidR="00A35C05" w:rsidRPr="007B29E7">
        <w:rPr>
          <w:rFonts w:ascii="Simplified Arabic" w:hAnsi="Simplified Arabic" w:cs="Simplified Arabic" w:hint="cs"/>
          <w:sz w:val="24"/>
          <w:szCs w:val="24"/>
          <w:rtl/>
          <w:lang w:val="en-US" w:bidi="ar-DZ"/>
        </w:rPr>
        <w:t xml:space="preserve">فئة النسيج الحضري </w:t>
      </w:r>
      <w:r w:rsidR="00A35C05" w:rsidRPr="00A35C05">
        <w:rPr>
          <w:rFonts w:ascii="Simplified Arabic" w:hAnsi="Simplified Arabic" w:cs="Simplified Arabic" w:hint="cs"/>
          <w:sz w:val="24"/>
          <w:szCs w:val="24"/>
          <w:rtl/>
          <w:lang w:val="en-US" w:bidi="ar-DZ"/>
        </w:rPr>
        <w:t>(د)</w:t>
      </w:r>
      <w:r w:rsidR="00A35C05">
        <w:rPr>
          <w:rFonts w:ascii="Simplified Arabic" w:hAnsi="Simplified Arabic" w:cs="Simplified Arabic" w:hint="cs"/>
          <w:sz w:val="24"/>
          <w:szCs w:val="24"/>
          <w:rtl/>
          <w:lang w:val="en-US" w:bidi="ar-DZ"/>
        </w:rPr>
        <w:t xml:space="preserve"> </w:t>
      </w:r>
      <w:r w:rsidR="00A35C05" w:rsidRPr="00A35C05">
        <w:rPr>
          <w:rFonts w:ascii="Simplified Arabic" w:hAnsi="Simplified Arabic" w:cs="Simplified Arabic" w:hint="cs"/>
          <w:sz w:val="24"/>
          <w:szCs w:val="24"/>
          <w:rtl/>
          <w:lang w:val="en-US" w:bidi="ar-DZ"/>
        </w:rPr>
        <w:t>وصول</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سهل</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لعدد</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من</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الوجهات</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المختلفة</w:t>
      </w:r>
      <w:r w:rsidR="00314509">
        <w:rPr>
          <w:rFonts w:ascii="Simplified Arabic" w:hAnsi="Simplified Arabic" w:cs="Simplified Arabic" w:hint="cs"/>
          <w:sz w:val="24"/>
          <w:szCs w:val="24"/>
          <w:rtl/>
          <w:lang w:val="en-US" w:bidi="ar-DZ"/>
        </w:rPr>
        <w:t>،</w:t>
      </w:r>
      <w:r w:rsidR="00A35C05">
        <w:rPr>
          <w:rFonts w:ascii="Simplified Arabic" w:hAnsi="Simplified Arabic" w:cs="Simplified Arabic" w:hint="cs"/>
          <w:sz w:val="24"/>
          <w:szCs w:val="24"/>
          <w:rtl/>
          <w:lang w:val="en-US" w:bidi="ar-DZ"/>
        </w:rPr>
        <w:t xml:space="preserve"> </w:t>
      </w:r>
      <w:r w:rsidR="00314509">
        <w:rPr>
          <w:rFonts w:ascii="Simplified Arabic" w:hAnsi="Simplified Arabic" w:cs="Simplified Arabic" w:hint="cs"/>
          <w:sz w:val="24"/>
          <w:szCs w:val="24"/>
          <w:rtl/>
          <w:lang w:val="en-US" w:bidi="ar-DZ"/>
        </w:rPr>
        <w:t>حيث</w:t>
      </w:r>
      <w:r w:rsidR="00A35C05">
        <w:rPr>
          <w:rFonts w:ascii="Simplified Arabic" w:hAnsi="Simplified Arabic" w:cs="Simplified Arabic" w:hint="cs"/>
          <w:sz w:val="24"/>
          <w:szCs w:val="24"/>
          <w:rtl/>
          <w:lang w:val="en-US" w:bidi="ar-DZ"/>
        </w:rPr>
        <w:t xml:space="preserve"> </w:t>
      </w:r>
      <w:r w:rsidR="00314509">
        <w:rPr>
          <w:rFonts w:ascii="Simplified Arabic" w:hAnsi="Simplified Arabic" w:cs="Simplified Arabic" w:hint="cs"/>
          <w:sz w:val="24"/>
          <w:szCs w:val="24"/>
          <w:rtl/>
          <w:lang w:val="en-US" w:bidi="ar-DZ"/>
        </w:rPr>
        <w:t>ا</w:t>
      </w:r>
      <w:r w:rsidR="00A35C05">
        <w:rPr>
          <w:rFonts w:ascii="Simplified Arabic" w:hAnsi="Simplified Arabic" w:cs="Simplified Arabic" w:hint="cs"/>
          <w:sz w:val="24"/>
          <w:szCs w:val="24"/>
          <w:rtl/>
          <w:lang w:val="en-US" w:bidi="ar-DZ"/>
        </w:rPr>
        <w:t>ظهر</w:t>
      </w:r>
      <w:r w:rsidR="00314509">
        <w:rPr>
          <w:rFonts w:ascii="Simplified Arabic" w:hAnsi="Simplified Arabic" w:cs="Simplified Arabic" w:hint="cs"/>
          <w:sz w:val="24"/>
          <w:szCs w:val="24"/>
          <w:rtl/>
          <w:lang w:val="en-US" w:bidi="ar-DZ"/>
        </w:rPr>
        <w:t>ت</w:t>
      </w:r>
      <w:r w:rsidR="00A35C05">
        <w:rPr>
          <w:rFonts w:ascii="Simplified Arabic" w:hAnsi="Simplified Arabic" w:cs="Simplified Arabic" w:hint="cs"/>
          <w:sz w:val="24"/>
          <w:szCs w:val="24"/>
          <w:rtl/>
          <w:lang w:val="en-US" w:bidi="ar-DZ"/>
        </w:rPr>
        <w:t xml:space="preserve"> </w:t>
      </w:r>
      <w:r w:rsidR="00506E38">
        <w:rPr>
          <w:rFonts w:ascii="Simplified Arabic" w:hAnsi="Simplified Arabic" w:cs="Simplified Arabic" w:hint="cs"/>
          <w:sz w:val="24"/>
          <w:szCs w:val="24"/>
          <w:rtl/>
          <w:lang w:val="en-US" w:bidi="ar-DZ"/>
        </w:rPr>
        <w:t>نوعا ما</w:t>
      </w:r>
      <w:r w:rsidR="00314509">
        <w:rPr>
          <w:rFonts w:ascii="Simplified Arabic" w:hAnsi="Simplified Arabic" w:cs="Simplified Arabic" w:hint="cs"/>
          <w:sz w:val="24"/>
          <w:szCs w:val="24"/>
          <w:rtl/>
          <w:lang w:val="en-US" w:bidi="ar-DZ"/>
        </w:rPr>
        <w:t>،</w:t>
      </w:r>
      <w:r w:rsidR="00506E38">
        <w:rPr>
          <w:rFonts w:ascii="Simplified Arabic" w:hAnsi="Simplified Arabic" w:cs="Simplified Arabic" w:hint="cs"/>
          <w:sz w:val="24"/>
          <w:szCs w:val="24"/>
          <w:rtl/>
          <w:lang w:val="en-US" w:bidi="ar-DZ"/>
        </w:rPr>
        <w:t xml:space="preserve"> </w:t>
      </w:r>
      <w:r w:rsidR="00A35C05" w:rsidRPr="00A35C05">
        <w:rPr>
          <w:rFonts w:ascii="Simplified Arabic" w:hAnsi="Simplified Arabic" w:cs="Simplified Arabic" w:hint="cs"/>
          <w:sz w:val="24"/>
          <w:szCs w:val="24"/>
          <w:rtl/>
          <w:lang w:val="en-US" w:bidi="ar-DZ"/>
        </w:rPr>
        <w:t>قيم</w:t>
      </w:r>
      <w:r w:rsidR="00506E38">
        <w:rPr>
          <w:rFonts w:ascii="Simplified Arabic" w:hAnsi="Simplified Arabic" w:cs="Simplified Arabic" w:hint="cs"/>
          <w:sz w:val="24"/>
          <w:szCs w:val="24"/>
          <w:rtl/>
          <w:lang w:val="en-US" w:bidi="ar-DZ"/>
        </w:rPr>
        <w:t>ًا</w:t>
      </w:r>
      <w:r w:rsidR="00A35C05" w:rsidRPr="00A35C05">
        <w:rPr>
          <w:rFonts w:ascii="Simplified Arabic" w:hAnsi="Simplified Arabic" w:cs="Simplified Arabic" w:hint="cs"/>
          <w:sz w:val="24"/>
          <w:szCs w:val="24"/>
          <w:rtl/>
          <w:lang w:val="en-US" w:bidi="ar-DZ"/>
        </w:rPr>
        <w:t xml:space="preserve"> م</w:t>
      </w:r>
      <w:r w:rsidR="00A35C05">
        <w:rPr>
          <w:rFonts w:ascii="Simplified Arabic" w:hAnsi="Simplified Arabic" w:cs="Simplified Arabic" w:hint="cs"/>
          <w:sz w:val="24"/>
          <w:szCs w:val="24"/>
          <w:rtl/>
          <w:lang w:val="en-US" w:bidi="ar-DZ"/>
        </w:rPr>
        <w:t>نخفضة</w:t>
      </w:r>
      <w:r w:rsidR="00506E38">
        <w:rPr>
          <w:rFonts w:ascii="Simplified Arabic" w:hAnsi="Simplified Arabic" w:cs="Simplified Arabic" w:hint="cs"/>
          <w:sz w:val="24"/>
          <w:szCs w:val="24"/>
          <w:rtl/>
          <w:lang w:val="en-US" w:bidi="ar-DZ"/>
        </w:rPr>
        <w:t>ً</w:t>
      </w:r>
      <w:r w:rsidR="00A35C05">
        <w:rPr>
          <w:rFonts w:ascii="Simplified Arabic" w:hAnsi="Simplified Arabic" w:cs="Simplified Arabic" w:hint="cs"/>
          <w:sz w:val="24"/>
          <w:szCs w:val="24"/>
          <w:rtl/>
          <w:lang w:val="en-US" w:bidi="ar-DZ"/>
        </w:rPr>
        <w:t xml:space="preserve"> </w:t>
      </w:r>
      <w:r w:rsidR="00A35C05" w:rsidRPr="00A35C05">
        <w:rPr>
          <w:rFonts w:ascii="Simplified Arabic" w:hAnsi="Simplified Arabic" w:cs="Simplified Arabic" w:hint="cs"/>
          <w:sz w:val="24"/>
          <w:szCs w:val="24"/>
          <w:rtl/>
          <w:lang w:val="en-US" w:bidi="ar-DZ"/>
        </w:rPr>
        <w:t>لمتوسط عمق</w:t>
      </w:r>
      <w:r w:rsidR="00A35C05" w:rsidRPr="00A35C05">
        <w:rPr>
          <w:rFonts w:ascii="Simplified Arabic" w:hAnsi="Simplified Arabic" w:cs="Simplified Arabic"/>
          <w:sz w:val="24"/>
          <w:szCs w:val="24"/>
          <w:rtl/>
          <w:lang w:val="en-US" w:bidi="ar-DZ"/>
        </w:rPr>
        <w:t xml:space="preserve"> </w:t>
      </w:r>
      <w:r w:rsidR="00A35C05" w:rsidRPr="00A35C05">
        <w:rPr>
          <w:rFonts w:ascii="Simplified Arabic" w:hAnsi="Simplified Arabic" w:cs="Simplified Arabic" w:hint="cs"/>
          <w:sz w:val="24"/>
          <w:szCs w:val="24"/>
          <w:rtl/>
          <w:lang w:val="en-US" w:bidi="ar-DZ"/>
        </w:rPr>
        <w:t>الطرق الرئيسية</w:t>
      </w:r>
      <w:r w:rsidR="00A35C05" w:rsidRPr="00A35C05">
        <w:rPr>
          <w:rFonts w:ascii="Simplified Arabic" w:hAnsi="Simplified Arabic" w:cs="Simplified Arabic"/>
          <w:sz w:val="24"/>
          <w:szCs w:val="24"/>
          <w:rtl/>
          <w:lang w:val="en-US" w:bidi="ar-DZ"/>
        </w:rPr>
        <w:t xml:space="preserve">. </w:t>
      </w:r>
    </w:p>
    <w:p w:rsidR="00E347F8" w:rsidRPr="001C5203" w:rsidRDefault="00314509" w:rsidP="00AA7E5E">
      <w:pPr>
        <w:pStyle w:val="Paragraphedeliste"/>
        <w:numPr>
          <w:ilvl w:val="0"/>
          <w:numId w:val="66"/>
        </w:numPr>
        <w:tabs>
          <w:tab w:val="right" w:pos="567"/>
        </w:tabs>
        <w:bidi/>
        <w:spacing w:after="0"/>
        <w:ind w:left="0" w:firstLine="283"/>
        <w:jc w:val="both"/>
        <w:rPr>
          <w:rFonts w:ascii="Simplified Arabic" w:hAnsi="Simplified Arabic" w:cs="Simplified Arabic"/>
          <w:sz w:val="24"/>
          <w:szCs w:val="24"/>
          <w:rtl/>
          <w:lang w:val="en-US" w:bidi="ar-DZ"/>
        </w:rPr>
      </w:pPr>
      <w:r w:rsidRPr="001C5203">
        <w:rPr>
          <w:rFonts w:ascii="Simplified Arabic" w:hAnsi="Simplified Arabic" w:cs="Simplified Arabic" w:hint="cs"/>
          <w:sz w:val="24"/>
          <w:szCs w:val="24"/>
          <w:rtl/>
          <w:lang w:val="en-US" w:bidi="ar-DZ"/>
        </w:rPr>
        <w:t xml:space="preserve">اظهرت سمة التكرار على مستوى فئات الانسجة الحضرية الاربعة، تباين حول </w:t>
      </w:r>
      <w:r w:rsidR="00E347F8" w:rsidRPr="001C5203">
        <w:rPr>
          <w:rFonts w:ascii="Simplified Arabic" w:hAnsi="Simplified Arabic" w:cs="Simplified Arabic" w:hint="cs"/>
          <w:sz w:val="24"/>
          <w:szCs w:val="24"/>
          <w:rtl/>
          <w:lang w:val="en-US" w:bidi="ar-DZ"/>
        </w:rPr>
        <w:t>تكرار تقاطعات الطرق و</w:t>
      </w:r>
      <w:r w:rsidRPr="001C5203">
        <w:rPr>
          <w:rFonts w:ascii="Simplified Arabic" w:hAnsi="Simplified Arabic" w:cs="Simplified Arabic" w:hint="cs"/>
          <w:sz w:val="24"/>
          <w:szCs w:val="24"/>
          <w:rtl/>
          <w:lang w:val="en-US" w:bidi="ar-DZ"/>
        </w:rPr>
        <w:t>مستويات إمكانية</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 xml:space="preserve">الوصول، بسبب تباينات </w:t>
      </w:r>
      <w:r w:rsidR="003337FD">
        <w:rPr>
          <w:rFonts w:ascii="Simplified Arabic" w:hAnsi="Simplified Arabic" w:cs="Simplified Arabic" w:hint="cs"/>
          <w:sz w:val="24"/>
          <w:szCs w:val="24"/>
          <w:rtl/>
        </w:rPr>
        <w:t>استعمالات</w:t>
      </w:r>
      <w:r w:rsidRPr="001C5203">
        <w:rPr>
          <w:rFonts w:ascii="Simplified Arabic" w:hAnsi="Simplified Arabic" w:cs="Simplified Arabic" w:hint="cs"/>
          <w:sz w:val="24"/>
          <w:szCs w:val="24"/>
          <w:rtl/>
          <w:lang w:val="en-US" w:bidi="ar-DZ"/>
        </w:rPr>
        <w:t xml:space="preserve"> الارض.</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تنخ</w:t>
      </w:r>
      <w:r w:rsidR="00E347F8" w:rsidRPr="001C5203">
        <w:rPr>
          <w:rFonts w:ascii="Simplified Arabic" w:hAnsi="Simplified Arabic" w:cs="Simplified Arabic" w:hint="cs"/>
          <w:sz w:val="24"/>
          <w:szCs w:val="24"/>
          <w:rtl/>
          <w:lang w:val="en-US" w:bidi="ar-DZ"/>
        </w:rPr>
        <w:t>فض</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قيم مقاييس كثافة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 xml:space="preserve">التقاطعات، نسبة </w:t>
      </w:r>
      <w:r w:rsidR="00AA7E5E">
        <w:rPr>
          <w:rFonts w:ascii="Simplified Arabic" w:hAnsi="Simplified Arabic" w:cs="Simplified Arabic" w:hint="cs"/>
          <w:sz w:val="24"/>
          <w:szCs w:val="24"/>
          <w:rtl/>
          <w:lang w:val="en-US" w:bidi="ar-DZ"/>
        </w:rPr>
        <w:t>ربط</w:t>
      </w:r>
      <w:r w:rsidR="00E347F8" w:rsidRPr="001C5203">
        <w:rPr>
          <w:rFonts w:ascii="Simplified Arabic" w:hAnsi="Simplified Arabic" w:cs="Simplified Arabic" w:hint="cs"/>
          <w:sz w:val="24"/>
          <w:szCs w:val="24"/>
          <w:rtl/>
          <w:lang w:val="en-US" w:bidi="ar-DZ"/>
        </w:rPr>
        <w:t>-العقد ونسبة العقد الموصولة</w:t>
      </w:r>
      <w:r w:rsidRPr="001C5203">
        <w:rPr>
          <w:rFonts w:ascii="Simplified Arabic" w:hAnsi="Simplified Arabic" w:cs="Simplified Arabic" w:hint="cs"/>
          <w:sz w:val="24"/>
          <w:szCs w:val="24"/>
          <w:rtl/>
          <w:lang w:val="en-US" w:bidi="ar-DZ"/>
        </w:rPr>
        <w:t xml:space="preserve"> بفئة النسيج الحضري (أ)،</w:t>
      </w:r>
      <w:r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أتاح</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تكوين</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شبكة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شوارع</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ذات مسارات</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محدودة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وفرت</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خيارات</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اقل</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للاتجاهات</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في</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حالة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الحاجة</w:t>
      </w:r>
      <w:r w:rsidRPr="001C5203">
        <w:rPr>
          <w:rFonts w:ascii="Simplified Arabic" w:hAnsi="Simplified Arabic" w:cs="Simplified Arabic" w:hint="cs"/>
          <w:sz w:val="24"/>
          <w:szCs w:val="24"/>
          <w:rtl/>
          <w:lang w:val="en-US" w:bidi="ar-DZ"/>
        </w:rPr>
        <w:t xml:space="preserve">. </w:t>
      </w:r>
      <w:r w:rsidR="00E347F8" w:rsidRPr="001C5203">
        <w:rPr>
          <w:rFonts w:ascii="Simplified Arabic" w:hAnsi="Simplified Arabic" w:cs="Simplified Arabic" w:hint="cs"/>
          <w:sz w:val="24"/>
          <w:szCs w:val="24"/>
          <w:rtl/>
          <w:lang w:val="en-US" w:bidi="ar-DZ"/>
        </w:rPr>
        <w:t>في</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المقابل،</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هناك ارتفاع في قيم مقاييس كثافة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 xml:space="preserve">التقاطعات، نسبة </w:t>
      </w:r>
      <w:r w:rsidR="00AA7E5E">
        <w:rPr>
          <w:rFonts w:ascii="Simplified Arabic" w:hAnsi="Simplified Arabic" w:cs="Simplified Arabic" w:hint="cs"/>
          <w:sz w:val="24"/>
          <w:szCs w:val="24"/>
          <w:rtl/>
          <w:lang w:val="en-US" w:bidi="ar-DZ"/>
        </w:rPr>
        <w:t>ربط</w:t>
      </w:r>
      <w:r w:rsidR="00E347F8" w:rsidRPr="001C5203">
        <w:rPr>
          <w:rFonts w:ascii="Simplified Arabic" w:hAnsi="Simplified Arabic" w:cs="Simplified Arabic" w:hint="cs"/>
          <w:sz w:val="24"/>
          <w:szCs w:val="24"/>
          <w:rtl/>
          <w:lang w:val="en-US" w:bidi="ar-DZ"/>
        </w:rPr>
        <w:t>-العقد ونسبة العقد الموصولة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بشكل</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كبير</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بفئة النسيج الحضري (ب، جـ، د)،</w:t>
      </w:r>
      <w:r w:rsidR="00E347F8" w:rsidRPr="001C5203">
        <w:rPr>
          <w:rFonts w:ascii="Simplified Arabic" w:hAnsi="Simplified Arabic" w:cs="Simplified Arabic"/>
          <w:sz w:val="24"/>
          <w:szCs w:val="24"/>
          <w:rtl/>
          <w:lang w:val="en-US" w:bidi="ar-DZ"/>
        </w:rPr>
        <w:t xml:space="preserve"> </w:t>
      </w:r>
      <w:r w:rsidR="00335E41" w:rsidRPr="001C5203">
        <w:rPr>
          <w:rFonts w:ascii="Simplified Arabic" w:hAnsi="Simplified Arabic" w:cs="Simplified Arabic" w:hint="cs"/>
          <w:sz w:val="24"/>
          <w:szCs w:val="24"/>
          <w:rtl/>
          <w:lang w:val="en-US" w:bidi="ar-DZ"/>
        </w:rPr>
        <w:t>شكلت</w:t>
      </w:r>
      <w:r w:rsidR="00E347F8" w:rsidRPr="001C5203">
        <w:rPr>
          <w:rFonts w:ascii="Simplified Arabic" w:hAnsi="Simplified Arabic" w:cs="Simplified Arabic" w:hint="cs"/>
          <w:sz w:val="24"/>
          <w:szCs w:val="24"/>
          <w:rtl/>
          <w:lang w:val="en-US" w:bidi="ar-DZ"/>
        </w:rPr>
        <w:t xml:space="preserve"> شبكة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شوارع</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ذات مسارات</w:t>
      </w:r>
      <w:r w:rsidR="00E347F8" w:rsidRPr="001C5203">
        <w:rPr>
          <w:rFonts w:ascii="Simplified Arabic" w:hAnsi="Simplified Arabic" w:cs="Simplified Arabic"/>
          <w:sz w:val="24"/>
          <w:szCs w:val="24"/>
          <w:rtl/>
          <w:lang w:val="en-US" w:bidi="ar-DZ"/>
        </w:rPr>
        <w:t xml:space="preserve"> </w:t>
      </w:r>
      <w:r w:rsidR="00335E41" w:rsidRPr="001C5203">
        <w:rPr>
          <w:rFonts w:ascii="Simplified Arabic" w:hAnsi="Simplified Arabic" w:cs="Simplified Arabic" w:hint="cs"/>
          <w:sz w:val="24"/>
          <w:szCs w:val="24"/>
          <w:rtl/>
          <w:lang w:val="en-US" w:bidi="ar-DZ"/>
        </w:rPr>
        <w:t>متعددة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وفرت</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خيارات</w:t>
      </w:r>
      <w:r w:rsidR="00E347F8" w:rsidRPr="001C5203">
        <w:rPr>
          <w:rFonts w:ascii="Simplified Arabic" w:hAnsi="Simplified Arabic" w:cs="Simplified Arabic"/>
          <w:sz w:val="24"/>
          <w:szCs w:val="24"/>
          <w:rtl/>
          <w:lang w:val="en-US" w:bidi="ar-DZ"/>
        </w:rPr>
        <w:t xml:space="preserve"> </w:t>
      </w:r>
      <w:r w:rsidR="00335E41" w:rsidRPr="001C5203">
        <w:rPr>
          <w:rFonts w:ascii="Simplified Arabic" w:hAnsi="Simplified Arabic" w:cs="Simplified Arabic" w:hint="cs"/>
          <w:sz w:val="24"/>
          <w:szCs w:val="24"/>
          <w:rtl/>
          <w:lang w:val="en-US" w:bidi="ar-DZ"/>
        </w:rPr>
        <w:t>كثيرة</w:t>
      </w:r>
      <w:r w:rsidR="00E347F8" w:rsidRPr="001C5203">
        <w:rPr>
          <w:rFonts w:ascii="Simplified Arabic" w:hAnsi="Simplified Arabic" w:cs="Simplified Arabic"/>
          <w:sz w:val="24"/>
          <w:szCs w:val="24"/>
          <w:rtl/>
          <w:lang w:val="en-US" w:bidi="ar-DZ"/>
        </w:rPr>
        <w:t xml:space="preserve"> </w:t>
      </w:r>
      <w:r w:rsidR="00E347F8" w:rsidRPr="001C5203">
        <w:rPr>
          <w:rFonts w:ascii="Simplified Arabic" w:hAnsi="Simplified Arabic" w:cs="Simplified Arabic" w:hint="cs"/>
          <w:sz w:val="24"/>
          <w:szCs w:val="24"/>
          <w:rtl/>
          <w:lang w:val="en-US" w:bidi="ar-DZ"/>
        </w:rPr>
        <w:t>للاتجاهات</w:t>
      </w:r>
      <w:r w:rsidR="00335E41" w:rsidRPr="001C5203">
        <w:rPr>
          <w:rFonts w:ascii="Simplified Arabic" w:hAnsi="Simplified Arabic" w:cs="Simplified Arabic" w:hint="cs"/>
          <w:sz w:val="24"/>
          <w:szCs w:val="24"/>
          <w:rtl/>
          <w:lang w:val="en-US" w:bidi="ar-DZ"/>
        </w:rPr>
        <w:t xml:space="preserve"> في</w:t>
      </w:r>
      <w:r w:rsidR="00335E41" w:rsidRPr="001C5203">
        <w:rPr>
          <w:rFonts w:ascii="Simplified Arabic" w:hAnsi="Simplified Arabic" w:cs="Simplified Arabic"/>
          <w:sz w:val="24"/>
          <w:szCs w:val="24"/>
          <w:rtl/>
          <w:lang w:val="en-US" w:bidi="ar-DZ"/>
        </w:rPr>
        <w:t xml:space="preserve"> </w:t>
      </w:r>
      <w:r w:rsidR="00335E41" w:rsidRPr="001C5203">
        <w:rPr>
          <w:rFonts w:ascii="Simplified Arabic" w:hAnsi="Simplified Arabic" w:cs="Simplified Arabic" w:hint="cs"/>
          <w:sz w:val="24"/>
          <w:szCs w:val="24"/>
          <w:rtl/>
          <w:lang w:val="en-US" w:bidi="ar-DZ"/>
        </w:rPr>
        <w:t>حالة</w:t>
      </w:r>
      <w:r w:rsidR="00335E41" w:rsidRPr="001C5203">
        <w:rPr>
          <w:rFonts w:ascii="Simplified Arabic" w:hAnsi="Simplified Arabic" w:cs="Simplified Arabic"/>
          <w:sz w:val="24"/>
          <w:szCs w:val="24"/>
          <w:rtl/>
          <w:lang w:val="en-US" w:bidi="ar-DZ"/>
        </w:rPr>
        <w:t xml:space="preserve"> </w:t>
      </w:r>
      <w:r w:rsidR="00335E41" w:rsidRPr="001C5203">
        <w:rPr>
          <w:rFonts w:ascii="Simplified Arabic" w:hAnsi="Simplified Arabic" w:cs="Simplified Arabic" w:hint="cs"/>
          <w:sz w:val="24"/>
          <w:szCs w:val="24"/>
          <w:rtl/>
          <w:lang w:val="en-US" w:bidi="ar-DZ"/>
        </w:rPr>
        <w:t>الحاجة</w:t>
      </w:r>
      <w:r w:rsidR="001C5203" w:rsidRPr="001C5203">
        <w:rPr>
          <w:rFonts w:ascii="Simplified Arabic" w:hAnsi="Simplified Arabic" w:cs="Simplified Arabic" w:hint="cs"/>
          <w:sz w:val="24"/>
          <w:szCs w:val="24"/>
          <w:rtl/>
          <w:lang w:val="en-US" w:bidi="ar-DZ"/>
        </w:rPr>
        <w:t>.</w:t>
      </w:r>
    </w:p>
    <w:p w:rsidR="002A686B" w:rsidRPr="00B75E07" w:rsidRDefault="002A686B" w:rsidP="000344EA">
      <w:pPr>
        <w:pStyle w:val="Paragraphedeliste"/>
        <w:tabs>
          <w:tab w:val="right" w:pos="0"/>
          <w:tab w:val="right" w:pos="567"/>
        </w:tabs>
        <w:autoSpaceDE w:val="0"/>
        <w:autoSpaceDN w:val="0"/>
        <w:bidi/>
        <w:adjustRightInd w:val="0"/>
        <w:spacing w:after="0"/>
        <w:ind w:left="0" w:firstLine="283"/>
        <w:jc w:val="both"/>
        <w:rPr>
          <w:rFonts w:ascii="Simplified Arabic" w:hAnsi="Simplified Arabic" w:cs="Simplified Arabic"/>
          <w:sz w:val="24"/>
          <w:szCs w:val="24"/>
          <w:lang w:val="en-US" w:bidi="ar-DZ"/>
        </w:rPr>
      </w:pPr>
      <w:r w:rsidRPr="00E347F8">
        <w:rPr>
          <w:rFonts w:ascii="Simplified Arabic" w:hAnsi="Simplified Arabic" w:cs="Simplified Arabic" w:hint="cs"/>
          <w:sz w:val="24"/>
          <w:szCs w:val="24"/>
          <w:rtl/>
          <w:lang w:val="en-US" w:bidi="ar-DZ"/>
        </w:rPr>
        <w:t xml:space="preserve">من خلال التحليل الكمي لسمات المرونة الحضرية </w:t>
      </w:r>
      <w:r w:rsidR="000344EA">
        <w:rPr>
          <w:rFonts w:ascii="Simplified Arabic" w:hAnsi="Simplified Arabic" w:cs="Simplified Arabic" w:hint="cs"/>
          <w:sz w:val="24"/>
          <w:szCs w:val="24"/>
          <w:rtl/>
          <w:lang w:val="en-US" w:bidi="ar-DZ"/>
        </w:rPr>
        <w:t xml:space="preserve">لحي القصر </w:t>
      </w:r>
      <w:r w:rsidR="000344EA" w:rsidRPr="001C5203">
        <w:rPr>
          <w:rFonts w:ascii="Simplified Arabic" w:hAnsi="Simplified Arabic" w:cs="Simplified Arabic" w:hint="cs"/>
          <w:sz w:val="24"/>
          <w:szCs w:val="24"/>
          <w:rtl/>
          <w:lang w:val="en-US" w:bidi="ar-DZ"/>
        </w:rPr>
        <w:t xml:space="preserve">بفئة النسيج الحضري </w:t>
      </w:r>
      <w:r w:rsidR="000344EA">
        <w:rPr>
          <w:rFonts w:ascii="Simplified Arabic" w:hAnsi="Simplified Arabic" w:cs="Simplified Arabic" w:hint="cs"/>
          <w:sz w:val="24"/>
          <w:szCs w:val="24"/>
          <w:rtl/>
          <w:lang w:val="en-US" w:bidi="ar-DZ"/>
        </w:rPr>
        <w:t>(أ)</w:t>
      </w:r>
      <w:r w:rsidRPr="00E347F8">
        <w:rPr>
          <w:rFonts w:ascii="Simplified Arabic" w:hAnsi="Simplified Arabic" w:cs="Simplified Arabic" w:hint="cs"/>
          <w:sz w:val="24"/>
          <w:szCs w:val="24"/>
          <w:rtl/>
          <w:lang w:val="en-US" w:bidi="ar-DZ"/>
        </w:rPr>
        <w:t xml:space="preserve">، </w:t>
      </w:r>
      <w:r w:rsidR="000344EA">
        <w:rPr>
          <w:rFonts w:ascii="Simplified Arabic" w:hAnsi="Simplified Arabic" w:cs="Simplified Arabic" w:hint="cs"/>
          <w:sz w:val="24"/>
          <w:szCs w:val="24"/>
          <w:rtl/>
          <w:lang w:val="en-US" w:bidi="ar-DZ"/>
        </w:rPr>
        <w:t xml:space="preserve">حي بلاتو </w:t>
      </w:r>
      <w:r w:rsidR="000344EA" w:rsidRPr="001C5203">
        <w:rPr>
          <w:rFonts w:ascii="Simplified Arabic" w:hAnsi="Simplified Arabic" w:cs="Simplified Arabic" w:hint="cs"/>
          <w:sz w:val="24"/>
          <w:szCs w:val="24"/>
          <w:rtl/>
          <w:lang w:val="en-US" w:bidi="ar-DZ"/>
        </w:rPr>
        <w:t>بفئة النسيج الحضري</w:t>
      </w:r>
      <w:r w:rsidR="000344EA" w:rsidRPr="00E347F8">
        <w:rPr>
          <w:rFonts w:ascii="Simplified Arabic" w:hAnsi="Simplified Arabic" w:cs="Simplified Arabic" w:hint="cs"/>
          <w:sz w:val="24"/>
          <w:szCs w:val="24"/>
          <w:rtl/>
          <w:lang w:val="en-US" w:bidi="ar-DZ"/>
        </w:rPr>
        <w:t xml:space="preserve"> ( </w:t>
      </w:r>
      <w:r w:rsidR="000344EA">
        <w:rPr>
          <w:rFonts w:ascii="Simplified Arabic" w:hAnsi="Simplified Arabic" w:cs="Simplified Arabic" w:hint="cs"/>
          <w:sz w:val="24"/>
          <w:szCs w:val="24"/>
          <w:rtl/>
          <w:lang w:val="en-US" w:bidi="ar-DZ"/>
        </w:rPr>
        <w:t>ب</w:t>
      </w:r>
      <w:r w:rsidR="000344EA" w:rsidRPr="00E347F8">
        <w:rPr>
          <w:rFonts w:ascii="Simplified Arabic" w:hAnsi="Simplified Arabic" w:cs="Simplified Arabic" w:hint="cs"/>
          <w:sz w:val="24"/>
          <w:szCs w:val="24"/>
          <w:rtl/>
          <w:lang w:val="en-US" w:bidi="ar-DZ"/>
        </w:rPr>
        <w:t>)</w:t>
      </w:r>
      <w:r w:rsidR="000344EA">
        <w:rPr>
          <w:rFonts w:ascii="Simplified Arabic" w:hAnsi="Simplified Arabic" w:cs="Simplified Arabic" w:hint="cs"/>
          <w:sz w:val="24"/>
          <w:szCs w:val="24"/>
          <w:rtl/>
          <w:lang w:val="en-US" w:bidi="ar-DZ"/>
        </w:rPr>
        <w:t>،</w:t>
      </w:r>
      <w:r w:rsidR="000344EA" w:rsidRPr="00E347F8">
        <w:rPr>
          <w:rFonts w:ascii="Simplified Arabic" w:hAnsi="Simplified Arabic" w:cs="Simplified Arabic"/>
          <w:sz w:val="24"/>
          <w:szCs w:val="24"/>
          <w:rtl/>
          <w:lang w:val="en-US" w:bidi="ar-DZ"/>
        </w:rPr>
        <w:t xml:space="preserve"> </w:t>
      </w:r>
      <w:r w:rsidR="000344EA">
        <w:rPr>
          <w:rFonts w:ascii="Simplified Arabic" w:hAnsi="Simplified Arabic" w:cs="Simplified Arabic" w:hint="cs"/>
          <w:sz w:val="24"/>
          <w:szCs w:val="24"/>
          <w:rtl/>
          <w:lang w:val="en-US" w:bidi="ar-DZ"/>
        </w:rPr>
        <w:t>حي سيدي سليمان</w:t>
      </w:r>
      <w:r w:rsidR="000344EA" w:rsidRPr="000344EA">
        <w:rPr>
          <w:rFonts w:ascii="Simplified Arabic" w:hAnsi="Simplified Arabic" w:cs="Simplified Arabic" w:hint="cs"/>
          <w:sz w:val="24"/>
          <w:szCs w:val="24"/>
          <w:rtl/>
          <w:lang w:val="en-US" w:bidi="ar-DZ"/>
        </w:rPr>
        <w:t xml:space="preserve"> </w:t>
      </w:r>
      <w:r w:rsidR="000344EA" w:rsidRPr="001C5203">
        <w:rPr>
          <w:rFonts w:ascii="Simplified Arabic" w:hAnsi="Simplified Arabic" w:cs="Simplified Arabic" w:hint="cs"/>
          <w:sz w:val="24"/>
          <w:szCs w:val="24"/>
          <w:rtl/>
          <w:lang w:val="en-US" w:bidi="ar-DZ"/>
        </w:rPr>
        <w:t>بفئة النسيج الحضري</w:t>
      </w:r>
      <w:r w:rsidR="000344EA">
        <w:rPr>
          <w:rFonts w:ascii="Simplified Arabic" w:hAnsi="Simplified Arabic" w:cs="Simplified Arabic" w:hint="cs"/>
          <w:sz w:val="24"/>
          <w:szCs w:val="24"/>
          <w:rtl/>
          <w:lang w:val="en-US" w:bidi="ar-DZ"/>
        </w:rPr>
        <w:t xml:space="preserve"> (جـ)، حي </w:t>
      </w:r>
      <w:r w:rsidRPr="00E347F8">
        <w:rPr>
          <w:rFonts w:ascii="Simplified Arabic" w:hAnsi="Simplified Arabic" w:cs="Simplified Arabic" w:hint="cs"/>
          <w:sz w:val="24"/>
          <w:szCs w:val="24"/>
          <w:rtl/>
          <w:lang w:val="en-US" w:bidi="ar-DZ"/>
        </w:rPr>
        <w:t xml:space="preserve">الحمايد </w:t>
      </w:r>
      <w:r w:rsidR="000344EA" w:rsidRPr="001C5203">
        <w:rPr>
          <w:rFonts w:ascii="Simplified Arabic" w:hAnsi="Simplified Arabic" w:cs="Simplified Arabic" w:hint="cs"/>
          <w:sz w:val="24"/>
          <w:szCs w:val="24"/>
          <w:rtl/>
          <w:lang w:val="en-US" w:bidi="ar-DZ"/>
        </w:rPr>
        <w:t xml:space="preserve">بفئة النسيج الحضري </w:t>
      </w:r>
      <w:r w:rsidRPr="00E347F8">
        <w:rPr>
          <w:rFonts w:ascii="Simplified Arabic" w:hAnsi="Simplified Arabic" w:cs="Simplified Arabic" w:hint="cs"/>
          <w:sz w:val="24"/>
          <w:szCs w:val="24"/>
          <w:rtl/>
          <w:lang w:val="en-US" w:bidi="ar-DZ"/>
        </w:rPr>
        <w:t>(د)، بينت ان:</w:t>
      </w:r>
    </w:p>
    <w:p w:rsidR="002A686B" w:rsidRDefault="002A686B" w:rsidP="002021B4">
      <w:pPr>
        <w:pStyle w:val="Paragraphedeliste"/>
        <w:numPr>
          <w:ilvl w:val="0"/>
          <w:numId w:val="66"/>
        </w:numPr>
        <w:tabs>
          <w:tab w:val="right" w:pos="0"/>
          <w:tab w:val="right" w:pos="567"/>
        </w:tabs>
        <w:autoSpaceDE w:val="0"/>
        <w:autoSpaceDN w:val="0"/>
        <w:bidi/>
        <w:adjustRightInd w:val="0"/>
        <w:spacing w:after="0"/>
        <w:ind w:left="0" w:firstLine="283"/>
        <w:jc w:val="both"/>
        <w:rPr>
          <w:rFonts w:ascii="Simplified Arabic" w:hAnsi="Simplified Arabic" w:cs="Simplified Arabic"/>
          <w:sz w:val="24"/>
          <w:szCs w:val="24"/>
          <w:lang w:val="en-US" w:bidi="ar-DZ"/>
        </w:rPr>
      </w:pPr>
      <w:r>
        <w:rPr>
          <w:rFonts w:ascii="Simplified Arabic" w:hAnsi="Simplified Arabic" w:cs="Simplified Arabic" w:hint="cs"/>
          <w:sz w:val="24"/>
          <w:szCs w:val="24"/>
          <w:rtl/>
          <w:lang w:val="en-US" w:bidi="ar-DZ"/>
        </w:rPr>
        <w:t>رغم القيم المتدنية لسمة الكثافة على مستوى البناء وسمة الاتصال</w:t>
      </w:r>
      <w:r w:rsidR="00C23656">
        <w:rPr>
          <w:rFonts w:ascii="Simplified Arabic" w:hAnsi="Simplified Arabic" w:cs="Simplified Arabic" w:hint="cs"/>
          <w:sz w:val="24"/>
          <w:szCs w:val="24"/>
          <w:rtl/>
          <w:lang w:val="en-US" w:bidi="ar-DZ"/>
        </w:rPr>
        <w:t>ية</w:t>
      </w:r>
      <w:r>
        <w:rPr>
          <w:rFonts w:ascii="Simplified Arabic" w:hAnsi="Simplified Arabic" w:cs="Simplified Arabic" w:hint="cs"/>
          <w:sz w:val="24"/>
          <w:szCs w:val="24"/>
          <w:rtl/>
          <w:lang w:val="en-US" w:bidi="ar-DZ"/>
        </w:rPr>
        <w:t xml:space="preserve"> والتكرار على مستوى شبكة الطرق لحي القصر </w:t>
      </w:r>
      <w:r w:rsidR="002021B4" w:rsidRPr="001C5203">
        <w:rPr>
          <w:rFonts w:ascii="Simplified Arabic" w:hAnsi="Simplified Arabic" w:cs="Simplified Arabic" w:hint="cs"/>
          <w:sz w:val="24"/>
          <w:szCs w:val="24"/>
          <w:rtl/>
          <w:lang w:val="en-US" w:bidi="ar-DZ"/>
        </w:rPr>
        <w:t xml:space="preserve">بفئة النسيج الحضري </w:t>
      </w:r>
      <w:r w:rsidR="00D93C47">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أ)، الا ان سمة التنوع على مستوى المرافق اظهرت قيمًا مرتفعة</w:t>
      </w:r>
      <w:r w:rsidR="002021B4">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بسبب </w:t>
      </w:r>
      <w:r w:rsidR="0017094A">
        <w:rPr>
          <w:rFonts w:ascii="Simplified Arabic" w:hAnsi="Simplified Arabic" w:cs="Simplified Arabic" w:hint="cs"/>
          <w:sz w:val="24"/>
          <w:szCs w:val="24"/>
          <w:rtl/>
          <w:lang w:val="en-US" w:bidi="ar-DZ"/>
        </w:rPr>
        <w:t>تمركز المرافق</w:t>
      </w:r>
      <w:r>
        <w:rPr>
          <w:rFonts w:ascii="Simplified Arabic" w:hAnsi="Simplified Arabic" w:cs="Simplified Arabic" w:hint="cs"/>
          <w:sz w:val="24"/>
          <w:szCs w:val="24"/>
          <w:rtl/>
          <w:lang w:val="en-US" w:bidi="ar-DZ"/>
        </w:rPr>
        <w:t xml:space="preserve"> وسط المدينة.</w:t>
      </w:r>
    </w:p>
    <w:p w:rsidR="002A686B" w:rsidRPr="00241BC3" w:rsidRDefault="002A686B" w:rsidP="001D0548">
      <w:pPr>
        <w:pStyle w:val="Paragraphedeliste"/>
        <w:numPr>
          <w:ilvl w:val="0"/>
          <w:numId w:val="66"/>
        </w:numPr>
        <w:tabs>
          <w:tab w:val="right" w:pos="0"/>
          <w:tab w:val="right" w:pos="567"/>
        </w:tabs>
        <w:autoSpaceDE w:val="0"/>
        <w:autoSpaceDN w:val="0"/>
        <w:bidi/>
        <w:adjustRightInd w:val="0"/>
        <w:spacing w:after="0"/>
        <w:ind w:left="0" w:firstLine="283"/>
        <w:jc w:val="both"/>
        <w:rPr>
          <w:sz w:val="24"/>
          <w:szCs w:val="24"/>
          <w:lang w:val="en-US" w:bidi="ar-DZ"/>
        </w:rPr>
      </w:pPr>
      <w:r w:rsidRPr="009D5B05">
        <w:rPr>
          <w:rFonts w:ascii="Simplified Arabic" w:hAnsi="Simplified Arabic" w:cs="Simplified Arabic"/>
          <w:sz w:val="24"/>
          <w:szCs w:val="24"/>
          <w:rtl/>
          <w:lang w:val="en-US" w:bidi="ar-DZ"/>
        </w:rPr>
        <w:lastRenderedPageBreak/>
        <w:t xml:space="preserve">تُظهر </w:t>
      </w:r>
      <w:r w:rsidRPr="009D5B05">
        <w:rPr>
          <w:rFonts w:ascii="Simplified Arabic" w:hAnsi="Simplified Arabic" w:cs="Simplified Arabic" w:hint="cs"/>
          <w:sz w:val="24"/>
          <w:szCs w:val="24"/>
          <w:rtl/>
          <w:lang w:val="en-US" w:bidi="ar-DZ"/>
        </w:rPr>
        <w:t xml:space="preserve">نتائج التحليل الكمي </w:t>
      </w:r>
      <w:r w:rsidR="00D93C47" w:rsidRPr="009D5B05">
        <w:rPr>
          <w:rFonts w:ascii="Simplified Arabic" w:hAnsi="Simplified Arabic" w:cs="Simplified Arabic" w:hint="cs"/>
          <w:sz w:val="24"/>
          <w:szCs w:val="24"/>
          <w:rtl/>
          <w:lang w:val="en-US" w:bidi="ar-DZ"/>
        </w:rPr>
        <w:t xml:space="preserve">لقيم </w:t>
      </w:r>
      <w:r w:rsidRPr="009D5B05">
        <w:rPr>
          <w:rFonts w:ascii="Simplified Arabic" w:hAnsi="Simplified Arabic" w:cs="Simplified Arabic" w:hint="cs"/>
          <w:sz w:val="24"/>
          <w:szCs w:val="24"/>
          <w:rtl/>
          <w:lang w:val="en-US" w:bidi="ar-DZ"/>
        </w:rPr>
        <w:t xml:space="preserve">سمات </w:t>
      </w:r>
      <w:r w:rsidR="00B859CC">
        <w:rPr>
          <w:rFonts w:ascii="Simplified Arabic" w:hAnsi="Simplified Arabic" w:cs="Simplified Arabic" w:hint="cs"/>
          <w:sz w:val="24"/>
          <w:szCs w:val="24"/>
          <w:rtl/>
          <w:lang w:val="en-US" w:bidi="ar-DZ"/>
        </w:rPr>
        <w:t>ال</w:t>
      </w:r>
      <w:r w:rsidRPr="009D5B05">
        <w:rPr>
          <w:rFonts w:ascii="Simplified Arabic" w:hAnsi="Simplified Arabic" w:cs="Simplified Arabic"/>
          <w:sz w:val="24"/>
          <w:szCs w:val="24"/>
          <w:rtl/>
          <w:lang w:val="en-US" w:bidi="ar-DZ"/>
        </w:rPr>
        <w:t xml:space="preserve">مرونة </w:t>
      </w:r>
      <w:r w:rsidR="00B859CC">
        <w:rPr>
          <w:rFonts w:ascii="Simplified Arabic" w:hAnsi="Simplified Arabic" w:cs="Simplified Arabic" w:hint="cs"/>
          <w:sz w:val="24"/>
          <w:szCs w:val="24"/>
          <w:rtl/>
          <w:lang w:val="en-US" w:bidi="ar-DZ"/>
        </w:rPr>
        <w:t>المكانية</w:t>
      </w:r>
      <w:r w:rsidRPr="009D5B05">
        <w:rPr>
          <w:rFonts w:ascii="Simplified Arabic" w:hAnsi="Simplified Arabic" w:cs="Simplified Arabic" w:hint="cs"/>
          <w:sz w:val="24"/>
          <w:szCs w:val="24"/>
          <w:rtl/>
          <w:lang w:val="en-US" w:bidi="ar-DZ"/>
        </w:rPr>
        <w:t xml:space="preserve">، </w:t>
      </w:r>
      <w:r w:rsidRPr="009D5B05">
        <w:rPr>
          <w:rFonts w:ascii="Simplified Arabic" w:hAnsi="Simplified Arabic" w:cs="Simplified Arabic"/>
          <w:sz w:val="24"/>
          <w:szCs w:val="24"/>
          <w:rtl/>
          <w:lang w:val="en-US" w:bidi="ar-DZ"/>
        </w:rPr>
        <w:t xml:space="preserve">أن الأحياء </w:t>
      </w:r>
      <w:r w:rsidR="00B859CC">
        <w:rPr>
          <w:rFonts w:ascii="Simplified Arabic" w:hAnsi="Simplified Arabic" w:cs="Simplified Arabic" w:hint="cs"/>
          <w:sz w:val="24"/>
          <w:szCs w:val="24"/>
          <w:rtl/>
          <w:lang w:val="en-US" w:bidi="ar-DZ"/>
        </w:rPr>
        <w:t>متوسطة</w:t>
      </w:r>
      <w:r w:rsidRPr="009D5B05">
        <w:rPr>
          <w:rFonts w:ascii="Simplified Arabic" w:hAnsi="Simplified Arabic" w:cs="Simplified Arabic"/>
          <w:sz w:val="24"/>
          <w:szCs w:val="24"/>
          <w:rtl/>
          <w:lang w:val="en-US" w:bidi="ar-DZ"/>
        </w:rPr>
        <w:t xml:space="preserve"> المر</w:t>
      </w:r>
      <w:r w:rsidR="00B859CC">
        <w:rPr>
          <w:rFonts w:ascii="Simplified Arabic" w:hAnsi="Simplified Arabic" w:cs="Simplified Arabic" w:hint="cs"/>
          <w:sz w:val="24"/>
          <w:szCs w:val="24"/>
          <w:rtl/>
          <w:lang w:val="en-US" w:bidi="ar-DZ"/>
        </w:rPr>
        <w:t>و</w:t>
      </w:r>
      <w:r w:rsidRPr="009D5B05">
        <w:rPr>
          <w:rFonts w:ascii="Simplified Arabic" w:hAnsi="Simplified Arabic" w:cs="Simplified Arabic"/>
          <w:sz w:val="24"/>
          <w:szCs w:val="24"/>
          <w:rtl/>
          <w:lang w:val="en-US" w:bidi="ar-DZ"/>
        </w:rPr>
        <w:t>نة غالبًا ما تتركز في منطق</w:t>
      </w:r>
      <w:r w:rsidRPr="009D5B05">
        <w:rPr>
          <w:rFonts w:ascii="Simplified Arabic" w:hAnsi="Simplified Arabic" w:cs="Simplified Arabic" w:hint="cs"/>
          <w:sz w:val="24"/>
          <w:szCs w:val="24"/>
          <w:rtl/>
          <w:lang w:val="en-US" w:bidi="ar-DZ"/>
        </w:rPr>
        <w:t xml:space="preserve">ة التوسع </w:t>
      </w:r>
      <w:r>
        <w:rPr>
          <w:rFonts w:ascii="Simplified Arabic" w:hAnsi="Simplified Arabic" w:cs="Simplified Arabic" w:hint="cs"/>
          <w:sz w:val="24"/>
          <w:szCs w:val="24"/>
          <w:rtl/>
          <w:lang w:val="en-US" w:bidi="ar-DZ"/>
        </w:rPr>
        <w:t xml:space="preserve">الحضري للجهة </w:t>
      </w:r>
      <w:r w:rsidRPr="009D5B05">
        <w:rPr>
          <w:rFonts w:ascii="Simplified Arabic" w:hAnsi="Simplified Arabic" w:cs="Simplified Arabic" w:hint="cs"/>
          <w:sz w:val="24"/>
          <w:szCs w:val="24"/>
          <w:rtl/>
          <w:lang w:val="en-US" w:bidi="ar-DZ"/>
        </w:rPr>
        <w:t>الشمالي</w:t>
      </w:r>
      <w:r>
        <w:rPr>
          <w:rFonts w:ascii="Simplified Arabic" w:hAnsi="Simplified Arabic" w:cs="Simplified Arabic" w:hint="cs"/>
          <w:sz w:val="24"/>
          <w:szCs w:val="24"/>
          <w:rtl/>
          <w:lang w:val="en-US" w:bidi="ar-DZ"/>
        </w:rPr>
        <w:t>ة</w:t>
      </w:r>
      <w:r w:rsidRPr="009D5B05">
        <w:rPr>
          <w:rFonts w:ascii="Simplified Arabic" w:hAnsi="Simplified Arabic" w:cs="Simplified Arabic" w:hint="cs"/>
          <w:sz w:val="24"/>
          <w:szCs w:val="24"/>
          <w:rtl/>
          <w:lang w:val="en-US" w:bidi="ar-DZ"/>
        </w:rPr>
        <w:t xml:space="preserve"> و</w:t>
      </w:r>
      <w:r w:rsidR="00D93C47">
        <w:rPr>
          <w:rFonts w:ascii="Simplified Arabic" w:hAnsi="Simplified Arabic" w:cs="Simplified Arabic" w:hint="cs"/>
          <w:sz w:val="24"/>
          <w:szCs w:val="24"/>
          <w:rtl/>
          <w:lang w:val="en-US" w:bidi="ar-DZ"/>
        </w:rPr>
        <w:t>الشرقية</w:t>
      </w:r>
      <w:r w:rsidR="001A55CF">
        <w:rPr>
          <w:rFonts w:ascii="Simplified Arabic" w:hAnsi="Simplified Arabic" w:cs="Simplified Arabic" w:hint="cs"/>
          <w:sz w:val="24"/>
          <w:szCs w:val="24"/>
          <w:rtl/>
          <w:lang w:val="en-US" w:bidi="ar-DZ"/>
        </w:rPr>
        <w:t xml:space="preserve"> رغم انها مسبقة التخطيط</w:t>
      </w:r>
      <w:r>
        <w:rPr>
          <w:rFonts w:ascii="Simplified Arabic" w:hAnsi="Simplified Arabic" w:cs="Simplified Arabic" w:hint="cs"/>
          <w:sz w:val="24"/>
          <w:szCs w:val="24"/>
          <w:rtl/>
          <w:lang w:val="en-US" w:bidi="ar-DZ"/>
        </w:rPr>
        <w:t>،</w:t>
      </w:r>
      <w:r w:rsidRPr="009D5B05">
        <w:rPr>
          <w:rFonts w:ascii="Simplified Arabic" w:hAnsi="Simplified Arabic" w:cs="Simplified Arabic" w:hint="cs"/>
          <w:sz w:val="24"/>
          <w:szCs w:val="24"/>
          <w:rtl/>
          <w:lang w:val="en-US" w:bidi="ar-DZ"/>
        </w:rPr>
        <w:t xml:space="preserve"> </w:t>
      </w:r>
      <w:r w:rsidR="00D93C47">
        <w:rPr>
          <w:rFonts w:ascii="Simplified Arabic" w:hAnsi="Simplified Arabic" w:cs="Simplified Arabic" w:hint="cs"/>
          <w:sz w:val="24"/>
          <w:szCs w:val="24"/>
          <w:rtl/>
          <w:lang w:val="en-US" w:bidi="ar-DZ"/>
        </w:rPr>
        <w:t>مثل حي الحمايد</w:t>
      </w:r>
      <w:r w:rsidRPr="009D5B05">
        <w:rPr>
          <w:rFonts w:ascii="Simplified Arabic" w:hAnsi="Simplified Arabic" w:cs="Simplified Arabic" w:hint="cs"/>
          <w:sz w:val="24"/>
          <w:szCs w:val="24"/>
          <w:rtl/>
          <w:lang w:val="en-US" w:bidi="ar-DZ"/>
        </w:rPr>
        <w:t xml:space="preserve"> </w:t>
      </w:r>
      <w:r w:rsidR="00D93C47">
        <w:rPr>
          <w:rFonts w:ascii="Simplified Arabic" w:hAnsi="Simplified Arabic" w:cs="Simplified Arabic" w:hint="cs"/>
          <w:sz w:val="24"/>
          <w:szCs w:val="24"/>
          <w:rtl/>
          <w:lang w:val="en-US" w:bidi="ar-DZ"/>
        </w:rPr>
        <w:t>الواقع ضمن</w:t>
      </w:r>
      <w:r w:rsidR="001A55CF">
        <w:rPr>
          <w:rFonts w:ascii="Simplified Arabic" w:hAnsi="Simplified Arabic" w:cs="Simplified Arabic" w:hint="cs"/>
          <w:sz w:val="24"/>
          <w:szCs w:val="24"/>
          <w:rtl/>
          <w:lang w:val="en-US" w:bidi="ar-DZ"/>
        </w:rPr>
        <w:t xml:space="preserve"> </w:t>
      </w:r>
      <w:r w:rsidR="001A55CF" w:rsidRPr="009D5B05">
        <w:rPr>
          <w:rFonts w:ascii="Simplified Arabic" w:hAnsi="Simplified Arabic" w:cs="Simplified Arabic" w:hint="cs"/>
          <w:sz w:val="24"/>
          <w:szCs w:val="24"/>
          <w:rtl/>
          <w:lang w:bidi="ar-DZ"/>
        </w:rPr>
        <w:t xml:space="preserve">فئة </w:t>
      </w:r>
      <w:r w:rsidR="001A55CF">
        <w:rPr>
          <w:rFonts w:ascii="Simplified Arabic" w:hAnsi="Simplified Arabic" w:cs="Simplified Arabic" w:hint="cs"/>
          <w:sz w:val="24"/>
          <w:szCs w:val="24"/>
          <w:rtl/>
          <w:lang w:bidi="ar-DZ"/>
        </w:rPr>
        <w:t xml:space="preserve">النسيج </w:t>
      </w:r>
      <w:r w:rsidR="00D93C47">
        <w:rPr>
          <w:rFonts w:ascii="Simplified Arabic" w:hAnsi="Simplified Arabic" w:cs="Simplified Arabic" w:hint="cs"/>
          <w:sz w:val="24"/>
          <w:szCs w:val="24"/>
          <w:rtl/>
          <w:lang w:bidi="ar-DZ"/>
        </w:rPr>
        <w:t xml:space="preserve">الحضري </w:t>
      </w:r>
      <w:r w:rsidR="001A55CF">
        <w:rPr>
          <w:rFonts w:ascii="Simplified Arabic" w:hAnsi="Simplified Arabic" w:cs="Simplified Arabic" w:hint="cs"/>
          <w:sz w:val="24"/>
          <w:szCs w:val="24"/>
          <w:rtl/>
          <w:lang w:bidi="ar-DZ"/>
        </w:rPr>
        <w:t xml:space="preserve">المخطط </w:t>
      </w:r>
      <w:r w:rsidR="00D93C47">
        <w:rPr>
          <w:rFonts w:ascii="Simplified Arabic" w:hAnsi="Simplified Arabic" w:cs="Simplified Arabic" w:hint="cs"/>
          <w:sz w:val="24"/>
          <w:szCs w:val="24"/>
          <w:rtl/>
          <w:lang w:bidi="ar-DZ"/>
        </w:rPr>
        <w:t>(</w:t>
      </w:r>
      <w:r w:rsidR="001A55CF">
        <w:rPr>
          <w:rFonts w:ascii="Simplified Arabic" w:hAnsi="Simplified Arabic" w:cs="Simplified Arabic" w:hint="cs"/>
          <w:sz w:val="24"/>
          <w:szCs w:val="24"/>
          <w:rtl/>
          <w:lang w:bidi="ar-DZ"/>
        </w:rPr>
        <w:t>د</w:t>
      </w:r>
      <w:r w:rsidR="00D93C47">
        <w:rPr>
          <w:rFonts w:ascii="Simplified Arabic" w:hAnsi="Simplified Arabic" w:cs="Simplified Arabic" w:hint="cs"/>
          <w:sz w:val="24"/>
          <w:szCs w:val="24"/>
          <w:rtl/>
          <w:lang w:bidi="ar-DZ"/>
        </w:rPr>
        <w:t>)</w:t>
      </w:r>
      <w:r w:rsidR="00B859CC">
        <w:rPr>
          <w:rFonts w:ascii="Simplified Arabic" w:hAnsi="Simplified Arabic" w:cs="Simplified Arabic" w:hint="cs"/>
          <w:sz w:val="24"/>
          <w:szCs w:val="24"/>
          <w:rtl/>
          <w:lang w:bidi="ar-DZ"/>
        </w:rPr>
        <w:t>،</w:t>
      </w:r>
      <w:r w:rsidR="00B859CC" w:rsidRPr="00B859CC">
        <w:rPr>
          <w:rFonts w:ascii="Simplified Arabic" w:hAnsi="Simplified Arabic" w:cs="Simplified Arabic" w:hint="cs"/>
          <w:sz w:val="24"/>
          <w:szCs w:val="24"/>
          <w:rtl/>
          <w:lang w:val="en-US" w:bidi="ar-DZ"/>
        </w:rPr>
        <w:t xml:space="preserve"> </w:t>
      </w:r>
      <w:r w:rsidR="00B859CC" w:rsidRPr="009D5B05">
        <w:rPr>
          <w:rFonts w:ascii="Simplified Arabic" w:hAnsi="Simplified Arabic" w:cs="Simplified Arabic" w:hint="cs"/>
          <w:sz w:val="24"/>
          <w:szCs w:val="24"/>
          <w:rtl/>
          <w:lang w:val="en-US" w:bidi="ar-DZ"/>
        </w:rPr>
        <w:t>بسبب غياب التغطية بالمرافق</w:t>
      </w:r>
      <w:r w:rsidRPr="0017094A">
        <w:rPr>
          <w:rFonts w:ascii="Simplified Arabic" w:hAnsi="Simplified Arabic" w:cs="Simplified Arabic"/>
          <w:sz w:val="24"/>
          <w:szCs w:val="24"/>
          <w:rtl/>
          <w:lang w:val="en-US" w:bidi="ar-DZ"/>
        </w:rPr>
        <w:t>.</w:t>
      </w:r>
      <w:r w:rsidRPr="009D5B05">
        <w:rPr>
          <w:rFonts w:ascii="Simplified Arabic" w:hAnsi="Simplified Arabic" w:cs="Simplified Arabic"/>
          <w:sz w:val="24"/>
          <w:szCs w:val="24"/>
          <w:rtl/>
          <w:lang w:val="en-US" w:bidi="ar-DZ"/>
        </w:rPr>
        <w:t xml:space="preserve"> </w:t>
      </w:r>
      <w:r w:rsidR="001A55CF">
        <w:rPr>
          <w:rFonts w:ascii="Simplified Arabic" w:hAnsi="Simplified Arabic" w:cs="Simplified Arabic" w:hint="cs"/>
          <w:sz w:val="24"/>
          <w:szCs w:val="24"/>
          <w:rtl/>
          <w:lang w:val="en-US" w:bidi="ar-DZ"/>
        </w:rPr>
        <w:t>في حين</w:t>
      </w:r>
      <w:r w:rsidR="00B859CC">
        <w:rPr>
          <w:rFonts w:ascii="Simplified Arabic" w:hAnsi="Simplified Arabic" w:cs="Simplified Arabic" w:hint="cs"/>
          <w:sz w:val="24"/>
          <w:szCs w:val="24"/>
          <w:rtl/>
          <w:lang w:val="en-US" w:bidi="ar-DZ"/>
        </w:rPr>
        <w:t>،</w:t>
      </w:r>
      <w:r w:rsidR="0017094A">
        <w:rPr>
          <w:rFonts w:ascii="Simplified Arabic" w:hAnsi="Simplified Arabic" w:cs="Simplified Arabic" w:hint="cs"/>
          <w:sz w:val="24"/>
          <w:szCs w:val="24"/>
          <w:rtl/>
          <w:lang w:val="en-US" w:bidi="ar-DZ"/>
        </w:rPr>
        <w:t xml:space="preserve"> ان</w:t>
      </w:r>
      <w:r w:rsidR="0017094A" w:rsidRPr="0017094A">
        <w:rPr>
          <w:rFonts w:ascii="Simplified Arabic" w:hAnsi="Simplified Arabic" w:cs="Simplified Arabic" w:hint="cs"/>
          <w:sz w:val="24"/>
          <w:szCs w:val="24"/>
          <w:rtl/>
          <w:lang w:val="en-US" w:bidi="ar-DZ"/>
        </w:rPr>
        <w:t xml:space="preserve"> </w:t>
      </w:r>
      <w:r w:rsidR="0017094A">
        <w:rPr>
          <w:rFonts w:ascii="Simplified Arabic" w:hAnsi="Simplified Arabic" w:cs="Simplified Arabic" w:hint="cs"/>
          <w:sz w:val="24"/>
          <w:szCs w:val="24"/>
          <w:rtl/>
          <w:lang w:val="en-US" w:bidi="ar-DZ"/>
        </w:rPr>
        <w:t xml:space="preserve">حي </w:t>
      </w:r>
      <w:r w:rsidR="0017094A" w:rsidRPr="009D5B05">
        <w:rPr>
          <w:rFonts w:ascii="Simplified Arabic" w:hAnsi="Simplified Arabic" w:cs="Simplified Arabic"/>
          <w:sz w:val="24"/>
          <w:szCs w:val="24"/>
          <w:rtl/>
          <w:lang w:bidi="ar-DZ"/>
        </w:rPr>
        <w:t>القصر</w:t>
      </w:r>
      <w:r w:rsidR="0017094A" w:rsidRPr="009D5B05">
        <w:rPr>
          <w:rFonts w:ascii="Simplified Arabic" w:hAnsi="Simplified Arabic" w:cs="Simplified Arabic" w:hint="cs"/>
          <w:sz w:val="24"/>
          <w:szCs w:val="24"/>
          <w:rtl/>
          <w:lang w:bidi="ar-DZ"/>
        </w:rPr>
        <w:t xml:space="preserve"> </w:t>
      </w:r>
      <w:r w:rsidR="00D93C47">
        <w:rPr>
          <w:rFonts w:ascii="Simplified Arabic" w:hAnsi="Simplified Arabic" w:cs="Simplified Arabic" w:hint="cs"/>
          <w:sz w:val="24"/>
          <w:szCs w:val="24"/>
          <w:rtl/>
          <w:lang w:val="en-US" w:bidi="ar-DZ"/>
        </w:rPr>
        <w:t xml:space="preserve">الواقع ضمن </w:t>
      </w:r>
      <w:r w:rsidR="0017094A" w:rsidRPr="009D5B05">
        <w:rPr>
          <w:rFonts w:ascii="Simplified Arabic" w:hAnsi="Simplified Arabic" w:cs="Simplified Arabic" w:hint="cs"/>
          <w:sz w:val="24"/>
          <w:szCs w:val="24"/>
          <w:rtl/>
          <w:lang w:bidi="ar-DZ"/>
        </w:rPr>
        <w:t xml:space="preserve">فئة </w:t>
      </w:r>
      <w:r w:rsidR="0017094A">
        <w:rPr>
          <w:rFonts w:ascii="Simplified Arabic" w:hAnsi="Simplified Arabic" w:cs="Simplified Arabic" w:hint="cs"/>
          <w:sz w:val="24"/>
          <w:szCs w:val="24"/>
          <w:rtl/>
          <w:lang w:bidi="ar-DZ"/>
        </w:rPr>
        <w:t xml:space="preserve">النسيج </w:t>
      </w:r>
      <w:r w:rsidR="00D93C47">
        <w:rPr>
          <w:rFonts w:ascii="Simplified Arabic" w:hAnsi="Simplified Arabic" w:cs="Simplified Arabic" w:hint="cs"/>
          <w:sz w:val="24"/>
          <w:szCs w:val="24"/>
          <w:rtl/>
          <w:lang w:bidi="ar-DZ"/>
        </w:rPr>
        <w:t xml:space="preserve">الحضري </w:t>
      </w:r>
      <w:r w:rsidR="0017094A" w:rsidRPr="009D5B05">
        <w:rPr>
          <w:rFonts w:ascii="Simplified Arabic" w:hAnsi="Simplified Arabic" w:cs="Simplified Arabic" w:hint="cs"/>
          <w:sz w:val="24"/>
          <w:szCs w:val="24"/>
          <w:rtl/>
          <w:lang w:bidi="ar-DZ"/>
        </w:rPr>
        <w:t>التقليدي</w:t>
      </w:r>
      <w:r w:rsidR="0017094A">
        <w:rPr>
          <w:rFonts w:ascii="Simplified Arabic" w:hAnsi="Simplified Arabic" w:cs="Simplified Arabic" w:hint="cs"/>
          <w:sz w:val="24"/>
          <w:szCs w:val="24"/>
          <w:rtl/>
          <w:lang w:bidi="ar-DZ"/>
        </w:rPr>
        <w:t xml:space="preserve"> </w:t>
      </w:r>
      <w:r w:rsidR="00D93C47">
        <w:rPr>
          <w:rFonts w:ascii="Simplified Arabic" w:hAnsi="Simplified Arabic" w:cs="Simplified Arabic" w:hint="cs"/>
          <w:sz w:val="24"/>
          <w:szCs w:val="24"/>
          <w:rtl/>
          <w:lang w:bidi="ar-DZ"/>
        </w:rPr>
        <w:t>(</w:t>
      </w:r>
      <w:r w:rsidR="0017094A">
        <w:rPr>
          <w:rFonts w:ascii="Simplified Arabic" w:hAnsi="Simplified Arabic" w:cs="Simplified Arabic" w:hint="cs"/>
          <w:sz w:val="24"/>
          <w:szCs w:val="24"/>
          <w:rtl/>
          <w:lang w:bidi="ar-DZ"/>
        </w:rPr>
        <w:t>أ</w:t>
      </w:r>
      <w:r w:rsidR="0017094A" w:rsidRPr="009D5B05">
        <w:rPr>
          <w:rFonts w:ascii="Simplified Arabic" w:hAnsi="Simplified Arabic" w:cs="Simplified Arabic" w:hint="cs"/>
          <w:sz w:val="24"/>
          <w:szCs w:val="24"/>
          <w:rtl/>
          <w:lang w:bidi="ar-DZ"/>
        </w:rPr>
        <w:t xml:space="preserve">) </w:t>
      </w:r>
      <w:r w:rsidRPr="009D5B05">
        <w:rPr>
          <w:rFonts w:ascii="Simplified Arabic" w:hAnsi="Simplified Arabic" w:cs="Simplified Arabic"/>
          <w:sz w:val="24"/>
          <w:szCs w:val="24"/>
          <w:rtl/>
          <w:lang w:val="en-US" w:bidi="ar-DZ"/>
        </w:rPr>
        <w:t xml:space="preserve"> </w:t>
      </w:r>
      <w:r w:rsidR="001A55CF">
        <w:rPr>
          <w:rFonts w:ascii="Simplified Arabic" w:hAnsi="Simplified Arabic" w:cs="Simplified Arabic" w:hint="cs"/>
          <w:sz w:val="24"/>
          <w:szCs w:val="24"/>
          <w:rtl/>
          <w:lang w:val="en-US" w:bidi="ar-DZ"/>
        </w:rPr>
        <w:t xml:space="preserve">صنف </w:t>
      </w:r>
      <w:r w:rsidR="00241BC3">
        <w:rPr>
          <w:rFonts w:ascii="Simplified Arabic" w:hAnsi="Simplified Arabic" w:cs="Simplified Arabic" w:hint="cs"/>
          <w:sz w:val="24"/>
          <w:szCs w:val="24"/>
          <w:rtl/>
          <w:lang w:val="en-US" w:bidi="ar-DZ"/>
        </w:rPr>
        <w:t>ك</w:t>
      </w:r>
      <w:r w:rsidRPr="009D5B05">
        <w:rPr>
          <w:rFonts w:ascii="Simplified Arabic" w:hAnsi="Simplified Arabic" w:cs="Simplified Arabic" w:hint="cs"/>
          <w:sz w:val="24"/>
          <w:szCs w:val="24"/>
          <w:rtl/>
          <w:lang w:val="en-US" w:bidi="ar-DZ"/>
        </w:rPr>
        <w:t>حي</w:t>
      </w:r>
      <w:r w:rsidRPr="009D5B05">
        <w:rPr>
          <w:rFonts w:ascii="Simplified Arabic" w:hAnsi="Simplified Arabic" w:cs="Simplified Arabic"/>
          <w:sz w:val="24"/>
          <w:szCs w:val="24"/>
          <w:rtl/>
          <w:lang w:val="en-US" w:bidi="ar-DZ"/>
        </w:rPr>
        <w:t xml:space="preserve"> </w:t>
      </w:r>
      <w:r w:rsidR="00B859CC">
        <w:rPr>
          <w:rFonts w:ascii="Simplified Arabic" w:hAnsi="Simplified Arabic" w:cs="Simplified Arabic" w:hint="cs"/>
          <w:sz w:val="24"/>
          <w:szCs w:val="24"/>
          <w:rtl/>
          <w:lang w:val="en-US" w:bidi="ar-DZ"/>
        </w:rPr>
        <w:t>عالي ال</w:t>
      </w:r>
      <w:r w:rsidRPr="009D5B05">
        <w:rPr>
          <w:rFonts w:ascii="Simplified Arabic" w:hAnsi="Simplified Arabic" w:cs="Simplified Arabic"/>
          <w:sz w:val="24"/>
          <w:szCs w:val="24"/>
          <w:rtl/>
          <w:lang w:val="en-US" w:bidi="ar-DZ"/>
        </w:rPr>
        <w:t>مر</w:t>
      </w:r>
      <w:r w:rsidR="00B859CC">
        <w:rPr>
          <w:rFonts w:ascii="Simplified Arabic" w:hAnsi="Simplified Arabic" w:cs="Simplified Arabic" w:hint="cs"/>
          <w:sz w:val="24"/>
          <w:szCs w:val="24"/>
          <w:rtl/>
          <w:lang w:val="en-US" w:bidi="ar-DZ"/>
        </w:rPr>
        <w:t>و</w:t>
      </w:r>
      <w:r w:rsidRPr="009D5B05">
        <w:rPr>
          <w:rFonts w:ascii="Simplified Arabic" w:hAnsi="Simplified Arabic" w:cs="Simplified Arabic"/>
          <w:sz w:val="24"/>
          <w:szCs w:val="24"/>
          <w:rtl/>
          <w:lang w:val="en-US" w:bidi="ar-DZ"/>
        </w:rPr>
        <w:t>نة</w:t>
      </w:r>
      <w:r w:rsidR="00B859CC">
        <w:rPr>
          <w:rFonts w:ascii="Simplified Arabic" w:hAnsi="Simplified Arabic" w:cs="Simplified Arabic" w:hint="cs"/>
          <w:sz w:val="24"/>
          <w:szCs w:val="24"/>
          <w:rtl/>
          <w:lang w:val="en-US" w:bidi="ar-DZ"/>
        </w:rPr>
        <w:t>،</w:t>
      </w:r>
      <w:r w:rsidRPr="009D5B05">
        <w:rPr>
          <w:rFonts w:ascii="Simplified Arabic" w:hAnsi="Simplified Arabic" w:cs="Simplified Arabic"/>
          <w:sz w:val="24"/>
          <w:szCs w:val="24"/>
          <w:rtl/>
          <w:lang w:val="en-US" w:bidi="ar-DZ"/>
        </w:rPr>
        <w:t xml:space="preserve"> </w:t>
      </w:r>
      <w:r w:rsidR="001A55CF">
        <w:rPr>
          <w:rFonts w:ascii="Simplified Arabic" w:hAnsi="Simplified Arabic" w:cs="Simplified Arabic" w:hint="cs"/>
          <w:sz w:val="24"/>
          <w:szCs w:val="24"/>
          <w:rtl/>
          <w:lang w:val="en-US" w:bidi="ar-DZ"/>
        </w:rPr>
        <w:t xml:space="preserve">بسبب </w:t>
      </w:r>
      <w:r w:rsidR="00D93C47">
        <w:rPr>
          <w:rFonts w:ascii="Simplified Arabic" w:hAnsi="Simplified Arabic" w:cs="Simplified Arabic" w:hint="cs"/>
          <w:sz w:val="24"/>
          <w:szCs w:val="24"/>
          <w:rtl/>
          <w:lang w:val="en-US" w:bidi="ar-DZ"/>
        </w:rPr>
        <w:t>وفرة</w:t>
      </w:r>
      <w:r w:rsidR="001A55CF" w:rsidRPr="009D5B05">
        <w:rPr>
          <w:rFonts w:ascii="Simplified Arabic" w:hAnsi="Simplified Arabic" w:cs="Simplified Arabic" w:hint="cs"/>
          <w:sz w:val="24"/>
          <w:szCs w:val="24"/>
          <w:rtl/>
          <w:lang w:val="en-US" w:bidi="ar-DZ"/>
        </w:rPr>
        <w:t xml:space="preserve"> </w:t>
      </w:r>
      <w:r w:rsidR="00D93C47">
        <w:rPr>
          <w:rFonts w:ascii="Simplified Arabic" w:hAnsi="Simplified Arabic" w:cs="Simplified Arabic" w:hint="cs"/>
          <w:sz w:val="24"/>
          <w:szCs w:val="24"/>
          <w:rtl/>
          <w:lang w:val="en-US" w:bidi="ar-DZ"/>
        </w:rPr>
        <w:t xml:space="preserve">المرافق </w:t>
      </w:r>
      <w:r w:rsidR="00241BC3" w:rsidRPr="00B60609">
        <w:rPr>
          <w:rFonts w:ascii="Simplified Arabic" w:hAnsi="Simplified Arabic" w:cs="Simplified Arabic"/>
          <w:sz w:val="24"/>
          <w:szCs w:val="24"/>
          <w:rtl/>
          <w:lang w:bidi="ar-DZ"/>
        </w:rPr>
        <w:t xml:space="preserve">رغم </w:t>
      </w:r>
      <w:r w:rsidR="001A55CF" w:rsidRPr="00241BC3">
        <w:rPr>
          <w:rFonts w:ascii="Simplified Arabic" w:hAnsi="Simplified Arabic" w:cs="Simplified Arabic"/>
          <w:sz w:val="24"/>
          <w:szCs w:val="24"/>
          <w:rtl/>
          <w:lang w:bidi="ar-DZ"/>
        </w:rPr>
        <w:t>ارتفاع كثافة بناء</w:t>
      </w:r>
      <w:r w:rsidR="001A55CF" w:rsidRPr="00241BC3">
        <w:rPr>
          <w:rFonts w:ascii="Simplified Arabic" w:hAnsi="Simplified Arabic" w:cs="Simplified Arabic" w:hint="cs"/>
          <w:sz w:val="24"/>
          <w:szCs w:val="24"/>
          <w:rtl/>
          <w:lang w:bidi="ar-DZ"/>
        </w:rPr>
        <w:t>.</w:t>
      </w:r>
    </w:p>
    <w:p w:rsidR="00181028" w:rsidRDefault="00181028" w:rsidP="00181028">
      <w:pPr>
        <w:bidi/>
        <w:rPr>
          <w:rFonts w:ascii="Simplified Arabic" w:hAnsi="Simplified Arabic" w:cs="Simplified Arabic"/>
          <w:sz w:val="24"/>
          <w:szCs w:val="24"/>
          <w:rtl/>
          <w:lang w:val="en-US" w:bidi="ar-DZ"/>
        </w:rPr>
      </w:pPr>
    </w:p>
    <w:p w:rsidR="00181028" w:rsidRDefault="00181028" w:rsidP="00181028">
      <w:pPr>
        <w:bidi/>
        <w:rPr>
          <w:rtl/>
          <w:lang w:bidi="ar-DZ"/>
        </w:rPr>
      </w:pPr>
    </w:p>
    <w:p w:rsidR="005022E2" w:rsidRDefault="005022E2" w:rsidP="005022E2">
      <w:pPr>
        <w:tabs>
          <w:tab w:val="right" w:pos="281"/>
          <w:tab w:val="left" w:pos="4305"/>
        </w:tabs>
        <w:bidi/>
        <w:spacing w:after="0"/>
        <w:ind w:firstLine="282"/>
        <w:jc w:val="both"/>
        <w:rPr>
          <w:rFonts w:ascii="Simplified Arabic" w:hAnsi="Simplified Arabic" w:cs="Simplified Arabic"/>
          <w:sz w:val="24"/>
          <w:szCs w:val="24"/>
          <w:rtl/>
          <w:lang w:bidi="ar-DZ"/>
        </w:rPr>
      </w:pPr>
    </w:p>
    <w:p w:rsidR="00181028" w:rsidRDefault="00181028" w:rsidP="00181028">
      <w:pPr>
        <w:bidi/>
        <w:rPr>
          <w:rtl/>
          <w:lang w:bidi="ar-DZ"/>
        </w:rPr>
      </w:pPr>
    </w:p>
    <w:p w:rsidR="00181028" w:rsidRDefault="00181028" w:rsidP="00181028">
      <w:pPr>
        <w:bidi/>
        <w:rPr>
          <w:rtl/>
          <w:lang w:bidi="ar-DZ"/>
        </w:rPr>
      </w:pPr>
    </w:p>
    <w:p w:rsidR="00181028" w:rsidRDefault="00181028" w:rsidP="00181028">
      <w:pPr>
        <w:bidi/>
        <w:rPr>
          <w:rtl/>
          <w:lang w:bidi="ar-DZ"/>
        </w:rPr>
      </w:pPr>
    </w:p>
    <w:p w:rsidR="00181028" w:rsidRDefault="00181028" w:rsidP="00181028">
      <w:pPr>
        <w:bidi/>
        <w:rPr>
          <w:rtl/>
          <w:lang w:bidi="ar-DZ"/>
        </w:rPr>
      </w:pPr>
    </w:p>
    <w:p w:rsidR="007160ED" w:rsidRDefault="007160ED" w:rsidP="007160ED">
      <w:pPr>
        <w:bidi/>
        <w:rPr>
          <w:rtl/>
          <w:lang w:bidi="ar-DZ"/>
        </w:rPr>
      </w:pPr>
    </w:p>
    <w:p w:rsidR="007160ED" w:rsidRDefault="007160ED" w:rsidP="007160ED">
      <w:pPr>
        <w:bidi/>
        <w:rPr>
          <w:rtl/>
          <w:lang w:bidi="ar-DZ"/>
        </w:rPr>
      </w:pPr>
    </w:p>
    <w:p w:rsidR="00181028" w:rsidRDefault="00181028" w:rsidP="00181028">
      <w:pPr>
        <w:bidi/>
        <w:rPr>
          <w:lang w:bidi="ar-DZ"/>
        </w:rPr>
      </w:pPr>
    </w:p>
    <w:p w:rsidR="00664542" w:rsidRDefault="00664542" w:rsidP="00664542">
      <w:pPr>
        <w:bidi/>
        <w:rPr>
          <w:rtl/>
          <w:lang w:bidi="ar-DZ"/>
        </w:rPr>
      </w:pPr>
    </w:p>
    <w:p w:rsidR="00AA0720" w:rsidRDefault="00AA0720" w:rsidP="00AA0720">
      <w:pPr>
        <w:bidi/>
        <w:rPr>
          <w:rtl/>
          <w:lang w:bidi="ar-DZ"/>
        </w:rPr>
      </w:pPr>
    </w:p>
    <w:p w:rsidR="00181028" w:rsidRDefault="00181028" w:rsidP="00181028">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lang w:bidi="ar-DZ"/>
        </w:rPr>
      </w:pPr>
    </w:p>
    <w:p w:rsidR="00480C52" w:rsidRDefault="00480C52" w:rsidP="00480C52">
      <w:pPr>
        <w:bidi/>
        <w:rPr>
          <w:lang w:bidi="ar-DZ"/>
        </w:rPr>
      </w:pPr>
    </w:p>
    <w:p w:rsidR="00480C52" w:rsidRDefault="00480C52" w:rsidP="00480C52">
      <w:pPr>
        <w:bidi/>
        <w:rPr>
          <w:rtl/>
          <w:lang w:bidi="ar-DZ"/>
        </w:rPr>
      </w:pPr>
    </w:p>
    <w:p w:rsidR="001C5203" w:rsidRDefault="001C5203" w:rsidP="001C5203">
      <w:pPr>
        <w:bidi/>
        <w:rPr>
          <w:rtl/>
          <w:lang w:bidi="ar-DZ"/>
        </w:rPr>
      </w:pPr>
    </w:p>
    <w:p w:rsidR="00AC33D5" w:rsidRDefault="00AC33D5" w:rsidP="001C5203">
      <w:pPr>
        <w:bidi/>
        <w:rPr>
          <w:rtl/>
          <w:lang w:bidi="ar-DZ"/>
        </w:rPr>
        <w:sectPr w:rsidR="00AC33D5" w:rsidSect="009A58AA">
          <w:headerReference w:type="default" r:id="rId338"/>
          <w:footerReference w:type="default" r:id="rId339"/>
          <w:headerReference w:type="first" r:id="rId340"/>
          <w:footerReference w:type="first" r:id="rId341"/>
          <w:type w:val="continuous"/>
          <w:pgSz w:w="11906" w:h="16838"/>
          <w:pgMar w:top="1418" w:right="1700" w:bottom="1418" w:left="1134" w:header="709" w:footer="709" w:gutter="0"/>
          <w:pgNumType w:start="182"/>
          <w:cols w:space="708"/>
          <w:docGrid w:linePitch="360"/>
        </w:sect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1C5203" w:rsidRDefault="001C5203" w:rsidP="001C5203">
      <w:pPr>
        <w:bidi/>
        <w:rPr>
          <w:rtl/>
          <w:lang w:bidi="ar-DZ"/>
        </w:rPr>
      </w:pPr>
    </w:p>
    <w:p w:rsidR="00EE6A21" w:rsidRPr="007245F7" w:rsidRDefault="00EE6A21" w:rsidP="008454C2">
      <w:pPr>
        <w:bidi/>
        <w:jc w:val="center"/>
        <w:outlineLvl w:val="0"/>
        <w:rPr>
          <w:rFonts w:ascii="Simplified Arabic" w:hAnsi="Simplified Arabic" w:cs="Simplified Arabic"/>
          <w:b/>
          <w:bCs/>
          <w:sz w:val="36"/>
          <w:szCs w:val="36"/>
          <w:rtl/>
          <w:lang w:val="en-US" w:bidi="ar-DZ"/>
        </w:rPr>
      </w:pPr>
      <w:bookmarkStart w:id="984" w:name="_Toc171803901"/>
      <w:r w:rsidRPr="007245F7">
        <w:rPr>
          <w:rFonts w:ascii="Simplified Arabic" w:hAnsi="Simplified Arabic" w:cs="Simplified Arabic" w:hint="cs"/>
          <w:b/>
          <w:bCs/>
          <w:sz w:val="36"/>
          <w:szCs w:val="36"/>
          <w:rtl/>
          <w:lang w:val="en-US" w:bidi="ar-DZ"/>
        </w:rPr>
        <w:t>الخلاصة العامة</w:t>
      </w:r>
      <w:r w:rsidRPr="007245F7">
        <w:rPr>
          <w:rFonts w:ascii="Simplified Arabic" w:hAnsi="Simplified Arabic" w:cs="Simplified Arabic"/>
          <w:b/>
          <w:bCs/>
          <w:sz w:val="36"/>
          <w:szCs w:val="36"/>
          <w:rtl/>
          <w:lang w:val="en-US" w:bidi="ar-DZ"/>
        </w:rPr>
        <w:t xml:space="preserve">: </w:t>
      </w:r>
      <w:r w:rsidRPr="007245F7">
        <w:rPr>
          <w:rFonts w:ascii="Simplified Arabic" w:hAnsi="Simplified Arabic" w:cs="Simplified Arabic" w:hint="cs"/>
          <w:b/>
          <w:bCs/>
          <w:sz w:val="36"/>
          <w:szCs w:val="36"/>
          <w:rtl/>
          <w:lang w:val="en-US" w:bidi="ar-DZ"/>
        </w:rPr>
        <w:t xml:space="preserve">نتائج البحث، مبادئ </w:t>
      </w:r>
      <w:r w:rsidR="005320E6" w:rsidRPr="007245F7">
        <w:rPr>
          <w:rFonts w:ascii="Simplified Arabic" w:hAnsi="Simplified Arabic" w:cs="Simplified Arabic" w:hint="cs"/>
          <w:b/>
          <w:bCs/>
          <w:sz w:val="36"/>
          <w:szCs w:val="36"/>
          <w:rtl/>
          <w:lang w:val="en-US" w:bidi="ar-DZ"/>
        </w:rPr>
        <w:t>ال</w:t>
      </w:r>
      <w:r w:rsidRPr="007245F7">
        <w:rPr>
          <w:rFonts w:ascii="Simplified Arabic" w:hAnsi="Simplified Arabic" w:cs="Simplified Arabic" w:hint="cs"/>
          <w:b/>
          <w:bCs/>
          <w:sz w:val="36"/>
          <w:szCs w:val="36"/>
          <w:rtl/>
          <w:lang w:val="en-US" w:bidi="ar-DZ"/>
        </w:rPr>
        <w:t xml:space="preserve">تصميم </w:t>
      </w:r>
      <w:r w:rsidR="00BD74EF" w:rsidRPr="007245F7">
        <w:rPr>
          <w:rFonts w:ascii="Simplified Arabic" w:hAnsi="Simplified Arabic" w:cs="Simplified Arabic" w:hint="cs"/>
          <w:b/>
          <w:bCs/>
          <w:sz w:val="36"/>
          <w:szCs w:val="36"/>
          <w:rtl/>
          <w:lang w:val="en-US" w:bidi="ar-DZ"/>
        </w:rPr>
        <w:t>و</w:t>
      </w:r>
      <w:r w:rsidRPr="007245F7">
        <w:rPr>
          <w:rFonts w:ascii="Simplified Arabic" w:hAnsi="Simplified Arabic" w:cs="Simplified Arabic" w:hint="cs"/>
          <w:b/>
          <w:bCs/>
          <w:sz w:val="36"/>
          <w:szCs w:val="36"/>
          <w:rtl/>
          <w:lang w:val="en-US" w:bidi="ar-DZ"/>
        </w:rPr>
        <w:t>التوصيات، خاتمة</w:t>
      </w:r>
      <w:r w:rsidR="00443405" w:rsidRPr="007245F7">
        <w:rPr>
          <w:rFonts w:ascii="Simplified Arabic" w:hAnsi="Simplified Arabic" w:cs="Simplified Arabic" w:hint="cs"/>
          <w:b/>
          <w:bCs/>
          <w:sz w:val="36"/>
          <w:szCs w:val="36"/>
          <w:rtl/>
          <w:lang w:val="en-US" w:bidi="ar-DZ"/>
        </w:rPr>
        <w:t xml:space="preserve"> البحث</w:t>
      </w:r>
      <w:bookmarkEnd w:id="984"/>
    </w:p>
    <w:p w:rsidR="00EE6A21" w:rsidRDefault="00EE6A21" w:rsidP="00F52541">
      <w:pPr>
        <w:bidi/>
        <w:rPr>
          <w:rFonts w:ascii="Simplified Arabic" w:hAnsi="Simplified Arabic" w:cs="Simplified Arabic"/>
          <w:b/>
          <w:bCs/>
          <w:sz w:val="28"/>
          <w:szCs w:val="28"/>
          <w:rtl/>
          <w:lang w:val="en-US" w:bidi="ar-DZ"/>
        </w:rPr>
      </w:pPr>
    </w:p>
    <w:p w:rsidR="00EE6A21" w:rsidRDefault="00EE6A21" w:rsidP="00F52541">
      <w:pPr>
        <w:bidi/>
        <w:rPr>
          <w:rFonts w:ascii="Simplified Arabic" w:hAnsi="Simplified Arabic" w:cs="Simplified Arabic"/>
          <w:b/>
          <w:bCs/>
          <w:sz w:val="28"/>
          <w:szCs w:val="28"/>
          <w:rtl/>
          <w:lang w:val="en-US" w:bidi="ar-DZ"/>
        </w:rPr>
      </w:pPr>
    </w:p>
    <w:p w:rsidR="00EE6A21" w:rsidRDefault="00EE6A21" w:rsidP="00F52541">
      <w:pPr>
        <w:bidi/>
        <w:rPr>
          <w:rFonts w:ascii="Simplified Arabic" w:hAnsi="Simplified Arabic" w:cs="Simplified Arabic"/>
          <w:b/>
          <w:bCs/>
          <w:sz w:val="28"/>
          <w:szCs w:val="28"/>
          <w:rtl/>
          <w:lang w:val="en-US" w:bidi="ar-DZ"/>
        </w:rPr>
      </w:pPr>
    </w:p>
    <w:p w:rsidR="00EE6A21" w:rsidRDefault="00EE6A21" w:rsidP="00F52541">
      <w:pPr>
        <w:bidi/>
        <w:rPr>
          <w:rFonts w:ascii="Simplified Arabic" w:hAnsi="Simplified Arabic" w:cs="Simplified Arabic"/>
          <w:b/>
          <w:bCs/>
          <w:sz w:val="28"/>
          <w:szCs w:val="28"/>
          <w:rtl/>
          <w:lang w:val="en-US" w:bidi="ar-DZ"/>
        </w:rPr>
      </w:pPr>
    </w:p>
    <w:p w:rsidR="00CD3726" w:rsidRDefault="00CD3726" w:rsidP="00F52541">
      <w:pPr>
        <w:bidi/>
        <w:rPr>
          <w:rFonts w:ascii="Simplified Arabic" w:hAnsi="Simplified Arabic" w:cs="Simplified Arabic"/>
          <w:b/>
          <w:bCs/>
          <w:sz w:val="28"/>
          <w:szCs w:val="28"/>
          <w:rtl/>
          <w:lang w:val="en-US" w:bidi="ar-DZ"/>
        </w:rPr>
      </w:pPr>
    </w:p>
    <w:p w:rsidR="00CD3726" w:rsidRDefault="00CD3726" w:rsidP="00F52541">
      <w:pPr>
        <w:bidi/>
        <w:rPr>
          <w:rFonts w:ascii="Simplified Arabic" w:hAnsi="Simplified Arabic" w:cs="Simplified Arabic"/>
          <w:b/>
          <w:bCs/>
          <w:sz w:val="28"/>
          <w:szCs w:val="28"/>
          <w:rtl/>
          <w:lang w:val="en-US" w:bidi="ar-DZ"/>
        </w:rPr>
      </w:pPr>
    </w:p>
    <w:p w:rsidR="00CD3726" w:rsidRDefault="00CD3726" w:rsidP="00F52541">
      <w:pPr>
        <w:bidi/>
        <w:rPr>
          <w:rFonts w:ascii="Simplified Arabic" w:hAnsi="Simplified Arabic" w:cs="Simplified Arabic"/>
          <w:b/>
          <w:bCs/>
          <w:sz w:val="28"/>
          <w:szCs w:val="28"/>
          <w:rtl/>
          <w:lang w:val="en-US" w:bidi="ar-DZ"/>
        </w:rPr>
      </w:pPr>
    </w:p>
    <w:p w:rsidR="000D732A" w:rsidRDefault="000D732A" w:rsidP="000D732A">
      <w:pPr>
        <w:bidi/>
        <w:rPr>
          <w:rFonts w:ascii="Simplified Arabic" w:hAnsi="Simplified Arabic" w:cs="Simplified Arabic"/>
          <w:b/>
          <w:bCs/>
          <w:sz w:val="28"/>
          <w:szCs w:val="28"/>
          <w:rtl/>
          <w:lang w:val="en-US" w:bidi="ar-DZ"/>
        </w:rPr>
      </w:pPr>
    </w:p>
    <w:p w:rsidR="008454C2" w:rsidRDefault="008454C2" w:rsidP="00085EFD">
      <w:pPr>
        <w:autoSpaceDE w:val="0"/>
        <w:autoSpaceDN w:val="0"/>
        <w:bidi/>
        <w:adjustRightInd w:val="0"/>
        <w:spacing w:after="0" w:line="240" w:lineRule="auto"/>
        <w:rPr>
          <w:rFonts w:ascii="Simplified Arabic" w:hAnsi="Simplified Arabic" w:cs="Simplified Arabic"/>
          <w:b/>
          <w:bCs/>
          <w:sz w:val="24"/>
          <w:szCs w:val="24"/>
          <w:rtl/>
        </w:rPr>
      </w:pPr>
    </w:p>
    <w:p w:rsidR="00260ADC" w:rsidRDefault="00260ADC" w:rsidP="008454C2">
      <w:pPr>
        <w:autoSpaceDE w:val="0"/>
        <w:autoSpaceDN w:val="0"/>
        <w:bidi/>
        <w:adjustRightInd w:val="0"/>
        <w:spacing w:after="0" w:line="240" w:lineRule="auto"/>
        <w:rPr>
          <w:rFonts w:ascii="Simplified Arabic" w:hAnsi="Simplified Arabic" w:cs="Simplified Arabic"/>
          <w:b/>
          <w:bCs/>
          <w:sz w:val="24"/>
          <w:szCs w:val="24"/>
          <w:rtl/>
        </w:rPr>
        <w:sectPr w:rsidR="00260ADC" w:rsidSect="00AD3206">
          <w:headerReference w:type="default" r:id="rId342"/>
          <w:footerReference w:type="default" r:id="rId343"/>
          <w:type w:val="continuous"/>
          <w:pgSz w:w="11906" w:h="16838"/>
          <w:pgMar w:top="1418" w:right="1700" w:bottom="1418" w:left="1134" w:header="709" w:footer="709" w:gutter="0"/>
          <w:pgNumType w:start="226"/>
          <w:cols w:space="708"/>
          <w:docGrid w:linePitch="360"/>
        </w:sectPr>
      </w:pPr>
    </w:p>
    <w:p w:rsidR="00EE6A21" w:rsidRPr="00BD74EF" w:rsidRDefault="00EE6A21" w:rsidP="001D0548">
      <w:pPr>
        <w:pStyle w:val="Paragraphedeliste"/>
        <w:numPr>
          <w:ilvl w:val="0"/>
          <w:numId w:val="84"/>
        </w:numPr>
        <w:tabs>
          <w:tab w:val="right" w:pos="567"/>
        </w:tabs>
        <w:autoSpaceDE w:val="0"/>
        <w:autoSpaceDN w:val="0"/>
        <w:bidi/>
        <w:adjustRightInd w:val="0"/>
        <w:spacing w:before="240" w:after="0"/>
        <w:ind w:left="0" w:firstLine="0"/>
        <w:outlineLvl w:val="0"/>
        <w:rPr>
          <w:rFonts w:ascii="Simplified Arabic" w:hAnsi="Simplified Arabic" w:cs="Simplified Arabic"/>
          <w:b/>
          <w:bCs/>
          <w:sz w:val="24"/>
          <w:szCs w:val="24"/>
        </w:rPr>
      </w:pPr>
      <w:bookmarkStart w:id="985" w:name="_Toc171803902"/>
      <w:r w:rsidRPr="00BD74EF">
        <w:rPr>
          <w:rFonts w:ascii="Simplified Arabic" w:hAnsi="Simplified Arabic" w:cs="Simplified Arabic" w:hint="cs"/>
          <w:b/>
          <w:bCs/>
          <w:sz w:val="24"/>
          <w:szCs w:val="24"/>
          <w:rtl/>
        </w:rPr>
        <w:lastRenderedPageBreak/>
        <w:t>نتائج</w:t>
      </w:r>
      <w:r w:rsidRPr="00BD74EF">
        <w:rPr>
          <w:rFonts w:ascii="Simplified Arabic" w:hAnsi="Simplified Arabic" w:cs="Simplified Arabic"/>
          <w:b/>
          <w:bCs/>
          <w:sz w:val="24"/>
          <w:szCs w:val="24"/>
          <w:rtl/>
        </w:rPr>
        <w:t xml:space="preserve"> </w:t>
      </w:r>
      <w:r w:rsidRPr="00BD74EF">
        <w:rPr>
          <w:rFonts w:ascii="Simplified Arabic" w:hAnsi="Simplified Arabic" w:cs="Simplified Arabic" w:hint="cs"/>
          <w:b/>
          <w:bCs/>
          <w:sz w:val="24"/>
          <w:szCs w:val="24"/>
          <w:rtl/>
        </w:rPr>
        <w:t>البحث</w:t>
      </w:r>
      <w:bookmarkEnd w:id="985"/>
    </w:p>
    <w:p w:rsidR="00EE6A21" w:rsidRDefault="00EE6A21" w:rsidP="00394289">
      <w:pPr>
        <w:bidi/>
        <w:spacing w:after="0"/>
        <w:ind w:firstLine="283"/>
        <w:rPr>
          <w:rFonts w:ascii="Simplified Arabic" w:hAnsi="Simplified Arabic" w:cs="Simplified Arabic"/>
          <w:sz w:val="24"/>
          <w:szCs w:val="24"/>
          <w:rtl/>
          <w:lang w:val="en-US" w:bidi="ar-DZ"/>
        </w:rPr>
      </w:pPr>
      <w:r w:rsidRPr="00FB0297">
        <w:rPr>
          <w:rFonts w:ascii="Simplified Arabic" w:hAnsi="Simplified Arabic" w:cs="Simplified Arabic" w:hint="cs"/>
          <w:sz w:val="24"/>
          <w:szCs w:val="24"/>
          <w:rtl/>
          <w:lang w:val="en-US" w:bidi="ar-DZ"/>
        </w:rPr>
        <w:t>في</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بداية</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هذه</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الأطروحة،</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تم</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تحديد</w:t>
      </w:r>
      <w:r w:rsidRPr="00FB0297">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هدفين ثانويين</w:t>
      </w:r>
      <w:r w:rsidRPr="00FB0297">
        <w:rPr>
          <w:rFonts w:ascii="Simplified Arabic" w:hAnsi="Simplified Arabic" w:cs="Simplified Arabic"/>
          <w:sz w:val="24"/>
          <w:szCs w:val="24"/>
          <w:rtl/>
          <w:lang w:val="en-US" w:bidi="ar-DZ"/>
        </w:rPr>
        <w:t>:</w:t>
      </w:r>
    </w:p>
    <w:p w:rsidR="00521976" w:rsidRPr="00521976" w:rsidRDefault="00521976" w:rsidP="001D0548">
      <w:pPr>
        <w:pStyle w:val="Paragraphedeliste"/>
        <w:numPr>
          <w:ilvl w:val="0"/>
          <w:numId w:val="70"/>
        </w:numPr>
        <w:tabs>
          <w:tab w:val="right" w:pos="424"/>
        </w:tabs>
        <w:bidi/>
        <w:spacing w:after="0"/>
        <w:ind w:left="-1" w:firstLine="283"/>
        <w:jc w:val="both"/>
        <w:rPr>
          <w:rFonts w:ascii="Simplified Arabic" w:hAnsi="Simplified Arabic" w:cs="Simplified Arabic"/>
          <w:sz w:val="24"/>
          <w:szCs w:val="24"/>
          <w:rtl/>
          <w:lang w:val="en-US"/>
        </w:rPr>
      </w:pPr>
      <w:r w:rsidRPr="00521976">
        <w:rPr>
          <w:rFonts w:ascii="Simplified Arabic" w:hAnsi="Simplified Arabic" w:cs="Simplified Arabic" w:hint="cs"/>
          <w:sz w:val="24"/>
          <w:szCs w:val="24"/>
          <w:rtl/>
          <w:lang w:val="en-US"/>
        </w:rPr>
        <w:t>تطوير اطار عمل يسمح بتقييم</w:t>
      </w:r>
      <w:r w:rsidRPr="00521976">
        <w:rPr>
          <w:rFonts w:ascii="Simplified Arabic" w:hAnsi="Simplified Arabic" w:cs="Simplified Arabic"/>
          <w:sz w:val="24"/>
          <w:szCs w:val="24"/>
          <w:rtl/>
          <w:lang w:val="en-US"/>
        </w:rPr>
        <w:t xml:space="preserve"> </w:t>
      </w:r>
      <w:r w:rsidRPr="00521976">
        <w:rPr>
          <w:rFonts w:ascii="Simplified Arabic" w:hAnsi="Simplified Arabic" w:cs="Simplified Arabic" w:hint="cs"/>
          <w:sz w:val="24"/>
          <w:szCs w:val="24"/>
          <w:rtl/>
          <w:lang w:val="en-US"/>
        </w:rPr>
        <w:t>مستويات</w:t>
      </w:r>
      <w:r w:rsidRPr="00521976">
        <w:rPr>
          <w:rFonts w:ascii="Simplified Arabic" w:hAnsi="Simplified Arabic" w:cs="Simplified Arabic"/>
          <w:sz w:val="24"/>
          <w:szCs w:val="24"/>
          <w:rtl/>
          <w:lang w:val="en-US"/>
        </w:rPr>
        <w:t xml:space="preserve"> </w:t>
      </w:r>
      <w:r w:rsidRPr="00521976">
        <w:rPr>
          <w:rFonts w:ascii="Simplified Arabic" w:hAnsi="Simplified Arabic" w:cs="Simplified Arabic" w:hint="cs"/>
          <w:sz w:val="24"/>
          <w:szCs w:val="24"/>
          <w:rtl/>
          <w:lang w:val="en-US"/>
        </w:rPr>
        <w:t xml:space="preserve">المرونة الحضرية الناتجة عن تباين </w:t>
      </w:r>
      <w:r w:rsidR="003337FD">
        <w:rPr>
          <w:rFonts w:ascii="Simplified Arabic" w:hAnsi="Simplified Arabic" w:cs="Simplified Arabic" w:hint="cs"/>
          <w:sz w:val="24"/>
          <w:szCs w:val="24"/>
          <w:rtl/>
        </w:rPr>
        <w:t>استعمالات</w:t>
      </w:r>
      <w:r w:rsidRPr="00521976">
        <w:rPr>
          <w:rFonts w:ascii="Simplified Arabic" w:hAnsi="Simplified Arabic" w:cs="Simplified Arabic" w:hint="cs"/>
          <w:sz w:val="24"/>
          <w:szCs w:val="24"/>
          <w:rtl/>
          <w:lang w:val="en-US"/>
        </w:rPr>
        <w:t xml:space="preserve"> الار</w:t>
      </w:r>
      <w:r w:rsidR="003337FD">
        <w:rPr>
          <w:rFonts w:ascii="Simplified Arabic" w:hAnsi="Simplified Arabic" w:cs="Simplified Arabic" w:hint="cs"/>
          <w:sz w:val="24"/>
          <w:szCs w:val="24"/>
          <w:rtl/>
          <w:lang w:val="en-US"/>
        </w:rPr>
        <w:t>ا</w:t>
      </w:r>
      <w:r w:rsidRPr="00521976">
        <w:rPr>
          <w:rFonts w:ascii="Simplified Arabic" w:hAnsi="Simplified Arabic" w:cs="Simplified Arabic" w:hint="cs"/>
          <w:sz w:val="24"/>
          <w:szCs w:val="24"/>
          <w:rtl/>
          <w:lang w:val="en-US"/>
        </w:rPr>
        <w:t>ض</w:t>
      </w:r>
      <w:r w:rsidR="003337FD">
        <w:rPr>
          <w:rFonts w:ascii="Simplified Arabic" w:hAnsi="Simplified Arabic" w:cs="Simplified Arabic" w:hint="cs"/>
          <w:sz w:val="24"/>
          <w:szCs w:val="24"/>
          <w:rtl/>
          <w:lang w:val="en-US"/>
        </w:rPr>
        <w:t>ي</w:t>
      </w:r>
      <w:r w:rsidRPr="00521976">
        <w:rPr>
          <w:rFonts w:ascii="Simplified Arabic" w:hAnsi="Simplified Arabic" w:cs="Simplified Arabic" w:hint="cs"/>
          <w:sz w:val="24"/>
          <w:szCs w:val="24"/>
          <w:rtl/>
          <w:lang w:val="en-US"/>
        </w:rPr>
        <w:t xml:space="preserve"> الحضرية عبر</w:t>
      </w:r>
      <w:r w:rsidRPr="00521976">
        <w:rPr>
          <w:rFonts w:ascii="Simplified Arabic" w:hAnsi="Simplified Arabic" w:cs="Simplified Arabic" w:hint="cs"/>
          <w:sz w:val="24"/>
          <w:szCs w:val="24"/>
          <w:rtl/>
        </w:rPr>
        <w:t xml:space="preserve"> مختلف فئات الانسجة </w:t>
      </w:r>
      <w:r w:rsidRPr="00521976">
        <w:rPr>
          <w:rFonts w:ascii="Simplified Arabic" w:hAnsi="Simplified Arabic" w:cs="Simplified Arabic" w:hint="cs"/>
          <w:color w:val="000000" w:themeColor="text1"/>
          <w:sz w:val="24"/>
          <w:szCs w:val="24"/>
          <w:rtl/>
        </w:rPr>
        <w:t>الحضرية ل</w:t>
      </w:r>
      <w:r w:rsidRPr="00521976">
        <w:rPr>
          <w:rFonts w:ascii="Simplified Arabic" w:hAnsi="Simplified Arabic" w:cs="Simplified Arabic" w:hint="cs"/>
          <w:sz w:val="24"/>
          <w:szCs w:val="24"/>
          <w:rtl/>
        </w:rPr>
        <w:t xml:space="preserve">مدينة </w:t>
      </w:r>
      <w:r w:rsidRPr="00521976">
        <w:rPr>
          <w:rFonts w:ascii="Simplified Arabic" w:hAnsi="Simplified Arabic" w:cs="Simplified Arabic" w:hint="cs"/>
          <w:color w:val="000000" w:themeColor="text1"/>
          <w:sz w:val="24"/>
          <w:szCs w:val="24"/>
          <w:rtl/>
        </w:rPr>
        <w:t>بوسعادة</w:t>
      </w:r>
      <w:r w:rsidRPr="00521976">
        <w:rPr>
          <w:rFonts w:ascii="Simplified Arabic" w:hAnsi="Simplified Arabic" w:cs="Simplified Arabic" w:hint="cs"/>
          <w:sz w:val="24"/>
          <w:szCs w:val="24"/>
          <w:rtl/>
          <w:lang w:val="en-US" w:bidi="ar-DZ"/>
        </w:rPr>
        <w:t>.</w:t>
      </w:r>
      <w:r w:rsidRPr="00521976">
        <w:rPr>
          <w:rFonts w:ascii="Simplified Arabic" w:hAnsi="Simplified Arabic" w:cs="Simplified Arabic"/>
          <w:sz w:val="24"/>
          <w:szCs w:val="24"/>
          <w:rtl/>
          <w:lang w:val="en-US" w:bidi="ar-DZ"/>
        </w:rPr>
        <w:t xml:space="preserve"> –</w:t>
      </w:r>
      <w:r w:rsidRPr="00521976">
        <w:rPr>
          <w:rFonts w:ascii="Simplified Arabic" w:hAnsi="Simplified Arabic" w:cs="Simplified Arabic" w:hint="cs"/>
          <w:sz w:val="24"/>
          <w:szCs w:val="24"/>
          <w:rtl/>
          <w:lang w:val="en-US" w:bidi="ar-DZ"/>
        </w:rPr>
        <w:t xml:space="preserve"> تحديد </w:t>
      </w:r>
      <w:r w:rsidRPr="00521976">
        <w:rPr>
          <w:rFonts w:ascii="Simplified Arabic" w:hAnsi="Simplified Arabic" w:cs="Simplified Arabic" w:hint="cs"/>
          <w:color w:val="000000" w:themeColor="text1"/>
          <w:sz w:val="24"/>
          <w:szCs w:val="24"/>
          <w:rtl/>
        </w:rPr>
        <w:t>تصورات</w:t>
      </w:r>
      <w:r w:rsidRPr="00521976">
        <w:rPr>
          <w:rFonts w:ascii="Simplified Arabic" w:hAnsi="Simplified Arabic" w:cs="Simplified Arabic"/>
          <w:color w:val="000000" w:themeColor="text1"/>
          <w:sz w:val="24"/>
          <w:szCs w:val="24"/>
          <w:rtl/>
        </w:rPr>
        <w:t xml:space="preserve"> </w:t>
      </w:r>
      <w:r w:rsidRPr="00521976">
        <w:rPr>
          <w:rFonts w:ascii="Simplified Arabic" w:hAnsi="Simplified Arabic" w:cs="Simplified Arabic" w:hint="cs"/>
          <w:color w:val="000000" w:themeColor="text1"/>
          <w:sz w:val="24"/>
          <w:szCs w:val="24"/>
          <w:rtl/>
        </w:rPr>
        <w:t>السكان المحليين حول اضطرابات الحصول على الخدمة لرفع مستوى المرونة الحضرية.</w:t>
      </w:r>
    </w:p>
    <w:p w:rsidR="00521976" w:rsidRPr="00521976" w:rsidRDefault="00521976" w:rsidP="001D0548">
      <w:pPr>
        <w:pStyle w:val="Paragraphedeliste"/>
        <w:numPr>
          <w:ilvl w:val="0"/>
          <w:numId w:val="70"/>
        </w:numPr>
        <w:tabs>
          <w:tab w:val="right" w:pos="424"/>
        </w:tabs>
        <w:bidi/>
        <w:spacing w:after="0"/>
        <w:ind w:left="-1" w:firstLine="283"/>
        <w:jc w:val="both"/>
        <w:rPr>
          <w:rFonts w:ascii="Simplified Arabic" w:hAnsi="Simplified Arabic" w:cs="Simplified Arabic"/>
          <w:sz w:val="24"/>
          <w:szCs w:val="24"/>
          <w:rtl/>
          <w:lang w:val="en-US" w:bidi="ar-DZ"/>
        </w:rPr>
      </w:pPr>
      <w:r w:rsidRPr="00521976">
        <w:rPr>
          <w:rFonts w:ascii="Simplified Arabic" w:hAnsi="Simplified Arabic" w:cs="Simplified Arabic" w:hint="cs"/>
          <w:sz w:val="24"/>
          <w:szCs w:val="24"/>
          <w:rtl/>
          <w:lang w:bidi="ar-DZ"/>
        </w:rPr>
        <w:t>تنفيذ</w:t>
      </w:r>
      <w:r w:rsidRPr="00521976">
        <w:rPr>
          <w:rFonts w:ascii="Simplified Arabic" w:hAnsi="Simplified Arabic" w:cs="Simplified Arabic"/>
          <w:sz w:val="24"/>
          <w:szCs w:val="24"/>
          <w:rtl/>
          <w:lang w:bidi="ar-DZ"/>
        </w:rPr>
        <w:t xml:space="preserve"> </w:t>
      </w:r>
      <w:r w:rsidRPr="00521976">
        <w:rPr>
          <w:rFonts w:ascii="Simplified Arabic" w:hAnsi="Simplified Arabic" w:cs="Simplified Arabic"/>
          <w:sz w:val="24"/>
          <w:szCs w:val="24"/>
          <w:rtl/>
          <w:lang w:val="en-US"/>
        </w:rPr>
        <w:t>نم</w:t>
      </w:r>
      <w:r w:rsidRPr="00521976">
        <w:rPr>
          <w:rFonts w:ascii="Simplified Arabic" w:hAnsi="Simplified Arabic" w:cs="Simplified Arabic" w:hint="cs"/>
          <w:sz w:val="24"/>
          <w:szCs w:val="24"/>
          <w:rtl/>
          <w:lang w:val="en-US"/>
        </w:rPr>
        <w:t>و</w:t>
      </w:r>
      <w:r w:rsidRPr="00521976">
        <w:rPr>
          <w:rFonts w:ascii="Simplified Arabic" w:hAnsi="Simplified Arabic" w:cs="Simplified Arabic"/>
          <w:sz w:val="24"/>
          <w:szCs w:val="24"/>
          <w:rtl/>
          <w:lang w:val="en-US"/>
        </w:rPr>
        <w:t xml:space="preserve">ذج </w:t>
      </w:r>
      <w:r w:rsidRPr="00521976">
        <w:rPr>
          <w:rFonts w:ascii="Simplified Arabic" w:hAnsi="Simplified Arabic" w:cs="Simplified Arabic" w:hint="cs"/>
          <w:sz w:val="24"/>
          <w:szCs w:val="24"/>
          <w:rtl/>
          <w:lang w:bidi="ar-DZ"/>
        </w:rPr>
        <w:t>يسمح ب</w:t>
      </w:r>
      <w:r w:rsidRPr="00521976">
        <w:rPr>
          <w:rFonts w:ascii="Simplified Arabic" w:hAnsi="Simplified Arabic" w:cs="Simplified Arabic" w:hint="cs"/>
          <w:color w:val="000000" w:themeColor="text1"/>
          <w:sz w:val="24"/>
          <w:szCs w:val="24"/>
          <w:rtl/>
        </w:rPr>
        <w:t xml:space="preserve">كشف توافر </w:t>
      </w:r>
      <w:r w:rsidRPr="00521976">
        <w:rPr>
          <w:rFonts w:ascii="Simplified Arabic" w:hAnsi="Simplified Arabic" w:cs="Simplified Arabic" w:hint="cs"/>
          <w:sz w:val="24"/>
          <w:szCs w:val="24"/>
          <w:rtl/>
        </w:rPr>
        <w:t>سمات</w:t>
      </w:r>
      <w:r w:rsidRPr="00521976">
        <w:rPr>
          <w:rFonts w:ascii="Simplified Arabic" w:hAnsi="Simplified Arabic" w:cs="Simplified Arabic"/>
          <w:sz w:val="24"/>
          <w:szCs w:val="24"/>
          <w:rtl/>
        </w:rPr>
        <w:t xml:space="preserve"> </w:t>
      </w:r>
      <w:r w:rsidRPr="00521976">
        <w:rPr>
          <w:rFonts w:ascii="Simplified Arabic" w:hAnsi="Simplified Arabic" w:cs="Simplified Arabic" w:hint="cs"/>
          <w:sz w:val="24"/>
          <w:szCs w:val="24"/>
          <w:rtl/>
        </w:rPr>
        <w:t xml:space="preserve">المرونة المكانية عبر مختلف فئات الانسجة </w:t>
      </w:r>
      <w:r w:rsidRPr="00521976">
        <w:rPr>
          <w:rFonts w:ascii="Simplified Arabic" w:hAnsi="Simplified Arabic" w:cs="Simplified Arabic" w:hint="cs"/>
          <w:color w:val="000000" w:themeColor="text1"/>
          <w:sz w:val="24"/>
          <w:szCs w:val="24"/>
          <w:rtl/>
        </w:rPr>
        <w:t>الحضرية ل</w:t>
      </w:r>
      <w:r w:rsidRPr="00521976">
        <w:rPr>
          <w:rFonts w:ascii="Simplified Arabic" w:hAnsi="Simplified Arabic" w:cs="Simplified Arabic" w:hint="cs"/>
          <w:sz w:val="24"/>
          <w:szCs w:val="24"/>
          <w:rtl/>
        </w:rPr>
        <w:t xml:space="preserve">مدينة </w:t>
      </w:r>
      <w:r w:rsidRPr="00521976">
        <w:rPr>
          <w:rFonts w:ascii="Simplified Arabic" w:hAnsi="Simplified Arabic" w:cs="Simplified Arabic" w:hint="cs"/>
          <w:color w:val="000000" w:themeColor="text1"/>
          <w:sz w:val="24"/>
          <w:szCs w:val="24"/>
          <w:rtl/>
        </w:rPr>
        <w:t>بوسعادة</w:t>
      </w:r>
      <w:r w:rsidRPr="00521976">
        <w:rPr>
          <w:rFonts w:ascii="Simplified Arabic" w:hAnsi="Simplified Arabic" w:cs="Simplified Arabic" w:hint="cs"/>
          <w:sz w:val="24"/>
          <w:szCs w:val="24"/>
          <w:rtl/>
        </w:rPr>
        <w:t xml:space="preserve"> من خلال </w:t>
      </w:r>
      <w:r w:rsidR="00312268">
        <w:rPr>
          <w:rFonts w:ascii="Simplified Arabic" w:hAnsi="Simplified Arabic" w:cs="Simplified Arabic" w:hint="cs"/>
          <w:sz w:val="24"/>
          <w:szCs w:val="24"/>
          <w:rtl/>
        </w:rPr>
        <w:t>تحليل خصائص</w:t>
      </w:r>
      <w:r w:rsidRPr="00521976">
        <w:rPr>
          <w:rFonts w:ascii="Simplified Arabic" w:hAnsi="Simplified Arabic" w:cs="Simplified Arabic" w:hint="cs"/>
          <w:sz w:val="24"/>
          <w:szCs w:val="24"/>
          <w:rtl/>
        </w:rPr>
        <w:t xml:space="preserve"> التوزيع المكاني ل</w:t>
      </w:r>
      <w:r w:rsidR="003337FD">
        <w:rPr>
          <w:rFonts w:ascii="Simplified Arabic" w:hAnsi="Simplified Arabic" w:cs="Simplified Arabic" w:hint="cs"/>
          <w:sz w:val="24"/>
          <w:szCs w:val="24"/>
          <w:rtl/>
        </w:rPr>
        <w:t>استعمال</w:t>
      </w:r>
      <w:r w:rsidRPr="00521976">
        <w:rPr>
          <w:rFonts w:ascii="Simplified Arabic" w:hAnsi="Simplified Arabic" w:cs="Simplified Arabic" w:hint="cs"/>
          <w:sz w:val="24"/>
          <w:szCs w:val="24"/>
          <w:rtl/>
        </w:rPr>
        <w:t xml:space="preserve"> الارض الحضرية</w:t>
      </w:r>
      <w:r w:rsidRPr="00521976">
        <w:rPr>
          <w:rFonts w:ascii="Simplified Arabic" w:hAnsi="Simplified Arabic" w:cs="Simplified Arabic"/>
          <w:sz w:val="24"/>
          <w:szCs w:val="24"/>
          <w:rtl/>
          <w:lang w:val="en-US"/>
        </w:rPr>
        <w:t>.</w:t>
      </w:r>
    </w:p>
    <w:p w:rsidR="00EE6A21" w:rsidRPr="00FB0297" w:rsidRDefault="00776ABF" w:rsidP="00776ABF">
      <w:pPr>
        <w:bidi/>
        <w:spacing w:before="240" w:after="0"/>
        <w:ind w:firstLine="283"/>
        <w:rPr>
          <w:rFonts w:ascii="Simplified Arabic" w:hAnsi="Simplified Arabic" w:cs="Simplified Arabic"/>
          <w:sz w:val="24"/>
          <w:szCs w:val="24"/>
          <w:lang w:val="en-US" w:bidi="ar-DZ"/>
        </w:rPr>
      </w:pPr>
      <w:r>
        <w:rPr>
          <w:rFonts w:ascii="Simplified Arabic" w:hAnsi="Simplified Arabic" w:cs="Simplified Arabic" w:hint="cs"/>
          <w:sz w:val="24"/>
          <w:szCs w:val="24"/>
          <w:rtl/>
          <w:lang w:val="en-US" w:bidi="ar-DZ"/>
        </w:rPr>
        <w:t>بعد</w:t>
      </w:r>
      <w:r w:rsidR="00EE6A21" w:rsidRPr="00FB0297">
        <w:rPr>
          <w:rFonts w:ascii="Simplified Arabic" w:hAnsi="Simplified Arabic" w:cs="Simplified Arabic"/>
          <w:sz w:val="24"/>
          <w:szCs w:val="24"/>
          <w:rtl/>
          <w:lang w:val="en-US" w:bidi="ar-DZ"/>
        </w:rPr>
        <w:t xml:space="preserve"> </w:t>
      </w:r>
      <w:r w:rsidR="00EE6A21" w:rsidRPr="00FB0297">
        <w:rPr>
          <w:rFonts w:ascii="Simplified Arabic" w:hAnsi="Simplified Arabic" w:cs="Simplified Arabic" w:hint="cs"/>
          <w:sz w:val="24"/>
          <w:szCs w:val="24"/>
          <w:rtl/>
          <w:lang w:val="en-US" w:bidi="ar-DZ"/>
        </w:rPr>
        <w:t>محاولة</w:t>
      </w:r>
      <w:r w:rsidR="00EE6A21" w:rsidRPr="00FB0297">
        <w:rPr>
          <w:rFonts w:ascii="Simplified Arabic" w:hAnsi="Simplified Arabic" w:cs="Simplified Arabic"/>
          <w:sz w:val="24"/>
          <w:szCs w:val="24"/>
          <w:rtl/>
          <w:lang w:val="en-US" w:bidi="ar-DZ"/>
        </w:rPr>
        <w:t xml:space="preserve"> </w:t>
      </w:r>
      <w:r w:rsidR="00EE6A21">
        <w:rPr>
          <w:rFonts w:ascii="Simplified Arabic" w:hAnsi="Simplified Arabic" w:cs="Simplified Arabic" w:hint="cs"/>
          <w:sz w:val="24"/>
          <w:szCs w:val="24"/>
          <w:rtl/>
          <w:lang w:val="en-US" w:bidi="ar-DZ"/>
        </w:rPr>
        <w:t>تحقيق</w:t>
      </w:r>
      <w:r w:rsidR="00EE6A21" w:rsidRPr="00FB0297">
        <w:rPr>
          <w:rFonts w:ascii="Simplified Arabic" w:hAnsi="Simplified Arabic" w:cs="Simplified Arabic"/>
          <w:sz w:val="24"/>
          <w:szCs w:val="24"/>
          <w:rtl/>
          <w:lang w:val="en-US" w:bidi="ar-DZ"/>
        </w:rPr>
        <w:t xml:space="preserve"> </w:t>
      </w:r>
      <w:r w:rsidR="00EE6A21" w:rsidRPr="00FB0297">
        <w:rPr>
          <w:rFonts w:ascii="Simplified Arabic" w:hAnsi="Simplified Arabic" w:cs="Simplified Arabic" w:hint="cs"/>
          <w:sz w:val="24"/>
          <w:szCs w:val="24"/>
          <w:rtl/>
          <w:lang w:val="en-US" w:bidi="ar-DZ"/>
        </w:rPr>
        <w:t>هذ</w:t>
      </w:r>
      <w:r w:rsidR="00EE6A21">
        <w:rPr>
          <w:rFonts w:ascii="Simplified Arabic" w:hAnsi="Simplified Arabic" w:cs="Simplified Arabic" w:hint="cs"/>
          <w:sz w:val="24"/>
          <w:szCs w:val="24"/>
          <w:rtl/>
          <w:lang w:val="en-US" w:bidi="ar-DZ"/>
        </w:rPr>
        <w:t>ين الهدفين</w:t>
      </w:r>
      <w:r w:rsidR="00EE6A21" w:rsidRPr="00FB0297">
        <w:rPr>
          <w:rFonts w:ascii="Simplified Arabic" w:hAnsi="Simplified Arabic" w:cs="Simplified Arabic" w:hint="cs"/>
          <w:sz w:val="24"/>
          <w:szCs w:val="24"/>
          <w:rtl/>
          <w:lang w:val="en-US" w:bidi="ar-DZ"/>
        </w:rPr>
        <w:t>،</w:t>
      </w:r>
      <w:r w:rsidR="00EE6A21" w:rsidRPr="00FB0297">
        <w:rPr>
          <w:rFonts w:ascii="Simplified Arabic" w:hAnsi="Simplified Arabic" w:cs="Simplified Arabic"/>
          <w:sz w:val="24"/>
          <w:szCs w:val="24"/>
          <w:rtl/>
          <w:lang w:val="en-US" w:bidi="ar-DZ"/>
        </w:rPr>
        <w:t xml:space="preserve"> </w:t>
      </w:r>
      <w:r w:rsidR="00EE6A21" w:rsidRPr="00FB0297">
        <w:rPr>
          <w:rFonts w:ascii="Simplified Arabic" w:hAnsi="Simplified Arabic" w:cs="Simplified Arabic" w:hint="cs"/>
          <w:sz w:val="24"/>
          <w:szCs w:val="24"/>
          <w:rtl/>
          <w:lang w:val="en-US" w:bidi="ar-DZ"/>
        </w:rPr>
        <w:t>يقدم</w:t>
      </w:r>
      <w:r w:rsidR="00EE6A21" w:rsidRPr="00FB0297">
        <w:rPr>
          <w:rFonts w:ascii="Simplified Arabic" w:hAnsi="Simplified Arabic" w:cs="Simplified Arabic"/>
          <w:sz w:val="24"/>
          <w:szCs w:val="24"/>
          <w:rtl/>
          <w:lang w:val="en-US" w:bidi="ar-DZ"/>
        </w:rPr>
        <w:t xml:space="preserve"> </w:t>
      </w:r>
      <w:r w:rsidR="00EE6A21" w:rsidRPr="00FB0297">
        <w:rPr>
          <w:rFonts w:ascii="Simplified Arabic" w:hAnsi="Simplified Arabic" w:cs="Simplified Arabic" w:hint="cs"/>
          <w:sz w:val="24"/>
          <w:szCs w:val="24"/>
          <w:rtl/>
          <w:lang w:val="en-US" w:bidi="ar-DZ"/>
        </w:rPr>
        <w:t>البحث</w:t>
      </w:r>
      <w:r w:rsidR="00EE6A21" w:rsidRPr="00FB0297">
        <w:rPr>
          <w:rFonts w:ascii="Simplified Arabic" w:hAnsi="Simplified Arabic" w:cs="Simplified Arabic"/>
          <w:sz w:val="24"/>
          <w:szCs w:val="24"/>
          <w:rtl/>
          <w:lang w:val="en-US" w:bidi="ar-DZ"/>
        </w:rPr>
        <w:t xml:space="preserve"> </w:t>
      </w:r>
      <w:r w:rsidR="006E2733">
        <w:rPr>
          <w:rFonts w:ascii="Simplified Arabic" w:hAnsi="Simplified Arabic" w:cs="Simplified Arabic" w:hint="cs"/>
          <w:sz w:val="24"/>
          <w:szCs w:val="24"/>
          <w:rtl/>
          <w:lang w:val="en-US" w:bidi="ar-DZ"/>
        </w:rPr>
        <w:t xml:space="preserve">الحالي، </w:t>
      </w:r>
      <w:r w:rsidR="00EE6A21" w:rsidRPr="00FB0297">
        <w:rPr>
          <w:rFonts w:ascii="Simplified Arabic" w:hAnsi="Simplified Arabic" w:cs="Simplified Arabic" w:hint="cs"/>
          <w:sz w:val="24"/>
          <w:szCs w:val="24"/>
          <w:rtl/>
          <w:lang w:val="en-US" w:bidi="ar-DZ"/>
        </w:rPr>
        <w:t>العديد</w:t>
      </w:r>
      <w:r w:rsidR="00EE6A21" w:rsidRPr="00FB0297">
        <w:rPr>
          <w:rFonts w:ascii="Simplified Arabic" w:hAnsi="Simplified Arabic" w:cs="Simplified Arabic"/>
          <w:sz w:val="24"/>
          <w:szCs w:val="24"/>
          <w:rtl/>
          <w:lang w:val="en-US" w:bidi="ar-DZ"/>
        </w:rPr>
        <w:t xml:space="preserve"> </w:t>
      </w:r>
      <w:r w:rsidR="00EE6A21" w:rsidRPr="00FB0297">
        <w:rPr>
          <w:rFonts w:ascii="Simplified Arabic" w:hAnsi="Simplified Arabic" w:cs="Simplified Arabic" w:hint="cs"/>
          <w:sz w:val="24"/>
          <w:szCs w:val="24"/>
          <w:rtl/>
          <w:lang w:val="en-US" w:bidi="ar-DZ"/>
        </w:rPr>
        <w:t>من</w:t>
      </w:r>
      <w:r w:rsidR="00EE6A21">
        <w:rPr>
          <w:rFonts w:ascii="Simplified Arabic" w:hAnsi="Simplified Arabic" w:cs="Simplified Arabic" w:hint="cs"/>
          <w:sz w:val="24"/>
          <w:szCs w:val="24"/>
          <w:rtl/>
          <w:lang w:val="en-US" w:bidi="ar-DZ"/>
        </w:rPr>
        <w:t xml:space="preserve"> النتائج كما يلي:</w:t>
      </w:r>
    </w:p>
    <w:p w:rsidR="00EE6A21" w:rsidRPr="00BD74EF" w:rsidRDefault="00E7535B" w:rsidP="000D6E78">
      <w:pPr>
        <w:pStyle w:val="Paragraphedeliste"/>
        <w:numPr>
          <w:ilvl w:val="1"/>
          <w:numId w:val="84"/>
        </w:numPr>
        <w:tabs>
          <w:tab w:val="right" w:pos="567"/>
        </w:tabs>
        <w:bidi/>
        <w:spacing w:after="0"/>
        <w:ind w:left="0" w:firstLine="0"/>
        <w:outlineLvl w:val="1"/>
        <w:rPr>
          <w:rFonts w:ascii="Simplified Arabic" w:hAnsi="Simplified Arabic" w:cs="Simplified Arabic"/>
          <w:b/>
          <w:bCs/>
          <w:sz w:val="24"/>
          <w:szCs w:val="24"/>
          <w:lang w:val="en-US" w:bidi="ar-DZ"/>
        </w:rPr>
      </w:pPr>
      <w:bookmarkStart w:id="986" w:name="_Toc171803903"/>
      <w:r>
        <w:rPr>
          <w:rFonts w:ascii="Simplified Arabic" w:hAnsi="Simplified Arabic" w:cs="Simplified Arabic" w:hint="cs"/>
          <w:b/>
          <w:bCs/>
          <w:sz w:val="24"/>
          <w:szCs w:val="24"/>
          <w:rtl/>
          <w:lang w:val="en-US" w:bidi="ar-DZ"/>
        </w:rPr>
        <w:t xml:space="preserve">نتائج </w:t>
      </w:r>
      <w:r w:rsidR="00521976" w:rsidRPr="00BD74EF">
        <w:rPr>
          <w:rFonts w:ascii="Simplified Arabic" w:hAnsi="Simplified Arabic" w:cs="Simplified Arabic" w:hint="cs"/>
          <w:b/>
          <w:bCs/>
          <w:sz w:val="24"/>
          <w:szCs w:val="24"/>
          <w:rtl/>
          <w:lang w:val="en-US" w:bidi="ar-DZ"/>
        </w:rPr>
        <w:t xml:space="preserve">تطوير </w:t>
      </w:r>
      <w:r w:rsidR="00EE6A21" w:rsidRPr="00BD74EF">
        <w:rPr>
          <w:rFonts w:ascii="Simplified Arabic" w:hAnsi="Simplified Arabic" w:cs="Simplified Arabic" w:hint="cs"/>
          <w:b/>
          <w:bCs/>
          <w:sz w:val="24"/>
          <w:szCs w:val="24"/>
          <w:rtl/>
          <w:lang w:val="en-US" w:bidi="ar-DZ"/>
        </w:rPr>
        <w:t>إطار عمل</w:t>
      </w:r>
      <w:r w:rsidR="00EE6A21" w:rsidRPr="00BD74EF">
        <w:rPr>
          <w:rFonts w:ascii="Simplified Arabic" w:hAnsi="Simplified Arabic" w:cs="Simplified Arabic"/>
          <w:b/>
          <w:bCs/>
          <w:sz w:val="24"/>
          <w:szCs w:val="24"/>
          <w:rtl/>
          <w:lang w:val="en-US" w:bidi="ar-DZ"/>
        </w:rPr>
        <w:t xml:space="preserve"> </w:t>
      </w:r>
      <w:r w:rsidR="00394289" w:rsidRPr="00BD74EF">
        <w:rPr>
          <w:rFonts w:ascii="Simplified Arabic" w:hAnsi="Simplified Arabic" w:cs="Simplified Arabic" w:hint="cs"/>
          <w:b/>
          <w:bCs/>
          <w:sz w:val="24"/>
          <w:szCs w:val="24"/>
          <w:rtl/>
          <w:lang w:val="en-US" w:bidi="ar-DZ"/>
        </w:rPr>
        <w:t>ال</w:t>
      </w:r>
      <w:r w:rsidR="000D6E78">
        <w:rPr>
          <w:rFonts w:ascii="Simplified Arabic" w:hAnsi="Simplified Arabic" w:cs="Simplified Arabic" w:hint="cs"/>
          <w:b/>
          <w:bCs/>
          <w:sz w:val="24"/>
          <w:szCs w:val="24"/>
          <w:rtl/>
          <w:lang w:val="en-US" w:bidi="ar-DZ"/>
        </w:rPr>
        <w:t>ذ</w:t>
      </w:r>
      <w:r w:rsidR="00394289" w:rsidRPr="00BD74EF">
        <w:rPr>
          <w:rFonts w:ascii="Simplified Arabic" w:hAnsi="Simplified Arabic" w:cs="Simplified Arabic" w:hint="cs"/>
          <w:b/>
          <w:bCs/>
          <w:sz w:val="24"/>
          <w:szCs w:val="24"/>
          <w:rtl/>
          <w:lang w:val="en-US" w:bidi="ar-DZ"/>
        </w:rPr>
        <w:t xml:space="preserve">ي </w:t>
      </w:r>
      <w:r w:rsidR="000D6E78">
        <w:rPr>
          <w:rFonts w:ascii="Simplified Arabic" w:hAnsi="Simplified Arabic" w:cs="Simplified Arabic" w:hint="cs"/>
          <w:b/>
          <w:bCs/>
          <w:sz w:val="24"/>
          <w:szCs w:val="24"/>
          <w:rtl/>
          <w:lang w:val="en-US" w:bidi="ar-DZ"/>
        </w:rPr>
        <w:t>ي</w:t>
      </w:r>
      <w:r w:rsidR="00966C7A" w:rsidRPr="00BD74EF">
        <w:rPr>
          <w:rFonts w:ascii="Simplified Arabic" w:hAnsi="Simplified Arabic" w:cs="Simplified Arabic" w:hint="cs"/>
          <w:b/>
          <w:bCs/>
          <w:sz w:val="24"/>
          <w:szCs w:val="24"/>
          <w:rtl/>
          <w:lang w:val="en-US" w:bidi="ar-DZ"/>
        </w:rPr>
        <w:t>سمح ب</w:t>
      </w:r>
      <w:r w:rsidR="00EE6A21" w:rsidRPr="00BD74EF">
        <w:rPr>
          <w:rFonts w:ascii="Simplified Arabic" w:hAnsi="Simplified Arabic" w:cs="Simplified Arabic" w:hint="cs"/>
          <w:b/>
          <w:bCs/>
          <w:sz w:val="24"/>
          <w:szCs w:val="24"/>
          <w:rtl/>
          <w:lang w:val="en-US" w:bidi="ar-DZ"/>
        </w:rPr>
        <w:t>تقييم</w:t>
      </w:r>
      <w:r w:rsidR="00EE6A21" w:rsidRPr="00BD74EF">
        <w:rPr>
          <w:rFonts w:ascii="Simplified Arabic" w:hAnsi="Simplified Arabic" w:cs="Simplified Arabic"/>
          <w:b/>
          <w:bCs/>
          <w:sz w:val="24"/>
          <w:szCs w:val="24"/>
          <w:rtl/>
          <w:lang w:val="en-US" w:bidi="ar-DZ"/>
        </w:rPr>
        <w:t xml:space="preserve"> </w:t>
      </w:r>
      <w:r w:rsidR="00EE6A21" w:rsidRPr="00BD74EF">
        <w:rPr>
          <w:rFonts w:ascii="Simplified Arabic" w:hAnsi="Simplified Arabic" w:cs="Simplified Arabic" w:hint="cs"/>
          <w:b/>
          <w:bCs/>
          <w:sz w:val="24"/>
          <w:szCs w:val="24"/>
          <w:rtl/>
          <w:lang w:val="en-US" w:bidi="ar-DZ"/>
        </w:rPr>
        <w:t>مستويات</w:t>
      </w:r>
      <w:r w:rsidR="00EE6A21" w:rsidRPr="00BD74EF">
        <w:rPr>
          <w:rFonts w:ascii="Simplified Arabic" w:hAnsi="Simplified Arabic" w:cs="Simplified Arabic"/>
          <w:b/>
          <w:bCs/>
          <w:sz w:val="24"/>
          <w:szCs w:val="24"/>
          <w:rtl/>
          <w:lang w:val="en-US" w:bidi="ar-DZ"/>
        </w:rPr>
        <w:t xml:space="preserve"> </w:t>
      </w:r>
      <w:r w:rsidR="00EE6A21" w:rsidRPr="00BD74EF">
        <w:rPr>
          <w:rFonts w:ascii="Simplified Arabic" w:hAnsi="Simplified Arabic" w:cs="Simplified Arabic" w:hint="cs"/>
          <w:b/>
          <w:bCs/>
          <w:sz w:val="24"/>
          <w:szCs w:val="24"/>
          <w:rtl/>
          <w:lang w:val="en-US" w:bidi="ar-DZ"/>
        </w:rPr>
        <w:t>المرونة الحضرية</w:t>
      </w:r>
      <w:r w:rsidR="00EE6A21" w:rsidRPr="00BD74EF">
        <w:rPr>
          <w:rFonts w:ascii="Simplified Arabic" w:hAnsi="Simplified Arabic" w:cs="Simplified Arabic"/>
          <w:b/>
          <w:bCs/>
          <w:sz w:val="24"/>
          <w:szCs w:val="24"/>
          <w:rtl/>
          <w:lang w:val="en-US" w:bidi="ar-DZ"/>
        </w:rPr>
        <w:t>:</w:t>
      </w:r>
      <w:bookmarkEnd w:id="986"/>
      <w:r w:rsidR="00EE6A21" w:rsidRPr="00BD74EF">
        <w:rPr>
          <w:rFonts w:ascii="Simplified Arabic" w:hAnsi="Simplified Arabic" w:cs="Simplified Arabic"/>
          <w:b/>
          <w:bCs/>
          <w:sz w:val="24"/>
          <w:szCs w:val="24"/>
          <w:rtl/>
          <w:lang w:val="en-US" w:bidi="ar-DZ"/>
        </w:rPr>
        <w:t xml:space="preserve"> </w:t>
      </w:r>
    </w:p>
    <w:p w:rsidR="00D22BD2" w:rsidRDefault="00D22BD2" w:rsidP="00CF4A92">
      <w:pPr>
        <w:bidi/>
        <w:spacing w:after="0"/>
        <w:ind w:firstLine="283"/>
        <w:jc w:val="both"/>
        <w:rPr>
          <w:rStyle w:val="y2iqfc"/>
          <w:rFonts w:ascii="Simplified Arabic" w:hAnsi="Simplified Arabic" w:cs="Simplified Arabic"/>
          <w:color w:val="202124"/>
          <w:sz w:val="24"/>
          <w:szCs w:val="24"/>
          <w:rtl/>
          <w:lang w:bidi="ar"/>
        </w:rPr>
      </w:pPr>
      <w:r>
        <w:rPr>
          <w:rStyle w:val="y2iqfc"/>
          <w:rFonts w:ascii="Simplified Arabic" w:hAnsi="Simplified Arabic" w:cs="Simplified Arabic" w:hint="cs"/>
          <w:color w:val="202124"/>
          <w:sz w:val="24"/>
          <w:szCs w:val="24"/>
          <w:rtl/>
          <w:lang w:bidi="ar"/>
        </w:rPr>
        <w:t xml:space="preserve">اولا: </w:t>
      </w:r>
      <w:r w:rsidR="00E7535B" w:rsidRPr="00394289">
        <w:rPr>
          <w:rStyle w:val="y2iqfc"/>
          <w:rFonts w:ascii="Simplified Arabic" w:hAnsi="Simplified Arabic" w:cs="Simplified Arabic"/>
          <w:color w:val="202124"/>
          <w:sz w:val="24"/>
          <w:szCs w:val="24"/>
          <w:rtl/>
          <w:lang w:bidi="ar"/>
        </w:rPr>
        <w:t xml:space="preserve">أظهرت نتائج </w:t>
      </w:r>
      <w:r w:rsidR="00E7535B" w:rsidRPr="00394289">
        <w:rPr>
          <w:rStyle w:val="y2iqfc"/>
          <w:rFonts w:ascii="Simplified Arabic" w:hAnsi="Simplified Arabic" w:cs="Simplified Arabic" w:hint="cs"/>
          <w:color w:val="202124"/>
          <w:sz w:val="24"/>
          <w:szCs w:val="24"/>
          <w:rtl/>
          <w:lang w:bidi="ar"/>
        </w:rPr>
        <w:t xml:space="preserve">استبيان دلفي </w:t>
      </w:r>
      <w:r w:rsidR="00E7535B">
        <w:rPr>
          <w:rStyle w:val="y2iqfc"/>
          <w:rFonts w:ascii="Simplified Arabic" w:hAnsi="Simplified Arabic" w:cs="Simplified Arabic" w:hint="cs"/>
          <w:color w:val="202124"/>
          <w:sz w:val="24"/>
          <w:szCs w:val="24"/>
          <w:rtl/>
          <w:lang w:bidi="ar"/>
        </w:rPr>
        <w:t xml:space="preserve">الحصول </w:t>
      </w:r>
      <w:r w:rsidR="00EB7229">
        <w:rPr>
          <w:rFonts w:ascii="Simplified Arabic" w:hAnsi="Simplified Arabic" w:cs="Simplified Arabic" w:hint="cs"/>
          <w:sz w:val="24"/>
          <w:szCs w:val="24"/>
          <w:rtl/>
          <w:lang w:val="en-US" w:bidi="ar-DZ"/>
        </w:rPr>
        <w:t xml:space="preserve">على </w:t>
      </w:r>
      <w:r w:rsidR="00EE6A21" w:rsidRPr="00700BE7">
        <w:rPr>
          <w:rFonts w:ascii="Simplified Arabic" w:hAnsi="Simplified Arabic" w:cs="Simplified Arabic" w:hint="cs"/>
          <w:sz w:val="24"/>
          <w:szCs w:val="24"/>
          <w:rtl/>
          <w:lang w:val="en-US" w:bidi="ar-DZ"/>
        </w:rPr>
        <w:t>سلسلة</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من</w:t>
      </w:r>
      <w:r w:rsidR="00EE6A21" w:rsidRPr="00700BE7">
        <w:rPr>
          <w:rFonts w:ascii="Simplified Arabic" w:hAnsi="Simplified Arabic" w:cs="Simplified Arabic"/>
          <w:sz w:val="24"/>
          <w:szCs w:val="24"/>
          <w:rtl/>
          <w:lang w:val="en-US" w:bidi="ar-DZ"/>
        </w:rPr>
        <w:t xml:space="preserve"> </w:t>
      </w:r>
      <w:r w:rsidR="00EB7229">
        <w:rPr>
          <w:rFonts w:ascii="Simplified Arabic" w:hAnsi="Simplified Arabic" w:cs="Simplified Arabic" w:hint="cs"/>
          <w:sz w:val="24"/>
          <w:szCs w:val="24"/>
          <w:rtl/>
          <w:lang w:val="en-US"/>
        </w:rPr>
        <w:t>المعايير</w:t>
      </w:r>
      <w:r w:rsidR="00EB7229">
        <w:rPr>
          <w:rFonts w:ascii="Simplified Arabic" w:hAnsi="Simplified Arabic" w:cs="Simplified Arabic" w:hint="cs"/>
          <w:sz w:val="24"/>
          <w:szCs w:val="24"/>
          <w:rtl/>
          <w:lang w:val="en-US" w:bidi="ar-DZ"/>
        </w:rPr>
        <w:t xml:space="preserve"> </w:t>
      </w:r>
      <w:r w:rsidR="00B50A81">
        <w:rPr>
          <w:rFonts w:ascii="Simplified Arabic" w:hAnsi="Simplified Arabic" w:cs="Simplified Arabic" w:hint="cs"/>
          <w:sz w:val="24"/>
          <w:szCs w:val="24"/>
          <w:rtl/>
          <w:lang w:val="en-US" w:bidi="ar-DZ"/>
        </w:rPr>
        <w:t>النهائية لتقييم المرونة</w:t>
      </w:r>
      <w:r w:rsidR="00EB7229">
        <w:rPr>
          <w:rFonts w:ascii="Simplified Arabic" w:hAnsi="Simplified Arabic" w:cs="Simplified Arabic" w:hint="cs"/>
          <w:sz w:val="24"/>
          <w:szCs w:val="24"/>
          <w:rtl/>
          <w:lang w:val="en-US"/>
        </w:rPr>
        <w:t xml:space="preserve">، </w:t>
      </w:r>
      <w:r w:rsidR="00E7535B">
        <w:rPr>
          <w:rFonts w:ascii="Simplified Arabic" w:hAnsi="Simplified Arabic" w:cs="Simplified Arabic" w:hint="cs"/>
          <w:sz w:val="24"/>
          <w:szCs w:val="24"/>
          <w:rtl/>
          <w:lang w:val="en-US"/>
        </w:rPr>
        <w:t>و</w:t>
      </w:r>
      <w:r w:rsidR="00394289" w:rsidRPr="00394289">
        <w:rPr>
          <w:rStyle w:val="y2iqfc"/>
          <w:rFonts w:ascii="Simplified Arabic" w:hAnsi="Simplified Arabic" w:cs="Simplified Arabic"/>
          <w:color w:val="202124"/>
          <w:sz w:val="24"/>
          <w:szCs w:val="24"/>
          <w:rtl/>
          <w:lang w:bidi="ar"/>
        </w:rPr>
        <w:t xml:space="preserve">أن المعيار </w:t>
      </w:r>
      <w:r w:rsidR="00394289" w:rsidRPr="00394289">
        <w:rPr>
          <w:rStyle w:val="y2iqfc"/>
          <w:rFonts w:ascii="Simplified Arabic" w:hAnsi="Simplified Arabic" w:cs="Simplified Arabic" w:hint="cs"/>
          <w:color w:val="202124"/>
          <w:sz w:val="24"/>
          <w:szCs w:val="24"/>
          <w:rtl/>
          <w:lang w:bidi="ar"/>
        </w:rPr>
        <w:t>الاكثر اهمية</w:t>
      </w:r>
      <w:r w:rsidR="00394289" w:rsidRPr="00394289">
        <w:rPr>
          <w:rStyle w:val="y2iqfc"/>
          <w:rFonts w:ascii="Simplified Arabic" w:hAnsi="Simplified Arabic" w:cs="Simplified Arabic"/>
          <w:color w:val="202124"/>
          <w:sz w:val="24"/>
          <w:szCs w:val="24"/>
          <w:rtl/>
          <w:lang w:bidi="ar"/>
        </w:rPr>
        <w:t xml:space="preserve"> لمرونة مدينة بوسعادة هو معيار التكفل الطبي بنسبة (</w:t>
      </w:r>
      <w:r w:rsidR="00394289" w:rsidRPr="00394289">
        <w:rPr>
          <w:rStyle w:val="y2iqfc"/>
          <w:rFonts w:ascii="Simplified Arabic" w:hAnsi="Simplified Arabic" w:cs="Simplified Arabic"/>
          <w:color w:val="202124"/>
          <w:sz w:val="24"/>
          <w:szCs w:val="24"/>
          <w:lang w:bidi="ar"/>
        </w:rPr>
        <w:t>25,57</w:t>
      </w:r>
      <w:r w:rsidR="00394289" w:rsidRPr="00394289">
        <w:rPr>
          <w:rStyle w:val="y2iqfc"/>
          <w:rFonts w:ascii="Simplified Arabic" w:hAnsi="Simplified Arabic" w:cs="Simplified Arabic"/>
          <w:color w:val="202124"/>
          <w:sz w:val="24"/>
          <w:szCs w:val="24"/>
          <w:rtl/>
          <w:lang w:bidi="ar"/>
        </w:rPr>
        <w:t xml:space="preserve">٪) </w:t>
      </w:r>
      <w:r w:rsidR="004750D0" w:rsidRPr="00B42CF5">
        <w:rPr>
          <w:rFonts w:ascii="Simplified Arabic" w:hAnsi="Simplified Arabic" w:cs="Simplified Arabic" w:hint="cs"/>
          <w:sz w:val="24"/>
          <w:szCs w:val="24"/>
          <w:rtl/>
          <w:lang w:bidi="ar-DZ"/>
        </w:rPr>
        <w:t xml:space="preserve">يتوافق </w:t>
      </w:r>
      <w:r w:rsidR="004750D0">
        <w:rPr>
          <w:rFonts w:ascii="Simplified Arabic" w:hAnsi="Simplified Arabic" w:cs="Simplified Arabic" w:hint="cs"/>
          <w:sz w:val="24"/>
          <w:szCs w:val="24"/>
          <w:rtl/>
          <w:lang w:bidi="ar-DZ"/>
        </w:rPr>
        <w:t xml:space="preserve">ذلك </w:t>
      </w:r>
      <w:r w:rsidR="004750D0" w:rsidRPr="00B42CF5">
        <w:rPr>
          <w:rFonts w:ascii="Simplified Arabic" w:hAnsi="Simplified Arabic" w:cs="Simplified Arabic" w:hint="cs"/>
          <w:sz w:val="24"/>
          <w:szCs w:val="24"/>
          <w:rtl/>
          <w:lang w:bidi="ar-DZ"/>
        </w:rPr>
        <w:t>مع مخاوف الخبراء من الاصابات الناجمة عن الكوارث</w:t>
      </w:r>
      <w:r w:rsidR="004750D0">
        <w:rPr>
          <w:rFonts w:ascii="Simplified Arabic" w:hAnsi="Simplified Arabic" w:cs="Simplified Arabic" w:hint="cs"/>
          <w:sz w:val="24"/>
          <w:szCs w:val="24"/>
          <w:rtl/>
          <w:lang w:bidi="ar-DZ"/>
        </w:rPr>
        <w:t>.</w:t>
      </w:r>
      <w:r w:rsidR="004750D0" w:rsidRPr="00394289">
        <w:rPr>
          <w:rStyle w:val="y2iqfc"/>
          <w:rFonts w:ascii="Simplified Arabic" w:hAnsi="Simplified Arabic" w:cs="Simplified Arabic" w:hint="cs"/>
          <w:color w:val="202124"/>
          <w:sz w:val="24"/>
          <w:szCs w:val="24"/>
          <w:rtl/>
          <w:lang w:bidi="ar"/>
        </w:rPr>
        <w:t xml:space="preserve"> </w:t>
      </w:r>
      <w:r w:rsidR="00CF4A92">
        <w:rPr>
          <w:rFonts w:ascii="Simplified Arabic" w:hAnsi="Simplified Arabic" w:cs="Simplified Arabic" w:hint="cs"/>
          <w:sz w:val="24"/>
          <w:szCs w:val="24"/>
          <w:rtl/>
          <w:lang w:val="en-US"/>
        </w:rPr>
        <w:t>معيار</w:t>
      </w:r>
      <w:r w:rsidR="00CF4A92" w:rsidRPr="00F90C3F">
        <w:rPr>
          <w:rFonts w:ascii="Simplified Arabic" w:hAnsi="Simplified Arabic" w:cs="Simplified Arabic" w:hint="cs"/>
          <w:sz w:val="24"/>
          <w:szCs w:val="24"/>
          <w:rtl/>
          <w:lang w:val="en-US"/>
        </w:rPr>
        <w:t xml:space="preserve"> الايواء المؤقت</w:t>
      </w:r>
      <w:r w:rsidR="00CF4A92">
        <w:rPr>
          <w:rFonts w:ascii="Simplified Arabic" w:hAnsi="Simplified Arabic" w:cs="Simplified Arabic" w:hint="cs"/>
          <w:sz w:val="24"/>
          <w:szCs w:val="24"/>
          <w:rtl/>
          <w:lang w:bidi="ar-DZ"/>
        </w:rPr>
        <w:t xml:space="preserve"> </w:t>
      </w:r>
      <w:r w:rsidR="00CF4A92" w:rsidRPr="00B42CF5">
        <w:rPr>
          <w:rFonts w:ascii="Simplified Arabic" w:hAnsi="Simplified Arabic" w:cs="Simplified Arabic"/>
          <w:sz w:val="24"/>
          <w:szCs w:val="24"/>
          <w:rtl/>
          <w:lang w:bidi="ar-DZ"/>
        </w:rPr>
        <w:t>بنسبة</w:t>
      </w:r>
      <w:r w:rsidR="00CF4A92">
        <w:rPr>
          <w:rFonts w:ascii="Simplified Arabic" w:hAnsi="Simplified Arabic" w:cs="Simplified Arabic"/>
          <w:sz w:val="24"/>
          <w:szCs w:val="24"/>
          <w:lang w:bidi="ar-DZ"/>
        </w:rPr>
        <w:t xml:space="preserve"> </w:t>
      </w:r>
      <w:r w:rsidR="00CF4A92" w:rsidRPr="00B42CF5">
        <w:rPr>
          <w:rFonts w:ascii="Simplified Arabic" w:hAnsi="Simplified Arabic" w:cs="Simplified Arabic"/>
          <w:sz w:val="24"/>
          <w:szCs w:val="24"/>
          <w:rtl/>
          <w:lang w:bidi="ar-DZ"/>
        </w:rPr>
        <w:t>(</w:t>
      </w:r>
      <w:r w:rsidR="00CF4A92" w:rsidRPr="00B42CF5">
        <w:rPr>
          <w:rFonts w:ascii="Simplified Arabic" w:hAnsi="Simplified Arabic" w:cs="Simplified Arabic"/>
          <w:sz w:val="24"/>
          <w:szCs w:val="24"/>
          <w:lang w:bidi="ar-DZ"/>
        </w:rPr>
        <w:t>19,42</w:t>
      </w:r>
      <w:r w:rsidR="00CF4A92" w:rsidRPr="00B42CF5">
        <w:rPr>
          <w:rFonts w:ascii="Simplified Arabic" w:hAnsi="Simplified Arabic" w:cs="Simplified Arabic"/>
          <w:sz w:val="24"/>
          <w:szCs w:val="24"/>
          <w:rtl/>
          <w:lang w:bidi="ar-DZ"/>
        </w:rPr>
        <w:t>٪)</w:t>
      </w:r>
      <w:r w:rsidR="00CF4A92" w:rsidRPr="00F90C3F">
        <w:rPr>
          <w:rFonts w:ascii="Simplified Arabic" w:hAnsi="Simplified Arabic" w:cs="Simplified Arabic" w:hint="cs"/>
          <w:sz w:val="24"/>
          <w:szCs w:val="24"/>
          <w:rtl/>
          <w:lang w:val="en-US"/>
        </w:rPr>
        <w:t xml:space="preserve"> </w:t>
      </w:r>
      <w:r w:rsidR="00CF4A92">
        <w:rPr>
          <w:rFonts w:ascii="Simplified Arabic" w:hAnsi="Simplified Arabic" w:cs="Simplified Arabic" w:hint="cs"/>
          <w:sz w:val="24"/>
          <w:szCs w:val="24"/>
          <w:rtl/>
          <w:lang w:val="en-US"/>
        </w:rPr>
        <w:t>ومعيار</w:t>
      </w:r>
      <w:r w:rsidR="00CF4A92" w:rsidRPr="00F90C3F">
        <w:rPr>
          <w:rFonts w:ascii="Simplified Arabic" w:hAnsi="Simplified Arabic" w:cs="Simplified Arabic" w:hint="cs"/>
          <w:sz w:val="24"/>
          <w:szCs w:val="24"/>
          <w:rtl/>
          <w:lang w:val="en-US"/>
        </w:rPr>
        <w:t xml:space="preserve"> الامن</w:t>
      </w:r>
      <w:r w:rsidR="00CF4A92" w:rsidRPr="00F90C3F">
        <w:rPr>
          <w:rFonts w:ascii="Simplified Arabic" w:hAnsi="Simplified Arabic" w:cs="Simplified Arabic"/>
          <w:sz w:val="24"/>
          <w:szCs w:val="24"/>
          <w:rtl/>
          <w:lang w:val="en-US"/>
        </w:rPr>
        <w:t xml:space="preserve"> </w:t>
      </w:r>
      <w:r w:rsidR="00CF4A92" w:rsidRPr="00B42CF5">
        <w:rPr>
          <w:rFonts w:ascii="Simplified Arabic" w:hAnsi="Simplified Arabic" w:cs="Simplified Arabic"/>
          <w:sz w:val="24"/>
          <w:szCs w:val="24"/>
          <w:rtl/>
          <w:lang w:bidi="ar-DZ"/>
        </w:rPr>
        <w:t>بنسبة</w:t>
      </w:r>
      <w:r w:rsidR="00CF4A92">
        <w:rPr>
          <w:rFonts w:ascii="Simplified Arabic" w:hAnsi="Simplified Arabic" w:cs="Simplified Arabic"/>
          <w:sz w:val="24"/>
          <w:szCs w:val="24"/>
          <w:lang w:bidi="ar-DZ"/>
        </w:rPr>
        <w:t xml:space="preserve"> </w:t>
      </w:r>
      <w:r w:rsidR="00CF4A92" w:rsidRPr="00B42CF5">
        <w:rPr>
          <w:rFonts w:ascii="Simplified Arabic" w:hAnsi="Simplified Arabic" w:cs="Simplified Arabic"/>
          <w:sz w:val="24"/>
          <w:szCs w:val="24"/>
          <w:rtl/>
          <w:lang w:bidi="ar-DZ"/>
        </w:rPr>
        <w:t>(</w:t>
      </w:r>
      <w:r w:rsidR="00CF4A92" w:rsidRPr="00B42CF5">
        <w:rPr>
          <w:rFonts w:ascii="Simplified Arabic" w:hAnsi="Simplified Arabic" w:cs="Simplified Arabic"/>
          <w:sz w:val="24"/>
          <w:szCs w:val="24"/>
          <w:lang w:bidi="ar-DZ"/>
        </w:rPr>
        <w:t>17,29</w:t>
      </w:r>
      <w:r w:rsidR="00CF4A92" w:rsidRPr="00B42CF5">
        <w:rPr>
          <w:rFonts w:ascii="Simplified Arabic" w:hAnsi="Simplified Arabic" w:cs="Simplified Arabic"/>
          <w:sz w:val="24"/>
          <w:szCs w:val="24"/>
          <w:rtl/>
          <w:lang w:bidi="ar-DZ"/>
        </w:rPr>
        <w:t>٪)</w:t>
      </w:r>
      <w:r w:rsidR="00CF4A92">
        <w:rPr>
          <w:rFonts w:ascii="Simplified Arabic" w:hAnsi="Simplified Arabic" w:cs="Simplified Arabic" w:hint="cs"/>
          <w:sz w:val="24"/>
          <w:szCs w:val="24"/>
          <w:rtl/>
          <w:lang w:bidi="ar-DZ"/>
        </w:rPr>
        <w:t xml:space="preserve"> </w:t>
      </w:r>
      <w:r w:rsidR="00CF4A92" w:rsidRPr="00F90C3F">
        <w:rPr>
          <w:rFonts w:ascii="Simplified Arabic" w:hAnsi="Simplified Arabic" w:cs="Simplified Arabic" w:hint="cs"/>
          <w:sz w:val="24"/>
          <w:szCs w:val="24"/>
          <w:rtl/>
          <w:lang w:val="en-US"/>
        </w:rPr>
        <w:t>هي</w:t>
      </w:r>
      <w:r w:rsidR="00CF4A92" w:rsidRPr="00F90C3F">
        <w:rPr>
          <w:rFonts w:ascii="Simplified Arabic" w:hAnsi="Simplified Arabic" w:cs="Simplified Arabic"/>
          <w:sz w:val="24"/>
          <w:szCs w:val="24"/>
          <w:rtl/>
          <w:lang w:val="en-US"/>
        </w:rPr>
        <w:t xml:space="preserve"> </w:t>
      </w:r>
      <w:r w:rsidR="00CF4A92">
        <w:rPr>
          <w:rFonts w:ascii="Simplified Arabic" w:hAnsi="Simplified Arabic" w:cs="Simplified Arabic" w:hint="cs"/>
          <w:sz w:val="24"/>
          <w:szCs w:val="24"/>
          <w:rtl/>
          <w:lang w:val="en-US"/>
        </w:rPr>
        <w:t xml:space="preserve">معايير </w:t>
      </w:r>
      <w:r w:rsidR="00CF4A92" w:rsidRPr="00F90C3F">
        <w:rPr>
          <w:rFonts w:ascii="Simplified Arabic" w:hAnsi="Simplified Arabic" w:cs="Simplified Arabic" w:hint="cs"/>
          <w:sz w:val="24"/>
          <w:szCs w:val="24"/>
          <w:rtl/>
          <w:lang w:val="en-US"/>
        </w:rPr>
        <w:t>مهمة</w:t>
      </w:r>
      <w:r w:rsidR="00CF4A92" w:rsidRPr="00F90C3F">
        <w:rPr>
          <w:rFonts w:ascii="Simplified Arabic" w:hAnsi="Simplified Arabic" w:cs="Simplified Arabic"/>
          <w:sz w:val="24"/>
          <w:szCs w:val="24"/>
          <w:rtl/>
          <w:lang w:val="en-US"/>
        </w:rPr>
        <w:t xml:space="preserve">. </w:t>
      </w:r>
      <w:r w:rsidR="001722A2">
        <w:rPr>
          <w:rStyle w:val="y2iqfc"/>
          <w:rFonts w:ascii="Simplified Arabic" w:hAnsi="Simplified Arabic" w:cs="Simplified Arabic" w:hint="cs"/>
          <w:color w:val="202124"/>
          <w:sz w:val="24"/>
          <w:szCs w:val="24"/>
          <w:rtl/>
          <w:lang w:bidi="ar"/>
        </w:rPr>
        <w:t xml:space="preserve">كان </w:t>
      </w:r>
      <w:r w:rsidR="00394289" w:rsidRPr="00394289">
        <w:rPr>
          <w:rStyle w:val="y2iqfc"/>
          <w:rFonts w:ascii="Simplified Arabic" w:hAnsi="Simplified Arabic" w:cs="Simplified Arabic"/>
          <w:color w:val="202124"/>
          <w:sz w:val="24"/>
          <w:szCs w:val="24"/>
          <w:rtl/>
          <w:lang w:bidi="ar"/>
        </w:rPr>
        <w:t xml:space="preserve">معيار كثافة البناء </w:t>
      </w:r>
      <w:r w:rsidR="001722A2" w:rsidRPr="00394289">
        <w:rPr>
          <w:rStyle w:val="y2iqfc"/>
          <w:rFonts w:ascii="Simplified Arabic" w:hAnsi="Simplified Arabic" w:cs="Simplified Arabic"/>
          <w:color w:val="202124"/>
          <w:sz w:val="24"/>
          <w:szCs w:val="24"/>
          <w:rtl/>
          <w:lang w:bidi="ar"/>
        </w:rPr>
        <w:t xml:space="preserve">هو الأقل أهمية </w:t>
      </w:r>
      <w:r w:rsidR="00394289" w:rsidRPr="00394289">
        <w:rPr>
          <w:rStyle w:val="y2iqfc"/>
          <w:rFonts w:ascii="Simplified Arabic" w:hAnsi="Simplified Arabic" w:cs="Simplified Arabic"/>
          <w:color w:val="202124"/>
          <w:sz w:val="24"/>
          <w:szCs w:val="24"/>
          <w:rtl/>
          <w:lang w:bidi="ar"/>
        </w:rPr>
        <w:t xml:space="preserve">بنسبة </w:t>
      </w:r>
      <w:r w:rsidR="00394289" w:rsidRPr="00394289">
        <w:rPr>
          <w:rStyle w:val="y2iqfc"/>
          <w:rFonts w:ascii="Simplified Arabic" w:hAnsi="Simplified Arabic" w:cs="Simplified Arabic"/>
          <w:color w:val="202124"/>
          <w:sz w:val="24"/>
          <w:szCs w:val="24"/>
          <w:lang w:bidi="ar"/>
        </w:rPr>
        <w:t>08,73)</w:t>
      </w:r>
      <w:r w:rsidR="00394289" w:rsidRPr="00394289">
        <w:rPr>
          <w:rStyle w:val="y2iqfc"/>
          <w:rFonts w:ascii="Simplified Arabic" w:hAnsi="Simplified Arabic" w:cs="Simplified Arabic"/>
          <w:color w:val="202124"/>
          <w:sz w:val="24"/>
          <w:szCs w:val="24"/>
          <w:rtl/>
          <w:lang w:bidi="ar"/>
        </w:rPr>
        <w:t>٪</w:t>
      </w:r>
      <w:r w:rsidR="00394289" w:rsidRPr="00394289">
        <w:rPr>
          <w:rStyle w:val="y2iqfc"/>
          <w:rFonts w:ascii="Simplified Arabic" w:hAnsi="Simplified Arabic" w:cs="Simplified Arabic"/>
          <w:color w:val="202124"/>
          <w:sz w:val="24"/>
          <w:szCs w:val="24"/>
          <w:lang w:bidi="ar"/>
        </w:rPr>
        <w:t>(</w:t>
      </w:r>
      <w:r w:rsidR="004750D0">
        <w:rPr>
          <w:rStyle w:val="y2iqfc"/>
          <w:rFonts w:ascii="Simplified Arabic" w:hAnsi="Simplified Arabic" w:cs="Simplified Arabic" w:hint="cs"/>
          <w:color w:val="202124"/>
          <w:sz w:val="24"/>
          <w:szCs w:val="24"/>
          <w:rtl/>
          <w:lang w:bidi="ar"/>
        </w:rPr>
        <w:t xml:space="preserve"> باعتبار ان بعض الخبراء يرى ان هذا المعيار يميل الى ان يكون عامل تقييم ضعف نظام المدينة</w:t>
      </w:r>
      <w:r w:rsidR="00394289" w:rsidRPr="00394289">
        <w:rPr>
          <w:rStyle w:val="y2iqfc"/>
          <w:rFonts w:ascii="Simplified Arabic" w:hAnsi="Simplified Arabic" w:cs="Simplified Arabic"/>
          <w:color w:val="202124"/>
          <w:sz w:val="24"/>
          <w:szCs w:val="24"/>
          <w:rtl/>
          <w:lang w:bidi="ar"/>
        </w:rPr>
        <w:t xml:space="preserve">. </w:t>
      </w:r>
    </w:p>
    <w:p w:rsidR="00D22BD2" w:rsidRDefault="00D22BD2" w:rsidP="004E52D9">
      <w:pPr>
        <w:bidi/>
        <w:spacing w:after="0"/>
        <w:ind w:firstLine="283"/>
        <w:jc w:val="both"/>
        <w:rPr>
          <w:rFonts w:ascii="Simplified Arabic" w:hAnsi="Simplified Arabic" w:cs="Simplified Arabic"/>
          <w:sz w:val="24"/>
          <w:szCs w:val="24"/>
          <w:rtl/>
          <w:lang w:val="en-US" w:bidi="ar-DZ"/>
        </w:rPr>
      </w:pPr>
      <w:r>
        <w:rPr>
          <w:rStyle w:val="y2iqfc"/>
          <w:rFonts w:ascii="Simplified Arabic" w:hAnsi="Simplified Arabic" w:cs="Simplified Arabic" w:hint="cs"/>
          <w:color w:val="202124"/>
          <w:sz w:val="24"/>
          <w:szCs w:val="24"/>
          <w:rtl/>
          <w:lang w:bidi="ar"/>
        </w:rPr>
        <w:t xml:space="preserve">ثانيا: </w:t>
      </w:r>
      <w:r w:rsidR="00E7535B" w:rsidRPr="00394289">
        <w:rPr>
          <w:rStyle w:val="y2iqfc"/>
          <w:rFonts w:ascii="Simplified Arabic" w:hAnsi="Simplified Arabic" w:cs="Simplified Arabic"/>
          <w:color w:val="202124"/>
          <w:sz w:val="24"/>
          <w:szCs w:val="24"/>
          <w:rtl/>
          <w:lang w:bidi="ar"/>
        </w:rPr>
        <w:t>أظهرت</w:t>
      </w:r>
      <w:r w:rsidR="00E7535B">
        <w:rPr>
          <w:rStyle w:val="y2iqfc"/>
          <w:rFonts w:ascii="Simplified Arabic" w:hAnsi="Simplified Arabic" w:cs="Simplified Arabic" w:hint="cs"/>
          <w:color w:val="202124"/>
          <w:sz w:val="24"/>
          <w:szCs w:val="24"/>
          <w:rtl/>
          <w:lang w:bidi="ar"/>
        </w:rPr>
        <w:t xml:space="preserve"> نتائج</w:t>
      </w:r>
      <w:r w:rsidR="00E7535B" w:rsidRPr="00FF713D">
        <w:rPr>
          <w:rFonts w:ascii="Simplified Arabic" w:hAnsi="Simplified Arabic" w:cs="Simplified Arabic"/>
          <w:sz w:val="24"/>
          <w:szCs w:val="24"/>
          <w:rtl/>
          <w:lang w:val="en-US" w:bidi="ar-DZ"/>
        </w:rPr>
        <w:t xml:space="preserve"> </w:t>
      </w:r>
      <w:r w:rsidR="00E7535B" w:rsidRPr="00FF713D">
        <w:rPr>
          <w:rFonts w:ascii="Simplified Arabic" w:hAnsi="Simplified Arabic" w:cs="Simplified Arabic" w:hint="cs"/>
          <w:sz w:val="24"/>
          <w:szCs w:val="24"/>
          <w:rtl/>
          <w:lang w:val="en-US" w:bidi="ar-DZ"/>
        </w:rPr>
        <w:t xml:space="preserve">تحليل </w:t>
      </w:r>
      <w:r w:rsidR="00E7535B">
        <w:rPr>
          <w:rFonts w:ascii="Simplified Arabic" w:hAnsi="Simplified Arabic" w:cs="Simplified Arabic" w:hint="cs"/>
          <w:sz w:val="24"/>
          <w:szCs w:val="24"/>
          <w:rtl/>
          <w:lang w:val="en-US" w:bidi="ar-DZ"/>
        </w:rPr>
        <w:t xml:space="preserve">التوزيع المكاني للمعايير عبر </w:t>
      </w:r>
      <w:r w:rsidR="00E7535B" w:rsidRPr="00FF713D">
        <w:rPr>
          <w:rFonts w:ascii="Simplified Arabic" w:hAnsi="Simplified Arabic" w:cs="Simplified Arabic" w:hint="cs"/>
          <w:sz w:val="24"/>
          <w:szCs w:val="24"/>
          <w:rtl/>
          <w:lang w:val="en-US" w:bidi="ar-DZ"/>
        </w:rPr>
        <w:t xml:space="preserve">أحياء فئات الانسجة الحضرية الاربعة، </w:t>
      </w:r>
      <w:r w:rsidR="004E52D9">
        <w:rPr>
          <w:rFonts w:ascii="Simplified Arabic" w:hAnsi="Simplified Arabic" w:cs="Simplified Arabic" w:hint="cs"/>
          <w:sz w:val="24"/>
          <w:szCs w:val="24"/>
          <w:rtl/>
          <w:lang w:val="en-US" w:bidi="ar-DZ"/>
        </w:rPr>
        <w:t>اختلافات</w:t>
      </w:r>
      <w:r w:rsidR="00E7535B" w:rsidRPr="00FF713D">
        <w:rPr>
          <w:rFonts w:ascii="Simplified Arabic" w:hAnsi="Simplified Arabic" w:cs="Simplified Arabic" w:hint="cs"/>
          <w:sz w:val="24"/>
          <w:szCs w:val="24"/>
          <w:rtl/>
          <w:lang w:val="en-US" w:bidi="ar-DZ"/>
        </w:rPr>
        <w:t xml:space="preserve"> في قيم </w:t>
      </w:r>
      <w:r w:rsidR="00E7535B">
        <w:rPr>
          <w:rFonts w:ascii="Simplified Arabic" w:hAnsi="Simplified Arabic" w:cs="Simplified Arabic" w:hint="cs"/>
          <w:sz w:val="24"/>
          <w:szCs w:val="24"/>
          <w:rtl/>
          <w:lang w:val="en-US" w:bidi="ar-DZ"/>
        </w:rPr>
        <w:t>ال</w:t>
      </w:r>
      <w:r w:rsidR="00E7535B" w:rsidRPr="00FF713D">
        <w:rPr>
          <w:rFonts w:ascii="Simplified Arabic" w:hAnsi="Simplified Arabic" w:cs="Simplified Arabic" w:hint="cs"/>
          <w:sz w:val="24"/>
          <w:szCs w:val="24"/>
          <w:rtl/>
          <w:lang w:val="en-US" w:bidi="ar-DZ"/>
        </w:rPr>
        <w:t>توزيع</w:t>
      </w:r>
      <w:r w:rsidR="00E7535B">
        <w:rPr>
          <w:rFonts w:ascii="Simplified Arabic" w:hAnsi="Simplified Arabic" w:cs="Simplified Arabic" w:hint="cs"/>
          <w:sz w:val="24"/>
          <w:szCs w:val="24"/>
          <w:rtl/>
          <w:lang w:val="en-US" w:bidi="ar-DZ"/>
        </w:rPr>
        <w:t xml:space="preserve"> المكاني ل</w:t>
      </w:r>
      <w:r w:rsidR="00E7535B" w:rsidRPr="00FF713D">
        <w:rPr>
          <w:rFonts w:ascii="Simplified Arabic" w:hAnsi="Simplified Arabic" w:cs="Simplified Arabic" w:hint="cs"/>
          <w:sz w:val="24"/>
          <w:szCs w:val="24"/>
          <w:rtl/>
          <w:lang w:val="en-US" w:bidi="ar-DZ"/>
        </w:rPr>
        <w:t xml:space="preserve">لمكونات الحضرية </w:t>
      </w:r>
      <w:r w:rsidR="004E52D9">
        <w:rPr>
          <w:rFonts w:ascii="Simplified Arabic" w:hAnsi="Simplified Arabic" w:cs="Simplified Arabic" w:hint="cs"/>
          <w:sz w:val="24"/>
          <w:szCs w:val="24"/>
          <w:rtl/>
          <w:lang w:val="en-US" w:bidi="ar-DZ"/>
        </w:rPr>
        <w:t xml:space="preserve">(المعايير) </w:t>
      </w:r>
      <w:r w:rsidR="00E7535B" w:rsidRPr="00FF713D">
        <w:rPr>
          <w:rFonts w:ascii="Simplified Arabic" w:hAnsi="Simplified Arabic" w:cs="Simplified Arabic" w:hint="cs"/>
          <w:sz w:val="24"/>
          <w:szCs w:val="24"/>
          <w:rtl/>
          <w:lang w:val="en-US" w:bidi="ar-DZ"/>
        </w:rPr>
        <w:t xml:space="preserve">مقارنة مع القيم المعيارية النظرية. </w:t>
      </w:r>
      <w:r w:rsidRPr="00FF713D">
        <w:rPr>
          <w:rFonts w:ascii="Simplified Arabic" w:hAnsi="Simplified Arabic" w:cs="Simplified Arabic" w:hint="cs"/>
          <w:sz w:val="24"/>
          <w:szCs w:val="24"/>
          <w:rtl/>
          <w:lang w:val="en-US" w:bidi="ar-DZ"/>
        </w:rPr>
        <w:t>نتج عن ذلك، تباينات في مستويات مرونة أحياء فئات الانسجة الحضرية</w:t>
      </w:r>
      <w:r w:rsidR="004E52D9">
        <w:rPr>
          <w:rFonts w:ascii="Simplified Arabic" w:hAnsi="Simplified Arabic" w:cs="Simplified Arabic" w:hint="cs"/>
          <w:sz w:val="24"/>
          <w:szCs w:val="24"/>
          <w:rtl/>
          <w:lang w:val="en-US" w:bidi="ar-DZ"/>
        </w:rPr>
        <w:t xml:space="preserve"> والمعبر كما اظهرته خريطة </w:t>
      </w:r>
      <w:r w:rsidR="004E52D9">
        <w:rPr>
          <w:rStyle w:val="y2iqfc"/>
          <w:rFonts w:ascii="Simplified Arabic" w:hAnsi="Simplified Arabic" w:cs="Simplified Arabic" w:hint="cs"/>
          <w:color w:val="202124"/>
          <w:sz w:val="24"/>
          <w:szCs w:val="24"/>
          <w:rtl/>
          <w:lang w:bidi="ar"/>
        </w:rPr>
        <w:t xml:space="preserve">تصنيفات </w:t>
      </w:r>
      <w:r w:rsidR="004E52D9" w:rsidRPr="005704E0">
        <w:rPr>
          <w:rStyle w:val="y2iqfc"/>
          <w:rFonts w:ascii="Simplified Arabic" w:hAnsi="Simplified Arabic" w:cs="Simplified Arabic" w:hint="cs"/>
          <w:color w:val="202124"/>
          <w:sz w:val="24"/>
          <w:szCs w:val="24"/>
          <w:rtl/>
          <w:lang w:bidi="ar"/>
        </w:rPr>
        <w:t>مرونة</w:t>
      </w:r>
      <w:r w:rsidR="004E52D9" w:rsidRPr="005704E0">
        <w:rPr>
          <w:rStyle w:val="y2iqfc"/>
          <w:rFonts w:ascii="Simplified Arabic" w:hAnsi="Simplified Arabic" w:cs="Simplified Arabic"/>
          <w:color w:val="202124"/>
          <w:sz w:val="24"/>
          <w:szCs w:val="24"/>
          <w:rtl/>
          <w:lang w:bidi="ar"/>
        </w:rPr>
        <w:t xml:space="preserve"> </w:t>
      </w:r>
      <w:r w:rsidR="004E52D9">
        <w:rPr>
          <w:rStyle w:val="y2iqfc"/>
          <w:rFonts w:ascii="Simplified Arabic" w:hAnsi="Simplified Arabic" w:cs="Simplified Arabic" w:hint="cs"/>
          <w:color w:val="202124"/>
          <w:sz w:val="24"/>
          <w:szCs w:val="24"/>
          <w:rtl/>
          <w:lang w:bidi="ar"/>
        </w:rPr>
        <w:t>مدينة بوسعادة</w:t>
      </w:r>
      <w:r w:rsidRPr="00FF713D">
        <w:rPr>
          <w:rFonts w:ascii="Simplified Arabic" w:hAnsi="Simplified Arabic" w:cs="Simplified Arabic" w:hint="cs"/>
          <w:sz w:val="24"/>
          <w:szCs w:val="24"/>
          <w:rtl/>
          <w:lang w:val="en-US" w:bidi="ar-DZ"/>
        </w:rPr>
        <w:t xml:space="preserve">. </w:t>
      </w:r>
    </w:p>
    <w:p w:rsidR="004E52D9" w:rsidRPr="000571E2" w:rsidRDefault="00D22BD2" w:rsidP="000571E2">
      <w:pPr>
        <w:bidi/>
        <w:spacing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ثالثا: بينت</w:t>
      </w:r>
      <w:r w:rsidRPr="00FF713D">
        <w:rPr>
          <w:rFonts w:ascii="Simplified Arabic" w:hAnsi="Simplified Arabic" w:cs="Simplified Arabic"/>
          <w:sz w:val="24"/>
          <w:szCs w:val="24"/>
          <w:rtl/>
          <w:lang w:val="en-US" w:bidi="ar-DZ"/>
        </w:rPr>
        <w:t xml:space="preserve"> </w:t>
      </w:r>
      <w:r w:rsidRPr="00FF713D">
        <w:rPr>
          <w:rFonts w:ascii="Simplified Arabic" w:hAnsi="Simplified Arabic" w:cs="Simplified Arabic" w:hint="cs"/>
          <w:sz w:val="24"/>
          <w:szCs w:val="24"/>
          <w:rtl/>
          <w:lang w:val="en-US" w:bidi="ar-DZ"/>
        </w:rPr>
        <w:t>نتائج</w:t>
      </w:r>
      <w:r w:rsidRPr="000D6E78">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 xml:space="preserve">خريطة </w:t>
      </w:r>
      <w:r w:rsidR="00E834CB">
        <w:rPr>
          <w:rStyle w:val="y2iqfc"/>
          <w:rFonts w:ascii="Simplified Arabic" w:hAnsi="Simplified Arabic" w:cs="Simplified Arabic" w:hint="cs"/>
          <w:color w:val="202124"/>
          <w:sz w:val="24"/>
          <w:szCs w:val="24"/>
          <w:rtl/>
          <w:lang w:bidi="ar"/>
        </w:rPr>
        <w:t>تصنيفات</w:t>
      </w:r>
      <w:r w:rsidR="003E0FFA">
        <w:rPr>
          <w:rStyle w:val="y2iqfc"/>
          <w:rFonts w:ascii="Simplified Arabic" w:hAnsi="Simplified Arabic" w:cs="Simplified Arabic" w:hint="cs"/>
          <w:color w:val="202124"/>
          <w:sz w:val="24"/>
          <w:szCs w:val="24"/>
          <w:rtl/>
          <w:lang w:bidi="ar"/>
        </w:rPr>
        <w:t xml:space="preserve"> </w:t>
      </w:r>
      <w:r w:rsidR="003E0FFA" w:rsidRPr="005704E0">
        <w:rPr>
          <w:rStyle w:val="y2iqfc"/>
          <w:rFonts w:ascii="Simplified Arabic" w:hAnsi="Simplified Arabic" w:cs="Simplified Arabic" w:hint="cs"/>
          <w:color w:val="202124"/>
          <w:sz w:val="24"/>
          <w:szCs w:val="24"/>
          <w:rtl/>
          <w:lang w:bidi="ar"/>
        </w:rPr>
        <w:t>مرونة</w:t>
      </w:r>
      <w:r w:rsidR="003E0FFA" w:rsidRPr="005704E0">
        <w:rPr>
          <w:rStyle w:val="y2iqfc"/>
          <w:rFonts w:ascii="Simplified Arabic" w:hAnsi="Simplified Arabic" w:cs="Simplified Arabic"/>
          <w:color w:val="202124"/>
          <w:sz w:val="24"/>
          <w:szCs w:val="24"/>
          <w:rtl/>
          <w:lang w:bidi="ar"/>
        </w:rPr>
        <w:t xml:space="preserve"> </w:t>
      </w:r>
      <w:r>
        <w:rPr>
          <w:rStyle w:val="y2iqfc"/>
          <w:rFonts w:ascii="Simplified Arabic" w:hAnsi="Simplified Arabic" w:cs="Simplified Arabic" w:hint="cs"/>
          <w:color w:val="202124"/>
          <w:sz w:val="24"/>
          <w:szCs w:val="24"/>
          <w:rtl/>
          <w:lang w:bidi="ar"/>
        </w:rPr>
        <w:t>مدينة بوسعادة</w:t>
      </w:r>
      <w:r w:rsidR="003E0FFA">
        <w:rPr>
          <w:rStyle w:val="y2iqfc"/>
          <w:rFonts w:ascii="Simplified Arabic" w:hAnsi="Simplified Arabic" w:cs="Simplified Arabic" w:hint="cs"/>
          <w:color w:val="202124"/>
          <w:sz w:val="24"/>
          <w:szCs w:val="24"/>
          <w:rtl/>
          <w:lang w:bidi="ar"/>
        </w:rPr>
        <w:t xml:space="preserve"> </w:t>
      </w:r>
      <w:r>
        <w:rPr>
          <w:rStyle w:val="y2iqfc"/>
          <w:rFonts w:ascii="Simplified Arabic" w:hAnsi="Simplified Arabic" w:cs="Simplified Arabic" w:hint="cs"/>
          <w:color w:val="202124"/>
          <w:sz w:val="24"/>
          <w:szCs w:val="24"/>
          <w:rtl/>
          <w:lang w:bidi="ar"/>
        </w:rPr>
        <w:t xml:space="preserve">التي تم اشتقاقها </w:t>
      </w:r>
      <w:r w:rsidR="006E2733">
        <w:rPr>
          <w:rStyle w:val="y2iqfc"/>
          <w:rFonts w:ascii="Simplified Arabic" w:hAnsi="Simplified Arabic" w:cs="Simplified Arabic" w:hint="cs"/>
          <w:color w:val="202124"/>
          <w:sz w:val="24"/>
          <w:szCs w:val="24"/>
          <w:rtl/>
          <w:lang w:bidi="ar"/>
        </w:rPr>
        <w:t>كقيمة اجمالية</w:t>
      </w:r>
      <w:r w:rsidR="00A779EE">
        <w:rPr>
          <w:rStyle w:val="y2iqfc"/>
          <w:rFonts w:ascii="Simplified Arabic" w:hAnsi="Simplified Arabic" w:cs="Simplified Arabic" w:hint="cs"/>
          <w:color w:val="202124"/>
          <w:sz w:val="24"/>
          <w:szCs w:val="24"/>
          <w:rtl/>
          <w:lang w:bidi="ar"/>
        </w:rPr>
        <w:t xml:space="preserve">، </w:t>
      </w:r>
      <w:r>
        <w:rPr>
          <w:rStyle w:val="y2iqfc"/>
          <w:rFonts w:ascii="Simplified Arabic" w:hAnsi="Simplified Arabic" w:cs="Simplified Arabic" w:hint="cs"/>
          <w:color w:val="202124"/>
          <w:sz w:val="24"/>
          <w:szCs w:val="24"/>
          <w:rtl/>
          <w:lang w:bidi="ar"/>
        </w:rPr>
        <w:t>من خلال المزج بين التوزيع المكاني للمعايير واوزانها الى</w:t>
      </w:r>
      <w:r w:rsidR="00C26210" w:rsidRPr="00FF713D">
        <w:rPr>
          <w:rStyle w:val="y2iqfc"/>
          <w:rFonts w:ascii="Simplified Arabic" w:hAnsi="Simplified Arabic" w:cs="Simplified Arabic" w:hint="cs"/>
          <w:color w:val="202124"/>
          <w:sz w:val="24"/>
          <w:szCs w:val="24"/>
          <w:rtl/>
          <w:lang w:bidi="ar"/>
        </w:rPr>
        <w:t xml:space="preserve"> </w:t>
      </w:r>
      <w:r w:rsidR="00C26210">
        <w:rPr>
          <w:rStyle w:val="y2iqfc"/>
          <w:rFonts w:ascii="Simplified Arabic" w:hAnsi="Simplified Arabic" w:cs="Simplified Arabic" w:hint="cs"/>
          <w:color w:val="202124"/>
          <w:sz w:val="24"/>
          <w:szCs w:val="24"/>
          <w:rtl/>
          <w:lang w:bidi="ar"/>
        </w:rPr>
        <w:t xml:space="preserve">ان </w:t>
      </w:r>
      <w:r w:rsidR="00F50139" w:rsidRPr="00FF713D">
        <w:rPr>
          <w:rFonts w:ascii="Simplified Arabic" w:hAnsi="Simplified Arabic" w:cs="Simplified Arabic"/>
          <w:sz w:val="24"/>
          <w:szCs w:val="24"/>
          <w:rtl/>
        </w:rPr>
        <w:t xml:space="preserve">52.19٪ من </w:t>
      </w:r>
      <w:r w:rsidR="00F50139" w:rsidRPr="00FF713D">
        <w:rPr>
          <w:rFonts w:ascii="Simplified Arabic" w:hAnsi="Simplified Arabic" w:cs="Simplified Arabic" w:hint="cs"/>
          <w:sz w:val="24"/>
          <w:szCs w:val="24"/>
          <w:rtl/>
        </w:rPr>
        <w:t xml:space="preserve">مساحة </w:t>
      </w:r>
      <w:r w:rsidR="00DE7706" w:rsidRPr="00FF713D">
        <w:rPr>
          <w:rFonts w:ascii="Simplified Arabic" w:hAnsi="Simplified Arabic" w:cs="Simplified Arabic" w:hint="cs"/>
          <w:sz w:val="24"/>
          <w:szCs w:val="24"/>
          <w:rtl/>
        </w:rPr>
        <w:t>ا</w:t>
      </w:r>
      <w:r w:rsidR="00F50139" w:rsidRPr="00FF713D">
        <w:rPr>
          <w:rFonts w:ascii="Simplified Arabic" w:hAnsi="Simplified Arabic" w:cs="Simplified Arabic"/>
          <w:sz w:val="24"/>
          <w:szCs w:val="24"/>
          <w:rtl/>
        </w:rPr>
        <w:t>لمدينة</w:t>
      </w:r>
      <w:r w:rsidR="00FF713D" w:rsidRPr="00FF713D">
        <w:rPr>
          <w:rFonts w:ascii="Simplified Arabic" w:hAnsi="Simplified Arabic" w:cs="Simplified Arabic" w:hint="cs"/>
          <w:sz w:val="24"/>
          <w:szCs w:val="24"/>
          <w:rtl/>
          <w:lang w:val="en-US" w:bidi="ar-DZ"/>
        </w:rPr>
        <w:t xml:space="preserve"> </w:t>
      </w:r>
      <w:r w:rsidR="00FF713D" w:rsidRPr="00FF713D">
        <w:rPr>
          <w:rFonts w:ascii="Simplified Arabic" w:hAnsi="Simplified Arabic" w:cs="Simplified Arabic"/>
          <w:sz w:val="24"/>
          <w:szCs w:val="24"/>
          <w:rtl/>
        </w:rPr>
        <w:t xml:space="preserve">حققت </w:t>
      </w:r>
      <w:r w:rsidR="00E05C18">
        <w:rPr>
          <w:rFonts w:ascii="Simplified Arabic" w:hAnsi="Simplified Arabic" w:cs="Simplified Arabic" w:hint="cs"/>
          <w:sz w:val="24"/>
          <w:szCs w:val="24"/>
          <w:rtl/>
        </w:rPr>
        <w:t xml:space="preserve">مستوى </w:t>
      </w:r>
      <w:r w:rsidR="00FF713D" w:rsidRPr="00FF713D">
        <w:rPr>
          <w:rFonts w:ascii="Simplified Arabic" w:hAnsi="Simplified Arabic" w:cs="Simplified Arabic"/>
          <w:sz w:val="24"/>
          <w:szCs w:val="24"/>
          <w:rtl/>
        </w:rPr>
        <w:t>مرونة عالية</w:t>
      </w:r>
      <w:r w:rsidR="00E05C18">
        <w:rPr>
          <w:rFonts w:ascii="Simplified Arabic" w:hAnsi="Simplified Arabic" w:cs="Simplified Arabic" w:hint="cs"/>
          <w:sz w:val="24"/>
          <w:szCs w:val="24"/>
          <w:rtl/>
        </w:rPr>
        <w:t>،</w:t>
      </w:r>
      <w:r w:rsidR="00FF713D" w:rsidRPr="00FF713D">
        <w:rPr>
          <w:rFonts w:ascii="Simplified Arabic" w:hAnsi="Simplified Arabic" w:cs="Simplified Arabic" w:hint="cs"/>
          <w:sz w:val="24"/>
          <w:szCs w:val="24"/>
          <w:rtl/>
          <w:lang w:val="en-US" w:bidi="ar-DZ"/>
        </w:rPr>
        <w:t xml:space="preserve"> </w:t>
      </w:r>
      <w:r w:rsidR="002013D9">
        <w:rPr>
          <w:rFonts w:ascii="Simplified Arabic" w:hAnsi="Simplified Arabic" w:cs="Simplified Arabic" w:hint="cs"/>
          <w:sz w:val="24"/>
          <w:szCs w:val="24"/>
          <w:rtl/>
          <w:lang w:val="en-US" w:bidi="ar-DZ"/>
        </w:rPr>
        <w:t>ضمت</w:t>
      </w:r>
      <w:r w:rsidR="00FF713D" w:rsidRPr="00FF713D">
        <w:rPr>
          <w:rFonts w:ascii="Simplified Arabic" w:hAnsi="Simplified Arabic" w:cs="Simplified Arabic" w:hint="cs"/>
          <w:sz w:val="24"/>
          <w:szCs w:val="24"/>
          <w:rtl/>
          <w:lang w:val="en-US" w:bidi="ar-DZ"/>
        </w:rPr>
        <w:t xml:space="preserve"> </w:t>
      </w:r>
      <w:r w:rsidR="002013D9">
        <w:rPr>
          <w:rFonts w:ascii="Simplified Arabic" w:hAnsi="Simplified Arabic" w:cs="Simplified Arabic" w:hint="cs"/>
          <w:sz w:val="24"/>
          <w:szCs w:val="24"/>
          <w:rtl/>
          <w:lang w:val="en-US" w:bidi="ar-DZ"/>
        </w:rPr>
        <w:t xml:space="preserve">حي القصر </w:t>
      </w:r>
      <w:r w:rsidR="00085EFD">
        <w:rPr>
          <w:rFonts w:ascii="Simplified Arabic" w:hAnsi="Simplified Arabic" w:cs="Simplified Arabic" w:hint="cs"/>
          <w:sz w:val="24"/>
          <w:szCs w:val="24"/>
          <w:rtl/>
          <w:lang w:val="en-US" w:bidi="ar-DZ"/>
        </w:rPr>
        <w:t>الواقع ب</w:t>
      </w:r>
      <w:r w:rsidR="00FF713D" w:rsidRPr="00FF713D">
        <w:rPr>
          <w:rFonts w:ascii="Simplified Arabic" w:hAnsi="Simplified Arabic" w:cs="Simplified Arabic" w:hint="cs"/>
          <w:sz w:val="24"/>
          <w:szCs w:val="24"/>
          <w:rtl/>
          <w:lang w:val="en-US" w:bidi="ar-DZ"/>
        </w:rPr>
        <w:t xml:space="preserve">فئة النسيج الحضري (أ) </w:t>
      </w:r>
      <w:r w:rsidR="002013D9">
        <w:rPr>
          <w:rFonts w:ascii="Simplified Arabic" w:hAnsi="Simplified Arabic" w:cs="Simplified Arabic" w:hint="cs"/>
          <w:sz w:val="24"/>
          <w:szCs w:val="24"/>
          <w:rtl/>
          <w:lang w:val="en-US" w:bidi="ar-DZ"/>
        </w:rPr>
        <w:t xml:space="preserve">وحي بلاتو </w:t>
      </w:r>
      <w:r w:rsidR="00085EFD">
        <w:rPr>
          <w:rFonts w:ascii="Simplified Arabic" w:hAnsi="Simplified Arabic" w:cs="Simplified Arabic" w:hint="cs"/>
          <w:sz w:val="24"/>
          <w:szCs w:val="24"/>
          <w:rtl/>
          <w:lang w:val="en-US" w:bidi="ar-DZ"/>
        </w:rPr>
        <w:t>ب</w:t>
      </w:r>
      <w:r w:rsidR="002013D9">
        <w:rPr>
          <w:rFonts w:ascii="Simplified Arabic" w:hAnsi="Simplified Arabic" w:cs="Simplified Arabic" w:hint="cs"/>
          <w:sz w:val="24"/>
          <w:szCs w:val="24"/>
          <w:rtl/>
          <w:lang w:val="en-US" w:bidi="ar-DZ"/>
        </w:rPr>
        <w:t>ال</w:t>
      </w:r>
      <w:r w:rsidR="002013D9" w:rsidRPr="00FF713D">
        <w:rPr>
          <w:rFonts w:ascii="Simplified Arabic" w:hAnsi="Simplified Arabic" w:cs="Simplified Arabic" w:hint="cs"/>
          <w:sz w:val="24"/>
          <w:szCs w:val="24"/>
          <w:rtl/>
          <w:lang w:val="en-US" w:bidi="ar-DZ"/>
        </w:rPr>
        <w:t xml:space="preserve">فئة </w:t>
      </w:r>
      <w:r w:rsidR="002013D9">
        <w:rPr>
          <w:rFonts w:ascii="Simplified Arabic" w:hAnsi="Simplified Arabic" w:cs="Simplified Arabic" w:hint="cs"/>
          <w:sz w:val="24"/>
          <w:szCs w:val="24"/>
          <w:rtl/>
          <w:lang w:val="en-US" w:bidi="ar-DZ"/>
        </w:rPr>
        <w:t>(</w:t>
      </w:r>
      <w:r w:rsidR="002013D9" w:rsidRPr="00FF713D">
        <w:rPr>
          <w:rFonts w:ascii="Simplified Arabic" w:hAnsi="Simplified Arabic" w:cs="Simplified Arabic" w:hint="cs"/>
          <w:sz w:val="24"/>
          <w:szCs w:val="24"/>
          <w:rtl/>
          <w:lang w:val="en-US" w:bidi="ar-DZ"/>
        </w:rPr>
        <w:t xml:space="preserve">ب) </w:t>
      </w:r>
      <w:r w:rsidR="00FF713D" w:rsidRPr="00FF713D">
        <w:rPr>
          <w:rFonts w:ascii="Simplified Arabic" w:hAnsi="Simplified Arabic" w:cs="Simplified Arabic" w:hint="cs"/>
          <w:sz w:val="24"/>
          <w:szCs w:val="24"/>
          <w:rtl/>
          <w:lang w:val="en-US" w:bidi="ar-DZ"/>
        </w:rPr>
        <w:t>و</w:t>
      </w:r>
      <w:r w:rsidR="005A6DE0">
        <w:rPr>
          <w:rFonts w:ascii="Simplified Arabic" w:hAnsi="Simplified Arabic" w:cs="Simplified Arabic" w:hint="cs"/>
          <w:sz w:val="24"/>
          <w:szCs w:val="24"/>
          <w:rtl/>
          <w:lang w:val="en-US" w:bidi="ar-DZ"/>
        </w:rPr>
        <w:t>احياء:</w:t>
      </w:r>
      <w:r w:rsidR="002013D9">
        <w:rPr>
          <w:rFonts w:ascii="Simplified Arabic" w:hAnsi="Simplified Arabic" w:cs="Simplified Arabic" w:hint="cs"/>
          <w:sz w:val="24"/>
          <w:szCs w:val="24"/>
          <w:rtl/>
          <w:lang w:val="en-US" w:bidi="ar-DZ"/>
        </w:rPr>
        <w:t xml:space="preserve"> الكوشة/القيسة</w:t>
      </w:r>
      <w:r w:rsidR="005D560C">
        <w:rPr>
          <w:rFonts w:ascii="Simplified Arabic" w:hAnsi="Simplified Arabic" w:cs="Simplified Arabic" w:hint="cs"/>
          <w:sz w:val="24"/>
          <w:szCs w:val="24"/>
          <w:rtl/>
          <w:lang w:val="en-US" w:bidi="ar-DZ"/>
        </w:rPr>
        <w:t>،</w:t>
      </w:r>
      <w:r w:rsidR="002013D9" w:rsidRPr="00FF713D">
        <w:rPr>
          <w:rFonts w:ascii="Simplified Arabic" w:hAnsi="Simplified Arabic" w:cs="Simplified Arabic" w:hint="cs"/>
          <w:sz w:val="24"/>
          <w:szCs w:val="24"/>
          <w:rtl/>
          <w:lang w:val="en-US" w:bidi="ar-DZ"/>
        </w:rPr>
        <w:t xml:space="preserve"> </w:t>
      </w:r>
      <w:r w:rsidR="005A6DE0">
        <w:rPr>
          <w:rFonts w:ascii="Simplified Arabic" w:hAnsi="Simplified Arabic" w:cs="Simplified Arabic" w:hint="cs"/>
          <w:sz w:val="24"/>
          <w:szCs w:val="24"/>
          <w:rtl/>
          <w:lang w:val="en-US" w:bidi="ar-DZ"/>
        </w:rPr>
        <w:t xml:space="preserve">الموامين والرصفة/الدشرة القبلية </w:t>
      </w:r>
      <w:r w:rsidR="00085EFD">
        <w:rPr>
          <w:rFonts w:ascii="Simplified Arabic" w:hAnsi="Simplified Arabic" w:cs="Simplified Arabic" w:hint="cs"/>
          <w:sz w:val="24"/>
          <w:szCs w:val="24"/>
          <w:rtl/>
          <w:lang w:val="en-US" w:bidi="ar-DZ"/>
        </w:rPr>
        <w:t>ب</w:t>
      </w:r>
      <w:r w:rsidR="00C26210">
        <w:rPr>
          <w:rFonts w:ascii="Simplified Arabic" w:hAnsi="Simplified Arabic" w:cs="Simplified Arabic" w:hint="cs"/>
          <w:sz w:val="24"/>
          <w:szCs w:val="24"/>
          <w:rtl/>
          <w:lang w:val="en-US" w:bidi="ar-DZ"/>
        </w:rPr>
        <w:t>ال</w:t>
      </w:r>
      <w:r w:rsidR="00FF713D" w:rsidRPr="00FF713D">
        <w:rPr>
          <w:rFonts w:ascii="Simplified Arabic" w:hAnsi="Simplified Arabic" w:cs="Simplified Arabic" w:hint="cs"/>
          <w:sz w:val="24"/>
          <w:szCs w:val="24"/>
          <w:rtl/>
          <w:lang w:val="en-US" w:bidi="ar-DZ"/>
        </w:rPr>
        <w:t xml:space="preserve">فئة </w:t>
      </w:r>
      <w:r w:rsidR="00C26210" w:rsidRPr="00FF713D">
        <w:rPr>
          <w:rFonts w:ascii="Simplified Arabic" w:hAnsi="Simplified Arabic" w:cs="Simplified Arabic" w:hint="cs"/>
          <w:sz w:val="24"/>
          <w:szCs w:val="24"/>
          <w:rtl/>
          <w:lang w:val="en-US" w:bidi="ar-DZ"/>
        </w:rPr>
        <w:t>(جـ)</w:t>
      </w:r>
      <w:r w:rsidR="00FF713D" w:rsidRPr="00FF713D">
        <w:rPr>
          <w:rFonts w:ascii="Simplified Arabic" w:hAnsi="Simplified Arabic" w:cs="Simplified Arabic" w:hint="cs"/>
          <w:sz w:val="24"/>
          <w:szCs w:val="24"/>
          <w:rtl/>
          <w:lang w:val="en-US" w:bidi="ar-DZ"/>
        </w:rPr>
        <w:t xml:space="preserve"> </w:t>
      </w:r>
      <w:r w:rsidR="002013D9">
        <w:rPr>
          <w:rFonts w:ascii="Simplified Arabic" w:hAnsi="Simplified Arabic" w:cs="Simplified Arabic" w:hint="cs"/>
          <w:sz w:val="24"/>
          <w:szCs w:val="24"/>
          <w:rtl/>
          <w:lang w:val="en-US" w:bidi="ar-DZ"/>
        </w:rPr>
        <w:t>وحي 20</w:t>
      </w:r>
      <w:r w:rsidR="005A6DE0">
        <w:rPr>
          <w:rFonts w:ascii="Simplified Arabic" w:hAnsi="Simplified Arabic" w:cs="Simplified Arabic" w:hint="cs"/>
          <w:sz w:val="24"/>
          <w:szCs w:val="24"/>
          <w:rtl/>
          <w:lang w:val="en-US" w:bidi="ar-DZ"/>
        </w:rPr>
        <w:t xml:space="preserve"> </w:t>
      </w:r>
      <w:r w:rsidR="002013D9">
        <w:rPr>
          <w:rFonts w:ascii="Simplified Arabic" w:hAnsi="Simplified Arabic" w:cs="Simplified Arabic" w:hint="cs"/>
          <w:sz w:val="24"/>
          <w:szCs w:val="24"/>
          <w:rtl/>
          <w:lang w:val="en-US" w:bidi="ar-DZ"/>
        </w:rPr>
        <w:t xml:space="preserve">اوت </w:t>
      </w:r>
      <w:r w:rsidR="00085EFD">
        <w:rPr>
          <w:rFonts w:ascii="Simplified Arabic" w:hAnsi="Simplified Arabic" w:cs="Simplified Arabic" w:hint="cs"/>
          <w:sz w:val="24"/>
          <w:szCs w:val="24"/>
          <w:rtl/>
          <w:lang w:val="en-US" w:bidi="ar-DZ"/>
        </w:rPr>
        <w:t>ب</w:t>
      </w:r>
      <w:r w:rsidR="002013D9">
        <w:rPr>
          <w:rFonts w:ascii="Simplified Arabic" w:hAnsi="Simplified Arabic" w:cs="Simplified Arabic" w:hint="cs"/>
          <w:sz w:val="24"/>
          <w:szCs w:val="24"/>
          <w:rtl/>
          <w:lang w:val="en-US" w:bidi="ar-DZ"/>
        </w:rPr>
        <w:t>ال</w:t>
      </w:r>
      <w:r w:rsidR="002013D9" w:rsidRPr="00FF713D">
        <w:rPr>
          <w:rFonts w:ascii="Simplified Arabic" w:hAnsi="Simplified Arabic" w:cs="Simplified Arabic" w:hint="cs"/>
          <w:sz w:val="24"/>
          <w:szCs w:val="24"/>
          <w:rtl/>
          <w:lang w:val="en-US" w:bidi="ar-DZ"/>
        </w:rPr>
        <w:t xml:space="preserve">فئة </w:t>
      </w:r>
      <w:r w:rsidR="00FF713D" w:rsidRPr="00FF713D">
        <w:rPr>
          <w:rFonts w:ascii="Simplified Arabic" w:hAnsi="Simplified Arabic" w:cs="Simplified Arabic" w:hint="cs"/>
          <w:sz w:val="24"/>
          <w:szCs w:val="24"/>
          <w:rtl/>
          <w:lang w:val="en-US" w:bidi="ar-DZ"/>
        </w:rPr>
        <w:t>(د)</w:t>
      </w:r>
      <w:r w:rsidR="0057301D">
        <w:rPr>
          <w:rFonts w:ascii="Simplified Arabic" w:hAnsi="Simplified Arabic" w:cs="Simplified Arabic" w:hint="cs"/>
          <w:sz w:val="24"/>
          <w:szCs w:val="24"/>
          <w:rtl/>
          <w:lang w:val="en-US" w:bidi="ar-DZ"/>
        </w:rPr>
        <w:t>.</w:t>
      </w:r>
      <w:r w:rsidR="00F50139" w:rsidRPr="00FF713D">
        <w:rPr>
          <w:rFonts w:ascii="Simplified Arabic" w:hAnsi="Simplified Arabic" w:cs="Simplified Arabic"/>
          <w:sz w:val="24"/>
          <w:szCs w:val="24"/>
          <w:rtl/>
        </w:rPr>
        <w:t xml:space="preserve"> </w:t>
      </w:r>
      <w:r w:rsidR="0057301D">
        <w:rPr>
          <w:rFonts w:ascii="Simplified Arabic" w:hAnsi="Simplified Arabic" w:cs="Simplified Arabic" w:hint="cs"/>
          <w:sz w:val="24"/>
          <w:szCs w:val="24"/>
          <w:rtl/>
        </w:rPr>
        <w:t>بينما 4</w:t>
      </w:r>
      <w:r w:rsidR="00F50139" w:rsidRPr="00FF713D">
        <w:rPr>
          <w:rFonts w:ascii="Simplified Arabic" w:hAnsi="Simplified Arabic" w:cs="Simplified Arabic" w:hint="cs"/>
          <w:sz w:val="24"/>
          <w:szCs w:val="24"/>
          <w:rtl/>
        </w:rPr>
        <w:t>0</w:t>
      </w:r>
      <w:r w:rsidR="00F50139" w:rsidRPr="00FF713D">
        <w:rPr>
          <w:rFonts w:ascii="Simplified Arabic" w:hAnsi="Simplified Arabic" w:cs="Simplified Arabic"/>
          <w:sz w:val="24"/>
          <w:szCs w:val="24"/>
          <w:rtl/>
        </w:rPr>
        <w:t>.</w:t>
      </w:r>
      <w:r w:rsidR="00F50139" w:rsidRPr="00FF713D">
        <w:rPr>
          <w:rFonts w:ascii="Simplified Arabic" w:hAnsi="Simplified Arabic" w:cs="Simplified Arabic" w:hint="cs"/>
          <w:sz w:val="24"/>
          <w:szCs w:val="24"/>
          <w:rtl/>
        </w:rPr>
        <w:t>11</w:t>
      </w:r>
      <w:r w:rsidR="00F50139" w:rsidRPr="00FF713D">
        <w:rPr>
          <w:rFonts w:ascii="Simplified Arabic" w:hAnsi="Simplified Arabic" w:cs="Simplified Arabic"/>
          <w:sz w:val="24"/>
          <w:szCs w:val="24"/>
          <w:rtl/>
        </w:rPr>
        <w:t xml:space="preserve">٪ </w:t>
      </w:r>
      <w:r w:rsidR="0057301D" w:rsidRPr="00FF713D">
        <w:rPr>
          <w:rFonts w:ascii="Simplified Arabic" w:hAnsi="Simplified Arabic" w:cs="Simplified Arabic"/>
          <w:sz w:val="24"/>
          <w:szCs w:val="24"/>
          <w:rtl/>
        </w:rPr>
        <w:t xml:space="preserve">من </w:t>
      </w:r>
      <w:r w:rsidR="0057301D" w:rsidRPr="00FF713D">
        <w:rPr>
          <w:rFonts w:ascii="Simplified Arabic" w:hAnsi="Simplified Arabic" w:cs="Simplified Arabic" w:hint="cs"/>
          <w:sz w:val="24"/>
          <w:szCs w:val="24"/>
          <w:rtl/>
        </w:rPr>
        <w:t>مساحة ا</w:t>
      </w:r>
      <w:r w:rsidR="0057301D" w:rsidRPr="00FF713D">
        <w:rPr>
          <w:rFonts w:ascii="Simplified Arabic" w:hAnsi="Simplified Arabic" w:cs="Simplified Arabic"/>
          <w:sz w:val="24"/>
          <w:szCs w:val="24"/>
          <w:rtl/>
        </w:rPr>
        <w:t>لمدينة</w:t>
      </w:r>
      <w:r w:rsidR="0057301D" w:rsidRPr="00FF713D">
        <w:rPr>
          <w:rFonts w:ascii="Simplified Arabic" w:hAnsi="Simplified Arabic" w:cs="Simplified Arabic" w:hint="cs"/>
          <w:sz w:val="24"/>
          <w:szCs w:val="24"/>
          <w:rtl/>
          <w:lang w:val="en-US" w:bidi="ar-DZ"/>
        </w:rPr>
        <w:t xml:space="preserve"> </w:t>
      </w:r>
      <w:r w:rsidR="00F50139" w:rsidRPr="00FF713D">
        <w:rPr>
          <w:rFonts w:ascii="Simplified Arabic" w:hAnsi="Simplified Arabic" w:cs="Simplified Arabic"/>
          <w:sz w:val="24"/>
          <w:szCs w:val="24"/>
          <w:rtl/>
        </w:rPr>
        <w:t>لديه</w:t>
      </w:r>
      <w:r w:rsidR="00DE7706" w:rsidRPr="00FF713D">
        <w:rPr>
          <w:rFonts w:ascii="Simplified Arabic" w:hAnsi="Simplified Arabic" w:cs="Simplified Arabic" w:hint="cs"/>
          <w:sz w:val="24"/>
          <w:szCs w:val="24"/>
          <w:rtl/>
        </w:rPr>
        <w:t>ا</w:t>
      </w:r>
      <w:r w:rsidR="00F50139" w:rsidRPr="00FF713D">
        <w:rPr>
          <w:rFonts w:ascii="Simplified Arabic" w:hAnsi="Simplified Arabic" w:cs="Simplified Arabic"/>
          <w:sz w:val="24"/>
          <w:szCs w:val="24"/>
          <w:rtl/>
        </w:rPr>
        <w:t xml:space="preserve"> </w:t>
      </w:r>
      <w:r w:rsidR="005D560C">
        <w:rPr>
          <w:rFonts w:ascii="Simplified Arabic" w:hAnsi="Simplified Arabic" w:cs="Simplified Arabic" w:hint="cs"/>
          <w:sz w:val="24"/>
          <w:szCs w:val="24"/>
          <w:rtl/>
        </w:rPr>
        <w:t xml:space="preserve">مستوى </w:t>
      </w:r>
      <w:r w:rsidR="00F50139" w:rsidRPr="00FF713D">
        <w:rPr>
          <w:rFonts w:ascii="Simplified Arabic" w:hAnsi="Simplified Arabic" w:cs="Simplified Arabic"/>
          <w:sz w:val="24"/>
          <w:szCs w:val="24"/>
          <w:rtl/>
        </w:rPr>
        <w:t>مرونة متوسطة</w:t>
      </w:r>
      <w:r w:rsidR="0057301D">
        <w:rPr>
          <w:rFonts w:ascii="Simplified Arabic" w:hAnsi="Simplified Arabic" w:cs="Simplified Arabic" w:hint="cs"/>
          <w:sz w:val="24"/>
          <w:szCs w:val="24"/>
          <w:rtl/>
        </w:rPr>
        <w:t>،</w:t>
      </w:r>
      <w:r w:rsidR="00FF713D">
        <w:rPr>
          <w:rFonts w:ascii="Simplified Arabic" w:hAnsi="Simplified Arabic" w:cs="Simplified Arabic" w:hint="cs"/>
          <w:sz w:val="24"/>
          <w:szCs w:val="24"/>
          <w:rtl/>
        </w:rPr>
        <w:t xml:space="preserve"> </w:t>
      </w:r>
      <w:r w:rsidR="005A6DE0">
        <w:rPr>
          <w:rFonts w:ascii="Simplified Arabic" w:hAnsi="Simplified Arabic" w:cs="Simplified Arabic" w:hint="cs"/>
          <w:sz w:val="24"/>
          <w:szCs w:val="24"/>
          <w:rtl/>
          <w:lang w:val="en-US" w:bidi="ar-DZ"/>
        </w:rPr>
        <w:t>ضمت</w:t>
      </w:r>
      <w:r w:rsidR="0057301D" w:rsidRPr="00FF713D">
        <w:rPr>
          <w:rFonts w:ascii="Simplified Arabic" w:hAnsi="Simplified Arabic" w:cs="Simplified Arabic" w:hint="cs"/>
          <w:sz w:val="24"/>
          <w:szCs w:val="24"/>
          <w:rtl/>
          <w:lang w:val="en-US" w:bidi="ar-DZ"/>
        </w:rPr>
        <w:t xml:space="preserve"> </w:t>
      </w:r>
      <w:r w:rsidR="005A6DE0">
        <w:rPr>
          <w:rFonts w:ascii="Simplified Arabic" w:hAnsi="Simplified Arabic" w:cs="Simplified Arabic" w:hint="cs"/>
          <w:sz w:val="24"/>
          <w:szCs w:val="24"/>
          <w:rtl/>
          <w:lang w:val="en-US" w:bidi="ar-DZ"/>
        </w:rPr>
        <w:t xml:space="preserve">حي </w:t>
      </w:r>
      <w:r w:rsidR="005D560C">
        <w:rPr>
          <w:rFonts w:ascii="Simplified Arabic" w:hAnsi="Simplified Arabic" w:cs="Simplified Arabic" w:hint="cs"/>
          <w:sz w:val="24"/>
          <w:szCs w:val="24"/>
          <w:rtl/>
          <w:lang w:val="en-US" w:bidi="ar-DZ"/>
        </w:rPr>
        <w:t xml:space="preserve">العوينات، سيدي سليمان، ميطر وجنان البطم </w:t>
      </w:r>
      <w:r w:rsidR="00085EFD">
        <w:rPr>
          <w:rFonts w:ascii="Simplified Arabic" w:hAnsi="Simplified Arabic" w:cs="Simplified Arabic" w:hint="cs"/>
          <w:sz w:val="24"/>
          <w:szCs w:val="24"/>
          <w:rtl/>
          <w:lang w:val="en-US" w:bidi="ar-DZ"/>
        </w:rPr>
        <w:t>الواقعة ب</w:t>
      </w:r>
      <w:r w:rsidR="005A6DE0">
        <w:rPr>
          <w:rFonts w:ascii="Simplified Arabic" w:hAnsi="Simplified Arabic" w:cs="Simplified Arabic" w:hint="cs"/>
          <w:sz w:val="24"/>
          <w:szCs w:val="24"/>
          <w:rtl/>
          <w:lang w:val="en-US" w:bidi="ar-DZ"/>
        </w:rPr>
        <w:t>ال</w:t>
      </w:r>
      <w:r w:rsidR="005A6DE0" w:rsidRPr="00FF713D">
        <w:rPr>
          <w:rFonts w:ascii="Simplified Arabic" w:hAnsi="Simplified Arabic" w:cs="Simplified Arabic" w:hint="cs"/>
          <w:sz w:val="24"/>
          <w:szCs w:val="24"/>
          <w:rtl/>
          <w:lang w:val="en-US" w:bidi="ar-DZ"/>
        </w:rPr>
        <w:t xml:space="preserve">فئة (جـ) </w:t>
      </w:r>
      <w:r w:rsidR="005A6DE0">
        <w:rPr>
          <w:rFonts w:ascii="Simplified Arabic" w:hAnsi="Simplified Arabic" w:cs="Simplified Arabic" w:hint="cs"/>
          <w:sz w:val="24"/>
          <w:szCs w:val="24"/>
          <w:rtl/>
          <w:lang w:val="en-US" w:bidi="ar-DZ"/>
        </w:rPr>
        <w:t xml:space="preserve">وحي </w:t>
      </w:r>
      <w:r w:rsidR="005D560C">
        <w:rPr>
          <w:rFonts w:ascii="Simplified Arabic" w:hAnsi="Simplified Arabic" w:cs="Simplified Arabic" w:hint="cs"/>
          <w:sz w:val="24"/>
          <w:szCs w:val="24"/>
          <w:rtl/>
          <w:lang w:val="en-US" w:bidi="ar-DZ"/>
        </w:rPr>
        <w:t xml:space="preserve">كادات/سطيح، الباطن والحمايد </w:t>
      </w:r>
      <w:r w:rsidR="00085EFD">
        <w:rPr>
          <w:rFonts w:ascii="Simplified Arabic" w:hAnsi="Simplified Arabic" w:cs="Simplified Arabic" w:hint="cs"/>
          <w:sz w:val="24"/>
          <w:szCs w:val="24"/>
          <w:rtl/>
          <w:lang w:val="en-US" w:bidi="ar-DZ"/>
        </w:rPr>
        <w:t>ب</w:t>
      </w:r>
      <w:r w:rsidR="005A6DE0">
        <w:rPr>
          <w:rFonts w:ascii="Simplified Arabic" w:hAnsi="Simplified Arabic" w:cs="Simplified Arabic" w:hint="cs"/>
          <w:sz w:val="24"/>
          <w:szCs w:val="24"/>
          <w:rtl/>
          <w:lang w:val="en-US" w:bidi="ar-DZ"/>
        </w:rPr>
        <w:t>ال</w:t>
      </w:r>
      <w:r w:rsidR="005A6DE0" w:rsidRPr="00FF713D">
        <w:rPr>
          <w:rFonts w:ascii="Simplified Arabic" w:hAnsi="Simplified Arabic" w:cs="Simplified Arabic" w:hint="cs"/>
          <w:sz w:val="24"/>
          <w:szCs w:val="24"/>
          <w:rtl/>
          <w:lang w:val="en-US" w:bidi="ar-DZ"/>
        </w:rPr>
        <w:t>فئة (د)</w:t>
      </w:r>
      <w:r w:rsidR="0057301D">
        <w:rPr>
          <w:rFonts w:ascii="Simplified Arabic" w:hAnsi="Simplified Arabic" w:cs="Simplified Arabic" w:hint="cs"/>
          <w:sz w:val="24"/>
          <w:szCs w:val="24"/>
          <w:rtl/>
          <w:lang w:val="en-US" w:bidi="ar-DZ"/>
        </w:rPr>
        <w:t xml:space="preserve">. في حين ان </w:t>
      </w:r>
      <w:r w:rsidR="00F50139" w:rsidRPr="00FF713D">
        <w:rPr>
          <w:rFonts w:ascii="Simplified Arabic" w:hAnsi="Simplified Arabic" w:cs="Simplified Arabic" w:hint="cs"/>
          <w:sz w:val="24"/>
          <w:szCs w:val="24"/>
          <w:rtl/>
        </w:rPr>
        <w:t>7</w:t>
      </w:r>
      <w:r w:rsidR="00F50139" w:rsidRPr="00FF713D">
        <w:rPr>
          <w:rFonts w:ascii="Simplified Arabic" w:hAnsi="Simplified Arabic" w:cs="Simplified Arabic"/>
          <w:sz w:val="24"/>
          <w:szCs w:val="24"/>
          <w:rtl/>
        </w:rPr>
        <w:t>.</w:t>
      </w:r>
      <w:r w:rsidR="00F50139" w:rsidRPr="00FF713D">
        <w:rPr>
          <w:rFonts w:ascii="Simplified Arabic" w:hAnsi="Simplified Arabic" w:cs="Simplified Arabic" w:hint="cs"/>
          <w:sz w:val="24"/>
          <w:szCs w:val="24"/>
          <w:rtl/>
        </w:rPr>
        <w:t>70</w:t>
      </w:r>
      <w:r w:rsidR="00DE7706" w:rsidRPr="00FF713D">
        <w:rPr>
          <w:rFonts w:ascii="Simplified Arabic" w:hAnsi="Simplified Arabic" w:cs="Simplified Arabic"/>
          <w:sz w:val="24"/>
          <w:szCs w:val="24"/>
          <w:rtl/>
        </w:rPr>
        <w:t>٪</w:t>
      </w:r>
      <w:r w:rsidR="00F50139" w:rsidRPr="00FF713D">
        <w:rPr>
          <w:rFonts w:ascii="Simplified Arabic" w:hAnsi="Simplified Arabic" w:cs="Simplified Arabic"/>
          <w:sz w:val="24"/>
          <w:szCs w:val="24"/>
          <w:rtl/>
        </w:rPr>
        <w:t xml:space="preserve"> </w:t>
      </w:r>
      <w:r w:rsidR="0057301D">
        <w:rPr>
          <w:rFonts w:ascii="Simplified Arabic" w:hAnsi="Simplified Arabic" w:cs="Simplified Arabic" w:hint="cs"/>
          <w:sz w:val="24"/>
          <w:szCs w:val="24"/>
          <w:rtl/>
        </w:rPr>
        <w:t xml:space="preserve">من المساحة الباقية </w:t>
      </w:r>
      <w:r w:rsidR="00F50139" w:rsidRPr="00FF713D">
        <w:rPr>
          <w:rFonts w:ascii="Simplified Arabic" w:hAnsi="Simplified Arabic" w:cs="Simplified Arabic"/>
          <w:sz w:val="24"/>
          <w:szCs w:val="24"/>
          <w:rtl/>
        </w:rPr>
        <w:t>لديه</w:t>
      </w:r>
      <w:r w:rsidR="00DE7706" w:rsidRPr="00FF713D">
        <w:rPr>
          <w:rFonts w:ascii="Simplified Arabic" w:hAnsi="Simplified Arabic" w:cs="Simplified Arabic" w:hint="cs"/>
          <w:sz w:val="24"/>
          <w:szCs w:val="24"/>
          <w:rtl/>
        </w:rPr>
        <w:t>ا</w:t>
      </w:r>
      <w:r w:rsidR="00F50139" w:rsidRPr="00FF713D">
        <w:rPr>
          <w:rFonts w:ascii="Simplified Arabic" w:hAnsi="Simplified Arabic" w:cs="Simplified Arabic"/>
          <w:sz w:val="24"/>
          <w:szCs w:val="24"/>
          <w:rtl/>
        </w:rPr>
        <w:t xml:space="preserve"> </w:t>
      </w:r>
      <w:r w:rsidR="00E05C18">
        <w:rPr>
          <w:rFonts w:ascii="Simplified Arabic" w:hAnsi="Simplified Arabic" w:cs="Simplified Arabic" w:hint="cs"/>
          <w:sz w:val="24"/>
          <w:szCs w:val="24"/>
          <w:rtl/>
        </w:rPr>
        <w:t xml:space="preserve">مستوى </w:t>
      </w:r>
      <w:r w:rsidR="00F50139" w:rsidRPr="00FF713D">
        <w:rPr>
          <w:rFonts w:ascii="Simplified Arabic" w:hAnsi="Simplified Arabic" w:cs="Simplified Arabic"/>
          <w:sz w:val="24"/>
          <w:szCs w:val="24"/>
          <w:rtl/>
        </w:rPr>
        <w:t xml:space="preserve">مرونة </w:t>
      </w:r>
      <w:r w:rsidR="00F50139" w:rsidRPr="00FF713D">
        <w:rPr>
          <w:rFonts w:ascii="Simplified Arabic" w:hAnsi="Simplified Arabic" w:cs="Simplified Arabic"/>
          <w:sz w:val="24"/>
          <w:szCs w:val="24"/>
          <w:rtl/>
          <w:lang w:val="en-US"/>
        </w:rPr>
        <w:t>منخفضة</w:t>
      </w:r>
      <w:r w:rsidR="0057301D">
        <w:rPr>
          <w:rFonts w:ascii="Simplified Arabic" w:hAnsi="Simplified Arabic" w:cs="Simplified Arabic" w:hint="cs"/>
          <w:sz w:val="24"/>
          <w:szCs w:val="24"/>
          <w:rtl/>
          <w:lang w:val="en-US"/>
        </w:rPr>
        <w:t xml:space="preserve">، </w:t>
      </w:r>
      <w:r w:rsidR="0057301D">
        <w:rPr>
          <w:rFonts w:ascii="Simplified Arabic" w:hAnsi="Simplified Arabic" w:cs="Simplified Arabic" w:hint="cs"/>
          <w:sz w:val="24"/>
          <w:szCs w:val="24"/>
          <w:rtl/>
          <w:lang w:val="en-US" w:bidi="ar-DZ"/>
        </w:rPr>
        <w:t>شملت</w:t>
      </w:r>
      <w:r w:rsidR="0057301D" w:rsidRPr="00FF713D">
        <w:rPr>
          <w:rFonts w:ascii="Simplified Arabic" w:hAnsi="Simplified Arabic" w:cs="Simplified Arabic" w:hint="cs"/>
          <w:sz w:val="24"/>
          <w:szCs w:val="24"/>
          <w:rtl/>
          <w:lang w:val="en-US" w:bidi="ar-DZ"/>
        </w:rPr>
        <w:t xml:space="preserve"> بعض الاجزاء </w:t>
      </w:r>
      <w:r w:rsidR="0057301D">
        <w:rPr>
          <w:rFonts w:ascii="Simplified Arabic" w:hAnsi="Simplified Arabic" w:cs="Simplified Arabic" w:hint="cs"/>
          <w:sz w:val="24"/>
          <w:szCs w:val="24"/>
          <w:rtl/>
          <w:lang w:val="en-US" w:bidi="ar-DZ"/>
        </w:rPr>
        <w:t xml:space="preserve">القليلة </w:t>
      </w:r>
      <w:r w:rsidR="00085EFD">
        <w:rPr>
          <w:rFonts w:ascii="Simplified Arabic" w:hAnsi="Simplified Arabic" w:cs="Simplified Arabic" w:hint="cs"/>
          <w:sz w:val="24"/>
          <w:szCs w:val="24"/>
          <w:rtl/>
          <w:lang w:val="en-US" w:bidi="ar-DZ"/>
        </w:rPr>
        <w:t>ب</w:t>
      </w:r>
      <w:r w:rsidR="0057301D" w:rsidRPr="00FF713D">
        <w:rPr>
          <w:rFonts w:ascii="Simplified Arabic" w:hAnsi="Simplified Arabic" w:cs="Simplified Arabic" w:hint="cs"/>
          <w:sz w:val="24"/>
          <w:szCs w:val="24"/>
          <w:rtl/>
          <w:lang w:val="en-US" w:bidi="ar-DZ"/>
        </w:rPr>
        <w:t>فئة النسيج الحضري (</w:t>
      </w:r>
      <w:r w:rsidR="0057301D">
        <w:rPr>
          <w:rFonts w:ascii="Simplified Arabic" w:hAnsi="Simplified Arabic" w:cs="Simplified Arabic" w:hint="cs"/>
          <w:sz w:val="24"/>
          <w:szCs w:val="24"/>
          <w:rtl/>
          <w:lang w:val="en-US" w:bidi="ar-DZ"/>
        </w:rPr>
        <w:t>د</w:t>
      </w:r>
      <w:r w:rsidR="0057301D" w:rsidRPr="00FF713D">
        <w:rPr>
          <w:rFonts w:ascii="Simplified Arabic" w:hAnsi="Simplified Arabic" w:cs="Simplified Arabic" w:hint="cs"/>
          <w:sz w:val="24"/>
          <w:szCs w:val="24"/>
          <w:rtl/>
          <w:lang w:val="en-US" w:bidi="ar-DZ"/>
        </w:rPr>
        <w:t>)</w:t>
      </w:r>
      <w:r w:rsidR="00F50139" w:rsidRPr="00FF713D">
        <w:rPr>
          <w:rFonts w:ascii="Simplified Arabic" w:hAnsi="Simplified Arabic" w:cs="Simplified Arabic" w:hint="cs"/>
          <w:sz w:val="24"/>
          <w:szCs w:val="24"/>
          <w:rtl/>
          <w:lang w:val="en-US"/>
        </w:rPr>
        <w:t>.</w:t>
      </w:r>
      <w:r w:rsidRPr="00D22BD2">
        <w:rPr>
          <w:rFonts w:ascii="Simplified Arabic" w:hAnsi="Simplified Arabic" w:cs="Simplified Arabic" w:hint="cs"/>
          <w:sz w:val="24"/>
          <w:szCs w:val="24"/>
          <w:rtl/>
          <w:lang w:val="en-US" w:bidi="ar-DZ"/>
        </w:rPr>
        <w:t xml:space="preserve"> </w:t>
      </w:r>
      <w:r w:rsidR="00021F38">
        <w:rPr>
          <w:rFonts w:ascii="Simplified Arabic" w:hAnsi="Simplified Arabic" w:cs="Simplified Arabic" w:hint="cs"/>
          <w:sz w:val="24"/>
          <w:szCs w:val="24"/>
          <w:u w:val="single"/>
          <w:rtl/>
        </w:rPr>
        <w:t xml:space="preserve">وعليه، تم اثبات </w:t>
      </w:r>
      <w:r w:rsidR="00E219F2" w:rsidRPr="00A779EE">
        <w:rPr>
          <w:rFonts w:ascii="Simplified Arabic" w:hAnsi="Simplified Arabic" w:cs="Simplified Arabic" w:hint="cs"/>
          <w:sz w:val="24"/>
          <w:szCs w:val="24"/>
          <w:u w:val="single"/>
          <w:rtl/>
        </w:rPr>
        <w:t>صحة الشق الاول من الفرضية التي تنص على ان</w:t>
      </w:r>
      <w:r w:rsidR="00114274" w:rsidRPr="0085574C">
        <w:rPr>
          <w:rFonts w:ascii="Simplified Arabic" w:hAnsi="Simplified Arabic" w:cs="Simplified Arabic" w:hint="cs"/>
          <w:sz w:val="24"/>
          <w:szCs w:val="24"/>
          <w:rtl/>
        </w:rPr>
        <w:t>:</w:t>
      </w:r>
      <w:r w:rsidR="00E219F2">
        <w:rPr>
          <w:rFonts w:ascii="Simplified Arabic" w:hAnsi="Simplified Arabic" w:cs="Simplified Arabic" w:hint="cs"/>
          <w:sz w:val="24"/>
          <w:szCs w:val="24"/>
          <w:rtl/>
        </w:rPr>
        <w:t xml:space="preserve"> </w:t>
      </w:r>
      <w:r w:rsidR="004E52D9" w:rsidRPr="00EB51C2">
        <w:rPr>
          <w:rFonts w:ascii="Simplified Arabic" w:hAnsi="Simplified Arabic" w:cs="Simplified Arabic"/>
          <w:sz w:val="24"/>
          <w:szCs w:val="24"/>
          <w:rtl/>
          <w:lang w:val="en-US"/>
        </w:rPr>
        <w:t xml:space="preserve">تقييم </w:t>
      </w:r>
      <w:r w:rsidR="004E52D9">
        <w:rPr>
          <w:rFonts w:ascii="Simplified Arabic" w:hAnsi="Simplified Arabic" w:cs="Simplified Arabic" w:hint="cs"/>
          <w:sz w:val="24"/>
          <w:szCs w:val="24"/>
          <w:rtl/>
          <w:lang w:val="en-US"/>
        </w:rPr>
        <w:t xml:space="preserve">مستويات </w:t>
      </w:r>
      <w:r w:rsidR="004E52D9" w:rsidRPr="00EB51C2">
        <w:rPr>
          <w:rFonts w:ascii="Simplified Arabic" w:hAnsi="Simplified Arabic" w:cs="Simplified Arabic"/>
          <w:sz w:val="24"/>
          <w:szCs w:val="24"/>
          <w:rtl/>
          <w:lang w:val="en-US"/>
        </w:rPr>
        <w:t xml:space="preserve">مرونة </w:t>
      </w:r>
      <w:r w:rsidR="004E52D9">
        <w:rPr>
          <w:rFonts w:ascii="Simplified Arabic" w:hAnsi="Simplified Arabic" w:cs="Simplified Arabic" w:hint="cs"/>
          <w:sz w:val="24"/>
          <w:szCs w:val="24"/>
          <w:rtl/>
          <w:lang w:val="en-US"/>
        </w:rPr>
        <w:t>مدينة بوسعادة،</w:t>
      </w:r>
      <w:r w:rsidR="004E52D9" w:rsidRPr="00EB51C2">
        <w:rPr>
          <w:rFonts w:ascii="Simplified Arabic" w:hAnsi="Simplified Arabic" w:cs="Simplified Arabic"/>
          <w:sz w:val="24"/>
          <w:szCs w:val="24"/>
          <w:rtl/>
          <w:lang w:val="en-US"/>
        </w:rPr>
        <w:t xml:space="preserve"> يتضمن فحص مجموعة من </w:t>
      </w:r>
      <w:r w:rsidR="004E52D9">
        <w:rPr>
          <w:rFonts w:ascii="Simplified Arabic" w:hAnsi="Simplified Arabic" w:cs="Simplified Arabic" w:hint="cs"/>
          <w:sz w:val="24"/>
          <w:szCs w:val="24"/>
          <w:rtl/>
          <w:lang w:val="en-US"/>
        </w:rPr>
        <w:t>المعايير (</w:t>
      </w:r>
      <w:r w:rsidR="004E52D9" w:rsidRPr="00EB51C2">
        <w:rPr>
          <w:rFonts w:ascii="Simplified Arabic" w:hAnsi="Simplified Arabic" w:cs="Simplified Arabic"/>
          <w:sz w:val="24"/>
          <w:szCs w:val="24"/>
          <w:rtl/>
          <w:lang w:val="en-US"/>
        </w:rPr>
        <w:t>الع</w:t>
      </w:r>
      <w:r w:rsidR="004E52D9">
        <w:rPr>
          <w:rFonts w:ascii="Simplified Arabic" w:hAnsi="Simplified Arabic" w:cs="Simplified Arabic" w:hint="cs"/>
          <w:sz w:val="24"/>
          <w:szCs w:val="24"/>
          <w:rtl/>
          <w:lang w:val="en-US"/>
        </w:rPr>
        <w:t>ناصر</w:t>
      </w:r>
      <w:r w:rsidR="004E52D9" w:rsidRPr="00EB51C2">
        <w:rPr>
          <w:rFonts w:ascii="Simplified Arabic" w:hAnsi="Simplified Arabic" w:cs="Simplified Arabic"/>
          <w:sz w:val="24"/>
          <w:szCs w:val="24"/>
          <w:rtl/>
          <w:lang w:val="en-US"/>
        </w:rPr>
        <w:t xml:space="preserve"> الحضرية</w:t>
      </w:r>
      <w:r w:rsidR="004E52D9">
        <w:rPr>
          <w:rFonts w:ascii="Simplified Arabic" w:hAnsi="Simplified Arabic" w:cs="Simplified Arabic" w:hint="cs"/>
          <w:sz w:val="24"/>
          <w:szCs w:val="24"/>
          <w:rtl/>
          <w:lang w:val="en-US"/>
        </w:rPr>
        <w:t>) المرتبطة بالتوزيع المكاني لاستع</w:t>
      </w:r>
      <w:r w:rsidR="004E52D9" w:rsidRPr="00EB51C2">
        <w:rPr>
          <w:rFonts w:ascii="Simplified Arabic" w:hAnsi="Simplified Arabic" w:cs="Simplified Arabic" w:hint="cs"/>
          <w:sz w:val="24"/>
          <w:szCs w:val="24"/>
          <w:rtl/>
          <w:lang w:val="en-US"/>
        </w:rPr>
        <w:t>م</w:t>
      </w:r>
      <w:r w:rsidR="004E52D9">
        <w:rPr>
          <w:rFonts w:ascii="Simplified Arabic" w:hAnsi="Simplified Arabic" w:cs="Simplified Arabic" w:hint="cs"/>
          <w:sz w:val="24"/>
          <w:szCs w:val="24"/>
          <w:rtl/>
          <w:lang w:val="en-US"/>
        </w:rPr>
        <w:t>الات</w:t>
      </w:r>
      <w:r w:rsidR="004E52D9" w:rsidRPr="00EB51C2">
        <w:rPr>
          <w:rFonts w:ascii="Simplified Arabic" w:hAnsi="Simplified Arabic" w:cs="Simplified Arabic" w:hint="cs"/>
          <w:sz w:val="24"/>
          <w:szCs w:val="24"/>
          <w:rtl/>
          <w:lang w:val="en-US"/>
        </w:rPr>
        <w:t xml:space="preserve"> الار</w:t>
      </w:r>
      <w:r w:rsidR="004E52D9">
        <w:rPr>
          <w:rFonts w:ascii="Simplified Arabic" w:hAnsi="Simplified Arabic" w:cs="Simplified Arabic" w:hint="cs"/>
          <w:sz w:val="24"/>
          <w:szCs w:val="24"/>
          <w:rtl/>
          <w:lang w:val="en-US"/>
        </w:rPr>
        <w:t>ا</w:t>
      </w:r>
      <w:r w:rsidR="004E52D9" w:rsidRPr="00EB51C2">
        <w:rPr>
          <w:rFonts w:ascii="Simplified Arabic" w:hAnsi="Simplified Arabic" w:cs="Simplified Arabic" w:hint="cs"/>
          <w:sz w:val="24"/>
          <w:szCs w:val="24"/>
          <w:rtl/>
          <w:lang w:val="en-US"/>
        </w:rPr>
        <w:t>ض</w:t>
      </w:r>
      <w:r w:rsidR="004E52D9">
        <w:rPr>
          <w:rFonts w:ascii="Simplified Arabic" w:hAnsi="Simplified Arabic" w:cs="Simplified Arabic" w:hint="cs"/>
          <w:sz w:val="24"/>
          <w:szCs w:val="24"/>
          <w:rtl/>
          <w:lang w:val="en-US"/>
        </w:rPr>
        <w:t>ي</w:t>
      </w:r>
      <w:r w:rsidR="004E52D9" w:rsidRPr="00EB51C2">
        <w:rPr>
          <w:rFonts w:ascii="Simplified Arabic" w:hAnsi="Simplified Arabic" w:cs="Simplified Arabic" w:hint="cs"/>
          <w:sz w:val="24"/>
          <w:szCs w:val="24"/>
          <w:rtl/>
          <w:lang w:val="en-US"/>
        </w:rPr>
        <w:t xml:space="preserve"> الحضرية</w:t>
      </w:r>
      <w:r w:rsidR="004E52D9">
        <w:rPr>
          <w:rFonts w:ascii="Simplified Arabic" w:hAnsi="Simplified Arabic" w:cs="Simplified Arabic" w:hint="cs"/>
          <w:sz w:val="24"/>
          <w:szCs w:val="24"/>
          <w:rtl/>
          <w:lang w:val="en-US"/>
        </w:rPr>
        <w:t>.</w:t>
      </w:r>
    </w:p>
    <w:p w:rsidR="00EE6A21" w:rsidRPr="00241BC3" w:rsidRDefault="00F75CB0" w:rsidP="001D0548">
      <w:pPr>
        <w:pStyle w:val="Paragraphedeliste"/>
        <w:numPr>
          <w:ilvl w:val="1"/>
          <w:numId w:val="242"/>
        </w:numPr>
        <w:tabs>
          <w:tab w:val="right" w:pos="567"/>
        </w:tabs>
        <w:bidi/>
        <w:spacing w:before="240" w:after="0" w:line="240" w:lineRule="auto"/>
        <w:ind w:left="0" w:firstLine="0"/>
        <w:outlineLvl w:val="1"/>
        <w:rPr>
          <w:rFonts w:ascii="Simplified Arabic" w:hAnsi="Simplified Arabic" w:cs="Simplified Arabic"/>
          <w:b/>
          <w:bCs/>
          <w:sz w:val="24"/>
          <w:szCs w:val="24"/>
          <w:lang w:val="en-US"/>
        </w:rPr>
      </w:pPr>
      <w:bookmarkStart w:id="987" w:name="_Toc171803904"/>
      <w:r>
        <w:rPr>
          <w:rFonts w:ascii="Simplified Arabic" w:hAnsi="Simplified Arabic" w:cs="Simplified Arabic" w:hint="cs"/>
          <w:b/>
          <w:bCs/>
          <w:sz w:val="24"/>
          <w:szCs w:val="24"/>
          <w:rtl/>
          <w:lang w:val="en-US" w:bidi="ar-DZ"/>
        </w:rPr>
        <w:t xml:space="preserve">نتائج </w:t>
      </w:r>
      <w:r w:rsidR="00EE6A21" w:rsidRPr="00241BC3">
        <w:rPr>
          <w:rFonts w:ascii="Simplified Arabic" w:hAnsi="Simplified Arabic" w:cs="Simplified Arabic" w:hint="cs"/>
          <w:b/>
          <w:bCs/>
          <w:sz w:val="24"/>
          <w:szCs w:val="24"/>
          <w:rtl/>
          <w:lang w:val="en-US" w:bidi="ar-DZ"/>
        </w:rPr>
        <w:t xml:space="preserve">تحديد </w:t>
      </w:r>
      <w:r w:rsidR="00EE6A21" w:rsidRPr="00241BC3">
        <w:rPr>
          <w:rFonts w:ascii="Simplified Arabic" w:hAnsi="Simplified Arabic" w:cs="Simplified Arabic" w:hint="cs"/>
          <w:b/>
          <w:bCs/>
          <w:color w:val="000000" w:themeColor="text1"/>
          <w:sz w:val="24"/>
          <w:szCs w:val="24"/>
          <w:rtl/>
        </w:rPr>
        <w:t>تصورات</w:t>
      </w:r>
      <w:r w:rsidR="00EE6A21" w:rsidRPr="00241BC3">
        <w:rPr>
          <w:rFonts w:ascii="Simplified Arabic" w:hAnsi="Simplified Arabic" w:cs="Simplified Arabic"/>
          <w:b/>
          <w:bCs/>
          <w:color w:val="000000" w:themeColor="text1"/>
          <w:sz w:val="24"/>
          <w:szCs w:val="24"/>
          <w:rtl/>
        </w:rPr>
        <w:t xml:space="preserve"> </w:t>
      </w:r>
      <w:r w:rsidR="00EE6A21" w:rsidRPr="00241BC3">
        <w:rPr>
          <w:rFonts w:ascii="Simplified Arabic" w:hAnsi="Simplified Arabic" w:cs="Simplified Arabic" w:hint="cs"/>
          <w:b/>
          <w:bCs/>
          <w:color w:val="000000" w:themeColor="text1"/>
          <w:sz w:val="24"/>
          <w:szCs w:val="24"/>
          <w:rtl/>
        </w:rPr>
        <w:t>السكان المحليين حول اضطرابات الحصول على الخدمة لرفع مستوى المرونة الحضرية.</w:t>
      </w:r>
      <w:bookmarkEnd w:id="987"/>
    </w:p>
    <w:p w:rsidR="0080393A" w:rsidRDefault="00050E22" w:rsidP="000571E2">
      <w:pPr>
        <w:pStyle w:val="Default"/>
        <w:bidi/>
        <w:spacing w:line="276" w:lineRule="auto"/>
        <w:ind w:left="-1" w:firstLine="283"/>
        <w:jc w:val="both"/>
        <w:rPr>
          <w:rFonts w:ascii="Simplified Arabic" w:hAnsi="Simplified Arabic" w:cs="Simplified Arabic"/>
          <w:rtl/>
          <w:lang w:bidi="ar-DZ"/>
        </w:rPr>
      </w:pPr>
      <w:r w:rsidRPr="00F71508">
        <w:rPr>
          <w:rFonts w:ascii="Simplified Arabic" w:hAnsi="Simplified Arabic" w:cs="Simplified Arabic" w:hint="cs"/>
          <w:rtl/>
          <w:lang w:val="en-US"/>
        </w:rPr>
        <w:t xml:space="preserve">ساهمت </w:t>
      </w:r>
      <w:r w:rsidR="00A9608A" w:rsidRPr="00F71508">
        <w:rPr>
          <w:rFonts w:ascii="Simplified Arabic" w:hAnsi="Simplified Arabic" w:cs="Simplified Arabic" w:hint="cs"/>
          <w:rtl/>
          <w:lang w:val="en-US"/>
        </w:rPr>
        <w:t>نتائج ا</w:t>
      </w:r>
      <w:r w:rsidRPr="00F71508">
        <w:rPr>
          <w:rFonts w:ascii="Simplified Arabic" w:hAnsi="Simplified Arabic" w:cs="Simplified Arabic" w:hint="cs"/>
          <w:rtl/>
          <w:lang w:val="en-US"/>
        </w:rPr>
        <w:t>لا</w:t>
      </w:r>
      <w:r w:rsidR="00A9608A" w:rsidRPr="00F71508">
        <w:rPr>
          <w:rFonts w:ascii="Simplified Arabic" w:hAnsi="Simplified Arabic" w:cs="Simplified Arabic" w:hint="cs"/>
          <w:rtl/>
          <w:lang w:val="en-US"/>
        </w:rPr>
        <w:t>ستبيان</w:t>
      </w:r>
      <w:r w:rsidRPr="00F71508">
        <w:rPr>
          <w:rFonts w:ascii="Simplified Arabic" w:hAnsi="Simplified Arabic" w:cs="Simplified Arabic" w:hint="cs"/>
          <w:rtl/>
          <w:lang w:val="en-US"/>
        </w:rPr>
        <w:t xml:space="preserve"> </w:t>
      </w:r>
      <w:r w:rsidR="008433F3">
        <w:rPr>
          <w:rFonts w:ascii="Simplified Arabic" w:hAnsi="Simplified Arabic" w:cs="Simplified Arabic" w:hint="cs"/>
          <w:rtl/>
          <w:lang w:val="en-US"/>
        </w:rPr>
        <w:t>التي تخص</w:t>
      </w:r>
      <w:r w:rsidR="00A9608A" w:rsidRPr="00F71508">
        <w:rPr>
          <w:rFonts w:ascii="Simplified Arabic" w:hAnsi="Simplified Arabic" w:cs="Simplified Arabic" w:hint="cs"/>
          <w:rtl/>
          <w:lang w:val="en-US"/>
        </w:rPr>
        <w:t xml:space="preserve"> تصورات</w:t>
      </w:r>
      <w:r w:rsidR="00A9608A" w:rsidRPr="00F71508">
        <w:rPr>
          <w:rFonts w:ascii="Simplified Arabic" w:hAnsi="Simplified Arabic" w:cs="Simplified Arabic"/>
          <w:rtl/>
          <w:lang w:val="en-US"/>
        </w:rPr>
        <w:t xml:space="preserve"> </w:t>
      </w:r>
      <w:r w:rsidR="008433F3">
        <w:rPr>
          <w:rFonts w:ascii="Simplified Arabic" w:hAnsi="Simplified Arabic" w:cs="Simplified Arabic" w:hint="cs"/>
          <w:rtl/>
          <w:lang w:val="en-US"/>
        </w:rPr>
        <w:t>ال</w:t>
      </w:r>
      <w:r w:rsidR="00A9608A" w:rsidRPr="00F71508">
        <w:rPr>
          <w:rFonts w:ascii="Simplified Arabic" w:hAnsi="Simplified Arabic" w:cs="Simplified Arabic" w:hint="cs"/>
          <w:rtl/>
          <w:lang w:val="en-US"/>
        </w:rPr>
        <w:t xml:space="preserve">سكان </w:t>
      </w:r>
      <w:r w:rsidR="008433F3">
        <w:rPr>
          <w:rFonts w:ascii="Simplified Arabic" w:hAnsi="Simplified Arabic" w:cs="Simplified Arabic" w:hint="cs"/>
          <w:rtl/>
          <w:lang w:val="en-US"/>
        </w:rPr>
        <w:t xml:space="preserve">المحليين </w:t>
      </w:r>
      <w:r w:rsidR="008433F3" w:rsidRPr="00F71508">
        <w:rPr>
          <w:rFonts w:ascii="Simplified Arabic" w:hAnsi="Simplified Arabic" w:cs="Simplified Arabic" w:hint="cs"/>
          <w:rtl/>
          <w:lang w:val="en-US"/>
        </w:rPr>
        <w:t>حول اضطرابات الحصول على الخدمة</w:t>
      </w:r>
      <w:r w:rsidR="008433F3">
        <w:rPr>
          <w:rFonts w:ascii="Simplified Arabic" w:hAnsi="Simplified Arabic" w:cs="Simplified Arabic" w:hint="cs"/>
          <w:rtl/>
          <w:lang w:val="en-US"/>
        </w:rPr>
        <w:t>،</w:t>
      </w:r>
      <w:r w:rsidR="008433F3" w:rsidRPr="00F71508">
        <w:rPr>
          <w:rFonts w:ascii="Simplified Arabic" w:hAnsi="Simplified Arabic" w:cs="Simplified Arabic" w:hint="cs"/>
          <w:rtl/>
          <w:lang w:val="en-US"/>
        </w:rPr>
        <w:t xml:space="preserve"> </w:t>
      </w:r>
      <w:r w:rsidR="008433F3">
        <w:rPr>
          <w:rFonts w:ascii="Simplified Arabic" w:hAnsi="Simplified Arabic" w:cs="Simplified Arabic" w:hint="cs"/>
          <w:rtl/>
          <w:lang w:val="en-US"/>
        </w:rPr>
        <w:t>ل</w:t>
      </w:r>
      <w:r w:rsidR="00E05C18" w:rsidRPr="00F71508">
        <w:rPr>
          <w:rFonts w:ascii="Simplified Arabic" w:hAnsi="Simplified Arabic" w:cs="Simplified Arabic" w:hint="cs"/>
          <w:rtl/>
          <w:lang w:val="en-US"/>
        </w:rPr>
        <w:t xml:space="preserve">لأحياء السكنية </w:t>
      </w:r>
      <w:r w:rsidRPr="00F71508">
        <w:rPr>
          <w:rFonts w:ascii="Simplified Arabic" w:hAnsi="Simplified Arabic" w:cs="Simplified Arabic" w:hint="cs"/>
          <w:rtl/>
          <w:lang w:val="en-US"/>
        </w:rPr>
        <w:t>التي تشهد مستوى مرونة متوسط ومنخفض</w:t>
      </w:r>
      <w:r w:rsidR="00A9608A" w:rsidRPr="00F71508">
        <w:rPr>
          <w:rFonts w:ascii="Simplified Arabic" w:hAnsi="Simplified Arabic" w:cs="Simplified Arabic" w:hint="cs"/>
          <w:rtl/>
          <w:lang w:val="en-US"/>
        </w:rPr>
        <w:t xml:space="preserve">، في بلورة فكرة </w:t>
      </w:r>
      <w:r w:rsidR="0093280A">
        <w:rPr>
          <w:rFonts w:ascii="Simplified Arabic" w:hAnsi="Simplified Arabic" w:cs="Simplified Arabic" w:hint="cs"/>
          <w:rtl/>
          <w:lang w:val="en-US"/>
        </w:rPr>
        <w:t>الاحتياجات الضرورية</w:t>
      </w:r>
      <w:r w:rsidR="00A76358">
        <w:rPr>
          <w:rFonts w:ascii="Simplified Arabic" w:hAnsi="Simplified Arabic" w:cs="Simplified Arabic" w:hint="cs"/>
          <w:rtl/>
          <w:lang w:val="en-US"/>
        </w:rPr>
        <w:t xml:space="preserve"> من </w:t>
      </w:r>
      <w:r w:rsidR="0093280A">
        <w:rPr>
          <w:rFonts w:ascii="Simplified Arabic" w:hAnsi="Simplified Arabic" w:cs="Simplified Arabic" w:hint="cs"/>
          <w:rtl/>
          <w:lang w:val="en-US"/>
        </w:rPr>
        <w:t>المرافق</w:t>
      </w:r>
      <w:r w:rsidR="00F71508">
        <w:rPr>
          <w:rFonts w:ascii="Simplified Arabic" w:hAnsi="Simplified Arabic" w:cs="Simplified Arabic" w:hint="cs"/>
          <w:rtl/>
          <w:lang w:val="en-US"/>
        </w:rPr>
        <w:t>.</w:t>
      </w:r>
      <w:r w:rsidR="005E54DA">
        <w:rPr>
          <w:rFonts w:ascii="Simplified Arabic" w:hAnsi="Simplified Arabic" w:cs="Simplified Arabic" w:hint="cs"/>
          <w:color w:val="000000" w:themeColor="text1"/>
          <w:rtl/>
          <w:lang w:val="en-US"/>
        </w:rPr>
        <w:t xml:space="preserve"> </w:t>
      </w:r>
      <w:r w:rsidR="00F75CB0">
        <w:rPr>
          <w:rFonts w:ascii="Simplified Arabic" w:hAnsi="Simplified Arabic" w:cs="Simplified Arabic" w:hint="cs"/>
          <w:color w:val="000000" w:themeColor="text1"/>
          <w:rtl/>
          <w:lang w:val="en-US"/>
        </w:rPr>
        <w:t>من خلال</w:t>
      </w:r>
      <w:r w:rsidR="005E54DA" w:rsidRPr="005E54DA">
        <w:rPr>
          <w:rFonts w:ascii="Simplified Arabic" w:hAnsi="Simplified Arabic" w:cs="Simplified Arabic" w:hint="cs"/>
          <w:color w:val="000000" w:themeColor="text1"/>
          <w:rtl/>
          <w:lang w:val="en-US"/>
        </w:rPr>
        <w:t xml:space="preserve"> </w:t>
      </w:r>
      <w:r w:rsidR="005E54DA">
        <w:rPr>
          <w:rFonts w:ascii="Simplified Arabic" w:hAnsi="Simplified Arabic" w:cs="Simplified Arabic" w:hint="cs"/>
          <w:color w:val="000000" w:themeColor="text1"/>
          <w:rtl/>
          <w:lang w:val="en-US"/>
        </w:rPr>
        <w:t xml:space="preserve">اعمدة الشكل (5-18)، كانت </w:t>
      </w:r>
      <w:r w:rsidR="00F735D4">
        <w:rPr>
          <w:rFonts w:ascii="Simplified Arabic" w:hAnsi="Simplified Arabic" w:cs="Simplified Arabic" w:hint="cs"/>
          <w:color w:val="000000" w:themeColor="text1"/>
          <w:rtl/>
          <w:lang w:val="en-US"/>
        </w:rPr>
        <w:t xml:space="preserve">نسب </w:t>
      </w:r>
      <w:r w:rsidR="00F735D4" w:rsidRPr="00F71508">
        <w:rPr>
          <w:rFonts w:ascii="Simplified Arabic" w:hAnsi="Simplified Arabic" w:cs="Simplified Arabic" w:hint="cs"/>
          <w:rtl/>
          <w:lang w:val="en-US"/>
        </w:rPr>
        <w:t xml:space="preserve">ردود افراد </w:t>
      </w:r>
      <w:r w:rsidR="00F735D4">
        <w:rPr>
          <w:rFonts w:ascii="Simplified Arabic" w:hAnsi="Simplified Arabic" w:cs="Simplified Arabic" w:hint="cs"/>
          <w:rtl/>
          <w:lang w:val="en-US"/>
        </w:rPr>
        <w:t>ال</w:t>
      </w:r>
      <w:r w:rsidR="00F735D4" w:rsidRPr="00F71508">
        <w:rPr>
          <w:rFonts w:ascii="Simplified Arabic" w:hAnsi="Simplified Arabic" w:cs="Simplified Arabic" w:hint="cs"/>
          <w:rtl/>
          <w:lang w:val="en-US"/>
        </w:rPr>
        <w:t>عينة</w:t>
      </w:r>
      <w:r w:rsidR="00F735D4">
        <w:rPr>
          <w:rFonts w:ascii="Simplified Arabic" w:hAnsi="Simplified Arabic" w:cs="Simplified Arabic" w:hint="cs"/>
          <w:color w:val="000000" w:themeColor="text1"/>
          <w:rtl/>
          <w:lang w:val="en-US"/>
        </w:rPr>
        <w:t xml:space="preserve"> </w:t>
      </w:r>
      <w:r w:rsidR="00F75CB0">
        <w:rPr>
          <w:rFonts w:ascii="Simplified Arabic" w:hAnsi="Simplified Arabic" w:cs="Simplified Arabic" w:hint="cs"/>
          <w:color w:val="000000" w:themeColor="text1"/>
          <w:rtl/>
          <w:lang w:val="en-US"/>
        </w:rPr>
        <w:t>ب</w:t>
      </w:r>
      <w:r w:rsidR="00F75CB0" w:rsidRPr="00710D6A">
        <w:rPr>
          <w:rFonts w:ascii="Simplified Arabic" w:hAnsi="Simplified Arabic" w:cs="Simplified Arabic" w:hint="cs"/>
          <w:rtl/>
          <w:lang w:val="en-US"/>
        </w:rPr>
        <w:t>أحياء: سيدي سليمان، ميطر، الحمايد والباطن</w:t>
      </w:r>
      <w:r w:rsidR="00F75CB0">
        <w:rPr>
          <w:rFonts w:ascii="Simplified Arabic" w:hAnsi="Simplified Arabic" w:cs="Simplified Arabic" w:hint="cs"/>
          <w:color w:val="000000" w:themeColor="text1"/>
          <w:rtl/>
          <w:lang w:val="en-US"/>
        </w:rPr>
        <w:t xml:space="preserve"> </w:t>
      </w:r>
      <w:r w:rsidR="005E54DA">
        <w:rPr>
          <w:rFonts w:ascii="Simplified Arabic" w:hAnsi="Simplified Arabic" w:cs="Simplified Arabic" w:hint="cs"/>
          <w:color w:val="000000" w:themeColor="text1"/>
          <w:rtl/>
          <w:lang w:val="en-US"/>
        </w:rPr>
        <w:t xml:space="preserve">على </w:t>
      </w:r>
      <w:r w:rsidR="005E54DA" w:rsidRPr="00710D6A">
        <w:rPr>
          <w:rFonts w:ascii="Simplified Arabic" w:hAnsi="Simplified Arabic" w:cs="Simplified Arabic" w:hint="cs"/>
          <w:rtl/>
          <w:lang w:val="en-US"/>
        </w:rPr>
        <w:t xml:space="preserve">التوالي: </w:t>
      </w:r>
      <w:r w:rsidR="005E54DA">
        <w:rPr>
          <w:rFonts w:ascii="Simplified Arabic" w:hAnsi="Simplified Arabic" w:cs="Simplified Arabic"/>
          <w:lang w:val="en-US"/>
        </w:rPr>
        <w:t>58</w:t>
      </w:r>
      <w:r w:rsidR="005E54DA" w:rsidRPr="00710D6A">
        <w:rPr>
          <w:rFonts w:ascii="Simplified Arabic" w:hAnsi="Simplified Arabic" w:cs="Simplified Arabic"/>
          <w:lang w:val="en-US"/>
        </w:rPr>
        <w:t>,</w:t>
      </w:r>
      <w:r w:rsidR="005E54DA">
        <w:rPr>
          <w:rFonts w:ascii="Simplified Arabic" w:hAnsi="Simplified Arabic" w:cs="Simplified Arabic"/>
          <w:lang w:val="en-US"/>
        </w:rPr>
        <w:t>18</w:t>
      </w:r>
      <w:r w:rsidR="005E54DA" w:rsidRPr="00710D6A">
        <w:rPr>
          <w:rFonts w:ascii="Simplified Arabic" w:hAnsi="Simplified Arabic" w:cs="Simplified Arabic"/>
          <w:rtl/>
          <w:lang w:val="en-US"/>
        </w:rPr>
        <w:t>٪</w:t>
      </w:r>
      <w:r w:rsidR="005E54DA" w:rsidRPr="00710D6A">
        <w:rPr>
          <w:rFonts w:ascii="Simplified Arabic" w:hAnsi="Simplified Arabic" w:cs="Simplified Arabic" w:hint="cs"/>
          <w:rtl/>
          <w:lang w:val="en-US"/>
        </w:rPr>
        <w:t xml:space="preserve">، </w:t>
      </w:r>
      <w:r w:rsidR="005E54DA">
        <w:rPr>
          <w:rFonts w:ascii="Simplified Arabic" w:hAnsi="Simplified Arabic" w:cs="Simplified Arabic"/>
          <w:lang w:val="en-US"/>
        </w:rPr>
        <w:lastRenderedPageBreak/>
        <w:t>70</w:t>
      </w:r>
      <w:r w:rsidR="005E54DA" w:rsidRPr="00710D6A">
        <w:rPr>
          <w:rFonts w:ascii="Simplified Arabic" w:hAnsi="Simplified Arabic" w:cs="Simplified Arabic"/>
          <w:lang w:val="en-US"/>
        </w:rPr>
        <w:t>,</w:t>
      </w:r>
      <w:r w:rsidR="005E54DA">
        <w:rPr>
          <w:rFonts w:ascii="Simplified Arabic" w:hAnsi="Simplified Arabic" w:cs="Simplified Arabic"/>
          <w:lang w:val="en-US"/>
        </w:rPr>
        <w:t>65</w:t>
      </w:r>
      <w:r w:rsidR="005E54DA" w:rsidRPr="00710D6A">
        <w:rPr>
          <w:rFonts w:ascii="Simplified Arabic" w:hAnsi="Simplified Arabic" w:cs="Simplified Arabic"/>
          <w:rtl/>
          <w:lang w:val="en-US"/>
        </w:rPr>
        <w:t>٪</w:t>
      </w:r>
      <w:r w:rsidR="005E54DA" w:rsidRPr="00710D6A">
        <w:rPr>
          <w:rFonts w:ascii="Simplified Arabic" w:hAnsi="Simplified Arabic" w:cs="Simplified Arabic" w:hint="cs"/>
          <w:rtl/>
          <w:lang w:val="en-US"/>
        </w:rPr>
        <w:t xml:space="preserve">، </w:t>
      </w:r>
      <w:r w:rsidR="005E54DA">
        <w:rPr>
          <w:rFonts w:ascii="Simplified Arabic" w:hAnsi="Simplified Arabic" w:cs="Simplified Arabic"/>
          <w:lang w:val="en-US"/>
        </w:rPr>
        <w:t>77</w:t>
      </w:r>
      <w:r w:rsidR="005E54DA" w:rsidRPr="00710D6A">
        <w:rPr>
          <w:rFonts w:ascii="Simplified Arabic" w:hAnsi="Simplified Arabic" w:cs="Simplified Arabic"/>
          <w:lang w:val="en-US"/>
        </w:rPr>
        <w:t>,</w:t>
      </w:r>
      <w:r w:rsidR="005E54DA">
        <w:rPr>
          <w:rFonts w:ascii="Simplified Arabic" w:hAnsi="Simplified Arabic" w:cs="Simplified Arabic"/>
          <w:lang w:val="en-US"/>
        </w:rPr>
        <w:t>14</w:t>
      </w:r>
      <w:r w:rsidR="005E54DA" w:rsidRPr="00710D6A">
        <w:rPr>
          <w:rFonts w:ascii="Simplified Arabic" w:hAnsi="Simplified Arabic" w:cs="Simplified Arabic"/>
          <w:rtl/>
          <w:lang w:val="en-US"/>
        </w:rPr>
        <w:t>٪</w:t>
      </w:r>
      <w:r w:rsidR="005E54DA" w:rsidRPr="00710D6A">
        <w:rPr>
          <w:rFonts w:ascii="Simplified Arabic" w:hAnsi="Simplified Arabic" w:cs="Simplified Arabic" w:hint="cs"/>
          <w:rtl/>
          <w:lang w:val="en-US"/>
        </w:rPr>
        <w:t xml:space="preserve">، </w:t>
      </w:r>
      <w:r w:rsidR="005E54DA">
        <w:rPr>
          <w:rFonts w:ascii="Simplified Arabic" w:hAnsi="Simplified Arabic" w:cs="Simplified Arabic"/>
          <w:lang w:val="en-US"/>
        </w:rPr>
        <w:t>90</w:t>
      </w:r>
      <w:r w:rsidR="005E54DA" w:rsidRPr="00710D6A">
        <w:rPr>
          <w:rFonts w:ascii="Simplified Arabic" w:hAnsi="Simplified Arabic" w:cs="Simplified Arabic"/>
          <w:lang w:val="en-US"/>
        </w:rPr>
        <w:t>,</w:t>
      </w:r>
      <w:r w:rsidR="005E54DA">
        <w:rPr>
          <w:rFonts w:ascii="Simplified Arabic" w:hAnsi="Simplified Arabic" w:cs="Simplified Arabic"/>
          <w:lang w:val="en-US"/>
        </w:rPr>
        <w:t>39</w:t>
      </w:r>
      <w:r w:rsidR="005E54DA" w:rsidRPr="00710D6A">
        <w:rPr>
          <w:rFonts w:ascii="Simplified Arabic" w:hAnsi="Simplified Arabic" w:cs="Simplified Arabic"/>
          <w:rtl/>
          <w:lang w:val="en-US"/>
        </w:rPr>
        <w:t>٪</w:t>
      </w:r>
      <w:r w:rsidR="005E54DA">
        <w:rPr>
          <w:rFonts w:ascii="Simplified Arabic" w:hAnsi="Simplified Arabic" w:cs="Simplified Arabic" w:hint="cs"/>
          <w:color w:val="000000" w:themeColor="text1"/>
          <w:rtl/>
          <w:lang w:val="en-US" w:bidi="ar-DZ"/>
        </w:rPr>
        <w:t xml:space="preserve"> </w:t>
      </w:r>
      <w:r w:rsidR="00F75CB0">
        <w:rPr>
          <w:rFonts w:ascii="Simplified Arabic" w:hAnsi="Simplified Arabic" w:cs="Simplified Arabic" w:hint="cs"/>
          <w:color w:val="000000" w:themeColor="text1"/>
          <w:rtl/>
          <w:lang w:val="en-US" w:bidi="ar-DZ"/>
        </w:rPr>
        <w:t xml:space="preserve">عبرت على </w:t>
      </w:r>
      <w:r w:rsidR="00F75CB0" w:rsidRPr="0004309B">
        <w:rPr>
          <w:rFonts w:ascii="Simplified Arabic" w:hAnsi="Simplified Arabic" w:cs="Simplified Arabic" w:hint="cs"/>
          <w:color w:val="000000" w:themeColor="text1"/>
          <w:rtl/>
          <w:lang w:val="en-US"/>
        </w:rPr>
        <w:t xml:space="preserve">ان </w:t>
      </w:r>
      <w:r w:rsidR="00F75CB0">
        <w:rPr>
          <w:rFonts w:ascii="Simplified Arabic" w:hAnsi="Simplified Arabic" w:cs="Simplified Arabic" w:hint="cs"/>
          <w:color w:val="000000" w:themeColor="text1"/>
          <w:rtl/>
          <w:lang w:val="en-US"/>
        </w:rPr>
        <w:t>مراكز التكفل الطبي غير كافية</w:t>
      </w:r>
      <w:r w:rsidR="00F75CB0">
        <w:rPr>
          <w:rFonts w:ascii="Simplified Arabic" w:hAnsi="Simplified Arabic" w:cs="Simplified Arabic" w:hint="cs"/>
          <w:rtl/>
          <w:lang w:val="en-US"/>
        </w:rPr>
        <w:t>.</w:t>
      </w:r>
      <w:r w:rsidR="00F75CB0">
        <w:rPr>
          <w:rFonts w:ascii="Simplified Arabic" w:hAnsi="Simplified Arabic" w:cs="Simplified Arabic" w:hint="cs"/>
          <w:color w:val="000000" w:themeColor="text1"/>
          <w:rtl/>
          <w:lang w:val="en-US" w:bidi="ar-DZ"/>
        </w:rPr>
        <w:t xml:space="preserve"> </w:t>
      </w:r>
      <w:r w:rsidR="005E54DA">
        <w:rPr>
          <w:rFonts w:ascii="Simplified Arabic" w:hAnsi="Simplified Arabic" w:cs="Simplified Arabic" w:hint="cs"/>
          <w:color w:val="000000" w:themeColor="text1"/>
          <w:rtl/>
          <w:lang w:val="en-US" w:bidi="ar-DZ"/>
        </w:rPr>
        <w:t xml:space="preserve">كما </w:t>
      </w:r>
      <w:r w:rsidR="0080393A">
        <w:rPr>
          <w:rFonts w:ascii="Simplified Arabic" w:hAnsi="Simplified Arabic" w:cs="Simplified Arabic" w:hint="cs"/>
          <w:color w:val="000000" w:themeColor="text1"/>
          <w:rtl/>
          <w:lang w:val="en-US"/>
        </w:rPr>
        <w:t xml:space="preserve">كانت نسب </w:t>
      </w:r>
      <w:r w:rsidR="0080393A" w:rsidRPr="00F71508">
        <w:rPr>
          <w:rFonts w:ascii="Simplified Arabic" w:hAnsi="Simplified Arabic" w:cs="Simplified Arabic" w:hint="cs"/>
          <w:rtl/>
          <w:lang w:val="en-US"/>
        </w:rPr>
        <w:t xml:space="preserve">ردود افراد </w:t>
      </w:r>
      <w:r w:rsidR="0080393A">
        <w:rPr>
          <w:rFonts w:ascii="Simplified Arabic" w:hAnsi="Simplified Arabic" w:cs="Simplified Arabic" w:hint="cs"/>
          <w:rtl/>
          <w:lang w:val="en-US"/>
        </w:rPr>
        <w:t>ال</w:t>
      </w:r>
      <w:r w:rsidR="0080393A" w:rsidRPr="00F71508">
        <w:rPr>
          <w:rFonts w:ascii="Simplified Arabic" w:hAnsi="Simplified Arabic" w:cs="Simplified Arabic" w:hint="cs"/>
          <w:rtl/>
          <w:lang w:val="en-US"/>
        </w:rPr>
        <w:t>عينة</w:t>
      </w:r>
      <w:r w:rsidR="0080393A">
        <w:rPr>
          <w:rFonts w:ascii="Simplified Arabic" w:hAnsi="Simplified Arabic" w:cs="Simplified Arabic" w:hint="cs"/>
          <w:color w:val="000000" w:themeColor="text1"/>
          <w:rtl/>
          <w:lang w:val="en-US"/>
        </w:rPr>
        <w:t xml:space="preserve"> بحي سيدي سليمان والحمايد</w:t>
      </w:r>
      <w:r w:rsidR="0080393A" w:rsidRPr="0004309B">
        <w:rPr>
          <w:rFonts w:ascii="Simplified Arabic" w:hAnsi="Simplified Arabic" w:cs="Simplified Arabic" w:hint="cs"/>
          <w:color w:val="000000" w:themeColor="text1"/>
          <w:rtl/>
          <w:lang w:val="en-US"/>
        </w:rPr>
        <w:t xml:space="preserve"> </w:t>
      </w:r>
      <w:r w:rsidR="0080393A">
        <w:rPr>
          <w:rFonts w:ascii="Simplified Arabic" w:hAnsi="Simplified Arabic" w:cs="Simplified Arabic" w:hint="cs"/>
          <w:color w:val="000000" w:themeColor="text1"/>
          <w:rtl/>
          <w:lang w:val="en-US"/>
        </w:rPr>
        <w:t xml:space="preserve">على </w:t>
      </w:r>
      <w:r w:rsidR="0080393A" w:rsidRPr="00710D6A">
        <w:rPr>
          <w:rFonts w:ascii="Simplified Arabic" w:hAnsi="Simplified Arabic" w:cs="Simplified Arabic" w:hint="cs"/>
          <w:rtl/>
          <w:lang w:val="en-US"/>
        </w:rPr>
        <w:t xml:space="preserve">التوالي: </w:t>
      </w:r>
      <w:r w:rsidR="0080393A">
        <w:rPr>
          <w:rFonts w:ascii="Simplified Arabic" w:hAnsi="Simplified Arabic" w:cs="Simplified Arabic"/>
          <w:lang w:val="en-US"/>
        </w:rPr>
        <w:t>69</w:t>
      </w:r>
      <w:r w:rsidR="0080393A" w:rsidRPr="00710D6A">
        <w:rPr>
          <w:rFonts w:ascii="Simplified Arabic" w:hAnsi="Simplified Arabic" w:cs="Simplified Arabic"/>
          <w:lang w:val="en-US"/>
        </w:rPr>
        <w:t>,</w:t>
      </w:r>
      <w:r w:rsidR="0080393A">
        <w:rPr>
          <w:rFonts w:ascii="Simplified Arabic" w:hAnsi="Simplified Arabic" w:cs="Simplified Arabic"/>
          <w:lang w:val="en-US"/>
        </w:rPr>
        <w:t>61</w:t>
      </w:r>
      <w:r w:rsidR="0080393A" w:rsidRPr="00710D6A">
        <w:rPr>
          <w:rFonts w:ascii="Simplified Arabic" w:hAnsi="Simplified Arabic" w:cs="Simplified Arabic"/>
          <w:rtl/>
          <w:lang w:val="en-US"/>
        </w:rPr>
        <w:t>٪</w:t>
      </w:r>
      <w:r w:rsidR="0080393A" w:rsidRPr="00710D6A">
        <w:rPr>
          <w:rFonts w:ascii="Simplified Arabic" w:hAnsi="Simplified Arabic" w:cs="Simplified Arabic" w:hint="cs"/>
          <w:rtl/>
          <w:lang w:val="en-US"/>
        </w:rPr>
        <w:t xml:space="preserve">، </w:t>
      </w:r>
      <w:r w:rsidR="0080393A">
        <w:rPr>
          <w:rFonts w:ascii="Simplified Arabic" w:hAnsi="Simplified Arabic" w:cs="Simplified Arabic"/>
          <w:lang w:val="en-US"/>
        </w:rPr>
        <w:t>91</w:t>
      </w:r>
      <w:r w:rsidR="0080393A" w:rsidRPr="00710D6A">
        <w:rPr>
          <w:rFonts w:ascii="Simplified Arabic" w:hAnsi="Simplified Arabic" w:cs="Simplified Arabic"/>
          <w:lang w:val="en-US"/>
        </w:rPr>
        <w:t>,</w:t>
      </w:r>
      <w:r w:rsidR="0080393A">
        <w:rPr>
          <w:rFonts w:ascii="Simplified Arabic" w:hAnsi="Simplified Arabic" w:cs="Simplified Arabic"/>
          <w:lang w:val="en-US"/>
        </w:rPr>
        <w:t>95</w:t>
      </w:r>
      <w:r w:rsidR="0080393A" w:rsidRPr="00710D6A">
        <w:rPr>
          <w:rFonts w:ascii="Simplified Arabic" w:hAnsi="Simplified Arabic" w:cs="Simplified Arabic"/>
          <w:rtl/>
          <w:lang w:val="en-US"/>
        </w:rPr>
        <w:t>٪</w:t>
      </w:r>
      <w:r w:rsidR="0080393A">
        <w:rPr>
          <w:rFonts w:ascii="Simplified Arabic" w:hAnsi="Simplified Arabic" w:cs="Simplified Arabic" w:hint="cs"/>
          <w:rtl/>
          <w:lang w:val="en-US"/>
        </w:rPr>
        <w:t xml:space="preserve"> </w:t>
      </w:r>
      <w:r w:rsidR="0080393A">
        <w:rPr>
          <w:rFonts w:ascii="Simplified Arabic" w:hAnsi="Simplified Arabic" w:cs="Simplified Arabic" w:hint="cs"/>
          <w:color w:val="000000" w:themeColor="text1"/>
          <w:rtl/>
          <w:lang w:val="en-US" w:bidi="ar-DZ"/>
        </w:rPr>
        <w:t xml:space="preserve">عبرت على </w:t>
      </w:r>
      <w:r w:rsidR="005E54DA" w:rsidRPr="0004309B">
        <w:rPr>
          <w:rFonts w:ascii="Simplified Arabic" w:hAnsi="Simplified Arabic" w:cs="Simplified Arabic" w:hint="cs"/>
          <w:color w:val="000000" w:themeColor="text1"/>
          <w:rtl/>
          <w:lang w:val="en-US"/>
        </w:rPr>
        <w:t xml:space="preserve">ان </w:t>
      </w:r>
      <w:r w:rsidR="005E54DA">
        <w:rPr>
          <w:rFonts w:ascii="Simplified Arabic" w:hAnsi="Simplified Arabic" w:cs="Simplified Arabic" w:hint="cs"/>
          <w:color w:val="000000" w:themeColor="text1"/>
          <w:rtl/>
          <w:lang w:val="en-US"/>
        </w:rPr>
        <w:t>مراكز الامن غير كافية</w:t>
      </w:r>
      <w:r w:rsidR="005E54DA">
        <w:rPr>
          <w:rFonts w:ascii="Simplified Arabic" w:hAnsi="Simplified Arabic" w:cs="Simplified Arabic" w:hint="cs"/>
          <w:rtl/>
          <w:lang w:val="en-US"/>
        </w:rPr>
        <w:t>.</w:t>
      </w:r>
      <w:r w:rsidR="00F735D4">
        <w:rPr>
          <w:rFonts w:ascii="Simplified Arabic" w:hAnsi="Simplified Arabic" w:cs="Simplified Arabic" w:hint="cs"/>
          <w:rtl/>
          <w:lang w:val="en-US"/>
        </w:rPr>
        <w:t xml:space="preserve"> </w:t>
      </w:r>
      <w:r w:rsidR="00F735D4" w:rsidRPr="00E23788">
        <w:rPr>
          <w:rFonts w:ascii="Simplified Arabic" w:hAnsi="Simplified Arabic" w:cs="Simplified Arabic" w:hint="cs"/>
          <w:color w:val="000000" w:themeColor="text1"/>
          <w:rtl/>
        </w:rPr>
        <w:t xml:space="preserve">هذا يشير الى ان </w:t>
      </w:r>
      <w:r w:rsidR="00C279F0" w:rsidRPr="00E23788">
        <w:rPr>
          <w:rFonts w:ascii="Simplified Arabic" w:hAnsi="Simplified Arabic" w:cs="Simplified Arabic" w:hint="cs"/>
          <w:color w:val="000000" w:themeColor="text1"/>
          <w:rtl/>
          <w:lang w:val="en-US"/>
        </w:rPr>
        <w:t>مشاركة السكان المحليين</w:t>
      </w:r>
      <w:r w:rsidR="00F735D4" w:rsidRPr="00E23788">
        <w:rPr>
          <w:rFonts w:ascii="Simplified Arabic" w:hAnsi="Simplified Arabic" w:cs="Simplified Arabic" w:hint="cs"/>
          <w:color w:val="000000" w:themeColor="text1"/>
          <w:rtl/>
          <w:lang w:val="en-US"/>
        </w:rPr>
        <w:t xml:space="preserve"> </w:t>
      </w:r>
      <w:r w:rsidR="00C279F0" w:rsidRPr="00E23788">
        <w:rPr>
          <w:rFonts w:ascii="Simplified Arabic" w:hAnsi="Simplified Arabic" w:cs="Simplified Arabic" w:hint="cs"/>
          <w:color w:val="000000" w:themeColor="text1"/>
          <w:rtl/>
          <w:lang w:val="en-US"/>
        </w:rPr>
        <w:t xml:space="preserve">تساهم </w:t>
      </w:r>
      <w:r w:rsidR="00E23788">
        <w:rPr>
          <w:rFonts w:ascii="Simplified Arabic" w:hAnsi="Simplified Arabic" w:cs="Simplified Arabic" w:hint="cs"/>
          <w:color w:val="000000" w:themeColor="text1"/>
          <w:rtl/>
          <w:lang w:val="en-US"/>
        </w:rPr>
        <w:t xml:space="preserve">في </w:t>
      </w:r>
      <w:r w:rsidR="00E23788" w:rsidRPr="00E23788">
        <w:rPr>
          <w:rFonts w:ascii="Simplified Arabic" w:hAnsi="Simplified Arabic" w:cs="Simplified Arabic" w:hint="cs"/>
          <w:color w:val="000000" w:themeColor="text1"/>
          <w:rtl/>
          <w:lang w:val="en-US"/>
        </w:rPr>
        <w:t xml:space="preserve">تحديد الاحتياجات </w:t>
      </w:r>
      <w:r w:rsidR="00E23788">
        <w:rPr>
          <w:rFonts w:ascii="Simplified Arabic" w:hAnsi="Simplified Arabic" w:cs="Simplified Arabic" w:hint="cs"/>
          <w:color w:val="000000" w:themeColor="text1"/>
          <w:rtl/>
          <w:lang w:val="en-US"/>
        </w:rPr>
        <w:t>الحقيقية للتنمية المحلية، مما ي</w:t>
      </w:r>
      <w:r w:rsidR="00C279F0" w:rsidRPr="00E23788">
        <w:rPr>
          <w:rFonts w:ascii="Simplified Arabic" w:hAnsi="Simplified Arabic" w:cs="Simplified Arabic" w:hint="cs"/>
          <w:color w:val="000000" w:themeColor="text1"/>
          <w:rtl/>
          <w:lang w:val="en-US"/>
        </w:rPr>
        <w:t xml:space="preserve">عزز </w:t>
      </w:r>
      <w:r w:rsidR="00E23788">
        <w:rPr>
          <w:rFonts w:ascii="Simplified Arabic" w:hAnsi="Simplified Arabic" w:cs="Simplified Arabic" w:hint="cs"/>
          <w:color w:val="000000" w:themeColor="text1"/>
          <w:rtl/>
          <w:lang w:val="en-US"/>
        </w:rPr>
        <w:t xml:space="preserve">من </w:t>
      </w:r>
      <w:r w:rsidR="00C279F0" w:rsidRPr="00E23788">
        <w:rPr>
          <w:rFonts w:ascii="Simplified Arabic" w:hAnsi="Simplified Arabic" w:cs="Simplified Arabic" w:hint="cs"/>
          <w:color w:val="000000" w:themeColor="text1"/>
          <w:rtl/>
          <w:lang w:val="en-US"/>
        </w:rPr>
        <w:t>كفاءة صنع القرار</w:t>
      </w:r>
      <w:r w:rsidR="00E23788">
        <w:rPr>
          <w:rFonts w:ascii="Simplified Arabic" w:hAnsi="Simplified Arabic" w:cs="Simplified Arabic" w:hint="cs"/>
          <w:color w:val="000000" w:themeColor="text1"/>
          <w:rtl/>
          <w:lang w:val="en-US"/>
        </w:rPr>
        <w:t>،</w:t>
      </w:r>
      <w:r w:rsidR="00C279F0" w:rsidRPr="00E23788">
        <w:rPr>
          <w:rFonts w:ascii="Simplified Arabic" w:hAnsi="Simplified Arabic" w:cs="Simplified Arabic" w:hint="cs"/>
          <w:color w:val="000000" w:themeColor="text1"/>
          <w:rtl/>
          <w:lang w:val="en-US"/>
        </w:rPr>
        <w:t xml:space="preserve"> بالتالي </w:t>
      </w:r>
      <w:r w:rsidR="00E23788" w:rsidRPr="00E23788">
        <w:rPr>
          <w:rFonts w:ascii="Simplified Arabic" w:hAnsi="Simplified Arabic" w:cs="Simplified Arabic" w:hint="cs"/>
          <w:color w:val="000000" w:themeColor="text1"/>
          <w:rtl/>
          <w:lang w:val="en-US"/>
        </w:rPr>
        <w:t>مساهمة السكان المحليين في رفع مستوى المرونة الحضرية.</w:t>
      </w:r>
      <w:r w:rsidR="00F735D4">
        <w:rPr>
          <w:rFonts w:ascii="Simplified Arabic" w:hAnsi="Simplified Arabic" w:cs="Simplified Arabic" w:hint="cs"/>
          <w:color w:val="000000" w:themeColor="text1"/>
          <w:rtl/>
          <w:lang w:val="en-US"/>
        </w:rPr>
        <w:t xml:space="preserve"> </w:t>
      </w:r>
      <w:r w:rsidR="00922EB8" w:rsidRPr="00B55B98">
        <w:rPr>
          <w:rFonts w:ascii="Simplified Arabic" w:hAnsi="Simplified Arabic" w:cs="Simplified Arabic" w:hint="cs"/>
          <w:rtl/>
          <w:lang w:val="en-US"/>
        </w:rPr>
        <w:t xml:space="preserve">من خلال </w:t>
      </w:r>
      <w:r w:rsidR="0080393A">
        <w:rPr>
          <w:rFonts w:ascii="Simplified Arabic" w:hAnsi="Simplified Arabic" w:cs="Simplified Arabic" w:hint="cs"/>
          <w:rtl/>
          <w:lang w:val="en-US"/>
        </w:rPr>
        <w:t>هذه النتائج</w:t>
      </w:r>
      <w:r w:rsidR="00922EB8" w:rsidRPr="00B55B98">
        <w:rPr>
          <w:rFonts w:ascii="Simplified Arabic" w:hAnsi="Simplified Arabic" w:cs="Simplified Arabic" w:hint="cs"/>
          <w:rtl/>
          <w:lang w:val="en-US"/>
        </w:rPr>
        <w:t xml:space="preserve">، </w:t>
      </w:r>
      <w:r w:rsidR="00B55B98" w:rsidRPr="00B55B98">
        <w:rPr>
          <w:rFonts w:ascii="Simplified Arabic" w:hAnsi="Simplified Arabic" w:cs="Simplified Arabic" w:hint="cs"/>
          <w:u w:val="single"/>
          <w:rtl/>
          <w:lang w:val="en-US"/>
        </w:rPr>
        <w:t>يمكن</w:t>
      </w:r>
      <w:r w:rsidR="00B55B98" w:rsidRPr="00B55B98">
        <w:rPr>
          <w:rFonts w:ascii="Simplified Arabic" w:hAnsi="Simplified Arabic" w:cs="Simplified Arabic" w:hint="cs"/>
          <w:u w:val="single"/>
          <w:rtl/>
        </w:rPr>
        <w:t xml:space="preserve"> اثبات صحة </w:t>
      </w:r>
      <w:r w:rsidR="00E219F2" w:rsidRPr="00B55B98">
        <w:rPr>
          <w:rFonts w:ascii="Simplified Arabic" w:hAnsi="Simplified Arabic" w:cs="Simplified Arabic" w:hint="cs"/>
          <w:u w:val="single"/>
          <w:rtl/>
        </w:rPr>
        <w:t xml:space="preserve">الشق </w:t>
      </w:r>
      <w:r w:rsidR="00A76358" w:rsidRPr="00B55B98">
        <w:rPr>
          <w:rFonts w:ascii="Simplified Arabic" w:hAnsi="Simplified Arabic" w:cs="Simplified Arabic" w:hint="cs"/>
          <w:u w:val="single"/>
          <w:rtl/>
        </w:rPr>
        <w:t>الثاني</w:t>
      </w:r>
      <w:r w:rsidR="00E219F2" w:rsidRPr="00B55B98">
        <w:rPr>
          <w:rFonts w:ascii="Simplified Arabic" w:hAnsi="Simplified Arabic" w:cs="Simplified Arabic" w:hint="cs"/>
          <w:u w:val="single"/>
          <w:rtl/>
        </w:rPr>
        <w:t xml:space="preserve"> من الفرضية التي تنص</w:t>
      </w:r>
      <w:r w:rsidR="00E219F2" w:rsidRPr="00B55B98">
        <w:rPr>
          <w:rFonts w:ascii="Simplified Arabic" w:hAnsi="Simplified Arabic" w:cs="Simplified Arabic" w:hint="cs"/>
          <w:u w:val="single"/>
          <w:rtl/>
          <w:lang w:val="en-US"/>
        </w:rPr>
        <w:t xml:space="preserve"> </w:t>
      </w:r>
      <w:r w:rsidR="00E219F2" w:rsidRPr="00B55B98">
        <w:rPr>
          <w:rFonts w:ascii="Simplified Arabic" w:hAnsi="Simplified Arabic" w:cs="Simplified Arabic" w:hint="cs"/>
          <w:u w:val="single"/>
          <w:rtl/>
        </w:rPr>
        <w:t>على انه</w:t>
      </w:r>
      <w:r w:rsidR="00B55B98" w:rsidRPr="00B55B98">
        <w:rPr>
          <w:rFonts w:ascii="Simplified Arabic" w:hAnsi="Simplified Arabic" w:cs="Simplified Arabic" w:hint="cs"/>
          <w:rtl/>
        </w:rPr>
        <w:t>:</w:t>
      </w:r>
      <w:r w:rsidR="00E219F2" w:rsidRPr="00B55B98">
        <w:rPr>
          <w:rFonts w:ascii="Simplified Arabic" w:hAnsi="Simplified Arabic" w:cs="Simplified Arabic" w:hint="cs"/>
          <w:rtl/>
          <w:lang w:val="en-US"/>
        </w:rPr>
        <w:t xml:space="preserve"> </w:t>
      </w:r>
      <w:r w:rsidR="0080393A">
        <w:rPr>
          <w:rFonts w:ascii="Simplified Arabic" w:hAnsi="Simplified Arabic" w:cs="Simplified Arabic" w:hint="cs"/>
          <w:color w:val="000000" w:themeColor="text1"/>
          <w:rtl/>
        </w:rPr>
        <w:t xml:space="preserve">يمكن الرفع من مستوى مرونة </w:t>
      </w:r>
      <w:r w:rsidR="0080393A">
        <w:rPr>
          <w:rFonts w:ascii="Simplified Arabic" w:hAnsi="Simplified Arabic" w:cs="Simplified Arabic" w:hint="cs"/>
          <w:rtl/>
          <w:lang w:val="en-US"/>
        </w:rPr>
        <w:t>مدينة بوسعادة</w:t>
      </w:r>
      <w:r w:rsidR="0080393A">
        <w:rPr>
          <w:rFonts w:ascii="Simplified Arabic" w:hAnsi="Simplified Arabic" w:cs="Simplified Arabic" w:hint="cs"/>
          <w:color w:val="000000" w:themeColor="text1"/>
          <w:rtl/>
        </w:rPr>
        <w:t xml:space="preserve"> من خلال </w:t>
      </w:r>
      <w:r w:rsidR="0080393A" w:rsidRPr="00A670D4">
        <w:rPr>
          <w:rFonts w:ascii="Simplified Arabic" w:hAnsi="Simplified Arabic" w:cs="Simplified Arabic" w:hint="cs"/>
          <w:color w:val="000000" w:themeColor="text1"/>
          <w:rtl/>
        </w:rPr>
        <w:t>التحقيق</w:t>
      </w:r>
      <w:r w:rsidR="0080393A" w:rsidRPr="00A670D4">
        <w:rPr>
          <w:rFonts w:ascii="Simplified Arabic" w:hAnsi="Simplified Arabic" w:cs="Simplified Arabic"/>
          <w:color w:val="000000" w:themeColor="text1"/>
          <w:rtl/>
        </w:rPr>
        <w:t xml:space="preserve"> </w:t>
      </w:r>
      <w:r w:rsidR="0080393A" w:rsidRPr="00A670D4">
        <w:rPr>
          <w:rFonts w:ascii="Simplified Arabic" w:hAnsi="Simplified Arabic" w:cs="Simplified Arabic" w:hint="cs"/>
          <w:color w:val="000000" w:themeColor="text1"/>
          <w:rtl/>
        </w:rPr>
        <w:t>في</w:t>
      </w:r>
      <w:r w:rsidR="0080393A" w:rsidRPr="00A670D4">
        <w:rPr>
          <w:rFonts w:ascii="Simplified Arabic" w:hAnsi="Simplified Arabic" w:cs="Simplified Arabic"/>
          <w:color w:val="000000" w:themeColor="text1"/>
          <w:rtl/>
        </w:rPr>
        <w:t xml:space="preserve"> </w:t>
      </w:r>
      <w:r w:rsidR="0080393A" w:rsidRPr="00A670D4">
        <w:rPr>
          <w:rFonts w:ascii="Simplified Arabic" w:hAnsi="Simplified Arabic" w:cs="Simplified Arabic" w:hint="cs"/>
          <w:color w:val="000000" w:themeColor="text1"/>
          <w:rtl/>
        </w:rPr>
        <w:t>تصورات</w:t>
      </w:r>
      <w:r w:rsidR="0080393A" w:rsidRPr="00A670D4">
        <w:rPr>
          <w:rFonts w:ascii="Simplified Arabic" w:hAnsi="Simplified Arabic" w:cs="Simplified Arabic"/>
          <w:color w:val="000000" w:themeColor="text1"/>
          <w:rtl/>
        </w:rPr>
        <w:t xml:space="preserve"> </w:t>
      </w:r>
      <w:r w:rsidR="0080393A" w:rsidRPr="00A670D4">
        <w:rPr>
          <w:rFonts w:ascii="Simplified Arabic" w:hAnsi="Simplified Arabic" w:cs="Simplified Arabic" w:hint="cs"/>
          <w:color w:val="000000" w:themeColor="text1"/>
          <w:rtl/>
        </w:rPr>
        <w:t>السكان المحليين حول اضطرابات الحصول على الخدمة</w:t>
      </w:r>
      <w:r w:rsidR="0080393A" w:rsidRPr="00E2157F">
        <w:rPr>
          <w:rFonts w:ascii="Simplified Arabic" w:hAnsi="Simplified Arabic" w:cs="Simplified Arabic"/>
          <w:rtl/>
          <w:lang w:bidi="ar-DZ"/>
        </w:rPr>
        <w:t>.</w:t>
      </w:r>
    </w:p>
    <w:p w:rsidR="00EE6A21" w:rsidRPr="00241BC3" w:rsidRDefault="0080393A" w:rsidP="000571E2">
      <w:pPr>
        <w:pStyle w:val="Paragraphedeliste"/>
        <w:numPr>
          <w:ilvl w:val="1"/>
          <w:numId w:val="243"/>
        </w:numPr>
        <w:tabs>
          <w:tab w:val="right" w:pos="567"/>
        </w:tabs>
        <w:bidi/>
        <w:spacing w:before="240" w:after="0" w:line="240" w:lineRule="auto"/>
        <w:ind w:left="0" w:firstLine="0"/>
        <w:outlineLvl w:val="1"/>
        <w:rPr>
          <w:rFonts w:ascii="Simplified Arabic" w:hAnsi="Simplified Arabic" w:cs="Simplified Arabic"/>
          <w:b/>
          <w:bCs/>
          <w:color w:val="000000" w:themeColor="text1"/>
          <w:sz w:val="24"/>
          <w:szCs w:val="24"/>
        </w:rPr>
      </w:pPr>
      <w:bookmarkStart w:id="988" w:name="_Toc171803905"/>
      <w:r>
        <w:rPr>
          <w:rFonts w:ascii="Simplified Arabic" w:hAnsi="Simplified Arabic" w:cs="Simplified Arabic" w:hint="cs"/>
          <w:b/>
          <w:bCs/>
          <w:color w:val="000000" w:themeColor="text1"/>
          <w:sz w:val="24"/>
          <w:szCs w:val="24"/>
          <w:rtl/>
        </w:rPr>
        <w:t xml:space="preserve">نتائج الكشف عن </w:t>
      </w:r>
      <w:r w:rsidR="00EE6A21" w:rsidRPr="00241BC3">
        <w:rPr>
          <w:rFonts w:ascii="Simplified Arabic" w:hAnsi="Simplified Arabic" w:cs="Simplified Arabic" w:hint="cs"/>
          <w:b/>
          <w:bCs/>
          <w:color w:val="000000" w:themeColor="text1"/>
          <w:sz w:val="24"/>
          <w:szCs w:val="24"/>
          <w:rtl/>
        </w:rPr>
        <w:t>توافر سمات</w:t>
      </w:r>
      <w:r w:rsidR="00EE6A21" w:rsidRPr="00241BC3">
        <w:rPr>
          <w:rFonts w:ascii="Simplified Arabic" w:hAnsi="Simplified Arabic" w:cs="Simplified Arabic"/>
          <w:b/>
          <w:bCs/>
          <w:color w:val="000000" w:themeColor="text1"/>
          <w:sz w:val="24"/>
          <w:szCs w:val="24"/>
          <w:rtl/>
        </w:rPr>
        <w:t xml:space="preserve"> </w:t>
      </w:r>
      <w:r w:rsidR="001B6385" w:rsidRPr="00241BC3">
        <w:rPr>
          <w:rFonts w:ascii="Simplified Arabic" w:hAnsi="Simplified Arabic" w:cs="Simplified Arabic" w:hint="cs"/>
          <w:b/>
          <w:bCs/>
          <w:color w:val="000000" w:themeColor="text1"/>
          <w:sz w:val="24"/>
          <w:szCs w:val="24"/>
          <w:rtl/>
        </w:rPr>
        <w:t xml:space="preserve">المرونة المكانية </w:t>
      </w:r>
      <w:r w:rsidR="000571E2">
        <w:rPr>
          <w:rFonts w:ascii="Simplified Arabic" w:hAnsi="Simplified Arabic" w:cs="Simplified Arabic" w:hint="cs"/>
          <w:b/>
          <w:bCs/>
          <w:color w:val="000000" w:themeColor="text1"/>
          <w:sz w:val="24"/>
          <w:szCs w:val="24"/>
          <w:rtl/>
        </w:rPr>
        <w:t>لأحياء</w:t>
      </w:r>
      <w:r w:rsidR="00D744C4" w:rsidRPr="00241BC3">
        <w:rPr>
          <w:rFonts w:ascii="Simplified Arabic" w:hAnsi="Simplified Arabic" w:cs="Simplified Arabic" w:hint="cs"/>
          <w:b/>
          <w:bCs/>
          <w:color w:val="000000" w:themeColor="text1"/>
          <w:sz w:val="24"/>
          <w:szCs w:val="24"/>
          <w:rtl/>
        </w:rPr>
        <w:t xml:space="preserve"> فئات الانسجة الحضرية لمدينة بوسعادة</w:t>
      </w:r>
      <w:r w:rsidR="00D744C4" w:rsidRPr="00241BC3">
        <w:rPr>
          <w:rFonts w:ascii="Simplified Arabic" w:hAnsi="Simplified Arabic" w:cs="Simplified Arabic"/>
          <w:b/>
          <w:bCs/>
          <w:color w:val="000000" w:themeColor="text1"/>
          <w:sz w:val="24"/>
          <w:szCs w:val="24"/>
          <w:rtl/>
        </w:rPr>
        <w:t>.</w:t>
      </w:r>
      <w:bookmarkEnd w:id="988"/>
      <w:r w:rsidR="00EE6A21" w:rsidRPr="00241BC3">
        <w:rPr>
          <w:rFonts w:ascii="Simplified Arabic" w:hAnsi="Simplified Arabic" w:cs="Simplified Arabic" w:hint="cs"/>
          <w:b/>
          <w:bCs/>
          <w:color w:val="000000" w:themeColor="text1"/>
          <w:sz w:val="24"/>
          <w:szCs w:val="24"/>
          <w:rtl/>
        </w:rPr>
        <w:t xml:space="preserve"> </w:t>
      </w:r>
    </w:p>
    <w:p w:rsidR="000A5BC5" w:rsidRDefault="00EE6A21" w:rsidP="000571E2">
      <w:pPr>
        <w:bidi/>
        <w:spacing w:after="0"/>
        <w:ind w:firstLine="283"/>
        <w:jc w:val="both"/>
        <w:rPr>
          <w:rFonts w:ascii="Simplified Arabic" w:hAnsi="Simplified Arabic" w:cs="Simplified Arabic"/>
          <w:sz w:val="24"/>
          <w:szCs w:val="24"/>
          <w:rtl/>
          <w:lang w:val="en-US" w:bidi="ar-DZ"/>
        </w:rPr>
      </w:pPr>
      <w:r w:rsidRPr="00FB0297">
        <w:rPr>
          <w:rFonts w:ascii="Simplified Arabic" w:hAnsi="Simplified Arabic" w:cs="Simplified Arabic" w:hint="cs"/>
          <w:sz w:val="24"/>
          <w:szCs w:val="24"/>
          <w:rtl/>
          <w:lang w:val="en-US" w:bidi="ar-DZ"/>
        </w:rPr>
        <w:t>يعتبر</w:t>
      </w:r>
      <w:r w:rsidRPr="00FB0297">
        <w:rPr>
          <w:rFonts w:ascii="Simplified Arabic" w:hAnsi="Simplified Arabic" w:cs="Simplified Arabic"/>
          <w:sz w:val="24"/>
          <w:szCs w:val="24"/>
          <w:rtl/>
          <w:lang w:val="en-US" w:bidi="ar-DZ"/>
        </w:rPr>
        <w:t xml:space="preserve"> </w:t>
      </w:r>
      <w:r w:rsidR="000571E2">
        <w:rPr>
          <w:rFonts w:ascii="Simplified Arabic" w:hAnsi="Simplified Arabic" w:cs="Simplified Arabic" w:hint="cs"/>
          <w:color w:val="0D0D0D"/>
          <w:sz w:val="24"/>
          <w:szCs w:val="24"/>
          <w:rtl/>
          <w:lang w:val="en-US"/>
        </w:rPr>
        <w:t>نموذج قياس القدرة على التكيف المكاني لمدينة بوسعادة</w:t>
      </w:r>
      <w:r w:rsidR="000571E2" w:rsidRPr="008801DF">
        <w:rPr>
          <w:rFonts w:ascii="Simplified Arabic" w:hAnsi="Simplified Arabic" w:cs="Simplified Arabic" w:hint="cs"/>
          <w:sz w:val="24"/>
          <w:szCs w:val="24"/>
          <w:rtl/>
        </w:rPr>
        <w:t xml:space="preserve"> </w:t>
      </w:r>
      <w:r w:rsidR="000571E2">
        <w:rPr>
          <w:rFonts w:ascii="Simplified Arabic" w:hAnsi="Simplified Arabic" w:cs="Simplified Arabic" w:hint="cs"/>
          <w:sz w:val="24"/>
          <w:szCs w:val="24"/>
          <w:rtl/>
          <w:lang w:val="en-US" w:bidi="ar-DZ"/>
        </w:rPr>
        <w:t>المقترح</w:t>
      </w:r>
      <w:r w:rsidRPr="00FB0297">
        <w:rPr>
          <w:rFonts w:ascii="Simplified Arabic" w:hAnsi="Simplified Arabic" w:cs="Simplified Arabic" w:hint="cs"/>
          <w:sz w:val="24"/>
          <w:szCs w:val="24"/>
          <w:rtl/>
          <w:lang w:val="en-US" w:bidi="ar-DZ"/>
        </w:rPr>
        <w:t>،</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محاولة</w:t>
      </w:r>
      <w:r w:rsidRPr="00FB0297">
        <w:rPr>
          <w:rFonts w:ascii="Simplified Arabic" w:hAnsi="Simplified Arabic" w:cs="Simplified Arabic"/>
          <w:sz w:val="24"/>
          <w:szCs w:val="24"/>
          <w:rtl/>
          <w:lang w:val="en-US" w:bidi="ar-DZ"/>
        </w:rPr>
        <w:t xml:space="preserve"> </w:t>
      </w:r>
      <w:r w:rsidR="00606DC3" w:rsidRPr="00FB0297">
        <w:rPr>
          <w:rFonts w:ascii="Simplified Arabic" w:hAnsi="Simplified Arabic" w:cs="Simplified Arabic" w:hint="cs"/>
          <w:sz w:val="24"/>
          <w:szCs w:val="24"/>
          <w:rtl/>
          <w:lang w:val="en-US" w:bidi="ar-DZ"/>
        </w:rPr>
        <w:t>لترجمة</w:t>
      </w:r>
      <w:r w:rsidR="00606DC3" w:rsidRPr="00FB0297">
        <w:rPr>
          <w:rFonts w:ascii="Simplified Arabic" w:hAnsi="Simplified Arabic" w:cs="Simplified Arabic"/>
          <w:sz w:val="24"/>
          <w:szCs w:val="24"/>
          <w:rtl/>
          <w:lang w:val="en-US" w:bidi="ar-DZ"/>
        </w:rPr>
        <w:t xml:space="preserve"> </w:t>
      </w:r>
      <w:r w:rsidR="00D744C4">
        <w:rPr>
          <w:rFonts w:ascii="Simplified Arabic" w:hAnsi="Simplified Arabic" w:cs="Simplified Arabic" w:hint="cs"/>
          <w:sz w:val="24"/>
          <w:szCs w:val="24"/>
          <w:rtl/>
          <w:lang w:val="en-US" w:bidi="ar-DZ"/>
        </w:rPr>
        <w:t xml:space="preserve">اهمية </w:t>
      </w:r>
      <w:r w:rsidR="00A40002">
        <w:rPr>
          <w:rFonts w:ascii="Simplified Arabic" w:hAnsi="Simplified Arabic" w:cs="Simplified Arabic" w:hint="cs"/>
          <w:sz w:val="24"/>
          <w:szCs w:val="24"/>
          <w:rtl/>
          <w:lang w:val="en-US" w:bidi="ar-DZ"/>
        </w:rPr>
        <w:t>التوزيع المكاني ل</w:t>
      </w:r>
      <w:r w:rsidR="00606DC3">
        <w:rPr>
          <w:rFonts w:ascii="Simplified Arabic" w:hAnsi="Simplified Arabic" w:cs="Simplified Arabic" w:hint="cs"/>
          <w:sz w:val="24"/>
          <w:szCs w:val="24"/>
          <w:rtl/>
          <w:lang w:val="en-US" w:bidi="ar-DZ"/>
        </w:rPr>
        <w:t>لمكونات</w:t>
      </w:r>
      <w:r w:rsidR="00AE6E2D">
        <w:rPr>
          <w:rFonts w:ascii="Simplified Arabic" w:hAnsi="Simplified Arabic" w:cs="Simplified Arabic" w:hint="cs"/>
          <w:sz w:val="24"/>
          <w:szCs w:val="24"/>
          <w:rtl/>
          <w:lang w:val="en-US" w:bidi="ar-DZ"/>
        </w:rPr>
        <w:t xml:space="preserve"> ال</w:t>
      </w:r>
      <w:r w:rsidRPr="00FB0297">
        <w:rPr>
          <w:rFonts w:ascii="Simplified Arabic" w:hAnsi="Simplified Arabic" w:cs="Simplified Arabic" w:hint="cs"/>
          <w:sz w:val="24"/>
          <w:szCs w:val="24"/>
          <w:rtl/>
          <w:lang w:val="en-US" w:bidi="ar-DZ"/>
        </w:rPr>
        <w:t>حضرية</w:t>
      </w:r>
      <w:r w:rsidRPr="00FB0297">
        <w:rPr>
          <w:rFonts w:ascii="Simplified Arabic" w:hAnsi="Simplified Arabic" w:cs="Simplified Arabic"/>
          <w:sz w:val="24"/>
          <w:szCs w:val="24"/>
          <w:rtl/>
          <w:lang w:val="en-US" w:bidi="ar-DZ"/>
        </w:rPr>
        <w:t xml:space="preserve"> </w:t>
      </w:r>
      <w:r w:rsidR="00652D31">
        <w:rPr>
          <w:rFonts w:ascii="Simplified Arabic" w:hAnsi="Simplified Arabic" w:cs="Simplified Arabic" w:hint="cs"/>
          <w:sz w:val="24"/>
          <w:szCs w:val="24"/>
          <w:rtl/>
          <w:lang w:val="en-US" w:bidi="ar-DZ"/>
        </w:rPr>
        <w:t>في تشكيل</w:t>
      </w:r>
      <w:r w:rsidR="00606DC3" w:rsidRPr="00FB0297">
        <w:rPr>
          <w:rFonts w:ascii="Simplified Arabic" w:hAnsi="Simplified Arabic" w:cs="Simplified Arabic"/>
          <w:sz w:val="24"/>
          <w:szCs w:val="24"/>
          <w:rtl/>
          <w:lang w:val="en-US" w:bidi="ar-DZ"/>
        </w:rPr>
        <w:t xml:space="preserve"> </w:t>
      </w:r>
      <w:r w:rsidR="00606DC3" w:rsidRPr="00FB0297">
        <w:rPr>
          <w:rFonts w:ascii="Simplified Arabic" w:hAnsi="Simplified Arabic" w:cs="Simplified Arabic" w:hint="cs"/>
          <w:sz w:val="24"/>
          <w:szCs w:val="24"/>
          <w:rtl/>
          <w:lang w:val="en-US" w:bidi="ar-DZ"/>
        </w:rPr>
        <w:t>سمات</w:t>
      </w:r>
      <w:r w:rsidR="00606DC3" w:rsidRPr="00FB0297">
        <w:rPr>
          <w:rFonts w:ascii="Simplified Arabic" w:hAnsi="Simplified Arabic" w:cs="Simplified Arabic"/>
          <w:sz w:val="24"/>
          <w:szCs w:val="24"/>
          <w:rtl/>
          <w:lang w:val="en-US" w:bidi="ar-DZ"/>
        </w:rPr>
        <w:t xml:space="preserve"> </w:t>
      </w:r>
      <w:r w:rsidR="00606DC3" w:rsidRPr="00FB0297">
        <w:rPr>
          <w:rFonts w:ascii="Simplified Arabic" w:hAnsi="Simplified Arabic" w:cs="Simplified Arabic" w:hint="cs"/>
          <w:sz w:val="24"/>
          <w:szCs w:val="24"/>
          <w:rtl/>
          <w:lang w:val="en-US" w:bidi="ar-DZ"/>
        </w:rPr>
        <w:t>المرونة</w:t>
      </w:r>
      <w:r w:rsidR="00606DC3" w:rsidRPr="00FB0297">
        <w:rPr>
          <w:rFonts w:ascii="Simplified Arabic" w:hAnsi="Simplified Arabic" w:cs="Simplified Arabic"/>
          <w:sz w:val="24"/>
          <w:szCs w:val="24"/>
          <w:rtl/>
          <w:lang w:val="en-US" w:bidi="ar-DZ"/>
        </w:rPr>
        <w:t xml:space="preserve"> </w:t>
      </w:r>
      <w:r w:rsidR="006E2733">
        <w:rPr>
          <w:rFonts w:ascii="Simplified Arabic" w:hAnsi="Simplified Arabic" w:cs="Simplified Arabic" w:hint="cs"/>
          <w:sz w:val="24"/>
          <w:szCs w:val="24"/>
          <w:rtl/>
          <w:lang w:val="en-US" w:bidi="ar-DZ"/>
        </w:rPr>
        <w:t xml:space="preserve">المكانية ضمن نطاق ضيق (على مستوى الحي السكني). </w:t>
      </w:r>
      <w:r w:rsidR="00606DC3">
        <w:rPr>
          <w:rFonts w:ascii="Simplified Arabic" w:hAnsi="Simplified Arabic" w:cs="Simplified Arabic" w:hint="cs"/>
          <w:sz w:val="24"/>
          <w:szCs w:val="24"/>
          <w:rtl/>
          <w:lang w:val="en-US" w:bidi="ar-DZ"/>
        </w:rPr>
        <w:t>بالتالي</w:t>
      </w:r>
      <w:r w:rsidRPr="00FB0297">
        <w:rPr>
          <w:rFonts w:ascii="Simplified Arabic" w:hAnsi="Simplified Arabic" w:cs="Simplified Arabic" w:hint="cs"/>
          <w:sz w:val="24"/>
          <w:szCs w:val="24"/>
          <w:rtl/>
          <w:lang w:val="en-US" w:bidi="ar-DZ"/>
        </w:rPr>
        <w:t>،</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فإن</w:t>
      </w:r>
      <w:r w:rsidR="00606DC3">
        <w:rPr>
          <w:rFonts w:ascii="Simplified Arabic" w:hAnsi="Simplified Arabic" w:cs="Simplified Arabic" w:hint="cs"/>
          <w:sz w:val="24"/>
          <w:szCs w:val="24"/>
          <w:rtl/>
          <w:lang w:val="en-US" w:bidi="ar-DZ"/>
        </w:rPr>
        <w:t xml:space="preserve"> </w:t>
      </w:r>
      <w:r w:rsidR="008801DF">
        <w:rPr>
          <w:rFonts w:ascii="Simplified Arabic" w:hAnsi="Simplified Arabic" w:cs="Simplified Arabic" w:hint="cs"/>
          <w:color w:val="0D0D0D"/>
          <w:sz w:val="24"/>
          <w:szCs w:val="24"/>
          <w:rtl/>
          <w:lang w:val="en-US"/>
        </w:rPr>
        <w:t>نموذج قياس القدرة على التكيف المكاني لمدينة بوسعادة</w:t>
      </w:r>
      <w:r w:rsidR="008801DF" w:rsidRPr="008801DF">
        <w:rPr>
          <w:rFonts w:ascii="Simplified Arabic" w:hAnsi="Simplified Arabic" w:cs="Simplified Arabic" w:hint="cs"/>
          <w:sz w:val="24"/>
          <w:szCs w:val="24"/>
          <w:rtl/>
        </w:rPr>
        <w:t xml:space="preserve"> </w:t>
      </w:r>
      <w:r w:rsidR="006E2733">
        <w:rPr>
          <w:rFonts w:ascii="Simplified Arabic" w:hAnsi="Simplified Arabic" w:cs="Simplified Arabic" w:hint="cs"/>
          <w:sz w:val="24"/>
          <w:szCs w:val="24"/>
          <w:rtl/>
          <w:lang w:val="en-US" w:bidi="ar-DZ"/>
        </w:rPr>
        <w:t xml:space="preserve">المقترح </w:t>
      </w:r>
      <w:r w:rsidRPr="00FB0297">
        <w:rPr>
          <w:rFonts w:ascii="Simplified Arabic" w:hAnsi="Simplified Arabic" w:cs="Simplified Arabic" w:hint="cs"/>
          <w:sz w:val="24"/>
          <w:szCs w:val="24"/>
          <w:rtl/>
          <w:lang w:val="en-US" w:bidi="ar-DZ"/>
        </w:rPr>
        <w:t>يوفر</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تصورًا</w:t>
      </w:r>
      <w:r w:rsidRPr="00FB0297">
        <w:rPr>
          <w:rFonts w:ascii="Simplified Arabic" w:hAnsi="Simplified Arabic" w:cs="Simplified Arabic"/>
          <w:sz w:val="24"/>
          <w:szCs w:val="24"/>
          <w:rtl/>
          <w:lang w:val="en-US" w:bidi="ar-DZ"/>
        </w:rPr>
        <w:t xml:space="preserve"> </w:t>
      </w:r>
      <w:r w:rsidR="00A40002">
        <w:rPr>
          <w:rFonts w:ascii="Simplified Arabic" w:hAnsi="Simplified Arabic" w:cs="Simplified Arabic" w:hint="cs"/>
          <w:sz w:val="24"/>
          <w:szCs w:val="24"/>
          <w:rtl/>
          <w:lang w:val="en-US" w:bidi="ar-DZ"/>
        </w:rPr>
        <w:t>واضحًا،</w:t>
      </w:r>
      <w:r w:rsidRPr="00FB0297">
        <w:rPr>
          <w:rFonts w:ascii="Simplified Arabic" w:hAnsi="Simplified Arabic" w:cs="Simplified Arabic"/>
          <w:sz w:val="24"/>
          <w:szCs w:val="24"/>
          <w:rtl/>
          <w:lang w:val="en-US" w:bidi="ar-DZ"/>
        </w:rPr>
        <w:t xml:space="preserve"> </w:t>
      </w:r>
      <w:r w:rsidR="00A40002">
        <w:rPr>
          <w:rFonts w:ascii="Simplified Arabic" w:hAnsi="Simplified Arabic" w:cs="Simplified Arabic" w:hint="cs"/>
          <w:sz w:val="24"/>
          <w:szCs w:val="24"/>
          <w:rtl/>
          <w:lang w:val="en-US" w:bidi="ar-DZ"/>
        </w:rPr>
        <w:t>ي</w:t>
      </w:r>
      <w:r w:rsidRPr="00FB0297">
        <w:rPr>
          <w:rFonts w:ascii="Simplified Arabic" w:hAnsi="Simplified Arabic" w:cs="Simplified Arabic" w:hint="cs"/>
          <w:sz w:val="24"/>
          <w:szCs w:val="24"/>
          <w:rtl/>
          <w:lang w:val="en-US" w:bidi="ar-DZ"/>
        </w:rPr>
        <w:t>تمحور</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حول</w:t>
      </w:r>
      <w:r w:rsidRPr="00FB0297">
        <w:rPr>
          <w:rFonts w:ascii="Simplified Arabic" w:hAnsi="Simplified Arabic" w:cs="Simplified Arabic"/>
          <w:sz w:val="24"/>
          <w:szCs w:val="24"/>
          <w:rtl/>
          <w:lang w:val="en-US" w:bidi="ar-DZ"/>
        </w:rPr>
        <w:t xml:space="preserve"> </w:t>
      </w:r>
      <w:r w:rsidR="00787A8D">
        <w:rPr>
          <w:rFonts w:ascii="Simplified Arabic" w:hAnsi="Simplified Arabic" w:cs="Simplified Arabic" w:hint="cs"/>
          <w:sz w:val="24"/>
          <w:szCs w:val="24"/>
          <w:rtl/>
          <w:lang w:val="en-US" w:bidi="ar-DZ"/>
        </w:rPr>
        <w:t xml:space="preserve">تشكيل </w:t>
      </w:r>
      <w:r w:rsidRPr="00FB0297">
        <w:rPr>
          <w:rFonts w:ascii="Simplified Arabic" w:hAnsi="Simplified Arabic" w:cs="Simplified Arabic" w:hint="cs"/>
          <w:sz w:val="24"/>
          <w:szCs w:val="24"/>
          <w:rtl/>
          <w:lang w:val="en-US" w:bidi="ar-DZ"/>
        </w:rPr>
        <w:t>السمات</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الأساسية</w:t>
      </w:r>
      <w:r w:rsidRPr="00FB0297">
        <w:rPr>
          <w:rFonts w:ascii="Simplified Arabic" w:hAnsi="Simplified Arabic" w:cs="Simplified Arabic"/>
          <w:sz w:val="24"/>
          <w:szCs w:val="24"/>
          <w:rtl/>
          <w:lang w:val="en-US" w:bidi="ar-DZ"/>
        </w:rPr>
        <w:t xml:space="preserve"> </w:t>
      </w:r>
      <w:r w:rsidR="00D45DC1">
        <w:rPr>
          <w:rFonts w:ascii="Simplified Arabic" w:hAnsi="Simplified Arabic" w:cs="Simplified Arabic" w:hint="cs"/>
          <w:sz w:val="24"/>
          <w:szCs w:val="24"/>
          <w:rtl/>
          <w:lang w:val="en-US" w:bidi="ar-DZ"/>
        </w:rPr>
        <w:t>الاربعة</w:t>
      </w:r>
      <w:r w:rsidRPr="00FB0297">
        <w:rPr>
          <w:rFonts w:ascii="Simplified Arabic" w:hAnsi="Simplified Arabic" w:cs="Simplified Arabic"/>
          <w:sz w:val="24"/>
          <w:szCs w:val="24"/>
          <w:rtl/>
          <w:lang w:val="en-US" w:bidi="ar-DZ"/>
        </w:rPr>
        <w:t xml:space="preserve"> </w:t>
      </w:r>
      <w:r w:rsidR="00AE6E2D">
        <w:rPr>
          <w:rFonts w:ascii="Simplified Arabic" w:hAnsi="Simplified Arabic" w:cs="Simplified Arabic" w:hint="cs"/>
          <w:sz w:val="24"/>
          <w:szCs w:val="24"/>
          <w:rtl/>
          <w:lang w:val="en-US" w:bidi="ar-DZ"/>
        </w:rPr>
        <w:t>للكثافة، ا</w:t>
      </w:r>
      <w:r w:rsidRPr="00FB0297">
        <w:rPr>
          <w:rFonts w:ascii="Simplified Arabic" w:hAnsi="Simplified Arabic" w:cs="Simplified Arabic" w:hint="cs"/>
          <w:sz w:val="24"/>
          <w:szCs w:val="24"/>
          <w:rtl/>
          <w:lang w:val="en-US" w:bidi="ar-DZ"/>
        </w:rPr>
        <w:t>لتنوع</w:t>
      </w:r>
      <w:r w:rsidR="00AE6E2D">
        <w:rPr>
          <w:rFonts w:ascii="Simplified Arabic" w:hAnsi="Simplified Arabic" w:cs="Simplified Arabic" w:hint="cs"/>
          <w:sz w:val="24"/>
          <w:szCs w:val="24"/>
          <w:rtl/>
          <w:lang w:val="en-US" w:bidi="ar-DZ"/>
        </w:rPr>
        <w:t>،</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الاتصال</w:t>
      </w:r>
      <w:r w:rsidR="00C23656">
        <w:rPr>
          <w:rFonts w:ascii="Simplified Arabic" w:hAnsi="Simplified Arabic" w:cs="Simplified Arabic" w:hint="cs"/>
          <w:sz w:val="24"/>
          <w:szCs w:val="24"/>
          <w:rtl/>
          <w:lang w:val="en-US" w:bidi="ar-DZ"/>
        </w:rPr>
        <w:t>ية</w:t>
      </w:r>
      <w:r w:rsidRPr="00FB0297">
        <w:rPr>
          <w:rFonts w:ascii="Simplified Arabic" w:hAnsi="Simplified Arabic" w:cs="Simplified Arabic"/>
          <w:sz w:val="24"/>
          <w:szCs w:val="24"/>
          <w:rtl/>
          <w:lang w:val="en-US" w:bidi="ar-DZ"/>
        </w:rPr>
        <w:t xml:space="preserve"> </w:t>
      </w:r>
      <w:r w:rsidRPr="00FB0297">
        <w:rPr>
          <w:rFonts w:ascii="Simplified Arabic" w:hAnsi="Simplified Arabic" w:cs="Simplified Arabic" w:hint="cs"/>
          <w:sz w:val="24"/>
          <w:szCs w:val="24"/>
          <w:rtl/>
          <w:lang w:val="en-US" w:bidi="ar-DZ"/>
        </w:rPr>
        <w:t>والتكرار</w:t>
      </w:r>
      <w:r w:rsidR="006E2733">
        <w:rPr>
          <w:rFonts w:ascii="Simplified Arabic" w:hAnsi="Simplified Arabic" w:cs="Simplified Arabic" w:hint="cs"/>
          <w:sz w:val="24"/>
          <w:szCs w:val="24"/>
          <w:rtl/>
          <w:lang w:val="en-US" w:bidi="ar-DZ"/>
        </w:rPr>
        <w:t>،</w:t>
      </w:r>
      <w:r w:rsidR="00694962">
        <w:rPr>
          <w:rFonts w:ascii="Simplified Arabic" w:hAnsi="Simplified Arabic" w:cs="Simplified Arabic" w:hint="cs"/>
          <w:sz w:val="24"/>
          <w:szCs w:val="24"/>
          <w:rtl/>
          <w:lang w:val="en-US" w:bidi="ar-DZ"/>
        </w:rPr>
        <w:t xml:space="preserve"> </w:t>
      </w:r>
      <w:r w:rsidR="00BC5890">
        <w:rPr>
          <w:rFonts w:ascii="Simplified Arabic" w:hAnsi="Simplified Arabic" w:cs="Simplified Arabic" w:hint="cs"/>
          <w:sz w:val="24"/>
          <w:szCs w:val="24"/>
          <w:rtl/>
          <w:lang w:val="en-US" w:bidi="ar-DZ"/>
        </w:rPr>
        <w:t xml:space="preserve">لقياس </w:t>
      </w:r>
      <w:r w:rsidR="0080393A">
        <w:rPr>
          <w:rFonts w:ascii="Simplified Arabic" w:hAnsi="Simplified Arabic" w:cs="Simplified Arabic" w:hint="cs"/>
          <w:sz w:val="24"/>
          <w:szCs w:val="24"/>
          <w:rtl/>
          <w:lang w:val="en-US" w:bidi="ar-DZ"/>
        </w:rPr>
        <w:t>قدرة التكيف المكاني</w:t>
      </w:r>
      <w:r w:rsidR="008801DF">
        <w:rPr>
          <w:rFonts w:ascii="Simplified Arabic" w:hAnsi="Simplified Arabic" w:cs="Simplified Arabic" w:hint="cs"/>
          <w:sz w:val="24"/>
          <w:szCs w:val="24"/>
          <w:rtl/>
          <w:lang w:val="en-US" w:bidi="ar-DZ"/>
        </w:rPr>
        <w:t xml:space="preserve"> </w:t>
      </w:r>
      <w:r w:rsidR="008801DF" w:rsidRPr="00AB37A0">
        <w:rPr>
          <w:rFonts w:ascii="Simplified Arabic" w:hAnsi="Simplified Arabic" w:cs="Simplified Arabic" w:hint="cs"/>
          <w:sz w:val="24"/>
          <w:szCs w:val="24"/>
          <w:rtl/>
        </w:rPr>
        <w:t>لاستيعاب</w:t>
      </w:r>
      <w:r w:rsidR="008801DF" w:rsidRPr="00AB37A0">
        <w:rPr>
          <w:rFonts w:ascii="Simplified Arabic" w:hAnsi="Simplified Arabic" w:cs="Simplified Arabic"/>
          <w:sz w:val="24"/>
          <w:szCs w:val="24"/>
          <w:rtl/>
        </w:rPr>
        <w:t xml:space="preserve"> </w:t>
      </w:r>
      <w:r w:rsidR="008801DF" w:rsidRPr="00AB37A0">
        <w:rPr>
          <w:rFonts w:ascii="Simplified Arabic" w:hAnsi="Simplified Arabic" w:cs="Simplified Arabic" w:hint="cs"/>
          <w:sz w:val="24"/>
          <w:szCs w:val="24"/>
          <w:rtl/>
        </w:rPr>
        <w:t>المخاطر</w:t>
      </w:r>
      <w:r w:rsidR="008801DF">
        <w:rPr>
          <w:rFonts w:ascii="Simplified Arabic" w:hAnsi="Simplified Arabic" w:cs="Simplified Arabic" w:hint="cs"/>
          <w:sz w:val="24"/>
          <w:szCs w:val="24"/>
          <w:rtl/>
          <w:lang w:val="en-US" w:bidi="ar-DZ"/>
        </w:rPr>
        <w:t xml:space="preserve"> عبر أحياء </w:t>
      </w:r>
      <w:r w:rsidR="008801DF" w:rsidRPr="00173F7F">
        <w:rPr>
          <w:rFonts w:ascii="Simplified Arabic" w:hAnsi="Simplified Arabic" w:cs="Simplified Arabic" w:hint="cs"/>
          <w:sz w:val="24"/>
          <w:szCs w:val="24"/>
          <w:rtl/>
          <w:lang w:val="en-US" w:bidi="ar-DZ"/>
        </w:rPr>
        <w:t xml:space="preserve">فئات الانسجة الحضرية </w:t>
      </w:r>
      <w:r w:rsidR="008801DF">
        <w:rPr>
          <w:rFonts w:ascii="Simplified Arabic" w:hAnsi="Simplified Arabic" w:cs="Simplified Arabic" w:hint="cs"/>
          <w:sz w:val="24"/>
          <w:szCs w:val="24"/>
          <w:rtl/>
          <w:lang w:val="en-US" w:bidi="ar-DZ"/>
        </w:rPr>
        <w:t xml:space="preserve">الاربعة </w:t>
      </w:r>
      <w:r w:rsidR="008801DF" w:rsidRPr="00173F7F">
        <w:rPr>
          <w:rFonts w:ascii="Simplified Arabic" w:hAnsi="Simplified Arabic" w:cs="Simplified Arabic" w:hint="cs"/>
          <w:sz w:val="24"/>
          <w:szCs w:val="24"/>
          <w:rtl/>
          <w:lang w:val="en-US" w:bidi="ar-DZ"/>
        </w:rPr>
        <w:t>لمدينة بوسعادة</w:t>
      </w:r>
      <w:r w:rsidR="008801DF">
        <w:rPr>
          <w:rFonts w:ascii="Simplified Arabic" w:hAnsi="Simplified Arabic" w:cs="Simplified Arabic" w:hint="cs"/>
          <w:sz w:val="24"/>
          <w:szCs w:val="24"/>
          <w:rtl/>
          <w:lang w:val="en-US" w:bidi="ar-DZ"/>
        </w:rPr>
        <w:t xml:space="preserve">. حيث </w:t>
      </w:r>
      <w:r w:rsidR="00BC5890">
        <w:rPr>
          <w:rFonts w:ascii="Simplified Arabic" w:hAnsi="Simplified Arabic" w:cs="Simplified Arabic" w:hint="cs"/>
          <w:sz w:val="24"/>
          <w:szCs w:val="24"/>
          <w:rtl/>
          <w:lang w:val="en-US" w:bidi="ar-DZ"/>
        </w:rPr>
        <w:t>اظهرت الاحياء ما يلي</w:t>
      </w:r>
      <w:r w:rsidR="000A5BC5" w:rsidRPr="00787A8D">
        <w:rPr>
          <w:rFonts w:ascii="Simplified Arabic" w:hAnsi="Simplified Arabic" w:cs="Simplified Arabic" w:hint="cs"/>
          <w:sz w:val="24"/>
          <w:szCs w:val="24"/>
          <w:rtl/>
          <w:lang w:val="en-US" w:bidi="ar-DZ"/>
        </w:rPr>
        <w:t>:</w:t>
      </w:r>
    </w:p>
    <w:p w:rsidR="00B70579" w:rsidRDefault="000A5BC5" w:rsidP="00C1672B">
      <w:pPr>
        <w:bidi/>
        <w:spacing w:after="0"/>
        <w:ind w:firstLine="283"/>
        <w:jc w:val="both"/>
        <w:rPr>
          <w:rFonts w:ascii="Simplified Arabic" w:hAnsi="Simplified Arabic" w:cs="Simplified Arabic"/>
          <w:sz w:val="24"/>
          <w:szCs w:val="24"/>
          <w:rtl/>
          <w:lang w:val="en-US" w:bidi="ar-DZ"/>
        </w:rPr>
      </w:pPr>
      <w:r w:rsidRPr="00787A8D">
        <w:rPr>
          <w:rFonts w:ascii="Simplified Arabic" w:hAnsi="Simplified Arabic" w:cs="Simplified Arabic" w:hint="cs"/>
          <w:sz w:val="24"/>
          <w:szCs w:val="24"/>
          <w:u w:val="single"/>
          <w:rtl/>
          <w:lang w:val="en-US" w:bidi="ar-DZ"/>
        </w:rPr>
        <w:t>من</w:t>
      </w:r>
      <w:r w:rsidRPr="00787A8D">
        <w:rPr>
          <w:rFonts w:ascii="Simplified Arabic" w:hAnsi="Simplified Arabic" w:cs="Simplified Arabic"/>
          <w:sz w:val="24"/>
          <w:szCs w:val="24"/>
          <w:u w:val="single"/>
          <w:rtl/>
          <w:lang w:val="en-US" w:bidi="ar-DZ"/>
        </w:rPr>
        <w:t xml:space="preserve"> </w:t>
      </w:r>
      <w:r w:rsidRPr="00787A8D">
        <w:rPr>
          <w:rFonts w:ascii="Simplified Arabic" w:hAnsi="Simplified Arabic" w:cs="Simplified Arabic" w:hint="cs"/>
          <w:sz w:val="24"/>
          <w:szCs w:val="24"/>
          <w:u w:val="single"/>
          <w:rtl/>
          <w:lang w:val="en-US" w:bidi="ar-DZ"/>
        </w:rPr>
        <w:t>حيث</w:t>
      </w:r>
      <w:r w:rsidRPr="00787A8D">
        <w:rPr>
          <w:rFonts w:ascii="Simplified Arabic" w:hAnsi="Simplified Arabic" w:cs="Simplified Arabic"/>
          <w:sz w:val="24"/>
          <w:szCs w:val="24"/>
          <w:u w:val="single"/>
          <w:rtl/>
          <w:lang w:val="en-US" w:bidi="ar-DZ"/>
        </w:rPr>
        <w:t xml:space="preserve"> </w:t>
      </w:r>
      <w:r w:rsidRPr="00787A8D">
        <w:rPr>
          <w:rFonts w:ascii="Simplified Arabic" w:hAnsi="Simplified Arabic" w:cs="Simplified Arabic" w:hint="cs"/>
          <w:sz w:val="24"/>
          <w:szCs w:val="24"/>
          <w:u w:val="single"/>
          <w:rtl/>
          <w:lang w:val="en-US" w:bidi="ar-DZ"/>
        </w:rPr>
        <w:t>الكثافة</w:t>
      </w:r>
      <w:r w:rsidRPr="00AE0657">
        <w:rPr>
          <w:rFonts w:ascii="Simplified Arabic" w:hAnsi="Simplified Arabic" w:cs="Simplified Arabic" w:hint="cs"/>
          <w:sz w:val="24"/>
          <w:szCs w:val="24"/>
          <w:rtl/>
          <w:lang w:val="en-US" w:bidi="ar-DZ"/>
        </w:rPr>
        <w:t>،</w:t>
      </w:r>
      <w:r w:rsidRPr="00AE0657">
        <w:rPr>
          <w:rFonts w:ascii="Simplified Arabic" w:hAnsi="Simplified Arabic" w:cs="Simplified Arabic"/>
          <w:sz w:val="24"/>
          <w:szCs w:val="24"/>
          <w:rtl/>
          <w:lang w:val="en-US" w:bidi="ar-DZ"/>
        </w:rPr>
        <w:t xml:space="preserve"> </w:t>
      </w:r>
      <w:r w:rsidR="006A7D73">
        <w:rPr>
          <w:rFonts w:ascii="Simplified Arabic" w:hAnsi="Simplified Arabic" w:cs="Simplified Arabic" w:hint="cs"/>
          <w:sz w:val="24"/>
          <w:szCs w:val="24"/>
          <w:rtl/>
          <w:lang w:val="en-US" w:bidi="ar-DZ"/>
        </w:rPr>
        <w:t>ي</w:t>
      </w:r>
      <w:r w:rsidRPr="00AE0657">
        <w:rPr>
          <w:rFonts w:ascii="Simplified Arabic" w:hAnsi="Simplified Arabic" w:cs="Simplified Arabic" w:hint="cs"/>
          <w:sz w:val="24"/>
          <w:szCs w:val="24"/>
          <w:rtl/>
          <w:lang w:val="en-US" w:bidi="ar-DZ"/>
        </w:rPr>
        <w:t>ُظهر</w:t>
      </w:r>
      <w:r w:rsidRPr="00AE0657">
        <w:rPr>
          <w:rFonts w:ascii="Simplified Arabic" w:hAnsi="Simplified Arabic" w:cs="Simplified Arabic"/>
          <w:sz w:val="24"/>
          <w:szCs w:val="24"/>
          <w:rtl/>
          <w:lang w:val="en-US" w:bidi="ar-DZ"/>
        </w:rPr>
        <w:t xml:space="preserve"> </w:t>
      </w:r>
      <w:r w:rsidR="008801DF" w:rsidRPr="00AE0657">
        <w:rPr>
          <w:rFonts w:ascii="Simplified Arabic" w:hAnsi="Simplified Arabic" w:cs="Simplified Arabic" w:hint="cs"/>
          <w:sz w:val="24"/>
          <w:szCs w:val="24"/>
          <w:rtl/>
          <w:lang w:val="en-US" w:bidi="ar-DZ"/>
        </w:rPr>
        <w:t>تحليل</w:t>
      </w:r>
      <w:r w:rsidR="008801DF" w:rsidRPr="00173F7F">
        <w:rPr>
          <w:rFonts w:ascii="Simplified Arabic" w:hAnsi="Simplified Arabic" w:cs="Simplified Arabic" w:hint="cs"/>
          <w:sz w:val="24"/>
          <w:szCs w:val="24"/>
          <w:rtl/>
          <w:lang w:val="en-US" w:bidi="ar-DZ"/>
        </w:rPr>
        <w:t xml:space="preserve"> </w:t>
      </w:r>
      <w:r w:rsidR="003337FD">
        <w:rPr>
          <w:rFonts w:ascii="Simplified Arabic" w:hAnsi="Simplified Arabic" w:cs="Simplified Arabic" w:hint="cs"/>
          <w:sz w:val="24"/>
          <w:szCs w:val="24"/>
          <w:rtl/>
        </w:rPr>
        <w:t>استعمال</w:t>
      </w:r>
      <w:r w:rsidR="008801DF">
        <w:rPr>
          <w:rFonts w:ascii="Simplified Arabic" w:hAnsi="Simplified Arabic" w:cs="Simplified Arabic" w:hint="cs"/>
          <w:sz w:val="24"/>
          <w:szCs w:val="24"/>
          <w:rtl/>
        </w:rPr>
        <w:t>ات</w:t>
      </w:r>
      <w:r w:rsidR="00606DC3">
        <w:rPr>
          <w:rFonts w:ascii="Simplified Arabic" w:hAnsi="Simplified Arabic" w:cs="Simplified Arabic" w:hint="cs"/>
          <w:sz w:val="24"/>
          <w:szCs w:val="24"/>
          <w:rtl/>
          <w:lang w:val="en-US" w:bidi="ar-DZ"/>
        </w:rPr>
        <w:t xml:space="preserve"> الار</w:t>
      </w:r>
      <w:r w:rsidR="008801DF">
        <w:rPr>
          <w:rFonts w:ascii="Simplified Arabic" w:hAnsi="Simplified Arabic" w:cs="Simplified Arabic" w:hint="cs"/>
          <w:sz w:val="24"/>
          <w:szCs w:val="24"/>
          <w:rtl/>
          <w:lang w:val="en-US" w:bidi="ar-DZ"/>
        </w:rPr>
        <w:t>ا</w:t>
      </w:r>
      <w:r w:rsidR="00606DC3">
        <w:rPr>
          <w:rFonts w:ascii="Simplified Arabic" w:hAnsi="Simplified Arabic" w:cs="Simplified Arabic" w:hint="cs"/>
          <w:sz w:val="24"/>
          <w:szCs w:val="24"/>
          <w:rtl/>
          <w:lang w:val="en-US" w:bidi="ar-DZ"/>
        </w:rPr>
        <w:t>ض</w:t>
      </w:r>
      <w:r w:rsidR="008801DF">
        <w:rPr>
          <w:rFonts w:ascii="Simplified Arabic" w:hAnsi="Simplified Arabic" w:cs="Simplified Arabic" w:hint="cs"/>
          <w:sz w:val="24"/>
          <w:szCs w:val="24"/>
          <w:rtl/>
          <w:lang w:val="en-US" w:bidi="ar-DZ"/>
        </w:rPr>
        <w:t>ي</w:t>
      </w:r>
      <w:r w:rsidR="00606DC3">
        <w:rPr>
          <w:rFonts w:ascii="Simplified Arabic" w:hAnsi="Simplified Arabic" w:cs="Simplified Arabic" w:hint="cs"/>
          <w:sz w:val="24"/>
          <w:szCs w:val="24"/>
          <w:rtl/>
          <w:lang w:val="en-US" w:bidi="ar-DZ"/>
        </w:rPr>
        <w:t xml:space="preserve"> ضمن </w:t>
      </w:r>
      <w:r w:rsidR="0080393A">
        <w:rPr>
          <w:rFonts w:ascii="Simplified Arabic" w:hAnsi="Simplified Arabic" w:cs="Simplified Arabic" w:hint="cs"/>
          <w:sz w:val="24"/>
          <w:szCs w:val="24"/>
          <w:rtl/>
          <w:lang w:val="en-US" w:bidi="ar-DZ"/>
        </w:rPr>
        <w:t>اح</w:t>
      </w:r>
      <w:r w:rsidR="008801DF">
        <w:rPr>
          <w:rFonts w:ascii="Simplified Arabic" w:hAnsi="Simplified Arabic" w:cs="Simplified Arabic" w:hint="cs"/>
          <w:sz w:val="24"/>
          <w:szCs w:val="24"/>
          <w:rtl/>
          <w:lang w:val="en-US" w:bidi="ar-DZ"/>
        </w:rPr>
        <w:t>ي</w:t>
      </w:r>
      <w:r w:rsidR="0080393A">
        <w:rPr>
          <w:rFonts w:ascii="Simplified Arabic" w:hAnsi="Simplified Arabic" w:cs="Simplified Arabic" w:hint="cs"/>
          <w:sz w:val="24"/>
          <w:szCs w:val="24"/>
          <w:rtl/>
          <w:lang w:val="en-US" w:bidi="ar-DZ"/>
        </w:rPr>
        <w:t xml:space="preserve">اء </w:t>
      </w:r>
      <w:r w:rsidR="00173F7F" w:rsidRPr="00173F7F">
        <w:rPr>
          <w:rFonts w:ascii="Simplified Arabic" w:hAnsi="Simplified Arabic" w:cs="Simplified Arabic" w:hint="cs"/>
          <w:sz w:val="24"/>
          <w:szCs w:val="24"/>
          <w:rtl/>
          <w:lang w:val="en-US" w:bidi="ar-DZ"/>
        </w:rPr>
        <w:t xml:space="preserve">فئات الانسجة الحضرية </w:t>
      </w:r>
      <w:r w:rsidR="00173F7F">
        <w:rPr>
          <w:rFonts w:ascii="Simplified Arabic" w:hAnsi="Simplified Arabic" w:cs="Simplified Arabic" w:hint="cs"/>
          <w:sz w:val="24"/>
          <w:szCs w:val="24"/>
          <w:rtl/>
          <w:lang w:val="en-US" w:bidi="ar-DZ"/>
        </w:rPr>
        <w:t xml:space="preserve">الاربعة </w:t>
      </w:r>
      <w:r w:rsidR="00173F7F" w:rsidRPr="00173F7F">
        <w:rPr>
          <w:rFonts w:ascii="Simplified Arabic" w:hAnsi="Simplified Arabic" w:cs="Simplified Arabic" w:hint="cs"/>
          <w:sz w:val="24"/>
          <w:szCs w:val="24"/>
          <w:rtl/>
          <w:lang w:val="en-US" w:bidi="ar-DZ"/>
        </w:rPr>
        <w:t>لمدينة بوسعادة</w:t>
      </w:r>
      <w:r w:rsidR="00B70579">
        <w:rPr>
          <w:rFonts w:ascii="Simplified Arabic" w:hAnsi="Simplified Arabic" w:cs="Simplified Arabic" w:hint="cs"/>
          <w:sz w:val="24"/>
          <w:szCs w:val="24"/>
          <w:rtl/>
          <w:lang w:val="en-US" w:bidi="ar-DZ"/>
        </w:rPr>
        <w:t>،</w:t>
      </w:r>
      <w:r w:rsidR="00173F7F">
        <w:rPr>
          <w:rFonts w:ascii="Simplified Arabic" w:hAnsi="Simplified Arabic" w:cs="Simplified Arabic" w:hint="cs"/>
          <w:sz w:val="24"/>
          <w:szCs w:val="24"/>
          <w:rtl/>
          <w:lang w:val="en-US" w:bidi="ar-DZ"/>
        </w:rPr>
        <w:t xml:space="preserve"> تباينات من حيث كثافة البناء</w:t>
      </w:r>
      <w:r w:rsidR="00B70579">
        <w:rPr>
          <w:rFonts w:ascii="Simplified Arabic" w:hAnsi="Simplified Arabic" w:cs="Simplified Arabic" w:hint="cs"/>
          <w:sz w:val="24"/>
          <w:szCs w:val="24"/>
          <w:rtl/>
          <w:lang w:val="en-US" w:bidi="ar-DZ"/>
        </w:rPr>
        <w:t>،</w:t>
      </w:r>
      <w:r w:rsidRPr="00AE0657">
        <w:rPr>
          <w:rFonts w:ascii="Simplified Arabic" w:hAnsi="Simplified Arabic" w:cs="Simplified Arabic"/>
          <w:sz w:val="24"/>
          <w:szCs w:val="24"/>
          <w:rtl/>
          <w:lang w:val="en-US" w:bidi="ar-DZ"/>
        </w:rPr>
        <w:t xml:space="preserve"> </w:t>
      </w:r>
      <w:r w:rsidR="00B70579">
        <w:rPr>
          <w:rFonts w:ascii="Simplified Arabic" w:hAnsi="Simplified Arabic" w:cs="Simplified Arabic" w:hint="cs"/>
          <w:sz w:val="24"/>
          <w:szCs w:val="24"/>
          <w:rtl/>
          <w:lang w:val="en-US" w:bidi="ar-DZ"/>
        </w:rPr>
        <w:t xml:space="preserve">بدليل </w:t>
      </w:r>
      <w:r w:rsidR="00E56528">
        <w:rPr>
          <w:rFonts w:ascii="Simplified Arabic" w:hAnsi="Simplified Arabic" w:cs="Simplified Arabic" w:hint="cs"/>
          <w:sz w:val="24"/>
          <w:szCs w:val="24"/>
          <w:rtl/>
          <w:lang w:val="en-US" w:bidi="ar-DZ"/>
        </w:rPr>
        <w:t>نتائج مقياس النسبة بين مسافة شبكة الطرق (المشاة) والمسافة الاقليدية</w:t>
      </w:r>
      <w:r w:rsidR="00E56528" w:rsidRPr="009501BE">
        <w:rPr>
          <w:rFonts w:ascii="Simplified Arabic" w:hAnsi="Simplified Arabic" w:cs="Simplified Arabic" w:hint="cs"/>
          <w:sz w:val="24"/>
          <w:szCs w:val="24"/>
          <w:rtl/>
          <w:lang w:val="en-US" w:bidi="ar-DZ"/>
        </w:rPr>
        <w:t xml:space="preserve">، تبين ان هناك </w:t>
      </w:r>
      <w:r w:rsidR="006A7D73">
        <w:rPr>
          <w:rFonts w:ascii="Simplified Arabic" w:hAnsi="Simplified Arabic" w:cs="Simplified Arabic" w:hint="cs"/>
          <w:sz w:val="24"/>
          <w:szCs w:val="24"/>
          <w:rtl/>
          <w:lang w:val="en-US" w:bidi="ar-DZ"/>
        </w:rPr>
        <w:t>اختلاف</w:t>
      </w:r>
      <w:r w:rsidR="00E56528" w:rsidRPr="009501BE">
        <w:rPr>
          <w:rFonts w:ascii="Simplified Arabic" w:hAnsi="Simplified Arabic" w:cs="Simplified Arabic" w:hint="cs"/>
          <w:sz w:val="24"/>
          <w:szCs w:val="24"/>
          <w:rtl/>
          <w:lang w:val="en-US" w:bidi="ar-DZ"/>
        </w:rPr>
        <w:t xml:space="preserve"> </w:t>
      </w:r>
      <w:r w:rsidR="00E56528">
        <w:rPr>
          <w:rFonts w:ascii="Simplified Arabic" w:hAnsi="Simplified Arabic" w:cs="Simplified Arabic" w:hint="cs"/>
          <w:sz w:val="24"/>
          <w:szCs w:val="24"/>
          <w:rtl/>
          <w:lang w:val="en-US" w:bidi="ar-DZ"/>
        </w:rPr>
        <w:t>حول مستو</w:t>
      </w:r>
      <w:r w:rsidR="006A7D73">
        <w:rPr>
          <w:rFonts w:ascii="Simplified Arabic" w:hAnsi="Simplified Arabic" w:cs="Simplified Arabic" w:hint="cs"/>
          <w:sz w:val="24"/>
          <w:szCs w:val="24"/>
          <w:rtl/>
          <w:lang w:val="en-US" w:bidi="ar-DZ"/>
        </w:rPr>
        <w:t>ى</w:t>
      </w:r>
      <w:r w:rsidR="00E56528">
        <w:rPr>
          <w:rFonts w:ascii="Simplified Arabic" w:hAnsi="Simplified Arabic" w:cs="Simplified Arabic" w:hint="cs"/>
          <w:sz w:val="24"/>
          <w:szCs w:val="24"/>
          <w:rtl/>
          <w:lang w:val="en-US" w:bidi="ar-DZ"/>
        </w:rPr>
        <w:t xml:space="preserve"> </w:t>
      </w:r>
      <w:r w:rsidR="00E56528" w:rsidRPr="00094797">
        <w:rPr>
          <w:rFonts w:ascii="Simplified Arabic" w:hAnsi="Simplified Arabic" w:cs="Simplified Arabic" w:hint="cs"/>
          <w:sz w:val="24"/>
          <w:szCs w:val="24"/>
          <w:rtl/>
          <w:lang w:val="en-US" w:bidi="ar-DZ"/>
        </w:rPr>
        <w:t>إمكانية</w:t>
      </w:r>
      <w:r w:rsidR="00E56528" w:rsidRPr="00094797">
        <w:rPr>
          <w:rFonts w:ascii="Simplified Arabic" w:hAnsi="Simplified Arabic" w:cs="Simplified Arabic"/>
          <w:sz w:val="24"/>
          <w:szCs w:val="24"/>
          <w:rtl/>
          <w:lang w:val="en-US" w:bidi="ar-DZ"/>
        </w:rPr>
        <w:t xml:space="preserve"> </w:t>
      </w:r>
      <w:r w:rsidR="00E56528">
        <w:rPr>
          <w:rFonts w:ascii="Simplified Arabic" w:hAnsi="Simplified Arabic" w:cs="Simplified Arabic" w:hint="cs"/>
          <w:sz w:val="24"/>
          <w:szCs w:val="24"/>
          <w:rtl/>
          <w:lang w:val="en-US" w:bidi="ar-DZ"/>
        </w:rPr>
        <w:t>ال</w:t>
      </w:r>
      <w:r w:rsidR="00E56528" w:rsidRPr="00094797">
        <w:rPr>
          <w:rFonts w:ascii="Simplified Arabic" w:hAnsi="Simplified Arabic" w:cs="Simplified Arabic" w:hint="cs"/>
          <w:sz w:val="24"/>
          <w:szCs w:val="24"/>
          <w:rtl/>
          <w:lang w:val="en-US" w:bidi="ar-DZ"/>
        </w:rPr>
        <w:t>وصول</w:t>
      </w:r>
      <w:r w:rsidR="00E56528" w:rsidRPr="00094797">
        <w:rPr>
          <w:rFonts w:ascii="Simplified Arabic" w:hAnsi="Simplified Arabic" w:cs="Simplified Arabic"/>
          <w:sz w:val="24"/>
          <w:szCs w:val="24"/>
          <w:rtl/>
          <w:lang w:val="en-US" w:bidi="ar-DZ"/>
        </w:rPr>
        <w:t xml:space="preserve"> </w:t>
      </w:r>
      <w:r w:rsidR="00B70579">
        <w:rPr>
          <w:rFonts w:ascii="Simplified Arabic" w:hAnsi="Simplified Arabic" w:cs="Simplified Arabic" w:hint="cs"/>
          <w:sz w:val="24"/>
          <w:szCs w:val="24"/>
          <w:rtl/>
          <w:lang w:val="en-US" w:bidi="ar-DZ"/>
        </w:rPr>
        <w:t>نحو</w:t>
      </w:r>
      <w:r w:rsidR="00E56528" w:rsidRPr="00094797">
        <w:rPr>
          <w:rFonts w:ascii="Simplified Arabic" w:hAnsi="Simplified Arabic" w:cs="Simplified Arabic"/>
          <w:sz w:val="24"/>
          <w:szCs w:val="24"/>
          <w:rtl/>
          <w:lang w:val="en-US" w:bidi="ar-DZ"/>
        </w:rPr>
        <w:t xml:space="preserve"> </w:t>
      </w:r>
      <w:r w:rsidR="00E56528" w:rsidRPr="00094797">
        <w:rPr>
          <w:rFonts w:ascii="Simplified Arabic" w:hAnsi="Simplified Arabic" w:cs="Simplified Arabic" w:hint="cs"/>
          <w:sz w:val="24"/>
          <w:szCs w:val="24"/>
          <w:rtl/>
          <w:lang w:val="en-US" w:bidi="ar-DZ"/>
        </w:rPr>
        <w:t>جميع</w:t>
      </w:r>
      <w:r w:rsidR="00E56528" w:rsidRPr="00094797">
        <w:rPr>
          <w:rFonts w:ascii="Simplified Arabic" w:hAnsi="Simplified Arabic" w:cs="Simplified Arabic"/>
          <w:sz w:val="24"/>
          <w:szCs w:val="24"/>
          <w:rtl/>
          <w:lang w:val="en-US" w:bidi="ar-DZ"/>
        </w:rPr>
        <w:t xml:space="preserve"> </w:t>
      </w:r>
      <w:r w:rsidR="00B70579">
        <w:rPr>
          <w:rFonts w:ascii="Simplified Arabic" w:hAnsi="Simplified Arabic" w:cs="Simplified Arabic" w:hint="cs"/>
          <w:sz w:val="24"/>
          <w:szCs w:val="24"/>
          <w:rtl/>
          <w:lang w:val="en-US" w:bidi="ar-DZ"/>
        </w:rPr>
        <w:t>الاتجاهات</w:t>
      </w:r>
      <w:r w:rsidR="00E56528" w:rsidRPr="00094797">
        <w:rPr>
          <w:rFonts w:ascii="Simplified Arabic" w:hAnsi="Simplified Arabic" w:cs="Simplified Arabic"/>
          <w:sz w:val="24"/>
          <w:szCs w:val="24"/>
          <w:rtl/>
          <w:lang w:val="en-US" w:bidi="ar-DZ"/>
        </w:rPr>
        <w:t xml:space="preserve"> </w:t>
      </w:r>
      <w:r w:rsidR="00E56528" w:rsidRPr="00094797">
        <w:rPr>
          <w:rFonts w:ascii="Simplified Arabic" w:hAnsi="Simplified Arabic" w:cs="Simplified Arabic" w:hint="cs"/>
          <w:sz w:val="24"/>
          <w:szCs w:val="24"/>
          <w:rtl/>
          <w:lang w:val="en-US" w:bidi="ar-DZ"/>
        </w:rPr>
        <w:t>المحتملة لأحياء</w:t>
      </w:r>
      <w:r w:rsidR="00E56528" w:rsidRPr="00830775">
        <w:rPr>
          <w:rFonts w:ascii="Simplified Arabic" w:hAnsi="Simplified Arabic" w:cs="Simplified Arabic" w:hint="cs"/>
          <w:sz w:val="24"/>
          <w:szCs w:val="24"/>
          <w:rtl/>
          <w:lang w:val="en-US" w:bidi="ar-DZ"/>
        </w:rPr>
        <w:t xml:space="preserve"> </w:t>
      </w:r>
      <w:r w:rsidR="00E56528" w:rsidRPr="009501BE">
        <w:rPr>
          <w:rFonts w:ascii="Simplified Arabic" w:hAnsi="Simplified Arabic" w:cs="Simplified Arabic" w:hint="cs"/>
          <w:sz w:val="24"/>
          <w:szCs w:val="24"/>
          <w:rtl/>
          <w:lang w:val="en-US" w:bidi="ar-DZ"/>
        </w:rPr>
        <w:t>فئات الانسجة الحضرية الاربعة</w:t>
      </w:r>
      <w:r w:rsidR="00B70579">
        <w:rPr>
          <w:rFonts w:ascii="Simplified Arabic" w:hAnsi="Simplified Arabic" w:cs="Simplified Arabic" w:hint="cs"/>
          <w:sz w:val="24"/>
          <w:szCs w:val="24"/>
          <w:rtl/>
          <w:lang w:val="en-US" w:bidi="ar-DZ"/>
        </w:rPr>
        <w:t>. سبب ذلك، التقسيمات الفرعية</w:t>
      </w:r>
      <w:r w:rsidR="00B70579" w:rsidRPr="00AE0657">
        <w:rPr>
          <w:rFonts w:ascii="Simplified Arabic" w:hAnsi="Simplified Arabic" w:cs="Simplified Arabic"/>
          <w:sz w:val="24"/>
          <w:szCs w:val="24"/>
          <w:rtl/>
          <w:lang w:val="en-US" w:bidi="ar-DZ"/>
        </w:rPr>
        <w:t xml:space="preserve"> </w:t>
      </w:r>
      <w:r w:rsidR="006A7D73">
        <w:rPr>
          <w:rFonts w:ascii="Simplified Arabic" w:hAnsi="Simplified Arabic" w:cs="Simplified Arabic" w:hint="cs"/>
          <w:sz w:val="24"/>
          <w:szCs w:val="24"/>
          <w:rtl/>
          <w:lang w:val="en-US" w:bidi="ar-DZ"/>
        </w:rPr>
        <w:t xml:space="preserve">لحي </w:t>
      </w:r>
      <w:r w:rsidR="00B70579">
        <w:rPr>
          <w:rFonts w:ascii="Simplified Arabic" w:hAnsi="Simplified Arabic" w:cs="Simplified Arabic" w:hint="cs"/>
          <w:sz w:val="24"/>
          <w:szCs w:val="24"/>
          <w:rtl/>
          <w:lang w:val="en-US" w:bidi="ar-DZ"/>
        </w:rPr>
        <w:t>فئة النسيج الحضري (أ) كانت كبيرة،</w:t>
      </w:r>
      <w:r w:rsidR="00B70579" w:rsidRPr="00AE0657">
        <w:rPr>
          <w:rFonts w:ascii="Simplified Arabic" w:hAnsi="Simplified Arabic" w:cs="Simplified Arabic"/>
          <w:sz w:val="24"/>
          <w:szCs w:val="24"/>
          <w:rtl/>
          <w:lang w:val="en-US" w:bidi="ar-DZ"/>
        </w:rPr>
        <w:t xml:space="preserve"> </w:t>
      </w:r>
      <w:r w:rsidR="00B70579">
        <w:rPr>
          <w:rFonts w:ascii="Simplified Arabic" w:hAnsi="Simplified Arabic" w:cs="Simplified Arabic" w:hint="cs"/>
          <w:sz w:val="24"/>
          <w:szCs w:val="24"/>
          <w:rtl/>
          <w:lang w:val="en-US" w:bidi="ar-DZ"/>
        </w:rPr>
        <w:t xml:space="preserve">مع نسب تتراوح بين 0.20 و 0.31. بينما </w:t>
      </w:r>
      <w:r w:rsidR="00B70579" w:rsidRPr="00AE0657">
        <w:rPr>
          <w:rFonts w:ascii="Simplified Arabic" w:hAnsi="Simplified Arabic" w:cs="Simplified Arabic" w:hint="cs"/>
          <w:sz w:val="24"/>
          <w:szCs w:val="24"/>
          <w:rtl/>
          <w:lang w:val="en-US" w:bidi="ar-DZ"/>
        </w:rPr>
        <w:t>كان</w:t>
      </w:r>
      <w:r w:rsidR="00B70579">
        <w:rPr>
          <w:rFonts w:ascii="Simplified Arabic" w:hAnsi="Simplified Arabic" w:cs="Simplified Arabic" w:hint="cs"/>
          <w:sz w:val="24"/>
          <w:szCs w:val="24"/>
          <w:rtl/>
          <w:lang w:val="en-US" w:bidi="ar-DZ"/>
        </w:rPr>
        <w:t>ت</w:t>
      </w:r>
      <w:r w:rsidR="00B70579" w:rsidRPr="00AE0657">
        <w:rPr>
          <w:rFonts w:ascii="Simplified Arabic" w:hAnsi="Simplified Arabic" w:cs="Simplified Arabic"/>
          <w:sz w:val="24"/>
          <w:szCs w:val="24"/>
          <w:rtl/>
          <w:lang w:val="en-US" w:bidi="ar-DZ"/>
        </w:rPr>
        <w:t xml:space="preserve"> </w:t>
      </w:r>
      <w:r w:rsidR="00B70579" w:rsidRPr="00AE0657">
        <w:rPr>
          <w:rFonts w:ascii="Simplified Arabic" w:hAnsi="Simplified Arabic" w:cs="Simplified Arabic" w:hint="cs"/>
          <w:sz w:val="24"/>
          <w:szCs w:val="24"/>
          <w:rtl/>
          <w:lang w:val="en-US" w:bidi="ar-DZ"/>
        </w:rPr>
        <w:t>التقسيمات</w:t>
      </w:r>
      <w:r w:rsidR="00B70579">
        <w:rPr>
          <w:rFonts w:ascii="Simplified Arabic" w:hAnsi="Simplified Arabic" w:cs="Simplified Arabic" w:hint="cs"/>
          <w:sz w:val="24"/>
          <w:szCs w:val="24"/>
          <w:rtl/>
          <w:lang w:val="en-US" w:bidi="ar-DZ"/>
        </w:rPr>
        <w:t xml:space="preserve"> الفرعية</w:t>
      </w:r>
      <w:r w:rsidR="00B70579" w:rsidRPr="00AE0657">
        <w:rPr>
          <w:rFonts w:ascii="Simplified Arabic" w:hAnsi="Simplified Arabic" w:cs="Simplified Arabic"/>
          <w:sz w:val="24"/>
          <w:szCs w:val="24"/>
          <w:rtl/>
          <w:lang w:val="en-US" w:bidi="ar-DZ"/>
        </w:rPr>
        <w:t xml:space="preserve"> </w:t>
      </w:r>
      <w:r w:rsidR="006A7D73">
        <w:rPr>
          <w:rFonts w:ascii="Simplified Arabic" w:hAnsi="Simplified Arabic" w:cs="Simplified Arabic" w:hint="cs"/>
          <w:sz w:val="24"/>
          <w:szCs w:val="24"/>
          <w:rtl/>
          <w:lang w:val="en-US" w:bidi="ar-DZ"/>
        </w:rPr>
        <w:t xml:space="preserve">لأحياء </w:t>
      </w:r>
      <w:r w:rsidR="00B70579">
        <w:rPr>
          <w:rFonts w:ascii="Simplified Arabic" w:hAnsi="Simplified Arabic" w:cs="Simplified Arabic" w:hint="cs"/>
          <w:sz w:val="24"/>
          <w:szCs w:val="24"/>
          <w:rtl/>
          <w:lang w:val="en-US" w:bidi="ar-DZ"/>
        </w:rPr>
        <w:t>فئة النسيج الحضري (ب، جـ، د)</w:t>
      </w:r>
      <w:r w:rsidR="00B70579" w:rsidRPr="00AE0657">
        <w:rPr>
          <w:rFonts w:ascii="Simplified Arabic" w:hAnsi="Simplified Arabic" w:cs="Simplified Arabic" w:hint="cs"/>
          <w:sz w:val="24"/>
          <w:szCs w:val="24"/>
          <w:rtl/>
          <w:lang w:val="en-US" w:bidi="ar-DZ"/>
        </w:rPr>
        <w:t>،</w:t>
      </w:r>
      <w:r w:rsidR="00B70579" w:rsidRPr="00AE0657">
        <w:rPr>
          <w:rFonts w:ascii="Simplified Arabic" w:hAnsi="Simplified Arabic" w:cs="Simplified Arabic"/>
          <w:sz w:val="24"/>
          <w:szCs w:val="24"/>
          <w:rtl/>
          <w:lang w:val="en-US" w:bidi="ar-DZ"/>
        </w:rPr>
        <w:t xml:space="preserve"> </w:t>
      </w:r>
      <w:r w:rsidR="00B70579" w:rsidRPr="00AE0657">
        <w:rPr>
          <w:rFonts w:ascii="Simplified Arabic" w:hAnsi="Simplified Arabic" w:cs="Simplified Arabic" w:hint="cs"/>
          <w:sz w:val="24"/>
          <w:szCs w:val="24"/>
          <w:rtl/>
          <w:lang w:val="en-US" w:bidi="ar-DZ"/>
        </w:rPr>
        <w:t>أقل</w:t>
      </w:r>
      <w:r w:rsidR="00B70579" w:rsidRPr="00AE0657">
        <w:rPr>
          <w:rFonts w:ascii="Simplified Arabic" w:hAnsi="Simplified Arabic" w:cs="Simplified Arabic"/>
          <w:sz w:val="24"/>
          <w:szCs w:val="24"/>
          <w:rtl/>
          <w:lang w:val="en-US" w:bidi="ar-DZ"/>
        </w:rPr>
        <w:t xml:space="preserve"> </w:t>
      </w:r>
      <w:r w:rsidR="00B70579" w:rsidRPr="00AE0657">
        <w:rPr>
          <w:rFonts w:ascii="Simplified Arabic" w:hAnsi="Simplified Arabic" w:cs="Simplified Arabic" w:hint="cs"/>
          <w:sz w:val="24"/>
          <w:szCs w:val="24"/>
          <w:rtl/>
          <w:lang w:val="en-US" w:bidi="ar-DZ"/>
        </w:rPr>
        <w:t>بكثير،</w:t>
      </w:r>
      <w:r w:rsidR="00B70579" w:rsidRPr="00AE0657">
        <w:rPr>
          <w:rFonts w:ascii="Simplified Arabic" w:hAnsi="Simplified Arabic" w:cs="Simplified Arabic"/>
          <w:sz w:val="24"/>
          <w:szCs w:val="24"/>
          <w:rtl/>
          <w:lang w:val="en-US" w:bidi="ar-DZ"/>
        </w:rPr>
        <w:t xml:space="preserve"> </w:t>
      </w:r>
      <w:r w:rsidR="00B70579">
        <w:rPr>
          <w:rFonts w:ascii="Simplified Arabic" w:hAnsi="Simplified Arabic" w:cs="Simplified Arabic" w:hint="cs"/>
          <w:sz w:val="24"/>
          <w:szCs w:val="24"/>
          <w:rtl/>
          <w:lang w:val="en-US" w:bidi="ar-DZ"/>
        </w:rPr>
        <w:t>مع نسب تتراوح بين 0.39 و 0.54</w:t>
      </w:r>
      <w:r w:rsidR="00B70579" w:rsidRPr="00AE0657">
        <w:rPr>
          <w:rFonts w:ascii="Simplified Arabic" w:hAnsi="Simplified Arabic" w:cs="Simplified Arabic"/>
          <w:sz w:val="24"/>
          <w:szCs w:val="24"/>
          <w:rtl/>
          <w:lang w:val="en-US" w:bidi="ar-DZ"/>
        </w:rPr>
        <w:t>.</w:t>
      </w:r>
      <w:r w:rsidR="00BC5890" w:rsidRPr="00BC5890">
        <w:rPr>
          <w:rFonts w:ascii="Simplified Arabic" w:hAnsi="Simplified Arabic" w:cs="Simplified Arabic" w:hint="cs"/>
          <w:sz w:val="24"/>
          <w:szCs w:val="24"/>
          <w:rtl/>
          <w:lang w:val="en-US" w:bidi="ar-DZ"/>
        </w:rPr>
        <w:t xml:space="preserve"> </w:t>
      </w:r>
      <w:r w:rsidR="00BC5890">
        <w:rPr>
          <w:rFonts w:ascii="Simplified Arabic" w:hAnsi="Simplified Arabic" w:cs="Simplified Arabic" w:hint="cs"/>
          <w:sz w:val="24"/>
          <w:szCs w:val="24"/>
          <w:rtl/>
          <w:lang w:val="en-US" w:bidi="ar-DZ"/>
        </w:rPr>
        <w:t>منحهم ذلك مستويات عالية ل</w:t>
      </w:r>
      <w:r w:rsidR="00BC5890" w:rsidRPr="00094797">
        <w:rPr>
          <w:rFonts w:ascii="Simplified Arabic" w:hAnsi="Simplified Arabic" w:cs="Simplified Arabic" w:hint="cs"/>
          <w:sz w:val="24"/>
          <w:szCs w:val="24"/>
          <w:rtl/>
          <w:lang w:val="en-US" w:bidi="ar-DZ"/>
        </w:rPr>
        <w:t>إمكانية</w:t>
      </w:r>
      <w:r w:rsidR="00BC5890" w:rsidRPr="00094797">
        <w:rPr>
          <w:rFonts w:ascii="Simplified Arabic" w:hAnsi="Simplified Arabic" w:cs="Simplified Arabic"/>
          <w:sz w:val="24"/>
          <w:szCs w:val="24"/>
          <w:rtl/>
          <w:lang w:val="en-US" w:bidi="ar-DZ"/>
        </w:rPr>
        <w:t xml:space="preserve"> </w:t>
      </w:r>
      <w:r w:rsidR="00BC5890">
        <w:rPr>
          <w:rFonts w:ascii="Simplified Arabic" w:hAnsi="Simplified Arabic" w:cs="Simplified Arabic" w:hint="cs"/>
          <w:sz w:val="24"/>
          <w:szCs w:val="24"/>
          <w:rtl/>
          <w:lang w:val="en-US" w:bidi="ar-DZ"/>
        </w:rPr>
        <w:t>ال</w:t>
      </w:r>
      <w:r w:rsidR="00BC5890" w:rsidRPr="00094797">
        <w:rPr>
          <w:rFonts w:ascii="Simplified Arabic" w:hAnsi="Simplified Arabic" w:cs="Simplified Arabic" w:hint="cs"/>
          <w:sz w:val="24"/>
          <w:szCs w:val="24"/>
          <w:rtl/>
          <w:lang w:val="en-US" w:bidi="ar-DZ"/>
        </w:rPr>
        <w:t>وصول</w:t>
      </w:r>
      <w:r w:rsidR="00BC5890">
        <w:rPr>
          <w:rFonts w:ascii="Simplified Arabic" w:hAnsi="Simplified Arabic" w:cs="Simplified Arabic" w:hint="cs"/>
          <w:sz w:val="24"/>
          <w:szCs w:val="24"/>
          <w:rtl/>
          <w:lang w:val="en-US" w:bidi="ar-DZ"/>
        </w:rPr>
        <w:t xml:space="preserve"> </w:t>
      </w:r>
      <w:r w:rsidR="006A7D73">
        <w:rPr>
          <w:rFonts w:ascii="Simplified Arabic" w:hAnsi="Simplified Arabic" w:cs="Simplified Arabic" w:hint="cs"/>
          <w:sz w:val="24"/>
          <w:szCs w:val="24"/>
          <w:rtl/>
          <w:lang w:val="en-US" w:bidi="ar-DZ"/>
        </w:rPr>
        <w:t>نحو</w:t>
      </w:r>
      <w:r w:rsidR="006A7D73" w:rsidRPr="00094797">
        <w:rPr>
          <w:rFonts w:ascii="Simplified Arabic" w:hAnsi="Simplified Arabic" w:cs="Simplified Arabic"/>
          <w:sz w:val="24"/>
          <w:szCs w:val="24"/>
          <w:rtl/>
          <w:lang w:val="en-US" w:bidi="ar-DZ"/>
        </w:rPr>
        <w:t xml:space="preserve"> </w:t>
      </w:r>
      <w:r w:rsidR="006A7D73" w:rsidRPr="00094797">
        <w:rPr>
          <w:rFonts w:ascii="Simplified Arabic" w:hAnsi="Simplified Arabic" w:cs="Simplified Arabic" w:hint="cs"/>
          <w:sz w:val="24"/>
          <w:szCs w:val="24"/>
          <w:rtl/>
          <w:lang w:val="en-US" w:bidi="ar-DZ"/>
        </w:rPr>
        <w:t>جميع</w:t>
      </w:r>
      <w:r w:rsidR="006A7D73" w:rsidRPr="00094797">
        <w:rPr>
          <w:rFonts w:ascii="Simplified Arabic" w:hAnsi="Simplified Arabic" w:cs="Simplified Arabic"/>
          <w:sz w:val="24"/>
          <w:szCs w:val="24"/>
          <w:rtl/>
          <w:lang w:val="en-US" w:bidi="ar-DZ"/>
        </w:rPr>
        <w:t xml:space="preserve"> </w:t>
      </w:r>
      <w:r w:rsidR="006A7D73">
        <w:rPr>
          <w:rFonts w:ascii="Simplified Arabic" w:hAnsi="Simplified Arabic" w:cs="Simplified Arabic" w:hint="cs"/>
          <w:sz w:val="24"/>
          <w:szCs w:val="24"/>
          <w:rtl/>
          <w:lang w:val="en-US" w:bidi="ar-DZ"/>
        </w:rPr>
        <w:t>الاتجاهات</w:t>
      </w:r>
      <w:r w:rsidR="006A7D73" w:rsidRPr="00094797">
        <w:rPr>
          <w:rFonts w:ascii="Simplified Arabic" w:hAnsi="Simplified Arabic" w:cs="Simplified Arabic"/>
          <w:sz w:val="24"/>
          <w:szCs w:val="24"/>
          <w:rtl/>
          <w:lang w:val="en-US" w:bidi="ar-DZ"/>
        </w:rPr>
        <w:t xml:space="preserve"> </w:t>
      </w:r>
      <w:r w:rsidR="006A7D73">
        <w:rPr>
          <w:rFonts w:ascii="Simplified Arabic" w:hAnsi="Simplified Arabic" w:cs="Simplified Arabic" w:hint="cs"/>
          <w:sz w:val="24"/>
          <w:szCs w:val="24"/>
          <w:rtl/>
          <w:lang w:val="en-US" w:bidi="ar-DZ"/>
        </w:rPr>
        <w:t>المحتملة</w:t>
      </w:r>
      <w:r w:rsidR="00BC5890">
        <w:rPr>
          <w:rFonts w:ascii="Simplified Arabic" w:hAnsi="Simplified Arabic" w:cs="Simplified Arabic" w:hint="cs"/>
          <w:sz w:val="24"/>
          <w:szCs w:val="24"/>
          <w:rtl/>
          <w:lang w:val="en-US" w:bidi="ar-DZ"/>
        </w:rPr>
        <w:t xml:space="preserve">، </w:t>
      </w:r>
      <w:r w:rsidR="00C1672B">
        <w:rPr>
          <w:rFonts w:ascii="Simplified Arabic" w:hAnsi="Simplified Arabic" w:cs="Simplified Arabic" w:hint="cs"/>
          <w:sz w:val="24"/>
          <w:szCs w:val="24"/>
          <w:rtl/>
          <w:lang w:val="en-US" w:bidi="ar-DZ"/>
        </w:rPr>
        <w:t>منح ذلك</w:t>
      </w:r>
      <w:r w:rsidR="00BC5890">
        <w:rPr>
          <w:rFonts w:ascii="Simplified Arabic" w:hAnsi="Simplified Arabic" w:cs="Simplified Arabic" w:hint="cs"/>
          <w:sz w:val="24"/>
          <w:szCs w:val="24"/>
          <w:rtl/>
          <w:lang w:val="en-US" w:bidi="ar-DZ"/>
        </w:rPr>
        <w:t xml:space="preserve"> </w:t>
      </w:r>
      <w:r w:rsidR="008801DF">
        <w:rPr>
          <w:rFonts w:ascii="Simplified Arabic" w:hAnsi="Simplified Arabic" w:cs="Simplified Arabic" w:hint="cs"/>
          <w:sz w:val="24"/>
          <w:szCs w:val="24"/>
          <w:rtl/>
          <w:lang w:val="en-US" w:bidi="ar-DZ"/>
        </w:rPr>
        <w:t>قدرة تكيف مكاني</w:t>
      </w:r>
      <w:r w:rsidR="00BC5890">
        <w:rPr>
          <w:rFonts w:ascii="Simplified Arabic" w:hAnsi="Simplified Arabic" w:cs="Simplified Arabic" w:hint="cs"/>
          <w:sz w:val="24"/>
          <w:szCs w:val="24"/>
          <w:rtl/>
          <w:lang w:val="en-US" w:bidi="ar-DZ"/>
        </w:rPr>
        <w:t xml:space="preserve"> افضل. </w:t>
      </w:r>
    </w:p>
    <w:p w:rsidR="00CA2383" w:rsidRDefault="007103FE" w:rsidP="00C1672B">
      <w:pPr>
        <w:bidi/>
        <w:spacing w:after="0"/>
        <w:ind w:firstLine="283"/>
        <w:jc w:val="both"/>
        <w:rPr>
          <w:rFonts w:ascii="Simplified Arabic" w:hAnsi="Simplified Arabic" w:cs="Simplified Arabic"/>
          <w:sz w:val="24"/>
          <w:szCs w:val="24"/>
          <w:rtl/>
          <w:lang w:val="en-US" w:bidi="ar-DZ"/>
        </w:rPr>
      </w:pPr>
      <w:r w:rsidRPr="000B60D3">
        <w:rPr>
          <w:rFonts w:ascii="Simplified Arabic" w:hAnsi="Simplified Arabic" w:cs="Simplified Arabic" w:hint="cs"/>
          <w:sz w:val="24"/>
          <w:szCs w:val="24"/>
          <w:u w:val="single"/>
          <w:rtl/>
          <w:lang w:val="en-US" w:bidi="ar-DZ"/>
        </w:rPr>
        <w:t>من</w:t>
      </w:r>
      <w:r w:rsidRPr="000B60D3">
        <w:rPr>
          <w:rFonts w:ascii="Simplified Arabic" w:hAnsi="Simplified Arabic" w:cs="Simplified Arabic"/>
          <w:sz w:val="24"/>
          <w:szCs w:val="24"/>
          <w:u w:val="single"/>
          <w:rtl/>
          <w:lang w:val="en-US" w:bidi="ar-DZ"/>
        </w:rPr>
        <w:t xml:space="preserve"> </w:t>
      </w:r>
      <w:r w:rsidRPr="000B60D3">
        <w:rPr>
          <w:rFonts w:ascii="Simplified Arabic" w:hAnsi="Simplified Arabic" w:cs="Simplified Arabic" w:hint="cs"/>
          <w:sz w:val="24"/>
          <w:szCs w:val="24"/>
          <w:u w:val="single"/>
          <w:rtl/>
          <w:lang w:val="en-US" w:bidi="ar-DZ"/>
        </w:rPr>
        <w:t>حيث</w:t>
      </w:r>
      <w:r w:rsidRPr="000B60D3">
        <w:rPr>
          <w:rFonts w:ascii="Simplified Arabic" w:hAnsi="Simplified Arabic" w:cs="Simplified Arabic"/>
          <w:sz w:val="24"/>
          <w:szCs w:val="24"/>
          <w:u w:val="single"/>
          <w:rtl/>
          <w:lang w:val="en-US" w:bidi="ar-DZ"/>
        </w:rPr>
        <w:t xml:space="preserve"> </w:t>
      </w:r>
      <w:r w:rsidRPr="000B60D3">
        <w:rPr>
          <w:rFonts w:ascii="Simplified Arabic" w:hAnsi="Simplified Arabic" w:cs="Simplified Arabic" w:hint="cs"/>
          <w:sz w:val="24"/>
          <w:szCs w:val="24"/>
          <w:u w:val="single"/>
          <w:rtl/>
          <w:lang w:val="en-US" w:bidi="ar-DZ"/>
        </w:rPr>
        <w:t>التنوع</w:t>
      </w:r>
      <w:r w:rsidRPr="000B60D3">
        <w:rPr>
          <w:rFonts w:ascii="Simplified Arabic" w:hAnsi="Simplified Arabic" w:cs="Simplified Arabic" w:hint="cs"/>
          <w:sz w:val="24"/>
          <w:szCs w:val="24"/>
          <w:rtl/>
          <w:lang w:val="en-US" w:bidi="ar-DZ"/>
        </w:rPr>
        <w:t>،</w:t>
      </w:r>
      <w:r w:rsidRPr="000B60D3">
        <w:rPr>
          <w:rFonts w:ascii="Simplified Arabic" w:hAnsi="Simplified Arabic" w:cs="Simplified Arabic"/>
          <w:sz w:val="24"/>
          <w:szCs w:val="24"/>
          <w:rtl/>
          <w:lang w:val="en-US" w:bidi="ar-DZ"/>
        </w:rPr>
        <w:t xml:space="preserve"> </w:t>
      </w:r>
      <w:r w:rsidR="00C37F14" w:rsidRPr="000B60D3">
        <w:rPr>
          <w:rFonts w:ascii="Simplified Arabic" w:hAnsi="Simplified Arabic" w:cs="Simplified Arabic" w:hint="cs"/>
          <w:sz w:val="24"/>
          <w:szCs w:val="24"/>
          <w:rtl/>
          <w:lang w:val="en-US" w:bidi="ar-DZ"/>
        </w:rPr>
        <w:t>يُظهر</w:t>
      </w:r>
      <w:r w:rsidR="00C37F14" w:rsidRPr="000B60D3">
        <w:rPr>
          <w:rFonts w:ascii="Simplified Arabic" w:hAnsi="Simplified Arabic" w:cs="Simplified Arabic"/>
          <w:sz w:val="24"/>
          <w:szCs w:val="24"/>
          <w:rtl/>
          <w:lang w:val="en-US" w:bidi="ar-DZ"/>
        </w:rPr>
        <w:t xml:space="preserve"> </w:t>
      </w:r>
      <w:r w:rsidR="006A7D73">
        <w:rPr>
          <w:rFonts w:ascii="Simplified Arabic" w:hAnsi="Simplified Arabic" w:cs="Simplified Arabic" w:hint="cs"/>
          <w:sz w:val="24"/>
          <w:szCs w:val="24"/>
          <w:rtl/>
          <w:lang w:val="en-US" w:bidi="ar-DZ"/>
        </w:rPr>
        <w:t xml:space="preserve">تحليل </w:t>
      </w:r>
      <w:r w:rsidR="003337FD">
        <w:rPr>
          <w:rFonts w:ascii="Simplified Arabic" w:hAnsi="Simplified Arabic" w:cs="Simplified Arabic" w:hint="cs"/>
          <w:sz w:val="24"/>
          <w:szCs w:val="24"/>
          <w:rtl/>
        </w:rPr>
        <w:t>استعمالات</w:t>
      </w:r>
      <w:r w:rsidR="00C37F14" w:rsidRPr="000B60D3">
        <w:rPr>
          <w:rFonts w:ascii="Simplified Arabic" w:hAnsi="Simplified Arabic" w:cs="Simplified Arabic" w:hint="cs"/>
          <w:sz w:val="24"/>
          <w:szCs w:val="24"/>
          <w:rtl/>
          <w:lang w:val="en-US" w:bidi="ar-DZ"/>
        </w:rPr>
        <w:t xml:space="preserve"> الارض </w:t>
      </w:r>
      <w:r w:rsidR="0087329A" w:rsidRPr="000B60D3">
        <w:rPr>
          <w:rFonts w:ascii="Simplified Arabic" w:hAnsi="Simplified Arabic" w:cs="Simplified Arabic" w:hint="cs"/>
          <w:sz w:val="24"/>
          <w:szCs w:val="24"/>
          <w:rtl/>
          <w:lang w:val="en-US" w:bidi="ar-DZ"/>
        </w:rPr>
        <w:t xml:space="preserve">لحي القصر </w:t>
      </w:r>
      <w:r w:rsidR="00C37F14" w:rsidRPr="000B60D3">
        <w:rPr>
          <w:rFonts w:ascii="Simplified Arabic" w:hAnsi="Simplified Arabic" w:cs="Simplified Arabic" w:hint="cs"/>
          <w:sz w:val="24"/>
          <w:szCs w:val="24"/>
          <w:rtl/>
          <w:lang w:val="en-US" w:bidi="ar-DZ"/>
        </w:rPr>
        <w:t xml:space="preserve">ضمن </w:t>
      </w:r>
      <w:r w:rsidR="00000EF8" w:rsidRPr="000B60D3">
        <w:rPr>
          <w:rFonts w:ascii="Simplified Arabic" w:hAnsi="Simplified Arabic" w:cs="Simplified Arabic" w:hint="cs"/>
          <w:sz w:val="24"/>
          <w:szCs w:val="24"/>
          <w:rtl/>
          <w:lang w:val="en-US" w:bidi="ar-DZ"/>
        </w:rPr>
        <w:t>فئة النسيج الحضري (</w:t>
      </w:r>
      <w:r w:rsidR="00F2126C" w:rsidRPr="000B60D3">
        <w:rPr>
          <w:rFonts w:ascii="Simplified Arabic" w:hAnsi="Simplified Arabic" w:cs="Simplified Arabic" w:hint="cs"/>
          <w:sz w:val="24"/>
          <w:szCs w:val="24"/>
          <w:rtl/>
          <w:lang w:val="en-US" w:bidi="ar-DZ"/>
        </w:rPr>
        <w:t>أ</w:t>
      </w:r>
      <w:r w:rsidR="0087329A" w:rsidRPr="000B60D3">
        <w:rPr>
          <w:rFonts w:ascii="Simplified Arabic" w:hAnsi="Simplified Arabic" w:cs="Simplified Arabic" w:hint="cs"/>
          <w:sz w:val="24"/>
          <w:szCs w:val="24"/>
          <w:rtl/>
          <w:lang w:val="en-US" w:bidi="ar-DZ"/>
        </w:rPr>
        <w:t xml:space="preserve">) </w:t>
      </w:r>
      <w:r w:rsidR="000B60D3">
        <w:rPr>
          <w:rFonts w:ascii="Simplified Arabic" w:hAnsi="Simplified Arabic" w:cs="Simplified Arabic" w:hint="cs"/>
          <w:sz w:val="24"/>
          <w:szCs w:val="24"/>
          <w:rtl/>
          <w:lang w:val="en-US" w:bidi="ar-DZ"/>
        </w:rPr>
        <w:t>و</w:t>
      </w:r>
      <w:r w:rsidR="00CA7AC6">
        <w:rPr>
          <w:rFonts w:ascii="Simplified Arabic" w:hAnsi="Simplified Arabic" w:cs="Simplified Arabic" w:hint="cs"/>
          <w:sz w:val="24"/>
          <w:szCs w:val="24"/>
          <w:rtl/>
          <w:lang w:val="en-US" w:bidi="ar-DZ"/>
        </w:rPr>
        <w:t>حي بلاتو ل</w:t>
      </w:r>
      <w:r w:rsidR="000B60D3" w:rsidRPr="000B60D3">
        <w:rPr>
          <w:rFonts w:ascii="Simplified Arabic" w:hAnsi="Simplified Arabic" w:cs="Simplified Arabic" w:hint="cs"/>
          <w:sz w:val="24"/>
          <w:szCs w:val="24"/>
          <w:rtl/>
          <w:lang w:val="en-US" w:bidi="ar-DZ"/>
        </w:rPr>
        <w:t>لفئة (ب)</w:t>
      </w:r>
      <w:r w:rsidR="000B60D3"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درجة</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عالية</w:t>
      </w:r>
      <w:r w:rsidRPr="000B60D3">
        <w:rPr>
          <w:rFonts w:ascii="Simplified Arabic" w:hAnsi="Simplified Arabic" w:cs="Simplified Arabic"/>
          <w:sz w:val="24"/>
          <w:szCs w:val="24"/>
          <w:rtl/>
          <w:lang w:val="en-US" w:bidi="ar-DZ"/>
        </w:rPr>
        <w:t xml:space="preserve"> </w:t>
      </w:r>
      <w:r w:rsidR="00F2126C" w:rsidRPr="000B60D3">
        <w:rPr>
          <w:rFonts w:ascii="Simplified Arabic" w:hAnsi="Simplified Arabic" w:cs="Simplified Arabic" w:hint="cs"/>
          <w:sz w:val="24"/>
          <w:szCs w:val="24"/>
          <w:rtl/>
          <w:lang w:val="en-US" w:bidi="ar-DZ"/>
        </w:rPr>
        <w:t>من تنوع المرافق</w:t>
      </w:r>
      <w:r w:rsidR="00E23C04" w:rsidRPr="000B60D3">
        <w:rPr>
          <w:rFonts w:ascii="Simplified Arabic" w:hAnsi="Simplified Arabic" w:cs="Simplified Arabic" w:hint="cs"/>
          <w:sz w:val="24"/>
          <w:szCs w:val="24"/>
          <w:rtl/>
          <w:lang w:val="en-US" w:bidi="ar-DZ"/>
        </w:rPr>
        <w:t>،</w:t>
      </w:r>
      <w:r w:rsidRPr="000B60D3">
        <w:rPr>
          <w:rFonts w:ascii="Simplified Arabic" w:hAnsi="Simplified Arabic" w:cs="Simplified Arabic"/>
          <w:sz w:val="24"/>
          <w:szCs w:val="24"/>
          <w:rtl/>
          <w:lang w:val="en-US" w:bidi="ar-DZ"/>
        </w:rPr>
        <w:t xml:space="preserve"> </w:t>
      </w:r>
      <w:r w:rsidR="0087329A" w:rsidRPr="000B60D3">
        <w:rPr>
          <w:rFonts w:ascii="Simplified Arabic" w:hAnsi="Simplified Arabic" w:cs="Simplified Arabic" w:hint="cs"/>
          <w:sz w:val="24"/>
          <w:szCs w:val="24"/>
          <w:rtl/>
          <w:lang w:val="en-US" w:bidi="ar-DZ"/>
        </w:rPr>
        <w:t xml:space="preserve">مع نسب تنوع تساوي </w:t>
      </w:r>
      <w:r w:rsidR="0087329A" w:rsidRPr="000B60D3">
        <w:rPr>
          <w:rFonts w:ascii="Simplified Arabic" w:hAnsi="Simplified Arabic" w:cs="Simplified Arabic" w:hint="cs"/>
          <w:rtl/>
          <w:lang w:val="en-US"/>
        </w:rPr>
        <w:t>100</w:t>
      </w:r>
      <w:r w:rsidR="0087329A" w:rsidRPr="000B60D3">
        <w:rPr>
          <w:rFonts w:ascii="Simplified Arabic" w:hAnsi="Simplified Arabic" w:cs="Simplified Arabic"/>
          <w:rtl/>
          <w:lang w:val="en-US"/>
        </w:rPr>
        <w:t>٪</w:t>
      </w:r>
      <w:r w:rsidR="0087329A" w:rsidRPr="000B60D3">
        <w:rPr>
          <w:rFonts w:ascii="Simplified Arabic" w:hAnsi="Simplified Arabic" w:cs="Simplified Arabic" w:hint="cs"/>
          <w:rtl/>
          <w:lang w:val="en-US"/>
        </w:rPr>
        <w:t xml:space="preserve">. </w:t>
      </w:r>
      <w:r w:rsidRPr="000B60D3">
        <w:rPr>
          <w:rFonts w:ascii="Simplified Arabic" w:hAnsi="Simplified Arabic" w:cs="Simplified Arabic" w:hint="cs"/>
          <w:sz w:val="24"/>
          <w:szCs w:val="24"/>
          <w:rtl/>
          <w:lang w:val="en-US" w:bidi="ar-DZ"/>
        </w:rPr>
        <w:t>كان</w:t>
      </w:r>
      <w:r w:rsidR="00E23C04" w:rsidRPr="000B60D3">
        <w:rPr>
          <w:rFonts w:ascii="Simplified Arabic" w:hAnsi="Simplified Arabic" w:cs="Simplified Arabic" w:hint="cs"/>
          <w:sz w:val="24"/>
          <w:szCs w:val="24"/>
          <w:rtl/>
          <w:lang w:val="en-US" w:bidi="ar-DZ"/>
        </w:rPr>
        <w:t>ت</w:t>
      </w:r>
      <w:r w:rsidRPr="000B60D3">
        <w:rPr>
          <w:rFonts w:ascii="Simplified Arabic" w:hAnsi="Simplified Arabic" w:cs="Simplified Arabic"/>
          <w:sz w:val="24"/>
          <w:szCs w:val="24"/>
          <w:rtl/>
          <w:lang w:val="en-US" w:bidi="ar-DZ"/>
        </w:rPr>
        <w:t xml:space="preserve"> </w:t>
      </w:r>
      <w:r w:rsidR="00E23C04" w:rsidRPr="000B60D3">
        <w:rPr>
          <w:rFonts w:ascii="Simplified Arabic" w:hAnsi="Simplified Arabic" w:cs="Simplified Arabic" w:hint="cs"/>
          <w:sz w:val="24"/>
          <w:szCs w:val="24"/>
          <w:rtl/>
          <w:lang w:val="en-US" w:bidi="ar-DZ"/>
        </w:rPr>
        <w:t>وفرة المرافق</w:t>
      </w:r>
      <w:r w:rsidR="00F2126C" w:rsidRPr="000B60D3">
        <w:rPr>
          <w:rFonts w:ascii="Simplified Arabic" w:hAnsi="Simplified Arabic" w:cs="Simplified Arabic" w:hint="cs"/>
          <w:sz w:val="24"/>
          <w:szCs w:val="24"/>
          <w:rtl/>
          <w:lang w:val="en-US" w:bidi="ar-DZ"/>
        </w:rPr>
        <w:t xml:space="preserve"> </w:t>
      </w:r>
      <w:r w:rsidR="00E23C04" w:rsidRPr="000B60D3">
        <w:rPr>
          <w:rFonts w:ascii="Simplified Arabic" w:hAnsi="Simplified Arabic" w:cs="Simplified Arabic" w:hint="cs"/>
          <w:sz w:val="24"/>
          <w:szCs w:val="24"/>
          <w:rtl/>
          <w:lang w:val="en-US" w:bidi="ar-DZ"/>
        </w:rPr>
        <w:t>بوسط المدينة</w:t>
      </w:r>
      <w:r w:rsidR="00E23C04" w:rsidRPr="000B60D3">
        <w:rPr>
          <w:rFonts w:ascii="Simplified Arabic" w:hAnsi="Simplified Arabic" w:cs="Simplified Arabic"/>
          <w:sz w:val="24"/>
          <w:szCs w:val="24"/>
          <w:rtl/>
          <w:lang w:val="en-US" w:bidi="ar-DZ"/>
        </w:rPr>
        <w:t xml:space="preserve"> </w:t>
      </w:r>
      <w:r w:rsidR="00F2126C" w:rsidRPr="000B60D3">
        <w:rPr>
          <w:rFonts w:ascii="Simplified Arabic" w:hAnsi="Simplified Arabic" w:cs="Simplified Arabic" w:hint="cs"/>
          <w:sz w:val="24"/>
          <w:szCs w:val="24"/>
          <w:rtl/>
          <w:lang w:val="en-US" w:bidi="ar-DZ"/>
        </w:rPr>
        <w:t>تأثير</w:t>
      </w:r>
      <w:r w:rsidR="00F2126C"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كبير</w:t>
      </w:r>
      <w:r w:rsidR="00F2126C" w:rsidRPr="000B60D3">
        <w:rPr>
          <w:rFonts w:ascii="Simplified Arabic" w:hAnsi="Simplified Arabic" w:cs="Simplified Arabic" w:hint="cs"/>
          <w:sz w:val="24"/>
          <w:szCs w:val="24"/>
          <w:rtl/>
          <w:lang w:val="en-US" w:bidi="ar-DZ"/>
        </w:rPr>
        <w:t xml:space="preserve"> على هذا التنوع</w:t>
      </w:r>
      <w:r w:rsidR="00BC5890">
        <w:rPr>
          <w:rFonts w:ascii="Simplified Arabic" w:hAnsi="Simplified Arabic" w:cs="Simplified Arabic" w:hint="cs"/>
          <w:sz w:val="24"/>
          <w:szCs w:val="24"/>
          <w:rtl/>
          <w:lang w:val="en-US" w:bidi="ar-DZ"/>
        </w:rPr>
        <w:t xml:space="preserve">، منحهما </w:t>
      </w:r>
      <w:r w:rsidR="006A7D73">
        <w:rPr>
          <w:rFonts w:ascii="Simplified Arabic" w:hAnsi="Simplified Arabic" w:cs="Simplified Arabic" w:hint="cs"/>
          <w:sz w:val="24"/>
          <w:szCs w:val="24"/>
          <w:rtl/>
          <w:lang w:val="en-US" w:bidi="ar-DZ"/>
        </w:rPr>
        <w:t>قدرة تكيّف مكاني افضل</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هذا</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يؤكد</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نمطًا</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مشابهًا</w:t>
      </w:r>
      <w:r w:rsidRPr="000B60D3">
        <w:rPr>
          <w:rFonts w:ascii="Simplified Arabic" w:hAnsi="Simplified Arabic" w:cs="Simplified Arabic"/>
          <w:sz w:val="24"/>
          <w:szCs w:val="24"/>
          <w:rtl/>
          <w:lang w:val="en-US" w:bidi="ar-DZ"/>
        </w:rPr>
        <w:t xml:space="preserve"> </w:t>
      </w:r>
      <w:r w:rsidR="00F2126C" w:rsidRPr="000B60D3">
        <w:rPr>
          <w:rFonts w:ascii="Simplified Arabic" w:hAnsi="Simplified Arabic" w:cs="Simplified Arabic" w:hint="cs"/>
          <w:sz w:val="24"/>
          <w:szCs w:val="24"/>
          <w:rtl/>
          <w:lang w:val="en-US" w:bidi="ar-DZ"/>
        </w:rPr>
        <w:t>للعديد من</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المدن</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في</w:t>
      </w:r>
      <w:r w:rsidRPr="000B60D3">
        <w:rPr>
          <w:rFonts w:ascii="Simplified Arabic" w:hAnsi="Simplified Arabic" w:cs="Simplified Arabic"/>
          <w:sz w:val="24"/>
          <w:szCs w:val="24"/>
          <w:rtl/>
          <w:lang w:val="en-US" w:bidi="ar-DZ"/>
        </w:rPr>
        <w:t xml:space="preserve"> </w:t>
      </w:r>
      <w:r w:rsidR="00F2126C" w:rsidRPr="000B60D3">
        <w:rPr>
          <w:rFonts w:ascii="Simplified Arabic" w:hAnsi="Simplified Arabic" w:cs="Simplified Arabic" w:hint="cs"/>
          <w:sz w:val="24"/>
          <w:szCs w:val="24"/>
          <w:rtl/>
          <w:lang w:val="en-US" w:bidi="ar-DZ"/>
        </w:rPr>
        <w:t>تركز المرافق والخدمات وسط المدينة</w:t>
      </w:r>
      <w:r w:rsidRPr="000B60D3">
        <w:rPr>
          <w:rFonts w:ascii="Simplified Arabic" w:hAnsi="Simplified Arabic" w:cs="Simplified Arabic"/>
          <w:sz w:val="24"/>
          <w:szCs w:val="24"/>
          <w:rtl/>
          <w:lang w:val="en-US" w:bidi="ar-DZ"/>
        </w:rPr>
        <w:t xml:space="preserve">. </w:t>
      </w:r>
      <w:r w:rsidR="00F2126C" w:rsidRPr="000B60D3">
        <w:rPr>
          <w:rFonts w:ascii="Simplified Arabic" w:hAnsi="Simplified Arabic" w:cs="Simplified Arabic" w:hint="cs"/>
          <w:sz w:val="24"/>
          <w:szCs w:val="24"/>
          <w:rtl/>
          <w:lang w:val="en-US" w:bidi="ar-DZ"/>
        </w:rPr>
        <w:t>مقابل</w:t>
      </w:r>
      <w:r w:rsidR="00CA2383">
        <w:rPr>
          <w:rFonts w:ascii="Simplified Arabic" w:hAnsi="Simplified Arabic" w:cs="Simplified Arabic" w:hint="cs"/>
          <w:sz w:val="24"/>
          <w:szCs w:val="24"/>
          <w:rtl/>
          <w:lang w:val="en-US" w:bidi="ar-DZ"/>
        </w:rPr>
        <w:t xml:space="preserve"> ذلك</w:t>
      </w:r>
      <w:r w:rsidRPr="000B60D3">
        <w:rPr>
          <w:rFonts w:ascii="Simplified Arabic" w:hAnsi="Simplified Arabic" w:cs="Simplified Arabic" w:hint="cs"/>
          <w:sz w:val="24"/>
          <w:szCs w:val="24"/>
          <w:rtl/>
          <w:lang w:val="en-US" w:bidi="ar-DZ"/>
        </w:rPr>
        <w:t>،</w:t>
      </w:r>
      <w:r w:rsidRPr="000B60D3">
        <w:rPr>
          <w:rFonts w:ascii="Simplified Arabic" w:hAnsi="Simplified Arabic" w:cs="Simplified Arabic"/>
          <w:sz w:val="24"/>
          <w:szCs w:val="24"/>
          <w:rtl/>
          <w:lang w:val="en-US" w:bidi="ar-DZ"/>
        </w:rPr>
        <w:t xml:space="preserve"> </w:t>
      </w:r>
      <w:r w:rsidR="00E23C04" w:rsidRPr="000B60D3">
        <w:rPr>
          <w:rFonts w:ascii="Simplified Arabic" w:hAnsi="Simplified Arabic" w:cs="Simplified Arabic" w:hint="cs"/>
          <w:sz w:val="24"/>
          <w:szCs w:val="24"/>
          <w:rtl/>
          <w:lang w:val="en-US" w:bidi="ar-DZ"/>
        </w:rPr>
        <w:t>ت</w:t>
      </w:r>
      <w:r w:rsidR="00C37F14" w:rsidRPr="000B60D3">
        <w:rPr>
          <w:rFonts w:ascii="Simplified Arabic" w:hAnsi="Simplified Arabic" w:cs="Simplified Arabic" w:hint="cs"/>
          <w:sz w:val="24"/>
          <w:szCs w:val="24"/>
          <w:rtl/>
          <w:lang w:val="en-US" w:bidi="ar-DZ"/>
        </w:rPr>
        <w:t>نخفض</w:t>
      </w:r>
      <w:r w:rsidRPr="000B60D3">
        <w:rPr>
          <w:rFonts w:ascii="Simplified Arabic" w:hAnsi="Simplified Arabic" w:cs="Simplified Arabic"/>
          <w:sz w:val="24"/>
          <w:szCs w:val="24"/>
          <w:rtl/>
          <w:lang w:val="en-US" w:bidi="ar-DZ"/>
        </w:rPr>
        <w:t xml:space="preserve"> </w:t>
      </w:r>
      <w:r w:rsidR="00F377EC" w:rsidRPr="000B60D3">
        <w:rPr>
          <w:rFonts w:ascii="Simplified Arabic" w:hAnsi="Simplified Arabic" w:cs="Simplified Arabic" w:hint="cs"/>
          <w:sz w:val="24"/>
          <w:szCs w:val="24"/>
          <w:rtl/>
          <w:lang w:val="en-US" w:bidi="ar-DZ"/>
        </w:rPr>
        <w:t>قيم</w:t>
      </w:r>
      <w:r w:rsidR="00E23C04" w:rsidRPr="000B60D3">
        <w:rPr>
          <w:rFonts w:ascii="Simplified Arabic" w:hAnsi="Simplified Arabic" w:cs="Simplified Arabic" w:hint="cs"/>
          <w:sz w:val="24"/>
          <w:szCs w:val="24"/>
          <w:rtl/>
          <w:lang w:val="en-US" w:bidi="ar-DZ"/>
        </w:rPr>
        <w:t xml:space="preserve"> </w:t>
      </w:r>
      <w:r w:rsidRPr="000B60D3">
        <w:rPr>
          <w:rFonts w:ascii="Simplified Arabic" w:hAnsi="Simplified Arabic" w:cs="Simplified Arabic" w:hint="cs"/>
          <w:sz w:val="24"/>
          <w:szCs w:val="24"/>
          <w:rtl/>
          <w:lang w:val="en-US" w:bidi="ar-DZ"/>
        </w:rPr>
        <w:t>التنوع</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بشكل</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كبير</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ب</w:t>
      </w:r>
      <w:r w:rsidR="00F2126C" w:rsidRPr="000B60D3">
        <w:rPr>
          <w:rFonts w:ascii="Simplified Arabic" w:hAnsi="Simplified Arabic" w:cs="Simplified Arabic" w:hint="cs"/>
          <w:sz w:val="24"/>
          <w:szCs w:val="24"/>
          <w:rtl/>
          <w:lang w:val="en-US" w:bidi="ar-DZ"/>
        </w:rPr>
        <w:t>فئة النسيج الحضري (جـ، د)</w:t>
      </w:r>
      <w:r w:rsidRPr="000B60D3">
        <w:rPr>
          <w:rFonts w:ascii="Simplified Arabic" w:hAnsi="Simplified Arabic" w:cs="Simplified Arabic"/>
          <w:sz w:val="24"/>
          <w:szCs w:val="24"/>
          <w:rtl/>
          <w:lang w:val="en-US" w:bidi="ar-DZ"/>
        </w:rPr>
        <w:t xml:space="preserve"> </w:t>
      </w:r>
      <w:r w:rsidR="00CA2383">
        <w:rPr>
          <w:rFonts w:ascii="Simplified Arabic" w:hAnsi="Simplified Arabic" w:cs="Simplified Arabic" w:hint="cs"/>
          <w:sz w:val="24"/>
          <w:szCs w:val="24"/>
          <w:rtl/>
          <w:lang w:val="en-US" w:bidi="ar-DZ"/>
        </w:rPr>
        <w:t xml:space="preserve">بسبب </w:t>
      </w:r>
      <w:r w:rsidR="00C37F14" w:rsidRPr="000B60D3">
        <w:rPr>
          <w:rFonts w:ascii="Simplified Arabic" w:hAnsi="Simplified Arabic" w:cs="Simplified Arabic" w:hint="cs"/>
          <w:sz w:val="24"/>
          <w:szCs w:val="24"/>
          <w:rtl/>
          <w:lang w:val="en-US" w:bidi="ar-DZ"/>
        </w:rPr>
        <w:t>قلة</w:t>
      </w:r>
      <w:r w:rsidRPr="000B60D3">
        <w:rPr>
          <w:rFonts w:ascii="Simplified Arabic" w:hAnsi="Simplified Arabic" w:cs="Simplified Arabic"/>
          <w:sz w:val="24"/>
          <w:szCs w:val="24"/>
          <w:rtl/>
          <w:lang w:val="en-US" w:bidi="ar-DZ"/>
        </w:rPr>
        <w:t xml:space="preserve"> </w:t>
      </w:r>
      <w:r w:rsidRPr="000B60D3">
        <w:rPr>
          <w:rFonts w:ascii="Simplified Arabic" w:hAnsi="Simplified Arabic" w:cs="Simplified Arabic" w:hint="cs"/>
          <w:sz w:val="24"/>
          <w:szCs w:val="24"/>
          <w:rtl/>
          <w:lang w:val="en-US" w:bidi="ar-DZ"/>
        </w:rPr>
        <w:t>تنوع</w:t>
      </w:r>
      <w:r w:rsidR="00CA7AC6">
        <w:rPr>
          <w:rFonts w:ascii="Simplified Arabic" w:hAnsi="Simplified Arabic" w:cs="Simplified Arabic" w:hint="cs"/>
          <w:sz w:val="24"/>
          <w:szCs w:val="24"/>
          <w:rtl/>
          <w:lang w:val="en-US" w:bidi="ar-DZ"/>
        </w:rPr>
        <w:t xml:space="preserve"> المرافق.</w:t>
      </w:r>
      <w:r w:rsidR="00CA2383">
        <w:rPr>
          <w:rFonts w:ascii="Simplified Arabic" w:hAnsi="Simplified Arabic" w:cs="Simplified Arabic" w:hint="cs"/>
          <w:sz w:val="24"/>
          <w:szCs w:val="24"/>
          <w:rtl/>
          <w:lang w:val="en-US" w:bidi="ar-DZ"/>
        </w:rPr>
        <w:t xml:space="preserve"> حيث </w:t>
      </w:r>
      <w:r w:rsidR="006A7D73" w:rsidRPr="000B60D3">
        <w:rPr>
          <w:rFonts w:ascii="Simplified Arabic" w:hAnsi="Simplified Arabic" w:cs="Simplified Arabic" w:hint="cs"/>
          <w:sz w:val="24"/>
          <w:szCs w:val="24"/>
          <w:rtl/>
          <w:lang w:val="en-US" w:bidi="ar-DZ"/>
        </w:rPr>
        <w:t>تراوح</w:t>
      </w:r>
      <w:r w:rsidR="006A7D73">
        <w:rPr>
          <w:rFonts w:ascii="Simplified Arabic" w:hAnsi="Simplified Arabic" w:cs="Simplified Arabic" w:hint="cs"/>
          <w:sz w:val="24"/>
          <w:szCs w:val="24"/>
          <w:rtl/>
          <w:lang w:val="en-US" w:bidi="ar-DZ"/>
        </w:rPr>
        <w:t>ت</w:t>
      </w:r>
      <w:r w:rsidR="006A7D73" w:rsidRPr="000B60D3">
        <w:rPr>
          <w:rFonts w:ascii="Simplified Arabic" w:hAnsi="Simplified Arabic" w:cs="Simplified Arabic" w:hint="cs"/>
          <w:sz w:val="24"/>
          <w:szCs w:val="24"/>
          <w:rtl/>
          <w:lang w:val="en-US" w:bidi="ar-DZ"/>
        </w:rPr>
        <w:t xml:space="preserve"> </w:t>
      </w:r>
      <w:r w:rsidR="00F2126C" w:rsidRPr="000B60D3">
        <w:rPr>
          <w:rFonts w:ascii="Simplified Arabic" w:hAnsi="Simplified Arabic" w:cs="Simplified Arabic" w:hint="cs"/>
          <w:sz w:val="24"/>
          <w:szCs w:val="24"/>
          <w:rtl/>
          <w:lang w:val="en-US" w:bidi="ar-DZ"/>
        </w:rPr>
        <w:t xml:space="preserve">نسب </w:t>
      </w:r>
      <w:r w:rsidR="00CA7AC6">
        <w:rPr>
          <w:rFonts w:ascii="Simplified Arabic" w:hAnsi="Simplified Arabic" w:cs="Simplified Arabic" w:hint="cs"/>
          <w:sz w:val="24"/>
          <w:szCs w:val="24"/>
          <w:rtl/>
          <w:lang w:val="en-US" w:bidi="ar-DZ"/>
        </w:rPr>
        <w:t>ال</w:t>
      </w:r>
      <w:r w:rsidR="00E23C04" w:rsidRPr="000B60D3">
        <w:rPr>
          <w:rFonts w:ascii="Simplified Arabic" w:hAnsi="Simplified Arabic" w:cs="Simplified Arabic" w:hint="cs"/>
          <w:sz w:val="24"/>
          <w:szCs w:val="24"/>
          <w:rtl/>
          <w:lang w:val="en-US" w:bidi="ar-DZ"/>
        </w:rPr>
        <w:t xml:space="preserve">تنوع </w:t>
      </w:r>
      <w:r w:rsidR="00CA7AC6">
        <w:rPr>
          <w:rFonts w:ascii="Simplified Arabic" w:hAnsi="Simplified Arabic" w:cs="Simplified Arabic" w:hint="cs"/>
          <w:sz w:val="24"/>
          <w:szCs w:val="24"/>
          <w:rtl/>
          <w:lang w:bidi="ar-DZ"/>
        </w:rPr>
        <w:t>ب</w:t>
      </w:r>
      <w:r w:rsidR="00CA7AC6" w:rsidRPr="000B60D3">
        <w:rPr>
          <w:rFonts w:ascii="Simplified Arabic" w:hAnsi="Simplified Arabic" w:cs="Simplified Arabic" w:hint="cs"/>
          <w:sz w:val="24"/>
          <w:szCs w:val="24"/>
          <w:rtl/>
          <w:lang w:bidi="ar-DZ"/>
        </w:rPr>
        <w:t xml:space="preserve">حي سيدي سليمان </w:t>
      </w:r>
      <w:r w:rsidR="000B60D3" w:rsidRPr="000B60D3">
        <w:rPr>
          <w:rFonts w:ascii="Simplified Arabic" w:hAnsi="Simplified Arabic" w:cs="Simplified Arabic" w:hint="cs"/>
          <w:sz w:val="24"/>
          <w:szCs w:val="24"/>
          <w:rtl/>
          <w:lang w:bidi="ar-DZ"/>
        </w:rPr>
        <w:t xml:space="preserve">بين </w:t>
      </w:r>
      <w:r w:rsidR="000B60D3" w:rsidRPr="000B60D3">
        <w:rPr>
          <w:rFonts w:ascii="Simplified Arabic" w:eastAsia="Times New Roman" w:hAnsi="Simplified Arabic" w:cs="Simplified Arabic" w:hint="cs"/>
          <w:color w:val="000000"/>
          <w:sz w:val="24"/>
          <w:szCs w:val="24"/>
          <w:rtl/>
          <w:lang w:eastAsia="fr-FR"/>
        </w:rPr>
        <w:t>37.46 و63.17</w:t>
      </w:r>
      <w:r w:rsidR="000B60D3" w:rsidRPr="000B60D3">
        <w:rPr>
          <w:rFonts w:ascii="Simplified Arabic" w:hAnsi="Simplified Arabic" w:cs="Simplified Arabic"/>
          <w:sz w:val="24"/>
          <w:szCs w:val="24"/>
          <w:lang w:bidi="ar-DZ"/>
        </w:rPr>
        <w:t>%</w:t>
      </w:r>
      <w:r w:rsidR="000B60D3" w:rsidRPr="000B60D3">
        <w:rPr>
          <w:rFonts w:ascii="Simplified Arabic" w:hAnsi="Simplified Arabic" w:cs="Simplified Arabic" w:hint="cs"/>
          <w:sz w:val="24"/>
          <w:szCs w:val="24"/>
          <w:rtl/>
          <w:lang w:bidi="ar-DZ"/>
        </w:rPr>
        <w:t xml:space="preserve"> و تراوحت بين </w:t>
      </w:r>
      <w:r w:rsidR="000B60D3" w:rsidRPr="000B60D3">
        <w:rPr>
          <w:rFonts w:ascii="Simplified Arabic" w:eastAsia="Times New Roman" w:hAnsi="Simplified Arabic" w:cs="Simplified Arabic" w:hint="cs"/>
          <w:color w:val="000000"/>
          <w:sz w:val="24"/>
          <w:szCs w:val="24"/>
          <w:rtl/>
          <w:lang w:eastAsia="fr-FR"/>
        </w:rPr>
        <w:t>24.02 و74.29</w:t>
      </w:r>
      <w:r w:rsidR="000B60D3" w:rsidRPr="000B60D3">
        <w:rPr>
          <w:rFonts w:ascii="Simplified Arabic" w:hAnsi="Simplified Arabic" w:cs="Simplified Arabic"/>
          <w:sz w:val="24"/>
          <w:szCs w:val="24"/>
          <w:lang w:bidi="ar-DZ"/>
        </w:rPr>
        <w:t>%</w:t>
      </w:r>
      <w:r w:rsidR="000B60D3" w:rsidRPr="000B60D3">
        <w:rPr>
          <w:rFonts w:ascii="Simplified Arabic" w:hAnsi="Simplified Arabic" w:cs="Simplified Arabic" w:hint="cs"/>
          <w:sz w:val="24"/>
          <w:szCs w:val="24"/>
          <w:rtl/>
          <w:lang w:bidi="ar-DZ"/>
        </w:rPr>
        <w:t xml:space="preserve"> </w:t>
      </w:r>
      <w:r w:rsidR="00CA7AC6">
        <w:rPr>
          <w:rFonts w:ascii="Simplified Arabic" w:hAnsi="Simplified Arabic" w:cs="Simplified Arabic" w:hint="cs"/>
          <w:sz w:val="24"/>
          <w:szCs w:val="24"/>
          <w:rtl/>
          <w:lang w:bidi="ar-DZ"/>
        </w:rPr>
        <w:t>ب</w:t>
      </w:r>
      <w:r w:rsidR="000B60D3" w:rsidRPr="000B60D3">
        <w:rPr>
          <w:rFonts w:ascii="Simplified Arabic" w:hAnsi="Simplified Arabic" w:cs="Simplified Arabic" w:hint="cs"/>
          <w:sz w:val="24"/>
          <w:szCs w:val="24"/>
          <w:rtl/>
          <w:lang w:bidi="ar-DZ"/>
        </w:rPr>
        <w:t>حي الحمايد</w:t>
      </w:r>
      <w:r w:rsidR="000B60D3">
        <w:rPr>
          <w:rFonts w:ascii="Simplified Arabic" w:hAnsi="Simplified Arabic" w:cs="Simplified Arabic" w:hint="cs"/>
          <w:sz w:val="24"/>
          <w:szCs w:val="24"/>
          <w:rtl/>
          <w:lang w:bidi="ar-DZ"/>
        </w:rPr>
        <w:t>.</w:t>
      </w:r>
      <w:r w:rsidR="00CA2383" w:rsidRPr="00CA2383">
        <w:rPr>
          <w:rFonts w:ascii="Simplified Arabic" w:hAnsi="Simplified Arabic" w:cs="Simplified Arabic" w:hint="cs"/>
          <w:sz w:val="24"/>
          <w:szCs w:val="24"/>
          <w:rtl/>
          <w:lang w:val="en-US" w:bidi="ar-DZ"/>
        </w:rPr>
        <w:t xml:space="preserve"> </w:t>
      </w:r>
      <w:r w:rsidR="00CA2383">
        <w:rPr>
          <w:rFonts w:ascii="Simplified Arabic" w:hAnsi="Simplified Arabic" w:cs="Simplified Arabic" w:hint="cs"/>
          <w:sz w:val="24"/>
          <w:szCs w:val="24"/>
          <w:rtl/>
          <w:lang w:val="en-US" w:bidi="ar-DZ"/>
        </w:rPr>
        <w:t xml:space="preserve">حيث </w:t>
      </w:r>
      <w:r w:rsidR="00CA2383" w:rsidRPr="007B29E7">
        <w:rPr>
          <w:rFonts w:ascii="Simplified Arabic" w:hAnsi="Simplified Arabic" w:cs="Simplified Arabic"/>
          <w:sz w:val="24"/>
          <w:szCs w:val="24"/>
          <w:rtl/>
          <w:lang w:val="en-US" w:bidi="ar-DZ"/>
        </w:rPr>
        <w:t>أظهر</w:t>
      </w:r>
      <w:r w:rsidR="00CA2383" w:rsidRPr="007B29E7">
        <w:rPr>
          <w:rFonts w:ascii="Simplified Arabic" w:hAnsi="Simplified Arabic" w:cs="Simplified Arabic" w:hint="cs"/>
          <w:sz w:val="24"/>
          <w:szCs w:val="24"/>
          <w:rtl/>
          <w:lang w:val="en-US" w:bidi="ar-DZ"/>
        </w:rPr>
        <w:t>ا نوعًا</w:t>
      </w:r>
      <w:r w:rsidR="00CA2383" w:rsidRPr="007B29E7">
        <w:rPr>
          <w:rFonts w:ascii="Simplified Arabic" w:hAnsi="Simplified Arabic" w:cs="Simplified Arabic"/>
          <w:sz w:val="24"/>
          <w:szCs w:val="24"/>
          <w:rtl/>
          <w:lang w:val="en-US" w:bidi="ar-DZ"/>
        </w:rPr>
        <w:t xml:space="preserve"> </w:t>
      </w:r>
      <w:r w:rsidR="00CA2383" w:rsidRPr="007B29E7">
        <w:rPr>
          <w:rFonts w:ascii="Simplified Arabic" w:hAnsi="Simplified Arabic" w:cs="Simplified Arabic" w:hint="cs"/>
          <w:sz w:val="24"/>
          <w:szCs w:val="24"/>
          <w:rtl/>
          <w:lang w:val="en-US" w:bidi="ar-DZ"/>
        </w:rPr>
        <w:t>متناقصا</w:t>
      </w:r>
      <w:r w:rsidR="00CA2383" w:rsidRPr="007B29E7">
        <w:rPr>
          <w:rFonts w:ascii="Simplified Arabic" w:hAnsi="Simplified Arabic" w:cs="Simplified Arabic"/>
          <w:sz w:val="24"/>
          <w:szCs w:val="24"/>
          <w:rtl/>
          <w:lang w:val="en-US" w:bidi="ar-DZ"/>
        </w:rPr>
        <w:t xml:space="preserve"> </w:t>
      </w:r>
      <w:r w:rsidR="00CA2383" w:rsidRPr="007B29E7">
        <w:rPr>
          <w:rFonts w:ascii="Simplified Arabic" w:hAnsi="Simplified Arabic" w:cs="Simplified Arabic" w:hint="cs"/>
          <w:sz w:val="24"/>
          <w:szCs w:val="24"/>
          <w:rtl/>
          <w:lang w:val="en-US" w:bidi="ar-DZ"/>
        </w:rPr>
        <w:t>لمستوى</w:t>
      </w:r>
      <w:r w:rsidR="00CA2383" w:rsidRPr="007B29E7">
        <w:rPr>
          <w:rFonts w:ascii="Simplified Arabic" w:hAnsi="Simplified Arabic" w:cs="Simplified Arabic"/>
          <w:sz w:val="24"/>
          <w:szCs w:val="24"/>
          <w:rtl/>
          <w:lang w:val="en-US" w:bidi="ar-DZ"/>
        </w:rPr>
        <w:t xml:space="preserve"> </w:t>
      </w:r>
      <w:r w:rsidR="00CA2383" w:rsidRPr="007B29E7">
        <w:rPr>
          <w:rFonts w:ascii="Simplified Arabic" w:hAnsi="Simplified Arabic" w:cs="Simplified Arabic" w:hint="cs"/>
          <w:sz w:val="24"/>
          <w:szCs w:val="24"/>
          <w:rtl/>
          <w:lang w:val="en-US" w:bidi="ar-DZ"/>
        </w:rPr>
        <w:t>إمكانية</w:t>
      </w:r>
      <w:r w:rsidR="00CA2383" w:rsidRPr="007B29E7">
        <w:rPr>
          <w:rFonts w:ascii="Simplified Arabic" w:hAnsi="Simplified Arabic" w:cs="Simplified Arabic"/>
          <w:sz w:val="24"/>
          <w:szCs w:val="24"/>
          <w:rtl/>
          <w:lang w:val="en-US" w:bidi="ar-DZ"/>
        </w:rPr>
        <w:t xml:space="preserve"> </w:t>
      </w:r>
      <w:r w:rsidR="00CA2383" w:rsidRPr="007B29E7">
        <w:rPr>
          <w:rFonts w:ascii="Simplified Arabic" w:hAnsi="Simplified Arabic" w:cs="Simplified Arabic" w:hint="cs"/>
          <w:sz w:val="24"/>
          <w:szCs w:val="24"/>
          <w:rtl/>
          <w:lang w:val="en-US" w:bidi="ar-DZ"/>
        </w:rPr>
        <w:t>الوصول</w:t>
      </w:r>
      <w:r w:rsidR="00CA2383" w:rsidRPr="007B29E7">
        <w:rPr>
          <w:rFonts w:ascii="Simplified Arabic" w:hAnsi="Simplified Arabic" w:cs="Simplified Arabic"/>
          <w:sz w:val="24"/>
          <w:szCs w:val="24"/>
          <w:rtl/>
          <w:lang w:val="en-US" w:bidi="ar-DZ"/>
        </w:rPr>
        <w:t xml:space="preserve"> </w:t>
      </w:r>
      <w:r w:rsidR="00CA2383" w:rsidRPr="007B29E7">
        <w:rPr>
          <w:rFonts w:ascii="Simplified Arabic" w:hAnsi="Simplified Arabic" w:cs="Simplified Arabic" w:hint="cs"/>
          <w:sz w:val="24"/>
          <w:szCs w:val="24"/>
          <w:rtl/>
          <w:lang w:val="en-US" w:bidi="ar-DZ"/>
        </w:rPr>
        <w:t>إلى</w:t>
      </w:r>
      <w:r w:rsidR="00CA2383" w:rsidRPr="007B29E7">
        <w:rPr>
          <w:rFonts w:ascii="Simplified Arabic" w:hAnsi="Simplified Arabic" w:cs="Simplified Arabic"/>
          <w:sz w:val="24"/>
          <w:szCs w:val="24"/>
          <w:rtl/>
          <w:lang w:val="en-US" w:bidi="ar-DZ"/>
        </w:rPr>
        <w:t xml:space="preserve"> </w:t>
      </w:r>
      <w:r w:rsidR="00CA2383" w:rsidRPr="007B29E7">
        <w:rPr>
          <w:rFonts w:ascii="Simplified Arabic" w:hAnsi="Simplified Arabic" w:cs="Simplified Arabic" w:hint="cs"/>
          <w:sz w:val="24"/>
          <w:szCs w:val="24"/>
          <w:rtl/>
          <w:lang w:val="en-US" w:bidi="ar-DZ"/>
        </w:rPr>
        <w:t>المرافق</w:t>
      </w:r>
      <w:r w:rsidR="00CA2383">
        <w:rPr>
          <w:rFonts w:ascii="Simplified Arabic" w:hAnsi="Simplified Arabic" w:cs="Simplified Arabic" w:hint="cs"/>
          <w:sz w:val="24"/>
          <w:szCs w:val="24"/>
          <w:rtl/>
          <w:lang w:val="en-US" w:bidi="ar-DZ"/>
        </w:rPr>
        <w:t xml:space="preserve">، </w:t>
      </w:r>
      <w:r w:rsidR="00C1672B">
        <w:rPr>
          <w:rFonts w:ascii="Simplified Arabic" w:hAnsi="Simplified Arabic" w:cs="Simplified Arabic" w:hint="cs"/>
          <w:sz w:val="24"/>
          <w:szCs w:val="24"/>
          <w:rtl/>
          <w:lang w:val="en-US" w:bidi="ar-DZ"/>
        </w:rPr>
        <w:t>مما</w:t>
      </w:r>
      <w:r w:rsidR="00CA2383">
        <w:rPr>
          <w:rFonts w:ascii="Simplified Arabic" w:hAnsi="Simplified Arabic" w:cs="Simplified Arabic" w:hint="cs"/>
          <w:sz w:val="24"/>
          <w:szCs w:val="24"/>
          <w:rtl/>
          <w:lang w:val="en-US" w:bidi="ar-DZ"/>
        </w:rPr>
        <w:t xml:space="preserve"> قل</w:t>
      </w:r>
      <w:r w:rsidR="00C1672B">
        <w:rPr>
          <w:rFonts w:ascii="Simplified Arabic" w:hAnsi="Simplified Arabic" w:cs="Simplified Arabic" w:hint="cs"/>
          <w:sz w:val="24"/>
          <w:szCs w:val="24"/>
          <w:rtl/>
          <w:lang w:val="en-US" w:bidi="ar-DZ"/>
        </w:rPr>
        <w:t>ّ</w:t>
      </w:r>
      <w:r w:rsidR="00CA2383">
        <w:rPr>
          <w:rFonts w:ascii="Simplified Arabic" w:hAnsi="Simplified Arabic" w:cs="Simplified Arabic" w:hint="cs"/>
          <w:sz w:val="24"/>
          <w:szCs w:val="24"/>
          <w:rtl/>
          <w:lang w:val="en-US" w:bidi="ar-DZ"/>
        </w:rPr>
        <w:t xml:space="preserve">ل من قدرة التكيف المكاني. </w:t>
      </w:r>
    </w:p>
    <w:p w:rsidR="00EF4BE8" w:rsidRDefault="007103FE" w:rsidP="00917F5E">
      <w:pPr>
        <w:bidi/>
        <w:spacing w:after="0"/>
        <w:ind w:firstLine="283"/>
        <w:jc w:val="both"/>
        <w:rPr>
          <w:rFonts w:ascii="Simplified Arabic" w:hAnsi="Simplified Arabic" w:cs="Simplified Arabic"/>
          <w:sz w:val="24"/>
          <w:szCs w:val="24"/>
          <w:rtl/>
          <w:lang w:val="en-US" w:bidi="ar-DZ"/>
        </w:rPr>
      </w:pPr>
      <w:r w:rsidRPr="00C37F14">
        <w:rPr>
          <w:rFonts w:ascii="Simplified Arabic" w:hAnsi="Simplified Arabic" w:cs="Simplified Arabic" w:hint="cs"/>
          <w:sz w:val="24"/>
          <w:szCs w:val="24"/>
          <w:u w:val="single"/>
          <w:rtl/>
          <w:lang w:val="en-US" w:bidi="ar-DZ"/>
        </w:rPr>
        <w:t>فيما</w:t>
      </w:r>
      <w:r w:rsidRPr="00C37F14">
        <w:rPr>
          <w:rFonts w:ascii="Simplified Arabic" w:hAnsi="Simplified Arabic" w:cs="Simplified Arabic"/>
          <w:sz w:val="24"/>
          <w:szCs w:val="24"/>
          <w:u w:val="single"/>
          <w:rtl/>
          <w:lang w:val="en-US" w:bidi="ar-DZ"/>
        </w:rPr>
        <w:t xml:space="preserve"> </w:t>
      </w:r>
      <w:r w:rsidRPr="00C37F14">
        <w:rPr>
          <w:rFonts w:ascii="Simplified Arabic" w:hAnsi="Simplified Arabic" w:cs="Simplified Arabic" w:hint="cs"/>
          <w:sz w:val="24"/>
          <w:szCs w:val="24"/>
          <w:u w:val="single"/>
          <w:rtl/>
          <w:lang w:val="en-US" w:bidi="ar-DZ"/>
        </w:rPr>
        <w:t>يتعلق</w:t>
      </w:r>
      <w:r w:rsidRPr="00C37F14">
        <w:rPr>
          <w:rFonts w:ascii="Simplified Arabic" w:hAnsi="Simplified Arabic" w:cs="Simplified Arabic"/>
          <w:sz w:val="24"/>
          <w:szCs w:val="24"/>
          <w:u w:val="single"/>
          <w:rtl/>
          <w:lang w:val="en-US" w:bidi="ar-DZ"/>
        </w:rPr>
        <w:t xml:space="preserve"> </w:t>
      </w:r>
      <w:r w:rsidRPr="00C37F14">
        <w:rPr>
          <w:rFonts w:ascii="Simplified Arabic" w:hAnsi="Simplified Arabic" w:cs="Simplified Arabic" w:hint="cs"/>
          <w:sz w:val="24"/>
          <w:szCs w:val="24"/>
          <w:u w:val="single"/>
          <w:rtl/>
          <w:lang w:val="en-US" w:bidi="ar-DZ"/>
        </w:rPr>
        <w:t>بالاتصال</w:t>
      </w:r>
      <w:r w:rsidR="00C23656">
        <w:rPr>
          <w:rFonts w:ascii="Simplified Arabic" w:hAnsi="Simplified Arabic" w:cs="Simplified Arabic" w:hint="cs"/>
          <w:sz w:val="24"/>
          <w:szCs w:val="24"/>
          <w:u w:val="single"/>
          <w:rtl/>
          <w:lang w:val="en-US" w:bidi="ar-DZ"/>
        </w:rPr>
        <w:t>ية</w:t>
      </w:r>
      <w:r w:rsidRPr="00AE0657">
        <w:rPr>
          <w:rFonts w:ascii="Simplified Arabic" w:hAnsi="Simplified Arabic" w:cs="Simplified Arabic" w:hint="cs"/>
          <w:sz w:val="24"/>
          <w:szCs w:val="24"/>
          <w:rtl/>
          <w:lang w:val="en-US" w:bidi="ar-DZ"/>
        </w:rPr>
        <w:t>،</w:t>
      </w:r>
      <w:r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يُظهر</w:t>
      </w:r>
      <w:r w:rsidR="00917F5E" w:rsidRPr="00917F5E">
        <w:rPr>
          <w:rFonts w:ascii="Simplified Arabic" w:hAnsi="Simplified Arabic" w:cs="Simplified Arabic" w:hint="cs"/>
          <w:sz w:val="24"/>
          <w:szCs w:val="24"/>
          <w:rtl/>
          <w:lang w:val="en-US" w:bidi="ar-DZ"/>
        </w:rPr>
        <w:t xml:space="preserve"> </w:t>
      </w:r>
      <w:r w:rsidR="00917F5E">
        <w:rPr>
          <w:rFonts w:ascii="Simplified Arabic" w:hAnsi="Simplified Arabic" w:cs="Simplified Arabic" w:hint="cs"/>
          <w:sz w:val="24"/>
          <w:szCs w:val="24"/>
          <w:rtl/>
          <w:lang w:val="en-US" w:bidi="ar-DZ"/>
        </w:rPr>
        <w:t>تحليل</w:t>
      </w:r>
      <w:r w:rsidR="00C37F14" w:rsidRPr="00AE0657">
        <w:rPr>
          <w:rFonts w:ascii="Simplified Arabic" w:hAnsi="Simplified Arabic" w:cs="Simplified Arabic"/>
          <w:sz w:val="24"/>
          <w:szCs w:val="24"/>
          <w:rtl/>
          <w:lang w:val="en-US" w:bidi="ar-DZ"/>
        </w:rPr>
        <w:t xml:space="preserve"> </w:t>
      </w:r>
      <w:r w:rsidR="000D1111">
        <w:rPr>
          <w:rFonts w:ascii="Simplified Arabic" w:hAnsi="Simplified Arabic" w:cs="Simplified Arabic" w:hint="cs"/>
          <w:sz w:val="24"/>
          <w:szCs w:val="24"/>
          <w:rtl/>
        </w:rPr>
        <w:t>استعمال</w:t>
      </w:r>
      <w:r w:rsidR="00C37F14">
        <w:rPr>
          <w:rFonts w:ascii="Simplified Arabic" w:hAnsi="Simplified Arabic" w:cs="Simplified Arabic" w:hint="cs"/>
          <w:sz w:val="24"/>
          <w:szCs w:val="24"/>
          <w:rtl/>
          <w:lang w:val="en-US" w:bidi="ar-DZ"/>
        </w:rPr>
        <w:t xml:space="preserve"> الارض ضمن فئة النسيج الحضري (أ</w:t>
      </w:r>
      <w:r w:rsidR="00295A8E">
        <w:rPr>
          <w:rFonts w:ascii="Simplified Arabic" w:hAnsi="Simplified Arabic" w:cs="Simplified Arabic" w:hint="cs"/>
          <w:sz w:val="24"/>
          <w:szCs w:val="24"/>
          <w:rtl/>
          <w:lang w:val="en-US" w:bidi="ar-DZ"/>
        </w:rPr>
        <w:t>، ب</w:t>
      </w:r>
      <w:r w:rsidR="00C37F14">
        <w:rPr>
          <w:rFonts w:ascii="Simplified Arabic" w:hAnsi="Simplified Arabic" w:cs="Simplified Arabic" w:hint="cs"/>
          <w:sz w:val="24"/>
          <w:szCs w:val="24"/>
          <w:rtl/>
          <w:lang w:val="en-US" w:bidi="ar-DZ"/>
        </w:rPr>
        <w:t>)</w:t>
      </w:r>
      <w:r w:rsidR="00C37F14" w:rsidRPr="00AE0657">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درجة</w:t>
      </w:r>
      <w:r w:rsidR="00295A8E" w:rsidRPr="00AE0657">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عالية</w:t>
      </w:r>
      <w:r w:rsidR="00295A8E" w:rsidRPr="00AE0657">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نسبيًا</w:t>
      </w:r>
      <w:r w:rsidR="00295A8E" w:rsidRPr="00AE0657">
        <w:rPr>
          <w:rFonts w:ascii="Simplified Arabic" w:hAnsi="Simplified Arabic" w:cs="Simplified Arabic"/>
          <w:sz w:val="24"/>
          <w:szCs w:val="24"/>
          <w:rtl/>
          <w:lang w:val="en-US" w:bidi="ar-DZ"/>
        </w:rPr>
        <w:t xml:space="preserve"> </w:t>
      </w:r>
      <w:r w:rsidR="00295A8E">
        <w:rPr>
          <w:rFonts w:ascii="Simplified Arabic" w:hAnsi="Simplified Arabic" w:cs="Simplified Arabic" w:hint="cs"/>
          <w:sz w:val="24"/>
          <w:szCs w:val="24"/>
          <w:rtl/>
          <w:lang w:val="en-US" w:bidi="ar-DZ"/>
        </w:rPr>
        <w:t xml:space="preserve">من </w:t>
      </w:r>
      <w:r w:rsidR="00C37F14" w:rsidRPr="00AE0657">
        <w:rPr>
          <w:rFonts w:ascii="Simplified Arabic" w:hAnsi="Simplified Arabic" w:cs="Simplified Arabic" w:hint="cs"/>
          <w:sz w:val="24"/>
          <w:szCs w:val="24"/>
          <w:rtl/>
          <w:lang w:val="en-US" w:bidi="ar-DZ"/>
        </w:rPr>
        <w:t>الاتصال</w:t>
      </w:r>
      <w:r w:rsidR="00C37F14">
        <w:rPr>
          <w:rFonts w:ascii="Simplified Arabic" w:hAnsi="Simplified Arabic" w:cs="Simplified Arabic" w:hint="cs"/>
          <w:sz w:val="24"/>
          <w:szCs w:val="24"/>
          <w:rtl/>
          <w:lang w:val="en-US" w:bidi="ar-DZ"/>
        </w:rPr>
        <w:t>.</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كان</w:t>
      </w:r>
      <w:r w:rsidR="00C37F14" w:rsidRPr="00AE0657">
        <w:rPr>
          <w:rFonts w:ascii="Simplified Arabic" w:hAnsi="Simplified Arabic" w:cs="Simplified Arabic"/>
          <w:sz w:val="24"/>
          <w:szCs w:val="24"/>
          <w:rtl/>
          <w:lang w:val="en-US" w:bidi="ar-DZ"/>
        </w:rPr>
        <w:t xml:space="preserve"> </w:t>
      </w:r>
      <w:r w:rsidR="00C37F14">
        <w:rPr>
          <w:rFonts w:ascii="Simplified Arabic" w:hAnsi="Simplified Arabic" w:cs="Simplified Arabic" w:hint="cs"/>
          <w:sz w:val="24"/>
          <w:szCs w:val="24"/>
          <w:rtl/>
          <w:lang w:val="en-US" w:bidi="ar-DZ"/>
        </w:rPr>
        <w:t>تواجد الفئة (أ، ب)</w:t>
      </w:r>
      <w:r w:rsidR="00C37F14" w:rsidRPr="00AE0657">
        <w:rPr>
          <w:rFonts w:ascii="Simplified Arabic" w:hAnsi="Simplified Arabic" w:cs="Simplified Arabic"/>
          <w:sz w:val="24"/>
          <w:szCs w:val="24"/>
          <w:rtl/>
          <w:lang w:val="en-US" w:bidi="ar-DZ"/>
        </w:rPr>
        <w:t xml:space="preserve"> </w:t>
      </w:r>
      <w:r w:rsidR="00C37F14">
        <w:rPr>
          <w:rFonts w:ascii="Simplified Arabic" w:hAnsi="Simplified Arabic" w:cs="Simplified Arabic" w:hint="cs"/>
          <w:sz w:val="24"/>
          <w:szCs w:val="24"/>
          <w:rtl/>
          <w:lang w:val="en-US" w:bidi="ar-DZ"/>
        </w:rPr>
        <w:t>بوسط المدينة</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تأثير</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كبير</w:t>
      </w:r>
      <w:r w:rsidR="00C37F14">
        <w:rPr>
          <w:rFonts w:ascii="Simplified Arabic" w:hAnsi="Simplified Arabic" w:cs="Simplified Arabic" w:hint="cs"/>
          <w:sz w:val="24"/>
          <w:szCs w:val="24"/>
          <w:rtl/>
          <w:lang w:val="en-US" w:bidi="ar-DZ"/>
        </w:rPr>
        <w:t xml:space="preserve"> على وفرة الاتصال، </w:t>
      </w:r>
      <w:r w:rsidR="009602CE">
        <w:rPr>
          <w:rFonts w:ascii="Simplified Arabic" w:hAnsi="Simplified Arabic" w:cs="Simplified Arabic" w:hint="cs"/>
          <w:sz w:val="24"/>
          <w:szCs w:val="24"/>
          <w:rtl/>
          <w:lang w:val="en-US" w:bidi="ar-DZ"/>
        </w:rPr>
        <w:t>ب</w:t>
      </w:r>
      <w:r w:rsidR="00D91173">
        <w:rPr>
          <w:rFonts w:ascii="Simplified Arabic" w:hAnsi="Simplified Arabic" w:cs="Simplified Arabic" w:hint="cs"/>
          <w:sz w:val="24"/>
          <w:szCs w:val="24"/>
          <w:rtl/>
          <w:lang w:val="en-US" w:bidi="ar-DZ"/>
        </w:rPr>
        <w:t>متوسط عمق</w:t>
      </w:r>
      <w:r w:rsidR="00C37F14">
        <w:rPr>
          <w:rFonts w:ascii="Simplified Arabic" w:hAnsi="Simplified Arabic" w:cs="Simplified Arabic" w:hint="cs"/>
          <w:sz w:val="24"/>
          <w:szCs w:val="24"/>
          <w:rtl/>
          <w:lang w:val="en-US" w:bidi="ar-DZ"/>
        </w:rPr>
        <w:t xml:space="preserve"> الطرق الرئيسية والثانوية وكثافة الطرق على التوالي: </w:t>
      </w:r>
      <w:r w:rsidR="00A75BBE" w:rsidRPr="0094084B">
        <w:rPr>
          <w:rFonts w:ascii="Simplified Arabic" w:eastAsia="Times New Roman" w:hAnsi="Simplified Arabic" w:cs="Simplified Arabic" w:hint="cs"/>
          <w:color w:val="000000"/>
          <w:sz w:val="24"/>
          <w:szCs w:val="24"/>
          <w:rtl/>
          <w:lang w:eastAsia="fr-FR"/>
        </w:rPr>
        <w:t>670م</w:t>
      </w:r>
      <w:r w:rsidR="00C37F14">
        <w:rPr>
          <w:rFonts w:ascii="Simplified Arabic" w:hAnsi="Simplified Arabic" w:cs="Simplified Arabic" w:hint="cs"/>
          <w:sz w:val="24"/>
          <w:szCs w:val="24"/>
          <w:rtl/>
          <w:lang w:val="en-US" w:bidi="ar-DZ"/>
        </w:rPr>
        <w:t xml:space="preserve"> و </w:t>
      </w:r>
      <w:r w:rsidR="00A75BBE" w:rsidRPr="007605F0">
        <w:rPr>
          <w:rFonts w:ascii="Simplified Arabic" w:eastAsia="Times New Roman" w:hAnsi="Simplified Arabic" w:cs="Simplified Arabic"/>
          <w:color w:val="000000"/>
          <w:sz w:val="24"/>
          <w:szCs w:val="24"/>
          <w:lang w:eastAsia="fr-FR"/>
        </w:rPr>
        <w:t>6,79</w:t>
      </w:r>
      <w:r w:rsidR="00A75BBE">
        <w:rPr>
          <w:rFonts w:ascii="Simplified Arabic" w:eastAsia="Times New Roman" w:hAnsi="Simplified Arabic" w:cs="Simplified Arabic" w:hint="cs"/>
          <w:color w:val="000000"/>
          <w:sz w:val="24"/>
          <w:szCs w:val="24"/>
          <w:rtl/>
          <w:lang w:eastAsia="fr-FR"/>
        </w:rPr>
        <w:t xml:space="preserve"> كم/كم</w:t>
      </w:r>
      <w:r w:rsidR="00A75BBE" w:rsidRPr="00A75BBE">
        <w:rPr>
          <w:rFonts w:ascii="Simplified Arabic" w:eastAsia="Times New Roman" w:hAnsi="Simplified Arabic" w:cs="Simplified Arabic" w:hint="cs"/>
          <w:color w:val="000000"/>
          <w:sz w:val="24"/>
          <w:szCs w:val="24"/>
          <w:vertAlign w:val="superscript"/>
          <w:rtl/>
          <w:lang w:eastAsia="fr-FR"/>
        </w:rPr>
        <w:t>2</w:t>
      </w:r>
      <w:r w:rsidR="00A75BBE">
        <w:rPr>
          <w:rFonts w:ascii="Simplified Arabic" w:hAnsi="Simplified Arabic" w:cs="Simplified Arabic" w:hint="cs"/>
          <w:sz w:val="24"/>
          <w:szCs w:val="24"/>
          <w:rtl/>
          <w:lang w:val="en-US" w:bidi="ar-DZ"/>
        </w:rPr>
        <w:t xml:space="preserve"> </w:t>
      </w:r>
      <w:r w:rsidR="00EF4BE8">
        <w:rPr>
          <w:rFonts w:ascii="Simplified Arabic" w:hAnsi="Simplified Arabic" w:cs="Simplified Arabic" w:hint="cs"/>
          <w:sz w:val="24"/>
          <w:szCs w:val="24"/>
          <w:rtl/>
          <w:lang w:val="en-US" w:bidi="ar-DZ"/>
        </w:rPr>
        <w:t>للفئة (أ)</w:t>
      </w:r>
      <w:r w:rsidR="009602CE">
        <w:rPr>
          <w:rFonts w:ascii="Simplified Arabic" w:hAnsi="Simplified Arabic" w:cs="Simplified Arabic" w:hint="cs"/>
          <w:sz w:val="24"/>
          <w:szCs w:val="24"/>
          <w:rtl/>
          <w:lang w:val="en-US" w:bidi="ar-DZ"/>
        </w:rPr>
        <w:t xml:space="preserve">، </w:t>
      </w:r>
      <w:r w:rsidR="009602CE">
        <w:rPr>
          <w:rFonts w:ascii="Simplified Arabic" w:eastAsia="Times New Roman" w:hAnsi="Simplified Arabic" w:cs="Simplified Arabic" w:hint="cs"/>
          <w:color w:val="000000"/>
          <w:sz w:val="24"/>
          <w:szCs w:val="24"/>
          <w:rtl/>
          <w:lang w:eastAsia="fr-FR"/>
        </w:rPr>
        <w:t>53</w:t>
      </w:r>
      <w:r w:rsidR="009602CE" w:rsidRPr="0094084B">
        <w:rPr>
          <w:rFonts w:ascii="Simplified Arabic" w:eastAsia="Times New Roman" w:hAnsi="Simplified Arabic" w:cs="Simplified Arabic" w:hint="cs"/>
          <w:color w:val="000000"/>
          <w:sz w:val="24"/>
          <w:szCs w:val="24"/>
          <w:rtl/>
          <w:lang w:eastAsia="fr-FR"/>
        </w:rPr>
        <w:t>0م</w:t>
      </w:r>
      <w:r w:rsidR="009602CE">
        <w:rPr>
          <w:rFonts w:ascii="Simplified Arabic" w:hAnsi="Simplified Arabic" w:cs="Simplified Arabic" w:hint="cs"/>
          <w:sz w:val="24"/>
          <w:szCs w:val="24"/>
          <w:rtl/>
          <w:lang w:val="en-US" w:bidi="ar-DZ"/>
        </w:rPr>
        <w:t xml:space="preserve"> و </w:t>
      </w:r>
      <w:r w:rsidR="009602CE" w:rsidRPr="007605F0">
        <w:rPr>
          <w:rFonts w:ascii="Simplified Arabic" w:eastAsia="Times New Roman" w:hAnsi="Simplified Arabic" w:cs="Simplified Arabic"/>
          <w:color w:val="000000"/>
          <w:sz w:val="24"/>
          <w:szCs w:val="24"/>
          <w:lang w:eastAsia="fr-FR"/>
        </w:rPr>
        <w:t>7,74</w:t>
      </w:r>
      <w:r w:rsidR="009602CE">
        <w:rPr>
          <w:rFonts w:ascii="Simplified Arabic" w:eastAsia="Times New Roman" w:hAnsi="Simplified Arabic" w:cs="Simplified Arabic" w:hint="cs"/>
          <w:color w:val="000000"/>
          <w:sz w:val="24"/>
          <w:szCs w:val="24"/>
          <w:rtl/>
          <w:lang w:eastAsia="fr-FR"/>
        </w:rPr>
        <w:t xml:space="preserve"> كم/كم</w:t>
      </w:r>
      <w:r w:rsidR="009602CE" w:rsidRPr="00A75BBE">
        <w:rPr>
          <w:rFonts w:ascii="Simplified Arabic" w:eastAsia="Times New Roman" w:hAnsi="Simplified Arabic" w:cs="Simplified Arabic" w:hint="cs"/>
          <w:color w:val="000000"/>
          <w:sz w:val="24"/>
          <w:szCs w:val="24"/>
          <w:vertAlign w:val="superscript"/>
          <w:rtl/>
          <w:lang w:eastAsia="fr-FR"/>
        </w:rPr>
        <w:t>2</w:t>
      </w:r>
      <w:r w:rsidR="00EF4BE8">
        <w:rPr>
          <w:rFonts w:ascii="Simplified Arabic" w:hAnsi="Simplified Arabic" w:cs="Simplified Arabic" w:hint="cs"/>
          <w:sz w:val="24"/>
          <w:szCs w:val="24"/>
          <w:rtl/>
          <w:lang w:val="en-US" w:bidi="ar-DZ"/>
        </w:rPr>
        <w:t xml:space="preserve"> للفئة (ب)</w:t>
      </w:r>
      <w:r w:rsidR="00BC5890">
        <w:rPr>
          <w:rFonts w:ascii="Simplified Arabic" w:hAnsi="Simplified Arabic" w:cs="Simplified Arabic" w:hint="cs"/>
          <w:sz w:val="24"/>
          <w:szCs w:val="24"/>
          <w:rtl/>
          <w:lang w:val="en-US" w:bidi="ar-DZ"/>
        </w:rPr>
        <w:t xml:space="preserve">، منحهما مستويات </w:t>
      </w:r>
      <w:r w:rsidR="00917F5E">
        <w:rPr>
          <w:rFonts w:ascii="Simplified Arabic" w:hAnsi="Simplified Arabic" w:cs="Simplified Arabic" w:hint="cs"/>
          <w:sz w:val="24"/>
          <w:szCs w:val="24"/>
          <w:rtl/>
          <w:lang w:val="en-US" w:bidi="ar-DZ"/>
        </w:rPr>
        <w:t>قدرة تكيف مكاني افضل</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في</w:t>
      </w:r>
      <w:r w:rsidR="00C37F14" w:rsidRPr="00AE0657">
        <w:rPr>
          <w:rFonts w:ascii="Simplified Arabic" w:hAnsi="Simplified Arabic" w:cs="Simplified Arabic"/>
          <w:sz w:val="24"/>
          <w:szCs w:val="24"/>
          <w:rtl/>
          <w:lang w:val="en-US" w:bidi="ar-DZ"/>
        </w:rPr>
        <w:t xml:space="preserve"> </w:t>
      </w:r>
      <w:r w:rsidR="00C37F14">
        <w:rPr>
          <w:rFonts w:ascii="Simplified Arabic" w:hAnsi="Simplified Arabic" w:cs="Simplified Arabic" w:hint="cs"/>
          <w:sz w:val="24"/>
          <w:szCs w:val="24"/>
          <w:rtl/>
          <w:lang w:val="en-US" w:bidi="ar-DZ"/>
        </w:rPr>
        <w:t>المقابل</w:t>
      </w:r>
      <w:r w:rsidR="00C37F14" w:rsidRPr="00AE0657">
        <w:rPr>
          <w:rFonts w:ascii="Simplified Arabic" w:hAnsi="Simplified Arabic" w:cs="Simplified Arabic" w:hint="cs"/>
          <w:sz w:val="24"/>
          <w:szCs w:val="24"/>
          <w:rtl/>
          <w:lang w:val="en-US" w:bidi="ar-DZ"/>
        </w:rPr>
        <w:t>،</w:t>
      </w:r>
      <w:r w:rsidR="00C37F14" w:rsidRPr="00AE0657">
        <w:rPr>
          <w:rFonts w:ascii="Simplified Arabic" w:hAnsi="Simplified Arabic" w:cs="Simplified Arabic"/>
          <w:sz w:val="24"/>
          <w:szCs w:val="24"/>
          <w:rtl/>
          <w:lang w:val="en-US" w:bidi="ar-DZ"/>
        </w:rPr>
        <w:t xml:space="preserve"> </w:t>
      </w:r>
      <w:r w:rsidR="00C37F14">
        <w:rPr>
          <w:rFonts w:ascii="Simplified Arabic" w:hAnsi="Simplified Arabic" w:cs="Simplified Arabic" w:hint="cs"/>
          <w:sz w:val="24"/>
          <w:szCs w:val="24"/>
          <w:rtl/>
          <w:lang w:val="en-US" w:bidi="ar-DZ"/>
        </w:rPr>
        <w:t>ينخفض</w:t>
      </w:r>
      <w:r w:rsidR="00C37F14" w:rsidRPr="00AE0657">
        <w:rPr>
          <w:rFonts w:ascii="Simplified Arabic" w:hAnsi="Simplified Arabic" w:cs="Simplified Arabic"/>
          <w:sz w:val="24"/>
          <w:szCs w:val="24"/>
          <w:rtl/>
          <w:lang w:val="en-US" w:bidi="ar-DZ"/>
        </w:rPr>
        <w:t xml:space="preserve"> </w:t>
      </w:r>
      <w:r w:rsidR="00295A8E">
        <w:rPr>
          <w:rFonts w:ascii="Simplified Arabic" w:hAnsi="Simplified Arabic" w:cs="Simplified Arabic" w:hint="cs"/>
          <w:sz w:val="24"/>
          <w:szCs w:val="24"/>
          <w:rtl/>
          <w:lang w:val="en-US" w:bidi="ar-DZ"/>
        </w:rPr>
        <w:t>الاتصال</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بشكل</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كبير</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ب</w:t>
      </w:r>
      <w:r w:rsidR="00C37F14">
        <w:rPr>
          <w:rFonts w:ascii="Simplified Arabic" w:hAnsi="Simplified Arabic" w:cs="Simplified Arabic" w:hint="cs"/>
          <w:sz w:val="24"/>
          <w:szCs w:val="24"/>
          <w:rtl/>
          <w:lang w:val="en-US" w:bidi="ar-DZ"/>
        </w:rPr>
        <w:t>فئة النسيج الحضري (جـ، د)</w:t>
      </w:r>
      <w:r w:rsidR="00C37F14" w:rsidRPr="00AE0657">
        <w:rPr>
          <w:rFonts w:ascii="Simplified Arabic" w:hAnsi="Simplified Arabic" w:cs="Simplified Arabic" w:hint="cs"/>
          <w:sz w:val="24"/>
          <w:szCs w:val="24"/>
          <w:rtl/>
          <w:lang w:val="en-US" w:bidi="ar-DZ"/>
        </w:rPr>
        <w:t>،</w:t>
      </w:r>
      <w:r w:rsidR="00C37F14" w:rsidRPr="00AE0657">
        <w:rPr>
          <w:rFonts w:ascii="Simplified Arabic" w:hAnsi="Simplified Arabic" w:cs="Simplified Arabic"/>
          <w:sz w:val="24"/>
          <w:szCs w:val="24"/>
          <w:rtl/>
          <w:lang w:val="en-US" w:bidi="ar-DZ"/>
        </w:rPr>
        <w:t xml:space="preserve"> </w:t>
      </w:r>
      <w:r w:rsidR="00C37F14" w:rsidRPr="00AE0657">
        <w:rPr>
          <w:rFonts w:ascii="Simplified Arabic" w:hAnsi="Simplified Arabic" w:cs="Simplified Arabic" w:hint="cs"/>
          <w:sz w:val="24"/>
          <w:szCs w:val="24"/>
          <w:rtl/>
          <w:lang w:val="en-US" w:bidi="ar-DZ"/>
        </w:rPr>
        <w:t>مقارنة</w:t>
      </w:r>
      <w:r w:rsidR="00C37F14" w:rsidRPr="00AE0657">
        <w:rPr>
          <w:rFonts w:ascii="Simplified Arabic" w:hAnsi="Simplified Arabic" w:cs="Simplified Arabic"/>
          <w:sz w:val="24"/>
          <w:szCs w:val="24"/>
          <w:rtl/>
          <w:lang w:val="en-US" w:bidi="ar-DZ"/>
        </w:rPr>
        <w:t xml:space="preserve"> </w:t>
      </w:r>
      <w:r w:rsidR="00C37F14">
        <w:rPr>
          <w:rFonts w:ascii="Simplified Arabic" w:hAnsi="Simplified Arabic" w:cs="Simplified Arabic" w:hint="cs"/>
          <w:sz w:val="24"/>
          <w:szCs w:val="24"/>
          <w:rtl/>
          <w:lang w:val="en-US" w:bidi="ar-DZ"/>
        </w:rPr>
        <w:t>بالفئة (أ، ب)</w:t>
      </w:r>
      <w:r w:rsidR="00C37F14" w:rsidRPr="00AE0657">
        <w:rPr>
          <w:rFonts w:ascii="Simplified Arabic" w:hAnsi="Simplified Arabic" w:cs="Simplified Arabic" w:hint="cs"/>
          <w:sz w:val="24"/>
          <w:szCs w:val="24"/>
          <w:rtl/>
          <w:lang w:val="en-US" w:bidi="ar-DZ"/>
        </w:rPr>
        <w:t xml:space="preserve"> وذلك</w:t>
      </w:r>
      <w:r w:rsidR="00C37F14" w:rsidRPr="00AE0657">
        <w:rPr>
          <w:rFonts w:ascii="Simplified Arabic" w:hAnsi="Simplified Arabic" w:cs="Simplified Arabic"/>
          <w:sz w:val="24"/>
          <w:szCs w:val="24"/>
          <w:rtl/>
          <w:lang w:val="en-US" w:bidi="ar-DZ"/>
        </w:rPr>
        <w:t xml:space="preserve"> </w:t>
      </w:r>
      <w:r w:rsidR="00C37F14">
        <w:rPr>
          <w:rFonts w:ascii="Simplified Arabic" w:hAnsi="Simplified Arabic" w:cs="Simplified Arabic" w:hint="cs"/>
          <w:sz w:val="24"/>
          <w:szCs w:val="24"/>
          <w:rtl/>
          <w:lang w:val="en-US" w:bidi="ar-DZ"/>
        </w:rPr>
        <w:t>ل</w:t>
      </w:r>
      <w:r w:rsidR="009602CE">
        <w:rPr>
          <w:rFonts w:ascii="Simplified Arabic" w:hAnsi="Simplified Arabic" w:cs="Simplified Arabic" w:hint="cs"/>
          <w:sz w:val="24"/>
          <w:szCs w:val="24"/>
          <w:rtl/>
          <w:lang w:val="en-US" w:bidi="ar-DZ"/>
        </w:rPr>
        <w:t xml:space="preserve">زيادة متوسط عمق الطرق </w:t>
      </w:r>
      <w:r w:rsidR="00295A8E">
        <w:rPr>
          <w:rFonts w:ascii="Simplified Arabic" w:hAnsi="Simplified Arabic" w:cs="Simplified Arabic" w:hint="cs"/>
          <w:sz w:val="24"/>
          <w:szCs w:val="24"/>
          <w:rtl/>
          <w:lang w:val="en-US" w:bidi="ar-DZ"/>
        </w:rPr>
        <w:t>الرئيسية والثانوية و</w:t>
      </w:r>
      <w:r w:rsidR="009602CE">
        <w:rPr>
          <w:rFonts w:ascii="Simplified Arabic" w:hAnsi="Simplified Arabic" w:cs="Simplified Arabic" w:hint="cs"/>
          <w:sz w:val="24"/>
          <w:szCs w:val="24"/>
          <w:rtl/>
          <w:lang w:val="en-US" w:bidi="ar-DZ"/>
        </w:rPr>
        <w:t xml:space="preserve">انخفاض </w:t>
      </w:r>
      <w:r w:rsidR="00295A8E">
        <w:rPr>
          <w:rFonts w:ascii="Simplified Arabic" w:hAnsi="Simplified Arabic" w:cs="Simplified Arabic" w:hint="cs"/>
          <w:sz w:val="24"/>
          <w:szCs w:val="24"/>
          <w:rtl/>
          <w:lang w:val="en-US" w:bidi="ar-DZ"/>
        </w:rPr>
        <w:t>كثافة الطرق</w:t>
      </w:r>
      <w:r w:rsidR="00CA7AC6">
        <w:rPr>
          <w:rFonts w:ascii="Simplified Arabic" w:hAnsi="Simplified Arabic" w:cs="Simplified Arabic" w:hint="cs"/>
          <w:sz w:val="24"/>
          <w:szCs w:val="24"/>
          <w:rtl/>
          <w:lang w:val="en-US" w:bidi="ar-DZ"/>
        </w:rPr>
        <w:t>،</w:t>
      </w:r>
      <w:r w:rsidR="00295A8E">
        <w:rPr>
          <w:rFonts w:ascii="Simplified Arabic" w:hAnsi="Simplified Arabic" w:cs="Simplified Arabic" w:hint="cs"/>
          <w:sz w:val="24"/>
          <w:szCs w:val="24"/>
          <w:rtl/>
          <w:lang w:val="en-US" w:bidi="ar-DZ"/>
        </w:rPr>
        <w:t xml:space="preserve"> </w:t>
      </w:r>
      <w:r w:rsidR="00CA7AC6">
        <w:rPr>
          <w:rFonts w:ascii="Simplified Arabic" w:hAnsi="Simplified Arabic" w:cs="Simplified Arabic" w:hint="cs"/>
          <w:sz w:val="24"/>
          <w:szCs w:val="24"/>
          <w:rtl/>
          <w:lang w:val="en-US" w:bidi="ar-DZ"/>
        </w:rPr>
        <w:t xml:space="preserve">كانت </w:t>
      </w:r>
      <w:r w:rsidR="00295A8E">
        <w:rPr>
          <w:rFonts w:ascii="Simplified Arabic" w:hAnsi="Simplified Arabic" w:cs="Simplified Arabic" w:hint="cs"/>
          <w:sz w:val="24"/>
          <w:szCs w:val="24"/>
          <w:rtl/>
          <w:lang w:val="en-US" w:bidi="ar-DZ"/>
        </w:rPr>
        <w:t>على التوالي</w:t>
      </w:r>
      <w:r w:rsidR="00EF4BE8">
        <w:rPr>
          <w:rFonts w:ascii="Simplified Arabic" w:hAnsi="Simplified Arabic" w:cs="Simplified Arabic" w:hint="cs"/>
          <w:sz w:val="24"/>
          <w:szCs w:val="24"/>
          <w:rtl/>
          <w:lang w:val="en-US" w:bidi="ar-DZ"/>
        </w:rPr>
        <w:t xml:space="preserve">: </w:t>
      </w:r>
      <w:r w:rsidR="009602CE">
        <w:rPr>
          <w:rFonts w:ascii="Simplified Arabic" w:eastAsia="Times New Roman" w:hAnsi="Simplified Arabic" w:cs="Simplified Arabic" w:hint="cs"/>
          <w:color w:val="000000"/>
          <w:sz w:val="24"/>
          <w:szCs w:val="24"/>
          <w:rtl/>
          <w:lang w:eastAsia="fr-FR"/>
        </w:rPr>
        <w:t>1253</w:t>
      </w:r>
      <w:r w:rsidR="009602CE" w:rsidRPr="0094084B">
        <w:rPr>
          <w:rFonts w:ascii="Simplified Arabic" w:eastAsia="Times New Roman" w:hAnsi="Simplified Arabic" w:cs="Simplified Arabic" w:hint="cs"/>
          <w:color w:val="000000"/>
          <w:sz w:val="24"/>
          <w:szCs w:val="24"/>
          <w:rtl/>
          <w:lang w:eastAsia="fr-FR"/>
        </w:rPr>
        <w:t>م</w:t>
      </w:r>
      <w:r w:rsidR="009602CE">
        <w:rPr>
          <w:rFonts w:ascii="Simplified Arabic" w:hAnsi="Simplified Arabic" w:cs="Simplified Arabic" w:hint="cs"/>
          <w:sz w:val="24"/>
          <w:szCs w:val="24"/>
          <w:rtl/>
          <w:lang w:val="en-US" w:bidi="ar-DZ"/>
        </w:rPr>
        <w:t xml:space="preserve"> و </w:t>
      </w:r>
      <w:r w:rsidR="009602CE">
        <w:rPr>
          <w:rFonts w:ascii="Simplified Arabic" w:eastAsia="Times New Roman" w:hAnsi="Simplified Arabic" w:cs="Simplified Arabic"/>
          <w:color w:val="000000"/>
          <w:sz w:val="24"/>
          <w:szCs w:val="24"/>
          <w:lang w:eastAsia="fr-FR"/>
        </w:rPr>
        <w:t>3</w:t>
      </w:r>
      <w:r w:rsidR="009602CE" w:rsidRPr="007605F0">
        <w:rPr>
          <w:rFonts w:ascii="Simplified Arabic" w:eastAsia="Times New Roman" w:hAnsi="Simplified Arabic" w:cs="Simplified Arabic"/>
          <w:color w:val="000000"/>
          <w:sz w:val="24"/>
          <w:szCs w:val="24"/>
          <w:lang w:eastAsia="fr-FR"/>
        </w:rPr>
        <w:t>,</w:t>
      </w:r>
      <w:r w:rsidR="009602CE">
        <w:rPr>
          <w:rFonts w:ascii="Simplified Arabic" w:eastAsia="Times New Roman" w:hAnsi="Simplified Arabic" w:cs="Simplified Arabic"/>
          <w:color w:val="000000"/>
          <w:sz w:val="24"/>
          <w:szCs w:val="24"/>
          <w:lang w:eastAsia="fr-FR"/>
        </w:rPr>
        <w:t>15</w:t>
      </w:r>
      <w:r w:rsidR="009602CE">
        <w:rPr>
          <w:rFonts w:ascii="Simplified Arabic" w:eastAsia="Times New Roman" w:hAnsi="Simplified Arabic" w:cs="Simplified Arabic" w:hint="cs"/>
          <w:color w:val="000000"/>
          <w:sz w:val="24"/>
          <w:szCs w:val="24"/>
          <w:rtl/>
          <w:lang w:eastAsia="fr-FR"/>
        </w:rPr>
        <w:t xml:space="preserve"> كم/كم</w:t>
      </w:r>
      <w:r w:rsidR="009602CE" w:rsidRPr="00A75BBE">
        <w:rPr>
          <w:rFonts w:ascii="Simplified Arabic" w:eastAsia="Times New Roman" w:hAnsi="Simplified Arabic" w:cs="Simplified Arabic" w:hint="cs"/>
          <w:color w:val="000000"/>
          <w:sz w:val="24"/>
          <w:szCs w:val="24"/>
          <w:vertAlign w:val="superscript"/>
          <w:rtl/>
          <w:lang w:eastAsia="fr-FR"/>
        </w:rPr>
        <w:t>2</w:t>
      </w:r>
      <w:r w:rsidR="00EF4BE8">
        <w:rPr>
          <w:rFonts w:ascii="Simplified Arabic" w:hAnsi="Simplified Arabic" w:cs="Simplified Arabic" w:hint="cs"/>
          <w:sz w:val="24"/>
          <w:szCs w:val="24"/>
          <w:rtl/>
          <w:lang w:val="en-US" w:bidi="ar-DZ"/>
        </w:rPr>
        <w:t xml:space="preserve"> للفئة (جـ)</w:t>
      </w:r>
      <w:r w:rsidR="00CA7AC6">
        <w:rPr>
          <w:rFonts w:ascii="Simplified Arabic" w:hAnsi="Simplified Arabic" w:cs="Simplified Arabic" w:hint="cs"/>
          <w:sz w:val="24"/>
          <w:szCs w:val="24"/>
          <w:rtl/>
          <w:lang w:val="en-US" w:bidi="ar-DZ"/>
        </w:rPr>
        <w:t xml:space="preserve"> و</w:t>
      </w:r>
      <w:r w:rsidR="00EF4BE8">
        <w:rPr>
          <w:rFonts w:ascii="Simplified Arabic" w:hAnsi="Simplified Arabic" w:cs="Simplified Arabic" w:hint="cs"/>
          <w:sz w:val="24"/>
          <w:szCs w:val="24"/>
          <w:rtl/>
          <w:lang w:val="en-US" w:bidi="ar-DZ"/>
        </w:rPr>
        <w:t xml:space="preserve"> </w:t>
      </w:r>
      <w:r w:rsidR="009602CE" w:rsidRPr="0094084B">
        <w:rPr>
          <w:rFonts w:ascii="Simplified Arabic" w:eastAsia="Times New Roman" w:hAnsi="Simplified Arabic" w:cs="Simplified Arabic" w:hint="cs"/>
          <w:color w:val="000000"/>
          <w:sz w:val="24"/>
          <w:szCs w:val="24"/>
          <w:rtl/>
          <w:lang w:eastAsia="fr-FR"/>
        </w:rPr>
        <w:t>670م</w:t>
      </w:r>
      <w:r w:rsidR="009602CE">
        <w:rPr>
          <w:rFonts w:ascii="Simplified Arabic" w:hAnsi="Simplified Arabic" w:cs="Simplified Arabic" w:hint="cs"/>
          <w:sz w:val="24"/>
          <w:szCs w:val="24"/>
          <w:rtl/>
          <w:lang w:val="en-US" w:bidi="ar-DZ"/>
        </w:rPr>
        <w:t xml:space="preserve"> و </w:t>
      </w:r>
      <w:r w:rsidR="009602CE">
        <w:rPr>
          <w:rFonts w:ascii="Simplified Arabic" w:eastAsia="Times New Roman" w:hAnsi="Simplified Arabic" w:cs="Simplified Arabic"/>
          <w:color w:val="000000"/>
          <w:sz w:val="24"/>
          <w:szCs w:val="24"/>
          <w:lang w:eastAsia="fr-FR"/>
        </w:rPr>
        <w:t>4</w:t>
      </w:r>
      <w:r w:rsidR="009602CE" w:rsidRPr="007605F0">
        <w:rPr>
          <w:rFonts w:ascii="Simplified Arabic" w:eastAsia="Times New Roman" w:hAnsi="Simplified Arabic" w:cs="Simplified Arabic"/>
          <w:color w:val="000000"/>
          <w:sz w:val="24"/>
          <w:szCs w:val="24"/>
          <w:lang w:eastAsia="fr-FR"/>
        </w:rPr>
        <w:t>,</w:t>
      </w:r>
      <w:r w:rsidR="009602CE">
        <w:rPr>
          <w:rFonts w:ascii="Simplified Arabic" w:eastAsia="Times New Roman" w:hAnsi="Simplified Arabic" w:cs="Simplified Arabic"/>
          <w:color w:val="000000"/>
          <w:sz w:val="24"/>
          <w:szCs w:val="24"/>
          <w:lang w:eastAsia="fr-FR"/>
        </w:rPr>
        <w:t>56</w:t>
      </w:r>
      <w:r w:rsidR="009602CE">
        <w:rPr>
          <w:rFonts w:ascii="Simplified Arabic" w:eastAsia="Times New Roman" w:hAnsi="Simplified Arabic" w:cs="Simplified Arabic" w:hint="cs"/>
          <w:color w:val="000000"/>
          <w:sz w:val="24"/>
          <w:szCs w:val="24"/>
          <w:rtl/>
          <w:lang w:eastAsia="fr-FR"/>
        </w:rPr>
        <w:t xml:space="preserve"> كم/كم</w:t>
      </w:r>
      <w:r w:rsidR="009602CE" w:rsidRPr="00A75BBE">
        <w:rPr>
          <w:rFonts w:ascii="Simplified Arabic" w:eastAsia="Times New Roman" w:hAnsi="Simplified Arabic" w:cs="Simplified Arabic" w:hint="cs"/>
          <w:color w:val="000000"/>
          <w:sz w:val="24"/>
          <w:szCs w:val="24"/>
          <w:vertAlign w:val="superscript"/>
          <w:rtl/>
          <w:lang w:eastAsia="fr-FR"/>
        </w:rPr>
        <w:t>2</w:t>
      </w:r>
      <w:r w:rsidR="009602CE">
        <w:rPr>
          <w:rFonts w:ascii="Simplified Arabic" w:hAnsi="Simplified Arabic" w:cs="Simplified Arabic" w:hint="cs"/>
          <w:sz w:val="24"/>
          <w:szCs w:val="24"/>
          <w:rtl/>
          <w:lang w:val="en-US" w:bidi="ar-DZ"/>
        </w:rPr>
        <w:t xml:space="preserve"> </w:t>
      </w:r>
      <w:r w:rsidR="00EF4BE8">
        <w:rPr>
          <w:rFonts w:ascii="Simplified Arabic" w:hAnsi="Simplified Arabic" w:cs="Simplified Arabic" w:hint="cs"/>
          <w:sz w:val="24"/>
          <w:szCs w:val="24"/>
          <w:rtl/>
          <w:lang w:val="en-US" w:bidi="ar-DZ"/>
        </w:rPr>
        <w:t>للفئة (د)</w:t>
      </w:r>
      <w:r w:rsidR="00EF4BE8" w:rsidRPr="00AE0657">
        <w:rPr>
          <w:rFonts w:ascii="Simplified Arabic" w:hAnsi="Simplified Arabic" w:cs="Simplified Arabic"/>
          <w:sz w:val="24"/>
          <w:szCs w:val="24"/>
          <w:rtl/>
          <w:lang w:val="en-US" w:bidi="ar-DZ"/>
        </w:rPr>
        <w:t xml:space="preserve">. </w:t>
      </w:r>
    </w:p>
    <w:p w:rsidR="00917F5E" w:rsidRDefault="007103FE" w:rsidP="00E53FE3">
      <w:pPr>
        <w:bidi/>
        <w:spacing w:after="0"/>
        <w:ind w:firstLine="283"/>
        <w:jc w:val="both"/>
        <w:rPr>
          <w:rFonts w:ascii="Simplified Arabic" w:hAnsi="Simplified Arabic" w:cs="Simplified Arabic"/>
          <w:sz w:val="24"/>
          <w:szCs w:val="24"/>
          <w:lang w:bidi="ar-DZ"/>
        </w:rPr>
      </w:pPr>
      <w:r w:rsidRPr="00295A8E">
        <w:rPr>
          <w:rFonts w:ascii="Simplified Arabic" w:hAnsi="Simplified Arabic" w:cs="Simplified Arabic" w:hint="cs"/>
          <w:sz w:val="24"/>
          <w:szCs w:val="24"/>
          <w:u w:val="single"/>
          <w:rtl/>
          <w:lang w:val="en-US" w:bidi="ar-DZ"/>
        </w:rPr>
        <w:lastRenderedPageBreak/>
        <w:t>من</w:t>
      </w:r>
      <w:r w:rsidRPr="00295A8E">
        <w:rPr>
          <w:rFonts w:ascii="Simplified Arabic" w:hAnsi="Simplified Arabic" w:cs="Simplified Arabic"/>
          <w:sz w:val="24"/>
          <w:szCs w:val="24"/>
          <w:u w:val="single"/>
          <w:rtl/>
          <w:lang w:val="en-US" w:bidi="ar-DZ"/>
        </w:rPr>
        <w:t xml:space="preserve"> </w:t>
      </w:r>
      <w:r w:rsidRPr="00295A8E">
        <w:rPr>
          <w:rFonts w:ascii="Simplified Arabic" w:hAnsi="Simplified Arabic" w:cs="Simplified Arabic" w:hint="cs"/>
          <w:sz w:val="24"/>
          <w:szCs w:val="24"/>
          <w:u w:val="single"/>
          <w:rtl/>
          <w:lang w:val="en-US" w:bidi="ar-DZ"/>
        </w:rPr>
        <w:t>حيث</w:t>
      </w:r>
      <w:r w:rsidRPr="00295A8E">
        <w:rPr>
          <w:rFonts w:ascii="Simplified Arabic" w:hAnsi="Simplified Arabic" w:cs="Simplified Arabic"/>
          <w:sz w:val="24"/>
          <w:szCs w:val="24"/>
          <w:u w:val="single"/>
          <w:rtl/>
          <w:lang w:val="en-US" w:bidi="ar-DZ"/>
        </w:rPr>
        <w:t xml:space="preserve"> </w:t>
      </w:r>
      <w:r w:rsidRPr="00295A8E">
        <w:rPr>
          <w:rFonts w:ascii="Simplified Arabic" w:hAnsi="Simplified Arabic" w:cs="Simplified Arabic" w:hint="cs"/>
          <w:sz w:val="24"/>
          <w:szCs w:val="24"/>
          <w:u w:val="single"/>
          <w:rtl/>
          <w:lang w:val="en-US" w:bidi="ar-DZ"/>
        </w:rPr>
        <w:t>التكرار</w:t>
      </w:r>
      <w:r w:rsidRPr="00295A8E">
        <w:rPr>
          <w:rFonts w:ascii="Simplified Arabic" w:hAnsi="Simplified Arabic" w:cs="Simplified Arabic" w:hint="cs"/>
          <w:sz w:val="24"/>
          <w:szCs w:val="24"/>
          <w:rtl/>
          <w:lang w:val="en-US" w:bidi="ar-DZ"/>
        </w:rPr>
        <w:t>،</w:t>
      </w:r>
      <w:r w:rsidRPr="00295A8E">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يُظهر</w:t>
      </w:r>
      <w:r w:rsidR="00917F5E" w:rsidRPr="00917F5E">
        <w:rPr>
          <w:rFonts w:ascii="Simplified Arabic" w:hAnsi="Simplified Arabic" w:cs="Simplified Arabic" w:hint="cs"/>
          <w:sz w:val="24"/>
          <w:szCs w:val="24"/>
          <w:rtl/>
          <w:lang w:val="en-US" w:bidi="ar-DZ"/>
        </w:rPr>
        <w:t xml:space="preserve"> </w:t>
      </w:r>
      <w:r w:rsidR="00917F5E">
        <w:rPr>
          <w:rFonts w:ascii="Simplified Arabic" w:hAnsi="Simplified Arabic" w:cs="Simplified Arabic" w:hint="cs"/>
          <w:sz w:val="24"/>
          <w:szCs w:val="24"/>
          <w:rtl/>
          <w:lang w:val="en-US" w:bidi="ar-DZ"/>
        </w:rPr>
        <w:t>تحليل</w:t>
      </w:r>
      <w:r w:rsidR="00295A8E" w:rsidRPr="00AE0657">
        <w:rPr>
          <w:rFonts w:ascii="Simplified Arabic" w:hAnsi="Simplified Arabic" w:cs="Simplified Arabic"/>
          <w:sz w:val="24"/>
          <w:szCs w:val="24"/>
          <w:rtl/>
          <w:lang w:val="en-US" w:bidi="ar-DZ"/>
        </w:rPr>
        <w:t xml:space="preserve"> </w:t>
      </w:r>
      <w:r w:rsidR="000D1111">
        <w:rPr>
          <w:rFonts w:ascii="Simplified Arabic" w:hAnsi="Simplified Arabic" w:cs="Simplified Arabic" w:hint="cs"/>
          <w:sz w:val="24"/>
          <w:szCs w:val="24"/>
          <w:rtl/>
        </w:rPr>
        <w:t>استعمالات</w:t>
      </w:r>
      <w:r w:rsidR="00295A8E">
        <w:rPr>
          <w:rFonts w:ascii="Simplified Arabic" w:hAnsi="Simplified Arabic" w:cs="Simplified Arabic" w:hint="cs"/>
          <w:sz w:val="24"/>
          <w:szCs w:val="24"/>
          <w:rtl/>
          <w:lang w:val="en-US" w:bidi="ar-DZ"/>
        </w:rPr>
        <w:t xml:space="preserve"> الارض </w:t>
      </w:r>
      <w:r w:rsidR="00CA7AC6">
        <w:rPr>
          <w:rFonts w:ascii="Simplified Arabic" w:hAnsi="Simplified Arabic" w:cs="Simplified Arabic" w:hint="cs"/>
          <w:sz w:val="24"/>
          <w:szCs w:val="24"/>
          <w:rtl/>
          <w:lang w:val="en-US" w:bidi="ar-DZ"/>
        </w:rPr>
        <w:t xml:space="preserve">بحي القصر الواقع ضمن </w:t>
      </w:r>
      <w:r w:rsidR="00295A8E">
        <w:rPr>
          <w:rFonts w:ascii="Simplified Arabic" w:hAnsi="Simplified Arabic" w:cs="Simplified Arabic" w:hint="cs"/>
          <w:sz w:val="24"/>
          <w:szCs w:val="24"/>
          <w:rtl/>
          <w:lang w:val="en-US" w:bidi="ar-DZ"/>
        </w:rPr>
        <w:t>فئة النسيج الحضري (أ)، تكرار تقاطعات الطرق</w:t>
      </w:r>
      <w:r w:rsidR="00CA7AC6">
        <w:rPr>
          <w:rFonts w:ascii="Simplified Arabic" w:hAnsi="Simplified Arabic" w:cs="Simplified Arabic" w:hint="cs"/>
          <w:sz w:val="24"/>
          <w:szCs w:val="24"/>
          <w:rtl/>
          <w:lang w:val="en-US" w:bidi="ar-DZ"/>
        </w:rPr>
        <w:t xml:space="preserve"> بدرجة اقل</w:t>
      </w:r>
      <w:r w:rsidRPr="00AE0657">
        <w:rPr>
          <w:rFonts w:ascii="Simplified Arabic" w:hAnsi="Simplified Arabic" w:cs="Simplified Arabic" w:hint="cs"/>
          <w:sz w:val="24"/>
          <w:szCs w:val="24"/>
          <w:rtl/>
          <w:lang w:val="en-US" w:bidi="ar-DZ"/>
        </w:rPr>
        <w:t>،</w:t>
      </w:r>
      <w:r w:rsidRPr="00AE0657">
        <w:rPr>
          <w:rFonts w:ascii="Simplified Arabic" w:hAnsi="Simplified Arabic" w:cs="Simplified Arabic"/>
          <w:sz w:val="24"/>
          <w:szCs w:val="24"/>
          <w:rtl/>
          <w:lang w:val="en-US" w:bidi="ar-DZ"/>
        </w:rPr>
        <w:t xml:space="preserve"> </w:t>
      </w:r>
      <w:r w:rsidR="0043696E" w:rsidRPr="00AE0657">
        <w:rPr>
          <w:rFonts w:ascii="Simplified Arabic" w:hAnsi="Simplified Arabic" w:cs="Simplified Arabic" w:hint="cs"/>
          <w:sz w:val="24"/>
          <w:szCs w:val="24"/>
          <w:rtl/>
          <w:lang w:val="en-US" w:bidi="ar-DZ"/>
        </w:rPr>
        <w:t>أتاح</w:t>
      </w:r>
      <w:r w:rsidR="0043696E"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تكوين</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شبكة</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شوارع</w:t>
      </w:r>
      <w:r w:rsidR="00917F5E">
        <w:rPr>
          <w:rFonts w:ascii="Simplified Arabic" w:hAnsi="Simplified Arabic" w:cs="Simplified Arabic" w:hint="cs"/>
          <w:sz w:val="24"/>
          <w:szCs w:val="24"/>
          <w:rtl/>
          <w:lang w:val="en-US" w:bidi="ar-DZ"/>
        </w:rPr>
        <w:t xml:space="preserve"> ذات</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مسارات</w:t>
      </w:r>
      <w:r w:rsidRPr="00AE0657">
        <w:rPr>
          <w:rFonts w:ascii="Simplified Arabic" w:hAnsi="Simplified Arabic" w:cs="Simplified Arabic"/>
          <w:sz w:val="24"/>
          <w:szCs w:val="24"/>
          <w:rtl/>
          <w:lang w:val="en-US" w:bidi="ar-DZ"/>
        </w:rPr>
        <w:t xml:space="preserve"> </w:t>
      </w:r>
      <w:r w:rsidR="00A16284">
        <w:rPr>
          <w:rFonts w:ascii="Simplified Arabic" w:hAnsi="Simplified Arabic" w:cs="Simplified Arabic" w:hint="cs"/>
          <w:sz w:val="24"/>
          <w:szCs w:val="24"/>
          <w:rtl/>
          <w:lang w:val="en-US" w:bidi="ar-DZ"/>
        </w:rPr>
        <w:t>محدودة</w:t>
      </w:r>
      <w:r w:rsidR="00917F5E">
        <w:rPr>
          <w:rFonts w:ascii="Simplified Arabic" w:hAnsi="Simplified Arabic" w:cs="Simplified Arabic" w:hint="cs"/>
          <w:sz w:val="24"/>
          <w:szCs w:val="24"/>
          <w:rtl/>
          <w:lang w:val="en-US" w:bidi="ar-DZ"/>
        </w:rPr>
        <w:t>،</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وفرت</w:t>
      </w:r>
      <w:r w:rsidRPr="00AE0657">
        <w:rPr>
          <w:rFonts w:ascii="Simplified Arabic" w:hAnsi="Simplified Arabic" w:cs="Simplified Arabic"/>
          <w:sz w:val="24"/>
          <w:szCs w:val="24"/>
          <w:rtl/>
          <w:lang w:val="en-US" w:bidi="ar-DZ"/>
        </w:rPr>
        <w:t xml:space="preserve"> </w:t>
      </w:r>
      <w:r w:rsidR="0043696E">
        <w:rPr>
          <w:rFonts w:ascii="Simplified Arabic" w:hAnsi="Simplified Arabic" w:cs="Simplified Arabic" w:hint="cs"/>
          <w:sz w:val="24"/>
          <w:szCs w:val="24"/>
          <w:rtl/>
          <w:lang w:val="en-US" w:bidi="ar-DZ"/>
        </w:rPr>
        <w:t>خيار</w:t>
      </w:r>
      <w:r w:rsidRPr="00AE0657">
        <w:rPr>
          <w:rFonts w:ascii="Simplified Arabic" w:hAnsi="Simplified Arabic" w:cs="Simplified Arabic" w:hint="cs"/>
          <w:sz w:val="24"/>
          <w:szCs w:val="24"/>
          <w:rtl/>
          <w:lang w:val="en-US" w:bidi="ar-DZ"/>
        </w:rPr>
        <w:t>ا</w:t>
      </w:r>
      <w:r w:rsidR="0043696E">
        <w:rPr>
          <w:rFonts w:ascii="Simplified Arabic" w:hAnsi="Simplified Arabic" w:cs="Simplified Arabic" w:hint="cs"/>
          <w:sz w:val="24"/>
          <w:szCs w:val="24"/>
          <w:rtl/>
          <w:lang w:val="en-US" w:bidi="ar-DZ"/>
        </w:rPr>
        <w:t>ت</w:t>
      </w:r>
      <w:r w:rsidRPr="00AE0657">
        <w:rPr>
          <w:rFonts w:ascii="Simplified Arabic" w:hAnsi="Simplified Arabic" w:cs="Simplified Arabic"/>
          <w:sz w:val="24"/>
          <w:szCs w:val="24"/>
          <w:rtl/>
          <w:lang w:val="en-US" w:bidi="ar-DZ"/>
        </w:rPr>
        <w:t xml:space="preserve"> </w:t>
      </w:r>
      <w:r w:rsidR="00A16284">
        <w:rPr>
          <w:rFonts w:ascii="Simplified Arabic" w:hAnsi="Simplified Arabic" w:cs="Simplified Arabic" w:hint="cs"/>
          <w:sz w:val="24"/>
          <w:szCs w:val="24"/>
          <w:rtl/>
          <w:lang w:val="en-US" w:bidi="ar-DZ"/>
        </w:rPr>
        <w:t>اقل</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للاتجاه</w:t>
      </w:r>
      <w:r w:rsidR="0043696E">
        <w:rPr>
          <w:rFonts w:ascii="Simplified Arabic" w:hAnsi="Simplified Arabic" w:cs="Simplified Arabic" w:hint="cs"/>
          <w:sz w:val="24"/>
          <w:szCs w:val="24"/>
          <w:rtl/>
          <w:lang w:val="en-US" w:bidi="ar-DZ"/>
        </w:rPr>
        <w:t>ات</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في</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حالة</w:t>
      </w:r>
      <w:r w:rsidRPr="00AE0657">
        <w:rPr>
          <w:rFonts w:ascii="Simplified Arabic" w:hAnsi="Simplified Arabic" w:cs="Simplified Arabic"/>
          <w:sz w:val="24"/>
          <w:szCs w:val="24"/>
          <w:rtl/>
          <w:lang w:val="en-US" w:bidi="ar-DZ"/>
        </w:rPr>
        <w:t xml:space="preserve"> </w:t>
      </w:r>
      <w:r w:rsidRPr="00AE0657">
        <w:rPr>
          <w:rFonts w:ascii="Simplified Arabic" w:hAnsi="Simplified Arabic" w:cs="Simplified Arabic" w:hint="cs"/>
          <w:sz w:val="24"/>
          <w:szCs w:val="24"/>
          <w:rtl/>
          <w:lang w:val="en-US" w:bidi="ar-DZ"/>
        </w:rPr>
        <w:t>الحاجة</w:t>
      </w:r>
      <w:r w:rsidR="00A16284">
        <w:rPr>
          <w:rFonts w:ascii="Simplified Arabic" w:hAnsi="Simplified Arabic" w:cs="Simplified Arabic" w:hint="cs"/>
          <w:sz w:val="24"/>
          <w:szCs w:val="24"/>
          <w:rtl/>
          <w:lang w:val="en-US" w:bidi="ar-DZ"/>
        </w:rPr>
        <w:t>.</w:t>
      </w:r>
      <w:r w:rsidRPr="00AE0657">
        <w:rPr>
          <w:rFonts w:ascii="Simplified Arabic" w:hAnsi="Simplified Arabic" w:cs="Simplified Arabic"/>
          <w:sz w:val="24"/>
          <w:szCs w:val="24"/>
          <w:rtl/>
          <w:lang w:val="en-US" w:bidi="ar-DZ"/>
        </w:rPr>
        <w:t xml:space="preserve"> </w:t>
      </w:r>
      <w:r w:rsidR="0043696E">
        <w:rPr>
          <w:rFonts w:ascii="Simplified Arabic" w:hAnsi="Simplified Arabic" w:cs="Simplified Arabic" w:hint="cs"/>
          <w:sz w:val="24"/>
          <w:szCs w:val="24"/>
          <w:rtl/>
          <w:lang w:val="en-US" w:bidi="ar-DZ"/>
        </w:rPr>
        <w:t xml:space="preserve">شكلت الفئة (أ) </w:t>
      </w:r>
      <w:r w:rsidR="00295A8E" w:rsidRPr="00AE0657">
        <w:rPr>
          <w:rFonts w:ascii="Simplified Arabic" w:hAnsi="Simplified Arabic" w:cs="Simplified Arabic" w:hint="cs"/>
          <w:sz w:val="24"/>
          <w:szCs w:val="24"/>
          <w:rtl/>
          <w:lang w:val="en-US" w:bidi="ar-DZ"/>
        </w:rPr>
        <w:t>أكبر</w:t>
      </w:r>
      <w:r w:rsidR="00295A8E" w:rsidRPr="00AE0657">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انخفاض</w:t>
      </w:r>
      <w:r w:rsidR="00295A8E" w:rsidRPr="00AE0657">
        <w:rPr>
          <w:rFonts w:ascii="Simplified Arabic" w:hAnsi="Simplified Arabic" w:cs="Simplified Arabic"/>
          <w:sz w:val="24"/>
          <w:szCs w:val="24"/>
          <w:rtl/>
          <w:lang w:val="en-US" w:bidi="ar-DZ"/>
        </w:rPr>
        <w:t xml:space="preserve"> </w:t>
      </w:r>
      <w:r w:rsidR="00EF4BE8">
        <w:rPr>
          <w:rFonts w:ascii="Simplified Arabic" w:hAnsi="Simplified Arabic" w:cs="Simplified Arabic" w:hint="cs"/>
          <w:sz w:val="24"/>
          <w:szCs w:val="24"/>
          <w:rtl/>
          <w:lang w:val="en-US" w:bidi="ar-DZ"/>
        </w:rPr>
        <w:t xml:space="preserve">في </w:t>
      </w:r>
      <w:r w:rsidR="0043696E">
        <w:rPr>
          <w:rFonts w:ascii="Simplified Arabic" w:hAnsi="Simplified Arabic" w:cs="Simplified Arabic" w:hint="cs"/>
          <w:sz w:val="24"/>
          <w:szCs w:val="24"/>
          <w:rtl/>
          <w:lang w:val="en-US" w:bidi="ar-DZ"/>
        </w:rPr>
        <w:t xml:space="preserve">قيم </w:t>
      </w:r>
      <w:r w:rsidR="00295A8E" w:rsidRPr="00AE0657">
        <w:rPr>
          <w:rFonts w:ascii="Simplified Arabic" w:hAnsi="Simplified Arabic" w:cs="Simplified Arabic" w:hint="cs"/>
          <w:sz w:val="24"/>
          <w:szCs w:val="24"/>
          <w:rtl/>
          <w:lang w:val="en-US" w:bidi="ar-DZ"/>
        </w:rPr>
        <w:t>جميع</w:t>
      </w:r>
      <w:r w:rsidR="00295A8E" w:rsidRPr="00AE0657">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المقاييس</w:t>
      </w:r>
      <w:r w:rsidR="00295A8E" w:rsidRPr="00AE0657">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المدروسة</w:t>
      </w:r>
      <w:r w:rsidR="0043696E">
        <w:rPr>
          <w:rFonts w:ascii="Simplified Arabic" w:hAnsi="Simplified Arabic" w:cs="Simplified Arabic" w:hint="cs"/>
          <w:sz w:val="24"/>
          <w:szCs w:val="24"/>
          <w:rtl/>
          <w:lang w:val="en-US" w:bidi="ar-DZ"/>
        </w:rPr>
        <w:t xml:space="preserve">: </w:t>
      </w:r>
      <w:r w:rsidR="00295A8E" w:rsidRPr="00AE0657">
        <w:rPr>
          <w:rFonts w:ascii="Simplified Arabic" w:hAnsi="Simplified Arabic" w:cs="Simplified Arabic" w:hint="cs"/>
          <w:sz w:val="24"/>
          <w:szCs w:val="24"/>
          <w:rtl/>
          <w:lang w:val="en-US" w:bidi="ar-DZ"/>
        </w:rPr>
        <w:t>كثافة</w:t>
      </w:r>
      <w:r w:rsidR="00295A8E" w:rsidRPr="00AE0657">
        <w:rPr>
          <w:rFonts w:ascii="Simplified Arabic" w:hAnsi="Simplified Arabic" w:cs="Simplified Arabic"/>
          <w:sz w:val="24"/>
          <w:szCs w:val="24"/>
          <w:rtl/>
          <w:lang w:val="en-US" w:bidi="ar-DZ"/>
        </w:rPr>
        <w:t xml:space="preserve"> </w:t>
      </w:r>
      <w:r w:rsidR="00295A8E" w:rsidRPr="00AE0657">
        <w:rPr>
          <w:rFonts w:ascii="Simplified Arabic" w:hAnsi="Simplified Arabic" w:cs="Simplified Arabic" w:hint="cs"/>
          <w:sz w:val="24"/>
          <w:szCs w:val="24"/>
          <w:rtl/>
          <w:lang w:val="en-US" w:bidi="ar-DZ"/>
        </w:rPr>
        <w:t>التقاطعات</w:t>
      </w:r>
      <w:r w:rsidR="0043696E">
        <w:rPr>
          <w:rFonts w:ascii="Simplified Arabic" w:hAnsi="Simplified Arabic" w:cs="Simplified Arabic" w:hint="cs"/>
          <w:sz w:val="24"/>
          <w:szCs w:val="24"/>
          <w:rtl/>
          <w:lang w:val="en-US" w:bidi="ar-DZ"/>
        </w:rPr>
        <w:t xml:space="preserve">، نسبة </w:t>
      </w:r>
      <w:r w:rsidR="00AA7E5E">
        <w:rPr>
          <w:rFonts w:ascii="Simplified Arabic" w:hAnsi="Simplified Arabic" w:cs="Simplified Arabic" w:hint="cs"/>
          <w:sz w:val="24"/>
          <w:szCs w:val="24"/>
          <w:rtl/>
          <w:lang w:val="en-US" w:bidi="ar-DZ"/>
        </w:rPr>
        <w:t>ربط</w:t>
      </w:r>
      <w:r w:rsidR="0043696E">
        <w:rPr>
          <w:rFonts w:ascii="Simplified Arabic" w:hAnsi="Simplified Arabic" w:cs="Simplified Arabic" w:hint="cs"/>
          <w:sz w:val="24"/>
          <w:szCs w:val="24"/>
          <w:rtl/>
          <w:lang w:val="en-US" w:bidi="ar-DZ"/>
        </w:rPr>
        <w:t xml:space="preserve">-العقد ونسبة العقد الموصولة، التي كانت على التوالي: </w:t>
      </w:r>
      <w:r w:rsidR="005547F9">
        <w:rPr>
          <w:rFonts w:ascii="Simplified Arabic" w:hAnsi="Simplified Arabic" w:cs="Simplified Arabic" w:hint="cs"/>
          <w:sz w:val="24"/>
          <w:szCs w:val="24"/>
          <w:rtl/>
          <w:lang w:val="en-US" w:bidi="ar-DZ"/>
        </w:rPr>
        <w:t>(89</w:t>
      </w:r>
      <w:r w:rsidR="0043696E">
        <w:rPr>
          <w:rFonts w:ascii="Simplified Arabic" w:hAnsi="Simplified Arabic" w:cs="Simplified Arabic" w:hint="cs"/>
          <w:sz w:val="24"/>
          <w:szCs w:val="24"/>
          <w:rtl/>
          <w:lang w:val="en-US" w:bidi="ar-DZ"/>
        </w:rPr>
        <w:t xml:space="preserve"> </w:t>
      </w:r>
      <w:r w:rsidR="005547F9">
        <w:rPr>
          <w:rFonts w:ascii="Simplified Arabic" w:hAnsi="Simplified Arabic" w:cs="Simplified Arabic" w:hint="cs"/>
          <w:sz w:val="24"/>
          <w:szCs w:val="24"/>
          <w:rtl/>
          <w:lang w:val="en-US" w:bidi="ar-DZ"/>
        </w:rPr>
        <w:t>تقاطع</w:t>
      </w:r>
      <w:r w:rsidR="0043696E">
        <w:rPr>
          <w:rFonts w:ascii="Simplified Arabic" w:hAnsi="Simplified Arabic" w:cs="Simplified Arabic" w:hint="cs"/>
          <w:sz w:val="24"/>
          <w:szCs w:val="24"/>
          <w:rtl/>
          <w:lang w:val="en-US" w:bidi="ar-DZ"/>
        </w:rPr>
        <w:t>/كم</w:t>
      </w:r>
      <w:r w:rsidR="0043696E" w:rsidRPr="0043696E">
        <w:rPr>
          <w:rFonts w:ascii="Simplified Arabic" w:hAnsi="Simplified Arabic" w:cs="Simplified Arabic" w:hint="cs"/>
          <w:sz w:val="24"/>
          <w:szCs w:val="24"/>
          <w:vertAlign w:val="superscript"/>
          <w:rtl/>
          <w:lang w:val="en-US" w:bidi="ar-DZ"/>
        </w:rPr>
        <w:t>2</w:t>
      </w:r>
      <w:r w:rsidR="005547F9">
        <w:rPr>
          <w:rFonts w:ascii="Simplified Arabic" w:hAnsi="Simplified Arabic" w:cs="Simplified Arabic" w:hint="cs"/>
          <w:sz w:val="24"/>
          <w:szCs w:val="24"/>
          <w:rtl/>
          <w:lang w:val="en-US" w:bidi="ar-DZ"/>
        </w:rPr>
        <w:t>)،</w:t>
      </w:r>
      <w:r w:rsidR="0043696E">
        <w:rPr>
          <w:rFonts w:ascii="Simplified Arabic" w:hAnsi="Simplified Arabic" w:cs="Simplified Arabic" w:hint="cs"/>
          <w:sz w:val="24"/>
          <w:szCs w:val="24"/>
          <w:rtl/>
          <w:lang w:val="en-US" w:bidi="ar-DZ"/>
        </w:rPr>
        <w:t xml:space="preserve"> </w:t>
      </w:r>
      <w:r w:rsidR="005547F9">
        <w:rPr>
          <w:rFonts w:ascii="Simplified Arabic" w:hAnsi="Simplified Arabic" w:cs="Simplified Arabic" w:hint="cs"/>
          <w:sz w:val="24"/>
          <w:szCs w:val="24"/>
          <w:rtl/>
          <w:lang w:val="en-US" w:bidi="ar-DZ"/>
        </w:rPr>
        <w:t>(</w:t>
      </w:r>
      <w:r w:rsidR="005547F9" w:rsidRPr="005547F9">
        <w:rPr>
          <w:rFonts w:ascii="Simplified Arabic" w:eastAsia="Times New Roman" w:hAnsi="Simplified Arabic" w:cs="Simplified Arabic"/>
          <w:color w:val="000000"/>
          <w:sz w:val="24"/>
          <w:szCs w:val="24"/>
          <w:rtl/>
          <w:lang w:eastAsia="fr-FR"/>
        </w:rPr>
        <w:t>1,31</w:t>
      </w:r>
      <w:r w:rsidR="005547F9">
        <w:rPr>
          <w:rFonts w:ascii="Simplified Arabic" w:hAnsi="Simplified Arabic" w:cs="Simplified Arabic" w:hint="cs"/>
          <w:sz w:val="24"/>
          <w:szCs w:val="24"/>
          <w:rtl/>
          <w:lang w:val="en-US" w:bidi="ar-DZ"/>
        </w:rPr>
        <w:t>)</w:t>
      </w:r>
      <w:r w:rsidR="0043696E">
        <w:rPr>
          <w:rFonts w:ascii="Simplified Arabic" w:hAnsi="Simplified Arabic" w:cs="Simplified Arabic" w:hint="cs"/>
          <w:sz w:val="24"/>
          <w:szCs w:val="24"/>
          <w:rtl/>
          <w:lang w:val="en-US" w:bidi="ar-DZ"/>
        </w:rPr>
        <w:t xml:space="preserve">، </w:t>
      </w:r>
      <w:r w:rsidR="005547F9">
        <w:rPr>
          <w:rFonts w:ascii="Simplified Arabic" w:hAnsi="Simplified Arabic" w:cs="Simplified Arabic" w:hint="cs"/>
          <w:sz w:val="24"/>
          <w:szCs w:val="24"/>
          <w:rtl/>
          <w:lang w:val="en-US" w:bidi="ar-DZ"/>
        </w:rPr>
        <w:t>(</w:t>
      </w:r>
      <w:r w:rsidR="005547F9" w:rsidRPr="005547F9">
        <w:rPr>
          <w:rFonts w:ascii="Simplified Arabic" w:eastAsia="Times New Roman" w:hAnsi="Simplified Arabic" w:cs="Simplified Arabic"/>
          <w:color w:val="000000"/>
          <w:sz w:val="24"/>
          <w:szCs w:val="24"/>
          <w:rtl/>
          <w:lang w:eastAsia="fr-FR"/>
        </w:rPr>
        <w:t>0,83</w:t>
      </w:r>
      <w:r w:rsidR="005547F9">
        <w:rPr>
          <w:rFonts w:ascii="Simplified Arabic" w:eastAsia="Times New Roman" w:hAnsi="Simplified Arabic" w:cs="Simplified Arabic" w:hint="cs"/>
          <w:color w:val="000000"/>
          <w:sz w:val="24"/>
          <w:szCs w:val="24"/>
          <w:rtl/>
          <w:lang w:eastAsia="fr-FR"/>
        </w:rPr>
        <w:t>)</w:t>
      </w:r>
      <w:r w:rsidR="00295A8E" w:rsidRPr="00AE0657">
        <w:rPr>
          <w:rFonts w:ascii="Simplified Arabic" w:hAnsi="Simplified Arabic" w:cs="Simplified Arabic"/>
          <w:sz w:val="24"/>
          <w:szCs w:val="24"/>
          <w:rtl/>
          <w:lang w:val="en-US" w:bidi="ar-DZ"/>
        </w:rPr>
        <w:t xml:space="preserve">. </w:t>
      </w:r>
      <w:r w:rsidR="0043696E" w:rsidRPr="00AE0657">
        <w:rPr>
          <w:rFonts w:ascii="Simplified Arabic" w:hAnsi="Simplified Arabic" w:cs="Simplified Arabic" w:hint="cs"/>
          <w:sz w:val="24"/>
          <w:szCs w:val="24"/>
          <w:rtl/>
          <w:lang w:val="en-US" w:bidi="ar-DZ"/>
        </w:rPr>
        <w:t>في</w:t>
      </w:r>
      <w:r w:rsidR="0043696E" w:rsidRPr="00AE0657">
        <w:rPr>
          <w:rFonts w:ascii="Simplified Arabic" w:hAnsi="Simplified Arabic" w:cs="Simplified Arabic"/>
          <w:sz w:val="24"/>
          <w:szCs w:val="24"/>
          <w:rtl/>
          <w:lang w:val="en-US" w:bidi="ar-DZ"/>
        </w:rPr>
        <w:t xml:space="preserve"> </w:t>
      </w:r>
      <w:r w:rsidR="0043696E">
        <w:rPr>
          <w:rFonts w:ascii="Simplified Arabic" w:hAnsi="Simplified Arabic" w:cs="Simplified Arabic" w:hint="cs"/>
          <w:sz w:val="24"/>
          <w:szCs w:val="24"/>
          <w:rtl/>
          <w:lang w:val="en-US" w:bidi="ar-DZ"/>
        </w:rPr>
        <w:t>المقابل</w:t>
      </w:r>
      <w:r w:rsidR="0043696E" w:rsidRPr="00AE0657">
        <w:rPr>
          <w:rFonts w:ascii="Simplified Arabic" w:hAnsi="Simplified Arabic" w:cs="Simplified Arabic" w:hint="cs"/>
          <w:sz w:val="24"/>
          <w:szCs w:val="24"/>
          <w:rtl/>
          <w:lang w:val="en-US" w:bidi="ar-DZ"/>
        </w:rPr>
        <w:t>،</w:t>
      </w:r>
      <w:r w:rsidR="0043696E" w:rsidRPr="00AE0657">
        <w:rPr>
          <w:rFonts w:ascii="Simplified Arabic" w:hAnsi="Simplified Arabic" w:cs="Simplified Arabic"/>
          <w:sz w:val="24"/>
          <w:szCs w:val="24"/>
          <w:rtl/>
          <w:lang w:val="en-US" w:bidi="ar-DZ"/>
        </w:rPr>
        <w:t xml:space="preserve"> </w:t>
      </w:r>
      <w:r w:rsidR="00EF4BE8">
        <w:rPr>
          <w:rFonts w:ascii="Simplified Arabic" w:hAnsi="Simplified Arabic" w:cs="Simplified Arabic" w:hint="cs"/>
          <w:sz w:val="24"/>
          <w:szCs w:val="24"/>
          <w:rtl/>
          <w:lang w:val="en-US" w:bidi="ar-DZ"/>
        </w:rPr>
        <w:t>هناك وفرة في</w:t>
      </w:r>
      <w:r w:rsidR="00EF4BE8" w:rsidRPr="00AE0657">
        <w:rPr>
          <w:rFonts w:ascii="Simplified Arabic" w:hAnsi="Simplified Arabic" w:cs="Simplified Arabic"/>
          <w:sz w:val="24"/>
          <w:szCs w:val="24"/>
          <w:rtl/>
          <w:lang w:val="en-US" w:bidi="ar-DZ"/>
        </w:rPr>
        <w:t xml:space="preserve"> </w:t>
      </w:r>
      <w:r w:rsidR="00EF4BE8">
        <w:rPr>
          <w:rFonts w:ascii="Simplified Arabic" w:hAnsi="Simplified Arabic" w:cs="Simplified Arabic" w:hint="cs"/>
          <w:sz w:val="24"/>
          <w:szCs w:val="24"/>
          <w:rtl/>
          <w:lang w:val="en-US" w:bidi="ar-DZ"/>
        </w:rPr>
        <w:t xml:space="preserve">تكرار تقاطعات الطرق </w:t>
      </w:r>
      <w:r w:rsidR="0043696E" w:rsidRPr="00AE0657">
        <w:rPr>
          <w:rFonts w:ascii="Simplified Arabic" w:hAnsi="Simplified Arabic" w:cs="Simplified Arabic" w:hint="cs"/>
          <w:sz w:val="24"/>
          <w:szCs w:val="24"/>
          <w:rtl/>
          <w:lang w:val="en-US" w:bidi="ar-DZ"/>
        </w:rPr>
        <w:t>بشكل</w:t>
      </w:r>
      <w:r w:rsidR="0043696E" w:rsidRPr="00AE0657">
        <w:rPr>
          <w:rFonts w:ascii="Simplified Arabic" w:hAnsi="Simplified Arabic" w:cs="Simplified Arabic"/>
          <w:sz w:val="24"/>
          <w:szCs w:val="24"/>
          <w:rtl/>
          <w:lang w:val="en-US" w:bidi="ar-DZ"/>
        </w:rPr>
        <w:t xml:space="preserve"> </w:t>
      </w:r>
      <w:r w:rsidR="0043696E" w:rsidRPr="00AE0657">
        <w:rPr>
          <w:rFonts w:ascii="Simplified Arabic" w:hAnsi="Simplified Arabic" w:cs="Simplified Arabic" w:hint="cs"/>
          <w:sz w:val="24"/>
          <w:szCs w:val="24"/>
          <w:rtl/>
          <w:lang w:val="en-US" w:bidi="ar-DZ"/>
        </w:rPr>
        <w:t>كبير</w:t>
      </w:r>
      <w:r w:rsidR="0043696E" w:rsidRPr="00AE0657">
        <w:rPr>
          <w:rFonts w:ascii="Simplified Arabic" w:hAnsi="Simplified Arabic" w:cs="Simplified Arabic"/>
          <w:sz w:val="24"/>
          <w:szCs w:val="24"/>
          <w:rtl/>
          <w:lang w:val="en-US" w:bidi="ar-DZ"/>
        </w:rPr>
        <w:t xml:space="preserve"> </w:t>
      </w:r>
      <w:r w:rsidR="0043696E" w:rsidRPr="00AE0657">
        <w:rPr>
          <w:rFonts w:ascii="Simplified Arabic" w:hAnsi="Simplified Arabic" w:cs="Simplified Arabic" w:hint="cs"/>
          <w:sz w:val="24"/>
          <w:szCs w:val="24"/>
          <w:rtl/>
          <w:lang w:val="en-US" w:bidi="ar-DZ"/>
        </w:rPr>
        <w:t>ب</w:t>
      </w:r>
      <w:r w:rsidR="0043696E">
        <w:rPr>
          <w:rFonts w:ascii="Simplified Arabic" w:hAnsi="Simplified Arabic" w:cs="Simplified Arabic" w:hint="cs"/>
          <w:sz w:val="24"/>
          <w:szCs w:val="24"/>
          <w:rtl/>
          <w:lang w:val="en-US" w:bidi="ar-DZ"/>
        </w:rPr>
        <w:t>فئة النسيج الحضري (</w:t>
      </w:r>
      <w:r w:rsidR="00EF4BE8">
        <w:rPr>
          <w:rFonts w:ascii="Simplified Arabic" w:hAnsi="Simplified Arabic" w:cs="Simplified Arabic" w:hint="cs"/>
          <w:sz w:val="24"/>
          <w:szCs w:val="24"/>
          <w:rtl/>
          <w:lang w:val="en-US" w:bidi="ar-DZ"/>
        </w:rPr>
        <w:t xml:space="preserve">ب، </w:t>
      </w:r>
      <w:r w:rsidR="0043696E">
        <w:rPr>
          <w:rFonts w:ascii="Simplified Arabic" w:hAnsi="Simplified Arabic" w:cs="Simplified Arabic" w:hint="cs"/>
          <w:sz w:val="24"/>
          <w:szCs w:val="24"/>
          <w:rtl/>
          <w:lang w:val="en-US" w:bidi="ar-DZ"/>
        </w:rPr>
        <w:t>جـ، د)</w:t>
      </w:r>
      <w:r w:rsidR="0043696E" w:rsidRPr="00AE0657">
        <w:rPr>
          <w:rFonts w:ascii="Simplified Arabic" w:hAnsi="Simplified Arabic" w:cs="Simplified Arabic" w:hint="cs"/>
          <w:sz w:val="24"/>
          <w:szCs w:val="24"/>
          <w:rtl/>
          <w:lang w:val="en-US" w:bidi="ar-DZ"/>
        </w:rPr>
        <w:t>،</w:t>
      </w:r>
      <w:r w:rsidR="0043696E" w:rsidRPr="00AE0657">
        <w:rPr>
          <w:rFonts w:ascii="Simplified Arabic" w:hAnsi="Simplified Arabic" w:cs="Simplified Arabic"/>
          <w:sz w:val="24"/>
          <w:szCs w:val="24"/>
          <w:rtl/>
          <w:lang w:val="en-US" w:bidi="ar-DZ"/>
        </w:rPr>
        <w:t xml:space="preserve"> </w:t>
      </w:r>
      <w:r w:rsidR="0043696E" w:rsidRPr="00AE0657">
        <w:rPr>
          <w:rFonts w:ascii="Simplified Arabic" w:hAnsi="Simplified Arabic" w:cs="Simplified Arabic" w:hint="cs"/>
          <w:sz w:val="24"/>
          <w:szCs w:val="24"/>
          <w:rtl/>
          <w:lang w:val="en-US" w:bidi="ar-DZ"/>
        </w:rPr>
        <w:t>مقارنة</w:t>
      </w:r>
      <w:r w:rsidR="0043696E" w:rsidRPr="00AE0657">
        <w:rPr>
          <w:rFonts w:ascii="Simplified Arabic" w:hAnsi="Simplified Arabic" w:cs="Simplified Arabic"/>
          <w:sz w:val="24"/>
          <w:szCs w:val="24"/>
          <w:rtl/>
          <w:lang w:val="en-US" w:bidi="ar-DZ"/>
        </w:rPr>
        <w:t xml:space="preserve"> </w:t>
      </w:r>
      <w:r w:rsidR="0043696E">
        <w:rPr>
          <w:rFonts w:ascii="Simplified Arabic" w:hAnsi="Simplified Arabic" w:cs="Simplified Arabic" w:hint="cs"/>
          <w:sz w:val="24"/>
          <w:szCs w:val="24"/>
          <w:rtl/>
          <w:lang w:val="en-US" w:bidi="ar-DZ"/>
        </w:rPr>
        <w:t>بالفئة (أ)</w:t>
      </w:r>
      <w:r w:rsidR="00EF4BE8">
        <w:rPr>
          <w:rFonts w:ascii="Simplified Arabic" w:hAnsi="Simplified Arabic" w:cs="Simplified Arabic" w:hint="cs"/>
          <w:sz w:val="24"/>
          <w:szCs w:val="24"/>
          <w:rtl/>
          <w:lang w:val="en-US" w:bidi="ar-DZ"/>
        </w:rPr>
        <w:t>، حيث كانت</w:t>
      </w:r>
      <w:r w:rsidR="0043696E" w:rsidRPr="00AE0657">
        <w:rPr>
          <w:rFonts w:ascii="Simplified Arabic" w:hAnsi="Simplified Arabic" w:cs="Simplified Arabic" w:hint="cs"/>
          <w:sz w:val="24"/>
          <w:szCs w:val="24"/>
          <w:rtl/>
          <w:lang w:val="en-US" w:bidi="ar-DZ"/>
        </w:rPr>
        <w:t xml:space="preserve"> </w:t>
      </w:r>
      <w:r w:rsidR="00EF4BE8">
        <w:rPr>
          <w:rFonts w:ascii="Simplified Arabic" w:hAnsi="Simplified Arabic" w:cs="Simplified Arabic" w:hint="cs"/>
          <w:sz w:val="24"/>
          <w:szCs w:val="24"/>
          <w:rtl/>
          <w:lang w:val="en-US" w:bidi="ar-DZ"/>
        </w:rPr>
        <w:t xml:space="preserve">قيم </w:t>
      </w:r>
      <w:r w:rsidR="00EF4BE8" w:rsidRPr="00AE0657">
        <w:rPr>
          <w:rFonts w:ascii="Simplified Arabic" w:hAnsi="Simplified Arabic" w:cs="Simplified Arabic" w:hint="cs"/>
          <w:sz w:val="24"/>
          <w:szCs w:val="24"/>
          <w:rtl/>
          <w:lang w:val="en-US" w:bidi="ar-DZ"/>
        </w:rPr>
        <w:t>جميع</w:t>
      </w:r>
      <w:r w:rsidR="00EF4BE8" w:rsidRPr="00AE0657">
        <w:rPr>
          <w:rFonts w:ascii="Simplified Arabic" w:hAnsi="Simplified Arabic" w:cs="Simplified Arabic"/>
          <w:sz w:val="24"/>
          <w:szCs w:val="24"/>
          <w:rtl/>
          <w:lang w:val="en-US" w:bidi="ar-DZ"/>
        </w:rPr>
        <w:t xml:space="preserve"> </w:t>
      </w:r>
      <w:r w:rsidR="00EF4BE8" w:rsidRPr="00AE0657">
        <w:rPr>
          <w:rFonts w:ascii="Simplified Arabic" w:hAnsi="Simplified Arabic" w:cs="Simplified Arabic" w:hint="cs"/>
          <w:sz w:val="24"/>
          <w:szCs w:val="24"/>
          <w:rtl/>
          <w:lang w:val="en-US" w:bidi="ar-DZ"/>
        </w:rPr>
        <w:t>المقاييس</w:t>
      </w:r>
      <w:r w:rsidR="00EF4BE8" w:rsidRPr="00AE0657">
        <w:rPr>
          <w:rFonts w:ascii="Simplified Arabic" w:hAnsi="Simplified Arabic" w:cs="Simplified Arabic"/>
          <w:sz w:val="24"/>
          <w:szCs w:val="24"/>
          <w:rtl/>
          <w:lang w:val="en-US" w:bidi="ar-DZ"/>
        </w:rPr>
        <w:t xml:space="preserve"> </w:t>
      </w:r>
      <w:r w:rsidR="00EF4BE8" w:rsidRPr="00AE0657">
        <w:rPr>
          <w:rFonts w:ascii="Simplified Arabic" w:hAnsi="Simplified Arabic" w:cs="Simplified Arabic" w:hint="cs"/>
          <w:sz w:val="24"/>
          <w:szCs w:val="24"/>
          <w:rtl/>
          <w:lang w:val="en-US" w:bidi="ar-DZ"/>
        </w:rPr>
        <w:t>المدروسة</w:t>
      </w:r>
      <w:r w:rsidR="00EF4BE8">
        <w:rPr>
          <w:rFonts w:ascii="Simplified Arabic" w:hAnsi="Simplified Arabic" w:cs="Simplified Arabic" w:hint="cs"/>
          <w:sz w:val="24"/>
          <w:szCs w:val="24"/>
          <w:rtl/>
          <w:lang w:val="en-US" w:bidi="ar-DZ"/>
        </w:rPr>
        <w:t xml:space="preserve">: </w:t>
      </w:r>
      <w:r w:rsidR="00EF4BE8" w:rsidRPr="00AE0657">
        <w:rPr>
          <w:rFonts w:ascii="Simplified Arabic" w:hAnsi="Simplified Arabic" w:cs="Simplified Arabic" w:hint="cs"/>
          <w:sz w:val="24"/>
          <w:szCs w:val="24"/>
          <w:rtl/>
          <w:lang w:val="en-US" w:bidi="ar-DZ"/>
        </w:rPr>
        <w:t>كثافة</w:t>
      </w:r>
      <w:r w:rsidR="00EF4BE8" w:rsidRPr="00AE0657">
        <w:rPr>
          <w:rFonts w:ascii="Simplified Arabic" w:hAnsi="Simplified Arabic" w:cs="Simplified Arabic"/>
          <w:sz w:val="24"/>
          <w:szCs w:val="24"/>
          <w:rtl/>
          <w:lang w:val="en-US" w:bidi="ar-DZ"/>
        </w:rPr>
        <w:t xml:space="preserve"> </w:t>
      </w:r>
      <w:r w:rsidR="00EF4BE8" w:rsidRPr="00AE0657">
        <w:rPr>
          <w:rFonts w:ascii="Simplified Arabic" w:hAnsi="Simplified Arabic" w:cs="Simplified Arabic" w:hint="cs"/>
          <w:sz w:val="24"/>
          <w:szCs w:val="24"/>
          <w:rtl/>
          <w:lang w:val="en-US" w:bidi="ar-DZ"/>
        </w:rPr>
        <w:t>التقاطعات</w:t>
      </w:r>
      <w:r w:rsidR="00B1589F">
        <w:rPr>
          <w:rFonts w:ascii="Simplified Arabic" w:hAnsi="Simplified Arabic" w:cs="Simplified Arabic" w:hint="cs"/>
          <w:sz w:val="24"/>
          <w:szCs w:val="24"/>
          <w:rtl/>
          <w:lang w:val="en-US" w:bidi="ar-DZ"/>
        </w:rPr>
        <w:t xml:space="preserve"> (</w:t>
      </w:r>
      <m:oMath>
        <m:sSub>
          <m:sSubPr>
            <m:ctrlPr>
              <w:rPr>
                <w:rFonts w:ascii="Cambria Math" w:hAnsi="Cambria Math" w:cs="Cambria Math"/>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e</m:t>
            </m:r>
          </m:sub>
        </m:sSub>
      </m:oMath>
      <w:r w:rsidR="00B1589F">
        <w:rPr>
          <w:rFonts w:ascii="Simplified Arabic" w:hAnsi="Simplified Arabic" w:cs="Simplified Arabic" w:hint="cs"/>
          <w:sz w:val="24"/>
          <w:szCs w:val="24"/>
          <w:rtl/>
          <w:lang w:val="en-US" w:bidi="ar-DZ"/>
        </w:rPr>
        <w:t>)</w:t>
      </w:r>
      <w:r w:rsidR="00EF4BE8">
        <w:rPr>
          <w:rFonts w:ascii="Simplified Arabic" w:hAnsi="Simplified Arabic" w:cs="Simplified Arabic" w:hint="cs"/>
          <w:sz w:val="24"/>
          <w:szCs w:val="24"/>
          <w:rtl/>
          <w:lang w:val="en-US" w:bidi="ar-DZ"/>
        </w:rPr>
        <w:t xml:space="preserve">، نسبة </w:t>
      </w:r>
      <w:r w:rsidR="00AA7E5E">
        <w:rPr>
          <w:rFonts w:ascii="Simplified Arabic" w:hAnsi="Simplified Arabic" w:cs="Simplified Arabic" w:hint="cs"/>
          <w:sz w:val="24"/>
          <w:szCs w:val="24"/>
          <w:rtl/>
          <w:lang w:val="en-US" w:bidi="ar-DZ"/>
        </w:rPr>
        <w:t>ربط</w:t>
      </w:r>
      <w:r w:rsidR="00EF4BE8">
        <w:rPr>
          <w:rFonts w:ascii="Simplified Arabic" w:hAnsi="Simplified Arabic" w:cs="Simplified Arabic" w:hint="cs"/>
          <w:sz w:val="24"/>
          <w:szCs w:val="24"/>
          <w:rtl/>
          <w:lang w:val="en-US" w:bidi="ar-DZ"/>
        </w:rPr>
        <w:t>-العقد</w:t>
      </w:r>
      <w:r w:rsidR="00B1589F">
        <w:rPr>
          <w:rFonts w:ascii="Simplified Arabic" w:hAnsi="Simplified Arabic" w:cs="Simplified Arabic" w:hint="cs"/>
          <w:sz w:val="24"/>
          <w:szCs w:val="24"/>
          <w:rtl/>
          <w:lang w:val="en-US" w:bidi="ar-DZ"/>
        </w:rPr>
        <w:t xml:space="preserve"> (</w:t>
      </w:r>
      <m:oMath>
        <m:r>
          <m:rPr>
            <m:sty m:val="p"/>
          </m:rPr>
          <w:rPr>
            <w:rFonts w:ascii="Cambria Math" w:hAnsi="Cambria Math" w:cs="Cambria Math"/>
            <w:sz w:val="24"/>
            <w:szCs w:val="24"/>
          </w:rPr>
          <m:t>LNR</m:t>
        </m:r>
      </m:oMath>
      <w:r w:rsidR="00B1589F">
        <w:rPr>
          <w:rFonts w:ascii="Simplified Arabic" w:hAnsi="Simplified Arabic" w:cs="Simplified Arabic" w:hint="cs"/>
          <w:sz w:val="24"/>
          <w:szCs w:val="24"/>
          <w:rtl/>
          <w:lang w:val="en-US" w:bidi="ar-DZ"/>
        </w:rPr>
        <w:t>)</w:t>
      </w:r>
      <w:r w:rsidR="00EF4BE8">
        <w:rPr>
          <w:rFonts w:ascii="Simplified Arabic" w:hAnsi="Simplified Arabic" w:cs="Simplified Arabic" w:hint="cs"/>
          <w:sz w:val="24"/>
          <w:szCs w:val="24"/>
          <w:rtl/>
          <w:lang w:val="en-US" w:bidi="ar-DZ"/>
        </w:rPr>
        <w:t xml:space="preserve"> ونسبة العقد الموصولة </w:t>
      </w:r>
      <m:oMath>
        <m:r>
          <m:rPr>
            <m:sty m:val="p"/>
          </m:rPr>
          <w:rPr>
            <w:rFonts w:ascii="Cambria Math" w:hAnsi="Cambria Math" w:cstheme="majorBidi"/>
            <w:sz w:val="24"/>
            <w:szCs w:val="24"/>
          </w:rPr>
          <m:t>(CNR)</m:t>
        </m:r>
      </m:oMath>
      <w:r w:rsidR="00B1589F">
        <w:rPr>
          <w:rFonts w:ascii="Simplified Arabic" w:hAnsi="Simplified Arabic" w:cs="Simplified Arabic" w:hint="cs"/>
          <w:sz w:val="24"/>
          <w:szCs w:val="24"/>
          <w:rtl/>
          <w:lang w:val="en-US" w:bidi="ar-DZ"/>
        </w:rPr>
        <w:t xml:space="preserve"> </w:t>
      </w:r>
      <w:r w:rsidR="00EF4BE8">
        <w:rPr>
          <w:rFonts w:ascii="Simplified Arabic" w:hAnsi="Simplified Arabic" w:cs="Simplified Arabic" w:hint="cs"/>
          <w:sz w:val="24"/>
          <w:szCs w:val="24"/>
          <w:rtl/>
          <w:lang w:val="en-US" w:bidi="ar-DZ"/>
        </w:rPr>
        <w:t xml:space="preserve">على التوالي: </w:t>
      </w:r>
      <w:r w:rsidR="005547F9">
        <w:rPr>
          <w:rFonts w:ascii="Simplified Arabic" w:hAnsi="Simplified Arabic" w:cs="Simplified Arabic" w:hint="cs"/>
          <w:sz w:val="24"/>
          <w:szCs w:val="24"/>
          <w:rtl/>
          <w:lang w:val="en-US" w:bidi="ar-DZ"/>
        </w:rPr>
        <w:t>(144 تقاطع/كم</w:t>
      </w:r>
      <w:r w:rsidR="005547F9" w:rsidRPr="0043696E">
        <w:rPr>
          <w:rFonts w:ascii="Simplified Arabic" w:hAnsi="Simplified Arabic" w:cs="Simplified Arabic" w:hint="cs"/>
          <w:sz w:val="24"/>
          <w:szCs w:val="24"/>
          <w:vertAlign w:val="superscript"/>
          <w:rtl/>
          <w:lang w:val="en-US" w:bidi="ar-DZ"/>
        </w:rPr>
        <w:t>2</w:t>
      </w:r>
      <w:r w:rsidR="005547F9">
        <w:rPr>
          <w:rFonts w:ascii="Simplified Arabic" w:hAnsi="Simplified Arabic" w:cs="Simplified Arabic" w:hint="cs"/>
          <w:sz w:val="24"/>
          <w:szCs w:val="24"/>
          <w:rtl/>
          <w:lang w:val="en-US" w:bidi="ar-DZ"/>
        </w:rPr>
        <w:t>)، (</w:t>
      </w:r>
      <w:r w:rsidR="00A92680">
        <w:rPr>
          <w:rFonts w:ascii="Simplified Arabic" w:eastAsia="Times New Roman" w:hAnsi="Simplified Arabic" w:cs="Simplified Arabic"/>
          <w:color w:val="000000"/>
          <w:sz w:val="24"/>
          <w:szCs w:val="24"/>
          <w:lang w:eastAsia="fr-FR"/>
        </w:rPr>
        <w:t>1,44</w:t>
      </w:r>
      <w:r w:rsidR="005547F9">
        <w:rPr>
          <w:rFonts w:ascii="Simplified Arabic" w:hAnsi="Simplified Arabic" w:cs="Simplified Arabic" w:hint="cs"/>
          <w:sz w:val="24"/>
          <w:szCs w:val="24"/>
          <w:rtl/>
          <w:lang w:val="en-US" w:bidi="ar-DZ"/>
        </w:rPr>
        <w:t>)، (</w:t>
      </w:r>
      <w:r w:rsidR="00A92680">
        <w:rPr>
          <w:rFonts w:ascii="Simplified Arabic" w:eastAsia="Times New Roman" w:hAnsi="Simplified Arabic" w:cs="Simplified Arabic" w:hint="cs"/>
          <w:color w:val="000000"/>
          <w:sz w:val="24"/>
          <w:szCs w:val="24"/>
          <w:rtl/>
          <w:lang w:eastAsia="fr-FR"/>
        </w:rPr>
        <w:t>1</w:t>
      </w:r>
      <w:r w:rsidR="005547F9">
        <w:rPr>
          <w:rFonts w:ascii="Simplified Arabic" w:eastAsia="Times New Roman" w:hAnsi="Simplified Arabic" w:cs="Simplified Arabic" w:hint="cs"/>
          <w:color w:val="000000"/>
          <w:sz w:val="24"/>
          <w:szCs w:val="24"/>
          <w:rtl/>
          <w:lang w:eastAsia="fr-FR"/>
        </w:rPr>
        <w:t>)</w:t>
      </w:r>
      <w:r w:rsidR="00EF4BE8">
        <w:rPr>
          <w:rFonts w:ascii="Simplified Arabic" w:hAnsi="Simplified Arabic" w:cs="Simplified Arabic" w:hint="cs"/>
          <w:sz w:val="24"/>
          <w:szCs w:val="24"/>
          <w:rtl/>
          <w:lang w:val="en-US" w:bidi="ar-DZ"/>
        </w:rPr>
        <w:t xml:space="preserve"> للفئة (ب)، </w:t>
      </w:r>
      <w:r w:rsidR="005547F9">
        <w:rPr>
          <w:rFonts w:ascii="Simplified Arabic" w:hAnsi="Simplified Arabic" w:cs="Simplified Arabic" w:hint="cs"/>
          <w:sz w:val="24"/>
          <w:szCs w:val="24"/>
          <w:rtl/>
          <w:lang w:val="en-US" w:bidi="ar-DZ"/>
        </w:rPr>
        <w:t>(</w:t>
      </w:r>
      <w:r w:rsidR="00A92680">
        <w:rPr>
          <w:rFonts w:ascii="Simplified Arabic" w:hAnsi="Simplified Arabic" w:cs="Simplified Arabic" w:hint="cs"/>
          <w:sz w:val="24"/>
          <w:szCs w:val="24"/>
          <w:rtl/>
          <w:lang w:val="en-US" w:bidi="ar-DZ"/>
        </w:rPr>
        <w:t>375</w:t>
      </w:r>
      <w:r w:rsidR="005547F9">
        <w:rPr>
          <w:rFonts w:ascii="Simplified Arabic" w:hAnsi="Simplified Arabic" w:cs="Simplified Arabic" w:hint="cs"/>
          <w:sz w:val="24"/>
          <w:szCs w:val="24"/>
          <w:rtl/>
          <w:lang w:val="en-US" w:bidi="ar-DZ"/>
        </w:rPr>
        <w:t xml:space="preserve"> تقاطع/كم</w:t>
      </w:r>
      <w:r w:rsidR="005547F9" w:rsidRPr="0043696E">
        <w:rPr>
          <w:rFonts w:ascii="Simplified Arabic" w:hAnsi="Simplified Arabic" w:cs="Simplified Arabic" w:hint="cs"/>
          <w:sz w:val="24"/>
          <w:szCs w:val="24"/>
          <w:vertAlign w:val="superscript"/>
          <w:rtl/>
          <w:lang w:val="en-US" w:bidi="ar-DZ"/>
        </w:rPr>
        <w:t>2</w:t>
      </w:r>
      <w:r w:rsidR="005547F9">
        <w:rPr>
          <w:rFonts w:ascii="Simplified Arabic" w:hAnsi="Simplified Arabic" w:cs="Simplified Arabic" w:hint="cs"/>
          <w:sz w:val="24"/>
          <w:szCs w:val="24"/>
          <w:rtl/>
          <w:lang w:val="en-US" w:bidi="ar-DZ"/>
        </w:rPr>
        <w:t>)، (</w:t>
      </w:r>
      <w:r w:rsidR="005547F9" w:rsidRPr="005547F9">
        <w:rPr>
          <w:rFonts w:ascii="Simplified Arabic" w:eastAsia="Times New Roman" w:hAnsi="Simplified Arabic" w:cs="Simplified Arabic"/>
          <w:color w:val="000000"/>
          <w:sz w:val="24"/>
          <w:szCs w:val="24"/>
          <w:rtl/>
          <w:lang w:eastAsia="fr-FR"/>
        </w:rPr>
        <w:t>1,</w:t>
      </w:r>
      <w:r w:rsidR="00A92680">
        <w:rPr>
          <w:rFonts w:ascii="Simplified Arabic" w:eastAsia="Times New Roman" w:hAnsi="Simplified Arabic" w:cs="Simplified Arabic" w:hint="cs"/>
          <w:color w:val="000000"/>
          <w:sz w:val="24"/>
          <w:szCs w:val="24"/>
          <w:rtl/>
          <w:lang w:eastAsia="fr-FR"/>
        </w:rPr>
        <w:t>35</w:t>
      </w:r>
      <w:r w:rsidR="005547F9">
        <w:rPr>
          <w:rFonts w:ascii="Simplified Arabic" w:hAnsi="Simplified Arabic" w:cs="Simplified Arabic" w:hint="cs"/>
          <w:sz w:val="24"/>
          <w:szCs w:val="24"/>
          <w:rtl/>
          <w:lang w:val="en-US" w:bidi="ar-DZ"/>
        </w:rPr>
        <w:t>)، (</w:t>
      </w:r>
      <w:r w:rsidR="005547F9" w:rsidRPr="005547F9">
        <w:rPr>
          <w:rFonts w:ascii="Simplified Arabic" w:eastAsia="Times New Roman" w:hAnsi="Simplified Arabic" w:cs="Simplified Arabic"/>
          <w:color w:val="000000"/>
          <w:sz w:val="24"/>
          <w:szCs w:val="24"/>
          <w:rtl/>
          <w:lang w:eastAsia="fr-FR"/>
        </w:rPr>
        <w:t>0,</w:t>
      </w:r>
      <w:r w:rsidR="00A92680">
        <w:rPr>
          <w:rFonts w:ascii="Simplified Arabic" w:eastAsia="Times New Roman" w:hAnsi="Simplified Arabic" w:cs="Simplified Arabic" w:hint="cs"/>
          <w:color w:val="000000"/>
          <w:sz w:val="24"/>
          <w:szCs w:val="24"/>
          <w:rtl/>
          <w:lang w:eastAsia="fr-FR"/>
        </w:rPr>
        <w:t>96</w:t>
      </w:r>
      <w:r w:rsidR="005547F9">
        <w:rPr>
          <w:rFonts w:ascii="Simplified Arabic" w:eastAsia="Times New Roman" w:hAnsi="Simplified Arabic" w:cs="Simplified Arabic" w:hint="cs"/>
          <w:color w:val="000000"/>
          <w:sz w:val="24"/>
          <w:szCs w:val="24"/>
          <w:rtl/>
          <w:lang w:eastAsia="fr-FR"/>
        </w:rPr>
        <w:t xml:space="preserve">) </w:t>
      </w:r>
      <w:r w:rsidR="00EF4BE8">
        <w:rPr>
          <w:rFonts w:ascii="Simplified Arabic" w:hAnsi="Simplified Arabic" w:cs="Simplified Arabic" w:hint="cs"/>
          <w:sz w:val="24"/>
          <w:szCs w:val="24"/>
          <w:rtl/>
          <w:lang w:val="en-US" w:bidi="ar-DZ"/>
        </w:rPr>
        <w:t xml:space="preserve">للفئة (ج)، </w:t>
      </w:r>
      <w:r w:rsidR="005547F9">
        <w:rPr>
          <w:rFonts w:ascii="Simplified Arabic" w:hAnsi="Simplified Arabic" w:cs="Simplified Arabic" w:hint="cs"/>
          <w:sz w:val="24"/>
          <w:szCs w:val="24"/>
          <w:rtl/>
          <w:lang w:val="en-US" w:bidi="ar-DZ"/>
        </w:rPr>
        <w:t>(</w:t>
      </w:r>
      <w:r w:rsidR="00A92680">
        <w:rPr>
          <w:rFonts w:ascii="Simplified Arabic" w:hAnsi="Simplified Arabic" w:cs="Simplified Arabic" w:hint="cs"/>
          <w:sz w:val="24"/>
          <w:szCs w:val="24"/>
          <w:rtl/>
          <w:lang w:val="en-US" w:bidi="ar-DZ"/>
        </w:rPr>
        <w:t>283</w:t>
      </w:r>
      <w:r w:rsidR="005547F9">
        <w:rPr>
          <w:rFonts w:ascii="Simplified Arabic" w:hAnsi="Simplified Arabic" w:cs="Simplified Arabic" w:hint="cs"/>
          <w:sz w:val="24"/>
          <w:szCs w:val="24"/>
          <w:rtl/>
          <w:lang w:val="en-US" w:bidi="ar-DZ"/>
        </w:rPr>
        <w:t xml:space="preserve"> تقاطع/كم</w:t>
      </w:r>
      <w:r w:rsidR="005547F9" w:rsidRPr="0043696E">
        <w:rPr>
          <w:rFonts w:ascii="Simplified Arabic" w:hAnsi="Simplified Arabic" w:cs="Simplified Arabic" w:hint="cs"/>
          <w:sz w:val="24"/>
          <w:szCs w:val="24"/>
          <w:vertAlign w:val="superscript"/>
          <w:rtl/>
          <w:lang w:val="en-US" w:bidi="ar-DZ"/>
        </w:rPr>
        <w:t>2</w:t>
      </w:r>
      <w:r w:rsidR="005547F9">
        <w:rPr>
          <w:rFonts w:ascii="Simplified Arabic" w:hAnsi="Simplified Arabic" w:cs="Simplified Arabic" w:hint="cs"/>
          <w:sz w:val="24"/>
          <w:szCs w:val="24"/>
          <w:rtl/>
          <w:lang w:val="en-US" w:bidi="ar-DZ"/>
        </w:rPr>
        <w:t>)، (</w:t>
      </w:r>
      <w:r w:rsidR="005547F9" w:rsidRPr="005547F9">
        <w:rPr>
          <w:rFonts w:ascii="Simplified Arabic" w:eastAsia="Times New Roman" w:hAnsi="Simplified Arabic" w:cs="Simplified Arabic"/>
          <w:color w:val="000000"/>
          <w:sz w:val="24"/>
          <w:szCs w:val="24"/>
          <w:rtl/>
          <w:lang w:eastAsia="fr-FR"/>
        </w:rPr>
        <w:t>1,</w:t>
      </w:r>
      <w:r w:rsidR="00A92680">
        <w:rPr>
          <w:rFonts w:ascii="Simplified Arabic" w:eastAsia="Times New Roman" w:hAnsi="Simplified Arabic" w:cs="Simplified Arabic" w:hint="cs"/>
          <w:color w:val="000000"/>
          <w:sz w:val="24"/>
          <w:szCs w:val="24"/>
          <w:rtl/>
          <w:lang w:eastAsia="fr-FR"/>
        </w:rPr>
        <w:t>52</w:t>
      </w:r>
      <w:r w:rsidR="005547F9">
        <w:rPr>
          <w:rFonts w:ascii="Simplified Arabic" w:hAnsi="Simplified Arabic" w:cs="Simplified Arabic" w:hint="cs"/>
          <w:sz w:val="24"/>
          <w:szCs w:val="24"/>
          <w:rtl/>
          <w:lang w:val="en-US" w:bidi="ar-DZ"/>
        </w:rPr>
        <w:t>)، (</w:t>
      </w:r>
      <w:r w:rsidR="00A92680">
        <w:rPr>
          <w:rFonts w:ascii="Simplified Arabic" w:eastAsia="Times New Roman" w:hAnsi="Simplified Arabic" w:cs="Simplified Arabic" w:hint="cs"/>
          <w:color w:val="000000"/>
          <w:sz w:val="24"/>
          <w:szCs w:val="24"/>
          <w:rtl/>
          <w:lang w:eastAsia="fr-FR"/>
        </w:rPr>
        <w:t>1</w:t>
      </w:r>
      <w:r w:rsidR="005547F9">
        <w:rPr>
          <w:rFonts w:ascii="Simplified Arabic" w:eastAsia="Times New Roman" w:hAnsi="Simplified Arabic" w:cs="Simplified Arabic" w:hint="cs"/>
          <w:color w:val="000000"/>
          <w:sz w:val="24"/>
          <w:szCs w:val="24"/>
          <w:rtl/>
          <w:lang w:eastAsia="fr-FR"/>
        </w:rPr>
        <w:t>)</w:t>
      </w:r>
      <w:r w:rsidR="00EF4BE8">
        <w:rPr>
          <w:rFonts w:ascii="Simplified Arabic" w:hAnsi="Simplified Arabic" w:cs="Simplified Arabic" w:hint="cs"/>
          <w:sz w:val="24"/>
          <w:szCs w:val="24"/>
          <w:rtl/>
          <w:lang w:val="en-US" w:bidi="ar-DZ"/>
        </w:rPr>
        <w:t xml:space="preserve"> للفئة (د)</w:t>
      </w:r>
      <w:r w:rsidR="0043696E">
        <w:rPr>
          <w:rFonts w:ascii="Simplified Arabic" w:hAnsi="Simplified Arabic" w:cs="Simplified Arabic" w:hint="cs"/>
          <w:sz w:val="24"/>
          <w:szCs w:val="24"/>
          <w:rtl/>
          <w:lang w:val="en-US" w:bidi="ar-DZ"/>
        </w:rPr>
        <w:t>.</w:t>
      </w:r>
      <w:r w:rsidR="00BC5890" w:rsidRPr="00BC5890">
        <w:rPr>
          <w:rFonts w:ascii="Simplified Arabic" w:hAnsi="Simplified Arabic" w:cs="Simplified Arabic" w:hint="cs"/>
          <w:sz w:val="24"/>
          <w:szCs w:val="24"/>
          <w:rtl/>
          <w:lang w:val="en-US" w:bidi="ar-DZ"/>
        </w:rPr>
        <w:t xml:space="preserve"> </w:t>
      </w:r>
      <w:r w:rsidR="00BC5890">
        <w:rPr>
          <w:rFonts w:ascii="Simplified Arabic" w:hAnsi="Simplified Arabic" w:cs="Simplified Arabic" w:hint="cs"/>
          <w:sz w:val="24"/>
          <w:szCs w:val="24"/>
          <w:rtl/>
          <w:lang w:val="en-US" w:bidi="ar-DZ"/>
        </w:rPr>
        <w:t xml:space="preserve">منحهم ذلك </w:t>
      </w:r>
      <w:r w:rsidR="00917F5E">
        <w:rPr>
          <w:rFonts w:ascii="Simplified Arabic" w:hAnsi="Simplified Arabic" w:cs="Simplified Arabic" w:hint="cs"/>
          <w:sz w:val="24"/>
          <w:szCs w:val="24"/>
          <w:rtl/>
          <w:lang w:val="en-US" w:bidi="ar-DZ"/>
        </w:rPr>
        <w:t>مستويات قدرة تكيف مكاني افضل</w:t>
      </w:r>
      <w:r w:rsidR="00BC5890">
        <w:rPr>
          <w:rFonts w:ascii="Simplified Arabic" w:hAnsi="Simplified Arabic" w:cs="Simplified Arabic" w:hint="cs"/>
          <w:sz w:val="24"/>
          <w:szCs w:val="24"/>
          <w:rtl/>
          <w:lang w:val="en-US" w:bidi="ar-DZ"/>
        </w:rPr>
        <w:t>.</w:t>
      </w:r>
      <w:r w:rsidR="00917F5E">
        <w:rPr>
          <w:rFonts w:ascii="Simplified Arabic" w:hAnsi="Simplified Arabic" w:cs="Simplified Arabic" w:hint="cs"/>
          <w:sz w:val="24"/>
          <w:szCs w:val="24"/>
          <w:rtl/>
          <w:lang w:val="en-US" w:bidi="ar-DZ"/>
        </w:rPr>
        <w:t xml:space="preserve"> </w:t>
      </w:r>
      <w:r w:rsidR="00A16284" w:rsidRPr="00ED0593">
        <w:rPr>
          <w:rFonts w:ascii="Simplified Arabic" w:hAnsi="Simplified Arabic" w:cs="Simplified Arabic" w:hint="cs"/>
          <w:sz w:val="24"/>
          <w:szCs w:val="24"/>
          <w:rtl/>
          <w:lang w:val="en-US"/>
        </w:rPr>
        <w:t xml:space="preserve">من خلال النتائج التي تم مناقشتها آنفا، </w:t>
      </w:r>
      <w:r w:rsidR="00A16284" w:rsidRPr="00ED0593">
        <w:rPr>
          <w:rFonts w:ascii="Simplified Arabic" w:hAnsi="Simplified Arabic" w:cs="Simplified Arabic" w:hint="cs"/>
          <w:sz w:val="24"/>
          <w:szCs w:val="24"/>
          <w:u w:val="single"/>
          <w:rtl/>
          <w:lang w:val="en-US"/>
        </w:rPr>
        <w:t>يمكن</w:t>
      </w:r>
      <w:r w:rsidR="00A16284" w:rsidRPr="00ED0593">
        <w:rPr>
          <w:rFonts w:ascii="Simplified Arabic" w:hAnsi="Simplified Arabic" w:cs="Simplified Arabic" w:hint="cs"/>
          <w:sz w:val="24"/>
          <w:szCs w:val="24"/>
          <w:u w:val="single"/>
          <w:rtl/>
        </w:rPr>
        <w:t xml:space="preserve"> اثبات صحة الفرضية الثانية التي تنص</w:t>
      </w:r>
      <w:r w:rsidR="00A16284" w:rsidRPr="00ED0593">
        <w:rPr>
          <w:rFonts w:ascii="Simplified Arabic" w:hAnsi="Simplified Arabic" w:cs="Simplified Arabic" w:hint="cs"/>
          <w:sz w:val="24"/>
          <w:szCs w:val="24"/>
          <w:u w:val="single"/>
          <w:rtl/>
          <w:lang w:val="en-US"/>
        </w:rPr>
        <w:t xml:space="preserve"> </w:t>
      </w:r>
      <w:r w:rsidR="00A16284" w:rsidRPr="00ED0593">
        <w:rPr>
          <w:rFonts w:ascii="Simplified Arabic" w:hAnsi="Simplified Arabic" w:cs="Simplified Arabic" w:hint="cs"/>
          <w:sz w:val="24"/>
          <w:szCs w:val="24"/>
          <w:u w:val="single"/>
          <w:rtl/>
        </w:rPr>
        <w:t>على انه</w:t>
      </w:r>
      <w:r w:rsidR="00A16284" w:rsidRPr="00ED0593">
        <w:rPr>
          <w:rFonts w:ascii="Simplified Arabic" w:hAnsi="Simplified Arabic" w:cs="Simplified Arabic" w:hint="cs"/>
          <w:sz w:val="24"/>
          <w:szCs w:val="24"/>
          <w:rtl/>
        </w:rPr>
        <w:t>:</w:t>
      </w:r>
      <w:r w:rsidR="00A16284" w:rsidRPr="00ED0593">
        <w:rPr>
          <w:rFonts w:ascii="Simplified Arabic" w:hAnsi="Simplified Arabic" w:cs="Simplified Arabic" w:hint="cs"/>
          <w:sz w:val="24"/>
          <w:szCs w:val="24"/>
          <w:rtl/>
          <w:lang w:bidi="ar-DZ"/>
        </w:rPr>
        <w:t xml:space="preserve"> </w:t>
      </w:r>
      <w:r w:rsidR="00B61C41" w:rsidRPr="00370032">
        <w:rPr>
          <w:rFonts w:ascii="Simplified Arabic" w:hAnsi="Simplified Arabic" w:cs="Simplified Arabic" w:hint="cs"/>
          <w:sz w:val="24"/>
          <w:szCs w:val="24"/>
          <w:rtl/>
          <w:lang w:bidi="ar-DZ"/>
        </w:rPr>
        <w:t xml:space="preserve">كلما </w:t>
      </w:r>
      <w:r w:rsidR="00B61C41" w:rsidRPr="00370032">
        <w:rPr>
          <w:rFonts w:ascii="Simplified Arabic" w:hAnsi="Simplified Arabic" w:cs="Simplified Arabic" w:hint="cs"/>
          <w:color w:val="000000" w:themeColor="text1"/>
          <w:sz w:val="24"/>
          <w:szCs w:val="24"/>
          <w:rtl/>
        </w:rPr>
        <w:t xml:space="preserve">توافرت احياء </w:t>
      </w:r>
      <w:r w:rsidR="00B61C41" w:rsidRPr="00370032">
        <w:rPr>
          <w:rFonts w:ascii="Simplified Arabic" w:hAnsi="Simplified Arabic" w:cs="Simplified Arabic" w:hint="cs"/>
          <w:sz w:val="24"/>
          <w:szCs w:val="24"/>
          <w:rtl/>
        </w:rPr>
        <w:t xml:space="preserve">فئات الانسجة </w:t>
      </w:r>
      <w:r w:rsidR="00B61C41" w:rsidRPr="00370032">
        <w:rPr>
          <w:rFonts w:ascii="Simplified Arabic" w:hAnsi="Simplified Arabic" w:cs="Simplified Arabic" w:hint="cs"/>
          <w:color w:val="000000" w:themeColor="text1"/>
          <w:sz w:val="24"/>
          <w:szCs w:val="24"/>
          <w:rtl/>
        </w:rPr>
        <w:t>الحضرية ل</w:t>
      </w:r>
      <w:r w:rsidR="00B61C41" w:rsidRPr="00370032">
        <w:rPr>
          <w:rFonts w:ascii="Simplified Arabic" w:hAnsi="Simplified Arabic" w:cs="Simplified Arabic" w:hint="cs"/>
          <w:sz w:val="24"/>
          <w:szCs w:val="24"/>
          <w:rtl/>
        </w:rPr>
        <w:t xml:space="preserve">مدينة </w:t>
      </w:r>
      <w:r w:rsidR="00B61C41" w:rsidRPr="00370032">
        <w:rPr>
          <w:rFonts w:ascii="Simplified Arabic" w:hAnsi="Simplified Arabic" w:cs="Simplified Arabic" w:hint="cs"/>
          <w:color w:val="000000" w:themeColor="text1"/>
          <w:sz w:val="24"/>
          <w:szCs w:val="24"/>
          <w:rtl/>
        </w:rPr>
        <w:t>بوسعادة</w:t>
      </w:r>
      <w:r w:rsidR="00B61C41" w:rsidRPr="00370032">
        <w:rPr>
          <w:rFonts w:ascii="Simplified Arabic" w:hAnsi="Simplified Arabic" w:cs="Simplified Arabic" w:hint="cs"/>
          <w:sz w:val="24"/>
          <w:szCs w:val="24"/>
          <w:rtl/>
          <w:lang w:bidi="ar-DZ"/>
        </w:rPr>
        <w:t xml:space="preserve"> على قيم عددية اعلى ل</w:t>
      </w:r>
      <w:r w:rsidR="00B61C41" w:rsidRPr="00370032">
        <w:rPr>
          <w:rFonts w:ascii="Simplified Arabic" w:hAnsi="Simplified Arabic" w:cs="Simplified Arabic" w:hint="cs"/>
          <w:color w:val="000000" w:themeColor="text1"/>
          <w:sz w:val="24"/>
          <w:szCs w:val="24"/>
          <w:rtl/>
        </w:rPr>
        <w:t xml:space="preserve">سمات المرونة المكانية </w:t>
      </w:r>
      <w:r w:rsidR="00B61C41">
        <w:rPr>
          <w:rFonts w:ascii="Simplified Arabic" w:hAnsi="Simplified Arabic" w:cs="Simplified Arabic" w:hint="cs"/>
          <w:sz w:val="24"/>
          <w:szCs w:val="24"/>
          <w:rtl/>
          <w:lang w:bidi="ar-DZ"/>
        </w:rPr>
        <w:t xml:space="preserve">كلما توفرت </w:t>
      </w:r>
      <w:r w:rsidR="00B61C41" w:rsidRPr="00370032">
        <w:rPr>
          <w:rFonts w:ascii="Simplified Arabic" w:hAnsi="Simplified Arabic" w:cs="Simplified Arabic" w:hint="cs"/>
          <w:sz w:val="24"/>
          <w:szCs w:val="24"/>
          <w:rtl/>
          <w:lang w:bidi="ar-DZ"/>
        </w:rPr>
        <w:t xml:space="preserve">قدرة </w:t>
      </w:r>
      <w:r w:rsidR="00B61C41" w:rsidRPr="00370032">
        <w:rPr>
          <w:rFonts w:ascii="Simplified Arabic" w:hAnsi="Simplified Arabic" w:cs="Simplified Arabic" w:hint="cs"/>
          <w:sz w:val="24"/>
          <w:szCs w:val="24"/>
          <w:rtl/>
          <w:lang w:val="en-US" w:bidi="ar-DZ"/>
        </w:rPr>
        <w:t>التكيف المكاني</w:t>
      </w:r>
      <w:r w:rsidR="00B61C41" w:rsidRPr="00370032">
        <w:rPr>
          <w:rFonts w:ascii="Simplified Arabic" w:hAnsi="Simplified Arabic" w:cs="Simplified Arabic"/>
          <w:sz w:val="24"/>
          <w:szCs w:val="24"/>
          <w:rtl/>
          <w:lang w:val="en-US" w:bidi="ar-DZ"/>
        </w:rPr>
        <w:t xml:space="preserve"> </w:t>
      </w:r>
      <w:r w:rsidR="00B61C41" w:rsidRPr="00370032">
        <w:rPr>
          <w:rFonts w:ascii="Simplified Arabic" w:hAnsi="Simplified Arabic" w:cs="Simplified Arabic" w:hint="cs"/>
          <w:sz w:val="24"/>
          <w:szCs w:val="24"/>
          <w:rtl/>
          <w:lang w:val="en-US" w:bidi="ar-DZ"/>
        </w:rPr>
        <w:t>لل</w:t>
      </w:r>
      <w:r w:rsidR="00B61C41" w:rsidRPr="00370032">
        <w:rPr>
          <w:rFonts w:ascii="Simplified Arabic" w:hAnsi="Simplified Arabic" w:cs="Simplified Arabic" w:hint="cs"/>
          <w:color w:val="000000" w:themeColor="text1"/>
          <w:sz w:val="24"/>
          <w:szCs w:val="24"/>
          <w:rtl/>
        </w:rPr>
        <w:t>احياء</w:t>
      </w:r>
      <w:r w:rsidR="000571E2" w:rsidRPr="00E2157F">
        <w:rPr>
          <w:rFonts w:ascii="Simplified Arabic" w:hAnsi="Simplified Arabic" w:cs="Simplified Arabic"/>
          <w:sz w:val="24"/>
          <w:szCs w:val="24"/>
          <w:rtl/>
          <w:lang w:bidi="ar-DZ"/>
        </w:rPr>
        <w:t>.</w:t>
      </w:r>
    </w:p>
    <w:p w:rsidR="00EE6A21" w:rsidRPr="00241BC3" w:rsidRDefault="00044395" w:rsidP="001D0548">
      <w:pPr>
        <w:pStyle w:val="Paragraphedeliste"/>
        <w:numPr>
          <w:ilvl w:val="0"/>
          <w:numId w:val="84"/>
        </w:numPr>
        <w:tabs>
          <w:tab w:val="right" w:pos="567"/>
        </w:tabs>
        <w:autoSpaceDE w:val="0"/>
        <w:autoSpaceDN w:val="0"/>
        <w:bidi/>
        <w:adjustRightInd w:val="0"/>
        <w:spacing w:before="240" w:after="0"/>
        <w:ind w:left="0" w:firstLine="0"/>
        <w:outlineLvl w:val="0"/>
        <w:rPr>
          <w:rFonts w:ascii="Simplified Arabic" w:hAnsi="Simplified Arabic" w:cs="Simplified Arabic"/>
          <w:b/>
          <w:bCs/>
          <w:sz w:val="24"/>
          <w:szCs w:val="24"/>
        </w:rPr>
      </w:pPr>
      <w:bookmarkStart w:id="989" w:name="_Toc171803906"/>
      <w:r w:rsidRPr="00241BC3">
        <w:rPr>
          <w:rFonts w:ascii="Simplified Arabic" w:hAnsi="Simplified Arabic" w:cs="Simplified Arabic" w:hint="cs"/>
          <w:b/>
          <w:bCs/>
          <w:sz w:val="24"/>
          <w:szCs w:val="24"/>
          <w:rtl/>
        </w:rPr>
        <w:t xml:space="preserve">مبادئ </w:t>
      </w:r>
      <w:r w:rsidR="00BB59E9" w:rsidRPr="00241BC3">
        <w:rPr>
          <w:rFonts w:ascii="Simplified Arabic" w:hAnsi="Simplified Arabic" w:cs="Simplified Arabic" w:hint="cs"/>
          <w:b/>
          <w:bCs/>
          <w:sz w:val="24"/>
          <w:szCs w:val="24"/>
          <w:rtl/>
        </w:rPr>
        <w:t>ال</w:t>
      </w:r>
      <w:r w:rsidRPr="00241BC3">
        <w:rPr>
          <w:rFonts w:ascii="Simplified Arabic" w:hAnsi="Simplified Arabic" w:cs="Simplified Arabic" w:hint="cs"/>
          <w:b/>
          <w:bCs/>
          <w:sz w:val="24"/>
          <w:szCs w:val="24"/>
          <w:rtl/>
        </w:rPr>
        <w:t>تصمي</w:t>
      </w:r>
      <w:r w:rsidR="00BB59E9" w:rsidRPr="00241BC3">
        <w:rPr>
          <w:rFonts w:ascii="Simplified Arabic" w:hAnsi="Simplified Arabic" w:cs="Simplified Arabic" w:hint="cs"/>
          <w:b/>
          <w:bCs/>
          <w:sz w:val="24"/>
          <w:szCs w:val="24"/>
          <w:rtl/>
        </w:rPr>
        <w:t>م</w:t>
      </w:r>
      <w:r w:rsidR="006F1380" w:rsidRPr="00241BC3">
        <w:rPr>
          <w:rFonts w:ascii="Simplified Arabic" w:hAnsi="Simplified Arabic" w:cs="Simplified Arabic" w:hint="cs"/>
          <w:b/>
          <w:bCs/>
          <w:sz w:val="24"/>
          <w:szCs w:val="24"/>
          <w:rtl/>
        </w:rPr>
        <w:t xml:space="preserve"> </w:t>
      </w:r>
      <w:r w:rsidR="00C04396" w:rsidRPr="00241BC3">
        <w:rPr>
          <w:rFonts w:ascii="Simplified Arabic" w:hAnsi="Simplified Arabic" w:cs="Simplified Arabic" w:hint="cs"/>
          <w:b/>
          <w:bCs/>
          <w:sz w:val="24"/>
          <w:szCs w:val="24"/>
          <w:rtl/>
        </w:rPr>
        <w:t>و</w:t>
      </w:r>
      <w:r w:rsidR="00BD74EF" w:rsidRPr="00241BC3">
        <w:rPr>
          <w:rFonts w:ascii="Simplified Arabic" w:hAnsi="Simplified Arabic" w:cs="Simplified Arabic" w:hint="cs"/>
          <w:b/>
          <w:bCs/>
          <w:sz w:val="24"/>
          <w:szCs w:val="24"/>
          <w:rtl/>
        </w:rPr>
        <w:t>ال</w:t>
      </w:r>
      <w:r w:rsidR="00C04396" w:rsidRPr="00241BC3">
        <w:rPr>
          <w:rFonts w:ascii="Simplified Arabic" w:hAnsi="Simplified Arabic" w:cs="Simplified Arabic"/>
          <w:b/>
          <w:bCs/>
          <w:sz w:val="24"/>
          <w:szCs w:val="24"/>
          <w:rtl/>
        </w:rPr>
        <w:t>توصيات</w:t>
      </w:r>
      <w:bookmarkEnd w:id="989"/>
    </w:p>
    <w:p w:rsidR="00EE6A21" w:rsidRDefault="00A319A1" w:rsidP="009A433A">
      <w:pPr>
        <w:bidi/>
        <w:spacing w:after="0"/>
        <w:ind w:firstLine="283"/>
        <w:jc w:val="both"/>
        <w:rPr>
          <w:rFonts w:ascii="Simplified Arabic" w:hAnsi="Simplified Arabic" w:cs="Simplified Arabic"/>
          <w:sz w:val="24"/>
          <w:szCs w:val="24"/>
          <w:rtl/>
          <w:lang w:val="en-US" w:bidi="ar-DZ"/>
        </w:rPr>
      </w:pPr>
      <w:r w:rsidRPr="00CA51A1">
        <w:rPr>
          <w:rStyle w:val="y2iqfc"/>
          <w:rFonts w:ascii="Simplified Arabic" w:hAnsi="Simplified Arabic" w:cs="Simplified Arabic"/>
          <w:color w:val="202124"/>
          <w:sz w:val="24"/>
          <w:szCs w:val="24"/>
          <w:rtl/>
          <w:lang w:val="en-US" w:bidi="ar"/>
        </w:rPr>
        <w:t xml:space="preserve">تحتاج </w:t>
      </w:r>
      <w:r w:rsidR="00F3488D">
        <w:rPr>
          <w:rStyle w:val="y2iqfc"/>
          <w:rFonts w:ascii="Simplified Arabic" w:hAnsi="Simplified Arabic" w:cs="Simplified Arabic" w:hint="cs"/>
          <w:color w:val="202124"/>
          <w:sz w:val="24"/>
          <w:szCs w:val="24"/>
          <w:rtl/>
          <w:lang w:val="en-US" w:bidi="ar"/>
        </w:rPr>
        <w:t>ا</w:t>
      </w:r>
      <w:r w:rsidR="00F3488D" w:rsidRPr="00CA51A1">
        <w:rPr>
          <w:rStyle w:val="y2iqfc"/>
          <w:rFonts w:ascii="Simplified Arabic" w:hAnsi="Simplified Arabic" w:cs="Simplified Arabic"/>
          <w:color w:val="202124"/>
          <w:sz w:val="24"/>
          <w:szCs w:val="24"/>
          <w:rtl/>
          <w:lang w:val="en-US" w:bidi="ar"/>
        </w:rPr>
        <w:t xml:space="preserve">لأحياء ذات المرونة </w:t>
      </w:r>
      <w:r w:rsidR="00F3488D">
        <w:rPr>
          <w:rStyle w:val="y2iqfc"/>
          <w:rFonts w:ascii="Simplified Arabic" w:hAnsi="Simplified Arabic" w:cs="Simplified Arabic" w:hint="cs"/>
          <w:color w:val="202124"/>
          <w:sz w:val="24"/>
          <w:szCs w:val="24"/>
          <w:rtl/>
          <w:lang w:val="en-US" w:bidi="ar"/>
        </w:rPr>
        <w:t>المتوسطة و</w:t>
      </w:r>
      <w:r w:rsidR="00F3488D" w:rsidRPr="00CA51A1">
        <w:rPr>
          <w:rStyle w:val="y2iqfc"/>
          <w:rFonts w:ascii="Simplified Arabic" w:hAnsi="Simplified Arabic" w:cs="Simplified Arabic"/>
          <w:color w:val="202124"/>
          <w:sz w:val="24"/>
          <w:szCs w:val="24"/>
          <w:rtl/>
          <w:lang w:val="en-US" w:bidi="ar"/>
        </w:rPr>
        <w:t xml:space="preserve">المنخفضة </w:t>
      </w:r>
      <w:r w:rsidR="00974D84">
        <w:rPr>
          <w:rStyle w:val="y2iqfc"/>
          <w:rFonts w:ascii="Simplified Arabic" w:hAnsi="Simplified Arabic" w:cs="Simplified Arabic" w:hint="cs"/>
          <w:color w:val="202124"/>
          <w:sz w:val="24"/>
          <w:szCs w:val="24"/>
          <w:rtl/>
          <w:lang w:val="en-US" w:bidi="ar"/>
        </w:rPr>
        <w:t>وذات</w:t>
      </w:r>
      <w:r w:rsidR="00544EB8">
        <w:rPr>
          <w:rStyle w:val="y2iqfc"/>
          <w:rFonts w:ascii="Simplified Arabic" w:hAnsi="Simplified Arabic" w:cs="Simplified Arabic" w:hint="cs"/>
          <w:color w:val="202124"/>
          <w:sz w:val="24"/>
          <w:szCs w:val="24"/>
          <w:rtl/>
          <w:lang w:val="en-US" w:bidi="ar"/>
        </w:rPr>
        <w:t xml:space="preserve"> قدرات تكيف مكاني</w:t>
      </w:r>
      <w:r w:rsidR="00974D84">
        <w:rPr>
          <w:rStyle w:val="y2iqfc"/>
          <w:rFonts w:ascii="Simplified Arabic" w:hAnsi="Simplified Arabic" w:cs="Simplified Arabic" w:hint="cs"/>
          <w:color w:val="202124"/>
          <w:sz w:val="24"/>
          <w:szCs w:val="24"/>
          <w:rtl/>
          <w:lang w:val="en-US" w:bidi="ar"/>
        </w:rPr>
        <w:t xml:space="preserve"> اقل</w:t>
      </w:r>
      <w:r w:rsidR="00544EB8">
        <w:rPr>
          <w:rStyle w:val="y2iqfc"/>
          <w:rFonts w:ascii="Simplified Arabic" w:hAnsi="Simplified Arabic" w:cs="Simplified Arabic" w:hint="cs"/>
          <w:color w:val="202124"/>
          <w:sz w:val="24"/>
          <w:szCs w:val="24"/>
          <w:rtl/>
          <w:lang w:val="en-US" w:bidi="ar"/>
        </w:rPr>
        <w:t xml:space="preserve"> </w:t>
      </w:r>
      <w:r w:rsidRPr="00CA51A1">
        <w:rPr>
          <w:rStyle w:val="y2iqfc"/>
          <w:rFonts w:ascii="Simplified Arabic" w:hAnsi="Simplified Arabic" w:cs="Simplified Arabic"/>
          <w:color w:val="202124"/>
          <w:sz w:val="24"/>
          <w:szCs w:val="24"/>
          <w:rtl/>
          <w:lang w:val="en-US" w:bidi="ar"/>
        </w:rPr>
        <w:t xml:space="preserve">إلى </w:t>
      </w:r>
      <w:r w:rsidR="00F3488D">
        <w:rPr>
          <w:rStyle w:val="y2iqfc"/>
          <w:rFonts w:ascii="Simplified Arabic" w:hAnsi="Simplified Arabic" w:cs="Simplified Arabic" w:hint="cs"/>
          <w:color w:val="202124"/>
          <w:sz w:val="24"/>
          <w:szCs w:val="24"/>
          <w:rtl/>
          <w:lang w:val="en-US" w:bidi="ar"/>
        </w:rPr>
        <w:t xml:space="preserve">تدخلات </w:t>
      </w:r>
      <w:r w:rsidR="00544EB8">
        <w:rPr>
          <w:rStyle w:val="y2iqfc"/>
          <w:rFonts w:ascii="Simplified Arabic" w:hAnsi="Simplified Arabic" w:cs="Simplified Arabic" w:hint="cs"/>
          <w:color w:val="202124"/>
          <w:sz w:val="24"/>
          <w:szCs w:val="24"/>
          <w:rtl/>
          <w:lang w:val="en-US" w:bidi="ar"/>
        </w:rPr>
        <w:t>عمرانية</w:t>
      </w:r>
      <w:r w:rsidRPr="00CA51A1">
        <w:rPr>
          <w:rStyle w:val="y2iqfc"/>
          <w:rFonts w:ascii="Simplified Arabic" w:hAnsi="Simplified Arabic" w:cs="Simplified Arabic"/>
          <w:color w:val="202124"/>
          <w:sz w:val="24"/>
          <w:szCs w:val="24"/>
          <w:rtl/>
          <w:lang w:val="en-US" w:bidi="ar"/>
        </w:rPr>
        <w:t xml:space="preserve"> مقارن</w:t>
      </w:r>
      <w:r w:rsidR="00F3488D">
        <w:rPr>
          <w:rStyle w:val="y2iqfc"/>
          <w:rFonts w:ascii="Simplified Arabic" w:hAnsi="Simplified Arabic" w:cs="Simplified Arabic" w:hint="cs"/>
          <w:color w:val="202124"/>
          <w:sz w:val="24"/>
          <w:szCs w:val="24"/>
          <w:rtl/>
          <w:lang w:val="en-US" w:bidi="ar"/>
        </w:rPr>
        <w:t xml:space="preserve">ة مع </w:t>
      </w:r>
      <w:r w:rsidRPr="00CA51A1">
        <w:rPr>
          <w:rStyle w:val="y2iqfc"/>
          <w:rFonts w:ascii="Simplified Arabic" w:hAnsi="Simplified Arabic" w:cs="Simplified Arabic"/>
          <w:color w:val="202124"/>
          <w:sz w:val="24"/>
          <w:szCs w:val="24"/>
          <w:rtl/>
          <w:lang w:val="en-US" w:bidi="ar"/>
        </w:rPr>
        <w:t>الوضع العام للمدينة</w:t>
      </w:r>
      <w:r w:rsidR="00F3488D">
        <w:rPr>
          <w:rStyle w:val="y2iqfc"/>
          <w:rFonts w:ascii="Simplified Arabic" w:hAnsi="Simplified Arabic" w:cs="Simplified Arabic" w:hint="cs"/>
          <w:color w:val="202124"/>
          <w:sz w:val="24"/>
          <w:szCs w:val="24"/>
          <w:rtl/>
          <w:lang w:val="en-US" w:bidi="ar"/>
        </w:rPr>
        <w:t>،</w:t>
      </w:r>
      <w:r w:rsidRPr="00CA51A1">
        <w:rPr>
          <w:rStyle w:val="y2iqfc"/>
          <w:rFonts w:ascii="Simplified Arabic" w:hAnsi="Simplified Arabic" w:cs="Simplified Arabic"/>
          <w:color w:val="202124"/>
          <w:sz w:val="24"/>
          <w:szCs w:val="24"/>
          <w:rtl/>
          <w:lang w:val="en-US" w:bidi="ar"/>
        </w:rPr>
        <w:t xml:space="preserve"> </w:t>
      </w:r>
      <w:r w:rsidR="00F3488D">
        <w:rPr>
          <w:rStyle w:val="y2iqfc"/>
          <w:rFonts w:ascii="Simplified Arabic" w:hAnsi="Simplified Arabic" w:cs="Simplified Arabic" w:hint="cs"/>
          <w:color w:val="202124"/>
          <w:sz w:val="24"/>
          <w:szCs w:val="24"/>
          <w:rtl/>
          <w:lang w:val="en-US" w:bidi="ar"/>
        </w:rPr>
        <w:t>و</w:t>
      </w:r>
      <w:r w:rsidR="00544EB8">
        <w:rPr>
          <w:rStyle w:val="y2iqfc"/>
          <w:rFonts w:ascii="Simplified Arabic" w:hAnsi="Simplified Arabic" w:cs="Simplified Arabic" w:hint="cs"/>
          <w:color w:val="202124"/>
          <w:sz w:val="24"/>
          <w:szCs w:val="24"/>
          <w:rtl/>
          <w:lang w:val="en-US" w:bidi="ar"/>
        </w:rPr>
        <w:t xml:space="preserve">الى </w:t>
      </w:r>
      <w:r w:rsidRPr="00CA51A1">
        <w:rPr>
          <w:rStyle w:val="y2iqfc"/>
          <w:rFonts w:ascii="Simplified Arabic" w:hAnsi="Simplified Arabic" w:cs="Simplified Arabic"/>
          <w:color w:val="202124"/>
          <w:sz w:val="24"/>
          <w:szCs w:val="24"/>
          <w:rtl/>
          <w:lang w:val="en-US" w:bidi="ar"/>
        </w:rPr>
        <w:t>وضع خارطة طريق تحسين قدر</w:t>
      </w:r>
      <w:r w:rsidR="00974D84">
        <w:rPr>
          <w:rStyle w:val="y2iqfc"/>
          <w:rFonts w:ascii="Simplified Arabic" w:hAnsi="Simplified Arabic" w:cs="Simplified Arabic" w:hint="cs"/>
          <w:color w:val="202124"/>
          <w:sz w:val="24"/>
          <w:szCs w:val="24"/>
          <w:rtl/>
          <w:lang w:val="en-US" w:bidi="ar"/>
        </w:rPr>
        <w:t>ات</w:t>
      </w:r>
      <w:r w:rsidRPr="00CA51A1">
        <w:rPr>
          <w:rStyle w:val="y2iqfc"/>
          <w:rFonts w:ascii="Simplified Arabic" w:hAnsi="Simplified Arabic" w:cs="Simplified Arabic"/>
          <w:color w:val="202124"/>
          <w:sz w:val="24"/>
          <w:szCs w:val="24"/>
          <w:rtl/>
          <w:lang w:val="en-US" w:bidi="ar"/>
        </w:rPr>
        <w:t xml:space="preserve"> مد</w:t>
      </w:r>
      <w:r>
        <w:rPr>
          <w:rStyle w:val="y2iqfc"/>
          <w:rFonts w:ascii="Simplified Arabic" w:hAnsi="Simplified Arabic" w:cs="Simplified Arabic" w:hint="cs"/>
          <w:color w:val="202124"/>
          <w:sz w:val="24"/>
          <w:szCs w:val="24"/>
          <w:rtl/>
          <w:lang w:val="en-US" w:bidi="ar"/>
        </w:rPr>
        <w:t>ي</w:t>
      </w:r>
      <w:r w:rsidRPr="00CA51A1">
        <w:rPr>
          <w:rStyle w:val="y2iqfc"/>
          <w:rFonts w:ascii="Simplified Arabic" w:hAnsi="Simplified Arabic" w:cs="Simplified Arabic"/>
          <w:color w:val="202124"/>
          <w:sz w:val="24"/>
          <w:szCs w:val="24"/>
          <w:rtl/>
          <w:lang w:val="en-US" w:bidi="ar"/>
        </w:rPr>
        <w:t>ن</w:t>
      </w:r>
      <w:r>
        <w:rPr>
          <w:rStyle w:val="y2iqfc"/>
          <w:rFonts w:ascii="Simplified Arabic" w:hAnsi="Simplified Arabic" w:cs="Simplified Arabic" w:hint="cs"/>
          <w:color w:val="202124"/>
          <w:sz w:val="24"/>
          <w:szCs w:val="24"/>
          <w:rtl/>
          <w:lang w:val="en-US" w:bidi="ar"/>
        </w:rPr>
        <w:t>ة</w:t>
      </w:r>
      <w:r w:rsidR="00544EB8">
        <w:rPr>
          <w:rStyle w:val="y2iqfc"/>
          <w:rFonts w:ascii="Simplified Arabic" w:hAnsi="Simplified Arabic" w:cs="Simplified Arabic" w:hint="cs"/>
          <w:color w:val="202124"/>
          <w:sz w:val="24"/>
          <w:szCs w:val="24"/>
          <w:rtl/>
          <w:lang w:val="en-US" w:bidi="ar"/>
        </w:rPr>
        <w:t xml:space="preserve"> بوسعادة</w:t>
      </w:r>
      <w:r w:rsidRPr="00CA51A1">
        <w:rPr>
          <w:rStyle w:val="y2iqfc"/>
          <w:rFonts w:ascii="Simplified Arabic" w:hAnsi="Simplified Arabic" w:cs="Simplified Arabic"/>
          <w:color w:val="202124"/>
          <w:sz w:val="24"/>
          <w:szCs w:val="24"/>
          <w:rtl/>
          <w:lang w:val="en-US" w:bidi="ar"/>
        </w:rPr>
        <w:t xml:space="preserve"> على </w:t>
      </w:r>
      <w:r>
        <w:rPr>
          <w:rStyle w:val="y2iqfc"/>
          <w:rFonts w:ascii="Simplified Arabic" w:hAnsi="Simplified Arabic" w:cs="Simplified Arabic" w:hint="cs"/>
          <w:color w:val="202124"/>
          <w:sz w:val="24"/>
          <w:szCs w:val="24"/>
          <w:rtl/>
          <w:lang w:val="en-US" w:bidi="ar"/>
        </w:rPr>
        <w:t>الاستجابة</w:t>
      </w:r>
      <w:r w:rsidRPr="00CA51A1">
        <w:rPr>
          <w:rStyle w:val="y2iqfc"/>
          <w:rFonts w:ascii="Simplified Arabic" w:hAnsi="Simplified Arabic" w:cs="Simplified Arabic"/>
          <w:color w:val="202124"/>
          <w:sz w:val="24"/>
          <w:szCs w:val="24"/>
          <w:rtl/>
          <w:lang w:val="en-US" w:bidi="ar"/>
        </w:rPr>
        <w:t xml:space="preserve"> </w:t>
      </w:r>
      <w:r w:rsidR="00FA5697">
        <w:rPr>
          <w:rStyle w:val="y2iqfc"/>
          <w:rFonts w:ascii="Simplified Arabic" w:hAnsi="Simplified Arabic" w:cs="Simplified Arabic" w:hint="cs"/>
          <w:color w:val="202124"/>
          <w:sz w:val="24"/>
          <w:szCs w:val="24"/>
          <w:rtl/>
          <w:lang w:val="en-US" w:bidi="ar"/>
        </w:rPr>
        <w:t>و</w:t>
      </w:r>
      <w:r>
        <w:rPr>
          <w:rStyle w:val="y2iqfc"/>
          <w:rFonts w:ascii="Simplified Arabic" w:hAnsi="Simplified Arabic" w:cs="Simplified Arabic" w:hint="cs"/>
          <w:color w:val="202124"/>
          <w:sz w:val="24"/>
          <w:szCs w:val="24"/>
          <w:rtl/>
          <w:lang w:val="en-US" w:bidi="ar"/>
        </w:rPr>
        <w:t>التكيف</w:t>
      </w:r>
      <w:r w:rsidRPr="00CA51A1">
        <w:rPr>
          <w:rStyle w:val="y2iqfc"/>
          <w:rFonts w:ascii="Simplified Arabic" w:hAnsi="Simplified Arabic" w:cs="Simplified Arabic"/>
          <w:color w:val="202124"/>
          <w:sz w:val="24"/>
          <w:szCs w:val="24"/>
          <w:rtl/>
          <w:lang w:val="en-US" w:bidi="ar"/>
        </w:rPr>
        <w:t>.</w:t>
      </w:r>
      <w:r w:rsidR="000A1DE0" w:rsidRPr="000A1DE0">
        <w:rPr>
          <w:rFonts w:ascii="Simplified Arabic" w:hAnsi="Simplified Arabic" w:cs="Simplified Arabic" w:hint="cs"/>
          <w:sz w:val="24"/>
          <w:szCs w:val="24"/>
          <w:rtl/>
          <w:lang w:val="en-US" w:bidi="ar-DZ"/>
        </w:rPr>
        <w:t xml:space="preserve"> </w:t>
      </w:r>
      <w:r w:rsidR="00EE6A21" w:rsidRPr="00700BE7">
        <w:rPr>
          <w:rFonts w:ascii="Simplified Arabic" w:hAnsi="Simplified Arabic" w:cs="Simplified Arabic" w:hint="cs"/>
          <w:sz w:val="24"/>
          <w:szCs w:val="24"/>
          <w:rtl/>
          <w:lang w:val="en-US" w:bidi="ar-DZ"/>
        </w:rPr>
        <w:t>بهذا</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المعنى،</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فإن</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المبادئ</w:t>
      </w:r>
      <w:r w:rsidR="00544EB8">
        <w:rPr>
          <w:rFonts w:ascii="Simplified Arabic" w:hAnsi="Simplified Arabic" w:cs="Simplified Arabic" w:hint="cs"/>
          <w:sz w:val="24"/>
          <w:szCs w:val="24"/>
          <w:rtl/>
          <w:lang w:val="en-US" w:bidi="ar-DZ"/>
        </w:rPr>
        <w:t xml:space="preserve"> (السمات)</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المقترحة</w:t>
      </w:r>
      <w:r w:rsidR="000A1DE0">
        <w:rPr>
          <w:rFonts w:ascii="Simplified Arabic" w:hAnsi="Simplified Arabic" w:cs="Simplified Arabic" w:hint="cs"/>
          <w:sz w:val="24"/>
          <w:szCs w:val="24"/>
          <w:rtl/>
          <w:lang w:val="en-US" w:bidi="ar-DZ"/>
        </w:rPr>
        <w:t xml:space="preserve"> للكثافة، ا</w:t>
      </w:r>
      <w:r w:rsidR="00EE6A21" w:rsidRPr="00700BE7">
        <w:rPr>
          <w:rFonts w:ascii="Simplified Arabic" w:hAnsi="Simplified Arabic" w:cs="Simplified Arabic" w:hint="cs"/>
          <w:sz w:val="24"/>
          <w:szCs w:val="24"/>
          <w:rtl/>
          <w:lang w:val="en-US" w:bidi="ar-DZ"/>
        </w:rPr>
        <w:t>لتنوع</w:t>
      </w:r>
      <w:r w:rsidR="000A1DE0">
        <w:rPr>
          <w:rFonts w:ascii="Simplified Arabic" w:hAnsi="Simplified Arabic" w:cs="Simplified Arabic" w:hint="cs"/>
          <w:sz w:val="24"/>
          <w:szCs w:val="24"/>
          <w:rtl/>
          <w:lang w:val="en-US" w:bidi="ar-DZ"/>
        </w:rPr>
        <w:t xml:space="preserve">، </w:t>
      </w:r>
      <w:r w:rsidR="00EE6A21" w:rsidRPr="00700BE7">
        <w:rPr>
          <w:rFonts w:ascii="Simplified Arabic" w:hAnsi="Simplified Arabic" w:cs="Simplified Arabic" w:hint="cs"/>
          <w:sz w:val="24"/>
          <w:szCs w:val="24"/>
          <w:rtl/>
          <w:lang w:val="en-US" w:bidi="ar-DZ"/>
        </w:rPr>
        <w:t>الاتصال</w:t>
      </w:r>
      <w:r w:rsidR="00C23656">
        <w:rPr>
          <w:rFonts w:ascii="Simplified Arabic" w:hAnsi="Simplified Arabic" w:cs="Simplified Arabic" w:hint="cs"/>
          <w:sz w:val="24"/>
          <w:szCs w:val="24"/>
          <w:rtl/>
          <w:lang w:val="en-US" w:bidi="ar-DZ"/>
        </w:rPr>
        <w:t>ية</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والتكرار</w:t>
      </w:r>
      <w:r w:rsidR="00F3488D">
        <w:rPr>
          <w:rFonts w:ascii="Simplified Arabic" w:hAnsi="Simplified Arabic" w:cs="Simplified Arabic" w:hint="cs"/>
          <w:sz w:val="24"/>
          <w:szCs w:val="24"/>
          <w:rtl/>
          <w:lang w:val="en-US" w:bidi="ar-DZ"/>
        </w:rPr>
        <w:t xml:space="preserve"> تسمح بتشكيل </w:t>
      </w:r>
      <w:r w:rsidR="009C270F">
        <w:rPr>
          <w:rFonts w:ascii="Simplified Arabic" w:hAnsi="Simplified Arabic" w:cs="Simplified Arabic" w:hint="cs"/>
          <w:sz w:val="24"/>
          <w:szCs w:val="24"/>
          <w:rtl/>
          <w:lang w:val="en-US" w:bidi="ar-DZ"/>
        </w:rPr>
        <w:t>مناطق</w:t>
      </w:r>
      <w:r w:rsidR="00F3488D">
        <w:rPr>
          <w:rFonts w:ascii="Simplified Arabic" w:hAnsi="Simplified Arabic" w:cs="Simplified Arabic" w:hint="cs"/>
          <w:sz w:val="24"/>
          <w:szCs w:val="24"/>
          <w:rtl/>
          <w:lang w:val="en-US" w:bidi="ar-DZ"/>
        </w:rPr>
        <w:t xml:space="preserve"> حضرية </w:t>
      </w:r>
      <w:r w:rsidR="004925A2">
        <w:rPr>
          <w:rFonts w:ascii="Simplified Arabic" w:hAnsi="Simplified Arabic" w:cs="Simplified Arabic" w:hint="cs"/>
          <w:sz w:val="24"/>
          <w:szCs w:val="24"/>
          <w:rtl/>
          <w:lang w:val="en-US" w:bidi="ar-DZ"/>
        </w:rPr>
        <w:t xml:space="preserve">متكيّفة مكانيا </w:t>
      </w:r>
      <w:r w:rsidR="00F3488D">
        <w:rPr>
          <w:rFonts w:ascii="Simplified Arabic" w:hAnsi="Simplified Arabic" w:cs="Simplified Arabic" w:hint="cs"/>
          <w:sz w:val="24"/>
          <w:szCs w:val="24"/>
          <w:rtl/>
          <w:lang w:val="en-US" w:bidi="ar-DZ"/>
        </w:rPr>
        <w:t>ضمن مفهوم المرونة الحضرية</w:t>
      </w:r>
      <w:r w:rsidR="009C270F">
        <w:rPr>
          <w:rFonts w:ascii="Simplified Arabic" w:hAnsi="Simplified Arabic" w:cs="Simplified Arabic" w:hint="cs"/>
          <w:sz w:val="24"/>
          <w:szCs w:val="24"/>
          <w:rtl/>
          <w:lang w:val="en-US" w:bidi="ar-DZ"/>
        </w:rPr>
        <w:t xml:space="preserve"> و</w:t>
      </w:r>
      <w:r w:rsidR="00EE6A21" w:rsidRPr="00700BE7">
        <w:rPr>
          <w:rFonts w:ascii="Simplified Arabic" w:hAnsi="Simplified Arabic" w:cs="Simplified Arabic" w:hint="cs"/>
          <w:sz w:val="24"/>
          <w:szCs w:val="24"/>
          <w:rtl/>
          <w:lang w:val="en-US" w:bidi="ar-DZ"/>
        </w:rPr>
        <w:t>توفر</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طريقة</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جديدة</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لتحديد</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أولوي</w:t>
      </w:r>
      <w:r w:rsidR="009C270F">
        <w:rPr>
          <w:rFonts w:ascii="Simplified Arabic" w:hAnsi="Simplified Arabic" w:cs="Simplified Arabic" w:hint="cs"/>
          <w:sz w:val="24"/>
          <w:szCs w:val="24"/>
          <w:rtl/>
          <w:lang w:val="en-US" w:bidi="ar-DZ"/>
        </w:rPr>
        <w:t>ة</w:t>
      </w:r>
      <w:r w:rsidR="00F3488D">
        <w:rPr>
          <w:rFonts w:ascii="Simplified Arabic" w:hAnsi="Simplified Arabic" w:cs="Simplified Arabic" w:hint="cs"/>
          <w:sz w:val="24"/>
          <w:szCs w:val="24"/>
          <w:rtl/>
          <w:lang w:val="en-US" w:bidi="ar-DZ"/>
        </w:rPr>
        <w:t xml:space="preserve"> التدخلات</w:t>
      </w:r>
      <w:r w:rsidR="00EE6A21" w:rsidRPr="00700BE7">
        <w:rPr>
          <w:rFonts w:ascii="Simplified Arabic" w:hAnsi="Simplified Arabic" w:cs="Simplified Arabic" w:hint="cs"/>
          <w:sz w:val="24"/>
          <w:szCs w:val="24"/>
          <w:rtl/>
          <w:lang w:val="en-US" w:bidi="ar-DZ"/>
        </w:rPr>
        <w:t>،</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وصولاً</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إلى</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بنية</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الأماكن</w:t>
      </w:r>
      <w:r w:rsidR="00EE6A21" w:rsidRPr="00700BE7">
        <w:rPr>
          <w:rFonts w:ascii="Simplified Arabic" w:hAnsi="Simplified Arabic" w:cs="Simplified Arabic"/>
          <w:sz w:val="24"/>
          <w:szCs w:val="24"/>
          <w:rtl/>
          <w:lang w:val="en-US" w:bidi="ar-DZ"/>
        </w:rPr>
        <w:t xml:space="preserve"> </w:t>
      </w:r>
      <w:r w:rsidR="00885CEE">
        <w:rPr>
          <w:rFonts w:ascii="Simplified Arabic" w:hAnsi="Simplified Arabic" w:cs="Simplified Arabic" w:hint="cs"/>
          <w:sz w:val="24"/>
          <w:szCs w:val="24"/>
          <w:rtl/>
          <w:lang w:val="en-US" w:bidi="ar-DZ"/>
        </w:rPr>
        <w:t xml:space="preserve">المرنة </w:t>
      </w:r>
      <w:r w:rsidR="00EE6A21" w:rsidRPr="00700BE7">
        <w:rPr>
          <w:rFonts w:ascii="Simplified Arabic" w:hAnsi="Simplified Arabic" w:cs="Simplified Arabic" w:hint="cs"/>
          <w:sz w:val="24"/>
          <w:szCs w:val="24"/>
          <w:rtl/>
          <w:lang w:val="en-US" w:bidi="ar-DZ"/>
        </w:rPr>
        <w:t>ذاتها</w:t>
      </w:r>
      <w:r w:rsidR="00EE6A21" w:rsidRPr="00700BE7">
        <w:rPr>
          <w:rFonts w:ascii="Simplified Arabic" w:hAnsi="Simplified Arabic" w:cs="Simplified Arabic"/>
          <w:sz w:val="24"/>
          <w:szCs w:val="24"/>
          <w:rtl/>
          <w:lang w:val="en-US" w:bidi="ar-DZ"/>
        </w:rPr>
        <w:t>.</w:t>
      </w:r>
      <w:r w:rsidR="00FA5697">
        <w:rPr>
          <w:rFonts w:ascii="Simplified Arabic" w:hAnsi="Simplified Arabic" w:cs="Simplified Arabic" w:hint="cs"/>
          <w:sz w:val="24"/>
          <w:szCs w:val="24"/>
          <w:rtl/>
          <w:lang w:val="en-US" w:bidi="ar-DZ"/>
        </w:rPr>
        <w:t xml:space="preserve"> </w:t>
      </w:r>
      <w:r w:rsidR="000A1DE0">
        <w:rPr>
          <w:rFonts w:ascii="Simplified Arabic" w:hAnsi="Simplified Arabic" w:cs="Simplified Arabic" w:hint="cs"/>
          <w:sz w:val="24"/>
          <w:szCs w:val="24"/>
          <w:rtl/>
          <w:lang w:val="en-US" w:bidi="ar-DZ"/>
        </w:rPr>
        <w:t xml:space="preserve">تتمثل </w:t>
      </w:r>
      <w:r w:rsidR="00EE6A21" w:rsidRPr="00700BE7">
        <w:rPr>
          <w:rFonts w:ascii="Simplified Arabic" w:hAnsi="Simplified Arabic" w:cs="Simplified Arabic" w:hint="cs"/>
          <w:sz w:val="24"/>
          <w:szCs w:val="24"/>
          <w:rtl/>
          <w:lang w:val="en-US" w:bidi="ar-DZ"/>
        </w:rPr>
        <w:t>مبادئ</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مرونة</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التصميم</w:t>
      </w:r>
      <w:r w:rsidR="00EE6A21" w:rsidRPr="00700BE7">
        <w:rPr>
          <w:rFonts w:ascii="Simplified Arabic" w:hAnsi="Simplified Arabic" w:cs="Simplified Arabic"/>
          <w:sz w:val="24"/>
          <w:szCs w:val="24"/>
          <w:rtl/>
          <w:lang w:val="en-US" w:bidi="ar-DZ"/>
        </w:rPr>
        <w:t xml:space="preserve"> </w:t>
      </w:r>
      <w:r w:rsidR="00EE6A21" w:rsidRPr="00700BE7">
        <w:rPr>
          <w:rFonts w:ascii="Simplified Arabic" w:hAnsi="Simplified Arabic" w:cs="Simplified Arabic" w:hint="cs"/>
          <w:sz w:val="24"/>
          <w:szCs w:val="24"/>
          <w:rtl/>
          <w:lang w:val="en-US" w:bidi="ar-DZ"/>
        </w:rPr>
        <w:t>الحضري</w:t>
      </w:r>
      <w:r w:rsidR="000A1DE0">
        <w:rPr>
          <w:rFonts w:ascii="Simplified Arabic" w:hAnsi="Simplified Arabic" w:cs="Simplified Arabic" w:hint="cs"/>
          <w:sz w:val="24"/>
          <w:szCs w:val="24"/>
          <w:rtl/>
          <w:lang w:val="en-US" w:bidi="ar-DZ"/>
        </w:rPr>
        <w:t xml:space="preserve"> </w:t>
      </w:r>
      <w:r w:rsidR="00F3488D">
        <w:rPr>
          <w:rFonts w:ascii="Simplified Arabic" w:hAnsi="Simplified Arabic" w:cs="Simplified Arabic" w:hint="cs"/>
          <w:sz w:val="24"/>
          <w:szCs w:val="24"/>
          <w:rtl/>
          <w:lang w:val="en-US" w:bidi="ar-DZ"/>
        </w:rPr>
        <w:t xml:space="preserve">المقترحة </w:t>
      </w:r>
      <w:r w:rsidR="000A1DE0">
        <w:rPr>
          <w:rFonts w:ascii="Simplified Arabic" w:hAnsi="Simplified Arabic" w:cs="Simplified Arabic" w:hint="cs"/>
          <w:sz w:val="24"/>
          <w:szCs w:val="24"/>
          <w:rtl/>
          <w:lang w:val="en-US" w:bidi="ar-DZ"/>
        </w:rPr>
        <w:t>فيما يلي:</w:t>
      </w:r>
    </w:p>
    <w:p w:rsidR="00F84BFD" w:rsidRPr="002F3AF2" w:rsidRDefault="00F84BFD" w:rsidP="002F3AF2">
      <w:pPr>
        <w:bidi/>
        <w:spacing w:before="240" w:after="0"/>
        <w:rPr>
          <w:rFonts w:ascii="Simplified Arabic" w:hAnsi="Simplified Arabic" w:cs="Simplified Arabic"/>
          <w:sz w:val="24"/>
          <w:szCs w:val="24"/>
          <w:rtl/>
          <w:lang w:val="en-US" w:bidi="ar-DZ"/>
        </w:rPr>
      </w:pPr>
      <w:r w:rsidRPr="002F3AF2">
        <w:rPr>
          <w:rFonts w:ascii="Simplified Arabic" w:hAnsi="Simplified Arabic" w:cs="Simplified Arabic" w:hint="cs"/>
          <w:b/>
          <w:bCs/>
          <w:sz w:val="24"/>
          <w:szCs w:val="24"/>
          <w:rtl/>
          <w:lang w:val="en-US" w:bidi="ar-DZ"/>
        </w:rPr>
        <w:t>المبدأ</w:t>
      </w:r>
      <w:r w:rsidRPr="002F3AF2">
        <w:rPr>
          <w:rFonts w:ascii="Simplified Arabic" w:hAnsi="Simplified Arabic" w:cs="Simplified Arabic"/>
          <w:b/>
          <w:bCs/>
          <w:sz w:val="24"/>
          <w:szCs w:val="24"/>
          <w:rtl/>
          <w:lang w:val="en-US" w:bidi="ar-DZ"/>
        </w:rPr>
        <w:t xml:space="preserve"> 01: </w:t>
      </w:r>
      <w:r w:rsidRPr="002F3AF2">
        <w:rPr>
          <w:rFonts w:ascii="Simplified Arabic" w:hAnsi="Simplified Arabic" w:cs="Simplified Arabic" w:hint="cs"/>
          <w:b/>
          <w:bCs/>
          <w:sz w:val="24"/>
          <w:szCs w:val="24"/>
          <w:rtl/>
          <w:lang w:val="en-US" w:bidi="ar-DZ"/>
        </w:rPr>
        <w:t>تعزيز</w:t>
      </w:r>
      <w:r w:rsidRPr="002F3AF2">
        <w:rPr>
          <w:rFonts w:ascii="Simplified Arabic" w:hAnsi="Simplified Arabic" w:cs="Simplified Arabic"/>
          <w:b/>
          <w:bCs/>
          <w:sz w:val="24"/>
          <w:szCs w:val="24"/>
          <w:rtl/>
          <w:lang w:val="en-US" w:bidi="ar-DZ"/>
        </w:rPr>
        <w:t xml:space="preserve"> </w:t>
      </w:r>
      <w:r w:rsidRPr="002F3AF2">
        <w:rPr>
          <w:rFonts w:ascii="Simplified Arabic" w:hAnsi="Simplified Arabic" w:cs="Simplified Arabic" w:hint="cs"/>
          <w:b/>
          <w:bCs/>
          <w:sz w:val="24"/>
          <w:szCs w:val="24"/>
          <w:rtl/>
          <w:lang w:val="en-US" w:bidi="ar-DZ"/>
        </w:rPr>
        <w:t xml:space="preserve">الكثافة المكانية </w:t>
      </w:r>
      <w:r w:rsidR="0090316B" w:rsidRPr="002F3AF2">
        <w:rPr>
          <w:rFonts w:ascii="Simplified Arabic" w:hAnsi="Simplified Arabic" w:cs="Simplified Arabic" w:hint="cs"/>
          <w:b/>
          <w:bCs/>
          <w:sz w:val="24"/>
          <w:szCs w:val="24"/>
          <w:rtl/>
          <w:lang w:val="en-US" w:bidi="ar-DZ"/>
        </w:rPr>
        <w:t>المثالية</w:t>
      </w:r>
      <w:r w:rsidRPr="002F3AF2">
        <w:rPr>
          <w:rFonts w:ascii="Simplified Arabic" w:hAnsi="Simplified Arabic" w:cs="Simplified Arabic"/>
          <w:sz w:val="24"/>
          <w:szCs w:val="24"/>
          <w:rtl/>
          <w:lang w:val="en-US" w:bidi="ar-DZ"/>
        </w:rPr>
        <w:t xml:space="preserve"> </w:t>
      </w:r>
    </w:p>
    <w:p w:rsidR="00F84BFD" w:rsidRDefault="00885CEE" w:rsidP="002F3AF2">
      <w:pPr>
        <w:bidi/>
        <w:spacing w:after="0" w:line="240" w:lineRule="auto"/>
        <w:ind w:firstLine="283"/>
        <w:jc w:val="both"/>
        <w:rPr>
          <w:rFonts w:ascii="Simplified Arabic" w:hAnsi="Simplified Arabic" w:cs="Simplified Arabic"/>
          <w:sz w:val="24"/>
          <w:szCs w:val="24"/>
          <w:rtl/>
        </w:rPr>
      </w:pPr>
      <w:r>
        <w:rPr>
          <w:rFonts w:ascii="Simplified Arabic" w:hAnsi="Simplified Arabic" w:cs="Simplified Arabic" w:hint="cs"/>
          <w:sz w:val="24"/>
          <w:szCs w:val="24"/>
          <w:rtl/>
          <w:lang w:val="en-US" w:bidi="ar-DZ"/>
        </w:rPr>
        <w:t xml:space="preserve">تجسيد كتل بناء </w:t>
      </w:r>
      <w:r w:rsidR="009C270F">
        <w:rPr>
          <w:rFonts w:ascii="Simplified Arabic" w:hAnsi="Simplified Arabic" w:cs="Simplified Arabic" w:hint="cs"/>
          <w:sz w:val="24"/>
          <w:szCs w:val="24"/>
          <w:rtl/>
          <w:lang w:val="en-US" w:bidi="ar-DZ"/>
        </w:rPr>
        <w:t xml:space="preserve">ذات </w:t>
      </w:r>
      <w:r w:rsidR="009C270F" w:rsidRPr="007103FE">
        <w:rPr>
          <w:rFonts w:ascii="Simplified Arabic" w:hAnsi="Simplified Arabic" w:cs="Simplified Arabic"/>
          <w:sz w:val="24"/>
          <w:szCs w:val="24"/>
          <w:rtl/>
          <w:lang w:val="en-US" w:bidi="ar-DZ"/>
        </w:rPr>
        <w:t>كثافات</w:t>
      </w:r>
      <w:r w:rsidR="009C270F">
        <w:rPr>
          <w:rFonts w:ascii="Simplified Arabic" w:hAnsi="Simplified Arabic" w:cs="Simplified Arabic" w:hint="cs"/>
          <w:sz w:val="24"/>
          <w:szCs w:val="24"/>
          <w:rtl/>
          <w:lang w:val="en-US"/>
        </w:rPr>
        <w:t xml:space="preserve"> مقبولة </w:t>
      </w:r>
      <w:r w:rsidRPr="007708D9">
        <w:rPr>
          <w:rFonts w:ascii="Simplified Arabic" w:hAnsi="Simplified Arabic" w:cs="Simplified Arabic" w:hint="cs"/>
          <w:sz w:val="24"/>
          <w:szCs w:val="24"/>
          <w:rtl/>
          <w:lang w:val="en-US" w:bidi="ar-DZ"/>
        </w:rPr>
        <w:t>وشبكة</w:t>
      </w:r>
      <w:r w:rsidRPr="007708D9">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طرق</w:t>
      </w:r>
      <w:r w:rsidRPr="007708D9">
        <w:rPr>
          <w:rFonts w:ascii="Simplified Arabic" w:hAnsi="Simplified Arabic" w:cs="Simplified Arabic"/>
          <w:sz w:val="24"/>
          <w:szCs w:val="24"/>
          <w:rtl/>
          <w:lang w:val="en-US" w:bidi="ar-DZ"/>
        </w:rPr>
        <w:t xml:space="preserve"> </w:t>
      </w:r>
      <w:r w:rsidR="009A433A">
        <w:rPr>
          <w:rFonts w:ascii="Simplified Arabic" w:hAnsi="Simplified Arabic" w:cs="Simplified Arabic" w:hint="cs"/>
          <w:sz w:val="24"/>
          <w:szCs w:val="24"/>
          <w:rtl/>
          <w:lang w:val="en-US" w:bidi="ar-DZ"/>
        </w:rPr>
        <w:t>ي</w:t>
      </w:r>
      <w:r w:rsidR="009C270F" w:rsidRPr="00230470">
        <w:rPr>
          <w:rFonts w:ascii="Simplified Arabic" w:hAnsi="Simplified Arabic" w:cs="Simplified Arabic" w:hint="cs"/>
          <w:sz w:val="24"/>
          <w:szCs w:val="24"/>
          <w:rtl/>
          <w:lang w:bidi="ar-DZ"/>
        </w:rPr>
        <w:t>شبه</w:t>
      </w:r>
      <w:r w:rsidR="009C270F" w:rsidRPr="00230470">
        <w:rPr>
          <w:rFonts w:ascii="Simplified Arabic" w:hAnsi="Simplified Arabic" w:cs="Simplified Arabic"/>
          <w:sz w:val="24"/>
          <w:szCs w:val="24"/>
          <w:rtl/>
          <w:lang w:bidi="ar-DZ"/>
        </w:rPr>
        <w:t xml:space="preserve"> </w:t>
      </w:r>
      <w:r w:rsidR="009C270F" w:rsidRPr="00230470">
        <w:rPr>
          <w:rFonts w:ascii="Simplified Arabic" w:hAnsi="Simplified Arabic" w:cs="Simplified Arabic" w:hint="cs"/>
          <w:sz w:val="24"/>
          <w:szCs w:val="24"/>
          <w:rtl/>
          <w:lang w:bidi="ar-DZ"/>
        </w:rPr>
        <w:t>تكوينها</w:t>
      </w:r>
      <w:r w:rsidR="009C270F" w:rsidRPr="00230470">
        <w:rPr>
          <w:rFonts w:ascii="Simplified Arabic" w:hAnsi="Simplified Arabic" w:cs="Simplified Arabic"/>
          <w:sz w:val="24"/>
          <w:szCs w:val="24"/>
          <w:rtl/>
          <w:lang w:bidi="ar-DZ"/>
        </w:rPr>
        <w:t xml:space="preserve"> </w:t>
      </w:r>
      <w:r w:rsidR="009C270F" w:rsidRPr="00230470">
        <w:rPr>
          <w:rFonts w:ascii="Simplified Arabic" w:hAnsi="Simplified Arabic" w:cs="Simplified Arabic" w:hint="cs"/>
          <w:sz w:val="24"/>
          <w:szCs w:val="24"/>
          <w:rtl/>
          <w:lang w:bidi="ar-DZ"/>
        </w:rPr>
        <w:t>شبكة</w:t>
      </w:r>
      <w:r w:rsidR="009C270F" w:rsidRPr="00230470">
        <w:rPr>
          <w:rFonts w:ascii="Simplified Arabic" w:hAnsi="Simplified Arabic" w:cs="Simplified Arabic"/>
          <w:sz w:val="24"/>
          <w:szCs w:val="24"/>
          <w:rtl/>
          <w:lang w:bidi="ar-DZ"/>
        </w:rPr>
        <w:t xml:space="preserve"> </w:t>
      </w:r>
      <w:r w:rsidR="009C270F" w:rsidRPr="00230470">
        <w:rPr>
          <w:rFonts w:ascii="Simplified Arabic" w:hAnsi="Simplified Arabic" w:cs="Simplified Arabic" w:hint="cs"/>
          <w:sz w:val="24"/>
          <w:szCs w:val="24"/>
          <w:rtl/>
          <w:lang w:bidi="ar-DZ"/>
        </w:rPr>
        <w:t>هرمية</w:t>
      </w:r>
      <w:r w:rsidR="009C270F" w:rsidRPr="00230470">
        <w:rPr>
          <w:rFonts w:ascii="Simplified Arabic" w:hAnsi="Simplified Arabic" w:cs="Simplified Arabic"/>
          <w:sz w:val="24"/>
          <w:szCs w:val="24"/>
          <w:rtl/>
          <w:lang w:bidi="ar-DZ"/>
        </w:rPr>
        <w:t xml:space="preserve"> </w:t>
      </w:r>
      <w:r w:rsidR="009C270F" w:rsidRPr="00230470">
        <w:rPr>
          <w:rFonts w:ascii="Simplified Arabic" w:hAnsi="Simplified Arabic" w:cs="Simplified Arabic" w:hint="cs"/>
          <w:sz w:val="24"/>
          <w:szCs w:val="24"/>
          <w:rtl/>
          <w:lang w:bidi="ar-DZ"/>
        </w:rPr>
        <w:t>متصلة</w:t>
      </w:r>
      <w:r w:rsidR="009C270F" w:rsidRPr="00230470">
        <w:rPr>
          <w:rFonts w:ascii="Simplified Arabic" w:hAnsi="Simplified Arabic" w:cs="Simplified Arabic"/>
          <w:sz w:val="24"/>
          <w:szCs w:val="24"/>
          <w:rtl/>
          <w:lang w:bidi="ar-DZ"/>
        </w:rPr>
        <w:t xml:space="preserve"> </w:t>
      </w:r>
      <w:r w:rsidR="00F84BFD" w:rsidRPr="007103FE">
        <w:rPr>
          <w:rFonts w:ascii="Simplified Arabic" w:hAnsi="Simplified Arabic" w:cs="Simplified Arabic"/>
          <w:sz w:val="24"/>
          <w:szCs w:val="24"/>
          <w:rtl/>
          <w:lang w:val="en-US" w:bidi="ar-DZ"/>
        </w:rPr>
        <w:t>ونسج أشكال مباني مختلفة ال</w:t>
      </w:r>
      <w:r w:rsidR="000D1111">
        <w:rPr>
          <w:rFonts w:ascii="Simplified Arabic" w:hAnsi="Simplified Arabic" w:cs="Simplified Arabic" w:hint="cs"/>
          <w:sz w:val="24"/>
          <w:szCs w:val="24"/>
          <w:rtl/>
        </w:rPr>
        <w:t>استعمال</w:t>
      </w:r>
      <w:r w:rsidR="00544EB8">
        <w:rPr>
          <w:rFonts w:ascii="Simplified Arabic" w:hAnsi="Simplified Arabic" w:cs="Simplified Arabic"/>
          <w:sz w:val="24"/>
          <w:szCs w:val="24"/>
          <w:rtl/>
          <w:lang w:val="en-US" w:bidi="ar-DZ"/>
        </w:rPr>
        <w:t>ات</w:t>
      </w:r>
      <w:r w:rsidR="00544EB8">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rPr>
        <w:t>يمنح</w:t>
      </w:r>
      <w:r w:rsidRPr="002161B2">
        <w:rPr>
          <w:rFonts w:ascii="Simplified Arabic" w:hAnsi="Simplified Arabic" w:cs="Simplified Arabic" w:hint="cs"/>
          <w:sz w:val="24"/>
          <w:szCs w:val="24"/>
          <w:rtl/>
        </w:rPr>
        <w:t xml:space="preserve"> امكانية الوصول </w:t>
      </w:r>
      <w:r>
        <w:rPr>
          <w:rFonts w:ascii="Simplified Arabic" w:hAnsi="Simplified Arabic" w:cs="Simplified Arabic" w:hint="cs"/>
          <w:sz w:val="24"/>
          <w:szCs w:val="24"/>
          <w:rtl/>
        </w:rPr>
        <w:t>الى مختلف الوجهات ويدعم</w:t>
      </w:r>
      <w:r w:rsidRPr="002161B2">
        <w:rPr>
          <w:rFonts w:ascii="Simplified Arabic" w:hAnsi="Simplified Arabic" w:cs="Simplified Arabic"/>
          <w:sz w:val="24"/>
          <w:szCs w:val="24"/>
          <w:rtl/>
        </w:rPr>
        <w:t xml:space="preserve"> </w:t>
      </w:r>
      <w:r w:rsidRPr="002161B2">
        <w:rPr>
          <w:rFonts w:ascii="Simplified Arabic" w:hAnsi="Simplified Arabic" w:cs="Simplified Arabic" w:hint="cs"/>
          <w:sz w:val="24"/>
          <w:szCs w:val="24"/>
          <w:rtl/>
        </w:rPr>
        <w:t>عملية</w:t>
      </w:r>
      <w:r w:rsidRPr="002161B2">
        <w:rPr>
          <w:rFonts w:ascii="Simplified Arabic" w:hAnsi="Simplified Arabic" w:cs="Simplified Arabic"/>
          <w:sz w:val="24"/>
          <w:szCs w:val="24"/>
          <w:rtl/>
        </w:rPr>
        <w:t xml:space="preserve"> </w:t>
      </w:r>
      <w:r w:rsidRPr="002161B2">
        <w:rPr>
          <w:rFonts w:ascii="Simplified Arabic" w:hAnsi="Simplified Arabic" w:cs="Simplified Arabic" w:hint="cs"/>
          <w:sz w:val="24"/>
          <w:szCs w:val="24"/>
          <w:rtl/>
        </w:rPr>
        <w:t xml:space="preserve">الاجلاء والانقاذ </w:t>
      </w:r>
      <w:r>
        <w:rPr>
          <w:rFonts w:ascii="Simplified Arabic" w:hAnsi="Simplified Arabic" w:cs="Simplified Arabic" w:hint="cs"/>
          <w:sz w:val="24"/>
          <w:szCs w:val="24"/>
          <w:rtl/>
        </w:rPr>
        <w:t xml:space="preserve">حتى </w:t>
      </w:r>
      <w:r w:rsidRPr="002161B2">
        <w:rPr>
          <w:rFonts w:ascii="Simplified Arabic" w:hAnsi="Simplified Arabic" w:cs="Simplified Arabic" w:hint="cs"/>
          <w:sz w:val="24"/>
          <w:szCs w:val="24"/>
          <w:rtl/>
        </w:rPr>
        <w:t>أثناء</w:t>
      </w:r>
      <w:r w:rsidRPr="002161B2">
        <w:rPr>
          <w:rFonts w:ascii="Simplified Arabic" w:hAnsi="Simplified Arabic" w:cs="Simplified Arabic"/>
          <w:sz w:val="24"/>
          <w:szCs w:val="24"/>
          <w:rtl/>
        </w:rPr>
        <w:t xml:space="preserve"> </w:t>
      </w:r>
      <w:r w:rsidRPr="002161B2">
        <w:rPr>
          <w:rFonts w:ascii="Simplified Arabic" w:hAnsi="Simplified Arabic" w:cs="Simplified Arabic" w:hint="cs"/>
          <w:sz w:val="24"/>
          <w:szCs w:val="24"/>
          <w:rtl/>
        </w:rPr>
        <w:t>ال</w:t>
      </w:r>
      <w:r>
        <w:rPr>
          <w:rFonts w:ascii="Simplified Arabic" w:hAnsi="Simplified Arabic" w:cs="Simplified Arabic" w:hint="cs"/>
          <w:sz w:val="24"/>
          <w:szCs w:val="24"/>
          <w:rtl/>
        </w:rPr>
        <w:t xml:space="preserve">حالات </w:t>
      </w:r>
      <w:r w:rsidRPr="002161B2">
        <w:rPr>
          <w:rFonts w:ascii="Simplified Arabic" w:hAnsi="Simplified Arabic" w:cs="Simplified Arabic" w:hint="cs"/>
          <w:sz w:val="24"/>
          <w:szCs w:val="24"/>
          <w:rtl/>
        </w:rPr>
        <w:t>العادية</w:t>
      </w:r>
      <w:r>
        <w:rPr>
          <w:rFonts w:ascii="Simplified Arabic" w:hAnsi="Simplified Arabic" w:cs="Simplified Arabic" w:hint="cs"/>
          <w:sz w:val="24"/>
          <w:szCs w:val="24"/>
          <w:rtl/>
        </w:rPr>
        <w:t>.</w:t>
      </w:r>
    </w:p>
    <w:p w:rsidR="00E53FE3" w:rsidRPr="00E53FE3" w:rsidRDefault="00E53FE3" w:rsidP="002F3AF2">
      <w:pPr>
        <w:pStyle w:val="Paragraphedeliste"/>
        <w:numPr>
          <w:ilvl w:val="0"/>
          <w:numId w:val="277"/>
        </w:numPr>
        <w:bidi/>
        <w:spacing w:before="240" w:after="0"/>
        <w:ind w:left="0" w:firstLine="283"/>
        <w:jc w:val="both"/>
        <w:rPr>
          <w:rFonts w:ascii="Simplified Arabic" w:hAnsi="Simplified Arabic" w:cs="Simplified Arabic"/>
          <w:b/>
          <w:bCs/>
          <w:sz w:val="24"/>
          <w:szCs w:val="24"/>
          <w:rtl/>
          <w:lang w:val="en-US" w:bidi="ar-DZ"/>
        </w:rPr>
      </w:pPr>
      <w:r w:rsidRPr="00E53FE3">
        <w:rPr>
          <w:rFonts w:ascii="Simplified Arabic" w:hAnsi="Simplified Arabic" w:cs="Simplified Arabic" w:hint="cs"/>
          <w:b/>
          <w:bCs/>
          <w:sz w:val="24"/>
          <w:szCs w:val="24"/>
          <w:rtl/>
          <w:lang w:val="en-US" w:bidi="ar-DZ"/>
        </w:rPr>
        <w:t>توصيات</w:t>
      </w:r>
      <w:r w:rsidRPr="00E53FE3">
        <w:rPr>
          <w:rFonts w:ascii="Simplified Arabic" w:hAnsi="Simplified Arabic" w:cs="Simplified Arabic"/>
          <w:b/>
          <w:bCs/>
          <w:sz w:val="24"/>
          <w:szCs w:val="24"/>
          <w:rtl/>
          <w:lang w:val="en-US" w:bidi="ar-DZ"/>
        </w:rPr>
        <w:t xml:space="preserve"> </w:t>
      </w:r>
      <w:r w:rsidRPr="00E53FE3">
        <w:rPr>
          <w:rFonts w:ascii="Simplified Arabic" w:hAnsi="Simplified Arabic" w:cs="Simplified Arabic" w:hint="cs"/>
          <w:b/>
          <w:bCs/>
          <w:sz w:val="24"/>
          <w:szCs w:val="24"/>
          <w:rtl/>
          <w:lang w:val="en-US" w:bidi="ar-DZ"/>
        </w:rPr>
        <w:t xml:space="preserve">التصميم: </w:t>
      </w:r>
    </w:p>
    <w:p w:rsidR="00E53FE3" w:rsidRDefault="00E53FE3" w:rsidP="002F3AF2">
      <w:pPr>
        <w:bidi/>
        <w:spacing w:after="0"/>
        <w:jc w:val="both"/>
        <w:rPr>
          <w:rtl/>
        </w:rPr>
      </w:pPr>
      <w:r>
        <w:rPr>
          <w:rFonts w:ascii="Simplified Arabic" w:hAnsi="Simplified Arabic" w:cs="Simplified Arabic" w:hint="cs"/>
          <w:sz w:val="24"/>
          <w:szCs w:val="24"/>
          <w:rtl/>
          <w:lang w:val="en-US" w:bidi="ar-DZ"/>
        </w:rPr>
        <w:t xml:space="preserve">* </w:t>
      </w:r>
      <w:r w:rsidR="002F3AF2">
        <w:rPr>
          <w:rFonts w:ascii="Simplified Arabic" w:hAnsi="Simplified Arabic" w:cs="Simplified Arabic" w:hint="cs"/>
          <w:sz w:val="24"/>
          <w:szCs w:val="24"/>
          <w:rtl/>
          <w:lang w:val="en-US" w:bidi="ar-DZ"/>
        </w:rPr>
        <w:t>اجراء</w:t>
      </w:r>
      <w:r w:rsidRPr="00AA0720">
        <w:rPr>
          <w:rFonts w:ascii="Simplified Arabic" w:hAnsi="Simplified Arabic" w:cs="Simplified Arabic"/>
          <w:sz w:val="24"/>
          <w:szCs w:val="24"/>
          <w:rtl/>
          <w:lang w:val="en-US" w:bidi="ar-DZ"/>
        </w:rPr>
        <w:t xml:space="preserve"> </w:t>
      </w:r>
      <w:r w:rsidR="002F3AF2">
        <w:rPr>
          <w:rFonts w:ascii="Simplified Arabic" w:hAnsi="Simplified Arabic" w:cs="Simplified Arabic" w:hint="cs"/>
          <w:sz w:val="24"/>
          <w:szCs w:val="24"/>
          <w:rtl/>
          <w:lang w:val="en-US" w:bidi="ar-DZ"/>
        </w:rPr>
        <w:t xml:space="preserve">تقسيمات </w:t>
      </w:r>
      <w:r>
        <w:rPr>
          <w:rFonts w:ascii="Simplified Arabic" w:hAnsi="Simplified Arabic" w:cs="Simplified Arabic" w:hint="cs"/>
          <w:sz w:val="24"/>
          <w:szCs w:val="24"/>
          <w:rtl/>
          <w:lang w:val="en-US" w:bidi="ar-DZ"/>
        </w:rPr>
        <w:t xml:space="preserve">فرعية </w:t>
      </w:r>
      <w:r w:rsidRPr="00AA0720">
        <w:rPr>
          <w:rFonts w:ascii="Simplified Arabic" w:hAnsi="Simplified Arabic" w:cs="Simplified Arabic" w:hint="cs"/>
          <w:sz w:val="24"/>
          <w:szCs w:val="24"/>
          <w:rtl/>
          <w:lang w:val="en-US" w:bidi="ar-DZ"/>
        </w:rPr>
        <w:t>أقل</w:t>
      </w:r>
      <w:r w:rsidRPr="00AA0720">
        <w:rPr>
          <w:rFonts w:ascii="Simplified Arabic" w:hAnsi="Simplified Arabic" w:cs="Simplified Arabic"/>
          <w:sz w:val="24"/>
          <w:szCs w:val="24"/>
          <w:rtl/>
          <w:lang w:val="en-US" w:bidi="ar-DZ"/>
        </w:rPr>
        <w:t xml:space="preserve"> </w:t>
      </w:r>
      <w:r w:rsidR="002F3AF2">
        <w:rPr>
          <w:rFonts w:ascii="Simplified Arabic" w:hAnsi="Simplified Arabic" w:cs="Simplified Arabic" w:hint="cs"/>
          <w:sz w:val="24"/>
          <w:szCs w:val="24"/>
          <w:rtl/>
          <w:lang w:val="en-US" w:bidi="ar-DZ"/>
        </w:rPr>
        <w:t>للأراضي</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مما</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يجعل</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الوصول</w:t>
      </w:r>
      <w:r>
        <w:rPr>
          <w:rFonts w:ascii="Simplified Arabic" w:hAnsi="Simplified Arabic" w:cs="Simplified Arabic" w:hint="cs"/>
          <w:sz w:val="24"/>
          <w:szCs w:val="24"/>
          <w:rtl/>
          <w:lang w:val="en-US" w:bidi="ar-DZ"/>
        </w:rPr>
        <w:t xml:space="preserve"> سهلا</w:t>
      </w:r>
      <w:r w:rsidRPr="00AA0720">
        <w:rPr>
          <w:rFonts w:ascii="Simplified Arabic" w:hAnsi="Simplified Arabic" w:cs="Simplified Arabic"/>
          <w:sz w:val="24"/>
          <w:szCs w:val="24"/>
          <w:rtl/>
          <w:lang w:val="en-US" w:bidi="ar-DZ"/>
        </w:rPr>
        <w:t>.</w:t>
      </w:r>
      <w:r>
        <w:rPr>
          <w:rFonts w:hint="cs"/>
          <w:rtl/>
        </w:rPr>
        <w:t xml:space="preserve">  </w:t>
      </w:r>
    </w:p>
    <w:p w:rsidR="00E53FE3" w:rsidRDefault="00E53FE3" w:rsidP="004760CB">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 </w:t>
      </w:r>
      <w:r w:rsidR="004760CB">
        <w:rPr>
          <w:rFonts w:ascii="Simplified Arabic" w:hAnsi="Simplified Arabic" w:cs="Simplified Arabic" w:hint="cs"/>
          <w:sz w:val="24"/>
          <w:szCs w:val="24"/>
          <w:rtl/>
          <w:lang w:val="en-US" w:bidi="ar-DZ"/>
        </w:rPr>
        <w:t>استعمال</w:t>
      </w:r>
      <w:r w:rsidR="002F3AF2"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أحجام</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قطع</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أرض</w:t>
      </w:r>
      <w:r w:rsidRPr="00544EB8">
        <w:rPr>
          <w:rFonts w:ascii="Simplified Arabic" w:hAnsi="Simplified Arabic" w:cs="Simplified Arabic"/>
          <w:sz w:val="24"/>
          <w:szCs w:val="24"/>
          <w:rtl/>
          <w:lang w:val="en-US" w:bidi="ar-DZ"/>
        </w:rPr>
        <w:t xml:space="preserve"> </w:t>
      </w:r>
      <w:r w:rsidR="004760CB">
        <w:rPr>
          <w:rFonts w:ascii="Simplified Arabic" w:hAnsi="Simplified Arabic" w:cs="Simplified Arabic" w:hint="cs"/>
          <w:sz w:val="24"/>
          <w:szCs w:val="24"/>
          <w:rtl/>
          <w:lang w:val="en-US" w:bidi="ar-DZ"/>
        </w:rPr>
        <w:t>م</w:t>
      </w:r>
      <w:r w:rsidR="004760CB" w:rsidRPr="00544EB8">
        <w:rPr>
          <w:rFonts w:ascii="Simplified Arabic" w:hAnsi="Simplified Arabic" w:cs="Simplified Arabic" w:hint="cs"/>
          <w:sz w:val="24"/>
          <w:szCs w:val="24"/>
          <w:rtl/>
          <w:lang w:val="en-US" w:bidi="ar-DZ"/>
        </w:rPr>
        <w:t>ختلف</w:t>
      </w:r>
      <w:r w:rsidR="004760CB">
        <w:rPr>
          <w:rFonts w:ascii="Simplified Arabic" w:hAnsi="Simplified Arabic" w:cs="Simplified Arabic" w:hint="cs"/>
          <w:sz w:val="24"/>
          <w:szCs w:val="24"/>
          <w:rtl/>
          <w:lang w:val="en-US" w:bidi="ar-DZ"/>
        </w:rPr>
        <w:t>ة</w:t>
      </w:r>
      <w:r w:rsidR="004760CB" w:rsidRPr="00544EB8">
        <w:rPr>
          <w:rFonts w:ascii="Simplified Arabic" w:hAnsi="Simplified Arabic" w:cs="Simplified Arabic"/>
          <w:sz w:val="24"/>
          <w:szCs w:val="24"/>
          <w:rtl/>
          <w:lang w:val="en-US" w:bidi="ar-DZ"/>
        </w:rPr>
        <w:t xml:space="preserve"> </w:t>
      </w:r>
      <w:r w:rsidR="004760CB">
        <w:rPr>
          <w:rFonts w:ascii="Simplified Arabic" w:hAnsi="Simplified Arabic" w:cs="Simplified Arabic" w:hint="cs"/>
          <w:sz w:val="24"/>
          <w:szCs w:val="24"/>
          <w:rtl/>
          <w:lang w:val="en-US" w:bidi="ar-DZ"/>
        </w:rPr>
        <w:t>ل</w:t>
      </w:r>
      <w:r w:rsidRPr="00544EB8">
        <w:rPr>
          <w:rFonts w:ascii="Simplified Arabic" w:hAnsi="Simplified Arabic" w:cs="Simplified Arabic" w:hint="cs"/>
          <w:sz w:val="24"/>
          <w:szCs w:val="24"/>
          <w:rtl/>
          <w:lang w:val="en-US" w:bidi="ar-DZ"/>
        </w:rPr>
        <w:t>جذب</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أنواع</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مختلفة</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من</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الاستخدامات</w:t>
      </w:r>
      <w:r>
        <w:rPr>
          <w:rFonts w:ascii="Simplified Arabic" w:hAnsi="Simplified Arabic" w:cs="Simplified Arabic" w:hint="cs"/>
          <w:sz w:val="24"/>
          <w:szCs w:val="24"/>
          <w:rtl/>
          <w:lang w:val="en-US" w:bidi="ar-DZ"/>
        </w:rPr>
        <w:t>.</w:t>
      </w:r>
      <w:r w:rsidRPr="00E53FE3">
        <w:rPr>
          <w:rFonts w:ascii="Simplified Arabic" w:hAnsi="Simplified Arabic" w:cs="Simplified Arabic" w:hint="cs"/>
          <w:sz w:val="24"/>
          <w:szCs w:val="24"/>
          <w:rtl/>
          <w:lang w:val="en-US" w:bidi="ar-DZ"/>
        </w:rPr>
        <w:t xml:space="preserve"> </w:t>
      </w:r>
    </w:p>
    <w:p w:rsidR="00E53FE3" w:rsidRDefault="00E53FE3" w:rsidP="00E53FE3">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 </w:t>
      </w:r>
      <w:r w:rsidRPr="00544EB8">
        <w:rPr>
          <w:rFonts w:ascii="Simplified Arabic" w:hAnsi="Simplified Arabic" w:cs="Simplified Arabic" w:hint="cs"/>
          <w:sz w:val="24"/>
          <w:szCs w:val="24"/>
          <w:rtl/>
          <w:lang w:val="en-US" w:bidi="ar-DZ"/>
        </w:rPr>
        <w:t>يجب</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أن</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يظل</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حجم</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قطع</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الأراضي</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صغيرًا</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نسبيًا</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ويجب</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أن</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تكون</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نقاط</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الدخول</w:t>
      </w:r>
      <w:r w:rsidRPr="00544EB8">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الى</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الأماكن</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العامة</w:t>
      </w:r>
      <w:r w:rsidRPr="00544EB8">
        <w:rPr>
          <w:rFonts w:ascii="Simplified Arabic" w:hAnsi="Simplified Arabic" w:cs="Simplified Arabic"/>
          <w:sz w:val="24"/>
          <w:szCs w:val="24"/>
          <w:rtl/>
          <w:lang w:val="en-US" w:bidi="ar-DZ"/>
        </w:rPr>
        <w:t xml:space="preserve"> </w:t>
      </w:r>
      <w:r w:rsidRPr="00544EB8">
        <w:rPr>
          <w:rFonts w:ascii="Simplified Arabic" w:hAnsi="Simplified Arabic" w:cs="Simplified Arabic" w:hint="cs"/>
          <w:sz w:val="24"/>
          <w:szCs w:val="24"/>
          <w:rtl/>
          <w:lang w:val="en-US" w:bidi="ar-DZ"/>
        </w:rPr>
        <w:t>متكررة</w:t>
      </w:r>
      <w:r w:rsidRPr="00544EB8">
        <w:rPr>
          <w:rFonts w:ascii="Simplified Arabic" w:hAnsi="Simplified Arabic" w:cs="Simplified Arabic"/>
          <w:sz w:val="24"/>
          <w:szCs w:val="24"/>
          <w:rtl/>
          <w:lang w:val="en-US" w:bidi="ar-DZ"/>
        </w:rPr>
        <w:t>.</w:t>
      </w:r>
      <w:r w:rsidRPr="00544EB8">
        <w:rPr>
          <w:rFonts w:ascii="Simplified Arabic" w:hAnsi="Simplified Arabic" w:cs="Simplified Arabic" w:hint="cs"/>
          <w:sz w:val="24"/>
          <w:szCs w:val="24"/>
          <w:rtl/>
          <w:lang w:val="en-US" w:bidi="ar-DZ"/>
        </w:rPr>
        <w:t xml:space="preserve"> </w:t>
      </w:r>
    </w:p>
    <w:p w:rsidR="00E53FE3" w:rsidRDefault="00E53FE3" w:rsidP="00E53FE3">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 </w:t>
      </w:r>
      <w:r w:rsidRPr="00AA0720">
        <w:rPr>
          <w:rFonts w:ascii="Simplified Arabic" w:hAnsi="Simplified Arabic" w:cs="Simplified Arabic" w:hint="cs"/>
          <w:sz w:val="24"/>
          <w:szCs w:val="24"/>
          <w:rtl/>
          <w:lang w:val="en-US" w:bidi="ar-DZ"/>
        </w:rPr>
        <w:t>يجب</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تفضيل</w:t>
      </w:r>
      <w:r w:rsidRPr="00AA0720">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التقسيمات الفرعية للأراضي </w:t>
      </w:r>
      <w:r w:rsidRPr="00AA0720">
        <w:rPr>
          <w:rFonts w:ascii="Simplified Arabic" w:hAnsi="Simplified Arabic" w:cs="Simplified Arabic" w:hint="cs"/>
          <w:sz w:val="24"/>
          <w:szCs w:val="24"/>
          <w:rtl/>
          <w:lang w:val="en-US" w:bidi="ar-DZ"/>
        </w:rPr>
        <w:t>غير</w:t>
      </w:r>
      <w:r w:rsidRPr="00AA0720">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w:t>
      </w:r>
      <w:r w:rsidRPr="00AA0720">
        <w:rPr>
          <w:rFonts w:ascii="Simplified Arabic" w:hAnsi="Simplified Arabic" w:cs="Simplified Arabic" w:hint="cs"/>
          <w:sz w:val="24"/>
          <w:szCs w:val="24"/>
          <w:rtl/>
          <w:lang w:val="en-US" w:bidi="ar-DZ"/>
        </w:rPr>
        <w:t>معوقة</w:t>
      </w:r>
      <w:r w:rsidRPr="00AA0720">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w:t>
      </w:r>
      <w:r w:rsidRPr="00AA0720">
        <w:rPr>
          <w:rFonts w:ascii="Simplified Arabic" w:hAnsi="Simplified Arabic" w:cs="Simplified Arabic" w:hint="cs"/>
          <w:sz w:val="24"/>
          <w:szCs w:val="24"/>
          <w:rtl/>
          <w:lang w:val="en-US" w:bidi="ar-DZ"/>
        </w:rPr>
        <w:t>لحركة ولتعزيز</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النفاذية</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بين</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أجزاء</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مختلفة</w:t>
      </w:r>
      <w:r w:rsidRPr="00E53FE3">
        <w:rPr>
          <w:rFonts w:ascii="Simplified Arabic" w:hAnsi="Simplified Arabic" w:cs="Simplified Arabic" w:hint="cs"/>
          <w:sz w:val="24"/>
          <w:szCs w:val="24"/>
          <w:rtl/>
          <w:lang w:val="en-US" w:bidi="ar-DZ"/>
        </w:rPr>
        <w:t xml:space="preserve"> </w:t>
      </w:r>
      <w:r w:rsidRPr="00AA0720">
        <w:rPr>
          <w:rFonts w:ascii="Simplified Arabic" w:hAnsi="Simplified Arabic" w:cs="Simplified Arabic" w:hint="cs"/>
          <w:sz w:val="24"/>
          <w:szCs w:val="24"/>
          <w:rtl/>
          <w:lang w:val="en-US" w:bidi="ar-DZ"/>
        </w:rPr>
        <w:t>من</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المو</w:t>
      </w:r>
      <w:r>
        <w:rPr>
          <w:rFonts w:ascii="Simplified Arabic" w:hAnsi="Simplified Arabic" w:cs="Simplified Arabic" w:hint="cs"/>
          <w:sz w:val="24"/>
          <w:szCs w:val="24"/>
          <w:rtl/>
          <w:lang w:val="en-US" w:bidi="ar-DZ"/>
        </w:rPr>
        <w:t>ا</w:t>
      </w:r>
      <w:r w:rsidRPr="00AA0720">
        <w:rPr>
          <w:rFonts w:ascii="Simplified Arabic" w:hAnsi="Simplified Arabic" w:cs="Simplified Arabic" w:hint="cs"/>
          <w:sz w:val="24"/>
          <w:szCs w:val="24"/>
          <w:rtl/>
          <w:lang w:val="en-US" w:bidi="ar-DZ"/>
        </w:rPr>
        <w:t>قع</w:t>
      </w:r>
      <w:r w:rsidRPr="00AA0720">
        <w:rPr>
          <w:rFonts w:ascii="Simplified Arabic" w:hAnsi="Simplified Arabic" w:cs="Simplified Arabic"/>
          <w:sz w:val="24"/>
          <w:szCs w:val="24"/>
          <w:rtl/>
          <w:lang w:val="en-US" w:bidi="ar-DZ"/>
        </w:rPr>
        <w:t>.</w:t>
      </w:r>
      <w:r w:rsidRPr="00E53FE3">
        <w:rPr>
          <w:rFonts w:ascii="Simplified Arabic" w:hAnsi="Simplified Arabic" w:cs="Simplified Arabic" w:hint="cs"/>
          <w:sz w:val="24"/>
          <w:szCs w:val="24"/>
          <w:rtl/>
          <w:lang w:val="en-US" w:bidi="ar-DZ"/>
        </w:rPr>
        <w:t xml:space="preserve"> </w:t>
      </w:r>
    </w:p>
    <w:p w:rsidR="00E53FE3" w:rsidRDefault="00E53FE3" w:rsidP="00E53FE3">
      <w:pPr>
        <w:bidi/>
        <w:spacing w:after="0"/>
        <w:jc w:val="both"/>
        <w:rPr>
          <w:rFonts w:ascii="Simplified Arabic" w:hAnsi="Simplified Arabic" w:cs="Simplified Arabic"/>
          <w:b/>
          <w:bCs/>
          <w:sz w:val="24"/>
          <w:szCs w:val="24"/>
          <w:rtl/>
          <w:lang w:val="en-US" w:bidi="ar-DZ"/>
        </w:rPr>
      </w:pPr>
      <w:r>
        <w:rPr>
          <w:rFonts w:ascii="Simplified Arabic" w:hAnsi="Simplified Arabic" w:cs="Simplified Arabic" w:hint="cs"/>
          <w:sz w:val="24"/>
          <w:szCs w:val="24"/>
          <w:rtl/>
          <w:lang w:val="en-US" w:bidi="ar-DZ"/>
        </w:rPr>
        <w:t>* ت</w:t>
      </w:r>
      <w:r w:rsidRPr="00AA0720">
        <w:rPr>
          <w:rFonts w:ascii="Simplified Arabic" w:hAnsi="Simplified Arabic" w:cs="Simplified Arabic" w:hint="cs"/>
          <w:sz w:val="24"/>
          <w:szCs w:val="24"/>
          <w:rtl/>
          <w:lang w:val="en-US" w:bidi="ar-DZ"/>
        </w:rPr>
        <w:t>حد</w:t>
      </w:r>
      <w:r>
        <w:rPr>
          <w:rFonts w:ascii="Simplified Arabic" w:hAnsi="Simplified Arabic" w:cs="Simplified Arabic" w:hint="cs"/>
          <w:sz w:val="24"/>
          <w:szCs w:val="24"/>
          <w:rtl/>
          <w:lang w:val="en-US" w:bidi="ar-DZ"/>
        </w:rPr>
        <w:t>ي</w:t>
      </w:r>
      <w:r w:rsidRPr="00AA0720">
        <w:rPr>
          <w:rFonts w:ascii="Simplified Arabic" w:hAnsi="Simplified Arabic" w:cs="Simplified Arabic" w:hint="cs"/>
          <w:sz w:val="24"/>
          <w:szCs w:val="24"/>
          <w:rtl/>
          <w:lang w:val="en-US" w:bidi="ar-DZ"/>
        </w:rPr>
        <w:t>د</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نطاقات</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مقبولة</w:t>
      </w:r>
      <w:r w:rsidRPr="00AA0720">
        <w:rPr>
          <w:rFonts w:ascii="Simplified Arabic" w:hAnsi="Simplified Arabic" w:cs="Simplified Arabic"/>
          <w:sz w:val="24"/>
          <w:szCs w:val="24"/>
          <w:rtl/>
          <w:lang w:val="en-US" w:bidi="ar-DZ"/>
        </w:rPr>
        <w:t xml:space="preserve"> </w:t>
      </w:r>
      <w:r w:rsidRPr="002B2AAE">
        <w:rPr>
          <w:rFonts w:ascii="Simplified Arabic" w:hAnsi="Simplified Arabic" w:cs="Simplified Arabic" w:hint="cs"/>
          <w:sz w:val="24"/>
          <w:szCs w:val="24"/>
          <w:rtl/>
          <w:lang w:val="en-US" w:bidi="ar-DZ"/>
        </w:rPr>
        <w:t>لحجم</w:t>
      </w:r>
      <w:r w:rsidRPr="002B2AAE">
        <w:rPr>
          <w:rFonts w:ascii="Simplified Arabic" w:hAnsi="Simplified Arabic" w:cs="Simplified Arabic"/>
          <w:sz w:val="24"/>
          <w:szCs w:val="24"/>
          <w:rtl/>
          <w:lang w:val="en-US" w:bidi="ar-DZ"/>
        </w:rPr>
        <w:t xml:space="preserve"> </w:t>
      </w:r>
      <w:r w:rsidRPr="002B2AAE">
        <w:rPr>
          <w:rFonts w:ascii="Simplified Arabic" w:hAnsi="Simplified Arabic" w:cs="Simplified Arabic" w:hint="cs"/>
          <w:sz w:val="24"/>
          <w:szCs w:val="24"/>
          <w:rtl/>
          <w:lang w:val="en-US" w:bidi="ar-DZ"/>
        </w:rPr>
        <w:t>قطعة</w:t>
      </w:r>
      <w:r w:rsidRPr="002B2AAE">
        <w:rPr>
          <w:rFonts w:ascii="Simplified Arabic" w:hAnsi="Simplified Arabic" w:cs="Simplified Arabic"/>
          <w:sz w:val="24"/>
          <w:szCs w:val="24"/>
          <w:rtl/>
          <w:lang w:val="en-US" w:bidi="ar-DZ"/>
        </w:rPr>
        <w:t xml:space="preserve"> </w:t>
      </w:r>
      <w:r w:rsidRPr="002B2AAE">
        <w:rPr>
          <w:rFonts w:ascii="Simplified Arabic" w:hAnsi="Simplified Arabic" w:cs="Simplified Arabic" w:hint="cs"/>
          <w:sz w:val="24"/>
          <w:szCs w:val="24"/>
          <w:rtl/>
          <w:lang w:val="en-US" w:bidi="ar-DZ"/>
        </w:rPr>
        <w:t>الأرض</w:t>
      </w:r>
      <w:r w:rsidRPr="002B2AA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المرتبطة</w:t>
      </w:r>
      <w:r w:rsidRPr="002B2AAE">
        <w:rPr>
          <w:rFonts w:ascii="Simplified Arabic" w:hAnsi="Simplified Arabic" w:cs="Simplified Arabic"/>
          <w:sz w:val="24"/>
          <w:szCs w:val="24"/>
          <w:rtl/>
          <w:lang w:val="en-US" w:bidi="ar-DZ"/>
        </w:rPr>
        <w:t xml:space="preserve"> </w:t>
      </w:r>
      <w:r w:rsidRPr="002B2AAE">
        <w:rPr>
          <w:rFonts w:ascii="Simplified Arabic" w:hAnsi="Simplified Arabic" w:cs="Simplified Arabic" w:hint="cs"/>
          <w:sz w:val="24"/>
          <w:szCs w:val="24"/>
          <w:rtl/>
          <w:lang w:val="en-US" w:bidi="ar-DZ"/>
        </w:rPr>
        <w:t>ب</w:t>
      </w:r>
      <w:r>
        <w:rPr>
          <w:rFonts w:ascii="Simplified Arabic" w:hAnsi="Simplified Arabic" w:cs="Simplified Arabic" w:hint="cs"/>
          <w:sz w:val="24"/>
          <w:szCs w:val="24"/>
          <w:rtl/>
          <w:lang w:val="en-US" w:bidi="ar-DZ"/>
        </w:rPr>
        <w:t xml:space="preserve">عمق </w:t>
      </w:r>
      <w:r w:rsidRPr="002B2AAE">
        <w:rPr>
          <w:rFonts w:ascii="Simplified Arabic" w:hAnsi="Simplified Arabic" w:cs="Simplified Arabic" w:hint="cs"/>
          <w:sz w:val="24"/>
          <w:szCs w:val="24"/>
          <w:rtl/>
          <w:lang w:val="en-US" w:bidi="ar-DZ"/>
        </w:rPr>
        <w:t>الشارع</w:t>
      </w:r>
      <w:r w:rsidRPr="002B2AAE">
        <w:rPr>
          <w:rFonts w:ascii="Simplified Arabic" w:hAnsi="Simplified Arabic" w:cs="Simplified Arabic"/>
          <w:sz w:val="24"/>
          <w:szCs w:val="24"/>
          <w:rtl/>
          <w:lang w:val="en-US" w:bidi="ar-DZ"/>
        </w:rPr>
        <w:t xml:space="preserve"> </w:t>
      </w:r>
      <w:r w:rsidRPr="002B2AAE">
        <w:rPr>
          <w:rFonts w:ascii="Simplified Arabic" w:hAnsi="Simplified Arabic" w:cs="Simplified Arabic" w:hint="cs"/>
          <w:sz w:val="24"/>
          <w:szCs w:val="24"/>
          <w:rtl/>
          <w:lang w:val="en-US" w:bidi="ar-DZ"/>
        </w:rPr>
        <w:t>الذي</w:t>
      </w:r>
      <w:r w:rsidRPr="002B2AAE">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يقابل تلك القطعة.</w:t>
      </w:r>
    </w:p>
    <w:p w:rsidR="00F84BFD" w:rsidRDefault="00F84BFD" w:rsidP="00241BC3">
      <w:pPr>
        <w:autoSpaceDE w:val="0"/>
        <w:autoSpaceDN w:val="0"/>
        <w:bidi/>
        <w:adjustRightInd w:val="0"/>
        <w:spacing w:before="240" w:after="0"/>
        <w:rPr>
          <w:rFonts w:ascii="Simplified Arabic" w:hAnsi="Simplified Arabic" w:cs="Simplified Arabic"/>
          <w:sz w:val="24"/>
          <w:szCs w:val="24"/>
          <w:rtl/>
          <w:lang w:val="en-US" w:bidi="ar-DZ"/>
        </w:rPr>
      </w:pPr>
      <w:r w:rsidRPr="000A1DE0">
        <w:rPr>
          <w:rFonts w:ascii="Simplified Arabic" w:hAnsi="Simplified Arabic" w:cs="Simplified Arabic" w:hint="cs"/>
          <w:b/>
          <w:bCs/>
          <w:sz w:val="24"/>
          <w:szCs w:val="24"/>
          <w:rtl/>
          <w:lang w:val="en-US" w:bidi="ar-DZ"/>
        </w:rPr>
        <w:t>المبدأ</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02</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تعزيز</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التنوع</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المكاني</w:t>
      </w:r>
      <w:r w:rsidRPr="00F84BFD">
        <w:rPr>
          <w:rFonts w:ascii="Simplified Arabic" w:hAnsi="Simplified Arabic" w:cs="Simplified Arabic" w:hint="cs"/>
          <w:sz w:val="24"/>
          <w:szCs w:val="24"/>
          <w:rtl/>
          <w:lang w:val="en-US" w:bidi="ar-DZ"/>
        </w:rPr>
        <w:t xml:space="preserve"> </w:t>
      </w:r>
    </w:p>
    <w:p w:rsidR="00763281" w:rsidRDefault="00763281" w:rsidP="002F3AF2">
      <w:pPr>
        <w:bidi/>
        <w:spacing w:after="0"/>
        <w:ind w:firstLine="283"/>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ي</w:t>
      </w:r>
      <w:r w:rsidRPr="00B72F7F">
        <w:rPr>
          <w:rFonts w:ascii="Simplified Arabic" w:hAnsi="Simplified Arabic" w:cs="Simplified Arabic" w:hint="cs"/>
          <w:sz w:val="24"/>
          <w:szCs w:val="24"/>
          <w:rtl/>
          <w:lang w:bidi="ar-DZ"/>
        </w:rPr>
        <w:t>فهم</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التنوع</w:t>
      </w:r>
      <w:r w:rsidRPr="00B72F7F">
        <w:rPr>
          <w:rFonts w:ascii="Simplified Arabic" w:hAnsi="Simplified Arabic" w:cs="Simplified Arabic"/>
          <w:sz w:val="24"/>
          <w:szCs w:val="24"/>
          <w:rtl/>
          <w:lang w:bidi="ar-DZ"/>
        </w:rPr>
        <w:t xml:space="preserve"> </w:t>
      </w:r>
      <w:r w:rsidR="00974D84">
        <w:rPr>
          <w:rFonts w:ascii="Simplified Arabic" w:hAnsi="Simplified Arabic" w:cs="Simplified Arabic" w:hint="cs"/>
          <w:sz w:val="24"/>
          <w:szCs w:val="24"/>
          <w:rtl/>
          <w:lang w:bidi="ar-DZ"/>
        </w:rPr>
        <w:t>المكاني</w:t>
      </w:r>
      <w:r w:rsidRPr="00B72F7F">
        <w:rPr>
          <w:rFonts w:ascii="Simplified Arabic" w:hAnsi="Simplified Arabic" w:cs="Simplified Arabic" w:hint="cs"/>
          <w:sz w:val="24"/>
          <w:szCs w:val="24"/>
          <w:rtl/>
          <w:lang w:bidi="ar-DZ"/>
        </w:rPr>
        <w:t>،</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على</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أنه</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توافر</w:t>
      </w:r>
      <w:r w:rsidRPr="00B72F7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انواع مختلفة</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من</w:t>
      </w:r>
      <w:r w:rsidRPr="00B72F7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المرافق والخدمات</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المتميزة</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في</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الجوار</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القريب</w:t>
      </w:r>
      <w:r w:rsidRPr="00B72F7F">
        <w:rPr>
          <w:rFonts w:ascii="Simplified Arabic" w:hAnsi="Simplified Arabic" w:cs="Simplified Arabic"/>
          <w:sz w:val="24"/>
          <w:szCs w:val="24"/>
          <w:rtl/>
          <w:lang w:bidi="ar-DZ"/>
        </w:rPr>
        <w:t>.</w:t>
      </w:r>
      <w:r w:rsidRPr="00135241">
        <w:rPr>
          <w:rFonts w:ascii="Simplified Arabic" w:hAnsi="Simplified Arabic" w:cs="Simplified Arabic" w:hint="cs"/>
          <w:sz w:val="24"/>
          <w:szCs w:val="24"/>
          <w:rtl/>
          <w:lang w:bidi="ar-DZ"/>
        </w:rPr>
        <w:t xml:space="preserve"> </w:t>
      </w:r>
      <w:r w:rsidRPr="00FC4049">
        <w:rPr>
          <w:rFonts w:ascii="Simplified Arabic" w:hAnsi="Simplified Arabic" w:cs="Simplified Arabic" w:hint="cs"/>
          <w:color w:val="000000" w:themeColor="text1"/>
          <w:sz w:val="24"/>
          <w:szCs w:val="24"/>
          <w:rtl/>
          <w:lang w:val="en-US"/>
        </w:rPr>
        <w:t>يركز</w:t>
      </w:r>
      <w:r w:rsidRPr="00FC4049">
        <w:rPr>
          <w:rFonts w:ascii="Simplified Arabic" w:hAnsi="Simplified Arabic" w:cs="Simplified Arabic"/>
          <w:color w:val="000000" w:themeColor="text1"/>
          <w:sz w:val="24"/>
          <w:szCs w:val="24"/>
          <w:rtl/>
          <w:lang w:val="en-US"/>
        </w:rPr>
        <w:t xml:space="preserve"> </w:t>
      </w:r>
      <w:r w:rsidRPr="00FC4049">
        <w:rPr>
          <w:rFonts w:ascii="Simplified Arabic" w:hAnsi="Simplified Arabic" w:cs="Simplified Arabic" w:hint="cs"/>
          <w:color w:val="000000" w:themeColor="text1"/>
          <w:sz w:val="24"/>
          <w:szCs w:val="24"/>
          <w:rtl/>
          <w:lang w:val="en-US"/>
        </w:rPr>
        <w:t>التنوع</w:t>
      </w:r>
      <w:r w:rsidRPr="00FC4049">
        <w:rPr>
          <w:rFonts w:ascii="Simplified Arabic" w:hAnsi="Simplified Arabic" w:cs="Simplified Arabic"/>
          <w:color w:val="000000" w:themeColor="text1"/>
          <w:sz w:val="24"/>
          <w:szCs w:val="24"/>
          <w:rtl/>
          <w:lang w:val="en-US"/>
        </w:rPr>
        <w:t xml:space="preserve"> </w:t>
      </w:r>
      <w:r w:rsidRPr="00FC4049">
        <w:rPr>
          <w:rFonts w:ascii="Simplified Arabic" w:hAnsi="Simplified Arabic" w:cs="Simplified Arabic" w:hint="cs"/>
          <w:color w:val="000000" w:themeColor="text1"/>
          <w:sz w:val="24"/>
          <w:szCs w:val="24"/>
          <w:rtl/>
          <w:lang w:val="en-US"/>
        </w:rPr>
        <w:t>على</w:t>
      </w:r>
      <w:r w:rsidRPr="00FC4049">
        <w:rPr>
          <w:rFonts w:ascii="Simplified Arabic" w:hAnsi="Simplified Arabic" w:cs="Simplified Arabic"/>
          <w:color w:val="000000" w:themeColor="text1"/>
          <w:sz w:val="24"/>
          <w:szCs w:val="24"/>
          <w:rtl/>
          <w:lang w:val="en-US"/>
        </w:rPr>
        <w:t xml:space="preserve"> </w:t>
      </w:r>
      <w:r w:rsidRPr="00FC4049">
        <w:rPr>
          <w:rFonts w:ascii="Simplified Arabic" w:hAnsi="Simplified Arabic" w:cs="Simplified Arabic" w:hint="cs"/>
          <w:color w:val="000000" w:themeColor="text1"/>
          <w:sz w:val="24"/>
          <w:szCs w:val="24"/>
          <w:rtl/>
          <w:lang w:val="en-US"/>
        </w:rPr>
        <w:t>نسبة</w:t>
      </w:r>
      <w:r w:rsidRPr="00FC4049">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 xml:space="preserve">تواجد </w:t>
      </w:r>
      <w:r>
        <w:rPr>
          <w:rFonts w:ascii="Simplified Arabic" w:hAnsi="Simplified Arabic" w:cs="Simplified Arabic" w:hint="cs"/>
          <w:sz w:val="24"/>
          <w:szCs w:val="24"/>
          <w:rtl/>
          <w:lang w:bidi="ar-DZ"/>
        </w:rPr>
        <w:t xml:space="preserve">المرافق </w:t>
      </w:r>
      <w:r w:rsidRPr="00FC4049">
        <w:rPr>
          <w:rFonts w:ascii="Simplified Arabic" w:hAnsi="Simplified Arabic" w:cs="Simplified Arabic" w:hint="cs"/>
          <w:color w:val="000000" w:themeColor="text1"/>
          <w:sz w:val="24"/>
          <w:szCs w:val="24"/>
          <w:rtl/>
          <w:lang w:val="en-US"/>
        </w:rPr>
        <w:t>الم</w:t>
      </w:r>
      <w:r>
        <w:rPr>
          <w:rFonts w:ascii="Simplified Arabic" w:hAnsi="Simplified Arabic" w:cs="Simplified Arabic" w:hint="cs"/>
          <w:color w:val="000000" w:themeColor="text1"/>
          <w:sz w:val="24"/>
          <w:szCs w:val="24"/>
          <w:rtl/>
          <w:lang w:val="en-US"/>
        </w:rPr>
        <w:t>تنوع</w:t>
      </w:r>
      <w:r w:rsidRPr="00FC4049">
        <w:rPr>
          <w:rFonts w:ascii="Simplified Arabic" w:hAnsi="Simplified Arabic" w:cs="Simplified Arabic" w:hint="cs"/>
          <w:color w:val="000000" w:themeColor="text1"/>
          <w:sz w:val="24"/>
          <w:szCs w:val="24"/>
          <w:rtl/>
          <w:lang w:val="en-US"/>
        </w:rPr>
        <w:t>ة</w:t>
      </w:r>
      <w:r w:rsidRPr="00157C4E">
        <w:rPr>
          <w:rFonts w:asciiTheme="majorBidi" w:hAnsiTheme="majorBidi" w:cstheme="majorBidi" w:hint="cs"/>
          <w:color w:val="000000" w:themeColor="text1"/>
          <w:sz w:val="24"/>
          <w:szCs w:val="24"/>
          <w:rtl/>
          <w:lang w:val="en-US"/>
        </w:rPr>
        <w:t>،</w:t>
      </w:r>
      <w:r w:rsidRPr="00157C4E">
        <w:rPr>
          <w:rFonts w:cs="Arial"/>
          <w:sz w:val="24"/>
          <w:szCs w:val="24"/>
          <w:rtl/>
          <w:lang w:bidi="ar-DZ"/>
        </w:rPr>
        <w:t xml:space="preserve"> </w:t>
      </w:r>
      <w:r w:rsidRPr="00157C4E">
        <w:rPr>
          <w:rFonts w:ascii="Simplified Arabic" w:hAnsi="Simplified Arabic" w:cs="Simplified Arabic" w:hint="cs"/>
          <w:sz w:val="24"/>
          <w:szCs w:val="24"/>
          <w:rtl/>
          <w:lang w:bidi="ar-DZ"/>
        </w:rPr>
        <w:t>لأنه</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من</w:t>
      </w:r>
      <w:r w:rsidRPr="0030761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المفترض</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أن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يكون</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هناك</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توزيع</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متساوي</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للعناصر</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الحضرية</w:t>
      </w:r>
      <w:r w:rsidRPr="0030761A">
        <w:rPr>
          <w:rFonts w:ascii="Simplified Arabic" w:hAnsi="Simplified Arabic" w:cs="Simplified Arabic"/>
          <w:sz w:val="24"/>
          <w:szCs w:val="24"/>
          <w:rtl/>
          <w:lang w:bidi="ar-DZ"/>
        </w:rPr>
        <w:t>.</w:t>
      </w:r>
      <w:r w:rsidRPr="00E95C84">
        <w:rPr>
          <w:rFonts w:ascii="Simplified Arabic" w:hAnsi="Simplified Arabic" w:cs="Simplified Arabic" w:hint="cs"/>
          <w:sz w:val="24"/>
          <w:szCs w:val="24"/>
          <w:rtl/>
          <w:lang w:bidi="ar-DZ"/>
        </w:rPr>
        <w:t xml:space="preserve"> </w:t>
      </w:r>
    </w:p>
    <w:p w:rsidR="00E53FE3" w:rsidRPr="00E53FE3" w:rsidRDefault="00E53FE3" w:rsidP="002F3AF2">
      <w:pPr>
        <w:pStyle w:val="Paragraphedeliste"/>
        <w:numPr>
          <w:ilvl w:val="0"/>
          <w:numId w:val="277"/>
        </w:numPr>
        <w:bidi/>
        <w:spacing w:before="240" w:after="0"/>
        <w:ind w:left="0" w:firstLine="283"/>
        <w:jc w:val="both"/>
        <w:rPr>
          <w:rFonts w:ascii="Simplified Arabic" w:hAnsi="Simplified Arabic" w:cs="Simplified Arabic"/>
          <w:b/>
          <w:bCs/>
          <w:sz w:val="24"/>
          <w:szCs w:val="24"/>
          <w:rtl/>
          <w:lang w:val="en-US" w:bidi="ar-DZ"/>
        </w:rPr>
      </w:pPr>
      <w:r w:rsidRPr="00E53FE3">
        <w:rPr>
          <w:rFonts w:ascii="Simplified Arabic" w:hAnsi="Simplified Arabic" w:cs="Simplified Arabic" w:hint="cs"/>
          <w:b/>
          <w:bCs/>
          <w:sz w:val="24"/>
          <w:szCs w:val="24"/>
          <w:rtl/>
          <w:lang w:val="en-US" w:bidi="ar-DZ"/>
        </w:rPr>
        <w:lastRenderedPageBreak/>
        <w:t>توصيات</w:t>
      </w:r>
      <w:r w:rsidRPr="00E53FE3">
        <w:rPr>
          <w:rFonts w:ascii="Simplified Arabic" w:hAnsi="Simplified Arabic" w:cs="Simplified Arabic"/>
          <w:b/>
          <w:bCs/>
          <w:sz w:val="24"/>
          <w:szCs w:val="24"/>
          <w:rtl/>
          <w:lang w:val="en-US" w:bidi="ar-DZ"/>
        </w:rPr>
        <w:t xml:space="preserve"> </w:t>
      </w:r>
      <w:r w:rsidRPr="00E53FE3">
        <w:rPr>
          <w:rFonts w:ascii="Simplified Arabic" w:hAnsi="Simplified Arabic" w:cs="Simplified Arabic" w:hint="cs"/>
          <w:b/>
          <w:bCs/>
          <w:sz w:val="24"/>
          <w:szCs w:val="24"/>
          <w:rtl/>
          <w:lang w:val="en-US" w:bidi="ar-DZ"/>
        </w:rPr>
        <w:t xml:space="preserve">التصميم: </w:t>
      </w:r>
    </w:p>
    <w:p w:rsidR="00E53FE3" w:rsidRDefault="00E53FE3" w:rsidP="002F3AF2">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bidi="ar-DZ"/>
        </w:rPr>
        <w:t xml:space="preserve">* </w:t>
      </w:r>
      <w:r w:rsidRPr="00B72F7F">
        <w:rPr>
          <w:rFonts w:ascii="Simplified Arabic" w:hAnsi="Simplified Arabic" w:cs="Simplified Arabic" w:hint="cs"/>
          <w:sz w:val="24"/>
          <w:szCs w:val="24"/>
          <w:rtl/>
          <w:lang w:bidi="ar-DZ"/>
        </w:rPr>
        <w:t>توف</w:t>
      </w:r>
      <w:r w:rsidR="002F3AF2">
        <w:rPr>
          <w:rFonts w:ascii="Simplified Arabic" w:hAnsi="Simplified Arabic" w:cs="Simplified Arabic" w:hint="cs"/>
          <w:sz w:val="24"/>
          <w:szCs w:val="24"/>
          <w:rtl/>
          <w:lang w:bidi="ar-DZ"/>
        </w:rPr>
        <w:t>ي</w:t>
      </w:r>
      <w:r w:rsidRPr="00B72F7F">
        <w:rPr>
          <w:rFonts w:ascii="Simplified Arabic" w:hAnsi="Simplified Arabic" w:cs="Simplified Arabic" w:hint="cs"/>
          <w:sz w:val="24"/>
          <w:szCs w:val="24"/>
          <w:rtl/>
          <w:lang w:bidi="ar-DZ"/>
        </w:rPr>
        <w:t>ر</w:t>
      </w:r>
      <w:r w:rsidRPr="00B72F7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انواع مختلفة</w:t>
      </w:r>
      <w:r w:rsidRPr="00B72F7F">
        <w:rPr>
          <w:rFonts w:ascii="Simplified Arabic" w:hAnsi="Simplified Arabic" w:cs="Simplified Arabic"/>
          <w:sz w:val="24"/>
          <w:szCs w:val="24"/>
          <w:rtl/>
          <w:lang w:bidi="ar-DZ"/>
        </w:rPr>
        <w:t xml:space="preserve"> </w:t>
      </w:r>
      <w:r w:rsidRPr="00B72F7F">
        <w:rPr>
          <w:rFonts w:ascii="Simplified Arabic" w:hAnsi="Simplified Arabic" w:cs="Simplified Arabic" w:hint="cs"/>
          <w:sz w:val="24"/>
          <w:szCs w:val="24"/>
          <w:rtl/>
          <w:lang w:bidi="ar-DZ"/>
        </w:rPr>
        <w:t>من</w:t>
      </w:r>
      <w:r w:rsidRPr="00B72F7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المرافق والخدمات</w:t>
      </w:r>
      <w:r w:rsidRPr="00E95C84">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 xml:space="preserve">يزيد من المرونة الحضرية.                </w:t>
      </w:r>
    </w:p>
    <w:p w:rsidR="00E53FE3" w:rsidRDefault="00E53FE3" w:rsidP="004760CB">
      <w:pPr>
        <w:bidi/>
        <w:spacing w:after="0"/>
        <w:jc w:val="both"/>
        <w:rPr>
          <w:rFonts w:ascii="Simplified Arabic" w:hAnsi="Simplified Arabic" w:cs="Simplified Arabic"/>
          <w:sz w:val="24"/>
          <w:szCs w:val="24"/>
          <w:rtl/>
          <w:lang w:val="en-US" w:bidi="ar-DZ"/>
        </w:rPr>
      </w:pPr>
      <w:r w:rsidRPr="00E95C84">
        <w:rPr>
          <w:rFonts w:ascii="Simplified Arabic" w:hAnsi="Simplified Arabic" w:cs="Simplified Arabic" w:hint="cs"/>
          <w:sz w:val="24"/>
          <w:szCs w:val="24"/>
          <w:rtl/>
          <w:lang w:val="en-US" w:bidi="ar-DZ"/>
        </w:rPr>
        <w:t xml:space="preserve">* </w:t>
      </w:r>
      <w:r w:rsidRPr="00E95C84">
        <w:rPr>
          <w:rFonts w:ascii="Simplified Arabic" w:hAnsi="Simplified Arabic" w:cs="Simplified Arabic"/>
          <w:sz w:val="24"/>
          <w:szCs w:val="24"/>
          <w:rtl/>
          <w:lang w:val="en-US" w:bidi="ar-DZ"/>
        </w:rPr>
        <w:t>يتطلب سه</w:t>
      </w:r>
      <w:r>
        <w:rPr>
          <w:rFonts w:ascii="Simplified Arabic" w:hAnsi="Simplified Arabic" w:cs="Simplified Arabic" w:hint="cs"/>
          <w:sz w:val="24"/>
          <w:szCs w:val="24"/>
          <w:rtl/>
          <w:lang w:val="en-US" w:bidi="ar-DZ"/>
        </w:rPr>
        <w:t>و</w:t>
      </w:r>
      <w:r w:rsidRPr="00E95C84">
        <w:rPr>
          <w:rFonts w:ascii="Simplified Arabic" w:hAnsi="Simplified Arabic" w:cs="Simplified Arabic"/>
          <w:sz w:val="24"/>
          <w:szCs w:val="24"/>
          <w:rtl/>
          <w:lang w:val="en-US" w:bidi="ar-DZ"/>
        </w:rPr>
        <w:t>ل</w:t>
      </w:r>
      <w:r>
        <w:rPr>
          <w:rFonts w:ascii="Simplified Arabic" w:hAnsi="Simplified Arabic" w:cs="Simplified Arabic" w:hint="cs"/>
          <w:sz w:val="24"/>
          <w:szCs w:val="24"/>
          <w:rtl/>
          <w:lang w:val="en-US" w:bidi="ar-DZ"/>
        </w:rPr>
        <w:t>ة</w:t>
      </w:r>
      <w:r w:rsidRPr="00E95C84">
        <w:rPr>
          <w:rFonts w:ascii="Simplified Arabic" w:hAnsi="Simplified Arabic" w:cs="Simplified Arabic"/>
          <w:sz w:val="24"/>
          <w:szCs w:val="24"/>
          <w:rtl/>
          <w:lang w:val="en-US" w:bidi="ar-DZ"/>
        </w:rPr>
        <w:t xml:space="preserve"> الوصول </w:t>
      </w:r>
      <w:r>
        <w:rPr>
          <w:rFonts w:ascii="Simplified Arabic" w:hAnsi="Simplified Arabic" w:cs="Simplified Arabic" w:hint="cs"/>
          <w:sz w:val="24"/>
          <w:szCs w:val="24"/>
          <w:rtl/>
          <w:lang w:val="en-US" w:bidi="ar-DZ"/>
        </w:rPr>
        <w:t xml:space="preserve">الى المرافق والخدمات </w:t>
      </w:r>
      <w:r w:rsidRPr="0030761A">
        <w:rPr>
          <w:rFonts w:ascii="Simplified Arabic" w:hAnsi="Simplified Arabic" w:cs="Simplified Arabic" w:hint="cs"/>
          <w:sz w:val="24"/>
          <w:szCs w:val="24"/>
          <w:rtl/>
          <w:lang w:bidi="ar-DZ"/>
        </w:rPr>
        <w:t>توزيع</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متساوي</w:t>
      </w:r>
      <w:r w:rsidRPr="0030761A">
        <w:rPr>
          <w:rFonts w:ascii="Simplified Arabic" w:hAnsi="Simplified Arabic" w:cs="Simplified Arabic"/>
          <w:sz w:val="24"/>
          <w:szCs w:val="24"/>
          <w:rtl/>
          <w:lang w:bidi="ar-DZ"/>
        </w:rPr>
        <w:t xml:space="preserve"> </w:t>
      </w:r>
      <w:r w:rsidRPr="0030761A">
        <w:rPr>
          <w:rFonts w:ascii="Simplified Arabic" w:hAnsi="Simplified Arabic" w:cs="Simplified Arabic" w:hint="cs"/>
          <w:sz w:val="24"/>
          <w:szCs w:val="24"/>
          <w:rtl/>
          <w:lang w:bidi="ar-DZ"/>
        </w:rPr>
        <w:t>للعناصر</w:t>
      </w:r>
      <w:r w:rsidRPr="0030761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ضمن نطاق </w:t>
      </w:r>
      <w:r w:rsidRPr="000A690E">
        <w:rPr>
          <w:rFonts w:ascii="Simplified Arabic" w:hAnsi="Simplified Arabic" w:cs="Simplified Arabic" w:hint="cs"/>
          <w:sz w:val="24"/>
          <w:szCs w:val="24"/>
          <w:rtl/>
          <w:lang w:bidi="ar-DZ"/>
        </w:rPr>
        <w:t>التغطية ب</w:t>
      </w:r>
      <w:r>
        <w:rPr>
          <w:rFonts w:ascii="Simplified Arabic" w:hAnsi="Simplified Arabic" w:cs="Simplified Arabic" w:hint="cs"/>
          <w:sz w:val="24"/>
          <w:szCs w:val="24"/>
          <w:rtl/>
          <w:lang w:bidi="ar-DZ"/>
        </w:rPr>
        <w:t>الخدمة على مستوى ال</w:t>
      </w:r>
      <w:r>
        <w:rPr>
          <w:rFonts w:ascii="Simplified Arabic" w:hAnsi="Simplified Arabic" w:cs="Simplified Arabic" w:hint="cs"/>
          <w:sz w:val="24"/>
          <w:szCs w:val="24"/>
          <w:rtl/>
        </w:rPr>
        <w:t>أحياء</w:t>
      </w:r>
      <w:r w:rsidRPr="00E95C84">
        <w:rPr>
          <w:rFonts w:ascii="Simplified Arabic" w:hAnsi="Simplified Arabic" w:cs="Simplified Arabic"/>
          <w:sz w:val="24"/>
          <w:szCs w:val="24"/>
          <w:rtl/>
          <w:lang w:val="en-US" w:bidi="ar-DZ"/>
        </w:rPr>
        <w:t xml:space="preserve"> وهذا </w:t>
      </w:r>
      <w:r>
        <w:rPr>
          <w:rFonts w:ascii="Simplified Arabic" w:hAnsi="Simplified Arabic" w:cs="Simplified Arabic" w:hint="cs"/>
          <w:sz w:val="24"/>
          <w:szCs w:val="24"/>
          <w:rtl/>
          <w:lang w:val="en-US" w:bidi="ar-DZ"/>
        </w:rPr>
        <w:t>ب</w:t>
      </w:r>
      <w:r w:rsidRPr="00E95C84">
        <w:rPr>
          <w:rFonts w:ascii="Simplified Arabic" w:hAnsi="Simplified Arabic" w:cs="Simplified Arabic"/>
          <w:sz w:val="24"/>
          <w:szCs w:val="24"/>
          <w:rtl/>
          <w:lang w:val="en-US" w:bidi="ar-DZ"/>
        </w:rPr>
        <w:t xml:space="preserve">الانتباه إلى كيفية </w:t>
      </w:r>
      <w:r>
        <w:rPr>
          <w:rFonts w:ascii="Simplified Arabic" w:hAnsi="Simplified Arabic" w:cs="Simplified Arabic" w:hint="cs"/>
          <w:sz w:val="24"/>
          <w:szCs w:val="24"/>
          <w:rtl/>
          <w:lang w:val="en-US" w:bidi="ar-DZ"/>
        </w:rPr>
        <w:t>الوصول اليها اما</w:t>
      </w:r>
      <w:r w:rsidRPr="00E95C84">
        <w:rPr>
          <w:rFonts w:ascii="Simplified Arabic" w:hAnsi="Simplified Arabic" w:cs="Simplified Arabic"/>
          <w:sz w:val="24"/>
          <w:szCs w:val="24"/>
          <w:rtl/>
          <w:lang w:val="en-US" w:bidi="ar-DZ"/>
        </w:rPr>
        <w:t xml:space="preserve"> سيرًا على الأقدام </w:t>
      </w:r>
      <w:r>
        <w:rPr>
          <w:rFonts w:ascii="Simplified Arabic" w:hAnsi="Simplified Arabic" w:cs="Simplified Arabic" w:hint="cs"/>
          <w:sz w:val="24"/>
          <w:szCs w:val="24"/>
          <w:rtl/>
          <w:lang w:val="en-US" w:bidi="ar-DZ"/>
        </w:rPr>
        <w:t>ا</w:t>
      </w:r>
      <w:r w:rsidRPr="00E95C84">
        <w:rPr>
          <w:rFonts w:ascii="Simplified Arabic" w:hAnsi="Simplified Arabic" w:cs="Simplified Arabic"/>
          <w:sz w:val="24"/>
          <w:szCs w:val="24"/>
          <w:rtl/>
          <w:lang w:val="en-US" w:bidi="ar-DZ"/>
        </w:rPr>
        <w:t>و</w:t>
      </w:r>
      <w:r>
        <w:rPr>
          <w:rFonts w:ascii="Simplified Arabic" w:hAnsi="Simplified Arabic" w:cs="Simplified Arabic" w:hint="cs"/>
          <w:sz w:val="24"/>
          <w:szCs w:val="24"/>
          <w:rtl/>
          <w:lang w:val="en-US" w:bidi="ar-DZ"/>
        </w:rPr>
        <w:t xml:space="preserve"> </w:t>
      </w:r>
      <w:r w:rsidRPr="00E95C84">
        <w:rPr>
          <w:rFonts w:ascii="Simplified Arabic" w:hAnsi="Simplified Arabic" w:cs="Simplified Arabic"/>
          <w:sz w:val="24"/>
          <w:szCs w:val="24"/>
          <w:rtl/>
          <w:lang w:val="en-US" w:bidi="ar-DZ"/>
        </w:rPr>
        <w:t xml:space="preserve">الدراجة </w:t>
      </w:r>
      <w:r>
        <w:rPr>
          <w:rFonts w:ascii="Simplified Arabic" w:hAnsi="Simplified Arabic" w:cs="Simplified Arabic" w:hint="cs"/>
          <w:sz w:val="24"/>
          <w:szCs w:val="24"/>
          <w:rtl/>
          <w:lang w:val="en-US" w:bidi="ar-DZ"/>
        </w:rPr>
        <w:t>ا</w:t>
      </w:r>
      <w:r w:rsidRPr="00E95C84">
        <w:rPr>
          <w:rFonts w:ascii="Simplified Arabic" w:hAnsi="Simplified Arabic" w:cs="Simplified Arabic"/>
          <w:sz w:val="24"/>
          <w:szCs w:val="24"/>
          <w:rtl/>
          <w:lang w:val="en-US" w:bidi="ar-DZ"/>
        </w:rPr>
        <w:t>و</w:t>
      </w:r>
      <w:r>
        <w:rPr>
          <w:rFonts w:ascii="Simplified Arabic" w:hAnsi="Simplified Arabic" w:cs="Simplified Arabic" w:hint="cs"/>
          <w:sz w:val="24"/>
          <w:szCs w:val="24"/>
          <w:rtl/>
          <w:lang w:val="en-US" w:bidi="ar-DZ"/>
        </w:rPr>
        <w:t xml:space="preserve"> </w:t>
      </w:r>
      <w:r w:rsidRPr="00E95C84">
        <w:rPr>
          <w:rFonts w:ascii="Simplified Arabic" w:hAnsi="Simplified Arabic" w:cs="Simplified Arabic"/>
          <w:sz w:val="24"/>
          <w:szCs w:val="24"/>
          <w:rtl/>
          <w:lang w:val="en-US" w:bidi="ar-DZ"/>
        </w:rPr>
        <w:t>وسائل النقل العام والسيارة.</w:t>
      </w:r>
    </w:p>
    <w:p w:rsidR="00E53FE3" w:rsidRDefault="00E53FE3" w:rsidP="00E53FE3">
      <w:pPr>
        <w:tabs>
          <w:tab w:val="right" w:pos="567"/>
        </w:tabs>
        <w:autoSpaceDE w:val="0"/>
        <w:autoSpaceDN w:val="0"/>
        <w:bidi/>
        <w:adjustRightInd w:val="0"/>
        <w:spacing w:after="0"/>
        <w:jc w:val="both"/>
        <w:rPr>
          <w:rFonts w:ascii="Simplified Arabic" w:hAnsi="Simplified Arabic" w:cs="Simplified Arabic"/>
          <w:sz w:val="24"/>
          <w:szCs w:val="24"/>
          <w:rtl/>
          <w:lang w:val="en-US" w:bidi="ar-DZ"/>
        </w:rPr>
      </w:pPr>
      <w:r w:rsidRPr="00E95C84">
        <w:rPr>
          <w:rFonts w:ascii="Simplified Arabic" w:hAnsi="Simplified Arabic" w:cs="Simplified Arabic" w:hint="cs"/>
          <w:sz w:val="24"/>
          <w:szCs w:val="24"/>
          <w:rtl/>
          <w:lang w:val="en-US" w:bidi="ar-DZ"/>
        </w:rPr>
        <w:t xml:space="preserve">* </w:t>
      </w:r>
      <w:r w:rsidRPr="00E95C84">
        <w:rPr>
          <w:rFonts w:ascii="Simplified Arabic" w:hAnsi="Simplified Arabic" w:cs="Simplified Arabic"/>
          <w:sz w:val="24"/>
          <w:szCs w:val="24"/>
          <w:rtl/>
        </w:rPr>
        <w:t xml:space="preserve">التركيز على توفير </w:t>
      </w:r>
      <w:r w:rsidRPr="00E95C84">
        <w:rPr>
          <w:rFonts w:ascii="Simplified Arabic" w:hAnsi="Simplified Arabic" w:cs="Simplified Arabic"/>
          <w:color w:val="000000"/>
          <w:sz w:val="24"/>
          <w:szCs w:val="24"/>
          <w:rtl/>
        </w:rPr>
        <w:t xml:space="preserve">مرافق </w:t>
      </w:r>
      <w:r w:rsidRPr="00E95C84">
        <w:rPr>
          <w:rFonts w:ascii="Simplified Arabic" w:hAnsi="Simplified Arabic" w:cs="Simplified Arabic"/>
          <w:sz w:val="24"/>
          <w:szCs w:val="24"/>
          <w:rtl/>
        </w:rPr>
        <w:t xml:space="preserve">الرعاية الصحية الاولية </w:t>
      </w:r>
      <w:r>
        <w:rPr>
          <w:rFonts w:ascii="Simplified Arabic" w:hAnsi="Simplified Arabic" w:cs="Simplified Arabic" w:hint="cs"/>
          <w:sz w:val="24"/>
          <w:szCs w:val="24"/>
          <w:rtl/>
        </w:rPr>
        <w:t>للمناطق الحضرية</w:t>
      </w:r>
      <w:r w:rsidRPr="00E95C84">
        <w:rPr>
          <w:rFonts w:ascii="Simplified Arabic" w:hAnsi="Simplified Arabic" w:cs="Simplified Arabic"/>
          <w:sz w:val="24"/>
          <w:szCs w:val="24"/>
          <w:rtl/>
        </w:rPr>
        <w:t xml:space="preserve"> </w:t>
      </w:r>
      <w:r>
        <w:rPr>
          <w:rFonts w:ascii="Simplified Arabic" w:hAnsi="Simplified Arabic" w:cs="Simplified Arabic" w:hint="cs"/>
          <w:sz w:val="24"/>
          <w:szCs w:val="24"/>
          <w:rtl/>
        </w:rPr>
        <w:t>الهامشية</w:t>
      </w:r>
      <w:r w:rsidRPr="00E95C84">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E95C84">
        <w:rPr>
          <w:rFonts w:ascii="Simplified Arabic" w:hAnsi="Simplified Arabic" w:cs="Simplified Arabic"/>
          <w:sz w:val="24"/>
          <w:szCs w:val="24"/>
          <w:rtl/>
        </w:rPr>
        <w:t>لمدن من خلال العيادات الطبية.</w:t>
      </w:r>
      <w:r w:rsidRPr="00544EB8">
        <w:rPr>
          <w:rFonts w:ascii="Simplified Arabic" w:hAnsi="Simplified Arabic" w:cs="Simplified Arabic" w:hint="cs"/>
          <w:sz w:val="24"/>
          <w:szCs w:val="24"/>
          <w:rtl/>
          <w:lang w:val="en-US" w:bidi="ar-DZ"/>
        </w:rPr>
        <w:t xml:space="preserve"> </w:t>
      </w:r>
    </w:p>
    <w:p w:rsidR="00E53FE3" w:rsidRDefault="00E53FE3" w:rsidP="00E53FE3">
      <w:pPr>
        <w:bidi/>
        <w:spacing w:after="0"/>
        <w:jc w:val="both"/>
        <w:rPr>
          <w:rFonts w:ascii="Simplified Arabic" w:hAnsi="Simplified Arabic" w:cs="Simplified Arabic"/>
          <w:sz w:val="24"/>
          <w:szCs w:val="24"/>
          <w:rtl/>
          <w:lang w:val="en-US" w:bidi="ar-DZ"/>
        </w:rPr>
      </w:pPr>
      <w:r w:rsidRPr="00E95C84">
        <w:rPr>
          <w:rFonts w:ascii="Simplified Arabic" w:hAnsi="Simplified Arabic" w:cs="Simplified Arabic" w:hint="cs"/>
          <w:sz w:val="24"/>
          <w:szCs w:val="24"/>
          <w:rtl/>
          <w:lang w:val="en-US" w:bidi="ar-DZ"/>
        </w:rPr>
        <w:t xml:space="preserve">* </w:t>
      </w:r>
      <w:r w:rsidRPr="00E95C84">
        <w:rPr>
          <w:rFonts w:ascii="Simplified Arabic" w:hAnsi="Simplified Arabic" w:cs="Simplified Arabic"/>
          <w:sz w:val="24"/>
          <w:szCs w:val="24"/>
          <w:rtl/>
          <w:lang w:bidi="ar-DZ"/>
        </w:rPr>
        <w:t>مراعاة</w:t>
      </w:r>
      <w:r w:rsidRPr="00E95C84">
        <w:rPr>
          <w:rFonts w:ascii="Simplified Arabic" w:hAnsi="Simplified Arabic" w:cs="Simplified Arabic"/>
          <w:sz w:val="24"/>
          <w:szCs w:val="24"/>
          <w:rtl/>
        </w:rPr>
        <w:t xml:space="preserve"> التوزيع المكاني للمراكز الصحية التي توصلت اليها الدراسة من خلال مراعاة التباين المكاني الذي تحدده </w:t>
      </w:r>
      <w:r>
        <w:rPr>
          <w:rFonts w:ascii="Simplified Arabic" w:hAnsi="Simplified Arabic" w:cs="Simplified Arabic" w:hint="cs"/>
          <w:sz w:val="24"/>
          <w:szCs w:val="24"/>
          <w:rtl/>
        </w:rPr>
        <w:t>ال</w:t>
      </w:r>
      <w:r w:rsidRPr="00E95C84">
        <w:rPr>
          <w:rFonts w:ascii="Simplified Arabic" w:hAnsi="Simplified Arabic" w:cs="Simplified Arabic"/>
          <w:sz w:val="24"/>
          <w:szCs w:val="24"/>
          <w:rtl/>
        </w:rPr>
        <w:t xml:space="preserve">مستويات الهرمية في توزيع </w:t>
      </w:r>
      <w:r w:rsidRPr="00E95C84">
        <w:rPr>
          <w:rFonts w:ascii="Simplified Arabic" w:hAnsi="Simplified Arabic" w:cs="Simplified Arabic"/>
          <w:color w:val="000000"/>
          <w:sz w:val="24"/>
          <w:szCs w:val="24"/>
          <w:rtl/>
        </w:rPr>
        <w:t>المرافق</w:t>
      </w:r>
      <w:r w:rsidRPr="00E95C84">
        <w:rPr>
          <w:rFonts w:ascii="Simplified Arabic" w:hAnsi="Simplified Arabic" w:cs="Simplified Arabic"/>
          <w:sz w:val="24"/>
          <w:szCs w:val="24"/>
          <w:rtl/>
        </w:rPr>
        <w:t xml:space="preserve"> الصحية.</w:t>
      </w:r>
      <w:r w:rsidRPr="00E53FE3">
        <w:rPr>
          <w:rFonts w:ascii="Simplified Arabic" w:hAnsi="Simplified Arabic" w:cs="Simplified Arabic" w:hint="cs"/>
          <w:sz w:val="24"/>
          <w:szCs w:val="24"/>
          <w:rtl/>
          <w:lang w:val="en-US" w:bidi="ar-DZ"/>
        </w:rPr>
        <w:t xml:space="preserve"> </w:t>
      </w:r>
    </w:p>
    <w:p w:rsidR="00E53FE3" w:rsidRPr="0030761A" w:rsidRDefault="00E53FE3" w:rsidP="00E53FE3">
      <w:pPr>
        <w:bidi/>
        <w:spacing w:after="0"/>
        <w:jc w:val="both"/>
        <w:rPr>
          <w:rFonts w:ascii="Simplified Arabic" w:hAnsi="Simplified Arabic" w:cs="Simplified Arabic"/>
          <w:sz w:val="24"/>
          <w:szCs w:val="24"/>
          <w:lang w:bidi="ar-DZ"/>
        </w:rPr>
      </w:pPr>
      <w:r>
        <w:rPr>
          <w:rFonts w:ascii="Simplified Arabic" w:hAnsi="Simplified Arabic" w:cs="Simplified Arabic" w:hint="cs"/>
          <w:sz w:val="24"/>
          <w:szCs w:val="24"/>
          <w:rtl/>
          <w:lang w:val="en-US" w:bidi="ar-DZ"/>
        </w:rPr>
        <w:t>* ت</w:t>
      </w:r>
      <w:r w:rsidRPr="00AA0720">
        <w:rPr>
          <w:rFonts w:ascii="Simplified Arabic" w:hAnsi="Simplified Arabic" w:cs="Simplified Arabic" w:hint="cs"/>
          <w:sz w:val="24"/>
          <w:szCs w:val="24"/>
          <w:rtl/>
          <w:lang w:val="en-US" w:bidi="ar-DZ"/>
        </w:rPr>
        <w:t>حد</w:t>
      </w:r>
      <w:r>
        <w:rPr>
          <w:rFonts w:ascii="Simplified Arabic" w:hAnsi="Simplified Arabic" w:cs="Simplified Arabic" w:hint="cs"/>
          <w:sz w:val="24"/>
          <w:szCs w:val="24"/>
          <w:rtl/>
          <w:lang w:val="en-US" w:bidi="ar-DZ"/>
        </w:rPr>
        <w:t>ي</w:t>
      </w:r>
      <w:r w:rsidRPr="00AA0720">
        <w:rPr>
          <w:rFonts w:ascii="Simplified Arabic" w:hAnsi="Simplified Arabic" w:cs="Simplified Arabic" w:hint="cs"/>
          <w:sz w:val="24"/>
          <w:szCs w:val="24"/>
          <w:rtl/>
          <w:lang w:val="en-US" w:bidi="ar-DZ"/>
        </w:rPr>
        <w:t>د</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نطاقات</w:t>
      </w:r>
      <w:r w:rsidRPr="00AA0720">
        <w:rPr>
          <w:rFonts w:ascii="Simplified Arabic" w:hAnsi="Simplified Arabic" w:cs="Simplified Arabic"/>
          <w:sz w:val="24"/>
          <w:szCs w:val="24"/>
          <w:rtl/>
          <w:lang w:val="en-US" w:bidi="ar-DZ"/>
        </w:rPr>
        <w:t xml:space="preserve"> </w:t>
      </w:r>
      <w:r w:rsidRPr="00AA0720">
        <w:rPr>
          <w:rFonts w:ascii="Simplified Arabic" w:hAnsi="Simplified Arabic" w:cs="Simplified Arabic" w:hint="cs"/>
          <w:sz w:val="24"/>
          <w:szCs w:val="24"/>
          <w:rtl/>
          <w:lang w:val="en-US" w:bidi="ar-DZ"/>
        </w:rPr>
        <w:t>مقبولة</w:t>
      </w:r>
      <w:r w:rsidRPr="00AA0720">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للوصول الى مراكز الخدمات الصحية.</w:t>
      </w:r>
    </w:p>
    <w:p w:rsidR="00F84BFD" w:rsidRDefault="00F84BFD" w:rsidP="00241BC3">
      <w:pPr>
        <w:autoSpaceDE w:val="0"/>
        <w:autoSpaceDN w:val="0"/>
        <w:bidi/>
        <w:adjustRightInd w:val="0"/>
        <w:spacing w:before="240" w:after="0" w:line="240" w:lineRule="auto"/>
        <w:rPr>
          <w:rFonts w:ascii="Simplified Arabic" w:hAnsi="Simplified Arabic" w:cs="Simplified Arabic"/>
          <w:sz w:val="24"/>
          <w:szCs w:val="24"/>
          <w:rtl/>
          <w:lang w:val="en-US" w:bidi="ar-DZ"/>
        </w:rPr>
      </w:pPr>
      <w:r w:rsidRPr="000A1DE0">
        <w:rPr>
          <w:rFonts w:ascii="Simplified Arabic" w:hAnsi="Simplified Arabic" w:cs="Simplified Arabic" w:hint="cs"/>
          <w:b/>
          <w:bCs/>
          <w:sz w:val="24"/>
          <w:szCs w:val="24"/>
          <w:rtl/>
          <w:lang w:val="en-US" w:bidi="ar-DZ"/>
        </w:rPr>
        <w:t>المبدأ</w:t>
      </w:r>
      <w:r w:rsidRPr="000A1DE0">
        <w:rPr>
          <w:rFonts w:ascii="Simplified Arabic" w:hAnsi="Simplified Arabic" w:cs="Simplified Arabic"/>
          <w:b/>
          <w:bCs/>
          <w:sz w:val="24"/>
          <w:szCs w:val="24"/>
          <w:rtl/>
          <w:lang w:val="en-US" w:bidi="ar-DZ"/>
        </w:rPr>
        <w:t xml:space="preserve"> 03: </w:t>
      </w:r>
      <w:r w:rsidRPr="000A1DE0">
        <w:rPr>
          <w:rFonts w:ascii="Simplified Arabic" w:hAnsi="Simplified Arabic" w:cs="Simplified Arabic" w:hint="cs"/>
          <w:b/>
          <w:bCs/>
          <w:sz w:val="24"/>
          <w:szCs w:val="24"/>
          <w:rtl/>
          <w:lang w:val="en-US" w:bidi="ar-DZ"/>
        </w:rPr>
        <w:t>تعزيز</w:t>
      </w:r>
      <w:r w:rsidRPr="000A1DE0">
        <w:rPr>
          <w:rFonts w:ascii="Simplified Arabic" w:hAnsi="Simplified Arabic" w:cs="Simplified Arabic"/>
          <w:b/>
          <w:bCs/>
          <w:sz w:val="24"/>
          <w:szCs w:val="24"/>
          <w:rtl/>
          <w:lang w:val="en-US" w:bidi="ar-DZ"/>
        </w:rPr>
        <w:t xml:space="preserve"> </w:t>
      </w:r>
      <w:r>
        <w:rPr>
          <w:rFonts w:ascii="Simplified Arabic" w:hAnsi="Simplified Arabic" w:cs="Simplified Arabic" w:hint="cs"/>
          <w:b/>
          <w:bCs/>
          <w:sz w:val="24"/>
          <w:szCs w:val="24"/>
          <w:rtl/>
          <w:lang w:val="en-US" w:bidi="ar-DZ"/>
        </w:rPr>
        <w:t>اتصال الشبكة</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المكاني</w:t>
      </w:r>
      <w:r w:rsidRPr="00F84BFD">
        <w:rPr>
          <w:rFonts w:ascii="Simplified Arabic" w:hAnsi="Simplified Arabic" w:cs="Simplified Arabic" w:hint="cs"/>
          <w:sz w:val="24"/>
          <w:szCs w:val="24"/>
          <w:rtl/>
          <w:lang w:val="en-US" w:bidi="ar-DZ"/>
        </w:rPr>
        <w:t xml:space="preserve"> </w:t>
      </w:r>
    </w:p>
    <w:p w:rsidR="00F84BFD" w:rsidRDefault="00FF179E" w:rsidP="00B43F8D">
      <w:pPr>
        <w:autoSpaceDE w:val="0"/>
        <w:autoSpaceDN w:val="0"/>
        <w:bidi/>
        <w:adjustRightInd w:val="0"/>
        <w:ind w:firstLine="283"/>
        <w:jc w:val="both"/>
        <w:rPr>
          <w:rFonts w:ascii="Simplified Arabic" w:hAnsi="Simplified Arabic" w:cs="Simplified Arabic"/>
          <w:sz w:val="24"/>
          <w:szCs w:val="24"/>
          <w:rtl/>
          <w:lang w:val="en-US" w:bidi="ar-DZ"/>
        </w:rPr>
      </w:pPr>
      <w:r w:rsidRPr="00A45C63">
        <w:rPr>
          <w:rFonts w:ascii="Simplified Arabic" w:hAnsi="Simplified Arabic" w:cs="Simplified Arabic" w:hint="cs"/>
          <w:color w:val="000000" w:themeColor="text1"/>
          <w:sz w:val="24"/>
          <w:szCs w:val="24"/>
          <w:rtl/>
          <w:lang w:val="en-US"/>
        </w:rPr>
        <w:t>تعزيز</w:t>
      </w:r>
      <w:r w:rsidRPr="00A45C63">
        <w:rPr>
          <w:rFonts w:ascii="Simplified Arabic" w:hAnsi="Simplified Arabic" w:cs="Simplified Arabic"/>
          <w:color w:val="000000" w:themeColor="text1"/>
          <w:sz w:val="24"/>
          <w:szCs w:val="24"/>
          <w:rtl/>
          <w:lang w:val="en-US"/>
        </w:rPr>
        <w:t xml:space="preserve"> </w:t>
      </w:r>
      <w:r>
        <w:rPr>
          <w:rFonts w:ascii="Simplified Arabic" w:hAnsi="Simplified Arabic" w:cs="Simplified Arabic" w:hint="cs"/>
          <w:color w:val="000000" w:themeColor="text1"/>
          <w:sz w:val="24"/>
          <w:szCs w:val="24"/>
          <w:rtl/>
          <w:lang w:val="en-US"/>
        </w:rPr>
        <w:t>و</w:t>
      </w:r>
      <w:r w:rsidRPr="00A45C63">
        <w:rPr>
          <w:rFonts w:ascii="Simplified Arabic" w:hAnsi="Simplified Arabic" w:cs="Simplified Arabic" w:hint="cs"/>
          <w:color w:val="000000" w:themeColor="text1"/>
          <w:sz w:val="24"/>
          <w:szCs w:val="24"/>
          <w:rtl/>
          <w:lang w:val="en-US"/>
        </w:rPr>
        <w:t>تحسين</w:t>
      </w:r>
      <w:r w:rsidRPr="00A45C63">
        <w:rPr>
          <w:rFonts w:ascii="Simplified Arabic" w:hAnsi="Simplified Arabic" w:cs="Simplified Arabic"/>
          <w:color w:val="000000" w:themeColor="text1"/>
          <w:sz w:val="24"/>
          <w:szCs w:val="24"/>
          <w:rtl/>
          <w:lang w:val="en-US"/>
        </w:rPr>
        <w:t xml:space="preserve"> </w:t>
      </w:r>
      <w:r w:rsidRPr="00A45C63">
        <w:rPr>
          <w:rFonts w:ascii="Simplified Arabic" w:hAnsi="Simplified Arabic" w:cs="Simplified Arabic" w:hint="cs"/>
          <w:color w:val="000000" w:themeColor="text1"/>
          <w:sz w:val="24"/>
          <w:szCs w:val="24"/>
          <w:rtl/>
          <w:lang w:val="en-US"/>
        </w:rPr>
        <w:t>إمكانية</w:t>
      </w:r>
      <w:r w:rsidRPr="00A45C63">
        <w:rPr>
          <w:rFonts w:ascii="Simplified Arabic" w:hAnsi="Simplified Arabic" w:cs="Simplified Arabic"/>
          <w:color w:val="000000" w:themeColor="text1"/>
          <w:sz w:val="24"/>
          <w:szCs w:val="24"/>
          <w:rtl/>
          <w:lang w:val="en-US"/>
        </w:rPr>
        <w:t xml:space="preserve"> </w:t>
      </w:r>
      <w:r w:rsidRPr="00A45C63">
        <w:rPr>
          <w:rFonts w:ascii="Simplified Arabic" w:hAnsi="Simplified Arabic" w:cs="Simplified Arabic" w:hint="cs"/>
          <w:color w:val="000000" w:themeColor="text1"/>
          <w:sz w:val="24"/>
          <w:szCs w:val="24"/>
          <w:rtl/>
          <w:lang w:val="en-US"/>
        </w:rPr>
        <w:t>الوصول</w:t>
      </w:r>
      <w:r w:rsidRPr="00A45C63">
        <w:rPr>
          <w:rFonts w:ascii="Simplified Arabic" w:hAnsi="Simplified Arabic" w:cs="Simplified Arabic"/>
          <w:color w:val="000000" w:themeColor="text1"/>
          <w:sz w:val="24"/>
          <w:szCs w:val="24"/>
          <w:rtl/>
          <w:lang w:val="en-US"/>
        </w:rPr>
        <w:t xml:space="preserve"> </w:t>
      </w:r>
      <w:r w:rsidRPr="00A45C63">
        <w:rPr>
          <w:rFonts w:ascii="Simplified Arabic" w:hAnsi="Simplified Arabic" w:cs="Simplified Arabic" w:hint="cs"/>
          <w:color w:val="000000" w:themeColor="text1"/>
          <w:sz w:val="24"/>
          <w:szCs w:val="24"/>
          <w:rtl/>
          <w:lang w:val="en-US"/>
        </w:rPr>
        <w:t>إلى</w:t>
      </w:r>
      <w:r w:rsidRPr="00A45C63">
        <w:rPr>
          <w:rFonts w:ascii="Simplified Arabic" w:hAnsi="Simplified Arabic" w:cs="Simplified Arabic"/>
          <w:color w:val="000000" w:themeColor="text1"/>
          <w:sz w:val="24"/>
          <w:szCs w:val="24"/>
          <w:rtl/>
          <w:lang w:val="en-US"/>
        </w:rPr>
        <w:t xml:space="preserve"> </w:t>
      </w:r>
      <w:r w:rsidRPr="00A45C63">
        <w:rPr>
          <w:rFonts w:ascii="Simplified Arabic" w:hAnsi="Simplified Arabic" w:cs="Simplified Arabic" w:hint="cs"/>
          <w:color w:val="000000" w:themeColor="text1"/>
          <w:sz w:val="24"/>
          <w:szCs w:val="24"/>
          <w:rtl/>
          <w:lang w:val="en-US"/>
        </w:rPr>
        <w:t>الخدمات</w:t>
      </w:r>
      <w:r w:rsidRPr="00A45C63">
        <w:rPr>
          <w:rFonts w:ascii="Simplified Arabic" w:hAnsi="Simplified Arabic" w:cs="Simplified Arabic"/>
          <w:color w:val="000000" w:themeColor="text1"/>
          <w:sz w:val="24"/>
          <w:szCs w:val="24"/>
          <w:rtl/>
          <w:lang w:val="en-US"/>
        </w:rPr>
        <w:t xml:space="preserve"> </w:t>
      </w:r>
      <w:r w:rsidRPr="00A45C63">
        <w:rPr>
          <w:rFonts w:ascii="Simplified Arabic" w:hAnsi="Simplified Arabic" w:cs="Simplified Arabic" w:hint="cs"/>
          <w:color w:val="000000" w:themeColor="text1"/>
          <w:sz w:val="24"/>
          <w:szCs w:val="24"/>
          <w:rtl/>
          <w:lang w:val="en-US"/>
        </w:rPr>
        <w:t>والمرافق</w:t>
      </w:r>
      <w:r w:rsidRPr="00A45C63">
        <w:rPr>
          <w:rFonts w:ascii="Simplified Arabic" w:hAnsi="Simplified Arabic" w:cs="Simplified Arabic"/>
          <w:color w:val="000000" w:themeColor="text1"/>
          <w:sz w:val="24"/>
          <w:szCs w:val="24"/>
          <w:rtl/>
          <w:lang w:val="en-US"/>
        </w:rPr>
        <w:t xml:space="preserve"> </w:t>
      </w:r>
      <w:r w:rsidRPr="00A45C63">
        <w:rPr>
          <w:rFonts w:ascii="Simplified Arabic" w:hAnsi="Simplified Arabic" w:cs="Simplified Arabic" w:hint="cs"/>
          <w:color w:val="000000" w:themeColor="text1"/>
          <w:sz w:val="24"/>
          <w:szCs w:val="24"/>
          <w:rtl/>
          <w:lang w:val="en-US"/>
        </w:rPr>
        <w:t>في</w:t>
      </w:r>
      <w:r w:rsidRPr="00A45C63">
        <w:rPr>
          <w:rFonts w:ascii="Simplified Arabic" w:hAnsi="Simplified Arabic" w:cs="Simplified Arabic"/>
          <w:color w:val="000000" w:themeColor="text1"/>
          <w:sz w:val="24"/>
          <w:szCs w:val="24"/>
          <w:rtl/>
          <w:lang w:val="en-US"/>
        </w:rPr>
        <w:t xml:space="preserve"> </w:t>
      </w:r>
      <w:r w:rsidRPr="00A45C63">
        <w:rPr>
          <w:rFonts w:ascii="Simplified Arabic" w:hAnsi="Simplified Arabic" w:cs="Simplified Arabic" w:hint="cs"/>
          <w:color w:val="000000" w:themeColor="text1"/>
          <w:sz w:val="24"/>
          <w:szCs w:val="24"/>
          <w:rtl/>
          <w:lang w:val="en-US"/>
        </w:rPr>
        <w:t>حالة</w:t>
      </w:r>
      <w:r w:rsidRPr="00A45C63">
        <w:rPr>
          <w:rFonts w:ascii="Simplified Arabic" w:hAnsi="Simplified Arabic" w:cs="Simplified Arabic"/>
          <w:color w:val="000000" w:themeColor="text1"/>
          <w:sz w:val="24"/>
          <w:szCs w:val="24"/>
          <w:rtl/>
          <w:lang w:val="en-US"/>
        </w:rPr>
        <w:t xml:space="preserve"> </w:t>
      </w:r>
      <w:r w:rsidR="00B43F8D">
        <w:rPr>
          <w:rFonts w:ascii="Simplified Arabic" w:hAnsi="Simplified Arabic" w:cs="Simplified Arabic" w:hint="cs"/>
          <w:color w:val="000000" w:themeColor="text1"/>
          <w:sz w:val="24"/>
          <w:szCs w:val="24"/>
          <w:rtl/>
          <w:lang w:val="en-US"/>
        </w:rPr>
        <w:t>الاضطرابات</w:t>
      </w:r>
      <w:r>
        <w:rPr>
          <w:rFonts w:ascii="Simplified Arabic" w:hAnsi="Simplified Arabic" w:cs="Simplified Arabic" w:hint="cs"/>
          <w:color w:val="000000" w:themeColor="text1"/>
          <w:sz w:val="24"/>
          <w:szCs w:val="24"/>
          <w:rtl/>
          <w:lang w:val="en-US"/>
        </w:rPr>
        <w:t xml:space="preserve"> </w:t>
      </w:r>
      <w:r w:rsidR="00B43F8D">
        <w:rPr>
          <w:rFonts w:ascii="Simplified Arabic" w:hAnsi="Simplified Arabic" w:cs="Simplified Arabic" w:hint="cs"/>
          <w:color w:val="000000" w:themeColor="text1"/>
          <w:sz w:val="24"/>
          <w:szCs w:val="24"/>
          <w:rtl/>
          <w:lang w:val="en-US"/>
        </w:rPr>
        <w:t>و</w:t>
      </w:r>
      <w:r w:rsidR="00F84BFD" w:rsidRPr="00F72D50">
        <w:rPr>
          <w:rFonts w:ascii="Simplified Arabic" w:hAnsi="Simplified Arabic" w:cs="Simplified Arabic" w:hint="cs"/>
          <w:sz w:val="24"/>
          <w:szCs w:val="24"/>
          <w:rtl/>
          <w:lang w:val="en-US" w:bidi="ar-DZ"/>
        </w:rPr>
        <w:t>نظام</w:t>
      </w:r>
      <w:r w:rsidR="00F84BFD" w:rsidRPr="00F72D50">
        <w:rPr>
          <w:rFonts w:ascii="Simplified Arabic" w:hAnsi="Simplified Arabic" w:cs="Simplified Arabic"/>
          <w:sz w:val="24"/>
          <w:szCs w:val="24"/>
          <w:rtl/>
          <w:lang w:val="en-US" w:bidi="ar-DZ"/>
        </w:rPr>
        <w:t xml:space="preserve"> </w:t>
      </w:r>
      <w:r w:rsidR="00BE3780">
        <w:rPr>
          <w:rFonts w:ascii="Simplified Arabic" w:hAnsi="Simplified Arabic" w:cs="Simplified Arabic" w:hint="cs"/>
          <w:sz w:val="24"/>
          <w:szCs w:val="24"/>
          <w:rtl/>
          <w:lang w:val="en-US" w:bidi="ar-DZ"/>
        </w:rPr>
        <w:t xml:space="preserve">شبكة طرق </w:t>
      </w:r>
      <w:r w:rsidR="00F84BFD" w:rsidRPr="00F72D50">
        <w:rPr>
          <w:rFonts w:ascii="Simplified Arabic" w:hAnsi="Simplified Arabic" w:cs="Simplified Arabic" w:hint="cs"/>
          <w:sz w:val="24"/>
          <w:szCs w:val="24"/>
          <w:rtl/>
          <w:lang w:val="en-US" w:bidi="ar-DZ"/>
        </w:rPr>
        <w:t>يوفر</w:t>
      </w:r>
      <w:r w:rsidR="00F84BFD" w:rsidRPr="00F72D50">
        <w:rPr>
          <w:rFonts w:ascii="Simplified Arabic" w:hAnsi="Simplified Arabic" w:cs="Simplified Arabic"/>
          <w:sz w:val="24"/>
          <w:szCs w:val="24"/>
          <w:rtl/>
          <w:lang w:val="en-US" w:bidi="ar-DZ"/>
        </w:rPr>
        <w:t xml:space="preserve"> </w:t>
      </w:r>
      <w:r w:rsidR="00F02A93">
        <w:rPr>
          <w:rFonts w:ascii="Simplified Arabic" w:hAnsi="Simplified Arabic" w:cs="Simplified Arabic" w:hint="cs"/>
          <w:sz w:val="24"/>
          <w:szCs w:val="24"/>
          <w:rtl/>
          <w:lang w:val="en-US" w:bidi="ar-DZ"/>
        </w:rPr>
        <w:t>طرق رئيسية مهيكلة تجعل الاحياء السكنية اكثر احتواء</w:t>
      </w:r>
      <w:r w:rsidR="00F84BFD" w:rsidRPr="00F72D50">
        <w:rPr>
          <w:rFonts w:ascii="Simplified Arabic" w:hAnsi="Simplified Arabic" w:cs="Simplified Arabic"/>
          <w:sz w:val="24"/>
          <w:szCs w:val="24"/>
          <w:rtl/>
          <w:lang w:val="en-US" w:bidi="ar-DZ"/>
        </w:rPr>
        <w:t xml:space="preserve"> </w:t>
      </w:r>
      <w:r w:rsidR="00F02A93">
        <w:rPr>
          <w:rFonts w:ascii="Simplified Arabic" w:hAnsi="Simplified Arabic" w:cs="Simplified Arabic" w:hint="cs"/>
          <w:sz w:val="24"/>
          <w:szCs w:val="24"/>
          <w:rtl/>
          <w:lang w:val="en-US" w:bidi="ar-DZ"/>
        </w:rPr>
        <w:t>و</w:t>
      </w:r>
      <w:r w:rsidR="00F84BFD" w:rsidRPr="00F72D50">
        <w:rPr>
          <w:rFonts w:ascii="Simplified Arabic" w:hAnsi="Simplified Arabic" w:cs="Simplified Arabic" w:hint="cs"/>
          <w:sz w:val="24"/>
          <w:szCs w:val="24"/>
          <w:rtl/>
          <w:lang w:val="en-US" w:bidi="ar-DZ"/>
        </w:rPr>
        <w:t>تربط</w:t>
      </w:r>
      <w:r w:rsidR="00F84BFD" w:rsidRPr="00F72D50">
        <w:rPr>
          <w:rFonts w:ascii="Simplified Arabic" w:hAnsi="Simplified Arabic" w:cs="Simplified Arabic"/>
          <w:sz w:val="24"/>
          <w:szCs w:val="24"/>
          <w:rtl/>
          <w:lang w:val="en-US" w:bidi="ar-DZ"/>
        </w:rPr>
        <w:t xml:space="preserve"> </w:t>
      </w:r>
      <w:r w:rsidR="00F02A93">
        <w:rPr>
          <w:rFonts w:ascii="Simplified Arabic" w:hAnsi="Simplified Arabic" w:cs="Simplified Arabic" w:hint="cs"/>
          <w:sz w:val="24"/>
          <w:szCs w:val="24"/>
          <w:rtl/>
          <w:lang w:val="en-US" w:bidi="ar-DZ"/>
        </w:rPr>
        <w:t>مناطق المدينة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ببعضها</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البعض،</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مما</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يعزز</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حرية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أكبر</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في</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الاختيار</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بين</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الوجهات</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والمسار</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المفضل</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للوصول</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إليها</w:t>
      </w:r>
      <w:r w:rsidR="00F84BFD" w:rsidRPr="00F72D50">
        <w:rPr>
          <w:rFonts w:ascii="Simplified Arabic" w:hAnsi="Simplified Arabic" w:cs="Simplified Arabic"/>
          <w:sz w:val="24"/>
          <w:szCs w:val="24"/>
          <w:rtl/>
          <w:lang w:val="en-US" w:bidi="ar-DZ"/>
        </w:rPr>
        <w:t>.</w:t>
      </w:r>
      <w:r w:rsidR="00F84BFD" w:rsidRPr="006F7F44">
        <w:rPr>
          <w:rFonts w:ascii="Simplified Arabic" w:hAnsi="Simplified Arabic" w:cs="Simplified Arabic" w:hint="cs"/>
          <w:sz w:val="24"/>
          <w:szCs w:val="24"/>
          <w:rtl/>
          <w:lang w:val="en-US" w:bidi="ar-DZ"/>
        </w:rPr>
        <w:t xml:space="preserve"> </w:t>
      </w:r>
    </w:p>
    <w:p w:rsidR="00E53FE3" w:rsidRPr="00E53FE3" w:rsidRDefault="00E53FE3" w:rsidP="00E53FE3">
      <w:pPr>
        <w:pStyle w:val="Paragraphedeliste"/>
        <w:numPr>
          <w:ilvl w:val="0"/>
          <w:numId w:val="277"/>
        </w:numPr>
        <w:bidi/>
        <w:spacing w:after="0"/>
        <w:ind w:left="0" w:firstLine="283"/>
        <w:jc w:val="both"/>
        <w:rPr>
          <w:rFonts w:ascii="Simplified Arabic" w:hAnsi="Simplified Arabic" w:cs="Simplified Arabic"/>
          <w:b/>
          <w:bCs/>
          <w:sz w:val="24"/>
          <w:szCs w:val="24"/>
          <w:rtl/>
          <w:lang w:val="en-US" w:bidi="ar-DZ"/>
        </w:rPr>
      </w:pPr>
      <w:r w:rsidRPr="00E53FE3">
        <w:rPr>
          <w:rFonts w:ascii="Simplified Arabic" w:hAnsi="Simplified Arabic" w:cs="Simplified Arabic" w:hint="cs"/>
          <w:b/>
          <w:bCs/>
          <w:sz w:val="24"/>
          <w:szCs w:val="24"/>
          <w:rtl/>
          <w:lang w:val="en-US" w:bidi="ar-DZ"/>
        </w:rPr>
        <w:t>توصيات</w:t>
      </w:r>
      <w:r w:rsidRPr="00E53FE3">
        <w:rPr>
          <w:rFonts w:ascii="Simplified Arabic" w:hAnsi="Simplified Arabic" w:cs="Simplified Arabic"/>
          <w:b/>
          <w:bCs/>
          <w:sz w:val="24"/>
          <w:szCs w:val="24"/>
          <w:rtl/>
          <w:lang w:val="en-US" w:bidi="ar-DZ"/>
        </w:rPr>
        <w:t xml:space="preserve"> </w:t>
      </w:r>
      <w:r w:rsidRPr="00E53FE3">
        <w:rPr>
          <w:rFonts w:ascii="Simplified Arabic" w:hAnsi="Simplified Arabic" w:cs="Simplified Arabic" w:hint="cs"/>
          <w:b/>
          <w:bCs/>
          <w:sz w:val="24"/>
          <w:szCs w:val="24"/>
          <w:rtl/>
          <w:lang w:val="en-US" w:bidi="ar-DZ"/>
        </w:rPr>
        <w:t xml:space="preserve">التصميم: </w:t>
      </w:r>
    </w:p>
    <w:p w:rsidR="00E53FE3" w:rsidRDefault="00E53FE3" w:rsidP="00E53FE3">
      <w:pPr>
        <w:bidi/>
        <w:spacing w:after="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يجب ان تضم شبكة الطرق على </w:t>
      </w:r>
      <w:r w:rsidRPr="00DB66BC">
        <w:rPr>
          <w:rFonts w:ascii="Simplified Arabic" w:hAnsi="Simplified Arabic" w:cs="Simplified Arabic" w:hint="cs"/>
          <w:sz w:val="24"/>
          <w:szCs w:val="24"/>
          <w:rtl/>
          <w:lang w:bidi="ar-DZ"/>
        </w:rPr>
        <w:t>العديد</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من</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الشوارع</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الرئيسية</w:t>
      </w:r>
      <w:r w:rsidRPr="00DB66BC">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الثانوية </w:t>
      </w:r>
      <w:r w:rsidRPr="00DB66BC">
        <w:rPr>
          <w:rFonts w:ascii="Simplified Arabic" w:hAnsi="Simplified Arabic" w:cs="Simplified Arabic" w:hint="cs"/>
          <w:sz w:val="24"/>
          <w:szCs w:val="24"/>
          <w:rtl/>
          <w:lang w:bidi="ar-DZ"/>
        </w:rPr>
        <w:t>تربط</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المناطق</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والأحياء،</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وعدد</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كبير</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من</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الشوارع</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المحلية</w:t>
      </w:r>
      <w:r w:rsidRPr="00DB66BC">
        <w:rPr>
          <w:rFonts w:ascii="Simplified Arabic" w:hAnsi="Simplified Arabic" w:cs="Simplified Arabic"/>
          <w:sz w:val="24"/>
          <w:szCs w:val="24"/>
          <w:rtl/>
          <w:lang w:bidi="ar-DZ"/>
        </w:rPr>
        <w:t xml:space="preserve"> </w:t>
      </w:r>
      <w:r w:rsidRPr="00DB66BC">
        <w:rPr>
          <w:rFonts w:ascii="Simplified Arabic" w:hAnsi="Simplified Arabic" w:cs="Simplified Arabic" w:hint="cs"/>
          <w:sz w:val="24"/>
          <w:szCs w:val="24"/>
          <w:rtl/>
          <w:lang w:bidi="ar-DZ"/>
        </w:rPr>
        <w:t>الكثيفة</w:t>
      </w:r>
      <w:r w:rsidRPr="00DB66BC">
        <w:rPr>
          <w:rFonts w:ascii="Simplified Arabic" w:hAnsi="Simplified Arabic" w:cs="Simplified Arabic"/>
          <w:sz w:val="24"/>
          <w:szCs w:val="24"/>
          <w:rtl/>
          <w:lang w:bidi="ar-DZ"/>
        </w:rPr>
        <w:t>.</w:t>
      </w:r>
    </w:p>
    <w:p w:rsidR="00E53FE3" w:rsidRDefault="00E53FE3" w:rsidP="00E53FE3">
      <w:pPr>
        <w:bidi/>
        <w:spacing w:after="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w:t>
      </w:r>
      <w:r w:rsidRPr="008A2302">
        <w:rPr>
          <w:rFonts w:ascii="Simplified Arabic" w:hAnsi="Simplified Arabic" w:cs="Simplified Arabic" w:hint="cs"/>
          <w:sz w:val="24"/>
          <w:szCs w:val="24"/>
          <w:rtl/>
          <w:lang w:bidi="ar-DZ"/>
        </w:rPr>
        <w:t>يجب</w:t>
      </w:r>
      <w:r w:rsidRPr="008A230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تقليل</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المسافة</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بين</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التقاطعات</w:t>
      </w:r>
      <w:r w:rsidRPr="008A230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لتقليل عمق الطرق وتسهيل الحركة</w:t>
      </w:r>
      <w:r w:rsidRPr="008A2302">
        <w:rPr>
          <w:rFonts w:ascii="Simplified Arabic" w:hAnsi="Simplified Arabic" w:cs="Simplified Arabic"/>
          <w:sz w:val="24"/>
          <w:szCs w:val="24"/>
          <w:rtl/>
          <w:lang w:bidi="ar-DZ"/>
        </w:rPr>
        <w:t>.</w:t>
      </w:r>
    </w:p>
    <w:p w:rsidR="00E53FE3" w:rsidRDefault="00E53FE3" w:rsidP="002F3AF2">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 </w:t>
      </w:r>
      <w:r w:rsidRPr="007C5CB7">
        <w:rPr>
          <w:rFonts w:ascii="Simplified Arabic" w:hAnsi="Simplified Arabic" w:cs="Simplified Arabic" w:hint="cs"/>
          <w:sz w:val="24"/>
          <w:szCs w:val="24"/>
          <w:rtl/>
          <w:lang w:val="en-US" w:bidi="ar-DZ"/>
        </w:rPr>
        <w:t>يجب</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تفضيل</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حواف</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الشوارع</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المباشرة</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في</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المناطق</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التي</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تستضيف</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أو</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من</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المتوقع</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أن</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تستضيف</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استخدامات</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ذات</w:t>
      </w:r>
      <w:r w:rsidRPr="007C5CB7">
        <w:rPr>
          <w:rFonts w:ascii="Simplified Arabic" w:hAnsi="Simplified Arabic" w:cs="Simplified Arabic"/>
          <w:sz w:val="24"/>
          <w:szCs w:val="24"/>
          <w:rtl/>
          <w:lang w:val="en-US" w:bidi="ar-DZ"/>
        </w:rPr>
        <w:t xml:space="preserve"> </w:t>
      </w:r>
      <w:r w:rsidRPr="007C5CB7">
        <w:rPr>
          <w:rFonts w:ascii="Simplified Arabic" w:hAnsi="Simplified Arabic" w:cs="Simplified Arabic" w:hint="cs"/>
          <w:sz w:val="24"/>
          <w:szCs w:val="24"/>
          <w:rtl/>
          <w:lang w:val="en-US" w:bidi="ar-DZ"/>
        </w:rPr>
        <w:t>طابع</w:t>
      </w:r>
      <w:r w:rsidRPr="007C5CB7">
        <w:rPr>
          <w:rFonts w:ascii="Simplified Arabic" w:hAnsi="Simplified Arabic" w:cs="Simplified Arabic"/>
          <w:sz w:val="24"/>
          <w:szCs w:val="24"/>
          <w:rtl/>
          <w:lang w:val="en-US" w:bidi="ar-DZ"/>
        </w:rPr>
        <w:t xml:space="preserve"> </w:t>
      </w:r>
      <w:r w:rsidR="002F3AF2">
        <w:rPr>
          <w:rFonts w:ascii="Simplified Arabic" w:hAnsi="Simplified Arabic" w:cs="Simplified Arabic" w:hint="cs"/>
          <w:sz w:val="24"/>
          <w:szCs w:val="24"/>
          <w:rtl/>
          <w:lang w:val="en-US" w:bidi="ar-DZ"/>
        </w:rPr>
        <w:t>عمومي</w:t>
      </w:r>
      <w:r w:rsidRPr="007C5CB7">
        <w:rPr>
          <w:rFonts w:ascii="Simplified Arabic" w:hAnsi="Simplified Arabic" w:cs="Simplified Arabic"/>
          <w:sz w:val="24"/>
          <w:szCs w:val="24"/>
          <w:rtl/>
          <w:lang w:val="en-US" w:bidi="ar-DZ"/>
        </w:rPr>
        <w:t>.</w:t>
      </w:r>
      <w:r w:rsidRPr="00E53FE3">
        <w:rPr>
          <w:rFonts w:ascii="Simplified Arabic" w:hAnsi="Simplified Arabic" w:cs="Simplified Arabic" w:hint="cs"/>
          <w:sz w:val="24"/>
          <w:szCs w:val="24"/>
          <w:rtl/>
          <w:lang w:val="en-US" w:bidi="ar-DZ"/>
        </w:rPr>
        <w:t xml:space="preserve"> </w:t>
      </w:r>
    </w:p>
    <w:p w:rsidR="00E53FE3" w:rsidRDefault="00E53FE3" w:rsidP="00E53FE3">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 </w:t>
      </w:r>
      <w:r w:rsidRPr="008A2302">
        <w:rPr>
          <w:rFonts w:ascii="Simplified Arabic" w:hAnsi="Simplified Arabic" w:cs="Simplified Arabic" w:hint="cs"/>
          <w:sz w:val="24"/>
          <w:szCs w:val="24"/>
          <w:rtl/>
          <w:lang w:val="en-US" w:bidi="ar-DZ"/>
        </w:rPr>
        <w:t>الحد</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من</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الطرق</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المسدودة</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في</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مناطق</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محددة</w:t>
      </w:r>
      <w:r>
        <w:rPr>
          <w:rFonts w:ascii="Simplified Arabic" w:hAnsi="Simplified Arabic" w:cs="Simplified Arabic" w:hint="cs"/>
          <w:sz w:val="24"/>
          <w:szCs w:val="24"/>
          <w:rtl/>
          <w:lang w:val="en-US" w:bidi="ar-DZ"/>
        </w:rPr>
        <w:t>.</w:t>
      </w:r>
    </w:p>
    <w:p w:rsidR="00E53FE3" w:rsidRPr="00E53FE3" w:rsidRDefault="00E53FE3" w:rsidP="00E53FE3">
      <w:pPr>
        <w:autoSpaceDE w:val="0"/>
        <w:autoSpaceDN w:val="0"/>
        <w:bidi/>
        <w:adjustRightInd w:val="0"/>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 </w:t>
      </w:r>
      <w:r w:rsidRPr="008A2302">
        <w:rPr>
          <w:rFonts w:ascii="Simplified Arabic" w:hAnsi="Simplified Arabic" w:cs="Simplified Arabic" w:hint="cs"/>
          <w:sz w:val="24"/>
          <w:szCs w:val="24"/>
          <w:rtl/>
          <w:lang w:val="en-US" w:bidi="ar-DZ"/>
        </w:rPr>
        <w:t>تسهيل</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إمكانية</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تحو</w:t>
      </w:r>
      <w:r>
        <w:rPr>
          <w:rFonts w:ascii="Simplified Arabic" w:hAnsi="Simplified Arabic" w:cs="Simplified Arabic" w:hint="cs"/>
          <w:sz w:val="24"/>
          <w:szCs w:val="24"/>
          <w:rtl/>
          <w:lang w:val="en-US" w:bidi="ar-DZ"/>
        </w:rPr>
        <w:t>ي</w:t>
      </w:r>
      <w:r w:rsidRPr="008A2302">
        <w:rPr>
          <w:rFonts w:ascii="Simplified Arabic" w:hAnsi="Simplified Arabic" w:cs="Simplified Arabic" w:hint="cs"/>
          <w:sz w:val="24"/>
          <w:szCs w:val="24"/>
          <w:rtl/>
          <w:lang w:val="en-US" w:bidi="ar-DZ"/>
        </w:rPr>
        <w:t>ل</w:t>
      </w:r>
      <w:r w:rsidRPr="008A230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الطرق المسدودة </w:t>
      </w:r>
      <w:r w:rsidRPr="008A2302">
        <w:rPr>
          <w:rFonts w:ascii="Simplified Arabic" w:hAnsi="Simplified Arabic" w:cs="Simplified Arabic" w:hint="cs"/>
          <w:sz w:val="24"/>
          <w:szCs w:val="24"/>
          <w:rtl/>
          <w:lang w:val="en-US" w:bidi="ar-DZ"/>
        </w:rPr>
        <w:t>من</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اتجاه</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واحد</w:t>
      </w:r>
      <w:r>
        <w:rPr>
          <w:rFonts w:ascii="Simplified Arabic" w:hAnsi="Simplified Arabic" w:cs="Simplified Arabic" w:hint="cs"/>
          <w:sz w:val="24"/>
          <w:szCs w:val="24"/>
          <w:rtl/>
          <w:lang w:val="en-US" w:bidi="ar-DZ"/>
        </w:rPr>
        <w:t xml:space="preserve"> </w:t>
      </w:r>
      <w:r w:rsidRPr="008A2302">
        <w:rPr>
          <w:rFonts w:ascii="Simplified Arabic" w:hAnsi="Simplified Arabic" w:cs="Simplified Arabic" w:hint="cs"/>
          <w:sz w:val="24"/>
          <w:szCs w:val="24"/>
          <w:rtl/>
          <w:lang w:val="en-US" w:bidi="ar-DZ"/>
        </w:rPr>
        <w:t>إلى</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ثلاثة</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طرق</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أو</w:t>
      </w:r>
      <w:r w:rsidRPr="008A230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اكثر</w:t>
      </w:r>
      <w:r w:rsidRPr="008A2302">
        <w:rPr>
          <w:rFonts w:ascii="Simplified Arabic" w:hAnsi="Simplified Arabic" w:cs="Simplified Arabic"/>
          <w:sz w:val="24"/>
          <w:szCs w:val="24"/>
          <w:rtl/>
          <w:lang w:val="en-US" w:bidi="ar-DZ"/>
        </w:rPr>
        <w:t>.</w:t>
      </w:r>
    </w:p>
    <w:p w:rsidR="00F84BFD" w:rsidRDefault="00F84BFD" w:rsidP="002F3AF2">
      <w:pPr>
        <w:autoSpaceDE w:val="0"/>
        <w:autoSpaceDN w:val="0"/>
        <w:bidi/>
        <w:adjustRightInd w:val="0"/>
        <w:spacing w:before="240" w:after="0" w:line="240" w:lineRule="auto"/>
        <w:rPr>
          <w:rFonts w:ascii="Simplified Arabic" w:hAnsi="Simplified Arabic" w:cs="Simplified Arabic"/>
          <w:b/>
          <w:bCs/>
          <w:sz w:val="24"/>
          <w:szCs w:val="24"/>
          <w:rtl/>
          <w:lang w:val="en-US" w:bidi="ar-DZ"/>
        </w:rPr>
      </w:pPr>
      <w:r w:rsidRPr="000A1DE0">
        <w:rPr>
          <w:rFonts w:ascii="Simplified Arabic" w:hAnsi="Simplified Arabic" w:cs="Simplified Arabic" w:hint="cs"/>
          <w:b/>
          <w:bCs/>
          <w:sz w:val="24"/>
          <w:szCs w:val="24"/>
          <w:rtl/>
          <w:lang w:val="en-US" w:bidi="ar-DZ"/>
        </w:rPr>
        <w:t>المبدأ</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04</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تعزيز</w:t>
      </w:r>
      <w:r w:rsidRPr="000A1DE0">
        <w:rPr>
          <w:rFonts w:ascii="Simplified Arabic" w:hAnsi="Simplified Arabic" w:cs="Simplified Arabic"/>
          <w:b/>
          <w:bCs/>
          <w:sz w:val="24"/>
          <w:szCs w:val="24"/>
          <w:rtl/>
          <w:lang w:val="en-US" w:bidi="ar-DZ"/>
        </w:rPr>
        <w:t xml:space="preserve"> </w:t>
      </w:r>
      <w:r>
        <w:rPr>
          <w:rFonts w:ascii="Simplified Arabic" w:hAnsi="Simplified Arabic" w:cs="Simplified Arabic" w:hint="cs"/>
          <w:b/>
          <w:bCs/>
          <w:sz w:val="24"/>
          <w:szCs w:val="24"/>
          <w:rtl/>
          <w:lang w:val="en-US" w:bidi="ar-DZ"/>
        </w:rPr>
        <w:t>تكرار الشبكة</w:t>
      </w:r>
      <w:r w:rsidRPr="000A1DE0">
        <w:rPr>
          <w:rFonts w:ascii="Simplified Arabic" w:hAnsi="Simplified Arabic" w:cs="Simplified Arabic"/>
          <w:b/>
          <w:bCs/>
          <w:sz w:val="24"/>
          <w:szCs w:val="24"/>
          <w:rtl/>
          <w:lang w:val="en-US" w:bidi="ar-DZ"/>
        </w:rPr>
        <w:t xml:space="preserve"> </w:t>
      </w:r>
      <w:r w:rsidRPr="000A1DE0">
        <w:rPr>
          <w:rFonts w:ascii="Simplified Arabic" w:hAnsi="Simplified Arabic" w:cs="Simplified Arabic" w:hint="cs"/>
          <w:b/>
          <w:bCs/>
          <w:sz w:val="24"/>
          <w:szCs w:val="24"/>
          <w:rtl/>
          <w:lang w:val="en-US" w:bidi="ar-DZ"/>
        </w:rPr>
        <w:t>المكاني</w:t>
      </w:r>
    </w:p>
    <w:p w:rsidR="00F84BFD" w:rsidRDefault="00B43F8D" w:rsidP="00B43F8D">
      <w:pPr>
        <w:autoSpaceDE w:val="0"/>
        <w:autoSpaceDN w:val="0"/>
        <w:bidi/>
        <w:adjustRightInd w:val="0"/>
        <w:spacing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rPr>
        <w:t xml:space="preserve">يجب ان </w:t>
      </w:r>
      <w:r w:rsidR="001579F3">
        <w:rPr>
          <w:rFonts w:ascii="Simplified Arabic" w:hAnsi="Simplified Arabic" w:cs="Simplified Arabic" w:hint="cs"/>
          <w:sz w:val="24"/>
          <w:szCs w:val="24"/>
          <w:rtl/>
        </w:rPr>
        <w:t>ت</w:t>
      </w:r>
      <w:r w:rsidR="001579F3" w:rsidRPr="00CC78F0">
        <w:rPr>
          <w:rFonts w:ascii="Simplified Arabic" w:hAnsi="Simplified Arabic" w:cs="Simplified Arabic" w:hint="cs"/>
          <w:sz w:val="24"/>
          <w:szCs w:val="24"/>
          <w:rtl/>
        </w:rPr>
        <w:t>هدف</w:t>
      </w:r>
      <w:r w:rsidR="001579F3" w:rsidRPr="00CC78F0">
        <w:rPr>
          <w:rFonts w:ascii="Simplified Arabic" w:hAnsi="Simplified Arabic" w:cs="Simplified Arabic"/>
          <w:sz w:val="24"/>
          <w:szCs w:val="24"/>
          <w:rtl/>
        </w:rPr>
        <w:t xml:space="preserve"> </w:t>
      </w:r>
      <w:r w:rsidR="001579F3">
        <w:rPr>
          <w:rFonts w:ascii="Simplified Arabic" w:hAnsi="Simplified Arabic" w:cs="Simplified Arabic" w:hint="cs"/>
          <w:sz w:val="24"/>
          <w:szCs w:val="24"/>
          <w:rtl/>
        </w:rPr>
        <w:t>دراسة</w:t>
      </w:r>
      <w:r w:rsidR="001579F3" w:rsidRPr="006A60E6">
        <w:rPr>
          <w:rFonts w:ascii="Simplified Arabic" w:hAnsi="Simplified Arabic" w:cs="Simplified Arabic"/>
          <w:sz w:val="24"/>
          <w:szCs w:val="24"/>
          <w:rtl/>
        </w:rPr>
        <w:t xml:space="preserve"> </w:t>
      </w:r>
      <w:r w:rsidR="001579F3" w:rsidRPr="006A60E6">
        <w:rPr>
          <w:rFonts w:ascii="Simplified Arabic" w:hAnsi="Simplified Arabic" w:cs="Simplified Arabic" w:hint="cs"/>
          <w:sz w:val="24"/>
          <w:szCs w:val="24"/>
          <w:rtl/>
        </w:rPr>
        <w:t>التكرار</w:t>
      </w:r>
      <w:r w:rsidR="001579F3" w:rsidRPr="006A60E6">
        <w:rPr>
          <w:rFonts w:ascii="Simplified Arabic" w:hAnsi="Simplified Arabic" w:cs="Simplified Arabic"/>
          <w:sz w:val="24"/>
          <w:szCs w:val="24"/>
          <w:rtl/>
        </w:rPr>
        <w:t xml:space="preserve"> </w:t>
      </w:r>
      <w:r w:rsidR="001579F3">
        <w:rPr>
          <w:rFonts w:ascii="Simplified Arabic" w:hAnsi="Simplified Arabic" w:cs="Simplified Arabic" w:hint="cs"/>
          <w:sz w:val="24"/>
          <w:szCs w:val="24"/>
          <w:rtl/>
        </w:rPr>
        <w:t>ل</w:t>
      </w:r>
      <w:r w:rsidR="001579F3" w:rsidRPr="006A60E6">
        <w:rPr>
          <w:rFonts w:ascii="Simplified Arabic" w:hAnsi="Simplified Arabic" w:cs="Simplified Arabic" w:hint="cs"/>
          <w:sz w:val="24"/>
          <w:szCs w:val="24"/>
          <w:rtl/>
        </w:rPr>
        <w:t>لشبكات</w:t>
      </w:r>
      <w:r w:rsidR="001579F3" w:rsidRPr="006A60E6">
        <w:rPr>
          <w:rFonts w:ascii="Simplified Arabic" w:hAnsi="Simplified Arabic" w:cs="Simplified Arabic"/>
          <w:sz w:val="24"/>
          <w:szCs w:val="24"/>
          <w:rtl/>
        </w:rPr>
        <w:t xml:space="preserve"> </w:t>
      </w:r>
      <w:r w:rsidR="001579F3">
        <w:rPr>
          <w:rFonts w:ascii="Simplified Arabic" w:hAnsi="Simplified Arabic" w:cs="Simplified Arabic" w:hint="cs"/>
          <w:sz w:val="24"/>
          <w:szCs w:val="24"/>
          <w:rtl/>
        </w:rPr>
        <w:t xml:space="preserve">الى </w:t>
      </w:r>
      <w:r w:rsidR="001579F3" w:rsidRPr="00CC78F0">
        <w:rPr>
          <w:rFonts w:ascii="Simplified Arabic" w:hAnsi="Simplified Arabic" w:cs="Simplified Arabic" w:hint="cs"/>
          <w:sz w:val="24"/>
          <w:szCs w:val="24"/>
          <w:rtl/>
        </w:rPr>
        <w:t>قياس</w:t>
      </w:r>
      <w:r w:rsidR="001579F3" w:rsidRPr="00CC78F0">
        <w:rPr>
          <w:rFonts w:ascii="Simplified Arabic" w:hAnsi="Simplified Arabic" w:cs="Simplified Arabic"/>
          <w:sz w:val="24"/>
          <w:szCs w:val="24"/>
          <w:rtl/>
        </w:rPr>
        <w:t xml:space="preserve"> </w:t>
      </w:r>
      <w:r w:rsidR="001579F3" w:rsidRPr="00CC78F0">
        <w:rPr>
          <w:rFonts w:ascii="Simplified Arabic" w:hAnsi="Simplified Arabic" w:cs="Simplified Arabic" w:hint="cs"/>
          <w:sz w:val="24"/>
          <w:szCs w:val="24"/>
          <w:rtl/>
        </w:rPr>
        <w:t>قوة</w:t>
      </w:r>
      <w:r w:rsidR="001579F3" w:rsidRPr="00CC78F0">
        <w:rPr>
          <w:rFonts w:ascii="Simplified Arabic" w:hAnsi="Simplified Arabic" w:cs="Simplified Arabic"/>
          <w:sz w:val="24"/>
          <w:szCs w:val="24"/>
          <w:rtl/>
        </w:rPr>
        <w:t xml:space="preserve"> </w:t>
      </w:r>
      <w:r w:rsidR="001579F3" w:rsidRPr="00CC78F0">
        <w:rPr>
          <w:rFonts w:ascii="Simplified Arabic" w:hAnsi="Simplified Arabic" w:cs="Simplified Arabic" w:hint="cs"/>
          <w:sz w:val="24"/>
          <w:szCs w:val="24"/>
          <w:rtl/>
        </w:rPr>
        <w:t>شبكة</w:t>
      </w:r>
      <w:r w:rsidR="001579F3" w:rsidRPr="00CC78F0">
        <w:rPr>
          <w:rFonts w:ascii="Simplified Arabic" w:hAnsi="Simplified Arabic" w:cs="Simplified Arabic"/>
          <w:sz w:val="24"/>
          <w:szCs w:val="24"/>
          <w:rtl/>
        </w:rPr>
        <w:t xml:space="preserve"> </w:t>
      </w:r>
      <w:r w:rsidR="001579F3" w:rsidRPr="00CC78F0">
        <w:rPr>
          <w:rFonts w:ascii="Simplified Arabic" w:hAnsi="Simplified Arabic" w:cs="Simplified Arabic" w:hint="cs"/>
          <w:sz w:val="24"/>
          <w:szCs w:val="24"/>
          <w:rtl/>
        </w:rPr>
        <w:t>الطرق وموثوقيتها</w:t>
      </w:r>
      <w:r w:rsidR="001579F3" w:rsidRPr="00CC78F0">
        <w:rPr>
          <w:rFonts w:ascii="Simplified Arabic" w:hAnsi="Simplified Arabic" w:cs="Simplified Arabic"/>
          <w:sz w:val="24"/>
          <w:szCs w:val="24"/>
          <w:rtl/>
        </w:rPr>
        <w:t xml:space="preserve"> </w:t>
      </w:r>
      <w:r w:rsidR="001579F3" w:rsidRPr="00CC78F0">
        <w:rPr>
          <w:rFonts w:ascii="Simplified Arabic" w:hAnsi="Simplified Arabic" w:cs="Simplified Arabic" w:hint="cs"/>
          <w:sz w:val="24"/>
          <w:szCs w:val="24"/>
          <w:rtl/>
        </w:rPr>
        <w:t>ضد</w:t>
      </w:r>
      <w:r w:rsidR="001579F3" w:rsidRPr="00CC78F0">
        <w:rPr>
          <w:rFonts w:ascii="Simplified Arabic" w:hAnsi="Simplified Arabic" w:cs="Simplified Arabic"/>
          <w:sz w:val="24"/>
          <w:szCs w:val="24"/>
          <w:rtl/>
        </w:rPr>
        <w:t xml:space="preserve"> </w:t>
      </w:r>
      <w:r w:rsidR="001579F3" w:rsidRPr="00CC78F0">
        <w:rPr>
          <w:rFonts w:ascii="Simplified Arabic" w:hAnsi="Simplified Arabic" w:cs="Simplified Arabic" w:hint="cs"/>
          <w:sz w:val="24"/>
          <w:szCs w:val="24"/>
          <w:rtl/>
        </w:rPr>
        <w:t>الفشل</w:t>
      </w:r>
      <w:r w:rsidR="001579F3" w:rsidRPr="00CC78F0">
        <w:rPr>
          <w:rFonts w:ascii="Simplified Arabic" w:hAnsi="Simplified Arabic" w:cs="Simplified Arabic"/>
          <w:sz w:val="24"/>
          <w:szCs w:val="24"/>
          <w:rtl/>
        </w:rPr>
        <w:t xml:space="preserve"> </w:t>
      </w:r>
      <w:r>
        <w:rPr>
          <w:rFonts w:ascii="Simplified Arabic" w:hAnsi="Simplified Arabic" w:cs="Simplified Arabic" w:hint="cs"/>
          <w:sz w:val="24"/>
          <w:szCs w:val="24"/>
          <w:rtl/>
        </w:rPr>
        <w:t>و</w:t>
      </w:r>
      <w:r w:rsidR="001579F3">
        <w:rPr>
          <w:rFonts w:ascii="Simplified Arabic" w:hAnsi="Simplified Arabic" w:cs="Simplified Arabic" w:hint="cs"/>
          <w:sz w:val="24"/>
          <w:szCs w:val="24"/>
          <w:rtl/>
          <w:lang w:val="en-US" w:bidi="ar-DZ"/>
        </w:rPr>
        <w:t xml:space="preserve">هيكل طرق </w:t>
      </w:r>
      <w:r>
        <w:rPr>
          <w:rFonts w:ascii="Simplified Arabic" w:hAnsi="Simplified Arabic" w:cs="Simplified Arabic" w:hint="cs"/>
          <w:sz w:val="24"/>
          <w:szCs w:val="24"/>
          <w:rtl/>
          <w:lang w:val="en-US" w:bidi="ar-DZ"/>
        </w:rPr>
        <w:t xml:space="preserve">يوفر </w:t>
      </w:r>
      <w:r w:rsidR="00F84BFD" w:rsidRPr="00F72D50">
        <w:rPr>
          <w:rFonts w:ascii="Simplified Arabic" w:hAnsi="Simplified Arabic" w:cs="Simplified Arabic" w:hint="cs"/>
          <w:sz w:val="24"/>
          <w:szCs w:val="24"/>
          <w:rtl/>
          <w:lang w:val="en-US" w:bidi="ar-DZ"/>
        </w:rPr>
        <w:t>خيارات</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متداخلة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لتلبية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حاجة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معينة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ومسارات</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متعددة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تربط</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الأماكن</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ببعضها</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البعض،</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مما</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يعزز</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حرية</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أكبر</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في</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الاختيار</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بين</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الوجهات</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والمسار</w:t>
      </w:r>
      <w:r w:rsidR="001579F3">
        <w:rPr>
          <w:rFonts w:ascii="Simplified Arabic" w:hAnsi="Simplified Arabic" w:cs="Simplified Arabic" w:hint="cs"/>
          <w:sz w:val="24"/>
          <w:szCs w:val="24"/>
          <w:rtl/>
          <w:lang w:val="en-US" w:bidi="ar-DZ"/>
        </w:rPr>
        <w:t>ات</w:t>
      </w:r>
      <w:r w:rsidR="00F84BFD" w:rsidRPr="00F72D50">
        <w:rPr>
          <w:rFonts w:ascii="Simplified Arabic" w:hAnsi="Simplified Arabic" w:cs="Simplified Arabic"/>
          <w:sz w:val="24"/>
          <w:szCs w:val="24"/>
          <w:rtl/>
          <w:lang w:val="en-US" w:bidi="ar-DZ"/>
        </w:rPr>
        <w:t xml:space="preserve"> </w:t>
      </w:r>
      <w:r w:rsidR="0046080D">
        <w:rPr>
          <w:rFonts w:ascii="Simplified Arabic" w:hAnsi="Simplified Arabic" w:cs="Simplified Arabic" w:hint="cs"/>
          <w:sz w:val="24"/>
          <w:szCs w:val="24"/>
          <w:rtl/>
          <w:lang w:val="en-US" w:bidi="ar-DZ"/>
        </w:rPr>
        <w:t>التي ي</w:t>
      </w:r>
      <w:r w:rsidR="00F84BFD" w:rsidRPr="00F72D50">
        <w:rPr>
          <w:rFonts w:ascii="Simplified Arabic" w:hAnsi="Simplified Arabic" w:cs="Simplified Arabic" w:hint="cs"/>
          <w:sz w:val="24"/>
          <w:szCs w:val="24"/>
          <w:rtl/>
          <w:lang w:val="en-US" w:bidi="ar-DZ"/>
        </w:rPr>
        <w:t>فضل</w:t>
      </w:r>
      <w:r w:rsidR="00F84BFD" w:rsidRPr="00F72D50">
        <w:rPr>
          <w:rFonts w:ascii="Simplified Arabic" w:hAnsi="Simplified Arabic" w:cs="Simplified Arabic"/>
          <w:sz w:val="24"/>
          <w:szCs w:val="24"/>
          <w:rtl/>
          <w:lang w:val="en-US" w:bidi="ar-DZ"/>
        </w:rPr>
        <w:t xml:space="preserve"> </w:t>
      </w:r>
      <w:r w:rsidR="001579F3">
        <w:rPr>
          <w:rFonts w:ascii="Simplified Arabic" w:hAnsi="Simplified Arabic" w:cs="Simplified Arabic" w:hint="cs"/>
          <w:sz w:val="24"/>
          <w:szCs w:val="24"/>
          <w:rtl/>
          <w:lang w:val="en-US" w:bidi="ar-DZ"/>
        </w:rPr>
        <w:t>ا</w:t>
      </w:r>
      <w:r w:rsidR="00F84BFD" w:rsidRPr="00F72D50">
        <w:rPr>
          <w:rFonts w:ascii="Simplified Arabic" w:hAnsi="Simplified Arabic" w:cs="Simplified Arabic" w:hint="cs"/>
          <w:sz w:val="24"/>
          <w:szCs w:val="24"/>
          <w:rtl/>
          <w:lang w:val="en-US" w:bidi="ar-DZ"/>
        </w:rPr>
        <w:t>لوصول</w:t>
      </w:r>
      <w:r w:rsidR="00F84BFD" w:rsidRPr="00F72D50">
        <w:rPr>
          <w:rFonts w:ascii="Simplified Arabic" w:hAnsi="Simplified Arabic" w:cs="Simplified Arabic"/>
          <w:sz w:val="24"/>
          <w:szCs w:val="24"/>
          <w:rtl/>
          <w:lang w:val="en-US" w:bidi="ar-DZ"/>
        </w:rPr>
        <w:t xml:space="preserve"> </w:t>
      </w:r>
      <w:r w:rsidR="00F84BFD" w:rsidRPr="00F72D50">
        <w:rPr>
          <w:rFonts w:ascii="Simplified Arabic" w:hAnsi="Simplified Arabic" w:cs="Simplified Arabic" w:hint="cs"/>
          <w:sz w:val="24"/>
          <w:szCs w:val="24"/>
          <w:rtl/>
          <w:lang w:val="en-US" w:bidi="ar-DZ"/>
        </w:rPr>
        <w:t>إليها</w:t>
      </w:r>
      <w:r w:rsidR="00F84BFD" w:rsidRPr="00F72D50">
        <w:rPr>
          <w:rFonts w:ascii="Simplified Arabic" w:hAnsi="Simplified Arabic" w:cs="Simplified Arabic"/>
          <w:sz w:val="24"/>
          <w:szCs w:val="24"/>
          <w:rtl/>
          <w:lang w:val="en-US" w:bidi="ar-DZ"/>
        </w:rPr>
        <w:t>.</w:t>
      </w:r>
      <w:r w:rsidR="009B7BEF" w:rsidRPr="009B7BEF">
        <w:rPr>
          <w:rFonts w:ascii="Simplified Arabic" w:hAnsi="Simplified Arabic" w:cs="Simplified Arabic" w:hint="cs"/>
          <w:sz w:val="24"/>
          <w:szCs w:val="24"/>
          <w:rtl/>
          <w:lang w:val="en-US" w:bidi="ar-DZ"/>
        </w:rPr>
        <w:t xml:space="preserve"> </w:t>
      </w:r>
    </w:p>
    <w:p w:rsidR="00E53FE3" w:rsidRDefault="00E53FE3" w:rsidP="002F3AF2">
      <w:pPr>
        <w:pStyle w:val="Paragraphedeliste"/>
        <w:numPr>
          <w:ilvl w:val="0"/>
          <w:numId w:val="277"/>
        </w:numPr>
        <w:bidi/>
        <w:spacing w:before="240" w:after="0"/>
        <w:ind w:left="0" w:firstLine="283"/>
        <w:jc w:val="both"/>
        <w:rPr>
          <w:rFonts w:ascii="Simplified Arabic" w:hAnsi="Simplified Arabic" w:cs="Simplified Arabic"/>
          <w:b/>
          <w:bCs/>
          <w:sz w:val="24"/>
          <w:szCs w:val="24"/>
          <w:lang w:val="en-US" w:bidi="ar-DZ"/>
        </w:rPr>
      </w:pPr>
      <w:r w:rsidRPr="00E53FE3">
        <w:rPr>
          <w:rFonts w:ascii="Simplified Arabic" w:hAnsi="Simplified Arabic" w:cs="Simplified Arabic" w:hint="cs"/>
          <w:b/>
          <w:bCs/>
          <w:sz w:val="24"/>
          <w:szCs w:val="24"/>
          <w:rtl/>
          <w:lang w:val="en-US" w:bidi="ar-DZ"/>
        </w:rPr>
        <w:t>توصيات</w:t>
      </w:r>
      <w:r w:rsidRPr="00E53FE3">
        <w:rPr>
          <w:rFonts w:ascii="Simplified Arabic" w:hAnsi="Simplified Arabic" w:cs="Simplified Arabic"/>
          <w:b/>
          <w:bCs/>
          <w:sz w:val="24"/>
          <w:szCs w:val="24"/>
          <w:rtl/>
          <w:lang w:val="en-US" w:bidi="ar-DZ"/>
        </w:rPr>
        <w:t xml:space="preserve"> </w:t>
      </w:r>
      <w:r w:rsidRPr="00E53FE3">
        <w:rPr>
          <w:rFonts w:ascii="Simplified Arabic" w:hAnsi="Simplified Arabic" w:cs="Simplified Arabic" w:hint="cs"/>
          <w:b/>
          <w:bCs/>
          <w:sz w:val="24"/>
          <w:szCs w:val="24"/>
          <w:rtl/>
          <w:lang w:val="en-US" w:bidi="ar-DZ"/>
        </w:rPr>
        <w:t xml:space="preserve">التصميم: </w:t>
      </w:r>
    </w:p>
    <w:p w:rsidR="00E53FE3" w:rsidRPr="00E53FE3" w:rsidRDefault="00E53FE3" w:rsidP="00E53FE3">
      <w:pPr>
        <w:bidi/>
        <w:spacing w:after="0"/>
        <w:jc w:val="both"/>
        <w:rPr>
          <w:rFonts w:ascii="Simplified Arabic" w:hAnsi="Simplified Arabic" w:cs="Simplified Arabic"/>
          <w:sz w:val="24"/>
          <w:szCs w:val="24"/>
          <w:rtl/>
          <w:lang w:val="en-US" w:bidi="ar-DZ"/>
        </w:rPr>
      </w:pPr>
      <w:r w:rsidRPr="00E53FE3">
        <w:rPr>
          <w:rFonts w:ascii="Simplified Arabic" w:hAnsi="Simplified Arabic" w:cs="Simplified Arabic" w:hint="cs"/>
          <w:sz w:val="24"/>
          <w:szCs w:val="24"/>
          <w:rtl/>
          <w:lang w:val="en-US" w:bidi="ar-DZ"/>
        </w:rPr>
        <w:t>* يؤدي</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التكرار</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في</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تكوين</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شبكة</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الشوارع</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إلى</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تقليل</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مخاطر</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الفشل</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العشوائي</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ويوفر</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قدرًا</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أكبر</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من</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التحمل</w:t>
      </w:r>
      <w:r w:rsidRPr="00E53FE3">
        <w:rPr>
          <w:rFonts w:ascii="Simplified Arabic" w:hAnsi="Simplified Arabic" w:cs="Simplified Arabic"/>
          <w:sz w:val="24"/>
          <w:szCs w:val="24"/>
          <w:rtl/>
          <w:lang w:val="en-US" w:bidi="ar-DZ"/>
        </w:rPr>
        <w:t xml:space="preserve"> </w:t>
      </w:r>
      <w:r w:rsidRPr="00E53FE3">
        <w:rPr>
          <w:rFonts w:ascii="Simplified Arabic" w:hAnsi="Simplified Arabic" w:cs="Simplified Arabic" w:hint="cs"/>
          <w:sz w:val="24"/>
          <w:szCs w:val="24"/>
          <w:rtl/>
          <w:lang w:val="en-US" w:bidi="ar-DZ"/>
        </w:rPr>
        <w:t>اثناء لحظات الذروة</w:t>
      </w:r>
      <w:r w:rsidRPr="00E53FE3">
        <w:rPr>
          <w:rFonts w:ascii="Simplified Arabic" w:hAnsi="Simplified Arabic" w:cs="Simplified Arabic"/>
          <w:sz w:val="24"/>
          <w:szCs w:val="24"/>
          <w:rtl/>
          <w:lang w:val="en-US" w:bidi="ar-DZ"/>
        </w:rPr>
        <w:t>.</w:t>
      </w:r>
    </w:p>
    <w:p w:rsidR="00E53FE3" w:rsidRDefault="00E53FE3" w:rsidP="00E53FE3">
      <w:pPr>
        <w:bidi/>
        <w:spacing w:after="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 xml:space="preserve">* يجب ان </w:t>
      </w:r>
      <w:r w:rsidRPr="00230470">
        <w:rPr>
          <w:rFonts w:ascii="Simplified Arabic" w:hAnsi="Simplified Arabic" w:cs="Simplified Arabic" w:hint="cs"/>
          <w:sz w:val="24"/>
          <w:szCs w:val="24"/>
          <w:rtl/>
          <w:lang w:bidi="ar-DZ"/>
        </w:rPr>
        <w:t>تشبه</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شبكات</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الشوارع</w:t>
      </w:r>
      <w:r w:rsidRPr="0023047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المتكررة</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في</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تكوينها</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شبكة</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متصلة</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كونها</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بنية</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هرمية</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تشبه</w:t>
      </w:r>
      <w:r w:rsidRPr="00230470">
        <w:rPr>
          <w:rFonts w:ascii="Simplified Arabic" w:hAnsi="Simplified Arabic" w:cs="Simplified Arabic"/>
          <w:sz w:val="24"/>
          <w:szCs w:val="24"/>
          <w:rtl/>
          <w:lang w:bidi="ar-DZ"/>
        </w:rPr>
        <w:t xml:space="preserve"> </w:t>
      </w:r>
      <w:r w:rsidRPr="00230470">
        <w:rPr>
          <w:rFonts w:ascii="Simplified Arabic" w:hAnsi="Simplified Arabic" w:cs="Simplified Arabic" w:hint="cs"/>
          <w:sz w:val="24"/>
          <w:szCs w:val="24"/>
          <w:rtl/>
          <w:lang w:bidi="ar-DZ"/>
        </w:rPr>
        <w:t>الشجرة</w:t>
      </w:r>
      <w:r w:rsidRPr="00230470">
        <w:rPr>
          <w:rFonts w:ascii="Simplified Arabic" w:hAnsi="Simplified Arabic" w:cs="Simplified Arabic"/>
          <w:sz w:val="24"/>
          <w:szCs w:val="24"/>
          <w:rtl/>
          <w:lang w:bidi="ar-DZ"/>
        </w:rPr>
        <w:t>.</w:t>
      </w:r>
    </w:p>
    <w:p w:rsidR="00E53FE3" w:rsidRDefault="00E53FE3" w:rsidP="00E53FE3">
      <w:pPr>
        <w:bidi/>
        <w:spacing w:after="0"/>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lastRenderedPageBreak/>
        <w:t xml:space="preserve">* </w:t>
      </w:r>
      <w:r w:rsidRPr="008A2302">
        <w:rPr>
          <w:rFonts w:ascii="Simplified Arabic" w:hAnsi="Simplified Arabic" w:cs="Simplified Arabic" w:hint="cs"/>
          <w:sz w:val="24"/>
          <w:szCs w:val="24"/>
          <w:rtl/>
          <w:lang w:bidi="ar-DZ"/>
        </w:rPr>
        <w:t>يجب</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أن</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تكون</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التقاطعات</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ذات</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الاتجاهات</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الأربعة</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متكررة</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ويجب</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إبقاء</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الطرق</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المسدودة</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في</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حدها</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الأدنى</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وأن</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تقتصر</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على</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المناطق</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ذات</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متطلبات</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الخصوصية</w:t>
      </w:r>
      <w:r w:rsidRPr="008A2302">
        <w:rPr>
          <w:rFonts w:ascii="Simplified Arabic" w:hAnsi="Simplified Arabic" w:cs="Simplified Arabic"/>
          <w:sz w:val="24"/>
          <w:szCs w:val="24"/>
          <w:rtl/>
          <w:lang w:bidi="ar-DZ"/>
        </w:rPr>
        <w:t xml:space="preserve"> </w:t>
      </w:r>
      <w:r w:rsidRPr="008A2302">
        <w:rPr>
          <w:rFonts w:ascii="Simplified Arabic" w:hAnsi="Simplified Arabic" w:cs="Simplified Arabic" w:hint="cs"/>
          <w:sz w:val="24"/>
          <w:szCs w:val="24"/>
          <w:rtl/>
          <w:lang w:bidi="ar-DZ"/>
        </w:rPr>
        <w:t>الأعلى</w:t>
      </w:r>
      <w:r w:rsidRPr="008A2302">
        <w:rPr>
          <w:rFonts w:ascii="Simplified Arabic" w:hAnsi="Simplified Arabic" w:cs="Simplified Arabic"/>
          <w:sz w:val="24"/>
          <w:szCs w:val="24"/>
          <w:rtl/>
          <w:lang w:bidi="ar-DZ"/>
        </w:rPr>
        <w:t xml:space="preserve">. </w:t>
      </w:r>
    </w:p>
    <w:p w:rsidR="00E53FE3" w:rsidRDefault="00E53FE3" w:rsidP="00E53FE3">
      <w:pPr>
        <w:bidi/>
        <w:spacing w:after="0"/>
        <w:jc w:val="both"/>
        <w:rPr>
          <w:rFonts w:ascii="Simplified Arabic" w:hAnsi="Simplified Arabic" w:cs="Simplified Arabic"/>
          <w:b/>
          <w:bCs/>
          <w:sz w:val="24"/>
          <w:szCs w:val="24"/>
          <w:rtl/>
          <w:lang w:val="en-US" w:bidi="ar-DZ"/>
        </w:rPr>
      </w:pPr>
      <w:r>
        <w:rPr>
          <w:rFonts w:ascii="Simplified Arabic" w:hAnsi="Simplified Arabic" w:cs="Simplified Arabic" w:hint="cs"/>
          <w:sz w:val="24"/>
          <w:szCs w:val="24"/>
          <w:rtl/>
          <w:lang w:val="en-US" w:bidi="ar-DZ"/>
        </w:rPr>
        <w:t xml:space="preserve">* </w:t>
      </w:r>
      <w:r w:rsidRPr="001C5203">
        <w:rPr>
          <w:rFonts w:ascii="Simplified Arabic" w:hAnsi="Simplified Arabic" w:cs="Simplified Arabic" w:hint="cs"/>
          <w:sz w:val="24"/>
          <w:szCs w:val="24"/>
          <w:rtl/>
          <w:lang w:val="en-US" w:bidi="ar-DZ"/>
        </w:rPr>
        <w:t>إتاح</w:t>
      </w:r>
      <w:r>
        <w:rPr>
          <w:rFonts w:ascii="Simplified Arabic" w:hAnsi="Simplified Arabic" w:cs="Simplified Arabic" w:hint="cs"/>
          <w:sz w:val="24"/>
          <w:szCs w:val="24"/>
          <w:rtl/>
          <w:lang w:val="en-US" w:bidi="ar-DZ"/>
        </w:rPr>
        <w:t>ة</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تكوين</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شبكة</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شوارع</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ذات مسارات</w:t>
      </w:r>
      <w:r w:rsidRPr="001C5203">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متعددة</w:t>
      </w:r>
      <w:r w:rsidRPr="001C5203">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ت</w:t>
      </w:r>
      <w:r w:rsidRPr="001C5203">
        <w:rPr>
          <w:rFonts w:ascii="Simplified Arabic" w:hAnsi="Simplified Arabic" w:cs="Simplified Arabic" w:hint="cs"/>
          <w:sz w:val="24"/>
          <w:szCs w:val="24"/>
          <w:rtl/>
          <w:lang w:val="en-US" w:bidi="ar-DZ"/>
        </w:rPr>
        <w:t>وفر</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خيارات</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للاتجاهات</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في</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حالة</w:t>
      </w:r>
      <w:r w:rsidRPr="001C5203">
        <w:rPr>
          <w:rFonts w:ascii="Simplified Arabic" w:hAnsi="Simplified Arabic" w:cs="Simplified Arabic"/>
          <w:sz w:val="24"/>
          <w:szCs w:val="24"/>
          <w:rtl/>
          <w:lang w:val="en-US" w:bidi="ar-DZ"/>
        </w:rPr>
        <w:t xml:space="preserve"> </w:t>
      </w:r>
      <w:r w:rsidRPr="001C5203">
        <w:rPr>
          <w:rFonts w:ascii="Simplified Arabic" w:hAnsi="Simplified Arabic" w:cs="Simplified Arabic" w:hint="cs"/>
          <w:sz w:val="24"/>
          <w:szCs w:val="24"/>
          <w:rtl/>
          <w:lang w:val="en-US" w:bidi="ar-DZ"/>
        </w:rPr>
        <w:t>الحاجة.</w:t>
      </w:r>
    </w:p>
    <w:p w:rsidR="00E53FE3" w:rsidRDefault="00E53FE3" w:rsidP="00E53FE3">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ي</w:t>
      </w:r>
      <w:r w:rsidRPr="00230470">
        <w:rPr>
          <w:rFonts w:ascii="Simplified Arabic" w:hAnsi="Simplified Arabic" w:cs="Simplified Arabic" w:hint="cs"/>
          <w:sz w:val="24"/>
          <w:szCs w:val="24"/>
          <w:rtl/>
          <w:lang w:val="en-US" w:bidi="ar-DZ"/>
        </w:rPr>
        <w:t>تطلب</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أن</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يكون</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تصميم</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شبكة</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الشوارع</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موجهًا</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نحو</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تجنب</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تركيز</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الحركات</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في</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عدد</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قليل</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من</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المسارات</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كما</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هو</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الحال</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في</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الشبكات</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الحالية</w:t>
      </w:r>
      <w:r>
        <w:rPr>
          <w:rFonts w:ascii="Simplified Arabic" w:hAnsi="Simplified Arabic" w:cs="Simplified Arabic" w:hint="cs"/>
          <w:sz w:val="24"/>
          <w:szCs w:val="24"/>
          <w:rtl/>
          <w:lang w:val="en-US" w:bidi="ar-DZ"/>
        </w:rPr>
        <w:t>.</w:t>
      </w:r>
    </w:p>
    <w:p w:rsidR="00E53FE3" w:rsidRDefault="00E53FE3" w:rsidP="00E53FE3">
      <w:pPr>
        <w:bidi/>
        <w:spacing w:after="0"/>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 يتطلب </w:t>
      </w:r>
      <w:r w:rsidRPr="00230470">
        <w:rPr>
          <w:rFonts w:ascii="Simplified Arabic" w:hAnsi="Simplified Arabic" w:cs="Simplified Arabic" w:hint="cs"/>
          <w:sz w:val="24"/>
          <w:szCs w:val="24"/>
          <w:rtl/>
          <w:lang w:val="en-US" w:bidi="ar-DZ"/>
        </w:rPr>
        <w:t>توفير</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طرق</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بديلة</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إضافة</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إلى</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الطرق</w:t>
      </w:r>
      <w:r w:rsidRPr="00230470">
        <w:rPr>
          <w:rFonts w:ascii="Simplified Arabic" w:hAnsi="Simplified Arabic" w:cs="Simplified Arabic"/>
          <w:sz w:val="24"/>
          <w:szCs w:val="24"/>
          <w:rtl/>
          <w:lang w:val="en-US" w:bidi="ar-DZ"/>
        </w:rPr>
        <w:t xml:space="preserve"> </w:t>
      </w:r>
      <w:r w:rsidRPr="00230470">
        <w:rPr>
          <w:rFonts w:ascii="Simplified Arabic" w:hAnsi="Simplified Arabic" w:cs="Simplified Arabic" w:hint="cs"/>
          <w:sz w:val="24"/>
          <w:szCs w:val="24"/>
          <w:rtl/>
          <w:lang w:val="en-US" w:bidi="ar-DZ"/>
        </w:rPr>
        <w:t>الحالية</w:t>
      </w:r>
      <w:r w:rsidRPr="00230470">
        <w:rPr>
          <w:rFonts w:ascii="Simplified Arabic" w:hAnsi="Simplified Arabic" w:cs="Simplified Arabic"/>
          <w:sz w:val="24"/>
          <w:szCs w:val="24"/>
          <w:rtl/>
          <w:lang w:val="en-US" w:bidi="ar-DZ"/>
        </w:rPr>
        <w:t>.</w:t>
      </w:r>
    </w:p>
    <w:p w:rsidR="00E53FE3" w:rsidRPr="00E53FE3" w:rsidRDefault="00E53FE3" w:rsidP="00E53FE3">
      <w:pPr>
        <w:bidi/>
        <w:spacing w:after="0"/>
        <w:jc w:val="both"/>
        <w:rPr>
          <w:rFonts w:ascii="Simplified Arabic" w:hAnsi="Simplified Arabic" w:cs="Simplified Arabic"/>
          <w:b/>
          <w:bCs/>
          <w:sz w:val="24"/>
          <w:szCs w:val="24"/>
          <w:rtl/>
          <w:lang w:val="en-US" w:bidi="ar-DZ"/>
        </w:rPr>
      </w:pPr>
      <w:r>
        <w:rPr>
          <w:rFonts w:ascii="Simplified Arabic" w:hAnsi="Simplified Arabic" w:cs="Simplified Arabic" w:hint="cs"/>
          <w:sz w:val="24"/>
          <w:szCs w:val="24"/>
          <w:rtl/>
          <w:lang w:val="en-US" w:bidi="ar-DZ"/>
        </w:rPr>
        <w:t>* ي</w:t>
      </w:r>
      <w:r w:rsidRPr="008A2302">
        <w:rPr>
          <w:rFonts w:ascii="Simplified Arabic" w:hAnsi="Simplified Arabic" w:cs="Simplified Arabic" w:hint="cs"/>
          <w:sz w:val="24"/>
          <w:szCs w:val="24"/>
          <w:rtl/>
          <w:lang w:val="en-US" w:bidi="ar-DZ"/>
        </w:rPr>
        <w:t>تطلب</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أي</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تعديل</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في</w:t>
      </w:r>
      <w:r w:rsidRPr="008A230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شبكة</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الشوارع</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تأثير</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إيجابي</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قابل</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للقياس</w:t>
      </w:r>
      <w:r w:rsidRPr="008A2302">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من حيث </w:t>
      </w:r>
      <w:r w:rsidRPr="008A2302">
        <w:rPr>
          <w:rFonts w:ascii="Simplified Arabic" w:hAnsi="Simplified Arabic" w:cs="Simplified Arabic" w:hint="cs"/>
          <w:sz w:val="24"/>
          <w:szCs w:val="24"/>
          <w:rtl/>
          <w:lang w:val="en-US" w:bidi="ar-DZ"/>
        </w:rPr>
        <w:t>الوقت</w:t>
      </w:r>
      <w:r>
        <w:rPr>
          <w:rFonts w:ascii="Simplified Arabic" w:hAnsi="Simplified Arabic" w:cs="Simplified Arabic" w:hint="cs"/>
          <w:sz w:val="24"/>
          <w:szCs w:val="24"/>
          <w:rtl/>
          <w:lang w:val="en-US" w:bidi="ar-DZ"/>
        </w:rPr>
        <w:t xml:space="preserve"> و</w:t>
      </w:r>
      <w:r w:rsidRPr="008A2302">
        <w:rPr>
          <w:rFonts w:ascii="Simplified Arabic" w:hAnsi="Simplified Arabic" w:cs="Simplified Arabic" w:hint="cs"/>
          <w:sz w:val="24"/>
          <w:szCs w:val="24"/>
          <w:rtl/>
          <w:lang w:val="en-US" w:bidi="ar-DZ"/>
        </w:rPr>
        <w:t>المسافة</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المطلوبة</w:t>
      </w:r>
      <w:r w:rsidRPr="008A2302">
        <w:rPr>
          <w:rFonts w:ascii="Simplified Arabic" w:hAnsi="Simplified Arabic" w:cs="Simplified Arabic"/>
          <w:sz w:val="24"/>
          <w:szCs w:val="24"/>
          <w:rtl/>
          <w:lang w:val="en-US" w:bidi="ar-DZ"/>
        </w:rPr>
        <w:t xml:space="preserve"> </w:t>
      </w:r>
      <w:r w:rsidRPr="008A2302">
        <w:rPr>
          <w:rFonts w:ascii="Simplified Arabic" w:hAnsi="Simplified Arabic" w:cs="Simplified Arabic" w:hint="cs"/>
          <w:sz w:val="24"/>
          <w:szCs w:val="24"/>
          <w:rtl/>
          <w:lang w:val="en-US" w:bidi="ar-DZ"/>
        </w:rPr>
        <w:t>للوصول</w:t>
      </w:r>
      <w:r w:rsidRPr="008A2302">
        <w:rPr>
          <w:rFonts w:ascii="Simplified Arabic" w:hAnsi="Simplified Arabic" w:cs="Simplified Arabic"/>
          <w:sz w:val="24"/>
          <w:szCs w:val="24"/>
          <w:rtl/>
          <w:lang w:val="en-US" w:bidi="ar-DZ"/>
        </w:rPr>
        <w:t>.</w:t>
      </w:r>
    </w:p>
    <w:p w:rsidR="00EE6A21" w:rsidRPr="00B11C35" w:rsidRDefault="00EE6A21" w:rsidP="001D0548">
      <w:pPr>
        <w:pStyle w:val="Paragraphedeliste"/>
        <w:numPr>
          <w:ilvl w:val="0"/>
          <w:numId w:val="84"/>
        </w:numPr>
        <w:tabs>
          <w:tab w:val="right" w:pos="567"/>
        </w:tabs>
        <w:autoSpaceDE w:val="0"/>
        <w:autoSpaceDN w:val="0"/>
        <w:bidi/>
        <w:adjustRightInd w:val="0"/>
        <w:spacing w:before="240" w:after="0" w:line="240" w:lineRule="auto"/>
        <w:ind w:left="0" w:firstLine="0"/>
        <w:outlineLvl w:val="0"/>
        <w:rPr>
          <w:rFonts w:ascii="Simplified Arabic" w:hAnsi="Simplified Arabic" w:cs="Simplified Arabic"/>
          <w:b/>
          <w:bCs/>
          <w:sz w:val="24"/>
          <w:szCs w:val="24"/>
          <w:rtl/>
        </w:rPr>
      </w:pPr>
      <w:bookmarkStart w:id="990" w:name="_Toc171803907"/>
      <w:r w:rsidRPr="00B11C35">
        <w:rPr>
          <w:rFonts w:ascii="Simplified Arabic" w:hAnsi="Simplified Arabic" w:cs="Simplified Arabic"/>
          <w:b/>
          <w:bCs/>
          <w:sz w:val="24"/>
          <w:szCs w:val="24"/>
          <w:rtl/>
        </w:rPr>
        <w:t>خاتمة البحث:</w:t>
      </w:r>
      <w:bookmarkEnd w:id="990"/>
    </w:p>
    <w:p w:rsidR="00AB0309" w:rsidRDefault="00EE6A21" w:rsidP="00AB0309">
      <w:pPr>
        <w:autoSpaceDE w:val="0"/>
        <w:autoSpaceDN w:val="0"/>
        <w:bidi/>
        <w:adjustRightInd w:val="0"/>
        <w:spacing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ادت </w:t>
      </w:r>
      <w:r w:rsidR="00831D27">
        <w:rPr>
          <w:rFonts w:ascii="Simplified Arabic" w:hAnsi="Simplified Arabic" w:cs="Simplified Arabic" w:hint="cs"/>
          <w:sz w:val="24"/>
          <w:szCs w:val="24"/>
          <w:rtl/>
          <w:lang w:val="en-US" w:bidi="ar-DZ"/>
        </w:rPr>
        <w:t>م</w:t>
      </w:r>
      <w:r w:rsidR="00831D27" w:rsidRPr="00D25F9F">
        <w:rPr>
          <w:rFonts w:ascii="Simplified Arabic" w:hAnsi="Simplified Arabic" w:cs="Simplified Arabic" w:hint="cs"/>
          <w:sz w:val="24"/>
          <w:szCs w:val="24"/>
          <w:rtl/>
          <w:lang w:val="en-US" w:bidi="ar-DZ"/>
        </w:rPr>
        <w:t>مارسات</w:t>
      </w:r>
      <w:r w:rsidR="00831D27" w:rsidRPr="00D25F9F">
        <w:rPr>
          <w:rFonts w:ascii="Simplified Arabic" w:hAnsi="Simplified Arabic" w:cs="Simplified Arabic"/>
          <w:sz w:val="24"/>
          <w:szCs w:val="24"/>
          <w:rtl/>
          <w:lang w:val="en-US" w:bidi="ar-DZ"/>
        </w:rPr>
        <w:t xml:space="preserve"> </w:t>
      </w:r>
      <w:r w:rsidR="000D1111">
        <w:rPr>
          <w:rFonts w:ascii="Simplified Arabic" w:hAnsi="Simplified Arabic" w:cs="Simplified Arabic" w:hint="cs"/>
          <w:sz w:val="24"/>
          <w:szCs w:val="24"/>
          <w:rtl/>
        </w:rPr>
        <w:t>استعمال</w:t>
      </w:r>
      <w:r w:rsidR="00831D27">
        <w:rPr>
          <w:rFonts w:ascii="Simplified Arabic" w:hAnsi="Simplified Arabic" w:cs="Simplified Arabic" w:hint="cs"/>
          <w:sz w:val="24"/>
          <w:szCs w:val="24"/>
          <w:rtl/>
          <w:lang w:val="en-US" w:bidi="ar-DZ"/>
        </w:rPr>
        <w:t xml:space="preserve"> الارض الحضرية </w:t>
      </w:r>
      <w:r w:rsidR="00831D27" w:rsidRPr="00D25F9F">
        <w:rPr>
          <w:rFonts w:ascii="Simplified Arabic" w:hAnsi="Simplified Arabic" w:cs="Simplified Arabic" w:hint="cs"/>
          <w:sz w:val="24"/>
          <w:szCs w:val="24"/>
          <w:rtl/>
          <w:lang w:val="en-US" w:bidi="ar-DZ"/>
        </w:rPr>
        <w:t>غير</w:t>
      </w:r>
      <w:r w:rsidR="00831D27" w:rsidRPr="00D25F9F">
        <w:rPr>
          <w:rFonts w:ascii="Simplified Arabic" w:hAnsi="Simplified Arabic" w:cs="Simplified Arabic"/>
          <w:sz w:val="24"/>
          <w:szCs w:val="24"/>
          <w:rtl/>
          <w:lang w:val="en-US" w:bidi="ar-DZ"/>
        </w:rPr>
        <w:t xml:space="preserve"> </w:t>
      </w:r>
      <w:r w:rsidR="00831D27" w:rsidRPr="00D25F9F">
        <w:rPr>
          <w:rFonts w:ascii="Simplified Arabic" w:hAnsi="Simplified Arabic" w:cs="Simplified Arabic" w:hint="cs"/>
          <w:sz w:val="24"/>
          <w:szCs w:val="24"/>
          <w:rtl/>
          <w:lang w:val="en-US" w:bidi="ar-DZ"/>
        </w:rPr>
        <w:t>الملائمة</w:t>
      </w:r>
      <w:r w:rsidR="008F43B8">
        <w:rPr>
          <w:rFonts w:ascii="Simplified Arabic" w:hAnsi="Simplified Arabic" w:cs="Simplified Arabic" w:hint="cs"/>
          <w:sz w:val="24"/>
          <w:szCs w:val="24"/>
          <w:rtl/>
          <w:lang w:val="en-US" w:bidi="ar-DZ"/>
        </w:rPr>
        <w:t>،</w:t>
      </w:r>
      <w:r w:rsidR="00831D27">
        <w:rPr>
          <w:rFonts w:ascii="Simplified Arabic" w:hAnsi="Simplified Arabic" w:cs="Simplified Arabic" w:hint="cs"/>
          <w:sz w:val="24"/>
          <w:szCs w:val="24"/>
          <w:rtl/>
          <w:lang w:val="en-US" w:bidi="ar-DZ"/>
        </w:rPr>
        <w:t xml:space="preserve"> في ظل </w:t>
      </w:r>
      <w:r w:rsidRPr="00284D5A">
        <w:rPr>
          <w:rFonts w:ascii="Simplified Arabic" w:hAnsi="Simplified Arabic" w:cs="Simplified Arabic" w:hint="cs"/>
          <w:sz w:val="24"/>
          <w:szCs w:val="24"/>
          <w:rtl/>
          <w:lang w:val="en-US" w:bidi="ar-DZ"/>
        </w:rPr>
        <w:t>الوضعيات السلبية لتغيّر المناخ</w:t>
      </w:r>
      <w:r w:rsidR="00831D27">
        <w:rPr>
          <w:rFonts w:ascii="Simplified Arabic" w:hAnsi="Simplified Arabic" w:cs="Simplified Arabic" w:hint="cs"/>
          <w:sz w:val="24"/>
          <w:szCs w:val="24"/>
          <w:rtl/>
          <w:lang w:val="en-US" w:bidi="ar-DZ"/>
        </w:rPr>
        <w:t>،</w:t>
      </w:r>
      <w:r w:rsidRPr="00284D5A">
        <w:rPr>
          <w:rFonts w:ascii="Simplified Arabic" w:hAnsi="Simplified Arabic" w:cs="Simplified Arabic" w:hint="cs"/>
          <w:sz w:val="24"/>
          <w:szCs w:val="24"/>
          <w:rtl/>
          <w:lang w:val="en-US" w:bidi="ar-DZ"/>
        </w:rPr>
        <w:t xml:space="preserve"> </w:t>
      </w:r>
      <w:r w:rsidR="00694962">
        <w:rPr>
          <w:rFonts w:ascii="Simplified Arabic" w:hAnsi="Simplified Arabic" w:cs="Simplified Arabic" w:hint="cs"/>
          <w:sz w:val="24"/>
          <w:szCs w:val="24"/>
          <w:rtl/>
          <w:lang w:val="en-US" w:bidi="ar-DZ"/>
        </w:rPr>
        <w:t xml:space="preserve">الى اضطرابات وظائف </w:t>
      </w:r>
      <w:r>
        <w:rPr>
          <w:rFonts w:ascii="Simplified Arabic" w:hAnsi="Simplified Arabic" w:cs="Simplified Arabic" w:hint="cs"/>
          <w:sz w:val="24"/>
          <w:szCs w:val="24"/>
          <w:rtl/>
          <w:lang w:val="en-US" w:bidi="ar-DZ"/>
        </w:rPr>
        <w:t>أنظمة المدن</w:t>
      </w:r>
      <w:r w:rsidR="00F40E4D">
        <w:rPr>
          <w:rFonts w:ascii="Simplified Arabic" w:hAnsi="Simplified Arabic" w:cs="Simplified Arabic" w:hint="cs"/>
          <w:sz w:val="24"/>
          <w:szCs w:val="24"/>
          <w:rtl/>
          <w:lang w:val="en-US" w:bidi="ar-DZ"/>
        </w:rPr>
        <w:t xml:space="preserve">، </w:t>
      </w:r>
      <w:r w:rsidR="00B352F3">
        <w:rPr>
          <w:rFonts w:ascii="Simplified Arabic" w:hAnsi="Simplified Arabic" w:cs="Simplified Arabic" w:hint="cs"/>
          <w:sz w:val="24"/>
          <w:szCs w:val="24"/>
          <w:rtl/>
          <w:lang w:val="en-US" w:bidi="ar-DZ"/>
        </w:rPr>
        <w:t>تبين</w:t>
      </w:r>
      <w:r>
        <w:rPr>
          <w:rFonts w:ascii="Simplified Arabic" w:hAnsi="Simplified Arabic" w:cs="Simplified Arabic" w:hint="cs"/>
          <w:sz w:val="24"/>
          <w:szCs w:val="24"/>
          <w:rtl/>
          <w:lang w:val="en-US" w:bidi="ar-DZ"/>
        </w:rPr>
        <w:t xml:space="preserve"> عجز </w:t>
      </w:r>
      <w:r w:rsidR="00F40E4D">
        <w:rPr>
          <w:rFonts w:ascii="Simplified Arabic" w:hAnsi="Simplified Arabic" w:cs="Simplified Arabic" w:hint="cs"/>
          <w:sz w:val="24"/>
          <w:szCs w:val="24"/>
          <w:rtl/>
          <w:lang w:val="en-US" w:bidi="ar-DZ"/>
        </w:rPr>
        <w:t>ال</w:t>
      </w:r>
      <w:r>
        <w:rPr>
          <w:rFonts w:ascii="Simplified Arabic" w:hAnsi="Simplified Arabic" w:cs="Simplified Arabic" w:hint="cs"/>
          <w:sz w:val="24"/>
          <w:szCs w:val="24"/>
          <w:rtl/>
          <w:lang w:val="en-US" w:bidi="ar-DZ"/>
        </w:rPr>
        <w:t xml:space="preserve">طرق </w:t>
      </w:r>
      <w:r w:rsidR="00F40E4D">
        <w:rPr>
          <w:rFonts w:ascii="Simplified Arabic" w:hAnsi="Simplified Arabic" w:cs="Simplified Arabic" w:hint="cs"/>
          <w:sz w:val="24"/>
          <w:szCs w:val="24"/>
          <w:rtl/>
          <w:lang w:val="en-US" w:bidi="ar-DZ"/>
        </w:rPr>
        <w:t xml:space="preserve">التقليدية </w:t>
      </w:r>
      <w:r w:rsidR="008F43B8">
        <w:rPr>
          <w:rFonts w:ascii="Simplified Arabic" w:hAnsi="Simplified Arabic" w:cs="Simplified Arabic" w:hint="cs"/>
          <w:sz w:val="24"/>
          <w:szCs w:val="24"/>
          <w:rtl/>
          <w:lang w:val="en-US" w:bidi="ar-DZ"/>
        </w:rPr>
        <w:t xml:space="preserve">على </w:t>
      </w:r>
      <w:r w:rsidR="00831D27">
        <w:rPr>
          <w:rFonts w:ascii="Simplified Arabic" w:hAnsi="Simplified Arabic" w:cs="Simplified Arabic" w:hint="cs"/>
          <w:sz w:val="24"/>
          <w:szCs w:val="24"/>
          <w:rtl/>
          <w:lang w:val="en-US" w:bidi="ar-DZ"/>
        </w:rPr>
        <w:t xml:space="preserve">وضع استراتيجية </w:t>
      </w:r>
      <w:r>
        <w:rPr>
          <w:rFonts w:ascii="Simplified Arabic" w:hAnsi="Simplified Arabic" w:cs="Simplified Arabic" w:hint="cs"/>
          <w:sz w:val="24"/>
          <w:szCs w:val="24"/>
          <w:rtl/>
          <w:lang w:val="en-US" w:bidi="ar-DZ"/>
        </w:rPr>
        <w:t xml:space="preserve">تسيير </w:t>
      </w:r>
      <w:r w:rsidR="008F43B8">
        <w:rPr>
          <w:rFonts w:ascii="Simplified Arabic" w:hAnsi="Simplified Arabic" w:cs="Simplified Arabic" w:hint="cs"/>
          <w:sz w:val="24"/>
          <w:szCs w:val="24"/>
          <w:rtl/>
          <w:lang w:val="en-US" w:bidi="ar-DZ"/>
        </w:rPr>
        <w:t>فعالة ل</w:t>
      </w:r>
      <w:r w:rsidR="00F40E4D">
        <w:rPr>
          <w:rFonts w:ascii="Simplified Arabic" w:hAnsi="Simplified Arabic" w:cs="Simplified Arabic" w:hint="cs"/>
          <w:sz w:val="24"/>
          <w:szCs w:val="24"/>
          <w:rtl/>
          <w:lang w:val="en-US" w:bidi="ar-DZ"/>
        </w:rPr>
        <w:t>هذه الاضطرابات</w:t>
      </w:r>
      <w:r>
        <w:rPr>
          <w:rFonts w:ascii="Simplified Arabic" w:hAnsi="Simplified Arabic" w:cs="Simplified Arabic" w:hint="cs"/>
          <w:sz w:val="24"/>
          <w:szCs w:val="24"/>
          <w:rtl/>
          <w:lang w:val="en-US" w:bidi="ar-DZ"/>
        </w:rPr>
        <w:t>.</w:t>
      </w:r>
      <w:r w:rsidRPr="00AE6620">
        <w:rPr>
          <w:rFonts w:ascii="Simplified Arabic" w:hAnsi="Simplified Arabic" w:cs="Simplified Arabic"/>
          <w:sz w:val="24"/>
          <w:szCs w:val="24"/>
          <w:rtl/>
          <w:lang w:val="en-US" w:bidi="ar-DZ"/>
        </w:rPr>
        <w:t xml:space="preserve"> </w:t>
      </w:r>
      <w:r w:rsidR="008F43B8">
        <w:rPr>
          <w:rFonts w:ascii="Simplified Arabic" w:hAnsi="Simplified Arabic" w:cs="Simplified Arabic" w:hint="cs"/>
          <w:sz w:val="24"/>
          <w:szCs w:val="24"/>
          <w:rtl/>
          <w:lang w:val="en-US" w:bidi="ar-DZ"/>
        </w:rPr>
        <w:t xml:space="preserve">لذا، </w:t>
      </w:r>
      <w:r w:rsidR="00F40E4D">
        <w:rPr>
          <w:rFonts w:ascii="Simplified Arabic" w:hAnsi="Simplified Arabic" w:cs="Simplified Arabic" w:hint="cs"/>
          <w:sz w:val="24"/>
          <w:szCs w:val="24"/>
          <w:rtl/>
          <w:lang w:val="en-US" w:bidi="ar-DZ"/>
        </w:rPr>
        <w:t xml:space="preserve">فان </w:t>
      </w:r>
      <w:r w:rsidR="00F40E4D" w:rsidRPr="00D70C97">
        <w:rPr>
          <w:rFonts w:ascii="Simplified Arabic" w:hAnsi="Simplified Arabic" w:cs="Simplified Arabic" w:hint="cs"/>
          <w:sz w:val="24"/>
          <w:szCs w:val="24"/>
          <w:rtl/>
          <w:lang w:val="en-US" w:bidi="ar-DZ"/>
        </w:rPr>
        <w:t>عملية دمج مفهوم</w:t>
      </w:r>
      <w:r w:rsidR="00F40E4D" w:rsidRPr="00D70C97">
        <w:rPr>
          <w:rFonts w:ascii="Simplified Arabic" w:hAnsi="Simplified Arabic" w:cs="Simplified Arabic"/>
          <w:sz w:val="24"/>
          <w:szCs w:val="24"/>
          <w:rtl/>
          <w:lang w:val="en-US" w:bidi="ar-DZ"/>
        </w:rPr>
        <w:t xml:space="preserve"> </w:t>
      </w:r>
      <w:r w:rsidR="00F40E4D" w:rsidRPr="00D70C97">
        <w:rPr>
          <w:rFonts w:ascii="Simplified Arabic" w:hAnsi="Simplified Arabic" w:cs="Simplified Arabic" w:hint="cs"/>
          <w:sz w:val="24"/>
          <w:szCs w:val="24"/>
          <w:rtl/>
          <w:lang w:val="en-US" w:bidi="ar-DZ"/>
        </w:rPr>
        <w:t>المرونة</w:t>
      </w:r>
      <w:r w:rsidR="00F40E4D" w:rsidRPr="00D70C97">
        <w:rPr>
          <w:rFonts w:ascii="Simplified Arabic" w:hAnsi="Simplified Arabic" w:cs="Simplified Arabic"/>
          <w:sz w:val="24"/>
          <w:szCs w:val="24"/>
          <w:rtl/>
          <w:lang w:val="en-US" w:bidi="ar-DZ"/>
        </w:rPr>
        <w:t xml:space="preserve"> </w:t>
      </w:r>
      <w:r w:rsidR="006433F1">
        <w:rPr>
          <w:rFonts w:ascii="Simplified Arabic" w:hAnsi="Simplified Arabic" w:cs="Simplified Arabic" w:hint="cs"/>
          <w:sz w:val="24"/>
          <w:szCs w:val="24"/>
          <w:rtl/>
          <w:lang w:val="en-US" w:bidi="ar-DZ"/>
        </w:rPr>
        <w:t xml:space="preserve">الحضرية </w:t>
      </w:r>
      <w:r w:rsidR="00F40E4D" w:rsidRPr="00D70C97">
        <w:rPr>
          <w:rFonts w:ascii="Simplified Arabic" w:hAnsi="Simplified Arabic" w:cs="Simplified Arabic" w:hint="cs"/>
          <w:sz w:val="24"/>
          <w:szCs w:val="24"/>
          <w:rtl/>
          <w:lang w:val="en-US" w:bidi="ar-DZ"/>
        </w:rPr>
        <w:t>ضمن استراتيجيات التسيير</w:t>
      </w:r>
      <w:r w:rsidR="00F40E4D" w:rsidRPr="00D70C97">
        <w:rPr>
          <w:rFonts w:ascii="Simplified Arabic" w:hAnsi="Simplified Arabic" w:cs="Simplified Arabic"/>
          <w:sz w:val="24"/>
          <w:szCs w:val="24"/>
          <w:rtl/>
          <w:lang w:val="en-US" w:bidi="ar-DZ"/>
        </w:rPr>
        <w:t xml:space="preserve"> </w:t>
      </w:r>
      <w:r w:rsidR="00F40E4D" w:rsidRPr="00D70C97">
        <w:rPr>
          <w:rFonts w:ascii="Simplified Arabic" w:hAnsi="Simplified Arabic" w:cs="Simplified Arabic" w:hint="cs"/>
          <w:sz w:val="24"/>
          <w:szCs w:val="24"/>
          <w:rtl/>
          <w:lang w:val="en-US" w:bidi="ar-DZ"/>
        </w:rPr>
        <w:t>والتخطيط الحضريين</w:t>
      </w:r>
      <w:r w:rsidR="00F40E4D">
        <w:rPr>
          <w:rFonts w:ascii="Simplified Arabic" w:hAnsi="Simplified Arabic" w:cs="Simplified Arabic" w:hint="cs"/>
          <w:sz w:val="24"/>
          <w:szCs w:val="24"/>
          <w:rtl/>
          <w:lang w:val="en-US" w:bidi="ar-DZ"/>
        </w:rPr>
        <w:t xml:space="preserve">، </w:t>
      </w:r>
      <w:r>
        <w:rPr>
          <w:rFonts w:ascii="Simplified Arabic" w:hAnsi="Simplified Arabic" w:cs="Simplified Arabic" w:hint="cs"/>
          <w:sz w:val="24"/>
          <w:szCs w:val="24"/>
          <w:rtl/>
          <w:lang w:val="en-US" w:bidi="ar-DZ"/>
        </w:rPr>
        <w:t>توفر</w:t>
      </w:r>
      <w:r w:rsidRPr="00D70C97">
        <w:rPr>
          <w:rFonts w:ascii="Simplified Arabic" w:hAnsi="Simplified Arabic" w:cs="Simplified Arabic" w:hint="cs"/>
          <w:sz w:val="24"/>
          <w:szCs w:val="24"/>
          <w:rtl/>
          <w:lang w:val="en-US" w:bidi="ar-DZ"/>
        </w:rPr>
        <w:t xml:space="preserve"> </w:t>
      </w:r>
      <w:r w:rsidRPr="00AE6620">
        <w:rPr>
          <w:rFonts w:ascii="Simplified Arabic" w:hAnsi="Simplified Arabic" w:cs="Simplified Arabic"/>
          <w:sz w:val="24"/>
          <w:szCs w:val="24"/>
          <w:rtl/>
          <w:lang w:val="en-US" w:bidi="ar-DZ"/>
        </w:rPr>
        <w:t xml:space="preserve">إطارًا غنيًا </w:t>
      </w:r>
      <w:r>
        <w:rPr>
          <w:rFonts w:ascii="Simplified Arabic" w:hAnsi="Simplified Arabic" w:cs="Simplified Arabic" w:hint="cs"/>
          <w:sz w:val="24"/>
          <w:szCs w:val="24"/>
          <w:rtl/>
          <w:lang w:val="en-US" w:bidi="ar-DZ"/>
        </w:rPr>
        <w:t xml:space="preserve">لتحسين قدرة المدن </w:t>
      </w:r>
      <w:r w:rsidR="00F8136E">
        <w:rPr>
          <w:rFonts w:ascii="Simplified Arabic" w:hAnsi="Simplified Arabic" w:cs="Simplified Arabic" w:hint="cs"/>
          <w:sz w:val="24"/>
          <w:szCs w:val="24"/>
          <w:rtl/>
          <w:lang w:val="en-US" w:bidi="ar-DZ"/>
        </w:rPr>
        <w:t>على الاستجابة والتكيّف</w:t>
      </w:r>
      <w:r>
        <w:rPr>
          <w:rFonts w:ascii="Simplified Arabic" w:hAnsi="Simplified Arabic" w:cs="Simplified Arabic" w:hint="cs"/>
          <w:sz w:val="24"/>
          <w:szCs w:val="24"/>
          <w:rtl/>
          <w:lang w:val="en-US" w:bidi="ar-DZ"/>
        </w:rPr>
        <w:t>.</w:t>
      </w:r>
      <w:r w:rsidR="006F1380">
        <w:rPr>
          <w:rFonts w:ascii="Simplified Arabic" w:hAnsi="Simplified Arabic" w:cs="Simplified Arabic"/>
          <w:sz w:val="24"/>
          <w:szCs w:val="24"/>
          <w:rtl/>
          <w:lang w:val="en-US" w:bidi="ar-DZ"/>
        </w:rPr>
        <w:t xml:space="preserve"> </w:t>
      </w:r>
    </w:p>
    <w:p w:rsidR="005F74C1" w:rsidRDefault="00EE6A21" w:rsidP="00AB0309">
      <w:pPr>
        <w:autoSpaceDE w:val="0"/>
        <w:autoSpaceDN w:val="0"/>
        <w:bidi/>
        <w:adjustRightInd w:val="0"/>
        <w:spacing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val="en-US" w:bidi="ar-DZ"/>
        </w:rPr>
        <w:t xml:space="preserve">رغم كل المقاربات التي تناولت </w:t>
      </w:r>
      <w:r w:rsidRPr="00A67EEC">
        <w:rPr>
          <w:rFonts w:ascii="Simplified Arabic" w:hAnsi="Simplified Arabic" w:cs="Simplified Arabic"/>
          <w:sz w:val="24"/>
          <w:szCs w:val="24"/>
          <w:rtl/>
          <w:lang w:val="en-US" w:bidi="ar-DZ"/>
        </w:rPr>
        <w:t xml:space="preserve">مفهوم </w:t>
      </w:r>
      <w:r w:rsidR="00831D27">
        <w:rPr>
          <w:rFonts w:ascii="Simplified Arabic" w:hAnsi="Simplified Arabic" w:cs="Simplified Arabic" w:hint="cs"/>
          <w:sz w:val="24"/>
          <w:szCs w:val="24"/>
          <w:rtl/>
          <w:lang w:val="en-US" w:bidi="ar-DZ"/>
        </w:rPr>
        <w:t xml:space="preserve">المرونة الحضرية </w:t>
      </w:r>
      <w:r>
        <w:rPr>
          <w:rFonts w:ascii="Simplified Arabic" w:hAnsi="Simplified Arabic" w:cs="Simplified Arabic" w:hint="cs"/>
          <w:sz w:val="24"/>
          <w:szCs w:val="24"/>
          <w:rtl/>
          <w:lang w:val="en-US" w:bidi="ar-DZ"/>
        </w:rPr>
        <w:t>من عدة جوانب</w:t>
      </w:r>
      <w:r w:rsidR="00831D27">
        <w:rPr>
          <w:rFonts w:ascii="Simplified Arabic" w:hAnsi="Simplified Arabic" w:cs="Simplified Arabic" w:hint="cs"/>
          <w:sz w:val="24"/>
          <w:szCs w:val="24"/>
          <w:rtl/>
          <w:lang w:val="en-US" w:bidi="ar-DZ"/>
        </w:rPr>
        <w:t>،</w:t>
      </w:r>
      <w:r>
        <w:rPr>
          <w:rFonts w:ascii="Simplified Arabic" w:hAnsi="Simplified Arabic" w:cs="Simplified Arabic" w:hint="cs"/>
          <w:sz w:val="24"/>
          <w:szCs w:val="24"/>
          <w:rtl/>
          <w:lang w:val="en-US" w:bidi="ar-DZ"/>
        </w:rPr>
        <w:t xml:space="preserve"> الا </w:t>
      </w:r>
      <w:r w:rsidR="00F8136E">
        <w:rPr>
          <w:rFonts w:ascii="Simplified Arabic" w:hAnsi="Simplified Arabic" w:cs="Simplified Arabic" w:hint="cs"/>
          <w:sz w:val="24"/>
          <w:szCs w:val="24"/>
          <w:rtl/>
          <w:lang w:val="en-US" w:bidi="ar-DZ"/>
        </w:rPr>
        <w:t>ان تقييم</w:t>
      </w:r>
      <w:r w:rsidR="00831D27">
        <w:rPr>
          <w:rFonts w:ascii="Simplified Arabic" w:hAnsi="Simplified Arabic" w:cs="Simplified Arabic" w:hint="cs"/>
          <w:sz w:val="24"/>
          <w:szCs w:val="24"/>
          <w:rtl/>
          <w:lang w:val="en-US" w:bidi="ar-DZ"/>
        </w:rPr>
        <w:t>ها في اغلب الاحيان،</w:t>
      </w:r>
      <w:r w:rsidR="00F8136E">
        <w:rPr>
          <w:rFonts w:ascii="Simplified Arabic" w:hAnsi="Simplified Arabic" w:cs="Simplified Arabic" w:hint="cs"/>
          <w:sz w:val="24"/>
          <w:szCs w:val="24"/>
          <w:rtl/>
          <w:lang w:val="en-US" w:bidi="ar-DZ"/>
        </w:rPr>
        <w:t xml:space="preserve"> </w:t>
      </w:r>
      <w:r w:rsidR="00594318">
        <w:rPr>
          <w:rFonts w:ascii="Simplified Arabic" w:hAnsi="Simplified Arabic" w:cs="Simplified Arabic" w:hint="cs"/>
          <w:sz w:val="24"/>
          <w:szCs w:val="24"/>
          <w:rtl/>
          <w:lang w:val="en-US" w:bidi="ar-DZ"/>
        </w:rPr>
        <w:t xml:space="preserve">يتم </w:t>
      </w:r>
      <w:r w:rsidR="00F8136E">
        <w:rPr>
          <w:rFonts w:ascii="Simplified Arabic" w:hAnsi="Simplified Arabic" w:cs="Simplified Arabic" w:hint="cs"/>
          <w:sz w:val="24"/>
          <w:szCs w:val="24"/>
          <w:rtl/>
          <w:lang w:val="en-US" w:bidi="ar-DZ"/>
        </w:rPr>
        <w:t>على نطاق واسع لا يلبي احتياجات ال</w:t>
      </w:r>
      <w:r w:rsidR="00F40E4D">
        <w:rPr>
          <w:rFonts w:ascii="Simplified Arabic" w:hAnsi="Simplified Arabic" w:cs="Simplified Arabic" w:hint="cs"/>
          <w:sz w:val="24"/>
          <w:szCs w:val="24"/>
          <w:rtl/>
          <w:lang w:val="en-US" w:bidi="ar-DZ"/>
        </w:rPr>
        <w:t>مخططين والمصممين الحضريين</w:t>
      </w:r>
      <w:r w:rsidR="00594318">
        <w:rPr>
          <w:rFonts w:ascii="Simplified Arabic" w:hAnsi="Simplified Arabic" w:cs="Simplified Arabic" w:hint="cs"/>
          <w:sz w:val="24"/>
          <w:szCs w:val="24"/>
          <w:rtl/>
          <w:lang w:val="en-US" w:bidi="ar-DZ"/>
        </w:rPr>
        <w:t>،</w:t>
      </w:r>
      <w:r w:rsidR="00594318" w:rsidRPr="00594318">
        <w:rPr>
          <w:rFonts w:ascii="Simplified Arabic" w:hAnsi="Simplified Arabic" w:cs="Simplified Arabic" w:hint="cs"/>
          <w:sz w:val="24"/>
          <w:szCs w:val="24"/>
          <w:rtl/>
          <w:lang w:bidi="ar-DZ"/>
        </w:rPr>
        <w:t xml:space="preserve"> </w:t>
      </w:r>
      <w:r w:rsidR="00594318">
        <w:rPr>
          <w:rFonts w:ascii="Simplified Arabic" w:hAnsi="Simplified Arabic" w:cs="Simplified Arabic" w:hint="cs"/>
          <w:sz w:val="24"/>
          <w:szCs w:val="24"/>
          <w:rtl/>
          <w:lang w:bidi="ar-DZ"/>
        </w:rPr>
        <w:t xml:space="preserve">حتى انها لم تتعرض الى موضوع </w:t>
      </w:r>
      <w:r w:rsidR="000D1111">
        <w:rPr>
          <w:rFonts w:ascii="Simplified Arabic" w:hAnsi="Simplified Arabic" w:cs="Simplified Arabic" w:hint="cs"/>
          <w:sz w:val="24"/>
          <w:szCs w:val="24"/>
          <w:rtl/>
        </w:rPr>
        <w:t>استعمال</w:t>
      </w:r>
      <w:r w:rsidR="00594318">
        <w:rPr>
          <w:rFonts w:ascii="Simplified Arabic" w:hAnsi="Simplified Arabic" w:cs="Simplified Arabic" w:hint="cs"/>
          <w:sz w:val="24"/>
          <w:szCs w:val="24"/>
          <w:rtl/>
          <w:lang w:bidi="ar-DZ"/>
        </w:rPr>
        <w:t xml:space="preserve"> الارض الحضرية والى ما تؤول </w:t>
      </w:r>
      <w:r w:rsidR="006433F1">
        <w:rPr>
          <w:rFonts w:ascii="Simplified Arabic" w:hAnsi="Simplified Arabic" w:cs="Simplified Arabic" w:hint="cs"/>
          <w:sz w:val="24"/>
          <w:szCs w:val="24"/>
          <w:rtl/>
          <w:lang w:bidi="ar-DZ"/>
        </w:rPr>
        <w:t>ل</w:t>
      </w:r>
      <w:r w:rsidR="00594318">
        <w:rPr>
          <w:rFonts w:ascii="Simplified Arabic" w:hAnsi="Simplified Arabic" w:cs="Simplified Arabic" w:hint="cs"/>
          <w:sz w:val="24"/>
          <w:szCs w:val="24"/>
          <w:rtl/>
          <w:lang w:bidi="ar-DZ"/>
        </w:rPr>
        <w:t xml:space="preserve">ه </w:t>
      </w:r>
      <w:r w:rsidR="00831D27">
        <w:rPr>
          <w:rFonts w:ascii="Simplified Arabic" w:hAnsi="Simplified Arabic" w:cs="Simplified Arabic" w:hint="cs"/>
          <w:sz w:val="24"/>
          <w:szCs w:val="24"/>
          <w:rtl/>
          <w:lang w:bidi="ar-DZ"/>
        </w:rPr>
        <w:t>ال</w:t>
      </w:r>
      <w:r w:rsidR="00594318">
        <w:rPr>
          <w:rFonts w:ascii="Simplified Arabic" w:hAnsi="Simplified Arabic" w:cs="Simplified Arabic" w:hint="cs"/>
          <w:sz w:val="24"/>
          <w:szCs w:val="24"/>
          <w:rtl/>
          <w:lang w:bidi="ar-DZ"/>
        </w:rPr>
        <w:t>قدر</w:t>
      </w:r>
      <w:r w:rsidR="00831D27">
        <w:rPr>
          <w:rFonts w:ascii="Simplified Arabic" w:hAnsi="Simplified Arabic" w:cs="Simplified Arabic" w:hint="cs"/>
          <w:sz w:val="24"/>
          <w:szCs w:val="24"/>
          <w:rtl/>
          <w:lang w:bidi="ar-DZ"/>
        </w:rPr>
        <w:t>ة على</w:t>
      </w:r>
      <w:r w:rsidR="00594318">
        <w:rPr>
          <w:rFonts w:ascii="Simplified Arabic" w:hAnsi="Simplified Arabic" w:cs="Simplified Arabic" w:hint="cs"/>
          <w:sz w:val="24"/>
          <w:szCs w:val="24"/>
          <w:rtl/>
          <w:lang w:bidi="ar-DZ"/>
        </w:rPr>
        <w:t xml:space="preserve"> استجابة عناصر الأنظمة الحضرية.</w:t>
      </w:r>
      <w:r w:rsidR="00EB5CE2">
        <w:rPr>
          <w:rFonts w:ascii="Simplified Arabic" w:hAnsi="Simplified Arabic" w:cs="Simplified Arabic" w:hint="cs"/>
          <w:sz w:val="24"/>
          <w:szCs w:val="24"/>
          <w:rtl/>
          <w:lang w:val="en-US" w:bidi="ar-DZ"/>
        </w:rPr>
        <w:t xml:space="preserve"> </w:t>
      </w:r>
    </w:p>
    <w:p w:rsidR="005F74C1" w:rsidRDefault="00594318" w:rsidP="00655549">
      <w:pPr>
        <w:autoSpaceDE w:val="0"/>
        <w:autoSpaceDN w:val="0"/>
        <w:bidi/>
        <w:adjustRightInd w:val="0"/>
        <w:spacing w:after="0"/>
        <w:ind w:firstLine="283"/>
        <w:jc w:val="both"/>
        <w:rPr>
          <w:rFonts w:ascii="Simplified Arabic" w:hAnsi="Simplified Arabic" w:cs="Simplified Arabic"/>
          <w:sz w:val="24"/>
          <w:szCs w:val="24"/>
          <w:rtl/>
          <w:lang w:val="en-US" w:bidi="ar-DZ"/>
        </w:rPr>
      </w:pPr>
      <w:r>
        <w:rPr>
          <w:rFonts w:ascii="Simplified Arabic" w:hAnsi="Simplified Arabic" w:cs="Simplified Arabic" w:hint="cs"/>
          <w:sz w:val="24"/>
          <w:szCs w:val="24"/>
          <w:rtl/>
          <w:lang w:bidi="ar-DZ"/>
        </w:rPr>
        <w:t>لذا، فان</w:t>
      </w:r>
      <w:r w:rsidR="00EB5CE2" w:rsidRPr="00A45C63">
        <w:rPr>
          <w:rFonts w:ascii="Simplified Arabic" w:hAnsi="Simplified Arabic" w:cs="Simplified Arabic" w:hint="cs"/>
          <w:sz w:val="24"/>
          <w:szCs w:val="24"/>
          <w:rtl/>
          <w:lang w:bidi="ar-DZ"/>
        </w:rPr>
        <w:t xml:space="preserve"> تحديد</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مقاييس</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 xml:space="preserve">تقييم </w:t>
      </w:r>
      <w:r>
        <w:rPr>
          <w:rFonts w:ascii="Simplified Arabic" w:hAnsi="Simplified Arabic" w:cs="Simplified Arabic" w:hint="cs"/>
          <w:sz w:val="24"/>
          <w:szCs w:val="24"/>
          <w:rtl/>
          <w:lang w:bidi="ar-DZ"/>
        </w:rPr>
        <w:t>ال</w:t>
      </w:r>
      <w:r w:rsidR="00EB5CE2" w:rsidRPr="00A45C63">
        <w:rPr>
          <w:rFonts w:ascii="Simplified Arabic" w:hAnsi="Simplified Arabic" w:cs="Simplified Arabic" w:hint="cs"/>
          <w:sz w:val="24"/>
          <w:szCs w:val="24"/>
          <w:rtl/>
          <w:lang w:bidi="ar-DZ"/>
        </w:rPr>
        <w:t>مرونة</w:t>
      </w:r>
      <w:r w:rsidR="00EB5CE2" w:rsidRPr="00A45C63">
        <w:rPr>
          <w:rFonts w:ascii="Simplified Arabic" w:hAnsi="Simplified Arabic" w:cs="Simplified Arabic"/>
          <w:sz w:val="24"/>
          <w:szCs w:val="24"/>
          <w:rtl/>
          <w:lang w:bidi="ar-DZ"/>
        </w:rPr>
        <w:t xml:space="preserve"> </w:t>
      </w:r>
      <w:r w:rsidR="006433F1">
        <w:rPr>
          <w:rFonts w:ascii="Simplified Arabic" w:hAnsi="Simplified Arabic" w:cs="Simplified Arabic" w:hint="cs"/>
          <w:sz w:val="24"/>
          <w:szCs w:val="24"/>
          <w:rtl/>
          <w:lang w:bidi="ar-DZ"/>
        </w:rPr>
        <w:t xml:space="preserve">الحضرية </w:t>
      </w:r>
      <w:r>
        <w:rPr>
          <w:rFonts w:ascii="Simplified Arabic" w:hAnsi="Simplified Arabic" w:cs="Simplified Arabic" w:hint="cs"/>
          <w:sz w:val="24"/>
          <w:szCs w:val="24"/>
          <w:rtl/>
          <w:lang w:bidi="ar-DZ"/>
        </w:rPr>
        <w:t xml:space="preserve">على نطاق </w:t>
      </w:r>
      <w:r w:rsidR="00EB5CE2" w:rsidRPr="00A45C63">
        <w:rPr>
          <w:rFonts w:ascii="Simplified Arabic" w:hAnsi="Simplified Arabic" w:cs="Simplified Arabic" w:hint="cs"/>
          <w:sz w:val="24"/>
          <w:szCs w:val="24"/>
          <w:rtl/>
          <w:lang w:bidi="ar-DZ"/>
        </w:rPr>
        <w:t>البيئة</w:t>
      </w:r>
      <w:r w:rsidR="00EB5CE2" w:rsidRPr="00A45C63">
        <w:rPr>
          <w:rFonts w:ascii="Simplified Arabic" w:hAnsi="Simplified Arabic" w:cs="Simplified Arabic"/>
          <w:sz w:val="24"/>
          <w:szCs w:val="24"/>
          <w:rtl/>
          <w:lang w:bidi="ar-DZ"/>
        </w:rPr>
        <w:t xml:space="preserve"> </w:t>
      </w:r>
      <w:r w:rsidR="008E533E">
        <w:rPr>
          <w:rFonts w:ascii="Simplified Arabic" w:hAnsi="Simplified Arabic" w:cs="Simplified Arabic" w:hint="cs"/>
          <w:sz w:val="24"/>
          <w:szCs w:val="24"/>
          <w:rtl/>
          <w:lang w:val="en-US"/>
        </w:rPr>
        <w:t>الحضرية</w:t>
      </w:r>
      <w:r w:rsidR="008E533E">
        <w:rPr>
          <w:rFonts w:ascii="Simplified Arabic" w:hAnsi="Simplified Arabic" w:cs="Simplified Arabic" w:hint="cs"/>
          <w:sz w:val="24"/>
          <w:szCs w:val="24"/>
          <w:rtl/>
          <w:lang w:bidi="ar-DZ"/>
        </w:rPr>
        <w:t xml:space="preserve"> </w:t>
      </w:r>
      <w:r w:rsidR="008F43B8">
        <w:rPr>
          <w:rFonts w:ascii="Simplified Arabic" w:hAnsi="Simplified Arabic" w:cs="Simplified Arabic" w:hint="cs"/>
          <w:sz w:val="24"/>
          <w:szCs w:val="24"/>
          <w:rtl/>
          <w:lang w:bidi="ar-DZ"/>
        </w:rPr>
        <w:t>(</w:t>
      </w:r>
      <w:r w:rsidR="006433F1">
        <w:rPr>
          <w:rFonts w:ascii="Simplified Arabic" w:hAnsi="Simplified Arabic" w:cs="Simplified Arabic" w:hint="cs"/>
          <w:sz w:val="24"/>
          <w:szCs w:val="24"/>
          <w:rtl/>
          <w:lang w:bidi="ar-DZ"/>
        </w:rPr>
        <w:t>الحي السكني</w:t>
      </w:r>
      <w:r w:rsidR="008F43B8">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في</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نموذج</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شامل</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يحتاج</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إلى</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نهج</w:t>
      </w:r>
      <w:r w:rsidR="00EB5CE2" w:rsidRPr="00A45C63">
        <w:rPr>
          <w:rFonts w:ascii="Simplified Arabic" w:hAnsi="Simplified Arabic" w:cs="Simplified Arabic"/>
          <w:sz w:val="24"/>
          <w:szCs w:val="24"/>
          <w:rtl/>
          <w:lang w:bidi="ar-DZ"/>
        </w:rPr>
        <w:t xml:space="preserve"> </w:t>
      </w:r>
      <w:r w:rsidR="00EB5CE2" w:rsidRPr="00A45C63">
        <w:rPr>
          <w:rFonts w:ascii="Simplified Arabic" w:hAnsi="Simplified Arabic" w:cs="Simplified Arabic" w:hint="cs"/>
          <w:sz w:val="24"/>
          <w:szCs w:val="24"/>
          <w:rtl/>
          <w:lang w:bidi="ar-DZ"/>
        </w:rPr>
        <w:t>مختلف</w:t>
      </w:r>
      <w:r w:rsidR="005F74C1">
        <w:rPr>
          <w:rFonts w:ascii="Simplified Arabic" w:hAnsi="Simplified Arabic" w:cs="Simplified Arabic" w:hint="cs"/>
          <w:sz w:val="24"/>
          <w:szCs w:val="24"/>
          <w:rtl/>
          <w:lang w:bidi="ar-DZ"/>
        </w:rPr>
        <w:t xml:space="preserve">. </w:t>
      </w:r>
      <w:r w:rsidR="00EE6A21" w:rsidRPr="00A67EEC">
        <w:rPr>
          <w:rFonts w:ascii="Simplified Arabic" w:hAnsi="Simplified Arabic" w:cs="Simplified Arabic"/>
          <w:sz w:val="24"/>
          <w:szCs w:val="24"/>
          <w:rtl/>
          <w:lang w:val="en-US" w:bidi="ar-DZ"/>
        </w:rPr>
        <w:t xml:space="preserve">حاول النهج المقترح </w:t>
      </w:r>
      <w:r w:rsidR="008F43B8">
        <w:rPr>
          <w:rFonts w:ascii="Simplified Arabic" w:hAnsi="Simplified Arabic" w:cs="Simplified Arabic" w:hint="cs"/>
          <w:sz w:val="24"/>
          <w:szCs w:val="24"/>
          <w:rtl/>
          <w:lang w:val="en-US" w:bidi="ar-DZ"/>
        </w:rPr>
        <w:t xml:space="preserve">لهذا البحث </w:t>
      </w:r>
      <w:r w:rsidR="00EE6A21" w:rsidRPr="00A67EEC">
        <w:rPr>
          <w:rFonts w:ascii="Simplified Arabic" w:hAnsi="Simplified Arabic" w:cs="Simplified Arabic"/>
          <w:sz w:val="24"/>
          <w:szCs w:val="24"/>
          <w:rtl/>
          <w:lang w:val="en-US" w:bidi="ar-DZ"/>
        </w:rPr>
        <w:t xml:space="preserve">التغلب على الحدود النظرية </w:t>
      </w:r>
      <w:r w:rsidR="00EE6A21" w:rsidRPr="00F40E4D">
        <w:rPr>
          <w:rFonts w:ascii="Simplified Arabic" w:hAnsi="Simplified Arabic" w:cs="Simplified Arabic"/>
          <w:sz w:val="24"/>
          <w:szCs w:val="24"/>
          <w:rtl/>
          <w:lang w:val="en-US" w:bidi="ar-DZ"/>
        </w:rPr>
        <w:t>لت</w:t>
      </w:r>
      <w:r w:rsidR="00EE6A21" w:rsidRPr="00F40E4D">
        <w:rPr>
          <w:rFonts w:ascii="Simplified Arabic" w:hAnsi="Simplified Arabic" w:cs="Simplified Arabic" w:hint="cs"/>
          <w:sz w:val="24"/>
          <w:szCs w:val="24"/>
          <w:rtl/>
          <w:lang w:val="en-US" w:bidi="ar-DZ"/>
        </w:rPr>
        <w:t>فع</w:t>
      </w:r>
      <w:r w:rsidR="00EE6A21" w:rsidRPr="00F40E4D">
        <w:rPr>
          <w:rFonts w:ascii="Simplified Arabic" w:hAnsi="Simplified Arabic" w:cs="Simplified Arabic"/>
          <w:sz w:val="24"/>
          <w:szCs w:val="24"/>
          <w:rtl/>
          <w:lang w:val="en-US" w:bidi="ar-DZ"/>
        </w:rPr>
        <w:t>يل</w:t>
      </w:r>
      <w:r w:rsidR="00EE6A21" w:rsidRPr="00A67EEC">
        <w:rPr>
          <w:rFonts w:ascii="Simplified Arabic" w:hAnsi="Simplified Arabic" w:cs="Simplified Arabic"/>
          <w:sz w:val="24"/>
          <w:szCs w:val="24"/>
          <w:rtl/>
          <w:lang w:val="en-US" w:bidi="ar-DZ"/>
        </w:rPr>
        <w:t xml:space="preserve"> </w:t>
      </w:r>
      <w:r w:rsidR="00B352F3">
        <w:rPr>
          <w:rFonts w:ascii="Simplified Arabic" w:hAnsi="Simplified Arabic" w:cs="Simplified Arabic" w:hint="cs"/>
          <w:sz w:val="24"/>
          <w:szCs w:val="24"/>
          <w:rtl/>
          <w:lang w:val="en-US" w:bidi="ar-DZ"/>
        </w:rPr>
        <w:t>ا</w:t>
      </w:r>
      <w:r w:rsidR="00EE6A21" w:rsidRPr="00A67EEC">
        <w:rPr>
          <w:rFonts w:ascii="Simplified Arabic" w:hAnsi="Simplified Arabic" w:cs="Simplified Arabic"/>
          <w:sz w:val="24"/>
          <w:szCs w:val="24"/>
          <w:rtl/>
          <w:lang w:val="en-US" w:bidi="ar-DZ"/>
        </w:rPr>
        <w:t>لمرونة الحضرية</w:t>
      </w:r>
      <w:r w:rsidR="00F70E2D">
        <w:rPr>
          <w:rFonts w:ascii="Simplified Arabic" w:hAnsi="Simplified Arabic" w:cs="Simplified Arabic" w:hint="cs"/>
          <w:sz w:val="24"/>
          <w:szCs w:val="24"/>
          <w:rtl/>
          <w:lang w:val="en-US" w:bidi="ar-DZ"/>
        </w:rPr>
        <w:t>،</w:t>
      </w:r>
      <w:r w:rsidR="00EE6A21" w:rsidRPr="00A67EEC">
        <w:rPr>
          <w:rFonts w:ascii="Simplified Arabic" w:hAnsi="Simplified Arabic" w:cs="Simplified Arabic"/>
          <w:sz w:val="24"/>
          <w:szCs w:val="24"/>
          <w:rtl/>
          <w:lang w:val="en-US" w:bidi="ar-DZ"/>
        </w:rPr>
        <w:t xml:space="preserve"> من خلال اقتراح </w:t>
      </w:r>
      <w:r w:rsidR="001B06E3">
        <w:rPr>
          <w:rFonts w:ascii="Simplified Arabic" w:hAnsi="Simplified Arabic" w:cs="Simplified Arabic" w:hint="cs"/>
          <w:color w:val="000000"/>
          <w:sz w:val="24"/>
          <w:szCs w:val="24"/>
          <w:rtl/>
        </w:rPr>
        <w:t xml:space="preserve">اطار </w:t>
      </w:r>
      <w:r w:rsidR="001B06E3" w:rsidRPr="002D3568">
        <w:rPr>
          <w:rFonts w:ascii="Simplified Arabic" w:hAnsi="Simplified Arabic" w:cs="Simplified Arabic" w:hint="cs"/>
          <w:color w:val="000000"/>
          <w:sz w:val="24"/>
          <w:szCs w:val="24"/>
          <w:rtl/>
        </w:rPr>
        <w:t>عمل</w:t>
      </w:r>
      <w:r w:rsidR="001B06E3" w:rsidRPr="00A67EEC">
        <w:rPr>
          <w:rFonts w:ascii="Simplified Arabic" w:hAnsi="Simplified Arabic" w:cs="Simplified Arabic"/>
          <w:sz w:val="24"/>
          <w:szCs w:val="24"/>
          <w:rtl/>
          <w:lang w:val="en-US" w:bidi="ar-DZ"/>
        </w:rPr>
        <w:t xml:space="preserve"> </w:t>
      </w:r>
      <w:r w:rsidR="001B06E3">
        <w:rPr>
          <w:rFonts w:ascii="Simplified Arabic" w:hAnsi="Simplified Arabic" w:cs="Simplified Arabic" w:hint="cs"/>
          <w:sz w:val="24"/>
          <w:szCs w:val="24"/>
          <w:rtl/>
          <w:lang w:val="en-US" w:bidi="ar-DZ"/>
        </w:rPr>
        <w:t>ي</w:t>
      </w:r>
      <w:r w:rsidR="00EE6A21" w:rsidRPr="00A67EEC">
        <w:rPr>
          <w:rFonts w:ascii="Simplified Arabic" w:hAnsi="Simplified Arabic" w:cs="Simplified Arabic"/>
          <w:sz w:val="24"/>
          <w:szCs w:val="24"/>
          <w:rtl/>
          <w:lang w:val="en-US" w:bidi="ar-DZ"/>
        </w:rPr>
        <w:t xml:space="preserve">سمح ببناء نظام دعم </w:t>
      </w:r>
      <w:r w:rsidR="00655549">
        <w:rPr>
          <w:rFonts w:ascii="Simplified Arabic" w:hAnsi="Simplified Arabic" w:cs="Simplified Arabic"/>
          <w:sz w:val="24"/>
          <w:szCs w:val="24"/>
          <w:rtl/>
          <w:lang w:val="en-US" w:bidi="ar-DZ"/>
        </w:rPr>
        <w:t xml:space="preserve">قرار </w:t>
      </w:r>
      <w:r w:rsidR="00EE6A21" w:rsidRPr="00A67EEC">
        <w:rPr>
          <w:rFonts w:ascii="Simplified Arabic" w:hAnsi="Simplified Arabic" w:cs="Simplified Arabic"/>
          <w:sz w:val="24"/>
          <w:szCs w:val="24"/>
          <w:rtl/>
          <w:lang w:val="en-US" w:bidi="ar-DZ"/>
        </w:rPr>
        <w:t>مكاني</w:t>
      </w:r>
      <w:r w:rsidR="00EE6A21" w:rsidRPr="00A67EEC">
        <w:rPr>
          <w:rFonts w:ascii="Simplified Arabic" w:hAnsi="Simplified Arabic" w:cs="Simplified Arabic"/>
          <w:sz w:val="24"/>
          <w:szCs w:val="24"/>
          <w:lang w:val="en-US" w:bidi="ar-DZ"/>
        </w:rPr>
        <w:t>.</w:t>
      </w:r>
      <w:r w:rsidR="00EE6A21">
        <w:rPr>
          <w:rFonts w:ascii="Simplified Arabic" w:hAnsi="Simplified Arabic" w:cs="Simplified Arabic" w:hint="cs"/>
          <w:sz w:val="24"/>
          <w:szCs w:val="24"/>
          <w:rtl/>
          <w:lang w:val="en-US" w:bidi="ar-DZ"/>
        </w:rPr>
        <w:t xml:space="preserve"> </w:t>
      </w:r>
    </w:p>
    <w:p w:rsidR="00F70E2D" w:rsidRPr="00E06F27" w:rsidRDefault="00F70E2D" w:rsidP="000D1111">
      <w:pPr>
        <w:autoSpaceDE w:val="0"/>
        <w:autoSpaceDN w:val="0"/>
        <w:bidi/>
        <w:adjustRightInd w:val="0"/>
        <w:spacing w:after="0"/>
        <w:ind w:firstLine="283"/>
        <w:jc w:val="both"/>
        <w:rPr>
          <w:rStyle w:val="y2iqfc"/>
          <w:rFonts w:ascii="Simplified Arabic" w:hAnsi="Simplified Arabic" w:cs="Simplified Arabic"/>
          <w:color w:val="202124"/>
          <w:sz w:val="24"/>
          <w:szCs w:val="24"/>
          <w:rtl/>
          <w:lang w:bidi="ar"/>
        </w:rPr>
      </w:pPr>
      <w:r w:rsidRPr="002D3568">
        <w:rPr>
          <w:rFonts w:ascii="Simplified Arabic" w:hAnsi="Simplified Arabic" w:cs="Simplified Arabic" w:hint="cs"/>
          <w:color w:val="000000"/>
          <w:sz w:val="24"/>
          <w:szCs w:val="24"/>
          <w:rtl/>
        </w:rPr>
        <w:t>اثبتت نتائج اطار العمل</w:t>
      </w:r>
      <w:r w:rsidRPr="002D3568">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4"/>
          <w:szCs w:val="24"/>
          <w:rtl/>
        </w:rPr>
        <w:t>المقترح</w:t>
      </w:r>
      <w:r w:rsidR="00F40E4D">
        <w:rPr>
          <w:rFonts w:ascii="Simplified Arabic" w:hAnsi="Simplified Arabic" w:cs="Simplified Arabic" w:hint="cs"/>
          <w:color w:val="000000"/>
          <w:sz w:val="24"/>
          <w:szCs w:val="24"/>
          <w:rtl/>
        </w:rPr>
        <w:t>،</w:t>
      </w:r>
      <w:r>
        <w:rPr>
          <w:rFonts w:ascii="Simplified Arabic" w:hAnsi="Simplified Arabic" w:cs="Simplified Arabic" w:hint="cs"/>
          <w:color w:val="000000"/>
          <w:sz w:val="24"/>
          <w:szCs w:val="24"/>
          <w:rtl/>
        </w:rPr>
        <w:t xml:space="preserve"> </w:t>
      </w:r>
      <w:r w:rsidRPr="002D3568">
        <w:rPr>
          <w:rFonts w:ascii="Simplified Arabic" w:hAnsi="Simplified Arabic" w:cs="Simplified Arabic" w:hint="cs"/>
          <w:color w:val="000000"/>
          <w:sz w:val="24"/>
          <w:szCs w:val="24"/>
          <w:rtl/>
        </w:rPr>
        <w:t xml:space="preserve">ان </w:t>
      </w:r>
      <w:r w:rsidR="00F40E4D">
        <w:rPr>
          <w:rFonts w:ascii="Simplified Arabic" w:hAnsi="Simplified Arabic" w:cs="Simplified Arabic" w:hint="cs"/>
          <w:color w:val="000000"/>
          <w:sz w:val="24"/>
          <w:szCs w:val="24"/>
          <w:rtl/>
        </w:rPr>
        <w:t>الجمع</w:t>
      </w:r>
      <w:r w:rsidRPr="002D3568">
        <w:rPr>
          <w:rFonts w:ascii="Simplified Arabic" w:hAnsi="Simplified Arabic" w:cs="Simplified Arabic"/>
          <w:color w:val="000000"/>
          <w:sz w:val="24"/>
          <w:szCs w:val="24"/>
          <w:rtl/>
        </w:rPr>
        <w:t xml:space="preserve"> بين</w:t>
      </w:r>
      <w:r w:rsidRPr="002D3568">
        <w:rPr>
          <w:rFonts w:ascii="Simplified Arabic" w:hAnsi="Simplified Arabic" w:cs="Simplified Arabic" w:hint="cs"/>
          <w:color w:val="000000"/>
          <w:sz w:val="24"/>
          <w:szCs w:val="24"/>
          <w:rtl/>
        </w:rPr>
        <w:t xml:space="preserve"> طريقة دلفي</w:t>
      </w:r>
      <w:r w:rsidRPr="002D3568">
        <w:rPr>
          <w:rFonts w:ascii="Simplified Arabic" w:hAnsi="Simplified Arabic" w:cs="Simplified Arabic"/>
          <w:color w:val="000000"/>
          <w:sz w:val="24"/>
          <w:szCs w:val="24"/>
          <w:rtl/>
        </w:rPr>
        <w:t xml:space="preserve"> </w:t>
      </w:r>
      <w:r w:rsidRPr="002D3568">
        <w:rPr>
          <w:rFonts w:ascii="Simplified Arabic" w:hAnsi="Simplified Arabic" w:cs="Simplified Arabic" w:hint="cs"/>
          <w:color w:val="000000"/>
          <w:sz w:val="24"/>
          <w:szCs w:val="24"/>
          <w:rtl/>
        </w:rPr>
        <w:t xml:space="preserve">لتحديد </w:t>
      </w:r>
      <w:r w:rsidR="00F40E4D">
        <w:rPr>
          <w:rFonts w:ascii="Simplified Arabic" w:hAnsi="Simplified Arabic" w:cs="Simplified Arabic" w:hint="cs"/>
          <w:color w:val="000000"/>
          <w:sz w:val="24"/>
          <w:szCs w:val="24"/>
          <w:rtl/>
        </w:rPr>
        <w:t>معايير</w:t>
      </w:r>
      <w:r w:rsidRPr="002D3568">
        <w:rPr>
          <w:rFonts w:ascii="Simplified Arabic" w:hAnsi="Simplified Arabic" w:cs="Simplified Arabic" w:hint="cs"/>
          <w:color w:val="000000"/>
          <w:sz w:val="24"/>
          <w:szCs w:val="24"/>
          <w:rtl/>
        </w:rPr>
        <w:t xml:space="preserve"> تقييم </w:t>
      </w:r>
      <w:r w:rsidR="00F40E4D">
        <w:rPr>
          <w:rFonts w:ascii="Simplified Arabic" w:hAnsi="Simplified Arabic" w:cs="Simplified Arabic" w:hint="cs"/>
          <w:color w:val="000000"/>
          <w:sz w:val="24"/>
          <w:szCs w:val="24"/>
          <w:rtl/>
        </w:rPr>
        <w:t xml:space="preserve">المرونة </w:t>
      </w:r>
      <w:r w:rsidR="00F40E4D" w:rsidRPr="002D3568">
        <w:rPr>
          <w:rFonts w:ascii="Simplified Arabic" w:hAnsi="Simplified Arabic" w:cs="Simplified Arabic" w:hint="cs"/>
          <w:color w:val="000000"/>
          <w:sz w:val="24"/>
          <w:szCs w:val="24"/>
          <w:rtl/>
        </w:rPr>
        <w:t xml:space="preserve">وعملية </w:t>
      </w:r>
      <w:r w:rsidR="00F40E4D" w:rsidRPr="002D3568">
        <w:rPr>
          <w:rFonts w:asciiTheme="majorBidi" w:hAnsiTheme="majorBidi" w:cstheme="majorBidi"/>
          <w:sz w:val="24"/>
          <w:szCs w:val="24"/>
          <w:rtl/>
        </w:rPr>
        <w:t>(</w:t>
      </w:r>
      <w:r w:rsidR="00F40E4D" w:rsidRPr="002D3568">
        <w:rPr>
          <w:rFonts w:asciiTheme="majorBidi" w:hAnsiTheme="majorBidi" w:cstheme="majorBidi"/>
          <w:sz w:val="24"/>
          <w:szCs w:val="24"/>
        </w:rPr>
        <w:t>AHP</w:t>
      </w:r>
      <w:r w:rsidR="00F40E4D" w:rsidRPr="002D3568">
        <w:rPr>
          <w:rFonts w:asciiTheme="majorBidi" w:hAnsiTheme="majorBidi" w:cstheme="majorBidi"/>
          <w:sz w:val="24"/>
          <w:szCs w:val="24"/>
          <w:rtl/>
        </w:rPr>
        <w:t>)</w:t>
      </w:r>
      <w:r w:rsidR="00F40E4D" w:rsidRPr="002D3568">
        <w:rPr>
          <w:rFonts w:ascii="Simplified Arabic" w:hAnsi="Simplified Arabic" w:cs="Simplified Arabic"/>
          <w:color w:val="000000"/>
          <w:sz w:val="24"/>
          <w:szCs w:val="24"/>
          <w:rtl/>
        </w:rPr>
        <w:t xml:space="preserve"> </w:t>
      </w:r>
      <w:r w:rsidR="00F40E4D">
        <w:rPr>
          <w:rFonts w:ascii="Simplified Arabic" w:hAnsi="Simplified Arabic" w:cs="Simplified Arabic" w:hint="cs"/>
          <w:color w:val="000000"/>
          <w:sz w:val="24"/>
          <w:szCs w:val="24"/>
          <w:rtl/>
        </w:rPr>
        <w:t>لمنح اوزان المعايير</w:t>
      </w:r>
      <w:r w:rsidR="00F40E4D" w:rsidRPr="002D3568">
        <w:rPr>
          <w:rFonts w:ascii="Simplified Arabic" w:hAnsi="Simplified Arabic" w:cs="Simplified Arabic" w:hint="cs"/>
          <w:color w:val="000000"/>
          <w:sz w:val="24"/>
          <w:szCs w:val="24"/>
          <w:rtl/>
        </w:rPr>
        <w:t xml:space="preserve"> </w:t>
      </w:r>
      <w:r w:rsidRPr="002D3568">
        <w:rPr>
          <w:rFonts w:ascii="Simplified Arabic" w:hAnsi="Simplified Arabic" w:cs="Simplified Arabic" w:hint="cs"/>
          <w:color w:val="000000"/>
          <w:sz w:val="24"/>
          <w:szCs w:val="24"/>
          <w:rtl/>
        </w:rPr>
        <w:t xml:space="preserve">وتقنية </w:t>
      </w:r>
      <w:r w:rsidRPr="002D3568">
        <w:rPr>
          <w:rFonts w:asciiTheme="majorBidi" w:hAnsiTheme="majorBidi" w:cstheme="majorBidi"/>
          <w:sz w:val="24"/>
          <w:szCs w:val="24"/>
          <w:rtl/>
        </w:rPr>
        <w:t>(</w:t>
      </w:r>
      <w:r w:rsidRPr="002D3568">
        <w:rPr>
          <w:rFonts w:asciiTheme="majorBidi" w:hAnsiTheme="majorBidi" w:cstheme="majorBidi"/>
          <w:sz w:val="24"/>
          <w:szCs w:val="24"/>
        </w:rPr>
        <w:t>GIS</w:t>
      </w:r>
      <w:r w:rsidRPr="002D3568">
        <w:rPr>
          <w:rFonts w:asciiTheme="majorBidi" w:hAnsiTheme="majorBidi" w:cstheme="majorBidi"/>
          <w:sz w:val="24"/>
          <w:szCs w:val="24"/>
          <w:rtl/>
        </w:rPr>
        <w:t>)</w:t>
      </w:r>
      <w:r w:rsidRPr="002D3568">
        <w:rPr>
          <w:rFonts w:ascii="Simplified Arabic" w:hAnsi="Simplified Arabic" w:cs="Simplified Arabic"/>
          <w:sz w:val="24"/>
          <w:szCs w:val="24"/>
          <w:rtl/>
          <w:lang w:bidi="ar-DZ"/>
        </w:rPr>
        <w:t xml:space="preserve"> </w:t>
      </w:r>
      <w:r w:rsidR="00F40E4D">
        <w:rPr>
          <w:rFonts w:ascii="Simplified Arabic" w:hAnsi="Simplified Arabic" w:cs="Simplified Arabic" w:hint="cs"/>
          <w:sz w:val="24"/>
          <w:szCs w:val="24"/>
          <w:rtl/>
          <w:lang w:bidi="ar-DZ"/>
        </w:rPr>
        <w:t xml:space="preserve">لتحليل </w:t>
      </w:r>
      <w:r w:rsidR="000D1111">
        <w:rPr>
          <w:rFonts w:ascii="Simplified Arabic" w:hAnsi="Simplified Arabic" w:cs="Simplified Arabic" w:hint="cs"/>
          <w:sz w:val="24"/>
          <w:szCs w:val="24"/>
          <w:rtl/>
        </w:rPr>
        <w:t>استعمال</w:t>
      </w:r>
      <w:r w:rsidR="00F40E4D">
        <w:rPr>
          <w:rFonts w:ascii="Simplified Arabic" w:hAnsi="Simplified Arabic" w:cs="Simplified Arabic" w:hint="cs"/>
          <w:sz w:val="24"/>
          <w:szCs w:val="24"/>
          <w:rtl/>
          <w:lang w:bidi="ar-DZ"/>
        </w:rPr>
        <w:t xml:space="preserve"> الارض</w:t>
      </w:r>
      <w:r w:rsidR="00F40E4D">
        <w:rPr>
          <w:rFonts w:ascii="Simplified Arabic" w:hAnsi="Simplified Arabic" w:cs="Simplified Arabic" w:hint="cs"/>
          <w:color w:val="000000"/>
          <w:sz w:val="24"/>
          <w:szCs w:val="24"/>
          <w:rtl/>
        </w:rPr>
        <w:t>، ي</w:t>
      </w:r>
      <w:r w:rsidRPr="002D3568">
        <w:rPr>
          <w:rFonts w:ascii="Simplified Arabic" w:hAnsi="Simplified Arabic" w:cs="Simplified Arabic" w:hint="cs"/>
          <w:color w:val="000000"/>
          <w:sz w:val="24"/>
          <w:szCs w:val="24"/>
          <w:rtl/>
        </w:rPr>
        <w:t>وفر</w:t>
      </w:r>
      <w:r w:rsidR="00F40E4D">
        <w:rPr>
          <w:rFonts w:ascii="Simplified Arabic" w:hAnsi="Simplified Arabic" w:cs="Simplified Arabic" w:hint="cs"/>
          <w:color w:val="000000"/>
          <w:sz w:val="24"/>
          <w:szCs w:val="24"/>
          <w:rtl/>
        </w:rPr>
        <w:t xml:space="preserve"> </w:t>
      </w:r>
      <w:r w:rsidRPr="002D3568">
        <w:rPr>
          <w:rFonts w:ascii="Simplified Arabic" w:hAnsi="Simplified Arabic" w:cs="Simplified Arabic"/>
          <w:color w:val="000000"/>
          <w:sz w:val="24"/>
          <w:szCs w:val="24"/>
          <w:rtl/>
        </w:rPr>
        <w:t>نظامًا قويًا لدعم القرار المكاني</w:t>
      </w:r>
      <w:r w:rsidR="001B06E3">
        <w:rPr>
          <w:rFonts w:ascii="Simplified Arabic" w:hAnsi="Simplified Arabic" w:cs="Simplified Arabic" w:hint="cs"/>
          <w:color w:val="000000"/>
          <w:sz w:val="24"/>
          <w:szCs w:val="24"/>
          <w:rtl/>
        </w:rPr>
        <w:t>،</w:t>
      </w:r>
      <w:r w:rsidR="001B06E3">
        <w:rPr>
          <w:rStyle w:val="y2iqfc"/>
          <w:rFonts w:ascii="Simplified Arabic" w:hAnsi="Simplified Arabic" w:cs="Simplified Arabic" w:hint="cs"/>
          <w:color w:val="202124"/>
          <w:sz w:val="24"/>
          <w:szCs w:val="24"/>
          <w:rtl/>
          <w:lang w:bidi="ar"/>
        </w:rPr>
        <w:t xml:space="preserve"> من خلال التدخل على مستوى الاحياء التي تشهد مستوى مرونة متدنٍ.</w:t>
      </w:r>
    </w:p>
    <w:p w:rsidR="00EE6A21" w:rsidRDefault="005F74C1" w:rsidP="00134103">
      <w:pPr>
        <w:autoSpaceDE w:val="0"/>
        <w:autoSpaceDN w:val="0"/>
        <w:bidi/>
        <w:adjustRightInd w:val="0"/>
        <w:spacing w:after="0"/>
        <w:ind w:firstLine="283"/>
        <w:jc w:val="both"/>
        <w:rPr>
          <w:rFonts w:ascii="TraditionalArabic-Bold" w:cs="TraditionalArabic-Bold"/>
          <w:b/>
          <w:bCs/>
          <w:sz w:val="28"/>
          <w:szCs w:val="28"/>
          <w:rtl/>
        </w:rPr>
      </w:pPr>
      <w:r w:rsidRPr="00E67629">
        <w:rPr>
          <w:rFonts w:ascii="Simplified Arabic" w:hAnsi="Simplified Arabic" w:cs="Simplified Arabic" w:hint="cs"/>
          <w:sz w:val="24"/>
          <w:szCs w:val="24"/>
          <w:rtl/>
          <w:lang w:bidi="ar-DZ"/>
        </w:rPr>
        <w:t>ضمن</w:t>
      </w:r>
      <w:r w:rsidRPr="00E67629">
        <w:rPr>
          <w:rFonts w:ascii="Simplified Arabic" w:hAnsi="Simplified Arabic" w:cs="Simplified Arabic"/>
          <w:sz w:val="24"/>
          <w:szCs w:val="24"/>
          <w:rtl/>
          <w:lang w:bidi="ar-DZ"/>
        </w:rPr>
        <w:t xml:space="preserve"> </w:t>
      </w:r>
      <w:r w:rsidRPr="00E67629">
        <w:rPr>
          <w:rFonts w:ascii="Simplified Arabic" w:hAnsi="Simplified Arabic" w:cs="Simplified Arabic" w:hint="cs"/>
          <w:sz w:val="24"/>
          <w:szCs w:val="24"/>
          <w:rtl/>
          <w:lang w:bidi="ar-DZ"/>
        </w:rPr>
        <w:t>هذا</w:t>
      </w:r>
      <w:r w:rsidRPr="00E67629">
        <w:rPr>
          <w:rFonts w:ascii="Simplified Arabic" w:hAnsi="Simplified Arabic" w:cs="Simplified Arabic"/>
          <w:sz w:val="24"/>
          <w:szCs w:val="24"/>
          <w:rtl/>
          <w:lang w:bidi="ar-DZ"/>
        </w:rPr>
        <w:t xml:space="preserve"> </w:t>
      </w:r>
      <w:r w:rsidRPr="00E67629">
        <w:rPr>
          <w:rFonts w:ascii="Simplified Arabic" w:hAnsi="Simplified Arabic" w:cs="Simplified Arabic" w:hint="cs"/>
          <w:sz w:val="24"/>
          <w:szCs w:val="24"/>
          <w:rtl/>
          <w:lang w:bidi="ar-DZ"/>
        </w:rPr>
        <w:t>المنظور،</w:t>
      </w:r>
      <w:r w:rsidRPr="005425C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يرى</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هذ</w:t>
      </w:r>
      <w:r>
        <w:rPr>
          <w:rFonts w:ascii="Simplified Arabic" w:hAnsi="Simplified Arabic" w:cs="Simplified Arabic" w:hint="cs"/>
          <w:sz w:val="24"/>
          <w:szCs w:val="24"/>
          <w:rtl/>
          <w:lang w:bidi="ar-DZ"/>
        </w:rPr>
        <w:t>ا البحث</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أن</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المرونة</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الحضرية</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تُفهم</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على</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أنها</w:t>
      </w:r>
      <w:r w:rsidRPr="005425C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الكفاءة في</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توزيع</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العناصر</w:t>
      </w:r>
      <w:r w:rsidRPr="005425CF">
        <w:rPr>
          <w:rFonts w:ascii="Simplified Arabic" w:hAnsi="Simplified Arabic" w:cs="Simplified Arabic"/>
          <w:sz w:val="24"/>
          <w:szCs w:val="24"/>
          <w:rtl/>
          <w:lang w:bidi="ar-DZ"/>
        </w:rPr>
        <w:t xml:space="preserve"> </w:t>
      </w:r>
      <w:r w:rsidRPr="005425CF">
        <w:rPr>
          <w:rFonts w:ascii="Simplified Arabic" w:hAnsi="Simplified Arabic" w:cs="Simplified Arabic" w:hint="cs"/>
          <w:sz w:val="24"/>
          <w:szCs w:val="24"/>
          <w:rtl/>
          <w:lang w:bidi="ar-DZ"/>
        </w:rPr>
        <w:t>الحضرية</w:t>
      </w:r>
      <w:r w:rsidRPr="005425CF">
        <w:rPr>
          <w:rFonts w:ascii="Simplified Arabic" w:hAnsi="Simplified Arabic" w:cs="Simplified Arabic"/>
          <w:sz w:val="24"/>
          <w:szCs w:val="24"/>
          <w:rtl/>
          <w:lang w:bidi="ar-DZ"/>
        </w:rPr>
        <w:t xml:space="preserve"> (</w:t>
      </w:r>
      <w:r w:rsidR="008F43B8">
        <w:rPr>
          <w:rFonts w:ascii="Simplified Arabic" w:hAnsi="Simplified Arabic" w:cs="Simplified Arabic" w:hint="cs"/>
          <w:sz w:val="24"/>
          <w:szCs w:val="24"/>
          <w:rtl/>
          <w:lang w:bidi="ar-DZ"/>
        </w:rPr>
        <w:t>مخزون المسكن</w:t>
      </w:r>
      <w:r w:rsidRPr="005425CF">
        <w:rPr>
          <w:rFonts w:ascii="Simplified Arabic" w:hAnsi="Simplified Arabic" w:cs="Simplified Arabic" w:hint="cs"/>
          <w:sz w:val="24"/>
          <w:szCs w:val="24"/>
          <w:rtl/>
          <w:lang w:bidi="ar-DZ"/>
        </w:rPr>
        <w:t>،</w:t>
      </w:r>
      <w:r w:rsidR="008F43B8">
        <w:rPr>
          <w:rFonts w:ascii="Simplified Arabic" w:hAnsi="Simplified Arabic" w:cs="Simplified Arabic" w:hint="cs"/>
          <w:sz w:val="24"/>
          <w:szCs w:val="24"/>
          <w:rtl/>
          <w:lang w:bidi="ar-DZ"/>
        </w:rPr>
        <w:t xml:space="preserve"> مباني المرافق العمومية</w:t>
      </w:r>
      <w:r w:rsidRPr="005425CF">
        <w:rPr>
          <w:rFonts w:ascii="Simplified Arabic" w:hAnsi="Simplified Arabic" w:cs="Simplified Arabic"/>
          <w:sz w:val="24"/>
          <w:szCs w:val="24"/>
          <w:rtl/>
          <w:lang w:bidi="ar-DZ"/>
        </w:rPr>
        <w:t xml:space="preserve"> </w:t>
      </w:r>
      <w:r w:rsidR="008F43B8">
        <w:rPr>
          <w:rFonts w:ascii="Simplified Arabic" w:hAnsi="Simplified Arabic" w:cs="Simplified Arabic" w:hint="cs"/>
          <w:sz w:val="24"/>
          <w:szCs w:val="24"/>
          <w:rtl/>
          <w:lang w:bidi="ar-DZ"/>
        </w:rPr>
        <w:t>وشبكة الطرق</w:t>
      </w:r>
      <w:r w:rsidRPr="005425CF">
        <w:rPr>
          <w:rFonts w:ascii="Simplified Arabic" w:hAnsi="Simplified Arabic" w:cs="Simplified Arabic"/>
          <w:sz w:val="24"/>
          <w:szCs w:val="24"/>
          <w:rtl/>
          <w:lang w:bidi="ar-DZ"/>
        </w:rPr>
        <w:t>)</w:t>
      </w:r>
      <w:r w:rsidR="006433F1">
        <w:rPr>
          <w:rFonts w:ascii="Simplified Arabic" w:hAnsi="Simplified Arabic" w:cs="Simplified Arabic" w:hint="cs"/>
          <w:sz w:val="24"/>
          <w:szCs w:val="24"/>
          <w:rtl/>
          <w:lang w:bidi="ar-DZ"/>
        </w:rPr>
        <w:t xml:space="preserve"> </w:t>
      </w:r>
      <w:r w:rsidR="00AB0309">
        <w:rPr>
          <w:rFonts w:ascii="Simplified Arabic" w:hAnsi="Simplified Arabic" w:cs="Simplified Arabic" w:hint="cs"/>
          <w:sz w:val="24"/>
          <w:szCs w:val="24"/>
          <w:rtl/>
          <w:lang w:bidi="ar-DZ"/>
        </w:rPr>
        <w:t>بإظهار السمات المكانية (الكثافةـ التنوع، الاتصال</w:t>
      </w:r>
      <w:r w:rsidR="00C23656">
        <w:rPr>
          <w:rFonts w:ascii="Simplified Arabic" w:hAnsi="Simplified Arabic" w:cs="Simplified Arabic" w:hint="cs"/>
          <w:sz w:val="24"/>
          <w:szCs w:val="24"/>
          <w:rtl/>
          <w:lang w:bidi="ar-DZ"/>
        </w:rPr>
        <w:t>ية</w:t>
      </w:r>
      <w:r w:rsidR="00AB0309">
        <w:rPr>
          <w:rFonts w:ascii="Simplified Arabic" w:hAnsi="Simplified Arabic" w:cs="Simplified Arabic" w:hint="cs"/>
          <w:sz w:val="24"/>
          <w:szCs w:val="24"/>
          <w:rtl/>
          <w:lang w:bidi="ar-DZ"/>
        </w:rPr>
        <w:t xml:space="preserve"> والتكرار) </w:t>
      </w:r>
      <w:r w:rsidR="006433F1">
        <w:rPr>
          <w:rFonts w:ascii="Simplified Arabic" w:hAnsi="Simplified Arabic" w:cs="Simplified Arabic" w:hint="cs"/>
          <w:sz w:val="24"/>
          <w:szCs w:val="24"/>
          <w:rtl/>
          <w:lang w:bidi="ar-DZ"/>
        </w:rPr>
        <w:t>التي</w:t>
      </w:r>
      <w:r w:rsidRPr="005425C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تسمح بتكوين قدرة </w:t>
      </w:r>
      <w:r w:rsidR="000A3810">
        <w:rPr>
          <w:rFonts w:ascii="Simplified Arabic" w:hAnsi="Simplified Arabic" w:cs="Simplified Arabic" w:hint="cs"/>
          <w:sz w:val="24"/>
          <w:szCs w:val="24"/>
          <w:rtl/>
          <w:lang w:bidi="ar-DZ"/>
        </w:rPr>
        <w:t xml:space="preserve">المدن </w:t>
      </w:r>
      <w:r>
        <w:rPr>
          <w:rFonts w:ascii="Simplified Arabic" w:hAnsi="Simplified Arabic" w:cs="Simplified Arabic" w:hint="cs"/>
          <w:sz w:val="24"/>
          <w:szCs w:val="24"/>
          <w:rtl/>
          <w:lang w:bidi="ar-DZ"/>
        </w:rPr>
        <w:t>على الاستجابة</w:t>
      </w:r>
      <w:r w:rsidRPr="005425CF">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9E5183">
        <w:rPr>
          <w:rFonts w:ascii="Simplified Arabic" w:hAnsi="Simplified Arabic" w:cs="Simplified Arabic" w:hint="cs"/>
          <w:color w:val="000000" w:themeColor="text1"/>
          <w:sz w:val="24"/>
          <w:szCs w:val="24"/>
          <w:rtl/>
          <w:lang w:bidi="ar-DZ"/>
        </w:rPr>
        <w:t>لذلك،</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عند</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النظر</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إلى المرونة</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بهذا الفهم،</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فإن</w:t>
      </w:r>
      <w:r w:rsidRPr="009E5183">
        <w:rPr>
          <w:rFonts w:ascii="Simplified Arabic" w:hAnsi="Simplified Arabic" w:cs="Simplified Arabic"/>
          <w:color w:val="000000" w:themeColor="text1"/>
          <w:sz w:val="24"/>
          <w:szCs w:val="24"/>
          <w:rtl/>
          <w:lang w:bidi="ar-DZ"/>
        </w:rPr>
        <w:t xml:space="preserve"> </w:t>
      </w:r>
      <w:r w:rsidR="000D1111">
        <w:rPr>
          <w:rFonts w:ascii="Simplified Arabic" w:hAnsi="Simplified Arabic" w:cs="Simplified Arabic" w:hint="cs"/>
          <w:sz w:val="24"/>
          <w:szCs w:val="24"/>
          <w:rtl/>
        </w:rPr>
        <w:t>استعمالات</w:t>
      </w:r>
      <w:r w:rsidRPr="009E5183">
        <w:rPr>
          <w:rFonts w:ascii="Simplified Arabic" w:hAnsi="Simplified Arabic" w:cs="Simplified Arabic" w:hint="cs"/>
          <w:color w:val="000000" w:themeColor="text1"/>
          <w:sz w:val="24"/>
          <w:szCs w:val="24"/>
          <w:rtl/>
          <w:lang w:bidi="ar-DZ"/>
        </w:rPr>
        <w:t xml:space="preserve"> الارض المتوافق</w:t>
      </w:r>
      <w:r w:rsidR="00134103">
        <w:rPr>
          <w:rFonts w:ascii="Simplified Arabic" w:hAnsi="Simplified Arabic" w:cs="Simplified Arabic" w:hint="cs"/>
          <w:color w:val="000000" w:themeColor="text1"/>
          <w:sz w:val="24"/>
          <w:szCs w:val="24"/>
          <w:rtl/>
          <w:lang w:bidi="ar-DZ"/>
        </w:rPr>
        <w:t>ة</w:t>
      </w:r>
      <w:r w:rsidRPr="009E5183">
        <w:rPr>
          <w:rFonts w:ascii="Simplified Arabic" w:hAnsi="Simplified Arabic" w:cs="Simplified Arabic" w:hint="cs"/>
          <w:color w:val="000000" w:themeColor="text1"/>
          <w:sz w:val="24"/>
          <w:szCs w:val="24"/>
          <w:rtl/>
          <w:lang w:bidi="ar-DZ"/>
        </w:rPr>
        <w:t xml:space="preserve"> و</w:t>
      </w:r>
      <w:r>
        <w:rPr>
          <w:rFonts w:ascii="Simplified Arabic" w:hAnsi="Simplified Arabic" w:cs="Simplified Arabic" w:hint="cs"/>
          <w:color w:val="000000" w:themeColor="text1"/>
          <w:sz w:val="24"/>
          <w:szCs w:val="24"/>
          <w:rtl/>
          <w:lang w:bidi="ar-DZ"/>
        </w:rPr>
        <w:t>المتبصّر</w:t>
      </w:r>
      <w:r w:rsidR="00134103">
        <w:rPr>
          <w:rFonts w:ascii="Simplified Arabic" w:hAnsi="Simplified Arabic" w:cs="Simplified Arabic" w:hint="cs"/>
          <w:color w:val="000000" w:themeColor="text1"/>
          <w:sz w:val="24"/>
          <w:szCs w:val="24"/>
          <w:rtl/>
          <w:lang w:bidi="ar-DZ"/>
        </w:rPr>
        <w:t>ة</w:t>
      </w:r>
      <w:r w:rsidRPr="009E5183">
        <w:rPr>
          <w:rFonts w:ascii="Simplified Arabic" w:hAnsi="Simplified Arabic" w:cs="Simplified Arabic" w:hint="cs"/>
          <w:color w:val="000000" w:themeColor="text1"/>
          <w:sz w:val="24"/>
          <w:szCs w:val="24"/>
          <w:rtl/>
          <w:lang w:bidi="ar-DZ"/>
        </w:rPr>
        <w:t xml:space="preserve"> يمكن</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أن</w:t>
      </w:r>
      <w:r w:rsidRPr="009E5183">
        <w:rPr>
          <w:rFonts w:ascii="Simplified Arabic" w:hAnsi="Simplified Arabic" w:cs="Simplified Arabic"/>
          <w:color w:val="000000" w:themeColor="text1"/>
          <w:sz w:val="24"/>
          <w:szCs w:val="24"/>
          <w:rtl/>
          <w:lang w:bidi="ar-DZ"/>
        </w:rPr>
        <w:t xml:space="preserve"> </w:t>
      </w:r>
      <w:r w:rsidR="00134103">
        <w:rPr>
          <w:rFonts w:ascii="Simplified Arabic" w:hAnsi="Simplified Arabic" w:cs="Simplified Arabic" w:hint="cs"/>
          <w:color w:val="000000" w:themeColor="text1"/>
          <w:sz w:val="24"/>
          <w:szCs w:val="24"/>
          <w:rtl/>
          <w:lang w:bidi="ar-DZ"/>
        </w:rPr>
        <w:t>ت</w:t>
      </w:r>
      <w:r w:rsidR="008F43B8">
        <w:rPr>
          <w:rFonts w:ascii="Simplified Arabic" w:hAnsi="Simplified Arabic" w:cs="Simplified Arabic" w:hint="cs"/>
          <w:color w:val="000000" w:themeColor="text1"/>
          <w:sz w:val="24"/>
          <w:szCs w:val="24"/>
          <w:rtl/>
          <w:lang w:bidi="ar-DZ"/>
        </w:rPr>
        <w:t>دعم</w:t>
      </w:r>
      <w:r w:rsidRPr="009E5183">
        <w:rPr>
          <w:rFonts w:ascii="Simplified Arabic" w:hAnsi="Simplified Arabic" w:cs="Simplified Arabic" w:hint="cs"/>
          <w:color w:val="000000" w:themeColor="text1"/>
          <w:sz w:val="24"/>
          <w:szCs w:val="24"/>
          <w:rtl/>
          <w:lang w:bidi="ar-DZ"/>
        </w:rPr>
        <w:t xml:space="preserve"> </w:t>
      </w:r>
      <w:r>
        <w:rPr>
          <w:rFonts w:ascii="Simplified Arabic" w:hAnsi="Simplified Arabic" w:cs="Simplified Arabic" w:hint="cs"/>
          <w:color w:val="000000" w:themeColor="text1"/>
          <w:sz w:val="24"/>
          <w:szCs w:val="24"/>
          <w:rtl/>
          <w:lang w:bidi="ar-DZ"/>
        </w:rPr>
        <w:t>ال</w:t>
      </w:r>
      <w:r w:rsidRPr="009E5183">
        <w:rPr>
          <w:rFonts w:ascii="Simplified Arabic" w:hAnsi="Simplified Arabic" w:cs="Simplified Arabic" w:hint="cs"/>
          <w:color w:val="000000" w:themeColor="text1"/>
          <w:sz w:val="24"/>
          <w:szCs w:val="24"/>
          <w:rtl/>
          <w:lang w:bidi="ar-DZ"/>
        </w:rPr>
        <w:t xml:space="preserve">قدرة </w:t>
      </w:r>
      <w:r>
        <w:rPr>
          <w:rFonts w:ascii="Simplified Arabic" w:hAnsi="Simplified Arabic" w:cs="Simplified Arabic" w:hint="cs"/>
          <w:color w:val="000000" w:themeColor="text1"/>
          <w:sz w:val="24"/>
          <w:szCs w:val="24"/>
          <w:rtl/>
          <w:lang w:bidi="ar-DZ"/>
        </w:rPr>
        <w:t xml:space="preserve">على </w:t>
      </w:r>
      <w:r w:rsidRPr="009E5183">
        <w:rPr>
          <w:rFonts w:ascii="Simplified Arabic" w:hAnsi="Simplified Arabic" w:cs="Simplified Arabic" w:hint="cs"/>
          <w:color w:val="000000" w:themeColor="text1"/>
          <w:sz w:val="24"/>
          <w:szCs w:val="24"/>
          <w:rtl/>
          <w:lang w:bidi="ar-DZ"/>
        </w:rPr>
        <w:t>استجابة</w:t>
      </w:r>
      <w:r w:rsidRPr="009E5183">
        <w:rPr>
          <w:rFonts w:ascii="Simplified Arabic" w:hAnsi="Simplified Arabic" w:cs="Simplified Arabic"/>
          <w:color w:val="000000" w:themeColor="text1"/>
          <w:sz w:val="24"/>
          <w:szCs w:val="24"/>
          <w:rtl/>
          <w:lang w:bidi="ar-DZ"/>
        </w:rPr>
        <w:t xml:space="preserve"> </w:t>
      </w:r>
      <w:r w:rsidR="008F43B8" w:rsidRPr="005425CF">
        <w:rPr>
          <w:rFonts w:ascii="Simplified Arabic" w:hAnsi="Simplified Arabic" w:cs="Simplified Arabic" w:hint="cs"/>
          <w:sz w:val="24"/>
          <w:szCs w:val="24"/>
          <w:rtl/>
          <w:lang w:bidi="ar-DZ"/>
        </w:rPr>
        <w:t>العناصر</w:t>
      </w:r>
      <w:r w:rsidR="008F43B8" w:rsidRPr="005425CF">
        <w:rPr>
          <w:rFonts w:ascii="Simplified Arabic" w:hAnsi="Simplified Arabic" w:cs="Simplified Arabic"/>
          <w:sz w:val="24"/>
          <w:szCs w:val="24"/>
          <w:rtl/>
          <w:lang w:bidi="ar-DZ"/>
        </w:rPr>
        <w:t xml:space="preserve"> </w:t>
      </w:r>
      <w:r w:rsidR="008F43B8" w:rsidRPr="005425CF">
        <w:rPr>
          <w:rFonts w:ascii="Simplified Arabic" w:hAnsi="Simplified Arabic" w:cs="Simplified Arabic" w:hint="cs"/>
          <w:sz w:val="24"/>
          <w:szCs w:val="24"/>
          <w:rtl/>
          <w:lang w:bidi="ar-DZ"/>
        </w:rPr>
        <w:t>الحضرية</w:t>
      </w:r>
      <w:r w:rsidR="008F43B8" w:rsidRPr="005425CF">
        <w:rPr>
          <w:rFonts w:ascii="Simplified Arabic" w:hAnsi="Simplified Arabic" w:cs="Simplified Arabic"/>
          <w:sz w:val="24"/>
          <w:szCs w:val="24"/>
          <w:rtl/>
          <w:lang w:bidi="ar-DZ"/>
        </w:rPr>
        <w:t xml:space="preserve"> </w:t>
      </w:r>
      <w:r w:rsidRPr="009E5183">
        <w:rPr>
          <w:rFonts w:ascii="Simplified Arabic" w:hAnsi="Simplified Arabic" w:cs="Simplified Arabic" w:hint="cs"/>
          <w:color w:val="000000" w:themeColor="text1"/>
          <w:sz w:val="24"/>
          <w:szCs w:val="24"/>
          <w:rtl/>
          <w:lang w:bidi="ar-DZ"/>
        </w:rPr>
        <w:t>داخل</w:t>
      </w:r>
      <w:r w:rsidRPr="009E5183">
        <w:rPr>
          <w:rFonts w:ascii="Simplified Arabic" w:hAnsi="Simplified Arabic" w:cs="Simplified Arabic"/>
          <w:color w:val="000000" w:themeColor="text1"/>
          <w:sz w:val="24"/>
          <w:szCs w:val="24"/>
          <w:rtl/>
          <w:lang w:bidi="ar-DZ"/>
        </w:rPr>
        <w:t xml:space="preserve"> </w:t>
      </w:r>
      <w:r w:rsidRPr="009E5183">
        <w:rPr>
          <w:rFonts w:ascii="Simplified Arabic" w:hAnsi="Simplified Arabic" w:cs="Simplified Arabic" w:hint="cs"/>
          <w:color w:val="000000" w:themeColor="text1"/>
          <w:sz w:val="24"/>
          <w:szCs w:val="24"/>
          <w:rtl/>
          <w:lang w:bidi="ar-DZ"/>
        </w:rPr>
        <w:t>المدينة</w:t>
      </w:r>
      <w:r w:rsidR="008F43B8">
        <w:rPr>
          <w:rFonts w:ascii="Simplified Arabic" w:hAnsi="Simplified Arabic" w:cs="Simplified Arabic" w:hint="cs"/>
          <w:color w:val="000000" w:themeColor="text1"/>
          <w:sz w:val="24"/>
          <w:szCs w:val="24"/>
          <w:rtl/>
          <w:lang w:bidi="ar-DZ"/>
        </w:rPr>
        <w:t xml:space="preserve"> ورفع مستوى مرونتها</w:t>
      </w:r>
      <w:r w:rsidR="00655549">
        <w:rPr>
          <w:rFonts w:ascii="Simplified Arabic" w:hAnsi="Simplified Arabic" w:cs="Simplified Arabic" w:hint="cs"/>
          <w:color w:val="000000" w:themeColor="text1"/>
          <w:sz w:val="24"/>
          <w:szCs w:val="24"/>
          <w:rtl/>
          <w:lang w:bidi="ar-DZ"/>
        </w:rPr>
        <w:t xml:space="preserve"> المثلى</w:t>
      </w:r>
      <w:r w:rsidRPr="009E5183">
        <w:rPr>
          <w:rFonts w:ascii="Simplified Arabic" w:hAnsi="Simplified Arabic" w:cs="Simplified Arabic"/>
          <w:color w:val="000000" w:themeColor="text1"/>
          <w:sz w:val="24"/>
          <w:szCs w:val="24"/>
          <w:rtl/>
          <w:lang w:bidi="ar-DZ"/>
        </w:rPr>
        <w:t>.</w:t>
      </w:r>
    </w:p>
    <w:p w:rsidR="00260ADC" w:rsidRDefault="00260ADC" w:rsidP="00BD74EF">
      <w:pPr>
        <w:bidi/>
        <w:spacing w:after="0"/>
        <w:ind w:firstLine="282"/>
        <w:jc w:val="both"/>
        <w:rPr>
          <w:rStyle w:val="y2iqfc"/>
          <w:rFonts w:ascii="Simplified Arabic" w:hAnsi="Simplified Arabic" w:cs="Simplified Arabic"/>
          <w:color w:val="202124"/>
          <w:sz w:val="24"/>
          <w:szCs w:val="24"/>
          <w:rtl/>
          <w:lang w:bidi="ar"/>
        </w:rPr>
        <w:sectPr w:rsidR="00260ADC" w:rsidSect="004B54BB">
          <w:headerReference w:type="default" r:id="rId344"/>
          <w:footerReference w:type="default" r:id="rId345"/>
          <w:pgSz w:w="11906" w:h="16838"/>
          <w:pgMar w:top="1418" w:right="1700" w:bottom="1418" w:left="1134" w:header="709" w:footer="709" w:gutter="0"/>
          <w:pgNumType w:start="228"/>
          <w:cols w:space="708"/>
          <w:docGrid w:linePitch="360"/>
        </w:sectPr>
      </w:pPr>
    </w:p>
    <w:p w:rsidR="00F02A93" w:rsidRDefault="00F02A93" w:rsidP="00480C52">
      <w:pPr>
        <w:bidi/>
        <w:spacing w:after="0"/>
        <w:jc w:val="both"/>
        <w:rPr>
          <w:rStyle w:val="y2iqfc"/>
          <w:rFonts w:ascii="Simplified Arabic" w:hAnsi="Simplified Arabic" w:cs="Simplified Arabic"/>
          <w:color w:val="202124"/>
          <w:sz w:val="24"/>
          <w:szCs w:val="24"/>
          <w:rtl/>
          <w:lang w:bidi="ar"/>
        </w:rPr>
      </w:pPr>
    </w:p>
    <w:p w:rsidR="00F02A93" w:rsidRDefault="00F02A93" w:rsidP="00480C52">
      <w:pPr>
        <w:bidi/>
        <w:spacing w:after="0"/>
        <w:jc w:val="both"/>
        <w:rPr>
          <w:rStyle w:val="y2iqfc"/>
          <w:rFonts w:ascii="Simplified Arabic" w:hAnsi="Simplified Arabic" w:cs="Simplified Arabic"/>
          <w:color w:val="202124"/>
          <w:sz w:val="24"/>
          <w:szCs w:val="24"/>
          <w:rtl/>
          <w:lang w:bidi="ar"/>
        </w:rPr>
      </w:pPr>
    </w:p>
    <w:p w:rsidR="00F02A93" w:rsidRDefault="00F02A93" w:rsidP="00480C52">
      <w:pPr>
        <w:bidi/>
        <w:spacing w:after="0"/>
        <w:jc w:val="both"/>
        <w:rPr>
          <w:rStyle w:val="y2iqfc"/>
          <w:rFonts w:ascii="Simplified Arabic" w:hAnsi="Simplified Arabic" w:cs="Simplified Arabic"/>
          <w:color w:val="202124"/>
          <w:sz w:val="24"/>
          <w:szCs w:val="24"/>
          <w:rtl/>
          <w:lang w:bidi="ar"/>
        </w:rPr>
      </w:pPr>
    </w:p>
    <w:p w:rsidR="00F02A93" w:rsidRDefault="00F02A93" w:rsidP="00480C52">
      <w:pPr>
        <w:bidi/>
        <w:spacing w:after="0"/>
        <w:jc w:val="both"/>
        <w:rPr>
          <w:rStyle w:val="y2iqfc"/>
          <w:rFonts w:ascii="Simplified Arabic" w:hAnsi="Simplified Arabic" w:cs="Simplified Arabic"/>
          <w:color w:val="202124"/>
          <w:sz w:val="24"/>
          <w:szCs w:val="24"/>
          <w:rtl/>
          <w:lang w:bidi="ar"/>
        </w:rPr>
      </w:pPr>
    </w:p>
    <w:p w:rsidR="00F02A93" w:rsidRDefault="00F02A93" w:rsidP="00480C52">
      <w:pPr>
        <w:bidi/>
        <w:spacing w:after="0"/>
        <w:jc w:val="both"/>
        <w:rPr>
          <w:rStyle w:val="y2iqfc"/>
          <w:rFonts w:ascii="Simplified Arabic" w:hAnsi="Simplified Arabic" w:cs="Simplified Arabic"/>
          <w:color w:val="202124"/>
          <w:sz w:val="24"/>
          <w:szCs w:val="24"/>
          <w:rtl/>
          <w:lang w:bidi="ar"/>
        </w:rPr>
      </w:pPr>
    </w:p>
    <w:p w:rsidR="00F02A93" w:rsidRDefault="00F02A93" w:rsidP="00480C52">
      <w:pPr>
        <w:bidi/>
        <w:spacing w:after="0"/>
        <w:jc w:val="both"/>
        <w:rPr>
          <w:rStyle w:val="y2iqfc"/>
          <w:rFonts w:ascii="Simplified Arabic" w:hAnsi="Simplified Arabic" w:cs="Simplified Arabic"/>
          <w:color w:val="202124"/>
          <w:sz w:val="24"/>
          <w:szCs w:val="24"/>
          <w:rtl/>
          <w:lang w:bidi="ar"/>
        </w:rPr>
      </w:pPr>
    </w:p>
    <w:p w:rsidR="00F02A93" w:rsidRDefault="00F02A93" w:rsidP="00480C52">
      <w:pPr>
        <w:bidi/>
        <w:spacing w:after="0"/>
        <w:jc w:val="both"/>
        <w:rPr>
          <w:rStyle w:val="y2iqfc"/>
          <w:rFonts w:ascii="Simplified Arabic" w:hAnsi="Simplified Arabic" w:cs="Simplified Arabic"/>
          <w:color w:val="202124"/>
          <w:sz w:val="24"/>
          <w:szCs w:val="24"/>
          <w:rtl/>
          <w:lang w:bidi="ar"/>
        </w:rPr>
      </w:pPr>
    </w:p>
    <w:p w:rsidR="000618E8" w:rsidRDefault="000618E8" w:rsidP="000618E8">
      <w:pPr>
        <w:bidi/>
        <w:spacing w:after="0"/>
        <w:jc w:val="both"/>
        <w:rPr>
          <w:rStyle w:val="y2iqfc"/>
          <w:rFonts w:ascii="Simplified Arabic" w:hAnsi="Simplified Arabic" w:cs="Simplified Arabic"/>
          <w:color w:val="202124"/>
          <w:sz w:val="24"/>
          <w:szCs w:val="24"/>
          <w:rtl/>
          <w:lang w:bidi="ar"/>
        </w:rPr>
      </w:pPr>
    </w:p>
    <w:p w:rsidR="00E724B9" w:rsidRPr="000618E8" w:rsidRDefault="00E724B9" w:rsidP="00134332">
      <w:pPr>
        <w:bidi/>
        <w:jc w:val="center"/>
        <w:outlineLvl w:val="0"/>
        <w:rPr>
          <w:rFonts w:ascii="Simplified Arabic" w:hAnsi="Simplified Arabic" w:cs="Simplified Arabic"/>
          <w:sz w:val="56"/>
          <w:szCs w:val="56"/>
          <w:rtl/>
          <w:lang w:bidi="ar-DZ"/>
        </w:rPr>
      </w:pPr>
    </w:p>
    <w:p w:rsidR="00E724B9" w:rsidRPr="00480C52" w:rsidRDefault="00E724B9" w:rsidP="00480C52">
      <w:pPr>
        <w:jc w:val="right"/>
        <w:rPr>
          <w:sz w:val="24"/>
          <w:szCs w:val="24"/>
          <w:rtl/>
          <w:lang w:bidi="ar-DZ"/>
        </w:rPr>
      </w:pPr>
    </w:p>
    <w:p w:rsidR="00E724B9" w:rsidRDefault="00E724B9" w:rsidP="00480C52">
      <w:pPr>
        <w:jc w:val="right"/>
        <w:rPr>
          <w:sz w:val="24"/>
          <w:szCs w:val="24"/>
          <w:lang w:bidi="ar-DZ"/>
        </w:rPr>
      </w:pPr>
    </w:p>
    <w:p w:rsidR="00480C52" w:rsidRDefault="00480C52" w:rsidP="00480C52">
      <w:pPr>
        <w:jc w:val="right"/>
        <w:rPr>
          <w:sz w:val="24"/>
          <w:szCs w:val="24"/>
          <w:lang w:bidi="ar-DZ"/>
        </w:rPr>
      </w:pPr>
    </w:p>
    <w:p w:rsidR="00480C52" w:rsidRDefault="00480C52" w:rsidP="00480C52">
      <w:pPr>
        <w:jc w:val="right"/>
        <w:rPr>
          <w:sz w:val="24"/>
          <w:szCs w:val="24"/>
          <w:rtl/>
          <w:lang w:bidi="ar-DZ"/>
        </w:rPr>
      </w:pPr>
    </w:p>
    <w:p w:rsidR="00F06308" w:rsidRDefault="00F06308" w:rsidP="00480C52">
      <w:pPr>
        <w:jc w:val="right"/>
        <w:rPr>
          <w:sz w:val="24"/>
          <w:szCs w:val="24"/>
          <w:rtl/>
          <w:lang w:bidi="ar-DZ"/>
        </w:rPr>
      </w:pPr>
    </w:p>
    <w:p w:rsidR="00F06308" w:rsidRDefault="00F06308" w:rsidP="00480C52">
      <w:pPr>
        <w:jc w:val="right"/>
        <w:rPr>
          <w:sz w:val="24"/>
          <w:szCs w:val="24"/>
          <w:lang w:bidi="ar-DZ"/>
        </w:rPr>
      </w:pPr>
    </w:p>
    <w:p w:rsidR="00480C52" w:rsidRPr="007245F7" w:rsidRDefault="005D50CE" w:rsidP="005D50CE">
      <w:pPr>
        <w:jc w:val="center"/>
        <w:rPr>
          <w:b/>
          <w:bCs/>
          <w:sz w:val="16"/>
          <w:szCs w:val="16"/>
          <w:lang w:bidi="ar-DZ"/>
        </w:rPr>
      </w:pPr>
      <w:r w:rsidRPr="007245F7">
        <w:rPr>
          <w:rFonts w:ascii="Simplified Arabic" w:hAnsi="Simplified Arabic" w:cs="Simplified Arabic"/>
          <w:b/>
          <w:bCs/>
          <w:sz w:val="40"/>
          <w:szCs w:val="40"/>
          <w:rtl/>
          <w:lang w:bidi="ar-DZ"/>
        </w:rPr>
        <w:t>قائمة المصادر والمراجع</w:t>
      </w:r>
    </w:p>
    <w:p w:rsidR="00480C52" w:rsidRDefault="00480C52" w:rsidP="00480C52">
      <w:pPr>
        <w:jc w:val="right"/>
        <w:rPr>
          <w:sz w:val="24"/>
          <w:szCs w:val="24"/>
          <w:lang w:bidi="ar-DZ"/>
        </w:rPr>
      </w:pPr>
    </w:p>
    <w:p w:rsidR="00480C52" w:rsidRDefault="00480C52" w:rsidP="00480C52">
      <w:pPr>
        <w:jc w:val="right"/>
        <w:rPr>
          <w:sz w:val="24"/>
          <w:szCs w:val="24"/>
          <w:lang w:bidi="ar-DZ"/>
        </w:rPr>
      </w:pPr>
    </w:p>
    <w:p w:rsidR="00480C52" w:rsidRDefault="00480C52" w:rsidP="00480C52">
      <w:pPr>
        <w:jc w:val="right"/>
        <w:rPr>
          <w:sz w:val="24"/>
          <w:szCs w:val="24"/>
          <w:lang w:bidi="ar-DZ"/>
        </w:rPr>
      </w:pPr>
    </w:p>
    <w:p w:rsidR="00480C52" w:rsidRDefault="00480C52" w:rsidP="00480C52">
      <w:pPr>
        <w:jc w:val="right"/>
        <w:rPr>
          <w:sz w:val="24"/>
          <w:szCs w:val="24"/>
          <w:lang w:bidi="ar-DZ"/>
        </w:rPr>
      </w:pPr>
    </w:p>
    <w:p w:rsidR="00480C52" w:rsidRDefault="00480C52" w:rsidP="00480C52">
      <w:pPr>
        <w:jc w:val="right"/>
        <w:rPr>
          <w:sz w:val="24"/>
          <w:szCs w:val="24"/>
          <w:lang w:bidi="ar-DZ"/>
        </w:rPr>
      </w:pPr>
    </w:p>
    <w:p w:rsidR="000618E8" w:rsidRDefault="000618E8" w:rsidP="00480C52">
      <w:pPr>
        <w:jc w:val="right"/>
        <w:rPr>
          <w:sz w:val="24"/>
          <w:szCs w:val="24"/>
          <w:lang w:bidi="ar-DZ"/>
        </w:rPr>
        <w:sectPr w:rsidR="000618E8" w:rsidSect="00AD3206">
          <w:headerReference w:type="default" r:id="rId346"/>
          <w:footerReference w:type="default" r:id="rId347"/>
          <w:type w:val="continuous"/>
          <w:pgSz w:w="11906" w:h="16838"/>
          <w:pgMar w:top="1418" w:right="1700" w:bottom="1418" w:left="1134" w:header="709" w:footer="709" w:gutter="0"/>
          <w:pgNumType w:start="231"/>
          <w:cols w:space="708"/>
          <w:docGrid w:linePitch="360"/>
        </w:sectPr>
      </w:pPr>
    </w:p>
    <w:p w:rsidR="00F07169" w:rsidRDefault="00E724B9" w:rsidP="00134332">
      <w:pPr>
        <w:autoSpaceDE w:val="0"/>
        <w:autoSpaceDN w:val="0"/>
        <w:bidi/>
        <w:adjustRightInd w:val="0"/>
        <w:spacing w:before="240" w:line="240" w:lineRule="auto"/>
        <w:jc w:val="both"/>
        <w:outlineLvl w:val="0"/>
        <w:rPr>
          <w:rFonts w:ascii="Simplified Arabic" w:hAnsi="Simplified Arabic" w:cs="Simplified Arabic"/>
          <w:b/>
          <w:bCs/>
          <w:sz w:val="24"/>
          <w:szCs w:val="24"/>
          <w:u w:val="single"/>
          <w:lang w:bidi="ar-DZ"/>
        </w:rPr>
      </w:pPr>
      <w:bookmarkStart w:id="991" w:name="_Toc171803908"/>
      <w:r w:rsidRPr="00F07169">
        <w:rPr>
          <w:rFonts w:ascii="Simplified Arabic" w:hAnsi="Simplified Arabic" w:cs="Simplified Arabic"/>
          <w:b/>
          <w:bCs/>
          <w:sz w:val="24"/>
          <w:szCs w:val="24"/>
          <w:u w:val="single"/>
          <w:rtl/>
          <w:lang w:bidi="ar-DZ"/>
        </w:rPr>
        <w:lastRenderedPageBreak/>
        <w:t>اولا: قائمة المراجع باللعة العربية</w:t>
      </w:r>
      <w:bookmarkEnd w:id="991"/>
    </w:p>
    <w:p w:rsidR="00E724B9" w:rsidRDefault="00E724B9" w:rsidP="000618E8">
      <w:pPr>
        <w:autoSpaceDE w:val="0"/>
        <w:autoSpaceDN w:val="0"/>
        <w:bidi/>
        <w:adjustRightInd w:val="0"/>
        <w:spacing w:line="240" w:lineRule="auto"/>
        <w:ind w:hanging="1"/>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ابراهيم عيسى علي</w:t>
      </w:r>
      <w:r w:rsidRPr="00092361">
        <w:rPr>
          <w:rFonts w:ascii="Simplified Arabic" w:eastAsia="Times New Roman" w:hAnsi="Simplified Arabic" w:cs="Simplified Arabic" w:hint="cs"/>
          <w:b/>
          <w:bCs/>
          <w:color w:val="000000"/>
          <w:sz w:val="24"/>
          <w:szCs w:val="24"/>
          <w:rtl/>
          <w:lang w:eastAsia="fr-FR"/>
        </w:rPr>
        <w:t>،(2005):</w:t>
      </w:r>
      <w:r w:rsidRPr="00092361">
        <w:rPr>
          <w:rFonts w:ascii="Simplified Arabic" w:eastAsia="Times New Roman" w:hAnsi="Simplified Arabic" w:cs="Simplified Arabic"/>
          <w:color w:val="000000"/>
          <w:sz w:val="24"/>
          <w:szCs w:val="24"/>
          <w:rtl/>
          <w:lang w:eastAsia="fr-FR"/>
        </w:rPr>
        <w:t xml:space="preserve"> ''جغرافية المدن- دراسة منهجية تطبيقية''، دار المعرفة الجامعي، الإسكندرية، مصر.</w:t>
      </w:r>
    </w:p>
    <w:p w:rsidR="00E724B9" w:rsidRDefault="00E724B9" w:rsidP="00044395">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ابو صبحة كايد عثمان</w:t>
      </w:r>
      <w:r w:rsidRPr="00092361">
        <w:rPr>
          <w:rFonts w:ascii="Simplified Arabic" w:eastAsia="Times New Roman" w:hAnsi="Simplified Arabic" w:cs="Simplified Arabic" w:hint="cs"/>
          <w:b/>
          <w:bCs/>
          <w:color w:val="000000"/>
          <w:sz w:val="24"/>
          <w:szCs w:val="24"/>
          <w:rtl/>
          <w:lang w:eastAsia="fr-FR"/>
        </w:rPr>
        <w:t>، (2002):</w:t>
      </w:r>
      <w:r w:rsidRPr="00092361">
        <w:rPr>
          <w:rFonts w:ascii="Simplified Arabic" w:eastAsia="Times New Roman" w:hAnsi="Simplified Arabic" w:cs="Simplified Arabic"/>
          <w:color w:val="000000"/>
          <w:sz w:val="24"/>
          <w:szCs w:val="24"/>
          <w:rtl/>
          <w:lang w:eastAsia="fr-FR"/>
        </w:rPr>
        <w:t xml:space="preserve"> ''جغرافيا العمران''، دار وائل للنشر، عمان، الاردن.</w:t>
      </w:r>
    </w:p>
    <w:p w:rsidR="00E724B9" w:rsidRDefault="00FD7036" w:rsidP="00EB517D">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 xml:space="preserve">لمخلطي </w:t>
      </w:r>
      <w:r w:rsidR="00E724B9" w:rsidRPr="00E40DF8">
        <w:rPr>
          <w:rFonts w:ascii="Simplified Arabic" w:eastAsia="Times New Roman" w:hAnsi="Simplified Arabic" w:cs="Simplified Arabic" w:hint="cs"/>
          <w:b/>
          <w:bCs/>
          <w:color w:val="000000"/>
          <w:sz w:val="24"/>
          <w:szCs w:val="24"/>
          <w:rtl/>
          <w:lang w:eastAsia="fr-FR"/>
        </w:rPr>
        <w:t>أحمد،</w:t>
      </w:r>
      <w:r w:rsidR="00E724B9" w:rsidRPr="00092361">
        <w:rPr>
          <w:rFonts w:ascii="Simplified Arabic" w:eastAsia="Times New Roman" w:hAnsi="Simplified Arabic" w:cs="Simplified Arabic" w:hint="cs"/>
          <w:b/>
          <w:bCs/>
          <w:color w:val="000000"/>
          <w:sz w:val="24"/>
          <w:szCs w:val="24"/>
          <w:rtl/>
          <w:lang w:eastAsia="fr-FR"/>
        </w:rPr>
        <w:t xml:space="preserve"> (2008):</w:t>
      </w:r>
      <w:r w:rsidR="00E724B9" w:rsidRPr="00092361">
        <w:rPr>
          <w:rFonts w:ascii="Simplified Arabic" w:eastAsia="Times New Roman" w:hAnsi="Simplified Arabic" w:cs="Simplified Arabic"/>
          <w:color w:val="000000"/>
          <w:sz w:val="24"/>
          <w:szCs w:val="24"/>
          <w:rtl/>
          <w:lang w:eastAsia="fr-FR"/>
        </w:rPr>
        <w:t xml:space="preserve"> ''التوسع العمراني وأثره على تسيير المدينة، دراسة حالة مدينة بوسعادة''، مذكرة لنيل شهادة الماجستير، جامعة محمد بوضياف بالمسيلة، الجزائر، 260 ص.</w:t>
      </w:r>
    </w:p>
    <w:p w:rsidR="00E724B9" w:rsidRDefault="00E724B9" w:rsidP="00EB517D">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الأحمدي أنس سليم</w:t>
      </w:r>
      <w:r w:rsidRPr="00092361">
        <w:rPr>
          <w:rFonts w:ascii="Simplified Arabic" w:eastAsia="Times New Roman" w:hAnsi="Simplified Arabic" w:cs="Simplified Arabic" w:hint="cs"/>
          <w:b/>
          <w:bCs/>
          <w:color w:val="000000"/>
          <w:sz w:val="24"/>
          <w:szCs w:val="24"/>
          <w:rtl/>
          <w:lang w:eastAsia="fr-FR"/>
        </w:rPr>
        <w:t>، (2007):</w:t>
      </w:r>
      <w:r w:rsidRPr="00092361">
        <w:rPr>
          <w:rFonts w:ascii="Simplified Arabic" w:eastAsia="Times New Roman" w:hAnsi="Simplified Arabic" w:cs="Simplified Arabic"/>
          <w:color w:val="000000"/>
          <w:sz w:val="24"/>
          <w:szCs w:val="24"/>
          <w:rtl/>
          <w:lang w:eastAsia="fr-FR"/>
        </w:rPr>
        <w:t xml:space="preserve"> ''المرونة: حدود المرونة بين الثوابت والمتغيرات''، الرياض، </w:t>
      </w:r>
      <w:r w:rsidRPr="005312A1">
        <w:rPr>
          <w:rFonts w:ascii="Simplified Arabic" w:eastAsia="Times New Roman" w:hAnsi="Simplified Arabic" w:cs="Simplified Arabic"/>
          <w:color w:val="000000"/>
          <w:sz w:val="24"/>
          <w:szCs w:val="24"/>
          <w:rtl/>
          <w:lang w:eastAsia="fr-FR"/>
        </w:rPr>
        <w:t>مؤسسة الأمة للنشر والتوزيع</w:t>
      </w:r>
      <w:r w:rsidRPr="00092361">
        <w:rPr>
          <w:rFonts w:ascii="Simplified Arabic" w:eastAsia="Times New Roman" w:hAnsi="Simplified Arabic" w:cs="Simplified Arabic"/>
          <w:color w:val="000000"/>
          <w:sz w:val="24"/>
          <w:szCs w:val="24"/>
          <w:rtl/>
          <w:lang w:eastAsia="fr-FR"/>
        </w:rPr>
        <w:t>، السعودية.</w:t>
      </w:r>
    </w:p>
    <w:p w:rsidR="00E724B9" w:rsidRDefault="00E724B9" w:rsidP="00EB517D">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الجنابي هاشم خضير</w:t>
      </w:r>
      <w:r w:rsidRPr="00092361">
        <w:rPr>
          <w:rFonts w:ascii="Simplified Arabic" w:eastAsia="Times New Roman" w:hAnsi="Simplified Arabic" w:cs="Simplified Arabic" w:hint="cs"/>
          <w:b/>
          <w:bCs/>
          <w:color w:val="000000"/>
          <w:sz w:val="24"/>
          <w:szCs w:val="24"/>
          <w:rtl/>
          <w:lang w:eastAsia="fr-FR"/>
        </w:rPr>
        <w:t>، (1985):</w:t>
      </w:r>
      <w:r w:rsidRPr="00092361">
        <w:rPr>
          <w:rFonts w:ascii="Simplified Arabic" w:eastAsia="Times New Roman" w:hAnsi="Simplified Arabic" w:cs="Simplified Arabic"/>
          <w:color w:val="000000"/>
          <w:sz w:val="24"/>
          <w:szCs w:val="24"/>
          <w:rtl/>
          <w:lang w:eastAsia="fr-FR"/>
        </w:rPr>
        <w:t xml:space="preserve"> ''مدينة دهوك- دراسة في جغرافية المدن''، جامعة الموصل، العراق.</w:t>
      </w:r>
    </w:p>
    <w:p w:rsidR="00E724B9" w:rsidRDefault="00E724B9" w:rsidP="00EB517D">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الحافظ أمل محمد</w:t>
      </w:r>
      <w:r w:rsidRPr="00092361">
        <w:rPr>
          <w:rFonts w:ascii="Simplified Arabic" w:eastAsia="Times New Roman" w:hAnsi="Simplified Arabic" w:cs="Simplified Arabic" w:hint="cs"/>
          <w:b/>
          <w:bCs/>
          <w:color w:val="000000"/>
          <w:sz w:val="24"/>
          <w:szCs w:val="24"/>
          <w:rtl/>
          <w:lang w:eastAsia="fr-FR"/>
        </w:rPr>
        <w:t>، (2018):</w:t>
      </w:r>
      <w:r w:rsidRPr="00092361">
        <w:rPr>
          <w:rFonts w:ascii="Simplified Arabic" w:eastAsia="Times New Roman" w:hAnsi="Simplified Arabic" w:cs="Simplified Arabic"/>
          <w:color w:val="000000"/>
          <w:sz w:val="24"/>
          <w:szCs w:val="24"/>
          <w:rtl/>
          <w:lang w:eastAsia="fr-FR"/>
        </w:rPr>
        <w:t xml:space="preserve"> ''دور الخريطة المدرسية الرقمية كأداة من أدوات التخطيط التربوي والعوامل الرئيسية في إعدادها من وجهة نظر العاملين في إدارة التخطيط بوزارة التربية الكويتية''، كلية التربية جامعة سوهاج، المجلة التربوية، العدد (52).</w:t>
      </w:r>
    </w:p>
    <w:p w:rsidR="00E724B9" w:rsidRDefault="00E724B9" w:rsidP="00191967">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الدليمي</w:t>
      </w:r>
      <w:r w:rsidRPr="006F1380">
        <w:rPr>
          <w:rFonts w:ascii="Simplified Arabic" w:eastAsia="Times New Roman" w:hAnsi="Simplified Arabic" w:cs="Simplified Arabic" w:hint="cs"/>
          <w:b/>
          <w:bCs/>
          <w:color w:val="000000"/>
          <w:sz w:val="24"/>
          <w:szCs w:val="24"/>
          <w:rtl/>
          <w:lang w:eastAsia="fr-FR"/>
        </w:rPr>
        <w:t xml:space="preserve"> </w:t>
      </w:r>
      <w:r w:rsidRPr="00E40DF8">
        <w:rPr>
          <w:rFonts w:ascii="Simplified Arabic" w:eastAsia="Times New Roman" w:hAnsi="Simplified Arabic" w:cs="Simplified Arabic" w:hint="cs"/>
          <w:b/>
          <w:bCs/>
          <w:color w:val="000000"/>
          <w:sz w:val="24"/>
          <w:szCs w:val="24"/>
          <w:rtl/>
          <w:lang w:eastAsia="fr-FR"/>
        </w:rPr>
        <w:t>خلف حسين علي</w:t>
      </w:r>
      <w:r w:rsidRPr="00EB517D">
        <w:rPr>
          <w:rFonts w:ascii="Simplified Arabic" w:eastAsia="Times New Roman" w:hAnsi="Simplified Arabic" w:cs="Simplified Arabic" w:hint="cs"/>
          <w:b/>
          <w:bCs/>
          <w:color w:val="000000"/>
          <w:sz w:val="24"/>
          <w:szCs w:val="24"/>
          <w:rtl/>
          <w:lang w:eastAsia="fr-FR"/>
        </w:rPr>
        <w:t>، (</w:t>
      </w:r>
      <w:r w:rsidR="00FD7036" w:rsidRPr="00EB517D">
        <w:rPr>
          <w:rFonts w:ascii="Simplified Arabic" w:eastAsia="Times New Roman" w:hAnsi="Simplified Arabic" w:cs="Simplified Arabic" w:hint="cs"/>
          <w:b/>
          <w:bCs/>
          <w:color w:val="000000"/>
          <w:sz w:val="24"/>
          <w:szCs w:val="24"/>
          <w:rtl/>
          <w:lang w:eastAsia="fr-FR"/>
        </w:rPr>
        <w:t>2015</w:t>
      </w:r>
      <w:r w:rsidRPr="00EB517D">
        <w:rPr>
          <w:rFonts w:ascii="Simplified Arabic" w:eastAsia="Times New Roman" w:hAnsi="Simplified Arabic" w:cs="Simplified Arabic" w:hint="cs"/>
          <w:b/>
          <w:bCs/>
          <w:color w:val="000000"/>
          <w:sz w:val="24"/>
          <w:szCs w:val="24"/>
          <w:rtl/>
          <w:lang w:eastAsia="fr-FR"/>
        </w:rPr>
        <w:t>):</w:t>
      </w:r>
      <w:r w:rsidRPr="00EB517D">
        <w:rPr>
          <w:rFonts w:ascii="Simplified Arabic" w:eastAsia="Times New Roman" w:hAnsi="Simplified Arabic" w:cs="Simplified Arabic"/>
          <w:color w:val="000000"/>
          <w:sz w:val="24"/>
          <w:szCs w:val="24"/>
          <w:rtl/>
          <w:lang w:eastAsia="fr-FR"/>
        </w:rPr>
        <w:t xml:space="preserve"> ''نظم المعلومات الجغرافية أسس وتطبيقات''، دار صفاء للنشر والتوزيع، عمان</w:t>
      </w:r>
      <w:r w:rsidR="00191967" w:rsidRPr="00EB517D">
        <w:rPr>
          <w:rFonts w:ascii="Simplified Arabic" w:eastAsia="Times New Roman" w:hAnsi="Simplified Arabic" w:cs="Simplified Arabic"/>
          <w:color w:val="000000"/>
          <w:sz w:val="24"/>
          <w:szCs w:val="24"/>
          <w:rtl/>
          <w:lang w:eastAsia="fr-FR"/>
        </w:rPr>
        <w:t xml:space="preserve"> </w:t>
      </w:r>
      <w:r w:rsidRPr="00EB517D">
        <w:rPr>
          <w:rFonts w:ascii="Simplified Arabic" w:eastAsia="Times New Roman" w:hAnsi="Simplified Arabic" w:cs="Simplified Arabic"/>
          <w:color w:val="000000"/>
          <w:sz w:val="24"/>
          <w:szCs w:val="24"/>
          <w:rtl/>
          <w:lang w:eastAsia="fr-FR"/>
        </w:rPr>
        <w:t>، الاردن</w:t>
      </w:r>
      <w:r w:rsidR="00191967" w:rsidRPr="00EB517D">
        <w:rPr>
          <w:rFonts w:ascii="Simplified Arabic" w:eastAsia="Times New Roman" w:hAnsi="Simplified Arabic" w:cs="Simplified Arabic"/>
          <w:color w:val="000000"/>
          <w:sz w:val="24"/>
          <w:szCs w:val="24"/>
          <w:rtl/>
          <w:lang w:eastAsia="fr-FR"/>
        </w:rPr>
        <w:t>، 228</w:t>
      </w:r>
      <w:r w:rsidR="00191967" w:rsidRPr="00191967">
        <w:rPr>
          <w:rFonts w:ascii="Simplified Arabic" w:eastAsia="Times New Roman" w:hAnsi="Simplified Arabic" w:cs="Simplified Arabic"/>
          <w:color w:val="000000"/>
          <w:sz w:val="24"/>
          <w:szCs w:val="24"/>
          <w:rtl/>
          <w:lang w:eastAsia="fr-FR"/>
        </w:rPr>
        <w:t xml:space="preserve"> </w:t>
      </w:r>
      <w:r w:rsidR="00191967" w:rsidRPr="00EB517D">
        <w:rPr>
          <w:rFonts w:ascii="Simplified Arabic" w:eastAsia="Times New Roman" w:hAnsi="Simplified Arabic" w:cs="Simplified Arabic"/>
          <w:color w:val="000000"/>
          <w:sz w:val="24"/>
          <w:szCs w:val="24"/>
          <w:rtl/>
          <w:lang w:eastAsia="fr-FR"/>
        </w:rPr>
        <w:t>ص</w:t>
      </w:r>
      <w:r w:rsidRPr="00EB517D">
        <w:rPr>
          <w:rFonts w:ascii="Simplified Arabic" w:eastAsia="Times New Roman" w:hAnsi="Simplified Arabic" w:cs="Simplified Arabic"/>
          <w:color w:val="000000"/>
          <w:sz w:val="24"/>
          <w:szCs w:val="24"/>
          <w:rtl/>
          <w:lang w:eastAsia="fr-FR"/>
        </w:rPr>
        <w:t>.</w:t>
      </w:r>
    </w:p>
    <w:p w:rsidR="005D42BC" w:rsidRPr="001A4E59" w:rsidRDefault="005D42BC" w:rsidP="005D42BC">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1A4E59">
        <w:rPr>
          <w:rFonts w:ascii="Simplified Arabic" w:eastAsia="Times New Roman" w:hAnsi="Simplified Arabic" w:cs="Simplified Arabic" w:hint="cs"/>
          <w:b/>
          <w:bCs/>
          <w:color w:val="000000"/>
          <w:sz w:val="24"/>
          <w:szCs w:val="24"/>
          <w:rtl/>
          <w:lang w:eastAsia="fr-FR"/>
        </w:rPr>
        <w:t>الديوان</w:t>
      </w:r>
      <w:r w:rsidRPr="001A4E59">
        <w:rPr>
          <w:rFonts w:ascii="Simplified Arabic" w:eastAsia="Times New Roman" w:hAnsi="Simplified Arabic" w:cs="Simplified Arabic"/>
          <w:b/>
          <w:bCs/>
          <w:color w:val="000000"/>
          <w:sz w:val="24"/>
          <w:szCs w:val="24"/>
          <w:rtl/>
          <w:lang w:eastAsia="fr-FR"/>
        </w:rPr>
        <w:t xml:space="preserve"> </w:t>
      </w:r>
      <w:r w:rsidRPr="001A4E59">
        <w:rPr>
          <w:rFonts w:ascii="Simplified Arabic" w:eastAsia="Times New Roman" w:hAnsi="Simplified Arabic" w:cs="Simplified Arabic" w:hint="cs"/>
          <w:b/>
          <w:bCs/>
          <w:color w:val="000000"/>
          <w:sz w:val="24"/>
          <w:szCs w:val="24"/>
          <w:rtl/>
          <w:lang w:eastAsia="fr-FR"/>
        </w:rPr>
        <w:t>الوطني</w:t>
      </w:r>
      <w:r w:rsidRPr="001A4E59">
        <w:rPr>
          <w:rFonts w:ascii="Simplified Arabic" w:eastAsia="Times New Roman" w:hAnsi="Simplified Arabic" w:cs="Simplified Arabic"/>
          <w:b/>
          <w:bCs/>
          <w:color w:val="000000"/>
          <w:sz w:val="24"/>
          <w:szCs w:val="24"/>
          <w:rtl/>
          <w:lang w:eastAsia="fr-FR"/>
        </w:rPr>
        <w:t xml:space="preserve"> </w:t>
      </w:r>
      <w:r w:rsidRPr="001A4E59">
        <w:rPr>
          <w:rFonts w:ascii="Simplified Arabic" w:eastAsia="Times New Roman" w:hAnsi="Simplified Arabic" w:cs="Simplified Arabic" w:hint="cs"/>
          <w:b/>
          <w:bCs/>
          <w:color w:val="000000"/>
          <w:sz w:val="24"/>
          <w:szCs w:val="24"/>
          <w:rtl/>
          <w:lang w:eastAsia="fr-FR"/>
        </w:rPr>
        <w:t>للإحصاء</w:t>
      </w:r>
      <w:r w:rsidRPr="001A4E59">
        <w:rPr>
          <w:rFonts w:ascii="Simplified Arabic" w:eastAsia="Times New Roman" w:hAnsi="Simplified Arabic" w:cs="Simplified Arabic"/>
          <w:b/>
          <w:bCs/>
          <w:color w:val="000000"/>
          <w:sz w:val="24"/>
          <w:szCs w:val="24"/>
          <w:rtl/>
          <w:lang w:eastAsia="fr-FR"/>
        </w:rPr>
        <w:t xml:space="preserve"> (</w:t>
      </w:r>
      <w:r w:rsidRPr="001A4E59">
        <w:rPr>
          <w:rFonts w:asciiTheme="majorBidi" w:eastAsia="Times New Roman" w:hAnsiTheme="majorBidi" w:cstheme="majorBidi"/>
          <w:b/>
          <w:bCs/>
          <w:color w:val="000000"/>
          <w:sz w:val="24"/>
          <w:szCs w:val="24"/>
          <w:lang w:eastAsia="fr-FR"/>
        </w:rPr>
        <w:t>NSO</w:t>
      </w:r>
      <w:r w:rsidRPr="001A4E59">
        <w:rPr>
          <w:rFonts w:ascii="Simplified Arabic" w:eastAsia="Times New Roman" w:hAnsi="Simplified Arabic" w:cs="Simplified Arabic"/>
          <w:b/>
          <w:bCs/>
          <w:color w:val="000000"/>
          <w:sz w:val="24"/>
          <w:szCs w:val="24"/>
          <w:lang w:eastAsia="fr-FR"/>
        </w:rPr>
        <w:t>, 2022</w:t>
      </w:r>
      <w:r w:rsidRPr="001A4E59">
        <w:rPr>
          <w:rFonts w:ascii="Simplified Arabic" w:eastAsia="Times New Roman" w:hAnsi="Simplified Arabic" w:cs="Simplified Arabic"/>
          <w:b/>
          <w:bCs/>
          <w:color w:val="000000"/>
          <w:sz w:val="24"/>
          <w:szCs w:val="24"/>
          <w:rtl/>
          <w:lang w:eastAsia="fr-FR"/>
        </w:rPr>
        <w:t>):</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الاحصاء</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العام</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للسكن</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و</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السكان</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لسنة</w:t>
      </w:r>
      <w:r w:rsidRPr="001A4E59">
        <w:rPr>
          <w:rFonts w:ascii="Simplified Arabic" w:eastAsia="Times New Roman" w:hAnsi="Simplified Arabic" w:cs="Simplified Arabic"/>
          <w:color w:val="000000"/>
          <w:sz w:val="24"/>
          <w:szCs w:val="24"/>
          <w:rtl/>
          <w:lang w:eastAsia="fr-FR"/>
        </w:rPr>
        <w:t xml:space="preserve"> 2022- </w:t>
      </w:r>
      <w:r w:rsidRPr="001A4E59">
        <w:rPr>
          <w:rFonts w:ascii="Simplified Arabic" w:eastAsia="Times New Roman" w:hAnsi="Simplified Arabic" w:cs="Simplified Arabic" w:hint="cs"/>
          <w:color w:val="000000"/>
          <w:sz w:val="24"/>
          <w:szCs w:val="24"/>
          <w:rtl/>
          <w:lang w:eastAsia="fr-FR"/>
        </w:rPr>
        <w:t>مكتب</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الاحصاء</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البلدي</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لبلدية</w:t>
      </w:r>
      <w:r w:rsidRPr="001A4E59">
        <w:rPr>
          <w:rFonts w:ascii="Simplified Arabic" w:eastAsia="Times New Roman" w:hAnsi="Simplified Arabic" w:cs="Simplified Arabic"/>
          <w:color w:val="000000"/>
          <w:sz w:val="24"/>
          <w:szCs w:val="24"/>
          <w:rtl/>
          <w:lang w:eastAsia="fr-FR"/>
        </w:rPr>
        <w:t xml:space="preserve"> </w:t>
      </w:r>
      <w:r w:rsidRPr="001A4E59">
        <w:rPr>
          <w:rFonts w:ascii="Simplified Arabic" w:eastAsia="Times New Roman" w:hAnsi="Simplified Arabic" w:cs="Simplified Arabic" w:hint="cs"/>
          <w:color w:val="000000"/>
          <w:sz w:val="24"/>
          <w:szCs w:val="24"/>
          <w:rtl/>
          <w:lang w:eastAsia="fr-FR"/>
        </w:rPr>
        <w:t>بوسعادة</w:t>
      </w:r>
      <w:r w:rsidRPr="001A4E59">
        <w:rPr>
          <w:rFonts w:ascii="Simplified Arabic" w:eastAsia="Times New Roman" w:hAnsi="Simplified Arabic" w:cs="Simplified Arabic"/>
          <w:color w:val="000000"/>
          <w:sz w:val="24"/>
          <w:szCs w:val="24"/>
          <w:rtl/>
          <w:lang w:eastAsia="fr-FR"/>
        </w:rPr>
        <w:t>.</w:t>
      </w:r>
    </w:p>
    <w:p w:rsidR="00E724B9" w:rsidRDefault="00E724B9" w:rsidP="00191967">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العاني محمد جاسم،</w:t>
      </w:r>
      <w:r w:rsidRPr="00092361">
        <w:rPr>
          <w:rFonts w:ascii="Simplified Arabic" w:eastAsia="Times New Roman" w:hAnsi="Simplified Arabic" w:cs="Simplified Arabic" w:hint="cs"/>
          <w:b/>
          <w:bCs/>
          <w:color w:val="000000"/>
          <w:sz w:val="24"/>
          <w:szCs w:val="24"/>
          <w:rtl/>
          <w:lang w:eastAsia="fr-FR"/>
        </w:rPr>
        <w:t xml:space="preserve"> (2013):</w:t>
      </w:r>
      <w:r w:rsidRPr="00092361">
        <w:rPr>
          <w:rFonts w:ascii="Simplified Arabic" w:eastAsia="Times New Roman" w:hAnsi="Simplified Arabic" w:cs="Simplified Arabic"/>
          <w:color w:val="000000"/>
          <w:sz w:val="24"/>
          <w:szCs w:val="24"/>
          <w:rtl/>
          <w:lang w:eastAsia="fr-FR"/>
        </w:rPr>
        <w:t xml:space="preserve"> ''تقييم استعمالات الأرض الحضرية لمدينة المرج الليبية''، بحث منشور- المؤتمر العلمي السادس لمركز التخطيط الحضري والإقليمي، بغداد، العراق</w:t>
      </w:r>
      <w:r w:rsidR="00191967" w:rsidRPr="00092361">
        <w:rPr>
          <w:rFonts w:ascii="Simplified Arabic" w:eastAsia="Times New Roman" w:hAnsi="Simplified Arabic" w:cs="Simplified Arabic"/>
          <w:color w:val="000000"/>
          <w:sz w:val="24"/>
          <w:szCs w:val="24"/>
          <w:rtl/>
          <w:lang w:eastAsia="fr-FR"/>
        </w:rPr>
        <w:t>،</w:t>
      </w:r>
      <w:r w:rsidR="00191967">
        <w:rPr>
          <w:rFonts w:ascii="Simplified Arabic" w:eastAsia="Times New Roman" w:hAnsi="Simplified Arabic" w:cs="Simplified Arabic" w:hint="cs"/>
          <w:color w:val="000000"/>
          <w:sz w:val="24"/>
          <w:szCs w:val="24"/>
          <w:rtl/>
          <w:lang w:eastAsia="fr-FR"/>
        </w:rPr>
        <w:t xml:space="preserve"> </w:t>
      </w:r>
      <w:r w:rsidR="00191967" w:rsidRPr="00092361">
        <w:rPr>
          <w:rFonts w:ascii="Simplified Arabic" w:eastAsia="Times New Roman" w:hAnsi="Simplified Arabic" w:cs="Simplified Arabic"/>
          <w:color w:val="000000"/>
          <w:sz w:val="24"/>
          <w:szCs w:val="24"/>
          <w:rtl/>
          <w:lang w:eastAsia="fr-FR"/>
        </w:rPr>
        <w:t>690 ص</w:t>
      </w:r>
      <w:r w:rsidRPr="00092361">
        <w:rPr>
          <w:rFonts w:ascii="Simplified Arabic" w:eastAsia="Times New Roman" w:hAnsi="Simplified Arabic" w:cs="Simplified Arabic"/>
          <w:color w:val="000000"/>
          <w:sz w:val="24"/>
          <w:szCs w:val="24"/>
          <w:rtl/>
          <w:lang w:eastAsia="fr-FR"/>
        </w:rPr>
        <w:t>.</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الغریباوي رعد عبد الحسین،</w:t>
      </w:r>
      <w:r w:rsidRPr="00092361">
        <w:rPr>
          <w:rFonts w:ascii="Simplified Arabic" w:eastAsia="Times New Roman" w:hAnsi="Simplified Arabic" w:cs="Simplified Arabic" w:hint="cs"/>
          <w:b/>
          <w:bCs/>
          <w:color w:val="000000"/>
          <w:sz w:val="24"/>
          <w:szCs w:val="24"/>
          <w:rtl/>
          <w:lang w:eastAsia="fr-FR"/>
        </w:rPr>
        <w:t xml:space="preserve"> (2005):</w:t>
      </w:r>
      <w:r w:rsidRPr="00092361">
        <w:rPr>
          <w:rFonts w:ascii="Simplified Arabic" w:eastAsia="Times New Roman" w:hAnsi="Simplified Arabic" w:cs="Simplified Arabic"/>
          <w:color w:val="000000"/>
          <w:sz w:val="24"/>
          <w:szCs w:val="24"/>
          <w:rtl/>
          <w:lang w:eastAsia="fr-FR"/>
        </w:rPr>
        <w:t xml:space="preserve"> ''الواقع السكني للقطاع الحضري لمحافظة القادسية وتوقعاته المستقبلية (2005-2020)''، مجلة البحوث الجغرافية، العدد(6)، ص. 207-236.</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الهيتي</w:t>
      </w:r>
      <w:r w:rsidRPr="00092361">
        <w:rPr>
          <w:rFonts w:ascii="Simplified Arabic" w:eastAsia="Times New Roman" w:hAnsi="Simplified Arabic" w:cs="Simplified Arabic" w:hint="cs"/>
          <w:b/>
          <w:bCs/>
          <w:color w:val="000000"/>
          <w:sz w:val="24"/>
          <w:szCs w:val="24"/>
          <w:rtl/>
          <w:lang w:eastAsia="fr-FR"/>
        </w:rPr>
        <w:t xml:space="preserve"> صبري فارس و حسن صالح فليح، (1986):</w:t>
      </w:r>
      <w:r w:rsidRPr="00092361">
        <w:rPr>
          <w:rFonts w:ascii="Simplified Arabic" w:eastAsia="Times New Roman" w:hAnsi="Simplified Arabic" w:cs="Simplified Arabic"/>
          <w:color w:val="000000"/>
          <w:sz w:val="24"/>
          <w:szCs w:val="24"/>
          <w:rtl/>
          <w:lang w:eastAsia="fr-FR"/>
        </w:rPr>
        <w:t xml:space="preserve"> ''جغرافية المدن''، مديرية دار الكتب للطباعة والنشر، جامعة الموصل، العراق.</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bidi="ar-DZ"/>
        </w:rPr>
      </w:pPr>
      <w:r w:rsidRPr="00E40DF8">
        <w:rPr>
          <w:rFonts w:ascii="Simplified Arabic" w:eastAsia="Times New Roman" w:hAnsi="Simplified Arabic" w:cs="Simplified Arabic" w:hint="cs"/>
          <w:b/>
          <w:bCs/>
          <w:color w:val="000000"/>
          <w:sz w:val="24"/>
          <w:szCs w:val="24"/>
          <w:rtl/>
          <w:lang w:eastAsia="fr-FR"/>
        </w:rPr>
        <w:t>الهيتي</w:t>
      </w:r>
      <w:r w:rsidRPr="00092361">
        <w:rPr>
          <w:rFonts w:ascii="Simplified Arabic" w:eastAsia="Times New Roman" w:hAnsi="Simplified Arabic" w:cs="Simplified Arabic" w:hint="cs"/>
          <w:b/>
          <w:bCs/>
          <w:color w:val="000000"/>
          <w:sz w:val="24"/>
          <w:szCs w:val="24"/>
          <w:rtl/>
          <w:lang w:eastAsia="fr-FR"/>
        </w:rPr>
        <w:t xml:space="preserve"> صبري، (2002):</w:t>
      </w:r>
      <w:r w:rsidRPr="00092361">
        <w:rPr>
          <w:rFonts w:ascii="Simplified Arabic" w:eastAsia="Times New Roman" w:hAnsi="Simplified Arabic" w:cs="Simplified Arabic"/>
          <w:color w:val="000000"/>
          <w:sz w:val="24"/>
          <w:szCs w:val="24"/>
          <w:rtl/>
          <w:lang w:eastAsia="fr-FR"/>
        </w:rPr>
        <w:t xml:space="preserve"> ''جغرافية المدن''، دار و صفاء للنشر و التوزيع، الطبعة الاولى، عمان، الاردن.</w:t>
      </w:r>
    </w:p>
    <w:p w:rsidR="004C0267" w:rsidRDefault="004C0267" w:rsidP="004C0267">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bidi="ar-DZ"/>
        </w:rPr>
      </w:pPr>
      <w:r w:rsidRPr="00E40DF8">
        <w:rPr>
          <w:rFonts w:ascii="Simplified Arabic" w:eastAsia="Times New Roman" w:hAnsi="Simplified Arabic" w:cs="Simplified Arabic" w:hint="cs"/>
          <w:b/>
          <w:bCs/>
          <w:color w:val="000000"/>
          <w:sz w:val="24"/>
          <w:szCs w:val="24"/>
          <w:rtl/>
          <w:lang w:eastAsia="fr-FR"/>
        </w:rPr>
        <w:t>الهيئة</w:t>
      </w:r>
      <w:r w:rsidRPr="00E40DF8">
        <w:rPr>
          <w:rFonts w:ascii="Simplified Arabic" w:eastAsia="Times New Roman" w:hAnsi="Simplified Arabic" w:cs="Simplified Arabic"/>
          <w:b/>
          <w:bCs/>
          <w:color w:val="000000"/>
          <w:sz w:val="24"/>
          <w:szCs w:val="24"/>
          <w:rtl/>
          <w:lang w:eastAsia="fr-FR"/>
        </w:rPr>
        <w:t xml:space="preserve"> </w:t>
      </w:r>
      <w:r w:rsidRPr="00E40DF8">
        <w:rPr>
          <w:rFonts w:ascii="Simplified Arabic" w:eastAsia="Times New Roman" w:hAnsi="Simplified Arabic" w:cs="Simplified Arabic" w:hint="cs"/>
          <w:b/>
          <w:bCs/>
          <w:color w:val="000000"/>
          <w:sz w:val="24"/>
          <w:szCs w:val="24"/>
          <w:rtl/>
          <w:lang w:eastAsia="fr-FR"/>
        </w:rPr>
        <w:t>العامة</w:t>
      </w:r>
      <w:r w:rsidRPr="00E40DF8">
        <w:rPr>
          <w:rFonts w:ascii="Simplified Arabic" w:eastAsia="Times New Roman" w:hAnsi="Simplified Arabic" w:cs="Simplified Arabic"/>
          <w:b/>
          <w:bCs/>
          <w:color w:val="000000"/>
          <w:sz w:val="24"/>
          <w:szCs w:val="24"/>
          <w:rtl/>
          <w:lang w:eastAsia="fr-FR"/>
        </w:rPr>
        <w:t xml:space="preserve"> </w:t>
      </w:r>
      <w:r w:rsidRPr="00E40DF8">
        <w:rPr>
          <w:rFonts w:ascii="Simplified Arabic" w:eastAsia="Times New Roman" w:hAnsi="Simplified Arabic" w:cs="Simplified Arabic" w:hint="cs"/>
          <w:b/>
          <w:bCs/>
          <w:color w:val="000000"/>
          <w:sz w:val="24"/>
          <w:szCs w:val="24"/>
          <w:rtl/>
          <w:lang w:eastAsia="fr-FR"/>
        </w:rPr>
        <w:t>للاسكان</w:t>
      </w:r>
      <w:r w:rsidRPr="004C0267">
        <w:rPr>
          <w:rFonts w:ascii="Simplified Arabic" w:eastAsia="Times New Roman" w:hAnsi="Simplified Arabic" w:cs="Simplified Arabic"/>
          <w:b/>
          <w:bCs/>
          <w:color w:val="000000"/>
          <w:sz w:val="24"/>
          <w:szCs w:val="24"/>
          <w:rtl/>
          <w:lang w:eastAsia="fr-FR" w:bidi="ar-DZ"/>
        </w:rPr>
        <w:t xml:space="preserve"> -</w:t>
      </w:r>
      <w:r w:rsidRPr="004C0267">
        <w:rPr>
          <w:rFonts w:ascii="Simplified Arabic" w:eastAsia="Times New Roman" w:hAnsi="Simplified Arabic" w:cs="Simplified Arabic" w:hint="cs"/>
          <w:b/>
          <w:bCs/>
          <w:color w:val="000000"/>
          <w:sz w:val="24"/>
          <w:szCs w:val="24"/>
          <w:rtl/>
          <w:lang w:eastAsia="fr-FR" w:bidi="ar-DZ"/>
        </w:rPr>
        <w:t>شعبة</w:t>
      </w:r>
      <w:r w:rsidRPr="004C0267">
        <w:rPr>
          <w:rFonts w:ascii="Simplified Arabic" w:eastAsia="Times New Roman" w:hAnsi="Simplified Arabic" w:cs="Simplified Arabic"/>
          <w:b/>
          <w:bCs/>
          <w:color w:val="000000"/>
          <w:sz w:val="24"/>
          <w:szCs w:val="24"/>
          <w:rtl/>
          <w:lang w:eastAsia="fr-FR" w:bidi="ar-DZ"/>
        </w:rPr>
        <w:t xml:space="preserve"> </w:t>
      </w:r>
      <w:r w:rsidRPr="004C0267">
        <w:rPr>
          <w:rFonts w:ascii="Simplified Arabic" w:eastAsia="Times New Roman" w:hAnsi="Simplified Arabic" w:cs="Simplified Arabic" w:hint="cs"/>
          <w:b/>
          <w:bCs/>
          <w:color w:val="000000"/>
          <w:sz w:val="24"/>
          <w:szCs w:val="24"/>
          <w:rtl/>
          <w:lang w:eastAsia="fr-FR" w:bidi="ar-DZ"/>
        </w:rPr>
        <w:t>الدراسات،</w:t>
      </w:r>
      <w:r w:rsidRPr="004C0267">
        <w:rPr>
          <w:rFonts w:ascii="Simplified Arabic" w:eastAsia="Times New Roman" w:hAnsi="Simplified Arabic" w:cs="Simplified Arabic"/>
          <w:b/>
          <w:bCs/>
          <w:color w:val="000000"/>
          <w:sz w:val="24"/>
          <w:szCs w:val="24"/>
          <w:rtl/>
          <w:lang w:eastAsia="fr-FR" w:bidi="ar-DZ"/>
        </w:rPr>
        <w:t xml:space="preserve"> (2010):</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كراس</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معايير</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الإسكان</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الحضري</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لجمهوريةٌ</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العراق،</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جمهورية</w:t>
      </w:r>
      <w:r w:rsidRPr="004C0267">
        <w:rPr>
          <w:rFonts w:ascii="Simplified Arabic" w:eastAsia="Times New Roman" w:hAnsi="Simplified Arabic" w:cs="Simplified Arabic"/>
          <w:color w:val="000000"/>
          <w:sz w:val="24"/>
          <w:szCs w:val="24"/>
          <w:rtl/>
          <w:lang w:eastAsia="fr-FR" w:bidi="ar-DZ"/>
        </w:rPr>
        <w:t xml:space="preserve"> </w:t>
      </w:r>
      <w:r w:rsidRPr="004C0267">
        <w:rPr>
          <w:rFonts w:ascii="Simplified Arabic" w:eastAsia="Times New Roman" w:hAnsi="Simplified Arabic" w:cs="Simplified Arabic" w:hint="cs"/>
          <w:color w:val="000000"/>
          <w:sz w:val="24"/>
          <w:szCs w:val="24"/>
          <w:rtl/>
          <w:lang w:eastAsia="fr-FR" w:bidi="ar-DZ"/>
        </w:rPr>
        <w:t>العراق</w:t>
      </w:r>
    </w:p>
    <w:p w:rsidR="00D138AD" w:rsidRPr="00D138AD" w:rsidRDefault="00D138AD" w:rsidP="00211413">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D138AD">
        <w:rPr>
          <w:rFonts w:ascii="Simplified Arabic" w:eastAsia="Times New Roman" w:hAnsi="Simplified Arabic" w:cs="Simplified Arabic" w:hint="cs"/>
          <w:b/>
          <w:bCs/>
          <w:color w:val="000000"/>
          <w:sz w:val="24"/>
          <w:szCs w:val="24"/>
          <w:rtl/>
          <w:lang w:eastAsia="fr-FR"/>
        </w:rPr>
        <w:t>بن</w:t>
      </w:r>
      <w:r w:rsidRPr="00D138AD">
        <w:rPr>
          <w:rFonts w:ascii="Simplified Arabic" w:eastAsia="Times New Roman" w:hAnsi="Simplified Arabic" w:cs="Simplified Arabic"/>
          <w:b/>
          <w:bCs/>
          <w:color w:val="000000"/>
          <w:sz w:val="24"/>
          <w:szCs w:val="24"/>
          <w:rtl/>
          <w:lang w:eastAsia="fr-FR"/>
        </w:rPr>
        <w:t xml:space="preserve"> </w:t>
      </w:r>
      <w:r w:rsidRPr="00D138AD">
        <w:rPr>
          <w:rFonts w:ascii="Simplified Arabic" w:eastAsia="Times New Roman" w:hAnsi="Simplified Arabic" w:cs="Simplified Arabic" w:hint="cs"/>
          <w:b/>
          <w:bCs/>
          <w:color w:val="000000"/>
          <w:sz w:val="24"/>
          <w:szCs w:val="24"/>
          <w:rtl/>
          <w:lang w:eastAsia="fr-FR"/>
        </w:rPr>
        <w:t>خالد</w:t>
      </w:r>
      <w:r w:rsidRPr="00D138AD">
        <w:rPr>
          <w:rFonts w:ascii="Simplified Arabic" w:eastAsia="Times New Roman" w:hAnsi="Simplified Arabic" w:cs="Simplified Arabic"/>
          <w:b/>
          <w:bCs/>
          <w:color w:val="000000"/>
          <w:sz w:val="24"/>
          <w:szCs w:val="24"/>
          <w:rtl/>
          <w:lang w:eastAsia="fr-FR"/>
        </w:rPr>
        <w:t xml:space="preserve"> </w:t>
      </w:r>
      <w:r w:rsidRPr="00D138AD">
        <w:rPr>
          <w:rFonts w:ascii="Simplified Arabic" w:eastAsia="Times New Roman" w:hAnsi="Simplified Arabic" w:cs="Simplified Arabic" w:hint="cs"/>
          <w:b/>
          <w:bCs/>
          <w:color w:val="000000"/>
          <w:sz w:val="24"/>
          <w:szCs w:val="24"/>
          <w:rtl/>
          <w:lang w:eastAsia="fr-FR"/>
        </w:rPr>
        <w:t>الحاج</w:t>
      </w:r>
      <w:r w:rsidRPr="00D138AD">
        <w:rPr>
          <w:rFonts w:ascii="Simplified Arabic" w:eastAsia="Times New Roman" w:hAnsi="Simplified Arabic" w:cs="Simplified Arabic"/>
          <w:b/>
          <w:bCs/>
          <w:color w:val="000000"/>
          <w:sz w:val="24"/>
          <w:szCs w:val="24"/>
          <w:rtl/>
          <w:lang w:eastAsia="fr-FR"/>
        </w:rPr>
        <w:t xml:space="preserve"> (2019): </w:t>
      </w:r>
      <w:r w:rsidRPr="00D138AD">
        <w:rPr>
          <w:rFonts w:ascii="Simplified Arabic" w:eastAsia="Times New Roman" w:hAnsi="Simplified Arabic" w:cs="Simplified Arabic" w:hint="cs"/>
          <w:color w:val="000000"/>
          <w:sz w:val="24"/>
          <w:szCs w:val="24"/>
          <w:rtl/>
          <w:lang w:eastAsia="fr-FR"/>
        </w:rPr>
        <w:t>التشكيل</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العمراني</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لنسيج</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مدینة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المسیلة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وعلاقته</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بطبيعة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الأراضي</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الحضرية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القابلة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للبناء</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اطروحة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مقدمة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لنيل</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شهادة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دكتوراه</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علوم،</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جامعة</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محمد</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خيضر</w:t>
      </w:r>
      <w:r w:rsidRPr="00D138AD">
        <w:rPr>
          <w:rFonts w:ascii="Simplified Arabic" w:eastAsia="Times New Roman" w:hAnsi="Simplified Arabic" w:cs="Simplified Arabic"/>
          <w:color w:val="000000"/>
          <w:sz w:val="24"/>
          <w:szCs w:val="24"/>
          <w:rtl/>
          <w:lang w:eastAsia="fr-FR"/>
        </w:rPr>
        <w:t xml:space="preserve"> </w:t>
      </w:r>
      <w:r w:rsidRPr="00D138AD">
        <w:rPr>
          <w:rFonts w:ascii="Simplified Arabic" w:eastAsia="Times New Roman" w:hAnsi="Simplified Arabic" w:cs="Simplified Arabic" w:hint="cs"/>
          <w:color w:val="000000"/>
          <w:sz w:val="24"/>
          <w:szCs w:val="24"/>
          <w:rtl/>
          <w:lang w:eastAsia="fr-FR"/>
        </w:rPr>
        <w:t>بسكرة،</w:t>
      </w:r>
      <w:r w:rsidRPr="00D138AD">
        <w:rPr>
          <w:rFonts w:ascii="Simplified Arabic" w:eastAsia="Times New Roman" w:hAnsi="Simplified Arabic" w:cs="Simplified Arabic"/>
          <w:color w:val="000000"/>
          <w:sz w:val="24"/>
          <w:szCs w:val="24"/>
          <w:rtl/>
          <w:lang w:eastAsia="fr-FR"/>
        </w:rPr>
        <w:t xml:space="preserve"> 314 </w:t>
      </w:r>
      <w:r w:rsidRPr="00D138AD">
        <w:rPr>
          <w:rFonts w:ascii="Simplified Arabic" w:eastAsia="Times New Roman" w:hAnsi="Simplified Arabic" w:cs="Simplified Arabic" w:hint="cs"/>
          <w:color w:val="000000"/>
          <w:sz w:val="24"/>
          <w:szCs w:val="24"/>
          <w:rtl/>
          <w:lang w:eastAsia="fr-FR"/>
        </w:rPr>
        <w:t>ص</w:t>
      </w:r>
      <w:r w:rsidRPr="00D138AD">
        <w:rPr>
          <w:rFonts w:ascii="Simplified Arabic" w:eastAsia="Times New Roman" w:hAnsi="Simplified Arabic" w:cs="Simplified Arabic"/>
          <w:color w:val="000000"/>
          <w:sz w:val="24"/>
          <w:szCs w:val="24"/>
          <w:rtl/>
          <w:lang w:eastAsia="fr-FR"/>
        </w:rPr>
        <w:t>.</w:t>
      </w:r>
    </w:p>
    <w:p w:rsidR="00E724B9" w:rsidRDefault="00211413" w:rsidP="00D138AD">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 xml:space="preserve">محمد </w:t>
      </w:r>
      <w:r w:rsidR="00E724B9" w:rsidRPr="00092361">
        <w:rPr>
          <w:rFonts w:ascii="Simplified Arabic" w:eastAsia="Times New Roman" w:hAnsi="Simplified Arabic" w:cs="Simplified Arabic" w:hint="cs"/>
          <w:b/>
          <w:bCs/>
          <w:color w:val="000000"/>
          <w:sz w:val="24"/>
          <w:szCs w:val="24"/>
          <w:rtl/>
          <w:lang w:eastAsia="fr-FR"/>
        </w:rPr>
        <w:t>جابر مدحت، (2006):</w:t>
      </w:r>
      <w:r w:rsidR="00E724B9" w:rsidRPr="00092361">
        <w:rPr>
          <w:rFonts w:ascii="Simplified Arabic" w:eastAsia="Times New Roman" w:hAnsi="Simplified Arabic" w:cs="Simplified Arabic"/>
          <w:color w:val="000000"/>
          <w:sz w:val="24"/>
          <w:szCs w:val="24"/>
          <w:rtl/>
          <w:lang w:eastAsia="fr-FR"/>
        </w:rPr>
        <w:t xml:space="preserve"> ''جغرافية العمران الريفي والحضري''، مكتبة الانجلو المصرية، القاهرة، مصر.</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جمعة</w:t>
      </w:r>
      <w:r w:rsidRPr="00092361">
        <w:rPr>
          <w:rFonts w:ascii="Simplified Arabic" w:eastAsia="Times New Roman" w:hAnsi="Simplified Arabic" w:cs="Simplified Arabic" w:hint="cs"/>
          <w:b/>
          <w:bCs/>
          <w:color w:val="000000"/>
          <w:sz w:val="24"/>
          <w:szCs w:val="24"/>
          <w:rtl/>
          <w:lang w:eastAsia="fr-FR"/>
        </w:rPr>
        <w:t xml:space="preserve"> محمد داود، (2012):</w:t>
      </w:r>
      <w:r w:rsidRPr="00092361">
        <w:rPr>
          <w:rFonts w:ascii="Simplified Arabic" w:eastAsia="Times New Roman" w:hAnsi="Simplified Arabic" w:cs="Simplified Arabic"/>
          <w:color w:val="000000"/>
          <w:sz w:val="24"/>
          <w:szCs w:val="24"/>
          <w:rtl/>
          <w:lang w:eastAsia="fr-FR"/>
        </w:rPr>
        <w:t xml:space="preserve"> ''اسس التحليل المكاني في اطار نظم المعلومات الجغرافية''، مكة المكرمة، السعودية.</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lastRenderedPageBreak/>
        <w:t>جمعة</w:t>
      </w:r>
      <w:r w:rsidRPr="00092361">
        <w:rPr>
          <w:rFonts w:ascii="Simplified Arabic" w:eastAsia="Times New Roman" w:hAnsi="Simplified Arabic" w:cs="Simplified Arabic" w:hint="cs"/>
          <w:b/>
          <w:bCs/>
          <w:color w:val="000000"/>
          <w:sz w:val="24"/>
          <w:szCs w:val="24"/>
          <w:rtl/>
          <w:lang w:eastAsia="fr-FR"/>
        </w:rPr>
        <w:t xml:space="preserve"> محمد داود، (2014):</w:t>
      </w:r>
      <w:r w:rsidRPr="00092361">
        <w:rPr>
          <w:rFonts w:ascii="Simplified Arabic" w:eastAsia="Times New Roman" w:hAnsi="Simplified Arabic" w:cs="Simplified Arabic"/>
          <w:color w:val="000000"/>
          <w:sz w:val="24"/>
          <w:szCs w:val="24"/>
          <w:rtl/>
          <w:lang w:eastAsia="fr-FR"/>
        </w:rPr>
        <w:t xml:space="preserve"> ''مبادئ علم نظم المعلومات الجغرافية''، دار حامد للنشر والتوزيع، عمان، الاردن.</w:t>
      </w:r>
    </w:p>
    <w:p w:rsidR="00E724B9" w:rsidRDefault="00E724B9" w:rsidP="00191967">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حیدر فاروق عباس</w:t>
      </w:r>
      <w:r w:rsidRPr="00092361">
        <w:rPr>
          <w:rFonts w:ascii="Simplified Arabic" w:eastAsia="Times New Roman" w:hAnsi="Simplified Arabic" w:cs="Simplified Arabic" w:hint="cs"/>
          <w:b/>
          <w:bCs/>
          <w:color w:val="000000"/>
          <w:sz w:val="24"/>
          <w:szCs w:val="24"/>
          <w:rtl/>
          <w:lang w:eastAsia="fr-FR"/>
        </w:rPr>
        <w:t>، (1994):</w:t>
      </w:r>
      <w:r w:rsidRPr="00092361">
        <w:rPr>
          <w:rFonts w:ascii="Simplified Arabic" w:eastAsia="Times New Roman" w:hAnsi="Simplified Arabic" w:cs="Simplified Arabic"/>
          <w:color w:val="000000"/>
          <w:sz w:val="24"/>
          <w:szCs w:val="24"/>
          <w:rtl/>
          <w:lang w:eastAsia="fr-FR"/>
        </w:rPr>
        <w:t xml:space="preserve"> ''تخطیط المدن والقرى''، الطبعة الأولى، الإسكندرية، منشأة المعارف، مصر</w:t>
      </w:r>
      <w:r w:rsidR="00191967" w:rsidRPr="00092361">
        <w:rPr>
          <w:rFonts w:ascii="Simplified Arabic" w:eastAsia="Times New Roman" w:hAnsi="Simplified Arabic" w:cs="Simplified Arabic"/>
          <w:color w:val="000000"/>
          <w:sz w:val="24"/>
          <w:szCs w:val="24"/>
          <w:rtl/>
          <w:lang w:eastAsia="fr-FR"/>
        </w:rPr>
        <w:t>،</w:t>
      </w:r>
      <w:r w:rsidR="00191967">
        <w:rPr>
          <w:rFonts w:ascii="Simplified Arabic" w:eastAsia="Times New Roman" w:hAnsi="Simplified Arabic" w:cs="Simplified Arabic" w:hint="cs"/>
          <w:color w:val="000000"/>
          <w:sz w:val="24"/>
          <w:szCs w:val="24"/>
          <w:rtl/>
          <w:lang w:eastAsia="fr-FR"/>
        </w:rPr>
        <w:t xml:space="preserve"> </w:t>
      </w:r>
      <w:r w:rsidR="00191967" w:rsidRPr="00092361">
        <w:rPr>
          <w:rFonts w:ascii="Simplified Arabic" w:eastAsia="Times New Roman" w:hAnsi="Simplified Arabic" w:cs="Simplified Arabic"/>
          <w:color w:val="000000"/>
          <w:sz w:val="24"/>
          <w:szCs w:val="24"/>
          <w:rtl/>
          <w:lang w:eastAsia="fr-FR"/>
        </w:rPr>
        <w:t>150</w:t>
      </w:r>
      <w:r w:rsidR="00191967">
        <w:rPr>
          <w:rFonts w:ascii="Simplified Arabic" w:eastAsia="Times New Roman" w:hAnsi="Simplified Arabic" w:cs="Simplified Arabic" w:hint="cs"/>
          <w:color w:val="000000"/>
          <w:sz w:val="24"/>
          <w:szCs w:val="24"/>
          <w:rtl/>
          <w:lang w:eastAsia="fr-FR"/>
        </w:rPr>
        <w:t xml:space="preserve"> </w:t>
      </w:r>
      <w:r w:rsidR="00191967" w:rsidRPr="00092361">
        <w:rPr>
          <w:rFonts w:ascii="Simplified Arabic" w:eastAsia="Times New Roman" w:hAnsi="Simplified Arabic" w:cs="Simplified Arabic"/>
          <w:color w:val="000000"/>
          <w:sz w:val="24"/>
          <w:szCs w:val="24"/>
          <w:rtl/>
          <w:lang w:eastAsia="fr-FR"/>
        </w:rPr>
        <w:t>ص</w:t>
      </w:r>
      <w:r w:rsidRPr="00092361">
        <w:rPr>
          <w:rFonts w:ascii="Simplified Arabic" w:eastAsia="Times New Roman" w:hAnsi="Simplified Arabic" w:cs="Simplified Arabic"/>
          <w:color w:val="000000"/>
          <w:sz w:val="24"/>
          <w:szCs w:val="24"/>
          <w:rtl/>
          <w:lang w:eastAsia="fr-FR"/>
        </w:rPr>
        <w:t>.</w:t>
      </w:r>
    </w:p>
    <w:p w:rsidR="00E724B9" w:rsidRDefault="000862DC" w:rsidP="00E40DF8">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b/>
          <w:bCs/>
          <w:color w:val="000000"/>
          <w:sz w:val="24"/>
          <w:szCs w:val="24"/>
          <w:rtl/>
          <w:lang w:eastAsia="fr-FR"/>
        </w:rPr>
        <w:t>نوفل</w:t>
      </w:r>
      <w:r>
        <w:rPr>
          <w:rFonts w:ascii="Simplified Arabic" w:eastAsia="Times New Roman" w:hAnsi="Simplified Arabic" w:cs="Simplified Arabic" w:hint="cs"/>
          <w:b/>
          <w:bCs/>
          <w:color w:val="000000"/>
          <w:sz w:val="24"/>
          <w:szCs w:val="24"/>
          <w:rtl/>
          <w:lang w:eastAsia="fr-FR"/>
        </w:rPr>
        <w:t xml:space="preserve"> </w:t>
      </w:r>
      <w:hyperlink r:id="rId348" w:history="1">
        <w:r w:rsidR="00E724B9" w:rsidRPr="00092361">
          <w:rPr>
            <w:rFonts w:ascii="Simplified Arabic" w:eastAsia="Times New Roman" w:hAnsi="Simplified Arabic" w:cs="Simplified Arabic"/>
            <w:b/>
            <w:bCs/>
            <w:color w:val="000000"/>
            <w:sz w:val="24"/>
            <w:szCs w:val="24"/>
            <w:rtl/>
            <w:lang w:eastAsia="fr-FR"/>
          </w:rPr>
          <w:t>رشا صابر، (2018):</w:t>
        </w:r>
        <w:r w:rsidR="00E724B9" w:rsidRPr="00092361">
          <w:rPr>
            <w:rFonts w:ascii="Simplified Arabic" w:eastAsia="Times New Roman" w:hAnsi="Simplified Arabic" w:cs="Simplified Arabic"/>
            <w:color w:val="000000"/>
            <w:sz w:val="24"/>
            <w:szCs w:val="24"/>
            <w:rtl/>
            <w:lang w:eastAsia="fr-FR"/>
          </w:rPr>
          <w:t xml:space="preserve"> ''تحليل الشبكات في نظم المعلومات الجغرافية، تطبيق ببرنامج </w:t>
        </w:r>
        <w:r w:rsidR="00E724B9" w:rsidRPr="00F40C39">
          <w:rPr>
            <w:rFonts w:asciiTheme="majorBidi" w:eastAsia="Times New Roman" w:hAnsiTheme="majorBidi" w:cstheme="majorBidi"/>
            <w:color w:val="000000"/>
            <w:sz w:val="24"/>
            <w:szCs w:val="24"/>
            <w:lang w:eastAsia="fr-FR"/>
          </w:rPr>
          <w:t>ArcGIS</w:t>
        </w:r>
        <w:r w:rsidR="00E724B9" w:rsidRPr="00092361">
          <w:rPr>
            <w:rFonts w:ascii="Simplified Arabic" w:eastAsia="Times New Roman" w:hAnsi="Simplified Arabic" w:cs="Simplified Arabic"/>
            <w:color w:val="000000"/>
            <w:sz w:val="24"/>
            <w:szCs w:val="24"/>
            <w:rtl/>
            <w:lang w:eastAsia="fr-FR"/>
          </w:rPr>
          <w:t xml:space="preserve"> إصدار10.5</w:t>
        </w:r>
        <w:r>
          <w:rPr>
            <w:rFonts w:ascii="Simplified Arabic" w:eastAsia="Times New Roman" w:hAnsi="Simplified Arabic" w:cs="Simplified Arabic" w:hint="cs"/>
            <w:color w:val="000000"/>
            <w:sz w:val="24"/>
            <w:szCs w:val="24"/>
            <w:rtl/>
            <w:lang w:eastAsia="fr-FR"/>
          </w:rPr>
          <w:t>.</w:t>
        </w:r>
      </w:hyperlink>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صفاء سلطان ميَا</w:t>
      </w:r>
      <w:r w:rsidRPr="00092361">
        <w:rPr>
          <w:rFonts w:ascii="Simplified Arabic" w:eastAsia="Times New Roman" w:hAnsi="Simplified Arabic" w:cs="Simplified Arabic" w:hint="cs"/>
          <w:b/>
          <w:bCs/>
          <w:color w:val="000000"/>
          <w:sz w:val="24"/>
          <w:szCs w:val="24"/>
          <w:rtl/>
          <w:lang w:eastAsia="fr-FR"/>
        </w:rPr>
        <w:t>، (2014):</w:t>
      </w:r>
      <w:r w:rsidRPr="00092361">
        <w:rPr>
          <w:rFonts w:ascii="Simplified Arabic" w:eastAsia="Times New Roman" w:hAnsi="Simplified Arabic" w:cs="Simplified Arabic"/>
          <w:color w:val="000000"/>
          <w:sz w:val="24"/>
          <w:szCs w:val="24"/>
          <w:rtl/>
          <w:lang w:eastAsia="fr-FR"/>
        </w:rPr>
        <w:t xml:space="preserve"> ''تطوير منهجية إعداد المخططات التنظيمية كأداة أساسية لتنمية المدن السورية (دراسة حالة مدينة اللاذقية)''، رسالة دكتوراه، جامعة دمشق، سوريا، 305 ص.</w:t>
      </w:r>
    </w:p>
    <w:p w:rsidR="00E724B9" w:rsidRDefault="00A35008" w:rsidP="00A35008">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 xml:space="preserve">قطيشات </w:t>
      </w:r>
      <w:r w:rsidR="00E724B9" w:rsidRPr="00E40DF8">
        <w:rPr>
          <w:rFonts w:ascii="Simplified Arabic" w:eastAsia="Times New Roman" w:hAnsi="Simplified Arabic" w:cs="Simplified Arabic" w:hint="cs"/>
          <w:b/>
          <w:bCs/>
          <w:color w:val="000000"/>
          <w:sz w:val="24"/>
          <w:szCs w:val="24"/>
          <w:rtl/>
          <w:lang w:eastAsia="fr-FR"/>
        </w:rPr>
        <w:t>ضياء الدين امجد</w:t>
      </w:r>
      <w:r w:rsidR="00E724B9" w:rsidRPr="00092361">
        <w:rPr>
          <w:rFonts w:ascii="Simplified Arabic" w:eastAsia="Times New Roman" w:hAnsi="Simplified Arabic" w:cs="Simplified Arabic" w:hint="cs"/>
          <w:b/>
          <w:bCs/>
          <w:color w:val="000000"/>
          <w:sz w:val="24"/>
          <w:szCs w:val="24"/>
          <w:rtl/>
          <w:lang w:eastAsia="fr-FR"/>
        </w:rPr>
        <w:t>، (2018):</w:t>
      </w:r>
      <w:r w:rsidR="00E724B9" w:rsidRPr="00092361">
        <w:rPr>
          <w:rFonts w:ascii="Simplified Arabic" w:eastAsia="Times New Roman" w:hAnsi="Simplified Arabic" w:cs="Simplified Arabic"/>
          <w:color w:val="000000"/>
          <w:sz w:val="24"/>
          <w:szCs w:val="24"/>
          <w:rtl/>
          <w:lang w:eastAsia="fr-FR"/>
        </w:rPr>
        <w:t xml:space="preserve"> ''تأثير التغير في استعمالات الاراضي وتطور شبكة الطرق على التوزيع السكاني في مدينة السلط''، أطروحة دكتوراه منشورة، الجامعة الأردنية، عمان، الأردن.</w:t>
      </w:r>
    </w:p>
    <w:p w:rsidR="00E724B9" w:rsidRDefault="000862DC" w:rsidP="00140F3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 xml:space="preserve">قطيشات </w:t>
      </w:r>
      <w:r w:rsidR="00E724B9" w:rsidRPr="00E40DF8">
        <w:rPr>
          <w:rFonts w:ascii="Simplified Arabic" w:eastAsia="Times New Roman" w:hAnsi="Simplified Arabic" w:cs="Simplified Arabic" w:hint="cs"/>
          <w:b/>
          <w:bCs/>
          <w:color w:val="000000"/>
          <w:sz w:val="24"/>
          <w:szCs w:val="24"/>
          <w:rtl/>
          <w:lang w:eastAsia="fr-FR"/>
        </w:rPr>
        <w:t>ضياء الدين امجد</w:t>
      </w:r>
      <w:r w:rsidR="00E724B9" w:rsidRPr="00092361">
        <w:rPr>
          <w:rFonts w:ascii="Simplified Arabic" w:eastAsia="Times New Roman" w:hAnsi="Simplified Arabic" w:cs="Simplified Arabic" w:hint="cs"/>
          <w:b/>
          <w:bCs/>
          <w:color w:val="000000"/>
          <w:sz w:val="24"/>
          <w:szCs w:val="24"/>
          <w:rtl/>
          <w:lang w:eastAsia="fr-FR"/>
        </w:rPr>
        <w:t>، (2021):</w:t>
      </w:r>
      <w:r w:rsidR="00E724B9" w:rsidRPr="00092361">
        <w:rPr>
          <w:rFonts w:ascii="Simplified Arabic" w:eastAsia="Times New Roman" w:hAnsi="Simplified Arabic" w:cs="Simplified Arabic"/>
          <w:color w:val="000000"/>
          <w:sz w:val="24"/>
          <w:szCs w:val="24"/>
          <w:rtl/>
          <w:lang w:eastAsia="fr-FR"/>
        </w:rPr>
        <w:t xml:space="preserve"> ''توزيع المراكز الصحية في محافظة جرش وتحليلها باستخدام نظم المعلومات الجغرافية''، مجلة جامعة الحسين بن طلال للبحوث ، الجامعة الأردنية، العدد (7)، ص. 300-325.</w:t>
      </w:r>
    </w:p>
    <w:p w:rsidR="00190EC7" w:rsidRDefault="00190EC7" w:rsidP="00343EEE">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عبد</w:t>
      </w:r>
      <w:r w:rsidRPr="00E40DF8">
        <w:rPr>
          <w:rFonts w:ascii="Simplified Arabic" w:eastAsia="Times New Roman" w:hAnsi="Simplified Arabic" w:cs="Simplified Arabic"/>
          <w:b/>
          <w:bCs/>
          <w:color w:val="000000"/>
          <w:sz w:val="24"/>
          <w:szCs w:val="24"/>
          <w:rtl/>
          <w:lang w:eastAsia="fr-FR"/>
        </w:rPr>
        <w:t xml:space="preserve"> </w:t>
      </w:r>
      <w:r w:rsidRPr="00E40DF8">
        <w:rPr>
          <w:rFonts w:ascii="Simplified Arabic" w:eastAsia="Times New Roman" w:hAnsi="Simplified Arabic" w:cs="Simplified Arabic" w:hint="cs"/>
          <w:b/>
          <w:bCs/>
          <w:color w:val="000000"/>
          <w:sz w:val="24"/>
          <w:szCs w:val="24"/>
          <w:rtl/>
          <w:lang w:eastAsia="fr-FR"/>
        </w:rPr>
        <w:t>الكريم</w:t>
      </w:r>
      <w:r w:rsidRPr="00190EC7">
        <w:rPr>
          <w:rFonts w:ascii="Simplified Arabic" w:eastAsia="Times New Roman" w:hAnsi="Simplified Arabic" w:cs="Simplified Arabic"/>
          <w:b/>
          <w:bCs/>
          <w:color w:val="000000"/>
          <w:sz w:val="24"/>
          <w:szCs w:val="24"/>
          <w:rtl/>
          <w:lang w:eastAsia="fr-FR"/>
        </w:rPr>
        <w:t xml:space="preserve"> </w:t>
      </w:r>
      <w:r w:rsidRPr="00190EC7">
        <w:rPr>
          <w:rFonts w:ascii="Simplified Arabic" w:eastAsia="Times New Roman" w:hAnsi="Simplified Arabic" w:cs="Simplified Arabic" w:hint="cs"/>
          <w:b/>
          <w:bCs/>
          <w:color w:val="000000"/>
          <w:sz w:val="24"/>
          <w:szCs w:val="24"/>
          <w:rtl/>
          <w:lang w:eastAsia="fr-FR"/>
        </w:rPr>
        <w:t>الزهراء</w:t>
      </w:r>
      <w:r w:rsidRPr="00190EC7">
        <w:rPr>
          <w:rFonts w:ascii="Simplified Arabic" w:eastAsia="Times New Roman" w:hAnsi="Simplified Arabic" w:cs="Simplified Arabic"/>
          <w:b/>
          <w:bCs/>
          <w:color w:val="000000"/>
          <w:sz w:val="24"/>
          <w:szCs w:val="24"/>
          <w:rtl/>
          <w:lang w:eastAsia="fr-FR"/>
        </w:rPr>
        <w:t xml:space="preserve"> (2021):</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تقييم</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حساسية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الفيضانات</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في</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الاحياء</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العشوائية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دراسة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حالة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مدينة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بوسعادة،</w:t>
      </w:r>
      <w:r w:rsidRPr="00190EC7">
        <w:rPr>
          <w:rFonts w:ascii="Simplified Arabic" w:eastAsia="Times New Roman" w:hAnsi="Simplified Arabic" w:cs="Simplified Arabic"/>
          <w:color w:val="000000"/>
          <w:sz w:val="24"/>
          <w:szCs w:val="24"/>
          <w:rtl/>
          <w:lang w:eastAsia="fr-FR"/>
        </w:rPr>
        <w:t xml:space="preserve"> </w:t>
      </w:r>
      <w:r w:rsidR="00343EEE">
        <w:rPr>
          <w:rFonts w:ascii="Simplified Arabic" w:eastAsia="Times New Roman" w:hAnsi="Simplified Arabic" w:cs="Simplified Arabic" w:hint="cs"/>
          <w:color w:val="000000"/>
          <w:sz w:val="24"/>
          <w:szCs w:val="24"/>
          <w:rtl/>
          <w:lang w:eastAsia="fr-FR"/>
        </w:rPr>
        <w:t>اطروحة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لنيل</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شهادة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دكتوراه</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الطور</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الثالث،</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جامعة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محمد</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بوضياف</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بالمسيلة،</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الجزائر،</w:t>
      </w:r>
      <w:r w:rsidRPr="00190EC7">
        <w:rPr>
          <w:rFonts w:ascii="Simplified Arabic" w:eastAsia="Times New Roman" w:hAnsi="Simplified Arabic" w:cs="Simplified Arabic"/>
          <w:color w:val="000000"/>
          <w:sz w:val="24"/>
          <w:szCs w:val="24"/>
          <w:rtl/>
          <w:lang w:eastAsia="fr-FR"/>
        </w:rPr>
        <w:t xml:space="preserve"> </w:t>
      </w:r>
      <w:r>
        <w:rPr>
          <w:rFonts w:ascii="Simplified Arabic" w:eastAsia="Times New Roman" w:hAnsi="Simplified Arabic" w:cs="Simplified Arabic" w:hint="cs"/>
          <w:color w:val="000000"/>
          <w:sz w:val="24"/>
          <w:szCs w:val="24"/>
          <w:rtl/>
          <w:lang w:eastAsia="fr-FR"/>
        </w:rPr>
        <w:t>273</w:t>
      </w:r>
      <w:r w:rsidRPr="00190EC7">
        <w:rPr>
          <w:rFonts w:ascii="Simplified Arabic" w:eastAsia="Times New Roman" w:hAnsi="Simplified Arabic" w:cs="Simplified Arabic"/>
          <w:color w:val="000000"/>
          <w:sz w:val="24"/>
          <w:szCs w:val="24"/>
          <w:rtl/>
          <w:lang w:eastAsia="fr-FR"/>
        </w:rPr>
        <w:t xml:space="preserve"> </w:t>
      </w:r>
      <w:r w:rsidRPr="00190EC7">
        <w:rPr>
          <w:rFonts w:ascii="Simplified Arabic" w:eastAsia="Times New Roman" w:hAnsi="Simplified Arabic" w:cs="Simplified Arabic" w:hint="cs"/>
          <w:color w:val="000000"/>
          <w:sz w:val="24"/>
          <w:szCs w:val="24"/>
          <w:rtl/>
          <w:lang w:eastAsia="fr-FR"/>
        </w:rPr>
        <w:t>ص</w:t>
      </w:r>
      <w:r w:rsidRPr="00190EC7">
        <w:rPr>
          <w:rFonts w:ascii="Simplified Arabic" w:eastAsia="Times New Roman" w:hAnsi="Simplified Arabic" w:cs="Simplified Arabic"/>
          <w:color w:val="000000"/>
          <w:sz w:val="24"/>
          <w:szCs w:val="24"/>
          <w:rtl/>
          <w:lang w:eastAsia="fr-FR"/>
        </w:rPr>
        <w:t>.</w:t>
      </w:r>
    </w:p>
    <w:p w:rsidR="00E724B9" w:rsidRDefault="00190EC7" w:rsidP="00191967">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عايد</w:t>
      </w:r>
      <w:r>
        <w:rPr>
          <w:rFonts w:ascii="Simplified Arabic" w:eastAsia="Times New Roman" w:hAnsi="Simplified Arabic" w:cs="Simplified Arabic" w:hint="cs"/>
          <w:b/>
          <w:bCs/>
          <w:color w:val="000000"/>
          <w:sz w:val="24"/>
          <w:szCs w:val="24"/>
          <w:rtl/>
          <w:lang w:eastAsia="fr-FR"/>
        </w:rPr>
        <w:t xml:space="preserve"> </w:t>
      </w:r>
      <w:r w:rsidR="00A35008" w:rsidRPr="00E40DF8">
        <w:rPr>
          <w:rFonts w:ascii="Simplified Arabic" w:eastAsia="Times New Roman" w:hAnsi="Simplified Arabic" w:cs="Simplified Arabic" w:hint="cs"/>
          <w:b/>
          <w:bCs/>
          <w:color w:val="000000"/>
          <w:sz w:val="24"/>
          <w:szCs w:val="24"/>
          <w:rtl/>
          <w:lang w:eastAsia="fr-FR"/>
        </w:rPr>
        <w:t xml:space="preserve">طاران </w:t>
      </w:r>
      <w:r w:rsidR="00A35008">
        <w:rPr>
          <w:rFonts w:ascii="Simplified Arabic" w:eastAsia="Times New Roman" w:hAnsi="Simplified Arabic" w:cs="Simplified Arabic" w:hint="cs"/>
          <w:b/>
          <w:bCs/>
          <w:color w:val="000000"/>
          <w:sz w:val="24"/>
          <w:szCs w:val="24"/>
          <w:rtl/>
          <w:lang w:eastAsia="fr-FR"/>
        </w:rPr>
        <w:t>محمد</w:t>
      </w:r>
      <w:r w:rsidR="00E724B9" w:rsidRPr="00092361">
        <w:rPr>
          <w:rFonts w:ascii="Simplified Arabic" w:eastAsia="Times New Roman" w:hAnsi="Simplified Arabic" w:cs="Simplified Arabic" w:hint="cs"/>
          <w:b/>
          <w:bCs/>
          <w:color w:val="000000"/>
          <w:sz w:val="24"/>
          <w:szCs w:val="24"/>
          <w:rtl/>
          <w:lang w:eastAsia="fr-FR"/>
        </w:rPr>
        <w:t>، (2019):</w:t>
      </w:r>
      <w:r w:rsidR="00E724B9" w:rsidRPr="00092361">
        <w:rPr>
          <w:rFonts w:ascii="Simplified Arabic" w:eastAsia="Times New Roman" w:hAnsi="Simplified Arabic" w:cs="Simplified Arabic"/>
          <w:color w:val="000000"/>
          <w:sz w:val="24"/>
          <w:szCs w:val="24"/>
          <w:rtl/>
          <w:lang w:eastAsia="fr-FR"/>
        </w:rPr>
        <w:t xml:space="preserve"> ''استخدام نظم المعلومات الجغرافية </w:t>
      </w:r>
      <w:r w:rsidR="00E724B9" w:rsidRPr="00092361">
        <w:rPr>
          <w:rFonts w:ascii="Times New Roman" w:eastAsia="Times New Roman" w:hAnsi="Times New Roman" w:cs="Times New Roman"/>
          <w:color w:val="000000"/>
          <w:sz w:val="24"/>
          <w:szCs w:val="24"/>
          <w:rtl/>
          <w:lang w:eastAsia="fr-FR"/>
        </w:rPr>
        <w:t>(</w:t>
      </w:r>
      <w:r w:rsidR="00E724B9" w:rsidRPr="00092361">
        <w:rPr>
          <w:rFonts w:ascii="Times New Roman" w:eastAsia="Times New Roman" w:hAnsi="Times New Roman" w:cs="Times New Roman"/>
          <w:color w:val="000000"/>
          <w:sz w:val="24"/>
          <w:szCs w:val="24"/>
          <w:lang w:eastAsia="fr-FR"/>
        </w:rPr>
        <w:t>GIS</w:t>
      </w:r>
      <w:r w:rsidR="00E724B9" w:rsidRPr="00092361">
        <w:rPr>
          <w:rFonts w:ascii="Simplified Arabic" w:eastAsia="Times New Roman" w:hAnsi="Simplified Arabic" w:cs="Simplified Arabic"/>
          <w:color w:val="000000"/>
          <w:sz w:val="24"/>
          <w:szCs w:val="24"/>
          <w:rtl/>
          <w:lang w:eastAsia="fr-FR"/>
        </w:rPr>
        <w:t>) لقياس سهولة الوصول إلى مراكز الرعاية الصحية في مدينة المفرق''، جامعة الحسين بن طلال، مجلة مداد الآداب، ص</w:t>
      </w:r>
      <w:r w:rsidR="00191967">
        <w:rPr>
          <w:rFonts w:ascii="Simplified Arabic" w:eastAsia="Times New Roman" w:hAnsi="Simplified Arabic" w:cs="Simplified Arabic" w:hint="cs"/>
          <w:color w:val="000000"/>
          <w:sz w:val="24"/>
          <w:szCs w:val="24"/>
          <w:rtl/>
          <w:lang w:eastAsia="fr-FR"/>
        </w:rPr>
        <w:t>.</w:t>
      </w:r>
      <w:r w:rsidR="00E724B9" w:rsidRPr="00092361">
        <w:rPr>
          <w:rFonts w:ascii="Simplified Arabic" w:eastAsia="Times New Roman" w:hAnsi="Simplified Arabic" w:cs="Simplified Arabic"/>
          <w:color w:val="000000"/>
          <w:sz w:val="24"/>
          <w:szCs w:val="24"/>
          <w:rtl/>
          <w:lang w:eastAsia="fr-FR"/>
        </w:rPr>
        <w:t xml:space="preserve"> 95-122.</w:t>
      </w:r>
    </w:p>
    <w:p w:rsidR="00E724B9" w:rsidRDefault="00671802" w:rsidP="00671802">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 xml:space="preserve">الفناطسة </w:t>
      </w:r>
      <w:r w:rsidR="00E724B9" w:rsidRPr="00E40DF8">
        <w:rPr>
          <w:rFonts w:ascii="Simplified Arabic" w:eastAsia="Times New Roman" w:hAnsi="Simplified Arabic" w:cs="Simplified Arabic" w:hint="cs"/>
          <w:b/>
          <w:bCs/>
          <w:color w:val="000000"/>
          <w:sz w:val="24"/>
          <w:szCs w:val="24"/>
          <w:rtl/>
          <w:lang w:eastAsia="fr-FR"/>
        </w:rPr>
        <w:t>عبدالحميد</w:t>
      </w:r>
      <w:r w:rsidR="00E724B9" w:rsidRPr="00092361">
        <w:rPr>
          <w:rFonts w:ascii="Simplified Arabic" w:eastAsia="Times New Roman" w:hAnsi="Simplified Arabic" w:cs="Simplified Arabic" w:hint="cs"/>
          <w:b/>
          <w:bCs/>
          <w:color w:val="000000"/>
          <w:sz w:val="24"/>
          <w:szCs w:val="24"/>
          <w:rtl/>
          <w:lang w:eastAsia="fr-FR"/>
        </w:rPr>
        <w:t>، (2015):</w:t>
      </w:r>
      <w:r w:rsidR="00E724B9" w:rsidRPr="00092361">
        <w:rPr>
          <w:rFonts w:ascii="Simplified Arabic" w:eastAsia="Times New Roman" w:hAnsi="Simplified Arabic" w:cs="Simplified Arabic"/>
          <w:color w:val="000000"/>
          <w:sz w:val="24"/>
          <w:szCs w:val="24"/>
          <w:rtl/>
          <w:lang w:eastAsia="fr-FR"/>
        </w:rPr>
        <w:t xml:space="preserve"> ''كفاءة التوزيع المكاني لمراكز الرعاية الصحية في مدينة معان باستخدام نظم المعلومات الجغرافية </w:t>
      </w:r>
      <w:r w:rsidR="00E724B9" w:rsidRPr="00092361">
        <w:rPr>
          <w:rFonts w:ascii="Times New Roman" w:eastAsia="Times New Roman" w:hAnsi="Times New Roman" w:cs="Times New Roman"/>
          <w:color w:val="000000"/>
          <w:sz w:val="24"/>
          <w:szCs w:val="24"/>
          <w:rtl/>
          <w:lang w:eastAsia="fr-FR"/>
        </w:rPr>
        <w:t>(</w:t>
      </w:r>
      <w:r w:rsidR="00E724B9" w:rsidRPr="00092361">
        <w:rPr>
          <w:rFonts w:ascii="Times New Roman" w:eastAsia="Times New Roman" w:hAnsi="Times New Roman" w:cs="Times New Roman"/>
          <w:color w:val="000000"/>
          <w:sz w:val="24"/>
          <w:szCs w:val="24"/>
          <w:lang w:eastAsia="fr-FR"/>
        </w:rPr>
        <w:t>GIS</w:t>
      </w:r>
      <w:r w:rsidR="00E724B9" w:rsidRPr="00092361">
        <w:rPr>
          <w:rFonts w:ascii="Times New Roman" w:eastAsia="Times New Roman" w:hAnsi="Times New Roman" w:cs="Times New Roman"/>
          <w:color w:val="000000"/>
          <w:sz w:val="24"/>
          <w:szCs w:val="24"/>
          <w:rtl/>
          <w:lang w:eastAsia="fr-FR"/>
        </w:rPr>
        <w:t>)</w:t>
      </w:r>
      <w:r w:rsidR="00E724B9" w:rsidRPr="00092361">
        <w:rPr>
          <w:rFonts w:ascii="Simplified Arabic" w:eastAsia="Times New Roman" w:hAnsi="Simplified Arabic" w:cs="Simplified Arabic"/>
          <w:color w:val="000000"/>
          <w:sz w:val="24"/>
          <w:szCs w:val="24"/>
          <w:rtl/>
          <w:lang w:eastAsia="fr-FR"/>
        </w:rPr>
        <w:t>''، مجلة كلية الآداب، جامعة بني سويف، العدد (35)، ص. 295-344.</w:t>
      </w:r>
    </w:p>
    <w:p w:rsidR="00E724B9" w:rsidRDefault="00671802" w:rsidP="00671802">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الفناطسة عبدالحميد</w:t>
      </w:r>
      <w:r w:rsidR="00E724B9" w:rsidRPr="00092361">
        <w:rPr>
          <w:rFonts w:ascii="Simplified Arabic" w:eastAsia="Times New Roman" w:hAnsi="Simplified Arabic" w:cs="Simplified Arabic" w:hint="cs"/>
          <w:b/>
          <w:bCs/>
          <w:color w:val="000000"/>
          <w:sz w:val="24"/>
          <w:szCs w:val="24"/>
          <w:rtl/>
          <w:lang w:eastAsia="fr-FR"/>
        </w:rPr>
        <w:t>، (2019):</w:t>
      </w:r>
      <w:r w:rsidR="00E724B9" w:rsidRPr="00092361">
        <w:rPr>
          <w:rFonts w:ascii="Simplified Arabic" w:eastAsia="Times New Roman" w:hAnsi="Simplified Arabic" w:cs="Simplified Arabic"/>
          <w:color w:val="000000"/>
          <w:sz w:val="24"/>
          <w:szCs w:val="24"/>
          <w:rtl/>
          <w:lang w:eastAsia="fr-FR"/>
        </w:rPr>
        <w:t xml:space="preserve"> ''التحليل المكاني للعلاقة بين مواقع مستشفيات القطاع العام وسهولة الوصول إليها في محافظتي الكرك باستخدام نظم المعلومات الجغرافية</w:t>
      </w:r>
      <w:r w:rsidR="00E724B9" w:rsidRPr="00092361">
        <w:rPr>
          <w:rFonts w:ascii="Simplified Arabic" w:eastAsia="Times New Roman" w:hAnsi="Simplified Arabic" w:cs="Simplified Arabic"/>
          <w:color w:val="000000"/>
          <w:sz w:val="20"/>
          <w:szCs w:val="20"/>
          <w:rtl/>
          <w:lang w:eastAsia="fr-FR"/>
        </w:rPr>
        <w:t xml:space="preserve"> </w:t>
      </w:r>
      <w:r w:rsidR="00E724B9" w:rsidRPr="00092361">
        <w:rPr>
          <w:rFonts w:ascii="Times New Roman" w:eastAsia="Times New Roman" w:hAnsi="Times New Roman" w:cs="Times New Roman"/>
          <w:color w:val="000000"/>
          <w:sz w:val="24"/>
          <w:szCs w:val="24"/>
          <w:rtl/>
          <w:lang w:eastAsia="fr-FR"/>
        </w:rPr>
        <w:t>(</w:t>
      </w:r>
      <w:r w:rsidR="00E724B9" w:rsidRPr="00092361">
        <w:rPr>
          <w:rFonts w:ascii="Times New Roman" w:eastAsia="Times New Roman" w:hAnsi="Times New Roman" w:cs="Times New Roman"/>
          <w:color w:val="000000"/>
          <w:sz w:val="24"/>
          <w:szCs w:val="24"/>
          <w:lang w:eastAsia="fr-FR"/>
        </w:rPr>
        <w:t>GIS</w:t>
      </w:r>
      <w:r w:rsidR="00E724B9" w:rsidRPr="00092361">
        <w:rPr>
          <w:rFonts w:ascii="Times New Roman" w:eastAsia="Times New Roman" w:hAnsi="Times New Roman" w:cs="Times New Roman"/>
          <w:color w:val="000000"/>
          <w:sz w:val="24"/>
          <w:szCs w:val="24"/>
          <w:rtl/>
          <w:lang w:eastAsia="fr-FR"/>
        </w:rPr>
        <w:t>)</w:t>
      </w:r>
      <w:r w:rsidR="00E724B9" w:rsidRPr="00092361">
        <w:rPr>
          <w:rFonts w:ascii="Simplified Arabic" w:eastAsia="Times New Roman" w:hAnsi="Simplified Arabic" w:cs="Simplified Arabic"/>
          <w:color w:val="000000"/>
          <w:sz w:val="24"/>
          <w:szCs w:val="24"/>
          <w:rtl/>
          <w:lang w:eastAsia="fr-FR"/>
        </w:rPr>
        <w:t>''، مجلة دراسات، العلوم الإنسانية والاجتماعية، المجلّد 46، العدد (3)، ص. 186-202.</w:t>
      </w:r>
    </w:p>
    <w:p w:rsidR="00E724B9" w:rsidRDefault="00671802" w:rsidP="00671802">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 xml:space="preserve">شلبي </w:t>
      </w:r>
      <w:r w:rsidR="00E724B9" w:rsidRPr="00E40DF8">
        <w:rPr>
          <w:rFonts w:ascii="Simplified Arabic" w:eastAsia="Times New Roman" w:hAnsi="Simplified Arabic" w:cs="Simplified Arabic" w:hint="cs"/>
          <w:b/>
          <w:bCs/>
          <w:color w:val="000000"/>
          <w:sz w:val="24"/>
          <w:szCs w:val="24"/>
          <w:rtl/>
          <w:lang w:eastAsia="fr-FR"/>
        </w:rPr>
        <w:t>علاء</w:t>
      </w:r>
      <w:r w:rsidR="00E724B9" w:rsidRPr="00092361">
        <w:rPr>
          <w:rFonts w:ascii="Simplified Arabic" w:eastAsia="Times New Roman" w:hAnsi="Simplified Arabic" w:cs="Simplified Arabic" w:hint="cs"/>
          <w:b/>
          <w:bCs/>
          <w:color w:val="000000"/>
          <w:sz w:val="24"/>
          <w:szCs w:val="24"/>
          <w:rtl/>
          <w:lang w:eastAsia="fr-FR"/>
        </w:rPr>
        <w:t>، (2015):</w:t>
      </w:r>
      <w:r w:rsidR="00E724B9" w:rsidRPr="00092361">
        <w:rPr>
          <w:rFonts w:ascii="Simplified Arabic" w:eastAsia="Times New Roman" w:hAnsi="Simplified Arabic" w:cs="Simplified Arabic"/>
          <w:color w:val="000000"/>
          <w:sz w:val="24"/>
          <w:szCs w:val="24"/>
          <w:rtl/>
          <w:lang w:eastAsia="fr-FR"/>
        </w:rPr>
        <w:t xml:space="preserve"> ''استخدام نظم المعلومات الجغرافية </w:t>
      </w:r>
      <w:r w:rsidR="00E724B9" w:rsidRPr="00092361">
        <w:rPr>
          <w:rFonts w:ascii="Times New Roman" w:eastAsia="Times New Roman" w:hAnsi="Times New Roman" w:cs="Times New Roman"/>
          <w:color w:val="000000"/>
          <w:sz w:val="24"/>
          <w:szCs w:val="24"/>
          <w:rtl/>
          <w:lang w:eastAsia="fr-FR"/>
        </w:rPr>
        <w:t>(</w:t>
      </w:r>
      <w:r w:rsidR="00E724B9" w:rsidRPr="00092361">
        <w:rPr>
          <w:rFonts w:ascii="Times New Roman" w:eastAsia="Times New Roman" w:hAnsi="Times New Roman" w:cs="Times New Roman"/>
          <w:color w:val="000000"/>
          <w:sz w:val="24"/>
          <w:szCs w:val="24"/>
          <w:lang w:eastAsia="fr-FR"/>
        </w:rPr>
        <w:t>GIS</w:t>
      </w:r>
      <w:r w:rsidR="00E724B9" w:rsidRPr="00092361">
        <w:rPr>
          <w:rFonts w:ascii="Times New Roman" w:eastAsia="Times New Roman" w:hAnsi="Times New Roman" w:cs="Times New Roman"/>
          <w:color w:val="000000"/>
          <w:sz w:val="24"/>
          <w:szCs w:val="24"/>
          <w:rtl/>
          <w:lang w:eastAsia="fr-FR"/>
        </w:rPr>
        <w:t>)</w:t>
      </w:r>
      <w:r w:rsidR="00E724B9" w:rsidRPr="00092361">
        <w:rPr>
          <w:rFonts w:ascii="Simplified Arabic" w:eastAsia="Times New Roman" w:hAnsi="Simplified Arabic" w:cs="Simplified Arabic"/>
          <w:color w:val="000000"/>
          <w:sz w:val="24"/>
          <w:szCs w:val="24"/>
          <w:rtl/>
          <w:lang w:eastAsia="fr-FR"/>
        </w:rPr>
        <w:t xml:space="preserve"> في اختيار المواقع الأنسب للمستشفيات الحكومية بحي المنتزه – محافظة الإسكندرية''، مجلة كلية الآداب، جامعة الإسكندرية، العدد (54)، ص. 3-38.</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علام أحمد خالد</w:t>
      </w:r>
      <w:r w:rsidRPr="00092361">
        <w:rPr>
          <w:rFonts w:ascii="Simplified Arabic" w:eastAsia="Times New Roman" w:hAnsi="Simplified Arabic" w:cs="Simplified Arabic" w:hint="cs"/>
          <w:b/>
          <w:bCs/>
          <w:color w:val="000000"/>
          <w:sz w:val="24"/>
          <w:szCs w:val="24"/>
          <w:rtl/>
          <w:lang w:eastAsia="fr-FR"/>
        </w:rPr>
        <w:t>، (1983):</w:t>
      </w:r>
      <w:r w:rsidRPr="00092361">
        <w:rPr>
          <w:rFonts w:ascii="Simplified Arabic" w:eastAsia="Times New Roman" w:hAnsi="Simplified Arabic" w:cs="Simplified Arabic"/>
          <w:color w:val="000000"/>
          <w:sz w:val="24"/>
          <w:szCs w:val="24"/>
          <w:rtl/>
          <w:lang w:eastAsia="fr-FR"/>
        </w:rPr>
        <w:t xml:space="preserve"> ''تخطيط المدن''، مكتبة الانجلو المصرية، عثمان عبد الستار، المدينة</w:t>
      </w:r>
      <w:r>
        <w:rPr>
          <w:rFonts w:ascii="Simplified Arabic" w:eastAsia="Times New Roman" w:hAnsi="Simplified Arabic" w:cs="Simplified Arabic" w:hint="cs"/>
          <w:color w:val="000000"/>
          <w:sz w:val="24"/>
          <w:szCs w:val="24"/>
          <w:rtl/>
          <w:lang w:eastAsia="fr-FR"/>
        </w:rPr>
        <w:t>.</w:t>
      </w:r>
    </w:p>
    <w:p w:rsidR="00E724B9" w:rsidRDefault="00EF4F0B" w:rsidP="00EF4F0B">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إبراهيم</w:t>
      </w:r>
      <w:r w:rsidRPr="00092361">
        <w:rPr>
          <w:rFonts w:ascii="Simplified Arabic" w:eastAsia="Times New Roman" w:hAnsi="Simplified Arabic" w:cs="Simplified Arabic" w:hint="cs"/>
          <w:b/>
          <w:bCs/>
          <w:color w:val="000000" w:themeColor="text1"/>
          <w:sz w:val="24"/>
          <w:szCs w:val="24"/>
          <w:rtl/>
          <w:lang w:eastAsia="fr-FR"/>
        </w:rPr>
        <w:t xml:space="preserve"> </w:t>
      </w:r>
      <w:r w:rsidR="00E724B9" w:rsidRPr="00092361">
        <w:rPr>
          <w:rFonts w:ascii="Simplified Arabic" w:eastAsia="Times New Roman" w:hAnsi="Simplified Arabic" w:cs="Simplified Arabic" w:hint="cs"/>
          <w:b/>
          <w:bCs/>
          <w:color w:val="000000" w:themeColor="text1"/>
          <w:sz w:val="24"/>
          <w:szCs w:val="24"/>
          <w:rtl/>
          <w:lang w:eastAsia="fr-FR"/>
        </w:rPr>
        <w:t>علي كريم محمد ،(2010 ) :</w:t>
      </w:r>
      <w:r w:rsidR="00E724B9" w:rsidRPr="00092361">
        <w:rPr>
          <w:rFonts w:ascii="Simplified Arabic" w:eastAsia="Times New Roman" w:hAnsi="Simplified Arabic" w:cs="Simplified Arabic"/>
          <w:color w:val="000000"/>
          <w:sz w:val="24"/>
          <w:szCs w:val="24"/>
          <w:rtl/>
          <w:lang w:eastAsia="fr-FR"/>
        </w:rPr>
        <w:t xml:space="preserve"> ''تحليل اتجاهات التوسع الحضري لمدينة المسيب باستعمال نظم المعلومات الجغرافية والتحسس النائي</w:t>
      </w:r>
      <w:r w:rsidR="00E724B9" w:rsidRPr="00092361">
        <w:rPr>
          <w:rFonts w:ascii="Simplified Arabic" w:eastAsia="Times New Roman" w:hAnsi="Simplified Arabic" w:cs="Simplified Arabic"/>
          <w:color w:val="000000"/>
          <w:sz w:val="20"/>
          <w:szCs w:val="20"/>
          <w:rtl/>
          <w:lang w:eastAsia="fr-FR"/>
        </w:rPr>
        <w:t xml:space="preserve"> (</w:t>
      </w:r>
      <w:r w:rsidR="00E724B9" w:rsidRPr="00092361">
        <w:rPr>
          <w:rFonts w:ascii="Times New Roman" w:eastAsia="Times New Roman" w:hAnsi="Times New Roman" w:cs="Times New Roman"/>
          <w:color w:val="000000"/>
          <w:sz w:val="24"/>
          <w:szCs w:val="24"/>
          <w:lang w:eastAsia="fr-FR"/>
        </w:rPr>
        <w:t>GIS</w:t>
      </w:r>
      <w:r w:rsidR="00E724B9" w:rsidRPr="00092361">
        <w:rPr>
          <w:rFonts w:ascii="Times New Roman" w:eastAsia="Times New Roman" w:hAnsi="Times New Roman" w:cs="Times New Roman"/>
          <w:color w:val="000000"/>
          <w:sz w:val="24"/>
          <w:szCs w:val="24"/>
          <w:rtl/>
          <w:lang w:eastAsia="fr-FR"/>
        </w:rPr>
        <w:t xml:space="preserve"> &amp;</w:t>
      </w:r>
      <w:r w:rsidR="00E724B9" w:rsidRPr="00092361">
        <w:rPr>
          <w:rFonts w:ascii="Times New Roman" w:eastAsia="Times New Roman" w:hAnsi="Times New Roman" w:cs="Times New Roman"/>
          <w:color w:val="000000"/>
          <w:sz w:val="32"/>
          <w:szCs w:val="32"/>
          <w:rtl/>
          <w:lang w:eastAsia="fr-FR"/>
        </w:rPr>
        <w:t xml:space="preserve"> </w:t>
      </w:r>
      <w:r w:rsidR="00E724B9" w:rsidRPr="00092361">
        <w:rPr>
          <w:rFonts w:ascii="Times New Roman" w:eastAsia="Times New Roman" w:hAnsi="Times New Roman" w:cs="Times New Roman"/>
          <w:color w:val="000000"/>
          <w:sz w:val="24"/>
          <w:szCs w:val="24"/>
          <w:lang w:eastAsia="fr-FR"/>
        </w:rPr>
        <w:t>R.S</w:t>
      </w:r>
      <w:r w:rsidR="00E724B9" w:rsidRPr="00092361">
        <w:rPr>
          <w:rFonts w:ascii="Times New Roman" w:eastAsia="Times New Roman" w:hAnsi="Times New Roman" w:cs="Times New Roman"/>
          <w:color w:val="000000"/>
          <w:sz w:val="24"/>
          <w:szCs w:val="24"/>
          <w:rtl/>
          <w:lang w:eastAsia="fr-FR"/>
        </w:rPr>
        <w:t>)</w:t>
      </w:r>
      <w:r w:rsidR="00E724B9" w:rsidRPr="00092361">
        <w:rPr>
          <w:rFonts w:ascii="Simplified Arabic" w:eastAsia="Times New Roman" w:hAnsi="Simplified Arabic" w:cs="Simplified Arabic"/>
          <w:color w:val="000000"/>
          <w:sz w:val="24"/>
          <w:szCs w:val="24"/>
          <w:rtl/>
          <w:lang w:eastAsia="fr-FR"/>
        </w:rPr>
        <w:t>''. مجلة العلوم الانسانية، المجلد (1)، العدد (4)، ص. 198-212</w:t>
      </w:r>
      <w:r w:rsidR="00E724B9" w:rsidRPr="00092361">
        <w:rPr>
          <w:rFonts w:ascii="Simplified Arabic" w:eastAsia="Times New Roman" w:hAnsi="Simplified Arabic" w:cs="Simplified Arabic"/>
          <w:color w:val="000000"/>
          <w:sz w:val="20"/>
          <w:szCs w:val="20"/>
          <w:rtl/>
          <w:lang w:eastAsia="fr-FR"/>
        </w:rPr>
        <w:t>.</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غنيم عثمان محمد</w:t>
      </w:r>
      <w:r w:rsidRPr="00092361">
        <w:rPr>
          <w:rFonts w:ascii="Simplified Arabic" w:eastAsia="Times New Roman" w:hAnsi="Simplified Arabic" w:cs="Simplified Arabic" w:hint="cs"/>
          <w:b/>
          <w:bCs/>
          <w:color w:val="000000"/>
          <w:sz w:val="24"/>
          <w:szCs w:val="24"/>
          <w:rtl/>
          <w:lang w:eastAsia="fr-FR"/>
        </w:rPr>
        <w:t>، (2001):</w:t>
      </w:r>
      <w:r w:rsidRPr="00092361">
        <w:rPr>
          <w:rFonts w:ascii="Simplified Arabic" w:eastAsia="Times New Roman" w:hAnsi="Simplified Arabic" w:cs="Simplified Arabic"/>
          <w:color w:val="000000"/>
          <w:sz w:val="24"/>
          <w:szCs w:val="24"/>
          <w:rtl/>
          <w:lang w:eastAsia="fr-FR"/>
        </w:rPr>
        <w:t xml:space="preserve"> ''تخطيط استخدام الأرض الريفي والحضري: إطار جغرافي عام''، عمان، دار صفاء للنشر والتوزيع، الاردن.</w:t>
      </w:r>
    </w:p>
    <w:p w:rsidR="00E724B9" w:rsidRDefault="00800B70" w:rsidP="00800B70">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t xml:space="preserve">العاني </w:t>
      </w:r>
      <w:r w:rsidR="00E724B9" w:rsidRPr="00E40DF8">
        <w:rPr>
          <w:rFonts w:ascii="Simplified Arabic" w:eastAsia="Times New Roman" w:hAnsi="Simplified Arabic" w:cs="Simplified Arabic" w:hint="cs"/>
          <w:b/>
          <w:bCs/>
          <w:color w:val="000000"/>
          <w:sz w:val="24"/>
          <w:szCs w:val="24"/>
          <w:rtl/>
          <w:lang w:eastAsia="fr-FR"/>
        </w:rPr>
        <w:t xml:space="preserve">محمد جاسم </w:t>
      </w:r>
      <w:r w:rsidRPr="00E40DF8">
        <w:rPr>
          <w:rFonts w:ascii="Simplified Arabic" w:eastAsia="Times New Roman" w:hAnsi="Simplified Arabic" w:cs="Simplified Arabic" w:hint="cs"/>
          <w:b/>
          <w:bCs/>
          <w:color w:val="000000"/>
          <w:sz w:val="24"/>
          <w:szCs w:val="24"/>
          <w:rtl/>
          <w:lang w:eastAsia="fr-FR"/>
        </w:rPr>
        <w:t xml:space="preserve">والزیادي </w:t>
      </w:r>
      <w:r w:rsidR="00E724B9" w:rsidRPr="00E40DF8">
        <w:rPr>
          <w:rFonts w:ascii="Simplified Arabic" w:eastAsia="Times New Roman" w:hAnsi="Simplified Arabic" w:cs="Simplified Arabic" w:hint="cs"/>
          <w:b/>
          <w:bCs/>
          <w:color w:val="000000"/>
          <w:sz w:val="24"/>
          <w:szCs w:val="24"/>
          <w:rtl/>
          <w:lang w:eastAsia="fr-FR"/>
        </w:rPr>
        <w:t>هادي محمد شیال، (2016</w:t>
      </w:r>
      <w:r w:rsidR="00E724B9" w:rsidRPr="00092361">
        <w:rPr>
          <w:rFonts w:ascii="Simplified Arabic" w:eastAsia="Times New Roman" w:hAnsi="Simplified Arabic" w:cs="Simplified Arabic" w:hint="cs"/>
          <w:b/>
          <w:bCs/>
          <w:color w:val="000000" w:themeColor="text1"/>
          <w:sz w:val="24"/>
          <w:szCs w:val="24"/>
          <w:rtl/>
          <w:lang w:eastAsia="fr-FR"/>
        </w:rPr>
        <w:t>):</w:t>
      </w:r>
      <w:r w:rsidR="00E724B9" w:rsidRPr="00092361">
        <w:rPr>
          <w:rFonts w:ascii="Simplified Arabic" w:eastAsia="Times New Roman" w:hAnsi="Simplified Arabic" w:cs="Simplified Arabic"/>
          <w:color w:val="000000"/>
          <w:sz w:val="24"/>
          <w:szCs w:val="24"/>
          <w:rtl/>
          <w:lang w:eastAsia="fr-FR"/>
        </w:rPr>
        <w:t xml:space="preserve"> ''تقییم استعمالات الأرض الحضریة / حالة دراسة مدینة السماوة''، مجلة التقني، المجلد (29)، العدد (1).</w:t>
      </w:r>
    </w:p>
    <w:p w:rsidR="00E724B9" w:rsidRDefault="00E724B9" w:rsidP="00E724B9">
      <w:pPr>
        <w:autoSpaceDE w:val="0"/>
        <w:autoSpaceDN w:val="0"/>
        <w:bidi/>
        <w:adjustRightInd w:val="0"/>
        <w:spacing w:line="240" w:lineRule="auto"/>
        <w:jc w:val="both"/>
        <w:rPr>
          <w:rFonts w:ascii="Simplified Arabic" w:eastAsia="Times New Roman" w:hAnsi="Simplified Arabic" w:cs="Simplified Arabic"/>
          <w:color w:val="000000"/>
          <w:sz w:val="24"/>
          <w:szCs w:val="24"/>
          <w:rtl/>
          <w:lang w:eastAsia="fr-FR"/>
        </w:rPr>
      </w:pPr>
      <w:r w:rsidRPr="00E40DF8">
        <w:rPr>
          <w:rFonts w:ascii="Simplified Arabic" w:eastAsia="Times New Roman" w:hAnsi="Simplified Arabic" w:cs="Simplified Arabic" w:hint="cs"/>
          <w:b/>
          <w:bCs/>
          <w:color w:val="000000"/>
          <w:sz w:val="24"/>
          <w:szCs w:val="24"/>
          <w:rtl/>
          <w:lang w:eastAsia="fr-FR"/>
        </w:rPr>
        <w:lastRenderedPageBreak/>
        <w:t>وسام</w:t>
      </w:r>
      <w:r w:rsidRPr="00092361">
        <w:rPr>
          <w:rFonts w:ascii="Simplified Arabic" w:eastAsia="Times New Roman" w:hAnsi="Simplified Arabic" w:cs="Simplified Arabic" w:hint="cs"/>
          <w:b/>
          <w:bCs/>
          <w:color w:val="000000"/>
          <w:sz w:val="24"/>
          <w:szCs w:val="24"/>
          <w:rtl/>
          <w:lang w:eastAsia="fr-FR"/>
        </w:rPr>
        <w:t xml:space="preserve"> الدين محمد، (2008):</w:t>
      </w:r>
      <w:r w:rsidRPr="00092361">
        <w:rPr>
          <w:rFonts w:ascii="Simplified Arabic" w:eastAsia="Times New Roman" w:hAnsi="Simplified Arabic" w:cs="Simplified Arabic"/>
          <w:color w:val="000000"/>
          <w:sz w:val="24"/>
          <w:szCs w:val="24"/>
          <w:rtl/>
          <w:lang w:eastAsia="fr-FR"/>
        </w:rPr>
        <w:t xml:space="preserve"> ''أساسيات نظم المعلومات الجغرافية''، دار حامد للنشر والتوزيع، عمان، الاردن.</w:t>
      </w:r>
    </w:p>
    <w:p w:rsidR="00E724B9" w:rsidRPr="00D3340B" w:rsidRDefault="002F6BC3" w:rsidP="00134332">
      <w:pPr>
        <w:autoSpaceDE w:val="0"/>
        <w:autoSpaceDN w:val="0"/>
        <w:bidi/>
        <w:adjustRightInd w:val="0"/>
        <w:spacing w:before="240" w:line="240" w:lineRule="auto"/>
        <w:jc w:val="both"/>
        <w:outlineLvl w:val="0"/>
        <w:rPr>
          <w:rFonts w:ascii="Simplified Arabic" w:hAnsi="Simplified Arabic" w:cs="Simplified Arabic"/>
          <w:b/>
          <w:bCs/>
          <w:sz w:val="24"/>
          <w:szCs w:val="24"/>
          <w:u w:val="single"/>
          <w:lang w:bidi="ar-DZ"/>
        </w:rPr>
      </w:pPr>
      <w:bookmarkStart w:id="992" w:name="_Toc171803909"/>
      <w:r>
        <w:rPr>
          <w:rFonts w:ascii="Simplified Arabic" w:hAnsi="Simplified Arabic" w:cs="Simplified Arabic"/>
          <w:b/>
          <w:bCs/>
          <w:sz w:val="24"/>
          <w:szCs w:val="24"/>
          <w:u w:val="single"/>
          <w:rtl/>
          <w:lang w:bidi="ar-DZ"/>
        </w:rPr>
        <w:t>ثانيا: قائمة المراجع بالل</w:t>
      </w:r>
      <w:r>
        <w:rPr>
          <w:rFonts w:ascii="Simplified Arabic" w:hAnsi="Simplified Arabic" w:cs="Simplified Arabic" w:hint="cs"/>
          <w:b/>
          <w:bCs/>
          <w:sz w:val="24"/>
          <w:szCs w:val="24"/>
          <w:u w:val="single"/>
          <w:rtl/>
          <w:lang w:bidi="ar-DZ"/>
        </w:rPr>
        <w:t>غ</w:t>
      </w:r>
      <w:r w:rsidR="00E724B9" w:rsidRPr="00D3340B">
        <w:rPr>
          <w:rFonts w:ascii="Simplified Arabic" w:hAnsi="Simplified Arabic" w:cs="Simplified Arabic"/>
          <w:b/>
          <w:bCs/>
          <w:sz w:val="24"/>
          <w:szCs w:val="24"/>
          <w:u w:val="single"/>
          <w:rtl/>
          <w:lang w:bidi="ar-DZ"/>
        </w:rPr>
        <w:t>ة الاجنبية</w:t>
      </w:r>
      <w:bookmarkEnd w:id="992"/>
    </w:p>
    <w:p w:rsidR="00E724B9" w:rsidRDefault="002F6BC3"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Adger</w:t>
      </w:r>
      <w:r w:rsidRPr="00F7549C">
        <w:rPr>
          <w:rFonts w:ascii="Times New Roman" w:eastAsia="Times New Roman" w:hAnsi="Times New Roman" w:cs="Times New Roman"/>
          <w:b/>
          <w:bCs/>
          <w:color w:val="000000"/>
          <w:sz w:val="24"/>
          <w:szCs w:val="24"/>
          <w:lang w:val="en-US" w:eastAsia="fr-FR"/>
        </w:rPr>
        <w:t xml:space="preserve"> W. N. (2006):</w:t>
      </w:r>
      <w:r w:rsidR="00E724B9" w:rsidRPr="00F7549C">
        <w:rPr>
          <w:rFonts w:ascii="Times New Roman" w:eastAsia="Times New Roman" w:hAnsi="Times New Roman" w:cs="Times New Roman"/>
          <w:color w:val="000000"/>
          <w:sz w:val="24"/>
          <w:szCs w:val="24"/>
          <w:lang w:val="en-US" w:eastAsia="fr-FR"/>
        </w:rPr>
        <w:t xml:space="preserve"> </w:t>
      </w:r>
      <w:r w:rsidRPr="00F7549C">
        <w:rPr>
          <w:rFonts w:ascii="Times New Roman" w:eastAsia="Times New Roman" w:hAnsi="Times New Roman" w:cs="Times New Roman"/>
          <w:color w:val="000000"/>
          <w:sz w:val="24"/>
          <w:szCs w:val="24"/>
          <w:lang w:val="en-US" w:eastAsia="fr-FR"/>
        </w:rPr>
        <w:t>“</w:t>
      </w:r>
      <w:r w:rsidR="00E724B9" w:rsidRPr="00F7549C">
        <w:rPr>
          <w:rFonts w:ascii="Times New Roman" w:eastAsia="Times New Roman" w:hAnsi="Times New Roman" w:cs="Times New Roman"/>
          <w:color w:val="000000"/>
          <w:sz w:val="24"/>
          <w:szCs w:val="24"/>
          <w:lang w:val="en-US" w:eastAsia="fr-FR"/>
        </w:rPr>
        <w:t>Vulnerability</w:t>
      </w:r>
      <w:r w:rsidRPr="00F7549C">
        <w:rPr>
          <w:rFonts w:ascii="Times New Roman" w:eastAsia="Times New Roman" w:hAnsi="Times New Roman" w:cs="Times New Roman"/>
          <w:color w:val="000000"/>
          <w:sz w:val="24"/>
          <w:szCs w:val="24"/>
          <w:lang w:val="en-US" w:eastAsia="fr-FR"/>
        </w:rPr>
        <w:t>”</w:t>
      </w:r>
      <w:r w:rsidR="00E724B9" w:rsidRPr="00F7549C">
        <w:rPr>
          <w:rFonts w:ascii="Times New Roman" w:eastAsia="Times New Roman" w:hAnsi="Times New Roman" w:cs="Times New Roman"/>
          <w:color w:val="000000"/>
          <w:sz w:val="24"/>
          <w:szCs w:val="24"/>
          <w:lang w:val="en-US" w:eastAsia="fr-FR"/>
        </w:rPr>
        <w:t xml:space="preserve">, </w:t>
      </w:r>
      <w:r w:rsidR="00E724B9" w:rsidRPr="00F7549C">
        <w:rPr>
          <w:rFonts w:ascii="Times New Roman" w:eastAsia="Times New Roman" w:hAnsi="Times New Roman" w:cs="Times New Roman"/>
          <w:i/>
          <w:iCs/>
          <w:color w:val="000000"/>
          <w:sz w:val="24"/>
          <w:szCs w:val="24"/>
          <w:lang w:val="en-US" w:eastAsia="fr-FR"/>
        </w:rPr>
        <w:t>Global Environmental Change</w:t>
      </w:r>
      <w:r w:rsidR="00E724B9" w:rsidRPr="00F7549C">
        <w:rPr>
          <w:rFonts w:ascii="Times New Roman" w:eastAsia="Times New Roman" w:hAnsi="Times New Roman" w:cs="Times New Roman"/>
          <w:color w:val="000000"/>
          <w:sz w:val="24"/>
          <w:szCs w:val="24"/>
          <w:lang w:val="en-US" w:eastAsia="fr-FR"/>
        </w:rPr>
        <w:t>,</w:t>
      </w:r>
      <w:r w:rsidR="00355D62" w:rsidRPr="00F7549C">
        <w:rPr>
          <w:rFonts w:ascii="Times New Roman" w:eastAsia="Times New Roman" w:hAnsi="Times New Roman" w:cs="Times New Roman"/>
          <w:color w:val="000000"/>
          <w:sz w:val="24"/>
          <w:szCs w:val="24"/>
          <w:lang w:val="en-US" w:eastAsia="fr-FR"/>
        </w:rPr>
        <w:t xml:space="preserve"> vol.</w:t>
      </w:r>
      <w:r w:rsidR="00E724B9" w:rsidRPr="00F7549C">
        <w:rPr>
          <w:rFonts w:ascii="Times New Roman" w:eastAsia="Times New Roman" w:hAnsi="Times New Roman" w:cs="Times New Roman"/>
          <w:color w:val="000000"/>
          <w:sz w:val="24"/>
          <w:szCs w:val="24"/>
          <w:lang w:val="en-US" w:eastAsia="fr-FR"/>
        </w:rPr>
        <w:t xml:space="preserve">16, </w:t>
      </w:r>
      <w:r w:rsidR="00355D62" w:rsidRPr="00F7549C">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00355D62" w:rsidRPr="00F7549C">
        <w:rPr>
          <w:rFonts w:ascii="Times New Roman" w:eastAsia="Times New Roman" w:hAnsi="Times New Roman" w:cs="Times New Roman"/>
          <w:color w:val="000000"/>
          <w:sz w:val="24"/>
          <w:szCs w:val="24"/>
          <w:lang w:val="en-US" w:eastAsia="fr-FR"/>
        </w:rPr>
        <w:t xml:space="preserve">. </w:t>
      </w:r>
      <w:r w:rsidR="00E724B9" w:rsidRPr="00F7549C">
        <w:rPr>
          <w:rFonts w:ascii="Times New Roman" w:eastAsia="Times New Roman" w:hAnsi="Times New Roman" w:cs="Times New Roman"/>
          <w:color w:val="000000"/>
          <w:sz w:val="24"/>
          <w:szCs w:val="24"/>
          <w:lang w:val="en-US" w:eastAsia="fr-FR"/>
        </w:rPr>
        <w:t>268–281</w:t>
      </w:r>
      <w:r w:rsidR="00160167">
        <w:rPr>
          <w:rFonts w:ascii="Times New Roman" w:eastAsia="Times New Roman" w:hAnsi="Times New Roman" w:cs="Times New Roman"/>
          <w:color w:val="000000"/>
          <w:sz w:val="24"/>
          <w:szCs w:val="24"/>
          <w:lang w:val="en-US" w:eastAsia="fr-FR"/>
        </w:rPr>
        <w:t>.</w:t>
      </w:r>
    </w:p>
    <w:p w:rsidR="00160167" w:rsidRPr="00160167" w:rsidRDefault="00160167"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Adger</w:t>
      </w:r>
      <w:r w:rsidRPr="00160167">
        <w:rPr>
          <w:rFonts w:ascii="Times New Roman" w:eastAsia="Times New Roman" w:hAnsi="Times New Roman" w:cs="Times New Roman"/>
          <w:b/>
          <w:bCs/>
          <w:color w:val="000000"/>
          <w:sz w:val="24"/>
          <w:szCs w:val="24"/>
          <w:lang w:val="en-US" w:eastAsia="fr-FR"/>
        </w:rPr>
        <w:t>, W. N., Brooks, N., Bentham, G., Agnew, M. &amp; Erikson, S., (2004):</w:t>
      </w:r>
      <w:r w:rsidRPr="00160167">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160167">
        <w:rPr>
          <w:rFonts w:ascii="Times New Roman" w:eastAsia="Times New Roman" w:hAnsi="Times New Roman" w:cs="Times New Roman"/>
          <w:color w:val="000000"/>
          <w:sz w:val="24"/>
          <w:szCs w:val="24"/>
          <w:lang w:val="en-US" w:eastAsia="fr-FR"/>
        </w:rPr>
        <w:t>New indicators of vulnerability and adaptive</w:t>
      </w:r>
      <w:r>
        <w:rPr>
          <w:rFonts w:ascii="Times New Roman" w:eastAsia="Times New Roman" w:hAnsi="Times New Roman" w:cs="Times New Roman"/>
          <w:color w:val="000000"/>
          <w:sz w:val="24"/>
          <w:szCs w:val="24"/>
          <w:lang w:val="en-US" w:eastAsia="fr-FR"/>
        </w:rPr>
        <w:t xml:space="preserve"> </w:t>
      </w:r>
      <w:r w:rsidRPr="00160167">
        <w:rPr>
          <w:rFonts w:ascii="Times New Roman" w:eastAsia="Times New Roman" w:hAnsi="Times New Roman" w:cs="Times New Roman"/>
          <w:color w:val="000000"/>
          <w:sz w:val="24"/>
          <w:szCs w:val="24"/>
          <w:lang w:val="en-US" w:eastAsia="fr-FR"/>
        </w:rPr>
        <w:t>capacity</w:t>
      </w:r>
      <w:r>
        <w:rPr>
          <w:rFonts w:ascii="Times New Roman" w:eastAsia="Times New Roman" w:hAnsi="Times New Roman" w:cs="Times New Roman"/>
          <w:color w:val="000000"/>
          <w:sz w:val="24"/>
          <w:szCs w:val="24"/>
          <w:lang w:val="en-US" w:eastAsia="fr-FR"/>
        </w:rPr>
        <w:t>”,</w:t>
      </w:r>
      <w:r w:rsidRPr="00160167">
        <w:rPr>
          <w:rFonts w:ascii="Times New Roman" w:eastAsia="Times New Roman" w:hAnsi="Times New Roman" w:cs="Times New Roman"/>
          <w:color w:val="000000"/>
          <w:sz w:val="24"/>
          <w:szCs w:val="24"/>
          <w:lang w:val="en-US" w:eastAsia="fr-FR"/>
        </w:rPr>
        <w:t xml:space="preserve"> </w:t>
      </w:r>
      <w:r w:rsidRPr="00160167">
        <w:rPr>
          <w:rFonts w:ascii="Times New Roman" w:eastAsia="Times New Roman" w:hAnsi="Times New Roman" w:cs="Times New Roman"/>
          <w:i/>
          <w:iCs/>
          <w:color w:val="000000"/>
          <w:sz w:val="24"/>
          <w:szCs w:val="24"/>
          <w:lang w:val="en-US" w:eastAsia="fr-FR"/>
        </w:rPr>
        <w:t>Tyndall Centre for Climate Change Research Norwich</w:t>
      </w:r>
      <w:r w:rsidRPr="00160167">
        <w:rPr>
          <w:rFonts w:ascii="Times New Roman" w:eastAsia="Times New Roman" w:hAnsi="Times New Roman" w:cs="Times New Roman"/>
          <w:color w:val="000000"/>
          <w:sz w:val="24"/>
          <w:szCs w:val="24"/>
          <w:lang w:val="en-US" w:eastAsia="fr-FR"/>
        </w:rPr>
        <w:t>.</w:t>
      </w:r>
      <w:r>
        <w:rPr>
          <w:rFonts w:ascii="Times New Roman" w:eastAsia="Times New Roman" w:hAnsi="Times New Roman" w:cs="Times New Roman"/>
          <w:color w:val="000000"/>
          <w:sz w:val="24"/>
          <w:szCs w:val="24"/>
          <w:lang w:val="en-US" w:eastAsia="fr-FR"/>
        </w:rPr>
        <w:t>, v</w:t>
      </w:r>
      <w:r w:rsidRPr="00160167">
        <w:rPr>
          <w:rFonts w:ascii="Times New Roman" w:eastAsia="Times New Roman" w:hAnsi="Times New Roman" w:cs="Times New Roman"/>
          <w:color w:val="000000"/>
          <w:sz w:val="24"/>
          <w:szCs w:val="24"/>
          <w:lang w:val="en-US" w:eastAsia="fr-FR"/>
        </w:rPr>
        <w:t xml:space="preserve">ol. 122. </w:t>
      </w:r>
    </w:p>
    <w:p w:rsidR="00E724B9" w:rsidRPr="00F21CBA" w:rsidRDefault="00E724B9" w:rsidP="00AE6E2D">
      <w:pPr>
        <w:autoSpaceDE w:val="0"/>
        <w:autoSpaceDN w:val="0"/>
        <w:adjustRightInd w:val="0"/>
        <w:spacing w:line="240" w:lineRule="auto"/>
        <w:jc w:val="both"/>
        <w:rPr>
          <w:rFonts w:asciiTheme="majorBidi" w:eastAsia="Times New Roman" w:hAnsiTheme="majorBidi" w:cstheme="majorBidi"/>
          <w:color w:val="000000" w:themeColor="text1"/>
          <w:sz w:val="24"/>
          <w:szCs w:val="24"/>
          <w:lang w:val="en-US" w:eastAsia="fr-FR"/>
        </w:rPr>
      </w:pPr>
      <w:r w:rsidRPr="00E40DF8">
        <w:rPr>
          <w:rFonts w:ascii="Times New Roman" w:eastAsia="Times New Roman" w:hAnsi="Times New Roman" w:cs="Times New Roman"/>
          <w:b/>
          <w:bCs/>
          <w:color w:val="000000"/>
          <w:sz w:val="24"/>
          <w:szCs w:val="24"/>
          <w:lang w:val="en-US" w:eastAsia="fr-FR"/>
        </w:rPr>
        <w:t>Ahern, J. (2011)</w:t>
      </w:r>
      <w:r w:rsidR="00355D62" w:rsidRPr="00E40DF8">
        <w:rPr>
          <w:rFonts w:ascii="Times New Roman" w:eastAsia="Times New Roman" w:hAnsi="Times New Roman" w:cs="Times New Roman"/>
          <w:b/>
          <w:bCs/>
          <w:color w:val="000000"/>
          <w:sz w:val="24"/>
          <w:szCs w:val="24"/>
          <w:lang w:val="en-US" w:eastAsia="fr-FR"/>
        </w:rPr>
        <w:t>:</w:t>
      </w:r>
      <w:r w:rsidRPr="00E40DF8">
        <w:rPr>
          <w:rFonts w:ascii="Times New Roman" w:eastAsia="Times New Roman" w:hAnsi="Times New Roman" w:cs="Times New Roman"/>
          <w:b/>
          <w:bCs/>
          <w:color w:val="000000"/>
          <w:sz w:val="24"/>
          <w:szCs w:val="24"/>
          <w:lang w:val="en-US" w:eastAsia="fr-FR"/>
        </w:rPr>
        <w:t xml:space="preserve"> </w:t>
      </w:r>
      <w:r w:rsidR="00355D62" w:rsidRPr="00E40DF8">
        <w:rPr>
          <w:rFonts w:ascii="Times New Roman" w:eastAsia="Times New Roman" w:hAnsi="Times New Roman" w:cs="Times New Roman"/>
          <w:b/>
          <w:bCs/>
          <w:color w:val="000000"/>
          <w:sz w:val="24"/>
          <w:szCs w:val="24"/>
          <w:lang w:val="en-US" w:eastAsia="fr-FR"/>
        </w:rPr>
        <w:t>“</w:t>
      </w:r>
      <w:r w:rsidRPr="00E40DF8">
        <w:rPr>
          <w:rFonts w:ascii="Times New Roman" w:eastAsia="Times New Roman" w:hAnsi="Times New Roman" w:cs="Times New Roman"/>
          <w:b/>
          <w:bCs/>
          <w:color w:val="000000"/>
          <w:sz w:val="24"/>
          <w:szCs w:val="24"/>
          <w:lang w:val="en-US" w:eastAsia="fr-FR"/>
        </w:rPr>
        <w:t>From</w:t>
      </w:r>
      <w:r w:rsidRPr="00F21CBA">
        <w:rPr>
          <w:rFonts w:asciiTheme="majorBidi" w:eastAsia="Times New Roman" w:hAnsiTheme="majorBidi" w:cstheme="majorBidi"/>
          <w:color w:val="000000" w:themeColor="text1"/>
          <w:sz w:val="24"/>
          <w:szCs w:val="24"/>
          <w:lang w:val="en-US" w:eastAsia="fr-FR"/>
        </w:rPr>
        <w:t xml:space="preserve"> fail-safe to safe-to-fail: Sustainability and resilience in the new urban world</w:t>
      </w:r>
      <w:r w:rsidR="00355D62" w:rsidRPr="00F21CBA">
        <w:rPr>
          <w:rFonts w:asciiTheme="majorBidi" w:eastAsia="Times New Roman" w:hAnsiTheme="majorBidi" w:cstheme="majorBidi"/>
          <w:color w:val="000000" w:themeColor="text1"/>
          <w:sz w:val="24"/>
          <w:szCs w:val="24"/>
          <w:lang w:val="en-US" w:eastAsia="fr-FR"/>
        </w:rPr>
        <w:t>”,</w:t>
      </w:r>
      <w:r w:rsidRPr="00F21CBA">
        <w:rPr>
          <w:rFonts w:asciiTheme="majorBidi" w:eastAsia="Times New Roman" w:hAnsiTheme="majorBidi" w:cstheme="majorBidi"/>
          <w:color w:val="000000" w:themeColor="text1"/>
          <w:sz w:val="24"/>
          <w:szCs w:val="24"/>
          <w:lang w:val="en-US" w:eastAsia="fr-FR"/>
        </w:rPr>
        <w:t xml:space="preserve"> </w:t>
      </w:r>
      <w:r w:rsidRPr="00F21CBA">
        <w:rPr>
          <w:rFonts w:asciiTheme="majorBidi" w:eastAsia="Times New Roman" w:hAnsiTheme="majorBidi" w:cstheme="majorBidi"/>
          <w:i/>
          <w:iCs/>
          <w:color w:val="000000" w:themeColor="text1"/>
          <w:sz w:val="24"/>
          <w:szCs w:val="24"/>
          <w:lang w:val="en-US" w:eastAsia="fr-FR"/>
        </w:rPr>
        <w:t>Landscape and Urban Planning</w:t>
      </w:r>
      <w:r w:rsidRPr="00F21CBA">
        <w:rPr>
          <w:rFonts w:asciiTheme="majorBidi" w:eastAsia="Times New Roman" w:hAnsiTheme="majorBidi" w:cstheme="majorBidi"/>
          <w:color w:val="000000" w:themeColor="text1"/>
          <w:sz w:val="24"/>
          <w:szCs w:val="24"/>
          <w:lang w:val="en-US" w:eastAsia="fr-FR"/>
        </w:rPr>
        <w:t xml:space="preserve">, </w:t>
      </w:r>
      <w:r w:rsidR="00355D62" w:rsidRPr="00F21CBA">
        <w:rPr>
          <w:rFonts w:asciiTheme="majorBidi" w:eastAsia="Times New Roman" w:hAnsiTheme="majorBidi" w:cstheme="majorBidi"/>
          <w:color w:val="000000" w:themeColor="text1"/>
          <w:sz w:val="24"/>
          <w:szCs w:val="24"/>
          <w:lang w:val="en-US" w:eastAsia="fr-FR"/>
        </w:rPr>
        <w:t xml:space="preserve">vol. </w:t>
      </w:r>
      <w:r w:rsidRPr="00F21CBA">
        <w:rPr>
          <w:rFonts w:asciiTheme="majorBidi" w:eastAsia="Times New Roman" w:hAnsiTheme="majorBidi" w:cstheme="majorBidi"/>
          <w:color w:val="000000" w:themeColor="text1"/>
          <w:sz w:val="24"/>
          <w:szCs w:val="24"/>
          <w:lang w:val="en-US" w:eastAsia="fr-FR"/>
        </w:rPr>
        <w:t>100</w:t>
      </w:r>
      <w:r w:rsidR="00355D62" w:rsidRPr="00F21CBA">
        <w:rPr>
          <w:rFonts w:asciiTheme="majorBidi" w:eastAsia="Times New Roman" w:hAnsiTheme="majorBidi" w:cstheme="majorBidi"/>
          <w:color w:val="000000" w:themeColor="text1"/>
          <w:sz w:val="24"/>
          <w:szCs w:val="24"/>
          <w:lang w:val="en-US" w:eastAsia="fr-FR"/>
        </w:rPr>
        <w:t xml:space="preserve">, n° </w:t>
      </w:r>
      <w:r w:rsidRPr="00F21CBA">
        <w:rPr>
          <w:rFonts w:asciiTheme="majorBidi" w:eastAsia="Times New Roman" w:hAnsiTheme="majorBidi" w:cstheme="majorBidi"/>
          <w:color w:val="000000" w:themeColor="text1"/>
          <w:sz w:val="24"/>
          <w:szCs w:val="24"/>
          <w:lang w:val="en-US" w:eastAsia="fr-FR"/>
        </w:rPr>
        <w:t>4,</w:t>
      </w:r>
      <w:r w:rsidR="00355D62" w:rsidRPr="00F21CBA">
        <w:rPr>
          <w:rFonts w:asciiTheme="majorBidi" w:eastAsia="Times New Roman" w:hAnsiTheme="majorBidi" w:cstheme="majorBidi"/>
          <w:color w:val="000000" w:themeColor="text1"/>
          <w:sz w:val="24"/>
          <w:szCs w:val="24"/>
          <w:lang w:val="en-US" w:eastAsia="fr-FR"/>
        </w:rPr>
        <w:t xml:space="preserve"> p</w:t>
      </w:r>
      <w:r w:rsidR="00B26A4B">
        <w:rPr>
          <w:rFonts w:asciiTheme="majorBidi" w:eastAsia="Times New Roman" w:hAnsiTheme="majorBidi" w:cstheme="majorBidi"/>
          <w:color w:val="000000" w:themeColor="text1"/>
          <w:sz w:val="24"/>
          <w:szCs w:val="24"/>
          <w:lang w:val="en-US" w:eastAsia="fr-FR"/>
        </w:rPr>
        <w:t>p</w:t>
      </w:r>
      <w:r w:rsidR="00355D62" w:rsidRPr="00F21CBA">
        <w:rPr>
          <w:rFonts w:asciiTheme="majorBidi" w:eastAsia="Times New Roman" w:hAnsiTheme="majorBidi" w:cstheme="majorBidi"/>
          <w:color w:val="000000" w:themeColor="text1"/>
          <w:sz w:val="24"/>
          <w:szCs w:val="24"/>
          <w:lang w:val="en-US" w:eastAsia="fr-FR"/>
        </w:rPr>
        <w:t>.</w:t>
      </w:r>
      <w:r w:rsidRPr="00F21CBA">
        <w:rPr>
          <w:rFonts w:asciiTheme="majorBidi" w:eastAsia="Times New Roman" w:hAnsiTheme="majorBidi" w:cstheme="majorBidi"/>
          <w:color w:val="000000" w:themeColor="text1"/>
          <w:sz w:val="24"/>
          <w:szCs w:val="24"/>
          <w:lang w:val="en-US" w:eastAsia="fr-FR"/>
        </w:rPr>
        <w:t xml:space="preserve"> 341-343.</w:t>
      </w:r>
      <w:r w:rsidR="002F6BC3" w:rsidRPr="00F21CBA">
        <w:rPr>
          <w:rFonts w:asciiTheme="majorBidi" w:hAnsiTheme="majorBidi" w:cstheme="majorBidi"/>
          <w:color w:val="000000" w:themeColor="text1"/>
          <w:sz w:val="24"/>
          <w:szCs w:val="24"/>
          <w:lang w:val="en-US"/>
        </w:rPr>
        <w:t xml:space="preserve"> </w:t>
      </w:r>
      <w:hyperlink r:id="rId349" w:history="1">
        <w:r w:rsidR="00F21CBA" w:rsidRPr="00F21CBA">
          <w:rPr>
            <w:rStyle w:val="Lienhypertexte"/>
            <w:rFonts w:asciiTheme="majorBidi" w:hAnsiTheme="majorBidi" w:cstheme="majorBidi"/>
            <w:color w:val="000000" w:themeColor="text1"/>
            <w:sz w:val="24"/>
            <w:szCs w:val="24"/>
            <w:lang w:val="en-US"/>
          </w:rPr>
          <w:t>https://doi.org/</w:t>
        </w:r>
      </w:hyperlink>
      <w:r w:rsidR="00F21CBA" w:rsidRPr="00F21CBA">
        <w:rPr>
          <w:rFonts w:asciiTheme="majorBidi" w:hAnsiTheme="majorBidi" w:cstheme="majorBidi"/>
          <w:color w:val="000000" w:themeColor="text1"/>
          <w:sz w:val="24"/>
          <w:szCs w:val="24"/>
          <w:lang w:val="en-US"/>
        </w:rPr>
        <w:t xml:space="preserve"> </w:t>
      </w:r>
      <w:r w:rsidR="002F6BC3" w:rsidRPr="00F21CBA">
        <w:rPr>
          <w:rFonts w:asciiTheme="majorBidi" w:hAnsiTheme="majorBidi" w:cstheme="majorBidi"/>
          <w:color w:val="000000" w:themeColor="text1"/>
          <w:sz w:val="24"/>
          <w:szCs w:val="24"/>
          <w:lang w:val="en-US"/>
        </w:rPr>
        <w:t>10.1016/j.landurbplan.2011.02.021.</w:t>
      </w:r>
    </w:p>
    <w:p w:rsidR="00E724B9" w:rsidRDefault="00E724B9" w:rsidP="00AE6E2D">
      <w:pPr>
        <w:autoSpaceDE w:val="0"/>
        <w:autoSpaceDN w:val="0"/>
        <w:adjustRightInd w:val="0"/>
        <w:spacing w:line="240" w:lineRule="auto"/>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Alberti, M., (2000</w:t>
      </w:r>
      <w:r w:rsidRPr="00EE4D60">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Urban form and ecosystem dynamics: Empirical evidence and practical implications”, </w:t>
      </w:r>
      <w:r w:rsidRPr="00355D62">
        <w:rPr>
          <w:rFonts w:ascii="Times New Roman" w:eastAsia="Times New Roman" w:hAnsi="Times New Roman" w:cs="Times New Roman"/>
          <w:i/>
          <w:iCs/>
          <w:color w:val="000000"/>
          <w:sz w:val="24"/>
          <w:szCs w:val="24"/>
          <w:lang w:val="en-US" w:eastAsia="fr-FR"/>
        </w:rPr>
        <w:t>Achieving Sustainable Urban Form</w:t>
      </w:r>
      <w:r w:rsidRPr="00EE4D60">
        <w:rPr>
          <w:rFonts w:ascii="Times New Roman" w:eastAsia="Times New Roman" w:hAnsi="Times New Roman" w:cs="Times New Roman"/>
          <w:color w:val="000000"/>
          <w:sz w:val="24"/>
          <w:szCs w:val="24"/>
          <w:lang w:val="en-US" w:eastAsia="fr-FR"/>
        </w:rPr>
        <w:t xml:space="preserve">, </w:t>
      </w:r>
      <w:r w:rsidR="00355D62">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 84–96.</w:t>
      </w:r>
    </w:p>
    <w:p w:rsidR="00E724B9" w:rsidRPr="008C6D3D" w:rsidRDefault="00B62F86" w:rsidP="00AE6E2D">
      <w:pPr>
        <w:autoSpaceDE w:val="0"/>
        <w:autoSpaceDN w:val="0"/>
        <w:adjustRightInd w:val="0"/>
        <w:spacing w:line="240" w:lineRule="auto"/>
        <w:jc w:val="both"/>
        <w:rPr>
          <w:rFonts w:asciiTheme="majorBidi" w:eastAsia="Times New Roman" w:hAnsiTheme="majorBidi" w:cstheme="majorBidi"/>
          <w:sz w:val="24"/>
          <w:szCs w:val="24"/>
          <w:lang w:val="en-US" w:eastAsia="fr-FR"/>
        </w:rPr>
      </w:pPr>
      <w:hyperlink r:id="rId350" w:history="1">
        <w:r w:rsidR="00E724B9" w:rsidRPr="00E40DF8">
          <w:rPr>
            <w:rFonts w:ascii="Times New Roman" w:eastAsia="Times New Roman" w:hAnsi="Times New Roman" w:cs="Times New Roman"/>
            <w:b/>
            <w:bCs/>
            <w:color w:val="000000"/>
            <w:sz w:val="24"/>
            <w:szCs w:val="24"/>
            <w:lang w:val="en-US" w:eastAsia="fr-FR"/>
          </w:rPr>
          <w:t xml:space="preserve">Allan, P., Bryant, M. &amp; </w:t>
        </w:r>
        <w:r w:rsidR="00E724B9" w:rsidRPr="00355D62">
          <w:rPr>
            <w:rFonts w:asciiTheme="majorBidi" w:eastAsia="Times New Roman" w:hAnsiTheme="majorBidi" w:cstheme="majorBidi"/>
            <w:b/>
            <w:bCs/>
            <w:sz w:val="24"/>
            <w:szCs w:val="24"/>
            <w:lang w:val="en-US" w:eastAsia="fr-FR"/>
          </w:rPr>
          <w:t>Wirsching, C., (2013):</w:t>
        </w:r>
        <w:r w:rsidR="00E724B9" w:rsidRPr="00355D62">
          <w:rPr>
            <w:rFonts w:asciiTheme="majorBidi" w:eastAsia="Times New Roman" w:hAnsiTheme="majorBidi" w:cstheme="majorBidi"/>
            <w:sz w:val="24"/>
            <w:szCs w:val="24"/>
            <w:lang w:val="en-US" w:eastAsia="fr-FR"/>
          </w:rPr>
          <w:t xml:space="preserve"> "The Influence of Urban Morphology on the Resilience of Cities Following an Earthquake", </w:t>
        </w:r>
        <w:r w:rsidR="00E724B9" w:rsidRPr="00355D62">
          <w:rPr>
            <w:rFonts w:asciiTheme="majorBidi" w:eastAsia="Times New Roman" w:hAnsiTheme="majorBidi" w:cstheme="majorBidi"/>
            <w:i/>
            <w:iCs/>
            <w:sz w:val="24"/>
            <w:szCs w:val="24"/>
            <w:lang w:val="en-US" w:eastAsia="fr-FR"/>
          </w:rPr>
          <w:t>Journal of Urban Design</w:t>
        </w:r>
        <w:r w:rsidR="00E724B9" w:rsidRPr="00355D62">
          <w:rPr>
            <w:rFonts w:asciiTheme="majorBidi" w:eastAsia="Times New Roman" w:hAnsiTheme="majorBidi" w:cstheme="majorBidi"/>
            <w:sz w:val="24"/>
            <w:szCs w:val="24"/>
            <w:lang w:val="en-US" w:eastAsia="fr-FR"/>
          </w:rPr>
          <w:t>, vol. 18</w:t>
        </w:r>
        <w:r w:rsidR="00355D62" w:rsidRPr="00355D62">
          <w:rPr>
            <w:rFonts w:asciiTheme="majorBidi" w:eastAsia="Times New Roman" w:hAnsiTheme="majorBidi" w:cstheme="majorBidi"/>
            <w:sz w:val="24"/>
            <w:szCs w:val="24"/>
            <w:lang w:val="en-US" w:eastAsia="fr-FR"/>
          </w:rPr>
          <w:t xml:space="preserve">, n° </w:t>
        </w:r>
        <w:r w:rsidR="00E724B9" w:rsidRPr="00355D62">
          <w:rPr>
            <w:rFonts w:asciiTheme="majorBidi" w:eastAsia="Times New Roman" w:hAnsiTheme="majorBidi" w:cstheme="majorBidi"/>
            <w:sz w:val="24"/>
            <w:szCs w:val="24"/>
            <w:lang w:val="en-US" w:eastAsia="fr-FR"/>
          </w:rPr>
          <w:t>2</w:t>
        </w:r>
        <w:r w:rsidR="00355D62" w:rsidRPr="00355D62">
          <w:rPr>
            <w:rFonts w:asciiTheme="majorBidi" w:eastAsia="Times New Roman" w:hAnsiTheme="majorBidi" w:cstheme="majorBidi"/>
            <w:sz w:val="24"/>
            <w:szCs w:val="24"/>
            <w:lang w:val="en-US" w:eastAsia="fr-FR"/>
          </w:rPr>
          <w:t>,</w:t>
        </w:r>
        <w:r w:rsidR="00E724B9" w:rsidRPr="00355D62">
          <w:rPr>
            <w:rFonts w:asciiTheme="majorBidi" w:eastAsia="Times New Roman" w:hAnsiTheme="majorBidi" w:cstheme="majorBidi"/>
            <w:sz w:val="24"/>
            <w:szCs w:val="24"/>
            <w:lang w:val="en-US" w:eastAsia="fr-FR"/>
          </w:rPr>
          <w:t xml:space="preserve"> 242–262.   https://doi.org/10.1080/13574809.2013.772881  </w:t>
        </w:r>
      </w:hyperlink>
    </w:p>
    <w:p w:rsidR="00E724B9" w:rsidRDefault="00E724B9" w:rsidP="00AE6E2D">
      <w:pPr>
        <w:autoSpaceDE w:val="0"/>
        <w:autoSpaceDN w:val="0"/>
        <w:adjustRightInd w:val="0"/>
        <w:spacing w:line="240" w:lineRule="auto"/>
        <w:jc w:val="both"/>
        <w:rPr>
          <w:rFonts w:ascii="Algerian" w:hAnsi="Algerian" w:cs="Simplified Arabic"/>
          <w:b/>
          <w:bCs/>
          <w:sz w:val="32"/>
          <w:szCs w:val="32"/>
          <w:u w:val="single"/>
          <w:lang w:val="en-US" w:bidi="ar-DZ"/>
        </w:rPr>
      </w:pPr>
      <w:r w:rsidRPr="00E40DF8">
        <w:rPr>
          <w:rFonts w:ascii="Times New Roman" w:eastAsia="Times New Roman" w:hAnsi="Times New Roman" w:cs="Times New Roman"/>
          <w:b/>
          <w:bCs/>
          <w:color w:val="000000"/>
          <w:sz w:val="24"/>
          <w:szCs w:val="24"/>
          <w:lang w:val="en-US" w:eastAsia="fr-FR"/>
        </w:rPr>
        <w:t>Allen, CR., Angeler, DG.</w:t>
      </w:r>
      <w:r w:rsidRPr="00EE4D60">
        <w:rPr>
          <w:rFonts w:ascii="Times New Roman" w:eastAsia="Times New Roman" w:hAnsi="Times New Roman" w:cs="Times New Roman"/>
          <w:b/>
          <w:bCs/>
          <w:color w:val="000000"/>
          <w:sz w:val="24"/>
          <w:szCs w:val="24"/>
          <w:lang w:val="en-US" w:eastAsia="fr-FR"/>
        </w:rPr>
        <w:t xml:space="preserve"> &amp; Cumming, G.S., (2016):</w:t>
      </w:r>
      <w:r w:rsidRPr="00EE4D60">
        <w:rPr>
          <w:rFonts w:ascii="Times New Roman" w:eastAsia="Times New Roman" w:hAnsi="Times New Roman" w:cs="Times New Roman"/>
          <w:color w:val="000000"/>
          <w:sz w:val="24"/>
          <w:szCs w:val="24"/>
          <w:lang w:val="en-US" w:eastAsia="fr-FR"/>
        </w:rPr>
        <w:t xml:space="preserve"> “Quantifying spatial resilience”, </w:t>
      </w:r>
      <w:r w:rsidRPr="00355D62">
        <w:rPr>
          <w:rFonts w:ascii="Times New Roman" w:eastAsia="Times New Roman" w:hAnsi="Times New Roman" w:cs="Times New Roman"/>
          <w:i/>
          <w:iCs/>
          <w:color w:val="000000"/>
          <w:sz w:val="24"/>
          <w:szCs w:val="24"/>
          <w:lang w:val="en-US" w:eastAsia="fr-FR"/>
        </w:rPr>
        <w:t>Journal of Applied Ecology</w:t>
      </w:r>
      <w:r w:rsidRPr="00EE4D60">
        <w:rPr>
          <w:rFonts w:ascii="Times New Roman" w:eastAsia="Times New Roman" w:hAnsi="Times New Roman" w:cs="Times New Roman"/>
          <w:color w:val="000000"/>
          <w:sz w:val="24"/>
          <w:szCs w:val="24"/>
          <w:lang w:val="en-US" w:eastAsia="fr-FR"/>
        </w:rPr>
        <w:t xml:space="preserve">, </w:t>
      </w:r>
      <w:r w:rsidR="00F21CBA">
        <w:rPr>
          <w:rFonts w:ascii="Times New Roman" w:eastAsia="Times New Roman" w:hAnsi="Times New Roman" w:cs="Times New Roman"/>
          <w:color w:val="000000"/>
          <w:sz w:val="24"/>
          <w:szCs w:val="24"/>
          <w:lang w:val="en-US" w:eastAsia="fr-FR"/>
        </w:rPr>
        <w:t xml:space="preserve">vol. </w:t>
      </w:r>
      <w:r w:rsidRPr="00EE4D60">
        <w:rPr>
          <w:rFonts w:ascii="Times New Roman" w:eastAsia="Times New Roman" w:hAnsi="Times New Roman" w:cs="Times New Roman"/>
          <w:color w:val="000000"/>
          <w:sz w:val="24"/>
          <w:szCs w:val="24"/>
          <w:lang w:val="en-US" w:eastAsia="fr-FR"/>
        </w:rPr>
        <w:t>53</w:t>
      </w:r>
      <w:r w:rsidR="00F21CBA">
        <w:rPr>
          <w:rFonts w:ascii="Times New Roman" w:eastAsia="Times New Roman" w:hAnsi="Times New Roman" w:cs="Times New Roman"/>
          <w:color w:val="000000"/>
          <w:sz w:val="24"/>
          <w:szCs w:val="24"/>
          <w:lang w:val="en-US" w:eastAsia="fr-FR"/>
        </w:rPr>
        <w:t xml:space="preserve">, n° </w:t>
      </w:r>
      <w:r w:rsidRPr="00EE4D60">
        <w:rPr>
          <w:rFonts w:ascii="Times New Roman" w:eastAsia="Times New Roman" w:hAnsi="Times New Roman" w:cs="Times New Roman"/>
          <w:color w:val="000000"/>
          <w:sz w:val="24"/>
          <w:szCs w:val="24"/>
          <w:lang w:val="en-US" w:eastAsia="fr-FR"/>
        </w:rPr>
        <w:t>3, p</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 625–635.</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Alyami</w:t>
      </w:r>
      <w:r w:rsidRPr="008C6D3D">
        <w:rPr>
          <w:rFonts w:ascii="Times New Roman" w:eastAsia="Times New Roman" w:hAnsi="Times New Roman" w:cs="Times New Roman"/>
          <w:b/>
          <w:bCs/>
          <w:color w:val="000000"/>
          <w:sz w:val="24"/>
          <w:szCs w:val="24"/>
          <w:lang w:val="en-US" w:eastAsia="fr-FR"/>
        </w:rPr>
        <w:t>, S. H., Rezgui, Y. and Kwan, A.</w:t>
      </w:r>
      <w:r w:rsidR="00355D62" w:rsidRPr="008C6D3D">
        <w:rPr>
          <w:rFonts w:ascii="Times New Roman" w:eastAsia="Times New Roman" w:hAnsi="Times New Roman" w:cs="Times New Roman"/>
          <w:b/>
          <w:bCs/>
          <w:color w:val="000000"/>
          <w:sz w:val="24"/>
          <w:szCs w:val="24"/>
          <w:lang w:val="en-US" w:eastAsia="fr-FR"/>
        </w:rPr>
        <w:t xml:space="preserve"> (</w:t>
      </w:r>
      <w:r w:rsidRPr="008C6D3D">
        <w:rPr>
          <w:rFonts w:ascii="Times New Roman" w:eastAsia="Times New Roman" w:hAnsi="Times New Roman" w:cs="Times New Roman"/>
          <w:b/>
          <w:bCs/>
          <w:color w:val="000000"/>
          <w:sz w:val="24"/>
          <w:szCs w:val="24"/>
          <w:lang w:val="en-US" w:eastAsia="fr-FR"/>
        </w:rPr>
        <w:t>2013</w:t>
      </w:r>
      <w:r w:rsidR="00355D62" w:rsidRPr="008C6D3D">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355D62">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Developing sustainable building assessment scheme for Saudi Arabia: Delphi consultation approach</w:t>
      </w:r>
      <w:r w:rsidR="00355D62">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Pr="00355D62">
        <w:rPr>
          <w:rFonts w:ascii="Times New Roman" w:eastAsia="Times New Roman" w:hAnsi="Times New Roman" w:cs="Times New Roman"/>
          <w:i/>
          <w:iCs/>
          <w:color w:val="000000"/>
          <w:sz w:val="24"/>
          <w:szCs w:val="24"/>
          <w:lang w:val="en-US" w:eastAsia="fr-FR"/>
        </w:rPr>
        <w:t>Renewable and Sustainable Energy Reviews</w:t>
      </w:r>
      <w:r w:rsidR="00355D62">
        <w:rPr>
          <w:rFonts w:ascii="Times New Roman" w:eastAsia="Times New Roman" w:hAnsi="Times New Roman" w:cs="Times New Roman"/>
          <w:color w:val="000000"/>
          <w:sz w:val="24"/>
          <w:szCs w:val="24"/>
          <w:lang w:val="en-US" w:eastAsia="fr-FR"/>
        </w:rPr>
        <w:t>, vol.</w:t>
      </w:r>
      <w:r w:rsidRPr="00EE4D60">
        <w:rPr>
          <w:rFonts w:ascii="Times New Roman" w:eastAsia="Times New Roman" w:hAnsi="Times New Roman" w:cs="Times New Roman"/>
          <w:color w:val="000000"/>
          <w:sz w:val="24"/>
          <w:szCs w:val="24"/>
          <w:lang w:val="en-US" w:eastAsia="fr-FR"/>
        </w:rPr>
        <w:t xml:space="preserve"> 27, p</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 43-54.</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Anderies</w:t>
      </w:r>
      <w:r w:rsidRPr="00EE4D60">
        <w:rPr>
          <w:rFonts w:ascii="Times New Roman" w:eastAsia="Times New Roman" w:hAnsi="Times New Roman" w:cs="Times New Roman"/>
          <w:b/>
          <w:bCs/>
          <w:color w:val="000000"/>
          <w:sz w:val="24"/>
          <w:szCs w:val="24"/>
          <w:lang w:val="en-US" w:eastAsia="fr-FR"/>
        </w:rPr>
        <w:t>, J. M., (2014):</w:t>
      </w:r>
      <w:r w:rsidRPr="00EE4D60">
        <w:rPr>
          <w:rFonts w:ascii="Times New Roman" w:eastAsia="Times New Roman" w:hAnsi="Times New Roman" w:cs="Times New Roman"/>
          <w:color w:val="000000"/>
          <w:sz w:val="24"/>
          <w:szCs w:val="24"/>
          <w:lang w:val="en-US" w:eastAsia="fr-FR"/>
        </w:rPr>
        <w:t xml:space="preserve"> "Embedding built environments in social–ecological systems: resilience-based design principles", </w:t>
      </w:r>
      <w:r w:rsidRPr="00355D62">
        <w:rPr>
          <w:rFonts w:ascii="Times New Roman" w:eastAsia="Times New Roman" w:hAnsi="Times New Roman" w:cs="Times New Roman"/>
          <w:i/>
          <w:iCs/>
          <w:color w:val="000000"/>
          <w:sz w:val="24"/>
          <w:szCs w:val="24"/>
          <w:lang w:val="en-US" w:eastAsia="fr-FR"/>
        </w:rPr>
        <w:t>Building Research &amp; Information</w:t>
      </w:r>
      <w:r w:rsidR="00355D62">
        <w:rPr>
          <w:rFonts w:ascii="Times New Roman" w:eastAsia="Times New Roman" w:hAnsi="Times New Roman" w:cs="Times New Roman"/>
          <w:color w:val="000000"/>
          <w:sz w:val="24"/>
          <w:szCs w:val="24"/>
          <w:lang w:val="en-US" w:eastAsia="fr-FR"/>
        </w:rPr>
        <w:t>, vol.</w:t>
      </w:r>
      <w:r w:rsidRPr="00EE4D60">
        <w:rPr>
          <w:rFonts w:ascii="Times New Roman" w:eastAsia="Times New Roman" w:hAnsi="Times New Roman" w:cs="Times New Roman"/>
          <w:color w:val="000000"/>
          <w:sz w:val="24"/>
          <w:szCs w:val="24"/>
          <w:lang w:val="en-US" w:eastAsia="fr-FR"/>
        </w:rPr>
        <w:t xml:space="preserve"> 42</w:t>
      </w:r>
      <w:r w:rsidR="00355D62">
        <w:rPr>
          <w:rFonts w:ascii="Times New Roman" w:eastAsia="Times New Roman" w:hAnsi="Times New Roman" w:cs="Times New Roman"/>
          <w:color w:val="000000"/>
          <w:sz w:val="24"/>
          <w:szCs w:val="24"/>
          <w:lang w:val="en-US" w:eastAsia="fr-FR"/>
        </w:rPr>
        <w:t xml:space="preserve">, n° </w:t>
      </w:r>
      <w:r w:rsidRPr="00EE4D60">
        <w:rPr>
          <w:rFonts w:ascii="Times New Roman" w:eastAsia="Times New Roman" w:hAnsi="Times New Roman" w:cs="Times New Roman"/>
          <w:color w:val="000000"/>
          <w:sz w:val="24"/>
          <w:szCs w:val="24"/>
          <w:lang w:val="en-US" w:eastAsia="fr-FR"/>
        </w:rPr>
        <w:t>2</w:t>
      </w:r>
      <w:r w:rsidR="00355D62">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p. 130</w:t>
      </w:r>
      <w:r w:rsidR="00F21CBA">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142.</w:t>
      </w:r>
    </w:p>
    <w:p w:rsidR="00E724B9" w:rsidRPr="00E43CFF" w:rsidRDefault="00E724B9" w:rsidP="00AE6E2D">
      <w:pPr>
        <w:autoSpaceDE w:val="0"/>
        <w:autoSpaceDN w:val="0"/>
        <w:adjustRightInd w:val="0"/>
        <w:spacing w:line="240" w:lineRule="auto"/>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Antoine</w:t>
      </w:r>
      <w:r w:rsidR="00355D62" w:rsidRPr="00355D62">
        <w:rPr>
          <w:rFonts w:ascii="Times New Roman" w:eastAsia="Times New Roman" w:hAnsi="Times New Roman" w:cs="Times New Roman"/>
          <w:b/>
          <w:bCs/>
          <w:color w:val="000000"/>
          <w:sz w:val="24"/>
          <w:szCs w:val="24"/>
          <w:lang w:val="en-US" w:eastAsia="fr-FR"/>
        </w:rPr>
        <w:t>,</w:t>
      </w:r>
      <w:r w:rsidRPr="00355D62">
        <w:rPr>
          <w:rFonts w:ascii="Times New Roman" w:eastAsia="Times New Roman" w:hAnsi="Times New Roman" w:cs="Times New Roman"/>
          <w:b/>
          <w:bCs/>
          <w:color w:val="000000"/>
          <w:sz w:val="24"/>
          <w:szCs w:val="24"/>
          <w:lang w:val="en-US" w:eastAsia="fr-FR"/>
        </w:rPr>
        <w:t xml:space="preserve"> J</w:t>
      </w:r>
      <w:r w:rsidR="00355D62" w:rsidRPr="00355D62">
        <w:rPr>
          <w:rFonts w:ascii="Times New Roman" w:eastAsia="Times New Roman" w:hAnsi="Times New Roman" w:cs="Times New Roman"/>
          <w:b/>
          <w:bCs/>
          <w:color w:val="000000"/>
          <w:sz w:val="24"/>
          <w:szCs w:val="24"/>
          <w:lang w:val="en-US" w:eastAsia="fr-FR"/>
        </w:rPr>
        <w:t>.</w:t>
      </w:r>
      <w:r w:rsidRPr="00355D62">
        <w:rPr>
          <w:rFonts w:ascii="Times New Roman" w:eastAsia="Times New Roman" w:hAnsi="Times New Roman" w:cs="Times New Roman"/>
          <w:b/>
          <w:bCs/>
          <w:color w:val="000000"/>
          <w:sz w:val="24"/>
          <w:szCs w:val="24"/>
          <w:lang w:val="en-US" w:eastAsia="fr-FR"/>
        </w:rPr>
        <w:t>, Fischer</w:t>
      </w:r>
      <w:r w:rsidR="00355D62" w:rsidRPr="00355D62">
        <w:rPr>
          <w:rFonts w:ascii="Times New Roman" w:eastAsia="Times New Roman" w:hAnsi="Times New Roman" w:cs="Times New Roman"/>
          <w:b/>
          <w:bCs/>
          <w:color w:val="000000"/>
          <w:sz w:val="24"/>
          <w:szCs w:val="24"/>
          <w:lang w:val="en-US" w:eastAsia="fr-FR"/>
        </w:rPr>
        <w:t>,</w:t>
      </w:r>
      <w:r w:rsidRPr="00355D62">
        <w:rPr>
          <w:rFonts w:ascii="Times New Roman" w:eastAsia="Times New Roman" w:hAnsi="Times New Roman" w:cs="Times New Roman"/>
          <w:b/>
          <w:bCs/>
          <w:color w:val="000000"/>
          <w:sz w:val="24"/>
          <w:szCs w:val="24"/>
          <w:lang w:val="en-US" w:eastAsia="fr-FR"/>
        </w:rPr>
        <w:t xml:space="preserve"> G</w:t>
      </w:r>
      <w:r w:rsidR="00355D62" w:rsidRPr="00355D62">
        <w:rPr>
          <w:rFonts w:ascii="Times New Roman" w:eastAsia="Times New Roman" w:hAnsi="Times New Roman" w:cs="Times New Roman"/>
          <w:b/>
          <w:bCs/>
          <w:color w:val="000000"/>
          <w:sz w:val="24"/>
          <w:szCs w:val="24"/>
          <w:lang w:val="en-US" w:eastAsia="fr-FR"/>
        </w:rPr>
        <w:t>. &amp;</w:t>
      </w:r>
      <w:r w:rsidRPr="00355D62">
        <w:rPr>
          <w:rFonts w:ascii="Times New Roman" w:eastAsia="Times New Roman" w:hAnsi="Times New Roman" w:cs="Times New Roman"/>
          <w:b/>
          <w:bCs/>
          <w:color w:val="000000"/>
          <w:sz w:val="24"/>
          <w:szCs w:val="24"/>
          <w:lang w:val="en-US" w:eastAsia="fr-FR"/>
        </w:rPr>
        <w:t xml:space="preserve"> Makowski</w:t>
      </w:r>
      <w:r w:rsidR="00355D62" w:rsidRPr="00355D62">
        <w:rPr>
          <w:rFonts w:ascii="Times New Roman" w:eastAsia="Times New Roman" w:hAnsi="Times New Roman" w:cs="Times New Roman"/>
          <w:b/>
          <w:bCs/>
          <w:color w:val="000000"/>
          <w:sz w:val="24"/>
          <w:szCs w:val="24"/>
          <w:lang w:val="en-US" w:eastAsia="fr-FR"/>
        </w:rPr>
        <w:t>,</w:t>
      </w:r>
      <w:r w:rsidRPr="00355D62">
        <w:rPr>
          <w:rFonts w:ascii="Times New Roman" w:eastAsia="Times New Roman" w:hAnsi="Times New Roman" w:cs="Times New Roman"/>
          <w:b/>
          <w:bCs/>
          <w:color w:val="000000"/>
          <w:sz w:val="24"/>
          <w:szCs w:val="24"/>
          <w:lang w:val="en-US" w:eastAsia="fr-FR"/>
        </w:rPr>
        <w:t xml:space="preserve"> M</w:t>
      </w:r>
      <w:r w:rsidR="00355D62" w:rsidRPr="00355D62">
        <w:rPr>
          <w:rFonts w:ascii="Times New Roman" w:eastAsia="Times New Roman" w:hAnsi="Times New Roman" w:cs="Times New Roman"/>
          <w:b/>
          <w:bCs/>
          <w:color w:val="000000"/>
          <w:sz w:val="24"/>
          <w:szCs w:val="24"/>
          <w:lang w:val="en-US" w:eastAsia="fr-FR"/>
        </w:rPr>
        <w:t>.,</w:t>
      </w:r>
      <w:r w:rsidRPr="00355D62">
        <w:rPr>
          <w:rFonts w:ascii="Times New Roman" w:eastAsia="Times New Roman" w:hAnsi="Times New Roman" w:cs="Times New Roman"/>
          <w:b/>
          <w:bCs/>
          <w:color w:val="000000"/>
          <w:sz w:val="24"/>
          <w:szCs w:val="24"/>
          <w:lang w:val="en-US" w:eastAsia="fr-FR"/>
        </w:rPr>
        <w:t xml:space="preserve"> (1997)</w:t>
      </w:r>
      <w:r w:rsidR="00355D62" w:rsidRPr="00355D62">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355D62">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Multiple criteria land use analysis</w:t>
      </w:r>
      <w:r w:rsidR="00E43CFF">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Pr="00E43CFF">
        <w:rPr>
          <w:rFonts w:ascii="Times New Roman" w:eastAsia="Times New Roman" w:hAnsi="Times New Roman" w:cs="Times New Roman"/>
          <w:i/>
          <w:iCs/>
          <w:color w:val="000000"/>
          <w:sz w:val="24"/>
          <w:szCs w:val="24"/>
          <w:lang w:val="en-US" w:eastAsia="fr-FR"/>
        </w:rPr>
        <w:t>Appl Math Comput</w:t>
      </w:r>
      <w:r w:rsidR="00355D62" w:rsidRPr="00E43CFF">
        <w:rPr>
          <w:rFonts w:ascii="Times New Roman" w:eastAsia="Times New Roman" w:hAnsi="Times New Roman" w:cs="Times New Roman"/>
          <w:color w:val="000000"/>
          <w:sz w:val="24"/>
          <w:szCs w:val="24"/>
          <w:lang w:val="en-US" w:eastAsia="fr-FR"/>
        </w:rPr>
        <w:t>, vol.</w:t>
      </w:r>
      <w:r w:rsidRPr="00E43CFF">
        <w:rPr>
          <w:rFonts w:ascii="Times New Roman" w:eastAsia="Times New Roman" w:hAnsi="Times New Roman" w:cs="Times New Roman"/>
          <w:color w:val="000000"/>
          <w:sz w:val="24"/>
          <w:szCs w:val="24"/>
          <w:lang w:val="en-US" w:eastAsia="fr-FR"/>
        </w:rPr>
        <w:t xml:space="preserve"> 83</w:t>
      </w:r>
      <w:r w:rsidR="00355D62" w:rsidRPr="00E43CFF">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00355D62" w:rsidRPr="00E43CFF">
        <w:rPr>
          <w:rFonts w:ascii="Times New Roman" w:eastAsia="Times New Roman" w:hAnsi="Times New Roman" w:cs="Times New Roman"/>
          <w:color w:val="000000"/>
          <w:sz w:val="24"/>
          <w:szCs w:val="24"/>
          <w:lang w:val="en-US" w:eastAsia="fr-FR"/>
        </w:rPr>
        <w:t xml:space="preserve">. </w:t>
      </w:r>
      <w:r w:rsidRPr="00E43CFF">
        <w:rPr>
          <w:rFonts w:ascii="Times New Roman" w:eastAsia="Times New Roman" w:hAnsi="Times New Roman" w:cs="Times New Roman"/>
          <w:color w:val="000000"/>
          <w:sz w:val="24"/>
          <w:szCs w:val="24"/>
          <w:lang w:val="en-US" w:eastAsia="fr-FR"/>
        </w:rPr>
        <w:t>195–215.</w:t>
      </w:r>
    </w:p>
    <w:p w:rsidR="00E724B9" w:rsidRDefault="00E43CFF"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Araba</w:t>
      </w:r>
      <w:r w:rsidRPr="00E43CFF">
        <w:rPr>
          <w:rFonts w:ascii="Times New Roman" w:eastAsia="Times New Roman" w:hAnsi="Times New Roman" w:cs="Times New Roman"/>
          <w:b/>
          <w:bCs/>
          <w:color w:val="000000"/>
          <w:sz w:val="24"/>
          <w:szCs w:val="24"/>
          <w:lang w:eastAsia="fr-FR"/>
        </w:rPr>
        <w:t>, M, (2012):</w:t>
      </w:r>
      <w:r w:rsidR="00E724B9" w:rsidRPr="00EE4D60">
        <w:rPr>
          <w:rFonts w:ascii="Times New Roman" w:eastAsia="Times New Roman" w:hAnsi="Times New Roman" w:cs="Times New Roman"/>
          <w:color w:val="000000"/>
          <w:sz w:val="24"/>
          <w:szCs w:val="24"/>
          <w:lang w:eastAsia="fr-FR"/>
        </w:rPr>
        <w:t xml:space="preserve"> “Les quartiers périphériques spontanés entre les opérations d’intégration et les forces d’exclusion, Cas d’étude : Quartier de Maitar à Bou-Saâda</w:t>
      </w:r>
      <w:r>
        <w:rPr>
          <w:rFonts w:ascii="Times New Roman" w:eastAsia="Times New Roman" w:hAnsi="Times New Roman" w:cs="Times New Roman"/>
          <w:color w:val="000000"/>
          <w:sz w:val="24"/>
          <w:szCs w:val="24"/>
          <w:lang w:eastAsia="fr-FR"/>
        </w:rPr>
        <w:t>"</w:t>
      </w:r>
      <w:r w:rsidR="00E724B9" w:rsidRPr="00EE4D60">
        <w:rPr>
          <w:rFonts w:ascii="Times New Roman" w:eastAsia="Times New Roman" w:hAnsi="Times New Roman" w:cs="Times New Roman"/>
          <w:color w:val="000000"/>
          <w:sz w:val="24"/>
          <w:szCs w:val="24"/>
          <w:lang w:eastAsia="fr-FR"/>
        </w:rPr>
        <w:t xml:space="preserve">, </w:t>
      </w:r>
      <w:r w:rsidR="00E724B9" w:rsidRPr="00304ED9">
        <w:rPr>
          <w:rFonts w:ascii="Times New Roman" w:eastAsia="Times New Roman" w:hAnsi="Times New Roman" w:cs="Times New Roman"/>
          <w:color w:val="000000"/>
          <w:sz w:val="24"/>
          <w:szCs w:val="24"/>
          <w:lang w:eastAsia="fr-FR"/>
        </w:rPr>
        <w:t>Mémoire de magistère en Architecture</w:t>
      </w:r>
      <w:r w:rsidR="00E724B9" w:rsidRPr="00EE4D60">
        <w:rPr>
          <w:rFonts w:ascii="Times New Roman" w:eastAsia="Times New Roman" w:hAnsi="Times New Roman" w:cs="Times New Roman"/>
          <w:color w:val="000000"/>
          <w:sz w:val="24"/>
          <w:szCs w:val="24"/>
          <w:lang w:eastAsia="fr-FR"/>
        </w:rPr>
        <w:t>, Université Mohamed Khider</w:t>
      </w:r>
      <w:r>
        <w:rPr>
          <w:rFonts w:ascii="Times New Roman" w:eastAsia="Times New Roman" w:hAnsi="Times New Roman" w:cs="Times New Roman"/>
          <w:color w:val="000000"/>
          <w:sz w:val="24"/>
          <w:szCs w:val="24"/>
          <w:lang w:eastAsia="fr-FR"/>
        </w:rPr>
        <w:t>,</w:t>
      </w:r>
      <w:r w:rsidR="00E724B9" w:rsidRPr="00EE4D60">
        <w:rPr>
          <w:rFonts w:ascii="Times New Roman" w:eastAsia="Times New Roman" w:hAnsi="Times New Roman" w:cs="Times New Roman"/>
          <w:color w:val="000000"/>
          <w:sz w:val="24"/>
          <w:szCs w:val="24"/>
          <w:lang w:eastAsia="fr-FR"/>
        </w:rPr>
        <w:t xml:space="preserve"> Biskra</w:t>
      </w:r>
      <w:r>
        <w:rPr>
          <w:rFonts w:ascii="Times New Roman" w:eastAsia="Times New Roman" w:hAnsi="Times New Roman" w:cs="Times New Roman"/>
          <w:color w:val="000000"/>
          <w:sz w:val="24"/>
          <w:szCs w:val="24"/>
          <w:lang w:eastAsia="fr-FR"/>
        </w:rPr>
        <w:t>, 276p</w:t>
      </w:r>
      <w:r w:rsidR="00304ED9">
        <w:rPr>
          <w:rFonts w:ascii="Times New Roman" w:eastAsia="Times New Roman" w:hAnsi="Times New Roman" w:cs="Times New Roman"/>
          <w:color w:val="000000"/>
          <w:sz w:val="24"/>
          <w:szCs w:val="24"/>
          <w:lang w:eastAsia="fr-FR"/>
        </w:rPr>
        <w:t>.</w:t>
      </w:r>
    </w:p>
    <w:p w:rsidR="00304ED9" w:rsidRPr="00764DB3" w:rsidRDefault="00304ED9" w:rsidP="0047523B">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47523B">
        <w:rPr>
          <w:rFonts w:ascii="Times New Roman" w:eastAsia="Times New Roman" w:hAnsi="Times New Roman" w:cs="Times New Roman"/>
          <w:b/>
          <w:bCs/>
          <w:color w:val="000000"/>
          <w:sz w:val="24"/>
          <w:szCs w:val="24"/>
          <w:lang w:val="en-US" w:eastAsia="fr-FR"/>
        </w:rPr>
        <w:t>ARUP, (2014):</w:t>
      </w:r>
      <w:r w:rsidRPr="00304ED9">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304ED9">
        <w:rPr>
          <w:rFonts w:ascii="Times New Roman" w:eastAsia="Times New Roman" w:hAnsi="Times New Roman" w:cs="Times New Roman"/>
          <w:color w:val="000000"/>
          <w:sz w:val="24"/>
          <w:szCs w:val="24"/>
          <w:lang w:val="en-US" w:eastAsia="fr-FR"/>
        </w:rPr>
        <w:t>City Resilience Index</w:t>
      </w:r>
      <w:r>
        <w:rPr>
          <w:rFonts w:ascii="Times New Roman" w:eastAsia="Times New Roman" w:hAnsi="Times New Roman" w:cs="Times New Roman"/>
          <w:color w:val="000000"/>
          <w:sz w:val="24"/>
          <w:szCs w:val="24"/>
          <w:lang w:val="en-US" w:eastAsia="fr-FR"/>
        </w:rPr>
        <w:t>”</w:t>
      </w:r>
      <w:r w:rsidRPr="00304ED9">
        <w:rPr>
          <w:rFonts w:ascii="Times New Roman" w:eastAsia="Times New Roman" w:hAnsi="Times New Roman" w:cs="Times New Roman"/>
          <w:color w:val="000000"/>
          <w:sz w:val="24"/>
          <w:szCs w:val="24"/>
          <w:lang w:val="en-US" w:eastAsia="fr-FR"/>
        </w:rPr>
        <w:t xml:space="preserve">, Research Report Volume 1: </w:t>
      </w:r>
      <w:r w:rsidRPr="00304ED9">
        <w:rPr>
          <w:rFonts w:ascii="Times New Roman" w:eastAsia="Times New Roman" w:hAnsi="Times New Roman" w:cs="Times New Roman"/>
          <w:i/>
          <w:iCs/>
          <w:color w:val="000000"/>
          <w:sz w:val="24"/>
          <w:szCs w:val="24"/>
          <w:lang w:val="en-US" w:eastAsia="fr-FR"/>
        </w:rPr>
        <w:t>Desk Study</w:t>
      </w:r>
      <w:r w:rsidR="0047523B">
        <w:rPr>
          <w:rFonts w:ascii="Times New Roman" w:eastAsia="Times New Roman" w:hAnsi="Times New Roman" w:cs="Times New Roman"/>
          <w:color w:val="000000"/>
          <w:sz w:val="24"/>
          <w:szCs w:val="24"/>
          <w:lang w:val="en-US" w:eastAsia="fr-FR"/>
        </w:rPr>
        <w:t>,</w:t>
      </w:r>
      <w:r w:rsidRPr="00304ED9">
        <w:rPr>
          <w:rFonts w:ascii="Times New Roman" w:eastAsia="Times New Roman" w:hAnsi="Times New Roman" w:cs="Times New Roman"/>
          <w:color w:val="000000"/>
          <w:sz w:val="24"/>
          <w:szCs w:val="24"/>
          <w:lang w:val="en-US" w:eastAsia="fr-FR"/>
        </w:rPr>
        <w:t xml:space="preserve"> City Resilience</w:t>
      </w:r>
      <w:r w:rsidR="0047523B">
        <w:rPr>
          <w:rFonts w:ascii="Times New Roman" w:eastAsia="Times New Roman" w:hAnsi="Times New Roman" w:cs="Times New Roman"/>
          <w:color w:val="000000"/>
          <w:sz w:val="24"/>
          <w:szCs w:val="24"/>
          <w:lang w:val="en-US" w:eastAsia="fr-FR"/>
        </w:rPr>
        <w:t xml:space="preserve"> </w:t>
      </w:r>
      <w:r w:rsidRPr="00304ED9">
        <w:rPr>
          <w:rFonts w:ascii="Times New Roman" w:eastAsia="Times New Roman" w:hAnsi="Times New Roman" w:cs="Times New Roman"/>
          <w:color w:val="000000"/>
          <w:sz w:val="24"/>
          <w:szCs w:val="24"/>
          <w:lang w:val="en-US" w:eastAsia="fr-FR"/>
        </w:rPr>
        <w:t>Framework. United Kingdom</w:t>
      </w:r>
      <w:r w:rsidRPr="00764DB3">
        <w:rPr>
          <w:rFonts w:ascii="Times New Roman" w:eastAsia="Times New Roman" w:hAnsi="Times New Roman" w:cs="Times New Roman"/>
          <w:color w:val="000000"/>
          <w:sz w:val="24"/>
          <w:szCs w:val="24"/>
          <w:lang w:val="en-US" w:eastAsia="fr-FR"/>
        </w:rPr>
        <w:t xml:space="preserve">: </w:t>
      </w:r>
      <w:r w:rsidRPr="00304ED9">
        <w:rPr>
          <w:rFonts w:ascii="Times New Roman" w:eastAsia="Times New Roman" w:hAnsi="Times New Roman" w:cs="Times New Roman"/>
          <w:color w:val="000000"/>
          <w:sz w:val="24"/>
          <w:szCs w:val="24"/>
          <w:lang w:val="en-US" w:eastAsia="fr-FR"/>
        </w:rPr>
        <w:t>Rockfeller</w:t>
      </w:r>
      <w:r w:rsidRPr="00764DB3">
        <w:rPr>
          <w:rFonts w:ascii="Times New Roman" w:eastAsia="Times New Roman" w:hAnsi="Times New Roman" w:cs="Times New Roman"/>
          <w:color w:val="000000"/>
          <w:sz w:val="24"/>
          <w:szCs w:val="24"/>
          <w:lang w:val="en-US" w:eastAsia="fr-FR"/>
        </w:rPr>
        <w:t xml:space="preserve"> </w:t>
      </w:r>
      <w:r w:rsidRPr="00304ED9">
        <w:rPr>
          <w:rFonts w:ascii="Times New Roman" w:eastAsia="Times New Roman" w:hAnsi="Times New Roman" w:cs="Times New Roman"/>
          <w:color w:val="000000"/>
          <w:sz w:val="24"/>
          <w:szCs w:val="24"/>
          <w:lang w:val="en-US" w:eastAsia="fr-FR"/>
        </w:rPr>
        <w:t>Foundation</w:t>
      </w:r>
      <w:r w:rsidRPr="00764DB3">
        <w:rPr>
          <w:rFonts w:ascii="Times New Roman" w:eastAsia="Times New Roman" w:hAnsi="Times New Roman" w:cs="Times New Roman"/>
          <w:color w:val="000000"/>
          <w:sz w:val="24"/>
          <w:szCs w:val="24"/>
          <w:lang w:val="en-US" w:eastAsia="fr-FR"/>
        </w:rPr>
        <w:t>.</w:t>
      </w:r>
    </w:p>
    <w:p w:rsidR="008C6D3D" w:rsidRPr="00F07169" w:rsidRDefault="00E724B9" w:rsidP="00AE6E2D">
      <w:pPr>
        <w:autoSpaceDE w:val="0"/>
        <w:autoSpaceDN w:val="0"/>
        <w:adjustRightInd w:val="0"/>
        <w:spacing w:line="240" w:lineRule="auto"/>
        <w:jc w:val="both"/>
        <w:rPr>
          <w:rFonts w:asciiTheme="majorBidi" w:hAnsiTheme="majorBidi" w:cstheme="majorBidi"/>
          <w:color w:val="000000" w:themeColor="text1"/>
          <w:sz w:val="24"/>
          <w:szCs w:val="24"/>
          <w:lang w:val="en-US"/>
        </w:rPr>
      </w:pPr>
      <w:r w:rsidRPr="00E40DF8">
        <w:rPr>
          <w:rFonts w:ascii="Times New Roman" w:eastAsia="Times New Roman" w:hAnsi="Times New Roman" w:cs="Times New Roman"/>
          <w:b/>
          <w:bCs/>
          <w:color w:val="000000"/>
          <w:sz w:val="24"/>
          <w:szCs w:val="24"/>
          <w:lang w:val="en-US" w:eastAsia="fr-FR"/>
        </w:rPr>
        <w:t>Bahadur</w:t>
      </w:r>
      <w:r w:rsidRPr="00F07169">
        <w:rPr>
          <w:rFonts w:ascii="Times New Roman" w:eastAsia="Times New Roman" w:hAnsi="Times New Roman" w:cs="Times New Roman"/>
          <w:b/>
          <w:bCs/>
          <w:color w:val="000000" w:themeColor="text1"/>
          <w:sz w:val="24"/>
          <w:szCs w:val="24"/>
          <w:lang w:val="en-US" w:eastAsia="fr-FR"/>
        </w:rPr>
        <w:t>, A., Wilkinson, E &amp; Tanner, T., (2015)</w:t>
      </w:r>
      <w:r w:rsidR="00E43CFF" w:rsidRPr="00F07169">
        <w:rPr>
          <w:rFonts w:ascii="Times New Roman" w:eastAsia="Times New Roman" w:hAnsi="Times New Roman" w:cs="Times New Roman"/>
          <w:b/>
          <w:bCs/>
          <w:color w:val="000000" w:themeColor="text1"/>
          <w:sz w:val="24"/>
          <w:szCs w:val="24"/>
          <w:lang w:val="en-US" w:eastAsia="fr-FR"/>
        </w:rPr>
        <w:t>:</w:t>
      </w:r>
      <w:r w:rsidRPr="00F07169">
        <w:rPr>
          <w:rFonts w:ascii="Times New Roman" w:eastAsia="Times New Roman" w:hAnsi="Times New Roman" w:cs="Times New Roman"/>
          <w:color w:val="000000" w:themeColor="text1"/>
          <w:sz w:val="24"/>
          <w:szCs w:val="24"/>
          <w:lang w:val="en-US" w:eastAsia="fr-FR"/>
        </w:rPr>
        <w:t xml:space="preserve"> “Measuring Resilience : An Analytical Review (draft under review)”, </w:t>
      </w:r>
      <w:r w:rsidRPr="00F07169">
        <w:rPr>
          <w:rFonts w:ascii="Times New Roman" w:eastAsia="Times New Roman" w:hAnsi="Times New Roman" w:cs="Times New Roman"/>
          <w:i/>
          <w:iCs/>
          <w:color w:val="000000" w:themeColor="text1"/>
          <w:sz w:val="24"/>
          <w:szCs w:val="24"/>
          <w:lang w:val="en-US" w:eastAsia="fr-FR"/>
        </w:rPr>
        <w:t>Climate and Development</w:t>
      </w:r>
      <w:r w:rsidRPr="00F07169">
        <w:rPr>
          <w:rFonts w:ascii="Times New Roman" w:eastAsia="Times New Roman" w:hAnsi="Times New Roman" w:cs="Times New Roman"/>
          <w:color w:val="000000" w:themeColor="text1"/>
          <w:sz w:val="24"/>
          <w:szCs w:val="24"/>
          <w:lang w:val="en-US" w:eastAsia="fr-FR"/>
        </w:rPr>
        <w:t xml:space="preserve">, </w:t>
      </w:r>
      <w:hyperlink r:id="rId351" w:history="1">
        <w:r w:rsidR="00F07169" w:rsidRPr="00052B97">
          <w:rPr>
            <w:rStyle w:val="Lienhypertexte"/>
            <w:rFonts w:asciiTheme="majorBidi" w:hAnsiTheme="majorBidi" w:cstheme="majorBidi"/>
            <w:sz w:val="24"/>
            <w:szCs w:val="24"/>
            <w:lang w:val="en-US"/>
          </w:rPr>
          <w:t>https://doi.org/10.13140/RG.2.1. 1300.1444</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Balica, S.F., Wright</w:t>
      </w:r>
      <w:r w:rsidRPr="008C6D3D">
        <w:rPr>
          <w:rFonts w:ascii="Times New Roman" w:eastAsia="Times New Roman" w:hAnsi="Times New Roman" w:cs="Times New Roman"/>
          <w:b/>
          <w:bCs/>
          <w:color w:val="000000"/>
          <w:sz w:val="24"/>
          <w:szCs w:val="24"/>
          <w:lang w:val="en-US" w:eastAsia="fr-FR"/>
        </w:rPr>
        <w:t>, N</w:t>
      </w:r>
      <w:r w:rsidR="008C6D3D" w:rsidRPr="008C6D3D">
        <w:rPr>
          <w:rFonts w:ascii="Times New Roman" w:eastAsia="Times New Roman" w:hAnsi="Times New Roman" w:cs="Times New Roman"/>
          <w:b/>
          <w:bCs/>
          <w:color w:val="000000"/>
          <w:sz w:val="24"/>
          <w:szCs w:val="24"/>
          <w:lang w:val="en-US" w:eastAsia="fr-FR"/>
        </w:rPr>
        <w:t>.G. &amp; Vander Meulen, F., (2012):</w:t>
      </w:r>
      <w:r w:rsidRPr="00EE4D60">
        <w:rPr>
          <w:rFonts w:ascii="Times New Roman" w:eastAsia="Times New Roman" w:hAnsi="Times New Roman" w:cs="Times New Roman"/>
          <w:color w:val="000000"/>
          <w:sz w:val="24"/>
          <w:szCs w:val="24"/>
          <w:lang w:val="en-US" w:eastAsia="fr-FR"/>
        </w:rPr>
        <w:t xml:space="preserve"> "A flood vulnerability index for coastal cities and its use in assessing climate change impacts", Natural Hazards, Vol. 64, N</w:t>
      </w:r>
      <w:r w:rsidR="008C6D3D">
        <w:rPr>
          <w:rFonts w:ascii="Times New Roman" w:eastAsia="Times New Roman" w:hAnsi="Times New Roman" w:cs="Times New Roman"/>
          <w:color w:val="000000"/>
          <w:sz w:val="24"/>
          <w:szCs w:val="24"/>
          <w:lang w:val="en-US" w:eastAsia="fr-FR"/>
        </w:rPr>
        <w:t xml:space="preserve">° </w:t>
      </w:r>
      <w:r w:rsidRPr="00EE4D60">
        <w:rPr>
          <w:rFonts w:ascii="Times New Roman" w:eastAsia="Times New Roman" w:hAnsi="Times New Roman" w:cs="Times New Roman"/>
          <w:color w:val="000000"/>
          <w:sz w:val="24"/>
          <w:szCs w:val="24"/>
          <w:lang w:val="en-US" w:eastAsia="fr-FR"/>
        </w:rPr>
        <w:t>1, p</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 73-105.</w:t>
      </w:r>
    </w:p>
    <w:p w:rsidR="00E724B9" w:rsidRPr="008C6D3D"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Balram</w:t>
      </w:r>
      <w:r w:rsidRPr="008C6D3D">
        <w:rPr>
          <w:rFonts w:ascii="Times New Roman" w:eastAsia="Times New Roman" w:hAnsi="Times New Roman" w:cs="Times New Roman"/>
          <w:b/>
          <w:bCs/>
          <w:color w:val="000000"/>
          <w:sz w:val="24"/>
          <w:szCs w:val="24"/>
          <w:lang w:val="en-US" w:eastAsia="fr-FR"/>
        </w:rPr>
        <w:t>, S. and Dragićević, S. 2005</w:t>
      </w:r>
      <w:r w:rsidR="008C6D3D" w:rsidRPr="008C6D3D">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8C6D3D">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Attitudes toward urban green spaces: integrating questionnaire survey and collaborative GIS techniques to improve attitude measurements</w:t>
      </w:r>
      <w:r w:rsidR="008C6D3D">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Pr="008C6D3D">
        <w:rPr>
          <w:rFonts w:ascii="Times New Roman" w:eastAsia="Times New Roman" w:hAnsi="Times New Roman" w:cs="Times New Roman"/>
          <w:i/>
          <w:iCs/>
          <w:color w:val="000000"/>
          <w:sz w:val="24"/>
          <w:szCs w:val="24"/>
          <w:lang w:val="en-US" w:eastAsia="fr-FR"/>
        </w:rPr>
        <w:t>Landscape and Urban Planning</w:t>
      </w:r>
      <w:r w:rsidR="008C6D3D">
        <w:rPr>
          <w:rFonts w:ascii="Times New Roman" w:eastAsia="Times New Roman" w:hAnsi="Times New Roman" w:cs="Times New Roman"/>
          <w:color w:val="000000"/>
          <w:sz w:val="24"/>
          <w:szCs w:val="24"/>
          <w:lang w:val="en-US" w:eastAsia="fr-FR"/>
        </w:rPr>
        <w:t>,</w:t>
      </w:r>
      <w:r w:rsidRPr="008C6D3D">
        <w:rPr>
          <w:rFonts w:ascii="Times New Roman" w:eastAsia="Times New Roman" w:hAnsi="Times New Roman" w:cs="Times New Roman"/>
          <w:color w:val="000000"/>
          <w:sz w:val="24"/>
          <w:szCs w:val="24"/>
          <w:lang w:val="en-US" w:eastAsia="fr-FR"/>
        </w:rPr>
        <w:t xml:space="preserve"> </w:t>
      </w:r>
      <w:r w:rsidR="008C6D3D">
        <w:rPr>
          <w:rFonts w:ascii="Times New Roman" w:eastAsia="Times New Roman" w:hAnsi="Times New Roman" w:cs="Times New Roman"/>
          <w:color w:val="000000"/>
          <w:sz w:val="24"/>
          <w:szCs w:val="24"/>
          <w:lang w:val="en-US" w:eastAsia="fr-FR"/>
        </w:rPr>
        <w:t xml:space="preserve">vol. </w:t>
      </w:r>
      <w:r w:rsidRPr="008C6D3D">
        <w:rPr>
          <w:rFonts w:ascii="Times New Roman" w:eastAsia="Times New Roman" w:hAnsi="Times New Roman" w:cs="Times New Roman"/>
          <w:color w:val="000000"/>
          <w:sz w:val="24"/>
          <w:szCs w:val="24"/>
          <w:lang w:val="en-US" w:eastAsia="fr-FR"/>
        </w:rPr>
        <w:t>71</w:t>
      </w:r>
      <w:r w:rsidR="008C6D3D">
        <w:rPr>
          <w:rFonts w:ascii="Times New Roman" w:eastAsia="Times New Roman" w:hAnsi="Times New Roman" w:cs="Times New Roman"/>
          <w:color w:val="000000"/>
          <w:sz w:val="24"/>
          <w:szCs w:val="24"/>
          <w:lang w:val="en-US" w:eastAsia="fr-FR"/>
        </w:rPr>
        <w:t xml:space="preserve">, n° </w:t>
      </w:r>
      <w:r w:rsidRPr="008C6D3D">
        <w:rPr>
          <w:rFonts w:ascii="Times New Roman" w:eastAsia="Times New Roman" w:hAnsi="Times New Roman" w:cs="Times New Roman"/>
          <w:color w:val="000000"/>
          <w:sz w:val="24"/>
          <w:szCs w:val="24"/>
          <w:lang w:val="en-US" w:eastAsia="fr-FR"/>
        </w:rPr>
        <w:t xml:space="preserve">2, </w:t>
      </w:r>
      <w:r w:rsidR="00B26A4B">
        <w:rPr>
          <w:rFonts w:ascii="Times New Roman" w:eastAsia="Times New Roman" w:hAnsi="Times New Roman" w:cs="Times New Roman"/>
          <w:color w:val="000000"/>
          <w:sz w:val="24"/>
          <w:szCs w:val="24"/>
          <w:lang w:val="en-US" w:eastAsia="fr-FR"/>
        </w:rPr>
        <w:t>p</w:t>
      </w:r>
      <w:r w:rsidRPr="008C6D3D">
        <w:rPr>
          <w:rFonts w:ascii="Times New Roman" w:eastAsia="Times New Roman" w:hAnsi="Times New Roman" w:cs="Times New Roman"/>
          <w:color w:val="000000"/>
          <w:sz w:val="24"/>
          <w:szCs w:val="24"/>
          <w:lang w:val="en-US" w:eastAsia="fr-FR"/>
        </w:rPr>
        <w:t>p. 147-162.</w:t>
      </w:r>
    </w:p>
    <w:p w:rsidR="00E724B9" w:rsidRPr="00EE4D60"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lastRenderedPageBreak/>
        <w:t>B</w:t>
      </w:r>
      <w:r w:rsidR="008C6D3D" w:rsidRPr="002E648F">
        <w:rPr>
          <w:rFonts w:ascii="Times New Roman" w:eastAsia="Times New Roman" w:hAnsi="Times New Roman" w:cs="Times New Roman"/>
          <w:b/>
          <w:bCs/>
          <w:color w:val="000000"/>
          <w:sz w:val="24"/>
          <w:szCs w:val="24"/>
          <w:lang w:eastAsia="fr-FR"/>
        </w:rPr>
        <w:t>arraud</w:t>
      </w:r>
      <w:r w:rsidRPr="008C6D3D">
        <w:rPr>
          <w:rFonts w:ascii="Times New Roman" w:eastAsia="Times New Roman" w:hAnsi="Times New Roman" w:cs="Times New Roman"/>
          <w:b/>
          <w:bCs/>
          <w:color w:val="000000"/>
          <w:sz w:val="24"/>
          <w:szCs w:val="24"/>
          <w:lang w:eastAsia="fr-FR"/>
        </w:rPr>
        <w:t xml:space="preserve"> S., B</w:t>
      </w:r>
      <w:r w:rsidR="008C6D3D" w:rsidRPr="008C6D3D">
        <w:rPr>
          <w:rFonts w:ascii="Times New Roman" w:eastAsia="Times New Roman" w:hAnsi="Times New Roman" w:cs="Times New Roman"/>
          <w:b/>
          <w:bCs/>
          <w:color w:val="000000"/>
          <w:sz w:val="24"/>
          <w:szCs w:val="24"/>
          <w:lang w:eastAsia="fr-FR"/>
        </w:rPr>
        <w:t>ardin</w:t>
      </w:r>
      <w:r w:rsidRPr="008C6D3D">
        <w:rPr>
          <w:rFonts w:ascii="Times New Roman" w:eastAsia="Times New Roman" w:hAnsi="Times New Roman" w:cs="Times New Roman"/>
          <w:b/>
          <w:bCs/>
          <w:color w:val="000000"/>
          <w:sz w:val="24"/>
          <w:szCs w:val="24"/>
          <w:lang w:eastAsia="fr-FR"/>
        </w:rPr>
        <w:t xml:space="preserve"> J.P., A</w:t>
      </w:r>
      <w:r w:rsidR="008C6D3D" w:rsidRPr="008C6D3D">
        <w:rPr>
          <w:rFonts w:ascii="Times New Roman" w:eastAsia="Times New Roman" w:hAnsi="Times New Roman" w:cs="Times New Roman"/>
          <w:b/>
          <w:bCs/>
          <w:color w:val="000000"/>
          <w:sz w:val="24"/>
          <w:szCs w:val="24"/>
          <w:lang w:eastAsia="fr-FR"/>
        </w:rPr>
        <w:t xml:space="preserve">lfakih e.&amp; </w:t>
      </w:r>
      <w:r w:rsidRPr="008C6D3D">
        <w:rPr>
          <w:rFonts w:ascii="Times New Roman" w:eastAsia="Times New Roman" w:hAnsi="Times New Roman" w:cs="Times New Roman"/>
          <w:b/>
          <w:bCs/>
          <w:color w:val="000000"/>
          <w:sz w:val="24"/>
          <w:szCs w:val="24"/>
          <w:lang w:eastAsia="fr-FR"/>
        </w:rPr>
        <w:t>A</w:t>
      </w:r>
      <w:r w:rsidR="008C6D3D" w:rsidRPr="008C6D3D">
        <w:rPr>
          <w:rFonts w:ascii="Times New Roman" w:eastAsia="Times New Roman" w:hAnsi="Times New Roman" w:cs="Times New Roman"/>
          <w:b/>
          <w:bCs/>
          <w:color w:val="000000"/>
          <w:sz w:val="24"/>
          <w:szCs w:val="24"/>
          <w:lang w:eastAsia="fr-FR"/>
        </w:rPr>
        <w:t>bdelmalki,</w:t>
      </w:r>
      <w:r w:rsidRPr="008C6D3D">
        <w:rPr>
          <w:rFonts w:ascii="Times New Roman" w:eastAsia="Times New Roman" w:hAnsi="Times New Roman" w:cs="Times New Roman"/>
          <w:b/>
          <w:bCs/>
          <w:color w:val="000000"/>
          <w:sz w:val="24"/>
          <w:szCs w:val="24"/>
          <w:lang w:eastAsia="fr-FR"/>
        </w:rPr>
        <w:t xml:space="preserve"> L.,</w:t>
      </w:r>
      <w:r w:rsidR="008C6D3D" w:rsidRPr="008C6D3D">
        <w:rPr>
          <w:rFonts w:ascii="Times New Roman" w:eastAsia="Times New Roman" w:hAnsi="Times New Roman" w:cs="Times New Roman"/>
          <w:b/>
          <w:bCs/>
          <w:color w:val="000000"/>
          <w:sz w:val="24"/>
          <w:szCs w:val="24"/>
          <w:lang w:eastAsia="fr-FR"/>
        </w:rPr>
        <w:t xml:space="preserve"> (2001):</w:t>
      </w:r>
      <w:r w:rsidRPr="00EE4D60">
        <w:rPr>
          <w:rFonts w:ascii="Times New Roman" w:eastAsia="Times New Roman" w:hAnsi="Times New Roman" w:cs="Times New Roman"/>
          <w:color w:val="000000"/>
          <w:sz w:val="24"/>
          <w:szCs w:val="24"/>
          <w:lang w:eastAsia="fr-FR"/>
        </w:rPr>
        <w:t xml:space="preserve"> </w:t>
      </w:r>
      <w:r w:rsidR="008C6D3D">
        <w:rPr>
          <w:rFonts w:ascii="Times New Roman" w:eastAsia="Times New Roman" w:hAnsi="Times New Roman" w:cs="Times New Roman"/>
          <w:color w:val="000000"/>
          <w:sz w:val="24"/>
          <w:szCs w:val="24"/>
          <w:lang w:eastAsia="fr-FR"/>
        </w:rPr>
        <w:t>"</w:t>
      </w:r>
      <w:r w:rsidRPr="00EE4D60">
        <w:rPr>
          <w:rFonts w:ascii="Times New Roman" w:eastAsia="Times New Roman" w:hAnsi="Times New Roman" w:cs="Times New Roman"/>
          <w:color w:val="000000"/>
          <w:sz w:val="24"/>
          <w:szCs w:val="24"/>
          <w:lang w:eastAsia="fr-FR"/>
        </w:rPr>
        <w:t>Construction d’indicateurs de performances techniques, économiques et environnementales des ouvrages d’infiltration des eaux pluviales en milieu urbain</w:t>
      </w:r>
      <w:r w:rsidR="008C6D3D">
        <w:rPr>
          <w:rFonts w:ascii="Times New Roman" w:eastAsia="Times New Roman" w:hAnsi="Times New Roman" w:cs="Times New Roman"/>
          <w:color w:val="000000"/>
          <w:sz w:val="24"/>
          <w:szCs w:val="24"/>
          <w:lang w:eastAsia="fr-FR"/>
        </w:rPr>
        <w:t>"</w:t>
      </w:r>
      <w:r w:rsidRPr="00EE4D60">
        <w:rPr>
          <w:rFonts w:ascii="Times New Roman" w:eastAsia="Times New Roman" w:hAnsi="Times New Roman" w:cs="Times New Roman"/>
          <w:color w:val="000000"/>
          <w:sz w:val="24"/>
          <w:szCs w:val="24"/>
          <w:lang w:eastAsia="fr-FR"/>
        </w:rPr>
        <w:t xml:space="preserve">, </w:t>
      </w:r>
      <w:r w:rsidRPr="00F6476B">
        <w:rPr>
          <w:rFonts w:ascii="Times New Roman" w:eastAsia="Times New Roman" w:hAnsi="Times New Roman" w:cs="Times New Roman"/>
          <w:i/>
          <w:iCs/>
          <w:color w:val="000000"/>
          <w:sz w:val="24"/>
          <w:szCs w:val="24"/>
          <w:lang w:eastAsia="fr-FR"/>
        </w:rPr>
        <w:t>INSA</w:t>
      </w:r>
      <w:r w:rsidRPr="00EE4D60">
        <w:rPr>
          <w:rFonts w:ascii="Times New Roman" w:eastAsia="Times New Roman" w:hAnsi="Times New Roman" w:cs="Times New Roman"/>
          <w:color w:val="000000"/>
          <w:sz w:val="24"/>
          <w:szCs w:val="24"/>
          <w:lang w:eastAsia="fr-FR"/>
        </w:rPr>
        <w:t>, Lyon, Compte-rendu final de l’action de recherche initiée dans le cadre de l’Action Concertée Incitative VILLE, 129 p.</w:t>
      </w:r>
    </w:p>
    <w:p w:rsidR="00F6476B" w:rsidRPr="00F6476B" w:rsidRDefault="00F6476B"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eastAsia="fr-FR"/>
        </w:rPr>
      </w:pPr>
      <w:r w:rsidRPr="002E648F">
        <w:rPr>
          <w:rFonts w:ascii="Times New Roman" w:eastAsia="Times New Roman" w:hAnsi="Times New Roman" w:cs="Times New Roman"/>
          <w:b/>
          <w:bCs/>
          <w:color w:val="000000"/>
          <w:sz w:val="24"/>
          <w:szCs w:val="24"/>
          <w:lang w:eastAsia="fr-FR"/>
        </w:rPr>
        <w:t>Barroca</w:t>
      </w:r>
      <w:r w:rsidRPr="00580C0E">
        <w:rPr>
          <w:rFonts w:ascii="Times New Roman" w:eastAsia="Times New Roman" w:hAnsi="Times New Roman" w:cs="Times New Roman"/>
          <w:b/>
          <w:bCs/>
          <w:color w:val="000000"/>
          <w:sz w:val="24"/>
          <w:szCs w:val="24"/>
          <w:lang w:eastAsia="fr-FR"/>
        </w:rPr>
        <w:t>, B., Di</w:t>
      </w:r>
      <w:r w:rsidR="00B4066D">
        <w:rPr>
          <w:rFonts w:ascii="Times New Roman" w:eastAsia="Times New Roman" w:hAnsi="Times New Roman" w:cs="Times New Roman"/>
          <w:b/>
          <w:bCs/>
          <w:color w:val="000000"/>
          <w:sz w:val="24"/>
          <w:szCs w:val="24"/>
          <w:lang w:eastAsia="fr-FR"/>
        </w:rPr>
        <w:t xml:space="preserve"> </w:t>
      </w:r>
      <w:r w:rsidRPr="00580C0E">
        <w:rPr>
          <w:rFonts w:ascii="Times New Roman" w:eastAsia="Times New Roman" w:hAnsi="Times New Roman" w:cs="Times New Roman"/>
          <w:b/>
          <w:bCs/>
          <w:color w:val="000000"/>
          <w:sz w:val="24"/>
          <w:szCs w:val="24"/>
          <w:lang w:eastAsia="fr-FR"/>
        </w:rPr>
        <w:t xml:space="preserve">Nardo M., </w:t>
      </w:r>
      <w:r w:rsidR="00580C0E" w:rsidRPr="00580C0E">
        <w:rPr>
          <w:rFonts w:ascii="Times New Roman" w:eastAsia="Times New Roman" w:hAnsi="Times New Roman" w:cs="Times New Roman"/>
          <w:b/>
          <w:bCs/>
          <w:color w:val="000000"/>
          <w:sz w:val="24"/>
          <w:szCs w:val="24"/>
          <w:lang w:eastAsia="fr-FR"/>
        </w:rPr>
        <w:t>&amp;</w:t>
      </w:r>
      <w:r w:rsidRPr="00580C0E">
        <w:rPr>
          <w:rFonts w:ascii="Times New Roman" w:eastAsia="Times New Roman" w:hAnsi="Times New Roman" w:cs="Times New Roman"/>
          <w:b/>
          <w:bCs/>
          <w:color w:val="000000"/>
          <w:sz w:val="24"/>
          <w:szCs w:val="24"/>
          <w:lang w:eastAsia="fr-FR"/>
        </w:rPr>
        <w:t xml:space="preserve"> Mboumoua</w:t>
      </w:r>
      <w:r w:rsidR="00580C0E" w:rsidRPr="00580C0E">
        <w:rPr>
          <w:rFonts w:ascii="Times New Roman" w:eastAsia="Times New Roman" w:hAnsi="Times New Roman" w:cs="Times New Roman"/>
          <w:b/>
          <w:bCs/>
          <w:color w:val="000000"/>
          <w:sz w:val="24"/>
          <w:szCs w:val="24"/>
          <w:lang w:eastAsia="fr-FR"/>
        </w:rPr>
        <w:t>,</w:t>
      </w:r>
      <w:r w:rsidRPr="00580C0E">
        <w:rPr>
          <w:rFonts w:ascii="Times New Roman" w:eastAsia="Times New Roman" w:hAnsi="Times New Roman" w:cs="Times New Roman"/>
          <w:b/>
          <w:bCs/>
          <w:color w:val="000000"/>
          <w:sz w:val="24"/>
          <w:szCs w:val="24"/>
          <w:lang w:eastAsia="fr-FR"/>
        </w:rPr>
        <w:t xml:space="preserve"> I.</w:t>
      </w:r>
      <w:r w:rsidR="00580C0E" w:rsidRPr="00580C0E">
        <w:rPr>
          <w:rFonts w:ascii="Times New Roman" w:eastAsia="Times New Roman" w:hAnsi="Times New Roman" w:cs="Times New Roman"/>
          <w:b/>
          <w:bCs/>
          <w:color w:val="000000"/>
          <w:sz w:val="24"/>
          <w:szCs w:val="24"/>
          <w:lang w:eastAsia="fr-FR"/>
        </w:rPr>
        <w:t>, (2013) :</w:t>
      </w:r>
      <w:r w:rsidRPr="00580C0E">
        <w:rPr>
          <w:rFonts w:ascii="Times New Roman" w:eastAsia="Times New Roman" w:hAnsi="Times New Roman" w:cs="Times New Roman"/>
          <w:b/>
          <w:bCs/>
          <w:color w:val="000000"/>
          <w:sz w:val="24"/>
          <w:szCs w:val="24"/>
          <w:lang w:eastAsia="fr-FR"/>
        </w:rPr>
        <w:t xml:space="preserve"> </w:t>
      </w:r>
      <w:r w:rsidR="00580C0E">
        <w:rPr>
          <w:rFonts w:ascii="Times New Roman" w:eastAsia="Times New Roman" w:hAnsi="Times New Roman" w:cs="Times New Roman"/>
          <w:color w:val="000000"/>
          <w:sz w:val="24"/>
          <w:szCs w:val="24"/>
          <w:lang w:eastAsia="fr-FR"/>
        </w:rPr>
        <w:t>"</w:t>
      </w:r>
      <w:r w:rsidRPr="00F6476B">
        <w:rPr>
          <w:rFonts w:ascii="Times New Roman" w:eastAsia="Times New Roman" w:hAnsi="Times New Roman" w:cs="Times New Roman"/>
          <w:color w:val="000000"/>
          <w:sz w:val="24"/>
          <w:szCs w:val="24"/>
          <w:lang w:eastAsia="fr-FR"/>
        </w:rPr>
        <w:t xml:space="preserve">De la </w:t>
      </w:r>
      <w:r w:rsidR="00580C0E" w:rsidRPr="00F6476B">
        <w:rPr>
          <w:rFonts w:ascii="Times New Roman" w:eastAsia="Times New Roman" w:hAnsi="Times New Roman" w:cs="Times New Roman"/>
          <w:color w:val="000000"/>
          <w:sz w:val="24"/>
          <w:szCs w:val="24"/>
          <w:lang w:eastAsia="fr-FR"/>
        </w:rPr>
        <w:t>vulnérabilité</w:t>
      </w:r>
      <w:r w:rsidRPr="00F6476B">
        <w:rPr>
          <w:rFonts w:ascii="Times New Roman" w:eastAsia="Times New Roman" w:hAnsi="Times New Roman" w:cs="Times New Roman"/>
          <w:color w:val="000000"/>
          <w:sz w:val="24"/>
          <w:szCs w:val="24"/>
          <w:lang w:eastAsia="fr-FR"/>
        </w:rPr>
        <w:t xml:space="preserve"> a la </w:t>
      </w:r>
      <w:r w:rsidR="00580C0E" w:rsidRPr="00F6476B">
        <w:rPr>
          <w:rFonts w:ascii="Times New Roman" w:eastAsia="Times New Roman" w:hAnsi="Times New Roman" w:cs="Times New Roman"/>
          <w:color w:val="000000"/>
          <w:sz w:val="24"/>
          <w:szCs w:val="24"/>
          <w:lang w:eastAsia="fr-FR"/>
        </w:rPr>
        <w:t>résilience</w:t>
      </w:r>
      <w:r w:rsidRPr="00F6476B">
        <w:rPr>
          <w:rFonts w:ascii="Times New Roman" w:eastAsia="Times New Roman" w:hAnsi="Times New Roman" w:cs="Times New Roman"/>
          <w:color w:val="000000"/>
          <w:sz w:val="24"/>
          <w:szCs w:val="24"/>
          <w:lang w:eastAsia="fr-FR"/>
        </w:rPr>
        <w:t xml:space="preserve"> </w:t>
      </w:r>
      <w:r>
        <w:rPr>
          <w:rFonts w:ascii="Times New Roman" w:eastAsia="Times New Roman" w:hAnsi="Times New Roman" w:cs="Times New Roman"/>
          <w:color w:val="000000"/>
          <w:sz w:val="24"/>
          <w:szCs w:val="24"/>
          <w:lang w:eastAsia="fr-FR"/>
        </w:rPr>
        <w:t>: mutation ou bouleversement ?</w:t>
      </w:r>
      <w:r w:rsidR="00580C0E">
        <w:rPr>
          <w:rFonts w:ascii="Times New Roman" w:eastAsia="Times New Roman" w:hAnsi="Times New Roman" w:cs="Times New Roman"/>
          <w:color w:val="000000"/>
          <w:sz w:val="24"/>
          <w:szCs w:val="24"/>
          <w:lang w:eastAsia="fr-FR"/>
        </w:rPr>
        <w:t>"</w:t>
      </w:r>
      <w:r>
        <w:rPr>
          <w:rFonts w:ascii="Times New Roman" w:eastAsia="Times New Roman" w:hAnsi="Times New Roman" w:cs="Times New Roman"/>
          <w:color w:val="000000"/>
          <w:sz w:val="24"/>
          <w:szCs w:val="24"/>
          <w:lang w:eastAsia="fr-FR"/>
        </w:rPr>
        <w:t xml:space="preserve">, </w:t>
      </w:r>
      <w:r w:rsidRPr="00F6476B">
        <w:rPr>
          <w:rFonts w:ascii="Times New Roman" w:eastAsia="Times New Roman" w:hAnsi="Times New Roman" w:cs="Times New Roman"/>
          <w:i/>
          <w:iCs/>
          <w:color w:val="000000"/>
          <w:sz w:val="24"/>
          <w:szCs w:val="24"/>
          <w:lang w:eastAsia="fr-FR"/>
        </w:rPr>
        <w:t>EchoGéo</w:t>
      </w:r>
      <w:r w:rsidRPr="00F6476B">
        <w:rPr>
          <w:rFonts w:ascii="Times New Roman" w:eastAsia="Times New Roman" w:hAnsi="Times New Roman" w:cs="Times New Roman"/>
          <w:color w:val="000000"/>
          <w:sz w:val="24"/>
          <w:szCs w:val="24"/>
          <w:lang w:eastAsia="fr-FR"/>
        </w:rPr>
        <w:t xml:space="preserve">, no 24. https://doi.org/10.4000/echogeo.13439. </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Batica</w:t>
      </w:r>
      <w:r w:rsidRPr="00580C0E">
        <w:rPr>
          <w:rFonts w:ascii="Times New Roman" w:eastAsia="Times New Roman" w:hAnsi="Times New Roman" w:cs="Times New Roman"/>
          <w:b/>
          <w:bCs/>
          <w:color w:val="000000"/>
          <w:sz w:val="24"/>
          <w:szCs w:val="24"/>
          <w:lang w:val="en-US" w:eastAsia="fr-FR"/>
        </w:rPr>
        <w:t>, J.</w:t>
      </w:r>
      <w:r w:rsidR="00580C0E" w:rsidRPr="00580C0E">
        <w:rPr>
          <w:rFonts w:ascii="Times New Roman" w:eastAsia="Times New Roman" w:hAnsi="Times New Roman" w:cs="Times New Roman"/>
          <w:b/>
          <w:bCs/>
          <w:color w:val="000000"/>
          <w:sz w:val="24"/>
          <w:szCs w:val="24"/>
          <w:lang w:val="en-US" w:eastAsia="fr-FR"/>
        </w:rPr>
        <w:t>,</w:t>
      </w:r>
      <w:r w:rsidRPr="00580C0E">
        <w:rPr>
          <w:rFonts w:ascii="Times New Roman" w:eastAsia="Times New Roman" w:hAnsi="Times New Roman" w:cs="Times New Roman"/>
          <w:b/>
          <w:bCs/>
          <w:color w:val="000000"/>
          <w:sz w:val="24"/>
          <w:szCs w:val="24"/>
          <w:lang w:val="en-US" w:eastAsia="fr-FR"/>
        </w:rPr>
        <w:t xml:space="preserve"> </w:t>
      </w:r>
      <w:r w:rsidRPr="00E52712">
        <w:rPr>
          <w:rFonts w:ascii="Times New Roman" w:eastAsia="Times New Roman" w:hAnsi="Times New Roman" w:cs="Times New Roman"/>
          <w:b/>
          <w:bCs/>
          <w:color w:val="000000"/>
          <w:sz w:val="24"/>
          <w:szCs w:val="24"/>
          <w:lang w:val="en-US" w:eastAsia="fr-FR"/>
        </w:rPr>
        <w:t>(2015)</w:t>
      </w:r>
      <w:r w:rsidR="00E52712" w:rsidRPr="00E52712">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“Methodology for Flood Resilience Assessment in Urban Environments and Mitigation Strategy Development”, </w:t>
      </w:r>
      <w:r w:rsidRPr="00E52712">
        <w:rPr>
          <w:rFonts w:ascii="Times New Roman" w:eastAsia="Times New Roman" w:hAnsi="Times New Roman" w:cs="Times New Roman"/>
          <w:color w:val="000000"/>
          <w:sz w:val="24"/>
          <w:szCs w:val="24"/>
          <w:lang w:val="en-US" w:eastAsia="fr-FR"/>
        </w:rPr>
        <w:t>P</w:t>
      </w:r>
      <w:r w:rsidR="00E52712" w:rsidRPr="00E52712">
        <w:rPr>
          <w:rFonts w:ascii="Times New Roman" w:eastAsia="Times New Roman" w:hAnsi="Times New Roman" w:cs="Times New Roman"/>
          <w:color w:val="000000"/>
          <w:sz w:val="24"/>
          <w:szCs w:val="24"/>
          <w:lang w:val="en-US" w:eastAsia="fr-FR"/>
        </w:rPr>
        <w:t>HD</w:t>
      </w:r>
      <w:r w:rsidRPr="00EE4D60">
        <w:rPr>
          <w:rFonts w:ascii="Times New Roman" w:eastAsia="Times New Roman" w:hAnsi="Times New Roman" w:cs="Times New Roman"/>
          <w:color w:val="000000"/>
          <w:sz w:val="24"/>
          <w:szCs w:val="24"/>
          <w:lang w:val="en-US" w:eastAsia="fr-FR"/>
        </w:rPr>
        <w:t xml:space="preserve"> Thesis, </w:t>
      </w:r>
      <w:r w:rsidRPr="00580C0E">
        <w:rPr>
          <w:rFonts w:ascii="Times New Roman" w:eastAsia="Times New Roman" w:hAnsi="Times New Roman" w:cs="Times New Roman"/>
          <w:i/>
          <w:iCs/>
          <w:color w:val="000000"/>
          <w:sz w:val="24"/>
          <w:szCs w:val="24"/>
          <w:lang w:val="en-US" w:eastAsia="fr-FR"/>
        </w:rPr>
        <w:t>University of Nice-Sophia Antipolis</w:t>
      </w:r>
      <w:r w:rsidRPr="00EE4D60">
        <w:rPr>
          <w:rFonts w:ascii="Times New Roman" w:eastAsia="Times New Roman" w:hAnsi="Times New Roman" w:cs="Times New Roman"/>
          <w:color w:val="000000"/>
          <w:sz w:val="24"/>
          <w:szCs w:val="24"/>
          <w:lang w:val="en-US" w:eastAsia="fr-FR"/>
        </w:rPr>
        <w:t>, French, 229p.</w:t>
      </w:r>
    </w:p>
    <w:p w:rsidR="002D11D2" w:rsidRPr="002D11D2" w:rsidRDefault="002D11D2" w:rsidP="00B26A4B">
      <w:pPr>
        <w:autoSpaceDE w:val="0"/>
        <w:autoSpaceDN w:val="0"/>
        <w:adjustRightInd w:val="0"/>
        <w:spacing w:line="240" w:lineRule="auto"/>
        <w:jc w:val="both"/>
        <w:rPr>
          <w:rFonts w:asciiTheme="majorBidi" w:eastAsia="Times New Roman" w:hAnsiTheme="majorBidi" w:cstheme="majorBidi"/>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Beeton</w:t>
      </w:r>
      <w:r w:rsidRPr="002D11D2">
        <w:rPr>
          <w:rFonts w:asciiTheme="majorBidi" w:hAnsiTheme="majorBidi" w:cstheme="majorBidi"/>
          <w:b/>
          <w:bCs/>
          <w:sz w:val="24"/>
          <w:szCs w:val="24"/>
          <w:lang w:val="en-US"/>
        </w:rPr>
        <w:t>, R., (2006):</w:t>
      </w:r>
      <w:r w:rsidRPr="002D11D2">
        <w:rPr>
          <w:rFonts w:asciiTheme="majorBidi" w:hAnsiTheme="majorBidi" w:cstheme="majorBidi"/>
          <w:sz w:val="24"/>
          <w:szCs w:val="24"/>
          <w:lang w:val="en-US"/>
        </w:rPr>
        <w:t xml:space="preserve"> “Society’s forms of capital: a framework for renewing our thinking”, Paper prepared for the 2006 Australian State of the Environment Committee, Department of the Environment and Heritage, Canberra</w:t>
      </w:r>
      <w:r w:rsidR="00B26A4B">
        <w:rPr>
          <w:rFonts w:asciiTheme="majorBidi" w:hAnsiTheme="majorBidi" w:cstheme="majorBidi"/>
          <w:sz w:val="24"/>
          <w:szCs w:val="24"/>
          <w:lang w:val="en-US"/>
        </w:rPr>
        <w:t>,</w:t>
      </w:r>
      <w:r w:rsidRPr="002D11D2">
        <w:rPr>
          <w:rFonts w:asciiTheme="majorBidi" w:hAnsiTheme="majorBidi" w:cstheme="majorBidi"/>
          <w:sz w:val="24"/>
          <w:szCs w:val="24"/>
          <w:lang w:val="en-US"/>
        </w:rPr>
        <w:t xml:space="preserve"> </w:t>
      </w:r>
      <w:r w:rsidRPr="002D11D2">
        <w:rPr>
          <w:rFonts w:asciiTheme="majorBidi" w:hAnsiTheme="majorBidi" w:cstheme="majorBidi"/>
          <w:i/>
          <w:iCs/>
          <w:sz w:val="24"/>
          <w:szCs w:val="24"/>
          <w:lang w:val="en-US"/>
        </w:rPr>
        <w:t>Department of the Environment and Heritage, Canberra</w:t>
      </w:r>
      <w:r w:rsidRPr="002D11D2">
        <w:rPr>
          <w:rFonts w:asciiTheme="majorBidi" w:hAnsiTheme="majorBidi" w:cstheme="majorBidi"/>
          <w:sz w:val="24"/>
          <w:szCs w:val="24"/>
          <w:lang w:val="en-US"/>
        </w:rPr>
        <w:t>.</w:t>
      </w:r>
    </w:p>
    <w:p w:rsidR="00E724B9" w:rsidRDefault="00E724B9" w:rsidP="00AE6E2D">
      <w:pPr>
        <w:autoSpaceDE w:val="0"/>
        <w:autoSpaceDN w:val="0"/>
        <w:adjustRightInd w:val="0"/>
        <w:spacing w:line="240" w:lineRule="auto"/>
        <w:rPr>
          <w:rFonts w:ascii="Times New Roman" w:eastAsia="Times New Roman" w:hAnsi="Times New Roman" w:cs="Times New Roman"/>
          <w:color w:val="000000"/>
          <w:sz w:val="24"/>
          <w:szCs w:val="24"/>
          <w:lang w:val="en-US" w:eastAsia="fr-FR"/>
        </w:rPr>
      </w:pPr>
      <w:r w:rsidRPr="00EE4D60">
        <w:rPr>
          <w:rFonts w:ascii="Times New Roman" w:eastAsia="Times New Roman" w:hAnsi="Times New Roman" w:cs="Times New Roman"/>
          <w:b/>
          <w:bCs/>
          <w:color w:val="000000"/>
          <w:sz w:val="24"/>
          <w:szCs w:val="24"/>
          <w:lang w:val="en-US" w:eastAsia="fr-FR"/>
        </w:rPr>
        <w:t>Benger, S., Murakami, D. &amp; Yamagata, Y., (2016):</w:t>
      </w:r>
      <w:r w:rsidRPr="00EE4D60">
        <w:rPr>
          <w:rFonts w:ascii="Times New Roman" w:eastAsia="Times New Roman" w:hAnsi="Times New Roman" w:cs="Times New Roman"/>
          <w:color w:val="000000"/>
          <w:sz w:val="24"/>
          <w:szCs w:val="24"/>
          <w:lang w:val="en-US" w:eastAsia="fr-FR"/>
        </w:rPr>
        <w:t xml:space="preserve"> "Modeling Urban Heatwave Risk in Adelaide, South Australia. In: Urban Resilience", </w:t>
      </w:r>
      <w:r w:rsidRPr="00E52712">
        <w:rPr>
          <w:rFonts w:ascii="Times New Roman" w:eastAsia="Times New Roman" w:hAnsi="Times New Roman" w:cs="Times New Roman"/>
          <w:i/>
          <w:iCs/>
          <w:color w:val="000000"/>
          <w:sz w:val="24"/>
          <w:szCs w:val="24"/>
          <w:lang w:val="en-US" w:eastAsia="fr-FR"/>
        </w:rPr>
        <w:t>Springer</w:t>
      </w:r>
      <w:r w:rsidRPr="00EE4D60">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 45–62.</w:t>
      </w:r>
    </w:p>
    <w:p w:rsidR="00E724B9" w:rsidRPr="00EE4D60"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Benito</w:t>
      </w:r>
      <w:r w:rsidRPr="00EE4D60">
        <w:rPr>
          <w:rFonts w:ascii="Times New Roman" w:eastAsia="Times New Roman" w:hAnsi="Times New Roman" w:cs="Times New Roman"/>
          <w:b/>
          <w:bCs/>
          <w:color w:val="000000"/>
          <w:sz w:val="24"/>
          <w:szCs w:val="24"/>
          <w:lang w:val="en-US" w:eastAsia="fr-FR"/>
        </w:rPr>
        <w:t xml:space="preserve"> del Pozo, P.</w:t>
      </w:r>
      <w:r w:rsidRPr="00EE4D60">
        <w:rPr>
          <w:rFonts w:ascii="Times New Roman" w:eastAsia="Times New Roman" w:hAnsi="Times New Roman" w:cs="Times New Roman"/>
          <w:b/>
          <w:bCs/>
          <w:color w:val="0D0D0D"/>
          <w:sz w:val="24"/>
          <w:szCs w:val="24"/>
          <w:lang w:val="en-US" w:eastAsia="fr-FR"/>
        </w:rPr>
        <w:t xml:space="preserve"> &amp; </w:t>
      </w:r>
      <w:r w:rsidRPr="00EE4D60">
        <w:rPr>
          <w:rFonts w:ascii="Times New Roman" w:eastAsia="Times New Roman" w:hAnsi="Times New Roman" w:cs="Times New Roman"/>
          <w:b/>
          <w:bCs/>
          <w:color w:val="000000"/>
          <w:sz w:val="24"/>
          <w:szCs w:val="24"/>
          <w:lang w:val="en-US" w:eastAsia="fr-FR"/>
        </w:rPr>
        <w:t>López-González, A.,</w:t>
      </w:r>
      <w:r w:rsidR="001765B0" w:rsidRPr="001765B0">
        <w:rPr>
          <w:rFonts w:ascii="Times New Roman" w:eastAsia="Times New Roman" w:hAnsi="Times New Roman" w:cs="Times New Roman"/>
          <w:b/>
          <w:bCs/>
          <w:color w:val="000000"/>
          <w:sz w:val="24"/>
          <w:szCs w:val="24"/>
          <w:lang w:val="en-US" w:eastAsia="fr-FR"/>
        </w:rPr>
        <w:t xml:space="preserve"> </w:t>
      </w:r>
      <w:r w:rsidR="001765B0" w:rsidRPr="00EE4D60">
        <w:rPr>
          <w:rFonts w:ascii="Times New Roman" w:eastAsia="Times New Roman" w:hAnsi="Times New Roman" w:cs="Times New Roman"/>
          <w:b/>
          <w:bCs/>
          <w:color w:val="000000"/>
          <w:sz w:val="24"/>
          <w:szCs w:val="24"/>
          <w:lang w:val="en-US" w:eastAsia="fr-FR"/>
        </w:rPr>
        <w:t>(2019</w:t>
      </w:r>
      <w:r w:rsidRPr="00EE4D60">
        <w:rPr>
          <w:rFonts w:ascii="Times New Roman" w:eastAsia="Times New Roman" w:hAnsi="Times New Roman" w:cs="Times New Roman"/>
          <w:b/>
          <w:bCs/>
          <w:color w:val="000000"/>
          <w:sz w:val="24"/>
          <w:szCs w:val="24"/>
          <w:lang w:val="en-US" w:eastAsia="fr-FR"/>
        </w:rPr>
        <w:t>): "</w:t>
      </w:r>
      <w:r w:rsidRPr="00EE4D60">
        <w:rPr>
          <w:rFonts w:ascii="Times New Roman" w:eastAsia="Times New Roman" w:hAnsi="Times New Roman" w:cs="Times New Roman"/>
          <w:color w:val="000000"/>
          <w:sz w:val="24"/>
          <w:szCs w:val="24"/>
          <w:lang w:val="en-US" w:eastAsia="fr-FR"/>
        </w:rPr>
        <w:t xml:space="preserve">Urban resilience and the alternative economy: A methodological approach applied to northern spain", </w:t>
      </w:r>
      <w:r w:rsidRPr="00E52712">
        <w:rPr>
          <w:rFonts w:ascii="Times New Roman" w:eastAsia="Times New Roman" w:hAnsi="Times New Roman" w:cs="Times New Roman"/>
          <w:i/>
          <w:iCs/>
          <w:color w:val="000000"/>
          <w:sz w:val="24"/>
          <w:szCs w:val="24"/>
          <w:lang w:val="en-US" w:eastAsia="fr-FR"/>
        </w:rPr>
        <w:t>Geogr. Rev</w:t>
      </w:r>
      <w:r w:rsidRPr="00EE4D60">
        <w:rPr>
          <w:rFonts w:ascii="Times New Roman" w:eastAsia="Times New Roman" w:hAnsi="Times New Roman" w:cs="Times New Roman"/>
          <w:color w:val="000000"/>
          <w:sz w:val="24"/>
          <w:szCs w:val="24"/>
          <w:lang w:val="en-US" w:eastAsia="fr-FR"/>
        </w:rPr>
        <w:t xml:space="preserve">, vol. 110, </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p. 1–19.</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Berghauser</w:t>
      </w:r>
      <w:r w:rsidRPr="00EE4D60">
        <w:rPr>
          <w:rFonts w:ascii="Times New Roman" w:eastAsia="Times New Roman" w:hAnsi="Times New Roman" w:cs="Times New Roman"/>
          <w:b/>
          <w:bCs/>
          <w:color w:val="000000"/>
          <w:sz w:val="24"/>
          <w:szCs w:val="24"/>
          <w:lang w:val="en-US" w:eastAsia="fr-FR"/>
        </w:rPr>
        <w:t xml:space="preserve"> Pont, M. &amp; Haupt, P., (2007):</w:t>
      </w:r>
      <w:r w:rsidRPr="00EE4D60">
        <w:rPr>
          <w:rFonts w:ascii="Times New Roman" w:eastAsia="Times New Roman" w:hAnsi="Times New Roman" w:cs="Times New Roman"/>
          <w:color w:val="000000"/>
          <w:sz w:val="24"/>
          <w:szCs w:val="24"/>
          <w:lang w:val="en-US" w:eastAsia="fr-FR"/>
        </w:rPr>
        <w:t xml:space="preserve"> "The relation between urban form and density", </w:t>
      </w:r>
      <w:r w:rsidRPr="00E52712">
        <w:rPr>
          <w:rFonts w:ascii="Times New Roman" w:eastAsia="Times New Roman" w:hAnsi="Times New Roman" w:cs="Times New Roman"/>
          <w:i/>
          <w:iCs/>
          <w:color w:val="000000"/>
          <w:sz w:val="24"/>
          <w:szCs w:val="24"/>
          <w:lang w:val="en-US" w:eastAsia="fr-FR"/>
        </w:rPr>
        <w:t>Urban Morphology</w:t>
      </w:r>
      <w:r w:rsidRPr="00EE4D60">
        <w:rPr>
          <w:rFonts w:ascii="Times New Roman" w:eastAsia="Times New Roman" w:hAnsi="Times New Roman" w:cs="Times New Roman"/>
          <w:color w:val="000000"/>
          <w:sz w:val="24"/>
          <w:szCs w:val="24"/>
          <w:lang w:val="en-US" w:eastAsia="fr-FR"/>
        </w:rPr>
        <w:t xml:space="preserve">, </w:t>
      </w:r>
      <w:r w:rsidR="00E52712">
        <w:rPr>
          <w:rFonts w:ascii="Times New Roman" w:eastAsia="Times New Roman" w:hAnsi="Times New Roman" w:cs="Times New Roman"/>
          <w:color w:val="000000"/>
          <w:sz w:val="24"/>
          <w:szCs w:val="24"/>
          <w:lang w:val="en-US" w:eastAsia="fr-FR"/>
        </w:rPr>
        <w:t xml:space="preserve">vol. </w:t>
      </w:r>
      <w:r w:rsidRPr="00EE4D60">
        <w:rPr>
          <w:rFonts w:ascii="Times New Roman" w:eastAsia="Times New Roman" w:hAnsi="Times New Roman" w:cs="Times New Roman"/>
          <w:color w:val="000000"/>
          <w:sz w:val="24"/>
          <w:szCs w:val="24"/>
          <w:lang w:val="en-US" w:eastAsia="fr-FR"/>
        </w:rPr>
        <w:t>11</w:t>
      </w:r>
      <w:r w:rsidR="00E52712">
        <w:rPr>
          <w:rFonts w:ascii="Times New Roman" w:eastAsia="Times New Roman" w:hAnsi="Times New Roman" w:cs="Times New Roman"/>
          <w:color w:val="000000"/>
          <w:sz w:val="24"/>
          <w:szCs w:val="24"/>
          <w:lang w:val="en-US" w:eastAsia="fr-FR"/>
        </w:rPr>
        <w:t xml:space="preserve">, n° </w:t>
      </w:r>
      <w:r w:rsidRPr="00EE4D60">
        <w:rPr>
          <w:rFonts w:ascii="Times New Roman" w:eastAsia="Times New Roman" w:hAnsi="Times New Roman" w:cs="Times New Roman"/>
          <w:color w:val="000000"/>
          <w:sz w:val="24"/>
          <w:szCs w:val="24"/>
          <w:lang w:val="en-US" w:eastAsia="fr-FR"/>
        </w:rPr>
        <w:t>1</w:t>
      </w:r>
      <w:r w:rsidR="00E52712">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00EE2BA2">
        <w:rPr>
          <w:rFonts w:ascii="Times New Roman" w:eastAsia="Times New Roman" w:hAnsi="Times New Roman" w:cs="Times New Roman"/>
          <w:color w:val="000000"/>
          <w:sz w:val="24"/>
          <w:szCs w:val="24"/>
          <w:lang w:val="en-US" w:eastAsia="fr-FR"/>
        </w:rPr>
        <w:t>p. 62-65</w:t>
      </w:r>
      <w:r w:rsidR="005432F9">
        <w:rPr>
          <w:rFonts w:ascii="Times New Roman" w:eastAsia="Times New Roman" w:hAnsi="Times New Roman" w:cs="Times New Roman"/>
          <w:color w:val="000000"/>
          <w:sz w:val="24"/>
          <w:szCs w:val="24"/>
          <w:lang w:val="en-US" w:eastAsia="fr-FR"/>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Bertilsson</w:t>
      </w:r>
      <w:r w:rsidRPr="00EE4D60">
        <w:rPr>
          <w:rFonts w:ascii="Times New Roman" w:eastAsia="Times New Roman" w:hAnsi="Times New Roman" w:cs="Times New Roman"/>
          <w:b/>
          <w:bCs/>
          <w:color w:val="000000"/>
          <w:sz w:val="24"/>
          <w:szCs w:val="24"/>
          <w:lang w:val="en-US" w:eastAsia="fr-FR"/>
        </w:rPr>
        <w:t xml:space="preserve">, L., Wiklund, K., de Moura Tebaldi, I., Rezende, O. M., Veról, A. P. </w:t>
      </w:r>
      <w:r w:rsidRPr="00EE4D60">
        <w:rPr>
          <w:rFonts w:ascii="Times New Roman" w:eastAsia="Times New Roman" w:hAnsi="Times New Roman" w:cs="Times New Roman"/>
          <w:b/>
          <w:bCs/>
          <w:color w:val="0D0D0D"/>
          <w:sz w:val="24"/>
          <w:szCs w:val="24"/>
          <w:lang w:val="en-US" w:eastAsia="fr-FR"/>
        </w:rPr>
        <w:t xml:space="preserve">&amp; </w:t>
      </w:r>
      <w:r w:rsidRPr="00EE4D60">
        <w:rPr>
          <w:rFonts w:ascii="Times New Roman" w:eastAsia="Times New Roman" w:hAnsi="Times New Roman" w:cs="Times New Roman"/>
          <w:b/>
          <w:bCs/>
          <w:color w:val="000000"/>
          <w:sz w:val="24"/>
          <w:szCs w:val="24"/>
          <w:lang w:val="en-US" w:eastAsia="fr-FR"/>
        </w:rPr>
        <w:t>Miguez, M. G., (2019):</w:t>
      </w:r>
      <w:r w:rsidRPr="00EE4D60">
        <w:rPr>
          <w:rFonts w:ascii="Times New Roman" w:eastAsia="Times New Roman" w:hAnsi="Times New Roman" w:cs="Times New Roman"/>
          <w:color w:val="000000"/>
          <w:sz w:val="24"/>
          <w:szCs w:val="24"/>
          <w:lang w:val="en-US" w:eastAsia="fr-FR"/>
        </w:rPr>
        <w:t xml:space="preserve"> "Urban flood resilience–A multi-criteria index to integrate flood resilience into urban planning", </w:t>
      </w:r>
      <w:r w:rsidRPr="00580C0E">
        <w:rPr>
          <w:rFonts w:ascii="Times New Roman" w:eastAsia="Times New Roman" w:hAnsi="Times New Roman" w:cs="Times New Roman"/>
          <w:i/>
          <w:iCs/>
          <w:color w:val="000000"/>
          <w:sz w:val="24"/>
          <w:szCs w:val="24"/>
          <w:lang w:val="en-US" w:eastAsia="fr-FR"/>
        </w:rPr>
        <w:t>Jo</w:t>
      </w:r>
      <w:r w:rsidR="005432F9" w:rsidRPr="00580C0E">
        <w:rPr>
          <w:rFonts w:ascii="Times New Roman" w:eastAsia="Times New Roman" w:hAnsi="Times New Roman" w:cs="Times New Roman"/>
          <w:i/>
          <w:iCs/>
          <w:color w:val="000000"/>
          <w:sz w:val="24"/>
          <w:szCs w:val="24"/>
          <w:lang w:val="en-US" w:eastAsia="fr-FR"/>
        </w:rPr>
        <w:t>urnal of Hydrology</w:t>
      </w:r>
      <w:r w:rsidR="005432F9">
        <w:rPr>
          <w:rFonts w:ascii="Times New Roman" w:eastAsia="Times New Roman" w:hAnsi="Times New Roman" w:cs="Times New Roman"/>
          <w:color w:val="000000"/>
          <w:sz w:val="24"/>
          <w:szCs w:val="24"/>
          <w:lang w:val="en-US" w:eastAsia="fr-FR"/>
        </w:rPr>
        <w:t xml:space="preserve">, Vol. 573, </w:t>
      </w:r>
      <w:r w:rsidR="00B26A4B">
        <w:rPr>
          <w:rFonts w:ascii="Times New Roman" w:eastAsia="Times New Roman" w:hAnsi="Times New Roman" w:cs="Times New Roman"/>
          <w:color w:val="000000"/>
          <w:sz w:val="24"/>
          <w:szCs w:val="24"/>
          <w:lang w:val="en-US" w:eastAsia="fr-FR"/>
        </w:rPr>
        <w:t>p</w:t>
      </w:r>
      <w:r w:rsidR="005432F9">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 970-982.</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Birkmann</w:t>
      </w:r>
      <w:r w:rsidRPr="005432F9">
        <w:rPr>
          <w:rFonts w:ascii="Times New Roman" w:eastAsia="Times New Roman" w:hAnsi="Times New Roman" w:cs="Times New Roman"/>
          <w:b/>
          <w:bCs/>
          <w:color w:val="000000"/>
          <w:sz w:val="24"/>
          <w:szCs w:val="24"/>
          <w:lang w:val="en-US" w:eastAsia="fr-FR"/>
        </w:rPr>
        <w:t>, J.</w:t>
      </w:r>
      <w:r w:rsidR="005432F9" w:rsidRPr="005432F9">
        <w:rPr>
          <w:rFonts w:ascii="Times New Roman" w:eastAsia="Times New Roman" w:hAnsi="Times New Roman" w:cs="Times New Roman"/>
          <w:b/>
          <w:bCs/>
          <w:color w:val="000000"/>
          <w:sz w:val="24"/>
          <w:szCs w:val="24"/>
          <w:lang w:val="en-US" w:eastAsia="fr-FR"/>
        </w:rPr>
        <w:t>, (2006):</w:t>
      </w:r>
      <w:r w:rsidRPr="00EE4D60">
        <w:rPr>
          <w:rFonts w:ascii="Times New Roman" w:eastAsia="Times New Roman" w:hAnsi="Times New Roman" w:cs="Times New Roman"/>
          <w:color w:val="000000"/>
          <w:sz w:val="24"/>
          <w:szCs w:val="24"/>
          <w:lang w:val="en-US" w:eastAsia="fr-FR"/>
        </w:rPr>
        <w:t xml:space="preserve"> </w:t>
      </w:r>
      <w:r w:rsidR="005432F9">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Indicators and Criteria for Measuring Vulnerability: </w:t>
      </w:r>
      <w:r w:rsidRPr="007F0B55">
        <w:rPr>
          <w:rFonts w:ascii="Times New Roman" w:eastAsia="Times New Roman" w:hAnsi="Times New Roman" w:cs="Times New Roman"/>
          <w:color w:val="000000"/>
          <w:sz w:val="24"/>
          <w:szCs w:val="24"/>
          <w:lang w:val="en-US" w:eastAsia="fr-FR"/>
        </w:rPr>
        <w:t>Theorical</w:t>
      </w:r>
      <w:r w:rsidRPr="00EE4D60">
        <w:rPr>
          <w:rFonts w:ascii="Times New Roman" w:eastAsia="Times New Roman" w:hAnsi="Times New Roman" w:cs="Times New Roman"/>
          <w:color w:val="000000"/>
          <w:sz w:val="24"/>
          <w:szCs w:val="24"/>
          <w:lang w:val="en-US" w:eastAsia="fr-FR"/>
        </w:rPr>
        <w:t xml:space="preserve"> Bases and Requirements. </w:t>
      </w:r>
      <w:r w:rsidRPr="005432F9">
        <w:rPr>
          <w:rFonts w:ascii="Times New Roman" w:eastAsia="Times New Roman" w:hAnsi="Times New Roman" w:cs="Times New Roman"/>
          <w:i/>
          <w:iCs/>
          <w:color w:val="000000"/>
          <w:sz w:val="24"/>
          <w:szCs w:val="24"/>
          <w:lang w:val="en-US" w:eastAsia="fr-FR"/>
        </w:rPr>
        <w:t>In Measuring Vulnerability to Natural Hazards: Towards Disaster Resilient Societies</w:t>
      </w:r>
      <w:r w:rsidR="005432F9">
        <w:rPr>
          <w:rFonts w:ascii="Times New Roman" w:eastAsia="Times New Roman" w:hAnsi="Times New Roman" w:cs="Times New Roman"/>
          <w:color w:val="000000"/>
          <w:sz w:val="24"/>
          <w:szCs w:val="24"/>
          <w:lang w:val="en-US" w:eastAsia="fr-FR"/>
        </w:rPr>
        <w:t>. Tokyo: UNU-Press</w:t>
      </w:r>
      <w:r w:rsidRPr="00EE4D60">
        <w:rPr>
          <w:rFonts w:ascii="Times New Roman" w:eastAsia="Times New Roman" w:hAnsi="Times New Roman" w:cs="Times New Roman"/>
          <w:color w:val="000000"/>
          <w:sz w:val="24"/>
          <w:szCs w:val="24"/>
          <w:lang w:val="en-US" w:eastAsia="fr-FR"/>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Boarnet</w:t>
      </w:r>
      <w:r w:rsidRPr="00EE4D60">
        <w:rPr>
          <w:rFonts w:ascii="Times New Roman" w:eastAsia="Times New Roman" w:hAnsi="Times New Roman" w:cs="Times New Roman"/>
          <w:b/>
          <w:bCs/>
          <w:color w:val="0D0D0D"/>
          <w:sz w:val="24"/>
          <w:szCs w:val="24"/>
          <w:lang w:val="en-US" w:eastAsia="fr-FR"/>
        </w:rPr>
        <w:t>, M. G., Joh, K., Siembab, W., Fulton, W &amp; Nguye, M. T., (2011):</w:t>
      </w:r>
      <w:r w:rsidRPr="00EE4D60">
        <w:rPr>
          <w:rFonts w:ascii="Times New Roman" w:eastAsia="Times New Roman" w:hAnsi="Times New Roman" w:cs="Times New Roman"/>
          <w:color w:val="0D0D0D"/>
          <w:sz w:val="24"/>
          <w:szCs w:val="24"/>
          <w:lang w:val="en-US" w:eastAsia="fr-FR"/>
        </w:rPr>
        <w:t xml:space="preserve"> "Retrofitting the Suburbs to Increase Walking: Evidence from a Land-use-ravel Study", </w:t>
      </w:r>
      <w:r w:rsidRPr="00580C0E">
        <w:rPr>
          <w:rFonts w:ascii="Times New Roman" w:eastAsia="Times New Roman" w:hAnsi="Times New Roman" w:cs="Times New Roman"/>
          <w:i/>
          <w:iCs/>
          <w:color w:val="0D0D0D"/>
          <w:sz w:val="24"/>
          <w:szCs w:val="24"/>
          <w:lang w:val="en-US" w:eastAsia="fr-FR"/>
        </w:rPr>
        <w:t>Urban Studies, SAGE Publications Ltd</w:t>
      </w:r>
      <w:r w:rsidRPr="00EE4D60">
        <w:rPr>
          <w:rFonts w:ascii="Times New Roman" w:eastAsia="Times New Roman" w:hAnsi="Times New Roman" w:cs="Times New Roman"/>
          <w:color w:val="0D0D0D"/>
          <w:sz w:val="24"/>
          <w:szCs w:val="24"/>
          <w:lang w:val="en-US" w:eastAsia="fr-FR"/>
        </w:rPr>
        <w:t>, vol. 48</w:t>
      </w:r>
      <w:r w:rsidR="005432F9">
        <w:rPr>
          <w:rFonts w:ascii="Times New Roman" w:eastAsia="Times New Roman" w:hAnsi="Times New Roman" w:cs="Times New Roman"/>
          <w:color w:val="0D0D0D"/>
          <w:sz w:val="24"/>
          <w:szCs w:val="24"/>
          <w:lang w:val="en-US" w:eastAsia="fr-FR"/>
        </w:rPr>
        <w:t xml:space="preserve">, n° </w:t>
      </w:r>
      <w:r w:rsidRPr="00EE4D60">
        <w:rPr>
          <w:rFonts w:ascii="Times New Roman" w:eastAsia="Times New Roman" w:hAnsi="Times New Roman" w:cs="Times New Roman"/>
          <w:color w:val="0D0D0D"/>
          <w:sz w:val="24"/>
          <w:szCs w:val="24"/>
          <w:lang w:val="en-US" w:eastAsia="fr-FR"/>
        </w:rPr>
        <w:t>1, p</w:t>
      </w:r>
      <w:r w:rsidR="00B26A4B">
        <w:rPr>
          <w:rFonts w:ascii="Times New Roman" w:eastAsia="Times New Roman" w:hAnsi="Times New Roman" w:cs="Times New Roman"/>
          <w:color w:val="0D0D0D"/>
          <w:sz w:val="24"/>
          <w:szCs w:val="24"/>
          <w:lang w:val="en-US" w:eastAsia="fr-FR"/>
        </w:rPr>
        <w:t>p</w:t>
      </w:r>
      <w:r w:rsidRPr="00EE4D60">
        <w:rPr>
          <w:rFonts w:ascii="Times New Roman" w:eastAsia="Times New Roman" w:hAnsi="Times New Roman" w:cs="Times New Roman"/>
          <w:color w:val="0D0D0D"/>
          <w:sz w:val="24"/>
          <w:szCs w:val="24"/>
          <w:lang w:val="en-US" w:eastAsia="fr-FR"/>
        </w:rPr>
        <w:t>. 129–159.</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r w:rsidRPr="00E40DF8">
        <w:rPr>
          <w:rFonts w:ascii="Times New Roman" w:eastAsia="Times New Roman" w:hAnsi="Times New Roman" w:cs="Times New Roman"/>
          <w:b/>
          <w:bCs/>
          <w:color w:val="000000"/>
          <w:sz w:val="24"/>
          <w:szCs w:val="24"/>
          <w:lang w:val="en-US" w:eastAsia="fr-FR"/>
        </w:rPr>
        <w:t>Bobkova</w:t>
      </w:r>
      <w:r w:rsidRPr="00EE4D60">
        <w:rPr>
          <w:rFonts w:ascii="Times New Roman" w:eastAsia="Times New Roman" w:hAnsi="Times New Roman" w:cs="Times New Roman"/>
          <w:b/>
          <w:bCs/>
          <w:color w:val="000000"/>
          <w:sz w:val="24"/>
          <w:szCs w:val="24"/>
          <w:lang w:val="en-US" w:eastAsia="fr-FR"/>
        </w:rPr>
        <w:t>, E., Marcus, L. H. &amp; Berghauser Pont, M., (2017):</w:t>
      </w:r>
      <w:r w:rsidRPr="00EE4D60">
        <w:rPr>
          <w:rFonts w:ascii="Times New Roman" w:eastAsia="Times New Roman" w:hAnsi="Times New Roman" w:cs="Times New Roman"/>
          <w:color w:val="000000"/>
          <w:sz w:val="24"/>
          <w:szCs w:val="24"/>
          <w:lang w:val="en-US" w:eastAsia="fr-FR"/>
        </w:rPr>
        <w:t xml:space="preserve"> "Multivariable measures of plot systems: describing the potential link between urban diversity and spatial form based on the spatial capacity concept", </w:t>
      </w:r>
      <w:r w:rsidRPr="005432F9">
        <w:rPr>
          <w:rFonts w:ascii="Times New Roman" w:eastAsia="Times New Roman" w:hAnsi="Times New Roman" w:cs="Times New Roman"/>
          <w:i/>
          <w:iCs/>
          <w:color w:val="000000"/>
          <w:sz w:val="24"/>
          <w:szCs w:val="24"/>
          <w:lang w:val="en-US" w:eastAsia="fr-FR"/>
        </w:rPr>
        <w:t>In: 11th Space Syntax Symposium</w:t>
      </w:r>
      <w:r w:rsidRPr="00EE4D60">
        <w:rPr>
          <w:rFonts w:ascii="Times New Roman" w:eastAsia="Times New Roman" w:hAnsi="Times New Roman" w:cs="Times New Roman"/>
          <w:color w:val="000000"/>
          <w:sz w:val="24"/>
          <w:szCs w:val="24"/>
          <w:lang w:val="en-US" w:eastAsia="fr-FR"/>
        </w:rPr>
        <w:t>, Lisbon, Portugal.</w:t>
      </w:r>
    </w:p>
    <w:p w:rsidR="00D97D85" w:rsidRPr="000C6107" w:rsidRDefault="00D97D85" w:rsidP="00AE6E2D">
      <w:pPr>
        <w:autoSpaceDE w:val="0"/>
        <w:autoSpaceDN w:val="0"/>
        <w:adjustRightInd w:val="0"/>
        <w:spacing w:line="240" w:lineRule="auto"/>
        <w:rPr>
          <w:rFonts w:asciiTheme="majorBidi" w:hAnsiTheme="majorBidi" w:cstheme="majorBidi"/>
          <w:color w:val="000000"/>
          <w:sz w:val="28"/>
          <w:szCs w:val="28"/>
          <w:rtl/>
          <w:lang w:val="en-US"/>
        </w:rPr>
      </w:pPr>
      <w:r w:rsidRPr="00D97D85">
        <w:rPr>
          <w:rFonts w:asciiTheme="majorBidi" w:hAnsiTheme="majorBidi" w:cstheme="majorBidi"/>
          <w:b/>
          <w:bCs/>
          <w:sz w:val="24"/>
          <w:szCs w:val="24"/>
          <w:lang w:val="en-US"/>
        </w:rPr>
        <w:t>Boeing, G., (2017):</w:t>
      </w:r>
      <w:r w:rsidRPr="00D97D85">
        <w:rPr>
          <w:rFonts w:asciiTheme="majorBidi" w:hAnsiTheme="majorBidi" w:cstheme="majorBidi"/>
          <w:sz w:val="24"/>
          <w:szCs w:val="24"/>
          <w:lang w:val="en-US"/>
        </w:rPr>
        <w:t xml:space="preserve"> “Measuring the Complexity of Urban Form and Design”.</w:t>
      </w:r>
      <w:r w:rsidRPr="00D97D85">
        <w:rPr>
          <w:rFonts w:ascii="Calibri-Italic" w:hAnsi="Calibri-Italic" w:cs="Calibri-Italic"/>
          <w:i/>
          <w:iCs/>
          <w:color w:val="0D0D0D"/>
          <w:lang w:val="en-US"/>
        </w:rPr>
        <w:t xml:space="preserve"> </w:t>
      </w:r>
      <w:r w:rsidRPr="00D97D85">
        <w:rPr>
          <w:rFonts w:asciiTheme="majorBidi" w:hAnsiTheme="majorBidi" w:cstheme="majorBidi"/>
          <w:i/>
          <w:iCs/>
          <w:color w:val="0D0D0D"/>
          <w:sz w:val="24"/>
          <w:szCs w:val="24"/>
          <w:lang w:val="en-US"/>
        </w:rPr>
        <w:t>URBAN DESIGN International</w:t>
      </w:r>
      <w:r w:rsidRPr="00D97D85">
        <w:rPr>
          <w:rFonts w:asciiTheme="majorBidi" w:hAnsiTheme="majorBidi" w:cstheme="majorBidi"/>
          <w:color w:val="0D0D0D"/>
          <w:sz w:val="24"/>
          <w:szCs w:val="24"/>
          <w:lang w:val="en-US"/>
        </w:rPr>
        <w:t>. DOI: 10/gffmbh.</w:t>
      </w:r>
    </w:p>
    <w:p w:rsidR="005432F9" w:rsidRPr="007E003C" w:rsidRDefault="00B62F86"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hyperlink r:id="rId352" w:history="1">
        <w:r w:rsidR="00C260BA" w:rsidRPr="00E40DF8">
          <w:rPr>
            <w:rStyle w:val="Lienhypertexte"/>
            <w:rFonts w:ascii="Times New Roman" w:eastAsia="Times New Roman" w:hAnsi="Times New Roman" w:cs="Times New Roman"/>
            <w:b/>
            <w:bCs/>
            <w:color w:val="000000" w:themeColor="text1"/>
            <w:sz w:val="24"/>
            <w:szCs w:val="24"/>
            <w:u w:val="none"/>
            <w:lang w:val="en-US" w:eastAsia="fr-FR"/>
          </w:rPr>
          <w:t>Bojovic</w:t>
        </w:r>
        <w:r w:rsidR="00C260BA" w:rsidRPr="007E003C">
          <w:rPr>
            <w:rStyle w:val="Lienhypertexte"/>
            <w:rFonts w:ascii="Times New Roman" w:eastAsia="Times New Roman" w:hAnsi="Times New Roman" w:cs="Times New Roman"/>
            <w:b/>
            <w:bCs/>
            <w:color w:val="000000" w:themeColor="text1"/>
            <w:sz w:val="24"/>
            <w:szCs w:val="24"/>
            <w:u w:val="none"/>
            <w:lang w:val="en-US" w:eastAsia="fr-FR"/>
          </w:rPr>
          <w:t>, N. &amp; Milenkovic, M., (2008):</w:t>
        </w:r>
        <w:r w:rsidR="00C260BA" w:rsidRPr="007E003C">
          <w:rPr>
            <w:rStyle w:val="Lienhypertexte"/>
            <w:rFonts w:ascii="Times New Roman" w:eastAsia="Times New Roman" w:hAnsi="Times New Roman" w:cs="Times New Roman"/>
            <w:color w:val="000000" w:themeColor="text1"/>
            <w:sz w:val="24"/>
            <w:szCs w:val="24"/>
            <w:u w:val="none"/>
            <w:lang w:val="en-US" w:eastAsia="fr-FR"/>
          </w:rPr>
          <w:t xml:space="preserve"> "The best rail fleet  mix problem", </w:t>
        </w:r>
        <w:r w:rsidR="00C260BA" w:rsidRPr="007E003C">
          <w:rPr>
            <w:rStyle w:val="Lienhypertexte"/>
            <w:rFonts w:ascii="Times New Roman" w:eastAsia="Times New Roman" w:hAnsi="Times New Roman" w:cs="Times New Roman"/>
            <w:i/>
            <w:iCs/>
            <w:color w:val="000000" w:themeColor="text1"/>
            <w:sz w:val="24"/>
            <w:szCs w:val="24"/>
            <w:u w:val="none"/>
            <w:lang w:val="en-US" w:eastAsia="fr-FR"/>
          </w:rPr>
          <w:t>Operational Research</w:t>
        </w:r>
        <w:r w:rsidR="00C260BA" w:rsidRPr="007E003C">
          <w:rPr>
            <w:rStyle w:val="Lienhypertexte"/>
            <w:rFonts w:ascii="Times New Roman" w:eastAsia="Times New Roman" w:hAnsi="Times New Roman" w:cs="Times New Roman"/>
            <w:color w:val="000000" w:themeColor="text1"/>
            <w:sz w:val="24"/>
            <w:szCs w:val="24"/>
            <w:u w:val="none"/>
            <w:lang w:val="en-US" w:eastAsia="fr-FR"/>
          </w:rPr>
          <w:t>, vol. 8, n°. 1, p</w:t>
        </w:r>
        <w:r w:rsidR="00B26A4B">
          <w:rPr>
            <w:rStyle w:val="Lienhypertexte"/>
            <w:rFonts w:ascii="Times New Roman" w:eastAsia="Times New Roman" w:hAnsi="Times New Roman" w:cs="Times New Roman"/>
            <w:color w:val="000000" w:themeColor="text1"/>
            <w:sz w:val="24"/>
            <w:szCs w:val="24"/>
            <w:u w:val="none"/>
            <w:lang w:val="en-US" w:eastAsia="fr-FR"/>
          </w:rPr>
          <w:t>p</w:t>
        </w:r>
        <w:r w:rsidR="00C260BA" w:rsidRPr="007E003C">
          <w:rPr>
            <w:rStyle w:val="Lienhypertexte"/>
            <w:rFonts w:ascii="Times New Roman" w:eastAsia="Times New Roman" w:hAnsi="Times New Roman" w:cs="Times New Roman"/>
            <w:color w:val="000000" w:themeColor="text1"/>
            <w:sz w:val="24"/>
            <w:szCs w:val="24"/>
            <w:u w:val="none"/>
            <w:lang w:val="en-US" w:eastAsia="fr-FR"/>
          </w:rPr>
          <w:t xml:space="preserve">. 77–87. https://doi.org/10.1007/s12351-008-0012-8 </w:t>
        </w:r>
      </w:hyperlink>
    </w:p>
    <w:p w:rsidR="00E724B9" w:rsidRPr="00C32C5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E40DF8">
        <w:rPr>
          <w:rFonts w:ascii="Times New Roman" w:eastAsia="Times New Roman" w:hAnsi="Times New Roman" w:cs="Times New Roman"/>
          <w:b/>
          <w:bCs/>
          <w:color w:val="000000"/>
          <w:sz w:val="24"/>
          <w:szCs w:val="24"/>
          <w:lang w:eastAsia="fr-FR"/>
        </w:rPr>
        <w:t>Bonnefous</w:t>
      </w:r>
      <w:r w:rsidRPr="00594B9C">
        <w:rPr>
          <w:rFonts w:ascii="Times New Roman" w:eastAsia="Times New Roman" w:hAnsi="Times New Roman" w:cs="Times New Roman"/>
          <w:b/>
          <w:bCs/>
          <w:color w:val="000000"/>
          <w:sz w:val="24"/>
          <w:szCs w:val="24"/>
          <w:lang w:eastAsia="fr-FR"/>
        </w:rPr>
        <w:t>, C.</w:t>
      </w:r>
      <w:r w:rsidR="00594B9C" w:rsidRPr="00594B9C">
        <w:rPr>
          <w:rFonts w:ascii="Times New Roman" w:eastAsia="Times New Roman" w:hAnsi="Times New Roman" w:cs="Times New Roman"/>
          <w:b/>
          <w:bCs/>
          <w:color w:val="000000"/>
          <w:sz w:val="24"/>
          <w:szCs w:val="24"/>
          <w:lang w:eastAsia="fr-FR"/>
        </w:rPr>
        <w:t>, (2001) :</w:t>
      </w:r>
      <w:r w:rsidRPr="00EE4D60">
        <w:rPr>
          <w:rFonts w:ascii="Times New Roman" w:eastAsia="Times New Roman" w:hAnsi="Times New Roman" w:cs="Times New Roman"/>
          <w:color w:val="000000"/>
          <w:sz w:val="24"/>
          <w:szCs w:val="24"/>
          <w:lang w:eastAsia="fr-FR"/>
        </w:rPr>
        <w:t xml:space="preserve"> </w:t>
      </w:r>
      <w:r w:rsidR="00594B9C">
        <w:rPr>
          <w:rFonts w:ascii="Times New Roman" w:eastAsia="Times New Roman" w:hAnsi="Times New Roman" w:cs="Times New Roman"/>
          <w:color w:val="000000"/>
          <w:sz w:val="24"/>
          <w:szCs w:val="24"/>
          <w:lang w:eastAsia="fr-FR"/>
        </w:rPr>
        <w:t>"</w:t>
      </w:r>
      <w:r w:rsidR="00594B9C" w:rsidRPr="00EE4D60">
        <w:rPr>
          <w:rFonts w:ascii="Times New Roman" w:eastAsia="Times New Roman" w:hAnsi="Times New Roman" w:cs="Times New Roman"/>
          <w:color w:val="000000"/>
          <w:sz w:val="24"/>
          <w:szCs w:val="24"/>
          <w:lang w:eastAsia="fr-FR"/>
        </w:rPr>
        <w:t>1</w:t>
      </w:r>
      <w:r w:rsidRPr="00EE4D60">
        <w:rPr>
          <w:rFonts w:ascii="Times New Roman" w:eastAsia="Times New Roman" w:hAnsi="Times New Roman" w:cs="Times New Roman"/>
          <w:color w:val="000000"/>
          <w:sz w:val="24"/>
          <w:szCs w:val="24"/>
          <w:lang w:eastAsia="fr-FR"/>
        </w:rPr>
        <w:t>Indicateurs de performance</w:t>
      </w:r>
      <w:r w:rsidR="00594B9C">
        <w:rPr>
          <w:rFonts w:ascii="Times New Roman" w:eastAsia="Times New Roman" w:hAnsi="Times New Roman" w:cs="Times New Roman"/>
          <w:color w:val="000000"/>
          <w:sz w:val="24"/>
          <w:szCs w:val="24"/>
          <w:lang w:eastAsia="fr-FR"/>
        </w:rPr>
        <w:t>",</w:t>
      </w:r>
      <w:r w:rsidRPr="00EE4D60">
        <w:rPr>
          <w:rFonts w:ascii="Times New Roman" w:eastAsia="Times New Roman" w:hAnsi="Times New Roman" w:cs="Times New Roman"/>
          <w:color w:val="000000"/>
          <w:sz w:val="24"/>
          <w:szCs w:val="24"/>
          <w:lang w:eastAsia="fr-FR"/>
        </w:rPr>
        <w:t xml:space="preserve"> </w:t>
      </w:r>
      <w:r w:rsidRPr="00594B9C">
        <w:rPr>
          <w:rFonts w:ascii="Times New Roman" w:eastAsia="Times New Roman" w:hAnsi="Times New Roman" w:cs="Times New Roman"/>
          <w:i/>
          <w:iCs/>
          <w:color w:val="000000"/>
          <w:sz w:val="24"/>
          <w:szCs w:val="24"/>
          <w:lang w:eastAsia="fr-FR"/>
        </w:rPr>
        <w:t>Relie. Ic2 productique</w:t>
      </w:r>
      <w:r w:rsidR="00C32C51">
        <w:rPr>
          <w:rFonts w:ascii="Times New Roman" w:eastAsia="Times New Roman" w:hAnsi="Times New Roman" w:cs="Times New Roman"/>
          <w:color w:val="000000"/>
          <w:sz w:val="24"/>
          <w:szCs w:val="24"/>
          <w:lang w:eastAsia="fr-FR"/>
        </w:rPr>
        <w:t>,</w:t>
      </w:r>
      <w:r w:rsidR="00594B9C">
        <w:rPr>
          <w:rFonts w:ascii="Times New Roman" w:eastAsia="Times New Roman" w:hAnsi="Times New Roman" w:cs="Times New Roman"/>
          <w:color w:val="000000"/>
          <w:sz w:val="24"/>
          <w:szCs w:val="24"/>
          <w:lang w:eastAsia="fr-FR"/>
        </w:rPr>
        <w:t xml:space="preserve"> </w:t>
      </w:r>
      <w:r w:rsidR="00594B9C" w:rsidRPr="00C32C51">
        <w:rPr>
          <w:rFonts w:ascii="Times New Roman" w:eastAsia="Times New Roman" w:hAnsi="Times New Roman" w:cs="Times New Roman"/>
          <w:color w:val="000000"/>
          <w:sz w:val="24"/>
          <w:szCs w:val="24"/>
          <w:lang w:eastAsia="fr-FR"/>
        </w:rPr>
        <w:t>Paris</w:t>
      </w:r>
      <w:r w:rsidR="00C32C51">
        <w:rPr>
          <w:rFonts w:ascii="Times New Roman" w:eastAsia="Times New Roman" w:hAnsi="Times New Roman" w:cs="Times New Roman"/>
          <w:color w:val="000000"/>
          <w:sz w:val="24"/>
          <w:szCs w:val="24"/>
          <w:lang w:eastAsia="fr-FR"/>
        </w:rPr>
        <w:t xml:space="preserve">, </w:t>
      </w:r>
      <w:r w:rsidR="00594B9C" w:rsidRPr="00C32C51">
        <w:rPr>
          <w:rFonts w:ascii="Times New Roman" w:eastAsia="Times New Roman" w:hAnsi="Times New Roman" w:cs="Times New Roman"/>
          <w:i/>
          <w:iCs/>
          <w:color w:val="000000"/>
          <w:sz w:val="24"/>
          <w:szCs w:val="24"/>
          <w:lang w:eastAsia="fr-FR"/>
        </w:rPr>
        <w:t>Hermes Science Publ</w:t>
      </w:r>
      <w:r w:rsidR="00C32C51" w:rsidRPr="00C32C51">
        <w:rPr>
          <w:rFonts w:ascii="Times New Roman" w:eastAsia="Times New Roman" w:hAnsi="Times New Roman" w:cs="Times New Roman"/>
          <w:color w:val="000000"/>
          <w:sz w:val="24"/>
          <w:szCs w:val="24"/>
          <w:lang w:eastAsia="fr-FR"/>
        </w:rPr>
        <w:t>, 282p</w:t>
      </w:r>
      <w:r w:rsidRPr="00C32C51">
        <w:rPr>
          <w:rFonts w:ascii="Times New Roman" w:eastAsia="Times New Roman" w:hAnsi="Times New Roman" w:cs="Times New Roman"/>
          <w:color w:val="000000"/>
          <w:sz w:val="24"/>
          <w:szCs w:val="24"/>
          <w:lang w:eastAsia="fr-FR"/>
        </w:rPr>
        <w:t>.</w:t>
      </w:r>
    </w:p>
    <w:p w:rsidR="00E724B9" w:rsidRPr="00092361"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53" w:history="1">
        <w:r w:rsidR="00594B9C" w:rsidRPr="00A829B3">
          <w:rPr>
            <w:rFonts w:ascii="Times New Roman" w:eastAsia="Times New Roman" w:hAnsi="Times New Roman" w:cs="Times New Roman"/>
            <w:b/>
            <w:bCs/>
            <w:color w:val="000000"/>
            <w:sz w:val="24"/>
            <w:szCs w:val="24"/>
            <w:lang w:val="en-US" w:eastAsia="fr-FR"/>
          </w:rPr>
          <w:t>B</w:t>
        </w:r>
        <w:r w:rsidR="00594B9C" w:rsidRPr="002E648F">
          <w:rPr>
            <w:rFonts w:ascii="Times New Roman" w:eastAsia="Times New Roman" w:hAnsi="Times New Roman" w:cs="Times New Roman"/>
            <w:b/>
            <w:bCs/>
            <w:color w:val="000000"/>
            <w:sz w:val="24"/>
            <w:szCs w:val="24"/>
            <w:lang w:val="en-US" w:eastAsia="fr-FR"/>
          </w:rPr>
          <w:t>ooth, J.W., &amp;</w:t>
        </w:r>
        <w:r w:rsidR="00E724B9" w:rsidRPr="002E648F">
          <w:rPr>
            <w:rFonts w:ascii="Times New Roman" w:eastAsia="Times New Roman" w:hAnsi="Times New Roman" w:cs="Times New Roman"/>
            <w:b/>
            <w:bCs/>
            <w:color w:val="000000"/>
            <w:sz w:val="24"/>
            <w:szCs w:val="24"/>
            <w:lang w:val="en-US" w:eastAsia="fr-FR"/>
          </w:rPr>
          <w:t xml:space="preserve"> Neill</w:t>
        </w:r>
        <w:r w:rsidR="00E724B9" w:rsidRPr="00A829B3">
          <w:rPr>
            <w:rFonts w:ascii="Times New Roman" w:eastAsia="Times New Roman" w:hAnsi="Times New Roman" w:cs="Times New Roman"/>
            <w:b/>
            <w:bCs/>
            <w:color w:val="000000"/>
            <w:sz w:val="24"/>
            <w:szCs w:val="24"/>
            <w:lang w:val="en-US" w:eastAsia="fr-FR"/>
          </w:rPr>
          <w:t xml:space="preserve"> J.T.</w:t>
        </w:r>
        <w:r w:rsidR="00594B9C" w:rsidRPr="00A829B3">
          <w:rPr>
            <w:rFonts w:ascii="Times New Roman" w:eastAsia="Times New Roman" w:hAnsi="Times New Roman" w:cs="Times New Roman"/>
            <w:b/>
            <w:bCs/>
            <w:color w:val="000000"/>
            <w:sz w:val="24"/>
            <w:szCs w:val="24"/>
            <w:lang w:val="en-US" w:eastAsia="fr-FR"/>
          </w:rPr>
          <w:t>,</w:t>
        </w:r>
        <w:r w:rsidR="00594B9C" w:rsidRPr="00A829B3">
          <w:rPr>
            <w:b/>
            <w:bCs/>
            <w:lang w:val="en-US"/>
          </w:rPr>
          <w:t xml:space="preserve"> </w:t>
        </w:r>
        <w:r w:rsidR="00594B9C" w:rsidRPr="00A829B3">
          <w:rPr>
            <w:rFonts w:ascii="Times New Roman" w:eastAsia="Times New Roman" w:hAnsi="Times New Roman" w:cs="Times New Roman"/>
            <w:b/>
            <w:bCs/>
            <w:color w:val="000000"/>
            <w:sz w:val="24"/>
            <w:szCs w:val="24"/>
            <w:lang w:val="en-US" w:eastAsia="fr-FR"/>
          </w:rPr>
          <w:t>(2017):</w:t>
        </w:r>
        <w:r w:rsidR="00E724B9" w:rsidRPr="00EE4D60">
          <w:rPr>
            <w:rFonts w:ascii="Times New Roman" w:eastAsia="Times New Roman" w:hAnsi="Times New Roman" w:cs="Times New Roman"/>
            <w:color w:val="000000"/>
            <w:sz w:val="24"/>
            <w:szCs w:val="24"/>
            <w:lang w:val="en-US" w:eastAsia="fr-FR"/>
          </w:rPr>
          <w:t xml:space="preserve"> "Coping Strategies and the Development of Psychological Resilience"</w:t>
        </w:r>
        <w:r w:rsidR="00594B9C">
          <w:rPr>
            <w:rFonts w:ascii="Times New Roman" w:eastAsia="Times New Roman" w:hAnsi="Times New Roman" w:cs="Times New Roman"/>
            <w:color w:val="000000"/>
            <w:sz w:val="24"/>
            <w:szCs w:val="24"/>
            <w:lang w:val="en-US" w:eastAsia="fr-FR"/>
          </w:rPr>
          <w:t>,</w:t>
        </w:r>
        <w:r w:rsidR="00E724B9" w:rsidRPr="00EE4D60">
          <w:rPr>
            <w:rFonts w:ascii="Times New Roman" w:eastAsia="Times New Roman" w:hAnsi="Times New Roman" w:cs="Times New Roman"/>
            <w:color w:val="000000"/>
            <w:sz w:val="24"/>
            <w:szCs w:val="24"/>
            <w:lang w:val="en-US" w:eastAsia="fr-FR"/>
          </w:rPr>
          <w:t xml:space="preserve"> </w:t>
        </w:r>
        <w:r w:rsidR="00E724B9" w:rsidRPr="00594B9C">
          <w:rPr>
            <w:rFonts w:ascii="Times New Roman" w:eastAsia="Times New Roman" w:hAnsi="Times New Roman" w:cs="Times New Roman"/>
            <w:i/>
            <w:iCs/>
            <w:color w:val="000000"/>
            <w:sz w:val="24"/>
            <w:szCs w:val="24"/>
            <w:lang w:val="en-US" w:eastAsia="fr-FR"/>
          </w:rPr>
          <w:t>Journal of Outdoor and Environmental Education</w:t>
        </w:r>
        <w:r w:rsidR="00594B9C">
          <w:rPr>
            <w:rFonts w:ascii="Times New Roman" w:eastAsia="Times New Roman" w:hAnsi="Times New Roman" w:cs="Times New Roman"/>
            <w:color w:val="000000"/>
            <w:sz w:val="24"/>
            <w:szCs w:val="24"/>
            <w:lang w:val="en-US" w:eastAsia="fr-FR"/>
          </w:rPr>
          <w:t>,</w:t>
        </w:r>
        <w:r w:rsidR="00E724B9" w:rsidRPr="00EE4D60">
          <w:rPr>
            <w:rFonts w:ascii="Times New Roman" w:eastAsia="Times New Roman" w:hAnsi="Times New Roman" w:cs="Times New Roman"/>
            <w:color w:val="000000"/>
            <w:sz w:val="24"/>
            <w:szCs w:val="24"/>
            <w:lang w:val="en-US" w:eastAsia="fr-FR"/>
          </w:rPr>
          <w:t xml:space="preserve"> </w:t>
        </w:r>
        <w:r w:rsidR="00594B9C">
          <w:rPr>
            <w:rFonts w:ascii="Times New Roman" w:eastAsia="Times New Roman" w:hAnsi="Times New Roman" w:cs="Times New Roman"/>
            <w:color w:val="000000"/>
            <w:sz w:val="24"/>
            <w:szCs w:val="24"/>
            <w:lang w:val="en-US" w:eastAsia="fr-FR"/>
          </w:rPr>
          <w:t xml:space="preserve">vol. </w:t>
        </w:r>
        <w:r w:rsidR="00E724B9" w:rsidRPr="00EE4D60">
          <w:rPr>
            <w:rFonts w:ascii="Times New Roman" w:eastAsia="Times New Roman" w:hAnsi="Times New Roman" w:cs="Times New Roman"/>
            <w:color w:val="000000"/>
            <w:sz w:val="24"/>
            <w:szCs w:val="24"/>
            <w:lang w:val="en-US" w:eastAsia="fr-FR"/>
          </w:rPr>
          <w:t>20, n</w:t>
        </w:r>
        <w:r w:rsidR="00594B9C">
          <w:rPr>
            <w:rFonts w:ascii="Times New Roman" w:eastAsia="Times New Roman" w:hAnsi="Times New Roman" w:cs="Times New Roman"/>
            <w:color w:val="000000"/>
            <w:sz w:val="24"/>
            <w:szCs w:val="24"/>
            <w:lang w:val="en-US" w:eastAsia="fr-FR"/>
          </w:rPr>
          <w:t>°</w:t>
        </w:r>
        <w:r w:rsidR="00E724B9" w:rsidRPr="00EE4D60">
          <w:rPr>
            <w:rFonts w:ascii="Times New Roman" w:eastAsia="Times New Roman" w:hAnsi="Times New Roman" w:cs="Times New Roman"/>
            <w:color w:val="000000"/>
            <w:sz w:val="24"/>
            <w:szCs w:val="24"/>
            <w:lang w:val="en-US" w:eastAsia="fr-FR"/>
          </w:rPr>
          <w:t xml:space="preserve"> 1</w:t>
        </w:r>
        <w:r w:rsidR="00594B9C">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00594B9C">
          <w:rPr>
            <w:rFonts w:ascii="Times New Roman" w:eastAsia="Times New Roman" w:hAnsi="Times New Roman" w:cs="Times New Roman"/>
            <w:color w:val="000000"/>
            <w:sz w:val="24"/>
            <w:szCs w:val="24"/>
            <w:lang w:val="en-US" w:eastAsia="fr-FR"/>
          </w:rPr>
          <w:t xml:space="preserve"> </w:t>
        </w:r>
        <w:r w:rsidR="00E724B9" w:rsidRPr="00EE4D60">
          <w:rPr>
            <w:rFonts w:ascii="Times New Roman" w:eastAsia="Times New Roman" w:hAnsi="Times New Roman" w:cs="Times New Roman"/>
            <w:color w:val="000000"/>
            <w:sz w:val="24"/>
            <w:szCs w:val="24"/>
            <w:lang w:val="en-US" w:eastAsia="fr-FR"/>
          </w:rPr>
          <w:t>47-54.</w:t>
        </w:r>
        <w:r w:rsidR="00A829B3" w:rsidRPr="00A829B3">
          <w:rPr>
            <w:lang w:val="en-US"/>
          </w:rPr>
          <w:t xml:space="preserve"> </w:t>
        </w:r>
        <w:r w:rsidR="00A829B3" w:rsidRPr="00A829B3">
          <w:rPr>
            <w:rFonts w:ascii="Times New Roman" w:eastAsia="Times New Roman" w:hAnsi="Times New Roman" w:cs="Times New Roman"/>
            <w:color w:val="000000"/>
            <w:sz w:val="24"/>
            <w:szCs w:val="24"/>
            <w:lang w:val="en-US" w:eastAsia="fr-FR"/>
          </w:rPr>
          <w:t>https://doi.org/10.1007/BF03401002.</w:t>
        </w:r>
        <w:r w:rsidR="00594B9C">
          <w:rPr>
            <w:rFonts w:ascii="Times New Roman" w:eastAsia="Times New Roman" w:hAnsi="Times New Roman" w:cs="Times New Roman"/>
            <w:color w:val="000000"/>
            <w:sz w:val="24"/>
            <w:szCs w:val="24"/>
            <w:lang w:val="en-US" w:eastAsia="fr-FR"/>
          </w:rPr>
          <w:t xml:space="preserve"> </w:t>
        </w:r>
      </w:hyperlink>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hyperlink r:id="rId354" w:history="1">
        <w:r w:rsidR="00E724B9" w:rsidRPr="002E648F">
          <w:rPr>
            <w:rFonts w:ascii="Times New Roman" w:eastAsia="Times New Roman" w:hAnsi="Times New Roman" w:cs="Times New Roman"/>
            <w:b/>
            <w:bCs/>
            <w:color w:val="000000"/>
            <w:sz w:val="24"/>
            <w:szCs w:val="24"/>
            <w:lang w:val="en-US" w:eastAsia="fr-FR"/>
          </w:rPr>
          <w:t>Booto</w:t>
        </w:r>
        <w:r w:rsidR="00E724B9" w:rsidRPr="00A829B3">
          <w:rPr>
            <w:rFonts w:ascii="Times New Roman" w:eastAsia="Times New Roman" w:hAnsi="Times New Roman" w:cs="Times New Roman"/>
            <w:b/>
            <w:bCs/>
            <w:color w:val="000000"/>
            <w:sz w:val="24"/>
            <w:szCs w:val="24"/>
            <w:lang w:val="en-US" w:eastAsia="fr-FR"/>
          </w:rPr>
          <w:t xml:space="preserve"> Ekionea. J-P,  Bernard. </w:t>
        </w:r>
        <w:r w:rsidR="00E724B9" w:rsidRPr="007F0B55">
          <w:rPr>
            <w:rFonts w:ascii="Times New Roman" w:eastAsia="Times New Roman" w:hAnsi="Times New Roman" w:cs="Times New Roman"/>
            <w:b/>
            <w:bCs/>
            <w:color w:val="000000"/>
            <w:sz w:val="24"/>
            <w:szCs w:val="24"/>
            <w:lang w:eastAsia="fr-FR"/>
          </w:rPr>
          <w:t xml:space="preserve">P, Plaisent. </w:t>
        </w:r>
        <w:r w:rsidR="00E724B9" w:rsidRPr="00A829B3">
          <w:rPr>
            <w:rFonts w:ascii="Times New Roman" w:eastAsia="Times New Roman" w:hAnsi="Times New Roman" w:cs="Times New Roman"/>
            <w:b/>
            <w:bCs/>
            <w:color w:val="000000"/>
            <w:sz w:val="24"/>
            <w:szCs w:val="24"/>
            <w:lang w:eastAsia="fr-FR"/>
          </w:rPr>
          <w:t>M, (2011):</w:t>
        </w:r>
        <w:r w:rsidR="00E724B9" w:rsidRPr="00A829B3">
          <w:rPr>
            <w:rFonts w:ascii="Times New Roman" w:eastAsia="Times New Roman" w:hAnsi="Times New Roman" w:cs="Times New Roman"/>
            <w:color w:val="000000"/>
            <w:sz w:val="24"/>
            <w:szCs w:val="24"/>
            <w:lang w:eastAsia="fr-FR"/>
          </w:rPr>
          <w:t xml:space="preserve"> ‘’Consen</w:t>
        </w:r>
        <w:r w:rsidR="00E724B9" w:rsidRPr="00EE4D60">
          <w:rPr>
            <w:rFonts w:ascii="Times New Roman" w:eastAsia="Times New Roman" w:hAnsi="Times New Roman" w:cs="Times New Roman"/>
            <w:color w:val="000000"/>
            <w:sz w:val="24"/>
            <w:szCs w:val="24"/>
            <w:lang w:eastAsia="fr-FR"/>
          </w:rPr>
          <w:t xml:space="preserve">sus par la méthode Delphi sur les concepts clés des capacités organisationnelles spécifiques de la gestion des connaissance’’, </w:t>
        </w:r>
        <w:r w:rsidR="00E724B9" w:rsidRPr="00C32C51">
          <w:rPr>
            <w:rFonts w:ascii="Times New Roman" w:eastAsia="Times New Roman" w:hAnsi="Times New Roman" w:cs="Times New Roman"/>
            <w:i/>
            <w:iCs/>
            <w:color w:val="000000"/>
            <w:sz w:val="24"/>
            <w:szCs w:val="24"/>
            <w:lang w:eastAsia="fr-FR"/>
          </w:rPr>
          <w:t>Recherches Qualitatives</w:t>
        </w:r>
        <w:r w:rsidR="00E724B9" w:rsidRPr="00EE4D60">
          <w:rPr>
            <w:rFonts w:ascii="Times New Roman" w:eastAsia="Times New Roman" w:hAnsi="Times New Roman" w:cs="Times New Roman"/>
            <w:color w:val="000000"/>
            <w:sz w:val="24"/>
            <w:szCs w:val="24"/>
            <w:lang w:eastAsia="fr-FR"/>
          </w:rPr>
          <w:t>, Vol. 29</w:t>
        </w:r>
        <w:r w:rsidR="00A829B3">
          <w:rPr>
            <w:rFonts w:ascii="Times New Roman" w:eastAsia="Times New Roman" w:hAnsi="Times New Roman" w:cs="Times New Roman"/>
            <w:color w:val="000000"/>
            <w:sz w:val="24"/>
            <w:szCs w:val="24"/>
            <w:lang w:eastAsia="fr-FR"/>
          </w:rPr>
          <w:t xml:space="preserve">, n° </w:t>
        </w:r>
        <w:r w:rsidR="00E724B9" w:rsidRPr="00EE4D60">
          <w:rPr>
            <w:rFonts w:ascii="Times New Roman" w:eastAsia="Times New Roman" w:hAnsi="Times New Roman" w:cs="Times New Roman"/>
            <w:color w:val="000000"/>
            <w:sz w:val="24"/>
            <w:szCs w:val="24"/>
            <w:lang w:eastAsia="fr-FR"/>
          </w:rPr>
          <w:t>3, p</w:t>
        </w:r>
        <w:r w:rsidR="00B26A4B">
          <w:rPr>
            <w:rFonts w:ascii="Times New Roman" w:eastAsia="Times New Roman" w:hAnsi="Times New Roman" w:cs="Times New Roman"/>
            <w:color w:val="000000"/>
            <w:sz w:val="24"/>
            <w:szCs w:val="24"/>
            <w:lang w:eastAsia="fr-FR"/>
          </w:rPr>
          <w:t>p</w:t>
        </w:r>
        <w:r w:rsidR="00E724B9" w:rsidRPr="00EE4D60">
          <w:rPr>
            <w:rFonts w:ascii="Times New Roman" w:eastAsia="Times New Roman" w:hAnsi="Times New Roman" w:cs="Times New Roman"/>
            <w:color w:val="000000"/>
            <w:sz w:val="24"/>
            <w:szCs w:val="24"/>
            <w:lang w:eastAsia="fr-FR"/>
          </w:rPr>
          <w:t>. 168-192.</w:t>
        </w:r>
        <w:r w:rsidR="00A829B3">
          <w:rPr>
            <w:rFonts w:ascii="Times New Roman" w:eastAsia="Times New Roman" w:hAnsi="Times New Roman" w:cs="Times New Roman"/>
            <w:color w:val="000000"/>
            <w:sz w:val="24"/>
            <w:szCs w:val="24"/>
            <w:lang w:eastAsia="fr-FR"/>
          </w:rPr>
          <w:t xml:space="preserve"> </w:t>
        </w:r>
        <w:r w:rsidR="00E724B9" w:rsidRPr="007F0B55">
          <w:rPr>
            <w:rFonts w:ascii="Times New Roman" w:eastAsia="Times New Roman" w:hAnsi="Times New Roman" w:cs="Times New Roman"/>
            <w:color w:val="000000"/>
            <w:sz w:val="24"/>
            <w:szCs w:val="24"/>
            <w:lang w:eastAsia="fr-FR"/>
          </w:rPr>
          <w:t>http://www.recherche-qualitative.qc.ca/Revue.html</w:t>
        </w:r>
      </w:hyperlink>
    </w:p>
    <w:p w:rsidR="00E724B9" w:rsidRPr="007E003C" w:rsidRDefault="00E724B9"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r w:rsidRPr="002E648F">
        <w:rPr>
          <w:rFonts w:ascii="Times New Roman" w:eastAsia="Times New Roman" w:hAnsi="Times New Roman" w:cs="Times New Roman"/>
          <w:b/>
          <w:bCs/>
          <w:color w:val="000000"/>
          <w:sz w:val="24"/>
          <w:szCs w:val="24"/>
          <w:lang w:val="en-US" w:eastAsia="fr-FR"/>
        </w:rPr>
        <w:t>Bourdic</w:t>
      </w:r>
      <w:r w:rsidRPr="007E003C">
        <w:rPr>
          <w:rFonts w:ascii="Times New Roman" w:eastAsia="Times New Roman" w:hAnsi="Times New Roman" w:cs="Times New Roman"/>
          <w:b/>
          <w:bCs/>
          <w:color w:val="000000" w:themeColor="text1"/>
          <w:sz w:val="24"/>
          <w:szCs w:val="24"/>
          <w:lang w:val="en-US" w:eastAsia="fr-FR"/>
        </w:rPr>
        <w:t>, L., Salat, S. &amp; Nowacki, C., (2012):</w:t>
      </w:r>
      <w:r w:rsidRPr="007E003C">
        <w:rPr>
          <w:rFonts w:ascii="Times New Roman" w:eastAsia="Times New Roman" w:hAnsi="Times New Roman" w:cs="Times New Roman"/>
          <w:color w:val="000000" w:themeColor="text1"/>
          <w:sz w:val="24"/>
          <w:szCs w:val="24"/>
          <w:lang w:val="en-US" w:eastAsia="fr-FR"/>
        </w:rPr>
        <w:t xml:space="preserve"> "Assessing cities: a new system of cross-scale spatial indicators", </w:t>
      </w:r>
      <w:r w:rsidRPr="007E003C">
        <w:rPr>
          <w:rFonts w:ascii="Times New Roman" w:eastAsia="Times New Roman" w:hAnsi="Times New Roman" w:cs="Times New Roman"/>
          <w:i/>
          <w:iCs/>
          <w:color w:val="000000" w:themeColor="text1"/>
          <w:sz w:val="24"/>
          <w:szCs w:val="24"/>
          <w:lang w:val="en-US" w:eastAsia="fr-FR"/>
        </w:rPr>
        <w:t>Building Research &amp; Information</w:t>
      </w:r>
      <w:r w:rsidRPr="007E003C">
        <w:rPr>
          <w:rFonts w:ascii="Times New Roman" w:eastAsia="Times New Roman" w:hAnsi="Times New Roman" w:cs="Times New Roman"/>
          <w:color w:val="000000" w:themeColor="text1"/>
          <w:sz w:val="24"/>
          <w:szCs w:val="24"/>
          <w:lang w:val="en-US" w:eastAsia="fr-FR"/>
        </w:rPr>
        <w:t xml:space="preserve">, </w:t>
      </w:r>
      <w:r w:rsidR="00C32C51" w:rsidRPr="007E003C">
        <w:rPr>
          <w:rFonts w:ascii="Times New Roman" w:eastAsia="Times New Roman" w:hAnsi="Times New Roman" w:cs="Times New Roman"/>
          <w:color w:val="000000" w:themeColor="text1"/>
          <w:sz w:val="24"/>
          <w:szCs w:val="24"/>
          <w:lang w:val="en-US" w:eastAsia="fr-FR"/>
        </w:rPr>
        <w:t xml:space="preserve">vol. </w:t>
      </w:r>
      <w:r w:rsidRPr="007E003C">
        <w:rPr>
          <w:rFonts w:ascii="Times New Roman" w:eastAsia="Times New Roman" w:hAnsi="Times New Roman" w:cs="Times New Roman"/>
          <w:color w:val="000000" w:themeColor="text1"/>
          <w:sz w:val="24"/>
          <w:szCs w:val="24"/>
          <w:lang w:val="en-US" w:eastAsia="fr-FR"/>
        </w:rPr>
        <w:t xml:space="preserve">40, </w:t>
      </w:r>
      <w:r w:rsidR="00C32C51" w:rsidRPr="007E003C">
        <w:rPr>
          <w:rFonts w:ascii="Times New Roman" w:eastAsia="Times New Roman" w:hAnsi="Times New Roman" w:cs="Times New Roman"/>
          <w:color w:val="000000" w:themeColor="text1"/>
          <w:sz w:val="24"/>
          <w:szCs w:val="24"/>
          <w:lang w:val="en-US" w:eastAsia="fr-FR"/>
        </w:rPr>
        <w:t>n°</w:t>
      </w:r>
      <w:r w:rsidRPr="007E003C">
        <w:rPr>
          <w:rFonts w:ascii="Times New Roman" w:eastAsia="Times New Roman" w:hAnsi="Times New Roman" w:cs="Times New Roman"/>
          <w:color w:val="000000" w:themeColor="text1"/>
          <w:sz w:val="24"/>
          <w:szCs w:val="24"/>
          <w:lang w:val="en-US" w:eastAsia="fr-FR"/>
        </w:rPr>
        <w:t xml:space="preserve"> 5</w:t>
      </w:r>
      <w:r w:rsidR="00C32C51" w:rsidRPr="007E003C">
        <w:rPr>
          <w:rFonts w:ascii="Times New Roman" w:eastAsia="Times New Roman" w:hAnsi="Times New Roman" w:cs="Times New Roman"/>
          <w:color w:val="000000" w:themeColor="text1"/>
          <w:sz w:val="24"/>
          <w:szCs w:val="24"/>
          <w:lang w:val="en-US" w:eastAsia="fr-FR"/>
        </w:rPr>
        <w:t>,</w:t>
      </w:r>
      <w:r w:rsidRPr="007E003C">
        <w:rPr>
          <w:rFonts w:ascii="Times New Roman" w:eastAsia="Times New Roman" w:hAnsi="Times New Roman" w:cs="Times New Roman"/>
          <w:color w:val="000000" w:themeColor="text1"/>
          <w:sz w:val="24"/>
          <w:szCs w:val="24"/>
          <w:lang w:val="en-US" w:eastAsia="fr-FR"/>
        </w:rPr>
        <w:t xml:space="preserve"> </w:t>
      </w:r>
      <w:r w:rsidR="00B26A4B">
        <w:rPr>
          <w:rFonts w:ascii="Times New Roman" w:eastAsia="Times New Roman" w:hAnsi="Times New Roman" w:cs="Times New Roman"/>
          <w:color w:val="000000" w:themeColor="text1"/>
          <w:sz w:val="24"/>
          <w:szCs w:val="24"/>
          <w:lang w:val="en-US" w:eastAsia="fr-FR"/>
        </w:rPr>
        <w:t>p</w:t>
      </w:r>
      <w:r w:rsidRPr="007E003C">
        <w:rPr>
          <w:rFonts w:ascii="Times New Roman" w:eastAsia="Times New Roman" w:hAnsi="Times New Roman" w:cs="Times New Roman"/>
          <w:color w:val="000000" w:themeColor="text1"/>
          <w:sz w:val="24"/>
          <w:szCs w:val="24"/>
          <w:lang w:val="en-US" w:eastAsia="fr-FR"/>
        </w:rPr>
        <w:t xml:space="preserve">p. 592–605. </w:t>
      </w:r>
      <w:hyperlink r:id="rId355" w:history="1">
        <w:r w:rsidR="007E003C" w:rsidRPr="007E003C">
          <w:rPr>
            <w:rStyle w:val="Lienhypertexte"/>
            <w:rFonts w:ascii="Times New Roman" w:eastAsia="Times New Roman" w:hAnsi="Times New Roman" w:cs="Times New Roman"/>
            <w:color w:val="000000" w:themeColor="text1"/>
            <w:sz w:val="24"/>
            <w:szCs w:val="24"/>
            <w:u w:val="none"/>
            <w:lang w:val="en-US" w:eastAsia="fr-FR"/>
          </w:rPr>
          <w:t>https://doi</w:t>
        </w:r>
      </w:hyperlink>
      <w:r w:rsidRPr="007E003C">
        <w:rPr>
          <w:rFonts w:ascii="Times New Roman" w:eastAsia="Times New Roman" w:hAnsi="Times New Roman" w:cs="Times New Roman"/>
          <w:color w:val="000000" w:themeColor="text1"/>
          <w:sz w:val="24"/>
          <w:szCs w:val="24"/>
          <w:lang w:val="en-US" w:eastAsia="fr-FR"/>
        </w:rPr>
        <w:t>.</w:t>
      </w:r>
      <w:r w:rsidR="007E003C" w:rsidRPr="007E003C">
        <w:rPr>
          <w:rFonts w:ascii="Times New Roman" w:eastAsia="Times New Roman" w:hAnsi="Times New Roman" w:cs="Times New Roman"/>
          <w:color w:val="000000" w:themeColor="text1"/>
          <w:sz w:val="24"/>
          <w:szCs w:val="24"/>
          <w:lang w:val="en-US" w:eastAsia="fr-FR"/>
        </w:rPr>
        <w:t xml:space="preserve"> </w:t>
      </w:r>
      <w:r w:rsidRPr="007E003C">
        <w:rPr>
          <w:rFonts w:ascii="Times New Roman" w:eastAsia="Times New Roman" w:hAnsi="Times New Roman" w:cs="Times New Roman"/>
          <w:color w:val="000000" w:themeColor="text1"/>
          <w:sz w:val="24"/>
          <w:szCs w:val="24"/>
          <w:lang w:val="en-US" w:eastAsia="fr-FR"/>
        </w:rPr>
        <w:t>org/10.1080/09613218.2012.703488</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2E648F">
        <w:rPr>
          <w:rFonts w:ascii="Times New Roman" w:eastAsia="Times New Roman" w:hAnsi="Times New Roman" w:cs="Times New Roman"/>
          <w:b/>
          <w:bCs/>
          <w:color w:val="000000"/>
          <w:sz w:val="24"/>
          <w:szCs w:val="24"/>
          <w:lang w:val="en-US" w:eastAsia="fr-FR"/>
        </w:rPr>
        <w:t>Bowling</w:t>
      </w:r>
      <w:r w:rsidRPr="00A829B3">
        <w:rPr>
          <w:rFonts w:ascii="Times New Roman" w:eastAsia="Times New Roman" w:hAnsi="Times New Roman" w:cs="Times New Roman"/>
          <w:b/>
          <w:bCs/>
          <w:color w:val="000000"/>
          <w:sz w:val="24"/>
          <w:szCs w:val="24"/>
          <w:lang w:val="en-US" w:eastAsia="fr-FR"/>
        </w:rPr>
        <w:t>, A.</w:t>
      </w:r>
      <w:r w:rsidR="00A829B3" w:rsidRPr="00A829B3">
        <w:rPr>
          <w:rFonts w:ascii="Times New Roman" w:eastAsia="Times New Roman" w:hAnsi="Times New Roman" w:cs="Times New Roman"/>
          <w:b/>
          <w:bCs/>
          <w:color w:val="000000"/>
          <w:sz w:val="24"/>
          <w:szCs w:val="24"/>
          <w:lang w:val="en-US" w:eastAsia="fr-FR"/>
        </w:rPr>
        <w:t>, (</w:t>
      </w:r>
      <w:r w:rsidRPr="00A829B3">
        <w:rPr>
          <w:rFonts w:ascii="Times New Roman" w:eastAsia="Times New Roman" w:hAnsi="Times New Roman" w:cs="Times New Roman"/>
          <w:b/>
          <w:bCs/>
          <w:color w:val="000000"/>
          <w:sz w:val="24"/>
          <w:szCs w:val="24"/>
          <w:lang w:val="en-US" w:eastAsia="fr-FR"/>
        </w:rPr>
        <w:t>2005</w:t>
      </w:r>
      <w:r w:rsidR="00A829B3" w:rsidRPr="00A829B3">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A829B3">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Mode of questionnaire administration can have serious effects on data quality</w:t>
      </w:r>
      <w:r w:rsidR="00A829B3">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Pr="00A829B3">
        <w:rPr>
          <w:rFonts w:ascii="Times New Roman" w:eastAsia="Times New Roman" w:hAnsi="Times New Roman" w:cs="Times New Roman"/>
          <w:i/>
          <w:iCs/>
          <w:color w:val="000000"/>
          <w:sz w:val="24"/>
          <w:szCs w:val="24"/>
          <w:lang w:val="en-US" w:eastAsia="fr-FR"/>
        </w:rPr>
        <w:t>Journal of public health</w:t>
      </w:r>
      <w:r w:rsidR="00A829B3">
        <w:rPr>
          <w:rFonts w:ascii="Times New Roman" w:eastAsia="Times New Roman" w:hAnsi="Times New Roman" w:cs="Times New Roman"/>
          <w:color w:val="000000"/>
          <w:sz w:val="24"/>
          <w:szCs w:val="24"/>
          <w:lang w:val="en-US" w:eastAsia="fr-FR"/>
        </w:rPr>
        <w:t>, vol.</w:t>
      </w:r>
      <w:r w:rsidRPr="00EE4D60">
        <w:rPr>
          <w:rFonts w:ascii="Times New Roman" w:eastAsia="Times New Roman" w:hAnsi="Times New Roman" w:cs="Times New Roman"/>
          <w:color w:val="000000"/>
          <w:sz w:val="24"/>
          <w:szCs w:val="24"/>
          <w:lang w:val="en-US" w:eastAsia="fr-FR"/>
        </w:rPr>
        <w:t xml:space="preserve"> 27</w:t>
      </w:r>
      <w:r w:rsidR="00A829B3">
        <w:rPr>
          <w:rFonts w:ascii="Times New Roman" w:eastAsia="Times New Roman" w:hAnsi="Times New Roman" w:cs="Times New Roman"/>
          <w:color w:val="000000"/>
          <w:sz w:val="24"/>
          <w:szCs w:val="24"/>
          <w:lang w:val="en-US" w:eastAsia="fr-FR"/>
        </w:rPr>
        <w:t xml:space="preserve">, n° </w:t>
      </w:r>
      <w:r w:rsidRPr="00EE4D60">
        <w:rPr>
          <w:rFonts w:ascii="Times New Roman" w:eastAsia="Times New Roman" w:hAnsi="Times New Roman" w:cs="Times New Roman"/>
          <w:color w:val="000000"/>
          <w:sz w:val="24"/>
          <w:szCs w:val="24"/>
          <w:lang w:val="en-US" w:eastAsia="fr-FR"/>
        </w:rPr>
        <w:t>3, p</w:t>
      </w:r>
      <w:r w:rsidR="00B26A4B">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 281-291.</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56" w:tgtFrame="_blank" w:history="1">
        <w:r w:rsidR="00E724B9" w:rsidRPr="002E648F">
          <w:rPr>
            <w:rFonts w:ascii="Times New Roman" w:eastAsia="Times New Roman" w:hAnsi="Times New Roman" w:cs="Times New Roman"/>
            <w:b/>
            <w:bCs/>
            <w:color w:val="000000"/>
            <w:sz w:val="24"/>
            <w:szCs w:val="24"/>
            <w:lang w:val="en-US" w:eastAsia="fr-FR"/>
          </w:rPr>
          <w:t>Bradford</w:t>
        </w:r>
        <w:r w:rsidR="00E724B9" w:rsidRPr="00A829B3">
          <w:rPr>
            <w:rFonts w:ascii="Times New Roman" w:eastAsia="Times New Roman" w:hAnsi="Times New Roman" w:cs="Times New Roman"/>
            <w:b/>
            <w:bCs/>
            <w:color w:val="000000"/>
            <w:sz w:val="24"/>
            <w:szCs w:val="24"/>
            <w:lang w:val="en-US" w:eastAsia="fr-FR"/>
          </w:rPr>
          <w:t>. R. A, O’Sullivan. J. J, van der Craats. I. M, Krywkow. J, Rotko. P, Aaltonen. J, Bonaiuto. M,</w:t>
        </w:r>
        <w:r w:rsidR="00A829B3" w:rsidRPr="00A829B3">
          <w:rPr>
            <w:rFonts w:ascii="Times New Roman" w:eastAsia="Times New Roman" w:hAnsi="Times New Roman" w:cs="Times New Roman"/>
            <w:b/>
            <w:bCs/>
            <w:color w:val="000000"/>
            <w:sz w:val="24"/>
            <w:szCs w:val="24"/>
            <w:lang w:val="en-US" w:eastAsia="fr-FR"/>
          </w:rPr>
          <w:t xml:space="preserve"> De Dominicis. S, Waylen. K, &amp;</w:t>
        </w:r>
        <w:r w:rsidR="00E724B9" w:rsidRPr="00A829B3">
          <w:rPr>
            <w:rFonts w:ascii="Times New Roman" w:eastAsia="Times New Roman" w:hAnsi="Times New Roman" w:cs="Times New Roman"/>
            <w:b/>
            <w:bCs/>
            <w:color w:val="000000"/>
            <w:sz w:val="24"/>
            <w:szCs w:val="24"/>
            <w:lang w:val="en-US" w:eastAsia="fr-FR"/>
          </w:rPr>
          <w:t xml:space="preserve"> Schelfaut. K, (2012):</w:t>
        </w:r>
        <w:r w:rsidR="00A829B3">
          <w:rPr>
            <w:rFonts w:ascii="Times New Roman" w:eastAsia="Times New Roman" w:hAnsi="Times New Roman" w:cs="Times New Roman"/>
            <w:color w:val="000000"/>
            <w:sz w:val="24"/>
            <w:szCs w:val="24"/>
            <w:lang w:val="en-US" w:eastAsia="fr-FR"/>
          </w:rPr>
          <w:t xml:space="preserve"> “</w:t>
        </w:r>
        <w:r w:rsidR="00E724B9" w:rsidRPr="00EE4D60">
          <w:rPr>
            <w:rFonts w:ascii="Times New Roman" w:eastAsia="Times New Roman" w:hAnsi="Times New Roman" w:cs="Times New Roman"/>
            <w:color w:val="000000"/>
            <w:sz w:val="24"/>
            <w:szCs w:val="24"/>
            <w:lang w:val="en-US" w:eastAsia="fr-FR"/>
          </w:rPr>
          <w:t>Risk perception – issues for flood management in Europe</w:t>
        </w:r>
        <w:r w:rsidR="00A829B3">
          <w:rPr>
            <w:rFonts w:ascii="Times New Roman" w:eastAsia="Times New Roman" w:hAnsi="Times New Roman" w:cs="Times New Roman"/>
            <w:color w:val="000000"/>
            <w:sz w:val="24"/>
            <w:szCs w:val="24"/>
            <w:lang w:val="en-US" w:eastAsia="fr-FR"/>
          </w:rPr>
          <w:t>”</w:t>
        </w:r>
        <w:r w:rsidR="00E724B9" w:rsidRPr="00EE4D60">
          <w:rPr>
            <w:rFonts w:ascii="Times New Roman" w:eastAsia="Times New Roman" w:hAnsi="Times New Roman" w:cs="Times New Roman"/>
            <w:color w:val="000000"/>
            <w:sz w:val="24"/>
            <w:szCs w:val="24"/>
            <w:lang w:val="en-US" w:eastAsia="fr-FR"/>
          </w:rPr>
          <w:t xml:space="preserve">, </w:t>
        </w:r>
        <w:r w:rsidR="00E724B9" w:rsidRPr="00A829B3">
          <w:rPr>
            <w:rFonts w:ascii="Times New Roman" w:eastAsia="Times New Roman" w:hAnsi="Times New Roman" w:cs="Times New Roman"/>
            <w:i/>
            <w:iCs/>
            <w:color w:val="000000"/>
            <w:sz w:val="24"/>
            <w:szCs w:val="24"/>
            <w:lang w:val="en-US" w:eastAsia="fr-FR"/>
          </w:rPr>
          <w:t>Nat. Hazards Earth Syst. Sci.</w:t>
        </w:r>
        <w:r w:rsidR="00E724B9" w:rsidRPr="00EE4D60">
          <w:rPr>
            <w:rFonts w:ascii="Times New Roman" w:eastAsia="Times New Roman" w:hAnsi="Times New Roman" w:cs="Times New Roman"/>
            <w:color w:val="000000"/>
            <w:sz w:val="24"/>
            <w:szCs w:val="24"/>
            <w:lang w:val="en-US" w:eastAsia="fr-FR"/>
          </w:rPr>
          <w:t>, Vol. 12, p</w:t>
        </w:r>
        <w:r w:rsidR="00B26A4B">
          <w:rPr>
            <w:rFonts w:ascii="Times New Roman" w:eastAsia="Times New Roman" w:hAnsi="Times New Roman" w:cs="Times New Roman"/>
            <w:color w:val="000000"/>
            <w:sz w:val="24"/>
            <w:szCs w:val="24"/>
            <w:lang w:val="en-US" w:eastAsia="fr-FR"/>
          </w:rPr>
          <w:t>p</w:t>
        </w:r>
        <w:r w:rsidR="00E724B9" w:rsidRPr="00EE4D60">
          <w:rPr>
            <w:rFonts w:ascii="Times New Roman" w:eastAsia="Times New Roman" w:hAnsi="Times New Roman" w:cs="Times New Roman"/>
            <w:color w:val="000000"/>
            <w:sz w:val="24"/>
            <w:szCs w:val="24"/>
            <w:lang w:val="en-US" w:eastAsia="fr-FR"/>
          </w:rPr>
          <w:t>. 2299–2309. DOI:10.5194/nhess-12-2299-2012</w:t>
        </w:r>
      </w:hyperlink>
    </w:p>
    <w:p w:rsidR="007229EC" w:rsidRPr="007229EC" w:rsidRDefault="007229EC" w:rsidP="00AE6E2D">
      <w:pPr>
        <w:autoSpaceDE w:val="0"/>
        <w:autoSpaceDN w:val="0"/>
        <w:adjustRightInd w:val="0"/>
        <w:spacing w:line="240" w:lineRule="auto"/>
        <w:jc w:val="both"/>
        <w:rPr>
          <w:rFonts w:asciiTheme="majorBidi" w:eastAsia="Times New Roman" w:hAnsiTheme="majorBidi" w:cstheme="majorBidi"/>
          <w:color w:val="000000"/>
          <w:sz w:val="32"/>
          <w:szCs w:val="32"/>
          <w:lang w:val="en-US" w:eastAsia="fr-FR"/>
        </w:rPr>
      </w:pPr>
      <w:r w:rsidRPr="002E648F">
        <w:rPr>
          <w:rFonts w:ascii="Times New Roman" w:eastAsia="Times New Roman" w:hAnsi="Times New Roman" w:cs="Times New Roman"/>
          <w:b/>
          <w:bCs/>
          <w:color w:val="000000"/>
          <w:sz w:val="24"/>
          <w:szCs w:val="24"/>
          <w:lang w:val="en-US" w:eastAsia="fr-FR"/>
        </w:rPr>
        <w:t>Bryant</w:t>
      </w:r>
      <w:r w:rsidRPr="007229EC">
        <w:rPr>
          <w:rFonts w:asciiTheme="majorBidi" w:hAnsiTheme="majorBidi" w:cstheme="majorBidi"/>
          <w:b/>
          <w:bCs/>
          <w:sz w:val="24"/>
          <w:szCs w:val="24"/>
          <w:lang w:val="en-US"/>
        </w:rPr>
        <w:t xml:space="preserve">, D. L. and Abkowitz, M. D. </w:t>
      </w:r>
      <w:r>
        <w:rPr>
          <w:rFonts w:asciiTheme="majorBidi" w:hAnsiTheme="majorBidi" w:cstheme="majorBidi"/>
          <w:b/>
          <w:bCs/>
          <w:sz w:val="24"/>
          <w:szCs w:val="24"/>
          <w:lang w:val="en-US"/>
        </w:rPr>
        <w:t>(</w:t>
      </w:r>
      <w:r w:rsidRPr="007229EC">
        <w:rPr>
          <w:rFonts w:asciiTheme="majorBidi" w:hAnsiTheme="majorBidi" w:cstheme="majorBidi"/>
          <w:b/>
          <w:bCs/>
          <w:sz w:val="24"/>
          <w:szCs w:val="24"/>
          <w:lang w:val="en-US"/>
        </w:rPr>
        <w:t>2007</w:t>
      </w:r>
      <w:r>
        <w:rPr>
          <w:rFonts w:asciiTheme="majorBidi" w:hAnsiTheme="majorBidi" w:cstheme="majorBidi"/>
          <w:b/>
          <w:bCs/>
          <w:sz w:val="24"/>
          <w:szCs w:val="24"/>
          <w:lang w:val="en-US"/>
        </w:rPr>
        <w:t>)</w:t>
      </w:r>
      <w:r>
        <w:rPr>
          <w:rFonts w:asciiTheme="majorBidi" w:hAnsiTheme="majorBidi" w:cstheme="majorBidi"/>
          <w:sz w:val="24"/>
          <w:szCs w:val="24"/>
          <w:lang w:val="en-US"/>
        </w:rPr>
        <w:t>:</w:t>
      </w:r>
      <w:r w:rsidRPr="007229EC">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7229EC">
        <w:rPr>
          <w:rFonts w:asciiTheme="majorBidi" w:hAnsiTheme="majorBidi" w:cstheme="majorBidi"/>
          <w:sz w:val="24"/>
          <w:szCs w:val="24"/>
          <w:lang w:val="en-US"/>
        </w:rPr>
        <w:t>Estimation of terrestrial chemical spill risk factors using a modified Delphi approach</w:t>
      </w:r>
      <w:r>
        <w:rPr>
          <w:rFonts w:asciiTheme="majorBidi" w:hAnsiTheme="majorBidi" w:cstheme="majorBidi"/>
          <w:sz w:val="24"/>
          <w:szCs w:val="24"/>
          <w:lang w:val="en-US"/>
        </w:rPr>
        <w:t>”,</w:t>
      </w:r>
      <w:r w:rsidRPr="007229EC">
        <w:rPr>
          <w:rFonts w:asciiTheme="majorBidi" w:hAnsiTheme="majorBidi" w:cstheme="majorBidi"/>
          <w:sz w:val="24"/>
          <w:szCs w:val="24"/>
          <w:lang w:val="en-US"/>
        </w:rPr>
        <w:t xml:space="preserve"> </w:t>
      </w:r>
      <w:r w:rsidRPr="007229EC">
        <w:rPr>
          <w:rFonts w:asciiTheme="majorBidi" w:hAnsiTheme="majorBidi" w:cstheme="majorBidi"/>
          <w:i/>
          <w:iCs/>
          <w:sz w:val="24"/>
          <w:szCs w:val="24"/>
          <w:lang w:val="en-US"/>
        </w:rPr>
        <w:t>Journal of environmental management</w:t>
      </w:r>
      <w:r w:rsidRPr="007229EC">
        <w:rPr>
          <w:rFonts w:asciiTheme="majorBidi" w:hAnsiTheme="majorBidi" w:cstheme="majorBidi"/>
          <w:sz w:val="24"/>
          <w:szCs w:val="24"/>
          <w:lang w:val="en-US"/>
        </w:rPr>
        <w:t>,</w:t>
      </w:r>
      <w:r w:rsidRPr="007229EC">
        <w:rPr>
          <w:lang w:val="en-US"/>
        </w:rPr>
        <w:t xml:space="preserve"> </w:t>
      </w:r>
      <w:r w:rsidRPr="007229EC">
        <w:rPr>
          <w:rFonts w:asciiTheme="majorBidi" w:hAnsiTheme="majorBidi" w:cstheme="majorBidi"/>
          <w:sz w:val="24"/>
          <w:szCs w:val="24"/>
          <w:lang w:val="en-US"/>
        </w:rPr>
        <w:t>Vol.</w:t>
      </w:r>
      <w:r>
        <w:rPr>
          <w:rFonts w:asciiTheme="majorBidi" w:hAnsiTheme="majorBidi" w:cstheme="majorBidi"/>
          <w:sz w:val="24"/>
          <w:szCs w:val="24"/>
          <w:lang w:val="en-US"/>
        </w:rPr>
        <w:t xml:space="preserve"> </w:t>
      </w:r>
      <w:r w:rsidRPr="007229EC">
        <w:rPr>
          <w:rFonts w:asciiTheme="majorBidi" w:hAnsiTheme="majorBidi" w:cstheme="majorBidi"/>
          <w:sz w:val="24"/>
          <w:szCs w:val="24"/>
          <w:lang w:val="en-US"/>
        </w:rPr>
        <w:t>85</w:t>
      </w:r>
      <w:r>
        <w:rPr>
          <w:rFonts w:ascii="Times New Roman" w:eastAsia="Times New Roman" w:hAnsi="Times New Roman" w:cs="Times New Roman"/>
          <w:color w:val="000000"/>
          <w:sz w:val="24"/>
          <w:szCs w:val="24"/>
          <w:lang w:val="en-US" w:eastAsia="fr-FR"/>
        </w:rPr>
        <w:t>, n° 1</w:t>
      </w:r>
      <w:r w:rsidRPr="00EE4D60">
        <w:rPr>
          <w:rFonts w:ascii="Times New Roman" w:eastAsia="Times New Roman" w:hAnsi="Times New Roman" w:cs="Times New Roman"/>
          <w:color w:val="000000"/>
          <w:sz w:val="24"/>
          <w:szCs w:val="24"/>
          <w:lang w:val="en-US" w:eastAsia="fr-FR"/>
        </w:rPr>
        <w:t>, p</w:t>
      </w:r>
      <w:r>
        <w:rPr>
          <w:rFonts w:ascii="Times New Roman" w:eastAsia="Times New Roman" w:hAnsi="Times New Roman" w:cs="Times New Roman"/>
          <w:color w:val="000000"/>
          <w:sz w:val="24"/>
          <w:szCs w:val="24"/>
          <w:lang w:val="en-US" w:eastAsia="fr-FR"/>
        </w:rPr>
        <w:t>p</w:t>
      </w:r>
      <w:r w:rsidRPr="00EE4D60">
        <w:rPr>
          <w:rFonts w:ascii="Times New Roman" w:eastAsia="Times New Roman" w:hAnsi="Times New Roman" w:cs="Times New Roman"/>
          <w:color w:val="000000"/>
          <w:sz w:val="24"/>
          <w:szCs w:val="24"/>
          <w:lang w:val="en-US" w:eastAsia="fr-FR"/>
        </w:rPr>
        <w:t>.</w:t>
      </w:r>
      <w:r>
        <w:rPr>
          <w:rFonts w:ascii="Times New Roman" w:eastAsia="Times New Roman" w:hAnsi="Times New Roman" w:cs="Times New Roman"/>
          <w:color w:val="000000"/>
          <w:sz w:val="24"/>
          <w:szCs w:val="24"/>
          <w:lang w:val="en-US" w:eastAsia="fr-FR"/>
        </w:rPr>
        <w:t xml:space="preserve"> </w:t>
      </w:r>
      <w:r w:rsidRPr="007229EC">
        <w:rPr>
          <w:rFonts w:asciiTheme="majorBidi" w:hAnsiTheme="majorBidi" w:cstheme="majorBidi"/>
          <w:sz w:val="24"/>
          <w:szCs w:val="24"/>
          <w:lang w:val="en-US"/>
        </w:rPr>
        <w:t>112-120.</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2E648F">
        <w:rPr>
          <w:rFonts w:ascii="Times New Roman" w:eastAsia="Times New Roman" w:hAnsi="Times New Roman" w:cs="Times New Roman"/>
          <w:b/>
          <w:bCs/>
          <w:color w:val="000000"/>
          <w:sz w:val="24"/>
          <w:szCs w:val="24"/>
          <w:lang w:val="en-US" w:eastAsia="fr-FR"/>
        </w:rPr>
        <w:t>Brody, S.</w:t>
      </w:r>
      <w:r w:rsidR="00A829B3" w:rsidRPr="002E648F">
        <w:rPr>
          <w:rFonts w:ascii="Times New Roman" w:eastAsia="Times New Roman" w:hAnsi="Times New Roman" w:cs="Times New Roman"/>
          <w:b/>
          <w:bCs/>
          <w:color w:val="000000"/>
          <w:sz w:val="24"/>
          <w:szCs w:val="24"/>
          <w:lang w:val="en-US" w:eastAsia="fr-FR"/>
        </w:rPr>
        <w:t>,</w:t>
      </w:r>
      <w:r w:rsidRPr="002E648F">
        <w:rPr>
          <w:rFonts w:ascii="Times New Roman" w:eastAsia="Times New Roman" w:hAnsi="Times New Roman" w:cs="Times New Roman"/>
          <w:b/>
          <w:bCs/>
          <w:color w:val="000000"/>
          <w:sz w:val="24"/>
          <w:szCs w:val="24"/>
          <w:lang w:val="en-US" w:eastAsia="fr-FR"/>
        </w:rPr>
        <w:t xml:space="preserve"> Kim, H.</w:t>
      </w:r>
      <w:r w:rsidR="00A829B3" w:rsidRPr="002E648F">
        <w:rPr>
          <w:rFonts w:ascii="Times New Roman" w:eastAsia="Times New Roman" w:hAnsi="Times New Roman" w:cs="Times New Roman"/>
          <w:b/>
          <w:bCs/>
          <w:color w:val="000000"/>
          <w:sz w:val="24"/>
          <w:szCs w:val="24"/>
          <w:lang w:val="en-US" w:eastAsia="fr-FR"/>
        </w:rPr>
        <w:t>&amp;</w:t>
      </w:r>
      <w:r w:rsidRPr="002E648F">
        <w:rPr>
          <w:rFonts w:ascii="Times New Roman" w:eastAsia="Times New Roman" w:hAnsi="Times New Roman" w:cs="Times New Roman"/>
          <w:b/>
          <w:bCs/>
          <w:color w:val="000000"/>
          <w:sz w:val="24"/>
          <w:szCs w:val="24"/>
          <w:lang w:val="en-US" w:eastAsia="fr-FR"/>
        </w:rPr>
        <w:t xml:space="preserve"> Gunn, J.</w:t>
      </w:r>
      <w:r w:rsidR="00A829B3" w:rsidRPr="002E648F">
        <w:rPr>
          <w:rFonts w:ascii="Times New Roman" w:eastAsia="Times New Roman" w:hAnsi="Times New Roman" w:cs="Times New Roman"/>
          <w:b/>
          <w:bCs/>
          <w:color w:val="000000"/>
          <w:sz w:val="24"/>
          <w:szCs w:val="24"/>
          <w:lang w:val="en-US" w:eastAsia="fr-FR"/>
        </w:rPr>
        <w:t>, (2013</w:t>
      </w:r>
      <w:r w:rsidR="00A829B3" w:rsidRPr="00A829B3">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A829B3">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Examining the Impacts of Development Patterns on Flooding on the Gulf of Mexico Coast</w:t>
      </w:r>
      <w:r w:rsidR="00A829B3">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Pr="00A829B3">
        <w:rPr>
          <w:rFonts w:ascii="Times New Roman" w:eastAsia="Times New Roman" w:hAnsi="Times New Roman" w:cs="Times New Roman"/>
          <w:i/>
          <w:iCs/>
          <w:color w:val="000000"/>
          <w:sz w:val="24"/>
          <w:szCs w:val="24"/>
          <w:lang w:val="en-US" w:eastAsia="fr-FR"/>
        </w:rPr>
        <w:t>Urban Stud.</w:t>
      </w:r>
      <w:r w:rsidR="00A829B3">
        <w:rPr>
          <w:rFonts w:ascii="Times New Roman" w:eastAsia="Times New Roman" w:hAnsi="Times New Roman" w:cs="Times New Roman"/>
          <w:i/>
          <w:iCs/>
          <w:color w:val="000000"/>
          <w:sz w:val="24"/>
          <w:szCs w:val="24"/>
          <w:lang w:val="en-US" w:eastAsia="fr-FR"/>
        </w:rPr>
        <w:t>,</w:t>
      </w:r>
      <w:r w:rsidR="00A829B3">
        <w:rPr>
          <w:rFonts w:ascii="Times New Roman" w:eastAsia="Times New Roman" w:hAnsi="Times New Roman" w:cs="Times New Roman"/>
          <w:color w:val="000000"/>
          <w:sz w:val="24"/>
          <w:szCs w:val="24"/>
          <w:lang w:val="en-US" w:eastAsia="fr-FR"/>
        </w:rPr>
        <w:t>vol.</w:t>
      </w:r>
      <w:r w:rsidRPr="00EE4D60">
        <w:rPr>
          <w:rFonts w:ascii="Times New Roman" w:eastAsia="Times New Roman" w:hAnsi="Times New Roman" w:cs="Times New Roman"/>
          <w:color w:val="000000"/>
          <w:sz w:val="24"/>
          <w:szCs w:val="24"/>
          <w:lang w:val="en-US" w:eastAsia="fr-FR"/>
        </w:rPr>
        <w:t xml:space="preserve"> 50, </w:t>
      </w:r>
      <w:r w:rsidR="00B26A4B">
        <w:rPr>
          <w:rFonts w:ascii="Times New Roman" w:eastAsia="Times New Roman" w:hAnsi="Times New Roman" w:cs="Times New Roman"/>
          <w:color w:val="000000"/>
          <w:sz w:val="24"/>
          <w:szCs w:val="24"/>
          <w:lang w:val="en-US" w:eastAsia="fr-FR"/>
        </w:rPr>
        <w:t>p</w:t>
      </w:r>
      <w:r w:rsidR="00A829B3">
        <w:rPr>
          <w:rFonts w:ascii="Times New Roman" w:eastAsia="Times New Roman" w:hAnsi="Times New Roman" w:cs="Times New Roman"/>
          <w:color w:val="000000"/>
          <w:sz w:val="24"/>
          <w:szCs w:val="24"/>
          <w:lang w:val="en-US" w:eastAsia="fr-FR"/>
        </w:rPr>
        <w:t xml:space="preserve">p. </w:t>
      </w:r>
      <w:r w:rsidRPr="00EE4D60">
        <w:rPr>
          <w:rFonts w:ascii="Times New Roman" w:eastAsia="Times New Roman" w:hAnsi="Times New Roman" w:cs="Times New Roman"/>
          <w:color w:val="000000"/>
          <w:sz w:val="24"/>
          <w:szCs w:val="24"/>
          <w:lang w:val="en-US" w:eastAsia="fr-FR"/>
        </w:rPr>
        <w:t>789–806.</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2E648F">
        <w:rPr>
          <w:rFonts w:ascii="Times New Roman" w:eastAsia="Times New Roman" w:hAnsi="Times New Roman" w:cs="Times New Roman"/>
          <w:b/>
          <w:bCs/>
          <w:color w:val="000000"/>
          <w:sz w:val="24"/>
          <w:szCs w:val="24"/>
          <w:lang w:val="en-US" w:eastAsia="fr-FR"/>
        </w:rPr>
        <w:t>Brondizio</w:t>
      </w:r>
      <w:r w:rsidRPr="00A829B3">
        <w:rPr>
          <w:rFonts w:ascii="Times New Roman" w:eastAsia="Times New Roman" w:hAnsi="Times New Roman" w:cs="Times New Roman"/>
          <w:b/>
          <w:bCs/>
          <w:color w:val="000000"/>
          <w:sz w:val="24"/>
          <w:szCs w:val="24"/>
          <w:lang w:val="en-US" w:eastAsia="fr-FR"/>
        </w:rPr>
        <w:t>, E. S., Ostrom, E., &amp; Young, O. R.</w:t>
      </w:r>
      <w:r w:rsidR="00A829B3" w:rsidRPr="00A829B3">
        <w:rPr>
          <w:rFonts w:ascii="Times New Roman" w:eastAsia="Times New Roman" w:hAnsi="Times New Roman" w:cs="Times New Roman"/>
          <w:b/>
          <w:bCs/>
          <w:color w:val="000000"/>
          <w:sz w:val="24"/>
          <w:szCs w:val="24"/>
          <w:lang w:val="en-US" w:eastAsia="fr-FR"/>
        </w:rPr>
        <w:t>, (2009):</w:t>
      </w:r>
      <w:r w:rsidRPr="00EE4D60">
        <w:rPr>
          <w:rFonts w:ascii="Times New Roman" w:eastAsia="Times New Roman" w:hAnsi="Times New Roman" w:cs="Times New Roman"/>
          <w:color w:val="000000"/>
          <w:sz w:val="24"/>
          <w:szCs w:val="24"/>
          <w:lang w:val="en-US" w:eastAsia="fr-FR"/>
        </w:rPr>
        <w:t xml:space="preserve"> </w:t>
      </w:r>
      <w:r w:rsidR="00A829B3">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Connectivity and the Governance of Multilevel Social-Ecological Systems</w:t>
      </w:r>
      <w:r w:rsidR="00A829B3">
        <w:rPr>
          <w:rFonts w:ascii="Times New Roman" w:eastAsia="Times New Roman" w:hAnsi="Times New Roman" w:cs="Times New Roman"/>
          <w:color w:val="000000"/>
          <w:sz w:val="24"/>
          <w:szCs w:val="24"/>
          <w:lang w:val="en-US" w:eastAsia="fr-FR"/>
        </w:rPr>
        <w:t xml:space="preserve">, </w:t>
      </w:r>
      <w:r w:rsidRPr="00EE4D60">
        <w:rPr>
          <w:rFonts w:ascii="Times New Roman" w:eastAsia="Times New Roman" w:hAnsi="Times New Roman" w:cs="Times New Roman"/>
          <w:color w:val="000000"/>
          <w:sz w:val="24"/>
          <w:szCs w:val="24"/>
          <w:lang w:val="en-US" w:eastAsia="fr-FR"/>
        </w:rPr>
        <w:t>The Role of Social Capital</w:t>
      </w:r>
      <w:r w:rsidR="00A829B3">
        <w:rPr>
          <w:rFonts w:ascii="Times New Roman" w:eastAsia="Times New Roman" w:hAnsi="Times New Roman" w:cs="Times New Roman"/>
          <w:color w:val="000000"/>
          <w:sz w:val="24"/>
          <w:szCs w:val="24"/>
          <w:lang w:val="en-US" w:eastAsia="fr-FR"/>
        </w:rPr>
        <w:t xml:space="preserve">”, </w:t>
      </w:r>
      <w:r w:rsidRPr="00A829B3">
        <w:rPr>
          <w:rFonts w:ascii="Times New Roman" w:eastAsia="Times New Roman" w:hAnsi="Times New Roman" w:cs="Times New Roman"/>
          <w:i/>
          <w:iCs/>
          <w:color w:val="000000"/>
          <w:sz w:val="24"/>
          <w:szCs w:val="24"/>
          <w:lang w:val="en-US" w:eastAsia="fr-FR"/>
        </w:rPr>
        <w:t>Annual Review of Environment and Resources</w:t>
      </w:r>
      <w:r w:rsidR="00A829B3">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A829B3">
        <w:rPr>
          <w:rFonts w:ascii="Times New Roman" w:eastAsia="Times New Roman" w:hAnsi="Times New Roman" w:cs="Times New Roman"/>
          <w:color w:val="000000"/>
          <w:sz w:val="24"/>
          <w:szCs w:val="24"/>
          <w:lang w:val="en-US" w:eastAsia="fr-FR"/>
        </w:rPr>
        <w:t xml:space="preserve">vol. </w:t>
      </w:r>
      <w:r w:rsidRPr="00EE4D60">
        <w:rPr>
          <w:rFonts w:ascii="Times New Roman" w:eastAsia="Times New Roman" w:hAnsi="Times New Roman" w:cs="Times New Roman"/>
          <w:color w:val="000000"/>
          <w:sz w:val="24"/>
          <w:szCs w:val="24"/>
          <w:lang w:val="en-US" w:eastAsia="fr-FR"/>
        </w:rPr>
        <w:t>34</w:t>
      </w:r>
      <w:r w:rsidR="00A829B3">
        <w:rPr>
          <w:rFonts w:ascii="Times New Roman" w:eastAsia="Times New Roman" w:hAnsi="Times New Roman" w:cs="Times New Roman"/>
          <w:color w:val="000000"/>
          <w:sz w:val="24"/>
          <w:szCs w:val="24"/>
          <w:lang w:val="en-US" w:eastAsia="fr-FR"/>
        </w:rPr>
        <w:t xml:space="preserve">, n° </w:t>
      </w:r>
      <w:r w:rsidRPr="00EE4D60">
        <w:rPr>
          <w:rFonts w:ascii="Times New Roman" w:eastAsia="Times New Roman" w:hAnsi="Times New Roman" w:cs="Times New Roman"/>
          <w:color w:val="000000"/>
          <w:sz w:val="24"/>
          <w:szCs w:val="24"/>
          <w:lang w:val="en-US" w:eastAsia="fr-FR"/>
        </w:rPr>
        <w:t>1</w:t>
      </w:r>
      <w:r w:rsidR="00A829B3">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A829B3">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00A829B3">
        <w:rPr>
          <w:rFonts w:ascii="Times New Roman" w:eastAsia="Times New Roman" w:hAnsi="Times New Roman" w:cs="Times New Roman"/>
          <w:color w:val="000000"/>
          <w:sz w:val="24"/>
          <w:szCs w:val="24"/>
          <w:lang w:val="en-US" w:eastAsia="fr-FR"/>
        </w:rPr>
        <w:t xml:space="preserve">. </w:t>
      </w:r>
      <w:r w:rsidRPr="00EE4D60">
        <w:rPr>
          <w:rFonts w:ascii="Times New Roman" w:eastAsia="Times New Roman" w:hAnsi="Times New Roman" w:cs="Times New Roman"/>
          <w:color w:val="000000"/>
          <w:sz w:val="24"/>
          <w:szCs w:val="24"/>
          <w:lang w:val="en-US" w:eastAsia="fr-FR"/>
        </w:rPr>
        <w:t>253-278.</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2E648F">
        <w:rPr>
          <w:rFonts w:ascii="Times New Roman" w:eastAsia="Times New Roman" w:hAnsi="Times New Roman" w:cs="Times New Roman"/>
          <w:b/>
          <w:bCs/>
          <w:color w:val="000000"/>
          <w:sz w:val="24"/>
          <w:szCs w:val="24"/>
          <w:lang w:val="en-US" w:eastAsia="fr-FR"/>
        </w:rPr>
        <w:t>Bruneau</w:t>
      </w:r>
      <w:r w:rsidRPr="00D701BD">
        <w:rPr>
          <w:rFonts w:ascii="Times New Roman" w:eastAsia="Times New Roman" w:hAnsi="Times New Roman" w:cs="Times New Roman"/>
          <w:b/>
          <w:bCs/>
          <w:color w:val="000000"/>
          <w:sz w:val="24"/>
          <w:szCs w:val="24"/>
          <w:lang w:val="en-US" w:eastAsia="fr-FR"/>
        </w:rPr>
        <w:t>, M., Chang, S. E., Eguchi, R. T., Lee, G. C., O'Rourke, T. D., Reinhorn, A. M.</w:t>
      </w:r>
      <w:r w:rsidR="00D701BD" w:rsidRPr="00D701BD">
        <w:rPr>
          <w:rFonts w:ascii="Times New Roman" w:eastAsia="Times New Roman" w:hAnsi="Times New Roman" w:cs="Times New Roman"/>
          <w:b/>
          <w:bCs/>
          <w:color w:val="000000"/>
          <w:sz w:val="24"/>
          <w:szCs w:val="24"/>
          <w:lang w:val="en-US" w:eastAsia="fr-FR"/>
        </w:rPr>
        <w:t xml:space="preserve"> </w:t>
      </w:r>
      <w:r w:rsidR="00A829B3" w:rsidRPr="00D701BD">
        <w:rPr>
          <w:rFonts w:ascii="Times New Roman" w:eastAsia="Times New Roman" w:hAnsi="Times New Roman" w:cs="Times New Roman"/>
          <w:b/>
          <w:bCs/>
          <w:color w:val="000000"/>
          <w:sz w:val="24"/>
          <w:szCs w:val="24"/>
          <w:lang w:val="en-US" w:eastAsia="fr-FR"/>
        </w:rPr>
        <w:t>&amp;</w:t>
      </w:r>
      <w:r w:rsidRPr="00D701BD">
        <w:rPr>
          <w:rFonts w:ascii="Times New Roman" w:eastAsia="Times New Roman" w:hAnsi="Times New Roman" w:cs="Times New Roman"/>
          <w:b/>
          <w:bCs/>
          <w:color w:val="000000"/>
          <w:sz w:val="24"/>
          <w:szCs w:val="24"/>
          <w:lang w:val="en-US" w:eastAsia="fr-FR"/>
        </w:rPr>
        <w:t xml:space="preserve"> </w:t>
      </w:r>
      <w:r w:rsidR="00A829B3" w:rsidRPr="00D701BD">
        <w:rPr>
          <w:rFonts w:ascii="Times New Roman" w:eastAsia="Times New Roman" w:hAnsi="Times New Roman" w:cs="Times New Roman"/>
          <w:b/>
          <w:bCs/>
          <w:color w:val="000000"/>
          <w:sz w:val="24"/>
          <w:szCs w:val="24"/>
          <w:lang w:val="en-US" w:eastAsia="fr-FR"/>
        </w:rPr>
        <w:t>V</w:t>
      </w:r>
      <w:r w:rsidRPr="00D701BD">
        <w:rPr>
          <w:rFonts w:ascii="Times New Roman" w:eastAsia="Times New Roman" w:hAnsi="Times New Roman" w:cs="Times New Roman"/>
          <w:b/>
          <w:bCs/>
          <w:color w:val="000000"/>
          <w:sz w:val="24"/>
          <w:szCs w:val="24"/>
          <w:lang w:val="en-US" w:eastAsia="fr-FR"/>
        </w:rPr>
        <w:t>on Winterfeldt, D.</w:t>
      </w:r>
      <w:r w:rsidR="00A829B3" w:rsidRPr="00D701BD">
        <w:rPr>
          <w:rFonts w:ascii="Times New Roman" w:eastAsia="Times New Roman" w:hAnsi="Times New Roman" w:cs="Times New Roman"/>
          <w:b/>
          <w:bCs/>
          <w:color w:val="000000"/>
          <w:sz w:val="24"/>
          <w:szCs w:val="24"/>
          <w:lang w:val="en-US" w:eastAsia="fr-FR"/>
        </w:rPr>
        <w:t>,</w:t>
      </w:r>
      <w:r w:rsidRPr="00D701BD">
        <w:rPr>
          <w:rFonts w:ascii="Times New Roman" w:eastAsia="Times New Roman" w:hAnsi="Times New Roman" w:cs="Times New Roman"/>
          <w:b/>
          <w:bCs/>
          <w:color w:val="000000"/>
          <w:sz w:val="24"/>
          <w:szCs w:val="24"/>
          <w:lang w:val="en-US" w:eastAsia="fr-FR"/>
        </w:rPr>
        <w:t xml:space="preserve"> (2003)</w:t>
      </w:r>
      <w:r w:rsidR="00A829B3" w:rsidRPr="00D701BD">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D701BD">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A framework to quantitatively assess and enhance the seismic resilience of communities</w:t>
      </w:r>
      <w:r w:rsidR="00D701BD">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Pr="00D701BD">
        <w:rPr>
          <w:rFonts w:ascii="Times New Roman" w:eastAsia="Times New Roman" w:hAnsi="Times New Roman" w:cs="Times New Roman"/>
          <w:i/>
          <w:iCs/>
          <w:color w:val="000000"/>
          <w:sz w:val="24"/>
          <w:szCs w:val="24"/>
          <w:lang w:val="en-US" w:eastAsia="fr-FR"/>
        </w:rPr>
        <w:t>Earthquake spectra</w:t>
      </w:r>
      <w:r w:rsidRPr="00EE4D60">
        <w:rPr>
          <w:rFonts w:ascii="Times New Roman" w:eastAsia="Times New Roman" w:hAnsi="Times New Roman" w:cs="Times New Roman"/>
          <w:color w:val="000000"/>
          <w:sz w:val="24"/>
          <w:szCs w:val="24"/>
          <w:lang w:val="en-US" w:eastAsia="fr-FR"/>
        </w:rPr>
        <w:t xml:space="preserve">, </w:t>
      </w:r>
      <w:r w:rsidR="00D701BD">
        <w:rPr>
          <w:rFonts w:ascii="Times New Roman" w:eastAsia="Times New Roman" w:hAnsi="Times New Roman" w:cs="Times New Roman"/>
          <w:color w:val="000000"/>
          <w:sz w:val="24"/>
          <w:szCs w:val="24"/>
          <w:lang w:val="en-US" w:eastAsia="fr-FR"/>
        </w:rPr>
        <w:t xml:space="preserve">vol. </w:t>
      </w:r>
      <w:r w:rsidRPr="00EE4D60">
        <w:rPr>
          <w:rFonts w:ascii="Times New Roman" w:eastAsia="Times New Roman" w:hAnsi="Times New Roman" w:cs="Times New Roman"/>
          <w:color w:val="000000"/>
          <w:sz w:val="24"/>
          <w:szCs w:val="24"/>
          <w:lang w:val="en-US" w:eastAsia="fr-FR"/>
        </w:rPr>
        <w:t>19</w:t>
      </w:r>
      <w:r w:rsidR="00D701BD">
        <w:rPr>
          <w:rFonts w:ascii="Times New Roman" w:eastAsia="Times New Roman" w:hAnsi="Times New Roman" w:cs="Times New Roman"/>
          <w:color w:val="000000"/>
          <w:sz w:val="24"/>
          <w:szCs w:val="24"/>
          <w:lang w:val="en-US" w:eastAsia="fr-FR"/>
        </w:rPr>
        <w:t xml:space="preserve">, n° </w:t>
      </w:r>
      <w:r w:rsidRPr="00EE4D60">
        <w:rPr>
          <w:rFonts w:ascii="Times New Roman" w:eastAsia="Times New Roman" w:hAnsi="Times New Roman" w:cs="Times New Roman"/>
          <w:color w:val="000000"/>
          <w:sz w:val="24"/>
          <w:szCs w:val="24"/>
          <w:lang w:val="en-US" w:eastAsia="fr-FR"/>
        </w:rPr>
        <w:t>4,</w:t>
      </w:r>
      <w:r w:rsidR="00D701BD">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D701BD">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733-752.</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2E648F">
        <w:rPr>
          <w:rFonts w:ascii="Times New Roman" w:eastAsia="Times New Roman" w:hAnsi="Times New Roman" w:cs="Times New Roman"/>
          <w:b/>
          <w:bCs/>
          <w:color w:val="000000"/>
          <w:sz w:val="24"/>
          <w:szCs w:val="24"/>
          <w:lang w:val="en-US" w:eastAsia="fr-FR"/>
        </w:rPr>
        <w:t>Burby</w:t>
      </w:r>
      <w:r w:rsidRPr="00936305">
        <w:rPr>
          <w:rFonts w:ascii="Times New Roman" w:eastAsia="Times New Roman" w:hAnsi="Times New Roman" w:cs="Times New Roman"/>
          <w:b/>
          <w:bCs/>
          <w:color w:val="000000"/>
          <w:sz w:val="24"/>
          <w:szCs w:val="24"/>
          <w:lang w:val="en-US" w:eastAsia="fr-FR"/>
        </w:rPr>
        <w:t>, R., Deyle, R., Godschalk, D., &amp; Olshansky, R. (2000)</w:t>
      </w:r>
      <w:r w:rsidR="00936305" w:rsidRPr="00936305">
        <w:rPr>
          <w:rFonts w:ascii="Times New Roman" w:eastAsia="Times New Roman" w:hAnsi="Times New Roman" w:cs="Times New Roman"/>
          <w:b/>
          <w:bCs/>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00936305">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Creating Hazard Resilient Communities through Land-Use Planning</w:t>
      </w:r>
      <w:r w:rsidR="00936305">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w:t>
      </w:r>
      <w:r w:rsidRPr="00936305">
        <w:rPr>
          <w:rFonts w:ascii="Times New Roman" w:eastAsia="Times New Roman" w:hAnsi="Times New Roman" w:cs="Times New Roman"/>
          <w:i/>
          <w:iCs/>
          <w:color w:val="000000"/>
          <w:sz w:val="24"/>
          <w:szCs w:val="24"/>
          <w:lang w:val="en-US" w:eastAsia="fr-FR"/>
        </w:rPr>
        <w:t>Natural Hazards Review</w:t>
      </w:r>
      <w:r w:rsidRPr="00EE4D60">
        <w:rPr>
          <w:rFonts w:ascii="Times New Roman" w:eastAsia="Times New Roman" w:hAnsi="Times New Roman" w:cs="Times New Roman"/>
          <w:color w:val="000000"/>
          <w:sz w:val="24"/>
          <w:szCs w:val="24"/>
          <w:lang w:val="en-US" w:eastAsia="fr-FR"/>
        </w:rPr>
        <w:t xml:space="preserve">, </w:t>
      </w:r>
      <w:r w:rsidR="00936305">
        <w:rPr>
          <w:rFonts w:ascii="Times New Roman" w:eastAsia="Times New Roman" w:hAnsi="Times New Roman" w:cs="Times New Roman"/>
          <w:color w:val="000000"/>
          <w:sz w:val="24"/>
          <w:szCs w:val="24"/>
          <w:lang w:val="en-US" w:eastAsia="fr-FR"/>
        </w:rPr>
        <w:t xml:space="preserve">vol. </w:t>
      </w:r>
      <w:r w:rsidRPr="00EE4D60">
        <w:rPr>
          <w:rFonts w:ascii="Times New Roman" w:eastAsia="Times New Roman" w:hAnsi="Times New Roman" w:cs="Times New Roman"/>
          <w:color w:val="000000"/>
          <w:sz w:val="24"/>
          <w:szCs w:val="24"/>
          <w:lang w:val="en-US" w:eastAsia="fr-FR"/>
        </w:rPr>
        <w:t>1</w:t>
      </w:r>
      <w:r w:rsidR="00936305">
        <w:rPr>
          <w:rFonts w:ascii="Times New Roman" w:eastAsia="Times New Roman" w:hAnsi="Times New Roman" w:cs="Times New Roman"/>
          <w:color w:val="000000"/>
          <w:sz w:val="24"/>
          <w:szCs w:val="24"/>
          <w:lang w:val="en-US" w:eastAsia="fr-FR"/>
        </w:rPr>
        <w:t xml:space="preserve">, n° </w:t>
      </w:r>
      <w:r w:rsidRPr="00EE4D60">
        <w:rPr>
          <w:rFonts w:ascii="Times New Roman" w:eastAsia="Times New Roman" w:hAnsi="Times New Roman" w:cs="Times New Roman"/>
          <w:color w:val="000000"/>
          <w:sz w:val="24"/>
          <w:szCs w:val="24"/>
          <w:lang w:val="en-US" w:eastAsia="fr-FR"/>
        </w:rPr>
        <w:t>2,</w:t>
      </w:r>
      <w:r w:rsidR="00936305">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936305">
        <w:rPr>
          <w:rFonts w:ascii="Times New Roman" w:eastAsia="Times New Roman" w:hAnsi="Times New Roman" w:cs="Times New Roman"/>
          <w:color w:val="000000"/>
          <w:sz w:val="24"/>
          <w:szCs w:val="24"/>
          <w:lang w:val="en-US" w:eastAsia="fr-FR"/>
        </w:rPr>
        <w:t>.</w:t>
      </w:r>
      <w:r w:rsidRPr="00EE4D60">
        <w:rPr>
          <w:rFonts w:ascii="Times New Roman" w:eastAsia="Times New Roman" w:hAnsi="Times New Roman" w:cs="Times New Roman"/>
          <w:color w:val="000000"/>
          <w:sz w:val="24"/>
          <w:szCs w:val="24"/>
          <w:lang w:val="en-US" w:eastAsia="fr-FR"/>
        </w:rPr>
        <w:t xml:space="preserve"> 99-106. </w:t>
      </w:r>
    </w:p>
    <w:p w:rsidR="00E724B9" w:rsidRDefault="00D701BD"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r w:rsidRPr="002E648F">
        <w:rPr>
          <w:rFonts w:ascii="Times New Roman" w:eastAsia="Times New Roman" w:hAnsi="Times New Roman" w:cs="Times New Roman"/>
          <w:b/>
          <w:bCs/>
          <w:color w:val="000000"/>
          <w:sz w:val="24"/>
          <w:szCs w:val="24"/>
          <w:lang w:val="en-US" w:eastAsia="fr-FR"/>
        </w:rPr>
        <w:t>Burton, C. G. (2014):</w:t>
      </w:r>
      <w:r>
        <w:rPr>
          <w:rFonts w:ascii="Times New Roman" w:eastAsia="Times New Roman" w:hAnsi="Times New Roman" w:cs="Times New Roman"/>
          <w:color w:val="000000"/>
          <w:sz w:val="24"/>
          <w:szCs w:val="24"/>
          <w:lang w:val="en-US" w:eastAsia="fr-FR"/>
        </w:rPr>
        <w:t xml:space="preserve"> “</w:t>
      </w:r>
      <w:r w:rsidR="00E724B9" w:rsidRPr="00EE4D60">
        <w:rPr>
          <w:rFonts w:ascii="Times New Roman" w:eastAsia="Times New Roman" w:hAnsi="Times New Roman" w:cs="Times New Roman"/>
          <w:color w:val="000000"/>
          <w:sz w:val="24"/>
          <w:szCs w:val="24"/>
          <w:lang w:val="en-US" w:eastAsia="fr-FR"/>
        </w:rPr>
        <w:t>A validation of metrics for community resilience to natural hazards and disasters using the recovery from Hurricane Katrina as a case study</w:t>
      </w:r>
      <w:r>
        <w:rPr>
          <w:rFonts w:ascii="Times New Roman" w:eastAsia="Times New Roman" w:hAnsi="Times New Roman" w:cs="Times New Roman"/>
          <w:color w:val="000000"/>
          <w:sz w:val="24"/>
          <w:szCs w:val="24"/>
          <w:lang w:val="en-US" w:eastAsia="fr-FR"/>
        </w:rPr>
        <w:t>”,</w:t>
      </w:r>
      <w:r w:rsidR="00E724B9" w:rsidRPr="00EE4D60">
        <w:rPr>
          <w:rFonts w:ascii="Times New Roman" w:eastAsia="Times New Roman" w:hAnsi="Times New Roman" w:cs="Times New Roman"/>
          <w:color w:val="000000"/>
          <w:sz w:val="24"/>
          <w:szCs w:val="24"/>
          <w:lang w:val="en-US" w:eastAsia="fr-FR"/>
        </w:rPr>
        <w:t xml:space="preserve"> </w:t>
      </w:r>
      <w:r w:rsidR="00E724B9" w:rsidRPr="00D701BD">
        <w:rPr>
          <w:rFonts w:ascii="Times New Roman" w:eastAsia="Times New Roman" w:hAnsi="Times New Roman" w:cs="Times New Roman"/>
          <w:i/>
          <w:iCs/>
          <w:color w:val="000000"/>
          <w:sz w:val="24"/>
          <w:szCs w:val="24"/>
          <w:lang w:val="en-US" w:eastAsia="fr-FR"/>
        </w:rPr>
        <w:t>Annals of the Association of American Geographers</w:t>
      </w:r>
      <w:r w:rsidR="00E724B9" w:rsidRPr="00D701BD">
        <w:rPr>
          <w:rFonts w:ascii="Times New Roman" w:eastAsia="Times New Roman" w:hAnsi="Times New Roman" w:cs="Times New Roman"/>
          <w:color w:val="000000"/>
          <w:sz w:val="24"/>
          <w:szCs w:val="24"/>
          <w:lang w:val="en-US" w:eastAsia="fr-FR"/>
        </w:rPr>
        <w:t>,</w:t>
      </w:r>
      <w:r w:rsidRPr="00D701BD">
        <w:rPr>
          <w:rFonts w:ascii="Times New Roman" w:eastAsia="Times New Roman" w:hAnsi="Times New Roman" w:cs="Times New Roman"/>
          <w:color w:val="000000"/>
          <w:sz w:val="24"/>
          <w:szCs w:val="24"/>
          <w:lang w:val="en-US" w:eastAsia="fr-FR"/>
        </w:rPr>
        <w:t xml:space="preserve"> vol.</w:t>
      </w:r>
      <w:r w:rsidR="00E724B9" w:rsidRPr="00D701BD">
        <w:rPr>
          <w:rFonts w:ascii="Times New Roman" w:eastAsia="Times New Roman" w:hAnsi="Times New Roman" w:cs="Times New Roman"/>
          <w:color w:val="000000"/>
          <w:sz w:val="24"/>
          <w:szCs w:val="24"/>
          <w:lang w:val="en-US" w:eastAsia="fr-FR"/>
        </w:rPr>
        <w:t xml:space="preserve"> 105, </w:t>
      </w:r>
      <w:r w:rsidR="00B26A4B">
        <w:rPr>
          <w:rFonts w:ascii="Times New Roman" w:eastAsia="Times New Roman" w:hAnsi="Times New Roman" w:cs="Times New Roman"/>
          <w:color w:val="000000"/>
          <w:sz w:val="24"/>
          <w:szCs w:val="24"/>
          <w:lang w:val="en-US" w:eastAsia="fr-FR"/>
        </w:rPr>
        <w:t>p</w:t>
      </w:r>
      <w:r w:rsidRPr="00D701BD">
        <w:rPr>
          <w:rFonts w:ascii="Times New Roman" w:eastAsia="Times New Roman" w:hAnsi="Times New Roman" w:cs="Times New Roman"/>
          <w:color w:val="000000"/>
          <w:sz w:val="24"/>
          <w:szCs w:val="24"/>
          <w:lang w:val="en-US" w:eastAsia="fr-FR"/>
        </w:rPr>
        <w:t xml:space="preserve">p. </w:t>
      </w:r>
      <w:r w:rsidR="00E724B9" w:rsidRPr="00D701BD">
        <w:rPr>
          <w:rFonts w:ascii="Times New Roman" w:eastAsia="Times New Roman" w:hAnsi="Times New Roman" w:cs="Times New Roman"/>
          <w:color w:val="000000"/>
          <w:sz w:val="24"/>
          <w:szCs w:val="24"/>
          <w:lang w:val="en-US" w:eastAsia="fr-FR"/>
        </w:rPr>
        <w:t>67–86.</w:t>
      </w:r>
    </w:p>
    <w:p w:rsidR="00E724B9" w:rsidRDefault="00E724B9" w:rsidP="00AE6E2D">
      <w:pPr>
        <w:autoSpaceDE w:val="0"/>
        <w:autoSpaceDN w:val="0"/>
        <w:adjustRightInd w:val="0"/>
        <w:spacing w:line="240" w:lineRule="auto"/>
        <w:jc w:val="both"/>
        <w:rPr>
          <w:rFonts w:asciiTheme="majorBidi" w:hAnsiTheme="majorBidi" w:cstheme="majorBidi"/>
          <w:sz w:val="24"/>
          <w:szCs w:val="24"/>
          <w:lang w:bidi="ar-DZ"/>
        </w:rPr>
      </w:pPr>
      <w:r w:rsidRPr="00E40DF8">
        <w:rPr>
          <w:rFonts w:ascii="Times New Roman" w:eastAsia="Times New Roman" w:hAnsi="Times New Roman" w:cs="Times New Roman"/>
          <w:b/>
          <w:bCs/>
          <w:color w:val="000000"/>
          <w:sz w:val="24"/>
          <w:szCs w:val="24"/>
          <w:lang w:eastAsia="fr-FR"/>
        </w:rPr>
        <w:t>Callon</w:t>
      </w:r>
      <w:r w:rsidRPr="006C163A">
        <w:rPr>
          <w:rFonts w:ascii="Times New Roman" w:eastAsia="Times New Roman" w:hAnsi="Times New Roman" w:cs="Times New Roman"/>
          <w:b/>
          <w:bCs/>
          <w:color w:val="000000"/>
          <w:sz w:val="24"/>
          <w:szCs w:val="24"/>
          <w:lang w:eastAsia="fr-FR"/>
        </w:rPr>
        <w:t>, M.,</w:t>
      </w:r>
      <w:r w:rsidR="00936305" w:rsidRPr="006C163A">
        <w:rPr>
          <w:rFonts w:ascii="Times New Roman" w:eastAsia="Times New Roman" w:hAnsi="Times New Roman" w:cs="Times New Roman"/>
          <w:b/>
          <w:bCs/>
          <w:color w:val="000000"/>
          <w:sz w:val="24"/>
          <w:szCs w:val="24"/>
          <w:lang w:eastAsia="fr-FR"/>
        </w:rPr>
        <w:t xml:space="preserve"> </w:t>
      </w:r>
      <w:r w:rsidRPr="006C163A">
        <w:rPr>
          <w:rFonts w:ascii="Times New Roman" w:eastAsia="Times New Roman" w:hAnsi="Times New Roman" w:cs="Times New Roman"/>
          <w:b/>
          <w:bCs/>
          <w:color w:val="000000"/>
          <w:sz w:val="24"/>
          <w:szCs w:val="24"/>
          <w:lang w:eastAsia="fr-FR"/>
        </w:rPr>
        <w:t>Lascoumes</w:t>
      </w:r>
      <w:r w:rsidR="006C163A" w:rsidRPr="006C163A">
        <w:rPr>
          <w:rFonts w:ascii="Times New Roman" w:eastAsia="Times New Roman" w:hAnsi="Times New Roman" w:cs="Times New Roman"/>
          <w:b/>
          <w:bCs/>
          <w:color w:val="000000"/>
          <w:sz w:val="24"/>
          <w:szCs w:val="24"/>
          <w:lang w:eastAsia="fr-FR"/>
        </w:rPr>
        <w:t>,</w:t>
      </w:r>
      <w:r w:rsidRPr="006C163A">
        <w:rPr>
          <w:rFonts w:ascii="Times New Roman" w:eastAsia="Times New Roman" w:hAnsi="Times New Roman" w:cs="Times New Roman"/>
          <w:b/>
          <w:bCs/>
          <w:color w:val="000000"/>
          <w:sz w:val="24"/>
          <w:szCs w:val="24"/>
          <w:lang w:eastAsia="fr-FR"/>
        </w:rPr>
        <w:t xml:space="preserve"> P., </w:t>
      </w:r>
      <w:r w:rsidR="006C163A" w:rsidRPr="006C163A">
        <w:rPr>
          <w:rFonts w:ascii="Times New Roman" w:eastAsia="Times New Roman" w:hAnsi="Times New Roman" w:cs="Times New Roman"/>
          <w:b/>
          <w:bCs/>
          <w:color w:val="000000"/>
          <w:sz w:val="24"/>
          <w:szCs w:val="24"/>
          <w:lang w:eastAsia="fr-FR"/>
        </w:rPr>
        <w:t>&amp;</w:t>
      </w:r>
      <w:r w:rsidRPr="006C163A">
        <w:rPr>
          <w:rFonts w:ascii="Times New Roman" w:eastAsia="Times New Roman" w:hAnsi="Times New Roman" w:cs="Times New Roman"/>
          <w:b/>
          <w:bCs/>
          <w:color w:val="000000"/>
          <w:sz w:val="24"/>
          <w:szCs w:val="24"/>
          <w:lang w:eastAsia="fr-FR"/>
        </w:rPr>
        <w:t xml:space="preserve"> Barthe Y.</w:t>
      </w:r>
      <w:r w:rsidR="006C163A" w:rsidRPr="006C163A">
        <w:rPr>
          <w:rFonts w:ascii="Times New Roman" w:eastAsia="Times New Roman" w:hAnsi="Times New Roman" w:cs="Times New Roman"/>
          <w:b/>
          <w:bCs/>
          <w:color w:val="000000"/>
          <w:sz w:val="24"/>
          <w:szCs w:val="24"/>
          <w:lang w:eastAsia="fr-FR"/>
        </w:rPr>
        <w:t>, (2001) :</w:t>
      </w:r>
      <w:r w:rsidR="006C163A" w:rsidRPr="003860EF">
        <w:rPr>
          <w:rFonts w:ascii="Times New Roman" w:eastAsia="Times New Roman" w:hAnsi="Times New Roman" w:cs="Times New Roman"/>
          <w:color w:val="000000"/>
          <w:sz w:val="24"/>
          <w:szCs w:val="24"/>
          <w:lang w:eastAsia="fr-FR"/>
        </w:rPr>
        <w:t xml:space="preserve"> </w:t>
      </w:r>
      <w:r w:rsidR="006C163A">
        <w:rPr>
          <w:rFonts w:ascii="Times New Roman" w:eastAsia="Times New Roman" w:hAnsi="Times New Roman" w:cs="Times New Roman"/>
          <w:color w:val="000000"/>
          <w:sz w:val="24"/>
          <w:szCs w:val="24"/>
          <w:lang w:eastAsia="fr-FR"/>
        </w:rPr>
        <w:t>"</w:t>
      </w:r>
      <w:r w:rsidRPr="003860EF">
        <w:rPr>
          <w:rFonts w:ascii="Times New Roman" w:eastAsia="Times New Roman" w:hAnsi="Times New Roman" w:cs="Times New Roman"/>
          <w:color w:val="000000"/>
          <w:sz w:val="24"/>
          <w:szCs w:val="24"/>
          <w:lang w:eastAsia="fr-FR"/>
        </w:rPr>
        <w:t>Agir dans un monde incertain: essai sur la démocratie technique</w:t>
      </w:r>
      <w:r w:rsidR="006C163A">
        <w:rPr>
          <w:rFonts w:ascii="Times New Roman" w:eastAsia="Times New Roman" w:hAnsi="Times New Roman" w:cs="Times New Roman"/>
          <w:color w:val="000000"/>
          <w:sz w:val="24"/>
          <w:szCs w:val="24"/>
          <w:lang w:eastAsia="fr-FR"/>
        </w:rPr>
        <w:t>",</w:t>
      </w:r>
      <w:r w:rsidRPr="003860EF">
        <w:rPr>
          <w:rFonts w:ascii="Times New Roman" w:eastAsia="Times New Roman" w:hAnsi="Times New Roman" w:cs="Times New Roman"/>
          <w:color w:val="000000"/>
          <w:sz w:val="24"/>
          <w:szCs w:val="24"/>
          <w:lang w:eastAsia="fr-FR"/>
        </w:rPr>
        <w:t xml:space="preserve"> </w:t>
      </w:r>
      <w:r w:rsidRPr="006C163A">
        <w:rPr>
          <w:rFonts w:ascii="Times New Roman" w:eastAsia="Times New Roman" w:hAnsi="Times New Roman" w:cs="Times New Roman"/>
          <w:i/>
          <w:iCs/>
          <w:color w:val="000000"/>
          <w:sz w:val="24"/>
          <w:szCs w:val="24"/>
          <w:lang w:eastAsia="fr-FR"/>
        </w:rPr>
        <w:t>La couleur des idees</w:t>
      </w:r>
      <w:r w:rsidRPr="003860EF">
        <w:rPr>
          <w:rFonts w:ascii="Times New Roman" w:eastAsia="Times New Roman" w:hAnsi="Times New Roman" w:cs="Times New Roman"/>
          <w:color w:val="000000"/>
          <w:sz w:val="24"/>
          <w:szCs w:val="24"/>
          <w:lang w:eastAsia="fr-FR"/>
        </w:rPr>
        <w:t>. Paris</w:t>
      </w:r>
      <w:r w:rsidR="006C163A">
        <w:rPr>
          <w:rFonts w:ascii="Times New Roman" w:eastAsia="Times New Roman" w:hAnsi="Times New Roman" w:cs="Times New Roman"/>
          <w:color w:val="000000"/>
          <w:sz w:val="24"/>
          <w:szCs w:val="24"/>
          <w:lang w:eastAsia="fr-FR"/>
        </w:rPr>
        <w:t>,</w:t>
      </w:r>
      <w:r w:rsidRPr="003860EF">
        <w:rPr>
          <w:rFonts w:ascii="Times New Roman" w:eastAsia="Times New Roman" w:hAnsi="Times New Roman" w:cs="Times New Roman"/>
          <w:color w:val="000000"/>
          <w:sz w:val="24"/>
          <w:szCs w:val="24"/>
          <w:lang w:eastAsia="fr-FR"/>
        </w:rPr>
        <w:t xml:space="preserve"> Editions du Seuil, </w:t>
      </w:r>
      <w:r w:rsidR="006C163A">
        <w:rPr>
          <w:rFonts w:ascii="Times New Roman" w:eastAsia="Times New Roman" w:hAnsi="Times New Roman" w:cs="Times New Roman"/>
          <w:color w:val="000000"/>
          <w:sz w:val="24"/>
          <w:szCs w:val="24"/>
          <w:lang w:eastAsia="fr-FR"/>
        </w:rPr>
        <w:t>358p</w:t>
      </w:r>
      <w:r w:rsidRPr="003860EF">
        <w:rPr>
          <w:rFonts w:ascii="Times New Roman" w:eastAsia="Times New Roman" w:hAnsi="Times New Roman" w:cs="Times New Roman"/>
          <w:color w:val="000000"/>
          <w:sz w:val="24"/>
          <w:szCs w:val="24"/>
          <w:lang w:eastAsia="fr-FR"/>
        </w:rPr>
        <w:t>.</w:t>
      </w:r>
    </w:p>
    <w:p w:rsidR="00E724B9" w:rsidRDefault="00D701BD"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E40DF8">
        <w:rPr>
          <w:rFonts w:ascii="Times New Roman" w:eastAsia="Times New Roman" w:hAnsi="Times New Roman" w:cs="Times New Roman"/>
          <w:b/>
          <w:bCs/>
          <w:color w:val="000000"/>
          <w:sz w:val="24"/>
          <w:szCs w:val="24"/>
          <w:lang w:eastAsia="fr-FR"/>
        </w:rPr>
        <w:t>Campos</w:t>
      </w:r>
      <w:r w:rsidRPr="00D701BD">
        <w:rPr>
          <w:rFonts w:ascii="Times New Roman" w:eastAsia="Times New Roman" w:hAnsi="Times New Roman" w:cs="Times New Roman"/>
          <w:b/>
          <w:bCs/>
          <w:color w:val="000000"/>
          <w:sz w:val="24"/>
          <w:szCs w:val="24"/>
          <w:lang w:eastAsia="fr-FR"/>
        </w:rPr>
        <w:t>, V.B.G. &amp;</w:t>
      </w:r>
      <w:r w:rsidR="00E724B9" w:rsidRPr="00D701BD">
        <w:rPr>
          <w:rFonts w:ascii="Times New Roman" w:eastAsia="Times New Roman" w:hAnsi="Times New Roman" w:cs="Times New Roman"/>
          <w:b/>
          <w:bCs/>
          <w:color w:val="000000"/>
          <w:sz w:val="24"/>
          <w:szCs w:val="24"/>
          <w:lang w:eastAsia="fr-FR"/>
        </w:rPr>
        <w:t xml:space="preserve"> Ramos, R.A.R.,</w:t>
      </w:r>
      <w:r w:rsidRPr="00D701BD">
        <w:rPr>
          <w:rFonts w:ascii="Times New Roman" w:eastAsia="Times New Roman" w:hAnsi="Times New Roman" w:cs="Times New Roman"/>
          <w:b/>
          <w:bCs/>
          <w:color w:val="000000"/>
          <w:sz w:val="24"/>
          <w:szCs w:val="24"/>
          <w:lang w:eastAsia="fr-FR"/>
        </w:rPr>
        <w:t xml:space="preserve"> (</w:t>
      </w:r>
      <w:r w:rsidR="00E724B9" w:rsidRPr="00D701BD">
        <w:rPr>
          <w:rFonts w:ascii="Times New Roman" w:eastAsia="Times New Roman" w:hAnsi="Times New Roman" w:cs="Times New Roman"/>
          <w:b/>
          <w:bCs/>
          <w:color w:val="000000"/>
          <w:sz w:val="24"/>
          <w:szCs w:val="24"/>
          <w:lang w:eastAsia="fr-FR"/>
        </w:rPr>
        <w:t>2005</w:t>
      </w:r>
      <w:r w:rsidRPr="00D701BD">
        <w:rPr>
          <w:rFonts w:ascii="Times New Roman" w:eastAsia="Times New Roman" w:hAnsi="Times New Roman" w:cs="Times New Roman"/>
          <w:b/>
          <w:bCs/>
          <w:color w:val="000000"/>
          <w:sz w:val="24"/>
          <w:szCs w:val="24"/>
          <w:lang w:eastAsia="fr-FR"/>
        </w:rPr>
        <w:t>) :</w:t>
      </w:r>
      <w:r w:rsidR="00E724B9" w:rsidRPr="003860EF">
        <w:rPr>
          <w:rFonts w:ascii="Times New Roman" w:eastAsia="Times New Roman" w:hAnsi="Times New Roman" w:cs="Times New Roman"/>
          <w:color w:val="000000"/>
          <w:sz w:val="24"/>
          <w:szCs w:val="24"/>
          <w:lang w:eastAsia="fr-FR"/>
        </w:rPr>
        <w:t xml:space="preserve"> </w:t>
      </w:r>
      <w:r>
        <w:rPr>
          <w:rFonts w:ascii="Times New Roman" w:eastAsia="Times New Roman" w:hAnsi="Times New Roman" w:cs="Times New Roman"/>
          <w:color w:val="000000"/>
          <w:sz w:val="24"/>
          <w:szCs w:val="24"/>
          <w:lang w:eastAsia="fr-FR"/>
        </w:rPr>
        <w:t>"</w:t>
      </w:r>
      <w:r w:rsidR="00E724B9" w:rsidRPr="003860EF">
        <w:rPr>
          <w:rFonts w:ascii="Times New Roman" w:eastAsia="Times New Roman" w:hAnsi="Times New Roman" w:cs="Times New Roman"/>
          <w:color w:val="000000"/>
          <w:sz w:val="24"/>
          <w:szCs w:val="24"/>
          <w:lang w:eastAsia="fr-FR"/>
        </w:rPr>
        <w:t xml:space="preserve">Proposta de Indicadores de Mobilidade Urbana Sustentável Relacionando Transporte e Uso do Solo, </w:t>
      </w:r>
      <w:r w:rsidR="00E724B9" w:rsidRPr="00D701BD">
        <w:rPr>
          <w:rFonts w:ascii="Times New Roman" w:eastAsia="Times New Roman" w:hAnsi="Times New Roman" w:cs="Times New Roman"/>
          <w:i/>
          <w:iCs/>
          <w:color w:val="000000"/>
          <w:sz w:val="24"/>
          <w:szCs w:val="24"/>
          <w:lang w:eastAsia="fr-FR"/>
        </w:rPr>
        <w:t xml:space="preserve">in: PLURIS - Congresso Luso-Brasileiro Para o Planejamento </w:t>
      </w:r>
      <w:r w:rsidR="00E724B9" w:rsidRPr="007F0B55">
        <w:rPr>
          <w:rFonts w:ascii="Times New Roman" w:eastAsia="Times New Roman" w:hAnsi="Times New Roman" w:cs="Times New Roman"/>
          <w:i/>
          <w:iCs/>
          <w:color w:val="000000"/>
          <w:sz w:val="24"/>
          <w:szCs w:val="24"/>
          <w:lang w:eastAsia="fr-FR"/>
        </w:rPr>
        <w:t>Urbano</w:t>
      </w:r>
      <w:r w:rsidR="00E724B9" w:rsidRPr="00D701BD">
        <w:rPr>
          <w:rFonts w:ascii="Times New Roman" w:eastAsia="Times New Roman" w:hAnsi="Times New Roman" w:cs="Times New Roman"/>
          <w:i/>
          <w:iCs/>
          <w:color w:val="000000"/>
          <w:sz w:val="24"/>
          <w:szCs w:val="24"/>
          <w:lang w:eastAsia="fr-FR"/>
        </w:rPr>
        <w:t xml:space="preserve">, </w:t>
      </w:r>
      <w:r w:rsidR="00E724B9" w:rsidRPr="007F0B55">
        <w:rPr>
          <w:rFonts w:ascii="Times New Roman" w:eastAsia="Times New Roman" w:hAnsi="Times New Roman" w:cs="Times New Roman"/>
          <w:i/>
          <w:iCs/>
          <w:color w:val="000000"/>
          <w:sz w:val="24"/>
          <w:szCs w:val="24"/>
          <w:lang w:eastAsia="fr-FR"/>
        </w:rPr>
        <w:t>Regional</w:t>
      </w:r>
      <w:r w:rsidR="00E724B9" w:rsidRPr="00D701BD">
        <w:rPr>
          <w:rFonts w:ascii="Times New Roman" w:eastAsia="Times New Roman" w:hAnsi="Times New Roman" w:cs="Times New Roman"/>
          <w:i/>
          <w:iCs/>
          <w:color w:val="000000"/>
          <w:sz w:val="24"/>
          <w:szCs w:val="24"/>
          <w:lang w:eastAsia="fr-FR"/>
        </w:rPr>
        <w:t xml:space="preserve">, Integrado e </w:t>
      </w:r>
      <w:r w:rsidR="00E724B9" w:rsidRPr="007F0B55">
        <w:rPr>
          <w:rFonts w:ascii="Times New Roman" w:eastAsia="Times New Roman" w:hAnsi="Times New Roman" w:cs="Times New Roman"/>
          <w:i/>
          <w:iCs/>
          <w:color w:val="000000"/>
          <w:sz w:val="24"/>
          <w:szCs w:val="24"/>
          <w:lang w:eastAsia="fr-FR"/>
        </w:rPr>
        <w:t>Sustentável</w:t>
      </w:r>
      <w:r>
        <w:rPr>
          <w:rFonts w:ascii="Times New Roman" w:eastAsia="Times New Roman" w:hAnsi="Times New Roman" w:cs="Times New Roman"/>
          <w:i/>
          <w:iCs/>
          <w:color w:val="000000"/>
          <w:sz w:val="24"/>
          <w:szCs w:val="24"/>
          <w:lang w:eastAsia="fr-FR"/>
        </w:rPr>
        <w:t>,</w:t>
      </w:r>
      <w:r w:rsidR="00E724B9" w:rsidRPr="003860EF">
        <w:rPr>
          <w:rFonts w:ascii="Times New Roman" w:eastAsia="Times New Roman" w:hAnsi="Times New Roman" w:cs="Times New Roman"/>
          <w:color w:val="000000"/>
          <w:sz w:val="24"/>
          <w:szCs w:val="24"/>
          <w:lang w:eastAsia="fr-FR"/>
        </w:rPr>
        <w:t xml:space="preserve"> </w:t>
      </w:r>
      <w:r w:rsidR="00E724B9" w:rsidRPr="00D701BD">
        <w:rPr>
          <w:rFonts w:ascii="Times New Roman" w:eastAsia="Times New Roman" w:hAnsi="Times New Roman" w:cs="Times New Roman"/>
          <w:color w:val="000000"/>
          <w:sz w:val="24"/>
          <w:szCs w:val="24"/>
          <w:lang w:eastAsia="fr-FR"/>
        </w:rPr>
        <w:t>São Carlos - SP.</w:t>
      </w:r>
    </w:p>
    <w:p w:rsidR="008721FB" w:rsidRPr="008721FB" w:rsidRDefault="008721FB" w:rsidP="00AA01A7">
      <w:pPr>
        <w:autoSpaceDE w:val="0"/>
        <w:autoSpaceDN w:val="0"/>
        <w:adjustRightInd w:val="0"/>
        <w:spacing w:line="240" w:lineRule="auto"/>
        <w:rPr>
          <w:rFonts w:asciiTheme="majorBidi" w:hAnsiTheme="majorBidi" w:cstheme="majorBidi"/>
          <w:color w:val="000000"/>
          <w:sz w:val="24"/>
          <w:szCs w:val="24"/>
          <w:rtl/>
          <w:lang w:val="en-US"/>
        </w:rPr>
      </w:pPr>
      <w:r w:rsidRPr="00AA01A7">
        <w:rPr>
          <w:rFonts w:ascii="Times New Roman" w:eastAsia="Times New Roman" w:hAnsi="Times New Roman" w:cs="Times New Roman"/>
          <w:b/>
          <w:bCs/>
          <w:color w:val="000000"/>
          <w:sz w:val="24"/>
          <w:szCs w:val="24"/>
          <w:lang w:val="en-US" w:eastAsia="fr-FR"/>
        </w:rPr>
        <w:t>Campanella, T.J., (2006):</w:t>
      </w:r>
      <w:r w:rsidRPr="00AA01A7">
        <w:rPr>
          <w:rFonts w:ascii="Times New Roman" w:eastAsia="Times New Roman" w:hAnsi="Times New Roman" w:cs="Times New Roman"/>
          <w:color w:val="000000"/>
          <w:sz w:val="24"/>
          <w:szCs w:val="24"/>
          <w:lang w:val="en-US" w:eastAsia="fr-FR"/>
        </w:rPr>
        <w:t xml:space="preserve"> “Urban Resilience and the Recovery of New Orleans”,</w:t>
      </w:r>
      <w:r w:rsidRPr="008721FB">
        <w:rPr>
          <w:rFonts w:asciiTheme="majorBidi" w:hAnsiTheme="majorBidi" w:cstheme="majorBidi"/>
          <w:color w:val="000000"/>
          <w:sz w:val="24"/>
          <w:szCs w:val="24"/>
          <w:lang w:val="en-US"/>
        </w:rPr>
        <w:t xml:space="preserve"> </w:t>
      </w:r>
      <w:r w:rsidRPr="008721FB">
        <w:rPr>
          <w:rFonts w:asciiTheme="majorBidi" w:hAnsiTheme="majorBidi" w:cstheme="majorBidi"/>
          <w:i/>
          <w:iCs/>
          <w:color w:val="000000"/>
          <w:sz w:val="24"/>
          <w:szCs w:val="24"/>
          <w:lang w:val="en-US"/>
        </w:rPr>
        <w:t>Journal of the American Planning</w:t>
      </w:r>
      <w:r w:rsidRPr="008721FB">
        <w:rPr>
          <w:rFonts w:asciiTheme="majorBidi" w:hAnsiTheme="majorBidi" w:cstheme="majorBidi"/>
          <w:i/>
          <w:iCs/>
          <w:color w:val="000000"/>
          <w:sz w:val="24"/>
          <w:szCs w:val="24"/>
          <w:rtl/>
          <w:lang w:val="en-US"/>
        </w:rPr>
        <w:t xml:space="preserve"> </w:t>
      </w:r>
      <w:r w:rsidRPr="008721FB">
        <w:rPr>
          <w:rFonts w:asciiTheme="majorBidi" w:hAnsiTheme="majorBidi" w:cstheme="majorBidi"/>
          <w:i/>
          <w:iCs/>
          <w:color w:val="000000"/>
          <w:sz w:val="24"/>
          <w:szCs w:val="24"/>
          <w:lang w:val="en-US"/>
        </w:rPr>
        <w:t>Association</w:t>
      </w:r>
      <w:r w:rsidR="00AA01A7">
        <w:rPr>
          <w:rFonts w:asciiTheme="majorBidi" w:hAnsiTheme="majorBidi" w:cstheme="majorBidi"/>
          <w:i/>
          <w:iCs/>
          <w:color w:val="000000"/>
          <w:sz w:val="24"/>
          <w:szCs w:val="24"/>
          <w:lang w:val="en-US"/>
        </w:rPr>
        <w:t xml:space="preserve">, </w:t>
      </w:r>
      <w:r w:rsidR="00AA01A7">
        <w:rPr>
          <w:rFonts w:asciiTheme="majorBidi" w:hAnsiTheme="majorBidi" w:cstheme="majorBidi"/>
          <w:color w:val="000000"/>
          <w:sz w:val="24"/>
          <w:szCs w:val="24"/>
          <w:lang w:val="en-US"/>
        </w:rPr>
        <w:t>vol.</w:t>
      </w:r>
      <w:r w:rsidRPr="00AA01A7">
        <w:rPr>
          <w:rFonts w:asciiTheme="majorBidi" w:hAnsiTheme="majorBidi" w:cstheme="majorBidi"/>
          <w:color w:val="000000"/>
          <w:sz w:val="24"/>
          <w:szCs w:val="24"/>
          <w:lang w:val="en-US"/>
        </w:rPr>
        <w:t xml:space="preserve"> </w:t>
      </w:r>
      <w:r w:rsidR="00AA01A7" w:rsidRPr="00AA01A7">
        <w:rPr>
          <w:rFonts w:asciiTheme="majorBidi" w:hAnsiTheme="majorBidi" w:cstheme="majorBidi"/>
          <w:color w:val="000000"/>
          <w:sz w:val="24"/>
          <w:szCs w:val="24"/>
          <w:lang w:val="en-US"/>
        </w:rPr>
        <w:t>72, n</w:t>
      </w:r>
      <w:r w:rsidR="00AA01A7" w:rsidRPr="00AA01A7">
        <w:rPr>
          <w:rFonts w:asciiTheme="majorBidi" w:hAnsiTheme="majorBidi" w:cstheme="majorBidi"/>
          <w:color w:val="000000"/>
          <w:sz w:val="24"/>
          <w:szCs w:val="24"/>
          <w:vertAlign w:val="superscript"/>
          <w:lang w:val="en-US"/>
        </w:rPr>
        <w:t>o</w:t>
      </w:r>
      <w:r w:rsidR="00AA01A7" w:rsidRPr="00AA01A7">
        <w:rPr>
          <w:rFonts w:asciiTheme="majorBidi" w:hAnsiTheme="majorBidi" w:cstheme="majorBidi"/>
          <w:color w:val="000000"/>
          <w:sz w:val="24"/>
          <w:szCs w:val="24"/>
          <w:lang w:val="en-US"/>
        </w:rPr>
        <w:t xml:space="preserve"> 2</w:t>
      </w:r>
      <w:r w:rsidR="00AA01A7">
        <w:rPr>
          <w:rFonts w:asciiTheme="majorBidi" w:hAnsiTheme="majorBidi" w:cstheme="majorBidi"/>
          <w:color w:val="000000"/>
          <w:sz w:val="24"/>
          <w:szCs w:val="24"/>
          <w:lang w:val="en-US"/>
        </w:rPr>
        <w:t>, pp.</w:t>
      </w:r>
      <w:r w:rsidR="00AA01A7" w:rsidRPr="00AA01A7">
        <w:rPr>
          <w:rFonts w:asciiTheme="majorBidi" w:hAnsiTheme="majorBidi" w:cstheme="majorBidi"/>
          <w:color w:val="000000"/>
          <w:sz w:val="24"/>
          <w:szCs w:val="24"/>
          <w:lang w:val="en-US"/>
        </w:rPr>
        <w:t xml:space="preserve"> </w:t>
      </w:r>
      <w:r w:rsidRPr="00AA01A7">
        <w:rPr>
          <w:rFonts w:asciiTheme="majorBidi" w:hAnsiTheme="majorBidi" w:cstheme="majorBidi"/>
          <w:color w:val="000000"/>
          <w:sz w:val="24"/>
          <w:szCs w:val="24"/>
          <w:lang w:val="en-US"/>
        </w:rPr>
        <w:t xml:space="preserve">141-46. </w:t>
      </w:r>
      <w:hyperlink r:id="rId357" w:history="1">
        <w:r w:rsidRPr="008721FB">
          <w:rPr>
            <w:rStyle w:val="Lienhypertexte"/>
            <w:rFonts w:asciiTheme="majorBidi" w:hAnsiTheme="majorBidi" w:cstheme="majorBidi"/>
            <w:sz w:val="24"/>
            <w:szCs w:val="24"/>
            <w:lang w:val="en-US"/>
          </w:rPr>
          <w:t>https://doi.org/10.1080/01944360608976734</w:t>
        </w:r>
      </w:hyperlink>
      <w:r w:rsidRPr="008721FB">
        <w:rPr>
          <w:rFonts w:asciiTheme="majorBidi" w:hAnsiTheme="majorBidi" w:cstheme="majorBidi"/>
          <w:color w:val="000000"/>
          <w:sz w:val="24"/>
          <w:szCs w:val="24"/>
          <w:lang w:val="en-US"/>
        </w:rPr>
        <w:t>.</w:t>
      </w:r>
    </w:p>
    <w:p w:rsidR="008D159E" w:rsidRPr="008D159E" w:rsidRDefault="008D159E" w:rsidP="00AE6E2D">
      <w:pPr>
        <w:autoSpaceDE w:val="0"/>
        <w:autoSpaceDN w:val="0"/>
        <w:adjustRightInd w:val="0"/>
        <w:spacing w:line="240" w:lineRule="auto"/>
        <w:jc w:val="both"/>
        <w:rPr>
          <w:rFonts w:asciiTheme="majorBidi" w:hAnsiTheme="majorBidi" w:cstheme="majorBidi"/>
          <w:color w:val="525254"/>
          <w:sz w:val="24"/>
          <w:szCs w:val="24"/>
          <w:lang w:val="en-US"/>
        </w:rPr>
      </w:pPr>
      <w:r w:rsidRPr="00E40DF8">
        <w:rPr>
          <w:rFonts w:ascii="Times New Roman" w:eastAsia="Times New Roman" w:hAnsi="Times New Roman" w:cs="Times New Roman"/>
          <w:b/>
          <w:bCs/>
          <w:color w:val="000000"/>
          <w:sz w:val="24"/>
          <w:szCs w:val="24"/>
          <w:lang w:val="en-US" w:eastAsia="fr-FR"/>
        </w:rPr>
        <w:lastRenderedPageBreak/>
        <w:t>Cardillo</w:t>
      </w:r>
      <w:r w:rsidRPr="008D159E">
        <w:rPr>
          <w:rFonts w:asciiTheme="majorBidi" w:hAnsiTheme="majorBidi" w:cstheme="majorBidi"/>
          <w:b/>
          <w:bCs/>
          <w:sz w:val="24"/>
          <w:szCs w:val="24"/>
          <w:lang w:val="en-US"/>
        </w:rPr>
        <w:t>, A., Scellato, S., Latora, V. &amp; Porta, S., (2006)</w:t>
      </w:r>
      <w:r w:rsidRPr="008D159E">
        <w:rPr>
          <w:rFonts w:asciiTheme="majorBidi" w:hAnsiTheme="majorBidi" w:cstheme="majorBidi"/>
          <w:sz w:val="24"/>
          <w:szCs w:val="24"/>
          <w:lang w:val="en-US"/>
        </w:rPr>
        <w:t xml:space="preserve">: “Structural properties of planar graphs of urban street patterns”, </w:t>
      </w:r>
      <w:r w:rsidRPr="008D159E">
        <w:rPr>
          <w:rFonts w:asciiTheme="majorBidi" w:hAnsiTheme="majorBidi" w:cstheme="majorBidi"/>
          <w:i/>
          <w:iCs/>
          <w:sz w:val="24"/>
          <w:szCs w:val="24"/>
          <w:lang w:val="en-US"/>
        </w:rPr>
        <w:t xml:space="preserve">Physical Review E, </w:t>
      </w:r>
      <w:r w:rsidRPr="008D159E">
        <w:rPr>
          <w:rFonts w:asciiTheme="majorBidi" w:hAnsiTheme="majorBidi" w:cstheme="majorBidi"/>
          <w:sz w:val="24"/>
          <w:szCs w:val="24"/>
          <w:lang w:val="en-US"/>
        </w:rPr>
        <w:t>73</w:t>
      </w:r>
      <w:r w:rsidRPr="008D159E">
        <w:rPr>
          <w:rFonts w:asciiTheme="majorBidi" w:hAnsiTheme="majorBidi" w:cstheme="majorBidi"/>
          <w:b/>
          <w:bCs/>
          <w:sz w:val="24"/>
          <w:szCs w:val="24"/>
          <w:lang w:val="en-US"/>
        </w:rPr>
        <w:t xml:space="preserve">, </w:t>
      </w:r>
      <w:r w:rsidRPr="008D159E">
        <w:rPr>
          <w:rFonts w:asciiTheme="majorBidi" w:hAnsiTheme="majorBidi" w:cstheme="majorBidi"/>
          <w:sz w:val="24"/>
          <w:szCs w:val="24"/>
          <w:lang w:val="en-US"/>
        </w:rPr>
        <w:t>066107.</w:t>
      </w:r>
      <w:r w:rsidRPr="008D159E">
        <w:rPr>
          <w:rFonts w:asciiTheme="majorBidi" w:hAnsiTheme="majorBidi" w:cstheme="majorBidi"/>
          <w:color w:val="525254"/>
          <w:sz w:val="24"/>
          <w:szCs w:val="24"/>
          <w:lang w:val="en-US"/>
        </w:rPr>
        <w:t xml:space="preserve"> </w:t>
      </w:r>
      <w:r w:rsidRPr="008D159E">
        <w:rPr>
          <w:rStyle w:val="Lienhypertexte"/>
          <w:rFonts w:asciiTheme="majorBidi" w:hAnsiTheme="majorBidi" w:cstheme="majorBidi"/>
          <w:sz w:val="24"/>
          <w:szCs w:val="24"/>
          <w:bdr w:val="none" w:sz="0" w:space="0" w:color="auto" w:frame="1"/>
          <w:lang w:val="en-US"/>
        </w:rPr>
        <w:t>https://doi.org/</w:t>
      </w:r>
      <w:hyperlink r:id="rId358" w:tgtFrame="_blank" w:history="1">
        <w:r w:rsidRPr="008D159E">
          <w:rPr>
            <w:rStyle w:val="Lienhypertexte"/>
            <w:rFonts w:asciiTheme="majorBidi" w:hAnsiTheme="majorBidi" w:cstheme="majorBidi"/>
            <w:sz w:val="24"/>
            <w:szCs w:val="24"/>
            <w:bdr w:val="none" w:sz="0" w:space="0" w:color="auto" w:frame="1"/>
            <w:lang w:val="en-US"/>
          </w:rPr>
          <w:t>10.1103/PhysRevE.73.066107</w:t>
        </w:r>
      </w:hyperlink>
    </w:p>
    <w:p w:rsidR="00E724B9" w:rsidRPr="00B21C24" w:rsidRDefault="00B62F86"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hyperlink r:id="rId359" w:history="1">
        <w:r w:rsidR="00B26A4B" w:rsidRPr="00B21C24">
          <w:rPr>
            <w:rStyle w:val="Lienhypertexte"/>
            <w:rFonts w:asciiTheme="majorBidi" w:hAnsiTheme="majorBidi" w:cstheme="majorBidi"/>
            <w:b/>
            <w:bCs/>
            <w:color w:val="000000" w:themeColor="text1"/>
            <w:sz w:val="24"/>
            <w:szCs w:val="24"/>
            <w:u w:val="none"/>
            <w:lang w:val="en-US" w:eastAsia="fr-FR"/>
          </w:rPr>
          <w:t>Carladous, S., Tacnet J-M., Batton-Hubert M., Dezert J., &amp; Marco, O., (2019):</w:t>
        </w:r>
        <w:r w:rsidR="00B26A4B" w:rsidRPr="00B21C24">
          <w:rPr>
            <w:rStyle w:val="Lienhypertexte"/>
            <w:rFonts w:asciiTheme="majorBidi" w:hAnsiTheme="majorBidi" w:cstheme="majorBidi"/>
            <w:color w:val="000000" w:themeColor="text1"/>
            <w:sz w:val="24"/>
            <w:szCs w:val="24"/>
            <w:u w:val="none"/>
            <w:lang w:val="en-US" w:eastAsia="fr-FR"/>
          </w:rPr>
          <w:t xml:space="preserve"> “Managing Protection in Torrential Mountain Watersheds: A New Conceptual Integrated Decision-Aiding Framework”, </w:t>
        </w:r>
        <w:r w:rsidR="00B26A4B" w:rsidRPr="00B21C24">
          <w:rPr>
            <w:rStyle w:val="Lienhypertexte"/>
            <w:rFonts w:asciiTheme="majorBidi" w:hAnsiTheme="majorBidi" w:cstheme="majorBidi"/>
            <w:i/>
            <w:iCs/>
            <w:color w:val="000000" w:themeColor="text1"/>
            <w:sz w:val="24"/>
            <w:szCs w:val="24"/>
            <w:u w:val="none"/>
            <w:lang w:val="en-US" w:eastAsia="fr-FR"/>
          </w:rPr>
          <w:t>Land Use Policy</w:t>
        </w:r>
        <w:r w:rsidR="00B26A4B" w:rsidRPr="00B21C24">
          <w:rPr>
            <w:rStyle w:val="Lienhypertexte"/>
            <w:rFonts w:asciiTheme="majorBidi" w:hAnsiTheme="majorBidi" w:cstheme="majorBidi"/>
            <w:color w:val="000000" w:themeColor="text1"/>
            <w:sz w:val="24"/>
            <w:szCs w:val="24"/>
            <w:u w:val="none"/>
            <w:lang w:val="en-US" w:eastAsia="fr-FR"/>
          </w:rPr>
          <w:t>, vol. 80, pp. 464-479.</w:t>
        </w:r>
        <w:r w:rsidR="00B26A4B" w:rsidRPr="00B21C24">
          <w:rPr>
            <w:rStyle w:val="Lienhypertexte"/>
            <w:color w:val="000000" w:themeColor="text1"/>
            <w:u w:val="none"/>
            <w:lang w:val="en-US" w:eastAsia="fr-FR"/>
          </w:rPr>
          <w:t xml:space="preserve"> </w:t>
        </w:r>
        <w:r w:rsidR="00B26A4B" w:rsidRPr="00B21C24">
          <w:rPr>
            <w:rStyle w:val="Lienhypertexte"/>
            <w:rFonts w:ascii="Times New Roman" w:eastAsia="Times New Roman" w:hAnsi="Times New Roman" w:cs="Times New Roman"/>
            <w:color w:val="000000" w:themeColor="text1"/>
            <w:sz w:val="24"/>
            <w:szCs w:val="24"/>
            <w:u w:val="none"/>
            <w:lang w:val="en-US" w:eastAsia="fr-FR"/>
          </w:rPr>
          <w:t>https://doi.org/10.1016/j.landus epol.2017.10.040.</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sz w:val="24"/>
          <w:szCs w:val="24"/>
          <w:lang w:val="en-US" w:eastAsia="fr-FR"/>
        </w:rPr>
      </w:pPr>
      <w:r w:rsidRPr="00E40DF8">
        <w:rPr>
          <w:rFonts w:ascii="Times New Roman" w:eastAsia="Times New Roman" w:hAnsi="Times New Roman" w:cs="Times New Roman"/>
          <w:b/>
          <w:bCs/>
          <w:color w:val="000000"/>
          <w:sz w:val="24"/>
          <w:szCs w:val="24"/>
          <w:lang w:val="en-US" w:eastAsia="fr-FR"/>
        </w:rPr>
        <w:t>Carmona</w:t>
      </w:r>
      <w:r w:rsidRPr="00756D30">
        <w:rPr>
          <w:rFonts w:ascii="Times New Roman" w:eastAsia="Times New Roman" w:hAnsi="Times New Roman" w:cs="Times New Roman"/>
          <w:b/>
          <w:bCs/>
          <w:color w:val="000000"/>
          <w:sz w:val="24"/>
          <w:szCs w:val="24"/>
          <w:lang w:val="en-US" w:eastAsia="fr-FR"/>
        </w:rPr>
        <w:t xml:space="preserve"> M, Heath T, Oc T, Tiesdell S </w:t>
      </w:r>
      <w:r w:rsidRPr="00756D30">
        <w:rPr>
          <w:rFonts w:ascii="Times New Roman" w:eastAsia="Times New Roman" w:hAnsi="Times New Roman" w:cs="Times New Roman"/>
          <w:b/>
          <w:bCs/>
          <w:color w:val="000000"/>
          <w:sz w:val="24"/>
          <w:szCs w:val="24"/>
          <w:rtl/>
          <w:lang w:val="en-US" w:eastAsia="fr-FR"/>
        </w:rPr>
        <w:t xml:space="preserve">، </w:t>
      </w:r>
      <w:r w:rsidRPr="00756D30">
        <w:rPr>
          <w:rFonts w:ascii="Times New Roman" w:eastAsia="Times New Roman" w:hAnsi="Times New Roman" w:cs="Times New Roman"/>
          <w:b/>
          <w:bCs/>
          <w:color w:val="000000"/>
          <w:sz w:val="24"/>
          <w:szCs w:val="24"/>
          <w:lang w:val="en-US" w:eastAsia="fr-FR"/>
        </w:rPr>
        <w:t>(2003):</w:t>
      </w:r>
      <w:r w:rsidRPr="003860EF">
        <w:rPr>
          <w:rFonts w:ascii="Times New Roman" w:eastAsia="Times New Roman" w:hAnsi="Times New Roman" w:cs="Times New Roman"/>
          <w:color w:val="000000"/>
          <w:sz w:val="24"/>
          <w:szCs w:val="24"/>
          <w:lang w:val="en-US" w:eastAsia="fr-FR"/>
        </w:rPr>
        <w:t xml:space="preserve"> </w:t>
      </w:r>
      <w:r w:rsidR="00FE1BF2">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Public Places Urban Spaces – The Dimensions of Urban Design</w:t>
      </w:r>
      <w:r w:rsidR="00FE1BF2" w:rsidRPr="00FE1BF2">
        <w:rPr>
          <w:rFonts w:asciiTheme="majorBidi" w:eastAsia="Times New Roman" w:hAnsiTheme="majorBidi" w:cstheme="majorBidi"/>
          <w:color w:val="000000" w:themeColor="text1"/>
          <w:sz w:val="24"/>
          <w:szCs w:val="24"/>
          <w:lang w:val="en-US" w:eastAsia="fr-FR"/>
        </w:rPr>
        <w:t>”</w:t>
      </w:r>
      <w:r w:rsidRPr="00FE1BF2">
        <w:rPr>
          <w:rFonts w:asciiTheme="majorBidi" w:eastAsia="Times New Roman" w:hAnsiTheme="majorBidi" w:cstheme="majorBidi"/>
          <w:color w:val="000000" w:themeColor="text1"/>
          <w:sz w:val="24"/>
          <w:szCs w:val="24"/>
          <w:lang w:val="en-US" w:eastAsia="fr-FR"/>
        </w:rPr>
        <w:t>,</w:t>
      </w:r>
      <w:r w:rsidR="00FE1BF2" w:rsidRPr="00FE1BF2">
        <w:rPr>
          <w:rFonts w:asciiTheme="majorBidi" w:hAnsiTheme="majorBidi" w:cstheme="majorBidi"/>
          <w:color w:val="000000" w:themeColor="text1"/>
          <w:sz w:val="24"/>
          <w:szCs w:val="24"/>
          <w:shd w:val="clear" w:color="auto" w:fill="FFFFFF"/>
          <w:lang w:val="en-US"/>
        </w:rPr>
        <w:t> (1 ed.)</w:t>
      </w:r>
      <w:r w:rsidR="00FE1BF2">
        <w:rPr>
          <w:rFonts w:asciiTheme="majorBidi" w:hAnsiTheme="majorBidi" w:cstheme="majorBidi"/>
          <w:color w:val="000000" w:themeColor="text1"/>
          <w:sz w:val="24"/>
          <w:szCs w:val="24"/>
          <w:shd w:val="clear" w:color="auto" w:fill="FFFFFF"/>
          <w:lang w:val="en-US"/>
        </w:rPr>
        <w:t>,</w:t>
      </w:r>
      <w:r w:rsidR="00FE1BF2" w:rsidRPr="00FE1BF2">
        <w:rPr>
          <w:rFonts w:asciiTheme="majorBidi" w:hAnsiTheme="majorBidi" w:cstheme="majorBidi"/>
          <w:color w:val="000000" w:themeColor="text1"/>
          <w:sz w:val="24"/>
          <w:szCs w:val="24"/>
          <w:shd w:val="clear" w:color="auto" w:fill="FFFFFF"/>
          <w:lang w:val="en-US"/>
        </w:rPr>
        <w:t xml:space="preserve"> </w:t>
      </w:r>
      <w:r w:rsidR="00FE1BF2" w:rsidRPr="00FE1BF2">
        <w:rPr>
          <w:rFonts w:asciiTheme="majorBidi" w:hAnsiTheme="majorBidi" w:cstheme="majorBidi"/>
          <w:i/>
          <w:iCs/>
          <w:color w:val="000000" w:themeColor="text1"/>
          <w:sz w:val="24"/>
          <w:szCs w:val="24"/>
          <w:shd w:val="clear" w:color="auto" w:fill="FFFFFF"/>
          <w:lang w:val="en-US"/>
        </w:rPr>
        <w:t>Architectural Press</w:t>
      </w:r>
      <w:r w:rsidR="00756D30">
        <w:rPr>
          <w:rFonts w:ascii="Times New Roman" w:eastAsia="Times New Roman" w:hAnsi="Times New Roman" w:cs="Times New Roman"/>
          <w:color w:val="000000"/>
          <w:sz w:val="24"/>
          <w:szCs w:val="24"/>
          <w:lang w:val="en-US" w:eastAsia="fr-FR"/>
        </w:rPr>
        <w:t>, 312p.</w:t>
      </w:r>
    </w:p>
    <w:p w:rsidR="00E724B9" w:rsidRDefault="006C163A" w:rsidP="00AE6E2D">
      <w:pPr>
        <w:autoSpaceDE w:val="0"/>
        <w:autoSpaceDN w:val="0"/>
        <w:adjustRightInd w:val="0"/>
        <w:spacing w:line="240" w:lineRule="auto"/>
        <w:jc w:val="both"/>
        <w:rPr>
          <w:rFonts w:ascii="TimesNewRomanPSMT" w:hAnsi="TimesNewRomanPSMT" w:cs="TimesNewRomanPSMT"/>
          <w:color w:val="0000FF"/>
          <w:sz w:val="20"/>
          <w:szCs w:val="20"/>
          <w:rtl/>
          <w:lang w:val="en-US"/>
        </w:rPr>
      </w:pPr>
      <w:r w:rsidRPr="00E40DF8">
        <w:rPr>
          <w:rFonts w:ascii="Times New Roman" w:eastAsia="Times New Roman" w:hAnsi="Times New Roman" w:cs="Times New Roman"/>
          <w:b/>
          <w:bCs/>
          <w:color w:val="000000"/>
          <w:sz w:val="24"/>
          <w:szCs w:val="24"/>
          <w:lang w:val="en-US" w:eastAsia="fr-FR"/>
        </w:rPr>
        <w:t>Carpenter, S., Walker</w:t>
      </w:r>
      <w:r w:rsidRPr="00756D30">
        <w:rPr>
          <w:rFonts w:asciiTheme="majorBidi" w:hAnsiTheme="majorBidi" w:cstheme="majorBidi"/>
          <w:b/>
          <w:bCs/>
          <w:sz w:val="24"/>
          <w:szCs w:val="24"/>
          <w:lang w:val="en-US"/>
        </w:rPr>
        <w:t xml:space="preserve"> B., Anderies J.M., &amp; Abel N.,</w:t>
      </w:r>
      <w:r w:rsidRPr="00756D30">
        <w:rPr>
          <w:rFonts w:asciiTheme="majorBidi" w:eastAsia="Times New Roman" w:hAnsiTheme="majorBidi" w:cstheme="majorBidi"/>
          <w:b/>
          <w:bCs/>
          <w:color w:val="000000"/>
          <w:sz w:val="24"/>
          <w:szCs w:val="24"/>
          <w:lang w:val="en-US" w:eastAsia="fr-FR"/>
        </w:rPr>
        <w:t xml:space="preserve"> (2001):</w:t>
      </w:r>
      <w:r>
        <w:rPr>
          <w:rFonts w:asciiTheme="majorBidi" w:eastAsia="Times New Roman" w:hAnsiTheme="majorBidi" w:cstheme="majorBidi"/>
          <w:color w:val="000000"/>
          <w:sz w:val="24"/>
          <w:szCs w:val="24"/>
          <w:lang w:val="en-US" w:eastAsia="fr-FR"/>
        </w:rPr>
        <w:t xml:space="preserve"> “</w:t>
      </w:r>
      <w:r w:rsidR="00E724B9" w:rsidRPr="006C163A">
        <w:rPr>
          <w:rFonts w:asciiTheme="majorBidi" w:eastAsia="Times New Roman" w:hAnsiTheme="majorBidi" w:cstheme="majorBidi"/>
          <w:color w:val="000000"/>
          <w:sz w:val="24"/>
          <w:szCs w:val="24"/>
          <w:lang w:val="en-US" w:eastAsia="fr-FR"/>
        </w:rPr>
        <w:t>From metaphor to measurement: resilience of what to what?</w:t>
      </w:r>
      <w:r>
        <w:rPr>
          <w:rFonts w:asciiTheme="majorBidi" w:eastAsia="Times New Roman" w:hAnsiTheme="majorBidi" w:cstheme="majorBidi"/>
          <w:color w:val="000000"/>
          <w:sz w:val="24"/>
          <w:szCs w:val="24"/>
          <w:lang w:val="en-US" w:eastAsia="fr-FR"/>
        </w:rPr>
        <w:t xml:space="preserve">”, </w:t>
      </w:r>
      <w:r w:rsidR="00E724B9" w:rsidRPr="006C163A">
        <w:rPr>
          <w:rFonts w:asciiTheme="majorBidi" w:eastAsia="Times New Roman" w:hAnsiTheme="majorBidi" w:cstheme="majorBidi"/>
          <w:i/>
          <w:iCs/>
          <w:color w:val="000000"/>
          <w:sz w:val="24"/>
          <w:szCs w:val="24"/>
          <w:lang w:val="en-US" w:eastAsia="fr-FR"/>
        </w:rPr>
        <w:t>Ecosystems</w:t>
      </w:r>
      <w:r w:rsidR="00E724B9" w:rsidRPr="006C163A">
        <w:rPr>
          <w:rFonts w:asciiTheme="majorBidi" w:eastAsia="Times New Roman" w:hAnsiTheme="majorBidi" w:cstheme="majorBidi"/>
          <w:color w:val="000000"/>
          <w:sz w:val="24"/>
          <w:szCs w:val="24"/>
          <w:lang w:val="en-US" w:eastAsia="fr-FR"/>
        </w:rPr>
        <w:t xml:space="preserve"> </w:t>
      </w:r>
      <w:r w:rsidR="00756D30">
        <w:rPr>
          <w:rFonts w:asciiTheme="majorBidi" w:eastAsia="Times New Roman" w:hAnsiTheme="majorBidi" w:cstheme="majorBidi"/>
          <w:color w:val="000000"/>
          <w:sz w:val="24"/>
          <w:szCs w:val="24"/>
          <w:lang w:val="en-US" w:eastAsia="fr-FR"/>
        </w:rPr>
        <w:t xml:space="preserve">, vol. </w:t>
      </w:r>
      <w:r w:rsidR="00E724B9" w:rsidRPr="006C163A">
        <w:rPr>
          <w:rFonts w:asciiTheme="majorBidi" w:eastAsia="Times New Roman" w:hAnsiTheme="majorBidi" w:cstheme="majorBidi"/>
          <w:color w:val="000000"/>
          <w:sz w:val="24"/>
          <w:szCs w:val="24"/>
          <w:lang w:val="en-US" w:eastAsia="fr-FR"/>
        </w:rPr>
        <w:t>4</w:t>
      </w:r>
      <w:r w:rsidR="00756D30">
        <w:rPr>
          <w:rFonts w:asciiTheme="majorBidi" w:eastAsia="Times New Roman" w:hAnsiTheme="majorBidi" w:cstheme="majorBidi"/>
          <w:color w:val="000000"/>
          <w:sz w:val="24"/>
          <w:szCs w:val="24"/>
          <w:lang w:val="en-US" w:eastAsia="fr-FR"/>
        </w:rPr>
        <w:t xml:space="preserve">, n° </w:t>
      </w:r>
      <w:r w:rsidR="00E724B9" w:rsidRPr="006C163A">
        <w:rPr>
          <w:rFonts w:asciiTheme="majorBidi" w:eastAsia="Times New Roman" w:hAnsiTheme="majorBidi" w:cstheme="majorBidi"/>
          <w:color w:val="000000"/>
          <w:sz w:val="24"/>
          <w:szCs w:val="24"/>
          <w:lang w:val="en-US" w:eastAsia="fr-FR"/>
        </w:rPr>
        <w:t>8</w:t>
      </w:r>
      <w:r w:rsidR="00756D30">
        <w:rPr>
          <w:rFonts w:asciiTheme="majorBidi" w:eastAsia="Times New Roman" w:hAnsiTheme="majorBidi" w:cstheme="majorBidi"/>
          <w:color w:val="000000"/>
          <w:sz w:val="24"/>
          <w:szCs w:val="24"/>
          <w:lang w:val="en-US" w:eastAsia="fr-FR"/>
        </w:rPr>
        <w:t xml:space="preserve">, </w:t>
      </w:r>
      <w:r w:rsidR="00B26A4B">
        <w:rPr>
          <w:rFonts w:asciiTheme="majorBidi" w:eastAsia="Times New Roman" w:hAnsiTheme="majorBidi" w:cstheme="majorBidi"/>
          <w:color w:val="000000"/>
          <w:sz w:val="24"/>
          <w:szCs w:val="24"/>
          <w:lang w:val="en-US" w:eastAsia="fr-FR"/>
        </w:rPr>
        <w:t>p</w:t>
      </w:r>
      <w:r w:rsidR="00756D30">
        <w:rPr>
          <w:rFonts w:asciiTheme="majorBidi" w:eastAsia="Times New Roman" w:hAnsiTheme="majorBidi" w:cstheme="majorBidi"/>
          <w:color w:val="000000"/>
          <w:sz w:val="24"/>
          <w:szCs w:val="24"/>
          <w:lang w:val="en-US" w:eastAsia="fr-FR"/>
        </w:rPr>
        <w:t xml:space="preserve">p. </w:t>
      </w:r>
      <w:r w:rsidR="00E724B9" w:rsidRPr="006C163A">
        <w:rPr>
          <w:rFonts w:asciiTheme="majorBidi" w:eastAsia="Times New Roman" w:hAnsiTheme="majorBidi" w:cstheme="majorBidi"/>
          <w:color w:val="000000"/>
          <w:sz w:val="24"/>
          <w:szCs w:val="24"/>
          <w:lang w:val="en-US" w:eastAsia="fr-FR"/>
        </w:rPr>
        <w:t>765–781.</w:t>
      </w:r>
      <w:r w:rsidRPr="006C163A">
        <w:rPr>
          <w:rFonts w:ascii="TimesNewRomanPSMT" w:hAnsi="TimesNewRomanPSMT" w:cs="TimesNewRomanPSMT"/>
          <w:color w:val="0000FF"/>
          <w:sz w:val="20"/>
          <w:szCs w:val="20"/>
          <w:lang w:val="en-US"/>
        </w:rPr>
        <w:t xml:space="preserve"> </w:t>
      </w:r>
    </w:p>
    <w:p w:rsidR="00D97D85" w:rsidRPr="00DB1D41" w:rsidRDefault="00D97D85" w:rsidP="00AE6E2D">
      <w:pPr>
        <w:spacing w:line="240" w:lineRule="auto"/>
        <w:jc w:val="both"/>
        <w:rPr>
          <w:rFonts w:asciiTheme="majorBidi" w:hAnsiTheme="majorBidi" w:cstheme="majorBidi"/>
          <w:sz w:val="24"/>
          <w:szCs w:val="24"/>
          <w:rtl/>
        </w:rPr>
      </w:pPr>
      <w:r w:rsidRPr="00D97D85">
        <w:rPr>
          <w:rFonts w:asciiTheme="majorBidi" w:hAnsiTheme="majorBidi" w:cstheme="majorBidi"/>
          <w:b/>
          <w:bCs/>
          <w:sz w:val="24"/>
          <w:szCs w:val="24"/>
          <w:lang w:val="en-US"/>
        </w:rPr>
        <w:t>Carpenter, S. R., WESTLEY, F. &amp; TURNER, M. G., (2005):</w:t>
      </w:r>
      <w:r w:rsidRPr="00D97D85">
        <w:rPr>
          <w:rFonts w:asciiTheme="majorBidi" w:hAnsiTheme="majorBidi" w:cstheme="majorBidi"/>
          <w:sz w:val="24"/>
          <w:szCs w:val="24"/>
          <w:lang w:val="en-US"/>
        </w:rPr>
        <w:t xml:space="preserve"> “Surrogates for resilience of social–ecological systems”, </w:t>
      </w:r>
      <w:r w:rsidRPr="00D97D85">
        <w:rPr>
          <w:rFonts w:asciiTheme="majorBidi" w:hAnsiTheme="majorBidi" w:cstheme="majorBidi"/>
          <w:i/>
          <w:iCs/>
          <w:sz w:val="24"/>
          <w:szCs w:val="24"/>
          <w:lang w:val="en-US"/>
        </w:rPr>
        <w:t>Ecosystems</w:t>
      </w:r>
      <w:r w:rsidRPr="00D97D85">
        <w:rPr>
          <w:rFonts w:asciiTheme="majorBidi" w:hAnsiTheme="majorBidi" w:cstheme="majorBidi"/>
          <w:sz w:val="24"/>
          <w:szCs w:val="24"/>
          <w:lang w:val="en-US"/>
        </w:rPr>
        <w:t>, vol. 8, pp. 941-944.</w:t>
      </w:r>
    </w:p>
    <w:p w:rsidR="00756D30" w:rsidRDefault="00FE1BF2"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Cerè</w:t>
      </w:r>
      <w:r w:rsidRPr="00A84B6E">
        <w:rPr>
          <w:rFonts w:ascii="Times New Roman" w:eastAsia="Times New Roman" w:hAnsi="Times New Roman" w:cs="Times New Roman"/>
          <w:b/>
          <w:bCs/>
          <w:color w:val="000000"/>
          <w:sz w:val="24"/>
          <w:szCs w:val="24"/>
          <w:lang w:val="en-US" w:eastAsia="fr-FR"/>
        </w:rPr>
        <w:t xml:space="preserve">, G., </w:t>
      </w:r>
      <w:r w:rsidR="00756D30" w:rsidRPr="00A84B6E">
        <w:rPr>
          <w:rFonts w:ascii="Times New Roman" w:eastAsia="Times New Roman" w:hAnsi="Times New Roman" w:cs="Times New Roman"/>
          <w:b/>
          <w:bCs/>
          <w:color w:val="000000"/>
          <w:sz w:val="24"/>
          <w:szCs w:val="24"/>
          <w:lang w:val="en-US" w:eastAsia="fr-FR"/>
        </w:rPr>
        <w:t>Rezgui, Y.</w:t>
      </w:r>
      <w:r w:rsidRPr="00A84B6E">
        <w:rPr>
          <w:rFonts w:ascii="Times New Roman" w:eastAsia="Times New Roman" w:hAnsi="Times New Roman" w:cs="Times New Roman"/>
          <w:b/>
          <w:bCs/>
          <w:color w:val="000000"/>
          <w:sz w:val="24"/>
          <w:szCs w:val="24"/>
          <w:lang w:val="en-US" w:eastAsia="fr-FR"/>
        </w:rPr>
        <w:t xml:space="preserve"> &amp;</w:t>
      </w:r>
      <w:r w:rsidR="00756D30" w:rsidRPr="00A84B6E">
        <w:rPr>
          <w:rFonts w:ascii="Times New Roman" w:eastAsia="Times New Roman" w:hAnsi="Times New Roman" w:cs="Times New Roman"/>
          <w:b/>
          <w:bCs/>
          <w:color w:val="000000"/>
          <w:sz w:val="24"/>
          <w:szCs w:val="24"/>
          <w:lang w:val="en-US" w:eastAsia="fr-FR"/>
        </w:rPr>
        <w:t xml:space="preserve"> Zhao, W., (2019)</w:t>
      </w:r>
      <w:r w:rsidR="00756D30" w:rsidRPr="00A84B6E">
        <w:rPr>
          <w:rFonts w:ascii="Times New Roman" w:eastAsia="Times New Roman" w:hAnsi="Times New Roman" w:cs="Times New Roman"/>
          <w:color w:val="000000"/>
          <w:sz w:val="24"/>
          <w:szCs w:val="24"/>
          <w:lang w:val="en-US" w:eastAsia="fr-FR"/>
        </w:rPr>
        <w:t xml:space="preserve">: “Urban-scale framework for assessing the resilience of buildings informed by a Delphi expert consultation”, </w:t>
      </w:r>
      <w:r w:rsidR="00756D30" w:rsidRPr="00A84B6E">
        <w:rPr>
          <w:rFonts w:ascii="Times New Roman" w:eastAsia="Times New Roman" w:hAnsi="Times New Roman" w:cs="Times New Roman"/>
          <w:i/>
          <w:iCs/>
          <w:color w:val="000000"/>
          <w:sz w:val="24"/>
          <w:szCs w:val="24"/>
          <w:lang w:val="en-US" w:eastAsia="fr-FR"/>
        </w:rPr>
        <w:t>Int. J. Disaster Risk Reduct</w:t>
      </w:r>
      <w:r w:rsidR="00AE51CD">
        <w:rPr>
          <w:rFonts w:ascii="Times New Roman" w:eastAsia="Times New Roman" w:hAnsi="Times New Roman" w:cs="Times New Roman"/>
          <w:color w:val="000000"/>
          <w:sz w:val="24"/>
          <w:szCs w:val="24"/>
          <w:lang w:val="en-US" w:eastAsia="fr-FR"/>
        </w:rPr>
        <w:t>, vol. 36.</w:t>
      </w:r>
    </w:p>
    <w:p w:rsidR="00AE51CD" w:rsidRPr="00AE51CD" w:rsidRDefault="00AE51CD" w:rsidP="00AE6E2D">
      <w:pPr>
        <w:autoSpaceDE w:val="0"/>
        <w:autoSpaceDN w:val="0"/>
        <w:adjustRightInd w:val="0"/>
        <w:spacing w:line="240" w:lineRule="auto"/>
        <w:jc w:val="both"/>
        <w:rPr>
          <w:rFonts w:asciiTheme="majorBidi" w:hAnsiTheme="majorBidi" w:cstheme="majorBidi"/>
          <w:sz w:val="28"/>
          <w:szCs w:val="28"/>
          <w:lang w:val="en-US" w:bidi="ar-DZ"/>
        </w:rPr>
      </w:pPr>
      <w:r w:rsidRPr="00E40DF8">
        <w:rPr>
          <w:rFonts w:ascii="Times New Roman" w:eastAsia="Times New Roman" w:hAnsi="Times New Roman" w:cs="Times New Roman"/>
          <w:b/>
          <w:bCs/>
          <w:color w:val="000000"/>
          <w:sz w:val="24"/>
          <w:szCs w:val="24"/>
          <w:lang w:val="en-US" w:eastAsia="fr-FR"/>
        </w:rPr>
        <w:t>Chambers</w:t>
      </w:r>
      <w:r w:rsidRPr="00AE51CD">
        <w:rPr>
          <w:rFonts w:asciiTheme="majorBidi" w:hAnsiTheme="majorBidi" w:cstheme="majorBidi"/>
          <w:b/>
          <w:bCs/>
          <w:sz w:val="24"/>
          <w:szCs w:val="24"/>
          <w:lang w:val="en-US"/>
        </w:rPr>
        <w:t>, R., &amp; Conway, G. (1992):</w:t>
      </w:r>
      <w:r w:rsidRPr="00AE51CD">
        <w:rPr>
          <w:rFonts w:asciiTheme="majorBidi" w:hAnsiTheme="majorBidi" w:cstheme="majorBidi"/>
          <w:sz w:val="24"/>
          <w:szCs w:val="24"/>
          <w:lang w:val="en-US"/>
        </w:rPr>
        <w:t xml:space="preserve"> “Sustainable rural livelihoods”, practical concepts for the 21</w:t>
      </w:r>
      <w:r w:rsidRPr="00AE51CD">
        <w:rPr>
          <w:rFonts w:asciiTheme="majorBidi" w:hAnsiTheme="majorBidi" w:cstheme="majorBidi"/>
          <w:sz w:val="24"/>
          <w:szCs w:val="24"/>
          <w:vertAlign w:val="superscript"/>
          <w:lang w:val="en-US"/>
        </w:rPr>
        <w:t>st</w:t>
      </w:r>
      <w:r w:rsidRPr="00AE51CD">
        <w:rPr>
          <w:rFonts w:asciiTheme="majorBidi" w:hAnsiTheme="majorBidi" w:cstheme="majorBidi"/>
          <w:sz w:val="24"/>
          <w:szCs w:val="24"/>
          <w:lang w:val="en-US"/>
        </w:rPr>
        <w:t xml:space="preserve"> century</w:t>
      </w:r>
      <w:r>
        <w:rPr>
          <w:rFonts w:asciiTheme="majorBidi" w:hAnsiTheme="majorBidi" w:cstheme="majorBidi"/>
          <w:sz w:val="24"/>
          <w:szCs w:val="24"/>
          <w:lang w:val="en-US"/>
        </w:rPr>
        <w:t>,</w:t>
      </w:r>
      <w:r w:rsidRPr="00AE51CD">
        <w:rPr>
          <w:rFonts w:asciiTheme="majorBidi" w:hAnsiTheme="majorBidi" w:cstheme="majorBidi"/>
          <w:sz w:val="24"/>
          <w:szCs w:val="24"/>
          <w:lang w:val="en-US"/>
        </w:rPr>
        <w:t xml:space="preserve"> Institute of Development Studies</w:t>
      </w:r>
      <w:r w:rsidR="002D11D2">
        <w:rPr>
          <w:rFonts w:asciiTheme="majorBidi" w:hAnsiTheme="majorBidi" w:cstheme="majorBidi"/>
          <w:sz w:val="24"/>
          <w:szCs w:val="24"/>
          <w:lang w:val="en-US"/>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Chang, S. E.</w:t>
      </w:r>
      <w:r w:rsidR="00FE1BF2" w:rsidRPr="00E40DF8">
        <w:rPr>
          <w:rFonts w:ascii="Times New Roman" w:eastAsia="Times New Roman" w:hAnsi="Times New Roman" w:cs="Times New Roman"/>
          <w:b/>
          <w:bCs/>
          <w:color w:val="000000"/>
          <w:sz w:val="24"/>
          <w:szCs w:val="24"/>
          <w:lang w:val="en-US" w:eastAsia="fr-FR"/>
        </w:rPr>
        <w:t>, (</w:t>
      </w:r>
      <w:r w:rsidRPr="00E40DF8">
        <w:rPr>
          <w:rFonts w:ascii="Times New Roman" w:eastAsia="Times New Roman" w:hAnsi="Times New Roman" w:cs="Times New Roman"/>
          <w:b/>
          <w:bCs/>
          <w:color w:val="000000"/>
          <w:sz w:val="24"/>
          <w:szCs w:val="24"/>
          <w:lang w:val="en-US" w:eastAsia="fr-FR"/>
        </w:rPr>
        <w:t>2010</w:t>
      </w:r>
      <w:r w:rsidR="00FE1BF2" w:rsidRPr="00FE1BF2">
        <w:rPr>
          <w:rFonts w:ascii="Times New Roman" w:eastAsia="Times New Roman" w:hAnsi="Times New Roman" w:cs="Times New Roman"/>
          <w:b/>
          <w:bCs/>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w:t>
      </w:r>
      <w:r w:rsidR="00FE1BF2">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Urban disaster recovery: a measurement framework and its application to the 1995 Kobe earthquake</w:t>
      </w:r>
      <w:r w:rsidR="00FE1BF2">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w:t>
      </w:r>
      <w:r w:rsidRPr="00FE1BF2">
        <w:rPr>
          <w:rFonts w:ascii="Times New Roman" w:eastAsia="Times New Roman" w:hAnsi="Times New Roman" w:cs="Times New Roman"/>
          <w:i/>
          <w:iCs/>
          <w:color w:val="000000"/>
          <w:sz w:val="24"/>
          <w:szCs w:val="24"/>
          <w:lang w:val="en-US" w:eastAsia="fr-FR"/>
        </w:rPr>
        <w:t>Disasters</w:t>
      </w:r>
      <w:r w:rsidRPr="003860EF">
        <w:rPr>
          <w:rFonts w:ascii="Times New Roman" w:eastAsia="Times New Roman" w:hAnsi="Times New Roman" w:cs="Times New Roman"/>
          <w:color w:val="000000"/>
          <w:sz w:val="24"/>
          <w:szCs w:val="24"/>
          <w:lang w:val="en-US" w:eastAsia="fr-FR"/>
        </w:rPr>
        <w:t xml:space="preserve">, </w:t>
      </w:r>
      <w:r w:rsidR="00FE1BF2">
        <w:rPr>
          <w:rFonts w:ascii="Times New Roman" w:eastAsia="Times New Roman" w:hAnsi="Times New Roman" w:cs="Times New Roman"/>
          <w:color w:val="000000"/>
          <w:sz w:val="24"/>
          <w:szCs w:val="24"/>
          <w:lang w:val="en-US" w:eastAsia="fr-FR"/>
        </w:rPr>
        <w:t xml:space="preserve">vol. </w:t>
      </w:r>
      <w:r w:rsidRPr="003860EF">
        <w:rPr>
          <w:rFonts w:ascii="Times New Roman" w:eastAsia="Times New Roman" w:hAnsi="Times New Roman" w:cs="Times New Roman"/>
          <w:color w:val="000000"/>
          <w:sz w:val="24"/>
          <w:szCs w:val="24"/>
          <w:lang w:val="en-US" w:eastAsia="fr-FR"/>
        </w:rPr>
        <w:t>34,</w:t>
      </w:r>
      <w:r w:rsidR="00FE1BF2">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FE1BF2">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303-327.</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60" w:history="1">
        <w:r w:rsidR="00E724B9" w:rsidRPr="00FE1BF2">
          <w:rPr>
            <w:rFonts w:ascii="Times New Roman" w:eastAsia="Times New Roman" w:hAnsi="Times New Roman" w:cs="Times New Roman"/>
            <w:b/>
            <w:bCs/>
            <w:sz w:val="24"/>
            <w:szCs w:val="24"/>
            <w:lang w:val="en-US" w:eastAsia="fr-FR"/>
          </w:rPr>
          <w:t>Chen, J., (2014):</w:t>
        </w:r>
        <w:r w:rsidR="00E724B9" w:rsidRPr="003860EF">
          <w:rPr>
            <w:rFonts w:ascii="Times New Roman" w:eastAsia="Times New Roman" w:hAnsi="Times New Roman" w:cs="Times New Roman"/>
            <w:sz w:val="24"/>
            <w:szCs w:val="24"/>
            <w:lang w:val="en-US" w:eastAsia="fr-FR"/>
          </w:rPr>
          <w:t xml:space="preserve"> "GIS-based multi-criteria analysis for land use suitability assessment in City of Regina", </w:t>
        </w:r>
        <w:r w:rsidR="00E724B9" w:rsidRPr="00FE1BF2">
          <w:rPr>
            <w:rFonts w:ascii="Times New Roman" w:eastAsia="Times New Roman" w:hAnsi="Times New Roman" w:cs="Times New Roman"/>
            <w:i/>
            <w:iCs/>
            <w:sz w:val="24"/>
            <w:szCs w:val="24"/>
            <w:lang w:val="en-US" w:eastAsia="fr-FR"/>
          </w:rPr>
          <w:t>Environ Sys Res</w:t>
        </w:r>
        <w:r w:rsidR="00E724B9" w:rsidRPr="003860EF">
          <w:rPr>
            <w:rFonts w:ascii="Times New Roman" w:eastAsia="Times New Roman" w:hAnsi="Times New Roman" w:cs="Times New Roman"/>
            <w:sz w:val="24"/>
            <w:szCs w:val="24"/>
            <w:lang w:val="en-US" w:eastAsia="fr-FR"/>
          </w:rPr>
          <w:t>,</w:t>
        </w:r>
        <w:r w:rsidR="00FE1BF2">
          <w:rPr>
            <w:rFonts w:ascii="Times New Roman" w:eastAsia="Times New Roman" w:hAnsi="Times New Roman" w:cs="Times New Roman"/>
            <w:sz w:val="24"/>
            <w:szCs w:val="24"/>
            <w:lang w:val="en-US" w:eastAsia="fr-FR"/>
          </w:rPr>
          <w:t xml:space="preserve"> vol.</w:t>
        </w:r>
        <w:r w:rsidR="00E724B9" w:rsidRPr="003860EF">
          <w:rPr>
            <w:rFonts w:ascii="Times New Roman" w:eastAsia="Times New Roman" w:hAnsi="Times New Roman" w:cs="Times New Roman"/>
            <w:sz w:val="24"/>
            <w:szCs w:val="24"/>
            <w:lang w:val="en-US" w:eastAsia="fr-FR"/>
          </w:rPr>
          <w:t xml:space="preserve"> 3,</w:t>
        </w:r>
        <w:r w:rsidR="00FE1BF2">
          <w:rPr>
            <w:rFonts w:ascii="Times New Roman" w:eastAsia="Times New Roman" w:hAnsi="Times New Roman" w:cs="Times New Roman"/>
            <w:sz w:val="24"/>
            <w:szCs w:val="24"/>
            <w:lang w:val="en-US" w:eastAsia="fr-FR"/>
          </w:rPr>
          <w:t>n°</w:t>
        </w:r>
        <w:r w:rsidR="00E724B9" w:rsidRPr="003860EF">
          <w:rPr>
            <w:rFonts w:ascii="Times New Roman" w:eastAsia="Times New Roman" w:hAnsi="Times New Roman" w:cs="Times New Roman"/>
            <w:sz w:val="24"/>
            <w:szCs w:val="24"/>
            <w:lang w:val="en-US" w:eastAsia="fr-FR"/>
          </w:rPr>
          <w:t xml:space="preserve"> 13. https://doi.org/10.1186/2193-2697-3-13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Cheng</w:t>
      </w:r>
      <w:r w:rsidRPr="003860EF">
        <w:rPr>
          <w:rFonts w:ascii="Times New Roman" w:eastAsia="Times New Roman" w:hAnsi="Times New Roman" w:cs="Times New Roman"/>
          <w:b/>
          <w:bCs/>
          <w:color w:val="000000"/>
          <w:sz w:val="24"/>
          <w:szCs w:val="24"/>
          <w:lang w:val="en-US" w:eastAsia="fr-FR"/>
        </w:rPr>
        <w:t>, E. W. &amp; Li, H., (2007):</w:t>
      </w:r>
      <w:r w:rsidRPr="003860EF">
        <w:rPr>
          <w:rFonts w:ascii="Times New Roman" w:eastAsia="Times New Roman" w:hAnsi="Times New Roman" w:cs="Times New Roman"/>
          <w:color w:val="000000"/>
          <w:sz w:val="24"/>
          <w:szCs w:val="24"/>
          <w:lang w:val="en-US" w:eastAsia="fr-FR"/>
        </w:rPr>
        <w:t xml:space="preserve"> “Application of ANP in process models: An example of strategic partnering”, </w:t>
      </w:r>
      <w:r w:rsidRPr="00A84B6E">
        <w:rPr>
          <w:rFonts w:ascii="Times New Roman" w:eastAsia="Times New Roman" w:hAnsi="Times New Roman" w:cs="Times New Roman"/>
          <w:i/>
          <w:iCs/>
          <w:color w:val="000000"/>
          <w:sz w:val="24"/>
          <w:szCs w:val="24"/>
          <w:lang w:val="en-US" w:eastAsia="fr-FR"/>
        </w:rPr>
        <w:t>Building and Environment</w:t>
      </w:r>
      <w:r w:rsidRPr="003860EF">
        <w:rPr>
          <w:rFonts w:ascii="Times New Roman" w:eastAsia="Times New Roman" w:hAnsi="Times New Roman" w:cs="Times New Roman"/>
          <w:color w:val="000000"/>
          <w:sz w:val="24"/>
          <w:szCs w:val="24"/>
          <w:lang w:val="en-US" w:eastAsia="fr-FR"/>
        </w:rPr>
        <w:t>, vol. 42</w:t>
      </w:r>
      <w:r w:rsidR="00A84B6E">
        <w:rPr>
          <w:rFonts w:ascii="Times New Roman" w:eastAsia="Times New Roman" w:hAnsi="Times New Roman" w:cs="Times New Roman"/>
          <w:color w:val="000000"/>
          <w:sz w:val="24"/>
          <w:szCs w:val="24"/>
          <w:lang w:val="en-US" w:eastAsia="fr-FR"/>
        </w:rPr>
        <w:t xml:space="preserve">, n° </w:t>
      </w:r>
      <w:r w:rsidRPr="003860EF">
        <w:rPr>
          <w:rFonts w:ascii="Times New Roman" w:eastAsia="Times New Roman" w:hAnsi="Times New Roman" w:cs="Times New Roman"/>
          <w:color w:val="000000"/>
          <w:sz w:val="24"/>
          <w:szCs w:val="24"/>
          <w:lang w:val="en-US" w:eastAsia="fr-FR"/>
        </w:rPr>
        <w:t>1, p</w:t>
      </w:r>
      <w:r w:rsidR="00B26A4B">
        <w:rPr>
          <w:rFonts w:ascii="Times New Roman" w:eastAsia="Times New Roman" w:hAnsi="Times New Roman" w:cs="Times New Roman"/>
          <w:color w:val="000000"/>
          <w:sz w:val="24"/>
          <w:szCs w:val="24"/>
          <w:lang w:val="en-US" w:eastAsia="fr-FR"/>
        </w:rPr>
        <w:t>p</w:t>
      </w:r>
      <w:r w:rsidRPr="003860EF">
        <w:rPr>
          <w:rFonts w:ascii="Times New Roman" w:eastAsia="Times New Roman" w:hAnsi="Times New Roman" w:cs="Times New Roman"/>
          <w:color w:val="000000"/>
          <w:sz w:val="24"/>
          <w:szCs w:val="24"/>
          <w:lang w:val="en-US" w:eastAsia="fr-FR"/>
        </w:rPr>
        <w:t>. 278-287.</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61" w:history="1">
        <w:r w:rsidR="00E724B9" w:rsidRPr="00A84B6E">
          <w:rPr>
            <w:rFonts w:ascii="Times New Roman" w:eastAsia="Times New Roman" w:hAnsi="Times New Roman" w:cs="Times New Roman"/>
            <w:b/>
            <w:bCs/>
            <w:sz w:val="24"/>
            <w:szCs w:val="24"/>
            <w:lang w:val="en-US" w:eastAsia="fr-FR"/>
          </w:rPr>
          <w:t>CIAM, (1933):</w:t>
        </w:r>
        <w:r w:rsidR="00E724B9" w:rsidRPr="003860EF">
          <w:rPr>
            <w:rFonts w:ascii="Times New Roman" w:eastAsia="Times New Roman" w:hAnsi="Times New Roman" w:cs="Times New Roman"/>
            <w:sz w:val="24"/>
            <w:szCs w:val="24"/>
            <w:lang w:val="en-US" w:eastAsia="fr-FR"/>
          </w:rPr>
          <w:t xml:space="preserve"> "CIAM’s The Athens Charter", Available at: http://modernistarchitecture.wordpress.com/2010/11/03 /ciam%E2%80%99s-E2%80%9Cthe-athens-charter%E2%80%9D-1933/ (accessed 27 November 2021)</w:t>
        </w:r>
      </w:hyperlink>
    </w:p>
    <w:p w:rsidR="004F1363" w:rsidRPr="004F1363" w:rsidRDefault="004F1363" w:rsidP="00AE6E2D">
      <w:pPr>
        <w:autoSpaceDE w:val="0"/>
        <w:autoSpaceDN w:val="0"/>
        <w:adjustRightInd w:val="0"/>
        <w:spacing w:line="240" w:lineRule="auto"/>
        <w:jc w:val="both"/>
        <w:rPr>
          <w:rFonts w:ascii="Times New Roman" w:eastAsia="Times New Roman" w:hAnsi="Times New Roman" w:cs="Times New Roman"/>
          <w:sz w:val="24"/>
          <w:szCs w:val="24"/>
          <w:lang w:val="en-US" w:eastAsia="fr-FR"/>
        </w:rPr>
      </w:pPr>
      <w:r w:rsidRPr="00E40DF8">
        <w:rPr>
          <w:rFonts w:ascii="Times New Roman" w:eastAsia="Times New Roman" w:hAnsi="Times New Roman" w:cs="Times New Roman"/>
          <w:b/>
          <w:bCs/>
          <w:color w:val="000000"/>
          <w:sz w:val="24"/>
          <w:szCs w:val="24"/>
          <w:lang w:val="en-US" w:eastAsia="fr-FR"/>
        </w:rPr>
        <w:t>Cimellaro</w:t>
      </w:r>
      <w:r w:rsidRPr="004F1363">
        <w:rPr>
          <w:rFonts w:ascii="Times New Roman" w:eastAsia="Times New Roman" w:hAnsi="Times New Roman" w:cs="Times New Roman"/>
          <w:b/>
          <w:bCs/>
          <w:sz w:val="24"/>
          <w:szCs w:val="24"/>
          <w:lang w:val="en-US" w:eastAsia="fr-FR"/>
        </w:rPr>
        <w:t>, G. P., (2016):</w:t>
      </w:r>
      <w:r w:rsidRPr="004F1363">
        <w:rPr>
          <w:rFonts w:ascii="Times New Roman" w:eastAsia="Times New Roman" w:hAnsi="Times New Roman" w:cs="Times New Roman"/>
          <w:sz w:val="24"/>
          <w:szCs w:val="24"/>
          <w:lang w:val="en-US" w:eastAsia="fr-FR"/>
        </w:rPr>
        <w:t xml:space="preserve"> </w:t>
      </w:r>
      <w:r>
        <w:rPr>
          <w:rFonts w:ascii="Times New Roman" w:eastAsia="Times New Roman" w:hAnsi="Times New Roman" w:cs="Times New Roman"/>
          <w:sz w:val="24"/>
          <w:szCs w:val="24"/>
          <w:lang w:val="en-US" w:eastAsia="fr-FR"/>
        </w:rPr>
        <w:t>“</w:t>
      </w:r>
      <w:r w:rsidRPr="004F1363">
        <w:rPr>
          <w:rFonts w:ascii="Times New Roman" w:eastAsia="Times New Roman" w:hAnsi="Times New Roman" w:cs="Times New Roman"/>
          <w:sz w:val="24"/>
          <w:szCs w:val="24"/>
          <w:lang w:val="en-US" w:eastAsia="fr-FR"/>
        </w:rPr>
        <w:t>Urban Resilience for Emergency Response and Recovery</w:t>
      </w:r>
      <w:r>
        <w:rPr>
          <w:rFonts w:ascii="Times New Roman" w:eastAsia="Times New Roman" w:hAnsi="Times New Roman" w:cs="Times New Roman"/>
          <w:sz w:val="24"/>
          <w:szCs w:val="24"/>
          <w:lang w:val="en-US" w:eastAsia="fr-FR"/>
        </w:rPr>
        <w:t>”</w:t>
      </w:r>
      <w:r w:rsidRPr="004F1363">
        <w:rPr>
          <w:rFonts w:ascii="Times New Roman" w:eastAsia="Times New Roman" w:hAnsi="Times New Roman" w:cs="Times New Roman"/>
          <w:sz w:val="24"/>
          <w:szCs w:val="24"/>
          <w:lang w:val="en-US" w:eastAsia="fr-FR"/>
        </w:rPr>
        <w:t xml:space="preserve">, </w:t>
      </w:r>
      <w:r w:rsidRPr="004F1363">
        <w:rPr>
          <w:rFonts w:ascii="Times New Roman" w:eastAsia="Times New Roman" w:hAnsi="Times New Roman" w:cs="Times New Roman"/>
          <w:i/>
          <w:iCs/>
          <w:sz w:val="24"/>
          <w:szCs w:val="24"/>
          <w:lang w:val="en-US" w:eastAsia="fr-FR"/>
        </w:rPr>
        <w:t>Springer</w:t>
      </w:r>
      <w:r w:rsidRPr="004F1363">
        <w:rPr>
          <w:rFonts w:ascii="Times New Roman" w:eastAsia="Times New Roman" w:hAnsi="Times New Roman" w:cs="Times New Roman"/>
          <w:sz w:val="24"/>
          <w:szCs w:val="24"/>
          <w:lang w:val="en-US" w:eastAsia="fr-FR"/>
        </w:rPr>
        <w:t xml:space="preserve">. </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62" w:history="1">
        <w:r w:rsidR="00E724B9" w:rsidRPr="00E40DF8">
          <w:rPr>
            <w:rFonts w:ascii="Times New Roman" w:eastAsia="Times New Roman" w:hAnsi="Times New Roman" w:cs="Times New Roman"/>
            <w:b/>
            <w:bCs/>
            <w:color w:val="000000"/>
            <w:sz w:val="24"/>
            <w:szCs w:val="24"/>
            <w:lang w:val="en-US" w:eastAsia="fr-FR"/>
          </w:rPr>
          <w:t>Coaffee</w:t>
        </w:r>
        <w:r w:rsidR="00E724B9" w:rsidRPr="004F1363">
          <w:rPr>
            <w:rFonts w:ascii="Times New Roman" w:eastAsia="Times New Roman" w:hAnsi="Times New Roman" w:cs="Times New Roman"/>
            <w:b/>
            <w:bCs/>
            <w:sz w:val="24"/>
            <w:szCs w:val="24"/>
            <w:lang w:val="en-US" w:eastAsia="fr-FR"/>
          </w:rPr>
          <w:t>, J. &amp; Lee, P., (2016):</w:t>
        </w:r>
        <w:r w:rsidR="00E724B9" w:rsidRPr="003860EF">
          <w:rPr>
            <w:rFonts w:ascii="Times New Roman" w:eastAsia="Times New Roman" w:hAnsi="Times New Roman" w:cs="Times New Roman"/>
            <w:sz w:val="24"/>
            <w:szCs w:val="24"/>
            <w:lang w:val="en-US" w:eastAsia="fr-FR"/>
          </w:rPr>
          <w:t xml:space="preserve"> "Urban resilience: planning for risk, crisis and uncertainty", 1st ed, Planning, Environment, </w:t>
        </w:r>
        <w:r w:rsidR="00E724B9" w:rsidRPr="00C260BA">
          <w:rPr>
            <w:rFonts w:ascii="Times New Roman" w:eastAsia="Times New Roman" w:hAnsi="Times New Roman" w:cs="Times New Roman"/>
            <w:i/>
            <w:iCs/>
            <w:sz w:val="24"/>
            <w:szCs w:val="24"/>
            <w:lang w:val="en-US" w:eastAsia="fr-FR"/>
          </w:rPr>
          <w:t>Cities</w:t>
        </w:r>
        <w:r w:rsidR="00E724B9" w:rsidRPr="003860EF">
          <w:rPr>
            <w:rFonts w:ascii="Times New Roman" w:eastAsia="Times New Roman" w:hAnsi="Times New Roman" w:cs="Times New Roman"/>
            <w:sz w:val="24"/>
            <w:szCs w:val="24"/>
            <w:lang w:val="en-US" w:eastAsia="fr-FR"/>
          </w:rPr>
          <w:t>, Red Globe Press. http://www.macmillanihe.com/t/9781137</w:t>
        </w:r>
        <w:r w:rsidR="00C260BA">
          <w:rPr>
            <w:rFonts w:ascii="Times New Roman" w:eastAsia="Times New Roman" w:hAnsi="Times New Roman" w:cs="Times New Roman"/>
            <w:sz w:val="24"/>
            <w:szCs w:val="24"/>
            <w:lang w:val="en-US" w:eastAsia="fr-FR"/>
          </w:rPr>
          <w:t xml:space="preserve"> </w:t>
        </w:r>
        <w:r w:rsidR="00E724B9" w:rsidRPr="003860EF">
          <w:rPr>
            <w:rFonts w:ascii="Times New Roman" w:eastAsia="Times New Roman" w:hAnsi="Times New Roman" w:cs="Times New Roman"/>
            <w:sz w:val="24"/>
            <w:szCs w:val="24"/>
            <w:lang w:val="en-US" w:eastAsia="fr-FR"/>
          </w:rPr>
          <w:t xml:space="preserve">288820   </w:t>
        </w:r>
      </w:hyperlink>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D0D0D"/>
          <w:sz w:val="24"/>
          <w:szCs w:val="24"/>
          <w:lang w:val="en-US" w:eastAsia="fr-FR"/>
        </w:rPr>
      </w:pPr>
      <w:hyperlink r:id="rId363" w:history="1">
        <w:r w:rsidR="00E724B9" w:rsidRPr="00E40DF8">
          <w:rPr>
            <w:rFonts w:ascii="Times New Roman" w:eastAsia="Times New Roman" w:hAnsi="Times New Roman" w:cs="Times New Roman"/>
            <w:b/>
            <w:bCs/>
            <w:color w:val="000000"/>
            <w:sz w:val="24"/>
            <w:szCs w:val="24"/>
            <w:lang w:val="en-US" w:eastAsia="fr-FR"/>
          </w:rPr>
          <w:t>Collier</w:t>
        </w:r>
        <w:r w:rsidR="00E724B9" w:rsidRPr="00C260BA">
          <w:rPr>
            <w:rFonts w:ascii="Times New Roman" w:eastAsia="Times New Roman" w:hAnsi="Times New Roman" w:cs="Times New Roman"/>
            <w:b/>
            <w:bCs/>
            <w:color w:val="000000"/>
            <w:sz w:val="24"/>
            <w:szCs w:val="24"/>
            <w:lang w:val="en-US" w:eastAsia="fr-FR"/>
          </w:rPr>
          <w:t>, M. J., Nedović-Budić, Z., Aerts, J., Co</w:t>
        </w:r>
        <w:r w:rsidR="00C260BA" w:rsidRPr="00C260BA">
          <w:rPr>
            <w:rFonts w:ascii="Times New Roman" w:eastAsia="Times New Roman" w:hAnsi="Times New Roman" w:cs="Times New Roman"/>
            <w:b/>
            <w:bCs/>
            <w:color w:val="000000"/>
            <w:sz w:val="24"/>
            <w:szCs w:val="24"/>
            <w:lang w:val="en-US" w:eastAsia="fr-FR"/>
          </w:rPr>
          <w:t>nnop, S., Foley, D., Foley, K. &amp;</w:t>
        </w:r>
        <w:r w:rsidR="00E724B9" w:rsidRPr="00C260BA">
          <w:rPr>
            <w:rFonts w:ascii="Times New Roman" w:eastAsia="Times New Roman" w:hAnsi="Times New Roman" w:cs="Times New Roman"/>
            <w:b/>
            <w:bCs/>
            <w:color w:val="000000"/>
            <w:sz w:val="24"/>
            <w:szCs w:val="24"/>
            <w:lang w:val="en-US" w:eastAsia="fr-FR"/>
          </w:rPr>
          <w:t xml:space="preserve"> Verburg, P. (2013)</w:t>
        </w:r>
        <w:r w:rsidR="00C260BA">
          <w:rPr>
            <w:rFonts w:ascii="Times New Roman" w:eastAsia="Times New Roman" w:hAnsi="Times New Roman" w:cs="Times New Roman"/>
            <w:color w:val="000000"/>
            <w:sz w:val="24"/>
            <w:szCs w:val="24"/>
            <w:lang w:val="en-US" w:eastAsia="fr-FR"/>
          </w:rPr>
          <w:t>:</w:t>
        </w:r>
        <w:r w:rsidR="00E724B9" w:rsidRPr="003860EF">
          <w:rPr>
            <w:rFonts w:ascii="Times New Roman" w:eastAsia="Times New Roman" w:hAnsi="Times New Roman" w:cs="Times New Roman"/>
            <w:color w:val="000000"/>
            <w:sz w:val="24"/>
            <w:szCs w:val="24"/>
            <w:lang w:val="en-US" w:eastAsia="fr-FR"/>
          </w:rPr>
          <w:t xml:space="preserve"> </w:t>
        </w:r>
        <w:r w:rsidR="00C260BA">
          <w:rPr>
            <w:rFonts w:ascii="Times New Roman" w:eastAsia="Times New Roman" w:hAnsi="Times New Roman" w:cs="Times New Roman"/>
            <w:color w:val="000000"/>
            <w:sz w:val="24"/>
            <w:szCs w:val="24"/>
            <w:lang w:val="en-US" w:eastAsia="fr-FR"/>
          </w:rPr>
          <w:t>“</w:t>
        </w:r>
        <w:r w:rsidR="00E724B9" w:rsidRPr="003860EF">
          <w:rPr>
            <w:rFonts w:ascii="Times New Roman" w:eastAsia="Times New Roman" w:hAnsi="Times New Roman" w:cs="Times New Roman"/>
            <w:color w:val="000000"/>
            <w:sz w:val="24"/>
            <w:szCs w:val="24"/>
            <w:lang w:val="en-US" w:eastAsia="fr-FR"/>
          </w:rPr>
          <w:t>Transitioning to resilience and sustainability in urban communities</w:t>
        </w:r>
        <w:r w:rsidR="00C260BA">
          <w:rPr>
            <w:rFonts w:ascii="Times New Roman" w:eastAsia="Times New Roman" w:hAnsi="Times New Roman" w:cs="Times New Roman"/>
            <w:color w:val="000000"/>
            <w:sz w:val="24"/>
            <w:szCs w:val="24"/>
            <w:lang w:val="en-US" w:eastAsia="fr-FR"/>
          </w:rPr>
          <w:t>”,</w:t>
        </w:r>
        <w:r w:rsidR="00E724B9" w:rsidRPr="003860EF">
          <w:rPr>
            <w:rFonts w:ascii="Times New Roman" w:eastAsia="Times New Roman" w:hAnsi="Times New Roman" w:cs="Times New Roman"/>
            <w:color w:val="000000"/>
            <w:sz w:val="24"/>
            <w:szCs w:val="24"/>
            <w:lang w:val="en-US" w:eastAsia="fr-FR"/>
          </w:rPr>
          <w:t xml:space="preserve"> </w:t>
        </w:r>
        <w:r w:rsidR="00E724B9" w:rsidRPr="00C260BA">
          <w:rPr>
            <w:rFonts w:ascii="Times New Roman" w:eastAsia="Times New Roman" w:hAnsi="Times New Roman" w:cs="Times New Roman"/>
            <w:i/>
            <w:iCs/>
            <w:color w:val="000000"/>
            <w:sz w:val="24"/>
            <w:szCs w:val="24"/>
            <w:lang w:val="en-US" w:eastAsia="fr-FR"/>
          </w:rPr>
          <w:t>Cities</w:t>
        </w:r>
        <w:r w:rsidR="00E724B9" w:rsidRPr="003860EF">
          <w:rPr>
            <w:rFonts w:ascii="Times New Roman" w:eastAsia="Times New Roman" w:hAnsi="Times New Roman" w:cs="Times New Roman"/>
            <w:color w:val="000000"/>
            <w:sz w:val="24"/>
            <w:szCs w:val="24"/>
            <w:lang w:val="en-US" w:eastAsia="fr-FR"/>
          </w:rPr>
          <w:t>, 32, Supplement</w:t>
        </w:r>
        <w:r w:rsidR="00C260BA">
          <w:rPr>
            <w:rFonts w:ascii="Times New Roman" w:eastAsia="Times New Roman" w:hAnsi="Times New Roman" w:cs="Times New Roman"/>
            <w:color w:val="000000"/>
            <w:sz w:val="24"/>
            <w:szCs w:val="24"/>
            <w:lang w:val="en-US" w:eastAsia="fr-FR"/>
          </w:rPr>
          <w:t>, vol.</w:t>
        </w:r>
        <w:r w:rsidR="00E724B9" w:rsidRPr="003860EF">
          <w:rPr>
            <w:rFonts w:ascii="Times New Roman" w:eastAsia="Times New Roman" w:hAnsi="Times New Roman" w:cs="Times New Roman"/>
            <w:color w:val="000000"/>
            <w:sz w:val="24"/>
            <w:szCs w:val="24"/>
            <w:lang w:val="en-US" w:eastAsia="fr-FR"/>
          </w:rPr>
          <w:t xml:space="preserve"> 1,</w:t>
        </w:r>
        <w:r w:rsidR="00C260BA">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C260BA">
          <w:rPr>
            <w:rFonts w:ascii="Times New Roman" w:eastAsia="Times New Roman" w:hAnsi="Times New Roman" w:cs="Times New Roman"/>
            <w:color w:val="000000"/>
            <w:sz w:val="24"/>
            <w:szCs w:val="24"/>
            <w:lang w:val="en-US" w:eastAsia="fr-FR"/>
          </w:rPr>
          <w:t>.</w:t>
        </w:r>
        <w:r w:rsidR="00E724B9" w:rsidRPr="003860EF">
          <w:rPr>
            <w:rFonts w:ascii="Times New Roman" w:eastAsia="Times New Roman" w:hAnsi="Times New Roman" w:cs="Times New Roman"/>
            <w:color w:val="000000"/>
            <w:sz w:val="24"/>
            <w:szCs w:val="24"/>
            <w:lang w:val="en-US" w:eastAsia="fr-FR"/>
          </w:rPr>
          <w:t xml:space="preserve"> S21-S28. doi: http://dx.doi.org/10.1016/j.cities.2013.03.010.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Condon</w:t>
      </w:r>
      <w:r w:rsidRPr="003860EF">
        <w:rPr>
          <w:rFonts w:ascii="Times New Roman" w:eastAsia="Times New Roman" w:hAnsi="Times New Roman" w:cs="Times New Roman"/>
          <w:b/>
          <w:bCs/>
          <w:color w:val="000000"/>
          <w:sz w:val="24"/>
          <w:szCs w:val="24"/>
          <w:lang w:val="en-US" w:eastAsia="fr-FR"/>
        </w:rPr>
        <w:t>. P,</w:t>
      </w:r>
      <w:r w:rsidRPr="003860EF">
        <w:rPr>
          <w:rFonts w:ascii="Times New Roman" w:eastAsia="Times New Roman" w:hAnsi="Times New Roman" w:cs="Times New Roman"/>
          <w:b/>
          <w:bCs/>
          <w:color w:val="0D0D0D"/>
          <w:sz w:val="24"/>
          <w:szCs w:val="24"/>
          <w:lang w:val="en-US" w:eastAsia="fr-FR"/>
        </w:rPr>
        <w:t xml:space="preserve"> (2003):</w:t>
      </w:r>
      <w:r w:rsidRPr="003860EF">
        <w:rPr>
          <w:rFonts w:ascii="Times New Roman" w:eastAsia="Times New Roman" w:hAnsi="Times New Roman" w:cs="Times New Roman"/>
          <w:color w:val="0D0D0D"/>
          <w:sz w:val="24"/>
          <w:szCs w:val="24"/>
          <w:lang w:val="en-US" w:eastAsia="fr-FR"/>
        </w:rPr>
        <w:t xml:space="preserve"> </w:t>
      </w:r>
      <w:r w:rsidRPr="003860EF">
        <w:rPr>
          <w:rFonts w:ascii="Times New Roman" w:eastAsia="Times New Roman" w:hAnsi="Times New Roman" w:cs="Times New Roman"/>
          <w:color w:val="000000"/>
          <w:sz w:val="24"/>
          <w:szCs w:val="24"/>
          <w:lang w:val="en-US" w:eastAsia="fr-FR"/>
        </w:rPr>
        <w:t>"Sustainable urban landscapes: site design manual for British Columbia communities", University of British Columbia, August, 153p.</w:t>
      </w:r>
    </w:p>
    <w:p w:rsidR="000E3684" w:rsidRPr="000E3684" w:rsidRDefault="000E3684" w:rsidP="00AE6E2D">
      <w:pPr>
        <w:autoSpaceDE w:val="0"/>
        <w:autoSpaceDN w:val="0"/>
        <w:adjustRightInd w:val="0"/>
        <w:spacing w:line="240" w:lineRule="auto"/>
        <w:jc w:val="both"/>
        <w:rPr>
          <w:rFonts w:asciiTheme="majorBidi" w:eastAsia="Times New Roman" w:hAnsiTheme="majorBidi" w:cstheme="majorBidi"/>
          <w:color w:val="000000"/>
          <w:sz w:val="28"/>
          <w:szCs w:val="28"/>
          <w:lang w:val="en-US" w:eastAsia="fr-FR"/>
        </w:rPr>
      </w:pPr>
      <w:r w:rsidRPr="00E40DF8">
        <w:rPr>
          <w:rFonts w:ascii="Times New Roman" w:eastAsia="Times New Roman" w:hAnsi="Times New Roman" w:cs="Times New Roman"/>
          <w:b/>
          <w:bCs/>
          <w:color w:val="000000"/>
          <w:sz w:val="24"/>
          <w:szCs w:val="24"/>
          <w:lang w:val="en-US" w:eastAsia="fr-FR"/>
        </w:rPr>
        <w:t>Conzen</w:t>
      </w:r>
      <w:r>
        <w:rPr>
          <w:rFonts w:asciiTheme="majorBidi" w:hAnsiTheme="majorBidi" w:cstheme="majorBidi"/>
          <w:b/>
          <w:bCs/>
          <w:color w:val="0D0D0D"/>
          <w:sz w:val="24"/>
          <w:szCs w:val="24"/>
          <w:lang w:val="en-US"/>
        </w:rPr>
        <w:t>,</w:t>
      </w:r>
      <w:r w:rsidRPr="000E3684">
        <w:rPr>
          <w:rFonts w:asciiTheme="majorBidi" w:hAnsiTheme="majorBidi" w:cstheme="majorBidi"/>
          <w:b/>
          <w:bCs/>
          <w:color w:val="0D0D0D"/>
          <w:sz w:val="24"/>
          <w:szCs w:val="24"/>
          <w:lang w:val="en-US"/>
        </w:rPr>
        <w:t xml:space="preserve"> MRG</w:t>
      </w:r>
      <w:r>
        <w:rPr>
          <w:rFonts w:asciiTheme="majorBidi" w:hAnsiTheme="majorBidi" w:cstheme="majorBidi"/>
          <w:b/>
          <w:bCs/>
          <w:color w:val="0D0D0D"/>
          <w:sz w:val="24"/>
          <w:szCs w:val="24"/>
          <w:lang w:val="en-US"/>
        </w:rPr>
        <w:t>.,</w:t>
      </w:r>
      <w:r w:rsidRPr="000E3684">
        <w:rPr>
          <w:rFonts w:asciiTheme="majorBidi" w:hAnsiTheme="majorBidi" w:cstheme="majorBidi"/>
          <w:b/>
          <w:bCs/>
          <w:color w:val="0D0D0D"/>
          <w:sz w:val="24"/>
          <w:szCs w:val="24"/>
          <w:lang w:val="en-US"/>
        </w:rPr>
        <w:t xml:space="preserve"> (1960):</w:t>
      </w:r>
      <w:r w:rsidRPr="000E3684">
        <w:rPr>
          <w:rFonts w:asciiTheme="majorBidi" w:hAnsiTheme="majorBidi" w:cstheme="majorBidi"/>
          <w:color w:val="0D0D0D"/>
          <w:sz w:val="24"/>
          <w:szCs w:val="24"/>
          <w:lang w:val="en-US"/>
        </w:rPr>
        <w:t xml:space="preserve"> “Alnwick, Northumberland: A Study in Town-Plan Analysis”, </w:t>
      </w:r>
      <w:r w:rsidRPr="000E3684">
        <w:rPr>
          <w:rFonts w:asciiTheme="majorBidi" w:hAnsiTheme="majorBidi" w:cstheme="majorBidi"/>
          <w:i/>
          <w:iCs/>
          <w:color w:val="0D0D0D"/>
          <w:sz w:val="24"/>
          <w:szCs w:val="24"/>
          <w:lang w:val="en-US"/>
        </w:rPr>
        <w:t>Rev. ed.. London</w:t>
      </w:r>
      <w:r w:rsidRPr="000E3684">
        <w:rPr>
          <w:rFonts w:asciiTheme="majorBidi" w:hAnsiTheme="majorBidi" w:cstheme="majorBidi"/>
          <w:color w:val="0D0D0D"/>
          <w:sz w:val="24"/>
          <w:szCs w:val="24"/>
          <w:lang w:val="en-US"/>
        </w:rPr>
        <w:t>: London: Institute of British Geographers</w:t>
      </w:r>
      <w:r>
        <w:rPr>
          <w:rFonts w:asciiTheme="majorBidi" w:hAnsiTheme="majorBidi" w:cstheme="majorBidi"/>
          <w:color w:val="0D0D0D"/>
          <w:sz w:val="24"/>
          <w:szCs w:val="24"/>
          <w:lang w:val="en-US"/>
        </w:rPr>
        <w:t>, 122p</w:t>
      </w:r>
      <w:r w:rsidRPr="000E3684">
        <w:rPr>
          <w:rFonts w:asciiTheme="majorBidi" w:hAnsiTheme="majorBidi" w:cstheme="majorBidi"/>
          <w:color w:val="0D0D0D"/>
          <w:sz w:val="24"/>
          <w:szCs w:val="24"/>
          <w:lang w:val="en-US"/>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lastRenderedPageBreak/>
        <w:t>Correia</w:t>
      </w:r>
      <w:r w:rsidRPr="002C5684">
        <w:rPr>
          <w:rFonts w:ascii="Times New Roman" w:eastAsia="Times New Roman" w:hAnsi="Times New Roman" w:cs="Times New Roman"/>
          <w:b/>
          <w:bCs/>
          <w:color w:val="000000"/>
          <w:sz w:val="24"/>
          <w:szCs w:val="24"/>
          <w:lang w:val="en-US" w:eastAsia="fr-FR"/>
        </w:rPr>
        <w:t>, N. F., Fordham, M., da GRA a Saraiva, M., &amp; Bernardo, F.</w:t>
      </w:r>
      <w:r w:rsidR="00C260BA">
        <w:rPr>
          <w:rFonts w:ascii="Times New Roman" w:eastAsia="Times New Roman" w:hAnsi="Times New Roman" w:cs="Times New Roman"/>
          <w:b/>
          <w:bCs/>
          <w:color w:val="000000"/>
          <w:sz w:val="24"/>
          <w:szCs w:val="24"/>
          <w:lang w:val="en-US" w:eastAsia="fr-FR"/>
        </w:rPr>
        <w:t>,</w:t>
      </w:r>
      <w:r w:rsidRPr="002C5684">
        <w:rPr>
          <w:rFonts w:ascii="Times New Roman" w:eastAsia="Times New Roman" w:hAnsi="Times New Roman" w:cs="Times New Roman"/>
          <w:b/>
          <w:bCs/>
          <w:color w:val="000000"/>
          <w:sz w:val="24"/>
          <w:szCs w:val="24"/>
          <w:lang w:val="en-US" w:eastAsia="fr-FR"/>
        </w:rPr>
        <w:t xml:space="preserve"> (1998)</w:t>
      </w:r>
      <w:r w:rsidR="002C5684" w:rsidRPr="002C5684">
        <w:rPr>
          <w:rFonts w:ascii="Times New Roman" w:eastAsia="Times New Roman" w:hAnsi="Times New Roman" w:cs="Times New Roman"/>
          <w:b/>
          <w:bCs/>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Flood hazard assessment and management: interface with the public</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w:t>
      </w:r>
      <w:r w:rsidRPr="002C5684">
        <w:rPr>
          <w:rFonts w:ascii="Times New Roman" w:eastAsia="Times New Roman" w:hAnsi="Times New Roman" w:cs="Times New Roman"/>
          <w:i/>
          <w:iCs/>
          <w:color w:val="000000"/>
          <w:sz w:val="24"/>
          <w:szCs w:val="24"/>
          <w:lang w:val="en-US" w:eastAsia="fr-FR"/>
        </w:rPr>
        <w:t>Water Resources Management</w:t>
      </w:r>
      <w:r w:rsidRPr="003860EF">
        <w:rPr>
          <w:rFonts w:ascii="Times New Roman" w:eastAsia="Times New Roman" w:hAnsi="Times New Roman" w:cs="Times New Roman"/>
          <w:color w:val="000000"/>
          <w:sz w:val="24"/>
          <w:szCs w:val="24"/>
          <w:lang w:val="en-US" w:eastAsia="fr-FR"/>
        </w:rPr>
        <w:t>,</w:t>
      </w:r>
      <w:r w:rsidR="002C5684">
        <w:rPr>
          <w:rFonts w:ascii="Times New Roman" w:eastAsia="Times New Roman" w:hAnsi="Times New Roman" w:cs="Times New Roman"/>
          <w:color w:val="000000"/>
          <w:sz w:val="24"/>
          <w:szCs w:val="24"/>
          <w:lang w:val="en-US" w:eastAsia="fr-FR"/>
        </w:rPr>
        <w:t xml:space="preserve"> vol. </w:t>
      </w:r>
      <w:r w:rsidRPr="003860EF">
        <w:rPr>
          <w:rFonts w:ascii="Times New Roman" w:eastAsia="Times New Roman" w:hAnsi="Times New Roman" w:cs="Times New Roman"/>
          <w:color w:val="000000"/>
          <w:sz w:val="24"/>
          <w:szCs w:val="24"/>
          <w:lang w:val="en-US" w:eastAsia="fr-FR"/>
        </w:rPr>
        <w:t>12</w:t>
      </w:r>
      <w:r w:rsidR="002C5684">
        <w:rPr>
          <w:rFonts w:ascii="Times New Roman" w:eastAsia="Times New Roman" w:hAnsi="Times New Roman" w:cs="Times New Roman"/>
          <w:color w:val="000000"/>
          <w:sz w:val="24"/>
          <w:szCs w:val="24"/>
          <w:lang w:val="en-US" w:eastAsia="fr-FR"/>
        </w:rPr>
        <w:t xml:space="preserve">, n° </w:t>
      </w:r>
      <w:r w:rsidRPr="003860EF">
        <w:rPr>
          <w:rFonts w:ascii="Times New Roman" w:eastAsia="Times New Roman" w:hAnsi="Times New Roman" w:cs="Times New Roman"/>
          <w:color w:val="000000"/>
          <w:sz w:val="24"/>
          <w:szCs w:val="24"/>
          <w:lang w:val="en-US" w:eastAsia="fr-FR"/>
        </w:rPr>
        <w:t>3</w:t>
      </w:r>
      <w:r w:rsidR="002C5684">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209-227.</w:t>
      </w:r>
    </w:p>
    <w:p w:rsidR="0027551F" w:rsidRPr="0027551F" w:rsidRDefault="0027551F" w:rsidP="00B26A4B">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Cot</w:t>
      </w:r>
      <w:r w:rsidR="00B947B6" w:rsidRPr="00E40DF8">
        <w:rPr>
          <w:rFonts w:ascii="Times New Roman" w:eastAsia="Times New Roman" w:hAnsi="Times New Roman" w:cs="Times New Roman"/>
          <w:b/>
          <w:bCs/>
          <w:color w:val="000000"/>
          <w:sz w:val="24"/>
          <w:szCs w:val="24"/>
          <w:lang w:val="en-US" w:eastAsia="fr-FR"/>
        </w:rPr>
        <w:t>é</w:t>
      </w:r>
      <w:r w:rsidRPr="00E40DF8">
        <w:rPr>
          <w:rFonts w:ascii="Times New Roman" w:eastAsia="Times New Roman" w:hAnsi="Times New Roman" w:cs="Times New Roman"/>
          <w:b/>
          <w:bCs/>
          <w:color w:val="000000"/>
          <w:sz w:val="24"/>
          <w:szCs w:val="24"/>
          <w:lang w:val="en-US" w:eastAsia="fr-FR"/>
        </w:rPr>
        <w:t>, M-J</w:t>
      </w:r>
      <w:r w:rsidRPr="007229EC">
        <w:rPr>
          <w:rFonts w:ascii="Times New Roman" w:eastAsia="Times New Roman" w:hAnsi="Times New Roman" w:cs="Times New Roman"/>
          <w:b/>
          <w:bCs/>
          <w:color w:val="000000"/>
          <w:sz w:val="24"/>
          <w:szCs w:val="24"/>
          <w:lang w:val="en-US" w:eastAsia="fr-FR"/>
        </w:rPr>
        <w:t>., Poulin</w:t>
      </w:r>
      <w:r w:rsidR="00B947B6" w:rsidRPr="007229EC">
        <w:rPr>
          <w:rFonts w:ascii="Times New Roman" w:eastAsia="Times New Roman" w:hAnsi="Times New Roman" w:cs="Times New Roman"/>
          <w:b/>
          <w:bCs/>
          <w:color w:val="000000"/>
          <w:sz w:val="24"/>
          <w:szCs w:val="24"/>
          <w:lang w:val="en-US" w:eastAsia="fr-FR"/>
        </w:rPr>
        <w:t>,</w:t>
      </w:r>
      <w:r w:rsidRPr="007229EC">
        <w:rPr>
          <w:rFonts w:ascii="Times New Roman" w:eastAsia="Times New Roman" w:hAnsi="Times New Roman" w:cs="Times New Roman"/>
          <w:b/>
          <w:bCs/>
          <w:color w:val="000000"/>
          <w:sz w:val="24"/>
          <w:szCs w:val="24"/>
          <w:lang w:val="en-US" w:eastAsia="fr-FR"/>
        </w:rPr>
        <w:t xml:space="preserve"> G., Previl</w:t>
      </w:r>
      <w:r w:rsidR="00B947B6" w:rsidRPr="007229EC">
        <w:rPr>
          <w:rFonts w:ascii="Times New Roman" w:eastAsia="Times New Roman" w:hAnsi="Times New Roman" w:cs="Times New Roman"/>
          <w:b/>
          <w:bCs/>
          <w:color w:val="000000"/>
          <w:sz w:val="24"/>
          <w:szCs w:val="24"/>
          <w:lang w:val="en-US" w:eastAsia="fr-FR"/>
        </w:rPr>
        <w:t>,</w:t>
      </w:r>
      <w:r w:rsidRPr="007229EC">
        <w:rPr>
          <w:rFonts w:ascii="Times New Roman" w:eastAsia="Times New Roman" w:hAnsi="Times New Roman" w:cs="Times New Roman"/>
          <w:b/>
          <w:bCs/>
          <w:color w:val="000000"/>
          <w:sz w:val="24"/>
          <w:szCs w:val="24"/>
          <w:lang w:val="en-US" w:eastAsia="fr-FR"/>
        </w:rPr>
        <w:t xml:space="preserve"> C., Saint-Onge</w:t>
      </w:r>
      <w:r w:rsidR="00B947B6" w:rsidRPr="007229EC">
        <w:rPr>
          <w:rFonts w:ascii="Times New Roman" w:eastAsia="Times New Roman" w:hAnsi="Times New Roman" w:cs="Times New Roman"/>
          <w:b/>
          <w:bCs/>
          <w:color w:val="000000"/>
          <w:sz w:val="24"/>
          <w:szCs w:val="24"/>
          <w:lang w:val="en-US" w:eastAsia="fr-FR"/>
        </w:rPr>
        <w:t>, B.</w:t>
      </w:r>
      <w:r w:rsidRPr="007229EC">
        <w:rPr>
          <w:rFonts w:ascii="Times New Roman" w:eastAsia="Times New Roman" w:hAnsi="Times New Roman" w:cs="Times New Roman"/>
          <w:b/>
          <w:bCs/>
          <w:color w:val="000000"/>
          <w:sz w:val="24"/>
          <w:szCs w:val="24"/>
          <w:lang w:val="en-US" w:eastAsia="fr-FR"/>
        </w:rPr>
        <w:t xml:space="preserve"> et Waaub J-P</w:t>
      </w:r>
      <w:r w:rsidR="00B947B6" w:rsidRPr="007229EC">
        <w:rPr>
          <w:rFonts w:ascii="Times New Roman" w:eastAsia="Times New Roman" w:hAnsi="Times New Roman" w:cs="Times New Roman"/>
          <w:b/>
          <w:bCs/>
          <w:color w:val="000000"/>
          <w:sz w:val="24"/>
          <w:szCs w:val="24"/>
          <w:lang w:val="en-US" w:eastAsia="fr-FR"/>
        </w:rPr>
        <w:t xml:space="preserve"> (2001):</w:t>
      </w:r>
      <w:r w:rsidR="00B947B6" w:rsidRPr="00B947B6">
        <w:rPr>
          <w:rFonts w:ascii="Times New Roman" w:eastAsia="Times New Roman" w:hAnsi="Times New Roman" w:cs="Times New Roman"/>
          <w:color w:val="000000"/>
          <w:sz w:val="24"/>
          <w:szCs w:val="24"/>
          <w:lang w:val="en-US" w:eastAsia="fr-FR"/>
        </w:rPr>
        <w:t xml:space="preserve"> "</w:t>
      </w:r>
      <w:r w:rsidRPr="0027551F">
        <w:rPr>
          <w:rFonts w:ascii="Times New Roman" w:eastAsia="Times New Roman" w:hAnsi="Times New Roman" w:cs="Times New Roman"/>
          <w:color w:val="000000"/>
          <w:sz w:val="24"/>
          <w:szCs w:val="24"/>
          <w:lang w:val="en-US" w:eastAsia="fr-FR"/>
        </w:rPr>
        <w:t>An integrated system of computer assisted</w:t>
      </w:r>
      <w:r>
        <w:rPr>
          <w:rFonts w:ascii="Times New Roman" w:eastAsia="Times New Roman" w:hAnsi="Times New Roman" w:cs="Times New Roman"/>
          <w:color w:val="000000"/>
          <w:sz w:val="24"/>
          <w:szCs w:val="24"/>
          <w:lang w:val="en-US" w:eastAsia="fr-FR"/>
        </w:rPr>
        <w:t xml:space="preserve"> </w:t>
      </w:r>
      <w:r w:rsidRPr="0027551F">
        <w:rPr>
          <w:rFonts w:ascii="Times New Roman" w:eastAsia="Times New Roman" w:hAnsi="Times New Roman" w:cs="Times New Roman"/>
          <w:color w:val="000000"/>
          <w:sz w:val="24"/>
          <w:szCs w:val="24"/>
          <w:lang w:val="en-US" w:eastAsia="fr-FR"/>
        </w:rPr>
        <w:t>decision-making for spatial participative management</w:t>
      </w:r>
      <w:r w:rsidR="00B26A4B">
        <w:rPr>
          <w:rFonts w:ascii="Times New Roman" w:eastAsia="Times New Roman" w:hAnsi="Times New Roman" w:cs="Times New Roman"/>
          <w:color w:val="000000"/>
          <w:sz w:val="24"/>
          <w:szCs w:val="24"/>
          <w:lang w:val="en-US" w:eastAsia="fr-FR"/>
        </w:rPr>
        <w:t>,</w:t>
      </w:r>
      <w:r w:rsidRPr="0027551F">
        <w:rPr>
          <w:rFonts w:ascii="Times New Roman" w:eastAsia="Times New Roman" w:hAnsi="Times New Roman" w:cs="Times New Roman"/>
          <w:color w:val="000000"/>
          <w:sz w:val="24"/>
          <w:szCs w:val="24"/>
          <w:lang w:val="en-US" w:eastAsia="fr-FR"/>
        </w:rPr>
        <w:t xml:space="preserve"> The case of the Outaouais region of Quebec</w:t>
      </w:r>
      <w:r w:rsidR="00B947B6" w:rsidRPr="0027551F">
        <w:rPr>
          <w:rFonts w:ascii="Times New Roman" w:eastAsia="Times New Roman" w:hAnsi="Times New Roman" w:cs="Times New Roman"/>
          <w:color w:val="000000"/>
          <w:sz w:val="24"/>
          <w:szCs w:val="24"/>
          <w:lang w:val="en-US" w:eastAsia="fr-FR"/>
        </w:rPr>
        <w:t>,</w:t>
      </w:r>
      <w:r w:rsidR="00B947B6">
        <w:rPr>
          <w:rFonts w:ascii="Times New Roman" w:eastAsia="Times New Roman" w:hAnsi="Times New Roman" w:cs="Times New Roman"/>
          <w:color w:val="000000"/>
          <w:sz w:val="24"/>
          <w:szCs w:val="24"/>
          <w:lang w:val="en-US" w:eastAsia="fr-FR"/>
        </w:rPr>
        <w:t xml:space="preserve"> </w:t>
      </w:r>
      <w:r w:rsidR="00B947B6" w:rsidRPr="0027551F">
        <w:rPr>
          <w:rFonts w:ascii="Times New Roman" w:eastAsia="Times New Roman" w:hAnsi="Times New Roman" w:cs="Times New Roman"/>
          <w:color w:val="000000"/>
          <w:sz w:val="24"/>
          <w:szCs w:val="24"/>
          <w:lang w:val="en-US" w:eastAsia="fr-FR"/>
        </w:rPr>
        <w:t>Canada</w:t>
      </w:r>
      <w:r w:rsidR="00B947B6">
        <w:rPr>
          <w:rFonts w:ascii="Times New Roman" w:eastAsia="Times New Roman" w:hAnsi="Times New Roman" w:cs="Times New Roman"/>
          <w:color w:val="000000"/>
          <w:sz w:val="24"/>
          <w:szCs w:val="24"/>
          <w:lang w:val="en-US" w:eastAsia="fr-FR"/>
        </w:rPr>
        <w:t xml:space="preserve">”, </w:t>
      </w:r>
      <w:r w:rsidRPr="00B947B6">
        <w:rPr>
          <w:rFonts w:ascii="Times New Roman" w:eastAsia="Times New Roman" w:hAnsi="Times New Roman" w:cs="Times New Roman"/>
          <w:i/>
          <w:iCs/>
          <w:color w:val="000000"/>
          <w:sz w:val="24"/>
          <w:szCs w:val="24"/>
          <w:lang w:val="en-US" w:eastAsia="fr-FR"/>
        </w:rPr>
        <w:t>Géocarrefour</w:t>
      </w:r>
      <w:r w:rsidR="00B947B6">
        <w:rPr>
          <w:rFonts w:ascii="Times New Roman" w:eastAsia="Times New Roman" w:hAnsi="Times New Roman" w:cs="Times New Roman"/>
          <w:color w:val="000000"/>
          <w:sz w:val="24"/>
          <w:szCs w:val="24"/>
          <w:lang w:val="en-US" w:eastAsia="fr-FR"/>
        </w:rPr>
        <w:t>,</w:t>
      </w:r>
      <w:r w:rsidRPr="00B947B6">
        <w:rPr>
          <w:rFonts w:ascii="Times New Roman" w:eastAsia="Times New Roman" w:hAnsi="Times New Roman" w:cs="Times New Roman"/>
          <w:color w:val="000000"/>
          <w:sz w:val="24"/>
          <w:szCs w:val="24"/>
          <w:lang w:val="en-US" w:eastAsia="fr-FR"/>
        </w:rPr>
        <w:t xml:space="preserve"> </w:t>
      </w:r>
      <w:r w:rsidR="00B947B6" w:rsidRPr="00B947B6">
        <w:rPr>
          <w:rFonts w:ascii="Times New Roman" w:eastAsia="Times New Roman" w:hAnsi="Times New Roman" w:cs="Times New Roman"/>
          <w:color w:val="000000"/>
          <w:sz w:val="24"/>
          <w:szCs w:val="24"/>
          <w:lang w:val="en-US" w:eastAsia="fr-FR"/>
        </w:rPr>
        <w:t>vol.</w:t>
      </w:r>
      <w:r w:rsidR="00B947B6">
        <w:rPr>
          <w:rFonts w:ascii="Times New Roman" w:eastAsia="Times New Roman" w:hAnsi="Times New Roman" w:cs="Times New Roman"/>
          <w:color w:val="000000"/>
          <w:sz w:val="24"/>
          <w:szCs w:val="24"/>
          <w:lang w:val="en-US" w:eastAsia="fr-FR"/>
        </w:rPr>
        <w:t xml:space="preserve"> </w:t>
      </w:r>
      <w:r w:rsidRPr="00B947B6">
        <w:rPr>
          <w:rFonts w:ascii="Times New Roman" w:eastAsia="Times New Roman" w:hAnsi="Times New Roman" w:cs="Times New Roman"/>
          <w:color w:val="000000"/>
          <w:sz w:val="24"/>
          <w:szCs w:val="24"/>
          <w:lang w:val="en-US" w:eastAsia="fr-FR"/>
        </w:rPr>
        <w:t>76,</w:t>
      </w:r>
      <w:r w:rsidR="00B947B6">
        <w:rPr>
          <w:rFonts w:ascii="Times New Roman" w:eastAsia="Times New Roman" w:hAnsi="Times New Roman" w:cs="Times New Roman"/>
          <w:color w:val="000000"/>
          <w:sz w:val="24"/>
          <w:szCs w:val="24"/>
          <w:lang w:val="en-US" w:eastAsia="fr-FR"/>
        </w:rPr>
        <w:t xml:space="preserve"> </w:t>
      </w:r>
      <w:r w:rsidRPr="00B947B6">
        <w:rPr>
          <w:rFonts w:ascii="Times New Roman" w:eastAsia="Times New Roman" w:hAnsi="Times New Roman" w:cs="Times New Roman"/>
          <w:color w:val="000000"/>
          <w:sz w:val="24"/>
          <w:szCs w:val="24"/>
          <w:lang w:val="en-US" w:eastAsia="fr-FR"/>
        </w:rPr>
        <w:t xml:space="preserve">no 3 </w:t>
      </w:r>
      <w:r w:rsidR="00B947B6" w:rsidRPr="00B947B6">
        <w:rPr>
          <w:rFonts w:ascii="Times New Roman" w:eastAsia="Times New Roman" w:hAnsi="Times New Roman" w:cs="Times New Roman"/>
          <w:color w:val="000000"/>
          <w:sz w:val="24"/>
          <w:szCs w:val="24"/>
          <w:lang w:val="en-US" w:eastAsia="fr-FR"/>
        </w:rPr>
        <w:t>pp.</w:t>
      </w:r>
      <w:r w:rsidR="00B947B6">
        <w:rPr>
          <w:rFonts w:ascii="Times New Roman" w:eastAsia="Times New Roman" w:hAnsi="Times New Roman" w:cs="Times New Roman"/>
          <w:color w:val="000000"/>
          <w:sz w:val="24"/>
          <w:szCs w:val="24"/>
          <w:lang w:val="en-US" w:eastAsia="fr-FR"/>
        </w:rPr>
        <w:t xml:space="preserve"> </w:t>
      </w:r>
      <w:r w:rsidRPr="00B947B6">
        <w:rPr>
          <w:rFonts w:ascii="Times New Roman" w:eastAsia="Times New Roman" w:hAnsi="Times New Roman" w:cs="Times New Roman"/>
          <w:color w:val="000000"/>
          <w:sz w:val="24"/>
          <w:szCs w:val="24"/>
          <w:lang w:val="en-US" w:eastAsia="fr-FR"/>
        </w:rPr>
        <w:t>253-64.</w:t>
      </w:r>
      <w:r w:rsidRPr="0027551F">
        <w:rPr>
          <w:rFonts w:ascii="TimesNewRomanPSMT" w:hAnsi="TimesNewRomanPSMT" w:cs="TimesNewRomanPSMT"/>
          <w:color w:val="000000"/>
          <w:sz w:val="20"/>
          <w:szCs w:val="20"/>
          <w:lang w:val="en-US"/>
        </w:rPr>
        <w:t xml:space="preserve"> </w:t>
      </w:r>
      <w:r w:rsidRPr="00B947B6">
        <w:rPr>
          <w:rFonts w:asciiTheme="majorBidi" w:hAnsiTheme="majorBidi" w:cstheme="majorBidi"/>
          <w:color w:val="0000FF"/>
          <w:sz w:val="24"/>
          <w:szCs w:val="24"/>
          <w:lang w:val="en-US"/>
        </w:rPr>
        <w:t>https://doi.org/10.3406/geoca.2001.2563</w:t>
      </w:r>
      <w:r w:rsidRPr="0027551F">
        <w:rPr>
          <w:rFonts w:ascii="TimesNewRomanPSMT" w:hAnsi="TimesNewRomanPSMT" w:cs="TimesNewRomanPSMT"/>
          <w:color w:val="000000"/>
          <w:sz w:val="20"/>
          <w:szCs w:val="20"/>
          <w:lang w:val="en-US"/>
        </w:rPr>
        <w:t>.</w:t>
      </w:r>
    </w:p>
    <w:p w:rsidR="00E724B9" w:rsidRPr="003860EF" w:rsidRDefault="00E724B9" w:rsidP="00AE6E2D">
      <w:pPr>
        <w:autoSpaceDE w:val="0"/>
        <w:autoSpaceDN w:val="0"/>
        <w:adjustRightInd w:val="0"/>
        <w:spacing w:line="240" w:lineRule="auto"/>
        <w:jc w:val="both"/>
        <w:rPr>
          <w:rFonts w:ascii="Times New Roman" w:eastAsia="Times New Roman" w:hAnsi="Times New Roman" w:cs="Times New Roman"/>
          <w:sz w:val="24"/>
          <w:szCs w:val="24"/>
          <w:lang w:val="en-US" w:eastAsia="fr-FR"/>
        </w:rPr>
      </w:pPr>
      <w:r w:rsidRPr="00E40DF8">
        <w:rPr>
          <w:rFonts w:ascii="Times New Roman" w:eastAsia="Times New Roman" w:hAnsi="Times New Roman" w:cs="Times New Roman"/>
          <w:b/>
          <w:bCs/>
          <w:color w:val="000000"/>
          <w:sz w:val="24"/>
          <w:szCs w:val="24"/>
          <w:lang w:val="en-US" w:eastAsia="fr-FR"/>
        </w:rPr>
        <w:t>Cumming</w:t>
      </w:r>
      <w:r w:rsidRPr="004F1363">
        <w:rPr>
          <w:rFonts w:ascii="Times New Roman" w:eastAsia="Times New Roman" w:hAnsi="Times New Roman" w:cs="Times New Roman"/>
          <w:b/>
          <w:bCs/>
          <w:color w:val="000000"/>
          <w:sz w:val="24"/>
          <w:szCs w:val="24"/>
          <w:lang w:val="en-US" w:eastAsia="fr-FR"/>
        </w:rPr>
        <w:t>, G. S., (2011):</w:t>
      </w:r>
      <w:r w:rsidRPr="004F1363">
        <w:rPr>
          <w:rFonts w:ascii="Times New Roman" w:eastAsia="Times New Roman" w:hAnsi="Times New Roman" w:cs="Times New Roman"/>
          <w:color w:val="000000"/>
          <w:sz w:val="24"/>
          <w:szCs w:val="24"/>
          <w:lang w:val="en-US" w:eastAsia="fr-FR"/>
        </w:rPr>
        <w:t xml:space="preserve"> "Spatial Resilience in Social-Ecological Systems", Dordrecht: Springer Science &amp; Business Media.</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Cumming</w:t>
      </w:r>
      <w:r w:rsidRPr="003860EF">
        <w:rPr>
          <w:rFonts w:ascii="Times New Roman" w:eastAsia="Times New Roman" w:hAnsi="Times New Roman" w:cs="Times New Roman"/>
          <w:b/>
          <w:bCs/>
          <w:color w:val="000000"/>
          <w:sz w:val="24"/>
          <w:szCs w:val="24"/>
          <w:lang w:val="en-US" w:eastAsia="fr-FR"/>
        </w:rPr>
        <w:t>, G. S., Wilson, J. &amp;</w:t>
      </w:r>
      <w:r w:rsidRPr="003860EF">
        <w:rPr>
          <w:rFonts w:ascii="Times New Roman" w:eastAsia="Times New Roman" w:hAnsi="Times New Roman" w:cs="Times New Roman"/>
          <w:color w:val="000000"/>
          <w:sz w:val="24"/>
          <w:szCs w:val="24"/>
          <w:lang w:val="en-US" w:eastAsia="fr-FR"/>
        </w:rPr>
        <w:t xml:space="preserve"> </w:t>
      </w:r>
      <w:r w:rsidRPr="003860EF">
        <w:rPr>
          <w:rFonts w:ascii="Times New Roman" w:eastAsia="Times New Roman" w:hAnsi="Times New Roman" w:cs="Times New Roman"/>
          <w:b/>
          <w:bCs/>
          <w:color w:val="000000"/>
          <w:sz w:val="24"/>
          <w:szCs w:val="24"/>
          <w:lang w:val="en-US" w:eastAsia="fr-FR"/>
        </w:rPr>
        <w:t>Walker, B., (2008):</w:t>
      </w:r>
      <w:r w:rsidRPr="003860EF">
        <w:rPr>
          <w:rFonts w:ascii="Times New Roman" w:eastAsia="Times New Roman" w:hAnsi="Times New Roman" w:cs="Times New Roman"/>
          <w:color w:val="000000"/>
          <w:sz w:val="24"/>
          <w:szCs w:val="24"/>
          <w:lang w:val="en-US" w:eastAsia="fr-FR"/>
        </w:rPr>
        <w:t xml:space="preserve"> "Diversity and Resilience of Social-Ecological Systems, In: Norberg J and Cumming GS (eds) Complexity Theory for a Sustainable Future", New York, Columbia University Press, pp. 46–80.</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Cutter</w:t>
      </w:r>
      <w:r w:rsidRPr="002C5684">
        <w:rPr>
          <w:rFonts w:ascii="Times New Roman" w:eastAsia="Times New Roman" w:hAnsi="Times New Roman" w:cs="Times New Roman"/>
          <w:b/>
          <w:bCs/>
          <w:color w:val="000000"/>
          <w:sz w:val="24"/>
          <w:szCs w:val="24"/>
          <w:lang w:val="en-US" w:eastAsia="fr-FR"/>
        </w:rPr>
        <w:t xml:space="preserve"> S., Barnes L., Berry M., Burton C., Evans E., Tate E., Webb J., </w:t>
      </w:r>
      <w:r w:rsidR="002C5684" w:rsidRPr="002C5684">
        <w:rPr>
          <w:rFonts w:ascii="Times New Roman" w:eastAsia="Times New Roman" w:hAnsi="Times New Roman" w:cs="Times New Roman"/>
          <w:b/>
          <w:bCs/>
          <w:color w:val="000000"/>
          <w:sz w:val="24"/>
          <w:szCs w:val="24"/>
          <w:lang w:val="en-US" w:eastAsia="fr-FR"/>
        </w:rPr>
        <w:t>(</w:t>
      </w:r>
      <w:r w:rsidRPr="002C5684">
        <w:rPr>
          <w:rFonts w:ascii="Times New Roman" w:eastAsia="Times New Roman" w:hAnsi="Times New Roman" w:cs="Times New Roman"/>
          <w:b/>
          <w:bCs/>
          <w:color w:val="000000"/>
          <w:sz w:val="24"/>
          <w:szCs w:val="24"/>
          <w:lang w:val="en-US" w:eastAsia="fr-FR"/>
        </w:rPr>
        <w:t>2008</w:t>
      </w:r>
      <w:r w:rsidR="002C5684" w:rsidRPr="002C5684">
        <w:rPr>
          <w:rFonts w:ascii="Times New Roman" w:eastAsia="Times New Roman" w:hAnsi="Times New Roman" w:cs="Times New Roman"/>
          <w:b/>
          <w:bCs/>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A place-based model for understanding community resilience to natural disasters</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w:t>
      </w:r>
      <w:r w:rsidRPr="002C5684">
        <w:rPr>
          <w:rFonts w:ascii="Times New Roman" w:eastAsia="Times New Roman" w:hAnsi="Times New Roman" w:cs="Times New Roman"/>
          <w:i/>
          <w:iCs/>
          <w:color w:val="000000"/>
          <w:sz w:val="24"/>
          <w:szCs w:val="24"/>
          <w:lang w:val="en-US" w:eastAsia="fr-FR"/>
        </w:rPr>
        <w:t>Global Environmental Change</w:t>
      </w:r>
      <w:r w:rsidRPr="003860EF">
        <w:rPr>
          <w:rFonts w:ascii="Times New Roman" w:eastAsia="Times New Roman" w:hAnsi="Times New Roman" w:cs="Times New Roman"/>
          <w:color w:val="000000"/>
          <w:sz w:val="24"/>
          <w:szCs w:val="24"/>
          <w:lang w:val="en-US" w:eastAsia="fr-FR"/>
        </w:rPr>
        <w:t>,</w:t>
      </w:r>
      <w:r w:rsidR="002C5684">
        <w:rPr>
          <w:rFonts w:ascii="Times New Roman" w:eastAsia="Times New Roman" w:hAnsi="Times New Roman" w:cs="Times New Roman"/>
          <w:color w:val="000000"/>
          <w:sz w:val="24"/>
          <w:szCs w:val="24"/>
          <w:lang w:val="en-US" w:eastAsia="fr-FR"/>
        </w:rPr>
        <w:t xml:space="preserve"> vol. </w:t>
      </w:r>
      <w:r w:rsidRPr="003860EF">
        <w:rPr>
          <w:rFonts w:ascii="Times New Roman" w:eastAsia="Times New Roman" w:hAnsi="Times New Roman" w:cs="Times New Roman"/>
          <w:color w:val="000000"/>
          <w:sz w:val="24"/>
          <w:szCs w:val="24"/>
          <w:lang w:val="en-US" w:eastAsia="fr-FR"/>
        </w:rPr>
        <w:t>18</w:t>
      </w:r>
      <w:r w:rsidR="002C5684">
        <w:rPr>
          <w:rFonts w:ascii="Times New Roman" w:eastAsia="Times New Roman" w:hAnsi="Times New Roman" w:cs="Times New Roman"/>
          <w:color w:val="000000"/>
          <w:sz w:val="24"/>
          <w:szCs w:val="24"/>
          <w:lang w:val="en-US" w:eastAsia="fr-FR"/>
        </w:rPr>
        <w:t xml:space="preserve">, n° </w:t>
      </w:r>
      <w:r w:rsidRPr="003860EF">
        <w:rPr>
          <w:rFonts w:ascii="Times New Roman" w:eastAsia="Times New Roman" w:hAnsi="Times New Roman" w:cs="Times New Roman"/>
          <w:color w:val="000000"/>
          <w:sz w:val="24"/>
          <w:szCs w:val="24"/>
          <w:lang w:val="en-US" w:eastAsia="fr-FR"/>
        </w:rPr>
        <w:t>4, p</w:t>
      </w:r>
      <w:r w:rsidR="00B26A4B">
        <w:rPr>
          <w:rFonts w:ascii="Times New Roman" w:eastAsia="Times New Roman" w:hAnsi="Times New Roman" w:cs="Times New Roman"/>
          <w:color w:val="000000"/>
          <w:sz w:val="24"/>
          <w:szCs w:val="24"/>
          <w:lang w:val="en-US" w:eastAsia="fr-FR"/>
        </w:rPr>
        <w:t>p</w:t>
      </w:r>
      <w:r w:rsidRPr="003860EF">
        <w:rPr>
          <w:rFonts w:ascii="Times New Roman" w:eastAsia="Times New Roman" w:hAnsi="Times New Roman" w:cs="Times New Roman"/>
          <w:color w:val="000000"/>
          <w:sz w:val="24"/>
          <w:szCs w:val="24"/>
          <w:lang w:val="en-US" w:eastAsia="fr-FR"/>
        </w:rPr>
        <w:t>. 598-606.</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Cutter</w:t>
      </w:r>
      <w:r w:rsidRPr="002C5684">
        <w:rPr>
          <w:rFonts w:ascii="Times New Roman" w:eastAsia="Times New Roman" w:hAnsi="Times New Roman" w:cs="Times New Roman"/>
          <w:b/>
          <w:bCs/>
          <w:color w:val="000000"/>
          <w:sz w:val="24"/>
          <w:szCs w:val="24"/>
          <w:lang w:val="en-US" w:eastAsia="fr-FR"/>
        </w:rPr>
        <w:t>, S. L., Boruff,</w:t>
      </w:r>
      <w:r w:rsidR="002C5684" w:rsidRPr="002C5684">
        <w:rPr>
          <w:rFonts w:ascii="Times New Roman" w:eastAsia="Times New Roman" w:hAnsi="Times New Roman" w:cs="Times New Roman"/>
          <w:b/>
          <w:bCs/>
          <w:color w:val="000000"/>
          <w:sz w:val="24"/>
          <w:szCs w:val="24"/>
          <w:lang w:val="en-US" w:eastAsia="fr-FR"/>
        </w:rPr>
        <w:t xml:space="preserve"> B. J., &amp; Shirley, W. L. (2003):</w:t>
      </w:r>
      <w:r w:rsidRPr="003860EF">
        <w:rPr>
          <w:rFonts w:ascii="Times New Roman" w:eastAsia="Times New Roman" w:hAnsi="Times New Roman" w:cs="Times New Roman"/>
          <w:color w:val="000000"/>
          <w:sz w:val="24"/>
          <w:szCs w:val="24"/>
          <w:lang w:val="en-US" w:eastAsia="fr-FR"/>
        </w:rPr>
        <w:t xml:space="preserve"> </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Social vulnerability to environmental hazards</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w:t>
      </w:r>
      <w:r w:rsidRPr="002C5684">
        <w:rPr>
          <w:rFonts w:ascii="Times New Roman" w:eastAsia="Times New Roman" w:hAnsi="Times New Roman" w:cs="Times New Roman"/>
          <w:i/>
          <w:iCs/>
          <w:color w:val="000000"/>
          <w:sz w:val="24"/>
          <w:szCs w:val="24"/>
          <w:lang w:val="en-US" w:eastAsia="fr-FR"/>
        </w:rPr>
        <w:t>Social Science Quarterly</w:t>
      </w:r>
      <w:r w:rsidRPr="003860EF">
        <w:rPr>
          <w:rFonts w:ascii="Times New Roman" w:eastAsia="Times New Roman" w:hAnsi="Times New Roman" w:cs="Times New Roman"/>
          <w:color w:val="000000"/>
          <w:sz w:val="24"/>
          <w:szCs w:val="24"/>
          <w:lang w:val="en-US" w:eastAsia="fr-FR"/>
        </w:rPr>
        <w:t xml:space="preserve">, </w:t>
      </w:r>
      <w:r w:rsidR="002C5684">
        <w:rPr>
          <w:rFonts w:ascii="Times New Roman" w:eastAsia="Times New Roman" w:hAnsi="Times New Roman" w:cs="Times New Roman"/>
          <w:color w:val="000000"/>
          <w:sz w:val="24"/>
          <w:szCs w:val="24"/>
          <w:lang w:val="en-US" w:eastAsia="fr-FR"/>
        </w:rPr>
        <w:t xml:space="preserve">vol. </w:t>
      </w:r>
      <w:r w:rsidRPr="003860EF">
        <w:rPr>
          <w:rFonts w:ascii="Times New Roman" w:eastAsia="Times New Roman" w:hAnsi="Times New Roman" w:cs="Times New Roman"/>
          <w:color w:val="000000"/>
          <w:sz w:val="24"/>
          <w:szCs w:val="24"/>
          <w:lang w:val="en-US" w:eastAsia="fr-FR"/>
        </w:rPr>
        <w:t>84</w:t>
      </w:r>
      <w:r w:rsidR="002C5684">
        <w:rPr>
          <w:rFonts w:ascii="Times New Roman" w:eastAsia="Times New Roman" w:hAnsi="Times New Roman" w:cs="Times New Roman"/>
          <w:color w:val="000000"/>
          <w:sz w:val="24"/>
          <w:szCs w:val="24"/>
          <w:lang w:val="en-US" w:eastAsia="fr-FR"/>
        </w:rPr>
        <w:t xml:space="preserve">, n° </w:t>
      </w:r>
      <w:r w:rsidRPr="003860EF">
        <w:rPr>
          <w:rFonts w:ascii="Times New Roman" w:eastAsia="Times New Roman" w:hAnsi="Times New Roman" w:cs="Times New Roman"/>
          <w:color w:val="000000"/>
          <w:sz w:val="24"/>
          <w:szCs w:val="24"/>
          <w:lang w:val="en-US" w:eastAsia="fr-FR"/>
        </w:rPr>
        <w:t>2,</w:t>
      </w:r>
      <w:r w:rsidR="002C5684">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2C5684">
        <w:rPr>
          <w:rFonts w:ascii="Times New Roman" w:eastAsia="Times New Roman" w:hAnsi="Times New Roman" w:cs="Times New Roman"/>
          <w:color w:val="000000"/>
          <w:sz w:val="24"/>
          <w:szCs w:val="24"/>
          <w:lang w:val="en-US" w:eastAsia="fr-FR"/>
        </w:rPr>
        <w:t>.</w:t>
      </w:r>
      <w:r w:rsidRPr="003860EF">
        <w:rPr>
          <w:rFonts w:ascii="Times New Roman" w:eastAsia="Times New Roman" w:hAnsi="Times New Roman" w:cs="Times New Roman"/>
          <w:color w:val="000000"/>
          <w:sz w:val="24"/>
          <w:szCs w:val="24"/>
          <w:lang w:val="en-US" w:eastAsia="fr-FR"/>
        </w:rPr>
        <w:t xml:space="preserve"> 242-261.</w:t>
      </w:r>
    </w:p>
    <w:p w:rsidR="00E724B9" w:rsidRPr="007E003C" w:rsidRDefault="00E724B9" w:rsidP="00AE6E2D">
      <w:pPr>
        <w:autoSpaceDE w:val="0"/>
        <w:autoSpaceDN w:val="0"/>
        <w:adjustRightInd w:val="0"/>
        <w:spacing w:line="240" w:lineRule="auto"/>
        <w:jc w:val="both"/>
        <w:rPr>
          <w:rFonts w:asciiTheme="majorBidi" w:eastAsia="Times New Roman" w:hAnsiTheme="majorBidi" w:cstheme="majorBidi"/>
          <w:color w:val="000000" w:themeColor="text1"/>
          <w:sz w:val="24"/>
          <w:szCs w:val="24"/>
          <w:lang w:val="en-US" w:eastAsia="fr-FR"/>
        </w:rPr>
      </w:pPr>
      <w:r w:rsidRPr="00E40DF8">
        <w:rPr>
          <w:rFonts w:ascii="Times New Roman" w:eastAsia="Times New Roman" w:hAnsi="Times New Roman" w:cs="Times New Roman"/>
          <w:b/>
          <w:bCs/>
          <w:color w:val="000000"/>
          <w:sz w:val="24"/>
          <w:szCs w:val="24"/>
          <w:lang w:val="en-US" w:eastAsia="fr-FR"/>
        </w:rPr>
        <w:t>Cutter</w:t>
      </w:r>
      <w:r w:rsidRPr="007E71D3">
        <w:rPr>
          <w:rFonts w:asciiTheme="majorBidi" w:eastAsia="Times New Roman" w:hAnsiTheme="majorBidi" w:cstheme="majorBidi"/>
          <w:b/>
          <w:bCs/>
          <w:color w:val="000000" w:themeColor="text1"/>
          <w:sz w:val="24"/>
          <w:szCs w:val="24"/>
          <w:lang w:val="en-US" w:eastAsia="fr-FR"/>
        </w:rPr>
        <w:t>, S. L., Burton, C. G., &amp; Emrich, C. T.</w:t>
      </w:r>
      <w:r w:rsidR="00CB4F8D" w:rsidRPr="007E71D3">
        <w:rPr>
          <w:rFonts w:asciiTheme="majorBidi" w:eastAsia="Times New Roman" w:hAnsiTheme="majorBidi" w:cstheme="majorBidi"/>
          <w:b/>
          <w:bCs/>
          <w:color w:val="000000" w:themeColor="text1"/>
          <w:sz w:val="24"/>
          <w:szCs w:val="24"/>
          <w:lang w:val="en-US" w:eastAsia="fr-FR"/>
        </w:rPr>
        <w:t>,</w:t>
      </w:r>
      <w:r w:rsidRPr="007E71D3">
        <w:rPr>
          <w:rFonts w:asciiTheme="majorBidi" w:eastAsia="Times New Roman" w:hAnsiTheme="majorBidi" w:cstheme="majorBidi"/>
          <w:b/>
          <w:bCs/>
          <w:color w:val="000000" w:themeColor="text1"/>
          <w:sz w:val="24"/>
          <w:szCs w:val="24"/>
          <w:lang w:val="en-US" w:eastAsia="fr-FR"/>
        </w:rPr>
        <w:t xml:space="preserve"> (2010)</w:t>
      </w:r>
      <w:r w:rsidR="002C5684" w:rsidRPr="007E71D3">
        <w:rPr>
          <w:rFonts w:asciiTheme="majorBidi" w:eastAsia="Times New Roman" w:hAnsiTheme="majorBidi" w:cstheme="majorBidi"/>
          <w:b/>
          <w:bCs/>
          <w:color w:val="000000" w:themeColor="text1"/>
          <w:sz w:val="24"/>
          <w:szCs w:val="24"/>
          <w:lang w:val="en-US" w:eastAsia="fr-FR"/>
        </w:rPr>
        <w:t>:</w:t>
      </w:r>
      <w:r w:rsidRPr="007E003C">
        <w:rPr>
          <w:rFonts w:asciiTheme="majorBidi" w:eastAsia="Times New Roman" w:hAnsiTheme="majorBidi" w:cstheme="majorBidi"/>
          <w:color w:val="000000" w:themeColor="text1"/>
          <w:sz w:val="24"/>
          <w:szCs w:val="24"/>
          <w:lang w:val="en-US" w:eastAsia="fr-FR"/>
        </w:rPr>
        <w:t xml:space="preserve"> </w:t>
      </w:r>
      <w:r w:rsidR="002C5684" w:rsidRPr="007E003C">
        <w:rPr>
          <w:rFonts w:asciiTheme="majorBidi" w:eastAsia="Times New Roman" w:hAnsiTheme="majorBidi" w:cstheme="majorBidi"/>
          <w:color w:val="000000" w:themeColor="text1"/>
          <w:sz w:val="24"/>
          <w:szCs w:val="24"/>
          <w:lang w:val="en-US" w:eastAsia="fr-FR"/>
        </w:rPr>
        <w:t>“</w:t>
      </w:r>
      <w:r w:rsidRPr="007E003C">
        <w:rPr>
          <w:rFonts w:asciiTheme="majorBidi" w:eastAsia="Times New Roman" w:hAnsiTheme="majorBidi" w:cstheme="majorBidi"/>
          <w:color w:val="000000" w:themeColor="text1"/>
          <w:sz w:val="24"/>
          <w:szCs w:val="24"/>
          <w:lang w:val="en-US" w:eastAsia="fr-FR"/>
        </w:rPr>
        <w:t>Disaster resilience indicators for benchmarking baseline conditions</w:t>
      </w:r>
      <w:r w:rsidR="002C5684" w:rsidRPr="007E003C">
        <w:rPr>
          <w:rFonts w:asciiTheme="majorBidi" w:eastAsia="Times New Roman" w:hAnsiTheme="majorBidi" w:cstheme="majorBidi"/>
          <w:color w:val="000000" w:themeColor="text1"/>
          <w:sz w:val="24"/>
          <w:szCs w:val="24"/>
          <w:lang w:val="en-US" w:eastAsia="fr-FR"/>
        </w:rPr>
        <w:t>”,</w:t>
      </w:r>
      <w:r w:rsidRPr="007E003C">
        <w:rPr>
          <w:rFonts w:asciiTheme="majorBidi" w:eastAsia="Times New Roman" w:hAnsiTheme="majorBidi" w:cstheme="majorBidi"/>
          <w:color w:val="000000" w:themeColor="text1"/>
          <w:sz w:val="24"/>
          <w:szCs w:val="24"/>
          <w:lang w:val="en-US" w:eastAsia="fr-FR"/>
        </w:rPr>
        <w:t xml:space="preserve"> </w:t>
      </w:r>
      <w:r w:rsidRPr="007E003C">
        <w:rPr>
          <w:rFonts w:asciiTheme="majorBidi" w:eastAsia="Times New Roman" w:hAnsiTheme="majorBidi" w:cstheme="majorBidi"/>
          <w:i/>
          <w:iCs/>
          <w:color w:val="000000" w:themeColor="text1"/>
          <w:sz w:val="24"/>
          <w:szCs w:val="24"/>
          <w:lang w:val="en-US" w:eastAsia="fr-FR"/>
        </w:rPr>
        <w:t>Journal of Homeland Security and Emergency Management</w:t>
      </w:r>
      <w:r w:rsidRPr="007E003C">
        <w:rPr>
          <w:rFonts w:asciiTheme="majorBidi" w:eastAsia="Times New Roman" w:hAnsiTheme="majorBidi" w:cstheme="majorBidi"/>
          <w:color w:val="000000" w:themeColor="text1"/>
          <w:sz w:val="24"/>
          <w:szCs w:val="24"/>
          <w:lang w:val="en-US" w:eastAsia="fr-FR"/>
        </w:rPr>
        <w:t xml:space="preserve">, </w:t>
      </w:r>
      <w:r w:rsidR="002C5684" w:rsidRPr="007E003C">
        <w:rPr>
          <w:rFonts w:asciiTheme="majorBidi" w:eastAsia="Times New Roman" w:hAnsiTheme="majorBidi" w:cstheme="majorBidi"/>
          <w:color w:val="000000" w:themeColor="text1"/>
          <w:sz w:val="24"/>
          <w:szCs w:val="24"/>
          <w:lang w:val="en-US" w:eastAsia="fr-FR"/>
        </w:rPr>
        <w:t xml:space="preserve">vol. </w:t>
      </w:r>
      <w:r w:rsidRPr="007E003C">
        <w:rPr>
          <w:rFonts w:asciiTheme="majorBidi" w:eastAsia="Times New Roman" w:hAnsiTheme="majorBidi" w:cstheme="majorBidi"/>
          <w:color w:val="000000" w:themeColor="text1"/>
          <w:sz w:val="24"/>
          <w:szCs w:val="24"/>
          <w:lang w:val="en-US" w:eastAsia="fr-FR"/>
        </w:rPr>
        <w:t>7</w:t>
      </w:r>
      <w:r w:rsidR="002C5684" w:rsidRPr="007E003C">
        <w:rPr>
          <w:rFonts w:asciiTheme="majorBidi" w:eastAsia="Times New Roman" w:hAnsiTheme="majorBidi" w:cstheme="majorBidi"/>
          <w:color w:val="000000" w:themeColor="text1"/>
          <w:sz w:val="24"/>
          <w:szCs w:val="24"/>
          <w:lang w:val="en-US" w:eastAsia="fr-FR"/>
        </w:rPr>
        <w:t xml:space="preserve">, n° </w:t>
      </w:r>
      <w:r w:rsidRPr="007E003C">
        <w:rPr>
          <w:rFonts w:asciiTheme="majorBidi" w:eastAsia="Times New Roman" w:hAnsiTheme="majorBidi" w:cstheme="majorBidi"/>
          <w:color w:val="000000" w:themeColor="text1"/>
          <w:sz w:val="24"/>
          <w:szCs w:val="24"/>
          <w:lang w:val="en-US" w:eastAsia="fr-FR"/>
        </w:rPr>
        <w:t>1.</w:t>
      </w:r>
      <w:r w:rsidR="002C5684" w:rsidRPr="007E003C">
        <w:rPr>
          <w:rFonts w:asciiTheme="majorBidi" w:hAnsiTheme="majorBidi" w:cstheme="majorBidi"/>
          <w:color w:val="000000" w:themeColor="text1"/>
          <w:sz w:val="24"/>
          <w:szCs w:val="24"/>
          <w:lang w:val="en-US"/>
        </w:rPr>
        <w:t xml:space="preserve"> https://doi.org/10.2202/1547-7355.1732.</w:t>
      </w:r>
    </w:p>
    <w:p w:rsidR="00E724B9" w:rsidRDefault="00B62F86" w:rsidP="00AE6E2D">
      <w:pPr>
        <w:autoSpaceDE w:val="0"/>
        <w:autoSpaceDN w:val="0"/>
        <w:adjustRightInd w:val="0"/>
        <w:spacing w:line="240" w:lineRule="auto"/>
        <w:jc w:val="both"/>
        <w:rPr>
          <w:rFonts w:asciiTheme="majorBidi" w:hAnsiTheme="majorBidi" w:cstheme="majorBidi"/>
          <w:color w:val="000000" w:themeColor="text1"/>
          <w:sz w:val="24"/>
          <w:szCs w:val="24"/>
          <w:lang w:val="en-US"/>
        </w:rPr>
      </w:pPr>
      <w:hyperlink r:id="rId364" w:history="1">
        <w:r w:rsidR="00E724B9" w:rsidRPr="00E40DF8">
          <w:rPr>
            <w:rFonts w:ascii="Times New Roman" w:eastAsia="Times New Roman" w:hAnsi="Times New Roman" w:cs="Times New Roman"/>
            <w:b/>
            <w:bCs/>
            <w:color w:val="000000"/>
            <w:sz w:val="24"/>
            <w:szCs w:val="24"/>
            <w:lang w:val="en-US" w:eastAsia="fr-FR"/>
          </w:rPr>
          <w:t>Cutter</w:t>
        </w:r>
        <w:r w:rsidR="00E724B9" w:rsidRPr="007E003C">
          <w:rPr>
            <w:rFonts w:asciiTheme="majorBidi" w:eastAsia="Times New Roman" w:hAnsiTheme="majorBidi" w:cstheme="majorBidi"/>
            <w:b/>
            <w:bCs/>
            <w:color w:val="000000" w:themeColor="text1"/>
            <w:sz w:val="24"/>
            <w:szCs w:val="24"/>
            <w:lang w:val="en-US" w:eastAsia="fr-FR"/>
          </w:rPr>
          <w:t>,</w:t>
        </w:r>
        <w:r w:rsidR="002C5684" w:rsidRPr="007E003C">
          <w:rPr>
            <w:rFonts w:asciiTheme="majorBidi" w:eastAsia="Times New Roman" w:hAnsiTheme="majorBidi" w:cstheme="majorBidi"/>
            <w:b/>
            <w:bCs/>
            <w:color w:val="000000" w:themeColor="text1"/>
            <w:sz w:val="24"/>
            <w:szCs w:val="24"/>
            <w:lang w:val="en-US" w:eastAsia="fr-FR"/>
          </w:rPr>
          <w:t xml:space="preserve"> </w:t>
        </w:r>
        <w:r w:rsidR="00E724B9" w:rsidRPr="007E003C">
          <w:rPr>
            <w:rFonts w:asciiTheme="majorBidi" w:eastAsia="Times New Roman" w:hAnsiTheme="majorBidi" w:cstheme="majorBidi"/>
            <w:b/>
            <w:bCs/>
            <w:color w:val="000000" w:themeColor="text1"/>
            <w:sz w:val="24"/>
            <w:szCs w:val="24"/>
            <w:lang w:val="en-US" w:eastAsia="fr-FR"/>
          </w:rPr>
          <w:t>S.L</w:t>
        </w:r>
        <w:r w:rsidR="002C5684" w:rsidRPr="007E003C">
          <w:rPr>
            <w:rFonts w:asciiTheme="majorBidi" w:eastAsia="Times New Roman" w:hAnsiTheme="majorBidi" w:cstheme="majorBidi"/>
            <w:b/>
            <w:bCs/>
            <w:color w:val="000000" w:themeColor="text1"/>
            <w:sz w:val="24"/>
            <w:szCs w:val="24"/>
            <w:lang w:val="en-US" w:eastAsia="fr-FR"/>
          </w:rPr>
          <w:t>.</w:t>
        </w:r>
        <w:r w:rsidR="00E724B9" w:rsidRPr="007E003C">
          <w:rPr>
            <w:rFonts w:asciiTheme="majorBidi" w:eastAsia="Times New Roman" w:hAnsiTheme="majorBidi" w:cstheme="majorBidi"/>
            <w:b/>
            <w:bCs/>
            <w:color w:val="000000" w:themeColor="text1"/>
            <w:sz w:val="24"/>
            <w:szCs w:val="24"/>
            <w:lang w:val="en-US" w:eastAsia="fr-FR"/>
          </w:rPr>
          <w:t xml:space="preserve"> Ash, </w:t>
        </w:r>
        <w:r w:rsidR="00CB4F8D" w:rsidRPr="007E003C">
          <w:rPr>
            <w:rFonts w:asciiTheme="majorBidi" w:eastAsia="Times New Roman" w:hAnsiTheme="majorBidi" w:cstheme="majorBidi"/>
            <w:b/>
            <w:bCs/>
            <w:color w:val="000000" w:themeColor="text1"/>
            <w:sz w:val="24"/>
            <w:szCs w:val="24"/>
            <w:lang w:val="en-US" w:eastAsia="fr-FR"/>
          </w:rPr>
          <w:t>K.D. &amp;</w:t>
        </w:r>
        <w:r w:rsidR="00E724B9" w:rsidRPr="007E003C">
          <w:rPr>
            <w:rFonts w:asciiTheme="majorBidi" w:eastAsia="Times New Roman" w:hAnsiTheme="majorBidi" w:cstheme="majorBidi"/>
            <w:b/>
            <w:bCs/>
            <w:color w:val="000000" w:themeColor="text1"/>
            <w:sz w:val="24"/>
            <w:szCs w:val="24"/>
            <w:lang w:val="en-US" w:eastAsia="fr-FR"/>
          </w:rPr>
          <w:t xml:space="preserve"> Emrich, </w:t>
        </w:r>
        <w:r w:rsidR="00CB4F8D" w:rsidRPr="007E003C">
          <w:rPr>
            <w:rFonts w:asciiTheme="majorBidi" w:eastAsia="Times New Roman" w:hAnsiTheme="majorBidi" w:cstheme="majorBidi"/>
            <w:b/>
            <w:bCs/>
            <w:color w:val="000000" w:themeColor="text1"/>
            <w:sz w:val="24"/>
            <w:szCs w:val="24"/>
            <w:lang w:val="en-US" w:eastAsia="fr-FR"/>
          </w:rPr>
          <w:t>C.T., (2014):</w:t>
        </w:r>
        <w:r w:rsidR="00CB4F8D" w:rsidRPr="007E003C">
          <w:rPr>
            <w:rFonts w:asciiTheme="majorBidi" w:eastAsia="Times New Roman" w:hAnsiTheme="majorBidi" w:cstheme="majorBidi"/>
            <w:color w:val="000000" w:themeColor="text1"/>
            <w:sz w:val="24"/>
            <w:szCs w:val="24"/>
            <w:lang w:val="en-US" w:eastAsia="fr-FR"/>
          </w:rPr>
          <w:t xml:space="preserve"> “</w:t>
        </w:r>
        <w:r w:rsidR="00E724B9" w:rsidRPr="007E003C">
          <w:rPr>
            <w:rFonts w:asciiTheme="majorBidi" w:eastAsia="Times New Roman" w:hAnsiTheme="majorBidi" w:cstheme="majorBidi"/>
            <w:color w:val="000000" w:themeColor="text1"/>
            <w:sz w:val="24"/>
            <w:szCs w:val="24"/>
            <w:lang w:val="en-US" w:eastAsia="fr-FR"/>
          </w:rPr>
          <w:t>The geographies of community disaster resilience</w:t>
        </w:r>
        <w:r w:rsidR="00CB4F8D" w:rsidRPr="007E003C">
          <w:rPr>
            <w:rFonts w:asciiTheme="majorBidi" w:eastAsia="Times New Roman" w:hAnsiTheme="majorBidi" w:cstheme="majorBidi"/>
            <w:color w:val="000000" w:themeColor="text1"/>
            <w:sz w:val="24"/>
            <w:szCs w:val="24"/>
            <w:lang w:val="en-US" w:eastAsia="fr-FR"/>
          </w:rPr>
          <w:t>”</w:t>
        </w:r>
        <w:r w:rsidR="00E724B9" w:rsidRPr="007E003C">
          <w:rPr>
            <w:rFonts w:asciiTheme="majorBidi" w:eastAsia="Times New Roman" w:hAnsiTheme="majorBidi" w:cstheme="majorBidi"/>
            <w:color w:val="000000" w:themeColor="text1"/>
            <w:sz w:val="24"/>
            <w:szCs w:val="24"/>
            <w:lang w:val="en-US" w:eastAsia="fr-FR"/>
          </w:rPr>
          <w:t xml:space="preserve">, </w:t>
        </w:r>
        <w:r w:rsidR="00E724B9" w:rsidRPr="007E003C">
          <w:rPr>
            <w:rFonts w:asciiTheme="majorBidi" w:eastAsia="Times New Roman" w:hAnsiTheme="majorBidi" w:cstheme="majorBidi"/>
            <w:i/>
            <w:iCs/>
            <w:color w:val="000000" w:themeColor="text1"/>
            <w:sz w:val="24"/>
            <w:szCs w:val="24"/>
            <w:lang w:val="en-US" w:eastAsia="fr-FR"/>
          </w:rPr>
          <w:t xml:space="preserve">Glob. Environ. </w:t>
        </w:r>
        <w:r w:rsidR="00E724B9" w:rsidRPr="007F0B55">
          <w:rPr>
            <w:rFonts w:asciiTheme="majorBidi" w:eastAsia="Times New Roman" w:hAnsiTheme="majorBidi" w:cstheme="majorBidi"/>
            <w:i/>
            <w:iCs/>
            <w:color w:val="000000" w:themeColor="text1"/>
            <w:sz w:val="24"/>
            <w:szCs w:val="24"/>
            <w:lang w:val="en-US" w:eastAsia="fr-FR"/>
          </w:rPr>
          <w:t>Change</w:t>
        </w:r>
        <w:r w:rsidR="00CB4F8D" w:rsidRPr="007F0B55">
          <w:rPr>
            <w:rFonts w:asciiTheme="majorBidi" w:eastAsia="Times New Roman" w:hAnsiTheme="majorBidi" w:cstheme="majorBidi"/>
            <w:color w:val="000000" w:themeColor="text1"/>
            <w:sz w:val="24"/>
            <w:szCs w:val="24"/>
            <w:lang w:val="en-US" w:eastAsia="fr-FR"/>
          </w:rPr>
          <w:t>, vol.</w:t>
        </w:r>
        <w:r w:rsidR="00E724B9" w:rsidRPr="007F0B55">
          <w:rPr>
            <w:rFonts w:asciiTheme="majorBidi" w:eastAsia="Times New Roman" w:hAnsiTheme="majorBidi" w:cstheme="majorBidi"/>
            <w:color w:val="000000" w:themeColor="text1"/>
            <w:sz w:val="24"/>
            <w:szCs w:val="24"/>
            <w:lang w:val="en-US" w:eastAsia="fr-FR"/>
          </w:rPr>
          <w:t xml:space="preserve"> 29</w:t>
        </w:r>
        <w:r w:rsidR="00CB4F8D" w:rsidRPr="007F0B55">
          <w:rPr>
            <w:rFonts w:asciiTheme="majorBidi" w:eastAsia="Times New Roman" w:hAnsiTheme="majorBidi" w:cstheme="majorBidi"/>
            <w:color w:val="000000" w:themeColor="text1"/>
            <w:sz w:val="24"/>
            <w:szCs w:val="24"/>
            <w:lang w:val="en-US" w:eastAsia="fr-FR"/>
          </w:rPr>
          <w:t>, p</w:t>
        </w:r>
        <w:r w:rsidR="00B26A4B">
          <w:rPr>
            <w:rFonts w:asciiTheme="majorBidi" w:eastAsia="Times New Roman" w:hAnsiTheme="majorBidi" w:cstheme="majorBidi"/>
            <w:color w:val="000000" w:themeColor="text1"/>
            <w:sz w:val="24"/>
            <w:szCs w:val="24"/>
            <w:lang w:val="en-US" w:eastAsia="fr-FR"/>
          </w:rPr>
          <w:t>p</w:t>
        </w:r>
        <w:r w:rsidR="00CB4F8D" w:rsidRPr="007F0B55">
          <w:rPr>
            <w:rFonts w:asciiTheme="majorBidi" w:eastAsia="Times New Roman" w:hAnsiTheme="majorBidi" w:cstheme="majorBidi"/>
            <w:color w:val="000000" w:themeColor="text1"/>
            <w:sz w:val="24"/>
            <w:szCs w:val="24"/>
            <w:lang w:val="en-US" w:eastAsia="fr-FR"/>
          </w:rPr>
          <w:t>.</w:t>
        </w:r>
        <w:r w:rsidR="00327194" w:rsidRPr="007F0B55">
          <w:rPr>
            <w:rFonts w:asciiTheme="majorBidi" w:eastAsia="Times New Roman" w:hAnsiTheme="majorBidi" w:cstheme="majorBidi"/>
            <w:color w:val="000000" w:themeColor="text1"/>
            <w:sz w:val="24"/>
            <w:szCs w:val="24"/>
            <w:lang w:val="en-US" w:eastAsia="fr-FR"/>
          </w:rPr>
          <w:t xml:space="preserve"> 65–77. </w:t>
        </w:r>
        <w:r w:rsidR="00CB4F8D" w:rsidRPr="007F0B55">
          <w:rPr>
            <w:rFonts w:asciiTheme="majorBidi" w:hAnsiTheme="majorBidi" w:cstheme="majorBidi"/>
            <w:color w:val="000000" w:themeColor="text1"/>
            <w:sz w:val="24"/>
            <w:szCs w:val="24"/>
            <w:lang w:val="en-US"/>
          </w:rPr>
          <w:t>https://doi.org/10.1016/j.gloenvcha.</w:t>
        </w:r>
        <w:r w:rsidR="00327194" w:rsidRPr="007F0B55">
          <w:rPr>
            <w:rFonts w:asciiTheme="majorBidi" w:hAnsiTheme="majorBidi" w:cstheme="majorBidi"/>
            <w:color w:val="000000" w:themeColor="text1"/>
            <w:sz w:val="24"/>
            <w:szCs w:val="24"/>
            <w:lang w:val="en-US"/>
          </w:rPr>
          <w:t xml:space="preserve"> </w:t>
        </w:r>
        <w:r w:rsidR="00CB4F8D" w:rsidRPr="007F0B55">
          <w:rPr>
            <w:rFonts w:asciiTheme="majorBidi" w:hAnsiTheme="majorBidi" w:cstheme="majorBidi"/>
            <w:color w:val="000000" w:themeColor="text1"/>
            <w:sz w:val="24"/>
            <w:szCs w:val="24"/>
            <w:lang w:val="en-US"/>
          </w:rPr>
          <w:t>2014.08.005.</w:t>
        </w:r>
      </w:hyperlink>
    </w:p>
    <w:p w:rsidR="0014302C" w:rsidRDefault="0014302C" w:rsidP="00AE6E2D">
      <w:pPr>
        <w:autoSpaceDE w:val="0"/>
        <w:autoSpaceDN w:val="0"/>
        <w:adjustRightInd w:val="0"/>
        <w:spacing w:line="240" w:lineRule="auto"/>
        <w:jc w:val="both"/>
        <w:rPr>
          <w:sz w:val="23"/>
          <w:szCs w:val="23"/>
          <w:lang w:val="en-US"/>
        </w:rPr>
      </w:pPr>
      <w:r w:rsidRPr="00E40DF8">
        <w:rPr>
          <w:rFonts w:ascii="Times New Roman" w:eastAsia="Times New Roman" w:hAnsi="Times New Roman" w:cs="Times New Roman"/>
          <w:b/>
          <w:bCs/>
          <w:color w:val="000000"/>
          <w:sz w:val="24"/>
          <w:szCs w:val="24"/>
          <w:lang w:val="en-US" w:eastAsia="fr-FR"/>
        </w:rPr>
        <w:t>Cutter, S. L. (2016):</w:t>
      </w:r>
      <w:r w:rsidRPr="00E40DF8">
        <w:rPr>
          <w:rFonts w:asciiTheme="majorBidi" w:eastAsia="Times New Roman" w:hAnsiTheme="majorBidi" w:cstheme="majorBidi"/>
          <w:color w:val="000000" w:themeColor="text1"/>
          <w:sz w:val="24"/>
          <w:szCs w:val="24"/>
          <w:lang w:val="en-US" w:eastAsia="fr-FR"/>
        </w:rPr>
        <w:t xml:space="preserve"> </w:t>
      </w:r>
      <w:r w:rsidRPr="0014302C">
        <w:rPr>
          <w:rFonts w:asciiTheme="majorBidi" w:eastAsia="Times New Roman" w:hAnsiTheme="majorBidi" w:cstheme="majorBidi"/>
          <w:color w:val="000000" w:themeColor="text1"/>
          <w:sz w:val="24"/>
          <w:szCs w:val="24"/>
          <w:lang w:val="en-US" w:eastAsia="fr-FR"/>
        </w:rPr>
        <w:t>“The landscape of disaster resilience indicators in the USA</w:t>
      </w:r>
      <w:r w:rsidRPr="0014302C">
        <w:rPr>
          <w:rFonts w:asciiTheme="majorBidi" w:hAnsiTheme="majorBidi" w:cstheme="majorBidi"/>
          <w:sz w:val="24"/>
          <w:szCs w:val="24"/>
          <w:lang w:val="en-US"/>
        </w:rPr>
        <w:t>”,</w:t>
      </w:r>
      <w:r w:rsidRPr="0014302C">
        <w:rPr>
          <w:sz w:val="23"/>
          <w:szCs w:val="23"/>
          <w:lang w:val="en-US"/>
        </w:rPr>
        <w:t xml:space="preserve"> </w:t>
      </w:r>
      <w:r w:rsidRPr="0014302C">
        <w:rPr>
          <w:rFonts w:asciiTheme="majorBidi" w:eastAsia="Times New Roman" w:hAnsiTheme="majorBidi" w:cstheme="majorBidi"/>
          <w:i/>
          <w:iCs/>
          <w:color w:val="000000" w:themeColor="text1"/>
          <w:sz w:val="24"/>
          <w:szCs w:val="24"/>
          <w:lang w:val="en-US" w:eastAsia="fr-FR"/>
        </w:rPr>
        <w:t>Natural Hazards</w:t>
      </w:r>
      <w:r w:rsidRPr="0014302C">
        <w:rPr>
          <w:i/>
          <w:iCs/>
          <w:sz w:val="23"/>
          <w:szCs w:val="23"/>
          <w:lang w:val="en-US"/>
        </w:rPr>
        <w:t xml:space="preserve">, </w:t>
      </w:r>
      <w:r>
        <w:rPr>
          <w:rFonts w:ascii="Times New Roman" w:eastAsia="Times New Roman" w:hAnsi="Times New Roman" w:cs="Times New Roman"/>
          <w:color w:val="000000"/>
          <w:sz w:val="24"/>
          <w:szCs w:val="24"/>
          <w:lang w:val="en-US" w:eastAsia="fr-FR"/>
        </w:rPr>
        <w:t xml:space="preserve">vol. 80, n° </w:t>
      </w:r>
      <w:r w:rsidRPr="003860EF">
        <w:rPr>
          <w:rFonts w:ascii="Times New Roman" w:eastAsia="Times New Roman" w:hAnsi="Times New Roman" w:cs="Times New Roman"/>
          <w:color w:val="000000"/>
          <w:sz w:val="24"/>
          <w:szCs w:val="24"/>
          <w:lang w:val="en-US" w:eastAsia="fr-FR"/>
        </w:rPr>
        <w:t>2,</w:t>
      </w:r>
      <w:r>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Pr>
          <w:rFonts w:ascii="Times New Roman" w:eastAsia="Times New Roman" w:hAnsi="Times New Roman" w:cs="Times New Roman"/>
          <w:color w:val="000000"/>
          <w:sz w:val="24"/>
          <w:szCs w:val="24"/>
          <w:lang w:val="en-US" w:eastAsia="fr-FR"/>
        </w:rPr>
        <w:t xml:space="preserve">. </w:t>
      </w:r>
      <w:r w:rsidRPr="0014302C">
        <w:rPr>
          <w:rFonts w:ascii="Times New Roman" w:eastAsia="Times New Roman" w:hAnsi="Times New Roman" w:cs="Times New Roman"/>
          <w:color w:val="000000"/>
          <w:sz w:val="24"/>
          <w:szCs w:val="24"/>
          <w:lang w:val="en-US" w:eastAsia="fr-FR"/>
        </w:rPr>
        <w:t>741–758.</w:t>
      </w:r>
      <w:r w:rsidRPr="0014302C">
        <w:rPr>
          <w:sz w:val="23"/>
          <w:szCs w:val="23"/>
          <w:lang w:val="en-US"/>
        </w:rPr>
        <w:t xml:space="preserve"> </w:t>
      </w:r>
      <w:hyperlink r:id="rId365" w:history="1">
        <w:r w:rsidRPr="0014302C">
          <w:rPr>
            <w:rStyle w:val="Lienhypertexte"/>
            <w:rFonts w:asciiTheme="majorBidi" w:hAnsiTheme="majorBidi" w:cstheme="majorBidi"/>
            <w:sz w:val="24"/>
            <w:szCs w:val="24"/>
            <w:lang w:val="en-US"/>
          </w:rPr>
          <w:t>https://doi.org/10.1007/s11069-015-1993-2</w:t>
        </w:r>
      </w:hyperlink>
      <w:r w:rsidRPr="0014302C">
        <w:rPr>
          <w:rFonts w:asciiTheme="majorBidi" w:hAnsiTheme="majorBidi" w:cstheme="majorBidi"/>
          <w:sz w:val="24"/>
          <w:szCs w:val="24"/>
          <w:lang w:val="en-US"/>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Da Silva</w:t>
      </w:r>
      <w:r w:rsidRPr="00B02037">
        <w:rPr>
          <w:rFonts w:ascii="Times New Roman" w:eastAsia="Times New Roman" w:hAnsi="Times New Roman" w:cs="Times New Roman"/>
          <w:b/>
          <w:bCs/>
          <w:color w:val="000000"/>
          <w:sz w:val="24"/>
          <w:szCs w:val="24"/>
          <w:lang w:val="en-US" w:eastAsia="fr-FR"/>
        </w:rPr>
        <w:t>, J. &amp; Moench, M.</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b/>
          <w:bCs/>
          <w:color w:val="000000"/>
          <w:sz w:val="24"/>
          <w:szCs w:val="24"/>
          <w:lang w:val="en-US" w:eastAsia="fr-FR"/>
        </w:rPr>
        <w:t xml:space="preserve"> </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b/>
          <w:bCs/>
          <w:color w:val="000000"/>
          <w:sz w:val="24"/>
          <w:szCs w:val="24"/>
          <w:lang w:val="en-US" w:eastAsia="fr-FR"/>
        </w:rPr>
        <w:t>2010</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color w:val="000000"/>
          <w:sz w:val="24"/>
          <w:szCs w:val="24"/>
          <w:lang w:val="en-US" w:eastAsia="fr-FR"/>
        </w:rPr>
        <w:t xml:space="preserve"> </w:t>
      </w:r>
      <w:r w:rsidR="00B02037">
        <w:rPr>
          <w:rFonts w:ascii="Times New Roman" w:eastAsia="Times New Roman" w:hAnsi="Times New Roman" w:cs="Times New Roman"/>
          <w:color w:val="000000"/>
          <w:sz w:val="24"/>
          <w:szCs w:val="24"/>
          <w:lang w:val="en-US" w:eastAsia="fr-FR"/>
        </w:rPr>
        <w:t>“</w:t>
      </w:r>
      <w:r w:rsidRPr="00B02037">
        <w:rPr>
          <w:rFonts w:ascii="Times New Roman" w:eastAsia="Times New Roman" w:hAnsi="Times New Roman" w:cs="Times New Roman"/>
          <w:color w:val="000000"/>
          <w:sz w:val="24"/>
          <w:szCs w:val="24"/>
          <w:lang w:val="en-US" w:eastAsia="fr-FR"/>
        </w:rPr>
        <w:t>Urban Resilience Framework</w:t>
      </w:r>
      <w:r w:rsidR="00B02037">
        <w:rPr>
          <w:rFonts w:ascii="Times New Roman" w:eastAsia="Times New Roman" w:hAnsi="Times New Roman" w:cs="Times New Roman"/>
          <w:color w:val="000000"/>
          <w:sz w:val="24"/>
          <w:szCs w:val="24"/>
          <w:lang w:val="en-US" w:eastAsia="fr-FR"/>
        </w:rPr>
        <w:t>”,</w:t>
      </w:r>
      <w:r w:rsidRPr="00B02037">
        <w:rPr>
          <w:rFonts w:ascii="Times New Roman" w:eastAsia="Times New Roman" w:hAnsi="Times New Roman" w:cs="Times New Roman"/>
          <w:color w:val="000000"/>
          <w:sz w:val="24"/>
          <w:szCs w:val="24"/>
          <w:lang w:val="en-US" w:eastAsia="fr-FR"/>
        </w:rPr>
        <w:t xml:space="preserve"> </w:t>
      </w:r>
      <w:r w:rsidRPr="00B02037">
        <w:rPr>
          <w:rFonts w:ascii="Times New Roman" w:eastAsia="Times New Roman" w:hAnsi="Times New Roman" w:cs="Times New Roman"/>
          <w:i/>
          <w:iCs/>
          <w:color w:val="000000"/>
          <w:sz w:val="24"/>
          <w:szCs w:val="24"/>
          <w:lang w:val="en-US" w:eastAsia="fr-FR"/>
        </w:rPr>
        <w:t>Arup / ISET working document for ACCCRN program</w:t>
      </w:r>
    </w:p>
    <w:p w:rsidR="00E724B9" w:rsidRPr="0081047D"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E40DF8">
        <w:rPr>
          <w:rFonts w:ascii="Times New Roman" w:eastAsia="Times New Roman" w:hAnsi="Times New Roman" w:cs="Times New Roman"/>
          <w:b/>
          <w:bCs/>
          <w:color w:val="000000"/>
          <w:sz w:val="24"/>
          <w:szCs w:val="24"/>
          <w:lang w:val="en-US" w:eastAsia="fr-FR"/>
        </w:rPr>
        <w:t>Dalkey</w:t>
      </w:r>
      <w:r w:rsidRPr="00CB4F8D">
        <w:rPr>
          <w:rFonts w:ascii="Times New Roman" w:eastAsia="Times New Roman" w:hAnsi="Times New Roman" w:cs="Times New Roman"/>
          <w:b/>
          <w:bCs/>
          <w:color w:val="000000"/>
          <w:sz w:val="24"/>
          <w:szCs w:val="24"/>
          <w:lang w:val="en-US" w:eastAsia="fr-FR"/>
        </w:rPr>
        <w:t>, N., &amp; Helmer, O.</w:t>
      </w:r>
      <w:r w:rsidR="00CB4F8D" w:rsidRPr="00CB4F8D">
        <w:rPr>
          <w:rFonts w:ascii="Times New Roman" w:eastAsia="Times New Roman" w:hAnsi="Times New Roman" w:cs="Times New Roman"/>
          <w:b/>
          <w:bCs/>
          <w:color w:val="000000"/>
          <w:sz w:val="24"/>
          <w:szCs w:val="24"/>
          <w:lang w:val="en-US" w:eastAsia="fr-FR"/>
        </w:rPr>
        <w:t>,</w:t>
      </w:r>
      <w:r w:rsidRPr="00CB4F8D">
        <w:rPr>
          <w:rFonts w:ascii="Times New Roman" w:eastAsia="Times New Roman" w:hAnsi="Times New Roman" w:cs="Times New Roman"/>
          <w:b/>
          <w:bCs/>
          <w:color w:val="000000"/>
          <w:sz w:val="24"/>
          <w:szCs w:val="24"/>
          <w:lang w:val="en-US" w:eastAsia="fr-FR"/>
        </w:rPr>
        <w:t xml:space="preserve"> (1963)</w:t>
      </w:r>
      <w:r w:rsidR="00CB4F8D" w:rsidRPr="00CB4F8D">
        <w:rPr>
          <w:rFonts w:ascii="Times New Roman" w:eastAsia="Times New Roman" w:hAnsi="Times New Roman" w:cs="Times New Roman"/>
          <w:b/>
          <w:bCs/>
          <w:color w:val="000000"/>
          <w:sz w:val="24"/>
          <w:szCs w:val="24"/>
          <w:lang w:val="en-US" w:eastAsia="fr-FR"/>
        </w:rPr>
        <w:t>:</w:t>
      </w:r>
      <w:r w:rsidRPr="00E902AE">
        <w:rPr>
          <w:rFonts w:ascii="Times New Roman" w:eastAsia="Times New Roman" w:hAnsi="Times New Roman" w:cs="Times New Roman"/>
          <w:color w:val="000000"/>
          <w:sz w:val="24"/>
          <w:szCs w:val="24"/>
          <w:lang w:val="en-US" w:eastAsia="fr-FR"/>
        </w:rPr>
        <w:t xml:space="preserve"> An experimental application of the Delphi method to the use of expert. </w:t>
      </w:r>
      <w:r w:rsidRPr="0081047D">
        <w:rPr>
          <w:rFonts w:ascii="Times New Roman" w:eastAsia="Times New Roman" w:hAnsi="Times New Roman" w:cs="Times New Roman"/>
          <w:color w:val="000000"/>
          <w:sz w:val="24"/>
          <w:szCs w:val="24"/>
          <w:lang w:eastAsia="fr-FR"/>
        </w:rPr>
        <w:t xml:space="preserve">Management Science, </w:t>
      </w:r>
      <w:r w:rsidR="00CB4F8D" w:rsidRPr="0081047D">
        <w:rPr>
          <w:rFonts w:ascii="Times New Roman" w:eastAsia="Times New Roman" w:hAnsi="Times New Roman" w:cs="Times New Roman"/>
          <w:color w:val="000000"/>
          <w:sz w:val="24"/>
          <w:szCs w:val="24"/>
          <w:lang w:eastAsia="fr-FR"/>
        </w:rPr>
        <w:t xml:space="preserve">vol. </w:t>
      </w:r>
      <w:r w:rsidRPr="0081047D">
        <w:rPr>
          <w:rFonts w:ascii="Times New Roman" w:eastAsia="Times New Roman" w:hAnsi="Times New Roman" w:cs="Times New Roman"/>
          <w:color w:val="000000"/>
          <w:sz w:val="24"/>
          <w:szCs w:val="24"/>
          <w:lang w:eastAsia="fr-FR"/>
        </w:rPr>
        <w:t>9</w:t>
      </w:r>
      <w:r w:rsidR="00CB4F8D" w:rsidRPr="0081047D">
        <w:rPr>
          <w:rFonts w:ascii="Times New Roman" w:eastAsia="Times New Roman" w:hAnsi="Times New Roman" w:cs="Times New Roman"/>
          <w:color w:val="000000"/>
          <w:sz w:val="24"/>
          <w:szCs w:val="24"/>
          <w:lang w:eastAsia="fr-FR"/>
        </w:rPr>
        <w:t xml:space="preserve">, n° </w:t>
      </w:r>
      <w:r w:rsidRPr="0081047D">
        <w:rPr>
          <w:rFonts w:ascii="Times New Roman" w:eastAsia="Times New Roman" w:hAnsi="Times New Roman" w:cs="Times New Roman"/>
          <w:color w:val="000000"/>
          <w:sz w:val="24"/>
          <w:szCs w:val="24"/>
          <w:lang w:eastAsia="fr-FR"/>
        </w:rPr>
        <w:t>3,</w:t>
      </w:r>
      <w:r w:rsidR="00CB4F8D" w:rsidRPr="0081047D">
        <w:rPr>
          <w:rFonts w:ascii="Times New Roman" w:eastAsia="Times New Roman" w:hAnsi="Times New Roman" w:cs="Times New Roman"/>
          <w:color w:val="000000"/>
          <w:sz w:val="24"/>
          <w:szCs w:val="24"/>
          <w:lang w:eastAsia="fr-FR"/>
        </w:rPr>
        <w:t xml:space="preserve"> </w:t>
      </w:r>
      <w:r w:rsidR="00B26A4B">
        <w:rPr>
          <w:rFonts w:ascii="Times New Roman" w:eastAsia="Times New Roman" w:hAnsi="Times New Roman" w:cs="Times New Roman"/>
          <w:color w:val="000000"/>
          <w:sz w:val="24"/>
          <w:szCs w:val="24"/>
          <w:lang w:eastAsia="fr-FR"/>
        </w:rPr>
        <w:t>p</w:t>
      </w:r>
      <w:r w:rsidR="00CB4F8D" w:rsidRPr="0081047D">
        <w:rPr>
          <w:rFonts w:ascii="Times New Roman" w:eastAsia="Times New Roman" w:hAnsi="Times New Roman" w:cs="Times New Roman"/>
          <w:color w:val="000000"/>
          <w:sz w:val="24"/>
          <w:szCs w:val="24"/>
          <w:lang w:eastAsia="fr-FR"/>
        </w:rPr>
        <w:t>p.</w:t>
      </w:r>
      <w:r w:rsidRPr="0081047D">
        <w:rPr>
          <w:rFonts w:ascii="Times New Roman" w:eastAsia="Times New Roman" w:hAnsi="Times New Roman" w:cs="Times New Roman"/>
          <w:color w:val="000000"/>
          <w:sz w:val="24"/>
          <w:szCs w:val="24"/>
          <w:lang w:eastAsia="fr-FR"/>
        </w:rPr>
        <w:t xml:space="preserve"> 458-467</w:t>
      </w:r>
    </w:p>
    <w:p w:rsidR="00CC7543" w:rsidRPr="00D04B96" w:rsidRDefault="00B62F86" w:rsidP="00AE6E2D">
      <w:pPr>
        <w:autoSpaceDE w:val="0"/>
        <w:autoSpaceDN w:val="0"/>
        <w:adjustRightInd w:val="0"/>
        <w:spacing w:line="240" w:lineRule="auto"/>
        <w:jc w:val="both"/>
        <w:rPr>
          <w:rFonts w:ascii="Times New Roman" w:eastAsia="Times New Roman" w:hAnsi="Times New Roman" w:cs="Times New Roman"/>
          <w:sz w:val="24"/>
          <w:szCs w:val="24"/>
          <w:lang w:val="en-US" w:eastAsia="fr-FR"/>
        </w:rPr>
      </w:pPr>
      <w:hyperlink r:id="rId366" w:history="1">
        <w:r w:rsidR="001D32BC" w:rsidRPr="002E648F">
          <w:rPr>
            <w:rFonts w:ascii="Times New Roman" w:eastAsia="Times New Roman" w:hAnsi="Times New Roman" w:cs="Times New Roman"/>
            <w:b/>
            <w:bCs/>
            <w:color w:val="000000"/>
            <w:sz w:val="24"/>
            <w:szCs w:val="24"/>
            <w:lang w:eastAsia="fr-FR"/>
          </w:rPr>
          <w:t>Dauphin</w:t>
        </w:r>
        <w:r w:rsidR="00B94344" w:rsidRPr="002E648F">
          <w:rPr>
            <w:rFonts w:ascii="Times New Roman" w:eastAsia="Times New Roman" w:hAnsi="Times New Roman" w:cs="Times New Roman"/>
            <w:b/>
            <w:bCs/>
            <w:color w:val="000000"/>
            <w:sz w:val="24"/>
            <w:szCs w:val="24"/>
            <w:lang w:eastAsia="fr-FR"/>
          </w:rPr>
          <w:t>é</w:t>
        </w:r>
        <w:r w:rsidR="001D32BC" w:rsidRPr="002E648F">
          <w:rPr>
            <w:rFonts w:ascii="Times New Roman" w:eastAsia="Times New Roman" w:hAnsi="Times New Roman" w:cs="Times New Roman"/>
            <w:b/>
            <w:bCs/>
            <w:color w:val="000000"/>
            <w:sz w:val="24"/>
            <w:szCs w:val="24"/>
            <w:lang w:eastAsia="fr-FR"/>
          </w:rPr>
          <w:t>, A, et Provitolo</w:t>
        </w:r>
        <w:r w:rsidR="001D32BC" w:rsidRPr="00CC7543">
          <w:rPr>
            <w:rFonts w:ascii="Times New Roman" w:eastAsia="Times New Roman" w:hAnsi="Times New Roman" w:cs="Times New Roman"/>
            <w:b/>
            <w:bCs/>
            <w:color w:val="000000"/>
            <w:sz w:val="24"/>
            <w:szCs w:val="24"/>
            <w:lang w:eastAsia="fr-FR"/>
          </w:rPr>
          <w:t xml:space="preserve"> D., (2007):</w:t>
        </w:r>
        <w:r w:rsidR="001D32BC" w:rsidRPr="00CC7543">
          <w:rPr>
            <w:rFonts w:ascii="Times New Roman" w:eastAsia="Times New Roman" w:hAnsi="Times New Roman" w:cs="Times New Roman"/>
            <w:sz w:val="24"/>
            <w:szCs w:val="24"/>
            <w:lang w:eastAsia="fr-FR"/>
          </w:rPr>
          <w:t xml:space="preserve"> “ La résilience : un concept pour la gestion des risques", Annales de géographie,</w:t>
        </w:r>
        <w:r w:rsidR="00CC7543">
          <w:rPr>
            <w:rFonts w:ascii="Times New Roman" w:eastAsia="Times New Roman" w:hAnsi="Times New Roman" w:cs="Times New Roman"/>
            <w:sz w:val="24"/>
            <w:szCs w:val="24"/>
            <w:lang w:eastAsia="fr-FR"/>
          </w:rPr>
          <w:t xml:space="preserve"> vol.</w:t>
        </w:r>
        <w:r w:rsidR="001D32BC" w:rsidRPr="00CC7543">
          <w:rPr>
            <w:rFonts w:ascii="Times New Roman" w:eastAsia="Times New Roman" w:hAnsi="Times New Roman" w:cs="Times New Roman"/>
            <w:sz w:val="24"/>
            <w:szCs w:val="24"/>
            <w:lang w:eastAsia="fr-FR"/>
          </w:rPr>
          <w:t xml:space="preserve"> </w:t>
        </w:r>
        <w:r w:rsidR="00CC7543">
          <w:rPr>
            <w:rFonts w:ascii="Times New Roman" w:eastAsia="Times New Roman" w:hAnsi="Times New Roman" w:cs="Times New Roman"/>
            <w:sz w:val="24"/>
            <w:szCs w:val="24"/>
            <w:lang w:eastAsia="fr-FR"/>
          </w:rPr>
          <w:t>2</w:t>
        </w:r>
        <w:r w:rsidR="001D32BC" w:rsidRPr="00CC7543">
          <w:rPr>
            <w:rFonts w:ascii="Times New Roman" w:eastAsia="Times New Roman" w:hAnsi="Times New Roman" w:cs="Times New Roman"/>
            <w:sz w:val="24"/>
            <w:szCs w:val="24"/>
            <w:lang w:eastAsia="fr-FR"/>
          </w:rPr>
          <w:t xml:space="preserve">, no </w:t>
        </w:r>
        <w:r w:rsidR="00CC7543">
          <w:rPr>
            <w:rFonts w:ascii="Times New Roman" w:eastAsia="Times New Roman" w:hAnsi="Times New Roman" w:cs="Times New Roman"/>
            <w:sz w:val="24"/>
            <w:szCs w:val="24"/>
            <w:lang w:eastAsia="fr-FR"/>
          </w:rPr>
          <w:t>654</w:t>
        </w:r>
        <w:r w:rsidR="001D32BC" w:rsidRPr="00CC7543">
          <w:rPr>
            <w:rFonts w:ascii="Times New Roman" w:eastAsia="Times New Roman" w:hAnsi="Times New Roman" w:cs="Times New Roman"/>
            <w:sz w:val="24"/>
            <w:szCs w:val="24"/>
            <w:lang w:eastAsia="fr-FR"/>
          </w:rPr>
          <w:t xml:space="preserve">: 115. </w:t>
        </w:r>
      </w:hyperlink>
      <w:hyperlink r:id="rId367" w:history="1">
        <w:r w:rsidR="00CC7543" w:rsidRPr="00D04B96">
          <w:rPr>
            <w:rStyle w:val="Lienhypertexte"/>
            <w:rFonts w:ascii="Times New Roman" w:eastAsia="Times New Roman" w:hAnsi="Times New Roman" w:cs="Times New Roman"/>
            <w:sz w:val="24"/>
            <w:szCs w:val="24"/>
            <w:lang w:val="en-US" w:eastAsia="fr-FR"/>
          </w:rPr>
          <w:t>http://dx.doi.org/10.3917/ag.654.0115</w:t>
        </w:r>
      </w:hyperlink>
      <w:r w:rsidR="00CC7543" w:rsidRPr="00D04B96">
        <w:rPr>
          <w:rFonts w:ascii="Times New Roman" w:eastAsia="Times New Roman" w:hAnsi="Times New Roman" w:cs="Times New Roman"/>
          <w:sz w:val="24"/>
          <w:szCs w:val="24"/>
          <w:lang w:val="en-US" w:eastAsia="fr-FR"/>
        </w:rPr>
        <w:t>.</w:t>
      </w:r>
    </w:p>
    <w:p w:rsidR="00CC7543" w:rsidRPr="00D04B96" w:rsidRDefault="00CC7543" w:rsidP="00AE6E2D">
      <w:pPr>
        <w:autoSpaceDE w:val="0"/>
        <w:autoSpaceDN w:val="0"/>
        <w:adjustRightInd w:val="0"/>
        <w:spacing w:line="240" w:lineRule="auto"/>
        <w:jc w:val="both"/>
        <w:rPr>
          <w:rFonts w:ascii="Times New Roman" w:eastAsia="Times New Roman" w:hAnsi="Times New Roman" w:cs="Times New Roman"/>
          <w:sz w:val="24"/>
          <w:szCs w:val="24"/>
          <w:lang w:val="en-US" w:eastAsia="fr-FR"/>
        </w:rPr>
      </w:pPr>
    </w:p>
    <w:p w:rsidR="001D32BC" w:rsidRDefault="00E724B9"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r w:rsidRPr="00E40DF8">
        <w:rPr>
          <w:rFonts w:ascii="Times New Roman" w:eastAsia="Times New Roman" w:hAnsi="Times New Roman" w:cs="Times New Roman"/>
          <w:b/>
          <w:bCs/>
          <w:color w:val="000000"/>
          <w:sz w:val="24"/>
          <w:szCs w:val="24"/>
          <w:lang w:val="en-US" w:eastAsia="fr-FR"/>
        </w:rPr>
        <w:t>Davoudabadi</w:t>
      </w:r>
      <w:r w:rsidRPr="007E003C">
        <w:rPr>
          <w:rFonts w:ascii="Times New Roman" w:eastAsia="Times New Roman" w:hAnsi="Times New Roman" w:cs="Times New Roman"/>
          <w:b/>
          <w:bCs/>
          <w:color w:val="000000" w:themeColor="text1"/>
          <w:sz w:val="24"/>
          <w:szCs w:val="24"/>
          <w:lang w:val="en-US" w:eastAsia="fr-FR"/>
        </w:rPr>
        <w:t>, R., Mousavi, S. M., &amp; Sharifi, E. (2020)</w:t>
      </w:r>
      <w:r w:rsidR="00D15BA6" w:rsidRPr="007E003C">
        <w:rPr>
          <w:rFonts w:ascii="Times New Roman" w:eastAsia="Times New Roman" w:hAnsi="Times New Roman" w:cs="Times New Roman"/>
          <w:b/>
          <w:bCs/>
          <w:color w:val="000000" w:themeColor="text1"/>
          <w:sz w:val="24"/>
          <w:szCs w:val="24"/>
          <w:lang w:val="en-US" w:eastAsia="fr-FR"/>
        </w:rPr>
        <w:t>:</w:t>
      </w:r>
      <w:r w:rsidRPr="007E003C">
        <w:rPr>
          <w:rFonts w:ascii="Times New Roman" w:eastAsia="Times New Roman" w:hAnsi="Times New Roman" w:cs="Times New Roman"/>
          <w:color w:val="000000" w:themeColor="text1"/>
          <w:sz w:val="24"/>
          <w:szCs w:val="24"/>
          <w:lang w:val="en-US" w:eastAsia="fr-FR"/>
        </w:rPr>
        <w:t xml:space="preserve"> </w:t>
      </w:r>
      <w:r w:rsidR="00D15BA6" w:rsidRPr="007E003C">
        <w:rPr>
          <w:rFonts w:ascii="Times New Roman" w:eastAsia="Times New Roman" w:hAnsi="Times New Roman" w:cs="Times New Roman"/>
          <w:color w:val="000000" w:themeColor="text1"/>
          <w:sz w:val="24"/>
          <w:szCs w:val="24"/>
          <w:lang w:val="en-US" w:eastAsia="fr-FR"/>
        </w:rPr>
        <w:t>“</w:t>
      </w:r>
      <w:r w:rsidRPr="007E003C">
        <w:rPr>
          <w:rFonts w:ascii="Times New Roman" w:eastAsia="Times New Roman" w:hAnsi="Times New Roman" w:cs="Times New Roman"/>
          <w:color w:val="000000" w:themeColor="text1"/>
          <w:sz w:val="24"/>
          <w:szCs w:val="24"/>
          <w:lang w:val="en-US" w:eastAsia="fr-FR"/>
        </w:rPr>
        <w:t>An integrated weighting and ranking model based on entropy, DEA and PCA considering two aggregation approaches for resilient supplier selection problem</w:t>
      </w:r>
      <w:r w:rsidR="00D15BA6" w:rsidRPr="007E003C">
        <w:rPr>
          <w:rFonts w:ascii="Times New Roman" w:eastAsia="Times New Roman" w:hAnsi="Times New Roman" w:cs="Times New Roman"/>
          <w:color w:val="000000" w:themeColor="text1"/>
          <w:sz w:val="24"/>
          <w:szCs w:val="24"/>
          <w:lang w:val="en-US" w:eastAsia="fr-FR"/>
        </w:rPr>
        <w:t>”,</w:t>
      </w:r>
      <w:r w:rsidRPr="007E003C">
        <w:rPr>
          <w:rFonts w:ascii="Times New Roman" w:eastAsia="Times New Roman" w:hAnsi="Times New Roman" w:cs="Times New Roman"/>
          <w:color w:val="000000" w:themeColor="text1"/>
          <w:sz w:val="24"/>
          <w:szCs w:val="24"/>
          <w:lang w:val="en-US" w:eastAsia="fr-FR"/>
        </w:rPr>
        <w:t xml:space="preserve"> </w:t>
      </w:r>
      <w:r w:rsidRPr="007E003C">
        <w:rPr>
          <w:rFonts w:ascii="Times New Roman" w:eastAsia="Times New Roman" w:hAnsi="Times New Roman" w:cs="Times New Roman"/>
          <w:i/>
          <w:iCs/>
          <w:color w:val="000000" w:themeColor="text1"/>
          <w:sz w:val="24"/>
          <w:szCs w:val="24"/>
          <w:lang w:val="en-US" w:eastAsia="fr-FR"/>
        </w:rPr>
        <w:t>Journal of Computational Science</w:t>
      </w:r>
      <w:r w:rsidRPr="007E003C">
        <w:rPr>
          <w:rFonts w:ascii="Times New Roman" w:eastAsia="Times New Roman" w:hAnsi="Times New Roman" w:cs="Times New Roman"/>
          <w:color w:val="000000" w:themeColor="text1"/>
          <w:sz w:val="24"/>
          <w:szCs w:val="24"/>
          <w:lang w:val="en-US" w:eastAsia="fr-FR"/>
        </w:rPr>
        <w:t xml:space="preserve">, </w:t>
      </w:r>
      <w:r w:rsidR="00D15BA6" w:rsidRPr="007E003C">
        <w:rPr>
          <w:rFonts w:ascii="Times New Roman" w:eastAsia="Times New Roman" w:hAnsi="Times New Roman" w:cs="Times New Roman"/>
          <w:color w:val="000000" w:themeColor="text1"/>
          <w:sz w:val="24"/>
          <w:szCs w:val="24"/>
          <w:lang w:val="en-US" w:eastAsia="fr-FR"/>
        </w:rPr>
        <w:t xml:space="preserve">vol. </w:t>
      </w:r>
      <w:r w:rsidRPr="007E003C">
        <w:rPr>
          <w:rFonts w:ascii="Times New Roman" w:eastAsia="Times New Roman" w:hAnsi="Times New Roman" w:cs="Times New Roman"/>
          <w:color w:val="000000" w:themeColor="text1"/>
          <w:sz w:val="24"/>
          <w:szCs w:val="24"/>
          <w:lang w:val="en-US" w:eastAsia="fr-FR"/>
        </w:rPr>
        <w:t xml:space="preserve">40, 101074. </w:t>
      </w:r>
      <w:r w:rsidR="00D15BA6" w:rsidRPr="007E003C">
        <w:rPr>
          <w:rFonts w:ascii="Times New Roman" w:eastAsia="Times New Roman" w:hAnsi="Times New Roman" w:cs="Times New Roman"/>
          <w:color w:val="000000" w:themeColor="text1"/>
          <w:sz w:val="24"/>
          <w:szCs w:val="24"/>
          <w:lang w:val="en-US" w:eastAsia="fr-FR"/>
        </w:rPr>
        <w:t>Doi:10.1016</w:t>
      </w:r>
      <w:r w:rsidRPr="007E003C">
        <w:rPr>
          <w:rFonts w:ascii="Times New Roman" w:eastAsia="Times New Roman" w:hAnsi="Times New Roman" w:cs="Times New Roman"/>
          <w:color w:val="000000" w:themeColor="text1"/>
          <w:sz w:val="24"/>
          <w:szCs w:val="24"/>
          <w:lang w:val="en-US" w:eastAsia="fr-FR"/>
        </w:rPr>
        <w:t xml:space="preserve">/j. jocs.2019.101074. </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Davoudi</w:t>
      </w:r>
      <w:r w:rsidRPr="00E902AE">
        <w:rPr>
          <w:rFonts w:ascii="Times New Roman" w:eastAsia="Times New Roman" w:hAnsi="Times New Roman" w:cs="Times New Roman"/>
          <w:b/>
          <w:bCs/>
          <w:color w:val="000000"/>
          <w:sz w:val="24"/>
          <w:szCs w:val="24"/>
          <w:lang w:val="en-US" w:eastAsia="fr-FR"/>
        </w:rPr>
        <w:t>, S. (2012):</w:t>
      </w:r>
      <w:r w:rsidRPr="00E902AE">
        <w:rPr>
          <w:rFonts w:ascii="Times New Roman" w:eastAsia="Times New Roman" w:hAnsi="Times New Roman" w:cs="Times New Roman"/>
          <w:color w:val="000000"/>
          <w:sz w:val="24"/>
          <w:szCs w:val="24"/>
          <w:lang w:val="en-US" w:eastAsia="fr-FR"/>
        </w:rPr>
        <w:t xml:space="preserve"> "Resilience, a bridging concept or a dead end?", </w:t>
      </w:r>
      <w:r w:rsidRPr="00D15BA6">
        <w:rPr>
          <w:rFonts w:ascii="Times New Roman" w:eastAsia="Times New Roman" w:hAnsi="Times New Roman" w:cs="Times New Roman"/>
          <w:i/>
          <w:iCs/>
          <w:color w:val="000000"/>
          <w:sz w:val="24"/>
          <w:szCs w:val="24"/>
          <w:lang w:val="en-US" w:eastAsia="fr-FR"/>
        </w:rPr>
        <w:t>Planning Theory and Practice</w:t>
      </w:r>
      <w:r w:rsidRPr="00E902AE">
        <w:rPr>
          <w:rFonts w:ascii="Times New Roman" w:eastAsia="Times New Roman" w:hAnsi="Times New Roman" w:cs="Times New Roman"/>
          <w:color w:val="000000"/>
          <w:sz w:val="24"/>
          <w:szCs w:val="24"/>
          <w:lang w:val="en-US" w:eastAsia="fr-FR"/>
        </w:rPr>
        <w:t>, vol. 13</w:t>
      </w:r>
      <w:r w:rsidR="00D15BA6">
        <w:rPr>
          <w:rFonts w:ascii="Times New Roman" w:eastAsia="Times New Roman" w:hAnsi="Times New Roman" w:cs="Times New Roman"/>
          <w:color w:val="000000"/>
          <w:sz w:val="24"/>
          <w:szCs w:val="24"/>
          <w:lang w:val="en-US" w:eastAsia="fr-FR"/>
        </w:rPr>
        <w:t xml:space="preserve">, n° </w:t>
      </w:r>
      <w:r w:rsidRPr="00E902AE">
        <w:rPr>
          <w:rFonts w:ascii="Times New Roman" w:eastAsia="Times New Roman" w:hAnsi="Times New Roman" w:cs="Times New Roman"/>
          <w:color w:val="000000"/>
          <w:sz w:val="24"/>
          <w:szCs w:val="24"/>
          <w:lang w:val="en-US" w:eastAsia="fr-FR"/>
        </w:rPr>
        <w:t>2, p</w:t>
      </w:r>
      <w:r w:rsidR="00B26A4B">
        <w:rPr>
          <w:rFonts w:ascii="Times New Roman" w:eastAsia="Times New Roman" w:hAnsi="Times New Roman" w:cs="Times New Roman"/>
          <w:color w:val="000000"/>
          <w:sz w:val="24"/>
          <w:szCs w:val="24"/>
          <w:lang w:val="en-US" w:eastAsia="fr-FR"/>
        </w:rPr>
        <w:t>p</w:t>
      </w:r>
      <w:r w:rsidRPr="00E902AE">
        <w:rPr>
          <w:rFonts w:ascii="Times New Roman" w:eastAsia="Times New Roman" w:hAnsi="Times New Roman" w:cs="Times New Roman"/>
          <w:color w:val="000000"/>
          <w:sz w:val="24"/>
          <w:szCs w:val="24"/>
          <w:lang w:val="en-US" w:eastAsia="fr-FR"/>
        </w:rPr>
        <w:t>. 299–307.</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lastRenderedPageBreak/>
        <w:t>De Roo</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b/>
          <w:bCs/>
          <w:color w:val="000000"/>
          <w:sz w:val="24"/>
          <w:szCs w:val="24"/>
          <w:lang w:val="en-US" w:eastAsia="fr-FR"/>
        </w:rPr>
        <w:t xml:space="preserve"> G</w:t>
      </w:r>
      <w:r w:rsidR="00B02037" w:rsidRPr="00B02037">
        <w:rPr>
          <w:rFonts w:ascii="Times New Roman" w:eastAsia="Times New Roman" w:hAnsi="Times New Roman" w:cs="Times New Roman"/>
          <w:b/>
          <w:bCs/>
          <w:color w:val="000000"/>
          <w:sz w:val="24"/>
          <w:szCs w:val="24"/>
          <w:lang w:val="en-US" w:eastAsia="fr-FR"/>
        </w:rPr>
        <w:t>. &amp;</w:t>
      </w:r>
      <w:r w:rsidRPr="00B02037">
        <w:rPr>
          <w:rFonts w:ascii="Times New Roman" w:eastAsia="Times New Roman" w:hAnsi="Times New Roman" w:cs="Times New Roman"/>
          <w:b/>
          <w:bCs/>
          <w:color w:val="000000"/>
          <w:sz w:val="24"/>
          <w:szCs w:val="24"/>
          <w:lang w:val="en-US" w:eastAsia="fr-FR"/>
        </w:rPr>
        <w:t xml:space="preserve"> Silva</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b/>
          <w:bCs/>
          <w:color w:val="000000"/>
          <w:sz w:val="24"/>
          <w:szCs w:val="24"/>
          <w:lang w:val="en-US" w:eastAsia="fr-FR"/>
        </w:rPr>
        <w:t xml:space="preserve"> E</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b/>
          <w:bCs/>
          <w:color w:val="000000"/>
          <w:sz w:val="24"/>
          <w:szCs w:val="24"/>
          <w:lang w:val="en-US" w:eastAsia="fr-FR"/>
        </w:rPr>
        <w:t>A</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b/>
          <w:bCs/>
          <w:color w:val="000000"/>
          <w:sz w:val="24"/>
          <w:szCs w:val="24"/>
          <w:lang w:val="en-US" w:eastAsia="fr-FR"/>
        </w:rPr>
        <w:t xml:space="preserve"> (2010)</w:t>
      </w:r>
      <w:r w:rsidR="00B02037" w:rsidRPr="00B02037">
        <w:rPr>
          <w:rFonts w:ascii="Times New Roman" w:eastAsia="Times New Roman" w:hAnsi="Times New Roman" w:cs="Times New Roman"/>
          <w:b/>
          <w:bCs/>
          <w:color w:val="000000"/>
          <w:sz w:val="24"/>
          <w:szCs w:val="24"/>
          <w:lang w:val="en-US" w:eastAsia="fr-FR"/>
        </w:rPr>
        <w:t>:</w:t>
      </w:r>
      <w:r w:rsidRPr="00B02037">
        <w:rPr>
          <w:rFonts w:ascii="Times New Roman" w:eastAsia="Times New Roman" w:hAnsi="Times New Roman" w:cs="Times New Roman"/>
          <w:color w:val="000000"/>
          <w:sz w:val="24"/>
          <w:szCs w:val="24"/>
          <w:lang w:val="en-US" w:eastAsia="fr-FR"/>
        </w:rPr>
        <w:t xml:space="preserve"> </w:t>
      </w:r>
      <w:r w:rsidR="00B02037" w:rsidRPr="00B02037">
        <w:rPr>
          <w:rFonts w:ascii="Times New Roman" w:eastAsia="Times New Roman" w:hAnsi="Times New Roman" w:cs="Times New Roman"/>
          <w:color w:val="000000"/>
          <w:sz w:val="24"/>
          <w:szCs w:val="24"/>
          <w:lang w:val="en-US" w:eastAsia="fr-FR"/>
        </w:rPr>
        <w:t>“</w:t>
      </w:r>
      <w:r w:rsidRPr="00B02037">
        <w:rPr>
          <w:rFonts w:ascii="Times New Roman" w:eastAsia="Times New Roman" w:hAnsi="Times New Roman" w:cs="Times New Roman"/>
          <w:color w:val="000000"/>
          <w:sz w:val="24"/>
          <w:szCs w:val="24"/>
          <w:lang w:val="en-US" w:eastAsia="fr-FR"/>
        </w:rPr>
        <w:t>A Planner’s Encounter with Complexity</w:t>
      </w:r>
      <w:r w:rsidR="00B02037" w:rsidRPr="00B02037">
        <w:rPr>
          <w:rFonts w:ascii="Times New Roman" w:eastAsia="Times New Roman" w:hAnsi="Times New Roman" w:cs="Times New Roman"/>
          <w:color w:val="000000"/>
          <w:sz w:val="24"/>
          <w:szCs w:val="24"/>
          <w:lang w:val="en-US" w:eastAsia="fr-FR"/>
        </w:rPr>
        <w:t>”,</w:t>
      </w:r>
      <w:r w:rsidRPr="00B02037">
        <w:rPr>
          <w:rFonts w:ascii="Times New Roman" w:eastAsia="Times New Roman" w:hAnsi="Times New Roman" w:cs="Times New Roman"/>
          <w:color w:val="000000"/>
          <w:sz w:val="24"/>
          <w:szCs w:val="24"/>
          <w:lang w:val="en-US" w:eastAsia="fr-FR"/>
        </w:rPr>
        <w:t xml:space="preserve"> Kindle Edition</w:t>
      </w:r>
      <w:r w:rsidR="00B02037" w:rsidRPr="00B02037">
        <w:rPr>
          <w:rFonts w:ascii="Times New Roman" w:eastAsia="Times New Roman" w:hAnsi="Times New Roman" w:cs="Times New Roman"/>
          <w:color w:val="000000"/>
          <w:sz w:val="24"/>
          <w:szCs w:val="24"/>
          <w:lang w:val="en-US" w:eastAsia="fr-FR"/>
        </w:rPr>
        <w:t xml:space="preserve">, </w:t>
      </w:r>
      <w:r w:rsidRPr="00B02037">
        <w:rPr>
          <w:rFonts w:ascii="Times New Roman" w:eastAsia="Times New Roman" w:hAnsi="Times New Roman" w:cs="Times New Roman"/>
          <w:color w:val="000000"/>
          <w:sz w:val="24"/>
          <w:szCs w:val="24"/>
          <w:lang w:val="en-US" w:eastAsia="fr-FR"/>
        </w:rPr>
        <w:t>New Directions in Planning Theory</w:t>
      </w:r>
      <w:r w:rsidR="00B02037" w:rsidRPr="00B02037">
        <w:rPr>
          <w:rFonts w:ascii="Times New Roman" w:eastAsia="Times New Roman" w:hAnsi="Times New Roman" w:cs="Times New Roman"/>
          <w:color w:val="000000"/>
          <w:sz w:val="24"/>
          <w:szCs w:val="24"/>
          <w:lang w:val="en-US" w:eastAsia="fr-FR"/>
        </w:rPr>
        <w:t>,</w:t>
      </w:r>
      <w:r w:rsidRPr="00B02037">
        <w:rPr>
          <w:rFonts w:ascii="Times New Roman" w:eastAsia="Times New Roman" w:hAnsi="Times New Roman" w:cs="Times New Roman"/>
          <w:color w:val="000000"/>
          <w:sz w:val="24"/>
          <w:szCs w:val="24"/>
          <w:lang w:val="en-US" w:eastAsia="fr-FR"/>
        </w:rPr>
        <w:t xml:space="preserve"> </w:t>
      </w:r>
      <w:r w:rsidRPr="00B02037">
        <w:rPr>
          <w:rFonts w:ascii="Times New Roman" w:eastAsia="Times New Roman" w:hAnsi="Times New Roman" w:cs="Times New Roman"/>
          <w:i/>
          <w:iCs/>
          <w:color w:val="000000"/>
          <w:sz w:val="24"/>
          <w:szCs w:val="24"/>
          <w:lang w:val="en-US" w:eastAsia="fr-FR"/>
        </w:rPr>
        <w:t>Farnham: Ashgate Publishing</w:t>
      </w:r>
      <w:r w:rsidRPr="00B02037">
        <w:rPr>
          <w:rFonts w:ascii="Times New Roman" w:eastAsia="Times New Roman" w:hAnsi="Times New Roman" w:cs="Times New Roman"/>
          <w:color w:val="000000"/>
          <w:sz w:val="24"/>
          <w:szCs w:val="24"/>
          <w:lang w:val="en-US" w:eastAsia="fr-FR"/>
        </w:rPr>
        <w:t>.</w:t>
      </w:r>
    </w:p>
    <w:p w:rsidR="00911279" w:rsidRPr="00911279" w:rsidRDefault="00911279" w:rsidP="00414203">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911279">
        <w:rPr>
          <w:rFonts w:ascii="Times New Roman" w:eastAsia="Times New Roman" w:hAnsi="Times New Roman" w:cs="Times New Roman"/>
          <w:b/>
          <w:bCs/>
          <w:color w:val="000000"/>
          <w:sz w:val="24"/>
          <w:szCs w:val="24"/>
          <w:lang w:eastAsia="fr-FR"/>
        </w:rPr>
        <w:t>Dechaicha, A. &amp; Alkama, D., (2021):</w:t>
      </w:r>
      <w:r w:rsidRPr="00911279">
        <w:rPr>
          <w:rFonts w:ascii="Times New Roman" w:eastAsia="Times New Roman" w:hAnsi="Times New Roman" w:cs="Times New Roman"/>
          <w:color w:val="000000"/>
          <w:sz w:val="24"/>
          <w:szCs w:val="24"/>
          <w:lang w:eastAsia="fr-FR"/>
        </w:rPr>
        <w:t xml:space="preserve"> Suivi et quantification de l’urbanisation incontrôlée : une approche basée sur l’analyse multi temporelle des images satellitaires landsat ; cas de la ville de Bou-Saâda (Algérie)</w:t>
      </w:r>
      <w:r w:rsidR="00414203">
        <w:rPr>
          <w:rFonts w:ascii="Times New Roman" w:eastAsia="Times New Roman" w:hAnsi="Times New Roman" w:cs="Times New Roman"/>
          <w:color w:val="000000"/>
          <w:sz w:val="24"/>
          <w:szCs w:val="24"/>
          <w:lang w:eastAsia="fr-FR"/>
        </w:rPr>
        <w:t xml:space="preserve">, </w:t>
      </w:r>
      <w:r w:rsidRPr="00121C33">
        <w:rPr>
          <w:rFonts w:ascii="Times New Roman" w:eastAsia="Times New Roman" w:hAnsi="Times New Roman" w:cs="Times New Roman"/>
          <w:color w:val="000000"/>
          <w:lang w:eastAsia="fr-FR"/>
        </w:rPr>
        <w:t>Revue Française de Photogrammétrie et Télédétection Volume 223</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68" w:history="1">
        <w:r w:rsidR="00E724B9" w:rsidRPr="00E40DF8">
          <w:rPr>
            <w:rFonts w:ascii="Times New Roman" w:eastAsia="Times New Roman" w:hAnsi="Times New Roman" w:cs="Times New Roman"/>
            <w:b/>
            <w:bCs/>
            <w:color w:val="000000"/>
            <w:sz w:val="24"/>
            <w:szCs w:val="24"/>
            <w:lang w:val="en-US" w:eastAsia="fr-FR"/>
          </w:rPr>
          <w:t>Dehghani</w:t>
        </w:r>
        <w:r w:rsidR="00E724B9" w:rsidRPr="00D15BA6">
          <w:rPr>
            <w:rFonts w:ascii="Times New Roman" w:eastAsia="Times New Roman" w:hAnsi="Times New Roman" w:cs="Times New Roman"/>
            <w:b/>
            <w:bCs/>
            <w:color w:val="000000"/>
            <w:sz w:val="24"/>
            <w:szCs w:val="24"/>
            <w:lang w:val="en-US" w:eastAsia="fr-FR"/>
          </w:rPr>
          <w:t>, A., Alidadi, M. &amp; Sharifi, A., (2022):</w:t>
        </w:r>
        <w:r w:rsidR="00E724B9" w:rsidRPr="00E902AE">
          <w:rPr>
            <w:rFonts w:ascii="Times New Roman" w:eastAsia="Times New Roman" w:hAnsi="Times New Roman" w:cs="Times New Roman"/>
            <w:color w:val="000000"/>
            <w:sz w:val="24"/>
            <w:szCs w:val="24"/>
            <w:lang w:val="en-US" w:eastAsia="fr-FR"/>
          </w:rPr>
          <w:t xml:space="preserve"> “Compact Development Policy and Urban Resilience: A Critical Review”, </w:t>
        </w:r>
        <w:r w:rsidR="00E724B9" w:rsidRPr="00D15BA6">
          <w:rPr>
            <w:rFonts w:ascii="Times New Roman" w:eastAsia="Times New Roman" w:hAnsi="Times New Roman" w:cs="Times New Roman"/>
            <w:i/>
            <w:iCs/>
            <w:color w:val="000000"/>
            <w:sz w:val="24"/>
            <w:szCs w:val="24"/>
            <w:lang w:val="en-US" w:eastAsia="fr-FR"/>
          </w:rPr>
          <w:t>Sustainability</w:t>
        </w:r>
        <w:r w:rsidR="00E724B9" w:rsidRPr="00E902AE">
          <w:rPr>
            <w:rFonts w:ascii="Times New Roman" w:eastAsia="Times New Roman" w:hAnsi="Times New Roman" w:cs="Times New Roman"/>
            <w:color w:val="000000"/>
            <w:sz w:val="24"/>
            <w:szCs w:val="24"/>
            <w:lang w:val="en-US" w:eastAsia="fr-FR"/>
          </w:rPr>
          <w:t>,</w:t>
        </w:r>
        <w:r w:rsidR="00D15BA6">
          <w:rPr>
            <w:rFonts w:ascii="Times New Roman" w:eastAsia="Times New Roman" w:hAnsi="Times New Roman" w:cs="Times New Roman"/>
            <w:color w:val="000000"/>
            <w:sz w:val="24"/>
            <w:szCs w:val="24"/>
            <w:lang w:val="en-US" w:eastAsia="fr-FR"/>
          </w:rPr>
          <w:t xml:space="preserve"> vol.</w:t>
        </w:r>
        <w:r w:rsidR="00E724B9" w:rsidRPr="00E902AE">
          <w:rPr>
            <w:rFonts w:ascii="Times New Roman" w:eastAsia="Times New Roman" w:hAnsi="Times New Roman" w:cs="Times New Roman"/>
            <w:color w:val="000000"/>
            <w:sz w:val="24"/>
            <w:szCs w:val="24"/>
            <w:lang w:val="en-US" w:eastAsia="fr-FR"/>
          </w:rPr>
          <w:t xml:space="preserve"> 14, 11798</w:t>
        </w:r>
        <w:r w:rsidR="00D15BA6">
          <w:rPr>
            <w:rFonts w:ascii="Times New Roman" w:eastAsia="Times New Roman" w:hAnsi="Times New Roman" w:cs="Times New Roman"/>
            <w:color w:val="000000"/>
            <w:sz w:val="24"/>
            <w:szCs w:val="24"/>
            <w:lang w:val="en-US" w:eastAsia="fr-FR"/>
          </w:rPr>
          <w:t xml:space="preserve">. </w:t>
        </w:r>
        <w:r w:rsidR="00E724B9" w:rsidRPr="00E902AE">
          <w:rPr>
            <w:rFonts w:ascii="Times New Roman" w:eastAsia="Times New Roman" w:hAnsi="Times New Roman" w:cs="Times New Roman"/>
            <w:color w:val="000000"/>
            <w:sz w:val="24"/>
            <w:szCs w:val="24"/>
            <w:lang w:val="en-US" w:eastAsia="fr-FR"/>
          </w:rPr>
          <w:t>https://doi.org/10.3390/su</w:t>
        </w:r>
        <w:r w:rsidR="00D15BA6">
          <w:rPr>
            <w:rFonts w:ascii="Times New Roman" w:eastAsia="Times New Roman" w:hAnsi="Times New Roman" w:cs="Times New Roman"/>
            <w:color w:val="000000"/>
            <w:sz w:val="24"/>
            <w:szCs w:val="24"/>
            <w:lang w:val="en-US" w:eastAsia="fr-FR"/>
          </w:rPr>
          <w:t xml:space="preserve"> </w:t>
        </w:r>
        <w:r w:rsidR="00E724B9" w:rsidRPr="00E902AE">
          <w:rPr>
            <w:rFonts w:ascii="Times New Roman" w:eastAsia="Times New Roman" w:hAnsi="Times New Roman" w:cs="Times New Roman"/>
            <w:color w:val="000000"/>
            <w:sz w:val="24"/>
            <w:szCs w:val="24"/>
            <w:lang w:val="en-US" w:eastAsia="fr-FR"/>
          </w:rPr>
          <w:t>141911798</w:t>
        </w:r>
        <w:r w:rsidR="00E724B9">
          <w:rPr>
            <w:rFonts w:ascii="Times New Roman" w:eastAsia="Times New Roman" w:hAnsi="Times New Roman" w:cs="Times New Roman"/>
            <w:color w:val="000000"/>
            <w:sz w:val="24"/>
            <w:szCs w:val="24"/>
            <w:lang w:val="en-US" w:eastAsia="fr-FR"/>
          </w:rPr>
          <w:t xml:space="preserve"> </w:t>
        </w:r>
        <w:r w:rsidR="00E724B9" w:rsidRPr="00E902AE">
          <w:rPr>
            <w:rFonts w:ascii="Times New Roman" w:eastAsia="Times New Roman" w:hAnsi="Times New Roman" w:cs="Times New Roman"/>
            <w:color w:val="000000"/>
            <w:sz w:val="24"/>
            <w:szCs w:val="24"/>
            <w:lang w:val="en-US" w:eastAsia="fr-FR"/>
          </w:rPr>
          <w:t xml:space="preserve">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Dempsey</w:t>
      </w:r>
      <w:r w:rsidRPr="00B02037">
        <w:rPr>
          <w:rFonts w:ascii="Times New Roman" w:eastAsia="Times New Roman" w:hAnsi="Times New Roman" w:cs="Times New Roman"/>
          <w:b/>
          <w:bCs/>
          <w:color w:val="000000"/>
          <w:sz w:val="24"/>
          <w:szCs w:val="24"/>
          <w:lang w:val="en-US" w:eastAsia="fr-FR"/>
        </w:rPr>
        <w:t>, N., Brown, C.&amp; Raman S., (2010):</w:t>
      </w:r>
      <w:r w:rsidRPr="00B02037">
        <w:rPr>
          <w:rFonts w:ascii="Times New Roman" w:eastAsia="Times New Roman" w:hAnsi="Times New Roman" w:cs="Times New Roman"/>
          <w:color w:val="000000"/>
          <w:sz w:val="24"/>
          <w:szCs w:val="24"/>
          <w:lang w:val="en-US" w:eastAsia="fr-FR"/>
        </w:rPr>
        <w:t xml:space="preserve"> “Elements of urban form”, Dimensions of the sustainable city, Dordrecht: Springer.</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Densham</w:t>
      </w:r>
      <w:r w:rsidRPr="00D15BA6">
        <w:rPr>
          <w:rFonts w:ascii="Times New Roman" w:eastAsia="Times New Roman" w:hAnsi="Times New Roman" w:cs="Times New Roman"/>
          <w:b/>
          <w:bCs/>
          <w:color w:val="000000"/>
          <w:sz w:val="24"/>
          <w:szCs w:val="24"/>
          <w:lang w:val="en-US" w:eastAsia="fr-FR"/>
        </w:rPr>
        <w:t>, P.J.</w:t>
      </w:r>
      <w:r w:rsidR="00D15BA6" w:rsidRPr="00D15BA6">
        <w:rPr>
          <w:rFonts w:ascii="Times New Roman" w:eastAsia="Times New Roman" w:hAnsi="Times New Roman" w:cs="Times New Roman"/>
          <w:b/>
          <w:bCs/>
          <w:color w:val="000000"/>
          <w:sz w:val="24"/>
          <w:szCs w:val="24"/>
          <w:lang w:val="en-US" w:eastAsia="fr-FR"/>
        </w:rPr>
        <w:t>, (1991):</w:t>
      </w:r>
      <w:r w:rsidR="00D15BA6">
        <w:rPr>
          <w:rFonts w:ascii="Times New Roman" w:eastAsia="Times New Roman" w:hAnsi="Times New Roman" w:cs="Times New Roman"/>
          <w:color w:val="000000"/>
          <w:sz w:val="24"/>
          <w:szCs w:val="24"/>
          <w:lang w:val="en-US" w:eastAsia="fr-FR"/>
        </w:rPr>
        <w:t xml:space="preserve"> “</w:t>
      </w:r>
      <w:r w:rsidRPr="00E902AE">
        <w:rPr>
          <w:rFonts w:ascii="Times New Roman" w:eastAsia="Times New Roman" w:hAnsi="Times New Roman" w:cs="Times New Roman"/>
          <w:color w:val="000000"/>
          <w:sz w:val="24"/>
          <w:szCs w:val="24"/>
          <w:lang w:val="en-US" w:eastAsia="fr-FR"/>
        </w:rPr>
        <w:t>Spatial decision support systems</w:t>
      </w:r>
      <w:r w:rsidR="00D15BA6">
        <w:rPr>
          <w:rFonts w:ascii="Times New Roman" w:eastAsia="Times New Roman" w:hAnsi="Times New Roman" w:cs="Times New Roman"/>
          <w:color w:val="000000"/>
          <w:sz w:val="24"/>
          <w:szCs w:val="24"/>
          <w:lang w:val="en-US" w:eastAsia="fr-FR"/>
        </w:rPr>
        <w:t>”,</w:t>
      </w:r>
      <w:r w:rsidRPr="00E902AE">
        <w:rPr>
          <w:rFonts w:ascii="Times New Roman" w:eastAsia="Times New Roman" w:hAnsi="Times New Roman" w:cs="Times New Roman"/>
          <w:color w:val="000000"/>
          <w:sz w:val="24"/>
          <w:szCs w:val="24"/>
          <w:lang w:val="en-US" w:eastAsia="fr-FR"/>
        </w:rPr>
        <w:t xml:space="preserve"> </w:t>
      </w:r>
      <w:r w:rsidRPr="00D15BA6">
        <w:rPr>
          <w:rFonts w:ascii="Times New Roman" w:eastAsia="Times New Roman" w:hAnsi="Times New Roman" w:cs="Times New Roman"/>
          <w:i/>
          <w:iCs/>
          <w:color w:val="000000"/>
          <w:sz w:val="24"/>
          <w:szCs w:val="24"/>
          <w:lang w:val="en-US" w:eastAsia="fr-FR"/>
        </w:rPr>
        <w:t>Geographical information systems</w:t>
      </w:r>
      <w:r w:rsidR="00D15BA6">
        <w:rPr>
          <w:rFonts w:ascii="Times New Roman" w:eastAsia="Times New Roman" w:hAnsi="Times New Roman" w:cs="Times New Roman"/>
          <w:color w:val="000000"/>
          <w:sz w:val="24"/>
          <w:szCs w:val="24"/>
          <w:lang w:val="en-US" w:eastAsia="fr-FR"/>
        </w:rPr>
        <w:t>, v</w:t>
      </w:r>
      <w:r w:rsidRPr="00E902AE">
        <w:rPr>
          <w:rFonts w:ascii="Times New Roman" w:eastAsia="Times New Roman" w:hAnsi="Times New Roman" w:cs="Times New Roman"/>
          <w:color w:val="000000"/>
          <w:sz w:val="24"/>
          <w:szCs w:val="24"/>
          <w:lang w:val="en-US" w:eastAsia="fr-FR"/>
        </w:rPr>
        <w:t>ol. 1,</w:t>
      </w:r>
      <w:r w:rsidR="00D15BA6">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00D15BA6">
        <w:rPr>
          <w:rFonts w:ascii="Times New Roman" w:eastAsia="Times New Roman" w:hAnsi="Times New Roman" w:cs="Times New Roman"/>
          <w:color w:val="000000"/>
          <w:sz w:val="24"/>
          <w:szCs w:val="24"/>
          <w:lang w:val="en-US" w:eastAsia="fr-FR"/>
        </w:rPr>
        <w:t>p.</w:t>
      </w:r>
      <w:r w:rsidRPr="00E902AE">
        <w:rPr>
          <w:rFonts w:ascii="Times New Roman" w:eastAsia="Times New Roman" w:hAnsi="Times New Roman" w:cs="Times New Roman"/>
          <w:color w:val="000000"/>
          <w:sz w:val="24"/>
          <w:szCs w:val="24"/>
          <w:lang w:val="en-US" w:eastAsia="fr-FR"/>
        </w:rPr>
        <w:t xml:space="preserve"> 403-12.</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r w:rsidRPr="00E40DF8">
        <w:rPr>
          <w:rFonts w:ascii="Times New Roman" w:eastAsia="Times New Roman" w:hAnsi="Times New Roman" w:cs="Times New Roman"/>
          <w:b/>
          <w:bCs/>
          <w:color w:val="000000"/>
          <w:sz w:val="24"/>
          <w:szCs w:val="24"/>
          <w:lang w:val="en-US" w:eastAsia="fr-FR"/>
        </w:rPr>
        <w:t>Diakakis</w:t>
      </w:r>
      <w:r w:rsidRPr="00E902AE">
        <w:rPr>
          <w:rFonts w:ascii="Times New Roman" w:eastAsia="Times New Roman" w:hAnsi="Times New Roman" w:cs="Times New Roman"/>
          <w:b/>
          <w:bCs/>
          <w:color w:val="000000"/>
          <w:sz w:val="24"/>
          <w:szCs w:val="24"/>
          <w:lang w:val="en-US" w:eastAsia="fr-FR"/>
        </w:rPr>
        <w:t>, M., Pallikarakis, A. &amp; Katsetsiadou, K., (2014):</w:t>
      </w:r>
      <w:r w:rsidRPr="00E902AE">
        <w:rPr>
          <w:rFonts w:ascii="Times New Roman" w:eastAsia="Times New Roman" w:hAnsi="Times New Roman" w:cs="Times New Roman"/>
          <w:color w:val="000000"/>
          <w:sz w:val="24"/>
          <w:szCs w:val="24"/>
          <w:lang w:val="en-US" w:eastAsia="fr-FR"/>
        </w:rPr>
        <w:t xml:space="preserve"> "Using a Spatio-Temporal GIS Database to Monitor the Spatial Evolution of Urban Flooding Phenomena. The Case of Athens Metropolitan Area in Greece", </w:t>
      </w:r>
      <w:r w:rsidRPr="00D15BA6">
        <w:rPr>
          <w:rFonts w:ascii="Times New Roman" w:eastAsia="Times New Roman" w:hAnsi="Times New Roman" w:cs="Times New Roman"/>
          <w:i/>
          <w:iCs/>
          <w:color w:val="000000"/>
          <w:sz w:val="24"/>
          <w:szCs w:val="24"/>
          <w:lang w:val="en-US" w:eastAsia="fr-FR"/>
        </w:rPr>
        <w:t>ISPRS Int. J. Geo Inf</w:t>
      </w:r>
      <w:r w:rsidR="00D15BA6" w:rsidRPr="00D15BA6">
        <w:rPr>
          <w:rFonts w:ascii="Times New Roman" w:eastAsia="Times New Roman" w:hAnsi="Times New Roman" w:cs="Times New Roman"/>
          <w:i/>
          <w:iCs/>
          <w:color w:val="000000"/>
          <w:sz w:val="24"/>
          <w:szCs w:val="24"/>
          <w:lang w:val="en-US" w:eastAsia="fr-FR"/>
        </w:rPr>
        <w:t>o</w:t>
      </w:r>
      <w:r w:rsidRPr="00E902AE">
        <w:rPr>
          <w:rFonts w:ascii="Times New Roman" w:eastAsia="Times New Roman" w:hAnsi="Times New Roman" w:cs="Times New Roman"/>
          <w:color w:val="000000"/>
          <w:sz w:val="24"/>
          <w:szCs w:val="24"/>
          <w:lang w:val="en-US" w:eastAsia="fr-FR"/>
        </w:rPr>
        <w:t xml:space="preserve">, Vol. 3, </w:t>
      </w:r>
      <w:r w:rsidR="00B26A4B">
        <w:rPr>
          <w:rFonts w:ascii="Times New Roman" w:eastAsia="Times New Roman" w:hAnsi="Times New Roman" w:cs="Times New Roman"/>
          <w:color w:val="000000"/>
          <w:sz w:val="24"/>
          <w:szCs w:val="24"/>
          <w:lang w:val="en-US" w:eastAsia="fr-FR"/>
        </w:rPr>
        <w:t>p</w:t>
      </w:r>
      <w:r w:rsidRPr="00E902AE">
        <w:rPr>
          <w:rFonts w:ascii="Times New Roman" w:eastAsia="Times New Roman" w:hAnsi="Times New Roman" w:cs="Times New Roman"/>
          <w:color w:val="000000"/>
          <w:sz w:val="24"/>
          <w:szCs w:val="24"/>
          <w:lang w:val="en-US" w:eastAsia="fr-FR"/>
        </w:rPr>
        <w:t>p. 96–109.</w:t>
      </w:r>
    </w:p>
    <w:p w:rsidR="0010715E" w:rsidRPr="0010715E" w:rsidRDefault="0010715E" w:rsidP="0010715E">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10715E">
        <w:rPr>
          <w:rFonts w:ascii="Times New Roman" w:eastAsia="Times New Roman" w:hAnsi="Times New Roman" w:cs="Times New Roman"/>
          <w:b/>
          <w:bCs/>
          <w:color w:val="000000"/>
          <w:sz w:val="24"/>
          <w:szCs w:val="24"/>
          <w:lang w:val="en-US" w:eastAsia="fr-FR"/>
        </w:rPr>
        <w:t xml:space="preserve">Dibble, J. L., </w:t>
      </w:r>
      <w:r>
        <w:rPr>
          <w:rFonts w:ascii="Times New Roman" w:eastAsia="Times New Roman" w:hAnsi="Times New Roman" w:cs="Times New Roman"/>
          <w:b/>
          <w:bCs/>
          <w:color w:val="000000"/>
          <w:sz w:val="24"/>
          <w:szCs w:val="24"/>
          <w:lang w:val="en-US" w:eastAsia="fr-FR"/>
        </w:rPr>
        <w:t>(</w:t>
      </w:r>
      <w:r w:rsidRPr="0010715E">
        <w:rPr>
          <w:rFonts w:ascii="Times New Roman" w:eastAsia="Times New Roman" w:hAnsi="Times New Roman" w:cs="Times New Roman"/>
          <w:b/>
          <w:bCs/>
          <w:color w:val="000000"/>
          <w:sz w:val="24"/>
          <w:szCs w:val="24"/>
          <w:lang w:val="en-US" w:eastAsia="fr-FR"/>
        </w:rPr>
        <w:t>2016</w:t>
      </w:r>
      <w:r>
        <w:rPr>
          <w:rFonts w:ascii="Times New Roman" w:eastAsia="Times New Roman" w:hAnsi="Times New Roman" w:cs="Times New Roman"/>
          <w:b/>
          <w:bCs/>
          <w:color w:val="000000"/>
          <w:sz w:val="24"/>
          <w:szCs w:val="24"/>
          <w:lang w:val="en-US" w:eastAsia="fr-FR"/>
        </w:rPr>
        <w:t>):</w:t>
      </w:r>
      <w:r w:rsidRPr="0010715E">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10715E">
        <w:rPr>
          <w:rFonts w:ascii="Times New Roman" w:eastAsia="Times New Roman" w:hAnsi="Times New Roman" w:cs="Times New Roman"/>
          <w:color w:val="000000"/>
          <w:sz w:val="24"/>
          <w:szCs w:val="24"/>
          <w:lang w:val="en-US" w:eastAsia="fr-FR"/>
        </w:rPr>
        <w:t>Urban morphometric</w:t>
      </w:r>
      <w:r>
        <w:rPr>
          <w:rFonts w:ascii="Times New Roman" w:eastAsia="Times New Roman" w:hAnsi="Times New Roman" w:cs="Times New Roman"/>
          <w:color w:val="000000"/>
          <w:sz w:val="24"/>
          <w:szCs w:val="24"/>
          <w:lang w:val="en-US" w:eastAsia="fr-FR"/>
        </w:rPr>
        <w:t xml:space="preserve">: </w:t>
      </w:r>
      <w:r w:rsidRPr="0010715E">
        <w:rPr>
          <w:rFonts w:ascii="Times New Roman" w:eastAsia="Times New Roman" w:hAnsi="Times New Roman" w:cs="Times New Roman"/>
          <w:color w:val="000000"/>
          <w:sz w:val="24"/>
          <w:szCs w:val="24"/>
          <w:lang w:val="en-US" w:eastAsia="fr-FR"/>
        </w:rPr>
        <w:t>towards a quantitative science of urban form</w:t>
      </w:r>
      <w:r>
        <w:rPr>
          <w:rFonts w:ascii="Times New Roman" w:eastAsia="Times New Roman" w:hAnsi="Times New Roman" w:cs="Times New Roman"/>
          <w:color w:val="000000"/>
          <w:sz w:val="24"/>
          <w:szCs w:val="24"/>
          <w:lang w:val="en-US" w:eastAsia="fr-FR"/>
        </w:rPr>
        <w:t xml:space="preserve">”, </w:t>
      </w:r>
      <w:r w:rsidRPr="0010715E">
        <w:rPr>
          <w:rFonts w:ascii="Times New Roman" w:eastAsia="Times New Roman" w:hAnsi="Times New Roman" w:cs="Times New Roman"/>
          <w:color w:val="000000"/>
          <w:sz w:val="24"/>
          <w:szCs w:val="24"/>
          <w:lang w:val="en-US" w:eastAsia="fr-FR"/>
        </w:rPr>
        <w:t>Doctoral degree, University of Strathclyde.</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69" w:history="1">
        <w:r w:rsidR="00E724B9" w:rsidRPr="00E40DF8">
          <w:rPr>
            <w:rFonts w:ascii="Times New Roman" w:eastAsia="Times New Roman" w:hAnsi="Times New Roman" w:cs="Times New Roman"/>
            <w:b/>
            <w:bCs/>
            <w:color w:val="000000"/>
            <w:sz w:val="24"/>
            <w:szCs w:val="24"/>
            <w:lang w:val="en-US" w:eastAsia="fr-FR"/>
          </w:rPr>
          <w:t>Drobne</w:t>
        </w:r>
        <w:r w:rsidR="00E724B9" w:rsidRPr="00D15BA6">
          <w:rPr>
            <w:rFonts w:ascii="Times New Roman" w:eastAsia="Times New Roman" w:hAnsi="Times New Roman" w:cs="Times New Roman"/>
            <w:b/>
            <w:bCs/>
            <w:color w:val="000000"/>
            <w:sz w:val="24"/>
            <w:szCs w:val="24"/>
            <w:lang w:val="en-US" w:eastAsia="fr-FR"/>
          </w:rPr>
          <w:t>, S., &amp; Lisec, A.</w:t>
        </w:r>
        <w:r w:rsidR="00D15BA6" w:rsidRPr="00D15BA6">
          <w:rPr>
            <w:rFonts w:ascii="Times New Roman" w:eastAsia="Times New Roman" w:hAnsi="Times New Roman" w:cs="Times New Roman"/>
            <w:b/>
            <w:bCs/>
            <w:color w:val="000000"/>
            <w:sz w:val="24"/>
            <w:szCs w:val="24"/>
            <w:lang w:val="en-US" w:eastAsia="fr-FR"/>
          </w:rPr>
          <w:t>,</w:t>
        </w:r>
        <w:r w:rsidR="00E724B9" w:rsidRPr="00D15BA6">
          <w:rPr>
            <w:rFonts w:ascii="Times New Roman" w:eastAsia="Times New Roman" w:hAnsi="Times New Roman" w:cs="Times New Roman"/>
            <w:b/>
            <w:bCs/>
            <w:color w:val="000000"/>
            <w:sz w:val="24"/>
            <w:szCs w:val="24"/>
            <w:lang w:val="en-US" w:eastAsia="fr-FR"/>
          </w:rPr>
          <w:t xml:space="preserve"> (2009)</w:t>
        </w:r>
        <w:r w:rsidR="00D15BA6" w:rsidRPr="00D15BA6">
          <w:rPr>
            <w:rFonts w:ascii="Times New Roman" w:eastAsia="Times New Roman" w:hAnsi="Times New Roman" w:cs="Times New Roman"/>
            <w:b/>
            <w:bCs/>
            <w:color w:val="000000"/>
            <w:sz w:val="24"/>
            <w:szCs w:val="24"/>
            <w:lang w:val="en-US" w:eastAsia="fr-FR"/>
          </w:rPr>
          <w:t>:</w:t>
        </w:r>
        <w:r w:rsidR="00E724B9" w:rsidRPr="00E902AE">
          <w:rPr>
            <w:rFonts w:ascii="Times New Roman" w:eastAsia="Times New Roman" w:hAnsi="Times New Roman" w:cs="Times New Roman"/>
            <w:color w:val="000000"/>
            <w:sz w:val="24"/>
            <w:szCs w:val="24"/>
            <w:lang w:val="en-US" w:eastAsia="fr-FR"/>
          </w:rPr>
          <w:t xml:space="preserve"> </w:t>
        </w:r>
        <w:r w:rsidR="00D15BA6">
          <w:rPr>
            <w:rFonts w:ascii="Times New Roman" w:eastAsia="Times New Roman" w:hAnsi="Times New Roman" w:cs="Times New Roman"/>
            <w:color w:val="000000"/>
            <w:sz w:val="24"/>
            <w:szCs w:val="24"/>
            <w:lang w:val="en-US" w:eastAsia="fr-FR"/>
          </w:rPr>
          <w:t>“</w:t>
        </w:r>
        <w:r w:rsidR="00E724B9" w:rsidRPr="00E902AE">
          <w:rPr>
            <w:rFonts w:ascii="Times New Roman" w:eastAsia="Times New Roman" w:hAnsi="Times New Roman" w:cs="Times New Roman"/>
            <w:color w:val="000000"/>
            <w:sz w:val="24"/>
            <w:szCs w:val="24"/>
            <w:lang w:val="en-US" w:eastAsia="fr-FR"/>
          </w:rPr>
          <w:t>Multi-attribute decision analysis in GIS weighted linear combination and ordered weighted averaging</w:t>
        </w:r>
        <w:r w:rsidR="00D15BA6">
          <w:rPr>
            <w:rFonts w:ascii="Times New Roman" w:eastAsia="Times New Roman" w:hAnsi="Times New Roman" w:cs="Times New Roman"/>
            <w:color w:val="000000"/>
            <w:sz w:val="24"/>
            <w:szCs w:val="24"/>
            <w:lang w:val="en-US" w:eastAsia="fr-FR"/>
          </w:rPr>
          <w:t>”,</w:t>
        </w:r>
        <w:r w:rsidR="00E724B9" w:rsidRPr="00E902AE">
          <w:rPr>
            <w:rFonts w:ascii="Times New Roman" w:eastAsia="Times New Roman" w:hAnsi="Times New Roman" w:cs="Times New Roman"/>
            <w:color w:val="000000"/>
            <w:sz w:val="24"/>
            <w:szCs w:val="24"/>
            <w:lang w:val="en-US" w:eastAsia="fr-FR"/>
          </w:rPr>
          <w:t xml:space="preserve"> </w:t>
        </w:r>
        <w:r w:rsidR="00E724B9" w:rsidRPr="00D15BA6">
          <w:rPr>
            <w:rFonts w:ascii="Times New Roman" w:eastAsia="Times New Roman" w:hAnsi="Times New Roman" w:cs="Times New Roman"/>
            <w:i/>
            <w:iCs/>
            <w:color w:val="000000"/>
            <w:sz w:val="24"/>
            <w:szCs w:val="24"/>
            <w:lang w:val="en-US" w:eastAsia="fr-FR"/>
          </w:rPr>
          <w:t>Informatica</w:t>
        </w:r>
        <w:r w:rsidR="00E724B9" w:rsidRPr="00E902AE">
          <w:rPr>
            <w:rFonts w:ascii="Times New Roman" w:eastAsia="Times New Roman" w:hAnsi="Times New Roman" w:cs="Times New Roman"/>
            <w:color w:val="000000"/>
            <w:sz w:val="24"/>
            <w:szCs w:val="24"/>
            <w:lang w:val="en-US" w:eastAsia="fr-FR"/>
          </w:rPr>
          <w:t>,</w:t>
        </w:r>
        <w:r w:rsidR="00D15BA6">
          <w:rPr>
            <w:rFonts w:ascii="Times New Roman" w:eastAsia="Times New Roman" w:hAnsi="Times New Roman" w:cs="Times New Roman"/>
            <w:color w:val="000000"/>
            <w:sz w:val="24"/>
            <w:szCs w:val="24"/>
            <w:lang w:val="en-US" w:eastAsia="fr-FR"/>
          </w:rPr>
          <w:t xml:space="preserve"> vol.</w:t>
        </w:r>
        <w:r w:rsidR="00E724B9" w:rsidRPr="00E902AE">
          <w:rPr>
            <w:rFonts w:ascii="Times New Roman" w:eastAsia="Times New Roman" w:hAnsi="Times New Roman" w:cs="Times New Roman"/>
            <w:color w:val="000000"/>
            <w:sz w:val="24"/>
            <w:szCs w:val="24"/>
            <w:lang w:val="en-US" w:eastAsia="fr-FR"/>
          </w:rPr>
          <w:t xml:space="preserve"> 33</w:t>
        </w:r>
        <w:r w:rsidR="00D15BA6">
          <w:rPr>
            <w:rFonts w:ascii="Times New Roman" w:eastAsia="Times New Roman" w:hAnsi="Times New Roman" w:cs="Times New Roman"/>
            <w:color w:val="000000"/>
            <w:sz w:val="24"/>
            <w:szCs w:val="24"/>
            <w:lang w:val="en-US" w:eastAsia="fr-FR"/>
          </w:rPr>
          <w:t xml:space="preserve">, n° </w:t>
        </w:r>
        <w:r w:rsidR="00E724B9" w:rsidRPr="00E902AE">
          <w:rPr>
            <w:rFonts w:ascii="Times New Roman" w:eastAsia="Times New Roman" w:hAnsi="Times New Roman" w:cs="Times New Roman"/>
            <w:color w:val="000000"/>
            <w:sz w:val="24"/>
            <w:szCs w:val="24"/>
            <w:lang w:val="en-US" w:eastAsia="fr-FR"/>
          </w:rPr>
          <w:t xml:space="preserve">4, </w:t>
        </w:r>
        <w:r w:rsidR="00D15BA6">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00D15BA6">
          <w:rPr>
            <w:rFonts w:ascii="Times New Roman" w:eastAsia="Times New Roman" w:hAnsi="Times New Roman" w:cs="Times New Roman"/>
            <w:color w:val="000000"/>
            <w:sz w:val="24"/>
            <w:szCs w:val="24"/>
            <w:lang w:val="en-US" w:eastAsia="fr-FR"/>
          </w:rPr>
          <w:t>.</w:t>
        </w:r>
        <w:r w:rsidR="00E724B9" w:rsidRPr="00E902AE">
          <w:rPr>
            <w:rFonts w:ascii="Times New Roman" w:eastAsia="Times New Roman" w:hAnsi="Times New Roman" w:cs="Times New Roman"/>
            <w:color w:val="000000"/>
            <w:sz w:val="24"/>
            <w:szCs w:val="24"/>
            <w:lang w:val="en-US" w:eastAsia="fr-FR"/>
          </w:rPr>
          <w:t>459–474. http://www.informatica.si/index.php/informatica/article/download/263/260</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Dueker</w:t>
      </w:r>
      <w:r w:rsidRPr="00B02037">
        <w:rPr>
          <w:rFonts w:ascii="Times New Roman" w:eastAsia="Times New Roman" w:hAnsi="Times New Roman" w:cs="Times New Roman"/>
          <w:b/>
          <w:bCs/>
          <w:color w:val="000000"/>
          <w:sz w:val="24"/>
          <w:szCs w:val="24"/>
          <w:lang w:val="en-US" w:eastAsia="fr-FR"/>
        </w:rPr>
        <w:t>, K.J, (1979):</w:t>
      </w:r>
      <w:r w:rsidRPr="00B02037">
        <w:rPr>
          <w:rFonts w:ascii="Times New Roman" w:eastAsia="Times New Roman" w:hAnsi="Times New Roman" w:cs="Times New Roman"/>
          <w:color w:val="000000"/>
          <w:sz w:val="24"/>
          <w:szCs w:val="24"/>
          <w:lang w:val="en-US" w:eastAsia="fr-FR"/>
        </w:rPr>
        <w:t xml:space="preserve"> "Land Resource Information Systems .A Review of fifteen </w:t>
      </w:r>
      <w:r w:rsidR="00F239DE" w:rsidRPr="00B02037">
        <w:rPr>
          <w:rFonts w:ascii="Times New Roman" w:eastAsia="Times New Roman" w:hAnsi="Times New Roman" w:cs="Times New Roman"/>
          <w:color w:val="000000"/>
          <w:sz w:val="24"/>
          <w:szCs w:val="24"/>
          <w:lang w:val="en-US" w:eastAsia="fr-FR"/>
        </w:rPr>
        <w:t>years’ experience</w:t>
      </w:r>
      <w:r w:rsidRPr="00B02037">
        <w:rPr>
          <w:rFonts w:ascii="Times New Roman" w:eastAsia="Times New Roman" w:hAnsi="Times New Roman" w:cs="Times New Roman"/>
          <w:color w:val="000000"/>
          <w:sz w:val="24"/>
          <w:szCs w:val="24"/>
          <w:lang w:val="en-US" w:eastAsia="fr-FR"/>
        </w:rPr>
        <w:t>", Geo – processing 1.</w:t>
      </w:r>
    </w:p>
    <w:p w:rsidR="00122384" w:rsidRPr="00122384"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u w:val="single"/>
          <w:lang w:val="en-US" w:eastAsia="fr-FR"/>
        </w:rPr>
      </w:pPr>
      <w:hyperlink r:id="rId370" w:history="1">
        <w:r w:rsidR="00122384" w:rsidRPr="00E40DF8">
          <w:rPr>
            <w:rStyle w:val="Lienhypertexte"/>
            <w:rFonts w:ascii="Times New Roman" w:eastAsia="Times New Roman" w:hAnsi="Times New Roman" w:cs="Times New Roman"/>
            <w:b/>
            <w:bCs/>
            <w:color w:val="000000" w:themeColor="text1"/>
            <w:sz w:val="24"/>
            <w:szCs w:val="24"/>
            <w:u w:val="none"/>
            <w:lang w:val="en-US" w:eastAsia="fr-FR"/>
          </w:rPr>
          <w:t>Durand</w:t>
        </w:r>
        <w:r w:rsidR="00122384" w:rsidRPr="00122384">
          <w:rPr>
            <w:rStyle w:val="Lienhypertexte"/>
            <w:rFonts w:ascii="Times New Roman" w:eastAsia="Times New Roman" w:hAnsi="Times New Roman" w:cs="Times New Roman"/>
            <w:b/>
            <w:bCs/>
            <w:color w:val="000000" w:themeColor="text1"/>
            <w:sz w:val="24"/>
            <w:szCs w:val="24"/>
            <w:u w:val="none"/>
            <w:lang w:val="en-US" w:eastAsia="fr-FR"/>
          </w:rPr>
          <w:t>, CP., Andalib, M., Dunton, GF., Wolch, J.&amp; Pentz, MA., (2011):</w:t>
        </w:r>
        <w:r w:rsidR="00122384" w:rsidRPr="00122384">
          <w:rPr>
            <w:rStyle w:val="Lienhypertexte"/>
            <w:rFonts w:ascii="Times New Roman" w:eastAsia="Times New Roman" w:hAnsi="Times New Roman" w:cs="Times New Roman"/>
            <w:color w:val="000000" w:themeColor="text1"/>
            <w:sz w:val="24"/>
            <w:szCs w:val="24"/>
            <w:u w:val="none"/>
            <w:lang w:val="en-US" w:eastAsia="fr-FR"/>
          </w:rPr>
          <w:t xml:space="preserve"> “A systematic review of built environment factors related to physical activity and obesity risk: implications for smart growth urban planning”, </w:t>
        </w:r>
        <w:r w:rsidR="00122384" w:rsidRPr="00122384">
          <w:rPr>
            <w:rStyle w:val="Lienhypertexte"/>
            <w:rFonts w:ascii="Times New Roman" w:eastAsia="Times New Roman" w:hAnsi="Times New Roman" w:cs="Times New Roman"/>
            <w:i/>
            <w:iCs/>
            <w:color w:val="000000" w:themeColor="text1"/>
            <w:sz w:val="24"/>
            <w:szCs w:val="24"/>
            <w:u w:val="none"/>
            <w:lang w:val="en-US" w:eastAsia="fr-FR"/>
          </w:rPr>
          <w:t>Obesity Rev</w:t>
        </w:r>
        <w:r w:rsidR="00122384" w:rsidRPr="00122384">
          <w:rPr>
            <w:rStyle w:val="Lienhypertexte"/>
            <w:rFonts w:ascii="Times New Roman" w:eastAsia="Times New Roman" w:hAnsi="Times New Roman" w:cs="Times New Roman"/>
            <w:color w:val="000000" w:themeColor="text1"/>
            <w:sz w:val="24"/>
            <w:szCs w:val="24"/>
            <w:u w:val="none"/>
            <w:lang w:val="en-US" w:eastAsia="fr-FR"/>
          </w:rPr>
          <w:t>, vol. 12, n° 5, p</w:t>
        </w:r>
        <w:r w:rsidR="00B26A4B">
          <w:rPr>
            <w:rStyle w:val="Lienhypertexte"/>
            <w:rFonts w:ascii="Times New Roman" w:eastAsia="Times New Roman" w:hAnsi="Times New Roman" w:cs="Times New Roman"/>
            <w:color w:val="000000" w:themeColor="text1"/>
            <w:sz w:val="24"/>
            <w:szCs w:val="24"/>
            <w:u w:val="none"/>
            <w:lang w:val="en-US" w:eastAsia="fr-FR"/>
          </w:rPr>
          <w:t>p</w:t>
        </w:r>
        <w:r w:rsidR="00122384" w:rsidRPr="00122384">
          <w:rPr>
            <w:rStyle w:val="Lienhypertexte"/>
            <w:rFonts w:ascii="Times New Roman" w:eastAsia="Times New Roman" w:hAnsi="Times New Roman" w:cs="Times New Roman"/>
            <w:color w:val="000000" w:themeColor="text1"/>
            <w:sz w:val="24"/>
            <w:szCs w:val="24"/>
            <w:u w:val="none"/>
            <w:lang w:val="en-US" w:eastAsia="fr-FR"/>
          </w:rPr>
          <w:t>. e173- e182.</w:t>
        </w:r>
        <w:r w:rsidR="00122384" w:rsidRPr="00122384">
          <w:rPr>
            <w:rStyle w:val="Lienhypertexte"/>
            <w:rFonts w:ascii="Times New Roman" w:eastAsia="Times New Roman" w:hAnsi="Times New Roman" w:cs="Times New Roman"/>
            <w:sz w:val="24"/>
            <w:szCs w:val="24"/>
            <w:lang w:val="en-US" w:eastAsia="fr-FR"/>
          </w:rPr>
          <w:t xml:space="preserve"> https://doi.org/10.1111 /j.1467789X. </w:t>
        </w:r>
      </w:hyperlink>
    </w:p>
    <w:p w:rsidR="00E724B9" w:rsidRDefault="00E724B9" w:rsidP="00AE6E2D">
      <w:pPr>
        <w:autoSpaceDE w:val="0"/>
        <w:autoSpaceDN w:val="0"/>
        <w:adjustRightInd w:val="0"/>
        <w:spacing w:line="240" w:lineRule="auto"/>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 xml:space="preserve">Emrich, C.T., </w:t>
      </w:r>
      <w:r w:rsidR="007A091D" w:rsidRPr="00E40DF8">
        <w:rPr>
          <w:rFonts w:ascii="Times New Roman" w:eastAsia="Times New Roman" w:hAnsi="Times New Roman" w:cs="Times New Roman"/>
          <w:b/>
          <w:bCs/>
          <w:color w:val="000000"/>
          <w:sz w:val="24"/>
          <w:szCs w:val="24"/>
          <w:lang w:val="en-US" w:eastAsia="fr-FR"/>
        </w:rPr>
        <w:t>&amp;</w:t>
      </w:r>
      <w:r w:rsidRPr="00E40DF8">
        <w:rPr>
          <w:rFonts w:ascii="Times New Roman" w:eastAsia="Times New Roman" w:hAnsi="Times New Roman" w:cs="Times New Roman"/>
          <w:b/>
          <w:bCs/>
          <w:color w:val="000000"/>
          <w:sz w:val="24"/>
          <w:szCs w:val="24"/>
          <w:lang w:val="en-US" w:eastAsia="fr-FR"/>
        </w:rPr>
        <w:t xml:space="preserve"> Tobin</w:t>
      </w:r>
      <w:r w:rsidRPr="007A091D">
        <w:rPr>
          <w:rFonts w:ascii="Times New Roman" w:eastAsia="Times New Roman" w:hAnsi="Times New Roman" w:cs="Times New Roman"/>
          <w:b/>
          <w:bCs/>
          <w:color w:val="000000"/>
          <w:sz w:val="24"/>
          <w:szCs w:val="24"/>
          <w:lang w:val="en-US" w:eastAsia="fr-FR"/>
        </w:rPr>
        <w:t xml:space="preserve"> G.A.</w:t>
      </w:r>
      <w:r w:rsidR="007A091D" w:rsidRPr="007A091D">
        <w:rPr>
          <w:rFonts w:ascii="Times New Roman" w:eastAsia="Times New Roman" w:hAnsi="Times New Roman" w:cs="Times New Roman"/>
          <w:b/>
          <w:bCs/>
          <w:color w:val="000000"/>
          <w:sz w:val="24"/>
          <w:szCs w:val="24"/>
          <w:lang w:val="en-US" w:eastAsia="fr-FR"/>
        </w:rPr>
        <w:t>, (2018</w:t>
      </w:r>
      <w:r w:rsidR="007A091D" w:rsidRPr="00122384">
        <w:rPr>
          <w:rFonts w:ascii="Times New Roman" w:eastAsia="Times New Roman" w:hAnsi="Times New Roman" w:cs="Times New Roman"/>
          <w:b/>
          <w:bCs/>
          <w:color w:val="000000"/>
          <w:sz w:val="24"/>
          <w:szCs w:val="24"/>
          <w:lang w:val="en-US" w:eastAsia="fr-FR"/>
        </w:rPr>
        <w:t>):</w:t>
      </w:r>
      <w:r w:rsidRPr="007A091D">
        <w:rPr>
          <w:rFonts w:ascii="Times New Roman" w:eastAsia="Times New Roman" w:hAnsi="Times New Roman" w:cs="Times New Roman"/>
          <w:color w:val="000000"/>
          <w:sz w:val="24"/>
          <w:szCs w:val="24"/>
          <w:lang w:val="en-US" w:eastAsia="fr-FR"/>
        </w:rPr>
        <w:t xml:space="preserve"> </w:t>
      </w:r>
      <w:r w:rsidR="007A091D" w:rsidRPr="007A091D">
        <w:rPr>
          <w:rFonts w:ascii="Times New Roman" w:eastAsia="Times New Roman" w:hAnsi="Times New Roman" w:cs="Times New Roman"/>
          <w:color w:val="000000"/>
          <w:sz w:val="24"/>
          <w:szCs w:val="24"/>
          <w:lang w:val="en-US" w:eastAsia="fr-FR"/>
        </w:rPr>
        <w:t>“</w:t>
      </w:r>
      <w:r w:rsidRPr="007A091D">
        <w:rPr>
          <w:rFonts w:ascii="Times New Roman" w:eastAsia="Times New Roman" w:hAnsi="Times New Roman" w:cs="Times New Roman"/>
          <w:color w:val="000000"/>
          <w:sz w:val="24"/>
          <w:szCs w:val="24"/>
          <w:lang w:val="en-US" w:eastAsia="fr-FR"/>
        </w:rPr>
        <w:t>Resilience: An Introduction</w:t>
      </w:r>
      <w:r w:rsidR="007A091D" w:rsidRPr="007A091D">
        <w:rPr>
          <w:rFonts w:ascii="Times New Roman" w:eastAsia="Times New Roman" w:hAnsi="Times New Roman" w:cs="Times New Roman"/>
          <w:color w:val="000000"/>
          <w:sz w:val="24"/>
          <w:szCs w:val="24"/>
          <w:lang w:val="en-US" w:eastAsia="fr-FR"/>
        </w:rPr>
        <w:t>”,</w:t>
      </w:r>
      <w:r w:rsidRPr="007A091D">
        <w:rPr>
          <w:rFonts w:ascii="Times New Roman" w:eastAsia="Times New Roman" w:hAnsi="Times New Roman" w:cs="Times New Roman"/>
          <w:color w:val="000000"/>
          <w:sz w:val="24"/>
          <w:szCs w:val="24"/>
          <w:lang w:val="en-US" w:eastAsia="fr-FR"/>
        </w:rPr>
        <w:t xml:space="preserve"> </w:t>
      </w:r>
      <w:r w:rsidRPr="007A091D">
        <w:rPr>
          <w:rFonts w:ascii="Times New Roman" w:eastAsia="Times New Roman" w:hAnsi="Times New Roman" w:cs="Times New Roman"/>
          <w:i/>
          <w:iCs/>
          <w:color w:val="000000"/>
          <w:sz w:val="24"/>
          <w:szCs w:val="24"/>
          <w:lang w:val="en-US" w:eastAsia="fr-FR"/>
        </w:rPr>
        <w:t>In Vulnerability and resilience to natural hazards</w:t>
      </w:r>
      <w:r w:rsidRPr="007A091D">
        <w:rPr>
          <w:rFonts w:ascii="Times New Roman" w:eastAsia="Times New Roman" w:hAnsi="Times New Roman" w:cs="Times New Roman"/>
          <w:color w:val="000000"/>
          <w:sz w:val="24"/>
          <w:szCs w:val="24"/>
          <w:lang w:val="en-US" w:eastAsia="fr-FR"/>
        </w:rPr>
        <w:t>,</w:t>
      </w:r>
      <w:r w:rsidR="007A091D" w:rsidRPr="007A091D">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7A091D" w:rsidRPr="007A091D">
        <w:rPr>
          <w:rFonts w:ascii="Times New Roman" w:eastAsia="Times New Roman" w:hAnsi="Times New Roman" w:cs="Times New Roman"/>
          <w:color w:val="000000"/>
          <w:sz w:val="24"/>
          <w:szCs w:val="24"/>
          <w:lang w:val="en-US" w:eastAsia="fr-FR"/>
        </w:rPr>
        <w:t xml:space="preserve">. </w:t>
      </w:r>
      <w:r w:rsidRPr="007A091D">
        <w:rPr>
          <w:rFonts w:ascii="Times New Roman" w:eastAsia="Times New Roman" w:hAnsi="Times New Roman" w:cs="Times New Roman"/>
          <w:color w:val="000000"/>
          <w:sz w:val="24"/>
          <w:szCs w:val="24"/>
          <w:lang w:val="en-US" w:eastAsia="fr-FR"/>
        </w:rPr>
        <w:t>124</w:t>
      </w:r>
      <w:r w:rsidR="007A091D" w:rsidRPr="007A091D">
        <w:rPr>
          <w:rFonts w:ascii="Times New Roman" w:eastAsia="Times New Roman" w:hAnsi="Times New Roman" w:cs="Times New Roman"/>
          <w:color w:val="000000"/>
          <w:sz w:val="24"/>
          <w:szCs w:val="24"/>
          <w:lang w:val="en-US" w:eastAsia="fr-FR"/>
        </w:rPr>
        <w:t>-44, Cambridge University Press</w:t>
      </w:r>
      <w:r w:rsidRPr="007A091D">
        <w:rPr>
          <w:rFonts w:ascii="Times New Roman" w:eastAsia="Times New Roman" w:hAnsi="Times New Roman" w:cs="Times New Roman"/>
          <w:color w:val="000000"/>
          <w:sz w:val="24"/>
          <w:szCs w:val="24"/>
          <w:lang w:val="en-US" w:eastAsia="fr-FR"/>
        </w:rPr>
        <w:t>.</w:t>
      </w:r>
    </w:p>
    <w:p w:rsidR="00AE292F" w:rsidRDefault="00663027" w:rsidP="0088066D">
      <w:pPr>
        <w:autoSpaceDE w:val="0"/>
        <w:autoSpaceDN w:val="0"/>
        <w:adjustRightInd w:val="0"/>
        <w:spacing w:line="240" w:lineRule="auto"/>
        <w:jc w:val="both"/>
        <w:rPr>
          <w:rStyle w:val="Lienhypertexte"/>
          <w:rFonts w:ascii="Times New Roman" w:hAnsi="Times New Roman" w:cs="Times New Roman"/>
          <w:sz w:val="24"/>
          <w:szCs w:val="24"/>
          <w:lang w:val="en-US"/>
        </w:rPr>
      </w:pPr>
      <w:r w:rsidRPr="00E40DF8">
        <w:rPr>
          <w:rFonts w:ascii="Times New Roman" w:eastAsia="Times New Roman" w:hAnsi="Times New Roman" w:cs="Times New Roman"/>
          <w:b/>
          <w:bCs/>
          <w:color w:val="000000"/>
          <w:sz w:val="24"/>
          <w:szCs w:val="24"/>
          <w:lang w:val="en-US" w:eastAsia="fr-FR"/>
        </w:rPr>
        <w:t>Erdem</w:t>
      </w:r>
      <w:r w:rsidRPr="00663027">
        <w:rPr>
          <w:rFonts w:ascii="Times New Roman" w:eastAsia="Times New Roman" w:hAnsi="Times New Roman" w:cs="Times New Roman"/>
          <w:b/>
          <w:bCs/>
          <w:color w:val="000000"/>
          <w:sz w:val="24"/>
          <w:szCs w:val="24"/>
          <w:lang w:val="en-US" w:eastAsia="fr-FR"/>
        </w:rPr>
        <w:t xml:space="preserve">, U.; Cubukcu, K.M.; Sharifi, </w:t>
      </w:r>
      <w:r w:rsidRPr="008A6AD5">
        <w:rPr>
          <w:rFonts w:ascii="Times New Roman" w:eastAsia="Times New Roman" w:hAnsi="Times New Roman" w:cs="Times New Roman"/>
          <w:b/>
          <w:bCs/>
          <w:color w:val="000000"/>
          <w:sz w:val="24"/>
          <w:szCs w:val="24"/>
          <w:lang w:val="en-US" w:eastAsia="fr-FR"/>
        </w:rPr>
        <w:t>(2007</w:t>
      </w:r>
      <w:r w:rsidRPr="00122384">
        <w:rPr>
          <w:rFonts w:ascii="Times New Roman" w:eastAsia="Times New Roman" w:hAnsi="Times New Roman" w:cs="Times New Roman"/>
          <w:b/>
          <w:bCs/>
          <w:color w:val="000000"/>
          <w:sz w:val="24"/>
          <w:szCs w:val="24"/>
          <w:lang w:val="en-US" w:eastAsia="fr-FR"/>
        </w:rPr>
        <w:t>):</w:t>
      </w:r>
      <w:r w:rsidRPr="007A091D">
        <w:rPr>
          <w:rFonts w:ascii="Times New Roman" w:eastAsia="Times New Roman" w:hAnsi="Times New Roman" w:cs="Times New Roman"/>
          <w:color w:val="000000"/>
          <w:sz w:val="24"/>
          <w:szCs w:val="24"/>
          <w:lang w:val="en-US" w:eastAsia="fr-FR"/>
        </w:rPr>
        <w:t xml:space="preserve"> “</w:t>
      </w:r>
      <w:r w:rsidRPr="00663027">
        <w:rPr>
          <w:rFonts w:ascii="Times New Roman" w:eastAsia="Times New Roman" w:hAnsi="Times New Roman" w:cs="Times New Roman"/>
          <w:color w:val="000000"/>
          <w:sz w:val="24"/>
          <w:szCs w:val="24"/>
          <w:lang w:val="en-US" w:eastAsia="fr-FR"/>
        </w:rPr>
        <w:t xml:space="preserve"> A. An analysis of urban form factors driving Urban Heat Island: The case of Izmir</w:t>
      </w:r>
      <w:r>
        <w:rPr>
          <w:rFonts w:ascii="Times New Roman" w:eastAsia="Times New Roman" w:hAnsi="Times New Roman" w:cs="Times New Roman"/>
          <w:color w:val="000000"/>
          <w:sz w:val="24"/>
          <w:szCs w:val="24"/>
          <w:lang w:val="en-US" w:eastAsia="fr-FR"/>
        </w:rPr>
        <w:t>”,</w:t>
      </w:r>
      <w:r w:rsidRPr="00663027">
        <w:rPr>
          <w:lang w:val="en-US"/>
        </w:rPr>
        <w:t xml:space="preserve"> </w:t>
      </w:r>
      <w:r w:rsidRPr="00663027">
        <w:rPr>
          <w:rFonts w:ascii="Times New Roman" w:eastAsia="Times New Roman" w:hAnsi="Times New Roman" w:cs="Times New Roman"/>
          <w:i/>
          <w:iCs/>
          <w:color w:val="000000"/>
          <w:sz w:val="24"/>
          <w:szCs w:val="24"/>
          <w:lang w:val="en-US" w:eastAsia="fr-FR"/>
        </w:rPr>
        <w:t>Environ. Dev. Sustain</w:t>
      </w:r>
      <w:r>
        <w:rPr>
          <w:rFonts w:ascii="Times New Roman" w:eastAsia="Times New Roman" w:hAnsi="Times New Roman" w:cs="Times New Roman"/>
          <w:color w:val="000000"/>
          <w:sz w:val="24"/>
          <w:szCs w:val="24"/>
          <w:lang w:val="en-US" w:eastAsia="fr-FR"/>
        </w:rPr>
        <w:t>,</w:t>
      </w:r>
      <w:r w:rsidRPr="00663027">
        <w:rPr>
          <w:rFonts w:ascii="Times New Roman" w:eastAsia="Times New Roman" w:hAnsi="Times New Roman" w:cs="Times New Roman"/>
          <w:color w:val="000000"/>
          <w:sz w:val="24"/>
          <w:szCs w:val="24"/>
          <w:lang w:val="en-US" w:eastAsia="fr-FR"/>
        </w:rPr>
        <w:t xml:space="preserve"> vol. 23, p</w:t>
      </w:r>
      <w:r w:rsidR="00B26A4B">
        <w:rPr>
          <w:rFonts w:ascii="Times New Roman" w:eastAsia="Times New Roman" w:hAnsi="Times New Roman" w:cs="Times New Roman"/>
          <w:color w:val="000000"/>
          <w:sz w:val="24"/>
          <w:szCs w:val="24"/>
          <w:lang w:val="en-US" w:eastAsia="fr-FR"/>
        </w:rPr>
        <w:t>p</w:t>
      </w:r>
      <w:r w:rsidRPr="00663027">
        <w:rPr>
          <w:rFonts w:ascii="Times New Roman" w:eastAsia="Times New Roman" w:hAnsi="Times New Roman" w:cs="Times New Roman"/>
          <w:color w:val="000000"/>
          <w:sz w:val="24"/>
          <w:szCs w:val="24"/>
          <w:lang w:val="en-US" w:eastAsia="fr-FR"/>
        </w:rPr>
        <w:t>.  7835–7859</w:t>
      </w:r>
      <w:r w:rsidRPr="00D04B96">
        <w:rPr>
          <w:lang w:val="en-US"/>
        </w:rPr>
        <w:t xml:space="preserve"> </w:t>
      </w:r>
      <w:hyperlink r:id="rId371" w:history="1">
        <w:r w:rsidR="00AE292F" w:rsidRPr="00D04B96">
          <w:rPr>
            <w:rStyle w:val="Lienhypertexte"/>
            <w:rFonts w:ascii="Times New Roman" w:hAnsi="Times New Roman" w:cs="Times New Roman"/>
            <w:sz w:val="24"/>
            <w:szCs w:val="24"/>
            <w:lang w:val="en-US"/>
          </w:rPr>
          <w:t>https://doi.org/10.1007/s10668-020-00950-4</w:t>
        </w:r>
      </w:hyperlink>
    </w:p>
    <w:p w:rsidR="00D052D7" w:rsidRPr="00A62D43" w:rsidRDefault="00D052D7" w:rsidP="0088066D">
      <w:pPr>
        <w:autoSpaceDE w:val="0"/>
        <w:autoSpaceDN w:val="0"/>
        <w:adjustRightInd w:val="0"/>
        <w:spacing w:line="240" w:lineRule="auto"/>
        <w:jc w:val="both"/>
        <w:rPr>
          <w:rFonts w:asciiTheme="majorBidi" w:hAnsiTheme="majorBidi" w:cstheme="majorBidi"/>
          <w:color w:val="525254"/>
          <w:sz w:val="24"/>
          <w:szCs w:val="24"/>
          <w:lang w:val="en-US"/>
        </w:rPr>
      </w:pPr>
      <w:r w:rsidRPr="0088066D">
        <w:rPr>
          <w:rFonts w:asciiTheme="majorBidi" w:eastAsia="Times New Roman" w:hAnsiTheme="majorBidi" w:cstheme="majorBidi"/>
          <w:b/>
          <w:bCs/>
          <w:color w:val="000000"/>
          <w:sz w:val="24"/>
          <w:szCs w:val="24"/>
          <w:lang w:val="en-US" w:eastAsia="fr-FR"/>
        </w:rPr>
        <w:t>Escarameia, M., &amp; Stone K., (2013):</w:t>
      </w:r>
      <w:r w:rsidRPr="0088066D">
        <w:rPr>
          <w:rFonts w:asciiTheme="majorBidi" w:hAnsiTheme="majorBidi" w:cstheme="majorBidi"/>
          <w:sz w:val="24"/>
          <w:szCs w:val="24"/>
          <w:lang w:val="en-US"/>
        </w:rPr>
        <w:t xml:space="preserve"> </w:t>
      </w:r>
      <w:r w:rsidR="0088066D" w:rsidRPr="0088066D">
        <w:rPr>
          <w:rFonts w:asciiTheme="majorBidi" w:hAnsiTheme="majorBidi" w:cstheme="majorBidi"/>
          <w:sz w:val="24"/>
          <w:szCs w:val="24"/>
          <w:lang w:val="en-US"/>
        </w:rPr>
        <w:t>“</w:t>
      </w:r>
      <w:r w:rsidRPr="0088066D">
        <w:rPr>
          <w:rFonts w:asciiTheme="majorBidi" w:hAnsiTheme="majorBidi" w:cstheme="majorBidi"/>
          <w:sz w:val="24"/>
          <w:szCs w:val="24"/>
          <w:lang w:val="en-US"/>
        </w:rPr>
        <w:t>Technologies for Flood Protection of the Built Environment – Guidance based on</w:t>
      </w:r>
      <w:r w:rsidR="00A62D43" w:rsidRPr="0088066D">
        <w:rPr>
          <w:rFonts w:asciiTheme="majorBidi" w:hAnsiTheme="majorBidi" w:cstheme="majorBidi"/>
          <w:sz w:val="24"/>
          <w:szCs w:val="24"/>
          <w:lang w:val="en-US"/>
        </w:rPr>
        <w:t xml:space="preserve"> </w:t>
      </w:r>
      <w:r w:rsidRPr="0088066D">
        <w:rPr>
          <w:rFonts w:asciiTheme="majorBidi" w:hAnsiTheme="majorBidi" w:cstheme="majorBidi"/>
          <w:sz w:val="24"/>
          <w:szCs w:val="24"/>
          <w:lang w:val="en-US"/>
        </w:rPr>
        <w:t>findings fr</w:t>
      </w:r>
      <w:r w:rsidR="0088066D" w:rsidRPr="0088066D">
        <w:rPr>
          <w:rFonts w:asciiTheme="majorBidi" w:hAnsiTheme="majorBidi" w:cstheme="majorBidi"/>
          <w:sz w:val="24"/>
          <w:szCs w:val="24"/>
          <w:lang w:val="en-US"/>
        </w:rPr>
        <w:t>om EU-funded project FloodProBE”</w:t>
      </w:r>
      <w:r w:rsidR="0088066D">
        <w:rPr>
          <w:rFonts w:asciiTheme="majorBidi" w:hAnsiTheme="majorBidi" w:cstheme="majorBidi"/>
          <w:sz w:val="24"/>
          <w:szCs w:val="24"/>
          <w:lang w:val="en-US"/>
        </w:rPr>
        <w:t>,</w:t>
      </w:r>
      <w:r w:rsidR="0088066D" w:rsidRPr="0088066D">
        <w:rPr>
          <w:lang w:val="en-US"/>
        </w:rPr>
        <w:t xml:space="preserve"> </w:t>
      </w:r>
      <w:r w:rsidR="0088066D" w:rsidRPr="0088066D">
        <w:rPr>
          <w:rFonts w:asciiTheme="majorBidi" w:hAnsiTheme="majorBidi" w:cstheme="majorBidi"/>
          <w:sz w:val="24"/>
          <w:szCs w:val="24"/>
          <w:lang w:val="en-US"/>
        </w:rPr>
        <w:t>Available at: http://www</w:t>
      </w:r>
      <w:r w:rsidR="0088066D" w:rsidRPr="0088066D">
        <w:rPr>
          <w:lang w:val="en-US"/>
        </w:rPr>
        <w:t xml:space="preserve"> </w:t>
      </w:r>
      <w:r w:rsidR="0088066D" w:rsidRPr="0088066D">
        <w:rPr>
          <w:rFonts w:asciiTheme="majorBidi" w:hAnsiTheme="majorBidi" w:cstheme="majorBidi"/>
          <w:sz w:val="24"/>
          <w:szCs w:val="24"/>
          <w:lang w:val="en-US"/>
        </w:rPr>
        <w:t>http://www.floodprobe.eu/partner/assets/documents/floodprobe-guidance_18-09-2013_draft_for_aix_wrkshp.pdf (Accessed 31 01 2023)</w:t>
      </w:r>
      <w:r w:rsidRPr="0088066D">
        <w:rPr>
          <w:rFonts w:asciiTheme="majorBidi" w:hAnsiTheme="majorBidi" w:cstheme="majorBidi"/>
          <w:sz w:val="24"/>
          <w:szCs w:val="24"/>
          <w:lang w:val="en-US"/>
        </w:rPr>
        <w:t>.</w:t>
      </w:r>
    </w:p>
    <w:p w:rsidR="00E724B9" w:rsidRDefault="00B62F86" w:rsidP="00AE6E2D">
      <w:pPr>
        <w:autoSpaceDE w:val="0"/>
        <w:autoSpaceDN w:val="0"/>
        <w:adjustRightInd w:val="0"/>
        <w:spacing w:line="240" w:lineRule="auto"/>
        <w:jc w:val="both"/>
        <w:rPr>
          <w:rFonts w:asciiTheme="majorBidi" w:eastAsia="CharisSIL" w:hAnsiTheme="majorBidi" w:cstheme="majorBidi"/>
          <w:sz w:val="24"/>
          <w:szCs w:val="24"/>
          <w:lang w:val="en-US"/>
        </w:rPr>
      </w:pPr>
      <w:hyperlink r:id="rId372" w:history="1">
        <w:r w:rsidR="00E724B9" w:rsidRPr="00D052D7">
          <w:rPr>
            <w:rFonts w:ascii="Times New Roman" w:eastAsia="Times New Roman" w:hAnsi="Times New Roman" w:cs="Times New Roman"/>
            <w:b/>
            <w:bCs/>
            <w:color w:val="000000"/>
            <w:sz w:val="24"/>
            <w:szCs w:val="24"/>
            <w:lang w:eastAsia="fr-FR"/>
          </w:rPr>
          <w:t>Escaramei</w:t>
        </w:r>
        <w:r w:rsidR="00F239DE" w:rsidRPr="00D052D7">
          <w:rPr>
            <w:rFonts w:ascii="Times New Roman" w:eastAsia="Times New Roman" w:hAnsi="Times New Roman" w:cs="Times New Roman"/>
            <w:b/>
            <w:bCs/>
            <w:color w:val="000000"/>
            <w:sz w:val="24"/>
            <w:szCs w:val="24"/>
            <w:lang w:eastAsia="fr-FR"/>
          </w:rPr>
          <w:t>a, M., Walliman, N.,  Zevenbergen,</w:t>
        </w:r>
        <w:r w:rsidR="00E724B9" w:rsidRPr="00D052D7">
          <w:rPr>
            <w:rFonts w:ascii="Times New Roman" w:eastAsia="Times New Roman" w:hAnsi="Times New Roman" w:cs="Times New Roman"/>
            <w:b/>
            <w:bCs/>
            <w:color w:val="000000"/>
            <w:sz w:val="24"/>
            <w:szCs w:val="24"/>
            <w:lang w:eastAsia="fr-FR"/>
          </w:rPr>
          <w:t xml:space="preserve"> C</w:t>
        </w:r>
        <w:r w:rsidR="00F239DE" w:rsidRPr="00D052D7">
          <w:rPr>
            <w:rFonts w:ascii="Times New Roman" w:eastAsia="Times New Roman" w:hAnsi="Times New Roman" w:cs="Times New Roman"/>
            <w:b/>
            <w:bCs/>
            <w:color w:val="000000"/>
            <w:sz w:val="24"/>
            <w:szCs w:val="24"/>
            <w:lang w:eastAsia="fr-FR"/>
          </w:rPr>
          <w:t>.</w:t>
        </w:r>
        <w:r w:rsidR="00E724B9" w:rsidRPr="00D052D7">
          <w:rPr>
            <w:rFonts w:ascii="Times New Roman" w:eastAsia="Times New Roman" w:hAnsi="Times New Roman" w:cs="Times New Roman"/>
            <w:b/>
            <w:bCs/>
            <w:color w:val="000000"/>
            <w:sz w:val="24"/>
            <w:szCs w:val="24"/>
            <w:lang w:eastAsia="fr-FR"/>
          </w:rPr>
          <w:t xml:space="preserve"> </w:t>
        </w:r>
        <w:r w:rsidR="00F239DE" w:rsidRPr="00D052D7">
          <w:rPr>
            <w:rFonts w:ascii="Times New Roman" w:eastAsia="Times New Roman" w:hAnsi="Times New Roman" w:cs="Times New Roman"/>
            <w:b/>
            <w:bCs/>
            <w:color w:val="000000"/>
            <w:sz w:val="24"/>
            <w:szCs w:val="24"/>
            <w:lang w:eastAsia="fr-FR"/>
          </w:rPr>
          <w:t>&amp;</w:t>
        </w:r>
        <w:r w:rsidR="00E724B9" w:rsidRPr="00D052D7">
          <w:rPr>
            <w:rFonts w:ascii="Times New Roman" w:eastAsia="Times New Roman" w:hAnsi="Times New Roman" w:cs="Times New Roman"/>
            <w:b/>
            <w:bCs/>
            <w:color w:val="000000"/>
            <w:sz w:val="24"/>
            <w:szCs w:val="24"/>
            <w:lang w:eastAsia="fr-FR"/>
          </w:rPr>
          <w:t xml:space="preserve"> de Graaf. </w:t>
        </w:r>
        <w:r w:rsidR="00E724B9" w:rsidRPr="00F239DE">
          <w:rPr>
            <w:rFonts w:ascii="Times New Roman" w:eastAsia="Times New Roman" w:hAnsi="Times New Roman" w:cs="Times New Roman"/>
            <w:b/>
            <w:bCs/>
            <w:color w:val="000000"/>
            <w:sz w:val="24"/>
            <w:szCs w:val="24"/>
            <w:lang w:val="en-US" w:eastAsia="fr-FR"/>
          </w:rPr>
          <w:t>R., (2016):</w:t>
        </w:r>
        <w:r w:rsidR="00F239DE">
          <w:rPr>
            <w:rFonts w:ascii="Times New Roman" w:eastAsia="Times New Roman" w:hAnsi="Times New Roman" w:cs="Times New Roman"/>
            <w:color w:val="000000"/>
            <w:sz w:val="24"/>
            <w:szCs w:val="24"/>
            <w:lang w:val="en-US" w:eastAsia="fr-FR"/>
          </w:rPr>
          <w:t xml:space="preserve"> “</w:t>
        </w:r>
        <w:r w:rsidR="00E724B9" w:rsidRPr="004957C7">
          <w:rPr>
            <w:rFonts w:ascii="Times New Roman" w:eastAsia="Times New Roman" w:hAnsi="Times New Roman" w:cs="Times New Roman"/>
            <w:color w:val="000000"/>
            <w:sz w:val="24"/>
            <w:szCs w:val="24"/>
            <w:lang w:val="en-US" w:eastAsia="fr-FR"/>
          </w:rPr>
          <w:t>Methods of assessing flood resilience of critical buildings Proceedings of the Institution of Civil Engineers</w:t>
        </w:r>
        <w:r w:rsidR="00F239DE">
          <w:rPr>
            <w:rFonts w:ascii="Times New Roman" w:eastAsia="Times New Roman" w:hAnsi="Times New Roman" w:cs="Times New Roman"/>
            <w:color w:val="000000"/>
            <w:sz w:val="24"/>
            <w:szCs w:val="24"/>
            <w:lang w:val="en-US" w:eastAsia="fr-FR"/>
          </w:rPr>
          <w:t>”,</w:t>
        </w:r>
        <w:r w:rsidR="00E724B9" w:rsidRPr="004957C7">
          <w:rPr>
            <w:rFonts w:ascii="Times New Roman" w:eastAsia="Times New Roman" w:hAnsi="Times New Roman" w:cs="Times New Roman"/>
            <w:color w:val="000000"/>
            <w:sz w:val="24"/>
            <w:szCs w:val="24"/>
            <w:lang w:val="en-US" w:eastAsia="fr-FR"/>
          </w:rPr>
          <w:t xml:space="preserve"> </w:t>
        </w:r>
        <w:r w:rsidR="00E724B9" w:rsidRPr="00F239DE">
          <w:rPr>
            <w:rFonts w:ascii="Times New Roman" w:eastAsia="Times New Roman" w:hAnsi="Times New Roman" w:cs="Times New Roman"/>
            <w:i/>
            <w:iCs/>
            <w:color w:val="000000"/>
            <w:sz w:val="24"/>
            <w:szCs w:val="24"/>
            <w:lang w:val="en-US" w:eastAsia="fr-FR"/>
          </w:rPr>
          <w:t>Water Management</w:t>
        </w:r>
        <w:r w:rsidR="00F239DE">
          <w:rPr>
            <w:rFonts w:ascii="Times New Roman" w:eastAsia="Times New Roman" w:hAnsi="Times New Roman" w:cs="Times New Roman"/>
            <w:color w:val="000000"/>
            <w:sz w:val="24"/>
            <w:szCs w:val="24"/>
            <w:lang w:val="en-US" w:eastAsia="fr-FR"/>
          </w:rPr>
          <w:t>,</w:t>
        </w:r>
        <w:r w:rsidR="00E724B9" w:rsidRPr="004957C7">
          <w:rPr>
            <w:rFonts w:ascii="Times New Roman" w:eastAsia="Times New Roman" w:hAnsi="Times New Roman" w:cs="Times New Roman"/>
            <w:color w:val="000000"/>
            <w:sz w:val="24"/>
            <w:szCs w:val="24"/>
            <w:lang w:val="en-US" w:eastAsia="fr-FR"/>
          </w:rPr>
          <w:t> </w:t>
        </w:r>
        <w:r w:rsidR="00F239DE">
          <w:rPr>
            <w:rFonts w:ascii="Times New Roman" w:eastAsia="Times New Roman" w:hAnsi="Times New Roman" w:cs="Times New Roman"/>
            <w:color w:val="000000"/>
            <w:sz w:val="24"/>
            <w:szCs w:val="24"/>
            <w:lang w:val="en-US" w:eastAsia="fr-FR"/>
          </w:rPr>
          <w:t>vol.</w:t>
        </w:r>
        <w:r w:rsidR="00E724B9" w:rsidRPr="004957C7">
          <w:rPr>
            <w:rFonts w:ascii="Times New Roman" w:eastAsia="Times New Roman" w:hAnsi="Times New Roman" w:cs="Times New Roman"/>
            <w:color w:val="000000"/>
            <w:sz w:val="24"/>
            <w:szCs w:val="24"/>
            <w:lang w:val="en-US" w:eastAsia="fr-FR"/>
          </w:rPr>
          <w:t xml:space="preserve"> 169, </w:t>
        </w:r>
        <w:r w:rsidR="00F239DE">
          <w:rPr>
            <w:rFonts w:ascii="Times New Roman" w:eastAsia="Times New Roman" w:hAnsi="Times New Roman" w:cs="Times New Roman"/>
            <w:color w:val="000000"/>
            <w:sz w:val="24"/>
            <w:szCs w:val="24"/>
            <w:lang w:val="en-US" w:eastAsia="fr-FR"/>
          </w:rPr>
          <w:t>n°</w:t>
        </w:r>
        <w:r w:rsidR="00E724B9" w:rsidRPr="004957C7">
          <w:rPr>
            <w:rFonts w:ascii="Times New Roman" w:eastAsia="Times New Roman" w:hAnsi="Times New Roman" w:cs="Times New Roman"/>
            <w:color w:val="000000"/>
            <w:sz w:val="24"/>
            <w:szCs w:val="24"/>
            <w:lang w:val="en-US" w:eastAsia="fr-FR"/>
          </w:rPr>
          <w:t xml:space="preserve"> 2, </w:t>
        </w:r>
        <w:r w:rsidR="00B26A4B">
          <w:rPr>
            <w:rFonts w:ascii="Times New Roman" w:eastAsia="Times New Roman" w:hAnsi="Times New Roman" w:cs="Times New Roman"/>
            <w:color w:val="000000"/>
            <w:sz w:val="24"/>
            <w:szCs w:val="24"/>
            <w:lang w:val="en-US" w:eastAsia="fr-FR"/>
          </w:rPr>
          <w:t>p</w:t>
        </w:r>
        <w:r w:rsidR="00E724B9" w:rsidRPr="004957C7">
          <w:rPr>
            <w:rFonts w:ascii="Times New Roman" w:eastAsia="Times New Roman" w:hAnsi="Times New Roman" w:cs="Times New Roman"/>
            <w:color w:val="000000"/>
            <w:sz w:val="24"/>
            <w:szCs w:val="24"/>
            <w:lang w:val="en-US" w:eastAsia="fr-FR"/>
          </w:rPr>
          <w:t>p. 57-64</w:t>
        </w:r>
      </w:hyperlink>
    </w:p>
    <w:p w:rsidR="00E724B9" w:rsidRDefault="00E724B9" w:rsidP="00AE6E2D">
      <w:pPr>
        <w:autoSpaceDE w:val="0"/>
        <w:autoSpaceDN w:val="0"/>
        <w:adjustRightInd w:val="0"/>
        <w:spacing w:line="240" w:lineRule="auto"/>
        <w:jc w:val="both"/>
        <w:rPr>
          <w:rFonts w:asciiTheme="majorBidi" w:eastAsia="CharisSIL" w:hAnsiTheme="majorBidi" w:cstheme="majorBidi"/>
          <w:sz w:val="24"/>
          <w:szCs w:val="24"/>
          <w:lang w:val="en-US"/>
        </w:rPr>
      </w:pPr>
      <w:r w:rsidRPr="00E40DF8">
        <w:rPr>
          <w:rFonts w:ascii="Times New Roman" w:eastAsia="Times New Roman" w:hAnsi="Times New Roman" w:cs="Times New Roman"/>
          <w:b/>
          <w:bCs/>
          <w:color w:val="000000"/>
          <w:sz w:val="24"/>
          <w:szCs w:val="24"/>
          <w:lang w:val="en-US" w:eastAsia="fr-FR"/>
        </w:rPr>
        <w:t>ESRI, (2001):</w:t>
      </w:r>
      <w:r w:rsidRPr="004957C7">
        <w:rPr>
          <w:rFonts w:ascii="Times New Roman" w:eastAsia="Times New Roman" w:hAnsi="Times New Roman" w:cs="Times New Roman"/>
          <w:b/>
          <w:bCs/>
          <w:color w:val="000000"/>
          <w:sz w:val="24"/>
          <w:szCs w:val="24"/>
          <w:lang w:val="en-US" w:eastAsia="fr-FR"/>
        </w:rPr>
        <w:t xml:space="preserve"> </w:t>
      </w:r>
      <w:r w:rsidRPr="004957C7">
        <w:rPr>
          <w:rFonts w:ascii="Times New Roman" w:eastAsia="Times New Roman" w:hAnsi="Times New Roman" w:cs="Times New Roman"/>
          <w:color w:val="000000"/>
          <w:sz w:val="24"/>
          <w:szCs w:val="24"/>
          <w:lang w:val="en-US" w:eastAsia="fr-FR"/>
        </w:rPr>
        <w:t>"ArcGIS 9, what is ArcGIS, United States of America", 124p.</w:t>
      </w:r>
    </w:p>
    <w:p w:rsidR="00E724B9" w:rsidRDefault="00E724B9" w:rsidP="00AE6E2D">
      <w:pPr>
        <w:autoSpaceDE w:val="0"/>
        <w:autoSpaceDN w:val="0"/>
        <w:adjustRightInd w:val="0"/>
        <w:spacing w:line="240" w:lineRule="auto"/>
        <w:jc w:val="both"/>
        <w:rPr>
          <w:rFonts w:asciiTheme="majorBidi" w:eastAsia="CharisSIL" w:hAnsiTheme="majorBidi" w:cstheme="majorBidi"/>
          <w:sz w:val="24"/>
          <w:szCs w:val="24"/>
          <w:lang w:val="en-US"/>
        </w:rPr>
      </w:pPr>
      <w:r w:rsidRPr="00E40DF8">
        <w:rPr>
          <w:rFonts w:ascii="Times New Roman" w:eastAsia="Times New Roman" w:hAnsi="Times New Roman" w:cs="Times New Roman"/>
          <w:b/>
          <w:bCs/>
          <w:color w:val="000000"/>
          <w:sz w:val="24"/>
          <w:szCs w:val="24"/>
          <w:lang w:val="en-US" w:eastAsia="fr-FR"/>
        </w:rPr>
        <w:lastRenderedPageBreak/>
        <w:t>Faturechi</w:t>
      </w:r>
      <w:r w:rsidRPr="007A091D">
        <w:rPr>
          <w:rFonts w:ascii="Times New Roman" w:eastAsia="Times New Roman" w:hAnsi="Times New Roman" w:cs="Times New Roman"/>
          <w:b/>
          <w:bCs/>
          <w:color w:val="000000"/>
          <w:sz w:val="24"/>
          <w:szCs w:val="24"/>
          <w:lang w:val="en-US" w:eastAsia="fr-FR"/>
        </w:rPr>
        <w:t>, R., &amp; Miller-Hooks, E., (2015)</w:t>
      </w:r>
      <w:r w:rsidR="007A091D" w:rsidRPr="007A091D">
        <w:rPr>
          <w:rFonts w:ascii="Times New Roman" w:eastAsia="Times New Roman" w:hAnsi="Times New Roman" w:cs="Times New Roman"/>
          <w:b/>
          <w:bCs/>
          <w:color w:val="000000"/>
          <w:sz w:val="24"/>
          <w:szCs w:val="24"/>
          <w:lang w:val="en-US" w:eastAsia="fr-FR"/>
        </w:rPr>
        <w:t> :</w:t>
      </w:r>
      <w:r w:rsidRPr="007A091D">
        <w:rPr>
          <w:rFonts w:ascii="Times New Roman" w:eastAsia="Times New Roman" w:hAnsi="Times New Roman" w:cs="Times New Roman"/>
          <w:color w:val="000000"/>
          <w:sz w:val="24"/>
          <w:szCs w:val="24"/>
          <w:lang w:val="en-US" w:eastAsia="fr-FR"/>
        </w:rPr>
        <w:t xml:space="preserve"> </w:t>
      </w:r>
      <w:r w:rsidR="007A091D">
        <w:rPr>
          <w:rFonts w:ascii="Times New Roman" w:eastAsia="Times New Roman" w:hAnsi="Times New Roman" w:cs="Times New Roman"/>
          <w:color w:val="000000"/>
          <w:sz w:val="24"/>
          <w:szCs w:val="24"/>
          <w:lang w:val="en-US" w:eastAsia="fr-FR"/>
        </w:rPr>
        <w:t>“</w:t>
      </w:r>
      <w:r w:rsidRPr="007A091D">
        <w:rPr>
          <w:rFonts w:ascii="Times New Roman" w:eastAsia="Times New Roman" w:hAnsi="Times New Roman" w:cs="Times New Roman"/>
          <w:color w:val="000000"/>
          <w:sz w:val="24"/>
          <w:szCs w:val="24"/>
          <w:lang w:val="en-US" w:eastAsia="fr-FR"/>
        </w:rPr>
        <w:t>Measuring the performance of transportation infrastructure systems in disasters: A comprehensive review</w:t>
      </w:r>
      <w:r w:rsidR="007A091D">
        <w:rPr>
          <w:rFonts w:ascii="Times New Roman" w:eastAsia="Times New Roman" w:hAnsi="Times New Roman" w:cs="Times New Roman"/>
          <w:color w:val="000000"/>
          <w:sz w:val="24"/>
          <w:szCs w:val="24"/>
          <w:lang w:val="en-US" w:eastAsia="fr-FR"/>
        </w:rPr>
        <w:t>”,</w:t>
      </w:r>
      <w:r w:rsidRPr="007A091D">
        <w:rPr>
          <w:rFonts w:ascii="Times New Roman" w:eastAsia="Times New Roman" w:hAnsi="Times New Roman" w:cs="Times New Roman"/>
          <w:color w:val="000000"/>
          <w:sz w:val="24"/>
          <w:szCs w:val="24"/>
          <w:lang w:val="en-US" w:eastAsia="fr-FR"/>
        </w:rPr>
        <w:t xml:space="preserve"> </w:t>
      </w:r>
      <w:r w:rsidRPr="007A091D">
        <w:rPr>
          <w:rFonts w:ascii="Times New Roman" w:eastAsia="Times New Roman" w:hAnsi="Times New Roman" w:cs="Times New Roman"/>
          <w:i/>
          <w:iCs/>
          <w:color w:val="000000"/>
          <w:sz w:val="24"/>
          <w:szCs w:val="24"/>
          <w:lang w:val="en-US" w:eastAsia="fr-FR"/>
        </w:rPr>
        <w:t>Journal of infrastructure systems</w:t>
      </w:r>
      <w:r w:rsidR="007A091D">
        <w:rPr>
          <w:rFonts w:ascii="Times New Roman" w:eastAsia="Times New Roman" w:hAnsi="Times New Roman" w:cs="Times New Roman"/>
          <w:i/>
          <w:iCs/>
          <w:color w:val="000000"/>
          <w:sz w:val="24"/>
          <w:szCs w:val="24"/>
          <w:lang w:val="en-US" w:eastAsia="fr-FR"/>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D0D0D"/>
          <w:sz w:val="24"/>
          <w:szCs w:val="24"/>
          <w:lang w:val="en-US" w:eastAsia="fr-FR"/>
        </w:rPr>
      </w:pPr>
      <w:r w:rsidRPr="00E40DF8">
        <w:rPr>
          <w:rFonts w:ascii="Times New Roman" w:eastAsia="Times New Roman" w:hAnsi="Times New Roman" w:cs="Times New Roman"/>
          <w:b/>
          <w:bCs/>
          <w:color w:val="000000"/>
          <w:sz w:val="24"/>
          <w:szCs w:val="24"/>
          <w:lang w:val="en-US" w:eastAsia="fr-FR"/>
        </w:rPr>
        <w:t>Feliciotti</w:t>
      </w:r>
      <w:r w:rsidRPr="004957C7">
        <w:rPr>
          <w:rFonts w:ascii="Times New Roman" w:eastAsia="Times New Roman" w:hAnsi="Times New Roman" w:cs="Times New Roman"/>
          <w:b/>
          <w:bCs/>
          <w:color w:val="0D0D0D"/>
          <w:sz w:val="24"/>
          <w:szCs w:val="24"/>
          <w:lang w:val="en-US" w:eastAsia="fr-FR"/>
        </w:rPr>
        <w:t>, A., Romice, O. &amp; Porta, S., (2016):</w:t>
      </w:r>
      <w:r w:rsidRPr="004957C7">
        <w:rPr>
          <w:rFonts w:ascii="Times New Roman" w:eastAsia="Times New Roman" w:hAnsi="Times New Roman" w:cs="Times New Roman"/>
          <w:color w:val="0D0D0D"/>
          <w:sz w:val="24"/>
          <w:szCs w:val="24"/>
          <w:lang w:val="en-US" w:eastAsia="fr-FR"/>
        </w:rPr>
        <w:t xml:space="preserve"> "Design for Change: Five Proxies for Resilience in the Urban Form", </w:t>
      </w:r>
      <w:r w:rsidRPr="00F239DE">
        <w:rPr>
          <w:rFonts w:ascii="Times New Roman" w:eastAsia="Times New Roman" w:hAnsi="Times New Roman" w:cs="Times New Roman"/>
          <w:i/>
          <w:iCs/>
          <w:color w:val="0D0D0D"/>
          <w:sz w:val="24"/>
          <w:szCs w:val="24"/>
          <w:lang w:val="en-US" w:eastAsia="fr-FR"/>
        </w:rPr>
        <w:t>Open House International</w:t>
      </w:r>
      <w:r w:rsidRPr="004957C7">
        <w:rPr>
          <w:rFonts w:ascii="Times New Roman" w:eastAsia="Times New Roman" w:hAnsi="Times New Roman" w:cs="Times New Roman"/>
          <w:color w:val="0D0D0D"/>
          <w:sz w:val="24"/>
          <w:szCs w:val="24"/>
          <w:lang w:val="en-US" w:eastAsia="fr-FR"/>
        </w:rPr>
        <w:t>, vol. 41</w:t>
      </w:r>
      <w:r w:rsidR="00F239DE">
        <w:rPr>
          <w:rFonts w:ascii="Times New Roman" w:eastAsia="Times New Roman" w:hAnsi="Times New Roman" w:cs="Times New Roman"/>
          <w:color w:val="0D0D0D"/>
          <w:sz w:val="24"/>
          <w:szCs w:val="24"/>
          <w:lang w:val="en-US" w:eastAsia="fr-FR"/>
        </w:rPr>
        <w:t xml:space="preserve">, n° </w:t>
      </w:r>
      <w:r w:rsidRPr="004957C7">
        <w:rPr>
          <w:rFonts w:ascii="Times New Roman" w:eastAsia="Times New Roman" w:hAnsi="Times New Roman" w:cs="Times New Roman"/>
          <w:color w:val="0D0D0D"/>
          <w:sz w:val="24"/>
          <w:szCs w:val="24"/>
          <w:lang w:val="en-US" w:eastAsia="fr-FR"/>
        </w:rPr>
        <w:t>4, p</w:t>
      </w:r>
      <w:r w:rsidR="00B26A4B">
        <w:rPr>
          <w:rFonts w:ascii="Times New Roman" w:eastAsia="Times New Roman" w:hAnsi="Times New Roman" w:cs="Times New Roman"/>
          <w:color w:val="0D0D0D"/>
          <w:sz w:val="24"/>
          <w:szCs w:val="24"/>
          <w:lang w:val="en-US" w:eastAsia="fr-FR"/>
        </w:rPr>
        <w:t>p</w:t>
      </w:r>
      <w:r w:rsidRPr="004957C7">
        <w:rPr>
          <w:rFonts w:ascii="Times New Roman" w:eastAsia="Times New Roman" w:hAnsi="Times New Roman" w:cs="Times New Roman"/>
          <w:color w:val="0D0D0D"/>
          <w:sz w:val="24"/>
          <w:szCs w:val="24"/>
          <w:lang w:val="en-US" w:eastAsia="fr-FR"/>
        </w:rPr>
        <w:t>. 23–30.</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D0D0D"/>
          <w:sz w:val="24"/>
          <w:szCs w:val="24"/>
          <w:lang w:val="en-US" w:eastAsia="fr-FR"/>
        </w:rPr>
      </w:pPr>
      <w:r w:rsidRPr="00E40DF8">
        <w:rPr>
          <w:rFonts w:ascii="Times New Roman" w:eastAsia="Times New Roman" w:hAnsi="Times New Roman" w:cs="Times New Roman"/>
          <w:b/>
          <w:bCs/>
          <w:color w:val="000000"/>
          <w:sz w:val="24"/>
          <w:szCs w:val="24"/>
          <w:lang w:val="en-US" w:eastAsia="fr-FR"/>
        </w:rPr>
        <w:t>Feliciotti</w:t>
      </w:r>
      <w:r w:rsidRPr="004957C7">
        <w:rPr>
          <w:rFonts w:ascii="Times New Roman" w:eastAsia="Times New Roman" w:hAnsi="Times New Roman" w:cs="Times New Roman"/>
          <w:b/>
          <w:bCs/>
          <w:color w:val="0D0D0D"/>
          <w:sz w:val="24"/>
          <w:szCs w:val="24"/>
          <w:lang w:val="en-US" w:eastAsia="fr-FR"/>
        </w:rPr>
        <w:t>. A, (2018):</w:t>
      </w:r>
      <w:r w:rsidRPr="004957C7">
        <w:rPr>
          <w:rFonts w:ascii="Times New Roman" w:eastAsia="Times New Roman" w:hAnsi="Times New Roman" w:cs="Times New Roman"/>
          <w:color w:val="0D0D0D"/>
          <w:sz w:val="24"/>
          <w:szCs w:val="24"/>
          <w:lang w:val="en-US" w:eastAsia="fr-FR"/>
        </w:rPr>
        <w:t xml:space="preserve"> </w:t>
      </w:r>
      <w:r w:rsidRPr="004957C7">
        <w:rPr>
          <w:rFonts w:ascii="Times New Roman" w:eastAsia="Times New Roman" w:hAnsi="Times New Roman" w:cs="Times New Roman"/>
          <w:color w:val="000000"/>
          <w:sz w:val="24"/>
          <w:szCs w:val="24"/>
          <w:lang w:val="en-US" w:eastAsia="fr-FR"/>
        </w:rPr>
        <w:t xml:space="preserve">"Resilience and urban design: a systems approach to the study of resilience in urban form learning from the case of </w:t>
      </w:r>
      <w:r w:rsidRPr="007F0B55">
        <w:rPr>
          <w:rFonts w:ascii="Times New Roman" w:eastAsia="Times New Roman" w:hAnsi="Times New Roman" w:cs="Times New Roman"/>
          <w:color w:val="000000"/>
          <w:sz w:val="24"/>
          <w:szCs w:val="24"/>
          <w:lang w:val="en-US" w:eastAsia="fr-FR"/>
        </w:rPr>
        <w:t>gorbals</w:t>
      </w:r>
      <w:r w:rsidRPr="004957C7">
        <w:rPr>
          <w:rFonts w:ascii="Times New Roman" w:eastAsia="Times New Roman" w:hAnsi="Times New Roman" w:cs="Times New Roman"/>
          <w:color w:val="000000"/>
          <w:sz w:val="24"/>
          <w:szCs w:val="24"/>
          <w:lang w:val="en-US" w:eastAsia="fr-FR"/>
        </w:rPr>
        <w:t xml:space="preserve">", </w:t>
      </w:r>
      <w:r w:rsidRPr="007F0B55">
        <w:rPr>
          <w:rFonts w:ascii="Times New Roman" w:eastAsia="Times New Roman" w:hAnsi="Times New Roman" w:cs="Times New Roman"/>
          <w:color w:val="000000"/>
          <w:sz w:val="24"/>
          <w:szCs w:val="24"/>
          <w:lang w:val="en-US" w:eastAsia="fr-FR"/>
        </w:rPr>
        <w:t>thèse</w:t>
      </w:r>
      <w:r w:rsidRPr="004957C7">
        <w:rPr>
          <w:rFonts w:ascii="Times New Roman" w:eastAsia="Times New Roman" w:hAnsi="Times New Roman" w:cs="Times New Roman"/>
          <w:color w:val="000000"/>
          <w:sz w:val="24"/>
          <w:szCs w:val="24"/>
          <w:lang w:val="en-US" w:eastAsia="fr-FR"/>
        </w:rPr>
        <w:t xml:space="preserve"> de </w:t>
      </w:r>
      <w:r w:rsidRPr="007F0B55">
        <w:rPr>
          <w:rFonts w:ascii="Times New Roman" w:eastAsia="Times New Roman" w:hAnsi="Times New Roman" w:cs="Times New Roman"/>
          <w:color w:val="000000"/>
          <w:sz w:val="24"/>
          <w:szCs w:val="24"/>
          <w:lang w:val="en-US" w:eastAsia="fr-FR"/>
        </w:rPr>
        <w:t>doctorat</w:t>
      </w:r>
      <w:r w:rsidRPr="004957C7">
        <w:rPr>
          <w:rFonts w:ascii="Times New Roman" w:eastAsia="Times New Roman" w:hAnsi="Times New Roman" w:cs="Times New Roman"/>
          <w:color w:val="000000"/>
          <w:sz w:val="24"/>
          <w:szCs w:val="24"/>
          <w:lang w:val="en-US" w:eastAsia="fr-FR"/>
        </w:rPr>
        <w:t xml:space="preserve">, </w:t>
      </w:r>
      <w:r w:rsidRPr="00B07010">
        <w:rPr>
          <w:rFonts w:ascii="Times New Roman" w:eastAsia="Times New Roman" w:hAnsi="Times New Roman" w:cs="Times New Roman"/>
          <w:i/>
          <w:iCs/>
          <w:sz w:val="24"/>
          <w:szCs w:val="24"/>
          <w:lang w:val="en-US" w:eastAsia="fr-FR"/>
        </w:rPr>
        <w:t>University of Strathclyde</w:t>
      </w:r>
      <w:r w:rsidRPr="004957C7">
        <w:rPr>
          <w:rFonts w:ascii="Times New Roman" w:eastAsia="Times New Roman" w:hAnsi="Times New Roman" w:cs="Times New Roman"/>
          <w:color w:val="000000"/>
          <w:sz w:val="24"/>
          <w:szCs w:val="24"/>
          <w:lang w:val="en-US" w:eastAsia="fr-FR"/>
        </w:rPr>
        <w:t>, Paris, 430 p.</w:t>
      </w:r>
    </w:p>
    <w:p w:rsidR="00E724B9" w:rsidRDefault="00B62F86" w:rsidP="00AE6E2D">
      <w:pPr>
        <w:autoSpaceDE w:val="0"/>
        <w:autoSpaceDN w:val="0"/>
        <w:adjustRightInd w:val="0"/>
        <w:spacing w:line="240" w:lineRule="auto"/>
        <w:jc w:val="both"/>
        <w:rPr>
          <w:rFonts w:ascii="Times New Roman" w:eastAsia="Times New Roman" w:hAnsi="Times New Roman" w:cs="Times New Roman"/>
          <w:sz w:val="24"/>
          <w:szCs w:val="24"/>
          <w:lang w:val="en-US" w:eastAsia="fr-FR"/>
        </w:rPr>
      </w:pPr>
      <w:hyperlink r:id="rId373" w:history="1">
        <w:r w:rsidR="00E724B9" w:rsidRPr="00E40DF8">
          <w:rPr>
            <w:rFonts w:ascii="Times New Roman" w:eastAsia="Times New Roman" w:hAnsi="Times New Roman" w:cs="Times New Roman"/>
            <w:b/>
            <w:bCs/>
            <w:color w:val="000000"/>
            <w:sz w:val="24"/>
            <w:szCs w:val="24"/>
            <w:lang w:val="en-US" w:eastAsia="fr-FR"/>
          </w:rPr>
          <w:t xml:space="preserve">Ferreira, A., (2016): </w:t>
        </w:r>
        <w:r w:rsidR="00E724B9" w:rsidRPr="00E40DF8">
          <w:rPr>
            <w:rFonts w:ascii="Times New Roman" w:eastAsia="Times New Roman" w:hAnsi="Times New Roman" w:cs="Times New Roman"/>
            <w:color w:val="000000"/>
            <w:sz w:val="24"/>
            <w:szCs w:val="24"/>
            <w:lang w:val="en-US" w:eastAsia="fr-FR"/>
          </w:rPr>
          <w:t>"E</w:t>
        </w:r>
        <w:r w:rsidR="00E724B9" w:rsidRPr="004957C7">
          <w:rPr>
            <w:rFonts w:ascii="Times New Roman" w:eastAsia="Times New Roman" w:hAnsi="Times New Roman" w:cs="Times New Roman"/>
            <w:sz w:val="24"/>
            <w:szCs w:val="24"/>
            <w:lang w:val="en-US" w:eastAsia="fr-FR"/>
          </w:rPr>
          <w:t>xploring the Meaning of Functional and Response Diversity in The Urban Context"</w:t>
        </w:r>
        <w:r w:rsidR="00B07010">
          <w:rPr>
            <w:rFonts w:ascii="Times New Roman" w:eastAsia="Times New Roman" w:hAnsi="Times New Roman" w:cs="Times New Roman"/>
            <w:sz w:val="24"/>
            <w:szCs w:val="24"/>
            <w:lang w:val="en-US" w:eastAsia="fr-FR"/>
          </w:rPr>
          <w:t>,</w:t>
        </w:r>
        <w:r w:rsidR="00E724B9" w:rsidRPr="004957C7">
          <w:rPr>
            <w:rFonts w:ascii="Times New Roman" w:eastAsia="Times New Roman" w:hAnsi="Times New Roman" w:cs="Times New Roman"/>
            <w:sz w:val="24"/>
            <w:szCs w:val="24"/>
            <w:lang w:val="en-US" w:eastAsia="fr-FR"/>
          </w:rPr>
          <w:t xml:space="preserve"> Masters Dissertation</w:t>
        </w:r>
        <w:r w:rsidR="00B07010">
          <w:rPr>
            <w:rFonts w:ascii="Times New Roman" w:eastAsia="Times New Roman" w:hAnsi="Times New Roman" w:cs="Times New Roman"/>
            <w:sz w:val="24"/>
            <w:szCs w:val="24"/>
            <w:lang w:val="en-US" w:eastAsia="fr-FR"/>
          </w:rPr>
          <w:t>,</w:t>
        </w:r>
        <w:r w:rsidR="00E724B9" w:rsidRPr="004957C7">
          <w:rPr>
            <w:rFonts w:ascii="Times New Roman" w:eastAsia="Times New Roman" w:hAnsi="Times New Roman" w:cs="Times New Roman"/>
            <w:sz w:val="24"/>
            <w:szCs w:val="24"/>
            <w:lang w:val="en-US" w:eastAsia="fr-FR"/>
          </w:rPr>
          <w:t xml:space="preserve"> Dept</w:t>
        </w:r>
        <w:r w:rsidR="00B07010">
          <w:rPr>
            <w:rFonts w:ascii="Times New Roman" w:eastAsia="Times New Roman" w:hAnsi="Times New Roman" w:cs="Times New Roman"/>
            <w:sz w:val="24"/>
            <w:szCs w:val="24"/>
            <w:lang w:val="en-US" w:eastAsia="fr-FR"/>
          </w:rPr>
          <w:t>,</w:t>
        </w:r>
        <w:r w:rsidR="00E724B9" w:rsidRPr="004957C7">
          <w:rPr>
            <w:rFonts w:ascii="Times New Roman" w:eastAsia="Times New Roman" w:hAnsi="Times New Roman" w:cs="Times New Roman"/>
            <w:sz w:val="24"/>
            <w:szCs w:val="24"/>
            <w:lang w:val="en-US" w:eastAsia="fr-FR"/>
          </w:rPr>
          <w:t xml:space="preserve"> Town and Regional Planning, U</w:t>
        </w:r>
        <w:r w:rsidR="00E724B9" w:rsidRPr="00B07010">
          <w:rPr>
            <w:rFonts w:ascii="Times New Roman" w:eastAsia="Times New Roman" w:hAnsi="Times New Roman" w:cs="Times New Roman"/>
            <w:i/>
            <w:iCs/>
            <w:sz w:val="24"/>
            <w:szCs w:val="24"/>
            <w:lang w:val="en-US" w:eastAsia="fr-FR"/>
          </w:rPr>
          <w:t>niversity of Pretoria</w:t>
        </w:r>
        <w:r w:rsidR="00E724B9" w:rsidRPr="004957C7">
          <w:rPr>
            <w:rFonts w:ascii="Times New Roman" w:eastAsia="Times New Roman" w:hAnsi="Times New Roman" w:cs="Times New Roman"/>
            <w:sz w:val="24"/>
            <w:szCs w:val="24"/>
            <w:lang w:val="en-US" w:eastAsia="fr-FR"/>
          </w:rPr>
          <w:t>, Pretoria, 122p. http://hdl.handle.net/2263/57477</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sz w:val="24"/>
          <w:szCs w:val="24"/>
          <w:lang w:val="en-US" w:eastAsia="fr-FR"/>
        </w:rPr>
      </w:pPr>
      <w:r w:rsidRPr="00E40DF8">
        <w:rPr>
          <w:rFonts w:ascii="Times New Roman" w:eastAsia="Times New Roman" w:hAnsi="Times New Roman" w:cs="Times New Roman"/>
          <w:b/>
          <w:bCs/>
          <w:color w:val="000000"/>
          <w:sz w:val="24"/>
          <w:szCs w:val="24"/>
          <w:lang w:val="en-US" w:eastAsia="fr-FR"/>
        </w:rPr>
        <w:t>Fink</w:t>
      </w:r>
      <w:r w:rsidRPr="004957C7">
        <w:rPr>
          <w:rFonts w:ascii="Times New Roman" w:eastAsia="Times New Roman" w:hAnsi="Times New Roman" w:cs="Times New Roman"/>
          <w:b/>
          <w:bCs/>
          <w:color w:val="000000"/>
          <w:sz w:val="24"/>
          <w:szCs w:val="24"/>
          <w:lang w:val="en-US" w:eastAsia="fr-FR"/>
        </w:rPr>
        <w:t>, A., Kosecoff, J., Chassin, M. &amp; Brook, R. H., (1984):</w:t>
      </w:r>
      <w:r w:rsidRPr="004957C7">
        <w:rPr>
          <w:rFonts w:ascii="Times New Roman" w:eastAsia="Times New Roman" w:hAnsi="Times New Roman" w:cs="Times New Roman"/>
          <w:color w:val="000000"/>
          <w:sz w:val="24"/>
          <w:szCs w:val="24"/>
          <w:lang w:val="en-US" w:eastAsia="fr-FR"/>
        </w:rPr>
        <w:t xml:space="preserve"> “Consensus Methods-Characteristics and Guidelines for Use”, </w:t>
      </w:r>
      <w:r w:rsidRPr="00F239DE">
        <w:rPr>
          <w:rFonts w:ascii="Times New Roman" w:eastAsia="Times New Roman" w:hAnsi="Times New Roman" w:cs="Times New Roman"/>
          <w:i/>
          <w:iCs/>
          <w:color w:val="000000"/>
          <w:sz w:val="24"/>
          <w:szCs w:val="24"/>
          <w:lang w:val="en-US" w:eastAsia="fr-FR"/>
        </w:rPr>
        <w:t>American Journal of Public Health (AJPH)</w:t>
      </w:r>
      <w:r w:rsidRPr="004957C7">
        <w:rPr>
          <w:rFonts w:ascii="Times New Roman" w:eastAsia="Times New Roman" w:hAnsi="Times New Roman" w:cs="Times New Roman"/>
          <w:color w:val="000000"/>
          <w:sz w:val="24"/>
          <w:szCs w:val="24"/>
          <w:lang w:val="en-US" w:eastAsia="fr-FR"/>
        </w:rPr>
        <w:t xml:space="preserve">, </w:t>
      </w:r>
      <w:r w:rsidR="00B07010">
        <w:rPr>
          <w:rFonts w:ascii="Times New Roman" w:eastAsia="Times New Roman" w:hAnsi="Times New Roman" w:cs="Times New Roman"/>
          <w:color w:val="000000"/>
          <w:sz w:val="24"/>
          <w:szCs w:val="24"/>
          <w:lang w:val="en-US" w:eastAsia="fr-FR"/>
        </w:rPr>
        <w:t xml:space="preserve">vol. </w:t>
      </w:r>
      <w:r w:rsidRPr="004957C7">
        <w:rPr>
          <w:rFonts w:ascii="Times New Roman" w:eastAsia="Times New Roman" w:hAnsi="Times New Roman" w:cs="Times New Roman"/>
          <w:color w:val="000000"/>
          <w:sz w:val="24"/>
          <w:szCs w:val="24"/>
          <w:lang w:val="en-US" w:eastAsia="fr-FR"/>
        </w:rPr>
        <w:t>74</w:t>
      </w:r>
      <w:r w:rsidR="00B07010">
        <w:rPr>
          <w:rFonts w:ascii="Times New Roman" w:eastAsia="Times New Roman" w:hAnsi="Times New Roman" w:cs="Times New Roman"/>
          <w:color w:val="000000"/>
          <w:sz w:val="24"/>
          <w:szCs w:val="24"/>
          <w:lang w:val="en-US" w:eastAsia="fr-FR"/>
        </w:rPr>
        <w:t xml:space="preserve">, n° </w:t>
      </w:r>
      <w:r w:rsidRPr="004957C7">
        <w:rPr>
          <w:rFonts w:ascii="Times New Roman" w:eastAsia="Times New Roman" w:hAnsi="Times New Roman" w:cs="Times New Roman"/>
          <w:color w:val="000000"/>
          <w:sz w:val="24"/>
          <w:szCs w:val="24"/>
          <w:lang w:val="en-US" w:eastAsia="fr-FR"/>
        </w:rPr>
        <w:t>9, p</w:t>
      </w:r>
      <w:r w:rsidR="00B26A4B">
        <w:rPr>
          <w:rFonts w:ascii="Times New Roman" w:eastAsia="Times New Roman" w:hAnsi="Times New Roman" w:cs="Times New Roman"/>
          <w:color w:val="000000"/>
          <w:sz w:val="24"/>
          <w:szCs w:val="24"/>
          <w:lang w:val="en-US" w:eastAsia="fr-FR"/>
        </w:rPr>
        <w:t>p</w:t>
      </w:r>
      <w:r w:rsidRPr="004957C7">
        <w:rPr>
          <w:rFonts w:ascii="Times New Roman" w:eastAsia="Times New Roman" w:hAnsi="Times New Roman" w:cs="Times New Roman"/>
          <w:color w:val="000000"/>
          <w:sz w:val="24"/>
          <w:szCs w:val="24"/>
          <w:lang w:val="en-US" w:eastAsia="fr-FR"/>
        </w:rPr>
        <w:t>. 979-983.</w:t>
      </w:r>
    </w:p>
    <w:p w:rsidR="00E724B9" w:rsidRPr="00012CDB"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hyperlink r:id="rId374" w:history="1">
        <w:r w:rsidR="00E724B9" w:rsidRPr="004957C7">
          <w:rPr>
            <w:rFonts w:ascii="Times New Roman" w:eastAsia="Times New Roman" w:hAnsi="Times New Roman" w:cs="Times New Roman"/>
            <w:b/>
            <w:bCs/>
            <w:color w:val="000000"/>
            <w:sz w:val="24"/>
            <w:szCs w:val="24"/>
            <w:lang w:val="en-US" w:eastAsia="fr-FR"/>
          </w:rPr>
          <w:t>F</w:t>
        </w:r>
        <w:r w:rsidR="00E724B9" w:rsidRPr="00E40DF8">
          <w:rPr>
            <w:rFonts w:ascii="Times New Roman" w:eastAsia="Times New Roman" w:hAnsi="Times New Roman" w:cs="Times New Roman"/>
            <w:b/>
            <w:bCs/>
            <w:color w:val="000000"/>
            <w:sz w:val="24"/>
            <w:szCs w:val="24"/>
            <w:lang w:val="en-US" w:eastAsia="fr-FR"/>
          </w:rPr>
          <w:t>olke, C., (2006):</w:t>
        </w:r>
        <w:r w:rsidR="00E724B9" w:rsidRPr="00E40DF8">
          <w:rPr>
            <w:rFonts w:ascii="Times New Roman" w:eastAsia="Times New Roman" w:hAnsi="Times New Roman" w:cs="Times New Roman"/>
            <w:color w:val="000000"/>
            <w:sz w:val="24"/>
            <w:szCs w:val="24"/>
            <w:lang w:val="en-US" w:eastAsia="fr-FR"/>
          </w:rPr>
          <w:t xml:space="preserve"> “Res</w:t>
        </w:r>
        <w:r w:rsidR="00E724B9" w:rsidRPr="004957C7">
          <w:rPr>
            <w:rFonts w:ascii="Times New Roman" w:eastAsia="Times New Roman" w:hAnsi="Times New Roman" w:cs="Times New Roman"/>
            <w:color w:val="000000"/>
            <w:sz w:val="24"/>
            <w:szCs w:val="24"/>
            <w:lang w:val="en-US" w:eastAsia="fr-FR"/>
          </w:rPr>
          <w:t xml:space="preserve">ilience: The emergence of a perspective for social–ecological systems analyses. </w:t>
        </w:r>
        <w:r w:rsidR="00E724B9" w:rsidRPr="00012CDB">
          <w:rPr>
            <w:rFonts w:ascii="Times New Roman" w:eastAsia="Times New Roman" w:hAnsi="Times New Roman" w:cs="Times New Roman"/>
            <w:i/>
            <w:iCs/>
            <w:color w:val="000000"/>
            <w:sz w:val="24"/>
            <w:szCs w:val="24"/>
            <w:lang w:eastAsia="fr-FR"/>
          </w:rPr>
          <w:t>Global Environmental Change</w:t>
        </w:r>
        <w:r w:rsidR="00E724B9" w:rsidRPr="00012CDB">
          <w:rPr>
            <w:rFonts w:ascii="Times New Roman" w:eastAsia="Times New Roman" w:hAnsi="Times New Roman" w:cs="Times New Roman"/>
            <w:color w:val="000000"/>
            <w:sz w:val="24"/>
            <w:szCs w:val="24"/>
            <w:lang w:eastAsia="fr-FR"/>
          </w:rPr>
          <w:t>, vol. 16</w:t>
        </w:r>
        <w:r w:rsidR="00012CDB">
          <w:rPr>
            <w:rFonts w:ascii="Times New Roman" w:eastAsia="Times New Roman" w:hAnsi="Times New Roman" w:cs="Times New Roman"/>
            <w:color w:val="000000"/>
            <w:sz w:val="24"/>
            <w:szCs w:val="24"/>
            <w:lang w:eastAsia="fr-FR"/>
          </w:rPr>
          <w:t xml:space="preserve">, n° </w:t>
        </w:r>
        <w:r w:rsidR="00E724B9" w:rsidRPr="00012CDB">
          <w:rPr>
            <w:rFonts w:ascii="Times New Roman" w:eastAsia="Times New Roman" w:hAnsi="Times New Roman" w:cs="Times New Roman"/>
            <w:color w:val="000000"/>
            <w:sz w:val="24"/>
            <w:szCs w:val="24"/>
            <w:lang w:eastAsia="fr-FR"/>
          </w:rPr>
          <w:t xml:space="preserve">3, </w:t>
        </w:r>
        <w:r w:rsidR="00B26A4B">
          <w:rPr>
            <w:rFonts w:ascii="Times New Roman" w:eastAsia="Times New Roman" w:hAnsi="Times New Roman" w:cs="Times New Roman"/>
            <w:color w:val="000000"/>
            <w:sz w:val="24"/>
            <w:szCs w:val="24"/>
            <w:lang w:eastAsia="fr-FR"/>
          </w:rPr>
          <w:t>p</w:t>
        </w:r>
        <w:r w:rsidR="00E724B9" w:rsidRPr="00012CDB">
          <w:rPr>
            <w:rFonts w:ascii="Times New Roman" w:eastAsia="Times New Roman" w:hAnsi="Times New Roman" w:cs="Times New Roman"/>
            <w:color w:val="000000"/>
            <w:sz w:val="24"/>
            <w:szCs w:val="24"/>
            <w:lang w:eastAsia="fr-FR"/>
          </w:rPr>
          <w:t>p. 253-267. https://doi.org/10.1016/j.gloenvcha.2006.04.002</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Folke, C., Carpenter, S., Walker</w:t>
      </w:r>
      <w:r w:rsidRPr="004957C7">
        <w:rPr>
          <w:rFonts w:ascii="Times New Roman" w:eastAsia="Times New Roman" w:hAnsi="Times New Roman" w:cs="Times New Roman"/>
          <w:b/>
          <w:bCs/>
          <w:color w:val="000000"/>
          <w:sz w:val="24"/>
          <w:szCs w:val="24"/>
          <w:lang w:val="en-US" w:eastAsia="fr-FR"/>
        </w:rPr>
        <w:t>, B., Scheffer, M., Chapin, T. &amp; Rockstrom, J</w:t>
      </w:r>
      <w:r w:rsidRPr="007A091D">
        <w:rPr>
          <w:rFonts w:ascii="Times New Roman" w:eastAsia="Times New Roman" w:hAnsi="Times New Roman" w:cs="Times New Roman"/>
          <w:b/>
          <w:bCs/>
          <w:color w:val="000000"/>
          <w:sz w:val="24"/>
          <w:szCs w:val="24"/>
          <w:lang w:val="en-US" w:eastAsia="fr-FR"/>
        </w:rPr>
        <w:t>. (2010):</w:t>
      </w:r>
      <w:r w:rsidRPr="004957C7">
        <w:rPr>
          <w:rFonts w:ascii="Times New Roman" w:eastAsia="Times New Roman" w:hAnsi="Times New Roman" w:cs="Times New Roman"/>
          <w:color w:val="000000"/>
          <w:sz w:val="24"/>
          <w:szCs w:val="24"/>
          <w:lang w:val="en-US" w:eastAsia="fr-FR"/>
        </w:rPr>
        <w:t xml:space="preserve"> "Resilience thinking: Integrating resilience, adaptability and transformability", </w:t>
      </w:r>
      <w:r w:rsidRPr="005668F0">
        <w:rPr>
          <w:rFonts w:ascii="Times New Roman" w:eastAsia="Times New Roman" w:hAnsi="Times New Roman" w:cs="Times New Roman"/>
          <w:i/>
          <w:iCs/>
          <w:color w:val="000000"/>
          <w:sz w:val="24"/>
          <w:szCs w:val="24"/>
          <w:lang w:val="en-US" w:eastAsia="fr-FR"/>
        </w:rPr>
        <w:t>Ecology and Society</w:t>
      </w:r>
      <w:r w:rsidRPr="004957C7">
        <w:rPr>
          <w:rFonts w:ascii="Times New Roman" w:eastAsia="Times New Roman" w:hAnsi="Times New Roman" w:cs="Times New Roman"/>
          <w:color w:val="000000"/>
          <w:sz w:val="24"/>
          <w:szCs w:val="24"/>
          <w:lang w:val="en-US" w:eastAsia="fr-FR"/>
        </w:rPr>
        <w:t>, vol. 15</w:t>
      </w:r>
      <w:r w:rsidR="00012CDB">
        <w:rPr>
          <w:rFonts w:ascii="Times New Roman" w:eastAsia="Times New Roman" w:hAnsi="Times New Roman" w:cs="Times New Roman"/>
          <w:color w:val="000000"/>
          <w:sz w:val="24"/>
          <w:szCs w:val="24"/>
          <w:lang w:val="en-US" w:eastAsia="fr-FR"/>
        </w:rPr>
        <w:t xml:space="preserve">, n° </w:t>
      </w:r>
      <w:r w:rsidRPr="004957C7">
        <w:rPr>
          <w:rFonts w:ascii="Times New Roman" w:eastAsia="Times New Roman" w:hAnsi="Times New Roman" w:cs="Times New Roman"/>
          <w:color w:val="000000"/>
          <w:sz w:val="24"/>
          <w:szCs w:val="24"/>
          <w:lang w:val="en-US" w:eastAsia="fr-FR"/>
        </w:rPr>
        <w:t>4, p</w:t>
      </w:r>
      <w:r w:rsidR="00B26A4B">
        <w:rPr>
          <w:rFonts w:ascii="Times New Roman" w:eastAsia="Times New Roman" w:hAnsi="Times New Roman" w:cs="Times New Roman"/>
          <w:color w:val="000000"/>
          <w:sz w:val="24"/>
          <w:szCs w:val="24"/>
          <w:lang w:val="en-US" w:eastAsia="fr-FR"/>
        </w:rPr>
        <w:t>p</w:t>
      </w:r>
      <w:r w:rsidRPr="004957C7">
        <w:rPr>
          <w:rFonts w:ascii="Times New Roman" w:eastAsia="Times New Roman" w:hAnsi="Times New Roman" w:cs="Times New Roman"/>
          <w:color w:val="000000"/>
          <w:sz w:val="24"/>
          <w:szCs w:val="24"/>
          <w:lang w:val="en-US" w:eastAsia="fr-FR"/>
        </w:rPr>
        <w:t>. 20–28.</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r w:rsidRPr="00E40DF8">
        <w:rPr>
          <w:rFonts w:ascii="Times New Roman" w:eastAsia="Times New Roman" w:hAnsi="Times New Roman" w:cs="Times New Roman"/>
          <w:b/>
          <w:bCs/>
          <w:color w:val="000000"/>
          <w:sz w:val="24"/>
          <w:szCs w:val="24"/>
          <w:lang w:val="en-US" w:eastAsia="fr-FR"/>
        </w:rPr>
        <w:t>Folke, C., S. Carpenter</w:t>
      </w:r>
      <w:r w:rsidRPr="004957C7">
        <w:rPr>
          <w:rFonts w:ascii="Times New Roman" w:eastAsia="Times New Roman" w:hAnsi="Times New Roman" w:cs="Times New Roman"/>
          <w:b/>
          <w:bCs/>
          <w:color w:val="000000"/>
          <w:sz w:val="24"/>
          <w:szCs w:val="24"/>
          <w:lang w:val="en-US" w:eastAsia="fr-FR"/>
        </w:rPr>
        <w:t xml:space="preserve">, T. Elmqvist, L. Gunderson, C.S Holling </w:t>
      </w:r>
      <w:r w:rsidR="00F239DE">
        <w:rPr>
          <w:rFonts w:ascii="Times New Roman" w:eastAsia="Times New Roman" w:hAnsi="Times New Roman" w:cs="Times New Roman"/>
          <w:b/>
          <w:bCs/>
          <w:color w:val="000000"/>
          <w:sz w:val="24"/>
          <w:szCs w:val="24"/>
          <w:lang w:val="en-US" w:eastAsia="fr-FR"/>
        </w:rPr>
        <w:t>&amp;</w:t>
      </w:r>
      <w:r w:rsidRPr="004957C7">
        <w:rPr>
          <w:rFonts w:ascii="Times New Roman" w:eastAsia="Times New Roman" w:hAnsi="Times New Roman" w:cs="Times New Roman"/>
          <w:b/>
          <w:bCs/>
          <w:color w:val="000000"/>
          <w:sz w:val="24"/>
          <w:szCs w:val="24"/>
          <w:lang w:val="en-US" w:eastAsia="fr-FR"/>
        </w:rPr>
        <w:t xml:space="preserve"> B. Walker, (2002):</w:t>
      </w:r>
      <w:r w:rsidRPr="004957C7">
        <w:rPr>
          <w:rFonts w:ascii="Times New Roman" w:eastAsia="Times New Roman" w:hAnsi="Times New Roman" w:cs="Times New Roman"/>
          <w:color w:val="000000"/>
          <w:sz w:val="24"/>
          <w:szCs w:val="24"/>
          <w:lang w:val="en-US" w:eastAsia="fr-FR"/>
        </w:rPr>
        <w:t xml:space="preserve"> "Resilience and Sustainable Development: Building Adaptive Capacity in a World of Transformations", AMBIO, </w:t>
      </w:r>
      <w:r w:rsidRPr="005668F0">
        <w:rPr>
          <w:rFonts w:ascii="Times New Roman" w:eastAsia="Times New Roman" w:hAnsi="Times New Roman" w:cs="Times New Roman"/>
          <w:i/>
          <w:iCs/>
          <w:color w:val="000000"/>
          <w:sz w:val="24"/>
          <w:szCs w:val="24"/>
          <w:lang w:val="en-US" w:eastAsia="fr-FR"/>
        </w:rPr>
        <w:t>A journal of the human environment</w:t>
      </w:r>
      <w:r w:rsidRPr="004957C7">
        <w:rPr>
          <w:rFonts w:ascii="Times New Roman" w:eastAsia="Times New Roman" w:hAnsi="Times New Roman" w:cs="Times New Roman"/>
          <w:color w:val="000000"/>
          <w:sz w:val="24"/>
          <w:szCs w:val="24"/>
          <w:lang w:val="en-US" w:eastAsia="fr-FR"/>
        </w:rPr>
        <w:t xml:space="preserve">, vol. 31, no 5, </w:t>
      </w:r>
      <w:r w:rsidR="00B26A4B">
        <w:rPr>
          <w:rFonts w:ascii="Times New Roman" w:eastAsia="Times New Roman" w:hAnsi="Times New Roman" w:cs="Times New Roman"/>
          <w:color w:val="000000"/>
          <w:sz w:val="24"/>
          <w:szCs w:val="24"/>
          <w:lang w:val="en-US" w:eastAsia="fr-FR"/>
        </w:rPr>
        <w:t>p</w:t>
      </w:r>
      <w:r w:rsidR="00012CDB">
        <w:rPr>
          <w:rFonts w:ascii="Times New Roman" w:eastAsia="Times New Roman" w:hAnsi="Times New Roman" w:cs="Times New Roman"/>
          <w:color w:val="000000"/>
          <w:sz w:val="24"/>
          <w:szCs w:val="24"/>
          <w:lang w:val="en-US" w:eastAsia="fr-FR"/>
        </w:rPr>
        <w:t xml:space="preserve">p. </w:t>
      </w:r>
      <w:r w:rsidRPr="004957C7">
        <w:rPr>
          <w:rFonts w:ascii="Times New Roman" w:eastAsia="Times New Roman" w:hAnsi="Times New Roman" w:cs="Times New Roman"/>
          <w:color w:val="000000"/>
          <w:sz w:val="24"/>
          <w:szCs w:val="24"/>
          <w:lang w:val="en-US" w:eastAsia="fr-FR"/>
        </w:rPr>
        <w:t>437- 440.</w:t>
      </w:r>
    </w:p>
    <w:p w:rsidR="00414D79" w:rsidRDefault="00414D79" w:rsidP="00AE6E2D">
      <w:pPr>
        <w:autoSpaceDE w:val="0"/>
        <w:autoSpaceDN w:val="0"/>
        <w:adjustRightInd w:val="0"/>
        <w:spacing w:line="240" w:lineRule="auto"/>
        <w:rPr>
          <w:rFonts w:asciiTheme="majorBidi" w:hAnsiTheme="majorBidi" w:cstheme="majorBidi"/>
          <w:sz w:val="24"/>
          <w:szCs w:val="24"/>
          <w:lang w:val="en-US"/>
        </w:rPr>
      </w:pPr>
      <w:r w:rsidRPr="00E40DF8">
        <w:rPr>
          <w:rFonts w:ascii="Times New Roman" w:eastAsia="Times New Roman" w:hAnsi="Times New Roman" w:cs="Times New Roman"/>
          <w:b/>
          <w:bCs/>
          <w:color w:val="000000"/>
          <w:sz w:val="24"/>
          <w:szCs w:val="24"/>
          <w:lang w:val="en-US" w:eastAsia="fr-FR"/>
        </w:rPr>
        <w:t>Fuchs, S., Thaler, T. (Eds.), (2018):</w:t>
      </w:r>
      <w:r w:rsidRPr="00E40DF8">
        <w:rPr>
          <w:rFonts w:asciiTheme="majorBidi" w:hAnsiTheme="majorBidi" w:cstheme="majorBidi"/>
          <w:sz w:val="24"/>
          <w:szCs w:val="24"/>
          <w:lang w:val="en-US"/>
        </w:rPr>
        <w:t xml:space="preserve"> “</w:t>
      </w:r>
      <w:r w:rsidRPr="00414D79">
        <w:rPr>
          <w:rFonts w:asciiTheme="majorBidi" w:hAnsiTheme="majorBidi" w:cstheme="majorBidi"/>
          <w:sz w:val="24"/>
          <w:szCs w:val="24"/>
          <w:lang w:val="en-US"/>
        </w:rPr>
        <w:t>Vulnerability and</w:t>
      </w:r>
      <w:r w:rsidRPr="00414D79">
        <w:rPr>
          <w:rFonts w:asciiTheme="majorBidi" w:hAnsiTheme="majorBidi" w:cstheme="majorBidi"/>
          <w:sz w:val="24"/>
          <w:szCs w:val="24"/>
          <w:rtl/>
          <w:lang w:val="en-US"/>
        </w:rPr>
        <w:t xml:space="preserve"> </w:t>
      </w:r>
      <w:r w:rsidRPr="00414D79">
        <w:rPr>
          <w:rFonts w:asciiTheme="majorBidi" w:hAnsiTheme="majorBidi" w:cstheme="majorBidi"/>
          <w:sz w:val="24"/>
          <w:szCs w:val="24"/>
          <w:lang w:val="en-US"/>
        </w:rPr>
        <w:t>Resilience to Natural Hazards</w:t>
      </w:r>
      <w:r>
        <w:rPr>
          <w:rFonts w:asciiTheme="majorBidi" w:hAnsiTheme="majorBidi" w:cstheme="majorBidi"/>
          <w:sz w:val="24"/>
          <w:szCs w:val="24"/>
          <w:lang w:val="en-US"/>
        </w:rPr>
        <w:t>”,</w:t>
      </w:r>
      <w:r w:rsidRPr="00414D79">
        <w:rPr>
          <w:rFonts w:asciiTheme="majorBidi" w:hAnsiTheme="majorBidi" w:cstheme="majorBidi"/>
          <w:sz w:val="24"/>
          <w:szCs w:val="24"/>
          <w:lang w:val="en-US"/>
        </w:rPr>
        <w:t xml:space="preserve"> </w:t>
      </w:r>
      <w:r w:rsidRPr="00414D79">
        <w:rPr>
          <w:rFonts w:asciiTheme="majorBidi" w:hAnsiTheme="majorBidi" w:cstheme="majorBidi"/>
          <w:i/>
          <w:iCs/>
          <w:sz w:val="24"/>
          <w:szCs w:val="24"/>
          <w:lang w:val="en-US"/>
        </w:rPr>
        <w:t>Cambridge</w:t>
      </w:r>
      <w:r w:rsidRPr="00414D79">
        <w:rPr>
          <w:rFonts w:asciiTheme="majorBidi" w:hAnsiTheme="majorBidi" w:cstheme="majorBidi"/>
          <w:i/>
          <w:iCs/>
          <w:sz w:val="24"/>
          <w:szCs w:val="24"/>
          <w:rtl/>
          <w:lang w:val="en-US"/>
        </w:rPr>
        <w:t xml:space="preserve"> </w:t>
      </w:r>
      <w:r w:rsidRPr="00414D79">
        <w:rPr>
          <w:rFonts w:asciiTheme="majorBidi" w:hAnsiTheme="majorBidi" w:cstheme="majorBidi"/>
          <w:i/>
          <w:iCs/>
          <w:sz w:val="24"/>
          <w:szCs w:val="24"/>
          <w:lang w:val="en-US"/>
        </w:rPr>
        <w:t>University Press</w:t>
      </w:r>
      <w:r>
        <w:rPr>
          <w:rFonts w:asciiTheme="majorBidi" w:hAnsiTheme="majorBidi" w:cstheme="majorBidi"/>
          <w:sz w:val="24"/>
          <w:szCs w:val="24"/>
          <w:lang w:val="en-US"/>
        </w:rPr>
        <w:t>, New York, 336p.</w:t>
      </w:r>
    </w:p>
    <w:p w:rsidR="000B3241" w:rsidRPr="000B3241" w:rsidRDefault="000B3241" w:rsidP="00AE6E2D">
      <w:pPr>
        <w:autoSpaceDE w:val="0"/>
        <w:autoSpaceDN w:val="0"/>
        <w:adjustRightInd w:val="0"/>
        <w:spacing w:line="240" w:lineRule="auto"/>
        <w:jc w:val="both"/>
        <w:rPr>
          <w:rFonts w:ascii="Times New Roman" w:eastAsia="Times New Roman" w:hAnsi="Times New Roman" w:cs="Times New Roman"/>
          <w:color w:val="000000"/>
          <w:sz w:val="48"/>
          <w:szCs w:val="48"/>
          <w:lang w:val="en-US" w:eastAsia="fr-FR"/>
        </w:rPr>
      </w:pPr>
      <w:r w:rsidRPr="00E40DF8">
        <w:rPr>
          <w:rFonts w:ascii="Times New Roman" w:eastAsia="Times New Roman" w:hAnsi="Times New Roman" w:cs="Times New Roman"/>
          <w:b/>
          <w:bCs/>
          <w:color w:val="000000"/>
          <w:sz w:val="24"/>
          <w:szCs w:val="24"/>
          <w:lang w:val="en-US" w:eastAsia="fr-FR"/>
        </w:rPr>
        <w:t>Fung</w:t>
      </w:r>
      <w:r w:rsidRPr="000B3241">
        <w:rPr>
          <w:rFonts w:ascii="Times New Roman" w:hAnsi="Times New Roman" w:cs="Times New Roman"/>
          <w:b/>
          <w:bCs/>
          <w:color w:val="000000"/>
          <w:sz w:val="24"/>
          <w:szCs w:val="24"/>
          <w:lang w:val="en-US"/>
        </w:rPr>
        <w:t>, A., (2006):</w:t>
      </w:r>
      <w:r w:rsidRPr="000B3241">
        <w:rPr>
          <w:rFonts w:ascii="Times New Roman" w:hAnsi="Times New Roman" w:cs="Times New Roman"/>
          <w:color w:val="000000"/>
          <w:sz w:val="24"/>
          <w:szCs w:val="24"/>
          <w:lang w:val="en-US"/>
        </w:rPr>
        <w:t xml:space="preserve"> "Varieties of Participation in Complex Governance", </w:t>
      </w:r>
      <w:r w:rsidRPr="000B3241">
        <w:rPr>
          <w:rFonts w:ascii="Times New Roman" w:hAnsi="Times New Roman" w:cs="Times New Roman"/>
          <w:i/>
          <w:iCs/>
          <w:color w:val="000000"/>
          <w:sz w:val="24"/>
          <w:szCs w:val="24"/>
          <w:lang w:val="en-US"/>
        </w:rPr>
        <w:t>Public Administration Review</w:t>
      </w:r>
      <w:r w:rsidRPr="000B3241">
        <w:rPr>
          <w:rFonts w:ascii="Times New Roman" w:hAnsi="Times New Roman" w:cs="Times New Roman"/>
          <w:color w:val="000000"/>
          <w:sz w:val="24"/>
          <w:szCs w:val="24"/>
          <w:lang w:val="en-US"/>
        </w:rPr>
        <w:t>,</w:t>
      </w:r>
      <w:r>
        <w:rPr>
          <w:rFonts w:ascii="Times New Roman" w:hAnsi="Times New Roman" w:cs="Times New Roman"/>
          <w:color w:val="000000"/>
          <w:sz w:val="24"/>
          <w:szCs w:val="24"/>
          <w:lang w:val="en-US"/>
        </w:rPr>
        <w:t xml:space="preserve"> vol. 66,</w:t>
      </w:r>
      <w:r w:rsidRPr="000B3241">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lang w:val="en-US"/>
        </w:rPr>
        <w:t xml:space="preserve">pp. </w:t>
      </w:r>
      <w:r w:rsidRPr="000B3241">
        <w:rPr>
          <w:rFonts w:ascii="Times New Roman" w:hAnsi="Times New Roman" w:cs="Times New Roman"/>
          <w:color w:val="000000"/>
          <w:sz w:val="24"/>
          <w:szCs w:val="24"/>
          <w:lang w:val="en-US"/>
        </w:rPr>
        <w:t>66-75. http://www.gemeentewestland.</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Gaillard</w:t>
      </w:r>
      <w:r w:rsidRPr="00DF30BE">
        <w:rPr>
          <w:rFonts w:ascii="Times New Roman" w:eastAsia="Times New Roman" w:hAnsi="Times New Roman" w:cs="Times New Roman"/>
          <w:b/>
          <w:bCs/>
          <w:color w:val="000000"/>
          <w:sz w:val="24"/>
          <w:szCs w:val="24"/>
          <w:lang w:val="en-US" w:eastAsia="fr-FR"/>
        </w:rPr>
        <w:t>, J.C., (2010):</w:t>
      </w:r>
      <w:r w:rsidRPr="00DF30BE">
        <w:rPr>
          <w:rFonts w:ascii="Times New Roman" w:eastAsia="Times New Roman" w:hAnsi="Times New Roman" w:cs="Times New Roman"/>
          <w:color w:val="000000"/>
          <w:sz w:val="24"/>
          <w:szCs w:val="24"/>
          <w:lang w:val="en-US" w:eastAsia="fr-FR"/>
        </w:rPr>
        <w:t xml:space="preserve"> “Vulnerability, capacity and resilience: Perspectives for climate and development policy”, </w:t>
      </w:r>
      <w:r w:rsidRPr="00012CDB">
        <w:rPr>
          <w:rFonts w:ascii="Times New Roman" w:eastAsia="Times New Roman" w:hAnsi="Times New Roman" w:cs="Times New Roman"/>
          <w:i/>
          <w:iCs/>
          <w:color w:val="000000"/>
          <w:sz w:val="24"/>
          <w:szCs w:val="24"/>
          <w:lang w:val="en-US" w:eastAsia="fr-FR"/>
        </w:rPr>
        <w:t>J. Int. Dev</w:t>
      </w:r>
      <w:r w:rsidRPr="00DF30BE">
        <w:rPr>
          <w:rFonts w:ascii="Times New Roman" w:eastAsia="Times New Roman" w:hAnsi="Times New Roman" w:cs="Times New Roman"/>
          <w:color w:val="000000"/>
          <w:sz w:val="24"/>
          <w:szCs w:val="24"/>
          <w:lang w:val="en-US" w:eastAsia="fr-FR"/>
        </w:rPr>
        <w:t>, vol. 22, p</w:t>
      </w:r>
      <w:r w:rsidR="00B26A4B">
        <w:rPr>
          <w:rFonts w:ascii="Times New Roman" w:eastAsia="Times New Roman" w:hAnsi="Times New Roman" w:cs="Times New Roman"/>
          <w:color w:val="000000"/>
          <w:sz w:val="24"/>
          <w:szCs w:val="24"/>
          <w:lang w:val="en-US" w:eastAsia="fr-FR"/>
        </w:rPr>
        <w:t>p</w:t>
      </w:r>
      <w:r w:rsidRPr="00DF30BE">
        <w:rPr>
          <w:rFonts w:ascii="Times New Roman" w:eastAsia="Times New Roman" w:hAnsi="Times New Roman" w:cs="Times New Roman"/>
          <w:color w:val="000000"/>
          <w:sz w:val="24"/>
          <w:szCs w:val="24"/>
          <w:lang w:val="en-US" w:eastAsia="fr-FR"/>
        </w:rPr>
        <w:t>. 218–232.</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3D5B32">
        <w:rPr>
          <w:rFonts w:ascii="Times New Roman" w:eastAsia="Times New Roman" w:hAnsi="Times New Roman" w:cs="Times New Roman"/>
          <w:b/>
          <w:bCs/>
          <w:color w:val="000000"/>
          <w:sz w:val="24"/>
          <w:szCs w:val="24"/>
          <w:lang w:val="en-US" w:eastAsia="fr-FR"/>
        </w:rPr>
        <w:t>Garcia</w:t>
      </w:r>
      <w:r w:rsidR="00012CDB" w:rsidRPr="003D5B32">
        <w:rPr>
          <w:rFonts w:ascii="Times New Roman" w:eastAsia="Times New Roman" w:hAnsi="Times New Roman" w:cs="Times New Roman"/>
          <w:b/>
          <w:bCs/>
          <w:color w:val="000000"/>
          <w:sz w:val="24"/>
          <w:szCs w:val="24"/>
          <w:lang w:val="en-US" w:eastAsia="fr-FR"/>
        </w:rPr>
        <w:t>,</w:t>
      </w:r>
      <w:r w:rsidRPr="003D5B32">
        <w:rPr>
          <w:rFonts w:ascii="Times New Roman" w:eastAsia="Times New Roman" w:hAnsi="Times New Roman" w:cs="Times New Roman"/>
          <w:b/>
          <w:bCs/>
          <w:color w:val="000000"/>
          <w:sz w:val="24"/>
          <w:szCs w:val="24"/>
          <w:lang w:val="en-US" w:eastAsia="fr-FR"/>
        </w:rPr>
        <w:t xml:space="preserve"> EJ</w:t>
      </w:r>
      <w:r w:rsidR="00012CDB" w:rsidRPr="003D5B32">
        <w:rPr>
          <w:rFonts w:ascii="Times New Roman" w:eastAsia="Times New Roman" w:hAnsi="Times New Roman" w:cs="Times New Roman"/>
          <w:b/>
          <w:bCs/>
          <w:color w:val="000000"/>
          <w:sz w:val="24"/>
          <w:szCs w:val="24"/>
          <w:lang w:val="en-US" w:eastAsia="fr-FR"/>
        </w:rPr>
        <w:t>.,</w:t>
      </w:r>
      <w:r w:rsidRPr="003D5B32">
        <w:rPr>
          <w:rFonts w:ascii="Times New Roman" w:eastAsia="Times New Roman" w:hAnsi="Times New Roman" w:cs="Times New Roman"/>
          <w:b/>
          <w:bCs/>
          <w:color w:val="000000"/>
          <w:sz w:val="24"/>
          <w:szCs w:val="24"/>
          <w:lang w:val="en-US" w:eastAsia="fr-FR"/>
        </w:rPr>
        <w:t xml:space="preserve"> </w:t>
      </w:r>
      <w:r w:rsidR="00012CDB" w:rsidRPr="003D5B32">
        <w:rPr>
          <w:rFonts w:ascii="Times New Roman" w:eastAsia="Times New Roman" w:hAnsi="Times New Roman" w:cs="Times New Roman"/>
          <w:b/>
          <w:bCs/>
          <w:color w:val="000000"/>
          <w:sz w:val="24"/>
          <w:szCs w:val="24"/>
          <w:lang w:val="en-US" w:eastAsia="fr-FR"/>
        </w:rPr>
        <w:t xml:space="preserve">&amp; </w:t>
      </w:r>
      <w:r w:rsidRPr="003D5B32">
        <w:rPr>
          <w:rFonts w:ascii="Times New Roman" w:eastAsia="Times New Roman" w:hAnsi="Times New Roman" w:cs="Times New Roman"/>
          <w:b/>
          <w:bCs/>
          <w:color w:val="000000"/>
          <w:sz w:val="24"/>
          <w:szCs w:val="24"/>
          <w:lang w:val="en-US" w:eastAsia="fr-FR"/>
        </w:rPr>
        <w:t>Vale</w:t>
      </w:r>
      <w:r w:rsidR="00012CDB" w:rsidRPr="003D5B32">
        <w:rPr>
          <w:rFonts w:ascii="Times New Roman" w:eastAsia="Times New Roman" w:hAnsi="Times New Roman" w:cs="Times New Roman"/>
          <w:b/>
          <w:bCs/>
          <w:color w:val="000000"/>
          <w:sz w:val="24"/>
          <w:szCs w:val="24"/>
          <w:lang w:val="en-US" w:eastAsia="fr-FR"/>
        </w:rPr>
        <w:t>,</w:t>
      </w:r>
      <w:r w:rsidRPr="003D5B32">
        <w:rPr>
          <w:rFonts w:ascii="Times New Roman" w:eastAsia="Times New Roman" w:hAnsi="Times New Roman" w:cs="Times New Roman"/>
          <w:b/>
          <w:bCs/>
          <w:color w:val="000000"/>
          <w:sz w:val="24"/>
          <w:szCs w:val="24"/>
          <w:lang w:val="en-US" w:eastAsia="fr-FR"/>
        </w:rPr>
        <w:t xml:space="preserve"> B</w:t>
      </w:r>
      <w:r w:rsidR="00012CDB" w:rsidRPr="003D5B32">
        <w:rPr>
          <w:rFonts w:ascii="Times New Roman" w:eastAsia="Times New Roman" w:hAnsi="Times New Roman" w:cs="Times New Roman"/>
          <w:b/>
          <w:bCs/>
          <w:color w:val="000000"/>
          <w:sz w:val="24"/>
          <w:szCs w:val="24"/>
          <w:lang w:val="en-US" w:eastAsia="fr-FR"/>
        </w:rPr>
        <w:t>.,</w:t>
      </w:r>
      <w:r w:rsidRPr="003D5B32">
        <w:rPr>
          <w:rFonts w:ascii="Times New Roman" w:eastAsia="Times New Roman" w:hAnsi="Times New Roman" w:cs="Times New Roman"/>
          <w:b/>
          <w:bCs/>
          <w:color w:val="000000"/>
          <w:sz w:val="24"/>
          <w:szCs w:val="24"/>
          <w:lang w:val="en-US" w:eastAsia="fr-FR"/>
        </w:rPr>
        <w:t xml:space="preserve"> (2017)</w:t>
      </w:r>
      <w:r w:rsidR="00012CDB" w:rsidRPr="003D5B32">
        <w:rPr>
          <w:rFonts w:ascii="Times New Roman" w:eastAsia="Times New Roman" w:hAnsi="Times New Roman" w:cs="Times New Roman"/>
          <w:b/>
          <w:bCs/>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00012CDB">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Unravelling Sustainability and Resilience in the Built Environment</w:t>
      </w:r>
      <w:r w:rsidR="00012CDB">
        <w:rPr>
          <w:rFonts w:ascii="Times New Roman" w:eastAsia="Times New Roman" w:hAnsi="Times New Roman" w:cs="Times New Roman"/>
          <w:color w:val="000000"/>
          <w:sz w:val="24"/>
          <w:szCs w:val="24"/>
          <w:lang w:val="en-US" w:eastAsia="fr-FR"/>
        </w:rPr>
        <w:t xml:space="preserve">”, </w:t>
      </w:r>
      <w:r w:rsidRPr="003D5B32">
        <w:rPr>
          <w:rFonts w:ascii="Times New Roman" w:eastAsia="Times New Roman" w:hAnsi="Times New Roman" w:cs="Times New Roman"/>
          <w:i/>
          <w:iCs/>
          <w:color w:val="000000"/>
          <w:sz w:val="24"/>
          <w:szCs w:val="24"/>
          <w:lang w:val="en-US" w:eastAsia="fr-FR"/>
        </w:rPr>
        <w:t>Routledge</w:t>
      </w:r>
      <w:r w:rsidR="003D5B32">
        <w:rPr>
          <w:rFonts w:ascii="Times New Roman" w:eastAsia="Times New Roman" w:hAnsi="Times New Roman" w:cs="Times New Roman"/>
          <w:color w:val="000000"/>
          <w:sz w:val="24"/>
          <w:szCs w:val="24"/>
          <w:lang w:val="en-US" w:eastAsia="fr-FR"/>
        </w:rPr>
        <w:t>, 222p.</w:t>
      </w:r>
      <w:r w:rsidRPr="00F61BFB">
        <w:rPr>
          <w:rFonts w:ascii="Times New Roman" w:eastAsia="Times New Roman" w:hAnsi="Times New Roman" w:cs="Times New Roman"/>
          <w:color w:val="000000"/>
          <w:sz w:val="24"/>
          <w:szCs w:val="24"/>
          <w:lang w:val="en-US" w:eastAsia="fr-FR"/>
        </w:rPr>
        <w:t xml:space="preserve"> </w:t>
      </w:r>
      <w:r w:rsidR="003D5B32" w:rsidRPr="003D5B32">
        <w:rPr>
          <w:rFonts w:ascii="Times New Roman" w:eastAsia="Times New Roman" w:hAnsi="Times New Roman" w:cs="Times New Roman"/>
          <w:color w:val="000000"/>
          <w:sz w:val="24"/>
          <w:szCs w:val="24"/>
          <w:lang w:val="en-US" w:eastAsia="fr-FR"/>
        </w:rPr>
        <w:t>https://doi.org/10.</w:t>
      </w:r>
      <w:r w:rsidRPr="00F61BFB">
        <w:rPr>
          <w:rFonts w:ascii="Times New Roman" w:eastAsia="Times New Roman" w:hAnsi="Times New Roman" w:cs="Times New Roman"/>
          <w:color w:val="000000"/>
          <w:sz w:val="24"/>
          <w:szCs w:val="24"/>
          <w:lang w:val="en-US" w:eastAsia="fr-FR"/>
        </w:rPr>
        <w:t>4324/9781315629087.</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Garis</w:t>
      </w:r>
      <w:r w:rsidRPr="00F61BFB">
        <w:rPr>
          <w:rFonts w:ascii="Times New Roman" w:eastAsia="Times New Roman" w:hAnsi="Times New Roman" w:cs="Times New Roman"/>
          <w:b/>
          <w:bCs/>
          <w:color w:val="000000"/>
          <w:sz w:val="24"/>
          <w:szCs w:val="24"/>
          <w:lang w:val="en-US" w:eastAsia="fr-FR"/>
        </w:rPr>
        <w:t>, M.K., (2017):</w:t>
      </w:r>
      <w:r w:rsidRPr="00F61BFB">
        <w:rPr>
          <w:rFonts w:ascii="Times New Roman" w:eastAsia="Times New Roman" w:hAnsi="Times New Roman" w:cs="Times New Roman"/>
          <w:color w:val="000000"/>
          <w:sz w:val="24"/>
          <w:szCs w:val="24"/>
          <w:lang w:val="en-US" w:eastAsia="fr-FR"/>
        </w:rPr>
        <w:t xml:space="preserve"> "Exploring urban resilience to disasters</w:t>
      </w:r>
      <w:r w:rsidR="003D5B32">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The role of planning in the long-term community rebuilding of Kalamata after the 1986 earthquake", </w:t>
      </w:r>
      <w:r w:rsidRPr="007F0B55">
        <w:rPr>
          <w:rFonts w:ascii="Times New Roman" w:eastAsia="Times New Roman" w:hAnsi="Times New Roman" w:cs="Times New Roman"/>
          <w:color w:val="000000"/>
          <w:sz w:val="24"/>
          <w:szCs w:val="24"/>
          <w:lang w:val="en-US" w:eastAsia="fr-FR"/>
        </w:rPr>
        <w:t>thèse</w:t>
      </w:r>
      <w:r w:rsidRPr="00F61BFB">
        <w:rPr>
          <w:rFonts w:ascii="Times New Roman" w:eastAsia="Times New Roman" w:hAnsi="Times New Roman" w:cs="Times New Roman"/>
          <w:color w:val="000000"/>
          <w:sz w:val="24"/>
          <w:szCs w:val="24"/>
          <w:lang w:val="en-US" w:eastAsia="fr-FR"/>
        </w:rPr>
        <w:t xml:space="preserve"> de </w:t>
      </w:r>
      <w:r w:rsidRPr="007F0B55">
        <w:rPr>
          <w:rFonts w:ascii="Times New Roman" w:eastAsia="Times New Roman" w:hAnsi="Times New Roman" w:cs="Times New Roman"/>
          <w:color w:val="000000"/>
          <w:sz w:val="24"/>
          <w:szCs w:val="24"/>
          <w:lang w:val="en-US" w:eastAsia="fr-FR"/>
        </w:rPr>
        <w:t>doctorat</w:t>
      </w:r>
      <w:r w:rsidRPr="00F61BFB">
        <w:rPr>
          <w:rFonts w:ascii="Times New Roman" w:eastAsia="Times New Roman" w:hAnsi="Times New Roman" w:cs="Times New Roman"/>
          <w:color w:val="000000"/>
          <w:sz w:val="24"/>
          <w:szCs w:val="24"/>
          <w:lang w:val="en-US" w:eastAsia="fr-FR"/>
        </w:rPr>
        <w:t xml:space="preserve"> </w:t>
      </w:r>
      <w:r w:rsidRPr="007F0B55">
        <w:rPr>
          <w:rFonts w:ascii="Times New Roman" w:eastAsia="Times New Roman" w:hAnsi="Times New Roman" w:cs="Times New Roman"/>
          <w:color w:val="000000"/>
          <w:sz w:val="24"/>
          <w:szCs w:val="24"/>
          <w:lang w:val="en-US" w:eastAsia="fr-FR"/>
        </w:rPr>
        <w:t>en</w:t>
      </w:r>
      <w:r w:rsidRPr="00F61BFB">
        <w:rPr>
          <w:rFonts w:ascii="Times New Roman" w:eastAsia="Times New Roman" w:hAnsi="Times New Roman" w:cs="Times New Roman"/>
          <w:color w:val="000000"/>
          <w:sz w:val="24"/>
          <w:szCs w:val="24"/>
          <w:lang w:val="en-US" w:eastAsia="fr-FR"/>
        </w:rPr>
        <w:t xml:space="preserve"> </w:t>
      </w:r>
      <w:r w:rsidRPr="007F0B55">
        <w:rPr>
          <w:rFonts w:ascii="Times New Roman" w:eastAsia="Times New Roman" w:hAnsi="Times New Roman" w:cs="Times New Roman"/>
          <w:color w:val="000000"/>
          <w:sz w:val="24"/>
          <w:szCs w:val="24"/>
          <w:lang w:val="en-US" w:eastAsia="fr-FR"/>
        </w:rPr>
        <w:t>Aménagement</w:t>
      </w:r>
      <w:r w:rsidRPr="00F61BFB">
        <w:rPr>
          <w:rFonts w:ascii="Times New Roman" w:eastAsia="Times New Roman" w:hAnsi="Times New Roman" w:cs="Times New Roman"/>
          <w:color w:val="000000"/>
          <w:sz w:val="24"/>
          <w:szCs w:val="24"/>
          <w:lang w:val="en-US" w:eastAsia="fr-FR"/>
        </w:rPr>
        <w:t xml:space="preserve">, </w:t>
      </w:r>
      <w:r w:rsidRPr="007F0B55">
        <w:rPr>
          <w:rFonts w:ascii="Times New Roman" w:eastAsia="Times New Roman" w:hAnsi="Times New Roman" w:cs="Times New Roman"/>
          <w:i/>
          <w:iCs/>
          <w:color w:val="000000"/>
          <w:sz w:val="24"/>
          <w:szCs w:val="24"/>
          <w:lang w:val="en-US" w:eastAsia="fr-FR"/>
        </w:rPr>
        <w:t>Université</w:t>
      </w:r>
      <w:r w:rsidRPr="003D5B32">
        <w:rPr>
          <w:rFonts w:ascii="Times New Roman" w:eastAsia="Times New Roman" w:hAnsi="Times New Roman" w:cs="Times New Roman"/>
          <w:i/>
          <w:iCs/>
          <w:color w:val="000000"/>
          <w:sz w:val="24"/>
          <w:szCs w:val="24"/>
          <w:lang w:val="en-US" w:eastAsia="fr-FR"/>
        </w:rPr>
        <w:t xml:space="preserve"> de Montréal</w:t>
      </w:r>
      <w:r w:rsidRPr="00F61BFB">
        <w:rPr>
          <w:rFonts w:ascii="Times New Roman" w:eastAsia="Times New Roman" w:hAnsi="Times New Roman" w:cs="Times New Roman"/>
          <w:color w:val="000000"/>
          <w:sz w:val="24"/>
          <w:szCs w:val="24"/>
          <w:lang w:val="en-US" w:eastAsia="fr-FR"/>
        </w:rPr>
        <w:t>, 230p.</w:t>
      </w:r>
    </w:p>
    <w:p w:rsidR="00E724B9" w:rsidRPr="00515DA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Geis</w:t>
      </w:r>
      <w:r w:rsidRPr="00515DA1">
        <w:rPr>
          <w:rFonts w:ascii="Times New Roman" w:eastAsia="Times New Roman" w:hAnsi="Times New Roman" w:cs="Times New Roman"/>
          <w:b/>
          <w:bCs/>
          <w:color w:val="000000"/>
          <w:sz w:val="24"/>
          <w:szCs w:val="24"/>
          <w:lang w:val="en-US" w:eastAsia="fr-FR"/>
        </w:rPr>
        <w:t>, D. E.</w:t>
      </w:r>
      <w:r w:rsidR="00515DA1" w:rsidRPr="00515DA1">
        <w:rPr>
          <w:rFonts w:ascii="Times New Roman" w:eastAsia="Times New Roman" w:hAnsi="Times New Roman" w:cs="Times New Roman"/>
          <w:b/>
          <w:bCs/>
          <w:color w:val="000000"/>
          <w:sz w:val="24"/>
          <w:szCs w:val="24"/>
          <w:lang w:val="en-US" w:eastAsia="fr-FR"/>
        </w:rPr>
        <w:t>,</w:t>
      </w:r>
      <w:r w:rsidRPr="00515DA1">
        <w:rPr>
          <w:rFonts w:ascii="Times New Roman" w:eastAsia="Times New Roman" w:hAnsi="Times New Roman" w:cs="Times New Roman"/>
          <w:b/>
          <w:bCs/>
          <w:color w:val="000000"/>
          <w:sz w:val="24"/>
          <w:szCs w:val="24"/>
          <w:lang w:val="en-US" w:eastAsia="fr-FR"/>
        </w:rPr>
        <w:t xml:space="preserve"> (2000)</w:t>
      </w:r>
      <w:r w:rsidR="00515DA1" w:rsidRPr="00515DA1">
        <w:rPr>
          <w:rFonts w:ascii="Times New Roman" w:eastAsia="Times New Roman" w:hAnsi="Times New Roman" w:cs="Times New Roman"/>
          <w:b/>
          <w:bCs/>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00050FB8">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By design: the disaster resistant and quality-of-life community</w:t>
      </w:r>
      <w:r w:rsidR="00050FB8">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Pr="00050FB8">
        <w:rPr>
          <w:rFonts w:ascii="Times New Roman" w:eastAsia="Times New Roman" w:hAnsi="Times New Roman" w:cs="Times New Roman"/>
          <w:i/>
          <w:iCs/>
          <w:color w:val="000000"/>
          <w:sz w:val="24"/>
          <w:szCs w:val="24"/>
          <w:lang w:val="en-US" w:eastAsia="fr-FR"/>
        </w:rPr>
        <w:t>Natural Hazards Review</w:t>
      </w:r>
      <w:r w:rsidRPr="00515DA1">
        <w:rPr>
          <w:rFonts w:ascii="Times New Roman" w:eastAsia="Times New Roman" w:hAnsi="Times New Roman" w:cs="Times New Roman"/>
          <w:color w:val="000000"/>
          <w:sz w:val="24"/>
          <w:szCs w:val="24"/>
          <w:lang w:val="en-US" w:eastAsia="fr-FR"/>
        </w:rPr>
        <w:t>,</w:t>
      </w:r>
      <w:r w:rsidR="00515DA1" w:rsidRPr="00515DA1">
        <w:rPr>
          <w:rFonts w:ascii="Times New Roman" w:eastAsia="Times New Roman" w:hAnsi="Times New Roman" w:cs="Times New Roman"/>
          <w:color w:val="000000"/>
          <w:sz w:val="24"/>
          <w:szCs w:val="24"/>
          <w:lang w:val="en-US" w:eastAsia="fr-FR"/>
        </w:rPr>
        <w:t xml:space="preserve"> vol.</w:t>
      </w:r>
      <w:r w:rsidRPr="00515DA1">
        <w:rPr>
          <w:rFonts w:ascii="Times New Roman" w:eastAsia="Times New Roman" w:hAnsi="Times New Roman" w:cs="Times New Roman"/>
          <w:color w:val="000000"/>
          <w:sz w:val="24"/>
          <w:szCs w:val="24"/>
          <w:lang w:val="en-US" w:eastAsia="fr-FR"/>
        </w:rPr>
        <w:t xml:space="preserve"> 1</w:t>
      </w:r>
      <w:r w:rsidR="00515DA1" w:rsidRPr="00515DA1">
        <w:rPr>
          <w:rFonts w:ascii="Times New Roman" w:eastAsia="Times New Roman" w:hAnsi="Times New Roman" w:cs="Times New Roman"/>
          <w:color w:val="000000"/>
          <w:sz w:val="24"/>
          <w:szCs w:val="24"/>
          <w:lang w:val="en-US" w:eastAsia="fr-FR"/>
        </w:rPr>
        <w:t xml:space="preserve">, n° </w:t>
      </w:r>
      <w:r w:rsidRPr="00515DA1">
        <w:rPr>
          <w:rFonts w:ascii="Times New Roman" w:eastAsia="Times New Roman" w:hAnsi="Times New Roman" w:cs="Times New Roman"/>
          <w:color w:val="000000"/>
          <w:sz w:val="24"/>
          <w:szCs w:val="24"/>
          <w:lang w:val="en-US" w:eastAsia="fr-FR"/>
        </w:rPr>
        <w:t>3</w:t>
      </w:r>
      <w:r w:rsidR="00515DA1" w:rsidRPr="00515DA1">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00515DA1" w:rsidRPr="00515DA1">
        <w:rPr>
          <w:rFonts w:ascii="Times New Roman" w:eastAsia="Times New Roman" w:hAnsi="Times New Roman" w:cs="Times New Roman"/>
          <w:color w:val="000000"/>
          <w:sz w:val="24"/>
          <w:szCs w:val="24"/>
          <w:lang w:val="en-US" w:eastAsia="fr-FR"/>
        </w:rPr>
        <w:t xml:space="preserve">. </w:t>
      </w:r>
      <w:r w:rsidRPr="00515DA1">
        <w:rPr>
          <w:rFonts w:ascii="Times New Roman" w:eastAsia="Times New Roman" w:hAnsi="Times New Roman" w:cs="Times New Roman"/>
          <w:color w:val="000000"/>
          <w:sz w:val="24"/>
          <w:szCs w:val="24"/>
          <w:lang w:val="en-US" w:eastAsia="fr-FR"/>
        </w:rPr>
        <w:t>151-160.</w:t>
      </w:r>
    </w:p>
    <w:p w:rsidR="00E724B9" w:rsidRPr="0009236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George</w:t>
      </w:r>
      <w:r w:rsidRPr="00F61BFB">
        <w:rPr>
          <w:rFonts w:ascii="Times New Roman" w:eastAsia="Times New Roman" w:hAnsi="Times New Roman" w:cs="Times New Roman"/>
          <w:b/>
          <w:bCs/>
          <w:color w:val="000000" w:themeColor="text1"/>
          <w:sz w:val="24"/>
          <w:szCs w:val="24"/>
          <w:lang w:eastAsia="fr-FR"/>
        </w:rPr>
        <w:t xml:space="preserve">, P., (1978): </w:t>
      </w:r>
      <w:r w:rsidRPr="00F61BFB">
        <w:rPr>
          <w:rFonts w:ascii="Times New Roman" w:eastAsia="Times New Roman" w:hAnsi="Times New Roman" w:cs="Times New Roman"/>
          <w:color w:val="000000"/>
          <w:sz w:val="24"/>
          <w:szCs w:val="24"/>
          <w:lang w:eastAsia="fr-FR"/>
        </w:rPr>
        <w:t xml:space="preserve">"Les méthodes de la géographie. QSJ ?", </w:t>
      </w:r>
      <w:r w:rsidRPr="00715894">
        <w:rPr>
          <w:rFonts w:ascii="Times New Roman" w:eastAsia="Times New Roman" w:hAnsi="Times New Roman" w:cs="Times New Roman"/>
          <w:i/>
          <w:iCs/>
          <w:color w:val="000000"/>
          <w:sz w:val="24"/>
          <w:szCs w:val="24"/>
          <w:lang w:eastAsia="fr-FR"/>
        </w:rPr>
        <w:t>PUF</w:t>
      </w:r>
      <w:r w:rsidRPr="00F61BFB">
        <w:rPr>
          <w:rFonts w:ascii="Times New Roman" w:eastAsia="Times New Roman" w:hAnsi="Times New Roman" w:cs="Times New Roman"/>
          <w:color w:val="000000"/>
          <w:sz w:val="24"/>
          <w:szCs w:val="24"/>
          <w:lang w:eastAsia="fr-FR"/>
        </w:rPr>
        <w:t>, Paris. 127p</w:t>
      </w:r>
    </w:p>
    <w:p w:rsidR="00E724B9" w:rsidRDefault="00B62F86" w:rsidP="00AE6E2D">
      <w:pPr>
        <w:autoSpaceDE w:val="0"/>
        <w:autoSpaceDN w:val="0"/>
        <w:adjustRightInd w:val="0"/>
        <w:spacing w:line="240" w:lineRule="auto"/>
        <w:jc w:val="both"/>
        <w:rPr>
          <w:rFonts w:ascii="Times New Roman" w:eastAsia="Times New Roman" w:hAnsi="Times New Roman" w:cs="Times New Roman"/>
          <w:b/>
          <w:bCs/>
          <w:color w:val="000000"/>
          <w:sz w:val="24"/>
          <w:szCs w:val="24"/>
          <w:lang w:eastAsia="fr-FR"/>
        </w:rPr>
      </w:pPr>
      <w:hyperlink r:id="rId375" w:history="1">
        <w:r w:rsidR="00E724B9" w:rsidRPr="002E648F">
          <w:rPr>
            <w:rFonts w:ascii="Times New Roman" w:eastAsia="Times New Roman" w:hAnsi="Times New Roman" w:cs="Times New Roman"/>
            <w:b/>
            <w:bCs/>
            <w:color w:val="000000"/>
            <w:sz w:val="24"/>
            <w:szCs w:val="24"/>
            <w:lang w:eastAsia="fr-FR"/>
          </w:rPr>
          <w:t xml:space="preserve">Géraldine D T., Le </w:t>
        </w:r>
        <w:r w:rsidR="00050FB8" w:rsidRPr="002E648F">
          <w:rPr>
            <w:rFonts w:ascii="Times New Roman" w:eastAsia="Times New Roman" w:hAnsi="Times New Roman" w:cs="Times New Roman"/>
            <w:b/>
            <w:bCs/>
            <w:color w:val="000000"/>
            <w:sz w:val="24"/>
            <w:szCs w:val="24"/>
            <w:lang w:eastAsia="fr-FR"/>
          </w:rPr>
          <w:t>Bl</w:t>
        </w:r>
        <w:r w:rsidR="00050FB8">
          <w:rPr>
            <w:rFonts w:ascii="Times New Roman" w:eastAsia="Times New Roman" w:hAnsi="Times New Roman" w:cs="Times New Roman"/>
            <w:b/>
            <w:bCs/>
            <w:color w:val="000000"/>
            <w:sz w:val="24"/>
            <w:szCs w:val="24"/>
            <w:lang w:eastAsia="fr-FR"/>
          </w:rPr>
          <w:t xml:space="preserve">anc A., L’homme S., Rufat S. &amp; </w:t>
        </w:r>
        <w:r w:rsidR="00E724B9" w:rsidRPr="00F61BFB">
          <w:rPr>
            <w:rFonts w:ascii="Times New Roman" w:eastAsia="Times New Roman" w:hAnsi="Times New Roman" w:cs="Times New Roman"/>
            <w:b/>
            <w:bCs/>
            <w:color w:val="000000"/>
            <w:sz w:val="24"/>
            <w:szCs w:val="24"/>
            <w:lang w:eastAsia="fr-FR"/>
          </w:rPr>
          <w:t xml:space="preserve">Reghezza-Zitt M., </w:t>
        </w:r>
        <w:r w:rsidR="00050FB8">
          <w:rPr>
            <w:rFonts w:ascii="Times New Roman" w:eastAsia="Times New Roman" w:hAnsi="Times New Roman" w:cs="Times New Roman"/>
            <w:b/>
            <w:bCs/>
            <w:color w:val="000000"/>
            <w:sz w:val="24"/>
            <w:szCs w:val="24"/>
            <w:lang w:eastAsia="fr-FR"/>
          </w:rPr>
          <w:t>(</w:t>
        </w:r>
        <w:r w:rsidR="00E724B9" w:rsidRPr="00F61BFB">
          <w:rPr>
            <w:rFonts w:ascii="Times New Roman" w:eastAsia="Times New Roman" w:hAnsi="Times New Roman" w:cs="Times New Roman"/>
            <w:b/>
            <w:bCs/>
            <w:color w:val="000000"/>
            <w:sz w:val="24"/>
            <w:szCs w:val="24"/>
            <w:lang w:eastAsia="fr-FR"/>
          </w:rPr>
          <w:t>2011</w:t>
        </w:r>
        <w:r w:rsidR="00050FB8">
          <w:rPr>
            <w:rFonts w:ascii="Times New Roman" w:eastAsia="Times New Roman" w:hAnsi="Times New Roman" w:cs="Times New Roman"/>
            <w:b/>
            <w:bCs/>
            <w:color w:val="000000"/>
            <w:sz w:val="24"/>
            <w:szCs w:val="24"/>
            <w:lang w:eastAsia="fr-FR"/>
          </w:rPr>
          <w:t>) :</w:t>
        </w:r>
        <w:r w:rsidR="00E724B9" w:rsidRPr="00F61BFB">
          <w:rPr>
            <w:rFonts w:ascii="Times New Roman" w:eastAsia="Times New Roman" w:hAnsi="Times New Roman" w:cs="Times New Roman"/>
            <w:color w:val="000000"/>
            <w:sz w:val="24"/>
            <w:szCs w:val="24"/>
            <w:lang w:eastAsia="fr-FR"/>
          </w:rPr>
          <w:t xml:space="preserve"> </w:t>
        </w:r>
        <w:r w:rsidR="00050FB8">
          <w:rPr>
            <w:rFonts w:ascii="Times New Roman" w:eastAsia="Times New Roman" w:hAnsi="Times New Roman" w:cs="Times New Roman"/>
            <w:color w:val="000000"/>
            <w:sz w:val="24"/>
            <w:szCs w:val="24"/>
            <w:lang w:eastAsia="fr-FR"/>
          </w:rPr>
          <w:t>"</w:t>
        </w:r>
        <w:r w:rsidR="00E724B9" w:rsidRPr="00F61BFB">
          <w:rPr>
            <w:rFonts w:ascii="Times New Roman" w:eastAsia="Times New Roman" w:hAnsi="Times New Roman" w:cs="Times New Roman"/>
            <w:color w:val="000000"/>
            <w:sz w:val="24"/>
            <w:szCs w:val="24"/>
            <w:lang w:eastAsia="fr-FR"/>
          </w:rPr>
          <w:t>Ce que la résilience n'est pas, ce qu'on veut lui faire dire</w:t>
        </w:r>
        <w:r w:rsidR="00050FB8">
          <w:rPr>
            <w:rFonts w:ascii="Times New Roman" w:eastAsia="Times New Roman" w:hAnsi="Times New Roman" w:cs="Times New Roman"/>
            <w:color w:val="000000"/>
            <w:sz w:val="24"/>
            <w:szCs w:val="24"/>
            <w:lang w:eastAsia="fr-FR"/>
          </w:rPr>
          <w:t>",</w:t>
        </w:r>
        <w:r w:rsidR="00E724B9" w:rsidRPr="00F61BFB">
          <w:rPr>
            <w:rFonts w:ascii="Times New Roman" w:eastAsia="Times New Roman" w:hAnsi="Times New Roman" w:cs="Times New Roman"/>
            <w:color w:val="000000"/>
            <w:sz w:val="24"/>
            <w:szCs w:val="24"/>
            <w:lang w:eastAsia="fr-FR"/>
          </w:rPr>
          <w:t xml:space="preserve"> </w:t>
        </w:r>
        <w:r w:rsidR="00E724B9" w:rsidRPr="00050FB8">
          <w:rPr>
            <w:rFonts w:ascii="Times New Roman" w:eastAsia="Times New Roman" w:hAnsi="Times New Roman" w:cs="Times New Roman"/>
            <w:i/>
            <w:iCs/>
            <w:color w:val="000000"/>
            <w:sz w:val="24"/>
            <w:szCs w:val="24"/>
            <w:lang w:eastAsia="fr-FR"/>
          </w:rPr>
          <w:t>hal-00679293</w:t>
        </w:r>
        <w:r w:rsidR="00E724B9" w:rsidRPr="00F61BFB">
          <w:rPr>
            <w:rFonts w:ascii="Times New Roman" w:eastAsia="Times New Roman" w:hAnsi="Times New Roman" w:cs="Times New Roman"/>
            <w:color w:val="000000"/>
            <w:sz w:val="24"/>
            <w:szCs w:val="24"/>
            <w:lang w:eastAsia="fr-FR"/>
          </w:rPr>
          <w:t xml:space="preserve">. https://hal.archives-ouvertes.fr/hal-00679293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Gilbert</w:t>
      </w:r>
      <w:r w:rsidRPr="00867B00">
        <w:rPr>
          <w:rFonts w:ascii="Times New Roman" w:eastAsia="Times New Roman" w:hAnsi="Times New Roman" w:cs="Times New Roman"/>
          <w:b/>
          <w:bCs/>
          <w:color w:val="000000"/>
          <w:sz w:val="24"/>
          <w:szCs w:val="24"/>
          <w:lang w:val="en-US" w:eastAsia="fr-FR"/>
        </w:rPr>
        <w:t>, S. W.</w:t>
      </w:r>
      <w:r w:rsidR="00867B00">
        <w:rPr>
          <w:rFonts w:ascii="Times New Roman" w:eastAsia="Times New Roman" w:hAnsi="Times New Roman" w:cs="Times New Roman"/>
          <w:b/>
          <w:bCs/>
          <w:color w:val="000000"/>
          <w:sz w:val="24"/>
          <w:szCs w:val="24"/>
          <w:lang w:val="en-US" w:eastAsia="fr-FR"/>
        </w:rPr>
        <w:t>,</w:t>
      </w:r>
      <w:r w:rsidRPr="00867B00">
        <w:rPr>
          <w:rFonts w:ascii="Times New Roman" w:eastAsia="Times New Roman" w:hAnsi="Times New Roman" w:cs="Times New Roman"/>
          <w:b/>
          <w:bCs/>
          <w:color w:val="000000"/>
          <w:sz w:val="24"/>
          <w:szCs w:val="24"/>
          <w:lang w:val="en-US" w:eastAsia="fr-FR"/>
        </w:rPr>
        <w:t xml:space="preserve"> (2010)</w:t>
      </w:r>
      <w:r w:rsidR="00867B00" w:rsidRPr="00867B00">
        <w:rPr>
          <w:rFonts w:ascii="Times New Roman" w:eastAsia="Times New Roman" w:hAnsi="Times New Roman" w:cs="Times New Roman"/>
          <w:b/>
          <w:bCs/>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00867B00">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Disaster resilience: A guide to the literature</w:t>
      </w:r>
      <w:r w:rsidR="00867B00">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Pr="00867B00">
        <w:rPr>
          <w:rFonts w:ascii="Times New Roman" w:eastAsia="Times New Roman" w:hAnsi="Times New Roman" w:cs="Times New Roman"/>
          <w:i/>
          <w:iCs/>
          <w:color w:val="000000"/>
          <w:sz w:val="24"/>
          <w:szCs w:val="24"/>
          <w:lang w:val="en-US" w:eastAsia="fr-FR"/>
        </w:rPr>
        <w:t>NIST Special Publication</w:t>
      </w:r>
      <w:r w:rsidRPr="00F61BFB">
        <w:rPr>
          <w:rFonts w:ascii="Times New Roman" w:eastAsia="Times New Roman" w:hAnsi="Times New Roman" w:cs="Times New Roman"/>
          <w:color w:val="000000"/>
          <w:sz w:val="24"/>
          <w:szCs w:val="24"/>
          <w:lang w:val="en-US" w:eastAsia="fr-FR"/>
        </w:rPr>
        <w:t xml:space="preserve"> </w:t>
      </w:r>
      <w:r w:rsidRPr="00867B00">
        <w:rPr>
          <w:rFonts w:ascii="Times New Roman" w:eastAsia="Times New Roman" w:hAnsi="Times New Roman" w:cs="Times New Roman"/>
          <w:i/>
          <w:iCs/>
          <w:color w:val="000000"/>
          <w:sz w:val="24"/>
          <w:szCs w:val="24"/>
          <w:lang w:val="en-US" w:eastAsia="fr-FR"/>
        </w:rPr>
        <w:t>1117</w:t>
      </w:r>
      <w:r w:rsidR="00867B00">
        <w:rPr>
          <w:rFonts w:ascii="Times New Roman" w:eastAsia="Times New Roman" w:hAnsi="Times New Roman" w:cs="Times New Roman"/>
          <w:color w:val="000000"/>
          <w:sz w:val="24"/>
          <w:szCs w:val="24"/>
          <w:lang w:val="en-US" w:eastAsia="fr-FR"/>
        </w:rPr>
        <w:t xml:space="preserve">, </w:t>
      </w:r>
      <w:r w:rsidR="00A75084">
        <w:rPr>
          <w:rFonts w:ascii="Times New Roman" w:eastAsia="Times New Roman" w:hAnsi="Times New Roman" w:cs="Times New Roman"/>
          <w:color w:val="000000"/>
          <w:sz w:val="24"/>
          <w:szCs w:val="24"/>
          <w:lang w:val="en-US" w:eastAsia="fr-FR"/>
        </w:rPr>
        <w:t>113p.</w:t>
      </w:r>
    </w:p>
    <w:p w:rsidR="00E14D82" w:rsidRPr="00172BB0" w:rsidRDefault="00E14D82"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Gisclard</w:t>
      </w:r>
      <w:r w:rsidRPr="00066F35">
        <w:rPr>
          <w:rFonts w:ascii="Times New Roman" w:eastAsia="Times New Roman" w:hAnsi="Times New Roman" w:cs="Times New Roman"/>
          <w:b/>
          <w:bCs/>
          <w:color w:val="000000"/>
          <w:sz w:val="24"/>
          <w:szCs w:val="24"/>
          <w:lang w:eastAsia="fr-FR"/>
        </w:rPr>
        <w:t>, B., (2017):</w:t>
      </w:r>
      <w:r w:rsidRPr="00066F35">
        <w:rPr>
          <w:rFonts w:ascii="Times New Roman" w:eastAsia="Times New Roman" w:hAnsi="Times New Roman" w:cs="Times New Roman"/>
          <w:color w:val="000000"/>
          <w:sz w:val="24"/>
          <w:szCs w:val="24"/>
          <w:lang w:eastAsia="fr-FR"/>
        </w:rPr>
        <w:t xml:space="preserve"> “L’innovation sociale territorialisée: un levier de réappropriation du risque inondation par les habitants”,</w:t>
      </w:r>
      <w:r w:rsidR="00172BB0" w:rsidRPr="00066F35">
        <w:rPr>
          <w:rFonts w:ascii="Times New Roman" w:eastAsia="Times New Roman" w:hAnsi="Times New Roman" w:cs="Times New Roman"/>
          <w:color w:val="000000"/>
          <w:sz w:val="24"/>
          <w:szCs w:val="24"/>
          <w:lang w:eastAsia="fr-FR"/>
        </w:rPr>
        <w:t xml:space="preserve"> Thèse de doctorat, </w:t>
      </w:r>
      <w:r w:rsidRPr="00066F35">
        <w:rPr>
          <w:rFonts w:asciiTheme="majorBidi" w:hAnsiTheme="majorBidi" w:cstheme="majorBidi"/>
          <w:i/>
          <w:iCs/>
          <w:sz w:val="24"/>
          <w:szCs w:val="24"/>
        </w:rPr>
        <w:t>Université d’Avignon et des pays de Vaucluse</w:t>
      </w:r>
      <w:r w:rsidR="00172BB0" w:rsidRPr="00066F35">
        <w:rPr>
          <w:rFonts w:ascii="TimesNewRomanPSMT" w:hAnsi="TimesNewRomanPSMT" w:cs="TimesNewRomanPSMT"/>
          <w:sz w:val="20"/>
          <w:szCs w:val="20"/>
        </w:rPr>
        <w:t>,</w:t>
      </w:r>
      <w:r w:rsidR="00172BB0" w:rsidRPr="00066F35">
        <w:rPr>
          <w:rFonts w:asciiTheme="majorBidi" w:hAnsiTheme="majorBidi" w:cstheme="majorBidi"/>
          <w:sz w:val="24"/>
          <w:szCs w:val="24"/>
        </w:rPr>
        <w:t xml:space="preserve"> </w:t>
      </w:r>
      <w:r w:rsidR="00066F35" w:rsidRPr="00066F35">
        <w:rPr>
          <w:rFonts w:asciiTheme="majorBidi" w:hAnsiTheme="majorBidi" w:cstheme="majorBidi"/>
          <w:sz w:val="24"/>
          <w:szCs w:val="24"/>
        </w:rPr>
        <w:t>412p.</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Godschalk</w:t>
      </w:r>
      <w:r w:rsidRPr="00F61BFB">
        <w:rPr>
          <w:rFonts w:ascii="Times New Roman" w:eastAsia="Times New Roman" w:hAnsi="Times New Roman" w:cs="Times New Roman"/>
          <w:b/>
          <w:bCs/>
          <w:color w:val="000000"/>
          <w:sz w:val="24"/>
          <w:szCs w:val="24"/>
          <w:lang w:val="en-US" w:eastAsia="fr-FR"/>
        </w:rPr>
        <w:t>, D.R., (2003):</w:t>
      </w:r>
      <w:r w:rsidRPr="00F61BFB">
        <w:rPr>
          <w:rFonts w:ascii="Times New Roman" w:eastAsia="Times New Roman" w:hAnsi="Times New Roman" w:cs="Times New Roman"/>
          <w:color w:val="000000"/>
          <w:sz w:val="24"/>
          <w:szCs w:val="24"/>
          <w:lang w:val="en-US" w:eastAsia="fr-FR"/>
        </w:rPr>
        <w:t xml:space="preserve"> </w:t>
      </w:r>
      <w:r w:rsidR="00867B00">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Urban hazard mitigation: creating resilient cities</w:t>
      </w:r>
      <w:r w:rsidR="00867B00">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Pr="00867B00">
        <w:rPr>
          <w:rFonts w:ascii="Times New Roman" w:eastAsia="Times New Roman" w:hAnsi="Times New Roman" w:cs="Times New Roman"/>
          <w:i/>
          <w:iCs/>
          <w:color w:val="000000"/>
          <w:sz w:val="24"/>
          <w:szCs w:val="24"/>
          <w:lang w:val="en-US" w:eastAsia="fr-FR"/>
        </w:rPr>
        <w:t>Natural hazards review</w:t>
      </w:r>
      <w:r w:rsidRPr="00867B00">
        <w:rPr>
          <w:rFonts w:ascii="Times New Roman" w:eastAsia="Times New Roman" w:hAnsi="Times New Roman" w:cs="Times New Roman"/>
          <w:color w:val="000000"/>
          <w:sz w:val="24"/>
          <w:szCs w:val="24"/>
          <w:lang w:val="en-US" w:eastAsia="fr-FR"/>
        </w:rPr>
        <w:t xml:space="preserve">, </w:t>
      </w:r>
      <w:r w:rsidR="00867B00" w:rsidRPr="00867B00">
        <w:rPr>
          <w:rFonts w:ascii="Times New Roman" w:eastAsia="Times New Roman" w:hAnsi="Times New Roman" w:cs="Times New Roman"/>
          <w:color w:val="000000"/>
          <w:sz w:val="24"/>
          <w:szCs w:val="24"/>
          <w:lang w:val="en-US" w:eastAsia="fr-FR"/>
        </w:rPr>
        <w:t xml:space="preserve">vol. </w:t>
      </w:r>
      <w:r w:rsidRPr="00867B00">
        <w:rPr>
          <w:rFonts w:ascii="Times New Roman" w:eastAsia="Times New Roman" w:hAnsi="Times New Roman" w:cs="Times New Roman"/>
          <w:color w:val="000000"/>
          <w:sz w:val="24"/>
          <w:szCs w:val="24"/>
          <w:lang w:val="en-US" w:eastAsia="fr-FR"/>
        </w:rPr>
        <w:t>4</w:t>
      </w:r>
      <w:r w:rsidR="00867B00" w:rsidRPr="00867B00">
        <w:rPr>
          <w:rFonts w:ascii="Times New Roman" w:eastAsia="Times New Roman" w:hAnsi="Times New Roman" w:cs="Times New Roman"/>
          <w:color w:val="000000"/>
          <w:sz w:val="24"/>
          <w:szCs w:val="24"/>
          <w:lang w:val="en-US" w:eastAsia="fr-FR"/>
        </w:rPr>
        <w:t xml:space="preserve">, n° </w:t>
      </w:r>
      <w:r w:rsidRPr="00867B00">
        <w:rPr>
          <w:rFonts w:ascii="Times New Roman" w:eastAsia="Times New Roman" w:hAnsi="Times New Roman" w:cs="Times New Roman"/>
          <w:color w:val="000000"/>
          <w:sz w:val="24"/>
          <w:szCs w:val="24"/>
          <w:lang w:val="en-US" w:eastAsia="fr-FR"/>
        </w:rPr>
        <w:t xml:space="preserve">3, </w:t>
      </w:r>
      <w:r w:rsidR="00B26A4B">
        <w:rPr>
          <w:rFonts w:ascii="Times New Roman" w:eastAsia="Times New Roman" w:hAnsi="Times New Roman" w:cs="Times New Roman"/>
          <w:color w:val="000000"/>
          <w:sz w:val="24"/>
          <w:szCs w:val="24"/>
          <w:lang w:val="en-US" w:eastAsia="fr-FR"/>
        </w:rPr>
        <w:t>p</w:t>
      </w:r>
      <w:r w:rsidRPr="00867B00">
        <w:rPr>
          <w:rFonts w:ascii="Times New Roman" w:eastAsia="Times New Roman" w:hAnsi="Times New Roman" w:cs="Times New Roman"/>
          <w:color w:val="000000"/>
          <w:sz w:val="24"/>
          <w:szCs w:val="24"/>
          <w:lang w:val="en-US" w:eastAsia="fr-FR"/>
        </w:rPr>
        <w:t>p. 136–143.</w:t>
      </w:r>
    </w:p>
    <w:p w:rsidR="00D24F05" w:rsidRPr="00D24F05" w:rsidRDefault="00D24F05" w:rsidP="00AE6E2D">
      <w:pPr>
        <w:autoSpaceDE w:val="0"/>
        <w:autoSpaceDN w:val="0"/>
        <w:adjustRightInd w:val="0"/>
        <w:spacing w:line="240" w:lineRule="auto"/>
        <w:jc w:val="both"/>
        <w:rPr>
          <w:rFonts w:asciiTheme="majorBidi" w:eastAsia="Times New Roman" w:hAnsiTheme="majorBidi" w:cstheme="majorBidi"/>
          <w:color w:val="000000"/>
          <w:sz w:val="32"/>
          <w:szCs w:val="32"/>
          <w:lang w:val="en-US" w:eastAsia="fr-FR"/>
        </w:rPr>
      </w:pPr>
      <w:r w:rsidRPr="00E40DF8">
        <w:rPr>
          <w:rFonts w:ascii="Times New Roman" w:eastAsia="Times New Roman" w:hAnsi="Times New Roman" w:cs="Times New Roman"/>
          <w:b/>
          <w:bCs/>
          <w:color w:val="000000"/>
          <w:sz w:val="24"/>
          <w:szCs w:val="24"/>
          <w:lang w:val="en-US" w:eastAsia="fr-FR"/>
        </w:rPr>
        <w:t>Goepel, K. D., (2013):</w:t>
      </w:r>
      <w:r w:rsidRPr="00D24F05">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D24F05">
        <w:rPr>
          <w:rFonts w:asciiTheme="majorBidi" w:hAnsiTheme="majorBidi" w:cstheme="majorBidi"/>
          <w:sz w:val="24"/>
          <w:szCs w:val="24"/>
          <w:lang w:val="en-US"/>
        </w:rPr>
        <w:t>Implementing the analytic hierarchy process as a standard method for multi-criteria decision making in corporate enterprises–a new AHP excel template with multiple inputs</w:t>
      </w:r>
      <w:r>
        <w:rPr>
          <w:rFonts w:asciiTheme="majorBidi" w:hAnsiTheme="majorBidi" w:cstheme="majorBidi"/>
          <w:sz w:val="24"/>
          <w:szCs w:val="24"/>
          <w:lang w:val="en-US"/>
        </w:rPr>
        <w:t>”,</w:t>
      </w:r>
      <w:r w:rsidRPr="00D24F05">
        <w:rPr>
          <w:rFonts w:asciiTheme="majorBidi" w:hAnsiTheme="majorBidi" w:cstheme="majorBidi"/>
          <w:sz w:val="24"/>
          <w:szCs w:val="24"/>
          <w:lang w:val="en-US"/>
        </w:rPr>
        <w:t xml:space="preserve"> Proceedings of the international symposium on the analytic hierarchy process.</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Gonzva</w:t>
      </w:r>
      <w:r w:rsidRPr="00F61BFB">
        <w:rPr>
          <w:rFonts w:ascii="Times New Roman" w:eastAsia="Times New Roman" w:hAnsi="Times New Roman" w:cs="Times New Roman"/>
          <w:b/>
          <w:bCs/>
          <w:color w:val="000000"/>
          <w:sz w:val="24"/>
          <w:szCs w:val="24"/>
          <w:lang w:eastAsia="fr-FR"/>
        </w:rPr>
        <w:t>, M.,( 2017) :</w:t>
      </w:r>
      <w:r w:rsidRPr="00F61BFB">
        <w:rPr>
          <w:rFonts w:ascii="Times New Roman" w:eastAsia="Times New Roman" w:hAnsi="Times New Roman" w:cs="Times New Roman"/>
          <w:color w:val="000000"/>
          <w:sz w:val="24"/>
          <w:szCs w:val="24"/>
          <w:lang w:eastAsia="fr-FR"/>
        </w:rPr>
        <w:t xml:space="preserve"> "Résilience des systèmes de transport guidé en milieu urbain : approche quantitative des perturbations et stratégies de gestion", Thèse de doctorat, </w:t>
      </w:r>
      <w:r w:rsidRPr="00867B00">
        <w:rPr>
          <w:rFonts w:ascii="Times New Roman" w:eastAsia="Times New Roman" w:hAnsi="Times New Roman" w:cs="Times New Roman"/>
          <w:i/>
          <w:iCs/>
          <w:color w:val="000000"/>
          <w:sz w:val="24"/>
          <w:szCs w:val="24"/>
          <w:lang w:eastAsia="fr-FR"/>
        </w:rPr>
        <w:t>Université Paris-Est</w:t>
      </w:r>
      <w:r w:rsidRPr="00F61BFB">
        <w:rPr>
          <w:rFonts w:ascii="Times New Roman" w:eastAsia="Times New Roman" w:hAnsi="Times New Roman" w:cs="Times New Roman"/>
          <w:color w:val="000000"/>
          <w:sz w:val="24"/>
          <w:szCs w:val="24"/>
          <w:lang w:eastAsia="fr-FR"/>
        </w:rPr>
        <w:t>, 460p</w:t>
      </w:r>
    </w:p>
    <w:p w:rsidR="00E724B9" w:rsidRPr="0009236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Gordon</w:t>
      </w:r>
      <w:r w:rsidRPr="000F5EC4">
        <w:rPr>
          <w:rFonts w:ascii="Times New Roman" w:eastAsia="Times New Roman" w:hAnsi="Times New Roman" w:cs="Times New Roman"/>
          <w:b/>
          <w:bCs/>
          <w:color w:val="000000"/>
          <w:sz w:val="24"/>
          <w:szCs w:val="24"/>
          <w:lang w:val="en-US" w:eastAsia="fr-FR"/>
        </w:rPr>
        <w:t>, T. J.</w:t>
      </w:r>
      <w:r w:rsidR="000F5EC4" w:rsidRPr="000F5EC4">
        <w:rPr>
          <w:rFonts w:ascii="Times New Roman" w:eastAsia="Times New Roman" w:hAnsi="Times New Roman" w:cs="Times New Roman"/>
          <w:b/>
          <w:bCs/>
          <w:color w:val="000000"/>
          <w:sz w:val="24"/>
          <w:szCs w:val="24"/>
          <w:lang w:val="en-US" w:eastAsia="fr-FR"/>
        </w:rPr>
        <w:t>,</w:t>
      </w:r>
      <w:r w:rsidRPr="000F5EC4">
        <w:rPr>
          <w:rFonts w:ascii="Times New Roman" w:eastAsia="Times New Roman" w:hAnsi="Times New Roman" w:cs="Times New Roman"/>
          <w:b/>
          <w:bCs/>
          <w:color w:val="000000"/>
          <w:sz w:val="24"/>
          <w:szCs w:val="24"/>
          <w:lang w:val="en-US" w:eastAsia="fr-FR"/>
        </w:rPr>
        <w:t xml:space="preserve"> </w:t>
      </w:r>
      <w:r w:rsidR="000F5EC4" w:rsidRPr="000F5EC4">
        <w:rPr>
          <w:rFonts w:ascii="Times New Roman" w:eastAsia="Times New Roman" w:hAnsi="Times New Roman" w:cs="Times New Roman"/>
          <w:b/>
          <w:bCs/>
          <w:color w:val="000000"/>
          <w:sz w:val="24"/>
          <w:szCs w:val="24"/>
          <w:lang w:val="en-US" w:eastAsia="fr-FR"/>
        </w:rPr>
        <w:t>(</w:t>
      </w:r>
      <w:r w:rsidRPr="000F5EC4">
        <w:rPr>
          <w:rFonts w:ascii="Times New Roman" w:eastAsia="Times New Roman" w:hAnsi="Times New Roman" w:cs="Times New Roman"/>
          <w:b/>
          <w:bCs/>
          <w:color w:val="000000"/>
          <w:sz w:val="24"/>
          <w:szCs w:val="24"/>
          <w:lang w:val="en-US" w:eastAsia="fr-FR"/>
        </w:rPr>
        <w:t>1994</w:t>
      </w:r>
      <w:r w:rsidR="000F5EC4" w:rsidRPr="000F5EC4">
        <w:rPr>
          <w:rFonts w:ascii="Times New Roman" w:eastAsia="Times New Roman" w:hAnsi="Times New Roman" w:cs="Times New Roman"/>
          <w:b/>
          <w:bCs/>
          <w:color w:val="000000"/>
          <w:sz w:val="24"/>
          <w:szCs w:val="24"/>
          <w:lang w:val="en-US" w:eastAsia="fr-FR"/>
        </w:rPr>
        <w:t>):</w:t>
      </w:r>
      <w:r w:rsidRPr="000F5EC4">
        <w:rPr>
          <w:rFonts w:ascii="Times New Roman" w:eastAsia="Times New Roman" w:hAnsi="Times New Roman" w:cs="Times New Roman"/>
          <w:color w:val="000000"/>
          <w:sz w:val="24"/>
          <w:szCs w:val="24"/>
          <w:lang w:val="en-US" w:eastAsia="fr-FR"/>
        </w:rPr>
        <w:t xml:space="preserve"> </w:t>
      </w:r>
      <w:r w:rsidR="000F5EC4">
        <w:rPr>
          <w:rFonts w:ascii="Times New Roman" w:eastAsia="Times New Roman" w:hAnsi="Times New Roman" w:cs="Times New Roman"/>
          <w:color w:val="000000"/>
          <w:sz w:val="24"/>
          <w:szCs w:val="24"/>
          <w:lang w:val="en-US" w:eastAsia="fr-FR"/>
        </w:rPr>
        <w:t>“</w:t>
      </w:r>
      <w:r w:rsidRPr="000F5EC4">
        <w:rPr>
          <w:rFonts w:ascii="Times New Roman" w:eastAsia="Times New Roman" w:hAnsi="Times New Roman" w:cs="Times New Roman"/>
          <w:color w:val="000000"/>
          <w:sz w:val="24"/>
          <w:szCs w:val="24"/>
          <w:lang w:val="en-US" w:eastAsia="fr-FR"/>
        </w:rPr>
        <w:t>The Delphi method</w:t>
      </w:r>
      <w:r w:rsidR="000F5EC4">
        <w:rPr>
          <w:rFonts w:ascii="Times New Roman" w:eastAsia="Times New Roman" w:hAnsi="Times New Roman" w:cs="Times New Roman"/>
          <w:color w:val="000000"/>
          <w:sz w:val="24"/>
          <w:szCs w:val="24"/>
          <w:lang w:val="en-US" w:eastAsia="fr-FR"/>
        </w:rPr>
        <w:t>”,</w:t>
      </w:r>
      <w:r w:rsidRPr="000F5EC4">
        <w:rPr>
          <w:rFonts w:ascii="Times New Roman" w:eastAsia="Times New Roman" w:hAnsi="Times New Roman" w:cs="Times New Roman"/>
          <w:color w:val="000000"/>
          <w:sz w:val="24"/>
          <w:szCs w:val="24"/>
          <w:lang w:val="en-US" w:eastAsia="fr-FR"/>
        </w:rPr>
        <w:t xml:space="preserve"> USA: AC/UNU Millennium Project, </w:t>
      </w:r>
      <w:r w:rsidRPr="000F5EC4">
        <w:rPr>
          <w:rFonts w:ascii="Times New Roman" w:eastAsia="Times New Roman" w:hAnsi="Times New Roman" w:cs="Times New Roman"/>
          <w:i/>
          <w:iCs/>
          <w:color w:val="000000"/>
          <w:sz w:val="24"/>
          <w:szCs w:val="24"/>
          <w:lang w:val="en-US" w:eastAsia="fr-FR"/>
        </w:rPr>
        <w:t>Futures research methodology 3</w:t>
      </w:r>
      <w:r w:rsidRPr="000F5EC4">
        <w:rPr>
          <w:rFonts w:ascii="Times New Roman" w:eastAsia="Times New Roman" w:hAnsi="Times New Roman" w:cs="Times New Roman"/>
          <w:color w:val="000000"/>
          <w:sz w:val="24"/>
          <w:szCs w:val="24"/>
          <w:lang w:val="en-US" w:eastAsia="fr-FR"/>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Gourbesville</w:t>
      </w:r>
      <w:r w:rsidRPr="00515DA1">
        <w:rPr>
          <w:rFonts w:ascii="Times New Roman" w:eastAsia="Times New Roman" w:hAnsi="Times New Roman" w:cs="Times New Roman"/>
          <w:b/>
          <w:bCs/>
          <w:color w:val="000000"/>
          <w:sz w:val="24"/>
          <w:szCs w:val="24"/>
          <w:lang w:val="en-US" w:eastAsia="fr-FR"/>
        </w:rPr>
        <w:t>, P.</w:t>
      </w:r>
      <w:r w:rsidR="00EC60E2" w:rsidRPr="00515DA1">
        <w:rPr>
          <w:rFonts w:ascii="Times New Roman" w:eastAsia="Times New Roman" w:hAnsi="Times New Roman" w:cs="Times New Roman"/>
          <w:b/>
          <w:bCs/>
          <w:color w:val="000000"/>
          <w:sz w:val="24"/>
          <w:szCs w:val="24"/>
          <w:lang w:val="en-US" w:eastAsia="fr-FR"/>
        </w:rPr>
        <w:t>,</w:t>
      </w:r>
      <w:r w:rsidRPr="00515DA1">
        <w:rPr>
          <w:rFonts w:ascii="Times New Roman" w:eastAsia="Times New Roman" w:hAnsi="Times New Roman" w:cs="Times New Roman"/>
          <w:b/>
          <w:bCs/>
          <w:color w:val="000000"/>
          <w:sz w:val="24"/>
          <w:szCs w:val="24"/>
          <w:lang w:val="en-US" w:eastAsia="fr-FR"/>
        </w:rPr>
        <w:t xml:space="preserve"> (2008)</w:t>
      </w:r>
      <w:r w:rsidR="00EC60E2" w:rsidRPr="00515DA1">
        <w:rPr>
          <w:rFonts w:ascii="Times New Roman" w:eastAsia="Times New Roman" w:hAnsi="Times New Roman" w:cs="Times New Roman"/>
          <w:b/>
          <w:bCs/>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00EC60E2">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Challenges for integrated water resources management</w:t>
      </w:r>
      <w:r w:rsidR="00515DA1">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w:t>
      </w:r>
      <w:r w:rsidRPr="00DD4749">
        <w:rPr>
          <w:rFonts w:ascii="Times New Roman" w:eastAsia="Times New Roman" w:hAnsi="Times New Roman" w:cs="Times New Roman"/>
          <w:i/>
          <w:iCs/>
          <w:color w:val="000000"/>
          <w:sz w:val="24"/>
          <w:szCs w:val="24"/>
          <w:lang w:val="en-US" w:eastAsia="fr-FR"/>
        </w:rPr>
        <w:t>Physics and Chemistry of the Earth, Parts A/B/C</w:t>
      </w:r>
      <w:r w:rsidR="00EC60E2">
        <w:rPr>
          <w:rFonts w:ascii="Times New Roman" w:eastAsia="Times New Roman" w:hAnsi="Times New Roman" w:cs="Times New Roman"/>
          <w:color w:val="000000"/>
          <w:sz w:val="24"/>
          <w:szCs w:val="24"/>
          <w:lang w:val="en-US" w:eastAsia="fr-FR"/>
        </w:rPr>
        <w:t>, vo</w:t>
      </w:r>
      <w:r w:rsidRPr="00F61BFB">
        <w:rPr>
          <w:rFonts w:ascii="Times New Roman" w:eastAsia="Times New Roman" w:hAnsi="Times New Roman" w:cs="Times New Roman"/>
          <w:color w:val="000000"/>
          <w:sz w:val="24"/>
          <w:szCs w:val="24"/>
          <w:lang w:val="en-US" w:eastAsia="fr-FR"/>
        </w:rPr>
        <w:t>l</w:t>
      </w:r>
      <w:r w:rsidR="00EC60E2">
        <w:rPr>
          <w:rFonts w:ascii="Times New Roman" w:eastAsia="Times New Roman" w:hAnsi="Times New Roman" w:cs="Times New Roman"/>
          <w:color w:val="000000"/>
          <w:sz w:val="24"/>
          <w:szCs w:val="24"/>
          <w:lang w:val="en-US" w:eastAsia="fr-FR"/>
        </w:rPr>
        <w:t>.</w:t>
      </w:r>
      <w:r w:rsidRPr="00F61BFB">
        <w:rPr>
          <w:rFonts w:ascii="Times New Roman" w:eastAsia="Times New Roman" w:hAnsi="Times New Roman" w:cs="Times New Roman"/>
          <w:color w:val="000000"/>
          <w:sz w:val="24"/>
          <w:szCs w:val="24"/>
          <w:lang w:val="en-US" w:eastAsia="fr-FR"/>
        </w:rPr>
        <w:t xml:space="preserve"> 33,</w:t>
      </w:r>
      <w:r w:rsidR="00515DA1">
        <w:rPr>
          <w:rFonts w:ascii="Times New Roman" w:eastAsia="Times New Roman" w:hAnsi="Times New Roman" w:cs="Times New Roman"/>
          <w:color w:val="000000"/>
          <w:sz w:val="24"/>
          <w:szCs w:val="24"/>
          <w:lang w:val="en-US" w:eastAsia="fr-FR"/>
        </w:rPr>
        <w:t xml:space="preserve"> n° 5,</w:t>
      </w:r>
      <w:r w:rsidR="00EC60E2">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EC60E2">
        <w:rPr>
          <w:rFonts w:ascii="Times New Roman" w:eastAsia="Times New Roman" w:hAnsi="Times New Roman" w:cs="Times New Roman"/>
          <w:color w:val="000000"/>
          <w:sz w:val="24"/>
          <w:szCs w:val="24"/>
          <w:lang w:val="en-US" w:eastAsia="fr-FR"/>
        </w:rPr>
        <w:t xml:space="preserve">. </w:t>
      </w:r>
      <w:r w:rsidRPr="00F61BFB">
        <w:rPr>
          <w:rFonts w:ascii="Times New Roman" w:eastAsia="Times New Roman" w:hAnsi="Times New Roman" w:cs="Times New Roman"/>
          <w:color w:val="000000"/>
          <w:sz w:val="24"/>
          <w:szCs w:val="24"/>
          <w:lang w:val="en-US" w:eastAsia="fr-FR"/>
        </w:rPr>
        <w:t>284-289.</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Grecu</w:t>
      </w:r>
      <w:r w:rsidR="00A84B6E"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F</w:t>
      </w:r>
      <w:r w:rsidR="00A84B6E"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Abdellaui</w:t>
      </w:r>
      <w:r w:rsidR="00A84B6E"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A</w:t>
      </w:r>
      <w:r w:rsidR="00A84B6E"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Redjem</w:t>
      </w:r>
      <w:r w:rsidR="00A84B6E"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A</w:t>
      </w:r>
      <w:r w:rsidR="00A84B6E"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Ozer</w:t>
      </w:r>
      <w:r w:rsidR="00A84B6E"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A</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Vişan</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Gh</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Bourezg</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S</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Hadjab</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M</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Mahamedi</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A</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Dobre</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w:t>
      </w:r>
      <w:r w:rsidR="00A84B6E" w:rsidRPr="00EC60E2">
        <w:rPr>
          <w:rFonts w:ascii="Times New Roman" w:eastAsia="Times New Roman" w:hAnsi="Times New Roman" w:cs="Times New Roman"/>
          <w:b/>
          <w:bCs/>
          <w:color w:val="000000"/>
          <w:sz w:val="24"/>
          <w:szCs w:val="24"/>
          <w:lang w:eastAsia="fr-FR"/>
        </w:rPr>
        <w:t xml:space="preserve">R. &amp; </w:t>
      </w:r>
      <w:r w:rsidRPr="00EC60E2">
        <w:rPr>
          <w:rFonts w:ascii="Times New Roman" w:eastAsia="Times New Roman" w:hAnsi="Times New Roman" w:cs="Times New Roman"/>
          <w:b/>
          <w:bCs/>
          <w:color w:val="000000"/>
          <w:sz w:val="24"/>
          <w:szCs w:val="24"/>
          <w:lang w:eastAsia="fr-FR"/>
        </w:rPr>
        <w:t>Vişan</w:t>
      </w:r>
      <w:r w:rsidR="00EC60E2" w:rsidRPr="00EC60E2">
        <w:rPr>
          <w:rFonts w:ascii="Times New Roman" w:eastAsia="Times New Roman" w:hAnsi="Times New Roman" w:cs="Times New Roman"/>
          <w:b/>
          <w:bCs/>
          <w:color w:val="000000"/>
          <w:sz w:val="24"/>
          <w:szCs w:val="24"/>
          <w:lang w:eastAsia="fr-FR"/>
        </w:rPr>
        <w:t>,</w:t>
      </w:r>
      <w:r w:rsidRPr="00EC60E2">
        <w:rPr>
          <w:rFonts w:ascii="Times New Roman" w:eastAsia="Times New Roman" w:hAnsi="Times New Roman" w:cs="Times New Roman"/>
          <w:b/>
          <w:bCs/>
          <w:color w:val="000000"/>
          <w:sz w:val="24"/>
          <w:szCs w:val="24"/>
          <w:lang w:eastAsia="fr-FR"/>
        </w:rPr>
        <w:t xml:space="preserve"> M., (2012)</w:t>
      </w:r>
      <w:r w:rsidR="00A84B6E" w:rsidRPr="00EC60E2">
        <w:rPr>
          <w:rFonts w:ascii="Times New Roman" w:eastAsia="Times New Roman" w:hAnsi="Times New Roman" w:cs="Times New Roman"/>
          <w:b/>
          <w:bCs/>
          <w:color w:val="000000"/>
          <w:sz w:val="24"/>
          <w:szCs w:val="24"/>
          <w:lang w:eastAsia="fr-FR"/>
        </w:rPr>
        <w:t> :</w:t>
      </w:r>
      <w:r w:rsidRPr="00F61BFB">
        <w:rPr>
          <w:rFonts w:ascii="Times New Roman" w:eastAsia="Times New Roman" w:hAnsi="Times New Roman" w:cs="Times New Roman"/>
          <w:color w:val="000000"/>
          <w:sz w:val="24"/>
          <w:szCs w:val="24"/>
          <w:lang w:eastAsia="fr-FR"/>
        </w:rPr>
        <w:t> </w:t>
      </w:r>
      <w:r w:rsidR="00A84B6E">
        <w:rPr>
          <w:rFonts w:ascii="Times New Roman" w:eastAsia="Times New Roman" w:hAnsi="Times New Roman" w:cs="Times New Roman"/>
          <w:color w:val="000000"/>
          <w:sz w:val="24"/>
          <w:szCs w:val="24"/>
          <w:lang w:eastAsia="fr-FR"/>
        </w:rPr>
        <w:t>"</w:t>
      </w:r>
      <w:r w:rsidRPr="00F61BFB">
        <w:rPr>
          <w:rFonts w:ascii="Times New Roman" w:eastAsia="Times New Roman" w:hAnsi="Times New Roman" w:cs="Times New Roman"/>
          <w:color w:val="000000"/>
          <w:sz w:val="24"/>
          <w:szCs w:val="24"/>
          <w:lang w:eastAsia="fr-FR"/>
        </w:rPr>
        <w:t>Les aléas naturels en zones urbaines semi arides - Etude de cas de Bou-Saâda (Algérie)</w:t>
      </w:r>
      <w:r w:rsidR="00A84B6E">
        <w:rPr>
          <w:rFonts w:ascii="Times New Roman" w:eastAsia="Times New Roman" w:hAnsi="Times New Roman" w:cs="Times New Roman"/>
          <w:color w:val="000000"/>
          <w:sz w:val="24"/>
          <w:szCs w:val="24"/>
          <w:lang w:eastAsia="fr-FR"/>
        </w:rPr>
        <w:t>"</w:t>
      </w:r>
      <w:r w:rsidRPr="00F61BFB">
        <w:rPr>
          <w:rFonts w:ascii="Times New Roman" w:eastAsia="Times New Roman" w:hAnsi="Times New Roman" w:cs="Times New Roman"/>
          <w:color w:val="000000"/>
          <w:sz w:val="24"/>
          <w:szCs w:val="24"/>
          <w:lang w:eastAsia="fr-FR"/>
        </w:rPr>
        <w:t xml:space="preserve">, </w:t>
      </w:r>
      <w:r w:rsidRPr="00A84B6E">
        <w:rPr>
          <w:rFonts w:ascii="Times New Roman" w:eastAsia="Times New Roman" w:hAnsi="Times New Roman" w:cs="Times New Roman"/>
          <w:i/>
          <w:iCs/>
          <w:color w:val="000000"/>
          <w:sz w:val="24"/>
          <w:szCs w:val="24"/>
          <w:lang w:eastAsia="fr-FR"/>
        </w:rPr>
        <w:t>Revista de Geomorfologie</w:t>
      </w:r>
      <w:r w:rsidRPr="00F61BFB">
        <w:rPr>
          <w:rFonts w:ascii="Times New Roman" w:eastAsia="Times New Roman" w:hAnsi="Times New Roman" w:cs="Times New Roman"/>
          <w:color w:val="000000"/>
          <w:sz w:val="24"/>
          <w:szCs w:val="24"/>
          <w:lang w:eastAsia="fr-FR"/>
        </w:rPr>
        <w:t>, vol. 14, p</w:t>
      </w:r>
      <w:r w:rsidR="00B26A4B">
        <w:rPr>
          <w:rFonts w:ascii="Times New Roman" w:eastAsia="Times New Roman" w:hAnsi="Times New Roman" w:cs="Times New Roman"/>
          <w:color w:val="000000"/>
          <w:sz w:val="24"/>
          <w:szCs w:val="24"/>
          <w:lang w:eastAsia="fr-FR"/>
        </w:rPr>
        <w:t>p</w:t>
      </w:r>
      <w:r w:rsidRPr="00F61BFB">
        <w:rPr>
          <w:rFonts w:ascii="Times New Roman" w:eastAsia="Times New Roman" w:hAnsi="Times New Roman" w:cs="Times New Roman"/>
          <w:color w:val="000000"/>
          <w:sz w:val="24"/>
          <w:szCs w:val="24"/>
          <w:lang w:eastAsia="fr-FR"/>
        </w:rPr>
        <w:t>. 113-123.</w:t>
      </w:r>
    </w:p>
    <w:p w:rsidR="00E724B9" w:rsidRPr="000F5EC4" w:rsidRDefault="00E724B9" w:rsidP="00B26A4B">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Gudmundsson</w:t>
      </w:r>
      <w:r w:rsidRPr="000F5EC4">
        <w:rPr>
          <w:rFonts w:ascii="Times New Roman" w:eastAsia="Times New Roman" w:hAnsi="Times New Roman" w:cs="Times New Roman"/>
          <w:b/>
          <w:bCs/>
          <w:color w:val="000000"/>
          <w:sz w:val="24"/>
          <w:szCs w:val="24"/>
          <w:lang w:val="en-US" w:eastAsia="fr-FR"/>
        </w:rPr>
        <w:t xml:space="preserve">, H., </w:t>
      </w:r>
      <w:r w:rsidR="000F5EC4" w:rsidRPr="000F5EC4">
        <w:rPr>
          <w:rFonts w:ascii="Times New Roman" w:eastAsia="Times New Roman" w:hAnsi="Times New Roman" w:cs="Times New Roman"/>
          <w:b/>
          <w:bCs/>
          <w:color w:val="000000"/>
          <w:sz w:val="24"/>
          <w:szCs w:val="24"/>
          <w:lang w:val="en-US" w:eastAsia="fr-FR"/>
        </w:rPr>
        <w:t>(</w:t>
      </w:r>
      <w:r w:rsidRPr="000F5EC4">
        <w:rPr>
          <w:rFonts w:ascii="Times New Roman" w:eastAsia="Times New Roman" w:hAnsi="Times New Roman" w:cs="Times New Roman"/>
          <w:b/>
          <w:bCs/>
          <w:color w:val="000000"/>
          <w:sz w:val="24"/>
          <w:szCs w:val="24"/>
          <w:lang w:val="en-US" w:eastAsia="fr-FR"/>
        </w:rPr>
        <w:t>2004</w:t>
      </w:r>
      <w:r w:rsidR="000F5EC4" w:rsidRPr="000F5EC4">
        <w:rPr>
          <w:rFonts w:ascii="Times New Roman" w:eastAsia="Times New Roman" w:hAnsi="Times New Roman" w:cs="Times New Roman"/>
          <w:b/>
          <w:bCs/>
          <w:color w:val="000000"/>
          <w:sz w:val="24"/>
          <w:szCs w:val="24"/>
          <w:lang w:val="en-US" w:eastAsia="fr-FR"/>
        </w:rPr>
        <w:t>):</w:t>
      </w:r>
      <w:r w:rsidRPr="000F5EC4">
        <w:rPr>
          <w:rFonts w:ascii="Times New Roman" w:eastAsia="Times New Roman" w:hAnsi="Times New Roman" w:cs="Times New Roman"/>
          <w:color w:val="000000"/>
          <w:sz w:val="24"/>
          <w:szCs w:val="24"/>
          <w:lang w:val="en-US" w:eastAsia="fr-FR"/>
        </w:rPr>
        <w:t xml:space="preserve"> </w:t>
      </w:r>
      <w:r w:rsidR="000F5EC4" w:rsidRPr="000F5EC4">
        <w:rPr>
          <w:rFonts w:ascii="Times New Roman" w:eastAsia="Times New Roman" w:hAnsi="Times New Roman" w:cs="Times New Roman"/>
          <w:color w:val="000000"/>
          <w:sz w:val="24"/>
          <w:szCs w:val="24"/>
          <w:lang w:val="en-US" w:eastAsia="fr-FR"/>
        </w:rPr>
        <w:t>“</w:t>
      </w:r>
      <w:r w:rsidRPr="000F5EC4">
        <w:rPr>
          <w:rFonts w:ascii="Times New Roman" w:eastAsia="Times New Roman" w:hAnsi="Times New Roman" w:cs="Times New Roman"/>
          <w:color w:val="000000"/>
          <w:sz w:val="24"/>
          <w:szCs w:val="24"/>
          <w:lang w:val="en-US" w:eastAsia="fr-FR"/>
        </w:rPr>
        <w:t>Sustainable transport and performance indicators</w:t>
      </w:r>
      <w:r w:rsidR="000F5EC4" w:rsidRPr="000F5EC4">
        <w:rPr>
          <w:rFonts w:ascii="Times New Roman" w:eastAsia="Times New Roman" w:hAnsi="Times New Roman" w:cs="Times New Roman"/>
          <w:color w:val="000000"/>
          <w:sz w:val="24"/>
          <w:szCs w:val="24"/>
          <w:lang w:val="en-US" w:eastAsia="fr-FR"/>
        </w:rPr>
        <w:t>”,</w:t>
      </w:r>
      <w:r w:rsidRPr="000F5EC4">
        <w:rPr>
          <w:rFonts w:ascii="Times New Roman" w:eastAsia="Times New Roman" w:hAnsi="Times New Roman" w:cs="Times New Roman"/>
          <w:color w:val="000000"/>
          <w:sz w:val="24"/>
          <w:szCs w:val="24"/>
          <w:lang w:val="en-US" w:eastAsia="fr-FR"/>
        </w:rPr>
        <w:t xml:space="preserve"> </w:t>
      </w:r>
      <w:r w:rsidRPr="000F5EC4">
        <w:rPr>
          <w:rFonts w:ascii="Times New Roman" w:eastAsia="Times New Roman" w:hAnsi="Times New Roman" w:cs="Times New Roman"/>
          <w:i/>
          <w:iCs/>
          <w:color w:val="000000"/>
          <w:sz w:val="24"/>
          <w:szCs w:val="24"/>
          <w:lang w:val="en-US" w:eastAsia="fr-FR"/>
        </w:rPr>
        <w:t>Environ. Sci. Techno</w:t>
      </w:r>
      <w:r w:rsidR="00B26A4B">
        <w:rPr>
          <w:rFonts w:ascii="Times New Roman" w:eastAsia="Times New Roman" w:hAnsi="Times New Roman" w:cs="Times New Roman"/>
          <w:i/>
          <w:iCs/>
          <w:color w:val="000000"/>
          <w:sz w:val="24"/>
          <w:szCs w:val="24"/>
          <w:lang w:val="en-US" w:eastAsia="fr-FR"/>
        </w:rPr>
        <w:t>,</w:t>
      </w:r>
      <w:r w:rsidRPr="000F5EC4">
        <w:rPr>
          <w:rFonts w:ascii="Times New Roman" w:eastAsia="Times New Roman" w:hAnsi="Times New Roman" w:cs="Times New Roman"/>
          <w:color w:val="000000"/>
          <w:sz w:val="24"/>
          <w:szCs w:val="24"/>
          <w:lang w:val="en-US" w:eastAsia="fr-FR"/>
        </w:rPr>
        <w:t xml:space="preserve"> </w:t>
      </w:r>
      <w:r w:rsidR="00B26A4B" w:rsidRPr="000F5EC4">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000F5EC4" w:rsidRPr="000F5EC4">
        <w:rPr>
          <w:rFonts w:ascii="Times New Roman" w:eastAsia="Times New Roman" w:hAnsi="Times New Roman" w:cs="Times New Roman"/>
          <w:color w:val="000000"/>
          <w:sz w:val="24"/>
          <w:szCs w:val="24"/>
          <w:lang w:val="en-US" w:eastAsia="fr-FR"/>
        </w:rPr>
        <w:t>.</w:t>
      </w:r>
      <w:r w:rsidR="00B26A4B">
        <w:rPr>
          <w:rFonts w:ascii="Times New Roman" w:eastAsia="Times New Roman" w:hAnsi="Times New Roman" w:cs="Times New Roman"/>
          <w:color w:val="000000"/>
          <w:sz w:val="24"/>
          <w:szCs w:val="24"/>
          <w:lang w:val="en-US" w:eastAsia="fr-FR"/>
        </w:rPr>
        <w:t xml:space="preserve"> </w:t>
      </w:r>
      <w:r w:rsidRPr="000F5EC4">
        <w:rPr>
          <w:rFonts w:ascii="Times New Roman" w:eastAsia="Times New Roman" w:hAnsi="Times New Roman" w:cs="Times New Roman"/>
          <w:color w:val="000000"/>
          <w:sz w:val="24"/>
          <w:szCs w:val="24"/>
          <w:lang w:val="en-US" w:eastAsia="fr-FR"/>
        </w:rPr>
        <w:t>35–64.</w:t>
      </w:r>
    </w:p>
    <w:p w:rsidR="00E724B9" w:rsidRPr="00092361"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76" w:history="1">
        <w:r w:rsidR="00E724B9" w:rsidRPr="00F61BFB">
          <w:rPr>
            <w:rFonts w:ascii="Times New Roman" w:eastAsia="Times New Roman" w:hAnsi="Times New Roman" w:cs="Times New Roman"/>
            <w:b/>
            <w:bCs/>
            <w:color w:val="000000"/>
            <w:sz w:val="24"/>
            <w:szCs w:val="24"/>
            <w:lang w:val="en-US" w:eastAsia="fr-FR"/>
          </w:rPr>
          <w:t>G</w:t>
        </w:r>
        <w:r w:rsidR="00E724B9" w:rsidRPr="00E40DF8">
          <w:rPr>
            <w:rFonts w:ascii="Times New Roman" w:eastAsia="Times New Roman" w:hAnsi="Times New Roman" w:cs="Times New Roman"/>
            <w:b/>
            <w:bCs/>
            <w:color w:val="000000"/>
            <w:sz w:val="24"/>
            <w:szCs w:val="24"/>
            <w:lang w:val="en-US" w:eastAsia="fr-FR"/>
          </w:rPr>
          <w:t>underson, L.</w:t>
        </w:r>
        <w:r w:rsidR="00A84B6E" w:rsidRPr="00E40DF8">
          <w:rPr>
            <w:rFonts w:ascii="Times New Roman" w:eastAsia="Times New Roman" w:hAnsi="Times New Roman" w:cs="Times New Roman"/>
            <w:b/>
            <w:bCs/>
            <w:color w:val="000000"/>
            <w:sz w:val="24"/>
            <w:szCs w:val="24"/>
            <w:lang w:val="en-US" w:eastAsia="fr-FR"/>
          </w:rPr>
          <w:t>,</w:t>
        </w:r>
        <w:r w:rsidR="00E724B9" w:rsidRPr="00E40DF8">
          <w:rPr>
            <w:rFonts w:ascii="Times New Roman" w:eastAsia="Times New Roman" w:hAnsi="Times New Roman" w:cs="Times New Roman"/>
            <w:b/>
            <w:bCs/>
            <w:color w:val="000000"/>
            <w:sz w:val="24"/>
            <w:szCs w:val="24"/>
            <w:lang w:val="en-US" w:eastAsia="fr-FR"/>
          </w:rPr>
          <w:t xml:space="preserve"> (2009)</w:t>
        </w:r>
        <w:r w:rsidR="00EC60E2" w:rsidRPr="00E40DF8">
          <w:rPr>
            <w:rFonts w:ascii="Times New Roman" w:eastAsia="Times New Roman" w:hAnsi="Times New Roman" w:cs="Times New Roman"/>
            <w:b/>
            <w:bCs/>
            <w:color w:val="000000"/>
            <w:sz w:val="24"/>
            <w:szCs w:val="24"/>
            <w:lang w:val="en-US" w:eastAsia="fr-FR"/>
          </w:rPr>
          <w:t xml:space="preserve">: </w:t>
        </w:r>
        <w:r w:rsidR="00EC60E2">
          <w:rPr>
            <w:rFonts w:ascii="Times New Roman" w:eastAsia="Times New Roman" w:hAnsi="Times New Roman" w:cs="Times New Roman"/>
            <w:color w:val="000000"/>
            <w:sz w:val="24"/>
            <w:szCs w:val="24"/>
            <w:lang w:val="en-US" w:eastAsia="fr-FR"/>
          </w:rPr>
          <w:t>“</w:t>
        </w:r>
        <w:r w:rsidR="00E724B9" w:rsidRPr="00F61BFB">
          <w:rPr>
            <w:rFonts w:ascii="Times New Roman" w:eastAsia="Times New Roman" w:hAnsi="Times New Roman" w:cs="Times New Roman"/>
            <w:color w:val="000000"/>
            <w:sz w:val="24"/>
            <w:szCs w:val="24"/>
            <w:lang w:val="en-US" w:eastAsia="fr-FR"/>
          </w:rPr>
          <w:t>Comparing Ecological and HumanCommunity Resilience</w:t>
        </w:r>
        <w:r w:rsidR="00EC60E2">
          <w:rPr>
            <w:rFonts w:ascii="Times New Roman" w:eastAsia="Times New Roman" w:hAnsi="Times New Roman" w:cs="Times New Roman"/>
            <w:color w:val="000000"/>
            <w:sz w:val="24"/>
            <w:szCs w:val="24"/>
            <w:lang w:val="en-US" w:eastAsia="fr-FR"/>
          </w:rPr>
          <w:t>”,</w:t>
        </w:r>
        <w:r w:rsidR="00E724B9" w:rsidRPr="00F61BFB">
          <w:rPr>
            <w:rFonts w:ascii="Times New Roman" w:eastAsia="Times New Roman" w:hAnsi="Times New Roman" w:cs="Times New Roman"/>
            <w:color w:val="000000"/>
            <w:sz w:val="24"/>
            <w:szCs w:val="24"/>
            <w:lang w:val="en-US" w:eastAsia="fr-FR"/>
          </w:rPr>
          <w:t xml:space="preserve"> </w:t>
        </w:r>
        <w:r w:rsidR="00E724B9" w:rsidRPr="00EC60E2">
          <w:rPr>
            <w:rFonts w:ascii="Times New Roman" w:eastAsia="Times New Roman" w:hAnsi="Times New Roman" w:cs="Times New Roman"/>
            <w:i/>
            <w:iCs/>
            <w:color w:val="000000"/>
            <w:sz w:val="24"/>
            <w:szCs w:val="24"/>
            <w:lang w:val="en-US" w:eastAsia="fr-FR"/>
          </w:rPr>
          <w:t>CARRI Research, Report 5</w:t>
        </w:r>
        <w:r w:rsidR="00E724B9" w:rsidRPr="00F61BFB">
          <w:rPr>
            <w:rFonts w:ascii="Times New Roman" w:eastAsia="Times New Roman" w:hAnsi="Times New Roman" w:cs="Times New Roman"/>
            <w:color w:val="000000"/>
            <w:sz w:val="24"/>
            <w:szCs w:val="24"/>
            <w:lang w:val="en-US" w:eastAsia="fr-FR"/>
          </w:rPr>
          <w:t>, OakRidge: Community and Regional Resilience Institute,[online]</w:t>
        </w:r>
        <w:r w:rsidR="00EC60E2" w:rsidRPr="00EC60E2">
          <w:rPr>
            <w:lang w:val="en-US"/>
          </w:rPr>
          <w:t xml:space="preserve"> </w:t>
        </w:r>
        <w:r w:rsidR="00EC60E2" w:rsidRPr="00EC60E2">
          <w:rPr>
            <w:rFonts w:ascii="Times New Roman" w:eastAsia="Times New Roman" w:hAnsi="Times New Roman" w:cs="Times New Roman"/>
            <w:color w:val="000000"/>
            <w:sz w:val="24"/>
            <w:szCs w:val="24"/>
            <w:lang w:val="en-US" w:eastAsia="fr-FR"/>
          </w:rPr>
          <w:t xml:space="preserve">https://merid.org/wp-content/uploads/2019/09/Comparing-Ecological-and-Human-Community-Resilience.pdf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Habibi</w:t>
      </w:r>
      <w:r w:rsidRPr="003009C3">
        <w:rPr>
          <w:rFonts w:ascii="Times New Roman" w:eastAsia="Times New Roman" w:hAnsi="Times New Roman" w:cs="Times New Roman"/>
          <w:b/>
          <w:bCs/>
          <w:color w:val="000000"/>
          <w:sz w:val="24"/>
          <w:szCs w:val="24"/>
          <w:lang w:val="en-US" w:eastAsia="fr-FR"/>
        </w:rPr>
        <w:t xml:space="preserve">, A., Sarafrazi, A. </w:t>
      </w:r>
      <w:r w:rsidR="00A84B6E">
        <w:rPr>
          <w:rFonts w:ascii="Times New Roman" w:eastAsia="Times New Roman" w:hAnsi="Times New Roman" w:cs="Times New Roman"/>
          <w:b/>
          <w:bCs/>
          <w:color w:val="000000"/>
          <w:sz w:val="24"/>
          <w:szCs w:val="24"/>
          <w:lang w:val="en-US" w:eastAsia="fr-FR"/>
        </w:rPr>
        <w:t>&amp;</w:t>
      </w:r>
      <w:r w:rsidRPr="003009C3">
        <w:rPr>
          <w:rFonts w:ascii="Times New Roman" w:eastAsia="Times New Roman" w:hAnsi="Times New Roman" w:cs="Times New Roman"/>
          <w:b/>
          <w:bCs/>
          <w:color w:val="000000"/>
          <w:sz w:val="24"/>
          <w:szCs w:val="24"/>
          <w:lang w:val="en-US" w:eastAsia="fr-FR"/>
        </w:rPr>
        <w:t xml:space="preserve"> Izadyar, S.</w:t>
      </w:r>
      <w:r w:rsidR="00A84B6E">
        <w:rPr>
          <w:rFonts w:ascii="Times New Roman" w:eastAsia="Times New Roman" w:hAnsi="Times New Roman" w:cs="Times New Roman"/>
          <w:b/>
          <w:bCs/>
          <w:color w:val="000000"/>
          <w:sz w:val="24"/>
          <w:szCs w:val="24"/>
          <w:lang w:val="en-US" w:eastAsia="fr-FR"/>
        </w:rPr>
        <w:t>,</w:t>
      </w:r>
      <w:r w:rsidRPr="003009C3">
        <w:rPr>
          <w:rFonts w:ascii="Times New Roman" w:eastAsia="Times New Roman" w:hAnsi="Times New Roman" w:cs="Times New Roman"/>
          <w:b/>
          <w:bCs/>
          <w:color w:val="000000"/>
          <w:sz w:val="24"/>
          <w:szCs w:val="24"/>
          <w:lang w:val="en-US" w:eastAsia="fr-FR"/>
        </w:rPr>
        <w:t xml:space="preserve"> (2014):</w:t>
      </w:r>
      <w:r w:rsidRPr="003009C3">
        <w:rPr>
          <w:rFonts w:ascii="Times New Roman" w:eastAsia="Times New Roman" w:hAnsi="Times New Roman" w:cs="Times New Roman"/>
          <w:color w:val="000000"/>
          <w:sz w:val="24"/>
          <w:szCs w:val="24"/>
          <w:lang w:val="en-US" w:eastAsia="fr-FR"/>
        </w:rPr>
        <w:t xml:space="preserve"> "Delphi Technique Theoretical Framework in Qualitative Research", </w:t>
      </w:r>
      <w:r w:rsidR="00715894">
        <w:rPr>
          <w:rFonts w:ascii="Times New Roman" w:eastAsia="Times New Roman" w:hAnsi="Times New Roman" w:cs="Times New Roman"/>
          <w:i/>
          <w:iCs/>
          <w:color w:val="000000"/>
          <w:sz w:val="24"/>
          <w:szCs w:val="24"/>
          <w:lang w:val="en-US" w:eastAsia="fr-FR"/>
        </w:rPr>
        <w:t>the Inter. Journal of Engineering a</w:t>
      </w:r>
      <w:r w:rsidRPr="00A84B6E">
        <w:rPr>
          <w:rFonts w:ascii="Times New Roman" w:eastAsia="Times New Roman" w:hAnsi="Times New Roman" w:cs="Times New Roman"/>
          <w:i/>
          <w:iCs/>
          <w:color w:val="000000"/>
          <w:sz w:val="24"/>
          <w:szCs w:val="24"/>
          <w:lang w:val="en-US" w:eastAsia="fr-FR"/>
        </w:rPr>
        <w:t>nd Science (IJES)</w:t>
      </w:r>
      <w:r w:rsidRPr="003009C3">
        <w:rPr>
          <w:rFonts w:ascii="Times New Roman" w:eastAsia="Times New Roman" w:hAnsi="Times New Roman" w:cs="Times New Roman"/>
          <w:color w:val="000000"/>
          <w:sz w:val="24"/>
          <w:szCs w:val="24"/>
          <w:lang w:val="en-US" w:eastAsia="fr-FR"/>
        </w:rPr>
        <w:t>, vol. 3</w:t>
      </w:r>
      <w:r w:rsidR="00A84B6E">
        <w:rPr>
          <w:rFonts w:ascii="Times New Roman" w:eastAsia="Times New Roman" w:hAnsi="Times New Roman" w:cs="Times New Roman"/>
          <w:color w:val="000000"/>
          <w:sz w:val="24"/>
          <w:szCs w:val="24"/>
          <w:lang w:val="en-US" w:eastAsia="fr-FR"/>
        </w:rPr>
        <w:t xml:space="preserve">, n° </w:t>
      </w:r>
      <w:r w:rsidRPr="003009C3">
        <w:rPr>
          <w:rFonts w:ascii="Times New Roman" w:eastAsia="Times New Roman" w:hAnsi="Times New Roman" w:cs="Times New Roman"/>
          <w:color w:val="000000"/>
          <w:sz w:val="24"/>
          <w:szCs w:val="24"/>
          <w:lang w:val="en-US" w:eastAsia="fr-FR"/>
        </w:rPr>
        <w:t xml:space="preserve">4, </w:t>
      </w:r>
      <w:r w:rsidR="00B26A4B">
        <w:rPr>
          <w:rFonts w:ascii="Times New Roman" w:eastAsia="Times New Roman" w:hAnsi="Times New Roman" w:cs="Times New Roman"/>
          <w:color w:val="000000"/>
          <w:sz w:val="24"/>
          <w:szCs w:val="24"/>
          <w:lang w:val="en-US" w:eastAsia="fr-FR"/>
        </w:rPr>
        <w:t>p</w:t>
      </w:r>
      <w:r w:rsidRPr="003009C3">
        <w:rPr>
          <w:rFonts w:ascii="Times New Roman" w:eastAsia="Times New Roman" w:hAnsi="Times New Roman" w:cs="Times New Roman"/>
          <w:color w:val="000000"/>
          <w:sz w:val="24"/>
          <w:szCs w:val="24"/>
          <w:lang w:val="en-US" w:eastAsia="fr-FR"/>
        </w:rPr>
        <w:t>p. 08-13.</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C55A17">
        <w:rPr>
          <w:rFonts w:ascii="Times New Roman" w:eastAsia="Times New Roman" w:hAnsi="Times New Roman" w:cs="Times New Roman"/>
          <w:b/>
          <w:bCs/>
          <w:color w:val="000000"/>
          <w:sz w:val="24"/>
          <w:szCs w:val="24"/>
          <w:lang w:val="en-US" w:eastAsia="fr-FR"/>
        </w:rPr>
        <w:t xml:space="preserve">Hadjab, M., Ouali. </w:t>
      </w:r>
      <w:r w:rsidRPr="006F0054">
        <w:rPr>
          <w:rFonts w:ascii="Times New Roman" w:eastAsia="Times New Roman" w:hAnsi="Times New Roman" w:cs="Times New Roman"/>
          <w:b/>
          <w:bCs/>
          <w:color w:val="000000"/>
          <w:sz w:val="24"/>
          <w:szCs w:val="24"/>
          <w:lang w:eastAsia="fr-FR"/>
        </w:rPr>
        <w:t>D., (2007)</w:t>
      </w:r>
      <w:r w:rsidR="006F0054" w:rsidRPr="006F0054">
        <w:rPr>
          <w:rFonts w:ascii="Times New Roman" w:eastAsia="Times New Roman" w:hAnsi="Times New Roman" w:cs="Times New Roman"/>
          <w:b/>
          <w:bCs/>
          <w:color w:val="000000"/>
          <w:sz w:val="24"/>
          <w:szCs w:val="24"/>
          <w:lang w:eastAsia="fr-FR"/>
        </w:rPr>
        <w:t> :</w:t>
      </w:r>
      <w:r w:rsidRPr="003009C3">
        <w:rPr>
          <w:rFonts w:ascii="Times New Roman" w:eastAsia="Times New Roman" w:hAnsi="Times New Roman" w:cs="Times New Roman"/>
          <w:color w:val="000000"/>
          <w:sz w:val="24"/>
          <w:szCs w:val="24"/>
          <w:lang w:eastAsia="fr-FR"/>
        </w:rPr>
        <w:t xml:space="preserve"> "La salinisation des sols dans la cuvette centrale du Hodna (Algerie)", Analele Universitatii Bucuresti, </w:t>
      </w:r>
      <w:r w:rsidRPr="00A75084">
        <w:rPr>
          <w:rFonts w:ascii="Times New Roman" w:eastAsia="Times New Roman" w:hAnsi="Times New Roman" w:cs="Times New Roman"/>
          <w:i/>
          <w:iCs/>
          <w:color w:val="000000"/>
          <w:sz w:val="24"/>
          <w:szCs w:val="24"/>
          <w:lang w:eastAsia="fr-FR"/>
        </w:rPr>
        <w:t>Geografie, anul LVI</w:t>
      </w:r>
      <w:r w:rsidRPr="003009C3">
        <w:rPr>
          <w:rFonts w:ascii="Times New Roman" w:eastAsia="Times New Roman" w:hAnsi="Times New Roman" w:cs="Times New Roman"/>
          <w:color w:val="000000"/>
          <w:sz w:val="24"/>
          <w:szCs w:val="24"/>
          <w:lang w:eastAsia="fr-FR"/>
        </w:rPr>
        <w:t>, p</w:t>
      </w:r>
      <w:r w:rsidR="00B26A4B">
        <w:rPr>
          <w:rFonts w:ascii="Times New Roman" w:eastAsia="Times New Roman" w:hAnsi="Times New Roman" w:cs="Times New Roman"/>
          <w:color w:val="000000"/>
          <w:sz w:val="24"/>
          <w:szCs w:val="24"/>
          <w:lang w:eastAsia="fr-FR"/>
        </w:rPr>
        <w:t>p</w:t>
      </w:r>
      <w:r w:rsidRPr="003009C3">
        <w:rPr>
          <w:rFonts w:ascii="Times New Roman" w:eastAsia="Times New Roman" w:hAnsi="Times New Roman" w:cs="Times New Roman"/>
          <w:color w:val="000000"/>
          <w:sz w:val="24"/>
          <w:szCs w:val="24"/>
          <w:lang w:eastAsia="fr-FR"/>
        </w:rPr>
        <w:t>. 35-46.</w:t>
      </w:r>
    </w:p>
    <w:p w:rsidR="00911279" w:rsidRPr="00911279" w:rsidRDefault="0091127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911279">
        <w:rPr>
          <w:rFonts w:ascii="Times New Roman" w:eastAsia="Times New Roman" w:hAnsi="Times New Roman" w:cs="Times New Roman"/>
          <w:b/>
          <w:bCs/>
          <w:color w:val="000000"/>
          <w:sz w:val="24"/>
          <w:szCs w:val="24"/>
          <w:lang w:val="en-US" w:eastAsia="fr-FR"/>
        </w:rPr>
        <w:t>Hadji, A. &amp;  Feloussia, L., (2022):</w:t>
      </w:r>
      <w:r w:rsidRPr="00911279">
        <w:rPr>
          <w:rFonts w:ascii="Times New Roman" w:eastAsia="Times New Roman" w:hAnsi="Times New Roman" w:cs="Times New Roman"/>
          <w:color w:val="000000"/>
          <w:sz w:val="24"/>
          <w:szCs w:val="24"/>
          <w:lang w:val="en-US" w:eastAsia="fr-FR"/>
        </w:rPr>
        <w:t xml:space="preserve"> The distribution of public equipments and its impact on the public service: case of the city of Ammi Moussa, Relizane in Algeria Technium Social Sciences Journal Vol. 35, 573-582,  ISSN: 2668-7798</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lastRenderedPageBreak/>
        <w:t>Hadjou</w:t>
      </w:r>
      <w:r w:rsidRPr="00A75084">
        <w:rPr>
          <w:rFonts w:ascii="Times New Roman" w:eastAsia="Times New Roman" w:hAnsi="Times New Roman" w:cs="Times New Roman"/>
          <w:b/>
          <w:bCs/>
          <w:color w:val="000000"/>
          <w:sz w:val="24"/>
          <w:szCs w:val="24"/>
          <w:lang w:eastAsia="fr-FR"/>
        </w:rPr>
        <w:t>, F</w:t>
      </w:r>
      <w:r w:rsidR="00A75084" w:rsidRPr="00A75084">
        <w:rPr>
          <w:rFonts w:ascii="Times New Roman" w:eastAsia="Times New Roman" w:hAnsi="Times New Roman" w:cs="Times New Roman"/>
          <w:b/>
          <w:bCs/>
          <w:color w:val="000000"/>
          <w:sz w:val="24"/>
          <w:szCs w:val="24"/>
          <w:lang w:eastAsia="fr-FR"/>
        </w:rPr>
        <w:t>.</w:t>
      </w:r>
      <w:r w:rsidRPr="00A75084">
        <w:rPr>
          <w:rFonts w:ascii="Times New Roman" w:eastAsia="Times New Roman" w:hAnsi="Times New Roman" w:cs="Times New Roman"/>
          <w:b/>
          <w:bCs/>
          <w:color w:val="000000"/>
          <w:sz w:val="24"/>
          <w:szCs w:val="24"/>
          <w:lang w:eastAsia="fr-FR"/>
        </w:rPr>
        <w:t>, (2012)</w:t>
      </w:r>
      <w:r w:rsidR="00A75084" w:rsidRPr="00A75084">
        <w:rPr>
          <w:rFonts w:ascii="Times New Roman" w:eastAsia="Times New Roman" w:hAnsi="Times New Roman" w:cs="Times New Roman"/>
          <w:b/>
          <w:bCs/>
          <w:color w:val="000000"/>
          <w:sz w:val="24"/>
          <w:szCs w:val="24"/>
          <w:lang w:eastAsia="fr-FR"/>
        </w:rPr>
        <w:t> :</w:t>
      </w:r>
      <w:r w:rsidRPr="003009C3">
        <w:rPr>
          <w:rFonts w:ascii="Times New Roman" w:eastAsia="Times New Roman" w:hAnsi="Times New Roman" w:cs="Times New Roman"/>
          <w:color w:val="000000"/>
          <w:sz w:val="24"/>
          <w:szCs w:val="24"/>
          <w:lang w:eastAsia="fr-FR"/>
        </w:rPr>
        <w:t xml:space="preserve"> “ Evaluation critique des </w:t>
      </w:r>
      <w:r w:rsidR="00A75084" w:rsidRPr="003009C3">
        <w:rPr>
          <w:rFonts w:ascii="Times New Roman" w:eastAsia="Times New Roman" w:hAnsi="Times New Roman" w:cs="Times New Roman"/>
          <w:color w:val="000000"/>
          <w:sz w:val="24"/>
          <w:szCs w:val="24"/>
          <w:lang w:eastAsia="fr-FR"/>
        </w:rPr>
        <w:t>densités</w:t>
      </w:r>
      <w:r w:rsidRPr="003009C3">
        <w:rPr>
          <w:rFonts w:ascii="Times New Roman" w:eastAsia="Times New Roman" w:hAnsi="Times New Roman" w:cs="Times New Roman"/>
          <w:color w:val="000000"/>
          <w:sz w:val="24"/>
          <w:szCs w:val="24"/>
          <w:lang w:eastAsia="fr-FR"/>
        </w:rPr>
        <w:t xml:space="preserve"> urbaines en </w:t>
      </w:r>
      <w:r w:rsidR="00A75084" w:rsidRPr="003009C3">
        <w:rPr>
          <w:rFonts w:ascii="Times New Roman" w:eastAsia="Times New Roman" w:hAnsi="Times New Roman" w:cs="Times New Roman"/>
          <w:color w:val="000000"/>
          <w:sz w:val="24"/>
          <w:szCs w:val="24"/>
          <w:lang w:eastAsia="fr-FR"/>
        </w:rPr>
        <w:t>Algérie</w:t>
      </w:r>
      <w:r w:rsidRPr="003009C3">
        <w:rPr>
          <w:rFonts w:ascii="Times New Roman" w:eastAsia="Times New Roman" w:hAnsi="Times New Roman" w:cs="Times New Roman"/>
          <w:color w:val="000000"/>
          <w:sz w:val="24"/>
          <w:szCs w:val="24"/>
          <w:lang w:eastAsia="fr-FR"/>
        </w:rPr>
        <w:t xml:space="preserve"> pour une rationalisation de l’occupation du sol urbain.”, </w:t>
      </w:r>
      <w:r w:rsidRPr="00A75084">
        <w:rPr>
          <w:rFonts w:ascii="Times New Roman" w:eastAsia="Times New Roman" w:hAnsi="Times New Roman" w:cs="Times New Roman"/>
          <w:i/>
          <w:iCs/>
          <w:color w:val="000000"/>
          <w:sz w:val="24"/>
          <w:szCs w:val="24"/>
          <w:lang w:eastAsia="fr-FR"/>
        </w:rPr>
        <w:t>Sciences &amp; Technologie D</w:t>
      </w:r>
      <w:r w:rsidR="00A75084">
        <w:rPr>
          <w:rFonts w:ascii="Times New Roman" w:eastAsia="Times New Roman" w:hAnsi="Times New Roman" w:cs="Times New Roman"/>
          <w:color w:val="000000"/>
          <w:sz w:val="24"/>
          <w:szCs w:val="24"/>
          <w:lang w:eastAsia="fr-FR"/>
        </w:rPr>
        <w:t>, n</w:t>
      </w:r>
      <w:r w:rsidRPr="003009C3">
        <w:rPr>
          <w:rFonts w:ascii="Times New Roman" w:eastAsia="Times New Roman" w:hAnsi="Times New Roman" w:cs="Times New Roman"/>
          <w:color w:val="000000"/>
          <w:sz w:val="24"/>
          <w:szCs w:val="24"/>
          <w:lang w:eastAsia="fr-FR"/>
        </w:rPr>
        <w:t>°</w:t>
      </w:r>
      <w:r w:rsidR="00A75084">
        <w:rPr>
          <w:rFonts w:ascii="Times New Roman" w:eastAsia="Times New Roman" w:hAnsi="Times New Roman" w:cs="Times New Roman"/>
          <w:color w:val="000000"/>
          <w:sz w:val="24"/>
          <w:szCs w:val="24"/>
          <w:lang w:eastAsia="fr-FR"/>
        </w:rPr>
        <w:t xml:space="preserve"> </w:t>
      </w:r>
      <w:r w:rsidRPr="003009C3">
        <w:rPr>
          <w:rFonts w:ascii="Times New Roman" w:eastAsia="Times New Roman" w:hAnsi="Times New Roman" w:cs="Times New Roman"/>
          <w:color w:val="000000"/>
          <w:sz w:val="24"/>
          <w:szCs w:val="24"/>
          <w:lang w:eastAsia="fr-FR"/>
        </w:rPr>
        <w:t>35, p</w:t>
      </w:r>
      <w:r w:rsidR="00B26A4B">
        <w:rPr>
          <w:rFonts w:ascii="Times New Roman" w:eastAsia="Times New Roman" w:hAnsi="Times New Roman" w:cs="Times New Roman"/>
          <w:color w:val="000000"/>
          <w:sz w:val="24"/>
          <w:szCs w:val="24"/>
          <w:lang w:eastAsia="fr-FR"/>
        </w:rPr>
        <w:t>p</w:t>
      </w:r>
      <w:r w:rsidRPr="003009C3">
        <w:rPr>
          <w:rFonts w:ascii="Times New Roman" w:eastAsia="Times New Roman" w:hAnsi="Times New Roman" w:cs="Times New Roman"/>
          <w:color w:val="000000"/>
          <w:sz w:val="24"/>
          <w:szCs w:val="24"/>
          <w:lang w:eastAsia="fr-FR"/>
        </w:rPr>
        <w:t>. 9-24.</w:t>
      </w:r>
    </w:p>
    <w:p w:rsidR="00E724B9" w:rsidRPr="003009C3"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77" w:history="1">
        <w:r w:rsidR="00E724B9" w:rsidRPr="00E40DF8">
          <w:rPr>
            <w:rFonts w:ascii="Times New Roman" w:eastAsia="Times New Roman" w:hAnsi="Times New Roman" w:cs="Times New Roman"/>
            <w:b/>
            <w:bCs/>
            <w:color w:val="000000"/>
            <w:sz w:val="24"/>
            <w:szCs w:val="24"/>
            <w:lang w:val="en-US" w:eastAsia="fr-FR"/>
          </w:rPr>
          <w:t>Haghighi Fard, S</w:t>
        </w:r>
        <w:r w:rsidR="00E724B9" w:rsidRPr="00A75084">
          <w:rPr>
            <w:rFonts w:ascii="Times New Roman" w:eastAsia="Times New Roman" w:hAnsi="Times New Roman" w:cs="Times New Roman"/>
            <w:b/>
            <w:bCs/>
            <w:color w:val="000000"/>
            <w:sz w:val="24"/>
            <w:szCs w:val="24"/>
            <w:lang w:val="en-US" w:eastAsia="fr-FR"/>
          </w:rPr>
          <w:t>.M. &amp;  Doratli, N., (2022):</w:t>
        </w:r>
        <w:r w:rsidR="00E724B9" w:rsidRPr="003009C3">
          <w:rPr>
            <w:rFonts w:ascii="Times New Roman" w:eastAsia="Times New Roman" w:hAnsi="Times New Roman" w:cs="Times New Roman"/>
            <w:color w:val="000000"/>
            <w:sz w:val="24"/>
            <w:szCs w:val="24"/>
            <w:lang w:val="en-US" w:eastAsia="fr-FR"/>
          </w:rPr>
          <w:t xml:space="preserve"> "Evaluation of Resilience in Historic Urban Areas by Combining Multi-Criteria Decision-Making System and GIS, with Sustainability and Regeneration Approach: The Case Study of Tehran (IRAN)", </w:t>
        </w:r>
        <w:r w:rsidR="00E724B9" w:rsidRPr="00A75084">
          <w:rPr>
            <w:rFonts w:ascii="Times New Roman" w:eastAsia="Times New Roman" w:hAnsi="Times New Roman" w:cs="Times New Roman"/>
            <w:i/>
            <w:iCs/>
            <w:color w:val="000000"/>
            <w:sz w:val="24"/>
            <w:szCs w:val="24"/>
            <w:lang w:val="en-US" w:eastAsia="fr-FR"/>
          </w:rPr>
          <w:t>Sustainability</w:t>
        </w:r>
        <w:r w:rsidR="00E724B9" w:rsidRPr="003009C3">
          <w:rPr>
            <w:rFonts w:ascii="Times New Roman" w:eastAsia="Times New Roman" w:hAnsi="Times New Roman" w:cs="Times New Roman"/>
            <w:color w:val="000000"/>
            <w:sz w:val="24"/>
            <w:szCs w:val="24"/>
            <w:lang w:val="en-US" w:eastAsia="fr-FR"/>
          </w:rPr>
          <w:t>, vol. 14, 2495, p</w:t>
        </w:r>
        <w:r w:rsidR="00B26A4B">
          <w:rPr>
            <w:rFonts w:ascii="Times New Roman" w:eastAsia="Times New Roman" w:hAnsi="Times New Roman" w:cs="Times New Roman"/>
            <w:color w:val="000000"/>
            <w:sz w:val="24"/>
            <w:szCs w:val="24"/>
            <w:lang w:val="en-US" w:eastAsia="fr-FR"/>
          </w:rPr>
          <w:t>p</w:t>
        </w:r>
        <w:r w:rsidR="00E724B9" w:rsidRPr="003009C3">
          <w:rPr>
            <w:rFonts w:ascii="Times New Roman" w:eastAsia="Times New Roman" w:hAnsi="Times New Roman" w:cs="Times New Roman"/>
            <w:color w:val="000000"/>
            <w:sz w:val="24"/>
            <w:szCs w:val="24"/>
            <w:lang w:val="en-US" w:eastAsia="fr-FR"/>
          </w:rPr>
          <w:t>. 1–21. https://doi.org/10.3390/su14052495</w:t>
        </w:r>
      </w:hyperlink>
    </w:p>
    <w:p w:rsidR="00E724B9" w:rsidRPr="003009C3"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Hallowell</w:t>
      </w:r>
      <w:r w:rsidRPr="003009C3">
        <w:rPr>
          <w:rFonts w:ascii="Times New Roman" w:eastAsia="Times New Roman" w:hAnsi="Times New Roman" w:cs="Times New Roman"/>
          <w:b/>
          <w:bCs/>
          <w:color w:val="000000"/>
          <w:sz w:val="24"/>
          <w:szCs w:val="24"/>
          <w:lang w:val="en-US" w:eastAsia="fr-FR"/>
        </w:rPr>
        <w:t>, M. R., &amp; Gambatese, J. A., (2009):</w:t>
      </w:r>
      <w:r w:rsidRPr="003009C3">
        <w:rPr>
          <w:rFonts w:ascii="Times New Roman" w:eastAsia="Times New Roman" w:hAnsi="Times New Roman" w:cs="Times New Roman"/>
          <w:color w:val="000000"/>
          <w:sz w:val="24"/>
          <w:szCs w:val="24"/>
          <w:lang w:val="en-US" w:eastAsia="fr-FR"/>
        </w:rPr>
        <w:t xml:space="preserve"> “Qualitative research: Application of the Delphi method to CEM research”, </w:t>
      </w:r>
      <w:r w:rsidRPr="00715894">
        <w:rPr>
          <w:rFonts w:ascii="Times New Roman" w:eastAsia="Times New Roman" w:hAnsi="Times New Roman" w:cs="Times New Roman"/>
          <w:i/>
          <w:iCs/>
          <w:color w:val="000000"/>
          <w:sz w:val="24"/>
          <w:szCs w:val="24"/>
          <w:lang w:val="en-US" w:eastAsia="fr-FR"/>
        </w:rPr>
        <w:t>Journal of construction engineering and management</w:t>
      </w:r>
      <w:r w:rsidRPr="003009C3">
        <w:rPr>
          <w:rFonts w:ascii="Times New Roman" w:eastAsia="Times New Roman" w:hAnsi="Times New Roman" w:cs="Times New Roman"/>
          <w:color w:val="000000"/>
          <w:sz w:val="24"/>
          <w:szCs w:val="24"/>
          <w:lang w:val="en-US" w:eastAsia="fr-FR"/>
        </w:rPr>
        <w:t>, vol. 136</w:t>
      </w:r>
      <w:r w:rsidR="00A75084">
        <w:rPr>
          <w:rFonts w:ascii="Times New Roman" w:eastAsia="Times New Roman" w:hAnsi="Times New Roman" w:cs="Times New Roman"/>
          <w:color w:val="000000"/>
          <w:sz w:val="24"/>
          <w:szCs w:val="24"/>
          <w:lang w:val="en-US" w:eastAsia="fr-FR"/>
        </w:rPr>
        <w:t>, n° 1</w:t>
      </w:r>
      <w:r w:rsidRPr="003009C3">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Pr="003009C3">
        <w:rPr>
          <w:rFonts w:ascii="Times New Roman" w:eastAsia="Times New Roman" w:hAnsi="Times New Roman" w:cs="Times New Roman"/>
          <w:color w:val="000000"/>
          <w:sz w:val="24"/>
          <w:szCs w:val="24"/>
          <w:lang w:val="en-US" w:eastAsia="fr-FR"/>
        </w:rPr>
        <w:t>. 99-107.</w:t>
      </w:r>
    </w:p>
    <w:p w:rsidR="00E724B9" w:rsidRPr="006F0054" w:rsidRDefault="00E724B9"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r w:rsidRPr="00E40DF8">
        <w:rPr>
          <w:rFonts w:ascii="Times New Roman" w:eastAsia="Times New Roman" w:hAnsi="Times New Roman" w:cs="Times New Roman"/>
          <w:b/>
          <w:bCs/>
          <w:color w:val="000000"/>
          <w:sz w:val="24"/>
          <w:szCs w:val="24"/>
          <w:lang w:val="en-US" w:eastAsia="fr-FR"/>
        </w:rPr>
        <w:t>Hamaina</w:t>
      </w:r>
      <w:r w:rsidRPr="006F0054">
        <w:rPr>
          <w:rFonts w:ascii="Times New Roman" w:eastAsia="Times New Roman" w:hAnsi="Times New Roman" w:cs="Times New Roman"/>
          <w:b/>
          <w:bCs/>
          <w:color w:val="000000" w:themeColor="text1"/>
          <w:sz w:val="24"/>
          <w:szCs w:val="24"/>
          <w:lang w:val="en-US" w:eastAsia="fr-FR"/>
        </w:rPr>
        <w:t>, R., Leduc, T., &amp; Moreau, G., (2014):</w:t>
      </w:r>
      <w:r w:rsidRPr="006F0054">
        <w:rPr>
          <w:rFonts w:ascii="Times New Roman" w:eastAsia="Times New Roman" w:hAnsi="Times New Roman" w:cs="Times New Roman"/>
          <w:color w:val="000000" w:themeColor="text1"/>
          <w:sz w:val="24"/>
          <w:szCs w:val="24"/>
          <w:lang w:val="en-US" w:eastAsia="fr-FR"/>
        </w:rPr>
        <w:t xml:space="preserve"> "A New Method to Characterize Density Adapted to a Coarse City Model", In: Popovich V, Claramunt C, Schrenk M, et al. (eds) Information Fusion and Geographic Information Systems (IF AND GIS 2013): Environmental and Urban Challenges, Lecture Notes in Geoinformation and Cartography, Berlin, Heidelberg: </w:t>
      </w:r>
      <w:r w:rsidRPr="006F0054">
        <w:rPr>
          <w:rFonts w:ascii="Times New Roman" w:eastAsia="Times New Roman" w:hAnsi="Times New Roman" w:cs="Times New Roman"/>
          <w:i/>
          <w:iCs/>
          <w:color w:val="000000" w:themeColor="text1"/>
          <w:sz w:val="24"/>
          <w:szCs w:val="24"/>
          <w:lang w:val="en-US" w:eastAsia="fr-FR"/>
        </w:rPr>
        <w:t>Springer</w:t>
      </w:r>
      <w:r w:rsidRPr="006F0054">
        <w:rPr>
          <w:rFonts w:ascii="Times New Roman" w:eastAsia="Times New Roman" w:hAnsi="Times New Roman" w:cs="Times New Roman"/>
          <w:color w:val="000000" w:themeColor="text1"/>
          <w:sz w:val="24"/>
          <w:szCs w:val="24"/>
          <w:lang w:val="en-US" w:eastAsia="fr-FR"/>
        </w:rPr>
        <w:t>, p</w:t>
      </w:r>
      <w:r w:rsidR="00B26A4B">
        <w:rPr>
          <w:rFonts w:ascii="Times New Roman" w:eastAsia="Times New Roman" w:hAnsi="Times New Roman" w:cs="Times New Roman"/>
          <w:color w:val="000000" w:themeColor="text1"/>
          <w:sz w:val="24"/>
          <w:szCs w:val="24"/>
          <w:lang w:val="en-US" w:eastAsia="fr-FR"/>
        </w:rPr>
        <w:t>p</w:t>
      </w:r>
      <w:r w:rsidRPr="006F0054">
        <w:rPr>
          <w:rFonts w:ascii="Times New Roman" w:eastAsia="Times New Roman" w:hAnsi="Times New Roman" w:cs="Times New Roman"/>
          <w:color w:val="000000" w:themeColor="text1"/>
          <w:sz w:val="24"/>
          <w:szCs w:val="24"/>
          <w:lang w:val="en-US" w:eastAsia="fr-FR"/>
        </w:rPr>
        <w:t>. 249–263.</w:t>
      </w:r>
      <w:r w:rsidR="006F0054">
        <w:rPr>
          <w:rFonts w:ascii="Times New Roman" w:eastAsia="Times New Roman" w:hAnsi="Times New Roman" w:cs="Times New Roman"/>
          <w:color w:val="000000" w:themeColor="text1"/>
          <w:sz w:val="24"/>
          <w:szCs w:val="24"/>
          <w:lang w:val="en-US" w:eastAsia="fr-FR"/>
        </w:rPr>
        <w:t xml:space="preserve"> </w:t>
      </w:r>
      <w:r w:rsidRPr="006F0054">
        <w:rPr>
          <w:rFonts w:ascii="Times New Roman" w:eastAsia="Times New Roman" w:hAnsi="Times New Roman" w:cs="Times New Roman"/>
          <w:color w:val="000000" w:themeColor="text1"/>
          <w:sz w:val="24"/>
          <w:szCs w:val="24"/>
          <w:lang w:val="en-US" w:eastAsia="fr-FR"/>
        </w:rPr>
        <w:t>DOI: 10.1007/978-3-642-31833-7_16</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Hanafin</w:t>
      </w:r>
      <w:r w:rsidRPr="003009C3">
        <w:rPr>
          <w:rFonts w:ascii="Times New Roman" w:eastAsia="Times New Roman" w:hAnsi="Times New Roman" w:cs="Times New Roman"/>
          <w:b/>
          <w:bCs/>
          <w:color w:val="000000"/>
          <w:sz w:val="24"/>
          <w:szCs w:val="24"/>
          <w:lang w:val="en-US" w:eastAsia="fr-FR"/>
        </w:rPr>
        <w:t>, S., (2004):</w:t>
      </w:r>
      <w:r w:rsidRPr="003009C3">
        <w:rPr>
          <w:rFonts w:ascii="Times New Roman" w:eastAsia="Times New Roman" w:hAnsi="Times New Roman" w:cs="Times New Roman"/>
          <w:color w:val="000000"/>
          <w:sz w:val="24"/>
          <w:szCs w:val="24"/>
          <w:lang w:val="en-US" w:eastAsia="fr-FR"/>
        </w:rPr>
        <w:t xml:space="preserve"> "Review of literature o</w:t>
      </w:r>
      <w:r w:rsidR="006F0054">
        <w:rPr>
          <w:rFonts w:ascii="Times New Roman" w:eastAsia="Times New Roman" w:hAnsi="Times New Roman" w:cs="Times New Roman"/>
          <w:color w:val="000000"/>
          <w:sz w:val="24"/>
          <w:szCs w:val="24"/>
          <w:lang w:val="en-US" w:eastAsia="fr-FR"/>
        </w:rPr>
        <w:t>n the Delphi Technique". Dublin,</w:t>
      </w:r>
      <w:r w:rsidRPr="003009C3">
        <w:rPr>
          <w:rFonts w:ascii="Times New Roman" w:eastAsia="Times New Roman" w:hAnsi="Times New Roman" w:cs="Times New Roman"/>
          <w:color w:val="000000"/>
          <w:sz w:val="24"/>
          <w:szCs w:val="24"/>
          <w:lang w:val="en-US" w:eastAsia="fr-FR"/>
        </w:rPr>
        <w:t xml:space="preserve"> National Children’s Office.</w:t>
      </w:r>
      <w:r w:rsidR="006F0054" w:rsidRPr="006F0054">
        <w:rPr>
          <w:lang w:val="en-US"/>
        </w:rPr>
        <w:t xml:space="preserve"> </w:t>
      </w:r>
      <w:r w:rsidR="006F0054" w:rsidRPr="006F0054">
        <w:rPr>
          <w:rFonts w:ascii="Times New Roman" w:eastAsia="Times New Roman" w:hAnsi="Times New Roman" w:cs="Times New Roman"/>
          <w:color w:val="000000"/>
          <w:sz w:val="24"/>
          <w:szCs w:val="24"/>
          <w:lang w:val="en-US" w:eastAsia="fr-FR"/>
        </w:rPr>
        <w:t>https://citeseerx.ist.psu.edu/document?repid=rep1&amp;type=pdf&amp;doi=38d8baf</w:t>
      </w:r>
      <w:r w:rsidR="006F0054">
        <w:rPr>
          <w:rFonts w:ascii="Times New Roman" w:eastAsia="Times New Roman" w:hAnsi="Times New Roman" w:cs="Times New Roman"/>
          <w:color w:val="000000"/>
          <w:sz w:val="24"/>
          <w:szCs w:val="24"/>
          <w:lang w:val="en-US" w:eastAsia="fr-FR"/>
        </w:rPr>
        <w:t xml:space="preserve"> </w:t>
      </w:r>
      <w:r w:rsidR="006F0054" w:rsidRPr="006F0054">
        <w:rPr>
          <w:rFonts w:ascii="Times New Roman" w:eastAsia="Times New Roman" w:hAnsi="Times New Roman" w:cs="Times New Roman"/>
          <w:color w:val="000000"/>
          <w:sz w:val="24"/>
          <w:szCs w:val="24"/>
          <w:lang w:val="en-US" w:eastAsia="fr-FR"/>
        </w:rPr>
        <w:t>4f555fe5ff230dd75eb8483eb9298cfaa</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78" w:history="1">
        <w:r w:rsidR="00E724B9" w:rsidRPr="00E40DF8">
          <w:rPr>
            <w:rFonts w:ascii="Times New Roman" w:eastAsia="Times New Roman" w:hAnsi="Times New Roman" w:cs="Times New Roman"/>
            <w:b/>
            <w:bCs/>
            <w:color w:val="000000"/>
            <w:sz w:val="24"/>
            <w:szCs w:val="24"/>
            <w:lang w:val="en-US" w:eastAsia="fr-FR"/>
          </w:rPr>
          <w:t>Harker</w:t>
        </w:r>
        <w:r w:rsidR="00E724B9" w:rsidRPr="006F0054">
          <w:rPr>
            <w:rFonts w:ascii="Times New Roman" w:eastAsia="Times New Roman" w:hAnsi="Times New Roman" w:cs="Times New Roman"/>
            <w:b/>
            <w:bCs/>
            <w:color w:val="000000"/>
            <w:sz w:val="24"/>
            <w:szCs w:val="24"/>
            <w:lang w:val="en-US" w:eastAsia="fr-FR"/>
          </w:rPr>
          <w:t>, P. T., &amp; Vargas, L. G. (1987)</w:t>
        </w:r>
        <w:r w:rsidR="006F0054" w:rsidRPr="006F0054">
          <w:rPr>
            <w:rFonts w:ascii="Times New Roman" w:eastAsia="Times New Roman" w:hAnsi="Times New Roman" w:cs="Times New Roman"/>
            <w:b/>
            <w:bCs/>
            <w:color w:val="000000"/>
            <w:sz w:val="24"/>
            <w:szCs w:val="24"/>
            <w:lang w:val="en-US" w:eastAsia="fr-FR"/>
          </w:rPr>
          <w:t>:</w:t>
        </w:r>
        <w:r w:rsidR="00E724B9" w:rsidRPr="003009C3">
          <w:rPr>
            <w:rFonts w:ascii="Times New Roman" w:eastAsia="Times New Roman" w:hAnsi="Times New Roman" w:cs="Times New Roman"/>
            <w:color w:val="000000"/>
            <w:sz w:val="24"/>
            <w:szCs w:val="24"/>
            <w:lang w:val="en-US" w:eastAsia="fr-FR"/>
          </w:rPr>
          <w:t xml:space="preserve"> </w:t>
        </w:r>
        <w:r w:rsidR="006F0054">
          <w:rPr>
            <w:rFonts w:ascii="Times New Roman" w:eastAsia="Times New Roman" w:hAnsi="Times New Roman" w:cs="Times New Roman"/>
            <w:color w:val="000000"/>
            <w:sz w:val="24"/>
            <w:szCs w:val="24"/>
            <w:lang w:val="en-US" w:eastAsia="fr-FR"/>
          </w:rPr>
          <w:t>“</w:t>
        </w:r>
        <w:r w:rsidR="00E724B9" w:rsidRPr="003009C3">
          <w:rPr>
            <w:rFonts w:ascii="Times New Roman" w:eastAsia="Times New Roman" w:hAnsi="Times New Roman" w:cs="Times New Roman"/>
            <w:color w:val="000000"/>
            <w:sz w:val="24"/>
            <w:szCs w:val="24"/>
            <w:lang w:val="en-US" w:eastAsia="fr-FR"/>
          </w:rPr>
          <w:t>The Theory of Ratio Scale Estimation: Saaty’s Analytic Hierarchy Process</w:t>
        </w:r>
        <w:r w:rsidR="006F0054">
          <w:rPr>
            <w:rFonts w:ascii="Times New Roman" w:eastAsia="Times New Roman" w:hAnsi="Times New Roman" w:cs="Times New Roman"/>
            <w:color w:val="000000"/>
            <w:sz w:val="24"/>
            <w:szCs w:val="24"/>
            <w:lang w:val="en-US" w:eastAsia="fr-FR"/>
          </w:rPr>
          <w:t>”,</w:t>
        </w:r>
        <w:r w:rsidR="00E724B9" w:rsidRPr="003009C3">
          <w:rPr>
            <w:rFonts w:ascii="Times New Roman" w:eastAsia="Times New Roman" w:hAnsi="Times New Roman" w:cs="Times New Roman"/>
            <w:color w:val="000000"/>
            <w:sz w:val="24"/>
            <w:szCs w:val="24"/>
            <w:lang w:val="en-US" w:eastAsia="fr-FR"/>
          </w:rPr>
          <w:t xml:space="preserve"> </w:t>
        </w:r>
        <w:r w:rsidR="00E724B9" w:rsidRPr="006F0054">
          <w:rPr>
            <w:rFonts w:ascii="Times New Roman" w:eastAsia="Times New Roman" w:hAnsi="Times New Roman" w:cs="Times New Roman"/>
            <w:i/>
            <w:iCs/>
            <w:color w:val="000000"/>
            <w:sz w:val="24"/>
            <w:szCs w:val="24"/>
            <w:lang w:val="en-US" w:eastAsia="fr-FR"/>
          </w:rPr>
          <w:t>Management Science</w:t>
        </w:r>
        <w:r w:rsidR="00E724B9" w:rsidRPr="003009C3">
          <w:rPr>
            <w:rFonts w:ascii="Times New Roman" w:eastAsia="Times New Roman" w:hAnsi="Times New Roman" w:cs="Times New Roman"/>
            <w:color w:val="000000"/>
            <w:sz w:val="24"/>
            <w:szCs w:val="24"/>
            <w:lang w:val="en-US" w:eastAsia="fr-FR"/>
          </w:rPr>
          <w:t>,</w:t>
        </w:r>
        <w:r w:rsidR="006F0054">
          <w:rPr>
            <w:rFonts w:ascii="Times New Roman" w:eastAsia="Times New Roman" w:hAnsi="Times New Roman" w:cs="Times New Roman"/>
            <w:color w:val="000000"/>
            <w:sz w:val="24"/>
            <w:szCs w:val="24"/>
            <w:lang w:val="en-US" w:eastAsia="fr-FR"/>
          </w:rPr>
          <w:t xml:space="preserve"> vol. </w:t>
        </w:r>
        <w:r w:rsidR="00E724B9" w:rsidRPr="003009C3">
          <w:rPr>
            <w:rFonts w:ascii="Times New Roman" w:eastAsia="Times New Roman" w:hAnsi="Times New Roman" w:cs="Times New Roman"/>
            <w:color w:val="000000"/>
            <w:sz w:val="24"/>
            <w:szCs w:val="24"/>
            <w:lang w:val="en-US" w:eastAsia="fr-FR"/>
          </w:rPr>
          <w:t>33</w:t>
        </w:r>
        <w:r w:rsidR="006F0054">
          <w:rPr>
            <w:rFonts w:ascii="Times New Roman" w:eastAsia="Times New Roman" w:hAnsi="Times New Roman" w:cs="Times New Roman"/>
            <w:color w:val="000000"/>
            <w:sz w:val="24"/>
            <w:szCs w:val="24"/>
            <w:lang w:val="en-US" w:eastAsia="fr-FR"/>
          </w:rPr>
          <w:t xml:space="preserve">, n° </w:t>
        </w:r>
        <w:r w:rsidR="00E724B9" w:rsidRPr="003009C3">
          <w:rPr>
            <w:rFonts w:ascii="Times New Roman" w:eastAsia="Times New Roman" w:hAnsi="Times New Roman" w:cs="Times New Roman"/>
            <w:color w:val="000000"/>
            <w:sz w:val="24"/>
            <w:szCs w:val="24"/>
            <w:lang w:val="en-US" w:eastAsia="fr-FR"/>
          </w:rPr>
          <w:t>11,</w:t>
        </w:r>
        <w:r w:rsidR="006F0054">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sidR="006F0054">
          <w:rPr>
            <w:rFonts w:ascii="Times New Roman" w:eastAsia="Times New Roman" w:hAnsi="Times New Roman" w:cs="Times New Roman"/>
            <w:color w:val="000000"/>
            <w:sz w:val="24"/>
            <w:szCs w:val="24"/>
            <w:lang w:val="en-US" w:eastAsia="fr-FR"/>
          </w:rPr>
          <w:t xml:space="preserve"> .</w:t>
        </w:r>
        <w:r w:rsidR="00E724B9" w:rsidRPr="003009C3">
          <w:rPr>
            <w:rFonts w:ascii="Times New Roman" w:eastAsia="Times New Roman" w:hAnsi="Times New Roman" w:cs="Times New Roman"/>
            <w:color w:val="000000"/>
            <w:sz w:val="24"/>
            <w:szCs w:val="24"/>
            <w:lang w:val="en-US" w:eastAsia="fr-FR"/>
          </w:rPr>
          <w:t>1383–1403. https://doi.org/10.1287/mnsc.33.11.1383</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Harrison, G. W. (1979</w:t>
      </w:r>
      <w:r w:rsidRPr="006F0054">
        <w:rPr>
          <w:rFonts w:ascii="Times New Roman" w:eastAsia="Times New Roman" w:hAnsi="Times New Roman" w:cs="Times New Roman"/>
          <w:b/>
          <w:bCs/>
          <w:color w:val="000000"/>
          <w:sz w:val="24"/>
          <w:szCs w:val="24"/>
          <w:lang w:val="en-US" w:eastAsia="fr-FR"/>
        </w:rPr>
        <w:t>)</w:t>
      </w:r>
      <w:r w:rsidR="006F0054" w:rsidRPr="006F0054">
        <w:rPr>
          <w:rFonts w:ascii="Times New Roman" w:eastAsia="Times New Roman" w:hAnsi="Times New Roman" w:cs="Times New Roman"/>
          <w:b/>
          <w:bCs/>
          <w:color w:val="000000"/>
          <w:sz w:val="24"/>
          <w:szCs w:val="24"/>
          <w:lang w:val="en-US" w:eastAsia="fr-FR"/>
        </w:rPr>
        <w:t>:</w:t>
      </w:r>
      <w:r w:rsidRPr="003009C3">
        <w:rPr>
          <w:rFonts w:ascii="Times New Roman" w:eastAsia="Times New Roman" w:hAnsi="Times New Roman" w:cs="Times New Roman"/>
          <w:color w:val="000000"/>
          <w:sz w:val="24"/>
          <w:szCs w:val="24"/>
          <w:lang w:val="en-US" w:eastAsia="fr-FR"/>
        </w:rPr>
        <w:t xml:space="preserve"> </w:t>
      </w:r>
      <w:r w:rsidR="006F0054">
        <w:rPr>
          <w:rFonts w:ascii="Times New Roman" w:eastAsia="Times New Roman" w:hAnsi="Times New Roman" w:cs="Times New Roman"/>
          <w:color w:val="000000"/>
          <w:sz w:val="24"/>
          <w:szCs w:val="24"/>
          <w:lang w:val="en-US" w:eastAsia="fr-FR"/>
        </w:rPr>
        <w:t>“</w:t>
      </w:r>
      <w:r w:rsidRPr="003009C3">
        <w:rPr>
          <w:rFonts w:ascii="Times New Roman" w:eastAsia="Times New Roman" w:hAnsi="Times New Roman" w:cs="Times New Roman"/>
          <w:color w:val="000000"/>
          <w:sz w:val="24"/>
          <w:szCs w:val="24"/>
          <w:lang w:val="en-US" w:eastAsia="fr-FR"/>
        </w:rPr>
        <w:t>Stability under environmental stress: resistance, resilience, persistence, and variability</w:t>
      </w:r>
      <w:r w:rsidR="006F0054">
        <w:rPr>
          <w:rFonts w:ascii="Times New Roman" w:eastAsia="Times New Roman" w:hAnsi="Times New Roman" w:cs="Times New Roman"/>
          <w:color w:val="000000"/>
          <w:sz w:val="24"/>
          <w:szCs w:val="24"/>
          <w:lang w:val="en-US" w:eastAsia="fr-FR"/>
        </w:rPr>
        <w:t>”,</w:t>
      </w:r>
      <w:r w:rsidRPr="003009C3">
        <w:rPr>
          <w:rFonts w:ascii="Times New Roman" w:eastAsia="Times New Roman" w:hAnsi="Times New Roman" w:cs="Times New Roman"/>
          <w:color w:val="000000"/>
          <w:sz w:val="24"/>
          <w:szCs w:val="24"/>
          <w:lang w:val="en-US" w:eastAsia="fr-FR"/>
        </w:rPr>
        <w:t xml:space="preserve"> </w:t>
      </w:r>
      <w:r w:rsidRPr="006F0054">
        <w:rPr>
          <w:rFonts w:ascii="Times New Roman" w:eastAsia="Times New Roman" w:hAnsi="Times New Roman" w:cs="Times New Roman"/>
          <w:i/>
          <w:iCs/>
          <w:color w:val="000000"/>
          <w:sz w:val="24"/>
          <w:szCs w:val="24"/>
          <w:lang w:val="en-US" w:eastAsia="fr-FR"/>
        </w:rPr>
        <w:t>The American Naturalist</w:t>
      </w:r>
      <w:r w:rsidRPr="003009C3">
        <w:rPr>
          <w:rFonts w:ascii="Times New Roman" w:eastAsia="Times New Roman" w:hAnsi="Times New Roman" w:cs="Times New Roman"/>
          <w:color w:val="000000"/>
          <w:sz w:val="24"/>
          <w:szCs w:val="24"/>
          <w:lang w:val="en-US" w:eastAsia="fr-FR"/>
        </w:rPr>
        <w:t xml:space="preserve">, </w:t>
      </w:r>
      <w:r w:rsidR="006F0054">
        <w:rPr>
          <w:rFonts w:ascii="Times New Roman" w:eastAsia="Times New Roman" w:hAnsi="Times New Roman" w:cs="Times New Roman"/>
          <w:color w:val="000000"/>
          <w:sz w:val="24"/>
          <w:szCs w:val="24"/>
          <w:lang w:val="en-US" w:eastAsia="fr-FR"/>
        </w:rPr>
        <w:t xml:space="preserve">vol. </w:t>
      </w:r>
      <w:r w:rsidRPr="003009C3">
        <w:rPr>
          <w:rFonts w:ascii="Times New Roman" w:eastAsia="Times New Roman" w:hAnsi="Times New Roman" w:cs="Times New Roman"/>
          <w:color w:val="000000"/>
          <w:sz w:val="24"/>
          <w:szCs w:val="24"/>
          <w:lang w:val="en-US" w:eastAsia="fr-FR"/>
        </w:rPr>
        <w:t>113</w:t>
      </w:r>
      <w:r w:rsidR="006F0054">
        <w:rPr>
          <w:rFonts w:ascii="Times New Roman" w:eastAsia="Times New Roman" w:hAnsi="Times New Roman" w:cs="Times New Roman"/>
          <w:color w:val="000000"/>
          <w:sz w:val="24"/>
          <w:szCs w:val="24"/>
          <w:lang w:val="en-US" w:eastAsia="fr-FR"/>
        </w:rPr>
        <w:t xml:space="preserve">, n° </w:t>
      </w:r>
      <w:r w:rsidRPr="003009C3">
        <w:rPr>
          <w:rFonts w:ascii="Times New Roman" w:eastAsia="Times New Roman" w:hAnsi="Times New Roman" w:cs="Times New Roman"/>
          <w:color w:val="000000"/>
          <w:sz w:val="24"/>
          <w:szCs w:val="24"/>
          <w:lang w:val="en-US" w:eastAsia="fr-FR"/>
        </w:rPr>
        <w:t xml:space="preserve">5, </w:t>
      </w:r>
      <w:r w:rsidR="006F0054">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006F0054">
        <w:rPr>
          <w:rFonts w:ascii="Times New Roman" w:eastAsia="Times New Roman" w:hAnsi="Times New Roman" w:cs="Times New Roman"/>
          <w:color w:val="000000"/>
          <w:sz w:val="24"/>
          <w:szCs w:val="24"/>
          <w:lang w:val="en-US" w:eastAsia="fr-FR"/>
        </w:rPr>
        <w:t xml:space="preserve">. </w:t>
      </w:r>
      <w:r w:rsidRPr="003009C3">
        <w:rPr>
          <w:rFonts w:ascii="Times New Roman" w:eastAsia="Times New Roman" w:hAnsi="Times New Roman" w:cs="Times New Roman"/>
          <w:color w:val="000000"/>
          <w:sz w:val="24"/>
          <w:szCs w:val="24"/>
          <w:lang w:val="en-US" w:eastAsia="fr-FR"/>
        </w:rPr>
        <w:t>659–669. Doi: 10.1086/283424.</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Hasson</w:t>
      </w:r>
      <w:r w:rsidRPr="003009C3">
        <w:rPr>
          <w:rFonts w:ascii="Times New Roman" w:eastAsia="Times New Roman" w:hAnsi="Times New Roman" w:cs="Times New Roman"/>
          <w:b/>
          <w:bCs/>
          <w:color w:val="000000"/>
          <w:sz w:val="24"/>
          <w:szCs w:val="24"/>
          <w:lang w:val="en-US" w:eastAsia="fr-FR"/>
        </w:rPr>
        <w:t>, F. &amp; Keeney, S. (2011):</w:t>
      </w:r>
      <w:r w:rsidRPr="003009C3">
        <w:rPr>
          <w:rFonts w:ascii="Times New Roman" w:eastAsia="Times New Roman" w:hAnsi="Times New Roman" w:cs="Times New Roman"/>
          <w:color w:val="000000"/>
          <w:sz w:val="24"/>
          <w:szCs w:val="24"/>
          <w:lang w:val="en-US" w:eastAsia="fr-FR"/>
        </w:rPr>
        <w:t xml:space="preserve"> "Enhancing rigors in the Delphi technique research", </w:t>
      </w:r>
      <w:r w:rsidRPr="006F0054">
        <w:rPr>
          <w:rFonts w:ascii="Times New Roman" w:eastAsia="Times New Roman" w:hAnsi="Times New Roman" w:cs="Times New Roman"/>
          <w:i/>
          <w:iCs/>
          <w:color w:val="000000"/>
          <w:sz w:val="24"/>
          <w:szCs w:val="24"/>
          <w:lang w:val="en-US" w:eastAsia="fr-FR"/>
        </w:rPr>
        <w:t>Technological Forecasting and Social Change</w:t>
      </w:r>
      <w:r w:rsidRPr="003009C3">
        <w:rPr>
          <w:rFonts w:ascii="Times New Roman" w:eastAsia="Times New Roman" w:hAnsi="Times New Roman" w:cs="Times New Roman"/>
          <w:color w:val="000000"/>
          <w:sz w:val="24"/>
          <w:szCs w:val="24"/>
          <w:lang w:val="en-US" w:eastAsia="fr-FR"/>
        </w:rPr>
        <w:t>, vol. 78</w:t>
      </w:r>
      <w:r w:rsidR="006F0054">
        <w:rPr>
          <w:rFonts w:ascii="Times New Roman" w:eastAsia="Times New Roman" w:hAnsi="Times New Roman" w:cs="Times New Roman"/>
          <w:color w:val="000000"/>
          <w:sz w:val="24"/>
          <w:szCs w:val="24"/>
          <w:lang w:val="en-US" w:eastAsia="fr-FR"/>
        </w:rPr>
        <w:t xml:space="preserve">, n° </w:t>
      </w:r>
      <w:r w:rsidRPr="003009C3">
        <w:rPr>
          <w:rFonts w:ascii="Times New Roman" w:eastAsia="Times New Roman" w:hAnsi="Times New Roman" w:cs="Times New Roman"/>
          <w:color w:val="000000"/>
          <w:sz w:val="24"/>
          <w:szCs w:val="24"/>
          <w:lang w:val="en-US" w:eastAsia="fr-FR"/>
        </w:rPr>
        <w:t xml:space="preserve">9, </w:t>
      </w:r>
      <w:r w:rsidR="00B26A4B">
        <w:rPr>
          <w:rFonts w:ascii="Times New Roman" w:eastAsia="Times New Roman" w:hAnsi="Times New Roman" w:cs="Times New Roman"/>
          <w:color w:val="000000"/>
          <w:sz w:val="24"/>
          <w:szCs w:val="24"/>
          <w:lang w:val="en-US" w:eastAsia="fr-FR"/>
        </w:rPr>
        <w:t>p</w:t>
      </w:r>
      <w:r w:rsidRPr="003009C3">
        <w:rPr>
          <w:rFonts w:ascii="Times New Roman" w:eastAsia="Times New Roman" w:hAnsi="Times New Roman" w:cs="Times New Roman"/>
          <w:color w:val="000000"/>
          <w:sz w:val="24"/>
          <w:szCs w:val="24"/>
          <w:lang w:val="en-US" w:eastAsia="fr-FR"/>
        </w:rPr>
        <w:t>p. 1695-1704.</w:t>
      </w:r>
    </w:p>
    <w:p w:rsidR="00120DEB" w:rsidRPr="00FD7569" w:rsidRDefault="00120DEB" w:rsidP="00B26A4B">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Heinzlef</w:t>
      </w:r>
      <w:r w:rsidRPr="00FD7569">
        <w:rPr>
          <w:rFonts w:ascii="Times New Roman" w:eastAsia="Times New Roman" w:hAnsi="Times New Roman" w:cs="Times New Roman"/>
          <w:b/>
          <w:bCs/>
          <w:color w:val="000000"/>
          <w:sz w:val="24"/>
          <w:szCs w:val="24"/>
          <w:lang w:val="en-US" w:eastAsia="fr-FR"/>
        </w:rPr>
        <w:t xml:space="preserve">, C., Becue, V., Serre, D., </w:t>
      </w:r>
      <w:r w:rsidR="00FD7569" w:rsidRPr="003860EF">
        <w:rPr>
          <w:rFonts w:ascii="Times New Roman" w:eastAsia="Times New Roman" w:hAnsi="Times New Roman" w:cs="Times New Roman"/>
          <w:b/>
          <w:bCs/>
          <w:color w:val="000000"/>
          <w:sz w:val="24"/>
          <w:szCs w:val="24"/>
          <w:lang w:val="en-US" w:eastAsia="fr-FR"/>
        </w:rPr>
        <w:t>(2019):</w:t>
      </w:r>
      <w:r w:rsidRPr="00120DEB">
        <w:rPr>
          <w:rFonts w:ascii="TimesNewRomanPSMT" w:hAnsi="TimesNewRomanPSMT" w:cs="TimesNewRomanPSMT"/>
          <w:color w:val="000000"/>
          <w:sz w:val="18"/>
          <w:szCs w:val="18"/>
          <w:lang w:val="en-US"/>
        </w:rPr>
        <w:t xml:space="preserve"> </w:t>
      </w:r>
      <w:r w:rsidR="00FD7569" w:rsidRPr="003860EF">
        <w:rPr>
          <w:rFonts w:ascii="Times New Roman" w:eastAsia="Times New Roman" w:hAnsi="Times New Roman" w:cs="Times New Roman"/>
          <w:color w:val="000000"/>
          <w:sz w:val="24"/>
          <w:szCs w:val="24"/>
          <w:lang w:val="en-US" w:eastAsia="fr-FR"/>
        </w:rPr>
        <w:t>"</w:t>
      </w:r>
      <w:r w:rsidRPr="00FD7569">
        <w:rPr>
          <w:rFonts w:ascii="Times New Roman" w:eastAsia="Times New Roman" w:hAnsi="Times New Roman" w:cs="Times New Roman"/>
          <w:color w:val="000000"/>
          <w:sz w:val="24"/>
          <w:szCs w:val="24"/>
          <w:lang w:val="en-US" w:eastAsia="fr-FR"/>
        </w:rPr>
        <w:t>Operationalizing urban resilience to floods in embanked territories –</w:t>
      </w:r>
      <w:r w:rsidR="00FD7569">
        <w:rPr>
          <w:rFonts w:ascii="Times New Roman" w:eastAsia="Times New Roman" w:hAnsi="Times New Roman" w:cs="Times New Roman"/>
          <w:color w:val="000000"/>
          <w:sz w:val="24"/>
          <w:szCs w:val="24"/>
          <w:lang w:val="en-US" w:eastAsia="fr-FR"/>
        </w:rPr>
        <w:t xml:space="preserve"> </w:t>
      </w:r>
      <w:r w:rsidRPr="00FD7569">
        <w:rPr>
          <w:rFonts w:ascii="Times New Roman" w:eastAsia="Times New Roman" w:hAnsi="Times New Roman" w:cs="Times New Roman"/>
          <w:color w:val="000000"/>
          <w:sz w:val="24"/>
          <w:szCs w:val="24"/>
          <w:lang w:val="en-US" w:eastAsia="fr-FR"/>
        </w:rPr>
        <w:t>Application in Avignon, Provence Alpes Côte d’azur</w:t>
      </w:r>
      <w:r w:rsidR="00FD7569" w:rsidRPr="00FD7569">
        <w:rPr>
          <w:rFonts w:ascii="Times New Roman" w:eastAsia="Times New Roman" w:hAnsi="Times New Roman" w:cs="Times New Roman"/>
          <w:color w:val="000000"/>
          <w:sz w:val="24"/>
          <w:szCs w:val="24"/>
          <w:lang w:val="en-US" w:eastAsia="fr-FR"/>
        </w:rPr>
        <w:t xml:space="preserve"> </w:t>
      </w:r>
      <w:r w:rsidRPr="00FD7569">
        <w:rPr>
          <w:rFonts w:ascii="Times New Roman" w:eastAsia="Times New Roman" w:hAnsi="Times New Roman" w:cs="Times New Roman"/>
          <w:color w:val="000000"/>
          <w:sz w:val="24"/>
          <w:szCs w:val="24"/>
          <w:lang w:val="en-US" w:eastAsia="fr-FR"/>
        </w:rPr>
        <w:t>region</w:t>
      </w:r>
      <w:r w:rsidR="00FD7569" w:rsidRPr="003860EF">
        <w:rPr>
          <w:rFonts w:ascii="Times New Roman" w:eastAsia="Times New Roman" w:hAnsi="Times New Roman" w:cs="Times New Roman"/>
          <w:color w:val="000000"/>
          <w:sz w:val="24"/>
          <w:szCs w:val="24"/>
          <w:lang w:val="en-US" w:eastAsia="fr-FR"/>
        </w:rPr>
        <w:t xml:space="preserve">", </w:t>
      </w:r>
      <w:r w:rsidRPr="00FD7569">
        <w:rPr>
          <w:rFonts w:ascii="Times New Roman" w:eastAsia="Times New Roman" w:hAnsi="Times New Roman" w:cs="Times New Roman"/>
          <w:i/>
          <w:iCs/>
          <w:color w:val="000000"/>
          <w:sz w:val="24"/>
          <w:szCs w:val="24"/>
          <w:lang w:val="en-US" w:eastAsia="fr-FR"/>
        </w:rPr>
        <w:t>Saf. Sci</w:t>
      </w:r>
      <w:r w:rsidR="00FD7569">
        <w:rPr>
          <w:rFonts w:ascii="Times New Roman" w:eastAsia="Times New Roman" w:hAnsi="Times New Roman" w:cs="Times New Roman"/>
          <w:color w:val="000000"/>
          <w:sz w:val="24"/>
          <w:szCs w:val="24"/>
          <w:lang w:val="en-US" w:eastAsia="fr-FR"/>
        </w:rPr>
        <w:t>, vol.</w:t>
      </w:r>
      <w:r w:rsidRPr="00FD7569">
        <w:rPr>
          <w:rFonts w:ascii="Times New Roman" w:eastAsia="Times New Roman" w:hAnsi="Times New Roman" w:cs="Times New Roman"/>
          <w:color w:val="000000"/>
          <w:sz w:val="24"/>
          <w:szCs w:val="24"/>
          <w:lang w:val="en-US" w:eastAsia="fr-FR"/>
        </w:rPr>
        <w:t>118,</w:t>
      </w:r>
      <w:r w:rsidR="00FD7569">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pp</w:t>
      </w:r>
      <w:r w:rsidR="00FD7569">
        <w:rPr>
          <w:rFonts w:ascii="Times New Roman" w:eastAsia="Times New Roman" w:hAnsi="Times New Roman" w:cs="Times New Roman"/>
          <w:color w:val="000000"/>
          <w:sz w:val="24"/>
          <w:szCs w:val="24"/>
          <w:lang w:val="en-US" w:eastAsia="fr-FR"/>
        </w:rPr>
        <w:t>.</w:t>
      </w:r>
      <w:r w:rsidRPr="00FD7569">
        <w:rPr>
          <w:rFonts w:ascii="Times New Roman" w:eastAsia="Times New Roman" w:hAnsi="Times New Roman" w:cs="Times New Roman"/>
          <w:color w:val="000000"/>
          <w:sz w:val="24"/>
          <w:szCs w:val="24"/>
          <w:lang w:val="en-US" w:eastAsia="fr-FR"/>
        </w:rPr>
        <w:t xml:space="preserve"> 181–193.</w:t>
      </w:r>
      <w:r w:rsidRPr="00FD7569">
        <w:rPr>
          <w:rFonts w:asciiTheme="majorBidi" w:hAnsiTheme="majorBidi" w:cstheme="majorBidi"/>
          <w:color w:val="0000FF"/>
          <w:sz w:val="24"/>
          <w:szCs w:val="24"/>
          <w:lang w:val="en-US"/>
        </w:rPr>
        <w:t>https://doi.org/10.1016/j.ssci.2019.05.003</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Hillier</w:t>
      </w:r>
      <w:r w:rsidRPr="005A2336">
        <w:rPr>
          <w:rFonts w:ascii="Times New Roman" w:eastAsia="Times New Roman" w:hAnsi="Times New Roman" w:cs="Times New Roman"/>
          <w:b/>
          <w:bCs/>
          <w:color w:val="000000"/>
          <w:sz w:val="24"/>
          <w:szCs w:val="24"/>
          <w:lang w:val="en-US" w:eastAsia="fr-FR"/>
        </w:rPr>
        <w:t>, B.</w:t>
      </w:r>
      <w:r w:rsidR="005A2336" w:rsidRPr="005A2336">
        <w:rPr>
          <w:rFonts w:ascii="Times New Roman" w:eastAsia="Times New Roman" w:hAnsi="Times New Roman" w:cs="Times New Roman"/>
          <w:b/>
          <w:bCs/>
          <w:color w:val="000000"/>
          <w:sz w:val="24"/>
          <w:szCs w:val="24"/>
          <w:lang w:val="en-US" w:eastAsia="fr-FR"/>
        </w:rPr>
        <w:t>,</w:t>
      </w:r>
      <w:r w:rsidRPr="005A2336">
        <w:rPr>
          <w:rFonts w:ascii="Times New Roman" w:eastAsia="Times New Roman" w:hAnsi="Times New Roman" w:cs="Times New Roman"/>
          <w:b/>
          <w:bCs/>
          <w:color w:val="000000"/>
          <w:sz w:val="24"/>
          <w:szCs w:val="24"/>
          <w:lang w:val="en-US" w:eastAsia="fr-FR"/>
        </w:rPr>
        <w:t xml:space="preserve"> </w:t>
      </w:r>
      <w:r w:rsidR="005A2336" w:rsidRPr="005A2336">
        <w:rPr>
          <w:rFonts w:ascii="Times New Roman" w:eastAsia="Times New Roman" w:hAnsi="Times New Roman" w:cs="Times New Roman"/>
          <w:b/>
          <w:bCs/>
          <w:color w:val="000000"/>
          <w:sz w:val="24"/>
          <w:szCs w:val="24"/>
          <w:lang w:val="en-US" w:eastAsia="fr-FR"/>
        </w:rPr>
        <w:t>(</w:t>
      </w:r>
      <w:r w:rsidRPr="005A2336">
        <w:rPr>
          <w:rFonts w:ascii="Times New Roman" w:eastAsia="Times New Roman" w:hAnsi="Times New Roman" w:cs="Times New Roman"/>
          <w:b/>
          <w:bCs/>
          <w:color w:val="000000"/>
          <w:sz w:val="24"/>
          <w:szCs w:val="24"/>
          <w:lang w:val="en-US" w:eastAsia="fr-FR"/>
        </w:rPr>
        <w:t>2007</w:t>
      </w:r>
      <w:r w:rsidR="005A2336" w:rsidRPr="005A2336">
        <w:rPr>
          <w:rFonts w:ascii="Times New Roman" w:eastAsia="Times New Roman" w:hAnsi="Times New Roman" w:cs="Times New Roman"/>
          <w:b/>
          <w:bCs/>
          <w:color w:val="000000"/>
          <w:sz w:val="24"/>
          <w:szCs w:val="24"/>
          <w:lang w:val="en-US" w:eastAsia="fr-FR"/>
        </w:rPr>
        <w:t>):</w:t>
      </w:r>
      <w:r w:rsidRPr="005A2336">
        <w:rPr>
          <w:rFonts w:ascii="Times New Roman" w:eastAsia="Times New Roman" w:hAnsi="Times New Roman" w:cs="Times New Roman"/>
          <w:b/>
          <w:bCs/>
          <w:color w:val="000000"/>
          <w:sz w:val="24"/>
          <w:szCs w:val="24"/>
          <w:lang w:val="en-US" w:eastAsia="fr-FR"/>
        </w:rPr>
        <w:t xml:space="preserve"> </w:t>
      </w:r>
      <w:r w:rsidR="005A2336">
        <w:rPr>
          <w:rFonts w:ascii="Times New Roman" w:eastAsia="Times New Roman" w:hAnsi="Times New Roman" w:cs="Times New Roman"/>
          <w:color w:val="000000"/>
          <w:sz w:val="24"/>
          <w:szCs w:val="24"/>
          <w:lang w:val="en-US" w:eastAsia="fr-FR"/>
        </w:rPr>
        <w:t>“</w:t>
      </w:r>
      <w:r w:rsidRPr="005A2336">
        <w:rPr>
          <w:rFonts w:ascii="Times New Roman" w:eastAsia="Times New Roman" w:hAnsi="Times New Roman" w:cs="Times New Roman"/>
          <w:color w:val="000000"/>
          <w:sz w:val="24"/>
          <w:szCs w:val="24"/>
          <w:lang w:val="en-US" w:eastAsia="fr-FR"/>
        </w:rPr>
        <w:t>Space is the machine: a configurational theory of architecture</w:t>
      </w:r>
      <w:r w:rsidR="005A2336">
        <w:rPr>
          <w:rFonts w:ascii="Times New Roman" w:eastAsia="Times New Roman" w:hAnsi="Times New Roman" w:cs="Times New Roman"/>
          <w:color w:val="000000"/>
          <w:sz w:val="24"/>
          <w:szCs w:val="24"/>
          <w:lang w:val="en-US" w:eastAsia="fr-FR"/>
        </w:rPr>
        <w:t>”</w:t>
      </w:r>
      <w:r w:rsidRPr="005A2336">
        <w:rPr>
          <w:rFonts w:ascii="Times New Roman" w:eastAsia="Times New Roman" w:hAnsi="Times New Roman" w:cs="Times New Roman"/>
          <w:color w:val="000000"/>
          <w:sz w:val="24"/>
          <w:szCs w:val="24"/>
          <w:lang w:val="en-US" w:eastAsia="fr-FR"/>
        </w:rPr>
        <w:t xml:space="preserve">, </w:t>
      </w:r>
      <w:r w:rsidRPr="005A2336">
        <w:rPr>
          <w:rFonts w:ascii="Times New Roman" w:eastAsia="Times New Roman" w:hAnsi="Times New Roman" w:cs="Times New Roman"/>
          <w:i/>
          <w:iCs/>
          <w:color w:val="000000"/>
          <w:sz w:val="24"/>
          <w:szCs w:val="24"/>
          <w:lang w:val="en-US" w:eastAsia="fr-FR"/>
        </w:rPr>
        <w:t>Space Syntax</w:t>
      </w:r>
      <w:r w:rsidRPr="005A2336">
        <w:rPr>
          <w:rFonts w:ascii="Times New Roman" w:eastAsia="Times New Roman" w:hAnsi="Times New Roman" w:cs="Times New Roman"/>
          <w:color w:val="000000"/>
          <w:sz w:val="24"/>
          <w:szCs w:val="24"/>
          <w:lang w:val="en-US" w:eastAsia="fr-FR"/>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Hirt, S. A., (2016):</w:t>
      </w:r>
      <w:r w:rsidRPr="003009C3">
        <w:rPr>
          <w:rFonts w:ascii="Times New Roman" w:eastAsia="Times New Roman" w:hAnsi="Times New Roman" w:cs="Times New Roman"/>
          <w:color w:val="000000"/>
          <w:sz w:val="24"/>
          <w:szCs w:val="24"/>
          <w:lang w:val="en-US" w:eastAsia="fr-FR"/>
        </w:rPr>
        <w:t xml:space="preserve"> “Rooting out mixed use: Revisiting the original rationales”, </w:t>
      </w:r>
      <w:r w:rsidRPr="006F0054">
        <w:rPr>
          <w:rFonts w:ascii="Times New Roman" w:eastAsia="Times New Roman" w:hAnsi="Times New Roman" w:cs="Times New Roman"/>
          <w:i/>
          <w:iCs/>
          <w:color w:val="000000"/>
          <w:sz w:val="24"/>
          <w:szCs w:val="24"/>
          <w:lang w:val="en-US" w:eastAsia="fr-FR"/>
        </w:rPr>
        <w:t>Land Use Policy</w:t>
      </w:r>
      <w:r w:rsidRPr="003009C3">
        <w:rPr>
          <w:rFonts w:ascii="Times New Roman" w:eastAsia="Times New Roman" w:hAnsi="Times New Roman" w:cs="Times New Roman"/>
          <w:color w:val="000000"/>
          <w:sz w:val="24"/>
          <w:szCs w:val="24"/>
          <w:lang w:val="en-US" w:eastAsia="fr-FR"/>
        </w:rPr>
        <w:t>,</w:t>
      </w:r>
      <w:r w:rsidR="006F0054">
        <w:rPr>
          <w:rFonts w:ascii="Times New Roman" w:eastAsia="Times New Roman" w:hAnsi="Times New Roman" w:cs="Times New Roman"/>
          <w:color w:val="000000"/>
          <w:sz w:val="24"/>
          <w:szCs w:val="24"/>
          <w:lang w:val="en-US" w:eastAsia="fr-FR"/>
        </w:rPr>
        <w:t xml:space="preserve"> vol. </w:t>
      </w:r>
      <w:r w:rsidRPr="003009C3">
        <w:rPr>
          <w:rFonts w:ascii="Times New Roman" w:eastAsia="Times New Roman" w:hAnsi="Times New Roman" w:cs="Times New Roman"/>
          <w:color w:val="000000"/>
          <w:sz w:val="24"/>
          <w:szCs w:val="24"/>
          <w:lang w:val="en-US" w:eastAsia="fr-FR"/>
        </w:rPr>
        <w:t xml:space="preserve">50, </w:t>
      </w:r>
      <w:r w:rsidR="006F0054">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006F0054">
        <w:rPr>
          <w:rFonts w:ascii="Times New Roman" w:eastAsia="Times New Roman" w:hAnsi="Times New Roman" w:cs="Times New Roman"/>
          <w:color w:val="000000"/>
          <w:sz w:val="24"/>
          <w:szCs w:val="24"/>
          <w:lang w:val="en-US" w:eastAsia="fr-FR"/>
        </w:rPr>
        <w:t xml:space="preserve">. </w:t>
      </w:r>
      <w:r w:rsidRPr="003009C3">
        <w:rPr>
          <w:rFonts w:ascii="Times New Roman" w:eastAsia="Times New Roman" w:hAnsi="Times New Roman" w:cs="Times New Roman"/>
          <w:color w:val="000000"/>
          <w:sz w:val="24"/>
          <w:szCs w:val="24"/>
          <w:lang w:val="en-US" w:eastAsia="fr-FR"/>
        </w:rPr>
        <w:t>134–147.</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Holling, C.S., (1973):</w:t>
      </w:r>
      <w:r w:rsidRPr="00E40DF8">
        <w:rPr>
          <w:rFonts w:ascii="Times New Roman" w:eastAsia="Times New Roman" w:hAnsi="Times New Roman" w:cs="Times New Roman"/>
          <w:color w:val="000000"/>
          <w:sz w:val="24"/>
          <w:szCs w:val="24"/>
          <w:lang w:val="en-US" w:eastAsia="fr-FR"/>
        </w:rPr>
        <w:t xml:space="preserve"> “Resilience</w:t>
      </w:r>
      <w:r w:rsidRPr="003009C3">
        <w:rPr>
          <w:rFonts w:ascii="Times New Roman" w:eastAsia="Times New Roman" w:hAnsi="Times New Roman" w:cs="Times New Roman"/>
          <w:color w:val="000000"/>
          <w:sz w:val="24"/>
          <w:szCs w:val="24"/>
          <w:lang w:val="en-US" w:eastAsia="fr-FR"/>
        </w:rPr>
        <w:t xml:space="preserve"> and Stability of Ecological Systems”, </w:t>
      </w:r>
      <w:r w:rsidRPr="006F0054">
        <w:rPr>
          <w:rFonts w:ascii="Times New Roman" w:eastAsia="Times New Roman" w:hAnsi="Times New Roman" w:cs="Times New Roman"/>
          <w:i/>
          <w:iCs/>
          <w:color w:val="000000"/>
          <w:sz w:val="24"/>
          <w:szCs w:val="24"/>
          <w:lang w:val="en-US" w:eastAsia="fr-FR"/>
        </w:rPr>
        <w:t>Annu. Rev. Ecol. Syst</w:t>
      </w:r>
      <w:r w:rsidRPr="003009C3">
        <w:rPr>
          <w:rFonts w:ascii="Times New Roman" w:eastAsia="Times New Roman" w:hAnsi="Times New Roman" w:cs="Times New Roman"/>
          <w:color w:val="000000"/>
          <w:sz w:val="24"/>
          <w:szCs w:val="24"/>
          <w:lang w:val="en-US" w:eastAsia="fr-FR"/>
        </w:rPr>
        <w:t>, vol. 4, p</w:t>
      </w:r>
      <w:r w:rsidR="00B26A4B">
        <w:rPr>
          <w:rFonts w:ascii="Times New Roman" w:eastAsia="Times New Roman" w:hAnsi="Times New Roman" w:cs="Times New Roman"/>
          <w:color w:val="000000"/>
          <w:sz w:val="24"/>
          <w:szCs w:val="24"/>
          <w:lang w:val="en-US" w:eastAsia="fr-FR"/>
        </w:rPr>
        <w:t>p</w:t>
      </w:r>
      <w:r w:rsidRPr="003009C3">
        <w:rPr>
          <w:rFonts w:ascii="Times New Roman" w:eastAsia="Times New Roman" w:hAnsi="Times New Roman" w:cs="Times New Roman"/>
          <w:color w:val="000000"/>
          <w:sz w:val="24"/>
          <w:szCs w:val="24"/>
          <w:lang w:val="en-US" w:eastAsia="fr-FR"/>
        </w:rPr>
        <w:t>.</w:t>
      </w:r>
      <w:r w:rsidR="006F0054">
        <w:rPr>
          <w:rFonts w:ascii="Times New Roman" w:eastAsia="Times New Roman" w:hAnsi="Times New Roman" w:cs="Times New Roman"/>
          <w:color w:val="000000"/>
          <w:sz w:val="24"/>
          <w:szCs w:val="24"/>
          <w:lang w:val="en-US" w:eastAsia="fr-FR"/>
        </w:rPr>
        <w:t xml:space="preserve"> </w:t>
      </w:r>
      <w:r w:rsidRPr="003009C3">
        <w:rPr>
          <w:rFonts w:ascii="Times New Roman" w:eastAsia="Times New Roman" w:hAnsi="Times New Roman" w:cs="Times New Roman"/>
          <w:color w:val="000000"/>
          <w:sz w:val="24"/>
          <w:szCs w:val="24"/>
          <w:lang w:val="en-US" w:eastAsia="fr-FR"/>
        </w:rPr>
        <w:t>1–23.</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Holling, C.S., (1996):</w:t>
      </w:r>
      <w:r w:rsidRPr="003009C3">
        <w:rPr>
          <w:rFonts w:ascii="Times New Roman" w:eastAsia="Times New Roman" w:hAnsi="Times New Roman" w:cs="Times New Roman"/>
          <w:color w:val="000000"/>
          <w:sz w:val="24"/>
          <w:szCs w:val="24"/>
          <w:lang w:val="en-US" w:eastAsia="fr-FR"/>
        </w:rPr>
        <w:t xml:space="preserve"> “Engineering resilience versus ecological resilience”, in: P. C. Schulze (ed.) Engineering Within, </w:t>
      </w:r>
      <w:r w:rsidRPr="006F0054">
        <w:rPr>
          <w:rFonts w:ascii="Times New Roman" w:eastAsia="Times New Roman" w:hAnsi="Times New Roman" w:cs="Times New Roman"/>
          <w:i/>
          <w:iCs/>
          <w:color w:val="000000"/>
          <w:sz w:val="24"/>
          <w:szCs w:val="24"/>
          <w:lang w:val="en-US" w:eastAsia="fr-FR"/>
        </w:rPr>
        <w:t>Ecological Constraints</w:t>
      </w:r>
      <w:r w:rsidRPr="003009C3">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Pr="003009C3">
        <w:rPr>
          <w:rFonts w:ascii="Times New Roman" w:eastAsia="Times New Roman" w:hAnsi="Times New Roman" w:cs="Times New Roman"/>
          <w:color w:val="000000"/>
          <w:sz w:val="24"/>
          <w:szCs w:val="24"/>
          <w:lang w:val="en-US" w:eastAsia="fr-FR"/>
        </w:rPr>
        <w:t>. 31 –45.</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r w:rsidRPr="00E40DF8">
        <w:rPr>
          <w:rFonts w:ascii="Times New Roman" w:eastAsia="Times New Roman" w:hAnsi="Times New Roman" w:cs="Times New Roman"/>
          <w:b/>
          <w:bCs/>
          <w:color w:val="000000"/>
          <w:sz w:val="24"/>
          <w:szCs w:val="24"/>
          <w:lang w:val="en-US" w:eastAsia="fr-FR"/>
        </w:rPr>
        <w:t>Holling, C.S., (2001):</w:t>
      </w:r>
      <w:r w:rsidRPr="003009C3">
        <w:rPr>
          <w:rFonts w:ascii="Times New Roman" w:eastAsia="Times New Roman" w:hAnsi="Times New Roman" w:cs="Times New Roman"/>
          <w:color w:val="000000"/>
          <w:sz w:val="24"/>
          <w:szCs w:val="24"/>
          <w:lang w:val="en-US" w:eastAsia="fr-FR"/>
        </w:rPr>
        <w:t xml:space="preserve"> “Understanding the complexity of economic social and ecological systems,” </w:t>
      </w:r>
      <w:r w:rsidRPr="00715894">
        <w:rPr>
          <w:rFonts w:ascii="Times New Roman" w:eastAsia="Times New Roman" w:hAnsi="Times New Roman" w:cs="Times New Roman"/>
          <w:i/>
          <w:iCs/>
          <w:color w:val="000000"/>
          <w:sz w:val="24"/>
          <w:szCs w:val="24"/>
          <w:lang w:val="en-US" w:eastAsia="fr-FR"/>
        </w:rPr>
        <w:t>Ecosystems</w:t>
      </w:r>
      <w:r w:rsidRPr="003009C3">
        <w:rPr>
          <w:rFonts w:ascii="Times New Roman" w:eastAsia="Times New Roman" w:hAnsi="Times New Roman" w:cs="Times New Roman"/>
          <w:color w:val="000000"/>
          <w:sz w:val="24"/>
          <w:szCs w:val="24"/>
          <w:lang w:val="en-US" w:eastAsia="fr-FR"/>
        </w:rPr>
        <w:t>, vol. 4, p</w:t>
      </w:r>
      <w:r w:rsidR="00B26A4B">
        <w:rPr>
          <w:rFonts w:ascii="Times New Roman" w:eastAsia="Times New Roman" w:hAnsi="Times New Roman" w:cs="Times New Roman"/>
          <w:color w:val="000000"/>
          <w:sz w:val="24"/>
          <w:szCs w:val="24"/>
          <w:lang w:val="en-US" w:eastAsia="fr-FR"/>
        </w:rPr>
        <w:t>p</w:t>
      </w:r>
      <w:r w:rsidRPr="003009C3">
        <w:rPr>
          <w:rFonts w:ascii="Times New Roman" w:eastAsia="Times New Roman" w:hAnsi="Times New Roman" w:cs="Times New Roman"/>
          <w:color w:val="000000"/>
          <w:sz w:val="24"/>
          <w:szCs w:val="24"/>
          <w:lang w:val="en-US" w:eastAsia="fr-FR"/>
        </w:rPr>
        <w:t>. 390- 405.</w:t>
      </w:r>
    </w:p>
    <w:p w:rsidR="005A2336" w:rsidRPr="005A2336" w:rsidRDefault="005A233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Holling, C. S. &amp;</w:t>
      </w:r>
      <w:r w:rsidRPr="005A2336">
        <w:rPr>
          <w:rFonts w:ascii="Times New Roman" w:eastAsia="Times New Roman" w:hAnsi="Times New Roman" w:cs="Times New Roman"/>
          <w:b/>
          <w:bCs/>
          <w:color w:val="000000"/>
          <w:sz w:val="24"/>
          <w:szCs w:val="24"/>
          <w:lang w:val="en-US" w:eastAsia="fr-FR"/>
        </w:rPr>
        <w:t xml:space="preserve"> Goldberg, M. A., (1971):</w:t>
      </w:r>
      <w:r>
        <w:rPr>
          <w:rFonts w:ascii="Times New Roman" w:eastAsia="Times New Roman" w:hAnsi="Times New Roman" w:cs="Times New Roman"/>
          <w:color w:val="000000"/>
          <w:sz w:val="24"/>
          <w:szCs w:val="24"/>
          <w:lang w:val="en-US" w:eastAsia="fr-FR"/>
        </w:rPr>
        <w:t xml:space="preserve"> “</w:t>
      </w:r>
      <w:r w:rsidRPr="005A2336">
        <w:rPr>
          <w:rFonts w:ascii="Times New Roman" w:eastAsia="Times New Roman" w:hAnsi="Times New Roman" w:cs="Times New Roman"/>
          <w:color w:val="000000"/>
          <w:sz w:val="24"/>
          <w:szCs w:val="24"/>
          <w:lang w:val="en-US" w:eastAsia="fr-FR"/>
        </w:rPr>
        <w:t>Ecology and planning</w:t>
      </w:r>
      <w:r>
        <w:rPr>
          <w:rFonts w:ascii="Times New Roman" w:eastAsia="Times New Roman" w:hAnsi="Times New Roman" w:cs="Times New Roman"/>
          <w:color w:val="000000"/>
          <w:sz w:val="24"/>
          <w:szCs w:val="24"/>
          <w:lang w:val="en-US" w:eastAsia="fr-FR"/>
        </w:rPr>
        <w:t>”,</w:t>
      </w:r>
      <w:r w:rsidRPr="005A2336">
        <w:rPr>
          <w:rFonts w:ascii="Times New Roman" w:eastAsia="Times New Roman" w:hAnsi="Times New Roman" w:cs="Times New Roman"/>
          <w:color w:val="000000"/>
          <w:sz w:val="24"/>
          <w:szCs w:val="24"/>
          <w:lang w:val="en-US" w:eastAsia="fr-FR"/>
        </w:rPr>
        <w:t xml:space="preserve"> </w:t>
      </w:r>
      <w:r w:rsidRPr="005A2336">
        <w:rPr>
          <w:rFonts w:ascii="Times New Roman" w:eastAsia="Times New Roman" w:hAnsi="Times New Roman" w:cs="Times New Roman"/>
          <w:i/>
          <w:iCs/>
          <w:color w:val="000000"/>
          <w:sz w:val="24"/>
          <w:szCs w:val="24"/>
          <w:lang w:val="en-US" w:eastAsia="fr-FR"/>
        </w:rPr>
        <w:t>Journal of the American Institute of Planners</w:t>
      </w:r>
      <w:r w:rsidRPr="005A2336">
        <w:rPr>
          <w:rFonts w:ascii="Times New Roman" w:eastAsia="Times New Roman" w:hAnsi="Times New Roman" w:cs="Times New Roman"/>
          <w:color w:val="000000"/>
          <w:sz w:val="24"/>
          <w:szCs w:val="24"/>
          <w:lang w:val="en-US" w:eastAsia="fr-FR"/>
        </w:rPr>
        <w:t>, vol. 37,</w:t>
      </w:r>
      <w:r>
        <w:rPr>
          <w:rFonts w:ascii="Times New Roman" w:eastAsia="Times New Roman" w:hAnsi="Times New Roman" w:cs="Times New Roman"/>
          <w:color w:val="000000"/>
          <w:sz w:val="24"/>
          <w:szCs w:val="24"/>
          <w:lang w:val="en-US" w:eastAsia="fr-FR"/>
        </w:rPr>
        <w:t xml:space="preserve"> p</w:t>
      </w:r>
      <w:r w:rsidR="00B26A4B">
        <w:rPr>
          <w:rFonts w:ascii="Times New Roman" w:eastAsia="Times New Roman" w:hAnsi="Times New Roman" w:cs="Times New Roman"/>
          <w:color w:val="000000"/>
          <w:sz w:val="24"/>
          <w:szCs w:val="24"/>
          <w:lang w:val="en-US" w:eastAsia="fr-FR"/>
        </w:rPr>
        <w:t>p</w:t>
      </w:r>
      <w:r>
        <w:rPr>
          <w:rFonts w:ascii="Times New Roman" w:eastAsia="Times New Roman" w:hAnsi="Times New Roman" w:cs="Times New Roman"/>
          <w:color w:val="000000"/>
          <w:sz w:val="24"/>
          <w:szCs w:val="24"/>
          <w:lang w:val="en-US" w:eastAsia="fr-FR"/>
        </w:rPr>
        <w:t>.</w:t>
      </w:r>
      <w:r w:rsidRPr="005A2336">
        <w:rPr>
          <w:rFonts w:ascii="Times New Roman" w:eastAsia="Times New Roman" w:hAnsi="Times New Roman" w:cs="Times New Roman"/>
          <w:color w:val="000000"/>
          <w:sz w:val="24"/>
          <w:szCs w:val="24"/>
          <w:lang w:val="en-US" w:eastAsia="fr-FR"/>
        </w:rPr>
        <w:t xml:space="preserve"> 221-230.</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lastRenderedPageBreak/>
        <w:t>Hoque</w:t>
      </w:r>
      <w:r w:rsidRPr="00291101">
        <w:rPr>
          <w:rFonts w:ascii="Times New Roman" w:eastAsia="Times New Roman" w:hAnsi="Times New Roman" w:cs="Times New Roman"/>
          <w:b/>
          <w:bCs/>
          <w:color w:val="000000"/>
          <w:sz w:val="24"/>
          <w:szCs w:val="24"/>
          <w:lang w:val="en-US" w:eastAsia="fr-FR"/>
        </w:rPr>
        <w:t>, M.</w:t>
      </w:r>
      <w:r w:rsidR="00291101">
        <w:rPr>
          <w:rFonts w:ascii="Times New Roman" w:eastAsia="Times New Roman" w:hAnsi="Times New Roman" w:cs="Times New Roman"/>
          <w:b/>
          <w:bCs/>
          <w:color w:val="000000"/>
          <w:sz w:val="24"/>
          <w:szCs w:val="24"/>
          <w:lang w:val="en-US" w:eastAsia="fr-FR"/>
        </w:rPr>
        <w:t>,</w:t>
      </w:r>
      <w:r w:rsidRPr="00291101">
        <w:rPr>
          <w:rFonts w:ascii="Times New Roman" w:eastAsia="Times New Roman" w:hAnsi="Times New Roman" w:cs="Times New Roman"/>
          <w:b/>
          <w:bCs/>
          <w:color w:val="000000"/>
          <w:sz w:val="24"/>
          <w:szCs w:val="24"/>
          <w:lang w:val="en-US" w:eastAsia="fr-FR"/>
        </w:rPr>
        <w:t xml:space="preserve"> Tasfia, S.</w:t>
      </w:r>
      <w:r w:rsidR="00291101">
        <w:rPr>
          <w:rFonts w:ascii="Times New Roman" w:eastAsia="Times New Roman" w:hAnsi="Times New Roman" w:cs="Times New Roman"/>
          <w:b/>
          <w:bCs/>
          <w:color w:val="000000"/>
          <w:sz w:val="24"/>
          <w:szCs w:val="24"/>
          <w:lang w:val="en-US" w:eastAsia="fr-FR"/>
        </w:rPr>
        <w:t>,</w:t>
      </w:r>
      <w:r w:rsidRPr="00291101">
        <w:rPr>
          <w:rFonts w:ascii="Times New Roman" w:eastAsia="Times New Roman" w:hAnsi="Times New Roman" w:cs="Times New Roman"/>
          <w:b/>
          <w:bCs/>
          <w:color w:val="000000"/>
          <w:sz w:val="24"/>
          <w:szCs w:val="24"/>
          <w:lang w:val="en-US" w:eastAsia="fr-FR"/>
        </w:rPr>
        <w:t xml:space="preserve"> Ahmed, N.</w:t>
      </w:r>
      <w:r w:rsidR="00291101">
        <w:rPr>
          <w:rFonts w:ascii="Times New Roman" w:eastAsia="Times New Roman" w:hAnsi="Times New Roman" w:cs="Times New Roman"/>
          <w:b/>
          <w:bCs/>
          <w:color w:val="000000"/>
          <w:sz w:val="24"/>
          <w:szCs w:val="24"/>
          <w:lang w:val="en-US" w:eastAsia="fr-FR"/>
        </w:rPr>
        <w:t xml:space="preserve"> &amp;</w:t>
      </w:r>
      <w:r w:rsidRPr="00291101">
        <w:rPr>
          <w:rFonts w:ascii="Times New Roman" w:eastAsia="Times New Roman" w:hAnsi="Times New Roman" w:cs="Times New Roman"/>
          <w:b/>
          <w:bCs/>
          <w:color w:val="000000"/>
          <w:sz w:val="24"/>
          <w:szCs w:val="24"/>
          <w:lang w:val="en-US" w:eastAsia="fr-FR"/>
        </w:rPr>
        <w:t xml:space="preserve"> Pradhan, B.</w:t>
      </w:r>
      <w:r w:rsidR="00291101" w:rsidRPr="00291101">
        <w:rPr>
          <w:rFonts w:ascii="Times New Roman" w:eastAsia="Times New Roman" w:hAnsi="Times New Roman" w:cs="Times New Roman"/>
          <w:b/>
          <w:bCs/>
          <w:color w:val="000000"/>
          <w:sz w:val="24"/>
          <w:szCs w:val="24"/>
          <w:lang w:val="en-US" w:eastAsia="fr-FR"/>
        </w:rPr>
        <w:t>, (2019):</w:t>
      </w:r>
      <w:r w:rsidRPr="00291101">
        <w:rPr>
          <w:rFonts w:ascii="Times New Roman" w:eastAsia="Times New Roman" w:hAnsi="Times New Roman" w:cs="Times New Roman"/>
          <w:color w:val="000000"/>
          <w:sz w:val="24"/>
          <w:szCs w:val="24"/>
          <w:lang w:val="en-US" w:eastAsia="fr-FR"/>
        </w:rPr>
        <w:t xml:space="preserve"> </w:t>
      </w:r>
      <w:r w:rsidR="00291101" w:rsidRPr="00291101">
        <w:rPr>
          <w:rFonts w:ascii="Times New Roman" w:eastAsia="Times New Roman" w:hAnsi="Times New Roman" w:cs="Times New Roman"/>
          <w:color w:val="000000"/>
          <w:sz w:val="24"/>
          <w:szCs w:val="24"/>
          <w:lang w:val="en-US" w:eastAsia="fr-FR"/>
        </w:rPr>
        <w:t>“</w:t>
      </w:r>
      <w:r w:rsidRPr="00291101">
        <w:rPr>
          <w:rFonts w:ascii="Times New Roman" w:eastAsia="Times New Roman" w:hAnsi="Times New Roman" w:cs="Times New Roman"/>
          <w:color w:val="000000"/>
          <w:sz w:val="24"/>
          <w:szCs w:val="24"/>
          <w:lang w:val="en-US" w:eastAsia="fr-FR"/>
        </w:rPr>
        <w:t>Assessing Spatial Flood Vulnerability at Kalapara Upazila in Bangladesh Using an Analytic Hierarchy Process</w:t>
      </w:r>
      <w:r w:rsidR="00291101" w:rsidRPr="00291101">
        <w:rPr>
          <w:rFonts w:ascii="Times New Roman" w:eastAsia="Times New Roman" w:hAnsi="Times New Roman" w:cs="Times New Roman"/>
          <w:color w:val="000000"/>
          <w:sz w:val="24"/>
          <w:szCs w:val="24"/>
          <w:lang w:val="en-US" w:eastAsia="fr-FR"/>
        </w:rPr>
        <w:t>”,</w:t>
      </w:r>
      <w:r w:rsidRPr="00291101">
        <w:rPr>
          <w:rFonts w:ascii="Times New Roman" w:eastAsia="Times New Roman" w:hAnsi="Times New Roman" w:cs="Times New Roman"/>
          <w:color w:val="000000"/>
          <w:sz w:val="24"/>
          <w:szCs w:val="24"/>
          <w:lang w:val="en-US" w:eastAsia="fr-FR"/>
        </w:rPr>
        <w:t xml:space="preserve"> </w:t>
      </w:r>
      <w:r w:rsidRPr="00291101">
        <w:rPr>
          <w:rFonts w:ascii="Times New Roman" w:eastAsia="Times New Roman" w:hAnsi="Times New Roman" w:cs="Times New Roman"/>
          <w:i/>
          <w:iCs/>
          <w:color w:val="000000"/>
          <w:sz w:val="24"/>
          <w:szCs w:val="24"/>
          <w:lang w:val="en-US" w:eastAsia="fr-FR"/>
        </w:rPr>
        <w:t>Sensors</w:t>
      </w:r>
      <w:r w:rsidRPr="00291101">
        <w:rPr>
          <w:rFonts w:ascii="Times New Roman" w:eastAsia="Times New Roman" w:hAnsi="Times New Roman" w:cs="Times New Roman"/>
          <w:color w:val="000000"/>
          <w:sz w:val="24"/>
          <w:szCs w:val="24"/>
          <w:lang w:val="en-US" w:eastAsia="fr-FR"/>
        </w:rPr>
        <w:t xml:space="preserve"> </w:t>
      </w:r>
      <w:r w:rsidR="00291101" w:rsidRPr="00291101">
        <w:rPr>
          <w:rFonts w:ascii="Times New Roman" w:eastAsia="Times New Roman" w:hAnsi="Times New Roman" w:cs="Times New Roman"/>
          <w:color w:val="000000"/>
          <w:sz w:val="24"/>
          <w:szCs w:val="24"/>
          <w:lang w:val="en-US" w:eastAsia="fr-FR"/>
        </w:rPr>
        <w:t>, vol.</w:t>
      </w:r>
      <w:r w:rsidRPr="00291101">
        <w:rPr>
          <w:rFonts w:ascii="Times New Roman" w:eastAsia="Times New Roman" w:hAnsi="Times New Roman" w:cs="Times New Roman"/>
          <w:color w:val="000000"/>
          <w:sz w:val="24"/>
          <w:szCs w:val="24"/>
          <w:lang w:val="en-US" w:eastAsia="fr-FR"/>
        </w:rPr>
        <w:t xml:space="preserve"> 19, 1302.</w:t>
      </w:r>
    </w:p>
    <w:p w:rsidR="00E724B9" w:rsidRDefault="00E724B9" w:rsidP="00B26A4B">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Hsu</w:t>
      </w:r>
      <w:r w:rsidRPr="00715894">
        <w:rPr>
          <w:rFonts w:ascii="Times New Roman" w:eastAsia="Times New Roman" w:hAnsi="Times New Roman" w:cs="Times New Roman"/>
          <w:b/>
          <w:bCs/>
          <w:color w:val="000000"/>
          <w:sz w:val="24"/>
          <w:szCs w:val="24"/>
          <w:lang w:val="en-US" w:eastAsia="fr-FR"/>
        </w:rPr>
        <w:t>, C.C.</w:t>
      </w:r>
      <w:r w:rsidR="00291101">
        <w:rPr>
          <w:rFonts w:ascii="Times New Roman" w:eastAsia="Times New Roman" w:hAnsi="Times New Roman" w:cs="Times New Roman"/>
          <w:b/>
          <w:bCs/>
          <w:color w:val="000000"/>
          <w:sz w:val="24"/>
          <w:szCs w:val="24"/>
          <w:lang w:val="en-US" w:eastAsia="fr-FR"/>
        </w:rPr>
        <w:t xml:space="preserve"> &amp;</w:t>
      </w:r>
      <w:r w:rsidRPr="00715894">
        <w:rPr>
          <w:rFonts w:ascii="Times New Roman" w:eastAsia="Times New Roman" w:hAnsi="Times New Roman" w:cs="Times New Roman"/>
          <w:b/>
          <w:bCs/>
          <w:color w:val="000000"/>
          <w:sz w:val="24"/>
          <w:szCs w:val="24"/>
          <w:lang w:val="en-US" w:eastAsia="fr-FR"/>
        </w:rPr>
        <w:t xml:space="preserve"> Sandford, B.A.</w:t>
      </w:r>
      <w:r w:rsidR="00715894" w:rsidRPr="00715894">
        <w:rPr>
          <w:rFonts w:ascii="Times New Roman" w:eastAsia="Times New Roman" w:hAnsi="Times New Roman" w:cs="Times New Roman"/>
          <w:b/>
          <w:bCs/>
          <w:color w:val="000000"/>
          <w:sz w:val="24"/>
          <w:szCs w:val="24"/>
          <w:lang w:val="en-US" w:eastAsia="fr-FR"/>
        </w:rPr>
        <w:t>, (2007):</w:t>
      </w:r>
      <w:r w:rsidR="00715894">
        <w:rPr>
          <w:rFonts w:ascii="Times New Roman" w:eastAsia="Times New Roman" w:hAnsi="Times New Roman" w:cs="Times New Roman"/>
          <w:color w:val="000000"/>
          <w:sz w:val="24"/>
          <w:szCs w:val="24"/>
          <w:lang w:val="en-US" w:eastAsia="fr-FR"/>
        </w:rPr>
        <w:t xml:space="preserve"> “</w:t>
      </w:r>
      <w:r w:rsidRPr="003009C3">
        <w:rPr>
          <w:rFonts w:ascii="Times New Roman" w:eastAsia="Times New Roman" w:hAnsi="Times New Roman" w:cs="Times New Roman"/>
          <w:color w:val="000000"/>
          <w:sz w:val="24"/>
          <w:szCs w:val="24"/>
          <w:lang w:val="en-US" w:eastAsia="fr-FR"/>
        </w:rPr>
        <w:t>The Delphi Technique: Making Sense of Consensus</w:t>
      </w:r>
      <w:r w:rsidR="00715894">
        <w:rPr>
          <w:rFonts w:ascii="Times New Roman" w:eastAsia="Times New Roman" w:hAnsi="Times New Roman" w:cs="Times New Roman"/>
          <w:color w:val="000000"/>
          <w:sz w:val="24"/>
          <w:szCs w:val="24"/>
          <w:lang w:val="en-US" w:eastAsia="fr-FR"/>
        </w:rPr>
        <w:t>”,</w:t>
      </w:r>
      <w:r w:rsidRPr="003009C3">
        <w:rPr>
          <w:rFonts w:ascii="Times New Roman" w:eastAsia="Times New Roman" w:hAnsi="Times New Roman" w:cs="Times New Roman"/>
          <w:color w:val="000000"/>
          <w:sz w:val="24"/>
          <w:szCs w:val="24"/>
          <w:lang w:val="en-US" w:eastAsia="fr-FR"/>
        </w:rPr>
        <w:t xml:space="preserve"> </w:t>
      </w:r>
      <w:r w:rsidRPr="00715894">
        <w:rPr>
          <w:rFonts w:ascii="Times New Roman" w:eastAsia="Times New Roman" w:hAnsi="Times New Roman" w:cs="Times New Roman"/>
          <w:i/>
          <w:iCs/>
          <w:color w:val="000000"/>
          <w:sz w:val="24"/>
          <w:szCs w:val="24"/>
          <w:lang w:val="en-US" w:eastAsia="fr-FR"/>
        </w:rPr>
        <w:t>Pract. Assess. Res. Eval.</w:t>
      </w:r>
      <w:r w:rsidRPr="003009C3">
        <w:rPr>
          <w:rFonts w:ascii="Times New Roman" w:eastAsia="Times New Roman" w:hAnsi="Times New Roman" w:cs="Times New Roman"/>
          <w:color w:val="000000"/>
          <w:sz w:val="24"/>
          <w:szCs w:val="24"/>
          <w:lang w:val="en-US" w:eastAsia="fr-FR"/>
        </w:rPr>
        <w:t>,</w:t>
      </w:r>
      <w:r w:rsidR="00715894">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vol</w:t>
      </w:r>
      <w:r w:rsidR="00715894">
        <w:rPr>
          <w:rFonts w:ascii="Times New Roman" w:eastAsia="Times New Roman" w:hAnsi="Times New Roman" w:cs="Times New Roman"/>
          <w:color w:val="000000"/>
          <w:sz w:val="24"/>
          <w:szCs w:val="24"/>
          <w:lang w:val="en-US" w:eastAsia="fr-FR"/>
        </w:rPr>
        <w:t xml:space="preserve">. </w:t>
      </w:r>
      <w:r w:rsidRPr="003009C3">
        <w:rPr>
          <w:rFonts w:ascii="Times New Roman" w:eastAsia="Times New Roman" w:hAnsi="Times New Roman" w:cs="Times New Roman"/>
          <w:color w:val="000000"/>
          <w:sz w:val="24"/>
          <w:szCs w:val="24"/>
          <w:lang w:val="en-US" w:eastAsia="fr-FR"/>
        </w:rPr>
        <w:t xml:space="preserve">12, </w:t>
      </w:r>
      <w:r w:rsidR="00B26A4B">
        <w:rPr>
          <w:rFonts w:ascii="Times New Roman" w:eastAsia="Times New Roman" w:hAnsi="Times New Roman" w:cs="Times New Roman"/>
          <w:color w:val="000000"/>
          <w:sz w:val="24"/>
          <w:szCs w:val="24"/>
          <w:lang w:val="en-US" w:eastAsia="fr-FR"/>
        </w:rPr>
        <w:t xml:space="preserve">pp. </w:t>
      </w:r>
      <w:r w:rsidRPr="003009C3">
        <w:rPr>
          <w:rFonts w:ascii="Times New Roman" w:eastAsia="Times New Roman" w:hAnsi="Times New Roman" w:cs="Times New Roman"/>
          <w:color w:val="000000"/>
          <w:sz w:val="24"/>
          <w:szCs w:val="24"/>
          <w:lang w:val="en-US" w:eastAsia="fr-FR"/>
        </w:rPr>
        <w:t>1–8.</w:t>
      </w:r>
    </w:p>
    <w:p w:rsidR="00E724B9" w:rsidRPr="003009C3"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Huang</w:t>
      </w:r>
      <w:r w:rsidRPr="00715894">
        <w:rPr>
          <w:rFonts w:ascii="Times New Roman" w:eastAsia="Times New Roman" w:hAnsi="Times New Roman" w:cs="Times New Roman"/>
          <w:b/>
          <w:bCs/>
          <w:color w:val="000000"/>
          <w:sz w:val="24"/>
          <w:szCs w:val="24"/>
          <w:lang w:val="en-US" w:eastAsia="fr-FR"/>
        </w:rPr>
        <w:t>, H.-M.</w:t>
      </w:r>
      <w:r w:rsidR="00715894" w:rsidRPr="00715894">
        <w:rPr>
          <w:rFonts w:ascii="Times New Roman" w:eastAsia="Times New Roman" w:hAnsi="Times New Roman" w:cs="Times New Roman"/>
          <w:b/>
          <w:bCs/>
          <w:color w:val="000000"/>
          <w:sz w:val="24"/>
          <w:szCs w:val="24"/>
          <w:lang w:val="en-US" w:eastAsia="fr-FR"/>
        </w:rPr>
        <w:t>,</w:t>
      </w:r>
      <w:r w:rsidRPr="00715894">
        <w:rPr>
          <w:rFonts w:ascii="Times New Roman" w:eastAsia="Times New Roman" w:hAnsi="Times New Roman" w:cs="Times New Roman"/>
          <w:b/>
          <w:bCs/>
          <w:color w:val="000000"/>
          <w:sz w:val="24"/>
          <w:szCs w:val="24"/>
          <w:lang w:val="en-US" w:eastAsia="fr-FR"/>
        </w:rPr>
        <w:t xml:space="preserve"> </w:t>
      </w:r>
      <w:r w:rsidR="00715894" w:rsidRPr="00715894">
        <w:rPr>
          <w:rFonts w:ascii="Times New Roman" w:eastAsia="Times New Roman" w:hAnsi="Times New Roman" w:cs="Times New Roman"/>
          <w:b/>
          <w:bCs/>
          <w:color w:val="000000"/>
          <w:sz w:val="24"/>
          <w:szCs w:val="24"/>
          <w:lang w:val="en-US" w:eastAsia="fr-FR"/>
        </w:rPr>
        <w:t>(</w:t>
      </w:r>
      <w:r w:rsidRPr="00715894">
        <w:rPr>
          <w:rFonts w:ascii="Times New Roman" w:eastAsia="Times New Roman" w:hAnsi="Times New Roman" w:cs="Times New Roman"/>
          <w:b/>
          <w:bCs/>
          <w:color w:val="000000"/>
          <w:sz w:val="24"/>
          <w:szCs w:val="24"/>
          <w:lang w:val="en-US" w:eastAsia="fr-FR"/>
        </w:rPr>
        <w:t>2006</w:t>
      </w:r>
      <w:r w:rsidR="00715894" w:rsidRPr="00715894">
        <w:rPr>
          <w:rFonts w:ascii="Times New Roman" w:eastAsia="Times New Roman" w:hAnsi="Times New Roman" w:cs="Times New Roman"/>
          <w:b/>
          <w:bCs/>
          <w:color w:val="000000"/>
          <w:sz w:val="24"/>
          <w:szCs w:val="24"/>
          <w:lang w:val="en-US" w:eastAsia="fr-FR"/>
        </w:rPr>
        <w:t>):</w:t>
      </w:r>
      <w:r w:rsidRPr="003009C3">
        <w:rPr>
          <w:rFonts w:ascii="Times New Roman" w:eastAsia="Times New Roman" w:hAnsi="Times New Roman" w:cs="Times New Roman"/>
          <w:color w:val="000000"/>
          <w:sz w:val="24"/>
          <w:szCs w:val="24"/>
          <w:lang w:val="en-US" w:eastAsia="fr-FR"/>
        </w:rPr>
        <w:t xml:space="preserve"> Do print and Web surveys provide the same results?</w:t>
      </w:r>
      <w:r w:rsidR="00715894">
        <w:rPr>
          <w:rFonts w:ascii="Times New Roman" w:eastAsia="Times New Roman" w:hAnsi="Times New Roman" w:cs="Times New Roman"/>
          <w:color w:val="000000"/>
          <w:sz w:val="24"/>
          <w:szCs w:val="24"/>
          <w:lang w:val="en-US" w:eastAsia="fr-FR"/>
        </w:rPr>
        <w:t>”,</w:t>
      </w:r>
      <w:r w:rsidRPr="003009C3">
        <w:rPr>
          <w:rFonts w:ascii="Times New Roman" w:eastAsia="Times New Roman" w:hAnsi="Times New Roman" w:cs="Times New Roman"/>
          <w:color w:val="000000"/>
          <w:sz w:val="24"/>
          <w:szCs w:val="24"/>
          <w:lang w:val="en-US" w:eastAsia="fr-FR"/>
        </w:rPr>
        <w:t xml:space="preserve"> </w:t>
      </w:r>
      <w:r w:rsidRPr="00715894">
        <w:rPr>
          <w:rFonts w:ascii="Times New Roman" w:eastAsia="Times New Roman" w:hAnsi="Times New Roman" w:cs="Times New Roman"/>
          <w:i/>
          <w:iCs/>
          <w:color w:val="000000"/>
          <w:sz w:val="24"/>
          <w:szCs w:val="24"/>
          <w:lang w:val="en-US" w:eastAsia="fr-FR"/>
        </w:rPr>
        <w:t>Computers in Human Behavior</w:t>
      </w:r>
      <w:r w:rsidR="00715894">
        <w:rPr>
          <w:rFonts w:ascii="Times New Roman" w:eastAsia="Times New Roman" w:hAnsi="Times New Roman" w:cs="Times New Roman"/>
          <w:color w:val="000000"/>
          <w:sz w:val="24"/>
          <w:szCs w:val="24"/>
          <w:lang w:val="en-US" w:eastAsia="fr-FR"/>
        </w:rPr>
        <w:t>, vol.</w:t>
      </w:r>
      <w:r w:rsidRPr="003009C3">
        <w:rPr>
          <w:rFonts w:ascii="Times New Roman" w:eastAsia="Times New Roman" w:hAnsi="Times New Roman" w:cs="Times New Roman"/>
          <w:color w:val="000000"/>
          <w:sz w:val="24"/>
          <w:szCs w:val="24"/>
          <w:lang w:val="en-US" w:eastAsia="fr-FR"/>
        </w:rPr>
        <w:t xml:space="preserve"> 22</w:t>
      </w:r>
      <w:r w:rsidR="00715894">
        <w:rPr>
          <w:rFonts w:ascii="Times New Roman" w:eastAsia="Times New Roman" w:hAnsi="Times New Roman" w:cs="Times New Roman"/>
          <w:color w:val="000000"/>
          <w:sz w:val="24"/>
          <w:szCs w:val="24"/>
          <w:lang w:val="en-US" w:eastAsia="fr-FR"/>
        </w:rPr>
        <w:t>, n° 3</w:t>
      </w:r>
      <w:r w:rsidRPr="003009C3">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Pr="003009C3">
        <w:rPr>
          <w:rFonts w:ascii="Times New Roman" w:eastAsia="Times New Roman" w:hAnsi="Times New Roman" w:cs="Times New Roman"/>
          <w:color w:val="000000"/>
          <w:sz w:val="24"/>
          <w:szCs w:val="24"/>
          <w:lang w:val="en-US" w:eastAsia="fr-FR"/>
        </w:rPr>
        <w:t>. 334-350.</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E40DF8">
        <w:rPr>
          <w:rFonts w:ascii="Times New Roman" w:eastAsia="Times New Roman" w:hAnsi="Times New Roman" w:cs="Times New Roman"/>
          <w:b/>
          <w:bCs/>
          <w:color w:val="000000"/>
          <w:sz w:val="24"/>
          <w:szCs w:val="24"/>
          <w:lang w:val="en-US" w:eastAsia="fr-FR"/>
        </w:rPr>
        <w:t>Inbakaran</w:t>
      </w:r>
      <w:r w:rsidRPr="00291101">
        <w:rPr>
          <w:rFonts w:ascii="Times New Roman" w:eastAsia="Times New Roman" w:hAnsi="Times New Roman" w:cs="Times New Roman"/>
          <w:b/>
          <w:bCs/>
          <w:color w:val="0D0D0D"/>
          <w:sz w:val="24"/>
          <w:szCs w:val="24"/>
          <w:lang w:val="en-US" w:eastAsia="fr-FR"/>
        </w:rPr>
        <w:t xml:space="preserve">, C. </w:t>
      </w:r>
      <w:r w:rsidRPr="00291101">
        <w:rPr>
          <w:rFonts w:ascii="Times New Roman" w:eastAsia="Times New Roman" w:hAnsi="Times New Roman" w:cs="Times New Roman"/>
          <w:b/>
          <w:bCs/>
          <w:color w:val="000000"/>
          <w:sz w:val="24"/>
          <w:szCs w:val="24"/>
          <w:lang w:val="en-US" w:eastAsia="fr-FR"/>
        </w:rPr>
        <w:t xml:space="preserve">&amp; </w:t>
      </w:r>
      <w:r w:rsidRPr="00291101">
        <w:rPr>
          <w:rFonts w:ascii="Times New Roman" w:eastAsia="Times New Roman" w:hAnsi="Times New Roman" w:cs="Times New Roman"/>
          <w:b/>
          <w:bCs/>
          <w:color w:val="0D0D0D"/>
          <w:sz w:val="24"/>
          <w:szCs w:val="24"/>
          <w:lang w:val="en-US" w:eastAsia="fr-FR"/>
        </w:rPr>
        <w:t>Howes, K., (2011):</w:t>
      </w:r>
      <w:r w:rsidRPr="00291101">
        <w:rPr>
          <w:rFonts w:ascii="Times New Roman" w:eastAsia="Times New Roman" w:hAnsi="Times New Roman" w:cs="Times New Roman"/>
          <w:color w:val="0D0D0D"/>
          <w:sz w:val="24"/>
          <w:szCs w:val="24"/>
          <w:lang w:val="en-US" w:eastAsia="fr-FR"/>
        </w:rPr>
        <w:t xml:space="preserve"> "Mixed land use index and public transport catchments", In: Australasian Transport Research Forum (ATRF), 34th, Adelaide, South Australia.</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Irajifar</w:t>
      </w:r>
      <w:r w:rsidRPr="00291101">
        <w:rPr>
          <w:rFonts w:ascii="Times New Roman" w:eastAsia="Times New Roman" w:hAnsi="Times New Roman" w:cs="Times New Roman"/>
          <w:b/>
          <w:bCs/>
          <w:color w:val="000000"/>
          <w:sz w:val="24"/>
          <w:szCs w:val="24"/>
          <w:lang w:val="en-US" w:eastAsia="fr-FR"/>
        </w:rPr>
        <w:t>, L., Alizadeh, T., &amp; Sipe, N.</w:t>
      </w:r>
      <w:r w:rsidR="00033F81" w:rsidRPr="00291101">
        <w:rPr>
          <w:rFonts w:ascii="Times New Roman" w:eastAsia="Times New Roman" w:hAnsi="Times New Roman" w:cs="Times New Roman"/>
          <w:b/>
          <w:bCs/>
          <w:color w:val="000000"/>
          <w:sz w:val="24"/>
          <w:szCs w:val="24"/>
          <w:lang w:val="en-US" w:eastAsia="fr-FR"/>
        </w:rPr>
        <w:t>,</w:t>
      </w:r>
      <w:r w:rsidRPr="00291101">
        <w:rPr>
          <w:rFonts w:ascii="Times New Roman" w:eastAsia="Times New Roman" w:hAnsi="Times New Roman" w:cs="Times New Roman"/>
          <w:b/>
          <w:bCs/>
          <w:color w:val="000000"/>
          <w:sz w:val="24"/>
          <w:szCs w:val="24"/>
          <w:lang w:val="en-US" w:eastAsia="fr-FR"/>
        </w:rPr>
        <w:t xml:space="preserve"> (2013)</w:t>
      </w:r>
      <w:r w:rsidR="00033F81" w:rsidRPr="00291101">
        <w:rPr>
          <w:rFonts w:ascii="Times New Roman" w:eastAsia="Times New Roman" w:hAnsi="Times New Roman" w:cs="Times New Roman"/>
          <w:b/>
          <w:bCs/>
          <w:color w:val="000000"/>
          <w:sz w:val="24"/>
          <w:szCs w:val="24"/>
          <w:lang w:val="en-US" w:eastAsia="fr-FR"/>
        </w:rPr>
        <w:t>:</w:t>
      </w:r>
      <w:r w:rsidRPr="00291101">
        <w:rPr>
          <w:rFonts w:ascii="Times New Roman" w:eastAsia="Times New Roman" w:hAnsi="Times New Roman" w:cs="Times New Roman"/>
          <w:color w:val="000000"/>
          <w:sz w:val="24"/>
          <w:szCs w:val="24"/>
          <w:lang w:val="en-US" w:eastAsia="fr-FR"/>
        </w:rPr>
        <w:t xml:space="preserve"> </w:t>
      </w:r>
      <w:r w:rsidR="00033F81" w:rsidRPr="00291101">
        <w:rPr>
          <w:rFonts w:ascii="Times New Roman" w:eastAsia="Times New Roman" w:hAnsi="Times New Roman" w:cs="Times New Roman"/>
          <w:color w:val="000000"/>
          <w:sz w:val="24"/>
          <w:szCs w:val="24"/>
          <w:lang w:val="en-US" w:eastAsia="fr-FR"/>
        </w:rPr>
        <w:t>“</w:t>
      </w:r>
      <w:r w:rsidRPr="00291101">
        <w:rPr>
          <w:rFonts w:ascii="Times New Roman" w:eastAsia="Times New Roman" w:hAnsi="Times New Roman" w:cs="Times New Roman"/>
          <w:color w:val="000000"/>
          <w:sz w:val="24"/>
          <w:szCs w:val="24"/>
          <w:lang w:val="en-US" w:eastAsia="fr-FR"/>
        </w:rPr>
        <w:t>Disaster resiliency measurement frameworks: State of the art</w:t>
      </w:r>
      <w:r w:rsidR="00291101">
        <w:rPr>
          <w:rFonts w:ascii="Times New Roman" w:eastAsia="Times New Roman" w:hAnsi="Times New Roman" w:cs="Times New Roman"/>
          <w:color w:val="000000"/>
          <w:sz w:val="24"/>
          <w:szCs w:val="24"/>
          <w:lang w:val="en-US" w:eastAsia="fr-FR"/>
        </w:rPr>
        <w:t>”,</w:t>
      </w:r>
      <w:r w:rsidRPr="00291101">
        <w:rPr>
          <w:rFonts w:ascii="Times New Roman" w:eastAsia="Times New Roman" w:hAnsi="Times New Roman" w:cs="Times New Roman"/>
          <w:color w:val="000000"/>
          <w:sz w:val="24"/>
          <w:szCs w:val="24"/>
          <w:lang w:val="en-US" w:eastAsia="fr-FR"/>
        </w:rPr>
        <w:t xml:space="preserve"> Paper presented at the World Building Congress, Brisbane, Australia.</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hyperlink r:id="rId379" w:history="1">
        <w:r w:rsidR="00E724B9" w:rsidRPr="00F77863">
          <w:rPr>
            <w:rFonts w:ascii="Times New Roman" w:eastAsia="Times New Roman" w:hAnsi="Times New Roman" w:cs="Times New Roman"/>
            <w:b/>
            <w:bCs/>
            <w:color w:val="000000"/>
            <w:sz w:val="24"/>
            <w:szCs w:val="24"/>
            <w:lang w:val="en-US" w:eastAsia="fr-FR"/>
          </w:rPr>
          <w:t>Jackson</w:t>
        </w:r>
        <w:r w:rsidR="00E724B9" w:rsidRPr="00033F81">
          <w:rPr>
            <w:rFonts w:ascii="Times New Roman" w:eastAsia="Times New Roman" w:hAnsi="Times New Roman" w:cs="Times New Roman"/>
            <w:b/>
            <w:bCs/>
            <w:color w:val="000000"/>
            <w:sz w:val="24"/>
            <w:szCs w:val="24"/>
            <w:lang w:val="en-US" w:eastAsia="fr-FR"/>
          </w:rPr>
          <w:t>, E., (2003):</w:t>
        </w:r>
        <w:r w:rsidR="00E724B9" w:rsidRPr="003009C3">
          <w:rPr>
            <w:rFonts w:ascii="Times New Roman" w:eastAsia="Times New Roman" w:hAnsi="Times New Roman" w:cs="Times New Roman"/>
            <w:color w:val="000000"/>
            <w:sz w:val="24"/>
            <w:szCs w:val="24"/>
            <w:lang w:val="en-US" w:eastAsia="fr-FR"/>
          </w:rPr>
          <w:t xml:space="preserve"> “The relationship of urban design to human health and condition”, </w:t>
        </w:r>
        <w:r w:rsidR="00E724B9" w:rsidRPr="00033F81">
          <w:rPr>
            <w:rFonts w:ascii="Times New Roman" w:eastAsia="Times New Roman" w:hAnsi="Times New Roman" w:cs="Times New Roman"/>
            <w:i/>
            <w:iCs/>
            <w:color w:val="000000"/>
            <w:sz w:val="24"/>
            <w:szCs w:val="24"/>
            <w:lang w:val="en-US" w:eastAsia="fr-FR"/>
          </w:rPr>
          <w:t>Landscape Urban Plann</w:t>
        </w:r>
        <w:r w:rsidR="00033F81" w:rsidRPr="00033F81">
          <w:rPr>
            <w:rFonts w:ascii="Times New Roman" w:eastAsia="Times New Roman" w:hAnsi="Times New Roman" w:cs="Times New Roman"/>
            <w:i/>
            <w:iCs/>
            <w:color w:val="000000"/>
            <w:sz w:val="24"/>
            <w:szCs w:val="24"/>
            <w:lang w:val="en-US" w:eastAsia="fr-FR"/>
          </w:rPr>
          <w:t>ing</w:t>
        </w:r>
        <w:r w:rsidR="00E724B9" w:rsidRPr="003009C3">
          <w:rPr>
            <w:rFonts w:ascii="Times New Roman" w:eastAsia="Times New Roman" w:hAnsi="Times New Roman" w:cs="Times New Roman"/>
            <w:color w:val="000000"/>
            <w:sz w:val="24"/>
            <w:szCs w:val="24"/>
            <w:lang w:val="en-US" w:eastAsia="fr-FR"/>
          </w:rPr>
          <w:t>, vol. 64</w:t>
        </w:r>
        <w:r w:rsidR="00033F81">
          <w:rPr>
            <w:rFonts w:ascii="Times New Roman" w:eastAsia="Times New Roman" w:hAnsi="Times New Roman" w:cs="Times New Roman"/>
            <w:color w:val="000000"/>
            <w:sz w:val="24"/>
            <w:szCs w:val="24"/>
            <w:lang w:val="en-US" w:eastAsia="fr-FR"/>
          </w:rPr>
          <w:t>, n° 4</w:t>
        </w:r>
        <w:r w:rsidR="00E724B9" w:rsidRPr="003009C3">
          <w:rPr>
            <w:rFonts w:ascii="Times New Roman" w:eastAsia="Times New Roman" w:hAnsi="Times New Roman" w:cs="Times New Roman"/>
            <w:color w:val="000000"/>
            <w:sz w:val="24"/>
            <w:szCs w:val="24"/>
            <w:lang w:val="en-US" w:eastAsia="fr-FR"/>
          </w:rPr>
          <w:t>, p</w:t>
        </w:r>
        <w:r w:rsidR="00F40C39">
          <w:rPr>
            <w:rFonts w:ascii="Times New Roman" w:eastAsia="Times New Roman" w:hAnsi="Times New Roman" w:cs="Times New Roman"/>
            <w:color w:val="000000"/>
            <w:sz w:val="24"/>
            <w:szCs w:val="24"/>
            <w:lang w:val="en-US" w:eastAsia="fr-FR"/>
          </w:rPr>
          <w:t>p</w:t>
        </w:r>
        <w:r w:rsidR="00E724B9" w:rsidRPr="003009C3">
          <w:rPr>
            <w:rFonts w:ascii="Times New Roman" w:eastAsia="Times New Roman" w:hAnsi="Times New Roman" w:cs="Times New Roman"/>
            <w:color w:val="000000"/>
            <w:sz w:val="24"/>
            <w:szCs w:val="24"/>
            <w:lang w:val="en-US" w:eastAsia="fr-FR"/>
          </w:rPr>
          <w:t>.</w:t>
        </w:r>
        <w:r w:rsidR="00F40C39">
          <w:rPr>
            <w:rFonts w:ascii="Times New Roman" w:eastAsia="Times New Roman" w:hAnsi="Times New Roman" w:cs="Times New Roman"/>
            <w:color w:val="000000"/>
            <w:sz w:val="24"/>
            <w:szCs w:val="24"/>
            <w:lang w:val="en-US" w:eastAsia="fr-FR"/>
          </w:rPr>
          <w:t xml:space="preserve"> </w:t>
        </w:r>
        <w:r w:rsidR="00E724B9" w:rsidRPr="003009C3">
          <w:rPr>
            <w:rFonts w:ascii="Times New Roman" w:eastAsia="Times New Roman" w:hAnsi="Times New Roman" w:cs="Times New Roman"/>
            <w:color w:val="000000"/>
            <w:sz w:val="24"/>
            <w:szCs w:val="24"/>
            <w:lang w:val="en-US" w:eastAsia="fr-FR"/>
          </w:rPr>
          <w:t xml:space="preserve">191–200.https://doi.org/10.1016/S0169-2046(02)00230-X </w:t>
        </w:r>
      </w:hyperlink>
    </w:p>
    <w:p w:rsidR="00F40C39" w:rsidRPr="00F40C39" w:rsidRDefault="00F40C39" w:rsidP="00AE6E2D">
      <w:pPr>
        <w:spacing w:line="240" w:lineRule="auto"/>
        <w:rPr>
          <w:rFonts w:asciiTheme="majorBidi" w:hAnsiTheme="majorBidi" w:cstheme="majorBidi"/>
          <w:sz w:val="40"/>
          <w:szCs w:val="40"/>
          <w:lang w:val="en-US"/>
        </w:rPr>
      </w:pPr>
      <w:r w:rsidRPr="00F77863">
        <w:rPr>
          <w:rFonts w:ascii="Times New Roman" w:eastAsia="Times New Roman" w:hAnsi="Times New Roman" w:cs="Times New Roman"/>
          <w:b/>
          <w:bCs/>
          <w:color w:val="000000"/>
          <w:sz w:val="24"/>
          <w:szCs w:val="24"/>
          <w:lang w:val="en-US" w:eastAsia="fr-FR"/>
        </w:rPr>
        <w:t>Jacobs, J.,  (1961):</w:t>
      </w:r>
      <w:r w:rsidRPr="00F40C39">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F40C39">
        <w:rPr>
          <w:rFonts w:asciiTheme="majorBidi" w:hAnsiTheme="majorBidi" w:cstheme="majorBidi"/>
          <w:sz w:val="24"/>
          <w:szCs w:val="24"/>
          <w:lang w:val="en-US"/>
        </w:rPr>
        <w:t>Death and Life of Great American Cities</w:t>
      </w:r>
      <w:r>
        <w:rPr>
          <w:rFonts w:asciiTheme="majorBidi" w:hAnsiTheme="majorBidi" w:cstheme="majorBidi"/>
          <w:sz w:val="24"/>
          <w:szCs w:val="24"/>
          <w:lang w:val="en-US"/>
        </w:rPr>
        <w:t>”,</w:t>
      </w:r>
      <w:r w:rsidRPr="00F40C39">
        <w:rPr>
          <w:rFonts w:asciiTheme="majorBidi" w:hAnsiTheme="majorBidi" w:cstheme="majorBidi"/>
          <w:sz w:val="24"/>
          <w:szCs w:val="24"/>
          <w:lang w:val="en-US"/>
        </w:rPr>
        <w:t xml:space="preserve"> New York</w:t>
      </w:r>
      <w:r>
        <w:rPr>
          <w:rFonts w:asciiTheme="majorBidi" w:hAnsiTheme="majorBidi" w:cstheme="majorBidi"/>
          <w:sz w:val="24"/>
          <w:szCs w:val="24"/>
          <w:lang w:val="en-US"/>
        </w:rPr>
        <w:t xml:space="preserve">, </w:t>
      </w:r>
      <w:r w:rsidRPr="00F40C39">
        <w:rPr>
          <w:rFonts w:asciiTheme="majorBidi" w:hAnsiTheme="majorBidi" w:cstheme="majorBidi"/>
          <w:i/>
          <w:iCs/>
          <w:sz w:val="24"/>
          <w:szCs w:val="24"/>
          <w:lang w:val="en-US"/>
        </w:rPr>
        <w:t>Random House</w:t>
      </w:r>
      <w:r>
        <w:rPr>
          <w:rFonts w:asciiTheme="majorBidi" w:hAnsiTheme="majorBidi" w:cstheme="majorBidi"/>
          <w:sz w:val="24"/>
          <w:szCs w:val="24"/>
          <w:lang w:val="en-US"/>
        </w:rPr>
        <w:t>, 458p.</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eastAsia="fr-FR"/>
        </w:rPr>
      </w:pPr>
      <w:hyperlink r:id="rId380" w:history="1">
        <w:r w:rsidR="00E724B9" w:rsidRPr="00F77863">
          <w:rPr>
            <w:rFonts w:ascii="Times New Roman" w:eastAsia="Times New Roman" w:hAnsi="Times New Roman" w:cs="Times New Roman"/>
            <w:b/>
            <w:bCs/>
            <w:color w:val="000000"/>
            <w:sz w:val="24"/>
            <w:szCs w:val="24"/>
            <w:lang w:val="en-US" w:eastAsia="fr-FR"/>
          </w:rPr>
          <w:t>Javari</w:t>
        </w:r>
        <w:r w:rsidR="00E724B9" w:rsidRPr="003009C3">
          <w:rPr>
            <w:rFonts w:ascii="Times New Roman" w:eastAsia="Times New Roman" w:hAnsi="Times New Roman" w:cs="Times New Roman"/>
            <w:b/>
            <w:bCs/>
            <w:color w:val="000000"/>
            <w:sz w:val="24"/>
            <w:szCs w:val="24"/>
            <w:lang w:val="en-US" w:eastAsia="fr-FR"/>
          </w:rPr>
          <w:t>, M., Saghaei, M. &amp; Fadaei Jazi, F., (2021)</w:t>
        </w:r>
        <w:r w:rsidR="00E724B9" w:rsidRPr="003009C3">
          <w:rPr>
            <w:rFonts w:ascii="Times New Roman" w:eastAsia="Times New Roman" w:hAnsi="Times New Roman" w:cs="Times New Roman"/>
            <w:color w:val="000000"/>
            <w:sz w:val="24"/>
            <w:szCs w:val="24"/>
            <w:lang w:val="en-US" w:eastAsia="fr-FR"/>
          </w:rPr>
          <w:t xml:space="preserve">: </w:t>
        </w:r>
        <w:r w:rsidR="00033F81">
          <w:rPr>
            <w:rFonts w:ascii="Times New Roman" w:eastAsia="Times New Roman" w:hAnsi="Times New Roman" w:cs="Times New Roman"/>
            <w:color w:val="000000"/>
            <w:sz w:val="24"/>
            <w:szCs w:val="24"/>
            <w:lang w:val="en-US" w:eastAsia="fr-FR"/>
          </w:rPr>
          <w:t>“</w:t>
        </w:r>
        <w:r w:rsidR="00E724B9" w:rsidRPr="003009C3">
          <w:rPr>
            <w:rFonts w:ascii="Times New Roman" w:eastAsia="Times New Roman" w:hAnsi="Times New Roman" w:cs="Times New Roman"/>
            <w:color w:val="000000"/>
            <w:sz w:val="24"/>
            <w:szCs w:val="24"/>
            <w:lang w:val="en-US" w:eastAsia="fr-FR"/>
          </w:rPr>
          <w:t>Analyzing the resilience of urban settlements using multiple-criteria decision-making (MCDM) models (case study: Malayer city)</w:t>
        </w:r>
        <w:r w:rsidR="00033F81">
          <w:rPr>
            <w:rFonts w:ascii="Times New Roman" w:eastAsia="Times New Roman" w:hAnsi="Times New Roman" w:cs="Times New Roman"/>
            <w:color w:val="000000"/>
            <w:sz w:val="24"/>
            <w:szCs w:val="24"/>
            <w:lang w:val="en-US" w:eastAsia="fr-FR"/>
          </w:rPr>
          <w:t>”</w:t>
        </w:r>
        <w:r w:rsidR="00E724B9" w:rsidRPr="003009C3">
          <w:rPr>
            <w:rFonts w:ascii="Times New Roman" w:eastAsia="Times New Roman" w:hAnsi="Times New Roman" w:cs="Times New Roman"/>
            <w:color w:val="000000"/>
            <w:sz w:val="24"/>
            <w:szCs w:val="24"/>
            <w:lang w:val="en-US" w:eastAsia="fr-FR"/>
          </w:rPr>
          <w:t xml:space="preserve">, </w:t>
        </w:r>
        <w:r w:rsidR="00E724B9" w:rsidRPr="00033F81">
          <w:rPr>
            <w:rFonts w:ascii="Times New Roman" w:eastAsia="Times New Roman" w:hAnsi="Times New Roman" w:cs="Times New Roman"/>
            <w:i/>
            <w:iCs/>
            <w:color w:val="000000"/>
            <w:sz w:val="24"/>
            <w:szCs w:val="24"/>
            <w:lang w:val="en-US" w:eastAsia="fr-FR"/>
          </w:rPr>
          <w:t xml:space="preserve">Sus. </w:t>
        </w:r>
        <w:r w:rsidR="00E724B9" w:rsidRPr="00033F81">
          <w:rPr>
            <w:rFonts w:ascii="Times New Roman" w:eastAsia="Times New Roman" w:hAnsi="Times New Roman" w:cs="Times New Roman"/>
            <w:i/>
            <w:iCs/>
            <w:color w:val="000000"/>
            <w:sz w:val="24"/>
            <w:szCs w:val="24"/>
            <w:lang w:eastAsia="fr-FR"/>
          </w:rPr>
          <w:t>Environment</w:t>
        </w:r>
        <w:r w:rsidR="00E724B9" w:rsidRPr="00033F81">
          <w:rPr>
            <w:rFonts w:ascii="Times New Roman" w:eastAsia="Times New Roman" w:hAnsi="Times New Roman" w:cs="Times New Roman"/>
            <w:color w:val="000000"/>
            <w:sz w:val="24"/>
            <w:szCs w:val="24"/>
            <w:lang w:eastAsia="fr-FR"/>
          </w:rPr>
          <w:t>, vol. 7, n</w:t>
        </w:r>
        <w:r w:rsidR="00033F81" w:rsidRPr="00033F81">
          <w:rPr>
            <w:rFonts w:ascii="Times New Roman" w:eastAsia="Times New Roman" w:hAnsi="Times New Roman" w:cs="Times New Roman"/>
            <w:color w:val="000000"/>
            <w:sz w:val="24"/>
            <w:szCs w:val="24"/>
            <w:lang w:eastAsia="fr-FR"/>
          </w:rPr>
          <w:t>°</w:t>
        </w:r>
        <w:r w:rsidR="00E724B9" w:rsidRPr="00033F81">
          <w:rPr>
            <w:rFonts w:ascii="Times New Roman" w:eastAsia="Times New Roman" w:hAnsi="Times New Roman" w:cs="Times New Roman"/>
            <w:color w:val="000000"/>
            <w:sz w:val="24"/>
            <w:szCs w:val="24"/>
            <w:lang w:eastAsia="fr-FR"/>
          </w:rPr>
          <w:t xml:space="preserve"> 1, </w:t>
        </w:r>
        <w:r w:rsidR="00033F81" w:rsidRPr="00033F81">
          <w:rPr>
            <w:rFonts w:ascii="Times New Roman" w:eastAsia="Times New Roman" w:hAnsi="Times New Roman" w:cs="Times New Roman"/>
            <w:color w:val="000000"/>
            <w:sz w:val="24"/>
            <w:szCs w:val="24"/>
            <w:lang w:eastAsia="fr-FR"/>
          </w:rPr>
          <w:t xml:space="preserve">pp. </w:t>
        </w:r>
        <w:r w:rsidR="00E724B9" w:rsidRPr="00033F81">
          <w:rPr>
            <w:rFonts w:ascii="Times New Roman" w:eastAsia="Times New Roman" w:hAnsi="Times New Roman" w:cs="Times New Roman"/>
            <w:color w:val="000000"/>
            <w:sz w:val="24"/>
            <w:szCs w:val="24"/>
            <w:lang w:eastAsia="fr-FR"/>
          </w:rPr>
          <w:t xml:space="preserve">1–15 https://doi:10.1080/27658511.2021.1889083 </w:t>
        </w:r>
      </w:hyperlink>
    </w:p>
    <w:p w:rsidR="00A54945" w:rsidRPr="00573BAF" w:rsidRDefault="00A54945" w:rsidP="00B26A4B">
      <w:pPr>
        <w:spacing w:line="240" w:lineRule="auto"/>
        <w:jc w:val="both"/>
        <w:rPr>
          <w:rFonts w:asciiTheme="majorBidi" w:hAnsiTheme="majorBidi" w:cstheme="majorBidi"/>
          <w:sz w:val="36"/>
          <w:szCs w:val="36"/>
          <w:lang w:val="en-US"/>
        </w:rPr>
      </w:pPr>
      <w:r w:rsidRPr="002E648F">
        <w:rPr>
          <w:rFonts w:ascii="Times New Roman" w:eastAsia="Times New Roman" w:hAnsi="Times New Roman" w:cs="Times New Roman"/>
          <w:b/>
          <w:bCs/>
          <w:lang w:eastAsia="fr-FR"/>
        </w:rPr>
        <w:t>Jean-Yves, Tizot.</w:t>
      </w:r>
      <w:r w:rsidRPr="002E648F">
        <w:rPr>
          <w:rFonts w:ascii="Times New Roman" w:eastAsia="Times New Roman" w:hAnsi="Times New Roman" w:cs="Times New Roman"/>
          <w:b/>
          <w:bCs/>
          <w:color w:val="000000"/>
          <w:sz w:val="24"/>
          <w:szCs w:val="24"/>
          <w:lang w:eastAsia="fr-FR"/>
        </w:rPr>
        <w:t>, (2018):</w:t>
      </w:r>
      <w:r w:rsidRPr="00573BAF">
        <w:rPr>
          <w:rFonts w:asciiTheme="majorBidi" w:hAnsiTheme="majorBidi" w:cstheme="majorBidi"/>
          <w:color w:val="000000"/>
          <w:sz w:val="24"/>
          <w:szCs w:val="24"/>
          <w:shd w:val="clear" w:color="auto" w:fill="FFFFFF"/>
        </w:rPr>
        <w:t> </w:t>
      </w:r>
      <w:r>
        <w:rPr>
          <w:rFonts w:asciiTheme="majorBidi" w:hAnsiTheme="majorBidi" w:cstheme="majorBidi"/>
          <w:color w:val="000000"/>
          <w:sz w:val="24"/>
          <w:szCs w:val="24"/>
          <w:shd w:val="clear" w:color="auto" w:fill="FFFFFF"/>
        </w:rPr>
        <w:t>"</w:t>
      </w:r>
      <w:r w:rsidRPr="00573BAF">
        <w:rPr>
          <w:rFonts w:asciiTheme="majorBidi" w:hAnsiTheme="majorBidi" w:cstheme="majorBidi"/>
          <w:color w:val="000000"/>
          <w:sz w:val="24"/>
          <w:szCs w:val="24"/>
          <w:shd w:val="clear" w:color="auto" w:fill="FFFFFF"/>
        </w:rPr>
        <w:t> </w:t>
      </w:r>
      <w:r w:rsidRPr="00D04B96">
        <w:rPr>
          <w:rFonts w:asciiTheme="majorBidi" w:hAnsiTheme="majorBidi" w:cstheme="majorBidi"/>
          <w:color w:val="000000"/>
          <w:sz w:val="24"/>
          <w:szCs w:val="24"/>
          <w:shd w:val="clear" w:color="auto" w:fill="FFFFFF"/>
        </w:rPr>
        <w:t>Ebenezer</w:t>
      </w:r>
      <w:r w:rsidRPr="00573BAF">
        <w:rPr>
          <w:rFonts w:asciiTheme="majorBidi" w:hAnsiTheme="majorBidi" w:cstheme="majorBidi"/>
          <w:color w:val="000000"/>
          <w:sz w:val="24"/>
          <w:szCs w:val="24"/>
          <w:shd w:val="clear" w:color="auto" w:fill="FFFFFF"/>
        </w:rPr>
        <w:t xml:space="preserve"> </w:t>
      </w:r>
      <w:r w:rsidRPr="00D04B96">
        <w:rPr>
          <w:rFonts w:asciiTheme="majorBidi" w:hAnsiTheme="majorBidi" w:cstheme="majorBidi"/>
          <w:color w:val="000000"/>
          <w:sz w:val="24"/>
          <w:szCs w:val="24"/>
          <w:shd w:val="clear" w:color="auto" w:fill="FFFFFF"/>
        </w:rPr>
        <w:t>Howard’s</w:t>
      </w:r>
      <w:r w:rsidRPr="00573BAF">
        <w:rPr>
          <w:rFonts w:asciiTheme="majorBidi" w:hAnsiTheme="majorBidi" w:cstheme="majorBidi"/>
          <w:color w:val="000000"/>
          <w:sz w:val="24"/>
          <w:szCs w:val="24"/>
          <w:shd w:val="clear" w:color="auto" w:fill="FFFFFF"/>
        </w:rPr>
        <w:t xml:space="preserve"> Garden City </w:t>
      </w:r>
      <w:r w:rsidRPr="00D04B96">
        <w:rPr>
          <w:rFonts w:asciiTheme="majorBidi" w:hAnsiTheme="majorBidi" w:cstheme="majorBidi"/>
          <w:color w:val="000000"/>
          <w:sz w:val="24"/>
          <w:szCs w:val="24"/>
          <w:shd w:val="clear" w:color="auto" w:fill="FFFFFF"/>
        </w:rPr>
        <w:t>Idea</w:t>
      </w:r>
      <w:r w:rsidRPr="00573BAF">
        <w:rPr>
          <w:rFonts w:asciiTheme="majorBidi" w:hAnsiTheme="majorBidi" w:cstheme="majorBidi"/>
          <w:color w:val="000000"/>
          <w:sz w:val="24"/>
          <w:szCs w:val="24"/>
          <w:shd w:val="clear" w:color="auto" w:fill="FFFFFF"/>
        </w:rPr>
        <w:t xml:space="preserve"> and the </w:t>
      </w:r>
      <w:r w:rsidRPr="00D04B96">
        <w:rPr>
          <w:rFonts w:asciiTheme="majorBidi" w:hAnsiTheme="majorBidi" w:cstheme="majorBidi"/>
          <w:color w:val="000000"/>
          <w:sz w:val="24"/>
          <w:szCs w:val="24"/>
          <w:shd w:val="clear" w:color="auto" w:fill="FFFFFF"/>
        </w:rPr>
        <w:t>Ideology</w:t>
      </w:r>
      <w:r w:rsidRPr="00573BAF">
        <w:rPr>
          <w:rFonts w:asciiTheme="majorBidi" w:hAnsiTheme="majorBidi" w:cstheme="majorBidi"/>
          <w:color w:val="000000"/>
          <w:sz w:val="24"/>
          <w:szCs w:val="24"/>
          <w:shd w:val="clear" w:color="auto" w:fill="FFFFFF"/>
        </w:rPr>
        <w:t xml:space="preserve"> of </w:t>
      </w:r>
      <w:r w:rsidRPr="00D04B96">
        <w:rPr>
          <w:rFonts w:asciiTheme="majorBidi" w:hAnsiTheme="majorBidi" w:cstheme="majorBidi"/>
          <w:color w:val="000000"/>
          <w:sz w:val="24"/>
          <w:szCs w:val="24"/>
          <w:shd w:val="clear" w:color="auto" w:fill="FFFFFF"/>
        </w:rPr>
        <w:t>Industrialism</w:t>
      </w:r>
      <w:r>
        <w:rPr>
          <w:rFonts w:asciiTheme="majorBidi" w:hAnsiTheme="majorBidi" w:cstheme="majorBidi"/>
          <w:color w:val="000000"/>
          <w:sz w:val="24"/>
          <w:szCs w:val="24"/>
          <w:shd w:val="clear" w:color="auto" w:fill="FFFFFF"/>
        </w:rPr>
        <w:t>"</w:t>
      </w:r>
      <w:r w:rsidRPr="00573BAF">
        <w:rPr>
          <w:rFonts w:asciiTheme="majorBidi" w:hAnsiTheme="majorBidi" w:cstheme="majorBidi"/>
          <w:color w:val="000000"/>
          <w:sz w:val="24"/>
          <w:szCs w:val="24"/>
          <w:shd w:val="clear" w:color="auto" w:fill="FFFFFF"/>
        </w:rPr>
        <w:t>, </w:t>
      </w:r>
      <w:r w:rsidRPr="00573BAF">
        <w:rPr>
          <w:rStyle w:val="Accentuation"/>
          <w:rFonts w:asciiTheme="majorBidi" w:hAnsiTheme="majorBidi" w:cstheme="majorBidi"/>
          <w:color w:val="000000"/>
          <w:sz w:val="24"/>
          <w:szCs w:val="24"/>
          <w:shd w:val="clear" w:color="auto" w:fill="FFFFFF"/>
        </w:rPr>
        <w:t>Cahiers victoriens et édouardiens</w:t>
      </w:r>
      <w:r w:rsidRPr="00573BAF">
        <w:rPr>
          <w:rFonts w:asciiTheme="majorBidi" w:hAnsiTheme="majorBidi" w:cstheme="majorBidi"/>
          <w:color w:val="000000"/>
          <w:sz w:val="24"/>
          <w:szCs w:val="24"/>
          <w:shd w:val="clear" w:color="auto" w:fill="FFFFFF"/>
        </w:rPr>
        <w:t> [En ligne], 87 Printemps | 2018, mis en ligne le 01 avril 2018, consulté le 21 octobre 2023. </w:t>
      </w:r>
      <w:r w:rsidRPr="00573BAF">
        <w:rPr>
          <w:rFonts w:asciiTheme="majorBidi" w:hAnsiTheme="majorBidi" w:cstheme="majorBidi"/>
          <w:color w:val="000000"/>
          <w:sz w:val="24"/>
          <w:szCs w:val="24"/>
          <w:shd w:val="clear" w:color="auto" w:fill="FFFFFF"/>
          <w:lang w:val="en-US"/>
        </w:rPr>
        <w:t>URL :</w:t>
      </w:r>
      <w:r>
        <w:rPr>
          <w:rFonts w:asciiTheme="majorBidi" w:hAnsiTheme="majorBidi" w:cstheme="majorBidi"/>
          <w:color w:val="000000"/>
          <w:sz w:val="24"/>
          <w:szCs w:val="24"/>
          <w:shd w:val="clear" w:color="auto" w:fill="FFFFFF"/>
          <w:lang w:val="en-US"/>
        </w:rPr>
        <w:t xml:space="preserve"> </w:t>
      </w:r>
      <w:r w:rsidRPr="00573BAF">
        <w:rPr>
          <w:rFonts w:asciiTheme="majorBidi" w:hAnsiTheme="majorBidi" w:cstheme="majorBidi"/>
          <w:color w:val="000000"/>
          <w:sz w:val="24"/>
          <w:szCs w:val="24"/>
          <w:shd w:val="clear" w:color="auto" w:fill="FFFFFF"/>
          <w:lang w:val="en-US"/>
        </w:rPr>
        <w:t>http://journals.openedition.org/cve/3605 ; DOI : https://doi.org/10.4000/cve.3605</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81" w:history="1">
        <w:r w:rsidR="00E724B9" w:rsidRPr="00F77863">
          <w:rPr>
            <w:rFonts w:ascii="Times New Roman" w:eastAsia="Times New Roman" w:hAnsi="Times New Roman" w:cs="Times New Roman"/>
            <w:b/>
            <w:bCs/>
            <w:color w:val="000000"/>
            <w:sz w:val="24"/>
            <w:szCs w:val="24"/>
            <w:lang w:val="en-US" w:eastAsia="fr-FR"/>
          </w:rPr>
          <w:t>Jha</w:t>
        </w:r>
        <w:r w:rsidR="00E724B9" w:rsidRPr="00D04B96">
          <w:rPr>
            <w:rFonts w:ascii="Times New Roman" w:eastAsia="Times New Roman" w:hAnsi="Times New Roman" w:cs="Times New Roman"/>
            <w:b/>
            <w:bCs/>
            <w:color w:val="000000"/>
            <w:sz w:val="24"/>
            <w:szCs w:val="24"/>
            <w:lang w:val="en-US" w:eastAsia="fr-FR"/>
          </w:rPr>
          <w:t>, A.K., Miner</w:t>
        </w:r>
        <w:r w:rsidR="00033F81" w:rsidRPr="00D04B96">
          <w:rPr>
            <w:rFonts w:ascii="Times New Roman" w:eastAsia="Times New Roman" w:hAnsi="Times New Roman" w:cs="Times New Roman"/>
            <w:b/>
            <w:bCs/>
            <w:color w:val="000000"/>
            <w:sz w:val="24"/>
            <w:szCs w:val="24"/>
            <w:lang w:val="en-US" w:eastAsia="fr-FR"/>
          </w:rPr>
          <w:t>,</w:t>
        </w:r>
        <w:r w:rsidR="00E724B9" w:rsidRPr="00D04B96">
          <w:rPr>
            <w:rFonts w:ascii="Times New Roman" w:eastAsia="Times New Roman" w:hAnsi="Times New Roman" w:cs="Times New Roman"/>
            <w:b/>
            <w:bCs/>
            <w:color w:val="000000"/>
            <w:sz w:val="24"/>
            <w:szCs w:val="24"/>
            <w:lang w:val="en-US" w:eastAsia="fr-FR"/>
          </w:rPr>
          <w:t xml:space="preserve"> </w:t>
        </w:r>
        <w:r w:rsidR="00033F81" w:rsidRPr="00D04B96">
          <w:rPr>
            <w:rFonts w:ascii="Times New Roman" w:eastAsia="Times New Roman" w:hAnsi="Times New Roman" w:cs="Times New Roman"/>
            <w:b/>
            <w:bCs/>
            <w:color w:val="000000"/>
            <w:sz w:val="24"/>
            <w:szCs w:val="24"/>
            <w:lang w:val="en-US" w:eastAsia="fr-FR"/>
          </w:rPr>
          <w:t>T.W. &amp;</w:t>
        </w:r>
        <w:r w:rsidR="00E724B9" w:rsidRPr="00D04B96">
          <w:rPr>
            <w:rFonts w:ascii="Times New Roman" w:eastAsia="Times New Roman" w:hAnsi="Times New Roman" w:cs="Times New Roman"/>
            <w:b/>
            <w:bCs/>
            <w:color w:val="000000"/>
            <w:sz w:val="24"/>
            <w:szCs w:val="24"/>
            <w:lang w:val="en-US" w:eastAsia="fr-FR"/>
          </w:rPr>
          <w:t xml:space="preserve"> Stanton-Geddes</w:t>
        </w:r>
        <w:r w:rsidR="00291101" w:rsidRPr="00D04B96">
          <w:rPr>
            <w:rFonts w:ascii="Times New Roman" w:eastAsia="Times New Roman" w:hAnsi="Times New Roman" w:cs="Times New Roman"/>
            <w:b/>
            <w:bCs/>
            <w:color w:val="000000"/>
            <w:sz w:val="24"/>
            <w:szCs w:val="24"/>
            <w:lang w:val="en-US" w:eastAsia="fr-FR"/>
          </w:rPr>
          <w:t>,</w:t>
        </w:r>
        <w:r w:rsidR="00E724B9" w:rsidRPr="00D04B96">
          <w:rPr>
            <w:rFonts w:ascii="Times New Roman" w:eastAsia="Times New Roman" w:hAnsi="Times New Roman" w:cs="Times New Roman"/>
            <w:b/>
            <w:bCs/>
            <w:color w:val="000000"/>
            <w:sz w:val="24"/>
            <w:szCs w:val="24"/>
            <w:lang w:val="en-US" w:eastAsia="fr-FR"/>
          </w:rPr>
          <w:t xml:space="preserve"> </w:t>
        </w:r>
        <w:r w:rsidR="00033F81" w:rsidRPr="00D04B96">
          <w:rPr>
            <w:rFonts w:ascii="Times New Roman" w:eastAsia="Times New Roman" w:hAnsi="Times New Roman" w:cs="Times New Roman"/>
            <w:b/>
            <w:bCs/>
            <w:color w:val="000000"/>
            <w:sz w:val="24"/>
            <w:szCs w:val="24"/>
            <w:lang w:val="en-US" w:eastAsia="fr-FR"/>
          </w:rPr>
          <w:t>Z</w:t>
        </w:r>
        <w:r w:rsidR="00291101" w:rsidRPr="00D04B96">
          <w:rPr>
            <w:rFonts w:ascii="Times New Roman" w:eastAsia="Times New Roman" w:hAnsi="Times New Roman" w:cs="Times New Roman"/>
            <w:b/>
            <w:bCs/>
            <w:color w:val="000000"/>
            <w:sz w:val="24"/>
            <w:szCs w:val="24"/>
            <w:lang w:val="en-US" w:eastAsia="fr-FR"/>
          </w:rPr>
          <w:t>.,</w:t>
        </w:r>
        <w:r w:rsidR="00033F81" w:rsidRPr="00D04B96">
          <w:rPr>
            <w:rFonts w:ascii="Times New Roman" w:eastAsia="Times New Roman" w:hAnsi="Times New Roman" w:cs="Times New Roman"/>
            <w:b/>
            <w:bCs/>
            <w:color w:val="000000"/>
            <w:sz w:val="24"/>
            <w:szCs w:val="24"/>
            <w:lang w:val="en-US" w:eastAsia="fr-FR"/>
          </w:rPr>
          <w:t xml:space="preserve"> </w:t>
        </w:r>
        <w:r w:rsidR="00E724B9" w:rsidRPr="00D04B96">
          <w:rPr>
            <w:rFonts w:ascii="Times New Roman" w:eastAsia="Times New Roman" w:hAnsi="Times New Roman" w:cs="Times New Roman"/>
            <w:b/>
            <w:bCs/>
            <w:color w:val="000000"/>
            <w:sz w:val="24"/>
            <w:szCs w:val="24"/>
            <w:lang w:val="en-US" w:eastAsia="fr-FR"/>
          </w:rPr>
          <w:t xml:space="preserve">(eds.) </w:t>
        </w:r>
        <w:r w:rsidR="00E724B9" w:rsidRPr="00291101">
          <w:rPr>
            <w:rFonts w:ascii="Times New Roman" w:eastAsia="Times New Roman" w:hAnsi="Times New Roman" w:cs="Times New Roman"/>
            <w:b/>
            <w:bCs/>
            <w:color w:val="000000"/>
            <w:sz w:val="24"/>
            <w:szCs w:val="24"/>
            <w:lang w:val="en-US" w:eastAsia="fr-FR"/>
          </w:rPr>
          <w:t>(2013)</w:t>
        </w:r>
        <w:r w:rsidR="00291101" w:rsidRPr="00291101">
          <w:rPr>
            <w:rFonts w:ascii="Times New Roman" w:eastAsia="Times New Roman" w:hAnsi="Times New Roman" w:cs="Times New Roman"/>
            <w:color w:val="000000"/>
            <w:sz w:val="24"/>
            <w:szCs w:val="24"/>
            <w:lang w:val="en-US" w:eastAsia="fr-FR"/>
          </w:rPr>
          <w:t>:</w:t>
        </w:r>
        <w:r w:rsidR="00E724B9" w:rsidRPr="00291101">
          <w:rPr>
            <w:rFonts w:ascii="Times New Roman" w:eastAsia="Times New Roman" w:hAnsi="Times New Roman" w:cs="Times New Roman"/>
            <w:color w:val="000000"/>
            <w:sz w:val="24"/>
            <w:szCs w:val="24"/>
            <w:lang w:val="en-US" w:eastAsia="fr-FR"/>
          </w:rPr>
          <w:t xml:space="preserve"> </w:t>
        </w:r>
        <w:r w:rsidR="00291101" w:rsidRPr="00291101">
          <w:rPr>
            <w:rFonts w:ascii="Times New Roman" w:eastAsia="Times New Roman" w:hAnsi="Times New Roman" w:cs="Times New Roman"/>
            <w:color w:val="000000"/>
            <w:sz w:val="24"/>
            <w:szCs w:val="24"/>
            <w:lang w:val="en-US" w:eastAsia="fr-FR"/>
          </w:rPr>
          <w:t>“</w:t>
        </w:r>
        <w:r w:rsidR="00E724B9" w:rsidRPr="00291101">
          <w:rPr>
            <w:rFonts w:ascii="Times New Roman" w:eastAsia="Times New Roman" w:hAnsi="Times New Roman" w:cs="Times New Roman"/>
            <w:color w:val="000000"/>
            <w:sz w:val="24"/>
            <w:szCs w:val="24"/>
            <w:lang w:val="en-US" w:eastAsia="fr-FR"/>
          </w:rPr>
          <w:t>Building Urban Resilience: Principles, Tools, and Practice</w:t>
        </w:r>
        <w:r w:rsidR="00291101" w:rsidRPr="00291101">
          <w:rPr>
            <w:rFonts w:ascii="Times New Roman" w:eastAsia="Times New Roman" w:hAnsi="Times New Roman" w:cs="Times New Roman"/>
            <w:color w:val="000000"/>
            <w:sz w:val="24"/>
            <w:szCs w:val="24"/>
            <w:lang w:val="en-US" w:eastAsia="fr-FR"/>
          </w:rPr>
          <w:t>”</w:t>
        </w:r>
        <w:r w:rsidR="00E724B9" w:rsidRPr="00291101">
          <w:rPr>
            <w:rFonts w:ascii="Times New Roman" w:eastAsia="Times New Roman" w:hAnsi="Times New Roman" w:cs="Times New Roman"/>
            <w:color w:val="000000"/>
            <w:sz w:val="24"/>
            <w:szCs w:val="24"/>
            <w:lang w:val="en-US" w:eastAsia="fr-FR"/>
          </w:rPr>
          <w:t>, The World Bank, Washington, DC, http://dx.doi.org/10.1596</w:t>
        </w:r>
        <w:r w:rsidR="00291101" w:rsidRPr="00291101">
          <w:rPr>
            <w:rFonts w:ascii="Times New Roman" w:eastAsia="Times New Roman" w:hAnsi="Times New Roman" w:cs="Times New Roman"/>
            <w:color w:val="000000"/>
            <w:sz w:val="24"/>
            <w:szCs w:val="24"/>
            <w:lang w:val="en-US" w:eastAsia="fr-FR"/>
          </w:rPr>
          <w:t xml:space="preserve"> </w:t>
        </w:r>
        <w:r w:rsidR="00E724B9" w:rsidRPr="00291101">
          <w:rPr>
            <w:rFonts w:ascii="Times New Roman" w:eastAsia="Times New Roman" w:hAnsi="Times New Roman" w:cs="Times New Roman"/>
            <w:color w:val="000000"/>
            <w:sz w:val="24"/>
            <w:szCs w:val="24"/>
            <w:lang w:val="en-US" w:eastAsia="fr-FR"/>
          </w:rPr>
          <w:t>/978-0-8213-8865-5.</w:t>
        </w:r>
      </w:hyperlink>
    </w:p>
    <w:p w:rsidR="00ED10C2" w:rsidRPr="007E003C" w:rsidRDefault="00B62F86"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hyperlink r:id="rId382" w:history="1">
        <w:r w:rsidR="00ED10C2" w:rsidRPr="00ED10C2">
          <w:rPr>
            <w:rStyle w:val="Lienhypertexte"/>
            <w:rFonts w:ascii="Times New Roman" w:eastAsia="Times New Roman" w:hAnsi="Times New Roman" w:cs="Times New Roman"/>
            <w:color w:val="000000" w:themeColor="text1"/>
            <w:sz w:val="24"/>
            <w:szCs w:val="24"/>
            <w:u w:val="none"/>
            <w:lang w:val="en-US" w:eastAsia="fr-FR"/>
          </w:rPr>
          <w:t xml:space="preserve"> </w:t>
        </w:r>
        <w:r w:rsidR="00ED10C2" w:rsidRPr="00F77863">
          <w:rPr>
            <w:rFonts w:ascii="Times New Roman" w:eastAsia="Times New Roman" w:hAnsi="Times New Roman" w:cs="Times New Roman"/>
            <w:b/>
            <w:bCs/>
            <w:color w:val="000000"/>
            <w:sz w:val="24"/>
            <w:szCs w:val="24"/>
            <w:lang w:val="en-US" w:eastAsia="fr-FR"/>
          </w:rPr>
          <w:t>Kaaviya</w:t>
        </w:r>
        <w:r w:rsidR="00ED10C2" w:rsidRPr="00ED10C2">
          <w:rPr>
            <w:rStyle w:val="Lienhypertexte"/>
            <w:rFonts w:ascii="Times New Roman" w:eastAsia="Times New Roman" w:hAnsi="Times New Roman" w:cs="Times New Roman"/>
            <w:b/>
            <w:bCs/>
            <w:color w:val="000000" w:themeColor="text1"/>
            <w:sz w:val="24"/>
            <w:szCs w:val="24"/>
            <w:u w:val="none"/>
            <w:lang w:val="en-US" w:eastAsia="fr-FR"/>
          </w:rPr>
          <w:t>, R. &amp;. Devadas, V., (2021):</w:t>
        </w:r>
        <w:r w:rsidR="00ED10C2" w:rsidRPr="00ED10C2">
          <w:rPr>
            <w:rStyle w:val="Lienhypertexte"/>
            <w:rFonts w:ascii="Times New Roman" w:eastAsia="Times New Roman" w:hAnsi="Times New Roman" w:cs="Times New Roman"/>
            <w:color w:val="000000" w:themeColor="text1"/>
            <w:sz w:val="24"/>
            <w:szCs w:val="24"/>
            <w:u w:val="none"/>
            <w:lang w:val="en-US" w:eastAsia="fr-FR"/>
          </w:rPr>
          <w:t xml:space="preserve"> “Water resilience mapping of Chennai, India”, </w:t>
        </w:r>
        <w:r w:rsidR="00ED10C2" w:rsidRPr="00ED10C2">
          <w:rPr>
            <w:rStyle w:val="Lienhypertexte"/>
            <w:rFonts w:ascii="Times New Roman" w:eastAsia="Times New Roman" w:hAnsi="Times New Roman" w:cs="Times New Roman"/>
            <w:i/>
            <w:iCs/>
            <w:color w:val="000000" w:themeColor="text1"/>
            <w:sz w:val="24"/>
            <w:szCs w:val="24"/>
            <w:u w:val="none"/>
            <w:lang w:val="en-US" w:eastAsia="fr-FR"/>
          </w:rPr>
          <w:t>Kaaviya and Devadas ﻿Ecological Processes</w:t>
        </w:r>
        <w:r w:rsidR="00ED10C2" w:rsidRPr="00ED10C2">
          <w:rPr>
            <w:rStyle w:val="Lienhypertexte"/>
            <w:rFonts w:ascii="Times New Roman" w:eastAsia="Times New Roman" w:hAnsi="Times New Roman" w:cs="Times New Roman"/>
            <w:color w:val="000000" w:themeColor="text1"/>
            <w:sz w:val="24"/>
            <w:szCs w:val="24"/>
            <w:u w:val="none"/>
            <w:lang w:val="en-US" w:eastAsia="fr-FR"/>
          </w:rPr>
          <w:t xml:space="preserve">. https://doi.org/10.1186/s13717-021-00341-1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Kauko</w:t>
      </w:r>
      <w:r w:rsidRPr="00C56322">
        <w:rPr>
          <w:rFonts w:ascii="Times New Roman" w:eastAsia="Times New Roman" w:hAnsi="Times New Roman" w:cs="Times New Roman"/>
          <w:b/>
          <w:bCs/>
          <w:color w:val="000000"/>
          <w:sz w:val="24"/>
          <w:szCs w:val="24"/>
          <w:lang w:val="en-US" w:eastAsia="fr-FR"/>
        </w:rPr>
        <w:t>, K. &amp; Palmroos, P. (2014):</w:t>
      </w:r>
      <w:r w:rsidRPr="00C56322">
        <w:rPr>
          <w:rFonts w:ascii="Times New Roman" w:eastAsia="Times New Roman" w:hAnsi="Times New Roman" w:cs="Times New Roman"/>
          <w:color w:val="000000"/>
          <w:sz w:val="24"/>
          <w:szCs w:val="24"/>
          <w:lang w:val="en-US" w:eastAsia="fr-FR"/>
        </w:rPr>
        <w:t xml:space="preserve"> "The Delphi method in forecasting financial markets An experimental study</w:t>
      </w:r>
      <w:r w:rsidR="00033F81">
        <w:rPr>
          <w:rFonts w:ascii="Times New Roman" w:eastAsia="Times New Roman" w:hAnsi="Times New Roman" w:cs="Times New Roman"/>
          <w:color w:val="000000"/>
          <w:sz w:val="24"/>
          <w:szCs w:val="24"/>
          <w:lang w:val="en-US" w:eastAsia="fr-FR"/>
        </w:rPr>
        <w:t>”,</w:t>
      </w:r>
      <w:r w:rsidRPr="00C56322">
        <w:rPr>
          <w:rFonts w:ascii="Times New Roman" w:eastAsia="Times New Roman" w:hAnsi="Times New Roman" w:cs="Times New Roman"/>
          <w:color w:val="000000"/>
          <w:sz w:val="24"/>
          <w:szCs w:val="24"/>
          <w:lang w:val="en-US" w:eastAsia="fr-FR"/>
        </w:rPr>
        <w:t xml:space="preserve"> </w:t>
      </w:r>
      <w:r w:rsidRPr="00033F81">
        <w:rPr>
          <w:rFonts w:ascii="Times New Roman" w:eastAsia="Times New Roman" w:hAnsi="Times New Roman" w:cs="Times New Roman"/>
          <w:i/>
          <w:iCs/>
          <w:color w:val="000000"/>
          <w:sz w:val="24"/>
          <w:szCs w:val="24"/>
          <w:lang w:val="en-US" w:eastAsia="fr-FR"/>
        </w:rPr>
        <w:t xml:space="preserve">International Journal of </w:t>
      </w:r>
      <w:r w:rsidR="00033F81">
        <w:rPr>
          <w:rFonts w:ascii="Times New Roman" w:eastAsia="Times New Roman" w:hAnsi="Times New Roman" w:cs="Times New Roman"/>
          <w:i/>
          <w:iCs/>
          <w:color w:val="000000"/>
          <w:sz w:val="24"/>
          <w:szCs w:val="24"/>
          <w:lang w:val="en-US" w:eastAsia="fr-FR"/>
        </w:rPr>
        <w:t xml:space="preserve"> </w:t>
      </w:r>
      <w:r w:rsidRPr="00033F81">
        <w:rPr>
          <w:rFonts w:ascii="Times New Roman" w:eastAsia="Times New Roman" w:hAnsi="Times New Roman" w:cs="Times New Roman"/>
          <w:i/>
          <w:iCs/>
          <w:color w:val="000000"/>
          <w:sz w:val="24"/>
          <w:szCs w:val="24"/>
          <w:lang w:val="en-US" w:eastAsia="fr-FR"/>
        </w:rPr>
        <w:t>Forecasting</w:t>
      </w:r>
      <w:r w:rsidRPr="00C56322">
        <w:rPr>
          <w:rFonts w:ascii="Times New Roman" w:eastAsia="Times New Roman" w:hAnsi="Times New Roman" w:cs="Times New Roman"/>
          <w:color w:val="000000"/>
          <w:sz w:val="24"/>
          <w:szCs w:val="24"/>
          <w:lang w:val="en-US" w:eastAsia="fr-FR"/>
        </w:rPr>
        <w:t xml:space="preserve"> </w:t>
      </w:r>
      <w:r w:rsidR="00033F81">
        <w:rPr>
          <w:rFonts w:ascii="Times New Roman" w:eastAsia="Times New Roman" w:hAnsi="Times New Roman" w:cs="Times New Roman"/>
          <w:color w:val="000000"/>
          <w:sz w:val="24"/>
          <w:szCs w:val="24"/>
          <w:lang w:val="en-US" w:eastAsia="fr-FR"/>
        </w:rPr>
        <w:t xml:space="preserve">, vol. </w:t>
      </w:r>
      <w:r w:rsidRPr="00C56322">
        <w:rPr>
          <w:rFonts w:ascii="Times New Roman" w:eastAsia="Times New Roman" w:hAnsi="Times New Roman" w:cs="Times New Roman"/>
          <w:color w:val="000000"/>
          <w:sz w:val="24"/>
          <w:szCs w:val="24"/>
          <w:lang w:val="en-US" w:eastAsia="fr-FR"/>
        </w:rPr>
        <w:t>30</w:t>
      </w:r>
      <w:r w:rsidR="00033F81">
        <w:rPr>
          <w:rFonts w:ascii="Times New Roman" w:eastAsia="Times New Roman" w:hAnsi="Times New Roman" w:cs="Times New Roman"/>
          <w:color w:val="000000"/>
          <w:sz w:val="24"/>
          <w:szCs w:val="24"/>
          <w:lang w:val="en-US" w:eastAsia="fr-FR"/>
        </w:rPr>
        <w:t xml:space="preserve">, n° </w:t>
      </w:r>
      <w:r w:rsidRPr="00C56322">
        <w:rPr>
          <w:rFonts w:ascii="Times New Roman" w:eastAsia="Times New Roman" w:hAnsi="Times New Roman" w:cs="Times New Roman"/>
          <w:color w:val="000000"/>
          <w:sz w:val="24"/>
          <w:szCs w:val="24"/>
          <w:lang w:val="en-US" w:eastAsia="fr-FR"/>
        </w:rPr>
        <w:t xml:space="preserve">2, </w:t>
      </w:r>
      <w:r w:rsidR="00B26A4B">
        <w:rPr>
          <w:rFonts w:ascii="Times New Roman" w:eastAsia="Times New Roman" w:hAnsi="Times New Roman" w:cs="Times New Roman"/>
          <w:color w:val="000000"/>
          <w:sz w:val="24"/>
          <w:szCs w:val="24"/>
          <w:lang w:val="en-US" w:eastAsia="fr-FR"/>
        </w:rPr>
        <w:t>p</w:t>
      </w:r>
      <w:r w:rsidRPr="00C56322">
        <w:rPr>
          <w:rFonts w:ascii="Times New Roman" w:eastAsia="Times New Roman" w:hAnsi="Times New Roman" w:cs="Times New Roman"/>
          <w:color w:val="000000"/>
          <w:sz w:val="24"/>
          <w:szCs w:val="24"/>
          <w:lang w:val="en-US" w:eastAsia="fr-FR"/>
        </w:rPr>
        <w:t>p. 313-327.</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Kazemi</w:t>
      </w:r>
      <w:r w:rsidR="00033F81" w:rsidRPr="00033F81">
        <w:rPr>
          <w:rFonts w:ascii="Times New Roman" w:eastAsia="Times New Roman" w:hAnsi="Times New Roman" w:cs="Times New Roman"/>
          <w:b/>
          <w:bCs/>
          <w:color w:val="000000"/>
          <w:sz w:val="24"/>
          <w:szCs w:val="24"/>
          <w:lang w:val="en-US" w:eastAsia="fr-FR"/>
        </w:rPr>
        <w:t>,</w:t>
      </w:r>
      <w:r w:rsidRPr="00033F81">
        <w:rPr>
          <w:rFonts w:ascii="Times New Roman" w:eastAsia="Times New Roman" w:hAnsi="Times New Roman" w:cs="Times New Roman"/>
          <w:b/>
          <w:bCs/>
          <w:color w:val="000000"/>
          <w:sz w:val="24"/>
          <w:szCs w:val="24"/>
          <w:lang w:val="en-US" w:eastAsia="fr-FR"/>
        </w:rPr>
        <w:t xml:space="preserve"> H</w:t>
      </w:r>
      <w:r w:rsidR="00033F81" w:rsidRPr="00033F81">
        <w:rPr>
          <w:rFonts w:ascii="Times New Roman" w:eastAsia="Times New Roman" w:hAnsi="Times New Roman" w:cs="Times New Roman"/>
          <w:b/>
          <w:bCs/>
          <w:color w:val="000000"/>
          <w:sz w:val="24"/>
          <w:szCs w:val="24"/>
          <w:lang w:val="en-US" w:eastAsia="fr-FR"/>
        </w:rPr>
        <w:t>.</w:t>
      </w:r>
      <w:r w:rsidRPr="00033F81">
        <w:rPr>
          <w:rFonts w:ascii="Times New Roman" w:eastAsia="Times New Roman" w:hAnsi="Times New Roman" w:cs="Times New Roman"/>
          <w:b/>
          <w:bCs/>
          <w:color w:val="000000"/>
          <w:sz w:val="24"/>
          <w:szCs w:val="24"/>
          <w:lang w:val="en-US" w:eastAsia="fr-FR"/>
        </w:rPr>
        <w:t>, Sadeghi</w:t>
      </w:r>
      <w:r w:rsidR="00033F81" w:rsidRPr="00033F81">
        <w:rPr>
          <w:rFonts w:ascii="Times New Roman" w:eastAsia="Times New Roman" w:hAnsi="Times New Roman" w:cs="Times New Roman"/>
          <w:b/>
          <w:bCs/>
          <w:color w:val="000000"/>
          <w:sz w:val="24"/>
          <w:szCs w:val="24"/>
          <w:lang w:val="en-US" w:eastAsia="fr-FR"/>
        </w:rPr>
        <w:t>,</w:t>
      </w:r>
      <w:r w:rsidRPr="00033F81">
        <w:rPr>
          <w:rFonts w:ascii="Times New Roman" w:eastAsia="Times New Roman" w:hAnsi="Times New Roman" w:cs="Times New Roman"/>
          <w:b/>
          <w:bCs/>
          <w:color w:val="000000"/>
          <w:sz w:val="24"/>
          <w:szCs w:val="24"/>
          <w:lang w:val="en-US" w:eastAsia="fr-FR"/>
        </w:rPr>
        <w:t xml:space="preserve"> S</w:t>
      </w:r>
      <w:r w:rsidR="00033F81" w:rsidRPr="00033F81">
        <w:rPr>
          <w:rFonts w:ascii="Times New Roman" w:eastAsia="Times New Roman" w:hAnsi="Times New Roman" w:cs="Times New Roman"/>
          <w:b/>
          <w:bCs/>
          <w:color w:val="000000"/>
          <w:sz w:val="24"/>
          <w:szCs w:val="24"/>
          <w:lang w:val="en-US" w:eastAsia="fr-FR"/>
        </w:rPr>
        <w:t>.</w:t>
      </w:r>
      <w:r w:rsidRPr="00033F81">
        <w:rPr>
          <w:rFonts w:ascii="Times New Roman" w:eastAsia="Times New Roman" w:hAnsi="Times New Roman" w:cs="Times New Roman"/>
          <w:b/>
          <w:bCs/>
          <w:color w:val="000000"/>
          <w:sz w:val="24"/>
          <w:szCs w:val="24"/>
          <w:lang w:val="en-US" w:eastAsia="fr-FR"/>
        </w:rPr>
        <w:t xml:space="preserve">, </w:t>
      </w:r>
      <w:r w:rsidR="00033F81" w:rsidRPr="00033F81">
        <w:rPr>
          <w:rFonts w:ascii="Times New Roman" w:eastAsia="Times New Roman" w:hAnsi="Times New Roman" w:cs="Times New Roman"/>
          <w:b/>
          <w:bCs/>
          <w:color w:val="000000"/>
          <w:sz w:val="24"/>
          <w:szCs w:val="24"/>
          <w:lang w:val="en-US" w:eastAsia="fr-FR"/>
        </w:rPr>
        <w:t>&amp;</w:t>
      </w:r>
      <w:r w:rsidRPr="00033F81">
        <w:rPr>
          <w:rFonts w:ascii="Times New Roman" w:eastAsia="Times New Roman" w:hAnsi="Times New Roman" w:cs="Times New Roman"/>
          <w:b/>
          <w:bCs/>
          <w:color w:val="000000"/>
          <w:sz w:val="24"/>
          <w:szCs w:val="24"/>
          <w:lang w:val="en-US" w:eastAsia="fr-FR"/>
        </w:rPr>
        <w:t xml:space="preserve"> Akinci</w:t>
      </w:r>
      <w:r w:rsidR="00033F81" w:rsidRPr="00033F81">
        <w:rPr>
          <w:rFonts w:ascii="Times New Roman" w:eastAsia="Times New Roman" w:hAnsi="Times New Roman" w:cs="Times New Roman"/>
          <w:b/>
          <w:bCs/>
          <w:color w:val="000000"/>
          <w:sz w:val="24"/>
          <w:szCs w:val="24"/>
          <w:lang w:val="en-US" w:eastAsia="fr-FR"/>
        </w:rPr>
        <w:t>,</w:t>
      </w:r>
      <w:r w:rsidRPr="00033F81">
        <w:rPr>
          <w:rFonts w:ascii="Times New Roman" w:eastAsia="Times New Roman" w:hAnsi="Times New Roman" w:cs="Times New Roman"/>
          <w:b/>
          <w:bCs/>
          <w:color w:val="000000"/>
          <w:sz w:val="24"/>
          <w:szCs w:val="24"/>
          <w:lang w:val="en-US" w:eastAsia="fr-FR"/>
        </w:rPr>
        <w:t xml:space="preserve"> H</w:t>
      </w:r>
      <w:r w:rsidR="00033F81" w:rsidRPr="00033F81">
        <w:rPr>
          <w:rFonts w:ascii="Times New Roman" w:eastAsia="Times New Roman" w:hAnsi="Times New Roman" w:cs="Times New Roman"/>
          <w:b/>
          <w:bCs/>
          <w:color w:val="000000"/>
          <w:sz w:val="24"/>
          <w:szCs w:val="24"/>
          <w:lang w:val="en-US" w:eastAsia="fr-FR"/>
        </w:rPr>
        <w:t>.</w:t>
      </w:r>
      <w:r w:rsidRPr="00033F81">
        <w:rPr>
          <w:rFonts w:ascii="Times New Roman" w:eastAsia="Times New Roman" w:hAnsi="Times New Roman" w:cs="Times New Roman"/>
          <w:b/>
          <w:bCs/>
          <w:color w:val="000000"/>
          <w:sz w:val="24"/>
          <w:szCs w:val="24"/>
          <w:lang w:val="en-US" w:eastAsia="fr-FR"/>
        </w:rPr>
        <w:t>,</w:t>
      </w:r>
      <w:r w:rsidR="00033F81" w:rsidRPr="00033F81">
        <w:rPr>
          <w:rFonts w:ascii="Times New Roman" w:eastAsia="Times New Roman" w:hAnsi="Times New Roman" w:cs="Times New Roman"/>
          <w:b/>
          <w:bCs/>
          <w:color w:val="000000"/>
          <w:sz w:val="24"/>
          <w:szCs w:val="24"/>
          <w:lang w:val="en-US" w:eastAsia="fr-FR"/>
        </w:rPr>
        <w:t xml:space="preserve"> (2016):</w:t>
      </w:r>
      <w:r w:rsidRPr="00C56322">
        <w:rPr>
          <w:rFonts w:ascii="Times New Roman" w:eastAsia="Times New Roman" w:hAnsi="Times New Roman" w:cs="Times New Roman"/>
          <w:color w:val="000000"/>
          <w:sz w:val="24"/>
          <w:szCs w:val="24"/>
          <w:lang w:val="en-US" w:eastAsia="fr-FR"/>
        </w:rPr>
        <w:t xml:space="preserve"> "Developing a land evaluation model for faba bean cultivation using geographic information system and multi-criteria analysis (A case study: Gonbad-Kavous region, Iran)</w:t>
      </w:r>
      <w:r w:rsidR="00033F81" w:rsidRPr="00033F81">
        <w:rPr>
          <w:rFonts w:ascii="Times New Roman" w:eastAsia="Times New Roman" w:hAnsi="Times New Roman" w:cs="Times New Roman"/>
          <w:color w:val="000000"/>
          <w:sz w:val="24"/>
          <w:szCs w:val="24"/>
          <w:lang w:val="en-US" w:eastAsia="fr-FR"/>
        </w:rPr>
        <w:t xml:space="preserve"> </w:t>
      </w:r>
      <w:r w:rsidR="00033F81" w:rsidRPr="00C56322">
        <w:rPr>
          <w:rFonts w:ascii="Times New Roman" w:eastAsia="Times New Roman" w:hAnsi="Times New Roman" w:cs="Times New Roman"/>
          <w:color w:val="000000"/>
          <w:sz w:val="24"/>
          <w:szCs w:val="24"/>
          <w:lang w:val="en-US" w:eastAsia="fr-FR"/>
        </w:rPr>
        <w:t>"</w:t>
      </w:r>
      <w:r w:rsidRPr="00C56322">
        <w:rPr>
          <w:rFonts w:ascii="Times New Roman" w:eastAsia="Times New Roman" w:hAnsi="Times New Roman" w:cs="Times New Roman"/>
          <w:color w:val="000000"/>
          <w:sz w:val="24"/>
          <w:szCs w:val="24"/>
          <w:lang w:val="en-US" w:eastAsia="fr-FR"/>
        </w:rPr>
        <w:t xml:space="preserve">, </w:t>
      </w:r>
      <w:r w:rsidRPr="00033F81">
        <w:rPr>
          <w:rFonts w:ascii="Times New Roman" w:eastAsia="Times New Roman" w:hAnsi="Times New Roman" w:cs="Times New Roman"/>
          <w:i/>
          <w:iCs/>
          <w:color w:val="000000"/>
          <w:sz w:val="24"/>
          <w:szCs w:val="24"/>
          <w:lang w:val="en-US" w:eastAsia="fr-FR"/>
        </w:rPr>
        <w:t>Ecological Indicators</w:t>
      </w:r>
      <w:r w:rsidRPr="00C56322">
        <w:rPr>
          <w:rFonts w:ascii="Times New Roman" w:eastAsia="Times New Roman" w:hAnsi="Times New Roman" w:cs="Times New Roman"/>
          <w:color w:val="000000"/>
          <w:sz w:val="24"/>
          <w:szCs w:val="24"/>
          <w:lang w:val="en-US" w:eastAsia="fr-FR"/>
        </w:rPr>
        <w:t>, vol. 63, p</w:t>
      </w:r>
      <w:r w:rsidR="00B26A4B">
        <w:rPr>
          <w:rFonts w:ascii="Times New Roman" w:eastAsia="Times New Roman" w:hAnsi="Times New Roman" w:cs="Times New Roman"/>
          <w:color w:val="000000"/>
          <w:sz w:val="24"/>
          <w:szCs w:val="24"/>
          <w:lang w:val="en-US" w:eastAsia="fr-FR"/>
        </w:rPr>
        <w:t>p</w:t>
      </w:r>
      <w:r w:rsidRPr="00C56322">
        <w:rPr>
          <w:rFonts w:ascii="Times New Roman" w:eastAsia="Times New Roman" w:hAnsi="Times New Roman" w:cs="Times New Roman"/>
          <w:color w:val="000000"/>
          <w:sz w:val="24"/>
          <w:szCs w:val="24"/>
          <w:lang w:val="en-US" w:eastAsia="fr-FR"/>
        </w:rPr>
        <w:t>. 37–47,</w:t>
      </w:r>
      <w:r w:rsidR="00033F81">
        <w:rPr>
          <w:rFonts w:ascii="Times New Roman" w:eastAsia="Times New Roman" w:hAnsi="Times New Roman" w:cs="Times New Roman"/>
          <w:color w:val="000000"/>
          <w:sz w:val="24"/>
          <w:szCs w:val="24"/>
          <w:lang w:val="en-US" w:eastAsia="fr-FR"/>
        </w:rPr>
        <w:t xml:space="preserve"> </w:t>
      </w:r>
      <w:r w:rsidRPr="00C56322">
        <w:rPr>
          <w:rFonts w:ascii="Times New Roman" w:eastAsia="Times New Roman" w:hAnsi="Times New Roman" w:cs="Times New Roman"/>
          <w:color w:val="000000"/>
          <w:sz w:val="24"/>
          <w:szCs w:val="24"/>
          <w:lang w:val="en-US" w:eastAsia="fr-FR"/>
        </w:rPr>
        <w:t>https://doi.org/10.</w:t>
      </w:r>
      <w:r w:rsidR="00033F81">
        <w:rPr>
          <w:rFonts w:ascii="Times New Roman" w:eastAsia="Times New Roman" w:hAnsi="Times New Roman" w:cs="Times New Roman"/>
          <w:color w:val="000000"/>
          <w:sz w:val="24"/>
          <w:szCs w:val="24"/>
          <w:lang w:val="en-US" w:eastAsia="fr-FR"/>
        </w:rPr>
        <w:t xml:space="preserve"> </w:t>
      </w:r>
      <w:r w:rsidRPr="00C56322">
        <w:rPr>
          <w:rFonts w:ascii="Times New Roman" w:eastAsia="Times New Roman" w:hAnsi="Times New Roman" w:cs="Times New Roman"/>
          <w:color w:val="000000"/>
          <w:sz w:val="24"/>
          <w:szCs w:val="24"/>
          <w:lang w:val="en-US" w:eastAsia="fr-FR"/>
        </w:rPr>
        <w:t>1016/j.ecolind.</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Kerr</w:t>
      </w:r>
      <w:r w:rsidRPr="00033F81">
        <w:rPr>
          <w:rFonts w:ascii="Times New Roman" w:eastAsia="Times New Roman" w:hAnsi="Times New Roman" w:cs="Times New Roman"/>
          <w:b/>
          <w:bCs/>
          <w:color w:val="000000"/>
          <w:sz w:val="24"/>
          <w:szCs w:val="24"/>
          <w:lang w:val="en-US" w:eastAsia="fr-FR"/>
        </w:rPr>
        <w:t>, G. (2009)</w:t>
      </w:r>
      <w:r w:rsidR="00033F81" w:rsidRPr="00033F81">
        <w:rPr>
          <w:rFonts w:ascii="Times New Roman" w:eastAsia="Times New Roman" w:hAnsi="Times New Roman" w:cs="Times New Roman"/>
          <w:b/>
          <w:bCs/>
          <w:color w:val="000000"/>
          <w:sz w:val="24"/>
          <w:szCs w:val="24"/>
          <w:lang w:val="en-US" w:eastAsia="fr-FR"/>
        </w:rPr>
        <w:t>:</w:t>
      </w:r>
      <w:r w:rsidR="00033F81">
        <w:rPr>
          <w:rFonts w:ascii="Times New Roman" w:eastAsia="Times New Roman" w:hAnsi="Times New Roman" w:cs="Times New Roman"/>
          <w:color w:val="000000"/>
          <w:sz w:val="24"/>
          <w:szCs w:val="24"/>
          <w:lang w:val="en-US" w:eastAsia="fr-FR"/>
        </w:rPr>
        <w:t xml:space="preserve"> “</w:t>
      </w:r>
      <w:r w:rsidRPr="00C56322">
        <w:rPr>
          <w:rFonts w:ascii="Times New Roman" w:eastAsia="Times New Roman" w:hAnsi="Times New Roman" w:cs="Times New Roman"/>
          <w:color w:val="000000"/>
          <w:sz w:val="24"/>
          <w:szCs w:val="24"/>
          <w:lang w:val="en-US" w:eastAsia="fr-FR"/>
        </w:rPr>
        <w:t>Apples, oranges and fruit salad: A Delphi study of the IMC educational mix</w:t>
      </w:r>
      <w:r w:rsidR="00033F81">
        <w:rPr>
          <w:rFonts w:ascii="Times New Roman" w:eastAsia="Times New Roman" w:hAnsi="Times New Roman" w:cs="Times New Roman"/>
          <w:color w:val="000000"/>
          <w:sz w:val="24"/>
          <w:szCs w:val="24"/>
          <w:lang w:val="en-US" w:eastAsia="fr-FR"/>
        </w:rPr>
        <w:t>”,</w:t>
      </w:r>
      <w:r w:rsidRPr="00C56322">
        <w:rPr>
          <w:rFonts w:ascii="Times New Roman" w:eastAsia="Times New Roman" w:hAnsi="Times New Roman" w:cs="Times New Roman"/>
          <w:color w:val="000000"/>
          <w:sz w:val="24"/>
          <w:szCs w:val="24"/>
          <w:lang w:val="en-US" w:eastAsia="fr-FR"/>
        </w:rPr>
        <w:t xml:space="preserve"> </w:t>
      </w:r>
      <w:r w:rsidRPr="006C1DE7">
        <w:rPr>
          <w:rFonts w:ascii="Times New Roman" w:eastAsia="Times New Roman" w:hAnsi="Times New Roman" w:cs="Times New Roman"/>
          <w:i/>
          <w:iCs/>
          <w:color w:val="000000"/>
          <w:sz w:val="24"/>
          <w:szCs w:val="24"/>
          <w:lang w:val="en-US" w:eastAsia="fr-FR"/>
        </w:rPr>
        <w:t>Journal of Marketing Communications</w:t>
      </w:r>
      <w:r w:rsidRPr="00C56322">
        <w:rPr>
          <w:rFonts w:ascii="Times New Roman" w:eastAsia="Times New Roman" w:hAnsi="Times New Roman" w:cs="Times New Roman"/>
          <w:color w:val="000000"/>
          <w:sz w:val="24"/>
          <w:szCs w:val="24"/>
          <w:lang w:val="en-US" w:eastAsia="fr-FR"/>
        </w:rPr>
        <w:t xml:space="preserve">, </w:t>
      </w:r>
      <w:r w:rsidR="00033F81">
        <w:rPr>
          <w:rFonts w:ascii="Times New Roman" w:eastAsia="Times New Roman" w:hAnsi="Times New Roman" w:cs="Times New Roman"/>
          <w:color w:val="000000"/>
          <w:sz w:val="24"/>
          <w:szCs w:val="24"/>
          <w:lang w:val="en-US" w:eastAsia="fr-FR"/>
        </w:rPr>
        <w:t xml:space="preserve">vol. 15, n° </w:t>
      </w:r>
      <w:r w:rsidRPr="00C56322">
        <w:rPr>
          <w:rFonts w:ascii="Times New Roman" w:eastAsia="Times New Roman" w:hAnsi="Times New Roman" w:cs="Times New Roman"/>
          <w:color w:val="000000"/>
          <w:sz w:val="24"/>
          <w:szCs w:val="24"/>
          <w:lang w:val="en-US" w:eastAsia="fr-FR"/>
        </w:rPr>
        <w:t>2-3,</w:t>
      </w:r>
      <w:r w:rsidR="00033F81">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00033F81">
        <w:rPr>
          <w:rFonts w:ascii="Times New Roman" w:eastAsia="Times New Roman" w:hAnsi="Times New Roman" w:cs="Times New Roman"/>
          <w:color w:val="000000"/>
          <w:sz w:val="24"/>
          <w:szCs w:val="24"/>
          <w:lang w:val="en-US" w:eastAsia="fr-FR"/>
        </w:rPr>
        <w:t>p.</w:t>
      </w:r>
      <w:r w:rsidRPr="00C56322">
        <w:rPr>
          <w:rFonts w:ascii="Times New Roman" w:eastAsia="Times New Roman" w:hAnsi="Times New Roman" w:cs="Times New Roman"/>
          <w:color w:val="000000"/>
          <w:sz w:val="24"/>
          <w:szCs w:val="24"/>
          <w:lang w:val="en-US" w:eastAsia="fr-FR"/>
        </w:rPr>
        <w:t xml:space="preserve"> 119-137.</w:t>
      </w:r>
    </w:p>
    <w:p w:rsidR="002C42ED" w:rsidRDefault="002C42ED" w:rsidP="00AE6E2D">
      <w:pPr>
        <w:autoSpaceDE w:val="0"/>
        <w:autoSpaceDN w:val="0"/>
        <w:adjustRightInd w:val="0"/>
        <w:spacing w:line="240" w:lineRule="auto"/>
        <w:jc w:val="both"/>
        <w:rPr>
          <w:rFonts w:ascii="TimesNewRomanPSMT" w:hAnsi="TimesNewRomanPSMT" w:cs="TimesNewRomanPSMT"/>
          <w:sz w:val="20"/>
          <w:szCs w:val="20"/>
          <w:rtl/>
        </w:rPr>
      </w:pPr>
      <w:r w:rsidRPr="002E648F">
        <w:rPr>
          <w:rFonts w:ascii="Times New Roman" w:eastAsia="Times New Roman" w:hAnsi="Times New Roman" w:cs="Times New Roman"/>
          <w:b/>
          <w:bCs/>
          <w:color w:val="000000"/>
          <w:sz w:val="24"/>
          <w:szCs w:val="24"/>
          <w:lang w:eastAsia="fr-FR"/>
        </w:rPr>
        <w:t>Kervern</w:t>
      </w:r>
      <w:r w:rsidRPr="002C42ED">
        <w:rPr>
          <w:rFonts w:ascii="Times New Roman" w:eastAsia="Times New Roman" w:hAnsi="Times New Roman" w:cs="Times New Roman"/>
          <w:b/>
          <w:bCs/>
          <w:color w:val="000000"/>
          <w:sz w:val="24"/>
          <w:szCs w:val="24"/>
          <w:lang w:eastAsia="fr-FR"/>
        </w:rPr>
        <w:t>, G-Y., (1995):</w:t>
      </w:r>
      <w:r>
        <w:rPr>
          <w:rFonts w:ascii="TimesNewRomanPSMT" w:hAnsi="TimesNewRomanPSMT" w:cs="TimesNewRomanPSMT"/>
          <w:sz w:val="20"/>
          <w:szCs w:val="20"/>
        </w:rPr>
        <w:t xml:space="preserve"> </w:t>
      </w:r>
      <w:r w:rsidRPr="002C42ED">
        <w:rPr>
          <w:rFonts w:ascii="TimesNewRomanPSMT" w:hAnsi="TimesNewRomanPSMT" w:cs="TimesNewRomanPSMT"/>
          <w:sz w:val="24"/>
          <w:szCs w:val="24"/>
        </w:rPr>
        <w:t>"</w:t>
      </w:r>
      <w:r w:rsidRPr="002C42ED">
        <w:rPr>
          <w:rFonts w:ascii="Times New Roman" w:eastAsia="Times New Roman" w:hAnsi="Times New Roman" w:cs="Times New Roman"/>
          <w:color w:val="000000"/>
          <w:sz w:val="24"/>
          <w:szCs w:val="24"/>
          <w:lang w:eastAsia="fr-FR"/>
        </w:rPr>
        <w:t xml:space="preserve">Eléments fondamentaux des </w:t>
      </w:r>
      <w:r w:rsidRPr="00865CE8">
        <w:rPr>
          <w:rFonts w:ascii="Times New Roman" w:eastAsia="Times New Roman" w:hAnsi="Times New Roman" w:cs="Times New Roman"/>
          <w:color w:val="000000"/>
          <w:sz w:val="24"/>
          <w:szCs w:val="24"/>
          <w:lang w:eastAsia="fr-FR"/>
        </w:rPr>
        <w:t>cindyniques</w:t>
      </w:r>
      <w:r w:rsidRPr="002C42ED">
        <w:rPr>
          <w:rFonts w:ascii="Times New Roman" w:eastAsia="Times New Roman" w:hAnsi="Times New Roman" w:cs="Times New Roman"/>
          <w:color w:val="000000"/>
          <w:sz w:val="24"/>
          <w:szCs w:val="24"/>
          <w:lang w:eastAsia="fr-FR"/>
        </w:rPr>
        <w:t>,</w:t>
      </w:r>
      <w:r>
        <w:rPr>
          <w:rFonts w:ascii="TimesNewRomanPSMT" w:hAnsi="TimesNewRomanPSMT" w:cs="TimesNewRomanPSMT"/>
          <w:sz w:val="20"/>
          <w:szCs w:val="20"/>
        </w:rPr>
        <w:t xml:space="preserve"> </w:t>
      </w:r>
      <w:r w:rsidRPr="002C42ED">
        <w:rPr>
          <w:rFonts w:ascii="Times New Roman" w:eastAsia="Times New Roman" w:hAnsi="Times New Roman" w:cs="Times New Roman"/>
          <w:i/>
          <w:iCs/>
          <w:color w:val="000000"/>
          <w:sz w:val="24"/>
          <w:szCs w:val="24"/>
          <w:lang w:eastAsia="fr-FR"/>
        </w:rPr>
        <w:t>Paris: Economica</w:t>
      </w:r>
      <w:r w:rsidRPr="002C42ED">
        <w:rPr>
          <w:rFonts w:ascii="TimesNewRomanPSMT" w:hAnsi="TimesNewRomanPSMT" w:cs="TimesNewRomanPSMT"/>
          <w:sz w:val="20"/>
          <w:szCs w:val="20"/>
        </w:rPr>
        <w:t>.</w:t>
      </w:r>
    </w:p>
    <w:p w:rsidR="00686E4D" w:rsidRPr="00686E4D" w:rsidRDefault="00686E4D" w:rsidP="00AE6E2D">
      <w:pPr>
        <w:autoSpaceDE w:val="0"/>
        <w:autoSpaceDN w:val="0"/>
        <w:adjustRightInd w:val="0"/>
        <w:spacing w:line="240" w:lineRule="auto"/>
        <w:jc w:val="both"/>
        <w:rPr>
          <w:rFonts w:asciiTheme="majorBidi" w:hAnsiTheme="majorBidi" w:cstheme="majorBidi"/>
          <w:sz w:val="26"/>
          <w:szCs w:val="26"/>
          <w:rtl/>
          <w:lang w:val="en-US"/>
        </w:rPr>
      </w:pPr>
      <w:r w:rsidRPr="00F77863">
        <w:rPr>
          <w:rFonts w:ascii="Times New Roman" w:eastAsia="Times New Roman" w:hAnsi="Times New Roman" w:cs="Times New Roman"/>
          <w:b/>
          <w:bCs/>
          <w:color w:val="000000"/>
          <w:sz w:val="24"/>
          <w:szCs w:val="24"/>
          <w:lang w:val="en-US" w:eastAsia="fr-FR"/>
        </w:rPr>
        <w:lastRenderedPageBreak/>
        <w:t>Klee</w:t>
      </w:r>
      <w:r w:rsidRPr="00A3535D">
        <w:rPr>
          <w:rFonts w:asciiTheme="majorBidi" w:hAnsiTheme="majorBidi" w:cstheme="majorBidi"/>
          <w:b/>
          <w:bCs/>
          <w:sz w:val="24"/>
          <w:szCs w:val="24"/>
          <w:lang w:val="en-US"/>
        </w:rPr>
        <w:t>, P.</w:t>
      </w:r>
      <w:r w:rsidR="00A3535D" w:rsidRPr="00A3535D">
        <w:rPr>
          <w:rFonts w:asciiTheme="majorBidi" w:hAnsiTheme="majorBidi" w:cstheme="majorBidi"/>
          <w:b/>
          <w:bCs/>
          <w:sz w:val="24"/>
          <w:szCs w:val="24"/>
          <w:lang w:val="en-US"/>
        </w:rPr>
        <w:t>, (2011):</w:t>
      </w:r>
      <w:r w:rsidRPr="00686E4D">
        <w:rPr>
          <w:rFonts w:asciiTheme="majorBidi" w:hAnsiTheme="majorBidi" w:cstheme="majorBidi"/>
          <w:sz w:val="24"/>
          <w:szCs w:val="24"/>
          <w:lang w:val="en-US"/>
        </w:rPr>
        <w:t xml:space="preserve"> </w:t>
      </w:r>
      <w:r w:rsidR="00A3535D">
        <w:rPr>
          <w:rFonts w:asciiTheme="majorBidi" w:hAnsiTheme="majorBidi" w:cstheme="majorBidi"/>
          <w:sz w:val="24"/>
          <w:szCs w:val="24"/>
          <w:lang w:val="en-US"/>
        </w:rPr>
        <w:t>“</w:t>
      </w:r>
      <w:r w:rsidRPr="00686E4D">
        <w:rPr>
          <w:rFonts w:asciiTheme="majorBidi" w:hAnsiTheme="majorBidi" w:cstheme="majorBidi"/>
          <w:sz w:val="24"/>
          <w:szCs w:val="24"/>
          <w:lang w:val="en-US"/>
        </w:rPr>
        <w:t>The Core of GIScience: A Process-Based Approach</w:t>
      </w:r>
      <w:r w:rsidR="00A3535D">
        <w:rPr>
          <w:rFonts w:asciiTheme="majorBidi" w:hAnsiTheme="majorBidi" w:cstheme="majorBidi"/>
          <w:sz w:val="24"/>
          <w:szCs w:val="24"/>
          <w:lang w:val="en-US"/>
        </w:rPr>
        <w:t>”,</w:t>
      </w:r>
      <w:r w:rsidRPr="00686E4D">
        <w:rPr>
          <w:rFonts w:asciiTheme="majorBidi" w:hAnsiTheme="majorBidi" w:cstheme="majorBidi"/>
          <w:sz w:val="24"/>
          <w:szCs w:val="24"/>
          <w:lang w:val="en-US"/>
        </w:rPr>
        <w:t xml:space="preserve"> </w:t>
      </w:r>
      <w:r w:rsidRPr="00A3535D">
        <w:rPr>
          <w:rFonts w:asciiTheme="majorBidi" w:hAnsiTheme="majorBidi" w:cstheme="majorBidi"/>
          <w:i/>
          <w:iCs/>
          <w:sz w:val="24"/>
          <w:szCs w:val="24"/>
          <w:lang w:val="en-US"/>
        </w:rPr>
        <w:t>ITC: Enschede</w:t>
      </w:r>
      <w:r w:rsidR="00A3535D">
        <w:rPr>
          <w:rFonts w:asciiTheme="majorBidi" w:hAnsiTheme="majorBidi" w:cstheme="majorBidi"/>
          <w:sz w:val="24"/>
          <w:szCs w:val="24"/>
          <w:lang w:val="en-US"/>
        </w:rPr>
        <w:t>, The Netherlands</w:t>
      </w:r>
      <w:r w:rsidRPr="00686E4D">
        <w:rPr>
          <w:rFonts w:asciiTheme="majorBidi" w:hAnsiTheme="majorBidi" w:cstheme="majorBidi"/>
          <w:sz w:val="24"/>
          <w:szCs w:val="24"/>
          <w:lang w:val="en-US"/>
        </w:rPr>
        <w:t>.</w:t>
      </w:r>
    </w:p>
    <w:p w:rsidR="00C56833" w:rsidRPr="00C56833" w:rsidRDefault="00C56833" w:rsidP="00A478CD">
      <w:pPr>
        <w:autoSpaceDE w:val="0"/>
        <w:autoSpaceDN w:val="0"/>
        <w:adjustRightInd w:val="0"/>
        <w:spacing w:line="240" w:lineRule="auto"/>
        <w:jc w:val="both"/>
        <w:rPr>
          <w:rFonts w:asciiTheme="majorBidi" w:hAnsiTheme="majorBidi" w:cstheme="majorBidi"/>
          <w:sz w:val="24"/>
          <w:szCs w:val="24"/>
          <w:lang w:val="en-US"/>
        </w:rPr>
      </w:pPr>
      <w:r w:rsidRPr="00F77863">
        <w:rPr>
          <w:rFonts w:ascii="Times New Roman" w:eastAsia="Times New Roman" w:hAnsi="Times New Roman" w:cs="Times New Roman"/>
          <w:b/>
          <w:bCs/>
          <w:color w:val="000000"/>
          <w:sz w:val="24"/>
          <w:szCs w:val="24"/>
          <w:lang w:val="en-US" w:eastAsia="fr-FR"/>
        </w:rPr>
        <w:t>Klein</w:t>
      </w:r>
      <w:r w:rsidRPr="00D34DAA">
        <w:rPr>
          <w:rFonts w:asciiTheme="majorBidi" w:hAnsiTheme="majorBidi" w:cstheme="majorBidi"/>
          <w:b/>
          <w:bCs/>
          <w:sz w:val="24"/>
          <w:szCs w:val="24"/>
          <w:lang w:val="en-US"/>
        </w:rPr>
        <w:t>, R.J.T., Nicholls, R.J., Thomalla, F., (2003):</w:t>
      </w:r>
      <w:r w:rsidRPr="00C56833">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C56833">
        <w:rPr>
          <w:rFonts w:asciiTheme="majorBidi" w:hAnsiTheme="majorBidi" w:cstheme="majorBidi"/>
          <w:sz w:val="24"/>
          <w:szCs w:val="24"/>
          <w:lang w:val="en-US"/>
        </w:rPr>
        <w:t>Resilience to natural hazards: How useful is</w:t>
      </w:r>
      <w:r>
        <w:rPr>
          <w:rFonts w:asciiTheme="majorBidi" w:hAnsiTheme="majorBidi" w:cstheme="majorBidi" w:hint="cs"/>
          <w:sz w:val="24"/>
          <w:szCs w:val="24"/>
          <w:rtl/>
          <w:lang w:val="en-US"/>
        </w:rPr>
        <w:t xml:space="preserve"> </w:t>
      </w:r>
      <w:r w:rsidRPr="00C56833">
        <w:rPr>
          <w:rFonts w:asciiTheme="majorBidi" w:hAnsiTheme="majorBidi" w:cstheme="majorBidi"/>
          <w:sz w:val="24"/>
          <w:szCs w:val="24"/>
          <w:lang w:val="en-US"/>
        </w:rPr>
        <w:t>this concept</w:t>
      </w:r>
      <w:r>
        <w:rPr>
          <w:rFonts w:asciiTheme="majorBidi" w:hAnsiTheme="majorBidi" w:cstheme="majorBidi"/>
          <w:sz w:val="24"/>
          <w:szCs w:val="24"/>
          <w:lang w:val="en-US"/>
        </w:rPr>
        <w:t>”,</w:t>
      </w:r>
      <w:r w:rsidRPr="00C56833">
        <w:rPr>
          <w:rFonts w:asciiTheme="majorBidi" w:hAnsiTheme="majorBidi" w:cstheme="majorBidi"/>
          <w:sz w:val="24"/>
          <w:szCs w:val="24"/>
          <w:lang w:val="en-US"/>
        </w:rPr>
        <w:t xml:space="preserve"> </w:t>
      </w:r>
      <w:r w:rsidRPr="00C56833">
        <w:rPr>
          <w:rFonts w:asciiTheme="majorBidi" w:hAnsiTheme="majorBidi" w:cstheme="majorBidi"/>
          <w:i/>
          <w:iCs/>
          <w:sz w:val="24"/>
          <w:szCs w:val="24"/>
          <w:lang w:val="en-US"/>
        </w:rPr>
        <w:t>Environ. Hazards</w:t>
      </w:r>
      <w:r w:rsidR="00D34DAA">
        <w:rPr>
          <w:rFonts w:asciiTheme="majorBidi" w:hAnsiTheme="majorBidi" w:cstheme="majorBidi"/>
          <w:sz w:val="24"/>
          <w:szCs w:val="24"/>
          <w:lang w:val="en-US"/>
        </w:rPr>
        <w:t xml:space="preserve">, </w:t>
      </w:r>
      <w:r w:rsidR="00D34DAA">
        <w:rPr>
          <w:rFonts w:ascii="Times New Roman" w:eastAsia="Times New Roman" w:hAnsi="Times New Roman" w:cs="Times New Roman"/>
          <w:color w:val="000000"/>
          <w:sz w:val="24"/>
          <w:szCs w:val="24"/>
          <w:lang w:val="en-US" w:eastAsia="fr-FR"/>
        </w:rPr>
        <w:t>vol. 5, n° 1</w:t>
      </w:r>
      <w:r w:rsidR="00D34DAA" w:rsidRPr="00C56322">
        <w:rPr>
          <w:rFonts w:ascii="Times New Roman" w:eastAsia="Times New Roman" w:hAnsi="Times New Roman" w:cs="Times New Roman"/>
          <w:color w:val="000000"/>
          <w:sz w:val="24"/>
          <w:szCs w:val="24"/>
          <w:lang w:val="en-US" w:eastAsia="fr-FR"/>
        </w:rPr>
        <w:t>,</w:t>
      </w:r>
      <w:r w:rsidR="00D34DAA">
        <w:rPr>
          <w:rFonts w:ascii="Times New Roman" w:eastAsia="Times New Roman" w:hAnsi="Times New Roman" w:cs="Times New Roman"/>
          <w:color w:val="000000"/>
          <w:sz w:val="24"/>
          <w:szCs w:val="24"/>
          <w:lang w:val="en-US" w:eastAsia="fr-FR"/>
        </w:rPr>
        <w:t xml:space="preserve"> pp. </w:t>
      </w:r>
      <w:r w:rsidRPr="00C56833">
        <w:rPr>
          <w:rFonts w:asciiTheme="majorBidi" w:hAnsiTheme="majorBidi" w:cstheme="majorBidi"/>
          <w:sz w:val="24"/>
          <w:szCs w:val="24"/>
          <w:lang w:val="en-US"/>
        </w:rPr>
        <w:t>35</w:t>
      </w:r>
      <w:r w:rsidR="00A478CD">
        <w:rPr>
          <w:rFonts w:asciiTheme="majorBidi" w:hAnsiTheme="majorBidi" w:cstheme="majorBidi"/>
          <w:sz w:val="24"/>
          <w:szCs w:val="24"/>
          <w:lang w:val="en-US"/>
        </w:rPr>
        <w:t>-</w:t>
      </w:r>
      <w:r w:rsidRPr="00C56833">
        <w:rPr>
          <w:rFonts w:asciiTheme="majorBidi" w:hAnsiTheme="majorBidi" w:cstheme="majorBidi"/>
          <w:sz w:val="24"/>
          <w:szCs w:val="24"/>
          <w:lang w:val="en-US"/>
        </w:rPr>
        <w:t>45</w:t>
      </w:r>
      <w:r w:rsidR="00D34DAA">
        <w:rPr>
          <w:rFonts w:asciiTheme="majorBidi" w:hAnsiTheme="majorBidi" w:cstheme="majorBidi"/>
          <w:sz w:val="24"/>
          <w:szCs w:val="24"/>
          <w:lang w:val="en-US"/>
        </w:rPr>
        <w:t>.</w:t>
      </w:r>
      <w:r w:rsidRPr="00C56833">
        <w:rPr>
          <w:rFonts w:asciiTheme="majorBidi" w:hAnsiTheme="majorBidi" w:cstheme="majorBidi"/>
          <w:sz w:val="24"/>
          <w:szCs w:val="24"/>
          <w:lang w:val="en-US"/>
        </w:rPr>
        <w:t xml:space="preserve"> </w:t>
      </w:r>
      <w:hyperlink r:id="rId383" w:history="1">
        <w:r w:rsidRPr="009678AC">
          <w:rPr>
            <w:rStyle w:val="Lienhypertexte"/>
            <w:rFonts w:asciiTheme="majorBidi" w:hAnsiTheme="majorBidi" w:cstheme="majorBidi"/>
            <w:sz w:val="24"/>
            <w:szCs w:val="24"/>
            <w:lang w:val="en-US"/>
          </w:rPr>
          <w:t>http://dx.doi.org/10.1016/j</w:t>
        </w:r>
      </w:hyperlink>
      <w:r w:rsidRPr="00C56833">
        <w:rPr>
          <w:rFonts w:asciiTheme="majorBidi" w:hAnsiTheme="majorBidi" w:cstheme="majorBidi"/>
          <w:sz w:val="24"/>
          <w:szCs w:val="24"/>
          <w:lang w:val="en-US"/>
        </w:rPr>
        <w:t>.</w:t>
      </w:r>
      <w:r>
        <w:rPr>
          <w:rFonts w:asciiTheme="majorBidi" w:hAnsiTheme="majorBidi" w:cstheme="majorBidi" w:hint="cs"/>
          <w:sz w:val="24"/>
          <w:szCs w:val="24"/>
          <w:rtl/>
          <w:lang w:val="en-US"/>
        </w:rPr>
        <w:t xml:space="preserve"> </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Komeily</w:t>
      </w:r>
      <w:r w:rsidRPr="00C56322">
        <w:rPr>
          <w:rFonts w:ascii="Times New Roman" w:eastAsia="Times New Roman" w:hAnsi="Times New Roman" w:cs="Times New Roman"/>
          <w:b/>
          <w:bCs/>
          <w:color w:val="000000"/>
          <w:sz w:val="24"/>
          <w:szCs w:val="24"/>
          <w:lang w:val="en-US" w:eastAsia="fr-FR"/>
        </w:rPr>
        <w:t>, A.</w:t>
      </w:r>
      <w:r w:rsidR="006C1DE7">
        <w:rPr>
          <w:rFonts w:ascii="Times New Roman" w:eastAsia="Times New Roman" w:hAnsi="Times New Roman" w:cs="Times New Roman"/>
          <w:b/>
          <w:bCs/>
          <w:color w:val="000000"/>
          <w:sz w:val="24"/>
          <w:szCs w:val="24"/>
          <w:lang w:val="en-US" w:eastAsia="fr-FR"/>
        </w:rPr>
        <w:t xml:space="preserve"> </w:t>
      </w:r>
      <w:r w:rsidRPr="00C56322">
        <w:rPr>
          <w:rFonts w:ascii="Times New Roman" w:eastAsia="Times New Roman" w:hAnsi="Times New Roman" w:cs="Times New Roman"/>
          <w:b/>
          <w:bCs/>
          <w:color w:val="000000"/>
          <w:sz w:val="24"/>
          <w:szCs w:val="24"/>
          <w:lang w:val="en-US" w:eastAsia="fr-FR"/>
        </w:rPr>
        <w:t>&amp; Srinivasan</w:t>
      </w:r>
      <w:r w:rsidR="006C1DE7">
        <w:rPr>
          <w:rFonts w:ascii="Times New Roman" w:eastAsia="Times New Roman" w:hAnsi="Times New Roman" w:cs="Times New Roman"/>
          <w:b/>
          <w:bCs/>
          <w:color w:val="000000"/>
          <w:sz w:val="24"/>
          <w:szCs w:val="24"/>
          <w:lang w:val="en-US" w:eastAsia="fr-FR"/>
        </w:rPr>
        <w:t>,</w:t>
      </w:r>
      <w:r w:rsidRPr="00C56322">
        <w:rPr>
          <w:rFonts w:ascii="Times New Roman" w:eastAsia="Times New Roman" w:hAnsi="Times New Roman" w:cs="Times New Roman"/>
          <w:b/>
          <w:bCs/>
          <w:color w:val="000000"/>
          <w:sz w:val="24"/>
          <w:szCs w:val="24"/>
          <w:lang w:val="en-US" w:eastAsia="fr-FR"/>
        </w:rPr>
        <w:t xml:space="preserve"> R. S., (2015):</w:t>
      </w:r>
      <w:r w:rsidRPr="00C56322">
        <w:rPr>
          <w:rFonts w:ascii="Times New Roman" w:eastAsia="Times New Roman" w:hAnsi="Times New Roman" w:cs="Times New Roman"/>
          <w:color w:val="000000"/>
          <w:sz w:val="24"/>
          <w:szCs w:val="24"/>
          <w:lang w:val="en-US" w:eastAsia="fr-FR"/>
        </w:rPr>
        <w:t xml:space="preserve"> "A need for balanced approach to neighborhood sustainability assessments: A critical review and analysis", </w:t>
      </w:r>
      <w:r w:rsidRPr="006C1DE7">
        <w:rPr>
          <w:rFonts w:ascii="Times New Roman" w:eastAsia="Times New Roman" w:hAnsi="Times New Roman" w:cs="Times New Roman"/>
          <w:i/>
          <w:iCs/>
          <w:color w:val="000000"/>
          <w:sz w:val="24"/>
          <w:szCs w:val="24"/>
          <w:lang w:val="en-US" w:eastAsia="fr-FR"/>
        </w:rPr>
        <w:t>Sustainable Cities and Society</w:t>
      </w:r>
      <w:r w:rsidRPr="00C56322">
        <w:rPr>
          <w:rFonts w:ascii="Times New Roman" w:eastAsia="Times New Roman" w:hAnsi="Times New Roman" w:cs="Times New Roman"/>
          <w:color w:val="000000"/>
          <w:sz w:val="24"/>
          <w:szCs w:val="24"/>
          <w:lang w:val="en-US" w:eastAsia="fr-FR"/>
        </w:rPr>
        <w:t>, vol. 18, p</w:t>
      </w:r>
      <w:r w:rsidR="00B26A4B">
        <w:rPr>
          <w:rFonts w:ascii="Times New Roman" w:eastAsia="Times New Roman" w:hAnsi="Times New Roman" w:cs="Times New Roman"/>
          <w:color w:val="000000"/>
          <w:sz w:val="24"/>
          <w:szCs w:val="24"/>
          <w:lang w:val="en-US" w:eastAsia="fr-FR"/>
        </w:rPr>
        <w:t>p</w:t>
      </w:r>
      <w:r w:rsidRPr="00C56322">
        <w:rPr>
          <w:rFonts w:ascii="Times New Roman" w:eastAsia="Times New Roman" w:hAnsi="Times New Roman" w:cs="Times New Roman"/>
          <w:color w:val="000000"/>
          <w:sz w:val="24"/>
          <w:szCs w:val="24"/>
          <w:lang w:val="en-US" w:eastAsia="fr-FR"/>
        </w:rPr>
        <w:t>. 32-43.</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Krejcie</w:t>
      </w:r>
      <w:r w:rsidRPr="00C56322">
        <w:rPr>
          <w:rFonts w:ascii="Times New Roman" w:eastAsia="Times New Roman" w:hAnsi="Times New Roman" w:cs="Times New Roman"/>
          <w:b/>
          <w:bCs/>
          <w:color w:val="000000"/>
          <w:sz w:val="24"/>
          <w:szCs w:val="24"/>
          <w:lang w:val="en-US" w:eastAsia="fr-FR"/>
        </w:rPr>
        <w:t>, R.V &amp; Morgan, D.W, (1970):</w:t>
      </w:r>
      <w:r w:rsidRPr="00C56322">
        <w:rPr>
          <w:rFonts w:ascii="Times New Roman" w:eastAsia="Times New Roman" w:hAnsi="Times New Roman" w:cs="Times New Roman"/>
          <w:color w:val="000000"/>
          <w:sz w:val="24"/>
          <w:szCs w:val="24"/>
          <w:lang w:val="en-US" w:eastAsia="fr-FR"/>
        </w:rPr>
        <w:t xml:space="preserve"> "Determining Sample Size for Research Activities", </w:t>
      </w:r>
      <w:r w:rsidRPr="006C1DE7">
        <w:rPr>
          <w:rFonts w:ascii="Times New Roman" w:eastAsia="Times New Roman" w:hAnsi="Times New Roman" w:cs="Times New Roman"/>
          <w:i/>
          <w:iCs/>
          <w:color w:val="000000"/>
          <w:sz w:val="24"/>
          <w:szCs w:val="24"/>
          <w:lang w:val="en-US" w:eastAsia="fr-FR"/>
        </w:rPr>
        <w:t>Educational and Psychological Measurement</w:t>
      </w:r>
      <w:r w:rsidRPr="00C56322">
        <w:rPr>
          <w:rFonts w:ascii="Times New Roman" w:eastAsia="Times New Roman" w:hAnsi="Times New Roman" w:cs="Times New Roman"/>
          <w:color w:val="000000"/>
          <w:sz w:val="24"/>
          <w:szCs w:val="24"/>
          <w:lang w:val="en-US" w:eastAsia="fr-FR"/>
        </w:rPr>
        <w:t>, vol. 30, p</w:t>
      </w:r>
      <w:r w:rsidR="00A478CD">
        <w:rPr>
          <w:rFonts w:ascii="Times New Roman" w:eastAsia="Times New Roman" w:hAnsi="Times New Roman" w:cs="Times New Roman"/>
          <w:color w:val="000000"/>
          <w:sz w:val="24"/>
          <w:szCs w:val="24"/>
          <w:lang w:val="en-US" w:eastAsia="fr-FR"/>
        </w:rPr>
        <w:t>p</w:t>
      </w:r>
      <w:r w:rsidRPr="00C56322">
        <w:rPr>
          <w:rFonts w:ascii="Times New Roman" w:eastAsia="Times New Roman" w:hAnsi="Times New Roman" w:cs="Times New Roman"/>
          <w:color w:val="000000"/>
          <w:sz w:val="24"/>
          <w:szCs w:val="24"/>
          <w:lang w:val="en-US" w:eastAsia="fr-FR"/>
        </w:rPr>
        <w:t>. 607-610.</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84" w:history="1">
        <w:r w:rsidR="00E724B9" w:rsidRPr="00F77863">
          <w:rPr>
            <w:rFonts w:ascii="Times New Roman" w:eastAsia="Times New Roman" w:hAnsi="Times New Roman" w:cs="Times New Roman"/>
            <w:b/>
            <w:bCs/>
            <w:color w:val="000000"/>
            <w:sz w:val="24"/>
            <w:szCs w:val="24"/>
            <w:lang w:val="en-US" w:eastAsia="fr-FR"/>
          </w:rPr>
          <w:t>Krmac</w:t>
        </w:r>
        <w:r w:rsidR="00E724B9" w:rsidRPr="006C1DE7">
          <w:rPr>
            <w:rFonts w:ascii="Times New Roman" w:eastAsia="Times New Roman" w:hAnsi="Times New Roman" w:cs="Times New Roman"/>
            <w:b/>
            <w:bCs/>
            <w:color w:val="000000"/>
            <w:sz w:val="24"/>
            <w:szCs w:val="24"/>
            <w:lang w:val="en-US" w:eastAsia="fr-FR"/>
          </w:rPr>
          <w:t>, E &amp; Djordjević, B., (2017):</w:t>
        </w:r>
        <w:r w:rsidR="00E724B9" w:rsidRPr="00C56322">
          <w:rPr>
            <w:rFonts w:ascii="Times New Roman" w:eastAsia="Times New Roman" w:hAnsi="Times New Roman" w:cs="Times New Roman"/>
            <w:color w:val="000000"/>
            <w:sz w:val="24"/>
            <w:szCs w:val="24"/>
            <w:lang w:val="en-US" w:eastAsia="fr-FR"/>
          </w:rPr>
          <w:t xml:space="preserve"> "An Evaluation of Indicators of Railway Intelligent Transportation Systems using the Group Analytic Hierarchy Process", </w:t>
        </w:r>
        <w:r w:rsidR="00E724B9" w:rsidRPr="006C1DE7">
          <w:rPr>
            <w:rFonts w:ascii="Times New Roman" w:eastAsia="Times New Roman" w:hAnsi="Times New Roman" w:cs="Times New Roman"/>
            <w:i/>
            <w:iCs/>
            <w:color w:val="000000"/>
            <w:sz w:val="24"/>
            <w:szCs w:val="24"/>
            <w:lang w:val="en-US" w:eastAsia="fr-FR"/>
          </w:rPr>
          <w:t>Electronics Science Technology and Application</w:t>
        </w:r>
        <w:r w:rsidR="00E724B9" w:rsidRPr="00C56322">
          <w:rPr>
            <w:rFonts w:ascii="Times New Roman" w:eastAsia="Times New Roman" w:hAnsi="Times New Roman" w:cs="Times New Roman"/>
            <w:color w:val="000000"/>
            <w:sz w:val="24"/>
            <w:szCs w:val="24"/>
            <w:lang w:val="en-US" w:eastAsia="fr-FR"/>
          </w:rPr>
          <w:t>, vol. 4</w:t>
        </w:r>
        <w:r w:rsidR="006C1DE7">
          <w:rPr>
            <w:rFonts w:ascii="Times New Roman" w:eastAsia="Times New Roman" w:hAnsi="Times New Roman" w:cs="Times New Roman"/>
            <w:color w:val="000000"/>
            <w:sz w:val="24"/>
            <w:szCs w:val="24"/>
            <w:lang w:val="en-US" w:eastAsia="fr-FR"/>
          </w:rPr>
          <w:t xml:space="preserve">, n° </w:t>
        </w:r>
        <w:r w:rsidR="00E724B9" w:rsidRPr="00C56322">
          <w:rPr>
            <w:rFonts w:ascii="Times New Roman" w:eastAsia="Times New Roman" w:hAnsi="Times New Roman" w:cs="Times New Roman"/>
            <w:color w:val="000000"/>
            <w:sz w:val="24"/>
            <w:szCs w:val="24"/>
            <w:lang w:val="en-US" w:eastAsia="fr-FR"/>
          </w:rPr>
          <w:t xml:space="preserve">2, </w:t>
        </w:r>
        <w:r w:rsidR="00B26A4B">
          <w:rPr>
            <w:rFonts w:ascii="Times New Roman" w:eastAsia="Times New Roman" w:hAnsi="Times New Roman" w:cs="Times New Roman"/>
            <w:color w:val="000000"/>
            <w:sz w:val="24"/>
            <w:szCs w:val="24"/>
            <w:lang w:val="en-US" w:eastAsia="fr-FR"/>
          </w:rPr>
          <w:t>p</w:t>
        </w:r>
        <w:r w:rsidR="00E724B9" w:rsidRPr="00C56322">
          <w:rPr>
            <w:rFonts w:ascii="Times New Roman" w:eastAsia="Times New Roman" w:hAnsi="Times New Roman" w:cs="Times New Roman"/>
            <w:color w:val="000000"/>
            <w:sz w:val="24"/>
            <w:szCs w:val="24"/>
            <w:lang w:val="en-US" w:eastAsia="fr-FR"/>
          </w:rPr>
          <w:t>p. 1–11. http://dx.doi.org/10.18686/esta.v4i2.57</w:t>
        </w:r>
      </w:hyperlink>
      <w:r w:rsidR="00A478CD">
        <w:rPr>
          <w:rFonts w:ascii="Times New Roman" w:eastAsia="Times New Roman" w:hAnsi="Times New Roman" w:cs="Times New Roman"/>
          <w:color w:val="000000"/>
          <w:sz w:val="24"/>
          <w:szCs w:val="24"/>
          <w:lang w:val="en-US" w:eastAsia="fr-FR"/>
        </w:rPr>
        <w:t>.</w:t>
      </w:r>
    </w:p>
    <w:p w:rsidR="00A478CD" w:rsidRDefault="00A478CD" w:rsidP="00A478C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A478CD">
        <w:rPr>
          <w:rFonts w:ascii="Times New Roman" w:eastAsia="Times New Roman" w:hAnsi="Times New Roman" w:cs="Times New Roman"/>
          <w:b/>
          <w:bCs/>
          <w:color w:val="000000"/>
          <w:sz w:val="24"/>
          <w:szCs w:val="24"/>
          <w:lang w:val="en-US" w:eastAsia="fr-FR"/>
        </w:rPr>
        <w:t>Kropf, K (2014):</w:t>
      </w:r>
      <w:r w:rsidRPr="00A478CD">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A478CD">
        <w:rPr>
          <w:rFonts w:ascii="Times New Roman" w:eastAsia="Times New Roman" w:hAnsi="Times New Roman" w:cs="Times New Roman"/>
          <w:color w:val="000000"/>
          <w:sz w:val="24"/>
          <w:szCs w:val="24"/>
          <w:lang w:val="en-US" w:eastAsia="fr-FR"/>
        </w:rPr>
        <w:t>Ambiguity in the definition of built form</w:t>
      </w:r>
      <w:r>
        <w:rPr>
          <w:rFonts w:ascii="Times New Roman" w:eastAsia="Times New Roman" w:hAnsi="Times New Roman" w:cs="Times New Roman"/>
          <w:color w:val="000000"/>
          <w:sz w:val="24"/>
          <w:szCs w:val="24"/>
          <w:lang w:val="en-US" w:eastAsia="fr-FR"/>
        </w:rPr>
        <w:t>”,</w:t>
      </w:r>
      <w:r w:rsidRPr="00A478CD">
        <w:rPr>
          <w:rFonts w:ascii="Times New Roman" w:eastAsia="Times New Roman" w:hAnsi="Times New Roman" w:cs="Times New Roman"/>
          <w:color w:val="000000"/>
          <w:sz w:val="24"/>
          <w:szCs w:val="24"/>
          <w:lang w:val="en-US" w:eastAsia="fr-FR"/>
        </w:rPr>
        <w:t xml:space="preserve"> Urban morphology, </w:t>
      </w:r>
      <w:r w:rsidRPr="00C56322">
        <w:rPr>
          <w:rFonts w:ascii="Times New Roman" w:eastAsia="Times New Roman" w:hAnsi="Times New Roman" w:cs="Times New Roman"/>
          <w:color w:val="000000"/>
          <w:sz w:val="24"/>
          <w:szCs w:val="24"/>
          <w:lang w:val="en-US" w:eastAsia="fr-FR"/>
        </w:rPr>
        <w:t xml:space="preserve">vol. </w:t>
      </w:r>
      <w:r w:rsidRPr="00A478CD">
        <w:rPr>
          <w:rFonts w:ascii="Times New Roman" w:eastAsia="Times New Roman" w:hAnsi="Times New Roman" w:cs="Times New Roman"/>
          <w:color w:val="000000"/>
          <w:sz w:val="24"/>
          <w:szCs w:val="24"/>
          <w:lang w:val="en-US" w:eastAsia="fr-FR"/>
        </w:rPr>
        <w:t>18,</w:t>
      </w:r>
      <w:r>
        <w:rPr>
          <w:rFonts w:ascii="Times New Roman" w:eastAsia="Times New Roman" w:hAnsi="Times New Roman" w:cs="Times New Roman"/>
          <w:color w:val="000000"/>
          <w:sz w:val="24"/>
          <w:szCs w:val="24"/>
          <w:lang w:val="en-US" w:eastAsia="fr-FR"/>
        </w:rPr>
        <w:t xml:space="preserve"> pp. </w:t>
      </w:r>
      <w:r w:rsidRPr="00A478CD">
        <w:rPr>
          <w:rFonts w:ascii="Times New Roman" w:eastAsia="Times New Roman" w:hAnsi="Times New Roman" w:cs="Times New Roman"/>
          <w:color w:val="000000"/>
          <w:sz w:val="24"/>
          <w:szCs w:val="24"/>
          <w:lang w:val="en-US" w:eastAsia="fr-FR"/>
        </w:rPr>
        <w:t>41-57.</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Kruse</w:t>
      </w:r>
      <w:r w:rsidRPr="000C7020">
        <w:rPr>
          <w:rFonts w:ascii="Times New Roman" w:eastAsia="Times New Roman" w:hAnsi="Times New Roman" w:cs="Times New Roman"/>
          <w:b/>
          <w:bCs/>
          <w:color w:val="000000"/>
          <w:sz w:val="24"/>
          <w:szCs w:val="24"/>
          <w:lang w:val="en-US" w:eastAsia="fr-FR"/>
        </w:rPr>
        <w:t>, S.</w:t>
      </w:r>
      <w:r w:rsidR="006C1DE7" w:rsidRPr="000C7020">
        <w:rPr>
          <w:rFonts w:ascii="Times New Roman" w:eastAsia="Times New Roman" w:hAnsi="Times New Roman" w:cs="Times New Roman"/>
          <w:b/>
          <w:bCs/>
          <w:color w:val="000000"/>
          <w:sz w:val="24"/>
          <w:szCs w:val="24"/>
          <w:lang w:val="en-US" w:eastAsia="fr-FR"/>
        </w:rPr>
        <w:t>,</w:t>
      </w:r>
      <w:r w:rsidRPr="000C7020">
        <w:rPr>
          <w:rFonts w:ascii="Times New Roman" w:eastAsia="Times New Roman" w:hAnsi="Times New Roman" w:cs="Times New Roman"/>
          <w:b/>
          <w:bCs/>
          <w:color w:val="000000"/>
          <w:sz w:val="24"/>
          <w:szCs w:val="24"/>
          <w:lang w:val="en-US" w:eastAsia="fr-FR"/>
        </w:rPr>
        <w:t xml:space="preserve"> (2008)</w:t>
      </w:r>
      <w:r w:rsidR="006C1DE7" w:rsidRPr="000C7020">
        <w:rPr>
          <w:rFonts w:ascii="Times New Roman" w:eastAsia="Times New Roman" w:hAnsi="Times New Roman" w:cs="Times New Roman"/>
          <w:b/>
          <w:bCs/>
          <w:color w:val="000000"/>
          <w:sz w:val="24"/>
          <w:szCs w:val="24"/>
          <w:lang w:val="en-US" w:eastAsia="fr-FR"/>
        </w:rPr>
        <w:t>:</w:t>
      </w:r>
      <w:r w:rsidR="006C1DE7" w:rsidRPr="000C7020">
        <w:rPr>
          <w:rFonts w:ascii="Times New Roman" w:eastAsia="Times New Roman" w:hAnsi="Times New Roman" w:cs="Times New Roman"/>
          <w:color w:val="000000"/>
          <w:sz w:val="24"/>
          <w:szCs w:val="24"/>
          <w:lang w:val="en-US" w:eastAsia="fr-FR"/>
        </w:rPr>
        <w:t xml:space="preserve"> “</w:t>
      </w:r>
      <w:r w:rsidRPr="000C7020">
        <w:rPr>
          <w:rFonts w:ascii="Times New Roman" w:eastAsia="Times New Roman" w:hAnsi="Times New Roman" w:cs="Times New Roman"/>
          <w:color w:val="000000"/>
          <w:sz w:val="24"/>
          <w:szCs w:val="24"/>
          <w:lang w:val="en-US" w:eastAsia="fr-FR"/>
        </w:rPr>
        <w:t>Structuring multiple perspectives in Environmental Decision-Making: Flood Protection in the Middle-Elbe Region</w:t>
      </w:r>
      <w:r w:rsidR="000C7020">
        <w:rPr>
          <w:rFonts w:ascii="Times New Roman" w:eastAsia="Times New Roman" w:hAnsi="Times New Roman" w:cs="Times New Roman"/>
          <w:color w:val="000000"/>
          <w:sz w:val="24"/>
          <w:szCs w:val="24"/>
          <w:lang w:val="en-US" w:eastAsia="fr-FR"/>
        </w:rPr>
        <w:t>”,</w:t>
      </w:r>
      <w:r w:rsidRPr="000C7020">
        <w:rPr>
          <w:rFonts w:ascii="Times New Roman" w:eastAsia="Times New Roman" w:hAnsi="Times New Roman" w:cs="Times New Roman"/>
          <w:color w:val="000000"/>
          <w:sz w:val="24"/>
          <w:szCs w:val="24"/>
          <w:lang w:val="en-US" w:eastAsia="fr-FR"/>
        </w:rPr>
        <w:t xml:space="preserve"> Environmental Argument and Cultural Difference: Locations, Fractures and Deliberations. R. Edmondson and H. Rau. Oxford, </w:t>
      </w:r>
      <w:r w:rsidRPr="000C7020">
        <w:rPr>
          <w:rFonts w:ascii="Times New Roman" w:eastAsia="Times New Roman" w:hAnsi="Times New Roman" w:cs="Times New Roman"/>
          <w:i/>
          <w:iCs/>
          <w:color w:val="000000"/>
          <w:sz w:val="24"/>
          <w:szCs w:val="24"/>
          <w:lang w:val="en-US" w:eastAsia="fr-FR"/>
        </w:rPr>
        <w:t>Peter Lang</w:t>
      </w:r>
      <w:r w:rsidRPr="000C7020">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000C7020">
        <w:rPr>
          <w:rFonts w:ascii="Times New Roman" w:eastAsia="Times New Roman" w:hAnsi="Times New Roman" w:cs="Times New Roman"/>
          <w:color w:val="000000"/>
          <w:sz w:val="24"/>
          <w:szCs w:val="24"/>
          <w:lang w:val="en-US" w:eastAsia="fr-FR"/>
        </w:rPr>
        <w:t xml:space="preserve">p. </w:t>
      </w:r>
      <w:r w:rsidRPr="000C7020">
        <w:rPr>
          <w:rFonts w:ascii="Times New Roman" w:eastAsia="Times New Roman" w:hAnsi="Times New Roman" w:cs="Times New Roman"/>
          <w:color w:val="000000"/>
          <w:sz w:val="24"/>
          <w:szCs w:val="24"/>
          <w:lang w:val="en-US" w:eastAsia="fr-FR"/>
        </w:rPr>
        <w:t>37-64.</w:t>
      </w:r>
    </w:p>
    <w:p w:rsidR="006F1380" w:rsidRPr="00AE6E2D" w:rsidRDefault="00B62F86"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hyperlink r:id="rId385" w:history="1">
        <w:r w:rsidR="006F1380" w:rsidRPr="00AE6E2D">
          <w:rPr>
            <w:rStyle w:val="Lienhypertexte"/>
            <w:rFonts w:ascii="Times New Roman" w:eastAsia="Times New Roman" w:hAnsi="Times New Roman" w:cs="Times New Roman"/>
            <w:b/>
            <w:bCs/>
            <w:color w:val="000000" w:themeColor="text1"/>
            <w:sz w:val="24"/>
            <w:szCs w:val="24"/>
            <w:u w:val="none"/>
            <w:lang w:val="en-US" w:eastAsia="fr-FR"/>
          </w:rPr>
          <w:t>Kuhlicke, C., Steinfuhrer A., Begg C., Bianchizza C., Brundl M., Buchecker M, De Marchi B., (2011):</w:t>
        </w:r>
        <w:r w:rsidR="006F1380" w:rsidRPr="00AE6E2D">
          <w:rPr>
            <w:rStyle w:val="Lienhypertexte"/>
            <w:rFonts w:ascii="Times New Roman" w:eastAsia="Times New Roman" w:hAnsi="Times New Roman" w:cs="Times New Roman"/>
            <w:color w:val="000000" w:themeColor="text1"/>
            <w:sz w:val="24"/>
            <w:szCs w:val="24"/>
            <w:u w:val="none"/>
            <w:lang w:val="en-US" w:eastAsia="fr-FR"/>
          </w:rPr>
          <w:t xml:space="preserve"> "Perspectives on Social Capacity Building for Natural Hazards: Outlining an Emerging Field of Research and Practice in Europe", </w:t>
        </w:r>
        <w:r w:rsidR="006F1380" w:rsidRPr="00AE6E2D">
          <w:rPr>
            <w:rStyle w:val="Lienhypertexte"/>
            <w:rFonts w:ascii="Times New Roman" w:eastAsia="Times New Roman" w:hAnsi="Times New Roman" w:cs="Times New Roman"/>
            <w:i/>
            <w:iCs/>
            <w:color w:val="000000" w:themeColor="text1"/>
            <w:sz w:val="24"/>
            <w:szCs w:val="24"/>
            <w:u w:val="none"/>
            <w:lang w:val="en-US" w:eastAsia="fr-FR"/>
          </w:rPr>
          <w:t>Environmental Science &amp; Policy</w:t>
        </w:r>
        <w:r w:rsidR="006F1380" w:rsidRPr="00AE6E2D">
          <w:rPr>
            <w:rStyle w:val="Lienhypertexte"/>
            <w:rFonts w:ascii="Times New Roman" w:eastAsia="Times New Roman" w:hAnsi="Times New Roman" w:cs="Times New Roman"/>
            <w:color w:val="000000" w:themeColor="text1"/>
            <w:sz w:val="24"/>
            <w:szCs w:val="24"/>
            <w:u w:val="none"/>
            <w:lang w:val="en-US" w:eastAsia="fr-FR"/>
          </w:rPr>
          <w:t>, vol. 14, n° 7, p</w:t>
        </w:r>
        <w:r w:rsidR="00B26A4B">
          <w:rPr>
            <w:rStyle w:val="Lienhypertexte"/>
            <w:rFonts w:ascii="Times New Roman" w:eastAsia="Times New Roman" w:hAnsi="Times New Roman" w:cs="Times New Roman"/>
            <w:color w:val="000000" w:themeColor="text1"/>
            <w:sz w:val="24"/>
            <w:szCs w:val="24"/>
            <w:u w:val="none"/>
            <w:lang w:val="en-US" w:eastAsia="fr-FR"/>
          </w:rPr>
          <w:t>p</w:t>
        </w:r>
        <w:r w:rsidR="006F1380" w:rsidRPr="00AE6E2D">
          <w:rPr>
            <w:rStyle w:val="Lienhypertexte"/>
            <w:rFonts w:ascii="Times New Roman" w:eastAsia="Times New Roman" w:hAnsi="Times New Roman" w:cs="Times New Roman"/>
            <w:color w:val="000000" w:themeColor="text1"/>
            <w:sz w:val="24"/>
            <w:szCs w:val="24"/>
            <w:u w:val="none"/>
            <w:lang w:val="en-US" w:eastAsia="fr-FR"/>
          </w:rPr>
          <w:t xml:space="preserve">. 804-14. https://doi.org/10.1016/j.envsci.2011.05.001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r w:rsidRPr="00F77863">
        <w:rPr>
          <w:rFonts w:ascii="Times New Roman" w:eastAsia="Times New Roman" w:hAnsi="Times New Roman" w:cs="Times New Roman"/>
          <w:b/>
          <w:bCs/>
          <w:color w:val="000000"/>
          <w:sz w:val="24"/>
          <w:szCs w:val="24"/>
          <w:lang w:val="en-US" w:eastAsia="fr-FR"/>
        </w:rPr>
        <w:t>Kunwar</w:t>
      </w:r>
      <w:r w:rsidRPr="00C56322">
        <w:rPr>
          <w:rFonts w:ascii="Times New Roman" w:eastAsia="Times New Roman" w:hAnsi="Times New Roman" w:cs="Times New Roman"/>
          <w:b/>
          <w:bCs/>
          <w:color w:val="000000"/>
          <w:sz w:val="24"/>
          <w:szCs w:val="24"/>
          <w:lang w:val="en-US" w:eastAsia="fr-FR"/>
        </w:rPr>
        <w:t>, P., Kachhwaha, T., Kuma, A., Agrawal, A.K., Singh, A. &amp; Mendiratta, N., (2010):</w:t>
      </w:r>
      <w:r w:rsidRPr="00C56322">
        <w:rPr>
          <w:rFonts w:ascii="Times New Roman" w:eastAsia="Times New Roman" w:hAnsi="Times New Roman" w:cs="Times New Roman"/>
          <w:color w:val="000000"/>
          <w:sz w:val="24"/>
          <w:szCs w:val="24"/>
          <w:lang w:val="en-US" w:eastAsia="fr-FR"/>
        </w:rPr>
        <w:t xml:space="preserve"> “Use of high-resolution IKONOS data and GIS technique for transformation of land use / land cover for sustainable development”, </w:t>
      </w:r>
      <w:r w:rsidRPr="00515DA1">
        <w:rPr>
          <w:rFonts w:ascii="Times New Roman" w:eastAsia="Times New Roman" w:hAnsi="Times New Roman" w:cs="Times New Roman"/>
          <w:i/>
          <w:iCs/>
          <w:color w:val="000000"/>
          <w:sz w:val="24"/>
          <w:szCs w:val="24"/>
          <w:lang w:val="en-US" w:eastAsia="fr-FR"/>
        </w:rPr>
        <w:t>Curr Sci India</w:t>
      </w:r>
      <w:r w:rsidRPr="00C56322">
        <w:rPr>
          <w:rFonts w:ascii="Times New Roman" w:eastAsia="Times New Roman" w:hAnsi="Times New Roman" w:cs="Times New Roman"/>
          <w:color w:val="000000"/>
          <w:sz w:val="24"/>
          <w:szCs w:val="24"/>
          <w:lang w:val="en-US" w:eastAsia="fr-FR"/>
        </w:rPr>
        <w:t>, vol. 98</w:t>
      </w:r>
      <w:r w:rsidR="00515DA1">
        <w:rPr>
          <w:rFonts w:ascii="Times New Roman" w:eastAsia="Times New Roman" w:hAnsi="Times New Roman" w:cs="Times New Roman"/>
          <w:color w:val="000000"/>
          <w:sz w:val="24"/>
          <w:szCs w:val="24"/>
          <w:lang w:val="en-US" w:eastAsia="fr-FR"/>
        </w:rPr>
        <w:t xml:space="preserve">, n° </w:t>
      </w:r>
      <w:r w:rsidRPr="00C56322">
        <w:rPr>
          <w:rFonts w:ascii="Times New Roman" w:eastAsia="Times New Roman" w:hAnsi="Times New Roman" w:cs="Times New Roman"/>
          <w:color w:val="000000"/>
          <w:sz w:val="24"/>
          <w:szCs w:val="24"/>
          <w:lang w:val="en-US" w:eastAsia="fr-FR"/>
        </w:rPr>
        <w:t>2,</w:t>
      </w:r>
      <w:r w:rsidR="00515DA1">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Pr="00C56322">
        <w:rPr>
          <w:rFonts w:ascii="Times New Roman" w:eastAsia="Times New Roman" w:hAnsi="Times New Roman" w:cs="Times New Roman"/>
          <w:color w:val="000000"/>
          <w:sz w:val="24"/>
          <w:szCs w:val="24"/>
          <w:lang w:val="en-US" w:eastAsia="fr-FR"/>
        </w:rPr>
        <w:t>p.204–212.</w:t>
      </w:r>
    </w:p>
    <w:p w:rsidR="00161321" w:rsidRDefault="00161321" w:rsidP="00AE6E2D">
      <w:pPr>
        <w:autoSpaceDE w:val="0"/>
        <w:autoSpaceDN w:val="0"/>
        <w:adjustRightInd w:val="0"/>
        <w:spacing w:line="240" w:lineRule="auto"/>
        <w:jc w:val="both"/>
        <w:rPr>
          <w:rFonts w:asciiTheme="majorBidi" w:hAnsiTheme="majorBidi" w:cstheme="majorBidi"/>
          <w:sz w:val="24"/>
          <w:szCs w:val="24"/>
        </w:rPr>
      </w:pPr>
      <w:r w:rsidRPr="002E648F">
        <w:rPr>
          <w:rFonts w:ascii="Times New Roman" w:eastAsia="Times New Roman" w:hAnsi="Times New Roman" w:cs="Times New Roman"/>
          <w:b/>
          <w:bCs/>
          <w:color w:val="000000"/>
          <w:sz w:val="24"/>
          <w:szCs w:val="24"/>
          <w:lang w:eastAsia="fr-FR"/>
        </w:rPr>
        <w:t>Lajoie</w:t>
      </w:r>
      <w:r w:rsidRPr="002E648F">
        <w:rPr>
          <w:rFonts w:asciiTheme="majorBidi" w:hAnsiTheme="majorBidi" w:cstheme="majorBidi"/>
          <w:b/>
          <w:bCs/>
          <w:sz w:val="24"/>
          <w:szCs w:val="24"/>
        </w:rPr>
        <w:t>, G., (2007):</w:t>
      </w:r>
      <w:r w:rsidRPr="00161321">
        <w:rPr>
          <w:rFonts w:asciiTheme="majorBidi" w:hAnsiTheme="majorBidi" w:cstheme="majorBidi"/>
          <w:sz w:val="24"/>
          <w:szCs w:val="24"/>
        </w:rPr>
        <w:t xml:space="preserve"> "Recherches en modelisation urbaine. Habilitation a Diriger des Recherches", </w:t>
      </w:r>
      <w:r w:rsidRPr="00161321">
        <w:rPr>
          <w:rFonts w:asciiTheme="majorBidi" w:eastAsia="Times New Roman" w:hAnsiTheme="majorBidi" w:cstheme="majorBidi"/>
          <w:color w:val="000000"/>
          <w:sz w:val="24"/>
          <w:szCs w:val="24"/>
          <w:lang w:eastAsia="fr-FR"/>
        </w:rPr>
        <w:t xml:space="preserve">Thèse de doctorat, </w:t>
      </w:r>
      <w:r w:rsidR="002D4B3E" w:rsidRPr="002D4B3E">
        <w:rPr>
          <w:rFonts w:asciiTheme="majorBidi" w:hAnsiTheme="majorBidi" w:cstheme="majorBidi"/>
          <w:i/>
          <w:iCs/>
          <w:sz w:val="24"/>
          <w:szCs w:val="24"/>
        </w:rPr>
        <w:t>Université</w:t>
      </w:r>
      <w:r w:rsidRPr="002D4B3E">
        <w:rPr>
          <w:rFonts w:asciiTheme="majorBidi" w:hAnsiTheme="majorBidi" w:cstheme="majorBidi"/>
          <w:i/>
          <w:iCs/>
          <w:sz w:val="24"/>
          <w:szCs w:val="24"/>
        </w:rPr>
        <w:t xml:space="preserve"> de la</w:t>
      </w:r>
      <w:r w:rsidRPr="002D4B3E">
        <w:rPr>
          <w:rFonts w:asciiTheme="majorBidi" w:hAnsiTheme="majorBidi" w:cstheme="majorBidi"/>
          <w:i/>
          <w:iCs/>
          <w:sz w:val="24"/>
          <w:szCs w:val="24"/>
          <w:rtl/>
        </w:rPr>
        <w:t xml:space="preserve"> </w:t>
      </w:r>
      <w:r w:rsidR="002D4B3E" w:rsidRPr="002D4B3E">
        <w:rPr>
          <w:rFonts w:asciiTheme="majorBidi" w:hAnsiTheme="majorBidi" w:cstheme="majorBidi"/>
          <w:i/>
          <w:iCs/>
          <w:sz w:val="24"/>
          <w:szCs w:val="24"/>
        </w:rPr>
        <w:t>Réunion</w:t>
      </w:r>
      <w:r w:rsidRPr="00161321">
        <w:rPr>
          <w:rFonts w:asciiTheme="majorBidi" w:hAnsiTheme="majorBidi" w:cstheme="majorBidi"/>
          <w:sz w:val="24"/>
          <w:szCs w:val="24"/>
        </w:rPr>
        <w:t>, 130p.</w:t>
      </w:r>
    </w:p>
    <w:p w:rsidR="0027551F" w:rsidRPr="0027551F" w:rsidRDefault="0027551F" w:rsidP="00AE6E2D">
      <w:pPr>
        <w:autoSpaceDE w:val="0"/>
        <w:autoSpaceDN w:val="0"/>
        <w:adjustRightInd w:val="0"/>
        <w:spacing w:line="240" w:lineRule="auto"/>
        <w:jc w:val="both"/>
        <w:rPr>
          <w:rFonts w:asciiTheme="majorBidi" w:hAnsiTheme="majorBidi" w:cstheme="majorBidi"/>
          <w:sz w:val="44"/>
          <w:szCs w:val="44"/>
          <w:rtl/>
          <w:lang w:val="en-US"/>
        </w:rPr>
      </w:pPr>
      <w:r w:rsidRPr="00F77863">
        <w:rPr>
          <w:rFonts w:ascii="Times New Roman" w:eastAsia="Times New Roman" w:hAnsi="Times New Roman" w:cs="Times New Roman"/>
          <w:b/>
          <w:bCs/>
          <w:color w:val="000000"/>
          <w:sz w:val="24"/>
          <w:szCs w:val="24"/>
          <w:lang w:val="en-US" w:eastAsia="fr-FR"/>
        </w:rPr>
        <w:t>Lanfranchi</w:t>
      </w:r>
      <w:r w:rsidRPr="0027551F">
        <w:rPr>
          <w:rFonts w:asciiTheme="majorBidi" w:hAnsiTheme="majorBidi" w:cstheme="majorBidi"/>
          <w:b/>
          <w:bCs/>
          <w:sz w:val="24"/>
          <w:szCs w:val="24"/>
          <w:lang w:val="en-US"/>
        </w:rPr>
        <w:t>, V., Wrigley, S., Ireson, N., Ciravegna, F. and Wehn, U., (2014):</w:t>
      </w:r>
      <w:r w:rsidRPr="0027551F">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27551F">
        <w:rPr>
          <w:rFonts w:asciiTheme="majorBidi" w:hAnsiTheme="majorBidi" w:cstheme="majorBidi"/>
          <w:sz w:val="24"/>
          <w:szCs w:val="24"/>
          <w:lang w:val="en-US"/>
        </w:rPr>
        <w:t>Citizens’ observatories for situation awareness in flooding</w:t>
      </w:r>
      <w:r>
        <w:rPr>
          <w:rFonts w:asciiTheme="majorBidi" w:hAnsiTheme="majorBidi" w:cstheme="majorBidi"/>
          <w:sz w:val="24"/>
          <w:szCs w:val="24"/>
          <w:lang w:val="en-US"/>
        </w:rPr>
        <w:t>”,</w:t>
      </w:r>
      <w:r w:rsidRPr="0027551F">
        <w:rPr>
          <w:rFonts w:asciiTheme="majorBidi" w:hAnsiTheme="majorBidi" w:cstheme="majorBidi"/>
          <w:sz w:val="24"/>
          <w:szCs w:val="24"/>
          <w:lang w:val="en-US"/>
        </w:rPr>
        <w:t xml:space="preserve"> Proceedings of the 11th International ISCRAM Conference (Information Systems for Crisis and Response Management)978-0-692-21194-6.</w:t>
      </w:r>
    </w:p>
    <w:p w:rsidR="00E724B9" w:rsidRPr="00092361" w:rsidRDefault="00B62F86" w:rsidP="00AE6E2D">
      <w:pPr>
        <w:autoSpaceDE w:val="0"/>
        <w:autoSpaceDN w:val="0"/>
        <w:adjustRightInd w:val="0"/>
        <w:spacing w:after="0" w:line="240" w:lineRule="auto"/>
        <w:rPr>
          <w:rFonts w:ascii="Algerian" w:hAnsi="Algerian" w:cs="Simplified Arabic"/>
          <w:b/>
          <w:bCs/>
          <w:sz w:val="32"/>
          <w:szCs w:val="32"/>
          <w:u w:val="single"/>
          <w:lang w:bidi="ar-DZ"/>
        </w:rPr>
      </w:pPr>
      <w:hyperlink r:id="rId386" w:tgtFrame="_blank" w:history="1">
        <w:r w:rsidR="00E724B9" w:rsidRPr="00F77863">
          <w:rPr>
            <w:rFonts w:asciiTheme="majorBidi" w:hAnsiTheme="majorBidi" w:cstheme="majorBidi"/>
            <w:b/>
            <w:bCs/>
            <w:sz w:val="24"/>
            <w:szCs w:val="24"/>
            <w:lang w:val="en-US"/>
          </w:rPr>
          <w:t>Leobons</w:t>
        </w:r>
        <w:r w:rsidR="00E724B9" w:rsidRPr="00161321">
          <w:rPr>
            <w:rFonts w:ascii="Times New Roman" w:eastAsia="Times New Roman" w:hAnsi="Times New Roman" w:cs="Times New Roman"/>
            <w:b/>
            <w:bCs/>
            <w:color w:val="000000"/>
            <w:sz w:val="24"/>
            <w:szCs w:val="24"/>
            <w:lang w:val="en-US" w:eastAsia="fr-FR"/>
          </w:rPr>
          <w:t xml:space="preserve">, C. M., Campos, V. B. G. &amp; Mello Bandeira, R. A., (2019): </w:t>
        </w:r>
        <w:r w:rsidR="00E724B9" w:rsidRPr="00161321">
          <w:rPr>
            <w:rFonts w:ascii="Times New Roman" w:eastAsia="Times New Roman" w:hAnsi="Times New Roman" w:cs="Times New Roman"/>
            <w:color w:val="000000"/>
            <w:sz w:val="24"/>
            <w:szCs w:val="24"/>
            <w:lang w:val="en-US" w:eastAsia="fr-FR"/>
          </w:rPr>
          <w:t xml:space="preserve">"Assessing urban transportation systems resilience: a proposal of indicators", </w:t>
        </w:r>
        <w:r w:rsidR="00E724B9" w:rsidRPr="00161321">
          <w:rPr>
            <w:rFonts w:ascii="Times New Roman" w:eastAsia="Times New Roman" w:hAnsi="Times New Roman" w:cs="Times New Roman"/>
            <w:i/>
            <w:iCs/>
            <w:color w:val="000000"/>
            <w:sz w:val="24"/>
            <w:szCs w:val="24"/>
            <w:lang w:val="en-US" w:eastAsia="fr-FR"/>
          </w:rPr>
          <w:t>Transportation research procedia</w:t>
        </w:r>
        <w:r w:rsidR="00E724B9" w:rsidRPr="00161321">
          <w:rPr>
            <w:rFonts w:ascii="Times New Roman" w:eastAsia="Times New Roman" w:hAnsi="Times New Roman" w:cs="Times New Roman"/>
            <w:color w:val="000000"/>
            <w:sz w:val="24"/>
            <w:szCs w:val="24"/>
            <w:lang w:val="en-US" w:eastAsia="fr-FR"/>
          </w:rPr>
          <w:t>, vol. 37, p</w:t>
        </w:r>
        <w:r w:rsidR="00B26A4B">
          <w:rPr>
            <w:rFonts w:ascii="Times New Roman" w:eastAsia="Times New Roman" w:hAnsi="Times New Roman" w:cs="Times New Roman"/>
            <w:color w:val="000000"/>
            <w:sz w:val="24"/>
            <w:szCs w:val="24"/>
            <w:lang w:val="en-US" w:eastAsia="fr-FR"/>
          </w:rPr>
          <w:t>p</w:t>
        </w:r>
        <w:r w:rsidR="00E724B9" w:rsidRPr="00161321">
          <w:rPr>
            <w:rFonts w:ascii="Times New Roman" w:eastAsia="Times New Roman" w:hAnsi="Times New Roman" w:cs="Times New Roman"/>
            <w:color w:val="000000"/>
            <w:sz w:val="24"/>
            <w:szCs w:val="24"/>
            <w:lang w:val="en-US" w:eastAsia="fr-FR"/>
          </w:rPr>
          <w:t xml:space="preserve">. 322-329. </w:t>
        </w:r>
        <w:r w:rsidR="00E724B9" w:rsidRPr="002E6486">
          <w:rPr>
            <w:rFonts w:ascii="Times New Roman" w:eastAsia="Times New Roman" w:hAnsi="Times New Roman" w:cs="Times New Roman"/>
            <w:color w:val="000000"/>
            <w:sz w:val="24"/>
            <w:szCs w:val="24"/>
            <w:lang w:eastAsia="fr-FR"/>
          </w:rPr>
          <w:t>DOI:10.1016/j.trpro.2018.12.199</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heme="majorBidi" w:hAnsiTheme="majorBidi" w:cstheme="majorBidi"/>
          <w:b/>
          <w:bCs/>
          <w:sz w:val="24"/>
          <w:szCs w:val="24"/>
        </w:rPr>
        <w:t>Lhomme, S., (2012):</w:t>
      </w:r>
      <w:r w:rsidRPr="00C12A34">
        <w:rPr>
          <w:rFonts w:ascii="Times New Roman" w:eastAsia="Times New Roman" w:hAnsi="Times New Roman" w:cs="Times New Roman"/>
          <w:color w:val="000000"/>
          <w:sz w:val="24"/>
          <w:szCs w:val="24"/>
          <w:lang w:eastAsia="fr-FR"/>
        </w:rPr>
        <w:t xml:space="preserve"> "Les réseaux techniques comme vecteur de propagation des risques en milieu urbain. Une contribution théorique et pratique à l’analyse de la résilience urbaine", Thèse de doctorat, </w:t>
      </w:r>
      <w:r w:rsidRPr="002E6486">
        <w:rPr>
          <w:rFonts w:ascii="Times New Roman" w:eastAsia="Times New Roman" w:hAnsi="Times New Roman" w:cs="Times New Roman"/>
          <w:i/>
          <w:iCs/>
          <w:color w:val="000000"/>
          <w:sz w:val="24"/>
          <w:szCs w:val="24"/>
          <w:lang w:eastAsia="fr-FR"/>
        </w:rPr>
        <w:t>Université Paris- Diderot</w:t>
      </w:r>
      <w:r w:rsidRPr="00C12A34">
        <w:rPr>
          <w:rFonts w:ascii="Times New Roman" w:eastAsia="Times New Roman" w:hAnsi="Times New Roman" w:cs="Times New Roman"/>
          <w:color w:val="000000"/>
          <w:sz w:val="24"/>
          <w:szCs w:val="24"/>
          <w:lang w:eastAsia="fr-FR"/>
        </w:rPr>
        <w:t>, paris, 365p.</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hyperlink r:id="rId387" w:history="1">
        <w:r w:rsidR="00E724B9" w:rsidRPr="002E648F">
          <w:rPr>
            <w:rFonts w:asciiTheme="majorBidi" w:hAnsiTheme="majorBidi" w:cstheme="majorBidi"/>
            <w:b/>
            <w:bCs/>
            <w:sz w:val="24"/>
            <w:szCs w:val="24"/>
          </w:rPr>
          <w:t>Lhomme, S., Laganier R., D</w:t>
        </w:r>
        <w:r w:rsidR="00E724B9" w:rsidRPr="00515DA1">
          <w:rPr>
            <w:rFonts w:ascii="Times New Roman" w:eastAsia="Times New Roman" w:hAnsi="Times New Roman" w:cs="Times New Roman"/>
            <w:b/>
            <w:bCs/>
            <w:color w:val="000000"/>
            <w:sz w:val="24"/>
            <w:szCs w:val="24"/>
            <w:lang w:eastAsia="fr-FR"/>
          </w:rPr>
          <w:t>iab Y., et Serre D.,(2013)</w:t>
        </w:r>
        <w:r w:rsidR="00515DA1" w:rsidRPr="00515DA1">
          <w:rPr>
            <w:rFonts w:ascii="Times New Roman" w:eastAsia="Times New Roman" w:hAnsi="Times New Roman" w:cs="Times New Roman"/>
            <w:b/>
            <w:bCs/>
            <w:color w:val="000000"/>
            <w:sz w:val="24"/>
            <w:szCs w:val="24"/>
            <w:lang w:eastAsia="fr-FR"/>
          </w:rPr>
          <w:t>:</w:t>
        </w:r>
        <w:r w:rsidR="00E724B9" w:rsidRPr="00C12A34">
          <w:rPr>
            <w:rFonts w:ascii="Times New Roman" w:eastAsia="Times New Roman" w:hAnsi="Times New Roman" w:cs="Times New Roman"/>
            <w:color w:val="000000"/>
            <w:sz w:val="24"/>
            <w:szCs w:val="24"/>
            <w:lang w:eastAsia="fr-FR"/>
          </w:rPr>
          <w:t xml:space="preserve"> " Un prototype SIG pour analyser la résilience urbaine : application a la ville de Dublin ". </w:t>
        </w:r>
        <w:r w:rsidR="00E724B9" w:rsidRPr="00515DA1">
          <w:rPr>
            <w:rFonts w:ascii="Times New Roman" w:eastAsia="Times New Roman" w:hAnsi="Times New Roman" w:cs="Times New Roman"/>
            <w:i/>
            <w:iCs/>
            <w:color w:val="000000"/>
            <w:sz w:val="24"/>
            <w:szCs w:val="24"/>
            <w:lang w:eastAsia="fr-FR"/>
          </w:rPr>
          <w:t>VertigO - la revue électronique en sciences de l’environnement</w:t>
        </w:r>
        <w:r w:rsidR="00E724B9" w:rsidRPr="00C12A34">
          <w:rPr>
            <w:rFonts w:ascii="Times New Roman" w:eastAsia="Times New Roman" w:hAnsi="Times New Roman" w:cs="Times New Roman"/>
            <w:color w:val="000000"/>
            <w:sz w:val="24"/>
            <w:szCs w:val="24"/>
            <w:lang w:eastAsia="fr-FR"/>
          </w:rPr>
          <w:t xml:space="preserve">, </w:t>
        </w:r>
        <w:r w:rsidR="00515DA1">
          <w:rPr>
            <w:rFonts w:ascii="Times New Roman" w:eastAsia="Times New Roman" w:hAnsi="Times New Roman" w:cs="Times New Roman"/>
            <w:color w:val="000000"/>
            <w:sz w:val="24"/>
            <w:szCs w:val="24"/>
            <w:lang w:eastAsia="fr-FR"/>
          </w:rPr>
          <w:t>v</w:t>
        </w:r>
        <w:r w:rsidR="00E724B9" w:rsidRPr="00C12A34">
          <w:rPr>
            <w:rFonts w:ascii="Times New Roman" w:eastAsia="Times New Roman" w:hAnsi="Times New Roman" w:cs="Times New Roman"/>
            <w:color w:val="000000"/>
            <w:sz w:val="24"/>
            <w:szCs w:val="24"/>
            <w:lang w:eastAsia="fr-FR"/>
          </w:rPr>
          <w:t>ol</w:t>
        </w:r>
        <w:r w:rsidR="00515DA1">
          <w:rPr>
            <w:rFonts w:ascii="Times New Roman" w:eastAsia="Times New Roman" w:hAnsi="Times New Roman" w:cs="Times New Roman"/>
            <w:color w:val="000000"/>
            <w:sz w:val="24"/>
            <w:szCs w:val="24"/>
            <w:lang w:eastAsia="fr-FR"/>
          </w:rPr>
          <w:t>.</w:t>
        </w:r>
        <w:r w:rsidR="00E724B9" w:rsidRPr="00C12A34">
          <w:rPr>
            <w:rFonts w:ascii="Times New Roman" w:eastAsia="Times New Roman" w:hAnsi="Times New Roman" w:cs="Times New Roman"/>
            <w:color w:val="000000"/>
            <w:sz w:val="24"/>
            <w:szCs w:val="24"/>
            <w:lang w:eastAsia="fr-FR"/>
          </w:rPr>
          <w:t xml:space="preserve"> 13</w:t>
        </w:r>
        <w:r w:rsidR="00515DA1">
          <w:rPr>
            <w:rFonts w:ascii="Times New Roman" w:eastAsia="Times New Roman" w:hAnsi="Times New Roman" w:cs="Times New Roman"/>
            <w:color w:val="000000"/>
            <w:sz w:val="24"/>
            <w:szCs w:val="24"/>
            <w:lang w:eastAsia="fr-FR"/>
          </w:rPr>
          <w:t>, n°</w:t>
        </w:r>
        <w:r w:rsidR="00E724B9" w:rsidRPr="00C12A34">
          <w:rPr>
            <w:rFonts w:ascii="Times New Roman" w:eastAsia="Times New Roman" w:hAnsi="Times New Roman" w:cs="Times New Roman"/>
            <w:color w:val="000000"/>
            <w:sz w:val="24"/>
            <w:szCs w:val="24"/>
            <w:lang w:eastAsia="fr-FR"/>
          </w:rPr>
          <w:t xml:space="preserve"> 3 . https://doi.org/10.4000/vertigo.14502.</w:t>
        </w:r>
      </w:hyperlink>
    </w:p>
    <w:p w:rsidR="00E724B9" w:rsidRDefault="00B62F86" w:rsidP="00AE6E2D">
      <w:pPr>
        <w:autoSpaceDE w:val="0"/>
        <w:autoSpaceDN w:val="0"/>
        <w:adjustRightInd w:val="0"/>
        <w:spacing w:line="240" w:lineRule="auto"/>
        <w:rPr>
          <w:rFonts w:ascii="Times New Roman" w:eastAsia="Times New Roman" w:hAnsi="Times New Roman" w:cs="Times New Roman"/>
          <w:color w:val="000000"/>
          <w:sz w:val="24"/>
          <w:szCs w:val="24"/>
          <w:rtl/>
          <w:lang w:val="en-US" w:eastAsia="fr-FR"/>
        </w:rPr>
      </w:pPr>
      <w:hyperlink r:id="rId388" w:history="1">
        <w:r w:rsidR="00E724B9" w:rsidRPr="00F77863">
          <w:rPr>
            <w:rFonts w:asciiTheme="majorBidi" w:hAnsiTheme="majorBidi" w:cstheme="majorBidi"/>
            <w:b/>
            <w:bCs/>
            <w:sz w:val="24"/>
            <w:szCs w:val="24"/>
            <w:lang w:val="en-US"/>
          </w:rPr>
          <w:t>Lhomme, S., Serre, D., Dia</w:t>
        </w:r>
        <w:r w:rsidR="00E724B9" w:rsidRPr="002E6486">
          <w:rPr>
            <w:rFonts w:ascii="Times New Roman" w:eastAsia="Times New Roman" w:hAnsi="Times New Roman" w:cs="Times New Roman"/>
            <w:b/>
            <w:bCs/>
            <w:color w:val="000000"/>
            <w:sz w:val="24"/>
            <w:szCs w:val="24"/>
            <w:lang w:val="en-US" w:eastAsia="fr-FR"/>
          </w:rPr>
          <w:t>b, Y., Laganier, R.,</w:t>
        </w:r>
        <w:r w:rsidR="002E6486" w:rsidRPr="002E6486">
          <w:rPr>
            <w:rFonts w:ascii="Times New Roman" w:eastAsia="Times New Roman" w:hAnsi="Times New Roman" w:cs="Times New Roman"/>
            <w:b/>
            <w:bCs/>
            <w:color w:val="000000"/>
            <w:sz w:val="24"/>
            <w:szCs w:val="24"/>
            <w:lang w:val="en-US" w:eastAsia="fr-FR"/>
          </w:rPr>
          <w:t>(</w:t>
        </w:r>
        <w:r w:rsidR="00E724B9" w:rsidRPr="002E6486">
          <w:rPr>
            <w:rFonts w:ascii="Times New Roman" w:eastAsia="Times New Roman" w:hAnsi="Times New Roman" w:cs="Times New Roman"/>
            <w:b/>
            <w:bCs/>
            <w:color w:val="000000"/>
            <w:sz w:val="24"/>
            <w:szCs w:val="24"/>
            <w:lang w:val="en-US" w:eastAsia="fr-FR"/>
          </w:rPr>
          <w:t xml:space="preserve"> 2010</w:t>
        </w:r>
        <w:r w:rsidR="002E6486" w:rsidRPr="002E6486">
          <w:rPr>
            <w:rFonts w:ascii="Times New Roman" w:eastAsia="Times New Roman" w:hAnsi="Times New Roman" w:cs="Times New Roman"/>
            <w:b/>
            <w:bCs/>
            <w:color w:val="000000"/>
            <w:sz w:val="24"/>
            <w:szCs w:val="24"/>
            <w:lang w:val="en-US" w:eastAsia="fr-FR"/>
          </w:rPr>
          <w:t>) :</w:t>
        </w:r>
        <w:r w:rsidR="00E724B9" w:rsidRPr="002E6486">
          <w:rPr>
            <w:rFonts w:ascii="Times New Roman" w:eastAsia="Times New Roman" w:hAnsi="Times New Roman" w:cs="Times New Roman"/>
            <w:color w:val="000000"/>
            <w:sz w:val="24"/>
            <w:szCs w:val="24"/>
            <w:lang w:val="en-US" w:eastAsia="fr-FR"/>
          </w:rPr>
          <w:t xml:space="preserve"> </w:t>
        </w:r>
        <w:r w:rsidR="002E6486" w:rsidRPr="002E6486">
          <w:rPr>
            <w:rFonts w:ascii="Times New Roman" w:eastAsia="Times New Roman" w:hAnsi="Times New Roman" w:cs="Times New Roman"/>
            <w:color w:val="000000"/>
            <w:sz w:val="24"/>
            <w:szCs w:val="24"/>
            <w:lang w:val="en-US" w:eastAsia="fr-FR"/>
          </w:rPr>
          <w:t>"</w:t>
        </w:r>
        <w:r w:rsidR="00E724B9" w:rsidRPr="00C12A34">
          <w:rPr>
            <w:rFonts w:ascii="Times New Roman" w:eastAsia="Times New Roman" w:hAnsi="Times New Roman" w:cs="Times New Roman"/>
            <w:color w:val="000000"/>
            <w:sz w:val="24"/>
            <w:szCs w:val="24"/>
            <w:lang w:val="en-US" w:eastAsia="fr-FR"/>
          </w:rPr>
          <w:t>GIS development for urban flood resilience</w:t>
        </w:r>
        <w:r w:rsidR="002E6486">
          <w:rPr>
            <w:rFonts w:ascii="Times New Roman" w:eastAsia="Times New Roman" w:hAnsi="Times New Roman" w:cs="Times New Roman"/>
            <w:color w:val="000000"/>
            <w:sz w:val="24"/>
            <w:szCs w:val="24"/>
            <w:lang w:val="en-US" w:eastAsia="fr-FR"/>
          </w:rPr>
          <w:t>”</w:t>
        </w:r>
        <w:r w:rsidR="006C1DE7">
          <w:rPr>
            <w:rFonts w:ascii="Times New Roman" w:eastAsia="Times New Roman" w:hAnsi="Times New Roman" w:cs="Times New Roman"/>
            <w:color w:val="000000"/>
            <w:sz w:val="24"/>
            <w:szCs w:val="24"/>
            <w:lang w:val="en-US" w:eastAsia="fr-FR"/>
          </w:rPr>
          <w:t>,</w:t>
        </w:r>
        <w:r w:rsidR="00E724B9" w:rsidRPr="00C12A34">
          <w:rPr>
            <w:rFonts w:ascii="Times New Roman" w:eastAsia="Times New Roman" w:hAnsi="Times New Roman" w:cs="Times New Roman"/>
            <w:color w:val="000000"/>
            <w:sz w:val="24"/>
            <w:szCs w:val="24"/>
            <w:lang w:val="en-US" w:eastAsia="fr-FR"/>
          </w:rPr>
          <w:t xml:space="preserve"> </w:t>
        </w:r>
        <w:r w:rsidR="00191967">
          <w:rPr>
            <w:rFonts w:ascii="Times New Roman" w:eastAsia="Times New Roman" w:hAnsi="Times New Roman" w:cs="Times New Roman"/>
            <w:color w:val="000000"/>
            <w:sz w:val="24"/>
            <w:szCs w:val="24"/>
            <w:lang w:val="en-US" w:eastAsia="fr-FR"/>
          </w:rPr>
          <w:t>p</w:t>
        </w:r>
        <w:r w:rsidR="00E724B9" w:rsidRPr="00C12A34">
          <w:rPr>
            <w:rFonts w:ascii="Times New Roman" w:eastAsia="Times New Roman" w:hAnsi="Times New Roman" w:cs="Times New Roman"/>
            <w:color w:val="000000"/>
            <w:sz w:val="24"/>
            <w:szCs w:val="24"/>
            <w:lang w:val="en-US" w:eastAsia="fr-FR"/>
          </w:rPr>
          <w:t>p. 661–671. https://doi.org/10.2495/SC100561.</w:t>
        </w:r>
      </w:hyperlink>
    </w:p>
    <w:p w:rsidR="00FD5475" w:rsidRPr="00FD5475" w:rsidRDefault="00FD5475" w:rsidP="00AE6E2D">
      <w:pPr>
        <w:autoSpaceDE w:val="0"/>
        <w:autoSpaceDN w:val="0"/>
        <w:adjustRightInd w:val="0"/>
        <w:spacing w:after="0" w:line="240" w:lineRule="auto"/>
        <w:rPr>
          <w:rFonts w:asciiTheme="majorBidi" w:eastAsia="Times New Roman" w:hAnsiTheme="majorBidi" w:cstheme="majorBidi"/>
          <w:color w:val="000000"/>
          <w:sz w:val="36"/>
          <w:szCs w:val="36"/>
          <w:lang w:val="en-US" w:eastAsia="fr-FR"/>
        </w:rPr>
      </w:pPr>
      <w:r w:rsidRPr="00F77863">
        <w:rPr>
          <w:rFonts w:asciiTheme="majorBidi" w:hAnsiTheme="majorBidi" w:cstheme="majorBidi"/>
          <w:b/>
          <w:bCs/>
          <w:sz w:val="24"/>
          <w:szCs w:val="24"/>
          <w:lang w:val="en-US"/>
        </w:rPr>
        <w:t>Li</w:t>
      </w:r>
      <w:r w:rsidRPr="0073553A">
        <w:rPr>
          <w:rFonts w:asciiTheme="majorBidi" w:hAnsiTheme="majorBidi" w:cstheme="majorBidi"/>
          <w:b/>
          <w:bCs/>
          <w:sz w:val="24"/>
          <w:szCs w:val="24"/>
          <w:lang w:val="en-US"/>
        </w:rPr>
        <w:t>, R., Richmond, P. and Roehner, B.M</w:t>
      </w:r>
      <w:r w:rsidR="0073553A">
        <w:rPr>
          <w:rFonts w:asciiTheme="majorBidi" w:hAnsiTheme="majorBidi" w:cstheme="majorBidi"/>
          <w:b/>
          <w:bCs/>
          <w:sz w:val="24"/>
          <w:szCs w:val="24"/>
          <w:lang w:val="en-US"/>
        </w:rPr>
        <w:t>.,</w:t>
      </w:r>
      <w:r w:rsidRPr="0073553A">
        <w:rPr>
          <w:rFonts w:asciiTheme="majorBidi" w:hAnsiTheme="majorBidi" w:cstheme="majorBidi"/>
          <w:b/>
          <w:bCs/>
          <w:sz w:val="24"/>
          <w:szCs w:val="24"/>
          <w:lang w:val="en-US"/>
        </w:rPr>
        <w:t xml:space="preserve"> (2018):</w:t>
      </w:r>
      <w:r w:rsidRPr="00FD5475">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FD5475">
        <w:rPr>
          <w:rFonts w:asciiTheme="majorBidi" w:hAnsiTheme="majorBidi" w:cstheme="majorBidi"/>
          <w:sz w:val="24"/>
          <w:szCs w:val="24"/>
          <w:lang w:val="en-US"/>
        </w:rPr>
        <w:t>Effect of population density on epidemics. A: Statistical Mechanics and its Applications</w:t>
      </w:r>
      <w:r>
        <w:rPr>
          <w:rFonts w:asciiTheme="majorBidi" w:hAnsiTheme="majorBidi" w:cstheme="majorBidi"/>
          <w:sz w:val="24"/>
          <w:szCs w:val="24"/>
          <w:lang w:val="en-US"/>
        </w:rPr>
        <w:t xml:space="preserve">”, </w:t>
      </w:r>
      <w:r w:rsidRPr="00FD5475">
        <w:rPr>
          <w:rFonts w:asciiTheme="majorBidi" w:hAnsiTheme="majorBidi" w:cstheme="majorBidi"/>
          <w:i/>
          <w:iCs/>
          <w:sz w:val="24"/>
          <w:szCs w:val="24"/>
          <w:lang w:val="en-US"/>
        </w:rPr>
        <w:t>Physica</w:t>
      </w:r>
      <w:r w:rsidRPr="00FD5475">
        <w:rPr>
          <w:rFonts w:asciiTheme="majorBidi" w:hAnsiTheme="majorBidi" w:cstheme="majorBidi"/>
          <w:sz w:val="24"/>
          <w:szCs w:val="24"/>
          <w:lang w:val="en-US"/>
        </w:rPr>
        <w:t>,</w:t>
      </w:r>
      <w:r w:rsidR="0073553A">
        <w:rPr>
          <w:rFonts w:asciiTheme="majorBidi" w:hAnsiTheme="majorBidi" w:cstheme="majorBidi"/>
          <w:sz w:val="24"/>
          <w:szCs w:val="24"/>
          <w:lang w:val="en-US"/>
        </w:rPr>
        <w:t xml:space="preserve"> vol.</w:t>
      </w:r>
      <w:r w:rsidRPr="00FD5475">
        <w:rPr>
          <w:rFonts w:asciiTheme="majorBidi" w:hAnsiTheme="majorBidi" w:cstheme="majorBidi"/>
          <w:sz w:val="24"/>
          <w:szCs w:val="24"/>
          <w:lang w:val="en-US"/>
        </w:rPr>
        <w:t xml:space="preserve"> 510, </w:t>
      </w:r>
      <w:r w:rsidR="0073553A">
        <w:rPr>
          <w:rFonts w:asciiTheme="majorBidi" w:hAnsiTheme="majorBidi" w:cstheme="majorBidi"/>
          <w:sz w:val="24"/>
          <w:szCs w:val="24"/>
          <w:lang w:val="en-US"/>
        </w:rPr>
        <w:t xml:space="preserve">pp. </w:t>
      </w:r>
      <w:r w:rsidRPr="00FD5475">
        <w:rPr>
          <w:rFonts w:asciiTheme="majorBidi" w:hAnsiTheme="majorBidi" w:cstheme="majorBidi"/>
          <w:sz w:val="24"/>
          <w:szCs w:val="24"/>
          <w:lang w:val="en-US"/>
        </w:rPr>
        <w:t>713–724.</w:t>
      </w:r>
    </w:p>
    <w:p w:rsidR="00E724B9" w:rsidRDefault="00E724B9" w:rsidP="00B26A4B">
      <w:pPr>
        <w:autoSpaceDE w:val="0"/>
        <w:autoSpaceDN w:val="0"/>
        <w:adjustRightInd w:val="0"/>
        <w:spacing w:before="240" w:line="240" w:lineRule="auto"/>
        <w:rPr>
          <w:rFonts w:ascii="Times New Roman" w:eastAsia="Times New Roman" w:hAnsi="Times New Roman" w:cs="Times New Roman"/>
          <w:color w:val="000000"/>
          <w:sz w:val="24"/>
          <w:szCs w:val="24"/>
          <w:lang w:val="en-US" w:eastAsia="fr-FR"/>
        </w:rPr>
      </w:pPr>
      <w:r w:rsidRPr="00F77863">
        <w:rPr>
          <w:rFonts w:asciiTheme="majorBidi" w:hAnsiTheme="majorBidi" w:cstheme="majorBidi"/>
          <w:b/>
          <w:bCs/>
          <w:sz w:val="24"/>
          <w:szCs w:val="24"/>
          <w:lang w:val="en-US"/>
        </w:rPr>
        <w:t>Liu</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xml:space="preserve"> Y</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Lv</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xml:space="preserve"> X</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Qin</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xml:space="preserve"> X</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Guo</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xml:space="preserve"> H</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Yu</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xml:space="preserve"> Y</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Wang</w:t>
      </w:r>
      <w:r w:rsidR="000C7020" w:rsidRPr="00F77863">
        <w:rPr>
          <w:rFonts w:asciiTheme="majorBidi" w:hAnsiTheme="majorBidi" w:cstheme="majorBidi"/>
          <w:b/>
          <w:bCs/>
          <w:sz w:val="24"/>
          <w:szCs w:val="24"/>
          <w:lang w:val="en-US"/>
        </w:rPr>
        <w:t>,</w:t>
      </w:r>
      <w:r w:rsidRPr="002E6486">
        <w:rPr>
          <w:rFonts w:ascii="Times New Roman" w:eastAsia="Times New Roman" w:hAnsi="Times New Roman" w:cs="Times New Roman"/>
          <w:b/>
          <w:bCs/>
          <w:color w:val="000000"/>
          <w:sz w:val="24"/>
          <w:szCs w:val="24"/>
          <w:lang w:val="en-US" w:eastAsia="fr-FR"/>
        </w:rPr>
        <w:t xml:space="preserve"> J</w:t>
      </w:r>
      <w:r w:rsidR="000C7020">
        <w:rPr>
          <w:rFonts w:ascii="Times New Roman" w:eastAsia="Times New Roman" w:hAnsi="Times New Roman" w:cs="Times New Roman"/>
          <w:b/>
          <w:bCs/>
          <w:color w:val="000000"/>
          <w:sz w:val="24"/>
          <w:szCs w:val="24"/>
          <w:lang w:val="en-US" w:eastAsia="fr-FR"/>
        </w:rPr>
        <w:t>. &amp;</w:t>
      </w:r>
      <w:r w:rsidRPr="002E6486">
        <w:rPr>
          <w:rFonts w:ascii="Times New Roman" w:eastAsia="Times New Roman" w:hAnsi="Times New Roman" w:cs="Times New Roman"/>
          <w:b/>
          <w:bCs/>
          <w:color w:val="000000"/>
          <w:sz w:val="24"/>
          <w:szCs w:val="24"/>
          <w:lang w:val="en-US" w:eastAsia="fr-FR"/>
        </w:rPr>
        <w:t xml:space="preserve"> Mao</w:t>
      </w:r>
      <w:r w:rsidR="000C7020">
        <w:rPr>
          <w:rFonts w:ascii="Times New Roman" w:eastAsia="Times New Roman" w:hAnsi="Times New Roman" w:cs="Times New Roman"/>
          <w:b/>
          <w:bCs/>
          <w:color w:val="000000"/>
          <w:sz w:val="24"/>
          <w:szCs w:val="24"/>
          <w:lang w:val="en-US" w:eastAsia="fr-FR"/>
        </w:rPr>
        <w:t>,</w:t>
      </w:r>
      <w:r w:rsidRPr="002E6486">
        <w:rPr>
          <w:rFonts w:ascii="Times New Roman" w:eastAsia="Times New Roman" w:hAnsi="Times New Roman" w:cs="Times New Roman"/>
          <w:b/>
          <w:bCs/>
          <w:color w:val="000000"/>
          <w:sz w:val="24"/>
          <w:szCs w:val="24"/>
          <w:lang w:val="en-US" w:eastAsia="fr-FR"/>
        </w:rPr>
        <w:t xml:space="preserve"> G</w:t>
      </w:r>
      <w:r w:rsidR="000C7020">
        <w:rPr>
          <w:rFonts w:ascii="Times New Roman" w:eastAsia="Times New Roman" w:hAnsi="Times New Roman" w:cs="Times New Roman"/>
          <w:b/>
          <w:bCs/>
          <w:color w:val="000000"/>
          <w:sz w:val="24"/>
          <w:szCs w:val="24"/>
          <w:lang w:val="en-US" w:eastAsia="fr-FR"/>
        </w:rPr>
        <w:t>.,</w:t>
      </w:r>
      <w:r w:rsidRPr="002E6486">
        <w:rPr>
          <w:rFonts w:ascii="Times New Roman" w:eastAsia="Times New Roman" w:hAnsi="Times New Roman" w:cs="Times New Roman"/>
          <w:b/>
          <w:bCs/>
          <w:color w:val="000000"/>
          <w:sz w:val="24"/>
          <w:szCs w:val="24"/>
          <w:lang w:val="en-US" w:eastAsia="fr-FR"/>
        </w:rPr>
        <w:t xml:space="preserve"> (2007)</w:t>
      </w:r>
      <w:r w:rsidR="002E6486" w:rsidRPr="002E6486">
        <w:rPr>
          <w:rFonts w:ascii="Times New Roman" w:eastAsia="Times New Roman" w:hAnsi="Times New Roman" w:cs="Times New Roman"/>
          <w:b/>
          <w:bCs/>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An integrated GIS-based analysis system for land-use management of lake areas in urban fringe</w:t>
      </w:r>
      <w:r w:rsidR="002E6486">
        <w:rPr>
          <w:rFonts w:ascii="Times New Roman" w:eastAsia="Times New Roman" w:hAnsi="Times New Roman" w:cs="Times New Roman"/>
          <w:color w:val="000000"/>
          <w:sz w:val="24"/>
          <w:szCs w:val="24"/>
          <w:lang w:val="en-US" w:eastAsia="fr-FR"/>
        </w:rPr>
        <w:t xml:space="preserve">”, </w:t>
      </w:r>
      <w:r w:rsidRPr="002E6486">
        <w:rPr>
          <w:rFonts w:ascii="Times New Roman" w:eastAsia="Times New Roman" w:hAnsi="Times New Roman" w:cs="Times New Roman"/>
          <w:i/>
          <w:iCs/>
          <w:color w:val="000000"/>
          <w:sz w:val="24"/>
          <w:szCs w:val="24"/>
          <w:lang w:val="en-US" w:eastAsia="fr-FR"/>
        </w:rPr>
        <w:t>Land Scape Urban Plan</w:t>
      </w:r>
      <w:r w:rsidR="002E6486">
        <w:rPr>
          <w:rFonts w:ascii="Times New Roman" w:eastAsia="Times New Roman" w:hAnsi="Times New Roman" w:cs="Times New Roman"/>
          <w:color w:val="000000"/>
          <w:sz w:val="24"/>
          <w:szCs w:val="24"/>
          <w:lang w:val="en-US" w:eastAsia="fr-FR"/>
        </w:rPr>
        <w:t xml:space="preserve">, vol. </w:t>
      </w:r>
      <w:r w:rsidRPr="00C12A34">
        <w:rPr>
          <w:rFonts w:ascii="Times New Roman" w:eastAsia="Times New Roman" w:hAnsi="Times New Roman" w:cs="Times New Roman"/>
          <w:color w:val="000000"/>
          <w:sz w:val="24"/>
          <w:szCs w:val="24"/>
          <w:lang w:val="en-US" w:eastAsia="fr-FR"/>
        </w:rPr>
        <w:t>82</w:t>
      </w:r>
      <w:r w:rsidR="002E6486">
        <w:rPr>
          <w:rFonts w:ascii="Times New Roman" w:eastAsia="Times New Roman" w:hAnsi="Times New Roman" w:cs="Times New Roman"/>
          <w:color w:val="000000"/>
          <w:sz w:val="24"/>
          <w:szCs w:val="24"/>
          <w:lang w:val="en-US" w:eastAsia="fr-FR"/>
        </w:rPr>
        <w:t xml:space="preserve">, n° </w:t>
      </w:r>
      <w:r w:rsidRPr="00C12A34">
        <w:rPr>
          <w:rFonts w:ascii="Times New Roman" w:eastAsia="Times New Roman" w:hAnsi="Times New Roman" w:cs="Times New Roman"/>
          <w:color w:val="000000"/>
          <w:sz w:val="24"/>
          <w:szCs w:val="24"/>
          <w:lang w:val="en-US" w:eastAsia="fr-FR"/>
        </w:rPr>
        <w:t>4</w:t>
      </w:r>
      <w:r w:rsidR="002E6486">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002E6486">
        <w:rPr>
          <w:rFonts w:ascii="Times New Roman" w:eastAsia="Times New Roman" w:hAnsi="Times New Roman" w:cs="Times New Roman"/>
          <w:color w:val="000000"/>
          <w:sz w:val="24"/>
          <w:szCs w:val="24"/>
          <w:lang w:val="en-US" w:eastAsia="fr-FR"/>
        </w:rPr>
        <w:t xml:space="preserve">. </w:t>
      </w:r>
      <w:r w:rsidRPr="00C12A34">
        <w:rPr>
          <w:rFonts w:ascii="Times New Roman" w:eastAsia="Times New Roman" w:hAnsi="Times New Roman" w:cs="Times New Roman"/>
          <w:color w:val="000000"/>
          <w:sz w:val="24"/>
          <w:szCs w:val="24"/>
          <w:lang w:val="en-US" w:eastAsia="fr-FR"/>
        </w:rPr>
        <w:t>233–246</w:t>
      </w:r>
      <w:r>
        <w:rPr>
          <w:rFonts w:ascii="Times New Roman" w:eastAsia="Times New Roman" w:hAnsi="Times New Roman" w:cs="Times New Roman"/>
          <w:color w:val="000000"/>
          <w:sz w:val="24"/>
          <w:szCs w:val="24"/>
          <w:lang w:val="en-US" w:eastAsia="fr-FR"/>
        </w:rPr>
        <w:t>.</w:t>
      </w:r>
    </w:p>
    <w:p w:rsidR="00E724B9" w:rsidRDefault="00E724B9" w:rsidP="00AE6E2D">
      <w:pPr>
        <w:autoSpaceDE w:val="0"/>
        <w:autoSpaceDN w:val="0"/>
        <w:adjustRightInd w:val="0"/>
        <w:spacing w:line="240" w:lineRule="auto"/>
        <w:rPr>
          <w:rFonts w:ascii="Times New Roman" w:eastAsia="Times New Roman" w:hAnsi="Times New Roman" w:cs="Times New Roman"/>
          <w:color w:val="000000"/>
          <w:sz w:val="24"/>
          <w:szCs w:val="24"/>
          <w:lang w:val="en-US" w:eastAsia="fr-FR"/>
        </w:rPr>
      </w:pPr>
      <w:r w:rsidRPr="00F77863">
        <w:rPr>
          <w:rFonts w:asciiTheme="majorBidi" w:hAnsiTheme="majorBidi" w:cstheme="majorBidi"/>
          <w:b/>
          <w:bCs/>
          <w:sz w:val="24"/>
          <w:szCs w:val="24"/>
          <w:lang w:val="en-US"/>
        </w:rPr>
        <w:t>Liu, Z.; Ma, J.</w:t>
      </w:r>
      <w:r w:rsidR="000C7020" w:rsidRPr="00F77863">
        <w:rPr>
          <w:rFonts w:asciiTheme="majorBidi" w:hAnsiTheme="majorBidi" w:cstheme="majorBidi"/>
          <w:b/>
          <w:bCs/>
          <w:sz w:val="24"/>
          <w:szCs w:val="24"/>
          <w:lang w:val="en-US"/>
        </w:rPr>
        <w:t xml:space="preserve"> &amp;</w:t>
      </w:r>
      <w:r w:rsidRPr="00F77863">
        <w:rPr>
          <w:rFonts w:asciiTheme="majorBidi" w:hAnsiTheme="majorBidi" w:cstheme="majorBidi"/>
          <w:b/>
          <w:bCs/>
          <w:sz w:val="24"/>
          <w:szCs w:val="24"/>
          <w:lang w:val="en-US"/>
        </w:rPr>
        <w:t xml:space="preserve"> Chai, Y.</w:t>
      </w:r>
      <w:r w:rsidR="000C7020" w:rsidRPr="00F77863">
        <w:rPr>
          <w:rFonts w:asciiTheme="majorBidi" w:hAnsiTheme="majorBidi" w:cstheme="majorBidi"/>
          <w:b/>
          <w:bCs/>
          <w:sz w:val="24"/>
          <w:szCs w:val="24"/>
          <w:lang w:val="en-US"/>
        </w:rPr>
        <w:t>,</w:t>
      </w:r>
      <w:r w:rsidRPr="00F77863">
        <w:rPr>
          <w:rFonts w:asciiTheme="majorBidi" w:hAnsiTheme="majorBidi" w:cstheme="majorBidi"/>
          <w:b/>
          <w:bCs/>
          <w:sz w:val="24"/>
          <w:szCs w:val="24"/>
          <w:lang w:val="en-US"/>
        </w:rPr>
        <w:t xml:space="preserve"> </w:t>
      </w:r>
      <w:r w:rsidR="000C7020" w:rsidRPr="00F77863">
        <w:rPr>
          <w:rFonts w:asciiTheme="majorBidi" w:hAnsiTheme="majorBidi" w:cstheme="majorBidi"/>
          <w:b/>
          <w:bCs/>
          <w:sz w:val="24"/>
          <w:szCs w:val="24"/>
          <w:lang w:val="en-US"/>
        </w:rPr>
        <w:t>(2016):</w:t>
      </w:r>
      <w:r w:rsidR="000C7020" w:rsidRPr="000C7020">
        <w:rPr>
          <w:rFonts w:ascii="Times New Roman" w:eastAsia="Times New Roman" w:hAnsi="Times New Roman" w:cs="Times New Roman"/>
          <w:color w:val="000000"/>
          <w:sz w:val="24"/>
          <w:szCs w:val="24"/>
          <w:lang w:val="en-US" w:eastAsia="fr-FR"/>
        </w:rPr>
        <w:t xml:space="preserve"> “</w:t>
      </w:r>
      <w:r w:rsidRPr="000C7020">
        <w:rPr>
          <w:rFonts w:ascii="Times New Roman" w:eastAsia="Times New Roman" w:hAnsi="Times New Roman" w:cs="Times New Roman"/>
          <w:color w:val="000000"/>
          <w:sz w:val="24"/>
          <w:szCs w:val="24"/>
          <w:lang w:val="en-US" w:eastAsia="fr-FR"/>
        </w:rPr>
        <w:t>Neighborhood-scale urban form, travel behavior, and CO2emissions in Beijing: implications for low-carbon urban planning</w:t>
      </w:r>
      <w:r w:rsidR="000C7020" w:rsidRPr="000C7020">
        <w:rPr>
          <w:rFonts w:ascii="Times New Roman" w:eastAsia="Times New Roman" w:hAnsi="Times New Roman" w:cs="Times New Roman"/>
          <w:color w:val="000000"/>
          <w:sz w:val="24"/>
          <w:szCs w:val="24"/>
          <w:lang w:val="en-US" w:eastAsia="fr-FR"/>
        </w:rPr>
        <w:t>”</w:t>
      </w:r>
      <w:r w:rsidRPr="000C7020">
        <w:rPr>
          <w:rFonts w:ascii="Times New Roman" w:eastAsia="Times New Roman" w:hAnsi="Times New Roman" w:cs="Times New Roman"/>
          <w:color w:val="000000"/>
          <w:sz w:val="24"/>
          <w:szCs w:val="24"/>
          <w:lang w:val="en-US" w:eastAsia="fr-FR"/>
        </w:rPr>
        <w:t xml:space="preserve">, </w:t>
      </w:r>
      <w:r w:rsidRPr="000C7020">
        <w:rPr>
          <w:rFonts w:ascii="Times New Roman" w:eastAsia="Times New Roman" w:hAnsi="Times New Roman" w:cs="Times New Roman"/>
          <w:i/>
          <w:iCs/>
          <w:color w:val="000000"/>
          <w:sz w:val="24"/>
          <w:szCs w:val="24"/>
          <w:lang w:val="en-US" w:eastAsia="fr-FR"/>
        </w:rPr>
        <w:t>Urban Geography</w:t>
      </w:r>
      <w:r w:rsidR="000C7020" w:rsidRPr="000C7020">
        <w:rPr>
          <w:rFonts w:ascii="Times New Roman" w:eastAsia="Times New Roman" w:hAnsi="Times New Roman" w:cs="Times New Roman"/>
          <w:color w:val="000000"/>
          <w:sz w:val="24"/>
          <w:szCs w:val="24"/>
          <w:lang w:val="en-US" w:eastAsia="fr-FR"/>
        </w:rPr>
        <w:t xml:space="preserve">, </w:t>
      </w:r>
      <w:r w:rsidR="00191967">
        <w:rPr>
          <w:rFonts w:ascii="Times New Roman" w:eastAsia="Times New Roman" w:hAnsi="Times New Roman" w:cs="Times New Roman"/>
          <w:color w:val="000000"/>
          <w:sz w:val="24"/>
          <w:szCs w:val="24"/>
          <w:lang w:val="en-US" w:eastAsia="fr-FR"/>
        </w:rPr>
        <w:t>p</w:t>
      </w:r>
      <w:r w:rsidR="000C7020" w:rsidRPr="000C7020">
        <w:rPr>
          <w:rFonts w:ascii="Times New Roman" w:eastAsia="Times New Roman" w:hAnsi="Times New Roman" w:cs="Times New Roman"/>
          <w:color w:val="000000"/>
          <w:sz w:val="24"/>
          <w:szCs w:val="24"/>
          <w:lang w:val="en-US" w:eastAsia="fr-FR"/>
        </w:rPr>
        <w:t>p.</w:t>
      </w:r>
      <w:r w:rsidRPr="000C7020">
        <w:rPr>
          <w:rFonts w:ascii="Times New Roman" w:eastAsia="Times New Roman" w:hAnsi="Times New Roman" w:cs="Times New Roman"/>
          <w:color w:val="000000"/>
          <w:sz w:val="24"/>
          <w:szCs w:val="24"/>
          <w:lang w:val="en-US" w:eastAsia="fr-FR"/>
        </w:rPr>
        <w:t xml:space="preserve"> 1-20.</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Lu, Y.</w:t>
      </w:r>
      <w:r w:rsidR="006C1DE7" w:rsidRPr="00F77863">
        <w:rPr>
          <w:rFonts w:ascii="Times New Roman" w:eastAsia="Times New Roman" w:hAnsi="Times New Roman" w:cs="Times New Roman"/>
          <w:b/>
          <w:bCs/>
          <w:color w:val="000000"/>
          <w:sz w:val="24"/>
          <w:szCs w:val="24"/>
          <w:lang w:val="en-US" w:eastAsia="fr-FR"/>
        </w:rPr>
        <w:t>,</w:t>
      </w:r>
      <w:r w:rsidRPr="00F77863">
        <w:rPr>
          <w:rFonts w:ascii="Times New Roman" w:eastAsia="Times New Roman" w:hAnsi="Times New Roman" w:cs="Times New Roman"/>
          <w:b/>
          <w:bCs/>
          <w:color w:val="000000"/>
          <w:sz w:val="24"/>
          <w:szCs w:val="24"/>
          <w:lang w:val="en-US" w:eastAsia="fr-FR"/>
        </w:rPr>
        <w:t xml:space="preserve"> (2020)</w:t>
      </w:r>
      <w:r w:rsidR="006C1DE7" w:rsidRPr="00F77863">
        <w:rPr>
          <w:rFonts w:ascii="Times New Roman" w:eastAsia="Times New Roman" w:hAnsi="Times New Roman" w:cs="Times New Roman"/>
          <w:b/>
          <w:bCs/>
          <w:color w:val="000000"/>
          <w:sz w:val="24"/>
          <w:szCs w:val="24"/>
          <w:lang w:val="en-US" w:eastAsia="fr-FR"/>
        </w:rPr>
        <w:t>:</w:t>
      </w:r>
      <w:r w:rsidRPr="00F77863">
        <w:rPr>
          <w:rFonts w:ascii="Times New Roman" w:eastAsia="Times New Roman" w:hAnsi="Times New Roman" w:cs="Times New Roman"/>
          <w:color w:val="000000"/>
          <w:sz w:val="24"/>
          <w:szCs w:val="24"/>
          <w:lang w:val="en-US" w:eastAsia="fr-FR"/>
        </w:rPr>
        <w:t xml:space="preserve"> Risk reduction</w:t>
      </w:r>
      <w:r w:rsidRPr="00C12A34">
        <w:rPr>
          <w:rFonts w:ascii="Times New Roman" w:eastAsia="Times New Roman" w:hAnsi="Times New Roman" w:cs="Times New Roman"/>
          <w:color w:val="000000"/>
          <w:sz w:val="24"/>
          <w:szCs w:val="24"/>
          <w:lang w:val="en-US" w:eastAsia="fr-FR"/>
        </w:rPr>
        <w:t xml:space="preserve"> through urban spatial resilience: A theoretical framework. Human and Ecological Risk Assessment: </w:t>
      </w:r>
      <w:r w:rsidRPr="006C1DE7">
        <w:rPr>
          <w:rFonts w:ascii="Times New Roman" w:eastAsia="Times New Roman" w:hAnsi="Times New Roman" w:cs="Times New Roman"/>
          <w:i/>
          <w:iCs/>
          <w:color w:val="000000"/>
          <w:sz w:val="24"/>
          <w:szCs w:val="24"/>
          <w:lang w:val="en-US" w:eastAsia="fr-FR"/>
        </w:rPr>
        <w:t>An International Journal</w:t>
      </w:r>
      <w:r w:rsidRPr="00C12A34">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 xml:space="preserve">pp. </w:t>
      </w:r>
      <w:r w:rsidRPr="00C12A34">
        <w:rPr>
          <w:rFonts w:ascii="Times New Roman" w:eastAsia="Times New Roman" w:hAnsi="Times New Roman" w:cs="Times New Roman"/>
          <w:color w:val="000000"/>
          <w:sz w:val="24"/>
          <w:szCs w:val="24"/>
          <w:lang w:val="en-US" w:eastAsia="fr-FR"/>
        </w:rPr>
        <w:t xml:space="preserve">1–17.  </w:t>
      </w:r>
    </w:p>
    <w:p w:rsidR="00E724B9" w:rsidRDefault="00B62F86" w:rsidP="00191967">
      <w:pPr>
        <w:autoSpaceDE w:val="0"/>
        <w:autoSpaceDN w:val="0"/>
        <w:adjustRightInd w:val="0"/>
        <w:spacing w:line="240" w:lineRule="auto"/>
        <w:jc w:val="both"/>
        <w:rPr>
          <w:rFonts w:ascii="Algerian" w:hAnsi="Algerian" w:cs="Simplified Arabic"/>
          <w:b/>
          <w:bCs/>
          <w:sz w:val="32"/>
          <w:szCs w:val="32"/>
          <w:u w:val="single"/>
          <w:lang w:val="en-US" w:bidi="ar-DZ"/>
        </w:rPr>
      </w:pPr>
      <w:hyperlink r:id="rId389" w:history="1">
        <w:r w:rsidR="00E724B9" w:rsidRPr="00C12A34">
          <w:rPr>
            <w:rFonts w:ascii="Times New Roman" w:eastAsia="Times New Roman" w:hAnsi="Times New Roman" w:cs="Times New Roman"/>
            <w:b/>
            <w:bCs/>
            <w:sz w:val="24"/>
            <w:szCs w:val="24"/>
            <w:lang w:val="en-US" w:eastAsia="fr-FR"/>
          </w:rPr>
          <w:t>L</w:t>
        </w:r>
        <w:r w:rsidR="00E724B9" w:rsidRPr="00F77863">
          <w:rPr>
            <w:rFonts w:ascii="Times New Roman" w:eastAsia="Times New Roman" w:hAnsi="Times New Roman" w:cs="Times New Roman"/>
            <w:b/>
            <w:bCs/>
            <w:color w:val="000000"/>
            <w:sz w:val="24"/>
            <w:szCs w:val="24"/>
            <w:lang w:val="en-US" w:eastAsia="fr-FR"/>
          </w:rPr>
          <w:t>u, Y., Xiao, Y. &amp; Ye, Y., (2017):</w:t>
        </w:r>
        <w:r w:rsidR="00E724B9" w:rsidRPr="00F77863">
          <w:rPr>
            <w:rFonts w:ascii="Times New Roman" w:eastAsia="Times New Roman" w:hAnsi="Times New Roman" w:cs="Times New Roman"/>
            <w:color w:val="000000"/>
            <w:sz w:val="24"/>
            <w:szCs w:val="24"/>
            <w:lang w:val="en-US" w:eastAsia="fr-FR"/>
          </w:rPr>
          <w:t xml:space="preserve"> "Ur</w:t>
        </w:r>
        <w:r w:rsidR="00E724B9" w:rsidRPr="00C12A34">
          <w:rPr>
            <w:rFonts w:ascii="Times New Roman" w:eastAsia="Times New Roman" w:hAnsi="Times New Roman" w:cs="Times New Roman"/>
            <w:sz w:val="24"/>
            <w:szCs w:val="24"/>
            <w:lang w:val="en-US" w:eastAsia="fr-FR"/>
          </w:rPr>
          <w:t xml:space="preserve">ban density, diversity and design: Is more always better for walking? A study from Hong Kong", </w:t>
        </w:r>
        <w:r w:rsidR="00E724B9" w:rsidRPr="006C1DE7">
          <w:rPr>
            <w:rFonts w:ascii="Times New Roman" w:eastAsia="Times New Roman" w:hAnsi="Times New Roman" w:cs="Times New Roman"/>
            <w:i/>
            <w:iCs/>
            <w:sz w:val="24"/>
            <w:szCs w:val="24"/>
            <w:lang w:val="en-US" w:eastAsia="fr-FR"/>
          </w:rPr>
          <w:t>Preventive Medicine</w:t>
        </w:r>
        <w:r w:rsidR="006C1DE7">
          <w:rPr>
            <w:rFonts w:ascii="Times New Roman" w:eastAsia="Times New Roman" w:hAnsi="Times New Roman" w:cs="Times New Roman"/>
            <w:sz w:val="24"/>
            <w:szCs w:val="24"/>
            <w:lang w:val="en-US" w:eastAsia="fr-FR"/>
          </w:rPr>
          <w:t>, vol.</w:t>
        </w:r>
        <w:r w:rsidR="00E724B9" w:rsidRPr="00C12A34">
          <w:rPr>
            <w:rFonts w:ascii="Times New Roman" w:eastAsia="Times New Roman" w:hAnsi="Times New Roman" w:cs="Times New Roman"/>
            <w:sz w:val="24"/>
            <w:szCs w:val="24"/>
            <w:lang w:val="en-US" w:eastAsia="fr-FR"/>
          </w:rPr>
          <w:t xml:space="preserve"> 103</w:t>
        </w:r>
        <w:r w:rsidR="00191967">
          <w:rPr>
            <w:rFonts w:ascii="Times New Roman" w:eastAsia="Times New Roman" w:hAnsi="Times New Roman" w:cs="Times New Roman"/>
            <w:sz w:val="24"/>
            <w:szCs w:val="24"/>
            <w:lang w:val="en-US" w:eastAsia="fr-FR"/>
          </w:rPr>
          <w:t>, pp.</w:t>
        </w:r>
        <w:r w:rsidR="00E724B9" w:rsidRPr="00C12A34">
          <w:rPr>
            <w:rFonts w:ascii="Times New Roman" w:eastAsia="Times New Roman" w:hAnsi="Times New Roman" w:cs="Times New Roman"/>
            <w:sz w:val="24"/>
            <w:szCs w:val="24"/>
            <w:lang w:val="en-US" w:eastAsia="fr-FR"/>
          </w:rPr>
          <w:t xml:space="preserve"> S99–S103. http://dx.doi.org/10.1016/j.ypmed.2016.08.042 </w:t>
        </w:r>
      </w:hyperlink>
    </w:p>
    <w:p w:rsidR="00E724B9" w:rsidRDefault="006C1DE7"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Mahmodinia</w:t>
      </w:r>
      <w:r>
        <w:rPr>
          <w:rFonts w:ascii="Times New Roman" w:eastAsia="Times New Roman" w:hAnsi="Times New Roman" w:cs="Times New Roman"/>
          <w:b/>
          <w:bCs/>
          <w:color w:val="000000"/>
          <w:sz w:val="24"/>
          <w:szCs w:val="24"/>
          <w:lang w:val="en-US" w:eastAsia="fr-FR"/>
        </w:rPr>
        <w:t xml:space="preserve">, </w:t>
      </w:r>
      <w:r w:rsidR="00E724B9" w:rsidRPr="008C7745">
        <w:rPr>
          <w:rFonts w:ascii="Times New Roman" w:eastAsia="Times New Roman" w:hAnsi="Times New Roman" w:cs="Times New Roman"/>
          <w:b/>
          <w:bCs/>
          <w:color w:val="000000"/>
          <w:sz w:val="24"/>
          <w:szCs w:val="24"/>
          <w:lang w:val="en-US" w:eastAsia="fr-FR"/>
        </w:rPr>
        <w:t>M.</w:t>
      </w:r>
      <w:r w:rsidR="008C7745" w:rsidRPr="008C7745">
        <w:rPr>
          <w:rFonts w:ascii="Times New Roman" w:eastAsia="Times New Roman" w:hAnsi="Times New Roman" w:cs="Times New Roman"/>
          <w:b/>
          <w:bCs/>
          <w:color w:val="000000"/>
          <w:sz w:val="24"/>
          <w:szCs w:val="24"/>
          <w:lang w:val="en-US" w:eastAsia="fr-FR"/>
        </w:rPr>
        <w:t>,</w:t>
      </w:r>
      <w:r w:rsidR="00E724B9" w:rsidRPr="008C7745">
        <w:rPr>
          <w:rFonts w:ascii="Times New Roman" w:eastAsia="Times New Roman" w:hAnsi="Times New Roman" w:cs="Times New Roman"/>
          <w:b/>
          <w:bCs/>
          <w:color w:val="000000"/>
          <w:sz w:val="24"/>
          <w:szCs w:val="24"/>
          <w:lang w:val="en-US" w:eastAsia="fr-FR"/>
        </w:rPr>
        <w:t xml:space="preserve"> Sarami,</w:t>
      </w:r>
      <w:r>
        <w:rPr>
          <w:rFonts w:ascii="Times New Roman" w:eastAsia="Times New Roman" w:hAnsi="Times New Roman" w:cs="Times New Roman"/>
          <w:b/>
          <w:bCs/>
          <w:color w:val="000000"/>
          <w:sz w:val="24"/>
          <w:szCs w:val="24"/>
          <w:lang w:val="en-US" w:eastAsia="fr-FR"/>
        </w:rPr>
        <w:t xml:space="preserve"> </w:t>
      </w:r>
      <w:r w:rsidR="00E724B9" w:rsidRPr="008C7745">
        <w:rPr>
          <w:rFonts w:ascii="Times New Roman" w:eastAsia="Times New Roman" w:hAnsi="Times New Roman" w:cs="Times New Roman"/>
          <w:b/>
          <w:bCs/>
          <w:color w:val="000000"/>
          <w:sz w:val="24"/>
          <w:szCs w:val="24"/>
          <w:lang w:val="en-US" w:eastAsia="fr-FR"/>
        </w:rPr>
        <w:t>H.</w:t>
      </w:r>
      <w:r w:rsidR="008C7745" w:rsidRPr="008C7745">
        <w:rPr>
          <w:rFonts w:ascii="Times New Roman" w:eastAsia="Times New Roman" w:hAnsi="Times New Roman" w:cs="Times New Roman"/>
          <w:b/>
          <w:bCs/>
          <w:color w:val="000000"/>
          <w:sz w:val="24"/>
          <w:szCs w:val="24"/>
          <w:lang w:val="en-US" w:eastAsia="fr-FR"/>
        </w:rPr>
        <w:t>,</w:t>
      </w:r>
      <w:r>
        <w:rPr>
          <w:rFonts w:ascii="Times New Roman" w:eastAsia="Times New Roman" w:hAnsi="Times New Roman" w:cs="Times New Roman"/>
          <w:b/>
          <w:bCs/>
          <w:color w:val="000000"/>
          <w:sz w:val="24"/>
          <w:szCs w:val="24"/>
          <w:lang w:val="en-US" w:eastAsia="fr-FR"/>
        </w:rPr>
        <w:t xml:space="preserve"> </w:t>
      </w:r>
      <w:r w:rsidR="00E724B9" w:rsidRPr="008C7745">
        <w:rPr>
          <w:rFonts w:ascii="Times New Roman" w:eastAsia="Times New Roman" w:hAnsi="Times New Roman" w:cs="Times New Roman"/>
          <w:b/>
          <w:bCs/>
          <w:color w:val="000000"/>
          <w:sz w:val="24"/>
          <w:szCs w:val="24"/>
          <w:lang w:val="en-US" w:eastAsia="fr-FR"/>
        </w:rPr>
        <w:t>Ramesht</w:t>
      </w:r>
      <w:r>
        <w:rPr>
          <w:rFonts w:ascii="Times New Roman" w:eastAsia="Times New Roman" w:hAnsi="Times New Roman" w:cs="Times New Roman"/>
          <w:b/>
          <w:bCs/>
          <w:color w:val="000000"/>
          <w:sz w:val="24"/>
          <w:szCs w:val="24"/>
          <w:lang w:val="en-US" w:eastAsia="fr-FR"/>
        </w:rPr>
        <w:t>.</w:t>
      </w:r>
      <w:r w:rsidR="00E724B9" w:rsidRPr="008C7745">
        <w:rPr>
          <w:rFonts w:ascii="Times New Roman" w:eastAsia="Times New Roman" w:hAnsi="Times New Roman" w:cs="Times New Roman"/>
          <w:b/>
          <w:bCs/>
          <w:color w:val="000000"/>
          <w:sz w:val="24"/>
          <w:szCs w:val="24"/>
          <w:lang w:val="en-US" w:eastAsia="fr-FR"/>
        </w:rPr>
        <w:t xml:space="preserve"> M.H.</w:t>
      </w:r>
      <w:r w:rsidR="008C7745" w:rsidRPr="008C7745">
        <w:rPr>
          <w:rFonts w:ascii="Times New Roman" w:eastAsia="Times New Roman" w:hAnsi="Times New Roman" w:cs="Times New Roman"/>
          <w:b/>
          <w:bCs/>
          <w:color w:val="000000"/>
          <w:sz w:val="24"/>
          <w:szCs w:val="24"/>
          <w:lang w:val="en-US" w:eastAsia="fr-FR"/>
        </w:rPr>
        <w:t xml:space="preserve"> &amp;</w:t>
      </w:r>
      <w:r w:rsidR="00E724B9" w:rsidRPr="008C7745">
        <w:rPr>
          <w:rFonts w:ascii="Times New Roman" w:eastAsia="Times New Roman" w:hAnsi="Times New Roman" w:cs="Times New Roman"/>
          <w:b/>
          <w:bCs/>
          <w:color w:val="000000"/>
          <w:sz w:val="24"/>
          <w:szCs w:val="24"/>
          <w:lang w:val="en-US" w:eastAsia="fr-FR"/>
        </w:rPr>
        <w:t xml:space="preserve"> Taghvae, M.</w:t>
      </w:r>
      <w:r w:rsidR="008C7745" w:rsidRPr="008C7745">
        <w:rPr>
          <w:rFonts w:ascii="Times New Roman" w:eastAsia="Times New Roman" w:hAnsi="Times New Roman" w:cs="Times New Roman"/>
          <w:b/>
          <w:bCs/>
          <w:color w:val="000000"/>
          <w:sz w:val="24"/>
          <w:szCs w:val="24"/>
          <w:lang w:val="en-US" w:eastAsia="fr-FR"/>
        </w:rPr>
        <w:t>,</w:t>
      </w:r>
      <w:r>
        <w:rPr>
          <w:rFonts w:ascii="Times New Roman" w:eastAsia="Times New Roman" w:hAnsi="Times New Roman" w:cs="Times New Roman"/>
          <w:b/>
          <w:bCs/>
          <w:color w:val="000000"/>
          <w:sz w:val="24"/>
          <w:szCs w:val="24"/>
          <w:lang w:val="en-US" w:eastAsia="fr-FR"/>
        </w:rPr>
        <w:t xml:space="preserve"> </w:t>
      </w:r>
      <w:r w:rsidR="008C7745" w:rsidRPr="008C7745">
        <w:rPr>
          <w:rFonts w:ascii="Times New Roman" w:eastAsia="Times New Roman" w:hAnsi="Times New Roman" w:cs="Times New Roman"/>
          <w:b/>
          <w:bCs/>
          <w:color w:val="000000"/>
          <w:sz w:val="24"/>
          <w:szCs w:val="24"/>
          <w:lang w:val="en-US" w:eastAsia="fr-FR"/>
        </w:rPr>
        <w:t>(2021):</w:t>
      </w:r>
      <w:r w:rsidR="00E724B9" w:rsidRPr="00C12A34">
        <w:rPr>
          <w:rFonts w:ascii="Times New Roman" w:eastAsia="Times New Roman" w:hAnsi="Times New Roman" w:cs="Times New Roman"/>
          <w:color w:val="000000"/>
          <w:sz w:val="24"/>
          <w:szCs w:val="24"/>
          <w:lang w:val="en-US" w:eastAsia="fr-FR"/>
        </w:rPr>
        <w:t xml:space="preserve"> </w:t>
      </w:r>
      <w:r w:rsidR="008C7745">
        <w:rPr>
          <w:rFonts w:ascii="Times New Roman" w:eastAsia="Times New Roman" w:hAnsi="Times New Roman" w:cs="Times New Roman"/>
          <w:color w:val="000000"/>
          <w:sz w:val="24"/>
          <w:szCs w:val="24"/>
          <w:lang w:val="en-US" w:eastAsia="fr-FR"/>
        </w:rPr>
        <w:t>“</w:t>
      </w:r>
      <w:r w:rsidR="00E724B9" w:rsidRPr="00C12A34">
        <w:rPr>
          <w:rFonts w:ascii="Times New Roman" w:eastAsia="Times New Roman" w:hAnsi="Times New Roman" w:cs="Times New Roman"/>
          <w:color w:val="000000"/>
          <w:sz w:val="24"/>
          <w:szCs w:val="24"/>
          <w:lang w:val="en-US" w:eastAsia="fr-FR"/>
        </w:rPr>
        <w:t>Evaluation of Resilience of Historical Texture to Natural Hazards (Earthquake) (Case Study: Yazd City)</w:t>
      </w:r>
      <w:r w:rsidR="008C7745">
        <w:rPr>
          <w:rFonts w:ascii="Times New Roman" w:eastAsia="Times New Roman" w:hAnsi="Times New Roman" w:cs="Times New Roman"/>
          <w:color w:val="000000"/>
          <w:sz w:val="24"/>
          <w:szCs w:val="24"/>
          <w:lang w:val="en-US" w:eastAsia="fr-FR"/>
        </w:rPr>
        <w:t>”</w:t>
      </w:r>
      <w:r w:rsidR="00E724B9" w:rsidRPr="00C12A34">
        <w:rPr>
          <w:rFonts w:ascii="Times New Roman" w:eastAsia="Times New Roman" w:hAnsi="Times New Roman" w:cs="Times New Roman"/>
          <w:color w:val="000000"/>
          <w:sz w:val="24"/>
          <w:szCs w:val="24"/>
          <w:lang w:val="en-US" w:eastAsia="fr-FR"/>
        </w:rPr>
        <w:t xml:space="preserve"> </w:t>
      </w:r>
      <w:r w:rsidR="00E724B9" w:rsidRPr="008C7745">
        <w:rPr>
          <w:rFonts w:ascii="Times New Roman" w:eastAsia="Times New Roman" w:hAnsi="Times New Roman" w:cs="Times New Roman"/>
          <w:i/>
          <w:iCs/>
          <w:color w:val="000000"/>
          <w:sz w:val="24"/>
          <w:szCs w:val="24"/>
          <w:lang w:val="en-US" w:eastAsia="fr-FR"/>
        </w:rPr>
        <w:t>Q. J. Hum. Geogr</w:t>
      </w:r>
      <w:r w:rsidR="008C7745">
        <w:rPr>
          <w:rFonts w:ascii="Times New Roman" w:eastAsia="Times New Roman" w:hAnsi="Times New Roman" w:cs="Times New Roman"/>
          <w:color w:val="000000"/>
          <w:sz w:val="24"/>
          <w:szCs w:val="24"/>
          <w:lang w:val="en-US" w:eastAsia="fr-FR"/>
        </w:rPr>
        <w:t>, vol.</w:t>
      </w:r>
      <w:r w:rsidR="00E724B9" w:rsidRPr="00C12A34">
        <w:rPr>
          <w:rFonts w:ascii="Times New Roman" w:eastAsia="Times New Roman" w:hAnsi="Times New Roman" w:cs="Times New Roman"/>
          <w:color w:val="000000"/>
          <w:sz w:val="24"/>
          <w:szCs w:val="24"/>
          <w:lang w:val="en-US" w:eastAsia="fr-FR"/>
        </w:rPr>
        <w:t xml:space="preserve"> 13, </w:t>
      </w:r>
      <w:r w:rsidR="008C7745">
        <w:rPr>
          <w:rFonts w:ascii="Times New Roman" w:eastAsia="Times New Roman" w:hAnsi="Times New Roman" w:cs="Times New Roman"/>
          <w:color w:val="000000"/>
          <w:sz w:val="24"/>
          <w:szCs w:val="24"/>
          <w:lang w:val="en-US" w:eastAsia="fr-FR"/>
        </w:rPr>
        <w:t>p</w:t>
      </w:r>
      <w:r w:rsidR="00B26A4B">
        <w:rPr>
          <w:rFonts w:ascii="Times New Roman" w:eastAsia="Times New Roman" w:hAnsi="Times New Roman" w:cs="Times New Roman"/>
          <w:color w:val="000000"/>
          <w:sz w:val="24"/>
          <w:szCs w:val="24"/>
          <w:lang w:val="en-US" w:eastAsia="fr-FR"/>
        </w:rPr>
        <w:t>p</w:t>
      </w:r>
      <w:r w:rsidR="008C7745">
        <w:rPr>
          <w:rFonts w:ascii="Times New Roman" w:eastAsia="Times New Roman" w:hAnsi="Times New Roman" w:cs="Times New Roman"/>
          <w:color w:val="000000"/>
          <w:sz w:val="24"/>
          <w:szCs w:val="24"/>
          <w:lang w:val="en-US" w:eastAsia="fr-FR"/>
        </w:rPr>
        <w:t xml:space="preserve">. </w:t>
      </w:r>
      <w:r w:rsidR="00E724B9" w:rsidRPr="00C12A34">
        <w:rPr>
          <w:rFonts w:ascii="Times New Roman" w:eastAsia="Times New Roman" w:hAnsi="Times New Roman" w:cs="Times New Roman"/>
          <w:color w:val="000000"/>
          <w:sz w:val="24"/>
          <w:szCs w:val="24"/>
          <w:lang w:val="en-US" w:eastAsia="fr-FR"/>
        </w:rPr>
        <w:t>638–654. (In Persian)</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Malczewski</w:t>
      </w:r>
      <w:r w:rsidR="008C7745" w:rsidRPr="008C7745">
        <w:rPr>
          <w:rFonts w:ascii="Times New Roman" w:eastAsia="Times New Roman" w:hAnsi="Times New Roman" w:cs="Times New Roman"/>
          <w:b/>
          <w:bCs/>
          <w:color w:val="000000"/>
          <w:sz w:val="24"/>
          <w:szCs w:val="24"/>
          <w:lang w:val="en-US" w:eastAsia="fr-FR"/>
        </w:rPr>
        <w:t>,</w:t>
      </w:r>
      <w:r w:rsidRPr="008C7745">
        <w:rPr>
          <w:rFonts w:ascii="Times New Roman" w:eastAsia="Times New Roman" w:hAnsi="Times New Roman" w:cs="Times New Roman"/>
          <w:b/>
          <w:bCs/>
          <w:color w:val="000000"/>
          <w:sz w:val="24"/>
          <w:szCs w:val="24"/>
          <w:lang w:val="en-US" w:eastAsia="fr-FR"/>
        </w:rPr>
        <w:t xml:space="preserve"> J</w:t>
      </w:r>
      <w:r w:rsidR="008C7745" w:rsidRPr="008C7745">
        <w:rPr>
          <w:rFonts w:ascii="Times New Roman" w:eastAsia="Times New Roman" w:hAnsi="Times New Roman" w:cs="Times New Roman"/>
          <w:b/>
          <w:bCs/>
          <w:color w:val="000000"/>
          <w:sz w:val="24"/>
          <w:szCs w:val="24"/>
          <w:lang w:val="en-US" w:eastAsia="fr-FR"/>
        </w:rPr>
        <w:t>.,</w:t>
      </w:r>
      <w:r w:rsidRPr="008C7745">
        <w:rPr>
          <w:rFonts w:ascii="Times New Roman" w:eastAsia="Times New Roman" w:hAnsi="Times New Roman" w:cs="Times New Roman"/>
          <w:b/>
          <w:bCs/>
          <w:color w:val="000000"/>
          <w:sz w:val="24"/>
          <w:szCs w:val="24"/>
          <w:lang w:val="en-US" w:eastAsia="fr-FR"/>
        </w:rPr>
        <w:t xml:space="preserve"> (2000)</w:t>
      </w:r>
      <w:r w:rsidR="008C7745" w:rsidRPr="008C7745">
        <w:rPr>
          <w:rFonts w:ascii="Times New Roman" w:eastAsia="Times New Roman" w:hAnsi="Times New Roman" w:cs="Times New Roman"/>
          <w:b/>
          <w:bCs/>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On the Use of Weighted Linear Combination Method in GIS: Common and Best Practice Approaches</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Pr="008C7745">
        <w:rPr>
          <w:rFonts w:ascii="Times New Roman" w:eastAsia="Times New Roman" w:hAnsi="Times New Roman" w:cs="Times New Roman"/>
          <w:i/>
          <w:iCs/>
          <w:color w:val="000000"/>
          <w:sz w:val="24"/>
          <w:szCs w:val="24"/>
          <w:lang w:val="en-US" w:eastAsia="fr-FR"/>
        </w:rPr>
        <w:t>Transactions in GIS</w:t>
      </w:r>
      <w:r w:rsidR="008C7745">
        <w:rPr>
          <w:rFonts w:ascii="Times New Roman" w:eastAsia="Times New Roman" w:hAnsi="Times New Roman" w:cs="Times New Roman"/>
          <w:color w:val="000000"/>
          <w:sz w:val="24"/>
          <w:szCs w:val="24"/>
          <w:lang w:val="en-US" w:eastAsia="fr-FR"/>
        </w:rPr>
        <w:t xml:space="preserve">, vol. </w:t>
      </w:r>
      <w:r w:rsidRPr="00C12A34">
        <w:rPr>
          <w:rFonts w:ascii="Times New Roman" w:eastAsia="Times New Roman" w:hAnsi="Times New Roman" w:cs="Times New Roman"/>
          <w:color w:val="000000"/>
          <w:sz w:val="24"/>
          <w:szCs w:val="24"/>
          <w:lang w:val="en-US" w:eastAsia="fr-FR"/>
        </w:rPr>
        <w:t>4</w:t>
      </w:r>
      <w:r w:rsidR="008C7745">
        <w:rPr>
          <w:rFonts w:ascii="Times New Roman" w:eastAsia="Times New Roman" w:hAnsi="Times New Roman" w:cs="Times New Roman"/>
          <w:color w:val="000000"/>
          <w:sz w:val="24"/>
          <w:szCs w:val="24"/>
          <w:lang w:val="en-US" w:eastAsia="fr-FR"/>
        </w:rPr>
        <w:t xml:space="preserve">, n° 1, </w:t>
      </w:r>
      <w:r w:rsidR="00B26A4B">
        <w:rPr>
          <w:rFonts w:ascii="Times New Roman" w:eastAsia="Times New Roman" w:hAnsi="Times New Roman" w:cs="Times New Roman"/>
          <w:color w:val="000000"/>
          <w:sz w:val="24"/>
          <w:szCs w:val="24"/>
          <w:lang w:val="en-US" w:eastAsia="fr-FR"/>
        </w:rPr>
        <w:t>p</w:t>
      </w:r>
      <w:r w:rsidR="008C7745">
        <w:rPr>
          <w:rFonts w:ascii="Times New Roman" w:eastAsia="Times New Roman" w:hAnsi="Times New Roman" w:cs="Times New Roman"/>
          <w:color w:val="000000"/>
          <w:sz w:val="24"/>
          <w:szCs w:val="24"/>
          <w:lang w:val="en-US" w:eastAsia="fr-FR"/>
        </w:rPr>
        <w:t>p.</w:t>
      </w:r>
      <w:r w:rsidRPr="00C12A34">
        <w:rPr>
          <w:rFonts w:ascii="Times New Roman" w:eastAsia="Times New Roman" w:hAnsi="Times New Roman" w:cs="Times New Roman"/>
          <w:color w:val="000000"/>
          <w:sz w:val="24"/>
          <w:szCs w:val="24"/>
          <w:lang w:val="en-US" w:eastAsia="fr-FR"/>
        </w:rPr>
        <w:t xml:space="preserve"> 5–22.</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Malczewski</w:t>
      </w:r>
      <w:r w:rsidRPr="008C7745">
        <w:rPr>
          <w:rFonts w:ascii="Times New Roman" w:eastAsia="Times New Roman" w:hAnsi="Times New Roman" w:cs="Times New Roman"/>
          <w:b/>
          <w:bCs/>
          <w:color w:val="000000"/>
          <w:sz w:val="24"/>
          <w:szCs w:val="24"/>
          <w:lang w:val="en-US" w:eastAsia="fr-FR"/>
        </w:rPr>
        <w:t xml:space="preserve"> J (2004)</w:t>
      </w:r>
      <w:r w:rsidR="008C7745" w:rsidRPr="008C7745">
        <w:rPr>
          <w:rFonts w:ascii="Times New Roman" w:eastAsia="Times New Roman" w:hAnsi="Times New Roman" w:cs="Times New Roman"/>
          <w:b/>
          <w:bCs/>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GIS-based land-use suitability analysis: a critical overview</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Pr="008C7745">
        <w:rPr>
          <w:rFonts w:ascii="Times New Roman" w:eastAsia="Times New Roman" w:hAnsi="Times New Roman" w:cs="Times New Roman"/>
          <w:i/>
          <w:iCs/>
          <w:color w:val="000000"/>
          <w:sz w:val="24"/>
          <w:szCs w:val="24"/>
          <w:lang w:val="en-US" w:eastAsia="fr-FR"/>
        </w:rPr>
        <w:t>Progress in Planning</w:t>
      </w:r>
      <w:r w:rsidR="008C7745">
        <w:rPr>
          <w:rFonts w:ascii="Times New Roman" w:eastAsia="Times New Roman" w:hAnsi="Times New Roman" w:cs="Times New Roman"/>
          <w:color w:val="000000"/>
          <w:sz w:val="24"/>
          <w:szCs w:val="24"/>
          <w:lang w:val="en-US" w:eastAsia="fr-FR"/>
        </w:rPr>
        <w:t xml:space="preserve">, vol. </w:t>
      </w:r>
      <w:r w:rsidRPr="00C12A34">
        <w:rPr>
          <w:rFonts w:ascii="Times New Roman" w:eastAsia="Times New Roman" w:hAnsi="Times New Roman" w:cs="Times New Roman"/>
          <w:color w:val="000000"/>
          <w:sz w:val="24"/>
          <w:szCs w:val="24"/>
          <w:lang w:val="en-US" w:eastAsia="fr-FR"/>
        </w:rPr>
        <w:t>62</w:t>
      </w:r>
      <w:r w:rsidR="008C7745">
        <w:rPr>
          <w:rFonts w:ascii="Times New Roman" w:eastAsia="Times New Roman" w:hAnsi="Times New Roman" w:cs="Times New Roman"/>
          <w:color w:val="000000"/>
          <w:sz w:val="24"/>
          <w:szCs w:val="24"/>
          <w:lang w:val="en-US" w:eastAsia="fr-FR"/>
        </w:rPr>
        <w:t xml:space="preserve">, n° </w:t>
      </w:r>
      <w:r w:rsidRPr="00C12A34">
        <w:rPr>
          <w:rFonts w:ascii="Times New Roman" w:eastAsia="Times New Roman" w:hAnsi="Times New Roman" w:cs="Times New Roman"/>
          <w:color w:val="000000"/>
          <w:sz w:val="24"/>
          <w:szCs w:val="24"/>
          <w:lang w:val="en-US" w:eastAsia="fr-FR"/>
        </w:rPr>
        <w:t>1</w:t>
      </w:r>
      <w:r w:rsidR="008C7745">
        <w:rPr>
          <w:rFonts w:ascii="Times New Roman" w:eastAsia="Times New Roman" w:hAnsi="Times New Roman" w:cs="Times New Roman"/>
          <w:color w:val="000000"/>
          <w:sz w:val="24"/>
          <w:szCs w:val="24"/>
          <w:lang w:val="en-US" w:eastAsia="fr-FR"/>
        </w:rPr>
        <w:t>, p</w:t>
      </w:r>
      <w:r w:rsidR="00191967">
        <w:rPr>
          <w:rFonts w:ascii="Times New Roman" w:eastAsia="Times New Roman" w:hAnsi="Times New Roman" w:cs="Times New Roman"/>
          <w:color w:val="000000"/>
          <w:sz w:val="24"/>
          <w:szCs w:val="24"/>
          <w:lang w:val="en-US" w:eastAsia="fr-FR"/>
        </w:rPr>
        <w:t>p</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3–65. </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Malczewski</w:t>
      </w:r>
      <w:r w:rsidR="00B947B6" w:rsidRPr="00F77863">
        <w:rPr>
          <w:rFonts w:ascii="Times New Roman" w:eastAsia="Times New Roman" w:hAnsi="Times New Roman" w:cs="Times New Roman"/>
          <w:b/>
          <w:bCs/>
          <w:color w:val="000000"/>
          <w:sz w:val="24"/>
          <w:szCs w:val="24"/>
          <w:lang w:val="en-US" w:eastAsia="fr-FR"/>
        </w:rPr>
        <w:t>,</w:t>
      </w:r>
      <w:r w:rsidRPr="008C7745">
        <w:rPr>
          <w:rFonts w:ascii="Times New Roman" w:eastAsia="Times New Roman" w:hAnsi="Times New Roman" w:cs="Times New Roman"/>
          <w:b/>
          <w:bCs/>
          <w:color w:val="000000"/>
          <w:sz w:val="24"/>
          <w:szCs w:val="24"/>
          <w:lang w:val="en-US" w:eastAsia="fr-FR"/>
        </w:rPr>
        <w:t xml:space="preserve"> J</w:t>
      </w:r>
      <w:r w:rsidR="00B947B6">
        <w:rPr>
          <w:rFonts w:ascii="Times New Roman" w:eastAsia="Times New Roman" w:hAnsi="Times New Roman" w:cs="Times New Roman"/>
          <w:b/>
          <w:bCs/>
          <w:color w:val="000000"/>
          <w:sz w:val="24"/>
          <w:szCs w:val="24"/>
          <w:lang w:val="en-US" w:eastAsia="fr-FR"/>
        </w:rPr>
        <w:t>.,</w:t>
      </w:r>
      <w:r w:rsidRPr="008C7745">
        <w:rPr>
          <w:rFonts w:ascii="Times New Roman" w:eastAsia="Times New Roman" w:hAnsi="Times New Roman" w:cs="Times New Roman"/>
          <w:b/>
          <w:bCs/>
          <w:color w:val="000000"/>
          <w:sz w:val="24"/>
          <w:szCs w:val="24"/>
          <w:lang w:val="en-US" w:eastAsia="fr-FR"/>
        </w:rPr>
        <w:t xml:space="preserve"> (2006)</w:t>
      </w:r>
      <w:r w:rsidR="008C7745" w:rsidRPr="008C7745">
        <w:rPr>
          <w:rFonts w:ascii="Times New Roman" w:eastAsia="Times New Roman" w:hAnsi="Times New Roman" w:cs="Times New Roman"/>
          <w:b/>
          <w:bCs/>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GIS-based multi</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criteria decision analysis: a survey of the</w:t>
      </w:r>
      <w:r w:rsidR="00B947B6">
        <w:rPr>
          <w:rFonts w:ascii="Times New Roman" w:eastAsia="Times New Roman" w:hAnsi="Times New Roman" w:cs="Times New Roman"/>
          <w:color w:val="000000"/>
          <w:sz w:val="24"/>
          <w:szCs w:val="24"/>
          <w:lang w:val="en-US" w:eastAsia="fr-FR"/>
        </w:rPr>
        <w:t xml:space="preserve"> </w:t>
      </w:r>
      <w:r w:rsidRPr="00C12A34">
        <w:rPr>
          <w:rFonts w:ascii="Times New Roman" w:eastAsia="Times New Roman" w:hAnsi="Times New Roman" w:cs="Times New Roman"/>
          <w:color w:val="000000"/>
          <w:sz w:val="24"/>
          <w:szCs w:val="24"/>
          <w:lang w:val="en-US" w:eastAsia="fr-FR"/>
        </w:rPr>
        <w:t>literature</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Pr="008C7745">
        <w:rPr>
          <w:rFonts w:ascii="Times New Roman" w:eastAsia="Times New Roman" w:hAnsi="Times New Roman" w:cs="Times New Roman"/>
          <w:i/>
          <w:iCs/>
          <w:color w:val="000000"/>
          <w:sz w:val="24"/>
          <w:szCs w:val="24"/>
          <w:lang w:val="en-US" w:eastAsia="fr-FR"/>
        </w:rPr>
        <w:t>Int J Geogr Inf Sci</w:t>
      </w:r>
      <w:r w:rsidR="008C7745">
        <w:rPr>
          <w:rFonts w:ascii="Times New Roman" w:eastAsia="Times New Roman" w:hAnsi="Times New Roman" w:cs="Times New Roman"/>
          <w:color w:val="000000"/>
          <w:sz w:val="24"/>
          <w:szCs w:val="24"/>
          <w:lang w:val="en-US" w:eastAsia="fr-FR"/>
        </w:rPr>
        <w:t>, vol.</w:t>
      </w:r>
      <w:r w:rsidRPr="00C12A34">
        <w:rPr>
          <w:rFonts w:ascii="Times New Roman" w:eastAsia="Times New Roman" w:hAnsi="Times New Roman" w:cs="Times New Roman"/>
          <w:color w:val="000000"/>
          <w:sz w:val="24"/>
          <w:szCs w:val="24"/>
          <w:lang w:val="en-US" w:eastAsia="fr-FR"/>
        </w:rPr>
        <w:t xml:space="preserve"> 20</w:t>
      </w:r>
      <w:r w:rsidR="008C7745">
        <w:rPr>
          <w:rFonts w:ascii="Times New Roman" w:eastAsia="Times New Roman" w:hAnsi="Times New Roman" w:cs="Times New Roman"/>
          <w:color w:val="000000"/>
          <w:sz w:val="24"/>
          <w:szCs w:val="24"/>
          <w:lang w:val="en-US" w:eastAsia="fr-FR"/>
        </w:rPr>
        <w:t xml:space="preserve">, n° </w:t>
      </w:r>
      <w:r w:rsidRPr="00C12A34">
        <w:rPr>
          <w:rFonts w:ascii="Times New Roman" w:eastAsia="Times New Roman" w:hAnsi="Times New Roman" w:cs="Times New Roman"/>
          <w:color w:val="000000"/>
          <w:sz w:val="24"/>
          <w:szCs w:val="24"/>
          <w:lang w:val="en-US" w:eastAsia="fr-FR"/>
        </w:rPr>
        <w:t>7</w:t>
      </w:r>
      <w:r w:rsidR="008C7745">
        <w:rPr>
          <w:rFonts w:ascii="Times New Roman" w:eastAsia="Times New Roman" w:hAnsi="Times New Roman" w:cs="Times New Roman"/>
          <w:color w:val="000000"/>
          <w:sz w:val="24"/>
          <w:szCs w:val="24"/>
          <w:lang w:val="en-US" w:eastAsia="fr-FR"/>
        </w:rPr>
        <w:t>, p</w:t>
      </w:r>
      <w:r w:rsidR="00191967">
        <w:rPr>
          <w:rFonts w:ascii="Times New Roman" w:eastAsia="Times New Roman" w:hAnsi="Times New Roman" w:cs="Times New Roman"/>
          <w:color w:val="000000"/>
          <w:sz w:val="24"/>
          <w:szCs w:val="24"/>
          <w:lang w:val="en-US" w:eastAsia="fr-FR"/>
        </w:rPr>
        <w:t>p</w:t>
      </w:r>
      <w:r w:rsidR="008C7745">
        <w:rPr>
          <w:rFonts w:ascii="Times New Roman" w:eastAsia="Times New Roman" w:hAnsi="Times New Roman" w:cs="Times New Roman"/>
          <w:color w:val="000000"/>
          <w:sz w:val="24"/>
          <w:szCs w:val="24"/>
          <w:lang w:val="en-US" w:eastAsia="fr-FR"/>
        </w:rPr>
        <w:t xml:space="preserve">. </w:t>
      </w:r>
      <w:r w:rsidRPr="00C12A34">
        <w:rPr>
          <w:rFonts w:ascii="Times New Roman" w:eastAsia="Times New Roman" w:hAnsi="Times New Roman" w:cs="Times New Roman"/>
          <w:color w:val="000000"/>
          <w:sz w:val="24"/>
          <w:szCs w:val="24"/>
          <w:lang w:val="en-US" w:eastAsia="fr-FR"/>
        </w:rPr>
        <w:t>703–726.</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Maleki</w:t>
      </w:r>
      <w:r w:rsidRPr="008C7745">
        <w:rPr>
          <w:rFonts w:ascii="Times New Roman" w:eastAsia="Times New Roman" w:hAnsi="Times New Roman" w:cs="Times New Roman"/>
          <w:b/>
          <w:bCs/>
          <w:color w:val="000000"/>
          <w:sz w:val="24"/>
          <w:szCs w:val="24"/>
          <w:lang w:val="en-US" w:eastAsia="fr-FR"/>
        </w:rPr>
        <w:t>, M., Rahmati, M., Sadidi, J. &amp;  Babaee, E., (2014):</w:t>
      </w:r>
      <w:r w:rsidRPr="00C12A34">
        <w:rPr>
          <w:rFonts w:ascii="Times New Roman" w:eastAsia="Times New Roman" w:hAnsi="Times New Roman" w:cs="Times New Roman"/>
          <w:color w:val="000000"/>
          <w:sz w:val="24"/>
          <w:szCs w:val="24"/>
          <w:lang w:val="en-US" w:eastAsia="fr-FR"/>
        </w:rPr>
        <w:t xml:space="preserve"> "Landslide risk zonation using AHP method and GIS in Malaverd catchment, Kermanshah, Iran". In Proceedings of the International Conference on Geospatial Information Research (GI Research 2014), Tehran, Iran, 15–17 November 2014, pp. 15–17.</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Mani</w:t>
      </w:r>
      <w:r w:rsidRPr="008C7745">
        <w:rPr>
          <w:rFonts w:ascii="Times New Roman" w:eastAsia="Times New Roman" w:hAnsi="Times New Roman" w:cs="Times New Roman"/>
          <w:b/>
          <w:bCs/>
          <w:color w:val="000000"/>
          <w:sz w:val="24"/>
          <w:szCs w:val="24"/>
          <w:lang w:val="en-US" w:eastAsia="fr-FR"/>
        </w:rPr>
        <w:t xml:space="preserve">, V., Agrawal, R. </w:t>
      </w:r>
      <w:r w:rsidR="008C7745">
        <w:rPr>
          <w:rFonts w:ascii="Times New Roman" w:eastAsia="Times New Roman" w:hAnsi="Times New Roman" w:cs="Times New Roman"/>
          <w:b/>
          <w:bCs/>
          <w:color w:val="000000"/>
          <w:sz w:val="24"/>
          <w:szCs w:val="24"/>
          <w:lang w:val="en-US" w:eastAsia="fr-FR"/>
        </w:rPr>
        <w:t>&amp;</w:t>
      </w:r>
      <w:r w:rsidRPr="008C7745">
        <w:rPr>
          <w:rFonts w:ascii="Times New Roman" w:eastAsia="Times New Roman" w:hAnsi="Times New Roman" w:cs="Times New Roman"/>
          <w:b/>
          <w:bCs/>
          <w:color w:val="000000"/>
          <w:sz w:val="24"/>
          <w:szCs w:val="24"/>
          <w:lang w:val="en-US" w:eastAsia="fr-FR"/>
        </w:rPr>
        <w:t xml:space="preserve"> Sharma, V.</w:t>
      </w:r>
      <w:r w:rsidR="008C7745" w:rsidRPr="008C7745">
        <w:rPr>
          <w:rFonts w:ascii="Times New Roman" w:eastAsia="Times New Roman" w:hAnsi="Times New Roman" w:cs="Times New Roman"/>
          <w:b/>
          <w:bCs/>
          <w:color w:val="000000"/>
          <w:sz w:val="24"/>
          <w:szCs w:val="24"/>
          <w:lang w:val="en-US" w:eastAsia="fr-FR"/>
        </w:rPr>
        <w:t>, (</w:t>
      </w:r>
      <w:r w:rsidRPr="008C7745">
        <w:rPr>
          <w:rFonts w:ascii="Times New Roman" w:eastAsia="Times New Roman" w:hAnsi="Times New Roman" w:cs="Times New Roman"/>
          <w:b/>
          <w:bCs/>
          <w:color w:val="000000"/>
          <w:sz w:val="24"/>
          <w:szCs w:val="24"/>
          <w:lang w:val="en-US" w:eastAsia="fr-FR"/>
        </w:rPr>
        <w:t>2014</w:t>
      </w:r>
      <w:r w:rsidR="008C7745" w:rsidRPr="008C7745">
        <w:rPr>
          <w:rFonts w:ascii="Times New Roman" w:eastAsia="Times New Roman" w:hAnsi="Times New Roman" w:cs="Times New Roman"/>
          <w:b/>
          <w:bCs/>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Supplier selection using social sustainability: AHP based approach in India</w:t>
      </w:r>
      <w:r w:rsidR="008C7745">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Pr="008C7745">
        <w:rPr>
          <w:rFonts w:ascii="Times New Roman" w:eastAsia="Times New Roman" w:hAnsi="Times New Roman" w:cs="Times New Roman"/>
          <w:i/>
          <w:iCs/>
          <w:color w:val="000000"/>
          <w:sz w:val="24"/>
          <w:szCs w:val="24"/>
          <w:lang w:val="en-US" w:eastAsia="fr-FR"/>
        </w:rPr>
        <w:t>International Strategic Management Review</w:t>
      </w:r>
      <w:r w:rsidR="008C7745">
        <w:rPr>
          <w:rFonts w:ascii="Times New Roman" w:eastAsia="Times New Roman" w:hAnsi="Times New Roman" w:cs="Times New Roman"/>
          <w:color w:val="000000"/>
          <w:sz w:val="24"/>
          <w:szCs w:val="24"/>
          <w:lang w:val="en-US" w:eastAsia="fr-FR"/>
        </w:rPr>
        <w:t xml:space="preserve">, vol. </w:t>
      </w:r>
      <w:r w:rsidRPr="00C12A34">
        <w:rPr>
          <w:rFonts w:ascii="Times New Roman" w:eastAsia="Times New Roman" w:hAnsi="Times New Roman" w:cs="Times New Roman"/>
          <w:color w:val="000000"/>
          <w:sz w:val="24"/>
          <w:szCs w:val="24"/>
          <w:lang w:val="en-US" w:eastAsia="fr-FR"/>
        </w:rPr>
        <w:t>2</w:t>
      </w:r>
      <w:r w:rsidR="008C7745">
        <w:rPr>
          <w:rFonts w:ascii="Times New Roman" w:eastAsia="Times New Roman" w:hAnsi="Times New Roman" w:cs="Times New Roman"/>
          <w:color w:val="000000"/>
          <w:sz w:val="24"/>
          <w:szCs w:val="24"/>
          <w:lang w:val="en-US" w:eastAsia="fr-FR"/>
        </w:rPr>
        <w:t xml:space="preserve">, n° </w:t>
      </w:r>
      <w:r w:rsidRPr="00C12A34">
        <w:rPr>
          <w:rFonts w:ascii="Times New Roman" w:eastAsia="Times New Roman" w:hAnsi="Times New Roman" w:cs="Times New Roman"/>
          <w:color w:val="000000"/>
          <w:sz w:val="24"/>
          <w:szCs w:val="24"/>
          <w:lang w:val="en-US" w:eastAsia="fr-FR"/>
        </w:rPr>
        <w:t xml:space="preserve">2, </w:t>
      </w:r>
      <w:r w:rsidR="00B26A4B">
        <w:rPr>
          <w:rFonts w:ascii="Times New Roman" w:eastAsia="Times New Roman" w:hAnsi="Times New Roman" w:cs="Times New Roman"/>
          <w:color w:val="000000"/>
          <w:sz w:val="24"/>
          <w:szCs w:val="24"/>
          <w:lang w:val="en-US" w:eastAsia="fr-FR"/>
        </w:rPr>
        <w:t>p</w:t>
      </w:r>
      <w:r w:rsidRPr="00C12A34">
        <w:rPr>
          <w:rFonts w:ascii="Times New Roman" w:eastAsia="Times New Roman" w:hAnsi="Times New Roman" w:cs="Times New Roman"/>
          <w:color w:val="000000"/>
          <w:sz w:val="24"/>
          <w:szCs w:val="24"/>
          <w:lang w:val="en-US" w:eastAsia="fr-FR"/>
        </w:rPr>
        <w:t>p. 98-112.</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Manyena</w:t>
      </w:r>
      <w:r w:rsidRPr="008C7745">
        <w:rPr>
          <w:rFonts w:ascii="Times New Roman" w:eastAsia="Times New Roman" w:hAnsi="Times New Roman" w:cs="Times New Roman"/>
          <w:b/>
          <w:bCs/>
          <w:color w:val="000000"/>
          <w:sz w:val="24"/>
          <w:szCs w:val="24"/>
          <w:lang w:val="en-US" w:eastAsia="fr-FR"/>
        </w:rPr>
        <w:t>, S. B. (2006)</w:t>
      </w:r>
      <w:r w:rsidR="008C7745" w:rsidRPr="008C7745">
        <w:rPr>
          <w:rFonts w:ascii="Times New Roman" w:eastAsia="Times New Roman" w:hAnsi="Times New Roman" w:cs="Times New Roman"/>
          <w:b/>
          <w:bCs/>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The concept of resilience revisited. </w:t>
      </w:r>
      <w:r w:rsidRPr="000964C1">
        <w:rPr>
          <w:rFonts w:ascii="Times New Roman" w:eastAsia="Times New Roman" w:hAnsi="Times New Roman" w:cs="Times New Roman"/>
          <w:i/>
          <w:iCs/>
          <w:color w:val="000000"/>
          <w:sz w:val="24"/>
          <w:szCs w:val="24"/>
          <w:lang w:val="en-US" w:eastAsia="fr-FR"/>
        </w:rPr>
        <w:t>Disasters</w:t>
      </w:r>
      <w:r w:rsidRPr="00C12A34">
        <w:rPr>
          <w:rFonts w:ascii="Times New Roman" w:eastAsia="Times New Roman" w:hAnsi="Times New Roman" w:cs="Times New Roman"/>
          <w:color w:val="000000"/>
          <w:sz w:val="24"/>
          <w:szCs w:val="24"/>
          <w:lang w:val="en-US" w:eastAsia="fr-FR"/>
        </w:rPr>
        <w:t xml:space="preserve">, </w:t>
      </w:r>
      <w:r w:rsidR="000964C1">
        <w:rPr>
          <w:rFonts w:ascii="Times New Roman" w:eastAsia="Times New Roman" w:hAnsi="Times New Roman" w:cs="Times New Roman"/>
          <w:color w:val="000000"/>
          <w:sz w:val="24"/>
          <w:szCs w:val="24"/>
          <w:lang w:val="en-US" w:eastAsia="fr-FR"/>
        </w:rPr>
        <w:t xml:space="preserve">vol. </w:t>
      </w:r>
      <w:r w:rsidRPr="00C12A34">
        <w:rPr>
          <w:rFonts w:ascii="Times New Roman" w:eastAsia="Times New Roman" w:hAnsi="Times New Roman" w:cs="Times New Roman"/>
          <w:color w:val="000000"/>
          <w:sz w:val="24"/>
          <w:szCs w:val="24"/>
          <w:lang w:val="en-US" w:eastAsia="fr-FR"/>
        </w:rPr>
        <w:t xml:space="preserve">30, </w:t>
      </w:r>
      <w:r w:rsidR="000964C1">
        <w:rPr>
          <w:rFonts w:ascii="Times New Roman" w:eastAsia="Times New Roman" w:hAnsi="Times New Roman" w:cs="Times New Roman"/>
          <w:color w:val="000000"/>
          <w:sz w:val="24"/>
          <w:szCs w:val="24"/>
          <w:lang w:val="en-US" w:eastAsia="fr-FR"/>
        </w:rPr>
        <w:t xml:space="preserve">p. </w:t>
      </w:r>
      <w:r w:rsidRPr="00C12A34">
        <w:rPr>
          <w:rFonts w:ascii="Times New Roman" w:eastAsia="Times New Roman" w:hAnsi="Times New Roman" w:cs="Times New Roman"/>
          <w:color w:val="000000"/>
          <w:sz w:val="24"/>
          <w:szCs w:val="24"/>
          <w:lang w:val="en-US" w:eastAsia="fr-FR"/>
        </w:rPr>
        <w:t>433-450.</w:t>
      </w:r>
    </w:p>
    <w:p w:rsidR="00E724B9" w:rsidRDefault="00B62F86"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90" w:history="1">
        <w:r w:rsidR="00E724B9" w:rsidRPr="00F77863">
          <w:rPr>
            <w:rFonts w:ascii="Times New Roman" w:eastAsia="Times New Roman" w:hAnsi="Times New Roman" w:cs="Times New Roman"/>
            <w:b/>
            <w:bCs/>
            <w:color w:val="000000"/>
            <w:sz w:val="24"/>
            <w:szCs w:val="24"/>
            <w:lang w:val="en-US" w:eastAsia="fr-FR"/>
          </w:rPr>
          <w:t>Marcus</w:t>
        </w:r>
        <w:r w:rsidR="00E724B9" w:rsidRPr="00F8482D">
          <w:rPr>
            <w:rFonts w:ascii="Times New Roman" w:eastAsia="Times New Roman" w:hAnsi="Times New Roman" w:cs="Times New Roman"/>
            <w:b/>
            <w:bCs/>
            <w:color w:val="000000"/>
            <w:sz w:val="24"/>
            <w:szCs w:val="24"/>
            <w:lang w:val="en-US" w:eastAsia="fr-FR"/>
          </w:rPr>
          <w:t>, L. &amp; Colding, J., (2014):</w:t>
        </w:r>
        <w:r w:rsidR="00E724B9" w:rsidRPr="00F8482D">
          <w:rPr>
            <w:rFonts w:ascii="Times New Roman" w:eastAsia="Times New Roman" w:hAnsi="Times New Roman" w:cs="Times New Roman"/>
            <w:color w:val="000000"/>
            <w:sz w:val="24"/>
            <w:szCs w:val="24"/>
            <w:lang w:val="en-US" w:eastAsia="fr-FR"/>
          </w:rPr>
          <w:t xml:space="preserve"> Toward an integrated theory of spatial morphology and resilient urban systems, </w:t>
        </w:r>
        <w:r w:rsidR="00E724B9" w:rsidRPr="00F8482D">
          <w:rPr>
            <w:rFonts w:ascii="Times New Roman" w:eastAsia="Times New Roman" w:hAnsi="Times New Roman" w:cs="Times New Roman"/>
            <w:i/>
            <w:iCs/>
            <w:color w:val="000000"/>
            <w:sz w:val="24"/>
            <w:szCs w:val="24"/>
            <w:lang w:val="en-US" w:eastAsia="fr-FR"/>
          </w:rPr>
          <w:t>Ecology and Society</w:t>
        </w:r>
        <w:r w:rsidR="00E724B9" w:rsidRPr="00F8482D">
          <w:rPr>
            <w:rFonts w:ascii="Times New Roman" w:eastAsia="Times New Roman" w:hAnsi="Times New Roman" w:cs="Times New Roman"/>
            <w:color w:val="000000"/>
            <w:sz w:val="24"/>
            <w:szCs w:val="24"/>
            <w:lang w:val="en-US" w:eastAsia="fr-FR"/>
          </w:rPr>
          <w:t>, vol. 19</w:t>
        </w:r>
        <w:r w:rsidR="000964C1" w:rsidRPr="00F8482D">
          <w:rPr>
            <w:rFonts w:ascii="Times New Roman" w:eastAsia="Times New Roman" w:hAnsi="Times New Roman" w:cs="Times New Roman"/>
            <w:color w:val="000000"/>
            <w:sz w:val="24"/>
            <w:szCs w:val="24"/>
            <w:lang w:val="en-US" w:eastAsia="fr-FR"/>
          </w:rPr>
          <w:t xml:space="preserve">, n° </w:t>
        </w:r>
        <w:r w:rsidR="00E724B9" w:rsidRPr="00F8482D">
          <w:rPr>
            <w:rFonts w:ascii="Times New Roman" w:eastAsia="Times New Roman" w:hAnsi="Times New Roman" w:cs="Times New Roman"/>
            <w:color w:val="000000"/>
            <w:sz w:val="24"/>
            <w:szCs w:val="24"/>
            <w:lang w:val="en-US" w:eastAsia="fr-FR"/>
          </w:rPr>
          <w:t>4</w:t>
        </w:r>
        <w:r w:rsidR="006C1DE7" w:rsidRPr="00F8482D">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006C1DE7" w:rsidRPr="00F8482D">
          <w:rPr>
            <w:rFonts w:ascii="Times New Roman" w:eastAsia="Times New Roman" w:hAnsi="Times New Roman" w:cs="Times New Roman"/>
            <w:color w:val="000000"/>
            <w:sz w:val="24"/>
            <w:szCs w:val="24"/>
            <w:lang w:val="en-US" w:eastAsia="fr-FR"/>
          </w:rPr>
          <w:t xml:space="preserve">p. </w:t>
        </w:r>
        <w:r w:rsidR="00F8482D" w:rsidRPr="00F8482D">
          <w:rPr>
            <w:rFonts w:ascii="Times New Roman" w:eastAsia="Times New Roman" w:hAnsi="Times New Roman" w:cs="Times New Roman" w:hint="cs"/>
            <w:color w:val="000000"/>
            <w:sz w:val="24"/>
            <w:szCs w:val="24"/>
            <w:rtl/>
            <w:lang w:val="en-US" w:eastAsia="fr-FR"/>
          </w:rPr>
          <w:t>1</w:t>
        </w:r>
        <w:r w:rsidR="006C1DE7" w:rsidRPr="00F8482D">
          <w:rPr>
            <w:rFonts w:ascii="Times New Roman" w:eastAsia="Times New Roman" w:hAnsi="Times New Roman" w:cs="Times New Roman"/>
            <w:color w:val="000000"/>
            <w:sz w:val="24"/>
            <w:szCs w:val="24"/>
            <w:lang w:val="en-US" w:eastAsia="fr-FR"/>
          </w:rPr>
          <w:t>-</w:t>
        </w:r>
        <w:r w:rsidR="00F8482D" w:rsidRPr="00F8482D">
          <w:rPr>
            <w:rFonts w:ascii="Times New Roman" w:eastAsia="Times New Roman" w:hAnsi="Times New Roman" w:cs="Times New Roman" w:hint="cs"/>
            <w:color w:val="000000"/>
            <w:sz w:val="24"/>
            <w:szCs w:val="24"/>
            <w:rtl/>
            <w:lang w:val="en-US" w:eastAsia="fr-FR"/>
          </w:rPr>
          <w:t>14</w:t>
        </w:r>
        <w:r w:rsidR="00E724B9" w:rsidRPr="00F8482D">
          <w:rPr>
            <w:rFonts w:ascii="Times New Roman" w:eastAsia="Times New Roman" w:hAnsi="Times New Roman" w:cs="Times New Roman"/>
            <w:color w:val="000000"/>
            <w:sz w:val="24"/>
            <w:szCs w:val="24"/>
            <w:lang w:val="en-US" w:eastAsia="fr-FR"/>
          </w:rPr>
          <w:t xml:space="preserve">. https://doi.org/10.5751/ES-06939-190455 </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Mathers</w:t>
      </w:r>
      <w:r w:rsidRPr="003A6721">
        <w:rPr>
          <w:rFonts w:ascii="Times New Roman" w:eastAsia="Times New Roman" w:hAnsi="Times New Roman" w:cs="Times New Roman"/>
          <w:b/>
          <w:bCs/>
          <w:color w:val="000000"/>
          <w:sz w:val="24"/>
          <w:szCs w:val="24"/>
          <w:lang w:val="en-US" w:eastAsia="fr-FR"/>
        </w:rPr>
        <w:t xml:space="preserve">, N., Fox, N. </w:t>
      </w:r>
      <w:r w:rsidR="003A6721" w:rsidRPr="003A6721">
        <w:rPr>
          <w:rFonts w:ascii="Times New Roman" w:eastAsia="Times New Roman" w:hAnsi="Times New Roman" w:cs="Times New Roman"/>
          <w:b/>
          <w:bCs/>
          <w:color w:val="000000"/>
          <w:sz w:val="24"/>
          <w:szCs w:val="24"/>
          <w:lang w:val="en-US" w:eastAsia="fr-FR"/>
        </w:rPr>
        <w:t>&amp;</w:t>
      </w:r>
      <w:r w:rsidRPr="003A6721">
        <w:rPr>
          <w:rFonts w:ascii="Times New Roman" w:eastAsia="Times New Roman" w:hAnsi="Times New Roman" w:cs="Times New Roman"/>
          <w:b/>
          <w:bCs/>
          <w:color w:val="000000"/>
          <w:sz w:val="24"/>
          <w:szCs w:val="24"/>
          <w:lang w:val="en-US" w:eastAsia="fr-FR"/>
        </w:rPr>
        <w:t xml:space="preserve"> Hunn, A.</w:t>
      </w:r>
      <w:r w:rsidR="003A6721" w:rsidRPr="003A6721">
        <w:rPr>
          <w:rFonts w:ascii="Times New Roman" w:eastAsia="Times New Roman" w:hAnsi="Times New Roman" w:cs="Times New Roman"/>
          <w:b/>
          <w:bCs/>
          <w:color w:val="000000"/>
          <w:sz w:val="24"/>
          <w:szCs w:val="24"/>
          <w:lang w:val="en-US" w:eastAsia="fr-FR"/>
        </w:rPr>
        <w:t>, (</w:t>
      </w:r>
      <w:r w:rsidRPr="003A6721">
        <w:rPr>
          <w:rFonts w:ascii="Times New Roman" w:eastAsia="Times New Roman" w:hAnsi="Times New Roman" w:cs="Times New Roman"/>
          <w:b/>
          <w:bCs/>
          <w:color w:val="000000"/>
          <w:sz w:val="24"/>
          <w:szCs w:val="24"/>
          <w:lang w:val="en-US" w:eastAsia="fr-FR"/>
        </w:rPr>
        <w:t>2009</w:t>
      </w:r>
      <w:r w:rsidR="003A6721" w:rsidRPr="003A6721">
        <w:rPr>
          <w:rFonts w:ascii="Times New Roman" w:eastAsia="Times New Roman" w:hAnsi="Times New Roman" w:cs="Times New Roman"/>
          <w:b/>
          <w:bCs/>
          <w:color w:val="000000"/>
          <w:sz w:val="24"/>
          <w:szCs w:val="24"/>
          <w:lang w:val="en-US" w:eastAsia="fr-FR"/>
        </w:rPr>
        <w:t>):</w:t>
      </w:r>
      <w:r w:rsidRPr="003A6721">
        <w:rPr>
          <w:rFonts w:ascii="Times New Roman" w:eastAsia="Times New Roman" w:hAnsi="Times New Roman" w:cs="Times New Roman"/>
          <w:color w:val="000000"/>
          <w:sz w:val="24"/>
          <w:szCs w:val="24"/>
          <w:lang w:val="en-US" w:eastAsia="fr-FR"/>
        </w:rPr>
        <w:t xml:space="preserve"> </w:t>
      </w:r>
      <w:r w:rsidR="003A6721" w:rsidRPr="003A6721">
        <w:rPr>
          <w:rFonts w:ascii="Times New Roman" w:eastAsia="Times New Roman" w:hAnsi="Times New Roman" w:cs="Times New Roman"/>
          <w:color w:val="000000"/>
          <w:sz w:val="24"/>
          <w:szCs w:val="24"/>
          <w:lang w:val="en-US" w:eastAsia="fr-FR"/>
        </w:rPr>
        <w:t>“</w:t>
      </w:r>
      <w:r w:rsidRPr="003A6721">
        <w:rPr>
          <w:rFonts w:ascii="Times New Roman" w:eastAsia="Times New Roman" w:hAnsi="Times New Roman" w:cs="Times New Roman"/>
          <w:color w:val="000000"/>
          <w:sz w:val="24"/>
          <w:szCs w:val="24"/>
          <w:lang w:val="en-US" w:eastAsia="fr-FR"/>
        </w:rPr>
        <w:t>Surveys and Questionnaires</w:t>
      </w:r>
      <w:r w:rsidR="003A6721">
        <w:rPr>
          <w:rFonts w:ascii="Times New Roman" w:eastAsia="Times New Roman" w:hAnsi="Times New Roman" w:cs="Times New Roman"/>
          <w:color w:val="000000"/>
          <w:sz w:val="24"/>
          <w:szCs w:val="24"/>
          <w:lang w:val="en-US" w:eastAsia="fr-FR"/>
        </w:rPr>
        <w:t>”,</w:t>
      </w:r>
      <w:r w:rsidRPr="003A6721">
        <w:rPr>
          <w:rFonts w:ascii="Times New Roman" w:eastAsia="Times New Roman" w:hAnsi="Times New Roman" w:cs="Times New Roman"/>
          <w:color w:val="000000"/>
          <w:sz w:val="24"/>
          <w:szCs w:val="24"/>
          <w:lang w:val="en-US" w:eastAsia="fr-FR"/>
        </w:rPr>
        <w:t xml:space="preserve"> </w:t>
      </w:r>
      <w:r w:rsidRPr="003A6721">
        <w:rPr>
          <w:rFonts w:ascii="Times New Roman" w:eastAsia="Times New Roman" w:hAnsi="Times New Roman" w:cs="Times New Roman"/>
          <w:i/>
          <w:iCs/>
          <w:color w:val="000000"/>
          <w:sz w:val="24"/>
          <w:szCs w:val="24"/>
          <w:lang w:val="en-US" w:eastAsia="fr-FR"/>
        </w:rPr>
        <w:t xml:space="preserve">UK: The NIHR RDS for the East Midlands </w:t>
      </w:r>
      <w:r w:rsidRPr="003A6721">
        <w:rPr>
          <w:rFonts w:ascii="Times New Roman" w:eastAsia="Times New Roman" w:hAnsi="Times New Roman" w:cs="Times New Roman"/>
          <w:color w:val="000000"/>
          <w:sz w:val="24"/>
          <w:szCs w:val="24"/>
          <w:lang w:val="en-US" w:eastAsia="fr-FR"/>
        </w:rPr>
        <w:t>/ Yorkshire &amp; the Humber.</w:t>
      </w:r>
    </w:p>
    <w:p w:rsidR="00E724B9" w:rsidRPr="0009236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Mathieu</w:t>
      </w:r>
      <w:r w:rsidRPr="00092361">
        <w:rPr>
          <w:rFonts w:ascii="Times New Roman" w:eastAsia="Times New Roman" w:hAnsi="Times New Roman" w:cs="Times New Roman"/>
          <w:b/>
          <w:bCs/>
          <w:color w:val="000000"/>
          <w:sz w:val="24"/>
          <w:szCs w:val="24"/>
          <w:lang w:eastAsia="fr-FR"/>
        </w:rPr>
        <w:t>. J. P., (1991):</w:t>
      </w:r>
      <w:r w:rsidRPr="00092361">
        <w:rPr>
          <w:rFonts w:ascii="Times New Roman" w:eastAsia="Times New Roman" w:hAnsi="Times New Roman" w:cs="Times New Roman"/>
          <w:color w:val="000000"/>
          <w:sz w:val="24"/>
          <w:szCs w:val="24"/>
          <w:lang w:eastAsia="fr-FR"/>
        </w:rPr>
        <w:t xml:space="preserve"> "Dictionnaire de physique", Paris, Masson, 567p.</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lastRenderedPageBreak/>
        <w:t>Mayada</w:t>
      </w:r>
      <w:r w:rsidRPr="000964C1">
        <w:rPr>
          <w:rFonts w:ascii="Times New Roman" w:eastAsia="Times New Roman" w:hAnsi="Times New Roman" w:cs="Times New Roman"/>
          <w:b/>
          <w:bCs/>
          <w:color w:val="000000"/>
          <w:sz w:val="24"/>
          <w:szCs w:val="24"/>
          <w:lang w:val="en-US" w:eastAsia="fr-FR"/>
        </w:rPr>
        <w:t>, O., (2011)</w:t>
      </w:r>
      <w:r w:rsidR="000964C1" w:rsidRPr="000964C1">
        <w:rPr>
          <w:rFonts w:ascii="Times New Roman" w:eastAsia="Times New Roman" w:hAnsi="Times New Roman" w:cs="Times New Roman"/>
          <w:b/>
          <w:bCs/>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w:t>
      </w:r>
      <w:r w:rsidR="000964C1">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Defining and measuring the resiliency of networked infrastructure systems</w:t>
      </w:r>
      <w:r w:rsidR="000964C1">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 xml:space="preserve"> (PhD thesis), </w:t>
      </w:r>
      <w:r w:rsidRPr="000964C1">
        <w:rPr>
          <w:rFonts w:ascii="Times New Roman" w:eastAsia="Times New Roman" w:hAnsi="Times New Roman" w:cs="Times New Roman"/>
          <w:i/>
          <w:iCs/>
          <w:color w:val="000000"/>
          <w:sz w:val="24"/>
          <w:szCs w:val="24"/>
          <w:lang w:val="en-US" w:eastAsia="fr-FR"/>
        </w:rPr>
        <w:t>Stevenson Institute of Technology</w:t>
      </w:r>
      <w:r w:rsidRPr="00C12A34">
        <w:rPr>
          <w:rFonts w:ascii="Times New Roman" w:eastAsia="Times New Roman" w:hAnsi="Times New Roman" w:cs="Times New Roman"/>
          <w:color w:val="000000"/>
          <w:sz w:val="24"/>
          <w:szCs w:val="24"/>
          <w:lang w:val="en-US" w:eastAsia="fr-FR"/>
        </w:rPr>
        <w:t>, New York.</w:t>
      </w:r>
    </w:p>
    <w:p w:rsidR="006F1380" w:rsidRPr="00AE6E2D" w:rsidRDefault="00B62F86" w:rsidP="00AE6E2D">
      <w:pPr>
        <w:autoSpaceDE w:val="0"/>
        <w:autoSpaceDN w:val="0"/>
        <w:adjustRightInd w:val="0"/>
        <w:spacing w:line="240" w:lineRule="auto"/>
        <w:jc w:val="both"/>
        <w:rPr>
          <w:rFonts w:ascii="Times New Roman" w:eastAsia="Times New Roman" w:hAnsi="Times New Roman" w:cs="Times New Roman"/>
          <w:color w:val="000000" w:themeColor="text1"/>
          <w:sz w:val="24"/>
          <w:szCs w:val="24"/>
          <w:lang w:val="en-US" w:eastAsia="fr-FR"/>
        </w:rPr>
      </w:pPr>
      <w:hyperlink r:id="rId391" w:history="1">
        <w:r w:rsidR="006F1380" w:rsidRPr="00AE6E2D">
          <w:rPr>
            <w:rStyle w:val="Lienhypertexte"/>
            <w:rFonts w:ascii="Times New Roman" w:eastAsia="Times New Roman" w:hAnsi="Times New Roman" w:cs="Times New Roman"/>
            <w:b/>
            <w:bCs/>
            <w:color w:val="000000" w:themeColor="text1"/>
            <w:sz w:val="24"/>
            <w:szCs w:val="24"/>
            <w:u w:val="none"/>
            <w:lang w:val="en-US" w:eastAsia="fr-FR"/>
          </w:rPr>
          <w:t>Mayouf, Z. &amp; Nouibat, B., (2022):</w:t>
        </w:r>
        <w:r w:rsidR="006F1380" w:rsidRPr="00AE6E2D">
          <w:rPr>
            <w:rStyle w:val="Lienhypertexte"/>
            <w:rFonts w:ascii="Times New Roman" w:eastAsia="Times New Roman" w:hAnsi="Times New Roman" w:cs="Times New Roman"/>
            <w:color w:val="000000" w:themeColor="text1"/>
            <w:sz w:val="24"/>
            <w:szCs w:val="24"/>
            <w:u w:val="none"/>
            <w:lang w:val="en-US" w:eastAsia="fr-FR"/>
          </w:rPr>
          <w:t xml:space="preserve"> "Spatial Modeling for Urban Resilience Assessment: Using AHP and GIS (Case Study of Bou-Saâda City, Algeria)", </w:t>
        </w:r>
        <w:r w:rsidR="006F1380" w:rsidRPr="00AE6E2D">
          <w:rPr>
            <w:rStyle w:val="Lienhypertexte"/>
            <w:rFonts w:ascii="Times New Roman" w:eastAsia="Times New Roman" w:hAnsi="Times New Roman" w:cs="Times New Roman"/>
            <w:i/>
            <w:iCs/>
            <w:color w:val="000000" w:themeColor="text1"/>
            <w:sz w:val="24"/>
            <w:szCs w:val="24"/>
            <w:u w:val="none"/>
            <w:lang w:val="en-US" w:eastAsia="fr-FR"/>
          </w:rPr>
          <w:t>Technium Social Sciences Journal</w:t>
        </w:r>
        <w:r w:rsidR="006F1380" w:rsidRPr="00AE6E2D">
          <w:rPr>
            <w:rStyle w:val="Lienhypertexte"/>
            <w:rFonts w:ascii="Times New Roman" w:eastAsia="Times New Roman" w:hAnsi="Times New Roman" w:cs="Times New Roman"/>
            <w:color w:val="000000" w:themeColor="text1"/>
            <w:sz w:val="24"/>
            <w:szCs w:val="24"/>
            <w:u w:val="none"/>
            <w:lang w:val="en-US" w:eastAsia="fr-FR"/>
          </w:rPr>
          <w:t>, vol. 36, p</w:t>
        </w:r>
        <w:r w:rsidR="00191967">
          <w:rPr>
            <w:rStyle w:val="Lienhypertexte"/>
            <w:rFonts w:ascii="Times New Roman" w:eastAsia="Times New Roman" w:hAnsi="Times New Roman" w:cs="Times New Roman"/>
            <w:color w:val="000000" w:themeColor="text1"/>
            <w:sz w:val="24"/>
            <w:szCs w:val="24"/>
            <w:u w:val="none"/>
            <w:lang w:val="en-US" w:eastAsia="fr-FR"/>
          </w:rPr>
          <w:t>p</w:t>
        </w:r>
        <w:r w:rsidR="006F1380" w:rsidRPr="00AE6E2D">
          <w:rPr>
            <w:rStyle w:val="Lienhypertexte"/>
            <w:rFonts w:ascii="Times New Roman" w:eastAsia="Times New Roman" w:hAnsi="Times New Roman" w:cs="Times New Roman"/>
            <w:color w:val="000000" w:themeColor="text1"/>
            <w:sz w:val="24"/>
            <w:szCs w:val="24"/>
            <w:u w:val="none"/>
            <w:lang w:val="en-US" w:eastAsia="fr-FR"/>
          </w:rPr>
          <w:t>. 607–622. https://doi.org/10.47577/tssj.v36i1.7386</w:t>
        </w:r>
      </w:hyperlink>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Mayunga</w:t>
      </w:r>
      <w:r w:rsidRPr="00EA0DC8">
        <w:rPr>
          <w:rFonts w:ascii="Times New Roman" w:eastAsia="Times New Roman" w:hAnsi="Times New Roman" w:cs="Times New Roman"/>
          <w:b/>
          <w:bCs/>
          <w:color w:val="000000"/>
          <w:sz w:val="24"/>
          <w:szCs w:val="24"/>
          <w:lang w:val="en-US" w:eastAsia="fr-FR"/>
        </w:rPr>
        <w:t>, J. S.</w:t>
      </w:r>
      <w:r w:rsidR="00EA0DC8" w:rsidRPr="00EA0DC8">
        <w:rPr>
          <w:rFonts w:ascii="Times New Roman" w:eastAsia="Times New Roman" w:hAnsi="Times New Roman" w:cs="Times New Roman"/>
          <w:b/>
          <w:bCs/>
          <w:color w:val="000000"/>
          <w:sz w:val="24"/>
          <w:szCs w:val="24"/>
          <w:lang w:val="en-US" w:eastAsia="fr-FR"/>
        </w:rPr>
        <w:t>,</w:t>
      </w:r>
      <w:r w:rsidRPr="00EA0DC8">
        <w:rPr>
          <w:rFonts w:ascii="Times New Roman" w:eastAsia="Times New Roman" w:hAnsi="Times New Roman" w:cs="Times New Roman"/>
          <w:b/>
          <w:bCs/>
          <w:color w:val="000000"/>
          <w:sz w:val="24"/>
          <w:szCs w:val="24"/>
          <w:lang w:val="en-US" w:eastAsia="fr-FR"/>
        </w:rPr>
        <w:t xml:space="preserve"> (2007)</w:t>
      </w:r>
      <w:r w:rsidR="00EA0DC8" w:rsidRPr="00EA0DC8">
        <w:rPr>
          <w:rFonts w:ascii="Times New Roman" w:eastAsia="Times New Roman" w:hAnsi="Times New Roman" w:cs="Times New Roman"/>
          <w:b/>
          <w:bCs/>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 xml:space="preserve"> </w:t>
      </w:r>
      <w:r w:rsidR="00EA0DC8">
        <w:rPr>
          <w:rFonts w:ascii="Times New Roman" w:eastAsia="Times New Roman" w:hAnsi="Times New Roman" w:cs="Times New Roman"/>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Understanding and applying the concept of community disaster resilience: a capital-based approach</w:t>
      </w:r>
      <w:r w:rsidR="00EA0DC8">
        <w:rPr>
          <w:rFonts w:ascii="Times New Roman" w:eastAsia="Times New Roman" w:hAnsi="Times New Roman" w:cs="Times New Roman"/>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 xml:space="preserve"> </w:t>
      </w:r>
      <w:r w:rsidR="003A6721">
        <w:rPr>
          <w:rFonts w:ascii="Times New Roman" w:eastAsia="Times New Roman" w:hAnsi="Times New Roman" w:cs="Times New Roman"/>
          <w:i/>
          <w:iCs/>
          <w:color w:val="000000"/>
          <w:sz w:val="24"/>
          <w:szCs w:val="24"/>
          <w:lang w:val="en-US" w:eastAsia="fr-FR"/>
        </w:rPr>
        <w:t xml:space="preserve">summer </w:t>
      </w:r>
      <w:r w:rsidRPr="00EA0DC8">
        <w:rPr>
          <w:rFonts w:ascii="Times New Roman" w:eastAsia="Times New Roman" w:hAnsi="Times New Roman" w:cs="Times New Roman"/>
          <w:i/>
          <w:iCs/>
          <w:color w:val="000000"/>
          <w:sz w:val="24"/>
          <w:szCs w:val="24"/>
          <w:lang w:val="en-US" w:eastAsia="fr-FR"/>
        </w:rPr>
        <w:t>academy for social vulnerability and resilience building</w:t>
      </w:r>
      <w:r w:rsidRPr="00EA0DC8">
        <w:rPr>
          <w:rFonts w:ascii="Times New Roman" w:eastAsia="Times New Roman" w:hAnsi="Times New Roman" w:cs="Times New Roman"/>
          <w:color w:val="000000"/>
          <w:sz w:val="24"/>
          <w:szCs w:val="24"/>
          <w:lang w:val="en-US" w:eastAsia="fr-FR"/>
        </w:rPr>
        <w:t>,</w:t>
      </w:r>
      <w:r w:rsidR="00EA0DC8">
        <w:rPr>
          <w:rFonts w:ascii="Times New Roman" w:eastAsia="Times New Roman" w:hAnsi="Times New Roman" w:cs="Times New Roman"/>
          <w:color w:val="000000"/>
          <w:sz w:val="24"/>
          <w:szCs w:val="24"/>
          <w:lang w:val="en-US" w:eastAsia="fr-FR"/>
        </w:rPr>
        <w:t xml:space="preserve"> vol.</w:t>
      </w:r>
      <w:r w:rsidRPr="00EA0DC8">
        <w:rPr>
          <w:rFonts w:ascii="Times New Roman" w:eastAsia="Times New Roman" w:hAnsi="Times New Roman" w:cs="Times New Roman"/>
          <w:color w:val="000000"/>
          <w:sz w:val="24"/>
          <w:szCs w:val="24"/>
          <w:lang w:val="en-US" w:eastAsia="fr-FR"/>
        </w:rPr>
        <w:t xml:space="preserve"> 1,</w:t>
      </w:r>
      <w:r w:rsidR="00EA0DC8">
        <w:rPr>
          <w:rFonts w:ascii="Times New Roman" w:eastAsia="Times New Roman" w:hAnsi="Times New Roman" w:cs="Times New Roman"/>
          <w:color w:val="000000"/>
          <w:sz w:val="24"/>
          <w:szCs w:val="24"/>
          <w:lang w:val="en-US" w:eastAsia="fr-FR"/>
        </w:rPr>
        <w:t xml:space="preserve"> n° </w:t>
      </w:r>
      <w:r w:rsidRPr="00EA0DC8">
        <w:rPr>
          <w:rFonts w:ascii="Times New Roman" w:eastAsia="Times New Roman" w:hAnsi="Times New Roman" w:cs="Times New Roman"/>
          <w:color w:val="000000"/>
          <w:sz w:val="24"/>
          <w:szCs w:val="24"/>
          <w:lang w:val="en-US" w:eastAsia="fr-FR"/>
        </w:rPr>
        <w:t>16.</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Mayunga</w:t>
      </w:r>
      <w:r w:rsidRPr="00EA0DC8">
        <w:rPr>
          <w:rFonts w:ascii="Times New Roman" w:eastAsia="Times New Roman" w:hAnsi="Times New Roman" w:cs="Times New Roman"/>
          <w:b/>
          <w:bCs/>
          <w:color w:val="000000"/>
          <w:sz w:val="24"/>
          <w:szCs w:val="24"/>
          <w:lang w:val="en-US" w:eastAsia="fr-FR"/>
        </w:rPr>
        <w:t>, J. S.</w:t>
      </w:r>
      <w:r w:rsidR="00EA0DC8" w:rsidRPr="00EA0DC8">
        <w:rPr>
          <w:rFonts w:ascii="Times New Roman" w:eastAsia="Times New Roman" w:hAnsi="Times New Roman" w:cs="Times New Roman"/>
          <w:b/>
          <w:bCs/>
          <w:color w:val="000000"/>
          <w:sz w:val="24"/>
          <w:szCs w:val="24"/>
          <w:lang w:val="en-US" w:eastAsia="fr-FR"/>
        </w:rPr>
        <w:t>,</w:t>
      </w:r>
      <w:r w:rsidRPr="00EA0DC8">
        <w:rPr>
          <w:rFonts w:ascii="Times New Roman" w:eastAsia="Times New Roman" w:hAnsi="Times New Roman" w:cs="Times New Roman"/>
          <w:b/>
          <w:bCs/>
          <w:color w:val="000000"/>
          <w:sz w:val="24"/>
          <w:szCs w:val="24"/>
          <w:lang w:val="en-US" w:eastAsia="fr-FR"/>
        </w:rPr>
        <w:t xml:space="preserve"> (2009)</w:t>
      </w:r>
      <w:r w:rsidR="00EA0DC8" w:rsidRPr="00EA0DC8">
        <w:rPr>
          <w:rFonts w:ascii="Times New Roman" w:eastAsia="Times New Roman" w:hAnsi="Times New Roman" w:cs="Times New Roman"/>
          <w:b/>
          <w:bCs/>
          <w:color w:val="000000"/>
          <w:sz w:val="24"/>
          <w:szCs w:val="24"/>
          <w:lang w:val="en-US" w:eastAsia="fr-FR"/>
        </w:rPr>
        <w:t>:</w:t>
      </w:r>
      <w:r w:rsidR="00EA0DC8">
        <w:rPr>
          <w:rFonts w:ascii="Times New Roman" w:eastAsia="Times New Roman" w:hAnsi="Times New Roman" w:cs="Times New Roman"/>
          <w:color w:val="000000"/>
          <w:sz w:val="24"/>
          <w:szCs w:val="24"/>
          <w:lang w:val="en-US" w:eastAsia="fr-FR"/>
        </w:rPr>
        <w:t xml:space="preserve"> “</w:t>
      </w:r>
      <w:r w:rsidRPr="00EA0DC8">
        <w:rPr>
          <w:rFonts w:ascii="Times New Roman" w:eastAsia="Times New Roman" w:hAnsi="Times New Roman" w:cs="Times New Roman"/>
          <w:color w:val="000000"/>
          <w:sz w:val="24"/>
          <w:szCs w:val="24"/>
          <w:lang w:val="en-US" w:eastAsia="fr-FR"/>
        </w:rPr>
        <w:t>Measuring the measure: A multi-dimensional scale model to measure community disaster resilience in the US Gulf Coast region</w:t>
      </w:r>
      <w:r w:rsidR="00EA0DC8">
        <w:rPr>
          <w:rFonts w:ascii="Times New Roman" w:eastAsia="Times New Roman" w:hAnsi="Times New Roman" w:cs="Times New Roman"/>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 xml:space="preserve"> </w:t>
      </w:r>
      <w:r w:rsidRPr="00EA0DC8">
        <w:rPr>
          <w:rFonts w:ascii="Times New Roman" w:eastAsia="Times New Roman" w:hAnsi="Times New Roman" w:cs="Times New Roman"/>
          <w:i/>
          <w:iCs/>
          <w:color w:val="000000"/>
          <w:sz w:val="24"/>
          <w:szCs w:val="24"/>
          <w:lang w:val="en-US" w:eastAsia="fr-FR"/>
        </w:rPr>
        <w:t>Texas A&amp;M University</w:t>
      </w:r>
      <w:r w:rsidR="00EA0DC8">
        <w:rPr>
          <w:rFonts w:ascii="Times New Roman" w:eastAsia="Times New Roman" w:hAnsi="Times New Roman" w:cs="Times New Roman"/>
          <w:color w:val="000000"/>
          <w:sz w:val="24"/>
          <w:szCs w:val="24"/>
          <w:lang w:val="en-US" w:eastAsia="fr-FR"/>
        </w:rPr>
        <w:t>.</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rtl/>
          <w:lang w:val="en-US" w:eastAsia="fr-FR"/>
        </w:rPr>
      </w:pPr>
      <w:r w:rsidRPr="00F77863">
        <w:rPr>
          <w:rFonts w:ascii="Times New Roman" w:eastAsia="Times New Roman" w:hAnsi="Times New Roman" w:cs="Times New Roman"/>
          <w:b/>
          <w:bCs/>
          <w:color w:val="000000"/>
          <w:sz w:val="24"/>
          <w:szCs w:val="24"/>
          <w:lang w:val="en-US" w:eastAsia="fr-FR"/>
        </w:rPr>
        <w:t>Meerow</w:t>
      </w:r>
      <w:r w:rsidRPr="00C12A34">
        <w:rPr>
          <w:rFonts w:ascii="Times New Roman" w:eastAsia="Times New Roman" w:hAnsi="Times New Roman" w:cs="Times New Roman"/>
          <w:b/>
          <w:bCs/>
          <w:color w:val="000000"/>
          <w:sz w:val="24"/>
          <w:szCs w:val="24"/>
          <w:lang w:val="en-US" w:eastAsia="fr-FR"/>
        </w:rPr>
        <w:t>, S., Newell, J. P. &amp; Stults, M., (2016):</w:t>
      </w:r>
      <w:r w:rsidRPr="00C12A34">
        <w:rPr>
          <w:rFonts w:ascii="Times New Roman" w:eastAsia="Times New Roman" w:hAnsi="Times New Roman" w:cs="Times New Roman"/>
          <w:color w:val="000000"/>
          <w:sz w:val="24"/>
          <w:szCs w:val="24"/>
          <w:lang w:val="en-US" w:eastAsia="fr-FR"/>
        </w:rPr>
        <w:t xml:space="preserve"> "Defining urban resilience: A review" </w:t>
      </w:r>
      <w:r w:rsidRPr="000964C1">
        <w:rPr>
          <w:rFonts w:ascii="Times New Roman" w:eastAsia="Times New Roman" w:hAnsi="Times New Roman" w:cs="Times New Roman"/>
          <w:i/>
          <w:iCs/>
          <w:color w:val="000000"/>
          <w:sz w:val="24"/>
          <w:szCs w:val="24"/>
          <w:lang w:val="en-US" w:eastAsia="fr-FR"/>
        </w:rPr>
        <w:t>Landscape and Urban Planning</w:t>
      </w:r>
      <w:r w:rsidRPr="00C12A34">
        <w:rPr>
          <w:rFonts w:ascii="Times New Roman" w:eastAsia="Times New Roman" w:hAnsi="Times New Roman" w:cs="Times New Roman"/>
          <w:color w:val="000000"/>
          <w:sz w:val="24"/>
          <w:szCs w:val="24"/>
          <w:lang w:val="en-US" w:eastAsia="fr-FR"/>
        </w:rPr>
        <w:t xml:space="preserve">, vol. 147, </w:t>
      </w:r>
      <w:r w:rsidR="00B26A4B">
        <w:rPr>
          <w:rFonts w:ascii="Times New Roman" w:eastAsia="Times New Roman" w:hAnsi="Times New Roman" w:cs="Times New Roman"/>
          <w:color w:val="000000"/>
          <w:sz w:val="24"/>
          <w:szCs w:val="24"/>
          <w:lang w:val="en-US" w:eastAsia="fr-FR"/>
        </w:rPr>
        <w:t>p</w:t>
      </w:r>
      <w:r w:rsidRPr="00C12A34">
        <w:rPr>
          <w:rFonts w:ascii="Times New Roman" w:eastAsia="Times New Roman" w:hAnsi="Times New Roman" w:cs="Times New Roman"/>
          <w:color w:val="000000"/>
          <w:sz w:val="24"/>
          <w:szCs w:val="24"/>
          <w:lang w:val="en-US" w:eastAsia="fr-FR"/>
        </w:rPr>
        <w:t>p. 38</w:t>
      </w:r>
      <w:r w:rsidR="000964C1">
        <w:rPr>
          <w:rFonts w:ascii="Times New Roman" w:eastAsia="Times New Roman" w:hAnsi="Times New Roman" w:cs="Times New Roman"/>
          <w:color w:val="000000"/>
          <w:sz w:val="24"/>
          <w:szCs w:val="24"/>
          <w:lang w:val="en-US" w:eastAsia="fr-FR"/>
        </w:rPr>
        <w:t>-</w:t>
      </w:r>
      <w:r w:rsidRPr="00C12A34">
        <w:rPr>
          <w:rFonts w:ascii="Times New Roman" w:eastAsia="Times New Roman" w:hAnsi="Times New Roman" w:cs="Times New Roman"/>
          <w:color w:val="000000"/>
          <w:sz w:val="24"/>
          <w:szCs w:val="24"/>
          <w:lang w:val="en-US" w:eastAsia="fr-FR"/>
        </w:rPr>
        <w:t>49.</w:t>
      </w:r>
    </w:p>
    <w:p w:rsidR="00F8482D" w:rsidRPr="00F8482D" w:rsidRDefault="00F8482D" w:rsidP="00AE6E2D">
      <w:pPr>
        <w:autoSpaceDE w:val="0"/>
        <w:autoSpaceDN w:val="0"/>
        <w:adjustRightInd w:val="0"/>
        <w:spacing w:line="240" w:lineRule="auto"/>
        <w:jc w:val="both"/>
        <w:rPr>
          <w:rFonts w:asciiTheme="majorBidi" w:eastAsia="Times New Roman" w:hAnsiTheme="majorBidi" w:cstheme="majorBidi"/>
          <w:color w:val="000000"/>
          <w:sz w:val="28"/>
          <w:szCs w:val="28"/>
          <w:lang w:val="en-US" w:eastAsia="fr-FR"/>
        </w:rPr>
      </w:pPr>
      <w:r w:rsidRPr="00F77863">
        <w:rPr>
          <w:rFonts w:ascii="Times New Roman" w:eastAsia="Times New Roman" w:hAnsi="Times New Roman" w:cs="Times New Roman"/>
          <w:b/>
          <w:bCs/>
          <w:color w:val="000000"/>
          <w:sz w:val="24"/>
          <w:szCs w:val="24"/>
          <w:lang w:val="en-US" w:eastAsia="fr-FR"/>
        </w:rPr>
        <w:t>Mehaffy</w:t>
      </w:r>
      <w:r w:rsidRPr="00BB57D3">
        <w:rPr>
          <w:rFonts w:asciiTheme="majorBidi" w:hAnsiTheme="majorBidi" w:cstheme="majorBidi"/>
          <w:b/>
          <w:bCs/>
          <w:sz w:val="24"/>
          <w:szCs w:val="24"/>
          <w:lang w:val="en-US"/>
        </w:rPr>
        <w:t>, M., Porta, S., Rofè, Y. &amp; Salingaros, N.</w:t>
      </w:r>
      <w:r w:rsidR="00BB57D3" w:rsidRPr="00BB57D3">
        <w:rPr>
          <w:rFonts w:asciiTheme="majorBidi" w:hAnsiTheme="majorBidi" w:cstheme="majorBidi"/>
          <w:b/>
          <w:bCs/>
          <w:sz w:val="24"/>
          <w:szCs w:val="24"/>
          <w:lang w:val="en-US"/>
        </w:rPr>
        <w:t>, (</w:t>
      </w:r>
      <w:r w:rsidRPr="00BB57D3">
        <w:rPr>
          <w:rFonts w:asciiTheme="majorBidi" w:hAnsiTheme="majorBidi" w:cstheme="majorBidi"/>
          <w:b/>
          <w:bCs/>
          <w:sz w:val="24"/>
          <w:szCs w:val="24"/>
          <w:lang w:val="en-US"/>
        </w:rPr>
        <w:t>2010</w:t>
      </w:r>
      <w:r w:rsidR="00BB57D3" w:rsidRPr="00BB57D3">
        <w:rPr>
          <w:rFonts w:asciiTheme="majorBidi" w:hAnsiTheme="majorBidi" w:cstheme="majorBidi"/>
          <w:b/>
          <w:bCs/>
          <w:sz w:val="24"/>
          <w:szCs w:val="24"/>
          <w:lang w:val="en-US"/>
        </w:rPr>
        <w:t>):</w:t>
      </w:r>
      <w:r w:rsidRPr="00F8482D">
        <w:rPr>
          <w:rFonts w:asciiTheme="majorBidi" w:hAnsiTheme="majorBidi" w:cstheme="majorBidi"/>
          <w:sz w:val="24"/>
          <w:szCs w:val="24"/>
          <w:lang w:val="en-US"/>
        </w:rPr>
        <w:t xml:space="preserve"> </w:t>
      </w:r>
      <w:r w:rsidR="00BB57D3">
        <w:rPr>
          <w:rFonts w:asciiTheme="majorBidi" w:hAnsiTheme="majorBidi" w:cstheme="majorBidi"/>
          <w:sz w:val="24"/>
          <w:szCs w:val="24"/>
          <w:lang w:val="en-US"/>
        </w:rPr>
        <w:t>“</w:t>
      </w:r>
      <w:r w:rsidRPr="00F8482D">
        <w:rPr>
          <w:rFonts w:asciiTheme="majorBidi" w:hAnsiTheme="majorBidi" w:cstheme="majorBidi"/>
          <w:sz w:val="24"/>
          <w:szCs w:val="24"/>
          <w:lang w:val="en-US"/>
        </w:rPr>
        <w:t>Urban nuclei and the geometry of streets: The emergent neighborhoods model</w:t>
      </w:r>
      <w:r w:rsidR="00BB57D3">
        <w:rPr>
          <w:rFonts w:asciiTheme="majorBidi" w:hAnsiTheme="majorBidi" w:cstheme="majorBidi"/>
          <w:sz w:val="24"/>
          <w:szCs w:val="24"/>
          <w:lang w:val="en-US"/>
        </w:rPr>
        <w:t>”,</w:t>
      </w:r>
      <w:r w:rsidRPr="00F8482D">
        <w:rPr>
          <w:rFonts w:asciiTheme="majorBidi" w:hAnsiTheme="majorBidi" w:cstheme="majorBidi"/>
          <w:sz w:val="24"/>
          <w:szCs w:val="24"/>
          <w:lang w:val="en-US"/>
        </w:rPr>
        <w:t xml:space="preserve"> </w:t>
      </w:r>
      <w:r w:rsidRPr="00F8482D">
        <w:rPr>
          <w:rFonts w:asciiTheme="majorBidi" w:hAnsiTheme="majorBidi" w:cstheme="majorBidi"/>
          <w:i/>
          <w:iCs/>
          <w:sz w:val="24"/>
          <w:szCs w:val="24"/>
          <w:lang w:val="en-US"/>
        </w:rPr>
        <w:t>Urban Design International</w:t>
      </w:r>
      <w:r w:rsidRPr="00BB57D3">
        <w:rPr>
          <w:rFonts w:asciiTheme="majorBidi" w:hAnsiTheme="majorBidi" w:cstheme="majorBidi"/>
          <w:sz w:val="24"/>
          <w:szCs w:val="24"/>
          <w:lang w:val="en-US"/>
        </w:rPr>
        <w:t xml:space="preserve">, </w:t>
      </w:r>
      <w:r w:rsidR="00BB57D3">
        <w:rPr>
          <w:rFonts w:asciiTheme="majorBidi" w:hAnsiTheme="majorBidi" w:cstheme="majorBidi"/>
          <w:sz w:val="24"/>
          <w:szCs w:val="24"/>
          <w:lang w:val="en-US"/>
        </w:rPr>
        <w:t xml:space="preserve">vol. </w:t>
      </w:r>
      <w:r w:rsidRPr="00BB57D3">
        <w:rPr>
          <w:rFonts w:asciiTheme="majorBidi" w:hAnsiTheme="majorBidi" w:cstheme="majorBidi"/>
          <w:sz w:val="24"/>
          <w:szCs w:val="24"/>
          <w:lang w:val="en-US"/>
        </w:rPr>
        <w:t>1</w:t>
      </w:r>
      <w:r w:rsidRPr="00F8482D">
        <w:rPr>
          <w:rFonts w:asciiTheme="majorBidi" w:hAnsiTheme="majorBidi" w:cstheme="majorBidi"/>
          <w:sz w:val="24"/>
          <w:szCs w:val="24"/>
          <w:lang w:val="en-US"/>
        </w:rPr>
        <w:t>5</w:t>
      </w:r>
      <w:r w:rsidRPr="00F8482D">
        <w:rPr>
          <w:rFonts w:asciiTheme="majorBidi" w:hAnsiTheme="majorBidi" w:cstheme="majorBidi"/>
          <w:b/>
          <w:bCs/>
          <w:sz w:val="24"/>
          <w:szCs w:val="24"/>
          <w:lang w:val="en-US"/>
        </w:rPr>
        <w:t xml:space="preserve">, </w:t>
      </w:r>
      <w:r w:rsidR="00BB57D3" w:rsidRPr="00B26A4B">
        <w:rPr>
          <w:rFonts w:asciiTheme="majorBidi" w:hAnsiTheme="majorBidi" w:cstheme="majorBidi"/>
          <w:sz w:val="24"/>
          <w:szCs w:val="24"/>
          <w:lang w:val="en-US"/>
        </w:rPr>
        <w:t>pp.</w:t>
      </w:r>
      <w:r w:rsidR="00BB57D3">
        <w:rPr>
          <w:rFonts w:asciiTheme="majorBidi" w:hAnsiTheme="majorBidi" w:cstheme="majorBidi"/>
          <w:b/>
          <w:bCs/>
          <w:sz w:val="24"/>
          <w:szCs w:val="24"/>
          <w:lang w:val="en-US"/>
        </w:rPr>
        <w:t xml:space="preserve"> </w:t>
      </w:r>
      <w:r w:rsidRPr="00F8482D">
        <w:rPr>
          <w:rFonts w:asciiTheme="majorBidi" w:hAnsiTheme="majorBidi" w:cstheme="majorBidi"/>
          <w:sz w:val="24"/>
          <w:szCs w:val="24"/>
          <w:lang w:val="en-US"/>
        </w:rPr>
        <w:t>22-46.</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Mellin</w:t>
      </w:r>
      <w:r w:rsidRPr="00C12A34">
        <w:rPr>
          <w:rFonts w:ascii="Times New Roman" w:eastAsia="Times New Roman" w:hAnsi="Times New Roman" w:cs="Times New Roman"/>
          <w:b/>
          <w:bCs/>
          <w:color w:val="000000"/>
          <w:sz w:val="24"/>
          <w:szCs w:val="24"/>
          <w:lang w:val="en-US" w:eastAsia="fr-FR"/>
        </w:rPr>
        <w:t>, C., Matthews, S.</w:t>
      </w:r>
      <w:r w:rsidR="008C7745">
        <w:rPr>
          <w:rFonts w:ascii="Times New Roman" w:eastAsia="Times New Roman" w:hAnsi="Times New Roman" w:cs="Times New Roman"/>
          <w:b/>
          <w:bCs/>
          <w:color w:val="000000"/>
          <w:sz w:val="24"/>
          <w:szCs w:val="24"/>
          <w:lang w:val="en-US" w:eastAsia="fr-FR"/>
        </w:rPr>
        <w:t xml:space="preserve"> &amp;</w:t>
      </w:r>
      <w:r w:rsidRPr="00C12A34">
        <w:rPr>
          <w:rFonts w:ascii="Times New Roman" w:eastAsia="Times New Roman" w:hAnsi="Times New Roman" w:cs="Times New Roman"/>
          <w:b/>
          <w:bCs/>
          <w:color w:val="000000"/>
          <w:sz w:val="24"/>
          <w:szCs w:val="24"/>
          <w:lang w:val="en-US" w:eastAsia="fr-FR"/>
        </w:rPr>
        <w:t xml:space="preserve"> Anthony, K.R.N., (2019):</w:t>
      </w:r>
      <w:r w:rsidRPr="00C12A34">
        <w:rPr>
          <w:rFonts w:ascii="Times New Roman" w:eastAsia="Times New Roman" w:hAnsi="Times New Roman" w:cs="Times New Roman"/>
          <w:color w:val="000000"/>
          <w:sz w:val="24"/>
          <w:szCs w:val="24"/>
          <w:lang w:val="en-US" w:eastAsia="fr-FR"/>
        </w:rPr>
        <w:t xml:space="preserve"> “Spatial resilience of the Great</w:t>
      </w:r>
      <w:r w:rsidR="00EA0DC8">
        <w:rPr>
          <w:rFonts w:ascii="Times New Roman" w:eastAsia="Times New Roman" w:hAnsi="Times New Roman" w:cs="Times New Roman"/>
          <w:color w:val="000000"/>
          <w:sz w:val="24"/>
          <w:szCs w:val="24"/>
          <w:lang w:val="en-US" w:eastAsia="fr-FR"/>
        </w:rPr>
        <w:t xml:space="preserve"> </w:t>
      </w:r>
      <w:r w:rsidRPr="00C12A34">
        <w:rPr>
          <w:rFonts w:ascii="Times New Roman" w:eastAsia="Times New Roman" w:hAnsi="Times New Roman" w:cs="Times New Roman"/>
          <w:color w:val="000000"/>
          <w:sz w:val="24"/>
          <w:szCs w:val="24"/>
          <w:lang w:val="en-US" w:eastAsia="fr-FR"/>
        </w:rPr>
        <w:t xml:space="preserve">Barrier Reef under cumulative disturbance impacts”, </w:t>
      </w:r>
      <w:r w:rsidRPr="000964C1">
        <w:rPr>
          <w:rFonts w:ascii="Times New Roman" w:eastAsia="Times New Roman" w:hAnsi="Times New Roman" w:cs="Times New Roman"/>
          <w:i/>
          <w:iCs/>
          <w:color w:val="000000"/>
          <w:sz w:val="24"/>
          <w:szCs w:val="24"/>
          <w:lang w:val="en-US" w:eastAsia="fr-FR"/>
        </w:rPr>
        <w:t>Global Change Biology</w:t>
      </w:r>
      <w:r w:rsidRPr="00C12A34">
        <w:rPr>
          <w:rFonts w:ascii="Times New Roman" w:eastAsia="Times New Roman" w:hAnsi="Times New Roman" w:cs="Times New Roman"/>
          <w:color w:val="000000"/>
          <w:sz w:val="24"/>
          <w:szCs w:val="24"/>
          <w:lang w:val="en-US" w:eastAsia="fr-FR"/>
        </w:rPr>
        <w:t xml:space="preserve">, </w:t>
      </w:r>
      <w:r w:rsidR="000964C1">
        <w:rPr>
          <w:rFonts w:ascii="Times New Roman" w:eastAsia="Times New Roman" w:hAnsi="Times New Roman" w:cs="Times New Roman"/>
          <w:color w:val="000000"/>
          <w:sz w:val="24"/>
          <w:szCs w:val="24"/>
          <w:lang w:val="en-US" w:eastAsia="fr-FR"/>
        </w:rPr>
        <w:t xml:space="preserve">vol. </w:t>
      </w:r>
      <w:r w:rsidRPr="00C12A34">
        <w:rPr>
          <w:rFonts w:ascii="Times New Roman" w:eastAsia="Times New Roman" w:hAnsi="Times New Roman" w:cs="Times New Roman"/>
          <w:color w:val="000000"/>
          <w:sz w:val="24"/>
          <w:szCs w:val="24"/>
          <w:lang w:val="en-US" w:eastAsia="fr-FR"/>
        </w:rPr>
        <w:t>25</w:t>
      </w:r>
      <w:r w:rsidR="000964C1">
        <w:rPr>
          <w:rFonts w:ascii="Times New Roman" w:eastAsia="Times New Roman" w:hAnsi="Times New Roman" w:cs="Times New Roman"/>
          <w:color w:val="000000"/>
          <w:sz w:val="24"/>
          <w:szCs w:val="24"/>
          <w:lang w:val="en-US" w:eastAsia="fr-FR"/>
        </w:rPr>
        <w:t xml:space="preserve">, n° </w:t>
      </w:r>
      <w:r w:rsidRPr="00C12A34">
        <w:rPr>
          <w:rFonts w:ascii="Times New Roman" w:eastAsia="Times New Roman" w:hAnsi="Times New Roman" w:cs="Times New Roman"/>
          <w:color w:val="000000"/>
          <w:sz w:val="24"/>
          <w:szCs w:val="24"/>
          <w:lang w:val="en-US" w:eastAsia="fr-FR"/>
        </w:rPr>
        <w:t xml:space="preserve">7, </w:t>
      </w:r>
      <w:r w:rsidR="00B26A4B">
        <w:rPr>
          <w:rFonts w:ascii="Times New Roman" w:eastAsia="Times New Roman" w:hAnsi="Times New Roman" w:cs="Times New Roman"/>
          <w:color w:val="000000"/>
          <w:sz w:val="24"/>
          <w:szCs w:val="24"/>
          <w:lang w:val="en-US" w:eastAsia="fr-FR"/>
        </w:rPr>
        <w:t>p</w:t>
      </w:r>
      <w:r w:rsidRPr="00C12A34">
        <w:rPr>
          <w:rFonts w:ascii="Times New Roman" w:eastAsia="Times New Roman" w:hAnsi="Times New Roman" w:cs="Times New Roman"/>
          <w:color w:val="000000"/>
          <w:sz w:val="24"/>
          <w:szCs w:val="24"/>
          <w:lang w:val="en-US" w:eastAsia="fr-FR"/>
        </w:rPr>
        <w:t>p. 2431–2445.</w:t>
      </w:r>
    </w:p>
    <w:p w:rsidR="00D0344B" w:rsidRDefault="00D0344B" w:rsidP="00AE6E2D">
      <w:pPr>
        <w:autoSpaceDE w:val="0"/>
        <w:autoSpaceDN w:val="0"/>
        <w:adjustRightInd w:val="0"/>
        <w:spacing w:line="240" w:lineRule="auto"/>
        <w:rPr>
          <w:rFonts w:asciiTheme="majorBidi" w:hAnsiTheme="majorBidi" w:cstheme="majorBidi"/>
          <w:sz w:val="24"/>
          <w:szCs w:val="24"/>
        </w:rPr>
      </w:pPr>
      <w:r w:rsidRPr="002E648F">
        <w:rPr>
          <w:rFonts w:ascii="Times New Roman" w:eastAsia="Times New Roman" w:hAnsi="Times New Roman" w:cs="Times New Roman"/>
          <w:b/>
          <w:bCs/>
          <w:color w:val="000000"/>
          <w:sz w:val="24"/>
          <w:szCs w:val="24"/>
          <w:lang w:eastAsia="fr-FR"/>
        </w:rPr>
        <w:t>Merlin, P. and Choay, F., (</w:t>
      </w:r>
      <w:r w:rsidRPr="00D0344B">
        <w:rPr>
          <w:rFonts w:asciiTheme="majorBidi" w:hAnsiTheme="majorBidi" w:cstheme="majorBidi"/>
          <w:b/>
          <w:bCs/>
          <w:sz w:val="24"/>
          <w:szCs w:val="24"/>
        </w:rPr>
        <w:t>1988) :</w:t>
      </w:r>
      <w:r w:rsidRPr="00D0344B">
        <w:rPr>
          <w:rFonts w:asciiTheme="majorBidi" w:hAnsiTheme="majorBidi" w:cstheme="majorBidi"/>
          <w:sz w:val="24"/>
          <w:szCs w:val="24"/>
        </w:rPr>
        <w:t xml:space="preserve"> Dictionnaire de l'urbanisme et de l'aménagement, </w:t>
      </w:r>
      <w:r w:rsidRPr="00D0344B">
        <w:rPr>
          <w:rFonts w:asciiTheme="majorBidi" w:hAnsiTheme="majorBidi" w:cstheme="majorBidi"/>
          <w:i/>
          <w:iCs/>
          <w:sz w:val="24"/>
          <w:szCs w:val="24"/>
        </w:rPr>
        <w:t>Presses Universitaires de France</w:t>
      </w:r>
      <w:r w:rsidRPr="00D0344B">
        <w:rPr>
          <w:rFonts w:asciiTheme="majorBidi" w:hAnsiTheme="majorBidi" w:cstheme="majorBidi"/>
          <w:sz w:val="24"/>
          <w:szCs w:val="24"/>
        </w:rPr>
        <w:t>, Paris, 723p.</w:t>
      </w:r>
    </w:p>
    <w:p w:rsidR="00911279" w:rsidRDefault="00911279" w:rsidP="00AE6E2D">
      <w:pPr>
        <w:autoSpaceDE w:val="0"/>
        <w:autoSpaceDN w:val="0"/>
        <w:adjustRightInd w:val="0"/>
        <w:spacing w:line="240" w:lineRule="auto"/>
        <w:jc w:val="both"/>
        <w:rPr>
          <w:rFonts w:ascii="Times New Roman" w:eastAsia="Times New Roman" w:hAnsi="Times New Roman" w:cs="Times New Roman"/>
          <w:b/>
          <w:bCs/>
          <w:color w:val="000000"/>
          <w:sz w:val="24"/>
          <w:szCs w:val="24"/>
          <w:lang w:eastAsia="fr-FR"/>
        </w:rPr>
      </w:pPr>
      <w:r w:rsidRPr="00911279">
        <w:rPr>
          <w:rFonts w:ascii="Times New Roman" w:eastAsia="Times New Roman" w:hAnsi="Times New Roman" w:cs="Times New Roman"/>
          <w:b/>
          <w:bCs/>
          <w:color w:val="000000"/>
          <w:sz w:val="24"/>
          <w:szCs w:val="24"/>
          <w:lang w:eastAsia="fr-FR"/>
        </w:rPr>
        <w:t xml:space="preserve">Mili, M., Farhi,A. &amp; Boutabba, H., (2015): </w:t>
      </w:r>
      <w:r w:rsidRPr="00911279">
        <w:rPr>
          <w:rFonts w:ascii="Times New Roman" w:eastAsia="Times New Roman" w:hAnsi="Times New Roman" w:cs="Times New Roman"/>
          <w:color w:val="000000"/>
          <w:sz w:val="24"/>
          <w:szCs w:val="24"/>
          <w:lang w:eastAsia="fr-FR"/>
        </w:rPr>
        <w:t>Evaluation post-occupationnelle des logements sociaux transformes en copropriété cas de la ville de M'sila en Algérie, Courrier du Savoir – N°20, Décembre2015, pp.141-158</w:t>
      </w:r>
      <w:r w:rsidRPr="00911279">
        <w:rPr>
          <w:rFonts w:ascii="Times New Roman" w:eastAsia="Times New Roman" w:hAnsi="Times New Roman" w:cs="Times New Roman"/>
          <w:b/>
          <w:bCs/>
          <w:color w:val="000000"/>
          <w:sz w:val="24"/>
          <w:szCs w:val="24"/>
          <w:lang w:eastAsia="fr-FR"/>
        </w:rPr>
        <w:t xml:space="preserve"> </w:t>
      </w:r>
    </w:p>
    <w:p w:rsidR="00F5307F" w:rsidRPr="00911279" w:rsidRDefault="00B62F86" w:rsidP="00911279">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hyperlink r:id="rId392" w:history="1">
        <w:r w:rsidR="00F5307F" w:rsidRPr="00911279">
          <w:rPr>
            <w:rFonts w:ascii="Times New Roman" w:eastAsia="Times New Roman" w:hAnsi="Times New Roman" w:cs="Times New Roman"/>
            <w:b/>
            <w:bCs/>
            <w:color w:val="000000"/>
            <w:sz w:val="24"/>
            <w:szCs w:val="24"/>
            <w:lang w:val="en-US" w:eastAsia="fr-FR"/>
          </w:rPr>
          <w:t>Moghadasa, M., Asadzadeha, A., Vafeidisb, A., Feketec, A. &amp; Kottera, T., (2019):</w:t>
        </w:r>
        <w:r w:rsidR="00F5307F" w:rsidRPr="00911279">
          <w:rPr>
            <w:rFonts w:ascii="Times New Roman" w:eastAsia="Times New Roman" w:hAnsi="Times New Roman" w:cs="Times New Roman"/>
            <w:i/>
            <w:iCs/>
            <w:color w:val="000000"/>
            <w:sz w:val="24"/>
            <w:szCs w:val="24"/>
            <w:lang w:val="en-US" w:eastAsia="fr-FR"/>
          </w:rPr>
          <w:t xml:space="preserve"> </w:t>
        </w:r>
        <w:r w:rsidR="00F5307F" w:rsidRPr="00911279">
          <w:rPr>
            <w:rFonts w:ascii="Times New Roman" w:eastAsia="Times New Roman" w:hAnsi="Times New Roman" w:cs="Times New Roman"/>
            <w:color w:val="000000"/>
            <w:sz w:val="24"/>
            <w:szCs w:val="24"/>
            <w:lang w:val="en-US" w:eastAsia="fr-FR"/>
          </w:rPr>
          <w:t>“A multi-criteria approach for assessing urban flood resilience in Tehran, Iran”,</w:t>
        </w:r>
        <w:r w:rsidR="00F5307F" w:rsidRPr="00911279">
          <w:rPr>
            <w:rFonts w:ascii="Times New Roman" w:eastAsia="Times New Roman" w:hAnsi="Times New Roman" w:cs="Times New Roman"/>
            <w:i/>
            <w:iCs/>
            <w:color w:val="000000"/>
            <w:sz w:val="24"/>
            <w:szCs w:val="24"/>
            <w:lang w:val="en-US" w:eastAsia="fr-FR"/>
          </w:rPr>
          <w:t xml:space="preserve"> International Journal of Disaster Risk Reduction</w:t>
        </w:r>
        <w:r w:rsidR="00F5307F" w:rsidRPr="00911279">
          <w:rPr>
            <w:rFonts w:ascii="Times New Roman" w:eastAsia="Times New Roman" w:hAnsi="Times New Roman" w:cs="Times New Roman"/>
            <w:color w:val="000000"/>
            <w:sz w:val="24"/>
            <w:szCs w:val="24"/>
            <w:lang w:val="en-US" w:eastAsia="fr-FR"/>
          </w:rPr>
          <w:t xml:space="preserve">, vol. 35. https://doi.org/10.1016/j.ijdrr.2019.101069 </w:t>
        </w:r>
      </w:hyperlink>
    </w:p>
    <w:p w:rsidR="00E724B9" w:rsidRPr="0009236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Moudon</w:t>
      </w:r>
      <w:r w:rsidRPr="00EA0DC8">
        <w:rPr>
          <w:rFonts w:ascii="Times New Roman" w:eastAsia="Times New Roman" w:hAnsi="Times New Roman" w:cs="Times New Roman"/>
          <w:b/>
          <w:bCs/>
          <w:color w:val="000000"/>
          <w:sz w:val="24"/>
          <w:szCs w:val="24"/>
          <w:lang w:val="en-US" w:eastAsia="fr-FR"/>
        </w:rPr>
        <w:t xml:space="preserve"> AV (1994):</w:t>
      </w:r>
      <w:r w:rsidRPr="00EA0DC8">
        <w:rPr>
          <w:rFonts w:ascii="Times New Roman" w:eastAsia="Times New Roman" w:hAnsi="Times New Roman" w:cs="Times New Roman"/>
          <w:color w:val="000000"/>
          <w:sz w:val="24"/>
          <w:szCs w:val="24"/>
          <w:lang w:val="en-US" w:eastAsia="fr-FR"/>
        </w:rPr>
        <w:t xml:space="preserve"> "Getting to know the built landscape: typo</w:t>
      </w:r>
      <w:r w:rsidR="000964C1" w:rsidRPr="00EA0DC8">
        <w:rPr>
          <w:rFonts w:ascii="Times New Roman" w:eastAsia="Times New Roman" w:hAnsi="Times New Roman" w:cs="Times New Roman"/>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morphology". In: Frank K and Schneekloth L (eds) In Ordering Space: Types in Architecture and Design</w:t>
      </w:r>
      <w:r w:rsidR="00EA0DC8">
        <w:rPr>
          <w:rFonts w:ascii="Times New Roman" w:eastAsia="Times New Roman" w:hAnsi="Times New Roman" w:cs="Times New Roman"/>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 xml:space="preserve"> New York: </w:t>
      </w:r>
      <w:r w:rsidRPr="00EA0DC8">
        <w:rPr>
          <w:rFonts w:ascii="Times New Roman" w:eastAsia="Times New Roman" w:hAnsi="Times New Roman" w:cs="Times New Roman"/>
          <w:i/>
          <w:iCs/>
          <w:color w:val="000000"/>
          <w:sz w:val="24"/>
          <w:szCs w:val="24"/>
          <w:lang w:val="en-US" w:eastAsia="fr-FR"/>
        </w:rPr>
        <w:t>Van Nostrand Reinhold</w:t>
      </w:r>
      <w:r w:rsidRPr="00EA0DC8">
        <w:rPr>
          <w:rFonts w:ascii="Times New Roman" w:eastAsia="Times New Roman" w:hAnsi="Times New Roman" w:cs="Times New Roman"/>
          <w:color w:val="000000"/>
          <w:sz w:val="24"/>
          <w:szCs w:val="24"/>
          <w:lang w:val="en-US" w:eastAsia="fr-FR"/>
        </w:rPr>
        <w:t>, p</w:t>
      </w:r>
      <w:r w:rsidR="00B26A4B">
        <w:rPr>
          <w:rFonts w:ascii="Times New Roman" w:eastAsia="Times New Roman" w:hAnsi="Times New Roman" w:cs="Times New Roman"/>
          <w:color w:val="000000"/>
          <w:sz w:val="24"/>
          <w:szCs w:val="24"/>
          <w:lang w:val="en-US" w:eastAsia="fr-FR"/>
        </w:rPr>
        <w:t>p</w:t>
      </w:r>
      <w:r w:rsidRPr="00EA0DC8">
        <w:rPr>
          <w:rFonts w:ascii="Times New Roman" w:eastAsia="Times New Roman" w:hAnsi="Times New Roman" w:cs="Times New Roman"/>
          <w:color w:val="000000"/>
          <w:sz w:val="24"/>
          <w:szCs w:val="24"/>
          <w:lang w:val="en-US" w:eastAsia="fr-FR"/>
        </w:rPr>
        <w:t>. 289–314.</w:t>
      </w:r>
    </w:p>
    <w:p w:rsidR="00E724B9" w:rsidRP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Mousavi</w:t>
      </w:r>
      <w:r w:rsidRPr="00EA0DC8">
        <w:rPr>
          <w:rFonts w:ascii="Times New Roman" w:eastAsia="Times New Roman" w:hAnsi="Times New Roman" w:cs="Times New Roman"/>
          <w:b/>
          <w:bCs/>
          <w:color w:val="000000"/>
          <w:sz w:val="24"/>
          <w:szCs w:val="24"/>
          <w:lang w:val="en-US" w:eastAsia="fr-FR"/>
        </w:rPr>
        <w:t>, S. H.</w:t>
      </w:r>
      <w:r w:rsidR="00EA0DC8" w:rsidRPr="00EA0DC8">
        <w:rPr>
          <w:rFonts w:ascii="Times New Roman" w:eastAsia="Times New Roman" w:hAnsi="Times New Roman" w:cs="Times New Roman"/>
          <w:b/>
          <w:bCs/>
          <w:color w:val="000000"/>
          <w:sz w:val="24"/>
          <w:szCs w:val="24"/>
          <w:lang w:val="en-US" w:eastAsia="fr-FR"/>
        </w:rPr>
        <w:t>,</w:t>
      </w:r>
      <w:r w:rsidRPr="00EA0DC8">
        <w:rPr>
          <w:rFonts w:ascii="Times New Roman" w:eastAsia="Times New Roman" w:hAnsi="Times New Roman" w:cs="Times New Roman"/>
          <w:b/>
          <w:bCs/>
          <w:color w:val="000000"/>
          <w:sz w:val="24"/>
          <w:szCs w:val="24"/>
          <w:lang w:val="en-US" w:eastAsia="fr-FR"/>
        </w:rPr>
        <w:t xml:space="preserve"> (2015)</w:t>
      </w:r>
      <w:r w:rsidR="00EA0DC8" w:rsidRPr="00EA0DC8">
        <w:rPr>
          <w:rFonts w:ascii="Times New Roman" w:eastAsia="Times New Roman" w:hAnsi="Times New Roman" w:cs="Times New Roman"/>
          <w:b/>
          <w:bCs/>
          <w:color w:val="000000"/>
          <w:sz w:val="24"/>
          <w:szCs w:val="24"/>
          <w:lang w:val="en-US" w:eastAsia="fr-FR"/>
        </w:rPr>
        <w:t>:</w:t>
      </w:r>
      <w:r w:rsidR="00EA0DC8" w:rsidRPr="00EA0DC8">
        <w:rPr>
          <w:rFonts w:ascii="Times New Roman" w:eastAsia="Times New Roman" w:hAnsi="Times New Roman" w:cs="Times New Roman"/>
          <w:color w:val="000000"/>
          <w:sz w:val="24"/>
          <w:szCs w:val="24"/>
          <w:lang w:val="en-US" w:eastAsia="fr-FR"/>
        </w:rPr>
        <w:t xml:space="preserve"> “</w:t>
      </w:r>
      <w:r w:rsidRPr="00EA0DC8">
        <w:rPr>
          <w:rFonts w:ascii="Times New Roman" w:eastAsia="Times New Roman" w:hAnsi="Times New Roman" w:cs="Times New Roman"/>
          <w:color w:val="000000"/>
          <w:sz w:val="24"/>
          <w:szCs w:val="24"/>
          <w:lang w:val="en-US" w:eastAsia="fr-FR"/>
        </w:rPr>
        <w:t>Site selection for artificial reefs using a new combine Multi-Criteria Decision-Making (MCDM) tools for coral reefs in the Kish Island–Persian Gulf</w:t>
      </w:r>
      <w:r w:rsidR="00EA0DC8" w:rsidRPr="00EA0DC8">
        <w:rPr>
          <w:rFonts w:ascii="Times New Roman" w:eastAsia="Times New Roman" w:hAnsi="Times New Roman" w:cs="Times New Roman"/>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 xml:space="preserve"> </w:t>
      </w:r>
      <w:r w:rsidRPr="00EA0DC8">
        <w:rPr>
          <w:rFonts w:ascii="Times New Roman" w:eastAsia="Times New Roman" w:hAnsi="Times New Roman" w:cs="Times New Roman"/>
          <w:i/>
          <w:iCs/>
          <w:color w:val="000000"/>
          <w:sz w:val="24"/>
          <w:szCs w:val="24"/>
          <w:lang w:val="en-US" w:eastAsia="fr-FR"/>
        </w:rPr>
        <w:t>Ocean &amp; Coastal Managem</w:t>
      </w:r>
      <w:r w:rsidRPr="00EA0DC8">
        <w:rPr>
          <w:rFonts w:ascii="Times New Roman" w:eastAsia="Times New Roman" w:hAnsi="Times New Roman" w:cs="Times New Roman"/>
          <w:color w:val="000000"/>
          <w:sz w:val="24"/>
          <w:szCs w:val="24"/>
          <w:lang w:val="en-US" w:eastAsia="fr-FR"/>
        </w:rPr>
        <w:t xml:space="preserve">, </w:t>
      </w:r>
      <w:r w:rsidR="00EA0DC8" w:rsidRPr="00EA0DC8">
        <w:rPr>
          <w:rFonts w:ascii="Times New Roman" w:eastAsia="Times New Roman" w:hAnsi="Times New Roman" w:cs="Times New Roman"/>
          <w:color w:val="000000"/>
          <w:sz w:val="24"/>
          <w:szCs w:val="24"/>
          <w:lang w:val="en-US" w:eastAsia="fr-FR"/>
        </w:rPr>
        <w:t>vol.</w:t>
      </w:r>
      <w:r w:rsidRPr="00EA0DC8">
        <w:rPr>
          <w:rFonts w:ascii="Times New Roman" w:eastAsia="Times New Roman" w:hAnsi="Times New Roman" w:cs="Times New Roman"/>
          <w:color w:val="000000"/>
          <w:sz w:val="24"/>
          <w:szCs w:val="24"/>
          <w:lang w:val="en-US" w:eastAsia="fr-FR"/>
        </w:rPr>
        <w:t xml:space="preserve"> 111, p</w:t>
      </w:r>
      <w:r w:rsidR="00B26A4B">
        <w:rPr>
          <w:rFonts w:ascii="Times New Roman" w:eastAsia="Times New Roman" w:hAnsi="Times New Roman" w:cs="Times New Roman"/>
          <w:color w:val="000000"/>
          <w:sz w:val="24"/>
          <w:szCs w:val="24"/>
          <w:lang w:val="en-US" w:eastAsia="fr-FR"/>
        </w:rPr>
        <w:t>p</w:t>
      </w:r>
      <w:r w:rsidRPr="00EA0DC8">
        <w:rPr>
          <w:rFonts w:ascii="Times New Roman" w:eastAsia="Times New Roman" w:hAnsi="Times New Roman" w:cs="Times New Roman"/>
          <w:color w:val="000000"/>
          <w:sz w:val="24"/>
          <w:szCs w:val="24"/>
          <w:lang w:val="en-US" w:eastAsia="fr-FR"/>
        </w:rPr>
        <w:t>. 92</w:t>
      </w:r>
      <w:r w:rsidR="00EA0DC8" w:rsidRPr="00EA0DC8">
        <w:rPr>
          <w:rFonts w:ascii="Times New Roman" w:eastAsia="Times New Roman" w:hAnsi="Times New Roman" w:cs="Times New Roman"/>
          <w:color w:val="000000"/>
          <w:sz w:val="24"/>
          <w:szCs w:val="24"/>
          <w:lang w:val="en-US" w:eastAsia="fr-FR"/>
        </w:rPr>
        <w:t>-</w:t>
      </w:r>
      <w:r w:rsidRPr="00EA0DC8">
        <w:rPr>
          <w:rFonts w:ascii="Times New Roman" w:eastAsia="Times New Roman" w:hAnsi="Times New Roman" w:cs="Times New Roman"/>
          <w:color w:val="000000"/>
          <w:sz w:val="24"/>
          <w:szCs w:val="24"/>
          <w:lang w:val="en-US" w:eastAsia="fr-FR"/>
        </w:rPr>
        <w:t>102.</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Murray</w:t>
      </w:r>
      <w:r w:rsidRPr="00F04897">
        <w:rPr>
          <w:rFonts w:ascii="Times New Roman" w:eastAsia="Times New Roman" w:hAnsi="Times New Roman" w:cs="Times New Roman"/>
          <w:b/>
          <w:bCs/>
          <w:color w:val="000000"/>
          <w:sz w:val="24"/>
          <w:szCs w:val="24"/>
          <w:lang w:val="en-US" w:eastAsia="fr-FR"/>
        </w:rPr>
        <w:t xml:space="preserve">-tuite, P. M., </w:t>
      </w:r>
      <w:r w:rsidR="008C7745" w:rsidRPr="00F04897">
        <w:rPr>
          <w:rFonts w:ascii="Times New Roman" w:eastAsia="Times New Roman" w:hAnsi="Times New Roman" w:cs="Times New Roman"/>
          <w:b/>
          <w:bCs/>
          <w:color w:val="000000"/>
          <w:sz w:val="24"/>
          <w:szCs w:val="24"/>
          <w:lang w:val="en-US" w:eastAsia="fr-FR"/>
        </w:rPr>
        <w:t>(</w:t>
      </w:r>
      <w:r w:rsidRPr="00F04897">
        <w:rPr>
          <w:rFonts w:ascii="Times New Roman" w:eastAsia="Times New Roman" w:hAnsi="Times New Roman" w:cs="Times New Roman"/>
          <w:b/>
          <w:bCs/>
          <w:color w:val="000000"/>
          <w:sz w:val="24"/>
          <w:szCs w:val="24"/>
          <w:lang w:val="en-US" w:eastAsia="fr-FR"/>
        </w:rPr>
        <w:t>2006</w:t>
      </w:r>
      <w:r w:rsidR="008C7745" w:rsidRPr="00F04897">
        <w:rPr>
          <w:rFonts w:ascii="Times New Roman" w:eastAsia="Times New Roman" w:hAnsi="Times New Roman" w:cs="Times New Roman"/>
          <w:b/>
          <w:bCs/>
          <w:color w:val="000000"/>
          <w:sz w:val="24"/>
          <w:szCs w:val="24"/>
          <w:lang w:val="en-US" w:eastAsia="fr-FR"/>
        </w:rPr>
        <w:t>):</w:t>
      </w:r>
      <w:r w:rsidRPr="00F04897">
        <w:rPr>
          <w:rFonts w:ascii="Times New Roman" w:eastAsia="Times New Roman" w:hAnsi="Times New Roman" w:cs="Times New Roman"/>
          <w:color w:val="000000"/>
          <w:sz w:val="24"/>
          <w:szCs w:val="24"/>
          <w:lang w:val="en-US" w:eastAsia="fr-FR"/>
        </w:rPr>
        <w:t xml:space="preserve"> </w:t>
      </w:r>
      <w:r w:rsidR="008C7745" w:rsidRPr="00F04897">
        <w:rPr>
          <w:rFonts w:ascii="Times New Roman" w:eastAsia="Times New Roman" w:hAnsi="Times New Roman" w:cs="Times New Roman"/>
          <w:color w:val="000000"/>
          <w:sz w:val="24"/>
          <w:szCs w:val="24"/>
          <w:lang w:val="en-US" w:eastAsia="fr-FR"/>
        </w:rPr>
        <w:t>“</w:t>
      </w:r>
      <w:r w:rsidRPr="00F04897">
        <w:rPr>
          <w:rFonts w:ascii="Times New Roman" w:eastAsia="Times New Roman" w:hAnsi="Times New Roman" w:cs="Times New Roman"/>
          <w:color w:val="000000"/>
          <w:sz w:val="24"/>
          <w:szCs w:val="24"/>
          <w:lang w:val="en-US" w:eastAsia="fr-FR"/>
        </w:rPr>
        <w:t>A comparison of transportation network resilience under simulated system optimum and user equilibrium conditions</w:t>
      </w:r>
      <w:r w:rsidR="008C7745" w:rsidRPr="00F04897">
        <w:rPr>
          <w:rFonts w:ascii="Times New Roman" w:eastAsia="Times New Roman" w:hAnsi="Times New Roman" w:cs="Times New Roman"/>
          <w:color w:val="000000"/>
          <w:sz w:val="24"/>
          <w:szCs w:val="24"/>
          <w:lang w:val="en-US" w:eastAsia="fr-FR"/>
        </w:rPr>
        <w:t>”,</w:t>
      </w:r>
      <w:r w:rsidRPr="00F04897">
        <w:rPr>
          <w:rFonts w:ascii="Times New Roman" w:eastAsia="Times New Roman" w:hAnsi="Times New Roman" w:cs="Times New Roman"/>
          <w:color w:val="000000"/>
          <w:sz w:val="24"/>
          <w:szCs w:val="24"/>
          <w:lang w:val="en-US" w:eastAsia="fr-FR"/>
        </w:rPr>
        <w:t xml:space="preserve"> Proceedings of the 2006 Winter Simulation Conference, Édité par L. F. Perrone, F. P.Wieland, J. Liu, B. G. Lawson, D.M. Nicol et R.M. Fujimoto, </w:t>
      </w:r>
      <w:r w:rsidR="006C1DE7" w:rsidRPr="00F04897">
        <w:rPr>
          <w:rFonts w:ascii="Times New Roman" w:eastAsia="Times New Roman" w:hAnsi="Times New Roman" w:cs="Times New Roman"/>
          <w:color w:val="000000"/>
          <w:sz w:val="24"/>
          <w:szCs w:val="24"/>
          <w:lang w:val="en-US" w:eastAsia="fr-FR"/>
        </w:rPr>
        <w:t xml:space="preserve">ISBN 1424405017, </w:t>
      </w:r>
      <w:r w:rsidR="00B26A4B">
        <w:rPr>
          <w:rFonts w:ascii="Times New Roman" w:eastAsia="Times New Roman" w:hAnsi="Times New Roman" w:cs="Times New Roman"/>
          <w:color w:val="000000"/>
          <w:sz w:val="24"/>
          <w:szCs w:val="24"/>
          <w:lang w:val="en-US" w:eastAsia="fr-FR"/>
        </w:rPr>
        <w:t>p</w:t>
      </w:r>
      <w:r w:rsidR="006C1DE7" w:rsidRPr="00F04897">
        <w:rPr>
          <w:rFonts w:ascii="Times New Roman" w:eastAsia="Times New Roman" w:hAnsi="Times New Roman" w:cs="Times New Roman"/>
          <w:color w:val="000000"/>
          <w:sz w:val="24"/>
          <w:szCs w:val="24"/>
          <w:lang w:val="en-US" w:eastAsia="fr-FR"/>
        </w:rPr>
        <w:t>p. 1398–1405.</w:t>
      </w:r>
    </w:p>
    <w:p w:rsidR="00E724B9" w:rsidRPr="004E5234"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Neal</w:t>
      </w:r>
      <w:r w:rsidRPr="00F04897">
        <w:rPr>
          <w:rFonts w:ascii="Times New Roman" w:eastAsia="Times New Roman" w:hAnsi="Times New Roman" w:cs="Times New Roman"/>
          <w:b/>
          <w:bCs/>
          <w:color w:val="000000"/>
          <w:sz w:val="24"/>
          <w:szCs w:val="24"/>
          <w:lang w:val="en-US" w:eastAsia="fr-FR"/>
        </w:rPr>
        <w:t xml:space="preserve"> Z (2013):</w:t>
      </w:r>
      <w:r w:rsidRPr="00F04897">
        <w:rPr>
          <w:rFonts w:ascii="Times New Roman" w:eastAsia="Times New Roman" w:hAnsi="Times New Roman" w:cs="Times New Roman"/>
          <w:color w:val="000000"/>
          <w:sz w:val="24"/>
          <w:szCs w:val="24"/>
          <w:lang w:val="en-US" w:eastAsia="fr-FR"/>
        </w:rPr>
        <w:t xml:space="preserve"> “The Connected City: How Networks Are Shaping the Modern Metropolis”, New York: Routledge.</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Nel, D., Bruyns</w:t>
      </w:r>
      <w:r w:rsidRPr="004E5234">
        <w:rPr>
          <w:rFonts w:ascii="Times New Roman" w:eastAsia="Times New Roman" w:hAnsi="Times New Roman" w:cs="Times New Roman"/>
          <w:b/>
          <w:bCs/>
          <w:color w:val="000000"/>
          <w:sz w:val="24"/>
          <w:szCs w:val="24"/>
          <w:lang w:val="en-US" w:eastAsia="fr-FR"/>
        </w:rPr>
        <w:t>, G., Higgins, C.D., (2018):</w:t>
      </w:r>
      <w:r w:rsidRPr="004E5234">
        <w:rPr>
          <w:rFonts w:ascii="Times New Roman" w:eastAsia="Times New Roman" w:hAnsi="Times New Roman" w:cs="Times New Roman"/>
          <w:color w:val="000000"/>
          <w:sz w:val="24"/>
          <w:szCs w:val="24"/>
          <w:lang w:val="en-US" w:eastAsia="fr-FR"/>
        </w:rPr>
        <w:t xml:space="preserve"> "Urban Design, Connectivity and its Role in Building Urban Spatial Resilience", Urban Form and Social Context: From Traditions to </w:t>
      </w:r>
      <w:r w:rsidRPr="004E5234">
        <w:rPr>
          <w:rFonts w:ascii="Times New Roman" w:eastAsia="Times New Roman" w:hAnsi="Times New Roman" w:cs="Times New Roman"/>
          <w:color w:val="000000"/>
          <w:sz w:val="24"/>
          <w:szCs w:val="24"/>
          <w:lang w:val="en-US" w:eastAsia="fr-FR"/>
        </w:rPr>
        <w:lastRenderedPageBreak/>
        <w:t>Newest Demands</w:t>
      </w:r>
      <w:r w:rsidR="004E41F9">
        <w:rPr>
          <w:rFonts w:ascii="Times New Roman" w:eastAsia="Times New Roman" w:hAnsi="Times New Roman" w:cs="Times New Roman"/>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 xml:space="preserve"> Presented at the 25th ISUF International Conference, </w:t>
      </w:r>
      <w:r w:rsidRPr="004E41F9">
        <w:rPr>
          <w:rFonts w:ascii="Times New Roman" w:eastAsia="Times New Roman" w:hAnsi="Times New Roman" w:cs="Times New Roman"/>
          <w:i/>
          <w:iCs/>
          <w:color w:val="000000"/>
          <w:sz w:val="24"/>
          <w:szCs w:val="24"/>
          <w:lang w:val="en-US" w:eastAsia="fr-FR"/>
        </w:rPr>
        <w:t>Sib. Feder. University</w:t>
      </w:r>
      <w:r w:rsidRPr="004E5234">
        <w:rPr>
          <w:rFonts w:ascii="Times New Roman" w:eastAsia="Times New Roman" w:hAnsi="Times New Roman" w:cs="Times New Roman"/>
          <w:color w:val="000000"/>
          <w:sz w:val="24"/>
          <w:szCs w:val="24"/>
          <w:lang w:val="en-US" w:eastAsia="fr-FR"/>
        </w:rPr>
        <w:t>, Krasnoyarsk, pp. 921-930.</w:t>
      </w:r>
    </w:p>
    <w:p w:rsidR="00E724B9" w:rsidRPr="00D04B96" w:rsidRDefault="00E724B9" w:rsidP="00B26A4B">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NIST</w:t>
      </w:r>
      <w:r w:rsidR="004E41F9" w:rsidRPr="004E41F9">
        <w:rPr>
          <w:rFonts w:ascii="Times New Roman" w:eastAsia="Times New Roman" w:hAnsi="Times New Roman" w:cs="Times New Roman"/>
          <w:b/>
          <w:bCs/>
          <w:color w:val="000000"/>
          <w:sz w:val="24"/>
          <w:szCs w:val="24"/>
          <w:lang w:val="en-US" w:eastAsia="fr-FR"/>
        </w:rPr>
        <w:t xml:space="preserve">, </w:t>
      </w:r>
      <w:r w:rsidRPr="004E41F9">
        <w:rPr>
          <w:rFonts w:ascii="Times New Roman" w:eastAsia="Times New Roman" w:hAnsi="Times New Roman" w:cs="Times New Roman"/>
          <w:b/>
          <w:bCs/>
          <w:color w:val="000000"/>
          <w:sz w:val="24"/>
          <w:szCs w:val="24"/>
          <w:lang w:val="en-US" w:eastAsia="fr-FR"/>
        </w:rPr>
        <w:t>(2015)</w:t>
      </w:r>
      <w:r w:rsidR="004E41F9" w:rsidRPr="004E41F9">
        <w:rPr>
          <w:rFonts w:ascii="Times New Roman" w:eastAsia="Times New Roman" w:hAnsi="Times New Roman" w:cs="Times New Roman"/>
          <w:b/>
          <w:bCs/>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 xml:space="preserve"> </w:t>
      </w:r>
      <w:r w:rsidR="004E41F9">
        <w:rPr>
          <w:rFonts w:ascii="Times New Roman" w:eastAsia="Times New Roman" w:hAnsi="Times New Roman" w:cs="Times New Roman"/>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Community resilience planning guide for buildings and infrastructure systems</w:t>
      </w:r>
      <w:r w:rsidR="004E41F9">
        <w:rPr>
          <w:rFonts w:ascii="Times New Roman" w:eastAsia="Times New Roman" w:hAnsi="Times New Roman" w:cs="Times New Roman"/>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 volume II</w:t>
      </w:r>
      <w:r w:rsidR="00B26A4B">
        <w:rPr>
          <w:rFonts w:ascii="Times New Roman" w:eastAsia="Times New Roman" w:hAnsi="Times New Roman" w:cs="Times New Roman"/>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 xml:space="preserve"> </w:t>
      </w:r>
      <w:r w:rsidRPr="00D04B96">
        <w:rPr>
          <w:rFonts w:ascii="Times New Roman" w:eastAsia="Times New Roman" w:hAnsi="Times New Roman" w:cs="Times New Roman"/>
          <w:i/>
          <w:iCs/>
          <w:color w:val="000000"/>
          <w:sz w:val="24"/>
          <w:szCs w:val="24"/>
          <w:lang w:val="en-US" w:eastAsia="fr-FR"/>
        </w:rPr>
        <w:t>National Institute of Standards and Technology</w:t>
      </w:r>
      <w:r w:rsidRPr="00D04B96">
        <w:rPr>
          <w:rFonts w:ascii="Times New Roman" w:eastAsia="Times New Roman" w:hAnsi="Times New Roman" w:cs="Times New Roman"/>
          <w:color w:val="000000"/>
          <w:sz w:val="24"/>
          <w:szCs w:val="24"/>
          <w:lang w:val="en-US" w:eastAsia="fr-FR"/>
        </w:rPr>
        <w:t>.</w:t>
      </w:r>
    </w:p>
    <w:p w:rsidR="00053B7E" w:rsidRPr="00053B7E" w:rsidRDefault="00053B7E" w:rsidP="00AE6E2D">
      <w:pPr>
        <w:spacing w:line="240" w:lineRule="auto"/>
        <w:rPr>
          <w:rFonts w:asciiTheme="majorBidi" w:hAnsiTheme="majorBidi" w:cstheme="majorBidi"/>
          <w:sz w:val="24"/>
          <w:szCs w:val="24"/>
        </w:rPr>
      </w:pPr>
      <w:r w:rsidRPr="00F77863">
        <w:rPr>
          <w:rFonts w:ascii="Times New Roman" w:eastAsia="Times New Roman" w:hAnsi="Times New Roman" w:cs="Times New Roman"/>
          <w:b/>
          <w:bCs/>
          <w:color w:val="000000"/>
          <w:sz w:val="24"/>
          <w:szCs w:val="24"/>
          <w:lang w:val="en-US" w:eastAsia="fr-FR"/>
        </w:rPr>
        <w:t>Norris, F. H., Stevens, S. P., Pfefferbaum</w:t>
      </w:r>
      <w:r w:rsidRPr="004A6DC2">
        <w:rPr>
          <w:rFonts w:asciiTheme="majorBidi" w:hAnsiTheme="majorBidi" w:cstheme="majorBidi"/>
          <w:b/>
          <w:bCs/>
          <w:sz w:val="24"/>
          <w:szCs w:val="24"/>
          <w:lang w:val="en-US"/>
        </w:rPr>
        <w:t>, B., Wyche, K. F. &amp; Pfefferbaum, R. L., (2008):</w:t>
      </w:r>
      <w:r w:rsidRPr="004A6DC2">
        <w:rPr>
          <w:rFonts w:asciiTheme="majorBidi" w:hAnsiTheme="majorBidi" w:cstheme="majorBidi"/>
          <w:sz w:val="24"/>
          <w:szCs w:val="24"/>
          <w:lang w:val="en-US"/>
        </w:rPr>
        <w:t xml:space="preserve"> "Community Resilience as a Metaphor, Theory, Set of Capacities, and Strategy for Disaster Readiness”, </w:t>
      </w:r>
      <w:r w:rsidRPr="004A6DC2">
        <w:rPr>
          <w:rFonts w:asciiTheme="majorBidi" w:hAnsiTheme="majorBidi" w:cstheme="majorBidi"/>
          <w:i/>
          <w:iCs/>
          <w:sz w:val="24"/>
          <w:szCs w:val="24"/>
          <w:lang w:val="en-US"/>
        </w:rPr>
        <w:t>American Journal of Community Psychology</w:t>
      </w:r>
      <w:r w:rsidRPr="00B26A4B">
        <w:rPr>
          <w:rFonts w:asciiTheme="majorBidi" w:hAnsiTheme="majorBidi" w:cstheme="majorBidi"/>
          <w:sz w:val="24"/>
          <w:szCs w:val="24"/>
          <w:lang w:val="en-US"/>
        </w:rPr>
        <w:t xml:space="preserve">, </w:t>
      </w:r>
      <w:r w:rsidR="00B26A4B" w:rsidRPr="004E5234">
        <w:rPr>
          <w:rFonts w:ascii="Times New Roman" w:eastAsia="Times New Roman" w:hAnsi="Times New Roman" w:cs="Times New Roman"/>
          <w:color w:val="000000"/>
          <w:sz w:val="24"/>
          <w:szCs w:val="24"/>
          <w:lang w:val="en-US" w:eastAsia="fr-FR"/>
        </w:rPr>
        <w:t xml:space="preserve">vol. </w:t>
      </w:r>
      <w:r w:rsidRPr="00B26A4B">
        <w:rPr>
          <w:rFonts w:asciiTheme="majorBidi" w:hAnsiTheme="majorBidi" w:cstheme="majorBidi"/>
          <w:sz w:val="24"/>
          <w:szCs w:val="24"/>
          <w:lang w:val="en-US"/>
        </w:rPr>
        <w:t>4</w:t>
      </w:r>
      <w:r w:rsidRPr="004A6DC2">
        <w:rPr>
          <w:rFonts w:asciiTheme="majorBidi" w:hAnsiTheme="majorBidi" w:cstheme="majorBidi"/>
          <w:sz w:val="24"/>
          <w:szCs w:val="24"/>
          <w:lang w:val="en-US"/>
        </w:rPr>
        <w:t>1</w:t>
      </w:r>
      <w:r w:rsidRPr="00B26A4B">
        <w:rPr>
          <w:rFonts w:asciiTheme="majorBidi" w:hAnsiTheme="majorBidi" w:cstheme="majorBidi"/>
          <w:sz w:val="24"/>
          <w:szCs w:val="24"/>
          <w:lang w:val="en-US"/>
        </w:rPr>
        <w:t>,</w:t>
      </w:r>
      <w:r w:rsidR="00B26A4B" w:rsidRPr="00B26A4B">
        <w:rPr>
          <w:rFonts w:asciiTheme="majorBidi" w:hAnsiTheme="majorBidi" w:cstheme="majorBidi"/>
          <w:sz w:val="24"/>
          <w:szCs w:val="24"/>
          <w:lang w:val="en-US"/>
        </w:rPr>
        <w:t xml:space="preserve"> pp.</w:t>
      </w:r>
      <w:r w:rsidRPr="004A6DC2">
        <w:rPr>
          <w:rFonts w:asciiTheme="majorBidi" w:hAnsiTheme="majorBidi" w:cstheme="majorBidi"/>
          <w:b/>
          <w:bCs/>
          <w:sz w:val="24"/>
          <w:szCs w:val="24"/>
          <w:lang w:val="en-US"/>
        </w:rPr>
        <w:t xml:space="preserve"> </w:t>
      </w:r>
      <w:r w:rsidRPr="004A6DC2">
        <w:rPr>
          <w:rFonts w:asciiTheme="majorBidi" w:hAnsiTheme="majorBidi" w:cstheme="majorBidi"/>
          <w:sz w:val="24"/>
          <w:szCs w:val="24"/>
          <w:lang w:val="en-US"/>
        </w:rPr>
        <w:t>127-150.</w:t>
      </w:r>
      <w:r w:rsidRPr="004A6DC2">
        <w:rPr>
          <w:lang w:val="en-US"/>
        </w:rPr>
        <w:t xml:space="preserve"> </w:t>
      </w:r>
      <w:r w:rsidRPr="00053B7E">
        <w:rPr>
          <w:rFonts w:asciiTheme="majorBidi" w:hAnsiTheme="majorBidi" w:cstheme="majorBidi"/>
          <w:sz w:val="24"/>
          <w:szCs w:val="24"/>
        </w:rPr>
        <w:t>DOI 10.1007/s10464-007-9156-6</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Nouibat</w:t>
      </w:r>
      <w:r w:rsidRPr="004E5234">
        <w:rPr>
          <w:rFonts w:ascii="Times New Roman" w:eastAsia="Times New Roman" w:hAnsi="Times New Roman" w:cs="Times New Roman"/>
          <w:b/>
          <w:bCs/>
          <w:color w:val="000000"/>
          <w:sz w:val="24"/>
          <w:szCs w:val="24"/>
          <w:lang w:eastAsia="fr-FR"/>
        </w:rPr>
        <w:t>, B., (2007) :</w:t>
      </w:r>
      <w:r w:rsidRPr="004E5234">
        <w:rPr>
          <w:rFonts w:ascii="Times New Roman" w:eastAsia="Times New Roman" w:hAnsi="Times New Roman" w:cs="Times New Roman"/>
          <w:color w:val="000000"/>
          <w:sz w:val="24"/>
          <w:szCs w:val="24"/>
          <w:lang w:eastAsia="fr-FR"/>
        </w:rPr>
        <w:t xml:space="preserve"> "L’occupation optimale du sol urbain dans les quartiers résidentiels en milieux arides et semi- arides (étude de cas: Bou-Saâda)", thèse de doctorat, </w:t>
      </w:r>
      <w:r w:rsidRPr="004E41F9">
        <w:rPr>
          <w:rFonts w:ascii="Times New Roman" w:eastAsia="Times New Roman" w:hAnsi="Times New Roman" w:cs="Times New Roman"/>
          <w:i/>
          <w:iCs/>
          <w:color w:val="000000"/>
          <w:sz w:val="24"/>
          <w:szCs w:val="24"/>
          <w:lang w:eastAsia="fr-FR"/>
        </w:rPr>
        <w:t xml:space="preserve">Université </w:t>
      </w:r>
      <w:r w:rsidR="004E41F9" w:rsidRPr="004E41F9">
        <w:rPr>
          <w:rFonts w:ascii="Times New Roman" w:eastAsia="Times New Roman" w:hAnsi="Times New Roman" w:cs="Times New Roman"/>
          <w:i/>
          <w:iCs/>
          <w:color w:val="000000"/>
          <w:sz w:val="24"/>
          <w:szCs w:val="24"/>
          <w:lang w:eastAsia="fr-FR"/>
        </w:rPr>
        <w:t>Ferhat</w:t>
      </w:r>
      <w:r w:rsidRPr="004E41F9">
        <w:rPr>
          <w:rFonts w:ascii="Times New Roman" w:eastAsia="Times New Roman" w:hAnsi="Times New Roman" w:cs="Times New Roman"/>
          <w:i/>
          <w:iCs/>
          <w:color w:val="000000"/>
          <w:sz w:val="24"/>
          <w:szCs w:val="24"/>
          <w:lang w:eastAsia="fr-FR"/>
        </w:rPr>
        <w:t xml:space="preserve"> A</w:t>
      </w:r>
      <w:r w:rsidR="004E41F9" w:rsidRPr="004E41F9">
        <w:rPr>
          <w:rFonts w:ascii="Times New Roman" w:eastAsia="Times New Roman" w:hAnsi="Times New Roman" w:cs="Times New Roman"/>
          <w:i/>
          <w:iCs/>
          <w:color w:val="000000"/>
          <w:sz w:val="24"/>
          <w:szCs w:val="24"/>
          <w:lang w:eastAsia="fr-FR"/>
        </w:rPr>
        <w:t>bbas</w:t>
      </w:r>
      <w:r w:rsidRPr="004E5234">
        <w:rPr>
          <w:rFonts w:ascii="Times New Roman" w:eastAsia="Times New Roman" w:hAnsi="Times New Roman" w:cs="Times New Roman"/>
          <w:color w:val="000000"/>
          <w:sz w:val="24"/>
          <w:szCs w:val="24"/>
          <w:lang w:eastAsia="fr-FR"/>
        </w:rPr>
        <w:t>, Sétif, 315p.</w:t>
      </w:r>
    </w:p>
    <w:p w:rsidR="00E724B9" w:rsidRPr="0009236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Nouibat</w:t>
      </w:r>
      <w:r w:rsidRPr="00DD4749">
        <w:rPr>
          <w:rFonts w:ascii="Times New Roman" w:eastAsia="Times New Roman" w:hAnsi="Times New Roman" w:cs="Times New Roman"/>
          <w:b/>
          <w:bCs/>
          <w:color w:val="000000"/>
          <w:sz w:val="24"/>
          <w:szCs w:val="24"/>
          <w:lang w:val="en-US" w:eastAsia="fr-FR"/>
        </w:rPr>
        <w:t>, B., Redjem, A.</w:t>
      </w:r>
      <w:r w:rsidR="004E41F9">
        <w:rPr>
          <w:rFonts w:ascii="Times New Roman" w:eastAsia="Times New Roman" w:hAnsi="Times New Roman" w:cs="Times New Roman"/>
          <w:b/>
          <w:bCs/>
          <w:color w:val="000000"/>
          <w:sz w:val="24"/>
          <w:szCs w:val="24"/>
          <w:lang w:val="en-US" w:eastAsia="fr-FR"/>
        </w:rPr>
        <w:t xml:space="preserve"> &amp;</w:t>
      </w:r>
      <w:r w:rsidRPr="00DD4749">
        <w:rPr>
          <w:rFonts w:ascii="Times New Roman" w:eastAsia="Times New Roman" w:hAnsi="Times New Roman" w:cs="Times New Roman"/>
          <w:b/>
          <w:bCs/>
          <w:color w:val="000000"/>
          <w:sz w:val="24"/>
          <w:szCs w:val="24"/>
          <w:lang w:val="en-US" w:eastAsia="fr-FR"/>
        </w:rPr>
        <w:t xml:space="preserve"> Grecu, F.,</w:t>
      </w:r>
      <w:r w:rsidR="00DD4749" w:rsidRPr="00DD4749">
        <w:rPr>
          <w:rFonts w:ascii="Times New Roman" w:eastAsia="Times New Roman" w:hAnsi="Times New Roman" w:cs="Times New Roman"/>
          <w:b/>
          <w:bCs/>
          <w:color w:val="000000"/>
          <w:sz w:val="24"/>
          <w:szCs w:val="24"/>
          <w:lang w:val="en-US" w:eastAsia="fr-FR"/>
        </w:rPr>
        <w:t xml:space="preserve"> (</w:t>
      </w:r>
      <w:r w:rsidRPr="00DD4749">
        <w:rPr>
          <w:rFonts w:ascii="Times New Roman" w:eastAsia="Times New Roman" w:hAnsi="Times New Roman" w:cs="Times New Roman"/>
          <w:b/>
          <w:bCs/>
          <w:color w:val="000000"/>
          <w:sz w:val="24"/>
          <w:szCs w:val="24"/>
          <w:lang w:val="en-US" w:eastAsia="fr-FR"/>
        </w:rPr>
        <w:t>2014</w:t>
      </w:r>
      <w:r w:rsidR="00DD4749" w:rsidRPr="00DD4749">
        <w:rPr>
          <w:rFonts w:ascii="Times New Roman" w:eastAsia="Times New Roman" w:hAnsi="Times New Roman" w:cs="Times New Roman"/>
          <w:b/>
          <w:bCs/>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 </w:t>
      </w:r>
      <w:r w:rsidR="00DD4749">
        <w:rPr>
          <w:rFonts w:ascii="Times New Roman" w:eastAsia="Times New Roman" w:hAnsi="Times New Roman" w:cs="Times New Roman"/>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Analysis of natural hazards in urban areas: The city of Bou-Saâda as a case study in Algeria</w:t>
      </w:r>
      <w:r w:rsidR="00DD4749">
        <w:rPr>
          <w:rFonts w:ascii="Times New Roman" w:eastAsia="Times New Roman" w:hAnsi="Times New Roman" w:cs="Times New Roman"/>
          <w:color w:val="000000"/>
          <w:sz w:val="24"/>
          <w:szCs w:val="24"/>
          <w:lang w:val="en-US" w:eastAsia="fr-FR"/>
        </w:rPr>
        <w:t>”</w:t>
      </w:r>
      <w:r w:rsidRPr="004E5234">
        <w:rPr>
          <w:rFonts w:ascii="Times New Roman" w:eastAsia="Times New Roman" w:hAnsi="Times New Roman" w:cs="Times New Roman"/>
          <w:color w:val="000000"/>
          <w:sz w:val="24"/>
          <w:szCs w:val="24"/>
          <w:lang w:val="en-US" w:eastAsia="fr-FR"/>
        </w:rPr>
        <w:t xml:space="preserve">, </w:t>
      </w:r>
      <w:r w:rsidRPr="00DD4749">
        <w:rPr>
          <w:rFonts w:ascii="Times New Roman" w:eastAsia="Times New Roman" w:hAnsi="Times New Roman" w:cs="Times New Roman"/>
          <w:i/>
          <w:iCs/>
          <w:color w:val="000000"/>
          <w:sz w:val="24"/>
          <w:szCs w:val="24"/>
          <w:lang w:val="en-US" w:eastAsia="fr-FR"/>
        </w:rPr>
        <w:t>Revista de Geomorfologie</w:t>
      </w:r>
      <w:r w:rsidRPr="004E5234">
        <w:rPr>
          <w:rFonts w:ascii="Times New Roman" w:eastAsia="Times New Roman" w:hAnsi="Times New Roman" w:cs="Times New Roman"/>
          <w:color w:val="000000"/>
          <w:sz w:val="24"/>
          <w:szCs w:val="24"/>
          <w:lang w:val="en-US" w:eastAsia="fr-FR"/>
        </w:rPr>
        <w:t xml:space="preserve">, vol. 16, </w:t>
      </w:r>
      <w:r w:rsidR="00B26A4B">
        <w:rPr>
          <w:rFonts w:ascii="Times New Roman" w:eastAsia="Times New Roman" w:hAnsi="Times New Roman" w:cs="Times New Roman"/>
          <w:color w:val="000000"/>
          <w:sz w:val="24"/>
          <w:szCs w:val="24"/>
          <w:lang w:val="en-US" w:eastAsia="fr-FR"/>
        </w:rPr>
        <w:t>p</w:t>
      </w:r>
      <w:r w:rsidRPr="004E5234">
        <w:rPr>
          <w:rFonts w:ascii="Times New Roman" w:eastAsia="Times New Roman" w:hAnsi="Times New Roman" w:cs="Times New Roman"/>
          <w:color w:val="000000"/>
          <w:sz w:val="24"/>
          <w:szCs w:val="24"/>
          <w:lang w:val="en-US" w:eastAsia="fr-FR"/>
        </w:rPr>
        <w:t>p. 89-98.</w:t>
      </w:r>
    </w:p>
    <w:p w:rsidR="00E724B9" w:rsidRPr="009B651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OECD</w:t>
      </w:r>
      <w:r w:rsidR="004E41F9" w:rsidRPr="004E41F9">
        <w:rPr>
          <w:rFonts w:ascii="Times New Roman" w:eastAsia="Times New Roman" w:hAnsi="Times New Roman" w:cs="Times New Roman"/>
          <w:b/>
          <w:bCs/>
          <w:color w:val="000000"/>
          <w:sz w:val="24"/>
          <w:szCs w:val="24"/>
          <w:lang w:val="en-US" w:eastAsia="fr-FR"/>
        </w:rPr>
        <w:t>, (2018/02):</w:t>
      </w:r>
      <w:r w:rsidRPr="00A2539B">
        <w:rPr>
          <w:rFonts w:ascii="Times New Roman" w:eastAsia="Times New Roman" w:hAnsi="Times New Roman" w:cs="Times New Roman"/>
          <w:color w:val="000000"/>
          <w:sz w:val="24"/>
          <w:szCs w:val="24"/>
          <w:lang w:val="en-US" w:eastAsia="fr-FR"/>
        </w:rPr>
        <w:t xml:space="preserve"> </w:t>
      </w:r>
      <w:r w:rsidR="004E41F9">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Indicators for Resilient Cities</w:t>
      </w:r>
      <w:r w:rsidR="004E41F9">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4E41F9">
        <w:rPr>
          <w:rFonts w:ascii="Times New Roman" w:eastAsia="Times New Roman" w:hAnsi="Times New Roman" w:cs="Times New Roman"/>
          <w:i/>
          <w:iCs/>
          <w:color w:val="000000"/>
          <w:sz w:val="24"/>
          <w:szCs w:val="24"/>
          <w:lang w:val="en-US" w:eastAsia="fr-FR"/>
        </w:rPr>
        <w:t>OECD Publishing</w:t>
      </w:r>
      <w:r w:rsidRPr="00A2539B">
        <w:rPr>
          <w:rFonts w:ascii="Times New Roman" w:eastAsia="Times New Roman" w:hAnsi="Times New Roman" w:cs="Times New Roman"/>
          <w:color w:val="000000"/>
          <w:sz w:val="24"/>
          <w:szCs w:val="24"/>
          <w:lang w:val="en-US" w:eastAsia="fr-FR"/>
        </w:rPr>
        <w:t xml:space="preserve">, Paris, </w:t>
      </w:r>
      <w:r w:rsidRPr="009B6519">
        <w:rPr>
          <w:rFonts w:ascii="Times New Roman" w:eastAsia="Times New Roman" w:hAnsi="Times New Roman" w:cs="Times New Roman"/>
          <w:color w:val="000000"/>
          <w:sz w:val="24"/>
          <w:szCs w:val="24"/>
          <w:lang w:val="en-US" w:eastAsia="fr-FR"/>
        </w:rPr>
        <w:t>https://dx.doi.org/10.1787/6f1f6065-en</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Okoli</w:t>
      </w:r>
      <w:r w:rsidRPr="004E41F9">
        <w:rPr>
          <w:rFonts w:ascii="Times New Roman" w:eastAsia="Times New Roman" w:hAnsi="Times New Roman" w:cs="Times New Roman"/>
          <w:b/>
          <w:bCs/>
          <w:color w:val="000000"/>
          <w:sz w:val="24"/>
          <w:szCs w:val="24"/>
          <w:lang w:val="en-US" w:eastAsia="fr-FR"/>
        </w:rPr>
        <w:t>, C., &amp; Pawlowski, S. D. (2004)</w:t>
      </w:r>
      <w:r w:rsidR="004E41F9" w:rsidRPr="004E41F9">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4E41F9">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The Delphi method as a research tool : an example, design considerations and applications</w:t>
      </w:r>
      <w:r w:rsidR="004E41F9">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4E41F9">
        <w:rPr>
          <w:rFonts w:ascii="Times New Roman" w:eastAsia="Times New Roman" w:hAnsi="Times New Roman" w:cs="Times New Roman"/>
          <w:i/>
          <w:iCs/>
          <w:color w:val="000000"/>
          <w:sz w:val="24"/>
          <w:szCs w:val="24"/>
          <w:lang w:val="en-US" w:eastAsia="fr-FR"/>
        </w:rPr>
        <w:t>Information &amp; Management</w:t>
      </w:r>
      <w:r w:rsidRPr="00A2539B">
        <w:rPr>
          <w:rFonts w:ascii="Times New Roman" w:eastAsia="Times New Roman" w:hAnsi="Times New Roman" w:cs="Times New Roman"/>
          <w:color w:val="000000"/>
          <w:sz w:val="24"/>
          <w:szCs w:val="24"/>
          <w:lang w:val="en-US" w:eastAsia="fr-FR"/>
        </w:rPr>
        <w:t xml:space="preserve">, </w:t>
      </w:r>
      <w:r w:rsidR="004E41F9">
        <w:rPr>
          <w:rFonts w:ascii="Times New Roman" w:eastAsia="Times New Roman" w:hAnsi="Times New Roman" w:cs="Times New Roman"/>
          <w:color w:val="000000"/>
          <w:sz w:val="24"/>
          <w:szCs w:val="24"/>
          <w:lang w:val="en-US" w:eastAsia="fr-FR"/>
        </w:rPr>
        <w:t xml:space="preserve">vol. </w:t>
      </w:r>
      <w:r w:rsidRPr="00A2539B">
        <w:rPr>
          <w:rFonts w:ascii="Times New Roman" w:eastAsia="Times New Roman" w:hAnsi="Times New Roman" w:cs="Times New Roman"/>
          <w:color w:val="000000"/>
          <w:sz w:val="24"/>
          <w:szCs w:val="24"/>
          <w:lang w:val="en-US" w:eastAsia="fr-FR"/>
        </w:rPr>
        <w:t>42,</w:t>
      </w:r>
      <w:r w:rsidR="004E41F9">
        <w:rPr>
          <w:rFonts w:ascii="Times New Roman" w:eastAsia="Times New Roman" w:hAnsi="Times New Roman" w:cs="Times New Roman"/>
          <w:color w:val="000000"/>
          <w:sz w:val="24"/>
          <w:szCs w:val="24"/>
          <w:lang w:val="en-US" w:eastAsia="fr-FR"/>
        </w:rPr>
        <w:t xml:space="preserve"> </w:t>
      </w:r>
      <w:r w:rsidR="00B26A4B">
        <w:rPr>
          <w:rFonts w:ascii="Times New Roman" w:eastAsia="Times New Roman" w:hAnsi="Times New Roman" w:cs="Times New Roman"/>
          <w:color w:val="000000"/>
          <w:sz w:val="24"/>
          <w:szCs w:val="24"/>
          <w:lang w:val="en-US" w:eastAsia="fr-FR"/>
        </w:rPr>
        <w:t>p</w:t>
      </w:r>
      <w:r w:rsidR="004E41F9">
        <w:rPr>
          <w:rFonts w:ascii="Times New Roman" w:eastAsia="Times New Roman" w:hAnsi="Times New Roman" w:cs="Times New Roman"/>
          <w:color w:val="000000"/>
          <w:sz w:val="24"/>
          <w:szCs w:val="24"/>
          <w:lang w:val="en-US" w:eastAsia="fr-FR"/>
        </w:rPr>
        <w:t>p.</w:t>
      </w:r>
      <w:r w:rsidRPr="00A2539B">
        <w:rPr>
          <w:rFonts w:ascii="Times New Roman" w:eastAsia="Times New Roman" w:hAnsi="Times New Roman" w:cs="Times New Roman"/>
          <w:color w:val="000000"/>
          <w:sz w:val="24"/>
          <w:szCs w:val="24"/>
          <w:lang w:val="en-US" w:eastAsia="fr-FR"/>
        </w:rPr>
        <w:t xml:space="preserve"> 15-29</w:t>
      </w:r>
    </w:p>
    <w:p w:rsid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Okvat, H. A., &amp; Zautra</w:t>
      </w:r>
      <w:r w:rsidRPr="004E41F9">
        <w:rPr>
          <w:rFonts w:ascii="Times New Roman" w:eastAsia="Times New Roman" w:hAnsi="Times New Roman" w:cs="Times New Roman"/>
          <w:b/>
          <w:bCs/>
          <w:color w:val="000000"/>
          <w:sz w:val="24"/>
          <w:szCs w:val="24"/>
          <w:lang w:val="en-US" w:eastAsia="fr-FR"/>
        </w:rPr>
        <w:t>, A. J.</w:t>
      </w:r>
      <w:r w:rsidR="004E41F9" w:rsidRPr="004E41F9">
        <w:rPr>
          <w:rFonts w:ascii="Times New Roman" w:eastAsia="Times New Roman" w:hAnsi="Times New Roman" w:cs="Times New Roman"/>
          <w:b/>
          <w:bCs/>
          <w:color w:val="000000"/>
          <w:sz w:val="24"/>
          <w:szCs w:val="24"/>
          <w:lang w:val="en-US" w:eastAsia="fr-FR"/>
        </w:rPr>
        <w:t>,</w:t>
      </w:r>
      <w:r w:rsidRPr="004E41F9">
        <w:rPr>
          <w:rFonts w:ascii="Times New Roman" w:eastAsia="Times New Roman" w:hAnsi="Times New Roman" w:cs="Times New Roman"/>
          <w:b/>
          <w:bCs/>
          <w:color w:val="000000"/>
          <w:sz w:val="24"/>
          <w:szCs w:val="24"/>
          <w:lang w:val="en-US" w:eastAsia="fr-FR"/>
        </w:rPr>
        <w:t xml:space="preserve"> (2011)</w:t>
      </w:r>
      <w:r w:rsidR="004E41F9" w:rsidRPr="004E41F9">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4E41F9">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Community gardening: A parsimonious path to individual, community, and environmental resilience</w:t>
      </w:r>
      <w:r w:rsidR="004E41F9">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4E41F9">
        <w:rPr>
          <w:rFonts w:ascii="Times New Roman" w:eastAsia="Times New Roman" w:hAnsi="Times New Roman" w:cs="Times New Roman"/>
          <w:i/>
          <w:iCs/>
          <w:color w:val="000000"/>
          <w:sz w:val="24"/>
          <w:szCs w:val="24"/>
          <w:lang w:val="en-US" w:eastAsia="fr-FR"/>
        </w:rPr>
        <w:t>American Journal of Community Psychology</w:t>
      </w:r>
      <w:r w:rsidRPr="00A2539B">
        <w:rPr>
          <w:rFonts w:ascii="Times New Roman" w:eastAsia="Times New Roman" w:hAnsi="Times New Roman" w:cs="Times New Roman"/>
          <w:color w:val="000000"/>
          <w:sz w:val="24"/>
          <w:szCs w:val="24"/>
          <w:lang w:val="en-US" w:eastAsia="fr-FR"/>
        </w:rPr>
        <w:t>,</w:t>
      </w:r>
      <w:r w:rsidR="004E41F9">
        <w:rPr>
          <w:rFonts w:ascii="Times New Roman" w:eastAsia="Times New Roman" w:hAnsi="Times New Roman" w:cs="Times New Roman"/>
          <w:color w:val="000000"/>
          <w:sz w:val="24"/>
          <w:szCs w:val="24"/>
          <w:lang w:val="en-US" w:eastAsia="fr-FR"/>
        </w:rPr>
        <w:t xml:space="preserve"> vol.</w:t>
      </w:r>
      <w:r w:rsidRPr="00A2539B">
        <w:rPr>
          <w:rFonts w:ascii="Times New Roman" w:eastAsia="Times New Roman" w:hAnsi="Times New Roman" w:cs="Times New Roman"/>
          <w:color w:val="000000"/>
          <w:sz w:val="24"/>
          <w:szCs w:val="24"/>
          <w:lang w:val="en-US" w:eastAsia="fr-FR"/>
        </w:rPr>
        <w:t xml:space="preserve"> 47</w:t>
      </w:r>
      <w:r w:rsidR="004E41F9">
        <w:rPr>
          <w:rFonts w:ascii="Times New Roman" w:eastAsia="Times New Roman" w:hAnsi="Times New Roman" w:cs="Times New Roman"/>
          <w:color w:val="000000"/>
          <w:sz w:val="24"/>
          <w:szCs w:val="24"/>
          <w:lang w:val="en-US" w:eastAsia="fr-FR"/>
        </w:rPr>
        <w:t xml:space="preserve">, n° </w:t>
      </w:r>
      <w:r w:rsidRPr="00A2539B">
        <w:rPr>
          <w:rFonts w:ascii="Times New Roman" w:eastAsia="Times New Roman" w:hAnsi="Times New Roman" w:cs="Times New Roman"/>
          <w:color w:val="000000"/>
          <w:sz w:val="24"/>
          <w:szCs w:val="24"/>
          <w:lang w:val="en-US" w:eastAsia="fr-FR"/>
        </w:rPr>
        <w:t xml:space="preserve">3–4, </w:t>
      </w:r>
      <w:r w:rsidR="004E41F9">
        <w:rPr>
          <w:rFonts w:ascii="Times New Roman" w:eastAsia="Times New Roman" w:hAnsi="Times New Roman" w:cs="Times New Roman"/>
          <w:color w:val="000000"/>
          <w:sz w:val="24"/>
          <w:szCs w:val="24"/>
          <w:lang w:val="en-US" w:eastAsia="fr-FR"/>
        </w:rPr>
        <w:t>p</w:t>
      </w:r>
      <w:r w:rsidR="00191967">
        <w:rPr>
          <w:rFonts w:ascii="Times New Roman" w:eastAsia="Times New Roman" w:hAnsi="Times New Roman" w:cs="Times New Roman"/>
          <w:color w:val="000000"/>
          <w:sz w:val="24"/>
          <w:szCs w:val="24"/>
          <w:lang w:val="en-US" w:eastAsia="fr-FR"/>
        </w:rPr>
        <w:t>p</w:t>
      </w:r>
      <w:r w:rsidR="004E41F9">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color w:val="000000"/>
          <w:sz w:val="24"/>
          <w:szCs w:val="24"/>
          <w:lang w:val="en-US" w:eastAsia="fr-FR"/>
        </w:rPr>
        <w:t xml:space="preserve">374–387. doi: 10.1007/s10464-010- 9404-z.  </w:t>
      </w:r>
    </w:p>
    <w:p w:rsidR="00911279" w:rsidRDefault="00E724B9" w:rsidP="00AE6E2D">
      <w:pPr>
        <w:autoSpaceDE w:val="0"/>
        <w:autoSpaceDN w:val="0"/>
        <w:adjustRightInd w:val="0"/>
        <w:spacing w:line="240" w:lineRule="auto"/>
        <w:jc w:val="both"/>
        <w:rPr>
          <w:lang w:val="en-US"/>
        </w:rPr>
      </w:pPr>
      <w:r w:rsidRPr="00F77863">
        <w:rPr>
          <w:rFonts w:ascii="Times New Roman" w:eastAsia="Times New Roman" w:hAnsi="Times New Roman" w:cs="Times New Roman"/>
          <w:b/>
          <w:bCs/>
          <w:color w:val="000000"/>
          <w:sz w:val="24"/>
          <w:szCs w:val="24"/>
          <w:lang w:val="en-US" w:eastAsia="fr-FR"/>
        </w:rPr>
        <w:t>Oliveira, V., (2016</w:t>
      </w:r>
      <w:r w:rsidRPr="00A2539B">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“Urban Morphology: An Introduction to the Study of the Physical Form of Cities”, Switzerland: Springer.</w:t>
      </w:r>
      <w:r w:rsidR="00911279" w:rsidRPr="00911279">
        <w:rPr>
          <w:lang w:val="en-US"/>
        </w:rPr>
        <w:t xml:space="preserve"> </w:t>
      </w:r>
    </w:p>
    <w:p w:rsidR="00E724B9" w:rsidRDefault="0091127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911279">
        <w:rPr>
          <w:rFonts w:ascii="Times New Roman" w:eastAsia="Times New Roman" w:hAnsi="Times New Roman" w:cs="Times New Roman"/>
          <w:b/>
          <w:bCs/>
          <w:color w:val="000000"/>
          <w:sz w:val="24"/>
          <w:szCs w:val="24"/>
          <w:lang w:val="en-US" w:eastAsia="fr-FR"/>
        </w:rPr>
        <w:t>Oudina, F., Benkhaled, E., Mili, M.&amp; Oudina, F. Z., (2022):</w:t>
      </w:r>
      <w:r w:rsidRPr="00911279">
        <w:rPr>
          <w:rFonts w:ascii="Times New Roman" w:eastAsia="Times New Roman" w:hAnsi="Times New Roman" w:cs="Times New Roman"/>
          <w:color w:val="000000"/>
          <w:sz w:val="24"/>
          <w:szCs w:val="24"/>
          <w:lang w:val="en-US" w:eastAsia="fr-FR"/>
        </w:rPr>
        <w:t xml:space="preserve"> "Choosing the best site for a technical backfill center for urban solid waste using a multi-criteria evaluation technique based on geographic information systems. Case study of the city of M'sila", Technium Social Sciences Journal, ISSN: 2668-7798, vol. 36, pp. 592–606. https://doi.org/10.47577/tssj.v36i1.7386</w:t>
      </w:r>
    </w:p>
    <w:p w:rsidR="00E724B9" w:rsidRPr="00A2539B"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Panerai</w:t>
      </w:r>
      <w:r w:rsidRPr="00A2539B">
        <w:rPr>
          <w:rFonts w:ascii="Times New Roman" w:eastAsia="Times New Roman" w:hAnsi="Times New Roman" w:cs="Times New Roman"/>
          <w:b/>
          <w:bCs/>
          <w:color w:val="000000"/>
          <w:sz w:val="24"/>
          <w:szCs w:val="24"/>
          <w:lang w:eastAsia="fr-FR"/>
        </w:rPr>
        <w:t>, P.h., (1987) :</w:t>
      </w:r>
      <w:r w:rsidRPr="00A2539B">
        <w:rPr>
          <w:rFonts w:ascii="Times New Roman" w:eastAsia="Times New Roman" w:hAnsi="Times New Roman" w:cs="Times New Roman"/>
          <w:color w:val="000000"/>
          <w:sz w:val="24"/>
          <w:szCs w:val="24"/>
          <w:lang w:eastAsia="fr-FR"/>
        </w:rPr>
        <w:t xml:space="preserve"> "Les Nouveaux tissus et leur évolution", Actes du Colloque international, Les tissus urbains 1/2/3 Décembre 1987, Oran, Ed. ENAG, Alger. </w:t>
      </w:r>
      <w:r w:rsidR="00A478CD" w:rsidRPr="00A2539B">
        <w:rPr>
          <w:rFonts w:ascii="Times New Roman" w:eastAsia="Times New Roman" w:hAnsi="Times New Roman" w:cs="Times New Roman"/>
          <w:color w:val="000000"/>
          <w:sz w:val="24"/>
          <w:szCs w:val="24"/>
          <w:lang w:eastAsia="fr-FR"/>
        </w:rPr>
        <w:t>pp</w:t>
      </w:r>
      <w:r w:rsidRPr="00A2539B">
        <w:rPr>
          <w:rFonts w:ascii="Times New Roman" w:eastAsia="Times New Roman" w:hAnsi="Times New Roman" w:cs="Times New Roman"/>
          <w:color w:val="000000"/>
          <w:sz w:val="24"/>
          <w:szCs w:val="24"/>
          <w:lang w:eastAsia="fr-FR"/>
        </w:rPr>
        <w:t>. 67-78.</w:t>
      </w:r>
    </w:p>
    <w:p w:rsidR="00E724B9" w:rsidRPr="00A2539B"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Paquot</w:t>
      </w:r>
      <w:r w:rsidRPr="00C63701">
        <w:rPr>
          <w:rFonts w:ascii="Times New Roman" w:eastAsia="Times New Roman" w:hAnsi="Times New Roman" w:cs="Times New Roman"/>
          <w:b/>
          <w:bCs/>
          <w:color w:val="000000"/>
          <w:sz w:val="24"/>
          <w:szCs w:val="24"/>
          <w:lang w:eastAsia="fr-FR"/>
        </w:rPr>
        <w:t>, T.</w:t>
      </w:r>
      <w:r w:rsidR="00C63701" w:rsidRPr="00C63701">
        <w:rPr>
          <w:rFonts w:ascii="Times New Roman" w:eastAsia="Times New Roman" w:hAnsi="Times New Roman" w:cs="Times New Roman"/>
          <w:b/>
          <w:bCs/>
          <w:color w:val="000000"/>
          <w:sz w:val="24"/>
          <w:szCs w:val="24"/>
          <w:lang w:eastAsia="fr-FR"/>
        </w:rPr>
        <w:t>, (2010):</w:t>
      </w:r>
      <w:r w:rsidRPr="00A2539B">
        <w:rPr>
          <w:rFonts w:ascii="Times New Roman" w:eastAsia="Times New Roman" w:hAnsi="Times New Roman" w:cs="Times New Roman"/>
          <w:color w:val="000000"/>
          <w:sz w:val="24"/>
          <w:szCs w:val="24"/>
          <w:lang w:eastAsia="fr-FR"/>
        </w:rPr>
        <w:t xml:space="preserve"> </w:t>
      </w:r>
      <w:r w:rsidR="00C63701">
        <w:rPr>
          <w:rFonts w:ascii="Times New Roman" w:eastAsia="Times New Roman" w:hAnsi="Times New Roman" w:cs="Times New Roman"/>
          <w:color w:val="000000"/>
          <w:sz w:val="24"/>
          <w:szCs w:val="24"/>
          <w:lang w:eastAsia="fr-FR"/>
        </w:rPr>
        <w:t>"</w:t>
      </w:r>
      <w:r w:rsidRPr="00A2539B">
        <w:rPr>
          <w:rFonts w:ascii="Times New Roman" w:eastAsia="Times New Roman" w:hAnsi="Times New Roman" w:cs="Times New Roman"/>
          <w:color w:val="000000"/>
          <w:sz w:val="24"/>
          <w:szCs w:val="24"/>
          <w:lang w:eastAsia="fr-FR"/>
        </w:rPr>
        <w:t>L’urbanisme c’est notre affaire</w:t>
      </w:r>
      <w:r w:rsidR="00C63701">
        <w:rPr>
          <w:rFonts w:ascii="Times New Roman" w:eastAsia="Times New Roman" w:hAnsi="Times New Roman" w:cs="Times New Roman"/>
          <w:color w:val="000000"/>
          <w:sz w:val="24"/>
          <w:szCs w:val="24"/>
          <w:lang w:eastAsia="fr-FR"/>
        </w:rPr>
        <w:t>",</w:t>
      </w:r>
      <w:r w:rsidRPr="00A2539B">
        <w:rPr>
          <w:rFonts w:ascii="Times New Roman" w:eastAsia="Times New Roman" w:hAnsi="Times New Roman" w:cs="Times New Roman"/>
          <w:color w:val="000000"/>
          <w:sz w:val="24"/>
          <w:szCs w:val="24"/>
          <w:lang w:eastAsia="fr-FR"/>
        </w:rPr>
        <w:t xml:space="preserve"> Broche. Comme un </w:t>
      </w:r>
      <w:r w:rsidR="00C63701" w:rsidRPr="00A2539B">
        <w:rPr>
          <w:rFonts w:ascii="Times New Roman" w:eastAsia="Times New Roman" w:hAnsi="Times New Roman" w:cs="Times New Roman"/>
          <w:color w:val="000000"/>
          <w:sz w:val="24"/>
          <w:szCs w:val="24"/>
          <w:lang w:eastAsia="fr-FR"/>
        </w:rPr>
        <w:t>accordéon</w:t>
      </w:r>
      <w:r w:rsidR="00783637">
        <w:rPr>
          <w:rFonts w:ascii="Times New Roman" w:eastAsia="Times New Roman" w:hAnsi="Times New Roman" w:cs="Times New Roman"/>
          <w:color w:val="000000"/>
          <w:sz w:val="24"/>
          <w:szCs w:val="24"/>
          <w:lang w:eastAsia="fr-FR"/>
        </w:rPr>
        <w:t xml:space="preserve">. Nantes, </w:t>
      </w:r>
      <w:r w:rsidR="00783637" w:rsidRPr="00783637">
        <w:rPr>
          <w:rFonts w:ascii="Times New Roman" w:eastAsia="Times New Roman" w:hAnsi="Times New Roman" w:cs="Times New Roman"/>
          <w:i/>
          <w:iCs/>
          <w:color w:val="000000"/>
          <w:sz w:val="24"/>
          <w:szCs w:val="24"/>
          <w:lang w:eastAsia="fr-FR"/>
        </w:rPr>
        <w:t>l’Atalante</w:t>
      </w:r>
      <w:r w:rsidRPr="00A2539B">
        <w:rPr>
          <w:rFonts w:ascii="Times New Roman" w:eastAsia="Times New Roman" w:hAnsi="Times New Roman" w:cs="Times New Roman"/>
          <w:color w:val="000000"/>
          <w:sz w:val="24"/>
          <w:szCs w:val="24"/>
          <w:lang w:eastAsia="fr-FR"/>
        </w:rPr>
        <w:t>.</w:t>
      </w:r>
    </w:p>
    <w:p w:rsidR="00E724B9" w:rsidRPr="00E724B9"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Park</w:t>
      </w:r>
      <w:r w:rsidR="00C63701">
        <w:rPr>
          <w:rFonts w:ascii="Times New Roman" w:eastAsia="Times New Roman" w:hAnsi="Times New Roman" w:cs="Times New Roman"/>
          <w:b/>
          <w:bCs/>
          <w:color w:val="000000"/>
          <w:sz w:val="24"/>
          <w:szCs w:val="24"/>
          <w:lang w:val="en-US" w:eastAsia="fr-FR"/>
        </w:rPr>
        <w:t xml:space="preserve">, </w:t>
      </w:r>
      <w:r w:rsidRPr="00A2539B">
        <w:rPr>
          <w:rFonts w:ascii="Times New Roman" w:eastAsia="Times New Roman" w:hAnsi="Times New Roman" w:cs="Times New Roman"/>
          <w:b/>
          <w:bCs/>
          <w:color w:val="000000"/>
          <w:sz w:val="24"/>
          <w:szCs w:val="24"/>
          <w:lang w:val="en-US" w:eastAsia="fr-FR"/>
        </w:rPr>
        <w:t>K</w:t>
      </w:r>
      <w:r w:rsidR="00C63701">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b/>
          <w:bCs/>
          <w:color w:val="000000"/>
          <w:sz w:val="24"/>
          <w:szCs w:val="24"/>
          <w:lang w:val="en-US" w:eastAsia="fr-FR"/>
        </w:rPr>
        <w:t>, Oh, H. &amp; Won</w:t>
      </w:r>
      <w:r w:rsidR="00C63701">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b/>
          <w:bCs/>
          <w:color w:val="000000"/>
          <w:sz w:val="24"/>
          <w:szCs w:val="24"/>
          <w:lang w:val="en-US" w:eastAsia="fr-FR"/>
        </w:rPr>
        <w:t xml:space="preserve"> J., (2021):</w:t>
      </w:r>
      <w:r w:rsidRPr="00A2539B">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sz w:val="24"/>
          <w:szCs w:val="24"/>
          <w:lang w:val="en-US" w:eastAsia="fr-FR"/>
        </w:rPr>
        <w:t>Analysis of disaster resilience of urban planning facilities on urban flooding vulnerability”,</w:t>
      </w:r>
      <w:r w:rsidRPr="00A2539B">
        <w:rPr>
          <w:rFonts w:ascii="Times New Roman" w:eastAsia="Times New Roman" w:hAnsi="Times New Roman" w:cs="Times New Roman"/>
          <w:color w:val="000000"/>
          <w:sz w:val="24"/>
          <w:szCs w:val="24"/>
          <w:lang w:val="en-US" w:eastAsia="fr-FR"/>
        </w:rPr>
        <w:t xml:space="preserve"> </w:t>
      </w:r>
      <w:r w:rsidRPr="00C63701">
        <w:rPr>
          <w:rFonts w:ascii="Times New Roman" w:eastAsia="Times New Roman" w:hAnsi="Times New Roman" w:cs="Times New Roman"/>
          <w:i/>
          <w:iCs/>
          <w:sz w:val="24"/>
          <w:szCs w:val="24"/>
          <w:lang w:val="en-US" w:eastAsia="fr-FR"/>
        </w:rPr>
        <w:t>Environ. Eng. Res</w:t>
      </w:r>
      <w:r w:rsidRPr="00A2539B">
        <w:rPr>
          <w:rFonts w:ascii="Times New Roman" w:eastAsia="Times New Roman" w:hAnsi="Times New Roman" w:cs="Times New Roman"/>
          <w:sz w:val="24"/>
          <w:szCs w:val="24"/>
          <w:lang w:val="en-US" w:eastAsia="fr-FR"/>
        </w:rPr>
        <w:t xml:space="preserve">, </w:t>
      </w:r>
      <w:r w:rsidR="00C63701">
        <w:rPr>
          <w:rFonts w:ascii="Times New Roman" w:eastAsia="Times New Roman" w:hAnsi="Times New Roman" w:cs="Times New Roman"/>
          <w:sz w:val="24"/>
          <w:szCs w:val="24"/>
          <w:lang w:val="en-US" w:eastAsia="fr-FR"/>
        </w:rPr>
        <w:t>v</w:t>
      </w:r>
      <w:r w:rsidRPr="00A2539B">
        <w:rPr>
          <w:rFonts w:ascii="Times New Roman" w:eastAsia="Times New Roman" w:hAnsi="Times New Roman" w:cs="Times New Roman"/>
          <w:sz w:val="24"/>
          <w:szCs w:val="24"/>
          <w:lang w:val="en-US" w:eastAsia="fr-FR"/>
        </w:rPr>
        <w:t>ol</w:t>
      </w:r>
      <w:r w:rsidR="00C63701">
        <w:rPr>
          <w:rFonts w:ascii="Times New Roman" w:eastAsia="Times New Roman" w:hAnsi="Times New Roman" w:cs="Times New Roman"/>
          <w:sz w:val="24"/>
          <w:szCs w:val="24"/>
          <w:lang w:val="en-US" w:eastAsia="fr-FR"/>
        </w:rPr>
        <w:t>.</w:t>
      </w:r>
      <w:r w:rsidRPr="00A2539B">
        <w:rPr>
          <w:rFonts w:ascii="Times New Roman" w:eastAsia="Times New Roman" w:hAnsi="Times New Roman" w:cs="Times New Roman"/>
          <w:sz w:val="24"/>
          <w:szCs w:val="24"/>
          <w:lang w:val="en-US" w:eastAsia="fr-FR"/>
        </w:rPr>
        <w:t xml:space="preserve"> 26</w:t>
      </w:r>
      <w:r w:rsidR="00C63701">
        <w:rPr>
          <w:rFonts w:ascii="Times New Roman" w:eastAsia="Times New Roman" w:hAnsi="Times New Roman" w:cs="Times New Roman"/>
          <w:sz w:val="24"/>
          <w:szCs w:val="24"/>
          <w:lang w:val="en-US" w:eastAsia="fr-FR"/>
        </w:rPr>
        <w:t xml:space="preserve">, n° </w:t>
      </w:r>
      <w:r w:rsidRPr="00A2539B">
        <w:rPr>
          <w:rFonts w:ascii="Times New Roman" w:eastAsia="Times New Roman" w:hAnsi="Times New Roman" w:cs="Times New Roman"/>
          <w:sz w:val="24"/>
          <w:szCs w:val="24"/>
          <w:lang w:val="en-US" w:eastAsia="fr-FR"/>
        </w:rPr>
        <w:t xml:space="preserve">1, </w:t>
      </w:r>
      <w:r w:rsidR="00A478CD">
        <w:rPr>
          <w:rFonts w:ascii="Times New Roman" w:eastAsia="Times New Roman" w:hAnsi="Times New Roman" w:cs="Times New Roman"/>
          <w:sz w:val="24"/>
          <w:szCs w:val="24"/>
          <w:lang w:val="en-US" w:eastAsia="fr-FR"/>
        </w:rPr>
        <w:t>p</w:t>
      </w:r>
      <w:r w:rsidRPr="00A2539B">
        <w:rPr>
          <w:rFonts w:ascii="Times New Roman" w:eastAsia="Times New Roman" w:hAnsi="Times New Roman" w:cs="Times New Roman"/>
          <w:color w:val="000000"/>
          <w:sz w:val="24"/>
          <w:szCs w:val="24"/>
          <w:lang w:val="en-US" w:eastAsia="fr-FR"/>
        </w:rPr>
        <w:t>p.1-33.  https://doi.org/10.4491/eer.2019.529</w:t>
      </w:r>
    </w:p>
    <w:p w:rsidR="00E724B9" w:rsidRPr="00092361" w:rsidRDefault="00E724B9" w:rsidP="00AE6E2D">
      <w:pPr>
        <w:autoSpaceDE w:val="0"/>
        <w:autoSpaceDN w:val="0"/>
        <w:adjustRightInd w:val="0"/>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Parker, J., &amp; Simpson, G. D.</w:t>
      </w:r>
      <w:r w:rsidR="00C63701" w:rsidRPr="00F77863">
        <w:rPr>
          <w:rFonts w:ascii="Times New Roman" w:eastAsia="Times New Roman" w:hAnsi="Times New Roman" w:cs="Times New Roman"/>
          <w:b/>
          <w:bCs/>
          <w:color w:val="000000"/>
          <w:sz w:val="24"/>
          <w:szCs w:val="24"/>
          <w:lang w:val="en-US" w:eastAsia="fr-FR"/>
        </w:rPr>
        <w:t>,</w:t>
      </w:r>
      <w:r w:rsidRPr="00C63701">
        <w:rPr>
          <w:rFonts w:ascii="Times New Roman" w:eastAsia="Times New Roman" w:hAnsi="Times New Roman" w:cs="Times New Roman"/>
          <w:b/>
          <w:bCs/>
          <w:color w:val="000000"/>
          <w:sz w:val="24"/>
          <w:szCs w:val="24"/>
          <w:lang w:val="en-US" w:eastAsia="fr-FR"/>
        </w:rPr>
        <w:t xml:space="preserve"> (2020)</w:t>
      </w:r>
      <w:r w:rsidR="00C63701" w:rsidRPr="00C63701">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C63701">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A theoretical framework for bolstering human-nature connections and urban resilience via green infrastructure</w:t>
      </w:r>
      <w:r w:rsidR="00C63701">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C63701">
        <w:rPr>
          <w:rFonts w:ascii="Times New Roman" w:eastAsia="Times New Roman" w:hAnsi="Times New Roman" w:cs="Times New Roman"/>
          <w:i/>
          <w:iCs/>
          <w:color w:val="000000"/>
          <w:sz w:val="24"/>
          <w:szCs w:val="24"/>
          <w:lang w:val="en-US" w:eastAsia="fr-FR"/>
        </w:rPr>
        <w:t>Land</w:t>
      </w:r>
      <w:r w:rsidRPr="00A2539B">
        <w:rPr>
          <w:rFonts w:ascii="Times New Roman" w:eastAsia="Times New Roman" w:hAnsi="Times New Roman" w:cs="Times New Roman"/>
          <w:color w:val="000000"/>
          <w:sz w:val="24"/>
          <w:szCs w:val="24"/>
          <w:lang w:val="en-US" w:eastAsia="fr-FR"/>
        </w:rPr>
        <w:t xml:space="preserve">, </w:t>
      </w:r>
      <w:r w:rsidR="00C63701">
        <w:rPr>
          <w:rFonts w:ascii="Times New Roman" w:eastAsia="Times New Roman" w:hAnsi="Times New Roman" w:cs="Times New Roman"/>
          <w:color w:val="000000"/>
          <w:sz w:val="24"/>
          <w:szCs w:val="24"/>
          <w:lang w:val="en-US" w:eastAsia="fr-FR"/>
        </w:rPr>
        <w:t xml:space="preserve">vol. </w:t>
      </w:r>
      <w:r w:rsidRPr="00A2539B">
        <w:rPr>
          <w:rFonts w:ascii="Times New Roman" w:eastAsia="Times New Roman" w:hAnsi="Times New Roman" w:cs="Times New Roman"/>
          <w:color w:val="000000"/>
          <w:sz w:val="24"/>
          <w:szCs w:val="24"/>
          <w:lang w:val="en-US" w:eastAsia="fr-FR"/>
        </w:rPr>
        <w:t>9</w:t>
      </w:r>
      <w:r w:rsidR="00C63701">
        <w:rPr>
          <w:rFonts w:ascii="Times New Roman" w:eastAsia="Times New Roman" w:hAnsi="Times New Roman" w:cs="Times New Roman"/>
          <w:color w:val="000000"/>
          <w:sz w:val="24"/>
          <w:szCs w:val="24"/>
          <w:lang w:val="en-US" w:eastAsia="fr-FR"/>
        </w:rPr>
        <w:t xml:space="preserve">, n° </w:t>
      </w:r>
      <w:r w:rsidRPr="00A2539B">
        <w:rPr>
          <w:rFonts w:ascii="Times New Roman" w:eastAsia="Times New Roman" w:hAnsi="Times New Roman" w:cs="Times New Roman"/>
          <w:color w:val="000000"/>
          <w:sz w:val="24"/>
          <w:szCs w:val="24"/>
          <w:lang w:val="en-US" w:eastAsia="fr-FR"/>
        </w:rPr>
        <w:t>8, 252. doi: 10.3390/land9080252.</w:t>
      </w:r>
    </w:p>
    <w:p w:rsidR="00E724B9" w:rsidRPr="00092361"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393" w:history="1">
        <w:r w:rsidR="00E724B9" w:rsidRPr="00F77863">
          <w:rPr>
            <w:rFonts w:ascii="Times New Roman" w:eastAsia="Times New Roman" w:hAnsi="Times New Roman" w:cs="Times New Roman"/>
            <w:b/>
            <w:bCs/>
            <w:sz w:val="24"/>
            <w:szCs w:val="24"/>
            <w:lang w:val="en-US" w:eastAsia="fr-FR"/>
          </w:rPr>
          <w:t>Parris</w:t>
        </w:r>
        <w:r w:rsidR="00E724B9" w:rsidRPr="00C63701">
          <w:rPr>
            <w:rFonts w:ascii="Times New Roman" w:eastAsia="Times New Roman" w:hAnsi="Times New Roman" w:cs="Times New Roman"/>
            <w:b/>
            <w:bCs/>
            <w:color w:val="000000"/>
            <w:sz w:val="24"/>
            <w:szCs w:val="24"/>
            <w:lang w:val="en-US" w:eastAsia="fr-FR"/>
          </w:rPr>
          <w:t xml:space="preserve">, T.M., </w:t>
        </w:r>
        <w:r w:rsidR="00C63701" w:rsidRPr="00C63701">
          <w:rPr>
            <w:rFonts w:ascii="Times New Roman" w:eastAsia="Times New Roman" w:hAnsi="Times New Roman" w:cs="Times New Roman"/>
            <w:b/>
            <w:bCs/>
            <w:color w:val="000000"/>
            <w:sz w:val="24"/>
            <w:szCs w:val="24"/>
            <w:lang w:val="en-US" w:eastAsia="fr-FR"/>
          </w:rPr>
          <w:t>&amp;</w:t>
        </w:r>
        <w:r w:rsidR="00E724B9" w:rsidRPr="00C63701">
          <w:rPr>
            <w:rFonts w:ascii="Times New Roman" w:eastAsia="Times New Roman" w:hAnsi="Times New Roman" w:cs="Times New Roman"/>
            <w:b/>
            <w:bCs/>
            <w:color w:val="000000"/>
            <w:sz w:val="24"/>
            <w:szCs w:val="24"/>
            <w:lang w:val="en-US" w:eastAsia="fr-FR"/>
          </w:rPr>
          <w:t xml:space="preserve"> Kates</w:t>
        </w:r>
        <w:r w:rsidR="00C63701" w:rsidRPr="00C63701">
          <w:rPr>
            <w:rFonts w:ascii="Times New Roman" w:eastAsia="Times New Roman" w:hAnsi="Times New Roman" w:cs="Times New Roman"/>
            <w:b/>
            <w:bCs/>
            <w:color w:val="000000"/>
            <w:sz w:val="24"/>
            <w:szCs w:val="24"/>
            <w:lang w:val="en-US" w:eastAsia="fr-FR"/>
          </w:rPr>
          <w:t>,</w:t>
        </w:r>
        <w:r w:rsidR="00E724B9" w:rsidRPr="00C63701">
          <w:rPr>
            <w:rFonts w:ascii="Times New Roman" w:eastAsia="Times New Roman" w:hAnsi="Times New Roman" w:cs="Times New Roman"/>
            <w:b/>
            <w:bCs/>
            <w:color w:val="000000"/>
            <w:sz w:val="24"/>
            <w:szCs w:val="24"/>
            <w:lang w:val="en-US" w:eastAsia="fr-FR"/>
          </w:rPr>
          <w:t xml:space="preserve"> R.W.</w:t>
        </w:r>
        <w:r w:rsidR="00C63701" w:rsidRPr="00C63701">
          <w:rPr>
            <w:rFonts w:ascii="Times New Roman" w:eastAsia="Times New Roman" w:hAnsi="Times New Roman" w:cs="Times New Roman"/>
            <w:b/>
            <w:bCs/>
            <w:color w:val="000000"/>
            <w:sz w:val="24"/>
            <w:szCs w:val="24"/>
            <w:lang w:val="en-US" w:eastAsia="fr-FR"/>
          </w:rPr>
          <w:t>, (2003):</w:t>
        </w:r>
        <w:r w:rsidR="00C63701">
          <w:rPr>
            <w:rFonts w:ascii="Times New Roman" w:eastAsia="Times New Roman" w:hAnsi="Times New Roman" w:cs="Times New Roman"/>
            <w:color w:val="000000"/>
            <w:sz w:val="24"/>
            <w:szCs w:val="24"/>
            <w:lang w:val="en-US" w:eastAsia="fr-FR"/>
          </w:rPr>
          <w:t xml:space="preserve"> </w:t>
        </w:r>
        <w:r w:rsidR="00E724B9" w:rsidRPr="00A2539B">
          <w:rPr>
            <w:rFonts w:ascii="Times New Roman" w:eastAsia="Times New Roman" w:hAnsi="Times New Roman" w:cs="Times New Roman"/>
            <w:color w:val="000000"/>
            <w:sz w:val="24"/>
            <w:szCs w:val="24"/>
            <w:lang w:val="en-US" w:eastAsia="fr-FR"/>
          </w:rPr>
          <w:t>"Characterizing and Measuring Sustainable Development "</w:t>
        </w:r>
        <w:r w:rsidR="00007BDA">
          <w:rPr>
            <w:rFonts w:ascii="Times New Roman" w:eastAsia="Times New Roman" w:hAnsi="Times New Roman" w:cs="Times New Roman"/>
            <w:color w:val="000000"/>
            <w:sz w:val="24"/>
            <w:szCs w:val="24"/>
            <w:lang w:val="en-US" w:eastAsia="fr-FR"/>
          </w:rPr>
          <w:t>,</w:t>
        </w:r>
        <w:r w:rsidR="00E724B9" w:rsidRPr="00A2539B">
          <w:rPr>
            <w:rFonts w:ascii="Times New Roman" w:eastAsia="Times New Roman" w:hAnsi="Times New Roman" w:cs="Times New Roman"/>
            <w:color w:val="000000"/>
            <w:sz w:val="24"/>
            <w:szCs w:val="24"/>
            <w:lang w:val="en-US" w:eastAsia="fr-FR"/>
          </w:rPr>
          <w:t xml:space="preserve"> </w:t>
        </w:r>
        <w:r w:rsidR="00E724B9" w:rsidRPr="00007BDA">
          <w:rPr>
            <w:rFonts w:ascii="Times New Roman" w:eastAsia="Times New Roman" w:hAnsi="Times New Roman" w:cs="Times New Roman"/>
            <w:i/>
            <w:iCs/>
            <w:color w:val="000000"/>
            <w:sz w:val="24"/>
            <w:szCs w:val="24"/>
            <w:lang w:val="en-US" w:eastAsia="fr-FR"/>
          </w:rPr>
          <w:t>Annual Review of Environment and Resources</w:t>
        </w:r>
        <w:r w:rsidR="00007BDA">
          <w:rPr>
            <w:rFonts w:ascii="Times New Roman" w:eastAsia="Times New Roman" w:hAnsi="Times New Roman" w:cs="Times New Roman"/>
            <w:color w:val="000000"/>
            <w:sz w:val="24"/>
            <w:szCs w:val="24"/>
            <w:lang w:val="en-US" w:eastAsia="fr-FR"/>
          </w:rPr>
          <w:t>,</w:t>
        </w:r>
        <w:r w:rsidR="00E724B9" w:rsidRPr="00A2539B">
          <w:rPr>
            <w:rFonts w:ascii="Times New Roman" w:eastAsia="Times New Roman" w:hAnsi="Times New Roman" w:cs="Times New Roman"/>
            <w:color w:val="000000"/>
            <w:sz w:val="24"/>
            <w:szCs w:val="24"/>
            <w:lang w:val="en-US" w:eastAsia="fr-FR"/>
          </w:rPr>
          <w:t xml:space="preserve"> </w:t>
        </w:r>
        <w:r w:rsidR="00007BDA">
          <w:rPr>
            <w:rFonts w:ascii="Times New Roman" w:eastAsia="Times New Roman" w:hAnsi="Times New Roman" w:cs="Times New Roman"/>
            <w:color w:val="000000"/>
            <w:sz w:val="24"/>
            <w:szCs w:val="24"/>
            <w:lang w:val="en-US" w:eastAsia="fr-FR"/>
          </w:rPr>
          <w:t xml:space="preserve">vol. </w:t>
        </w:r>
        <w:r w:rsidR="00E724B9" w:rsidRPr="00A2539B">
          <w:rPr>
            <w:rFonts w:ascii="Times New Roman" w:eastAsia="Times New Roman" w:hAnsi="Times New Roman" w:cs="Times New Roman"/>
            <w:color w:val="000000"/>
            <w:sz w:val="24"/>
            <w:szCs w:val="24"/>
            <w:lang w:val="en-US" w:eastAsia="fr-FR"/>
          </w:rPr>
          <w:t>28, n</w:t>
        </w:r>
        <w:r w:rsidR="00007BDA">
          <w:rPr>
            <w:rFonts w:ascii="Times New Roman" w:eastAsia="Times New Roman" w:hAnsi="Times New Roman" w:cs="Times New Roman"/>
            <w:color w:val="000000"/>
            <w:sz w:val="24"/>
            <w:szCs w:val="24"/>
            <w:lang w:val="en-US" w:eastAsia="fr-FR"/>
          </w:rPr>
          <w:t>°</w:t>
        </w:r>
        <w:r w:rsidR="00E724B9" w:rsidRPr="00A2539B">
          <w:rPr>
            <w:rFonts w:ascii="Times New Roman" w:eastAsia="Times New Roman" w:hAnsi="Times New Roman" w:cs="Times New Roman"/>
            <w:color w:val="000000"/>
            <w:sz w:val="24"/>
            <w:szCs w:val="24"/>
            <w:lang w:val="en-US" w:eastAsia="fr-FR"/>
          </w:rPr>
          <w:t xml:space="preserve"> 1</w:t>
        </w:r>
        <w:r w:rsidR="00007BDA">
          <w:rPr>
            <w:rFonts w:ascii="Times New Roman" w:eastAsia="Times New Roman" w:hAnsi="Times New Roman" w:cs="Times New Roman"/>
            <w:color w:val="000000"/>
            <w:sz w:val="24"/>
            <w:szCs w:val="24"/>
            <w:lang w:val="en-US" w:eastAsia="fr-FR"/>
          </w:rPr>
          <w:t>,</w:t>
        </w:r>
        <w:r w:rsidR="00E724B9" w:rsidRPr="00A2539B">
          <w:rPr>
            <w:rFonts w:ascii="Times New Roman" w:eastAsia="Times New Roman" w:hAnsi="Times New Roman" w:cs="Times New Roman"/>
            <w:color w:val="000000"/>
            <w:sz w:val="24"/>
            <w:szCs w:val="24"/>
            <w:lang w:val="en-US" w:eastAsia="fr-FR"/>
          </w:rPr>
          <w:t xml:space="preserve"> </w:t>
        </w:r>
        <w:r w:rsidR="00191967">
          <w:rPr>
            <w:rFonts w:ascii="Times New Roman" w:eastAsia="Times New Roman" w:hAnsi="Times New Roman" w:cs="Times New Roman"/>
            <w:color w:val="000000"/>
            <w:sz w:val="24"/>
            <w:szCs w:val="24"/>
            <w:lang w:val="en-US" w:eastAsia="fr-FR"/>
          </w:rPr>
          <w:t>p</w:t>
        </w:r>
        <w:r w:rsidR="00C63701">
          <w:rPr>
            <w:rFonts w:ascii="Times New Roman" w:eastAsia="Times New Roman" w:hAnsi="Times New Roman" w:cs="Times New Roman"/>
            <w:color w:val="000000"/>
            <w:sz w:val="24"/>
            <w:szCs w:val="24"/>
            <w:lang w:val="en-US" w:eastAsia="fr-FR"/>
          </w:rPr>
          <w:t xml:space="preserve">p. </w:t>
        </w:r>
        <w:r w:rsidR="00E724B9" w:rsidRPr="00A2539B">
          <w:rPr>
            <w:rFonts w:ascii="Times New Roman" w:eastAsia="Times New Roman" w:hAnsi="Times New Roman" w:cs="Times New Roman"/>
            <w:color w:val="000000"/>
            <w:sz w:val="24"/>
            <w:szCs w:val="24"/>
            <w:lang w:val="en-US" w:eastAsia="fr-FR"/>
          </w:rPr>
          <w:t>559-</w:t>
        </w:r>
        <w:r w:rsidR="00C63701">
          <w:rPr>
            <w:rFonts w:ascii="Times New Roman" w:eastAsia="Times New Roman" w:hAnsi="Times New Roman" w:cs="Times New Roman"/>
            <w:color w:val="000000"/>
            <w:sz w:val="24"/>
            <w:szCs w:val="24"/>
            <w:lang w:val="en-US" w:eastAsia="fr-FR"/>
          </w:rPr>
          <w:t>5</w:t>
        </w:r>
        <w:r w:rsidR="00E724B9" w:rsidRPr="00A2539B">
          <w:rPr>
            <w:rFonts w:ascii="Times New Roman" w:eastAsia="Times New Roman" w:hAnsi="Times New Roman" w:cs="Times New Roman"/>
            <w:color w:val="000000"/>
            <w:sz w:val="24"/>
            <w:szCs w:val="24"/>
            <w:lang w:val="en-US" w:eastAsia="fr-FR"/>
          </w:rPr>
          <w:t>86. https://doi.org/10.1146/annurev.energy.28.050302.105551.</w:t>
        </w:r>
      </w:hyperlink>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Peacock</w:t>
      </w:r>
      <w:r w:rsidRPr="00007BDA">
        <w:rPr>
          <w:rFonts w:ascii="Times New Roman" w:eastAsia="Times New Roman" w:hAnsi="Times New Roman" w:cs="Times New Roman"/>
          <w:b/>
          <w:bCs/>
          <w:color w:val="000000"/>
          <w:sz w:val="24"/>
          <w:szCs w:val="24"/>
          <w:lang w:val="en-US" w:eastAsia="fr-FR"/>
        </w:rPr>
        <w:t>, W.G., Brody, S., Seitz, W., Merrell, W., Vedlitz, A., Zahran, S., Harriss, R. &amp; Stickney, R., (2010)</w:t>
      </w:r>
      <w:r w:rsidR="00007BDA" w:rsidRPr="00007BDA">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007BDA">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Advancing Resilience of Coastal Localities: Developing</w:t>
      </w:r>
      <w:r w:rsidR="00007BDA">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color w:val="000000"/>
          <w:sz w:val="24"/>
          <w:szCs w:val="24"/>
          <w:lang w:val="en-US" w:eastAsia="fr-FR"/>
        </w:rPr>
        <w:t>Implementing, and Sustaining the Use of Coastal Resilience Indicators</w:t>
      </w:r>
      <w:r w:rsidR="00007BDA">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A Final</w:t>
      </w:r>
      <w:r w:rsidR="00007BDA">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color w:val="000000"/>
          <w:sz w:val="24"/>
          <w:szCs w:val="24"/>
          <w:lang w:val="en-US" w:eastAsia="fr-FR"/>
        </w:rPr>
        <w:t>Report</w:t>
      </w:r>
      <w:r w:rsidR="00007BDA">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007BDA">
        <w:rPr>
          <w:rFonts w:ascii="Times New Roman" w:eastAsia="Times New Roman" w:hAnsi="Times New Roman" w:cs="Times New Roman"/>
          <w:i/>
          <w:iCs/>
          <w:color w:val="000000"/>
          <w:sz w:val="24"/>
          <w:szCs w:val="24"/>
          <w:lang w:val="en-US" w:eastAsia="fr-FR"/>
        </w:rPr>
        <w:t>Hazard Reduction and Recovery Center</w:t>
      </w:r>
      <w:r w:rsidRPr="00A2539B">
        <w:rPr>
          <w:rFonts w:ascii="Times New Roman" w:eastAsia="Times New Roman" w:hAnsi="Times New Roman" w:cs="Times New Roman"/>
          <w:color w:val="000000"/>
          <w:sz w:val="24"/>
          <w:szCs w:val="24"/>
          <w:lang w:val="en-US" w:eastAsia="fr-FR"/>
        </w:rPr>
        <w:t>.</w:t>
      </w:r>
    </w:p>
    <w:p w:rsidR="00E724B9" w:rsidRPr="00A2539B"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Pei</w:t>
      </w:r>
      <w:r w:rsidRPr="00007BDA">
        <w:rPr>
          <w:rFonts w:ascii="Times New Roman" w:eastAsia="Times New Roman" w:hAnsi="Times New Roman" w:cs="Times New Roman"/>
          <w:b/>
          <w:bCs/>
          <w:color w:val="000000"/>
          <w:sz w:val="24"/>
          <w:szCs w:val="24"/>
          <w:lang w:val="en-US" w:eastAsia="fr-FR"/>
        </w:rPr>
        <w:t>, J.</w:t>
      </w:r>
      <w:r w:rsidR="00007BDA" w:rsidRPr="00007BDA">
        <w:rPr>
          <w:rFonts w:ascii="Times New Roman" w:eastAsia="Times New Roman" w:hAnsi="Times New Roman" w:cs="Times New Roman"/>
          <w:b/>
          <w:bCs/>
          <w:color w:val="000000"/>
          <w:sz w:val="24"/>
          <w:szCs w:val="24"/>
          <w:lang w:val="en-US" w:eastAsia="fr-FR"/>
        </w:rPr>
        <w:t>,</w:t>
      </w:r>
      <w:r w:rsidRPr="00007BDA">
        <w:rPr>
          <w:rFonts w:ascii="Times New Roman" w:eastAsia="Times New Roman" w:hAnsi="Times New Roman" w:cs="Times New Roman"/>
          <w:b/>
          <w:bCs/>
          <w:color w:val="000000"/>
          <w:sz w:val="24"/>
          <w:szCs w:val="24"/>
          <w:lang w:val="en-US" w:eastAsia="fr-FR"/>
        </w:rPr>
        <w:t xml:space="preserve"> Liu, W.</w:t>
      </w:r>
      <w:r w:rsidR="00007BDA" w:rsidRPr="00007BDA">
        <w:rPr>
          <w:rFonts w:ascii="Times New Roman" w:eastAsia="Times New Roman" w:hAnsi="Times New Roman" w:cs="Times New Roman"/>
          <w:b/>
          <w:bCs/>
          <w:color w:val="000000"/>
          <w:sz w:val="24"/>
          <w:szCs w:val="24"/>
          <w:lang w:val="en-US" w:eastAsia="fr-FR"/>
        </w:rPr>
        <w:t xml:space="preserve"> &amp;</w:t>
      </w:r>
      <w:r w:rsidRPr="00007BDA">
        <w:rPr>
          <w:rFonts w:ascii="Times New Roman" w:eastAsia="Times New Roman" w:hAnsi="Times New Roman" w:cs="Times New Roman"/>
          <w:b/>
          <w:bCs/>
          <w:color w:val="000000"/>
          <w:sz w:val="24"/>
          <w:szCs w:val="24"/>
          <w:lang w:val="en-US" w:eastAsia="fr-FR"/>
        </w:rPr>
        <w:t xml:space="preserve"> Han, L.</w:t>
      </w:r>
      <w:r w:rsidR="00007BDA" w:rsidRPr="00007BDA">
        <w:rPr>
          <w:rFonts w:ascii="Times New Roman" w:eastAsia="Times New Roman" w:hAnsi="Times New Roman" w:cs="Times New Roman"/>
          <w:b/>
          <w:bCs/>
          <w:color w:val="000000"/>
          <w:sz w:val="24"/>
          <w:szCs w:val="24"/>
          <w:lang w:val="en-US" w:eastAsia="fr-FR"/>
        </w:rPr>
        <w:t>, (2019):</w:t>
      </w:r>
      <w:r w:rsidR="00007BDA">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color w:val="000000"/>
          <w:sz w:val="24"/>
          <w:szCs w:val="24"/>
          <w:lang w:val="en-US" w:eastAsia="fr-FR"/>
        </w:rPr>
        <w:t>Research on Evaluation Index System of Chinese City Safety Resilience Based on Delphi Method and Cloud Model</w:t>
      </w:r>
      <w:r w:rsidR="00007BDA">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007BDA">
        <w:rPr>
          <w:rFonts w:ascii="Times New Roman" w:eastAsia="Times New Roman" w:hAnsi="Times New Roman" w:cs="Times New Roman"/>
          <w:i/>
          <w:iCs/>
          <w:color w:val="000000"/>
          <w:sz w:val="24"/>
          <w:szCs w:val="24"/>
          <w:lang w:val="en-US" w:eastAsia="fr-FR"/>
        </w:rPr>
        <w:t>Int. J. Environ. Res. Public Health</w:t>
      </w:r>
      <w:r w:rsidR="00007BDA">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007BDA">
        <w:rPr>
          <w:rFonts w:ascii="Times New Roman" w:eastAsia="Times New Roman" w:hAnsi="Times New Roman" w:cs="Times New Roman"/>
          <w:color w:val="000000"/>
          <w:sz w:val="24"/>
          <w:szCs w:val="24"/>
          <w:lang w:val="en-US" w:eastAsia="fr-FR"/>
        </w:rPr>
        <w:t>vol.</w:t>
      </w:r>
      <w:r w:rsidRPr="00A2539B">
        <w:rPr>
          <w:rFonts w:ascii="Times New Roman" w:eastAsia="Times New Roman" w:hAnsi="Times New Roman" w:cs="Times New Roman"/>
          <w:color w:val="000000"/>
          <w:sz w:val="24"/>
          <w:szCs w:val="24"/>
          <w:lang w:val="en-US" w:eastAsia="fr-FR"/>
        </w:rPr>
        <w:t>16, 3802.</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Pelling</w:t>
      </w:r>
      <w:r w:rsidRPr="00007BDA">
        <w:rPr>
          <w:rFonts w:ascii="Times New Roman" w:eastAsia="Times New Roman" w:hAnsi="Times New Roman" w:cs="Times New Roman"/>
          <w:b/>
          <w:bCs/>
          <w:color w:val="000000"/>
          <w:sz w:val="24"/>
          <w:szCs w:val="24"/>
          <w:lang w:val="en-US" w:eastAsia="fr-FR"/>
        </w:rPr>
        <w:t>, M.</w:t>
      </w:r>
      <w:r w:rsidR="00007BDA" w:rsidRPr="00007BDA">
        <w:rPr>
          <w:rFonts w:ascii="Times New Roman" w:eastAsia="Times New Roman" w:hAnsi="Times New Roman" w:cs="Times New Roman"/>
          <w:b/>
          <w:bCs/>
          <w:color w:val="000000"/>
          <w:sz w:val="24"/>
          <w:szCs w:val="24"/>
          <w:lang w:val="en-US" w:eastAsia="fr-FR"/>
        </w:rPr>
        <w:t>, (2003):</w:t>
      </w:r>
      <w:r w:rsidR="00007BDA">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color w:val="000000"/>
          <w:sz w:val="24"/>
          <w:szCs w:val="24"/>
          <w:lang w:val="en-US" w:eastAsia="fr-FR"/>
        </w:rPr>
        <w:t>The vulnerability of cities: natural disasters and social resilience</w:t>
      </w:r>
      <w:r w:rsidR="00007BDA">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London</w:t>
      </w:r>
      <w:r w:rsidR="00007BDA">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Sterling, </w:t>
      </w:r>
      <w:r w:rsidRPr="00007BDA">
        <w:rPr>
          <w:rFonts w:ascii="Times New Roman" w:eastAsia="Times New Roman" w:hAnsi="Times New Roman" w:cs="Times New Roman"/>
          <w:i/>
          <w:iCs/>
          <w:color w:val="000000"/>
          <w:sz w:val="24"/>
          <w:szCs w:val="24"/>
          <w:lang w:val="en-US" w:eastAsia="fr-FR"/>
        </w:rPr>
        <w:t>VA: Earthscan Publications</w:t>
      </w:r>
      <w:r w:rsidRPr="00A2539B">
        <w:rPr>
          <w:rFonts w:ascii="Times New Roman" w:eastAsia="Times New Roman" w:hAnsi="Times New Roman" w:cs="Times New Roman"/>
          <w:color w:val="000000"/>
          <w:sz w:val="24"/>
          <w:szCs w:val="24"/>
          <w:lang w:val="en-US" w:eastAsia="fr-FR"/>
        </w:rPr>
        <w:t>.</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Peres</w:t>
      </w:r>
      <w:r w:rsidRPr="00A2539B">
        <w:rPr>
          <w:rFonts w:ascii="Times New Roman" w:eastAsia="Times New Roman" w:hAnsi="Times New Roman" w:cs="Times New Roman"/>
          <w:b/>
          <w:bCs/>
          <w:color w:val="000000"/>
          <w:sz w:val="24"/>
          <w:szCs w:val="24"/>
          <w:lang w:val="en-US" w:eastAsia="fr-FR"/>
        </w:rPr>
        <w:t>, E., Landman, K. &amp; Du Plessis, C., (2016):</w:t>
      </w:r>
      <w:r w:rsidRPr="00A2539B">
        <w:rPr>
          <w:rFonts w:ascii="Times New Roman" w:eastAsia="Times New Roman" w:hAnsi="Times New Roman" w:cs="Times New Roman"/>
          <w:color w:val="000000"/>
          <w:sz w:val="24"/>
          <w:szCs w:val="24"/>
          <w:lang w:val="en-US" w:eastAsia="fr-FR"/>
        </w:rPr>
        <w:t xml:space="preserve"> "Unpacking a sustainable and resilient future for Tshwane", In: Urban Transitions Global Summit, Shanghai, China, 5 September 2016. Procedia Engineering.</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Phua</w:t>
      </w:r>
      <w:r w:rsidR="00ED10C2" w:rsidRPr="00ED10C2">
        <w:rPr>
          <w:rFonts w:ascii="Times New Roman" w:eastAsia="Times New Roman" w:hAnsi="Times New Roman" w:cs="Times New Roman"/>
          <w:b/>
          <w:bCs/>
          <w:color w:val="000000"/>
          <w:sz w:val="24"/>
          <w:szCs w:val="24"/>
          <w:lang w:val="en-US" w:eastAsia="fr-FR"/>
        </w:rPr>
        <w:t>,</w:t>
      </w:r>
      <w:r w:rsidRPr="00ED10C2">
        <w:rPr>
          <w:rFonts w:ascii="Times New Roman" w:eastAsia="Times New Roman" w:hAnsi="Times New Roman" w:cs="Times New Roman"/>
          <w:b/>
          <w:bCs/>
          <w:color w:val="000000"/>
          <w:sz w:val="24"/>
          <w:szCs w:val="24"/>
          <w:lang w:val="en-US" w:eastAsia="fr-FR"/>
        </w:rPr>
        <w:t xml:space="preserve"> M</w:t>
      </w:r>
      <w:r w:rsidR="00ED10C2" w:rsidRPr="00ED10C2">
        <w:rPr>
          <w:rFonts w:ascii="Times New Roman" w:eastAsia="Times New Roman" w:hAnsi="Times New Roman" w:cs="Times New Roman"/>
          <w:b/>
          <w:bCs/>
          <w:color w:val="000000"/>
          <w:sz w:val="24"/>
          <w:szCs w:val="24"/>
          <w:lang w:val="en-US" w:eastAsia="fr-FR"/>
        </w:rPr>
        <w:t>. &amp;</w:t>
      </w:r>
      <w:r w:rsidRPr="00ED10C2">
        <w:rPr>
          <w:rFonts w:ascii="Times New Roman" w:eastAsia="Times New Roman" w:hAnsi="Times New Roman" w:cs="Times New Roman"/>
          <w:b/>
          <w:bCs/>
          <w:color w:val="000000"/>
          <w:sz w:val="24"/>
          <w:szCs w:val="24"/>
          <w:lang w:val="en-US" w:eastAsia="fr-FR"/>
        </w:rPr>
        <w:t xml:space="preserve"> Minowa</w:t>
      </w:r>
      <w:r w:rsidR="00ED10C2" w:rsidRPr="00ED10C2">
        <w:rPr>
          <w:rFonts w:ascii="Times New Roman" w:eastAsia="Times New Roman" w:hAnsi="Times New Roman" w:cs="Times New Roman"/>
          <w:b/>
          <w:bCs/>
          <w:color w:val="000000"/>
          <w:sz w:val="24"/>
          <w:szCs w:val="24"/>
          <w:lang w:val="en-US" w:eastAsia="fr-FR"/>
        </w:rPr>
        <w:t>,</w:t>
      </w:r>
      <w:r w:rsidRPr="00ED10C2">
        <w:rPr>
          <w:rFonts w:ascii="Times New Roman" w:eastAsia="Times New Roman" w:hAnsi="Times New Roman" w:cs="Times New Roman"/>
          <w:b/>
          <w:bCs/>
          <w:color w:val="000000"/>
          <w:sz w:val="24"/>
          <w:szCs w:val="24"/>
          <w:lang w:val="en-US" w:eastAsia="fr-FR"/>
        </w:rPr>
        <w:t xml:space="preserve"> M</w:t>
      </w:r>
      <w:r w:rsidR="00ED10C2" w:rsidRPr="00ED10C2">
        <w:rPr>
          <w:rFonts w:ascii="Times New Roman" w:eastAsia="Times New Roman" w:hAnsi="Times New Roman" w:cs="Times New Roman"/>
          <w:b/>
          <w:bCs/>
          <w:color w:val="000000"/>
          <w:sz w:val="24"/>
          <w:szCs w:val="24"/>
          <w:lang w:val="en-US" w:eastAsia="fr-FR"/>
        </w:rPr>
        <w:t>.,</w:t>
      </w:r>
      <w:r w:rsidRPr="00ED10C2">
        <w:rPr>
          <w:rFonts w:ascii="Times New Roman" w:eastAsia="Times New Roman" w:hAnsi="Times New Roman" w:cs="Times New Roman"/>
          <w:b/>
          <w:bCs/>
          <w:color w:val="000000"/>
          <w:sz w:val="24"/>
          <w:szCs w:val="24"/>
          <w:lang w:val="en-US" w:eastAsia="fr-FR"/>
        </w:rPr>
        <w:t xml:space="preserve"> (2005)</w:t>
      </w:r>
      <w:r w:rsidR="00ED10C2" w:rsidRPr="00ED10C2">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ED10C2">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A GIS-based multi-criteria decision making approach to forest conservation planning at a landscape scale: a case study in the Kinabalu Area, Sabah, Malaysia</w:t>
      </w:r>
      <w:r w:rsidR="00ED10C2">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ED10C2">
        <w:rPr>
          <w:rFonts w:ascii="Times New Roman" w:eastAsia="Times New Roman" w:hAnsi="Times New Roman" w:cs="Times New Roman"/>
          <w:i/>
          <w:iCs/>
          <w:color w:val="000000"/>
          <w:sz w:val="24"/>
          <w:szCs w:val="24"/>
          <w:lang w:val="en-US" w:eastAsia="fr-FR"/>
        </w:rPr>
        <w:t>Land Scape Urban Plan</w:t>
      </w:r>
      <w:r w:rsidR="00ED10C2">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ED10C2">
        <w:rPr>
          <w:rFonts w:ascii="Times New Roman" w:eastAsia="Times New Roman" w:hAnsi="Times New Roman" w:cs="Times New Roman"/>
          <w:color w:val="000000"/>
          <w:sz w:val="24"/>
          <w:szCs w:val="24"/>
          <w:lang w:val="en-US" w:eastAsia="fr-FR"/>
        </w:rPr>
        <w:t xml:space="preserve">vol. </w:t>
      </w:r>
      <w:r w:rsidRPr="00A2539B">
        <w:rPr>
          <w:rFonts w:ascii="Times New Roman" w:eastAsia="Times New Roman" w:hAnsi="Times New Roman" w:cs="Times New Roman"/>
          <w:color w:val="000000"/>
          <w:sz w:val="24"/>
          <w:szCs w:val="24"/>
          <w:lang w:val="en-US" w:eastAsia="fr-FR"/>
        </w:rPr>
        <w:t>71</w:t>
      </w:r>
      <w:r w:rsidR="00ED10C2">
        <w:rPr>
          <w:rFonts w:ascii="Times New Roman" w:eastAsia="Times New Roman" w:hAnsi="Times New Roman" w:cs="Times New Roman"/>
          <w:color w:val="000000"/>
          <w:sz w:val="24"/>
          <w:szCs w:val="24"/>
          <w:lang w:val="en-US" w:eastAsia="fr-FR"/>
        </w:rPr>
        <w:t xml:space="preserve">, n° 2, </w:t>
      </w:r>
      <w:r w:rsidR="00A478CD">
        <w:rPr>
          <w:rFonts w:ascii="Times New Roman" w:eastAsia="Times New Roman" w:hAnsi="Times New Roman" w:cs="Times New Roman"/>
          <w:color w:val="000000"/>
          <w:sz w:val="24"/>
          <w:szCs w:val="24"/>
          <w:lang w:val="en-US" w:eastAsia="fr-FR"/>
        </w:rPr>
        <w:t>p</w:t>
      </w:r>
      <w:r w:rsidR="00ED10C2">
        <w:rPr>
          <w:rFonts w:ascii="Times New Roman" w:eastAsia="Times New Roman" w:hAnsi="Times New Roman" w:cs="Times New Roman"/>
          <w:color w:val="000000"/>
          <w:sz w:val="24"/>
          <w:szCs w:val="24"/>
          <w:lang w:val="en-US" w:eastAsia="fr-FR"/>
        </w:rPr>
        <w:t xml:space="preserve">p. </w:t>
      </w:r>
      <w:r w:rsidRPr="00A2539B">
        <w:rPr>
          <w:rFonts w:ascii="Times New Roman" w:eastAsia="Times New Roman" w:hAnsi="Times New Roman" w:cs="Times New Roman"/>
          <w:color w:val="000000"/>
          <w:sz w:val="24"/>
          <w:szCs w:val="24"/>
          <w:lang w:val="en-US" w:eastAsia="fr-FR"/>
        </w:rPr>
        <w:t>207–222.</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Pierce</w:t>
      </w:r>
      <w:r w:rsidRPr="00ED10C2">
        <w:rPr>
          <w:rFonts w:ascii="Times New Roman" w:eastAsia="Times New Roman" w:hAnsi="Times New Roman" w:cs="Times New Roman"/>
          <w:b/>
          <w:bCs/>
          <w:color w:val="000000"/>
          <w:sz w:val="24"/>
          <w:szCs w:val="24"/>
          <w:lang w:val="en-US" w:eastAsia="fr-FR"/>
        </w:rPr>
        <w:t>, J., Budd, W., &amp; Lovrich</w:t>
      </w:r>
      <w:r w:rsidR="00ED10C2" w:rsidRPr="00ED10C2">
        <w:rPr>
          <w:rFonts w:ascii="Times New Roman" w:eastAsia="Times New Roman" w:hAnsi="Times New Roman" w:cs="Times New Roman"/>
          <w:b/>
          <w:bCs/>
          <w:color w:val="000000"/>
          <w:sz w:val="24"/>
          <w:szCs w:val="24"/>
          <w:lang w:val="en-US" w:eastAsia="fr-FR"/>
        </w:rPr>
        <w:t>,</w:t>
      </w:r>
      <w:r w:rsidRPr="00ED10C2">
        <w:rPr>
          <w:rFonts w:ascii="Times New Roman" w:eastAsia="Times New Roman" w:hAnsi="Times New Roman" w:cs="Times New Roman"/>
          <w:b/>
          <w:bCs/>
          <w:color w:val="000000"/>
          <w:sz w:val="24"/>
          <w:szCs w:val="24"/>
          <w:lang w:val="en-US" w:eastAsia="fr-FR"/>
        </w:rPr>
        <w:t xml:space="preserve"> Jr</w:t>
      </w:r>
      <w:r w:rsidR="00ED10C2" w:rsidRPr="00ED10C2">
        <w:rPr>
          <w:rFonts w:ascii="Times New Roman" w:eastAsia="Times New Roman" w:hAnsi="Times New Roman" w:cs="Times New Roman"/>
          <w:b/>
          <w:bCs/>
          <w:color w:val="000000"/>
          <w:sz w:val="24"/>
          <w:szCs w:val="24"/>
          <w:lang w:val="en-US" w:eastAsia="fr-FR"/>
        </w:rPr>
        <w:t>.</w:t>
      </w:r>
      <w:r w:rsidRPr="00ED10C2">
        <w:rPr>
          <w:rFonts w:ascii="Times New Roman" w:eastAsia="Times New Roman" w:hAnsi="Times New Roman" w:cs="Times New Roman"/>
          <w:b/>
          <w:bCs/>
          <w:color w:val="000000"/>
          <w:sz w:val="24"/>
          <w:szCs w:val="24"/>
          <w:lang w:val="en-US" w:eastAsia="fr-FR"/>
        </w:rPr>
        <w:t xml:space="preserve"> N. (2011)</w:t>
      </w:r>
      <w:r w:rsidR="00ED10C2" w:rsidRPr="00ED10C2">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ED10C2">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Resilience and sustainability in US urban areas</w:t>
      </w:r>
      <w:r w:rsidR="00ED10C2">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ED10C2">
        <w:rPr>
          <w:rFonts w:ascii="Times New Roman" w:eastAsia="Times New Roman" w:hAnsi="Times New Roman" w:cs="Times New Roman"/>
          <w:i/>
          <w:iCs/>
          <w:color w:val="000000"/>
          <w:sz w:val="24"/>
          <w:szCs w:val="24"/>
          <w:lang w:val="en-US" w:eastAsia="fr-FR"/>
        </w:rPr>
        <w:t>Environmental Politics</w:t>
      </w:r>
      <w:r w:rsidRPr="00A2539B">
        <w:rPr>
          <w:rFonts w:ascii="Times New Roman" w:eastAsia="Times New Roman" w:hAnsi="Times New Roman" w:cs="Times New Roman"/>
          <w:color w:val="000000"/>
          <w:sz w:val="24"/>
          <w:szCs w:val="24"/>
          <w:lang w:val="en-US" w:eastAsia="fr-FR"/>
        </w:rPr>
        <w:t xml:space="preserve">, </w:t>
      </w:r>
      <w:r w:rsidR="00ED10C2">
        <w:rPr>
          <w:rFonts w:ascii="Times New Roman" w:eastAsia="Times New Roman" w:hAnsi="Times New Roman" w:cs="Times New Roman"/>
          <w:color w:val="000000"/>
          <w:sz w:val="24"/>
          <w:szCs w:val="24"/>
          <w:lang w:val="en-US" w:eastAsia="fr-FR"/>
        </w:rPr>
        <w:t xml:space="preserve">vol. </w:t>
      </w:r>
      <w:r w:rsidRPr="00A2539B">
        <w:rPr>
          <w:rFonts w:ascii="Times New Roman" w:eastAsia="Times New Roman" w:hAnsi="Times New Roman" w:cs="Times New Roman"/>
          <w:color w:val="000000"/>
          <w:sz w:val="24"/>
          <w:szCs w:val="24"/>
          <w:lang w:val="en-US" w:eastAsia="fr-FR"/>
        </w:rPr>
        <w:t>20</w:t>
      </w:r>
      <w:r w:rsidR="00ED10C2">
        <w:rPr>
          <w:rFonts w:ascii="Times New Roman" w:eastAsia="Times New Roman" w:hAnsi="Times New Roman" w:cs="Times New Roman"/>
          <w:color w:val="000000"/>
          <w:sz w:val="24"/>
          <w:szCs w:val="24"/>
          <w:lang w:val="en-US" w:eastAsia="fr-FR"/>
        </w:rPr>
        <w:t xml:space="preserve">, n° </w:t>
      </w:r>
      <w:r w:rsidRPr="00A2539B">
        <w:rPr>
          <w:rFonts w:ascii="Times New Roman" w:eastAsia="Times New Roman" w:hAnsi="Times New Roman" w:cs="Times New Roman"/>
          <w:color w:val="000000"/>
          <w:sz w:val="24"/>
          <w:szCs w:val="24"/>
          <w:lang w:val="en-US" w:eastAsia="fr-FR"/>
        </w:rPr>
        <w:t xml:space="preserve">4, </w:t>
      </w:r>
      <w:r w:rsidR="00ED10C2">
        <w:rPr>
          <w:rFonts w:ascii="Times New Roman" w:eastAsia="Times New Roman" w:hAnsi="Times New Roman" w:cs="Times New Roman"/>
          <w:color w:val="000000"/>
          <w:sz w:val="24"/>
          <w:szCs w:val="24"/>
          <w:lang w:val="en-US" w:eastAsia="fr-FR"/>
        </w:rPr>
        <w:t>p</w:t>
      </w:r>
      <w:r w:rsidR="00A478CD">
        <w:rPr>
          <w:rFonts w:ascii="Times New Roman" w:eastAsia="Times New Roman" w:hAnsi="Times New Roman" w:cs="Times New Roman"/>
          <w:color w:val="000000"/>
          <w:sz w:val="24"/>
          <w:szCs w:val="24"/>
          <w:lang w:val="en-US" w:eastAsia="fr-FR"/>
        </w:rPr>
        <w:t>p</w:t>
      </w:r>
      <w:r w:rsidR="00ED10C2">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color w:val="000000"/>
          <w:sz w:val="24"/>
          <w:szCs w:val="24"/>
          <w:lang w:val="en-US" w:eastAsia="fr-FR"/>
        </w:rPr>
        <w:t>566-584.</w:t>
      </w:r>
    </w:p>
    <w:p w:rsidR="00E724B9" w:rsidRPr="00A2539B"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Potter</w:t>
      </w:r>
      <w:r w:rsidRPr="00A2539B">
        <w:rPr>
          <w:rFonts w:ascii="Times New Roman" w:eastAsia="Times New Roman" w:hAnsi="Times New Roman" w:cs="Times New Roman"/>
          <w:b/>
          <w:bCs/>
          <w:color w:val="000000"/>
          <w:sz w:val="24"/>
          <w:szCs w:val="24"/>
          <w:lang w:val="en-US" w:eastAsia="fr-FR"/>
        </w:rPr>
        <w:t xml:space="preserve">, M., Gordon, S. </w:t>
      </w:r>
      <w:r w:rsidR="00ED10C2">
        <w:rPr>
          <w:rFonts w:ascii="Times New Roman" w:eastAsia="Times New Roman" w:hAnsi="Times New Roman" w:cs="Times New Roman"/>
          <w:b/>
          <w:bCs/>
          <w:color w:val="000000"/>
          <w:sz w:val="24"/>
          <w:szCs w:val="24"/>
          <w:lang w:val="en-US" w:eastAsia="fr-FR"/>
        </w:rPr>
        <w:t>&amp;</w:t>
      </w:r>
      <w:r w:rsidRPr="00A2539B">
        <w:rPr>
          <w:rFonts w:ascii="Times New Roman" w:eastAsia="Times New Roman" w:hAnsi="Times New Roman" w:cs="Times New Roman"/>
          <w:b/>
          <w:bCs/>
          <w:color w:val="000000"/>
          <w:sz w:val="24"/>
          <w:szCs w:val="24"/>
          <w:lang w:val="en-US" w:eastAsia="fr-FR"/>
        </w:rPr>
        <w:t xml:space="preserve"> Hamer, P., (2004):</w:t>
      </w:r>
      <w:r w:rsidRPr="00A2539B">
        <w:rPr>
          <w:rFonts w:ascii="Times New Roman" w:eastAsia="Times New Roman" w:hAnsi="Times New Roman" w:cs="Times New Roman"/>
          <w:color w:val="000000"/>
          <w:sz w:val="24"/>
          <w:szCs w:val="24"/>
          <w:lang w:val="en-US" w:eastAsia="fr-FR"/>
        </w:rPr>
        <w:t xml:space="preserve"> “The Nominal Group Technique- A useful consensus methodology”, </w:t>
      </w:r>
      <w:r w:rsidRPr="00ED10C2">
        <w:rPr>
          <w:rFonts w:ascii="Times New Roman" w:eastAsia="Times New Roman" w:hAnsi="Times New Roman" w:cs="Times New Roman"/>
          <w:i/>
          <w:iCs/>
          <w:color w:val="000000"/>
          <w:sz w:val="24"/>
          <w:szCs w:val="24"/>
          <w:lang w:val="en-US" w:eastAsia="fr-FR"/>
        </w:rPr>
        <w:t>Journal of Physiotherapy (NZ)</w:t>
      </w:r>
      <w:r w:rsidRPr="00A2539B">
        <w:rPr>
          <w:rFonts w:ascii="Times New Roman" w:eastAsia="Times New Roman" w:hAnsi="Times New Roman" w:cs="Times New Roman"/>
          <w:color w:val="000000"/>
          <w:sz w:val="24"/>
          <w:szCs w:val="24"/>
          <w:lang w:val="en-US" w:eastAsia="fr-FR"/>
        </w:rPr>
        <w:t>, vol. 32</w:t>
      </w:r>
      <w:r w:rsidR="00ED10C2">
        <w:rPr>
          <w:rFonts w:ascii="Times New Roman" w:eastAsia="Times New Roman" w:hAnsi="Times New Roman" w:cs="Times New Roman"/>
          <w:color w:val="000000"/>
          <w:sz w:val="24"/>
          <w:szCs w:val="24"/>
          <w:lang w:val="en-US" w:eastAsia="fr-FR"/>
        </w:rPr>
        <w:t>, n° 3</w:t>
      </w:r>
      <w:r w:rsidRPr="00A2539B">
        <w:rPr>
          <w:rFonts w:ascii="Times New Roman" w:eastAsia="Times New Roman" w:hAnsi="Times New Roman" w:cs="Times New Roman"/>
          <w:color w:val="000000"/>
          <w:sz w:val="24"/>
          <w:szCs w:val="24"/>
          <w:lang w:val="en-US" w:eastAsia="fr-FR"/>
        </w:rPr>
        <w:t xml:space="preserve">, </w:t>
      </w:r>
      <w:r w:rsidR="00A478CD">
        <w:rPr>
          <w:rFonts w:ascii="Times New Roman" w:eastAsia="Times New Roman" w:hAnsi="Times New Roman" w:cs="Times New Roman"/>
          <w:color w:val="000000"/>
          <w:sz w:val="24"/>
          <w:szCs w:val="24"/>
          <w:lang w:val="en-US" w:eastAsia="fr-FR"/>
        </w:rPr>
        <w:t>p</w:t>
      </w:r>
      <w:r w:rsidRPr="00A2539B">
        <w:rPr>
          <w:rFonts w:ascii="Times New Roman" w:eastAsia="Times New Roman" w:hAnsi="Times New Roman" w:cs="Times New Roman"/>
          <w:color w:val="000000"/>
          <w:sz w:val="24"/>
          <w:szCs w:val="24"/>
          <w:lang w:val="en-US" w:eastAsia="fr-FR"/>
        </w:rPr>
        <w:t>p. 126-130.</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Raine</w:t>
      </w:r>
      <w:r w:rsidRPr="00A2539B">
        <w:rPr>
          <w:rFonts w:ascii="Times New Roman" w:eastAsia="Times New Roman" w:hAnsi="Times New Roman" w:cs="Times New Roman"/>
          <w:b/>
          <w:bCs/>
          <w:color w:val="000000"/>
          <w:sz w:val="24"/>
          <w:szCs w:val="24"/>
          <w:lang w:val="en-US" w:eastAsia="fr-FR"/>
        </w:rPr>
        <w:t>, R., Wallace, I., Nic a’ Bháird, C., Xanthopoulou, P., Lanceley, A., Clarke, A., Prentice, A., Ardron, D., Harris, M., Gibbs, J. S. R., Ferlie, E., King, M., Blazeby, J. M., Michie, S., Livingston, G. &amp;  Barber, J. (2014):</w:t>
      </w:r>
      <w:r w:rsidRPr="00A2539B">
        <w:rPr>
          <w:rFonts w:ascii="Times New Roman" w:eastAsia="Times New Roman" w:hAnsi="Times New Roman" w:cs="Times New Roman"/>
          <w:color w:val="000000"/>
          <w:sz w:val="24"/>
          <w:szCs w:val="24"/>
          <w:lang w:val="en-US" w:eastAsia="fr-FR"/>
        </w:rPr>
        <w:t xml:space="preserve"> "Improving the effectiveness of multidisciplinary team meetings for patients with chronic diseases: a prospective observational study", </w:t>
      </w:r>
      <w:r w:rsidRPr="00601706">
        <w:rPr>
          <w:rFonts w:ascii="Times New Roman" w:eastAsia="Times New Roman" w:hAnsi="Times New Roman" w:cs="Times New Roman"/>
          <w:i/>
          <w:iCs/>
          <w:color w:val="000000"/>
          <w:sz w:val="24"/>
          <w:szCs w:val="24"/>
          <w:lang w:val="en-US" w:eastAsia="fr-FR"/>
        </w:rPr>
        <w:t>Health Services and Delivery Research</w:t>
      </w:r>
      <w:r w:rsidRPr="00A2539B">
        <w:rPr>
          <w:rFonts w:ascii="Times New Roman" w:eastAsia="Times New Roman" w:hAnsi="Times New Roman" w:cs="Times New Roman"/>
          <w:color w:val="000000"/>
          <w:sz w:val="24"/>
          <w:szCs w:val="24"/>
          <w:lang w:val="en-US" w:eastAsia="fr-FR"/>
        </w:rPr>
        <w:t>, vol. 2</w:t>
      </w:r>
      <w:r w:rsidR="00601706">
        <w:rPr>
          <w:rFonts w:ascii="Times New Roman" w:eastAsia="Times New Roman" w:hAnsi="Times New Roman" w:cs="Times New Roman"/>
          <w:color w:val="000000"/>
          <w:sz w:val="24"/>
          <w:szCs w:val="24"/>
          <w:lang w:val="en-US" w:eastAsia="fr-FR"/>
        </w:rPr>
        <w:t xml:space="preserve">, n° </w:t>
      </w:r>
      <w:r w:rsidRPr="00A2539B">
        <w:rPr>
          <w:rFonts w:ascii="Times New Roman" w:eastAsia="Times New Roman" w:hAnsi="Times New Roman" w:cs="Times New Roman"/>
          <w:color w:val="000000"/>
          <w:sz w:val="24"/>
          <w:szCs w:val="24"/>
          <w:lang w:val="en-US" w:eastAsia="fr-FR"/>
        </w:rPr>
        <w:t xml:space="preserve">37, </w:t>
      </w:r>
      <w:r w:rsidR="00A478CD">
        <w:rPr>
          <w:rFonts w:ascii="Times New Roman" w:eastAsia="Times New Roman" w:hAnsi="Times New Roman" w:cs="Times New Roman"/>
          <w:color w:val="000000"/>
          <w:sz w:val="24"/>
          <w:szCs w:val="24"/>
          <w:lang w:val="en-US" w:eastAsia="fr-FR"/>
        </w:rPr>
        <w:t>p</w:t>
      </w:r>
      <w:r w:rsidRPr="00A2539B">
        <w:rPr>
          <w:rFonts w:ascii="Times New Roman" w:eastAsia="Times New Roman" w:hAnsi="Times New Roman" w:cs="Times New Roman"/>
          <w:color w:val="000000"/>
          <w:sz w:val="24"/>
          <w:szCs w:val="24"/>
          <w:lang w:val="en-US" w:eastAsia="fr-FR"/>
        </w:rPr>
        <w:t>p. 1-172.</w:t>
      </w:r>
    </w:p>
    <w:p w:rsidR="00957EE1" w:rsidRPr="00A2539B" w:rsidRDefault="00957EE1" w:rsidP="00AE6E2D">
      <w:pPr>
        <w:spacing w:line="240" w:lineRule="auto"/>
        <w:jc w:val="both"/>
        <w:rPr>
          <w:rFonts w:ascii="Times New Roman" w:eastAsia="Times New Roman" w:hAnsi="Times New Roman" w:cs="Times New Roman"/>
          <w:color w:val="000000"/>
          <w:sz w:val="24"/>
          <w:szCs w:val="24"/>
          <w:lang w:val="en-US" w:eastAsia="fr-FR"/>
        </w:rPr>
      </w:pPr>
      <w:r w:rsidRPr="00957EE1">
        <w:rPr>
          <w:rFonts w:ascii="Times New Roman" w:eastAsia="Times New Roman" w:hAnsi="Times New Roman" w:cs="Times New Roman"/>
          <w:b/>
          <w:bCs/>
          <w:color w:val="000000"/>
          <w:sz w:val="24"/>
          <w:szCs w:val="24"/>
          <w:lang w:val="en-US" w:eastAsia="fr-FR"/>
        </w:rPr>
        <w:t>Ramadane Chikouche,C. &amp; Hadjab, M., (2022):</w:t>
      </w:r>
      <w:r w:rsidRPr="00957EE1">
        <w:rPr>
          <w:rFonts w:ascii="Times New Roman" w:eastAsia="Times New Roman" w:hAnsi="Times New Roman" w:cs="Times New Roman"/>
          <w:color w:val="000000"/>
          <w:sz w:val="24"/>
          <w:szCs w:val="24"/>
          <w:lang w:val="en-US" w:eastAsia="fr-FR"/>
        </w:rPr>
        <w:t xml:space="preserve"> The impact of flood risks on urban expension areas in cities (Case study of M’sila, Algeria) Technium Social Sciences Journal, ISSN: 2668-7798, vol. 33, pp. 615–622.  http://dx.doi.org/10.47577/tssj.v33i1.6787</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Reggiani</w:t>
      </w:r>
      <w:r w:rsidRPr="00601706">
        <w:rPr>
          <w:rFonts w:ascii="Times New Roman" w:eastAsia="Times New Roman" w:hAnsi="Times New Roman" w:cs="Times New Roman"/>
          <w:b/>
          <w:bCs/>
          <w:color w:val="000000"/>
          <w:sz w:val="24"/>
          <w:szCs w:val="24"/>
          <w:lang w:val="en-US" w:eastAsia="fr-FR"/>
        </w:rPr>
        <w:t>, A., (2013)</w:t>
      </w:r>
      <w:r w:rsidR="00601706" w:rsidRPr="00601706">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601706">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Network resilience for transport security: some methodological considerations</w:t>
      </w:r>
      <w:r w:rsidR="00601706">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601706">
        <w:rPr>
          <w:rFonts w:ascii="Times New Roman" w:eastAsia="Times New Roman" w:hAnsi="Times New Roman" w:cs="Times New Roman"/>
          <w:i/>
          <w:iCs/>
          <w:color w:val="000000"/>
          <w:sz w:val="24"/>
          <w:szCs w:val="24"/>
          <w:lang w:val="en-US" w:eastAsia="fr-FR"/>
        </w:rPr>
        <w:t>Transport Policy</w:t>
      </w:r>
      <w:r w:rsidRPr="00601706">
        <w:rPr>
          <w:rFonts w:ascii="Times New Roman" w:eastAsia="Times New Roman" w:hAnsi="Times New Roman" w:cs="Times New Roman"/>
          <w:color w:val="000000"/>
          <w:sz w:val="24"/>
          <w:szCs w:val="24"/>
          <w:lang w:val="en-US" w:eastAsia="fr-FR"/>
        </w:rPr>
        <w:t xml:space="preserve">, </w:t>
      </w:r>
      <w:r w:rsidR="00601706">
        <w:rPr>
          <w:rFonts w:ascii="Times New Roman" w:eastAsia="Times New Roman" w:hAnsi="Times New Roman" w:cs="Times New Roman"/>
          <w:color w:val="000000"/>
          <w:sz w:val="24"/>
          <w:szCs w:val="24"/>
          <w:lang w:val="en-US" w:eastAsia="fr-FR"/>
        </w:rPr>
        <w:t>vol.</w:t>
      </w:r>
      <w:r w:rsidRPr="00601706">
        <w:rPr>
          <w:rFonts w:ascii="Times New Roman" w:eastAsia="Times New Roman" w:hAnsi="Times New Roman" w:cs="Times New Roman"/>
          <w:color w:val="000000"/>
          <w:sz w:val="24"/>
          <w:szCs w:val="24"/>
          <w:lang w:val="en-US" w:eastAsia="fr-FR"/>
        </w:rPr>
        <w:t xml:space="preserve">28, </w:t>
      </w:r>
      <w:r w:rsidR="00601706">
        <w:rPr>
          <w:rFonts w:ascii="Times New Roman" w:eastAsia="Times New Roman" w:hAnsi="Times New Roman" w:cs="Times New Roman"/>
          <w:color w:val="000000"/>
          <w:sz w:val="24"/>
          <w:szCs w:val="24"/>
          <w:lang w:val="en-US" w:eastAsia="fr-FR"/>
        </w:rPr>
        <w:t>p</w:t>
      </w:r>
      <w:r w:rsidR="00191967">
        <w:rPr>
          <w:rFonts w:ascii="Times New Roman" w:eastAsia="Times New Roman" w:hAnsi="Times New Roman" w:cs="Times New Roman"/>
          <w:color w:val="000000"/>
          <w:sz w:val="24"/>
          <w:szCs w:val="24"/>
          <w:lang w:val="en-US" w:eastAsia="fr-FR"/>
        </w:rPr>
        <w:t>p</w:t>
      </w:r>
      <w:r w:rsidR="00601706">
        <w:rPr>
          <w:rFonts w:ascii="Times New Roman" w:eastAsia="Times New Roman" w:hAnsi="Times New Roman" w:cs="Times New Roman"/>
          <w:color w:val="000000"/>
          <w:sz w:val="24"/>
          <w:szCs w:val="24"/>
          <w:lang w:val="en-US" w:eastAsia="fr-FR"/>
        </w:rPr>
        <w:t xml:space="preserve">. </w:t>
      </w:r>
      <w:r w:rsidRPr="00601706">
        <w:rPr>
          <w:rFonts w:ascii="Times New Roman" w:eastAsia="Times New Roman" w:hAnsi="Times New Roman" w:cs="Times New Roman"/>
          <w:color w:val="000000"/>
          <w:sz w:val="24"/>
          <w:szCs w:val="24"/>
          <w:lang w:val="en-US" w:eastAsia="fr-FR"/>
        </w:rPr>
        <w:t>63–68. doi: 10.1016/j.tranpol.2012.09.007.</w:t>
      </w:r>
    </w:p>
    <w:p w:rsidR="00601706" w:rsidRPr="00601706" w:rsidRDefault="00601706" w:rsidP="00191967">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Reggiani</w:t>
      </w:r>
      <w:r w:rsidRPr="009B6519">
        <w:rPr>
          <w:rFonts w:ascii="Times New Roman" w:eastAsia="Times New Roman" w:hAnsi="Times New Roman" w:cs="Times New Roman"/>
          <w:b/>
          <w:bCs/>
          <w:color w:val="000000"/>
          <w:sz w:val="24"/>
          <w:szCs w:val="24"/>
          <w:lang w:val="en-US" w:eastAsia="fr-FR"/>
        </w:rPr>
        <w:t>, A., Nijkamp, P. &amp; Lanzi, D., (2015):</w:t>
      </w:r>
      <w:r w:rsidRPr="009B6519">
        <w:rPr>
          <w:rFonts w:ascii="Times New Roman" w:eastAsia="Times New Roman" w:hAnsi="Times New Roman" w:cs="Times New Roman"/>
          <w:color w:val="000000"/>
          <w:sz w:val="24"/>
          <w:szCs w:val="24"/>
          <w:lang w:val="en-US" w:eastAsia="fr-FR"/>
        </w:rPr>
        <w:t xml:space="preserve"> “Transport resilience and vulnerability: The role of connectivity”, </w:t>
      </w:r>
      <w:r w:rsidRPr="009B6519">
        <w:rPr>
          <w:rFonts w:ascii="Times New Roman" w:eastAsia="Times New Roman" w:hAnsi="Times New Roman" w:cs="Times New Roman"/>
          <w:i/>
          <w:iCs/>
          <w:color w:val="000000"/>
          <w:sz w:val="24"/>
          <w:szCs w:val="24"/>
          <w:lang w:val="en-US" w:eastAsia="fr-FR"/>
        </w:rPr>
        <w:t>Transportation Research Part A: Policy and Practice</w:t>
      </w:r>
      <w:r w:rsidRPr="009B6519">
        <w:rPr>
          <w:rFonts w:ascii="Times New Roman" w:eastAsia="Times New Roman" w:hAnsi="Times New Roman" w:cs="Times New Roman"/>
          <w:color w:val="000000"/>
          <w:sz w:val="24"/>
          <w:szCs w:val="24"/>
          <w:lang w:val="en-US" w:eastAsia="fr-FR"/>
        </w:rPr>
        <w:t>, vol. 81, doi:10.1016/j.tra.2014.</w:t>
      </w:r>
      <w:r w:rsidRPr="00601706">
        <w:rPr>
          <w:rFonts w:ascii="Times New Roman" w:eastAsia="Times New Roman" w:hAnsi="Times New Roman" w:cs="Times New Roman"/>
          <w:color w:val="000000"/>
          <w:sz w:val="24"/>
          <w:szCs w:val="24"/>
          <w:lang w:val="en-US" w:eastAsia="fr-FR"/>
        </w:rPr>
        <w:t>12.012, p</w:t>
      </w:r>
      <w:r w:rsidR="00191967">
        <w:rPr>
          <w:rFonts w:ascii="Times New Roman" w:eastAsia="Times New Roman" w:hAnsi="Times New Roman" w:cs="Times New Roman"/>
          <w:color w:val="000000"/>
          <w:sz w:val="24"/>
          <w:szCs w:val="24"/>
          <w:lang w:val="en-US" w:eastAsia="fr-FR"/>
        </w:rPr>
        <w:t>p</w:t>
      </w:r>
      <w:r w:rsidRPr="00601706">
        <w:rPr>
          <w:rFonts w:ascii="Times New Roman" w:eastAsia="Times New Roman" w:hAnsi="Times New Roman" w:cs="Times New Roman"/>
          <w:color w:val="000000"/>
          <w:sz w:val="24"/>
          <w:szCs w:val="24"/>
          <w:lang w:val="en-US" w:eastAsia="fr-FR"/>
        </w:rPr>
        <w:t>. 4–15, ISSN 09658564.</w:t>
      </w:r>
    </w:p>
    <w:p w:rsidR="00E724B9" w:rsidRPr="00092361"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Renschler, C., Frazier, A</w:t>
      </w:r>
      <w:r w:rsidRPr="00601706">
        <w:rPr>
          <w:rFonts w:ascii="Times New Roman" w:eastAsia="Times New Roman" w:hAnsi="Times New Roman" w:cs="Times New Roman"/>
          <w:b/>
          <w:bCs/>
          <w:color w:val="000000"/>
          <w:sz w:val="24"/>
          <w:szCs w:val="24"/>
          <w:lang w:val="en-US" w:eastAsia="fr-FR"/>
        </w:rPr>
        <w:t>., Arendt, L., Cimellaro, G. P., Reinhorn, A., &amp; Bruneau, M.</w:t>
      </w:r>
      <w:r w:rsidR="001C401E" w:rsidRPr="00601706">
        <w:rPr>
          <w:rFonts w:ascii="Times New Roman" w:eastAsia="Times New Roman" w:hAnsi="Times New Roman" w:cs="Times New Roman"/>
          <w:b/>
          <w:bCs/>
          <w:color w:val="000000"/>
          <w:sz w:val="24"/>
          <w:szCs w:val="24"/>
          <w:lang w:val="en-US" w:eastAsia="fr-FR"/>
        </w:rPr>
        <w:t>,</w:t>
      </w:r>
      <w:r w:rsidRPr="00601706">
        <w:rPr>
          <w:rFonts w:ascii="Times New Roman" w:eastAsia="Times New Roman" w:hAnsi="Times New Roman" w:cs="Times New Roman"/>
          <w:b/>
          <w:bCs/>
          <w:color w:val="000000"/>
          <w:sz w:val="24"/>
          <w:szCs w:val="24"/>
          <w:lang w:val="en-US" w:eastAsia="fr-FR"/>
        </w:rPr>
        <w:t xml:space="preserve"> (2010)</w:t>
      </w:r>
      <w:r w:rsidR="001C401E" w:rsidRPr="00601706">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1C401E">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Developing the ‘PEOPLES’ resilience framework for defining and measuring disaster resilience at the community scale</w:t>
      </w:r>
      <w:r w:rsidR="001C401E">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Paper presented at the Proceedings of the 9th US national and 10</w:t>
      </w:r>
      <w:r w:rsidRPr="00A2539B">
        <w:rPr>
          <w:rFonts w:ascii="Times New Roman" w:eastAsia="Times New Roman" w:hAnsi="Times New Roman" w:cs="Times New Roman"/>
          <w:color w:val="000000"/>
          <w:sz w:val="24"/>
          <w:szCs w:val="24"/>
          <w:vertAlign w:val="superscript"/>
          <w:lang w:val="en-US" w:eastAsia="fr-FR"/>
        </w:rPr>
        <w:t>th</w:t>
      </w:r>
      <w:r w:rsidRPr="00A2539B">
        <w:rPr>
          <w:rFonts w:ascii="Times New Roman" w:eastAsia="Times New Roman" w:hAnsi="Times New Roman" w:cs="Times New Roman"/>
          <w:color w:val="000000"/>
          <w:sz w:val="24"/>
          <w:szCs w:val="24"/>
          <w:lang w:val="en-US" w:eastAsia="fr-FR"/>
        </w:rPr>
        <w:t xml:space="preserve"> Canadian conference on earthquake engineering (9USN/1</w:t>
      </w:r>
      <w:r w:rsidR="00601706">
        <w:rPr>
          <w:rFonts w:ascii="Times New Roman" w:eastAsia="Times New Roman" w:hAnsi="Times New Roman" w:cs="Times New Roman"/>
          <w:color w:val="000000"/>
          <w:sz w:val="24"/>
          <w:szCs w:val="24"/>
          <w:lang w:val="en-US" w:eastAsia="fr-FR"/>
        </w:rPr>
        <w:t>0CCEE), Toronto, Canada, p</w:t>
      </w:r>
      <w:r w:rsidR="00191967">
        <w:rPr>
          <w:rFonts w:ascii="Times New Roman" w:eastAsia="Times New Roman" w:hAnsi="Times New Roman" w:cs="Times New Roman"/>
          <w:color w:val="000000"/>
          <w:sz w:val="24"/>
          <w:szCs w:val="24"/>
          <w:lang w:val="en-US" w:eastAsia="fr-FR"/>
        </w:rPr>
        <w:t>p</w:t>
      </w:r>
      <w:r w:rsidR="00601706">
        <w:rPr>
          <w:rFonts w:ascii="Times New Roman" w:eastAsia="Times New Roman" w:hAnsi="Times New Roman" w:cs="Times New Roman"/>
          <w:color w:val="000000"/>
          <w:sz w:val="24"/>
          <w:szCs w:val="24"/>
          <w:lang w:val="en-US" w:eastAsia="fr-FR"/>
        </w:rPr>
        <w:t>. 1-10.</w:t>
      </w:r>
    </w:p>
    <w:p w:rsidR="00E724B9" w:rsidRPr="00092361"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lastRenderedPageBreak/>
        <w:t>Richter</w:t>
      </w:r>
      <w:r w:rsidRPr="001C401E">
        <w:rPr>
          <w:rFonts w:ascii="Times New Roman" w:eastAsia="Times New Roman" w:hAnsi="Times New Roman" w:cs="Times New Roman"/>
          <w:b/>
          <w:bCs/>
          <w:color w:val="000000"/>
          <w:sz w:val="24"/>
          <w:szCs w:val="24"/>
          <w:lang w:val="en-US" w:eastAsia="fr-FR"/>
        </w:rPr>
        <w:t>, M.</w:t>
      </w:r>
      <w:r w:rsidR="001C401E" w:rsidRPr="001C401E">
        <w:rPr>
          <w:rFonts w:ascii="Times New Roman" w:eastAsia="Times New Roman" w:hAnsi="Times New Roman" w:cs="Times New Roman"/>
          <w:b/>
          <w:bCs/>
          <w:color w:val="000000"/>
          <w:sz w:val="24"/>
          <w:szCs w:val="24"/>
          <w:lang w:val="en-US" w:eastAsia="fr-FR"/>
        </w:rPr>
        <w:t>,</w:t>
      </w:r>
      <w:r w:rsidRPr="001C401E">
        <w:rPr>
          <w:rFonts w:ascii="Times New Roman" w:eastAsia="Times New Roman" w:hAnsi="Times New Roman" w:cs="Times New Roman"/>
          <w:b/>
          <w:bCs/>
          <w:color w:val="000000"/>
          <w:sz w:val="24"/>
          <w:szCs w:val="24"/>
          <w:lang w:val="en-US" w:eastAsia="fr-FR"/>
        </w:rPr>
        <w:t xml:space="preserve"> </w:t>
      </w:r>
      <w:r w:rsidR="001C401E" w:rsidRPr="001C401E">
        <w:rPr>
          <w:rFonts w:ascii="Times New Roman" w:eastAsia="Times New Roman" w:hAnsi="Times New Roman" w:cs="Times New Roman"/>
          <w:b/>
          <w:bCs/>
          <w:color w:val="000000"/>
          <w:sz w:val="24"/>
          <w:szCs w:val="24"/>
          <w:lang w:val="en-US" w:eastAsia="fr-FR"/>
        </w:rPr>
        <w:t>(</w:t>
      </w:r>
      <w:r w:rsidRPr="001C401E">
        <w:rPr>
          <w:rFonts w:ascii="Times New Roman" w:eastAsia="Times New Roman" w:hAnsi="Times New Roman" w:cs="Times New Roman"/>
          <w:b/>
          <w:bCs/>
          <w:color w:val="000000"/>
          <w:sz w:val="24"/>
          <w:szCs w:val="24"/>
          <w:lang w:val="en-US" w:eastAsia="fr-FR"/>
        </w:rPr>
        <w:t>2016</w:t>
      </w:r>
      <w:r w:rsidR="001C401E" w:rsidRPr="001C401E">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1C401E">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Land use and urban efficiency: towards more resilient cities</w:t>
      </w:r>
      <w:r w:rsidR="001C401E">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Dissertation</w:t>
      </w:r>
      <w:r w:rsidR="001C401E">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Potchefstroom Campus, North-West University.</w:t>
      </w:r>
    </w:p>
    <w:p w:rsidR="00E724B9" w:rsidRPr="001C401E"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394" w:history="1">
        <w:r w:rsidR="00E724B9" w:rsidRPr="00F77863">
          <w:rPr>
            <w:rFonts w:ascii="Times New Roman" w:eastAsia="Times New Roman" w:hAnsi="Times New Roman" w:cs="Times New Roman"/>
            <w:b/>
            <w:bCs/>
            <w:sz w:val="24"/>
            <w:szCs w:val="24"/>
            <w:lang w:val="en-US" w:eastAsia="fr-FR"/>
          </w:rPr>
          <w:t>Rockefeller</w:t>
        </w:r>
        <w:r w:rsidR="00E724B9" w:rsidRPr="00A2539B">
          <w:rPr>
            <w:rFonts w:ascii="Times New Roman" w:eastAsia="Times New Roman" w:hAnsi="Times New Roman" w:cs="Times New Roman"/>
            <w:b/>
            <w:bCs/>
            <w:color w:val="000000"/>
            <w:sz w:val="24"/>
            <w:szCs w:val="24"/>
            <w:lang w:val="en-US" w:eastAsia="fr-FR"/>
          </w:rPr>
          <w:t xml:space="preserve"> Foundation, (2016):</w:t>
        </w:r>
        <w:r w:rsidR="00E724B9" w:rsidRPr="00A2539B">
          <w:rPr>
            <w:rFonts w:ascii="Times New Roman" w:eastAsia="Times New Roman" w:hAnsi="Times New Roman" w:cs="Times New Roman"/>
            <w:color w:val="000000"/>
            <w:sz w:val="24"/>
            <w:szCs w:val="24"/>
            <w:lang w:val="en-US" w:eastAsia="fr-FR"/>
          </w:rPr>
          <w:t xml:space="preserve"> "100 Resilient Cities", Available at:</w:t>
        </w:r>
        <w:r w:rsidR="001C401E">
          <w:rPr>
            <w:rFonts w:ascii="Times New Roman" w:eastAsia="Times New Roman" w:hAnsi="Times New Roman" w:cs="Times New Roman"/>
            <w:color w:val="000000"/>
            <w:sz w:val="24"/>
            <w:szCs w:val="24"/>
            <w:lang w:val="en-US" w:eastAsia="fr-FR"/>
          </w:rPr>
          <w:t xml:space="preserve"> http://</w:t>
        </w:r>
        <w:r w:rsidR="00E724B9" w:rsidRPr="00A2539B">
          <w:rPr>
            <w:rFonts w:ascii="Times New Roman" w:eastAsia="Times New Roman" w:hAnsi="Times New Roman" w:cs="Times New Roman"/>
            <w:color w:val="000000"/>
            <w:sz w:val="24"/>
            <w:szCs w:val="24"/>
            <w:lang w:val="en-US" w:eastAsia="fr-FR"/>
          </w:rPr>
          <w:t>www.100resilie</w:t>
        </w:r>
        <w:r w:rsidR="001C401E">
          <w:rPr>
            <w:rFonts w:ascii="Times New Roman" w:eastAsia="Times New Roman" w:hAnsi="Times New Roman" w:cs="Times New Roman"/>
            <w:color w:val="000000"/>
            <w:sz w:val="24"/>
            <w:szCs w:val="24"/>
            <w:lang w:val="en-US" w:eastAsia="fr-FR"/>
          </w:rPr>
          <w:t xml:space="preserve"> </w:t>
        </w:r>
        <w:r w:rsidR="00E724B9" w:rsidRPr="00A2539B">
          <w:rPr>
            <w:rFonts w:ascii="Times New Roman" w:eastAsia="Times New Roman" w:hAnsi="Times New Roman" w:cs="Times New Roman"/>
            <w:color w:val="000000"/>
            <w:sz w:val="24"/>
            <w:szCs w:val="24"/>
            <w:lang w:val="en-US" w:eastAsia="fr-FR"/>
          </w:rPr>
          <w:t>ntcities.org. (Accessed 11 November 2021).</w:t>
        </w:r>
      </w:hyperlink>
    </w:p>
    <w:p w:rsidR="00916EFA"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395" w:history="1">
        <w:r w:rsidR="00E724B9" w:rsidRPr="00F77863">
          <w:rPr>
            <w:rFonts w:ascii="Times New Roman" w:eastAsia="Times New Roman" w:hAnsi="Times New Roman" w:cs="Times New Roman"/>
            <w:b/>
            <w:bCs/>
            <w:sz w:val="24"/>
            <w:szCs w:val="24"/>
            <w:lang w:val="en-US" w:eastAsia="fr-FR"/>
          </w:rPr>
          <w:t>Rodriquez</w:t>
        </w:r>
        <w:r w:rsidR="00E724B9" w:rsidRPr="001C401E">
          <w:rPr>
            <w:rFonts w:ascii="Times New Roman" w:eastAsia="Times New Roman" w:hAnsi="Times New Roman" w:cs="Times New Roman"/>
            <w:b/>
            <w:bCs/>
            <w:color w:val="000000"/>
            <w:sz w:val="24"/>
            <w:szCs w:val="24"/>
            <w:lang w:val="en-US" w:eastAsia="fr-FR"/>
          </w:rPr>
          <w:t>, C.</w:t>
        </w:r>
        <w:r w:rsidR="00262316" w:rsidRPr="001C401E">
          <w:rPr>
            <w:rFonts w:ascii="Times New Roman" w:eastAsia="Times New Roman" w:hAnsi="Times New Roman" w:cs="Times New Roman"/>
            <w:b/>
            <w:bCs/>
            <w:color w:val="000000"/>
            <w:sz w:val="24"/>
            <w:szCs w:val="24"/>
            <w:lang w:val="en-US" w:eastAsia="fr-FR"/>
          </w:rPr>
          <w:t>,</w:t>
        </w:r>
        <w:r w:rsidR="00E724B9" w:rsidRPr="001C401E">
          <w:rPr>
            <w:rFonts w:ascii="Times New Roman" w:eastAsia="Times New Roman" w:hAnsi="Times New Roman" w:cs="Times New Roman"/>
            <w:b/>
            <w:bCs/>
            <w:color w:val="000000"/>
            <w:sz w:val="24"/>
            <w:szCs w:val="24"/>
            <w:lang w:val="en-US" w:eastAsia="fr-FR"/>
          </w:rPr>
          <w:t xml:space="preserve"> Mendes, J.M.</w:t>
        </w:r>
        <w:r w:rsidR="00262316" w:rsidRPr="001C401E">
          <w:rPr>
            <w:rFonts w:ascii="Times New Roman" w:eastAsia="Times New Roman" w:hAnsi="Times New Roman" w:cs="Times New Roman"/>
            <w:b/>
            <w:bCs/>
            <w:color w:val="000000"/>
            <w:sz w:val="24"/>
            <w:szCs w:val="24"/>
            <w:lang w:val="en-US" w:eastAsia="fr-FR"/>
          </w:rPr>
          <w:t xml:space="preserve"> &amp;</w:t>
        </w:r>
        <w:r w:rsidR="00E724B9" w:rsidRPr="001C401E">
          <w:rPr>
            <w:rFonts w:ascii="Times New Roman" w:eastAsia="Times New Roman" w:hAnsi="Times New Roman" w:cs="Times New Roman"/>
            <w:b/>
            <w:bCs/>
            <w:color w:val="000000"/>
            <w:sz w:val="24"/>
            <w:szCs w:val="24"/>
            <w:lang w:val="en-US" w:eastAsia="fr-FR"/>
          </w:rPr>
          <w:t xml:space="preserve"> Romão, X.</w:t>
        </w:r>
        <w:r w:rsidR="001C401E">
          <w:rPr>
            <w:rFonts w:ascii="Times New Roman" w:eastAsia="Times New Roman" w:hAnsi="Times New Roman" w:cs="Times New Roman"/>
            <w:b/>
            <w:bCs/>
            <w:color w:val="000000"/>
            <w:sz w:val="24"/>
            <w:szCs w:val="24"/>
            <w:lang w:val="en-US" w:eastAsia="fr-FR"/>
          </w:rPr>
          <w:t>,</w:t>
        </w:r>
        <w:r w:rsidR="00262316" w:rsidRPr="001C401E">
          <w:rPr>
            <w:rFonts w:ascii="Times New Roman" w:eastAsia="Times New Roman" w:hAnsi="Times New Roman" w:cs="Times New Roman"/>
            <w:b/>
            <w:bCs/>
            <w:color w:val="000000"/>
            <w:sz w:val="24"/>
            <w:szCs w:val="24"/>
            <w:lang w:val="en-US" w:eastAsia="fr-FR"/>
          </w:rPr>
          <w:t xml:space="preserve"> (2022):</w:t>
        </w:r>
        <w:r w:rsidR="00E724B9" w:rsidRPr="00A2539B">
          <w:rPr>
            <w:rFonts w:ascii="Times New Roman" w:eastAsia="Times New Roman" w:hAnsi="Times New Roman" w:cs="Times New Roman"/>
            <w:color w:val="000000"/>
            <w:sz w:val="24"/>
            <w:szCs w:val="24"/>
            <w:lang w:val="en-US" w:eastAsia="fr-FR"/>
          </w:rPr>
          <w:t xml:space="preserve"> </w:t>
        </w:r>
        <w:r w:rsidR="00262316">
          <w:rPr>
            <w:rFonts w:ascii="Times New Roman" w:eastAsia="Times New Roman" w:hAnsi="Times New Roman" w:cs="Times New Roman"/>
            <w:color w:val="000000"/>
            <w:sz w:val="24"/>
            <w:szCs w:val="24"/>
            <w:lang w:val="en-US" w:eastAsia="fr-FR"/>
          </w:rPr>
          <w:t>“</w:t>
        </w:r>
        <w:r w:rsidR="00E724B9" w:rsidRPr="00A2539B">
          <w:rPr>
            <w:rFonts w:ascii="Times New Roman" w:eastAsia="Times New Roman" w:hAnsi="Times New Roman" w:cs="Times New Roman"/>
            <w:color w:val="000000"/>
            <w:sz w:val="24"/>
            <w:szCs w:val="24"/>
            <w:lang w:val="en-US" w:eastAsia="fr-FR"/>
          </w:rPr>
          <w:t>Identifying the Importance of Disaster Resilience Dimensions across Different Countries Using the Delphi Method</w:t>
        </w:r>
        <w:r w:rsidR="00262316">
          <w:rPr>
            <w:rFonts w:ascii="Times New Roman" w:eastAsia="Times New Roman" w:hAnsi="Times New Roman" w:cs="Times New Roman"/>
            <w:color w:val="000000"/>
            <w:sz w:val="24"/>
            <w:szCs w:val="24"/>
            <w:lang w:val="en-US" w:eastAsia="fr-FR"/>
          </w:rPr>
          <w:t>”,</w:t>
        </w:r>
        <w:r w:rsidR="00E724B9" w:rsidRPr="00A2539B">
          <w:rPr>
            <w:rFonts w:ascii="Times New Roman" w:eastAsia="Times New Roman" w:hAnsi="Times New Roman" w:cs="Times New Roman"/>
            <w:color w:val="000000"/>
            <w:sz w:val="24"/>
            <w:szCs w:val="24"/>
            <w:lang w:val="en-US" w:eastAsia="fr-FR"/>
          </w:rPr>
          <w:t xml:space="preserve"> </w:t>
        </w:r>
        <w:r w:rsidR="00E724B9" w:rsidRPr="00262316">
          <w:rPr>
            <w:rFonts w:ascii="Times New Roman" w:eastAsia="Times New Roman" w:hAnsi="Times New Roman" w:cs="Times New Roman"/>
            <w:i/>
            <w:iCs/>
            <w:color w:val="000000"/>
            <w:sz w:val="24"/>
            <w:szCs w:val="24"/>
            <w:lang w:val="en-US" w:eastAsia="fr-FR"/>
          </w:rPr>
          <w:t>Sustainability</w:t>
        </w:r>
        <w:r w:rsidR="00E724B9" w:rsidRPr="00A2539B">
          <w:rPr>
            <w:rFonts w:ascii="Times New Roman" w:eastAsia="Times New Roman" w:hAnsi="Times New Roman" w:cs="Times New Roman"/>
            <w:color w:val="000000"/>
            <w:sz w:val="24"/>
            <w:szCs w:val="24"/>
            <w:lang w:val="en-US" w:eastAsia="fr-FR"/>
          </w:rPr>
          <w:t xml:space="preserve">, </w:t>
        </w:r>
        <w:r w:rsidR="00262316">
          <w:rPr>
            <w:rFonts w:ascii="Times New Roman" w:eastAsia="Times New Roman" w:hAnsi="Times New Roman" w:cs="Times New Roman"/>
            <w:color w:val="000000"/>
            <w:sz w:val="24"/>
            <w:szCs w:val="24"/>
            <w:lang w:val="en-US" w:eastAsia="fr-FR"/>
          </w:rPr>
          <w:t xml:space="preserve">vol. </w:t>
        </w:r>
        <w:r w:rsidR="00E724B9" w:rsidRPr="00A2539B">
          <w:rPr>
            <w:rFonts w:ascii="Times New Roman" w:eastAsia="Times New Roman" w:hAnsi="Times New Roman" w:cs="Times New Roman"/>
            <w:color w:val="000000"/>
            <w:sz w:val="24"/>
            <w:szCs w:val="24"/>
            <w:lang w:val="en-US" w:eastAsia="fr-FR"/>
          </w:rPr>
          <w:t>14, 9162.</w:t>
        </w:r>
        <w:r w:rsidR="00916EFA">
          <w:rPr>
            <w:rFonts w:ascii="Times New Roman" w:eastAsia="Times New Roman" w:hAnsi="Times New Roman" w:cs="Times New Roman"/>
            <w:color w:val="000000"/>
            <w:sz w:val="24"/>
            <w:szCs w:val="24"/>
            <w:lang w:val="en-US" w:eastAsia="fr-FR"/>
          </w:rPr>
          <w:t xml:space="preserve"> </w:t>
        </w:r>
        <w:r w:rsidR="00E724B9" w:rsidRPr="00A2539B">
          <w:rPr>
            <w:rFonts w:ascii="Times New Roman" w:eastAsia="Times New Roman" w:hAnsi="Times New Roman" w:cs="Times New Roman"/>
            <w:color w:val="000000"/>
            <w:sz w:val="24"/>
            <w:szCs w:val="24"/>
            <w:lang w:val="en-US" w:eastAsia="fr-FR"/>
          </w:rPr>
          <w:t>https://doi.org/10.3390/su14159162.</w:t>
        </w:r>
      </w:hyperlink>
    </w:p>
    <w:p w:rsidR="00916EFA" w:rsidRPr="00916EFA" w:rsidRDefault="00916EFA" w:rsidP="00AE6E2D">
      <w:pPr>
        <w:autoSpaceDE w:val="0"/>
        <w:autoSpaceDN w:val="0"/>
        <w:adjustRightInd w:val="0"/>
        <w:spacing w:line="240" w:lineRule="auto"/>
        <w:rPr>
          <w:rFonts w:asciiTheme="majorBidi" w:eastAsia="Times New Roman" w:hAnsiTheme="majorBidi" w:cstheme="majorBidi"/>
          <w:b/>
          <w:bCs/>
          <w:color w:val="000000"/>
          <w:sz w:val="28"/>
          <w:szCs w:val="28"/>
          <w:lang w:val="en-US" w:eastAsia="fr-FR"/>
        </w:rPr>
      </w:pPr>
      <w:r w:rsidRPr="00F77863">
        <w:rPr>
          <w:rFonts w:ascii="Times New Roman" w:eastAsia="Times New Roman" w:hAnsi="Times New Roman" w:cs="Times New Roman"/>
          <w:b/>
          <w:bCs/>
          <w:sz w:val="24"/>
          <w:szCs w:val="24"/>
          <w:lang w:val="en-US" w:eastAsia="fr-FR"/>
        </w:rPr>
        <w:t>Romice, O., Porta, S and</w:t>
      </w:r>
      <w:r w:rsidRPr="00916EFA">
        <w:rPr>
          <w:rFonts w:asciiTheme="majorBidi" w:hAnsiTheme="majorBidi" w:cstheme="majorBidi"/>
          <w:b/>
          <w:bCs/>
          <w:color w:val="0D0D0D"/>
          <w:sz w:val="24"/>
          <w:szCs w:val="24"/>
          <w:lang w:val="en-US"/>
        </w:rPr>
        <w:t xml:space="preserve"> Feliciotti, A., (2020):</w:t>
      </w:r>
      <w:r w:rsidRPr="00916EFA">
        <w:rPr>
          <w:rFonts w:asciiTheme="majorBidi" w:hAnsiTheme="majorBidi" w:cstheme="majorBidi"/>
          <w:color w:val="0D0D0D"/>
          <w:sz w:val="24"/>
          <w:szCs w:val="24"/>
          <w:lang w:val="en-US"/>
        </w:rPr>
        <w:t xml:space="preserve"> Master-planning for Change: Designing the Resilient City</w:t>
      </w:r>
      <w:r w:rsidR="00D02756">
        <w:rPr>
          <w:rFonts w:asciiTheme="majorBidi" w:hAnsiTheme="majorBidi" w:cstheme="majorBidi"/>
          <w:color w:val="0D0D0D"/>
          <w:sz w:val="24"/>
          <w:szCs w:val="24"/>
          <w:lang w:val="en-US"/>
        </w:rPr>
        <w:t>,</w:t>
      </w:r>
      <w:r w:rsidRPr="00916EFA">
        <w:rPr>
          <w:rFonts w:asciiTheme="majorBidi" w:hAnsiTheme="majorBidi" w:cstheme="majorBidi"/>
          <w:color w:val="0D0D0D"/>
          <w:sz w:val="24"/>
          <w:szCs w:val="24"/>
          <w:lang w:val="en-US"/>
        </w:rPr>
        <w:t xml:space="preserve"> </w:t>
      </w:r>
      <w:r w:rsidR="00D02756">
        <w:rPr>
          <w:rFonts w:asciiTheme="majorBidi" w:hAnsiTheme="majorBidi" w:cstheme="majorBidi"/>
          <w:color w:val="0D0D0D"/>
          <w:sz w:val="24"/>
          <w:szCs w:val="24"/>
          <w:lang w:val="en-US"/>
        </w:rPr>
        <w:t xml:space="preserve">London, </w:t>
      </w:r>
      <w:r w:rsidR="00D02756" w:rsidRPr="00D02756">
        <w:rPr>
          <w:rFonts w:asciiTheme="majorBidi" w:hAnsiTheme="majorBidi" w:cstheme="majorBidi"/>
          <w:i/>
          <w:iCs/>
          <w:color w:val="0D0D0D"/>
          <w:sz w:val="24"/>
          <w:szCs w:val="24"/>
          <w:lang w:val="en-US"/>
        </w:rPr>
        <w:t>RIBA Publication Ltd</w:t>
      </w:r>
      <w:r w:rsidR="00D02756" w:rsidRPr="00D02756">
        <w:rPr>
          <w:rFonts w:asciiTheme="majorBidi" w:hAnsiTheme="majorBidi" w:cstheme="majorBidi"/>
          <w:color w:val="0D0D0D"/>
          <w:sz w:val="24"/>
          <w:szCs w:val="24"/>
          <w:lang w:val="en-US"/>
        </w:rPr>
        <w:t>, 192p.</w:t>
      </w:r>
    </w:p>
    <w:p w:rsidR="00262316" w:rsidRDefault="00262316"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Rose</w:t>
      </w:r>
      <w:r w:rsidRPr="00262316">
        <w:rPr>
          <w:rFonts w:ascii="Times New Roman" w:eastAsia="Times New Roman" w:hAnsi="Times New Roman" w:cs="Times New Roman"/>
          <w:b/>
          <w:bCs/>
          <w:color w:val="000000"/>
          <w:sz w:val="24"/>
          <w:szCs w:val="24"/>
          <w:lang w:val="en-US" w:eastAsia="fr-FR"/>
        </w:rPr>
        <w:t>, A., (2011):</w:t>
      </w:r>
      <w:r w:rsidRPr="00262316">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262316">
        <w:rPr>
          <w:rFonts w:ascii="Times New Roman" w:eastAsia="Times New Roman" w:hAnsi="Times New Roman" w:cs="Times New Roman"/>
          <w:color w:val="000000"/>
          <w:sz w:val="24"/>
          <w:szCs w:val="24"/>
          <w:lang w:val="en-US" w:eastAsia="fr-FR"/>
        </w:rPr>
        <w:t>Resilience and sustainability in the face of disasters</w:t>
      </w:r>
      <w:r>
        <w:rPr>
          <w:rFonts w:ascii="Times New Roman" w:eastAsia="Times New Roman" w:hAnsi="Times New Roman" w:cs="Times New Roman"/>
          <w:color w:val="000000"/>
          <w:sz w:val="24"/>
          <w:szCs w:val="24"/>
          <w:lang w:val="en-US" w:eastAsia="fr-FR"/>
        </w:rPr>
        <w:t>”,</w:t>
      </w:r>
      <w:r w:rsidRPr="00262316">
        <w:rPr>
          <w:rFonts w:ascii="Times New Roman" w:eastAsia="Times New Roman" w:hAnsi="Times New Roman" w:cs="Times New Roman"/>
          <w:color w:val="000000"/>
          <w:sz w:val="24"/>
          <w:szCs w:val="24"/>
          <w:lang w:val="en-US" w:eastAsia="fr-FR"/>
        </w:rPr>
        <w:t xml:space="preserve"> </w:t>
      </w:r>
      <w:r w:rsidRPr="00262316">
        <w:rPr>
          <w:rFonts w:ascii="Times New Roman" w:eastAsia="Times New Roman" w:hAnsi="Times New Roman" w:cs="Times New Roman"/>
          <w:i/>
          <w:iCs/>
          <w:color w:val="000000"/>
          <w:sz w:val="24"/>
          <w:szCs w:val="24"/>
          <w:lang w:val="en-US" w:eastAsia="fr-FR"/>
        </w:rPr>
        <w:t>Environmental Innovation and Societal Transitions</w:t>
      </w:r>
      <w:r>
        <w:rPr>
          <w:rFonts w:ascii="Times New Roman" w:eastAsia="Times New Roman" w:hAnsi="Times New Roman" w:cs="Times New Roman"/>
          <w:color w:val="000000"/>
          <w:sz w:val="24"/>
          <w:szCs w:val="24"/>
          <w:lang w:val="en-US" w:eastAsia="fr-FR"/>
        </w:rPr>
        <w:t>,</w:t>
      </w:r>
      <w:r w:rsidRPr="00262316">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v</w:t>
      </w:r>
      <w:r w:rsidRPr="00262316">
        <w:rPr>
          <w:rFonts w:ascii="Times New Roman" w:eastAsia="Times New Roman" w:hAnsi="Times New Roman" w:cs="Times New Roman"/>
          <w:color w:val="000000"/>
          <w:sz w:val="24"/>
          <w:szCs w:val="24"/>
          <w:lang w:val="en-US" w:eastAsia="fr-FR"/>
        </w:rPr>
        <w:t>ol. 1, n°1, p</w:t>
      </w:r>
      <w:r w:rsidR="00191967">
        <w:rPr>
          <w:rFonts w:ascii="Times New Roman" w:eastAsia="Times New Roman" w:hAnsi="Times New Roman" w:cs="Times New Roman"/>
          <w:color w:val="000000"/>
          <w:sz w:val="24"/>
          <w:szCs w:val="24"/>
          <w:lang w:val="en-US" w:eastAsia="fr-FR"/>
        </w:rPr>
        <w:t>p</w:t>
      </w:r>
      <w:r w:rsidRPr="00262316">
        <w:rPr>
          <w:rFonts w:ascii="Times New Roman" w:eastAsia="Times New Roman" w:hAnsi="Times New Roman" w:cs="Times New Roman"/>
          <w:color w:val="000000"/>
          <w:sz w:val="24"/>
          <w:szCs w:val="24"/>
          <w:lang w:val="en-US" w:eastAsia="fr-FR"/>
        </w:rPr>
        <w:t>. 96</w:t>
      </w:r>
      <w:r w:rsidRPr="00262316">
        <w:rPr>
          <w:rFonts w:ascii="Times New Roman" w:eastAsia="Times New Roman" w:hAnsi="Times New Roman" w:cs="Times New Roman" w:hint="eastAsia"/>
          <w:color w:val="000000"/>
          <w:sz w:val="24"/>
          <w:szCs w:val="24"/>
          <w:lang w:val="en-US" w:eastAsia="fr-FR"/>
        </w:rPr>
        <w:t>–</w:t>
      </w:r>
      <w:r w:rsidRPr="00262316">
        <w:rPr>
          <w:rFonts w:ascii="Times New Roman" w:eastAsia="Times New Roman" w:hAnsi="Times New Roman" w:cs="Times New Roman"/>
          <w:color w:val="000000"/>
          <w:sz w:val="24"/>
          <w:szCs w:val="24"/>
          <w:lang w:val="en-US" w:eastAsia="fr-FR"/>
        </w:rPr>
        <w:t xml:space="preserve">100. </w:t>
      </w:r>
    </w:p>
    <w:p w:rsidR="00291F74" w:rsidRPr="00291F74" w:rsidRDefault="00291F74" w:rsidP="00AE6E2D">
      <w:pPr>
        <w:spacing w:line="240" w:lineRule="auto"/>
        <w:jc w:val="both"/>
        <w:rPr>
          <w:rFonts w:asciiTheme="majorBidi" w:eastAsia="Times New Roman" w:hAnsiTheme="majorBidi" w:cstheme="majorBidi"/>
          <w:color w:val="000000"/>
          <w:sz w:val="24"/>
          <w:szCs w:val="24"/>
          <w:lang w:eastAsia="fr-FR"/>
        </w:rPr>
      </w:pPr>
      <w:r w:rsidRPr="002E648F">
        <w:rPr>
          <w:rFonts w:ascii="Times New Roman" w:eastAsia="Times New Roman" w:hAnsi="Times New Roman" w:cs="Times New Roman"/>
          <w:b/>
          <w:bCs/>
          <w:sz w:val="24"/>
          <w:szCs w:val="24"/>
          <w:lang w:eastAsia="fr-FR"/>
        </w:rPr>
        <w:t>Rossi</w:t>
      </w:r>
      <w:r w:rsidRPr="00291F74">
        <w:rPr>
          <w:rFonts w:asciiTheme="majorBidi" w:hAnsiTheme="majorBidi" w:cstheme="majorBidi"/>
          <w:b/>
          <w:bCs/>
          <w:sz w:val="24"/>
          <w:szCs w:val="24"/>
        </w:rPr>
        <w:t>, A., (1981) :</w:t>
      </w:r>
      <w:r w:rsidRPr="00291F74">
        <w:rPr>
          <w:rFonts w:asciiTheme="majorBidi" w:hAnsiTheme="majorBidi" w:cstheme="majorBidi"/>
          <w:sz w:val="24"/>
          <w:szCs w:val="24"/>
        </w:rPr>
        <w:t xml:space="preserve"> "L'architecture de la ville", </w:t>
      </w:r>
      <w:r w:rsidRPr="00291F74">
        <w:rPr>
          <w:rFonts w:asciiTheme="majorBidi" w:hAnsiTheme="majorBidi" w:cstheme="majorBidi"/>
          <w:i/>
          <w:iCs/>
          <w:sz w:val="24"/>
          <w:szCs w:val="24"/>
        </w:rPr>
        <w:t>L’Équerre</w:t>
      </w:r>
      <w:r w:rsidRPr="00291F74">
        <w:rPr>
          <w:rFonts w:asciiTheme="majorBidi" w:hAnsiTheme="majorBidi" w:cstheme="majorBidi"/>
          <w:sz w:val="24"/>
          <w:szCs w:val="24"/>
        </w:rPr>
        <w:t>, Paris, 250p.</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Rostami, M.H.</w:t>
      </w:r>
      <w:r w:rsidR="00262316" w:rsidRPr="00F77863">
        <w:rPr>
          <w:rFonts w:ascii="Times New Roman" w:eastAsia="Times New Roman" w:hAnsi="Times New Roman" w:cs="Times New Roman"/>
          <w:b/>
          <w:bCs/>
          <w:sz w:val="24"/>
          <w:szCs w:val="24"/>
          <w:lang w:val="en-US" w:eastAsia="fr-FR"/>
        </w:rPr>
        <w:t>,</w:t>
      </w:r>
      <w:r w:rsidRPr="00F77863">
        <w:rPr>
          <w:rFonts w:ascii="Times New Roman" w:eastAsia="Times New Roman" w:hAnsi="Times New Roman" w:cs="Times New Roman"/>
          <w:b/>
          <w:bCs/>
          <w:sz w:val="24"/>
          <w:szCs w:val="24"/>
          <w:lang w:val="en-US" w:eastAsia="fr-FR"/>
        </w:rPr>
        <w:t xml:space="preserve"> Tebiyan</w:t>
      </w:r>
      <w:r w:rsidRPr="00262316">
        <w:rPr>
          <w:rFonts w:ascii="Times New Roman" w:eastAsia="Times New Roman" w:hAnsi="Times New Roman" w:cs="Times New Roman"/>
          <w:b/>
          <w:bCs/>
          <w:color w:val="000000"/>
          <w:sz w:val="24"/>
          <w:szCs w:val="24"/>
          <w:lang w:val="en-US" w:eastAsia="fr-FR"/>
        </w:rPr>
        <w:t>, S.Z.</w:t>
      </w:r>
      <w:r w:rsidR="00262316" w:rsidRPr="00262316">
        <w:rPr>
          <w:rFonts w:ascii="Times New Roman" w:eastAsia="Times New Roman" w:hAnsi="Times New Roman" w:cs="Times New Roman"/>
          <w:b/>
          <w:bCs/>
          <w:color w:val="000000"/>
          <w:sz w:val="24"/>
          <w:szCs w:val="24"/>
          <w:lang w:val="en-US" w:eastAsia="fr-FR"/>
        </w:rPr>
        <w:t xml:space="preserve"> &amp;</w:t>
      </w:r>
      <w:r w:rsidRPr="00262316">
        <w:rPr>
          <w:rFonts w:ascii="Times New Roman" w:eastAsia="Times New Roman" w:hAnsi="Times New Roman" w:cs="Times New Roman"/>
          <w:b/>
          <w:bCs/>
          <w:color w:val="000000"/>
          <w:sz w:val="24"/>
          <w:szCs w:val="24"/>
          <w:lang w:val="en-US" w:eastAsia="fr-FR"/>
        </w:rPr>
        <w:t xml:space="preserve"> Khandan, M.</w:t>
      </w:r>
      <w:r w:rsidR="00262316" w:rsidRPr="00262316">
        <w:rPr>
          <w:rFonts w:ascii="Times New Roman" w:eastAsia="Times New Roman" w:hAnsi="Times New Roman" w:cs="Times New Roman"/>
          <w:b/>
          <w:bCs/>
          <w:color w:val="000000"/>
          <w:sz w:val="24"/>
          <w:szCs w:val="24"/>
          <w:lang w:val="en-US" w:eastAsia="fr-FR"/>
        </w:rPr>
        <w:t>, (2020):</w:t>
      </w:r>
      <w:r w:rsidR="00262316">
        <w:rPr>
          <w:rFonts w:ascii="Times New Roman" w:eastAsia="Times New Roman" w:hAnsi="Times New Roman" w:cs="Times New Roman"/>
          <w:color w:val="000000"/>
          <w:sz w:val="24"/>
          <w:szCs w:val="24"/>
          <w:lang w:val="en-US" w:eastAsia="fr-FR"/>
        </w:rPr>
        <w:t xml:space="preserve"> “</w:t>
      </w:r>
      <w:r w:rsidRPr="00A2539B">
        <w:rPr>
          <w:rFonts w:ascii="Times New Roman" w:eastAsia="Times New Roman" w:hAnsi="Times New Roman" w:cs="Times New Roman"/>
          <w:color w:val="000000"/>
          <w:sz w:val="24"/>
          <w:szCs w:val="24"/>
          <w:lang w:val="en-US" w:eastAsia="fr-FR"/>
        </w:rPr>
        <w:t>Resilience Analysis of Historical Regions in Shiraz using Geographic Information System (GIS)</w:t>
      </w:r>
      <w:r w:rsidR="00262316">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262316">
        <w:rPr>
          <w:rFonts w:ascii="Times New Roman" w:eastAsia="Times New Roman" w:hAnsi="Times New Roman" w:cs="Times New Roman"/>
          <w:i/>
          <w:iCs/>
          <w:color w:val="000000"/>
          <w:sz w:val="24"/>
          <w:szCs w:val="24"/>
          <w:lang w:val="en-US" w:eastAsia="fr-FR"/>
        </w:rPr>
        <w:t>J. Shahr-E-Tabavar</w:t>
      </w:r>
      <w:r w:rsidR="00262316">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262316">
        <w:rPr>
          <w:rFonts w:ascii="Times New Roman" w:eastAsia="Times New Roman" w:hAnsi="Times New Roman" w:cs="Times New Roman"/>
          <w:color w:val="000000"/>
          <w:sz w:val="24"/>
          <w:szCs w:val="24"/>
          <w:lang w:val="en-US" w:eastAsia="fr-FR"/>
        </w:rPr>
        <w:t>p. 53–66.</w:t>
      </w:r>
    </w:p>
    <w:p w:rsidR="00E724B9" w:rsidRDefault="00E724B9" w:rsidP="00AE6E2D">
      <w:pPr>
        <w:spacing w:line="240" w:lineRule="auto"/>
        <w:jc w:val="both"/>
        <w:rPr>
          <w:rFonts w:ascii="Times New Roman" w:eastAsia="Times New Roman" w:hAnsi="Times New Roman" w:cs="Times New Roman"/>
          <w:b/>
          <w:bCs/>
          <w:color w:val="000000"/>
          <w:sz w:val="24"/>
          <w:szCs w:val="24"/>
          <w:lang w:val="en-US" w:eastAsia="fr-FR"/>
        </w:rPr>
      </w:pPr>
      <w:r w:rsidRPr="00F77863">
        <w:rPr>
          <w:rFonts w:ascii="Times New Roman" w:eastAsia="Times New Roman" w:hAnsi="Times New Roman" w:cs="Times New Roman"/>
          <w:b/>
          <w:bCs/>
          <w:sz w:val="24"/>
          <w:szCs w:val="24"/>
          <w:lang w:val="en-US" w:eastAsia="fr-FR"/>
        </w:rPr>
        <w:t>Rowe</w:t>
      </w:r>
      <w:r w:rsidRPr="00F06E46">
        <w:rPr>
          <w:rFonts w:ascii="Times New Roman" w:eastAsia="Times New Roman" w:hAnsi="Times New Roman" w:cs="Times New Roman"/>
          <w:b/>
          <w:bCs/>
          <w:color w:val="000000"/>
          <w:sz w:val="24"/>
          <w:szCs w:val="24"/>
          <w:lang w:val="en-US" w:eastAsia="fr-FR"/>
        </w:rPr>
        <w:t>, G. &amp; George, W.</w:t>
      </w:r>
      <w:r w:rsidR="00F06E46" w:rsidRPr="00F06E46">
        <w:rPr>
          <w:rFonts w:ascii="Times New Roman" w:eastAsia="Times New Roman" w:hAnsi="Times New Roman" w:cs="Times New Roman"/>
          <w:b/>
          <w:bCs/>
          <w:color w:val="000000"/>
          <w:sz w:val="24"/>
          <w:szCs w:val="24"/>
          <w:lang w:val="en-US" w:eastAsia="fr-FR"/>
        </w:rPr>
        <w:t>,</w:t>
      </w:r>
      <w:r w:rsidRPr="00F06E46">
        <w:rPr>
          <w:rFonts w:ascii="Times New Roman" w:eastAsia="Times New Roman" w:hAnsi="Times New Roman" w:cs="Times New Roman"/>
          <w:b/>
          <w:bCs/>
          <w:color w:val="000000"/>
          <w:sz w:val="24"/>
          <w:szCs w:val="24"/>
          <w:lang w:val="en-US" w:eastAsia="fr-FR"/>
        </w:rPr>
        <w:t xml:space="preserve"> (2001)</w:t>
      </w:r>
      <w:r w:rsidR="00F06E46" w:rsidRPr="00F06E46">
        <w:rPr>
          <w:rFonts w:ascii="Times New Roman" w:eastAsia="Times New Roman" w:hAnsi="Times New Roman" w:cs="Times New Roman"/>
          <w:b/>
          <w:bCs/>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00F06E46">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Expert opinions in forecasting: the role of the Delphi technique</w:t>
      </w:r>
      <w:r w:rsidR="00F06E46">
        <w:rPr>
          <w:rFonts w:ascii="Times New Roman" w:eastAsia="Times New Roman" w:hAnsi="Times New Roman" w:cs="Times New Roman"/>
          <w:color w:val="000000"/>
          <w:sz w:val="24"/>
          <w:szCs w:val="24"/>
          <w:lang w:val="en-US" w:eastAsia="fr-FR"/>
        </w:rPr>
        <w:t>”,</w:t>
      </w:r>
      <w:r w:rsidRPr="00A2539B">
        <w:rPr>
          <w:rFonts w:ascii="Times New Roman" w:eastAsia="Times New Roman" w:hAnsi="Times New Roman" w:cs="Times New Roman"/>
          <w:color w:val="000000"/>
          <w:sz w:val="24"/>
          <w:szCs w:val="24"/>
          <w:lang w:val="en-US" w:eastAsia="fr-FR"/>
        </w:rPr>
        <w:t xml:space="preserve"> </w:t>
      </w:r>
      <w:r w:rsidRPr="00F06E46">
        <w:rPr>
          <w:rFonts w:ascii="Times New Roman" w:eastAsia="Times New Roman" w:hAnsi="Times New Roman" w:cs="Times New Roman"/>
          <w:i/>
          <w:iCs/>
          <w:color w:val="000000"/>
          <w:sz w:val="24"/>
          <w:szCs w:val="24"/>
          <w:lang w:val="en-US" w:eastAsia="fr-FR"/>
        </w:rPr>
        <w:t>In Principles of forecasting</w:t>
      </w:r>
      <w:r w:rsidRPr="00A2539B">
        <w:rPr>
          <w:rFonts w:ascii="Times New Roman" w:eastAsia="Times New Roman" w:hAnsi="Times New Roman" w:cs="Times New Roman"/>
          <w:color w:val="000000"/>
          <w:sz w:val="24"/>
          <w:szCs w:val="24"/>
          <w:lang w:val="en-US" w:eastAsia="fr-FR"/>
        </w:rPr>
        <w:t xml:space="preserve">, </w:t>
      </w:r>
      <w:r w:rsidR="00191967">
        <w:rPr>
          <w:rFonts w:ascii="Times New Roman" w:eastAsia="Times New Roman" w:hAnsi="Times New Roman" w:cs="Times New Roman"/>
          <w:color w:val="000000"/>
          <w:sz w:val="24"/>
          <w:szCs w:val="24"/>
          <w:lang w:val="en-US" w:eastAsia="fr-FR"/>
        </w:rPr>
        <w:t>p</w:t>
      </w:r>
      <w:r w:rsidRPr="00A2539B">
        <w:rPr>
          <w:rFonts w:ascii="Times New Roman" w:eastAsia="Times New Roman" w:hAnsi="Times New Roman" w:cs="Times New Roman"/>
          <w:color w:val="000000"/>
          <w:sz w:val="24"/>
          <w:szCs w:val="24"/>
          <w:lang w:val="en-US" w:eastAsia="fr-FR"/>
        </w:rPr>
        <w:t>p. 125–144.</w:t>
      </w:r>
    </w:p>
    <w:p w:rsidR="00E724B9" w:rsidRDefault="00E724B9" w:rsidP="00AE6E2D">
      <w:pPr>
        <w:spacing w:line="240" w:lineRule="auto"/>
        <w:jc w:val="both"/>
        <w:rPr>
          <w:rFonts w:ascii="Times New Roman" w:eastAsia="Times New Roman" w:hAnsi="Times New Roman" w:cs="Times New Roman"/>
          <w:b/>
          <w:bCs/>
          <w:color w:val="000000"/>
          <w:sz w:val="24"/>
          <w:szCs w:val="24"/>
          <w:lang w:val="en-US" w:eastAsia="fr-FR"/>
        </w:rPr>
      </w:pPr>
      <w:r w:rsidRPr="00F77863">
        <w:rPr>
          <w:rFonts w:ascii="Times New Roman" w:eastAsia="Times New Roman" w:hAnsi="Times New Roman" w:cs="Times New Roman"/>
          <w:b/>
          <w:bCs/>
          <w:sz w:val="24"/>
          <w:szCs w:val="24"/>
          <w:lang w:val="en-US" w:eastAsia="fr-FR"/>
        </w:rPr>
        <w:t>Rowe</w:t>
      </w:r>
      <w:r w:rsidRPr="00A2539B">
        <w:rPr>
          <w:rFonts w:ascii="Times New Roman" w:eastAsia="Times New Roman" w:hAnsi="Times New Roman" w:cs="Times New Roman"/>
          <w:b/>
          <w:bCs/>
          <w:color w:val="000000"/>
          <w:sz w:val="24"/>
          <w:szCs w:val="24"/>
          <w:lang w:val="en-US" w:eastAsia="fr-FR"/>
        </w:rPr>
        <w:t>, G. &amp; Wright, G., (1999):</w:t>
      </w:r>
      <w:r w:rsidRPr="00A2539B">
        <w:rPr>
          <w:rFonts w:ascii="Times New Roman" w:eastAsia="Times New Roman" w:hAnsi="Times New Roman" w:cs="Times New Roman"/>
          <w:color w:val="000000"/>
          <w:sz w:val="24"/>
          <w:szCs w:val="24"/>
          <w:lang w:val="en-US" w:eastAsia="fr-FR"/>
        </w:rPr>
        <w:t xml:space="preserve"> "The Delphi technique as a forecasting tool: issues and analysis", International journal of forecasting, vol. 15</w:t>
      </w:r>
      <w:r w:rsidR="00F06E46">
        <w:rPr>
          <w:rFonts w:ascii="Times New Roman" w:eastAsia="Times New Roman" w:hAnsi="Times New Roman" w:cs="Times New Roman"/>
          <w:color w:val="000000"/>
          <w:sz w:val="24"/>
          <w:szCs w:val="24"/>
          <w:lang w:val="en-US" w:eastAsia="fr-FR"/>
        </w:rPr>
        <w:t xml:space="preserve">, n° </w:t>
      </w:r>
      <w:r w:rsidRPr="00A2539B">
        <w:rPr>
          <w:rFonts w:ascii="Times New Roman" w:eastAsia="Times New Roman" w:hAnsi="Times New Roman" w:cs="Times New Roman"/>
          <w:color w:val="000000"/>
          <w:sz w:val="24"/>
          <w:szCs w:val="24"/>
          <w:lang w:val="en-US" w:eastAsia="fr-FR"/>
        </w:rPr>
        <w:t>4, p</w:t>
      </w:r>
      <w:r w:rsidR="00A478CD">
        <w:rPr>
          <w:rFonts w:ascii="Times New Roman" w:eastAsia="Times New Roman" w:hAnsi="Times New Roman" w:cs="Times New Roman"/>
          <w:color w:val="000000"/>
          <w:sz w:val="24"/>
          <w:szCs w:val="24"/>
          <w:lang w:val="en-US" w:eastAsia="fr-FR"/>
        </w:rPr>
        <w:t>p</w:t>
      </w:r>
      <w:r w:rsidRPr="00A2539B">
        <w:rPr>
          <w:rFonts w:ascii="Times New Roman" w:eastAsia="Times New Roman" w:hAnsi="Times New Roman" w:cs="Times New Roman"/>
          <w:color w:val="000000"/>
          <w:sz w:val="24"/>
          <w:szCs w:val="24"/>
          <w:lang w:val="en-US" w:eastAsia="fr-FR"/>
        </w:rPr>
        <w:t>. 353-375.</w:t>
      </w:r>
    </w:p>
    <w:p w:rsidR="00E724B9" w:rsidRPr="00F06E46" w:rsidRDefault="00E724B9" w:rsidP="00AE6E2D">
      <w:pPr>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sz w:val="24"/>
          <w:szCs w:val="24"/>
          <w:lang w:eastAsia="fr-FR"/>
        </w:rPr>
        <w:t>Roy</w:t>
      </w:r>
      <w:r w:rsidRPr="00F06E46">
        <w:rPr>
          <w:rFonts w:ascii="Times New Roman" w:eastAsia="Times New Roman" w:hAnsi="Times New Roman" w:cs="Times New Roman"/>
          <w:b/>
          <w:bCs/>
          <w:color w:val="000000"/>
          <w:sz w:val="24"/>
          <w:szCs w:val="24"/>
          <w:lang w:eastAsia="fr-FR"/>
        </w:rPr>
        <w:t>, B.</w:t>
      </w:r>
      <w:r w:rsidR="00F06E46" w:rsidRPr="00F06E46">
        <w:rPr>
          <w:rFonts w:ascii="Times New Roman" w:eastAsia="Times New Roman" w:hAnsi="Times New Roman" w:cs="Times New Roman"/>
          <w:b/>
          <w:bCs/>
          <w:color w:val="000000"/>
          <w:sz w:val="24"/>
          <w:szCs w:val="24"/>
          <w:lang w:eastAsia="fr-FR"/>
        </w:rPr>
        <w:t>, (1985):</w:t>
      </w:r>
      <w:r w:rsidR="00F06E46">
        <w:rPr>
          <w:rFonts w:ascii="Times New Roman" w:eastAsia="Times New Roman" w:hAnsi="Times New Roman" w:cs="Times New Roman"/>
          <w:color w:val="000000"/>
          <w:sz w:val="24"/>
          <w:szCs w:val="24"/>
          <w:lang w:eastAsia="fr-FR"/>
        </w:rPr>
        <w:t xml:space="preserve"> "</w:t>
      </w:r>
      <w:r w:rsidRPr="00A2539B">
        <w:rPr>
          <w:rFonts w:ascii="Times New Roman" w:eastAsia="Times New Roman" w:hAnsi="Times New Roman" w:cs="Times New Roman"/>
          <w:color w:val="000000"/>
          <w:sz w:val="24"/>
          <w:szCs w:val="24"/>
          <w:lang w:eastAsia="fr-FR"/>
        </w:rPr>
        <w:t>Méthodologie multicritère d’aide à la décision</w:t>
      </w:r>
      <w:r w:rsidR="00F06E46">
        <w:rPr>
          <w:rFonts w:ascii="Times New Roman" w:eastAsia="Times New Roman" w:hAnsi="Times New Roman" w:cs="Times New Roman"/>
          <w:color w:val="000000"/>
          <w:sz w:val="24"/>
          <w:szCs w:val="24"/>
          <w:lang w:eastAsia="fr-FR"/>
        </w:rPr>
        <w:t>",</w:t>
      </w:r>
      <w:r w:rsidRPr="00A2539B">
        <w:rPr>
          <w:rFonts w:ascii="Times New Roman" w:eastAsia="Times New Roman" w:hAnsi="Times New Roman" w:cs="Times New Roman"/>
          <w:color w:val="000000"/>
          <w:sz w:val="24"/>
          <w:szCs w:val="24"/>
          <w:lang w:eastAsia="fr-FR"/>
        </w:rPr>
        <w:t xml:space="preserve"> </w:t>
      </w:r>
      <w:r w:rsidRPr="00F06E46">
        <w:rPr>
          <w:rFonts w:ascii="Times New Roman" w:eastAsia="Times New Roman" w:hAnsi="Times New Roman" w:cs="Times New Roman"/>
          <w:i/>
          <w:iCs/>
          <w:color w:val="000000"/>
          <w:sz w:val="24"/>
          <w:szCs w:val="24"/>
          <w:lang w:eastAsia="fr-FR"/>
        </w:rPr>
        <w:t>Economica</w:t>
      </w:r>
      <w:r w:rsidR="00F06E46">
        <w:rPr>
          <w:rFonts w:ascii="Times New Roman" w:eastAsia="Times New Roman" w:hAnsi="Times New Roman" w:cs="Times New Roman"/>
          <w:color w:val="000000"/>
          <w:sz w:val="24"/>
          <w:szCs w:val="24"/>
          <w:lang w:eastAsia="fr-FR"/>
        </w:rPr>
        <w:t>, Paris</w:t>
      </w:r>
    </w:p>
    <w:p w:rsidR="00E724B9" w:rsidRPr="0059461A"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Saaty, T.L., (1</w:t>
      </w:r>
      <w:r w:rsidR="0044421C" w:rsidRPr="00F77863">
        <w:rPr>
          <w:rFonts w:ascii="Times New Roman" w:eastAsia="Times New Roman" w:hAnsi="Times New Roman" w:cs="Times New Roman"/>
          <w:b/>
          <w:bCs/>
          <w:sz w:val="24"/>
          <w:szCs w:val="24"/>
          <w:lang w:val="en-US" w:eastAsia="fr-FR"/>
        </w:rPr>
        <w:t>9</w:t>
      </w:r>
      <w:r w:rsidRPr="00F77863">
        <w:rPr>
          <w:rFonts w:ascii="Times New Roman" w:eastAsia="Times New Roman" w:hAnsi="Times New Roman" w:cs="Times New Roman"/>
          <w:b/>
          <w:bCs/>
          <w:sz w:val="24"/>
          <w:szCs w:val="24"/>
          <w:lang w:val="en-US" w:eastAsia="fr-FR"/>
        </w:rPr>
        <w:t>94):</w:t>
      </w:r>
      <w:r w:rsidRPr="0059461A">
        <w:rPr>
          <w:rFonts w:ascii="Times New Roman" w:eastAsia="Times New Roman" w:hAnsi="Times New Roman" w:cs="Times New Roman"/>
          <w:color w:val="000000"/>
          <w:sz w:val="24"/>
          <w:szCs w:val="24"/>
          <w:lang w:val="en-US" w:eastAsia="fr-FR"/>
        </w:rPr>
        <w:t xml:space="preserve"> “How to make a decision: the analytic hierarchy process”. Interfaces 24(6), pp. 19-43.</w:t>
      </w:r>
    </w:p>
    <w:p w:rsidR="00E724B9" w:rsidRPr="0059461A"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Saaty, T.L., (1980</w:t>
      </w:r>
      <w:r w:rsidRPr="0059461A">
        <w:rPr>
          <w:rFonts w:ascii="Times New Roman" w:eastAsia="Times New Roman" w:hAnsi="Times New Roman" w:cs="Times New Roman"/>
          <w:b/>
          <w:bCs/>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 xml:space="preserve"> "The Analytical Hierarchy Process”, McGraw Hill, NY, 350p.</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Saaty. T. L., Özdemir.</w:t>
      </w:r>
      <w:r w:rsidRPr="0059461A">
        <w:rPr>
          <w:rFonts w:ascii="Times New Roman" w:eastAsia="Times New Roman" w:hAnsi="Times New Roman" w:cs="Times New Roman"/>
          <w:b/>
          <w:bCs/>
          <w:color w:val="000000"/>
          <w:sz w:val="24"/>
          <w:szCs w:val="24"/>
          <w:lang w:val="en-US" w:eastAsia="fr-FR"/>
        </w:rPr>
        <w:t xml:space="preserve"> M. S, (2014):</w:t>
      </w:r>
      <w:r w:rsidRPr="0059461A">
        <w:rPr>
          <w:rFonts w:ascii="Times New Roman" w:eastAsia="Times New Roman" w:hAnsi="Times New Roman" w:cs="Times New Roman"/>
          <w:color w:val="000000"/>
          <w:sz w:val="24"/>
          <w:szCs w:val="24"/>
          <w:lang w:val="en-US" w:eastAsia="fr-FR"/>
        </w:rPr>
        <w:t xml:space="preserve"> "How many judges should there be in a group?", Ann. Data Sci, vol. 1, pp. 359–368.</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Salat</w:t>
      </w:r>
      <w:r w:rsidRPr="0059461A">
        <w:rPr>
          <w:rFonts w:ascii="Times New Roman" w:eastAsia="Times New Roman" w:hAnsi="Times New Roman" w:cs="Times New Roman"/>
          <w:b/>
          <w:bCs/>
          <w:color w:val="000000"/>
          <w:sz w:val="24"/>
          <w:szCs w:val="24"/>
          <w:lang w:val="en-US" w:eastAsia="fr-FR"/>
        </w:rPr>
        <w:t>, S., (2011):</w:t>
      </w:r>
      <w:r w:rsidRPr="0059461A">
        <w:rPr>
          <w:rFonts w:ascii="Times New Roman" w:eastAsia="Times New Roman" w:hAnsi="Times New Roman" w:cs="Times New Roman"/>
          <w:color w:val="000000"/>
          <w:sz w:val="24"/>
          <w:szCs w:val="24"/>
          <w:lang w:val="en-US" w:eastAsia="fr-FR"/>
        </w:rPr>
        <w:t xml:space="preserve"> "Cities and Forms on Sustainable Urbanism", Hermann: CSTB Urban Morphology Laboratory, 544p.</w:t>
      </w:r>
    </w:p>
    <w:p w:rsidR="00E724B9"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396" w:history="1">
        <w:r w:rsidR="00E724B9" w:rsidRPr="00F77863">
          <w:rPr>
            <w:rFonts w:ascii="Times New Roman" w:eastAsia="Times New Roman" w:hAnsi="Times New Roman" w:cs="Times New Roman"/>
            <w:b/>
            <w:bCs/>
            <w:sz w:val="24"/>
            <w:szCs w:val="24"/>
            <w:lang w:val="en-US" w:eastAsia="fr-FR"/>
          </w:rPr>
          <w:t>Salat</w:t>
        </w:r>
        <w:r w:rsidR="00E724B9" w:rsidRPr="000041B1">
          <w:rPr>
            <w:rFonts w:ascii="Times New Roman" w:eastAsia="Times New Roman" w:hAnsi="Times New Roman" w:cs="Times New Roman"/>
            <w:b/>
            <w:bCs/>
            <w:sz w:val="24"/>
            <w:szCs w:val="24"/>
            <w:lang w:val="en-US" w:eastAsia="fr-FR"/>
          </w:rPr>
          <w:t>, S., (2017):</w:t>
        </w:r>
        <w:r w:rsidR="00E724B9" w:rsidRPr="0059461A">
          <w:rPr>
            <w:rFonts w:ascii="Times New Roman" w:eastAsia="Times New Roman" w:hAnsi="Times New Roman" w:cs="Times New Roman"/>
            <w:sz w:val="24"/>
            <w:szCs w:val="24"/>
            <w:lang w:val="en-US" w:eastAsia="fr-FR"/>
          </w:rPr>
          <w:t xml:space="preserve"> "A systemic approach of urban resilience: power laws and urban growth patterns", </w:t>
        </w:r>
        <w:r w:rsidR="00E724B9" w:rsidRPr="000041B1">
          <w:rPr>
            <w:rFonts w:ascii="Times New Roman" w:eastAsia="Times New Roman" w:hAnsi="Times New Roman" w:cs="Times New Roman"/>
            <w:i/>
            <w:iCs/>
            <w:sz w:val="24"/>
            <w:szCs w:val="24"/>
            <w:lang w:val="en-US" w:eastAsia="fr-FR"/>
          </w:rPr>
          <w:t>International Journal of Urban Sustainable Development</w:t>
        </w:r>
        <w:r w:rsidR="00E724B9" w:rsidRPr="0059461A">
          <w:rPr>
            <w:rFonts w:ascii="Times New Roman" w:eastAsia="Times New Roman" w:hAnsi="Times New Roman" w:cs="Times New Roman"/>
            <w:sz w:val="24"/>
            <w:szCs w:val="24"/>
            <w:lang w:val="en-US" w:eastAsia="fr-FR"/>
          </w:rPr>
          <w:t>, vol. 9</w:t>
        </w:r>
        <w:r w:rsidR="000041B1">
          <w:rPr>
            <w:rFonts w:ascii="Times New Roman" w:eastAsia="Times New Roman" w:hAnsi="Times New Roman" w:cs="Times New Roman"/>
            <w:sz w:val="24"/>
            <w:szCs w:val="24"/>
            <w:lang w:val="en-US" w:eastAsia="fr-FR"/>
          </w:rPr>
          <w:t xml:space="preserve">, n° </w:t>
        </w:r>
        <w:r w:rsidR="00E724B9" w:rsidRPr="0059461A">
          <w:rPr>
            <w:rFonts w:ascii="Times New Roman" w:eastAsia="Times New Roman" w:hAnsi="Times New Roman" w:cs="Times New Roman"/>
            <w:sz w:val="24"/>
            <w:szCs w:val="24"/>
            <w:lang w:val="en-US" w:eastAsia="fr-FR"/>
          </w:rPr>
          <w:t>2, p</w:t>
        </w:r>
        <w:r w:rsidR="00A478CD">
          <w:rPr>
            <w:rFonts w:ascii="Times New Roman" w:eastAsia="Times New Roman" w:hAnsi="Times New Roman" w:cs="Times New Roman"/>
            <w:sz w:val="24"/>
            <w:szCs w:val="24"/>
            <w:lang w:val="en-US" w:eastAsia="fr-FR"/>
          </w:rPr>
          <w:t>p</w:t>
        </w:r>
        <w:r w:rsidR="00E724B9" w:rsidRPr="0059461A">
          <w:rPr>
            <w:rFonts w:ascii="Times New Roman" w:eastAsia="Times New Roman" w:hAnsi="Times New Roman" w:cs="Times New Roman"/>
            <w:sz w:val="24"/>
            <w:szCs w:val="24"/>
            <w:lang w:val="en-US" w:eastAsia="fr-FR"/>
          </w:rPr>
          <w:t xml:space="preserve">. 107–135. http://dx.doi.10.1080/19463138.2016.1277227   </w:t>
        </w:r>
      </w:hyperlink>
    </w:p>
    <w:p w:rsidR="00E724B9" w:rsidRPr="00764DB3" w:rsidRDefault="00E724B9" w:rsidP="00AE6E2D">
      <w:pPr>
        <w:spacing w:line="240" w:lineRule="auto"/>
        <w:rPr>
          <w:rFonts w:ascii="Times New Roman" w:eastAsia="Times New Roman" w:hAnsi="Times New Roman" w:cs="Times New Roman"/>
          <w:sz w:val="24"/>
          <w:szCs w:val="24"/>
          <w:lang w:eastAsia="fr-FR"/>
        </w:rPr>
      </w:pPr>
      <w:r w:rsidRPr="00F77863">
        <w:rPr>
          <w:rFonts w:ascii="Times New Roman" w:eastAsia="Times New Roman" w:hAnsi="Times New Roman" w:cs="Times New Roman"/>
          <w:b/>
          <w:bCs/>
          <w:sz w:val="24"/>
          <w:szCs w:val="24"/>
          <w:lang w:val="en-US" w:eastAsia="fr-FR"/>
        </w:rPr>
        <w:t>Sardari Sayyar,</w:t>
      </w:r>
      <w:r w:rsidRPr="00E30B96">
        <w:rPr>
          <w:rFonts w:ascii="Times New Roman" w:eastAsia="Times New Roman" w:hAnsi="Times New Roman" w:cs="Times New Roman"/>
          <w:b/>
          <w:bCs/>
          <w:color w:val="000000"/>
          <w:sz w:val="24"/>
          <w:szCs w:val="24"/>
          <w:lang w:val="en-US" w:eastAsia="fr-FR"/>
        </w:rPr>
        <w:t xml:space="preserve"> S. &amp; Marcus, L., (2011):</w:t>
      </w:r>
      <w:r w:rsidRPr="00E30B96">
        <w:rPr>
          <w:rFonts w:ascii="Times New Roman" w:eastAsia="Times New Roman" w:hAnsi="Times New Roman" w:cs="Times New Roman"/>
          <w:color w:val="000000"/>
          <w:sz w:val="24"/>
          <w:szCs w:val="24"/>
          <w:lang w:val="en-US" w:eastAsia="fr-FR"/>
        </w:rPr>
        <w:t xml:space="preserve"> </w:t>
      </w:r>
      <w:r w:rsidRPr="00E30B96">
        <w:rPr>
          <w:rFonts w:ascii="Times New Roman" w:eastAsia="Times New Roman" w:hAnsi="Times New Roman" w:cs="Times New Roman"/>
          <w:sz w:val="24"/>
          <w:szCs w:val="24"/>
          <w:lang w:val="en-US" w:eastAsia="fr-FR"/>
        </w:rPr>
        <w:t>"Urban diversity and how to measure it: An operational definition of classes and scales.</w:t>
      </w:r>
      <w:r w:rsidR="00E30B96" w:rsidRPr="00E30B96">
        <w:rPr>
          <w:lang w:val="en-US"/>
        </w:rPr>
        <w:t xml:space="preserve"> </w:t>
      </w:r>
      <w:r w:rsidR="00E30B96" w:rsidRPr="00E30B96">
        <w:rPr>
          <w:rFonts w:ascii="Times New Roman" w:eastAsia="Times New Roman" w:hAnsi="Times New Roman" w:cs="Times New Roman"/>
          <w:i/>
          <w:iCs/>
          <w:sz w:val="24"/>
          <w:szCs w:val="24"/>
          <w:lang w:val="en-US" w:eastAsia="fr-FR"/>
        </w:rPr>
        <w:t>Paper submitted to the 18th International Seminar on Urban Form</w:t>
      </w:r>
      <w:r w:rsidR="00E30B96" w:rsidRPr="00E30B96">
        <w:rPr>
          <w:lang w:val="en-US"/>
        </w:rPr>
        <w:t xml:space="preserve">, </w:t>
      </w:r>
      <w:r w:rsidR="00E30B96" w:rsidRPr="00E30B96">
        <w:rPr>
          <w:rFonts w:ascii="Times New Roman" w:eastAsia="Times New Roman" w:hAnsi="Times New Roman" w:cs="Times New Roman"/>
          <w:sz w:val="24"/>
          <w:szCs w:val="24"/>
          <w:lang w:val="en-US" w:eastAsia="fr-FR"/>
        </w:rPr>
        <w:t>15p.</w:t>
      </w:r>
      <w:r w:rsidR="00E30B96" w:rsidRPr="00E30B96">
        <w:rPr>
          <w:lang w:val="en-US"/>
        </w:rPr>
        <w:t xml:space="preserve"> </w:t>
      </w:r>
      <w:hyperlink r:id="rId397" w:history="1">
        <w:r w:rsidR="00A478CD" w:rsidRPr="00764DB3">
          <w:rPr>
            <w:rStyle w:val="Lienhypertexte"/>
            <w:rFonts w:ascii="Times New Roman" w:eastAsia="Times New Roman" w:hAnsi="Times New Roman" w:cs="Times New Roman"/>
            <w:sz w:val="24"/>
            <w:szCs w:val="24"/>
            <w:lang w:eastAsia="fr-FR"/>
          </w:rPr>
          <w:t>https://www.diva-ortal.org/smash/get/diva2:469916/FULLTEXT01.pdf</w:t>
        </w:r>
      </w:hyperlink>
      <w:r w:rsidR="00A478CD" w:rsidRPr="00764DB3">
        <w:rPr>
          <w:rFonts w:ascii="Times New Roman" w:eastAsia="Times New Roman" w:hAnsi="Times New Roman" w:cs="Times New Roman"/>
          <w:sz w:val="24"/>
          <w:szCs w:val="24"/>
          <w:lang w:eastAsia="fr-FR"/>
        </w:rPr>
        <w:t>.</w:t>
      </w:r>
    </w:p>
    <w:p w:rsidR="00A478CD" w:rsidRPr="00A478CD" w:rsidRDefault="00A478CD" w:rsidP="00A478CD">
      <w:pPr>
        <w:spacing w:line="240" w:lineRule="auto"/>
        <w:rPr>
          <w:rFonts w:ascii="Times New Roman" w:eastAsia="Times New Roman" w:hAnsi="Times New Roman" w:cs="Times New Roman"/>
          <w:sz w:val="24"/>
          <w:szCs w:val="24"/>
          <w:lang w:val="en-US" w:eastAsia="fr-FR"/>
        </w:rPr>
      </w:pPr>
      <w:r w:rsidRPr="00A478CD">
        <w:rPr>
          <w:rFonts w:ascii="Times New Roman" w:eastAsia="Times New Roman" w:hAnsi="Times New Roman" w:cs="Times New Roman"/>
          <w:b/>
          <w:bCs/>
          <w:sz w:val="24"/>
          <w:szCs w:val="24"/>
          <w:lang w:val="en-US" w:eastAsia="fr-FR"/>
        </w:rPr>
        <w:t>Scheer, B. C.</w:t>
      </w:r>
      <w:r>
        <w:rPr>
          <w:rFonts w:ascii="Times New Roman" w:eastAsia="Times New Roman" w:hAnsi="Times New Roman" w:cs="Times New Roman"/>
          <w:b/>
          <w:bCs/>
          <w:sz w:val="24"/>
          <w:szCs w:val="24"/>
          <w:lang w:val="en-US" w:eastAsia="fr-FR"/>
        </w:rPr>
        <w:t>,</w:t>
      </w:r>
      <w:r w:rsidRPr="00A478CD">
        <w:rPr>
          <w:rFonts w:ascii="Times New Roman" w:eastAsia="Times New Roman" w:hAnsi="Times New Roman" w:cs="Times New Roman"/>
          <w:b/>
          <w:bCs/>
          <w:sz w:val="24"/>
          <w:szCs w:val="24"/>
          <w:lang w:val="en-US" w:eastAsia="fr-FR"/>
        </w:rPr>
        <w:t xml:space="preserve"> </w:t>
      </w:r>
      <w:r>
        <w:rPr>
          <w:rFonts w:ascii="Times New Roman" w:eastAsia="Times New Roman" w:hAnsi="Times New Roman" w:cs="Times New Roman"/>
          <w:b/>
          <w:bCs/>
          <w:sz w:val="24"/>
          <w:szCs w:val="24"/>
          <w:lang w:val="en-US" w:eastAsia="fr-FR"/>
        </w:rPr>
        <w:t>(</w:t>
      </w:r>
      <w:r w:rsidRPr="00A478CD">
        <w:rPr>
          <w:rFonts w:ascii="Times New Roman" w:eastAsia="Times New Roman" w:hAnsi="Times New Roman" w:cs="Times New Roman"/>
          <w:b/>
          <w:bCs/>
          <w:sz w:val="24"/>
          <w:szCs w:val="24"/>
          <w:lang w:val="en-US" w:eastAsia="fr-FR"/>
        </w:rPr>
        <w:t>2016</w:t>
      </w:r>
      <w:r>
        <w:rPr>
          <w:rFonts w:ascii="Times New Roman" w:eastAsia="Times New Roman" w:hAnsi="Times New Roman" w:cs="Times New Roman"/>
          <w:b/>
          <w:bCs/>
          <w:sz w:val="24"/>
          <w:szCs w:val="24"/>
          <w:lang w:val="en-US" w:eastAsia="fr-FR"/>
        </w:rPr>
        <w:t>):</w:t>
      </w:r>
      <w:r w:rsidRPr="00A478CD">
        <w:rPr>
          <w:rFonts w:ascii="Times New Roman" w:eastAsia="Times New Roman" w:hAnsi="Times New Roman" w:cs="Times New Roman"/>
          <w:sz w:val="24"/>
          <w:szCs w:val="24"/>
          <w:lang w:val="en-US" w:eastAsia="fr-FR"/>
        </w:rPr>
        <w:t xml:space="preserve"> </w:t>
      </w:r>
      <w:r>
        <w:rPr>
          <w:rFonts w:ascii="Times New Roman" w:eastAsia="Times New Roman" w:hAnsi="Times New Roman" w:cs="Times New Roman"/>
          <w:sz w:val="24"/>
          <w:szCs w:val="24"/>
          <w:lang w:val="en-US" w:eastAsia="fr-FR"/>
        </w:rPr>
        <w:t>“</w:t>
      </w:r>
      <w:r w:rsidRPr="00A478CD">
        <w:rPr>
          <w:rFonts w:ascii="Times New Roman" w:eastAsia="Times New Roman" w:hAnsi="Times New Roman" w:cs="Times New Roman"/>
          <w:sz w:val="24"/>
          <w:szCs w:val="24"/>
          <w:lang w:val="en-US" w:eastAsia="fr-FR"/>
        </w:rPr>
        <w:t>The epistemology of urban morphology</w:t>
      </w:r>
      <w:r>
        <w:rPr>
          <w:rFonts w:ascii="Times New Roman" w:eastAsia="Times New Roman" w:hAnsi="Times New Roman" w:cs="Times New Roman"/>
          <w:sz w:val="24"/>
          <w:szCs w:val="24"/>
          <w:lang w:val="en-US" w:eastAsia="fr-FR"/>
        </w:rPr>
        <w:t xml:space="preserve">”, </w:t>
      </w:r>
      <w:r w:rsidRPr="00A478CD">
        <w:rPr>
          <w:rFonts w:ascii="Times New Roman" w:eastAsia="Times New Roman" w:hAnsi="Times New Roman" w:cs="Times New Roman"/>
          <w:i/>
          <w:iCs/>
          <w:sz w:val="24"/>
          <w:szCs w:val="24"/>
          <w:lang w:val="en-US" w:eastAsia="fr-FR"/>
        </w:rPr>
        <w:t>Urban Morphology</w:t>
      </w:r>
      <w:r w:rsidRPr="00A478CD">
        <w:rPr>
          <w:rFonts w:ascii="Times New Roman" w:eastAsia="Times New Roman" w:hAnsi="Times New Roman" w:cs="Times New Roman"/>
          <w:sz w:val="24"/>
          <w:szCs w:val="24"/>
          <w:lang w:val="en-US" w:eastAsia="fr-FR"/>
        </w:rPr>
        <w:t>,</w:t>
      </w:r>
      <w:r>
        <w:rPr>
          <w:rFonts w:ascii="Times New Roman" w:eastAsia="Times New Roman" w:hAnsi="Times New Roman" w:cs="Times New Roman"/>
          <w:sz w:val="24"/>
          <w:szCs w:val="24"/>
          <w:lang w:val="en-US" w:eastAsia="fr-FR"/>
        </w:rPr>
        <w:t xml:space="preserve"> vol. </w:t>
      </w:r>
      <w:r w:rsidRPr="00A478CD">
        <w:rPr>
          <w:rFonts w:ascii="Times New Roman" w:eastAsia="Times New Roman" w:hAnsi="Times New Roman" w:cs="Times New Roman"/>
          <w:sz w:val="24"/>
          <w:szCs w:val="24"/>
          <w:lang w:val="en-US" w:eastAsia="fr-FR"/>
        </w:rPr>
        <w:t>20,</w:t>
      </w:r>
      <w:r>
        <w:rPr>
          <w:rFonts w:ascii="Times New Roman" w:eastAsia="Times New Roman" w:hAnsi="Times New Roman" w:cs="Times New Roman"/>
          <w:sz w:val="24"/>
          <w:szCs w:val="24"/>
          <w:lang w:val="en-US" w:eastAsia="fr-FR"/>
        </w:rPr>
        <w:t xml:space="preserve"> pp.</w:t>
      </w:r>
      <w:r w:rsidRPr="00A478CD">
        <w:rPr>
          <w:rFonts w:ascii="Times New Roman" w:eastAsia="Times New Roman" w:hAnsi="Times New Roman" w:cs="Times New Roman"/>
          <w:sz w:val="24"/>
          <w:szCs w:val="24"/>
          <w:lang w:val="en-US" w:eastAsia="fr-FR"/>
        </w:rPr>
        <w:t xml:space="preserve"> 5-17.</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Scheffer</w:t>
      </w:r>
      <w:r w:rsidRPr="0059461A">
        <w:rPr>
          <w:rFonts w:ascii="Times New Roman" w:eastAsia="Times New Roman" w:hAnsi="Times New Roman" w:cs="Times New Roman"/>
          <w:b/>
          <w:bCs/>
          <w:color w:val="000000"/>
          <w:sz w:val="24"/>
          <w:szCs w:val="24"/>
          <w:lang w:val="en-US" w:eastAsia="fr-FR"/>
        </w:rPr>
        <w:t>, M. (2009):</w:t>
      </w:r>
      <w:r w:rsidRPr="0059461A">
        <w:rPr>
          <w:rFonts w:ascii="Times New Roman" w:eastAsia="Times New Roman" w:hAnsi="Times New Roman" w:cs="Times New Roman"/>
          <w:color w:val="000000"/>
          <w:sz w:val="24"/>
          <w:szCs w:val="24"/>
          <w:lang w:val="en-US" w:eastAsia="fr-FR"/>
        </w:rPr>
        <w:t xml:space="preserve"> Critical Transitions in Nature and Society (Princeton NJ, Princeton University Press).</w:t>
      </w:r>
    </w:p>
    <w:p w:rsidR="00E724B9" w:rsidRPr="00891AC7" w:rsidRDefault="00E724B9" w:rsidP="00AE6E2D">
      <w:pPr>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sz w:val="24"/>
          <w:szCs w:val="24"/>
          <w:lang w:eastAsia="fr-FR"/>
        </w:rPr>
        <w:lastRenderedPageBreak/>
        <w:t>Serre, D., (2011)</w:t>
      </w:r>
      <w:r w:rsidR="000041B1" w:rsidRPr="002E648F">
        <w:rPr>
          <w:rFonts w:ascii="Times New Roman" w:eastAsia="Times New Roman" w:hAnsi="Times New Roman" w:cs="Times New Roman"/>
          <w:b/>
          <w:bCs/>
          <w:sz w:val="24"/>
          <w:szCs w:val="24"/>
          <w:lang w:eastAsia="fr-FR"/>
        </w:rPr>
        <w:t>:</w:t>
      </w:r>
      <w:r w:rsidRPr="00F77863">
        <w:rPr>
          <w:rFonts w:ascii="Times New Roman" w:eastAsia="Times New Roman" w:hAnsi="Times New Roman" w:cs="Times New Roman"/>
          <w:color w:val="000000"/>
          <w:sz w:val="24"/>
          <w:szCs w:val="24"/>
          <w:lang w:eastAsia="fr-FR"/>
        </w:rPr>
        <w:t xml:space="preserve"> </w:t>
      </w:r>
      <w:r w:rsidR="000041B1" w:rsidRPr="00F77863">
        <w:rPr>
          <w:rFonts w:ascii="Times New Roman" w:eastAsia="Times New Roman" w:hAnsi="Times New Roman" w:cs="Times New Roman"/>
          <w:color w:val="000000"/>
          <w:sz w:val="24"/>
          <w:szCs w:val="24"/>
          <w:lang w:eastAsia="fr-FR"/>
        </w:rPr>
        <w:t>"</w:t>
      </w:r>
      <w:r w:rsidRPr="00F77863">
        <w:rPr>
          <w:rFonts w:ascii="Times New Roman" w:eastAsia="Times New Roman" w:hAnsi="Times New Roman" w:cs="Times New Roman"/>
          <w:color w:val="000000"/>
          <w:sz w:val="24"/>
          <w:szCs w:val="24"/>
          <w:lang w:eastAsia="fr-FR"/>
        </w:rPr>
        <w:t>La</w:t>
      </w:r>
      <w:r w:rsidRPr="0059461A">
        <w:rPr>
          <w:rFonts w:ascii="Times New Roman" w:eastAsia="Times New Roman" w:hAnsi="Times New Roman" w:cs="Times New Roman"/>
          <w:color w:val="000000"/>
          <w:sz w:val="24"/>
          <w:szCs w:val="24"/>
          <w:lang w:eastAsia="fr-FR"/>
        </w:rPr>
        <w:t xml:space="preserve"> ville résiliente aux inondations, méthodes et outils d’évaluation</w:t>
      </w:r>
      <w:r w:rsidR="000041B1">
        <w:rPr>
          <w:rFonts w:ascii="Times New Roman" w:eastAsia="Times New Roman" w:hAnsi="Times New Roman" w:cs="Times New Roman"/>
          <w:color w:val="000000"/>
          <w:sz w:val="24"/>
          <w:szCs w:val="24"/>
          <w:lang w:eastAsia="fr-FR"/>
        </w:rPr>
        <w:t>",</w:t>
      </w:r>
      <w:r w:rsidRPr="0059461A">
        <w:rPr>
          <w:rFonts w:ascii="Times New Roman" w:eastAsia="Times New Roman" w:hAnsi="Times New Roman" w:cs="Times New Roman"/>
          <w:color w:val="000000"/>
          <w:sz w:val="24"/>
          <w:szCs w:val="24"/>
          <w:lang w:eastAsia="fr-FR"/>
        </w:rPr>
        <w:t xml:space="preserve"> HDR, </w:t>
      </w:r>
      <w:r w:rsidRPr="000041B1">
        <w:rPr>
          <w:rFonts w:ascii="Times New Roman" w:eastAsia="Times New Roman" w:hAnsi="Times New Roman" w:cs="Times New Roman"/>
          <w:i/>
          <w:iCs/>
          <w:color w:val="000000"/>
          <w:sz w:val="24"/>
          <w:szCs w:val="24"/>
          <w:lang w:eastAsia="fr-FR"/>
        </w:rPr>
        <w:t>Université Paris-Est</w:t>
      </w:r>
      <w:r w:rsidRPr="0059461A">
        <w:rPr>
          <w:rFonts w:ascii="Times New Roman" w:eastAsia="Times New Roman" w:hAnsi="Times New Roman" w:cs="Times New Roman"/>
          <w:color w:val="000000"/>
          <w:sz w:val="24"/>
          <w:szCs w:val="24"/>
          <w:lang w:eastAsia="fr-FR"/>
        </w:rPr>
        <w:t>, 173 p.</w:t>
      </w:r>
    </w:p>
    <w:p w:rsidR="00E724B9" w:rsidRDefault="00B62F86" w:rsidP="00AE6E2D">
      <w:pPr>
        <w:spacing w:line="240" w:lineRule="auto"/>
        <w:jc w:val="both"/>
        <w:rPr>
          <w:rFonts w:ascii="Times New Roman" w:eastAsia="Times New Roman" w:hAnsi="Times New Roman" w:cs="Times New Roman"/>
          <w:color w:val="000000"/>
          <w:sz w:val="24"/>
          <w:szCs w:val="24"/>
          <w:rtl/>
          <w:lang w:eastAsia="fr-FR"/>
        </w:rPr>
      </w:pPr>
      <w:hyperlink r:id="rId398" w:history="1">
        <w:r w:rsidR="00E724B9" w:rsidRPr="002E648F">
          <w:rPr>
            <w:rFonts w:ascii="Times New Roman" w:eastAsia="Times New Roman" w:hAnsi="Times New Roman" w:cs="Times New Roman"/>
            <w:b/>
            <w:bCs/>
            <w:sz w:val="24"/>
            <w:szCs w:val="24"/>
            <w:lang w:eastAsia="fr-FR"/>
          </w:rPr>
          <w:t>Serre, D., (2015):</w:t>
        </w:r>
        <w:r w:rsidR="00E724B9" w:rsidRPr="0059461A">
          <w:rPr>
            <w:rFonts w:ascii="Times New Roman" w:eastAsia="Times New Roman" w:hAnsi="Times New Roman" w:cs="Times New Roman"/>
            <w:b/>
            <w:bCs/>
            <w:color w:val="000000"/>
            <w:sz w:val="24"/>
            <w:szCs w:val="24"/>
            <w:lang w:eastAsia="fr-FR"/>
          </w:rPr>
          <w:t xml:space="preserve"> </w:t>
        </w:r>
        <w:r w:rsidR="00E724B9" w:rsidRPr="0059461A">
          <w:rPr>
            <w:rFonts w:ascii="Times New Roman" w:eastAsia="Times New Roman" w:hAnsi="Times New Roman" w:cs="Times New Roman"/>
            <w:color w:val="000000"/>
            <w:sz w:val="24"/>
            <w:szCs w:val="24"/>
            <w:lang w:eastAsia="fr-FR"/>
          </w:rPr>
          <w:t xml:space="preserve">"Concevoir la résilience urbaine : un défi face à des complexités", EDP Sciences. Complexité et désordre Éléments de réflexion, 9782759817771. ffhalshs-01250351f. https://shs.hal.science/halshs-01250351 </w:t>
        </w:r>
      </w:hyperlink>
    </w:p>
    <w:p w:rsidR="000041B1" w:rsidRDefault="000041B1" w:rsidP="00AE6E2D">
      <w:pPr>
        <w:spacing w:line="240" w:lineRule="auto"/>
        <w:jc w:val="both"/>
        <w:rPr>
          <w:rFonts w:ascii="Times New Roman" w:eastAsia="Times New Roman" w:hAnsi="Times New Roman" w:cs="Times New Roman"/>
          <w:color w:val="000000"/>
          <w:sz w:val="24"/>
          <w:szCs w:val="24"/>
          <w:rtl/>
          <w:lang w:val="en-US" w:eastAsia="fr-FR"/>
        </w:rPr>
      </w:pPr>
      <w:r w:rsidRPr="00F77863">
        <w:rPr>
          <w:rFonts w:ascii="Times New Roman" w:eastAsia="Times New Roman" w:hAnsi="Times New Roman" w:cs="Times New Roman"/>
          <w:b/>
          <w:bCs/>
          <w:sz w:val="24"/>
          <w:szCs w:val="24"/>
          <w:lang w:val="en-US" w:eastAsia="fr-FR"/>
        </w:rPr>
        <w:t>Serre, D., Barroca, B.</w:t>
      </w:r>
      <w:r w:rsidRPr="000041B1">
        <w:rPr>
          <w:rFonts w:ascii="Times New Roman" w:eastAsia="Times New Roman" w:hAnsi="Times New Roman" w:cs="Times New Roman"/>
          <w:b/>
          <w:bCs/>
          <w:color w:val="000000"/>
          <w:sz w:val="24"/>
          <w:szCs w:val="24"/>
          <w:lang w:val="en-US" w:eastAsia="fr-FR"/>
        </w:rPr>
        <w:t xml:space="preserve"> &amp; Laganier, R., (2012):</w:t>
      </w:r>
      <w:r w:rsidRPr="000041B1">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0041B1">
        <w:rPr>
          <w:rFonts w:ascii="Times New Roman" w:eastAsia="Times New Roman" w:hAnsi="Times New Roman" w:cs="Times New Roman"/>
          <w:color w:val="000000"/>
          <w:sz w:val="24"/>
          <w:szCs w:val="24"/>
          <w:lang w:val="en-US" w:eastAsia="fr-FR"/>
        </w:rPr>
        <w:t>Resilient and Urban Risk Management</w:t>
      </w:r>
      <w:r>
        <w:rPr>
          <w:rFonts w:ascii="Times New Roman" w:eastAsia="Times New Roman" w:hAnsi="Times New Roman" w:cs="Times New Roman"/>
          <w:color w:val="000000"/>
          <w:sz w:val="24"/>
          <w:szCs w:val="24"/>
          <w:lang w:val="en-US" w:eastAsia="fr-FR"/>
        </w:rPr>
        <w:t>”</w:t>
      </w:r>
      <w:r w:rsidRPr="000041B1">
        <w:rPr>
          <w:rFonts w:ascii="Times New Roman" w:eastAsia="Times New Roman" w:hAnsi="Times New Roman" w:cs="Times New Roman"/>
          <w:color w:val="000000"/>
          <w:sz w:val="24"/>
          <w:szCs w:val="24"/>
          <w:lang w:val="en-US" w:eastAsia="fr-FR"/>
        </w:rPr>
        <w:t>,</w:t>
      </w:r>
      <w:r>
        <w:rPr>
          <w:rFonts w:ascii="Times New Roman" w:eastAsia="Times New Roman" w:hAnsi="Times New Roman" w:cs="Times New Roman"/>
          <w:color w:val="000000"/>
          <w:sz w:val="24"/>
          <w:szCs w:val="24"/>
          <w:lang w:val="en-US" w:eastAsia="fr-FR"/>
        </w:rPr>
        <w:t xml:space="preserve"> </w:t>
      </w:r>
      <w:r w:rsidRPr="000041B1">
        <w:rPr>
          <w:rFonts w:ascii="Times New Roman" w:eastAsia="Times New Roman" w:hAnsi="Times New Roman" w:cs="Times New Roman"/>
          <w:i/>
          <w:iCs/>
          <w:color w:val="000000"/>
          <w:sz w:val="24"/>
          <w:szCs w:val="24"/>
          <w:lang w:val="en-US" w:eastAsia="fr-FR"/>
        </w:rPr>
        <w:t>CRC</w:t>
      </w:r>
      <w:r>
        <w:rPr>
          <w:rFonts w:ascii="Times New Roman" w:eastAsia="Times New Roman" w:hAnsi="Times New Roman" w:cs="Times New Roman"/>
          <w:i/>
          <w:iCs/>
          <w:color w:val="000000"/>
          <w:sz w:val="24"/>
          <w:szCs w:val="24"/>
          <w:lang w:val="en-US" w:eastAsia="fr-FR"/>
        </w:rPr>
        <w:t xml:space="preserve"> </w:t>
      </w:r>
      <w:r w:rsidRPr="000041B1">
        <w:rPr>
          <w:rFonts w:ascii="Times New Roman" w:eastAsia="Times New Roman" w:hAnsi="Times New Roman" w:cs="Times New Roman"/>
          <w:i/>
          <w:iCs/>
          <w:color w:val="000000"/>
          <w:sz w:val="24"/>
          <w:szCs w:val="24"/>
          <w:lang w:val="en-US" w:eastAsia="fr-FR"/>
        </w:rPr>
        <w:t>Press</w:t>
      </w:r>
      <w:r w:rsidRPr="000041B1">
        <w:rPr>
          <w:rFonts w:ascii="Times New Roman" w:eastAsia="Times New Roman" w:hAnsi="Times New Roman" w:cs="Times New Roman"/>
          <w:color w:val="000000"/>
          <w:sz w:val="24"/>
          <w:szCs w:val="24"/>
          <w:lang w:val="en-US" w:eastAsia="fr-FR"/>
        </w:rPr>
        <w:t>.</w:t>
      </w:r>
    </w:p>
    <w:p w:rsidR="00E724B9" w:rsidRPr="00891AC7" w:rsidRDefault="00E724B9" w:rsidP="00AE6E2D">
      <w:pPr>
        <w:spacing w:line="240" w:lineRule="auto"/>
        <w:jc w:val="both"/>
        <w:rPr>
          <w:rFonts w:ascii="Times New Roman" w:eastAsia="Times New Roman" w:hAnsi="Times New Roman" w:cs="Times New Roman"/>
          <w:b/>
          <w:bCs/>
          <w:color w:val="000000"/>
          <w:sz w:val="24"/>
          <w:szCs w:val="24"/>
          <w:lang w:val="en-US" w:eastAsia="fr-FR"/>
        </w:rPr>
      </w:pPr>
      <w:r w:rsidRPr="00F77863">
        <w:rPr>
          <w:rFonts w:ascii="Times New Roman" w:eastAsia="Times New Roman" w:hAnsi="Times New Roman" w:cs="Times New Roman"/>
          <w:b/>
          <w:bCs/>
          <w:sz w:val="24"/>
          <w:szCs w:val="24"/>
          <w:lang w:val="en-US" w:eastAsia="fr-FR"/>
        </w:rPr>
        <w:t>Serre, D.,</w:t>
      </w:r>
      <w:r w:rsidR="00003DA9" w:rsidRPr="00F77863">
        <w:rPr>
          <w:rFonts w:ascii="Times New Roman" w:eastAsia="Times New Roman" w:hAnsi="Times New Roman" w:cs="Times New Roman"/>
          <w:b/>
          <w:bCs/>
          <w:sz w:val="24"/>
          <w:szCs w:val="24"/>
          <w:lang w:val="en-US" w:eastAsia="fr-FR"/>
        </w:rPr>
        <w:t xml:space="preserve"> &amp;</w:t>
      </w:r>
      <w:r w:rsidRPr="00F77863">
        <w:rPr>
          <w:rFonts w:ascii="Times New Roman" w:eastAsia="Times New Roman" w:hAnsi="Times New Roman" w:cs="Times New Roman"/>
          <w:b/>
          <w:bCs/>
          <w:sz w:val="24"/>
          <w:szCs w:val="24"/>
          <w:lang w:val="en-US" w:eastAsia="fr-FR"/>
        </w:rPr>
        <w:t xml:space="preserve"> Heinzlef, C., (2018):</w:t>
      </w:r>
      <w:r w:rsidRPr="0059461A">
        <w:rPr>
          <w:rFonts w:ascii="Times New Roman" w:eastAsia="Times New Roman" w:hAnsi="Times New Roman" w:cs="Times New Roman"/>
          <w:color w:val="000000"/>
          <w:sz w:val="24"/>
          <w:szCs w:val="24"/>
          <w:lang w:val="en-US" w:eastAsia="fr-FR"/>
        </w:rPr>
        <w:t xml:space="preserve"> "Assessing and mapping urban resilience to floods with respect to cascading effects through critical infrastructure networks", Int. J. Disaster Risk Reduct, vol. 30, pp. 235–243.</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Shafiei</w:t>
      </w:r>
      <w:r w:rsidRPr="0059461A">
        <w:rPr>
          <w:rFonts w:ascii="Times New Roman" w:eastAsia="Times New Roman" w:hAnsi="Times New Roman" w:cs="Times New Roman"/>
          <w:b/>
          <w:bCs/>
          <w:color w:val="000000"/>
          <w:sz w:val="24"/>
          <w:szCs w:val="24"/>
          <w:lang w:val="en-US" w:eastAsia="fr-FR"/>
        </w:rPr>
        <w:t xml:space="preserve"> Dastjerdi, M., Lak A. &amp; Ghaffari, A., (2021):</w:t>
      </w:r>
      <w:r w:rsidRPr="0059461A">
        <w:rPr>
          <w:rFonts w:ascii="Times New Roman" w:eastAsia="Times New Roman" w:hAnsi="Times New Roman" w:cs="Times New Roman"/>
          <w:color w:val="000000"/>
          <w:sz w:val="24"/>
          <w:szCs w:val="24"/>
          <w:lang w:val="en-US" w:eastAsia="fr-FR"/>
        </w:rPr>
        <w:t xml:space="preserve"> “A conceptual framework for resilient place assessment based on spatial resilience approach: An integrative review”, Urban Climate, 36: 100794.</w:t>
      </w:r>
    </w:p>
    <w:p w:rsidR="00E724B9" w:rsidRPr="00891AC7"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Sharifi</w:t>
      </w:r>
      <w:r w:rsidRPr="0059461A">
        <w:rPr>
          <w:rFonts w:ascii="Times New Roman" w:eastAsia="Times New Roman" w:hAnsi="Times New Roman" w:cs="Times New Roman"/>
          <w:b/>
          <w:bCs/>
          <w:color w:val="000000"/>
          <w:sz w:val="24"/>
          <w:szCs w:val="24"/>
          <w:lang w:val="en-US" w:eastAsia="fr-FR"/>
        </w:rPr>
        <w:t>, A. &amp; Yamagata, Y., (2016</w:t>
      </w:r>
      <w:r w:rsidR="00114D83">
        <w:rPr>
          <w:rFonts w:ascii="Times New Roman" w:eastAsia="Times New Roman" w:hAnsi="Times New Roman" w:cs="Times New Roman"/>
          <w:b/>
          <w:bCs/>
          <w:color w:val="000000"/>
          <w:sz w:val="24"/>
          <w:szCs w:val="24"/>
          <w:lang w:val="en-US" w:eastAsia="fr-FR"/>
        </w:rPr>
        <w:t>a</w:t>
      </w:r>
      <w:r w:rsidRPr="0059461A">
        <w:rPr>
          <w:rFonts w:ascii="Times New Roman" w:eastAsia="Times New Roman" w:hAnsi="Times New Roman" w:cs="Times New Roman"/>
          <w:b/>
          <w:bCs/>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 xml:space="preserve"> “Principles and criteria for assessing urban energy resilience: A literature review. </w:t>
      </w:r>
      <w:r w:rsidR="00114D83" w:rsidRPr="00114D83">
        <w:rPr>
          <w:rFonts w:ascii="Times New Roman" w:eastAsia="Times New Roman" w:hAnsi="Times New Roman" w:cs="Times New Roman"/>
          <w:i/>
          <w:iCs/>
          <w:color w:val="000000"/>
          <w:sz w:val="24"/>
          <w:szCs w:val="24"/>
          <w:lang w:val="en-US" w:eastAsia="fr-FR"/>
        </w:rPr>
        <w:t>Renewable and Sustainable Energy Reviews</w:t>
      </w:r>
      <w:r w:rsidRPr="0059461A">
        <w:rPr>
          <w:rFonts w:ascii="Times New Roman" w:eastAsia="Times New Roman" w:hAnsi="Times New Roman" w:cs="Times New Roman"/>
          <w:color w:val="000000"/>
          <w:sz w:val="24"/>
          <w:szCs w:val="24"/>
          <w:lang w:val="en-US" w:eastAsia="fr-FR"/>
        </w:rPr>
        <w:t xml:space="preserve">, </w:t>
      </w:r>
      <w:r w:rsidR="002E6486">
        <w:rPr>
          <w:rFonts w:ascii="Times New Roman" w:eastAsia="Times New Roman" w:hAnsi="Times New Roman" w:cs="Times New Roman"/>
          <w:color w:val="000000"/>
          <w:sz w:val="24"/>
          <w:szCs w:val="24"/>
          <w:lang w:val="en-US" w:eastAsia="fr-FR"/>
        </w:rPr>
        <w:t xml:space="preserve">vol. </w:t>
      </w:r>
      <w:r w:rsidRPr="0059461A">
        <w:rPr>
          <w:rFonts w:ascii="Times New Roman" w:eastAsia="Times New Roman" w:hAnsi="Times New Roman" w:cs="Times New Roman"/>
          <w:color w:val="000000"/>
          <w:sz w:val="24"/>
          <w:szCs w:val="24"/>
          <w:lang w:val="en-US" w:eastAsia="fr-FR"/>
        </w:rPr>
        <w:t>60,</w:t>
      </w:r>
      <w:r w:rsidR="00AD3DD9">
        <w:rPr>
          <w:rFonts w:ascii="Times New Roman" w:eastAsia="Times New Roman" w:hAnsi="Times New Roman" w:cs="Times New Roman"/>
          <w:color w:val="000000"/>
          <w:sz w:val="24"/>
          <w:szCs w:val="24"/>
          <w:lang w:val="en-US" w:eastAsia="fr-FR"/>
        </w:rPr>
        <w:t xml:space="preserve"> pp.</w:t>
      </w:r>
      <w:r w:rsidRPr="0059461A">
        <w:rPr>
          <w:rFonts w:ascii="Times New Roman" w:eastAsia="Times New Roman" w:hAnsi="Times New Roman" w:cs="Times New Roman"/>
          <w:color w:val="000000"/>
          <w:sz w:val="24"/>
          <w:szCs w:val="24"/>
          <w:lang w:val="en-US" w:eastAsia="fr-FR"/>
        </w:rPr>
        <w:t xml:space="preserve"> 1654–1677.</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Sharifi</w:t>
      </w:r>
      <w:r w:rsidRPr="0059461A">
        <w:rPr>
          <w:rFonts w:ascii="Times New Roman" w:eastAsia="Times New Roman" w:hAnsi="Times New Roman" w:cs="Times New Roman"/>
          <w:b/>
          <w:bCs/>
          <w:color w:val="000000"/>
          <w:sz w:val="24"/>
          <w:szCs w:val="24"/>
          <w:lang w:val="en-US" w:eastAsia="fr-FR"/>
        </w:rPr>
        <w:t>, A., &amp; Yamagata, Y., (2016</w:t>
      </w:r>
      <w:r w:rsidR="00114D83">
        <w:rPr>
          <w:rFonts w:ascii="Times New Roman" w:eastAsia="Times New Roman" w:hAnsi="Times New Roman" w:cs="Times New Roman"/>
          <w:b/>
          <w:bCs/>
          <w:color w:val="000000"/>
          <w:sz w:val="24"/>
          <w:szCs w:val="24"/>
          <w:lang w:val="en-US" w:eastAsia="fr-FR"/>
        </w:rPr>
        <w:t>b</w:t>
      </w:r>
      <w:r w:rsidRPr="0059461A">
        <w:rPr>
          <w:rFonts w:ascii="Times New Roman" w:eastAsia="Times New Roman" w:hAnsi="Times New Roman" w:cs="Times New Roman"/>
          <w:b/>
          <w:bCs/>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 xml:space="preserve"> “Urban Resilience Assessment: Multiple Dimensions, Criteria, and Indicators”, In: Yamagata Y and Maruyama H (eds) Urban Resilience: A Transformative Approach, Advanced Sciences and Technologies for Security Applications, Cham: </w:t>
      </w:r>
      <w:r w:rsidRPr="00114D83">
        <w:rPr>
          <w:rFonts w:ascii="Times New Roman" w:eastAsia="Times New Roman" w:hAnsi="Times New Roman" w:cs="Times New Roman"/>
          <w:i/>
          <w:iCs/>
          <w:color w:val="000000"/>
          <w:sz w:val="24"/>
          <w:szCs w:val="24"/>
          <w:lang w:val="en-US" w:eastAsia="fr-FR"/>
        </w:rPr>
        <w:t>Springer International Publishing</w:t>
      </w:r>
      <w:r w:rsidRPr="0059461A">
        <w:rPr>
          <w:rFonts w:ascii="Times New Roman" w:eastAsia="Times New Roman" w:hAnsi="Times New Roman" w:cs="Times New Roman"/>
          <w:color w:val="000000"/>
          <w:sz w:val="24"/>
          <w:szCs w:val="24"/>
          <w:lang w:val="en-US" w:eastAsia="fr-FR"/>
        </w:rPr>
        <w:t>,</w:t>
      </w:r>
      <w:r w:rsidR="00AD3DD9">
        <w:rPr>
          <w:rFonts w:ascii="Times New Roman" w:eastAsia="Times New Roman" w:hAnsi="Times New Roman" w:cs="Times New Roman"/>
          <w:color w:val="000000"/>
          <w:sz w:val="24"/>
          <w:szCs w:val="24"/>
          <w:lang w:val="en-US" w:eastAsia="fr-FR"/>
        </w:rPr>
        <w:t xml:space="preserve"> </w:t>
      </w:r>
      <w:r w:rsidRPr="0059461A">
        <w:rPr>
          <w:rFonts w:ascii="Times New Roman" w:eastAsia="Times New Roman" w:hAnsi="Times New Roman" w:cs="Times New Roman"/>
          <w:color w:val="000000"/>
          <w:sz w:val="24"/>
          <w:szCs w:val="24"/>
          <w:lang w:val="en-US" w:eastAsia="fr-FR"/>
        </w:rPr>
        <w:t>p</w:t>
      </w:r>
      <w:r w:rsidR="00AD3DD9">
        <w:rPr>
          <w:rFonts w:ascii="Times New Roman" w:eastAsia="Times New Roman" w:hAnsi="Times New Roman" w:cs="Times New Roman"/>
          <w:color w:val="000000"/>
          <w:sz w:val="24"/>
          <w:szCs w:val="24"/>
          <w:lang w:val="en-US" w:eastAsia="fr-FR"/>
        </w:rPr>
        <w:t>p</w:t>
      </w:r>
      <w:r w:rsidRPr="0059461A">
        <w:rPr>
          <w:rFonts w:ascii="Times New Roman" w:eastAsia="Times New Roman" w:hAnsi="Times New Roman" w:cs="Times New Roman"/>
          <w:color w:val="000000"/>
          <w:sz w:val="24"/>
          <w:szCs w:val="24"/>
          <w:lang w:val="en-US" w:eastAsia="fr-FR"/>
        </w:rPr>
        <w:t>. 259–276. DOI:10.1007/978-3-319-39812-9_13.</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Sharifi</w:t>
      </w:r>
      <w:r w:rsidRPr="0059461A">
        <w:rPr>
          <w:rFonts w:ascii="Times New Roman" w:eastAsia="Times New Roman" w:hAnsi="Times New Roman" w:cs="Times New Roman"/>
          <w:b/>
          <w:bCs/>
          <w:color w:val="000000"/>
          <w:sz w:val="24"/>
          <w:szCs w:val="24"/>
          <w:lang w:val="en-US" w:eastAsia="fr-FR"/>
        </w:rPr>
        <w:t xml:space="preserve">, A., (2016): </w:t>
      </w:r>
      <w:r w:rsidRPr="0059461A">
        <w:rPr>
          <w:rFonts w:ascii="Times New Roman" w:eastAsia="Times New Roman" w:hAnsi="Times New Roman" w:cs="Times New Roman"/>
          <w:color w:val="000000"/>
          <w:sz w:val="24"/>
          <w:szCs w:val="24"/>
          <w:lang w:val="en-US" w:eastAsia="fr-FR"/>
        </w:rPr>
        <w:t xml:space="preserve">“From Garden City to Eco-urbanism: The quest for sustainable neighborhood development”, </w:t>
      </w:r>
      <w:r w:rsidRPr="00114D83">
        <w:rPr>
          <w:rFonts w:ascii="Times New Roman" w:eastAsia="Times New Roman" w:hAnsi="Times New Roman" w:cs="Times New Roman"/>
          <w:i/>
          <w:iCs/>
          <w:color w:val="000000"/>
          <w:sz w:val="24"/>
          <w:szCs w:val="24"/>
          <w:lang w:val="en-US" w:eastAsia="fr-FR"/>
        </w:rPr>
        <w:t>Sustainable Cities and Society</w:t>
      </w:r>
      <w:r w:rsidRPr="0059461A">
        <w:rPr>
          <w:rFonts w:ascii="Times New Roman" w:eastAsia="Times New Roman" w:hAnsi="Times New Roman" w:cs="Times New Roman"/>
          <w:color w:val="000000"/>
          <w:sz w:val="24"/>
          <w:szCs w:val="24"/>
          <w:lang w:val="en-US" w:eastAsia="fr-FR"/>
        </w:rPr>
        <w:t xml:space="preserve">, vol. 20, </w:t>
      </w:r>
      <w:r w:rsidR="00AD3DD9">
        <w:rPr>
          <w:rFonts w:ascii="Times New Roman" w:eastAsia="Times New Roman" w:hAnsi="Times New Roman" w:cs="Times New Roman"/>
          <w:color w:val="000000"/>
          <w:sz w:val="24"/>
          <w:szCs w:val="24"/>
          <w:lang w:val="en-US" w:eastAsia="fr-FR"/>
        </w:rPr>
        <w:t>pp</w:t>
      </w:r>
      <w:r w:rsidRPr="0059461A">
        <w:rPr>
          <w:rFonts w:ascii="Times New Roman" w:eastAsia="Times New Roman" w:hAnsi="Times New Roman" w:cs="Times New Roman"/>
          <w:color w:val="000000"/>
          <w:sz w:val="24"/>
          <w:szCs w:val="24"/>
          <w:lang w:val="en-US" w:eastAsia="fr-FR"/>
        </w:rPr>
        <w:t>. 1-16.</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Sharifi</w:t>
      </w:r>
      <w:r w:rsidRPr="0059461A">
        <w:rPr>
          <w:rFonts w:ascii="Times New Roman" w:eastAsia="Times New Roman" w:hAnsi="Times New Roman" w:cs="Times New Roman"/>
          <w:b/>
          <w:bCs/>
          <w:color w:val="000000"/>
          <w:sz w:val="24"/>
          <w:szCs w:val="24"/>
          <w:lang w:val="en-US" w:eastAsia="fr-FR"/>
        </w:rPr>
        <w:t>, A., (2019):</w:t>
      </w:r>
      <w:r w:rsidRPr="0059461A">
        <w:rPr>
          <w:rFonts w:ascii="Times New Roman" w:eastAsia="Times New Roman" w:hAnsi="Times New Roman" w:cs="Times New Roman"/>
          <w:color w:val="000000"/>
          <w:sz w:val="24"/>
          <w:szCs w:val="24"/>
          <w:lang w:val="en-US" w:eastAsia="fr-FR"/>
        </w:rPr>
        <w:t xml:space="preserve"> “Resilient urban forms: A review of literature on streets and street networks”, </w:t>
      </w:r>
      <w:r w:rsidRPr="00114D83">
        <w:rPr>
          <w:rFonts w:ascii="Times New Roman" w:eastAsia="Times New Roman" w:hAnsi="Times New Roman" w:cs="Times New Roman"/>
          <w:i/>
          <w:iCs/>
          <w:color w:val="000000"/>
          <w:sz w:val="24"/>
          <w:szCs w:val="24"/>
          <w:lang w:val="en-US" w:eastAsia="fr-FR"/>
        </w:rPr>
        <w:t>Build</w:t>
      </w:r>
      <w:r w:rsidR="00347EDC" w:rsidRPr="00347EDC">
        <w:rPr>
          <w:rFonts w:ascii="Times New Roman" w:eastAsia="Times New Roman" w:hAnsi="Times New Roman" w:cs="Times New Roman"/>
          <w:i/>
          <w:iCs/>
          <w:color w:val="000000"/>
          <w:sz w:val="24"/>
          <w:szCs w:val="24"/>
          <w:lang w:val="en-US" w:eastAsia="fr-FR"/>
        </w:rPr>
        <w:t>ing and</w:t>
      </w:r>
      <w:r w:rsidRPr="00114D83">
        <w:rPr>
          <w:rFonts w:ascii="Times New Roman" w:eastAsia="Times New Roman" w:hAnsi="Times New Roman" w:cs="Times New Roman"/>
          <w:i/>
          <w:iCs/>
          <w:color w:val="000000"/>
          <w:sz w:val="24"/>
          <w:szCs w:val="24"/>
          <w:lang w:val="en-US" w:eastAsia="fr-FR"/>
        </w:rPr>
        <w:t xml:space="preserve"> Environmental</w:t>
      </w:r>
      <w:r w:rsidRPr="0059461A">
        <w:rPr>
          <w:rFonts w:ascii="Times New Roman" w:eastAsia="Times New Roman" w:hAnsi="Times New Roman" w:cs="Times New Roman"/>
          <w:color w:val="000000"/>
          <w:sz w:val="24"/>
          <w:szCs w:val="24"/>
          <w:lang w:val="en-US" w:eastAsia="fr-FR"/>
        </w:rPr>
        <w:t>, vol. 147, p</w:t>
      </w:r>
      <w:r w:rsidR="00AD3DD9">
        <w:rPr>
          <w:rFonts w:ascii="Times New Roman" w:eastAsia="Times New Roman" w:hAnsi="Times New Roman" w:cs="Times New Roman"/>
          <w:color w:val="000000"/>
          <w:sz w:val="24"/>
          <w:szCs w:val="24"/>
          <w:lang w:val="en-US" w:eastAsia="fr-FR"/>
        </w:rPr>
        <w:t>p</w:t>
      </w:r>
      <w:r w:rsidRPr="0059461A">
        <w:rPr>
          <w:rFonts w:ascii="Times New Roman" w:eastAsia="Times New Roman" w:hAnsi="Times New Roman" w:cs="Times New Roman"/>
          <w:color w:val="000000"/>
          <w:sz w:val="24"/>
          <w:szCs w:val="24"/>
          <w:lang w:val="en-US" w:eastAsia="fr-FR"/>
        </w:rPr>
        <w:t>. 171–187.</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Sharifi</w:t>
      </w:r>
      <w:r w:rsidRPr="0059461A">
        <w:rPr>
          <w:rFonts w:ascii="Times New Roman" w:eastAsia="Times New Roman" w:hAnsi="Times New Roman" w:cs="Times New Roman"/>
          <w:b/>
          <w:bCs/>
          <w:color w:val="000000"/>
          <w:sz w:val="24"/>
          <w:szCs w:val="24"/>
          <w:lang w:val="en-US" w:eastAsia="fr-FR"/>
        </w:rPr>
        <w:t>, A., Yamagata, Y., (2018):</w:t>
      </w:r>
      <w:r w:rsidRPr="0059461A">
        <w:rPr>
          <w:rFonts w:ascii="Times New Roman" w:eastAsia="Times New Roman" w:hAnsi="Times New Roman" w:cs="Times New Roman"/>
          <w:color w:val="000000"/>
          <w:sz w:val="24"/>
          <w:szCs w:val="24"/>
          <w:lang w:val="en-US" w:eastAsia="fr-FR"/>
        </w:rPr>
        <w:t xml:space="preserve"> “Resilience-Oriented Urban Planning. In Resilience-Oriented Urban Planning: Theoretical and Empirical Insights; Yamagata, Y., Sharifi, A., Eds.; </w:t>
      </w:r>
      <w:r w:rsidRPr="008E5575">
        <w:rPr>
          <w:rFonts w:ascii="Times New Roman" w:eastAsia="Times New Roman" w:hAnsi="Times New Roman" w:cs="Times New Roman"/>
          <w:i/>
          <w:iCs/>
          <w:color w:val="000000"/>
          <w:sz w:val="24"/>
          <w:szCs w:val="24"/>
          <w:lang w:val="en-US" w:eastAsia="fr-FR"/>
        </w:rPr>
        <w:t>Springer International Publishing</w:t>
      </w:r>
      <w:r w:rsidR="008E5575">
        <w:rPr>
          <w:rFonts w:ascii="Times New Roman" w:eastAsia="Times New Roman" w:hAnsi="Times New Roman" w:cs="Times New Roman"/>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 xml:space="preserve"> Cham, Switzerland, </w:t>
      </w:r>
      <w:r w:rsidR="00191967">
        <w:rPr>
          <w:rFonts w:ascii="Times New Roman" w:eastAsia="Times New Roman" w:hAnsi="Times New Roman" w:cs="Times New Roman"/>
          <w:color w:val="000000"/>
          <w:sz w:val="24"/>
          <w:szCs w:val="24"/>
          <w:lang w:val="en-US" w:eastAsia="fr-FR"/>
        </w:rPr>
        <w:t>p</w:t>
      </w:r>
      <w:r w:rsidRPr="0059461A">
        <w:rPr>
          <w:rFonts w:ascii="Times New Roman" w:eastAsia="Times New Roman" w:hAnsi="Times New Roman" w:cs="Times New Roman"/>
          <w:color w:val="000000"/>
          <w:sz w:val="24"/>
          <w:szCs w:val="24"/>
          <w:lang w:val="en-US" w:eastAsia="fr-FR"/>
        </w:rPr>
        <w:t>p. 3–27.</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Sharifi</w:t>
      </w:r>
      <w:r w:rsidRPr="0059461A">
        <w:rPr>
          <w:rFonts w:ascii="Times New Roman" w:eastAsia="Times New Roman" w:hAnsi="Times New Roman" w:cs="Times New Roman"/>
          <w:b/>
          <w:bCs/>
          <w:color w:val="000000"/>
          <w:sz w:val="24"/>
          <w:szCs w:val="24"/>
          <w:lang w:val="en-US" w:eastAsia="fr-FR"/>
        </w:rPr>
        <w:t>, M., Boerboom, L., Shamsudin, K. &amp; Veeramuthu, L., (2006):</w:t>
      </w:r>
      <w:r w:rsidRPr="0059461A">
        <w:rPr>
          <w:rFonts w:ascii="Times New Roman" w:eastAsia="Times New Roman" w:hAnsi="Times New Roman" w:cs="Times New Roman"/>
          <w:color w:val="000000"/>
          <w:sz w:val="24"/>
          <w:szCs w:val="24"/>
          <w:lang w:val="en-US" w:eastAsia="fr-FR"/>
        </w:rPr>
        <w:t xml:space="preserve"> “Spatial Multiple Criteria Decision Analysis in Integrated Planning for Public Transport and Land use Development Study in Klang Valley, Malaysia”, ISPRS Technical Commission 2nd Symposium, United States, pp 85–91.</w:t>
      </w:r>
    </w:p>
    <w:p w:rsidR="00E724B9"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399" w:history="1">
        <w:r w:rsidR="00E724B9" w:rsidRPr="00F77863">
          <w:rPr>
            <w:rFonts w:ascii="Times New Roman" w:eastAsia="Times New Roman" w:hAnsi="Times New Roman" w:cs="Times New Roman"/>
            <w:b/>
            <w:bCs/>
            <w:sz w:val="24"/>
            <w:szCs w:val="24"/>
            <w:lang w:val="en-US" w:eastAsia="fr-FR"/>
          </w:rPr>
          <w:t>Sharifi</w:t>
        </w:r>
        <w:r w:rsidR="00E724B9" w:rsidRPr="008E5575">
          <w:rPr>
            <w:rFonts w:ascii="Times New Roman" w:eastAsia="Times New Roman" w:hAnsi="Times New Roman" w:cs="Times New Roman"/>
            <w:b/>
            <w:bCs/>
            <w:sz w:val="24"/>
            <w:szCs w:val="24"/>
            <w:lang w:val="en-US" w:eastAsia="fr-FR"/>
          </w:rPr>
          <w:t>. A., Roosta. M &amp; Javadpoor. M., (2021):</w:t>
        </w:r>
        <w:r w:rsidR="00E724B9" w:rsidRPr="0059461A">
          <w:rPr>
            <w:rFonts w:ascii="Times New Roman" w:eastAsia="Times New Roman" w:hAnsi="Times New Roman" w:cs="Times New Roman"/>
            <w:sz w:val="24"/>
            <w:szCs w:val="24"/>
            <w:lang w:val="en-US" w:eastAsia="fr-FR"/>
          </w:rPr>
          <w:t xml:space="preserve"> "Urban Form Resilience: A Comparative Analysis of Traditional, Semi-Planned, and Planned Neighborhoods in Shiraz, Iran",</w:t>
        </w:r>
        <w:r w:rsidR="00E724B9" w:rsidRPr="008E5575">
          <w:rPr>
            <w:rFonts w:ascii="Times New Roman" w:eastAsia="Times New Roman" w:hAnsi="Times New Roman" w:cs="Times New Roman"/>
            <w:i/>
            <w:iCs/>
            <w:sz w:val="24"/>
            <w:szCs w:val="24"/>
            <w:lang w:val="en-US" w:eastAsia="fr-FR"/>
          </w:rPr>
          <w:t xml:space="preserve"> Urban Science</w:t>
        </w:r>
        <w:r w:rsidR="00E724B9" w:rsidRPr="0059461A">
          <w:rPr>
            <w:rFonts w:ascii="Times New Roman" w:eastAsia="Times New Roman" w:hAnsi="Times New Roman" w:cs="Times New Roman"/>
            <w:sz w:val="24"/>
            <w:szCs w:val="24"/>
            <w:lang w:val="en-US" w:eastAsia="fr-FR"/>
          </w:rPr>
          <w:t>, vol. 5</w:t>
        </w:r>
        <w:r w:rsidR="008E5575">
          <w:rPr>
            <w:rFonts w:ascii="Times New Roman" w:eastAsia="Times New Roman" w:hAnsi="Times New Roman" w:cs="Times New Roman"/>
            <w:sz w:val="24"/>
            <w:szCs w:val="24"/>
            <w:lang w:val="en-US" w:eastAsia="fr-FR"/>
          </w:rPr>
          <w:t>, n°</w:t>
        </w:r>
        <w:r w:rsidR="00E724B9" w:rsidRPr="0059461A">
          <w:rPr>
            <w:rFonts w:ascii="Times New Roman" w:eastAsia="Times New Roman" w:hAnsi="Times New Roman" w:cs="Times New Roman"/>
            <w:sz w:val="24"/>
            <w:szCs w:val="24"/>
            <w:lang w:val="en-US" w:eastAsia="fr-FR"/>
          </w:rPr>
          <w:t>18, p</w:t>
        </w:r>
        <w:r w:rsidR="00191967">
          <w:rPr>
            <w:rFonts w:ascii="Times New Roman" w:eastAsia="Times New Roman" w:hAnsi="Times New Roman" w:cs="Times New Roman"/>
            <w:sz w:val="24"/>
            <w:szCs w:val="24"/>
            <w:lang w:val="en-US" w:eastAsia="fr-FR"/>
          </w:rPr>
          <w:t>p</w:t>
        </w:r>
        <w:r w:rsidR="00E724B9" w:rsidRPr="0059461A">
          <w:rPr>
            <w:rFonts w:ascii="Times New Roman" w:eastAsia="Times New Roman" w:hAnsi="Times New Roman" w:cs="Times New Roman"/>
            <w:sz w:val="24"/>
            <w:szCs w:val="24"/>
            <w:lang w:val="en-US" w:eastAsia="fr-FR"/>
          </w:rPr>
          <w:t>. 1</w:t>
        </w:r>
        <w:r w:rsidR="008E5575">
          <w:rPr>
            <w:rFonts w:ascii="Times New Roman" w:eastAsia="Times New Roman" w:hAnsi="Times New Roman" w:cs="Times New Roman"/>
            <w:sz w:val="24"/>
            <w:szCs w:val="24"/>
            <w:lang w:val="en-US" w:eastAsia="fr-FR"/>
          </w:rPr>
          <w:t>-</w:t>
        </w:r>
        <w:r w:rsidR="00E724B9" w:rsidRPr="0059461A">
          <w:rPr>
            <w:rFonts w:ascii="Times New Roman" w:eastAsia="Times New Roman" w:hAnsi="Times New Roman" w:cs="Times New Roman"/>
            <w:sz w:val="24"/>
            <w:szCs w:val="24"/>
            <w:lang w:val="en-US" w:eastAsia="fr-FR"/>
          </w:rPr>
          <w:t>18 . https://doi.org/10 .3390 /urbansci5010018</w:t>
        </w:r>
      </w:hyperlink>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w:t>
      </w:r>
      <w:r w:rsidR="00ED40E7" w:rsidRPr="00F77863">
        <w:rPr>
          <w:rFonts w:ascii="Times New Roman" w:eastAsia="Times New Roman" w:hAnsi="Times New Roman" w:cs="Times New Roman"/>
          <w:b/>
          <w:bCs/>
          <w:sz w:val="24"/>
          <w:szCs w:val="24"/>
          <w:lang w:val="en-US" w:eastAsia="fr-FR"/>
        </w:rPr>
        <w:t>haw</w:t>
      </w:r>
      <w:r w:rsidRPr="00670CDD">
        <w:rPr>
          <w:rFonts w:ascii="Times New Roman" w:eastAsia="Times New Roman" w:hAnsi="Times New Roman" w:cs="Times New Roman"/>
          <w:b/>
          <w:bCs/>
          <w:color w:val="000000"/>
          <w:sz w:val="24"/>
          <w:szCs w:val="24"/>
          <w:lang w:val="en-US" w:eastAsia="fr-FR"/>
        </w:rPr>
        <w:t>, R.</w:t>
      </w:r>
      <w:r w:rsidR="00670CDD" w:rsidRPr="00670CDD">
        <w:rPr>
          <w:rFonts w:ascii="Times New Roman" w:eastAsia="Times New Roman" w:hAnsi="Times New Roman" w:cs="Times New Roman"/>
          <w:b/>
          <w:bCs/>
          <w:color w:val="000000"/>
          <w:sz w:val="24"/>
          <w:szCs w:val="24"/>
          <w:lang w:val="en-US" w:eastAsia="fr-FR"/>
        </w:rPr>
        <w:t>, (</w:t>
      </w:r>
      <w:r w:rsidRPr="00670CDD">
        <w:rPr>
          <w:rFonts w:ascii="Times New Roman" w:eastAsia="Times New Roman" w:hAnsi="Times New Roman" w:cs="Times New Roman"/>
          <w:b/>
          <w:bCs/>
          <w:color w:val="000000"/>
          <w:sz w:val="24"/>
          <w:szCs w:val="24"/>
          <w:lang w:val="en-US" w:eastAsia="fr-FR"/>
        </w:rPr>
        <w:t>2009</w:t>
      </w:r>
      <w:r w:rsidR="00670CDD" w:rsidRPr="00670CDD">
        <w:rPr>
          <w:rFonts w:ascii="Times New Roman" w:eastAsia="Times New Roman" w:hAnsi="Times New Roman" w:cs="Times New Roman"/>
          <w:b/>
          <w:bCs/>
          <w:color w:val="000000"/>
          <w:sz w:val="24"/>
          <w:szCs w:val="24"/>
          <w:lang w:val="en-US" w:eastAsia="fr-FR"/>
        </w:rPr>
        <w:t>):</w:t>
      </w:r>
      <w:r w:rsidRPr="00670CDD">
        <w:rPr>
          <w:rFonts w:ascii="Times New Roman" w:eastAsia="Times New Roman" w:hAnsi="Times New Roman" w:cs="Times New Roman"/>
          <w:color w:val="000000"/>
          <w:sz w:val="24"/>
          <w:szCs w:val="24"/>
          <w:lang w:val="en-US" w:eastAsia="fr-FR"/>
        </w:rPr>
        <w:t xml:space="preserve"> </w:t>
      </w:r>
      <w:r w:rsidR="00670CDD">
        <w:rPr>
          <w:rFonts w:ascii="Times New Roman" w:eastAsia="Times New Roman" w:hAnsi="Times New Roman" w:cs="Times New Roman"/>
          <w:color w:val="000000"/>
          <w:sz w:val="24"/>
          <w:szCs w:val="24"/>
          <w:lang w:val="en-US" w:eastAsia="fr-FR"/>
        </w:rPr>
        <w:t>“</w:t>
      </w:r>
      <w:r w:rsidRPr="00670CDD">
        <w:rPr>
          <w:rFonts w:ascii="Times New Roman" w:eastAsia="Times New Roman" w:hAnsi="Times New Roman" w:cs="Times New Roman"/>
          <w:color w:val="000000"/>
          <w:sz w:val="24"/>
          <w:szCs w:val="24"/>
          <w:lang w:val="en-US" w:eastAsia="fr-FR"/>
        </w:rPr>
        <w:t>Climate disaster resilience: Focus on coastal urban cities in Asia</w:t>
      </w:r>
      <w:r w:rsidR="00670CDD">
        <w:rPr>
          <w:rFonts w:ascii="Times New Roman" w:eastAsia="Times New Roman" w:hAnsi="Times New Roman" w:cs="Times New Roman"/>
          <w:color w:val="000000"/>
          <w:sz w:val="24"/>
          <w:szCs w:val="24"/>
          <w:lang w:val="en-US" w:eastAsia="fr-FR"/>
        </w:rPr>
        <w:t>”,</w:t>
      </w:r>
      <w:r w:rsidRPr="00670CDD">
        <w:rPr>
          <w:rFonts w:ascii="Times New Roman" w:eastAsia="Times New Roman" w:hAnsi="Times New Roman" w:cs="Times New Roman"/>
          <w:color w:val="000000"/>
          <w:sz w:val="24"/>
          <w:szCs w:val="24"/>
          <w:lang w:val="en-US" w:eastAsia="fr-FR"/>
        </w:rPr>
        <w:t xml:space="preserve"> </w:t>
      </w:r>
      <w:r w:rsidRPr="00670CDD">
        <w:rPr>
          <w:rFonts w:ascii="Times New Roman" w:eastAsia="Times New Roman" w:hAnsi="Times New Roman" w:cs="Times New Roman"/>
          <w:i/>
          <w:iCs/>
          <w:color w:val="000000"/>
          <w:sz w:val="24"/>
          <w:szCs w:val="24"/>
          <w:lang w:val="en-US" w:eastAsia="fr-FR"/>
        </w:rPr>
        <w:t>Asian Journal of Environment and Disaster Management</w:t>
      </w:r>
      <w:r w:rsidRPr="00670CDD">
        <w:rPr>
          <w:rFonts w:ascii="Times New Roman" w:eastAsia="Times New Roman" w:hAnsi="Times New Roman" w:cs="Times New Roman"/>
          <w:color w:val="000000"/>
          <w:sz w:val="24"/>
          <w:szCs w:val="24"/>
          <w:lang w:val="en-US" w:eastAsia="fr-FR"/>
        </w:rPr>
        <w:t xml:space="preserve">, </w:t>
      </w:r>
      <w:r w:rsidR="00670CDD" w:rsidRPr="00670CDD">
        <w:rPr>
          <w:rFonts w:ascii="Times New Roman" w:eastAsia="Times New Roman" w:hAnsi="Times New Roman" w:cs="Times New Roman"/>
          <w:color w:val="000000"/>
          <w:sz w:val="24"/>
          <w:szCs w:val="24"/>
          <w:lang w:val="en-US" w:eastAsia="fr-FR"/>
        </w:rPr>
        <w:t xml:space="preserve">vol. </w:t>
      </w:r>
      <w:r w:rsidRPr="00670CDD">
        <w:rPr>
          <w:rFonts w:ascii="Times New Roman" w:eastAsia="Times New Roman" w:hAnsi="Times New Roman" w:cs="Times New Roman"/>
          <w:color w:val="000000"/>
          <w:sz w:val="24"/>
          <w:szCs w:val="24"/>
          <w:lang w:val="en-US" w:eastAsia="fr-FR"/>
        </w:rPr>
        <w:t>1.</w:t>
      </w:r>
      <w:r w:rsidR="00670CDD" w:rsidRPr="00670CDD">
        <w:rPr>
          <w:lang w:val="en-US"/>
        </w:rPr>
        <w:t xml:space="preserve"> </w:t>
      </w:r>
      <w:r w:rsidR="00670CDD" w:rsidRPr="00670CDD">
        <w:rPr>
          <w:rFonts w:ascii="Times New Roman" w:eastAsia="Times New Roman" w:hAnsi="Times New Roman" w:cs="Times New Roman"/>
          <w:color w:val="000000"/>
          <w:sz w:val="24"/>
          <w:szCs w:val="24"/>
          <w:lang w:val="en-US" w:eastAsia="fr-FR"/>
        </w:rPr>
        <w:t>https://www.unisdr.org/files/12505_CLIMATEDISASTERRESILIENCEEN.pdf</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t>Sherrieb</w:t>
      </w:r>
      <w:r w:rsidRPr="00562E0F">
        <w:rPr>
          <w:rFonts w:ascii="Times New Roman" w:eastAsia="Times New Roman" w:hAnsi="Times New Roman" w:cs="Times New Roman"/>
          <w:b/>
          <w:bCs/>
          <w:color w:val="000000"/>
          <w:sz w:val="24"/>
          <w:szCs w:val="24"/>
          <w:lang w:val="en-US" w:eastAsia="fr-FR"/>
        </w:rPr>
        <w:t>, K., Norris, F. H., &amp; Galea, S. (2010)</w:t>
      </w:r>
      <w:r w:rsidR="008E5575" w:rsidRPr="00562E0F">
        <w:rPr>
          <w:rFonts w:ascii="Times New Roman" w:eastAsia="Times New Roman" w:hAnsi="Times New Roman" w:cs="Times New Roman"/>
          <w:b/>
          <w:bCs/>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 xml:space="preserve"> </w:t>
      </w:r>
      <w:r w:rsidR="008E5575">
        <w:rPr>
          <w:rFonts w:ascii="Times New Roman" w:eastAsia="Times New Roman" w:hAnsi="Times New Roman" w:cs="Times New Roman"/>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Measuring capacities for community resilience</w:t>
      </w:r>
      <w:r w:rsidR="008E5575">
        <w:rPr>
          <w:rFonts w:ascii="Times New Roman" w:eastAsia="Times New Roman" w:hAnsi="Times New Roman" w:cs="Times New Roman"/>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 xml:space="preserve"> </w:t>
      </w:r>
      <w:r w:rsidRPr="008E5575">
        <w:rPr>
          <w:rFonts w:ascii="Times New Roman" w:eastAsia="Times New Roman" w:hAnsi="Times New Roman" w:cs="Times New Roman"/>
          <w:i/>
          <w:iCs/>
          <w:color w:val="000000"/>
          <w:sz w:val="24"/>
          <w:szCs w:val="24"/>
          <w:lang w:val="en-US" w:eastAsia="fr-FR"/>
        </w:rPr>
        <w:t>Social Indicators Research</w:t>
      </w:r>
      <w:r w:rsidRPr="0059461A">
        <w:rPr>
          <w:rFonts w:ascii="Times New Roman" w:eastAsia="Times New Roman" w:hAnsi="Times New Roman" w:cs="Times New Roman"/>
          <w:color w:val="000000"/>
          <w:sz w:val="24"/>
          <w:szCs w:val="24"/>
          <w:lang w:val="en-US" w:eastAsia="fr-FR"/>
        </w:rPr>
        <w:t>,</w:t>
      </w:r>
      <w:r w:rsidR="008E5575">
        <w:rPr>
          <w:rFonts w:ascii="Times New Roman" w:eastAsia="Times New Roman" w:hAnsi="Times New Roman" w:cs="Times New Roman"/>
          <w:color w:val="000000"/>
          <w:sz w:val="24"/>
          <w:szCs w:val="24"/>
          <w:lang w:val="en-US" w:eastAsia="fr-FR"/>
        </w:rPr>
        <w:t xml:space="preserve"> vol.</w:t>
      </w:r>
      <w:r w:rsidRPr="0059461A">
        <w:rPr>
          <w:rFonts w:ascii="Times New Roman" w:eastAsia="Times New Roman" w:hAnsi="Times New Roman" w:cs="Times New Roman"/>
          <w:color w:val="000000"/>
          <w:sz w:val="24"/>
          <w:szCs w:val="24"/>
          <w:lang w:val="en-US" w:eastAsia="fr-FR"/>
        </w:rPr>
        <w:t xml:space="preserve"> 99</w:t>
      </w:r>
      <w:r w:rsidR="008E5575">
        <w:rPr>
          <w:rFonts w:ascii="Times New Roman" w:eastAsia="Times New Roman" w:hAnsi="Times New Roman" w:cs="Times New Roman"/>
          <w:color w:val="000000"/>
          <w:sz w:val="24"/>
          <w:szCs w:val="24"/>
          <w:lang w:val="en-US" w:eastAsia="fr-FR"/>
        </w:rPr>
        <w:t xml:space="preserve">, n° </w:t>
      </w:r>
      <w:r w:rsidRPr="0059461A">
        <w:rPr>
          <w:rFonts w:ascii="Times New Roman" w:eastAsia="Times New Roman" w:hAnsi="Times New Roman" w:cs="Times New Roman"/>
          <w:color w:val="000000"/>
          <w:sz w:val="24"/>
          <w:szCs w:val="24"/>
          <w:lang w:val="en-US" w:eastAsia="fr-FR"/>
        </w:rPr>
        <w:t>2,</w:t>
      </w:r>
      <w:r w:rsidR="008E5575">
        <w:rPr>
          <w:rFonts w:ascii="Times New Roman" w:eastAsia="Times New Roman" w:hAnsi="Times New Roman" w:cs="Times New Roman"/>
          <w:color w:val="000000"/>
          <w:sz w:val="24"/>
          <w:szCs w:val="24"/>
          <w:lang w:val="en-US" w:eastAsia="fr-FR"/>
        </w:rPr>
        <w:t xml:space="preserve"> p</w:t>
      </w:r>
      <w:r w:rsidR="00AD3DD9">
        <w:rPr>
          <w:rFonts w:ascii="Times New Roman" w:eastAsia="Times New Roman" w:hAnsi="Times New Roman" w:cs="Times New Roman"/>
          <w:color w:val="000000"/>
          <w:sz w:val="24"/>
          <w:szCs w:val="24"/>
          <w:lang w:val="en-US" w:eastAsia="fr-FR"/>
        </w:rPr>
        <w:t>p</w:t>
      </w:r>
      <w:r w:rsidR="008E5575">
        <w:rPr>
          <w:rFonts w:ascii="Times New Roman" w:eastAsia="Times New Roman" w:hAnsi="Times New Roman" w:cs="Times New Roman"/>
          <w:color w:val="000000"/>
          <w:sz w:val="24"/>
          <w:szCs w:val="24"/>
          <w:lang w:val="en-US" w:eastAsia="fr-FR"/>
        </w:rPr>
        <w:t>.</w:t>
      </w:r>
      <w:r w:rsidRPr="0059461A">
        <w:rPr>
          <w:rFonts w:ascii="Times New Roman" w:eastAsia="Times New Roman" w:hAnsi="Times New Roman" w:cs="Times New Roman"/>
          <w:color w:val="000000"/>
          <w:sz w:val="24"/>
          <w:szCs w:val="24"/>
          <w:lang w:val="en-US" w:eastAsia="fr-FR"/>
        </w:rPr>
        <w:t xml:space="preserve"> 227-247.</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sz w:val="24"/>
          <w:szCs w:val="24"/>
          <w:lang w:val="en-US" w:eastAsia="fr-FR"/>
        </w:rPr>
        <w:lastRenderedPageBreak/>
        <w:t>Simmie, J. &amp; Martin, R., (2010):</w:t>
      </w:r>
      <w:r w:rsidRPr="0059461A">
        <w:rPr>
          <w:rFonts w:ascii="Times New Roman" w:eastAsia="Times New Roman" w:hAnsi="Times New Roman" w:cs="Times New Roman"/>
          <w:color w:val="000000"/>
          <w:sz w:val="24"/>
          <w:szCs w:val="24"/>
          <w:lang w:val="en-US" w:eastAsia="fr-FR"/>
        </w:rPr>
        <w:t xml:space="preserve"> "The economic resilience of regions: Towards an evolutionary approach", Cambridge Journal of the Regions, Economy and Society, vol. 3</w:t>
      </w:r>
      <w:r w:rsidR="00670CDD">
        <w:rPr>
          <w:rFonts w:ascii="Times New Roman" w:eastAsia="Times New Roman" w:hAnsi="Times New Roman" w:cs="Times New Roman"/>
          <w:color w:val="000000"/>
          <w:sz w:val="24"/>
          <w:szCs w:val="24"/>
          <w:lang w:val="en-US" w:eastAsia="fr-FR"/>
        </w:rPr>
        <w:t xml:space="preserve">, n° </w:t>
      </w:r>
      <w:r w:rsidRPr="0059461A">
        <w:rPr>
          <w:rFonts w:ascii="Times New Roman" w:eastAsia="Times New Roman" w:hAnsi="Times New Roman" w:cs="Times New Roman"/>
          <w:color w:val="000000"/>
          <w:sz w:val="24"/>
          <w:szCs w:val="24"/>
          <w:lang w:val="en-US" w:eastAsia="fr-FR"/>
        </w:rPr>
        <w:t>1, p</w:t>
      </w:r>
      <w:r w:rsidR="00191967">
        <w:rPr>
          <w:rFonts w:ascii="Times New Roman" w:eastAsia="Times New Roman" w:hAnsi="Times New Roman" w:cs="Times New Roman"/>
          <w:color w:val="000000"/>
          <w:sz w:val="24"/>
          <w:szCs w:val="24"/>
          <w:lang w:val="en-US" w:eastAsia="fr-FR"/>
        </w:rPr>
        <w:t>p</w:t>
      </w:r>
      <w:r w:rsidRPr="0059461A">
        <w:rPr>
          <w:rFonts w:ascii="Times New Roman" w:eastAsia="Times New Roman" w:hAnsi="Times New Roman" w:cs="Times New Roman"/>
          <w:color w:val="000000"/>
          <w:sz w:val="24"/>
          <w:szCs w:val="24"/>
          <w:lang w:val="en-US" w:eastAsia="fr-FR"/>
        </w:rPr>
        <w:t>. 27–43.</w:t>
      </w:r>
    </w:p>
    <w:p w:rsidR="00E724B9"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400" w:history="1">
        <w:r w:rsidR="00E724B9" w:rsidRPr="00F77863">
          <w:rPr>
            <w:rFonts w:ascii="Times New Roman" w:eastAsia="Times New Roman" w:hAnsi="Times New Roman" w:cs="Times New Roman"/>
            <w:b/>
            <w:bCs/>
            <w:color w:val="000000"/>
            <w:sz w:val="24"/>
            <w:szCs w:val="24"/>
            <w:lang w:val="en-US" w:eastAsia="fr-FR"/>
          </w:rPr>
          <w:t>Skrimizea</w:t>
        </w:r>
        <w:r w:rsidR="00E724B9" w:rsidRPr="0059461A">
          <w:rPr>
            <w:rFonts w:ascii="Times New Roman" w:eastAsia="Times New Roman" w:hAnsi="Times New Roman" w:cs="Times New Roman"/>
            <w:b/>
            <w:bCs/>
            <w:sz w:val="24"/>
            <w:szCs w:val="24"/>
            <w:lang w:val="en-US" w:eastAsia="fr-FR"/>
          </w:rPr>
          <w:t>, E., Haniotou, H. &amp; Parra, C., (</w:t>
        </w:r>
        <w:r w:rsidR="00306703">
          <w:rPr>
            <w:rFonts w:ascii="Times New Roman" w:eastAsia="Times New Roman" w:hAnsi="Times New Roman" w:cs="Times New Roman"/>
            <w:b/>
            <w:bCs/>
            <w:sz w:val="24"/>
            <w:szCs w:val="24"/>
            <w:lang w:val="en-US" w:eastAsia="fr-FR"/>
          </w:rPr>
          <w:t>2018</w:t>
        </w:r>
        <w:r w:rsidR="00E724B9" w:rsidRPr="0059461A">
          <w:rPr>
            <w:rFonts w:ascii="Times New Roman" w:eastAsia="Times New Roman" w:hAnsi="Times New Roman" w:cs="Times New Roman"/>
            <w:b/>
            <w:bCs/>
            <w:sz w:val="24"/>
            <w:szCs w:val="24"/>
            <w:lang w:val="en-US" w:eastAsia="fr-FR"/>
          </w:rPr>
          <w:t>):</w:t>
        </w:r>
        <w:r w:rsidR="00E724B9" w:rsidRPr="0059461A">
          <w:rPr>
            <w:rFonts w:ascii="Times New Roman" w:eastAsia="Times New Roman" w:hAnsi="Times New Roman" w:cs="Times New Roman"/>
            <w:sz w:val="24"/>
            <w:szCs w:val="24"/>
            <w:lang w:val="en-US" w:eastAsia="fr-FR"/>
          </w:rPr>
          <w:t xml:space="preserve"> "On the complexity turn’in planning: An adaptive rationale to navigate spaces and times of uncertainty", </w:t>
        </w:r>
        <w:r w:rsidR="00E724B9" w:rsidRPr="00670CDD">
          <w:rPr>
            <w:rFonts w:ascii="Times New Roman" w:eastAsia="Times New Roman" w:hAnsi="Times New Roman" w:cs="Times New Roman"/>
            <w:i/>
            <w:iCs/>
            <w:sz w:val="24"/>
            <w:szCs w:val="24"/>
            <w:lang w:val="en-US" w:eastAsia="fr-FR"/>
          </w:rPr>
          <w:t>SAGE</w:t>
        </w:r>
        <w:r w:rsidR="00670CDD" w:rsidRPr="00670CDD">
          <w:rPr>
            <w:rFonts w:ascii="Times New Roman" w:eastAsia="Times New Roman" w:hAnsi="Times New Roman" w:cs="Times New Roman"/>
            <w:i/>
            <w:iCs/>
            <w:sz w:val="24"/>
            <w:szCs w:val="24"/>
            <w:lang w:val="en-US" w:eastAsia="fr-FR"/>
          </w:rPr>
          <w:t xml:space="preserve"> journals</w:t>
        </w:r>
        <w:r w:rsidR="00670CDD">
          <w:rPr>
            <w:rFonts w:ascii="Times New Roman" w:eastAsia="Times New Roman" w:hAnsi="Times New Roman" w:cs="Times New Roman"/>
            <w:sz w:val="24"/>
            <w:szCs w:val="24"/>
            <w:lang w:val="en-US" w:eastAsia="fr-FR"/>
          </w:rPr>
          <w:t>, vol. 18, n° 1, </w:t>
        </w:r>
        <w:r w:rsidR="00191967">
          <w:rPr>
            <w:rFonts w:ascii="Times New Roman" w:eastAsia="Times New Roman" w:hAnsi="Times New Roman" w:cs="Times New Roman"/>
            <w:sz w:val="24"/>
            <w:szCs w:val="24"/>
            <w:lang w:val="en-US" w:eastAsia="fr-FR"/>
          </w:rPr>
          <w:t>p</w:t>
        </w:r>
        <w:r w:rsidR="00670CDD">
          <w:rPr>
            <w:rFonts w:ascii="Times New Roman" w:eastAsia="Times New Roman" w:hAnsi="Times New Roman" w:cs="Times New Roman"/>
            <w:sz w:val="24"/>
            <w:szCs w:val="24"/>
            <w:lang w:val="en-US" w:eastAsia="fr-FR"/>
          </w:rPr>
          <w:t>p.</w:t>
        </w:r>
        <w:r w:rsidR="00E724B9" w:rsidRPr="0059461A">
          <w:rPr>
            <w:rFonts w:ascii="Times New Roman" w:eastAsia="Times New Roman" w:hAnsi="Times New Roman" w:cs="Times New Roman"/>
            <w:sz w:val="24"/>
            <w:szCs w:val="24"/>
            <w:lang w:val="en-US" w:eastAsia="fr-FR"/>
          </w:rPr>
          <w:t> 122-142. https://doi.org/10.1177/1473095218780515</w:t>
        </w:r>
      </w:hyperlink>
    </w:p>
    <w:p w:rsidR="00E724B9" w:rsidRDefault="00B62F86" w:rsidP="005A6326">
      <w:pPr>
        <w:spacing w:line="240" w:lineRule="auto"/>
        <w:rPr>
          <w:rFonts w:ascii="Times New Roman" w:eastAsia="Times New Roman" w:hAnsi="Times New Roman" w:cs="Times New Roman"/>
          <w:sz w:val="24"/>
          <w:szCs w:val="24"/>
          <w:lang w:val="en-US" w:eastAsia="fr-FR"/>
        </w:rPr>
      </w:pPr>
      <w:hyperlink r:id="rId401" w:history="1">
        <w:r w:rsidR="00E724B9" w:rsidRPr="00F77863">
          <w:rPr>
            <w:rFonts w:ascii="Times New Roman" w:eastAsia="Times New Roman" w:hAnsi="Times New Roman" w:cs="Times New Roman"/>
            <w:b/>
            <w:bCs/>
            <w:color w:val="000000"/>
            <w:sz w:val="24"/>
            <w:szCs w:val="24"/>
            <w:lang w:val="en-US" w:eastAsia="fr-FR"/>
          </w:rPr>
          <w:t>Solomon</w:t>
        </w:r>
        <w:r w:rsidR="00E724B9" w:rsidRPr="0059461A">
          <w:rPr>
            <w:rFonts w:ascii="Times New Roman" w:eastAsia="Times New Roman" w:hAnsi="Times New Roman" w:cs="Times New Roman"/>
            <w:b/>
            <w:bCs/>
            <w:sz w:val="24"/>
            <w:szCs w:val="24"/>
            <w:lang w:val="en-US" w:eastAsia="fr-FR"/>
          </w:rPr>
          <w:t>, S. (2007). IPCC (2007):</w:t>
        </w:r>
        <w:r w:rsidR="00E724B9" w:rsidRPr="0059461A">
          <w:rPr>
            <w:rFonts w:ascii="Times New Roman" w:eastAsia="Times New Roman" w:hAnsi="Times New Roman" w:cs="Times New Roman"/>
            <w:sz w:val="24"/>
            <w:szCs w:val="24"/>
            <w:lang w:val="en-US" w:eastAsia="fr-FR"/>
          </w:rPr>
          <w:t xml:space="preserve"> "Climate Change The Physical Science Basis". Pap</w:t>
        </w:r>
        <w:r w:rsidR="00E724B9" w:rsidRPr="00D34DAA">
          <w:rPr>
            <w:rFonts w:ascii="Times New Roman" w:eastAsia="Times New Roman" w:hAnsi="Times New Roman" w:cs="Times New Roman"/>
            <w:i/>
            <w:iCs/>
            <w:sz w:val="24"/>
            <w:szCs w:val="24"/>
            <w:lang w:val="en-US" w:eastAsia="fr-FR"/>
          </w:rPr>
          <w:t>er</w:t>
        </w:r>
        <w:r w:rsidR="00D34DAA">
          <w:rPr>
            <w:rFonts w:ascii="Times New Roman" w:eastAsia="Times New Roman" w:hAnsi="Times New Roman" w:cs="Times New Roman"/>
            <w:i/>
            <w:iCs/>
            <w:sz w:val="24"/>
            <w:szCs w:val="24"/>
            <w:lang w:val="en-US" w:eastAsia="fr-FR"/>
          </w:rPr>
          <w:t xml:space="preserve"> </w:t>
        </w:r>
        <w:r w:rsidR="00E724B9" w:rsidRPr="00D34DAA">
          <w:rPr>
            <w:rFonts w:ascii="Times New Roman" w:eastAsia="Times New Roman" w:hAnsi="Times New Roman" w:cs="Times New Roman"/>
            <w:i/>
            <w:iCs/>
            <w:sz w:val="24"/>
            <w:szCs w:val="24"/>
            <w:lang w:val="en-US" w:eastAsia="fr-FR"/>
          </w:rPr>
          <w:t>presented at the AGU Fall Meeting Abstracts</w:t>
        </w:r>
        <w:r w:rsidR="00E724B9" w:rsidRPr="0059461A">
          <w:rPr>
            <w:rFonts w:ascii="Times New Roman" w:eastAsia="Times New Roman" w:hAnsi="Times New Roman" w:cs="Times New Roman"/>
            <w:sz w:val="24"/>
            <w:szCs w:val="24"/>
            <w:lang w:val="en-US" w:eastAsia="fr-FR"/>
          </w:rPr>
          <w:t>.</w:t>
        </w:r>
        <w:r w:rsidR="00D34DAA">
          <w:rPr>
            <w:rFonts w:ascii="Times New Roman" w:eastAsia="Times New Roman" w:hAnsi="Times New Roman" w:cs="Times New Roman"/>
            <w:sz w:val="24"/>
            <w:szCs w:val="24"/>
            <w:lang w:val="en-US" w:eastAsia="fr-FR"/>
          </w:rPr>
          <w:t xml:space="preserve"> </w:t>
        </w:r>
        <w:r w:rsidR="00E724B9" w:rsidRPr="005A6326">
          <w:rPr>
            <w:rFonts w:ascii="Times New Roman" w:eastAsia="Times New Roman" w:hAnsi="Times New Roman" w:cs="Times New Roman"/>
            <w:sz w:val="20"/>
            <w:szCs w:val="20"/>
            <w:lang w:val="en-US" w:eastAsia="fr-FR"/>
          </w:rPr>
          <w:t>https://ui.adsabs.harvard.edu/abs/2007AGUFM.U43D.</w:t>
        </w:r>
      </w:hyperlink>
      <w:r w:rsidR="00D34DAA">
        <w:rPr>
          <w:rFonts w:ascii="Times New Roman" w:eastAsia="Times New Roman" w:hAnsi="Times New Roman" w:cs="Times New Roman"/>
          <w:sz w:val="24"/>
          <w:szCs w:val="24"/>
          <w:lang w:val="en-US" w:eastAsia="fr-FR"/>
        </w:rPr>
        <w:t xml:space="preserve"> </w:t>
      </w:r>
    </w:p>
    <w:p w:rsidR="00E724B9" w:rsidRDefault="00E724B9" w:rsidP="00AE6E2D">
      <w:pPr>
        <w:spacing w:line="240" w:lineRule="auto"/>
        <w:jc w:val="both"/>
        <w:rPr>
          <w:rFonts w:ascii="Times New Roman" w:eastAsia="Times New Roman" w:hAnsi="Times New Roman" w:cs="Times New Roman"/>
          <w:sz w:val="24"/>
          <w:szCs w:val="24"/>
          <w:lang w:val="en-US" w:eastAsia="fr-FR"/>
        </w:rPr>
      </w:pPr>
      <w:r w:rsidRPr="00F77863">
        <w:rPr>
          <w:rFonts w:ascii="Times New Roman" w:eastAsia="Times New Roman" w:hAnsi="Times New Roman" w:cs="Times New Roman"/>
          <w:b/>
          <w:bCs/>
          <w:color w:val="000000"/>
          <w:sz w:val="24"/>
          <w:szCs w:val="24"/>
          <w:lang w:val="en-US" w:eastAsia="fr-FR"/>
        </w:rPr>
        <w:t>Somerville</w:t>
      </w:r>
      <w:r w:rsidRPr="003A7C73">
        <w:rPr>
          <w:rFonts w:ascii="Times New Roman" w:eastAsia="Times New Roman" w:hAnsi="Times New Roman" w:cs="Times New Roman"/>
          <w:b/>
          <w:bCs/>
          <w:color w:val="000000"/>
          <w:sz w:val="24"/>
          <w:szCs w:val="24"/>
          <w:lang w:val="en-US" w:eastAsia="fr-FR"/>
        </w:rPr>
        <w:t>, J. A., (2008):</w:t>
      </w:r>
      <w:r w:rsidRPr="003A7C73">
        <w:rPr>
          <w:rFonts w:ascii="Times New Roman" w:eastAsia="Times New Roman" w:hAnsi="Times New Roman" w:cs="Times New Roman"/>
          <w:color w:val="000000"/>
          <w:sz w:val="24"/>
          <w:szCs w:val="24"/>
          <w:lang w:val="en-US" w:eastAsia="fr-FR"/>
        </w:rPr>
        <w:t xml:space="preserve"> "Effective Use of the Delphi Process in Research": Its Characteristics Strengths, and Limitations.</w:t>
      </w:r>
    </w:p>
    <w:p w:rsidR="00E724B9" w:rsidRDefault="00E724B9" w:rsidP="00AE6E2D">
      <w:pPr>
        <w:spacing w:line="240" w:lineRule="auto"/>
        <w:jc w:val="both"/>
        <w:rPr>
          <w:rFonts w:ascii="Times New Roman" w:eastAsia="Times New Roman" w:hAnsi="Times New Roman" w:cs="Times New Roman"/>
          <w:sz w:val="24"/>
          <w:szCs w:val="24"/>
          <w:lang w:val="en-US" w:eastAsia="fr-FR"/>
        </w:rPr>
      </w:pPr>
      <w:r w:rsidRPr="00F77863">
        <w:rPr>
          <w:rFonts w:ascii="Times New Roman" w:eastAsia="Times New Roman" w:hAnsi="Times New Roman" w:cs="Times New Roman"/>
          <w:b/>
          <w:bCs/>
          <w:color w:val="000000"/>
          <w:sz w:val="24"/>
          <w:szCs w:val="24"/>
          <w:lang w:val="en-US" w:eastAsia="fr-FR"/>
        </w:rPr>
        <w:t>Southwick</w:t>
      </w:r>
      <w:r w:rsidRPr="00B94344">
        <w:rPr>
          <w:rFonts w:ascii="Times New Roman" w:eastAsia="Times New Roman" w:hAnsi="Times New Roman" w:cs="Times New Roman"/>
          <w:b/>
          <w:bCs/>
          <w:color w:val="000000"/>
          <w:sz w:val="24"/>
          <w:szCs w:val="24"/>
          <w:lang w:val="en-US" w:eastAsia="fr-FR"/>
        </w:rPr>
        <w:t>, S. M., &amp; Charney, D</w:t>
      </w:r>
      <w:r w:rsidR="00E26FC5" w:rsidRPr="00B94344">
        <w:rPr>
          <w:rFonts w:ascii="Times New Roman" w:eastAsia="Times New Roman" w:hAnsi="Times New Roman" w:cs="Times New Roman"/>
          <w:b/>
          <w:bCs/>
          <w:color w:val="000000"/>
          <w:sz w:val="24"/>
          <w:szCs w:val="24"/>
          <w:lang w:val="en-US" w:eastAsia="fr-FR"/>
        </w:rPr>
        <w:t>,</w:t>
      </w:r>
      <w:r w:rsidRPr="00B94344">
        <w:rPr>
          <w:rFonts w:ascii="Times New Roman" w:eastAsia="Times New Roman" w:hAnsi="Times New Roman" w:cs="Times New Roman"/>
          <w:b/>
          <w:bCs/>
          <w:color w:val="000000"/>
          <w:sz w:val="24"/>
          <w:szCs w:val="24"/>
          <w:lang w:val="en-US" w:eastAsia="fr-FR"/>
        </w:rPr>
        <w:t xml:space="preserve"> S.</w:t>
      </w:r>
      <w:r w:rsidR="00E26FC5" w:rsidRPr="00B94344">
        <w:rPr>
          <w:rFonts w:ascii="Times New Roman" w:eastAsia="Times New Roman" w:hAnsi="Times New Roman" w:cs="Times New Roman"/>
          <w:b/>
          <w:bCs/>
          <w:color w:val="000000"/>
          <w:sz w:val="24"/>
          <w:szCs w:val="24"/>
          <w:lang w:val="en-US" w:eastAsia="fr-FR"/>
        </w:rPr>
        <w:t>,</w:t>
      </w:r>
      <w:r w:rsidRPr="00B94344">
        <w:rPr>
          <w:rFonts w:ascii="Times New Roman" w:eastAsia="Times New Roman" w:hAnsi="Times New Roman" w:cs="Times New Roman"/>
          <w:b/>
          <w:bCs/>
          <w:color w:val="000000"/>
          <w:sz w:val="24"/>
          <w:szCs w:val="24"/>
          <w:lang w:val="en-US" w:eastAsia="fr-FR"/>
        </w:rPr>
        <w:t xml:space="preserve"> (2018)</w:t>
      </w:r>
      <w:r w:rsidR="00E26FC5" w:rsidRPr="00B94344">
        <w:rPr>
          <w:rFonts w:ascii="Times New Roman" w:eastAsia="Times New Roman" w:hAnsi="Times New Roman" w:cs="Times New Roman"/>
          <w:b/>
          <w:bCs/>
          <w:color w:val="000000"/>
          <w:sz w:val="24"/>
          <w:szCs w:val="24"/>
          <w:lang w:val="en-US" w:eastAsia="fr-FR"/>
        </w:rPr>
        <w:t>:</w:t>
      </w:r>
      <w:r w:rsidRPr="00B94344">
        <w:rPr>
          <w:rFonts w:ascii="Times New Roman" w:eastAsia="Times New Roman" w:hAnsi="Times New Roman" w:cs="Times New Roman"/>
          <w:color w:val="000000"/>
          <w:sz w:val="24"/>
          <w:szCs w:val="24"/>
          <w:lang w:val="en-US" w:eastAsia="fr-FR"/>
        </w:rPr>
        <w:t> </w:t>
      </w:r>
      <w:r w:rsidR="00E26FC5" w:rsidRPr="00B94344">
        <w:rPr>
          <w:rFonts w:ascii="Times New Roman" w:eastAsia="Times New Roman" w:hAnsi="Times New Roman" w:cs="Times New Roman"/>
          <w:color w:val="000000"/>
          <w:sz w:val="24"/>
          <w:szCs w:val="24"/>
          <w:lang w:val="en-US" w:eastAsia="fr-FR"/>
        </w:rPr>
        <w:t>“</w:t>
      </w:r>
      <w:r w:rsidRPr="00B94344">
        <w:rPr>
          <w:rFonts w:ascii="Times New Roman" w:eastAsia="Times New Roman" w:hAnsi="Times New Roman" w:cs="Times New Roman"/>
          <w:color w:val="000000"/>
          <w:sz w:val="24"/>
          <w:szCs w:val="24"/>
          <w:lang w:val="en-US" w:eastAsia="fr-FR"/>
        </w:rPr>
        <w:t>Resilience: The science of mastering life’s greatest challenges</w:t>
      </w:r>
      <w:r w:rsidR="00E26FC5" w:rsidRPr="00B94344">
        <w:rPr>
          <w:rFonts w:ascii="Times New Roman" w:eastAsia="Times New Roman" w:hAnsi="Times New Roman" w:cs="Times New Roman"/>
          <w:color w:val="000000"/>
          <w:sz w:val="24"/>
          <w:szCs w:val="24"/>
          <w:lang w:val="en-US" w:eastAsia="fr-FR"/>
        </w:rPr>
        <w:t>”,</w:t>
      </w:r>
      <w:r w:rsidRPr="00B94344">
        <w:rPr>
          <w:rFonts w:ascii="Times New Roman" w:eastAsia="Times New Roman" w:hAnsi="Times New Roman" w:cs="Times New Roman"/>
          <w:color w:val="000000"/>
          <w:sz w:val="24"/>
          <w:szCs w:val="24"/>
          <w:lang w:val="en-US" w:eastAsia="fr-FR"/>
        </w:rPr>
        <w:t xml:space="preserve"> </w:t>
      </w:r>
      <w:r w:rsidRPr="00B94344">
        <w:rPr>
          <w:rFonts w:ascii="Times New Roman" w:eastAsia="Times New Roman" w:hAnsi="Times New Roman" w:cs="Times New Roman"/>
          <w:i/>
          <w:iCs/>
          <w:color w:val="000000"/>
          <w:sz w:val="24"/>
          <w:szCs w:val="24"/>
          <w:lang w:val="en-US" w:eastAsia="fr-FR"/>
        </w:rPr>
        <w:t>Cambridge, United Kingdom</w:t>
      </w:r>
      <w:r w:rsidR="00B94344">
        <w:rPr>
          <w:rFonts w:ascii="Times New Roman" w:eastAsia="Times New Roman" w:hAnsi="Times New Roman" w:cs="Times New Roman"/>
          <w:color w:val="000000"/>
          <w:sz w:val="24"/>
          <w:szCs w:val="24"/>
          <w:lang w:val="en-US" w:eastAsia="fr-FR"/>
        </w:rPr>
        <w:t xml:space="preserve">: Cambridge University Press, </w:t>
      </w:r>
      <w:r w:rsidR="0069793D">
        <w:rPr>
          <w:rFonts w:ascii="Times New Roman" w:eastAsia="Times New Roman" w:hAnsi="Times New Roman" w:cs="Times New Roman"/>
          <w:color w:val="000000"/>
          <w:sz w:val="24"/>
          <w:szCs w:val="24"/>
          <w:lang w:val="en-US" w:eastAsia="fr-FR"/>
        </w:rPr>
        <w:t>240p</w:t>
      </w:r>
    </w:p>
    <w:p w:rsidR="00E724B9" w:rsidRPr="00BD5CA2" w:rsidRDefault="00B62F86" w:rsidP="00AE6E2D">
      <w:pPr>
        <w:spacing w:line="240" w:lineRule="auto"/>
        <w:jc w:val="both"/>
        <w:rPr>
          <w:rFonts w:ascii="Times New Roman" w:eastAsia="Times New Roman" w:hAnsi="Times New Roman" w:cs="Times New Roman"/>
          <w:color w:val="000000" w:themeColor="text1"/>
          <w:sz w:val="24"/>
          <w:szCs w:val="24"/>
          <w:lang w:val="en-US" w:eastAsia="fr-FR"/>
        </w:rPr>
      </w:pPr>
      <w:hyperlink r:id="rId402" w:history="1">
        <w:r w:rsidR="00F512BD" w:rsidRPr="00F77863">
          <w:rPr>
            <w:rStyle w:val="Lienhypertexte"/>
            <w:rFonts w:ascii="Times New Roman" w:eastAsia="Times New Roman" w:hAnsi="Times New Roman" w:cs="Times New Roman"/>
            <w:b/>
            <w:bCs/>
            <w:color w:val="000000" w:themeColor="text1"/>
            <w:sz w:val="24"/>
            <w:szCs w:val="24"/>
            <w:u w:val="none"/>
            <w:lang w:val="en-US" w:eastAsia="fr-FR"/>
          </w:rPr>
          <w:t>Tacnet</w:t>
        </w:r>
        <w:r w:rsidR="00F512BD" w:rsidRPr="00BD5CA2">
          <w:rPr>
            <w:rStyle w:val="Lienhypertexte"/>
            <w:rFonts w:ascii="Times New Roman" w:eastAsia="Times New Roman" w:hAnsi="Times New Roman" w:cs="Times New Roman"/>
            <w:b/>
            <w:bCs/>
            <w:color w:val="000000" w:themeColor="text1"/>
            <w:sz w:val="24"/>
            <w:szCs w:val="24"/>
            <w:u w:val="none"/>
            <w:lang w:val="en-US" w:eastAsia="fr-FR"/>
          </w:rPr>
          <w:t>, J-M, Dezert J., Curt C., Batton-Hubert M., et Chojnacki E., (2014):</w:t>
        </w:r>
        <w:r w:rsidR="00F512BD" w:rsidRPr="00BD5CA2">
          <w:rPr>
            <w:rStyle w:val="Lienhypertexte"/>
            <w:rFonts w:ascii="Times New Roman" w:eastAsia="Times New Roman" w:hAnsi="Times New Roman" w:cs="Times New Roman"/>
            <w:color w:val="000000" w:themeColor="text1"/>
            <w:sz w:val="24"/>
            <w:szCs w:val="24"/>
            <w:u w:val="none"/>
            <w:lang w:val="en-US" w:eastAsia="fr-FR"/>
          </w:rPr>
          <w:t xml:space="preserve"> “How to Manage Natural Risks in Mountain Areas in a Context of Imperfect Information? New Frameworks and Paradigms for Expert Assessments and Decision-Making”, E</w:t>
        </w:r>
        <w:r w:rsidR="00F512BD" w:rsidRPr="00BD5CA2">
          <w:rPr>
            <w:rStyle w:val="Lienhypertexte"/>
            <w:rFonts w:ascii="Times New Roman" w:eastAsia="Times New Roman" w:hAnsi="Times New Roman" w:cs="Times New Roman"/>
            <w:i/>
            <w:iCs/>
            <w:color w:val="000000" w:themeColor="text1"/>
            <w:sz w:val="24"/>
            <w:szCs w:val="24"/>
            <w:u w:val="none"/>
            <w:lang w:val="en-US" w:eastAsia="fr-FR"/>
          </w:rPr>
          <w:t>nvironment Systems and Decisions</w:t>
        </w:r>
        <w:r w:rsidR="00F512BD" w:rsidRPr="00BD5CA2">
          <w:rPr>
            <w:rStyle w:val="Lienhypertexte"/>
            <w:rFonts w:ascii="Times New Roman" w:eastAsia="Times New Roman" w:hAnsi="Times New Roman" w:cs="Times New Roman"/>
            <w:color w:val="000000" w:themeColor="text1"/>
            <w:sz w:val="24"/>
            <w:szCs w:val="24"/>
            <w:u w:val="none"/>
            <w:lang w:val="en-US" w:eastAsia="fr-FR"/>
          </w:rPr>
          <w:t>, vol.34, n° 2, p. 288-311. https://doi.org/10.1007/s10669-014-9501-x.</w:t>
        </w:r>
      </w:hyperlink>
    </w:p>
    <w:p w:rsidR="00E724B9" w:rsidRPr="005A6326" w:rsidRDefault="00E724B9" w:rsidP="00AE6E2D">
      <w:pPr>
        <w:spacing w:line="240" w:lineRule="auto"/>
        <w:jc w:val="both"/>
        <w:rPr>
          <w:rFonts w:ascii="Times New Roman" w:eastAsia="Times New Roman" w:hAnsi="Times New Roman" w:cs="Times New Roman"/>
          <w:color w:val="000000" w:themeColor="text1"/>
          <w:sz w:val="18"/>
          <w:szCs w:val="18"/>
          <w:lang w:val="en-US" w:eastAsia="fr-FR"/>
        </w:rPr>
      </w:pPr>
      <w:r w:rsidRPr="00F77863">
        <w:rPr>
          <w:rFonts w:ascii="Times New Roman" w:eastAsia="Times New Roman" w:hAnsi="Times New Roman" w:cs="Times New Roman"/>
          <w:b/>
          <w:bCs/>
          <w:color w:val="000000"/>
          <w:sz w:val="24"/>
          <w:szCs w:val="24"/>
          <w:lang w:val="en-US" w:eastAsia="fr-FR"/>
        </w:rPr>
        <w:t>Talen E (2018)</w:t>
      </w:r>
      <w:r w:rsidRPr="007E003C">
        <w:rPr>
          <w:rFonts w:ascii="Times New Roman" w:eastAsia="Times New Roman" w:hAnsi="Times New Roman" w:cs="Times New Roman"/>
          <w:b/>
          <w:bCs/>
          <w:color w:val="000000" w:themeColor="text1"/>
          <w:sz w:val="24"/>
          <w:szCs w:val="24"/>
          <w:lang w:val="en-US" w:eastAsia="fr-FR"/>
        </w:rPr>
        <w:t>:</w:t>
      </w:r>
      <w:r w:rsidRPr="007E003C">
        <w:rPr>
          <w:rFonts w:ascii="Times New Roman" w:eastAsia="Times New Roman" w:hAnsi="Times New Roman" w:cs="Times New Roman"/>
          <w:color w:val="000000" w:themeColor="text1"/>
          <w:sz w:val="24"/>
          <w:szCs w:val="24"/>
          <w:lang w:val="en-US" w:eastAsia="fr-FR"/>
        </w:rPr>
        <w:t xml:space="preserve"> "Urban Morphology in Urban Design", In: Oliveira V (ed.) Teaching Urban Morphology</w:t>
      </w:r>
      <w:r w:rsidR="00670CDD" w:rsidRPr="007E003C">
        <w:rPr>
          <w:rFonts w:ascii="Times New Roman" w:eastAsia="Times New Roman" w:hAnsi="Times New Roman" w:cs="Times New Roman"/>
          <w:color w:val="000000" w:themeColor="text1"/>
          <w:sz w:val="24"/>
          <w:szCs w:val="24"/>
          <w:lang w:val="en-US" w:eastAsia="fr-FR"/>
        </w:rPr>
        <w:t>”</w:t>
      </w:r>
      <w:r w:rsidRPr="007E003C">
        <w:rPr>
          <w:rFonts w:ascii="Times New Roman" w:eastAsia="Times New Roman" w:hAnsi="Times New Roman" w:cs="Times New Roman"/>
          <w:color w:val="000000" w:themeColor="text1"/>
          <w:sz w:val="24"/>
          <w:szCs w:val="24"/>
          <w:lang w:val="en-US" w:eastAsia="fr-FR"/>
        </w:rPr>
        <w:t>,</w:t>
      </w:r>
      <w:r w:rsidR="00670CDD" w:rsidRPr="007E003C">
        <w:rPr>
          <w:rFonts w:ascii="Times New Roman" w:eastAsia="Times New Roman" w:hAnsi="Times New Roman" w:cs="Times New Roman"/>
          <w:color w:val="000000" w:themeColor="text1"/>
          <w:sz w:val="24"/>
          <w:szCs w:val="24"/>
          <w:lang w:val="en-US" w:eastAsia="fr-FR"/>
        </w:rPr>
        <w:t xml:space="preserve"> </w:t>
      </w:r>
      <w:r w:rsidRPr="007E003C">
        <w:rPr>
          <w:rFonts w:ascii="Times New Roman" w:eastAsia="Times New Roman" w:hAnsi="Times New Roman" w:cs="Times New Roman"/>
          <w:i/>
          <w:iCs/>
          <w:color w:val="000000" w:themeColor="text1"/>
          <w:sz w:val="24"/>
          <w:szCs w:val="24"/>
          <w:lang w:val="en-US" w:eastAsia="fr-FR"/>
        </w:rPr>
        <w:t>Springer International Publishing</w:t>
      </w:r>
      <w:r w:rsidRPr="007E003C">
        <w:rPr>
          <w:rFonts w:ascii="Times New Roman" w:eastAsia="Times New Roman" w:hAnsi="Times New Roman" w:cs="Times New Roman"/>
          <w:color w:val="000000" w:themeColor="text1"/>
          <w:sz w:val="24"/>
          <w:szCs w:val="24"/>
          <w:lang w:val="en-US" w:eastAsia="fr-FR"/>
        </w:rPr>
        <w:t xml:space="preserve">, p. 205–217. </w:t>
      </w:r>
      <w:r w:rsidRPr="005A6326">
        <w:rPr>
          <w:rFonts w:ascii="Times New Roman" w:eastAsia="Times New Roman" w:hAnsi="Times New Roman" w:cs="Times New Roman"/>
          <w:color w:val="000000" w:themeColor="text1"/>
          <w:sz w:val="18"/>
          <w:szCs w:val="18"/>
          <w:lang w:val="en-US" w:eastAsia="fr-FR"/>
        </w:rPr>
        <w:t>DOI: 10.1007/978-3-319-76126-8_12.</w:t>
      </w:r>
    </w:p>
    <w:p w:rsidR="00E724B9" w:rsidRDefault="00B62F86" w:rsidP="00AE6E2D">
      <w:pPr>
        <w:spacing w:line="240" w:lineRule="auto"/>
        <w:jc w:val="both"/>
        <w:rPr>
          <w:rFonts w:ascii="Times New Roman" w:eastAsia="Times New Roman" w:hAnsi="Times New Roman" w:cs="Times New Roman"/>
          <w:sz w:val="24"/>
          <w:szCs w:val="24"/>
          <w:rtl/>
          <w:lang w:val="en-US" w:eastAsia="fr-FR"/>
        </w:rPr>
      </w:pPr>
      <w:hyperlink r:id="rId403" w:history="1">
        <w:r w:rsidR="00E724B9" w:rsidRPr="00F77863">
          <w:rPr>
            <w:rFonts w:ascii="Times New Roman" w:eastAsia="Times New Roman" w:hAnsi="Times New Roman" w:cs="Times New Roman"/>
            <w:b/>
            <w:bCs/>
            <w:color w:val="000000"/>
            <w:sz w:val="24"/>
            <w:szCs w:val="24"/>
            <w:lang w:val="en-US" w:eastAsia="fr-FR"/>
          </w:rPr>
          <w:t>Talen, E., (2006):</w:t>
        </w:r>
        <w:r w:rsidR="00E724B9" w:rsidRPr="00891AC7">
          <w:rPr>
            <w:rFonts w:ascii="Times New Roman" w:eastAsia="Times New Roman" w:hAnsi="Times New Roman" w:cs="Times New Roman"/>
            <w:sz w:val="24"/>
            <w:szCs w:val="24"/>
            <w:lang w:val="en-US" w:eastAsia="fr-FR"/>
          </w:rPr>
          <w:t xml:space="preserve"> "Design That Enables Diversity: The Complications of a Planning Ideal", </w:t>
        </w:r>
        <w:r w:rsidR="00E724B9" w:rsidRPr="00F512BD">
          <w:rPr>
            <w:rFonts w:ascii="Times New Roman" w:eastAsia="Times New Roman" w:hAnsi="Times New Roman" w:cs="Times New Roman"/>
            <w:i/>
            <w:iCs/>
            <w:sz w:val="24"/>
            <w:szCs w:val="24"/>
            <w:lang w:val="en-US" w:eastAsia="fr-FR"/>
          </w:rPr>
          <w:t>Journal of Planning Literature</w:t>
        </w:r>
        <w:r w:rsidR="00E724B9" w:rsidRPr="00891AC7">
          <w:rPr>
            <w:rFonts w:ascii="Times New Roman" w:eastAsia="Times New Roman" w:hAnsi="Times New Roman" w:cs="Times New Roman"/>
            <w:sz w:val="24"/>
            <w:szCs w:val="24"/>
            <w:lang w:val="en-US" w:eastAsia="fr-FR"/>
          </w:rPr>
          <w:t xml:space="preserve">, </w:t>
        </w:r>
        <w:r w:rsidR="00670CDD">
          <w:rPr>
            <w:rFonts w:ascii="Times New Roman" w:eastAsia="Times New Roman" w:hAnsi="Times New Roman" w:cs="Times New Roman"/>
            <w:sz w:val="24"/>
            <w:szCs w:val="24"/>
            <w:lang w:val="en-US" w:eastAsia="fr-FR"/>
          </w:rPr>
          <w:t xml:space="preserve">vol. </w:t>
        </w:r>
        <w:r w:rsidR="00E724B9" w:rsidRPr="00891AC7">
          <w:rPr>
            <w:rFonts w:ascii="Times New Roman" w:eastAsia="Times New Roman" w:hAnsi="Times New Roman" w:cs="Times New Roman"/>
            <w:sz w:val="24"/>
            <w:szCs w:val="24"/>
            <w:lang w:val="en-US" w:eastAsia="fr-FR"/>
          </w:rPr>
          <w:t>20</w:t>
        </w:r>
        <w:r w:rsidR="00670CDD">
          <w:rPr>
            <w:rFonts w:ascii="Times New Roman" w:eastAsia="Times New Roman" w:hAnsi="Times New Roman" w:cs="Times New Roman"/>
            <w:sz w:val="24"/>
            <w:szCs w:val="24"/>
            <w:lang w:val="en-US" w:eastAsia="fr-FR"/>
          </w:rPr>
          <w:t xml:space="preserve">, n° </w:t>
        </w:r>
        <w:r w:rsidR="00E724B9" w:rsidRPr="00891AC7">
          <w:rPr>
            <w:rFonts w:ascii="Times New Roman" w:eastAsia="Times New Roman" w:hAnsi="Times New Roman" w:cs="Times New Roman"/>
            <w:sz w:val="24"/>
            <w:szCs w:val="24"/>
            <w:lang w:val="en-US" w:eastAsia="fr-FR"/>
          </w:rPr>
          <w:t>3</w:t>
        </w:r>
        <w:r w:rsidR="00670CDD">
          <w:rPr>
            <w:rFonts w:ascii="Times New Roman" w:eastAsia="Times New Roman" w:hAnsi="Times New Roman" w:cs="Times New Roman"/>
            <w:sz w:val="24"/>
            <w:szCs w:val="24"/>
            <w:lang w:val="en-US" w:eastAsia="fr-FR"/>
          </w:rPr>
          <w:t>,</w:t>
        </w:r>
        <w:r w:rsidR="00E724B9" w:rsidRPr="00891AC7">
          <w:rPr>
            <w:rFonts w:ascii="Times New Roman" w:eastAsia="Times New Roman" w:hAnsi="Times New Roman" w:cs="Times New Roman"/>
            <w:sz w:val="24"/>
            <w:szCs w:val="24"/>
            <w:lang w:val="en-US" w:eastAsia="fr-FR"/>
          </w:rPr>
          <w:t xml:space="preserve"> p</w:t>
        </w:r>
        <w:r w:rsidR="00191967">
          <w:rPr>
            <w:rFonts w:ascii="Times New Roman" w:eastAsia="Times New Roman" w:hAnsi="Times New Roman" w:cs="Times New Roman"/>
            <w:sz w:val="24"/>
            <w:szCs w:val="24"/>
            <w:lang w:val="en-US" w:eastAsia="fr-FR"/>
          </w:rPr>
          <w:t>p</w:t>
        </w:r>
        <w:r w:rsidR="00E724B9" w:rsidRPr="00891AC7">
          <w:rPr>
            <w:rFonts w:ascii="Times New Roman" w:eastAsia="Times New Roman" w:hAnsi="Times New Roman" w:cs="Times New Roman"/>
            <w:sz w:val="24"/>
            <w:szCs w:val="24"/>
            <w:lang w:val="en-US" w:eastAsia="fr-FR"/>
          </w:rPr>
          <w:t xml:space="preserve">. 233–249. </w:t>
        </w:r>
        <w:r w:rsidR="00E724B9" w:rsidRPr="005A6326">
          <w:rPr>
            <w:rFonts w:ascii="Times New Roman" w:eastAsia="Times New Roman" w:hAnsi="Times New Roman" w:cs="Times New Roman"/>
            <w:sz w:val="18"/>
            <w:szCs w:val="18"/>
            <w:lang w:val="en-US" w:eastAsia="fr-FR"/>
          </w:rPr>
          <w:t>http://dx.doi.10.1177/0885412205</w:t>
        </w:r>
        <w:r w:rsidR="00670CDD" w:rsidRPr="005A6326">
          <w:rPr>
            <w:rFonts w:ascii="Times New Roman" w:eastAsia="Times New Roman" w:hAnsi="Times New Roman" w:cs="Times New Roman"/>
            <w:sz w:val="18"/>
            <w:szCs w:val="18"/>
            <w:lang w:val="en-US" w:eastAsia="fr-FR"/>
          </w:rPr>
          <w:t xml:space="preserve"> </w:t>
        </w:r>
        <w:r w:rsidR="00E724B9" w:rsidRPr="005A6326">
          <w:rPr>
            <w:rFonts w:ascii="Times New Roman" w:eastAsia="Times New Roman" w:hAnsi="Times New Roman" w:cs="Times New Roman"/>
            <w:sz w:val="18"/>
            <w:szCs w:val="18"/>
            <w:lang w:val="en-US" w:eastAsia="fr-FR"/>
          </w:rPr>
          <w:t>283104</w:t>
        </w:r>
      </w:hyperlink>
      <w:r w:rsidR="00021BCA">
        <w:rPr>
          <w:rFonts w:ascii="Times New Roman" w:eastAsia="Times New Roman" w:hAnsi="Times New Roman" w:cs="Times New Roman" w:hint="cs"/>
          <w:sz w:val="24"/>
          <w:szCs w:val="24"/>
          <w:rtl/>
          <w:lang w:val="en-US" w:eastAsia="fr-FR"/>
        </w:rPr>
        <w:t>.</w:t>
      </w:r>
    </w:p>
    <w:p w:rsidR="00021BCA" w:rsidRPr="00021BCA" w:rsidRDefault="00021BCA" w:rsidP="00AE6E2D">
      <w:pPr>
        <w:spacing w:line="240" w:lineRule="auto"/>
        <w:jc w:val="both"/>
        <w:rPr>
          <w:rFonts w:asciiTheme="majorBidi" w:eastAsia="Times New Roman" w:hAnsiTheme="majorBidi" w:cstheme="majorBidi"/>
          <w:sz w:val="28"/>
          <w:szCs w:val="28"/>
          <w:lang w:val="en-US" w:eastAsia="fr-FR"/>
        </w:rPr>
      </w:pPr>
      <w:r w:rsidRPr="00F77863">
        <w:rPr>
          <w:rFonts w:ascii="Times New Roman" w:eastAsia="Times New Roman" w:hAnsi="Times New Roman" w:cs="Times New Roman"/>
          <w:b/>
          <w:bCs/>
          <w:color w:val="000000"/>
          <w:sz w:val="24"/>
          <w:szCs w:val="24"/>
          <w:lang w:val="en-US" w:eastAsia="fr-FR"/>
        </w:rPr>
        <w:t>Tarbatt</w:t>
      </w:r>
      <w:r w:rsidRPr="00E33735">
        <w:rPr>
          <w:rFonts w:asciiTheme="majorBidi" w:hAnsiTheme="majorBidi" w:cstheme="majorBidi"/>
          <w:b/>
          <w:bCs/>
          <w:sz w:val="24"/>
          <w:szCs w:val="24"/>
          <w:lang w:val="en-US"/>
        </w:rPr>
        <w:t>, J.m  (2012):</w:t>
      </w:r>
      <w:r w:rsidRPr="00021BCA">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E33735">
        <w:rPr>
          <w:rFonts w:asciiTheme="majorBidi" w:hAnsiTheme="majorBidi" w:cstheme="majorBidi"/>
          <w:sz w:val="24"/>
          <w:szCs w:val="24"/>
          <w:lang w:val="en-US"/>
        </w:rPr>
        <w:t>The plot : designing diversity in the built environment : a manual for architects and urban designers</w:t>
      </w:r>
      <w:r w:rsidRPr="00021BCA">
        <w:rPr>
          <w:rFonts w:asciiTheme="majorBidi" w:hAnsiTheme="majorBidi" w:cstheme="majorBidi"/>
          <w:i/>
          <w:iCs/>
          <w:sz w:val="24"/>
          <w:szCs w:val="24"/>
          <w:lang w:val="en-US"/>
        </w:rPr>
        <w:t xml:space="preserve">, </w:t>
      </w:r>
      <w:r w:rsidRPr="00E33735">
        <w:rPr>
          <w:rFonts w:asciiTheme="majorBidi" w:hAnsiTheme="majorBidi" w:cstheme="majorBidi"/>
          <w:i/>
          <w:iCs/>
          <w:sz w:val="24"/>
          <w:szCs w:val="24"/>
          <w:lang w:val="en-US"/>
        </w:rPr>
        <w:t>RIBA Publishing</w:t>
      </w:r>
      <w:r w:rsidR="00E33735" w:rsidRPr="00E33735">
        <w:rPr>
          <w:rFonts w:asciiTheme="majorBidi" w:hAnsiTheme="majorBidi" w:cstheme="majorBidi"/>
          <w:sz w:val="24"/>
          <w:szCs w:val="24"/>
          <w:lang w:val="en-US"/>
        </w:rPr>
        <w:t xml:space="preserve"> </w:t>
      </w:r>
      <w:r w:rsidR="00E33735" w:rsidRPr="00021BCA">
        <w:rPr>
          <w:rFonts w:asciiTheme="majorBidi" w:hAnsiTheme="majorBidi" w:cstheme="majorBidi"/>
          <w:sz w:val="24"/>
          <w:szCs w:val="24"/>
          <w:lang w:val="en-US"/>
        </w:rPr>
        <w:t>,</w:t>
      </w:r>
      <w:r w:rsidR="00E33735">
        <w:rPr>
          <w:rFonts w:asciiTheme="majorBidi" w:hAnsiTheme="majorBidi" w:cstheme="majorBidi"/>
          <w:sz w:val="24"/>
          <w:szCs w:val="24"/>
          <w:lang w:val="en-US"/>
        </w:rPr>
        <w:t xml:space="preserve"> </w:t>
      </w:r>
      <w:r w:rsidR="00E33735" w:rsidRPr="00021BCA">
        <w:rPr>
          <w:rFonts w:asciiTheme="majorBidi" w:hAnsiTheme="majorBidi" w:cstheme="majorBidi"/>
          <w:sz w:val="24"/>
          <w:szCs w:val="24"/>
          <w:lang w:val="en-US"/>
        </w:rPr>
        <w:t>London</w:t>
      </w:r>
      <w:r w:rsidRPr="00021BCA">
        <w:rPr>
          <w:rFonts w:asciiTheme="majorBidi" w:hAnsiTheme="majorBidi" w:cstheme="majorBidi"/>
          <w:sz w:val="24"/>
          <w:szCs w:val="24"/>
          <w:lang w:val="en-US"/>
        </w:rPr>
        <w:t>.</w:t>
      </w:r>
    </w:p>
    <w:p w:rsidR="00E724B9" w:rsidRDefault="00B62F86" w:rsidP="00191967">
      <w:pPr>
        <w:spacing w:line="240" w:lineRule="auto"/>
        <w:jc w:val="both"/>
        <w:rPr>
          <w:rFonts w:ascii="Times New Roman" w:eastAsia="Times New Roman" w:hAnsi="Times New Roman" w:cs="Times New Roman"/>
          <w:sz w:val="24"/>
          <w:szCs w:val="24"/>
          <w:lang w:val="en-US" w:eastAsia="fr-FR"/>
        </w:rPr>
      </w:pPr>
      <w:hyperlink r:id="rId404" w:history="1">
        <w:r w:rsidR="00E724B9" w:rsidRPr="00F77863">
          <w:rPr>
            <w:rFonts w:ascii="Times New Roman" w:eastAsia="Times New Roman" w:hAnsi="Times New Roman" w:cs="Times New Roman"/>
            <w:b/>
            <w:bCs/>
            <w:color w:val="000000"/>
            <w:sz w:val="24"/>
            <w:szCs w:val="24"/>
            <w:lang w:val="en-US" w:eastAsia="fr-FR"/>
          </w:rPr>
          <w:t>Tate</w:t>
        </w:r>
        <w:r w:rsidR="00E724B9" w:rsidRPr="00F512BD">
          <w:rPr>
            <w:rFonts w:ascii="Times New Roman" w:eastAsia="Times New Roman" w:hAnsi="Times New Roman" w:cs="Times New Roman"/>
            <w:b/>
            <w:bCs/>
            <w:color w:val="000000"/>
            <w:sz w:val="24"/>
            <w:szCs w:val="24"/>
            <w:lang w:val="en-US" w:eastAsia="fr-FR"/>
          </w:rPr>
          <w:t>, E.</w:t>
        </w:r>
        <w:r w:rsidR="00670CDD" w:rsidRPr="00F512BD">
          <w:rPr>
            <w:rFonts w:ascii="Times New Roman" w:eastAsia="Times New Roman" w:hAnsi="Times New Roman" w:cs="Times New Roman"/>
            <w:b/>
            <w:bCs/>
            <w:color w:val="000000"/>
            <w:sz w:val="24"/>
            <w:szCs w:val="24"/>
            <w:lang w:val="en-US" w:eastAsia="fr-FR"/>
          </w:rPr>
          <w:t>,</w:t>
        </w:r>
        <w:r w:rsidR="00E724B9" w:rsidRPr="00F512BD">
          <w:rPr>
            <w:rFonts w:ascii="Times New Roman" w:eastAsia="Times New Roman" w:hAnsi="Times New Roman" w:cs="Times New Roman"/>
            <w:b/>
            <w:bCs/>
            <w:color w:val="000000"/>
            <w:sz w:val="24"/>
            <w:szCs w:val="24"/>
            <w:lang w:val="en-US" w:eastAsia="fr-FR"/>
          </w:rPr>
          <w:t xml:space="preserve"> </w:t>
        </w:r>
        <w:r w:rsidR="00670CDD" w:rsidRPr="00F512BD">
          <w:rPr>
            <w:rFonts w:ascii="Times New Roman" w:eastAsia="Times New Roman" w:hAnsi="Times New Roman" w:cs="Times New Roman"/>
            <w:b/>
            <w:bCs/>
            <w:color w:val="000000"/>
            <w:sz w:val="24"/>
            <w:szCs w:val="24"/>
            <w:lang w:val="en-US" w:eastAsia="fr-FR"/>
          </w:rPr>
          <w:t>(2012):</w:t>
        </w:r>
        <w:r w:rsidR="00670CDD">
          <w:rPr>
            <w:rFonts w:ascii="Times New Roman" w:eastAsia="Times New Roman" w:hAnsi="Times New Roman" w:cs="Times New Roman"/>
            <w:color w:val="000000"/>
            <w:sz w:val="24"/>
            <w:szCs w:val="24"/>
            <w:lang w:val="en-US" w:eastAsia="fr-FR"/>
          </w:rPr>
          <w:t xml:space="preserve"> </w:t>
        </w:r>
        <w:r w:rsidR="00E724B9" w:rsidRPr="00891AC7">
          <w:rPr>
            <w:rFonts w:ascii="Times New Roman" w:eastAsia="Times New Roman" w:hAnsi="Times New Roman" w:cs="Times New Roman"/>
            <w:color w:val="000000"/>
            <w:sz w:val="24"/>
            <w:szCs w:val="24"/>
            <w:lang w:val="en-US" w:eastAsia="fr-FR"/>
          </w:rPr>
          <w:t>" Social Vulnerability Indices: A Comparative Assessment Using Uncertainty and Sensitivity Analysis"</w:t>
        </w:r>
        <w:r w:rsidR="00670CDD">
          <w:rPr>
            <w:rFonts w:ascii="Times New Roman" w:eastAsia="Times New Roman" w:hAnsi="Times New Roman" w:cs="Times New Roman"/>
            <w:color w:val="000000"/>
            <w:sz w:val="24"/>
            <w:szCs w:val="24"/>
            <w:lang w:val="en-US" w:eastAsia="fr-FR"/>
          </w:rPr>
          <w:t xml:space="preserve">, </w:t>
        </w:r>
        <w:r w:rsidR="00E724B9" w:rsidRPr="00670CDD">
          <w:rPr>
            <w:rFonts w:ascii="Times New Roman" w:eastAsia="Times New Roman" w:hAnsi="Times New Roman" w:cs="Times New Roman"/>
            <w:i/>
            <w:iCs/>
            <w:color w:val="000000"/>
            <w:sz w:val="24"/>
            <w:szCs w:val="24"/>
            <w:lang w:val="en-US" w:eastAsia="fr-FR"/>
          </w:rPr>
          <w:t>Natural Hazards</w:t>
        </w:r>
        <w:r w:rsidR="00670CDD">
          <w:rPr>
            <w:rFonts w:ascii="Times New Roman" w:eastAsia="Times New Roman" w:hAnsi="Times New Roman" w:cs="Times New Roman"/>
            <w:color w:val="000000"/>
            <w:sz w:val="24"/>
            <w:szCs w:val="24"/>
            <w:lang w:val="en-US" w:eastAsia="fr-FR"/>
          </w:rPr>
          <w:t>, vol.</w:t>
        </w:r>
        <w:r w:rsidR="00E724B9" w:rsidRPr="00891AC7">
          <w:rPr>
            <w:rFonts w:ascii="Times New Roman" w:eastAsia="Times New Roman" w:hAnsi="Times New Roman" w:cs="Times New Roman"/>
            <w:color w:val="000000"/>
            <w:sz w:val="24"/>
            <w:szCs w:val="24"/>
            <w:lang w:val="en-US" w:eastAsia="fr-FR"/>
          </w:rPr>
          <w:t xml:space="preserve"> 63, n</w:t>
        </w:r>
        <w:r w:rsidR="00670CDD">
          <w:rPr>
            <w:rFonts w:ascii="Times New Roman" w:eastAsia="Times New Roman" w:hAnsi="Times New Roman" w:cs="Times New Roman"/>
            <w:color w:val="000000"/>
            <w:sz w:val="24"/>
            <w:szCs w:val="24"/>
            <w:lang w:val="en-US" w:eastAsia="fr-FR"/>
          </w:rPr>
          <w:t>°</w:t>
        </w:r>
        <w:r w:rsidR="00E724B9" w:rsidRPr="00891AC7">
          <w:rPr>
            <w:rFonts w:ascii="Times New Roman" w:eastAsia="Times New Roman" w:hAnsi="Times New Roman" w:cs="Times New Roman"/>
            <w:color w:val="000000"/>
            <w:sz w:val="24"/>
            <w:szCs w:val="24"/>
            <w:lang w:val="en-US" w:eastAsia="fr-FR"/>
          </w:rPr>
          <w:t xml:space="preserve"> 2</w:t>
        </w:r>
        <w:r w:rsidR="00191967">
          <w:rPr>
            <w:rFonts w:ascii="Times New Roman" w:eastAsia="Times New Roman" w:hAnsi="Times New Roman" w:cs="Times New Roman"/>
            <w:color w:val="000000"/>
            <w:sz w:val="24"/>
            <w:szCs w:val="24"/>
            <w:lang w:val="en-US" w:eastAsia="fr-FR"/>
          </w:rPr>
          <w:t xml:space="preserve">, pp. </w:t>
        </w:r>
        <w:r w:rsidR="00E724B9" w:rsidRPr="00891AC7">
          <w:rPr>
            <w:rFonts w:ascii="Times New Roman" w:eastAsia="Times New Roman" w:hAnsi="Times New Roman" w:cs="Times New Roman"/>
            <w:color w:val="000000"/>
            <w:sz w:val="24"/>
            <w:szCs w:val="24"/>
            <w:lang w:val="en-US" w:eastAsia="fr-FR"/>
          </w:rPr>
          <w:t>325-47. https://doi.org/10.1007/s11069-012-0152-2.</w:t>
        </w:r>
      </w:hyperlink>
    </w:p>
    <w:p w:rsidR="00F512BD" w:rsidRDefault="00F512BD"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Teklenburg</w:t>
      </w:r>
      <w:r w:rsidRPr="00F512BD">
        <w:rPr>
          <w:rFonts w:ascii="Times New Roman" w:eastAsia="Times New Roman" w:hAnsi="Times New Roman" w:cs="Times New Roman"/>
          <w:b/>
          <w:bCs/>
          <w:color w:val="000000"/>
          <w:sz w:val="24"/>
          <w:szCs w:val="24"/>
          <w:lang w:val="en-US" w:eastAsia="fr-FR"/>
        </w:rPr>
        <w:t>, J.A.F., Timmermans, H.J.P.</w:t>
      </w:r>
      <w:r>
        <w:rPr>
          <w:rFonts w:ascii="Times New Roman" w:eastAsia="Times New Roman" w:hAnsi="Times New Roman" w:cs="Times New Roman"/>
          <w:b/>
          <w:bCs/>
          <w:color w:val="000000"/>
          <w:sz w:val="24"/>
          <w:szCs w:val="24"/>
          <w:lang w:val="en-US" w:eastAsia="fr-FR"/>
        </w:rPr>
        <w:t xml:space="preserve"> &amp;</w:t>
      </w:r>
      <w:r w:rsidRPr="00F512BD">
        <w:rPr>
          <w:rFonts w:ascii="Times New Roman" w:eastAsia="Times New Roman" w:hAnsi="Times New Roman" w:cs="Times New Roman"/>
          <w:b/>
          <w:bCs/>
          <w:color w:val="000000"/>
          <w:sz w:val="24"/>
          <w:szCs w:val="24"/>
          <w:lang w:val="en-US" w:eastAsia="fr-FR"/>
        </w:rPr>
        <w:t xml:space="preserve"> van Wagenberg, A.F., (1993):</w:t>
      </w:r>
      <w:r>
        <w:rPr>
          <w:rFonts w:ascii="Times New Roman" w:eastAsia="Times New Roman" w:hAnsi="Times New Roman" w:cs="Times New Roman"/>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Space Syntax: Standardised Integration Measures and Some Simulations</w:t>
      </w:r>
      <w:r>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F512BD">
        <w:rPr>
          <w:rFonts w:ascii="Times New Roman" w:eastAsia="Times New Roman" w:hAnsi="Times New Roman" w:cs="Times New Roman"/>
          <w:i/>
          <w:iCs/>
          <w:color w:val="000000"/>
          <w:sz w:val="24"/>
          <w:szCs w:val="24"/>
          <w:lang w:val="en-US" w:eastAsia="fr-FR"/>
        </w:rPr>
        <w:t>Environ. Plan. B Plan. Des</w:t>
      </w:r>
      <w:r>
        <w:rPr>
          <w:rFonts w:ascii="Times New Roman" w:eastAsia="Times New Roman" w:hAnsi="Times New Roman" w:cs="Times New Roman"/>
          <w:color w:val="000000"/>
          <w:sz w:val="24"/>
          <w:szCs w:val="24"/>
          <w:lang w:val="en-US" w:eastAsia="fr-FR"/>
        </w:rPr>
        <w:t>, vol. 20, p</w:t>
      </w:r>
      <w:r w:rsidR="00191967">
        <w:rPr>
          <w:rFonts w:ascii="Times New Roman" w:eastAsia="Times New Roman" w:hAnsi="Times New Roman" w:cs="Times New Roman"/>
          <w:color w:val="000000"/>
          <w:sz w:val="24"/>
          <w:szCs w:val="24"/>
          <w:lang w:val="en-US" w:eastAsia="fr-FR"/>
        </w:rPr>
        <w:t>p</w:t>
      </w:r>
      <w:r>
        <w:rPr>
          <w:rFonts w:ascii="Times New Roman" w:eastAsia="Times New Roman" w:hAnsi="Times New Roman" w:cs="Times New Roman"/>
          <w:color w:val="000000"/>
          <w:sz w:val="24"/>
          <w:szCs w:val="24"/>
          <w:lang w:val="en-US" w:eastAsia="fr-FR"/>
        </w:rPr>
        <w:t>. 347–357.</w:t>
      </w:r>
    </w:p>
    <w:p w:rsidR="00957EE1" w:rsidRDefault="00957EE1" w:rsidP="00AE6E2D">
      <w:pPr>
        <w:spacing w:line="240" w:lineRule="auto"/>
        <w:jc w:val="both"/>
        <w:rPr>
          <w:rFonts w:ascii="Times New Roman" w:eastAsia="Times New Roman" w:hAnsi="Times New Roman" w:cs="Times New Roman"/>
          <w:color w:val="000000"/>
          <w:sz w:val="24"/>
          <w:szCs w:val="24"/>
          <w:lang w:val="en-US" w:eastAsia="fr-FR"/>
        </w:rPr>
      </w:pPr>
      <w:r w:rsidRPr="00957EE1">
        <w:rPr>
          <w:rFonts w:ascii="Times New Roman" w:eastAsia="Times New Roman" w:hAnsi="Times New Roman" w:cs="Times New Roman"/>
          <w:b/>
          <w:bCs/>
          <w:color w:val="000000"/>
          <w:sz w:val="24"/>
          <w:szCs w:val="24"/>
          <w:lang w:val="en-US" w:eastAsia="fr-FR"/>
        </w:rPr>
        <w:t>Thaibaoui. S., Khalfallah, B. &amp; Layeb, H., (2022):</w:t>
      </w:r>
      <w:r w:rsidRPr="00957EE1">
        <w:rPr>
          <w:rFonts w:ascii="Times New Roman" w:eastAsia="Times New Roman" w:hAnsi="Times New Roman" w:cs="Times New Roman"/>
          <w:color w:val="000000"/>
          <w:sz w:val="24"/>
          <w:szCs w:val="24"/>
          <w:lang w:val="en-US" w:eastAsia="fr-FR"/>
        </w:rPr>
        <w:t xml:space="preserve"> Measuring inter-neighborhood disparities by tribal origin and academic achievement: Case of Bousaâda, Algeria, Glasnik Srpskog geografskog drustva 2022 Volume 102, Issue 2, Pages: 159-172</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Therrien, M.-C., Usher, S., &amp; Matyas</w:t>
      </w:r>
      <w:r w:rsidRPr="00F512BD">
        <w:rPr>
          <w:rFonts w:ascii="Times New Roman" w:eastAsia="Times New Roman" w:hAnsi="Times New Roman" w:cs="Times New Roman"/>
          <w:b/>
          <w:bCs/>
          <w:color w:val="000000"/>
          <w:sz w:val="24"/>
          <w:szCs w:val="24"/>
          <w:lang w:val="en-US" w:eastAsia="fr-FR"/>
        </w:rPr>
        <w:t>, D. (2020)</w:t>
      </w:r>
      <w:r w:rsidR="003A1157" w:rsidRPr="00F512BD">
        <w:rPr>
          <w:rFonts w:ascii="Times New Roman" w:eastAsia="Times New Roman" w:hAnsi="Times New Roman" w:cs="Times New Roman"/>
          <w:b/>
          <w:bCs/>
          <w:color w:val="000000"/>
          <w:sz w:val="24"/>
          <w:szCs w:val="24"/>
          <w:lang w:val="en-US" w:eastAsia="fr-FR"/>
        </w:rPr>
        <w:t>:</w:t>
      </w:r>
      <w:r w:rsidR="003A1157">
        <w:rPr>
          <w:rFonts w:ascii="Times New Roman" w:eastAsia="Times New Roman" w:hAnsi="Times New Roman" w:cs="Times New Roman"/>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Enabling strategies and impeding factors to urban resilience implementation: A scoping review</w:t>
      </w:r>
      <w:r w:rsidR="003A1157">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3A1157">
        <w:rPr>
          <w:rFonts w:ascii="Times New Roman" w:eastAsia="Times New Roman" w:hAnsi="Times New Roman" w:cs="Times New Roman"/>
          <w:i/>
          <w:iCs/>
          <w:color w:val="000000"/>
          <w:sz w:val="24"/>
          <w:szCs w:val="24"/>
          <w:lang w:val="en-US" w:eastAsia="fr-FR"/>
        </w:rPr>
        <w:t>Journal of Contingencies and Crisis Management</w:t>
      </w:r>
      <w:r w:rsidRPr="00891AC7">
        <w:rPr>
          <w:rFonts w:ascii="Times New Roman" w:eastAsia="Times New Roman" w:hAnsi="Times New Roman" w:cs="Times New Roman"/>
          <w:color w:val="000000"/>
          <w:sz w:val="24"/>
          <w:szCs w:val="24"/>
          <w:lang w:val="en-US" w:eastAsia="fr-FR"/>
        </w:rPr>
        <w:t xml:space="preserve">, </w:t>
      </w:r>
      <w:r w:rsidR="00F512BD">
        <w:rPr>
          <w:rFonts w:ascii="Times New Roman" w:eastAsia="Times New Roman" w:hAnsi="Times New Roman" w:cs="Times New Roman"/>
          <w:color w:val="000000"/>
          <w:sz w:val="24"/>
          <w:szCs w:val="24"/>
          <w:lang w:val="en-US" w:eastAsia="fr-FR"/>
        </w:rPr>
        <w:t xml:space="preserve">vol. </w:t>
      </w:r>
      <w:r w:rsidRPr="00891AC7">
        <w:rPr>
          <w:rFonts w:ascii="Times New Roman" w:eastAsia="Times New Roman" w:hAnsi="Times New Roman" w:cs="Times New Roman"/>
          <w:color w:val="000000"/>
          <w:sz w:val="24"/>
          <w:szCs w:val="24"/>
          <w:lang w:val="en-US" w:eastAsia="fr-FR"/>
        </w:rPr>
        <w:t>28</w:t>
      </w:r>
      <w:r w:rsidR="00F512BD">
        <w:rPr>
          <w:rFonts w:ascii="Times New Roman" w:eastAsia="Times New Roman" w:hAnsi="Times New Roman" w:cs="Times New Roman"/>
          <w:color w:val="000000"/>
          <w:sz w:val="24"/>
          <w:szCs w:val="24"/>
          <w:lang w:val="en-US" w:eastAsia="fr-FR"/>
        </w:rPr>
        <w:t xml:space="preserve">, n° </w:t>
      </w:r>
      <w:r w:rsidRPr="00891AC7">
        <w:rPr>
          <w:rFonts w:ascii="Times New Roman" w:eastAsia="Times New Roman" w:hAnsi="Times New Roman" w:cs="Times New Roman"/>
          <w:color w:val="000000"/>
          <w:sz w:val="24"/>
          <w:szCs w:val="24"/>
          <w:lang w:val="en-US" w:eastAsia="fr-FR"/>
        </w:rPr>
        <w:t>1,</w:t>
      </w:r>
      <w:r w:rsidR="00F512BD">
        <w:rPr>
          <w:rFonts w:ascii="Times New Roman" w:eastAsia="Times New Roman" w:hAnsi="Times New Roman" w:cs="Times New Roman"/>
          <w:color w:val="000000"/>
          <w:sz w:val="24"/>
          <w:szCs w:val="24"/>
          <w:lang w:val="en-US" w:eastAsia="fr-FR"/>
        </w:rPr>
        <w:t xml:space="preserve"> p</w:t>
      </w:r>
      <w:r w:rsidR="00191967">
        <w:rPr>
          <w:rFonts w:ascii="Times New Roman" w:eastAsia="Times New Roman" w:hAnsi="Times New Roman" w:cs="Times New Roman"/>
          <w:color w:val="000000"/>
          <w:sz w:val="24"/>
          <w:szCs w:val="24"/>
          <w:lang w:val="en-US" w:eastAsia="fr-FR"/>
        </w:rPr>
        <w:t>p</w:t>
      </w:r>
      <w:r w:rsidR="00F512BD">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83</w:t>
      </w:r>
      <w:r w:rsidR="00F512BD">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102. doi:10.1111/1468-5973.12283.  </w:t>
      </w:r>
    </w:p>
    <w:p w:rsidR="00E724B9" w:rsidRDefault="00E724B9" w:rsidP="005A6326">
      <w:pPr>
        <w:spacing w:line="240" w:lineRule="auto"/>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Tisseron, S.</w:t>
      </w:r>
      <w:r w:rsidR="00AD3DD9" w:rsidRPr="002E648F">
        <w:rPr>
          <w:rFonts w:ascii="Times New Roman" w:eastAsia="Times New Roman" w:hAnsi="Times New Roman" w:cs="Times New Roman"/>
          <w:b/>
          <w:bCs/>
          <w:color w:val="000000"/>
          <w:sz w:val="24"/>
          <w:szCs w:val="24"/>
          <w:lang w:eastAsia="fr-FR"/>
        </w:rPr>
        <w:t>, (2015):</w:t>
      </w:r>
      <w:r w:rsidR="00AD3DD9" w:rsidRPr="00AD3DD9">
        <w:rPr>
          <w:rFonts w:ascii="Times New Roman" w:eastAsia="Times New Roman" w:hAnsi="Times New Roman" w:cs="Times New Roman"/>
          <w:color w:val="000000"/>
          <w:sz w:val="24"/>
          <w:szCs w:val="24"/>
          <w:lang w:eastAsia="fr-FR"/>
        </w:rPr>
        <w:t xml:space="preserve"> "</w:t>
      </w:r>
      <w:r w:rsidRPr="00AD3DD9">
        <w:rPr>
          <w:rFonts w:ascii="Times New Roman" w:eastAsia="Times New Roman" w:hAnsi="Times New Roman" w:cs="Times New Roman"/>
          <w:color w:val="000000"/>
          <w:sz w:val="24"/>
          <w:szCs w:val="24"/>
          <w:lang w:eastAsia="fr-FR"/>
        </w:rPr>
        <w:t>La résilience. Que sais-je?</w:t>
      </w:r>
      <w:r w:rsidR="00AD3DD9" w:rsidRPr="00AD3DD9">
        <w:rPr>
          <w:rFonts w:ascii="Times New Roman" w:eastAsia="Times New Roman" w:hAnsi="Times New Roman" w:cs="Times New Roman"/>
          <w:color w:val="000000"/>
          <w:sz w:val="24"/>
          <w:szCs w:val="24"/>
          <w:lang w:eastAsia="fr-FR"/>
        </w:rPr>
        <w:t>",</w:t>
      </w:r>
      <w:r w:rsidRPr="00AD3DD9">
        <w:rPr>
          <w:rFonts w:ascii="Times New Roman" w:eastAsia="Times New Roman" w:hAnsi="Times New Roman" w:cs="Times New Roman"/>
          <w:i/>
          <w:iCs/>
          <w:color w:val="000000"/>
          <w:sz w:val="24"/>
          <w:szCs w:val="24"/>
          <w:lang w:eastAsia="fr-FR"/>
        </w:rPr>
        <w:t>Presses Universitaires de France-PUF</w:t>
      </w:r>
      <w:r w:rsidRPr="00AD3DD9">
        <w:rPr>
          <w:rFonts w:ascii="Times New Roman" w:eastAsia="Times New Roman" w:hAnsi="Times New Roman" w:cs="Times New Roman"/>
          <w:color w:val="000000"/>
          <w:sz w:val="24"/>
          <w:szCs w:val="24"/>
          <w:lang w:eastAsia="fr-FR"/>
        </w:rPr>
        <w:t>,</w:t>
      </w:r>
      <w:r w:rsidR="005A6326">
        <w:rPr>
          <w:rFonts w:ascii="Times New Roman" w:eastAsia="Times New Roman" w:hAnsi="Times New Roman" w:cs="Times New Roman" w:hint="cs"/>
          <w:color w:val="000000"/>
          <w:sz w:val="24"/>
          <w:szCs w:val="24"/>
          <w:rtl/>
          <w:lang w:eastAsia="fr-FR"/>
        </w:rPr>
        <w:t xml:space="preserve"> </w:t>
      </w:r>
      <w:r w:rsidR="00AD3DD9" w:rsidRPr="00AD3DD9">
        <w:rPr>
          <w:rFonts w:ascii="Times New Roman" w:eastAsia="Times New Roman" w:hAnsi="Times New Roman" w:cs="Times New Roman"/>
          <w:color w:val="000000"/>
          <w:sz w:val="24"/>
          <w:szCs w:val="24"/>
          <w:lang w:eastAsia="fr-FR"/>
        </w:rPr>
        <w:t>128 p</w:t>
      </w:r>
      <w:r w:rsidRPr="00AD3DD9">
        <w:rPr>
          <w:rFonts w:ascii="Times New Roman" w:eastAsia="Times New Roman" w:hAnsi="Times New Roman" w:cs="Times New Roman"/>
          <w:color w:val="000000"/>
          <w:sz w:val="24"/>
          <w:szCs w:val="24"/>
          <w:lang w:eastAsia="fr-FR"/>
        </w:rPr>
        <w:t>.</w:t>
      </w:r>
    </w:p>
    <w:p w:rsidR="00842A33" w:rsidRPr="00842A33" w:rsidRDefault="00842A33" w:rsidP="00AE6E2D">
      <w:pPr>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Toubin, M., Lhomme</w:t>
      </w:r>
      <w:r w:rsidRPr="00842A33">
        <w:rPr>
          <w:rFonts w:ascii="Times New Roman" w:eastAsia="Times New Roman" w:hAnsi="Times New Roman" w:cs="Times New Roman"/>
          <w:b/>
          <w:bCs/>
          <w:color w:val="000000"/>
          <w:sz w:val="24"/>
          <w:szCs w:val="24"/>
          <w:lang w:eastAsia="fr-FR"/>
        </w:rPr>
        <w:t xml:space="preserve"> S., Diab Y., Serre D., &amp; Laganier, R., (2012):</w:t>
      </w:r>
      <w:r>
        <w:rPr>
          <w:rFonts w:ascii="Times New Roman" w:eastAsia="Times New Roman" w:hAnsi="Times New Roman" w:cs="Times New Roman"/>
          <w:color w:val="000000"/>
          <w:sz w:val="24"/>
          <w:szCs w:val="24"/>
          <w:lang w:eastAsia="fr-FR"/>
        </w:rPr>
        <w:t xml:space="preserve"> "</w:t>
      </w:r>
      <w:r w:rsidRPr="00842A33">
        <w:rPr>
          <w:rFonts w:ascii="Times New Roman" w:eastAsia="Times New Roman" w:hAnsi="Times New Roman" w:cs="Times New Roman"/>
          <w:color w:val="000000"/>
          <w:sz w:val="24"/>
          <w:szCs w:val="24"/>
          <w:lang w:eastAsia="fr-FR"/>
        </w:rPr>
        <w:t>La Résilience</w:t>
      </w:r>
      <w:r>
        <w:rPr>
          <w:rFonts w:ascii="Times New Roman" w:eastAsia="Times New Roman" w:hAnsi="Times New Roman" w:cs="Times New Roman"/>
          <w:color w:val="000000"/>
          <w:sz w:val="24"/>
          <w:szCs w:val="24"/>
          <w:lang w:eastAsia="fr-FR"/>
        </w:rPr>
        <w:t xml:space="preserve"> </w:t>
      </w:r>
      <w:r w:rsidRPr="00842A33">
        <w:rPr>
          <w:rFonts w:ascii="Times New Roman" w:eastAsia="Times New Roman" w:hAnsi="Times New Roman" w:cs="Times New Roman"/>
          <w:color w:val="000000"/>
          <w:sz w:val="24"/>
          <w:szCs w:val="24"/>
          <w:lang w:eastAsia="fr-FR"/>
        </w:rPr>
        <w:t>urbaine: un nouveau concept opérationnel vecteur de durabilité urbaine ?</w:t>
      </w:r>
      <w:r>
        <w:rPr>
          <w:rFonts w:ascii="Times New Roman" w:eastAsia="Times New Roman" w:hAnsi="Times New Roman" w:cs="Times New Roman"/>
          <w:color w:val="000000"/>
          <w:sz w:val="24"/>
          <w:szCs w:val="24"/>
          <w:lang w:eastAsia="fr-FR"/>
        </w:rPr>
        <w:t>",</w:t>
      </w:r>
      <w:r w:rsidRPr="00842A33">
        <w:rPr>
          <w:rFonts w:ascii="Times New Roman" w:eastAsia="Times New Roman" w:hAnsi="Times New Roman" w:cs="Times New Roman"/>
          <w:color w:val="000000"/>
          <w:sz w:val="24"/>
          <w:szCs w:val="24"/>
          <w:lang w:eastAsia="fr-FR"/>
        </w:rPr>
        <w:t xml:space="preserve"> </w:t>
      </w:r>
      <w:r w:rsidRPr="00842A33">
        <w:rPr>
          <w:rFonts w:ascii="Times New Roman" w:eastAsia="Times New Roman" w:hAnsi="Times New Roman" w:cs="Times New Roman"/>
          <w:i/>
          <w:iCs/>
          <w:color w:val="000000"/>
          <w:sz w:val="24"/>
          <w:szCs w:val="24"/>
          <w:lang w:eastAsia="fr-FR"/>
        </w:rPr>
        <w:t>Développement durable et territoires</w:t>
      </w:r>
      <w:r w:rsidRPr="00842A33">
        <w:rPr>
          <w:rFonts w:ascii="Times New Roman" w:eastAsia="Times New Roman" w:hAnsi="Times New Roman" w:cs="Times New Roman"/>
          <w:color w:val="000000"/>
          <w:sz w:val="24"/>
          <w:szCs w:val="24"/>
          <w:lang w:eastAsia="fr-FR"/>
        </w:rPr>
        <w:t xml:space="preserve">, </w:t>
      </w:r>
      <w:r>
        <w:rPr>
          <w:rFonts w:ascii="Times New Roman" w:eastAsia="Times New Roman" w:hAnsi="Times New Roman" w:cs="Times New Roman"/>
          <w:color w:val="000000"/>
          <w:sz w:val="24"/>
          <w:szCs w:val="24"/>
          <w:lang w:eastAsia="fr-FR"/>
        </w:rPr>
        <w:t>v</w:t>
      </w:r>
      <w:r w:rsidRPr="00842A33">
        <w:rPr>
          <w:rFonts w:ascii="Times New Roman" w:eastAsia="Times New Roman" w:hAnsi="Times New Roman" w:cs="Times New Roman"/>
          <w:color w:val="000000"/>
          <w:sz w:val="24"/>
          <w:szCs w:val="24"/>
          <w:lang w:eastAsia="fr-FR"/>
        </w:rPr>
        <w:t>ol. 3, n° 1.</w:t>
      </w:r>
      <w:r>
        <w:rPr>
          <w:rFonts w:ascii="Times New Roman" w:eastAsia="Times New Roman" w:hAnsi="Times New Roman" w:cs="Times New Roman"/>
          <w:color w:val="000000"/>
          <w:sz w:val="24"/>
          <w:szCs w:val="24"/>
          <w:lang w:eastAsia="fr-FR"/>
        </w:rPr>
        <w:t xml:space="preserve"> </w:t>
      </w:r>
      <w:r w:rsidRPr="00842A33">
        <w:rPr>
          <w:rFonts w:ascii="Times New Roman" w:eastAsia="Times New Roman" w:hAnsi="Times New Roman" w:cs="Times New Roman"/>
          <w:color w:val="000000"/>
          <w:sz w:val="24"/>
          <w:szCs w:val="24"/>
          <w:lang w:eastAsia="fr-FR"/>
        </w:rPr>
        <w:t>https://doi.org/10.4000/developpementdurable.9208.</w:t>
      </w:r>
    </w:p>
    <w:p w:rsidR="00E724B9" w:rsidRPr="004130C5" w:rsidRDefault="00E724B9" w:rsidP="00AE6E2D">
      <w:pPr>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lastRenderedPageBreak/>
        <w:t>Toubin</w:t>
      </w:r>
      <w:r w:rsidRPr="004130C5">
        <w:rPr>
          <w:rFonts w:ascii="Times New Roman" w:eastAsia="Times New Roman" w:hAnsi="Times New Roman" w:cs="Times New Roman"/>
          <w:b/>
          <w:bCs/>
          <w:color w:val="000000"/>
          <w:sz w:val="24"/>
          <w:szCs w:val="24"/>
          <w:lang w:eastAsia="fr-FR"/>
        </w:rPr>
        <w:t>, M.</w:t>
      </w:r>
      <w:r w:rsidR="004130C5" w:rsidRPr="004130C5">
        <w:rPr>
          <w:rFonts w:ascii="Times New Roman" w:eastAsia="Times New Roman" w:hAnsi="Times New Roman" w:cs="Times New Roman"/>
          <w:b/>
          <w:bCs/>
          <w:color w:val="000000"/>
          <w:sz w:val="24"/>
          <w:szCs w:val="24"/>
          <w:lang w:eastAsia="fr-FR"/>
        </w:rPr>
        <w:t>, (2014) :</w:t>
      </w:r>
      <w:r w:rsidR="004130C5" w:rsidRPr="004130C5">
        <w:rPr>
          <w:rFonts w:ascii="Times New Roman" w:eastAsia="Times New Roman" w:hAnsi="Times New Roman" w:cs="Times New Roman"/>
          <w:color w:val="000000"/>
          <w:sz w:val="24"/>
          <w:szCs w:val="24"/>
          <w:lang w:eastAsia="fr-FR"/>
        </w:rPr>
        <w:t xml:space="preserve"> "Améliorer</w:t>
      </w:r>
      <w:r w:rsidRPr="004130C5">
        <w:rPr>
          <w:rFonts w:ascii="Times New Roman" w:eastAsia="Times New Roman" w:hAnsi="Times New Roman" w:cs="Times New Roman"/>
          <w:color w:val="000000"/>
          <w:sz w:val="24"/>
          <w:szCs w:val="24"/>
          <w:lang w:eastAsia="fr-FR"/>
        </w:rPr>
        <w:t xml:space="preserve"> la </w:t>
      </w:r>
      <w:r w:rsidR="004130C5" w:rsidRPr="004130C5">
        <w:rPr>
          <w:rFonts w:ascii="Times New Roman" w:eastAsia="Times New Roman" w:hAnsi="Times New Roman" w:cs="Times New Roman"/>
          <w:color w:val="000000"/>
          <w:sz w:val="24"/>
          <w:szCs w:val="24"/>
          <w:lang w:eastAsia="fr-FR"/>
        </w:rPr>
        <w:t>résilience</w:t>
      </w:r>
      <w:r w:rsidRPr="004130C5">
        <w:rPr>
          <w:rFonts w:ascii="Times New Roman" w:eastAsia="Times New Roman" w:hAnsi="Times New Roman" w:cs="Times New Roman"/>
          <w:color w:val="000000"/>
          <w:sz w:val="24"/>
          <w:szCs w:val="24"/>
          <w:lang w:eastAsia="fr-FR"/>
        </w:rPr>
        <w:t xml:space="preserve"> urbaine par un diagnostic collaboratif: l’exemple des services urbain</w:t>
      </w:r>
      <w:r w:rsidR="004130C5" w:rsidRPr="004130C5">
        <w:rPr>
          <w:rFonts w:ascii="Times New Roman" w:eastAsia="Times New Roman" w:hAnsi="Times New Roman" w:cs="Times New Roman"/>
          <w:color w:val="000000"/>
          <w:sz w:val="24"/>
          <w:szCs w:val="24"/>
          <w:lang w:eastAsia="fr-FR"/>
        </w:rPr>
        <w:t>s parisiens face a l’inondation",</w:t>
      </w:r>
      <w:r w:rsidRPr="004130C5">
        <w:rPr>
          <w:rFonts w:ascii="Times New Roman" w:eastAsia="Times New Roman" w:hAnsi="Times New Roman" w:cs="Times New Roman"/>
          <w:color w:val="000000"/>
          <w:sz w:val="24"/>
          <w:szCs w:val="24"/>
          <w:lang w:eastAsia="fr-FR"/>
        </w:rPr>
        <w:t xml:space="preserve"> </w:t>
      </w:r>
      <w:r w:rsidR="004130C5" w:rsidRPr="004130C5">
        <w:rPr>
          <w:rFonts w:ascii="Times New Roman" w:eastAsia="Times New Roman" w:hAnsi="Times New Roman" w:cs="Times New Roman"/>
          <w:color w:val="000000"/>
          <w:sz w:val="24"/>
          <w:szCs w:val="24"/>
          <w:lang w:eastAsia="fr-FR"/>
        </w:rPr>
        <w:t>Thèse de doctorat, Paris-Diderot- paris, 408p.</w:t>
      </w:r>
    </w:p>
    <w:p w:rsidR="00E724B9" w:rsidRDefault="00E724B9" w:rsidP="00AE6E2D">
      <w:pPr>
        <w:spacing w:line="240" w:lineRule="auto"/>
        <w:jc w:val="both"/>
        <w:rPr>
          <w:rFonts w:ascii="Times New Roman" w:eastAsia="Times New Roman" w:hAnsi="Times New Roman" w:cs="Times New Roman"/>
          <w:color w:val="000000"/>
          <w:sz w:val="24"/>
          <w:szCs w:val="24"/>
          <w:rtl/>
          <w:lang w:val="en-US" w:eastAsia="fr-FR"/>
        </w:rPr>
      </w:pPr>
      <w:r w:rsidRPr="00F77863">
        <w:rPr>
          <w:rFonts w:ascii="Times New Roman" w:eastAsia="Times New Roman" w:hAnsi="Times New Roman" w:cs="Times New Roman"/>
          <w:b/>
          <w:bCs/>
          <w:color w:val="000000"/>
          <w:sz w:val="24"/>
          <w:szCs w:val="24"/>
          <w:lang w:val="en-US" w:eastAsia="fr-FR"/>
        </w:rPr>
        <w:t>Tyler, S</w:t>
      </w:r>
      <w:r w:rsidR="00F512BD" w:rsidRPr="00F77863">
        <w:rPr>
          <w:rFonts w:ascii="Times New Roman" w:eastAsia="Times New Roman" w:hAnsi="Times New Roman" w:cs="Times New Roman"/>
          <w:b/>
          <w:bCs/>
          <w:color w:val="000000"/>
          <w:sz w:val="24"/>
          <w:szCs w:val="24"/>
          <w:lang w:val="en-US" w:eastAsia="fr-FR"/>
        </w:rPr>
        <w:t>.</w:t>
      </w:r>
      <w:r w:rsidRPr="00F77863">
        <w:rPr>
          <w:rFonts w:ascii="Times New Roman" w:eastAsia="Times New Roman" w:hAnsi="Times New Roman" w:cs="Times New Roman"/>
          <w:b/>
          <w:bCs/>
          <w:color w:val="000000"/>
          <w:sz w:val="24"/>
          <w:szCs w:val="24"/>
          <w:lang w:val="en-US" w:eastAsia="fr-FR"/>
        </w:rPr>
        <w:t xml:space="preserve"> &amp; Moench, M., (2012</w:t>
      </w:r>
      <w:r w:rsidRPr="00F512BD">
        <w:rPr>
          <w:rFonts w:ascii="Times New Roman" w:eastAsia="Times New Roman" w:hAnsi="Times New Roman" w:cs="Times New Roman"/>
          <w:b/>
          <w:bCs/>
          <w:color w:val="000000"/>
          <w:sz w:val="24"/>
          <w:szCs w:val="24"/>
          <w:lang w:val="en-US" w:eastAsia="fr-FR"/>
        </w:rPr>
        <w:t>)</w:t>
      </w:r>
      <w:r w:rsidR="00F512BD" w:rsidRPr="00F512BD">
        <w:rPr>
          <w:rFonts w:ascii="Times New Roman" w:eastAsia="Times New Roman" w:hAnsi="Times New Roman" w:cs="Times New Roman"/>
          <w:b/>
          <w:bCs/>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00F512BD">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A framework for urban climate resilience</w:t>
      </w:r>
      <w:r w:rsidR="00F512BD">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F512BD">
        <w:rPr>
          <w:rFonts w:ascii="Times New Roman" w:eastAsia="Times New Roman" w:hAnsi="Times New Roman" w:cs="Times New Roman"/>
          <w:i/>
          <w:iCs/>
          <w:color w:val="000000"/>
          <w:sz w:val="24"/>
          <w:szCs w:val="24"/>
          <w:lang w:val="en-US" w:eastAsia="fr-FR"/>
        </w:rPr>
        <w:t>Climate Dev</w:t>
      </w:r>
      <w:r w:rsidRPr="00891AC7">
        <w:rPr>
          <w:rFonts w:ascii="Times New Roman" w:eastAsia="Times New Roman" w:hAnsi="Times New Roman" w:cs="Times New Roman"/>
          <w:color w:val="000000"/>
          <w:sz w:val="24"/>
          <w:szCs w:val="24"/>
          <w:lang w:val="en-US" w:eastAsia="fr-FR"/>
        </w:rPr>
        <w:t xml:space="preserve"> </w:t>
      </w:r>
      <w:r w:rsidR="00F512BD">
        <w:rPr>
          <w:rFonts w:ascii="Times New Roman" w:eastAsia="Times New Roman" w:hAnsi="Times New Roman" w:cs="Times New Roman"/>
          <w:color w:val="000000"/>
          <w:sz w:val="24"/>
          <w:szCs w:val="24"/>
          <w:lang w:val="en-US" w:eastAsia="fr-FR"/>
        </w:rPr>
        <w:t xml:space="preserve">vol. </w:t>
      </w:r>
      <w:r w:rsidRPr="00891AC7">
        <w:rPr>
          <w:rFonts w:ascii="Times New Roman" w:eastAsia="Times New Roman" w:hAnsi="Times New Roman" w:cs="Times New Roman"/>
          <w:color w:val="000000"/>
          <w:sz w:val="24"/>
          <w:szCs w:val="24"/>
          <w:lang w:val="en-US" w:eastAsia="fr-FR"/>
        </w:rPr>
        <w:t>4</w:t>
      </w:r>
      <w:r w:rsidR="00F512BD">
        <w:rPr>
          <w:rFonts w:ascii="Times New Roman" w:eastAsia="Times New Roman" w:hAnsi="Times New Roman" w:cs="Times New Roman"/>
          <w:color w:val="000000"/>
          <w:sz w:val="24"/>
          <w:szCs w:val="24"/>
          <w:lang w:val="en-US" w:eastAsia="fr-FR"/>
        </w:rPr>
        <w:t xml:space="preserve">, n° </w:t>
      </w:r>
      <w:r w:rsidRPr="00891AC7">
        <w:rPr>
          <w:rFonts w:ascii="Times New Roman" w:eastAsia="Times New Roman" w:hAnsi="Times New Roman" w:cs="Times New Roman"/>
          <w:color w:val="000000"/>
          <w:sz w:val="24"/>
          <w:szCs w:val="24"/>
          <w:lang w:val="en-US" w:eastAsia="fr-FR"/>
        </w:rPr>
        <w:t>4</w:t>
      </w:r>
      <w:r w:rsidR="00F512BD">
        <w:rPr>
          <w:rFonts w:ascii="Times New Roman" w:eastAsia="Times New Roman" w:hAnsi="Times New Roman" w:cs="Times New Roman"/>
          <w:color w:val="000000"/>
          <w:sz w:val="24"/>
          <w:szCs w:val="24"/>
          <w:lang w:val="en-US" w:eastAsia="fr-FR"/>
        </w:rPr>
        <w:t>, p</w:t>
      </w:r>
      <w:r w:rsidR="00191967">
        <w:rPr>
          <w:rFonts w:ascii="Times New Roman" w:eastAsia="Times New Roman" w:hAnsi="Times New Roman" w:cs="Times New Roman"/>
          <w:color w:val="000000"/>
          <w:sz w:val="24"/>
          <w:szCs w:val="24"/>
          <w:lang w:val="en-US" w:eastAsia="fr-FR"/>
        </w:rPr>
        <w:t>p</w:t>
      </w:r>
      <w:r w:rsidR="00F512BD">
        <w:rPr>
          <w:rFonts w:ascii="Times New Roman" w:eastAsia="Times New Roman" w:hAnsi="Times New Roman" w:cs="Times New Roman"/>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311–326. https:// doi. org/ 10.1080/ 17565 529. 2012. 745389.</w:t>
      </w:r>
    </w:p>
    <w:p w:rsidR="00D97D85" w:rsidRPr="00F46BC5" w:rsidRDefault="00D97D85" w:rsidP="00AE6E2D">
      <w:pPr>
        <w:spacing w:line="240" w:lineRule="auto"/>
        <w:jc w:val="both"/>
        <w:rPr>
          <w:rFonts w:asciiTheme="majorBidi" w:hAnsiTheme="majorBidi" w:cstheme="majorBidi"/>
          <w:i/>
          <w:iCs/>
          <w:sz w:val="24"/>
          <w:szCs w:val="24"/>
          <w:rtl/>
          <w:lang w:val="en-US"/>
        </w:rPr>
      </w:pPr>
      <w:r w:rsidRPr="00D97D85">
        <w:rPr>
          <w:rFonts w:asciiTheme="majorBidi" w:hAnsiTheme="majorBidi" w:cstheme="majorBidi"/>
          <w:b/>
          <w:bCs/>
          <w:sz w:val="24"/>
          <w:szCs w:val="24"/>
          <w:lang w:val="en-US"/>
        </w:rPr>
        <w:t>Tyler, S., Nugraha, E., Nguyen, H. K., Nguyen, N. V., Sari, A. D., Thinpanga, P., Tran, T. T. &amp; Verma, S. S., (2016):</w:t>
      </w:r>
      <w:r w:rsidRPr="00D97D85">
        <w:rPr>
          <w:rFonts w:asciiTheme="majorBidi" w:hAnsiTheme="majorBidi" w:cstheme="majorBidi"/>
          <w:sz w:val="24"/>
          <w:szCs w:val="24"/>
          <w:lang w:val="en-US"/>
        </w:rPr>
        <w:t xml:space="preserve"> “Indicators of urban climate resilience: A contextual approach”, </w:t>
      </w:r>
      <w:r w:rsidRPr="00D97D85">
        <w:rPr>
          <w:rFonts w:asciiTheme="majorBidi" w:hAnsiTheme="majorBidi" w:cstheme="majorBidi"/>
          <w:i/>
          <w:iCs/>
          <w:sz w:val="24"/>
          <w:szCs w:val="24"/>
          <w:lang w:val="en-US"/>
        </w:rPr>
        <w:t>Environmental Science &amp; Policy</w:t>
      </w:r>
      <w:r w:rsidRPr="00D97D85">
        <w:rPr>
          <w:rFonts w:asciiTheme="majorBidi" w:hAnsiTheme="majorBidi" w:cstheme="majorBidi"/>
          <w:sz w:val="24"/>
          <w:szCs w:val="24"/>
          <w:lang w:val="en-US"/>
        </w:rPr>
        <w:t>, vol. 66</w:t>
      </w:r>
      <w:r w:rsidRPr="00D97D85">
        <w:rPr>
          <w:rFonts w:asciiTheme="majorBidi" w:hAnsiTheme="majorBidi" w:cstheme="majorBidi"/>
          <w:b/>
          <w:bCs/>
          <w:sz w:val="24"/>
          <w:szCs w:val="24"/>
          <w:lang w:val="en-US"/>
        </w:rPr>
        <w:t xml:space="preserve">, </w:t>
      </w:r>
      <w:r w:rsidRPr="00D97D85">
        <w:rPr>
          <w:rFonts w:asciiTheme="majorBidi" w:hAnsiTheme="majorBidi" w:cstheme="majorBidi"/>
          <w:sz w:val="24"/>
          <w:szCs w:val="24"/>
          <w:lang w:val="en-US"/>
        </w:rPr>
        <w:t>pp</w:t>
      </w:r>
      <w:r w:rsidRPr="00D97D85">
        <w:rPr>
          <w:rFonts w:asciiTheme="majorBidi" w:hAnsiTheme="majorBidi" w:cstheme="majorBidi"/>
          <w:b/>
          <w:bCs/>
          <w:sz w:val="24"/>
          <w:szCs w:val="24"/>
          <w:lang w:val="en-US"/>
        </w:rPr>
        <w:t xml:space="preserve">. </w:t>
      </w:r>
      <w:r w:rsidRPr="00D97D85">
        <w:rPr>
          <w:rFonts w:asciiTheme="majorBidi" w:hAnsiTheme="majorBidi" w:cstheme="majorBidi"/>
          <w:sz w:val="24"/>
          <w:szCs w:val="24"/>
          <w:lang w:val="en-US"/>
        </w:rPr>
        <w:t>420-426.</w:t>
      </w:r>
    </w:p>
    <w:p w:rsidR="00E724B9" w:rsidRPr="007D3304"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Uday</w:t>
      </w:r>
      <w:r w:rsidRPr="00DD5668">
        <w:rPr>
          <w:rFonts w:ascii="Times New Roman" w:eastAsia="Times New Roman" w:hAnsi="Times New Roman" w:cs="Times New Roman"/>
          <w:b/>
          <w:bCs/>
          <w:color w:val="000000"/>
          <w:sz w:val="24"/>
          <w:szCs w:val="24"/>
          <w:lang w:val="en-US" w:eastAsia="fr-FR"/>
        </w:rPr>
        <w:t>, P., &amp; Marais, K., (2015)</w:t>
      </w:r>
      <w:r w:rsidR="00DD5668" w:rsidRPr="00DD5668">
        <w:rPr>
          <w:rFonts w:ascii="Times New Roman" w:eastAsia="Times New Roman" w:hAnsi="Times New Roman" w:cs="Times New Roman"/>
          <w:b/>
          <w:bCs/>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00DD5668">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Designing Resilient Systems of Systems: A Survey of Metrics, Methods, and Challenges</w:t>
      </w:r>
      <w:r w:rsidR="00DD5668">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DD5668">
        <w:rPr>
          <w:rFonts w:ascii="Times New Roman" w:eastAsia="Times New Roman" w:hAnsi="Times New Roman" w:cs="Times New Roman"/>
          <w:i/>
          <w:iCs/>
          <w:color w:val="000000"/>
          <w:sz w:val="24"/>
          <w:szCs w:val="24"/>
          <w:lang w:val="en-US" w:eastAsia="fr-FR"/>
        </w:rPr>
        <w:t>Systems Engineering</w:t>
      </w:r>
      <w:r w:rsidRPr="00891AC7">
        <w:rPr>
          <w:rFonts w:ascii="Times New Roman" w:eastAsia="Times New Roman" w:hAnsi="Times New Roman" w:cs="Times New Roman"/>
          <w:color w:val="000000"/>
          <w:sz w:val="24"/>
          <w:szCs w:val="24"/>
          <w:lang w:val="en-US" w:eastAsia="fr-FR"/>
        </w:rPr>
        <w:t xml:space="preserve">. </w:t>
      </w:r>
      <w:r w:rsidR="00DD5668">
        <w:rPr>
          <w:rFonts w:ascii="Times New Roman" w:eastAsia="Times New Roman" w:hAnsi="Times New Roman" w:cs="Times New Roman"/>
          <w:color w:val="000000"/>
          <w:sz w:val="24"/>
          <w:szCs w:val="24"/>
          <w:lang w:val="en-US" w:eastAsia="fr-FR"/>
        </w:rPr>
        <w:t xml:space="preserve">Vol. </w:t>
      </w:r>
      <w:r w:rsidRPr="00891AC7">
        <w:rPr>
          <w:rFonts w:ascii="Times New Roman" w:eastAsia="Times New Roman" w:hAnsi="Times New Roman" w:cs="Times New Roman"/>
          <w:color w:val="000000"/>
          <w:sz w:val="24"/>
          <w:szCs w:val="24"/>
          <w:lang w:val="en-US" w:eastAsia="fr-FR"/>
        </w:rPr>
        <w:t>18</w:t>
      </w:r>
      <w:r w:rsidR="00DD5668">
        <w:rPr>
          <w:rFonts w:ascii="Times New Roman" w:eastAsia="Times New Roman" w:hAnsi="Times New Roman" w:cs="Times New Roman"/>
          <w:color w:val="000000"/>
          <w:sz w:val="24"/>
          <w:szCs w:val="24"/>
          <w:lang w:val="en-US" w:eastAsia="fr-FR"/>
        </w:rPr>
        <w:t xml:space="preserve">, n° </w:t>
      </w:r>
      <w:r w:rsidRPr="00891AC7">
        <w:rPr>
          <w:rFonts w:ascii="Times New Roman" w:eastAsia="Times New Roman" w:hAnsi="Times New Roman" w:cs="Times New Roman"/>
          <w:color w:val="000000"/>
          <w:sz w:val="24"/>
          <w:szCs w:val="24"/>
          <w:lang w:val="en-US" w:eastAsia="fr-FR"/>
        </w:rPr>
        <w:t>5,</w:t>
      </w:r>
      <w:r w:rsidR="00DD5668">
        <w:rPr>
          <w:rFonts w:ascii="Times New Roman" w:eastAsia="Times New Roman" w:hAnsi="Times New Roman" w:cs="Times New Roman"/>
          <w:color w:val="000000"/>
          <w:sz w:val="24"/>
          <w:szCs w:val="24"/>
          <w:lang w:val="en-US" w:eastAsia="fr-FR"/>
        </w:rPr>
        <w:t xml:space="preserve"> p</w:t>
      </w:r>
      <w:r w:rsidR="00191967">
        <w:rPr>
          <w:rFonts w:ascii="Times New Roman" w:eastAsia="Times New Roman" w:hAnsi="Times New Roman" w:cs="Times New Roman"/>
          <w:color w:val="000000"/>
          <w:sz w:val="24"/>
          <w:szCs w:val="24"/>
          <w:lang w:val="en-US" w:eastAsia="fr-FR"/>
        </w:rPr>
        <w:t>p</w:t>
      </w:r>
      <w:r w:rsidR="00DD5668">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491-510.</w:t>
      </w:r>
    </w:p>
    <w:p w:rsidR="00E724B9" w:rsidRPr="007D3304"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405" w:history="1">
        <w:r w:rsidR="00E724B9" w:rsidRPr="00F77863">
          <w:rPr>
            <w:rFonts w:ascii="Times New Roman" w:eastAsia="Times New Roman" w:hAnsi="Times New Roman" w:cs="Times New Roman"/>
            <w:b/>
            <w:bCs/>
            <w:color w:val="000000"/>
            <w:sz w:val="24"/>
            <w:szCs w:val="24"/>
            <w:lang w:val="en-US" w:eastAsia="fr-FR"/>
          </w:rPr>
          <w:t>UN</w:t>
        </w:r>
        <w:r w:rsidR="00D7495E" w:rsidRPr="007C5CA2">
          <w:rPr>
            <w:rFonts w:ascii="Times New Roman" w:eastAsia="Times New Roman" w:hAnsi="Times New Roman" w:cs="Times New Roman" w:hint="cs"/>
            <w:b/>
            <w:bCs/>
            <w:color w:val="000000"/>
            <w:sz w:val="24"/>
            <w:szCs w:val="24"/>
            <w:shd w:val="clear" w:color="auto" w:fill="92CDDC" w:themeFill="accent5" w:themeFillTint="99"/>
            <w:rtl/>
            <w:lang w:val="en-US" w:eastAsia="fr-FR"/>
          </w:rPr>
          <w:t>-</w:t>
        </w:r>
        <w:r w:rsidR="00E724B9" w:rsidRPr="00F77863">
          <w:rPr>
            <w:rFonts w:ascii="Times New Roman" w:eastAsia="Times New Roman" w:hAnsi="Times New Roman" w:cs="Times New Roman"/>
            <w:b/>
            <w:bCs/>
            <w:color w:val="000000"/>
            <w:sz w:val="24"/>
            <w:szCs w:val="24"/>
            <w:lang w:val="en-US" w:eastAsia="fr-FR"/>
          </w:rPr>
          <w:t xml:space="preserve">Habitat, </w:t>
        </w:r>
        <w:r w:rsidR="00E724B9" w:rsidRPr="00891AC7">
          <w:rPr>
            <w:rFonts w:ascii="Times New Roman" w:eastAsia="Times New Roman" w:hAnsi="Times New Roman" w:cs="Times New Roman"/>
            <w:b/>
            <w:bCs/>
            <w:color w:val="000000"/>
            <w:sz w:val="24"/>
            <w:szCs w:val="24"/>
            <w:lang w:val="en-US" w:eastAsia="fr-FR"/>
          </w:rPr>
          <w:t>(2016a):</w:t>
        </w:r>
        <w:r w:rsidR="00E724B9" w:rsidRPr="00891AC7">
          <w:rPr>
            <w:rFonts w:ascii="Times New Roman" w:eastAsia="Times New Roman" w:hAnsi="Times New Roman" w:cs="Times New Roman"/>
            <w:color w:val="000000"/>
            <w:sz w:val="24"/>
            <w:szCs w:val="24"/>
            <w:lang w:val="en-US" w:eastAsia="fr-FR"/>
          </w:rPr>
          <w:t xml:space="preserve"> "Adopted Draft of the New Urban Agenda", 20 October, Quito, Ecuador, Available at: https://habitat3.org/the-new-urban-agenda. (acc. 11 November 2021).</w:t>
        </w:r>
      </w:hyperlink>
    </w:p>
    <w:p w:rsidR="00E724B9" w:rsidRPr="007D3304"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UN</w:t>
      </w:r>
      <w:r w:rsidRPr="007C5CA2">
        <w:rPr>
          <w:rFonts w:ascii="Times New Roman" w:eastAsia="Times New Roman" w:hAnsi="Times New Roman" w:cs="Times New Roman"/>
          <w:b/>
          <w:bCs/>
          <w:color w:val="000000"/>
          <w:sz w:val="24"/>
          <w:szCs w:val="24"/>
          <w:lang w:val="en-US" w:eastAsia="fr-FR"/>
        </w:rPr>
        <w:t>, (2014):</w:t>
      </w:r>
      <w:r w:rsidRPr="007C5CA2">
        <w:rPr>
          <w:rFonts w:ascii="Times New Roman" w:eastAsia="Times New Roman" w:hAnsi="Times New Roman" w:cs="Times New Roman"/>
          <w:color w:val="000000"/>
          <w:sz w:val="24"/>
          <w:szCs w:val="24"/>
          <w:lang w:val="en-US" w:eastAsia="fr-FR"/>
        </w:rPr>
        <w:t xml:space="preserve"> "World Urbanization Prospects", The 2014 Revision, Highlights. New York, USA: Department of Economic and Social Affairs, United Nations.</w:t>
      </w:r>
    </w:p>
    <w:p w:rsidR="00E724B9" w:rsidRDefault="00B62F86" w:rsidP="00AE6E2D">
      <w:pPr>
        <w:spacing w:line="240" w:lineRule="auto"/>
        <w:jc w:val="both"/>
        <w:rPr>
          <w:rFonts w:ascii="Times New Roman" w:eastAsia="Times New Roman" w:hAnsi="Times New Roman" w:cs="Times New Roman"/>
          <w:sz w:val="24"/>
          <w:szCs w:val="24"/>
          <w:lang w:val="en-US" w:eastAsia="fr-FR"/>
        </w:rPr>
      </w:pPr>
      <w:hyperlink r:id="rId406" w:history="1">
        <w:r w:rsidR="00E724B9" w:rsidRPr="00F77863">
          <w:rPr>
            <w:rFonts w:ascii="Times New Roman" w:eastAsia="Times New Roman" w:hAnsi="Times New Roman" w:cs="Times New Roman"/>
            <w:b/>
            <w:bCs/>
            <w:color w:val="000000"/>
            <w:sz w:val="24"/>
            <w:szCs w:val="24"/>
            <w:lang w:val="en-US" w:eastAsia="fr-FR"/>
          </w:rPr>
          <w:t>UN-Habitat</w:t>
        </w:r>
        <w:r w:rsidR="00E724B9" w:rsidRPr="00891AC7">
          <w:rPr>
            <w:rFonts w:ascii="Times New Roman" w:eastAsia="Times New Roman" w:hAnsi="Times New Roman" w:cs="Times New Roman"/>
            <w:b/>
            <w:bCs/>
            <w:sz w:val="24"/>
            <w:szCs w:val="24"/>
            <w:lang w:val="en-US" w:eastAsia="fr-FR"/>
          </w:rPr>
          <w:t>, (2016b):</w:t>
        </w:r>
        <w:r w:rsidR="00E724B9" w:rsidRPr="00891AC7">
          <w:rPr>
            <w:rFonts w:ascii="Times New Roman" w:eastAsia="Times New Roman" w:hAnsi="Times New Roman" w:cs="Times New Roman"/>
            <w:sz w:val="24"/>
            <w:szCs w:val="24"/>
            <w:lang w:val="en-US" w:eastAsia="fr-FR"/>
          </w:rPr>
          <w:t xml:space="preserve"> World cities report "Urbanization and development", Emerging futures, World cities report, Nairobi: </w:t>
        </w:r>
        <w:r w:rsidR="00E724B9" w:rsidRPr="00F77863">
          <w:rPr>
            <w:rFonts w:ascii="Times New Roman" w:eastAsia="Times New Roman" w:hAnsi="Times New Roman" w:cs="Times New Roman"/>
            <w:sz w:val="24"/>
            <w:szCs w:val="24"/>
            <w:lang w:val="en-US" w:eastAsia="fr-FR"/>
          </w:rPr>
          <w:t>UN</w:t>
        </w:r>
        <w:r w:rsidR="00D7495E" w:rsidRPr="00F77863">
          <w:rPr>
            <w:rFonts w:ascii="Times New Roman" w:eastAsia="Times New Roman" w:hAnsi="Times New Roman" w:cs="Times New Roman"/>
            <w:sz w:val="24"/>
            <w:szCs w:val="24"/>
            <w:lang w:val="en-US" w:eastAsia="fr-FR"/>
          </w:rPr>
          <w:t>-</w:t>
        </w:r>
        <w:r w:rsidR="00E724B9" w:rsidRPr="00F77863">
          <w:rPr>
            <w:rFonts w:ascii="Times New Roman" w:eastAsia="Times New Roman" w:hAnsi="Times New Roman" w:cs="Times New Roman"/>
            <w:sz w:val="24"/>
            <w:szCs w:val="24"/>
            <w:lang w:val="en-US" w:eastAsia="fr-FR"/>
          </w:rPr>
          <w:t>Habitat</w:t>
        </w:r>
        <w:r w:rsidR="00E724B9" w:rsidRPr="00891AC7">
          <w:rPr>
            <w:rFonts w:ascii="Times New Roman" w:eastAsia="Times New Roman" w:hAnsi="Times New Roman" w:cs="Times New Roman"/>
            <w:sz w:val="24"/>
            <w:szCs w:val="24"/>
            <w:lang w:val="en-US" w:eastAsia="fr-FR"/>
          </w:rPr>
          <w:t>. Available at: http://wcr.unhabitat.org/ (accessed 19 Dec 2020).</w:t>
        </w:r>
      </w:hyperlink>
    </w:p>
    <w:p w:rsidR="00AB0503" w:rsidRDefault="00AB0503" w:rsidP="00AE6E2D">
      <w:pPr>
        <w:spacing w:line="240" w:lineRule="auto"/>
        <w:jc w:val="both"/>
        <w:rPr>
          <w:rFonts w:ascii="Times New Roman" w:eastAsia="Times New Roman" w:hAnsi="Times New Roman" w:cs="Times New Roman"/>
          <w:sz w:val="24"/>
          <w:szCs w:val="24"/>
          <w:lang w:val="en-US" w:eastAsia="fr-FR"/>
        </w:rPr>
      </w:pPr>
      <w:r w:rsidRPr="00F77863">
        <w:rPr>
          <w:rFonts w:ascii="Times New Roman" w:eastAsia="Times New Roman" w:hAnsi="Times New Roman" w:cs="Times New Roman"/>
          <w:b/>
          <w:bCs/>
          <w:color w:val="000000"/>
          <w:sz w:val="24"/>
          <w:szCs w:val="24"/>
          <w:lang w:val="en-US" w:eastAsia="fr-FR"/>
        </w:rPr>
        <w:t>UNISDR</w:t>
      </w:r>
      <w:r w:rsidRPr="00160167">
        <w:rPr>
          <w:rFonts w:ascii="Times New Roman" w:eastAsia="Times New Roman" w:hAnsi="Times New Roman" w:cs="Times New Roman"/>
          <w:b/>
          <w:bCs/>
          <w:color w:val="000000"/>
          <w:sz w:val="24"/>
          <w:szCs w:val="24"/>
          <w:lang w:val="en-US" w:eastAsia="fr-FR"/>
        </w:rPr>
        <w:t>, (2005):</w:t>
      </w:r>
      <w:r w:rsidRPr="00160167">
        <w:rPr>
          <w:rFonts w:ascii="Times New Roman" w:eastAsia="Times New Roman" w:hAnsi="Times New Roman" w:cs="Times New Roman"/>
          <w:color w:val="000000"/>
          <w:sz w:val="24"/>
          <w:szCs w:val="24"/>
          <w:lang w:val="en-US" w:eastAsia="fr-FR"/>
        </w:rPr>
        <w:t xml:space="preserve"> “Hyogo framework for action 2005-2015: building the resilience of nations and communities to disasters. Extract from the final report of the World Conference on Disaster Reduction (A/CONF. 206/6)</w:t>
      </w:r>
      <w:r>
        <w:rPr>
          <w:rFonts w:ascii="Times New Roman" w:eastAsia="Times New Roman" w:hAnsi="Times New Roman" w:cs="Times New Roman"/>
          <w:color w:val="000000"/>
          <w:sz w:val="24"/>
          <w:szCs w:val="24"/>
          <w:lang w:val="en-US" w:eastAsia="fr-FR"/>
        </w:rPr>
        <w:t>”</w:t>
      </w:r>
      <w:r w:rsidRPr="00160167">
        <w:rPr>
          <w:rFonts w:ascii="Times New Roman" w:eastAsia="Times New Roman" w:hAnsi="Times New Roman" w:cs="Times New Roman"/>
          <w:color w:val="000000"/>
          <w:sz w:val="24"/>
          <w:szCs w:val="24"/>
          <w:lang w:val="en-US" w:eastAsia="fr-FR"/>
        </w:rPr>
        <w:t>.</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2E648F">
        <w:rPr>
          <w:rFonts w:ascii="Times New Roman" w:eastAsia="Times New Roman" w:hAnsi="Times New Roman" w:cs="Times New Roman"/>
          <w:b/>
          <w:bCs/>
          <w:color w:val="000000"/>
          <w:sz w:val="24"/>
          <w:szCs w:val="24"/>
          <w:lang w:eastAsia="fr-FR"/>
        </w:rPr>
        <w:t>UNISDR</w:t>
      </w:r>
      <w:r w:rsidR="00E26FC5" w:rsidRPr="00E26FC5">
        <w:rPr>
          <w:rFonts w:ascii="Times New Roman" w:eastAsia="Times New Roman" w:hAnsi="Times New Roman" w:cs="Times New Roman"/>
          <w:b/>
          <w:bCs/>
          <w:color w:val="000000"/>
          <w:sz w:val="24"/>
          <w:szCs w:val="24"/>
          <w:lang w:eastAsia="fr-FR"/>
        </w:rPr>
        <w:t>, (2012):</w:t>
      </w:r>
      <w:r w:rsidR="00E26FC5" w:rsidRPr="00E26FC5">
        <w:rPr>
          <w:rFonts w:ascii="Times New Roman" w:eastAsia="Times New Roman" w:hAnsi="Times New Roman" w:cs="Times New Roman"/>
          <w:color w:val="000000"/>
          <w:sz w:val="24"/>
          <w:szCs w:val="24"/>
          <w:lang w:eastAsia="fr-FR"/>
        </w:rPr>
        <w:t xml:space="preserve"> “</w:t>
      </w:r>
      <w:r w:rsidRPr="00891AC7">
        <w:rPr>
          <w:rFonts w:ascii="Times New Roman" w:eastAsia="Times New Roman" w:hAnsi="Times New Roman" w:cs="Times New Roman"/>
          <w:color w:val="000000"/>
          <w:sz w:val="24"/>
          <w:szCs w:val="24"/>
          <w:lang w:eastAsia="fr-FR"/>
        </w:rPr>
        <w:t xml:space="preserve">Rendre les villes plus </w:t>
      </w:r>
      <w:r w:rsidR="00E26FC5" w:rsidRPr="00891AC7">
        <w:rPr>
          <w:rFonts w:ascii="Times New Roman" w:eastAsia="Times New Roman" w:hAnsi="Times New Roman" w:cs="Times New Roman"/>
          <w:color w:val="000000"/>
          <w:sz w:val="24"/>
          <w:szCs w:val="24"/>
          <w:lang w:eastAsia="fr-FR"/>
        </w:rPr>
        <w:t>résilientes</w:t>
      </w:r>
      <w:r w:rsidRPr="00891AC7">
        <w:rPr>
          <w:rFonts w:ascii="Times New Roman" w:eastAsia="Times New Roman" w:hAnsi="Times New Roman" w:cs="Times New Roman"/>
          <w:color w:val="000000"/>
          <w:sz w:val="24"/>
          <w:szCs w:val="24"/>
          <w:lang w:eastAsia="fr-FR"/>
        </w:rPr>
        <w:t xml:space="preserve">. Manuel </w:t>
      </w:r>
      <w:r w:rsidR="00E26FC5" w:rsidRPr="00891AC7">
        <w:rPr>
          <w:rFonts w:ascii="Times New Roman" w:eastAsia="Times New Roman" w:hAnsi="Times New Roman" w:cs="Times New Roman"/>
          <w:color w:val="000000"/>
          <w:sz w:val="24"/>
          <w:szCs w:val="24"/>
          <w:lang w:eastAsia="fr-FR"/>
        </w:rPr>
        <w:t>à</w:t>
      </w:r>
      <w:r w:rsidRPr="00891AC7">
        <w:rPr>
          <w:rFonts w:ascii="Times New Roman" w:eastAsia="Times New Roman" w:hAnsi="Times New Roman" w:cs="Times New Roman"/>
          <w:color w:val="000000"/>
          <w:sz w:val="24"/>
          <w:szCs w:val="24"/>
          <w:lang w:eastAsia="fr-FR"/>
        </w:rPr>
        <w:t xml:space="preserve"> l’usage des dirigeants des gouvernements locaux. </w:t>
      </w:r>
      <w:r w:rsidRPr="00092361">
        <w:rPr>
          <w:rFonts w:ascii="Times New Roman" w:eastAsia="Times New Roman" w:hAnsi="Times New Roman" w:cs="Times New Roman"/>
          <w:color w:val="000000"/>
          <w:sz w:val="24"/>
          <w:szCs w:val="24"/>
          <w:lang w:val="en-US" w:eastAsia="fr-FR"/>
        </w:rPr>
        <w:t>Geneva</w:t>
      </w:r>
      <w:r w:rsidR="00AB0503">
        <w:rPr>
          <w:rFonts w:ascii="Times New Roman" w:eastAsia="Times New Roman" w:hAnsi="Times New Roman" w:cs="Times New Roman"/>
          <w:color w:val="000000"/>
          <w:sz w:val="24"/>
          <w:szCs w:val="24"/>
          <w:lang w:val="en-US" w:eastAsia="fr-FR"/>
        </w:rPr>
        <w:t>”.</w:t>
      </w:r>
      <w:r w:rsidRPr="00092361">
        <w:rPr>
          <w:rFonts w:ascii="Times New Roman" w:eastAsia="Times New Roman" w:hAnsi="Times New Roman" w:cs="Times New Roman"/>
          <w:color w:val="000000"/>
          <w:sz w:val="24"/>
          <w:szCs w:val="24"/>
          <w:lang w:val="en-US" w:eastAsia="fr-FR"/>
        </w:rPr>
        <w:t xml:space="preserve"> </w:t>
      </w:r>
      <w:hyperlink r:id="rId407" w:history="1">
        <w:r w:rsidR="00A2673B" w:rsidRPr="009678AC">
          <w:rPr>
            <w:rStyle w:val="Lienhypertexte"/>
            <w:rFonts w:ascii="Times New Roman" w:eastAsia="Times New Roman" w:hAnsi="Times New Roman" w:cs="Times New Roman"/>
            <w:sz w:val="24"/>
            <w:szCs w:val="24"/>
            <w:lang w:val="en-US" w:eastAsia="fr-FR"/>
          </w:rPr>
          <w:t>https://www.unisdr.org/campaign/resilientcities</w:t>
        </w:r>
      </w:hyperlink>
      <w:r w:rsidR="00A2673B">
        <w:rPr>
          <w:rFonts w:ascii="Times New Roman" w:eastAsia="Times New Roman" w:hAnsi="Times New Roman" w:cs="Times New Roman"/>
          <w:color w:val="000000"/>
          <w:sz w:val="24"/>
          <w:szCs w:val="24"/>
          <w:lang w:val="en-US" w:eastAsia="fr-FR"/>
        </w:rPr>
        <w:t>.</w:t>
      </w:r>
    </w:p>
    <w:p w:rsidR="00AB0503" w:rsidRDefault="00AB0503" w:rsidP="00AE6E2D">
      <w:pPr>
        <w:spacing w:line="240" w:lineRule="auto"/>
        <w:jc w:val="both"/>
        <w:rPr>
          <w:rFonts w:ascii="Times New Roman" w:eastAsia="Times New Roman" w:hAnsi="Times New Roman" w:cs="Times New Roman"/>
          <w:sz w:val="24"/>
          <w:szCs w:val="24"/>
          <w:lang w:val="en-US" w:eastAsia="fr-FR"/>
        </w:rPr>
      </w:pPr>
      <w:r w:rsidRPr="00F77863">
        <w:rPr>
          <w:rFonts w:ascii="Times New Roman" w:eastAsia="Times New Roman" w:hAnsi="Times New Roman" w:cs="Times New Roman"/>
          <w:b/>
          <w:bCs/>
          <w:color w:val="000000"/>
          <w:sz w:val="24"/>
          <w:szCs w:val="24"/>
          <w:lang w:val="en-US" w:eastAsia="fr-FR"/>
        </w:rPr>
        <w:t>UNISDR</w:t>
      </w:r>
      <w:r w:rsidRPr="00AB0503">
        <w:rPr>
          <w:rFonts w:ascii="Times New Roman" w:eastAsia="Times New Roman" w:hAnsi="Times New Roman" w:cs="Times New Roman"/>
          <w:b/>
          <w:bCs/>
          <w:color w:val="000000"/>
          <w:sz w:val="24"/>
          <w:szCs w:val="24"/>
          <w:lang w:val="en-US" w:eastAsia="fr-FR"/>
        </w:rPr>
        <w:t>, (2015):</w:t>
      </w:r>
      <w:r w:rsidRPr="00AB0503">
        <w:rPr>
          <w:rFonts w:ascii="Times New Roman" w:eastAsia="Times New Roman" w:hAnsi="Times New Roman" w:cs="Times New Roman"/>
          <w:color w:val="000000"/>
          <w:sz w:val="24"/>
          <w:szCs w:val="24"/>
          <w:lang w:val="en-US" w:eastAsia="fr-FR"/>
        </w:rPr>
        <w:t xml:space="preserve"> “</w:t>
      </w:r>
      <w:r w:rsidRPr="00AB0503">
        <w:rPr>
          <w:rFonts w:ascii="Times New Roman" w:eastAsia="Times New Roman" w:hAnsi="Times New Roman" w:cs="Times New Roman"/>
          <w:sz w:val="24"/>
          <w:szCs w:val="24"/>
          <w:lang w:val="en-US" w:eastAsia="fr-FR"/>
        </w:rPr>
        <w:t>Sendai Framework for Disaster Risk Reduction 2015-2030</w:t>
      </w:r>
      <w:r>
        <w:rPr>
          <w:rFonts w:ascii="Times New Roman" w:eastAsia="Times New Roman" w:hAnsi="Times New Roman" w:cs="Times New Roman"/>
          <w:sz w:val="24"/>
          <w:szCs w:val="24"/>
          <w:lang w:val="en-US" w:eastAsia="fr-FR"/>
        </w:rPr>
        <w:t>”</w:t>
      </w:r>
      <w:r w:rsidRPr="00AB0503">
        <w:rPr>
          <w:rFonts w:ascii="Times New Roman" w:eastAsia="Times New Roman" w:hAnsi="Times New Roman" w:cs="Times New Roman"/>
          <w:sz w:val="24"/>
          <w:szCs w:val="24"/>
          <w:lang w:val="en-US" w:eastAsia="fr-FR"/>
        </w:rPr>
        <w:t>.</w:t>
      </w:r>
      <w:r w:rsidR="00A2673B" w:rsidRPr="00A2673B">
        <w:rPr>
          <w:lang w:val="en-US"/>
        </w:rPr>
        <w:t xml:space="preserve"> </w:t>
      </w:r>
      <w:hyperlink r:id="rId408" w:history="1">
        <w:r w:rsidR="00A2673B" w:rsidRPr="009678AC">
          <w:rPr>
            <w:rStyle w:val="Lienhypertexte"/>
            <w:rFonts w:ascii="Times New Roman" w:eastAsia="Times New Roman" w:hAnsi="Times New Roman" w:cs="Times New Roman"/>
            <w:sz w:val="24"/>
            <w:szCs w:val="24"/>
            <w:lang w:val="en-US" w:eastAsia="fr-FR"/>
          </w:rPr>
          <w:t>https://www.preventionweb.net/files/43291_sendaiframeworkfordrren.pdf</w:t>
        </w:r>
      </w:hyperlink>
      <w:r w:rsidR="00A2673B">
        <w:rPr>
          <w:rFonts w:ascii="Times New Roman" w:eastAsia="Times New Roman" w:hAnsi="Times New Roman" w:cs="Times New Roman"/>
          <w:sz w:val="24"/>
          <w:szCs w:val="24"/>
          <w:lang w:val="en-US" w:eastAsia="fr-FR"/>
        </w:rPr>
        <w:t>.</w:t>
      </w:r>
    </w:p>
    <w:p w:rsidR="00E724B9" w:rsidRPr="007D3304"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409" w:history="1">
        <w:r w:rsidR="00E724B9" w:rsidRPr="00F77863">
          <w:rPr>
            <w:rFonts w:ascii="Times New Roman" w:eastAsia="Times New Roman" w:hAnsi="Times New Roman" w:cs="Times New Roman"/>
            <w:b/>
            <w:bCs/>
            <w:color w:val="000000"/>
            <w:sz w:val="24"/>
            <w:szCs w:val="24"/>
            <w:lang w:val="en-US" w:eastAsia="fr-FR"/>
          </w:rPr>
          <w:t>URBACT</w:t>
        </w:r>
        <w:r w:rsidR="00E724B9" w:rsidRPr="00891AC7">
          <w:rPr>
            <w:rFonts w:ascii="Times New Roman" w:eastAsia="Times New Roman" w:hAnsi="Times New Roman" w:cs="Times New Roman"/>
            <w:b/>
            <w:bCs/>
            <w:color w:val="000000"/>
            <w:sz w:val="24"/>
            <w:szCs w:val="24"/>
            <w:lang w:val="en-US" w:eastAsia="fr-FR"/>
          </w:rPr>
          <w:t>, (2015):</w:t>
        </w:r>
        <w:r w:rsidR="00E724B9" w:rsidRPr="00891AC7">
          <w:rPr>
            <w:rFonts w:ascii="Times New Roman" w:eastAsia="Times New Roman" w:hAnsi="Times New Roman" w:cs="Times New Roman"/>
            <w:color w:val="000000"/>
            <w:sz w:val="24"/>
            <w:szCs w:val="24"/>
            <w:lang w:val="en-US" w:eastAsia="fr-FR"/>
          </w:rPr>
          <w:t xml:space="preserve"> "Resilient Europe network", Available at: http://</w:t>
        </w:r>
        <w:r w:rsidR="00E724B9" w:rsidRPr="00F77863">
          <w:rPr>
            <w:rFonts w:ascii="Times New Roman" w:eastAsia="Times New Roman" w:hAnsi="Times New Roman" w:cs="Times New Roman"/>
            <w:color w:val="000000"/>
            <w:sz w:val="24"/>
            <w:szCs w:val="24"/>
            <w:lang w:val="en-US" w:eastAsia="fr-FR"/>
          </w:rPr>
          <w:t>urbact</w:t>
        </w:r>
        <w:r w:rsidR="00E724B9" w:rsidRPr="00891AC7">
          <w:rPr>
            <w:rFonts w:ascii="Times New Roman" w:eastAsia="Times New Roman" w:hAnsi="Times New Roman" w:cs="Times New Roman"/>
            <w:color w:val="000000"/>
            <w:sz w:val="24"/>
            <w:szCs w:val="24"/>
            <w:lang w:val="en-US" w:eastAsia="fr-FR"/>
          </w:rPr>
          <w:t>.eu/resilient-europe  (accessed 11 November 2021).</w:t>
        </w:r>
      </w:hyperlink>
    </w:p>
    <w:p w:rsidR="00E724B9" w:rsidRDefault="00E724B9" w:rsidP="00AE6E2D">
      <w:pPr>
        <w:spacing w:line="240" w:lineRule="auto"/>
        <w:jc w:val="both"/>
        <w:rPr>
          <w:rFonts w:ascii="Times New Roman" w:eastAsia="Times New Roman" w:hAnsi="Times New Roman" w:cs="Times New Roman"/>
          <w:color w:val="000000"/>
          <w:sz w:val="24"/>
          <w:szCs w:val="24"/>
          <w:lang w:eastAsia="fr-FR"/>
        </w:rPr>
      </w:pPr>
      <w:r w:rsidRPr="002E648F">
        <w:rPr>
          <w:rFonts w:ascii="Times New Roman" w:eastAsia="Times New Roman" w:hAnsi="Times New Roman" w:cs="Times New Roman"/>
          <w:b/>
          <w:bCs/>
          <w:color w:val="000000"/>
          <w:sz w:val="24"/>
          <w:szCs w:val="24"/>
          <w:lang w:eastAsia="fr-FR"/>
        </w:rPr>
        <w:t>Valy, J., (2011) :</w:t>
      </w:r>
      <w:r w:rsidRPr="00891AC7">
        <w:rPr>
          <w:rFonts w:ascii="Times New Roman" w:eastAsia="Times New Roman" w:hAnsi="Times New Roman" w:cs="Times New Roman"/>
          <w:b/>
          <w:bCs/>
          <w:color w:val="000000"/>
          <w:sz w:val="24"/>
          <w:szCs w:val="24"/>
          <w:lang w:eastAsia="fr-FR"/>
        </w:rPr>
        <w:t xml:space="preserve"> "</w:t>
      </w:r>
      <w:r w:rsidRPr="00891AC7">
        <w:rPr>
          <w:rFonts w:ascii="Times New Roman" w:eastAsia="Times New Roman" w:hAnsi="Times New Roman" w:cs="Times New Roman"/>
          <w:color w:val="000000"/>
          <w:sz w:val="24"/>
          <w:szCs w:val="24"/>
          <w:lang w:eastAsia="fr-FR"/>
        </w:rPr>
        <w:t xml:space="preserve">Croissance urbaine et risque inondation en Bretagne", Thèse de doctorat, </w:t>
      </w:r>
      <w:r w:rsidRPr="00DD5668">
        <w:rPr>
          <w:rFonts w:ascii="Times New Roman" w:eastAsia="Times New Roman" w:hAnsi="Times New Roman" w:cs="Times New Roman"/>
          <w:i/>
          <w:iCs/>
          <w:color w:val="000000"/>
          <w:sz w:val="24"/>
          <w:szCs w:val="24"/>
          <w:lang w:eastAsia="fr-FR"/>
        </w:rPr>
        <w:t>Université Rennes 2</w:t>
      </w:r>
      <w:r w:rsidR="002A398E">
        <w:rPr>
          <w:rFonts w:ascii="Times New Roman" w:eastAsia="Times New Roman" w:hAnsi="Times New Roman" w:cs="Times New Roman"/>
          <w:i/>
          <w:iCs/>
          <w:color w:val="000000"/>
          <w:sz w:val="24"/>
          <w:szCs w:val="24"/>
          <w:lang w:eastAsia="fr-FR"/>
        </w:rPr>
        <w:t>,</w:t>
      </w:r>
      <w:r w:rsidRPr="00891AC7">
        <w:rPr>
          <w:rFonts w:ascii="Times New Roman" w:eastAsia="Times New Roman" w:hAnsi="Times New Roman" w:cs="Times New Roman"/>
          <w:color w:val="000000"/>
          <w:sz w:val="24"/>
          <w:szCs w:val="24"/>
          <w:lang w:eastAsia="fr-FR"/>
        </w:rPr>
        <w:t xml:space="preserve"> Haute Bretagne, 543p.</w:t>
      </w:r>
    </w:p>
    <w:p w:rsidR="00E724B9" w:rsidRPr="007D3304"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Van Long, N.; Cheng, Y. &amp; Le, T.D.N., (2020</w:t>
      </w:r>
      <w:r w:rsidRPr="00891AC7">
        <w:rPr>
          <w:rFonts w:ascii="Times New Roman" w:eastAsia="Times New Roman" w:hAnsi="Times New Roman" w:cs="Times New Roman"/>
          <w:b/>
          <w:bCs/>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"Flood-resilient urban design based on the indigenous landscape in the city of Can Tho, Vietnam", </w:t>
      </w:r>
      <w:r w:rsidRPr="00DD5668">
        <w:rPr>
          <w:rFonts w:ascii="Times New Roman" w:eastAsia="Times New Roman" w:hAnsi="Times New Roman" w:cs="Times New Roman"/>
          <w:i/>
          <w:iCs/>
          <w:color w:val="000000"/>
          <w:sz w:val="24"/>
          <w:szCs w:val="24"/>
          <w:lang w:val="en-US" w:eastAsia="fr-FR"/>
        </w:rPr>
        <w:t>Urban Ecosyst</w:t>
      </w:r>
      <w:r w:rsidRPr="00891AC7">
        <w:rPr>
          <w:rFonts w:ascii="Times New Roman" w:eastAsia="Times New Roman" w:hAnsi="Times New Roman" w:cs="Times New Roman"/>
          <w:color w:val="000000"/>
          <w:sz w:val="24"/>
          <w:szCs w:val="24"/>
          <w:lang w:val="en-US" w:eastAsia="fr-FR"/>
        </w:rPr>
        <w:t>, vol. 23, p</w:t>
      </w:r>
      <w:r w:rsidR="00191967">
        <w:rPr>
          <w:rFonts w:ascii="Times New Roman" w:eastAsia="Times New Roman" w:hAnsi="Times New Roman" w:cs="Times New Roman"/>
          <w:color w:val="000000"/>
          <w:sz w:val="24"/>
          <w:szCs w:val="24"/>
          <w:lang w:val="en-US" w:eastAsia="fr-FR"/>
        </w:rPr>
        <w:t>p</w:t>
      </w:r>
      <w:r w:rsidRPr="00891AC7">
        <w:rPr>
          <w:rFonts w:ascii="Times New Roman" w:eastAsia="Times New Roman" w:hAnsi="Times New Roman" w:cs="Times New Roman"/>
          <w:color w:val="000000"/>
          <w:sz w:val="24"/>
          <w:szCs w:val="24"/>
          <w:lang w:val="en-US" w:eastAsia="fr-FR"/>
        </w:rPr>
        <w:t>. 675–687</w:t>
      </w:r>
    </w:p>
    <w:p w:rsidR="00E724B9" w:rsidRDefault="00E724B9" w:rsidP="00AE6E2D">
      <w:pPr>
        <w:spacing w:line="240" w:lineRule="auto"/>
        <w:jc w:val="both"/>
        <w:rPr>
          <w:rFonts w:ascii="Times New Roman" w:eastAsia="Times New Roman" w:hAnsi="Times New Roman" w:cs="Times New Roman"/>
          <w:color w:val="000000"/>
          <w:sz w:val="24"/>
          <w:szCs w:val="24"/>
          <w:rtl/>
          <w:lang w:val="en-US" w:eastAsia="fr-FR"/>
        </w:rPr>
      </w:pPr>
      <w:r w:rsidRPr="00F77863">
        <w:rPr>
          <w:rFonts w:ascii="Times New Roman" w:eastAsia="Times New Roman" w:hAnsi="Times New Roman" w:cs="Times New Roman"/>
          <w:b/>
          <w:bCs/>
          <w:color w:val="000000"/>
          <w:sz w:val="24"/>
          <w:szCs w:val="24"/>
          <w:lang w:val="en-US" w:eastAsia="fr-FR"/>
        </w:rPr>
        <w:t>Van Nes</w:t>
      </w:r>
      <w:r w:rsidR="00B21D45" w:rsidRPr="00B21D45">
        <w:rPr>
          <w:rFonts w:ascii="Times New Roman" w:eastAsia="Times New Roman" w:hAnsi="Times New Roman" w:cs="Times New Roman"/>
          <w:b/>
          <w:bCs/>
          <w:color w:val="000000"/>
          <w:sz w:val="24"/>
          <w:szCs w:val="24"/>
          <w:lang w:val="en-US" w:eastAsia="fr-FR"/>
        </w:rPr>
        <w:t>,</w:t>
      </w:r>
      <w:r w:rsidRPr="00B21D45">
        <w:rPr>
          <w:rFonts w:ascii="Times New Roman" w:eastAsia="Times New Roman" w:hAnsi="Times New Roman" w:cs="Times New Roman"/>
          <w:b/>
          <w:bCs/>
          <w:color w:val="000000"/>
          <w:sz w:val="24"/>
          <w:szCs w:val="24"/>
          <w:lang w:val="en-US" w:eastAsia="fr-FR"/>
        </w:rPr>
        <w:t xml:space="preserve"> A</w:t>
      </w:r>
      <w:r w:rsidR="00B21D45" w:rsidRPr="00B21D45">
        <w:rPr>
          <w:rFonts w:ascii="Times New Roman" w:eastAsia="Times New Roman" w:hAnsi="Times New Roman" w:cs="Times New Roman"/>
          <w:b/>
          <w:bCs/>
          <w:color w:val="000000"/>
          <w:sz w:val="24"/>
          <w:szCs w:val="24"/>
          <w:lang w:val="en-US" w:eastAsia="fr-FR"/>
        </w:rPr>
        <w:t>.,</w:t>
      </w:r>
      <w:r w:rsidRPr="00B21D45">
        <w:rPr>
          <w:rFonts w:ascii="Times New Roman" w:eastAsia="Times New Roman" w:hAnsi="Times New Roman" w:cs="Times New Roman"/>
          <w:b/>
          <w:bCs/>
          <w:color w:val="000000"/>
          <w:sz w:val="24"/>
          <w:szCs w:val="24"/>
          <w:lang w:val="en-US" w:eastAsia="fr-FR"/>
        </w:rPr>
        <w:t xml:space="preserve"> (2002)</w:t>
      </w:r>
      <w:r w:rsidR="00B21D45" w:rsidRPr="00B21D45">
        <w:rPr>
          <w:rFonts w:ascii="Times New Roman" w:eastAsia="Times New Roman" w:hAnsi="Times New Roman" w:cs="Times New Roman"/>
          <w:b/>
          <w:bCs/>
          <w:color w:val="000000"/>
          <w:sz w:val="24"/>
          <w:szCs w:val="24"/>
          <w:lang w:val="en-US" w:eastAsia="fr-FR"/>
        </w:rPr>
        <w:t>:</w:t>
      </w:r>
      <w:r w:rsidR="002A398E">
        <w:rPr>
          <w:rFonts w:ascii="Times New Roman" w:eastAsia="Times New Roman" w:hAnsi="Times New Roman" w:cs="Times New Roman"/>
          <w:b/>
          <w:bCs/>
          <w:color w:val="000000"/>
          <w:sz w:val="24"/>
          <w:szCs w:val="24"/>
          <w:lang w:val="en-US" w:eastAsia="fr-FR"/>
        </w:rPr>
        <w:t xml:space="preserve"> </w:t>
      </w:r>
      <w:r w:rsidR="00B21D45">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Road building and urban change: The effect of ring roads on the dispersal of shop and retail in Western European towns and cities</w:t>
      </w:r>
      <w:r w:rsidR="00B21D45">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PhD thesis</w:t>
      </w:r>
      <w:r w:rsidR="00B21D45">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Agricultural </w:t>
      </w:r>
      <w:r w:rsidRPr="00DD5668">
        <w:rPr>
          <w:rFonts w:ascii="Times New Roman" w:eastAsia="Times New Roman" w:hAnsi="Times New Roman" w:cs="Times New Roman"/>
          <w:i/>
          <w:iCs/>
          <w:color w:val="000000"/>
          <w:sz w:val="24"/>
          <w:szCs w:val="24"/>
          <w:lang w:val="en-US" w:eastAsia="fr-FR"/>
        </w:rPr>
        <w:t>University of Norway</w:t>
      </w:r>
      <w:r w:rsidRPr="00891AC7">
        <w:rPr>
          <w:rFonts w:ascii="Times New Roman" w:eastAsia="Times New Roman" w:hAnsi="Times New Roman" w:cs="Times New Roman"/>
          <w:color w:val="000000"/>
          <w:sz w:val="24"/>
          <w:szCs w:val="24"/>
          <w:lang w:val="en-US" w:eastAsia="fr-FR"/>
        </w:rPr>
        <w:t>, Department of Land U</w:t>
      </w:r>
      <w:r w:rsidR="00BD5CA2">
        <w:rPr>
          <w:rFonts w:ascii="Times New Roman" w:eastAsia="Times New Roman" w:hAnsi="Times New Roman" w:cs="Times New Roman"/>
          <w:color w:val="000000"/>
          <w:sz w:val="24"/>
          <w:szCs w:val="24"/>
          <w:lang w:val="en-US" w:eastAsia="fr-FR"/>
        </w:rPr>
        <w:t>s</w:t>
      </w:r>
      <w:r w:rsidR="00160167">
        <w:rPr>
          <w:rFonts w:ascii="Times New Roman" w:eastAsia="Times New Roman" w:hAnsi="Times New Roman" w:cs="Times New Roman"/>
          <w:color w:val="000000"/>
          <w:sz w:val="24"/>
          <w:szCs w:val="24"/>
          <w:lang w:val="en-US" w:eastAsia="fr-FR"/>
        </w:rPr>
        <w:t>e and Landscape Planning, Oslo.</w:t>
      </w:r>
    </w:p>
    <w:p w:rsidR="002A398E" w:rsidRPr="002A398E" w:rsidRDefault="002A398E"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Van Nes</w:t>
      </w:r>
      <w:r w:rsidRPr="002A398E">
        <w:rPr>
          <w:rFonts w:ascii="Times New Roman" w:eastAsia="Times New Roman" w:hAnsi="Times New Roman" w:cs="Times New Roman"/>
          <w:b/>
          <w:bCs/>
          <w:color w:val="000000"/>
          <w:sz w:val="24"/>
          <w:szCs w:val="24"/>
          <w:lang w:val="en-US" w:eastAsia="fr-FR"/>
        </w:rPr>
        <w:t>, A., (2021):</w:t>
      </w:r>
      <w:r w:rsidRPr="002A398E">
        <w:rPr>
          <w:rFonts w:ascii="Times New Roman" w:eastAsia="Times New Roman" w:hAnsi="Times New Roman" w:cs="Times New Roman"/>
          <w:color w:val="000000"/>
          <w:sz w:val="24"/>
          <w:szCs w:val="24"/>
          <w:lang w:val="en-US" w:eastAsia="fr-FR"/>
        </w:rPr>
        <w:t xml:space="preserve"> </w:t>
      </w:r>
      <w:r>
        <w:rPr>
          <w:rFonts w:ascii="Times New Roman" w:eastAsia="Times New Roman" w:hAnsi="Times New Roman" w:cs="Times New Roman"/>
          <w:color w:val="000000"/>
          <w:sz w:val="24"/>
          <w:szCs w:val="24"/>
          <w:lang w:val="en-US" w:eastAsia="fr-FR"/>
        </w:rPr>
        <w:t>“</w:t>
      </w:r>
      <w:r w:rsidRPr="002A398E">
        <w:rPr>
          <w:rFonts w:ascii="Times New Roman" w:eastAsia="Times New Roman" w:hAnsi="Times New Roman" w:cs="Times New Roman"/>
          <w:color w:val="000000"/>
          <w:sz w:val="24"/>
          <w:szCs w:val="24"/>
          <w:lang w:val="en-US" w:eastAsia="fr-FR"/>
        </w:rPr>
        <w:t>The Impact of the Ring Roads on the Location Pattern of Shops in Town and City Centres</w:t>
      </w:r>
      <w:r>
        <w:rPr>
          <w:rFonts w:ascii="Times New Roman" w:eastAsia="Times New Roman" w:hAnsi="Times New Roman" w:cs="Times New Roman"/>
          <w:color w:val="000000"/>
          <w:sz w:val="24"/>
          <w:szCs w:val="24"/>
          <w:lang w:val="en-US" w:eastAsia="fr-FR"/>
        </w:rPr>
        <w:t>”,</w:t>
      </w:r>
      <w:r w:rsidRPr="002A398E">
        <w:rPr>
          <w:rFonts w:ascii="Times New Roman" w:eastAsia="Times New Roman" w:hAnsi="Times New Roman" w:cs="Times New Roman"/>
          <w:color w:val="000000"/>
          <w:sz w:val="24"/>
          <w:szCs w:val="24"/>
          <w:lang w:val="en-US" w:eastAsia="fr-FR"/>
        </w:rPr>
        <w:t xml:space="preserve"> A Space Syntax Approach</w:t>
      </w:r>
      <w:r>
        <w:rPr>
          <w:rFonts w:ascii="Times New Roman" w:eastAsia="Times New Roman" w:hAnsi="Times New Roman" w:cs="Times New Roman"/>
          <w:color w:val="000000"/>
          <w:sz w:val="24"/>
          <w:szCs w:val="24"/>
          <w:lang w:val="en-US" w:eastAsia="fr-FR"/>
        </w:rPr>
        <w:t>”,</w:t>
      </w:r>
      <w:r w:rsidRPr="002A398E">
        <w:rPr>
          <w:rFonts w:ascii="Times New Roman" w:eastAsia="Times New Roman" w:hAnsi="Times New Roman" w:cs="Times New Roman"/>
          <w:color w:val="000000"/>
          <w:sz w:val="24"/>
          <w:szCs w:val="24"/>
          <w:lang w:val="en-US" w:eastAsia="fr-FR"/>
        </w:rPr>
        <w:t xml:space="preserve"> </w:t>
      </w:r>
      <w:r w:rsidRPr="002A398E">
        <w:rPr>
          <w:rFonts w:ascii="Times New Roman" w:eastAsia="Times New Roman" w:hAnsi="Times New Roman" w:cs="Times New Roman"/>
          <w:i/>
          <w:iCs/>
          <w:color w:val="000000"/>
          <w:sz w:val="24"/>
          <w:szCs w:val="24"/>
          <w:lang w:val="en-US" w:eastAsia="fr-FR"/>
        </w:rPr>
        <w:t>Sustainability</w:t>
      </w:r>
      <w:r>
        <w:rPr>
          <w:rFonts w:ascii="Times New Roman" w:eastAsia="Times New Roman" w:hAnsi="Times New Roman" w:cs="Times New Roman"/>
          <w:color w:val="000000"/>
          <w:sz w:val="24"/>
          <w:szCs w:val="24"/>
          <w:lang w:val="en-US" w:eastAsia="fr-FR"/>
        </w:rPr>
        <w:t>, vol.</w:t>
      </w:r>
      <w:r w:rsidRPr="002A398E">
        <w:rPr>
          <w:rFonts w:ascii="Times New Roman" w:eastAsia="Times New Roman" w:hAnsi="Times New Roman" w:cs="Times New Roman"/>
          <w:color w:val="000000"/>
          <w:sz w:val="24"/>
          <w:szCs w:val="24"/>
          <w:lang w:val="en-US" w:eastAsia="fr-FR"/>
        </w:rPr>
        <w:t xml:space="preserve"> 13</w:t>
      </w:r>
      <w:r>
        <w:rPr>
          <w:rFonts w:ascii="Times New Roman" w:eastAsia="Times New Roman" w:hAnsi="Times New Roman" w:cs="Times New Roman"/>
          <w:color w:val="000000"/>
          <w:sz w:val="24"/>
          <w:szCs w:val="24"/>
          <w:lang w:val="en-US" w:eastAsia="fr-FR"/>
        </w:rPr>
        <w:t xml:space="preserve">, n° </w:t>
      </w:r>
      <w:r w:rsidRPr="002A398E">
        <w:rPr>
          <w:rFonts w:ascii="Times New Roman" w:eastAsia="Times New Roman" w:hAnsi="Times New Roman" w:cs="Times New Roman"/>
          <w:color w:val="000000"/>
          <w:sz w:val="24"/>
          <w:szCs w:val="24"/>
          <w:lang w:val="en-US" w:eastAsia="fr-FR"/>
        </w:rPr>
        <w:t>7</w:t>
      </w:r>
      <w:r>
        <w:rPr>
          <w:rFonts w:ascii="Times New Roman" w:eastAsia="Times New Roman" w:hAnsi="Times New Roman" w:cs="Times New Roman"/>
          <w:color w:val="000000"/>
          <w:sz w:val="24"/>
          <w:szCs w:val="24"/>
          <w:lang w:val="en-US" w:eastAsia="fr-FR"/>
        </w:rPr>
        <w:t>.</w:t>
      </w:r>
    </w:p>
    <w:p w:rsidR="00E724B9" w:rsidRPr="007D3304" w:rsidRDefault="00AF2071"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V</w:t>
      </w:r>
      <w:r w:rsidR="00E724B9" w:rsidRPr="00F77863">
        <w:rPr>
          <w:rFonts w:ascii="Times New Roman" w:eastAsia="Times New Roman" w:hAnsi="Times New Roman" w:cs="Times New Roman"/>
          <w:b/>
          <w:bCs/>
          <w:color w:val="000000"/>
          <w:sz w:val="24"/>
          <w:szCs w:val="24"/>
          <w:lang w:val="en-US" w:eastAsia="fr-FR"/>
        </w:rPr>
        <w:t>an Ree, C. C. D. F., Van, M.</w:t>
      </w:r>
      <w:r w:rsidR="00E724B9" w:rsidRPr="00160167">
        <w:rPr>
          <w:rFonts w:ascii="Times New Roman" w:eastAsia="Times New Roman" w:hAnsi="Times New Roman" w:cs="Times New Roman"/>
          <w:b/>
          <w:bCs/>
          <w:color w:val="000000"/>
          <w:sz w:val="24"/>
          <w:szCs w:val="24"/>
          <w:lang w:val="en-US" w:eastAsia="fr-FR"/>
        </w:rPr>
        <w:t xml:space="preserve"> A., Heilemann, K., Morris, M. W., Royet, P. &amp; Zevenbergen</w:t>
      </w:r>
      <w:r w:rsidR="00B21D45" w:rsidRPr="00160167">
        <w:rPr>
          <w:rFonts w:ascii="Times New Roman" w:eastAsia="Times New Roman" w:hAnsi="Times New Roman" w:cs="Times New Roman"/>
          <w:b/>
          <w:bCs/>
          <w:color w:val="000000"/>
          <w:sz w:val="24"/>
          <w:szCs w:val="24"/>
          <w:lang w:val="en-US" w:eastAsia="fr-FR"/>
        </w:rPr>
        <w:t>,</w:t>
      </w:r>
      <w:r w:rsidR="00E724B9" w:rsidRPr="00160167">
        <w:rPr>
          <w:rFonts w:ascii="Times New Roman" w:eastAsia="Times New Roman" w:hAnsi="Times New Roman" w:cs="Times New Roman"/>
          <w:b/>
          <w:bCs/>
          <w:color w:val="000000"/>
          <w:sz w:val="24"/>
          <w:szCs w:val="24"/>
          <w:lang w:val="en-US" w:eastAsia="fr-FR"/>
        </w:rPr>
        <w:t xml:space="preserve"> </w:t>
      </w:r>
      <w:r w:rsidR="00B21D45" w:rsidRPr="00160167">
        <w:rPr>
          <w:rFonts w:ascii="Times New Roman" w:eastAsia="Times New Roman" w:hAnsi="Times New Roman" w:cs="Times New Roman"/>
          <w:b/>
          <w:bCs/>
          <w:color w:val="000000"/>
          <w:sz w:val="24"/>
          <w:szCs w:val="24"/>
          <w:lang w:val="en-US" w:eastAsia="fr-FR"/>
        </w:rPr>
        <w:t xml:space="preserve">C. </w:t>
      </w:r>
      <w:r w:rsidR="00E724B9" w:rsidRPr="00160167">
        <w:rPr>
          <w:rFonts w:ascii="Times New Roman" w:eastAsia="Times New Roman" w:hAnsi="Times New Roman" w:cs="Times New Roman"/>
          <w:b/>
          <w:bCs/>
          <w:color w:val="000000"/>
          <w:sz w:val="24"/>
          <w:szCs w:val="24"/>
          <w:lang w:val="en-US" w:eastAsia="fr-FR"/>
        </w:rPr>
        <w:t>(2011)</w:t>
      </w:r>
      <w:r w:rsidR="00B21D45" w:rsidRPr="00160167">
        <w:rPr>
          <w:rFonts w:ascii="Times New Roman" w:eastAsia="Times New Roman" w:hAnsi="Times New Roman" w:cs="Times New Roman"/>
          <w:b/>
          <w:bCs/>
          <w:color w:val="000000"/>
          <w:sz w:val="24"/>
          <w:szCs w:val="24"/>
          <w:lang w:val="en-US" w:eastAsia="fr-FR"/>
        </w:rPr>
        <w:t>:</w:t>
      </w:r>
      <w:r w:rsidR="00B21D45" w:rsidRPr="00160167">
        <w:rPr>
          <w:rFonts w:ascii="Times New Roman" w:eastAsia="Times New Roman" w:hAnsi="Times New Roman" w:cs="Times New Roman"/>
          <w:color w:val="000000"/>
          <w:sz w:val="24"/>
          <w:szCs w:val="24"/>
          <w:lang w:val="en-US" w:eastAsia="fr-FR"/>
        </w:rPr>
        <w:t xml:space="preserve"> “</w:t>
      </w:r>
      <w:r w:rsidR="00E724B9" w:rsidRPr="00160167">
        <w:rPr>
          <w:rFonts w:ascii="Times New Roman" w:eastAsia="Times New Roman" w:hAnsi="Times New Roman" w:cs="Times New Roman"/>
          <w:color w:val="000000"/>
          <w:sz w:val="24"/>
          <w:szCs w:val="24"/>
          <w:lang w:val="en-US" w:eastAsia="fr-FR"/>
        </w:rPr>
        <w:t>FloodProBE: technologies for improved safety of the built environment in relation to flood events</w:t>
      </w:r>
      <w:r w:rsidR="00B21D45" w:rsidRPr="00160167">
        <w:rPr>
          <w:rFonts w:ascii="Times New Roman" w:eastAsia="Times New Roman" w:hAnsi="Times New Roman" w:cs="Times New Roman"/>
          <w:color w:val="000000"/>
          <w:sz w:val="24"/>
          <w:szCs w:val="24"/>
          <w:lang w:val="en-US" w:eastAsia="fr-FR"/>
        </w:rPr>
        <w:t>”,</w:t>
      </w:r>
      <w:r w:rsidR="00E724B9" w:rsidRPr="00160167">
        <w:rPr>
          <w:rFonts w:ascii="Times New Roman" w:eastAsia="Times New Roman" w:hAnsi="Times New Roman" w:cs="Times New Roman"/>
          <w:color w:val="000000"/>
          <w:sz w:val="24"/>
          <w:szCs w:val="24"/>
          <w:lang w:val="en-US" w:eastAsia="fr-FR"/>
        </w:rPr>
        <w:t xml:space="preserve"> </w:t>
      </w:r>
      <w:r w:rsidR="00E724B9" w:rsidRPr="00160167">
        <w:rPr>
          <w:rFonts w:ascii="Times New Roman" w:eastAsia="Times New Roman" w:hAnsi="Times New Roman" w:cs="Times New Roman"/>
          <w:i/>
          <w:iCs/>
          <w:color w:val="000000"/>
          <w:sz w:val="24"/>
          <w:szCs w:val="24"/>
          <w:lang w:val="en-US" w:eastAsia="fr-FR"/>
        </w:rPr>
        <w:t>Environmental Science &amp; Policy</w:t>
      </w:r>
      <w:r w:rsidR="00E724B9" w:rsidRPr="00160167">
        <w:rPr>
          <w:rFonts w:ascii="Times New Roman" w:eastAsia="Times New Roman" w:hAnsi="Times New Roman" w:cs="Times New Roman"/>
          <w:color w:val="000000"/>
          <w:sz w:val="24"/>
          <w:szCs w:val="24"/>
          <w:lang w:val="en-US" w:eastAsia="fr-FR"/>
        </w:rPr>
        <w:t>, In Press, Corrected Proof.</w:t>
      </w:r>
    </w:p>
    <w:p w:rsidR="00E724B9" w:rsidRPr="007D3304"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lastRenderedPageBreak/>
        <w:t>Vizzari</w:t>
      </w:r>
      <w:r w:rsidRPr="00B21D45">
        <w:rPr>
          <w:rFonts w:ascii="Times New Roman" w:eastAsia="Times New Roman" w:hAnsi="Times New Roman" w:cs="Times New Roman"/>
          <w:b/>
          <w:bCs/>
          <w:color w:val="000000"/>
          <w:sz w:val="24"/>
          <w:szCs w:val="24"/>
          <w:lang w:val="en-US" w:eastAsia="fr-FR"/>
        </w:rPr>
        <w:t>, M., (2011)</w:t>
      </w:r>
      <w:r w:rsidR="00B21D45" w:rsidRPr="00B21D45">
        <w:rPr>
          <w:rFonts w:ascii="Times New Roman" w:eastAsia="Times New Roman" w:hAnsi="Times New Roman" w:cs="Times New Roman"/>
          <w:b/>
          <w:bCs/>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"Spatial modeling of potential landscape quality</w:t>
      </w:r>
      <w:r w:rsidR="00E85C72">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E85C72">
        <w:rPr>
          <w:rFonts w:ascii="Times New Roman" w:eastAsia="Times New Roman" w:hAnsi="Times New Roman" w:cs="Times New Roman"/>
          <w:i/>
          <w:iCs/>
          <w:color w:val="000000"/>
          <w:sz w:val="24"/>
          <w:szCs w:val="24"/>
          <w:lang w:val="en-US" w:eastAsia="fr-FR"/>
        </w:rPr>
        <w:t>Applied geography</w:t>
      </w:r>
      <w:r w:rsidRPr="00891AC7">
        <w:rPr>
          <w:rFonts w:ascii="Times New Roman" w:eastAsia="Times New Roman" w:hAnsi="Times New Roman" w:cs="Times New Roman"/>
          <w:color w:val="000000"/>
          <w:sz w:val="24"/>
          <w:szCs w:val="24"/>
          <w:lang w:val="en-US" w:eastAsia="fr-FR"/>
        </w:rPr>
        <w:t>,</w:t>
      </w:r>
      <w:r w:rsidR="00B21D45">
        <w:rPr>
          <w:rFonts w:ascii="Times New Roman" w:eastAsia="Times New Roman" w:hAnsi="Times New Roman" w:cs="Times New Roman"/>
          <w:color w:val="000000"/>
          <w:sz w:val="24"/>
          <w:szCs w:val="24"/>
          <w:lang w:val="en-US" w:eastAsia="fr-FR"/>
        </w:rPr>
        <w:t xml:space="preserve"> vol.</w:t>
      </w:r>
      <w:r w:rsidRPr="00891AC7">
        <w:rPr>
          <w:rFonts w:ascii="Times New Roman" w:eastAsia="Times New Roman" w:hAnsi="Times New Roman" w:cs="Times New Roman"/>
          <w:color w:val="000000"/>
          <w:sz w:val="24"/>
          <w:szCs w:val="24"/>
          <w:lang w:val="en-US" w:eastAsia="fr-FR"/>
        </w:rPr>
        <w:t xml:space="preserve"> 31,</w:t>
      </w:r>
      <w:r w:rsidR="00B21D45">
        <w:rPr>
          <w:rFonts w:ascii="Times New Roman" w:eastAsia="Times New Roman" w:hAnsi="Times New Roman" w:cs="Times New Roman"/>
          <w:color w:val="000000"/>
          <w:sz w:val="24"/>
          <w:szCs w:val="24"/>
          <w:lang w:val="en-US" w:eastAsia="fr-FR"/>
        </w:rPr>
        <w:t xml:space="preserve"> p.</w:t>
      </w:r>
      <w:r w:rsidRPr="00891AC7">
        <w:rPr>
          <w:rFonts w:ascii="Times New Roman" w:eastAsia="Times New Roman" w:hAnsi="Times New Roman" w:cs="Times New Roman"/>
          <w:color w:val="000000"/>
          <w:sz w:val="24"/>
          <w:szCs w:val="24"/>
          <w:lang w:val="en-US" w:eastAsia="fr-FR"/>
        </w:rPr>
        <w:t xml:space="preserve"> 108-118.</w:t>
      </w:r>
    </w:p>
    <w:p w:rsidR="00E724B9" w:rsidRPr="007D3304"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410" w:history="1">
        <w:r w:rsidR="00E724B9" w:rsidRPr="00F77863">
          <w:rPr>
            <w:rFonts w:ascii="Times New Roman" w:eastAsia="Times New Roman" w:hAnsi="Times New Roman" w:cs="Times New Roman"/>
            <w:b/>
            <w:bCs/>
            <w:color w:val="000000"/>
            <w:sz w:val="24"/>
            <w:szCs w:val="24"/>
            <w:lang w:val="en-US" w:eastAsia="fr-FR"/>
          </w:rPr>
          <w:t>Wagner</w:t>
        </w:r>
        <w:r w:rsidR="00E724B9" w:rsidRPr="00891AC7">
          <w:rPr>
            <w:rFonts w:ascii="Times New Roman" w:eastAsia="Times New Roman" w:hAnsi="Times New Roman" w:cs="Times New Roman"/>
            <w:b/>
            <w:bCs/>
            <w:color w:val="000000"/>
            <w:sz w:val="24"/>
            <w:szCs w:val="24"/>
            <w:lang w:val="en-US" w:eastAsia="fr-FR"/>
          </w:rPr>
          <w:t>, I., &amp; Breil, P. (2013):</w:t>
        </w:r>
        <w:r w:rsidR="00E724B9" w:rsidRPr="00891AC7">
          <w:rPr>
            <w:rFonts w:ascii="Times New Roman" w:eastAsia="Times New Roman" w:hAnsi="Times New Roman" w:cs="Times New Roman"/>
            <w:sz w:val="24"/>
            <w:szCs w:val="24"/>
            <w:lang w:val="en-US" w:eastAsia="fr-FR"/>
          </w:rPr>
          <w:t xml:space="preserve"> </w:t>
        </w:r>
        <w:r w:rsidR="00BD5CA2">
          <w:rPr>
            <w:rFonts w:ascii="Times New Roman" w:eastAsia="Times New Roman" w:hAnsi="Times New Roman" w:cs="Times New Roman"/>
            <w:sz w:val="24"/>
            <w:szCs w:val="24"/>
            <w:lang w:val="en-US" w:eastAsia="fr-FR"/>
          </w:rPr>
          <w:t>“</w:t>
        </w:r>
        <w:r w:rsidR="00E724B9" w:rsidRPr="00891AC7">
          <w:rPr>
            <w:rFonts w:ascii="Times New Roman" w:eastAsia="Times New Roman" w:hAnsi="Times New Roman" w:cs="Times New Roman"/>
            <w:sz w:val="24"/>
            <w:szCs w:val="24"/>
            <w:lang w:val="en-US" w:eastAsia="fr-FR"/>
          </w:rPr>
          <w:t>The role of ecohydrology in creating more resilient cities</w:t>
        </w:r>
        <w:r w:rsidR="00BD5CA2">
          <w:rPr>
            <w:rFonts w:ascii="Times New Roman" w:eastAsia="Times New Roman" w:hAnsi="Times New Roman" w:cs="Times New Roman"/>
            <w:sz w:val="24"/>
            <w:szCs w:val="24"/>
            <w:lang w:val="en-US" w:eastAsia="fr-FR"/>
          </w:rPr>
          <w:t>”,</w:t>
        </w:r>
        <w:r w:rsidR="00E724B9" w:rsidRPr="00891AC7">
          <w:rPr>
            <w:rFonts w:ascii="Times New Roman" w:eastAsia="Times New Roman" w:hAnsi="Times New Roman" w:cs="Times New Roman"/>
            <w:sz w:val="24"/>
            <w:szCs w:val="24"/>
            <w:lang w:val="en-US" w:eastAsia="fr-FR"/>
          </w:rPr>
          <w:t xml:space="preserve"> </w:t>
        </w:r>
        <w:r w:rsidR="00E724B9" w:rsidRPr="00BD5CA2">
          <w:rPr>
            <w:rFonts w:ascii="Times New Roman" w:eastAsia="Times New Roman" w:hAnsi="Times New Roman" w:cs="Times New Roman"/>
            <w:i/>
            <w:iCs/>
            <w:sz w:val="24"/>
            <w:szCs w:val="24"/>
            <w:lang w:val="en-US" w:eastAsia="fr-FR"/>
          </w:rPr>
          <w:t>Ecohydrology &amp; Hydrobiology</w:t>
        </w:r>
        <w:r w:rsidR="00E724B9" w:rsidRPr="00891AC7">
          <w:rPr>
            <w:rFonts w:ascii="Times New Roman" w:eastAsia="Times New Roman" w:hAnsi="Times New Roman" w:cs="Times New Roman"/>
            <w:sz w:val="24"/>
            <w:szCs w:val="24"/>
            <w:lang w:val="en-US" w:eastAsia="fr-FR"/>
          </w:rPr>
          <w:t>,</w:t>
        </w:r>
        <w:r w:rsidR="00E85C72">
          <w:rPr>
            <w:rFonts w:ascii="Times New Roman" w:eastAsia="Times New Roman" w:hAnsi="Times New Roman" w:cs="Times New Roman"/>
            <w:sz w:val="24"/>
            <w:szCs w:val="24"/>
            <w:lang w:val="en-US" w:eastAsia="fr-FR"/>
          </w:rPr>
          <w:t xml:space="preserve"> vol.</w:t>
        </w:r>
        <w:r w:rsidR="00E724B9" w:rsidRPr="00891AC7">
          <w:rPr>
            <w:rFonts w:ascii="Times New Roman" w:eastAsia="Times New Roman" w:hAnsi="Times New Roman" w:cs="Times New Roman"/>
            <w:sz w:val="24"/>
            <w:szCs w:val="24"/>
            <w:lang w:val="en-US" w:eastAsia="fr-FR"/>
          </w:rPr>
          <w:t xml:space="preserve"> 13</w:t>
        </w:r>
        <w:r w:rsidR="00E85C72">
          <w:rPr>
            <w:rFonts w:ascii="Times New Roman" w:eastAsia="Times New Roman" w:hAnsi="Times New Roman" w:cs="Times New Roman"/>
            <w:sz w:val="24"/>
            <w:szCs w:val="24"/>
            <w:lang w:val="en-US" w:eastAsia="fr-FR"/>
          </w:rPr>
          <w:t xml:space="preserve">, n° </w:t>
        </w:r>
        <w:r w:rsidR="00E724B9" w:rsidRPr="00891AC7">
          <w:rPr>
            <w:rFonts w:ascii="Times New Roman" w:eastAsia="Times New Roman" w:hAnsi="Times New Roman" w:cs="Times New Roman"/>
            <w:sz w:val="24"/>
            <w:szCs w:val="24"/>
            <w:lang w:val="en-US" w:eastAsia="fr-FR"/>
          </w:rPr>
          <w:t>2,</w:t>
        </w:r>
        <w:r w:rsidR="00E85C72">
          <w:rPr>
            <w:rFonts w:ascii="Times New Roman" w:eastAsia="Times New Roman" w:hAnsi="Times New Roman" w:cs="Times New Roman"/>
            <w:sz w:val="24"/>
            <w:szCs w:val="24"/>
            <w:lang w:val="en-US" w:eastAsia="fr-FR"/>
          </w:rPr>
          <w:t xml:space="preserve"> p</w:t>
        </w:r>
        <w:r w:rsidR="00191967">
          <w:rPr>
            <w:rFonts w:ascii="Times New Roman" w:eastAsia="Times New Roman" w:hAnsi="Times New Roman" w:cs="Times New Roman"/>
            <w:sz w:val="24"/>
            <w:szCs w:val="24"/>
            <w:lang w:val="en-US" w:eastAsia="fr-FR"/>
          </w:rPr>
          <w:t>p</w:t>
        </w:r>
        <w:r w:rsidR="00E85C72">
          <w:rPr>
            <w:rFonts w:ascii="Times New Roman" w:eastAsia="Times New Roman" w:hAnsi="Times New Roman" w:cs="Times New Roman"/>
            <w:sz w:val="24"/>
            <w:szCs w:val="24"/>
            <w:lang w:val="en-US" w:eastAsia="fr-FR"/>
          </w:rPr>
          <w:t>.</w:t>
        </w:r>
        <w:r w:rsidR="00E724B9" w:rsidRPr="00891AC7">
          <w:rPr>
            <w:rFonts w:ascii="Times New Roman" w:eastAsia="Times New Roman" w:hAnsi="Times New Roman" w:cs="Times New Roman"/>
            <w:sz w:val="24"/>
            <w:szCs w:val="24"/>
            <w:lang w:val="en-US" w:eastAsia="fr-FR"/>
          </w:rPr>
          <w:t xml:space="preserve"> 113–134. http://dx.doi.org/10.1016/ j.ecohyd.2013.06.002</w:t>
        </w:r>
      </w:hyperlink>
    </w:p>
    <w:p w:rsidR="00E724B9" w:rsidRPr="0010285C" w:rsidRDefault="00B62F86" w:rsidP="00AE6E2D">
      <w:pPr>
        <w:spacing w:line="240" w:lineRule="auto"/>
        <w:jc w:val="both"/>
        <w:rPr>
          <w:rFonts w:asciiTheme="majorBidi" w:eastAsia="Times New Roman" w:hAnsiTheme="majorBidi" w:cstheme="majorBidi"/>
          <w:color w:val="000000"/>
          <w:sz w:val="24"/>
          <w:szCs w:val="24"/>
          <w:lang w:val="en-US" w:eastAsia="fr-FR"/>
        </w:rPr>
      </w:pPr>
      <w:hyperlink r:id="rId411" w:history="1">
        <w:r w:rsidR="00E724B9" w:rsidRPr="00F77863">
          <w:rPr>
            <w:rFonts w:ascii="Times New Roman" w:eastAsia="Times New Roman" w:hAnsi="Times New Roman" w:cs="Times New Roman"/>
            <w:b/>
            <w:bCs/>
            <w:color w:val="000000"/>
            <w:sz w:val="24"/>
            <w:szCs w:val="24"/>
            <w:lang w:val="en-US" w:eastAsia="fr-FR"/>
          </w:rPr>
          <w:t>Walker, B., Holling</w:t>
        </w:r>
        <w:r w:rsidR="00E724B9" w:rsidRPr="0010285C">
          <w:rPr>
            <w:rFonts w:asciiTheme="majorBidi" w:eastAsia="Times New Roman" w:hAnsiTheme="majorBidi" w:cstheme="majorBidi"/>
            <w:b/>
            <w:bCs/>
            <w:color w:val="000000"/>
            <w:sz w:val="24"/>
            <w:szCs w:val="24"/>
            <w:lang w:val="en-US" w:eastAsia="fr-FR"/>
          </w:rPr>
          <w:t>, C., Carpenter, R.&amp; Kinzig, A., (2004):</w:t>
        </w:r>
        <w:r w:rsidR="00E724B9" w:rsidRPr="0010285C">
          <w:rPr>
            <w:rFonts w:asciiTheme="majorBidi" w:eastAsia="Times New Roman" w:hAnsiTheme="majorBidi" w:cstheme="majorBidi"/>
            <w:color w:val="000000"/>
            <w:sz w:val="24"/>
            <w:szCs w:val="24"/>
            <w:lang w:val="en-US" w:eastAsia="fr-FR"/>
          </w:rPr>
          <w:t xml:space="preserve"> “Resilience, adaptability and transformability in social-e</w:t>
        </w:r>
        <w:r w:rsidR="00DD4749" w:rsidRPr="0010285C">
          <w:rPr>
            <w:rFonts w:asciiTheme="majorBidi" w:eastAsia="Times New Roman" w:hAnsiTheme="majorBidi" w:cstheme="majorBidi"/>
            <w:color w:val="000000"/>
            <w:sz w:val="24"/>
            <w:szCs w:val="24"/>
            <w:lang w:val="en-US" w:eastAsia="fr-FR"/>
          </w:rPr>
          <w:t xml:space="preserve">cological systems”, </w:t>
        </w:r>
        <w:r w:rsidR="00DD4749" w:rsidRPr="0010285C">
          <w:rPr>
            <w:rFonts w:asciiTheme="majorBidi" w:eastAsia="Times New Roman" w:hAnsiTheme="majorBidi" w:cstheme="majorBidi"/>
            <w:i/>
            <w:iCs/>
            <w:color w:val="000000"/>
            <w:sz w:val="24"/>
            <w:szCs w:val="24"/>
            <w:lang w:val="en-US" w:eastAsia="fr-FR"/>
          </w:rPr>
          <w:t>Ecology Soc</w:t>
        </w:r>
        <w:r w:rsidR="00DD4749" w:rsidRPr="0010285C">
          <w:rPr>
            <w:rFonts w:asciiTheme="majorBidi" w:eastAsia="Times New Roman" w:hAnsiTheme="majorBidi" w:cstheme="majorBidi"/>
            <w:color w:val="000000"/>
            <w:sz w:val="24"/>
            <w:szCs w:val="24"/>
            <w:lang w:val="en-US" w:eastAsia="fr-FR"/>
          </w:rPr>
          <w:t>,</w:t>
        </w:r>
        <w:r w:rsidR="00B21D45" w:rsidRPr="0010285C">
          <w:rPr>
            <w:rFonts w:asciiTheme="majorBidi" w:eastAsia="Times New Roman" w:hAnsiTheme="majorBidi" w:cstheme="majorBidi"/>
            <w:color w:val="000000"/>
            <w:sz w:val="24"/>
            <w:szCs w:val="24"/>
            <w:lang w:val="en-US" w:eastAsia="fr-FR"/>
          </w:rPr>
          <w:t xml:space="preserve"> Vol.</w:t>
        </w:r>
        <w:r w:rsidR="00DD4749" w:rsidRPr="0010285C">
          <w:rPr>
            <w:rFonts w:asciiTheme="majorBidi" w:eastAsia="Times New Roman" w:hAnsiTheme="majorBidi" w:cstheme="majorBidi"/>
            <w:color w:val="000000"/>
            <w:sz w:val="24"/>
            <w:szCs w:val="24"/>
            <w:lang w:val="en-US" w:eastAsia="fr-FR"/>
          </w:rPr>
          <w:t xml:space="preserve"> </w:t>
        </w:r>
        <w:r w:rsidR="00E724B9" w:rsidRPr="0010285C">
          <w:rPr>
            <w:rFonts w:asciiTheme="majorBidi" w:eastAsia="Times New Roman" w:hAnsiTheme="majorBidi" w:cstheme="majorBidi"/>
            <w:color w:val="000000"/>
            <w:sz w:val="24"/>
            <w:szCs w:val="24"/>
            <w:lang w:val="en-US" w:eastAsia="fr-FR"/>
          </w:rPr>
          <w:t>9</w:t>
        </w:r>
        <w:r w:rsidR="00DD4749" w:rsidRPr="0010285C">
          <w:rPr>
            <w:rFonts w:asciiTheme="majorBidi" w:eastAsia="Times New Roman" w:hAnsiTheme="majorBidi" w:cstheme="majorBidi"/>
            <w:color w:val="000000"/>
            <w:sz w:val="24"/>
            <w:szCs w:val="24"/>
            <w:lang w:val="en-US" w:eastAsia="fr-FR"/>
          </w:rPr>
          <w:t xml:space="preserve">, n° 2 </w:t>
        </w:r>
        <w:r w:rsidR="0010285C" w:rsidRPr="0010285C">
          <w:rPr>
            <w:rFonts w:asciiTheme="majorBidi" w:hAnsiTheme="majorBidi" w:cstheme="majorBidi"/>
            <w:color w:val="000000"/>
            <w:sz w:val="24"/>
            <w:szCs w:val="24"/>
            <w:shd w:val="clear" w:color="auto" w:fill="FFFFFF"/>
            <w:lang w:val="en-US"/>
          </w:rPr>
          <w:t>[online] URL: http://www.ecologyandsociety.org/vol9/iss2/art5/</w:t>
        </w:r>
        <w:r w:rsidR="00E724B9" w:rsidRPr="0010285C">
          <w:rPr>
            <w:rFonts w:asciiTheme="majorBidi" w:eastAsia="Times New Roman" w:hAnsiTheme="majorBidi" w:cstheme="majorBidi"/>
            <w:color w:val="000000"/>
            <w:sz w:val="24"/>
            <w:szCs w:val="24"/>
            <w:lang w:val="en-US" w:eastAsia="fr-FR"/>
          </w:rPr>
          <w:t xml:space="preserve">  </w:t>
        </w:r>
      </w:hyperlink>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Walker, B.,</w:t>
      </w:r>
      <w:r w:rsidR="00F7549C" w:rsidRPr="00F77863">
        <w:rPr>
          <w:rFonts w:ascii="Times New Roman" w:eastAsia="Times New Roman" w:hAnsi="Times New Roman" w:cs="Times New Roman"/>
          <w:b/>
          <w:bCs/>
          <w:color w:val="000000"/>
          <w:sz w:val="24"/>
          <w:szCs w:val="24"/>
          <w:lang w:val="en-US" w:eastAsia="fr-FR"/>
        </w:rPr>
        <w:t xml:space="preserve"> &amp;</w:t>
      </w:r>
      <w:r w:rsidRPr="00F77863">
        <w:rPr>
          <w:rFonts w:ascii="Times New Roman" w:eastAsia="Times New Roman" w:hAnsi="Times New Roman" w:cs="Times New Roman"/>
          <w:b/>
          <w:bCs/>
          <w:color w:val="000000"/>
          <w:sz w:val="24"/>
          <w:szCs w:val="24"/>
          <w:lang w:val="en-US" w:eastAsia="fr-FR"/>
        </w:rPr>
        <w:t xml:space="preserve"> Salt</w:t>
      </w:r>
      <w:r w:rsidR="00F7549C" w:rsidRPr="00F77863">
        <w:rPr>
          <w:rFonts w:ascii="Times New Roman" w:eastAsia="Times New Roman" w:hAnsi="Times New Roman" w:cs="Times New Roman"/>
          <w:b/>
          <w:bCs/>
          <w:color w:val="000000"/>
          <w:sz w:val="24"/>
          <w:szCs w:val="24"/>
          <w:lang w:val="en-US" w:eastAsia="fr-FR"/>
        </w:rPr>
        <w:t xml:space="preserve">, </w:t>
      </w:r>
      <w:r w:rsidRPr="00F77863">
        <w:rPr>
          <w:rFonts w:ascii="Times New Roman" w:eastAsia="Times New Roman" w:hAnsi="Times New Roman" w:cs="Times New Roman"/>
          <w:b/>
          <w:bCs/>
          <w:color w:val="000000"/>
          <w:sz w:val="24"/>
          <w:szCs w:val="24"/>
          <w:lang w:val="en-US" w:eastAsia="fr-FR"/>
        </w:rPr>
        <w:t>D.</w:t>
      </w:r>
      <w:r w:rsidR="00D33C12" w:rsidRPr="00F77863">
        <w:rPr>
          <w:rFonts w:ascii="Times New Roman" w:eastAsia="Times New Roman" w:hAnsi="Times New Roman" w:cs="Times New Roman"/>
          <w:b/>
          <w:bCs/>
          <w:color w:val="000000"/>
          <w:sz w:val="24"/>
          <w:szCs w:val="24"/>
          <w:lang w:val="en-US" w:eastAsia="fr-FR"/>
        </w:rPr>
        <w:t>, (2006):</w:t>
      </w:r>
      <w:r w:rsidR="00D33C12">
        <w:rPr>
          <w:rFonts w:ascii="Times New Roman" w:eastAsia="Times New Roman" w:hAnsi="Times New Roman" w:cs="Times New Roman"/>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Resilience Thinking: Sustaining Ecosystems and People in a Changing World</w:t>
      </w:r>
      <w:r w:rsidR="00D33C12">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C739B5">
        <w:rPr>
          <w:rFonts w:ascii="Times New Roman" w:eastAsia="Times New Roman" w:hAnsi="Times New Roman" w:cs="Times New Roman"/>
          <w:color w:val="000000"/>
          <w:sz w:val="24"/>
          <w:szCs w:val="24"/>
          <w:lang w:val="en-US" w:eastAsia="fr-FR"/>
        </w:rPr>
        <w:t>Washington</w:t>
      </w:r>
      <w:r w:rsidR="00C739B5">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C739B5">
        <w:rPr>
          <w:rFonts w:ascii="Times New Roman" w:eastAsia="Times New Roman" w:hAnsi="Times New Roman" w:cs="Times New Roman"/>
          <w:i/>
          <w:iCs/>
          <w:color w:val="000000"/>
          <w:sz w:val="24"/>
          <w:szCs w:val="24"/>
          <w:lang w:val="en-US" w:eastAsia="fr-FR"/>
        </w:rPr>
        <w:t>Island Press</w:t>
      </w:r>
      <w:r w:rsidR="00C739B5">
        <w:rPr>
          <w:rFonts w:ascii="Times New Roman" w:eastAsia="Times New Roman" w:hAnsi="Times New Roman" w:cs="Times New Roman"/>
          <w:color w:val="000000"/>
          <w:sz w:val="24"/>
          <w:szCs w:val="24"/>
          <w:lang w:val="en-US" w:eastAsia="fr-FR"/>
        </w:rPr>
        <w:t>,</w:t>
      </w:r>
      <w:r w:rsidR="00E71193">
        <w:rPr>
          <w:rFonts w:ascii="Times New Roman" w:eastAsia="Times New Roman" w:hAnsi="Times New Roman" w:cs="Times New Roman"/>
          <w:color w:val="000000"/>
          <w:sz w:val="24"/>
          <w:szCs w:val="24"/>
          <w:lang w:val="en-US" w:eastAsia="fr-FR"/>
        </w:rPr>
        <w:t xml:space="preserve"> </w:t>
      </w:r>
      <w:r w:rsidR="00C739B5">
        <w:rPr>
          <w:rFonts w:ascii="Times New Roman" w:eastAsia="Times New Roman" w:hAnsi="Times New Roman" w:cs="Times New Roman"/>
          <w:color w:val="000000"/>
          <w:sz w:val="24"/>
          <w:szCs w:val="24"/>
          <w:lang w:val="en-US" w:eastAsia="fr-FR"/>
        </w:rPr>
        <w:t>192p.</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Wan</w:t>
      </w:r>
      <w:r w:rsidRPr="00B21D45">
        <w:rPr>
          <w:rFonts w:ascii="Times New Roman" w:eastAsia="Times New Roman" w:hAnsi="Times New Roman" w:cs="Times New Roman"/>
          <w:b/>
          <w:bCs/>
          <w:color w:val="000000"/>
          <w:sz w:val="24"/>
          <w:szCs w:val="24"/>
          <w:lang w:val="en-US" w:eastAsia="fr-FR"/>
        </w:rPr>
        <w:t>, C.</w:t>
      </w:r>
      <w:r w:rsidR="00B21D45" w:rsidRPr="00B21D45">
        <w:rPr>
          <w:rFonts w:ascii="Times New Roman" w:eastAsia="Times New Roman" w:hAnsi="Times New Roman" w:cs="Times New Roman"/>
          <w:b/>
          <w:bCs/>
          <w:color w:val="000000"/>
          <w:sz w:val="24"/>
          <w:szCs w:val="24"/>
          <w:lang w:val="en-US" w:eastAsia="fr-FR"/>
        </w:rPr>
        <w:t>,</w:t>
      </w:r>
      <w:r w:rsidRPr="00B21D45">
        <w:rPr>
          <w:rFonts w:ascii="Times New Roman" w:eastAsia="Times New Roman" w:hAnsi="Times New Roman" w:cs="Times New Roman"/>
          <w:b/>
          <w:bCs/>
          <w:color w:val="000000"/>
          <w:sz w:val="24"/>
          <w:szCs w:val="24"/>
          <w:lang w:val="en-US" w:eastAsia="fr-FR"/>
        </w:rPr>
        <w:t xml:space="preserve"> Yang, Z.</w:t>
      </w:r>
      <w:r w:rsidR="00B21D45" w:rsidRPr="00B21D45">
        <w:rPr>
          <w:rFonts w:ascii="Times New Roman" w:eastAsia="Times New Roman" w:hAnsi="Times New Roman" w:cs="Times New Roman"/>
          <w:b/>
          <w:bCs/>
          <w:color w:val="000000"/>
          <w:sz w:val="24"/>
          <w:szCs w:val="24"/>
          <w:lang w:val="en-US" w:eastAsia="fr-FR"/>
        </w:rPr>
        <w:t>,</w:t>
      </w:r>
      <w:r w:rsidRPr="00B21D45">
        <w:rPr>
          <w:rFonts w:ascii="Times New Roman" w:eastAsia="Times New Roman" w:hAnsi="Times New Roman" w:cs="Times New Roman"/>
          <w:b/>
          <w:bCs/>
          <w:color w:val="000000"/>
          <w:sz w:val="24"/>
          <w:szCs w:val="24"/>
          <w:lang w:val="en-US" w:eastAsia="fr-FR"/>
        </w:rPr>
        <w:t xml:space="preserve"> Zhang, D.</w:t>
      </w:r>
      <w:r w:rsidR="00B21D45" w:rsidRPr="00B21D45">
        <w:rPr>
          <w:rFonts w:ascii="Times New Roman" w:eastAsia="Times New Roman" w:hAnsi="Times New Roman" w:cs="Times New Roman"/>
          <w:b/>
          <w:bCs/>
          <w:color w:val="000000"/>
          <w:sz w:val="24"/>
          <w:szCs w:val="24"/>
          <w:lang w:val="en-US" w:eastAsia="fr-FR"/>
        </w:rPr>
        <w:t>,</w:t>
      </w:r>
      <w:r w:rsidRPr="00B21D45">
        <w:rPr>
          <w:rFonts w:ascii="Times New Roman" w:eastAsia="Times New Roman" w:hAnsi="Times New Roman" w:cs="Times New Roman"/>
          <w:b/>
          <w:bCs/>
          <w:color w:val="000000"/>
          <w:sz w:val="24"/>
          <w:szCs w:val="24"/>
          <w:lang w:val="en-US" w:eastAsia="fr-FR"/>
        </w:rPr>
        <w:t xml:space="preserve"> Yan, X.</w:t>
      </w:r>
      <w:r w:rsidR="00B21D45" w:rsidRPr="00B21D45">
        <w:rPr>
          <w:rFonts w:ascii="Times New Roman" w:eastAsia="Times New Roman" w:hAnsi="Times New Roman" w:cs="Times New Roman"/>
          <w:b/>
          <w:bCs/>
          <w:color w:val="000000"/>
          <w:sz w:val="24"/>
          <w:szCs w:val="24"/>
          <w:lang w:val="en-US" w:eastAsia="fr-FR"/>
        </w:rPr>
        <w:t>&amp;</w:t>
      </w:r>
      <w:r w:rsidRPr="00B21D45">
        <w:rPr>
          <w:rFonts w:ascii="Times New Roman" w:eastAsia="Times New Roman" w:hAnsi="Times New Roman" w:cs="Times New Roman"/>
          <w:b/>
          <w:bCs/>
          <w:color w:val="000000"/>
          <w:sz w:val="24"/>
          <w:szCs w:val="24"/>
          <w:lang w:val="en-US" w:eastAsia="fr-FR"/>
        </w:rPr>
        <w:t xml:space="preserve"> Fan, S.</w:t>
      </w:r>
      <w:r w:rsidR="00B21D45" w:rsidRPr="00B21D45">
        <w:rPr>
          <w:rFonts w:ascii="Times New Roman" w:eastAsia="Times New Roman" w:hAnsi="Times New Roman" w:cs="Times New Roman"/>
          <w:b/>
          <w:bCs/>
          <w:color w:val="000000"/>
          <w:sz w:val="24"/>
          <w:szCs w:val="24"/>
          <w:lang w:val="en-US" w:eastAsia="fr-FR"/>
        </w:rPr>
        <w:t>(</w:t>
      </w:r>
      <w:r w:rsidRPr="00B21D45">
        <w:rPr>
          <w:rFonts w:ascii="Times New Roman" w:eastAsia="Times New Roman" w:hAnsi="Times New Roman" w:cs="Times New Roman"/>
          <w:b/>
          <w:bCs/>
          <w:color w:val="000000"/>
          <w:sz w:val="24"/>
          <w:szCs w:val="24"/>
          <w:lang w:val="en-US" w:eastAsia="fr-FR"/>
        </w:rPr>
        <w:t xml:space="preserve"> </w:t>
      </w:r>
      <w:r w:rsidR="00B21D45" w:rsidRPr="00B21D45">
        <w:rPr>
          <w:rFonts w:ascii="Times New Roman" w:eastAsia="Times New Roman" w:hAnsi="Times New Roman" w:cs="Times New Roman"/>
          <w:b/>
          <w:bCs/>
          <w:color w:val="000000"/>
          <w:sz w:val="24"/>
          <w:szCs w:val="24"/>
          <w:lang w:val="en-US" w:eastAsia="fr-FR"/>
        </w:rPr>
        <w:t>2018):</w:t>
      </w:r>
      <w:r w:rsidR="00B21D45">
        <w:rPr>
          <w:rFonts w:ascii="Times New Roman" w:eastAsia="Times New Roman" w:hAnsi="Times New Roman" w:cs="Times New Roman"/>
          <w:b/>
          <w:bCs/>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Resilience in transportation systems: A systematic review and future directions</w:t>
      </w:r>
      <w:r w:rsidR="00B21D45">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B21D45">
        <w:rPr>
          <w:rFonts w:ascii="Times New Roman" w:eastAsia="Times New Roman" w:hAnsi="Times New Roman" w:cs="Times New Roman"/>
          <w:i/>
          <w:iCs/>
          <w:color w:val="000000"/>
          <w:sz w:val="24"/>
          <w:szCs w:val="24"/>
          <w:lang w:val="en-US" w:eastAsia="fr-FR"/>
        </w:rPr>
        <w:t>Transp. Rev.</w:t>
      </w:r>
      <w:r w:rsidRPr="00891AC7">
        <w:rPr>
          <w:rFonts w:ascii="Times New Roman" w:eastAsia="Times New Roman" w:hAnsi="Times New Roman" w:cs="Times New Roman"/>
          <w:color w:val="000000"/>
          <w:sz w:val="24"/>
          <w:szCs w:val="24"/>
          <w:lang w:val="en-US" w:eastAsia="fr-FR"/>
        </w:rPr>
        <w:t xml:space="preserve">, </w:t>
      </w:r>
      <w:r w:rsidR="00B21D45">
        <w:rPr>
          <w:rFonts w:ascii="Times New Roman" w:eastAsia="Times New Roman" w:hAnsi="Times New Roman" w:cs="Times New Roman"/>
          <w:color w:val="000000"/>
          <w:sz w:val="24"/>
          <w:szCs w:val="24"/>
          <w:lang w:val="en-US" w:eastAsia="fr-FR"/>
        </w:rPr>
        <w:t>vol.</w:t>
      </w:r>
      <w:r w:rsidRPr="00891AC7">
        <w:rPr>
          <w:rFonts w:ascii="Times New Roman" w:eastAsia="Times New Roman" w:hAnsi="Times New Roman" w:cs="Times New Roman"/>
          <w:color w:val="000000"/>
          <w:sz w:val="24"/>
          <w:szCs w:val="24"/>
          <w:lang w:val="en-US" w:eastAsia="fr-FR"/>
        </w:rPr>
        <w:t>38,</w:t>
      </w:r>
      <w:r w:rsidR="00B21D45">
        <w:rPr>
          <w:rFonts w:ascii="Times New Roman" w:eastAsia="Times New Roman" w:hAnsi="Times New Roman" w:cs="Times New Roman"/>
          <w:color w:val="000000"/>
          <w:sz w:val="24"/>
          <w:szCs w:val="24"/>
          <w:lang w:val="en-US" w:eastAsia="fr-FR"/>
        </w:rPr>
        <w:t xml:space="preserve"> </w:t>
      </w:r>
      <w:r w:rsidR="00191967">
        <w:rPr>
          <w:rFonts w:ascii="Times New Roman" w:eastAsia="Times New Roman" w:hAnsi="Times New Roman" w:cs="Times New Roman"/>
          <w:color w:val="000000"/>
          <w:sz w:val="24"/>
          <w:szCs w:val="24"/>
          <w:lang w:val="en-US" w:eastAsia="fr-FR"/>
        </w:rPr>
        <w:t>p</w:t>
      </w:r>
      <w:r w:rsidR="00B21D45">
        <w:rPr>
          <w:rFonts w:ascii="Times New Roman" w:eastAsia="Times New Roman" w:hAnsi="Times New Roman" w:cs="Times New Roman"/>
          <w:color w:val="000000"/>
          <w:sz w:val="24"/>
          <w:szCs w:val="24"/>
          <w:lang w:val="en-US" w:eastAsia="fr-FR"/>
        </w:rPr>
        <w:t>p.</w:t>
      </w:r>
      <w:r w:rsidRPr="00891AC7">
        <w:rPr>
          <w:rFonts w:ascii="Times New Roman" w:eastAsia="Times New Roman" w:hAnsi="Times New Roman" w:cs="Times New Roman"/>
          <w:color w:val="000000"/>
          <w:sz w:val="24"/>
          <w:szCs w:val="24"/>
          <w:lang w:val="en-US" w:eastAsia="fr-FR"/>
        </w:rPr>
        <w:t xml:space="preserve"> 479–498.</w:t>
      </w:r>
    </w:p>
    <w:p w:rsidR="00983FF6" w:rsidRDefault="00B62F86" w:rsidP="00AE6E2D">
      <w:pPr>
        <w:spacing w:line="240" w:lineRule="auto"/>
        <w:jc w:val="both"/>
        <w:rPr>
          <w:rFonts w:ascii="Times New Roman" w:eastAsia="Times New Roman" w:hAnsi="Times New Roman" w:cs="Times New Roman"/>
          <w:b/>
          <w:bCs/>
          <w:color w:val="000000"/>
          <w:sz w:val="24"/>
          <w:szCs w:val="24"/>
          <w:lang w:val="en-US" w:eastAsia="fr-FR"/>
        </w:rPr>
      </w:pPr>
      <w:hyperlink r:id="rId412" w:history="1">
        <w:r w:rsidR="00983FF6" w:rsidRPr="00E13385">
          <w:rPr>
            <w:rFonts w:ascii="Times New Roman" w:eastAsia="Times New Roman" w:hAnsi="Times New Roman" w:cs="Times New Roman"/>
            <w:b/>
            <w:bCs/>
            <w:color w:val="000000"/>
            <w:sz w:val="24"/>
            <w:szCs w:val="24"/>
            <w:lang w:val="en-US" w:eastAsia="fr-FR"/>
          </w:rPr>
          <w:t>Wardekker</w:t>
        </w:r>
        <w:r w:rsidR="00983FF6" w:rsidRPr="00891AC7">
          <w:rPr>
            <w:rFonts w:ascii="Times New Roman" w:eastAsia="Times New Roman" w:hAnsi="Times New Roman" w:cs="Times New Roman"/>
            <w:b/>
            <w:bCs/>
            <w:color w:val="000000"/>
            <w:sz w:val="24"/>
            <w:szCs w:val="24"/>
            <w:lang w:val="en-US" w:eastAsia="fr-FR"/>
          </w:rPr>
          <w:t>, J. A., de Jong, A., Knoop, J. M., &amp; van der Sluijs, J. P.</w:t>
        </w:r>
        <w:r w:rsidR="00983FF6">
          <w:rPr>
            <w:rFonts w:ascii="Times New Roman" w:eastAsia="Times New Roman" w:hAnsi="Times New Roman" w:cs="Times New Roman"/>
            <w:b/>
            <w:bCs/>
            <w:color w:val="000000"/>
            <w:sz w:val="24"/>
            <w:szCs w:val="24"/>
            <w:lang w:val="en-US" w:eastAsia="fr-FR"/>
          </w:rPr>
          <w:t>,</w:t>
        </w:r>
        <w:r w:rsidR="00983FF6" w:rsidRPr="00891AC7">
          <w:rPr>
            <w:rFonts w:ascii="Times New Roman" w:eastAsia="Times New Roman" w:hAnsi="Times New Roman" w:cs="Times New Roman"/>
            <w:b/>
            <w:bCs/>
            <w:color w:val="000000"/>
            <w:sz w:val="24"/>
            <w:szCs w:val="24"/>
            <w:lang w:val="en-US" w:eastAsia="fr-FR"/>
          </w:rPr>
          <w:t xml:space="preserve"> (2010)</w:t>
        </w:r>
        <w:r w:rsidR="00983FF6">
          <w:rPr>
            <w:rFonts w:ascii="Times New Roman" w:eastAsia="Times New Roman" w:hAnsi="Times New Roman" w:cs="Times New Roman"/>
            <w:b/>
            <w:bCs/>
            <w:color w:val="000000"/>
            <w:sz w:val="24"/>
            <w:szCs w:val="24"/>
            <w:lang w:val="en-US" w:eastAsia="fr-FR"/>
          </w:rPr>
          <w:t>: “</w:t>
        </w:r>
        <w:r w:rsidR="00983FF6" w:rsidRPr="00891AC7">
          <w:rPr>
            <w:rFonts w:ascii="Times New Roman" w:eastAsia="Times New Roman" w:hAnsi="Times New Roman" w:cs="Times New Roman"/>
            <w:sz w:val="24"/>
            <w:szCs w:val="24"/>
            <w:lang w:val="en-US" w:eastAsia="fr-FR"/>
          </w:rPr>
          <w:t>Operationalising a resilience approach to adapting an urban delta to uncertain climate changes</w:t>
        </w:r>
        <w:r w:rsidR="00983FF6">
          <w:rPr>
            <w:rFonts w:ascii="Times New Roman" w:eastAsia="Times New Roman" w:hAnsi="Times New Roman" w:cs="Times New Roman"/>
            <w:sz w:val="24"/>
            <w:szCs w:val="24"/>
            <w:lang w:val="en-US" w:eastAsia="fr-FR"/>
          </w:rPr>
          <w:t>”,</w:t>
        </w:r>
        <w:r w:rsidR="00983FF6" w:rsidRPr="00891AC7">
          <w:rPr>
            <w:rFonts w:ascii="Times New Roman" w:eastAsia="Times New Roman" w:hAnsi="Times New Roman" w:cs="Times New Roman"/>
            <w:sz w:val="24"/>
            <w:szCs w:val="24"/>
            <w:lang w:val="en-US" w:eastAsia="fr-FR"/>
          </w:rPr>
          <w:t xml:space="preserve"> </w:t>
        </w:r>
        <w:r w:rsidR="00983FF6" w:rsidRPr="00983FF6">
          <w:rPr>
            <w:rFonts w:ascii="Times New Roman" w:eastAsia="Times New Roman" w:hAnsi="Times New Roman" w:cs="Times New Roman"/>
            <w:i/>
            <w:iCs/>
            <w:sz w:val="24"/>
            <w:szCs w:val="24"/>
            <w:lang w:val="en-US" w:eastAsia="fr-FR"/>
          </w:rPr>
          <w:t>Technological Forecasting and Social Change</w:t>
        </w:r>
        <w:r w:rsidR="00983FF6" w:rsidRPr="00891AC7">
          <w:rPr>
            <w:rFonts w:ascii="Times New Roman" w:eastAsia="Times New Roman" w:hAnsi="Times New Roman" w:cs="Times New Roman"/>
            <w:sz w:val="24"/>
            <w:szCs w:val="24"/>
            <w:lang w:val="en-US" w:eastAsia="fr-FR"/>
          </w:rPr>
          <w:t>,</w:t>
        </w:r>
        <w:r w:rsidR="00983FF6">
          <w:rPr>
            <w:rFonts w:ascii="Times New Roman" w:eastAsia="Times New Roman" w:hAnsi="Times New Roman" w:cs="Times New Roman"/>
            <w:sz w:val="24"/>
            <w:szCs w:val="24"/>
            <w:lang w:val="en-US" w:eastAsia="fr-FR"/>
          </w:rPr>
          <w:t xml:space="preserve"> vol. </w:t>
        </w:r>
        <w:r w:rsidR="00983FF6" w:rsidRPr="00891AC7">
          <w:rPr>
            <w:rFonts w:ascii="Times New Roman" w:eastAsia="Times New Roman" w:hAnsi="Times New Roman" w:cs="Times New Roman"/>
            <w:sz w:val="24"/>
            <w:szCs w:val="24"/>
            <w:lang w:val="en-US" w:eastAsia="fr-FR"/>
          </w:rPr>
          <w:t>77</w:t>
        </w:r>
        <w:r w:rsidR="00983FF6">
          <w:rPr>
            <w:rFonts w:ascii="Times New Roman" w:eastAsia="Times New Roman" w:hAnsi="Times New Roman" w:cs="Times New Roman"/>
            <w:sz w:val="24"/>
            <w:szCs w:val="24"/>
            <w:lang w:val="en-US" w:eastAsia="fr-FR"/>
          </w:rPr>
          <w:t>, n° 6</w:t>
        </w:r>
        <w:r w:rsidR="00983FF6" w:rsidRPr="00891AC7">
          <w:rPr>
            <w:rFonts w:ascii="Times New Roman" w:eastAsia="Times New Roman" w:hAnsi="Times New Roman" w:cs="Times New Roman"/>
            <w:sz w:val="24"/>
            <w:szCs w:val="24"/>
            <w:lang w:val="en-US" w:eastAsia="fr-FR"/>
          </w:rPr>
          <w:t>,</w:t>
        </w:r>
        <w:r w:rsidR="00983FF6">
          <w:rPr>
            <w:rFonts w:ascii="Times New Roman" w:eastAsia="Times New Roman" w:hAnsi="Times New Roman" w:cs="Times New Roman"/>
            <w:sz w:val="24"/>
            <w:szCs w:val="24"/>
            <w:lang w:val="en-US" w:eastAsia="fr-FR"/>
          </w:rPr>
          <w:t xml:space="preserve"> p</w:t>
        </w:r>
        <w:r w:rsidR="00191967">
          <w:rPr>
            <w:rFonts w:ascii="Times New Roman" w:eastAsia="Times New Roman" w:hAnsi="Times New Roman" w:cs="Times New Roman"/>
            <w:sz w:val="24"/>
            <w:szCs w:val="24"/>
            <w:lang w:val="en-US" w:eastAsia="fr-FR"/>
          </w:rPr>
          <w:t>p</w:t>
        </w:r>
        <w:r w:rsidR="00983FF6">
          <w:rPr>
            <w:rFonts w:ascii="Times New Roman" w:eastAsia="Times New Roman" w:hAnsi="Times New Roman" w:cs="Times New Roman"/>
            <w:sz w:val="24"/>
            <w:szCs w:val="24"/>
            <w:lang w:val="en-US" w:eastAsia="fr-FR"/>
          </w:rPr>
          <w:t>.</w:t>
        </w:r>
        <w:r w:rsidR="00983FF6" w:rsidRPr="00891AC7">
          <w:rPr>
            <w:rFonts w:ascii="Times New Roman" w:eastAsia="Times New Roman" w:hAnsi="Times New Roman" w:cs="Times New Roman"/>
            <w:sz w:val="24"/>
            <w:szCs w:val="24"/>
            <w:lang w:val="en-US" w:eastAsia="fr-FR"/>
          </w:rPr>
          <w:t xml:space="preserve"> 987–998. http://dx.doi.org/10.1016/j.techfore.2009.11.005 </w:t>
        </w:r>
      </w:hyperlink>
    </w:p>
    <w:p w:rsidR="00E724B9"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413" w:history="1">
        <w:r w:rsidR="00E724B9" w:rsidRPr="00E13385">
          <w:rPr>
            <w:rFonts w:ascii="Times New Roman" w:eastAsia="Times New Roman" w:hAnsi="Times New Roman" w:cs="Times New Roman"/>
            <w:b/>
            <w:bCs/>
            <w:color w:val="000000"/>
            <w:sz w:val="24"/>
            <w:szCs w:val="24"/>
            <w:lang w:val="en-US" w:eastAsia="fr-FR"/>
          </w:rPr>
          <w:t>Wehn</w:t>
        </w:r>
        <w:r w:rsidR="00E724B9" w:rsidRPr="007613D3">
          <w:rPr>
            <w:rFonts w:ascii="Times New Roman" w:eastAsia="Times New Roman" w:hAnsi="Times New Roman" w:cs="Times New Roman"/>
            <w:b/>
            <w:bCs/>
            <w:color w:val="000000"/>
            <w:sz w:val="24"/>
            <w:szCs w:val="24"/>
            <w:lang w:val="en-US" w:eastAsia="fr-FR"/>
          </w:rPr>
          <w:t xml:space="preserve">, U., Rusca M., Evers J., </w:t>
        </w:r>
        <w:r w:rsidR="007613D3" w:rsidRPr="007613D3">
          <w:rPr>
            <w:rFonts w:ascii="Times New Roman" w:eastAsia="Times New Roman" w:hAnsi="Times New Roman" w:cs="Times New Roman"/>
            <w:b/>
            <w:bCs/>
            <w:color w:val="000000"/>
            <w:sz w:val="24"/>
            <w:szCs w:val="24"/>
            <w:lang w:val="en-US" w:eastAsia="fr-FR"/>
          </w:rPr>
          <w:t>&amp;</w:t>
        </w:r>
        <w:r w:rsidR="00E724B9" w:rsidRPr="007613D3">
          <w:rPr>
            <w:rFonts w:ascii="Times New Roman" w:eastAsia="Times New Roman" w:hAnsi="Times New Roman" w:cs="Times New Roman"/>
            <w:b/>
            <w:bCs/>
            <w:color w:val="000000"/>
            <w:sz w:val="24"/>
            <w:szCs w:val="24"/>
            <w:lang w:val="en-US" w:eastAsia="fr-FR"/>
          </w:rPr>
          <w:t xml:space="preserve"> Lanfranchi</w:t>
        </w:r>
        <w:r w:rsidR="007613D3" w:rsidRPr="007613D3">
          <w:rPr>
            <w:rFonts w:ascii="Times New Roman" w:eastAsia="Times New Roman" w:hAnsi="Times New Roman" w:cs="Times New Roman"/>
            <w:b/>
            <w:bCs/>
            <w:color w:val="000000"/>
            <w:sz w:val="24"/>
            <w:szCs w:val="24"/>
            <w:lang w:val="en-US" w:eastAsia="fr-FR"/>
          </w:rPr>
          <w:t>,</w:t>
        </w:r>
        <w:r w:rsidR="00E724B9" w:rsidRPr="007613D3">
          <w:rPr>
            <w:rFonts w:ascii="Times New Roman" w:eastAsia="Times New Roman" w:hAnsi="Times New Roman" w:cs="Times New Roman"/>
            <w:b/>
            <w:bCs/>
            <w:color w:val="000000"/>
            <w:sz w:val="24"/>
            <w:szCs w:val="24"/>
            <w:lang w:val="en-US" w:eastAsia="fr-FR"/>
          </w:rPr>
          <w:t xml:space="preserve"> V.</w:t>
        </w:r>
        <w:r w:rsidR="007613D3" w:rsidRPr="007613D3">
          <w:rPr>
            <w:b/>
            <w:bCs/>
            <w:lang w:val="en-US"/>
          </w:rPr>
          <w:t xml:space="preserve"> </w:t>
        </w:r>
        <w:r w:rsidR="007613D3" w:rsidRPr="007613D3">
          <w:rPr>
            <w:rFonts w:ascii="Times New Roman" w:eastAsia="Times New Roman" w:hAnsi="Times New Roman" w:cs="Times New Roman"/>
            <w:b/>
            <w:bCs/>
            <w:color w:val="000000"/>
            <w:sz w:val="24"/>
            <w:szCs w:val="24"/>
            <w:lang w:val="en-US" w:eastAsia="fr-FR"/>
          </w:rPr>
          <w:t>(2015):</w:t>
        </w:r>
        <w:r w:rsidR="007613D3">
          <w:rPr>
            <w:rFonts w:ascii="Times New Roman" w:eastAsia="Times New Roman" w:hAnsi="Times New Roman" w:cs="Times New Roman"/>
            <w:color w:val="000000"/>
            <w:sz w:val="24"/>
            <w:szCs w:val="24"/>
            <w:lang w:val="en-US" w:eastAsia="fr-FR"/>
          </w:rPr>
          <w:t xml:space="preserve"> “</w:t>
        </w:r>
        <w:r w:rsidR="00E724B9" w:rsidRPr="00891AC7">
          <w:rPr>
            <w:rFonts w:ascii="Times New Roman" w:eastAsia="Times New Roman" w:hAnsi="Times New Roman" w:cs="Times New Roman"/>
            <w:color w:val="000000"/>
            <w:sz w:val="24"/>
            <w:szCs w:val="24"/>
            <w:lang w:val="en-US" w:eastAsia="fr-FR"/>
          </w:rPr>
          <w:t>Participation in Flood Risk Management and the Potential of Citizen Obser</w:t>
        </w:r>
        <w:r w:rsidR="007613D3">
          <w:rPr>
            <w:rFonts w:ascii="Times New Roman" w:eastAsia="Times New Roman" w:hAnsi="Times New Roman" w:cs="Times New Roman"/>
            <w:color w:val="000000"/>
            <w:sz w:val="24"/>
            <w:szCs w:val="24"/>
            <w:lang w:val="en-US" w:eastAsia="fr-FR"/>
          </w:rPr>
          <w:t xml:space="preserve">vatories: A Governance Analysis”, </w:t>
        </w:r>
        <w:r w:rsidR="007613D3">
          <w:rPr>
            <w:rFonts w:ascii="Times New Roman" w:eastAsia="Times New Roman" w:hAnsi="Times New Roman" w:cs="Times New Roman"/>
            <w:i/>
            <w:iCs/>
            <w:color w:val="000000"/>
            <w:sz w:val="24"/>
            <w:szCs w:val="24"/>
            <w:lang w:val="en-US" w:eastAsia="fr-FR"/>
          </w:rPr>
          <w:t>Environ</w:t>
        </w:r>
        <w:r w:rsidR="00E724B9" w:rsidRPr="007613D3">
          <w:rPr>
            <w:rFonts w:ascii="Times New Roman" w:eastAsia="Times New Roman" w:hAnsi="Times New Roman" w:cs="Times New Roman"/>
            <w:i/>
            <w:iCs/>
            <w:color w:val="000000"/>
            <w:sz w:val="24"/>
            <w:szCs w:val="24"/>
            <w:lang w:val="en-US" w:eastAsia="fr-FR"/>
          </w:rPr>
          <w:t xml:space="preserve"> Science &amp; Policy</w:t>
        </w:r>
        <w:r w:rsidR="007613D3">
          <w:rPr>
            <w:rFonts w:ascii="Times New Roman" w:eastAsia="Times New Roman" w:hAnsi="Times New Roman" w:cs="Times New Roman"/>
            <w:color w:val="000000"/>
            <w:sz w:val="24"/>
            <w:szCs w:val="24"/>
            <w:lang w:val="en-US" w:eastAsia="fr-FR"/>
          </w:rPr>
          <w:t>,</w:t>
        </w:r>
        <w:r w:rsidR="00983FF6">
          <w:rPr>
            <w:rFonts w:ascii="Times New Roman" w:eastAsia="Times New Roman" w:hAnsi="Times New Roman" w:cs="Times New Roman"/>
            <w:color w:val="000000"/>
            <w:sz w:val="24"/>
            <w:szCs w:val="24"/>
            <w:lang w:val="en-US" w:eastAsia="fr-FR"/>
          </w:rPr>
          <w:t xml:space="preserve"> </w:t>
        </w:r>
        <w:r w:rsidR="007613D3">
          <w:rPr>
            <w:rFonts w:ascii="Times New Roman" w:eastAsia="Times New Roman" w:hAnsi="Times New Roman" w:cs="Times New Roman"/>
            <w:color w:val="000000"/>
            <w:sz w:val="24"/>
            <w:szCs w:val="24"/>
            <w:lang w:val="en-US" w:eastAsia="fr-FR"/>
          </w:rPr>
          <w:t>vol.</w:t>
        </w:r>
        <w:r w:rsidR="00E724B9" w:rsidRPr="00891AC7">
          <w:rPr>
            <w:rFonts w:ascii="Times New Roman" w:eastAsia="Times New Roman" w:hAnsi="Times New Roman" w:cs="Times New Roman"/>
            <w:color w:val="000000"/>
            <w:sz w:val="24"/>
            <w:szCs w:val="24"/>
            <w:lang w:val="en-US" w:eastAsia="fr-FR"/>
          </w:rPr>
          <w:t>48</w:t>
        </w:r>
        <w:r w:rsidR="00983FF6">
          <w:rPr>
            <w:rFonts w:ascii="Times New Roman" w:eastAsia="Times New Roman" w:hAnsi="Times New Roman" w:cs="Times New Roman"/>
            <w:color w:val="000000"/>
            <w:sz w:val="24"/>
            <w:szCs w:val="24"/>
            <w:lang w:val="en-US" w:eastAsia="fr-FR"/>
          </w:rPr>
          <w:t>,</w:t>
        </w:r>
        <w:r w:rsidR="007613D3">
          <w:rPr>
            <w:rFonts w:ascii="Times New Roman" w:eastAsia="Times New Roman" w:hAnsi="Times New Roman" w:cs="Times New Roman"/>
            <w:color w:val="000000"/>
            <w:sz w:val="24"/>
            <w:szCs w:val="24"/>
            <w:lang w:val="en-US" w:eastAsia="fr-FR"/>
          </w:rPr>
          <w:t xml:space="preserve"> p</w:t>
        </w:r>
        <w:r w:rsidR="00191967">
          <w:rPr>
            <w:rFonts w:ascii="Times New Roman" w:eastAsia="Times New Roman" w:hAnsi="Times New Roman" w:cs="Times New Roman"/>
            <w:color w:val="000000"/>
            <w:sz w:val="24"/>
            <w:szCs w:val="24"/>
            <w:lang w:val="en-US" w:eastAsia="fr-FR"/>
          </w:rPr>
          <w:t>p</w:t>
        </w:r>
        <w:r w:rsidR="007613D3">
          <w:rPr>
            <w:rFonts w:ascii="Times New Roman" w:eastAsia="Times New Roman" w:hAnsi="Times New Roman" w:cs="Times New Roman"/>
            <w:color w:val="000000"/>
            <w:sz w:val="24"/>
            <w:szCs w:val="24"/>
            <w:lang w:val="en-US" w:eastAsia="fr-FR"/>
          </w:rPr>
          <w:t>.</w:t>
        </w:r>
        <w:r w:rsidR="00E724B9" w:rsidRPr="00891AC7">
          <w:rPr>
            <w:rFonts w:ascii="Times New Roman" w:eastAsia="Times New Roman" w:hAnsi="Times New Roman" w:cs="Times New Roman"/>
            <w:color w:val="000000"/>
            <w:sz w:val="24"/>
            <w:szCs w:val="24"/>
            <w:lang w:val="en-US" w:eastAsia="fr-FR"/>
          </w:rPr>
          <w:t xml:space="preserve"> 225-36. https://doi.org/10.1016/j.envsci.2014.12.017.</w:t>
        </w:r>
      </w:hyperlink>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E13385">
        <w:rPr>
          <w:rFonts w:ascii="Times New Roman" w:eastAsia="Times New Roman" w:hAnsi="Times New Roman" w:cs="Times New Roman"/>
          <w:b/>
          <w:bCs/>
          <w:color w:val="000000"/>
          <w:sz w:val="24"/>
          <w:szCs w:val="24"/>
          <w:lang w:val="en-US" w:eastAsia="fr-FR"/>
        </w:rPr>
        <w:t>Werner</w:t>
      </w:r>
      <w:r w:rsidRPr="00B21D45">
        <w:rPr>
          <w:rFonts w:ascii="Times New Roman" w:eastAsia="Times New Roman" w:hAnsi="Times New Roman" w:cs="Times New Roman"/>
          <w:b/>
          <w:bCs/>
          <w:color w:val="000000"/>
          <w:sz w:val="24"/>
          <w:szCs w:val="24"/>
          <w:lang w:val="en-US" w:eastAsia="fr-FR"/>
        </w:rPr>
        <w:t>, E.E.</w:t>
      </w:r>
      <w:r w:rsidR="007613D3" w:rsidRPr="00B21D45">
        <w:rPr>
          <w:rFonts w:ascii="Times New Roman" w:eastAsia="Times New Roman" w:hAnsi="Times New Roman" w:cs="Times New Roman"/>
          <w:b/>
          <w:bCs/>
          <w:color w:val="000000"/>
          <w:sz w:val="24"/>
          <w:szCs w:val="24"/>
          <w:lang w:val="en-US" w:eastAsia="fr-FR"/>
        </w:rPr>
        <w:t xml:space="preserve"> (1995):</w:t>
      </w:r>
      <w:r w:rsidR="007613D3" w:rsidRPr="00891AC7">
        <w:rPr>
          <w:rFonts w:ascii="Times New Roman" w:eastAsia="Times New Roman" w:hAnsi="Times New Roman" w:cs="Times New Roman"/>
          <w:color w:val="000000"/>
          <w:sz w:val="24"/>
          <w:szCs w:val="24"/>
          <w:lang w:val="en-US" w:eastAsia="fr-FR"/>
        </w:rPr>
        <w:t xml:space="preserve"> </w:t>
      </w:r>
      <w:r w:rsidR="007613D3">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Resilience in Development</w:t>
      </w:r>
      <w:r w:rsidR="007613D3">
        <w:rPr>
          <w:rFonts w:ascii="Times New Roman" w:eastAsia="Times New Roman" w:hAnsi="Times New Roman" w:cs="Times New Roman"/>
          <w:color w:val="000000"/>
          <w:sz w:val="24"/>
          <w:szCs w:val="24"/>
          <w:lang w:val="en-US" w:eastAsia="fr-FR"/>
        </w:rPr>
        <w:t xml:space="preserve">”, </w:t>
      </w:r>
      <w:r w:rsidRPr="007613D3">
        <w:rPr>
          <w:rFonts w:ascii="Times New Roman" w:eastAsia="Times New Roman" w:hAnsi="Times New Roman" w:cs="Times New Roman"/>
          <w:i/>
          <w:iCs/>
          <w:color w:val="000000"/>
          <w:sz w:val="24"/>
          <w:szCs w:val="24"/>
          <w:lang w:val="en-US" w:eastAsia="fr-FR"/>
        </w:rPr>
        <w:t>Current Directions in Psychological Science</w:t>
      </w:r>
      <w:r w:rsidR="007613D3">
        <w:rPr>
          <w:rFonts w:ascii="Times New Roman" w:eastAsia="Times New Roman" w:hAnsi="Times New Roman" w:cs="Times New Roman"/>
          <w:color w:val="000000"/>
          <w:sz w:val="24"/>
          <w:szCs w:val="24"/>
          <w:lang w:val="en-US" w:eastAsia="fr-FR"/>
        </w:rPr>
        <w:t>, vol.</w:t>
      </w:r>
      <w:r w:rsidRPr="00891AC7">
        <w:rPr>
          <w:rFonts w:ascii="Times New Roman" w:eastAsia="Times New Roman" w:hAnsi="Times New Roman" w:cs="Times New Roman"/>
          <w:color w:val="000000"/>
          <w:sz w:val="24"/>
          <w:szCs w:val="24"/>
          <w:lang w:val="en-US" w:eastAsia="fr-FR"/>
        </w:rPr>
        <w:t xml:space="preserve"> 4, no 3</w:t>
      </w:r>
      <w:r w:rsidR="007613D3">
        <w:rPr>
          <w:rFonts w:ascii="Times New Roman" w:eastAsia="Times New Roman" w:hAnsi="Times New Roman" w:cs="Times New Roman"/>
          <w:color w:val="000000"/>
          <w:sz w:val="24"/>
          <w:szCs w:val="24"/>
          <w:lang w:val="en-US" w:eastAsia="fr-FR"/>
        </w:rPr>
        <w:t>, pp.</w:t>
      </w:r>
      <w:r w:rsidRPr="00891AC7">
        <w:rPr>
          <w:rFonts w:ascii="Times New Roman" w:eastAsia="Times New Roman" w:hAnsi="Times New Roman" w:cs="Times New Roman"/>
          <w:color w:val="000000"/>
          <w:sz w:val="24"/>
          <w:szCs w:val="24"/>
          <w:lang w:val="en-US" w:eastAsia="fr-FR"/>
        </w:rPr>
        <w:t xml:space="preserve"> 81-85.</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E13385">
        <w:rPr>
          <w:rFonts w:ascii="Times New Roman" w:eastAsia="Times New Roman" w:hAnsi="Times New Roman" w:cs="Times New Roman"/>
          <w:b/>
          <w:bCs/>
          <w:color w:val="000000"/>
          <w:sz w:val="24"/>
          <w:szCs w:val="24"/>
          <w:lang w:val="en-US" w:eastAsia="fr-FR"/>
        </w:rPr>
        <w:t>Winderl</w:t>
      </w:r>
      <w:r w:rsidRPr="00891AC7">
        <w:rPr>
          <w:rFonts w:ascii="Times New Roman" w:eastAsia="Times New Roman" w:hAnsi="Times New Roman" w:cs="Times New Roman"/>
          <w:b/>
          <w:bCs/>
          <w:color w:val="000000"/>
          <w:sz w:val="24"/>
          <w:szCs w:val="24"/>
          <w:lang w:val="en-US" w:eastAsia="fr-FR"/>
        </w:rPr>
        <w:t>, T., (2014):</w:t>
      </w:r>
      <w:r w:rsidRPr="00891AC7">
        <w:rPr>
          <w:rFonts w:ascii="Times New Roman" w:eastAsia="Times New Roman" w:hAnsi="Times New Roman" w:cs="Times New Roman"/>
          <w:color w:val="000000"/>
          <w:sz w:val="24"/>
          <w:szCs w:val="24"/>
          <w:lang w:val="en-US" w:eastAsia="fr-FR"/>
        </w:rPr>
        <w:t xml:space="preserve"> "Disaster Resilience Measurements: Stocktaking of ongoing efforts in developing systems for measuring resilience", Unit</w:t>
      </w:r>
      <w:r w:rsidR="00BD5CA2">
        <w:rPr>
          <w:rFonts w:ascii="Times New Roman" w:eastAsia="Times New Roman" w:hAnsi="Times New Roman" w:cs="Times New Roman"/>
          <w:color w:val="000000"/>
          <w:sz w:val="24"/>
          <w:szCs w:val="24"/>
          <w:lang w:val="en-US" w:eastAsia="fr-FR"/>
        </w:rPr>
        <w:t>ed Nations Development Program.</w:t>
      </w:r>
    </w:p>
    <w:p w:rsidR="00E85C72" w:rsidRPr="00E85C72" w:rsidRDefault="00E85C72" w:rsidP="00AE6E2D">
      <w:pPr>
        <w:spacing w:line="240" w:lineRule="auto"/>
        <w:jc w:val="both"/>
        <w:rPr>
          <w:rFonts w:ascii="Times New Roman" w:eastAsia="Times New Roman" w:hAnsi="Times New Roman" w:cs="Times New Roman"/>
          <w:color w:val="000000"/>
          <w:sz w:val="24"/>
          <w:szCs w:val="24"/>
          <w:lang w:val="en-US" w:eastAsia="fr-FR"/>
        </w:rPr>
      </w:pPr>
      <w:r w:rsidRPr="00E13385">
        <w:rPr>
          <w:rFonts w:ascii="Times New Roman" w:eastAsia="Times New Roman" w:hAnsi="Times New Roman" w:cs="Times New Roman"/>
          <w:b/>
          <w:bCs/>
          <w:color w:val="000000"/>
          <w:sz w:val="24"/>
          <w:szCs w:val="24"/>
          <w:lang w:val="en-US" w:eastAsia="fr-FR"/>
        </w:rPr>
        <w:t>Winderl</w:t>
      </w:r>
      <w:r w:rsidRPr="00E85C72">
        <w:rPr>
          <w:rFonts w:ascii="Times New Roman" w:eastAsia="Times New Roman" w:hAnsi="Times New Roman" w:cs="Times New Roman"/>
          <w:b/>
          <w:bCs/>
          <w:color w:val="000000"/>
          <w:sz w:val="24"/>
          <w:szCs w:val="24"/>
          <w:lang w:val="en-US" w:eastAsia="fr-FR"/>
        </w:rPr>
        <w:t>, T., (2015):</w:t>
      </w:r>
      <w:r w:rsidRPr="00E85C72">
        <w:rPr>
          <w:rFonts w:ascii="Times New Roman" w:eastAsia="Times New Roman" w:hAnsi="Times New Roman" w:cs="Times New Roman"/>
          <w:color w:val="000000"/>
          <w:sz w:val="24"/>
          <w:szCs w:val="24"/>
          <w:lang w:val="en-US" w:eastAsia="fr-FR"/>
        </w:rPr>
        <w:t xml:space="preserve"> </w:t>
      </w:r>
      <w:r w:rsidR="00BD5CA2">
        <w:rPr>
          <w:rFonts w:ascii="Times New Roman" w:eastAsia="Times New Roman" w:hAnsi="Times New Roman" w:cs="Times New Roman"/>
          <w:color w:val="000000"/>
          <w:sz w:val="24"/>
          <w:szCs w:val="24"/>
          <w:lang w:val="en-US" w:eastAsia="fr-FR"/>
        </w:rPr>
        <w:t>“</w:t>
      </w:r>
      <w:r w:rsidRPr="00E85C72">
        <w:rPr>
          <w:rFonts w:ascii="Times New Roman" w:eastAsia="Times New Roman" w:hAnsi="Times New Roman" w:cs="Times New Roman"/>
          <w:color w:val="000000"/>
          <w:sz w:val="24"/>
          <w:szCs w:val="24"/>
          <w:lang w:val="en-US" w:eastAsia="fr-FR"/>
        </w:rPr>
        <w:t>Disaster resilience measurements: stocktaking of ongoing efforts in developing</w:t>
      </w:r>
      <w:r>
        <w:rPr>
          <w:rFonts w:ascii="Times New Roman" w:eastAsia="Times New Roman" w:hAnsi="Times New Roman" w:cs="Times New Roman"/>
          <w:color w:val="000000"/>
          <w:sz w:val="24"/>
          <w:szCs w:val="24"/>
          <w:lang w:val="en-US" w:eastAsia="fr-FR"/>
        </w:rPr>
        <w:t xml:space="preserve"> </w:t>
      </w:r>
      <w:r w:rsidRPr="00E85C72">
        <w:rPr>
          <w:rFonts w:ascii="Times New Roman" w:eastAsia="Times New Roman" w:hAnsi="Times New Roman" w:cs="Times New Roman"/>
          <w:color w:val="000000"/>
          <w:sz w:val="24"/>
          <w:szCs w:val="24"/>
          <w:lang w:val="en-US" w:eastAsia="fr-FR"/>
        </w:rPr>
        <w:t>systems for measuring resilience</w:t>
      </w:r>
      <w:r w:rsidR="00BD5CA2">
        <w:rPr>
          <w:rFonts w:ascii="Times New Roman" w:eastAsia="Times New Roman" w:hAnsi="Times New Roman" w:cs="Times New Roman"/>
          <w:color w:val="000000"/>
          <w:sz w:val="24"/>
          <w:szCs w:val="24"/>
          <w:lang w:val="en-US" w:eastAsia="fr-FR"/>
        </w:rPr>
        <w:t>”,</w:t>
      </w:r>
      <w:r w:rsidRPr="00E85C72">
        <w:rPr>
          <w:rFonts w:ascii="Times New Roman" w:eastAsia="Times New Roman" w:hAnsi="Times New Roman" w:cs="Times New Roman"/>
          <w:color w:val="000000"/>
          <w:sz w:val="24"/>
          <w:szCs w:val="24"/>
          <w:lang w:val="en-US" w:eastAsia="fr-FR"/>
        </w:rPr>
        <w:t xml:space="preserve"> </w:t>
      </w:r>
      <w:r w:rsidRPr="00E85C72">
        <w:rPr>
          <w:rFonts w:ascii="Times New Roman" w:eastAsia="Times New Roman" w:hAnsi="Times New Roman" w:cs="Times New Roman"/>
          <w:i/>
          <w:iCs/>
          <w:color w:val="000000"/>
          <w:sz w:val="24"/>
          <w:szCs w:val="24"/>
          <w:lang w:val="en-US" w:eastAsia="fr-FR"/>
        </w:rPr>
        <w:t>UNDP</w:t>
      </w:r>
      <w:r>
        <w:rPr>
          <w:rFonts w:ascii="Times New Roman" w:eastAsia="Times New Roman" w:hAnsi="Times New Roman" w:cs="Times New Roman"/>
          <w:color w:val="000000"/>
          <w:sz w:val="24"/>
          <w:szCs w:val="24"/>
          <w:lang w:val="en-US" w:eastAsia="fr-FR"/>
        </w:rPr>
        <w:t xml:space="preserve">, </w:t>
      </w:r>
      <w:r w:rsidRPr="00E85C72">
        <w:rPr>
          <w:rFonts w:ascii="Times New Roman" w:eastAsia="Times New Roman" w:hAnsi="Times New Roman" w:cs="Times New Roman"/>
          <w:color w:val="000000"/>
          <w:sz w:val="24"/>
          <w:szCs w:val="24"/>
          <w:lang w:val="en-US" w:eastAsia="fr-FR"/>
        </w:rPr>
        <w:t>http:// www.</w:t>
      </w:r>
      <w:r w:rsidR="00BD5CA2" w:rsidRPr="00E85C72">
        <w:rPr>
          <w:rFonts w:ascii="Times New Roman" w:eastAsia="Times New Roman" w:hAnsi="Times New Roman" w:cs="Times New Roman"/>
          <w:color w:val="000000"/>
          <w:sz w:val="24"/>
          <w:szCs w:val="24"/>
          <w:lang w:val="en-US" w:eastAsia="fr-FR"/>
        </w:rPr>
        <w:t>P</w:t>
      </w:r>
      <w:r w:rsidRPr="00E85C72">
        <w:rPr>
          <w:rFonts w:ascii="Times New Roman" w:eastAsia="Times New Roman" w:hAnsi="Times New Roman" w:cs="Times New Roman"/>
          <w:color w:val="000000"/>
          <w:sz w:val="24"/>
          <w:szCs w:val="24"/>
          <w:lang w:val="en-US" w:eastAsia="fr-FR"/>
        </w:rPr>
        <w:t>revention</w:t>
      </w:r>
      <w:r w:rsidR="00BD5CA2">
        <w:rPr>
          <w:rFonts w:ascii="Times New Roman" w:eastAsia="Times New Roman" w:hAnsi="Times New Roman" w:cs="Times New Roman"/>
          <w:color w:val="000000"/>
          <w:sz w:val="24"/>
          <w:szCs w:val="24"/>
          <w:lang w:val="en-US" w:eastAsia="fr-FR"/>
        </w:rPr>
        <w:t xml:space="preserve"> </w:t>
      </w:r>
      <w:r w:rsidRPr="00E85C72">
        <w:rPr>
          <w:rFonts w:ascii="Times New Roman" w:eastAsia="Times New Roman" w:hAnsi="Times New Roman" w:cs="Times New Roman"/>
          <w:color w:val="000000"/>
          <w:sz w:val="24"/>
          <w:szCs w:val="24"/>
          <w:lang w:val="en-US" w:eastAsia="fr-FR"/>
        </w:rPr>
        <w:t>web.net/ files/ 37916_</w:t>
      </w:r>
    </w:p>
    <w:p w:rsidR="00E724B9" w:rsidRPr="007D3304" w:rsidRDefault="00B62F86" w:rsidP="00AE6E2D">
      <w:pPr>
        <w:spacing w:line="240" w:lineRule="auto"/>
        <w:jc w:val="both"/>
        <w:rPr>
          <w:rFonts w:ascii="Times New Roman" w:eastAsia="Times New Roman" w:hAnsi="Times New Roman" w:cs="Times New Roman"/>
          <w:color w:val="000000"/>
          <w:sz w:val="24"/>
          <w:szCs w:val="24"/>
          <w:lang w:val="en-US" w:eastAsia="fr-FR"/>
        </w:rPr>
      </w:pPr>
      <w:hyperlink r:id="rId414" w:history="1">
        <w:r w:rsidR="00E724B9" w:rsidRPr="00E13385">
          <w:rPr>
            <w:rFonts w:ascii="Times New Roman" w:eastAsia="Times New Roman" w:hAnsi="Times New Roman" w:cs="Times New Roman"/>
            <w:b/>
            <w:bCs/>
            <w:color w:val="000000"/>
            <w:sz w:val="24"/>
            <w:szCs w:val="24"/>
            <w:lang w:val="en-US" w:eastAsia="fr-FR"/>
          </w:rPr>
          <w:t>Wisner</w:t>
        </w:r>
        <w:r w:rsidR="00E724B9" w:rsidRPr="007613D3">
          <w:rPr>
            <w:rFonts w:ascii="Times New Roman" w:eastAsia="Times New Roman" w:hAnsi="Times New Roman" w:cs="Times New Roman"/>
            <w:b/>
            <w:bCs/>
            <w:color w:val="000000"/>
            <w:sz w:val="24"/>
            <w:szCs w:val="24"/>
            <w:lang w:val="en-US" w:eastAsia="fr-FR"/>
          </w:rPr>
          <w:t>, B</w:t>
        </w:r>
        <w:r w:rsidR="007613D3" w:rsidRPr="007613D3">
          <w:rPr>
            <w:rFonts w:ascii="Times New Roman" w:eastAsia="Times New Roman" w:hAnsi="Times New Roman" w:cs="Times New Roman"/>
            <w:b/>
            <w:bCs/>
            <w:color w:val="000000"/>
            <w:sz w:val="24"/>
            <w:szCs w:val="24"/>
            <w:lang w:val="en-US" w:eastAsia="fr-FR"/>
          </w:rPr>
          <w:t>.</w:t>
        </w:r>
        <w:r w:rsidR="00E724B9" w:rsidRPr="007613D3">
          <w:rPr>
            <w:rFonts w:ascii="Times New Roman" w:eastAsia="Times New Roman" w:hAnsi="Times New Roman" w:cs="Times New Roman"/>
            <w:b/>
            <w:bCs/>
            <w:color w:val="000000"/>
            <w:sz w:val="24"/>
            <w:szCs w:val="24"/>
            <w:lang w:val="en-US" w:eastAsia="fr-FR"/>
          </w:rPr>
          <w:t xml:space="preserve"> </w:t>
        </w:r>
        <w:r w:rsidR="007613D3" w:rsidRPr="007613D3">
          <w:rPr>
            <w:rFonts w:ascii="Times New Roman" w:eastAsia="Times New Roman" w:hAnsi="Times New Roman" w:cs="Times New Roman"/>
            <w:b/>
            <w:bCs/>
            <w:color w:val="000000"/>
            <w:sz w:val="24"/>
            <w:szCs w:val="24"/>
            <w:lang w:val="en-US" w:eastAsia="fr-FR"/>
          </w:rPr>
          <w:t>&amp;</w:t>
        </w:r>
        <w:r w:rsidR="00E724B9" w:rsidRPr="007613D3">
          <w:rPr>
            <w:rFonts w:ascii="Times New Roman" w:eastAsia="Times New Roman" w:hAnsi="Times New Roman" w:cs="Times New Roman"/>
            <w:b/>
            <w:bCs/>
            <w:color w:val="000000"/>
            <w:sz w:val="24"/>
            <w:szCs w:val="24"/>
            <w:lang w:val="en-US" w:eastAsia="fr-FR"/>
          </w:rPr>
          <w:t xml:space="preserve"> Walter</w:t>
        </w:r>
        <w:r w:rsidR="007613D3" w:rsidRPr="007613D3">
          <w:rPr>
            <w:rFonts w:ascii="Times New Roman" w:eastAsia="Times New Roman" w:hAnsi="Times New Roman" w:cs="Times New Roman"/>
            <w:b/>
            <w:bCs/>
            <w:color w:val="000000"/>
            <w:sz w:val="24"/>
            <w:szCs w:val="24"/>
            <w:lang w:val="en-US" w:eastAsia="fr-FR"/>
          </w:rPr>
          <w:t>,</w:t>
        </w:r>
        <w:r w:rsidR="00E724B9" w:rsidRPr="007613D3">
          <w:rPr>
            <w:rFonts w:ascii="Times New Roman" w:eastAsia="Times New Roman" w:hAnsi="Times New Roman" w:cs="Times New Roman"/>
            <w:b/>
            <w:bCs/>
            <w:color w:val="000000"/>
            <w:sz w:val="24"/>
            <w:szCs w:val="24"/>
            <w:lang w:val="en-US" w:eastAsia="fr-FR"/>
          </w:rPr>
          <w:t xml:space="preserve"> J.</w:t>
        </w:r>
        <w:r w:rsidR="007613D3" w:rsidRPr="007613D3">
          <w:rPr>
            <w:rFonts w:ascii="Times New Roman" w:eastAsia="Times New Roman" w:hAnsi="Times New Roman" w:cs="Times New Roman"/>
            <w:b/>
            <w:bCs/>
            <w:color w:val="000000"/>
            <w:sz w:val="24"/>
            <w:szCs w:val="24"/>
            <w:lang w:val="en-US" w:eastAsia="fr-FR"/>
          </w:rPr>
          <w:t>, (</w:t>
        </w:r>
        <w:r w:rsidR="00E724B9" w:rsidRPr="007613D3">
          <w:rPr>
            <w:rFonts w:ascii="Times New Roman" w:eastAsia="Times New Roman" w:hAnsi="Times New Roman" w:cs="Times New Roman"/>
            <w:b/>
            <w:bCs/>
            <w:color w:val="000000"/>
            <w:sz w:val="24"/>
            <w:szCs w:val="24"/>
            <w:lang w:val="en-US" w:eastAsia="fr-FR"/>
          </w:rPr>
          <w:t xml:space="preserve"> </w:t>
        </w:r>
        <w:r w:rsidR="007613D3" w:rsidRPr="007613D3">
          <w:rPr>
            <w:rFonts w:ascii="Times New Roman" w:eastAsia="Times New Roman" w:hAnsi="Times New Roman" w:cs="Times New Roman"/>
            <w:b/>
            <w:bCs/>
            <w:color w:val="000000"/>
            <w:sz w:val="24"/>
            <w:szCs w:val="24"/>
            <w:lang w:val="en-US" w:eastAsia="fr-FR"/>
          </w:rPr>
          <w:t>2005):</w:t>
        </w:r>
        <w:r w:rsidR="007613D3">
          <w:rPr>
            <w:rFonts w:ascii="Times New Roman" w:eastAsia="Times New Roman" w:hAnsi="Times New Roman" w:cs="Times New Roman"/>
            <w:color w:val="000000"/>
            <w:sz w:val="24"/>
            <w:szCs w:val="24"/>
            <w:lang w:val="en-US" w:eastAsia="fr-FR"/>
          </w:rPr>
          <w:t xml:space="preserve"> </w:t>
        </w:r>
        <w:r w:rsidR="00E724B9" w:rsidRPr="00891AC7">
          <w:rPr>
            <w:rFonts w:ascii="Times New Roman" w:eastAsia="Times New Roman" w:hAnsi="Times New Roman" w:cs="Times New Roman"/>
            <w:color w:val="000000"/>
            <w:sz w:val="24"/>
            <w:szCs w:val="24"/>
            <w:lang w:val="en-US" w:eastAsia="fr-FR"/>
          </w:rPr>
          <w:t xml:space="preserve">" Data or Dialog? The Role of Information in Disasters ". In World Disasters Report: Focus on Information in Disasters. Geneva: International Federation of Red Cross and Recent Crescent Societies,. https://www.ifrc.org/en/publications-and-reports/world-disasters-report/wdr2005/wdr- </w:t>
        </w:r>
      </w:hyperlink>
    </w:p>
    <w:p w:rsidR="00E724B9" w:rsidRPr="00891AC7"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E13385">
        <w:rPr>
          <w:rFonts w:ascii="Times New Roman" w:eastAsia="Times New Roman" w:hAnsi="Times New Roman" w:cs="Times New Roman"/>
          <w:b/>
          <w:bCs/>
          <w:color w:val="000000"/>
          <w:sz w:val="24"/>
          <w:szCs w:val="24"/>
          <w:lang w:val="en-US" w:eastAsia="fr-FR"/>
        </w:rPr>
        <w:t>Xu</w:t>
      </w:r>
      <w:r w:rsidRPr="007613D3">
        <w:rPr>
          <w:rFonts w:ascii="Times New Roman" w:eastAsia="Times New Roman" w:hAnsi="Times New Roman" w:cs="Times New Roman"/>
          <w:b/>
          <w:bCs/>
          <w:color w:val="000000"/>
          <w:sz w:val="24"/>
          <w:szCs w:val="24"/>
          <w:lang w:val="en-US" w:eastAsia="fr-FR"/>
        </w:rPr>
        <w:t>, H.</w:t>
      </w:r>
      <w:r w:rsidR="007613D3" w:rsidRPr="007613D3">
        <w:rPr>
          <w:rFonts w:ascii="Times New Roman" w:eastAsia="Times New Roman" w:hAnsi="Times New Roman" w:cs="Times New Roman"/>
          <w:b/>
          <w:bCs/>
          <w:color w:val="000000"/>
          <w:sz w:val="24"/>
          <w:szCs w:val="24"/>
          <w:lang w:val="en-US" w:eastAsia="fr-FR"/>
        </w:rPr>
        <w:t>,</w:t>
      </w:r>
      <w:r w:rsidRPr="007613D3">
        <w:rPr>
          <w:rFonts w:ascii="Times New Roman" w:eastAsia="Times New Roman" w:hAnsi="Times New Roman" w:cs="Times New Roman"/>
          <w:b/>
          <w:bCs/>
          <w:color w:val="000000"/>
          <w:sz w:val="24"/>
          <w:szCs w:val="24"/>
          <w:lang w:val="en-US" w:eastAsia="fr-FR"/>
        </w:rPr>
        <w:t xml:space="preserve"> Chen, Y.</w:t>
      </w:r>
      <w:r w:rsidR="007613D3" w:rsidRPr="007613D3">
        <w:rPr>
          <w:rFonts w:ascii="Times New Roman" w:eastAsia="Times New Roman" w:hAnsi="Times New Roman" w:cs="Times New Roman"/>
          <w:b/>
          <w:bCs/>
          <w:color w:val="000000"/>
          <w:sz w:val="24"/>
          <w:szCs w:val="24"/>
          <w:lang w:val="en-US" w:eastAsia="fr-FR"/>
        </w:rPr>
        <w:t>,</w:t>
      </w:r>
      <w:r w:rsidRPr="007613D3">
        <w:rPr>
          <w:rFonts w:ascii="Times New Roman" w:eastAsia="Times New Roman" w:hAnsi="Times New Roman" w:cs="Times New Roman"/>
          <w:b/>
          <w:bCs/>
          <w:color w:val="000000"/>
          <w:sz w:val="24"/>
          <w:szCs w:val="24"/>
          <w:lang w:val="en-US" w:eastAsia="fr-FR"/>
        </w:rPr>
        <w:t xml:space="preserve"> Dan, S.</w:t>
      </w:r>
      <w:r w:rsidR="007613D3" w:rsidRPr="007613D3">
        <w:rPr>
          <w:rFonts w:ascii="Times New Roman" w:eastAsia="Times New Roman" w:hAnsi="Times New Roman" w:cs="Times New Roman"/>
          <w:b/>
          <w:bCs/>
          <w:color w:val="000000"/>
          <w:sz w:val="24"/>
          <w:szCs w:val="24"/>
          <w:lang w:val="en-US" w:eastAsia="fr-FR"/>
        </w:rPr>
        <w:t>&amp;</w:t>
      </w:r>
      <w:r w:rsidRPr="007613D3">
        <w:rPr>
          <w:rFonts w:ascii="Times New Roman" w:eastAsia="Times New Roman" w:hAnsi="Times New Roman" w:cs="Times New Roman"/>
          <w:b/>
          <w:bCs/>
          <w:color w:val="000000"/>
          <w:sz w:val="24"/>
          <w:szCs w:val="24"/>
          <w:lang w:val="en-US" w:eastAsia="fr-FR"/>
        </w:rPr>
        <w:t xml:space="preserve"> Qiu, W. </w:t>
      </w:r>
      <w:r w:rsidR="007613D3" w:rsidRPr="007613D3">
        <w:rPr>
          <w:rFonts w:ascii="Times New Roman" w:eastAsia="Times New Roman" w:hAnsi="Times New Roman" w:cs="Times New Roman"/>
          <w:b/>
          <w:bCs/>
          <w:color w:val="000000"/>
          <w:sz w:val="24"/>
          <w:szCs w:val="24"/>
          <w:lang w:val="en-US" w:eastAsia="fr-FR"/>
        </w:rPr>
        <w:t>(2011):</w:t>
      </w:r>
      <w:r w:rsidR="007613D3">
        <w:rPr>
          <w:rFonts w:ascii="Times New Roman" w:eastAsia="Times New Roman" w:hAnsi="Times New Roman" w:cs="Times New Roman"/>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Spatial and temporal analysis of urban heat Island effects in Chengdu City by remote sensing</w:t>
      </w:r>
      <w:r w:rsidR="007613D3">
        <w:rPr>
          <w:rFonts w:ascii="Times New Roman" w:eastAsia="Times New Roman" w:hAnsi="Times New Roman" w:cs="Times New Roman"/>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 xml:space="preserve">In Proceedings of the  19th International Conference on </w:t>
      </w:r>
      <w:r w:rsidR="00AF2071" w:rsidRPr="00AF2071">
        <w:rPr>
          <w:rFonts w:ascii="Times New Roman" w:eastAsia="Times New Roman" w:hAnsi="Times New Roman" w:cs="Times New Roman"/>
          <w:color w:val="000000"/>
          <w:sz w:val="24"/>
          <w:szCs w:val="24"/>
          <w:lang w:val="en-US" w:eastAsia="fr-FR"/>
        </w:rPr>
        <w:t>Géo</w:t>
      </w:r>
      <w:r w:rsidRPr="007613D3">
        <w:rPr>
          <w:rFonts w:ascii="Times New Roman" w:eastAsia="Times New Roman" w:hAnsi="Times New Roman" w:cs="Times New Roman"/>
          <w:color w:val="000000"/>
          <w:sz w:val="24"/>
          <w:szCs w:val="24"/>
          <w:lang w:val="en-US" w:eastAsia="fr-FR"/>
        </w:rPr>
        <w:t>informatics</w:t>
      </w:r>
      <w:r w:rsidRPr="00891AC7">
        <w:rPr>
          <w:rFonts w:ascii="Times New Roman" w:eastAsia="Times New Roman" w:hAnsi="Times New Roman" w:cs="Times New Roman"/>
          <w:color w:val="000000"/>
          <w:sz w:val="24"/>
          <w:szCs w:val="24"/>
          <w:lang w:val="en-US" w:eastAsia="fr-FR"/>
        </w:rPr>
        <w:t xml:space="preserve"> IEEE, </w:t>
      </w:r>
      <w:r w:rsidR="007613D3" w:rsidRPr="00891AC7">
        <w:rPr>
          <w:rFonts w:ascii="Times New Roman" w:eastAsia="Times New Roman" w:hAnsi="Times New Roman" w:cs="Times New Roman"/>
          <w:color w:val="000000"/>
          <w:sz w:val="24"/>
          <w:szCs w:val="24"/>
          <w:lang w:val="en-US" w:eastAsia="fr-FR"/>
        </w:rPr>
        <w:t>24–26 June 2011</w:t>
      </w:r>
      <w:r w:rsidR="007613D3">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Shanghai, China, p</w:t>
      </w:r>
      <w:r w:rsidR="00191967">
        <w:rPr>
          <w:rFonts w:ascii="Times New Roman" w:eastAsia="Times New Roman" w:hAnsi="Times New Roman" w:cs="Times New Roman"/>
          <w:color w:val="000000"/>
          <w:sz w:val="24"/>
          <w:szCs w:val="24"/>
          <w:lang w:val="en-US" w:eastAsia="fr-FR"/>
        </w:rPr>
        <w:t>p</w:t>
      </w:r>
      <w:r w:rsidRPr="00891AC7">
        <w:rPr>
          <w:rFonts w:ascii="Times New Roman" w:eastAsia="Times New Roman" w:hAnsi="Times New Roman" w:cs="Times New Roman"/>
          <w:color w:val="000000"/>
          <w:sz w:val="24"/>
          <w:szCs w:val="24"/>
          <w:lang w:val="en-US" w:eastAsia="fr-FR"/>
        </w:rPr>
        <w:t>. 1–5.</w:t>
      </w:r>
    </w:p>
    <w:p w:rsidR="00E724B9" w:rsidRDefault="00E724B9" w:rsidP="00AE6E2D">
      <w:pPr>
        <w:spacing w:before="240" w:line="240" w:lineRule="auto"/>
        <w:jc w:val="both"/>
        <w:rPr>
          <w:rFonts w:ascii="Times New Roman" w:eastAsia="Times New Roman" w:hAnsi="Times New Roman" w:cs="Times New Roman"/>
          <w:color w:val="000000"/>
          <w:sz w:val="24"/>
          <w:szCs w:val="24"/>
          <w:lang w:val="en-US" w:eastAsia="fr-FR"/>
        </w:rPr>
      </w:pPr>
      <w:r w:rsidRPr="00F77863">
        <w:rPr>
          <w:rFonts w:ascii="Times New Roman" w:eastAsia="Times New Roman" w:hAnsi="Times New Roman" w:cs="Times New Roman"/>
          <w:b/>
          <w:bCs/>
          <w:color w:val="000000"/>
          <w:sz w:val="24"/>
          <w:szCs w:val="24"/>
          <w:lang w:val="en-US" w:eastAsia="fr-FR"/>
        </w:rPr>
        <w:t>Zhang, Y., (2010):</w:t>
      </w:r>
      <w:r w:rsidRPr="00891AC7">
        <w:rPr>
          <w:rFonts w:ascii="Times New Roman" w:eastAsia="Times New Roman" w:hAnsi="Times New Roman" w:cs="Times New Roman"/>
          <w:color w:val="000000"/>
          <w:sz w:val="24"/>
          <w:szCs w:val="24"/>
          <w:lang w:val="en-US" w:eastAsia="fr-FR"/>
        </w:rPr>
        <w:t xml:space="preserve"> “Residential housing choice in a multi-hazard environment: Implications for natural hazards mitigation and community environmental justice”, </w:t>
      </w:r>
      <w:r w:rsidRPr="007613D3">
        <w:rPr>
          <w:rFonts w:ascii="Times New Roman" w:eastAsia="Times New Roman" w:hAnsi="Times New Roman" w:cs="Times New Roman"/>
          <w:i/>
          <w:iCs/>
          <w:color w:val="000000"/>
          <w:sz w:val="24"/>
          <w:szCs w:val="24"/>
          <w:lang w:val="en-US" w:eastAsia="fr-FR"/>
        </w:rPr>
        <w:t>J Planning Education Res</w:t>
      </w:r>
      <w:r w:rsidRPr="00891AC7">
        <w:rPr>
          <w:rFonts w:ascii="Times New Roman" w:eastAsia="Times New Roman" w:hAnsi="Times New Roman" w:cs="Times New Roman"/>
          <w:color w:val="000000"/>
          <w:sz w:val="24"/>
          <w:szCs w:val="24"/>
          <w:lang w:val="en-US" w:eastAsia="fr-FR"/>
        </w:rPr>
        <w:t>, vol. 30</w:t>
      </w:r>
      <w:r w:rsidR="00E85C72">
        <w:rPr>
          <w:rFonts w:ascii="Times New Roman" w:eastAsia="Times New Roman" w:hAnsi="Times New Roman" w:cs="Times New Roman"/>
          <w:color w:val="000000"/>
          <w:sz w:val="24"/>
          <w:szCs w:val="24"/>
          <w:lang w:val="en-US" w:eastAsia="fr-FR"/>
        </w:rPr>
        <w:t xml:space="preserve">, n° </w:t>
      </w:r>
      <w:r w:rsidRPr="00891AC7">
        <w:rPr>
          <w:rFonts w:ascii="Times New Roman" w:eastAsia="Times New Roman" w:hAnsi="Times New Roman" w:cs="Times New Roman"/>
          <w:color w:val="000000"/>
          <w:sz w:val="24"/>
          <w:szCs w:val="24"/>
          <w:lang w:val="en-US" w:eastAsia="fr-FR"/>
        </w:rPr>
        <w:t>2, p</w:t>
      </w:r>
      <w:r w:rsidR="00191967">
        <w:rPr>
          <w:rFonts w:ascii="Times New Roman" w:eastAsia="Times New Roman" w:hAnsi="Times New Roman" w:cs="Times New Roman"/>
          <w:color w:val="000000"/>
          <w:sz w:val="24"/>
          <w:szCs w:val="24"/>
          <w:lang w:val="en-US" w:eastAsia="fr-FR"/>
        </w:rPr>
        <w:t>p</w:t>
      </w:r>
      <w:r w:rsidRPr="00891AC7">
        <w:rPr>
          <w:rFonts w:ascii="Times New Roman" w:eastAsia="Times New Roman" w:hAnsi="Times New Roman" w:cs="Times New Roman"/>
          <w:color w:val="000000"/>
          <w:sz w:val="24"/>
          <w:szCs w:val="24"/>
          <w:lang w:val="en-US" w:eastAsia="fr-FR"/>
        </w:rPr>
        <w:t>.117–131.</w:t>
      </w:r>
    </w:p>
    <w:p w:rsidR="00E724B9" w:rsidRDefault="00E724B9" w:rsidP="00AE6E2D">
      <w:pPr>
        <w:spacing w:line="240" w:lineRule="auto"/>
        <w:jc w:val="both"/>
        <w:rPr>
          <w:rFonts w:ascii="Times New Roman" w:eastAsia="Times New Roman" w:hAnsi="Times New Roman" w:cs="Times New Roman"/>
          <w:color w:val="000000"/>
          <w:sz w:val="24"/>
          <w:szCs w:val="24"/>
          <w:lang w:val="en-US" w:eastAsia="fr-FR"/>
        </w:rPr>
      </w:pPr>
      <w:r w:rsidRPr="00E13385">
        <w:rPr>
          <w:rFonts w:ascii="Times New Roman" w:eastAsia="Times New Roman" w:hAnsi="Times New Roman" w:cs="Times New Roman"/>
          <w:b/>
          <w:bCs/>
          <w:color w:val="000000"/>
          <w:sz w:val="24"/>
          <w:szCs w:val="24"/>
          <w:lang w:val="en-US" w:eastAsia="fr-FR"/>
        </w:rPr>
        <w:t>Zimmerman</w:t>
      </w:r>
      <w:r w:rsidRPr="00FD47D6">
        <w:rPr>
          <w:rFonts w:ascii="Times New Roman" w:eastAsia="Times New Roman" w:hAnsi="Times New Roman" w:cs="Times New Roman"/>
          <w:b/>
          <w:bCs/>
          <w:color w:val="000000"/>
          <w:sz w:val="24"/>
          <w:szCs w:val="24"/>
          <w:lang w:val="en-US" w:eastAsia="fr-FR"/>
        </w:rPr>
        <w:t>, R.</w:t>
      </w:r>
      <w:r w:rsidR="00FD47D6">
        <w:rPr>
          <w:rFonts w:ascii="Times New Roman" w:eastAsia="Times New Roman" w:hAnsi="Times New Roman" w:cs="Times New Roman"/>
          <w:b/>
          <w:bCs/>
          <w:color w:val="000000"/>
          <w:sz w:val="24"/>
          <w:szCs w:val="24"/>
          <w:lang w:val="en-US" w:eastAsia="fr-FR"/>
        </w:rPr>
        <w:t>,</w:t>
      </w:r>
      <w:r w:rsidRPr="00FD47D6">
        <w:rPr>
          <w:rFonts w:ascii="Times New Roman" w:eastAsia="Times New Roman" w:hAnsi="Times New Roman" w:cs="Times New Roman"/>
          <w:b/>
          <w:bCs/>
          <w:color w:val="000000"/>
          <w:sz w:val="24"/>
          <w:szCs w:val="24"/>
          <w:lang w:val="en-US" w:eastAsia="fr-FR"/>
        </w:rPr>
        <w:t xml:space="preserve"> (2001)</w:t>
      </w:r>
      <w:r w:rsidR="00FD47D6" w:rsidRPr="00FD47D6">
        <w:rPr>
          <w:rFonts w:ascii="Times New Roman" w:eastAsia="Times New Roman" w:hAnsi="Times New Roman" w:cs="Times New Roman"/>
          <w:b/>
          <w:bCs/>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00FD47D6">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Social implications of infrastructure network interactions</w:t>
      </w:r>
      <w:r w:rsidR="00FD47D6">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FD47D6">
        <w:rPr>
          <w:rFonts w:ascii="Times New Roman" w:eastAsia="Times New Roman" w:hAnsi="Times New Roman" w:cs="Times New Roman"/>
          <w:i/>
          <w:iCs/>
          <w:color w:val="000000"/>
          <w:sz w:val="24"/>
          <w:szCs w:val="24"/>
          <w:lang w:val="en-US" w:eastAsia="fr-FR"/>
        </w:rPr>
        <w:t>Journal of Urban Technology</w:t>
      </w:r>
      <w:r w:rsidRPr="00891AC7">
        <w:rPr>
          <w:rFonts w:ascii="Times New Roman" w:eastAsia="Times New Roman" w:hAnsi="Times New Roman" w:cs="Times New Roman"/>
          <w:color w:val="000000"/>
          <w:sz w:val="24"/>
          <w:szCs w:val="24"/>
          <w:lang w:val="en-US" w:eastAsia="fr-FR"/>
        </w:rPr>
        <w:t xml:space="preserve">, </w:t>
      </w:r>
      <w:r w:rsidR="00FD47D6">
        <w:rPr>
          <w:rFonts w:ascii="Times New Roman" w:eastAsia="Times New Roman" w:hAnsi="Times New Roman" w:cs="Times New Roman"/>
          <w:color w:val="000000"/>
          <w:sz w:val="24"/>
          <w:szCs w:val="24"/>
          <w:lang w:val="en-US" w:eastAsia="fr-FR"/>
        </w:rPr>
        <w:t xml:space="preserve">vol. </w:t>
      </w:r>
      <w:r w:rsidR="00E85C72">
        <w:rPr>
          <w:rFonts w:ascii="Times New Roman" w:eastAsia="Times New Roman" w:hAnsi="Times New Roman" w:cs="Times New Roman"/>
          <w:color w:val="000000"/>
          <w:sz w:val="24"/>
          <w:szCs w:val="24"/>
          <w:lang w:val="en-US" w:eastAsia="fr-FR"/>
        </w:rPr>
        <w:t xml:space="preserve">8, n° </w:t>
      </w:r>
      <w:r w:rsidRPr="00891AC7">
        <w:rPr>
          <w:rFonts w:ascii="Times New Roman" w:eastAsia="Times New Roman" w:hAnsi="Times New Roman" w:cs="Times New Roman"/>
          <w:color w:val="000000"/>
          <w:sz w:val="24"/>
          <w:szCs w:val="24"/>
          <w:lang w:val="en-US" w:eastAsia="fr-FR"/>
        </w:rPr>
        <w:t>3,</w:t>
      </w:r>
      <w:r w:rsidR="00FD47D6">
        <w:rPr>
          <w:rFonts w:ascii="Times New Roman" w:eastAsia="Times New Roman" w:hAnsi="Times New Roman" w:cs="Times New Roman"/>
          <w:color w:val="000000"/>
          <w:sz w:val="24"/>
          <w:szCs w:val="24"/>
          <w:lang w:val="en-US" w:eastAsia="fr-FR"/>
        </w:rPr>
        <w:t xml:space="preserve"> p</w:t>
      </w:r>
      <w:r w:rsidR="00191967">
        <w:rPr>
          <w:rFonts w:ascii="Times New Roman" w:eastAsia="Times New Roman" w:hAnsi="Times New Roman" w:cs="Times New Roman"/>
          <w:color w:val="000000"/>
          <w:sz w:val="24"/>
          <w:szCs w:val="24"/>
          <w:lang w:val="en-US" w:eastAsia="fr-FR"/>
        </w:rPr>
        <w:t>p</w:t>
      </w:r>
      <w:r w:rsidR="00FD47D6">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97-119.</w:t>
      </w:r>
    </w:p>
    <w:p w:rsidR="00E724B9" w:rsidRPr="007D3304" w:rsidRDefault="00E724B9" w:rsidP="00E85C72">
      <w:pPr>
        <w:jc w:val="both"/>
        <w:rPr>
          <w:rFonts w:ascii="Times New Roman" w:eastAsia="Times New Roman" w:hAnsi="Times New Roman" w:cs="Times New Roman"/>
          <w:color w:val="000000"/>
          <w:sz w:val="24"/>
          <w:szCs w:val="24"/>
          <w:lang w:val="en-US" w:eastAsia="fr-FR"/>
        </w:rPr>
      </w:pPr>
      <w:r w:rsidRPr="00E13385">
        <w:rPr>
          <w:rFonts w:ascii="Times New Roman" w:eastAsia="Times New Roman" w:hAnsi="Times New Roman" w:cs="Times New Roman"/>
          <w:b/>
          <w:bCs/>
          <w:color w:val="000000"/>
          <w:sz w:val="24"/>
          <w:szCs w:val="24"/>
          <w:lang w:val="en-US" w:eastAsia="fr-FR"/>
        </w:rPr>
        <w:lastRenderedPageBreak/>
        <w:t>Zuniga</w:t>
      </w:r>
      <w:r w:rsidRPr="00FD47D6">
        <w:rPr>
          <w:rFonts w:ascii="Times New Roman" w:eastAsia="Times New Roman" w:hAnsi="Times New Roman" w:cs="Times New Roman"/>
          <w:b/>
          <w:bCs/>
          <w:color w:val="000000"/>
          <w:sz w:val="24"/>
          <w:szCs w:val="24"/>
          <w:lang w:val="en-US" w:eastAsia="fr-FR"/>
        </w:rPr>
        <w:t>-Teran, A. A. (2020)</w:t>
      </w:r>
      <w:r w:rsidR="00FD47D6" w:rsidRPr="00FD47D6">
        <w:rPr>
          <w:rFonts w:ascii="Times New Roman" w:eastAsia="Times New Roman" w:hAnsi="Times New Roman" w:cs="Times New Roman"/>
          <w:b/>
          <w:bCs/>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00FD47D6">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Urban resilience and green infrastructure systems: Towards a multidimensional evaluation</w:t>
      </w:r>
      <w:r w:rsidR="00FD47D6">
        <w:rPr>
          <w:rFonts w:ascii="Times New Roman" w:eastAsia="Times New Roman" w:hAnsi="Times New Roman" w:cs="Times New Roman"/>
          <w:color w:val="000000"/>
          <w:sz w:val="24"/>
          <w:szCs w:val="24"/>
          <w:lang w:val="en-US" w:eastAsia="fr-FR"/>
        </w:rPr>
        <w:t>”</w:t>
      </w:r>
      <w:r w:rsidRPr="00891AC7">
        <w:rPr>
          <w:rFonts w:ascii="Times New Roman" w:eastAsia="Times New Roman" w:hAnsi="Times New Roman" w:cs="Times New Roman"/>
          <w:color w:val="000000"/>
          <w:sz w:val="24"/>
          <w:szCs w:val="24"/>
          <w:lang w:val="en-US" w:eastAsia="fr-FR"/>
        </w:rPr>
        <w:t xml:space="preserve">. </w:t>
      </w:r>
      <w:r w:rsidRPr="00FD47D6">
        <w:rPr>
          <w:rFonts w:ascii="Times New Roman" w:eastAsia="Times New Roman" w:hAnsi="Times New Roman" w:cs="Times New Roman"/>
          <w:i/>
          <w:iCs/>
          <w:color w:val="000000"/>
          <w:sz w:val="24"/>
          <w:szCs w:val="24"/>
          <w:lang w:val="en-US" w:eastAsia="fr-FR"/>
        </w:rPr>
        <w:t>Current Opinion in Environmental Sustainability</w:t>
      </w:r>
      <w:r w:rsidRPr="00891AC7">
        <w:rPr>
          <w:rFonts w:ascii="Times New Roman" w:eastAsia="Times New Roman" w:hAnsi="Times New Roman" w:cs="Times New Roman"/>
          <w:color w:val="000000"/>
          <w:sz w:val="24"/>
          <w:szCs w:val="24"/>
          <w:lang w:val="en-US" w:eastAsia="fr-FR"/>
        </w:rPr>
        <w:t xml:space="preserve">, </w:t>
      </w:r>
      <w:r w:rsidR="00E85C72">
        <w:rPr>
          <w:rFonts w:ascii="Times New Roman" w:eastAsia="Times New Roman" w:hAnsi="Times New Roman" w:cs="Times New Roman"/>
          <w:color w:val="000000"/>
          <w:sz w:val="24"/>
          <w:szCs w:val="24"/>
          <w:lang w:val="en-US" w:eastAsia="fr-FR"/>
        </w:rPr>
        <w:t xml:space="preserve">vol. </w:t>
      </w:r>
      <w:r w:rsidRPr="00891AC7">
        <w:rPr>
          <w:rFonts w:ascii="Times New Roman" w:eastAsia="Times New Roman" w:hAnsi="Times New Roman" w:cs="Times New Roman"/>
          <w:color w:val="000000"/>
          <w:sz w:val="24"/>
          <w:szCs w:val="24"/>
          <w:lang w:val="en-US" w:eastAsia="fr-FR"/>
        </w:rPr>
        <w:t>44,</w:t>
      </w:r>
      <w:r w:rsidR="00E85C72">
        <w:rPr>
          <w:rFonts w:ascii="Times New Roman" w:eastAsia="Times New Roman" w:hAnsi="Times New Roman" w:cs="Times New Roman"/>
          <w:color w:val="000000"/>
          <w:sz w:val="24"/>
          <w:szCs w:val="24"/>
          <w:lang w:val="en-US" w:eastAsia="fr-FR"/>
        </w:rPr>
        <w:t xml:space="preserve"> p</w:t>
      </w:r>
      <w:r w:rsidR="00191967">
        <w:rPr>
          <w:rFonts w:ascii="Times New Roman" w:eastAsia="Times New Roman" w:hAnsi="Times New Roman" w:cs="Times New Roman"/>
          <w:color w:val="000000"/>
          <w:sz w:val="24"/>
          <w:szCs w:val="24"/>
          <w:lang w:val="en-US" w:eastAsia="fr-FR"/>
        </w:rPr>
        <w:t>p</w:t>
      </w:r>
      <w:r w:rsidR="00E85C72">
        <w:rPr>
          <w:rFonts w:ascii="Times New Roman" w:eastAsia="Times New Roman" w:hAnsi="Times New Roman" w:cs="Times New Roman"/>
          <w:color w:val="000000"/>
          <w:sz w:val="24"/>
          <w:szCs w:val="24"/>
          <w:lang w:val="en-US" w:eastAsia="fr-FR"/>
        </w:rPr>
        <w:t xml:space="preserve">. </w:t>
      </w:r>
      <w:r w:rsidRPr="00891AC7">
        <w:rPr>
          <w:rFonts w:ascii="Times New Roman" w:eastAsia="Times New Roman" w:hAnsi="Times New Roman" w:cs="Times New Roman"/>
          <w:color w:val="000000"/>
          <w:sz w:val="24"/>
          <w:szCs w:val="24"/>
          <w:lang w:val="en-US" w:eastAsia="fr-FR"/>
        </w:rPr>
        <w:t>42–47. doi: 10.1016/j.cosust.2020.05.001.</w:t>
      </w:r>
    </w:p>
    <w:p w:rsidR="00E724B9" w:rsidRPr="0017364D" w:rsidRDefault="00E724B9" w:rsidP="005A6326">
      <w:pPr>
        <w:autoSpaceDE w:val="0"/>
        <w:autoSpaceDN w:val="0"/>
        <w:bidi/>
        <w:adjustRightInd w:val="0"/>
        <w:spacing w:before="240" w:after="0"/>
        <w:outlineLvl w:val="0"/>
        <w:rPr>
          <w:rFonts w:ascii="Times New Roman" w:hAnsi="Times New Roman" w:cs="Times New Roman"/>
          <w:b/>
          <w:bCs/>
          <w:sz w:val="24"/>
          <w:szCs w:val="24"/>
          <w:u w:val="single"/>
          <w:rtl/>
          <w:lang w:val="en-US" w:bidi="ar-DZ"/>
        </w:rPr>
      </w:pPr>
      <w:bookmarkStart w:id="993" w:name="_Toc171803910"/>
      <w:r w:rsidRPr="0017364D">
        <w:rPr>
          <w:rFonts w:ascii="Simplified Arabic" w:hAnsi="Simplified Arabic" w:cs="Simplified Arabic" w:hint="cs"/>
          <w:b/>
          <w:bCs/>
          <w:sz w:val="24"/>
          <w:szCs w:val="24"/>
          <w:u w:val="single"/>
          <w:rtl/>
          <w:lang w:val="en-US" w:bidi="ar-DZ"/>
        </w:rPr>
        <w:t>ثالثا: وثائق ادارية</w:t>
      </w:r>
      <w:bookmarkEnd w:id="993"/>
      <w:r w:rsidRPr="0017364D">
        <w:rPr>
          <w:rFonts w:ascii="Times New Roman" w:hAnsi="Times New Roman" w:cs="Times New Roman" w:hint="cs"/>
          <w:b/>
          <w:bCs/>
          <w:sz w:val="24"/>
          <w:szCs w:val="24"/>
          <w:u w:val="single"/>
          <w:rtl/>
          <w:lang w:val="en-US" w:bidi="ar-DZ"/>
        </w:rPr>
        <w:t xml:space="preserve"> </w:t>
      </w:r>
    </w:p>
    <w:p w:rsidR="0017364D" w:rsidRPr="0017364D" w:rsidRDefault="0017364D" w:rsidP="00D45DC1">
      <w:pPr>
        <w:autoSpaceDE w:val="0"/>
        <w:autoSpaceDN w:val="0"/>
        <w:bidi/>
        <w:adjustRightInd w:val="0"/>
        <w:spacing w:line="240" w:lineRule="auto"/>
        <w:jc w:val="both"/>
        <w:rPr>
          <w:rFonts w:ascii="Simplified Arabic" w:hAnsi="Simplified Arabic" w:cs="Simplified Arabic"/>
          <w:color w:val="000000"/>
          <w:sz w:val="24"/>
          <w:szCs w:val="24"/>
        </w:rPr>
      </w:pPr>
      <w:r w:rsidRPr="0017364D">
        <w:rPr>
          <w:rFonts w:ascii="Simplified Arabic" w:hAnsi="Simplified Arabic" w:cs="Simplified Arabic" w:hint="cs"/>
          <w:color w:val="000000"/>
          <w:sz w:val="24"/>
          <w:szCs w:val="24"/>
          <w:rtl/>
        </w:rPr>
        <w:t>الامر رقم 74-</w:t>
      </w:r>
      <w:r w:rsidR="00A41D52">
        <w:rPr>
          <w:rFonts w:ascii="Simplified Arabic" w:hAnsi="Simplified Arabic" w:cs="Simplified Arabic" w:hint="cs"/>
          <w:color w:val="000000"/>
          <w:sz w:val="24"/>
          <w:szCs w:val="24"/>
          <w:rtl/>
        </w:rPr>
        <w:t>26</w:t>
      </w:r>
      <w:r w:rsidRPr="0017364D">
        <w:rPr>
          <w:rFonts w:ascii="Simplified Arabic" w:hAnsi="Simplified Arabic" w:cs="Simplified Arabic" w:hint="cs"/>
          <w:color w:val="000000"/>
          <w:sz w:val="24"/>
          <w:szCs w:val="24"/>
          <w:rtl/>
        </w:rPr>
        <w:t xml:space="preserve"> المؤرخ في 20- 02 </w:t>
      </w:r>
      <w:r w:rsidRPr="0017364D">
        <w:rPr>
          <w:rFonts w:ascii="Simplified Arabic" w:hAnsi="Simplified Arabic" w:cs="Simplified Arabic"/>
          <w:color w:val="000000"/>
          <w:sz w:val="24"/>
          <w:szCs w:val="24"/>
          <w:rtl/>
        </w:rPr>
        <w:t>–</w:t>
      </w:r>
      <w:r w:rsidRPr="0017364D">
        <w:rPr>
          <w:rFonts w:ascii="Simplified Arabic" w:hAnsi="Simplified Arabic" w:cs="Simplified Arabic" w:hint="cs"/>
          <w:color w:val="000000"/>
          <w:sz w:val="24"/>
          <w:szCs w:val="24"/>
          <w:rtl/>
        </w:rPr>
        <w:t xml:space="preserve"> 1974 المتضمن تكوين احتياطات عقارية لصالح البلديات</w:t>
      </w:r>
      <w:r w:rsidR="00C12DCF">
        <w:rPr>
          <w:rFonts w:ascii="Simplified Arabic" w:hAnsi="Simplified Arabic" w:cs="Simplified Arabic" w:hint="cs"/>
          <w:color w:val="000000"/>
          <w:sz w:val="24"/>
          <w:szCs w:val="24"/>
          <w:rtl/>
        </w:rPr>
        <w:t xml:space="preserve">، </w:t>
      </w:r>
      <w:r w:rsidR="00C12DCF">
        <w:rPr>
          <w:rFonts w:ascii="Simplified Arabic" w:hAnsi="Simplified Arabic" w:cs="Simplified Arabic" w:hint="cs"/>
          <w:color w:val="000000"/>
          <w:sz w:val="24"/>
          <w:szCs w:val="24"/>
          <w:rtl/>
          <w:lang w:bidi="ar-DZ"/>
        </w:rPr>
        <w:t xml:space="preserve">الصادر عن الجريدة الرسمية للجمهورية الجزائرية الديمقراطية الشعبية، رقم 19. </w:t>
      </w:r>
      <w:r w:rsidR="00A41D52" w:rsidRPr="00A41D52">
        <w:t xml:space="preserve"> </w:t>
      </w:r>
      <w:r w:rsidR="00A41D52" w:rsidRPr="00661DEB">
        <w:rPr>
          <w:rFonts w:asciiTheme="majorBidi" w:hAnsiTheme="majorBidi" w:cstheme="majorBidi"/>
          <w:color w:val="000000"/>
          <w:sz w:val="24"/>
          <w:szCs w:val="24"/>
        </w:rPr>
        <w:t>https://www.joradp.dz/HFR/Index.htm</w:t>
      </w:r>
    </w:p>
    <w:p w:rsidR="0017364D" w:rsidRDefault="00661DEB" w:rsidP="00D45DC1">
      <w:pPr>
        <w:bidi/>
        <w:spacing w:line="240" w:lineRule="auto"/>
        <w:jc w:val="both"/>
        <w:rPr>
          <w:rFonts w:ascii="Simplified Arabic" w:hAnsi="Simplified Arabic" w:cs="Simplified Arabic"/>
          <w:color w:val="000000"/>
          <w:sz w:val="24"/>
          <w:szCs w:val="24"/>
          <w:rtl/>
          <w:lang w:bidi="ar-DZ"/>
        </w:rPr>
      </w:pPr>
      <w:r w:rsidRPr="00A41D52">
        <w:rPr>
          <w:rFonts w:ascii="Simplified Arabic" w:hAnsi="Simplified Arabic" w:cs="Simplified Arabic"/>
          <w:color w:val="000000"/>
          <w:sz w:val="24"/>
          <w:szCs w:val="24"/>
          <w:rtl/>
          <w:lang w:bidi="ar-DZ"/>
        </w:rPr>
        <w:t>القانون</w:t>
      </w:r>
      <w:r w:rsidRPr="00A41D52">
        <w:rPr>
          <w:rFonts w:ascii="Simplified Arabic" w:hAnsi="Simplified Arabic" w:cs="Simplified Arabic"/>
          <w:color w:val="000000"/>
          <w:sz w:val="24"/>
          <w:szCs w:val="24"/>
          <w:lang w:bidi="ar-DZ"/>
        </w:rPr>
        <w:t xml:space="preserve"> </w:t>
      </w:r>
      <w:r w:rsidRPr="00A41D52">
        <w:rPr>
          <w:rFonts w:ascii="Simplified Arabic" w:hAnsi="Simplified Arabic" w:cs="Simplified Arabic"/>
          <w:color w:val="000000"/>
          <w:sz w:val="24"/>
          <w:szCs w:val="24"/>
          <w:rtl/>
          <w:lang w:bidi="ar-DZ"/>
        </w:rPr>
        <w:t>رقم 90-29</w:t>
      </w:r>
      <w:r w:rsidR="002E645D">
        <w:rPr>
          <w:rFonts w:ascii="Simplified Arabic" w:hAnsi="Simplified Arabic" w:cs="Simplified Arabic" w:hint="cs"/>
          <w:color w:val="000000"/>
          <w:sz w:val="24"/>
          <w:szCs w:val="24"/>
          <w:rtl/>
          <w:lang w:bidi="ar-DZ"/>
        </w:rPr>
        <w:t xml:space="preserve"> الصادر بتاريخ 02-12-1990 المتعلق </w:t>
      </w:r>
      <w:r w:rsidR="00C12DCF">
        <w:rPr>
          <w:rFonts w:ascii="Simplified Arabic" w:hAnsi="Simplified Arabic" w:cs="Simplified Arabic" w:hint="cs"/>
          <w:color w:val="000000"/>
          <w:sz w:val="24"/>
          <w:szCs w:val="24"/>
          <w:rtl/>
          <w:lang w:bidi="ar-DZ"/>
        </w:rPr>
        <w:t>ب</w:t>
      </w:r>
      <w:r w:rsidR="002E645D">
        <w:rPr>
          <w:rFonts w:ascii="Simplified Arabic" w:hAnsi="Simplified Arabic" w:cs="Simplified Arabic" w:hint="cs"/>
          <w:color w:val="000000"/>
          <w:sz w:val="24"/>
          <w:szCs w:val="24"/>
          <w:rtl/>
          <w:lang w:bidi="ar-DZ"/>
        </w:rPr>
        <w:t>التهيئة والتعمير</w:t>
      </w:r>
      <w:r w:rsidR="00C12DCF">
        <w:rPr>
          <w:rFonts w:ascii="Simplified Arabic" w:hAnsi="Simplified Arabic" w:cs="Simplified Arabic" w:hint="cs"/>
          <w:color w:val="000000"/>
          <w:sz w:val="24"/>
          <w:szCs w:val="24"/>
          <w:rtl/>
          <w:lang w:bidi="ar-DZ"/>
        </w:rPr>
        <w:t xml:space="preserve">، الصادر عن الجريدة الرسمية للجمهورية الجزائرية الديمقراطية الشعبية، رقم 52. </w:t>
      </w:r>
      <w:r w:rsidR="00C12DCF" w:rsidRPr="00661DEB">
        <w:rPr>
          <w:rFonts w:asciiTheme="majorBidi" w:hAnsiTheme="majorBidi" w:cstheme="majorBidi"/>
          <w:color w:val="000000"/>
          <w:sz w:val="24"/>
          <w:szCs w:val="24"/>
        </w:rPr>
        <w:t>https://www.joradp.dz/HFR/Index.htm</w:t>
      </w:r>
    </w:p>
    <w:p w:rsidR="00E724B9" w:rsidRPr="00D45DC1" w:rsidRDefault="00B62F86" w:rsidP="00D45DC1">
      <w:pPr>
        <w:spacing w:line="240" w:lineRule="auto"/>
        <w:jc w:val="both"/>
        <w:rPr>
          <w:rFonts w:asciiTheme="majorBidi" w:hAnsiTheme="majorBidi" w:cstheme="majorBidi"/>
          <w:color w:val="1A0DAB"/>
          <w:sz w:val="24"/>
          <w:szCs w:val="24"/>
          <w:u w:val="single"/>
          <w:shd w:val="clear" w:color="auto" w:fill="FFFFFF"/>
          <w:rtl/>
        </w:rPr>
      </w:pPr>
      <w:hyperlink r:id="rId415" w:history="1">
        <w:r w:rsidR="00E724B9" w:rsidRPr="00D45DC1">
          <w:rPr>
            <w:rFonts w:asciiTheme="majorBidi" w:hAnsiTheme="majorBidi" w:cstheme="majorBidi"/>
            <w:b/>
            <w:bCs/>
            <w:sz w:val="24"/>
            <w:szCs w:val="24"/>
          </w:rPr>
          <w:t>Agence Nationale des Ressources Hydrauliques</w:t>
        </w:r>
      </w:hyperlink>
      <w:r w:rsidR="00E724B9" w:rsidRPr="00D45DC1">
        <w:rPr>
          <w:rFonts w:asciiTheme="majorBidi" w:hAnsiTheme="majorBidi" w:cstheme="majorBidi"/>
          <w:b/>
          <w:bCs/>
          <w:sz w:val="24"/>
          <w:szCs w:val="24"/>
        </w:rPr>
        <w:t xml:space="preserve"> (A.N.R.H), (</w:t>
      </w:r>
      <w:r w:rsidR="00E724B9" w:rsidRPr="00D45DC1">
        <w:rPr>
          <w:rFonts w:asciiTheme="majorBidi" w:hAnsiTheme="majorBidi" w:cstheme="majorBidi"/>
          <w:b/>
          <w:bCs/>
          <w:sz w:val="24"/>
          <w:szCs w:val="24"/>
          <w:rtl/>
        </w:rPr>
        <w:t>2016</w:t>
      </w:r>
      <w:r w:rsidR="00E724B9" w:rsidRPr="00D45DC1">
        <w:rPr>
          <w:rFonts w:asciiTheme="majorBidi" w:hAnsiTheme="majorBidi" w:cstheme="majorBidi"/>
          <w:b/>
          <w:bCs/>
          <w:sz w:val="24"/>
          <w:szCs w:val="24"/>
        </w:rPr>
        <w:t>):</w:t>
      </w:r>
      <w:r w:rsidR="00E724B9" w:rsidRPr="00D45DC1">
        <w:rPr>
          <w:rFonts w:asciiTheme="majorBidi" w:hAnsiTheme="majorBidi" w:cstheme="majorBidi"/>
          <w:sz w:val="24"/>
          <w:szCs w:val="24"/>
        </w:rPr>
        <w:t xml:space="preserve"> </w:t>
      </w:r>
      <w:r w:rsidR="00FD47D6" w:rsidRPr="00D45DC1">
        <w:rPr>
          <w:rFonts w:asciiTheme="majorBidi" w:hAnsiTheme="majorBidi" w:cstheme="majorBidi"/>
          <w:sz w:val="24"/>
          <w:szCs w:val="24"/>
        </w:rPr>
        <w:t>"</w:t>
      </w:r>
      <w:r w:rsidR="00E724B9" w:rsidRPr="00D45DC1">
        <w:rPr>
          <w:rFonts w:asciiTheme="majorBidi" w:hAnsiTheme="majorBidi" w:cstheme="majorBidi"/>
          <w:sz w:val="24"/>
          <w:szCs w:val="24"/>
        </w:rPr>
        <w:t>Les données</w:t>
      </w:r>
      <w:r w:rsidR="00D45DC1" w:rsidRPr="00D45DC1">
        <w:rPr>
          <w:rFonts w:asciiTheme="majorBidi" w:hAnsiTheme="majorBidi" w:cstheme="majorBidi"/>
          <w:sz w:val="24"/>
          <w:szCs w:val="24"/>
        </w:rPr>
        <w:t xml:space="preserve"> </w:t>
      </w:r>
      <w:r w:rsidR="00E724B9" w:rsidRPr="00D45DC1">
        <w:rPr>
          <w:rFonts w:asciiTheme="majorBidi" w:hAnsiTheme="majorBidi" w:cstheme="majorBidi"/>
          <w:sz w:val="24"/>
          <w:szCs w:val="24"/>
        </w:rPr>
        <w:t>pluviométrique, hydrologique et climatique</w:t>
      </w:r>
      <w:r w:rsidR="00FD47D6" w:rsidRPr="00D45DC1">
        <w:rPr>
          <w:rFonts w:asciiTheme="majorBidi" w:hAnsiTheme="majorBidi" w:cstheme="majorBidi"/>
          <w:sz w:val="24"/>
          <w:szCs w:val="24"/>
        </w:rPr>
        <w:t>",</w:t>
      </w:r>
      <w:r w:rsidR="00E724B9" w:rsidRPr="00D45DC1">
        <w:rPr>
          <w:rFonts w:asciiTheme="majorBidi" w:hAnsiTheme="majorBidi" w:cstheme="majorBidi"/>
          <w:sz w:val="24"/>
          <w:szCs w:val="24"/>
        </w:rPr>
        <w:t xml:space="preserve"> </w:t>
      </w:r>
      <w:r w:rsidR="00FD47D6" w:rsidRPr="00D45DC1">
        <w:rPr>
          <w:rFonts w:asciiTheme="majorBidi" w:hAnsiTheme="majorBidi" w:cstheme="majorBidi"/>
          <w:sz w:val="24"/>
          <w:szCs w:val="24"/>
        </w:rPr>
        <w:t xml:space="preserve">Bou-Saâda, </w:t>
      </w:r>
      <w:r w:rsidR="00E724B9" w:rsidRPr="00D45DC1">
        <w:rPr>
          <w:rFonts w:asciiTheme="majorBidi" w:hAnsiTheme="majorBidi" w:cstheme="majorBidi"/>
          <w:sz w:val="24"/>
          <w:szCs w:val="24"/>
        </w:rPr>
        <w:t>Sidi/Ameur et Khair/mam.</w:t>
      </w:r>
    </w:p>
    <w:p w:rsidR="00E724B9" w:rsidRPr="00487E3A" w:rsidRDefault="00E724B9" w:rsidP="00D45DC1">
      <w:pPr>
        <w:autoSpaceDE w:val="0"/>
        <w:autoSpaceDN w:val="0"/>
        <w:adjustRightInd w:val="0"/>
        <w:spacing w:line="240" w:lineRule="auto"/>
        <w:jc w:val="both"/>
        <w:rPr>
          <w:rFonts w:asciiTheme="majorBidi" w:hAnsiTheme="majorBidi" w:cstheme="majorBidi"/>
          <w:b/>
          <w:bCs/>
          <w:sz w:val="24"/>
          <w:szCs w:val="24"/>
          <w:rtl/>
        </w:rPr>
      </w:pPr>
      <w:r w:rsidRPr="00E13385">
        <w:rPr>
          <w:rFonts w:asciiTheme="majorBidi" w:hAnsiTheme="majorBidi" w:cstheme="majorBidi"/>
          <w:b/>
          <w:bCs/>
          <w:sz w:val="24"/>
          <w:szCs w:val="24"/>
        </w:rPr>
        <w:t>Bureau d'Etudes et de Réalisations en Urbanisme de BATNA (U.R.B.A),(2007):</w:t>
      </w:r>
      <w:r w:rsidRPr="00E13385">
        <w:rPr>
          <w:rFonts w:asciiTheme="majorBidi" w:hAnsiTheme="majorBidi" w:cstheme="majorBidi"/>
          <w:sz w:val="24"/>
          <w:szCs w:val="24"/>
        </w:rPr>
        <w:t xml:space="preserve"> Révision du Plan Directeur d’Aménagement et d’Urbanisme (PDAU), tableau récapitulatif communal, Commune de Bou-Saâda .pp60.</w:t>
      </w:r>
    </w:p>
    <w:p w:rsidR="005A6326" w:rsidRDefault="00E724B9" w:rsidP="005A6326">
      <w:pPr>
        <w:autoSpaceDE w:val="0"/>
        <w:autoSpaceDN w:val="0"/>
        <w:bidi/>
        <w:adjustRightInd w:val="0"/>
        <w:spacing w:before="240" w:line="240" w:lineRule="auto"/>
        <w:outlineLvl w:val="0"/>
        <w:rPr>
          <w:rFonts w:ascii="Times New Roman" w:hAnsi="Times New Roman" w:cs="Times New Roman"/>
          <w:b/>
          <w:bCs/>
          <w:sz w:val="20"/>
          <w:szCs w:val="20"/>
          <w:u w:val="single"/>
          <w:rtl/>
          <w:lang w:val="en-US" w:bidi="ar-DZ"/>
        </w:rPr>
      </w:pPr>
      <w:bookmarkStart w:id="994" w:name="_Toc171803911"/>
      <w:r w:rsidRPr="0017364D">
        <w:rPr>
          <w:rFonts w:ascii="Simplified Arabic" w:hAnsi="Simplified Arabic" w:cs="Simplified Arabic" w:hint="cs"/>
          <w:b/>
          <w:bCs/>
          <w:sz w:val="24"/>
          <w:szCs w:val="24"/>
          <w:u w:val="single"/>
          <w:rtl/>
          <w:lang w:val="en-US" w:bidi="ar-DZ"/>
        </w:rPr>
        <w:t xml:space="preserve">رابعا: </w:t>
      </w:r>
      <w:r w:rsidRPr="0017364D">
        <w:rPr>
          <w:rFonts w:ascii="Simplified Arabic" w:hAnsi="Simplified Arabic" w:cs="Simplified Arabic"/>
          <w:b/>
          <w:bCs/>
          <w:sz w:val="24"/>
          <w:szCs w:val="24"/>
          <w:u w:val="single"/>
          <w:rtl/>
          <w:lang w:val="en-US" w:bidi="ar-DZ"/>
        </w:rPr>
        <w:t>مواقع الواب:</w:t>
      </w:r>
      <w:r w:rsidRPr="0017364D">
        <w:rPr>
          <w:rFonts w:ascii="Times New Roman" w:hAnsi="Times New Roman" w:cs="Times New Roman" w:hint="cs"/>
          <w:b/>
          <w:bCs/>
          <w:sz w:val="24"/>
          <w:szCs w:val="24"/>
          <w:u w:val="single"/>
          <w:rtl/>
          <w:lang w:val="en-US" w:bidi="ar-DZ"/>
        </w:rPr>
        <w:t xml:space="preserve"> </w:t>
      </w:r>
      <w:r w:rsidRPr="0017364D">
        <w:rPr>
          <w:rFonts w:ascii="Times New Roman" w:hAnsi="Times New Roman" w:cs="Times New Roman" w:hint="cs"/>
          <w:b/>
          <w:bCs/>
          <w:sz w:val="20"/>
          <w:szCs w:val="20"/>
          <w:u w:val="single"/>
          <w:rtl/>
          <w:lang w:val="en-US" w:bidi="ar-DZ"/>
        </w:rPr>
        <w:t>(</w:t>
      </w:r>
      <w:r w:rsidRPr="0017364D">
        <w:rPr>
          <w:rFonts w:ascii="Times New Roman" w:hAnsi="Times New Roman" w:cs="Times New Roman"/>
          <w:b/>
          <w:bCs/>
          <w:sz w:val="20"/>
          <w:szCs w:val="20"/>
          <w:u w:val="single"/>
          <w:lang w:val="en-US"/>
        </w:rPr>
        <w:t>Sites WEB</w:t>
      </w:r>
      <w:r w:rsidRPr="0017364D">
        <w:rPr>
          <w:rFonts w:ascii="Times New Roman" w:hAnsi="Times New Roman" w:cs="Times New Roman" w:hint="cs"/>
          <w:b/>
          <w:bCs/>
          <w:sz w:val="20"/>
          <w:szCs w:val="20"/>
          <w:u w:val="single"/>
          <w:rtl/>
          <w:lang w:val="en-US" w:bidi="ar-DZ"/>
        </w:rPr>
        <w:t>)</w:t>
      </w:r>
      <w:bookmarkEnd w:id="994"/>
    </w:p>
    <w:p w:rsidR="005A6326" w:rsidRDefault="00E724B9" w:rsidP="005A6326">
      <w:pPr>
        <w:autoSpaceDE w:val="0"/>
        <w:autoSpaceDN w:val="0"/>
        <w:bidi/>
        <w:adjustRightInd w:val="0"/>
        <w:spacing w:line="240" w:lineRule="auto"/>
        <w:jc w:val="center"/>
        <w:outlineLvl w:val="0"/>
        <w:rPr>
          <w:rFonts w:asciiTheme="majorBidi" w:hAnsiTheme="majorBidi" w:cstheme="majorBidi"/>
          <w:sz w:val="24"/>
          <w:szCs w:val="24"/>
          <w:rtl/>
          <w:lang w:val="en-US"/>
        </w:rPr>
      </w:pPr>
      <w:bookmarkStart w:id="995" w:name="_Toc171803912"/>
      <w:r w:rsidRPr="00FC359A">
        <w:rPr>
          <w:rFonts w:asciiTheme="majorBidi" w:hAnsiTheme="majorBidi" w:cstheme="majorBidi"/>
          <w:sz w:val="24"/>
          <w:szCs w:val="24"/>
          <w:rtl/>
          <w:lang w:val="en-US"/>
        </w:rPr>
        <w:t>(</w:t>
      </w:r>
      <w:hyperlink r:id="rId416" w:history="1">
        <w:r w:rsidRPr="00EC2EEE">
          <w:rPr>
            <w:rStyle w:val="Lienhypertexte"/>
            <w:rFonts w:asciiTheme="majorBidi" w:hAnsiTheme="majorBidi" w:cstheme="majorBidi"/>
            <w:sz w:val="24"/>
            <w:szCs w:val="24"/>
            <w:lang w:val="en-US"/>
          </w:rPr>
          <w:t>https://fr.surveymonkey.com</w:t>
        </w:r>
      </w:hyperlink>
      <w:r w:rsidRPr="00FC359A">
        <w:rPr>
          <w:rFonts w:asciiTheme="majorBidi" w:hAnsiTheme="majorBidi" w:cstheme="majorBidi"/>
          <w:sz w:val="24"/>
          <w:szCs w:val="24"/>
          <w:rtl/>
          <w:lang w:val="en-US"/>
        </w:rPr>
        <w:t>)</w:t>
      </w:r>
      <w:bookmarkEnd w:id="995"/>
    </w:p>
    <w:p w:rsidR="00E724B9" w:rsidRDefault="00E724B9" w:rsidP="005A6326">
      <w:pPr>
        <w:autoSpaceDE w:val="0"/>
        <w:autoSpaceDN w:val="0"/>
        <w:bidi/>
        <w:adjustRightInd w:val="0"/>
        <w:spacing w:line="240" w:lineRule="auto"/>
        <w:jc w:val="center"/>
        <w:outlineLvl w:val="0"/>
        <w:rPr>
          <w:rFonts w:asciiTheme="majorBidi" w:hAnsiTheme="majorBidi" w:cstheme="majorBidi"/>
          <w:sz w:val="24"/>
          <w:szCs w:val="24"/>
          <w:lang w:val="en-US"/>
        </w:rPr>
      </w:pPr>
      <w:bookmarkStart w:id="996" w:name="_Toc171803913"/>
      <w:r>
        <w:rPr>
          <w:rFonts w:asciiTheme="majorBidi" w:hAnsiTheme="majorBidi" w:cstheme="majorBidi" w:hint="cs"/>
          <w:sz w:val="24"/>
          <w:szCs w:val="24"/>
          <w:rtl/>
          <w:lang w:val="en-US"/>
        </w:rPr>
        <w:t>(</w:t>
      </w:r>
      <w:hyperlink r:id="rId417" w:history="1">
        <w:r w:rsidRPr="00DA7040">
          <w:rPr>
            <w:rStyle w:val="Lienhypertexte"/>
            <w:rFonts w:asciiTheme="majorBidi" w:hAnsiTheme="majorBidi" w:cstheme="majorBidi"/>
            <w:sz w:val="24"/>
            <w:szCs w:val="24"/>
            <w:lang w:val="en-US"/>
          </w:rPr>
          <w:t>https://questionnaire-pro.fr</w:t>
        </w:r>
      </w:hyperlink>
      <w:r>
        <w:rPr>
          <w:rFonts w:asciiTheme="majorBidi" w:hAnsiTheme="majorBidi" w:cstheme="majorBidi" w:hint="cs"/>
          <w:sz w:val="24"/>
          <w:szCs w:val="24"/>
          <w:rtl/>
          <w:lang w:val="en-US"/>
        </w:rPr>
        <w:t>)</w:t>
      </w:r>
      <w:bookmarkEnd w:id="996"/>
    </w:p>
    <w:p w:rsidR="005A6326" w:rsidRDefault="00E724B9" w:rsidP="005A6326">
      <w:pPr>
        <w:autoSpaceDE w:val="0"/>
        <w:autoSpaceDN w:val="0"/>
        <w:bidi/>
        <w:adjustRightInd w:val="0"/>
        <w:spacing w:line="240" w:lineRule="auto"/>
        <w:jc w:val="center"/>
        <w:rPr>
          <w:rFonts w:asciiTheme="majorBidi" w:hAnsiTheme="majorBidi" w:cs="Times New Roman"/>
          <w:sz w:val="24"/>
          <w:szCs w:val="24"/>
          <w:lang w:val="en-US"/>
        </w:rPr>
        <w:sectPr w:rsidR="005A6326" w:rsidSect="004B54BB">
          <w:headerReference w:type="default" r:id="rId418"/>
          <w:footerReference w:type="default" r:id="rId419"/>
          <w:pgSz w:w="11906" w:h="16838"/>
          <w:pgMar w:top="1418" w:right="1700" w:bottom="1418" w:left="1134" w:header="709" w:footer="709" w:gutter="0"/>
          <w:pgNumType w:start="233"/>
          <w:cols w:space="708"/>
          <w:docGrid w:linePitch="360"/>
        </w:sectPr>
      </w:pPr>
      <w:r>
        <w:rPr>
          <w:rFonts w:asciiTheme="majorBidi" w:hAnsiTheme="majorBidi" w:cstheme="majorBidi"/>
          <w:sz w:val="24"/>
          <w:szCs w:val="24"/>
          <w:lang w:val="en-US"/>
        </w:rPr>
        <w:t>(</w:t>
      </w:r>
      <w:hyperlink r:id="rId420" w:history="1">
        <w:r w:rsidRPr="000F60B5">
          <w:rPr>
            <w:rStyle w:val="Lienhypertexte"/>
            <w:rFonts w:asciiTheme="majorBidi" w:hAnsiTheme="majorBidi" w:cstheme="majorBidi"/>
            <w:sz w:val="24"/>
            <w:szCs w:val="24"/>
            <w:lang w:val="en-US"/>
          </w:rPr>
          <w:t>https://www.openstreetmap.fr</w:t>
        </w:r>
      </w:hyperlink>
      <w:r>
        <w:rPr>
          <w:rFonts w:asciiTheme="majorBidi" w:hAnsiTheme="majorBidi" w:cs="Times New Roman"/>
          <w:sz w:val="24"/>
          <w:szCs w:val="24"/>
          <w:lang w:val="en-US"/>
        </w:rPr>
        <w:t>)</w:t>
      </w:r>
    </w:p>
    <w:p w:rsidR="000832BF" w:rsidRDefault="000832BF" w:rsidP="00D7621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5D50CE" w:rsidRPr="007245F7" w:rsidRDefault="005D50CE" w:rsidP="005D50CE">
      <w:pPr>
        <w:pStyle w:val="En-tte"/>
        <w:bidi/>
        <w:jc w:val="center"/>
        <w:outlineLvl w:val="0"/>
        <w:rPr>
          <w:rFonts w:ascii="Simplified Arabic" w:hAnsi="Simplified Arabic" w:cs="Simplified Arabic"/>
          <w:b/>
          <w:bCs/>
          <w:sz w:val="14"/>
          <w:szCs w:val="14"/>
          <w:rtl/>
        </w:rPr>
      </w:pPr>
      <w:bookmarkStart w:id="997" w:name="_Toc171803914"/>
      <w:r w:rsidRPr="007245F7">
        <w:rPr>
          <w:rFonts w:ascii="Simplified Arabic" w:hAnsi="Simplified Arabic" w:cs="Simplified Arabic"/>
          <w:b/>
          <w:bCs/>
          <w:sz w:val="40"/>
          <w:szCs w:val="40"/>
          <w:rtl/>
        </w:rPr>
        <w:t>المل</w:t>
      </w:r>
      <w:r w:rsidRPr="007245F7">
        <w:rPr>
          <w:rFonts w:ascii="Simplified Arabic" w:hAnsi="Simplified Arabic" w:cs="Simplified Arabic" w:hint="cs"/>
          <w:b/>
          <w:bCs/>
          <w:sz w:val="40"/>
          <w:szCs w:val="40"/>
          <w:rtl/>
        </w:rPr>
        <w:t>ا</w:t>
      </w:r>
      <w:r w:rsidRPr="007245F7">
        <w:rPr>
          <w:rFonts w:ascii="Simplified Arabic" w:hAnsi="Simplified Arabic" w:cs="Simplified Arabic"/>
          <w:b/>
          <w:bCs/>
          <w:sz w:val="40"/>
          <w:szCs w:val="40"/>
          <w:rtl/>
        </w:rPr>
        <w:t>حق</w:t>
      </w:r>
      <w:bookmarkEnd w:id="997"/>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Pr>
      </w:pPr>
    </w:p>
    <w:p w:rsidR="005A6326" w:rsidRDefault="005A6326" w:rsidP="005A6326">
      <w:pPr>
        <w:pStyle w:val="En-tte"/>
        <w:bidi/>
        <w:rPr>
          <w:rFonts w:ascii="Simplified Arabic" w:hAnsi="Simplified Arabic" w:cs="Simplified Arabic"/>
          <w:b/>
          <w:bCs/>
          <w:sz w:val="24"/>
          <w:szCs w:val="24"/>
        </w:rPr>
      </w:pPr>
    </w:p>
    <w:p w:rsidR="005A6326" w:rsidRDefault="005A6326" w:rsidP="005A6326">
      <w:pPr>
        <w:pStyle w:val="En-tte"/>
        <w:bidi/>
        <w:rPr>
          <w:rFonts w:ascii="Simplified Arabic" w:hAnsi="Simplified Arabic" w:cs="Simplified Arabic"/>
          <w:b/>
          <w:bCs/>
          <w:sz w:val="24"/>
          <w:szCs w:val="24"/>
        </w:rPr>
      </w:pPr>
    </w:p>
    <w:p w:rsidR="005A6326" w:rsidRDefault="005A6326" w:rsidP="005A6326">
      <w:pPr>
        <w:pStyle w:val="En-tte"/>
        <w:bidi/>
        <w:rPr>
          <w:rFonts w:ascii="Simplified Arabic" w:hAnsi="Simplified Arabic" w:cs="Simplified Arabic"/>
          <w:b/>
          <w:bCs/>
          <w:sz w:val="24"/>
          <w:szCs w:val="24"/>
        </w:rPr>
      </w:pPr>
    </w:p>
    <w:p w:rsidR="005A6326" w:rsidRDefault="005A6326" w:rsidP="005A6326">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0832BF" w:rsidRDefault="000832BF" w:rsidP="000832BF">
      <w:pPr>
        <w:pStyle w:val="En-tte"/>
        <w:bidi/>
        <w:rPr>
          <w:rFonts w:ascii="Simplified Arabic" w:hAnsi="Simplified Arabic" w:cs="Simplified Arabic"/>
          <w:b/>
          <w:bCs/>
          <w:sz w:val="24"/>
          <w:szCs w:val="24"/>
          <w:rtl/>
        </w:rPr>
      </w:pPr>
    </w:p>
    <w:p w:rsidR="003C34D5" w:rsidRDefault="003C34D5" w:rsidP="003C34D5">
      <w:pPr>
        <w:pStyle w:val="En-tte"/>
        <w:bidi/>
        <w:rPr>
          <w:rFonts w:ascii="Simplified Arabic" w:hAnsi="Simplified Arabic" w:cs="Simplified Arabic"/>
          <w:b/>
          <w:bCs/>
          <w:sz w:val="24"/>
          <w:szCs w:val="24"/>
          <w:rtl/>
        </w:rPr>
      </w:pPr>
    </w:p>
    <w:p w:rsidR="003C34D5" w:rsidRDefault="003C34D5" w:rsidP="003C34D5">
      <w:pPr>
        <w:pStyle w:val="En-tte"/>
        <w:bidi/>
        <w:rPr>
          <w:rFonts w:ascii="Simplified Arabic" w:hAnsi="Simplified Arabic" w:cs="Simplified Arabic"/>
          <w:b/>
          <w:bCs/>
          <w:sz w:val="24"/>
          <w:szCs w:val="24"/>
          <w:rtl/>
        </w:rPr>
      </w:pPr>
    </w:p>
    <w:p w:rsidR="003C34D5" w:rsidRDefault="003C34D5" w:rsidP="003C34D5">
      <w:pPr>
        <w:pStyle w:val="En-tte"/>
        <w:bidi/>
        <w:rPr>
          <w:rFonts w:ascii="Simplified Arabic" w:hAnsi="Simplified Arabic" w:cs="Simplified Arabic"/>
          <w:b/>
          <w:bCs/>
          <w:sz w:val="24"/>
          <w:szCs w:val="24"/>
          <w:rtl/>
        </w:rPr>
      </w:pPr>
    </w:p>
    <w:p w:rsidR="003C34D5" w:rsidRDefault="003C34D5" w:rsidP="003C34D5">
      <w:pPr>
        <w:pStyle w:val="En-tte"/>
        <w:bidi/>
        <w:rPr>
          <w:rFonts w:ascii="Simplified Arabic" w:hAnsi="Simplified Arabic" w:cs="Simplified Arabic"/>
          <w:b/>
          <w:bCs/>
          <w:sz w:val="24"/>
          <w:szCs w:val="24"/>
          <w:rtl/>
        </w:rPr>
      </w:pPr>
    </w:p>
    <w:p w:rsidR="003C34D5" w:rsidRDefault="003C34D5" w:rsidP="003C34D5">
      <w:pPr>
        <w:pStyle w:val="En-tte"/>
        <w:bidi/>
        <w:rPr>
          <w:rFonts w:ascii="Simplified Arabic" w:hAnsi="Simplified Arabic" w:cs="Simplified Arabic"/>
          <w:b/>
          <w:bCs/>
          <w:sz w:val="24"/>
          <w:szCs w:val="24"/>
          <w:rtl/>
        </w:rPr>
        <w:sectPr w:rsidR="003C34D5" w:rsidSect="003C34D5">
          <w:headerReference w:type="default" r:id="rId421"/>
          <w:footerReference w:type="default" r:id="rId422"/>
          <w:headerReference w:type="first" r:id="rId423"/>
          <w:footerReference w:type="first" r:id="rId424"/>
          <w:pgSz w:w="11906" w:h="16838"/>
          <w:pgMar w:top="1418" w:right="1700" w:bottom="1418" w:left="1134" w:header="709" w:footer="709" w:gutter="0"/>
          <w:pgNumType w:start="251"/>
          <w:cols w:space="708"/>
          <w:titlePg/>
          <w:docGrid w:linePitch="360"/>
        </w:sectPr>
      </w:pPr>
    </w:p>
    <w:p w:rsidR="00703DF4" w:rsidRPr="007A761D" w:rsidRDefault="00703DF4" w:rsidP="00134332">
      <w:pPr>
        <w:pStyle w:val="En-tte"/>
        <w:bidi/>
        <w:outlineLvl w:val="0"/>
        <w:rPr>
          <w:rFonts w:ascii="Simplified Arabic" w:hAnsi="Simplified Arabic" w:cs="Simplified Arabic"/>
          <w:b/>
          <w:bCs/>
          <w:sz w:val="24"/>
          <w:szCs w:val="24"/>
          <w:rtl/>
        </w:rPr>
      </w:pPr>
      <w:bookmarkStart w:id="998" w:name="_Toc171803915"/>
      <w:r w:rsidRPr="007A761D">
        <w:rPr>
          <w:rFonts w:ascii="Simplified Arabic" w:hAnsi="Simplified Arabic" w:cs="Simplified Arabic"/>
          <w:b/>
          <w:bCs/>
          <w:sz w:val="24"/>
          <w:szCs w:val="24"/>
          <w:rtl/>
        </w:rPr>
        <w:lastRenderedPageBreak/>
        <w:t xml:space="preserve">الملحق </w:t>
      </w:r>
      <w:r w:rsidR="00D7621F">
        <w:rPr>
          <w:rFonts w:ascii="Simplified Arabic" w:hAnsi="Simplified Arabic" w:cs="Simplified Arabic" w:hint="cs"/>
          <w:b/>
          <w:bCs/>
          <w:sz w:val="24"/>
          <w:szCs w:val="24"/>
          <w:rtl/>
        </w:rPr>
        <w:t>1</w:t>
      </w:r>
      <w:r w:rsidRPr="007A761D">
        <w:rPr>
          <w:rFonts w:ascii="Simplified Arabic" w:hAnsi="Simplified Arabic" w:cs="Simplified Arabic"/>
          <w:b/>
          <w:bCs/>
          <w:sz w:val="24"/>
          <w:szCs w:val="24"/>
          <w:rtl/>
        </w:rPr>
        <w:t xml:space="preserve">: </w:t>
      </w:r>
      <w:r w:rsidRPr="007A761D">
        <w:rPr>
          <w:rFonts w:ascii="Simplified Arabic" w:hAnsi="Simplified Arabic" w:cs="Simplified Arabic" w:hint="cs"/>
          <w:b/>
          <w:bCs/>
          <w:sz w:val="24"/>
          <w:szCs w:val="24"/>
          <w:rtl/>
        </w:rPr>
        <w:t>مبادرة الجماعات المحلية لولاية الجزائر بإعداد المخطط التوجيهي للمرونة الحضرية لولاية الجزائر</w:t>
      </w:r>
      <w:r w:rsidRPr="007A761D">
        <w:rPr>
          <w:rFonts w:ascii="Simplified Arabic" w:hAnsi="Simplified Arabic" w:cs="Simplified Arabic"/>
          <w:b/>
          <w:bCs/>
          <w:sz w:val="24"/>
          <w:szCs w:val="24"/>
          <w:rtl/>
        </w:rPr>
        <w:t>.</w:t>
      </w:r>
      <w:bookmarkEnd w:id="998"/>
    </w:p>
    <w:p w:rsidR="00703DF4" w:rsidRDefault="00703DF4" w:rsidP="00703DF4">
      <w:pPr>
        <w:jc w:val="center"/>
      </w:pPr>
      <w:r>
        <w:rPr>
          <w:noProof/>
          <w:lang w:eastAsia="fr-FR"/>
        </w:rPr>
        <w:drawing>
          <wp:inline distT="0" distB="0" distL="0" distR="0" wp14:anchorId="7B1A74F0" wp14:editId="410507C2">
            <wp:extent cx="1112274" cy="1120367"/>
            <wp:effectExtent l="0" t="0" r="0" b="3810"/>
            <wp:docPr id="231"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5914" cy="1124034"/>
                    </a:xfrm>
                    <a:prstGeom prst="rect">
                      <a:avLst/>
                    </a:prstGeom>
                    <a:noFill/>
                    <a:ln>
                      <a:noFill/>
                    </a:ln>
                  </pic:spPr>
                </pic:pic>
              </a:graphicData>
            </a:graphic>
          </wp:inline>
        </w:drawing>
      </w:r>
    </w:p>
    <w:p w:rsidR="00703DF4" w:rsidRDefault="00703DF4" w:rsidP="00703DF4">
      <w:pPr>
        <w:bidi/>
        <w:spacing w:after="0"/>
        <w:jc w:val="center"/>
        <w:rPr>
          <w:rFonts w:ascii="Simplified Arabic" w:hAnsi="Simplified Arabic" w:cs="Simplified Arabic"/>
          <w:b/>
          <w:bCs/>
          <w:color w:val="00B0F0"/>
          <w:sz w:val="28"/>
          <w:szCs w:val="28"/>
          <w:rtl/>
        </w:rPr>
      </w:pPr>
      <w:r>
        <w:rPr>
          <w:noProof/>
          <w:lang w:eastAsia="fr-FR"/>
        </w:rPr>
        <w:drawing>
          <wp:inline distT="0" distB="0" distL="0" distR="0" wp14:anchorId="79077EF5" wp14:editId="2F9E62E8">
            <wp:extent cx="4886368" cy="7205763"/>
            <wp:effectExtent l="0" t="0" r="0" b="0"/>
            <wp:docPr id="232" name="Imag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5">
                      <a:extLst>
                        <a:ext uri="{28A0092B-C50C-407E-A947-70E740481C1C}">
                          <a14:useLocalDpi xmlns:a14="http://schemas.microsoft.com/office/drawing/2010/main" val="0"/>
                        </a:ext>
                      </a:extLst>
                    </a:blip>
                    <a:stretch>
                      <a:fillRect/>
                    </a:stretch>
                  </pic:blipFill>
                  <pic:spPr>
                    <a:xfrm>
                      <a:off x="0" y="0"/>
                      <a:ext cx="4886368" cy="7205763"/>
                    </a:xfrm>
                    <a:prstGeom prst="rect">
                      <a:avLst/>
                    </a:prstGeom>
                  </pic:spPr>
                </pic:pic>
              </a:graphicData>
            </a:graphic>
          </wp:inline>
        </w:drawing>
      </w:r>
    </w:p>
    <w:p w:rsidR="00703DF4" w:rsidRPr="007A761D" w:rsidRDefault="00703DF4" w:rsidP="00134332">
      <w:pPr>
        <w:pStyle w:val="En-tte"/>
        <w:bidi/>
        <w:jc w:val="center"/>
        <w:outlineLvl w:val="0"/>
        <w:rPr>
          <w:rFonts w:ascii="Simplified Arabic" w:hAnsi="Simplified Arabic" w:cs="Simplified Arabic"/>
          <w:b/>
          <w:bCs/>
          <w:sz w:val="24"/>
          <w:szCs w:val="24"/>
          <w:rtl/>
        </w:rPr>
      </w:pPr>
      <w:bookmarkStart w:id="999" w:name="_Toc171803916"/>
      <w:r w:rsidRPr="007A761D">
        <w:rPr>
          <w:rFonts w:ascii="Simplified Arabic" w:hAnsi="Simplified Arabic" w:cs="Simplified Arabic"/>
          <w:b/>
          <w:bCs/>
          <w:sz w:val="24"/>
          <w:szCs w:val="24"/>
          <w:rtl/>
        </w:rPr>
        <w:lastRenderedPageBreak/>
        <w:t xml:space="preserve">الملحق </w:t>
      </w:r>
      <w:r w:rsidR="00D7621F">
        <w:rPr>
          <w:rFonts w:ascii="Simplified Arabic" w:hAnsi="Simplified Arabic" w:cs="Simplified Arabic" w:hint="cs"/>
          <w:b/>
          <w:bCs/>
          <w:sz w:val="24"/>
          <w:szCs w:val="24"/>
          <w:rtl/>
        </w:rPr>
        <w:t>2</w:t>
      </w:r>
      <w:r w:rsidRPr="007A761D">
        <w:rPr>
          <w:rFonts w:ascii="Simplified Arabic" w:hAnsi="Simplified Arabic" w:cs="Simplified Arabic"/>
          <w:b/>
          <w:bCs/>
          <w:sz w:val="24"/>
          <w:szCs w:val="24"/>
          <w:rtl/>
        </w:rPr>
        <w:t xml:space="preserve">: امثلة من الواقع حول </w:t>
      </w:r>
      <w:r w:rsidR="00E8438B" w:rsidRPr="00E8438B">
        <w:rPr>
          <w:rFonts w:ascii="Simplified Arabic" w:hAnsi="Simplified Arabic" w:cs="Simplified Arabic" w:hint="cs"/>
          <w:b/>
          <w:bCs/>
          <w:sz w:val="24"/>
          <w:szCs w:val="24"/>
          <w:rtl/>
        </w:rPr>
        <w:t>الفئات</w:t>
      </w:r>
      <w:r w:rsidR="00E8438B" w:rsidRPr="00E8438B">
        <w:rPr>
          <w:rFonts w:ascii="Simplified Arabic" w:hAnsi="Simplified Arabic" w:cs="Simplified Arabic"/>
          <w:b/>
          <w:bCs/>
          <w:sz w:val="24"/>
          <w:szCs w:val="24"/>
          <w:rtl/>
        </w:rPr>
        <w:t xml:space="preserve"> </w:t>
      </w:r>
      <w:r w:rsidR="00E8438B" w:rsidRPr="00E8438B">
        <w:rPr>
          <w:rFonts w:ascii="Simplified Arabic" w:hAnsi="Simplified Arabic" w:cs="Simplified Arabic" w:hint="cs"/>
          <w:b/>
          <w:bCs/>
          <w:sz w:val="24"/>
          <w:szCs w:val="24"/>
          <w:rtl/>
        </w:rPr>
        <w:t>ال</w:t>
      </w:r>
      <w:r w:rsidR="00E8438B" w:rsidRPr="00E8438B">
        <w:rPr>
          <w:rFonts w:ascii="Simplified Arabic" w:hAnsi="Simplified Arabic" w:cs="Simplified Arabic"/>
          <w:b/>
          <w:bCs/>
          <w:sz w:val="24"/>
          <w:szCs w:val="24"/>
          <w:rtl/>
        </w:rPr>
        <w:t>أربع</w:t>
      </w:r>
      <w:r w:rsidR="00E8438B" w:rsidRPr="00E8438B">
        <w:rPr>
          <w:rFonts w:ascii="Simplified Arabic" w:hAnsi="Simplified Arabic" w:cs="Simplified Arabic" w:hint="cs"/>
          <w:b/>
          <w:bCs/>
          <w:sz w:val="24"/>
          <w:szCs w:val="24"/>
          <w:rtl/>
        </w:rPr>
        <w:t>ة</w:t>
      </w:r>
      <w:r w:rsidR="00E8438B" w:rsidRPr="00E8438B">
        <w:rPr>
          <w:rFonts w:ascii="Simplified Arabic" w:hAnsi="Simplified Arabic" w:cs="Simplified Arabic"/>
          <w:b/>
          <w:bCs/>
          <w:sz w:val="24"/>
          <w:szCs w:val="24"/>
          <w:rtl/>
        </w:rPr>
        <w:t xml:space="preserve"> </w:t>
      </w:r>
      <w:r>
        <w:rPr>
          <w:rFonts w:ascii="Simplified Arabic" w:hAnsi="Simplified Arabic" w:cs="Simplified Arabic" w:hint="cs"/>
          <w:b/>
          <w:bCs/>
          <w:sz w:val="24"/>
          <w:szCs w:val="24"/>
          <w:rtl/>
        </w:rPr>
        <w:t xml:space="preserve">للأنسجة </w:t>
      </w:r>
      <w:r w:rsidRPr="007A761D">
        <w:rPr>
          <w:rFonts w:ascii="Simplified Arabic" w:hAnsi="Simplified Arabic" w:cs="Simplified Arabic"/>
          <w:b/>
          <w:bCs/>
          <w:sz w:val="24"/>
          <w:szCs w:val="24"/>
          <w:rtl/>
        </w:rPr>
        <w:t>الحضرية بمدينة بوسعادة.</w:t>
      </w:r>
      <w:bookmarkEnd w:id="999"/>
    </w:p>
    <w:p w:rsidR="00703DF4" w:rsidRDefault="00703DF4" w:rsidP="00703DF4">
      <w:pPr>
        <w:jc w:val="center"/>
        <w:rPr>
          <w:rtl/>
        </w:rPr>
      </w:pPr>
      <w:r>
        <w:rPr>
          <w:noProof/>
          <w:lang w:eastAsia="fr-FR"/>
        </w:rPr>
        <w:drawing>
          <wp:inline distT="0" distB="0" distL="0" distR="0" wp14:anchorId="6A453951" wp14:editId="7CB4CCDC">
            <wp:extent cx="1249550" cy="1258641"/>
            <wp:effectExtent l="0" t="0" r="8255" b="0"/>
            <wp:docPr id="233" name="Imag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3108" cy="1262225"/>
                    </a:xfrm>
                    <a:prstGeom prst="rect">
                      <a:avLst/>
                    </a:prstGeom>
                    <a:noFill/>
                    <a:ln>
                      <a:noFill/>
                    </a:ln>
                  </pic:spPr>
                </pic:pic>
              </a:graphicData>
            </a:graphic>
          </wp:inline>
        </w:drawing>
      </w:r>
    </w:p>
    <w:p w:rsidR="00703DF4" w:rsidRPr="00B90232" w:rsidRDefault="00E8438B" w:rsidP="006729A3">
      <w:pPr>
        <w:bidi/>
        <w:spacing w:after="0" w:line="240" w:lineRule="auto"/>
        <w:jc w:val="both"/>
        <w:rPr>
          <w:rFonts w:ascii="Simplified Arabic" w:hAnsi="Simplified Arabic" w:cs="Simplified Arabic"/>
          <w:sz w:val="24"/>
          <w:szCs w:val="24"/>
        </w:rPr>
      </w:pPr>
      <w:r>
        <w:rPr>
          <w:rFonts w:ascii="Simplified Arabic" w:hAnsi="Simplified Arabic" w:cs="Simplified Arabic" w:hint="cs"/>
          <w:sz w:val="24"/>
          <w:szCs w:val="24"/>
          <w:rtl/>
        </w:rPr>
        <w:t>الفئات</w:t>
      </w:r>
      <w:r w:rsidRPr="00B90232">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00703DF4" w:rsidRPr="00B90232">
        <w:rPr>
          <w:rFonts w:ascii="Simplified Arabic" w:hAnsi="Simplified Arabic" w:cs="Simplified Arabic"/>
          <w:sz w:val="24"/>
          <w:szCs w:val="24"/>
          <w:rtl/>
        </w:rPr>
        <w:t>أربع</w:t>
      </w:r>
      <w:r>
        <w:rPr>
          <w:rFonts w:ascii="Simplified Arabic" w:hAnsi="Simplified Arabic" w:cs="Simplified Arabic" w:hint="cs"/>
          <w:sz w:val="24"/>
          <w:szCs w:val="24"/>
          <w:rtl/>
        </w:rPr>
        <w:t>ة</w:t>
      </w:r>
      <w:r w:rsidR="00703DF4" w:rsidRPr="00B90232">
        <w:rPr>
          <w:rFonts w:ascii="Simplified Arabic" w:hAnsi="Simplified Arabic" w:cs="Simplified Arabic"/>
          <w:sz w:val="24"/>
          <w:szCs w:val="24"/>
          <w:rtl/>
        </w:rPr>
        <w:t xml:space="preserve"> </w:t>
      </w:r>
      <w:r>
        <w:rPr>
          <w:rFonts w:ascii="Simplified Arabic" w:hAnsi="Simplified Arabic" w:cs="Simplified Arabic" w:hint="cs"/>
          <w:sz w:val="24"/>
          <w:szCs w:val="24"/>
          <w:rtl/>
        </w:rPr>
        <w:t>للأنسجة الحضرية بمدينة بوسعادة</w:t>
      </w:r>
      <w:r w:rsidR="00703DF4" w:rsidRPr="00B90232">
        <w:rPr>
          <w:rFonts w:ascii="Simplified Arabic" w:hAnsi="Simplified Arabic" w:cs="Simplified Arabic"/>
          <w:sz w:val="24"/>
          <w:szCs w:val="24"/>
          <w:rtl/>
        </w:rPr>
        <w:t xml:space="preserve">: المدينة </w:t>
      </w:r>
      <w:r w:rsidR="00703DF4">
        <w:rPr>
          <w:rFonts w:ascii="Simplified Arabic" w:hAnsi="Simplified Arabic" w:cs="Simplified Arabic" w:hint="cs"/>
          <w:sz w:val="24"/>
          <w:szCs w:val="24"/>
          <w:rtl/>
        </w:rPr>
        <w:t>القديمة</w:t>
      </w:r>
      <w:r w:rsidR="00703DF4" w:rsidRPr="00B90232">
        <w:rPr>
          <w:rFonts w:ascii="Simplified Arabic" w:hAnsi="Simplified Arabic" w:cs="Simplified Arabic"/>
          <w:sz w:val="24"/>
          <w:szCs w:val="24"/>
          <w:rtl/>
        </w:rPr>
        <w:t xml:space="preserve"> (أعلى يمين)، غير المخططة (أعلى يسار) ومثالين للأنسجة المخططة المعاصرة، الشبكي</w:t>
      </w:r>
      <w:r w:rsidR="00E61BFE">
        <w:rPr>
          <w:rFonts w:ascii="Simplified Arabic" w:hAnsi="Simplified Arabic" w:cs="Simplified Arabic" w:hint="cs"/>
          <w:sz w:val="24"/>
          <w:szCs w:val="24"/>
          <w:rtl/>
        </w:rPr>
        <w:t xml:space="preserve"> الاستيطاني</w:t>
      </w:r>
      <w:r w:rsidR="00703DF4" w:rsidRPr="00B90232">
        <w:rPr>
          <w:rFonts w:ascii="Simplified Arabic" w:hAnsi="Simplified Arabic" w:cs="Simplified Arabic"/>
          <w:sz w:val="24"/>
          <w:szCs w:val="24"/>
          <w:rtl/>
        </w:rPr>
        <w:t xml:space="preserve"> </w:t>
      </w:r>
      <w:r w:rsidR="00703DF4" w:rsidRPr="00806FDD">
        <w:rPr>
          <w:rFonts w:asciiTheme="majorBidi" w:hAnsiTheme="majorBidi" w:cstheme="majorBidi"/>
          <w:sz w:val="24"/>
          <w:szCs w:val="24"/>
          <w:rtl/>
        </w:rPr>
        <w:t>(</w:t>
      </w:r>
      <w:r w:rsidR="00703DF4" w:rsidRPr="00806FDD">
        <w:rPr>
          <w:rFonts w:asciiTheme="majorBidi" w:hAnsiTheme="majorBidi" w:cstheme="majorBidi"/>
          <w:sz w:val="24"/>
          <w:szCs w:val="24"/>
        </w:rPr>
        <w:t>Damier</w:t>
      </w:r>
      <w:r w:rsidR="00703DF4" w:rsidRPr="00806FDD">
        <w:rPr>
          <w:rFonts w:asciiTheme="majorBidi" w:hAnsiTheme="majorBidi" w:cstheme="majorBidi"/>
          <w:sz w:val="24"/>
          <w:szCs w:val="24"/>
          <w:rtl/>
        </w:rPr>
        <w:t>)</w:t>
      </w:r>
      <w:r w:rsidR="00703DF4" w:rsidRPr="00B90232">
        <w:rPr>
          <w:rFonts w:ascii="Simplified Arabic" w:hAnsi="Simplified Arabic" w:cs="Simplified Arabic"/>
          <w:sz w:val="24"/>
          <w:szCs w:val="24"/>
          <w:rtl/>
        </w:rPr>
        <w:t xml:space="preserve"> (أسفل اليمين) </w:t>
      </w:r>
      <w:r w:rsidR="00E61BFE">
        <w:rPr>
          <w:rFonts w:ascii="Simplified Arabic" w:hAnsi="Simplified Arabic" w:cs="Simplified Arabic" w:hint="cs"/>
          <w:sz w:val="24"/>
          <w:szCs w:val="24"/>
          <w:rtl/>
        </w:rPr>
        <w:t>و</w:t>
      </w:r>
      <w:r w:rsidR="00703DF4" w:rsidRPr="00B90232">
        <w:rPr>
          <w:rFonts w:ascii="Simplified Arabic" w:hAnsi="Simplified Arabic" w:cs="Simplified Arabic"/>
          <w:sz w:val="24"/>
          <w:szCs w:val="24"/>
          <w:rtl/>
        </w:rPr>
        <w:t xml:space="preserve">النسيج </w:t>
      </w:r>
      <w:r w:rsidR="00703DF4">
        <w:rPr>
          <w:rFonts w:ascii="Simplified Arabic" w:hAnsi="Simplified Arabic" w:cs="Simplified Arabic"/>
          <w:sz w:val="24"/>
          <w:szCs w:val="24"/>
          <w:rtl/>
        </w:rPr>
        <w:t>الشعاعي</w:t>
      </w:r>
      <w:r w:rsidR="00703DF4" w:rsidRPr="00B90232">
        <w:rPr>
          <w:rFonts w:ascii="Simplified Arabic" w:hAnsi="Simplified Arabic" w:cs="Simplified Arabic"/>
          <w:sz w:val="24"/>
          <w:szCs w:val="24"/>
          <w:rtl/>
        </w:rPr>
        <w:t xml:space="preserve"> (أسفل </w:t>
      </w:r>
      <w:r>
        <w:rPr>
          <w:rFonts w:ascii="Simplified Arabic" w:hAnsi="Simplified Arabic" w:cs="Simplified Arabic" w:hint="cs"/>
          <w:sz w:val="24"/>
          <w:szCs w:val="24"/>
          <w:rtl/>
        </w:rPr>
        <w:t>اليسار</w:t>
      </w:r>
      <w:r w:rsidR="00703DF4" w:rsidRPr="00B90232">
        <w:rPr>
          <w:rFonts w:ascii="Simplified Arabic" w:hAnsi="Simplified Arabic" w:cs="Simplified Arabic"/>
          <w:sz w:val="24"/>
          <w:szCs w:val="24"/>
          <w:rtl/>
        </w:rPr>
        <w:t>).</w:t>
      </w:r>
    </w:p>
    <w:p w:rsidR="00703DF4" w:rsidRDefault="00703DF4" w:rsidP="00703DF4">
      <w:pPr>
        <w:bidi/>
        <w:spacing w:after="0"/>
        <w:jc w:val="center"/>
        <w:rPr>
          <w:rFonts w:ascii="Simplified Arabic" w:hAnsi="Simplified Arabic" w:cs="Simplified Arabic"/>
          <w:b/>
          <w:bCs/>
          <w:color w:val="00B0F0"/>
          <w:sz w:val="28"/>
          <w:szCs w:val="28"/>
          <w:rtl/>
        </w:rPr>
      </w:pPr>
      <w:r>
        <w:rPr>
          <w:rFonts w:ascii="Simplified Arabic" w:hAnsi="Simplified Arabic" w:cs="Simplified Arabic"/>
          <w:b/>
          <w:bCs/>
          <w:noProof/>
          <w:color w:val="00B0F0"/>
          <w:sz w:val="28"/>
          <w:szCs w:val="28"/>
          <w:rtl/>
          <w:lang w:eastAsia="fr-FR"/>
        </w:rPr>
        <w:drawing>
          <wp:inline distT="0" distB="0" distL="0" distR="0" wp14:anchorId="3F241E77" wp14:editId="67B18F86">
            <wp:extent cx="5581402" cy="6293922"/>
            <wp:effectExtent l="0" t="0" r="57785" b="50165"/>
            <wp:docPr id="234" name="Diagramme 2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6" r:lo="rId427" r:qs="rId428" r:cs="rId429"/>
              </a:graphicData>
            </a:graphic>
          </wp:inline>
        </w:drawing>
      </w:r>
    </w:p>
    <w:p w:rsidR="001035CA" w:rsidRDefault="001035CA" w:rsidP="00712D87">
      <w:pPr>
        <w:bidi/>
        <w:spacing w:after="0" w:line="240" w:lineRule="auto"/>
        <w:jc w:val="center"/>
        <w:rPr>
          <w:rFonts w:ascii="Simplified Arabic" w:hAnsi="Simplified Arabic" w:cs="Simplified Arabic"/>
          <w:b/>
          <w:bCs/>
          <w:sz w:val="24"/>
          <w:szCs w:val="24"/>
          <w:rtl/>
        </w:rPr>
      </w:pPr>
    </w:p>
    <w:p w:rsidR="00703DF4" w:rsidRPr="004355AD" w:rsidRDefault="00703DF4" w:rsidP="00134332">
      <w:pPr>
        <w:bidi/>
        <w:spacing w:after="0" w:line="240" w:lineRule="auto"/>
        <w:jc w:val="center"/>
        <w:outlineLvl w:val="0"/>
        <w:rPr>
          <w:rFonts w:asciiTheme="minorBidi" w:hAnsiTheme="minorBidi"/>
          <w:b/>
          <w:bCs/>
          <w:sz w:val="28"/>
          <w:szCs w:val="28"/>
        </w:rPr>
      </w:pPr>
      <w:bookmarkStart w:id="1000" w:name="_Toc171803917"/>
      <w:r w:rsidRPr="004355AD">
        <w:rPr>
          <w:rFonts w:ascii="Simplified Arabic" w:hAnsi="Simplified Arabic" w:cs="Simplified Arabic"/>
          <w:b/>
          <w:bCs/>
          <w:sz w:val="24"/>
          <w:szCs w:val="24"/>
          <w:rtl/>
        </w:rPr>
        <w:lastRenderedPageBreak/>
        <w:t xml:space="preserve">الملحق </w:t>
      </w:r>
      <w:r w:rsidR="00D7621F">
        <w:rPr>
          <w:rFonts w:ascii="Simplified Arabic" w:hAnsi="Simplified Arabic" w:cs="Simplified Arabic" w:hint="cs"/>
          <w:b/>
          <w:bCs/>
          <w:sz w:val="24"/>
          <w:szCs w:val="24"/>
          <w:rtl/>
        </w:rPr>
        <w:t>3</w:t>
      </w:r>
      <w:r w:rsidRPr="004355AD">
        <w:rPr>
          <w:rFonts w:ascii="Simplified Arabic" w:hAnsi="Simplified Arabic" w:cs="Simplified Arabic"/>
          <w:b/>
          <w:bCs/>
          <w:sz w:val="24"/>
          <w:szCs w:val="24"/>
          <w:rtl/>
        </w:rPr>
        <w:t xml:space="preserve">: معلومات مفصلة حول </w:t>
      </w:r>
      <w:r w:rsidRPr="004355AD">
        <w:rPr>
          <w:rFonts w:ascii="Simplified Arabic" w:hAnsi="Simplified Arabic" w:cs="Simplified Arabic" w:hint="cs"/>
          <w:b/>
          <w:bCs/>
          <w:sz w:val="24"/>
          <w:szCs w:val="24"/>
          <w:rtl/>
        </w:rPr>
        <w:t xml:space="preserve">المقارنة الزوجية من خلال عملية </w:t>
      </w:r>
      <w:r w:rsidRPr="004355AD">
        <w:rPr>
          <w:rFonts w:ascii="Simplified Arabic" w:hAnsi="Simplified Arabic" w:cs="Simplified Arabic"/>
          <w:b/>
          <w:bCs/>
          <w:sz w:val="24"/>
          <w:szCs w:val="24"/>
          <w:rtl/>
        </w:rPr>
        <w:t xml:space="preserve">التسلسل الهرمي التحليلي </w:t>
      </w:r>
      <w:r w:rsidRPr="004355AD">
        <w:rPr>
          <w:rFonts w:asciiTheme="majorBidi" w:hAnsiTheme="majorBidi" w:cstheme="majorBidi"/>
          <w:b/>
          <w:bCs/>
          <w:sz w:val="24"/>
          <w:szCs w:val="24"/>
          <w:rtl/>
        </w:rPr>
        <w:t>(</w:t>
      </w:r>
      <w:r w:rsidRPr="004355AD">
        <w:rPr>
          <w:rFonts w:asciiTheme="majorBidi" w:hAnsiTheme="majorBidi" w:cstheme="majorBidi"/>
          <w:b/>
          <w:bCs/>
          <w:sz w:val="24"/>
          <w:szCs w:val="24"/>
        </w:rPr>
        <w:t>AHP</w:t>
      </w:r>
      <w:r w:rsidRPr="004355AD">
        <w:rPr>
          <w:rFonts w:asciiTheme="majorBidi" w:hAnsiTheme="majorBidi" w:cstheme="majorBidi"/>
          <w:b/>
          <w:bCs/>
          <w:sz w:val="24"/>
          <w:szCs w:val="24"/>
          <w:rtl/>
        </w:rPr>
        <w:t>)</w:t>
      </w:r>
      <w:r w:rsidRPr="004355AD">
        <w:rPr>
          <w:rFonts w:asciiTheme="majorBidi" w:hAnsiTheme="majorBidi" w:cstheme="majorBidi" w:hint="cs"/>
          <w:b/>
          <w:bCs/>
          <w:sz w:val="24"/>
          <w:szCs w:val="24"/>
          <w:rtl/>
        </w:rPr>
        <w:t>.</w:t>
      </w:r>
      <w:bookmarkEnd w:id="1000"/>
    </w:p>
    <w:p w:rsidR="00703DF4" w:rsidRDefault="00703DF4" w:rsidP="00703DF4">
      <w:pPr>
        <w:bidi/>
        <w:spacing w:after="0"/>
        <w:jc w:val="center"/>
        <w:rPr>
          <w:rFonts w:asciiTheme="minorBidi" w:hAnsiTheme="minorBidi"/>
          <w:b/>
          <w:bCs/>
          <w:sz w:val="28"/>
          <w:szCs w:val="28"/>
          <w:rtl/>
        </w:rPr>
      </w:pPr>
      <w:r>
        <w:rPr>
          <w:noProof/>
          <w:lang w:eastAsia="fr-FR"/>
        </w:rPr>
        <w:drawing>
          <wp:inline distT="0" distB="0" distL="0" distR="0" wp14:anchorId="21DBEEC8" wp14:editId="0D64461A">
            <wp:extent cx="924925" cy="931653"/>
            <wp:effectExtent l="0" t="0" r="8890" b="1905"/>
            <wp:docPr id="246" name="Imag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27632" cy="934380"/>
                    </a:xfrm>
                    <a:prstGeom prst="rect">
                      <a:avLst/>
                    </a:prstGeom>
                    <a:noFill/>
                    <a:ln>
                      <a:noFill/>
                    </a:ln>
                  </pic:spPr>
                </pic:pic>
              </a:graphicData>
            </a:graphic>
          </wp:inline>
        </w:drawing>
      </w:r>
    </w:p>
    <w:p w:rsidR="00703DF4" w:rsidRPr="00FB1F8C" w:rsidRDefault="00703DF4" w:rsidP="00703DF4">
      <w:pPr>
        <w:bidi/>
        <w:spacing w:after="0"/>
        <w:jc w:val="center"/>
        <w:rPr>
          <w:rFonts w:ascii="Simplified Arabic" w:hAnsi="Simplified Arabic" w:cs="Simplified Arabic"/>
          <w:b/>
          <w:bCs/>
          <w:color w:val="000000" w:themeColor="text1"/>
          <w:sz w:val="24"/>
          <w:szCs w:val="24"/>
        </w:rPr>
      </w:pPr>
      <w:r w:rsidRPr="00FB1F8C">
        <w:rPr>
          <w:rFonts w:ascii="Simplified Arabic" w:hAnsi="Simplified Arabic" w:cs="Simplified Arabic"/>
          <w:b/>
          <w:bCs/>
          <w:color w:val="000000" w:themeColor="text1"/>
          <w:sz w:val="24"/>
          <w:szCs w:val="24"/>
          <w:rtl/>
        </w:rPr>
        <w:t xml:space="preserve">الموضوع: مسح </w:t>
      </w:r>
      <w:r w:rsidRPr="00FB1F8C">
        <w:rPr>
          <w:rFonts w:asciiTheme="majorBidi" w:hAnsiTheme="majorBidi" w:cstheme="majorBidi"/>
          <w:b/>
          <w:bCs/>
          <w:sz w:val="24"/>
          <w:szCs w:val="24"/>
          <w:rtl/>
        </w:rPr>
        <w:t>(</w:t>
      </w:r>
      <w:r w:rsidRPr="00FB1F8C">
        <w:rPr>
          <w:rFonts w:asciiTheme="majorBidi" w:hAnsiTheme="majorBidi" w:cstheme="majorBidi"/>
          <w:b/>
          <w:bCs/>
          <w:sz w:val="24"/>
          <w:szCs w:val="24"/>
        </w:rPr>
        <w:t>AHP</w:t>
      </w:r>
      <w:r w:rsidRPr="00FB1F8C">
        <w:rPr>
          <w:rFonts w:asciiTheme="majorBidi" w:hAnsiTheme="majorBidi" w:cstheme="majorBidi"/>
          <w:b/>
          <w:bCs/>
          <w:sz w:val="24"/>
          <w:szCs w:val="24"/>
          <w:rtl/>
        </w:rPr>
        <w:t>)</w:t>
      </w:r>
      <w:r w:rsidRPr="00FB1F8C">
        <w:rPr>
          <w:rFonts w:ascii="Simplified Arabic" w:hAnsi="Simplified Arabic" w:cs="Simplified Arabic"/>
          <w:b/>
          <w:bCs/>
          <w:color w:val="000000" w:themeColor="text1"/>
          <w:sz w:val="24"/>
          <w:szCs w:val="24"/>
          <w:rtl/>
        </w:rPr>
        <w:t>: المقارنات الزوجية</w:t>
      </w:r>
    </w:p>
    <w:p w:rsidR="00703DF4" w:rsidRPr="00A6324B" w:rsidRDefault="00703DF4" w:rsidP="00703DF4">
      <w:pPr>
        <w:bidi/>
        <w:spacing w:before="240"/>
        <w:ind w:firstLine="281"/>
        <w:rPr>
          <w:rFonts w:ascii="Simplified Arabic" w:hAnsi="Simplified Arabic" w:cs="Simplified Arabic"/>
          <w:b/>
          <w:bCs/>
          <w:sz w:val="24"/>
          <w:szCs w:val="24"/>
          <w:rtl/>
        </w:rPr>
      </w:pPr>
      <w:r w:rsidRPr="00A6324B">
        <w:rPr>
          <w:rFonts w:ascii="Simplified Arabic" w:hAnsi="Simplified Arabic" w:cs="Simplified Arabic"/>
          <w:b/>
          <w:bCs/>
          <w:sz w:val="24"/>
          <w:szCs w:val="24"/>
          <w:rtl/>
        </w:rPr>
        <w:t xml:space="preserve">عزيزي </w:t>
      </w:r>
      <w:r w:rsidRPr="00A6324B">
        <w:rPr>
          <w:rFonts w:ascii="Simplified Arabic" w:hAnsi="Simplified Arabic" w:cs="Simplified Arabic" w:hint="cs"/>
          <w:b/>
          <w:bCs/>
          <w:sz w:val="24"/>
          <w:szCs w:val="24"/>
          <w:rtl/>
        </w:rPr>
        <w:t>الخبير</w:t>
      </w:r>
      <w:r w:rsidRPr="00A6324B">
        <w:rPr>
          <w:rFonts w:ascii="Simplified Arabic" w:hAnsi="Simplified Arabic" w:cs="Simplified Arabic"/>
          <w:b/>
          <w:bCs/>
          <w:sz w:val="24"/>
          <w:szCs w:val="24"/>
          <w:rtl/>
        </w:rPr>
        <w:t>،</w:t>
      </w:r>
    </w:p>
    <w:p w:rsidR="00703DF4" w:rsidRPr="003969D0" w:rsidRDefault="00703DF4" w:rsidP="00703DF4">
      <w:pPr>
        <w:bidi/>
        <w:spacing w:after="0" w:line="240" w:lineRule="auto"/>
        <w:ind w:hanging="2"/>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نحن بصدد تحضير اطروحة دكتوراه الطور الثالث (ل.م.د) </w:t>
      </w:r>
      <w:r w:rsidRPr="003969D0">
        <w:rPr>
          <w:rFonts w:ascii="Simplified Arabic" w:hAnsi="Simplified Arabic" w:cs="Simplified Arabic"/>
          <w:sz w:val="24"/>
          <w:szCs w:val="24"/>
          <w:rtl/>
        </w:rPr>
        <w:t>أثر نمط استخدام الارض الحضرية على المرونة الحضرية حالة الدراسة: مدينة بوسعادة.</w:t>
      </w:r>
      <w:r>
        <w:rPr>
          <w:rFonts w:ascii="Simplified Arabic" w:hAnsi="Simplified Arabic" w:cs="Simplified Arabic" w:hint="cs"/>
          <w:sz w:val="24"/>
          <w:szCs w:val="24"/>
          <w:rtl/>
        </w:rPr>
        <w:t xml:space="preserve"> تحت اشراف الاستاذ الدكتور: نويبات ابراهيم.</w:t>
      </w:r>
    </w:p>
    <w:p w:rsidR="00703DF4" w:rsidRPr="0025005C" w:rsidRDefault="00703DF4" w:rsidP="00703DF4">
      <w:pPr>
        <w:widowControl w:val="0"/>
        <w:tabs>
          <w:tab w:val="right" w:pos="281"/>
        </w:tabs>
        <w:autoSpaceDE w:val="0"/>
        <w:autoSpaceDN w:val="0"/>
        <w:bidi/>
        <w:spacing w:after="0"/>
        <w:jc w:val="center"/>
        <w:rPr>
          <w:rFonts w:ascii="Simplified Arabic" w:hAnsi="Simplified Arabic" w:cs="Simplified Arabic"/>
          <w:sz w:val="24"/>
          <w:szCs w:val="24"/>
        </w:rPr>
      </w:pPr>
      <w:r w:rsidRPr="0025005C">
        <w:rPr>
          <w:rFonts w:ascii="Simplified Arabic" w:hAnsi="Simplified Arabic" w:cs="Simplified Arabic"/>
          <w:sz w:val="24"/>
          <w:szCs w:val="24"/>
          <w:rtl/>
        </w:rPr>
        <w:t>لطرح الأسئلة</w:t>
      </w:r>
      <w:r>
        <w:rPr>
          <w:rFonts w:ascii="Simplified Arabic" w:hAnsi="Simplified Arabic" w:cs="Simplified Arabic"/>
          <w:sz w:val="24"/>
          <w:szCs w:val="24"/>
          <w:rtl/>
        </w:rPr>
        <w:t>،</w:t>
      </w:r>
      <w:r w:rsidRPr="0025005C">
        <w:rPr>
          <w:rFonts w:ascii="Simplified Arabic" w:hAnsi="Simplified Arabic" w:cs="Simplified Arabic"/>
          <w:sz w:val="24"/>
          <w:szCs w:val="24"/>
          <w:rtl/>
        </w:rPr>
        <w:t xml:space="preserve"> يرجى الاتصال:</w:t>
      </w:r>
      <w:r>
        <w:rPr>
          <w:rFonts w:ascii="Simplified Arabic" w:hAnsi="Simplified Arabic" w:cs="Simplified Arabic" w:hint="cs"/>
          <w:sz w:val="24"/>
          <w:szCs w:val="24"/>
          <w:rtl/>
        </w:rPr>
        <w:t xml:space="preserve"> </w:t>
      </w:r>
      <w:r w:rsidRPr="0025005C">
        <w:rPr>
          <w:rFonts w:ascii="Simplified Arabic" w:hAnsi="Simplified Arabic" w:cs="Simplified Arabic"/>
          <w:sz w:val="24"/>
          <w:szCs w:val="24"/>
          <w:rtl/>
        </w:rPr>
        <w:t>معيوف زهير</w:t>
      </w:r>
      <w:r>
        <w:rPr>
          <w:rFonts w:ascii="Simplified Arabic" w:hAnsi="Simplified Arabic" w:cs="Simplified Arabic" w:hint="cs"/>
          <w:sz w:val="24"/>
          <w:szCs w:val="24"/>
          <w:rtl/>
        </w:rPr>
        <w:t xml:space="preserve">، </w:t>
      </w:r>
      <w:r w:rsidRPr="0025005C">
        <w:rPr>
          <w:rFonts w:ascii="Simplified Arabic" w:hAnsi="Simplified Arabic" w:cs="Simplified Arabic"/>
          <w:sz w:val="24"/>
          <w:szCs w:val="24"/>
          <w:rtl/>
        </w:rPr>
        <w:t>طالب دكتوراه</w:t>
      </w:r>
      <w:r>
        <w:rPr>
          <w:rFonts w:ascii="Simplified Arabic" w:hAnsi="Simplified Arabic" w:cs="Simplified Arabic" w:hint="cs"/>
          <w:sz w:val="24"/>
          <w:szCs w:val="24"/>
          <w:rtl/>
        </w:rPr>
        <w:t xml:space="preserve"> ب</w:t>
      </w:r>
      <w:r w:rsidRPr="0025005C">
        <w:rPr>
          <w:rFonts w:ascii="Simplified Arabic" w:hAnsi="Simplified Arabic" w:cs="Simplified Arabic"/>
          <w:sz w:val="24"/>
          <w:szCs w:val="24"/>
          <w:rtl/>
        </w:rPr>
        <w:t xml:space="preserve">معهد تسيير </w:t>
      </w:r>
      <w:r>
        <w:rPr>
          <w:rFonts w:ascii="Simplified Arabic" w:hAnsi="Simplified Arabic" w:cs="Simplified Arabic"/>
          <w:sz w:val="24"/>
          <w:szCs w:val="24"/>
          <w:rtl/>
        </w:rPr>
        <w:t>التقنيات الحضرية، جامعة المسيلة</w:t>
      </w:r>
      <w:r w:rsidRPr="0025005C">
        <w:rPr>
          <w:rFonts w:ascii="Simplified Arabic" w:hAnsi="Simplified Arabic" w:cs="Simplified Arabic"/>
          <w:sz w:val="24"/>
          <w:szCs w:val="24"/>
          <w:rtl/>
        </w:rPr>
        <w:t>، الجزائر</w:t>
      </w:r>
      <w:r>
        <w:rPr>
          <w:rFonts w:ascii="Simplified Arabic" w:hAnsi="Simplified Arabic" w:cs="Simplified Arabic" w:hint="cs"/>
          <w:sz w:val="24"/>
          <w:szCs w:val="24"/>
          <w:rtl/>
        </w:rPr>
        <w:t>.</w:t>
      </w:r>
    </w:p>
    <w:p w:rsidR="00703DF4" w:rsidRPr="00127ED0" w:rsidRDefault="00703DF4" w:rsidP="00703DF4">
      <w:pPr>
        <w:bidi/>
        <w:spacing w:after="0" w:line="240" w:lineRule="auto"/>
        <w:jc w:val="center"/>
        <w:rPr>
          <w:rFonts w:ascii="Times New Roman" w:hAnsi="Times New Roman" w:cs="Times New Roman"/>
          <w:sz w:val="24"/>
          <w:szCs w:val="24"/>
        </w:rPr>
      </w:pPr>
      <w:r w:rsidRPr="0025005C">
        <w:rPr>
          <w:rFonts w:ascii="Simplified Arabic" w:hAnsi="Simplified Arabic" w:cs="Simplified Arabic"/>
          <w:sz w:val="24"/>
          <w:szCs w:val="24"/>
          <w:rtl/>
          <w:lang w:val="en-US"/>
        </w:rPr>
        <w:t xml:space="preserve">الايميل </w:t>
      </w:r>
      <w:r w:rsidRPr="0025005C">
        <w:rPr>
          <w:rFonts w:ascii="Simplified Arabic" w:hAnsi="Simplified Arabic" w:cs="Simplified Arabic"/>
          <w:sz w:val="24"/>
          <w:szCs w:val="24"/>
          <w:rtl/>
        </w:rPr>
        <w:t>المهني:</w:t>
      </w:r>
      <w:r>
        <w:rPr>
          <w:rFonts w:ascii="Times New Roman" w:hAnsi="Times New Roman" w:cs="Times New Roman" w:hint="cs"/>
          <w:sz w:val="24"/>
          <w:szCs w:val="24"/>
          <w:rtl/>
        </w:rPr>
        <w:t xml:space="preserve"> </w:t>
      </w:r>
      <w:r>
        <w:rPr>
          <w:rFonts w:ascii="Times New Roman" w:hAnsi="Times New Roman" w:cs="Times New Roman" w:hint="cs"/>
          <w:sz w:val="24"/>
          <w:szCs w:val="24"/>
          <w:rtl/>
          <w:lang w:val="en-US"/>
        </w:rPr>
        <w:t xml:space="preserve"> </w:t>
      </w:r>
      <w:r w:rsidRPr="00127ED0">
        <w:rPr>
          <w:rFonts w:ascii="Times New Roman" w:hAnsi="Times New Roman" w:cs="Times New Roman"/>
          <w:sz w:val="24"/>
          <w:szCs w:val="24"/>
          <w:lang w:val="en-US"/>
        </w:rPr>
        <w:t>Zouhair.mayouf</w:t>
      </w:r>
      <w:r w:rsidRPr="00127ED0">
        <w:rPr>
          <w:rFonts w:ascii="Times New Roman" w:hAnsi="Times New Roman" w:cs="Times New Roman"/>
          <w:sz w:val="24"/>
          <w:szCs w:val="24"/>
        </w:rPr>
        <w:t>@univ-msila.dz</w:t>
      </w:r>
    </w:p>
    <w:p w:rsidR="00703DF4" w:rsidRDefault="00703DF4" w:rsidP="00703DF4">
      <w:pPr>
        <w:widowControl w:val="0"/>
        <w:tabs>
          <w:tab w:val="right" w:pos="281"/>
        </w:tabs>
        <w:autoSpaceDE w:val="0"/>
        <w:autoSpaceDN w:val="0"/>
        <w:bidi/>
        <w:spacing w:after="0"/>
        <w:jc w:val="center"/>
        <w:rPr>
          <w:rFonts w:ascii="Simplified Arabic" w:hAnsi="Simplified Arabic" w:cs="Simplified Arabic"/>
          <w:b/>
          <w:bCs/>
          <w:sz w:val="24"/>
          <w:szCs w:val="24"/>
          <w:highlight w:val="yellow"/>
          <w:rtl/>
        </w:rPr>
      </w:pPr>
      <w:r w:rsidRPr="0025005C">
        <w:rPr>
          <w:rFonts w:ascii="Simplified Arabic" w:hAnsi="Simplified Arabic" w:cs="Simplified Arabic"/>
          <w:sz w:val="28"/>
          <w:szCs w:val="28"/>
          <w:rtl/>
        </w:rPr>
        <w:t>هاتف:</w:t>
      </w:r>
      <w:r w:rsidRPr="002E140E">
        <w:rPr>
          <w:rFonts w:asciiTheme="majorBidi" w:hAnsiTheme="majorBidi" w:cstheme="majorBidi"/>
          <w:sz w:val="28"/>
          <w:szCs w:val="28"/>
          <w:rtl/>
        </w:rPr>
        <w:t xml:space="preserve"> </w:t>
      </w:r>
      <w:r>
        <w:rPr>
          <w:rFonts w:asciiTheme="majorBidi" w:hAnsiTheme="majorBidi" w:cstheme="majorBidi" w:hint="cs"/>
          <w:sz w:val="28"/>
          <w:szCs w:val="28"/>
          <w:rtl/>
        </w:rPr>
        <w:t>0697.60.75.68</w:t>
      </w:r>
    </w:p>
    <w:p w:rsidR="00703DF4" w:rsidRDefault="00703DF4" w:rsidP="001435F9">
      <w:pPr>
        <w:tabs>
          <w:tab w:val="right" w:pos="281"/>
          <w:tab w:val="right" w:pos="423"/>
        </w:tabs>
        <w:bidi/>
        <w:spacing w:after="0"/>
        <w:ind w:firstLine="281"/>
        <w:jc w:val="both"/>
        <w:rPr>
          <w:rFonts w:asciiTheme="minorBidi" w:hAnsiTheme="minorBidi"/>
          <w:b/>
          <w:bCs/>
          <w:sz w:val="24"/>
          <w:szCs w:val="24"/>
          <w:rtl/>
          <w:lang w:bidi="ar-DZ"/>
        </w:rPr>
      </w:pPr>
      <w:r w:rsidRPr="00B106B7">
        <w:rPr>
          <w:rFonts w:ascii="Simplified Arabic" w:hAnsi="Simplified Arabic" w:cs="Simplified Arabic"/>
          <w:b/>
          <w:bCs/>
          <w:sz w:val="24"/>
          <w:szCs w:val="24"/>
          <w:rtl/>
        </w:rPr>
        <w:t>أود</w:t>
      </w:r>
      <w:r w:rsidRPr="00B106B7">
        <w:rPr>
          <w:rFonts w:ascii="Simplified Arabic" w:hAnsi="Simplified Arabic" w:cs="Simplified Arabic"/>
          <w:sz w:val="24"/>
          <w:szCs w:val="24"/>
          <w:rtl/>
        </w:rPr>
        <w:t xml:space="preserve"> أن </w:t>
      </w:r>
      <w:r>
        <w:rPr>
          <w:rFonts w:ascii="Simplified Arabic" w:hAnsi="Simplified Arabic" w:cs="Simplified Arabic" w:hint="cs"/>
          <w:sz w:val="24"/>
          <w:szCs w:val="24"/>
          <w:rtl/>
        </w:rPr>
        <w:t>اوضح لكم بال</w:t>
      </w:r>
      <w:r w:rsidRPr="002C1E02">
        <w:rPr>
          <w:rFonts w:ascii="Simplified Arabic" w:hAnsi="Simplified Arabic" w:cs="Simplified Arabic" w:hint="cs"/>
          <w:sz w:val="24"/>
          <w:szCs w:val="24"/>
          <w:rtl/>
        </w:rPr>
        <w:t>تفصيل</w:t>
      </w:r>
      <w:r w:rsidRPr="002C1E02">
        <w:rPr>
          <w:rFonts w:ascii="Simplified Arabic" w:hAnsi="Simplified Arabic" w:cs="Simplified Arabic"/>
          <w:sz w:val="24"/>
          <w:szCs w:val="24"/>
          <w:rtl/>
        </w:rPr>
        <w:t xml:space="preserve"> حول المقارنات الزوجية</w:t>
      </w:r>
      <w:r w:rsidRPr="002C1E02">
        <w:rPr>
          <w:rFonts w:ascii="Simplified Arabic" w:hAnsi="Simplified Arabic" w:cs="Simplified Arabic" w:hint="cs"/>
          <w:sz w:val="24"/>
          <w:szCs w:val="24"/>
          <w:rtl/>
        </w:rPr>
        <w:t xml:space="preserve"> باستعمال عملية </w:t>
      </w:r>
      <w:r w:rsidRPr="002C1E02">
        <w:rPr>
          <w:rFonts w:ascii="Simplified Arabic" w:hAnsi="Simplified Arabic" w:cs="Simplified Arabic"/>
          <w:sz w:val="24"/>
          <w:szCs w:val="24"/>
          <w:rtl/>
        </w:rPr>
        <w:t>التسلسل الهرمي التحليلي</w:t>
      </w:r>
      <w:r w:rsidRPr="00444A7A">
        <w:rPr>
          <w:rFonts w:ascii="Simplified Arabic" w:hAnsi="Simplified Arabic" w:cs="Simplified Arabic"/>
          <w:sz w:val="28"/>
          <w:szCs w:val="28"/>
          <w:rtl/>
        </w:rPr>
        <w:t xml:space="preserve"> </w:t>
      </w:r>
      <w:r w:rsidRPr="002C1E02">
        <w:rPr>
          <w:rFonts w:asciiTheme="majorBidi" w:hAnsiTheme="majorBidi" w:cstheme="majorBidi"/>
          <w:sz w:val="24"/>
          <w:szCs w:val="24"/>
          <w:rtl/>
        </w:rPr>
        <w:t>(</w:t>
      </w:r>
      <w:r w:rsidRPr="002C1E02">
        <w:rPr>
          <w:rFonts w:asciiTheme="majorBidi" w:hAnsiTheme="majorBidi" w:cstheme="majorBidi"/>
          <w:sz w:val="24"/>
          <w:szCs w:val="24"/>
        </w:rPr>
        <w:t>AHP</w:t>
      </w:r>
      <w:r w:rsidRPr="002C1E02">
        <w:rPr>
          <w:rFonts w:asciiTheme="majorBidi" w:hAnsiTheme="majorBidi" w:cstheme="majorBidi"/>
          <w:sz w:val="24"/>
          <w:szCs w:val="24"/>
          <w:rtl/>
        </w:rPr>
        <w:t>)</w:t>
      </w:r>
      <w:r>
        <w:rPr>
          <w:rFonts w:asciiTheme="majorBidi" w:hAnsiTheme="majorBidi" w:cstheme="majorBidi" w:hint="cs"/>
          <w:sz w:val="24"/>
          <w:szCs w:val="24"/>
          <w:rtl/>
        </w:rPr>
        <w:t>،</w:t>
      </w:r>
      <w:r>
        <w:rPr>
          <w:rFonts w:asciiTheme="majorBidi" w:hAnsiTheme="majorBidi" w:cstheme="majorBidi" w:hint="cs"/>
          <w:sz w:val="28"/>
          <w:szCs w:val="28"/>
          <w:rtl/>
        </w:rPr>
        <w:t xml:space="preserve"> </w:t>
      </w:r>
      <w:r w:rsidRPr="00B106B7">
        <w:rPr>
          <w:rFonts w:ascii="Simplified Arabic" w:hAnsi="Simplified Arabic" w:cs="Simplified Arabic"/>
          <w:sz w:val="24"/>
          <w:szCs w:val="24"/>
          <w:rtl/>
        </w:rPr>
        <w:t xml:space="preserve">كما هو مبين في الشكل </w:t>
      </w:r>
      <w:r>
        <w:rPr>
          <w:rFonts w:ascii="Simplified Arabic" w:hAnsi="Simplified Arabic" w:cs="Simplified Arabic" w:hint="cs"/>
          <w:sz w:val="24"/>
          <w:szCs w:val="24"/>
          <w:rtl/>
          <w:lang w:bidi="ar-DZ"/>
        </w:rPr>
        <w:t xml:space="preserve">(أ) </w:t>
      </w:r>
      <w:r w:rsidRPr="00B106B7">
        <w:rPr>
          <w:rFonts w:ascii="Simplified Arabic" w:hAnsi="Simplified Arabic" w:cs="Simplified Arabic"/>
          <w:sz w:val="24"/>
          <w:szCs w:val="24"/>
          <w:rtl/>
        </w:rPr>
        <w:t>الذي يتضمن</w:t>
      </w:r>
      <w:r>
        <w:rPr>
          <w:rFonts w:ascii="Simplified Arabic" w:hAnsi="Simplified Arabic" w:cs="Simplified Arabic"/>
          <w:sz w:val="24"/>
          <w:szCs w:val="24"/>
          <w:rtl/>
        </w:rPr>
        <w:t xml:space="preserve"> بعد رئيسي من سبعة (07) </w:t>
      </w:r>
      <w:r w:rsidR="001435F9">
        <w:rPr>
          <w:rFonts w:ascii="Simplified Arabic" w:hAnsi="Simplified Arabic" w:cs="Simplified Arabic" w:hint="cs"/>
          <w:sz w:val="24"/>
          <w:szCs w:val="24"/>
          <w:rtl/>
        </w:rPr>
        <w:t>معايير</w:t>
      </w:r>
      <w:r>
        <w:rPr>
          <w:rFonts w:ascii="Simplified Arabic" w:hAnsi="Simplified Arabic" w:cs="Simplified Arabic"/>
          <w:sz w:val="24"/>
          <w:szCs w:val="24"/>
          <w:rtl/>
        </w:rPr>
        <w:t xml:space="preserve">. </w:t>
      </w:r>
    </w:p>
    <w:p w:rsidR="00703DF4" w:rsidRDefault="00703DF4" w:rsidP="001435F9">
      <w:pPr>
        <w:bidi/>
        <w:spacing w:after="0"/>
        <w:jc w:val="center"/>
        <w:rPr>
          <w:rFonts w:ascii="Simplified Arabic" w:hAnsi="Simplified Arabic" w:cs="Simplified Arabic"/>
          <w:sz w:val="24"/>
          <w:szCs w:val="24"/>
          <w:rtl/>
          <w:lang w:bidi="ar-DZ"/>
        </w:rPr>
      </w:pPr>
      <w:r w:rsidRPr="002C1E02">
        <w:rPr>
          <w:rFonts w:ascii="Simplified Arabic" w:hAnsi="Simplified Arabic" w:cs="Simplified Arabic"/>
          <w:sz w:val="24"/>
          <w:szCs w:val="24"/>
          <w:rtl/>
          <w:lang w:bidi="ar-DZ"/>
        </w:rPr>
        <w:t xml:space="preserve">الشكل </w:t>
      </w:r>
      <w:r>
        <w:rPr>
          <w:rFonts w:ascii="Simplified Arabic" w:hAnsi="Simplified Arabic" w:cs="Simplified Arabic" w:hint="cs"/>
          <w:sz w:val="24"/>
          <w:szCs w:val="24"/>
          <w:rtl/>
          <w:lang w:bidi="ar-DZ"/>
        </w:rPr>
        <w:t>(أ)</w:t>
      </w:r>
      <w:r w:rsidRPr="002C1E02">
        <w:rPr>
          <w:rFonts w:ascii="Simplified Arabic" w:hAnsi="Simplified Arabic" w:cs="Simplified Arabic"/>
          <w:sz w:val="24"/>
          <w:szCs w:val="24"/>
          <w:rtl/>
          <w:lang w:bidi="ar-DZ"/>
        </w:rPr>
        <w:t xml:space="preserve">: العوامل النهائية لبناء </w:t>
      </w:r>
      <w:r w:rsidR="001435F9">
        <w:rPr>
          <w:rFonts w:ascii="Simplified Arabic" w:hAnsi="Simplified Arabic" w:cs="Simplified Arabic" w:hint="cs"/>
          <w:sz w:val="24"/>
          <w:szCs w:val="24"/>
          <w:rtl/>
          <w:lang w:bidi="ar-DZ"/>
        </w:rPr>
        <w:t>اطار عمل</w:t>
      </w:r>
      <w:r w:rsidRPr="002C1E02">
        <w:rPr>
          <w:rFonts w:ascii="Simplified Arabic" w:hAnsi="Simplified Arabic" w:cs="Simplified Arabic"/>
          <w:sz w:val="24"/>
          <w:szCs w:val="24"/>
          <w:rtl/>
          <w:lang w:bidi="ar-DZ"/>
        </w:rPr>
        <w:t xml:space="preserve"> تقييم المرونة الحضرية لمدينة بوسعادة.</w:t>
      </w:r>
    </w:p>
    <w:p w:rsidR="00703DF4" w:rsidRDefault="00703DF4" w:rsidP="00703DF4">
      <w:pPr>
        <w:tabs>
          <w:tab w:val="right" w:pos="281"/>
        </w:tabs>
        <w:bidi/>
        <w:spacing w:before="240" w:after="0"/>
        <w:jc w:val="center"/>
        <w:rPr>
          <w:rFonts w:ascii="Simplified Arabic" w:hAnsi="Simplified Arabic" w:cs="Simplified Arabic"/>
          <w:b/>
          <w:bCs/>
          <w:sz w:val="24"/>
          <w:szCs w:val="24"/>
          <w:rtl/>
          <w:lang w:bidi="ar-DZ"/>
        </w:rPr>
      </w:pPr>
      <w:r>
        <w:rPr>
          <w:rFonts w:ascii="TimesNewRomanPSMT" w:eastAsia="Calibri" w:hAnsi="TimesNewRomanPSMT" w:cs="Times New Roman" w:hint="cs"/>
          <w:noProof/>
          <w:sz w:val="24"/>
          <w:szCs w:val="24"/>
          <w:rtl/>
          <w:lang w:eastAsia="fr-FR"/>
        </w:rPr>
        <w:drawing>
          <wp:inline distT="0" distB="0" distL="0" distR="0" wp14:anchorId="5AE205F2" wp14:editId="2C0AFF17">
            <wp:extent cx="5335325" cy="2743200"/>
            <wp:effectExtent l="0" t="19050" r="36830" b="57150"/>
            <wp:docPr id="247" name="Diagramme 2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1" r:lo="rId432" r:qs="rId433" r:cs="rId434"/>
              </a:graphicData>
            </a:graphic>
          </wp:inline>
        </w:drawing>
      </w:r>
    </w:p>
    <w:p w:rsidR="00703DF4" w:rsidRPr="00B834D0" w:rsidRDefault="00703DF4" w:rsidP="00703DF4">
      <w:pPr>
        <w:tabs>
          <w:tab w:val="right" w:pos="281"/>
        </w:tabs>
        <w:bidi/>
        <w:spacing w:after="0"/>
        <w:rPr>
          <w:rFonts w:asciiTheme="minorBidi" w:hAnsiTheme="minorBidi"/>
          <w:b/>
          <w:bCs/>
          <w:sz w:val="24"/>
          <w:szCs w:val="24"/>
          <w:rtl/>
          <w:lang w:bidi="ar-DZ"/>
        </w:rPr>
      </w:pPr>
      <w:r>
        <w:rPr>
          <w:rFonts w:ascii="Simplified Arabic" w:hAnsi="Simplified Arabic" w:cs="Simplified Arabic" w:hint="cs"/>
          <w:b/>
          <w:bCs/>
          <w:sz w:val="24"/>
          <w:szCs w:val="24"/>
          <w:rtl/>
          <w:lang w:bidi="ar-DZ"/>
        </w:rPr>
        <w:t>اولا: ايضاح طريقة ال</w:t>
      </w:r>
      <w:r w:rsidRPr="002C1E02">
        <w:rPr>
          <w:rFonts w:ascii="Simplified Arabic" w:hAnsi="Simplified Arabic" w:cs="Simplified Arabic"/>
          <w:b/>
          <w:bCs/>
          <w:sz w:val="24"/>
          <w:szCs w:val="24"/>
          <w:rtl/>
          <w:lang w:bidi="ar-DZ"/>
        </w:rPr>
        <w:t xml:space="preserve">مقارنة الزوجية </w:t>
      </w:r>
      <w:r>
        <w:rPr>
          <w:rFonts w:ascii="Simplified Arabic" w:hAnsi="Simplified Arabic" w:cs="Simplified Arabic" w:hint="cs"/>
          <w:b/>
          <w:bCs/>
          <w:sz w:val="24"/>
          <w:szCs w:val="24"/>
          <w:rtl/>
          <w:lang w:bidi="ar-DZ"/>
        </w:rPr>
        <w:t xml:space="preserve">من خلال </w:t>
      </w:r>
      <w:r w:rsidRPr="002C1E02">
        <w:rPr>
          <w:rFonts w:ascii="Simplified Arabic" w:hAnsi="Simplified Arabic" w:cs="Simplified Arabic"/>
          <w:b/>
          <w:bCs/>
          <w:sz w:val="24"/>
          <w:szCs w:val="24"/>
          <w:rtl/>
          <w:lang w:bidi="ar-DZ"/>
        </w:rPr>
        <w:t>مسح</w:t>
      </w:r>
      <w:r w:rsidRPr="00B834D0">
        <w:rPr>
          <w:rFonts w:asciiTheme="minorBidi" w:hAnsiTheme="minorBidi"/>
          <w:b/>
          <w:bCs/>
          <w:sz w:val="24"/>
          <w:szCs w:val="24"/>
          <w:rtl/>
          <w:lang w:bidi="ar-DZ"/>
        </w:rPr>
        <w:t xml:space="preserve"> </w:t>
      </w:r>
      <w:r>
        <w:rPr>
          <w:rFonts w:asciiTheme="majorBidi" w:hAnsiTheme="majorBidi" w:cstheme="majorBidi" w:hint="cs"/>
          <w:b/>
          <w:bCs/>
          <w:sz w:val="24"/>
          <w:szCs w:val="24"/>
          <w:rtl/>
          <w:lang w:bidi="ar-DZ"/>
        </w:rPr>
        <w:t>(</w:t>
      </w:r>
      <w:r w:rsidRPr="00B834D0">
        <w:rPr>
          <w:rFonts w:asciiTheme="majorBidi" w:hAnsiTheme="majorBidi" w:cstheme="majorBidi"/>
          <w:b/>
          <w:bCs/>
          <w:sz w:val="24"/>
          <w:szCs w:val="24"/>
          <w:lang w:bidi="ar-DZ"/>
        </w:rPr>
        <w:t>AHP</w:t>
      </w:r>
      <w:r>
        <w:rPr>
          <w:rFonts w:asciiTheme="majorBidi" w:hAnsiTheme="majorBidi" w:cstheme="majorBidi" w:hint="cs"/>
          <w:b/>
          <w:bCs/>
          <w:sz w:val="24"/>
          <w:szCs w:val="24"/>
          <w:rtl/>
          <w:lang w:bidi="ar-DZ"/>
        </w:rPr>
        <w:t>)</w:t>
      </w:r>
      <w:r w:rsidRPr="002C1E02">
        <w:rPr>
          <w:rFonts w:ascii="Simplified Arabic" w:hAnsi="Simplified Arabic" w:cs="Simplified Arabic"/>
          <w:b/>
          <w:bCs/>
          <w:sz w:val="24"/>
          <w:szCs w:val="24"/>
          <w:rtl/>
          <w:lang w:bidi="ar-DZ"/>
        </w:rPr>
        <w:t>:</w:t>
      </w:r>
    </w:p>
    <w:p w:rsidR="00703DF4" w:rsidRDefault="00703DF4" w:rsidP="00703DF4">
      <w:pPr>
        <w:bidi/>
        <w:spacing w:after="0"/>
        <w:ind w:firstLine="282"/>
        <w:jc w:val="both"/>
        <w:rPr>
          <w:rFonts w:ascii="Simplified Arabic" w:hAnsi="Simplified Arabic" w:cs="Simplified Arabic"/>
          <w:sz w:val="24"/>
          <w:szCs w:val="24"/>
          <w:rtl/>
          <w:lang w:bidi="ar-DZ"/>
        </w:rPr>
      </w:pPr>
      <w:r w:rsidRPr="002C1E02">
        <w:rPr>
          <w:rFonts w:ascii="Simplified Arabic" w:hAnsi="Simplified Arabic" w:cs="Simplified Arabic"/>
          <w:sz w:val="24"/>
          <w:szCs w:val="24"/>
          <w:rtl/>
          <w:lang w:bidi="ar-DZ"/>
        </w:rPr>
        <w:t xml:space="preserve">في هذا الاستبيان، سيُطلب منك إجراء مقارنة </w:t>
      </w:r>
      <w:r>
        <w:rPr>
          <w:rFonts w:ascii="Simplified Arabic" w:hAnsi="Simplified Arabic" w:cs="Simplified Arabic" w:hint="cs"/>
          <w:sz w:val="24"/>
          <w:szCs w:val="24"/>
          <w:rtl/>
          <w:lang w:bidi="ar-DZ"/>
        </w:rPr>
        <w:t>زوجية بين كل عاملين اثنين،</w:t>
      </w:r>
      <w:r w:rsidRPr="002C1E02">
        <w:rPr>
          <w:rFonts w:ascii="Simplified Arabic" w:hAnsi="Simplified Arabic" w:cs="Simplified Arabic"/>
          <w:sz w:val="24"/>
          <w:szCs w:val="24"/>
          <w:rtl/>
          <w:lang w:bidi="ar-DZ"/>
        </w:rPr>
        <w:t xml:space="preserve"> حسب أهمية العوامل لتقييم </w:t>
      </w:r>
      <w:r>
        <w:rPr>
          <w:rFonts w:ascii="Simplified Arabic" w:hAnsi="Simplified Arabic" w:cs="Simplified Arabic"/>
          <w:sz w:val="24"/>
          <w:szCs w:val="24"/>
          <w:rtl/>
          <w:lang w:bidi="ar-DZ"/>
        </w:rPr>
        <w:t>المرونة الحضرية لمدينة بوسعادة</w:t>
      </w:r>
      <w:r>
        <w:rPr>
          <w:rFonts w:ascii="Simplified Arabic" w:hAnsi="Simplified Arabic" w:cs="Simplified Arabic" w:hint="cs"/>
          <w:sz w:val="24"/>
          <w:szCs w:val="24"/>
          <w:rtl/>
          <w:lang w:bidi="ar-DZ"/>
        </w:rPr>
        <w:t xml:space="preserve">. </w:t>
      </w:r>
      <w:r w:rsidRPr="002C1E02">
        <w:rPr>
          <w:rFonts w:ascii="Simplified Arabic" w:hAnsi="Simplified Arabic" w:cs="Simplified Arabic"/>
          <w:sz w:val="24"/>
          <w:szCs w:val="24"/>
          <w:rtl/>
          <w:lang w:bidi="ar-DZ"/>
        </w:rPr>
        <w:t>يتضمن كل صف</w:t>
      </w:r>
      <w:r>
        <w:rPr>
          <w:rFonts w:ascii="Simplified Arabic" w:hAnsi="Simplified Arabic" w:cs="Simplified Arabic" w:hint="cs"/>
          <w:sz w:val="24"/>
          <w:szCs w:val="24"/>
          <w:rtl/>
          <w:lang w:bidi="ar-DZ"/>
        </w:rPr>
        <w:t xml:space="preserve"> من صفوف</w:t>
      </w:r>
      <w:r w:rsidRPr="002C1E02">
        <w:rPr>
          <w:rFonts w:ascii="Simplified Arabic" w:hAnsi="Simplified Arabic" w:cs="Simplified Arabic"/>
          <w:sz w:val="24"/>
          <w:szCs w:val="24"/>
          <w:rtl/>
          <w:lang w:bidi="ar-DZ"/>
        </w:rPr>
        <w:t xml:space="preserve"> جدول المقارنة النسبي عاملين اثنين وصناديق التصنيف الخاصة بهما في المنتصف. لذلك، يرجى تحديد الرقم المناسب باستخدام مقياس المقارنة الزوجي (مقياس من 1 إلى 9) كما هو موضح في الجدول </w:t>
      </w:r>
      <w:r>
        <w:rPr>
          <w:rFonts w:ascii="Simplified Arabic" w:hAnsi="Simplified Arabic" w:cs="Simplified Arabic" w:hint="cs"/>
          <w:sz w:val="24"/>
          <w:szCs w:val="24"/>
          <w:rtl/>
          <w:lang w:bidi="ar-DZ"/>
        </w:rPr>
        <w:t xml:space="preserve">(1) </w:t>
      </w:r>
      <w:r w:rsidRPr="002C1E02">
        <w:rPr>
          <w:rFonts w:ascii="Simplified Arabic" w:hAnsi="Simplified Arabic" w:cs="Simplified Arabic"/>
          <w:sz w:val="24"/>
          <w:szCs w:val="24"/>
          <w:rtl/>
          <w:lang w:bidi="ar-DZ"/>
        </w:rPr>
        <w:t>أدناه.</w:t>
      </w:r>
    </w:p>
    <w:p w:rsidR="00703DF4" w:rsidRPr="002C1E02" w:rsidRDefault="00703DF4" w:rsidP="00703DF4">
      <w:pPr>
        <w:bidi/>
        <w:spacing w:after="0"/>
        <w:jc w:val="center"/>
        <w:rPr>
          <w:rFonts w:ascii="Simplified Arabic" w:hAnsi="Simplified Arabic" w:cs="Simplified Arabic"/>
          <w:sz w:val="24"/>
          <w:szCs w:val="24"/>
          <w:rtl/>
          <w:lang w:bidi="ar-DZ"/>
        </w:rPr>
      </w:pPr>
      <w:r w:rsidRPr="002C1E02">
        <w:rPr>
          <w:rFonts w:ascii="Simplified Arabic" w:hAnsi="Simplified Arabic" w:cs="Simplified Arabic"/>
          <w:sz w:val="24"/>
          <w:szCs w:val="24"/>
          <w:rtl/>
          <w:lang w:bidi="ar-DZ"/>
        </w:rPr>
        <w:lastRenderedPageBreak/>
        <w:t xml:space="preserve">الجدول </w:t>
      </w:r>
      <w:r>
        <w:rPr>
          <w:rFonts w:ascii="Simplified Arabic" w:hAnsi="Simplified Arabic" w:cs="Simplified Arabic" w:hint="cs"/>
          <w:sz w:val="24"/>
          <w:szCs w:val="24"/>
          <w:rtl/>
          <w:lang w:bidi="ar-DZ"/>
        </w:rPr>
        <w:t xml:space="preserve">(1) </w:t>
      </w:r>
      <w:r w:rsidRPr="002C1E02">
        <w:rPr>
          <w:rFonts w:ascii="Simplified Arabic" w:hAnsi="Simplified Arabic" w:cs="Simplified Arabic"/>
          <w:sz w:val="24"/>
          <w:szCs w:val="24"/>
          <w:rtl/>
          <w:lang w:bidi="ar-DZ"/>
        </w:rPr>
        <w:t>مقياس المقارنة الزوجي (مقياس من 1 إلى 9)</w:t>
      </w:r>
      <w:r>
        <w:rPr>
          <w:rFonts w:ascii="Simplified Arabic" w:hAnsi="Simplified Arabic" w:cs="Simplified Arabic" w:hint="cs"/>
          <w:sz w:val="24"/>
          <w:szCs w:val="24"/>
          <w:rtl/>
          <w:lang w:bidi="ar-DZ"/>
        </w:rPr>
        <w:t xml:space="preserve"> حسب </w:t>
      </w:r>
      <w:r w:rsidRPr="00F853FB">
        <w:rPr>
          <w:rFonts w:asciiTheme="majorBidi" w:hAnsiTheme="majorBidi" w:cstheme="majorBidi"/>
          <w:sz w:val="24"/>
          <w:szCs w:val="24"/>
          <w:rtl/>
          <w:lang w:bidi="ar-DZ"/>
        </w:rPr>
        <w:t>(</w:t>
      </w:r>
      <w:r w:rsidRPr="006F1380">
        <w:rPr>
          <w:rFonts w:asciiTheme="majorBidi" w:hAnsiTheme="majorBidi" w:cstheme="majorBidi"/>
          <w:sz w:val="24"/>
          <w:szCs w:val="24"/>
          <w:lang w:bidi="ar-DZ"/>
        </w:rPr>
        <w:t>Saaty</w:t>
      </w:r>
      <w:r w:rsidRPr="00F853FB">
        <w:rPr>
          <w:rFonts w:asciiTheme="majorBidi" w:hAnsiTheme="majorBidi" w:cstheme="majorBidi"/>
          <w:sz w:val="24"/>
          <w:szCs w:val="24"/>
          <w:lang w:bidi="ar-DZ"/>
        </w:rPr>
        <w:t>, 1980</w:t>
      </w:r>
      <w:r w:rsidRPr="00F853FB">
        <w:rPr>
          <w:rFonts w:asciiTheme="majorBidi" w:hAnsiTheme="majorBidi" w:cstheme="majorBidi"/>
          <w:sz w:val="24"/>
          <w:szCs w:val="24"/>
          <w:rtl/>
          <w:lang w:bidi="ar-DZ"/>
        </w:rPr>
        <w:t>)</w:t>
      </w:r>
    </w:p>
    <w:tbl>
      <w:tblPr>
        <w:bidiVisual/>
        <w:tblW w:w="0" w:type="auto"/>
        <w:jc w:val="center"/>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3119"/>
      </w:tblGrid>
      <w:tr w:rsidR="00703DF4" w:rsidRPr="009B27E4" w:rsidTr="00703DF4">
        <w:trPr>
          <w:jc w:val="center"/>
        </w:trPr>
        <w:tc>
          <w:tcPr>
            <w:tcW w:w="2126"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rtl/>
                <w:lang w:val="en-US" w:bidi="ar-DZ"/>
              </w:rPr>
            </w:pPr>
            <w:r w:rsidRPr="009B27E4">
              <w:rPr>
                <w:rFonts w:ascii="Simplified Arabic" w:eastAsia="Times New Roman" w:hAnsi="Simplified Arabic" w:cs="Simplified Arabic"/>
                <w:sz w:val="24"/>
                <w:szCs w:val="24"/>
                <w:rtl/>
                <w:lang w:val="en-US" w:bidi="ar-DZ"/>
              </w:rPr>
              <w:t>درجة الأهمية</w:t>
            </w:r>
          </w:p>
        </w:tc>
        <w:tc>
          <w:tcPr>
            <w:tcW w:w="3119"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rtl/>
                <w:lang w:val="en-US" w:bidi="ar-DZ"/>
              </w:rPr>
            </w:pPr>
            <w:r w:rsidRPr="009B27E4">
              <w:rPr>
                <w:rFonts w:ascii="Simplified Arabic" w:eastAsia="Times New Roman" w:hAnsi="Simplified Arabic" w:cs="Simplified Arabic"/>
                <w:sz w:val="24"/>
                <w:szCs w:val="24"/>
                <w:rtl/>
                <w:lang w:val="en-US" w:bidi="ar-DZ"/>
              </w:rPr>
              <w:t>التقييم المقابل لها</w:t>
            </w:r>
          </w:p>
        </w:tc>
      </w:tr>
      <w:tr w:rsidR="00703DF4" w:rsidRPr="009B27E4" w:rsidTr="00703DF4">
        <w:trPr>
          <w:trHeight w:val="64"/>
          <w:jc w:val="center"/>
        </w:trPr>
        <w:tc>
          <w:tcPr>
            <w:tcW w:w="2126" w:type="dxa"/>
            <w:shd w:val="clear" w:color="auto" w:fill="auto"/>
            <w:vAlign w:val="center"/>
          </w:tcPr>
          <w:p w:rsidR="00703DF4" w:rsidRPr="009B27E4" w:rsidRDefault="00703DF4" w:rsidP="00703DF4">
            <w:pPr>
              <w:bidi/>
              <w:spacing w:after="0" w:line="240" w:lineRule="auto"/>
              <w:jc w:val="center"/>
              <w:rPr>
                <w:rFonts w:ascii="Simplified Arabic" w:eastAsia="Times New Roman" w:hAnsi="Simplified Arabic" w:cs="Simplified Arabic"/>
                <w:sz w:val="24"/>
                <w:szCs w:val="24"/>
                <w:rtl/>
                <w:lang w:val="en-US"/>
              </w:rPr>
            </w:pPr>
            <w:r w:rsidRPr="009B27E4">
              <w:rPr>
                <w:rFonts w:ascii="Simplified Arabic" w:eastAsia="Times New Roman" w:hAnsi="Simplified Arabic" w:cs="Simplified Arabic"/>
                <w:sz w:val="24"/>
                <w:szCs w:val="24"/>
                <w:lang w:val="en-US"/>
              </w:rPr>
              <w:t>1</w:t>
            </w:r>
          </w:p>
        </w:tc>
        <w:tc>
          <w:tcPr>
            <w:tcW w:w="3119"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rtl/>
                <w:lang w:val="en-US" w:bidi="ar-DZ"/>
              </w:rPr>
            </w:pPr>
            <w:r w:rsidRPr="009B27E4">
              <w:rPr>
                <w:rFonts w:ascii="Simplified Arabic" w:eastAsia="Times New Roman" w:hAnsi="Simplified Arabic" w:cs="Simplified Arabic"/>
                <w:sz w:val="24"/>
                <w:szCs w:val="24"/>
                <w:rtl/>
                <w:lang w:val="en-US" w:bidi="ar-DZ"/>
              </w:rPr>
              <w:t>اهمية متساوية</w:t>
            </w:r>
          </w:p>
        </w:tc>
      </w:tr>
      <w:tr w:rsidR="00703DF4" w:rsidRPr="009B27E4" w:rsidTr="00703DF4">
        <w:trPr>
          <w:jc w:val="center"/>
        </w:trPr>
        <w:tc>
          <w:tcPr>
            <w:tcW w:w="2126" w:type="dxa"/>
            <w:shd w:val="clear" w:color="auto" w:fill="auto"/>
            <w:vAlign w:val="center"/>
          </w:tcPr>
          <w:p w:rsidR="00703DF4" w:rsidRPr="009B27E4" w:rsidRDefault="00703DF4" w:rsidP="00703DF4">
            <w:pPr>
              <w:bidi/>
              <w:spacing w:after="0" w:line="240" w:lineRule="auto"/>
              <w:jc w:val="center"/>
              <w:rPr>
                <w:rFonts w:ascii="Simplified Arabic" w:eastAsia="Times New Roman" w:hAnsi="Simplified Arabic" w:cs="Simplified Arabic"/>
                <w:sz w:val="24"/>
                <w:szCs w:val="24"/>
                <w:rtl/>
                <w:lang w:val="en-US"/>
              </w:rPr>
            </w:pPr>
            <w:r w:rsidRPr="009B27E4">
              <w:rPr>
                <w:rFonts w:ascii="Simplified Arabic" w:eastAsia="Times New Roman" w:hAnsi="Simplified Arabic" w:cs="Simplified Arabic"/>
                <w:sz w:val="24"/>
                <w:szCs w:val="24"/>
                <w:lang w:val="en-US"/>
              </w:rPr>
              <w:t>3</w:t>
            </w:r>
          </w:p>
        </w:tc>
        <w:tc>
          <w:tcPr>
            <w:tcW w:w="3119"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rtl/>
                <w:lang w:val="en-US" w:bidi="ar-DZ"/>
              </w:rPr>
            </w:pPr>
            <w:r w:rsidRPr="009B27E4">
              <w:rPr>
                <w:rFonts w:ascii="Simplified Arabic" w:eastAsia="Times New Roman" w:hAnsi="Simplified Arabic" w:cs="Simplified Arabic"/>
                <w:sz w:val="24"/>
                <w:szCs w:val="24"/>
                <w:rtl/>
                <w:lang w:val="en-US" w:bidi="ar-DZ"/>
              </w:rPr>
              <w:t xml:space="preserve">أهمية </w:t>
            </w:r>
            <w:r w:rsidRPr="009B27E4">
              <w:rPr>
                <w:rFonts w:ascii="Simplified Arabic" w:hAnsi="Simplified Arabic" w:cs="Simplified Arabic"/>
                <w:sz w:val="24"/>
                <w:szCs w:val="24"/>
                <w:rtl/>
              </w:rPr>
              <w:t>معقولة</w:t>
            </w:r>
          </w:p>
        </w:tc>
      </w:tr>
      <w:tr w:rsidR="00703DF4" w:rsidRPr="009B27E4" w:rsidTr="00703DF4">
        <w:trPr>
          <w:jc w:val="center"/>
        </w:trPr>
        <w:tc>
          <w:tcPr>
            <w:tcW w:w="2126" w:type="dxa"/>
            <w:shd w:val="clear" w:color="auto" w:fill="auto"/>
            <w:vAlign w:val="center"/>
          </w:tcPr>
          <w:p w:rsidR="00703DF4" w:rsidRPr="009B27E4" w:rsidRDefault="00703DF4" w:rsidP="00703DF4">
            <w:pPr>
              <w:bidi/>
              <w:spacing w:after="0" w:line="240" w:lineRule="auto"/>
              <w:jc w:val="center"/>
              <w:rPr>
                <w:rFonts w:ascii="Simplified Arabic" w:eastAsia="Times New Roman" w:hAnsi="Simplified Arabic" w:cs="Simplified Arabic"/>
                <w:sz w:val="24"/>
                <w:szCs w:val="24"/>
                <w:rtl/>
                <w:lang w:val="en-US"/>
              </w:rPr>
            </w:pPr>
            <w:r w:rsidRPr="009B27E4">
              <w:rPr>
                <w:rFonts w:ascii="Simplified Arabic" w:eastAsia="Times New Roman" w:hAnsi="Simplified Arabic" w:cs="Simplified Arabic"/>
                <w:sz w:val="24"/>
                <w:szCs w:val="24"/>
                <w:lang w:val="en-US"/>
              </w:rPr>
              <w:t>5</w:t>
            </w:r>
          </w:p>
        </w:tc>
        <w:tc>
          <w:tcPr>
            <w:tcW w:w="3119"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rtl/>
                <w:lang w:val="en-US" w:bidi="ar-DZ"/>
              </w:rPr>
            </w:pPr>
            <w:r w:rsidRPr="009B27E4">
              <w:rPr>
                <w:rFonts w:ascii="Simplified Arabic" w:eastAsia="Times New Roman" w:hAnsi="Simplified Arabic" w:cs="Simplified Arabic"/>
                <w:sz w:val="24"/>
                <w:szCs w:val="24"/>
                <w:rtl/>
                <w:lang w:val="en-US" w:bidi="ar-DZ"/>
              </w:rPr>
              <w:t>أهمية قوية</w:t>
            </w:r>
          </w:p>
        </w:tc>
      </w:tr>
      <w:tr w:rsidR="00703DF4" w:rsidRPr="009B27E4" w:rsidTr="00703DF4">
        <w:trPr>
          <w:jc w:val="center"/>
        </w:trPr>
        <w:tc>
          <w:tcPr>
            <w:tcW w:w="2126" w:type="dxa"/>
            <w:shd w:val="clear" w:color="auto" w:fill="auto"/>
            <w:vAlign w:val="center"/>
          </w:tcPr>
          <w:p w:rsidR="00703DF4" w:rsidRPr="009B27E4" w:rsidRDefault="00703DF4" w:rsidP="00703DF4">
            <w:pPr>
              <w:bidi/>
              <w:spacing w:after="0" w:line="240" w:lineRule="auto"/>
              <w:jc w:val="center"/>
              <w:rPr>
                <w:rFonts w:ascii="Simplified Arabic" w:eastAsia="Times New Roman" w:hAnsi="Simplified Arabic" w:cs="Simplified Arabic"/>
                <w:sz w:val="24"/>
                <w:szCs w:val="24"/>
                <w:rtl/>
                <w:lang w:val="en-US"/>
              </w:rPr>
            </w:pPr>
            <w:r w:rsidRPr="009B27E4">
              <w:rPr>
                <w:rFonts w:ascii="Simplified Arabic" w:eastAsia="Times New Roman" w:hAnsi="Simplified Arabic" w:cs="Simplified Arabic"/>
                <w:sz w:val="24"/>
                <w:szCs w:val="24"/>
                <w:lang w:val="en-US"/>
              </w:rPr>
              <w:t>7</w:t>
            </w:r>
          </w:p>
        </w:tc>
        <w:tc>
          <w:tcPr>
            <w:tcW w:w="3119"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lang w:val="en-US" w:bidi="ar-DZ"/>
              </w:rPr>
            </w:pPr>
            <w:r w:rsidRPr="009B27E4">
              <w:rPr>
                <w:rFonts w:ascii="Simplified Arabic" w:eastAsia="Times New Roman" w:hAnsi="Simplified Arabic" w:cs="Simplified Arabic"/>
                <w:sz w:val="24"/>
                <w:szCs w:val="24"/>
                <w:rtl/>
                <w:lang w:val="en-US" w:bidi="ar-DZ"/>
              </w:rPr>
              <w:t>أهمية قوية جدًا</w:t>
            </w:r>
          </w:p>
        </w:tc>
      </w:tr>
      <w:tr w:rsidR="00703DF4" w:rsidRPr="009B27E4" w:rsidTr="00703DF4">
        <w:trPr>
          <w:jc w:val="center"/>
        </w:trPr>
        <w:tc>
          <w:tcPr>
            <w:tcW w:w="2126" w:type="dxa"/>
            <w:shd w:val="clear" w:color="auto" w:fill="auto"/>
            <w:vAlign w:val="center"/>
          </w:tcPr>
          <w:p w:rsidR="00703DF4" w:rsidRPr="009B27E4" w:rsidRDefault="00703DF4" w:rsidP="00703DF4">
            <w:pPr>
              <w:bidi/>
              <w:spacing w:after="0" w:line="240" w:lineRule="auto"/>
              <w:jc w:val="center"/>
              <w:rPr>
                <w:rFonts w:ascii="Simplified Arabic" w:eastAsia="Times New Roman" w:hAnsi="Simplified Arabic" w:cs="Simplified Arabic"/>
                <w:sz w:val="24"/>
                <w:szCs w:val="24"/>
                <w:rtl/>
                <w:lang w:val="en-US"/>
              </w:rPr>
            </w:pPr>
            <w:r w:rsidRPr="009B27E4">
              <w:rPr>
                <w:rFonts w:ascii="Simplified Arabic" w:eastAsia="Times New Roman" w:hAnsi="Simplified Arabic" w:cs="Simplified Arabic"/>
                <w:sz w:val="24"/>
                <w:szCs w:val="24"/>
                <w:lang w:val="en-US"/>
              </w:rPr>
              <w:t>9</w:t>
            </w:r>
          </w:p>
        </w:tc>
        <w:tc>
          <w:tcPr>
            <w:tcW w:w="3119"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lang w:val="en-US" w:bidi="ar-DZ"/>
              </w:rPr>
            </w:pPr>
            <w:r w:rsidRPr="009B27E4">
              <w:rPr>
                <w:rFonts w:ascii="Simplified Arabic" w:eastAsia="Times New Roman" w:hAnsi="Simplified Arabic" w:cs="Simplified Arabic"/>
                <w:sz w:val="24"/>
                <w:szCs w:val="24"/>
                <w:rtl/>
                <w:lang w:val="en-US" w:bidi="ar-DZ"/>
              </w:rPr>
              <w:t>أهمية قصوى</w:t>
            </w:r>
          </w:p>
        </w:tc>
      </w:tr>
      <w:tr w:rsidR="00703DF4" w:rsidRPr="009B27E4" w:rsidTr="00703DF4">
        <w:trPr>
          <w:jc w:val="center"/>
        </w:trPr>
        <w:tc>
          <w:tcPr>
            <w:tcW w:w="2126" w:type="dxa"/>
            <w:shd w:val="clear" w:color="auto" w:fill="auto"/>
            <w:vAlign w:val="center"/>
          </w:tcPr>
          <w:p w:rsidR="00703DF4" w:rsidRPr="009B27E4" w:rsidRDefault="00703DF4" w:rsidP="00703DF4">
            <w:pPr>
              <w:bidi/>
              <w:spacing w:after="0" w:line="240" w:lineRule="auto"/>
              <w:jc w:val="center"/>
              <w:rPr>
                <w:rFonts w:ascii="Simplified Arabic" w:eastAsia="Times New Roman" w:hAnsi="Simplified Arabic" w:cs="Simplified Arabic"/>
                <w:sz w:val="24"/>
                <w:szCs w:val="24"/>
                <w:lang w:val="en-US"/>
              </w:rPr>
            </w:pPr>
            <w:r w:rsidRPr="009B27E4">
              <w:rPr>
                <w:rFonts w:ascii="Simplified Arabic" w:hAnsi="Simplified Arabic" w:cs="Simplified Arabic"/>
                <w:sz w:val="24"/>
                <w:szCs w:val="24"/>
                <w:rtl/>
              </w:rPr>
              <w:t>الدرجات (2، 4، 6، 8)</w:t>
            </w:r>
          </w:p>
        </w:tc>
        <w:tc>
          <w:tcPr>
            <w:tcW w:w="3119" w:type="dxa"/>
            <w:shd w:val="clear" w:color="auto" w:fill="auto"/>
            <w:vAlign w:val="center"/>
          </w:tcPr>
          <w:p w:rsidR="00703DF4" w:rsidRPr="009B27E4" w:rsidRDefault="00703DF4" w:rsidP="00703DF4">
            <w:pPr>
              <w:autoSpaceDE w:val="0"/>
              <w:autoSpaceDN w:val="0"/>
              <w:bidi/>
              <w:adjustRightInd w:val="0"/>
              <w:spacing w:after="0" w:line="240" w:lineRule="auto"/>
              <w:jc w:val="center"/>
              <w:rPr>
                <w:rFonts w:ascii="Simplified Arabic" w:eastAsia="Times New Roman" w:hAnsi="Simplified Arabic" w:cs="Simplified Arabic"/>
                <w:sz w:val="24"/>
                <w:szCs w:val="24"/>
                <w:rtl/>
                <w:lang w:val="en-US" w:bidi="ar-DZ"/>
              </w:rPr>
            </w:pPr>
            <w:r w:rsidRPr="009B27E4">
              <w:rPr>
                <w:rFonts w:ascii="Simplified Arabic" w:hAnsi="Simplified Arabic" w:cs="Simplified Arabic"/>
                <w:sz w:val="24"/>
                <w:szCs w:val="24"/>
                <w:rtl/>
                <w:lang w:bidi="ar-DZ"/>
              </w:rPr>
              <w:t>هي درجات بينية بين الدرجات اعلاه</w:t>
            </w:r>
          </w:p>
        </w:tc>
      </w:tr>
    </w:tbl>
    <w:p w:rsidR="00703DF4" w:rsidRPr="002C1E02" w:rsidRDefault="00703DF4" w:rsidP="00703DF4">
      <w:pPr>
        <w:tabs>
          <w:tab w:val="left" w:pos="3010"/>
        </w:tabs>
        <w:bidi/>
        <w:spacing w:after="0"/>
        <w:rPr>
          <w:rFonts w:ascii="Simplified Arabic" w:hAnsi="Simplified Arabic" w:cs="Simplified Arabic"/>
          <w:sz w:val="24"/>
          <w:szCs w:val="24"/>
          <w:lang w:val="en-US" w:bidi="ar-DZ"/>
        </w:rPr>
      </w:pPr>
      <w:r w:rsidRPr="002C1E02">
        <w:rPr>
          <w:rFonts w:ascii="Simplified Arabic" w:hAnsi="Simplified Arabic" w:cs="Simplified Arabic"/>
          <w:sz w:val="24"/>
          <w:szCs w:val="24"/>
          <w:rtl/>
          <w:lang w:val="en-US" w:bidi="ar-DZ"/>
        </w:rPr>
        <w:t>مثال:</w:t>
      </w:r>
    </w:p>
    <w:p w:rsidR="00703DF4" w:rsidRPr="002C1E02" w:rsidRDefault="00703DF4" w:rsidP="00703DF4">
      <w:pPr>
        <w:tabs>
          <w:tab w:val="left" w:pos="3010"/>
        </w:tabs>
        <w:bidi/>
        <w:spacing w:after="0"/>
        <w:rPr>
          <w:rFonts w:ascii="Simplified Arabic" w:hAnsi="Simplified Arabic" w:cs="Simplified Arabic"/>
          <w:sz w:val="24"/>
          <w:szCs w:val="24"/>
          <w:lang w:val="en-US" w:bidi="ar-DZ"/>
        </w:rPr>
      </w:pPr>
      <w:r w:rsidRPr="002C1E02">
        <w:rPr>
          <w:rFonts w:ascii="Simplified Arabic" w:hAnsi="Simplified Arabic" w:cs="Simplified Arabic"/>
          <w:sz w:val="24"/>
          <w:szCs w:val="24"/>
          <w:rtl/>
          <w:lang w:val="en-US" w:bidi="ar-DZ"/>
        </w:rPr>
        <w:t>الهدف من الاجراء هو تحديد ترجيح كل مقارنة زوجية</w:t>
      </w:r>
      <w:r>
        <w:rPr>
          <w:rFonts w:ascii="Simplified Arabic" w:hAnsi="Simplified Arabic" w:cs="Simplified Arabic" w:hint="cs"/>
          <w:sz w:val="24"/>
          <w:szCs w:val="24"/>
          <w:rtl/>
          <w:lang w:val="en-US" w:bidi="ar-DZ"/>
        </w:rPr>
        <w:t xml:space="preserve"> </w:t>
      </w:r>
      <w:r w:rsidRPr="002C1E02">
        <w:rPr>
          <w:rFonts w:ascii="Simplified Arabic" w:hAnsi="Simplified Arabic" w:cs="Simplified Arabic"/>
          <w:sz w:val="24"/>
          <w:szCs w:val="24"/>
          <w:rtl/>
          <w:lang w:bidi="ar-DZ"/>
        </w:rPr>
        <w:t>باستخدام مقياس المقارنة الزوجي</w:t>
      </w:r>
      <w:r>
        <w:rPr>
          <w:rFonts w:ascii="Simplified Arabic" w:hAnsi="Simplified Arabic" w:cs="Simplified Arabic" w:hint="cs"/>
          <w:sz w:val="24"/>
          <w:szCs w:val="24"/>
          <w:rtl/>
          <w:lang w:bidi="ar-DZ"/>
        </w:rPr>
        <w:t xml:space="preserve"> ب</w:t>
      </w:r>
      <w:r w:rsidRPr="002C1E02">
        <w:rPr>
          <w:rFonts w:ascii="Simplified Arabic" w:hAnsi="Simplified Arabic" w:cs="Simplified Arabic"/>
          <w:sz w:val="24"/>
          <w:szCs w:val="24"/>
          <w:rtl/>
          <w:lang w:bidi="ar-DZ"/>
        </w:rPr>
        <w:t xml:space="preserve">الجدول </w:t>
      </w:r>
      <w:r>
        <w:rPr>
          <w:rFonts w:ascii="Simplified Arabic" w:hAnsi="Simplified Arabic" w:cs="Simplified Arabic" w:hint="cs"/>
          <w:sz w:val="24"/>
          <w:szCs w:val="24"/>
          <w:rtl/>
          <w:lang w:bidi="ar-DZ"/>
        </w:rPr>
        <w:t>(1)</w:t>
      </w:r>
      <w:r w:rsidRPr="002C1E02">
        <w:rPr>
          <w:rFonts w:ascii="Simplified Arabic" w:hAnsi="Simplified Arabic" w:cs="Simplified Arabic"/>
          <w:sz w:val="24"/>
          <w:szCs w:val="24"/>
          <w:rtl/>
          <w:lang w:val="en-US" w:bidi="ar-DZ"/>
        </w:rPr>
        <w:t xml:space="preserve">. </w:t>
      </w:r>
    </w:p>
    <w:p w:rsidR="00703DF4" w:rsidRPr="002C1E02" w:rsidRDefault="00703DF4" w:rsidP="001D0548">
      <w:pPr>
        <w:pStyle w:val="Paragraphedeliste"/>
        <w:numPr>
          <w:ilvl w:val="0"/>
          <w:numId w:val="48"/>
        </w:numPr>
        <w:tabs>
          <w:tab w:val="left" w:pos="3010"/>
        </w:tabs>
        <w:bidi/>
        <w:spacing w:after="0"/>
        <w:rPr>
          <w:rFonts w:ascii="Simplified Arabic" w:hAnsi="Simplified Arabic" w:cs="Simplified Arabic"/>
          <w:sz w:val="24"/>
          <w:szCs w:val="24"/>
          <w:lang w:val="en-US" w:bidi="ar-DZ"/>
        </w:rPr>
      </w:pPr>
      <w:r w:rsidRPr="002C1E02">
        <w:rPr>
          <w:rFonts w:ascii="Simplified Arabic" w:hAnsi="Simplified Arabic" w:cs="Simplified Arabic"/>
          <w:sz w:val="24"/>
          <w:szCs w:val="24"/>
          <w:rtl/>
          <w:lang w:val="en-US" w:bidi="ar-DZ"/>
        </w:rPr>
        <w:t xml:space="preserve">إذا كان قرارك هو أن وزن </w:t>
      </w:r>
      <w:r w:rsidRPr="002C1E02">
        <w:rPr>
          <w:rFonts w:ascii="Simplified Arabic" w:hAnsi="Simplified Arabic" w:cs="Simplified Arabic"/>
          <w:b/>
          <w:bCs/>
          <w:color w:val="0070C0"/>
          <w:sz w:val="24"/>
          <w:szCs w:val="24"/>
          <w:rtl/>
          <w:lang w:val="en-US" w:bidi="ar-DZ"/>
        </w:rPr>
        <w:t>أ</w:t>
      </w:r>
      <w:r w:rsidRPr="002C1E02">
        <w:rPr>
          <w:rFonts w:ascii="Simplified Arabic" w:hAnsi="Simplified Arabic" w:cs="Simplified Arabic"/>
          <w:sz w:val="24"/>
          <w:szCs w:val="24"/>
          <w:rtl/>
          <w:lang w:val="en-US" w:bidi="ar-DZ"/>
        </w:rPr>
        <w:t xml:space="preserve"> و </w:t>
      </w:r>
      <w:r w:rsidRPr="002C1E02">
        <w:rPr>
          <w:rFonts w:ascii="Simplified Arabic" w:hAnsi="Simplified Arabic" w:cs="Simplified Arabic"/>
          <w:b/>
          <w:bCs/>
          <w:color w:val="FF0000"/>
          <w:sz w:val="24"/>
          <w:szCs w:val="24"/>
          <w:rtl/>
          <w:lang w:val="en-US" w:bidi="ar-DZ"/>
        </w:rPr>
        <w:t>ب</w:t>
      </w:r>
      <w:r w:rsidRPr="002C1E02">
        <w:rPr>
          <w:rFonts w:ascii="Simplified Arabic" w:hAnsi="Simplified Arabic" w:cs="Simplified Arabic"/>
          <w:sz w:val="24"/>
          <w:szCs w:val="24"/>
          <w:rtl/>
          <w:lang w:val="en-US" w:bidi="ar-DZ"/>
        </w:rPr>
        <w:t xml:space="preserve"> </w:t>
      </w:r>
      <w:r w:rsidRPr="002C1E02">
        <w:rPr>
          <w:rFonts w:ascii="Simplified Arabic" w:hAnsi="Simplified Arabic" w:cs="Simplified Arabic"/>
          <w:b/>
          <w:bCs/>
          <w:sz w:val="24"/>
          <w:szCs w:val="24"/>
          <w:u w:val="single"/>
          <w:rtl/>
          <w:lang w:val="en-US" w:bidi="ar-DZ"/>
        </w:rPr>
        <w:t>اهمية متساوية</w:t>
      </w:r>
      <w:r w:rsidRPr="002C1E02">
        <w:rPr>
          <w:rFonts w:ascii="Simplified Arabic" w:hAnsi="Simplified Arabic" w:cs="Simplified Arabic"/>
          <w:sz w:val="24"/>
          <w:szCs w:val="24"/>
          <w:rtl/>
          <w:lang w:val="en-US" w:bidi="ar-DZ"/>
        </w:rPr>
        <w:t>، فستكون الاجابة على النحو التالي:</w:t>
      </w:r>
    </w:p>
    <w:p w:rsidR="00703DF4" w:rsidRDefault="00703DF4" w:rsidP="00703DF4">
      <w:pPr>
        <w:tabs>
          <w:tab w:val="left" w:pos="3010"/>
        </w:tabs>
        <w:bidi/>
        <w:spacing w:after="0"/>
        <w:rPr>
          <w:rtl/>
          <w:lang w:val="en-US" w:bidi="ar-DZ"/>
        </w:rPr>
      </w:pPr>
      <w:r>
        <w:rPr>
          <w:rFonts w:hint="cs"/>
          <w:noProof/>
          <w:rtl/>
          <w:lang w:eastAsia="fr-FR"/>
        </w:rPr>
        <mc:AlternateContent>
          <mc:Choice Requires="wps">
            <w:drawing>
              <wp:anchor distT="0" distB="0" distL="114300" distR="114300" simplePos="0" relativeHeight="251753472" behindDoc="0" locked="0" layoutInCell="1" allowOverlap="1" wp14:anchorId="3CE8D798" wp14:editId="4BA3AB93">
                <wp:simplePos x="0" y="0"/>
                <wp:positionH relativeFrom="column">
                  <wp:posOffset>2838288</wp:posOffset>
                </wp:positionH>
                <wp:positionV relativeFrom="paragraph">
                  <wp:posOffset>48260</wp:posOffset>
                </wp:positionV>
                <wp:extent cx="66675" cy="118110"/>
                <wp:effectExtent l="19050" t="0" r="47625" b="34290"/>
                <wp:wrapNone/>
                <wp:docPr id="190" name="Flèche vers le bas 190"/>
                <wp:cNvGraphicFramePr/>
                <a:graphic xmlns:a="http://schemas.openxmlformats.org/drawingml/2006/main">
                  <a:graphicData uri="http://schemas.microsoft.com/office/word/2010/wordprocessingShape">
                    <wps:wsp>
                      <wps:cNvSpPr/>
                      <wps:spPr>
                        <a:xfrm>
                          <a:off x="0" y="0"/>
                          <a:ext cx="66675" cy="11811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190" o:spid="_x0000_s1026" type="#_x0000_t67" style="position:absolute;margin-left:223.5pt;margin-top:3.8pt;width:5.25pt;height:9.3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" adj="15503" fillcolor="red" strokecolor="red" strokeweight="2pt"/>
            </w:pict>
          </mc:Fallback>
        </mc:AlternateContent>
      </w:r>
    </w:p>
    <w:tbl>
      <w:tblPr>
        <w:tblStyle w:val="Grilledutableau"/>
        <w:bidiVisual/>
        <w:tblW w:w="8476" w:type="dxa"/>
        <w:jc w:val="center"/>
        <w:tblInd w:w="814" w:type="dxa"/>
        <w:tblLook w:val="04A0" w:firstRow="1" w:lastRow="0" w:firstColumn="1" w:lastColumn="0" w:noHBand="0" w:noVBand="1"/>
      </w:tblPr>
      <w:tblGrid>
        <w:gridCol w:w="446"/>
        <w:gridCol w:w="446"/>
        <w:gridCol w:w="446"/>
        <w:gridCol w:w="446"/>
        <w:gridCol w:w="446"/>
        <w:gridCol w:w="446"/>
        <w:gridCol w:w="446"/>
        <w:gridCol w:w="446"/>
        <w:gridCol w:w="446"/>
        <w:gridCol w:w="447"/>
        <w:gridCol w:w="446"/>
        <w:gridCol w:w="446"/>
        <w:gridCol w:w="446"/>
        <w:gridCol w:w="446"/>
        <w:gridCol w:w="446"/>
        <w:gridCol w:w="446"/>
        <w:gridCol w:w="446"/>
        <w:gridCol w:w="446"/>
        <w:gridCol w:w="447"/>
      </w:tblGrid>
      <w:tr w:rsidR="00703DF4" w:rsidTr="00703DF4">
        <w:trPr>
          <w:trHeight w:val="322"/>
          <w:jc w:val="center"/>
        </w:trPr>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9</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8</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7</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6</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5</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4</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3</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2</w:t>
            </w:r>
          </w:p>
        </w:tc>
        <w:tc>
          <w:tcPr>
            <w:tcW w:w="447" w:type="dxa"/>
            <w:shd w:val="clear" w:color="auto" w:fill="FFFF00"/>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1</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2</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3</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4</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5</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6</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7</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8</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9</w:t>
            </w:r>
          </w:p>
        </w:tc>
        <w:tc>
          <w:tcPr>
            <w:tcW w:w="447" w:type="dxa"/>
            <w:vAlign w:val="center"/>
          </w:tcPr>
          <w:p w:rsidR="00703DF4" w:rsidRDefault="00703DF4" w:rsidP="00703DF4">
            <w:pPr>
              <w:tabs>
                <w:tab w:val="left" w:pos="3010"/>
              </w:tabs>
              <w:bidi/>
              <w:jc w:val="center"/>
              <w:rPr>
                <w:rtl/>
                <w:lang w:val="en-US" w:bidi="ar-DZ"/>
              </w:rPr>
            </w:pPr>
          </w:p>
        </w:tc>
      </w:tr>
      <w:tr w:rsidR="00703DF4" w:rsidTr="00703DF4">
        <w:trPr>
          <w:trHeight w:val="322"/>
          <w:jc w:val="center"/>
        </w:trPr>
        <w:tc>
          <w:tcPr>
            <w:tcW w:w="446" w:type="dxa"/>
            <w:vAlign w:val="center"/>
          </w:tcPr>
          <w:p w:rsidR="00703DF4" w:rsidRPr="00C53714" w:rsidRDefault="00703DF4" w:rsidP="00703DF4">
            <w:pPr>
              <w:tabs>
                <w:tab w:val="left" w:pos="3010"/>
              </w:tabs>
              <w:bidi/>
              <w:jc w:val="center"/>
              <w:rPr>
                <w:b/>
                <w:bCs/>
                <w:rtl/>
                <w:lang w:val="en-US" w:bidi="ar-DZ"/>
              </w:rPr>
            </w:pPr>
            <w:r w:rsidRPr="00C53714">
              <w:rPr>
                <w:rFonts w:hint="cs"/>
                <w:b/>
                <w:bCs/>
                <w:color w:val="0070C0"/>
                <w:sz w:val="28"/>
                <w:szCs w:val="28"/>
                <w:rtl/>
                <w:lang w:val="en-US" w:bidi="ar-DZ"/>
              </w:rPr>
              <w:t>أ</w:t>
            </w: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7" w:type="dxa"/>
            <w:shd w:val="clear" w:color="auto" w:fill="FFFF00"/>
            <w:vAlign w:val="center"/>
          </w:tcPr>
          <w:p w:rsidR="00703DF4" w:rsidRPr="00EB0E37" w:rsidRDefault="00703DF4" w:rsidP="001D0548">
            <w:pPr>
              <w:pStyle w:val="Paragraphedeliste"/>
              <w:numPr>
                <w:ilvl w:val="0"/>
                <w:numId w:val="49"/>
              </w:numPr>
              <w:tabs>
                <w:tab w:val="left" w:pos="3010"/>
              </w:tabs>
              <w:bidi/>
              <w:rPr>
                <w:color w:val="000000" w:themeColor="text1"/>
                <w:sz w:val="24"/>
                <w:szCs w:val="24"/>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7" w:type="dxa"/>
            <w:vAlign w:val="center"/>
          </w:tcPr>
          <w:p w:rsidR="00703DF4" w:rsidRPr="00C53714" w:rsidRDefault="00703DF4" w:rsidP="00703DF4">
            <w:pPr>
              <w:tabs>
                <w:tab w:val="left" w:pos="3010"/>
              </w:tabs>
              <w:bidi/>
              <w:jc w:val="center"/>
              <w:rPr>
                <w:b/>
                <w:bCs/>
                <w:sz w:val="28"/>
                <w:szCs w:val="28"/>
                <w:rtl/>
                <w:lang w:val="en-US" w:bidi="ar-DZ"/>
              </w:rPr>
            </w:pPr>
            <w:r w:rsidRPr="00C53714">
              <w:rPr>
                <w:rFonts w:hint="cs"/>
                <w:b/>
                <w:bCs/>
                <w:color w:val="FF0000"/>
                <w:sz w:val="28"/>
                <w:szCs w:val="28"/>
                <w:rtl/>
                <w:lang w:val="en-US" w:bidi="ar-DZ"/>
              </w:rPr>
              <w:t>ب</w:t>
            </w:r>
          </w:p>
        </w:tc>
      </w:tr>
    </w:tbl>
    <w:p w:rsidR="00703DF4" w:rsidRDefault="00703DF4" w:rsidP="00703DF4">
      <w:pPr>
        <w:bidi/>
        <w:rPr>
          <w:rtl/>
          <w:lang w:bidi="ar-DZ"/>
        </w:rPr>
      </w:pPr>
      <w:r>
        <w:rPr>
          <w:noProof/>
          <w:rtl/>
          <w:lang w:eastAsia="fr-FR"/>
        </w:rPr>
        <mc:AlternateContent>
          <mc:Choice Requires="wps">
            <w:drawing>
              <wp:anchor distT="0" distB="0" distL="114300" distR="114300" simplePos="0" relativeHeight="251755520" behindDoc="0" locked="0" layoutInCell="1" allowOverlap="1" wp14:anchorId="3A605FFC" wp14:editId="1E4F25C8">
                <wp:simplePos x="0" y="0"/>
                <wp:positionH relativeFrom="column">
                  <wp:posOffset>784225</wp:posOffset>
                </wp:positionH>
                <wp:positionV relativeFrom="paragraph">
                  <wp:posOffset>86834</wp:posOffset>
                </wp:positionV>
                <wp:extent cx="429895" cy="394335"/>
                <wp:effectExtent l="0" t="0" r="27305" b="24765"/>
                <wp:wrapNone/>
                <wp:docPr id="191" name="Ellipse 191"/>
                <wp:cNvGraphicFramePr/>
                <a:graphic xmlns:a="http://schemas.openxmlformats.org/drawingml/2006/main">
                  <a:graphicData uri="http://schemas.microsoft.com/office/word/2010/wordprocessingShape">
                    <wps:wsp>
                      <wps:cNvSpPr/>
                      <wps:spPr>
                        <a:xfrm>
                          <a:off x="0" y="0"/>
                          <a:ext cx="429895" cy="394335"/>
                        </a:xfrm>
                        <a:prstGeom prst="ellipse">
                          <a:avLst/>
                        </a:prstGeom>
                        <a:ln w="12700">
                          <a:solidFill>
                            <a:srgbClr val="0070C0"/>
                          </a:solidFill>
                        </a:ln>
                      </wps:spPr>
                      <wps:style>
                        <a:lnRef idx="2">
                          <a:schemeClr val="dk1"/>
                        </a:lnRef>
                        <a:fillRef idx="1">
                          <a:schemeClr val="lt1"/>
                        </a:fillRef>
                        <a:effectRef idx="0">
                          <a:schemeClr val="dk1"/>
                        </a:effectRef>
                        <a:fontRef idx="minor">
                          <a:schemeClr val="dk1"/>
                        </a:fontRef>
                      </wps:style>
                      <wps:txbx>
                        <w:txbxContent>
                          <w:p w:rsidR="00D13702" w:rsidRPr="00D5282F" w:rsidRDefault="00D13702" w:rsidP="00703DF4">
                            <w:pPr>
                              <w:bidi/>
                              <w:spacing w:after="0" w:line="240" w:lineRule="auto"/>
                              <w:jc w:val="center"/>
                              <w:rPr>
                                <w:color w:val="0070C0"/>
                                <w:lang w:bidi="ar-DZ"/>
                              </w:rPr>
                            </w:pPr>
                            <w:r w:rsidRPr="00C53714">
                              <w:rPr>
                                <w:rFonts w:hint="cs"/>
                                <w:b/>
                                <w:bCs/>
                                <w:color w:val="FF0000"/>
                                <w:sz w:val="28"/>
                                <w:szCs w:val="28"/>
                                <w:rtl/>
                                <w:lang w:val="en-US" w:bidi="ar-DZ"/>
                              </w:rPr>
                              <w:t>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1" o:spid="_x0000_s1067" style="position:absolute;left:0;text-align:left;margin-left:61.75pt;margin-top:6.85pt;width:33.85pt;height:31.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" fillcolor="white [3201]" strokecolor="#0070c0" strokeweight="1pt">
                <v:textbox>
                  <w:txbxContent>
                    <w:p w:rsidR="00D13702" w:rsidRPr="00D5282F" w:rsidRDefault="00D13702" w:rsidP="00703DF4">
                      <w:pPr>
                        <w:bidi/>
                        <w:spacing w:after="0" w:line="240" w:lineRule="auto"/>
                        <w:jc w:val="center"/>
                        <w:rPr>
                          <w:color w:val="0070C0"/>
                          <w:lang w:bidi="ar-DZ"/>
                        </w:rPr>
                      </w:pPr>
                      <w:r w:rsidRPr="00C53714">
                        <w:rPr>
                          <w:rFonts w:hint="cs"/>
                          <w:b/>
                          <w:bCs/>
                          <w:color w:val="FF0000"/>
                          <w:sz w:val="28"/>
                          <w:szCs w:val="28"/>
                          <w:rtl/>
                          <w:lang w:val="en-US" w:bidi="ar-DZ"/>
                        </w:rPr>
                        <w:t>ب</w:t>
                      </w:r>
                    </w:p>
                  </w:txbxContent>
                </v:textbox>
              </v:oval>
            </w:pict>
          </mc:Fallback>
        </mc:AlternateContent>
      </w:r>
      <w:r>
        <w:rPr>
          <w:noProof/>
          <w:rtl/>
          <w:lang w:eastAsia="fr-FR"/>
        </w:rPr>
        <mc:AlternateContent>
          <mc:Choice Requires="wps">
            <w:drawing>
              <wp:anchor distT="0" distB="0" distL="114300" distR="114300" simplePos="0" relativeHeight="251756544" behindDoc="0" locked="0" layoutInCell="1" allowOverlap="1" wp14:anchorId="5D693E53" wp14:editId="2988D9BC">
                <wp:simplePos x="0" y="0"/>
                <wp:positionH relativeFrom="column">
                  <wp:posOffset>4580255</wp:posOffset>
                </wp:positionH>
                <wp:positionV relativeFrom="paragraph">
                  <wp:posOffset>89374</wp:posOffset>
                </wp:positionV>
                <wp:extent cx="429895" cy="394335"/>
                <wp:effectExtent l="0" t="0" r="27305" b="24765"/>
                <wp:wrapNone/>
                <wp:docPr id="192" name="Ellipse 192"/>
                <wp:cNvGraphicFramePr/>
                <a:graphic xmlns:a="http://schemas.openxmlformats.org/drawingml/2006/main">
                  <a:graphicData uri="http://schemas.microsoft.com/office/word/2010/wordprocessingShape">
                    <wps:wsp>
                      <wps:cNvSpPr/>
                      <wps:spPr>
                        <a:xfrm>
                          <a:off x="0" y="0"/>
                          <a:ext cx="429895" cy="394335"/>
                        </a:xfrm>
                        <a:prstGeom prst="ellipse">
                          <a:avLst/>
                        </a:prstGeom>
                        <a:ln w="12700">
                          <a:solidFill>
                            <a:srgbClr val="0070C0"/>
                          </a:solidFill>
                        </a:ln>
                      </wps:spPr>
                      <wps:style>
                        <a:lnRef idx="2">
                          <a:schemeClr val="dk1"/>
                        </a:lnRef>
                        <a:fillRef idx="1">
                          <a:schemeClr val="lt1"/>
                        </a:fillRef>
                        <a:effectRef idx="0">
                          <a:schemeClr val="dk1"/>
                        </a:effectRef>
                        <a:fontRef idx="minor">
                          <a:schemeClr val="dk1"/>
                        </a:fontRef>
                      </wps:style>
                      <wps:txbx>
                        <w:txbxContent>
                          <w:p w:rsidR="00D13702" w:rsidRPr="00D5282F" w:rsidRDefault="00D13702" w:rsidP="00703DF4">
                            <w:pPr>
                              <w:bidi/>
                              <w:spacing w:after="0" w:line="240" w:lineRule="auto"/>
                              <w:jc w:val="center"/>
                              <w:rPr>
                                <w:color w:val="0070C0"/>
                                <w:lang w:bidi="ar-DZ"/>
                              </w:rPr>
                            </w:pPr>
                            <w:r w:rsidRPr="00C53714">
                              <w:rPr>
                                <w:rFonts w:hint="cs"/>
                                <w:b/>
                                <w:bCs/>
                                <w:color w:val="0070C0"/>
                                <w:sz w:val="28"/>
                                <w:szCs w:val="28"/>
                                <w:rtl/>
                                <w:lang w:val="en-US" w:bidi="ar-DZ"/>
                              </w:rPr>
                              <w:t>أ</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2" o:spid="_x0000_s1068" style="position:absolute;left:0;text-align:left;margin-left:360.65pt;margin-top:7.05pt;width:33.85pt;height:31.0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" fillcolor="white [3201]" strokecolor="#0070c0" strokeweight="1pt">
                <v:textbox>
                  <w:txbxContent>
                    <w:p w:rsidR="00D13702" w:rsidRPr="00D5282F" w:rsidRDefault="00D13702" w:rsidP="00703DF4">
                      <w:pPr>
                        <w:bidi/>
                        <w:spacing w:after="0" w:line="240" w:lineRule="auto"/>
                        <w:jc w:val="center"/>
                        <w:rPr>
                          <w:color w:val="0070C0"/>
                          <w:lang w:bidi="ar-DZ"/>
                        </w:rPr>
                      </w:pPr>
                      <w:r w:rsidRPr="00C53714">
                        <w:rPr>
                          <w:rFonts w:hint="cs"/>
                          <w:b/>
                          <w:bCs/>
                          <w:color w:val="0070C0"/>
                          <w:sz w:val="28"/>
                          <w:szCs w:val="28"/>
                          <w:rtl/>
                          <w:lang w:val="en-US" w:bidi="ar-DZ"/>
                        </w:rPr>
                        <w:t>أ</w:t>
                      </w:r>
                    </w:p>
                  </w:txbxContent>
                </v:textbox>
              </v:oval>
            </w:pict>
          </mc:Fallback>
        </mc:AlternateContent>
      </w:r>
    </w:p>
    <w:p w:rsidR="00703DF4" w:rsidRDefault="00703DF4" w:rsidP="00703DF4">
      <w:pPr>
        <w:bidi/>
        <w:rPr>
          <w:rtl/>
          <w:lang w:bidi="ar-DZ"/>
        </w:rPr>
      </w:pPr>
      <w:r>
        <w:rPr>
          <w:rFonts w:hint="cs"/>
          <w:noProof/>
          <w:rtl/>
          <w:lang w:eastAsia="fr-FR"/>
        </w:rPr>
        <mc:AlternateContent>
          <mc:Choice Requires="wps">
            <w:drawing>
              <wp:anchor distT="0" distB="0" distL="114300" distR="114300" simplePos="0" relativeHeight="251747328" behindDoc="0" locked="0" layoutInCell="1" allowOverlap="1" wp14:anchorId="0215C423" wp14:editId="18122718">
                <wp:simplePos x="0" y="0"/>
                <wp:positionH relativeFrom="column">
                  <wp:posOffset>784860</wp:posOffset>
                </wp:positionH>
                <wp:positionV relativeFrom="paragraph">
                  <wp:posOffset>180179</wp:posOffset>
                </wp:positionV>
                <wp:extent cx="4223385" cy="95250"/>
                <wp:effectExtent l="0" t="0" r="24765" b="19050"/>
                <wp:wrapNone/>
                <wp:docPr id="193" name="Rectangle 193"/>
                <wp:cNvGraphicFramePr/>
                <a:graphic xmlns:a="http://schemas.openxmlformats.org/drawingml/2006/main">
                  <a:graphicData uri="http://schemas.microsoft.com/office/word/2010/wordprocessingShape">
                    <wps:wsp>
                      <wps:cNvSpPr/>
                      <wps:spPr>
                        <a:xfrm>
                          <a:off x="0" y="0"/>
                          <a:ext cx="4223385" cy="95250"/>
                        </a:xfrm>
                        <a:prstGeom prst="rect">
                          <a:avLst/>
                        </a:prstGeom>
                        <a:noFill/>
                        <a:ln w="1270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93" o:spid="_x0000_s1026" style="position:absolute;margin-left:61.8pt;margin-top:14.2pt;width:332.55pt;height: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" filled="f" strokecolor="#0070c0" strokeweight="1pt"/>
            </w:pict>
          </mc:Fallback>
        </mc:AlternateContent>
      </w:r>
      <w:r>
        <w:rPr>
          <w:rFonts w:hint="cs"/>
          <w:noProof/>
          <w:rtl/>
          <w:lang w:eastAsia="fr-FR"/>
        </w:rPr>
        <mc:AlternateContent>
          <mc:Choice Requires="wps">
            <w:drawing>
              <wp:anchor distT="0" distB="0" distL="114300" distR="114300" simplePos="0" relativeHeight="251748352" behindDoc="0" locked="0" layoutInCell="1" allowOverlap="1" wp14:anchorId="0B7275ED" wp14:editId="4122C40A">
                <wp:simplePos x="0" y="0"/>
                <wp:positionH relativeFrom="column">
                  <wp:posOffset>2698750</wp:posOffset>
                </wp:positionH>
                <wp:positionV relativeFrom="paragraph">
                  <wp:posOffset>284319</wp:posOffset>
                </wp:positionV>
                <wp:extent cx="400050" cy="219075"/>
                <wp:effectExtent l="0" t="0" r="19050" b="28575"/>
                <wp:wrapNone/>
                <wp:docPr id="194" name="Triangle isocèle 194"/>
                <wp:cNvGraphicFramePr/>
                <a:graphic xmlns:a="http://schemas.openxmlformats.org/drawingml/2006/main">
                  <a:graphicData uri="http://schemas.microsoft.com/office/word/2010/wordprocessingShape">
                    <wps:wsp>
                      <wps:cNvSpPr/>
                      <wps:spPr>
                        <a:xfrm>
                          <a:off x="0" y="0"/>
                          <a:ext cx="400050" cy="219075"/>
                        </a:xfrm>
                        <a:prstGeom prst="triangle">
                          <a:avLst/>
                        </a:prstGeom>
                        <a:ln w="12700"/>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194" o:spid="_x0000_s1026" type="#_x0000_t5" style="position:absolute;margin-left:212.5pt;margin-top:22.4pt;width:31.5pt;height:17.25pt;z-index:251748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" fillcolor="white [3201]" strokecolor="#4f81bd [3204]" strokeweight="1pt"/>
            </w:pict>
          </mc:Fallback>
        </mc:AlternateContent>
      </w:r>
    </w:p>
    <w:p w:rsidR="00703DF4" w:rsidRDefault="00703DF4" w:rsidP="00703DF4">
      <w:pPr>
        <w:tabs>
          <w:tab w:val="center" w:pos="6235"/>
        </w:tabs>
        <w:bidi/>
        <w:rPr>
          <w:rtl/>
          <w:lang w:bidi="ar-DZ"/>
        </w:rPr>
      </w:pPr>
    </w:p>
    <w:p w:rsidR="00703DF4" w:rsidRPr="002C1E02" w:rsidRDefault="00703DF4" w:rsidP="001D0548">
      <w:pPr>
        <w:pStyle w:val="Paragraphedeliste"/>
        <w:numPr>
          <w:ilvl w:val="0"/>
          <w:numId w:val="47"/>
        </w:numPr>
        <w:tabs>
          <w:tab w:val="left" w:pos="3010"/>
        </w:tabs>
        <w:bidi/>
        <w:spacing w:after="0"/>
        <w:rPr>
          <w:rFonts w:ascii="Simplified Arabic" w:hAnsi="Simplified Arabic" w:cs="Simplified Arabic"/>
          <w:sz w:val="24"/>
          <w:szCs w:val="24"/>
          <w:rtl/>
          <w:lang w:val="en-US" w:bidi="ar-DZ"/>
        </w:rPr>
      </w:pPr>
      <w:r w:rsidRPr="002C1E02">
        <w:rPr>
          <w:rFonts w:ascii="Simplified Arabic" w:hAnsi="Simplified Arabic" w:cs="Simplified Arabic"/>
          <w:sz w:val="24"/>
          <w:szCs w:val="24"/>
          <w:rtl/>
          <w:lang w:val="en-US" w:bidi="ar-DZ"/>
        </w:rPr>
        <w:t xml:space="preserve">إذا كان قرارك هو أن وزن </w:t>
      </w:r>
      <w:r w:rsidRPr="002C1E02">
        <w:rPr>
          <w:rFonts w:ascii="Simplified Arabic" w:hAnsi="Simplified Arabic" w:cs="Simplified Arabic"/>
          <w:b/>
          <w:bCs/>
          <w:color w:val="0070C0"/>
          <w:sz w:val="24"/>
          <w:szCs w:val="24"/>
          <w:rtl/>
          <w:lang w:val="en-US" w:bidi="ar-DZ"/>
        </w:rPr>
        <w:t>أ</w:t>
      </w:r>
      <w:r w:rsidRPr="002C1E02">
        <w:rPr>
          <w:rFonts w:ascii="Simplified Arabic" w:hAnsi="Simplified Arabic" w:cs="Simplified Arabic"/>
          <w:sz w:val="24"/>
          <w:szCs w:val="24"/>
          <w:rtl/>
          <w:lang w:val="en-US" w:bidi="ar-DZ"/>
        </w:rPr>
        <w:t xml:space="preserve"> </w:t>
      </w:r>
      <w:r w:rsidRPr="002C1E02">
        <w:rPr>
          <w:rFonts w:ascii="Simplified Arabic" w:hAnsi="Simplified Arabic" w:cs="Simplified Arabic"/>
          <w:b/>
          <w:bCs/>
          <w:sz w:val="24"/>
          <w:szCs w:val="24"/>
          <w:u w:val="single"/>
          <w:rtl/>
          <w:lang w:val="en-US" w:bidi="ar-DZ"/>
        </w:rPr>
        <w:t>اهمية قوية</w:t>
      </w:r>
      <w:r w:rsidRPr="002C1E02">
        <w:rPr>
          <w:rFonts w:ascii="Simplified Arabic" w:hAnsi="Simplified Arabic" w:cs="Simplified Arabic"/>
          <w:sz w:val="24"/>
          <w:szCs w:val="24"/>
          <w:rtl/>
          <w:lang w:val="en-US" w:bidi="ar-DZ"/>
        </w:rPr>
        <w:t xml:space="preserve"> من </w:t>
      </w:r>
      <w:r w:rsidRPr="002C1E02">
        <w:rPr>
          <w:rFonts w:ascii="Simplified Arabic" w:hAnsi="Simplified Arabic" w:cs="Simplified Arabic"/>
          <w:b/>
          <w:bCs/>
          <w:color w:val="FF0000"/>
          <w:sz w:val="24"/>
          <w:szCs w:val="24"/>
          <w:rtl/>
          <w:lang w:val="en-US" w:bidi="ar-DZ"/>
        </w:rPr>
        <w:t>ب</w:t>
      </w:r>
      <w:r w:rsidRPr="002C1E02">
        <w:rPr>
          <w:rFonts w:ascii="Simplified Arabic" w:hAnsi="Simplified Arabic" w:cs="Simplified Arabic"/>
          <w:sz w:val="24"/>
          <w:szCs w:val="24"/>
          <w:rtl/>
          <w:lang w:val="en-US" w:bidi="ar-DZ"/>
        </w:rPr>
        <w:t xml:space="preserve"> ، فستكون الاجابة هو المثال التالي:</w:t>
      </w:r>
    </w:p>
    <w:p w:rsidR="00703DF4" w:rsidRDefault="00703DF4" w:rsidP="00703DF4">
      <w:pPr>
        <w:tabs>
          <w:tab w:val="left" w:pos="3010"/>
        </w:tabs>
        <w:bidi/>
        <w:rPr>
          <w:lang w:val="en-US" w:bidi="ar-DZ"/>
        </w:rPr>
      </w:pPr>
      <w:r>
        <w:rPr>
          <w:rFonts w:hint="cs"/>
          <w:noProof/>
          <w:rtl/>
          <w:lang w:eastAsia="fr-FR"/>
        </w:rPr>
        <mc:AlternateContent>
          <mc:Choice Requires="wps">
            <w:drawing>
              <wp:anchor distT="0" distB="0" distL="114300" distR="114300" simplePos="0" relativeHeight="251750400" behindDoc="0" locked="0" layoutInCell="1" allowOverlap="1" wp14:anchorId="6DC77D49" wp14:editId="191E4891">
                <wp:simplePos x="0" y="0"/>
                <wp:positionH relativeFrom="column">
                  <wp:posOffset>3967318</wp:posOffset>
                </wp:positionH>
                <wp:positionV relativeFrom="paragraph">
                  <wp:posOffset>187325</wp:posOffset>
                </wp:positionV>
                <wp:extent cx="66675" cy="118110"/>
                <wp:effectExtent l="19050" t="0" r="47625" b="34290"/>
                <wp:wrapNone/>
                <wp:docPr id="195" name="Flèche vers le bas 195"/>
                <wp:cNvGraphicFramePr/>
                <a:graphic xmlns:a="http://schemas.openxmlformats.org/drawingml/2006/main">
                  <a:graphicData uri="http://schemas.microsoft.com/office/word/2010/wordprocessingShape">
                    <wps:wsp>
                      <wps:cNvSpPr/>
                      <wps:spPr>
                        <a:xfrm>
                          <a:off x="0" y="0"/>
                          <a:ext cx="66675" cy="11811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vers le bas 195" o:spid="_x0000_s1026" type="#_x0000_t67" style="position:absolute;margin-left:312.4pt;margin-top:14.75pt;width:5.25pt;height:9.3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" adj="15503" fillcolor="red" strokecolor="red" strokeweight="2pt"/>
            </w:pict>
          </mc:Fallback>
        </mc:AlternateContent>
      </w:r>
    </w:p>
    <w:tbl>
      <w:tblPr>
        <w:tblStyle w:val="Grilledutableau"/>
        <w:bidiVisual/>
        <w:tblW w:w="8476" w:type="dxa"/>
        <w:jc w:val="center"/>
        <w:tblInd w:w="814" w:type="dxa"/>
        <w:tblLook w:val="04A0" w:firstRow="1" w:lastRow="0" w:firstColumn="1" w:lastColumn="0" w:noHBand="0" w:noVBand="1"/>
      </w:tblPr>
      <w:tblGrid>
        <w:gridCol w:w="446"/>
        <w:gridCol w:w="446"/>
        <w:gridCol w:w="446"/>
        <w:gridCol w:w="446"/>
        <w:gridCol w:w="446"/>
        <w:gridCol w:w="446"/>
        <w:gridCol w:w="446"/>
        <w:gridCol w:w="446"/>
        <w:gridCol w:w="446"/>
        <w:gridCol w:w="447"/>
        <w:gridCol w:w="446"/>
        <w:gridCol w:w="446"/>
        <w:gridCol w:w="446"/>
        <w:gridCol w:w="446"/>
        <w:gridCol w:w="446"/>
        <w:gridCol w:w="446"/>
        <w:gridCol w:w="446"/>
        <w:gridCol w:w="446"/>
        <w:gridCol w:w="447"/>
      </w:tblGrid>
      <w:tr w:rsidR="00703DF4" w:rsidTr="00703DF4">
        <w:trPr>
          <w:trHeight w:val="322"/>
          <w:jc w:val="center"/>
        </w:trPr>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9</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8</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7</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6</w:t>
            </w:r>
          </w:p>
        </w:tc>
        <w:tc>
          <w:tcPr>
            <w:tcW w:w="446" w:type="dxa"/>
            <w:shd w:val="clear" w:color="auto" w:fill="FFFF00"/>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5</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4</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3</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2</w:t>
            </w:r>
          </w:p>
        </w:tc>
        <w:tc>
          <w:tcPr>
            <w:tcW w:w="447" w:type="dxa"/>
            <w:shd w:val="clear" w:color="auto" w:fill="D9D9D9" w:themeFill="background1" w:themeFillShade="D9"/>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1</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2</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3</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4</w:t>
            </w:r>
          </w:p>
        </w:tc>
        <w:tc>
          <w:tcPr>
            <w:tcW w:w="446" w:type="dxa"/>
            <w:shd w:val="clear" w:color="auto" w:fill="auto"/>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5</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6</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7</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8</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9</w:t>
            </w:r>
          </w:p>
        </w:tc>
        <w:tc>
          <w:tcPr>
            <w:tcW w:w="447" w:type="dxa"/>
            <w:vAlign w:val="center"/>
          </w:tcPr>
          <w:p w:rsidR="00703DF4" w:rsidRDefault="00703DF4" w:rsidP="00703DF4">
            <w:pPr>
              <w:tabs>
                <w:tab w:val="left" w:pos="3010"/>
              </w:tabs>
              <w:bidi/>
              <w:jc w:val="center"/>
              <w:rPr>
                <w:rtl/>
                <w:lang w:val="en-US" w:bidi="ar-DZ"/>
              </w:rPr>
            </w:pPr>
          </w:p>
        </w:tc>
      </w:tr>
      <w:tr w:rsidR="00703DF4" w:rsidRPr="00C53714" w:rsidTr="00703DF4">
        <w:trPr>
          <w:trHeight w:val="322"/>
          <w:jc w:val="center"/>
        </w:trPr>
        <w:tc>
          <w:tcPr>
            <w:tcW w:w="446" w:type="dxa"/>
            <w:vAlign w:val="center"/>
          </w:tcPr>
          <w:p w:rsidR="00703DF4" w:rsidRPr="00C53714" w:rsidRDefault="00703DF4" w:rsidP="00703DF4">
            <w:pPr>
              <w:tabs>
                <w:tab w:val="left" w:pos="3010"/>
              </w:tabs>
              <w:bidi/>
              <w:jc w:val="center"/>
              <w:rPr>
                <w:b/>
                <w:bCs/>
                <w:rtl/>
                <w:lang w:val="en-US" w:bidi="ar-DZ"/>
              </w:rPr>
            </w:pPr>
            <w:r w:rsidRPr="00C53714">
              <w:rPr>
                <w:rFonts w:hint="cs"/>
                <w:b/>
                <w:bCs/>
                <w:color w:val="0070C0"/>
                <w:sz w:val="28"/>
                <w:szCs w:val="28"/>
                <w:rtl/>
                <w:lang w:val="en-US" w:bidi="ar-DZ"/>
              </w:rPr>
              <w:t>أ</w:t>
            </w: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shd w:val="clear" w:color="auto" w:fill="FFFF00"/>
            <w:vAlign w:val="center"/>
          </w:tcPr>
          <w:p w:rsidR="00703DF4" w:rsidRPr="00276CCA" w:rsidRDefault="00703DF4" w:rsidP="001D0548">
            <w:pPr>
              <w:pStyle w:val="Paragraphedeliste"/>
              <w:numPr>
                <w:ilvl w:val="0"/>
                <w:numId w:val="49"/>
              </w:num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7" w:type="dxa"/>
            <w:shd w:val="clear" w:color="auto" w:fill="D9D9D9" w:themeFill="background1" w:themeFillShade="D9"/>
            <w:vAlign w:val="center"/>
          </w:tcPr>
          <w:p w:rsidR="00703DF4" w:rsidRPr="00B834D0" w:rsidRDefault="00703DF4" w:rsidP="00703DF4">
            <w:pPr>
              <w:tabs>
                <w:tab w:val="left" w:pos="3010"/>
              </w:tabs>
              <w:bidi/>
              <w:ind w:left="141"/>
              <w:jc w:val="center"/>
              <w:rPr>
                <w:color w:val="000000" w:themeColor="text1"/>
                <w:sz w:val="24"/>
                <w:szCs w:val="24"/>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shd w:val="clear" w:color="auto" w:fill="auto"/>
            <w:vAlign w:val="center"/>
          </w:tcPr>
          <w:p w:rsidR="00703DF4" w:rsidRPr="00276CCA" w:rsidRDefault="00703DF4" w:rsidP="00703DF4">
            <w:pPr>
              <w:tabs>
                <w:tab w:val="left" w:pos="3010"/>
              </w:tabs>
              <w:bidi/>
              <w:ind w:left="84"/>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6" w:type="dxa"/>
            <w:vAlign w:val="center"/>
          </w:tcPr>
          <w:p w:rsidR="00703DF4" w:rsidRDefault="00703DF4" w:rsidP="00703DF4">
            <w:pPr>
              <w:tabs>
                <w:tab w:val="left" w:pos="3010"/>
              </w:tabs>
              <w:bidi/>
              <w:jc w:val="center"/>
              <w:rPr>
                <w:rtl/>
                <w:lang w:val="en-US" w:bidi="ar-DZ"/>
              </w:rPr>
            </w:pPr>
          </w:p>
        </w:tc>
        <w:tc>
          <w:tcPr>
            <w:tcW w:w="447" w:type="dxa"/>
            <w:vAlign w:val="center"/>
          </w:tcPr>
          <w:p w:rsidR="00703DF4" w:rsidRPr="00C53714" w:rsidRDefault="00703DF4" w:rsidP="00703DF4">
            <w:pPr>
              <w:tabs>
                <w:tab w:val="left" w:pos="3010"/>
              </w:tabs>
              <w:bidi/>
              <w:jc w:val="center"/>
              <w:rPr>
                <w:b/>
                <w:bCs/>
                <w:sz w:val="28"/>
                <w:szCs w:val="28"/>
                <w:rtl/>
                <w:lang w:val="en-US" w:bidi="ar-DZ"/>
              </w:rPr>
            </w:pPr>
            <w:r w:rsidRPr="00C53714">
              <w:rPr>
                <w:rFonts w:hint="cs"/>
                <w:b/>
                <w:bCs/>
                <w:color w:val="FF0000"/>
                <w:sz w:val="28"/>
                <w:szCs w:val="28"/>
                <w:rtl/>
                <w:lang w:val="en-US" w:bidi="ar-DZ"/>
              </w:rPr>
              <w:t>ب</w:t>
            </w:r>
          </w:p>
        </w:tc>
      </w:tr>
    </w:tbl>
    <w:p w:rsidR="00703DF4" w:rsidRDefault="00703DF4" w:rsidP="00703DF4">
      <w:pPr>
        <w:bidi/>
        <w:rPr>
          <w:rtl/>
          <w:lang w:bidi="ar-DZ"/>
        </w:rPr>
      </w:pPr>
      <w:r w:rsidRPr="005F5371">
        <w:rPr>
          <w:rFonts w:hint="cs"/>
          <w:noProof/>
          <w:rtl/>
          <w:lang w:eastAsia="fr-FR"/>
        </w:rPr>
        <mc:AlternateContent>
          <mc:Choice Requires="wps">
            <w:drawing>
              <wp:anchor distT="0" distB="0" distL="114300" distR="114300" simplePos="0" relativeHeight="251760640" behindDoc="0" locked="0" layoutInCell="1" allowOverlap="1" wp14:anchorId="6EA74AF7" wp14:editId="22F3CE68">
                <wp:simplePos x="0" y="0"/>
                <wp:positionH relativeFrom="column">
                  <wp:posOffset>2724785</wp:posOffset>
                </wp:positionH>
                <wp:positionV relativeFrom="paragraph">
                  <wp:posOffset>707390</wp:posOffset>
                </wp:positionV>
                <wp:extent cx="400050" cy="219075"/>
                <wp:effectExtent l="0" t="0" r="19050" b="28575"/>
                <wp:wrapNone/>
                <wp:docPr id="196" name="Triangle isocèle 196"/>
                <wp:cNvGraphicFramePr/>
                <a:graphic xmlns:a="http://schemas.openxmlformats.org/drawingml/2006/main">
                  <a:graphicData uri="http://schemas.microsoft.com/office/word/2010/wordprocessingShape">
                    <wps:wsp>
                      <wps:cNvSpPr/>
                      <wps:spPr>
                        <a:xfrm>
                          <a:off x="0" y="0"/>
                          <a:ext cx="400050" cy="219075"/>
                        </a:xfrm>
                        <a:prstGeom prst="triangle">
                          <a:avLst/>
                        </a:prstGeom>
                        <a:noFill/>
                        <a:ln w="1270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Triangle isocèle 196" o:spid="_x0000_s1026" type="#_x0000_t5" style="position:absolute;margin-left:214.55pt;margin-top:55.7pt;width:31.5pt;height:17.25pt;z-index:251760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" filled="f" strokecolor="#0070c0" strokeweight="1pt"/>
            </w:pict>
          </mc:Fallback>
        </mc:AlternateContent>
      </w:r>
      <w:r w:rsidRPr="005F5371">
        <w:rPr>
          <w:rFonts w:hint="cs"/>
          <w:noProof/>
          <w:rtl/>
          <w:lang w:eastAsia="fr-FR"/>
        </w:rPr>
        <mc:AlternateContent>
          <mc:Choice Requires="wps">
            <w:drawing>
              <wp:anchor distT="0" distB="0" distL="114300" distR="114300" simplePos="0" relativeHeight="251761664" behindDoc="0" locked="0" layoutInCell="1" allowOverlap="1" wp14:anchorId="7E423C2D" wp14:editId="4E0B86BA">
                <wp:simplePos x="0" y="0"/>
                <wp:positionH relativeFrom="column">
                  <wp:posOffset>814070</wp:posOffset>
                </wp:positionH>
                <wp:positionV relativeFrom="paragraph">
                  <wp:posOffset>611505</wp:posOffset>
                </wp:positionV>
                <wp:extent cx="4223385" cy="95250"/>
                <wp:effectExtent l="19050" t="209550" r="5715" b="209550"/>
                <wp:wrapNone/>
                <wp:docPr id="197" name="Rectangle 197"/>
                <wp:cNvGraphicFramePr/>
                <a:graphic xmlns:a="http://schemas.openxmlformats.org/drawingml/2006/main">
                  <a:graphicData uri="http://schemas.microsoft.com/office/word/2010/wordprocessingShape">
                    <wps:wsp>
                      <wps:cNvSpPr/>
                      <wps:spPr>
                        <a:xfrm rot="325380">
                          <a:off x="0" y="0"/>
                          <a:ext cx="4223385" cy="95250"/>
                        </a:xfrm>
                        <a:prstGeom prst="rect">
                          <a:avLst/>
                        </a:prstGeom>
                        <a:noFill/>
                        <a:ln w="1270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97" o:spid="_x0000_s1026" style="position:absolute;margin-left:64.1pt;margin-top:48.15pt;width:332.55pt;height:7.5pt;rotation:355402fd;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" filled="f" strokecolor="#0070c0" strokeweight="1pt"/>
            </w:pict>
          </mc:Fallback>
        </mc:AlternateContent>
      </w:r>
      <w:r w:rsidRPr="005F5371">
        <w:rPr>
          <w:noProof/>
          <w:rtl/>
          <w:lang w:eastAsia="fr-FR"/>
        </w:rPr>
        <mc:AlternateContent>
          <mc:Choice Requires="wps">
            <w:drawing>
              <wp:anchor distT="0" distB="0" distL="114300" distR="114300" simplePos="0" relativeHeight="251762688" behindDoc="0" locked="0" layoutInCell="1" allowOverlap="1" wp14:anchorId="2B3C7B7E" wp14:editId="4A5A5628">
                <wp:simplePos x="0" y="0"/>
                <wp:positionH relativeFrom="column">
                  <wp:posOffset>825500</wp:posOffset>
                </wp:positionH>
                <wp:positionV relativeFrom="paragraph">
                  <wp:posOffset>40005</wp:posOffset>
                </wp:positionV>
                <wp:extent cx="429895" cy="394335"/>
                <wp:effectExtent l="0" t="0" r="27305" b="24765"/>
                <wp:wrapNone/>
                <wp:docPr id="198" name="Ellipse 198"/>
                <wp:cNvGraphicFramePr/>
                <a:graphic xmlns:a="http://schemas.openxmlformats.org/drawingml/2006/main">
                  <a:graphicData uri="http://schemas.microsoft.com/office/word/2010/wordprocessingShape">
                    <wps:wsp>
                      <wps:cNvSpPr/>
                      <wps:spPr>
                        <a:xfrm>
                          <a:off x="0" y="0"/>
                          <a:ext cx="429895" cy="394335"/>
                        </a:xfrm>
                        <a:prstGeom prst="ellipse">
                          <a:avLst/>
                        </a:prstGeom>
                        <a:ln w="12700">
                          <a:solidFill>
                            <a:srgbClr val="0070C0"/>
                          </a:solidFill>
                        </a:ln>
                      </wps:spPr>
                      <wps:style>
                        <a:lnRef idx="2">
                          <a:schemeClr val="dk1"/>
                        </a:lnRef>
                        <a:fillRef idx="1">
                          <a:schemeClr val="lt1"/>
                        </a:fillRef>
                        <a:effectRef idx="0">
                          <a:schemeClr val="dk1"/>
                        </a:effectRef>
                        <a:fontRef idx="minor">
                          <a:schemeClr val="dk1"/>
                        </a:fontRef>
                      </wps:style>
                      <wps:txbx>
                        <w:txbxContent>
                          <w:p w:rsidR="00D13702" w:rsidRPr="00D5282F" w:rsidRDefault="00D13702" w:rsidP="00703DF4">
                            <w:pPr>
                              <w:bidi/>
                              <w:spacing w:after="0" w:line="240" w:lineRule="auto"/>
                              <w:jc w:val="center"/>
                              <w:rPr>
                                <w:color w:val="0070C0"/>
                                <w:lang w:bidi="ar-DZ"/>
                              </w:rPr>
                            </w:pPr>
                            <w:r w:rsidRPr="00C53714">
                              <w:rPr>
                                <w:rFonts w:hint="cs"/>
                                <w:b/>
                                <w:bCs/>
                                <w:color w:val="FF0000"/>
                                <w:sz w:val="28"/>
                                <w:szCs w:val="28"/>
                                <w:rtl/>
                                <w:lang w:val="en-US" w:bidi="ar-DZ"/>
                              </w:rPr>
                              <w:t>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8" o:spid="_x0000_s1069" style="position:absolute;left:0;text-align:left;margin-left:65pt;margin-top:3.15pt;width:33.85pt;height:31.0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" fillcolor="white [3201]" strokecolor="#0070c0" strokeweight="1pt">
                <v:textbox>
                  <w:txbxContent>
                    <w:p w:rsidR="00D13702" w:rsidRPr="00D5282F" w:rsidRDefault="00D13702" w:rsidP="00703DF4">
                      <w:pPr>
                        <w:bidi/>
                        <w:spacing w:after="0" w:line="240" w:lineRule="auto"/>
                        <w:jc w:val="center"/>
                        <w:rPr>
                          <w:color w:val="0070C0"/>
                          <w:lang w:bidi="ar-DZ"/>
                        </w:rPr>
                      </w:pPr>
                      <w:r w:rsidRPr="00C53714">
                        <w:rPr>
                          <w:rFonts w:hint="cs"/>
                          <w:b/>
                          <w:bCs/>
                          <w:color w:val="FF0000"/>
                          <w:sz w:val="28"/>
                          <w:szCs w:val="28"/>
                          <w:rtl/>
                          <w:lang w:val="en-US" w:bidi="ar-DZ"/>
                        </w:rPr>
                        <w:t>ب</w:t>
                      </w:r>
                    </w:p>
                  </w:txbxContent>
                </v:textbox>
              </v:oval>
            </w:pict>
          </mc:Fallback>
        </mc:AlternateContent>
      </w:r>
      <w:r w:rsidRPr="005F5371">
        <w:rPr>
          <w:noProof/>
          <w:rtl/>
          <w:lang w:eastAsia="fr-FR"/>
        </w:rPr>
        <mc:AlternateContent>
          <mc:Choice Requires="wps">
            <w:drawing>
              <wp:anchor distT="0" distB="0" distL="114300" distR="114300" simplePos="0" relativeHeight="251763712" behindDoc="0" locked="0" layoutInCell="1" allowOverlap="1" wp14:anchorId="06A81E04" wp14:editId="7A943EFD">
                <wp:simplePos x="0" y="0"/>
                <wp:positionH relativeFrom="column">
                  <wp:posOffset>4590415</wp:posOffset>
                </wp:positionH>
                <wp:positionV relativeFrom="paragraph">
                  <wp:posOffset>393700</wp:posOffset>
                </wp:positionV>
                <wp:extent cx="429895" cy="394335"/>
                <wp:effectExtent l="0" t="0" r="27305" b="24765"/>
                <wp:wrapNone/>
                <wp:docPr id="199" name="Ellipse 199"/>
                <wp:cNvGraphicFramePr/>
                <a:graphic xmlns:a="http://schemas.openxmlformats.org/drawingml/2006/main">
                  <a:graphicData uri="http://schemas.microsoft.com/office/word/2010/wordprocessingShape">
                    <wps:wsp>
                      <wps:cNvSpPr/>
                      <wps:spPr>
                        <a:xfrm>
                          <a:off x="0" y="0"/>
                          <a:ext cx="429895" cy="394335"/>
                        </a:xfrm>
                        <a:prstGeom prst="ellipse">
                          <a:avLst/>
                        </a:prstGeom>
                        <a:ln w="12700">
                          <a:solidFill>
                            <a:srgbClr val="0070C0"/>
                          </a:solidFill>
                        </a:ln>
                      </wps:spPr>
                      <wps:style>
                        <a:lnRef idx="2">
                          <a:schemeClr val="dk1"/>
                        </a:lnRef>
                        <a:fillRef idx="1">
                          <a:schemeClr val="lt1"/>
                        </a:fillRef>
                        <a:effectRef idx="0">
                          <a:schemeClr val="dk1"/>
                        </a:effectRef>
                        <a:fontRef idx="minor">
                          <a:schemeClr val="dk1"/>
                        </a:fontRef>
                      </wps:style>
                      <wps:txbx>
                        <w:txbxContent>
                          <w:p w:rsidR="00D13702" w:rsidRPr="00D5282F" w:rsidRDefault="00D13702" w:rsidP="00703DF4">
                            <w:pPr>
                              <w:bidi/>
                              <w:spacing w:after="0" w:line="240" w:lineRule="auto"/>
                              <w:jc w:val="center"/>
                              <w:rPr>
                                <w:color w:val="0070C0"/>
                                <w:lang w:bidi="ar-DZ"/>
                              </w:rPr>
                            </w:pPr>
                            <w:r w:rsidRPr="00C53714">
                              <w:rPr>
                                <w:rFonts w:hint="cs"/>
                                <w:b/>
                                <w:bCs/>
                                <w:color w:val="0070C0"/>
                                <w:sz w:val="28"/>
                                <w:szCs w:val="28"/>
                                <w:rtl/>
                                <w:lang w:val="en-US" w:bidi="ar-DZ"/>
                              </w:rPr>
                              <w:t>أ</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9" o:spid="_x0000_s1070" style="position:absolute;left:0;text-align:left;margin-left:361.45pt;margin-top:31pt;width:33.85pt;height:31.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" fillcolor="white [3201]" strokecolor="#0070c0" strokeweight="1pt">
                <v:textbox>
                  <w:txbxContent>
                    <w:p w:rsidR="00D13702" w:rsidRPr="00D5282F" w:rsidRDefault="00D13702" w:rsidP="00703DF4">
                      <w:pPr>
                        <w:bidi/>
                        <w:spacing w:after="0" w:line="240" w:lineRule="auto"/>
                        <w:jc w:val="center"/>
                        <w:rPr>
                          <w:color w:val="0070C0"/>
                          <w:lang w:bidi="ar-DZ"/>
                        </w:rPr>
                      </w:pPr>
                      <w:r w:rsidRPr="00C53714">
                        <w:rPr>
                          <w:rFonts w:hint="cs"/>
                          <w:b/>
                          <w:bCs/>
                          <w:color w:val="0070C0"/>
                          <w:sz w:val="28"/>
                          <w:szCs w:val="28"/>
                          <w:rtl/>
                          <w:lang w:val="en-US" w:bidi="ar-DZ"/>
                        </w:rPr>
                        <w:t>أ</w:t>
                      </w:r>
                    </w:p>
                  </w:txbxContent>
                </v:textbox>
              </v:oval>
            </w:pict>
          </mc:Fallback>
        </mc:AlternateContent>
      </w:r>
    </w:p>
    <w:p w:rsidR="00703DF4" w:rsidRDefault="00703DF4" w:rsidP="00703DF4">
      <w:pPr>
        <w:bidi/>
        <w:rPr>
          <w:rtl/>
          <w:lang w:bidi="ar-DZ"/>
        </w:rPr>
      </w:pPr>
    </w:p>
    <w:p w:rsidR="00703DF4" w:rsidRDefault="00703DF4" w:rsidP="00703DF4">
      <w:pPr>
        <w:bidi/>
        <w:rPr>
          <w:rtl/>
          <w:lang w:bidi="ar-DZ"/>
        </w:rPr>
      </w:pPr>
    </w:p>
    <w:p w:rsidR="00703DF4" w:rsidRDefault="00703DF4" w:rsidP="001D0548">
      <w:pPr>
        <w:pStyle w:val="Paragraphedeliste"/>
        <w:numPr>
          <w:ilvl w:val="0"/>
          <w:numId w:val="47"/>
        </w:numPr>
        <w:bidi/>
        <w:spacing w:after="0"/>
        <w:rPr>
          <w:rFonts w:ascii="Simplified Arabic" w:hAnsi="Simplified Arabic" w:cs="Simplified Arabic"/>
          <w:sz w:val="24"/>
          <w:szCs w:val="24"/>
          <w:lang w:val="en-US" w:bidi="ar-DZ"/>
        </w:rPr>
      </w:pPr>
      <w:r w:rsidRPr="002C1E02">
        <w:rPr>
          <w:rFonts w:ascii="Simplified Arabic" w:hAnsi="Simplified Arabic" w:cs="Simplified Arabic"/>
          <w:sz w:val="24"/>
          <w:szCs w:val="24"/>
          <w:rtl/>
          <w:lang w:bidi="ar-DZ"/>
        </w:rPr>
        <w:t>إذا كان قرارك هو أن وزن</w:t>
      </w:r>
      <w:r w:rsidRPr="002C1E02">
        <w:rPr>
          <w:rFonts w:ascii="Simplified Arabic" w:hAnsi="Simplified Arabic" w:cs="Simplified Arabic"/>
          <w:sz w:val="24"/>
          <w:szCs w:val="24"/>
          <w:lang w:bidi="ar-DZ"/>
        </w:rPr>
        <w:t xml:space="preserve"> </w:t>
      </w:r>
      <w:r w:rsidRPr="002C1E02">
        <w:rPr>
          <w:rFonts w:ascii="Simplified Arabic" w:hAnsi="Simplified Arabic" w:cs="Simplified Arabic"/>
          <w:b/>
          <w:bCs/>
          <w:color w:val="FF0000"/>
          <w:sz w:val="24"/>
          <w:szCs w:val="24"/>
          <w:rtl/>
          <w:lang w:val="en-US" w:bidi="ar-DZ"/>
        </w:rPr>
        <w:t>ب</w:t>
      </w:r>
      <w:r w:rsidRPr="002C1E02">
        <w:rPr>
          <w:rFonts w:ascii="Simplified Arabic" w:hAnsi="Simplified Arabic" w:cs="Simplified Arabic"/>
          <w:sz w:val="24"/>
          <w:szCs w:val="24"/>
          <w:lang w:bidi="ar-DZ"/>
        </w:rPr>
        <w:t xml:space="preserve"> </w:t>
      </w:r>
      <w:r w:rsidRPr="002C1E02">
        <w:rPr>
          <w:rFonts w:ascii="Simplified Arabic" w:hAnsi="Simplified Arabic" w:cs="Simplified Arabic"/>
          <w:b/>
          <w:bCs/>
          <w:sz w:val="24"/>
          <w:szCs w:val="24"/>
          <w:u w:val="single"/>
          <w:rtl/>
          <w:lang w:val="en-US" w:bidi="ar-DZ"/>
        </w:rPr>
        <w:t>أهمية معقولة</w:t>
      </w:r>
      <w:r w:rsidRPr="002C1E02">
        <w:rPr>
          <w:rFonts w:ascii="Simplified Arabic" w:hAnsi="Simplified Arabic" w:cs="Simplified Arabic"/>
          <w:sz w:val="24"/>
          <w:szCs w:val="24"/>
          <w:rtl/>
          <w:lang w:bidi="ar-DZ"/>
        </w:rPr>
        <w:t xml:space="preserve"> من </w:t>
      </w:r>
      <w:r w:rsidRPr="002C1E02">
        <w:rPr>
          <w:rFonts w:ascii="Simplified Arabic" w:hAnsi="Simplified Arabic" w:cs="Simplified Arabic"/>
          <w:sz w:val="24"/>
          <w:szCs w:val="24"/>
          <w:lang w:bidi="ar-DZ"/>
        </w:rPr>
        <w:t xml:space="preserve"> </w:t>
      </w:r>
      <w:r w:rsidRPr="002C1E02">
        <w:rPr>
          <w:rFonts w:ascii="Simplified Arabic" w:hAnsi="Simplified Arabic" w:cs="Simplified Arabic"/>
          <w:b/>
          <w:bCs/>
          <w:color w:val="0070C0"/>
          <w:sz w:val="24"/>
          <w:szCs w:val="24"/>
          <w:rtl/>
          <w:lang w:val="en-US" w:bidi="ar-DZ"/>
        </w:rPr>
        <w:t>أ</w:t>
      </w:r>
      <w:r w:rsidRPr="002C1E02">
        <w:rPr>
          <w:rFonts w:ascii="Simplified Arabic" w:hAnsi="Simplified Arabic" w:cs="Simplified Arabic"/>
          <w:sz w:val="24"/>
          <w:szCs w:val="24"/>
          <w:rtl/>
          <w:lang w:bidi="ar-DZ"/>
        </w:rPr>
        <w:t xml:space="preserve">، </w:t>
      </w:r>
      <w:r w:rsidRPr="002C1E02">
        <w:rPr>
          <w:rFonts w:ascii="Simplified Arabic" w:hAnsi="Simplified Arabic" w:cs="Simplified Arabic"/>
          <w:sz w:val="24"/>
          <w:szCs w:val="24"/>
          <w:rtl/>
          <w:lang w:val="en-US" w:bidi="ar-DZ"/>
        </w:rPr>
        <w:t>فستكون الاجابة هو المثال التالي:</w:t>
      </w:r>
    </w:p>
    <w:p w:rsidR="00703DF4" w:rsidRPr="00B70273" w:rsidRDefault="00703DF4" w:rsidP="00703DF4">
      <w:pPr>
        <w:bidi/>
        <w:spacing w:after="0"/>
        <w:rPr>
          <w:rFonts w:ascii="Simplified Arabic" w:hAnsi="Simplified Arabic" w:cs="Simplified Arabic"/>
          <w:rtl/>
          <w:lang w:val="en-US" w:bidi="ar-DZ"/>
        </w:rPr>
      </w:pPr>
      <w:r w:rsidRPr="002C1E02">
        <w:rPr>
          <w:rFonts w:ascii="Simplified Arabic" w:hAnsi="Simplified Arabic" w:cs="Simplified Arabic"/>
          <w:noProof/>
          <w:sz w:val="24"/>
          <w:szCs w:val="24"/>
          <w:rtl/>
          <w:lang w:eastAsia="fr-FR"/>
        </w:rPr>
        <mc:AlternateContent>
          <mc:Choice Requires="wps">
            <w:drawing>
              <wp:anchor distT="0" distB="0" distL="114300" distR="114300" simplePos="0" relativeHeight="251754496" behindDoc="0" locked="0" layoutInCell="1" allowOverlap="1" wp14:anchorId="24417150" wp14:editId="7DA4D836">
                <wp:simplePos x="0" y="0"/>
                <wp:positionH relativeFrom="column">
                  <wp:posOffset>2277583</wp:posOffset>
                </wp:positionH>
                <wp:positionV relativeFrom="paragraph">
                  <wp:posOffset>123190</wp:posOffset>
                </wp:positionV>
                <wp:extent cx="66675" cy="118110"/>
                <wp:effectExtent l="19050" t="0" r="47625" b="34290"/>
                <wp:wrapNone/>
                <wp:docPr id="200" name="Flèche vers le bas 200"/>
                <wp:cNvGraphicFramePr/>
                <a:graphic xmlns:a="http://schemas.openxmlformats.org/drawingml/2006/main">
                  <a:graphicData uri="http://schemas.microsoft.com/office/word/2010/wordprocessingShape">
                    <wps:wsp>
                      <wps:cNvSpPr/>
                      <wps:spPr>
                        <a:xfrm>
                          <a:off x="0" y="0"/>
                          <a:ext cx="66675" cy="118110"/>
                        </a:xfrm>
                        <a:prstGeom prst="down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vers le bas 200" o:spid="_x0000_s1026" type="#_x0000_t67" style="position:absolute;margin-left:179.35pt;margin-top:9.7pt;width:5.25pt;height:9.3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" adj="15503" fillcolor="red" strokecolor="red" strokeweight="2pt"/>
            </w:pict>
          </mc:Fallback>
        </mc:AlternateContent>
      </w:r>
    </w:p>
    <w:tbl>
      <w:tblPr>
        <w:tblStyle w:val="Grilledutableau"/>
        <w:bidiVisual/>
        <w:tblW w:w="8476" w:type="dxa"/>
        <w:jc w:val="center"/>
        <w:tblInd w:w="814" w:type="dxa"/>
        <w:tblLook w:val="04A0" w:firstRow="1" w:lastRow="0" w:firstColumn="1" w:lastColumn="0" w:noHBand="0" w:noVBand="1"/>
      </w:tblPr>
      <w:tblGrid>
        <w:gridCol w:w="446"/>
        <w:gridCol w:w="446"/>
        <w:gridCol w:w="446"/>
        <w:gridCol w:w="446"/>
        <w:gridCol w:w="446"/>
        <w:gridCol w:w="446"/>
        <w:gridCol w:w="446"/>
        <w:gridCol w:w="446"/>
        <w:gridCol w:w="446"/>
        <w:gridCol w:w="447"/>
        <w:gridCol w:w="446"/>
        <w:gridCol w:w="446"/>
        <w:gridCol w:w="446"/>
        <w:gridCol w:w="446"/>
        <w:gridCol w:w="446"/>
        <w:gridCol w:w="446"/>
        <w:gridCol w:w="446"/>
        <w:gridCol w:w="446"/>
        <w:gridCol w:w="447"/>
      </w:tblGrid>
      <w:tr w:rsidR="00703DF4" w:rsidRPr="00C33DF6" w:rsidTr="00703DF4">
        <w:trPr>
          <w:trHeight w:val="322"/>
          <w:jc w:val="center"/>
        </w:trPr>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9</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8</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7</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6</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5</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4</w:t>
            </w:r>
          </w:p>
        </w:tc>
        <w:tc>
          <w:tcPr>
            <w:tcW w:w="446" w:type="dxa"/>
            <w:shd w:val="clear" w:color="auto" w:fill="auto"/>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3</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2</w:t>
            </w:r>
          </w:p>
        </w:tc>
        <w:tc>
          <w:tcPr>
            <w:tcW w:w="447" w:type="dxa"/>
            <w:shd w:val="clear" w:color="auto" w:fill="D9D9D9" w:themeFill="background1" w:themeFillShade="D9"/>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1</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2</w:t>
            </w:r>
          </w:p>
        </w:tc>
        <w:tc>
          <w:tcPr>
            <w:tcW w:w="446" w:type="dxa"/>
            <w:shd w:val="clear" w:color="auto" w:fill="FFFF00"/>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3</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4</w:t>
            </w:r>
          </w:p>
        </w:tc>
        <w:tc>
          <w:tcPr>
            <w:tcW w:w="446" w:type="dxa"/>
            <w:shd w:val="clear" w:color="auto" w:fill="auto"/>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5</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6</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7</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8</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rtl/>
                <w:lang w:val="en-US" w:bidi="ar-DZ"/>
              </w:rPr>
              <w:t>9</w:t>
            </w:r>
          </w:p>
        </w:tc>
        <w:tc>
          <w:tcPr>
            <w:tcW w:w="447"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r>
      <w:tr w:rsidR="00703DF4" w:rsidRPr="00C33DF6" w:rsidTr="00703DF4">
        <w:trPr>
          <w:trHeight w:val="322"/>
          <w:jc w:val="center"/>
        </w:trPr>
        <w:tc>
          <w:tcPr>
            <w:tcW w:w="446" w:type="dxa"/>
            <w:vAlign w:val="center"/>
          </w:tcPr>
          <w:p w:rsidR="00703DF4" w:rsidRPr="00C33DF6" w:rsidRDefault="00703DF4" w:rsidP="00703DF4">
            <w:pPr>
              <w:tabs>
                <w:tab w:val="left" w:pos="3010"/>
              </w:tabs>
              <w:bidi/>
              <w:jc w:val="center"/>
              <w:rPr>
                <w:rFonts w:asciiTheme="minorBidi" w:hAnsiTheme="minorBidi"/>
                <w:b/>
                <w:bCs/>
                <w:rtl/>
                <w:lang w:val="en-US" w:bidi="ar-DZ"/>
              </w:rPr>
            </w:pPr>
            <w:r w:rsidRPr="00C33DF6">
              <w:rPr>
                <w:rFonts w:asciiTheme="minorBidi" w:hAnsiTheme="minorBidi"/>
                <w:b/>
                <w:bCs/>
                <w:color w:val="0070C0"/>
                <w:sz w:val="28"/>
                <w:szCs w:val="28"/>
                <w:rtl/>
                <w:lang w:val="en-US" w:bidi="ar-DZ"/>
              </w:rPr>
              <w:t>أ</w:t>
            </w: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shd w:val="clear" w:color="auto" w:fill="auto"/>
            <w:vAlign w:val="center"/>
          </w:tcPr>
          <w:p w:rsidR="00703DF4" w:rsidRPr="00276CCA" w:rsidRDefault="00703DF4" w:rsidP="00703DF4">
            <w:pPr>
              <w:tabs>
                <w:tab w:val="left" w:pos="3010"/>
              </w:tabs>
              <w:bidi/>
              <w:ind w:left="84"/>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7" w:type="dxa"/>
            <w:shd w:val="clear" w:color="auto" w:fill="D9D9D9" w:themeFill="background1" w:themeFillShade="D9"/>
            <w:vAlign w:val="center"/>
          </w:tcPr>
          <w:p w:rsidR="00703DF4" w:rsidRPr="00C33DF6" w:rsidRDefault="00703DF4" w:rsidP="00703DF4">
            <w:pPr>
              <w:tabs>
                <w:tab w:val="left" w:pos="3010"/>
              </w:tabs>
              <w:bidi/>
              <w:ind w:left="141"/>
              <w:jc w:val="center"/>
              <w:rPr>
                <w:rFonts w:asciiTheme="majorBidi" w:hAnsiTheme="majorBidi" w:cstheme="majorBidi"/>
                <w:color w:val="000000" w:themeColor="text1"/>
                <w:sz w:val="24"/>
                <w:szCs w:val="24"/>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shd w:val="clear" w:color="auto" w:fill="FFFF00"/>
            <w:vAlign w:val="center"/>
          </w:tcPr>
          <w:p w:rsidR="00703DF4" w:rsidRPr="00276CCA" w:rsidRDefault="00703DF4" w:rsidP="001D0548">
            <w:pPr>
              <w:pStyle w:val="Paragraphedeliste"/>
              <w:numPr>
                <w:ilvl w:val="0"/>
                <w:numId w:val="46"/>
              </w:num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shd w:val="clear" w:color="auto" w:fill="auto"/>
            <w:vAlign w:val="center"/>
          </w:tcPr>
          <w:p w:rsidR="00703DF4" w:rsidRPr="00C33DF6" w:rsidRDefault="00703DF4" w:rsidP="00703DF4">
            <w:pPr>
              <w:tabs>
                <w:tab w:val="left" w:pos="3010"/>
              </w:tabs>
              <w:bidi/>
              <w:ind w:left="141"/>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6"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p>
        </w:tc>
        <w:tc>
          <w:tcPr>
            <w:tcW w:w="447" w:type="dxa"/>
            <w:vAlign w:val="center"/>
          </w:tcPr>
          <w:p w:rsidR="00703DF4" w:rsidRPr="00C33DF6" w:rsidRDefault="00703DF4" w:rsidP="00703DF4">
            <w:pPr>
              <w:tabs>
                <w:tab w:val="left" w:pos="3010"/>
              </w:tabs>
              <w:bidi/>
              <w:jc w:val="center"/>
              <w:rPr>
                <w:rFonts w:asciiTheme="minorBidi" w:hAnsiTheme="minorBidi"/>
                <w:b/>
                <w:bCs/>
                <w:sz w:val="28"/>
                <w:szCs w:val="28"/>
                <w:rtl/>
                <w:lang w:val="en-US" w:bidi="ar-DZ"/>
              </w:rPr>
            </w:pPr>
            <w:r w:rsidRPr="00C33DF6">
              <w:rPr>
                <w:rFonts w:asciiTheme="minorBidi" w:hAnsiTheme="minorBidi"/>
                <w:b/>
                <w:bCs/>
                <w:color w:val="FF0000"/>
                <w:sz w:val="28"/>
                <w:szCs w:val="28"/>
                <w:rtl/>
                <w:lang w:val="en-US" w:bidi="ar-DZ"/>
              </w:rPr>
              <w:t>ب</w:t>
            </w:r>
          </w:p>
        </w:tc>
      </w:tr>
    </w:tbl>
    <w:p w:rsidR="00703DF4" w:rsidRDefault="00703DF4" w:rsidP="00703DF4">
      <w:pPr>
        <w:tabs>
          <w:tab w:val="left" w:pos="3010"/>
        </w:tabs>
        <w:bidi/>
        <w:rPr>
          <w:lang w:val="en-US" w:bidi="ar-DZ"/>
        </w:rPr>
      </w:pPr>
      <w:r>
        <w:rPr>
          <w:rFonts w:hint="cs"/>
          <w:noProof/>
          <w:rtl/>
          <w:lang w:eastAsia="fr-FR"/>
        </w:rPr>
        <mc:AlternateContent>
          <mc:Choice Requires="wps">
            <w:drawing>
              <wp:anchor distT="0" distB="0" distL="114300" distR="114300" simplePos="0" relativeHeight="251757568" behindDoc="0" locked="0" layoutInCell="1" allowOverlap="1" wp14:anchorId="18F1F416" wp14:editId="152DA173">
                <wp:simplePos x="0" y="0"/>
                <wp:positionH relativeFrom="column">
                  <wp:posOffset>811530</wp:posOffset>
                </wp:positionH>
                <wp:positionV relativeFrom="paragraph">
                  <wp:posOffset>645160</wp:posOffset>
                </wp:positionV>
                <wp:extent cx="4223385" cy="95250"/>
                <wp:effectExtent l="19050" t="171450" r="24765" b="171450"/>
                <wp:wrapNone/>
                <wp:docPr id="201" name="Rectangle 201"/>
                <wp:cNvGraphicFramePr/>
                <a:graphic xmlns:a="http://schemas.openxmlformats.org/drawingml/2006/main">
                  <a:graphicData uri="http://schemas.microsoft.com/office/word/2010/wordprocessingShape">
                    <wps:wsp>
                      <wps:cNvSpPr/>
                      <wps:spPr>
                        <a:xfrm rot="21364533">
                          <a:off x="0" y="0"/>
                          <a:ext cx="4223385" cy="95250"/>
                        </a:xfrm>
                        <a:prstGeom prst="rect">
                          <a:avLst/>
                        </a:prstGeom>
                        <a:noFill/>
                        <a:ln w="1270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1" o:spid="_x0000_s1026" style="position:absolute;margin-left:63.9pt;margin-top:50.8pt;width:332.55pt;height:7.5pt;rotation:-257193fd;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" filled="f" strokecolor="#0070c0" strokeweight="1pt"/>
            </w:pict>
          </mc:Fallback>
        </mc:AlternateContent>
      </w:r>
      <w:r w:rsidRPr="00D5282F">
        <w:rPr>
          <w:rFonts w:hint="cs"/>
          <w:noProof/>
          <w:rtl/>
          <w:lang w:eastAsia="fr-FR"/>
        </w:rPr>
        <mc:AlternateContent>
          <mc:Choice Requires="wps">
            <w:drawing>
              <wp:anchor distT="0" distB="0" distL="114300" distR="114300" simplePos="0" relativeHeight="251749376" behindDoc="0" locked="0" layoutInCell="1" allowOverlap="1" wp14:anchorId="129767C3" wp14:editId="5574530B">
                <wp:simplePos x="0" y="0"/>
                <wp:positionH relativeFrom="column">
                  <wp:posOffset>2722245</wp:posOffset>
                </wp:positionH>
                <wp:positionV relativeFrom="paragraph">
                  <wp:posOffset>741045</wp:posOffset>
                </wp:positionV>
                <wp:extent cx="400050" cy="219075"/>
                <wp:effectExtent l="0" t="0" r="19050" b="28575"/>
                <wp:wrapNone/>
                <wp:docPr id="202" name="Triangle isocèle 202"/>
                <wp:cNvGraphicFramePr/>
                <a:graphic xmlns:a="http://schemas.openxmlformats.org/drawingml/2006/main">
                  <a:graphicData uri="http://schemas.microsoft.com/office/word/2010/wordprocessingShape">
                    <wps:wsp>
                      <wps:cNvSpPr/>
                      <wps:spPr>
                        <a:xfrm>
                          <a:off x="0" y="0"/>
                          <a:ext cx="400050" cy="219075"/>
                        </a:xfrm>
                        <a:prstGeom prst="triangle">
                          <a:avLst/>
                        </a:prstGeom>
                        <a:noFill/>
                        <a:ln w="1270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Triangle isocèle 202" o:spid="_x0000_s1026" type="#_x0000_t5" style="position:absolute;margin-left:214.35pt;margin-top:58.35pt;width:31.5pt;height:17.25pt;z-index:251749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" filled="f" strokecolor="#0070c0" strokeweight="1pt"/>
            </w:pict>
          </mc:Fallback>
        </mc:AlternateContent>
      </w:r>
      <w:r w:rsidRPr="005F5371">
        <w:rPr>
          <w:noProof/>
          <w:rtl/>
          <w:lang w:eastAsia="fr-FR"/>
        </w:rPr>
        <mc:AlternateContent>
          <mc:Choice Requires="wps">
            <w:drawing>
              <wp:anchor distT="0" distB="0" distL="114300" distR="114300" simplePos="0" relativeHeight="251758592" behindDoc="0" locked="0" layoutInCell="1" allowOverlap="1" wp14:anchorId="6AA2B778" wp14:editId="7F6554B3">
                <wp:simplePos x="0" y="0"/>
                <wp:positionH relativeFrom="column">
                  <wp:posOffset>816610</wp:posOffset>
                </wp:positionH>
                <wp:positionV relativeFrom="paragraph">
                  <wp:posOffset>377825</wp:posOffset>
                </wp:positionV>
                <wp:extent cx="429895" cy="394335"/>
                <wp:effectExtent l="0" t="0" r="27305" b="24765"/>
                <wp:wrapNone/>
                <wp:docPr id="203" name="Ellipse 203"/>
                <wp:cNvGraphicFramePr/>
                <a:graphic xmlns:a="http://schemas.openxmlformats.org/drawingml/2006/main">
                  <a:graphicData uri="http://schemas.microsoft.com/office/word/2010/wordprocessingShape">
                    <wps:wsp>
                      <wps:cNvSpPr/>
                      <wps:spPr>
                        <a:xfrm>
                          <a:off x="0" y="0"/>
                          <a:ext cx="429895" cy="394335"/>
                        </a:xfrm>
                        <a:prstGeom prst="ellipse">
                          <a:avLst/>
                        </a:prstGeom>
                        <a:ln w="12700">
                          <a:solidFill>
                            <a:srgbClr val="0070C0"/>
                          </a:solidFill>
                        </a:ln>
                      </wps:spPr>
                      <wps:style>
                        <a:lnRef idx="2">
                          <a:schemeClr val="dk1"/>
                        </a:lnRef>
                        <a:fillRef idx="1">
                          <a:schemeClr val="lt1"/>
                        </a:fillRef>
                        <a:effectRef idx="0">
                          <a:schemeClr val="dk1"/>
                        </a:effectRef>
                        <a:fontRef idx="minor">
                          <a:schemeClr val="dk1"/>
                        </a:fontRef>
                      </wps:style>
                      <wps:txbx>
                        <w:txbxContent>
                          <w:p w:rsidR="00D13702" w:rsidRPr="00D5282F" w:rsidRDefault="00D13702" w:rsidP="00703DF4">
                            <w:pPr>
                              <w:bidi/>
                              <w:spacing w:after="0" w:line="240" w:lineRule="auto"/>
                              <w:jc w:val="center"/>
                              <w:rPr>
                                <w:color w:val="0070C0"/>
                                <w:lang w:bidi="ar-DZ"/>
                              </w:rPr>
                            </w:pPr>
                            <w:r w:rsidRPr="00C53714">
                              <w:rPr>
                                <w:rFonts w:hint="cs"/>
                                <w:b/>
                                <w:bCs/>
                                <w:color w:val="FF0000"/>
                                <w:sz w:val="28"/>
                                <w:szCs w:val="28"/>
                                <w:rtl/>
                                <w:lang w:val="en-US" w:bidi="ar-DZ"/>
                              </w:rPr>
                              <w:t>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3" o:spid="_x0000_s1071" style="position:absolute;left:0;text-align:left;margin-left:64.3pt;margin-top:29.75pt;width:33.85pt;height:31.0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" fillcolor="white [3201]" strokecolor="#0070c0" strokeweight="1pt">
                <v:textbox>
                  <w:txbxContent>
                    <w:p w:rsidR="00D13702" w:rsidRPr="00D5282F" w:rsidRDefault="00D13702" w:rsidP="00703DF4">
                      <w:pPr>
                        <w:bidi/>
                        <w:spacing w:after="0" w:line="240" w:lineRule="auto"/>
                        <w:jc w:val="center"/>
                        <w:rPr>
                          <w:color w:val="0070C0"/>
                          <w:lang w:bidi="ar-DZ"/>
                        </w:rPr>
                      </w:pPr>
                      <w:r w:rsidRPr="00C53714">
                        <w:rPr>
                          <w:rFonts w:hint="cs"/>
                          <w:b/>
                          <w:bCs/>
                          <w:color w:val="FF0000"/>
                          <w:sz w:val="28"/>
                          <w:szCs w:val="28"/>
                          <w:rtl/>
                          <w:lang w:val="en-US" w:bidi="ar-DZ"/>
                        </w:rPr>
                        <w:t>ب</w:t>
                      </w:r>
                    </w:p>
                  </w:txbxContent>
                </v:textbox>
              </v:oval>
            </w:pict>
          </mc:Fallback>
        </mc:AlternateContent>
      </w:r>
      <w:r w:rsidRPr="005F5371">
        <w:rPr>
          <w:noProof/>
          <w:rtl/>
          <w:lang w:eastAsia="fr-FR"/>
        </w:rPr>
        <mc:AlternateContent>
          <mc:Choice Requires="wps">
            <w:drawing>
              <wp:anchor distT="0" distB="0" distL="114300" distR="114300" simplePos="0" relativeHeight="251759616" behindDoc="0" locked="0" layoutInCell="1" allowOverlap="1" wp14:anchorId="6D6F5C9F" wp14:editId="64413ADE">
                <wp:simplePos x="0" y="0"/>
                <wp:positionH relativeFrom="column">
                  <wp:posOffset>4591685</wp:posOffset>
                </wp:positionH>
                <wp:positionV relativeFrom="paragraph">
                  <wp:posOffset>118745</wp:posOffset>
                </wp:positionV>
                <wp:extent cx="429895" cy="394335"/>
                <wp:effectExtent l="0" t="0" r="27305" b="24765"/>
                <wp:wrapNone/>
                <wp:docPr id="204" name="Ellipse 204"/>
                <wp:cNvGraphicFramePr/>
                <a:graphic xmlns:a="http://schemas.openxmlformats.org/drawingml/2006/main">
                  <a:graphicData uri="http://schemas.microsoft.com/office/word/2010/wordprocessingShape">
                    <wps:wsp>
                      <wps:cNvSpPr/>
                      <wps:spPr>
                        <a:xfrm>
                          <a:off x="0" y="0"/>
                          <a:ext cx="429895" cy="394335"/>
                        </a:xfrm>
                        <a:prstGeom prst="ellipse">
                          <a:avLst/>
                        </a:prstGeom>
                        <a:ln w="12700">
                          <a:solidFill>
                            <a:srgbClr val="0070C0"/>
                          </a:solidFill>
                        </a:ln>
                      </wps:spPr>
                      <wps:style>
                        <a:lnRef idx="2">
                          <a:schemeClr val="dk1"/>
                        </a:lnRef>
                        <a:fillRef idx="1">
                          <a:schemeClr val="lt1"/>
                        </a:fillRef>
                        <a:effectRef idx="0">
                          <a:schemeClr val="dk1"/>
                        </a:effectRef>
                        <a:fontRef idx="minor">
                          <a:schemeClr val="dk1"/>
                        </a:fontRef>
                      </wps:style>
                      <wps:txbx>
                        <w:txbxContent>
                          <w:p w:rsidR="00D13702" w:rsidRPr="00D5282F" w:rsidRDefault="00D13702" w:rsidP="00703DF4">
                            <w:pPr>
                              <w:bidi/>
                              <w:spacing w:after="0" w:line="240" w:lineRule="auto"/>
                              <w:jc w:val="center"/>
                              <w:rPr>
                                <w:color w:val="0070C0"/>
                                <w:lang w:bidi="ar-DZ"/>
                              </w:rPr>
                            </w:pPr>
                            <w:r w:rsidRPr="00C53714">
                              <w:rPr>
                                <w:rFonts w:hint="cs"/>
                                <w:b/>
                                <w:bCs/>
                                <w:color w:val="0070C0"/>
                                <w:sz w:val="28"/>
                                <w:szCs w:val="28"/>
                                <w:rtl/>
                                <w:lang w:val="en-US" w:bidi="ar-DZ"/>
                              </w:rPr>
                              <w:t>أ</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4" o:spid="_x0000_s1072" style="position:absolute;left:0;text-align:left;margin-left:361.55pt;margin-top:9.35pt;width:33.85pt;height:31.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" fillcolor="white [3201]" strokecolor="#0070c0" strokeweight="1pt">
                <v:textbox>
                  <w:txbxContent>
                    <w:p w:rsidR="00D13702" w:rsidRPr="00D5282F" w:rsidRDefault="00D13702" w:rsidP="00703DF4">
                      <w:pPr>
                        <w:bidi/>
                        <w:spacing w:after="0" w:line="240" w:lineRule="auto"/>
                        <w:jc w:val="center"/>
                        <w:rPr>
                          <w:color w:val="0070C0"/>
                          <w:lang w:bidi="ar-DZ"/>
                        </w:rPr>
                      </w:pPr>
                      <w:r w:rsidRPr="00C53714">
                        <w:rPr>
                          <w:rFonts w:hint="cs"/>
                          <w:b/>
                          <w:bCs/>
                          <w:color w:val="0070C0"/>
                          <w:sz w:val="28"/>
                          <w:szCs w:val="28"/>
                          <w:rtl/>
                          <w:lang w:val="en-US" w:bidi="ar-DZ"/>
                        </w:rPr>
                        <w:t>أ</w:t>
                      </w:r>
                    </w:p>
                  </w:txbxContent>
                </v:textbox>
              </v:oval>
            </w:pict>
          </mc:Fallback>
        </mc:AlternateContent>
      </w:r>
      <w:r w:rsidRPr="00CB614F">
        <w:rPr>
          <w:rFonts w:hint="cs"/>
          <w:rtl/>
        </w:rPr>
        <w:t xml:space="preserve"> </w:t>
      </w:r>
    </w:p>
    <w:p w:rsidR="00703DF4" w:rsidRDefault="00703DF4" w:rsidP="00703DF4">
      <w:pPr>
        <w:bidi/>
        <w:rPr>
          <w:rtl/>
          <w:lang w:bidi="ar-DZ"/>
        </w:rPr>
      </w:pPr>
    </w:p>
    <w:p w:rsidR="00703DF4" w:rsidRDefault="00703DF4" w:rsidP="00703DF4">
      <w:pPr>
        <w:bidi/>
        <w:spacing w:after="0" w:line="240" w:lineRule="auto"/>
        <w:rPr>
          <w:rFonts w:ascii="Simplified Arabic" w:hAnsi="Simplified Arabic" w:cs="Simplified Arabic"/>
          <w:b/>
          <w:bCs/>
          <w:color w:val="000000" w:themeColor="text1"/>
          <w:sz w:val="24"/>
          <w:szCs w:val="24"/>
          <w:rtl/>
          <w:lang w:val="en-US" w:bidi="ar-DZ"/>
        </w:rPr>
      </w:pPr>
    </w:p>
    <w:p w:rsidR="00703DF4" w:rsidRDefault="00703DF4" w:rsidP="00703DF4">
      <w:pPr>
        <w:bidi/>
        <w:spacing w:after="0" w:line="240" w:lineRule="auto"/>
        <w:rPr>
          <w:rFonts w:ascii="Simplified Arabic" w:hAnsi="Simplified Arabic" w:cs="Simplified Arabic"/>
          <w:b/>
          <w:bCs/>
          <w:color w:val="000000" w:themeColor="text1"/>
          <w:sz w:val="24"/>
          <w:szCs w:val="24"/>
          <w:rtl/>
          <w:lang w:val="en-US" w:bidi="ar-DZ"/>
        </w:rPr>
      </w:pPr>
    </w:p>
    <w:p w:rsidR="00703DF4" w:rsidRDefault="00703DF4" w:rsidP="00703DF4">
      <w:pPr>
        <w:bidi/>
        <w:spacing w:after="0" w:line="240" w:lineRule="auto"/>
        <w:rPr>
          <w:rFonts w:ascii="Simplified Arabic" w:hAnsi="Simplified Arabic" w:cs="Simplified Arabic"/>
          <w:b/>
          <w:bCs/>
          <w:color w:val="000000" w:themeColor="text1"/>
          <w:sz w:val="24"/>
          <w:szCs w:val="24"/>
          <w:rtl/>
          <w:lang w:val="en-US" w:bidi="ar-DZ"/>
        </w:rPr>
      </w:pPr>
    </w:p>
    <w:p w:rsidR="00703DF4" w:rsidRPr="004355AD" w:rsidRDefault="00703DF4" w:rsidP="00703DF4">
      <w:pPr>
        <w:bidi/>
        <w:spacing w:after="0" w:line="240" w:lineRule="auto"/>
        <w:rPr>
          <w:rFonts w:ascii="Simplified Arabic" w:hAnsi="Simplified Arabic" w:cs="Simplified Arabic"/>
          <w:b/>
          <w:bCs/>
          <w:color w:val="000000" w:themeColor="text1"/>
          <w:sz w:val="24"/>
          <w:szCs w:val="24"/>
          <w:lang w:val="en-US" w:bidi="ar-DZ"/>
        </w:rPr>
      </w:pPr>
      <w:r w:rsidRPr="004355AD">
        <w:rPr>
          <w:rFonts w:ascii="Simplified Arabic" w:hAnsi="Simplified Arabic" w:cs="Simplified Arabic"/>
          <w:b/>
          <w:bCs/>
          <w:color w:val="000000" w:themeColor="text1"/>
          <w:sz w:val="24"/>
          <w:szCs w:val="24"/>
          <w:rtl/>
          <w:lang w:val="en-US" w:bidi="ar-DZ"/>
        </w:rPr>
        <w:lastRenderedPageBreak/>
        <w:t xml:space="preserve">ثانيًا: المقارنة الزوجية </w:t>
      </w:r>
      <w:r>
        <w:rPr>
          <w:rFonts w:ascii="Simplified Arabic" w:hAnsi="Simplified Arabic" w:cs="Simplified Arabic" w:hint="cs"/>
          <w:b/>
          <w:bCs/>
          <w:color w:val="000000" w:themeColor="text1"/>
          <w:sz w:val="24"/>
          <w:szCs w:val="24"/>
          <w:rtl/>
          <w:lang w:val="en-US" w:bidi="ar-DZ"/>
        </w:rPr>
        <w:t>لعوامل</w:t>
      </w:r>
      <w:r w:rsidRPr="004355AD">
        <w:rPr>
          <w:rFonts w:ascii="Simplified Arabic" w:hAnsi="Simplified Arabic" w:cs="Simplified Arabic"/>
          <w:b/>
          <w:bCs/>
          <w:color w:val="000000" w:themeColor="text1"/>
          <w:sz w:val="24"/>
          <w:szCs w:val="24"/>
          <w:rtl/>
          <w:lang w:val="en-US" w:bidi="ar-DZ"/>
        </w:rPr>
        <w:t xml:space="preserve"> تقييم المرونة</w:t>
      </w:r>
    </w:p>
    <w:p w:rsidR="00703DF4" w:rsidRDefault="00703DF4" w:rsidP="00703DF4">
      <w:pPr>
        <w:bidi/>
        <w:spacing w:after="0"/>
        <w:rPr>
          <w:rFonts w:ascii="Simplified Arabic" w:hAnsi="Simplified Arabic" w:cs="Simplified Arabic"/>
          <w:sz w:val="24"/>
          <w:szCs w:val="24"/>
          <w:rtl/>
          <w:lang w:val="en-US" w:bidi="ar-DZ"/>
        </w:rPr>
      </w:pPr>
      <w:r w:rsidRPr="00F32543">
        <w:rPr>
          <w:rFonts w:ascii="Simplified Arabic" w:hAnsi="Simplified Arabic" w:cs="Simplified Arabic"/>
          <w:sz w:val="24"/>
          <w:szCs w:val="24"/>
          <w:rtl/>
          <w:lang w:val="en-US" w:bidi="ar-DZ"/>
        </w:rPr>
        <w:t>هل يمكنك من فضلك إجراء المقارنة الزوجية التالية، لتحديد نظام الترجيح المطبق في السياق المحلي لمدينة بوسعادة؟</w:t>
      </w:r>
    </w:p>
    <w:p w:rsidR="00703DF4" w:rsidRPr="00F32543" w:rsidRDefault="00703DF4" w:rsidP="001D0548">
      <w:pPr>
        <w:pStyle w:val="Paragraphedeliste"/>
        <w:numPr>
          <w:ilvl w:val="0"/>
          <w:numId w:val="50"/>
        </w:numPr>
        <w:bidi/>
        <w:spacing w:after="0" w:line="240" w:lineRule="auto"/>
        <w:rPr>
          <w:rFonts w:ascii="Simplified Arabic" w:hAnsi="Simplified Arabic" w:cs="Simplified Arabic"/>
          <w:sz w:val="24"/>
          <w:szCs w:val="24"/>
          <w:rtl/>
          <w:lang w:val="en-US" w:bidi="ar-DZ"/>
        </w:rPr>
      </w:pPr>
      <w:r w:rsidRPr="00F32543">
        <w:rPr>
          <w:rFonts w:ascii="Simplified Arabic" w:hAnsi="Simplified Arabic" w:cs="Simplified Arabic"/>
          <w:sz w:val="24"/>
          <w:szCs w:val="24"/>
          <w:rtl/>
          <w:lang w:val="en-US" w:bidi="ar-DZ"/>
        </w:rPr>
        <w:t xml:space="preserve">يرجى تأكيد المقارنة الزوجية </w:t>
      </w:r>
      <w:r>
        <w:rPr>
          <w:rFonts w:ascii="Simplified Arabic" w:hAnsi="Simplified Arabic" w:cs="Simplified Arabic" w:hint="cs"/>
          <w:sz w:val="24"/>
          <w:szCs w:val="24"/>
          <w:rtl/>
          <w:lang w:val="en-US" w:bidi="ar-DZ"/>
        </w:rPr>
        <w:t>لمعيار</w:t>
      </w:r>
      <w:r w:rsidRPr="00F32543">
        <w:rPr>
          <w:rFonts w:ascii="Simplified Arabic" w:hAnsi="Simplified Arabic" w:cs="Simplified Arabic"/>
          <w:sz w:val="24"/>
          <w:szCs w:val="24"/>
          <w:rtl/>
          <w:lang w:val="en-US" w:bidi="ar-DZ"/>
        </w:rPr>
        <w:t xml:space="preserve"> </w:t>
      </w:r>
      <w:r w:rsidRPr="00F32543">
        <w:rPr>
          <w:rStyle w:val="y2iqfc"/>
          <w:rFonts w:ascii="Simplified Arabic" w:hAnsi="Simplified Arabic" w:cs="Simplified Arabic"/>
          <w:color w:val="202124"/>
          <w:sz w:val="24"/>
          <w:szCs w:val="24"/>
          <w:rtl/>
          <w:lang w:val="en-US" w:bidi="ar"/>
        </w:rPr>
        <w:t>التكفل الطبي</w:t>
      </w:r>
      <w:r w:rsidRPr="00F32543">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بمعايير</w:t>
      </w:r>
      <w:r w:rsidRPr="00F32543">
        <w:rPr>
          <w:rFonts w:ascii="Simplified Arabic" w:hAnsi="Simplified Arabic" w:cs="Simplified Arabic"/>
          <w:sz w:val="24"/>
          <w:szCs w:val="24"/>
          <w:rtl/>
          <w:lang w:val="en-US" w:bidi="ar-DZ"/>
        </w:rPr>
        <w:t xml:space="preserve"> المرونة الحضرية الأخرى.</w:t>
      </w:r>
    </w:p>
    <w:tbl>
      <w:tblPr>
        <w:tblStyle w:val="Grilledutableau"/>
        <w:bidiVisual/>
        <w:tblW w:w="8984" w:type="dxa"/>
        <w:jc w:val="center"/>
        <w:tblInd w:w="279" w:type="dxa"/>
        <w:tblLook w:val="04A0" w:firstRow="1" w:lastRow="0" w:firstColumn="1" w:lastColumn="0" w:noHBand="0" w:noVBand="1"/>
      </w:tblPr>
      <w:tblGrid>
        <w:gridCol w:w="1419"/>
        <w:gridCol w:w="363"/>
        <w:gridCol w:w="363"/>
        <w:gridCol w:w="364"/>
        <w:gridCol w:w="363"/>
        <w:gridCol w:w="364"/>
        <w:gridCol w:w="363"/>
        <w:gridCol w:w="363"/>
        <w:gridCol w:w="364"/>
        <w:gridCol w:w="363"/>
        <w:gridCol w:w="364"/>
        <w:gridCol w:w="363"/>
        <w:gridCol w:w="363"/>
        <w:gridCol w:w="364"/>
        <w:gridCol w:w="363"/>
        <w:gridCol w:w="364"/>
        <w:gridCol w:w="363"/>
        <w:gridCol w:w="364"/>
        <w:gridCol w:w="1387"/>
      </w:tblGrid>
      <w:tr w:rsidR="00703DF4" w:rsidRPr="00F32543" w:rsidTr="00703DF4">
        <w:trPr>
          <w:jc w:val="center"/>
        </w:trPr>
        <w:tc>
          <w:tcPr>
            <w:tcW w:w="8984"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w:t>
            </w:r>
            <w:r>
              <w:rPr>
                <w:rFonts w:ascii="Simplified Arabic" w:hAnsi="Simplified Arabic" w:cs="Simplified Arabic" w:hint="cs"/>
                <w:b/>
                <w:bCs/>
                <w:sz w:val="20"/>
                <w:szCs w:val="20"/>
                <w:rtl/>
                <w:lang w:val="en-US" w:bidi="ar-DZ"/>
              </w:rPr>
              <w:t>معقولة</w:t>
            </w:r>
            <w:r w:rsidRPr="00F32543">
              <w:rPr>
                <w:rFonts w:ascii="Simplified Arabic" w:hAnsi="Simplified Arabic" w:cs="Simplified Arabic"/>
                <w:b/>
                <w:bCs/>
                <w:sz w:val="20"/>
                <w:szCs w:val="20"/>
                <w:rtl/>
                <w:lang w:val="en-US" w:bidi="ar-DZ"/>
              </w:rPr>
              <w:t xml:space="preserve">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w:t>
            </w:r>
            <w:r>
              <w:rPr>
                <w:rFonts w:ascii="Simplified Arabic" w:hAnsi="Simplified Arabic" w:cs="Simplified Arabic" w:hint="cs"/>
                <w:b/>
                <w:bCs/>
                <w:sz w:val="20"/>
                <w:szCs w:val="20"/>
                <w:rtl/>
                <w:lang w:val="en-US" w:bidi="ar-DZ"/>
              </w:rPr>
              <w:t>معقولة</w:t>
            </w:r>
            <w:r w:rsidRPr="00F32543">
              <w:rPr>
                <w:rFonts w:ascii="Simplified Arabic" w:hAnsi="Simplified Arabic" w:cs="Simplified Arabic"/>
                <w:b/>
                <w:bCs/>
                <w:sz w:val="20"/>
                <w:szCs w:val="20"/>
                <w:rtl/>
                <w:lang w:val="en-US" w:bidi="ar-DZ"/>
              </w:rPr>
              <w:t xml:space="preserve">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703DF4">
        <w:trPr>
          <w:jc w:val="center"/>
        </w:trPr>
        <w:tc>
          <w:tcPr>
            <w:tcW w:w="8984"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52448" behindDoc="0" locked="0" layoutInCell="1" allowOverlap="1" wp14:anchorId="547248BE" wp14:editId="3F5D89C6">
                      <wp:simplePos x="0" y="0"/>
                      <wp:positionH relativeFrom="column">
                        <wp:posOffset>2693035</wp:posOffset>
                      </wp:positionH>
                      <wp:positionV relativeFrom="paragraph">
                        <wp:posOffset>36195</wp:posOffset>
                      </wp:positionV>
                      <wp:extent cx="149860" cy="129540"/>
                      <wp:effectExtent l="0" t="0" r="21590" b="22860"/>
                      <wp:wrapNone/>
                      <wp:docPr id="205" name="Ellipse 205"/>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5" o:spid="_x0000_s1026" style="position:absolute;margin-left:212.05pt;margin-top:2.85pt;width:11.8pt;height:10.2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51424" behindDoc="0" locked="0" layoutInCell="1" allowOverlap="1" wp14:anchorId="027B483A" wp14:editId="4E8E7DA2">
                      <wp:simplePos x="0" y="0"/>
                      <wp:positionH relativeFrom="column">
                        <wp:posOffset>803910</wp:posOffset>
                      </wp:positionH>
                      <wp:positionV relativeFrom="paragraph">
                        <wp:posOffset>112395</wp:posOffset>
                      </wp:positionV>
                      <wp:extent cx="3905250" cy="0"/>
                      <wp:effectExtent l="57150" t="76200" r="19050" b="133350"/>
                      <wp:wrapNone/>
                      <wp:docPr id="206" name="Connecteur droit avec flèche 206"/>
                      <wp:cNvGraphicFramePr/>
                      <a:graphic xmlns:a="http://schemas.openxmlformats.org/drawingml/2006/main">
                        <a:graphicData uri="http://schemas.microsoft.com/office/word/2010/wordprocessingShape">
                          <wps:wsp>
                            <wps:cNvCnPr/>
                            <wps:spPr>
                              <a:xfrm>
                                <a:off x="0" y="0"/>
                                <a:ext cx="390525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06" o:spid="_x0000_s1026" type="#_x0000_t32" style="position:absolute;margin-left:63.3pt;margin-top:8.85pt;width:307.5pt;height: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" strokecolor="red" strokeweight="1pt">
                      <v:stroke startarrow="block" endarrow="block"/>
                      <v:shadow on="t" color="black" opacity="24903f" origin=",.5" offset="0,.55556mm"/>
                    </v:shape>
                  </w:pict>
                </mc:Fallback>
              </mc:AlternateConten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4"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38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37357A">
              <w:rPr>
                <w:rFonts w:ascii="Simplified Arabic" w:eastAsia="Times New Roman" w:hAnsi="Simplified Arabic" w:cs="Simplified Arabic" w:hint="cs"/>
                <w:b/>
                <w:sz w:val="20"/>
                <w:szCs w:val="20"/>
                <w:rtl/>
                <w:lang w:val="en-US" w:eastAsia="fr-FR"/>
              </w:rPr>
              <w:t>معيار</w:t>
            </w:r>
            <w:r w:rsidRPr="00F32543">
              <w:rPr>
                <w:rStyle w:val="y2iqfc"/>
                <w:rFonts w:ascii="Simplified Arabic" w:hAnsi="Simplified Arabic" w:cs="Simplified Arabic"/>
                <w:color w:val="202124"/>
                <w:sz w:val="20"/>
                <w:szCs w:val="20"/>
                <w:rtl/>
                <w:lang w:val="en-US" w:bidi="ar"/>
              </w:rPr>
              <w:t xml:space="preserve"> التكفل الطبي</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الإنقاذ والإجلاء</w: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37357A">
              <w:rPr>
                <w:rFonts w:ascii="Simplified Arabic" w:eastAsia="Times New Roman" w:hAnsi="Simplified Arabic" w:cs="Simplified Arabic" w:hint="cs"/>
                <w:b/>
                <w:sz w:val="20"/>
                <w:szCs w:val="20"/>
                <w:rtl/>
                <w:lang w:val="en-US" w:eastAsia="fr-FR"/>
              </w:rPr>
              <w:t>معيار</w:t>
            </w:r>
            <w:r w:rsidRPr="00F32543">
              <w:rPr>
                <w:rStyle w:val="y2iqfc"/>
                <w:rFonts w:ascii="Simplified Arabic" w:hAnsi="Simplified Arabic" w:cs="Simplified Arabic"/>
                <w:color w:val="202124"/>
                <w:sz w:val="20"/>
                <w:szCs w:val="20"/>
                <w:rtl/>
                <w:lang w:val="en-US" w:bidi="ar"/>
              </w:rPr>
              <w:t xml:space="preserve"> التكفل الطبي</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Pr="0037357A">
              <w:rPr>
                <w:rFonts w:ascii="Simplified Arabic" w:eastAsia="Times New Roman" w:hAnsi="Simplified Arabic" w:cs="Simplified Arabic" w:hint="cs"/>
                <w:b/>
                <w:sz w:val="20"/>
                <w:szCs w:val="20"/>
                <w:rtl/>
                <w:lang w:val="en-US" w:eastAsia="fr-FR"/>
              </w:rPr>
              <w:t>توفير</w:t>
            </w:r>
            <w:r w:rsidRPr="0037357A">
              <w:rPr>
                <w:rFonts w:ascii="Simplified Arabic" w:eastAsia="Times New Roman" w:hAnsi="Simplified Arabic" w:cs="Simplified Arabic"/>
                <w:b/>
                <w:sz w:val="20"/>
                <w:szCs w:val="20"/>
                <w:rtl/>
                <w:lang w:val="en-US" w:eastAsia="fr-FR"/>
              </w:rPr>
              <w:t xml:space="preserve"> الأمن</w: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37357A">
              <w:rPr>
                <w:rFonts w:ascii="Simplified Arabic" w:eastAsia="Times New Roman" w:hAnsi="Simplified Arabic" w:cs="Simplified Arabic" w:hint="cs"/>
                <w:b/>
                <w:sz w:val="20"/>
                <w:szCs w:val="20"/>
                <w:rtl/>
                <w:lang w:val="en-US" w:eastAsia="fr-FR"/>
              </w:rPr>
              <w:t>معيار</w:t>
            </w:r>
            <w:r w:rsidRPr="00F32543">
              <w:rPr>
                <w:rStyle w:val="y2iqfc"/>
                <w:rFonts w:ascii="Simplified Arabic" w:hAnsi="Simplified Arabic" w:cs="Simplified Arabic"/>
                <w:color w:val="202124"/>
                <w:sz w:val="20"/>
                <w:szCs w:val="20"/>
                <w:rtl/>
                <w:lang w:val="en-US" w:bidi="ar"/>
              </w:rPr>
              <w:t xml:space="preserve"> التكفل الطبي</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الايواء المؤقت</w: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37357A">
              <w:rPr>
                <w:rFonts w:ascii="Simplified Arabic" w:eastAsia="Times New Roman" w:hAnsi="Simplified Arabic" w:cs="Simplified Arabic" w:hint="cs"/>
                <w:b/>
                <w:sz w:val="20"/>
                <w:szCs w:val="20"/>
                <w:rtl/>
                <w:lang w:val="en-US" w:eastAsia="fr-FR"/>
              </w:rPr>
              <w:t>معيار</w:t>
            </w:r>
            <w:r w:rsidRPr="00F32543">
              <w:rPr>
                <w:rStyle w:val="y2iqfc"/>
                <w:rFonts w:ascii="Simplified Arabic" w:hAnsi="Simplified Arabic" w:cs="Simplified Arabic"/>
                <w:color w:val="202124"/>
                <w:sz w:val="20"/>
                <w:szCs w:val="20"/>
                <w:rtl/>
                <w:lang w:val="en-US" w:bidi="ar"/>
              </w:rPr>
              <w:t xml:space="preserve"> التكفل الطبي</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التضامن والتموين</w: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37357A">
              <w:rPr>
                <w:rFonts w:ascii="Simplified Arabic" w:eastAsia="Times New Roman" w:hAnsi="Simplified Arabic" w:cs="Simplified Arabic" w:hint="cs"/>
                <w:b/>
                <w:sz w:val="20"/>
                <w:szCs w:val="20"/>
                <w:rtl/>
                <w:lang w:val="en-US" w:eastAsia="fr-FR"/>
              </w:rPr>
              <w:t>معيار</w:t>
            </w:r>
            <w:r w:rsidRPr="00F32543">
              <w:rPr>
                <w:rStyle w:val="y2iqfc"/>
                <w:rFonts w:ascii="Simplified Arabic" w:hAnsi="Simplified Arabic" w:cs="Simplified Arabic"/>
                <w:color w:val="202124"/>
                <w:sz w:val="20"/>
                <w:szCs w:val="20"/>
                <w:rtl/>
                <w:lang w:val="en-US" w:bidi="ar"/>
              </w:rPr>
              <w:t xml:space="preserve"> التكفل الطبي</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كثافة </w:t>
            </w:r>
            <w:r w:rsidRPr="0037357A">
              <w:rPr>
                <w:rFonts w:ascii="Simplified Arabic" w:eastAsia="Times New Roman" w:hAnsi="Simplified Arabic" w:cs="Simplified Arabic" w:hint="cs"/>
                <w:b/>
                <w:sz w:val="20"/>
                <w:szCs w:val="20"/>
                <w:rtl/>
                <w:lang w:val="en-US" w:eastAsia="fr-FR"/>
              </w:rPr>
              <w:t>البناء</w: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37357A">
              <w:rPr>
                <w:rFonts w:ascii="Simplified Arabic" w:eastAsia="Times New Roman" w:hAnsi="Simplified Arabic" w:cs="Simplified Arabic" w:hint="cs"/>
                <w:b/>
                <w:sz w:val="20"/>
                <w:szCs w:val="20"/>
                <w:rtl/>
                <w:lang w:val="en-US" w:eastAsia="fr-FR"/>
              </w:rPr>
              <w:t>معيار</w:t>
            </w:r>
            <w:r w:rsidRPr="00F32543">
              <w:rPr>
                <w:rStyle w:val="y2iqfc"/>
                <w:rFonts w:ascii="Simplified Arabic" w:hAnsi="Simplified Arabic" w:cs="Simplified Arabic"/>
                <w:color w:val="202124"/>
                <w:sz w:val="20"/>
                <w:szCs w:val="20"/>
                <w:rtl/>
                <w:lang w:val="en-US" w:bidi="ar"/>
              </w:rPr>
              <w:t xml:space="preserve"> التكفل الطبي</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6F1380" w:rsidRDefault="00CC39B7" w:rsidP="001435F9">
            <w:pPr>
              <w:widowControl w:val="0"/>
              <w:tabs>
                <w:tab w:val="right" w:pos="282"/>
              </w:tabs>
              <w:autoSpaceDE w:val="0"/>
              <w:autoSpaceDN w:val="0"/>
              <w:bidi/>
              <w:rPr>
                <w:rFonts w:ascii="Simplified Arabic" w:eastAsia="Times New Roman" w:hAnsi="Simplified Arabic" w:cs="Simplified Arabic"/>
                <w:b/>
                <w:sz w:val="20"/>
                <w:szCs w:val="20"/>
                <w:rtl/>
                <w:lang w:eastAsia="fr-FR" w:bidi="ar-DZ"/>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00E57B00" w:rsidRPr="00CC39B7">
              <w:rPr>
                <w:rFonts w:ascii="Simplified Arabic" w:eastAsia="Times New Roman" w:hAnsi="Simplified Arabic" w:cs="Simplified Arabic"/>
                <w:b/>
                <w:sz w:val="20"/>
                <w:szCs w:val="20"/>
                <w:rtl/>
                <w:lang w:val="en-US" w:eastAsia="fr-FR"/>
              </w:rPr>
              <w:t>عمق</w:t>
            </w:r>
            <w:r w:rsidR="00E57B00" w:rsidRPr="00CC39B7">
              <w:rPr>
                <w:rFonts w:ascii="Simplified Arabic" w:eastAsia="Times New Roman" w:hAnsi="Simplified Arabic" w:cs="Simplified Arabic"/>
                <w:b/>
                <w:sz w:val="20"/>
                <w:szCs w:val="20"/>
                <w:lang w:val="en-US" w:eastAsia="fr-FR"/>
              </w:rPr>
              <w:t xml:space="preserve"> </w:t>
            </w:r>
            <w:r w:rsidR="00E57B00" w:rsidRPr="00CC39B7">
              <w:rPr>
                <w:rFonts w:ascii="Simplified Arabic" w:eastAsia="Times New Roman" w:hAnsi="Simplified Arabic" w:cs="Simplified Arabic"/>
                <w:b/>
                <w:sz w:val="20"/>
                <w:szCs w:val="20"/>
                <w:rtl/>
                <w:lang w:val="en-US" w:eastAsia="fr-FR"/>
              </w:rPr>
              <w:t>الطرق الشريانية</w:t>
            </w:r>
          </w:p>
        </w:tc>
      </w:tr>
    </w:tbl>
    <w:p w:rsidR="00703DF4" w:rsidRPr="00F32543" w:rsidRDefault="00703DF4" w:rsidP="001D0548">
      <w:pPr>
        <w:pStyle w:val="Paragraphedeliste"/>
        <w:numPr>
          <w:ilvl w:val="0"/>
          <w:numId w:val="50"/>
        </w:numPr>
        <w:bidi/>
        <w:spacing w:before="240" w:after="0" w:line="240" w:lineRule="auto"/>
        <w:rPr>
          <w:rFonts w:ascii="Simplified Arabic" w:hAnsi="Simplified Arabic" w:cs="Simplified Arabic"/>
          <w:sz w:val="24"/>
          <w:szCs w:val="24"/>
          <w:rtl/>
          <w:lang w:val="en-US" w:bidi="ar-DZ"/>
        </w:rPr>
      </w:pPr>
      <w:r w:rsidRPr="00F32543">
        <w:rPr>
          <w:rFonts w:ascii="Simplified Arabic" w:hAnsi="Simplified Arabic" w:cs="Simplified Arabic"/>
          <w:sz w:val="24"/>
          <w:szCs w:val="24"/>
          <w:rtl/>
          <w:lang w:val="en-US" w:bidi="ar-DZ"/>
        </w:rPr>
        <w:t xml:space="preserve">يرجى تأكيد المقارنة الزوجية </w:t>
      </w:r>
      <w:r>
        <w:rPr>
          <w:rFonts w:ascii="Simplified Arabic" w:hAnsi="Simplified Arabic" w:cs="Simplified Arabic" w:hint="cs"/>
          <w:sz w:val="24"/>
          <w:szCs w:val="24"/>
          <w:rtl/>
          <w:lang w:val="en-US" w:bidi="ar-DZ"/>
        </w:rPr>
        <w:t>ل</w:t>
      </w:r>
      <w:r>
        <w:rPr>
          <w:rFonts w:ascii="Simplified Arabic" w:eastAsia="Times New Roman" w:hAnsi="Simplified Arabic" w:cs="Simplified Arabic" w:hint="cs"/>
          <w:b/>
          <w:sz w:val="24"/>
          <w:szCs w:val="24"/>
          <w:rtl/>
          <w:lang w:val="en-US"/>
        </w:rPr>
        <w:t>معيار</w:t>
      </w:r>
      <w:r w:rsidRPr="00E50618">
        <w:rPr>
          <w:rFonts w:ascii="Simplified Arabic" w:eastAsia="Times New Roman" w:hAnsi="Simplified Arabic" w:cs="Simplified Arabic"/>
          <w:b/>
          <w:sz w:val="24"/>
          <w:szCs w:val="24"/>
          <w:rtl/>
          <w:lang w:val="en-US"/>
        </w:rPr>
        <w:t xml:space="preserve"> الإنقاذ والإجلاء</w:t>
      </w:r>
      <w:r w:rsidRPr="00F32543">
        <w:rPr>
          <w:rStyle w:val="y2iqfc"/>
          <w:rFonts w:ascii="Simplified Arabic" w:hAnsi="Simplified Arabic" w:cs="Simplified Arabic"/>
          <w:color w:val="202124"/>
          <w:rtl/>
          <w:lang w:bidi="ar"/>
        </w:rPr>
        <w:t xml:space="preserve"> </w:t>
      </w:r>
      <w:r>
        <w:rPr>
          <w:rFonts w:ascii="Simplified Arabic" w:hAnsi="Simplified Arabic" w:cs="Simplified Arabic" w:hint="cs"/>
          <w:sz w:val="24"/>
          <w:szCs w:val="24"/>
          <w:rtl/>
          <w:lang w:val="en-US" w:bidi="ar-DZ"/>
        </w:rPr>
        <w:t>بمعايير</w:t>
      </w:r>
      <w:r w:rsidRPr="00F32543">
        <w:rPr>
          <w:rFonts w:ascii="Simplified Arabic" w:hAnsi="Simplified Arabic" w:cs="Simplified Arabic"/>
          <w:sz w:val="24"/>
          <w:szCs w:val="24"/>
          <w:rtl/>
          <w:lang w:val="en-US" w:bidi="ar-DZ"/>
        </w:rPr>
        <w:t xml:space="preserve"> المرونة الحضرية الأخرى.</w:t>
      </w:r>
    </w:p>
    <w:tbl>
      <w:tblPr>
        <w:tblStyle w:val="Grilledutableau"/>
        <w:bidiVisual/>
        <w:tblW w:w="8984" w:type="dxa"/>
        <w:jc w:val="center"/>
        <w:tblInd w:w="279" w:type="dxa"/>
        <w:tblLook w:val="04A0" w:firstRow="1" w:lastRow="0" w:firstColumn="1" w:lastColumn="0" w:noHBand="0" w:noVBand="1"/>
      </w:tblPr>
      <w:tblGrid>
        <w:gridCol w:w="1419"/>
        <w:gridCol w:w="363"/>
        <w:gridCol w:w="363"/>
        <w:gridCol w:w="364"/>
        <w:gridCol w:w="363"/>
        <w:gridCol w:w="364"/>
        <w:gridCol w:w="363"/>
        <w:gridCol w:w="363"/>
        <w:gridCol w:w="364"/>
        <w:gridCol w:w="363"/>
        <w:gridCol w:w="364"/>
        <w:gridCol w:w="363"/>
        <w:gridCol w:w="363"/>
        <w:gridCol w:w="364"/>
        <w:gridCol w:w="363"/>
        <w:gridCol w:w="364"/>
        <w:gridCol w:w="363"/>
        <w:gridCol w:w="364"/>
        <w:gridCol w:w="1387"/>
      </w:tblGrid>
      <w:tr w:rsidR="00703DF4" w:rsidRPr="00F32543" w:rsidTr="00703DF4">
        <w:trPr>
          <w:jc w:val="center"/>
        </w:trPr>
        <w:tc>
          <w:tcPr>
            <w:tcW w:w="8984"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703DF4">
        <w:trPr>
          <w:jc w:val="center"/>
        </w:trPr>
        <w:tc>
          <w:tcPr>
            <w:tcW w:w="8984"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65760" behindDoc="0" locked="0" layoutInCell="1" allowOverlap="1" wp14:anchorId="40B5D71B" wp14:editId="1B0A0F43">
                      <wp:simplePos x="0" y="0"/>
                      <wp:positionH relativeFrom="column">
                        <wp:posOffset>2665730</wp:posOffset>
                      </wp:positionH>
                      <wp:positionV relativeFrom="paragraph">
                        <wp:posOffset>59055</wp:posOffset>
                      </wp:positionV>
                      <wp:extent cx="149860" cy="129540"/>
                      <wp:effectExtent l="0" t="0" r="21590" b="22860"/>
                      <wp:wrapNone/>
                      <wp:docPr id="207" name="Ellipse 207"/>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7" o:spid="_x0000_s1026" style="position:absolute;margin-left:209.9pt;margin-top:4.65pt;width:11.8pt;height:10.2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64736" behindDoc="0" locked="0" layoutInCell="1" allowOverlap="1" wp14:anchorId="6BF838C1" wp14:editId="2CA645E4">
                      <wp:simplePos x="0" y="0"/>
                      <wp:positionH relativeFrom="column">
                        <wp:posOffset>803910</wp:posOffset>
                      </wp:positionH>
                      <wp:positionV relativeFrom="paragraph">
                        <wp:posOffset>127000</wp:posOffset>
                      </wp:positionV>
                      <wp:extent cx="3905250" cy="0"/>
                      <wp:effectExtent l="57150" t="76200" r="19050" b="133350"/>
                      <wp:wrapNone/>
                      <wp:docPr id="208" name="Connecteur droit avec flèche 208"/>
                      <wp:cNvGraphicFramePr/>
                      <a:graphic xmlns:a="http://schemas.openxmlformats.org/drawingml/2006/main">
                        <a:graphicData uri="http://schemas.microsoft.com/office/word/2010/wordprocessingShape">
                          <wps:wsp>
                            <wps:cNvCnPr/>
                            <wps:spPr>
                              <a:xfrm>
                                <a:off x="0" y="0"/>
                                <a:ext cx="390525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08" o:spid="_x0000_s1026" type="#_x0000_t32" style="position:absolute;margin-left:63.3pt;margin-top:10pt;width:307.5pt;height: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" strokecolor="red" strokeweight="1pt">
                      <v:stroke startarrow="block" endarrow="block"/>
                      <v:shadow on="t" color="black" opacity="24903f" origin=",.5" offset="0,.55556mm"/>
                    </v:shape>
                  </w:pict>
                </mc:Fallback>
              </mc:AlternateConten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4"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38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703DF4" w:rsidRPr="00F32543" w:rsidTr="00703DF4">
        <w:trPr>
          <w:jc w:val="center"/>
        </w:trPr>
        <w:tc>
          <w:tcPr>
            <w:tcW w:w="1419" w:type="dxa"/>
            <w:vAlign w:val="center"/>
          </w:tcPr>
          <w:p w:rsidR="00703DF4" w:rsidRPr="00F111A3" w:rsidRDefault="00703DF4" w:rsidP="00F111A3">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F111A3">
              <w:rPr>
                <w:rFonts w:ascii="Simplified Arabic" w:eastAsia="Times New Roman" w:hAnsi="Simplified Arabic" w:cs="Simplified Arabic" w:hint="cs"/>
                <w:b/>
                <w:sz w:val="20"/>
                <w:szCs w:val="20"/>
                <w:rtl/>
                <w:lang w:val="en-US" w:eastAsia="fr-FR"/>
              </w:rPr>
              <w:t>معيار</w:t>
            </w:r>
            <w:r w:rsidRPr="00F111A3">
              <w:rPr>
                <w:rFonts w:ascii="Simplified Arabic" w:eastAsia="Times New Roman" w:hAnsi="Simplified Arabic" w:cs="Simplified Arabic"/>
                <w:b/>
                <w:sz w:val="20"/>
                <w:szCs w:val="20"/>
                <w:rtl/>
                <w:lang w:val="en-US" w:eastAsia="fr-FR"/>
              </w:rPr>
              <w:t xml:space="preserve"> الإنقاذ والإجلاء</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Pr="0037357A">
              <w:rPr>
                <w:rFonts w:ascii="Simplified Arabic" w:eastAsia="Times New Roman" w:hAnsi="Simplified Arabic" w:cs="Simplified Arabic" w:hint="cs"/>
                <w:b/>
                <w:sz w:val="20"/>
                <w:szCs w:val="20"/>
                <w:rtl/>
                <w:lang w:val="en-US" w:eastAsia="fr-FR"/>
              </w:rPr>
              <w:t>توفير</w:t>
            </w:r>
            <w:r w:rsidRPr="0037357A">
              <w:rPr>
                <w:rFonts w:ascii="Simplified Arabic" w:eastAsia="Times New Roman" w:hAnsi="Simplified Arabic" w:cs="Simplified Arabic"/>
                <w:b/>
                <w:sz w:val="20"/>
                <w:szCs w:val="20"/>
                <w:rtl/>
                <w:lang w:val="en-US" w:eastAsia="fr-FR"/>
              </w:rPr>
              <w:t xml:space="preserve"> الأمن</w:t>
            </w:r>
          </w:p>
        </w:tc>
      </w:tr>
      <w:tr w:rsidR="00703DF4" w:rsidRPr="00F32543" w:rsidTr="00703DF4">
        <w:trPr>
          <w:jc w:val="center"/>
        </w:trPr>
        <w:tc>
          <w:tcPr>
            <w:tcW w:w="1419" w:type="dxa"/>
            <w:vAlign w:val="center"/>
          </w:tcPr>
          <w:p w:rsidR="00703DF4" w:rsidRPr="00F111A3" w:rsidRDefault="00703DF4" w:rsidP="00F111A3">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F111A3">
              <w:rPr>
                <w:rFonts w:ascii="Simplified Arabic" w:eastAsia="Times New Roman" w:hAnsi="Simplified Arabic" w:cs="Simplified Arabic" w:hint="cs"/>
                <w:b/>
                <w:sz w:val="20"/>
                <w:szCs w:val="20"/>
                <w:rtl/>
                <w:lang w:val="en-US" w:eastAsia="fr-FR"/>
              </w:rPr>
              <w:t>معيار</w:t>
            </w:r>
            <w:r w:rsidRPr="00F111A3">
              <w:rPr>
                <w:rFonts w:ascii="Simplified Arabic" w:eastAsia="Times New Roman" w:hAnsi="Simplified Arabic" w:cs="Simplified Arabic"/>
                <w:b/>
                <w:sz w:val="20"/>
                <w:szCs w:val="20"/>
                <w:rtl/>
                <w:lang w:val="en-US" w:eastAsia="fr-FR"/>
              </w:rPr>
              <w:t xml:space="preserve"> الإنقاذ والإجلاء</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الايواء المؤقت</w:t>
            </w:r>
          </w:p>
        </w:tc>
      </w:tr>
      <w:tr w:rsidR="00703DF4" w:rsidRPr="00F32543" w:rsidTr="00703DF4">
        <w:trPr>
          <w:jc w:val="center"/>
        </w:trPr>
        <w:tc>
          <w:tcPr>
            <w:tcW w:w="1419" w:type="dxa"/>
            <w:vAlign w:val="center"/>
          </w:tcPr>
          <w:p w:rsidR="00703DF4" w:rsidRPr="00F111A3" w:rsidRDefault="00703DF4" w:rsidP="00F111A3">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F111A3">
              <w:rPr>
                <w:rFonts w:ascii="Simplified Arabic" w:eastAsia="Times New Roman" w:hAnsi="Simplified Arabic" w:cs="Simplified Arabic" w:hint="cs"/>
                <w:b/>
                <w:sz w:val="20"/>
                <w:szCs w:val="20"/>
                <w:rtl/>
                <w:lang w:val="en-US" w:eastAsia="fr-FR"/>
              </w:rPr>
              <w:t>معيار</w:t>
            </w:r>
            <w:r w:rsidRPr="00F111A3">
              <w:rPr>
                <w:rFonts w:ascii="Simplified Arabic" w:eastAsia="Times New Roman" w:hAnsi="Simplified Arabic" w:cs="Simplified Arabic"/>
                <w:b/>
                <w:sz w:val="20"/>
                <w:szCs w:val="20"/>
                <w:rtl/>
                <w:lang w:val="en-US" w:eastAsia="fr-FR"/>
              </w:rPr>
              <w:t xml:space="preserve"> الإنقاذ والإجلاء</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التضامن والتموين</w:t>
            </w:r>
          </w:p>
        </w:tc>
      </w:tr>
      <w:tr w:rsidR="00703DF4" w:rsidRPr="00F32543" w:rsidTr="00703DF4">
        <w:trPr>
          <w:jc w:val="center"/>
        </w:trPr>
        <w:tc>
          <w:tcPr>
            <w:tcW w:w="1419" w:type="dxa"/>
            <w:vAlign w:val="center"/>
          </w:tcPr>
          <w:p w:rsidR="00703DF4" w:rsidRPr="00F111A3" w:rsidRDefault="00703DF4" w:rsidP="00F111A3">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F111A3">
              <w:rPr>
                <w:rFonts w:ascii="Simplified Arabic" w:eastAsia="Times New Roman" w:hAnsi="Simplified Arabic" w:cs="Simplified Arabic" w:hint="cs"/>
                <w:b/>
                <w:sz w:val="20"/>
                <w:szCs w:val="20"/>
                <w:rtl/>
                <w:lang w:val="en-US" w:eastAsia="fr-FR"/>
              </w:rPr>
              <w:t>معيار</w:t>
            </w:r>
            <w:r w:rsidRPr="00F111A3">
              <w:rPr>
                <w:rFonts w:ascii="Simplified Arabic" w:eastAsia="Times New Roman" w:hAnsi="Simplified Arabic" w:cs="Simplified Arabic"/>
                <w:b/>
                <w:sz w:val="20"/>
                <w:szCs w:val="20"/>
                <w:rtl/>
                <w:lang w:val="en-US" w:eastAsia="fr-FR"/>
              </w:rPr>
              <w:t xml:space="preserve"> الإنقاذ والإجلاء</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كثافة </w:t>
            </w:r>
            <w:r w:rsidRPr="0037357A">
              <w:rPr>
                <w:rFonts w:ascii="Simplified Arabic" w:eastAsia="Times New Roman" w:hAnsi="Simplified Arabic" w:cs="Simplified Arabic" w:hint="cs"/>
                <w:b/>
                <w:sz w:val="20"/>
                <w:szCs w:val="20"/>
                <w:rtl/>
                <w:lang w:val="en-US" w:eastAsia="fr-FR"/>
              </w:rPr>
              <w:t>البناء</w:t>
            </w:r>
          </w:p>
        </w:tc>
      </w:tr>
      <w:tr w:rsidR="00CC39B7" w:rsidRPr="00F32543" w:rsidTr="00703DF4">
        <w:trPr>
          <w:jc w:val="center"/>
        </w:trPr>
        <w:tc>
          <w:tcPr>
            <w:tcW w:w="1419" w:type="dxa"/>
            <w:vAlign w:val="center"/>
          </w:tcPr>
          <w:p w:rsidR="00CC39B7" w:rsidRPr="00F111A3" w:rsidRDefault="00CC39B7" w:rsidP="00F111A3">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F111A3">
              <w:rPr>
                <w:rFonts w:ascii="Simplified Arabic" w:eastAsia="Times New Roman" w:hAnsi="Simplified Arabic" w:cs="Simplified Arabic" w:hint="cs"/>
                <w:b/>
                <w:sz w:val="20"/>
                <w:szCs w:val="20"/>
                <w:rtl/>
                <w:lang w:val="en-US" w:eastAsia="fr-FR"/>
              </w:rPr>
              <w:t>معيار</w:t>
            </w:r>
            <w:r w:rsidRPr="00F111A3">
              <w:rPr>
                <w:rFonts w:ascii="Simplified Arabic" w:eastAsia="Times New Roman" w:hAnsi="Simplified Arabic" w:cs="Simplified Arabic"/>
                <w:b/>
                <w:sz w:val="20"/>
                <w:szCs w:val="20"/>
                <w:rtl/>
                <w:lang w:val="en-US" w:eastAsia="fr-FR"/>
              </w:rPr>
              <w:t xml:space="preserve"> الإنقاذ والإجلاء</w:t>
            </w: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CC39B7" w:rsidRPr="00F32543" w:rsidRDefault="00CC39B7"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CC39B7" w:rsidRPr="00F32543" w:rsidRDefault="00CC39B7"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CC39B7" w:rsidRPr="006F1380" w:rsidRDefault="00CC39B7" w:rsidP="001435F9">
            <w:pPr>
              <w:widowControl w:val="0"/>
              <w:tabs>
                <w:tab w:val="right" w:pos="282"/>
              </w:tabs>
              <w:autoSpaceDE w:val="0"/>
              <w:autoSpaceDN w:val="0"/>
              <w:bidi/>
              <w:rPr>
                <w:rFonts w:ascii="Simplified Arabic" w:eastAsia="Times New Roman" w:hAnsi="Simplified Arabic" w:cs="Simplified Arabic"/>
                <w:b/>
                <w:sz w:val="20"/>
                <w:szCs w:val="20"/>
                <w:rtl/>
                <w:lang w:eastAsia="fr-FR" w:bidi="ar-DZ"/>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Pr="00CC39B7">
              <w:rPr>
                <w:rFonts w:ascii="Simplified Arabic" w:eastAsia="Times New Roman" w:hAnsi="Simplified Arabic" w:cs="Simplified Arabic"/>
                <w:b/>
                <w:sz w:val="20"/>
                <w:szCs w:val="20"/>
                <w:rtl/>
                <w:lang w:val="en-US" w:eastAsia="fr-FR"/>
              </w:rPr>
              <w:t>عمق</w:t>
            </w:r>
            <w:r w:rsidRPr="00CC39B7">
              <w:rPr>
                <w:rFonts w:ascii="Simplified Arabic" w:eastAsia="Times New Roman" w:hAnsi="Simplified Arabic" w:cs="Simplified Arabic"/>
                <w:b/>
                <w:sz w:val="20"/>
                <w:szCs w:val="20"/>
                <w:lang w:val="en-US" w:eastAsia="fr-FR"/>
              </w:rPr>
              <w:t xml:space="preserve"> </w:t>
            </w:r>
            <w:r w:rsidRPr="00CC39B7">
              <w:rPr>
                <w:rFonts w:ascii="Simplified Arabic" w:eastAsia="Times New Roman" w:hAnsi="Simplified Arabic" w:cs="Simplified Arabic"/>
                <w:b/>
                <w:sz w:val="20"/>
                <w:szCs w:val="20"/>
                <w:rtl/>
                <w:lang w:val="en-US" w:eastAsia="fr-FR"/>
              </w:rPr>
              <w:t>الطرق الشريانية</w:t>
            </w:r>
          </w:p>
        </w:tc>
      </w:tr>
    </w:tbl>
    <w:p w:rsidR="00703DF4" w:rsidRPr="00F32543" w:rsidRDefault="00703DF4" w:rsidP="001D0548">
      <w:pPr>
        <w:pStyle w:val="Paragraphedeliste"/>
        <w:numPr>
          <w:ilvl w:val="0"/>
          <w:numId w:val="50"/>
        </w:numPr>
        <w:bidi/>
        <w:spacing w:before="240" w:after="0" w:line="240" w:lineRule="auto"/>
        <w:rPr>
          <w:rFonts w:ascii="Simplified Arabic" w:hAnsi="Simplified Arabic" w:cs="Simplified Arabic"/>
          <w:sz w:val="24"/>
          <w:szCs w:val="24"/>
          <w:rtl/>
          <w:lang w:val="en-US" w:bidi="ar-DZ"/>
        </w:rPr>
      </w:pPr>
      <w:r w:rsidRPr="00F32543">
        <w:rPr>
          <w:rFonts w:ascii="Simplified Arabic" w:hAnsi="Simplified Arabic" w:cs="Simplified Arabic"/>
          <w:sz w:val="24"/>
          <w:szCs w:val="24"/>
          <w:rtl/>
          <w:lang w:val="en-US" w:bidi="ar-DZ"/>
        </w:rPr>
        <w:t xml:space="preserve">يرجى تأكيد المقارنة الزوجية </w:t>
      </w:r>
      <w:r>
        <w:rPr>
          <w:rFonts w:ascii="Simplified Arabic" w:hAnsi="Simplified Arabic" w:cs="Simplified Arabic" w:hint="cs"/>
          <w:sz w:val="24"/>
          <w:szCs w:val="24"/>
          <w:rtl/>
          <w:lang w:val="en-US" w:bidi="ar-DZ"/>
        </w:rPr>
        <w:t>ل</w:t>
      </w:r>
      <w:r>
        <w:rPr>
          <w:rFonts w:ascii="Simplified Arabic" w:eastAsia="Times New Roman" w:hAnsi="Simplified Arabic" w:cs="Simplified Arabic" w:hint="cs"/>
          <w:b/>
          <w:sz w:val="24"/>
          <w:szCs w:val="24"/>
          <w:rtl/>
          <w:lang w:val="en-US"/>
        </w:rPr>
        <w:t>معيار</w:t>
      </w:r>
      <w:r w:rsidRPr="00E50618">
        <w:rPr>
          <w:rFonts w:ascii="Simplified Arabic" w:eastAsia="Times New Roman" w:hAnsi="Simplified Arabic" w:cs="Simplified Arabic"/>
          <w:b/>
          <w:sz w:val="24"/>
          <w:szCs w:val="24"/>
          <w:rtl/>
          <w:lang w:val="en-US"/>
        </w:rPr>
        <w:t xml:space="preserve"> الأمن</w:t>
      </w:r>
      <w:r>
        <w:rPr>
          <w:rFonts w:ascii="Simplified Arabic" w:hAnsi="Simplified Arabic" w:cs="Simplified Arabic" w:hint="cs"/>
          <w:sz w:val="24"/>
          <w:szCs w:val="24"/>
          <w:rtl/>
          <w:lang w:val="en-US" w:bidi="ar-DZ"/>
        </w:rPr>
        <w:t xml:space="preserve"> بمعايير</w:t>
      </w:r>
      <w:r w:rsidRPr="00F32543">
        <w:rPr>
          <w:rFonts w:ascii="Simplified Arabic" w:hAnsi="Simplified Arabic" w:cs="Simplified Arabic"/>
          <w:sz w:val="24"/>
          <w:szCs w:val="24"/>
          <w:rtl/>
          <w:lang w:val="en-US" w:bidi="ar-DZ"/>
        </w:rPr>
        <w:t xml:space="preserve"> المرونة الحضرية الأخرى.</w:t>
      </w:r>
    </w:p>
    <w:tbl>
      <w:tblPr>
        <w:tblStyle w:val="Grilledutableau"/>
        <w:bidiVisual/>
        <w:tblW w:w="8984" w:type="dxa"/>
        <w:jc w:val="center"/>
        <w:tblInd w:w="279" w:type="dxa"/>
        <w:tblLook w:val="04A0" w:firstRow="1" w:lastRow="0" w:firstColumn="1" w:lastColumn="0" w:noHBand="0" w:noVBand="1"/>
      </w:tblPr>
      <w:tblGrid>
        <w:gridCol w:w="1419"/>
        <w:gridCol w:w="363"/>
        <w:gridCol w:w="363"/>
        <w:gridCol w:w="364"/>
        <w:gridCol w:w="363"/>
        <w:gridCol w:w="364"/>
        <w:gridCol w:w="363"/>
        <w:gridCol w:w="363"/>
        <w:gridCol w:w="364"/>
        <w:gridCol w:w="363"/>
        <w:gridCol w:w="364"/>
        <w:gridCol w:w="363"/>
        <w:gridCol w:w="363"/>
        <w:gridCol w:w="364"/>
        <w:gridCol w:w="363"/>
        <w:gridCol w:w="364"/>
        <w:gridCol w:w="363"/>
        <w:gridCol w:w="364"/>
        <w:gridCol w:w="1387"/>
      </w:tblGrid>
      <w:tr w:rsidR="00703DF4" w:rsidRPr="00F32543" w:rsidTr="00703DF4">
        <w:trPr>
          <w:jc w:val="center"/>
        </w:trPr>
        <w:tc>
          <w:tcPr>
            <w:tcW w:w="8984"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703DF4">
        <w:trPr>
          <w:jc w:val="center"/>
        </w:trPr>
        <w:tc>
          <w:tcPr>
            <w:tcW w:w="8984"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67808" behindDoc="0" locked="0" layoutInCell="1" allowOverlap="1" wp14:anchorId="46288CF3" wp14:editId="1CB43373">
                      <wp:simplePos x="0" y="0"/>
                      <wp:positionH relativeFrom="column">
                        <wp:posOffset>2683510</wp:posOffset>
                      </wp:positionH>
                      <wp:positionV relativeFrom="paragraph">
                        <wp:posOffset>30480</wp:posOffset>
                      </wp:positionV>
                      <wp:extent cx="149860" cy="129540"/>
                      <wp:effectExtent l="0" t="0" r="21590" b="22860"/>
                      <wp:wrapNone/>
                      <wp:docPr id="209" name="Ellipse 209"/>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9" o:spid="_x0000_s1026" style="position:absolute;margin-left:211.3pt;margin-top:2.4pt;width:11.8pt;height:10.2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66784" behindDoc="0" locked="0" layoutInCell="1" allowOverlap="1" wp14:anchorId="48268F34" wp14:editId="0A50A239">
                      <wp:simplePos x="0" y="0"/>
                      <wp:positionH relativeFrom="column">
                        <wp:posOffset>811530</wp:posOffset>
                      </wp:positionH>
                      <wp:positionV relativeFrom="paragraph">
                        <wp:posOffset>113030</wp:posOffset>
                      </wp:positionV>
                      <wp:extent cx="3912870" cy="0"/>
                      <wp:effectExtent l="57150" t="76200" r="30480" b="133350"/>
                      <wp:wrapNone/>
                      <wp:docPr id="210" name="Connecteur droit avec flèche 210"/>
                      <wp:cNvGraphicFramePr/>
                      <a:graphic xmlns:a="http://schemas.openxmlformats.org/drawingml/2006/main">
                        <a:graphicData uri="http://schemas.microsoft.com/office/word/2010/wordprocessingShape">
                          <wps:wsp>
                            <wps:cNvCnPr/>
                            <wps:spPr>
                              <a:xfrm>
                                <a:off x="0" y="0"/>
                                <a:ext cx="391287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10" o:spid="_x0000_s1026" type="#_x0000_t32" style="position:absolute;margin-left:63.9pt;margin-top:8.9pt;width:308.1pt;height:0;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" strokecolor="red" strokeweight="1pt">
                      <v:stroke startarrow="block" endarrow="block"/>
                      <v:shadow on="t" color="black" opacity="24903f" origin=",.5" offset="0,.55556mm"/>
                    </v:shape>
                  </w:pict>
                </mc:Fallback>
              </mc:AlternateConten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4"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38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703DF4" w:rsidRPr="00F32543" w:rsidTr="00703DF4">
        <w:trPr>
          <w:jc w:val="center"/>
        </w:trPr>
        <w:tc>
          <w:tcPr>
            <w:tcW w:w="1419" w:type="dxa"/>
            <w:vAlign w:val="center"/>
          </w:tcPr>
          <w:p w:rsidR="00703DF4" w:rsidRPr="00E07F1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E07F1A">
              <w:rPr>
                <w:rFonts w:ascii="Simplified Arabic" w:eastAsia="Times New Roman" w:hAnsi="Simplified Arabic" w:cs="Simplified Arabic" w:hint="cs"/>
                <w:b/>
                <w:sz w:val="20"/>
                <w:szCs w:val="20"/>
                <w:rtl/>
                <w:lang w:val="en-US" w:eastAsia="fr-FR"/>
              </w:rPr>
              <w:t>معيار</w:t>
            </w:r>
            <w:r w:rsidRPr="00E07F1A">
              <w:rPr>
                <w:rFonts w:ascii="Simplified Arabic" w:eastAsia="Times New Roman" w:hAnsi="Simplified Arabic" w:cs="Simplified Arabic"/>
                <w:b/>
                <w:sz w:val="20"/>
                <w:szCs w:val="20"/>
                <w:rtl/>
                <w:lang w:val="en-US" w:eastAsia="fr-FR"/>
              </w:rPr>
              <w:t xml:space="preserve"> الأمن</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الايواء المؤقت</w:t>
            </w:r>
          </w:p>
        </w:tc>
      </w:tr>
      <w:tr w:rsidR="00703DF4" w:rsidRPr="00F32543" w:rsidTr="00703DF4">
        <w:trPr>
          <w:jc w:val="center"/>
        </w:trPr>
        <w:tc>
          <w:tcPr>
            <w:tcW w:w="1419" w:type="dxa"/>
            <w:vAlign w:val="center"/>
          </w:tcPr>
          <w:p w:rsidR="00703DF4" w:rsidRPr="00E07F1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E07F1A">
              <w:rPr>
                <w:rFonts w:ascii="Simplified Arabic" w:eastAsia="Times New Roman" w:hAnsi="Simplified Arabic" w:cs="Simplified Arabic" w:hint="cs"/>
                <w:b/>
                <w:sz w:val="20"/>
                <w:szCs w:val="20"/>
                <w:rtl/>
                <w:lang w:val="en-US" w:eastAsia="fr-FR"/>
              </w:rPr>
              <w:lastRenderedPageBreak/>
              <w:t>معيار</w:t>
            </w:r>
            <w:r w:rsidRPr="00E07F1A">
              <w:rPr>
                <w:rFonts w:ascii="Simplified Arabic" w:eastAsia="Times New Roman" w:hAnsi="Simplified Arabic" w:cs="Simplified Arabic"/>
                <w:b/>
                <w:sz w:val="20"/>
                <w:szCs w:val="20"/>
                <w:rtl/>
                <w:lang w:val="en-US" w:eastAsia="fr-FR"/>
              </w:rPr>
              <w:t xml:space="preserve"> الأمن</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التضامن والتموين</w:t>
            </w:r>
          </w:p>
        </w:tc>
      </w:tr>
      <w:tr w:rsidR="00703DF4" w:rsidRPr="00F32543" w:rsidTr="00703DF4">
        <w:trPr>
          <w:jc w:val="center"/>
        </w:trPr>
        <w:tc>
          <w:tcPr>
            <w:tcW w:w="1419" w:type="dxa"/>
            <w:vAlign w:val="center"/>
          </w:tcPr>
          <w:p w:rsidR="00703DF4" w:rsidRPr="00E07F1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E07F1A">
              <w:rPr>
                <w:rFonts w:ascii="Simplified Arabic" w:eastAsia="Times New Roman" w:hAnsi="Simplified Arabic" w:cs="Simplified Arabic" w:hint="cs"/>
                <w:b/>
                <w:sz w:val="20"/>
                <w:szCs w:val="20"/>
                <w:rtl/>
                <w:lang w:val="en-US" w:eastAsia="fr-FR"/>
              </w:rPr>
              <w:t>معيار</w:t>
            </w:r>
            <w:r w:rsidRPr="00E07F1A">
              <w:rPr>
                <w:rFonts w:ascii="Simplified Arabic" w:eastAsia="Times New Roman" w:hAnsi="Simplified Arabic" w:cs="Simplified Arabic"/>
                <w:b/>
                <w:sz w:val="20"/>
                <w:szCs w:val="20"/>
                <w:rtl/>
                <w:lang w:val="en-US" w:eastAsia="fr-FR"/>
              </w:rPr>
              <w:t xml:space="preserve"> الأمن</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كثافة </w:t>
            </w:r>
            <w:r w:rsidRPr="0037357A">
              <w:rPr>
                <w:rFonts w:ascii="Simplified Arabic" w:eastAsia="Times New Roman" w:hAnsi="Simplified Arabic" w:cs="Simplified Arabic" w:hint="cs"/>
                <w:b/>
                <w:sz w:val="20"/>
                <w:szCs w:val="20"/>
                <w:rtl/>
                <w:lang w:val="en-US" w:eastAsia="fr-FR"/>
              </w:rPr>
              <w:t>البناء</w:t>
            </w:r>
          </w:p>
        </w:tc>
      </w:tr>
      <w:tr w:rsidR="00CC39B7" w:rsidRPr="00F32543" w:rsidTr="00703DF4">
        <w:trPr>
          <w:jc w:val="center"/>
        </w:trPr>
        <w:tc>
          <w:tcPr>
            <w:tcW w:w="1419" w:type="dxa"/>
            <w:vAlign w:val="center"/>
          </w:tcPr>
          <w:p w:rsidR="00CC39B7" w:rsidRPr="00E07F1A" w:rsidRDefault="00CC39B7"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E07F1A">
              <w:rPr>
                <w:rFonts w:ascii="Simplified Arabic" w:eastAsia="Times New Roman" w:hAnsi="Simplified Arabic" w:cs="Simplified Arabic" w:hint="cs"/>
                <w:b/>
                <w:sz w:val="20"/>
                <w:szCs w:val="20"/>
                <w:rtl/>
                <w:lang w:val="en-US" w:eastAsia="fr-FR"/>
              </w:rPr>
              <w:t>معيار</w:t>
            </w:r>
            <w:r w:rsidRPr="00E07F1A">
              <w:rPr>
                <w:rFonts w:ascii="Simplified Arabic" w:eastAsia="Times New Roman" w:hAnsi="Simplified Arabic" w:cs="Simplified Arabic"/>
                <w:b/>
                <w:sz w:val="20"/>
                <w:szCs w:val="20"/>
                <w:rtl/>
                <w:lang w:val="en-US" w:eastAsia="fr-FR"/>
              </w:rPr>
              <w:t xml:space="preserve"> الأمن</w:t>
            </w: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CC39B7" w:rsidRPr="00F32543" w:rsidRDefault="00CC39B7"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CC39B7" w:rsidRPr="00F32543" w:rsidRDefault="00CC39B7" w:rsidP="00703DF4">
            <w:pPr>
              <w:tabs>
                <w:tab w:val="left" w:pos="3010"/>
              </w:tabs>
              <w:bidi/>
              <w:ind w:left="226"/>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CC39B7" w:rsidRPr="006F1380" w:rsidRDefault="00CC39B7" w:rsidP="001435F9">
            <w:pPr>
              <w:widowControl w:val="0"/>
              <w:tabs>
                <w:tab w:val="right" w:pos="282"/>
              </w:tabs>
              <w:autoSpaceDE w:val="0"/>
              <w:autoSpaceDN w:val="0"/>
              <w:bidi/>
              <w:rPr>
                <w:rFonts w:ascii="Simplified Arabic" w:eastAsia="Times New Roman" w:hAnsi="Simplified Arabic" w:cs="Simplified Arabic"/>
                <w:b/>
                <w:sz w:val="20"/>
                <w:szCs w:val="20"/>
                <w:rtl/>
                <w:lang w:eastAsia="fr-FR" w:bidi="ar-DZ"/>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Pr="00CC39B7">
              <w:rPr>
                <w:rFonts w:ascii="Simplified Arabic" w:eastAsia="Times New Roman" w:hAnsi="Simplified Arabic" w:cs="Simplified Arabic"/>
                <w:b/>
                <w:sz w:val="20"/>
                <w:szCs w:val="20"/>
                <w:rtl/>
                <w:lang w:val="en-US" w:eastAsia="fr-FR"/>
              </w:rPr>
              <w:t>عمق</w:t>
            </w:r>
            <w:r w:rsidRPr="00CC39B7">
              <w:rPr>
                <w:rFonts w:ascii="Simplified Arabic" w:eastAsia="Times New Roman" w:hAnsi="Simplified Arabic" w:cs="Simplified Arabic"/>
                <w:b/>
                <w:sz w:val="20"/>
                <w:szCs w:val="20"/>
                <w:lang w:val="en-US" w:eastAsia="fr-FR"/>
              </w:rPr>
              <w:t xml:space="preserve"> </w:t>
            </w:r>
            <w:r w:rsidRPr="00CC39B7">
              <w:rPr>
                <w:rFonts w:ascii="Simplified Arabic" w:eastAsia="Times New Roman" w:hAnsi="Simplified Arabic" w:cs="Simplified Arabic"/>
                <w:b/>
                <w:sz w:val="20"/>
                <w:szCs w:val="20"/>
                <w:rtl/>
                <w:lang w:val="en-US" w:eastAsia="fr-FR"/>
              </w:rPr>
              <w:t>الطرق الشريانية</w:t>
            </w:r>
          </w:p>
        </w:tc>
      </w:tr>
    </w:tbl>
    <w:p w:rsidR="00703DF4" w:rsidRPr="00F32543" w:rsidRDefault="00703DF4" w:rsidP="001D0548">
      <w:pPr>
        <w:pStyle w:val="Paragraphedeliste"/>
        <w:numPr>
          <w:ilvl w:val="0"/>
          <w:numId w:val="50"/>
        </w:numPr>
        <w:bidi/>
        <w:spacing w:before="240" w:after="0" w:line="240" w:lineRule="auto"/>
        <w:rPr>
          <w:rFonts w:ascii="Simplified Arabic" w:hAnsi="Simplified Arabic" w:cs="Simplified Arabic"/>
          <w:sz w:val="24"/>
          <w:szCs w:val="24"/>
          <w:rtl/>
          <w:lang w:val="en-US" w:bidi="ar-DZ"/>
        </w:rPr>
      </w:pPr>
      <w:r w:rsidRPr="00F32543">
        <w:rPr>
          <w:rFonts w:ascii="Simplified Arabic" w:hAnsi="Simplified Arabic" w:cs="Simplified Arabic"/>
          <w:sz w:val="24"/>
          <w:szCs w:val="24"/>
          <w:rtl/>
          <w:lang w:val="en-US" w:bidi="ar-DZ"/>
        </w:rPr>
        <w:t xml:space="preserve">يرجى تأكيد المقارنة الزوجية </w:t>
      </w:r>
      <w:r w:rsidRPr="00E07F1A">
        <w:rPr>
          <w:rFonts w:ascii="Simplified Arabic" w:hAnsi="Simplified Arabic" w:cs="Simplified Arabic" w:hint="cs"/>
          <w:sz w:val="24"/>
          <w:szCs w:val="24"/>
          <w:rtl/>
          <w:lang w:val="en-US" w:bidi="ar-DZ"/>
        </w:rPr>
        <w:t>ل</w:t>
      </w:r>
      <w:r w:rsidRPr="00E07F1A">
        <w:rPr>
          <w:rFonts w:ascii="Simplified Arabic" w:eastAsia="Times New Roman" w:hAnsi="Simplified Arabic" w:cs="Simplified Arabic" w:hint="cs"/>
          <w:b/>
          <w:sz w:val="24"/>
          <w:szCs w:val="24"/>
          <w:rtl/>
          <w:lang w:val="en-US"/>
        </w:rPr>
        <w:t>معيار</w:t>
      </w:r>
      <w:r w:rsidRPr="00E07F1A">
        <w:rPr>
          <w:rFonts w:ascii="Simplified Arabic" w:eastAsia="Times New Roman" w:hAnsi="Simplified Arabic" w:cs="Simplified Arabic"/>
          <w:b/>
          <w:sz w:val="24"/>
          <w:szCs w:val="24"/>
          <w:rtl/>
          <w:lang w:val="en-US"/>
        </w:rPr>
        <w:t xml:space="preserve"> الايواء المؤقت</w:t>
      </w:r>
      <w:r w:rsidRPr="00E07F1A">
        <w:rPr>
          <w:rFonts w:ascii="Simplified Arabic" w:hAnsi="Simplified Arabic" w:cs="Simplified Arabic" w:hint="cs"/>
          <w:sz w:val="24"/>
          <w:szCs w:val="24"/>
          <w:rtl/>
          <w:lang w:val="en-US" w:bidi="ar-DZ"/>
        </w:rPr>
        <w:t xml:space="preserve"> بمعايير</w:t>
      </w:r>
      <w:r w:rsidRPr="00F32543">
        <w:rPr>
          <w:rFonts w:ascii="Simplified Arabic" w:hAnsi="Simplified Arabic" w:cs="Simplified Arabic"/>
          <w:sz w:val="24"/>
          <w:szCs w:val="24"/>
          <w:rtl/>
          <w:lang w:val="en-US" w:bidi="ar-DZ"/>
        </w:rPr>
        <w:t xml:space="preserve"> المرونة الحضرية الأخرى.</w:t>
      </w:r>
    </w:p>
    <w:tbl>
      <w:tblPr>
        <w:tblStyle w:val="Grilledutableau"/>
        <w:bidiVisual/>
        <w:tblW w:w="8984" w:type="dxa"/>
        <w:jc w:val="center"/>
        <w:tblInd w:w="279" w:type="dxa"/>
        <w:tblLook w:val="04A0" w:firstRow="1" w:lastRow="0" w:firstColumn="1" w:lastColumn="0" w:noHBand="0" w:noVBand="1"/>
      </w:tblPr>
      <w:tblGrid>
        <w:gridCol w:w="1419"/>
        <w:gridCol w:w="363"/>
        <w:gridCol w:w="363"/>
        <w:gridCol w:w="364"/>
        <w:gridCol w:w="363"/>
        <w:gridCol w:w="364"/>
        <w:gridCol w:w="363"/>
        <w:gridCol w:w="363"/>
        <w:gridCol w:w="364"/>
        <w:gridCol w:w="363"/>
        <w:gridCol w:w="364"/>
        <w:gridCol w:w="363"/>
        <w:gridCol w:w="363"/>
        <w:gridCol w:w="364"/>
        <w:gridCol w:w="363"/>
        <w:gridCol w:w="364"/>
        <w:gridCol w:w="363"/>
        <w:gridCol w:w="364"/>
        <w:gridCol w:w="1387"/>
      </w:tblGrid>
      <w:tr w:rsidR="00703DF4" w:rsidTr="00703DF4">
        <w:trPr>
          <w:jc w:val="center"/>
        </w:trPr>
        <w:tc>
          <w:tcPr>
            <w:tcW w:w="8984"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Tr="00703DF4">
        <w:trPr>
          <w:jc w:val="center"/>
        </w:trPr>
        <w:tc>
          <w:tcPr>
            <w:tcW w:w="8984" w:type="dxa"/>
            <w:gridSpan w:val="19"/>
            <w:vAlign w:val="center"/>
          </w:tcPr>
          <w:p w:rsidR="00703DF4" w:rsidRPr="009C1428" w:rsidRDefault="00703DF4" w:rsidP="00703DF4">
            <w:pPr>
              <w:tabs>
                <w:tab w:val="left" w:pos="3010"/>
              </w:tabs>
              <w:bidi/>
              <w:jc w:val="center"/>
              <w:rPr>
                <w:sz w:val="36"/>
                <w:szCs w:val="36"/>
                <w:rtl/>
                <w:lang w:val="en-US" w:bidi="ar-DZ"/>
              </w:rPr>
            </w:pPr>
            <w:r w:rsidRPr="00367036">
              <w:rPr>
                <w:noProof/>
                <w:sz w:val="36"/>
                <w:szCs w:val="36"/>
                <w:rtl/>
                <w:lang w:eastAsia="fr-FR"/>
              </w:rPr>
              <mc:AlternateContent>
                <mc:Choice Requires="wps">
                  <w:drawing>
                    <wp:anchor distT="0" distB="0" distL="114300" distR="114300" simplePos="0" relativeHeight="251769856" behindDoc="0" locked="0" layoutInCell="1" allowOverlap="1" wp14:anchorId="1A5305D9" wp14:editId="7E140568">
                      <wp:simplePos x="0" y="0"/>
                      <wp:positionH relativeFrom="column">
                        <wp:posOffset>2674620</wp:posOffset>
                      </wp:positionH>
                      <wp:positionV relativeFrom="paragraph">
                        <wp:posOffset>73660</wp:posOffset>
                      </wp:positionV>
                      <wp:extent cx="149860" cy="129540"/>
                      <wp:effectExtent l="0" t="0" r="21590" b="22860"/>
                      <wp:wrapNone/>
                      <wp:docPr id="211" name="Ellipse 211"/>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1" o:spid="_x0000_s1026" style="position:absolute;margin-left:210.6pt;margin-top:5.8pt;width:11.8pt;height:10.2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" fillcolor="#0070c0" strokecolor="black [3200]" strokeweight="1pt"/>
                  </w:pict>
                </mc:Fallback>
              </mc:AlternateContent>
            </w:r>
            <w:r w:rsidRPr="00367036">
              <w:rPr>
                <w:noProof/>
                <w:sz w:val="36"/>
                <w:szCs w:val="36"/>
                <w:rtl/>
                <w:lang w:eastAsia="fr-FR"/>
              </w:rPr>
              <mc:AlternateContent>
                <mc:Choice Requires="wps">
                  <w:drawing>
                    <wp:anchor distT="0" distB="0" distL="114300" distR="114300" simplePos="0" relativeHeight="251768832" behindDoc="0" locked="0" layoutInCell="1" allowOverlap="1" wp14:anchorId="61207418" wp14:editId="3512ACBD">
                      <wp:simplePos x="0" y="0"/>
                      <wp:positionH relativeFrom="column">
                        <wp:posOffset>796925</wp:posOffset>
                      </wp:positionH>
                      <wp:positionV relativeFrom="paragraph">
                        <wp:posOffset>141605</wp:posOffset>
                      </wp:positionV>
                      <wp:extent cx="3919220" cy="0"/>
                      <wp:effectExtent l="57150" t="76200" r="24130" b="133350"/>
                      <wp:wrapNone/>
                      <wp:docPr id="212" name="Connecteur droit avec flèche 212"/>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12" o:spid="_x0000_s1026" type="#_x0000_t32" style="position:absolute;margin-left:62.75pt;margin-top:11.15pt;width:308.6pt;height:0;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" strokecolor="red" strokeweight="1pt">
                      <v:stroke startarrow="block" endarrow="block"/>
                      <v:shadow on="t" color="black" opacity="24903f" origin=",.5" offset="0,.55556mm"/>
                    </v:shape>
                  </w:pict>
                </mc:Fallback>
              </mc:AlternateContent>
            </w:r>
          </w:p>
        </w:tc>
      </w:tr>
      <w:tr w:rsidR="00703DF4" w:rsidTr="00703DF4">
        <w:trPr>
          <w:jc w:val="center"/>
        </w:trPr>
        <w:tc>
          <w:tcPr>
            <w:tcW w:w="1419"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9</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8</w:t>
            </w:r>
          </w:p>
        </w:tc>
        <w:tc>
          <w:tcPr>
            <w:tcW w:w="364"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7</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6</w:t>
            </w:r>
          </w:p>
        </w:tc>
        <w:tc>
          <w:tcPr>
            <w:tcW w:w="364"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5</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4</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3</w:t>
            </w:r>
          </w:p>
        </w:tc>
        <w:tc>
          <w:tcPr>
            <w:tcW w:w="364"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2</w:t>
            </w:r>
          </w:p>
        </w:tc>
        <w:tc>
          <w:tcPr>
            <w:tcW w:w="363" w:type="dxa"/>
            <w:shd w:val="clear" w:color="auto" w:fill="D9D9D9" w:themeFill="background1" w:themeFillShade="D9"/>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1</w:t>
            </w:r>
          </w:p>
        </w:tc>
        <w:tc>
          <w:tcPr>
            <w:tcW w:w="364"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2</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3</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4</w:t>
            </w:r>
          </w:p>
        </w:tc>
        <w:tc>
          <w:tcPr>
            <w:tcW w:w="364" w:type="dxa"/>
            <w:shd w:val="clear" w:color="auto" w:fill="auto"/>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5</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6</w:t>
            </w:r>
          </w:p>
        </w:tc>
        <w:tc>
          <w:tcPr>
            <w:tcW w:w="364"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7</w:t>
            </w:r>
          </w:p>
        </w:tc>
        <w:tc>
          <w:tcPr>
            <w:tcW w:w="363"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8</w:t>
            </w:r>
          </w:p>
        </w:tc>
        <w:tc>
          <w:tcPr>
            <w:tcW w:w="364" w:type="dxa"/>
            <w:vAlign w:val="center"/>
          </w:tcPr>
          <w:p w:rsidR="00703DF4" w:rsidRPr="00C33DF6" w:rsidRDefault="00703DF4" w:rsidP="00703DF4">
            <w:pPr>
              <w:tabs>
                <w:tab w:val="left" w:pos="3010"/>
              </w:tabs>
              <w:bidi/>
              <w:jc w:val="center"/>
              <w:rPr>
                <w:rFonts w:asciiTheme="majorBidi" w:hAnsiTheme="majorBidi" w:cstheme="majorBidi"/>
                <w:rtl/>
                <w:lang w:val="en-US" w:bidi="ar-DZ"/>
              </w:rPr>
            </w:pPr>
            <w:r w:rsidRPr="00C33DF6">
              <w:rPr>
                <w:rFonts w:asciiTheme="majorBidi" w:hAnsiTheme="majorBidi" w:cstheme="majorBidi" w:hint="cs"/>
                <w:rtl/>
                <w:lang w:val="en-US" w:bidi="ar-DZ"/>
              </w:rPr>
              <w:t>9</w:t>
            </w:r>
          </w:p>
        </w:tc>
        <w:tc>
          <w:tcPr>
            <w:tcW w:w="1387" w:type="dxa"/>
            <w:vAlign w:val="center"/>
          </w:tcPr>
          <w:p w:rsidR="00703DF4" w:rsidRDefault="00703DF4" w:rsidP="00703DF4">
            <w:pPr>
              <w:tabs>
                <w:tab w:val="left" w:pos="3010"/>
              </w:tabs>
              <w:bidi/>
              <w:jc w:val="center"/>
              <w:rPr>
                <w:rtl/>
                <w:lang w:val="en-US" w:bidi="ar-DZ"/>
              </w:rPr>
            </w:pPr>
          </w:p>
        </w:tc>
      </w:tr>
      <w:tr w:rsidR="00703DF4" w:rsidRPr="00C53714" w:rsidTr="00703DF4">
        <w:trPr>
          <w:jc w:val="center"/>
        </w:trPr>
        <w:tc>
          <w:tcPr>
            <w:tcW w:w="1419"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الايواء المؤقت</w:t>
            </w:r>
          </w:p>
        </w:tc>
        <w:tc>
          <w:tcPr>
            <w:tcW w:w="363"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shd w:val="clear" w:color="auto" w:fill="D9D9D9" w:themeFill="background1" w:themeFillShade="D9"/>
            <w:vAlign w:val="center"/>
          </w:tcPr>
          <w:p w:rsidR="00703DF4" w:rsidRPr="00B834D0" w:rsidRDefault="00703DF4" w:rsidP="00703DF4">
            <w:pPr>
              <w:tabs>
                <w:tab w:val="left" w:pos="3010"/>
              </w:tabs>
              <w:bidi/>
              <w:ind w:left="141"/>
              <w:jc w:val="center"/>
              <w:rPr>
                <w:color w:val="000000" w:themeColor="text1"/>
                <w:sz w:val="24"/>
                <w:szCs w:val="24"/>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shd w:val="clear" w:color="auto" w:fill="auto"/>
            <w:vAlign w:val="center"/>
          </w:tcPr>
          <w:p w:rsidR="00703DF4" w:rsidRPr="001144EF" w:rsidRDefault="00703DF4" w:rsidP="00703DF4">
            <w:pPr>
              <w:tabs>
                <w:tab w:val="left" w:pos="3010"/>
              </w:tabs>
              <w:bidi/>
              <w:ind w:left="141"/>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التضامن والتموين</w:t>
            </w:r>
          </w:p>
        </w:tc>
      </w:tr>
      <w:tr w:rsidR="00703DF4" w:rsidRPr="00C53714" w:rsidTr="00703DF4">
        <w:trPr>
          <w:jc w:val="center"/>
        </w:trPr>
        <w:tc>
          <w:tcPr>
            <w:tcW w:w="1419"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الايواء المؤقت</w:t>
            </w:r>
          </w:p>
        </w:tc>
        <w:tc>
          <w:tcPr>
            <w:tcW w:w="363"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shd w:val="clear" w:color="auto" w:fill="D9D9D9" w:themeFill="background1" w:themeFillShade="D9"/>
            <w:vAlign w:val="center"/>
          </w:tcPr>
          <w:p w:rsidR="00703DF4" w:rsidRPr="00B834D0" w:rsidRDefault="00703DF4" w:rsidP="00703DF4">
            <w:pPr>
              <w:tabs>
                <w:tab w:val="left" w:pos="3010"/>
              </w:tabs>
              <w:bidi/>
              <w:ind w:left="141"/>
              <w:jc w:val="center"/>
              <w:rPr>
                <w:color w:val="000000" w:themeColor="text1"/>
                <w:sz w:val="24"/>
                <w:szCs w:val="24"/>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shd w:val="clear" w:color="auto" w:fill="auto"/>
            <w:vAlign w:val="center"/>
          </w:tcPr>
          <w:p w:rsidR="00703DF4" w:rsidRPr="001144EF" w:rsidRDefault="00703DF4" w:rsidP="00703DF4">
            <w:pPr>
              <w:tabs>
                <w:tab w:val="left" w:pos="3010"/>
              </w:tabs>
              <w:bidi/>
              <w:ind w:left="141"/>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363" w:type="dxa"/>
            <w:vAlign w:val="center"/>
          </w:tcPr>
          <w:p w:rsidR="00703DF4" w:rsidRDefault="00703DF4" w:rsidP="00703DF4">
            <w:pPr>
              <w:tabs>
                <w:tab w:val="left" w:pos="3010"/>
              </w:tabs>
              <w:bidi/>
              <w:jc w:val="center"/>
              <w:rPr>
                <w:rtl/>
                <w:lang w:val="en-US" w:bidi="ar-DZ"/>
              </w:rPr>
            </w:pPr>
          </w:p>
        </w:tc>
        <w:tc>
          <w:tcPr>
            <w:tcW w:w="364" w:type="dxa"/>
            <w:vAlign w:val="center"/>
          </w:tcPr>
          <w:p w:rsidR="00703DF4" w:rsidRDefault="00703DF4" w:rsidP="00703DF4">
            <w:pPr>
              <w:tabs>
                <w:tab w:val="left" w:pos="3010"/>
              </w:tabs>
              <w:bidi/>
              <w:jc w:val="center"/>
              <w:rPr>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كثافة </w:t>
            </w:r>
            <w:r w:rsidRPr="0037357A">
              <w:rPr>
                <w:rFonts w:ascii="Simplified Arabic" w:eastAsia="Times New Roman" w:hAnsi="Simplified Arabic" w:cs="Simplified Arabic" w:hint="cs"/>
                <w:b/>
                <w:sz w:val="20"/>
                <w:szCs w:val="20"/>
                <w:rtl/>
                <w:lang w:val="en-US" w:eastAsia="fr-FR"/>
              </w:rPr>
              <w:t>البناء</w:t>
            </w:r>
          </w:p>
        </w:tc>
      </w:tr>
      <w:tr w:rsidR="00CC39B7" w:rsidRPr="00C53714" w:rsidTr="00703DF4">
        <w:trPr>
          <w:jc w:val="center"/>
        </w:trPr>
        <w:tc>
          <w:tcPr>
            <w:tcW w:w="1419" w:type="dxa"/>
            <w:vAlign w:val="center"/>
          </w:tcPr>
          <w:p w:rsidR="00CC39B7" w:rsidRPr="0037357A" w:rsidRDefault="00CC39B7"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الايواء المؤقت</w:t>
            </w:r>
          </w:p>
        </w:tc>
        <w:tc>
          <w:tcPr>
            <w:tcW w:w="363" w:type="dxa"/>
            <w:vAlign w:val="center"/>
          </w:tcPr>
          <w:p w:rsidR="00CC39B7" w:rsidRDefault="00CC39B7" w:rsidP="00703DF4">
            <w:pPr>
              <w:tabs>
                <w:tab w:val="left" w:pos="3010"/>
              </w:tabs>
              <w:bidi/>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4" w:type="dxa"/>
            <w:vAlign w:val="center"/>
          </w:tcPr>
          <w:p w:rsidR="00CC39B7" w:rsidRDefault="00CC39B7" w:rsidP="00703DF4">
            <w:pPr>
              <w:tabs>
                <w:tab w:val="left" w:pos="3010"/>
              </w:tabs>
              <w:bidi/>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4" w:type="dxa"/>
            <w:vAlign w:val="center"/>
          </w:tcPr>
          <w:p w:rsidR="00CC39B7" w:rsidRDefault="00CC39B7" w:rsidP="00703DF4">
            <w:pPr>
              <w:tabs>
                <w:tab w:val="left" w:pos="3010"/>
              </w:tabs>
              <w:bidi/>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4" w:type="dxa"/>
            <w:vAlign w:val="center"/>
          </w:tcPr>
          <w:p w:rsidR="00CC39B7" w:rsidRDefault="00CC39B7" w:rsidP="00703DF4">
            <w:pPr>
              <w:tabs>
                <w:tab w:val="left" w:pos="3010"/>
              </w:tabs>
              <w:bidi/>
              <w:jc w:val="center"/>
              <w:rPr>
                <w:rtl/>
                <w:lang w:val="en-US" w:bidi="ar-DZ"/>
              </w:rPr>
            </w:pPr>
          </w:p>
        </w:tc>
        <w:tc>
          <w:tcPr>
            <w:tcW w:w="363" w:type="dxa"/>
            <w:shd w:val="clear" w:color="auto" w:fill="D9D9D9" w:themeFill="background1" w:themeFillShade="D9"/>
            <w:vAlign w:val="center"/>
          </w:tcPr>
          <w:p w:rsidR="00CC39B7" w:rsidRPr="00B834D0" w:rsidRDefault="00CC39B7" w:rsidP="00703DF4">
            <w:pPr>
              <w:tabs>
                <w:tab w:val="left" w:pos="3010"/>
              </w:tabs>
              <w:bidi/>
              <w:ind w:left="141"/>
              <w:jc w:val="center"/>
              <w:rPr>
                <w:color w:val="000000" w:themeColor="text1"/>
                <w:sz w:val="24"/>
                <w:szCs w:val="24"/>
                <w:rtl/>
                <w:lang w:val="en-US" w:bidi="ar-DZ"/>
              </w:rPr>
            </w:pPr>
          </w:p>
        </w:tc>
        <w:tc>
          <w:tcPr>
            <w:tcW w:w="364" w:type="dxa"/>
            <w:vAlign w:val="center"/>
          </w:tcPr>
          <w:p w:rsidR="00CC39B7" w:rsidRDefault="00CC39B7" w:rsidP="00703DF4">
            <w:pPr>
              <w:tabs>
                <w:tab w:val="left" w:pos="3010"/>
              </w:tabs>
              <w:bidi/>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4" w:type="dxa"/>
            <w:shd w:val="clear" w:color="auto" w:fill="auto"/>
            <w:vAlign w:val="center"/>
          </w:tcPr>
          <w:p w:rsidR="00CC39B7" w:rsidRPr="001144EF" w:rsidRDefault="00CC39B7" w:rsidP="00703DF4">
            <w:pPr>
              <w:tabs>
                <w:tab w:val="left" w:pos="3010"/>
              </w:tabs>
              <w:bidi/>
              <w:ind w:left="226"/>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4" w:type="dxa"/>
            <w:vAlign w:val="center"/>
          </w:tcPr>
          <w:p w:rsidR="00CC39B7" w:rsidRDefault="00CC39B7" w:rsidP="00703DF4">
            <w:pPr>
              <w:tabs>
                <w:tab w:val="left" w:pos="3010"/>
              </w:tabs>
              <w:bidi/>
              <w:jc w:val="center"/>
              <w:rPr>
                <w:rtl/>
                <w:lang w:val="en-US" w:bidi="ar-DZ"/>
              </w:rPr>
            </w:pPr>
          </w:p>
        </w:tc>
        <w:tc>
          <w:tcPr>
            <w:tcW w:w="363" w:type="dxa"/>
            <w:vAlign w:val="center"/>
          </w:tcPr>
          <w:p w:rsidR="00CC39B7" w:rsidRDefault="00CC39B7" w:rsidP="00703DF4">
            <w:pPr>
              <w:tabs>
                <w:tab w:val="left" w:pos="3010"/>
              </w:tabs>
              <w:bidi/>
              <w:jc w:val="center"/>
              <w:rPr>
                <w:rtl/>
                <w:lang w:val="en-US" w:bidi="ar-DZ"/>
              </w:rPr>
            </w:pPr>
          </w:p>
        </w:tc>
        <w:tc>
          <w:tcPr>
            <w:tcW w:w="364" w:type="dxa"/>
            <w:vAlign w:val="center"/>
          </w:tcPr>
          <w:p w:rsidR="00CC39B7" w:rsidRDefault="00CC39B7" w:rsidP="00703DF4">
            <w:pPr>
              <w:tabs>
                <w:tab w:val="left" w:pos="3010"/>
              </w:tabs>
              <w:bidi/>
              <w:jc w:val="center"/>
              <w:rPr>
                <w:rtl/>
                <w:lang w:val="en-US" w:bidi="ar-DZ"/>
              </w:rPr>
            </w:pPr>
          </w:p>
        </w:tc>
        <w:tc>
          <w:tcPr>
            <w:tcW w:w="1387" w:type="dxa"/>
            <w:vAlign w:val="center"/>
          </w:tcPr>
          <w:p w:rsidR="00CC39B7" w:rsidRPr="006F1380" w:rsidRDefault="00CC39B7" w:rsidP="001435F9">
            <w:pPr>
              <w:widowControl w:val="0"/>
              <w:tabs>
                <w:tab w:val="right" w:pos="282"/>
              </w:tabs>
              <w:autoSpaceDE w:val="0"/>
              <w:autoSpaceDN w:val="0"/>
              <w:bidi/>
              <w:rPr>
                <w:rFonts w:ascii="Simplified Arabic" w:eastAsia="Times New Roman" w:hAnsi="Simplified Arabic" w:cs="Simplified Arabic"/>
                <w:b/>
                <w:sz w:val="20"/>
                <w:szCs w:val="20"/>
                <w:rtl/>
                <w:lang w:eastAsia="fr-FR" w:bidi="ar-DZ"/>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Pr="00CC39B7">
              <w:rPr>
                <w:rFonts w:ascii="Simplified Arabic" w:eastAsia="Times New Roman" w:hAnsi="Simplified Arabic" w:cs="Simplified Arabic"/>
                <w:b/>
                <w:sz w:val="20"/>
                <w:szCs w:val="20"/>
                <w:rtl/>
                <w:lang w:val="en-US" w:eastAsia="fr-FR"/>
              </w:rPr>
              <w:t>عمق</w:t>
            </w:r>
            <w:r w:rsidRPr="00CC39B7">
              <w:rPr>
                <w:rFonts w:ascii="Simplified Arabic" w:eastAsia="Times New Roman" w:hAnsi="Simplified Arabic" w:cs="Simplified Arabic"/>
                <w:b/>
                <w:sz w:val="20"/>
                <w:szCs w:val="20"/>
                <w:lang w:val="en-US" w:eastAsia="fr-FR"/>
              </w:rPr>
              <w:t xml:space="preserve"> </w:t>
            </w:r>
            <w:r w:rsidRPr="00CC39B7">
              <w:rPr>
                <w:rFonts w:ascii="Simplified Arabic" w:eastAsia="Times New Roman" w:hAnsi="Simplified Arabic" w:cs="Simplified Arabic"/>
                <w:b/>
                <w:sz w:val="20"/>
                <w:szCs w:val="20"/>
                <w:rtl/>
                <w:lang w:val="en-US" w:eastAsia="fr-FR"/>
              </w:rPr>
              <w:t>الطرق الشريانية</w:t>
            </w:r>
          </w:p>
        </w:tc>
      </w:tr>
    </w:tbl>
    <w:p w:rsidR="00703DF4" w:rsidRPr="00F32543" w:rsidRDefault="00703DF4" w:rsidP="001D0548">
      <w:pPr>
        <w:pStyle w:val="Paragraphedeliste"/>
        <w:numPr>
          <w:ilvl w:val="0"/>
          <w:numId w:val="50"/>
        </w:numPr>
        <w:bidi/>
        <w:spacing w:before="240" w:after="0" w:line="240" w:lineRule="auto"/>
        <w:rPr>
          <w:rFonts w:ascii="Simplified Arabic" w:hAnsi="Simplified Arabic" w:cs="Simplified Arabic"/>
          <w:sz w:val="24"/>
          <w:szCs w:val="24"/>
          <w:rtl/>
          <w:lang w:val="en-US" w:bidi="ar-DZ"/>
        </w:rPr>
      </w:pPr>
      <w:r w:rsidRPr="00F32543">
        <w:rPr>
          <w:rFonts w:ascii="Simplified Arabic" w:hAnsi="Simplified Arabic" w:cs="Simplified Arabic"/>
          <w:rtl/>
          <w:lang w:val="en-US" w:bidi="ar-DZ"/>
        </w:rPr>
        <w:t xml:space="preserve">يرجى تأكيد المقارنة </w:t>
      </w:r>
      <w:r w:rsidRPr="00E07F1A">
        <w:rPr>
          <w:rFonts w:ascii="Simplified Arabic" w:hAnsi="Simplified Arabic" w:cs="Simplified Arabic"/>
          <w:sz w:val="24"/>
          <w:szCs w:val="24"/>
          <w:rtl/>
          <w:lang w:val="en-US" w:bidi="ar-DZ"/>
        </w:rPr>
        <w:t xml:space="preserve">الزوجية </w:t>
      </w:r>
      <w:r w:rsidRPr="00E07F1A">
        <w:rPr>
          <w:rFonts w:ascii="Simplified Arabic" w:hAnsi="Simplified Arabic" w:cs="Simplified Arabic" w:hint="cs"/>
          <w:sz w:val="24"/>
          <w:szCs w:val="24"/>
          <w:rtl/>
          <w:lang w:val="en-US" w:bidi="ar-DZ"/>
        </w:rPr>
        <w:t>ل</w:t>
      </w:r>
      <w:r w:rsidRPr="00E07F1A">
        <w:rPr>
          <w:rFonts w:ascii="Simplified Arabic" w:eastAsia="Times New Roman" w:hAnsi="Simplified Arabic" w:cs="Simplified Arabic" w:hint="cs"/>
          <w:b/>
          <w:sz w:val="24"/>
          <w:szCs w:val="24"/>
          <w:rtl/>
          <w:lang w:val="en-US"/>
        </w:rPr>
        <w:t>معيار</w:t>
      </w:r>
      <w:r w:rsidRPr="00E07F1A">
        <w:rPr>
          <w:rFonts w:ascii="Simplified Arabic" w:eastAsia="Times New Roman" w:hAnsi="Simplified Arabic" w:cs="Simplified Arabic"/>
          <w:b/>
          <w:sz w:val="24"/>
          <w:szCs w:val="24"/>
          <w:rtl/>
          <w:lang w:val="en-US"/>
        </w:rPr>
        <w:t xml:space="preserve"> التضامن والتموين</w:t>
      </w:r>
      <w:r w:rsidRPr="00E07F1A">
        <w:rPr>
          <w:rFonts w:ascii="Simplified Arabic" w:hAnsi="Simplified Arabic" w:cs="Simplified Arabic" w:hint="cs"/>
          <w:sz w:val="24"/>
          <w:szCs w:val="24"/>
          <w:rtl/>
          <w:lang w:val="en-US" w:bidi="ar-DZ"/>
        </w:rPr>
        <w:t xml:space="preserve"> بمعايير</w:t>
      </w:r>
      <w:r w:rsidRPr="00F32543">
        <w:rPr>
          <w:rFonts w:ascii="Simplified Arabic" w:hAnsi="Simplified Arabic" w:cs="Simplified Arabic"/>
          <w:rtl/>
          <w:lang w:val="en-US" w:bidi="ar-DZ"/>
        </w:rPr>
        <w:t xml:space="preserve"> المرونة الحضرية الأخرى</w:t>
      </w:r>
      <w:r w:rsidRPr="00F32543">
        <w:rPr>
          <w:rFonts w:ascii="Simplified Arabic" w:hAnsi="Simplified Arabic" w:cs="Simplified Arabic"/>
          <w:sz w:val="24"/>
          <w:szCs w:val="24"/>
          <w:rtl/>
          <w:lang w:val="en-US" w:bidi="ar-DZ"/>
        </w:rPr>
        <w:t>.</w:t>
      </w:r>
    </w:p>
    <w:tbl>
      <w:tblPr>
        <w:tblStyle w:val="Grilledutableau"/>
        <w:bidiVisual/>
        <w:tblW w:w="8984" w:type="dxa"/>
        <w:jc w:val="center"/>
        <w:tblInd w:w="279" w:type="dxa"/>
        <w:tblLook w:val="04A0" w:firstRow="1" w:lastRow="0" w:firstColumn="1" w:lastColumn="0" w:noHBand="0" w:noVBand="1"/>
      </w:tblPr>
      <w:tblGrid>
        <w:gridCol w:w="1419"/>
        <w:gridCol w:w="363"/>
        <w:gridCol w:w="363"/>
        <w:gridCol w:w="364"/>
        <w:gridCol w:w="363"/>
        <w:gridCol w:w="364"/>
        <w:gridCol w:w="363"/>
        <w:gridCol w:w="363"/>
        <w:gridCol w:w="364"/>
        <w:gridCol w:w="363"/>
        <w:gridCol w:w="364"/>
        <w:gridCol w:w="363"/>
        <w:gridCol w:w="363"/>
        <w:gridCol w:w="364"/>
        <w:gridCol w:w="363"/>
        <w:gridCol w:w="364"/>
        <w:gridCol w:w="363"/>
        <w:gridCol w:w="364"/>
        <w:gridCol w:w="1387"/>
      </w:tblGrid>
      <w:tr w:rsidR="00703DF4" w:rsidRPr="00F32543" w:rsidTr="00703DF4">
        <w:trPr>
          <w:jc w:val="center"/>
        </w:trPr>
        <w:tc>
          <w:tcPr>
            <w:tcW w:w="8984"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703DF4">
        <w:trPr>
          <w:jc w:val="center"/>
        </w:trPr>
        <w:tc>
          <w:tcPr>
            <w:tcW w:w="8984"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1904" behindDoc="0" locked="0" layoutInCell="1" allowOverlap="1" wp14:anchorId="2F8BC644" wp14:editId="2041FE64">
                      <wp:simplePos x="0" y="0"/>
                      <wp:positionH relativeFrom="column">
                        <wp:posOffset>2694940</wp:posOffset>
                      </wp:positionH>
                      <wp:positionV relativeFrom="paragraph">
                        <wp:posOffset>68580</wp:posOffset>
                      </wp:positionV>
                      <wp:extent cx="149860" cy="129540"/>
                      <wp:effectExtent l="0" t="0" r="21590" b="22860"/>
                      <wp:wrapNone/>
                      <wp:docPr id="213" name="Ellipse 213"/>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3" o:spid="_x0000_s1026" style="position:absolute;margin-left:212.2pt;margin-top:5.4pt;width:11.8pt;height:10.2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0880" behindDoc="0" locked="0" layoutInCell="1" allowOverlap="1" wp14:anchorId="1EC90B16" wp14:editId="21BB0CC8">
                      <wp:simplePos x="0" y="0"/>
                      <wp:positionH relativeFrom="column">
                        <wp:posOffset>796925</wp:posOffset>
                      </wp:positionH>
                      <wp:positionV relativeFrom="paragraph">
                        <wp:posOffset>134620</wp:posOffset>
                      </wp:positionV>
                      <wp:extent cx="3919220" cy="0"/>
                      <wp:effectExtent l="57150" t="76200" r="24130" b="133350"/>
                      <wp:wrapNone/>
                      <wp:docPr id="214" name="Connecteur droit avec flèche 214"/>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14" o:spid="_x0000_s1026" type="#_x0000_t32" style="position:absolute;margin-left:62.75pt;margin-top:10.6pt;width:308.6pt;height:0;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" strokecolor="red" strokeweight="1pt">
                      <v:stroke startarrow="block" endarrow="block"/>
                      <v:shadow on="t" color="black" opacity="24903f" origin=",.5" offset="0,.55556mm"/>
                    </v:shape>
                  </w:pict>
                </mc:Fallback>
              </mc:AlternateConten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4"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38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703DF4" w:rsidRPr="00F32543" w:rsidTr="00703DF4">
        <w:trPr>
          <w:jc w:val="center"/>
        </w:trPr>
        <w:tc>
          <w:tcPr>
            <w:tcW w:w="1419"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التضامن والتموين</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703DF4" w:rsidRPr="0037357A" w:rsidRDefault="00703DF4"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كثافة </w:t>
            </w:r>
            <w:r w:rsidRPr="0037357A">
              <w:rPr>
                <w:rFonts w:ascii="Simplified Arabic" w:eastAsia="Times New Roman" w:hAnsi="Simplified Arabic" w:cs="Simplified Arabic" w:hint="cs"/>
                <w:b/>
                <w:sz w:val="20"/>
                <w:szCs w:val="20"/>
                <w:rtl/>
                <w:lang w:val="en-US" w:eastAsia="fr-FR"/>
              </w:rPr>
              <w:t>البناء</w:t>
            </w:r>
          </w:p>
        </w:tc>
      </w:tr>
      <w:tr w:rsidR="00CC39B7" w:rsidRPr="00F32543" w:rsidTr="00703DF4">
        <w:trPr>
          <w:jc w:val="center"/>
        </w:trPr>
        <w:tc>
          <w:tcPr>
            <w:tcW w:w="1419" w:type="dxa"/>
            <w:vAlign w:val="center"/>
          </w:tcPr>
          <w:p w:rsidR="00CC39B7" w:rsidRPr="0037357A" w:rsidRDefault="00CC39B7"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التضامن والتموين</w:t>
            </w: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CC39B7" w:rsidRPr="00F32543" w:rsidRDefault="00CC39B7"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CC39B7" w:rsidRPr="00F32543" w:rsidRDefault="00CC39B7"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CC39B7" w:rsidRPr="006F1380" w:rsidRDefault="00CC39B7" w:rsidP="001435F9">
            <w:pPr>
              <w:widowControl w:val="0"/>
              <w:tabs>
                <w:tab w:val="right" w:pos="282"/>
              </w:tabs>
              <w:autoSpaceDE w:val="0"/>
              <w:autoSpaceDN w:val="0"/>
              <w:bidi/>
              <w:rPr>
                <w:rFonts w:ascii="Simplified Arabic" w:eastAsia="Times New Roman" w:hAnsi="Simplified Arabic" w:cs="Simplified Arabic"/>
                <w:b/>
                <w:sz w:val="20"/>
                <w:szCs w:val="20"/>
                <w:rtl/>
                <w:lang w:eastAsia="fr-FR" w:bidi="ar-DZ"/>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Pr="00CC39B7">
              <w:rPr>
                <w:rFonts w:ascii="Simplified Arabic" w:eastAsia="Times New Roman" w:hAnsi="Simplified Arabic" w:cs="Simplified Arabic"/>
                <w:b/>
                <w:sz w:val="20"/>
                <w:szCs w:val="20"/>
                <w:rtl/>
                <w:lang w:val="en-US" w:eastAsia="fr-FR"/>
              </w:rPr>
              <w:t>عمق</w:t>
            </w:r>
            <w:r w:rsidRPr="00CC39B7">
              <w:rPr>
                <w:rFonts w:ascii="Simplified Arabic" w:eastAsia="Times New Roman" w:hAnsi="Simplified Arabic" w:cs="Simplified Arabic"/>
                <w:b/>
                <w:sz w:val="20"/>
                <w:szCs w:val="20"/>
                <w:lang w:val="en-US" w:eastAsia="fr-FR"/>
              </w:rPr>
              <w:t xml:space="preserve"> </w:t>
            </w:r>
            <w:r w:rsidRPr="00CC39B7">
              <w:rPr>
                <w:rFonts w:ascii="Simplified Arabic" w:eastAsia="Times New Roman" w:hAnsi="Simplified Arabic" w:cs="Simplified Arabic"/>
                <w:b/>
                <w:sz w:val="20"/>
                <w:szCs w:val="20"/>
                <w:rtl/>
                <w:lang w:val="en-US" w:eastAsia="fr-FR"/>
              </w:rPr>
              <w:t>الطرق الشريانية</w:t>
            </w:r>
          </w:p>
        </w:tc>
      </w:tr>
    </w:tbl>
    <w:p w:rsidR="00703DF4" w:rsidRPr="00F32543" w:rsidRDefault="00703DF4" w:rsidP="001D0548">
      <w:pPr>
        <w:pStyle w:val="Paragraphedeliste"/>
        <w:numPr>
          <w:ilvl w:val="0"/>
          <w:numId w:val="50"/>
        </w:numPr>
        <w:bidi/>
        <w:spacing w:before="240" w:after="0" w:line="240" w:lineRule="auto"/>
        <w:rPr>
          <w:rFonts w:ascii="Simplified Arabic" w:hAnsi="Simplified Arabic" w:cs="Simplified Arabic"/>
          <w:sz w:val="24"/>
          <w:szCs w:val="24"/>
          <w:rtl/>
          <w:lang w:val="en-US" w:bidi="ar-DZ"/>
        </w:rPr>
      </w:pPr>
      <w:r w:rsidRPr="00F32543">
        <w:rPr>
          <w:rFonts w:ascii="Simplified Arabic" w:hAnsi="Simplified Arabic" w:cs="Simplified Arabic"/>
          <w:sz w:val="24"/>
          <w:szCs w:val="24"/>
          <w:rtl/>
          <w:lang w:val="en-US" w:bidi="ar-DZ"/>
        </w:rPr>
        <w:t xml:space="preserve">يرجى تأكيد المقارنة الزوجية </w:t>
      </w:r>
      <w:r w:rsidRPr="00E07F1A">
        <w:rPr>
          <w:rFonts w:ascii="Simplified Arabic" w:hAnsi="Simplified Arabic" w:cs="Simplified Arabic" w:hint="cs"/>
          <w:sz w:val="24"/>
          <w:szCs w:val="24"/>
          <w:rtl/>
          <w:lang w:val="en-US" w:bidi="ar-DZ"/>
        </w:rPr>
        <w:t>ل</w:t>
      </w:r>
      <w:r w:rsidRPr="00E07F1A">
        <w:rPr>
          <w:rFonts w:ascii="Simplified Arabic" w:eastAsia="Times New Roman" w:hAnsi="Simplified Arabic" w:cs="Simplified Arabic" w:hint="cs"/>
          <w:b/>
          <w:sz w:val="24"/>
          <w:szCs w:val="24"/>
          <w:rtl/>
          <w:lang w:val="en-US"/>
        </w:rPr>
        <w:t>معيار</w:t>
      </w:r>
      <w:r w:rsidRPr="00E07F1A">
        <w:rPr>
          <w:rFonts w:ascii="Simplified Arabic" w:eastAsia="Times New Roman" w:hAnsi="Simplified Arabic" w:cs="Simplified Arabic"/>
          <w:b/>
          <w:sz w:val="24"/>
          <w:szCs w:val="24"/>
          <w:rtl/>
          <w:lang w:val="en-US"/>
        </w:rPr>
        <w:t xml:space="preserve"> كثافة </w:t>
      </w:r>
      <w:r w:rsidRPr="00E07F1A">
        <w:rPr>
          <w:rFonts w:ascii="Simplified Arabic" w:eastAsia="Times New Roman" w:hAnsi="Simplified Arabic" w:cs="Simplified Arabic" w:hint="cs"/>
          <w:b/>
          <w:sz w:val="24"/>
          <w:szCs w:val="24"/>
          <w:rtl/>
          <w:lang w:val="en-US"/>
        </w:rPr>
        <w:t>البناء</w:t>
      </w:r>
      <w:r w:rsidRPr="00E07F1A">
        <w:rPr>
          <w:rFonts w:ascii="Simplified Arabic" w:hAnsi="Simplified Arabic" w:cs="Simplified Arabic" w:hint="cs"/>
          <w:sz w:val="24"/>
          <w:szCs w:val="24"/>
          <w:rtl/>
          <w:lang w:val="en-US" w:bidi="ar-DZ"/>
        </w:rPr>
        <w:t xml:space="preserve"> بمعايير</w:t>
      </w:r>
      <w:r w:rsidRPr="00F32543">
        <w:rPr>
          <w:rFonts w:ascii="Simplified Arabic" w:hAnsi="Simplified Arabic" w:cs="Simplified Arabic"/>
          <w:sz w:val="24"/>
          <w:szCs w:val="24"/>
          <w:rtl/>
          <w:lang w:val="en-US" w:bidi="ar-DZ"/>
        </w:rPr>
        <w:t xml:space="preserve"> المرونة الحضرية الأخرى.</w:t>
      </w:r>
    </w:p>
    <w:tbl>
      <w:tblPr>
        <w:tblStyle w:val="Grilledutableau"/>
        <w:bidiVisual/>
        <w:tblW w:w="8984" w:type="dxa"/>
        <w:jc w:val="center"/>
        <w:tblInd w:w="279" w:type="dxa"/>
        <w:tblLook w:val="04A0" w:firstRow="1" w:lastRow="0" w:firstColumn="1" w:lastColumn="0" w:noHBand="0" w:noVBand="1"/>
      </w:tblPr>
      <w:tblGrid>
        <w:gridCol w:w="1419"/>
        <w:gridCol w:w="363"/>
        <w:gridCol w:w="363"/>
        <w:gridCol w:w="364"/>
        <w:gridCol w:w="363"/>
        <w:gridCol w:w="364"/>
        <w:gridCol w:w="363"/>
        <w:gridCol w:w="363"/>
        <w:gridCol w:w="364"/>
        <w:gridCol w:w="363"/>
        <w:gridCol w:w="364"/>
        <w:gridCol w:w="363"/>
        <w:gridCol w:w="363"/>
        <w:gridCol w:w="364"/>
        <w:gridCol w:w="363"/>
        <w:gridCol w:w="364"/>
        <w:gridCol w:w="363"/>
        <w:gridCol w:w="364"/>
        <w:gridCol w:w="1387"/>
      </w:tblGrid>
      <w:tr w:rsidR="00703DF4" w:rsidRPr="00F32543" w:rsidTr="00703DF4">
        <w:trPr>
          <w:jc w:val="center"/>
        </w:trPr>
        <w:tc>
          <w:tcPr>
            <w:tcW w:w="8984"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703DF4">
        <w:trPr>
          <w:jc w:val="center"/>
        </w:trPr>
        <w:tc>
          <w:tcPr>
            <w:tcW w:w="8984"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2928" behindDoc="0" locked="0" layoutInCell="1" allowOverlap="1" wp14:anchorId="50F577A0" wp14:editId="73FB0CB7">
                      <wp:simplePos x="0" y="0"/>
                      <wp:positionH relativeFrom="column">
                        <wp:posOffset>796925</wp:posOffset>
                      </wp:positionH>
                      <wp:positionV relativeFrom="paragraph">
                        <wp:posOffset>141605</wp:posOffset>
                      </wp:positionV>
                      <wp:extent cx="3919220" cy="0"/>
                      <wp:effectExtent l="57150" t="76200" r="24130" b="133350"/>
                      <wp:wrapNone/>
                      <wp:docPr id="215" name="Connecteur droit avec flèche 215"/>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15" o:spid="_x0000_s1026" type="#_x0000_t32" style="position:absolute;margin-left:62.75pt;margin-top:11.15pt;width:308.6pt;height:0;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" strokecolor="red" strokeweight="1pt">
                      <v:stroke startarrow="block" endarrow="block"/>
                      <v:shadow on="t" color="black" opacity="24903f" origin=",.5" offset="0,.55556mm"/>
                    </v:shape>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3952" behindDoc="0" locked="0" layoutInCell="1" allowOverlap="1" wp14:anchorId="0123AF49" wp14:editId="51083F16">
                      <wp:simplePos x="0" y="0"/>
                      <wp:positionH relativeFrom="column">
                        <wp:posOffset>2701925</wp:posOffset>
                      </wp:positionH>
                      <wp:positionV relativeFrom="paragraph">
                        <wp:posOffset>70485</wp:posOffset>
                      </wp:positionV>
                      <wp:extent cx="149860" cy="129540"/>
                      <wp:effectExtent l="0" t="0" r="21590" b="22860"/>
                      <wp:wrapNone/>
                      <wp:docPr id="216" name="Ellipse 216"/>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6" o:spid="_x0000_s1026" style="position:absolute;margin-left:212.75pt;margin-top:5.55pt;width:11.8pt;height:10.2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" fillcolor="#0070c0" strokecolor="black [3200]" strokeweight="1pt"/>
                  </w:pict>
                </mc:Fallback>
              </mc:AlternateContent>
            </w:r>
          </w:p>
        </w:tc>
      </w:tr>
      <w:tr w:rsidR="00703DF4" w:rsidRPr="00F32543" w:rsidTr="00703DF4">
        <w:trPr>
          <w:jc w:val="center"/>
        </w:trPr>
        <w:tc>
          <w:tcPr>
            <w:tcW w:w="1419"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64"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6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6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38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CC39B7" w:rsidRPr="00F32543" w:rsidTr="00703DF4">
        <w:trPr>
          <w:jc w:val="center"/>
        </w:trPr>
        <w:tc>
          <w:tcPr>
            <w:tcW w:w="1419" w:type="dxa"/>
            <w:vAlign w:val="center"/>
          </w:tcPr>
          <w:p w:rsidR="00CC39B7" w:rsidRPr="0037357A" w:rsidRDefault="00CC39B7" w:rsidP="00703DF4">
            <w:pPr>
              <w:widowControl w:val="0"/>
              <w:tabs>
                <w:tab w:val="right" w:pos="282"/>
              </w:tabs>
              <w:autoSpaceDE w:val="0"/>
              <w:autoSpaceDN w:val="0"/>
              <w:bidi/>
              <w:jc w:val="center"/>
              <w:rPr>
                <w:rFonts w:ascii="Simplified Arabic" w:eastAsia="Times New Roman" w:hAnsi="Simplified Arabic" w:cs="Simplified Arabic"/>
                <w:b/>
                <w:sz w:val="20"/>
                <w:szCs w:val="20"/>
                <w:rtl/>
                <w:lang w:val="en-US" w:eastAsia="fr-FR"/>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كثافة </w:t>
            </w:r>
            <w:r w:rsidRPr="0037357A">
              <w:rPr>
                <w:rFonts w:ascii="Simplified Arabic" w:eastAsia="Times New Roman" w:hAnsi="Simplified Arabic" w:cs="Simplified Arabic" w:hint="cs"/>
                <w:b/>
                <w:sz w:val="20"/>
                <w:szCs w:val="20"/>
                <w:rtl/>
                <w:lang w:val="en-US" w:eastAsia="fr-FR"/>
              </w:rPr>
              <w:t>البناء</w:t>
            </w: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shd w:val="clear" w:color="auto" w:fill="D9D9D9" w:themeFill="background1" w:themeFillShade="D9"/>
            <w:vAlign w:val="center"/>
          </w:tcPr>
          <w:p w:rsidR="00CC39B7" w:rsidRPr="00F32543" w:rsidRDefault="00CC39B7"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shd w:val="clear" w:color="auto" w:fill="auto"/>
            <w:vAlign w:val="center"/>
          </w:tcPr>
          <w:p w:rsidR="00CC39B7" w:rsidRPr="00F32543" w:rsidRDefault="00CC39B7" w:rsidP="00703DF4">
            <w:pPr>
              <w:tabs>
                <w:tab w:val="left" w:pos="3010"/>
              </w:tabs>
              <w:bidi/>
              <w:ind w:left="141"/>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3"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364" w:type="dxa"/>
            <w:vAlign w:val="center"/>
          </w:tcPr>
          <w:p w:rsidR="00CC39B7" w:rsidRPr="00F32543" w:rsidRDefault="00CC39B7" w:rsidP="00703DF4">
            <w:pPr>
              <w:tabs>
                <w:tab w:val="left" w:pos="3010"/>
              </w:tabs>
              <w:bidi/>
              <w:jc w:val="center"/>
              <w:rPr>
                <w:rFonts w:ascii="Simplified Arabic" w:hAnsi="Simplified Arabic" w:cs="Simplified Arabic"/>
                <w:sz w:val="20"/>
                <w:szCs w:val="20"/>
                <w:rtl/>
                <w:lang w:val="en-US" w:bidi="ar-DZ"/>
              </w:rPr>
            </w:pPr>
          </w:p>
        </w:tc>
        <w:tc>
          <w:tcPr>
            <w:tcW w:w="1387" w:type="dxa"/>
            <w:vAlign w:val="center"/>
          </w:tcPr>
          <w:p w:rsidR="00CC39B7" w:rsidRPr="006F1380" w:rsidRDefault="00CC39B7" w:rsidP="001435F9">
            <w:pPr>
              <w:widowControl w:val="0"/>
              <w:tabs>
                <w:tab w:val="right" w:pos="282"/>
              </w:tabs>
              <w:autoSpaceDE w:val="0"/>
              <w:autoSpaceDN w:val="0"/>
              <w:bidi/>
              <w:rPr>
                <w:rFonts w:ascii="Simplified Arabic" w:eastAsia="Times New Roman" w:hAnsi="Simplified Arabic" w:cs="Simplified Arabic"/>
                <w:b/>
                <w:sz w:val="20"/>
                <w:szCs w:val="20"/>
                <w:rtl/>
                <w:lang w:eastAsia="fr-FR" w:bidi="ar-DZ"/>
              </w:rPr>
            </w:pPr>
            <w:r w:rsidRPr="0037357A">
              <w:rPr>
                <w:rFonts w:ascii="Simplified Arabic" w:eastAsia="Times New Roman" w:hAnsi="Simplified Arabic" w:cs="Simplified Arabic" w:hint="cs"/>
                <w:b/>
                <w:sz w:val="20"/>
                <w:szCs w:val="20"/>
                <w:rtl/>
                <w:lang w:val="en-US" w:eastAsia="fr-FR"/>
              </w:rPr>
              <w:t>معيار</w:t>
            </w:r>
            <w:r w:rsidRPr="0037357A">
              <w:rPr>
                <w:rFonts w:ascii="Simplified Arabic" w:eastAsia="Times New Roman" w:hAnsi="Simplified Arabic" w:cs="Simplified Arabic"/>
                <w:b/>
                <w:sz w:val="20"/>
                <w:szCs w:val="20"/>
                <w:rtl/>
                <w:lang w:val="en-US" w:eastAsia="fr-FR"/>
              </w:rPr>
              <w:t xml:space="preserve"> </w:t>
            </w:r>
            <w:r w:rsidRPr="00CC39B7">
              <w:rPr>
                <w:rFonts w:ascii="Simplified Arabic" w:eastAsia="Times New Roman" w:hAnsi="Simplified Arabic" w:cs="Simplified Arabic"/>
                <w:b/>
                <w:sz w:val="20"/>
                <w:szCs w:val="20"/>
                <w:rtl/>
                <w:lang w:val="en-US" w:eastAsia="fr-FR"/>
              </w:rPr>
              <w:t>عمق</w:t>
            </w:r>
            <w:r w:rsidRPr="00CC39B7">
              <w:rPr>
                <w:rFonts w:ascii="Simplified Arabic" w:eastAsia="Times New Roman" w:hAnsi="Simplified Arabic" w:cs="Simplified Arabic"/>
                <w:b/>
                <w:sz w:val="20"/>
                <w:szCs w:val="20"/>
                <w:lang w:val="en-US" w:eastAsia="fr-FR"/>
              </w:rPr>
              <w:t xml:space="preserve"> </w:t>
            </w:r>
            <w:r w:rsidRPr="00CC39B7">
              <w:rPr>
                <w:rFonts w:ascii="Simplified Arabic" w:eastAsia="Times New Roman" w:hAnsi="Simplified Arabic" w:cs="Simplified Arabic"/>
                <w:b/>
                <w:sz w:val="20"/>
                <w:szCs w:val="20"/>
                <w:rtl/>
                <w:lang w:val="en-US" w:eastAsia="fr-FR"/>
              </w:rPr>
              <w:t>الطرق الشريانية</w:t>
            </w:r>
          </w:p>
        </w:tc>
      </w:tr>
    </w:tbl>
    <w:p w:rsidR="00703DF4" w:rsidRDefault="00703DF4" w:rsidP="00703DF4">
      <w:pPr>
        <w:bidi/>
        <w:spacing w:after="0" w:line="240" w:lineRule="auto"/>
        <w:rPr>
          <w:rFonts w:asciiTheme="minorBidi" w:hAnsiTheme="minorBidi"/>
          <w:sz w:val="28"/>
          <w:szCs w:val="28"/>
          <w:rtl/>
        </w:rPr>
      </w:pPr>
    </w:p>
    <w:p w:rsidR="00703DF4" w:rsidRDefault="00703DF4" w:rsidP="00703DF4">
      <w:pPr>
        <w:bidi/>
        <w:spacing w:after="0" w:line="240" w:lineRule="auto"/>
        <w:rPr>
          <w:rFonts w:ascii="Simplified Arabic" w:hAnsi="Simplified Arabic" w:cs="Simplified Arabic"/>
          <w:b/>
          <w:bCs/>
          <w:color w:val="000000" w:themeColor="text1"/>
          <w:sz w:val="24"/>
          <w:szCs w:val="24"/>
          <w:rtl/>
          <w:lang w:val="en-US" w:bidi="ar-DZ"/>
        </w:rPr>
      </w:pPr>
      <w:r>
        <w:rPr>
          <w:rFonts w:ascii="Simplified Arabic" w:hAnsi="Simplified Arabic" w:cs="Simplified Arabic" w:hint="cs"/>
          <w:b/>
          <w:bCs/>
          <w:color w:val="000000" w:themeColor="text1"/>
          <w:sz w:val="24"/>
          <w:szCs w:val="24"/>
          <w:rtl/>
          <w:lang w:val="en-US" w:bidi="ar-DZ"/>
        </w:rPr>
        <w:t>ثالثا</w:t>
      </w:r>
      <w:r w:rsidRPr="004355AD">
        <w:rPr>
          <w:rFonts w:ascii="Simplified Arabic" w:hAnsi="Simplified Arabic" w:cs="Simplified Arabic"/>
          <w:b/>
          <w:bCs/>
          <w:color w:val="000000" w:themeColor="text1"/>
          <w:sz w:val="24"/>
          <w:szCs w:val="24"/>
          <w:rtl/>
          <w:lang w:val="en-US" w:bidi="ar-DZ"/>
        </w:rPr>
        <w:t xml:space="preserve">: المقارنة الزوجية </w:t>
      </w:r>
      <w:r>
        <w:rPr>
          <w:rFonts w:ascii="Simplified Arabic" w:hAnsi="Simplified Arabic" w:cs="Simplified Arabic" w:hint="cs"/>
          <w:b/>
          <w:bCs/>
          <w:color w:val="000000" w:themeColor="text1"/>
          <w:sz w:val="24"/>
          <w:szCs w:val="24"/>
          <w:rtl/>
          <w:lang w:val="en-US" w:bidi="ar-DZ"/>
        </w:rPr>
        <w:t>للعوامل</w:t>
      </w:r>
      <w:r w:rsidRPr="004355AD">
        <w:rPr>
          <w:rFonts w:ascii="Simplified Arabic" w:hAnsi="Simplified Arabic" w:cs="Simplified Arabic"/>
          <w:b/>
          <w:bCs/>
          <w:color w:val="000000" w:themeColor="text1"/>
          <w:sz w:val="24"/>
          <w:szCs w:val="24"/>
          <w:rtl/>
          <w:lang w:val="en-US" w:bidi="ar-DZ"/>
        </w:rPr>
        <w:t xml:space="preserve"> </w:t>
      </w:r>
      <w:r>
        <w:rPr>
          <w:rFonts w:ascii="Simplified Arabic" w:hAnsi="Simplified Arabic" w:cs="Simplified Arabic" w:hint="cs"/>
          <w:b/>
          <w:bCs/>
          <w:color w:val="000000" w:themeColor="text1"/>
          <w:sz w:val="24"/>
          <w:szCs w:val="24"/>
          <w:rtl/>
          <w:lang w:val="en-US" w:bidi="ar-DZ"/>
        </w:rPr>
        <w:t>الفرعية ل</w:t>
      </w:r>
      <w:r w:rsidRPr="004355AD">
        <w:rPr>
          <w:rFonts w:ascii="Simplified Arabic" w:hAnsi="Simplified Arabic" w:cs="Simplified Arabic"/>
          <w:b/>
          <w:bCs/>
          <w:color w:val="000000" w:themeColor="text1"/>
          <w:sz w:val="24"/>
          <w:szCs w:val="24"/>
          <w:rtl/>
          <w:lang w:val="en-US" w:bidi="ar-DZ"/>
        </w:rPr>
        <w:t>تقييم المرونة</w:t>
      </w:r>
    </w:p>
    <w:p w:rsidR="00703DF4" w:rsidRPr="00F32543" w:rsidRDefault="00703DF4" w:rsidP="00703DF4">
      <w:pPr>
        <w:bidi/>
        <w:spacing w:after="0" w:line="240" w:lineRule="auto"/>
        <w:rPr>
          <w:rFonts w:ascii="Simplified Arabic" w:hAnsi="Simplified Arabic" w:cs="Simplified Arabic"/>
          <w:sz w:val="24"/>
          <w:szCs w:val="24"/>
          <w:lang w:val="en-US" w:bidi="ar-DZ"/>
        </w:rPr>
      </w:pPr>
      <w:r w:rsidRPr="00F32543">
        <w:rPr>
          <w:rFonts w:ascii="Simplified Arabic" w:hAnsi="Simplified Arabic" w:cs="Simplified Arabic"/>
          <w:sz w:val="24"/>
          <w:szCs w:val="24"/>
          <w:rtl/>
          <w:lang w:val="en-US" w:bidi="ar-DZ"/>
        </w:rPr>
        <w:t>هل يمكنك من فضلك إجراء المقارنة الزوجية التالية، لتحديد نظام الترجيح المطبق في السياق المحلي لمدينة بوسعادة؟</w:t>
      </w:r>
    </w:p>
    <w:p w:rsidR="00703DF4" w:rsidRDefault="00703DF4" w:rsidP="001D0548">
      <w:pPr>
        <w:pStyle w:val="Paragraphedeliste"/>
        <w:numPr>
          <w:ilvl w:val="0"/>
          <w:numId w:val="54"/>
        </w:numPr>
        <w:bidi/>
        <w:spacing w:after="0" w:line="240" w:lineRule="auto"/>
        <w:jc w:val="both"/>
        <w:rPr>
          <w:rFonts w:ascii="Simplified Arabic" w:hAnsi="Simplified Arabic" w:cs="Simplified Arabic"/>
          <w:sz w:val="24"/>
          <w:szCs w:val="24"/>
          <w:lang w:val="en-US" w:bidi="ar-DZ"/>
        </w:rPr>
      </w:pPr>
      <w:r w:rsidRPr="00F32543">
        <w:rPr>
          <w:rFonts w:ascii="Simplified Arabic" w:hAnsi="Simplified Arabic" w:cs="Simplified Arabic"/>
          <w:sz w:val="24"/>
          <w:szCs w:val="24"/>
          <w:rtl/>
          <w:lang w:val="en-US" w:bidi="ar-DZ"/>
        </w:rPr>
        <w:t xml:space="preserve">يرجى تأكيد المقارنة الزوجية </w:t>
      </w:r>
      <w:r>
        <w:rPr>
          <w:rFonts w:ascii="Simplified Arabic" w:hAnsi="Simplified Arabic" w:cs="Simplified Arabic" w:hint="cs"/>
          <w:sz w:val="24"/>
          <w:szCs w:val="24"/>
          <w:rtl/>
          <w:lang w:val="en-US" w:bidi="ar-DZ"/>
        </w:rPr>
        <w:t>بين ال</w:t>
      </w:r>
      <w:r w:rsidRPr="00F32543">
        <w:rPr>
          <w:rFonts w:ascii="Simplified Arabic" w:hAnsi="Simplified Arabic" w:cs="Simplified Arabic"/>
          <w:sz w:val="24"/>
          <w:szCs w:val="24"/>
          <w:rtl/>
          <w:lang w:val="en-US" w:bidi="ar-DZ"/>
        </w:rPr>
        <w:t>ع</w:t>
      </w:r>
      <w:r>
        <w:rPr>
          <w:rFonts w:ascii="Simplified Arabic" w:hAnsi="Simplified Arabic" w:cs="Simplified Arabic" w:hint="cs"/>
          <w:sz w:val="24"/>
          <w:szCs w:val="24"/>
          <w:rtl/>
          <w:lang w:val="en-US" w:bidi="ar-DZ"/>
        </w:rPr>
        <w:t>و</w:t>
      </w:r>
      <w:r w:rsidRPr="00F32543">
        <w:rPr>
          <w:rFonts w:ascii="Simplified Arabic" w:hAnsi="Simplified Arabic" w:cs="Simplified Arabic"/>
          <w:sz w:val="24"/>
          <w:szCs w:val="24"/>
          <w:rtl/>
          <w:lang w:val="en-US" w:bidi="ar-DZ"/>
        </w:rPr>
        <w:t>امل</w:t>
      </w:r>
      <w:r>
        <w:rPr>
          <w:rFonts w:ascii="Simplified Arabic" w:hAnsi="Simplified Arabic" w:cs="Simplified Arabic" w:hint="cs"/>
          <w:sz w:val="24"/>
          <w:szCs w:val="24"/>
          <w:rtl/>
          <w:lang w:val="en-US" w:bidi="ar-DZ"/>
        </w:rPr>
        <w:t xml:space="preserve"> الفرعية</w:t>
      </w:r>
      <w:r w:rsidRPr="00F32543">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ل</w:t>
      </w:r>
      <w:r w:rsidRPr="000F3989">
        <w:rPr>
          <w:rFonts w:ascii="Simplified Arabic" w:hAnsi="Simplified Arabic" w:cs="Simplified Arabic"/>
          <w:sz w:val="24"/>
          <w:szCs w:val="24"/>
          <w:rtl/>
        </w:rPr>
        <w:t>لمساف</w:t>
      </w:r>
      <w:r>
        <w:rPr>
          <w:rFonts w:ascii="Simplified Arabic" w:hAnsi="Simplified Arabic" w:cs="Simplified Arabic" w:hint="cs"/>
          <w:sz w:val="24"/>
          <w:szCs w:val="24"/>
          <w:rtl/>
        </w:rPr>
        <w:t>ات</w:t>
      </w:r>
      <w:r w:rsidRPr="000F3989">
        <w:rPr>
          <w:rFonts w:ascii="Simplified Arabic" w:hAnsi="Simplified Arabic" w:cs="Simplified Arabic"/>
          <w:sz w:val="24"/>
          <w:szCs w:val="24"/>
          <w:rtl/>
        </w:rPr>
        <w:t xml:space="preserve"> التي ترى انها ملائمة </w:t>
      </w:r>
      <w:r>
        <w:rPr>
          <w:rFonts w:ascii="Simplified Arabic" w:hAnsi="Simplified Arabic" w:cs="Simplified Arabic" w:hint="cs"/>
          <w:sz w:val="24"/>
          <w:szCs w:val="24"/>
          <w:rtl/>
        </w:rPr>
        <w:t>للسير</w:t>
      </w:r>
      <w:r w:rsidRPr="000F3989">
        <w:rPr>
          <w:rFonts w:ascii="Simplified Arabic" w:hAnsi="Simplified Arabic" w:cs="Simplified Arabic"/>
          <w:sz w:val="24"/>
          <w:szCs w:val="24"/>
          <w:rtl/>
        </w:rPr>
        <w:t xml:space="preserve"> مشي</w:t>
      </w:r>
      <w:r>
        <w:rPr>
          <w:rFonts w:ascii="Simplified Arabic" w:hAnsi="Simplified Arabic" w:cs="Simplified Arabic" w:hint="cs"/>
          <w:sz w:val="24"/>
          <w:szCs w:val="24"/>
          <w:rtl/>
        </w:rPr>
        <w:t>ً</w:t>
      </w:r>
      <w:r w:rsidRPr="000F3989">
        <w:rPr>
          <w:rFonts w:ascii="Simplified Arabic" w:hAnsi="Simplified Arabic" w:cs="Simplified Arabic"/>
          <w:sz w:val="24"/>
          <w:szCs w:val="24"/>
          <w:rtl/>
        </w:rPr>
        <w:t xml:space="preserve">ا بين </w:t>
      </w:r>
      <w:r>
        <w:rPr>
          <w:rFonts w:ascii="Simplified Arabic" w:hAnsi="Simplified Arabic" w:cs="Simplified Arabic" w:hint="cs"/>
          <w:sz w:val="24"/>
          <w:szCs w:val="24"/>
          <w:rtl/>
        </w:rPr>
        <w:t>ال</w:t>
      </w:r>
      <w:r w:rsidRPr="000F3989">
        <w:rPr>
          <w:rFonts w:ascii="Simplified Arabic" w:hAnsi="Simplified Arabic" w:cs="Simplified Arabic"/>
          <w:sz w:val="24"/>
          <w:szCs w:val="24"/>
          <w:rtl/>
        </w:rPr>
        <w:t>مسكن و</w:t>
      </w:r>
      <w:r w:rsidR="001435F9">
        <w:rPr>
          <w:rFonts w:ascii="Simplified Arabic" w:hAnsi="Simplified Arabic" w:cs="Simplified Arabic" w:hint="cs"/>
          <w:sz w:val="24"/>
          <w:szCs w:val="24"/>
          <w:rtl/>
        </w:rPr>
        <w:t>ال</w:t>
      </w:r>
      <w:r w:rsidRPr="000F3989">
        <w:rPr>
          <w:rFonts w:ascii="Simplified Arabic" w:eastAsia="Times New Roman" w:hAnsi="Simplified Arabic" w:cs="Simplified Arabic"/>
          <w:color w:val="202124"/>
          <w:sz w:val="24"/>
          <w:szCs w:val="24"/>
          <w:rtl/>
        </w:rPr>
        <w:t>مرفق</w:t>
      </w:r>
      <w:r w:rsidR="00CC1F42">
        <w:rPr>
          <w:rFonts w:ascii="Simplified Arabic" w:eastAsia="Times New Roman" w:hAnsi="Simplified Arabic" w:cs="Simplified Arabic" w:hint="cs"/>
          <w:color w:val="202124"/>
          <w:sz w:val="24"/>
          <w:szCs w:val="24"/>
          <w:rtl/>
        </w:rPr>
        <w:t xml:space="preserve"> وكثافة البناء المناسبة وعمق الطريق الشرياني </w:t>
      </w:r>
      <w:r w:rsidR="001435F9">
        <w:rPr>
          <w:rFonts w:ascii="Simplified Arabic" w:eastAsia="Times New Roman" w:hAnsi="Simplified Arabic" w:cs="Simplified Arabic" w:hint="cs"/>
          <w:color w:val="202124"/>
          <w:sz w:val="24"/>
          <w:szCs w:val="24"/>
          <w:rtl/>
        </w:rPr>
        <w:t xml:space="preserve">الذي يمتد </w:t>
      </w:r>
      <w:r w:rsidR="00CC1F42">
        <w:rPr>
          <w:rFonts w:ascii="Simplified Arabic" w:eastAsia="Times New Roman" w:hAnsi="Simplified Arabic" w:cs="Simplified Arabic" w:hint="cs"/>
          <w:color w:val="202124"/>
          <w:sz w:val="24"/>
          <w:szCs w:val="24"/>
          <w:rtl/>
        </w:rPr>
        <w:t xml:space="preserve">داخل او </w:t>
      </w:r>
      <w:r w:rsidR="001435F9">
        <w:rPr>
          <w:rFonts w:ascii="Simplified Arabic" w:eastAsia="Times New Roman" w:hAnsi="Simplified Arabic" w:cs="Simplified Arabic" w:hint="cs"/>
          <w:color w:val="202124"/>
          <w:sz w:val="24"/>
          <w:szCs w:val="24"/>
          <w:rtl/>
        </w:rPr>
        <w:t>ي</w:t>
      </w:r>
      <w:r w:rsidR="00CC1F42">
        <w:rPr>
          <w:rFonts w:ascii="Simplified Arabic" w:eastAsia="Times New Roman" w:hAnsi="Simplified Arabic" w:cs="Simplified Arabic" w:hint="cs"/>
          <w:color w:val="202124"/>
          <w:sz w:val="24"/>
          <w:szCs w:val="24"/>
          <w:rtl/>
        </w:rPr>
        <w:t xml:space="preserve">حيط </w:t>
      </w:r>
      <w:r w:rsidR="001435F9">
        <w:rPr>
          <w:rFonts w:ascii="Simplified Arabic" w:eastAsia="Times New Roman" w:hAnsi="Simplified Arabic" w:cs="Simplified Arabic" w:hint="cs"/>
          <w:color w:val="202124"/>
          <w:sz w:val="24"/>
          <w:szCs w:val="24"/>
          <w:rtl/>
        </w:rPr>
        <w:t>ب</w:t>
      </w:r>
      <w:r w:rsidR="00CC1F42">
        <w:rPr>
          <w:rFonts w:ascii="Simplified Arabic" w:eastAsia="Times New Roman" w:hAnsi="Simplified Arabic" w:cs="Simplified Arabic" w:hint="cs"/>
          <w:color w:val="202124"/>
          <w:sz w:val="24"/>
          <w:szCs w:val="24"/>
          <w:rtl/>
        </w:rPr>
        <w:t>الحي</w:t>
      </w:r>
      <w:r w:rsidRPr="00F32543">
        <w:rPr>
          <w:rFonts w:ascii="Simplified Arabic" w:hAnsi="Simplified Arabic" w:cs="Simplified Arabic"/>
          <w:sz w:val="24"/>
          <w:szCs w:val="24"/>
          <w:rtl/>
          <w:lang w:val="en-US" w:bidi="ar-DZ"/>
        </w:rPr>
        <w:t>.</w:t>
      </w:r>
    </w:p>
    <w:tbl>
      <w:tblPr>
        <w:tblStyle w:val="Grilledutableau"/>
        <w:bidiVisual/>
        <w:tblW w:w="9121" w:type="dxa"/>
        <w:jc w:val="center"/>
        <w:tblInd w:w="279" w:type="dxa"/>
        <w:tblLook w:val="04A0" w:firstRow="1" w:lastRow="0" w:firstColumn="1" w:lastColumn="0" w:noHBand="0" w:noVBand="1"/>
      </w:tblPr>
      <w:tblGrid>
        <w:gridCol w:w="1547"/>
        <w:gridCol w:w="322"/>
        <w:gridCol w:w="355"/>
        <w:gridCol w:w="355"/>
        <w:gridCol w:w="354"/>
        <w:gridCol w:w="354"/>
        <w:gridCol w:w="353"/>
        <w:gridCol w:w="353"/>
        <w:gridCol w:w="354"/>
        <w:gridCol w:w="322"/>
        <w:gridCol w:w="322"/>
        <w:gridCol w:w="393"/>
        <w:gridCol w:w="322"/>
        <w:gridCol w:w="397"/>
        <w:gridCol w:w="322"/>
        <w:gridCol w:w="400"/>
        <w:gridCol w:w="322"/>
        <w:gridCol w:w="322"/>
        <w:gridCol w:w="1652"/>
      </w:tblGrid>
      <w:tr w:rsidR="00703DF4" w:rsidRPr="00F32543" w:rsidTr="008F503B">
        <w:trPr>
          <w:jc w:val="center"/>
        </w:trPr>
        <w:tc>
          <w:tcPr>
            <w:tcW w:w="9121"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8F503B">
        <w:trPr>
          <w:jc w:val="center"/>
        </w:trPr>
        <w:tc>
          <w:tcPr>
            <w:tcW w:w="9121" w:type="dxa"/>
            <w:gridSpan w:val="19"/>
            <w:shd w:val="clear" w:color="auto" w:fill="auto"/>
            <w:vAlign w:val="center"/>
          </w:tcPr>
          <w:p w:rsidR="00703DF4" w:rsidRPr="005544AF" w:rsidRDefault="005544AF" w:rsidP="00703DF4">
            <w:pPr>
              <w:widowControl w:val="0"/>
              <w:tabs>
                <w:tab w:val="right" w:pos="282"/>
              </w:tabs>
              <w:autoSpaceDE w:val="0"/>
              <w:autoSpaceDN w:val="0"/>
              <w:bidi/>
              <w:rPr>
                <w:rFonts w:ascii="Simplified Arabic" w:eastAsia="Times New Roman" w:hAnsi="Simplified Arabic" w:cs="Simplified Arabic"/>
                <w:bCs/>
                <w:sz w:val="24"/>
                <w:szCs w:val="24"/>
                <w:rtl/>
                <w:lang w:val="en-US" w:eastAsia="fr-FR" w:bidi="ar-DZ"/>
              </w:rPr>
            </w:pPr>
            <w:r>
              <w:rPr>
                <w:rFonts w:ascii="Simplified Arabic" w:eastAsia="Times New Roman" w:hAnsi="Simplified Arabic" w:cs="Simplified Arabic" w:hint="cs"/>
                <w:bCs/>
                <w:sz w:val="24"/>
                <w:szCs w:val="24"/>
                <w:rtl/>
                <w:lang w:val="en-US" w:eastAsia="fr-FR"/>
              </w:rPr>
              <w:t>ال</w:t>
            </w:r>
            <w:r w:rsidRPr="005544AF">
              <w:rPr>
                <w:rFonts w:ascii="Simplified Arabic" w:eastAsia="Times New Roman" w:hAnsi="Simplified Arabic" w:cs="Simplified Arabic" w:hint="cs"/>
                <w:bCs/>
                <w:sz w:val="24"/>
                <w:szCs w:val="24"/>
                <w:rtl/>
                <w:lang w:val="en-US" w:eastAsia="fr-FR"/>
              </w:rPr>
              <w:t>معيار</w:t>
            </w:r>
            <w:r w:rsidRPr="005544AF">
              <w:rPr>
                <w:rFonts w:ascii="Simplified Arabic" w:eastAsia="Times New Roman" w:hAnsi="Simplified Arabic" w:cs="Simplified Arabic"/>
                <w:bCs/>
                <w:sz w:val="24"/>
                <w:szCs w:val="24"/>
                <w:rtl/>
                <w:lang w:val="en-US" w:eastAsia="fr-FR"/>
              </w:rPr>
              <w:t xml:space="preserve"> </w:t>
            </w:r>
            <w:r>
              <w:rPr>
                <w:rFonts w:ascii="Simplified Arabic" w:eastAsia="Times New Roman" w:hAnsi="Simplified Arabic" w:cs="Simplified Arabic" w:hint="cs"/>
                <w:bCs/>
                <w:sz w:val="24"/>
                <w:szCs w:val="24"/>
                <w:rtl/>
                <w:lang w:val="en-US" w:eastAsia="fr-FR"/>
              </w:rPr>
              <w:t xml:space="preserve">الفرعي </w:t>
            </w:r>
            <w:r w:rsidR="00CC1F42">
              <w:rPr>
                <w:rFonts w:ascii="Simplified Arabic" w:eastAsia="Times New Roman" w:hAnsi="Simplified Arabic" w:cs="Simplified Arabic" w:hint="cs"/>
                <w:bCs/>
                <w:sz w:val="24"/>
                <w:szCs w:val="24"/>
                <w:rtl/>
                <w:lang w:val="en-US" w:eastAsia="fr-FR"/>
              </w:rPr>
              <w:t>ل</w:t>
            </w:r>
            <w:r w:rsidR="00703DF4" w:rsidRPr="005544AF">
              <w:rPr>
                <w:rFonts w:ascii="Simplified Arabic" w:eastAsia="Times New Roman" w:hAnsi="Simplified Arabic" w:cs="Simplified Arabic"/>
                <w:bCs/>
                <w:sz w:val="24"/>
                <w:szCs w:val="24"/>
                <w:rtl/>
                <w:lang w:val="en-US" w:eastAsia="fr-FR"/>
              </w:rPr>
              <w:t>لتكفل الطبي</w:t>
            </w:r>
          </w:p>
        </w:tc>
      </w:tr>
      <w:tr w:rsidR="00703DF4" w:rsidRPr="00F32543" w:rsidTr="008F503B">
        <w:trPr>
          <w:jc w:val="center"/>
        </w:trPr>
        <w:tc>
          <w:tcPr>
            <w:tcW w:w="9121"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6000" behindDoc="0" locked="0" layoutInCell="1" allowOverlap="1" wp14:anchorId="52B0AA1E" wp14:editId="5E7B1258">
                      <wp:simplePos x="0" y="0"/>
                      <wp:positionH relativeFrom="column">
                        <wp:posOffset>2694940</wp:posOffset>
                      </wp:positionH>
                      <wp:positionV relativeFrom="paragraph">
                        <wp:posOffset>68580</wp:posOffset>
                      </wp:positionV>
                      <wp:extent cx="149860" cy="129540"/>
                      <wp:effectExtent l="0" t="0" r="21590" b="22860"/>
                      <wp:wrapNone/>
                      <wp:docPr id="217" name="Ellipse 217"/>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7" o:spid="_x0000_s1026" style="position:absolute;margin-left:212.2pt;margin-top:5.4pt;width:11.8pt;height:10.2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4976" behindDoc="0" locked="0" layoutInCell="1" allowOverlap="1" wp14:anchorId="327BA4D1" wp14:editId="4C6EC083">
                      <wp:simplePos x="0" y="0"/>
                      <wp:positionH relativeFrom="column">
                        <wp:posOffset>796925</wp:posOffset>
                      </wp:positionH>
                      <wp:positionV relativeFrom="paragraph">
                        <wp:posOffset>134620</wp:posOffset>
                      </wp:positionV>
                      <wp:extent cx="3919220" cy="0"/>
                      <wp:effectExtent l="57150" t="76200" r="24130" b="133350"/>
                      <wp:wrapNone/>
                      <wp:docPr id="218" name="Connecteur droit avec flèche 218"/>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18" o:spid="_x0000_s1026" type="#_x0000_t32" style="position:absolute;margin-left:62.75pt;margin-top:10.6pt;width:308.6pt;height:0;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" strokecolor="red" strokeweight="1pt">
                      <v:stroke startarrow="block" endarrow="block"/>
                      <v:shadow on="t" color="black" opacity="24903f" origin=",.5" offset="0,.55556mm"/>
                    </v:shape>
                  </w:pict>
                </mc:Fallback>
              </mc:AlternateContent>
            </w:r>
          </w:p>
        </w:tc>
      </w:tr>
      <w:tr w:rsidR="008F503B" w:rsidRPr="00F32543" w:rsidTr="008F503B">
        <w:trPr>
          <w:jc w:val="center"/>
        </w:trPr>
        <w:tc>
          <w:tcPr>
            <w:tcW w:w="154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22"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97"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65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Pr>
                <w:rFonts w:ascii="Simplified Arabic" w:eastAsia="Times New Roman" w:hAnsi="Simplified Arabic" w:cs="Simplified Arabic" w:hint="cs"/>
                <w:color w:val="000000"/>
                <w:sz w:val="20"/>
                <w:szCs w:val="20"/>
                <w:rtl/>
              </w:rPr>
              <w:t>4</w:t>
            </w:r>
            <w:r w:rsidRPr="00E07F1A">
              <w:rPr>
                <w:rFonts w:ascii="Simplified Arabic" w:eastAsia="Times New Roman" w:hAnsi="Simplified Arabic" w:cs="Simplified Arabic"/>
                <w:color w:val="000000"/>
                <w:sz w:val="20"/>
                <w:szCs w:val="20"/>
                <w:rtl/>
              </w:rPr>
              <w:t>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2</w:t>
            </w:r>
            <w:r w:rsidRPr="00E07F1A">
              <w:rPr>
                <w:rFonts w:ascii="Simplified Arabic" w:eastAsia="Times New Roman" w:hAnsi="Simplified Arabic" w:cs="Simplified Arabic"/>
                <w:color w:val="000000"/>
                <w:sz w:val="20"/>
                <w:szCs w:val="20"/>
                <w:rtl/>
                <w:lang w:val="en-US"/>
              </w:rPr>
              <w:t>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Pr>
                <w:rFonts w:ascii="Simplified Arabic" w:eastAsia="Times New Roman" w:hAnsi="Simplified Arabic" w:cs="Simplified Arabic" w:hint="cs"/>
                <w:color w:val="000000"/>
                <w:sz w:val="20"/>
                <w:szCs w:val="20"/>
                <w:rtl/>
              </w:rPr>
              <w:t>400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200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200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200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703DF4" w:rsidRPr="00F32543" w:rsidTr="008F503B">
        <w:trPr>
          <w:jc w:val="center"/>
        </w:trPr>
        <w:tc>
          <w:tcPr>
            <w:tcW w:w="9121"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8F503B">
        <w:trPr>
          <w:jc w:val="center"/>
        </w:trPr>
        <w:tc>
          <w:tcPr>
            <w:tcW w:w="9121" w:type="dxa"/>
            <w:gridSpan w:val="19"/>
            <w:shd w:val="clear" w:color="auto" w:fill="auto"/>
            <w:vAlign w:val="center"/>
          </w:tcPr>
          <w:p w:rsidR="00703DF4" w:rsidRPr="00002F08" w:rsidRDefault="005544AF" w:rsidP="00CC1F42">
            <w:pPr>
              <w:widowControl w:val="0"/>
              <w:autoSpaceDE w:val="0"/>
              <w:autoSpaceDN w:val="0"/>
              <w:bidi/>
              <w:rPr>
                <w:rFonts w:ascii="Simplified Arabic" w:eastAsia="Times New Roman" w:hAnsi="Simplified Arabic" w:cs="Simplified Arabic"/>
                <w:bCs/>
                <w:sz w:val="24"/>
                <w:szCs w:val="24"/>
                <w:rtl/>
                <w:lang w:val="en-US" w:eastAsia="fr-FR"/>
              </w:rPr>
            </w:pPr>
            <w:r>
              <w:rPr>
                <w:rFonts w:ascii="Simplified Arabic" w:eastAsia="Times New Roman" w:hAnsi="Simplified Arabic" w:cs="Simplified Arabic" w:hint="cs"/>
                <w:bCs/>
                <w:sz w:val="24"/>
                <w:szCs w:val="24"/>
                <w:rtl/>
                <w:lang w:val="en-US" w:eastAsia="fr-FR"/>
              </w:rPr>
              <w:t>ال</w:t>
            </w:r>
            <w:r w:rsidRPr="005544AF">
              <w:rPr>
                <w:rFonts w:ascii="Simplified Arabic" w:eastAsia="Times New Roman" w:hAnsi="Simplified Arabic" w:cs="Simplified Arabic" w:hint="cs"/>
                <w:bCs/>
                <w:sz w:val="24"/>
                <w:szCs w:val="24"/>
                <w:rtl/>
                <w:lang w:val="en-US" w:eastAsia="fr-FR"/>
              </w:rPr>
              <w:t>معيار</w:t>
            </w:r>
            <w:r w:rsidRPr="005544AF">
              <w:rPr>
                <w:rFonts w:ascii="Simplified Arabic" w:eastAsia="Times New Roman" w:hAnsi="Simplified Arabic" w:cs="Simplified Arabic"/>
                <w:bCs/>
                <w:sz w:val="24"/>
                <w:szCs w:val="24"/>
                <w:rtl/>
                <w:lang w:val="en-US" w:eastAsia="fr-FR"/>
              </w:rPr>
              <w:t xml:space="preserve"> </w:t>
            </w:r>
            <w:r>
              <w:rPr>
                <w:rFonts w:ascii="Simplified Arabic" w:eastAsia="Times New Roman" w:hAnsi="Simplified Arabic" w:cs="Simplified Arabic" w:hint="cs"/>
                <w:bCs/>
                <w:sz w:val="24"/>
                <w:szCs w:val="24"/>
                <w:rtl/>
                <w:lang w:val="en-US" w:eastAsia="fr-FR"/>
              </w:rPr>
              <w:t xml:space="preserve">الفرعي </w:t>
            </w:r>
            <w:r w:rsidR="00CC1F42">
              <w:rPr>
                <w:rFonts w:ascii="Simplified Arabic" w:eastAsia="Times New Roman" w:hAnsi="Simplified Arabic" w:cs="Simplified Arabic" w:hint="cs"/>
                <w:bCs/>
                <w:sz w:val="24"/>
                <w:szCs w:val="24"/>
                <w:rtl/>
                <w:lang w:val="en-US" w:eastAsia="fr-FR"/>
              </w:rPr>
              <w:t>ل</w:t>
            </w:r>
            <w:r w:rsidR="00703DF4" w:rsidRPr="00002F08">
              <w:rPr>
                <w:rFonts w:ascii="Simplified Arabic" w:eastAsia="Times New Roman" w:hAnsi="Simplified Arabic" w:cs="Simplified Arabic"/>
                <w:bCs/>
                <w:sz w:val="24"/>
                <w:szCs w:val="24"/>
                <w:rtl/>
                <w:lang w:val="en-US" w:eastAsia="fr-FR"/>
              </w:rPr>
              <w:t>لإنقاذ والإجلاء</w:t>
            </w:r>
          </w:p>
        </w:tc>
      </w:tr>
      <w:tr w:rsidR="00703DF4" w:rsidRPr="00F32543" w:rsidTr="008F503B">
        <w:trPr>
          <w:jc w:val="center"/>
        </w:trPr>
        <w:tc>
          <w:tcPr>
            <w:tcW w:w="9121"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8048" behindDoc="0" locked="0" layoutInCell="1" allowOverlap="1" wp14:anchorId="36D64788" wp14:editId="5582EC8B">
                      <wp:simplePos x="0" y="0"/>
                      <wp:positionH relativeFrom="column">
                        <wp:posOffset>2694940</wp:posOffset>
                      </wp:positionH>
                      <wp:positionV relativeFrom="paragraph">
                        <wp:posOffset>68580</wp:posOffset>
                      </wp:positionV>
                      <wp:extent cx="149860" cy="129540"/>
                      <wp:effectExtent l="0" t="0" r="21590" b="22860"/>
                      <wp:wrapNone/>
                      <wp:docPr id="219" name="Ellipse 219"/>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19" o:spid="_x0000_s1026" style="position:absolute;margin-left:212.2pt;margin-top:5.4pt;width:11.8pt;height:10.2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7024" behindDoc="0" locked="0" layoutInCell="1" allowOverlap="1" wp14:anchorId="1AB97CEC" wp14:editId="58FA16D7">
                      <wp:simplePos x="0" y="0"/>
                      <wp:positionH relativeFrom="column">
                        <wp:posOffset>796925</wp:posOffset>
                      </wp:positionH>
                      <wp:positionV relativeFrom="paragraph">
                        <wp:posOffset>134620</wp:posOffset>
                      </wp:positionV>
                      <wp:extent cx="3919220" cy="0"/>
                      <wp:effectExtent l="57150" t="76200" r="24130" b="133350"/>
                      <wp:wrapNone/>
                      <wp:docPr id="220" name="Connecteur droit avec flèche 220"/>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0" o:spid="_x0000_s1026" type="#_x0000_t32" style="position:absolute;margin-left:62.75pt;margin-top:10.6pt;width:308.6pt;height:0;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" strokecolor="red" strokeweight="1pt">
                      <v:stroke startarrow="block" endarrow="block"/>
                      <v:shadow on="t" color="black" opacity="24903f" origin=",.5" offset="0,.55556mm"/>
                    </v:shape>
                  </w:pict>
                </mc:Fallback>
              </mc:AlternateContent>
            </w:r>
          </w:p>
        </w:tc>
      </w:tr>
      <w:tr w:rsidR="008F503B" w:rsidRPr="00F32543" w:rsidTr="008F503B">
        <w:trPr>
          <w:jc w:val="center"/>
        </w:trPr>
        <w:tc>
          <w:tcPr>
            <w:tcW w:w="154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22"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97"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65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Pr>
                <w:rFonts w:ascii="Simplified Arabic" w:eastAsia="Times New Roman" w:hAnsi="Simplified Arabic" w:cs="Simplified Arabic" w:hint="cs"/>
                <w:color w:val="000000"/>
                <w:sz w:val="20"/>
                <w:szCs w:val="20"/>
                <w:rtl/>
              </w:rPr>
              <w:t>2</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000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002F08" w:rsidRDefault="00703DF4" w:rsidP="00703DF4">
            <w:pPr>
              <w:jc w:val="center"/>
              <w:rPr>
                <w:rFonts w:ascii="Simplified Arabic" w:eastAsia="Times New Roman" w:hAnsi="Simplified Arabic" w:cs="Simplified Arabic"/>
                <w:color w:val="000000"/>
                <w:sz w:val="20"/>
                <w:szCs w:val="20"/>
              </w:rPr>
            </w:pPr>
            <w:r w:rsidRPr="00002F08">
              <w:rPr>
                <w:rFonts w:ascii="Simplified Arabic" w:eastAsia="Times New Roman" w:hAnsi="Simplified Arabic" w:cs="Simplified Arabic"/>
                <w:color w:val="000000"/>
                <w:sz w:val="20"/>
                <w:szCs w:val="20"/>
              </w:rPr>
              <w:t xml:space="preserve">2,000–3,000 </w:t>
            </w:r>
            <w:r w:rsidRPr="00002F08">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Pr>
                <w:rFonts w:ascii="Simplified Arabic" w:eastAsia="Times New Roman" w:hAnsi="Simplified Arabic" w:cs="Simplified Arabic" w:hint="cs"/>
                <w:color w:val="000000"/>
                <w:sz w:val="20"/>
                <w:szCs w:val="20"/>
                <w:rtl/>
              </w:rPr>
              <w:t>2</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000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Pr>
                <w:rFonts w:ascii="Simplified Arabic" w:eastAsia="Times New Roman" w:hAnsi="Simplified Arabic" w:cs="Simplified Arabic" w:hint="cs"/>
                <w:color w:val="000000"/>
                <w:sz w:val="20"/>
                <w:szCs w:val="20"/>
                <w:rtl/>
              </w:rPr>
              <w:t>3</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000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002F08" w:rsidRDefault="00703DF4" w:rsidP="00703DF4">
            <w:pPr>
              <w:jc w:val="center"/>
              <w:rPr>
                <w:rFonts w:ascii="Simplified Arabic" w:eastAsia="Times New Roman" w:hAnsi="Simplified Arabic" w:cs="Simplified Arabic"/>
                <w:color w:val="000000"/>
                <w:sz w:val="20"/>
                <w:szCs w:val="20"/>
              </w:rPr>
            </w:pPr>
            <w:r w:rsidRPr="00002F08">
              <w:rPr>
                <w:rFonts w:ascii="Simplified Arabic" w:eastAsia="Times New Roman" w:hAnsi="Simplified Arabic" w:cs="Simplified Arabic"/>
                <w:color w:val="000000"/>
                <w:sz w:val="20"/>
                <w:szCs w:val="20"/>
              </w:rPr>
              <w:t xml:space="preserve">2,000–3,000 </w:t>
            </w:r>
            <w:r w:rsidRPr="00002F08">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Pr>
                <w:rFonts w:ascii="Simplified Arabic" w:eastAsia="Times New Roman" w:hAnsi="Simplified Arabic" w:cs="Simplified Arabic" w:hint="cs"/>
                <w:color w:val="000000"/>
                <w:sz w:val="20"/>
                <w:szCs w:val="20"/>
                <w:rtl/>
              </w:rPr>
              <w:t>3</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000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703DF4" w:rsidRPr="00F32543" w:rsidTr="008F503B">
        <w:trPr>
          <w:jc w:val="center"/>
        </w:trPr>
        <w:tc>
          <w:tcPr>
            <w:tcW w:w="9121"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8F503B">
        <w:trPr>
          <w:jc w:val="center"/>
        </w:trPr>
        <w:tc>
          <w:tcPr>
            <w:tcW w:w="9121" w:type="dxa"/>
            <w:gridSpan w:val="19"/>
            <w:shd w:val="clear" w:color="auto" w:fill="auto"/>
            <w:vAlign w:val="center"/>
          </w:tcPr>
          <w:p w:rsidR="00703DF4" w:rsidRPr="00002F08" w:rsidRDefault="005544AF" w:rsidP="00703DF4">
            <w:pPr>
              <w:widowControl w:val="0"/>
              <w:tabs>
                <w:tab w:val="right" w:pos="282"/>
              </w:tabs>
              <w:autoSpaceDE w:val="0"/>
              <w:autoSpaceDN w:val="0"/>
              <w:bidi/>
              <w:rPr>
                <w:rFonts w:ascii="Simplified Arabic" w:eastAsia="Times New Roman" w:hAnsi="Simplified Arabic" w:cs="Simplified Arabic"/>
                <w:bCs/>
                <w:sz w:val="24"/>
                <w:szCs w:val="24"/>
                <w:rtl/>
                <w:lang w:val="en-US" w:eastAsia="fr-FR"/>
              </w:rPr>
            </w:pPr>
            <w:r>
              <w:rPr>
                <w:rFonts w:ascii="Simplified Arabic" w:eastAsia="Times New Roman" w:hAnsi="Simplified Arabic" w:cs="Simplified Arabic" w:hint="cs"/>
                <w:bCs/>
                <w:sz w:val="24"/>
                <w:szCs w:val="24"/>
                <w:rtl/>
                <w:lang w:val="en-US" w:eastAsia="fr-FR"/>
              </w:rPr>
              <w:t>ال</w:t>
            </w:r>
            <w:r w:rsidRPr="005544AF">
              <w:rPr>
                <w:rFonts w:ascii="Simplified Arabic" w:eastAsia="Times New Roman" w:hAnsi="Simplified Arabic" w:cs="Simplified Arabic" w:hint="cs"/>
                <w:bCs/>
                <w:sz w:val="24"/>
                <w:szCs w:val="24"/>
                <w:rtl/>
                <w:lang w:val="en-US" w:eastAsia="fr-FR"/>
              </w:rPr>
              <w:t>معيار</w:t>
            </w:r>
            <w:r w:rsidRPr="005544AF">
              <w:rPr>
                <w:rFonts w:ascii="Simplified Arabic" w:eastAsia="Times New Roman" w:hAnsi="Simplified Arabic" w:cs="Simplified Arabic"/>
                <w:bCs/>
                <w:sz w:val="24"/>
                <w:szCs w:val="24"/>
                <w:rtl/>
                <w:lang w:val="en-US" w:eastAsia="fr-FR"/>
              </w:rPr>
              <w:t xml:space="preserve"> </w:t>
            </w:r>
            <w:r>
              <w:rPr>
                <w:rFonts w:ascii="Simplified Arabic" w:eastAsia="Times New Roman" w:hAnsi="Simplified Arabic" w:cs="Simplified Arabic" w:hint="cs"/>
                <w:bCs/>
                <w:sz w:val="24"/>
                <w:szCs w:val="24"/>
                <w:rtl/>
                <w:lang w:val="en-US" w:eastAsia="fr-FR"/>
              </w:rPr>
              <w:t xml:space="preserve">الفرعي </w:t>
            </w:r>
            <w:r w:rsidR="00CC1F42">
              <w:rPr>
                <w:rFonts w:ascii="Simplified Arabic" w:eastAsia="Times New Roman" w:hAnsi="Simplified Arabic" w:cs="Simplified Arabic" w:hint="cs"/>
                <w:bCs/>
                <w:sz w:val="24"/>
                <w:szCs w:val="24"/>
                <w:rtl/>
                <w:lang w:val="en-US" w:eastAsia="fr-FR"/>
              </w:rPr>
              <w:t>ل</w:t>
            </w:r>
            <w:r w:rsidR="00703DF4" w:rsidRPr="00002F08">
              <w:rPr>
                <w:rFonts w:ascii="Simplified Arabic" w:eastAsia="Times New Roman" w:hAnsi="Simplified Arabic" w:cs="Simplified Arabic" w:hint="cs"/>
                <w:bCs/>
                <w:sz w:val="24"/>
                <w:szCs w:val="24"/>
                <w:rtl/>
                <w:lang w:val="en-US" w:eastAsia="fr-FR"/>
              </w:rPr>
              <w:t>توفير</w:t>
            </w:r>
            <w:r w:rsidR="00703DF4" w:rsidRPr="00002F08">
              <w:rPr>
                <w:rFonts w:ascii="Simplified Arabic" w:eastAsia="Times New Roman" w:hAnsi="Simplified Arabic" w:cs="Simplified Arabic"/>
                <w:bCs/>
                <w:sz w:val="24"/>
                <w:szCs w:val="24"/>
                <w:rtl/>
                <w:lang w:val="en-US" w:eastAsia="fr-FR"/>
              </w:rPr>
              <w:t xml:space="preserve"> الأمن</w:t>
            </w:r>
          </w:p>
        </w:tc>
      </w:tr>
      <w:tr w:rsidR="00703DF4" w:rsidRPr="00F32543" w:rsidTr="008F503B">
        <w:trPr>
          <w:jc w:val="center"/>
        </w:trPr>
        <w:tc>
          <w:tcPr>
            <w:tcW w:w="9121"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0096" behindDoc="0" locked="0" layoutInCell="1" allowOverlap="1" wp14:anchorId="2B949210" wp14:editId="7DB4327F">
                      <wp:simplePos x="0" y="0"/>
                      <wp:positionH relativeFrom="column">
                        <wp:posOffset>2694940</wp:posOffset>
                      </wp:positionH>
                      <wp:positionV relativeFrom="paragraph">
                        <wp:posOffset>68580</wp:posOffset>
                      </wp:positionV>
                      <wp:extent cx="149860" cy="129540"/>
                      <wp:effectExtent l="0" t="0" r="21590" b="22860"/>
                      <wp:wrapNone/>
                      <wp:docPr id="221" name="Ellipse 221"/>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21" o:spid="_x0000_s1026" style="position:absolute;margin-left:212.2pt;margin-top:5.4pt;width:11.8pt;height:10.2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79072" behindDoc="0" locked="0" layoutInCell="1" allowOverlap="1" wp14:anchorId="0502254E" wp14:editId="3E5DDBDB">
                      <wp:simplePos x="0" y="0"/>
                      <wp:positionH relativeFrom="column">
                        <wp:posOffset>796925</wp:posOffset>
                      </wp:positionH>
                      <wp:positionV relativeFrom="paragraph">
                        <wp:posOffset>134620</wp:posOffset>
                      </wp:positionV>
                      <wp:extent cx="3919220" cy="0"/>
                      <wp:effectExtent l="57150" t="76200" r="24130" b="133350"/>
                      <wp:wrapNone/>
                      <wp:docPr id="222" name="Connecteur droit avec flèche 222"/>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2" o:spid="_x0000_s1026" type="#_x0000_t32" style="position:absolute;margin-left:62.75pt;margin-top:10.6pt;width:308.6pt;height:0;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" strokecolor="red" strokeweight="1pt">
                      <v:stroke startarrow="block" endarrow="block"/>
                      <v:shadow on="t" color="black" opacity="24903f" origin=",.5" offset="0,.55556mm"/>
                    </v:shape>
                  </w:pict>
                </mc:Fallback>
              </mc:AlternateContent>
            </w:r>
          </w:p>
        </w:tc>
      </w:tr>
      <w:tr w:rsidR="008F503B" w:rsidRPr="00F32543" w:rsidTr="008F503B">
        <w:trPr>
          <w:jc w:val="center"/>
        </w:trPr>
        <w:tc>
          <w:tcPr>
            <w:tcW w:w="154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22"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97"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65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lang w:val="en-US"/>
              </w:rPr>
              <w:t>500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lang w:val="en-US"/>
              </w:rPr>
              <w:t>500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lang w:val="en-US"/>
              </w:rPr>
              <w:t>500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lang w:val="en-US"/>
              </w:rPr>
              <w:t>500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703DF4" w:rsidRPr="00F32543" w:rsidTr="008F503B">
        <w:trPr>
          <w:jc w:val="center"/>
        </w:trPr>
        <w:tc>
          <w:tcPr>
            <w:tcW w:w="9121"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8F503B">
        <w:trPr>
          <w:jc w:val="center"/>
        </w:trPr>
        <w:tc>
          <w:tcPr>
            <w:tcW w:w="9121" w:type="dxa"/>
            <w:gridSpan w:val="19"/>
            <w:shd w:val="clear" w:color="auto" w:fill="auto"/>
            <w:vAlign w:val="center"/>
          </w:tcPr>
          <w:p w:rsidR="00703DF4" w:rsidRPr="00002F08" w:rsidRDefault="005544AF" w:rsidP="00CC1F42">
            <w:pPr>
              <w:widowControl w:val="0"/>
              <w:tabs>
                <w:tab w:val="right" w:pos="282"/>
              </w:tabs>
              <w:autoSpaceDE w:val="0"/>
              <w:autoSpaceDN w:val="0"/>
              <w:bidi/>
              <w:rPr>
                <w:rFonts w:ascii="Simplified Arabic" w:eastAsia="Times New Roman" w:hAnsi="Simplified Arabic" w:cs="Simplified Arabic"/>
                <w:bCs/>
                <w:sz w:val="24"/>
                <w:szCs w:val="24"/>
                <w:rtl/>
                <w:lang w:val="en-US" w:eastAsia="fr-FR"/>
              </w:rPr>
            </w:pPr>
            <w:r>
              <w:rPr>
                <w:rFonts w:ascii="Simplified Arabic" w:eastAsia="Times New Roman" w:hAnsi="Simplified Arabic" w:cs="Simplified Arabic" w:hint="cs"/>
                <w:bCs/>
                <w:sz w:val="24"/>
                <w:szCs w:val="24"/>
                <w:rtl/>
                <w:lang w:val="en-US" w:eastAsia="fr-FR"/>
              </w:rPr>
              <w:t>ال</w:t>
            </w:r>
            <w:r w:rsidRPr="005544AF">
              <w:rPr>
                <w:rFonts w:ascii="Simplified Arabic" w:eastAsia="Times New Roman" w:hAnsi="Simplified Arabic" w:cs="Simplified Arabic" w:hint="cs"/>
                <w:bCs/>
                <w:sz w:val="24"/>
                <w:szCs w:val="24"/>
                <w:rtl/>
                <w:lang w:val="en-US" w:eastAsia="fr-FR"/>
              </w:rPr>
              <w:t>معيار</w:t>
            </w:r>
            <w:r w:rsidRPr="005544AF">
              <w:rPr>
                <w:rFonts w:ascii="Simplified Arabic" w:eastAsia="Times New Roman" w:hAnsi="Simplified Arabic" w:cs="Simplified Arabic"/>
                <w:bCs/>
                <w:sz w:val="24"/>
                <w:szCs w:val="24"/>
                <w:rtl/>
                <w:lang w:val="en-US" w:eastAsia="fr-FR"/>
              </w:rPr>
              <w:t xml:space="preserve"> </w:t>
            </w:r>
            <w:r>
              <w:rPr>
                <w:rFonts w:ascii="Simplified Arabic" w:eastAsia="Times New Roman" w:hAnsi="Simplified Arabic" w:cs="Simplified Arabic" w:hint="cs"/>
                <w:bCs/>
                <w:sz w:val="24"/>
                <w:szCs w:val="24"/>
                <w:rtl/>
                <w:lang w:val="en-US" w:eastAsia="fr-FR"/>
              </w:rPr>
              <w:t xml:space="preserve">الفرعي </w:t>
            </w:r>
            <w:r w:rsidR="00CC1F42">
              <w:rPr>
                <w:rFonts w:ascii="Simplified Arabic" w:eastAsia="Times New Roman" w:hAnsi="Simplified Arabic" w:cs="Simplified Arabic" w:hint="cs"/>
                <w:bCs/>
                <w:sz w:val="24"/>
                <w:szCs w:val="24"/>
                <w:rtl/>
                <w:lang w:val="en-US" w:eastAsia="fr-FR"/>
              </w:rPr>
              <w:t>ل</w:t>
            </w:r>
            <w:r w:rsidR="00703DF4" w:rsidRPr="00002F08">
              <w:rPr>
                <w:rFonts w:ascii="Simplified Arabic" w:eastAsia="Times New Roman" w:hAnsi="Simplified Arabic" w:cs="Simplified Arabic"/>
                <w:bCs/>
                <w:sz w:val="24"/>
                <w:szCs w:val="24"/>
                <w:rtl/>
                <w:lang w:val="en-US" w:eastAsia="fr-FR"/>
              </w:rPr>
              <w:t>لايواء المؤقت</w:t>
            </w:r>
          </w:p>
        </w:tc>
      </w:tr>
      <w:tr w:rsidR="00703DF4" w:rsidRPr="00F32543" w:rsidTr="008F503B">
        <w:trPr>
          <w:jc w:val="center"/>
        </w:trPr>
        <w:tc>
          <w:tcPr>
            <w:tcW w:w="9121"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2144" behindDoc="0" locked="0" layoutInCell="1" allowOverlap="1" wp14:anchorId="196AEAFE" wp14:editId="35C5E05A">
                      <wp:simplePos x="0" y="0"/>
                      <wp:positionH relativeFrom="column">
                        <wp:posOffset>2694940</wp:posOffset>
                      </wp:positionH>
                      <wp:positionV relativeFrom="paragraph">
                        <wp:posOffset>68580</wp:posOffset>
                      </wp:positionV>
                      <wp:extent cx="149860" cy="129540"/>
                      <wp:effectExtent l="0" t="0" r="21590" b="22860"/>
                      <wp:wrapNone/>
                      <wp:docPr id="223" name="Ellipse 223"/>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23" o:spid="_x0000_s1026" style="position:absolute;margin-left:212.2pt;margin-top:5.4pt;width:11.8pt;height:10.2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1120" behindDoc="0" locked="0" layoutInCell="1" allowOverlap="1" wp14:anchorId="033C9A84" wp14:editId="470067CF">
                      <wp:simplePos x="0" y="0"/>
                      <wp:positionH relativeFrom="column">
                        <wp:posOffset>796925</wp:posOffset>
                      </wp:positionH>
                      <wp:positionV relativeFrom="paragraph">
                        <wp:posOffset>134620</wp:posOffset>
                      </wp:positionV>
                      <wp:extent cx="3919220" cy="0"/>
                      <wp:effectExtent l="57150" t="76200" r="24130" b="133350"/>
                      <wp:wrapNone/>
                      <wp:docPr id="224" name="Connecteur droit avec flèche 224"/>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4" o:spid="_x0000_s1026" type="#_x0000_t32" style="position:absolute;margin-left:62.75pt;margin-top:10.6pt;width:308.6pt;height:0;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" strokecolor="red" strokeweight="1pt">
                      <v:stroke startarrow="block" endarrow="block"/>
                      <v:shadow on="t" color="black" opacity="24903f" origin=",.5" offset="0,.55556mm"/>
                    </v:shape>
                  </w:pict>
                </mc:Fallback>
              </mc:AlternateContent>
            </w:r>
          </w:p>
        </w:tc>
      </w:tr>
      <w:tr w:rsidR="008F503B" w:rsidRPr="00F32543" w:rsidTr="008F503B">
        <w:trPr>
          <w:jc w:val="center"/>
        </w:trPr>
        <w:tc>
          <w:tcPr>
            <w:tcW w:w="154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22"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97"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65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Pr>
                <w:rFonts w:ascii="Simplified Arabic" w:eastAsia="Times New Roman" w:hAnsi="Simplified Arabic" w:cs="Simplified Arabic" w:hint="cs"/>
                <w:color w:val="000000"/>
                <w:sz w:val="20"/>
                <w:szCs w:val="20"/>
                <w:rtl/>
              </w:rPr>
              <w:t>400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Pr>
                <w:rFonts w:ascii="Simplified Arabic" w:eastAsia="Times New Roman" w:hAnsi="Simplified Arabic" w:cs="Simplified Arabic" w:hint="cs"/>
                <w:color w:val="000000"/>
                <w:sz w:val="20"/>
                <w:szCs w:val="20"/>
                <w:rtl/>
              </w:rPr>
              <w:t>400</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Pr>
                <w:rFonts w:ascii="Simplified Arabic" w:eastAsia="Times New Roman" w:hAnsi="Simplified Arabic" w:cs="Simplified Arabic" w:hint="cs"/>
                <w:color w:val="000000"/>
                <w:sz w:val="20"/>
                <w:szCs w:val="20"/>
                <w:rtl/>
              </w:rPr>
              <w:t>400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Pr>
                <w:rFonts w:ascii="Simplified Arabic" w:eastAsia="Times New Roman" w:hAnsi="Simplified Arabic" w:cs="Simplified Arabic" w:hint="cs"/>
                <w:color w:val="000000"/>
                <w:sz w:val="20"/>
                <w:szCs w:val="20"/>
                <w:rtl/>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Pr>
                <w:rFonts w:ascii="Simplified Arabic" w:eastAsia="Times New Roman" w:hAnsi="Simplified Arabic" w:cs="Simplified Arabic" w:hint="cs"/>
                <w:color w:val="000000"/>
                <w:sz w:val="20"/>
                <w:szCs w:val="20"/>
                <w:rtl/>
              </w:rPr>
              <w:t>400</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Pr>
                <w:rFonts w:ascii="Simplified Arabic" w:eastAsia="Times New Roman" w:hAnsi="Simplified Arabic" w:cs="Simplified Arabic" w:hint="cs"/>
                <w:color w:val="000000"/>
                <w:sz w:val="20"/>
                <w:szCs w:val="20"/>
                <w:rtl/>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703DF4" w:rsidRPr="00F32543" w:rsidTr="008F503B">
        <w:trPr>
          <w:jc w:val="center"/>
        </w:trPr>
        <w:tc>
          <w:tcPr>
            <w:tcW w:w="9121"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8F503B">
        <w:trPr>
          <w:jc w:val="center"/>
        </w:trPr>
        <w:tc>
          <w:tcPr>
            <w:tcW w:w="9121" w:type="dxa"/>
            <w:gridSpan w:val="19"/>
            <w:shd w:val="clear" w:color="auto" w:fill="auto"/>
            <w:vAlign w:val="center"/>
          </w:tcPr>
          <w:p w:rsidR="00703DF4" w:rsidRPr="0039081C" w:rsidRDefault="005544AF" w:rsidP="00CC1F42">
            <w:pPr>
              <w:widowControl w:val="0"/>
              <w:tabs>
                <w:tab w:val="right" w:pos="282"/>
              </w:tabs>
              <w:autoSpaceDE w:val="0"/>
              <w:autoSpaceDN w:val="0"/>
              <w:bidi/>
              <w:rPr>
                <w:rFonts w:ascii="Simplified Arabic" w:eastAsia="Times New Roman" w:hAnsi="Simplified Arabic" w:cs="Simplified Arabic"/>
                <w:bCs/>
                <w:sz w:val="24"/>
                <w:szCs w:val="24"/>
                <w:rtl/>
                <w:lang w:val="en-US" w:eastAsia="fr-FR"/>
              </w:rPr>
            </w:pPr>
            <w:r>
              <w:rPr>
                <w:rFonts w:ascii="Simplified Arabic" w:eastAsia="Times New Roman" w:hAnsi="Simplified Arabic" w:cs="Simplified Arabic" w:hint="cs"/>
                <w:bCs/>
                <w:sz w:val="24"/>
                <w:szCs w:val="24"/>
                <w:rtl/>
                <w:lang w:val="en-US" w:eastAsia="fr-FR"/>
              </w:rPr>
              <w:t>ال</w:t>
            </w:r>
            <w:r w:rsidRPr="005544AF">
              <w:rPr>
                <w:rFonts w:ascii="Simplified Arabic" w:eastAsia="Times New Roman" w:hAnsi="Simplified Arabic" w:cs="Simplified Arabic" w:hint="cs"/>
                <w:bCs/>
                <w:sz w:val="24"/>
                <w:szCs w:val="24"/>
                <w:rtl/>
                <w:lang w:val="en-US" w:eastAsia="fr-FR"/>
              </w:rPr>
              <w:t>معيار</w:t>
            </w:r>
            <w:r w:rsidRPr="005544AF">
              <w:rPr>
                <w:rFonts w:ascii="Simplified Arabic" w:eastAsia="Times New Roman" w:hAnsi="Simplified Arabic" w:cs="Simplified Arabic"/>
                <w:bCs/>
                <w:sz w:val="24"/>
                <w:szCs w:val="24"/>
                <w:rtl/>
                <w:lang w:val="en-US" w:eastAsia="fr-FR"/>
              </w:rPr>
              <w:t xml:space="preserve"> </w:t>
            </w:r>
            <w:r>
              <w:rPr>
                <w:rFonts w:ascii="Simplified Arabic" w:eastAsia="Times New Roman" w:hAnsi="Simplified Arabic" w:cs="Simplified Arabic" w:hint="cs"/>
                <w:bCs/>
                <w:sz w:val="24"/>
                <w:szCs w:val="24"/>
                <w:rtl/>
                <w:lang w:val="en-US" w:eastAsia="fr-FR"/>
              </w:rPr>
              <w:t xml:space="preserve">الفرعي </w:t>
            </w:r>
            <w:r w:rsidR="00CC1F42">
              <w:rPr>
                <w:rFonts w:ascii="Simplified Arabic" w:eastAsia="Times New Roman" w:hAnsi="Simplified Arabic" w:cs="Simplified Arabic" w:hint="cs"/>
                <w:bCs/>
                <w:sz w:val="24"/>
                <w:szCs w:val="24"/>
                <w:rtl/>
                <w:lang w:val="en-US" w:eastAsia="fr-FR"/>
              </w:rPr>
              <w:t>ل</w:t>
            </w:r>
            <w:r w:rsidR="00703DF4" w:rsidRPr="0039081C">
              <w:rPr>
                <w:rFonts w:ascii="Simplified Arabic" w:eastAsia="Times New Roman" w:hAnsi="Simplified Arabic" w:cs="Simplified Arabic"/>
                <w:bCs/>
                <w:sz w:val="24"/>
                <w:szCs w:val="24"/>
                <w:rtl/>
                <w:lang w:val="en-US" w:eastAsia="fr-FR"/>
              </w:rPr>
              <w:t>لتضامن والتموين</w:t>
            </w:r>
          </w:p>
        </w:tc>
      </w:tr>
      <w:tr w:rsidR="00703DF4" w:rsidRPr="00F32543" w:rsidTr="008F503B">
        <w:trPr>
          <w:jc w:val="center"/>
        </w:trPr>
        <w:tc>
          <w:tcPr>
            <w:tcW w:w="9121"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4192" behindDoc="0" locked="0" layoutInCell="1" allowOverlap="1" wp14:anchorId="04709968" wp14:editId="6EB9E12D">
                      <wp:simplePos x="0" y="0"/>
                      <wp:positionH relativeFrom="column">
                        <wp:posOffset>2694940</wp:posOffset>
                      </wp:positionH>
                      <wp:positionV relativeFrom="paragraph">
                        <wp:posOffset>68580</wp:posOffset>
                      </wp:positionV>
                      <wp:extent cx="149860" cy="129540"/>
                      <wp:effectExtent l="0" t="0" r="21590" b="22860"/>
                      <wp:wrapNone/>
                      <wp:docPr id="225" name="Ellipse 225"/>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25" o:spid="_x0000_s1026" style="position:absolute;margin-left:212.2pt;margin-top:5.4pt;width:11.8pt;height:10.2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3168" behindDoc="0" locked="0" layoutInCell="1" allowOverlap="1" wp14:anchorId="6C00769A" wp14:editId="68D2EA81">
                      <wp:simplePos x="0" y="0"/>
                      <wp:positionH relativeFrom="column">
                        <wp:posOffset>796925</wp:posOffset>
                      </wp:positionH>
                      <wp:positionV relativeFrom="paragraph">
                        <wp:posOffset>134620</wp:posOffset>
                      </wp:positionV>
                      <wp:extent cx="3919220" cy="0"/>
                      <wp:effectExtent l="57150" t="76200" r="24130" b="133350"/>
                      <wp:wrapNone/>
                      <wp:docPr id="226" name="Connecteur droit avec flèche 226"/>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6" o:spid="_x0000_s1026" type="#_x0000_t32" style="position:absolute;margin-left:62.75pt;margin-top:10.6pt;width:308.6pt;height:0;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" strokecolor="red" strokeweight="1pt">
                      <v:stroke startarrow="block" endarrow="block"/>
                      <v:shadow on="t" color="black" opacity="24903f" origin=",.5" offset="0,.55556mm"/>
                    </v:shape>
                  </w:pict>
                </mc:Fallback>
              </mc:AlternateContent>
            </w:r>
          </w:p>
        </w:tc>
      </w:tr>
      <w:tr w:rsidR="008F503B" w:rsidRPr="00F32543" w:rsidTr="008F503B">
        <w:trPr>
          <w:jc w:val="center"/>
        </w:trPr>
        <w:tc>
          <w:tcPr>
            <w:tcW w:w="154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22"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97"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65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Pr>
                <w:rFonts w:ascii="Simplified Arabic" w:eastAsia="Times New Roman" w:hAnsi="Simplified Arabic" w:cs="Simplified Arabic" w:hint="cs"/>
                <w:color w:val="000000"/>
                <w:sz w:val="20"/>
                <w:szCs w:val="20"/>
                <w:rtl/>
                <w:lang w:val="en-US"/>
              </w:rPr>
              <w:t>200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&lt;</w:t>
            </w: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lang w:val="en-US"/>
              </w:rPr>
              <w:t>500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rtl/>
              </w:rPr>
              <w:t>800</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lang w:val="en-US"/>
              </w:rPr>
              <w:t>500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F32543"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F32543"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E07F1A" w:rsidRDefault="00703DF4" w:rsidP="00703DF4">
            <w:pPr>
              <w:jc w:val="center"/>
              <w:rPr>
                <w:rFonts w:ascii="Simplified Arabic" w:eastAsia="Times New Roman" w:hAnsi="Simplified Arabic" w:cs="Simplified Arabic"/>
                <w:color w:val="000000"/>
                <w:sz w:val="20"/>
                <w:szCs w:val="20"/>
                <w:lang w:val="en-US"/>
              </w:rPr>
            </w:pPr>
            <w:r w:rsidRPr="00E07F1A">
              <w:rPr>
                <w:rFonts w:ascii="Simplified Arabic" w:eastAsia="Times New Roman" w:hAnsi="Simplified Arabic" w:cs="Simplified Arabic"/>
                <w:color w:val="000000"/>
                <w:sz w:val="20"/>
                <w:szCs w:val="20"/>
                <w:lang w:val="en-US"/>
              </w:rPr>
              <w:t>&gt;</w:t>
            </w:r>
            <w:r w:rsidRPr="00E07F1A">
              <w:rPr>
                <w:rFonts w:ascii="Simplified Arabic" w:eastAsia="Times New Roman" w:hAnsi="Simplified Arabic" w:cs="Simplified Arabic"/>
                <w:color w:val="000000"/>
                <w:sz w:val="20"/>
                <w:szCs w:val="20"/>
                <w:rtl/>
              </w:rPr>
              <w:t>1</w:t>
            </w:r>
            <w:r w:rsidRPr="00E07F1A">
              <w:rPr>
                <w:rFonts w:ascii="Simplified Arabic" w:eastAsia="Times New Roman" w:hAnsi="Simplified Arabic" w:cs="Simplified Arabic"/>
                <w:color w:val="000000"/>
                <w:sz w:val="20"/>
                <w:szCs w:val="20"/>
                <w:lang w:val="en-US"/>
              </w:rPr>
              <w:t>,</w:t>
            </w:r>
            <w:r w:rsidRPr="00E07F1A">
              <w:rPr>
                <w:rFonts w:ascii="Simplified Arabic" w:eastAsia="Times New Roman" w:hAnsi="Simplified Arabic" w:cs="Simplified Arabic"/>
                <w:color w:val="000000"/>
                <w:sz w:val="20"/>
                <w:szCs w:val="20"/>
                <w:rtl/>
                <w:lang w:val="en-US"/>
              </w:rPr>
              <w:t>500</w:t>
            </w:r>
            <w:r w:rsidRPr="00E07F1A">
              <w:rPr>
                <w:rFonts w:ascii="Simplified Arabic" w:eastAsia="Times New Roman" w:hAnsi="Simplified Arabic" w:cs="Simplified Arabic"/>
                <w:color w:val="000000"/>
                <w:sz w:val="20"/>
                <w:szCs w:val="20"/>
                <w:lang w:val="en-US"/>
              </w:rPr>
              <w:t xml:space="preserve"> </w:t>
            </w:r>
            <w:r w:rsidRPr="00E07F1A">
              <w:rPr>
                <w:rFonts w:asciiTheme="majorBidi" w:eastAsia="Times New Roman" w:hAnsiTheme="majorBidi" w:cstheme="majorBidi"/>
                <w:color w:val="000000"/>
                <w:sz w:val="20"/>
                <w:szCs w:val="20"/>
                <w:lang w:val="en-US"/>
              </w:rPr>
              <w:t>m</w:t>
            </w:r>
          </w:p>
        </w:tc>
      </w:tr>
      <w:tr w:rsidR="00703DF4" w:rsidRPr="00F32543" w:rsidTr="008F503B">
        <w:trPr>
          <w:jc w:val="center"/>
        </w:trPr>
        <w:tc>
          <w:tcPr>
            <w:tcW w:w="9121"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8F503B">
        <w:trPr>
          <w:jc w:val="center"/>
        </w:trPr>
        <w:tc>
          <w:tcPr>
            <w:tcW w:w="9121" w:type="dxa"/>
            <w:gridSpan w:val="19"/>
            <w:shd w:val="clear" w:color="auto" w:fill="auto"/>
            <w:vAlign w:val="center"/>
          </w:tcPr>
          <w:p w:rsidR="00703DF4" w:rsidRPr="0039081C" w:rsidRDefault="005544AF" w:rsidP="00703DF4">
            <w:pPr>
              <w:widowControl w:val="0"/>
              <w:tabs>
                <w:tab w:val="right" w:pos="282"/>
              </w:tabs>
              <w:autoSpaceDE w:val="0"/>
              <w:autoSpaceDN w:val="0"/>
              <w:bidi/>
              <w:rPr>
                <w:rFonts w:ascii="Simplified Arabic" w:eastAsia="Times New Roman" w:hAnsi="Simplified Arabic" w:cs="Simplified Arabic"/>
                <w:bCs/>
                <w:sz w:val="24"/>
                <w:szCs w:val="24"/>
                <w:rtl/>
                <w:lang w:val="en-US" w:eastAsia="fr-FR"/>
              </w:rPr>
            </w:pPr>
            <w:r>
              <w:rPr>
                <w:rFonts w:ascii="Simplified Arabic" w:eastAsia="Times New Roman" w:hAnsi="Simplified Arabic" w:cs="Simplified Arabic" w:hint="cs"/>
                <w:bCs/>
                <w:sz w:val="24"/>
                <w:szCs w:val="24"/>
                <w:rtl/>
                <w:lang w:val="en-US" w:eastAsia="fr-FR"/>
              </w:rPr>
              <w:t>ال</w:t>
            </w:r>
            <w:r w:rsidRPr="005544AF">
              <w:rPr>
                <w:rFonts w:ascii="Simplified Arabic" w:eastAsia="Times New Roman" w:hAnsi="Simplified Arabic" w:cs="Simplified Arabic" w:hint="cs"/>
                <w:bCs/>
                <w:sz w:val="24"/>
                <w:szCs w:val="24"/>
                <w:rtl/>
                <w:lang w:val="en-US" w:eastAsia="fr-FR"/>
              </w:rPr>
              <w:t>معيار</w:t>
            </w:r>
            <w:r w:rsidRPr="005544AF">
              <w:rPr>
                <w:rFonts w:ascii="Simplified Arabic" w:eastAsia="Times New Roman" w:hAnsi="Simplified Arabic" w:cs="Simplified Arabic"/>
                <w:bCs/>
                <w:sz w:val="24"/>
                <w:szCs w:val="24"/>
                <w:rtl/>
                <w:lang w:val="en-US" w:eastAsia="fr-FR"/>
              </w:rPr>
              <w:t xml:space="preserve"> </w:t>
            </w:r>
            <w:r>
              <w:rPr>
                <w:rFonts w:ascii="Simplified Arabic" w:eastAsia="Times New Roman" w:hAnsi="Simplified Arabic" w:cs="Simplified Arabic" w:hint="cs"/>
                <w:bCs/>
                <w:sz w:val="24"/>
                <w:szCs w:val="24"/>
                <w:rtl/>
                <w:lang w:val="en-US" w:eastAsia="fr-FR"/>
              </w:rPr>
              <w:t xml:space="preserve">الفرعي </w:t>
            </w:r>
            <w:r w:rsidR="00CC1F42">
              <w:rPr>
                <w:rFonts w:ascii="Simplified Arabic" w:eastAsia="Times New Roman" w:hAnsi="Simplified Arabic" w:cs="Simplified Arabic" w:hint="cs"/>
                <w:bCs/>
                <w:sz w:val="24"/>
                <w:szCs w:val="24"/>
                <w:rtl/>
                <w:lang w:val="en-US" w:eastAsia="fr-FR" w:bidi="ar-DZ"/>
              </w:rPr>
              <w:t>ل</w:t>
            </w:r>
            <w:r w:rsidR="00703DF4" w:rsidRPr="0039081C">
              <w:rPr>
                <w:rFonts w:ascii="Simplified Arabic" w:eastAsia="Times New Roman" w:hAnsi="Simplified Arabic" w:cs="Simplified Arabic"/>
                <w:bCs/>
                <w:sz w:val="24"/>
                <w:szCs w:val="24"/>
                <w:rtl/>
                <w:lang w:val="en-US" w:eastAsia="fr-FR"/>
              </w:rPr>
              <w:t xml:space="preserve">كثافة </w:t>
            </w:r>
            <w:r w:rsidR="00703DF4" w:rsidRPr="0039081C">
              <w:rPr>
                <w:rFonts w:ascii="Simplified Arabic" w:eastAsia="Times New Roman" w:hAnsi="Simplified Arabic" w:cs="Simplified Arabic" w:hint="cs"/>
                <w:bCs/>
                <w:sz w:val="24"/>
                <w:szCs w:val="24"/>
                <w:rtl/>
                <w:lang w:val="en-US" w:eastAsia="fr-FR"/>
              </w:rPr>
              <w:t>البناء</w:t>
            </w:r>
          </w:p>
        </w:tc>
      </w:tr>
      <w:tr w:rsidR="00703DF4" w:rsidRPr="00F32543" w:rsidTr="008F503B">
        <w:trPr>
          <w:jc w:val="center"/>
        </w:trPr>
        <w:tc>
          <w:tcPr>
            <w:tcW w:w="9121"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6240" behindDoc="0" locked="0" layoutInCell="1" allowOverlap="1" wp14:anchorId="34280B77" wp14:editId="7F4C9EDB">
                      <wp:simplePos x="0" y="0"/>
                      <wp:positionH relativeFrom="column">
                        <wp:posOffset>2694940</wp:posOffset>
                      </wp:positionH>
                      <wp:positionV relativeFrom="paragraph">
                        <wp:posOffset>68580</wp:posOffset>
                      </wp:positionV>
                      <wp:extent cx="149860" cy="129540"/>
                      <wp:effectExtent l="0" t="0" r="21590" b="22860"/>
                      <wp:wrapNone/>
                      <wp:docPr id="227" name="Ellipse 227"/>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27" o:spid="_x0000_s1026" style="position:absolute;margin-left:212.2pt;margin-top:5.4pt;width:11.8pt;height:10.2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5216" behindDoc="0" locked="0" layoutInCell="1" allowOverlap="1" wp14:anchorId="39773477" wp14:editId="2D248B47">
                      <wp:simplePos x="0" y="0"/>
                      <wp:positionH relativeFrom="column">
                        <wp:posOffset>796925</wp:posOffset>
                      </wp:positionH>
                      <wp:positionV relativeFrom="paragraph">
                        <wp:posOffset>134620</wp:posOffset>
                      </wp:positionV>
                      <wp:extent cx="3919220" cy="0"/>
                      <wp:effectExtent l="57150" t="76200" r="24130" b="133350"/>
                      <wp:wrapNone/>
                      <wp:docPr id="228" name="Connecteur droit avec flèche 228"/>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28" o:spid="_x0000_s1026" type="#_x0000_t32" style="position:absolute;margin-left:62.75pt;margin-top:10.6pt;width:308.6pt;height:0;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" strokecolor="red" strokeweight="1pt">
                      <v:stroke startarrow="block" endarrow="block"/>
                      <v:shadow on="t" color="black" opacity="24903f" origin=",.5" offset="0,.55556mm"/>
                    </v:shape>
                  </w:pict>
                </mc:Fallback>
              </mc:AlternateContent>
            </w:r>
          </w:p>
        </w:tc>
      </w:tr>
      <w:tr w:rsidR="008F503B" w:rsidRPr="00F32543" w:rsidTr="008F503B">
        <w:trPr>
          <w:jc w:val="center"/>
        </w:trPr>
        <w:tc>
          <w:tcPr>
            <w:tcW w:w="154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22"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97"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65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8F503B" w:rsidRPr="00F32543" w:rsidTr="008F503B">
        <w:trPr>
          <w:jc w:val="center"/>
        </w:trPr>
        <w:tc>
          <w:tcPr>
            <w:tcW w:w="1547" w:type="dxa"/>
            <w:vAlign w:val="center"/>
          </w:tcPr>
          <w:p w:rsidR="00703DF4" w:rsidRPr="001D020A" w:rsidRDefault="00703DF4" w:rsidP="00CC1F42">
            <w:pPr>
              <w:jc w:val="center"/>
              <w:rPr>
                <w:rFonts w:asciiTheme="majorBidi" w:eastAsia="Times New Roman" w:hAnsiTheme="majorBidi" w:cstheme="majorBidi"/>
                <w:color w:val="000000"/>
                <w:sz w:val="24"/>
                <w:szCs w:val="24"/>
                <w:lang w:val="en-US" w:eastAsia="fr-FR"/>
              </w:rPr>
            </w:pPr>
            <w:r w:rsidRPr="001D020A">
              <w:rPr>
                <w:rFonts w:asciiTheme="majorBidi" w:eastAsia="Times New Roman" w:hAnsiTheme="majorBidi" w:cstheme="majorBidi"/>
                <w:color w:val="000000"/>
                <w:sz w:val="24"/>
                <w:szCs w:val="24"/>
                <w:lang w:val="en-US" w:eastAsia="fr-FR"/>
              </w:rPr>
              <w:t>&lt;</w:t>
            </w:r>
            <w:r w:rsidR="00CC1F42">
              <w:rPr>
                <w:rFonts w:asciiTheme="majorBidi" w:eastAsia="Times New Roman" w:hAnsiTheme="majorBidi" w:cstheme="majorBidi" w:hint="cs"/>
                <w:color w:val="000000"/>
                <w:sz w:val="24"/>
                <w:szCs w:val="24"/>
                <w:rtl/>
                <w:lang w:val="en-US" w:eastAsia="fr-FR"/>
              </w:rPr>
              <w:t>30</w:t>
            </w:r>
            <w:r w:rsidRPr="001D020A">
              <w:rPr>
                <w:rFonts w:asciiTheme="majorBidi" w:eastAsia="Times New Roman" w:hAnsiTheme="majorBidi" w:cstheme="majorBidi"/>
                <w:color w:val="000000"/>
                <w:sz w:val="24"/>
                <w:szCs w:val="24"/>
                <w:lang w:val="en-US" w:eastAsia="fr-FR"/>
              </w:rPr>
              <w:t xml:space="preserve"> Hou/H</w:t>
            </w: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1D020A"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1D020A"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1D020A" w:rsidRDefault="00CC1F42" w:rsidP="00CC1F42">
            <w:pPr>
              <w:bidi/>
              <w:jc w:val="center"/>
              <w:rPr>
                <w:rFonts w:asciiTheme="majorBidi" w:eastAsia="Times New Roman" w:hAnsiTheme="majorBidi" w:cstheme="majorBidi"/>
                <w:color w:val="000000"/>
                <w:lang w:val="en-US" w:eastAsia="fr-FR"/>
              </w:rPr>
            </w:pPr>
            <w:r>
              <w:rPr>
                <w:rFonts w:asciiTheme="majorBidi" w:eastAsia="Times New Roman" w:hAnsiTheme="majorBidi" w:cstheme="majorBidi"/>
                <w:color w:val="000000"/>
                <w:lang w:val="en-US" w:eastAsia="fr-FR"/>
              </w:rPr>
              <w:t>30</w:t>
            </w:r>
            <w:r w:rsidR="00703DF4" w:rsidRPr="001D020A">
              <w:rPr>
                <w:rFonts w:asciiTheme="majorBidi" w:eastAsia="Times New Roman" w:hAnsiTheme="majorBidi" w:cstheme="majorBidi"/>
                <w:color w:val="000000"/>
                <w:lang w:val="en-US" w:eastAsia="fr-FR"/>
              </w:rPr>
              <w:t>–</w:t>
            </w:r>
            <w:r>
              <w:rPr>
                <w:rFonts w:asciiTheme="majorBidi" w:eastAsia="Times New Roman" w:hAnsiTheme="majorBidi" w:cstheme="majorBidi"/>
                <w:color w:val="000000"/>
                <w:lang w:val="en-US" w:eastAsia="fr-FR"/>
              </w:rPr>
              <w:t>50</w:t>
            </w:r>
            <w:r w:rsidR="00703DF4" w:rsidRPr="001D020A">
              <w:rPr>
                <w:rFonts w:asciiTheme="majorBidi" w:eastAsia="Times New Roman" w:hAnsiTheme="majorBidi" w:cstheme="majorBidi"/>
                <w:color w:val="000000"/>
                <w:lang w:val="en-US" w:eastAsia="fr-FR"/>
              </w:rPr>
              <w:t xml:space="preserve"> Hou/H</w:t>
            </w:r>
          </w:p>
        </w:tc>
      </w:tr>
      <w:tr w:rsidR="008F503B" w:rsidRPr="00F32543" w:rsidTr="008F503B">
        <w:trPr>
          <w:jc w:val="center"/>
        </w:trPr>
        <w:tc>
          <w:tcPr>
            <w:tcW w:w="1547" w:type="dxa"/>
            <w:vAlign w:val="center"/>
          </w:tcPr>
          <w:p w:rsidR="00703DF4" w:rsidRPr="001D020A" w:rsidRDefault="00703DF4" w:rsidP="00CC1F42">
            <w:pPr>
              <w:jc w:val="center"/>
              <w:rPr>
                <w:rFonts w:asciiTheme="majorBidi" w:eastAsia="Times New Roman" w:hAnsiTheme="majorBidi" w:cstheme="majorBidi"/>
                <w:color w:val="000000"/>
                <w:sz w:val="24"/>
                <w:szCs w:val="24"/>
                <w:lang w:val="en-US" w:eastAsia="fr-FR"/>
              </w:rPr>
            </w:pPr>
            <w:r w:rsidRPr="001D020A">
              <w:rPr>
                <w:rFonts w:asciiTheme="majorBidi" w:eastAsia="Times New Roman" w:hAnsiTheme="majorBidi" w:cstheme="majorBidi"/>
                <w:color w:val="000000"/>
                <w:sz w:val="24"/>
                <w:szCs w:val="24"/>
                <w:lang w:val="en-US" w:eastAsia="fr-FR"/>
              </w:rPr>
              <w:t>&lt;</w:t>
            </w:r>
            <w:r w:rsidR="00CC1F42">
              <w:rPr>
                <w:rFonts w:asciiTheme="majorBidi" w:eastAsia="Times New Roman" w:hAnsiTheme="majorBidi" w:cstheme="majorBidi" w:hint="cs"/>
                <w:color w:val="000000"/>
                <w:sz w:val="24"/>
                <w:szCs w:val="24"/>
                <w:rtl/>
                <w:lang w:val="en-US" w:eastAsia="fr-FR"/>
              </w:rPr>
              <w:t>30</w:t>
            </w:r>
            <w:r w:rsidRPr="001D020A">
              <w:rPr>
                <w:rFonts w:asciiTheme="majorBidi" w:eastAsia="Times New Roman" w:hAnsiTheme="majorBidi" w:cstheme="majorBidi"/>
                <w:color w:val="000000"/>
                <w:sz w:val="24"/>
                <w:szCs w:val="24"/>
                <w:lang w:val="en-US" w:eastAsia="fr-FR"/>
              </w:rPr>
              <w:t xml:space="preserve"> Hou/H</w:t>
            </w: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1D020A"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1D020A"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1D020A" w:rsidRDefault="00703DF4" w:rsidP="00CC1F42">
            <w:pPr>
              <w:bidi/>
              <w:jc w:val="center"/>
              <w:rPr>
                <w:rFonts w:asciiTheme="majorBidi" w:eastAsia="Times New Roman" w:hAnsiTheme="majorBidi" w:cstheme="majorBidi"/>
                <w:color w:val="000000"/>
                <w:sz w:val="24"/>
                <w:szCs w:val="24"/>
                <w:lang w:val="en-US" w:eastAsia="fr-FR"/>
              </w:rPr>
            </w:pPr>
            <w:r w:rsidRPr="001D020A">
              <w:rPr>
                <w:rFonts w:asciiTheme="majorBidi" w:eastAsia="Times New Roman" w:hAnsiTheme="majorBidi" w:cstheme="majorBidi"/>
                <w:color w:val="000000"/>
                <w:sz w:val="24"/>
                <w:szCs w:val="24"/>
                <w:lang w:val="en-US" w:eastAsia="fr-FR"/>
              </w:rPr>
              <w:t>&gt;</w:t>
            </w:r>
            <w:r w:rsidR="00CC1F42">
              <w:rPr>
                <w:rFonts w:asciiTheme="majorBidi" w:eastAsia="Times New Roman" w:hAnsiTheme="majorBidi" w:cstheme="majorBidi"/>
                <w:color w:val="000000"/>
                <w:sz w:val="24"/>
                <w:szCs w:val="24"/>
                <w:lang w:val="en-US" w:eastAsia="fr-FR"/>
              </w:rPr>
              <w:t>50</w:t>
            </w:r>
            <w:r w:rsidRPr="001D020A">
              <w:rPr>
                <w:rFonts w:asciiTheme="majorBidi" w:eastAsia="Times New Roman" w:hAnsiTheme="majorBidi" w:cstheme="majorBidi"/>
                <w:color w:val="000000"/>
                <w:sz w:val="24"/>
                <w:szCs w:val="24"/>
                <w:lang w:val="en-US" w:eastAsia="fr-FR"/>
              </w:rPr>
              <w:t xml:space="preserve"> Hou/H</w:t>
            </w:r>
          </w:p>
        </w:tc>
      </w:tr>
      <w:tr w:rsidR="008F503B" w:rsidRPr="00F32543" w:rsidTr="008F503B">
        <w:trPr>
          <w:jc w:val="center"/>
        </w:trPr>
        <w:tc>
          <w:tcPr>
            <w:tcW w:w="1547" w:type="dxa"/>
            <w:vAlign w:val="center"/>
          </w:tcPr>
          <w:p w:rsidR="00703DF4" w:rsidRPr="001D020A" w:rsidRDefault="00CC1F42" w:rsidP="00CC1F42">
            <w:pPr>
              <w:bidi/>
              <w:jc w:val="center"/>
              <w:rPr>
                <w:rFonts w:asciiTheme="majorBidi" w:eastAsia="Times New Roman" w:hAnsiTheme="majorBidi" w:cstheme="majorBidi"/>
                <w:color w:val="000000"/>
                <w:lang w:val="en-US" w:eastAsia="fr-FR"/>
              </w:rPr>
            </w:pPr>
            <w:r>
              <w:rPr>
                <w:rFonts w:asciiTheme="majorBidi" w:eastAsia="Times New Roman" w:hAnsiTheme="majorBidi" w:cstheme="majorBidi"/>
                <w:color w:val="000000"/>
                <w:lang w:val="en-US" w:eastAsia="fr-FR"/>
              </w:rPr>
              <w:t>30</w:t>
            </w:r>
            <w:r w:rsidR="00703DF4" w:rsidRPr="001D020A">
              <w:rPr>
                <w:rFonts w:asciiTheme="majorBidi" w:eastAsia="Times New Roman" w:hAnsiTheme="majorBidi" w:cstheme="majorBidi"/>
                <w:color w:val="000000"/>
                <w:lang w:val="en-US" w:eastAsia="fr-FR"/>
              </w:rPr>
              <w:t>–</w:t>
            </w:r>
            <w:r>
              <w:rPr>
                <w:rFonts w:asciiTheme="majorBidi" w:eastAsia="Times New Roman" w:hAnsiTheme="majorBidi" w:cstheme="majorBidi"/>
                <w:color w:val="000000"/>
                <w:lang w:val="en-US" w:eastAsia="fr-FR"/>
              </w:rPr>
              <w:t>50</w:t>
            </w:r>
            <w:r w:rsidR="00703DF4" w:rsidRPr="001D020A">
              <w:rPr>
                <w:rFonts w:asciiTheme="majorBidi" w:eastAsia="Times New Roman" w:hAnsiTheme="majorBidi" w:cstheme="majorBidi"/>
                <w:color w:val="000000"/>
                <w:lang w:val="en-US" w:eastAsia="fr-FR"/>
              </w:rPr>
              <w:t xml:space="preserve"> Hou/H</w:t>
            </w: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1D020A"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1D020A"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1D020A"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1D020A" w:rsidRDefault="00703DF4" w:rsidP="00CC1F42">
            <w:pPr>
              <w:bidi/>
              <w:jc w:val="center"/>
              <w:rPr>
                <w:rFonts w:asciiTheme="majorBidi" w:eastAsia="Times New Roman" w:hAnsiTheme="majorBidi" w:cstheme="majorBidi"/>
                <w:color w:val="000000"/>
                <w:sz w:val="24"/>
                <w:szCs w:val="24"/>
                <w:lang w:val="en-US" w:eastAsia="fr-FR"/>
              </w:rPr>
            </w:pPr>
            <w:r w:rsidRPr="001D020A">
              <w:rPr>
                <w:rFonts w:asciiTheme="majorBidi" w:eastAsia="Times New Roman" w:hAnsiTheme="majorBidi" w:cstheme="majorBidi"/>
                <w:color w:val="000000"/>
                <w:sz w:val="24"/>
                <w:szCs w:val="24"/>
                <w:lang w:val="en-US" w:eastAsia="fr-FR"/>
              </w:rPr>
              <w:t>&gt;</w:t>
            </w:r>
            <w:r w:rsidR="00CC1F42">
              <w:rPr>
                <w:rFonts w:asciiTheme="majorBidi" w:eastAsia="Times New Roman" w:hAnsiTheme="majorBidi" w:cstheme="majorBidi"/>
                <w:color w:val="000000"/>
                <w:sz w:val="24"/>
                <w:szCs w:val="24"/>
                <w:lang w:val="en-US" w:eastAsia="fr-FR"/>
              </w:rPr>
              <w:t>50</w:t>
            </w:r>
            <w:r w:rsidRPr="001D020A">
              <w:rPr>
                <w:rFonts w:asciiTheme="majorBidi" w:eastAsia="Times New Roman" w:hAnsiTheme="majorBidi" w:cstheme="majorBidi"/>
                <w:color w:val="000000"/>
                <w:sz w:val="24"/>
                <w:szCs w:val="24"/>
                <w:lang w:val="en-US" w:eastAsia="fr-FR"/>
              </w:rPr>
              <w:t xml:space="preserve"> Hou/H</w:t>
            </w:r>
          </w:p>
        </w:tc>
      </w:tr>
      <w:tr w:rsidR="00703DF4" w:rsidRPr="00F32543" w:rsidTr="008F503B">
        <w:trPr>
          <w:jc w:val="center"/>
        </w:trPr>
        <w:tc>
          <w:tcPr>
            <w:tcW w:w="9121" w:type="dxa"/>
            <w:gridSpan w:val="19"/>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b/>
                <w:bCs/>
                <w:sz w:val="20"/>
                <w:szCs w:val="20"/>
                <w:rtl/>
                <w:lang w:val="en-US" w:bidi="ar-DZ"/>
              </w:rPr>
            </w:pPr>
            <w:r w:rsidRPr="00F32543">
              <w:rPr>
                <w:rFonts w:ascii="Simplified Arabic" w:hAnsi="Simplified Arabic" w:cs="Simplified Arabic"/>
                <w:b/>
                <w:bCs/>
                <w:sz w:val="20"/>
                <w:szCs w:val="20"/>
                <w:rtl/>
                <w:lang w:val="en-US" w:bidi="ar-DZ"/>
              </w:rPr>
              <w:lastRenderedPageBreak/>
              <w:t>9=قصوى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5=قوية    3=معتدلة    </w:t>
            </w:r>
            <w:r w:rsidRPr="00F32543">
              <w:rPr>
                <w:rFonts w:ascii="Simplified Arabic" w:hAnsi="Simplified Arabic" w:cs="Simplified Arabic"/>
                <w:b/>
                <w:bCs/>
                <w:sz w:val="20"/>
                <w:szCs w:val="20"/>
                <w:shd w:val="clear" w:color="auto" w:fill="FFFFFF" w:themeFill="background1"/>
                <w:rtl/>
                <w:lang w:val="en-US" w:bidi="ar-DZ"/>
              </w:rPr>
              <w:t xml:space="preserve"> 1= متساوية </w:t>
            </w:r>
            <w:r w:rsidRPr="00F32543">
              <w:rPr>
                <w:rFonts w:ascii="Simplified Arabic" w:hAnsi="Simplified Arabic" w:cs="Simplified Arabic"/>
                <w:b/>
                <w:bCs/>
                <w:sz w:val="20"/>
                <w:szCs w:val="20"/>
                <w:rtl/>
                <w:lang w:val="en-US" w:bidi="ar-DZ"/>
              </w:rPr>
              <w:t xml:space="preserve">   3=معتدلة   5=قوية    7=</w:t>
            </w:r>
            <w:r w:rsidRPr="00F32543">
              <w:rPr>
                <w:rFonts w:ascii="Simplified Arabic" w:eastAsia="Times New Roman" w:hAnsi="Simplified Arabic" w:cs="Simplified Arabic"/>
                <w:b/>
                <w:bCs/>
                <w:sz w:val="20"/>
                <w:szCs w:val="20"/>
                <w:rtl/>
                <w:lang w:val="en-US" w:bidi="ar-DZ"/>
              </w:rPr>
              <w:t xml:space="preserve"> قوية جدًا   </w:t>
            </w:r>
            <w:r w:rsidRPr="00F32543">
              <w:rPr>
                <w:rFonts w:ascii="Simplified Arabic" w:hAnsi="Simplified Arabic" w:cs="Simplified Arabic"/>
                <w:b/>
                <w:bCs/>
                <w:sz w:val="20"/>
                <w:szCs w:val="20"/>
                <w:rtl/>
                <w:lang w:val="en-US" w:bidi="ar-DZ"/>
              </w:rPr>
              <w:t xml:space="preserve"> 9=قصوى</w:t>
            </w:r>
          </w:p>
        </w:tc>
      </w:tr>
      <w:tr w:rsidR="00703DF4" w:rsidRPr="00F32543" w:rsidTr="008F503B">
        <w:trPr>
          <w:jc w:val="center"/>
        </w:trPr>
        <w:tc>
          <w:tcPr>
            <w:tcW w:w="9121" w:type="dxa"/>
            <w:gridSpan w:val="19"/>
            <w:shd w:val="clear" w:color="auto" w:fill="auto"/>
            <w:vAlign w:val="center"/>
          </w:tcPr>
          <w:p w:rsidR="00703DF4" w:rsidRPr="005544AF" w:rsidRDefault="00703DF4" w:rsidP="001D020A">
            <w:pPr>
              <w:widowControl w:val="0"/>
              <w:tabs>
                <w:tab w:val="right" w:pos="282"/>
              </w:tabs>
              <w:autoSpaceDE w:val="0"/>
              <w:autoSpaceDN w:val="0"/>
              <w:bidi/>
              <w:rPr>
                <w:rFonts w:ascii="Simplified Arabic" w:eastAsia="Times New Roman" w:hAnsi="Simplified Arabic" w:cs="Simplified Arabic"/>
                <w:bCs/>
                <w:sz w:val="24"/>
                <w:szCs w:val="24"/>
                <w:rtl/>
                <w:lang w:val="en-US" w:eastAsia="fr-FR" w:bidi="ar-DZ"/>
              </w:rPr>
            </w:pPr>
            <w:r w:rsidRPr="005544AF">
              <w:rPr>
                <w:rFonts w:ascii="Simplified Arabic" w:eastAsia="Times New Roman" w:hAnsi="Simplified Arabic" w:cs="Simplified Arabic"/>
                <w:bCs/>
                <w:sz w:val="24"/>
                <w:szCs w:val="24"/>
                <w:rtl/>
                <w:lang w:val="en-US" w:eastAsia="fr-FR"/>
              </w:rPr>
              <w:t xml:space="preserve">خريطة </w:t>
            </w:r>
            <w:r w:rsidR="005544AF">
              <w:rPr>
                <w:rFonts w:ascii="Simplified Arabic" w:eastAsia="Times New Roman" w:hAnsi="Simplified Arabic" w:cs="Simplified Arabic" w:hint="cs"/>
                <w:bCs/>
                <w:sz w:val="24"/>
                <w:szCs w:val="24"/>
                <w:rtl/>
                <w:lang w:val="en-US" w:eastAsia="fr-FR"/>
              </w:rPr>
              <w:t>ال</w:t>
            </w:r>
            <w:r w:rsidR="005544AF" w:rsidRPr="005544AF">
              <w:rPr>
                <w:rFonts w:ascii="Simplified Arabic" w:eastAsia="Times New Roman" w:hAnsi="Simplified Arabic" w:cs="Simplified Arabic" w:hint="cs"/>
                <w:bCs/>
                <w:sz w:val="24"/>
                <w:szCs w:val="24"/>
                <w:rtl/>
                <w:lang w:val="en-US" w:eastAsia="fr-FR"/>
              </w:rPr>
              <w:t>معيار</w:t>
            </w:r>
            <w:r w:rsidR="005544AF" w:rsidRPr="005544AF">
              <w:rPr>
                <w:rFonts w:ascii="Simplified Arabic" w:eastAsia="Times New Roman" w:hAnsi="Simplified Arabic" w:cs="Simplified Arabic"/>
                <w:bCs/>
                <w:sz w:val="24"/>
                <w:szCs w:val="24"/>
                <w:rtl/>
                <w:lang w:val="en-US" w:eastAsia="fr-FR"/>
              </w:rPr>
              <w:t xml:space="preserve"> </w:t>
            </w:r>
            <w:r w:rsidR="005544AF">
              <w:rPr>
                <w:rFonts w:ascii="Simplified Arabic" w:eastAsia="Times New Roman" w:hAnsi="Simplified Arabic" w:cs="Simplified Arabic" w:hint="cs"/>
                <w:bCs/>
                <w:sz w:val="24"/>
                <w:szCs w:val="24"/>
                <w:rtl/>
                <w:lang w:val="en-US" w:eastAsia="fr-FR"/>
              </w:rPr>
              <w:t xml:space="preserve">الفرعي </w:t>
            </w:r>
            <w:r w:rsidR="001D020A">
              <w:rPr>
                <w:rFonts w:ascii="Simplified Arabic" w:eastAsia="Times New Roman" w:hAnsi="Simplified Arabic" w:cs="Simplified Arabic" w:hint="cs"/>
                <w:bCs/>
                <w:sz w:val="24"/>
                <w:szCs w:val="24"/>
                <w:rtl/>
                <w:lang w:val="en-US" w:eastAsia="fr-FR"/>
              </w:rPr>
              <w:t>عمق</w:t>
            </w:r>
            <w:r w:rsidR="001D020A" w:rsidRPr="005544AF">
              <w:rPr>
                <w:rFonts w:ascii="Simplified Arabic" w:eastAsia="Times New Roman" w:hAnsi="Simplified Arabic" w:cs="Simplified Arabic"/>
                <w:bCs/>
                <w:sz w:val="24"/>
                <w:szCs w:val="24"/>
                <w:rtl/>
                <w:lang w:val="en-US" w:eastAsia="fr-FR"/>
              </w:rPr>
              <w:t xml:space="preserve"> الطرق</w:t>
            </w:r>
            <w:r w:rsidR="001D020A" w:rsidRPr="005544AF">
              <w:rPr>
                <w:rFonts w:ascii="Simplified Arabic" w:eastAsia="Times New Roman" w:hAnsi="Simplified Arabic" w:cs="Simplified Arabic" w:hint="cs"/>
                <w:bCs/>
                <w:sz w:val="24"/>
                <w:szCs w:val="24"/>
                <w:rtl/>
                <w:lang w:val="en-US" w:eastAsia="fr-FR"/>
              </w:rPr>
              <w:t xml:space="preserve"> الشريانية</w:t>
            </w:r>
            <w:r w:rsidR="001D020A" w:rsidRPr="005544AF">
              <w:rPr>
                <w:rFonts w:ascii="Simplified Arabic" w:eastAsia="Times New Roman" w:hAnsi="Simplified Arabic" w:cs="Simplified Arabic"/>
                <w:bCs/>
                <w:sz w:val="24"/>
                <w:szCs w:val="24"/>
                <w:rtl/>
                <w:lang w:val="en-US" w:eastAsia="fr-FR"/>
              </w:rPr>
              <w:t xml:space="preserve"> </w:t>
            </w:r>
            <w:r w:rsidR="001D020A">
              <w:rPr>
                <w:rFonts w:ascii="Simplified Arabic" w:eastAsia="Times New Roman" w:hAnsi="Simplified Arabic" w:cs="Simplified Arabic" w:hint="cs"/>
                <w:bCs/>
                <w:sz w:val="24"/>
                <w:szCs w:val="24"/>
                <w:rtl/>
                <w:lang w:val="en-US" w:eastAsia="fr-FR"/>
              </w:rPr>
              <w:t>(الرئيسية والثانوية)</w:t>
            </w:r>
            <w:r w:rsidRPr="005544AF">
              <w:rPr>
                <w:rFonts w:ascii="Simplified Arabic" w:eastAsia="Times New Roman" w:hAnsi="Simplified Arabic" w:cs="Simplified Arabic"/>
                <w:bCs/>
                <w:sz w:val="24"/>
                <w:szCs w:val="24"/>
                <w:rtl/>
                <w:lang w:val="en-US" w:eastAsia="fr-FR"/>
              </w:rPr>
              <w:t xml:space="preserve"> </w:t>
            </w:r>
          </w:p>
        </w:tc>
      </w:tr>
      <w:tr w:rsidR="00703DF4" w:rsidRPr="00F32543" w:rsidTr="008F503B">
        <w:trPr>
          <w:jc w:val="center"/>
        </w:trPr>
        <w:tc>
          <w:tcPr>
            <w:tcW w:w="9121" w:type="dxa"/>
            <w:gridSpan w:val="1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8288" behindDoc="0" locked="0" layoutInCell="1" allowOverlap="1" wp14:anchorId="14A7DB14" wp14:editId="068C4AF6">
                      <wp:simplePos x="0" y="0"/>
                      <wp:positionH relativeFrom="column">
                        <wp:posOffset>2694940</wp:posOffset>
                      </wp:positionH>
                      <wp:positionV relativeFrom="paragraph">
                        <wp:posOffset>68580</wp:posOffset>
                      </wp:positionV>
                      <wp:extent cx="149860" cy="129540"/>
                      <wp:effectExtent l="0" t="0" r="21590" b="22860"/>
                      <wp:wrapNone/>
                      <wp:docPr id="229" name="Ellipse 229"/>
                      <wp:cNvGraphicFramePr/>
                      <a:graphic xmlns:a="http://schemas.openxmlformats.org/drawingml/2006/main">
                        <a:graphicData uri="http://schemas.microsoft.com/office/word/2010/wordprocessingShape">
                          <wps:wsp>
                            <wps:cNvSpPr/>
                            <wps:spPr>
                              <a:xfrm>
                                <a:off x="0" y="0"/>
                                <a:ext cx="149860" cy="129540"/>
                              </a:xfrm>
                              <a:prstGeom prst="ellipse">
                                <a:avLst/>
                              </a:prstGeom>
                              <a:solidFill>
                                <a:srgbClr val="0070C0"/>
                              </a:solidFill>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29" o:spid="_x0000_s1026" style="position:absolute;margin-left:212.2pt;margin-top:5.4pt;width:11.8pt;height:10.2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" fillcolor="#0070c0" strokecolor="black [3200]" strokeweight="1pt"/>
                  </w:pict>
                </mc:Fallback>
              </mc:AlternateContent>
            </w:r>
            <w:r w:rsidRPr="00F32543">
              <w:rPr>
                <w:rFonts w:ascii="Simplified Arabic" w:hAnsi="Simplified Arabic" w:cs="Simplified Arabic"/>
                <w:noProof/>
                <w:sz w:val="20"/>
                <w:szCs w:val="20"/>
                <w:rtl/>
                <w:lang w:eastAsia="fr-FR"/>
              </w:rPr>
              <mc:AlternateContent>
                <mc:Choice Requires="wps">
                  <w:drawing>
                    <wp:anchor distT="0" distB="0" distL="114300" distR="114300" simplePos="0" relativeHeight="251787264" behindDoc="0" locked="0" layoutInCell="1" allowOverlap="1" wp14:anchorId="4F2477CA" wp14:editId="4514519B">
                      <wp:simplePos x="0" y="0"/>
                      <wp:positionH relativeFrom="column">
                        <wp:posOffset>796925</wp:posOffset>
                      </wp:positionH>
                      <wp:positionV relativeFrom="paragraph">
                        <wp:posOffset>134620</wp:posOffset>
                      </wp:positionV>
                      <wp:extent cx="3919220" cy="0"/>
                      <wp:effectExtent l="57150" t="76200" r="24130" b="133350"/>
                      <wp:wrapNone/>
                      <wp:docPr id="230" name="Connecteur droit avec flèche 230"/>
                      <wp:cNvGraphicFramePr/>
                      <a:graphic xmlns:a="http://schemas.openxmlformats.org/drawingml/2006/main">
                        <a:graphicData uri="http://schemas.microsoft.com/office/word/2010/wordprocessingShape">
                          <wps:wsp>
                            <wps:cNvCnPr/>
                            <wps:spPr>
                              <a:xfrm>
                                <a:off x="0" y="0"/>
                                <a:ext cx="3919220" cy="0"/>
                              </a:xfrm>
                              <a:prstGeom prst="straightConnector1">
                                <a:avLst/>
                              </a:prstGeom>
                              <a:ln w="12700">
                                <a:solidFill>
                                  <a:srgbClr val="FF0000"/>
                                </a:solidFill>
                                <a:headEnd type="triangle" w="med" len="med"/>
                                <a:tailEnd type="triangle" w="med" len="med"/>
                              </a:ln>
                            </wps:spPr>
                            <wps:style>
                              <a:lnRef idx="2">
                                <a:schemeClr val="accent6"/>
                              </a:lnRef>
                              <a:fillRef idx="0">
                                <a:schemeClr val="accent6"/>
                              </a:fillRef>
                              <a:effectRef idx="1">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necteur droit avec flèche 230" o:spid="_x0000_s1026" type="#_x0000_t32" style="position:absolute;margin-left:62.75pt;margin-top:10.6pt;width:308.6pt;height:0;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" strokecolor="red" strokeweight="1pt">
                      <v:stroke startarrow="block" endarrow="block"/>
                      <v:shadow on="t" color="black" opacity="24903f" origin=",.5" offset="0,.55556mm"/>
                    </v:shape>
                  </w:pict>
                </mc:Fallback>
              </mc:AlternateContent>
            </w:r>
          </w:p>
        </w:tc>
      </w:tr>
      <w:tr w:rsidR="008F503B" w:rsidRPr="00F32543" w:rsidTr="008F503B">
        <w:trPr>
          <w:jc w:val="center"/>
        </w:trPr>
        <w:tc>
          <w:tcPr>
            <w:tcW w:w="1547"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55"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5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54"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22" w:type="dxa"/>
            <w:shd w:val="clear" w:color="auto" w:fill="D9D9D9" w:themeFill="background1" w:themeFillShade="D9"/>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1</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2</w:t>
            </w:r>
          </w:p>
        </w:tc>
        <w:tc>
          <w:tcPr>
            <w:tcW w:w="393"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3</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4</w:t>
            </w:r>
          </w:p>
        </w:tc>
        <w:tc>
          <w:tcPr>
            <w:tcW w:w="397" w:type="dxa"/>
            <w:shd w:val="clear" w:color="auto" w:fill="auto"/>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5</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6</w:t>
            </w:r>
          </w:p>
        </w:tc>
        <w:tc>
          <w:tcPr>
            <w:tcW w:w="400"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7</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8</w:t>
            </w:r>
          </w:p>
        </w:tc>
        <w:tc>
          <w:tcPr>
            <w:tcW w:w="32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r w:rsidRPr="00F32543">
              <w:rPr>
                <w:rFonts w:ascii="Simplified Arabic" w:hAnsi="Simplified Arabic" w:cs="Simplified Arabic"/>
                <w:sz w:val="20"/>
                <w:szCs w:val="20"/>
                <w:rtl/>
                <w:lang w:val="en-US" w:bidi="ar-DZ"/>
              </w:rPr>
              <w:t>9</w:t>
            </w:r>
          </w:p>
        </w:tc>
        <w:tc>
          <w:tcPr>
            <w:tcW w:w="1652" w:type="dxa"/>
            <w:vAlign w:val="center"/>
          </w:tcPr>
          <w:p w:rsidR="00703DF4" w:rsidRPr="00F32543" w:rsidRDefault="00703DF4" w:rsidP="00703DF4">
            <w:pPr>
              <w:tabs>
                <w:tab w:val="left" w:pos="3010"/>
              </w:tabs>
              <w:bidi/>
              <w:jc w:val="center"/>
              <w:rPr>
                <w:rFonts w:ascii="Simplified Arabic" w:hAnsi="Simplified Arabic" w:cs="Simplified Arabic"/>
                <w:sz w:val="20"/>
                <w:szCs w:val="20"/>
                <w:rtl/>
                <w:lang w:val="en-US" w:bidi="ar-DZ"/>
              </w:rPr>
            </w:pPr>
          </w:p>
        </w:tc>
      </w:tr>
      <w:tr w:rsidR="008F503B" w:rsidRPr="00F32543" w:rsidTr="008F503B">
        <w:trPr>
          <w:jc w:val="center"/>
        </w:trPr>
        <w:tc>
          <w:tcPr>
            <w:tcW w:w="1547" w:type="dxa"/>
            <w:vAlign w:val="center"/>
          </w:tcPr>
          <w:p w:rsidR="00703DF4" w:rsidRPr="008F503B" w:rsidRDefault="00703DF4" w:rsidP="001D020A">
            <w:pPr>
              <w:jc w:val="center"/>
              <w:rPr>
                <w:rFonts w:ascii="Simplified Arabic" w:eastAsia="Times New Roman" w:hAnsi="Simplified Arabic" w:cs="Simplified Arabic"/>
                <w:color w:val="000000"/>
                <w:sz w:val="20"/>
                <w:szCs w:val="20"/>
                <w:lang w:val="en-US"/>
              </w:rPr>
            </w:pPr>
            <w:r w:rsidRPr="008F503B">
              <w:rPr>
                <w:rFonts w:ascii="Simplified Arabic" w:eastAsia="Times New Roman" w:hAnsi="Simplified Arabic" w:cs="Simplified Arabic"/>
                <w:color w:val="000000"/>
                <w:sz w:val="20"/>
                <w:szCs w:val="20"/>
                <w:lang w:val="en-US"/>
              </w:rPr>
              <w:t>&lt;</w:t>
            </w:r>
            <w:r w:rsidR="008F503B" w:rsidRPr="008F503B">
              <w:rPr>
                <w:rFonts w:ascii="Simplified Arabic" w:eastAsia="Times New Roman" w:hAnsi="Simplified Arabic" w:cs="Simplified Arabic"/>
                <w:color w:val="000000"/>
                <w:sz w:val="20"/>
                <w:szCs w:val="20"/>
                <w:rtl/>
              </w:rPr>
              <w:t>1</w:t>
            </w:r>
            <w:r w:rsidR="008F503B" w:rsidRPr="008F503B">
              <w:rPr>
                <w:rFonts w:ascii="Simplified Arabic" w:eastAsia="Times New Roman" w:hAnsi="Simplified Arabic" w:cs="Simplified Arabic"/>
                <w:color w:val="000000"/>
                <w:sz w:val="20"/>
                <w:szCs w:val="20"/>
                <w:lang w:val="en-US"/>
              </w:rPr>
              <w:t>,</w:t>
            </w:r>
            <w:r w:rsidR="008F503B" w:rsidRPr="008F503B">
              <w:rPr>
                <w:rFonts w:ascii="Simplified Arabic" w:eastAsia="Times New Roman" w:hAnsi="Simplified Arabic" w:cs="Simplified Arabic"/>
                <w:color w:val="000000"/>
                <w:sz w:val="20"/>
                <w:szCs w:val="20"/>
                <w:rtl/>
                <w:lang w:val="en-US"/>
              </w:rPr>
              <w:t>500</w:t>
            </w:r>
            <w:r w:rsidR="008F503B" w:rsidRPr="008F503B">
              <w:rPr>
                <w:rFonts w:ascii="Simplified Arabic" w:eastAsia="Times New Roman" w:hAnsi="Simplified Arabic" w:cs="Simplified Arabic"/>
                <w:color w:val="000000"/>
                <w:sz w:val="20"/>
                <w:szCs w:val="20"/>
                <w:lang w:val="en-US"/>
              </w:rPr>
              <w:t xml:space="preserve"> </w:t>
            </w:r>
            <w:r w:rsidRPr="008F503B">
              <w:rPr>
                <w:rFonts w:asciiTheme="majorBidi" w:eastAsia="Times New Roman" w:hAnsiTheme="majorBidi" w:cstheme="majorBidi"/>
                <w:color w:val="000000"/>
                <w:sz w:val="20"/>
                <w:szCs w:val="20"/>
                <w:lang w:val="en-US"/>
              </w:rPr>
              <w:t>m</w:t>
            </w: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8F503B"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8F503B"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8F503B" w:rsidRDefault="008F503B" w:rsidP="008F503B">
            <w:pPr>
              <w:jc w:val="center"/>
              <w:rPr>
                <w:rFonts w:ascii="Simplified Arabic" w:eastAsia="Times New Roman" w:hAnsi="Simplified Arabic" w:cs="Simplified Arabic"/>
                <w:color w:val="000000"/>
                <w:sz w:val="20"/>
                <w:szCs w:val="20"/>
                <w:lang w:val="en-US"/>
              </w:rPr>
            </w:pPr>
            <w:r w:rsidRPr="008F503B">
              <w:rPr>
                <w:rFonts w:ascii="Simplified Arabic" w:eastAsia="Times New Roman" w:hAnsi="Simplified Arabic" w:cs="Simplified Arabic"/>
                <w:color w:val="000000"/>
                <w:sz w:val="20"/>
                <w:szCs w:val="20"/>
                <w:rtl/>
              </w:rPr>
              <w:t>1</w:t>
            </w:r>
            <w:r w:rsidRPr="008F503B">
              <w:rPr>
                <w:rFonts w:ascii="Simplified Arabic" w:eastAsia="Times New Roman" w:hAnsi="Simplified Arabic" w:cs="Simplified Arabic"/>
                <w:color w:val="000000"/>
                <w:sz w:val="20"/>
                <w:szCs w:val="20"/>
                <w:lang w:val="en-US"/>
              </w:rPr>
              <w:t>,</w:t>
            </w:r>
            <w:r w:rsidRPr="008F503B">
              <w:rPr>
                <w:rFonts w:ascii="Simplified Arabic" w:eastAsia="Times New Roman" w:hAnsi="Simplified Arabic" w:cs="Simplified Arabic"/>
                <w:color w:val="000000"/>
                <w:sz w:val="20"/>
                <w:szCs w:val="20"/>
                <w:rtl/>
                <w:lang w:val="en-US"/>
              </w:rPr>
              <w:t>500</w:t>
            </w:r>
            <w:r w:rsidRPr="008F503B">
              <w:rPr>
                <w:rFonts w:ascii="Simplified Arabic" w:eastAsia="Times New Roman" w:hAnsi="Simplified Arabic" w:cs="Simplified Arabic"/>
                <w:color w:val="000000"/>
                <w:sz w:val="20"/>
                <w:szCs w:val="20"/>
                <w:lang w:val="en-US"/>
              </w:rPr>
              <w:t xml:space="preserve"> </w:t>
            </w:r>
            <w:r w:rsidR="00703DF4" w:rsidRPr="008F503B">
              <w:rPr>
                <w:rFonts w:ascii="Simplified Arabic" w:eastAsia="Times New Roman" w:hAnsi="Simplified Arabic" w:cs="Simplified Arabic"/>
                <w:color w:val="000000"/>
                <w:sz w:val="20"/>
                <w:szCs w:val="20"/>
                <w:lang w:val="en-US"/>
              </w:rPr>
              <w:t>–</w:t>
            </w:r>
            <w:r w:rsidRPr="008F503B">
              <w:rPr>
                <w:rFonts w:ascii="Simplified Arabic" w:eastAsia="Times New Roman" w:hAnsi="Simplified Arabic" w:cs="Simplified Arabic" w:hint="cs"/>
                <w:color w:val="000000"/>
                <w:sz w:val="20"/>
                <w:szCs w:val="20"/>
                <w:rtl/>
              </w:rPr>
              <w:t>3</w:t>
            </w:r>
            <w:r w:rsidRPr="008F503B">
              <w:rPr>
                <w:rFonts w:ascii="Simplified Arabic" w:eastAsia="Times New Roman" w:hAnsi="Simplified Arabic" w:cs="Simplified Arabic"/>
                <w:color w:val="000000"/>
                <w:sz w:val="20"/>
                <w:szCs w:val="20"/>
                <w:lang w:val="en-US"/>
              </w:rPr>
              <w:t>,</w:t>
            </w:r>
            <w:r w:rsidRPr="008F503B">
              <w:rPr>
                <w:rFonts w:ascii="Simplified Arabic" w:eastAsia="Times New Roman" w:hAnsi="Simplified Arabic" w:cs="Simplified Arabic" w:hint="cs"/>
                <w:color w:val="000000"/>
                <w:sz w:val="20"/>
                <w:szCs w:val="20"/>
                <w:rtl/>
                <w:lang w:val="en-US"/>
              </w:rPr>
              <w:t>000</w:t>
            </w:r>
            <w:r w:rsidRPr="008F503B">
              <w:rPr>
                <w:rFonts w:ascii="Simplified Arabic" w:eastAsia="Times New Roman" w:hAnsi="Simplified Arabic" w:cs="Simplified Arabic"/>
                <w:color w:val="000000"/>
                <w:sz w:val="20"/>
                <w:szCs w:val="20"/>
                <w:lang w:val="en-US"/>
              </w:rPr>
              <w:t xml:space="preserve"> </w:t>
            </w:r>
            <w:r w:rsidR="00703DF4" w:rsidRPr="008F503B">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5544AF" w:rsidRPr="008F503B" w:rsidRDefault="005544AF" w:rsidP="001D020A">
            <w:pPr>
              <w:jc w:val="center"/>
              <w:rPr>
                <w:rFonts w:ascii="Simplified Arabic" w:eastAsia="Times New Roman" w:hAnsi="Simplified Arabic" w:cs="Simplified Arabic"/>
                <w:color w:val="000000"/>
                <w:sz w:val="20"/>
                <w:szCs w:val="20"/>
                <w:lang w:val="en-US"/>
              </w:rPr>
            </w:pPr>
            <w:r w:rsidRPr="008F503B">
              <w:rPr>
                <w:rFonts w:ascii="Simplified Arabic" w:eastAsia="Times New Roman" w:hAnsi="Simplified Arabic" w:cs="Simplified Arabic"/>
                <w:color w:val="000000"/>
                <w:sz w:val="20"/>
                <w:szCs w:val="20"/>
                <w:lang w:val="en-US"/>
              </w:rPr>
              <w:t>&lt;</w:t>
            </w:r>
            <w:r w:rsidR="008F503B" w:rsidRPr="008F503B">
              <w:rPr>
                <w:rFonts w:ascii="Simplified Arabic" w:eastAsia="Times New Roman" w:hAnsi="Simplified Arabic" w:cs="Simplified Arabic"/>
                <w:color w:val="000000"/>
                <w:sz w:val="20"/>
                <w:szCs w:val="20"/>
                <w:rtl/>
              </w:rPr>
              <w:t>1</w:t>
            </w:r>
            <w:r w:rsidR="008F503B" w:rsidRPr="008F503B">
              <w:rPr>
                <w:rFonts w:ascii="Simplified Arabic" w:eastAsia="Times New Roman" w:hAnsi="Simplified Arabic" w:cs="Simplified Arabic"/>
                <w:color w:val="000000"/>
                <w:sz w:val="20"/>
                <w:szCs w:val="20"/>
                <w:lang w:val="en-US"/>
              </w:rPr>
              <w:t>,</w:t>
            </w:r>
            <w:r w:rsidR="008F503B" w:rsidRPr="008F503B">
              <w:rPr>
                <w:rFonts w:ascii="Simplified Arabic" w:eastAsia="Times New Roman" w:hAnsi="Simplified Arabic" w:cs="Simplified Arabic"/>
                <w:color w:val="000000"/>
                <w:sz w:val="20"/>
                <w:szCs w:val="20"/>
                <w:rtl/>
                <w:lang w:val="en-US"/>
              </w:rPr>
              <w:t>500</w:t>
            </w:r>
            <w:r w:rsidR="008F503B" w:rsidRPr="008F503B">
              <w:rPr>
                <w:rFonts w:ascii="Simplified Arabic" w:eastAsia="Times New Roman" w:hAnsi="Simplified Arabic" w:cs="Simplified Arabic"/>
                <w:color w:val="000000"/>
                <w:sz w:val="20"/>
                <w:szCs w:val="20"/>
                <w:lang w:val="en-US"/>
              </w:rPr>
              <w:t xml:space="preserve"> </w:t>
            </w:r>
            <w:r w:rsidRPr="008F503B">
              <w:rPr>
                <w:rFonts w:asciiTheme="majorBidi" w:eastAsia="Times New Roman" w:hAnsiTheme="majorBidi" w:cstheme="majorBidi"/>
                <w:color w:val="000000"/>
                <w:sz w:val="20"/>
                <w:szCs w:val="20"/>
                <w:lang w:val="en-US"/>
              </w:rPr>
              <w:t>m</w:t>
            </w:r>
          </w:p>
        </w:tc>
        <w:tc>
          <w:tcPr>
            <w:tcW w:w="322"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5544AF" w:rsidRPr="008F503B" w:rsidRDefault="005544AF"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5544AF" w:rsidRPr="008F503B" w:rsidRDefault="005544AF"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5544AF" w:rsidRPr="008F503B" w:rsidRDefault="005544AF"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5544AF" w:rsidRPr="008F503B" w:rsidRDefault="005544AF" w:rsidP="008F503B">
            <w:pPr>
              <w:jc w:val="center"/>
              <w:rPr>
                <w:rFonts w:ascii="Simplified Arabic" w:eastAsia="Times New Roman" w:hAnsi="Simplified Arabic" w:cs="Simplified Arabic"/>
                <w:color w:val="000000"/>
                <w:sz w:val="20"/>
                <w:szCs w:val="20"/>
                <w:lang w:val="en-US"/>
              </w:rPr>
            </w:pPr>
            <w:r w:rsidRPr="008F503B">
              <w:rPr>
                <w:rFonts w:ascii="Simplified Arabic" w:eastAsia="Times New Roman" w:hAnsi="Simplified Arabic" w:cs="Simplified Arabic"/>
                <w:color w:val="000000"/>
                <w:sz w:val="20"/>
                <w:szCs w:val="20"/>
                <w:lang w:val="en-US"/>
              </w:rPr>
              <w:t>&gt;</w:t>
            </w:r>
            <w:r w:rsidR="008F503B" w:rsidRPr="008F503B">
              <w:rPr>
                <w:rFonts w:ascii="Simplified Arabic" w:eastAsia="Times New Roman" w:hAnsi="Simplified Arabic" w:cs="Simplified Arabic" w:hint="cs"/>
                <w:color w:val="000000"/>
                <w:sz w:val="20"/>
                <w:szCs w:val="20"/>
                <w:rtl/>
              </w:rPr>
              <w:t>3</w:t>
            </w:r>
            <w:r w:rsidRPr="008F503B">
              <w:rPr>
                <w:rFonts w:ascii="Simplified Arabic" w:eastAsia="Times New Roman" w:hAnsi="Simplified Arabic" w:cs="Simplified Arabic"/>
                <w:color w:val="000000"/>
                <w:sz w:val="20"/>
                <w:szCs w:val="20"/>
                <w:lang w:val="en-US"/>
              </w:rPr>
              <w:t>,</w:t>
            </w:r>
            <w:r w:rsidR="008F503B" w:rsidRPr="008F503B">
              <w:rPr>
                <w:rFonts w:ascii="Simplified Arabic" w:eastAsia="Times New Roman" w:hAnsi="Simplified Arabic" w:cs="Simplified Arabic" w:hint="cs"/>
                <w:color w:val="000000"/>
                <w:sz w:val="20"/>
                <w:szCs w:val="20"/>
                <w:rtl/>
                <w:lang w:val="en-US"/>
              </w:rPr>
              <w:t>000</w:t>
            </w:r>
            <w:r w:rsidRPr="008F503B">
              <w:rPr>
                <w:rFonts w:ascii="Simplified Arabic" w:eastAsia="Times New Roman" w:hAnsi="Simplified Arabic" w:cs="Simplified Arabic"/>
                <w:color w:val="000000"/>
                <w:sz w:val="20"/>
                <w:szCs w:val="20"/>
                <w:lang w:val="en-US"/>
              </w:rPr>
              <w:t xml:space="preserve"> </w:t>
            </w:r>
            <w:r w:rsidRPr="008F503B">
              <w:rPr>
                <w:rFonts w:asciiTheme="majorBidi" w:eastAsia="Times New Roman" w:hAnsiTheme="majorBidi" w:cstheme="majorBidi"/>
                <w:color w:val="000000"/>
                <w:sz w:val="20"/>
                <w:szCs w:val="20"/>
                <w:lang w:val="en-US"/>
              </w:rPr>
              <w:t>m</w:t>
            </w:r>
          </w:p>
        </w:tc>
      </w:tr>
      <w:tr w:rsidR="008F503B" w:rsidRPr="00F32543" w:rsidTr="008F503B">
        <w:trPr>
          <w:jc w:val="center"/>
        </w:trPr>
        <w:tc>
          <w:tcPr>
            <w:tcW w:w="1547" w:type="dxa"/>
            <w:vAlign w:val="center"/>
          </w:tcPr>
          <w:p w:rsidR="00703DF4" w:rsidRPr="008F503B" w:rsidRDefault="008F503B" w:rsidP="008F503B">
            <w:pPr>
              <w:jc w:val="center"/>
              <w:rPr>
                <w:rFonts w:ascii="Simplified Arabic" w:eastAsia="Times New Roman" w:hAnsi="Simplified Arabic" w:cs="Simplified Arabic"/>
                <w:color w:val="000000"/>
                <w:sz w:val="20"/>
                <w:szCs w:val="20"/>
                <w:lang w:val="en-US"/>
              </w:rPr>
            </w:pPr>
            <w:r w:rsidRPr="008F503B">
              <w:rPr>
                <w:rFonts w:ascii="Simplified Arabic" w:eastAsia="Times New Roman" w:hAnsi="Simplified Arabic" w:cs="Simplified Arabic"/>
                <w:color w:val="000000"/>
                <w:sz w:val="20"/>
                <w:szCs w:val="20"/>
                <w:rtl/>
              </w:rPr>
              <w:t>1</w:t>
            </w:r>
            <w:r w:rsidRPr="008F503B">
              <w:rPr>
                <w:rFonts w:ascii="Simplified Arabic" w:eastAsia="Times New Roman" w:hAnsi="Simplified Arabic" w:cs="Simplified Arabic"/>
                <w:color w:val="000000"/>
                <w:sz w:val="20"/>
                <w:szCs w:val="20"/>
                <w:lang w:val="en-US"/>
              </w:rPr>
              <w:t>,</w:t>
            </w:r>
            <w:r w:rsidRPr="008F503B">
              <w:rPr>
                <w:rFonts w:ascii="Simplified Arabic" w:eastAsia="Times New Roman" w:hAnsi="Simplified Arabic" w:cs="Simplified Arabic"/>
                <w:color w:val="000000"/>
                <w:sz w:val="20"/>
                <w:szCs w:val="20"/>
                <w:rtl/>
                <w:lang w:val="en-US"/>
              </w:rPr>
              <w:t>500</w:t>
            </w:r>
            <w:r w:rsidRPr="008F503B">
              <w:rPr>
                <w:rFonts w:ascii="Simplified Arabic" w:eastAsia="Times New Roman" w:hAnsi="Simplified Arabic" w:cs="Simplified Arabic"/>
                <w:color w:val="000000"/>
                <w:sz w:val="20"/>
                <w:szCs w:val="20"/>
                <w:lang w:val="en-US"/>
              </w:rPr>
              <w:t xml:space="preserve"> </w:t>
            </w:r>
            <w:r w:rsidR="00703DF4" w:rsidRPr="008F503B">
              <w:rPr>
                <w:rFonts w:ascii="Simplified Arabic" w:eastAsia="Times New Roman" w:hAnsi="Simplified Arabic" w:cs="Simplified Arabic"/>
                <w:color w:val="000000"/>
                <w:sz w:val="20"/>
                <w:szCs w:val="20"/>
                <w:lang w:val="en-US"/>
              </w:rPr>
              <w:t>–</w:t>
            </w:r>
            <w:r w:rsidRPr="008F503B">
              <w:rPr>
                <w:rFonts w:ascii="Simplified Arabic" w:eastAsia="Times New Roman" w:hAnsi="Simplified Arabic" w:cs="Simplified Arabic" w:hint="cs"/>
                <w:color w:val="000000"/>
                <w:sz w:val="20"/>
                <w:szCs w:val="20"/>
                <w:rtl/>
              </w:rPr>
              <w:t>3</w:t>
            </w:r>
            <w:r w:rsidR="00703DF4" w:rsidRPr="008F503B">
              <w:rPr>
                <w:rFonts w:ascii="Simplified Arabic" w:eastAsia="Times New Roman" w:hAnsi="Simplified Arabic" w:cs="Simplified Arabic"/>
                <w:color w:val="000000"/>
                <w:sz w:val="20"/>
                <w:szCs w:val="20"/>
                <w:lang w:val="en-US"/>
              </w:rPr>
              <w:t>,</w:t>
            </w:r>
            <w:r w:rsidRPr="008F503B">
              <w:rPr>
                <w:rFonts w:ascii="Simplified Arabic" w:eastAsia="Times New Roman" w:hAnsi="Simplified Arabic" w:cs="Simplified Arabic" w:hint="cs"/>
                <w:color w:val="000000"/>
                <w:sz w:val="20"/>
                <w:szCs w:val="20"/>
                <w:rtl/>
                <w:lang w:val="en-US"/>
              </w:rPr>
              <w:t>000</w:t>
            </w:r>
            <w:r w:rsidR="00703DF4" w:rsidRPr="008F503B">
              <w:rPr>
                <w:rFonts w:ascii="Simplified Arabic" w:eastAsia="Times New Roman" w:hAnsi="Simplified Arabic" w:cs="Simplified Arabic"/>
                <w:color w:val="000000"/>
                <w:sz w:val="20"/>
                <w:szCs w:val="20"/>
                <w:lang w:val="en-US"/>
              </w:rPr>
              <w:t xml:space="preserve"> </w:t>
            </w:r>
            <w:r w:rsidR="00703DF4" w:rsidRPr="008F503B">
              <w:rPr>
                <w:rFonts w:asciiTheme="majorBidi" w:eastAsia="Times New Roman" w:hAnsiTheme="majorBidi" w:cstheme="majorBidi"/>
                <w:color w:val="000000"/>
                <w:sz w:val="20"/>
                <w:szCs w:val="20"/>
                <w:lang w:val="en-US"/>
              </w:rPr>
              <w:t>m</w:t>
            </w: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5"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3"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54"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shd w:val="clear" w:color="auto" w:fill="D9D9D9" w:themeFill="background1" w:themeFillShade="D9"/>
            <w:vAlign w:val="center"/>
          </w:tcPr>
          <w:p w:rsidR="00703DF4" w:rsidRPr="008F503B" w:rsidRDefault="00703DF4" w:rsidP="00703DF4">
            <w:pPr>
              <w:tabs>
                <w:tab w:val="left" w:pos="3010"/>
              </w:tabs>
              <w:bidi/>
              <w:ind w:left="141"/>
              <w:jc w:val="center"/>
              <w:rPr>
                <w:rFonts w:ascii="Simplified Arabic" w:hAnsi="Simplified Arabic" w:cs="Simplified Arabic"/>
                <w:color w:val="000000" w:themeColor="text1"/>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93"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97" w:type="dxa"/>
            <w:shd w:val="clear" w:color="auto" w:fill="auto"/>
            <w:vAlign w:val="center"/>
          </w:tcPr>
          <w:p w:rsidR="00703DF4" w:rsidRPr="008F503B" w:rsidRDefault="00703DF4" w:rsidP="00703DF4">
            <w:pPr>
              <w:tabs>
                <w:tab w:val="left" w:pos="3010"/>
              </w:tabs>
              <w:bidi/>
              <w:ind w:left="141"/>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400"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322" w:type="dxa"/>
            <w:vAlign w:val="center"/>
          </w:tcPr>
          <w:p w:rsidR="00703DF4" w:rsidRPr="008F503B" w:rsidRDefault="00703DF4" w:rsidP="00703DF4">
            <w:pPr>
              <w:tabs>
                <w:tab w:val="left" w:pos="3010"/>
              </w:tabs>
              <w:bidi/>
              <w:jc w:val="center"/>
              <w:rPr>
                <w:rFonts w:ascii="Simplified Arabic" w:hAnsi="Simplified Arabic" w:cs="Simplified Arabic"/>
                <w:sz w:val="20"/>
                <w:szCs w:val="20"/>
                <w:rtl/>
                <w:lang w:val="en-US" w:bidi="ar-DZ"/>
              </w:rPr>
            </w:pPr>
          </w:p>
        </w:tc>
        <w:tc>
          <w:tcPr>
            <w:tcW w:w="1652" w:type="dxa"/>
            <w:vAlign w:val="center"/>
          </w:tcPr>
          <w:p w:rsidR="00703DF4" w:rsidRPr="008F503B" w:rsidRDefault="00703DF4" w:rsidP="008F503B">
            <w:pPr>
              <w:jc w:val="center"/>
              <w:rPr>
                <w:rFonts w:ascii="Simplified Arabic" w:eastAsia="Times New Roman" w:hAnsi="Simplified Arabic" w:cs="Simplified Arabic"/>
                <w:color w:val="000000"/>
                <w:sz w:val="20"/>
                <w:szCs w:val="20"/>
                <w:lang w:val="en-US"/>
              </w:rPr>
            </w:pPr>
            <w:r w:rsidRPr="008F503B">
              <w:rPr>
                <w:rFonts w:ascii="Simplified Arabic" w:eastAsia="Times New Roman" w:hAnsi="Simplified Arabic" w:cs="Simplified Arabic"/>
                <w:color w:val="000000"/>
                <w:sz w:val="20"/>
                <w:szCs w:val="20"/>
                <w:lang w:val="en-US"/>
              </w:rPr>
              <w:t>&gt;</w:t>
            </w:r>
            <w:r w:rsidR="008F503B" w:rsidRPr="008F503B">
              <w:rPr>
                <w:rFonts w:ascii="Simplified Arabic" w:eastAsia="Times New Roman" w:hAnsi="Simplified Arabic" w:cs="Simplified Arabic" w:hint="cs"/>
                <w:color w:val="000000"/>
                <w:sz w:val="20"/>
                <w:szCs w:val="20"/>
                <w:rtl/>
              </w:rPr>
              <w:t>3</w:t>
            </w:r>
            <w:r w:rsidRPr="008F503B">
              <w:rPr>
                <w:rFonts w:ascii="Simplified Arabic" w:eastAsia="Times New Roman" w:hAnsi="Simplified Arabic" w:cs="Simplified Arabic"/>
                <w:color w:val="000000"/>
                <w:sz w:val="20"/>
                <w:szCs w:val="20"/>
                <w:lang w:val="en-US"/>
              </w:rPr>
              <w:t>,</w:t>
            </w:r>
            <w:r w:rsidR="008F503B" w:rsidRPr="008F503B">
              <w:rPr>
                <w:rFonts w:ascii="Simplified Arabic" w:eastAsia="Times New Roman" w:hAnsi="Simplified Arabic" w:cs="Simplified Arabic" w:hint="cs"/>
                <w:color w:val="000000"/>
                <w:sz w:val="20"/>
                <w:szCs w:val="20"/>
                <w:rtl/>
                <w:lang w:val="en-US"/>
              </w:rPr>
              <w:t>000</w:t>
            </w:r>
            <w:r w:rsidRPr="008F503B">
              <w:rPr>
                <w:rFonts w:ascii="Simplified Arabic" w:eastAsia="Times New Roman" w:hAnsi="Simplified Arabic" w:cs="Simplified Arabic"/>
                <w:color w:val="000000"/>
                <w:sz w:val="20"/>
                <w:szCs w:val="20"/>
                <w:lang w:val="en-US"/>
              </w:rPr>
              <w:t xml:space="preserve"> </w:t>
            </w:r>
            <w:r w:rsidRPr="008F503B">
              <w:rPr>
                <w:rFonts w:asciiTheme="majorBidi" w:eastAsia="Times New Roman" w:hAnsiTheme="majorBidi" w:cstheme="majorBidi"/>
                <w:color w:val="000000"/>
                <w:sz w:val="20"/>
                <w:szCs w:val="20"/>
                <w:lang w:val="en-US"/>
              </w:rPr>
              <w:t>m</w:t>
            </w:r>
          </w:p>
        </w:tc>
      </w:tr>
    </w:tbl>
    <w:p w:rsidR="00703DF4" w:rsidRPr="00F52541" w:rsidRDefault="00703DF4" w:rsidP="00F52541">
      <w:pPr>
        <w:bidi/>
        <w:spacing w:after="0" w:line="240" w:lineRule="auto"/>
        <w:rPr>
          <w:rFonts w:ascii="Simplified Arabic" w:hAnsi="Simplified Arabic" w:cs="Simplified Arabic"/>
          <w:sz w:val="24"/>
          <w:szCs w:val="24"/>
          <w:rtl/>
          <w:lang w:val="en-US" w:bidi="ar-DZ"/>
        </w:rPr>
      </w:pPr>
    </w:p>
    <w:p w:rsidR="00703DF4" w:rsidRPr="00F52541" w:rsidRDefault="00703DF4" w:rsidP="00F52541">
      <w:pPr>
        <w:bidi/>
        <w:spacing w:after="0" w:line="240" w:lineRule="auto"/>
        <w:rPr>
          <w:rFonts w:ascii="Simplified Arabic" w:hAnsi="Simplified Arabic" w:cs="Simplified Arabic"/>
          <w:sz w:val="24"/>
          <w:szCs w:val="24"/>
          <w:rtl/>
          <w:lang w:val="en-US" w:bidi="ar-DZ"/>
        </w:rPr>
      </w:pPr>
    </w:p>
    <w:p w:rsidR="00703DF4" w:rsidRPr="00F52541" w:rsidRDefault="00703DF4" w:rsidP="00F52541">
      <w:pPr>
        <w:bidi/>
        <w:spacing w:after="0" w:line="240" w:lineRule="auto"/>
        <w:rPr>
          <w:rFonts w:ascii="Simplified Arabic" w:hAnsi="Simplified Arabic" w:cs="Simplified Arabic"/>
          <w:sz w:val="24"/>
          <w:szCs w:val="24"/>
          <w:rtl/>
          <w:lang w:val="en-US" w:bidi="ar-DZ"/>
        </w:rPr>
      </w:pPr>
    </w:p>
    <w:p w:rsidR="00703DF4" w:rsidRPr="00F52541" w:rsidRDefault="00703DF4" w:rsidP="00F52541">
      <w:pPr>
        <w:bidi/>
        <w:spacing w:after="0" w:line="240" w:lineRule="auto"/>
        <w:rPr>
          <w:rFonts w:asciiTheme="minorBidi" w:hAnsiTheme="minorBidi"/>
          <w:sz w:val="24"/>
          <w:szCs w:val="24"/>
        </w:rPr>
      </w:pPr>
    </w:p>
    <w:p w:rsidR="00703DF4" w:rsidRPr="00F52541" w:rsidRDefault="00703DF4" w:rsidP="00F52541">
      <w:pPr>
        <w:bidi/>
        <w:spacing w:after="0"/>
        <w:jc w:val="both"/>
        <w:rPr>
          <w:rStyle w:val="y2iqfc"/>
          <w:rFonts w:ascii="Simplified Arabic" w:hAnsi="Simplified Arabic" w:cs="Simplified Arabic"/>
          <w:color w:val="202124"/>
          <w:sz w:val="24"/>
          <w:szCs w:val="24"/>
          <w:rtl/>
          <w:lang w:bidi="ar"/>
        </w:rPr>
      </w:pPr>
    </w:p>
    <w:p w:rsidR="00703DF4" w:rsidRPr="00F52541" w:rsidRDefault="00703DF4" w:rsidP="00F52541">
      <w:pPr>
        <w:bidi/>
        <w:spacing w:after="0"/>
        <w:jc w:val="both"/>
        <w:rPr>
          <w:rStyle w:val="y2iqfc"/>
          <w:rFonts w:ascii="Simplified Arabic" w:hAnsi="Simplified Arabic" w:cs="Simplified Arabic"/>
          <w:color w:val="202124"/>
          <w:sz w:val="24"/>
          <w:szCs w:val="24"/>
          <w:rtl/>
          <w:lang w:bidi="ar"/>
        </w:rPr>
      </w:pPr>
    </w:p>
    <w:p w:rsidR="00703DF4" w:rsidRPr="00F52541" w:rsidRDefault="00703DF4" w:rsidP="00F52541">
      <w:pPr>
        <w:bidi/>
        <w:spacing w:after="0"/>
        <w:jc w:val="both"/>
        <w:rPr>
          <w:rStyle w:val="y2iqfc"/>
          <w:rFonts w:ascii="Simplified Arabic" w:hAnsi="Simplified Arabic" w:cs="Simplified Arabic"/>
          <w:color w:val="202124"/>
          <w:sz w:val="24"/>
          <w:szCs w:val="24"/>
          <w:rtl/>
          <w:lang w:bidi="ar"/>
        </w:rPr>
      </w:pPr>
    </w:p>
    <w:p w:rsidR="00703DF4" w:rsidRPr="00F52541" w:rsidRDefault="00703DF4" w:rsidP="00F52541">
      <w:pPr>
        <w:bidi/>
        <w:spacing w:after="0"/>
        <w:jc w:val="both"/>
        <w:rPr>
          <w:rStyle w:val="y2iqfc"/>
          <w:rFonts w:ascii="Simplified Arabic" w:hAnsi="Simplified Arabic" w:cs="Simplified Arabic"/>
          <w:color w:val="202124"/>
          <w:sz w:val="24"/>
          <w:szCs w:val="24"/>
          <w:rtl/>
          <w:lang w:bidi="ar"/>
        </w:rPr>
      </w:pPr>
    </w:p>
    <w:p w:rsidR="00703DF4" w:rsidRPr="00F52541" w:rsidRDefault="00703DF4" w:rsidP="00F52541">
      <w:pPr>
        <w:bidi/>
        <w:spacing w:after="0"/>
        <w:jc w:val="both"/>
        <w:rPr>
          <w:rStyle w:val="y2iqfc"/>
          <w:rFonts w:ascii="Simplified Arabic" w:hAnsi="Simplified Arabic" w:cs="Simplified Arabic"/>
          <w:color w:val="202124"/>
          <w:sz w:val="24"/>
          <w:szCs w:val="24"/>
          <w:rtl/>
          <w:lang w:bidi="ar"/>
        </w:rPr>
      </w:pPr>
    </w:p>
    <w:p w:rsidR="0044599C" w:rsidRPr="00F52541" w:rsidRDefault="0044599C"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lang w:bidi="ar"/>
        </w:rPr>
      </w:pPr>
    </w:p>
    <w:p w:rsidR="002A686B" w:rsidRPr="00F52541" w:rsidRDefault="002A686B" w:rsidP="00F52541">
      <w:pPr>
        <w:bidi/>
        <w:spacing w:after="0" w:line="240" w:lineRule="auto"/>
        <w:jc w:val="both"/>
        <w:rPr>
          <w:rStyle w:val="y2iqfc"/>
          <w:rFonts w:ascii="Simplified Arabic" w:hAnsi="Simplified Arabic" w:cs="Simplified Arabic"/>
          <w:color w:val="202124"/>
          <w:sz w:val="24"/>
          <w:szCs w:val="24"/>
          <w:lang w:bidi="ar"/>
        </w:rPr>
      </w:pPr>
    </w:p>
    <w:p w:rsidR="002A686B" w:rsidRPr="00F52541" w:rsidRDefault="002A686B" w:rsidP="00F52541">
      <w:pPr>
        <w:bidi/>
        <w:spacing w:after="0" w:line="240" w:lineRule="auto"/>
        <w:jc w:val="both"/>
        <w:rPr>
          <w:rStyle w:val="y2iqfc"/>
          <w:rFonts w:ascii="Simplified Arabic" w:hAnsi="Simplified Arabic" w:cs="Simplified Arabic"/>
          <w:color w:val="202124"/>
          <w:sz w:val="24"/>
          <w:szCs w:val="24"/>
          <w:lang w:bidi="ar"/>
        </w:rPr>
      </w:pPr>
    </w:p>
    <w:p w:rsidR="002A686B" w:rsidRPr="00F52541" w:rsidRDefault="002A686B" w:rsidP="00F52541">
      <w:pPr>
        <w:bidi/>
        <w:spacing w:after="0" w:line="240" w:lineRule="auto"/>
        <w:jc w:val="both"/>
        <w:rPr>
          <w:rStyle w:val="y2iqfc"/>
          <w:rFonts w:ascii="Simplified Arabic" w:hAnsi="Simplified Arabic" w:cs="Simplified Arabic"/>
          <w:color w:val="202124"/>
          <w:sz w:val="24"/>
          <w:szCs w:val="24"/>
          <w:lang w:bidi="ar"/>
        </w:rPr>
      </w:pPr>
    </w:p>
    <w:p w:rsidR="002A686B" w:rsidRPr="00F52541" w:rsidRDefault="002A686B" w:rsidP="00F52541">
      <w:pPr>
        <w:bidi/>
        <w:spacing w:after="0" w:line="240" w:lineRule="auto"/>
        <w:jc w:val="both"/>
        <w:rPr>
          <w:rStyle w:val="y2iqfc"/>
          <w:rFonts w:ascii="Simplified Arabic" w:hAnsi="Simplified Arabic" w:cs="Simplified Arabic"/>
          <w:color w:val="202124"/>
          <w:sz w:val="24"/>
          <w:szCs w:val="24"/>
          <w:lang w:bidi="ar"/>
        </w:rPr>
      </w:pPr>
    </w:p>
    <w:p w:rsidR="002A686B" w:rsidRPr="00F52541" w:rsidRDefault="002A686B" w:rsidP="00F52541">
      <w:pPr>
        <w:bidi/>
        <w:spacing w:after="0" w:line="240" w:lineRule="auto"/>
        <w:jc w:val="both"/>
        <w:rPr>
          <w:rStyle w:val="y2iqfc"/>
          <w:rFonts w:ascii="Simplified Arabic" w:hAnsi="Simplified Arabic" w:cs="Simplified Arabic"/>
          <w:color w:val="202124"/>
          <w:sz w:val="24"/>
          <w:szCs w:val="24"/>
          <w:lang w:bidi="ar"/>
        </w:rPr>
      </w:pPr>
    </w:p>
    <w:p w:rsidR="002A686B" w:rsidRPr="00F52541" w:rsidRDefault="002A686B" w:rsidP="00F52541">
      <w:pPr>
        <w:bidi/>
        <w:spacing w:after="0" w:line="240" w:lineRule="auto"/>
        <w:jc w:val="both"/>
        <w:rPr>
          <w:rStyle w:val="y2iqfc"/>
          <w:rFonts w:ascii="Simplified Arabic" w:hAnsi="Simplified Arabic" w:cs="Simplified Arabic"/>
          <w:color w:val="202124"/>
          <w:sz w:val="24"/>
          <w:szCs w:val="24"/>
          <w:lang w:bidi="ar"/>
        </w:rPr>
      </w:pPr>
    </w:p>
    <w:p w:rsidR="002A686B" w:rsidRPr="00F52541" w:rsidRDefault="002A686B"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F52541" w:rsidRDefault="00C32141" w:rsidP="00F52541">
      <w:pPr>
        <w:bidi/>
        <w:spacing w:after="0" w:line="240" w:lineRule="auto"/>
        <w:jc w:val="both"/>
        <w:rPr>
          <w:rStyle w:val="y2iqfc"/>
          <w:rFonts w:ascii="Simplified Arabic" w:hAnsi="Simplified Arabic" w:cs="Simplified Arabic"/>
          <w:color w:val="202124"/>
          <w:sz w:val="24"/>
          <w:szCs w:val="24"/>
          <w:rtl/>
          <w:lang w:bidi="ar"/>
        </w:rPr>
      </w:pPr>
    </w:p>
    <w:p w:rsidR="00C32141" w:rsidRPr="00134332" w:rsidRDefault="00C32141" w:rsidP="00134332">
      <w:pPr>
        <w:pStyle w:val="Paragraphedeliste"/>
        <w:bidi/>
        <w:spacing w:after="0"/>
        <w:jc w:val="center"/>
        <w:outlineLvl w:val="0"/>
        <w:rPr>
          <w:rFonts w:ascii="Simplified Arabic" w:hAnsi="Simplified Arabic" w:cs="Simplified Arabic"/>
          <w:b/>
          <w:bCs/>
          <w:sz w:val="24"/>
          <w:szCs w:val="24"/>
          <w:rtl/>
        </w:rPr>
      </w:pPr>
      <w:bookmarkStart w:id="1001" w:name="_Toc171803918"/>
      <w:r w:rsidRPr="00134332">
        <w:rPr>
          <w:rFonts w:ascii="Simplified Arabic" w:hAnsi="Simplified Arabic" w:cs="Simplified Arabic"/>
          <w:b/>
          <w:bCs/>
          <w:sz w:val="24"/>
          <w:szCs w:val="24"/>
          <w:rtl/>
        </w:rPr>
        <w:lastRenderedPageBreak/>
        <w:t xml:space="preserve">الملحق </w:t>
      </w:r>
      <w:r w:rsidR="00D7621F" w:rsidRPr="00134332">
        <w:rPr>
          <w:rFonts w:ascii="Simplified Arabic" w:hAnsi="Simplified Arabic" w:cs="Simplified Arabic" w:hint="cs"/>
          <w:b/>
          <w:bCs/>
          <w:sz w:val="24"/>
          <w:szCs w:val="24"/>
          <w:rtl/>
        </w:rPr>
        <w:t>4</w:t>
      </w:r>
      <w:r w:rsidRPr="00134332">
        <w:rPr>
          <w:rFonts w:ascii="Simplified Arabic" w:hAnsi="Simplified Arabic" w:cs="Simplified Arabic"/>
          <w:b/>
          <w:bCs/>
          <w:sz w:val="24"/>
          <w:szCs w:val="24"/>
          <w:rtl/>
        </w:rPr>
        <w:t xml:space="preserve">: </w:t>
      </w:r>
      <w:r w:rsidRPr="00134332">
        <w:rPr>
          <w:rFonts w:ascii="Simplified Arabic" w:hAnsi="Simplified Arabic" w:cs="Simplified Arabic" w:hint="cs"/>
          <w:b/>
          <w:bCs/>
          <w:sz w:val="24"/>
          <w:szCs w:val="24"/>
          <w:rtl/>
        </w:rPr>
        <w:t xml:space="preserve">استبيان للسكان المحليين </w:t>
      </w:r>
      <w:r w:rsidRPr="00134332">
        <w:rPr>
          <w:rFonts w:ascii="Simplified Arabic" w:hAnsi="Simplified Arabic" w:cs="Simplified Arabic"/>
          <w:b/>
          <w:bCs/>
          <w:sz w:val="24"/>
          <w:szCs w:val="24"/>
          <w:rtl/>
        </w:rPr>
        <w:t>حول تحسين المرونة الحضرية لمدينة بوسعادة.</w:t>
      </w:r>
      <w:bookmarkEnd w:id="1001"/>
    </w:p>
    <w:p w:rsidR="00C32141" w:rsidRDefault="00C32141" w:rsidP="00C32141">
      <w:pPr>
        <w:jc w:val="center"/>
      </w:pPr>
      <w:r>
        <w:rPr>
          <w:noProof/>
          <w:lang w:eastAsia="fr-FR"/>
        </w:rPr>
        <w:drawing>
          <wp:inline distT="0" distB="0" distL="0" distR="0" wp14:anchorId="1431D4B9" wp14:editId="56BA6751">
            <wp:extent cx="1096204" cy="1104181"/>
            <wp:effectExtent l="0" t="0" r="8890" b="1270"/>
            <wp:docPr id="235" name="Imag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6204" cy="1104181"/>
                    </a:xfrm>
                    <a:prstGeom prst="rect">
                      <a:avLst/>
                    </a:prstGeom>
                    <a:noFill/>
                    <a:ln>
                      <a:noFill/>
                    </a:ln>
                  </pic:spPr>
                </pic:pic>
              </a:graphicData>
            </a:graphic>
          </wp:inline>
        </w:drawing>
      </w:r>
    </w:p>
    <w:p w:rsidR="00C32141" w:rsidRDefault="00C32141" w:rsidP="00C32141">
      <w:pPr>
        <w:bidi/>
        <w:spacing w:after="0" w:line="240" w:lineRule="auto"/>
        <w:jc w:val="center"/>
        <w:rPr>
          <w:rFonts w:ascii="Simplified Arabic" w:hAnsi="Simplified Arabic" w:cs="Simplified Arabic"/>
          <w:sz w:val="28"/>
          <w:szCs w:val="28"/>
          <w:rtl/>
        </w:rPr>
      </w:pPr>
      <w:r w:rsidRPr="00F72E46">
        <w:rPr>
          <w:rFonts w:ascii="Simplified Arabic" w:hAnsi="Simplified Arabic" w:cs="Simplified Arabic"/>
          <w:sz w:val="28"/>
          <w:szCs w:val="28"/>
          <w:rtl/>
        </w:rPr>
        <w:t>الموضوع: رسالة دعوة</w:t>
      </w:r>
      <w:r>
        <w:rPr>
          <w:rFonts w:ascii="Simplified Arabic" w:hAnsi="Simplified Arabic" w:cs="Simplified Arabic" w:hint="cs"/>
          <w:sz w:val="28"/>
          <w:szCs w:val="28"/>
          <w:rtl/>
        </w:rPr>
        <w:t xml:space="preserve"> للمشاركة في استبيان الكتروني.</w:t>
      </w:r>
    </w:p>
    <w:p w:rsidR="00C32141" w:rsidRPr="00366543" w:rsidRDefault="00C32141" w:rsidP="00C32141">
      <w:pPr>
        <w:bidi/>
        <w:spacing w:after="0" w:line="240" w:lineRule="auto"/>
        <w:jc w:val="center"/>
        <w:rPr>
          <w:rFonts w:ascii="Simplified Arabic" w:hAnsi="Simplified Arabic" w:cs="Simplified Arabic"/>
          <w:b/>
          <w:bCs/>
          <w:sz w:val="24"/>
          <w:szCs w:val="24"/>
          <w:rtl/>
        </w:rPr>
      </w:pPr>
      <w:r w:rsidRPr="00366543">
        <w:rPr>
          <w:rFonts w:ascii="Simplified Arabic" w:hAnsi="Simplified Arabic" w:cs="Simplified Arabic"/>
          <w:b/>
          <w:bCs/>
          <w:sz w:val="24"/>
          <w:szCs w:val="24"/>
          <w:rtl/>
        </w:rPr>
        <w:t>جميع معلومات المسح مجهولة</w:t>
      </w:r>
      <w:r>
        <w:rPr>
          <w:rFonts w:ascii="Simplified Arabic" w:hAnsi="Simplified Arabic" w:cs="Simplified Arabic" w:hint="cs"/>
          <w:b/>
          <w:bCs/>
          <w:sz w:val="24"/>
          <w:szCs w:val="24"/>
          <w:rtl/>
        </w:rPr>
        <w:t>.</w:t>
      </w:r>
    </w:p>
    <w:p w:rsidR="00C32141" w:rsidRDefault="00C32141" w:rsidP="00C32141">
      <w:pPr>
        <w:widowControl w:val="0"/>
        <w:tabs>
          <w:tab w:val="right" w:pos="281"/>
        </w:tabs>
        <w:autoSpaceDE w:val="0"/>
        <w:autoSpaceDN w:val="0"/>
        <w:bidi/>
        <w:spacing w:after="0"/>
        <w:jc w:val="both"/>
        <w:rPr>
          <w:rFonts w:ascii="Simplified Arabic" w:hAnsi="Simplified Arabic" w:cs="Simplified Arabic"/>
          <w:sz w:val="24"/>
          <w:szCs w:val="24"/>
          <w:rtl/>
          <w:lang w:val="en-US" w:bidi="ar-DZ"/>
        </w:rPr>
      </w:pPr>
      <w:r w:rsidRPr="0025005C">
        <w:rPr>
          <w:rFonts w:ascii="Simplified Arabic" w:hAnsi="Simplified Arabic" w:cs="Simplified Arabic"/>
          <w:sz w:val="24"/>
          <w:szCs w:val="24"/>
          <w:rtl/>
          <w:lang w:val="en-US" w:bidi="ar-DZ"/>
        </w:rPr>
        <w:t>عزيزي المشارك،</w:t>
      </w:r>
    </w:p>
    <w:p w:rsidR="00C32141" w:rsidRPr="003969D0" w:rsidRDefault="00C32141" w:rsidP="000D1111">
      <w:pPr>
        <w:bidi/>
        <w:spacing w:after="0" w:line="24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نحن بصدد تحضير اطروحة دكتوراه الطور الثالث (ل.م.د) </w:t>
      </w:r>
      <w:r w:rsidRPr="003969D0">
        <w:rPr>
          <w:rFonts w:ascii="Simplified Arabic" w:hAnsi="Simplified Arabic" w:cs="Simplified Arabic"/>
          <w:sz w:val="24"/>
          <w:szCs w:val="24"/>
          <w:rtl/>
        </w:rPr>
        <w:t xml:space="preserve">أثر نمط </w:t>
      </w:r>
      <w:r w:rsidR="000D1111">
        <w:rPr>
          <w:rFonts w:ascii="Simplified Arabic" w:hAnsi="Simplified Arabic" w:cs="Simplified Arabic" w:hint="cs"/>
          <w:sz w:val="24"/>
          <w:szCs w:val="24"/>
          <w:rtl/>
        </w:rPr>
        <w:t>استعمالات</w:t>
      </w:r>
      <w:r w:rsidRPr="003969D0">
        <w:rPr>
          <w:rFonts w:ascii="Simplified Arabic" w:hAnsi="Simplified Arabic" w:cs="Simplified Arabic"/>
          <w:sz w:val="24"/>
          <w:szCs w:val="24"/>
          <w:rtl/>
        </w:rPr>
        <w:t xml:space="preserve"> الار</w:t>
      </w:r>
      <w:r w:rsidR="000D1111">
        <w:rPr>
          <w:rFonts w:ascii="Simplified Arabic" w:hAnsi="Simplified Arabic" w:cs="Simplified Arabic" w:hint="cs"/>
          <w:sz w:val="24"/>
          <w:szCs w:val="24"/>
          <w:rtl/>
        </w:rPr>
        <w:t>ا</w:t>
      </w:r>
      <w:r w:rsidRPr="003969D0">
        <w:rPr>
          <w:rFonts w:ascii="Simplified Arabic" w:hAnsi="Simplified Arabic" w:cs="Simplified Arabic"/>
          <w:sz w:val="24"/>
          <w:szCs w:val="24"/>
          <w:rtl/>
        </w:rPr>
        <w:t>ض</w:t>
      </w:r>
      <w:r w:rsidR="000D1111">
        <w:rPr>
          <w:rFonts w:ascii="Simplified Arabic" w:hAnsi="Simplified Arabic" w:cs="Simplified Arabic" w:hint="cs"/>
          <w:sz w:val="24"/>
          <w:szCs w:val="24"/>
          <w:rtl/>
        </w:rPr>
        <w:t>ي</w:t>
      </w:r>
      <w:r w:rsidRPr="003969D0">
        <w:rPr>
          <w:rFonts w:ascii="Simplified Arabic" w:hAnsi="Simplified Arabic" w:cs="Simplified Arabic"/>
          <w:sz w:val="24"/>
          <w:szCs w:val="24"/>
          <w:rtl/>
        </w:rPr>
        <w:t xml:space="preserve"> الحضرية على مرونة ال</w:t>
      </w:r>
      <w:r w:rsidR="000D1111">
        <w:rPr>
          <w:rFonts w:ascii="Simplified Arabic" w:hAnsi="Simplified Arabic" w:cs="Simplified Arabic" w:hint="cs"/>
          <w:sz w:val="24"/>
          <w:szCs w:val="24"/>
          <w:rtl/>
        </w:rPr>
        <w:t>مدين</w:t>
      </w:r>
      <w:r w:rsidRPr="003969D0">
        <w:rPr>
          <w:rFonts w:ascii="Simplified Arabic" w:hAnsi="Simplified Arabic" w:cs="Simplified Arabic"/>
          <w:sz w:val="24"/>
          <w:szCs w:val="24"/>
          <w:rtl/>
        </w:rPr>
        <w:t>ة</w:t>
      </w:r>
      <w:r w:rsidR="000D1111">
        <w:rPr>
          <w:rFonts w:ascii="Simplified Arabic" w:hAnsi="Simplified Arabic" w:cs="Simplified Arabic" w:hint="cs"/>
          <w:sz w:val="24"/>
          <w:szCs w:val="24"/>
          <w:rtl/>
        </w:rPr>
        <w:t xml:space="preserve">، </w:t>
      </w:r>
      <w:r w:rsidR="000D1111" w:rsidRPr="003969D0">
        <w:rPr>
          <w:rFonts w:ascii="Simplified Arabic" w:hAnsi="Simplified Arabic" w:cs="Simplified Arabic"/>
          <w:sz w:val="24"/>
          <w:szCs w:val="24"/>
          <w:rtl/>
        </w:rPr>
        <w:t xml:space="preserve">دراسة </w:t>
      </w:r>
      <w:r w:rsidRPr="003969D0">
        <w:rPr>
          <w:rFonts w:ascii="Simplified Arabic" w:hAnsi="Simplified Arabic" w:cs="Simplified Arabic"/>
          <w:sz w:val="24"/>
          <w:szCs w:val="24"/>
          <w:rtl/>
        </w:rPr>
        <w:t>حالة مدينة بوسعادة.</w:t>
      </w:r>
      <w:r>
        <w:rPr>
          <w:rFonts w:ascii="Simplified Arabic" w:hAnsi="Simplified Arabic" w:cs="Simplified Arabic" w:hint="cs"/>
          <w:sz w:val="24"/>
          <w:szCs w:val="24"/>
          <w:rtl/>
        </w:rPr>
        <w:t xml:space="preserve"> تحت اشراف الاستاذ الدكتور: نويبات ابراهيم.</w:t>
      </w:r>
    </w:p>
    <w:p w:rsidR="00C32141" w:rsidRPr="0025005C" w:rsidRDefault="00C32141" w:rsidP="00C32141">
      <w:pPr>
        <w:widowControl w:val="0"/>
        <w:tabs>
          <w:tab w:val="right" w:pos="281"/>
        </w:tabs>
        <w:autoSpaceDE w:val="0"/>
        <w:autoSpaceDN w:val="0"/>
        <w:bidi/>
        <w:spacing w:after="0"/>
        <w:jc w:val="center"/>
        <w:rPr>
          <w:rFonts w:ascii="Simplified Arabic" w:hAnsi="Simplified Arabic" w:cs="Simplified Arabic"/>
          <w:sz w:val="24"/>
          <w:szCs w:val="24"/>
        </w:rPr>
      </w:pPr>
      <w:r w:rsidRPr="0025005C">
        <w:rPr>
          <w:rFonts w:ascii="Simplified Arabic" w:hAnsi="Simplified Arabic" w:cs="Simplified Arabic"/>
          <w:sz w:val="24"/>
          <w:szCs w:val="24"/>
          <w:rtl/>
        </w:rPr>
        <w:t>لطرح الأسئلة</w:t>
      </w:r>
      <w:r>
        <w:rPr>
          <w:rFonts w:ascii="Simplified Arabic" w:hAnsi="Simplified Arabic" w:cs="Simplified Arabic"/>
          <w:sz w:val="24"/>
          <w:szCs w:val="24"/>
          <w:rtl/>
        </w:rPr>
        <w:t>،</w:t>
      </w:r>
      <w:r w:rsidRPr="0025005C">
        <w:rPr>
          <w:rFonts w:ascii="Simplified Arabic" w:hAnsi="Simplified Arabic" w:cs="Simplified Arabic"/>
          <w:sz w:val="24"/>
          <w:szCs w:val="24"/>
          <w:rtl/>
        </w:rPr>
        <w:t xml:space="preserve"> يرجى الاتصال:</w:t>
      </w:r>
      <w:r>
        <w:rPr>
          <w:rFonts w:ascii="Simplified Arabic" w:hAnsi="Simplified Arabic" w:cs="Simplified Arabic" w:hint="cs"/>
          <w:sz w:val="24"/>
          <w:szCs w:val="24"/>
          <w:rtl/>
        </w:rPr>
        <w:t xml:space="preserve"> </w:t>
      </w:r>
      <w:r w:rsidRPr="0025005C">
        <w:rPr>
          <w:rFonts w:ascii="Simplified Arabic" w:hAnsi="Simplified Arabic" w:cs="Simplified Arabic"/>
          <w:sz w:val="24"/>
          <w:szCs w:val="24"/>
          <w:rtl/>
        </w:rPr>
        <w:t>معيوف زهير</w:t>
      </w:r>
      <w:r>
        <w:rPr>
          <w:rFonts w:ascii="Simplified Arabic" w:hAnsi="Simplified Arabic" w:cs="Simplified Arabic" w:hint="cs"/>
          <w:sz w:val="24"/>
          <w:szCs w:val="24"/>
          <w:rtl/>
        </w:rPr>
        <w:t xml:space="preserve">، </w:t>
      </w:r>
      <w:r w:rsidRPr="0025005C">
        <w:rPr>
          <w:rFonts w:ascii="Simplified Arabic" w:hAnsi="Simplified Arabic" w:cs="Simplified Arabic"/>
          <w:sz w:val="24"/>
          <w:szCs w:val="24"/>
          <w:rtl/>
        </w:rPr>
        <w:t>طالب دكتوراه</w:t>
      </w:r>
      <w:r>
        <w:rPr>
          <w:rFonts w:ascii="Simplified Arabic" w:hAnsi="Simplified Arabic" w:cs="Simplified Arabic" w:hint="cs"/>
          <w:sz w:val="24"/>
          <w:szCs w:val="24"/>
          <w:rtl/>
        </w:rPr>
        <w:t xml:space="preserve"> ب</w:t>
      </w:r>
      <w:r w:rsidRPr="0025005C">
        <w:rPr>
          <w:rFonts w:ascii="Simplified Arabic" w:hAnsi="Simplified Arabic" w:cs="Simplified Arabic"/>
          <w:sz w:val="24"/>
          <w:szCs w:val="24"/>
          <w:rtl/>
        </w:rPr>
        <w:t xml:space="preserve">معهد تسيير </w:t>
      </w:r>
      <w:r>
        <w:rPr>
          <w:rFonts w:ascii="Simplified Arabic" w:hAnsi="Simplified Arabic" w:cs="Simplified Arabic"/>
          <w:sz w:val="24"/>
          <w:szCs w:val="24"/>
          <w:rtl/>
        </w:rPr>
        <w:t>التقنيات الحضرية، جامعة المسيلة</w:t>
      </w:r>
      <w:r w:rsidRPr="0025005C">
        <w:rPr>
          <w:rFonts w:ascii="Simplified Arabic" w:hAnsi="Simplified Arabic" w:cs="Simplified Arabic"/>
          <w:sz w:val="24"/>
          <w:szCs w:val="24"/>
          <w:rtl/>
        </w:rPr>
        <w:t>، الجزائر</w:t>
      </w:r>
      <w:r>
        <w:rPr>
          <w:rFonts w:ascii="Simplified Arabic" w:hAnsi="Simplified Arabic" w:cs="Simplified Arabic" w:hint="cs"/>
          <w:sz w:val="24"/>
          <w:szCs w:val="24"/>
          <w:rtl/>
        </w:rPr>
        <w:t>.</w:t>
      </w:r>
    </w:p>
    <w:p w:rsidR="00C32141" w:rsidRPr="00127ED0" w:rsidRDefault="00C32141" w:rsidP="00C32141">
      <w:pPr>
        <w:bidi/>
        <w:spacing w:after="0" w:line="240" w:lineRule="auto"/>
        <w:jc w:val="center"/>
        <w:rPr>
          <w:rFonts w:ascii="Times New Roman" w:hAnsi="Times New Roman" w:cs="Times New Roman"/>
          <w:sz w:val="24"/>
          <w:szCs w:val="24"/>
        </w:rPr>
      </w:pPr>
      <w:r w:rsidRPr="0025005C">
        <w:rPr>
          <w:rFonts w:ascii="Simplified Arabic" w:hAnsi="Simplified Arabic" w:cs="Simplified Arabic"/>
          <w:sz w:val="24"/>
          <w:szCs w:val="24"/>
          <w:rtl/>
          <w:lang w:val="en-US"/>
        </w:rPr>
        <w:t xml:space="preserve">الايميل </w:t>
      </w:r>
      <w:r w:rsidRPr="0025005C">
        <w:rPr>
          <w:rFonts w:ascii="Simplified Arabic" w:hAnsi="Simplified Arabic" w:cs="Simplified Arabic"/>
          <w:sz w:val="24"/>
          <w:szCs w:val="24"/>
          <w:rtl/>
        </w:rPr>
        <w:t>المهني:</w:t>
      </w:r>
      <w:r>
        <w:rPr>
          <w:rFonts w:ascii="Times New Roman" w:hAnsi="Times New Roman" w:cs="Times New Roman" w:hint="cs"/>
          <w:sz w:val="24"/>
          <w:szCs w:val="24"/>
          <w:rtl/>
        </w:rPr>
        <w:t xml:space="preserve"> </w:t>
      </w:r>
      <w:r>
        <w:rPr>
          <w:rFonts w:ascii="Times New Roman" w:hAnsi="Times New Roman" w:cs="Times New Roman" w:hint="cs"/>
          <w:sz w:val="24"/>
          <w:szCs w:val="24"/>
          <w:rtl/>
          <w:lang w:val="en-US"/>
        </w:rPr>
        <w:t xml:space="preserve"> </w:t>
      </w:r>
      <w:r w:rsidRPr="00127ED0">
        <w:rPr>
          <w:rFonts w:ascii="Times New Roman" w:hAnsi="Times New Roman" w:cs="Times New Roman"/>
          <w:sz w:val="24"/>
          <w:szCs w:val="24"/>
          <w:lang w:val="en-US"/>
        </w:rPr>
        <w:t>Zouhair.mayouf</w:t>
      </w:r>
      <w:r w:rsidRPr="00127ED0">
        <w:rPr>
          <w:rFonts w:ascii="Times New Roman" w:hAnsi="Times New Roman" w:cs="Times New Roman"/>
          <w:sz w:val="24"/>
          <w:szCs w:val="24"/>
        </w:rPr>
        <w:t>@univ-msila.dz</w:t>
      </w:r>
    </w:p>
    <w:p w:rsidR="00C32141" w:rsidRPr="002E140E" w:rsidRDefault="00C32141" w:rsidP="00C32141">
      <w:pPr>
        <w:bidi/>
        <w:spacing w:after="0" w:line="240" w:lineRule="auto"/>
        <w:jc w:val="center"/>
        <w:rPr>
          <w:rFonts w:asciiTheme="minorBidi" w:hAnsiTheme="minorBidi"/>
          <w:sz w:val="28"/>
          <w:szCs w:val="28"/>
          <w:rtl/>
        </w:rPr>
      </w:pPr>
      <w:r w:rsidRPr="0025005C">
        <w:rPr>
          <w:rFonts w:ascii="Simplified Arabic" w:hAnsi="Simplified Arabic" w:cs="Simplified Arabic"/>
          <w:sz w:val="28"/>
          <w:szCs w:val="28"/>
          <w:rtl/>
        </w:rPr>
        <w:t>هاتف:</w:t>
      </w:r>
      <w:r w:rsidRPr="002E140E">
        <w:rPr>
          <w:rFonts w:asciiTheme="majorBidi" w:hAnsiTheme="majorBidi" w:cstheme="majorBidi"/>
          <w:sz w:val="28"/>
          <w:szCs w:val="28"/>
          <w:rtl/>
        </w:rPr>
        <w:t xml:space="preserve"> </w:t>
      </w:r>
      <w:r>
        <w:rPr>
          <w:rFonts w:asciiTheme="majorBidi" w:hAnsiTheme="majorBidi" w:cstheme="majorBidi" w:hint="cs"/>
          <w:sz w:val="28"/>
          <w:szCs w:val="28"/>
          <w:rtl/>
        </w:rPr>
        <w:t>0697.60.75.68</w:t>
      </w:r>
    </w:p>
    <w:p w:rsidR="00C32141" w:rsidRPr="0025005C" w:rsidRDefault="00C32141" w:rsidP="006E439E">
      <w:pPr>
        <w:widowControl w:val="0"/>
        <w:tabs>
          <w:tab w:val="right" w:pos="281"/>
        </w:tabs>
        <w:autoSpaceDE w:val="0"/>
        <w:autoSpaceDN w:val="0"/>
        <w:bidi/>
        <w:spacing w:after="0"/>
        <w:jc w:val="both"/>
        <w:rPr>
          <w:rFonts w:ascii="Simplified Arabic" w:hAnsi="Simplified Arabic" w:cs="Simplified Arabic"/>
          <w:sz w:val="24"/>
          <w:szCs w:val="24"/>
          <w:rtl/>
          <w:lang w:val="en-US" w:bidi="ar-DZ"/>
        </w:rPr>
      </w:pPr>
      <w:r w:rsidRPr="0025005C">
        <w:rPr>
          <w:rFonts w:ascii="Simplified Arabic" w:hAnsi="Simplified Arabic" w:cs="Simplified Arabic"/>
          <w:sz w:val="24"/>
          <w:szCs w:val="24"/>
          <w:rtl/>
          <w:lang w:val="en-US" w:bidi="ar-DZ"/>
        </w:rPr>
        <w:t xml:space="preserve">    الهدف العام من الدراسة هو </w:t>
      </w:r>
      <w:r>
        <w:rPr>
          <w:rFonts w:ascii="Simplified Arabic" w:hAnsi="Simplified Arabic" w:cs="Simplified Arabic" w:hint="cs"/>
          <w:sz w:val="24"/>
          <w:szCs w:val="24"/>
          <w:rtl/>
          <w:lang w:val="en-US" w:bidi="ar-DZ"/>
        </w:rPr>
        <w:t xml:space="preserve">تقييم </w:t>
      </w:r>
      <w:r w:rsidRPr="0025005C">
        <w:rPr>
          <w:rFonts w:ascii="Simplified Arabic" w:hAnsi="Simplified Arabic" w:cs="Simplified Arabic"/>
          <w:sz w:val="24"/>
          <w:szCs w:val="24"/>
          <w:rtl/>
          <w:lang w:val="en-US" w:bidi="ar-DZ"/>
        </w:rPr>
        <w:t xml:space="preserve">مرونة مدينة بوسعادة </w:t>
      </w:r>
      <w:r w:rsidR="008E5395">
        <w:rPr>
          <w:rFonts w:ascii="Simplified Arabic" w:hAnsi="Simplified Arabic" w:cs="Simplified Arabic" w:hint="cs"/>
          <w:sz w:val="24"/>
          <w:szCs w:val="24"/>
          <w:rtl/>
          <w:lang w:val="en-US" w:bidi="ar-DZ"/>
        </w:rPr>
        <w:t>و</w:t>
      </w:r>
      <w:r w:rsidRPr="0025005C">
        <w:rPr>
          <w:rFonts w:ascii="Simplified Arabic" w:hAnsi="Simplified Arabic" w:cs="Simplified Arabic"/>
          <w:sz w:val="24"/>
          <w:szCs w:val="24"/>
          <w:rtl/>
          <w:lang w:val="en-US" w:bidi="ar-DZ"/>
        </w:rPr>
        <w:t xml:space="preserve">تعزيز قدرة </w:t>
      </w:r>
      <w:r w:rsidR="008E5395">
        <w:rPr>
          <w:rFonts w:ascii="Simplified Arabic" w:hAnsi="Simplified Arabic" w:cs="Simplified Arabic" w:hint="cs"/>
          <w:sz w:val="24"/>
          <w:szCs w:val="24"/>
          <w:rtl/>
          <w:lang w:val="en-US" w:bidi="ar-DZ"/>
        </w:rPr>
        <w:t>الاستجابة</w:t>
      </w:r>
      <w:r w:rsidRPr="0025005C">
        <w:rPr>
          <w:rFonts w:ascii="Simplified Arabic" w:hAnsi="Simplified Arabic" w:cs="Simplified Arabic"/>
          <w:sz w:val="24"/>
          <w:szCs w:val="24"/>
          <w:rtl/>
          <w:lang w:val="en-US" w:bidi="ar-DZ"/>
        </w:rPr>
        <w:t xml:space="preserve"> المكاني</w:t>
      </w:r>
      <w:r w:rsidR="008E5395">
        <w:rPr>
          <w:rFonts w:ascii="Simplified Arabic" w:hAnsi="Simplified Arabic" w:cs="Simplified Arabic" w:hint="cs"/>
          <w:sz w:val="24"/>
          <w:szCs w:val="24"/>
          <w:rtl/>
          <w:lang w:val="en-US" w:bidi="ar-DZ"/>
        </w:rPr>
        <w:t>ة</w:t>
      </w:r>
      <w:r w:rsidRPr="0025005C">
        <w:rPr>
          <w:rFonts w:ascii="Simplified Arabic" w:hAnsi="Simplified Arabic" w:cs="Simplified Arabic"/>
          <w:sz w:val="24"/>
          <w:szCs w:val="24"/>
          <w:rtl/>
          <w:lang w:val="en-US" w:bidi="ar-DZ"/>
        </w:rPr>
        <w:t xml:space="preserve"> لمجابهة مخاطر الفيضانات مستقبلا. قمنا بإعداد هذا الاستبيان الذي يح</w:t>
      </w:r>
      <w:r w:rsidR="008E5395">
        <w:rPr>
          <w:rFonts w:ascii="Simplified Arabic" w:hAnsi="Simplified Arabic" w:cs="Simplified Arabic" w:hint="cs"/>
          <w:sz w:val="24"/>
          <w:szCs w:val="24"/>
          <w:rtl/>
          <w:lang w:val="en-US" w:bidi="ar-DZ"/>
        </w:rPr>
        <w:t>ت</w:t>
      </w:r>
      <w:r w:rsidRPr="0025005C">
        <w:rPr>
          <w:rFonts w:ascii="Simplified Arabic" w:hAnsi="Simplified Arabic" w:cs="Simplified Arabic"/>
          <w:sz w:val="24"/>
          <w:szCs w:val="24"/>
          <w:rtl/>
          <w:lang w:val="en-US" w:bidi="ar-DZ"/>
        </w:rPr>
        <w:t xml:space="preserve">وي </w:t>
      </w:r>
      <w:r w:rsidR="008E5395">
        <w:rPr>
          <w:rFonts w:ascii="Simplified Arabic" w:hAnsi="Simplified Arabic" w:cs="Simplified Arabic" w:hint="cs"/>
          <w:sz w:val="24"/>
          <w:szCs w:val="24"/>
          <w:rtl/>
          <w:lang w:val="en-US" w:bidi="ar-DZ"/>
        </w:rPr>
        <w:t xml:space="preserve">على </w:t>
      </w:r>
      <w:r w:rsidRPr="0025005C">
        <w:rPr>
          <w:rFonts w:ascii="Simplified Arabic" w:hAnsi="Simplified Arabic" w:cs="Simplified Arabic"/>
          <w:sz w:val="24"/>
          <w:szCs w:val="24"/>
          <w:rtl/>
          <w:lang w:val="en-US" w:bidi="ar-DZ"/>
        </w:rPr>
        <w:t xml:space="preserve">مجموعة من الأسئلة الموجهة خصيصا </w:t>
      </w:r>
      <w:r w:rsidR="008E5395">
        <w:rPr>
          <w:rFonts w:ascii="Simplified Arabic" w:hAnsi="Simplified Arabic" w:cs="Simplified Arabic" w:hint="cs"/>
          <w:sz w:val="24"/>
          <w:szCs w:val="24"/>
          <w:rtl/>
          <w:lang w:val="en-US" w:bidi="ar-DZ"/>
        </w:rPr>
        <w:t xml:space="preserve">لأحياء: </w:t>
      </w:r>
      <w:r w:rsidR="006E439E">
        <w:rPr>
          <w:rFonts w:ascii="Simplified Arabic" w:hAnsi="Simplified Arabic" w:cs="Simplified Arabic" w:hint="cs"/>
          <w:sz w:val="24"/>
          <w:szCs w:val="24"/>
          <w:rtl/>
          <w:lang w:val="en-US" w:bidi="ar-DZ"/>
        </w:rPr>
        <w:t xml:space="preserve">سيدي سليمان، ميطر، </w:t>
      </w:r>
      <w:r w:rsidR="008E5395">
        <w:rPr>
          <w:rFonts w:ascii="Simplified Arabic" w:hAnsi="Simplified Arabic" w:cs="Simplified Arabic" w:hint="cs"/>
          <w:sz w:val="24"/>
          <w:szCs w:val="24"/>
          <w:rtl/>
          <w:lang w:val="en-US" w:bidi="ar-DZ"/>
        </w:rPr>
        <w:t>الح</w:t>
      </w:r>
      <w:r w:rsidR="00975C6D">
        <w:rPr>
          <w:rFonts w:ascii="Simplified Arabic" w:hAnsi="Simplified Arabic" w:cs="Simplified Arabic" w:hint="cs"/>
          <w:sz w:val="24"/>
          <w:szCs w:val="24"/>
          <w:rtl/>
          <w:lang w:val="en-US" w:bidi="ar-DZ"/>
        </w:rPr>
        <w:t>م</w:t>
      </w:r>
      <w:r w:rsidR="008E5395">
        <w:rPr>
          <w:rFonts w:ascii="Simplified Arabic" w:hAnsi="Simplified Arabic" w:cs="Simplified Arabic" w:hint="cs"/>
          <w:sz w:val="24"/>
          <w:szCs w:val="24"/>
          <w:rtl/>
          <w:lang w:val="en-US" w:bidi="ar-DZ"/>
        </w:rPr>
        <w:t>ا</w:t>
      </w:r>
      <w:r w:rsidR="00975C6D">
        <w:rPr>
          <w:rFonts w:ascii="Simplified Arabic" w:hAnsi="Simplified Arabic" w:cs="Simplified Arabic" w:hint="cs"/>
          <w:sz w:val="24"/>
          <w:szCs w:val="24"/>
          <w:rtl/>
          <w:lang w:val="en-US" w:bidi="ar-DZ"/>
        </w:rPr>
        <w:t>ي</w:t>
      </w:r>
      <w:r w:rsidR="008E5395">
        <w:rPr>
          <w:rFonts w:ascii="Simplified Arabic" w:hAnsi="Simplified Arabic" w:cs="Simplified Arabic" w:hint="cs"/>
          <w:sz w:val="24"/>
          <w:szCs w:val="24"/>
          <w:rtl/>
          <w:lang w:val="en-US" w:bidi="ar-DZ"/>
        </w:rPr>
        <w:t>د و</w:t>
      </w:r>
      <w:r w:rsidR="006E439E">
        <w:rPr>
          <w:rFonts w:ascii="Simplified Arabic" w:hAnsi="Simplified Arabic" w:cs="Simplified Arabic" w:hint="cs"/>
          <w:sz w:val="24"/>
          <w:szCs w:val="24"/>
          <w:rtl/>
          <w:lang w:val="en-US" w:bidi="ar-DZ"/>
        </w:rPr>
        <w:t xml:space="preserve">الباطن </w:t>
      </w:r>
      <w:r w:rsidR="008E5395">
        <w:rPr>
          <w:rFonts w:ascii="Simplified Arabic" w:hAnsi="Simplified Arabic" w:cs="Simplified Arabic" w:hint="cs"/>
          <w:sz w:val="24"/>
          <w:szCs w:val="24"/>
          <w:rtl/>
          <w:lang w:val="en-US" w:bidi="ar-DZ"/>
        </w:rPr>
        <w:t xml:space="preserve">التي </w:t>
      </w:r>
      <w:r w:rsidR="008E63DA">
        <w:rPr>
          <w:rFonts w:ascii="Simplified Arabic" w:hAnsi="Simplified Arabic" w:cs="Simplified Arabic" w:hint="cs"/>
          <w:sz w:val="24"/>
          <w:szCs w:val="24"/>
          <w:rtl/>
          <w:lang w:bidi="ar-DZ"/>
        </w:rPr>
        <w:t xml:space="preserve">تشهد مستوى متدنٍ من </w:t>
      </w:r>
      <w:r w:rsidR="008E5395">
        <w:rPr>
          <w:rFonts w:ascii="Simplified Arabic" w:hAnsi="Simplified Arabic" w:cs="Simplified Arabic" w:hint="cs"/>
          <w:sz w:val="24"/>
          <w:szCs w:val="24"/>
          <w:rtl/>
          <w:lang w:bidi="ar-DZ"/>
        </w:rPr>
        <w:t>المرونة</w:t>
      </w:r>
      <w:r w:rsidRPr="0025005C">
        <w:rPr>
          <w:rFonts w:ascii="Simplified Arabic" w:hAnsi="Simplified Arabic" w:cs="Simplified Arabic"/>
          <w:sz w:val="24"/>
          <w:szCs w:val="24"/>
          <w:lang w:val="en-US" w:bidi="ar-DZ"/>
        </w:rPr>
        <w:t>.</w:t>
      </w:r>
    </w:p>
    <w:p w:rsidR="00C32141" w:rsidRDefault="00C32141" w:rsidP="008E5395">
      <w:pPr>
        <w:widowControl w:val="0"/>
        <w:tabs>
          <w:tab w:val="right" w:pos="139"/>
          <w:tab w:val="right" w:pos="281"/>
        </w:tabs>
        <w:autoSpaceDE w:val="0"/>
        <w:autoSpaceDN w:val="0"/>
        <w:bidi/>
        <w:jc w:val="both"/>
        <w:rPr>
          <w:rFonts w:ascii="Simplified Arabic" w:hAnsi="Simplified Arabic" w:cs="Simplified Arabic"/>
          <w:sz w:val="24"/>
          <w:szCs w:val="24"/>
          <w:rtl/>
        </w:rPr>
      </w:pPr>
      <w:r>
        <w:rPr>
          <w:rFonts w:ascii="Simplified Arabic" w:hAnsi="Simplified Arabic" w:cs="Simplified Arabic"/>
          <w:sz w:val="24"/>
          <w:szCs w:val="24"/>
          <w:rtl/>
          <w:lang w:val="en-US" w:bidi="ar-DZ"/>
        </w:rPr>
        <w:t xml:space="preserve">    </w:t>
      </w:r>
      <w:r w:rsidRPr="0025005C">
        <w:rPr>
          <w:rFonts w:ascii="Simplified Arabic" w:hAnsi="Simplified Arabic" w:cs="Simplified Arabic"/>
          <w:sz w:val="24"/>
          <w:szCs w:val="24"/>
          <w:rtl/>
          <w:lang w:val="en-US" w:bidi="ar-DZ"/>
        </w:rPr>
        <w:t>إعطاء</w:t>
      </w:r>
      <w:r w:rsidRPr="0025005C">
        <w:rPr>
          <w:rFonts w:ascii="Simplified Arabic" w:hAnsi="Simplified Arabic" w:cs="Simplified Arabic"/>
          <w:sz w:val="24"/>
          <w:szCs w:val="24"/>
          <w:rtl/>
        </w:rPr>
        <w:t xml:space="preserve"> رأيك</w:t>
      </w:r>
      <w:r>
        <w:rPr>
          <w:rFonts w:ascii="Simplified Arabic" w:hAnsi="Simplified Arabic" w:cs="Simplified Arabic" w:hint="cs"/>
          <w:sz w:val="24"/>
          <w:szCs w:val="24"/>
          <w:rtl/>
        </w:rPr>
        <w:t>م مهم للغاية،</w:t>
      </w:r>
      <w:r>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 xml:space="preserve">لذا </w:t>
      </w:r>
      <w:r>
        <w:rPr>
          <w:rFonts w:ascii="Simplified Arabic" w:hAnsi="Simplified Arabic" w:cs="Simplified Arabic"/>
          <w:sz w:val="24"/>
          <w:szCs w:val="24"/>
          <w:rtl/>
          <w:lang w:val="en-US" w:bidi="ar-DZ"/>
        </w:rPr>
        <w:t>أود أن ادعو</w:t>
      </w:r>
      <w:r>
        <w:rPr>
          <w:rFonts w:ascii="Simplified Arabic" w:hAnsi="Simplified Arabic" w:cs="Simplified Arabic" w:hint="cs"/>
          <w:sz w:val="24"/>
          <w:szCs w:val="24"/>
          <w:rtl/>
          <w:lang w:val="en-US" w:bidi="ar-DZ"/>
        </w:rPr>
        <w:t>كم ل</w:t>
      </w:r>
      <w:r w:rsidRPr="0025005C">
        <w:rPr>
          <w:rFonts w:ascii="Simplified Arabic" w:hAnsi="Simplified Arabic" w:cs="Simplified Arabic"/>
          <w:sz w:val="24"/>
          <w:szCs w:val="24"/>
          <w:rtl/>
          <w:lang w:val="en-US" w:bidi="ar-DZ"/>
        </w:rPr>
        <w:t xml:space="preserve">لإجابة </w:t>
      </w:r>
      <w:r>
        <w:rPr>
          <w:rFonts w:ascii="Simplified Arabic" w:hAnsi="Simplified Arabic" w:cs="Simplified Arabic" w:hint="cs"/>
          <w:sz w:val="24"/>
          <w:szCs w:val="24"/>
          <w:rtl/>
          <w:lang w:val="en-US" w:bidi="ar-DZ"/>
        </w:rPr>
        <w:t>على</w:t>
      </w:r>
      <w:r w:rsidRPr="0025005C">
        <w:rPr>
          <w:rFonts w:ascii="Simplified Arabic" w:hAnsi="Simplified Arabic" w:cs="Simplified Arabic"/>
          <w:sz w:val="24"/>
          <w:szCs w:val="24"/>
          <w:rtl/>
          <w:lang w:val="en-US" w:bidi="ar-DZ"/>
        </w:rPr>
        <w:t xml:space="preserve"> </w:t>
      </w:r>
      <w:r>
        <w:rPr>
          <w:rFonts w:ascii="Simplified Arabic" w:hAnsi="Simplified Arabic" w:cs="Simplified Arabic" w:hint="cs"/>
          <w:sz w:val="24"/>
          <w:szCs w:val="24"/>
          <w:rtl/>
          <w:lang w:val="en-US" w:bidi="ar-DZ"/>
        </w:rPr>
        <w:t>كامل</w:t>
      </w:r>
      <w:r w:rsidRPr="0025005C">
        <w:rPr>
          <w:rFonts w:ascii="Simplified Arabic" w:hAnsi="Simplified Arabic" w:cs="Simplified Arabic"/>
          <w:sz w:val="24"/>
          <w:szCs w:val="24"/>
          <w:rtl/>
          <w:lang w:val="en-US" w:bidi="ar-DZ"/>
        </w:rPr>
        <w:t xml:space="preserve"> الاسئلة </w:t>
      </w:r>
      <w:r w:rsidRPr="0025005C">
        <w:rPr>
          <w:rFonts w:ascii="Simplified Arabic" w:hAnsi="Simplified Arabic" w:cs="Simplified Arabic"/>
          <w:sz w:val="24"/>
          <w:szCs w:val="24"/>
          <w:rtl/>
        </w:rPr>
        <w:t>من خلال ملء هذا الاستبيان</w:t>
      </w:r>
      <w:r>
        <w:rPr>
          <w:rFonts w:ascii="Simplified Arabic" w:hAnsi="Simplified Arabic" w:cs="Simplified Arabic" w:hint="cs"/>
          <w:sz w:val="24"/>
          <w:szCs w:val="24"/>
          <w:rtl/>
        </w:rPr>
        <w:t>،</w:t>
      </w:r>
      <w:r w:rsidRPr="00F82EA6">
        <w:rPr>
          <w:rFonts w:ascii="Simplified Arabic" w:hAnsi="Simplified Arabic" w:cs="Simplified Arabic"/>
          <w:sz w:val="24"/>
          <w:szCs w:val="24"/>
          <w:rtl/>
        </w:rPr>
        <w:t xml:space="preserve"> </w:t>
      </w:r>
      <w:r w:rsidRPr="0025005C">
        <w:rPr>
          <w:rFonts w:ascii="Simplified Arabic" w:hAnsi="Simplified Arabic" w:cs="Simplified Arabic"/>
          <w:sz w:val="24"/>
          <w:szCs w:val="24"/>
          <w:rtl/>
        </w:rPr>
        <w:t>سوف يستغرق إكمال هذا الاستبيان حوالي</w:t>
      </w:r>
      <w:r w:rsidRPr="002D3B78">
        <w:rPr>
          <w:rFonts w:cs="Arial"/>
          <w:sz w:val="24"/>
          <w:szCs w:val="24"/>
          <w:rtl/>
        </w:rPr>
        <w:t xml:space="preserve"> </w:t>
      </w:r>
      <w:r w:rsidRPr="0025005C">
        <w:rPr>
          <w:rFonts w:asciiTheme="majorBidi" w:hAnsiTheme="majorBidi" w:cstheme="majorBidi"/>
          <w:sz w:val="24"/>
          <w:szCs w:val="24"/>
          <w:rtl/>
        </w:rPr>
        <w:t>15</w:t>
      </w:r>
      <w:r w:rsidRPr="002D3B78">
        <w:rPr>
          <w:rFonts w:cs="Arial"/>
          <w:sz w:val="24"/>
          <w:szCs w:val="24"/>
          <w:rtl/>
        </w:rPr>
        <w:t xml:space="preserve"> </w:t>
      </w:r>
      <w:r w:rsidRPr="0025005C">
        <w:rPr>
          <w:rFonts w:ascii="Simplified Arabic" w:hAnsi="Simplified Arabic" w:cs="Simplified Arabic"/>
          <w:sz w:val="24"/>
          <w:szCs w:val="24"/>
          <w:rtl/>
        </w:rPr>
        <w:t>دقيقة من وقتك. البيانات التي سيتم جمعها تستخدم فقط لأغراض البحث العلمي</w:t>
      </w:r>
      <w:r>
        <w:rPr>
          <w:rFonts w:ascii="Simplified Arabic" w:hAnsi="Simplified Arabic" w:cs="Simplified Arabic" w:hint="cs"/>
          <w:sz w:val="24"/>
          <w:szCs w:val="24"/>
          <w:rtl/>
        </w:rPr>
        <w:t>.</w:t>
      </w:r>
      <w:r w:rsidRPr="0025005C">
        <w:rPr>
          <w:rFonts w:ascii="Simplified Arabic" w:hAnsi="Simplified Arabic" w:cs="Simplified Arabic"/>
          <w:sz w:val="24"/>
          <w:szCs w:val="24"/>
          <w:rtl/>
        </w:rPr>
        <w:t xml:space="preserve"> </w:t>
      </w:r>
    </w:p>
    <w:tbl>
      <w:tblPr>
        <w:tblStyle w:val="Grilledutableau"/>
        <w:bidiVisual/>
        <w:tblW w:w="0" w:type="auto"/>
        <w:tblInd w:w="107" w:type="dxa"/>
        <w:tblLayout w:type="fixed"/>
        <w:tblLook w:val="04A0" w:firstRow="1" w:lastRow="0" w:firstColumn="1" w:lastColumn="0" w:noHBand="0" w:noVBand="1"/>
      </w:tblPr>
      <w:tblGrid>
        <w:gridCol w:w="9072"/>
      </w:tblGrid>
      <w:tr w:rsidR="00C32141" w:rsidRPr="00156A79" w:rsidTr="000321FF">
        <w:tc>
          <w:tcPr>
            <w:tcW w:w="9072" w:type="dxa"/>
            <w:shd w:val="clear" w:color="auto" w:fill="D9D9D9" w:themeFill="background1" w:themeFillShade="D9"/>
          </w:tcPr>
          <w:p w:rsidR="00C32141" w:rsidRPr="00156A79" w:rsidRDefault="00C32141" w:rsidP="00794BA6">
            <w:pPr>
              <w:bidi/>
              <w:rPr>
                <w:rFonts w:ascii="Simplified Arabic" w:hAnsi="Simplified Arabic" w:cs="Simplified Arabic"/>
                <w:b/>
                <w:bCs/>
                <w:sz w:val="24"/>
                <w:szCs w:val="24"/>
                <w:rtl/>
              </w:rPr>
            </w:pPr>
            <w:r w:rsidRPr="00156A79">
              <w:rPr>
                <w:rFonts w:ascii="Simplified Arabic" w:hAnsi="Simplified Arabic" w:cs="Simplified Arabic"/>
                <w:b/>
                <w:bCs/>
                <w:sz w:val="24"/>
                <w:szCs w:val="24"/>
                <w:rtl/>
              </w:rPr>
              <w:t xml:space="preserve">القسم </w:t>
            </w:r>
            <w:r>
              <w:rPr>
                <w:rFonts w:ascii="Simplified Arabic" w:hAnsi="Simplified Arabic" w:cs="Simplified Arabic" w:hint="cs"/>
                <w:b/>
                <w:bCs/>
                <w:sz w:val="24"/>
                <w:szCs w:val="24"/>
                <w:rtl/>
              </w:rPr>
              <w:t>(</w:t>
            </w:r>
            <w:r w:rsidRPr="00156A79">
              <w:rPr>
                <w:rFonts w:ascii="Simplified Arabic" w:hAnsi="Simplified Arabic" w:cs="Simplified Arabic"/>
                <w:b/>
                <w:bCs/>
                <w:sz w:val="24"/>
                <w:szCs w:val="24"/>
                <w:rtl/>
              </w:rPr>
              <w:t>أ</w:t>
            </w:r>
            <w:r>
              <w:rPr>
                <w:rFonts w:ascii="Simplified Arabic" w:hAnsi="Simplified Arabic" w:cs="Simplified Arabic" w:hint="cs"/>
                <w:b/>
                <w:bCs/>
                <w:sz w:val="24"/>
                <w:szCs w:val="24"/>
                <w:rtl/>
              </w:rPr>
              <w:t>)</w:t>
            </w:r>
            <w:r w:rsidRPr="00156A79">
              <w:rPr>
                <w:rFonts w:ascii="Simplified Arabic" w:hAnsi="Simplified Arabic" w:cs="Simplified Arabic"/>
                <w:b/>
                <w:bCs/>
                <w:sz w:val="24"/>
                <w:szCs w:val="24"/>
                <w:rtl/>
              </w:rPr>
              <w:t>: الملف الشخصي للمجيب</w:t>
            </w:r>
          </w:p>
        </w:tc>
      </w:tr>
      <w:tr w:rsidR="00C32141" w:rsidRPr="00156A79" w:rsidTr="000321FF">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pacing w:val="3"/>
                <w:sz w:val="24"/>
                <w:szCs w:val="24"/>
              </w:rPr>
            </w:pPr>
            <w:r w:rsidRPr="00156A79">
              <w:rPr>
                <w:rFonts w:ascii="Simplified Arabic" w:eastAsia="Times New Roman" w:hAnsi="Simplified Arabic" w:cs="Simplified Arabic"/>
                <w:color w:val="202124"/>
                <w:spacing w:val="3"/>
                <w:sz w:val="24"/>
                <w:szCs w:val="24"/>
                <w:rtl/>
              </w:rPr>
              <w:t>النوع</w:t>
            </w:r>
          </w:p>
          <w:p w:rsidR="00C32141" w:rsidRPr="00156A79" w:rsidRDefault="00C32141" w:rsidP="001D0548">
            <w:pPr>
              <w:pStyle w:val="Paragraphedeliste"/>
              <w:numPr>
                <w:ilvl w:val="0"/>
                <w:numId w:val="51"/>
              </w:numPr>
              <w:jc w:val="center"/>
              <w:rPr>
                <w:rFonts w:ascii="Simplified Arabic" w:eastAsia="Times New Roman" w:hAnsi="Simplified Arabic" w:cs="Simplified Arabic"/>
                <w:color w:val="202124"/>
                <w:sz w:val="24"/>
                <w:szCs w:val="24"/>
              </w:rPr>
            </w:pPr>
            <w:r w:rsidRPr="00156A79">
              <w:rPr>
                <w:rFonts w:ascii="Simplified Arabic" w:eastAsia="Times New Roman" w:hAnsi="Simplified Arabic" w:cs="Simplified Arabic"/>
                <w:color w:val="202124"/>
                <w:sz w:val="24"/>
                <w:szCs w:val="24"/>
                <w:rtl/>
              </w:rPr>
              <w:t>ذكر</w:t>
            </w:r>
          </w:p>
          <w:p w:rsidR="00C32141" w:rsidRPr="00156A79" w:rsidRDefault="00C32141" w:rsidP="001D0548">
            <w:pPr>
              <w:pStyle w:val="Paragraphedeliste"/>
              <w:numPr>
                <w:ilvl w:val="0"/>
                <w:numId w:val="51"/>
              </w:numPr>
              <w:jc w:val="center"/>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انثى</w:t>
            </w:r>
          </w:p>
        </w:tc>
      </w:tr>
      <w:tr w:rsidR="00C32141" w:rsidRPr="00156A79" w:rsidTr="000321FF">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pacing w:val="3"/>
                <w:sz w:val="24"/>
                <w:szCs w:val="24"/>
              </w:rPr>
            </w:pPr>
            <w:r w:rsidRPr="00156A79">
              <w:rPr>
                <w:rFonts w:ascii="Simplified Arabic" w:eastAsia="Times New Roman" w:hAnsi="Simplified Arabic" w:cs="Simplified Arabic"/>
                <w:color w:val="202124"/>
                <w:spacing w:val="3"/>
                <w:sz w:val="24"/>
                <w:szCs w:val="24"/>
                <w:rtl/>
              </w:rPr>
              <w:t>الحالة الاجتماعية</w:t>
            </w:r>
            <w:r w:rsidRPr="00156A79">
              <w:rPr>
                <w:rFonts w:ascii="Simplified Arabic" w:eastAsia="Times New Roman" w:hAnsi="Simplified Arabic" w:cs="Simplified Arabic"/>
                <w:color w:val="202124"/>
                <w:spacing w:val="3"/>
                <w:sz w:val="24"/>
                <w:szCs w:val="24"/>
              </w:rPr>
              <w:t xml:space="preserve"> </w:t>
            </w:r>
          </w:p>
          <w:p w:rsidR="00C32141" w:rsidRPr="00156A79" w:rsidRDefault="00C32141" w:rsidP="001D0548">
            <w:pPr>
              <w:pStyle w:val="Paragraphedeliste"/>
              <w:numPr>
                <w:ilvl w:val="0"/>
                <w:numId w:val="51"/>
              </w:numPr>
              <w:jc w:val="center"/>
              <w:rPr>
                <w:rFonts w:ascii="Simplified Arabic" w:eastAsia="Times New Roman" w:hAnsi="Simplified Arabic" w:cs="Simplified Arabic"/>
                <w:color w:val="202124"/>
                <w:sz w:val="24"/>
                <w:szCs w:val="24"/>
              </w:rPr>
            </w:pPr>
            <w:r>
              <w:rPr>
                <w:rFonts w:ascii="Simplified Arabic" w:eastAsia="Times New Roman" w:hAnsi="Simplified Arabic" w:cs="Simplified Arabic" w:hint="cs"/>
                <w:color w:val="202124"/>
                <w:sz w:val="24"/>
                <w:szCs w:val="24"/>
                <w:rtl/>
              </w:rPr>
              <w:t>عامل</w:t>
            </w:r>
          </w:p>
          <w:p w:rsidR="00C32141" w:rsidRPr="00156A79" w:rsidRDefault="00C32141" w:rsidP="001D0548">
            <w:pPr>
              <w:pStyle w:val="Paragraphedeliste"/>
              <w:numPr>
                <w:ilvl w:val="0"/>
                <w:numId w:val="51"/>
              </w:numPr>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بدون عمل</w:t>
            </w:r>
          </w:p>
        </w:tc>
      </w:tr>
      <w:tr w:rsidR="00C32141" w:rsidRPr="00156A79" w:rsidTr="000321FF">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pacing w:val="3"/>
                <w:sz w:val="24"/>
                <w:szCs w:val="24"/>
              </w:rPr>
            </w:pPr>
            <w:r w:rsidRPr="00156A79">
              <w:rPr>
                <w:rFonts w:ascii="Simplified Arabic" w:eastAsia="Times New Roman" w:hAnsi="Simplified Arabic" w:cs="Simplified Arabic"/>
                <w:color w:val="202124"/>
                <w:sz w:val="24"/>
                <w:szCs w:val="24"/>
                <w:rtl/>
              </w:rPr>
              <w:t>ما هي الفئة العمرية التي تنطبق عليك؟</w:t>
            </w:r>
          </w:p>
          <w:p w:rsidR="00C32141" w:rsidRPr="00156A79" w:rsidRDefault="00C32141" w:rsidP="001D0548">
            <w:pPr>
              <w:pStyle w:val="Paragraphedeliste"/>
              <w:numPr>
                <w:ilvl w:val="0"/>
                <w:numId w:val="52"/>
              </w:numPr>
              <w:jc w:val="center"/>
              <w:rPr>
                <w:rFonts w:ascii="Simplified Arabic" w:eastAsia="Times New Roman" w:hAnsi="Simplified Arabic" w:cs="Simplified Arabic"/>
                <w:color w:val="202124"/>
                <w:sz w:val="24"/>
                <w:szCs w:val="24"/>
              </w:rPr>
            </w:pPr>
            <w:r w:rsidRPr="00156A79">
              <w:rPr>
                <w:rFonts w:ascii="Simplified Arabic" w:eastAsia="Times New Roman" w:hAnsi="Simplified Arabic" w:cs="Simplified Arabic"/>
                <w:color w:val="202124"/>
                <w:sz w:val="24"/>
                <w:szCs w:val="24"/>
                <w:rtl/>
              </w:rPr>
              <w:t xml:space="preserve">من </w:t>
            </w:r>
            <w:r w:rsidR="00987E25">
              <w:rPr>
                <w:rFonts w:ascii="Simplified Arabic" w:eastAsia="Times New Roman" w:hAnsi="Simplified Arabic" w:cs="Simplified Arabic" w:hint="cs"/>
                <w:color w:val="202124"/>
                <w:sz w:val="24"/>
                <w:szCs w:val="24"/>
                <w:rtl/>
              </w:rPr>
              <w:t>18</w:t>
            </w:r>
            <w:r w:rsidRPr="00156A79">
              <w:rPr>
                <w:rFonts w:ascii="Simplified Arabic" w:eastAsia="Times New Roman" w:hAnsi="Simplified Arabic" w:cs="Simplified Arabic"/>
                <w:color w:val="202124"/>
                <w:sz w:val="24"/>
                <w:szCs w:val="24"/>
                <w:rtl/>
              </w:rPr>
              <w:t xml:space="preserve"> سنة الى </w:t>
            </w:r>
            <w:r w:rsidR="00987E25">
              <w:rPr>
                <w:rFonts w:ascii="Simplified Arabic" w:eastAsia="Times New Roman" w:hAnsi="Simplified Arabic" w:cs="Simplified Arabic" w:hint="cs"/>
                <w:color w:val="202124"/>
                <w:sz w:val="24"/>
                <w:szCs w:val="24"/>
                <w:rtl/>
              </w:rPr>
              <w:t>35</w:t>
            </w:r>
          </w:p>
          <w:p w:rsidR="00C32141" w:rsidRPr="00156A79" w:rsidRDefault="00C32141" w:rsidP="001D0548">
            <w:pPr>
              <w:pStyle w:val="Paragraphedeliste"/>
              <w:numPr>
                <w:ilvl w:val="0"/>
                <w:numId w:val="52"/>
              </w:numPr>
              <w:jc w:val="center"/>
              <w:rPr>
                <w:rFonts w:ascii="Simplified Arabic" w:eastAsia="Times New Roman" w:hAnsi="Simplified Arabic" w:cs="Simplified Arabic"/>
                <w:color w:val="202124"/>
                <w:sz w:val="24"/>
                <w:szCs w:val="24"/>
              </w:rPr>
            </w:pPr>
            <w:r w:rsidRPr="00156A79">
              <w:rPr>
                <w:rFonts w:ascii="Simplified Arabic" w:eastAsia="Times New Roman" w:hAnsi="Simplified Arabic" w:cs="Simplified Arabic"/>
                <w:color w:val="202124"/>
                <w:sz w:val="24"/>
                <w:szCs w:val="24"/>
                <w:rtl/>
              </w:rPr>
              <w:t xml:space="preserve">من </w:t>
            </w:r>
            <w:r w:rsidR="00987E25">
              <w:rPr>
                <w:rFonts w:ascii="Simplified Arabic" w:eastAsia="Times New Roman" w:hAnsi="Simplified Arabic" w:cs="Simplified Arabic" w:hint="cs"/>
                <w:color w:val="202124"/>
                <w:sz w:val="24"/>
                <w:szCs w:val="24"/>
                <w:rtl/>
              </w:rPr>
              <w:t>36</w:t>
            </w:r>
            <w:r w:rsidRPr="00156A79">
              <w:rPr>
                <w:rFonts w:ascii="Simplified Arabic" w:eastAsia="Times New Roman" w:hAnsi="Simplified Arabic" w:cs="Simplified Arabic"/>
                <w:color w:val="202124"/>
                <w:sz w:val="24"/>
                <w:szCs w:val="24"/>
                <w:rtl/>
              </w:rPr>
              <w:t xml:space="preserve"> سنة الى </w:t>
            </w:r>
            <w:r w:rsidR="00987E25">
              <w:rPr>
                <w:rFonts w:ascii="Simplified Arabic" w:eastAsia="Times New Roman" w:hAnsi="Simplified Arabic" w:cs="Simplified Arabic" w:hint="cs"/>
                <w:color w:val="202124"/>
                <w:sz w:val="24"/>
                <w:szCs w:val="24"/>
                <w:rtl/>
              </w:rPr>
              <w:t>55</w:t>
            </w:r>
          </w:p>
          <w:p w:rsidR="00C32141" w:rsidRPr="00156A79" w:rsidRDefault="00987E25" w:rsidP="001D0548">
            <w:pPr>
              <w:pStyle w:val="Paragraphedeliste"/>
              <w:numPr>
                <w:ilvl w:val="0"/>
                <w:numId w:val="52"/>
              </w:numPr>
              <w:jc w:val="center"/>
              <w:rPr>
                <w:rFonts w:ascii="Simplified Arabic" w:eastAsia="Times New Roman" w:hAnsi="Simplified Arabic" w:cs="Simplified Arabic"/>
                <w:color w:val="202124"/>
                <w:sz w:val="24"/>
                <w:szCs w:val="24"/>
              </w:rPr>
            </w:pPr>
            <w:r>
              <w:rPr>
                <w:rFonts w:ascii="Simplified Arabic" w:eastAsia="Times New Roman" w:hAnsi="Simplified Arabic" w:cs="Simplified Arabic" w:hint="cs"/>
                <w:color w:val="202124"/>
                <w:sz w:val="24"/>
                <w:szCs w:val="24"/>
                <w:rtl/>
              </w:rPr>
              <w:t xml:space="preserve">اكثر من </w:t>
            </w:r>
            <w:r w:rsidR="00C11DD1">
              <w:rPr>
                <w:rFonts w:ascii="Simplified Arabic" w:eastAsia="Times New Roman" w:hAnsi="Simplified Arabic" w:cs="Simplified Arabic" w:hint="cs"/>
                <w:color w:val="202124"/>
                <w:sz w:val="24"/>
                <w:szCs w:val="24"/>
                <w:rtl/>
              </w:rPr>
              <w:t>56</w:t>
            </w:r>
            <w:r w:rsidR="00C32141" w:rsidRPr="00156A79">
              <w:rPr>
                <w:rFonts w:ascii="Simplified Arabic" w:eastAsia="Times New Roman" w:hAnsi="Simplified Arabic" w:cs="Simplified Arabic"/>
                <w:color w:val="202124"/>
                <w:sz w:val="24"/>
                <w:szCs w:val="24"/>
                <w:rtl/>
              </w:rPr>
              <w:t xml:space="preserve"> سنة </w:t>
            </w:r>
          </w:p>
          <w:p w:rsidR="00C32141" w:rsidRPr="00987E25" w:rsidRDefault="00C32141" w:rsidP="00987E25">
            <w:pPr>
              <w:rPr>
                <w:rFonts w:ascii="Simplified Arabic" w:eastAsia="Times New Roman" w:hAnsi="Simplified Arabic" w:cs="Simplified Arabic"/>
                <w:color w:val="202124"/>
                <w:sz w:val="24"/>
                <w:szCs w:val="24"/>
                <w:rtl/>
              </w:rPr>
            </w:pPr>
          </w:p>
        </w:tc>
      </w:tr>
      <w:tr w:rsidR="00C32141" w:rsidRPr="00156A79" w:rsidTr="000321FF">
        <w:trPr>
          <w:trHeight w:val="2258"/>
        </w:trPr>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z w:val="24"/>
                <w:szCs w:val="24"/>
              </w:rPr>
            </w:pPr>
            <w:r w:rsidRPr="00156A79">
              <w:rPr>
                <w:rFonts w:ascii="Simplified Arabic" w:eastAsia="Times New Roman" w:hAnsi="Simplified Arabic" w:cs="Simplified Arabic"/>
                <w:color w:val="202124"/>
                <w:sz w:val="24"/>
                <w:szCs w:val="24"/>
                <w:rtl/>
              </w:rPr>
              <w:lastRenderedPageBreak/>
              <w:t>ما هو أعلى مستوى تعليمي لديك؟</w:t>
            </w:r>
          </w:p>
          <w:tbl>
            <w:tblPr>
              <w:tblStyle w:val="Grilledutableau"/>
              <w:bidiVisual/>
              <w:tblW w:w="0" w:type="auto"/>
              <w:jc w:val="center"/>
              <w:tblLayout w:type="fixed"/>
              <w:tblLook w:val="04A0" w:firstRow="1" w:lastRow="0" w:firstColumn="1" w:lastColumn="0" w:noHBand="0" w:noVBand="1"/>
            </w:tblPr>
            <w:tblGrid>
              <w:gridCol w:w="2204"/>
              <w:gridCol w:w="1418"/>
            </w:tblGrid>
            <w:tr w:rsidR="00C32141" w:rsidRPr="00156A79" w:rsidTr="000321FF">
              <w:trPr>
                <w:jc w:val="center"/>
              </w:trPr>
              <w:tc>
                <w:tcPr>
                  <w:tcW w:w="2204" w:type="dxa"/>
                </w:tcPr>
                <w:p w:rsidR="00C32141" w:rsidRPr="00156A79" w:rsidRDefault="00C32141" w:rsidP="00794BA6">
                  <w:pPr>
                    <w:jc w:val="right"/>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مستوى ابتدائي</w:t>
                  </w:r>
                </w:p>
              </w:tc>
              <w:tc>
                <w:tcPr>
                  <w:tcW w:w="1418"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204" w:type="dxa"/>
                </w:tcPr>
                <w:p w:rsidR="00C32141" w:rsidRPr="00156A79" w:rsidRDefault="00C32141" w:rsidP="00794BA6">
                  <w:pPr>
                    <w:jc w:val="right"/>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مستوى متوسط</w:t>
                  </w:r>
                </w:p>
              </w:tc>
              <w:tc>
                <w:tcPr>
                  <w:tcW w:w="1418"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204" w:type="dxa"/>
                </w:tcPr>
                <w:p w:rsidR="00C32141" w:rsidRPr="00156A79" w:rsidRDefault="00C32141" w:rsidP="00794BA6">
                  <w:pPr>
                    <w:jc w:val="right"/>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مستوى ثانوي</w:t>
                  </w:r>
                </w:p>
              </w:tc>
              <w:tc>
                <w:tcPr>
                  <w:tcW w:w="1418"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204" w:type="dxa"/>
                </w:tcPr>
                <w:p w:rsidR="00C32141" w:rsidRPr="00156A79" w:rsidRDefault="00C32141" w:rsidP="00794BA6">
                  <w:pPr>
                    <w:jc w:val="right"/>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شهادة جامعية</w:t>
                  </w:r>
                </w:p>
              </w:tc>
              <w:tc>
                <w:tcPr>
                  <w:tcW w:w="1418"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bl>
          <w:p w:rsidR="00C32141" w:rsidRPr="00156A79" w:rsidRDefault="00C32141" w:rsidP="00794BA6">
            <w:pPr>
              <w:pStyle w:val="Paragraphedeliste"/>
              <w:tabs>
                <w:tab w:val="left" w:pos="1946"/>
              </w:tabs>
              <w:bidi/>
              <w:rPr>
                <w:rFonts w:ascii="Simplified Arabic" w:eastAsia="Times New Roman" w:hAnsi="Simplified Arabic" w:cs="Simplified Arabic"/>
                <w:color w:val="202124"/>
                <w:sz w:val="24"/>
                <w:szCs w:val="24"/>
                <w:rtl/>
              </w:rPr>
            </w:pPr>
          </w:p>
        </w:tc>
      </w:tr>
      <w:tr w:rsidR="00C32141" w:rsidRPr="00156A79" w:rsidTr="000321FF">
        <w:trPr>
          <w:trHeight w:val="2689"/>
        </w:trPr>
        <w:tc>
          <w:tcPr>
            <w:tcW w:w="9072" w:type="dxa"/>
          </w:tcPr>
          <w:p w:rsidR="00C32141" w:rsidRDefault="00C32141" w:rsidP="001D0548">
            <w:pPr>
              <w:pStyle w:val="Paragraphedeliste"/>
              <w:numPr>
                <w:ilvl w:val="0"/>
                <w:numId w:val="43"/>
              </w:numPr>
              <w:bidi/>
              <w:rPr>
                <w:rFonts w:ascii="Simplified Arabic" w:eastAsia="Times New Roman" w:hAnsi="Simplified Arabic" w:cs="Simplified Arabic"/>
                <w:color w:val="202124"/>
                <w:sz w:val="24"/>
                <w:szCs w:val="24"/>
              </w:rPr>
            </w:pPr>
            <w:r>
              <w:rPr>
                <w:rFonts w:ascii="Simplified Arabic" w:eastAsia="Times New Roman" w:hAnsi="Simplified Arabic" w:cs="Simplified Arabic"/>
                <w:color w:val="202124"/>
                <w:sz w:val="24"/>
                <w:szCs w:val="24"/>
                <w:rtl/>
              </w:rPr>
              <w:t xml:space="preserve">في أي حي سكني </w:t>
            </w:r>
            <w:r w:rsidRPr="00156A79">
              <w:rPr>
                <w:rFonts w:ascii="Simplified Arabic" w:eastAsia="Times New Roman" w:hAnsi="Simplified Arabic" w:cs="Simplified Arabic"/>
                <w:color w:val="202124"/>
                <w:sz w:val="24"/>
                <w:szCs w:val="24"/>
                <w:rtl/>
              </w:rPr>
              <w:t>تسكن فيه أنت؟</w:t>
            </w:r>
          </w:p>
          <w:tbl>
            <w:tblPr>
              <w:tblStyle w:val="Grilledutableau"/>
              <w:bidiVisual/>
              <w:tblW w:w="0" w:type="auto"/>
              <w:tblInd w:w="2580" w:type="dxa"/>
              <w:tblLayout w:type="fixed"/>
              <w:tblLook w:val="04A0" w:firstRow="1" w:lastRow="0" w:firstColumn="1" w:lastColumn="0" w:noHBand="0" w:noVBand="1"/>
            </w:tblPr>
            <w:tblGrid>
              <w:gridCol w:w="2268"/>
              <w:gridCol w:w="1417"/>
            </w:tblGrid>
            <w:tr w:rsidR="00CB1691" w:rsidTr="00CB1691">
              <w:tc>
                <w:tcPr>
                  <w:tcW w:w="2268" w:type="dxa"/>
                </w:tcPr>
                <w:p w:rsidR="00CB1691" w:rsidRPr="005A10AA" w:rsidRDefault="00CB1691" w:rsidP="00CB1691">
                  <w:pPr>
                    <w:bidi/>
                    <w:rPr>
                      <w:rFonts w:ascii="Simplified Arabic" w:eastAsia="Times New Roman" w:hAnsi="Simplified Arabic" w:cs="Simplified Arabic"/>
                      <w:color w:val="202124"/>
                      <w:sz w:val="24"/>
                      <w:szCs w:val="24"/>
                      <w:rtl/>
                    </w:rPr>
                  </w:pPr>
                  <w:r w:rsidRPr="005A10AA">
                    <w:rPr>
                      <w:rFonts w:ascii="Simplified Arabic" w:eastAsia="Times New Roman" w:hAnsi="Simplified Arabic" w:cs="Simplified Arabic" w:hint="cs"/>
                      <w:color w:val="202124"/>
                      <w:sz w:val="24"/>
                      <w:szCs w:val="24"/>
                      <w:rtl/>
                    </w:rPr>
                    <w:t>سيدي</w:t>
                  </w:r>
                  <w:r w:rsidRPr="005A10AA">
                    <w:rPr>
                      <w:rFonts w:ascii="Simplified Arabic" w:eastAsia="Times New Roman" w:hAnsi="Simplified Arabic" w:cs="Simplified Arabic"/>
                      <w:color w:val="202124"/>
                      <w:sz w:val="24"/>
                      <w:szCs w:val="24"/>
                      <w:rtl/>
                    </w:rPr>
                    <w:t xml:space="preserve"> </w:t>
                  </w:r>
                  <w:r w:rsidRPr="005A10AA">
                    <w:rPr>
                      <w:rFonts w:ascii="Simplified Arabic" w:eastAsia="Times New Roman" w:hAnsi="Simplified Arabic" w:cs="Simplified Arabic" w:hint="cs"/>
                      <w:color w:val="202124"/>
                      <w:sz w:val="24"/>
                      <w:szCs w:val="24"/>
                      <w:rtl/>
                    </w:rPr>
                    <w:t>سليمان</w:t>
                  </w:r>
                </w:p>
              </w:tc>
              <w:tc>
                <w:tcPr>
                  <w:tcW w:w="1417" w:type="dxa"/>
                </w:tcPr>
                <w:p w:rsidR="00CB1691" w:rsidRPr="00CB1691" w:rsidRDefault="00CB1691" w:rsidP="001D0548">
                  <w:pPr>
                    <w:pStyle w:val="Paragraphedeliste"/>
                    <w:numPr>
                      <w:ilvl w:val="0"/>
                      <w:numId w:val="67"/>
                    </w:numPr>
                    <w:bidi/>
                    <w:jc w:val="center"/>
                    <w:rPr>
                      <w:rFonts w:ascii="Simplified Arabic" w:eastAsia="Times New Roman" w:hAnsi="Simplified Arabic" w:cs="Simplified Arabic"/>
                      <w:color w:val="202124"/>
                      <w:sz w:val="24"/>
                      <w:szCs w:val="24"/>
                      <w:rtl/>
                    </w:rPr>
                  </w:pPr>
                </w:p>
              </w:tc>
            </w:tr>
            <w:tr w:rsidR="00CB1691" w:rsidTr="00CB1691">
              <w:tc>
                <w:tcPr>
                  <w:tcW w:w="2268" w:type="dxa"/>
                </w:tcPr>
                <w:p w:rsidR="00CB1691" w:rsidRDefault="00CB1691" w:rsidP="00CB1691">
                  <w:pPr>
                    <w:bidi/>
                    <w:rPr>
                      <w:rFonts w:ascii="Simplified Arabic" w:eastAsia="Times New Roman" w:hAnsi="Simplified Arabic" w:cs="Simplified Arabic"/>
                      <w:color w:val="202124"/>
                      <w:sz w:val="24"/>
                      <w:szCs w:val="24"/>
                      <w:rtl/>
                    </w:rPr>
                  </w:pPr>
                  <w:r w:rsidRPr="005A10AA">
                    <w:rPr>
                      <w:rFonts w:ascii="Simplified Arabic" w:eastAsia="Times New Roman" w:hAnsi="Simplified Arabic" w:cs="Simplified Arabic" w:hint="cs"/>
                      <w:color w:val="202124"/>
                      <w:sz w:val="24"/>
                      <w:szCs w:val="24"/>
                      <w:rtl/>
                    </w:rPr>
                    <w:t>ميطر</w:t>
                  </w:r>
                </w:p>
              </w:tc>
              <w:tc>
                <w:tcPr>
                  <w:tcW w:w="1417" w:type="dxa"/>
                </w:tcPr>
                <w:p w:rsidR="00CB1691" w:rsidRPr="00CB1691" w:rsidRDefault="00CB1691" w:rsidP="001D0548">
                  <w:pPr>
                    <w:pStyle w:val="Paragraphedeliste"/>
                    <w:numPr>
                      <w:ilvl w:val="0"/>
                      <w:numId w:val="67"/>
                    </w:numPr>
                    <w:bidi/>
                    <w:jc w:val="center"/>
                    <w:rPr>
                      <w:rFonts w:ascii="Simplified Arabic" w:eastAsia="Times New Roman" w:hAnsi="Simplified Arabic" w:cs="Simplified Arabic"/>
                      <w:color w:val="202124"/>
                      <w:sz w:val="24"/>
                      <w:szCs w:val="24"/>
                      <w:rtl/>
                    </w:rPr>
                  </w:pPr>
                </w:p>
              </w:tc>
            </w:tr>
            <w:tr w:rsidR="00CB1691" w:rsidTr="00CB1691">
              <w:tc>
                <w:tcPr>
                  <w:tcW w:w="2268" w:type="dxa"/>
                </w:tcPr>
                <w:p w:rsidR="00CB1691" w:rsidRDefault="00CB1691" w:rsidP="00CB1691">
                  <w:pPr>
                    <w:bidi/>
                    <w:rPr>
                      <w:rFonts w:ascii="Simplified Arabic" w:eastAsia="Times New Roman" w:hAnsi="Simplified Arabic" w:cs="Simplified Arabic"/>
                      <w:color w:val="202124"/>
                      <w:sz w:val="24"/>
                      <w:szCs w:val="24"/>
                      <w:rtl/>
                    </w:rPr>
                  </w:pPr>
                  <w:r w:rsidRPr="005A10AA">
                    <w:rPr>
                      <w:rFonts w:ascii="Simplified Arabic" w:eastAsia="Times New Roman" w:hAnsi="Simplified Arabic" w:cs="Simplified Arabic" w:hint="cs"/>
                      <w:color w:val="202124"/>
                      <w:sz w:val="24"/>
                      <w:szCs w:val="24"/>
                      <w:rtl/>
                    </w:rPr>
                    <w:t>الحمايد</w:t>
                  </w:r>
                </w:p>
              </w:tc>
              <w:tc>
                <w:tcPr>
                  <w:tcW w:w="1417" w:type="dxa"/>
                </w:tcPr>
                <w:p w:rsidR="00CB1691" w:rsidRPr="00CB1691" w:rsidRDefault="00CB1691" w:rsidP="001D0548">
                  <w:pPr>
                    <w:pStyle w:val="Paragraphedeliste"/>
                    <w:numPr>
                      <w:ilvl w:val="0"/>
                      <w:numId w:val="67"/>
                    </w:numPr>
                    <w:bidi/>
                    <w:jc w:val="center"/>
                    <w:rPr>
                      <w:rFonts w:ascii="Simplified Arabic" w:eastAsia="Times New Roman" w:hAnsi="Simplified Arabic" w:cs="Simplified Arabic"/>
                      <w:color w:val="202124"/>
                      <w:sz w:val="24"/>
                      <w:szCs w:val="24"/>
                      <w:rtl/>
                    </w:rPr>
                  </w:pPr>
                </w:p>
              </w:tc>
            </w:tr>
            <w:tr w:rsidR="00CB1691" w:rsidTr="00CB1691">
              <w:tc>
                <w:tcPr>
                  <w:tcW w:w="2268" w:type="dxa"/>
                </w:tcPr>
                <w:p w:rsidR="00CB1691" w:rsidRDefault="00CB1691" w:rsidP="00CB1691">
                  <w:pPr>
                    <w:bidi/>
                    <w:rPr>
                      <w:rFonts w:ascii="Simplified Arabic" w:eastAsia="Times New Roman" w:hAnsi="Simplified Arabic" w:cs="Simplified Arabic"/>
                      <w:color w:val="202124"/>
                      <w:sz w:val="24"/>
                      <w:szCs w:val="24"/>
                      <w:rtl/>
                    </w:rPr>
                  </w:pPr>
                  <w:r w:rsidRPr="005A10AA">
                    <w:rPr>
                      <w:rFonts w:ascii="Simplified Arabic" w:eastAsia="Times New Roman" w:hAnsi="Simplified Arabic" w:cs="Simplified Arabic" w:hint="cs"/>
                      <w:color w:val="202124"/>
                      <w:sz w:val="24"/>
                      <w:szCs w:val="24"/>
                      <w:rtl/>
                    </w:rPr>
                    <w:t>الباطن</w:t>
                  </w:r>
                </w:p>
              </w:tc>
              <w:tc>
                <w:tcPr>
                  <w:tcW w:w="1417" w:type="dxa"/>
                </w:tcPr>
                <w:p w:rsidR="00CB1691" w:rsidRPr="00CB1691" w:rsidRDefault="00CB1691" w:rsidP="001D0548">
                  <w:pPr>
                    <w:pStyle w:val="Paragraphedeliste"/>
                    <w:numPr>
                      <w:ilvl w:val="0"/>
                      <w:numId w:val="67"/>
                    </w:numPr>
                    <w:bidi/>
                    <w:jc w:val="center"/>
                    <w:rPr>
                      <w:rFonts w:ascii="Simplified Arabic" w:eastAsia="Times New Roman" w:hAnsi="Simplified Arabic" w:cs="Simplified Arabic"/>
                      <w:color w:val="202124"/>
                      <w:sz w:val="24"/>
                      <w:szCs w:val="24"/>
                      <w:rtl/>
                    </w:rPr>
                  </w:pPr>
                </w:p>
              </w:tc>
            </w:tr>
          </w:tbl>
          <w:p w:rsidR="00C32141" w:rsidRPr="00CE637F" w:rsidRDefault="00C32141" w:rsidP="00794BA6">
            <w:pPr>
              <w:bidi/>
              <w:rPr>
                <w:rFonts w:ascii="Simplified Arabic" w:eastAsia="Times New Roman" w:hAnsi="Simplified Arabic" w:cs="Simplified Arabic"/>
                <w:color w:val="202124"/>
                <w:sz w:val="24"/>
                <w:szCs w:val="24"/>
                <w:rtl/>
              </w:rPr>
            </w:pPr>
          </w:p>
        </w:tc>
      </w:tr>
      <w:tr w:rsidR="00C32141" w:rsidRPr="00156A79" w:rsidTr="000321FF">
        <w:tc>
          <w:tcPr>
            <w:tcW w:w="9072" w:type="dxa"/>
            <w:shd w:val="clear" w:color="auto" w:fill="D9D9D9" w:themeFill="background1" w:themeFillShade="D9"/>
          </w:tcPr>
          <w:p w:rsidR="00C32141" w:rsidRPr="00156A79" w:rsidRDefault="00C32141" w:rsidP="00794BA6">
            <w:pPr>
              <w:bidi/>
              <w:rPr>
                <w:rFonts w:ascii="Simplified Arabic" w:hAnsi="Simplified Arabic" w:cs="Simplified Arabic"/>
                <w:b/>
                <w:bCs/>
                <w:sz w:val="24"/>
                <w:szCs w:val="24"/>
                <w:rtl/>
              </w:rPr>
            </w:pPr>
            <w:r w:rsidRPr="00156A79">
              <w:rPr>
                <w:rFonts w:ascii="Simplified Arabic" w:hAnsi="Simplified Arabic" w:cs="Simplified Arabic"/>
                <w:b/>
                <w:bCs/>
                <w:sz w:val="24"/>
                <w:szCs w:val="24"/>
                <w:rtl/>
              </w:rPr>
              <w:t xml:space="preserve">القسم </w:t>
            </w:r>
            <w:r>
              <w:rPr>
                <w:rFonts w:ascii="Simplified Arabic" w:hAnsi="Simplified Arabic" w:cs="Simplified Arabic" w:hint="cs"/>
                <w:b/>
                <w:bCs/>
                <w:sz w:val="24"/>
                <w:szCs w:val="24"/>
                <w:rtl/>
              </w:rPr>
              <w:t>(</w:t>
            </w:r>
            <w:r w:rsidRPr="00156A79">
              <w:rPr>
                <w:rFonts w:ascii="Simplified Arabic" w:hAnsi="Simplified Arabic" w:cs="Simplified Arabic"/>
                <w:b/>
                <w:bCs/>
                <w:sz w:val="24"/>
                <w:szCs w:val="24"/>
                <w:rtl/>
              </w:rPr>
              <w:t>ب</w:t>
            </w:r>
            <w:r>
              <w:rPr>
                <w:rFonts w:ascii="Simplified Arabic" w:hAnsi="Simplified Arabic" w:cs="Simplified Arabic" w:hint="cs"/>
                <w:b/>
                <w:bCs/>
                <w:sz w:val="24"/>
                <w:szCs w:val="24"/>
                <w:rtl/>
              </w:rPr>
              <w:t>)</w:t>
            </w:r>
            <w:r w:rsidRPr="00156A79">
              <w:rPr>
                <w:rFonts w:ascii="Simplified Arabic" w:hAnsi="Simplified Arabic" w:cs="Simplified Arabic"/>
                <w:b/>
                <w:bCs/>
                <w:sz w:val="24"/>
                <w:szCs w:val="24"/>
                <w:rtl/>
              </w:rPr>
              <w:t>: المخاطر الطبيعية وتصور اخطار الكوارث في مدينة بوسعادة</w:t>
            </w:r>
          </w:p>
        </w:tc>
      </w:tr>
      <w:tr w:rsidR="00C32141" w:rsidRPr="00156A79" w:rsidTr="000321FF">
        <w:trPr>
          <w:trHeight w:val="3391"/>
        </w:trPr>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أي من أحداث الكوارث التالية يحتمل أن تحدث في بوسعادة؟ يمكنك وضع علامة في أكثر من مربع.</w:t>
            </w:r>
          </w:p>
          <w:tbl>
            <w:tblPr>
              <w:tblStyle w:val="Grilledutableau"/>
              <w:bidiVisual/>
              <w:tblW w:w="5245" w:type="dxa"/>
              <w:jc w:val="center"/>
              <w:tblInd w:w="701" w:type="dxa"/>
              <w:tblLayout w:type="fixed"/>
              <w:tblLook w:val="04A0" w:firstRow="1" w:lastRow="0" w:firstColumn="1" w:lastColumn="0" w:noHBand="0" w:noVBand="1"/>
            </w:tblPr>
            <w:tblGrid>
              <w:gridCol w:w="2178"/>
              <w:gridCol w:w="1533"/>
              <w:gridCol w:w="1534"/>
            </w:tblGrid>
            <w:tr w:rsidR="00C32141" w:rsidRPr="00156A79" w:rsidTr="000321FF">
              <w:trPr>
                <w:jc w:val="center"/>
              </w:trPr>
              <w:tc>
                <w:tcPr>
                  <w:tcW w:w="2178" w:type="dxa"/>
                </w:tcPr>
                <w:p w:rsidR="00C32141" w:rsidRPr="00156A79" w:rsidRDefault="00C32141" w:rsidP="00794BA6">
                  <w:pPr>
                    <w:bidi/>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الأخطار الطبيعية</w:t>
                  </w:r>
                </w:p>
              </w:tc>
              <w:tc>
                <w:tcPr>
                  <w:tcW w:w="1533" w:type="dxa"/>
                </w:tcPr>
                <w:p w:rsidR="00C32141" w:rsidRPr="00156A79" w:rsidRDefault="00C32141" w:rsidP="00794BA6">
                  <w:pPr>
                    <w:bidi/>
                    <w:jc w:val="center"/>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محتمل</w:t>
                  </w:r>
                </w:p>
              </w:tc>
              <w:tc>
                <w:tcPr>
                  <w:tcW w:w="1534" w:type="dxa"/>
                </w:tcPr>
                <w:p w:rsidR="00C32141" w:rsidRPr="00156A79" w:rsidRDefault="00C32141" w:rsidP="00794BA6">
                  <w:pPr>
                    <w:bidi/>
                    <w:jc w:val="center"/>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غير محتمل</w:t>
                  </w:r>
                </w:p>
              </w:tc>
            </w:tr>
            <w:tr w:rsidR="00C32141" w:rsidRPr="00156A79" w:rsidTr="000321FF">
              <w:trPr>
                <w:jc w:val="center"/>
              </w:trPr>
              <w:tc>
                <w:tcPr>
                  <w:tcW w:w="2178"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الفيضانات</w:t>
                  </w:r>
                </w:p>
              </w:tc>
              <w:tc>
                <w:tcPr>
                  <w:tcW w:w="153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53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178"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حرائق الغابات</w:t>
                  </w:r>
                </w:p>
              </w:tc>
              <w:tc>
                <w:tcPr>
                  <w:tcW w:w="153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53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178"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الزلازل</w:t>
                  </w:r>
                </w:p>
              </w:tc>
              <w:tc>
                <w:tcPr>
                  <w:tcW w:w="153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53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178"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التصحر</w:t>
                  </w:r>
                </w:p>
              </w:tc>
              <w:tc>
                <w:tcPr>
                  <w:tcW w:w="153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53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178"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انزلاق التربة</w:t>
                  </w:r>
                </w:p>
              </w:tc>
              <w:tc>
                <w:tcPr>
                  <w:tcW w:w="153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53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2178"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lang w:bidi="ar-DZ"/>
                    </w:rPr>
                    <w:t>التصحر (</w:t>
                  </w:r>
                  <w:r w:rsidRPr="00156A79">
                    <w:rPr>
                      <w:rFonts w:ascii="Simplified Arabic" w:eastAsia="Times New Roman" w:hAnsi="Simplified Arabic" w:cs="Simplified Arabic"/>
                      <w:color w:val="202124"/>
                      <w:sz w:val="24"/>
                      <w:szCs w:val="24"/>
                      <w:rtl/>
                      <w:lang w:bidi="ar-DZ"/>
                    </w:rPr>
                    <w:t>الترمل</w:t>
                  </w:r>
                  <w:r>
                    <w:rPr>
                      <w:rFonts w:ascii="Simplified Arabic" w:eastAsia="Times New Roman" w:hAnsi="Simplified Arabic" w:cs="Simplified Arabic" w:hint="cs"/>
                      <w:color w:val="202124"/>
                      <w:sz w:val="24"/>
                      <w:szCs w:val="24"/>
                      <w:rtl/>
                      <w:lang w:bidi="ar-DZ"/>
                    </w:rPr>
                    <w:t>)</w:t>
                  </w:r>
                </w:p>
              </w:tc>
              <w:tc>
                <w:tcPr>
                  <w:tcW w:w="153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53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bl>
          <w:p w:rsidR="00C32141" w:rsidRPr="00156A79" w:rsidRDefault="00C32141" w:rsidP="00794BA6">
            <w:pPr>
              <w:tabs>
                <w:tab w:val="left" w:pos="5964"/>
              </w:tabs>
              <w:rPr>
                <w:rFonts w:ascii="Simplified Arabic" w:eastAsia="Times New Roman" w:hAnsi="Simplified Arabic" w:cs="Simplified Arabic"/>
                <w:color w:val="202124"/>
                <w:sz w:val="24"/>
                <w:szCs w:val="24"/>
                <w:rtl/>
              </w:rPr>
            </w:pPr>
          </w:p>
        </w:tc>
      </w:tr>
      <w:tr w:rsidR="00C32141" w:rsidRPr="00156A79" w:rsidTr="000321FF">
        <w:trPr>
          <w:trHeight w:val="3395"/>
        </w:trPr>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z w:val="24"/>
                <w:szCs w:val="24"/>
              </w:rPr>
            </w:pPr>
            <w:r w:rsidRPr="00156A79">
              <w:rPr>
                <w:rFonts w:ascii="Simplified Arabic" w:eastAsia="Times New Roman" w:hAnsi="Simplified Arabic" w:cs="Simplified Arabic"/>
                <w:color w:val="202124"/>
                <w:sz w:val="24"/>
                <w:szCs w:val="24"/>
                <w:rtl/>
              </w:rPr>
              <w:t xml:space="preserve">في رأيك، ما </w:t>
            </w:r>
            <w:r>
              <w:rPr>
                <w:rFonts w:ascii="Simplified Arabic" w:eastAsia="Times New Roman" w:hAnsi="Simplified Arabic" w:cs="Simplified Arabic" w:hint="cs"/>
                <w:color w:val="202124"/>
                <w:sz w:val="24"/>
                <w:szCs w:val="24"/>
                <w:rtl/>
              </w:rPr>
              <w:t>هي</w:t>
            </w:r>
            <w:r w:rsidRPr="00156A79">
              <w:rPr>
                <w:rFonts w:ascii="Simplified Arabic" w:eastAsia="Times New Roman" w:hAnsi="Simplified Arabic" w:cs="Simplified Arabic"/>
                <w:color w:val="202124"/>
                <w:sz w:val="24"/>
                <w:szCs w:val="24"/>
                <w:rtl/>
              </w:rPr>
              <w:t xml:space="preserve"> المخاطر الطبيعية </w:t>
            </w:r>
            <w:r>
              <w:rPr>
                <w:rFonts w:ascii="Simplified Arabic" w:eastAsia="Times New Roman" w:hAnsi="Simplified Arabic" w:cs="Simplified Arabic" w:hint="cs"/>
                <w:color w:val="202124"/>
                <w:sz w:val="24"/>
                <w:szCs w:val="24"/>
                <w:rtl/>
              </w:rPr>
              <w:t xml:space="preserve">التي تحدث بصفة متكررة خلال السنة </w:t>
            </w:r>
            <w:r w:rsidRPr="00156A79">
              <w:rPr>
                <w:rFonts w:ascii="Simplified Arabic" w:eastAsia="Times New Roman" w:hAnsi="Simplified Arabic" w:cs="Simplified Arabic"/>
                <w:color w:val="202124"/>
                <w:sz w:val="24"/>
                <w:szCs w:val="24"/>
                <w:rtl/>
              </w:rPr>
              <w:t>في</w:t>
            </w:r>
            <w:r>
              <w:rPr>
                <w:rFonts w:ascii="Simplified Arabic" w:eastAsia="Times New Roman" w:hAnsi="Simplified Arabic" w:cs="Simplified Arabic" w:hint="cs"/>
                <w:color w:val="202124"/>
                <w:sz w:val="24"/>
                <w:szCs w:val="24"/>
                <w:rtl/>
              </w:rPr>
              <w:t xml:space="preserve"> مدينة</w:t>
            </w:r>
            <w:r w:rsidRPr="00156A79">
              <w:rPr>
                <w:rFonts w:ascii="Simplified Arabic" w:eastAsia="Times New Roman" w:hAnsi="Simplified Arabic" w:cs="Simplified Arabic"/>
                <w:color w:val="202124"/>
                <w:sz w:val="24"/>
                <w:szCs w:val="24"/>
                <w:rtl/>
              </w:rPr>
              <w:t xml:space="preserve"> بوسعادة؟</w:t>
            </w:r>
          </w:p>
          <w:tbl>
            <w:tblPr>
              <w:tblStyle w:val="Grilledutableau"/>
              <w:bidiVisual/>
              <w:tblW w:w="4393" w:type="dxa"/>
              <w:jc w:val="center"/>
              <w:tblLayout w:type="fixed"/>
              <w:tblLook w:val="04A0" w:firstRow="1" w:lastRow="0" w:firstColumn="1" w:lastColumn="0" w:noHBand="0" w:noVBand="1"/>
            </w:tblPr>
            <w:tblGrid>
              <w:gridCol w:w="1636"/>
              <w:gridCol w:w="1503"/>
              <w:gridCol w:w="1254"/>
            </w:tblGrid>
            <w:tr w:rsidR="00C32141" w:rsidRPr="00156A79" w:rsidTr="000321FF">
              <w:trPr>
                <w:jc w:val="center"/>
              </w:trPr>
              <w:tc>
                <w:tcPr>
                  <w:tcW w:w="1636" w:type="dxa"/>
                </w:tcPr>
                <w:p w:rsidR="00C32141" w:rsidRPr="00156A79" w:rsidRDefault="00C32141" w:rsidP="00794BA6">
                  <w:pPr>
                    <w:bidi/>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المخاطر الطبيعية</w:t>
                  </w:r>
                </w:p>
              </w:tc>
              <w:tc>
                <w:tcPr>
                  <w:tcW w:w="1503" w:type="dxa"/>
                </w:tcPr>
                <w:p w:rsidR="00C32141" w:rsidRPr="00156A79" w:rsidRDefault="00C32141" w:rsidP="00794BA6">
                  <w:pPr>
                    <w:bidi/>
                    <w:jc w:val="center"/>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rPr>
                    <w:t>نعم</w:t>
                  </w:r>
                </w:p>
              </w:tc>
              <w:tc>
                <w:tcPr>
                  <w:tcW w:w="1254" w:type="dxa"/>
                </w:tcPr>
                <w:p w:rsidR="00C32141" w:rsidRPr="00156A79" w:rsidRDefault="00C32141"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لا</w:t>
                  </w:r>
                </w:p>
              </w:tc>
            </w:tr>
            <w:tr w:rsidR="00C32141" w:rsidRPr="00156A79" w:rsidTr="000321FF">
              <w:trPr>
                <w:jc w:val="center"/>
              </w:trPr>
              <w:tc>
                <w:tcPr>
                  <w:tcW w:w="1636"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الفيضانات</w:t>
                  </w:r>
                </w:p>
              </w:tc>
              <w:tc>
                <w:tcPr>
                  <w:tcW w:w="150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5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1636"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حرائق الغابات</w:t>
                  </w:r>
                </w:p>
              </w:tc>
              <w:tc>
                <w:tcPr>
                  <w:tcW w:w="150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5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1636"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الزلازل</w:t>
                  </w:r>
                </w:p>
              </w:tc>
              <w:tc>
                <w:tcPr>
                  <w:tcW w:w="150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5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1636"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التصحر</w:t>
                  </w:r>
                </w:p>
              </w:tc>
              <w:tc>
                <w:tcPr>
                  <w:tcW w:w="150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5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1636"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انزلاق التربة</w:t>
                  </w:r>
                </w:p>
              </w:tc>
              <w:tc>
                <w:tcPr>
                  <w:tcW w:w="150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5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jc w:val="center"/>
              </w:trPr>
              <w:tc>
                <w:tcPr>
                  <w:tcW w:w="1636" w:type="dxa"/>
                </w:tcPr>
                <w:p w:rsidR="00C32141" w:rsidRPr="00156A79" w:rsidRDefault="00C32141" w:rsidP="00794BA6">
                  <w:pPr>
                    <w:bidi/>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lang w:bidi="ar-DZ"/>
                    </w:rPr>
                    <w:t>التصحر (</w:t>
                  </w:r>
                  <w:r w:rsidRPr="00156A79">
                    <w:rPr>
                      <w:rFonts w:ascii="Simplified Arabic" w:eastAsia="Times New Roman" w:hAnsi="Simplified Arabic" w:cs="Simplified Arabic"/>
                      <w:color w:val="202124"/>
                      <w:sz w:val="24"/>
                      <w:szCs w:val="24"/>
                      <w:rtl/>
                      <w:lang w:bidi="ar-DZ"/>
                    </w:rPr>
                    <w:t>الترمل</w:t>
                  </w:r>
                  <w:r>
                    <w:rPr>
                      <w:rFonts w:ascii="Simplified Arabic" w:eastAsia="Times New Roman" w:hAnsi="Simplified Arabic" w:cs="Simplified Arabic" w:hint="cs"/>
                      <w:color w:val="202124"/>
                      <w:sz w:val="24"/>
                      <w:szCs w:val="24"/>
                      <w:rtl/>
                      <w:lang w:bidi="ar-DZ"/>
                    </w:rPr>
                    <w:t>)</w:t>
                  </w:r>
                </w:p>
              </w:tc>
              <w:tc>
                <w:tcPr>
                  <w:tcW w:w="1503"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5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bl>
          <w:p w:rsidR="00C32141" w:rsidRPr="00156A79" w:rsidRDefault="00C32141" w:rsidP="00794BA6">
            <w:pPr>
              <w:bidi/>
              <w:rPr>
                <w:rFonts w:ascii="Simplified Arabic" w:eastAsia="Times New Roman" w:hAnsi="Simplified Arabic" w:cs="Simplified Arabic"/>
                <w:color w:val="202124"/>
                <w:sz w:val="24"/>
                <w:szCs w:val="24"/>
                <w:rtl/>
              </w:rPr>
            </w:pPr>
          </w:p>
        </w:tc>
      </w:tr>
      <w:tr w:rsidR="00C32141" w:rsidRPr="00156A79" w:rsidTr="000321FF">
        <w:trPr>
          <w:trHeight w:val="1419"/>
        </w:trPr>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z w:val="24"/>
                <w:szCs w:val="24"/>
              </w:rPr>
            </w:pPr>
            <w:r w:rsidRPr="00156A79">
              <w:rPr>
                <w:rFonts w:ascii="Simplified Arabic" w:eastAsia="Times New Roman" w:hAnsi="Simplified Arabic" w:cs="Simplified Arabic"/>
                <w:color w:val="202124"/>
                <w:sz w:val="24"/>
                <w:szCs w:val="24"/>
                <w:rtl/>
              </w:rPr>
              <w:t xml:space="preserve">هل عمليات الحماية  التي اجريت في مدينة بوسعادة ضد مخاطر الفيضانات </w:t>
            </w:r>
            <w:r>
              <w:rPr>
                <w:rFonts w:ascii="Simplified Arabic" w:eastAsia="Times New Roman" w:hAnsi="Simplified Arabic" w:cs="Simplified Arabic" w:hint="cs"/>
                <w:color w:val="202124"/>
                <w:sz w:val="24"/>
                <w:szCs w:val="24"/>
                <w:rtl/>
              </w:rPr>
              <w:t>كانت مهمة نعم ام لا</w:t>
            </w:r>
            <w:r w:rsidRPr="00156A79">
              <w:rPr>
                <w:rFonts w:ascii="Simplified Arabic" w:eastAsia="Times New Roman" w:hAnsi="Simplified Arabic" w:cs="Simplified Arabic"/>
                <w:color w:val="202124"/>
                <w:sz w:val="24"/>
                <w:szCs w:val="24"/>
                <w:rtl/>
              </w:rPr>
              <w:t>؟</w:t>
            </w:r>
          </w:p>
          <w:tbl>
            <w:tblPr>
              <w:tblStyle w:val="Grilledutableau"/>
              <w:bidiVisual/>
              <w:tblW w:w="3262" w:type="dxa"/>
              <w:jc w:val="center"/>
              <w:tblLayout w:type="fixed"/>
              <w:tblLook w:val="04A0" w:firstRow="1" w:lastRow="0" w:firstColumn="1" w:lastColumn="0" w:noHBand="0" w:noVBand="1"/>
            </w:tblPr>
            <w:tblGrid>
              <w:gridCol w:w="1631"/>
              <w:gridCol w:w="1631"/>
            </w:tblGrid>
            <w:tr w:rsidR="00C32141" w:rsidRPr="00156A79" w:rsidTr="000321FF">
              <w:trPr>
                <w:jc w:val="center"/>
              </w:trPr>
              <w:tc>
                <w:tcPr>
                  <w:tcW w:w="1631"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rPr>
                    <w:t>نعم</w:t>
                  </w:r>
                </w:p>
              </w:tc>
              <w:tc>
                <w:tcPr>
                  <w:tcW w:w="1631"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لا</w:t>
                  </w:r>
                </w:p>
              </w:tc>
            </w:tr>
            <w:tr w:rsidR="00C32141" w:rsidRPr="00156A79" w:rsidTr="000321FF">
              <w:trPr>
                <w:jc w:val="center"/>
              </w:trPr>
              <w:tc>
                <w:tcPr>
                  <w:tcW w:w="1631"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631"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bl>
          <w:p w:rsidR="00C32141" w:rsidRPr="00156A79" w:rsidRDefault="00C32141" w:rsidP="00794BA6">
            <w:pPr>
              <w:pStyle w:val="Paragraphedeliste"/>
              <w:bidi/>
              <w:rPr>
                <w:rFonts w:ascii="Simplified Arabic" w:eastAsia="Times New Roman" w:hAnsi="Simplified Arabic" w:cs="Simplified Arabic"/>
                <w:color w:val="202124"/>
                <w:sz w:val="24"/>
                <w:szCs w:val="24"/>
                <w:rtl/>
              </w:rPr>
            </w:pPr>
          </w:p>
        </w:tc>
      </w:tr>
      <w:tr w:rsidR="00C32141" w:rsidRPr="00156A79" w:rsidTr="000321FF">
        <w:tc>
          <w:tcPr>
            <w:tcW w:w="9072" w:type="dxa"/>
            <w:shd w:val="clear" w:color="auto" w:fill="D9D9D9" w:themeFill="background1" w:themeFillShade="D9"/>
          </w:tcPr>
          <w:p w:rsidR="00C32141" w:rsidRPr="00156A79" w:rsidRDefault="00C32141" w:rsidP="00794BA6">
            <w:pPr>
              <w:bidi/>
              <w:rPr>
                <w:rFonts w:ascii="Simplified Arabic" w:hAnsi="Simplified Arabic" w:cs="Simplified Arabic"/>
                <w:b/>
                <w:bCs/>
                <w:sz w:val="24"/>
                <w:szCs w:val="24"/>
                <w:rtl/>
              </w:rPr>
            </w:pPr>
            <w:r w:rsidRPr="00156A79">
              <w:rPr>
                <w:rFonts w:ascii="Simplified Arabic" w:hAnsi="Simplified Arabic" w:cs="Simplified Arabic"/>
                <w:b/>
                <w:bCs/>
                <w:sz w:val="24"/>
                <w:szCs w:val="24"/>
                <w:rtl/>
              </w:rPr>
              <w:lastRenderedPageBreak/>
              <w:t xml:space="preserve">القسم </w:t>
            </w:r>
            <w:r>
              <w:rPr>
                <w:rFonts w:ascii="Simplified Arabic" w:hAnsi="Simplified Arabic" w:cs="Simplified Arabic" w:hint="cs"/>
                <w:b/>
                <w:bCs/>
                <w:sz w:val="24"/>
                <w:szCs w:val="24"/>
                <w:rtl/>
              </w:rPr>
              <w:t>(</w:t>
            </w:r>
            <w:r w:rsidRPr="00156A79">
              <w:rPr>
                <w:rFonts w:ascii="Simplified Arabic" w:hAnsi="Simplified Arabic" w:cs="Simplified Arabic"/>
                <w:b/>
                <w:bCs/>
                <w:sz w:val="24"/>
                <w:szCs w:val="24"/>
                <w:rtl/>
              </w:rPr>
              <w:t>جـ</w:t>
            </w:r>
            <w:r>
              <w:rPr>
                <w:rFonts w:ascii="Simplified Arabic" w:hAnsi="Simplified Arabic" w:cs="Simplified Arabic" w:hint="cs"/>
                <w:b/>
                <w:bCs/>
                <w:sz w:val="24"/>
                <w:szCs w:val="24"/>
                <w:rtl/>
              </w:rPr>
              <w:t>)</w:t>
            </w:r>
            <w:r w:rsidRPr="00156A79">
              <w:rPr>
                <w:rFonts w:ascii="Simplified Arabic" w:hAnsi="Simplified Arabic" w:cs="Simplified Arabic"/>
                <w:b/>
                <w:bCs/>
                <w:sz w:val="24"/>
                <w:szCs w:val="24"/>
                <w:rtl/>
              </w:rPr>
              <w:t xml:space="preserve">: </w:t>
            </w:r>
            <w:r w:rsidR="000D1111" w:rsidRPr="000D1111">
              <w:rPr>
                <w:rFonts w:ascii="Simplified Arabic" w:hAnsi="Simplified Arabic" w:cs="Simplified Arabic" w:hint="cs"/>
                <w:b/>
                <w:bCs/>
                <w:sz w:val="24"/>
                <w:szCs w:val="24"/>
                <w:rtl/>
              </w:rPr>
              <w:t>استعمال</w:t>
            </w:r>
            <w:r w:rsidRPr="000D1111">
              <w:rPr>
                <w:rFonts w:ascii="Simplified Arabic" w:hAnsi="Simplified Arabic" w:cs="Simplified Arabic"/>
                <w:b/>
                <w:bCs/>
                <w:sz w:val="24"/>
                <w:szCs w:val="24"/>
                <w:rtl/>
              </w:rPr>
              <w:t>ات</w:t>
            </w:r>
            <w:r w:rsidRPr="00156A79">
              <w:rPr>
                <w:rFonts w:ascii="Simplified Arabic" w:hAnsi="Simplified Arabic" w:cs="Simplified Arabic"/>
                <w:b/>
                <w:bCs/>
                <w:sz w:val="24"/>
                <w:szCs w:val="24"/>
                <w:rtl/>
              </w:rPr>
              <w:t xml:space="preserve"> الارض (المسكن، المرافق العمومية والخدمات، الطرق و المساحات المفتوحة)</w:t>
            </w:r>
          </w:p>
        </w:tc>
      </w:tr>
      <w:tr w:rsidR="00C32141" w:rsidRPr="00156A79" w:rsidTr="000321FF">
        <w:tc>
          <w:tcPr>
            <w:tcW w:w="9072" w:type="dxa"/>
            <w:shd w:val="clear" w:color="auto" w:fill="auto"/>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pacing w:val="3"/>
                <w:sz w:val="24"/>
                <w:szCs w:val="24"/>
              </w:rPr>
            </w:pPr>
            <w:r w:rsidRPr="00156A79">
              <w:rPr>
                <w:rFonts w:ascii="Simplified Arabic" w:eastAsia="Times New Roman" w:hAnsi="Simplified Arabic" w:cs="Simplified Arabic"/>
                <w:color w:val="202124"/>
                <w:spacing w:val="3"/>
                <w:sz w:val="24"/>
                <w:szCs w:val="24"/>
                <w:rtl/>
              </w:rPr>
              <w:t>أي نوع من المسكن الذي تقيم فيه؟</w:t>
            </w:r>
          </w:p>
          <w:p w:rsidR="00C32141" w:rsidRPr="00156A79" w:rsidRDefault="00C32141" w:rsidP="001D0548">
            <w:pPr>
              <w:pStyle w:val="Paragraphedeliste"/>
              <w:numPr>
                <w:ilvl w:val="0"/>
                <w:numId w:val="51"/>
              </w:numPr>
              <w:jc w:val="center"/>
              <w:rPr>
                <w:rFonts w:ascii="Simplified Arabic" w:eastAsia="Times New Roman" w:hAnsi="Simplified Arabic" w:cs="Simplified Arabic"/>
                <w:color w:val="202124"/>
                <w:sz w:val="24"/>
                <w:szCs w:val="24"/>
              </w:rPr>
            </w:pPr>
            <w:r w:rsidRPr="00156A79">
              <w:rPr>
                <w:rFonts w:ascii="Simplified Arabic" w:eastAsia="Times New Roman" w:hAnsi="Simplified Arabic" w:cs="Simplified Arabic"/>
                <w:color w:val="202124"/>
                <w:sz w:val="24"/>
                <w:szCs w:val="24"/>
                <w:rtl/>
              </w:rPr>
              <w:t>فردي</w:t>
            </w:r>
          </w:p>
          <w:p w:rsidR="00C32141" w:rsidRPr="00156A79" w:rsidRDefault="00C32141" w:rsidP="001D0548">
            <w:pPr>
              <w:pStyle w:val="Paragraphedeliste"/>
              <w:numPr>
                <w:ilvl w:val="0"/>
                <w:numId w:val="51"/>
              </w:numPr>
              <w:jc w:val="center"/>
              <w:rPr>
                <w:rFonts w:ascii="Simplified Arabic" w:hAnsi="Simplified Arabic" w:cs="Simplified Arabic"/>
                <w:b/>
                <w:bCs/>
                <w:sz w:val="24"/>
                <w:szCs w:val="24"/>
                <w:rtl/>
              </w:rPr>
            </w:pPr>
            <w:r w:rsidRPr="00156A79">
              <w:rPr>
                <w:rFonts w:ascii="Simplified Arabic" w:eastAsia="Times New Roman" w:hAnsi="Simplified Arabic" w:cs="Simplified Arabic"/>
                <w:color w:val="202124"/>
                <w:sz w:val="24"/>
                <w:szCs w:val="24"/>
                <w:rtl/>
              </w:rPr>
              <w:t>عمارة</w:t>
            </w:r>
          </w:p>
        </w:tc>
      </w:tr>
      <w:tr w:rsidR="00C32141" w:rsidRPr="00156A79" w:rsidTr="000321FF">
        <w:tc>
          <w:tcPr>
            <w:tcW w:w="9072" w:type="dxa"/>
            <w:shd w:val="clear" w:color="auto" w:fill="auto"/>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pacing w:val="3"/>
                <w:sz w:val="24"/>
                <w:szCs w:val="24"/>
              </w:rPr>
            </w:pPr>
            <w:r w:rsidRPr="00156A79">
              <w:rPr>
                <w:rFonts w:ascii="Simplified Arabic" w:eastAsia="Times New Roman" w:hAnsi="Simplified Arabic" w:cs="Simplified Arabic"/>
                <w:color w:val="202124"/>
                <w:spacing w:val="3"/>
                <w:sz w:val="24"/>
                <w:szCs w:val="24"/>
                <w:rtl/>
              </w:rPr>
              <w:t xml:space="preserve"> هل سبق ان تعرض </w:t>
            </w:r>
            <w:r>
              <w:rPr>
                <w:rFonts w:ascii="Simplified Arabic" w:eastAsia="Times New Roman" w:hAnsi="Simplified Arabic" w:cs="Simplified Arabic" w:hint="cs"/>
                <w:color w:val="202124"/>
                <w:spacing w:val="3"/>
                <w:sz w:val="24"/>
                <w:szCs w:val="24"/>
                <w:rtl/>
              </w:rPr>
              <w:t>شارع مسكنكم</w:t>
            </w:r>
            <w:r w:rsidRPr="00156A79">
              <w:rPr>
                <w:rFonts w:ascii="Simplified Arabic" w:eastAsia="Times New Roman" w:hAnsi="Simplified Arabic" w:cs="Simplified Arabic"/>
                <w:color w:val="202124"/>
                <w:spacing w:val="3"/>
                <w:sz w:val="24"/>
                <w:szCs w:val="24"/>
                <w:rtl/>
              </w:rPr>
              <w:t xml:space="preserve"> لغمر مياه الامطار و الفيضانات؟</w:t>
            </w:r>
          </w:p>
          <w:p w:rsidR="00C32141" w:rsidRPr="00156A79" w:rsidRDefault="00C32141" w:rsidP="001D0548">
            <w:pPr>
              <w:pStyle w:val="Paragraphedeliste"/>
              <w:numPr>
                <w:ilvl w:val="0"/>
                <w:numId w:val="51"/>
              </w:numPr>
              <w:jc w:val="center"/>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نعم</w:t>
            </w:r>
          </w:p>
          <w:p w:rsidR="00C32141" w:rsidRPr="00156A79" w:rsidRDefault="00C32141" w:rsidP="001D0548">
            <w:pPr>
              <w:pStyle w:val="Paragraphedeliste"/>
              <w:numPr>
                <w:ilvl w:val="0"/>
                <w:numId w:val="51"/>
              </w:numPr>
              <w:jc w:val="center"/>
              <w:rPr>
                <w:rFonts w:ascii="Simplified Arabic" w:eastAsia="Times New Roman" w:hAnsi="Simplified Arabic" w:cs="Simplified Arabic"/>
                <w:color w:val="202124"/>
                <w:spacing w:val="3"/>
                <w:sz w:val="24"/>
                <w:szCs w:val="24"/>
                <w:rtl/>
              </w:rPr>
            </w:pPr>
            <w:r w:rsidRPr="00156A79">
              <w:rPr>
                <w:rFonts w:ascii="Simplified Arabic" w:eastAsia="Times New Roman" w:hAnsi="Simplified Arabic" w:cs="Simplified Arabic"/>
                <w:color w:val="202124"/>
                <w:sz w:val="24"/>
                <w:szCs w:val="24"/>
                <w:rtl/>
              </w:rPr>
              <w:t>لا</w:t>
            </w:r>
          </w:p>
        </w:tc>
      </w:tr>
      <w:tr w:rsidR="00C32141" w:rsidRPr="00156A79" w:rsidTr="000321FF">
        <w:trPr>
          <w:trHeight w:val="2986"/>
        </w:trPr>
        <w:tc>
          <w:tcPr>
            <w:tcW w:w="9072" w:type="dxa"/>
            <w:shd w:val="clear" w:color="auto" w:fill="auto"/>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pacing w:val="3"/>
                <w:sz w:val="24"/>
                <w:szCs w:val="24"/>
              </w:rPr>
            </w:pPr>
            <w:r w:rsidRPr="00156A7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هل </w:t>
            </w:r>
            <w:r w:rsidRPr="00156A79">
              <w:rPr>
                <w:rFonts w:ascii="Simplified Arabic" w:hAnsi="Simplified Arabic" w:cs="Simplified Arabic"/>
                <w:sz w:val="24"/>
                <w:szCs w:val="24"/>
                <w:rtl/>
              </w:rPr>
              <w:t>ترى المرافق</w:t>
            </w:r>
            <w:r>
              <w:rPr>
                <w:rFonts w:ascii="Simplified Arabic" w:hAnsi="Simplified Arabic" w:cs="Simplified Arabic" w:hint="cs"/>
                <w:sz w:val="24"/>
                <w:szCs w:val="24"/>
                <w:rtl/>
              </w:rPr>
              <w:t xml:space="preserve"> التالية، </w:t>
            </w:r>
            <w:r w:rsidRPr="00156A79">
              <w:rPr>
                <w:rFonts w:ascii="Simplified Arabic" w:hAnsi="Simplified Arabic" w:cs="Simplified Arabic"/>
                <w:sz w:val="24"/>
                <w:szCs w:val="24"/>
                <w:rtl/>
              </w:rPr>
              <w:t xml:space="preserve">انها </w:t>
            </w:r>
            <w:r w:rsidR="00582143">
              <w:rPr>
                <w:rFonts w:ascii="Simplified Arabic" w:hAnsi="Simplified Arabic" w:cs="Simplified Arabic" w:hint="cs"/>
                <w:sz w:val="24"/>
                <w:szCs w:val="24"/>
                <w:rtl/>
              </w:rPr>
              <w:t>كافية</w:t>
            </w:r>
            <w:r w:rsidRPr="00156A79">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ام غير </w:t>
            </w:r>
            <w:r w:rsidR="00582143">
              <w:rPr>
                <w:rFonts w:ascii="Simplified Arabic" w:hAnsi="Simplified Arabic" w:cs="Simplified Arabic" w:hint="cs"/>
                <w:sz w:val="24"/>
                <w:szCs w:val="24"/>
                <w:rtl/>
              </w:rPr>
              <w:t>كافية</w:t>
            </w:r>
            <w:r>
              <w:rPr>
                <w:rFonts w:ascii="Simplified Arabic" w:hAnsi="Simplified Arabic" w:cs="Simplified Arabic" w:hint="cs"/>
                <w:sz w:val="24"/>
                <w:szCs w:val="24"/>
                <w:rtl/>
              </w:rPr>
              <w:t xml:space="preserve"> </w:t>
            </w:r>
            <w:r w:rsidRPr="00156A79">
              <w:rPr>
                <w:rFonts w:ascii="Simplified Arabic" w:hAnsi="Simplified Arabic" w:cs="Simplified Arabic"/>
                <w:sz w:val="24"/>
                <w:szCs w:val="24"/>
                <w:rtl/>
              </w:rPr>
              <w:t>اثناء تعرضك للفيضانات؟</w:t>
            </w:r>
          </w:p>
          <w:tbl>
            <w:tblPr>
              <w:tblStyle w:val="Grilledutableau"/>
              <w:bidiVisual/>
              <w:tblW w:w="4449" w:type="dxa"/>
              <w:jc w:val="center"/>
              <w:tblLayout w:type="fixed"/>
              <w:tblLook w:val="04A0" w:firstRow="1" w:lastRow="0" w:firstColumn="1" w:lastColumn="0" w:noHBand="0" w:noVBand="1"/>
            </w:tblPr>
            <w:tblGrid>
              <w:gridCol w:w="2137"/>
              <w:gridCol w:w="992"/>
              <w:gridCol w:w="1320"/>
            </w:tblGrid>
            <w:tr w:rsidR="006E439E" w:rsidRPr="00156A79" w:rsidTr="006E439E">
              <w:trPr>
                <w:jc w:val="center"/>
              </w:trPr>
              <w:tc>
                <w:tcPr>
                  <w:tcW w:w="2137" w:type="dxa"/>
                  <w:vAlign w:val="center"/>
                </w:tcPr>
                <w:p w:rsidR="006E439E" w:rsidRPr="00156A79" w:rsidRDefault="006E439E" w:rsidP="00794BA6">
                  <w:pPr>
                    <w:bidi/>
                    <w:jc w:val="center"/>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نوع المرفق</w:t>
                  </w:r>
                </w:p>
              </w:tc>
              <w:tc>
                <w:tcPr>
                  <w:tcW w:w="992" w:type="dxa"/>
                </w:tcPr>
                <w:p w:rsidR="006E439E" w:rsidRPr="00156A79" w:rsidRDefault="006E439E" w:rsidP="00794BA6">
                  <w:pPr>
                    <w:bidi/>
                    <w:jc w:val="center"/>
                    <w:rPr>
                      <w:rFonts w:ascii="Simplified Arabic" w:eastAsia="Times New Roman" w:hAnsi="Simplified Arabic" w:cs="Simplified Arabic"/>
                      <w:color w:val="202124"/>
                      <w:sz w:val="24"/>
                      <w:szCs w:val="24"/>
                      <w:rtl/>
                      <w:lang w:bidi="ar-DZ"/>
                    </w:rPr>
                  </w:pPr>
                  <w:r>
                    <w:rPr>
                      <w:rFonts w:ascii="Simplified Arabic" w:hAnsi="Simplified Arabic" w:cs="Simplified Arabic" w:hint="cs"/>
                      <w:sz w:val="24"/>
                      <w:szCs w:val="24"/>
                      <w:rtl/>
                    </w:rPr>
                    <w:t>كافية</w:t>
                  </w:r>
                </w:p>
              </w:tc>
              <w:tc>
                <w:tcPr>
                  <w:tcW w:w="1320" w:type="dxa"/>
                </w:tcPr>
                <w:p w:rsidR="006E439E" w:rsidRPr="00156A79" w:rsidRDefault="006E439E"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غير </w:t>
                  </w:r>
                  <w:r>
                    <w:rPr>
                      <w:rFonts w:ascii="Simplified Arabic" w:hAnsi="Simplified Arabic" w:cs="Simplified Arabic" w:hint="cs"/>
                      <w:sz w:val="24"/>
                      <w:szCs w:val="24"/>
                      <w:rtl/>
                    </w:rPr>
                    <w:t>كافية</w:t>
                  </w:r>
                </w:p>
              </w:tc>
            </w:tr>
            <w:tr w:rsidR="006E439E" w:rsidRPr="00156A79" w:rsidTr="006E439E">
              <w:trPr>
                <w:jc w:val="center"/>
              </w:trPr>
              <w:tc>
                <w:tcPr>
                  <w:tcW w:w="2137" w:type="dxa"/>
                  <w:vAlign w:val="center"/>
                </w:tcPr>
                <w:p w:rsidR="006E439E" w:rsidRPr="00156A79" w:rsidRDefault="006E439E"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 xml:space="preserve">مراكز الإنقاذ و الحماية </w:t>
                  </w:r>
                </w:p>
              </w:tc>
              <w:tc>
                <w:tcPr>
                  <w:tcW w:w="992"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c>
                <w:tcPr>
                  <w:tcW w:w="1320"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r>
            <w:tr w:rsidR="006E439E" w:rsidRPr="00156A79" w:rsidTr="006E439E">
              <w:trPr>
                <w:jc w:val="center"/>
              </w:trPr>
              <w:tc>
                <w:tcPr>
                  <w:tcW w:w="2137" w:type="dxa"/>
                  <w:vAlign w:val="center"/>
                </w:tcPr>
                <w:p w:rsidR="006E439E" w:rsidRPr="00156A79" w:rsidRDefault="006E439E"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المراكز الدينية و الثقافية</w:t>
                  </w:r>
                </w:p>
              </w:tc>
              <w:tc>
                <w:tcPr>
                  <w:tcW w:w="992"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c>
                <w:tcPr>
                  <w:tcW w:w="1320"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r>
            <w:tr w:rsidR="006E439E" w:rsidRPr="00156A79" w:rsidTr="006E439E">
              <w:trPr>
                <w:jc w:val="center"/>
              </w:trPr>
              <w:tc>
                <w:tcPr>
                  <w:tcW w:w="2137" w:type="dxa"/>
                  <w:vAlign w:val="center"/>
                </w:tcPr>
                <w:p w:rsidR="006E439E" w:rsidRPr="00156A79" w:rsidRDefault="006E439E"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المراكز الأمنية</w:t>
                  </w:r>
                </w:p>
              </w:tc>
              <w:tc>
                <w:tcPr>
                  <w:tcW w:w="992"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c>
                <w:tcPr>
                  <w:tcW w:w="1320"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r>
            <w:tr w:rsidR="006E439E" w:rsidRPr="00156A79" w:rsidTr="006E439E">
              <w:trPr>
                <w:jc w:val="center"/>
              </w:trPr>
              <w:tc>
                <w:tcPr>
                  <w:tcW w:w="2137" w:type="dxa"/>
                  <w:vAlign w:val="center"/>
                </w:tcPr>
                <w:p w:rsidR="006E439E" w:rsidRPr="00156A79" w:rsidRDefault="006E439E"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 xml:space="preserve">مراكز التعليم </w:t>
                  </w:r>
                  <w:r>
                    <w:rPr>
                      <w:rFonts w:ascii="Simplified Arabic" w:eastAsia="Times New Roman" w:hAnsi="Simplified Arabic" w:cs="Simplified Arabic" w:hint="cs"/>
                      <w:color w:val="202124"/>
                      <w:sz w:val="24"/>
                      <w:szCs w:val="24"/>
                      <w:rtl/>
                    </w:rPr>
                    <w:t>الابتدائي</w:t>
                  </w:r>
                </w:p>
              </w:tc>
              <w:tc>
                <w:tcPr>
                  <w:tcW w:w="992"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c>
                <w:tcPr>
                  <w:tcW w:w="1320"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r>
            <w:tr w:rsidR="006E439E" w:rsidRPr="00156A79" w:rsidTr="006E439E">
              <w:trPr>
                <w:jc w:val="center"/>
              </w:trPr>
              <w:tc>
                <w:tcPr>
                  <w:tcW w:w="2137" w:type="dxa"/>
                  <w:vAlign w:val="center"/>
                </w:tcPr>
                <w:p w:rsidR="006E439E" w:rsidRPr="00156A79" w:rsidRDefault="006E439E"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مراكز الرعاية الطبية</w:t>
                  </w:r>
                </w:p>
              </w:tc>
              <w:tc>
                <w:tcPr>
                  <w:tcW w:w="992"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c>
                <w:tcPr>
                  <w:tcW w:w="1320" w:type="dxa"/>
                  <w:vAlign w:val="center"/>
                </w:tcPr>
                <w:p w:rsidR="006E439E" w:rsidRPr="00156A79" w:rsidRDefault="006E439E" w:rsidP="001D0548">
                  <w:pPr>
                    <w:pStyle w:val="Paragraphedeliste"/>
                    <w:numPr>
                      <w:ilvl w:val="0"/>
                      <w:numId w:val="53"/>
                    </w:numPr>
                    <w:bidi/>
                    <w:rPr>
                      <w:rFonts w:ascii="Simplified Arabic" w:eastAsia="Times New Roman" w:hAnsi="Simplified Arabic" w:cs="Simplified Arabic"/>
                      <w:color w:val="202124"/>
                      <w:sz w:val="24"/>
                      <w:szCs w:val="24"/>
                      <w:rtl/>
                    </w:rPr>
                  </w:pPr>
                </w:p>
              </w:tc>
            </w:tr>
          </w:tbl>
          <w:p w:rsidR="00C32141" w:rsidRPr="00156A79" w:rsidRDefault="00C32141" w:rsidP="00794BA6">
            <w:pPr>
              <w:pStyle w:val="Paragraphedeliste"/>
              <w:bidi/>
              <w:rPr>
                <w:rFonts w:ascii="Simplified Arabic" w:eastAsia="Times New Roman" w:hAnsi="Simplified Arabic" w:cs="Simplified Arabic"/>
                <w:color w:val="202124"/>
                <w:spacing w:val="3"/>
                <w:sz w:val="24"/>
                <w:szCs w:val="24"/>
                <w:rtl/>
              </w:rPr>
            </w:pPr>
          </w:p>
        </w:tc>
      </w:tr>
      <w:tr w:rsidR="00C32141" w:rsidRPr="00156A79" w:rsidTr="000321FF">
        <w:trPr>
          <w:trHeight w:val="3402"/>
        </w:trPr>
        <w:tc>
          <w:tcPr>
            <w:tcW w:w="9072" w:type="dxa"/>
          </w:tcPr>
          <w:p w:rsidR="00C32141" w:rsidRPr="00156A79" w:rsidRDefault="00C32141" w:rsidP="001D0548">
            <w:pPr>
              <w:pStyle w:val="Paragraphedeliste"/>
              <w:numPr>
                <w:ilvl w:val="0"/>
                <w:numId w:val="43"/>
              </w:numPr>
              <w:bidi/>
              <w:rPr>
                <w:rFonts w:ascii="Simplified Arabic" w:eastAsia="Times New Roman" w:hAnsi="Simplified Arabic" w:cs="Simplified Arabic"/>
                <w:color w:val="202124"/>
                <w:sz w:val="24"/>
                <w:szCs w:val="24"/>
              </w:rPr>
            </w:pPr>
            <w:r>
              <w:rPr>
                <w:rFonts w:ascii="Simplified Arabic" w:hAnsi="Simplified Arabic" w:cs="Simplified Arabic" w:hint="cs"/>
                <w:sz w:val="24"/>
                <w:szCs w:val="24"/>
                <w:rtl/>
              </w:rPr>
              <w:t>في وقت حدوث ا</w:t>
            </w:r>
            <w:r w:rsidRPr="00156A79">
              <w:rPr>
                <w:rFonts w:ascii="Simplified Arabic" w:hAnsi="Simplified Arabic" w:cs="Simplified Arabic"/>
                <w:sz w:val="24"/>
                <w:szCs w:val="24"/>
                <w:rtl/>
              </w:rPr>
              <w:t xml:space="preserve">لفيضانات، </w:t>
            </w:r>
            <w:r w:rsidRPr="00A11B12">
              <w:rPr>
                <w:rFonts w:ascii="Simplified Arabic" w:hAnsi="Simplified Arabic" w:cs="Simplified Arabic" w:hint="cs"/>
                <w:sz w:val="24"/>
                <w:szCs w:val="24"/>
                <w:rtl/>
                <w:lang w:val="en-US"/>
              </w:rPr>
              <w:t xml:space="preserve">هل </w:t>
            </w:r>
            <w:r>
              <w:rPr>
                <w:rFonts w:ascii="Simplified Arabic" w:hAnsi="Simplified Arabic" w:cs="Simplified Arabic" w:hint="cs"/>
                <w:sz w:val="24"/>
                <w:szCs w:val="24"/>
                <w:rtl/>
                <w:lang w:val="en-US"/>
              </w:rPr>
              <w:t xml:space="preserve">تحس بالراحة اثناء </w:t>
            </w:r>
            <w:r w:rsidRPr="00A11B12">
              <w:rPr>
                <w:rFonts w:ascii="Simplified Arabic" w:hAnsi="Simplified Arabic" w:cs="Simplified Arabic" w:hint="cs"/>
                <w:sz w:val="24"/>
                <w:szCs w:val="24"/>
                <w:rtl/>
                <w:lang w:val="en-US"/>
              </w:rPr>
              <w:t>تنقلك</w:t>
            </w:r>
            <w:r w:rsidRPr="009E7AF6">
              <w:rPr>
                <w:rFonts w:ascii="Simplified Arabic" w:hAnsi="Simplified Arabic" w:cs="Simplified Arabic"/>
                <w:sz w:val="24"/>
                <w:szCs w:val="24"/>
                <w:rtl/>
              </w:rPr>
              <w:t xml:space="preserve"> </w:t>
            </w:r>
            <w:r w:rsidRPr="009E7AF6">
              <w:rPr>
                <w:rFonts w:ascii="Simplified Arabic" w:hAnsi="Simplified Arabic" w:cs="Simplified Arabic" w:hint="cs"/>
                <w:sz w:val="24"/>
                <w:szCs w:val="24"/>
                <w:rtl/>
              </w:rPr>
              <w:t xml:space="preserve">الى </w:t>
            </w:r>
            <w:r w:rsidRPr="009E7AF6">
              <w:rPr>
                <w:rFonts w:ascii="Simplified Arabic" w:hAnsi="Simplified Arabic" w:cs="Simplified Arabic"/>
                <w:sz w:val="24"/>
                <w:szCs w:val="24"/>
                <w:rtl/>
              </w:rPr>
              <w:t xml:space="preserve">المرافق </w:t>
            </w:r>
            <w:r w:rsidRPr="009E7AF6">
              <w:rPr>
                <w:rFonts w:ascii="Simplified Arabic" w:hAnsi="Simplified Arabic" w:cs="Simplified Arabic" w:hint="cs"/>
                <w:sz w:val="24"/>
                <w:szCs w:val="24"/>
                <w:rtl/>
              </w:rPr>
              <w:t>العمومية</w:t>
            </w:r>
            <w:r w:rsidRPr="00A11B12">
              <w:rPr>
                <w:rFonts w:ascii="Simplified Arabic" w:hAnsi="Simplified Arabic" w:cs="Simplified Arabic" w:hint="cs"/>
                <w:sz w:val="24"/>
                <w:szCs w:val="24"/>
                <w:rtl/>
                <w:lang w:val="en-US"/>
              </w:rPr>
              <w:t xml:space="preserve"> </w:t>
            </w:r>
            <w:r>
              <w:rPr>
                <w:rFonts w:ascii="Simplified Arabic" w:hAnsi="Simplified Arabic" w:cs="Simplified Arabic" w:hint="cs"/>
                <w:sz w:val="24"/>
                <w:szCs w:val="24"/>
                <w:rtl/>
                <w:lang w:val="en-US"/>
              </w:rPr>
              <w:t xml:space="preserve">عبر شبكة </w:t>
            </w:r>
            <w:r w:rsidR="006729A3">
              <w:rPr>
                <w:rFonts w:ascii="Simplified Arabic" w:hAnsi="Simplified Arabic" w:cs="Simplified Arabic" w:hint="cs"/>
                <w:sz w:val="24"/>
                <w:szCs w:val="24"/>
                <w:rtl/>
                <w:lang w:val="en-US"/>
              </w:rPr>
              <w:t>الطرق</w:t>
            </w:r>
            <w:r w:rsidRPr="009E7AF6">
              <w:rPr>
                <w:rFonts w:ascii="Simplified Arabic" w:hAnsi="Simplified Arabic" w:cs="Simplified Arabic" w:hint="cs"/>
                <w:sz w:val="24"/>
                <w:szCs w:val="24"/>
                <w:rtl/>
              </w:rPr>
              <w:t>، نعم ام لا؟.</w:t>
            </w:r>
          </w:p>
          <w:tbl>
            <w:tblPr>
              <w:tblStyle w:val="Grilledutableau"/>
              <w:bidiVisual/>
              <w:tblW w:w="5608" w:type="dxa"/>
              <w:jc w:val="center"/>
              <w:tblInd w:w="167" w:type="dxa"/>
              <w:tblLayout w:type="fixed"/>
              <w:tblLook w:val="04A0" w:firstRow="1" w:lastRow="0" w:firstColumn="1" w:lastColumn="0" w:noHBand="0" w:noVBand="1"/>
            </w:tblPr>
            <w:tblGrid>
              <w:gridCol w:w="2348"/>
              <w:gridCol w:w="992"/>
              <w:gridCol w:w="1134"/>
              <w:gridCol w:w="1134"/>
            </w:tblGrid>
            <w:tr w:rsidR="00C32141" w:rsidRPr="00156A79" w:rsidTr="000321FF">
              <w:trPr>
                <w:jc w:val="center"/>
              </w:trPr>
              <w:tc>
                <w:tcPr>
                  <w:tcW w:w="2348"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 xml:space="preserve">نوع </w:t>
                  </w:r>
                  <w:r>
                    <w:rPr>
                      <w:rFonts w:ascii="Simplified Arabic" w:eastAsia="Times New Roman" w:hAnsi="Simplified Arabic" w:cs="Simplified Arabic" w:hint="cs"/>
                      <w:color w:val="202124"/>
                      <w:sz w:val="24"/>
                      <w:szCs w:val="24"/>
                      <w:rtl/>
                    </w:rPr>
                    <w:t>الشبكة</w:t>
                  </w:r>
                </w:p>
              </w:tc>
              <w:tc>
                <w:tcPr>
                  <w:tcW w:w="992" w:type="dxa"/>
                </w:tcPr>
                <w:p w:rsidR="00C32141" w:rsidRPr="00156A79" w:rsidRDefault="00C32141" w:rsidP="00794BA6">
                  <w:pPr>
                    <w:bidi/>
                    <w:jc w:val="center"/>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rPr>
                    <w:t>مريحة</w:t>
                  </w:r>
                </w:p>
              </w:tc>
              <w:tc>
                <w:tcPr>
                  <w:tcW w:w="1134" w:type="dxa"/>
                </w:tcPr>
                <w:p w:rsidR="00C32141" w:rsidRPr="00156A79" w:rsidRDefault="00C32141"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غير مريحة</w:t>
                  </w:r>
                </w:p>
              </w:tc>
              <w:tc>
                <w:tcPr>
                  <w:tcW w:w="1134" w:type="dxa"/>
                </w:tcPr>
                <w:p w:rsidR="00C32141" w:rsidRDefault="00C32141"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لا اعرف</w:t>
                  </w:r>
                </w:p>
              </w:tc>
            </w:tr>
            <w:tr w:rsidR="00C32141" w:rsidRPr="00156A79" w:rsidTr="000321FF">
              <w:trPr>
                <w:jc w:val="center"/>
              </w:trPr>
              <w:tc>
                <w:tcPr>
                  <w:tcW w:w="2348" w:type="dxa"/>
                  <w:vAlign w:val="center"/>
                </w:tcPr>
                <w:p w:rsidR="00C32141" w:rsidRPr="00156A79" w:rsidRDefault="00C32141" w:rsidP="006729A3">
                  <w:pPr>
                    <w:bidi/>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rPr>
                    <w:t xml:space="preserve">شبكة الطرق </w:t>
                  </w:r>
                </w:p>
              </w:tc>
              <w:tc>
                <w:tcPr>
                  <w:tcW w:w="992"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134"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134" w:type="dxa"/>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bl>
          <w:p w:rsidR="00C32141" w:rsidRDefault="00C32141" w:rsidP="001D0548">
            <w:pPr>
              <w:pStyle w:val="Paragraphedeliste"/>
              <w:numPr>
                <w:ilvl w:val="0"/>
                <w:numId w:val="43"/>
              </w:numPr>
              <w:bidi/>
              <w:rPr>
                <w:rFonts w:ascii="Simplified Arabic" w:eastAsia="Times New Roman" w:hAnsi="Simplified Arabic" w:cs="Simplified Arabic"/>
                <w:color w:val="202124"/>
                <w:sz w:val="24"/>
                <w:szCs w:val="24"/>
              </w:rPr>
            </w:pPr>
            <w:r w:rsidRPr="00156A79">
              <w:rPr>
                <w:rFonts w:ascii="Simplified Arabic" w:hAnsi="Simplified Arabic" w:cs="Simplified Arabic"/>
                <w:sz w:val="24"/>
                <w:szCs w:val="24"/>
                <w:rtl/>
              </w:rPr>
              <w:t xml:space="preserve">من بين المسافات المقترحة، ما هي المسافة التي ترى انها </w:t>
            </w:r>
            <w:r>
              <w:rPr>
                <w:rFonts w:ascii="Simplified Arabic" w:hAnsi="Simplified Arabic" w:cs="Simplified Arabic" w:hint="cs"/>
                <w:sz w:val="24"/>
                <w:szCs w:val="24"/>
                <w:rtl/>
              </w:rPr>
              <w:t>ملائمة</w:t>
            </w:r>
            <w:r w:rsidRPr="00156A79">
              <w:rPr>
                <w:rFonts w:ascii="Simplified Arabic" w:hAnsi="Simplified Arabic" w:cs="Simplified Arabic"/>
                <w:sz w:val="24"/>
                <w:szCs w:val="24"/>
                <w:rtl/>
              </w:rPr>
              <w:t xml:space="preserve"> </w:t>
            </w:r>
            <w:r>
              <w:rPr>
                <w:rFonts w:ascii="Simplified Arabic" w:hAnsi="Simplified Arabic" w:cs="Simplified Arabic" w:hint="cs"/>
                <w:sz w:val="24"/>
                <w:szCs w:val="24"/>
                <w:rtl/>
              </w:rPr>
              <w:t>للسير</w:t>
            </w:r>
            <w:r w:rsidRPr="00156A79">
              <w:rPr>
                <w:rFonts w:ascii="Simplified Arabic" w:hAnsi="Simplified Arabic" w:cs="Simplified Arabic"/>
                <w:sz w:val="24"/>
                <w:szCs w:val="24"/>
                <w:rtl/>
              </w:rPr>
              <w:t xml:space="preserve"> مشيا بين مسكنك و اقرب </w:t>
            </w:r>
            <w:r w:rsidRPr="00156A79">
              <w:rPr>
                <w:rFonts w:ascii="Simplified Arabic" w:eastAsia="Times New Roman" w:hAnsi="Simplified Arabic" w:cs="Simplified Arabic"/>
                <w:color w:val="202124"/>
                <w:sz w:val="24"/>
                <w:szCs w:val="24"/>
                <w:rtl/>
              </w:rPr>
              <w:t>مرفق؟</w:t>
            </w:r>
          </w:p>
          <w:tbl>
            <w:tblPr>
              <w:tblStyle w:val="Grilledutableau"/>
              <w:bidiVisual/>
              <w:tblW w:w="8935" w:type="dxa"/>
              <w:jc w:val="center"/>
              <w:tblLayout w:type="fixed"/>
              <w:tblLook w:val="04A0" w:firstRow="1" w:lastRow="0" w:firstColumn="1" w:lastColumn="0" w:noHBand="0" w:noVBand="1"/>
            </w:tblPr>
            <w:tblGrid>
              <w:gridCol w:w="2004"/>
              <w:gridCol w:w="1559"/>
              <w:gridCol w:w="1464"/>
              <w:gridCol w:w="1212"/>
              <w:gridCol w:w="709"/>
              <w:gridCol w:w="914"/>
              <w:gridCol w:w="1073"/>
            </w:tblGrid>
            <w:tr w:rsidR="00C32141" w:rsidRPr="00156A79" w:rsidTr="000321FF">
              <w:trPr>
                <w:jc w:val="center"/>
              </w:trPr>
              <w:tc>
                <w:tcPr>
                  <w:tcW w:w="2004" w:type="dxa"/>
                  <w:vAlign w:val="center"/>
                </w:tcPr>
                <w:p w:rsidR="00C32141" w:rsidRPr="00156A79" w:rsidRDefault="00C32141" w:rsidP="00794BA6">
                  <w:pPr>
                    <w:bidi/>
                    <w:rPr>
                      <w:rFonts w:ascii="Simplified Arabic" w:eastAsia="Times New Roman" w:hAnsi="Simplified Arabic" w:cs="Simplified Arabic"/>
                      <w:color w:val="202124"/>
                      <w:sz w:val="24"/>
                      <w:szCs w:val="24"/>
                      <w:rtl/>
                    </w:rPr>
                  </w:pPr>
                  <w:r w:rsidRPr="00156A79">
                    <w:rPr>
                      <w:rFonts w:ascii="Simplified Arabic" w:eastAsia="Times New Roman" w:hAnsi="Simplified Arabic" w:cs="Simplified Arabic"/>
                      <w:color w:val="202124"/>
                      <w:sz w:val="24"/>
                      <w:szCs w:val="24"/>
                      <w:rtl/>
                    </w:rPr>
                    <w:t>نوع المرفق</w:t>
                  </w:r>
                </w:p>
              </w:tc>
              <w:tc>
                <w:tcPr>
                  <w:tcW w:w="1559"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rPr>
                    <w:t>المسافة (م)</w:t>
                  </w:r>
                </w:p>
              </w:tc>
              <w:tc>
                <w:tcPr>
                  <w:tcW w:w="1464"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غير </w:t>
                  </w:r>
                  <w:r>
                    <w:rPr>
                      <w:rFonts w:ascii="Simplified Arabic" w:hAnsi="Simplified Arabic" w:cs="Simplified Arabic" w:hint="cs"/>
                      <w:sz w:val="24"/>
                      <w:szCs w:val="24"/>
                      <w:rtl/>
                    </w:rPr>
                    <w:t>ملائمة</w:t>
                  </w:r>
                  <w:r w:rsidRPr="00156A79">
                    <w:rPr>
                      <w:rFonts w:ascii="Simplified Arabic" w:hAnsi="Simplified Arabic" w:cs="Simplified Arabic"/>
                      <w:sz w:val="24"/>
                      <w:szCs w:val="24"/>
                      <w:rtl/>
                    </w:rPr>
                    <w:t xml:space="preserve"> </w:t>
                  </w:r>
                  <w:r>
                    <w:rPr>
                      <w:rFonts w:ascii="Simplified Arabic" w:eastAsia="Times New Roman" w:hAnsi="Simplified Arabic" w:cs="Simplified Arabic" w:hint="cs"/>
                      <w:color w:val="202124"/>
                      <w:sz w:val="24"/>
                      <w:szCs w:val="24"/>
                      <w:rtl/>
                    </w:rPr>
                    <w:t>جدا (1)</w:t>
                  </w:r>
                </w:p>
              </w:tc>
              <w:tc>
                <w:tcPr>
                  <w:tcW w:w="1212"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غير </w:t>
                  </w:r>
                  <w:r>
                    <w:rPr>
                      <w:rFonts w:ascii="Simplified Arabic" w:hAnsi="Simplified Arabic" w:cs="Simplified Arabic" w:hint="cs"/>
                      <w:sz w:val="24"/>
                      <w:szCs w:val="24"/>
                      <w:rtl/>
                    </w:rPr>
                    <w:t>ملائمة</w:t>
                  </w:r>
                  <w:r w:rsidRPr="00156A79">
                    <w:rPr>
                      <w:rFonts w:ascii="Simplified Arabic" w:hAnsi="Simplified Arabic" w:cs="Simplified Arabic"/>
                      <w:sz w:val="24"/>
                      <w:szCs w:val="24"/>
                      <w:rtl/>
                    </w:rPr>
                    <w:t xml:space="preserve"> </w:t>
                  </w:r>
                  <w:r>
                    <w:rPr>
                      <w:rFonts w:ascii="Simplified Arabic" w:eastAsia="Times New Roman" w:hAnsi="Simplified Arabic" w:cs="Simplified Arabic" w:hint="cs"/>
                      <w:color w:val="202124"/>
                      <w:sz w:val="24"/>
                      <w:szCs w:val="24"/>
                      <w:rtl/>
                    </w:rPr>
                    <w:t>(2)</w:t>
                  </w:r>
                </w:p>
              </w:tc>
              <w:tc>
                <w:tcPr>
                  <w:tcW w:w="709"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lang w:bidi="ar-DZ"/>
                    </w:rPr>
                  </w:pPr>
                  <w:r>
                    <w:rPr>
                      <w:rFonts w:ascii="Simplified Arabic" w:eastAsia="Times New Roman" w:hAnsi="Simplified Arabic" w:cs="Simplified Arabic" w:hint="cs"/>
                      <w:color w:val="202124"/>
                      <w:sz w:val="24"/>
                      <w:szCs w:val="24"/>
                      <w:rtl/>
                    </w:rPr>
                    <w:t>معتدل (3)</w:t>
                  </w:r>
                </w:p>
              </w:tc>
              <w:tc>
                <w:tcPr>
                  <w:tcW w:w="914"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rPr>
                  </w:pPr>
                  <w:r>
                    <w:rPr>
                      <w:rFonts w:ascii="Simplified Arabic" w:hAnsi="Simplified Arabic" w:cs="Simplified Arabic" w:hint="cs"/>
                      <w:sz w:val="24"/>
                      <w:szCs w:val="24"/>
                      <w:rtl/>
                    </w:rPr>
                    <w:t>ملائمة</w:t>
                  </w:r>
                  <w:r w:rsidRPr="00156A79">
                    <w:rPr>
                      <w:rFonts w:ascii="Simplified Arabic" w:hAnsi="Simplified Arabic" w:cs="Simplified Arabic"/>
                      <w:sz w:val="24"/>
                      <w:szCs w:val="24"/>
                      <w:rtl/>
                    </w:rPr>
                    <w:t xml:space="preserve"> </w:t>
                  </w:r>
                  <w:r>
                    <w:rPr>
                      <w:rFonts w:ascii="Simplified Arabic" w:eastAsia="Times New Roman" w:hAnsi="Simplified Arabic" w:cs="Simplified Arabic" w:hint="cs"/>
                      <w:color w:val="202124"/>
                      <w:sz w:val="24"/>
                      <w:szCs w:val="24"/>
                      <w:rtl/>
                    </w:rPr>
                    <w:t>(4)</w:t>
                  </w:r>
                </w:p>
              </w:tc>
              <w:tc>
                <w:tcPr>
                  <w:tcW w:w="1073" w:type="dxa"/>
                  <w:vAlign w:val="center"/>
                </w:tcPr>
                <w:p w:rsidR="00C32141" w:rsidRPr="00156A79" w:rsidRDefault="00C32141" w:rsidP="00794BA6">
                  <w:pPr>
                    <w:bidi/>
                    <w:jc w:val="center"/>
                    <w:rPr>
                      <w:rFonts w:ascii="Simplified Arabic" w:eastAsia="Times New Roman" w:hAnsi="Simplified Arabic" w:cs="Simplified Arabic"/>
                      <w:color w:val="202124"/>
                      <w:sz w:val="24"/>
                      <w:szCs w:val="24"/>
                      <w:rtl/>
                    </w:rPr>
                  </w:pPr>
                  <w:r>
                    <w:rPr>
                      <w:rFonts w:ascii="Simplified Arabic" w:hAnsi="Simplified Arabic" w:cs="Simplified Arabic" w:hint="cs"/>
                      <w:sz w:val="24"/>
                      <w:szCs w:val="24"/>
                      <w:rtl/>
                    </w:rPr>
                    <w:t>ملائمة</w:t>
                  </w:r>
                  <w:r w:rsidRPr="00156A79">
                    <w:rPr>
                      <w:rFonts w:ascii="Simplified Arabic" w:hAnsi="Simplified Arabic" w:cs="Simplified Arabic"/>
                      <w:sz w:val="24"/>
                      <w:szCs w:val="24"/>
                      <w:rtl/>
                    </w:rPr>
                    <w:t xml:space="preserve"> </w:t>
                  </w:r>
                  <w:r>
                    <w:rPr>
                      <w:rFonts w:ascii="Simplified Arabic" w:eastAsia="Times New Roman" w:hAnsi="Simplified Arabic" w:cs="Simplified Arabic" w:hint="cs"/>
                      <w:color w:val="202124"/>
                      <w:sz w:val="24"/>
                      <w:szCs w:val="24"/>
                      <w:rtl/>
                    </w:rPr>
                    <w:t>جدا (5)</w:t>
                  </w:r>
                </w:p>
              </w:tc>
            </w:tr>
            <w:tr w:rsidR="00C32141" w:rsidRPr="00156A79" w:rsidTr="000321FF">
              <w:trPr>
                <w:trHeight w:val="249"/>
                <w:jc w:val="center"/>
              </w:trPr>
              <w:tc>
                <w:tcPr>
                  <w:tcW w:w="2004" w:type="dxa"/>
                  <w:vAlign w:val="center"/>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مراكز الإنقاذ والحماية</w:t>
                  </w:r>
                </w:p>
              </w:tc>
              <w:tc>
                <w:tcPr>
                  <w:tcW w:w="1559" w:type="dxa"/>
                  <w:vAlign w:val="center"/>
                </w:tcPr>
                <w:p w:rsidR="00C32141" w:rsidRPr="00390321" w:rsidRDefault="001B60BA"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اقل من </w:t>
                  </w:r>
                  <w:r w:rsidR="00C32141">
                    <w:rPr>
                      <w:rFonts w:ascii="Simplified Arabic" w:eastAsia="Times New Roman" w:hAnsi="Simplified Arabic" w:cs="Simplified Arabic" w:hint="cs"/>
                      <w:color w:val="202124"/>
                      <w:sz w:val="24"/>
                      <w:szCs w:val="24"/>
                      <w:rtl/>
                    </w:rPr>
                    <w:t>2.000</w:t>
                  </w:r>
                </w:p>
              </w:tc>
              <w:tc>
                <w:tcPr>
                  <w:tcW w:w="1464"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12"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709" w:type="dxa"/>
                  <w:vAlign w:val="center"/>
                </w:tcPr>
                <w:p w:rsidR="00C32141" w:rsidRPr="00156A79" w:rsidRDefault="00C32141" w:rsidP="001D0548">
                  <w:pPr>
                    <w:pStyle w:val="Paragraphedeliste"/>
                    <w:numPr>
                      <w:ilvl w:val="0"/>
                      <w:numId w:val="55"/>
                    </w:numPr>
                    <w:tabs>
                      <w:tab w:val="right" w:pos="176"/>
                    </w:tabs>
                    <w:rPr>
                      <w:rFonts w:ascii="Simplified Arabic" w:eastAsia="Times New Roman" w:hAnsi="Simplified Arabic" w:cs="Simplified Arabic"/>
                      <w:color w:val="202124"/>
                      <w:sz w:val="24"/>
                      <w:szCs w:val="24"/>
                      <w:rtl/>
                    </w:rPr>
                  </w:pPr>
                </w:p>
              </w:tc>
              <w:tc>
                <w:tcPr>
                  <w:tcW w:w="914" w:type="dxa"/>
                  <w:vAlign w:val="center"/>
                </w:tcPr>
                <w:p w:rsidR="00C32141" w:rsidRPr="00156A79" w:rsidRDefault="00C32141" w:rsidP="001D0548">
                  <w:pPr>
                    <w:pStyle w:val="Paragraphedeliste"/>
                    <w:numPr>
                      <w:ilvl w:val="0"/>
                      <w:numId w:val="55"/>
                    </w:numPr>
                    <w:rPr>
                      <w:rFonts w:ascii="Simplified Arabic" w:eastAsia="Times New Roman" w:hAnsi="Simplified Arabic" w:cs="Simplified Arabic"/>
                      <w:color w:val="202124"/>
                      <w:sz w:val="24"/>
                      <w:szCs w:val="24"/>
                      <w:rtl/>
                    </w:rPr>
                  </w:pPr>
                </w:p>
              </w:tc>
              <w:tc>
                <w:tcPr>
                  <w:tcW w:w="1073"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trHeight w:val="169"/>
                <w:jc w:val="center"/>
              </w:trPr>
              <w:tc>
                <w:tcPr>
                  <w:tcW w:w="2004" w:type="dxa"/>
                  <w:vAlign w:val="center"/>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المراكز الدينية و الثقافية</w:t>
                  </w:r>
                </w:p>
              </w:tc>
              <w:tc>
                <w:tcPr>
                  <w:tcW w:w="1559" w:type="dxa"/>
                  <w:vAlign w:val="center"/>
                </w:tcPr>
                <w:p w:rsidR="00C32141" w:rsidRPr="00390321" w:rsidRDefault="001B60BA" w:rsidP="00764DB3">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اقل من </w:t>
                  </w:r>
                  <w:r w:rsidR="00764DB3">
                    <w:rPr>
                      <w:rFonts w:ascii="Simplified Arabic" w:eastAsia="Times New Roman" w:hAnsi="Simplified Arabic" w:cs="Simplified Arabic" w:hint="cs"/>
                      <w:color w:val="202124"/>
                      <w:sz w:val="24"/>
                      <w:szCs w:val="24"/>
                      <w:rtl/>
                    </w:rPr>
                    <w:t>800</w:t>
                  </w:r>
                </w:p>
              </w:tc>
              <w:tc>
                <w:tcPr>
                  <w:tcW w:w="1464"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12"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709" w:type="dxa"/>
                  <w:vAlign w:val="center"/>
                </w:tcPr>
                <w:p w:rsidR="00C32141" w:rsidRPr="00156A79" w:rsidRDefault="00C32141" w:rsidP="001D0548">
                  <w:pPr>
                    <w:pStyle w:val="Paragraphedeliste"/>
                    <w:numPr>
                      <w:ilvl w:val="0"/>
                      <w:numId w:val="55"/>
                    </w:numPr>
                    <w:tabs>
                      <w:tab w:val="right" w:pos="176"/>
                    </w:tabs>
                    <w:rPr>
                      <w:rFonts w:ascii="Simplified Arabic" w:eastAsia="Times New Roman" w:hAnsi="Simplified Arabic" w:cs="Simplified Arabic"/>
                      <w:color w:val="202124"/>
                      <w:sz w:val="24"/>
                      <w:szCs w:val="24"/>
                      <w:rtl/>
                    </w:rPr>
                  </w:pPr>
                </w:p>
              </w:tc>
              <w:tc>
                <w:tcPr>
                  <w:tcW w:w="914" w:type="dxa"/>
                  <w:vAlign w:val="center"/>
                </w:tcPr>
                <w:p w:rsidR="00C32141" w:rsidRPr="00156A79" w:rsidRDefault="00C32141" w:rsidP="001D0548">
                  <w:pPr>
                    <w:pStyle w:val="Paragraphedeliste"/>
                    <w:numPr>
                      <w:ilvl w:val="0"/>
                      <w:numId w:val="55"/>
                    </w:numPr>
                    <w:rPr>
                      <w:rFonts w:ascii="Simplified Arabic" w:eastAsia="Times New Roman" w:hAnsi="Simplified Arabic" w:cs="Simplified Arabic"/>
                      <w:color w:val="202124"/>
                      <w:sz w:val="24"/>
                      <w:szCs w:val="24"/>
                      <w:rtl/>
                    </w:rPr>
                  </w:pPr>
                </w:p>
              </w:tc>
              <w:tc>
                <w:tcPr>
                  <w:tcW w:w="1073"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trHeight w:val="169"/>
                <w:jc w:val="center"/>
              </w:trPr>
              <w:tc>
                <w:tcPr>
                  <w:tcW w:w="2004" w:type="dxa"/>
                  <w:vAlign w:val="center"/>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المراكز الأمنية</w:t>
                  </w:r>
                </w:p>
              </w:tc>
              <w:tc>
                <w:tcPr>
                  <w:tcW w:w="1559" w:type="dxa"/>
                  <w:vAlign w:val="center"/>
                </w:tcPr>
                <w:p w:rsidR="00C32141" w:rsidRPr="00390321" w:rsidRDefault="001B60BA"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اقل من </w:t>
                  </w:r>
                  <w:r w:rsidR="00C32141">
                    <w:rPr>
                      <w:rFonts w:ascii="Simplified Arabic" w:eastAsia="Times New Roman" w:hAnsi="Simplified Arabic" w:cs="Simplified Arabic" w:hint="cs"/>
                      <w:color w:val="202124"/>
                      <w:sz w:val="24"/>
                      <w:szCs w:val="24"/>
                      <w:rtl/>
                    </w:rPr>
                    <w:t>800</w:t>
                  </w:r>
                </w:p>
              </w:tc>
              <w:tc>
                <w:tcPr>
                  <w:tcW w:w="1464"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12"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709" w:type="dxa"/>
                  <w:vAlign w:val="center"/>
                </w:tcPr>
                <w:p w:rsidR="00C32141" w:rsidRPr="00156A79" w:rsidRDefault="00C32141" w:rsidP="001D0548">
                  <w:pPr>
                    <w:pStyle w:val="Paragraphedeliste"/>
                    <w:numPr>
                      <w:ilvl w:val="0"/>
                      <w:numId w:val="55"/>
                    </w:numPr>
                    <w:tabs>
                      <w:tab w:val="right" w:pos="176"/>
                    </w:tabs>
                    <w:rPr>
                      <w:rFonts w:ascii="Simplified Arabic" w:eastAsia="Times New Roman" w:hAnsi="Simplified Arabic" w:cs="Simplified Arabic"/>
                      <w:color w:val="202124"/>
                      <w:sz w:val="24"/>
                      <w:szCs w:val="24"/>
                      <w:rtl/>
                    </w:rPr>
                  </w:pPr>
                </w:p>
              </w:tc>
              <w:tc>
                <w:tcPr>
                  <w:tcW w:w="914" w:type="dxa"/>
                  <w:vAlign w:val="center"/>
                </w:tcPr>
                <w:p w:rsidR="00C32141" w:rsidRPr="00156A79" w:rsidRDefault="00C32141" w:rsidP="001D0548">
                  <w:pPr>
                    <w:pStyle w:val="Paragraphedeliste"/>
                    <w:numPr>
                      <w:ilvl w:val="0"/>
                      <w:numId w:val="55"/>
                    </w:numPr>
                    <w:rPr>
                      <w:rFonts w:ascii="Simplified Arabic" w:eastAsia="Times New Roman" w:hAnsi="Simplified Arabic" w:cs="Simplified Arabic"/>
                      <w:color w:val="202124"/>
                      <w:sz w:val="24"/>
                      <w:szCs w:val="24"/>
                      <w:rtl/>
                    </w:rPr>
                  </w:pPr>
                </w:p>
              </w:tc>
              <w:tc>
                <w:tcPr>
                  <w:tcW w:w="1073"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trHeight w:val="249"/>
                <w:jc w:val="center"/>
              </w:trPr>
              <w:tc>
                <w:tcPr>
                  <w:tcW w:w="2004" w:type="dxa"/>
                  <w:vAlign w:val="center"/>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 xml:space="preserve">مراكز التعليم </w:t>
                  </w:r>
                  <w:r>
                    <w:rPr>
                      <w:rFonts w:ascii="Simplified Arabic" w:eastAsia="Times New Roman" w:hAnsi="Simplified Arabic" w:cs="Simplified Arabic" w:hint="cs"/>
                      <w:color w:val="202124"/>
                      <w:sz w:val="24"/>
                      <w:szCs w:val="24"/>
                      <w:rtl/>
                    </w:rPr>
                    <w:t>الابتدائي</w:t>
                  </w:r>
                </w:p>
              </w:tc>
              <w:tc>
                <w:tcPr>
                  <w:tcW w:w="1559" w:type="dxa"/>
                  <w:vAlign w:val="center"/>
                </w:tcPr>
                <w:p w:rsidR="00C32141" w:rsidRPr="00390321" w:rsidRDefault="001B60BA"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اقل من </w:t>
                  </w:r>
                  <w:r w:rsidR="00C32141">
                    <w:rPr>
                      <w:rFonts w:ascii="Simplified Arabic" w:eastAsia="Times New Roman" w:hAnsi="Simplified Arabic" w:cs="Simplified Arabic" w:hint="cs"/>
                      <w:color w:val="202124"/>
                      <w:sz w:val="24"/>
                      <w:szCs w:val="24"/>
                      <w:rtl/>
                    </w:rPr>
                    <w:t>400</w:t>
                  </w:r>
                </w:p>
              </w:tc>
              <w:tc>
                <w:tcPr>
                  <w:tcW w:w="1464"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12"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709" w:type="dxa"/>
                  <w:vAlign w:val="center"/>
                </w:tcPr>
                <w:p w:rsidR="00C32141" w:rsidRPr="00156A79" w:rsidRDefault="00C32141" w:rsidP="001D0548">
                  <w:pPr>
                    <w:pStyle w:val="Paragraphedeliste"/>
                    <w:numPr>
                      <w:ilvl w:val="0"/>
                      <w:numId w:val="55"/>
                    </w:numPr>
                    <w:tabs>
                      <w:tab w:val="right" w:pos="176"/>
                    </w:tabs>
                    <w:rPr>
                      <w:rFonts w:ascii="Simplified Arabic" w:eastAsia="Times New Roman" w:hAnsi="Simplified Arabic" w:cs="Simplified Arabic"/>
                      <w:color w:val="202124"/>
                      <w:sz w:val="24"/>
                      <w:szCs w:val="24"/>
                      <w:rtl/>
                    </w:rPr>
                  </w:pPr>
                </w:p>
              </w:tc>
              <w:tc>
                <w:tcPr>
                  <w:tcW w:w="914" w:type="dxa"/>
                  <w:vAlign w:val="center"/>
                </w:tcPr>
                <w:p w:rsidR="00C32141" w:rsidRPr="00156A79" w:rsidRDefault="00C32141" w:rsidP="001D0548">
                  <w:pPr>
                    <w:pStyle w:val="Paragraphedeliste"/>
                    <w:numPr>
                      <w:ilvl w:val="0"/>
                      <w:numId w:val="55"/>
                    </w:numPr>
                    <w:rPr>
                      <w:rFonts w:ascii="Simplified Arabic" w:eastAsia="Times New Roman" w:hAnsi="Simplified Arabic" w:cs="Simplified Arabic"/>
                      <w:color w:val="202124"/>
                      <w:sz w:val="24"/>
                      <w:szCs w:val="24"/>
                      <w:rtl/>
                    </w:rPr>
                  </w:pPr>
                </w:p>
              </w:tc>
              <w:tc>
                <w:tcPr>
                  <w:tcW w:w="1073"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trHeight w:val="249"/>
                <w:jc w:val="center"/>
              </w:trPr>
              <w:tc>
                <w:tcPr>
                  <w:tcW w:w="2004" w:type="dxa"/>
                  <w:vAlign w:val="center"/>
                </w:tcPr>
                <w:p w:rsidR="00C32141" w:rsidRPr="00156A79" w:rsidRDefault="00C32141" w:rsidP="00794BA6">
                  <w:pPr>
                    <w:bidi/>
                    <w:rPr>
                      <w:rFonts w:ascii="Simplified Arabic" w:eastAsia="Times New Roman" w:hAnsi="Simplified Arabic" w:cs="Simplified Arabic"/>
                      <w:color w:val="202124"/>
                      <w:sz w:val="24"/>
                      <w:szCs w:val="24"/>
                      <w:rtl/>
                      <w:lang w:bidi="ar-DZ"/>
                    </w:rPr>
                  </w:pPr>
                  <w:r w:rsidRPr="00156A79">
                    <w:rPr>
                      <w:rFonts w:ascii="Simplified Arabic" w:eastAsia="Times New Roman" w:hAnsi="Simplified Arabic" w:cs="Simplified Arabic"/>
                      <w:color w:val="202124"/>
                      <w:sz w:val="24"/>
                      <w:szCs w:val="24"/>
                      <w:rtl/>
                    </w:rPr>
                    <w:t>مراكز الرعاية الطبية</w:t>
                  </w:r>
                </w:p>
              </w:tc>
              <w:tc>
                <w:tcPr>
                  <w:tcW w:w="1559" w:type="dxa"/>
                  <w:vAlign w:val="center"/>
                </w:tcPr>
                <w:p w:rsidR="00C32141" w:rsidRPr="00390321" w:rsidRDefault="001B60BA" w:rsidP="00794BA6">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 xml:space="preserve">اقل من </w:t>
                  </w:r>
                  <w:r w:rsidR="00C32141">
                    <w:rPr>
                      <w:rFonts w:ascii="Simplified Arabic" w:eastAsia="Times New Roman" w:hAnsi="Simplified Arabic" w:cs="Simplified Arabic" w:hint="cs"/>
                      <w:color w:val="202124"/>
                      <w:sz w:val="24"/>
                      <w:szCs w:val="24"/>
                      <w:rtl/>
                    </w:rPr>
                    <w:t>800</w:t>
                  </w:r>
                </w:p>
              </w:tc>
              <w:tc>
                <w:tcPr>
                  <w:tcW w:w="1464"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12"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709" w:type="dxa"/>
                  <w:vAlign w:val="center"/>
                </w:tcPr>
                <w:p w:rsidR="00C32141" w:rsidRPr="00156A79" w:rsidRDefault="00C32141" w:rsidP="001D0548">
                  <w:pPr>
                    <w:pStyle w:val="Paragraphedeliste"/>
                    <w:numPr>
                      <w:ilvl w:val="0"/>
                      <w:numId w:val="55"/>
                    </w:numPr>
                    <w:tabs>
                      <w:tab w:val="right" w:pos="176"/>
                    </w:tabs>
                    <w:rPr>
                      <w:rFonts w:ascii="Simplified Arabic" w:eastAsia="Times New Roman" w:hAnsi="Simplified Arabic" w:cs="Simplified Arabic"/>
                      <w:color w:val="202124"/>
                      <w:sz w:val="24"/>
                      <w:szCs w:val="24"/>
                      <w:rtl/>
                    </w:rPr>
                  </w:pPr>
                </w:p>
              </w:tc>
              <w:tc>
                <w:tcPr>
                  <w:tcW w:w="914" w:type="dxa"/>
                  <w:vAlign w:val="center"/>
                </w:tcPr>
                <w:p w:rsidR="00C32141" w:rsidRPr="00156A79" w:rsidRDefault="00C32141" w:rsidP="001D0548">
                  <w:pPr>
                    <w:pStyle w:val="Paragraphedeliste"/>
                    <w:numPr>
                      <w:ilvl w:val="0"/>
                      <w:numId w:val="55"/>
                    </w:numPr>
                    <w:rPr>
                      <w:rFonts w:ascii="Simplified Arabic" w:eastAsia="Times New Roman" w:hAnsi="Simplified Arabic" w:cs="Simplified Arabic"/>
                      <w:color w:val="202124"/>
                      <w:sz w:val="24"/>
                      <w:szCs w:val="24"/>
                      <w:rtl/>
                    </w:rPr>
                  </w:pPr>
                </w:p>
              </w:tc>
              <w:tc>
                <w:tcPr>
                  <w:tcW w:w="1073"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r w:rsidR="00C32141" w:rsidRPr="00156A79" w:rsidTr="000321FF">
              <w:trPr>
                <w:trHeight w:val="249"/>
                <w:jc w:val="center"/>
              </w:trPr>
              <w:tc>
                <w:tcPr>
                  <w:tcW w:w="2004" w:type="dxa"/>
                  <w:vAlign w:val="center"/>
                </w:tcPr>
                <w:p w:rsidR="00C32141" w:rsidRPr="006729A3" w:rsidRDefault="00ED6725" w:rsidP="00ED6725">
                  <w:pPr>
                    <w:bidi/>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المسافة بين نقاط تقاطع شبكة الطرق الداخلية</w:t>
                  </w:r>
                </w:p>
              </w:tc>
              <w:tc>
                <w:tcPr>
                  <w:tcW w:w="1559" w:type="dxa"/>
                  <w:vAlign w:val="center"/>
                </w:tcPr>
                <w:p w:rsidR="00C32141" w:rsidRPr="00390321" w:rsidRDefault="00ED6725" w:rsidP="00ED6725">
                  <w:pPr>
                    <w:bidi/>
                    <w:jc w:val="center"/>
                    <w:rPr>
                      <w:rFonts w:ascii="Simplified Arabic" w:eastAsia="Times New Roman" w:hAnsi="Simplified Arabic" w:cs="Simplified Arabic"/>
                      <w:color w:val="202124"/>
                      <w:sz w:val="24"/>
                      <w:szCs w:val="24"/>
                      <w:rtl/>
                    </w:rPr>
                  </w:pPr>
                  <w:r>
                    <w:rPr>
                      <w:rFonts w:ascii="Simplified Arabic" w:eastAsia="Times New Roman" w:hAnsi="Simplified Arabic" w:cs="Simplified Arabic" w:hint="cs"/>
                      <w:color w:val="202124"/>
                      <w:sz w:val="24"/>
                      <w:szCs w:val="24"/>
                      <w:rtl/>
                    </w:rPr>
                    <w:t>اقل</w:t>
                  </w:r>
                  <w:r w:rsidR="001B60BA">
                    <w:rPr>
                      <w:rFonts w:ascii="Simplified Arabic" w:eastAsia="Times New Roman" w:hAnsi="Simplified Arabic" w:cs="Simplified Arabic" w:hint="cs"/>
                      <w:color w:val="202124"/>
                      <w:sz w:val="24"/>
                      <w:szCs w:val="24"/>
                      <w:rtl/>
                    </w:rPr>
                    <w:t xml:space="preserve"> من </w:t>
                  </w:r>
                  <w:r>
                    <w:rPr>
                      <w:rFonts w:ascii="Simplified Arabic" w:eastAsia="Times New Roman" w:hAnsi="Simplified Arabic" w:cs="Simplified Arabic" w:hint="cs"/>
                      <w:color w:val="202124"/>
                      <w:sz w:val="24"/>
                      <w:szCs w:val="24"/>
                      <w:rtl/>
                    </w:rPr>
                    <w:t>90</w:t>
                  </w:r>
                </w:p>
              </w:tc>
              <w:tc>
                <w:tcPr>
                  <w:tcW w:w="1464"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1212"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c>
                <w:tcPr>
                  <w:tcW w:w="709" w:type="dxa"/>
                  <w:vAlign w:val="center"/>
                </w:tcPr>
                <w:p w:rsidR="00C32141" w:rsidRPr="00156A79" w:rsidRDefault="00C32141" w:rsidP="001D0548">
                  <w:pPr>
                    <w:pStyle w:val="Paragraphedeliste"/>
                    <w:numPr>
                      <w:ilvl w:val="0"/>
                      <w:numId w:val="55"/>
                    </w:numPr>
                    <w:tabs>
                      <w:tab w:val="right" w:pos="176"/>
                    </w:tabs>
                    <w:rPr>
                      <w:rFonts w:ascii="Simplified Arabic" w:eastAsia="Times New Roman" w:hAnsi="Simplified Arabic" w:cs="Simplified Arabic"/>
                      <w:color w:val="202124"/>
                      <w:sz w:val="24"/>
                      <w:szCs w:val="24"/>
                      <w:rtl/>
                    </w:rPr>
                  </w:pPr>
                </w:p>
              </w:tc>
              <w:tc>
                <w:tcPr>
                  <w:tcW w:w="914" w:type="dxa"/>
                  <w:vAlign w:val="center"/>
                </w:tcPr>
                <w:p w:rsidR="00C32141" w:rsidRPr="00156A79" w:rsidRDefault="00C32141" w:rsidP="001D0548">
                  <w:pPr>
                    <w:pStyle w:val="Paragraphedeliste"/>
                    <w:numPr>
                      <w:ilvl w:val="0"/>
                      <w:numId w:val="55"/>
                    </w:numPr>
                    <w:rPr>
                      <w:rFonts w:ascii="Simplified Arabic" w:eastAsia="Times New Roman" w:hAnsi="Simplified Arabic" w:cs="Simplified Arabic"/>
                      <w:color w:val="202124"/>
                      <w:sz w:val="24"/>
                      <w:szCs w:val="24"/>
                      <w:rtl/>
                    </w:rPr>
                  </w:pPr>
                </w:p>
              </w:tc>
              <w:tc>
                <w:tcPr>
                  <w:tcW w:w="1073" w:type="dxa"/>
                  <w:vAlign w:val="center"/>
                </w:tcPr>
                <w:p w:rsidR="00C32141" w:rsidRPr="00156A79" w:rsidRDefault="00C32141" w:rsidP="001D0548">
                  <w:pPr>
                    <w:pStyle w:val="Paragraphedeliste"/>
                    <w:numPr>
                      <w:ilvl w:val="0"/>
                      <w:numId w:val="53"/>
                    </w:numPr>
                    <w:bidi/>
                    <w:jc w:val="center"/>
                    <w:rPr>
                      <w:rFonts w:ascii="Simplified Arabic" w:eastAsia="Times New Roman" w:hAnsi="Simplified Arabic" w:cs="Simplified Arabic"/>
                      <w:color w:val="202124"/>
                      <w:sz w:val="24"/>
                      <w:szCs w:val="24"/>
                      <w:rtl/>
                    </w:rPr>
                  </w:pPr>
                </w:p>
              </w:tc>
            </w:tr>
          </w:tbl>
          <w:p w:rsidR="00C32141" w:rsidRPr="00156A79" w:rsidRDefault="00C32141" w:rsidP="00794BA6">
            <w:pPr>
              <w:bidi/>
              <w:rPr>
                <w:rFonts w:ascii="Simplified Arabic" w:eastAsia="Times New Roman" w:hAnsi="Simplified Arabic" w:cs="Simplified Arabic"/>
                <w:color w:val="202124"/>
                <w:sz w:val="24"/>
                <w:szCs w:val="24"/>
                <w:rtl/>
              </w:rPr>
            </w:pPr>
          </w:p>
        </w:tc>
      </w:tr>
    </w:tbl>
    <w:p w:rsidR="00C32141" w:rsidRPr="00B50DC2" w:rsidRDefault="00C32141" w:rsidP="00C32141">
      <w:pPr>
        <w:bidi/>
        <w:spacing w:after="0" w:line="240" w:lineRule="auto"/>
        <w:jc w:val="both"/>
        <w:rPr>
          <w:rStyle w:val="y2iqfc"/>
          <w:rFonts w:ascii="Simplified Arabic" w:hAnsi="Simplified Arabic" w:cs="Simplified Arabic"/>
          <w:color w:val="202124"/>
          <w:rtl/>
          <w:lang w:bidi="ar"/>
        </w:rPr>
      </w:pPr>
    </w:p>
    <w:p w:rsidR="00105CB7" w:rsidRPr="00F52541" w:rsidRDefault="00105CB7" w:rsidP="00F52541">
      <w:pPr>
        <w:bidi/>
        <w:spacing w:after="0" w:line="240" w:lineRule="auto"/>
        <w:jc w:val="both"/>
        <w:rPr>
          <w:rStyle w:val="y2iqfc"/>
          <w:color w:val="202124"/>
          <w:rtl/>
        </w:rPr>
      </w:pPr>
    </w:p>
    <w:p w:rsidR="00D7621F" w:rsidRPr="00F52541" w:rsidRDefault="00D7621F" w:rsidP="00F52541">
      <w:pPr>
        <w:bidi/>
        <w:spacing w:after="0" w:line="240" w:lineRule="auto"/>
        <w:jc w:val="both"/>
        <w:rPr>
          <w:rStyle w:val="y2iqfc"/>
          <w:color w:val="202124"/>
          <w:rtl/>
        </w:rPr>
      </w:pPr>
    </w:p>
    <w:p w:rsidR="00D7621F" w:rsidRDefault="00D7621F" w:rsidP="00F52541">
      <w:pPr>
        <w:bidi/>
        <w:spacing w:after="0" w:line="240" w:lineRule="auto"/>
        <w:jc w:val="both"/>
        <w:rPr>
          <w:rStyle w:val="y2iqfc"/>
          <w:color w:val="202124"/>
        </w:rPr>
      </w:pPr>
    </w:p>
    <w:p w:rsidR="00F52541" w:rsidRDefault="00F52541" w:rsidP="00F52541">
      <w:pPr>
        <w:bidi/>
        <w:spacing w:after="0" w:line="240" w:lineRule="auto"/>
        <w:jc w:val="both"/>
        <w:rPr>
          <w:rStyle w:val="y2iqfc"/>
          <w:color w:val="202124"/>
        </w:rPr>
      </w:pPr>
    </w:p>
    <w:p w:rsidR="00F52541" w:rsidRDefault="00F52541" w:rsidP="00F52541">
      <w:pPr>
        <w:bidi/>
        <w:spacing w:after="0" w:line="240" w:lineRule="auto"/>
        <w:jc w:val="both"/>
        <w:rPr>
          <w:rStyle w:val="y2iqfc"/>
          <w:color w:val="202124"/>
        </w:rPr>
      </w:pPr>
    </w:p>
    <w:p w:rsidR="00F52541" w:rsidRPr="00F52541" w:rsidRDefault="00F52541" w:rsidP="00F52541">
      <w:pPr>
        <w:bidi/>
        <w:spacing w:after="0" w:line="240" w:lineRule="auto"/>
        <w:jc w:val="both"/>
        <w:rPr>
          <w:rStyle w:val="y2iqfc"/>
          <w:color w:val="202124"/>
          <w:rtl/>
        </w:rPr>
      </w:pPr>
    </w:p>
    <w:p w:rsidR="00D7621F" w:rsidRDefault="00D7621F" w:rsidP="00F52541">
      <w:pPr>
        <w:bidi/>
        <w:spacing w:after="0" w:line="240" w:lineRule="auto"/>
        <w:jc w:val="both"/>
        <w:rPr>
          <w:rStyle w:val="y2iqfc"/>
          <w:color w:val="202124"/>
        </w:rPr>
      </w:pPr>
    </w:p>
    <w:p w:rsidR="0006014B" w:rsidRDefault="0006014B" w:rsidP="0006014B">
      <w:pPr>
        <w:bidi/>
        <w:spacing w:after="0" w:line="240" w:lineRule="auto"/>
        <w:jc w:val="both"/>
        <w:rPr>
          <w:rStyle w:val="y2iqfc"/>
          <w:color w:val="202124"/>
        </w:rPr>
      </w:pPr>
    </w:p>
    <w:p w:rsidR="00D7621F" w:rsidRDefault="00D7621F" w:rsidP="00134332">
      <w:pPr>
        <w:bidi/>
        <w:spacing w:after="0"/>
        <w:jc w:val="center"/>
        <w:outlineLvl w:val="0"/>
        <w:rPr>
          <w:rFonts w:ascii="Simplified Arabic" w:hAnsi="Simplified Arabic" w:cs="Simplified Arabic"/>
          <w:b/>
          <w:bCs/>
          <w:sz w:val="24"/>
          <w:szCs w:val="24"/>
          <w:rtl/>
        </w:rPr>
      </w:pPr>
      <w:bookmarkStart w:id="1002" w:name="_Toc171803919"/>
      <w:r w:rsidRPr="0043139C">
        <w:rPr>
          <w:rFonts w:ascii="Simplified Arabic" w:hAnsi="Simplified Arabic" w:cs="Simplified Arabic"/>
          <w:b/>
          <w:bCs/>
          <w:sz w:val="24"/>
          <w:szCs w:val="24"/>
          <w:rtl/>
        </w:rPr>
        <w:lastRenderedPageBreak/>
        <w:t xml:space="preserve">الملحق </w:t>
      </w:r>
      <w:r>
        <w:rPr>
          <w:rFonts w:ascii="Simplified Arabic" w:hAnsi="Simplified Arabic" w:cs="Simplified Arabic" w:hint="cs"/>
          <w:b/>
          <w:bCs/>
          <w:sz w:val="24"/>
          <w:szCs w:val="24"/>
          <w:rtl/>
        </w:rPr>
        <w:t>5</w:t>
      </w:r>
      <w:r w:rsidRPr="0043139C">
        <w:rPr>
          <w:rFonts w:ascii="Simplified Arabic" w:hAnsi="Simplified Arabic" w:cs="Simplified Arabic"/>
          <w:b/>
          <w:bCs/>
          <w:sz w:val="24"/>
          <w:szCs w:val="24"/>
          <w:rtl/>
        </w:rPr>
        <w:t xml:space="preserve">: </w:t>
      </w:r>
      <w:r w:rsidR="001759DB">
        <w:rPr>
          <w:rFonts w:ascii="Simplified Arabic" w:hAnsi="Simplified Arabic" w:cs="Simplified Arabic" w:hint="cs"/>
          <w:b/>
          <w:bCs/>
          <w:sz w:val="24"/>
          <w:szCs w:val="24"/>
          <w:rtl/>
        </w:rPr>
        <w:t>تصنيفات قيم التنوع وفق حالة الدراسة</w:t>
      </w:r>
      <w:r w:rsidRPr="0043139C">
        <w:rPr>
          <w:rFonts w:ascii="Simplified Arabic" w:hAnsi="Simplified Arabic" w:cs="Simplified Arabic"/>
          <w:b/>
          <w:bCs/>
          <w:sz w:val="24"/>
          <w:szCs w:val="24"/>
          <w:rtl/>
        </w:rPr>
        <w:t>.</w:t>
      </w:r>
      <w:bookmarkEnd w:id="1002"/>
    </w:p>
    <w:p w:rsidR="00DA36AE" w:rsidRPr="00DA36AE" w:rsidRDefault="00DA36AE" w:rsidP="008A0B64">
      <w:pPr>
        <w:tabs>
          <w:tab w:val="left" w:pos="2997"/>
        </w:tabs>
        <w:bidi/>
        <w:spacing w:after="0" w:line="240" w:lineRule="auto"/>
        <w:jc w:val="center"/>
        <w:rPr>
          <w:rFonts w:ascii="Simplified Arabic" w:hAnsi="Simplified Arabic" w:cs="Simplified Arabic"/>
          <w:b/>
          <w:bCs/>
          <w:sz w:val="24"/>
          <w:szCs w:val="24"/>
          <w:rtl/>
        </w:rPr>
      </w:pPr>
      <w:r w:rsidRPr="00DA36AE">
        <w:rPr>
          <w:rFonts w:ascii="Simplified Arabic" w:hAnsi="Simplified Arabic" w:cs="Simplified Arabic" w:hint="cs"/>
          <w:b/>
          <w:bCs/>
          <w:sz w:val="24"/>
          <w:szCs w:val="24"/>
          <w:rtl/>
          <w:lang w:bidi="ar-DZ"/>
        </w:rPr>
        <w:t xml:space="preserve">جدول نوع المرفق </w:t>
      </w:r>
      <w:r w:rsidRPr="00DA36AE">
        <w:rPr>
          <w:rFonts w:ascii="Simplified Arabic" w:eastAsia="Times New Roman" w:hAnsi="Simplified Arabic" w:cs="Simplified Arabic"/>
          <w:b/>
          <w:bCs/>
          <w:color w:val="000000"/>
          <w:sz w:val="24"/>
          <w:szCs w:val="24"/>
          <w:rtl/>
          <w:lang w:eastAsia="fr-FR"/>
        </w:rPr>
        <w:t>(المعيار)</w:t>
      </w:r>
      <w:r w:rsidRPr="00DA36AE">
        <w:rPr>
          <w:rFonts w:ascii="Simplified Arabic" w:hAnsi="Simplified Arabic" w:cs="Simplified Arabic" w:hint="cs"/>
          <w:b/>
          <w:bCs/>
          <w:sz w:val="24"/>
          <w:szCs w:val="24"/>
          <w:rtl/>
          <w:lang w:bidi="ar-DZ"/>
        </w:rPr>
        <w:t xml:space="preserve"> و</w:t>
      </w:r>
      <w:r w:rsidRPr="00DA36AE">
        <w:rPr>
          <w:rFonts w:ascii="Simplified Arabic" w:eastAsia="Times New Roman" w:hAnsi="Simplified Arabic" w:cs="Simplified Arabic"/>
          <w:b/>
          <w:bCs/>
          <w:color w:val="000000"/>
          <w:sz w:val="24"/>
          <w:szCs w:val="24"/>
          <w:rtl/>
          <w:lang w:eastAsia="fr-FR"/>
        </w:rPr>
        <w:t xml:space="preserve">قيمة </w:t>
      </w:r>
      <w:r>
        <w:rPr>
          <w:rFonts w:ascii="Simplified Arabic" w:eastAsia="Times New Roman" w:hAnsi="Simplified Arabic" w:cs="Simplified Arabic" w:hint="cs"/>
          <w:b/>
          <w:bCs/>
          <w:color w:val="000000"/>
          <w:sz w:val="24"/>
          <w:szCs w:val="24"/>
          <w:rtl/>
          <w:lang w:eastAsia="fr-FR"/>
        </w:rPr>
        <w:t xml:space="preserve">وتصنيف </w:t>
      </w:r>
      <w:r w:rsidRPr="00DA36AE">
        <w:rPr>
          <w:rFonts w:ascii="Simplified Arabic" w:eastAsia="Times New Roman" w:hAnsi="Simplified Arabic" w:cs="Simplified Arabic"/>
          <w:b/>
          <w:bCs/>
          <w:color w:val="000000"/>
          <w:sz w:val="24"/>
          <w:szCs w:val="24"/>
          <w:rtl/>
          <w:lang w:eastAsia="fr-FR"/>
        </w:rPr>
        <w:t>التنوع</w:t>
      </w:r>
      <w:r w:rsidRPr="00DA36AE">
        <w:rPr>
          <w:rFonts w:ascii="Simplified Arabic" w:hAnsi="Simplified Arabic" w:cs="Simplified Arabic" w:hint="cs"/>
          <w:b/>
          <w:bCs/>
          <w:sz w:val="24"/>
          <w:szCs w:val="24"/>
          <w:rtl/>
          <w:lang w:bidi="ar-DZ"/>
        </w:rPr>
        <w:t xml:space="preserve"> حسب نسبة الاهمية التي حددها خبراء دلفي</w:t>
      </w:r>
    </w:p>
    <w:tbl>
      <w:tblPr>
        <w:bidiVisual/>
        <w:tblW w:w="5190" w:type="dxa"/>
        <w:jc w:val="center"/>
        <w:tblInd w:w="1571" w:type="dxa"/>
        <w:tblCellMar>
          <w:left w:w="70" w:type="dxa"/>
          <w:right w:w="70" w:type="dxa"/>
        </w:tblCellMar>
        <w:tblLook w:val="04A0" w:firstRow="1" w:lastRow="0" w:firstColumn="1" w:lastColumn="0" w:noHBand="0" w:noVBand="1"/>
      </w:tblPr>
      <w:tblGrid>
        <w:gridCol w:w="462"/>
        <w:gridCol w:w="2082"/>
        <w:gridCol w:w="1087"/>
        <w:gridCol w:w="1559"/>
      </w:tblGrid>
      <w:tr w:rsidR="00C509D6" w:rsidRPr="007E3E5B" w:rsidTr="00DA36AE">
        <w:trPr>
          <w:trHeight w:val="29"/>
          <w:jc w:val="center"/>
        </w:trPr>
        <w:tc>
          <w:tcPr>
            <w:tcW w:w="462" w:type="dxa"/>
            <w:tcBorders>
              <w:top w:val="double" w:sz="6" w:space="0" w:color="auto"/>
              <w:left w:val="double" w:sz="6" w:space="0" w:color="auto"/>
              <w:bottom w:val="double" w:sz="6" w:space="0" w:color="auto"/>
              <w:right w:val="single" w:sz="4" w:space="0" w:color="auto"/>
            </w:tcBorders>
            <w:shd w:val="clear" w:color="000000" w:fill="F2F2F2"/>
            <w:noWrap/>
            <w:vAlign w:val="center"/>
            <w:hideMark/>
          </w:tcPr>
          <w:p w:rsidR="007E3E5B" w:rsidRPr="007E3E5B" w:rsidRDefault="007E3E5B"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الرقم</w:t>
            </w:r>
          </w:p>
        </w:tc>
        <w:tc>
          <w:tcPr>
            <w:tcW w:w="2082" w:type="dxa"/>
            <w:tcBorders>
              <w:top w:val="double" w:sz="6" w:space="0" w:color="auto"/>
              <w:left w:val="single" w:sz="4" w:space="0" w:color="auto"/>
              <w:bottom w:val="double" w:sz="6" w:space="0" w:color="auto"/>
              <w:right w:val="single" w:sz="4" w:space="0" w:color="auto"/>
            </w:tcBorders>
            <w:shd w:val="clear" w:color="000000" w:fill="F2F2F2"/>
            <w:vAlign w:val="center"/>
            <w:hideMark/>
          </w:tcPr>
          <w:p w:rsidR="007E3E5B" w:rsidRPr="007E3E5B" w:rsidRDefault="007E3E5B"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نوع المرفق (المعيار)</w:t>
            </w:r>
          </w:p>
        </w:tc>
        <w:tc>
          <w:tcPr>
            <w:tcW w:w="1087" w:type="dxa"/>
            <w:tcBorders>
              <w:top w:val="double" w:sz="6" w:space="0" w:color="auto"/>
              <w:left w:val="single" w:sz="4" w:space="0" w:color="auto"/>
              <w:bottom w:val="double" w:sz="6" w:space="0" w:color="auto"/>
              <w:right w:val="single" w:sz="4" w:space="0" w:color="auto"/>
            </w:tcBorders>
            <w:shd w:val="clear" w:color="000000" w:fill="F2F2F2"/>
            <w:noWrap/>
            <w:vAlign w:val="center"/>
            <w:hideMark/>
          </w:tcPr>
          <w:p w:rsidR="007E3E5B" w:rsidRPr="007E3E5B" w:rsidRDefault="007E3E5B"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قيمة التنوع</w:t>
            </w:r>
          </w:p>
        </w:tc>
        <w:tc>
          <w:tcPr>
            <w:tcW w:w="1559" w:type="dxa"/>
            <w:tcBorders>
              <w:top w:val="double" w:sz="6" w:space="0" w:color="auto"/>
              <w:left w:val="single" w:sz="4" w:space="0" w:color="auto"/>
              <w:bottom w:val="double" w:sz="6" w:space="0" w:color="auto"/>
              <w:right w:val="double" w:sz="6" w:space="0" w:color="auto"/>
            </w:tcBorders>
            <w:shd w:val="clear" w:color="000000" w:fill="F2F2F2"/>
            <w:noWrap/>
            <w:vAlign w:val="center"/>
            <w:hideMark/>
          </w:tcPr>
          <w:p w:rsidR="007E3E5B" w:rsidRPr="007E3E5B" w:rsidRDefault="007E3E5B"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تصنيف التنوع</w:t>
            </w:r>
          </w:p>
        </w:tc>
      </w:tr>
      <w:tr w:rsidR="00380754"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3300"/>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w:t>
            </w:r>
          </w:p>
        </w:tc>
        <w:tc>
          <w:tcPr>
            <w:tcW w:w="2082" w:type="dxa"/>
            <w:tcBorders>
              <w:top w:val="nil"/>
              <w:left w:val="single" w:sz="4" w:space="0" w:color="auto"/>
              <w:bottom w:val="single" w:sz="4" w:space="0" w:color="auto"/>
              <w:right w:val="single" w:sz="4" w:space="0" w:color="auto"/>
            </w:tcBorders>
            <w:shd w:val="clear" w:color="000000" w:fill="FF3300"/>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C5</w:t>
            </w:r>
          </w:p>
        </w:tc>
        <w:tc>
          <w:tcPr>
            <w:tcW w:w="1087" w:type="dxa"/>
            <w:tcBorders>
              <w:top w:val="nil"/>
              <w:left w:val="single" w:sz="4" w:space="0" w:color="auto"/>
              <w:bottom w:val="single" w:sz="4" w:space="0" w:color="auto"/>
              <w:right w:val="single" w:sz="4" w:space="0" w:color="auto"/>
            </w:tcBorders>
            <w:shd w:val="clear" w:color="000000" w:fill="FF3300"/>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13,44</w:t>
            </w:r>
          </w:p>
        </w:tc>
        <w:tc>
          <w:tcPr>
            <w:tcW w:w="1559" w:type="dxa"/>
            <w:vMerge w:val="restart"/>
            <w:tcBorders>
              <w:top w:val="double" w:sz="6" w:space="0" w:color="auto"/>
              <w:left w:val="single" w:sz="4" w:space="0" w:color="auto"/>
              <w:right w:val="double" w:sz="6" w:space="0" w:color="auto"/>
            </w:tcBorders>
            <w:shd w:val="clear" w:color="000000" w:fill="FF3300"/>
            <w:noWrap/>
            <w:vAlign w:val="center"/>
            <w:hideMark/>
          </w:tcPr>
          <w:p w:rsidR="00380754" w:rsidRPr="007E3E5B" w:rsidRDefault="00380754"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تنوع منخفض جدا</w:t>
            </w:r>
          </w:p>
        </w:tc>
      </w:tr>
      <w:tr w:rsidR="00380754"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3300"/>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w:t>
            </w:r>
          </w:p>
        </w:tc>
        <w:tc>
          <w:tcPr>
            <w:tcW w:w="2082" w:type="dxa"/>
            <w:tcBorders>
              <w:top w:val="nil"/>
              <w:left w:val="single" w:sz="4" w:space="0" w:color="auto"/>
              <w:bottom w:val="single" w:sz="4" w:space="0" w:color="auto"/>
              <w:right w:val="single" w:sz="4" w:space="0" w:color="auto"/>
            </w:tcBorders>
            <w:shd w:val="clear" w:color="000000" w:fill="FF3300"/>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w:t>
            </w:r>
          </w:p>
        </w:tc>
        <w:tc>
          <w:tcPr>
            <w:tcW w:w="1087" w:type="dxa"/>
            <w:tcBorders>
              <w:top w:val="nil"/>
              <w:left w:val="single" w:sz="4" w:space="0" w:color="auto"/>
              <w:bottom w:val="single" w:sz="4" w:space="0" w:color="auto"/>
              <w:right w:val="single" w:sz="4" w:space="0" w:color="auto"/>
            </w:tcBorders>
            <w:shd w:val="clear" w:color="000000" w:fill="FF3300"/>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15,45</w:t>
            </w:r>
          </w:p>
        </w:tc>
        <w:tc>
          <w:tcPr>
            <w:tcW w:w="1559" w:type="dxa"/>
            <w:vMerge/>
            <w:tcBorders>
              <w:left w:val="single" w:sz="4" w:space="0" w:color="auto"/>
              <w:right w:val="double" w:sz="6" w:space="0" w:color="auto"/>
            </w:tcBorders>
            <w:shd w:val="clear" w:color="000000" w:fill="FF3300"/>
            <w:vAlign w:val="center"/>
            <w:hideMark/>
          </w:tcPr>
          <w:p w:rsidR="00380754" w:rsidRPr="007E3E5B" w:rsidRDefault="00380754" w:rsidP="00DA36AE">
            <w:pPr>
              <w:spacing w:after="0" w:line="240" w:lineRule="auto"/>
              <w:jc w:val="center"/>
              <w:rPr>
                <w:rFonts w:ascii="Simplified Arabic" w:eastAsia="Times New Roman" w:hAnsi="Simplified Arabic" w:cs="Simplified Arabic"/>
                <w:color w:val="000000"/>
                <w:sz w:val="24"/>
                <w:szCs w:val="24"/>
                <w:lang w:eastAsia="fr-FR"/>
              </w:rPr>
            </w:pPr>
          </w:p>
        </w:tc>
      </w:tr>
      <w:tr w:rsidR="00380754" w:rsidRPr="007E3E5B" w:rsidTr="00DA36AE">
        <w:trPr>
          <w:trHeight w:val="29"/>
          <w:jc w:val="center"/>
        </w:trPr>
        <w:tc>
          <w:tcPr>
            <w:tcW w:w="462" w:type="dxa"/>
            <w:tcBorders>
              <w:top w:val="nil"/>
              <w:left w:val="double" w:sz="6" w:space="0" w:color="auto"/>
              <w:bottom w:val="double" w:sz="6" w:space="0" w:color="auto"/>
              <w:right w:val="single" w:sz="4" w:space="0" w:color="auto"/>
            </w:tcBorders>
            <w:shd w:val="clear" w:color="000000" w:fill="FF3300"/>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3</w:t>
            </w:r>
          </w:p>
        </w:tc>
        <w:tc>
          <w:tcPr>
            <w:tcW w:w="2082" w:type="dxa"/>
            <w:tcBorders>
              <w:top w:val="nil"/>
              <w:left w:val="single" w:sz="4" w:space="0" w:color="auto"/>
              <w:bottom w:val="double" w:sz="6" w:space="0" w:color="auto"/>
              <w:right w:val="single" w:sz="4" w:space="0" w:color="auto"/>
            </w:tcBorders>
            <w:shd w:val="clear" w:color="000000" w:fill="FF3300"/>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C3</w:t>
            </w:r>
          </w:p>
        </w:tc>
        <w:tc>
          <w:tcPr>
            <w:tcW w:w="1087" w:type="dxa"/>
            <w:tcBorders>
              <w:top w:val="nil"/>
              <w:left w:val="single" w:sz="4" w:space="0" w:color="auto"/>
              <w:bottom w:val="double" w:sz="6" w:space="0" w:color="auto"/>
              <w:right w:val="single" w:sz="4" w:space="0" w:color="auto"/>
            </w:tcBorders>
            <w:shd w:val="clear" w:color="000000" w:fill="FF3300"/>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21,38</w:t>
            </w:r>
          </w:p>
        </w:tc>
        <w:tc>
          <w:tcPr>
            <w:tcW w:w="1559" w:type="dxa"/>
            <w:vMerge/>
            <w:tcBorders>
              <w:left w:val="single" w:sz="4" w:space="0" w:color="auto"/>
              <w:bottom w:val="double" w:sz="6" w:space="0" w:color="auto"/>
              <w:right w:val="double" w:sz="6" w:space="0" w:color="auto"/>
            </w:tcBorders>
            <w:shd w:val="clear" w:color="000000" w:fill="FF3300"/>
            <w:vAlign w:val="center"/>
            <w:hideMark/>
          </w:tcPr>
          <w:p w:rsidR="00380754" w:rsidRPr="007E3E5B" w:rsidRDefault="00380754" w:rsidP="00DA36AE">
            <w:pPr>
              <w:spacing w:after="0" w:line="240" w:lineRule="auto"/>
              <w:jc w:val="center"/>
              <w:rPr>
                <w:rFonts w:ascii="Simplified Arabic" w:eastAsia="Times New Roman" w:hAnsi="Simplified Arabic" w:cs="Simplified Arabic"/>
                <w:color w:val="000000"/>
                <w:sz w:val="24"/>
                <w:szCs w:val="24"/>
                <w:lang w:eastAsia="fr-FR"/>
              </w:rPr>
            </w:pPr>
          </w:p>
        </w:tc>
      </w:tr>
      <w:tr w:rsidR="00380754" w:rsidRPr="007E3E5B" w:rsidTr="00DA36AE">
        <w:trPr>
          <w:trHeight w:val="29"/>
          <w:jc w:val="center"/>
        </w:trPr>
        <w:tc>
          <w:tcPr>
            <w:tcW w:w="462" w:type="dxa"/>
            <w:tcBorders>
              <w:top w:val="double" w:sz="6" w:space="0" w:color="auto"/>
              <w:left w:val="double" w:sz="6" w:space="0" w:color="auto"/>
              <w:bottom w:val="single" w:sz="4" w:space="0" w:color="auto"/>
              <w:right w:val="single" w:sz="4" w:space="0" w:color="auto"/>
            </w:tcBorders>
            <w:shd w:val="clear" w:color="auto" w:fill="FFCC66"/>
            <w:noWrap/>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4</w:t>
            </w:r>
          </w:p>
        </w:tc>
        <w:tc>
          <w:tcPr>
            <w:tcW w:w="2082" w:type="dxa"/>
            <w:tcBorders>
              <w:top w:val="double" w:sz="6" w:space="0" w:color="auto"/>
              <w:left w:val="single" w:sz="4" w:space="0" w:color="auto"/>
              <w:bottom w:val="single" w:sz="4" w:space="0" w:color="auto"/>
              <w:right w:val="single" w:sz="4"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C4</w:t>
            </w:r>
          </w:p>
        </w:tc>
        <w:tc>
          <w:tcPr>
            <w:tcW w:w="1087" w:type="dxa"/>
            <w:tcBorders>
              <w:top w:val="double" w:sz="6" w:space="0" w:color="auto"/>
              <w:left w:val="single" w:sz="4" w:space="0" w:color="auto"/>
              <w:bottom w:val="single" w:sz="4" w:space="0" w:color="auto"/>
              <w:right w:val="single" w:sz="8"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24,02</w:t>
            </w:r>
          </w:p>
        </w:tc>
        <w:tc>
          <w:tcPr>
            <w:tcW w:w="1559" w:type="dxa"/>
            <w:vMerge w:val="restart"/>
            <w:tcBorders>
              <w:top w:val="double" w:sz="6" w:space="0" w:color="auto"/>
              <w:left w:val="single" w:sz="8" w:space="0" w:color="auto"/>
              <w:bottom w:val="double" w:sz="6" w:space="0" w:color="000000"/>
              <w:right w:val="double" w:sz="6"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Simplified Arabic" w:eastAsia="Times New Roman" w:hAnsi="Simplified Arabic" w:cs="Simplified Arabic"/>
                <w:color w:val="000000"/>
                <w:sz w:val="24"/>
                <w:szCs w:val="24"/>
                <w:rtl/>
                <w:lang w:eastAsia="fr-FR"/>
              </w:rPr>
              <w:t>تنوع منخفض</w:t>
            </w:r>
          </w:p>
        </w:tc>
      </w:tr>
      <w:tr w:rsidR="00380754" w:rsidRPr="007E3E5B" w:rsidTr="00DA36AE">
        <w:trPr>
          <w:trHeight w:val="29"/>
          <w:jc w:val="center"/>
        </w:trPr>
        <w:tc>
          <w:tcPr>
            <w:tcW w:w="462" w:type="dxa"/>
            <w:tcBorders>
              <w:top w:val="single" w:sz="4" w:space="0" w:color="auto"/>
              <w:left w:val="double" w:sz="6" w:space="0" w:color="auto"/>
              <w:bottom w:val="single" w:sz="4" w:space="0" w:color="auto"/>
              <w:right w:val="single" w:sz="4" w:space="0" w:color="auto"/>
            </w:tcBorders>
            <w:shd w:val="clear" w:color="auto" w:fill="FFCC66"/>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5</w:t>
            </w:r>
          </w:p>
        </w:tc>
        <w:tc>
          <w:tcPr>
            <w:tcW w:w="2082" w:type="dxa"/>
            <w:tcBorders>
              <w:top w:val="single" w:sz="4" w:space="0" w:color="auto"/>
              <w:left w:val="single" w:sz="4" w:space="0" w:color="auto"/>
              <w:bottom w:val="single" w:sz="4" w:space="0" w:color="auto"/>
              <w:right w:val="single" w:sz="4"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w:t>
            </w:r>
          </w:p>
        </w:tc>
        <w:tc>
          <w:tcPr>
            <w:tcW w:w="1087" w:type="dxa"/>
            <w:tcBorders>
              <w:top w:val="single" w:sz="4" w:space="0" w:color="auto"/>
              <w:left w:val="single" w:sz="4" w:space="0" w:color="auto"/>
              <w:bottom w:val="single" w:sz="4" w:space="0" w:color="auto"/>
              <w:right w:val="single" w:sz="8"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25,71</w:t>
            </w:r>
          </w:p>
        </w:tc>
        <w:tc>
          <w:tcPr>
            <w:tcW w:w="1559" w:type="dxa"/>
            <w:vMerge/>
            <w:tcBorders>
              <w:left w:val="single" w:sz="8" w:space="0" w:color="auto"/>
              <w:bottom w:val="double" w:sz="6" w:space="0" w:color="000000"/>
              <w:right w:val="double" w:sz="6" w:space="0" w:color="auto"/>
            </w:tcBorders>
            <w:shd w:val="clear" w:color="auto" w:fill="FFCC66"/>
            <w:noWrap/>
            <w:vAlign w:val="center"/>
            <w:hideMark/>
          </w:tcPr>
          <w:p w:rsidR="00380754" w:rsidRPr="007E3E5B" w:rsidRDefault="00380754" w:rsidP="00DA36AE">
            <w:pPr>
              <w:bidi/>
              <w:spacing w:after="0" w:line="240" w:lineRule="auto"/>
              <w:jc w:val="center"/>
              <w:rPr>
                <w:rFonts w:ascii="Simplified Arabic" w:eastAsia="Times New Roman" w:hAnsi="Simplified Arabic" w:cs="Simplified Arabic"/>
                <w:color w:val="000000"/>
                <w:sz w:val="24"/>
                <w:szCs w:val="24"/>
                <w:lang w:eastAsia="fr-FR"/>
              </w:rPr>
            </w:pPr>
          </w:p>
        </w:tc>
      </w:tr>
      <w:tr w:rsidR="00380754" w:rsidRPr="007E3E5B" w:rsidTr="00DA36AE">
        <w:trPr>
          <w:trHeight w:val="29"/>
          <w:jc w:val="center"/>
        </w:trPr>
        <w:tc>
          <w:tcPr>
            <w:tcW w:w="462" w:type="dxa"/>
            <w:tcBorders>
              <w:top w:val="single" w:sz="4" w:space="0" w:color="auto"/>
              <w:left w:val="double" w:sz="6" w:space="0" w:color="auto"/>
              <w:bottom w:val="single" w:sz="4" w:space="0" w:color="auto"/>
              <w:right w:val="single" w:sz="4" w:space="0" w:color="auto"/>
            </w:tcBorders>
            <w:shd w:val="clear" w:color="auto" w:fill="FFCC66"/>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6</w:t>
            </w:r>
          </w:p>
        </w:tc>
        <w:tc>
          <w:tcPr>
            <w:tcW w:w="2082" w:type="dxa"/>
            <w:tcBorders>
              <w:top w:val="single" w:sz="4" w:space="0" w:color="auto"/>
              <w:left w:val="single" w:sz="4" w:space="0" w:color="auto"/>
              <w:bottom w:val="single" w:sz="4" w:space="0" w:color="auto"/>
              <w:right w:val="single" w:sz="4"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C2+C5</w:t>
            </w:r>
          </w:p>
        </w:tc>
        <w:tc>
          <w:tcPr>
            <w:tcW w:w="1087" w:type="dxa"/>
            <w:tcBorders>
              <w:top w:val="single" w:sz="4" w:space="0" w:color="auto"/>
              <w:left w:val="single" w:sz="4" w:space="0" w:color="auto"/>
              <w:bottom w:val="single" w:sz="4" w:space="0" w:color="auto"/>
              <w:right w:val="single" w:sz="8"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28,89</w:t>
            </w:r>
          </w:p>
        </w:tc>
        <w:tc>
          <w:tcPr>
            <w:tcW w:w="1559" w:type="dxa"/>
            <w:vMerge/>
            <w:tcBorders>
              <w:left w:val="single" w:sz="8" w:space="0" w:color="auto"/>
              <w:bottom w:val="double" w:sz="6" w:space="0" w:color="000000"/>
              <w:right w:val="double" w:sz="6" w:space="0" w:color="auto"/>
            </w:tcBorders>
            <w:shd w:val="clear" w:color="auto" w:fill="FFCC66"/>
            <w:vAlign w:val="center"/>
            <w:hideMark/>
          </w:tcPr>
          <w:p w:rsidR="00380754" w:rsidRPr="007E3E5B" w:rsidRDefault="00380754" w:rsidP="00DA36AE">
            <w:pPr>
              <w:spacing w:after="0" w:line="240" w:lineRule="auto"/>
              <w:jc w:val="center"/>
              <w:rPr>
                <w:rFonts w:ascii="Simplified Arabic" w:eastAsia="Times New Roman" w:hAnsi="Simplified Arabic" w:cs="Simplified Arabic"/>
                <w:color w:val="000000"/>
                <w:sz w:val="24"/>
                <w:szCs w:val="24"/>
                <w:lang w:eastAsia="fr-FR"/>
              </w:rPr>
            </w:pPr>
          </w:p>
        </w:tc>
      </w:tr>
      <w:tr w:rsidR="00380754" w:rsidRPr="007E3E5B" w:rsidTr="00DA36AE">
        <w:trPr>
          <w:trHeight w:val="29"/>
          <w:jc w:val="center"/>
        </w:trPr>
        <w:tc>
          <w:tcPr>
            <w:tcW w:w="462" w:type="dxa"/>
            <w:tcBorders>
              <w:top w:val="single" w:sz="4" w:space="0" w:color="auto"/>
              <w:left w:val="double" w:sz="6" w:space="0" w:color="auto"/>
              <w:bottom w:val="single" w:sz="4" w:space="0" w:color="auto"/>
              <w:right w:val="single" w:sz="4" w:space="0" w:color="auto"/>
            </w:tcBorders>
            <w:shd w:val="clear" w:color="auto" w:fill="FFCC66"/>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7</w:t>
            </w:r>
          </w:p>
        </w:tc>
        <w:tc>
          <w:tcPr>
            <w:tcW w:w="2082" w:type="dxa"/>
            <w:tcBorders>
              <w:top w:val="single" w:sz="4" w:space="0" w:color="auto"/>
              <w:left w:val="single" w:sz="4" w:space="0" w:color="auto"/>
              <w:bottom w:val="single" w:sz="4" w:space="0" w:color="auto"/>
              <w:right w:val="single" w:sz="4"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C3+C5</w:t>
            </w:r>
          </w:p>
        </w:tc>
        <w:tc>
          <w:tcPr>
            <w:tcW w:w="1087" w:type="dxa"/>
            <w:tcBorders>
              <w:top w:val="single" w:sz="4" w:space="0" w:color="auto"/>
              <w:left w:val="single" w:sz="4" w:space="0" w:color="auto"/>
              <w:bottom w:val="single" w:sz="4" w:space="0" w:color="auto"/>
              <w:right w:val="single" w:sz="8"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34,82</w:t>
            </w:r>
          </w:p>
        </w:tc>
        <w:tc>
          <w:tcPr>
            <w:tcW w:w="1559" w:type="dxa"/>
            <w:vMerge/>
            <w:tcBorders>
              <w:left w:val="single" w:sz="8" w:space="0" w:color="auto"/>
              <w:bottom w:val="double" w:sz="6" w:space="0" w:color="000000"/>
              <w:right w:val="double" w:sz="6" w:space="0" w:color="auto"/>
            </w:tcBorders>
            <w:shd w:val="clear" w:color="auto" w:fill="FFCC66"/>
            <w:vAlign w:val="center"/>
            <w:hideMark/>
          </w:tcPr>
          <w:p w:rsidR="00380754" w:rsidRPr="007E3E5B" w:rsidRDefault="00380754" w:rsidP="00DA36AE">
            <w:pPr>
              <w:spacing w:after="0" w:line="240" w:lineRule="auto"/>
              <w:jc w:val="center"/>
              <w:rPr>
                <w:rFonts w:ascii="Simplified Arabic" w:eastAsia="Times New Roman" w:hAnsi="Simplified Arabic" w:cs="Simplified Arabic"/>
                <w:color w:val="000000"/>
                <w:sz w:val="24"/>
                <w:szCs w:val="24"/>
                <w:lang w:eastAsia="fr-FR"/>
              </w:rPr>
            </w:pPr>
          </w:p>
        </w:tc>
      </w:tr>
      <w:tr w:rsidR="00380754" w:rsidRPr="007E3E5B" w:rsidTr="00DA36AE">
        <w:trPr>
          <w:trHeight w:val="29"/>
          <w:jc w:val="center"/>
        </w:trPr>
        <w:tc>
          <w:tcPr>
            <w:tcW w:w="462" w:type="dxa"/>
            <w:tcBorders>
              <w:top w:val="single" w:sz="4" w:space="0" w:color="auto"/>
              <w:left w:val="double" w:sz="6" w:space="0" w:color="auto"/>
              <w:bottom w:val="single" w:sz="4" w:space="0" w:color="auto"/>
              <w:right w:val="single" w:sz="4" w:space="0" w:color="auto"/>
            </w:tcBorders>
            <w:shd w:val="clear" w:color="auto" w:fill="FFCC66"/>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8</w:t>
            </w:r>
          </w:p>
        </w:tc>
        <w:tc>
          <w:tcPr>
            <w:tcW w:w="2082" w:type="dxa"/>
            <w:tcBorders>
              <w:top w:val="single" w:sz="4" w:space="0" w:color="auto"/>
              <w:left w:val="single" w:sz="4" w:space="0" w:color="auto"/>
              <w:bottom w:val="single" w:sz="4" w:space="0" w:color="auto"/>
              <w:right w:val="single" w:sz="4"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C2+C3</w:t>
            </w:r>
          </w:p>
        </w:tc>
        <w:tc>
          <w:tcPr>
            <w:tcW w:w="1087" w:type="dxa"/>
            <w:tcBorders>
              <w:top w:val="single" w:sz="4" w:space="0" w:color="auto"/>
              <w:left w:val="single" w:sz="4" w:space="0" w:color="auto"/>
              <w:bottom w:val="single" w:sz="4" w:space="0" w:color="auto"/>
              <w:right w:val="single" w:sz="8"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36,83</w:t>
            </w:r>
          </w:p>
        </w:tc>
        <w:tc>
          <w:tcPr>
            <w:tcW w:w="1559" w:type="dxa"/>
            <w:vMerge/>
            <w:tcBorders>
              <w:left w:val="single" w:sz="8" w:space="0" w:color="auto"/>
              <w:bottom w:val="double" w:sz="6" w:space="0" w:color="000000"/>
              <w:right w:val="double" w:sz="6" w:space="0" w:color="auto"/>
            </w:tcBorders>
            <w:shd w:val="clear" w:color="auto" w:fill="FFCC66"/>
            <w:vAlign w:val="center"/>
            <w:hideMark/>
          </w:tcPr>
          <w:p w:rsidR="00380754" w:rsidRPr="007E3E5B" w:rsidRDefault="00380754" w:rsidP="00DA36AE">
            <w:pPr>
              <w:spacing w:after="0" w:line="240" w:lineRule="auto"/>
              <w:jc w:val="center"/>
              <w:rPr>
                <w:rFonts w:ascii="Simplified Arabic" w:eastAsia="Times New Roman" w:hAnsi="Simplified Arabic" w:cs="Simplified Arabic"/>
                <w:color w:val="000000"/>
                <w:sz w:val="24"/>
                <w:szCs w:val="24"/>
                <w:lang w:eastAsia="fr-FR"/>
              </w:rPr>
            </w:pPr>
          </w:p>
        </w:tc>
      </w:tr>
      <w:tr w:rsidR="00380754" w:rsidRPr="007E3E5B" w:rsidTr="00DA36AE">
        <w:trPr>
          <w:trHeight w:val="29"/>
          <w:jc w:val="center"/>
        </w:trPr>
        <w:tc>
          <w:tcPr>
            <w:tcW w:w="462" w:type="dxa"/>
            <w:tcBorders>
              <w:top w:val="single" w:sz="4" w:space="0" w:color="auto"/>
              <w:left w:val="double" w:sz="6" w:space="0" w:color="auto"/>
              <w:bottom w:val="double" w:sz="6" w:space="0" w:color="auto"/>
              <w:right w:val="single" w:sz="4" w:space="0" w:color="auto"/>
            </w:tcBorders>
            <w:shd w:val="clear" w:color="auto" w:fill="FFCC66"/>
            <w:noWrap/>
            <w:vAlign w:val="center"/>
            <w:hideMark/>
          </w:tcPr>
          <w:p w:rsidR="00380754" w:rsidRPr="007E3E5B" w:rsidRDefault="00380754"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9</w:t>
            </w:r>
          </w:p>
        </w:tc>
        <w:tc>
          <w:tcPr>
            <w:tcW w:w="2082" w:type="dxa"/>
            <w:tcBorders>
              <w:top w:val="single" w:sz="4" w:space="0" w:color="auto"/>
              <w:left w:val="single" w:sz="4" w:space="0" w:color="auto"/>
              <w:bottom w:val="double" w:sz="6" w:space="0" w:color="auto"/>
              <w:right w:val="single" w:sz="4"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C4+C5</w:t>
            </w:r>
          </w:p>
        </w:tc>
        <w:tc>
          <w:tcPr>
            <w:tcW w:w="1087" w:type="dxa"/>
            <w:tcBorders>
              <w:top w:val="single" w:sz="4" w:space="0" w:color="auto"/>
              <w:left w:val="single" w:sz="4" w:space="0" w:color="auto"/>
              <w:bottom w:val="double" w:sz="6" w:space="0" w:color="auto"/>
              <w:right w:val="single" w:sz="8" w:space="0" w:color="auto"/>
            </w:tcBorders>
            <w:shd w:val="clear" w:color="auto" w:fill="FFCC66"/>
            <w:vAlign w:val="center"/>
            <w:hideMark/>
          </w:tcPr>
          <w:p w:rsidR="00380754" w:rsidRPr="007E3E5B" w:rsidRDefault="00380754"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37,46</w:t>
            </w:r>
          </w:p>
        </w:tc>
        <w:tc>
          <w:tcPr>
            <w:tcW w:w="1559" w:type="dxa"/>
            <w:vMerge/>
            <w:tcBorders>
              <w:left w:val="single" w:sz="8" w:space="0" w:color="auto"/>
              <w:bottom w:val="double" w:sz="6" w:space="0" w:color="000000"/>
              <w:right w:val="double" w:sz="6" w:space="0" w:color="auto"/>
            </w:tcBorders>
            <w:shd w:val="clear" w:color="auto" w:fill="FFCC66"/>
            <w:vAlign w:val="center"/>
            <w:hideMark/>
          </w:tcPr>
          <w:p w:rsidR="00380754" w:rsidRPr="007E3E5B" w:rsidRDefault="00380754"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10</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C1+C5</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39,15</w:t>
            </w:r>
          </w:p>
        </w:tc>
        <w:tc>
          <w:tcPr>
            <w:tcW w:w="1559" w:type="dxa"/>
            <w:vMerge w:val="restart"/>
            <w:tcBorders>
              <w:top w:val="nil"/>
              <w:left w:val="single" w:sz="4" w:space="0" w:color="auto"/>
              <w:bottom w:val="double" w:sz="6" w:space="0" w:color="000000"/>
              <w:right w:val="double" w:sz="6" w:space="0" w:color="auto"/>
            </w:tcBorders>
            <w:shd w:val="clear" w:color="000000" w:fill="FFFF99"/>
            <w:noWrap/>
            <w:vAlign w:val="center"/>
            <w:hideMark/>
          </w:tcPr>
          <w:p w:rsidR="007E3E5B" w:rsidRPr="007E3E5B" w:rsidRDefault="007E3E5B"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تنوع مقبول</w:t>
            </w: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11</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C2+C4</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39,47</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12</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41,1</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13</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C3+C4</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45,4</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14</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C1+C3</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47,09</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15</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C1+C4</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49,73</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16</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C2+C3+C5</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50,27</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17</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C2+C4+C5</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52,91</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18</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C1+C2+C5</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54,6</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19</w:t>
            </w:r>
          </w:p>
        </w:tc>
        <w:tc>
          <w:tcPr>
            <w:tcW w:w="2082"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C3+C4+C5</w:t>
            </w:r>
          </w:p>
        </w:tc>
        <w:tc>
          <w:tcPr>
            <w:tcW w:w="1087" w:type="dxa"/>
            <w:tcBorders>
              <w:top w:val="nil"/>
              <w:left w:val="single" w:sz="4" w:space="0" w:color="auto"/>
              <w:bottom w:val="single" w:sz="4"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58,84</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double" w:sz="6" w:space="0" w:color="auto"/>
              <w:right w:val="single" w:sz="4" w:space="0" w:color="auto"/>
            </w:tcBorders>
            <w:shd w:val="clear" w:color="000000" w:fill="FFFF99"/>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20</w:t>
            </w:r>
          </w:p>
        </w:tc>
        <w:tc>
          <w:tcPr>
            <w:tcW w:w="2082" w:type="dxa"/>
            <w:tcBorders>
              <w:top w:val="nil"/>
              <w:left w:val="single" w:sz="4" w:space="0" w:color="auto"/>
              <w:bottom w:val="double" w:sz="6"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C2+C3+C4</w:t>
            </w:r>
          </w:p>
        </w:tc>
        <w:tc>
          <w:tcPr>
            <w:tcW w:w="1087" w:type="dxa"/>
            <w:tcBorders>
              <w:top w:val="nil"/>
              <w:left w:val="single" w:sz="4" w:space="0" w:color="auto"/>
              <w:bottom w:val="double" w:sz="6" w:space="0" w:color="auto"/>
              <w:right w:val="single" w:sz="4" w:space="0" w:color="auto"/>
            </w:tcBorders>
            <w:shd w:val="clear" w:color="000000" w:fill="FFFF99"/>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60,85</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66FF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21</w:t>
            </w:r>
          </w:p>
        </w:tc>
        <w:tc>
          <w:tcPr>
            <w:tcW w:w="2082"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C1+C2+C3</w:t>
            </w:r>
          </w:p>
        </w:tc>
        <w:tc>
          <w:tcPr>
            <w:tcW w:w="1087"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62,54</w:t>
            </w:r>
          </w:p>
        </w:tc>
        <w:tc>
          <w:tcPr>
            <w:tcW w:w="1559" w:type="dxa"/>
            <w:vMerge w:val="restart"/>
            <w:tcBorders>
              <w:top w:val="nil"/>
              <w:left w:val="single" w:sz="4" w:space="0" w:color="auto"/>
              <w:bottom w:val="double" w:sz="6" w:space="0" w:color="000000"/>
              <w:right w:val="double" w:sz="6" w:space="0" w:color="auto"/>
            </w:tcBorders>
            <w:shd w:val="clear" w:color="000000" w:fill="66FF33"/>
            <w:noWrap/>
            <w:vAlign w:val="center"/>
            <w:hideMark/>
          </w:tcPr>
          <w:p w:rsidR="007E3E5B" w:rsidRPr="007E3E5B" w:rsidRDefault="007E3E5B"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تنوع عالي</w:t>
            </w: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66FF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22</w:t>
            </w:r>
          </w:p>
        </w:tc>
        <w:tc>
          <w:tcPr>
            <w:tcW w:w="2082"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C1+C4+C5</w:t>
            </w:r>
          </w:p>
        </w:tc>
        <w:tc>
          <w:tcPr>
            <w:tcW w:w="1087"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63,17</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66FF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23</w:t>
            </w:r>
          </w:p>
        </w:tc>
        <w:tc>
          <w:tcPr>
            <w:tcW w:w="2082"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C1+C2+C4</w:t>
            </w:r>
          </w:p>
        </w:tc>
        <w:tc>
          <w:tcPr>
            <w:tcW w:w="1087"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65,18</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66FF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24</w:t>
            </w:r>
          </w:p>
        </w:tc>
        <w:tc>
          <w:tcPr>
            <w:tcW w:w="2082"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C1+C3+C4</w:t>
            </w:r>
          </w:p>
        </w:tc>
        <w:tc>
          <w:tcPr>
            <w:tcW w:w="1087"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71,11</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66FF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25</w:t>
            </w:r>
          </w:p>
        </w:tc>
        <w:tc>
          <w:tcPr>
            <w:tcW w:w="2082"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C2+C3+C4+C5</w:t>
            </w:r>
          </w:p>
        </w:tc>
        <w:tc>
          <w:tcPr>
            <w:tcW w:w="1087"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74,29</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66FF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26</w:t>
            </w:r>
          </w:p>
        </w:tc>
        <w:tc>
          <w:tcPr>
            <w:tcW w:w="2082"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C1+C2+C3+C5</w:t>
            </w:r>
          </w:p>
        </w:tc>
        <w:tc>
          <w:tcPr>
            <w:tcW w:w="1087" w:type="dxa"/>
            <w:tcBorders>
              <w:top w:val="nil"/>
              <w:left w:val="single" w:sz="4" w:space="0" w:color="auto"/>
              <w:bottom w:val="single" w:sz="4"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75,98</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double" w:sz="6" w:space="0" w:color="auto"/>
              <w:right w:val="single" w:sz="4" w:space="0" w:color="auto"/>
            </w:tcBorders>
            <w:shd w:val="clear" w:color="000000" w:fill="66FF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27</w:t>
            </w:r>
          </w:p>
        </w:tc>
        <w:tc>
          <w:tcPr>
            <w:tcW w:w="2082" w:type="dxa"/>
            <w:tcBorders>
              <w:top w:val="nil"/>
              <w:left w:val="single" w:sz="4" w:space="0" w:color="auto"/>
              <w:bottom w:val="double" w:sz="6"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C1+C2+C4+C5</w:t>
            </w:r>
          </w:p>
        </w:tc>
        <w:tc>
          <w:tcPr>
            <w:tcW w:w="1087" w:type="dxa"/>
            <w:tcBorders>
              <w:top w:val="nil"/>
              <w:left w:val="single" w:sz="4" w:space="0" w:color="auto"/>
              <w:bottom w:val="double" w:sz="6" w:space="0" w:color="auto"/>
              <w:right w:val="single" w:sz="4" w:space="0" w:color="auto"/>
            </w:tcBorders>
            <w:shd w:val="clear" w:color="000000" w:fill="66FF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78,62</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33CC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28</w:t>
            </w:r>
          </w:p>
        </w:tc>
        <w:tc>
          <w:tcPr>
            <w:tcW w:w="2082" w:type="dxa"/>
            <w:tcBorders>
              <w:top w:val="nil"/>
              <w:left w:val="single" w:sz="4" w:space="0" w:color="auto"/>
              <w:bottom w:val="single" w:sz="4" w:space="0" w:color="auto"/>
              <w:right w:val="single" w:sz="4" w:space="0" w:color="auto"/>
            </w:tcBorders>
            <w:shd w:val="clear" w:color="000000" w:fill="33CC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C1+C3+C4+C5</w:t>
            </w:r>
          </w:p>
        </w:tc>
        <w:tc>
          <w:tcPr>
            <w:tcW w:w="1087" w:type="dxa"/>
            <w:tcBorders>
              <w:top w:val="nil"/>
              <w:left w:val="single" w:sz="4" w:space="0" w:color="auto"/>
              <w:bottom w:val="single" w:sz="4" w:space="0" w:color="auto"/>
              <w:right w:val="single" w:sz="4" w:space="0" w:color="auto"/>
            </w:tcBorders>
            <w:shd w:val="clear" w:color="000000" w:fill="33CC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84,55</w:t>
            </w:r>
          </w:p>
        </w:tc>
        <w:tc>
          <w:tcPr>
            <w:tcW w:w="1559" w:type="dxa"/>
            <w:vMerge w:val="restart"/>
            <w:tcBorders>
              <w:top w:val="nil"/>
              <w:left w:val="single" w:sz="4" w:space="0" w:color="auto"/>
              <w:bottom w:val="double" w:sz="6" w:space="0" w:color="000000"/>
              <w:right w:val="double" w:sz="6" w:space="0" w:color="auto"/>
            </w:tcBorders>
            <w:shd w:val="clear" w:color="000000" w:fill="33CC33"/>
            <w:noWrap/>
            <w:vAlign w:val="center"/>
            <w:hideMark/>
          </w:tcPr>
          <w:p w:rsidR="007E3E5B" w:rsidRPr="007E3E5B" w:rsidRDefault="007E3E5B" w:rsidP="00DA36AE">
            <w:pPr>
              <w:bidi/>
              <w:spacing w:after="0" w:line="240" w:lineRule="auto"/>
              <w:jc w:val="center"/>
              <w:rPr>
                <w:rFonts w:ascii="Simplified Arabic" w:eastAsia="Times New Roman" w:hAnsi="Simplified Arabic" w:cs="Simplified Arabic"/>
                <w:color w:val="000000"/>
                <w:sz w:val="24"/>
                <w:szCs w:val="24"/>
                <w:lang w:eastAsia="fr-FR"/>
              </w:rPr>
            </w:pPr>
            <w:r w:rsidRPr="007E3E5B">
              <w:rPr>
                <w:rFonts w:ascii="Simplified Arabic" w:eastAsia="Times New Roman" w:hAnsi="Simplified Arabic" w:cs="Simplified Arabic"/>
                <w:color w:val="000000"/>
                <w:sz w:val="24"/>
                <w:szCs w:val="24"/>
                <w:rtl/>
                <w:lang w:eastAsia="fr-FR"/>
              </w:rPr>
              <w:t>تنوع عالي جدا</w:t>
            </w:r>
          </w:p>
        </w:tc>
      </w:tr>
      <w:tr w:rsidR="00C509D6" w:rsidRPr="007E3E5B" w:rsidTr="00DA36AE">
        <w:trPr>
          <w:trHeight w:val="29"/>
          <w:jc w:val="center"/>
        </w:trPr>
        <w:tc>
          <w:tcPr>
            <w:tcW w:w="462" w:type="dxa"/>
            <w:tcBorders>
              <w:top w:val="nil"/>
              <w:left w:val="double" w:sz="6" w:space="0" w:color="auto"/>
              <w:bottom w:val="single" w:sz="4" w:space="0" w:color="auto"/>
              <w:right w:val="single" w:sz="4" w:space="0" w:color="auto"/>
            </w:tcBorders>
            <w:shd w:val="clear" w:color="000000" w:fill="33CC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29</w:t>
            </w:r>
          </w:p>
        </w:tc>
        <w:tc>
          <w:tcPr>
            <w:tcW w:w="2082" w:type="dxa"/>
            <w:tcBorders>
              <w:top w:val="nil"/>
              <w:left w:val="single" w:sz="4" w:space="0" w:color="auto"/>
              <w:bottom w:val="single" w:sz="4" w:space="0" w:color="auto"/>
              <w:right w:val="single" w:sz="4" w:space="0" w:color="auto"/>
            </w:tcBorders>
            <w:shd w:val="clear" w:color="000000" w:fill="33CC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C1+C2+C3+C4</w:t>
            </w:r>
          </w:p>
        </w:tc>
        <w:tc>
          <w:tcPr>
            <w:tcW w:w="1087" w:type="dxa"/>
            <w:tcBorders>
              <w:top w:val="nil"/>
              <w:left w:val="single" w:sz="4" w:space="0" w:color="auto"/>
              <w:bottom w:val="single" w:sz="4" w:space="0" w:color="auto"/>
              <w:right w:val="single" w:sz="4" w:space="0" w:color="auto"/>
            </w:tcBorders>
            <w:shd w:val="clear" w:color="000000" w:fill="33CC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86,56</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r w:rsidR="00C509D6" w:rsidRPr="007E3E5B" w:rsidTr="00DA36AE">
        <w:trPr>
          <w:trHeight w:val="29"/>
          <w:jc w:val="center"/>
        </w:trPr>
        <w:tc>
          <w:tcPr>
            <w:tcW w:w="462" w:type="dxa"/>
            <w:tcBorders>
              <w:top w:val="nil"/>
              <w:left w:val="double" w:sz="6" w:space="0" w:color="auto"/>
              <w:bottom w:val="double" w:sz="6" w:space="0" w:color="auto"/>
              <w:right w:val="single" w:sz="4" w:space="0" w:color="auto"/>
            </w:tcBorders>
            <w:shd w:val="clear" w:color="000000" w:fill="33CC33"/>
            <w:noWrap/>
            <w:vAlign w:val="center"/>
            <w:hideMark/>
          </w:tcPr>
          <w:p w:rsidR="007E3E5B" w:rsidRPr="007E3E5B" w:rsidRDefault="007E3E5B" w:rsidP="00DA36AE">
            <w:pPr>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30</w:t>
            </w:r>
          </w:p>
        </w:tc>
        <w:tc>
          <w:tcPr>
            <w:tcW w:w="2082" w:type="dxa"/>
            <w:tcBorders>
              <w:top w:val="nil"/>
              <w:left w:val="single" w:sz="4" w:space="0" w:color="auto"/>
              <w:bottom w:val="double" w:sz="6" w:space="0" w:color="auto"/>
              <w:right w:val="single" w:sz="4" w:space="0" w:color="auto"/>
            </w:tcBorders>
            <w:shd w:val="clear" w:color="000000" w:fill="33CC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lang w:eastAsia="fr-FR"/>
              </w:rPr>
              <w:t>C1+C2+C3+C4+C5</w:t>
            </w:r>
          </w:p>
        </w:tc>
        <w:tc>
          <w:tcPr>
            <w:tcW w:w="1087" w:type="dxa"/>
            <w:tcBorders>
              <w:top w:val="nil"/>
              <w:left w:val="single" w:sz="4" w:space="0" w:color="auto"/>
              <w:bottom w:val="double" w:sz="6" w:space="0" w:color="auto"/>
              <w:right w:val="single" w:sz="4" w:space="0" w:color="auto"/>
            </w:tcBorders>
            <w:shd w:val="clear" w:color="000000" w:fill="33CC33"/>
            <w:vAlign w:val="center"/>
            <w:hideMark/>
          </w:tcPr>
          <w:p w:rsidR="007E3E5B" w:rsidRPr="007E3E5B" w:rsidRDefault="007E3E5B" w:rsidP="00DA36AE">
            <w:pPr>
              <w:bidi/>
              <w:spacing w:after="0" w:line="240" w:lineRule="auto"/>
              <w:jc w:val="center"/>
              <w:rPr>
                <w:rFonts w:asciiTheme="majorBidi" w:eastAsia="Times New Roman" w:hAnsiTheme="majorBidi" w:cstheme="majorBidi"/>
                <w:color w:val="000000"/>
                <w:sz w:val="24"/>
                <w:szCs w:val="24"/>
                <w:lang w:eastAsia="fr-FR"/>
              </w:rPr>
            </w:pPr>
            <w:r w:rsidRPr="007E3E5B">
              <w:rPr>
                <w:rFonts w:asciiTheme="majorBidi" w:eastAsia="Times New Roman" w:hAnsiTheme="majorBidi" w:cstheme="majorBidi"/>
                <w:color w:val="000000"/>
                <w:sz w:val="24"/>
                <w:szCs w:val="24"/>
                <w:rtl/>
                <w:lang w:eastAsia="fr-FR"/>
              </w:rPr>
              <w:t>100</w:t>
            </w:r>
          </w:p>
        </w:tc>
        <w:tc>
          <w:tcPr>
            <w:tcW w:w="1559" w:type="dxa"/>
            <w:vMerge/>
            <w:tcBorders>
              <w:top w:val="nil"/>
              <w:left w:val="single" w:sz="4" w:space="0" w:color="auto"/>
              <w:bottom w:val="double" w:sz="6" w:space="0" w:color="000000"/>
              <w:right w:val="double" w:sz="6" w:space="0" w:color="auto"/>
            </w:tcBorders>
            <w:vAlign w:val="center"/>
            <w:hideMark/>
          </w:tcPr>
          <w:p w:rsidR="007E3E5B" w:rsidRPr="007E3E5B" w:rsidRDefault="007E3E5B" w:rsidP="00DA36AE">
            <w:pPr>
              <w:spacing w:after="0" w:line="240" w:lineRule="auto"/>
              <w:jc w:val="center"/>
              <w:rPr>
                <w:rFonts w:ascii="Simplified Arabic" w:eastAsia="Times New Roman" w:hAnsi="Simplified Arabic" w:cs="Simplified Arabic"/>
                <w:color w:val="000000"/>
                <w:sz w:val="24"/>
                <w:szCs w:val="24"/>
                <w:lang w:eastAsia="fr-FR"/>
              </w:rPr>
            </w:pPr>
          </w:p>
        </w:tc>
      </w:tr>
    </w:tbl>
    <w:p w:rsidR="001759DB" w:rsidRPr="00DA36AE" w:rsidRDefault="00DA36AE" w:rsidP="00DA36AE">
      <w:pPr>
        <w:tabs>
          <w:tab w:val="left" w:pos="2997"/>
        </w:tabs>
        <w:bidi/>
        <w:spacing w:after="0" w:line="240" w:lineRule="auto"/>
        <w:jc w:val="center"/>
        <w:rPr>
          <w:rFonts w:ascii="Simplified Arabic" w:hAnsi="Simplified Arabic" w:cs="Simplified Arabic"/>
          <w:b/>
          <w:bCs/>
          <w:sz w:val="24"/>
          <w:szCs w:val="24"/>
          <w:rtl/>
        </w:rPr>
      </w:pPr>
      <w:r w:rsidRPr="00DA36AE">
        <w:rPr>
          <w:rFonts w:ascii="Simplified Arabic" w:hAnsi="Simplified Arabic" w:cs="Simplified Arabic" w:hint="cs"/>
          <w:b/>
          <w:bCs/>
          <w:sz w:val="24"/>
          <w:szCs w:val="24"/>
          <w:rtl/>
          <w:lang w:bidi="ar-DZ"/>
        </w:rPr>
        <w:t xml:space="preserve">جدول نسبة الاهمية </w:t>
      </w:r>
      <w:r>
        <w:rPr>
          <w:rFonts w:ascii="Simplified Arabic" w:hAnsi="Simplified Arabic" w:cs="Simplified Arabic" w:hint="cs"/>
          <w:b/>
          <w:bCs/>
          <w:sz w:val="24"/>
          <w:szCs w:val="24"/>
          <w:rtl/>
          <w:lang w:bidi="ar-DZ"/>
        </w:rPr>
        <w:t>لل</w:t>
      </w:r>
      <w:r w:rsidRPr="00DA36AE">
        <w:rPr>
          <w:rFonts w:ascii="Simplified Arabic" w:eastAsia="Times New Roman" w:hAnsi="Simplified Arabic" w:cs="Simplified Arabic"/>
          <w:b/>
          <w:bCs/>
          <w:color w:val="000000"/>
          <w:sz w:val="24"/>
          <w:szCs w:val="24"/>
          <w:rtl/>
          <w:lang w:eastAsia="fr-FR"/>
        </w:rPr>
        <w:t>مع</w:t>
      </w:r>
      <w:r>
        <w:rPr>
          <w:rFonts w:ascii="Simplified Arabic" w:eastAsia="Times New Roman" w:hAnsi="Simplified Arabic" w:cs="Simplified Arabic" w:hint="cs"/>
          <w:b/>
          <w:bCs/>
          <w:color w:val="000000"/>
          <w:sz w:val="24"/>
          <w:szCs w:val="24"/>
          <w:rtl/>
          <w:lang w:eastAsia="fr-FR"/>
        </w:rPr>
        <w:t>اي</w:t>
      </w:r>
      <w:r w:rsidRPr="00DA36AE">
        <w:rPr>
          <w:rFonts w:ascii="Simplified Arabic" w:eastAsia="Times New Roman" w:hAnsi="Simplified Arabic" w:cs="Simplified Arabic"/>
          <w:b/>
          <w:bCs/>
          <w:color w:val="000000"/>
          <w:sz w:val="24"/>
          <w:szCs w:val="24"/>
          <w:rtl/>
          <w:lang w:eastAsia="fr-FR"/>
        </w:rPr>
        <w:t>ير</w:t>
      </w:r>
      <w:r w:rsidRPr="00DA36AE">
        <w:rPr>
          <w:rFonts w:ascii="Simplified Arabic" w:hAnsi="Simplified Arabic" w:cs="Simplified Arabic" w:hint="cs"/>
          <w:b/>
          <w:bCs/>
          <w:sz w:val="24"/>
          <w:szCs w:val="24"/>
          <w:rtl/>
          <w:lang w:bidi="ar-DZ"/>
        </w:rPr>
        <w:t xml:space="preserve"> التي حددها خبراء دلفي</w:t>
      </w:r>
    </w:p>
    <w:tbl>
      <w:tblPr>
        <w:bidiVisual/>
        <w:tblW w:w="3776" w:type="dxa"/>
        <w:jc w:val="center"/>
        <w:tblInd w:w="55" w:type="dxa"/>
        <w:tblCellMar>
          <w:left w:w="70" w:type="dxa"/>
          <w:right w:w="70" w:type="dxa"/>
        </w:tblCellMar>
        <w:tblLook w:val="04A0" w:firstRow="1" w:lastRow="0" w:firstColumn="1" w:lastColumn="0" w:noHBand="0" w:noVBand="1"/>
      </w:tblPr>
      <w:tblGrid>
        <w:gridCol w:w="2217"/>
        <w:gridCol w:w="1559"/>
      </w:tblGrid>
      <w:tr w:rsidR="00DA36AE" w:rsidRPr="00DA36AE" w:rsidTr="00DA36AE">
        <w:trPr>
          <w:trHeight w:val="211"/>
          <w:jc w:val="center"/>
        </w:trPr>
        <w:tc>
          <w:tcPr>
            <w:tcW w:w="22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A36AE" w:rsidRPr="00DA36AE" w:rsidRDefault="00DA36AE" w:rsidP="001652AB">
            <w:pPr>
              <w:bidi/>
              <w:spacing w:after="0" w:line="240" w:lineRule="auto"/>
              <w:jc w:val="center"/>
              <w:rPr>
                <w:rFonts w:ascii="Simplified Arabic" w:eastAsia="Times New Roman" w:hAnsi="Simplified Arabic" w:cs="Simplified Arabic"/>
                <w:color w:val="000000"/>
                <w:lang w:eastAsia="fr-FR"/>
              </w:rPr>
            </w:pPr>
            <w:r w:rsidRPr="00DA36AE">
              <w:rPr>
                <w:rFonts w:ascii="Simplified Arabic" w:eastAsia="Times New Roman" w:hAnsi="Simplified Arabic" w:cs="Simplified Arabic"/>
                <w:color w:val="000000"/>
                <w:rtl/>
                <w:lang w:eastAsia="fr-FR"/>
              </w:rPr>
              <w:t>نوع المرفق (المعيار)</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DA36AE" w:rsidRPr="00DA36AE" w:rsidRDefault="00DA36AE" w:rsidP="001652AB">
            <w:pPr>
              <w:bidi/>
              <w:spacing w:after="0" w:line="240" w:lineRule="auto"/>
              <w:jc w:val="center"/>
              <w:rPr>
                <w:rFonts w:ascii="Simplified Arabic" w:eastAsia="Times New Roman" w:hAnsi="Simplified Arabic" w:cs="Simplified Arabic"/>
                <w:color w:val="000000"/>
                <w:lang w:eastAsia="fr-FR"/>
              </w:rPr>
            </w:pPr>
            <w:r w:rsidRPr="00DA36AE">
              <w:rPr>
                <w:rFonts w:ascii="Simplified Arabic" w:eastAsia="Times New Roman" w:hAnsi="Simplified Arabic" w:cs="Simplified Arabic"/>
                <w:color w:val="000000"/>
                <w:rtl/>
                <w:lang w:eastAsia="fr-FR"/>
              </w:rPr>
              <w:t>قيمة التنوع</w:t>
            </w:r>
          </w:p>
        </w:tc>
      </w:tr>
      <w:tr w:rsidR="00DA36AE" w:rsidRPr="00DA36AE" w:rsidTr="00DA36AE">
        <w:trPr>
          <w:trHeight w:val="73"/>
          <w:jc w:val="center"/>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تكفل طبي</w:t>
            </w:r>
            <w:r w:rsidRPr="00DA36AE">
              <w:rPr>
                <w:rFonts w:ascii="Simplified Arabic" w:eastAsia="Times New Roman" w:hAnsi="Simplified Arabic" w:cs="Simplified Arabic"/>
                <w:color w:val="000000"/>
                <w:lang w:eastAsia="fr-FR"/>
              </w:rPr>
              <w:t xml:space="preserve"> </w:t>
            </w:r>
            <w:r w:rsidRPr="0006014B">
              <w:rPr>
                <w:rFonts w:ascii="Simplified Arabic" w:eastAsia="Times New Roman" w:hAnsi="Simplified Arabic" w:cs="Simplified Arabic"/>
                <w:color w:val="000000"/>
                <w:lang w:eastAsia="fr-FR"/>
              </w:rPr>
              <w:t>C1</w:t>
            </w:r>
          </w:p>
        </w:tc>
        <w:tc>
          <w:tcPr>
            <w:tcW w:w="1559" w:type="dxa"/>
            <w:tcBorders>
              <w:top w:val="nil"/>
              <w:left w:val="single" w:sz="4" w:space="0" w:color="auto"/>
              <w:bottom w:val="single" w:sz="4" w:space="0" w:color="auto"/>
              <w:right w:val="single" w:sz="4" w:space="0" w:color="auto"/>
            </w:tcBorders>
            <w:shd w:val="clear" w:color="auto" w:fill="auto"/>
            <w:vAlign w:val="center"/>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25,71</w:t>
            </w:r>
          </w:p>
        </w:tc>
      </w:tr>
      <w:tr w:rsidR="00DA36AE" w:rsidRPr="00DA36AE" w:rsidTr="00DA36AE">
        <w:trPr>
          <w:trHeight w:val="70"/>
          <w:jc w:val="center"/>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 xml:space="preserve">الايواء المؤقت </w:t>
            </w:r>
            <w:r w:rsidRPr="0006014B">
              <w:rPr>
                <w:rFonts w:ascii="Simplified Arabic" w:eastAsia="Times New Roman" w:hAnsi="Simplified Arabic" w:cs="Simplified Arabic"/>
                <w:color w:val="000000"/>
                <w:lang w:eastAsia="fr-FR"/>
              </w:rPr>
              <w:t>C4</w:t>
            </w:r>
          </w:p>
        </w:tc>
        <w:tc>
          <w:tcPr>
            <w:tcW w:w="1559" w:type="dxa"/>
            <w:tcBorders>
              <w:top w:val="nil"/>
              <w:left w:val="single" w:sz="4" w:space="0" w:color="auto"/>
              <w:bottom w:val="single" w:sz="4" w:space="0" w:color="auto"/>
              <w:right w:val="single" w:sz="4" w:space="0" w:color="auto"/>
            </w:tcBorders>
            <w:shd w:val="clear" w:color="auto" w:fill="auto"/>
            <w:vAlign w:val="center"/>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24,02</w:t>
            </w:r>
          </w:p>
        </w:tc>
      </w:tr>
      <w:tr w:rsidR="00DA36AE" w:rsidRPr="00DA36AE" w:rsidTr="00DA36AE">
        <w:trPr>
          <w:trHeight w:val="219"/>
          <w:jc w:val="center"/>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 xml:space="preserve">الأمن </w:t>
            </w:r>
            <w:r w:rsidRPr="0006014B">
              <w:rPr>
                <w:rFonts w:ascii="Simplified Arabic" w:eastAsia="Times New Roman" w:hAnsi="Simplified Arabic" w:cs="Simplified Arabic"/>
                <w:color w:val="000000"/>
                <w:lang w:eastAsia="fr-FR"/>
              </w:rPr>
              <w:t>C3</w:t>
            </w:r>
          </w:p>
        </w:tc>
        <w:tc>
          <w:tcPr>
            <w:tcW w:w="1559" w:type="dxa"/>
            <w:tcBorders>
              <w:top w:val="nil"/>
              <w:left w:val="single" w:sz="4" w:space="0" w:color="auto"/>
              <w:bottom w:val="single" w:sz="4" w:space="0" w:color="auto"/>
              <w:right w:val="single" w:sz="4" w:space="0" w:color="auto"/>
            </w:tcBorders>
            <w:shd w:val="clear" w:color="auto" w:fill="auto"/>
            <w:vAlign w:val="center"/>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21,38</w:t>
            </w:r>
          </w:p>
        </w:tc>
      </w:tr>
      <w:tr w:rsidR="00DA36AE" w:rsidRPr="00DA36AE" w:rsidTr="00DA36AE">
        <w:trPr>
          <w:trHeight w:val="70"/>
          <w:jc w:val="center"/>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 xml:space="preserve">الإنقاذ والإجلاء </w:t>
            </w:r>
            <w:r w:rsidRPr="0006014B">
              <w:rPr>
                <w:rFonts w:ascii="Simplified Arabic" w:eastAsia="Times New Roman" w:hAnsi="Simplified Arabic" w:cs="Simplified Arabic"/>
                <w:color w:val="000000"/>
                <w:lang w:eastAsia="fr-FR"/>
              </w:rPr>
              <w:t>C2</w:t>
            </w:r>
          </w:p>
        </w:tc>
        <w:tc>
          <w:tcPr>
            <w:tcW w:w="1559" w:type="dxa"/>
            <w:tcBorders>
              <w:top w:val="nil"/>
              <w:left w:val="single" w:sz="4" w:space="0" w:color="auto"/>
              <w:bottom w:val="single" w:sz="4" w:space="0" w:color="auto"/>
              <w:right w:val="single" w:sz="4" w:space="0" w:color="auto"/>
            </w:tcBorders>
            <w:shd w:val="clear" w:color="auto" w:fill="auto"/>
            <w:vAlign w:val="center"/>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15,45</w:t>
            </w:r>
          </w:p>
        </w:tc>
      </w:tr>
      <w:tr w:rsidR="00DA36AE" w:rsidRPr="00DA36AE" w:rsidTr="00DA36AE">
        <w:trPr>
          <w:trHeight w:val="118"/>
          <w:jc w:val="center"/>
        </w:trPr>
        <w:tc>
          <w:tcPr>
            <w:tcW w:w="2217" w:type="dxa"/>
            <w:tcBorders>
              <w:top w:val="nil"/>
              <w:left w:val="single" w:sz="4" w:space="0" w:color="auto"/>
              <w:bottom w:val="single" w:sz="4" w:space="0" w:color="auto"/>
              <w:right w:val="single" w:sz="4" w:space="0" w:color="auto"/>
            </w:tcBorders>
            <w:shd w:val="clear" w:color="auto" w:fill="auto"/>
            <w:noWrap/>
            <w:vAlign w:val="center"/>
            <w:hideMark/>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 xml:space="preserve">التضامن والتموين </w:t>
            </w:r>
            <w:r w:rsidRPr="0006014B">
              <w:rPr>
                <w:rFonts w:ascii="Simplified Arabic" w:eastAsia="Times New Roman" w:hAnsi="Simplified Arabic" w:cs="Simplified Arabic"/>
                <w:color w:val="000000"/>
                <w:lang w:eastAsia="fr-FR"/>
              </w:rPr>
              <w:t>C5</w:t>
            </w:r>
          </w:p>
        </w:tc>
        <w:tc>
          <w:tcPr>
            <w:tcW w:w="1559" w:type="dxa"/>
            <w:tcBorders>
              <w:top w:val="nil"/>
              <w:left w:val="single" w:sz="4" w:space="0" w:color="auto"/>
              <w:bottom w:val="single" w:sz="4" w:space="0" w:color="auto"/>
              <w:right w:val="single" w:sz="4" w:space="0" w:color="auto"/>
            </w:tcBorders>
            <w:shd w:val="clear" w:color="auto" w:fill="auto"/>
            <w:vAlign w:val="center"/>
          </w:tcPr>
          <w:p w:rsidR="00DA36AE" w:rsidRPr="0006014B" w:rsidRDefault="00DA36AE" w:rsidP="00DA36AE">
            <w:pPr>
              <w:bidi/>
              <w:spacing w:after="0" w:line="240" w:lineRule="auto"/>
              <w:jc w:val="center"/>
              <w:rPr>
                <w:rFonts w:ascii="Simplified Arabic" w:eastAsia="Times New Roman" w:hAnsi="Simplified Arabic" w:cs="Simplified Arabic"/>
                <w:color w:val="000000"/>
                <w:lang w:eastAsia="fr-FR"/>
              </w:rPr>
            </w:pPr>
            <w:r w:rsidRPr="0006014B">
              <w:rPr>
                <w:rFonts w:ascii="Simplified Arabic" w:eastAsia="Times New Roman" w:hAnsi="Simplified Arabic" w:cs="Simplified Arabic"/>
                <w:color w:val="000000"/>
                <w:rtl/>
                <w:lang w:eastAsia="fr-FR"/>
              </w:rPr>
              <w:t>13,44</w:t>
            </w:r>
          </w:p>
        </w:tc>
      </w:tr>
    </w:tbl>
    <w:p w:rsidR="00F52541" w:rsidRDefault="00F52541" w:rsidP="005D50CE">
      <w:pPr>
        <w:bidi/>
        <w:spacing w:after="0"/>
        <w:rPr>
          <w:rFonts w:ascii="Simplified Arabic" w:hAnsi="Simplified Arabic" w:cs="Simplified Arabic"/>
          <w:b/>
          <w:bCs/>
          <w:sz w:val="24"/>
          <w:szCs w:val="24"/>
          <w:rtl/>
        </w:rPr>
      </w:pPr>
    </w:p>
    <w:sectPr w:rsidR="00F52541" w:rsidSect="004B54BB">
      <w:headerReference w:type="default" r:id="rId436"/>
      <w:headerReference w:type="first" r:id="rId437"/>
      <w:footerReference w:type="first" r:id="rId438"/>
      <w:pgSz w:w="11906" w:h="16838"/>
      <w:pgMar w:top="1418" w:right="1700" w:bottom="1418" w:left="1134" w:header="709" w:footer="709" w:gutter="0"/>
      <w:pgNumType w:start="25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7FA5" w:rsidRDefault="00A97FA5" w:rsidP="00766051">
      <w:pPr>
        <w:spacing w:after="0" w:line="240" w:lineRule="auto"/>
      </w:pPr>
      <w:r>
        <w:separator/>
      </w:r>
    </w:p>
  </w:endnote>
  <w:endnote w:type="continuationSeparator" w:id="0">
    <w:p w:rsidR="00A97FA5" w:rsidRDefault="00A97FA5" w:rsidP="00766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abic Typesetting">
    <w:panose1 w:val="03020402040406030203"/>
    <w:charset w:val="00"/>
    <w:family w:val="script"/>
    <w:pitch w:val="variable"/>
    <w:sig w:usb0="A000206F" w:usb1="C0000000" w:usb2="00000008" w:usb3="00000000" w:csb0="000000D3" w:csb1="00000000"/>
  </w:font>
  <w:font w:name="Simplified Arabic,Bold">
    <w:altName w:val="Times New Roman"/>
    <w:panose1 w:val="00000000000000000000"/>
    <w:charset w:val="B2"/>
    <w:family w:val="auto"/>
    <w:notTrueType/>
    <w:pitch w:val="default"/>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TimesNewRoman">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CharisSIL">
    <w:altName w:val="MS Mincho"/>
    <w:panose1 w:val="00000000000000000000"/>
    <w:charset w:val="80"/>
    <w:family w:val="auto"/>
    <w:notTrueType/>
    <w:pitch w:val="default"/>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TraditionalArabic-Bold">
    <w:altName w:val="Times New Roman"/>
    <w:panose1 w:val="00000000000000000000"/>
    <w:charset w:val="B2"/>
    <w:family w:val="auto"/>
    <w:notTrueType/>
    <w:pitch w:val="default"/>
    <w:sig w:usb0="00002001" w:usb1="00000000" w:usb2="00000000" w:usb3="00000000" w:csb0="00000040" w:csb1="00000000"/>
  </w:font>
  <w:font w:name="Corbel-Identity-H">
    <w:altName w:val="MS Mincho"/>
    <w:panose1 w:val="00000000000000000000"/>
    <w:charset w:val="80"/>
    <w:family w:val="auto"/>
    <w:notTrueType/>
    <w:pitch w:val="default"/>
    <w:sig w:usb0="00000001" w:usb1="08070000" w:usb2="00000010" w:usb3="00000000" w:csb0="00020000" w:csb1="00000000"/>
  </w:font>
  <w:font w:name="Algerian">
    <w:panose1 w:val="04020705040A02060702"/>
    <w:charset w:val="00"/>
    <w:family w:val="decorative"/>
    <w:pitch w:val="variable"/>
    <w:sig w:usb0="00000003" w:usb1="00000000" w:usb2="00000000" w:usb3="00000000" w:csb0="00000001" w:csb1="00000000"/>
  </w:font>
  <w:font w:name="Calibri-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7529AE">
    <w:pPr>
      <w:pStyle w:val="Pieddepage"/>
      <w:bidi/>
      <w:jc w:val="center"/>
      <w:rPr>
        <w:lang w:bidi="ar-DZ"/>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0755BB">
    <w:pPr>
      <w:pStyle w:val="Pieddepage"/>
      <w:bidi/>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40284569"/>
      <w:docPartObj>
        <w:docPartGallery w:val="Page Numbers (Bottom of Page)"/>
        <w:docPartUnique/>
      </w:docPartObj>
    </w:sdtPr>
    <w:sdtEndPr/>
    <w:sdtContent>
      <w:p w:rsidR="00D13702" w:rsidRDefault="00D13702" w:rsidP="00AD3206">
        <w:pPr>
          <w:pStyle w:val="Pieddepage"/>
          <w:bidi/>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tl/>
          </w:rPr>
          <w:t>82</w:t>
        </w:r>
        <w:r w:rsidRPr="00AD3206">
          <w:rPr>
            <w:rFonts w:ascii="Simplified Arabic" w:hAnsi="Simplified Arabic" w:cs="Simplified Arabic"/>
            <w:b/>
            <w:bCs/>
            <w:sz w:val="24"/>
            <w:szCs w:val="24"/>
          </w:rPr>
          <w:fldChar w:fldCharType="end"/>
        </w:r>
      </w:p>
    </w:sdtContent>
  </w:sdt>
  <w:p w:rsidR="00D13702" w:rsidRDefault="00D13702">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0805017"/>
      <w:docPartObj>
        <w:docPartGallery w:val="Page Numbers (Bottom of Page)"/>
        <w:docPartUnique/>
      </w:docPartObj>
    </w:sdtPr>
    <w:sdtEndPr/>
    <w:sdtContent>
      <w:p w:rsidR="00D13702" w:rsidRDefault="00D13702">
        <w:pPr>
          <w:pStyle w:val="Pieddepage"/>
          <w:jc w:val="center"/>
        </w:pPr>
        <w:r w:rsidRPr="00FD5616">
          <w:rPr>
            <w:rFonts w:ascii="Simplified Arabic" w:hAnsi="Simplified Arabic" w:cs="Simplified Arabic"/>
            <w:b/>
            <w:bCs/>
            <w:sz w:val="24"/>
            <w:szCs w:val="24"/>
          </w:rPr>
          <w:fldChar w:fldCharType="begin"/>
        </w:r>
        <w:r w:rsidRPr="00FD5616">
          <w:rPr>
            <w:rFonts w:ascii="Simplified Arabic" w:hAnsi="Simplified Arabic" w:cs="Simplified Arabic"/>
            <w:b/>
            <w:bCs/>
            <w:sz w:val="24"/>
            <w:szCs w:val="24"/>
          </w:rPr>
          <w:instrText>PAGE   \* MERGEFORMAT</w:instrText>
        </w:r>
        <w:r w:rsidRPr="00FD561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Pr>
          <w:t>55</w:t>
        </w:r>
        <w:r w:rsidRPr="00FD5616">
          <w:rPr>
            <w:rFonts w:ascii="Simplified Arabic" w:hAnsi="Simplified Arabic" w:cs="Simplified Arabic"/>
            <w:b/>
            <w:bCs/>
            <w:sz w:val="24"/>
            <w:szCs w:val="24"/>
          </w:rPr>
          <w:fldChar w:fldCharType="end"/>
        </w:r>
      </w:p>
    </w:sdtContent>
  </w:sdt>
  <w:p w:rsidR="00D13702" w:rsidRDefault="00D13702">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FD5616">
    <w:pPr>
      <w:pStyle w:val="Pieddepage"/>
      <w:jc w:val="center"/>
    </w:pPr>
  </w:p>
  <w:p w:rsidR="00D13702" w:rsidRDefault="00D13702">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8529582"/>
      <w:docPartObj>
        <w:docPartGallery w:val="Page Numbers (Bottom of Page)"/>
        <w:docPartUnique/>
      </w:docPartObj>
    </w:sdtPr>
    <w:sdtEndPr/>
    <w:sdtContent>
      <w:p w:rsidR="00D13702" w:rsidRDefault="00D13702">
        <w:pPr>
          <w:pStyle w:val="Pieddepage"/>
          <w:jc w:val="center"/>
        </w:pPr>
        <w:r w:rsidRPr="00D47DF1">
          <w:rPr>
            <w:rFonts w:ascii="Simplified Arabic" w:hAnsi="Simplified Arabic" w:cs="Simplified Arabic"/>
            <w:sz w:val="24"/>
            <w:szCs w:val="24"/>
          </w:rPr>
          <w:fldChar w:fldCharType="begin"/>
        </w:r>
        <w:r w:rsidRPr="00D47DF1">
          <w:rPr>
            <w:rFonts w:ascii="Simplified Arabic" w:hAnsi="Simplified Arabic" w:cs="Simplified Arabic"/>
            <w:sz w:val="24"/>
            <w:szCs w:val="24"/>
          </w:rPr>
          <w:instrText>PAGE   \* MERGEFORMAT</w:instrText>
        </w:r>
        <w:r w:rsidRPr="00D47DF1">
          <w:rPr>
            <w:rFonts w:ascii="Simplified Arabic" w:hAnsi="Simplified Arabic" w:cs="Simplified Arabic"/>
            <w:sz w:val="24"/>
            <w:szCs w:val="24"/>
          </w:rPr>
          <w:fldChar w:fldCharType="separate"/>
        </w:r>
        <w:r w:rsidR="00F06308">
          <w:rPr>
            <w:rFonts w:ascii="Simplified Arabic" w:hAnsi="Simplified Arabic" w:cs="Simplified Arabic"/>
            <w:noProof/>
            <w:sz w:val="24"/>
            <w:szCs w:val="24"/>
          </w:rPr>
          <w:t>83</w:t>
        </w:r>
        <w:r w:rsidRPr="00D47DF1">
          <w:rPr>
            <w:rFonts w:ascii="Simplified Arabic" w:hAnsi="Simplified Arabic" w:cs="Simplified Arabic"/>
            <w:sz w:val="24"/>
            <w:szCs w:val="24"/>
          </w:rPr>
          <w:fldChar w:fldCharType="end"/>
        </w:r>
      </w:p>
    </w:sdtContent>
  </w:sdt>
  <w:p w:rsidR="00D13702" w:rsidRDefault="00D13702">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CC44EF">
    <w:pPr>
      <w:pStyle w:val="Pieddepage"/>
      <w:jc w:val="center"/>
    </w:pPr>
  </w:p>
  <w:p w:rsidR="00D13702" w:rsidRDefault="00D13702">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16385293"/>
      <w:docPartObj>
        <w:docPartGallery w:val="Page Numbers (Bottom of Page)"/>
        <w:docPartUnique/>
      </w:docPartObj>
    </w:sdtPr>
    <w:sdtEndPr/>
    <w:sdtContent>
      <w:p w:rsidR="00D13702" w:rsidRDefault="00D13702" w:rsidP="00AD3206">
        <w:pPr>
          <w:pStyle w:val="Pieddepage"/>
          <w:bidi/>
          <w:jc w:val="center"/>
        </w:pPr>
        <w:r w:rsidRPr="00C01173">
          <w:rPr>
            <w:rFonts w:ascii="Simplified Arabic" w:hAnsi="Simplified Arabic" w:cs="Simplified Arabic"/>
            <w:b/>
            <w:bCs/>
            <w:sz w:val="24"/>
            <w:szCs w:val="24"/>
          </w:rPr>
          <w:fldChar w:fldCharType="begin"/>
        </w:r>
        <w:r w:rsidRPr="00C01173">
          <w:rPr>
            <w:rFonts w:ascii="Simplified Arabic" w:hAnsi="Simplified Arabic" w:cs="Simplified Arabic"/>
            <w:b/>
            <w:bCs/>
            <w:sz w:val="24"/>
            <w:szCs w:val="24"/>
          </w:rPr>
          <w:instrText>PAGE   \* MERGEFORMAT</w:instrText>
        </w:r>
        <w:r w:rsidRPr="00C01173">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tl/>
          </w:rPr>
          <w:t>110</w:t>
        </w:r>
        <w:r w:rsidRPr="00C01173">
          <w:rPr>
            <w:rFonts w:ascii="Simplified Arabic" w:hAnsi="Simplified Arabic" w:cs="Simplified Arabic"/>
            <w:b/>
            <w:bCs/>
            <w:sz w:val="24"/>
            <w:szCs w:val="24"/>
          </w:rPr>
          <w:fldChar w:fldCharType="end"/>
        </w:r>
      </w:p>
    </w:sdtContent>
  </w:sdt>
  <w:p w:rsidR="00D13702" w:rsidRDefault="00D13702">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4998081"/>
      <w:docPartObj>
        <w:docPartGallery w:val="Page Numbers (Bottom of Page)"/>
        <w:docPartUnique/>
      </w:docPartObj>
    </w:sdtPr>
    <w:sdtEndPr/>
    <w:sdtContent>
      <w:p w:rsidR="00D13702" w:rsidRDefault="00D13702">
        <w:pPr>
          <w:pStyle w:val="Pieddepage"/>
          <w:jc w:val="center"/>
        </w:pPr>
        <w:r>
          <w:fldChar w:fldCharType="begin"/>
        </w:r>
        <w:r>
          <w:instrText>PAGE   \* MERGEFORMAT</w:instrText>
        </w:r>
        <w:r>
          <w:fldChar w:fldCharType="separate"/>
        </w:r>
        <w:r>
          <w:rPr>
            <w:noProof/>
          </w:rPr>
          <w:t>56</w:t>
        </w:r>
        <w:r>
          <w:fldChar w:fldCharType="end"/>
        </w:r>
      </w:p>
    </w:sdtContent>
  </w:sdt>
  <w:p w:rsidR="00D13702" w:rsidRDefault="00D13702">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B72F63">
    <w:pPr>
      <w:pStyle w:val="Pieddepage"/>
      <w:jc w:val="cen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71396524"/>
      <w:docPartObj>
        <w:docPartGallery w:val="Page Numbers (Bottom of Page)"/>
        <w:docPartUnique/>
      </w:docPartObj>
    </w:sdtPr>
    <w:sdtEndPr/>
    <w:sdtContent>
      <w:p w:rsidR="00D13702" w:rsidRDefault="00D13702" w:rsidP="006B12FB">
        <w:pPr>
          <w:pStyle w:val="Pieddepage"/>
          <w:bidi/>
          <w:jc w:val="center"/>
        </w:pPr>
        <w:r w:rsidRPr="006B12FB">
          <w:rPr>
            <w:rFonts w:ascii="Simplified Arabic" w:hAnsi="Simplified Arabic" w:cs="Simplified Arabic"/>
            <w:b/>
            <w:bCs/>
            <w:sz w:val="24"/>
            <w:szCs w:val="24"/>
          </w:rPr>
          <w:fldChar w:fldCharType="begin"/>
        </w:r>
        <w:r w:rsidRPr="006B12FB">
          <w:rPr>
            <w:rFonts w:ascii="Simplified Arabic" w:hAnsi="Simplified Arabic" w:cs="Simplified Arabic"/>
            <w:b/>
            <w:bCs/>
            <w:sz w:val="24"/>
            <w:szCs w:val="24"/>
          </w:rPr>
          <w:instrText>PAGE   \* MERGEFORMAT</w:instrText>
        </w:r>
        <w:r w:rsidRPr="006B12FB">
          <w:rPr>
            <w:rFonts w:ascii="Simplified Arabic" w:hAnsi="Simplified Arabic" w:cs="Simplified Arabic"/>
            <w:b/>
            <w:bCs/>
            <w:sz w:val="24"/>
            <w:szCs w:val="24"/>
          </w:rPr>
          <w:fldChar w:fldCharType="separate"/>
        </w:r>
        <w:r>
          <w:rPr>
            <w:rFonts w:ascii="Simplified Arabic" w:hAnsi="Simplified Arabic" w:cs="Simplified Arabic"/>
            <w:b/>
            <w:bCs/>
            <w:noProof/>
            <w:sz w:val="24"/>
            <w:szCs w:val="24"/>
            <w:rtl/>
          </w:rPr>
          <w:t>112</w:t>
        </w:r>
        <w:r w:rsidRPr="006B12FB">
          <w:rPr>
            <w:rFonts w:ascii="Simplified Arabic" w:hAnsi="Simplified Arabic" w:cs="Simplified Arabic"/>
            <w:b/>
            <w:bCs/>
            <w:sz w:val="24"/>
            <w:szCs w:val="24"/>
          </w:rPr>
          <w:fldChar w:fldCharType="end"/>
        </w:r>
      </w:p>
    </w:sdtContent>
  </w:sdt>
  <w:p w:rsidR="00D13702" w:rsidRDefault="00D1370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54923450"/>
      <w:docPartObj>
        <w:docPartGallery w:val="Page Numbers (Bottom of Page)"/>
        <w:docPartUnique/>
      </w:docPartObj>
    </w:sdtPr>
    <w:sdtEndPr/>
    <w:sdtContent>
      <w:p w:rsidR="00D13702" w:rsidRDefault="00D13702">
        <w:pPr>
          <w:pStyle w:val="Pieddepage"/>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Pr>
          <w:t>140</w:t>
        </w:r>
        <w:r w:rsidRPr="00AD3206">
          <w:rPr>
            <w:rFonts w:ascii="Simplified Arabic" w:hAnsi="Simplified Arabic" w:cs="Simplified Arabic"/>
            <w:b/>
            <w:bCs/>
            <w:sz w:val="24"/>
            <w:szCs w:val="24"/>
          </w:rPr>
          <w:fldChar w:fldCharType="end"/>
        </w:r>
      </w:p>
    </w:sdtContent>
  </w:sdt>
  <w:p w:rsidR="00D13702" w:rsidRDefault="00D13702" w:rsidP="00AD3206">
    <w:pPr>
      <w:pStyle w:val="Pieddepage"/>
      <w:jc w:val="center"/>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3821085"/>
      <w:docPartObj>
        <w:docPartGallery w:val="Page Numbers (Bottom of Page)"/>
        <w:docPartUnique/>
      </w:docPartObj>
    </w:sdtPr>
    <w:sdtEndPr/>
    <w:sdtContent>
      <w:p w:rsidR="00D13702" w:rsidRDefault="00D13702">
        <w:pPr>
          <w:pStyle w:val="Pieddepage"/>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Pr>
            <w:rFonts w:ascii="Simplified Arabic" w:hAnsi="Simplified Arabic" w:cs="Simplified Arabic"/>
            <w:b/>
            <w:bCs/>
            <w:noProof/>
            <w:sz w:val="24"/>
            <w:szCs w:val="24"/>
          </w:rPr>
          <w:t>142</w:t>
        </w:r>
        <w:r w:rsidRPr="00AD3206">
          <w:rPr>
            <w:rFonts w:ascii="Simplified Arabic" w:hAnsi="Simplified Arabic" w:cs="Simplified Arabic"/>
            <w:b/>
            <w:bCs/>
            <w:sz w:val="24"/>
            <w:szCs w:val="24"/>
          </w:rPr>
          <w:fldChar w:fldCharType="end"/>
        </w:r>
      </w:p>
    </w:sdtContent>
  </w:sdt>
  <w:p w:rsidR="00D13702" w:rsidRDefault="00D13702" w:rsidP="00AD3206">
    <w:pPr>
      <w:pStyle w:val="Pieddepage"/>
      <w:jc w:val="cente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FD5616">
    <w:pPr>
      <w:pStyle w:val="Pieddepage"/>
      <w:bidi/>
      <w:jc w:val="center"/>
    </w:pPr>
  </w:p>
  <w:p w:rsidR="00D13702" w:rsidRDefault="00D13702">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9432075"/>
      <w:docPartObj>
        <w:docPartGallery w:val="Page Numbers (Bottom of Page)"/>
        <w:docPartUnique/>
      </w:docPartObj>
    </w:sdtPr>
    <w:sdtEndPr/>
    <w:sdtContent>
      <w:p w:rsidR="00D13702" w:rsidRDefault="00D13702">
        <w:pPr>
          <w:pStyle w:val="Pieddepage"/>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Pr>
          <w:t>181</w:t>
        </w:r>
        <w:r w:rsidRPr="00AD3206">
          <w:rPr>
            <w:rFonts w:ascii="Simplified Arabic" w:hAnsi="Simplified Arabic" w:cs="Simplified Arabic"/>
            <w:b/>
            <w:bCs/>
            <w:sz w:val="24"/>
            <w:szCs w:val="24"/>
          </w:rPr>
          <w:fldChar w:fldCharType="end"/>
        </w:r>
      </w:p>
    </w:sdtContent>
  </w:sdt>
  <w:p w:rsidR="00D13702" w:rsidRDefault="00D13702" w:rsidP="00AD3206">
    <w:pPr>
      <w:pStyle w:val="Pieddepage"/>
      <w:jc w:val="center"/>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AD3206">
    <w:pPr>
      <w:pStyle w:val="Pieddepage"/>
      <w:bidi/>
      <w:jc w:val="center"/>
    </w:pPr>
  </w:p>
  <w:p w:rsidR="00D13702" w:rsidRDefault="00D13702">
    <w:pPr>
      <w:pStyle w:val="Pieddepage"/>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94699985"/>
      <w:docPartObj>
        <w:docPartGallery w:val="Page Numbers (Bottom of Page)"/>
        <w:docPartUnique/>
      </w:docPartObj>
    </w:sdtPr>
    <w:sdtEndPr/>
    <w:sdtContent>
      <w:p w:rsidR="00D13702" w:rsidRDefault="00D13702" w:rsidP="00AD3206">
        <w:pPr>
          <w:pStyle w:val="Pieddepage"/>
          <w:bidi/>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tl/>
          </w:rPr>
          <w:t>227</w:t>
        </w:r>
        <w:r w:rsidRPr="00AD3206">
          <w:rPr>
            <w:rFonts w:ascii="Simplified Arabic" w:hAnsi="Simplified Arabic" w:cs="Simplified Arabic"/>
            <w:b/>
            <w:bCs/>
            <w:sz w:val="24"/>
            <w:szCs w:val="24"/>
          </w:rPr>
          <w:fldChar w:fldCharType="end"/>
        </w:r>
      </w:p>
    </w:sdtContent>
  </w:sdt>
  <w:p w:rsidR="00D13702" w:rsidRDefault="00D13702" w:rsidP="00AD3206">
    <w:pPr>
      <w:pStyle w:val="Pieddepage"/>
      <w:jc w:val="center"/>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5620599"/>
      <w:docPartObj>
        <w:docPartGallery w:val="Page Numbers (Bottom of Page)"/>
        <w:docPartUnique/>
      </w:docPartObj>
    </w:sdtPr>
    <w:sdtEndPr/>
    <w:sdtContent>
      <w:p w:rsidR="00D13702" w:rsidRDefault="00D13702">
        <w:pPr>
          <w:pStyle w:val="Pieddepage"/>
          <w:jc w:val="center"/>
        </w:pPr>
        <w:r w:rsidRPr="00977D69">
          <w:rPr>
            <w:rFonts w:ascii="Simplified Arabic" w:hAnsi="Simplified Arabic" w:cs="Simplified Arabic"/>
            <w:b/>
            <w:bCs/>
            <w:sz w:val="24"/>
            <w:szCs w:val="24"/>
          </w:rPr>
          <w:fldChar w:fldCharType="begin"/>
        </w:r>
        <w:r w:rsidRPr="00977D69">
          <w:rPr>
            <w:rFonts w:ascii="Simplified Arabic" w:hAnsi="Simplified Arabic" w:cs="Simplified Arabic"/>
            <w:b/>
            <w:bCs/>
            <w:sz w:val="24"/>
            <w:szCs w:val="24"/>
          </w:rPr>
          <w:instrText>PAGE   \* MERGEFORMAT</w:instrText>
        </w:r>
        <w:r w:rsidRPr="00977D69">
          <w:rPr>
            <w:rFonts w:ascii="Simplified Arabic" w:hAnsi="Simplified Arabic" w:cs="Simplified Arabic"/>
            <w:b/>
            <w:bCs/>
            <w:sz w:val="24"/>
            <w:szCs w:val="24"/>
          </w:rPr>
          <w:fldChar w:fldCharType="separate"/>
        </w:r>
        <w:r>
          <w:rPr>
            <w:rFonts w:ascii="Simplified Arabic" w:hAnsi="Simplified Arabic" w:cs="Simplified Arabic"/>
            <w:b/>
            <w:bCs/>
            <w:noProof/>
            <w:sz w:val="24"/>
            <w:szCs w:val="24"/>
          </w:rPr>
          <w:t>251</w:t>
        </w:r>
        <w:r w:rsidRPr="00977D69">
          <w:rPr>
            <w:rFonts w:ascii="Simplified Arabic" w:hAnsi="Simplified Arabic" w:cs="Simplified Arabic"/>
            <w:b/>
            <w:bCs/>
            <w:sz w:val="24"/>
            <w:szCs w:val="24"/>
          </w:rPr>
          <w:fldChar w:fldCharType="end"/>
        </w:r>
      </w:p>
    </w:sdtContent>
  </w:sdt>
  <w:p w:rsidR="00D13702" w:rsidRDefault="00D13702">
    <w:pPr>
      <w:pStyle w:val="Pieddepage"/>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260ADC">
    <w:pPr>
      <w:pStyle w:val="Pieddepage"/>
      <w:bidi/>
      <w:jc w:val="center"/>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25841653"/>
      <w:docPartObj>
        <w:docPartGallery w:val="Page Numbers (Bottom of Page)"/>
        <w:docPartUnique/>
      </w:docPartObj>
    </w:sdtPr>
    <w:sdtEndPr/>
    <w:sdtContent>
      <w:p w:rsidR="00D13702" w:rsidRDefault="00D13702" w:rsidP="00AD3206">
        <w:pPr>
          <w:pStyle w:val="Pieddepage"/>
          <w:bidi/>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tl/>
          </w:rPr>
          <w:t>232</w:t>
        </w:r>
        <w:r w:rsidRPr="00AD3206">
          <w:rPr>
            <w:rFonts w:ascii="Simplified Arabic" w:hAnsi="Simplified Arabic" w:cs="Simplified Arabic"/>
            <w:b/>
            <w:bCs/>
            <w:sz w:val="24"/>
            <w:szCs w:val="24"/>
          </w:rPr>
          <w:fldChar w:fldCharType="end"/>
        </w:r>
      </w:p>
    </w:sdtContent>
  </w:sdt>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0618E8">
    <w:pPr>
      <w:pStyle w:val="Pieddepage"/>
      <w:bidi/>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4381956"/>
      <w:docPartObj>
        <w:docPartGallery w:val="Page Numbers (Bottom of Page)"/>
        <w:docPartUnique/>
      </w:docPartObj>
    </w:sdtPr>
    <w:sdtEndPr/>
    <w:sdtContent>
      <w:p w:rsidR="00D13702" w:rsidRDefault="00D13702" w:rsidP="00EF5226">
        <w:pPr>
          <w:pStyle w:val="Pieddepage"/>
          <w:jc w:val="center"/>
        </w:pPr>
        <w:r w:rsidRPr="00063AB9">
          <w:rPr>
            <w:rFonts w:ascii="Simplified Arabic" w:hAnsi="Simplified Arabic" w:cs="Simplified Arabic"/>
            <w:sz w:val="24"/>
            <w:szCs w:val="24"/>
          </w:rPr>
          <w:fldChar w:fldCharType="begin"/>
        </w:r>
        <w:r w:rsidRPr="00063AB9">
          <w:rPr>
            <w:rFonts w:ascii="Simplified Arabic" w:hAnsi="Simplified Arabic" w:cs="Simplified Arabic"/>
            <w:sz w:val="24"/>
            <w:szCs w:val="24"/>
          </w:rPr>
          <w:instrText>PAGE   \* MERGEFORMAT</w:instrText>
        </w:r>
        <w:r w:rsidRPr="00063AB9">
          <w:rPr>
            <w:rFonts w:ascii="Simplified Arabic" w:hAnsi="Simplified Arabic" w:cs="Simplified Arabic"/>
            <w:sz w:val="24"/>
            <w:szCs w:val="24"/>
          </w:rPr>
          <w:fldChar w:fldCharType="separate"/>
        </w:r>
        <w:r w:rsidR="00B62F86">
          <w:rPr>
            <w:rFonts w:ascii="Simplified Arabic" w:hAnsi="Simplified Arabic" w:cs="Simplified Arabic" w:hint="cs"/>
            <w:noProof/>
            <w:sz w:val="24"/>
            <w:szCs w:val="24"/>
            <w:rtl/>
          </w:rPr>
          <w:t>‌ث</w:t>
        </w:r>
        <w:r w:rsidRPr="00063AB9">
          <w:rPr>
            <w:rFonts w:ascii="Simplified Arabic" w:hAnsi="Simplified Arabic" w:cs="Simplified Arabic"/>
            <w:sz w:val="24"/>
            <w:szCs w:val="24"/>
          </w:rPr>
          <w:fldChar w:fldCharType="end"/>
        </w:r>
      </w:p>
    </w:sdtContent>
  </w:sdt>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3573766"/>
      <w:docPartObj>
        <w:docPartGallery w:val="Page Numbers (Bottom of Page)"/>
        <w:docPartUnique/>
      </w:docPartObj>
    </w:sdtPr>
    <w:sdtEndPr/>
    <w:sdtContent>
      <w:p w:rsidR="00D13702" w:rsidRDefault="00D13702">
        <w:pPr>
          <w:pStyle w:val="Pieddepage"/>
          <w:jc w:val="center"/>
        </w:pPr>
        <w:r w:rsidRPr="000618E8">
          <w:rPr>
            <w:rFonts w:ascii="Simplified Arabic" w:hAnsi="Simplified Arabic" w:cs="Simplified Arabic"/>
            <w:b/>
            <w:bCs/>
            <w:sz w:val="24"/>
            <w:szCs w:val="24"/>
          </w:rPr>
          <w:fldChar w:fldCharType="begin"/>
        </w:r>
        <w:r w:rsidRPr="000618E8">
          <w:rPr>
            <w:rFonts w:ascii="Simplified Arabic" w:hAnsi="Simplified Arabic" w:cs="Simplified Arabic"/>
            <w:b/>
            <w:bCs/>
            <w:sz w:val="24"/>
            <w:szCs w:val="24"/>
          </w:rPr>
          <w:instrText>PAGE   \* MERGEFORMAT</w:instrText>
        </w:r>
        <w:r w:rsidRPr="000618E8">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Pr>
          <w:t>255</w:t>
        </w:r>
        <w:r w:rsidRPr="000618E8">
          <w:rPr>
            <w:rFonts w:ascii="Simplified Arabic" w:hAnsi="Simplified Arabic" w:cs="Simplified Arabic"/>
            <w:b/>
            <w:bCs/>
            <w:sz w:val="24"/>
            <w:szCs w:val="24"/>
          </w:rPr>
          <w:fldChar w:fldCharType="end"/>
        </w:r>
      </w:p>
    </w:sdtContent>
  </w:sdt>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6781019"/>
      <w:docPartObj>
        <w:docPartGallery w:val="Page Numbers (Bottom of Page)"/>
        <w:docPartUnique/>
      </w:docPartObj>
    </w:sdtPr>
    <w:sdtEndPr/>
    <w:sdtContent>
      <w:p w:rsidR="00D13702" w:rsidRDefault="00D13702" w:rsidP="00AD3206">
        <w:pPr>
          <w:pStyle w:val="Pieddepage"/>
          <w:bidi/>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tl/>
          </w:rPr>
          <w:t>267</w:t>
        </w:r>
        <w:r w:rsidRPr="00AD3206">
          <w:rPr>
            <w:rFonts w:ascii="Simplified Arabic" w:hAnsi="Simplified Arabic" w:cs="Simplified Arabic"/>
            <w:b/>
            <w:bCs/>
            <w:sz w:val="24"/>
            <w:szCs w:val="24"/>
          </w:rPr>
          <w:fldChar w:fldCharType="end"/>
        </w:r>
      </w:p>
    </w:sdtContent>
  </w:sdt>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pPr>
      <w:pStyle w:val="Pieddepage"/>
    </w:pP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4273618"/>
      <w:docPartObj>
        <w:docPartGallery w:val="Page Numbers (Bottom of Page)"/>
        <w:docPartUnique/>
      </w:docPartObj>
    </w:sdtPr>
    <w:sdtEndPr/>
    <w:sdtContent>
      <w:p w:rsidR="00D13702" w:rsidRDefault="00D13702">
        <w:pPr>
          <w:pStyle w:val="Pieddepage"/>
          <w:jc w:val="center"/>
        </w:pPr>
        <w:r w:rsidRPr="003C34D5">
          <w:rPr>
            <w:rFonts w:ascii="Simplified Arabic" w:hAnsi="Simplified Arabic" w:cs="Simplified Arabic"/>
            <w:b/>
            <w:bCs/>
            <w:sz w:val="24"/>
            <w:szCs w:val="24"/>
          </w:rPr>
          <w:fldChar w:fldCharType="begin"/>
        </w:r>
        <w:r w:rsidRPr="003C34D5">
          <w:rPr>
            <w:rFonts w:ascii="Simplified Arabic" w:hAnsi="Simplified Arabic" w:cs="Simplified Arabic"/>
            <w:b/>
            <w:bCs/>
            <w:sz w:val="24"/>
            <w:szCs w:val="24"/>
          </w:rPr>
          <w:instrText>PAGE   \* MERGEFORMAT</w:instrText>
        </w:r>
        <w:r w:rsidRPr="003C34D5">
          <w:rPr>
            <w:rFonts w:ascii="Simplified Arabic" w:hAnsi="Simplified Arabic" w:cs="Simplified Arabic"/>
            <w:b/>
            <w:bCs/>
            <w:sz w:val="24"/>
            <w:szCs w:val="24"/>
          </w:rPr>
          <w:fldChar w:fldCharType="separate"/>
        </w:r>
        <w:r>
          <w:rPr>
            <w:rFonts w:ascii="Simplified Arabic" w:hAnsi="Simplified Arabic" w:cs="Simplified Arabic"/>
            <w:b/>
            <w:bCs/>
            <w:noProof/>
            <w:sz w:val="24"/>
            <w:szCs w:val="24"/>
          </w:rPr>
          <w:t>251</w:t>
        </w:r>
        <w:r w:rsidRPr="003C34D5">
          <w:rPr>
            <w:rFonts w:ascii="Simplified Arabic" w:hAnsi="Simplified Arabic" w:cs="Simplified Arabic"/>
            <w:b/>
            <w:bCs/>
            <w:sz w:val="24"/>
            <w:szCs w:val="24"/>
          </w:rPr>
          <w:fldChar w:fldCharType="end"/>
        </w:r>
      </w:p>
    </w:sdtContent>
  </w:sdt>
  <w:p w:rsidR="00D13702" w:rsidRDefault="00D13702">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515293"/>
      <w:docPartObj>
        <w:docPartGallery w:val="Page Numbers (Bottom of Page)"/>
        <w:docPartUnique/>
      </w:docPartObj>
    </w:sdtPr>
    <w:sdtEndPr/>
    <w:sdtContent>
      <w:p w:rsidR="00D13702" w:rsidRDefault="00D13702">
        <w:pPr>
          <w:pStyle w:val="Pieddepage"/>
          <w:jc w:val="center"/>
        </w:pPr>
        <w:r>
          <w:fldChar w:fldCharType="begin"/>
        </w:r>
        <w:r>
          <w:instrText>PAGE   \* MERGEFORMAT</w:instrText>
        </w:r>
        <w:r>
          <w:fldChar w:fldCharType="separate"/>
        </w:r>
        <w:r w:rsidR="00B62F86">
          <w:rPr>
            <w:rFonts w:hint="cs"/>
            <w:noProof/>
            <w:rtl/>
          </w:rPr>
          <w:t>‌أ</w:t>
        </w:r>
        <w:r>
          <w:fldChar w:fldCharType="end"/>
        </w:r>
      </w:p>
    </w:sdtContent>
  </w:sdt>
  <w:p w:rsidR="00D13702" w:rsidRDefault="00D13702" w:rsidP="008C3FAE">
    <w:pPr>
      <w:pStyle w:val="Pieddepage"/>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rsidP="00EF5226">
    <w:pPr>
      <w:pStyle w:val="Pieddepage"/>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implified Arabic" w:hAnsi="Simplified Arabic" w:cs="Simplified Arabic"/>
        <w:rtl/>
      </w:rPr>
      <w:id w:val="-574356023"/>
      <w:docPartObj>
        <w:docPartGallery w:val="Page Numbers (Bottom of Page)"/>
        <w:docPartUnique/>
      </w:docPartObj>
    </w:sdtPr>
    <w:sdtEndPr/>
    <w:sdtContent>
      <w:p w:rsidR="00D13702" w:rsidRPr="00AD3206" w:rsidRDefault="00D13702" w:rsidP="00AD3206">
        <w:pPr>
          <w:pStyle w:val="Pieddepage"/>
          <w:bidi/>
          <w:jc w:val="center"/>
          <w:rPr>
            <w:rFonts w:ascii="Simplified Arabic" w:hAnsi="Simplified Arabic" w:cs="Simplified Arabic"/>
          </w:rP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tl/>
          </w:rPr>
          <w:t>10</w:t>
        </w:r>
        <w:r w:rsidRPr="00AD3206">
          <w:rPr>
            <w:rFonts w:ascii="Simplified Arabic" w:hAnsi="Simplified Arabic" w:cs="Simplified Arabic"/>
            <w:b/>
            <w:bCs/>
            <w:sz w:val="24"/>
            <w:szCs w:val="24"/>
          </w:rPr>
          <w:fldChar w:fldCharType="end"/>
        </w:r>
      </w:p>
    </w:sdtContent>
  </w:sdt>
  <w:p w:rsidR="00D13702" w:rsidRDefault="00D13702" w:rsidP="007529AE">
    <w:pPr>
      <w:pStyle w:val="Pieddepage"/>
      <w:bidi/>
      <w:jc w:val="center"/>
      <w:rPr>
        <w:lang w:bidi="ar-DZ"/>
      </w:rPr>
    </w:pPr>
  </w:p>
  <w:p w:rsidR="00D13702" w:rsidRDefault="00D13702"/>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8652751"/>
      <w:docPartObj>
        <w:docPartGallery w:val="Page Numbers (Bottom of Page)"/>
        <w:docPartUnique/>
      </w:docPartObj>
    </w:sdtPr>
    <w:sdtEndPr/>
    <w:sdtContent>
      <w:p w:rsidR="00D13702" w:rsidRDefault="00D13702" w:rsidP="00AD3206">
        <w:pPr>
          <w:pStyle w:val="Pieddepage"/>
          <w:bidi/>
          <w:jc w:val="center"/>
        </w:pPr>
        <w:r w:rsidRPr="00AD3206">
          <w:rPr>
            <w:rFonts w:ascii="Simplified Arabic" w:hAnsi="Simplified Arabic" w:cs="Simplified Arabic"/>
            <w:b/>
            <w:bCs/>
            <w:sz w:val="24"/>
            <w:szCs w:val="24"/>
          </w:rPr>
          <w:fldChar w:fldCharType="begin"/>
        </w:r>
        <w:r w:rsidRPr="00AD3206">
          <w:rPr>
            <w:rFonts w:ascii="Simplified Arabic" w:hAnsi="Simplified Arabic" w:cs="Simplified Arabic"/>
            <w:b/>
            <w:bCs/>
            <w:sz w:val="24"/>
            <w:szCs w:val="24"/>
          </w:rPr>
          <w:instrText>PAGE   \* MERGEFORMAT</w:instrText>
        </w:r>
        <w:r w:rsidRPr="00AD3206">
          <w:rPr>
            <w:rFonts w:ascii="Simplified Arabic" w:hAnsi="Simplified Arabic" w:cs="Simplified Arabic"/>
            <w:b/>
            <w:bCs/>
            <w:sz w:val="24"/>
            <w:szCs w:val="24"/>
          </w:rPr>
          <w:fldChar w:fldCharType="separate"/>
        </w:r>
        <w:r>
          <w:rPr>
            <w:rFonts w:ascii="Simplified Arabic" w:hAnsi="Simplified Arabic" w:cs="Simplified Arabic"/>
            <w:b/>
            <w:bCs/>
            <w:noProof/>
            <w:sz w:val="24"/>
            <w:szCs w:val="24"/>
            <w:rtl/>
          </w:rPr>
          <w:t>1</w:t>
        </w:r>
        <w:r w:rsidRPr="00AD3206">
          <w:rPr>
            <w:rFonts w:ascii="Simplified Arabic" w:hAnsi="Simplified Arabic" w:cs="Simplified Arabic"/>
            <w:b/>
            <w:bCs/>
            <w:sz w:val="24"/>
            <w:szCs w:val="24"/>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4829474"/>
      <w:docPartObj>
        <w:docPartGallery w:val="Page Numbers (Bottom of Page)"/>
        <w:docPartUnique/>
      </w:docPartObj>
    </w:sdtPr>
    <w:sdtEndPr/>
    <w:sdtContent>
      <w:p w:rsidR="00D13702" w:rsidRDefault="00D13702">
        <w:pPr>
          <w:pStyle w:val="Pieddepage"/>
          <w:jc w:val="center"/>
        </w:pPr>
        <w:r w:rsidRPr="000B64DE">
          <w:rPr>
            <w:rFonts w:ascii="Simplified Arabic" w:hAnsi="Simplified Arabic" w:cs="Simplified Arabic"/>
            <w:b/>
            <w:bCs/>
            <w:sz w:val="24"/>
            <w:szCs w:val="24"/>
          </w:rPr>
          <w:fldChar w:fldCharType="begin"/>
        </w:r>
        <w:r w:rsidRPr="000B64DE">
          <w:rPr>
            <w:rFonts w:ascii="Simplified Arabic" w:hAnsi="Simplified Arabic" w:cs="Simplified Arabic"/>
            <w:b/>
            <w:bCs/>
            <w:sz w:val="24"/>
            <w:szCs w:val="24"/>
          </w:rPr>
          <w:instrText>PAGE   \* MERGEFORMAT</w:instrText>
        </w:r>
        <w:r w:rsidRPr="000B64DE">
          <w:rPr>
            <w:rFonts w:ascii="Simplified Arabic" w:hAnsi="Simplified Arabic" w:cs="Simplified Arabic"/>
            <w:b/>
            <w:bCs/>
            <w:sz w:val="24"/>
            <w:szCs w:val="24"/>
          </w:rPr>
          <w:fldChar w:fldCharType="separate"/>
        </w:r>
        <w:r w:rsidR="00B62F86">
          <w:rPr>
            <w:rFonts w:ascii="Simplified Arabic" w:hAnsi="Simplified Arabic" w:cs="Simplified Arabic"/>
            <w:b/>
            <w:bCs/>
            <w:noProof/>
            <w:sz w:val="24"/>
            <w:szCs w:val="24"/>
          </w:rPr>
          <w:t>54</w:t>
        </w:r>
        <w:r w:rsidRPr="000B64DE">
          <w:rPr>
            <w:rFonts w:ascii="Simplified Arabic" w:hAnsi="Simplified Arabic" w:cs="Simplified Arabic"/>
            <w:b/>
            <w:bCs/>
            <w:sz w:val="24"/>
            <w:szCs w:val="24"/>
          </w:rPr>
          <w:fldChar w:fldCharType="end"/>
        </w:r>
      </w:p>
    </w:sdtContent>
  </w:sdt>
  <w:p w:rsidR="00D13702" w:rsidRDefault="00D1370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7FA5" w:rsidRDefault="00A97FA5" w:rsidP="00766051">
      <w:pPr>
        <w:spacing w:after="0" w:line="240" w:lineRule="auto"/>
      </w:pPr>
      <w:r>
        <w:separator/>
      </w:r>
    </w:p>
  </w:footnote>
  <w:footnote w:type="continuationSeparator" w:id="0">
    <w:p w:rsidR="00A97FA5" w:rsidRDefault="00A97FA5" w:rsidP="0076605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9B131D" w:rsidRDefault="00D13702" w:rsidP="005010C2">
    <w:pPr>
      <w:pBdr>
        <w:bottom w:val="single" w:sz="8" w:space="1" w:color="auto"/>
      </w:pBdr>
      <w:bidi/>
      <w:spacing w:after="0"/>
      <w:rPr>
        <w:rFonts w:ascii="Simplified Arabic" w:hAnsi="Simplified Arabic" w:cs="Simplified Arabic"/>
        <w:b/>
        <w:bCs/>
        <w:sz w:val="20"/>
        <w:szCs w:val="20"/>
        <w:rtl/>
        <w:lang w:val="en-US"/>
      </w:rPr>
    </w:pPr>
    <w:r w:rsidRPr="009B131D">
      <w:rPr>
        <w:rFonts w:ascii="Simplified Arabic" w:hAnsi="Simplified Arabic" w:cs="Simplified Arabic"/>
        <w:b/>
        <w:bCs/>
        <w:color w:val="000000" w:themeColor="text1"/>
        <w:sz w:val="20"/>
        <w:szCs w:val="20"/>
        <w:rtl/>
        <w:lang w:bidi="ar-DZ"/>
      </w:rPr>
      <w:t xml:space="preserve">الفصل </w:t>
    </w:r>
    <w:r w:rsidRPr="009B131D">
      <w:rPr>
        <w:rFonts w:ascii="Simplified Arabic" w:hAnsi="Simplified Arabic" w:cs="Simplified Arabic" w:hint="cs"/>
        <w:b/>
        <w:bCs/>
        <w:color w:val="000000" w:themeColor="text1"/>
        <w:sz w:val="20"/>
        <w:szCs w:val="20"/>
        <w:rtl/>
        <w:lang w:bidi="ar-DZ"/>
      </w:rPr>
      <w:t>2</w:t>
    </w:r>
    <w:r w:rsidRPr="009B131D">
      <w:rPr>
        <w:rFonts w:ascii="Simplified Arabic" w:hAnsi="Simplified Arabic" w:cs="Simplified Arabic"/>
        <w:b/>
        <w:bCs/>
        <w:color w:val="000000" w:themeColor="text1"/>
        <w:sz w:val="20"/>
        <w:szCs w:val="20"/>
        <w:rtl/>
        <w:lang w:bidi="ar-DZ"/>
      </w:rPr>
      <w:t>:</w:t>
    </w:r>
    <w:r>
      <w:rPr>
        <w:rFonts w:ascii="Simplified Arabic" w:hAnsi="Simplified Arabic" w:cs="Simplified Arabic" w:hint="cs"/>
        <w:b/>
        <w:bCs/>
        <w:color w:val="000000" w:themeColor="text1"/>
        <w:sz w:val="20"/>
        <w:szCs w:val="20"/>
        <w:rtl/>
        <w:lang w:bidi="ar-DZ"/>
      </w:rPr>
      <w:t xml:space="preserve"> </w:t>
    </w:r>
    <w:r w:rsidRPr="009B131D">
      <w:rPr>
        <w:rFonts w:ascii="Simplified Arabic" w:hAnsi="Simplified Arabic" w:cs="Simplified Arabic" w:hint="cs"/>
        <w:b/>
        <w:bCs/>
        <w:sz w:val="20"/>
        <w:szCs w:val="20"/>
        <w:rtl/>
        <w:lang w:val="en-US"/>
      </w:rPr>
      <w:t>تحليل مناهج</w:t>
    </w:r>
    <w:r w:rsidRPr="009B131D">
      <w:rPr>
        <w:rFonts w:ascii="Simplified Arabic" w:hAnsi="Simplified Arabic" w:cs="Simplified Arabic"/>
        <w:b/>
        <w:bCs/>
        <w:sz w:val="20"/>
        <w:szCs w:val="20"/>
        <w:rtl/>
        <w:lang w:val="en-US"/>
      </w:rPr>
      <w:t xml:space="preserve"> </w:t>
    </w:r>
    <w:r w:rsidRPr="009B131D">
      <w:rPr>
        <w:rFonts w:ascii="Simplified Arabic" w:hAnsi="Simplified Arabic" w:cs="Simplified Arabic" w:hint="cs"/>
        <w:b/>
        <w:bCs/>
        <w:sz w:val="20"/>
        <w:szCs w:val="20"/>
        <w:rtl/>
        <w:lang w:val="en-US"/>
      </w:rPr>
      <w:t>واطر تقييم</w:t>
    </w:r>
    <w:r w:rsidRPr="009B131D">
      <w:rPr>
        <w:rFonts w:ascii="Simplified Arabic" w:hAnsi="Simplified Arabic" w:cs="Simplified Arabic"/>
        <w:b/>
        <w:bCs/>
        <w:sz w:val="20"/>
        <w:szCs w:val="20"/>
        <w:rtl/>
        <w:lang w:val="en-US"/>
      </w:rPr>
      <w:t xml:space="preserve"> </w:t>
    </w:r>
    <w:r w:rsidRPr="009B131D">
      <w:rPr>
        <w:rFonts w:ascii="Simplified Arabic" w:hAnsi="Simplified Arabic" w:cs="Simplified Arabic" w:hint="cs"/>
        <w:b/>
        <w:bCs/>
        <w:sz w:val="20"/>
        <w:szCs w:val="20"/>
        <w:rtl/>
        <w:lang w:val="en-US"/>
      </w:rPr>
      <w:t>وتفعيل المرونة</w:t>
    </w:r>
  </w:p>
  <w:p w:rsidR="00D13702" w:rsidRPr="003438FF" w:rsidRDefault="00D13702" w:rsidP="003438FF">
    <w:pPr>
      <w:pStyle w:val="En-tte"/>
      <w:rPr>
        <w:lang w:val="en-US"/>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F90BBA" w:rsidRDefault="00D13702" w:rsidP="00F90BBA">
    <w:pPr>
      <w:pBdr>
        <w:bottom w:val="single" w:sz="12" w:space="1" w:color="auto"/>
      </w:pBdr>
      <w:bidi/>
      <w:spacing w:after="0"/>
      <w:rPr>
        <w:rFonts w:ascii="Simplified Arabic" w:hAnsi="Simplified Arabic" w:cs="Simplified Arabic"/>
        <w:b/>
        <w:bCs/>
        <w:sz w:val="20"/>
        <w:szCs w:val="20"/>
        <w:lang w:val="en-US"/>
      </w:rPr>
    </w:pPr>
    <w:r w:rsidRPr="009B131D">
      <w:rPr>
        <w:rFonts w:ascii="Simplified Arabic" w:hAnsi="Simplified Arabic" w:cs="Simplified Arabic"/>
        <w:b/>
        <w:bCs/>
        <w:color w:val="000000" w:themeColor="text1"/>
        <w:sz w:val="20"/>
        <w:szCs w:val="20"/>
        <w:rtl/>
        <w:lang w:bidi="ar-DZ"/>
      </w:rPr>
      <w:t xml:space="preserve">الفصل </w:t>
    </w:r>
    <w:r w:rsidRPr="009B131D">
      <w:rPr>
        <w:rFonts w:ascii="Simplified Arabic" w:hAnsi="Simplified Arabic" w:cs="Simplified Arabic" w:hint="cs"/>
        <w:b/>
        <w:bCs/>
        <w:color w:val="000000" w:themeColor="text1"/>
        <w:sz w:val="20"/>
        <w:szCs w:val="20"/>
        <w:rtl/>
        <w:lang w:bidi="ar-DZ"/>
      </w:rPr>
      <w:t>2</w:t>
    </w:r>
    <w:r w:rsidRPr="009B131D">
      <w:rPr>
        <w:rFonts w:ascii="Simplified Arabic" w:hAnsi="Simplified Arabic" w:cs="Simplified Arabic"/>
        <w:b/>
        <w:bCs/>
        <w:color w:val="000000" w:themeColor="text1"/>
        <w:sz w:val="20"/>
        <w:szCs w:val="20"/>
        <w:rtl/>
        <w:lang w:bidi="ar-DZ"/>
      </w:rPr>
      <w:t>:</w:t>
    </w:r>
    <w:r>
      <w:rPr>
        <w:rFonts w:ascii="Simplified Arabic" w:hAnsi="Simplified Arabic" w:cs="Simplified Arabic" w:hint="cs"/>
        <w:b/>
        <w:bCs/>
        <w:color w:val="000000" w:themeColor="text1"/>
        <w:sz w:val="20"/>
        <w:szCs w:val="20"/>
        <w:rtl/>
        <w:lang w:bidi="ar-DZ"/>
      </w:rPr>
      <w:t xml:space="preserve"> </w:t>
    </w:r>
    <w:r w:rsidRPr="009B131D">
      <w:rPr>
        <w:rFonts w:ascii="Simplified Arabic" w:hAnsi="Simplified Arabic" w:cs="Simplified Arabic" w:hint="cs"/>
        <w:b/>
        <w:bCs/>
        <w:sz w:val="20"/>
        <w:szCs w:val="20"/>
        <w:rtl/>
        <w:lang w:val="en-US"/>
      </w:rPr>
      <w:t>تحليل مناهج</w:t>
    </w:r>
    <w:r w:rsidRPr="009B131D">
      <w:rPr>
        <w:rFonts w:ascii="Simplified Arabic" w:hAnsi="Simplified Arabic" w:cs="Simplified Arabic"/>
        <w:b/>
        <w:bCs/>
        <w:sz w:val="20"/>
        <w:szCs w:val="20"/>
        <w:rtl/>
        <w:lang w:val="en-US"/>
      </w:rPr>
      <w:t xml:space="preserve"> </w:t>
    </w:r>
    <w:r w:rsidRPr="009B131D">
      <w:rPr>
        <w:rFonts w:ascii="Simplified Arabic" w:hAnsi="Simplified Arabic" w:cs="Simplified Arabic" w:hint="cs"/>
        <w:b/>
        <w:bCs/>
        <w:sz w:val="20"/>
        <w:szCs w:val="20"/>
        <w:rtl/>
        <w:lang w:val="en-US"/>
      </w:rPr>
      <w:t>واطر تقييم</w:t>
    </w:r>
    <w:r w:rsidRPr="009B131D">
      <w:rPr>
        <w:rFonts w:ascii="Simplified Arabic" w:hAnsi="Simplified Arabic" w:cs="Simplified Arabic"/>
        <w:b/>
        <w:bCs/>
        <w:sz w:val="20"/>
        <w:szCs w:val="20"/>
        <w:rtl/>
        <w:lang w:val="en-US"/>
      </w:rPr>
      <w:t xml:space="preserve"> </w:t>
    </w:r>
    <w:r w:rsidRPr="009B131D">
      <w:rPr>
        <w:rFonts w:ascii="Simplified Arabic" w:hAnsi="Simplified Arabic" w:cs="Simplified Arabic" w:hint="cs"/>
        <w:b/>
        <w:bCs/>
        <w:sz w:val="20"/>
        <w:szCs w:val="20"/>
        <w:rtl/>
        <w:lang w:val="en-US"/>
      </w:rPr>
      <w:t>وتفعيل المرونة</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345EA2" w:rsidRDefault="00D13702" w:rsidP="00345EA2">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3438FF" w:rsidRDefault="00D13702" w:rsidP="004C4FD1">
    <w:pPr>
      <w:pBdr>
        <w:bottom w:val="single" w:sz="8" w:space="1" w:color="auto"/>
      </w:pBdr>
      <w:bidi/>
      <w:spacing w:after="0"/>
      <w:rPr>
        <w:lang w:val="en-US"/>
      </w:rPr>
    </w:pPr>
    <w:r w:rsidRPr="00F90BBA">
      <w:rPr>
        <w:rFonts w:ascii="Simplified Arabic" w:hAnsi="Simplified Arabic" w:cs="Simplified Arabic"/>
        <w:b/>
        <w:bCs/>
        <w:sz w:val="20"/>
        <w:szCs w:val="20"/>
        <w:rtl/>
        <w:lang w:val="en-US" w:bidi="ar-DZ"/>
      </w:rPr>
      <w:t>الفصل</w:t>
    </w:r>
    <w:r w:rsidRPr="00F90BBA">
      <w:rPr>
        <w:rFonts w:ascii="Simplified Arabic" w:hAnsi="Simplified Arabic" w:cs="Simplified Arabic" w:hint="cs"/>
        <w:b/>
        <w:bCs/>
        <w:sz w:val="20"/>
        <w:szCs w:val="20"/>
        <w:rtl/>
        <w:lang w:val="en-US" w:bidi="ar-DZ"/>
      </w:rPr>
      <w:t xml:space="preserve"> 3: تطوير اطار عمل</w:t>
    </w:r>
    <w:r w:rsidRPr="00F90BBA">
      <w:rPr>
        <w:rFonts w:ascii="Simplified Arabic" w:hAnsi="Simplified Arabic" w:cs="Simplified Arabic"/>
        <w:b/>
        <w:bCs/>
        <w:sz w:val="20"/>
        <w:szCs w:val="20"/>
        <w:rtl/>
        <w:lang w:val="en-US" w:bidi="ar-DZ"/>
      </w:rPr>
      <w:t xml:space="preserve"> </w:t>
    </w:r>
    <w:r w:rsidRPr="00F90BBA">
      <w:rPr>
        <w:rFonts w:ascii="Simplified Arabic" w:hAnsi="Simplified Arabic" w:cs="Simplified Arabic" w:hint="cs"/>
        <w:b/>
        <w:bCs/>
        <w:sz w:val="20"/>
        <w:szCs w:val="20"/>
        <w:rtl/>
        <w:lang w:val="en-US" w:bidi="ar-DZ"/>
      </w:rPr>
      <w:t>ل</w:t>
    </w:r>
    <w:r w:rsidRPr="00F90BBA">
      <w:rPr>
        <w:rFonts w:ascii="Simplified Arabic" w:hAnsi="Simplified Arabic" w:cs="Simplified Arabic"/>
        <w:b/>
        <w:bCs/>
        <w:sz w:val="20"/>
        <w:szCs w:val="20"/>
        <w:rtl/>
        <w:lang w:val="en-US" w:bidi="ar-DZ"/>
      </w:rPr>
      <w:t xml:space="preserve">تقييم </w:t>
    </w:r>
    <w:r w:rsidRPr="00F90BBA">
      <w:rPr>
        <w:rFonts w:ascii="Simplified Arabic" w:hAnsi="Simplified Arabic" w:cs="Simplified Arabic" w:hint="cs"/>
        <w:b/>
        <w:bCs/>
        <w:sz w:val="20"/>
        <w:szCs w:val="20"/>
        <w:rtl/>
        <w:lang w:val="en-US" w:bidi="ar-DZ"/>
      </w:rPr>
      <w:t>مستويات المرونة</w:t>
    </w:r>
    <w:r w:rsidRPr="00F90BBA">
      <w:rPr>
        <w:rFonts w:ascii="Simplified Arabic" w:hAnsi="Simplified Arabic" w:cs="Simplified Arabic"/>
        <w:b/>
        <w:bCs/>
        <w:sz w:val="20"/>
        <w:szCs w:val="20"/>
        <w:rtl/>
        <w:lang w:val="en-US" w:bidi="ar-DZ"/>
      </w:rPr>
      <w:t xml:space="preserve"> الحضرية</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F90BBA" w:rsidRDefault="00D13702" w:rsidP="00F90BBA">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3438FF" w:rsidRDefault="00D13702" w:rsidP="004C4FD1">
    <w:pPr>
      <w:pBdr>
        <w:bottom w:val="single" w:sz="8" w:space="1" w:color="auto"/>
      </w:pBdr>
      <w:bidi/>
      <w:spacing w:after="0"/>
      <w:rPr>
        <w:lang w:val="en-US"/>
      </w:rPr>
    </w:pPr>
    <w:r w:rsidRPr="00F90BBA">
      <w:rPr>
        <w:rFonts w:ascii="Simplified Arabic" w:hAnsi="Simplified Arabic" w:cs="Simplified Arabic"/>
        <w:b/>
        <w:bCs/>
        <w:sz w:val="20"/>
        <w:szCs w:val="20"/>
        <w:rtl/>
        <w:lang w:val="en-US" w:bidi="ar-DZ"/>
      </w:rPr>
      <w:t>الفصل</w:t>
    </w:r>
    <w:r w:rsidRPr="00F90BBA">
      <w:rPr>
        <w:rFonts w:ascii="Simplified Arabic" w:hAnsi="Simplified Arabic" w:cs="Simplified Arabic" w:hint="cs"/>
        <w:b/>
        <w:bCs/>
        <w:sz w:val="20"/>
        <w:szCs w:val="20"/>
        <w:rtl/>
        <w:lang w:val="en-US" w:bidi="ar-DZ"/>
      </w:rPr>
      <w:t xml:space="preserve"> 3: تطوير اطار عمل</w:t>
    </w:r>
    <w:r w:rsidRPr="00F90BBA">
      <w:rPr>
        <w:rFonts w:ascii="Simplified Arabic" w:hAnsi="Simplified Arabic" w:cs="Simplified Arabic"/>
        <w:b/>
        <w:bCs/>
        <w:sz w:val="20"/>
        <w:szCs w:val="20"/>
        <w:rtl/>
        <w:lang w:val="en-US" w:bidi="ar-DZ"/>
      </w:rPr>
      <w:t xml:space="preserve"> </w:t>
    </w:r>
    <w:r w:rsidRPr="00F90BBA">
      <w:rPr>
        <w:rFonts w:ascii="Simplified Arabic" w:hAnsi="Simplified Arabic" w:cs="Simplified Arabic" w:hint="cs"/>
        <w:b/>
        <w:bCs/>
        <w:sz w:val="20"/>
        <w:szCs w:val="20"/>
        <w:rtl/>
        <w:lang w:val="en-US" w:bidi="ar-DZ"/>
      </w:rPr>
      <w:t>ل</w:t>
    </w:r>
    <w:r w:rsidRPr="00F90BBA">
      <w:rPr>
        <w:rFonts w:ascii="Simplified Arabic" w:hAnsi="Simplified Arabic" w:cs="Simplified Arabic"/>
        <w:b/>
        <w:bCs/>
        <w:sz w:val="20"/>
        <w:szCs w:val="20"/>
        <w:rtl/>
        <w:lang w:val="en-US" w:bidi="ar-DZ"/>
      </w:rPr>
      <w:t xml:space="preserve">تقييم </w:t>
    </w:r>
    <w:r w:rsidRPr="00F90BBA">
      <w:rPr>
        <w:rFonts w:ascii="Simplified Arabic" w:hAnsi="Simplified Arabic" w:cs="Simplified Arabic" w:hint="cs"/>
        <w:b/>
        <w:bCs/>
        <w:sz w:val="20"/>
        <w:szCs w:val="20"/>
        <w:rtl/>
        <w:lang w:val="en-US" w:bidi="ar-DZ"/>
      </w:rPr>
      <w:t>مستويات المرونة</w:t>
    </w:r>
    <w:r w:rsidRPr="00F90BBA">
      <w:rPr>
        <w:rFonts w:ascii="Simplified Arabic" w:hAnsi="Simplified Arabic" w:cs="Simplified Arabic"/>
        <w:b/>
        <w:bCs/>
        <w:sz w:val="20"/>
        <w:szCs w:val="20"/>
        <w:rtl/>
        <w:lang w:val="en-US" w:bidi="ar-DZ"/>
      </w:rPr>
      <w:t xml:space="preserve"> الحضرية</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D32AC3" w:rsidRDefault="00D13702" w:rsidP="00F654B9">
    <w:pPr>
      <w:pStyle w:val="En-tte"/>
      <w:bidi/>
      <w:rPr>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80260C" w:rsidRDefault="00D13702" w:rsidP="0080260C">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AD3206" w:rsidRDefault="00D13702" w:rsidP="00BB4E96">
    <w:pPr>
      <w:pStyle w:val="Photo"/>
      <w:pBdr>
        <w:bottom w:val="single" w:sz="8" w:space="1" w:color="auto"/>
      </w:pBdr>
      <w:spacing w:before="0"/>
      <w:jc w:val="left"/>
      <w:rPr>
        <w:lang w:val="en-US" w:bidi="ar-DZ"/>
      </w:rPr>
    </w:pPr>
    <w:r w:rsidRPr="00671224">
      <w:rPr>
        <w:rFonts w:hint="cs"/>
        <w:sz w:val="20"/>
        <w:szCs w:val="20"/>
        <w:rtl/>
        <w:lang w:val="en-US" w:bidi="ar-DZ"/>
      </w:rPr>
      <w:t>الفصل</w:t>
    </w:r>
    <w:r w:rsidRPr="00671224">
      <w:rPr>
        <w:sz w:val="20"/>
        <w:szCs w:val="20"/>
        <w:rtl/>
        <w:lang w:val="en-US" w:bidi="ar-DZ"/>
      </w:rPr>
      <w:t xml:space="preserve"> </w:t>
    </w:r>
    <w:r w:rsidRPr="00671224">
      <w:rPr>
        <w:rFonts w:hint="cs"/>
        <w:sz w:val="20"/>
        <w:szCs w:val="20"/>
        <w:rtl/>
        <w:lang w:val="en-US" w:bidi="ar-DZ"/>
      </w:rPr>
      <w:t xml:space="preserve">4: علاقة استعمالات الاراضي الحضرية </w:t>
    </w:r>
    <w:r>
      <w:rPr>
        <w:rFonts w:hint="cs"/>
        <w:sz w:val="20"/>
        <w:szCs w:val="20"/>
        <w:rtl/>
        <w:lang w:val="en-US" w:bidi="ar-DZ"/>
      </w:rPr>
      <w:t xml:space="preserve">مع </w:t>
    </w:r>
    <w:r w:rsidRPr="00671224">
      <w:rPr>
        <w:rFonts w:hint="cs"/>
        <w:sz w:val="20"/>
        <w:szCs w:val="20"/>
        <w:rtl/>
        <w:lang w:val="en-US" w:bidi="ar-DZ"/>
      </w:rPr>
      <w:t xml:space="preserve">تكوين المرونة المكانية </w:t>
    </w:r>
    <w:r w:rsidRPr="00264FC1">
      <w:rPr>
        <w:rFonts w:hint="cs"/>
        <w:rtl/>
        <w:lang w:val="en-US" w:bidi="ar-DZ"/>
      </w:rPr>
      <w:t xml:space="preserve">- </w:t>
    </w:r>
    <w:r w:rsidRPr="00671224">
      <w:rPr>
        <w:rFonts w:hint="cs"/>
        <w:sz w:val="20"/>
        <w:szCs w:val="20"/>
        <w:rtl/>
        <w:lang w:val="en-US" w:bidi="ar-DZ"/>
      </w:rPr>
      <w:t>مدينة</w:t>
    </w:r>
    <w:r w:rsidRPr="00671224">
      <w:rPr>
        <w:sz w:val="20"/>
        <w:szCs w:val="20"/>
        <w:rtl/>
        <w:lang w:val="en-US" w:bidi="ar-DZ"/>
      </w:rPr>
      <w:t xml:space="preserve"> </w:t>
    </w:r>
    <w:r w:rsidRPr="00671224">
      <w:rPr>
        <w:rFonts w:hint="cs"/>
        <w:sz w:val="20"/>
        <w:szCs w:val="20"/>
        <w:rtl/>
        <w:lang w:val="en-US" w:bidi="ar-DZ"/>
      </w:rPr>
      <w:t>بوسعادة بين الكثافة، التنوع، الاتصال</w:t>
    </w:r>
    <w:r>
      <w:rPr>
        <w:rFonts w:hint="cs"/>
        <w:sz w:val="20"/>
        <w:szCs w:val="20"/>
        <w:rtl/>
        <w:lang w:val="en-US" w:bidi="ar-DZ"/>
      </w:rPr>
      <w:t>ية</w:t>
    </w:r>
    <w:r w:rsidRPr="00671224">
      <w:rPr>
        <w:rFonts w:hint="cs"/>
        <w:sz w:val="20"/>
        <w:szCs w:val="20"/>
        <w:rtl/>
        <w:lang w:val="en-US" w:bidi="ar-DZ"/>
      </w:rPr>
      <w:t xml:space="preserve"> والتكرار-</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E337F9" w:rsidRDefault="00D13702" w:rsidP="00E337F9">
    <w:pPr>
      <w:pBdr>
        <w:bottom w:val="single" w:sz="12" w:space="1" w:color="auto"/>
      </w:pBdr>
      <w:bidi/>
      <w:spacing w:after="0"/>
      <w:rPr>
        <w:rFonts w:asciiTheme="minorBidi" w:hAnsiTheme="minorBidi" w:cs="Arial"/>
        <w:b/>
        <w:bCs/>
        <w:sz w:val="20"/>
        <w:szCs w:val="20"/>
        <w:lang w:val="en-US"/>
      </w:rPr>
    </w:pPr>
    <w:r w:rsidRPr="00E337F9">
      <w:rPr>
        <w:rFonts w:ascii="Simplified Arabic" w:hAnsi="Simplified Arabic" w:cs="Simplified Arabic"/>
        <w:b/>
        <w:bCs/>
        <w:sz w:val="20"/>
        <w:szCs w:val="20"/>
        <w:rtl/>
        <w:lang w:val="en-US" w:bidi="ar-DZ"/>
      </w:rPr>
      <w:t xml:space="preserve">الفصل </w:t>
    </w:r>
    <w:r w:rsidRPr="00E337F9">
      <w:rPr>
        <w:rFonts w:ascii="Simplified Arabic" w:hAnsi="Simplified Arabic" w:cs="Simplified Arabic" w:hint="cs"/>
        <w:b/>
        <w:bCs/>
        <w:sz w:val="20"/>
        <w:szCs w:val="20"/>
        <w:rtl/>
        <w:lang w:val="en-US" w:bidi="ar-DZ"/>
      </w:rPr>
      <w:t xml:space="preserve">5: </w:t>
    </w:r>
    <w:r w:rsidRPr="00E337F9">
      <w:rPr>
        <w:rFonts w:ascii="Simplified Arabic" w:hAnsi="Simplified Arabic" w:cs="Simplified Arabic" w:hint="cs"/>
        <w:b/>
        <w:bCs/>
        <w:sz w:val="20"/>
        <w:szCs w:val="20"/>
        <w:rtl/>
        <w:lang w:val="en-US"/>
      </w:rPr>
      <w:t>تنفيذ اطار عمل</w:t>
    </w:r>
    <w:r w:rsidRPr="00E337F9">
      <w:rPr>
        <w:rFonts w:ascii="Simplified Arabic" w:hAnsi="Simplified Arabic" w:cs="Simplified Arabic"/>
        <w:b/>
        <w:bCs/>
        <w:sz w:val="20"/>
        <w:szCs w:val="20"/>
        <w:rtl/>
        <w:lang w:val="en-US"/>
      </w:rPr>
      <w:t xml:space="preserve"> </w:t>
    </w:r>
    <w:r w:rsidRPr="00E337F9">
      <w:rPr>
        <w:rFonts w:ascii="Simplified Arabic" w:hAnsi="Simplified Arabic" w:cs="Simplified Arabic" w:hint="cs"/>
        <w:b/>
        <w:bCs/>
        <w:sz w:val="20"/>
        <w:szCs w:val="20"/>
        <w:rtl/>
        <w:lang w:val="en-US"/>
      </w:rPr>
      <w:t>تقييم</w:t>
    </w:r>
    <w:r w:rsidRPr="00E337F9">
      <w:rPr>
        <w:rFonts w:ascii="Simplified Arabic" w:hAnsi="Simplified Arabic" w:cs="Simplified Arabic"/>
        <w:b/>
        <w:bCs/>
        <w:sz w:val="20"/>
        <w:szCs w:val="20"/>
        <w:rtl/>
        <w:lang w:val="en-US"/>
      </w:rPr>
      <w:t xml:space="preserve"> </w:t>
    </w:r>
    <w:r w:rsidRPr="00E337F9">
      <w:rPr>
        <w:rFonts w:ascii="Simplified Arabic" w:hAnsi="Simplified Arabic" w:cs="Simplified Arabic" w:hint="cs"/>
        <w:b/>
        <w:bCs/>
        <w:sz w:val="20"/>
        <w:szCs w:val="20"/>
        <w:rtl/>
        <w:lang w:val="en-US"/>
      </w:rPr>
      <w:t>مرونة</w:t>
    </w:r>
    <w:r w:rsidRPr="00E337F9">
      <w:rPr>
        <w:rFonts w:ascii="Simplified Arabic" w:hAnsi="Simplified Arabic" w:cs="Simplified Arabic"/>
        <w:b/>
        <w:bCs/>
        <w:sz w:val="20"/>
        <w:szCs w:val="20"/>
        <w:rtl/>
        <w:lang w:val="en-US"/>
      </w:rPr>
      <w:t xml:space="preserve"> </w:t>
    </w:r>
    <w:r w:rsidRPr="00E337F9">
      <w:rPr>
        <w:rFonts w:ascii="Simplified Arabic" w:hAnsi="Simplified Arabic" w:cs="Simplified Arabic" w:hint="cs"/>
        <w:b/>
        <w:bCs/>
        <w:sz w:val="20"/>
        <w:szCs w:val="20"/>
        <w:rtl/>
        <w:lang w:val="en-US"/>
      </w:rPr>
      <w:t xml:space="preserve">مدينة بوسعادة </w:t>
    </w:r>
  </w:p>
  <w:p w:rsidR="00D13702" w:rsidRPr="00E337F9" w:rsidRDefault="00D13702" w:rsidP="00E337F9">
    <w:pPr>
      <w:pStyle w:val="En-tte"/>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696A80" w:rsidRDefault="00D13702" w:rsidP="00696A80">
    <w:pPr>
      <w:pStyle w:val="En-tte"/>
      <w:rPr>
        <w:lang w:bidi="ar-DZ"/>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AD3206" w:rsidRDefault="00D13702" w:rsidP="00671224">
    <w:pPr>
      <w:pStyle w:val="Photo"/>
      <w:pBdr>
        <w:bottom w:val="single" w:sz="8" w:space="1" w:color="auto"/>
      </w:pBdr>
      <w:spacing w:before="0"/>
      <w:jc w:val="left"/>
      <w:rPr>
        <w:lang w:val="en-US" w:bidi="ar-DZ"/>
      </w:rPr>
    </w:pPr>
    <w:r w:rsidRPr="00671224">
      <w:rPr>
        <w:rFonts w:hint="cs"/>
        <w:sz w:val="20"/>
        <w:szCs w:val="20"/>
        <w:rtl/>
        <w:lang w:val="en-US" w:bidi="ar-DZ"/>
      </w:rPr>
      <w:t>الفصل</w:t>
    </w:r>
    <w:r w:rsidRPr="00671224">
      <w:rPr>
        <w:sz w:val="20"/>
        <w:szCs w:val="20"/>
        <w:rtl/>
        <w:lang w:val="en-US" w:bidi="ar-DZ"/>
      </w:rPr>
      <w:t xml:space="preserve"> </w:t>
    </w:r>
    <w:r w:rsidRPr="00671224">
      <w:rPr>
        <w:rFonts w:hint="cs"/>
        <w:sz w:val="20"/>
        <w:szCs w:val="20"/>
        <w:rtl/>
        <w:lang w:val="en-US" w:bidi="ar-DZ"/>
      </w:rPr>
      <w:t xml:space="preserve">4: علاقة استعمالات الاراضي الحضرية بتكوين المرونة المكانية </w:t>
    </w:r>
    <w:r w:rsidRPr="00264FC1">
      <w:rPr>
        <w:rFonts w:hint="cs"/>
        <w:rtl/>
        <w:lang w:val="en-US" w:bidi="ar-DZ"/>
      </w:rPr>
      <w:t xml:space="preserve">- </w:t>
    </w:r>
    <w:r w:rsidRPr="00671224">
      <w:rPr>
        <w:rFonts w:hint="cs"/>
        <w:sz w:val="20"/>
        <w:szCs w:val="20"/>
        <w:rtl/>
        <w:lang w:val="en-US" w:bidi="ar-DZ"/>
      </w:rPr>
      <w:t>مدينة</w:t>
    </w:r>
    <w:r w:rsidRPr="00671224">
      <w:rPr>
        <w:sz w:val="20"/>
        <w:szCs w:val="20"/>
        <w:rtl/>
        <w:lang w:val="en-US" w:bidi="ar-DZ"/>
      </w:rPr>
      <w:t xml:space="preserve"> </w:t>
    </w:r>
    <w:r w:rsidRPr="00671224">
      <w:rPr>
        <w:rFonts w:hint="cs"/>
        <w:sz w:val="20"/>
        <w:szCs w:val="20"/>
        <w:rtl/>
        <w:lang w:val="en-US" w:bidi="ar-DZ"/>
      </w:rPr>
      <w:t>بوسعادة بين الكثافة، التنوع، الاتصال والتكرار-</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E337F9" w:rsidRDefault="00D13702" w:rsidP="00E337F9">
    <w:pPr>
      <w:pStyle w:val="En-tte"/>
      <w:rPr>
        <w:lang w:val="en-US"/>
      </w:rPr>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2D09AF" w:rsidRDefault="00D13702" w:rsidP="002D09AF">
    <w:pPr>
      <w:pStyle w:val="Photo"/>
      <w:spacing w:before="0"/>
      <w:jc w:val="left"/>
      <w:rPr>
        <w:rFonts w:asciiTheme="minorBidi" w:hAnsiTheme="minorBidi" w:cs="Arial"/>
        <w:u w:val="single"/>
        <w:lang w:val="en-US"/>
      </w:rPr>
    </w:pPr>
    <w:r w:rsidRPr="002D09AF">
      <w:rPr>
        <w:u w:val="single"/>
        <w:rtl/>
        <w:lang w:val="en-US" w:bidi="ar-DZ"/>
      </w:rPr>
      <w:t xml:space="preserve">الفصل </w:t>
    </w:r>
    <w:r w:rsidRPr="002D09AF">
      <w:rPr>
        <w:rFonts w:hint="cs"/>
        <w:u w:val="single"/>
        <w:rtl/>
        <w:lang w:val="en-US" w:bidi="ar-DZ"/>
      </w:rPr>
      <w:t xml:space="preserve">5: </w:t>
    </w:r>
    <w:r w:rsidRPr="002D09AF">
      <w:rPr>
        <w:rFonts w:hint="cs"/>
        <w:u w:val="single"/>
        <w:rtl/>
        <w:lang w:val="en-US"/>
      </w:rPr>
      <w:t>تنفيذ اطار عمل</w:t>
    </w:r>
    <w:r w:rsidRPr="002D09AF">
      <w:rPr>
        <w:u w:val="single"/>
        <w:rtl/>
        <w:lang w:val="en-US"/>
      </w:rPr>
      <w:t xml:space="preserve"> </w:t>
    </w:r>
    <w:r w:rsidRPr="002D09AF">
      <w:rPr>
        <w:rFonts w:hint="cs"/>
        <w:u w:val="single"/>
        <w:rtl/>
        <w:lang w:val="en-US"/>
      </w:rPr>
      <w:t>تقييم</w:t>
    </w:r>
    <w:r w:rsidRPr="002D09AF">
      <w:rPr>
        <w:u w:val="single"/>
        <w:rtl/>
        <w:lang w:val="en-US"/>
      </w:rPr>
      <w:t xml:space="preserve"> </w:t>
    </w:r>
    <w:r w:rsidRPr="002D09AF">
      <w:rPr>
        <w:rFonts w:hint="cs"/>
        <w:u w:val="single"/>
        <w:rtl/>
        <w:lang w:val="en-US"/>
      </w:rPr>
      <w:t>مرونة</w:t>
    </w:r>
    <w:r w:rsidRPr="002D09AF">
      <w:rPr>
        <w:u w:val="single"/>
        <w:rtl/>
        <w:lang w:val="en-US"/>
      </w:rPr>
      <w:t xml:space="preserve"> </w:t>
    </w:r>
    <w:r w:rsidRPr="002D09AF">
      <w:rPr>
        <w:rFonts w:hint="cs"/>
        <w:u w:val="single"/>
        <w:rtl/>
        <w:lang w:val="en-US"/>
      </w:rPr>
      <w:t xml:space="preserve">مدينة بوسعادة </w:t>
    </w:r>
    <w:r>
      <w:rPr>
        <w:u w:val="single"/>
        <w:lang w:val="en-US"/>
      </w:rPr>
      <w:t xml:space="preserve">                                                               </w:t>
    </w:r>
  </w:p>
  <w:p w:rsidR="00D13702" w:rsidRPr="002D09AF" w:rsidRDefault="00D13702" w:rsidP="002D09AF">
    <w:pPr>
      <w:pStyle w:val="En-tte"/>
      <w:rPr>
        <w:lang w:val="en-US"/>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E337F9" w:rsidRDefault="00D13702" w:rsidP="00E337F9">
    <w:pPr>
      <w:pStyle w:val="En-tte"/>
      <w:rPr>
        <w:lang w:val="en-US"/>
      </w:rP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E337F9" w:rsidRDefault="00D13702" w:rsidP="00E337F9">
    <w:pPr>
      <w:pStyle w:val="En-tte"/>
      <w:rPr>
        <w:lang w:val="en-US"/>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AC33D5" w:rsidRDefault="00D13702" w:rsidP="00860073">
    <w:pPr>
      <w:pBdr>
        <w:bottom w:val="single" w:sz="8" w:space="1" w:color="auto"/>
      </w:pBdr>
      <w:bidi/>
      <w:rPr>
        <w:rFonts w:ascii="Simplified Arabic" w:hAnsi="Simplified Arabic" w:cs="Simplified Arabic"/>
        <w:b/>
        <w:bCs/>
        <w:sz w:val="20"/>
        <w:szCs w:val="20"/>
        <w:rtl/>
        <w:lang w:val="en-US" w:bidi="ar-DZ"/>
      </w:rPr>
    </w:pPr>
    <w:r w:rsidRPr="00AC33D5">
      <w:rPr>
        <w:rFonts w:ascii="Simplified Arabic" w:hAnsi="Simplified Arabic" w:cs="Simplified Arabic"/>
        <w:b/>
        <w:bCs/>
        <w:sz w:val="20"/>
        <w:szCs w:val="20"/>
        <w:rtl/>
        <w:lang w:val="en-US" w:bidi="ar-DZ"/>
      </w:rPr>
      <w:t xml:space="preserve">الفصل </w:t>
    </w:r>
    <w:r w:rsidRPr="00AC33D5">
      <w:rPr>
        <w:rFonts w:ascii="Simplified Arabic" w:hAnsi="Simplified Arabic" w:cs="Simplified Arabic" w:hint="cs"/>
        <w:b/>
        <w:bCs/>
        <w:sz w:val="20"/>
        <w:szCs w:val="20"/>
        <w:rtl/>
        <w:lang w:val="en-US" w:bidi="ar-DZ"/>
      </w:rPr>
      <w:t>6</w:t>
    </w:r>
    <w:r w:rsidRPr="00AC33D5">
      <w:rPr>
        <w:rFonts w:ascii="Simplified Arabic" w:hAnsi="Simplified Arabic" w:cs="Simplified Arabic"/>
        <w:b/>
        <w:bCs/>
        <w:sz w:val="20"/>
        <w:szCs w:val="20"/>
        <w:rtl/>
        <w:lang w:val="en-US" w:bidi="ar-DZ"/>
      </w:rPr>
      <w:t xml:space="preserve">: </w:t>
    </w:r>
    <w:r w:rsidRPr="00AC33D5">
      <w:rPr>
        <w:rFonts w:ascii="Simplified Arabic" w:hAnsi="Simplified Arabic" w:cs="Simplified Arabic" w:hint="cs"/>
        <w:b/>
        <w:bCs/>
        <w:sz w:val="20"/>
        <w:szCs w:val="20"/>
        <w:rtl/>
        <w:lang w:val="en-US" w:bidi="ar-DZ"/>
      </w:rPr>
      <w:t>تقييم توافر سمات المرونة المكانية عبر فئات الانسجة الحضرية لمدينة بوسعادة</w:t>
    </w:r>
  </w:p>
  <w:p w:rsidR="00D13702" w:rsidRPr="00870798" w:rsidRDefault="00D13702" w:rsidP="00870798">
    <w:pPr>
      <w:pStyle w:val="En-tte"/>
      <w:rPr>
        <w:lang w:val="en-US" w:bidi="ar-DZ"/>
      </w:rPr>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E337F9" w:rsidRDefault="00D13702" w:rsidP="00E337F9">
    <w:pPr>
      <w:pStyle w:val="En-tte"/>
      <w:rPr>
        <w:lang w:val="en-US"/>
      </w:rP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260ADC" w:rsidRDefault="00D13702" w:rsidP="00260ADC">
    <w:pPr>
      <w:pStyle w:val="En-tte"/>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AC33D5" w:rsidRDefault="00D13702" w:rsidP="00480C52">
    <w:pPr>
      <w:pBdr>
        <w:bottom w:val="single" w:sz="8" w:space="1" w:color="auto"/>
      </w:pBdr>
      <w:bidi/>
      <w:rPr>
        <w:sz w:val="20"/>
        <w:szCs w:val="20"/>
        <w:lang w:val="en-US" w:bidi="ar-DZ"/>
      </w:rPr>
    </w:pPr>
    <w:r w:rsidRPr="00AC33D5">
      <w:rPr>
        <w:rFonts w:ascii="Simplified Arabic" w:hAnsi="Simplified Arabic" w:cs="Simplified Arabic" w:hint="cs"/>
        <w:b/>
        <w:bCs/>
        <w:sz w:val="20"/>
        <w:szCs w:val="20"/>
        <w:rtl/>
        <w:lang w:val="en-US" w:bidi="ar-DZ"/>
      </w:rPr>
      <w:t>الخلاصة العامة</w:t>
    </w:r>
    <w:r w:rsidRPr="00AC33D5">
      <w:rPr>
        <w:rFonts w:ascii="Simplified Arabic" w:hAnsi="Simplified Arabic" w:cs="Simplified Arabic"/>
        <w:b/>
        <w:bCs/>
        <w:sz w:val="20"/>
        <w:szCs w:val="20"/>
        <w:rtl/>
        <w:lang w:val="en-US" w:bidi="ar-DZ"/>
      </w:rPr>
      <w:t xml:space="preserve">: </w:t>
    </w:r>
    <w:r w:rsidRPr="00AC33D5">
      <w:rPr>
        <w:rFonts w:ascii="Simplified Arabic" w:hAnsi="Simplified Arabic" w:cs="Simplified Arabic" w:hint="cs"/>
        <w:b/>
        <w:bCs/>
        <w:sz w:val="20"/>
        <w:szCs w:val="20"/>
        <w:rtl/>
        <w:lang w:val="en-US" w:bidi="ar-DZ"/>
      </w:rPr>
      <w:t xml:space="preserve">نتائج البحث، مبادئ </w:t>
    </w:r>
    <w:r>
      <w:rPr>
        <w:rFonts w:ascii="Simplified Arabic" w:hAnsi="Simplified Arabic" w:cs="Simplified Arabic" w:hint="cs"/>
        <w:b/>
        <w:bCs/>
        <w:sz w:val="20"/>
        <w:szCs w:val="20"/>
        <w:rtl/>
        <w:lang w:val="en-US" w:bidi="ar-DZ"/>
      </w:rPr>
      <w:t>ال</w:t>
    </w:r>
    <w:r w:rsidRPr="00AC33D5">
      <w:rPr>
        <w:rFonts w:ascii="Simplified Arabic" w:hAnsi="Simplified Arabic" w:cs="Simplified Arabic" w:hint="cs"/>
        <w:b/>
        <w:bCs/>
        <w:sz w:val="20"/>
        <w:szCs w:val="20"/>
        <w:rtl/>
        <w:lang w:val="en-US" w:bidi="ar-DZ"/>
      </w:rPr>
      <w:t>تصميم والتوصيات، خاتمة البحث</w:t>
    </w: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0618E8" w:rsidRDefault="00D13702" w:rsidP="000618E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pPr>
      <w:pStyle w:val="En-tte"/>
    </w:pP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480C52" w:rsidRDefault="00D13702" w:rsidP="00260ADC">
    <w:pPr>
      <w:pStyle w:val="En-tte"/>
      <w:pBdr>
        <w:bottom w:val="single" w:sz="8" w:space="0" w:color="auto"/>
      </w:pBdr>
      <w:bidi/>
      <w:rPr>
        <w:rFonts w:ascii="Simplified Arabic" w:hAnsi="Simplified Arabic" w:cs="Simplified Arabic"/>
        <w:b/>
        <w:bCs/>
        <w:sz w:val="2"/>
        <w:szCs w:val="2"/>
        <w:lang w:bidi="ar-DZ"/>
      </w:rPr>
    </w:pPr>
    <w:r w:rsidRPr="00480C52">
      <w:rPr>
        <w:rFonts w:ascii="Simplified Arabic" w:hAnsi="Simplified Arabic" w:cs="Simplified Arabic"/>
        <w:b/>
        <w:bCs/>
        <w:sz w:val="20"/>
        <w:szCs w:val="20"/>
        <w:rtl/>
        <w:lang w:bidi="ar-DZ"/>
      </w:rPr>
      <w:t>قائمة المصادر والمراجع</w: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0832BF" w:rsidRDefault="00D13702" w:rsidP="00480C52">
    <w:pPr>
      <w:pStyle w:val="En-tte"/>
      <w:pBdr>
        <w:bottom w:val="single" w:sz="8" w:space="1" w:color="auto"/>
      </w:pBdr>
      <w:bidi/>
      <w:rPr>
        <w:rFonts w:ascii="Simplified Arabic" w:hAnsi="Simplified Arabic" w:cs="Simplified Arabic"/>
        <w:b/>
        <w:bCs/>
        <w:sz w:val="2"/>
        <w:szCs w:val="2"/>
      </w:rPr>
    </w:pPr>
    <w:r w:rsidRPr="000832BF">
      <w:rPr>
        <w:rFonts w:ascii="Simplified Arabic" w:hAnsi="Simplified Arabic" w:cs="Simplified Arabic"/>
        <w:b/>
        <w:bCs/>
        <w:sz w:val="20"/>
        <w:szCs w:val="20"/>
        <w:rtl/>
      </w:rPr>
      <w:t>المل</w:t>
    </w:r>
    <w:r w:rsidRPr="000832BF">
      <w:rPr>
        <w:rFonts w:ascii="Simplified Arabic" w:hAnsi="Simplified Arabic" w:cs="Simplified Arabic" w:hint="cs"/>
        <w:b/>
        <w:bCs/>
        <w:sz w:val="20"/>
        <w:szCs w:val="20"/>
        <w:rtl/>
      </w:rPr>
      <w:t>ا</w:t>
    </w:r>
    <w:r w:rsidRPr="000832BF">
      <w:rPr>
        <w:rFonts w:ascii="Simplified Arabic" w:hAnsi="Simplified Arabic" w:cs="Simplified Arabic"/>
        <w:b/>
        <w:bCs/>
        <w:sz w:val="20"/>
        <w:szCs w:val="20"/>
        <w:rtl/>
      </w:rPr>
      <w:t>حق</w: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E337F9" w:rsidRDefault="00D13702" w:rsidP="00E337F9">
    <w:pPr>
      <w:pStyle w:val="En-tte"/>
      <w:rPr>
        <w:lang w:val="en-US"/>
      </w:rPr>
    </w:pP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0832BF" w:rsidRDefault="00D13702" w:rsidP="00480C52">
    <w:pPr>
      <w:pStyle w:val="En-tte"/>
      <w:pBdr>
        <w:bottom w:val="single" w:sz="8" w:space="1" w:color="auto"/>
      </w:pBdr>
      <w:bidi/>
      <w:rPr>
        <w:rFonts w:ascii="Simplified Arabic" w:hAnsi="Simplified Arabic" w:cs="Simplified Arabic"/>
        <w:b/>
        <w:bCs/>
        <w:sz w:val="2"/>
        <w:szCs w:val="2"/>
      </w:rPr>
    </w:pPr>
    <w:r w:rsidRPr="000832BF">
      <w:rPr>
        <w:rFonts w:ascii="Simplified Arabic" w:hAnsi="Simplified Arabic" w:cs="Simplified Arabic"/>
        <w:b/>
        <w:bCs/>
        <w:sz w:val="20"/>
        <w:szCs w:val="20"/>
        <w:rtl/>
      </w:rPr>
      <w:t>المل</w:t>
    </w:r>
    <w:r w:rsidRPr="000832BF">
      <w:rPr>
        <w:rFonts w:ascii="Simplified Arabic" w:hAnsi="Simplified Arabic" w:cs="Simplified Arabic" w:hint="cs"/>
        <w:b/>
        <w:bCs/>
        <w:sz w:val="20"/>
        <w:szCs w:val="20"/>
        <w:rtl/>
      </w:rPr>
      <w:t>ا</w:t>
    </w:r>
    <w:r w:rsidRPr="000832BF">
      <w:rPr>
        <w:rFonts w:ascii="Simplified Arabic" w:hAnsi="Simplified Arabic" w:cs="Simplified Arabic"/>
        <w:b/>
        <w:bCs/>
        <w:sz w:val="20"/>
        <w:szCs w:val="20"/>
        <w:rtl/>
      </w:rPr>
      <w:t>حق</w: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4760CB" w:rsidRDefault="00D13702" w:rsidP="004760CB">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696A80" w:rsidRDefault="00D13702" w:rsidP="00696A80">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EF5226" w:rsidRDefault="00D13702" w:rsidP="00EF5226">
    <w:pPr>
      <w:pStyle w:val="En-tte"/>
      <w:pBdr>
        <w:bottom w:val="single" w:sz="8" w:space="0" w:color="auto"/>
      </w:pBdr>
      <w:bidi/>
      <w:rPr>
        <w:sz w:val="10"/>
        <w:szCs w:val="10"/>
        <w:lang w:bidi="ar-DZ"/>
      </w:rPr>
    </w:pPr>
    <w:r w:rsidRPr="000755BB">
      <w:rPr>
        <w:rFonts w:ascii="Simplified Arabic" w:hAnsi="Simplified Arabic" w:cs="Simplified Arabic"/>
        <w:b/>
        <w:bCs/>
        <w:sz w:val="20"/>
        <w:szCs w:val="20"/>
        <w:rtl/>
        <w:lang w:bidi="ar-DZ"/>
      </w:rPr>
      <w:t>الفصل التمهيدي</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AD3206" w:rsidRDefault="00D13702" w:rsidP="00AD3206">
    <w:pPr>
      <w:pStyle w:val="En-tte"/>
      <w:pBdr>
        <w:bottom w:val="single" w:sz="8" w:space="1" w:color="auto"/>
      </w:pBdr>
      <w:bidi/>
      <w:rPr>
        <w:sz w:val="10"/>
        <w:szCs w:val="10"/>
        <w:rtl/>
        <w:lang w:bidi="ar-DZ"/>
      </w:rPr>
    </w:pPr>
    <w:r w:rsidRPr="00AD3206">
      <w:rPr>
        <w:rFonts w:ascii="Simplified Arabic" w:hAnsi="Simplified Arabic" w:cs="Simplified Arabic"/>
        <w:b/>
        <w:bCs/>
        <w:sz w:val="20"/>
        <w:szCs w:val="20"/>
        <w:rtl/>
        <w:lang w:bidi="ar-DZ"/>
      </w:rPr>
      <w:t>الفصل التمهيدي</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0B64DE" w:rsidRDefault="00D13702" w:rsidP="000B64DE">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Pr="00F155DD" w:rsidRDefault="00D13702" w:rsidP="00911DD1">
    <w:pPr>
      <w:pBdr>
        <w:bottom w:val="single" w:sz="8" w:space="1" w:color="auto"/>
      </w:pBdr>
      <w:bidi/>
      <w:spacing w:after="0"/>
      <w:rPr>
        <w:rFonts w:ascii="Simplified Arabic" w:hAnsi="Simplified Arabic" w:cs="Simplified Arabic"/>
        <w:b/>
        <w:bCs/>
        <w:sz w:val="20"/>
        <w:szCs w:val="20"/>
        <w:lang w:val="en-US"/>
      </w:rPr>
    </w:pPr>
    <w:r w:rsidRPr="009B131D">
      <w:rPr>
        <w:rFonts w:ascii="Simplified Arabic" w:hAnsi="Simplified Arabic" w:cs="Simplified Arabic"/>
        <w:b/>
        <w:bCs/>
        <w:sz w:val="20"/>
        <w:szCs w:val="20"/>
        <w:rtl/>
        <w:lang w:bidi="ar-DZ"/>
      </w:rPr>
      <w:t xml:space="preserve">الفصل </w:t>
    </w:r>
    <w:r w:rsidRPr="009B131D">
      <w:rPr>
        <w:rFonts w:ascii="Simplified Arabic" w:hAnsi="Simplified Arabic" w:cs="Simplified Arabic" w:hint="cs"/>
        <w:b/>
        <w:bCs/>
        <w:sz w:val="20"/>
        <w:szCs w:val="20"/>
        <w:rtl/>
        <w:lang w:bidi="ar-DZ"/>
      </w:rPr>
      <w:t>1</w:t>
    </w:r>
    <w:r w:rsidRPr="009B131D">
      <w:rPr>
        <w:rFonts w:ascii="Simplified Arabic" w:hAnsi="Simplified Arabic" w:cs="Simplified Arabic"/>
        <w:b/>
        <w:bCs/>
        <w:sz w:val="20"/>
        <w:szCs w:val="20"/>
        <w:rtl/>
        <w:lang w:bidi="ar-DZ"/>
      </w:rPr>
      <w:t>:</w:t>
    </w:r>
    <w:r w:rsidRPr="009B131D">
      <w:rPr>
        <w:rFonts w:ascii="Simplified Arabic" w:hAnsi="Simplified Arabic" w:cs="Simplified Arabic" w:hint="cs"/>
        <w:b/>
        <w:bCs/>
        <w:sz w:val="20"/>
        <w:szCs w:val="20"/>
        <w:rtl/>
        <w:lang w:val="en-US"/>
      </w:rPr>
      <w:t xml:space="preserve">علاقة </w:t>
    </w:r>
    <w:r>
      <w:rPr>
        <w:rFonts w:ascii="Simplified Arabic" w:hAnsi="Simplified Arabic" w:cs="Simplified Arabic" w:hint="cs"/>
        <w:b/>
        <w:bCs/>
        <w:sz w:val="20"/>
        <w:szCs w:val="20"/>
        <w:rtl/>
        <w:lang w:val="en-US"/>
      </w:rPr>
      <w:t>استعمالات</w:t>
    </w:r>
    <w:r w:rsidRPr="009B131D">
      <w:rPr>
        <w:rFonts w:ascii="Simplified Arabic" w:hAnsi="Simplified Arabic" w:cs="Simplified Arabic" w:hint="cs"/>
        <w:b/>
        <w:bCs/>
        <w:sz w:val="20"/>
        <w:szCs w:val="20"/>
        <w:rtl/>
        <w:lang w:val="en-US"/>
      </w:rPr>
      <w:t xml:space="preserve"> الار</w:t>
    </w:r>
    <w:r>
      <w:rPr>
        <w:rFonts w:ascii="Simplified Arabic" w:hAnsi="Simplified Arabic" w:cs="Simplified Arabic" w:hint="cs"/>
        <w:b/>
        <w:bCs/>
        <w:sz w:val="20"/>
        <w:szCs w:val="20"/>
        <w:rtl/>
        <w:lang w:val="en-US"/>
      </w:rPr>
      <w:t>ا</w:t>
    </w:r>
    <w:r w:rsidRPr="009B131D">
      <w:rPr>
        <w:rFonts w:ascii="Simplified Arabic" w:hAnsi="Simplified Arabic" w:cs="Simplified Arabic" w:hint="cs"/>
        <w:b/>
        <w:bCs/>
        <w:sz w:val="20"/>
        <w:szCs w:val="20"/>
        <w:rtl/>
        <w:lang w:val="en-US"/>
      </w:rPr>
      <w:t>ض</w:t>
    </w:r>
    <w:r>
      <w:rPr>
        <w:rFonts w:ascii="Simplified Arabic" w:hAnsi="Simplified Arabic" w:cs="Simplified Arabic" w:hint="cs"/>
        <w:b/>
        <w:bCs/>
        <w:sz w:val="20"/>
        <w:szCs w:val="20"/>
        <w:rtl/>
        <w:lang w:val="en-US"/>
      </w:rPr>
      <w:t>ي</w:t>
    </w:r>
    <w:r w:rsidRPr="009B131D">
      <w:rPr>
        <w:rFonts w:ascii="Simplified Arabic" w:hAnsi="Simplified Arabic" w:cs="Simplified Arabic" w:hint="cs"/>
        <w:b/>
        <w:bCs/>
        <w:sz w:val="20"/>
        <w:szCs w:val="20"/>
        <w:rtl/>
        <w:lang w:val="en-US"/>
      </w:rPr>
      <w:t xml:space="preserve"> الحضرية بمفهوم المرونة الحضرية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702" w:rsidRDefault="00D13702">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9B28"/>
      </v:shape>
    </w:pict>
  </w:numPicBullet>
  <w:numPicBullet w:numPicBulletId="1">
    <w:pict>
      <v:shape id="_x0000_i1027" type="#_x0000_t75" style="width:11.25pt;height:11.25pt" o:bullet="t">
        <v:imagedata r:id="rId2" o:title="msoB569"/>
      </v:shape>
    </w:pict>
  </w:numPicBullet>
  <w:abstractNum w:abstractNumId="0">
    <w:nsid w:val="00F14320"/>
    <w:multiLevelType w:val="multilevel"/>
    <w:tmpl w:val="86304EE2"/>
    <w:lvl w:ilvl="0">
      <w:start w:val="1"/>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12F23B1"/>
    <w:multiLevelType w:val="hybridMultilevel"/>
    <w:tmpl w:val="99EEDE04"/>
    <w:lvl w:ilvl="0" w:tplc="00563A9A">
      <w:start w:val="1"/>
      <w:numFmt w:val="decimal"/>
      <w:lvlText w:val="%1-"/>
      <w:lvlJc w:val="left"/>
      <w:pPr>
        <w:ind w:left="823" w:hanging="360"/>
      </w:pPr>
      <w:rPr>
        <w:rFonts w:ascii="Simplified Arabic" w:eastAsiaTheme="minorHAnsi" w:hAnsi="Simplified Arabic" w:cs="Simplified Arabic"/>
        <w:b w:val="0"/>
        <w:bCs w:val="0"/>
        <w:sz w:val="24"/>
        <w:szCs w:val="24"/>
      </w:rPr>
    </w:lvl>
    <w:lvl w:ilvl="1" w:tplc="040C0019" w:tentative="1">
      <w:start w:val="1"/>
      <w:numFmt w:val="lowerLetter"/>
      <w:lvlText w:val="%2."/>
      <w:lvlJc w:val="left"/>
      <w:pPr>
        <w:ind w:left="1543" w:hanging="360"/>
      </w:pPr>
    </w:lvl>
    <w:lvl w:ilvl="2" w:tplc="040C001B" w:tentative="1">
      <w:start w:val="1"/>
      <w:numFmt w:val="lowerRoman"/>
      <w:lvlText w:val="%3."/>
      <w:lvlJc w:val="right"/>
      <w:pPr>
        <w:ind w:left="2263" w:hanging="180"/>
      </w:pPr>
    </w:lvl>
    <w:lvl w:ilvl="3" w:tplc="040C000F" w:tentative="1">
      <w:start w:val="1"/>
      <w:numFmt w:val="decimal"/>
      <w:lvlText w:val="%4."/>
      <w:lvlJc w:val="left"/>
      <w:pPr>
        <w:ind w:left="2983" w:hanging="360"/>
      </w:pPr>
    </w:lvl>
    <w:lvl w:ilvl="4" w:tplc="040C0019" w:tentative="1">
      <w:start w:val="1"/>
      <w:numFmt w:val="lowerLetter"/>
      <w:lvlText w:val="%5."/>
      <w:lvlJc w:val="left"/>
      <w:pPr>
        <w:ind w:left="3703" w:hanging="360"/>
      </w:pPr>
    </w:lvl>
    <w:lvl w:ilvl="5" w:tplc="040C001B" w:tentative="1">
      <w:start w:val="1"/>
      <w:numFmt w:val="lowerRoman"/>
      <w:lvlText w:val="%6."/>
      <w:lvlJc w:val="right"/>
      <w:pPr>
        <w:ind w:left="4423" w:hanging="180"/>
      </w:pPr>
    </w:lvl>
    <w:lvl w:ilvl="6" w:tplc="040C000F" w:tentative="1">
      <w:start w:val="1"/>
      <w:numFmt w:val="decimal"/>
      <w:lvlText w:val="%7."/>
      <w:lvlJc w:val="left"/>
      <w:pPr>
        <w:ind w:left="5143" w:hanging="360"/>
      </w:pPr>
    </w:lvl>
    <w:lvl w:ilvl="7" w:tplc="040C0019" w:tentative="1">
      <w:start w:val="1"/>
      <w:numFmt w:val="lowerLetter"/>
      <w:lvlText w:val="%8."/>
      <w:lvlJc w:val="left"/>
      <w:pPr>
        <w:ind w:left="5863" w:hanging="360"/>
      </w:pPr>
    </w:lvl>
    <w:lvl w:ilvl="8" w:tplc="040C001B" w:tentative="1">
      <w:start w:val="1"/>
      <w:numFmt w:val="lowerRoman"/>
      <w:lvlText w:val="%9."/>
      <w:lvlJc w:val="right"/>
      <w:pPr>
        <w:ind w:left="6583" w:hanging="180"/>
      </w:pPr>
    </w:lvl>
  </w:abstractNum>
  <w:abstractNum w:abstractNumId="2">
    <w:nsid w:val="014A2962"/>
    <w:multiLevelType w:val="multilevel"/>
    <w:tmpl w:val="08F88036"/>
    <w:lvl w:ilvl="0">
      <w:start w:val="3"/>
      <w:numFmt w:val="decimal"/>
      <w:lvlText w:val="%1."/>
      <w:lvlJc w:val="left"/>
      <w:pPr>
        <w:ind w:left="630" w:hanging="630"/>
      </w:pPr>
      <w:rPr>
        <w:rFonts w:hint="default"/>
      </w:rPr>
    </w:lvl>
    <w:lvl w:ilvl="1">
      <w:start w:val="3"/>
      <w:numFmt w:val="decimal"/>
      <w:lvlText w:val="%1.%2."/>
      <w:lvlJc w:val="left"/>
      <w:pPr>
        <w:ind w:left="1080" w:hanging="720"/>
      </w:pPr>
      <w:rPr>
        <w:rFonts w:hint="default"/>
        <w:b/>
        <w:bCs/>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nsid w:val="025D5792"/>
    <w:multiLevelType w:val="multilevel"/>
    <w:tmpl w:val="36E208F8"/>
    <w:lvl w:ilvl="0">
      <w:start w:val="1"/>
      <w:numFmt w:val="decimal"/>
      <w:lvlText w:val="%1."/>
      <w:lvlJc w:val="left"/>
      <w:pPr>
        <w:ind w:left="840" w:hanging="840"/>
      </w:pPr>
      <w:rPr>
        <w:rFonts w:ascii="Simplified Arabic" w:hAnsi="Simplified Arabic" w:cs="Simplified Arabic" w:hint="default"/>
        <w:b/>
      </w:rPr>
    </w:lvl>
    <w:lvl w:ilvl="1">
      <w:start w:val="1"/>
      <w:numFmt w:val="decimal"/>
      <w:lvlText w:val="%1.%2."/>
      <w:lvlJc w:val="left"/>
      <w:pPr>
        <w:ind w:left="1200" w:hanging="840"/>
      </w:pPr>
      <w:rPr>
        <w:rFonts w:ascii="Simplified Arabic" w:hAnsi="Simplified Arabic" w:cs="Simplified Arabic" w:hint="default"/>
        <w:b w:val="0"/>
        <w:bCs/>
      </w:rPr>
    </w:lvl>
    <w:lvl w:ilvl="2">
      <w:start w:val="1"/>
      <w:numFmt w:val="decimal"/>
      <w:lvlText w:val="%1.%2.%3."/>
      <w:lvlJc w:val="left"/>
      <w:pPr>
        <w:ind w:left="1560" w:hanging="840"/>
      </w:pPr>
      <w:rPr>
        <w:rFonts w:ascii="Simplified Arabic" w:hAnsi="Simplified Arabic" w:cs="Simplified Arabic" w:hint="default"/>
        <w:b/>
      </w:rPr>
    </w:lvl>
    <w:lvl w:ilvl="3">
      <w:start w:val="2"/>
      <w:numFmt w:val="decimal"/>
      <w:lvlText w:val="%1.%2.%3.%4."/>
      <w:lvlJc w:val="left"/>
      <w:pPr>
        <w:ind w:left="2160" w:hanging="1080"/>
      </w:pPr>
      <w:rPr>
        <w:rFonts w:ascii="Simplified Arabic" w:hAnsi="Simplified Arabic" w:cs="Simplified Arabic" w:hint="default"/>
        <w:b w:val="0"/>
        <w:bCs/>
      </w:rPr>
    </w:lvl>
    <w:lvl w:ilvl="4">
      <w:start w:val="1"/>
      <w:numFmt w:val="decimal"/>
      <w:lvlText w:val="%1.%2.%3.%4.%5."/>
      <w:lvlJc w:val="left"/>
      <w:pPr>
        <w:ind w:left="2520" w:hanging="1080"/>
      </w:pPr>
      <w:rPr>
        <w:rFonts w:ascii="Simplified Arabic" w:hAnsi="Simplified Arabic" w:cs="Simplified Arabic" w:hint="default"/>
        <w:b/>
      </w:rPr>
    </w:lvl>
    <w:lvl w:ilvl="5">
      <w:start w:val="1"/>
      <w:numFmt w:val="decimal"/>
      <w:lvlText w:val="%1.%2.%3.%4.%5.%6."/>
      <w:lvlJc w:val="left"/>
      <w:pPr>
        <w:ind w:left="3240" w:hanging="1440"/>
      </w:pPr>
      <w:rPr>
        <w:rFonts w:ascii="Simplified Arabic" w:hAnsi="Simplified Arabic" w:cs="Simplified Arabic" w:hint="default"/>
        <w:b/>
      </w:rPr>
    </w:lvl>
    <w:lvl w:ilvl="6">
      <w:start w:val="1"/>
      <w:numFmt w:val="decimal"/>
      <w:lvlText w:val="%1.%2.%3.%4.%5.%6.%7."/>
      <w:lvlJc w:val="left"/>
      <w:pPr>
        <w:ind w:left="3600" w:hanging="1440"/>
      </w:pPr>
      <w:rPr>
        <w:rFonts w:ascii="Simplified Arabic" w:hAnsi="Simplified Arabic" w:cs="Simplified Arabic" w:hint="default"/>
        <w:b/>
      </w:rPr>
    </w:lvl>
    <w:lvl w:ilvl="7">
      <w:start w:val="1"/>
      <w:numFmt w:val="decimal"/>
      <w:lvlText w:val="%1.%2.%3.%4.%5.%6.%7.%8."/>
      <w:lvlJc w:val="left"/>
      <w:pPr>
        <w:ind w:left="4320" w:hanging="1800"/>
      </w:pPr>
      <w:rPr>
        <w:rFonts w:ascii="Simplified Arabic" w:hAnsi="Simplified Arabic" w:cs="Simplified Arabic" w:hint="default"/>
        <w:b/>
      </w:rPr>
    </w:lvl>
    <w:lvl w:ilvl="8">
      <w:start w:val="1"/>
      <w:numFmt w:val="decimal"/>
      <w:lvlText w:val="%1.%2.%3.%4.%5.%6.%7.%8.%9."/>
      <w:lvlJc w:val="left"/>
      <w:pPr>
        <w:ind w:left="5040" w:hanging="2160"/>
      </w:pPr>
      <w:rPr>
        <w:rFonts w:ascii="Simplified Arabic" w:hAnsi="Simplified Arabic" w:cs="Simplified Arabic" w:hint="default"/>
        <w:b/>
      </w:rPr>
    </w:lvl>
  </w:abstractNum>
  <w:abstractNum w:abstractNumId="4">
    <w:nsid w:val="02800EB4"/>
    <w:multiLevelType w:val="hybridMultilevel"/>
    <w:tmpl w:val="C832BD5A"/>
    <w:lvl w:ilvl="0" w:tplc="C7B8732A">
      <w:numFmt w:val="bullet"/>
      <w:lvlText w:val="-"/>
      <w:lvlJc w:val="left"/>
      <w:pPr>
        <w:ind w:left="720" w:hanging="360"/>
      </w:pPr>
      <w:rPr>
        <w:rFonts w:ascii="Simplified Arabic" w:eastAsiaTheme="minorHAnsi" w:hAnsi="Simplified Arabic" w:cs="Simplified Arabic"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28A0E72"/>
    <w:multiLevelType w:val="hybridMultilevel"/>
    <w:tmpl w:val="80522776"/>
    <w:lvl w:ilvl="0" w:tplc="5052E4BC">
      <w:start w:val="1"/>
      <w:numFmt w:val="decimal"/>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6">
    <w:nsid w:val="029A7B82"/>
    <w:multiLevelType w:val="multilevel"/>
    <w:tmpl w:val="E7BC9C06"/>
    <w:lvl w:ilvl="0">
      <w:start w:val="1"/>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4"/>
      <w:numFmt w:val="decimal"/>
      <w:lvlText w:val="%1.%2.%3."/>
      <w:lvlJc w:val="left"/>
      <w:pPr>
        <w:ind w:left="840" w:hanging="840"/>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04793AC3"/>
    <w:multiLevelType w:val="hybridMultilevel"/>
    <w:tmpl w:val="32543FD0"/>
    <w:lvl w:ilvl="0" w:tplc="92728BE0">
      <w:start w:val="1"/>
      <w:numFmt w:val="bullet"/>
      <w:lvlText w:val="o"/>
      <w:lvlJc w:val="left"/>
      <w:pPr>
        <w:ind w:left="720" w:hanging="360"/>
      </w:pPr>
      <w:rPr>
        <w:rFonts w:ascii="Courier New" w:hAnsi="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4D1018E"/>
    <w:multiLevelType w:val="multilevel"/>
    <w:tmpl w:val="CD6AE244"/>
    <w:lvl w:ilvl="0">
      <w:start w:val="4"/>
      <w:numFmt w:val="decimal"/>
      <w:lvlText w:val="%1."/>
      <w:lvlJc w:val="left"/>
      <w:pPr>
        <w:ind w:left="420" w:hanging="420"/>
      </w:pPr>
      <w:rPr>
        <w:rFonts w:hint="default"/>
      </w:rPr>
    </w:lvl>
    <w:lvl w:ilvl="1">
      <w:start w:val="6"/>
      <w:numFmt w:val="decimal"/>
      <w:lvlText w:val="%1.%2."/>
      <w:lvlJc w:val="left"/>
      <w:pPr>
        <w:ind w:left="1080" w:hanging="720"/>
      </w:pPr>
      <w:rPr>
        <w:rFonts w:hint="default"/>
      </w:rPr>
    </w:lvl>
    <w:lvl w:ilvl="2">
      <w:start w:val="6"/>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nsid w:val="0509651D"/>
    <w:multiLevelType w:val="multilevel"/>
    <w:tmpl w:val="6BC6FA5C"/>
    <w:lvl w:ilvl="0">
      <w:start w:val="1"/>
      <w:numFmt w:val="decimal"/>
      <w:lvlText w:val="%1."/>
      <w:lvlJc w:val="left"/>
      <w:pPr>
        <w:ind w:left="840" w:hanging="840"/>
      </w:pPr>
      <w:rPr>
        <w:rFonts w:hint="default"/>
        <w:b/>
        <w:color w:val="auto"/>
      </w:rPr>
    </w:lvl>
    <w:lvl w:ilvl="1">
      <w:start w:val="3"/>
      <w:numFmt w:val="decimal"/>
      <w:lvlText w:val="%1.%2."/>
      <w:lvlJc w:val="left"/>
      <w:pPr>
        <w:ind w:left="840" w:hanging="840"/>
      </w:pPr>
      <w:rPr>
        <w:rFonts w:hint="default"/>
        <w:b w:val="0"/>
        <w:bCs/>
        <w:color w:val="auto"/>
      </w:rPr>
    </w:lvl>
    <w:lvl w:ilvl="2">
      <w:start w:val="2"/>
      <w:numFmt w:val="decimal"/>
      <w:lvlText w:val="%1.%2.%3."/>
      <w:lvlJc w:val="left"/>
      <w:pPr>
        <w:ind w:left="840" w:hanging="840"/>
      </w:pPr>
      <w:rPr>
        <w:rFonts w:hint="default"/>
        <w:b/>
        <w:color w:val="auto"/>
      </w:rPr>
    </w:lvl>
    <w:lvl w:ilvl="3">
      <w:start w:val="3"/>
      <w:numFmt w:val="decimal"/>
      <w:lvlText w:val="%1.%2.%3.%4."/>
      <w:lvlJc w:val="left"/>
      <w:pPr>
        <w:ind w:left="1080" w:hanging="1080"/>
      </w:pPr>
      <w:rPr>
        <w:rFonts w:hint="default"/>
        <w:b w:val="0"/>
        <w:bCs/>
        <w:color w:val="auto"/>
      </w:rPr>
    </w:lvl>
    <w:lvl w:ilvl="4">
      <w:start w:val="1"/>
      <w:numFmt w:val="decimal"/>
      <w:lvlText w:val="%1.%2.%3.%4.%5."/>
      <w:lvlJc w:val="left"/>
      <w:pPr>
        <w:ind w:left="1080" w:hanging="1080"/>
      </w:pPr>
      <w:rPr>
        <w:rFonts w:hint="default"/>
        <w:b/>
        <w:color w:val="auto"/>
      </w:rPr>
    </w:lvl>
    <w:lvl w:ilvl="5">
      <w:start w:val="1"/>
      <w:numFmt w:val="decimal"/>
      <w:lvlText w:val="%1.%2.%3.%4.%5.%6."/>
      <w:lvlJc w:val="left"/>
      <w:pPr>
        <w:ind w:left="1440" w:hanging="1440"/>
      </w:pPr>
      <w:rPr>
        <w:rFonts w:hint="default"/>
        <w:b/>
        <w:color w:val="auto"/>
      </w:rPr>
    </w:lvl>
    <w:lvl w:ilvl="6">
      <w:start w:val="1"/>
      <w:numFmt w:val="decimal"/>
      <w:lvlText w:val="%1.%2.%3.%4.%5.%6.%7."/>
      <w:lvlJc w:val="left"/>
      <w:pPr>
        <w:ind w:left="1440" w:hanging="1440"/>
      </w:pPr>
      <w:rPr>
        <w:rFonts w:hint="default"/>
        <w:b/>
        <w:color w:val="auto"/>
      </w:rPr>
    </w:lvl>
    <w:lvl w:ilvl="7">
      <w:start w:val="1"/>
      <w:numFmt w:val="decimal"/>
      <w:lvlText w:val="%1.%2.%3.%4.%5.%6.%7.%8."/>
      <w:lvlJc w:val="left"/>
      <w:pPr>
        <w:ind w:left="1800" w:hanging="1800"/>
      </w:pPr>
      <w:rPr>
        <w:rFonts w:hint="default"/>
        <w:b/>
        <w:color w:val="auto"/>
      </w:rPr>
    </w:lvl>
    <w:lvl w:ilvl="8">
      <w:start w:val="1"/>
      <w:numFmt w:val="decimal"/>
      <w:lvlText w:val="%1.%2.%3.%4.%5.%6.%7.%8.%9."/>
      <w:lvlJc w:val="left"/>
      <w:pPr>
        <w:ind w:left="1800" w:hanging="1800"/>
      </w:pPr>
      <w:rPr>
        <w:rFonts w:hint="default"/>
        <w:b/>
        <w:color w:val="auto"/>
      </w:rPr>
    </w:lvl>
  </w:abstractNum>
  <w:abstractNum w:abstractNumId="10">
    <w:nsid w:val="05B93614"/>
    <w:multiLevelType w:val="multilevel"/>
    <w:tmpl w:val="5F8CDC2E"/>
    <w:lvl w:ilvl="0">
      <w:start w:val="4"/>
      <w:numFmt w:val="decimal"/>
      <w:lvlText w:val="%1."/>
      <w:lvlJc w:val="left"/>
      <w:pPr>
        <w:ind w:left="630" w:hanging="630"/>
      </w:pPr>
      <w:rPr>
        <w:rFonts w:hint="default"/>
      </w:rPr>
    </w:lvl>
    <w:lvl w:ilvl="1">
      <w:start w:val="2"/>
      <w:numFmt w:val="decimal"/>
      <w:lvlText w:val="%1.%2."/>
      <w:lvlJc w:val="left"/>
      <w:pPr>
        <w:ind w:left="900" w:hanging="720"/>
      </w:pPr>
      <w:rPr>
        <w:rFonts w:ascii="Simplified Arabic" w:hAnsi="Simplified Arabic" w:cs="Simplified Arabic" w:hint="default"/>
        <w:b/>
        <w:bCs/>
        <w:sz w:val="24"/>
        <w:szCs w:val="24"/>
      </w:rPr>
    </w:lvl>
    <w:lvl w:ilvl="2">
      <w:start w:val="2"/>
      <w:numFmt w:val="decimal"/>
      <w:lvlText w:val="%1.%2.%3."/>
      <w:lvlJc w:val="left"/>
      <w:pPr>
        <w:ind w:left="1080" w:hanging="720"/>
      </w:pPr>
      <w:rPr>
        <w:rFonts w:ascii="Simplified Arabic" w:hAnsi="Simplified Arabic" w:cs="Simplified Arabic" w:hint="default"/>
        <w:b/>
        <w:bCs/>
        <w:sz w:val="24"/>
        <w:szCs w:val="24"/>
      </w:rPr>
    </w:lvl>
    <w:lvl w:ilvl="3">
      <w:start w:val="3"/>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1">
    <w:nsid w:val="06051C21"/>
    <w:multiLevelType w:val="multilevel"/>
    <w:tmpl w:val="44087D88"/>
    <w:lvl w:ilvl="0">
      <w:start w:val="1"/>
      <w:numFmt w:val="arabicAlpha"/>
      <w:lvlText w:val="%1."/>
      <w:lvlJc w:val="right"/>
      <w:pPr>
        <w:ind w:left="643" w:hanging="360"/>
      </w:pPr>
      <w:rPr>
        <w:rFonts w:ascii="Simplified Arabic" w:hAnsi="Simplified Arabic" w:cs="Simplified Arabic" w:hint="default"/>
        <w:b/>
        <w:bCs/>
        <w:color w:val="242021"/>
        <w:sz w:val="22"/>
        <w:szCs w:val="24"/>
        <w:lang w:bidi="ar-SA"/>
      </w:rPr>
    </w:lvl>
    <w:lvl w:ilvl="1">
      <w:start w:val="1"/>
      <w:numFmt w:val="arabicAlpha"/>
      <w:lvlText w:val="2.%2."/>
      <w:lvlJc w:val="right"/>
      <w:pPr>
        <w:ind w:left="1208" w:hanging="840"/>
      </w:pPr>
      <w:rPr>
        <w:rFonts w:hint="default"/>
        <w:b/>
        <w:bCs/>
        <w:sz w:val="22"/>
        <w:szCs w:val="24"/>
      </w:rPr>
    </w:lvl>
    <w:lvl w:ilvl="2">
      <w:start w:val="4"/>
      <w:numFmt w:val="decimal"/>
      <w:isLgl/>
      <w:lvlText w:val="%1.%2.%3."/>
      <w:lvlJc w:val="left"/>
      <w:pPr>
        <w:ind w:left="1293" w:hanging="840"/>
      </w:pPr>
      <w:rPr>
        <w:rFonts w:hint="default"/>
      </w:rPr>
    </w:lvl>
    <w:lvl w:ilvl="3">
      <w:start w:val="3"/>
      <w:numFmt w:val="decimal"/>
      <w:isLgl/>
      <w:lvlText w:val="%1.%2.%3.%4."/>
      <w:lvlJc w:val="left"/>
      <w:pPr>
        <w:ind w:left="1618" w:hanging="1080"/>
      </w:pPr>
      <w:rPr>
        <w:rFonts w:hint="default"/>
      </w:rPr>
    </w:lvl>
    <w:lvl w:ilvl="4">
      <w:start w:val="1"/>
      <w:numFmt w:val="decimal"/>
      <w:isLgl/>
      <w:lvlText w:val="%1.%2.%3.%4.%5."/>
      <w:lvlJc w:val="left"/>
      <w:pPr>
        <w:ind w:left="1703"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233" w:hanging="1440"/>
      </w:pPr>
      <w:rPr>
        <w:rFonts w:hint="default"/>
      </w:rPr>
    </w:lvl>
    <w:lvl w:ilvl="7">
      <w:start w:val="1"/>
      <w:numFmt w:val="decimal"/>
      <w:isLgl/>
      <w:lvlText w:val="%1.%2.%3.%4.%5.%6.%7.%8."/>
      <w:lvlJc w:val="left"/>
      <w:pPr>
        <w:ind w:left="2678" w:hanging="1800"/>
      </w:pPr>
      <w:rPr>
        <w:rFonts w:hint="default"/>
      </w:rPr>
    </w:lvl>
    <w:lvl w:ilvl="8">
      <w:start w:val="1"/>
      <w:numFmt w:val="decimal"/>
      <w:isLgl/>
      <w:lvlText w:val="%1.%2.%3.%4.%5.%6.%7.%8.%9."/>
      <w:lvlJc w:val="left"/>
      <w:pPr>
        <w:ind w:left="2763" w:hanging="1800"/>
      </w:pPr>
      <w:rPr>
        <w:rFonts w:hint="default"/>
      </w:rPr>
    </w:lvl>
  </w:abstractNum>
  <w:abstractNum w:abstractNumId="12">
    <w:nsid w:val="069669BB"/>
    <w:multiLevelType w:val="multilevel"/>
    <w:tmpl w:val="C1740DFE"/>
    <w:lvl w:ilvl="0">
      <w:start w:val="1"/>
      <w:numFmt w:val="decimal"/>
      <w:lvlText w:val="%1."/>
      <w:lvlJc w:val="left"/>
      <w:pPr>
        <w:ind w:left="630" w:hanging="630"/>
      </w:pPr>
      <w:rPr>
        <w:rFonts w:hint="default"/>
      </w:rPr>
    </w:lvl>
    <w:lvl w:ilvl="1">
      <w:start w:val="8"/>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nsid w:val="078A6109"/>
    <w:multiLevelType w:val="multilevel"/>
    <w:tmpl w:val="CBD42BFA"/>
    <w:lvl w:ilvl="0">
      <w:start w:val="3"/>
      <w:numFmt w:val="decimal"/>
      <w:lvlText w:val="%1."/>
      <w:lvlJc w:val="left"/>
      <w:pPr>
        <w:ind w:left="840" w:hanging="840"/>
      </w:pPr>
      <w:rPr>
        <w:rFonts w:hint="default"/>
      </w:rPr>
    </w:lvl>
    <w:lvl w:ilvl="1">
      <w:start w:val="3"/>
      <w:numFmt w:val="arabicAlpha"/>
      <w:lvlText w:val="2.%2."/>
      <w:lvlJc w:val="right"/>
      <w:pPr>
        <w:ind w:left="960" w:hanging="840"/>
      </w:pPr>
      <w:rPr>
        <w:rFonts w:hint="default"/>
        <w:b/>
        <w:bCs/>
        <w:sz w:val="22"/>
        <w:szCs w:val="24"/>
      </w:rPr>
    </w:lvl>
    <w:lvl w:ilvl="2">
      <w:start w:val="4"/>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4">
    <w:nsid w:val="083C2921"/>
    <w:multiLevelType w:val="hybridMultilevel"/>
    <w:tmpl w:val="2AB26C88"/>
    <w:lvl w:ilvl="0" w:tplc="0428BB9E">
      <w:start w:val="1"/>
      <w:numFmt w:val="arabicAlpha"/>
      <w:lvlText w:val="5.%1."/>
      <w:lvlJc w:val="right"/>
      <w:pPr>
        <w:ind w:left="1284" w:hanging="360"/>
      </w:pPr>
      <w:rPr>
        <w:rFonts w:hint="default"/>
        <w:b w:val="0"/>
        <w:bCs/>
        <w:sz w:val="22"/>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08960A95"/>
    <w:multiLevelType w:val="multilevel"/>
    <w:tmpl w:val="6C1E30C4"/>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nsid w:val="08E90AC3"/>
    <w:multiLevelType w:val="hybridMultilevel"/>
    <w:tmpl w:val="90E66724"/>
    <w:lvl w:ilvl="0" w:tplc="F0E414F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7">
    <w:nsid w:val="0A063CF1"/>
    <w:multiLevelType w:val="multilevel"/>
    <w:tmpl w:val="6AC690C6"/>
    <w:lvl w:ilvl="0">
      <w:start w:val="5"/>
      <w:numFmt w:val="decimal"/>
      <w:lvlText w:val="%1."/>
      <w:lvlJc w:val="left"/>
      <w:pPr>
        <w:ind w:left="630" w:hanging="630"/>
      </w:pPr>
      <w:rPr>
        <w:rFonts w:hint="default"/>
        <w:b/>
        <w:sz w:val="24"/>
      </w:rPr>
    </w:lvl>
    <w:lvl w:ilvl="1">
      <w:start w:val="1"/>
      <w:numFmt w:val="decimal"/>
      <w:lvlText w:val="%1.%2."/>
      <w:lvlJc w:val="left"/>
      <w:pPr>
        <w:ind w:left="810" w:hanging="630"/>
      </w:pPr>
      <w:rPr>
        <w:rFonts w:hint="default"/>
        <w:b/>
        <w:sz w:val="24"/>
      </w:rPr>
    </w:lvl>
    <w:lvl w:ilvl="2">
      <w:start w:val="1"/>
      <w:numFmt w:val="decimal"/>
      <w:lvlText w:val="%1.%2.%3."/>
      <w:lvlJc w:val="left"/>
      <w:pPr>
        <w:ind w:left="1080" w:hanging="720"/>
      </w:pPr>
      <w:rPr>
        <w:rFonts w:hint="default"/>
        <w:b w:val="0"/>
        <w:bCs/>
        <w:sz w:val="24"/>
      </w:rPr>
    </w:lvl>
    <w:lvl w:ilvl="3">
      <w:start w:val="2"/>
      <w:numFmt w:val="decimal"/>
      <w:lvlText w:val="%1.%2.%3.%4."/>
      <w:lvlJc w:val="left"/>
      <w:pPr>
        <w:ind w:left="1620" w:hanging="1080"/>
      </w:pPr>
      <w:rPr>
        <w:rFonts w:hint="default"/>
        <w:b w:val="0"/>
        <w:bCs/>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2340" w:hanging="144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3060" w:hanging="1800"/>
      </w:pPr>
      <w:rPr>
        <w:rFonts w:hint="default"/>
        <w:b/>
        <w:sz w:val="24"/>
      </w:rPr>
    </w:lvl>
    <w:lvl w:ilvl="8">
      <w:start w:val="1"/>
      <w:numFmt w:val="decimal"/>
      <w:lvlText w:val="%1.%2.%3.%4.%5.%6.%7.%8.%9."/>
      <w:lvlJc w:val="left"/>
      <w:pPr>
        <w:ind w:left="3240" w:hanging="1800"/>
      </w:pPr>
      <w:rPr>
        <w:rFonts w:hint="default"/>
        <w:b/>
        <w:sz w:val="24"/>
      </w:rPr>
    </w:lvl>
  </w:abstractNum>
  <w:abstractNum w:abstractNumId="18">
    <w:nsid w:val="0A40784F"/>
    <w:multiLevelType w:val="multilevel"/>
    <w:tmpl w:val="8D44DFD2"/>
    <w:lvl w:ilvl="0">
      <w:start w:val="6"/>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3"/>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9">
    <w:nsid w:val="0A57566F"/>
    <w:multiLevelType w:val="hybridMultilevel"/>
    <w:tmpl w:val="C9A41A26"/>
    <w:lvl w:ilvl="0" w:tplc="1A6AA9FC">
      <w:start w:val="1"/>
      <w:numFmt w:val="arabicAlpha"/>
      <w:lvlText w:val="1.%1."/>
      <w:lvlJc w:val="right"/>
      <w:pPr>
        <w:ind w:left="1284" w:hanging="360"/>
      </w:pPr>
      <w:rPr>
        <w:rFonts w:hint="default"/>
        <w:b w:val="0"/>
        <w:bCs/>
        <w:sz w:val="22"/>
        <w:szCs w:val="24"/>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0A9114DA"/>
    <w:multiLevelType w:val="multilevel"/>
    <w:tmpl w:val="53880EF4"/>
    <w:lvl w:ilvl="0">
      <w:start w:val="4"/>
      <w:numFmt w:val="decimal"/>
      <w:lvlText w:val="%1."/>
      <w:lvlJc w:val="left"/>
      <w:pPr>
        <w:ind w:left="975" w:hanging="975"/>
      </w:pPr>
      <w:rPr>
        <w:rFonts w:hint="default"/>
      </w:rPr>
    </w:lvl>
    <w:lvl w:ilvl="1">
      <w:start w:val="1"/>
      <w:numFmt w:val="decimal"/>
      <w:lvlText w:val="%1.%2."/>
      <w:lvlJc w:val="left"/>
      <w:pPr>
        <w:ind w:left="975" w:hanging="975"/>
      </w:pPr>
      <w:rPr>
        <w:rFonts w:hint="default"/>
      </w:rPr>
    </w:lvl>
    <w:lvl w:ilvl="2">
      <w:start w:val="10"/>
      <w:numFmt w:val="decimal"/>
      <w:lvlText w:val="%1.%2.%3."/>
      <w:lvlJc w:val="left"/>
      <w:pPr>
        <w:ind w:left="975" w:hanging="975"/>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0B7F3E81"/>
    <w:multiLevelType w:val="multilevel"/>
    <w:tmpl w:val="1E3685E6"/>
    <w:lvl w:ilvl="0">
      <w:start w:val="2"/>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hint="default"/>
        <w:b/>
        <w:bCs/>
      </w:rPr>
    </w:lvl>
    <w:lvl w:ilvl="3">
      <w:start w:val="6"/>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0C5B4327"/>
    <w:multiLevelType w:val="multilevel"/>
    <w:tmpl w:val="54AA90FC"/>
    <w:lvl w:ilvl="0">
      <w:start w:val="1"/>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ascii="Simplified Arabic" w:hAnsi="Simplified Arabic" w:cs="Simplified Arabic" w:hint="default"/>
      </w:rPr>
    </w:lvl>
    <w:lvl w:ilvl="3">
      <w:start w:val="1"/>
      <w:numFmt w:val="arabicAlpha"/>
      <w:lvlText w:val="1.%4."/>
      <w:lvlJc w:val="right"/>
      <w:pPr>
        <w:ind w:left="1080" w:hanging="1080"/>
      </w:pPr>
      <w:rPr>
        <w:rFonts w:hint="default"/>
        <w:b/>
        <w:bCs/>
        <w:sz w:val="22"/>
        <w:szCs w:val="24"/>
        <w:lang w:val="fr-FR"/>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0C9010D6"/>
    <w:multiLevelType w:val="multilevel"/>
    <w:tmpl w:val="2AD0F1D4"/>
    <w:lvl w:ilvl="0">
      <w:start w:val="5"/>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0CF00565"/>
    <w:multiLevelType w:val="multilevel"/>
    <w:tmpl w:val="B5EA6EB2"/>
    <w:lvl w:ilvl="0">
      <w:start w:val="3"/>
      <w:numFmt w:val="decimal"/>
      <w:lvlText w:val="%1."/>
      <w:lvlJc w:val="left"/>
      <w:pPr>
        <w:ind w:left="840" w:hanging="840"/>
      </w:pPr>
      <w:rPr>
        <w:rFonts w:hint="default"/>
      </w:rPr>
    </w:lvl>
    <w:lvl w:ilvl="1">
      <w:start w:val="6"/>
      <w:numFmt w:val="decimal"/>
      <w:lvlText w:val="%1.%2."/>
      <w:lvlJc w:val="left"/>
      <w:pPr>
        <w:ind w:left="960" w:hanging="840"/>
      </w:pPr>
      <w:rPr>
        <w:rFonts w:hint="default"/>
      </w:rPr>
    </w:lvl>
    <w:lvl w:ilvl="2">
      <w:start w:val="6"/>
      <w:numFmt w:val="decimal"/>
      <w:lvlText w:val="%1.%2.%3."/>
      <w:lvlJc w:val="left"/>
      <w:pPr>
        <w:ind w:left="1080" w:hanging="84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5">
    <w:nsid w:val="0D0C2B8F"/>
    <w:multiLevelType w:val="multilevel"/>
    <w:tmpl w:val="C204A700"/>
    <w:lvl w:ilvl="0">
      <w:start w:val="3"/>
      <w:numFmt w:val="decimal"/>
      <w:lvlText w:val="%1."/>
      <w:lvlJc w:val="left"/>
      <w:pPr>
        <w:ind w:left="630" w:hanging="630"/>
      </w:pPr>
      <w:rPr>
        <w:rFonts w:hint="default"/>
      </w:rPr>
    </w:lvl>
    <w:lvl w:ilvl="1">
      <w:start w:val="6"/>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6">
    <w:nsid w:val="0D1519DE"/>
    <w:multiLevelType w:val="hybridMultilevel"/>
    <w:tmpl w:val="12D85056"/>
    <w:lvl w:ilvl="0" w:tplc="5C302A24">
      <w:start w:val="1"/>
      <w:numFmt w:val="arabicAlpha"/>
      <w:lvlText w:val="%1)"/>
      <w:lvlJc w:val="left"/>
      <w:pPr>
        <w:ind w:left="720" w:hanging="360"/>
      </w:pPr>
      <w:rPr>
        <w:rFonts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0D5409EE"/>
    <w:multiLevelType w:val="multilevel"/>
    <w:tmpl w:val="F750497C"/>
    <w:lvl w:ilvl="0">
      <w:start w:val="3"/>
      <w:numFmt w:val="decimal"/>
      <w:lvlText w:val="%1."/>
      <w:lvlJc w:val="left"/>
      <w:pPr>
        <w:ind w:left="420" w:hanging="420"/>
      </w:pPr>
      <w:rPr>
        <w:rFonts w:hint="default"/>
      </w:rPr>
    </w:lvl>
    <w:lvl w:ilvl="1">
      <w:start w:val="4"/>
      <w:numFmt w:val="decimal"/>
      <w:lvlText w:val="%1.%2."/>
      <w:lvlJc w:val="left"/>
      <w:pPr>
        <w:ind w:left="1080" w:hanging="720"/>
      </w:pPr>
      <w:rPr>
        <w:rFonts w:hint="default"/>
        <w:b/>
        <w:bCs/>
      </w:rPr>
    </w:lvl>
    <w:lvl w:ilvl="2">
      <w:start w:val="6"/>
      <w:numFmt w:val="decimal"/>
      <w:lvlText w:val="%1.%2.%3."/>
      <w:lvlJc w:val="left"/>
      <w:pPr>
        <w:ind w:left="1440" w:hanging="720"/>
      </w:pPr>
      <w:rPr>
        <w:rFonts w:hint="default"/>
        <w:b w:val="0"/>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8">
    <w:nsid w:val="0EB9038F"/>
    <w:multiLevelType w:val="multilevel"/>
    <w:tmpl w:val="E506A07C"/>
    <w:lvl w:ilvl="0">
      <w:start w:val="1"/>
      <w:numFmt w:val="arabicAlpha"/>
      <w:lvlText w:val="2.%1."/>
      <w:lvlJc w:val="right"/>
      <w:pPr>
        <w:ind w:left="840" w:hanging="840"/>
      </w:pPr>
      <w:rPr>
        <w:rFonts w:hint="default"/>
        <w:b/>
        <w:bCs/>
        <w:sz w:val="22"/>
        <w:szCs w:val="24"/>
      </w:rPr>
    </w:lvl>
    <w:lvl w:ilvl="1">
      <w:start w:val="1"/>
      <w:numFmt w:val="decimal"/>
      <w:lvlText w:val="%1.%2."/>
      <w:lvlJc w:val="left"/>
      <w:pPr>
        <w:ind w:left="840" w:hanging="840"/>
      </w:pPr>
      <w:rPr>
        <w:rFonts w:hint="default"/>
      </w:rPr>
    </w:lvl>
    <w:lvl w:ilvl="2">
      <w:start w:val="4"/>
      <w:numFmt w:val="decimal"/>
      <w:lvlText w:val="%1.%2.%3."/>
      <w:lvlJc w:val="left"/>
      <w:pPr>
        <w:ind w:left="840" w:hanging="840"/>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0F2E1BF6"/>
    <w:multiLevelType w:val="multilevel"/>
    <w:tmpl w:val="A1827AAC"/>
    <w:lvl w:ilvl="0">
      <w:start w:val="1"/>
      <w:numFmt w:val="decimal"/>
      <w:lvlText w:val="%1."/>
      <w:lvlJc w:val="left"/>
      <w:pPr>
        <w:ind w:left="975" w:hanging="975"/>
      </w:pPr>
      <w:rPr>
        <w:rFonts w:hint="default"/>
      </w:rPr>
    </w:lvl>
    <w:lvl w:ilvl="1">
      <w:start w:val="1"/>
      <w:numFmt w:val="decimal"/>
      <w:lvlText w:val="%1.%2."/>
      <w:lvlJc w:val="left"/>
      <w:pPr>
        <w:ind w:left="975" w:hanging="975"/>
      </w:pPr>
      <w:rPr>
        <w:rFonts w:hint="default"/>
      </w:rPr>
    </w:lvl>
    <w:lvl w:ilvl="2">
      <w:start w:val="10"/>
      <w:numFmt w:val="decimal"/>
      <w:lvlText w:val="%1.%2.%3."/>
      <w:lvlJc w:val="left"/>
      <w:pPr>
        <w:ind w:left="975" w:hanging="975"/>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0F92788B"/>
    <w:multiLevelType w:val="multilevel"/>
    <w:tmpl w:val="966E95AC"/>
    <w:lvl w:ilvl="0">
      <w:start w:val="2"/>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10B17A96"/>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111C0CBB"/>
    <w:multiLevelType w:val="multilevel"/>
    <w:tmpl w:val="C3AE6AA8"/>
    <w:lvl w:ilvl="0">
      <w:start w:val="2"/>
      <w:numFmt w:val="decimal"/>
      <w:lvlText w:val="%1."/>
      <w:lvlJc w:val="left"/>
      <w:pPr>
        <w:ind w:left="840" w:hanging="840"/>
      </w:pPr>
      <w:rPr>
        <w:rFonts w:hint="default"/>
        <w:b/>
        <w:color w:val="000000"/>
      </w:rPr>
    </w:lvl>
    <w:lvl w:ilvl="1">
      <w:start w:val="5"/>
      <w:numFmt w:val="decimal"/>
      <w:lvlText w:val="%1.%2."/>
      <w:lvlJc w:val="left"/>
      <w:pPr>
        <w:ind w:left="840" w:hanging="840"/>
      </w:pPr>
      <w:rPr>
        <w:rFonts w:hint="default"/>
        <w:b/>
        <w:color w:val="000000"/>
      </w:rPr>
    </w:lvl>
    <w:lvl w:ilvl="2">
      <w:start w:val="6"/>
      <w:numFmt w:val="decimal"/>
      <w:lvlText w:val="%1.%2.%3."/>
      <w:lvlJc w:val="left"/>
      <w:pPr>
        <w:ind w:left="840" w:hanging="840"/>
      </w:pPr>
      <w:rPr>
        <w:rFonts w:hint="default"/>
        <w:b w:val="0"/>
        <w:bCs/>
        <w:color w:val="000000"/>
      </w:rPr>
    </w:lvl>
    <w:lvl w:ilvl="3">
      <w:start w:val="2"/>
      <w:numFmt w:val="decimal"/>
      <w:lvlText w:val="%1.%2.%3.%4."/>
      <w:lvlJc w:val="left"/>
      <w:pPr>
        <w:ind w:left="1080" w:hanging="1080"/>
      </w:pPr>
      <w:rPr>
        <w:rFonts w:hint="default"/>
        <w:b/>
        <w:bCs w:val="0"/>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440" w:hanging="1440"/>
      </w:pPr>
      <w:rPr>
        <w:rFonts w:hint="default"/>
        <w:b/>
        <w:color w:val="000000"/>
      </w:rPr>
    </w:lvl>
    <w:lvl w:ilvl="6">
      <w:start w:val="1"/>
      <w:numFmt w:val="decimal"/>
      <w:lvlText w:val="%1.%2.%3.%4.%5.%6.%7."/>
      <w:lvlJc w:val="left"/>
      <w:pPr>
        <w:ind w:left="1440" w:hanging="1440"/>
      </w:pPr>
      <w:rPr>
        <w:rFonts w:hint="default"/>
        <w:b/>
        <w:color w:val="000000"/>
      </w:rPr>
    </w:lvl>
    <w:lvl w:ilvl="7">
      <w:start w:val="1"/>
      <w:numFmt w:val="decimal"/>
      <w:lvlText w:val="%1.%2.%3.%4.%5.%6.%7.%8."/>
      <w:lvlJc w:val="left"/>
      <w:pPr>
        <w:ind w:left="1800" w:hanging="1800"/>
      </w:pPr>
      <w:rPr>
        <w:rFonts w:hint="default"/>
        <w:b/>
        <w:color w:val="000000"/>
      </w:rPr>
    </w:lvl>
    <w:lvl w:ilvl="8">
      <w:start w:val="1"/>
      <w:numFmt w:val="decimal"/>
      <w:lvlText w:val="%1.%2.%3.%4.%5.%6.%7.%8.%9."/>
      <w:lvlJc w:val="left"/>
      <w:pPr>
        <w:ind w:left="1800" w:hanging="1800"/>
      </w:pPr>
      <w:rPr>
        <w:rFonts w:hint="default"/>
        <w:b/>
        <w:color w:val="000000"/>
      </w:rPr>
    </w:lvl>
  </w:abstractNum>
  <w:abstractNum w:abstractNumId="33">
    <w:nsid w:val="12211F6B"/>
    <w:multiLevelType w:val="hybridMultilevel"/>
    <w:tmpl w:val="E54652EC"/>
    <w:lvl w:ilvl="0" w:tplc="84A66E34">
      <w:start w:val="4"/>
      <w:numFmt w:val="bullet"/>
      <w:lvlText w:val="-"/>
      <w:lvlJc w:val="left"/>
      <w:pPr>
        <w:ind w:left="358" w:hanging="360"/>
      </w:pPr>
      <w:rPr>
        <w:rFonts w:ascii="Simplified Arabic" w:eastAsiaTheme="minorHAnsi" w:hAnsi="Simplified Arabic" w:cs="Simplified Arabic" w:hint="default"/>
        <w:lang w:bidi="ar-SA"/>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34">
    <w:nsid w:val="123370C5"/>
    <w:multiLevelType w:val="multilevel"/>
    <w:tmpl w:val="15A815F4"/>
    <w:lvl w:ilvl="0">
      <w:start w:val="6"/>
      <w:numFmt w:val="decimal"/>
      <w:lvlText w:val="%1."/>
      <w:lvlJc w:val="left"/>
      <w:pPr>
        <w:ind w:left="420" w:hanging="420"/>
      </w:pPr>
      <w:rPr>
        <w:rFonts w:hint="default"/>
        <w:b/>
        <w:sz w:val="24"/>
      </w:rPr>
    </w:lvl>
    <w:lvl w:ilvl="1">
      <w:start w:val="2"/>
      <w:numFmt w:val="decimal"/>
      <w:lvlText w:val="%1.%2."/>
      <w:lvlJc w:val="left"/>
      <w:pPr>
        <w:ind w:left="780" w:hanging="420"/>
      </w:pPr>
      <w:rPr>
        <w:rFonts w:hint="default"/>
        <w:b w:val="0"/>
        <w:bCs/>
        <w:sz w:val="24"/>
      </w:rPr>
    </w:lvl>
    <w:lvl w:ilvl="2">
      <w:start w:val="2"/>
      <w:numFmt w:val="decimal"/>
      <w:lvlText w:val="%1.%2.%3."/>
      <w:lvlJc w:val="left"/>
      <w:pPr>
        <w:ind w:left="1440" w:hanging="720"/>
      </w:pPr>
      <w:rPr>
        <w:rFonts w:hint="default"/>
        <w:b w:val="0"/>
        <w:bCs/>
        <w:sz w:val="24"/>
      </w:rPr>
    </w:lvl>
    <w:lvl w:ilvl="3">
      <w:start w:val="1"/>
      <w:numFmt w:val="decimal"/>
      <w:lvlText w:val="%1.%2.%3.%4."/>
      <w:lvlJc w:val="left"/>
      <w:pPr>
        <w:ind w:left="2160" w:hanging="1080"/>
      </w:pPr>
      <w:rPr>
        <w:rFonts w:hint="default"/>
        <w:b/>
        <w:sz w:val="24"/>
      </w:rPr>
    </w:lvl>
    <w:lvl w:ilvl="4">
      <w:start w:val="1"/>
      <w:numFmt w:val="decimal"/>
      <w:lvlText w:val="%1.%2.%3.%4.%5."/>
      <w:lvlJc w:val="left"/>
      <w:pPr>
        <w:ind w:left="2520" w:hanging="1080"/>
      </w:pPr>
      <w:rPr>
        <w:rFonts w:hint="default"/>
        <w:b/>
        <w:sz w:val="24"/>
      </w:rPr>
    </w:lvl>
    <w:lvl w:ilvl="5">
      <w:start w:val="1"/>
      <w:numFmt w:val="decimal"/>
      <w:lvlText w:val="%1.%2.%3.%4.%5.%6."/>
      <w:lvlJc w:val="left"/>
      <w:pPr>
        <w:ind w:left="3240" w:hanging="1440"/>
      </w:pPr>
      <w:rPr>
        <w:rFonts w:hint="default"/>
        <w:b/>
        <w:sz w:val="24"/>
      </w:rPr>
    </w:lvl>
    <w:lvl w:ilvl="6">
      <w:start w:val="1"/>
      <w:numFmt w:val="decimal"/>
      <w:lvlText w:val="%1.%2.%3.%4.%5.%6.%7."/>
      <w:lvlJc w:val="left"/>
      <w:pPr>
        <w:ind w:left="3600" w:hanging="1440"/>
      </w:pPr>
      <w:rPr>
        <w:rFonts w:hint="default"/>
        <w:b/>
        <w:sz w:val="24"/>
      </w:rPr>
    </w:lvl>
    <w:lvl w:ilvl="7">
      <w:start w:val="1"/>
      <w:numFmt w:val="decimal"/>
      <w:lvlText w:val="%1.%2.%3.%4.%5.%6.%7.%8."/>
      <w:lvlJc w:val="left"/>
      <w:pPr>
        <w:ind w:left="4320" w:hanging="1800"/>
      </w:pPr>
      <w:rPr>
        <w:rFonts w:hint="default"/>
        <w:b/>
        <w:sz w:val="24"/>
      </w:rPr>
    </w:lvl>
    <w:lvl w:ilvl="8">
      <w:start w:val="1"/>
      <w:numFmt w:val="decimal"/>
      <w:lvlText w:val="%1.%2.%3.%4.%5.%6.%7.%8.%9."/>
      <w:lvlJc w:val="left"/>
      <w:pPr>
        <w:ind w:left="4680" w:hanging="1800"/>
      </w:pPr>
      <w:rPr>
        <w:rFonts w:hint="default"/>
        <w:b/>
        <w:sz w:val="24"/>
      </w:rPr>
    </w:lvl>
  </w:abstractNum>
  <w:abstractNum w:abstractNumId="35">
    <w:nsid w:val="126E4BDA"/>
    <w:multiLevelType w:val="hybridMultilevel"/>
    <w:tmpl w:val="6534EB44"/>
    <w:lvl w:ilvl="0" w:tplc="EB0CD672">
      <w:start w:val="1"/>
      <w:numFmt w:val="bullet"/>
      <w:lvlText w:val="-"/>
      <w:lvlJc w:val="left"/>
      <w:pPr>
        <w:ind w:left="643" w:hanging="360"/>
      </w:pPr>
      <w:rPr>
        <w:rFonts w:ascii="Simplified Arabic" w:eastAsiaTheme="minorHAnsi" w:hAnsi="Simplified Arabic" w:cs="Simplified Arabic"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6">
    <w:nsid w:val="128651F3"/>
    <w:multiLevelType w:val="multilevel"/>
    <w:tmpl w:val="39DE491C"/>
    <w:lvl w:ilvl="0">
      <w:start w:val="3"/>
      <w:numFmt w:val="decimal"/>
      <w:lvlText w:val="%1."/>
      <w:lvlJc w:val="left"/>
      <w:pPr>
        <w:ind w:left="630" w:hanging="630"/>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3"/>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7">
    <w:nsid w:val="12D812BA"/>
    <w:multiLevelType w:val="multilevel"/>
    <w:tmpl w:val="55F04E8E"/>
    <w:lvl w:ilvl="0">
      <w:start w:val="2"/>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136B32F2"/>
    <w:multiLevelType w:val="multilevel"/>
    <w:tmpl w:val="50CABD7C"/>
    <w:lvl w:ilvl="0">
      <w:start w:val="2"/>
      <w:numFmt w:val="decimal"/>
      <w:lvlText w:val="%1."/>
      <w:lvlJc w:val="left"/>
      <w:pPr>
        <w:ind w:left="630" w:hanging="630"/>
      </w:pPr>
      <w:rPr>
        <w:rFonts w:hint="default"/>
        <w:b/>
        <w:bCs/>
      </w:rPr>
    </w:lvl>
    <w:lvl w:ilvl="1">
      <w:start w:val="1"/>
      <w:numFmt w:val="decimal"/>
      <w:lvlText w:val="%1.%2."/>
      <w:lvlJc w:val="left"/>
      <w:pPr>
        <w:ind w:left="900" w:hanging="720"/>
      </w:pPr>
      <w:rPr>
        <w:rFonts w:ascii="Simplified Arabic" w:hAnsi="Simplified Arabic" w:cs="Simplified Arabic"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9">
    <w:nsid w:val="1449614B"/>
    <w:multiLevelType w:val="multilevel"/>
    <w:tmpl w:val="C6B24004"/>
    <w:lvl w:ilvl="0">
      <w:start w:val="2"/>
      <w:numFmt w:val="decimal"/>
      <w:lvlText w:val="%1."/>
      <w:lvlJc w:val="left"/>
      <w:pPr>
        <w:ind w:left="420" w:hanging="420"/>
      </w:pPr>
      <w:rPr>
        <w:rFonts w:hint="default"/>
      </w:rPr>
    </w:lvl>
    <w:lvl w:ilvl="1">
      <w:start w:val="4"/>
      <w:numFmt w:val="decimal"/>
      <w:lvlText w:val="%1.%2."/>
      <w:lvlJc w:val="left"/>
      <w:pPr>
        <w:ind w:left="1080" w:hanging="720"/>
      </w:pPr>
      <w:rPr>
        <w:rFonts w:hint="default"/>
        <w:b/>
        <w:bCs/>
      </w:rPr>
    </w:lvl>
    <w:lvl w:ilvl="2">
      <w:start w:val="6"/>
      <w:numFmt w:val="decimal"/>
      <w:lvlText w:val="%1.%2.%3."/>
      <w:lvlJc w:val="left"/>
      <w:pPr>
        <w:ind w:left="1440" w:hanging="720"/>
      </w:pPr>
      <w:rPr>
        <w:rFonts w:hint="default"/>
        <w:b/>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0">
    <w:nsid w:val="14DF7184"/>
    <w:multiLevelType w:val="multilevel"/>
    <w:tmpl w:val="7DE2D180"/>
    <w:lvl w:ilvl="0">
      <w:start w:val="2"/>
      <w:numFmt w:val="arabicAlpha"/>
      <w:lvlText w:val="2.%1."/>
      <w:lvlJc w:val="right"/>
      <w:pPr>
        <w:ind w:left="720" w:hanging="360"/>
      </w:pPr>
      <w:rPr>
        <w:rFonts w:hint="default"/>
        <w:b w:val="0"/>
        <w:bCs/>
        <w:sz w:val="22"/>
        <w:szCs w:val="24"/>
      </w:rPr>
    </w:lvl>
    <w:lvl w:ilvl="1">
      <w:start w:val="5"/>
      <w:numFmt w:val="decimal"/>
      <w:isLgl/>
      <w:lvlText w:val="%1.%2."/>
      <w:lvlJc w:val="left"/>
      <w:pPr>
        <w:ind w:left="1080" w:hanging="720"/>
      </w:pPr>
      <w:rPr>
        <w:rFonts w:ascii="Simplified Arabic" w:hAnsi="Simplified Arabic" w:cs="Simplified Arabic" w:hint="default"/>
        <w:b/>
        <w:sz w:val="24"/>
      </w:rPr>
    </w:lvl>
    <w:lvl w:ilvl="2">
      <w:start w:val="2"/>
      <w:numFmt w:val="decimal"/>
      <w:isLgl/>
      <w:lvlText w:val="%1.%2.%3."/>
      <w:lvlJc w:val="left"/>
      <w:pPr>
        <w:ind w:left="1080" w:hanging="720"/>
      </w:pPr>
      <w:rPr>
        <w:rFonts w:ascii="Simplified Arabic" w:hAnsi="Simplified Arabic" w:cs="Simplified Arabic" w:hint="default"/>
        <w:b w:val="0"/>
        <w:bCs/>
        <w:sz w:val="24"/>
        <w:lang w:bidi="ar-SA"/>
      </w:rPr>
    </w:lvl>
    <w:lvl w:ilvl="3">
      <w:start w:val="1"/>
      <w:numFmt w:val="decimal"/>
      <w:isLgl/>
      <w:lvlText w:val="%1.%2.%3.%4."/>
      <w:lvlJc w:val="left"/>
      <w:pPr>
        <w:ind w:left="1440" w:hanging="1080"/>
      </w:pPr>
      <w:rPr>
        <w:rFonts w:ascii="Simplified Arabic" w:hAnsi="Simplified Arabic" w:cs="Simplified Arabic" w:hint="default"/>
        <w:b/>
        <w:sz w:val="24"/>
      </w:rPr>
    </w:lvl>
    <w:lvl w:ilvl="4">
      <w:start w:val="1"/>
      <w:numFmt w:val="decimal"/>
      <w:isLgl/>
      <w:lvlText w:val="%1.%2.%3.%4.%5."/>
      <w:lvlJc w:val="left"/>
      <w:pPr>
        <w:ind w:left="1800" w:hanging="1440"/>
      </w:pPr>
      <w:rPr>
        <w:rFonts w:ascii="Simplified Arabic" w:hAnsi="Simplified Arabic" w:cs="Simplified Arabic" w:hint="default"/>
        <w:b/>
        <w:sz w:val="24"/>
      </w:rPr>
    </w:lvl>
    <w:lvl w:ilvl="5">
      <w:start w:val="1"/>
      <w:numFmt w:val="decimal"/>
      <w:isLgl/>
      <w:lvlText w:val="%1.%2.%3.%4.%5.%6."/>
      <w:lvlJc w:val="left"/>
      <w:pPr>
        <w:ind w:left="1800" w:hanging="1440"/>
      </w:pPr>
      <w:rPr>
        <w:rFonts w:ascii="Simplified Arabic" w:hAnsi="Simplified Arabic" w:cs="Simplified Arabic" w:hint="default"/>
        <w:b/>
        <w:sz w:val="24"/>
      </w:rPr>
    </w:lvl>
    <w:lvl w:ilvl="6">
      <w:start w:val="1"/>
      <w:numFmt w:val="decimal"/>
      <w:isLgl/>
      <w:lvlText w:val="%1.%2.%3.%4.%5.%6.%7."/>
      <w:lvlJc w:val="left"/>
      <w:pPr>
        <w:ind w:left="2160" w:hanging="1800"/>
      </w:pPr>
      <w:rPr>
        <w:rFonts w:ascii="Simplified Arabic" w:hAnsi="Simplified Arabic" w:cs="Simplified Arabic" w:hint="default"/>
        <w:b/>
        <w:sz w:val="24"/>
      </w:rPr>
    </w:lvl>
    <w:lvl w:ilvl="7">
      <w:start w:val="1"/>
      <w:numFmt w:val="decimal"/>
      <w:isLgl/>
      <w:lvlText w:val="%1.%2.%3.%4.%5.%6.%7.%8."/>
      <w:lvlJc w:val="left"/>
      <w:pPr>
        <w:ind w:left="2520" w:hanging="2160"/>
      </w:pPr>
      <w:rPr>
        <w:rFonts w:ascii="Simplified Arabic" w:hAnsi="Simplified Arabic" w:cs="Simplified Arabic" w:hint="default"/>
        <w:b/>
        <w:sz w:val="24"/>
      </w:rPr>
    </w:lvl>
    <w:lvl w:ilvl="8">
      <w:start w:val="1"/>
      <w:numFmt w:val="decimal"/>
      <w:isLgl/>
      <w:lvlText w:val="%1.%2.%3.%4.%5.%6.%7.%8.%9."/>
      <w:lvlJc w:val="left"/>
      <w:pPr>
        <w:ind w:left="2520" w:hanging="2160"/>
      </w:pPr>
      <w:rPr>
        <w:rFonts w:ascii="Simplified Arabic" w:hAnsi="Simplified Arabic" w:cs="Simplified Arabic" w:hint="default"/>
        <w:b/>
        <w:sz w:val="24"/>
      </w:rPr>
    </w:lvl>
  </w:abstractNum>
  <w:abstractNum w:abstractNumId="41">
    <w:nsid w:val="14EF4483"/>
    <w:multiLevelType w:val="multilevel"/>
    <w:tmpl w:val="0B844832"/>
    <w:lvl w:ilvl="0">
      <w:start w:val="2"/>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nsid w:val="15062DE5"/>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15156A1B"/>
    <w:multiLevelType w:val="hybridMultilevel"/>
    <w:tmpl w:val="DA10204A"/>
    <w:lvl w:ilvl="0" w:tplc="040C0005">
      <w:start w:val="1"/>
      <w:numFmt w:val="bullet"/>
      <w:lvlText w:val=""/>
      <w:lvlJc w:val="left"/>
      <w:pPr>
        <w:ind w:left="1003" w:hanging="360"/>
      </w:pPr>
      <w:rPr>
        <w:rFonts w:ascii="Wingdings" w:hAnsi="Wingdings"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4">
    <w:nsid w:val="158B3B42"/>
    <w:multiLevelType w:val="multilevel"/>
    <w:tmpl w:val="C29EB40E"/>
    <w:lvl w:ilvl="0">
      <w:start w:val="1"/>
      <w:numFmt w:val="decimal"/>
      <w:lvlText w:val="%1."/>
      <w:lvlJc w:val="left"/>
      <w:pPr>
        <w:ind w:left="630" w:hanging="630"/>
      </w:pPr>
      <w:rPr>
        <w:rFonts w:hint="default"/>
      </w:rPr>
    </w:lvl>
    <w:lvl w:ilvl="1">
      <w:start w:val="6"/>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45">
    <w:nsid w:val="15A473A2"/>
    <w:multiLevelType w:val="multilevel"/>
    <w:tmpl w:val="8E36167C"/>
    <w:lvl w:ilvl="0">
      <w:start w:val="2"/>
      <w:numFmt w:val="decimal"/>
      <w:lvlText w:val="%1."/>
      <w:lvlJc w:val="left"/>
      <w:pPr>
        <w:ind w:left="630" w:hanging="630"/>
      </w:pPr>
      <w:rPr>
        <w:rFonts w:hint="default"/>
        <w:sz w:val="24"/>
      </w:rPr>
    </w:lvl>
    <w:lvl w:ilvl="1">
      <w:start w:val="4"/>
      <w:numFmt w:val="decimal"/>
      <w:lvlText w:val="%1.%2."/>
      <w:lvlJc w:val="left"/>
      <w:pPr>
        <w:ind w:left="900" w:hanging="720"/>
      </w:pPr>
      <w:rPr>
        <w:rFonts w:hint="default"/>
        <w:b/>
        <w:bCs/>
        <w:sz w:val="24"/>
      </w:rPr>
    </w:lvl>
    <w:lvl w:ilvl="2">
      <w:start w:val="2"/>
      <w:numFmt w:val="decimal"/>
      <w:lvlText w:val="%1.%2.%3."/>
      <w:lvlJc w:val="left"/>
      <w:pPr>
        <w:ind w:left="1080" w:hanging="720"/>
      </w:pPr>
      <w:rPr>
        <w:rFonts w:hint="default"/>
        <w:b/>
        <w:bCs/>
        <w:sz w:val="22"/>
        <w:szCs w:val="24"/>
      </w:rPr>
    </w:lvl>
    <w:lvl w:ilvl="3">
      <w:start w:val="1"/>
      <w:numFmt w:val="decimal"/>
      <w:lvlText w:val="%1.%2.%3.%4."/>
      <w:lvlJc w:val="left"/>
      <w:pPr>
        <w:ind w:left="1620" w:hanging="1080"/>
      </w:pPr>
      <w:rPr>
        <w:rFonts w:hint="default"/>
        <w:sz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46">
    <w:nsid w:val="15C72D3F"/>
    <w:multiLevelType w:val="multilevel"/>
    <w:tmpl w:val="4F52924C"/>
    <w:lvl w:ilvl="0">
      <w:start w:val="4"/>
      <w:numFmt w:val="decimal"/>
      <w:lvlText w:val="%1."/>
      <w:lvlJc w:val="left"/>
      <w:pPr>
        <w:ind w:left="420" w:hanging="42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b/>
        <w:bCs/>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7">
    <w:nsid w:val="15F76BD3"/>
    <w:multiLevelType w:val="multilevel"/>
    <w:tmpl w:val="32DEE6C8"/>
    <w:lvl w:ilvl="0">
      <w:start w:val="1"/>
      <w:numFmt w:val="decimal"/>
      <w:lvlText w:val="%1."/>
      <w:lvlJc w:val="left"/>
      <w:pPr>
        <w:ind w:left="840" w:hanging="840"/>
      </w:pPr>
      <w:rPr>
        <w:rFonts w:hint="default"/>
      </w:rPr>
    </w:lvl>
    <w:lvl w:ilvl="1">
      <w:start w:val="1"/>
      <w:numFmt w:val="arabicAlpha"/>
      <w:lvlText w:val="2.%2."/>
      <w:lvlJc w:val="right"/>
      <w:pPr>
        <w:ind w:left="960" w:hanging="840"/>
      </w:pPr>
      <w:rPr>
        <w:rFonts w:hint="default"/>
        <w:b/>
        <w:bCs/>
        <w:sz w:val="22"/>
        <w:szCs w:val="24"/>
      </w:rPr>
    </w:lvl>
    <w:lvl w:ilvl="2">
      <w:start w:val="4"/>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48">
    <w:nsid w:val="16AE3D00"/>
    <w:multiLevelType w:val="multilevel"/>
    <w:tmpl w:val="17B6FB96"/>
    <w:lvl w:ilvl="0">
      <w:start w:val="3"/>
      <w:numFmt w:val="decimal"/>
      <w:lvlText w:val="%1."/>
      <w:lvlJc w:val="left"/>
      <w:pPr>
        <w:ind w:left="840" w:hanging="840"/>
      </w:pPr>
      <w:rPr>
        <w:rFonts w:hint="default"/>
      </w:rPr>
    </w:lvl>
    <w:lvl w:ilvl="1">
      <w:start w:val="3"/>
      <w:numFmt w:val="arabicAlpha"/>
      <w:lvlText w:val="3.%2."/>
      <w:lvlJc w:val="right"/>
      <w:pPr>
        <w:ind w:left="960" w:hanging="840"/>
      </w:pPr>
      <w:rPr>
        <w:rFonts w:hint="default"/>
        <w:b/>
        <w:bCs/>
        <w:sz w:val="22"/>
        <w:szCs w:val="24"/>
      </w:rPr>
    </w:lvl>
    <w:lvl w:ilvl="2">
      <w:start w:val="5"/>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49">
    <w:nsid w:val="17E25EA2"/>
    <w:multiLevelType w:val="hybridMultilevel"/>
    <w:tmpl w:val="5C3E1D16"/>
    <w:lvl w:ilvl="0" w:tplc="040C0007">
      <w:start w:val="1"/>
      <w:numFmt w:val="bullet"/>
      <w:lvlText w:val=""/>
      <w:lvlPicBulletId w:val="1"/>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17F5562E"/>
    <w:multiLevelType w:val="multilevel"/>
    <w:tmpl w:val="2ECEE3D6"/>
    <w:lvl w:ilvl="0">
      <w:start w:val="1"/>
      <w:numFmt w:val="arabicAlpha"/>
      <w:lvlText w:val="5.%1."/>
      <w:lvlJc w:val="right"/>
      <w:pPr>
        <w:ind w:left="1122" w:hanging="840"/>
      </w:pPr>
      <w:rPr>
        <w:rFonts w:hint="default"/>
        <w:b w:val="0"/>
        <w:bCs/>
        <w:sz w:val="22"/>
        <w:szCs w:val="24"/>
      </w:rPr>
    </w:lvl>
    <w:lvl w:ilvl="1">
      <w:start w:val="1"/>
      <w:numFmt w:val="arabicAlpha"/>
      <w:lvlText w:val="6.%2."/>
      <w:lvlJc w:val="right"/>
      <w:pPr>
        <w:ind w:left="1202" w:hanging="840"/>
      </w:pPr>
      <w:rPr>
        <w:rFonts w:hint="default"/>
        <w:b/>
        <w:bCs/>
        <w:sz w:val="22"/>
        <w:szCs w:val="24"/>
      </w:rPr>
    </w:lvl>
    <w:lvl w:ilvl="2">
      <w:start w:val="4"/>
      <w:numFmt w:val="decimal"/>
      <w:lvlText w:val="%1.%2.%3."/>
      <w:lvlJc w:val="left"/>
      <w:pPr>
        <w:ind w:left="1282" w:hanging="840"/>
      </w:pPr>
      <w:rPr>
        <w:rFonts w:hint="default"/>
        <w:b/>
      </w:rPr>
    </w:lvl>
    <w:lvl w:ilvl="3">
      <w:start w:val="2"/>
      <w:numFmt w:val="decimal"/>
      <w:lvlText w:val="%1.%2.%3.%4."/>
      <w:lvlJc w:val="left"/>
      <w:pPr>
        <w:ind w:left="1602" w:hanging="1080"/>
      </w:pPr>
      <w:rPr>
        <w:rFonts w:hint="default"/>
        <w:b w:val="0"/>
        <w:bCs/>
      </w:rPr>
    </w:lvl>
    <w:lvl w:ilvl="4">
      <w:start w:val="1"/>
      <w:numFmt w:val="decimal"/>
      <w:lvlText w:val="%1.%2.%3.%4.%5."/>
      <w:lvlJc w:val="left"/>
      <w:pPr>
        <w:ind w:left="1682" w:hanging="1080"/>
      </w:pPr>
      <w:rPr>
        <w:rFonts w:hint="default"/>
        <w:b/>
      </w:rPr>
    </w:lvl>
    <w:lvl w:ilvl="5">
      <w:start w:val="1"/>
      <w:numFmt w:val="decimal"/>
      <w:lvlText w:val="%1.%2.%3.%4.%5.%6."/>
      <w:lvlJc w:val="left"/>
      <w:pPr>
        <w:ind w:left="2122" w:hanging="1440"/>
      </w:pPr>
      <w:rPr>
        <w:rFonts w:hint="default"/>
        <w:b/>
      </w:rPr>
    </w:lvl>
    <w:lvl w:ilvl="6">
      <w:start w:val="1"/>
      <w:numFmt w:val="decimal"/>
      <w:lvlText w:val="%1.%2.%3.%4.%5.%6.%7."/>
      <w:lvlJc w:val="left"/>
      <w:pPr>
        <w:ind w:left="2202" w:hanging="1440"/>
      </w:pPr>
      <w:rPr>
        <w:rFonts w:hint="default"/>
        <w:b/>
      </w:rPr>
    </w:lvl>
    <w:lvl w:ilvl="7">
      <w:start w:val="1"/>
      <w:numFmt w:val="decimal"/>
      <w:lvlText w:val="%1.%2.%3.%4.%5.%6.%7.%8."/>
      <w:lvlJc w:val="left"/>
      <w:pPr>
        <w:ind w:left="2642" w:hanging="1800"/>
      </w:pPr>
      <w:rPr>
        <w:rFonts w:hint="default"/>
        <w:b/>
      </w:rPr>
    </w:lvl>
    <w:lvl w:ilvl="8">
      <w:start w:val="1"/>
      <w:numFmt w:val="decimal"/>
      <w:lvlText w:val="%1.%2.%3.%4.%5.%6.%7.%8.%9."/>
      <w:lvlJc w:val="left"/>
      <w:pPr>
        <w:ind w:left="2722" w:hanging="1800"/>
      </w:pPr>
      <w:rPr>
        <w:rFonts w:hint="default"/>
        <w:b/>
      </w:rPr>
    </w:lvl>
  </w:abstractNum>
  <w:abstractNum w:abstractNumId="51">
    <w:nsid w:val="18BA4D3B"/>
    <w:multiLevelType w:val="multilevel"/>
    <w:tmpl w:val="4D7ABED6"/>
    <w:lvl w:ilvl="0">
      <w:start w:val="3"/>
      <w:numFmt w:val="decimal"/>
      <w:lvlText w:val="%1."/>
      <w:lvlJc w:val="left"/>
      <w:pPr>
        <w:ind w:left="630" w:hanging="630"/>
      </w:pPr>
      <w:rPr>
        <w:rFonts w:eastAsiaTheme="minorHAnsi" w:hint="default"/>
      </w:rPr>
    </w:lvl>
    <w:lvl w:ilvl="1">
      <w:start w:val="5"/>
      <w:numFmt w:val="decimal"/>
      <w:lvlText w:val="%1.%2."/>
      <w:lvlJc w:val="left"/>
      <w:pPr>
        <w:ind w:left="1080" w:hanging="720"/>
      </w:pPr>
      <w:rPr>
        <w:rFonts w:eastAsiaTheme="minorHAnsi" w:hint="default"/>
      </w:rPr>
    </w:lvl>
    <w:lvl w:ilvl="2">
      <w:start w:val="6"/>
      <w:numFmt w:val="decimal"/>
      <w:lvlText w:val="%1.%2.%3."/>
      <w:lvlJc w:val="left"/>
      <w:pPr>
        <w:ind w:left="1440" w:hanging="720"/>
      </w:pPr>
      <w:rPr>
        <w:rFonts w:eastAsiaTheme="minorHAnsi" w:hint="default"/>
        <w:b w:val="0"/>
        <w:bCs/>
      </w:rPr>
    </w:lvl>
    <w:lvl w:ilvl="3">
      <w:start w:val="1"/>
      <w:numFmt w:val="decimal"/>
      <w:lvlText w:val="%1.%2.%3.%4."/>
      <w:lvlJc w:val="left"/>
      <w:pPr>
        <w:ind w:left="2160" w:hanging="108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3240" w:hanging="144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4320" w:hanging="1800"/>
      </w:pPr>
      <w:rPr>
        <w:rFonts w:eastAsiaTheme="minorHAnsi" w:hint="default"/>
      </w:rPr>
    </w:lvl>
    <w:lvl w:ilvl="8">
      <w:start w:val="1"/>
      <w:numFmt w:val="decimal"/>
      <w:lvlText w:val="%1.%2.%3.%4.%5.%6.%7.%8.%9."/>
      <w:lvlJc w:val="left"/>
      <w:pPr>
        <w:ind w:left="4680" w:hanging="1800"/>
      </w:pPr>
      <w:rPr>
        <w:rFonts w:eastAsiaTheme="minorHAnsi" w:hint="default"/>
      </w:rPr>
    </w:lvl>
  </w:abstractNum>
  <w:abstractNum w:abstractNumId="52">
    <w:nsid w:val="18D56A69"/>
    <w:multiLevelType w:val="hybridMultilevel"/>
    <w:tmpl w:val="B94AF0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1901763C"/>
    <w:multiLevelType w:val="multilevel"/>
    <w:tmpl w:val="5DEA3012"/>
    <w:lvl w:ilvl="0">
      <w:start w:val="3"/>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4">
    <w:nsid w:val="193A0556"/>
    <w:multiLevelType w:val="multilevel"/>
    <w:tmpl w:val="AEA69CFC"/>
    <w:lvl w:ilvl="0">
      <w:start w:val="2"/>
      <w:numFmt w:val="decimal"/>
      <w:lvlText w:val="%1."/>
      <w:lvlJc w:val="left"/>
      <w:pPr>
        <w:ind w:left="420" w:hanging="420"/>
      </w:pPr>
      <w:rPr>
        <w:rFonts w:hint="default"/>
      </w:rPr>
    </w:lvl>
    <w:lvl w:ilvl="1">
      <w:start w:val="3"/>
      <w:numFmt w:val="decimal"/>
      <w:lvlText w:val="%1.%2."/>
      <w:lvlJc w:val="left"/>
      <w:pPr>
        <w:ind w:left="1080" w:hanging="720"/>
      </w:pPr>
      <w:rPr>
        <w:rFonts w:hint="default"/>
        <w:b/>
        <w:bCs/>
      </w:rPr>
    </w:lvl>
    <w:lvl w:ilvl="2">
      <w:start w:val="2"/>
      <w:numFmt w:val="decimal"/>
      <w:lvlText w:val="%1.%2.%3."/>
      <w:lvlJc w:val="left"/>
      <w:pPr>
        <w:ind w:left="1440" w:hanging="720"/>
      </w:pPr>
      <w:rPr>
        <w:rFonts w:hint="default"/>
        <w:b/>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5">
    <w:nsid w:val="197A15C6"/>
    <w:multiLevelType w:val="hybridMultilevel"/>
    <w:tmpl w:val="DED418A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19C8549B"/>
    <w:multiLevelType w:val="multilevel"/>
    <w:tmpl w:val="BED0C83A"/>
    <w:lvl w:ilvl="0">
      <w:start w:val="3"/>
      <w:numFmt w:val="decimal"/>
      <w:lvlText w:val="%1."/>
      <w:lvlJc w:val="left"/>
      <w:pPr>
        <w:ind w:left="840" w:hanging="840"/>
      </w:pPr>
      <w:rPr>
        <w:rFonts w:hint="default"/>
        <w:b/>
      </w:rPr>
    </w:lvl>
    <w:lvl w:ilvl="1">
      <w:start w:val="6"/>
      <w:numFmt w:val="decimal"/>
      <w:lvlText w:val="%1.%2."/>
      <w:lvlJc w:val="left"/>
      <w:pPr>
        <w:ind w:left="840" w:hanging="840"/>
      </w:pPr>
      <w:rPr>
        <w:rFonts w:hint="default"/>
        <w:b/>
      </w:rPr>
    </w:lvl>
    <w:lvl w:ilvl="2">
      <w:start w:val="1"/>
      <w:numFmt w:val="decimal"/>
      <w:lvlText w:val="%1.%2.%3."/>
      <w:lvlJc w:val="left"/>
      <w:pPr>
        <w:ind w:left="840" w:hanging="840"/>
      </w:pPr>
      <w:rPr>
        <w:rFonts w:hint="default"/>
        <w:b/>
      </w:rPr>
    </w:lvl>
    <w:lvl w:ilvl="3">
      <w:start w:val="1"/>
      <w:numFmt w:val="decimal"/>
      <w:lvlText w:val="%1.%2.%3.%4."/>
      <w:lvlJc w:val="left"/>
      <w:pPr>
        <w:ind w:left="1080" w:hanging="1080"/>
      </w:pPr>
      <w:rPr>
        <w:rFonts w:hint="default"/>
        <w:b w:val="0"/>
        <w:bCs/>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57">
    <w:nsid w:val="1B750698"/>
    <w:multiLevelType w:val="hybridMultilevel"/>
    <w:tmpl w:val="9258ABE4"/>
    <w:lvl w:ilvl="0" w:tplc="B86A6EE2">
      <w:start w:val="1"/>
      <w:numFmt w:val="bullet"/>
      <w:lvlText w:val=""/>
      <w:lvlJc w:val="left"/>
      <w:pPr>
        <w:ind w:left="1002" w:hanging="360"/>
      </w:pPr>
      <w:rPr>
        <w:rFonts w:ascii="Symbol" w:hAnsi="Symbol" w:hint="default"/>
        <w:sz w:val="24"/>
        <w:szCs w:val="24"/>
      </w:rPr>
    </w:lvl>
    <w:lvl w:ilvl="1" w:tplc="6F1AA9C6">
      <w:start w:val="8"/>
      <w:numFmt w:val="bullet"/>
      <w:lvlText w:val="•"/>
      <w:lvlJc w:val="left"/>
      <w:pPr>
        <w:ind w:left="1842" w:hanging="480"/>
      </w:pPr>
      <w:rPr>
        <w:rFonts w:ascii="Arial" w:eastAsiaTheme="minorHAnsi" w:hAnsi="Arial" w:cs="Arial"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58">
    <w:nsid w:val="1BD57819"/>
    <w:multiLevelType w:val="multilevel"/>
    <w:tmpl w:val="C3320BD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9">
    <w:nsid w:val="1CE07C53"/>
    <w:multiLevelType w:val="hybridMultilevel"/>
    <w:tmpl w:val="D9BA614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1CF81759"/>
    <w:multiLevelType w:val="multilevel"/>
    <w:tmpl w:val="CDDABCC4"/>
    <w:lvl w:ilvl="0">
      <w:start w:val="6"/>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1">
    <w:nsid w:val="1D451BCD"/>
    <w:multiLevelType w:val="multilevel"/>
    <w:tmpl w:val="82AC928A"/>
    <w:lvl w:ilvl="0">
      <w:start w:val="3"/>
      <w:numFmt w:val="decimal"/>
      <w:lvlText w:val="%1."/>
      <w:lvlJc w:val="left"/>
      <w:pPr>
        <w:ind w:left="420" w:hanging="42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62">
    <w:nsid w:val="1D9C1505"/>
    <w:multiLevelType w:val="multilevel"/>
    <w:tmpl w:val="5156A688"/>
    <w:lvl w:ilvl="0">
      <w:start w:val="4"/>
      <w:numFmt w:val="decimal"/>
      <w:lvlText w:val="%1."/>
      <w:lvlJc w:val="left"/>
      <w:pPr>
        <w:ind w:left="525" w:hanging="525"/>
      </w:pPr>
      <w:rPr>
        <w:rFonts w:hint="default"/>
      </w:rPr>
    </w:lvl>
    <w:lvl w:ilvl="1">
      <w:start w:val="5"/>
      <w:numFmt w:val="decimal"/>
      <w:lvlText w:val="%1.%2."/>
      <w:lvlJc w:val="left"/>
      <w:pPr>
        <w:ind w:left="720" w:hanging="720"/>
      </w:pPr>
      <w:rPr>
        <w:rFonts w:hint="default"/>
      </w:rPr>
    </w:lvl>
    <w:lvl w:ilvl="2">
      <w:start w:val="3"/>
      <w:numFmt w:val="decimal"/>
      <w:lvlText w:val="%1.%2.%3."/>
      <w:lvlJc w:val="left"/>
      <w:pPr>
        <w:ind w:left="720" w:hanging="720"/>
      </w:pPr>
      <w:rPr>
        <w:rFonts w:ascii="Simplified Arabic" w:hAnsi="Simplified Arabic" w:cs="Simplified Arabic" w:hint="default"/>
        <w:b/>
        <w:bCs/>
        <w:sz w:val="24"/>
        <w:szCs w:val="24"/>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nsid w:val="20D12357"/>
    <w:multiLevelType w:val="multilevel"/>
    <w:tmpl w:val="814019B6"/>
    <w:lvl w:ilvl="0">
      <w:start w:val="3"/>
      <w:numFmt w:val="decimal"/>
      <w:lvlText w:val="%1"/>
      <w:lvlJc w:val="left"/>
      <w:pPr>
        <w:ind w:left="555" w:hanging="555"/>
      </w:pPr>
      <w:rPr>
        <w:rFonts w:hint="default"/>
        <w:color w:val="000000"/>
      </w:rPr>
    </w:lvl>
    <w:lvl w:ilvl="1">
      <w:start w:val="2"/>
      <w:numFmt w:val="decimal"/>
      <w:lvlText w:val="%1.%2"/>
      <w:lvlJc w:val="left"/>
      <w:pPr>
        <w:ind w:left="735" w:hanging="555"/>
      </w:pPr>
      <w:rPr>
        <w:rFonts w:hint="default"/>
        <w:color w:val="000000"/>
      </w:rPr>
    </w:lvl>
    <w:lvl w:ilvl="2">
      <w:start w:val="6"/>
      <w:numFmt w:val="decimal"/>
      <w:lvlText w:val="%1.%2.%3"/>
      <w:lvlJc w:val="left"/>
      <w:pPr>
        <w:ind w:left="1080" w:hanging="720"/>
      </w:pPr>
      <w:rPr>
        <w:rFonts w:hint="default"/>
        <w:b/>
        <w:bCs/>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2340" w:hanging="144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3060" w:hanging="1800"/>
      </w:pPr>
      <w:rPr>
        <w:rFonts w:hint="default"/>
        <w:color w:val="000000"/>
      </w:rPr>
    </w:lvl>
    <w:lvl w:ilvl="8">
      <w:start w:val="1"/>
      <w:numFmt w:val="decimal"/>
      <w:lvlText w:val="%1.%2.%3.%4.%5.%6.%7.%8.%9"/>
      <w:lvlJc w:val="left"/>
      <w:pPr>
        <w:ind w:left="3240" w:hanging="1800"/>
      </w:pPr>
      <w:rPr>
        <w:rFonts w:hint="default"/>
        <w:color w:val="000000"/>
      </w:rPr>
    </w:lvl>
  </w:abstractNum>
  <w:abstractNum w:abstractNumId="64">
    <w:nsid w:val="21EC23D2"/>
    <w:multiLevelType w:val="multilevel"/>
    <w:tmpl w:val="57827B8C"/>
    <w:lvl w:ilvl="0">
      <w:start w:val="4"/>
      <w:numFmt w:val="decimal"/>
      <w:lvlText w:val="%1."/>
      <w:lvlJc w:val="left"/>
      <w:pPr>
        <w:ind w:left="630" w:hanging="630"/>
      </w:pPr>
      <w:rPr>
        <w:rFonts w:hint="default"/>
      </w:rPr>
    </w:lvl>
    <w:lvl w:ilvl="1">
      <w:start w:val="8"/>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5">
    <w:nsid w:val="21F16059"/>
    <w:multiLevelType w:val="multilevel"/>
    <w:tmpl w:val="C4B86856"/>
    <w:lvl w:ilvl="0">
      <w:start w:val="9"/>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nsid w:val="22247CB2"/>
    <w:multiLevelType w:val="multilevel"/>
    <w:tmpl w:val="EEA845DE"/>
    <w:lvl w:ilvl="0">
      <w:start w:val="5"/>
      <w:numFmt w:val="decimal"/>
      <w:lvlText w:val="%1."/>
      <w:lvlJc w:val="left"/>
      <w:pPr>
        <w:ind w:left="840" w:hanging="840"/>
      </w:pPr>
      <w:rPr>
        <w:rFonts w:hint="default"/>
      </w:rPr>
    </w:lvl>
    <w:lvl w:ilvl="1">
      <w:start w:val="3"/>
      <w:numFmt w:val="decimal"/>
      <w:lvlText w:val="%1.%2."/>
      <w:lvlJc w:val="left"/>
      <w:pPr>
        <w:ind w:left="960" w:hanging="840"/>
      </w:pPr>
      <w:rPr>
        <w:rFonts w:ascii="Simplified Arabic" w:hAnsi="Simplified Arabic" w:cs="Simplified Arabic" w:hint="default"/>
        <w:b w:val="0"/>
        <w:bCs w:val="0"/>
        <w:sz w:val="24"/>
        <w:szCs w:val="24"/>
      </w:rPr>
    </w:lvl>
    <w:lvl w:ilvl="2">
      <w:start w:val="5"/>
      <w:numFmt w:val="decimal"/>
      <w:lvlText w:val="%1.%2.%3."/>
      <w:lvlJc w:val="left"/>
      <w:pPr>
        <w:ind w:left="1080" w:hanging="840"/>
      </w:pPr>
      <w:rPr>
        <w:rFonts w:ascii="Simplified Arabic" w:hAnsi="Simplified Arabic" w:cs="Simplified Arabic" w:hint="default"/>
        <w:b/>
        <w:bCs/>
        <w:sz w:val="24"/>
        <w:szCs w:val="24"/>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67">
    <w:nsid w:val="247A0C05"/>
    <w:multiLevelType w:val="multilevel"/>
    <w:tmpl w:val="8BD29D76"/>
    <w:lvl w:ilvl="0">
      <w:start w:val="2"/>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8">
    <w:nsid w:val="24AD3E4E"/>
    <w:multiLevelType w:val="multilevel"/>
    <w:tmpl w:val="9A1A7DA2"/>
    <w:lvl w:ilvl="0">
      <w:start w:val="4"/>
      <w:numFmt w:val="decimal"/>
      <w:lvlText w:val="%1."/>
      <w:lvlJc w:val="left"/>
      <w:pPr>
        <w:ind w:left="420" w:hanging="420"/>
      </w:pPr>
      <w:rPr>
        <w:rFonts w:hint="default"/>
      </w:rPr>
    </w:lvl>
    <w:lvl w:ilvl="1">
      <w:start w:val="4"/>
      <w:numFmt w:val="decimal"/>
      <w:lvlText w:val="%1.%2."/>
      <w:lvlJc w:val="left"/>
      <w:pPr>
        <w:ind w:left="1080" w:hanging="720"/>
      </w:pPr>
      <w:rPr>
        <w:rFonts w:hint="default"/>
        <w:b/>
        <w:bCs/>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9">
    <w:nsid w:val="257775A2"/>
    <w:multiLevelType w:val="hybridMultilevel"/>
    <w:tmpl w:val="AC64005C"/>
    <w:lvl w:ilvl="0" w:tplc="B3F65B00">
      <w:numFmt w:val="bullet"/>
      <w:lvlText w:val="-"/>
      <w:lvlJc w:val="left"/>
      <w:pPr>
        <w:ind w:left="642" w:hanging="360"/>
      </w:pPr>
      <w:rPr>
        <w:rFonts w:ascii="Simplified Arabic" w:eastAsiaTheme="minorHAnsi"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70">
    <w:nsid w:val="26071770"/>
    <w:multiLevelType w:val="multilevel"/>
    <w:tmpl w:val="945E48E8"/>
    <w:lvl w:ilvl="0">
      <w:start w:val="1"/>
      <w:numFmt w:val="decimal"/>
      <w:lvlText w:val="%1."/>
      <w:lvlJc w:val="left"/>
      <w:pPr>
        <w:ind w:left="630" w:hanging="630"/>
      </w:pPr>
      <w:rPr>
        <w:rFonts w:hint="default"/>
      </w:rPr>
    </w:lvl>
    <w:lvl w:ilvl="1">
      <w:start w:val="7"/>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1">
    <w:nsid w:val="262A5068"/>
    <w:multiLevelType w:val="multilevel"/>
    <w:tmpl w:val="95B6D06C"/>
    <w:lvl w:ilvl="0">
      <w:start w:val="6"/>
      <w:numFmt w:val="decimal"/>
      <w:lvlText w:val="%1."/>
      <w:lvlJc w:val="left"/>
      <w:pPr>
        <w:ind w:left="630" w:hanging="630"/>
      </w:pPr>
      <w:rPr>
        <w:rFonts w:hint="default"/>
      </w:rPr>
    </w:lvl>
    <w:lvl w:ilvl="1">
      <w:start w:val="4"/>
      <w:numFmt w:val="decimal"/>
      <w:lvlText w:val="%1.%2."/>
      <w:lvlJc w:val="left"/>
      <w:pPr>
        <w:ind w:left="900" w:hanging="720"/>
      </w:pPr>
      <w:rPr>
        <w:rFonts w:ascii="Simplified Arabic" w:hAnsi="Simplified Arabic" w:cs="Simplified Arabic" w:hint="default"/>
        <w:b/>
        <w:bCs/>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2">
    <w:nsid w:val="264F683A"/>
    <w:multiLevelType w:val="multilevel"/>
    <w:tmpl w:val="401495B2"/>
    <w:lvl w:ilvl="0">
      <w:start w:val="1"/>
      <w:numFmt w:val="decimal"/>
      <w:lvlText w:val="%1."/>
      <w:lvlJc w:val="left"/>
      <w:pPr>
        <w:ind w:left="630" w:hanging="630"/>
      </w:pPr>
      <w:rPr>
        <w:rFonts w:hint="default"/>
        <w:sz w:val="24"/>
      </w:rPr>
    </w:lvl>
    <w:lvl w:ilvl="1">
      <w:start w:val="4"/>
      <w:numFmt w:val="decimal"/>
      <w:lvlText w:val="%1.%2."/>
      <w:lvlJc w:val="left"/>
      <w:pPr>
        <w:ind w:left="900" w:hanging="720"/>
      </w:pPr>
      <w:rPr>
        <w:rFonts w:hint="default"/>
        <w:sz w:val="24"/>
      </w:rPr>
    </w:lvl>
    <w:lvl w:ilvl="2">
      <w:start w:val="4"/>
      <w:numFmt w:val="decimal"/>
      <w:lvlText w:val="%1.%2.%3."/>
      <w:lvlJc w:val="left"/>
      <w:pPr>
        <w:ind w:left="1080" w:hanging="720"/>
      </w:pPr>
      <w:rPr>
        <w:rFonts w:ascii="Simplified Arabic" w:hAnsi="Simplified Arabic" w:cs="Simplified Arabic" w:hint="default"/>
        <w:b/>
        <w:bCs/>
        <w:sz w:val="22"/>
        <w:szCs w:val="24"/>
      </w:rPr>
    </w:lvl>
    <w:lvl w:ilvl="3">
      <w:start w:val="1"/>
      <w:numFmt w:val="decimal"/>
      <w:lvlText w:val="%1.%2.%3.%4."/>
      <w:lvlJc w:val="left"/>
      <w:pPr>
        <w:ind w:left="1620" w:hanging="1080"/>
      </w:pPr>
      <w:rPr>
        <w:rFonts w:ascii="Simplified Arabic" w:hAnsi="Simplified Arabic" w:cs="Simplified Arabic" w:hint="default"/>
        <w:b/>
        <w:bCs/>
        <w:sz w:val="24"/>
        <w:szCs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73">
    <w:nsid w:val="282F4CAD"/>
    <w:multiLevelType w:val="multilevel"/>
    <w:tmpl w:val="225816B8"/>
    <w:lvl w:ilvl="0">
      <w:start w:val="1"/>
      <w:numFmt w:val="decimal"/>
      <w:lvlText w:val="%1."/>
      <w:lvlJc w:val="left"/>
      <w:pPr>
        <w:ind w:left="630" w:hanging="630"/>
      </w:pPr>
      <w:rPr>
        <w:rFonts w:hint="default"/>
        <w:b/>
      </w:rPr>
    </w:lvl>
    <w:lvl w:ilvl="1">
      <w:start w:val="3"/>
      <w:numFmt w:val="decimal"/>
      <w:lvlText w:val="%1.%2."/>
      <w:lvlJc w:val="left"/>
      <w:pPr>
        <w:ind w:left="900" w:hanging="720"/>
      </w:pPr>
      <w:rPr>
        <w:rFonts w:hint="default"/>
        <w:b/>
      </w:rPr>
    </w:lvl>
    <w:lvl w:ilvl="2">
      <w:start w:val="5"/>
      <w:numFmt w:val="decimal"/>
      <w:lvlText w:val="%1.%2.%3."/>
      <w:lvlJc w:val="left"/>
      <w:pPr>
        <w:ind w:left="1080" w:hanging="720"/>
      </w:pPr>
      <w:rPr>
        <w:rFonts w:hint="default"/>
        <w:b w:val="0"/>
        <w:bCs/>
      </w:rPr>
    </w:lvl>
    <w:lvl w:ilvl="3">
      <w:start w:val="6"/>
      <w:numFmt w:val="decimal"/>
      <w:lvlText w:val="%1.%2.%3.%4."/>
      <w:lvlJc w:val="left"/>
      <w:pPr>
        <w:ind w:left="1620" w:hanging="1080"/>
      </w:pPr>
      <w:rPr>
        <w:rFonts w:hint="default"/>
        <w:b w:val="0"/>
        <w:bCs/>
      </w:rPr>
    </w:lvl>
    <w:lvl w:ilvl="4">
      <w:start w:val="1"/>
      <w:numFmt w:val="decimal"/>
      <w:lvlText w:val="%1.%2.%3.%4.%5."/>
      <w:lvlJc w:val="left"/>
      <w:pPr>
        <w:ind w:left="1800" w:hanging="1080"/>
      </w:pPr>
      <w:rPr>
        <w:rFonts w:hint="default"/>
        <w:b/>
      </w:rPr>
    </w:lvl>
    <w:lvl w:ilvl="5">
      <w:start w:val="1"/>
      <w:numFmt w:val="decimal"/>
      <w:lvlText w:val="%1.%2.%3.%4.%5.%6."/>
      <w:lvlJc w:val="left"/>
      <w:pPr>
        <w:ind w:left="2340" w:hanging="144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3060" w:hanging="1800"/>
      </w:pPr>
      <w:rPr>
        <w:rFonts w:hint="default"/>
        <w:b/>
      </w:rPr>
    </w:lvl>
    <w:lvl w:ilvl="8">
      <w:start w:val="1"/>
      <w:numFmt w:val="decimal"/>
      <w:lvlText w:val="%1.%2.%3.%4.%5.%6.%7.%8.%9."/>
      <w:lvlJc w:val="left"/>
      <w:pPr>
        <w:ind w:left="3240" w:hanging="1800"/>
      </w:pPr>
      <w:rPr>
        <w:rFonts w:hint="default"/>
        <w:b/>
      </w:rPr>
    </w:lvl>
  </w:abstractNum>
  <w:abstractNum w:abstractNumId="74">
    <w:nsid w:val="28742F64"/>
    <w:multiLevelType w:val="multilevel"/>
    <w:tmpl w:val="E55E05EC"/>
    <w:lvl w:ilvl="0">
      <w:start w:val="1"/>
      <w:numFmt w:val="decimal"/>
      <w:lvlText w:val="%1."/>
      <w:lvlJc w:val="left"/>
      <w:pPr>
        <w:ind w:left="630" w:hanging="630"/>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3"/>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75">
    <w:nsid w:val="289E7110"/>
    <w:multiLevelType w:val="multilevel"/>
    <w:tmpl w:val="36F6D9CE"/>
    <w:lvl w:ilvl="0">
      <w:start w:val="7"/>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6">
    <w:nsid w:val="28FC78D4"/>
    <w:multiLevelType w:val="hybridMultilevel"/>
    <w:tmpl w:val="DC381370"/>
    <w:lvl w:ilvl="0" w:tplc="040C0001">
      <w:start w:val="1"/>
      <w:numFmt w:val="bullet"/>
      <w:lvlText w:val=""/>
      <w:lvlJc w:val="left"/>
      <w:pPr>
        <w:ind w:left="720" w:hanging="360"/>
      </w:pPr>
      <w:rPr>
        <w:rFonts w:ascii="Symbol" w:hAnsi="Symbol" w:hint="default"/>
        <w:b/>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291259FD"/>
    <w:multiLevelType w:val="multilevel"/>
    <w:tmpl w:val="4EB6FC9E"/>
    <w:lvl w:ilvl="0">
      <w:start w:val="7"/>
      <w:numFmt w:val="decimal"/>
      <w:lvlText w:val="%1."/>
      <w:lvlJc w:val="left"/>
      <w:pPr>
        <w:ind w:left="840" w:hanging="840"/>
      </w:pPr>
      <w:rPr>
        <w:rFonts w:hint="default"/>
        <w:b/>
      </w:rPr>
    </w:lvl>
    <w:lvl w:ilvl="1">
      <w:start w:val="6"/>
      <w:numFmt w:val="decimal"/>
      <w:lvlText w:val="%1.%2."/>
      <w:lvlJc w:val="left"/>
      <w:pPr>
        <w:ind w:left="1028" w:hanging="840"/>
      </w:pPr>
      <w:rPr>
        <w:rFonts w:hint="default"/>
        <w:b/>
      </w:rPr>
    </w:lvl>
    <w:lvl w:ilvl="2">
      <w:start w:val="1"/>
      <w:numFmt w:val="decimal"/>
      <w:lvlText w:val="%1.%2.%3."/>
      <w:lvlJc w:val="left"/>
      <w:pPr>
        <w:ind w:left="1216" w:hanging="840"/>
      </w:pPr>
      <w:rPr>
        <w:rFonts w:hint="default"/>
        <w:b/>
      </w:rPr>
    </w:lvl>
    <w:lvl w:ilvl="3">
      <w:start w:val="1"/>
      <w:numFmt w:val="decimal"/>
      <w:lvlText w:val="%1.%2.%3.%4."/>
      <w:lvlJc w:val="left"/>
      <w:pPr>
        <w:ind w:left="1644" w:hanging="1080"/>
      </w:pPr>
      <w:rPr>
        <w:rFonts w:hint="default"/>
        <w:b w:val="0"/>
        <w:bCs/>
      </w:rPr>
    </w:lvl>
    <w:lvl w:ilvl="4">
      <w:start w:val="1"/>
      <w:numFmt w:val="decimal"/>
      <w:lvlText w:val="%1.%2.%3.%4.%5."/>
      <w:lvlJc w:val="left"/>
      <w:pPr>
        <w:ind w:left="1832" w:hanging="1080"/>
      </w:pPr>
      <w:rPr>
        <w:rFonts w:hint="default"/>
        <w:b/>
      </w:rPr>
    </w:lvl>
    <w:lvl w:ilvl="5">
      <w:start w:val="1"/>
      <w:numFmt w:val="decimal"/>
      <w:lvlText w:val="%1.%2.%3.%4.%5.%6."/>
      <w:lvlJc w:val="left"/>
      <w:pPr>
        <w:ind w:left="2380" w:hanging="1440"/>
      </w:pPr>
      <w:rPr>
        <w:rFonts w:hint="default"/>
        <w:b/>
      </w:rPr>
    </w:lvl>
    <w:lvl w:ilvl="6">
      <w:start w:val="1"/>
      <w:numFmt w:val="decimal"/>
      <w:lvlText w:val="%1.%2.%3.%4.%5.%6.%7."/>
      <w:lvlJc w:val="left"/>
      <w:pPr>
        <w:ind w:left="2568" w:hanging="1440"/>
      </w:pPr>
      <w:rPr>
        <w:rFonts w:hint="default"/>
        <w:b/>
      </w:rPr>
    </w:lvl>
    <w:lvl w:ilvl="7">
      <w:start w:val="1"/>
      <w:numFmt w:val="decimal"/>
      <w:lvlText w:val="%1.%2.%3.%4.%5.%6.%7.%8."/>
      <w:lvlJc w:val="left"/>
      <w:pPr>
        <w:ind w:left="3116" w:hanging="1800"/>
      </w:pPr>
      <w:rPr>
        <w:rFonts w:hint="default"/>
        <w:b/>
      </w:rPr>
    </w:lvl>
    <w:lvl w:ilvl="8">
      <w:start w:val="1"/>
      <w:numFmt w:val="decimal"/>
      <w:lvlText w:val="%1.%2.%3.%4.%5.%6.%7.%8.%9."/>
      <w:lvlJc w:val="left"/>
      <w:pPr>
        <w:ind w:left="3304" w:hanging="1800"/>
      </w:pPr>
      <w:rPr>
        <w:rFonts w:hint="default"/>
        <w:b/>
      </w:rPr>
    </w:lvl>
  </w:abstractNum>
  <w:abstractNum w:abstractNumId="78">
    <w:nsid w:val="291555E2"/>
    <w:multiLevelType w:val="hybridMultilevel"/>
    <w:tmpl w:val="ED4C2982"/>
    <w:lvl w:ilvl="0" w:tplc="92728BE0">
      <w:start w:val="1"/>
      <w:numFmt w:val="bullet"/>
      <w:lvlText w:val="o"/>
      <w:lvlJc w:val="left"/>
      <w:pPr>
        <w:ind w:left="720" w:hanging="360"/>
      </w:pPr>
      <w:rPr>
        <w:rFonts w:ascii="Courier New" w:hAnsi="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293A5BA7"/>
    <w:multiLevelType w:val="multilevel"/>
    <w:tmpl w:val="EEEEB20E"/>
    <w:lvl w:ilvl="0">
      <w:start w:val="5"/>
      <w:numFmt w:val="decimal"/>
      <w:lvlText w:val="%1."/>
      <w:lvlJc w:val="left"/>
      <w:pPr>
        <w:ind w:left="630" w:hanging="63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0">
    <w:nsid w:val="294E61BE"/>
    <w:multiLevelType w:val="hybridMultilevel"/>
    <w:tmpl w:val="1110E4CA"/>
    <w:lvl w:ilvl="0" w:tplc="97C26786">
      <w:start w:val="1"/>
      <w:numFmt w:val="arabicAlpha"/>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1">
    <w:nsid w:val="29543DDF"/>
    <w:multiLevelType w:val="hybridMultilevel"/>
    <w:tmpl w:val="1E9476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299C76BC"/>
    <w:multiLevelType w:val="multilevel"/>
    <w:tmpl w:val="AF1C3E0A"/>
    <w:lvl w:ilvl="0">
      <w:start w:val="2"/>
      <w:numFmt w:val="decimal"/>
      <w:lvlText w:val="%1."/>
      <w:lvlJc w:val="left"/>
      <w:pPr>
        <w:ind w:left="630" w:hanging="630"/>
      </w:pPr>
      <w:rPr>
        <w:rFonts w:ascii="Simplified Arabic" w:hAnsi="Simplified Arabic" w:cs="Simplified Arabic" w:hint="default"/>
      </w:rPr>
    </w:lvl>
    <w:lvl w:ilvl="1">
      <w:start w:val="2"/>
      <w:numFmt w:val="decimal"/>
      <w:lvlText w:val="%1.%2."/>
      <w:lvlJc w:val="left"/>
      <w:pPr>
        <w:ind w:left="1860" w:hanging="720"/>
      </w:pPr>
      <w:rPr>
        <w:rFonts w:ascii="Simplified Arabic" w:hAnsi="Simplified Arabic" w:cs="Simplified Arabic" w:hint="default"/>
      </w:rPr>
    </w:lvl>
    <w:lvl w:ilvl="2">
      <w:start w:val="2"/>
      <w:numFmt w:val="decimal"/>
      <w:lvlText w:val="%1.%2.%3."/>
      <w:lvlJc w:val="left"/>
      <w:pPr>
        <w:ind w:left="3000" w:hanging="720"/>
      </w:pPr>
      <w:rPr>
        <w:rFonts w:ascii="Simplified Arabic" w:hAnsi="Simplified Arabic" w:cs="Simplified Arabic" w:hint="default"/>
      </w:rPr>
    </w:lvl>
    <w:lvl w:ilvl="3">
      <w:start w:val="1"/>
      <w:numFmt w:val="decimal"/>
      <w:lvlText w:val="%1.%2.%3.%4."/>
      <w:lvlJc w:val="left"/>
      <w:pPr>
        <w:ind w:left="4500" w:hanging="1080"/>
      </w:pPr>
      <w:rPr>
        <w:rFonts w:ascii="Simplified Arabic" w:hAnsi="Simplified Arabic" w:cs="Simplified Arabic" w:hint="default"/>
      </w:rPr>
    </w:lvl>
    <w:lvl w:ilvl="4">
      <w:start w:val="1"/>
      <w:numFmt w:val="decimal"/>
      <w:lvlText w:val="%1.%2.%3.%4.%5."/>
      <w:lvlJc w:val="left"/>
      <w:pPr>
        <w:ind w:left="5640" w:hanging="1080"/>
      </w:pPr>
      <w:rPr>
        <w:rFonts w:ascii="Simplified Arabic" w:hAnsi="Simplified Arabic" w:cs="Simplified Arabic" w:hint="default"/>
      </w:rPr>
    </w:lvl>
    <w:lvl w:ilvl="5">
      <w:start w:val="1"/>
      <w:numFmt w:val="decimal"/>
      <w:lvlText w:val="%1.%2.%3.%4.%5.%6."/>
      <w:lvlJc w:val="left"/>
      <w:pPr>
        <w:ind w:left="7140" w:hanging="1440"/>
      </w:pPr>
      <w:rPr>
        <w:rFonts w:ascii="Simplified Arabic" w:hAnsi="Simplified Arabic" w:cs="Simplified Arabic" w:hint="default"/>
      </w:rPr>
    </w:lvl>
    <w:lvl w:ilvl="6">
      <w:start w:val="1"/>
      <w:numFmt w:val="decimal"/>
      <w:lvlText w:val="%1.%2.%3.%4.%5.%6.%7."/>
      <w:lvlJc w:val="left"/>
      <w:pPr>
        <w:ind w:left="8280" w:hanging="1440"/>
      </w:pPr>
      <w:rPr>
        <w:rFonts w:ascii="Simplified Arabic" w:hAnsi="Simplified Arabic" w:cs="Simplified Arabic" w:hint="default"/>
      </w:rPr>
    </w:lvl>
    <w:lvl w:ilvl="7">
      <w:start w:val="1"/>
      <w:numFmt w:val="decimal"/>
      <w:lvlText w:val="%1.%2.%3.%4.%5.%6.%7.%8."/>
      <w:lvlJc w:val="left"/>
      <w:pPr>
        <w:ind w:left="9780" w:hanging="1800"/>
      </w:pPr>
      <w:rPr>
        <w:rFonts w:ascii="Simplified Arabic" w:hAnsi="Simplified Arabic" w:cs="Simplified Arabic" w:hint="default"/>
      </w:rPr>
    </w:lvl>
    <w:lvl w:ilvl="8">
      <w:start w:val="1"/>
      <w:numFmt w:val="decimal"/>
      <w:lvlText w:val="%1.%2.%3.%4.%5.%6.%7.%8.%9."/>
      <w:lvlJc w:val="left"/>
      <w:pPr>
        <w:ind w:left="11280" w:hanging="2160"/>
      </w:pPr>
      <w:rPr>
        <w:rFonts w:ascii="Simplified Arabic" w:hAnsi="Simplified Arabic" w:cs="Simplified Arabic" w:hint="default"/>
      </w:rPr>
    </w:lvl>
  </w:abstractNum>
  <w:abstractNum w:abstractNumId="83">
    <w:nsid w:val="29BB1B0E"/>
    <w:multiLevelType w:val="multilevel"/>
    <w:tmpl w:val="6EB23154"/>
    <w:lvl w:ilvl="0">
      <w:start w:val="4"/>
      <w:numFmt w:val="decimal"/>
      <w:lvlText w:val="%1."/>
      <w:lvlJc w:val="left"/>
      <w:pPr>
        <w:ind w:left="420" w:hanging="420"/>
      </w:pPr>
      <w:rPr>
        <w:rFonts w:hint="default"/>
      </w:rPr>
    </w:lvl>
    <w:lvl w:ilvl="1">
      <w:start w:val="4"/>
      <w:numFmt w:val="decimal"/>
      <w:lvlText w:val="%1.%2."/>
      <w:lvlJc w:val="left"/>
      <w:pPr>
        <w:ind w:left="900" w:hanging="720"/>
      </w:pPr>
      <w:rPr>
        <w:rFonts w:ascii="Simplified Arabic" w:hAnsi="Simplified Arabic" w:cs="Simplified Arabic" w:hint="default"/>
        <w:b w:val="0"/>
        <w:bCs w:val="0"/>
      </w:rPr>
    </w:lvl>
    <w:lvl w:ilvl="2">
      <w:start w:val="1"/>
      <w:numFmt w:val="decimal"/>
      <w:lvlText w:val="%1.%2.%3."/>
      <w:lvlJc w:val="left"/>
      <w:pPr>
        <w:ind w:left="1080" w:hanging="720"/>
      </w:pPr>
      <w:rPr>
        <w:rFonts w:hint="default"/>
        <w:sz w:val="24"/>
        <w:szCs w:val="24"/>
      </w:rPr>
    </w:lvl>
    <w:lvl w:ilvl="3">
      <w:start w:val="1"/>
      <w:numFmt w:val="decimal"/>
      <w:lvlText w:val="%1.%2.%3.%4."/>
      <w:lvlJc w:val="left"/>
      <w:pPr>
        <w:ind w:left="1620" w:hanging="1080"/>
      </w:pPr>
      <w:rPr>
        <w:rFonts w:hint="default"/>
        <w:b/>
        <w:bCs/>
        <w:sz w:val="24"/>
        <w:szCs w:val="24"/>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84">
    <w:nsid w:val="29F85005"/>
    <w:multiLevelType w:val="multilevel"/>
    <w:tmpl w:val="63E81622"/>
    <w:lvl w:ilvl="0">
      <w:start w:val="1"/>
      <w:numFmt w:val="decimal"/>
      <w:lvlText w:val="%1."/>
      <w:lvlJc w:val="left"/>
      <w:pPr>
        <w:ind w:left="630" w:hanging="630"/>
      </w:pPr>
      <w:rPr>
        <w:rFonts w:hint="default"/>
      </w:rPr>
    </w:lvl>
    <w:lvl w:ilvl="1">
      <w:start w:val="8"/>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5">
    <w:nsid w:val="2A71749C"/>
    <w:multiLevelType w:val="multilevel"/>
    <w:tmpl w:val="E50E0C00"/>
    <w:lvl w:ilvl="0">
      <w:start w:val="4"/>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ascii="Simplified Arabic" w:hAnsi="Simplified Arabic" w:cs="Simplified Arabic" w:hint="default"/>
        <w:b/>
        <w:bCs/>
      </w:rPr>
    </w:lvl>
    <w:lvl w:ilvl="3">
      <w:start w:val="3"/>
      <w:numFmt w:val="decimal"/>
      <w:lvlText w:val="%1.%2.%3.%4."/>
      <w:lvlJc w:val="left"/>
      <w:pPr>
        <w:ind w:left="1505"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6">
    <w:nsid w:val="2AB94720"/>
    <w:multiLevelType w:val="multilevel"/>
    <w:tmpl w:val="B9125F78"/>
    <w:lvl w:ilvl="0">
      <w:start w:val="2"/>
      <w:numFmt w:val="decimal"/>
      <w:lvlText w:val="%1."/>
      <w:lvlJc w:val="left"/>
      <w:pPr>
        <w:ind w:left="975" w:hanging="975"/>
      </w:pPr>
      <w:rPr>
        <w:rFonts w:hint="default"/>
      </w:rPr>
    </w:lvl>
    <w:lvl w:ilvl="1">
      <w:start w:val="1"/>
      <w:numFmt w:val="decimal"/>
      <w:lvlText w:val="%1.%2."/>
      <w:lvlJc w:val="left"/>
      <w:pPr>
        <w:ind w:left="1095" w:hanging="975"/>
      </w:pPr>
      <w:rPr>
        <w:rFonts w:hint="default"/>
      </w:rPr>
    </w:lvl>
    <w:lvl w:ilvl="2">
      <w:start w:val="10"/>
      <w:numFmt w:val="decimal"/>
      <w:lvlText w:val="%1.%2.%3."/>
      <w:lvlJc w:val="left"/>
      <w:pPr>
        <w:ind w:left="1215" w:hanging="975"/>
      </w:pPr>
      <w:rPr>
        <w:rFonts w:hint="default"/>
      </w:rPr>
    </w:lvl>
    <w:lvl w:ilvl="3">
      <w:start w:val="4"/>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87">
    <w:nsid w:val="2B726F3F"/>
    <w:multiLevelType w:val="hybridMultilevel"/>
    <w:tmpl w:val="1BCE0F6E"/>
    <w:lvl w:ilvl="0" w:tplc="2E42FBF2">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2C127CAB"/>
    <w:multiLevelType w:val="multilevel"/>
    <w:tmpl w:val="214A6256"/>
    <w:lvl w:ilvl="0">
      <w:start w:val="5"/>
      <w:numFmt w:val="decimal"/>
      <w:lvlText w:val="%1."/>
      <w:lvlJc w:val="left"/>
      <w:pPr>
        <w:ind w:left="630" w:hanging="630"/>
      </w:pPr>
      <w:rPr>
        <w:rFonts w:hint="default"/>
      </w:rPr>
    </w:lvl>
    <w:lvl w:ilvl="1">
      <w:start w:val="1"/>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89">
    <w:nsid w:val="2D416201"/>
    <w:multiLevelType w:val="multilevel"/>
    <w:tmpl w:val="2D884982"/>
    <w:lvl w:ilvl="0">
      <w:start w:val="8"/>
      <w:numFmt w:val="decimal"/>
      <w:lvlText w:val="%1."/>
      <w:lvlJc w:val="left"/>
      <w:pPr>
        <w:ind w:left="420" w:hanging="42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0">
    <w:nsid w:val="2D857EC0"/>
    <w:multiLevelType w:val="multilevel"/>
    <w:tmpl w:val="254C3CF2"/>
    <w:lvl w:ilvl="0">
      <w:start w:val="8"/>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1">
    <w:nsid w:val="2DFD7D7B"/>
    <w:multiLevelType w:val="multilevel"/>
    <w:tmpl w:val="C76021BA"/>
    <w:lvl w:ilvl="0">
      <w:start w:val="3"/>
      <w:numFmt w:val="decimal"/>
      <w:lvlText w:val="%1."/>
      <w:lvlJc w:val="left"/>
      <w:pPr>
        <w:ind w:left="630" w:hanging="630"/>
      </w:pPr>
      <w:rPr>
        <w:rFonts w:hint="default"/>
      </w:rPr>
    </w:lvl>
    <w:lvl w:ilvl="1">
      <w:start w:val="8"/>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2">
    <w:nsid w:val="2E75760A"/>
    <w:multiLevelType w:val="multilevel"/>
    <w:tmpl w:val="11425ADC"/>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3">
    <w:nsid w:val="2E873F0B"/>
    <w:multiLevelType w:val="multilevel"/>
    <w:tmpl w:val="B6660E46"/>
    <w:lvl w:ilvl="0">
      <w:start w:val="2"/>
      <w:numFmt w:val="decimal"/>
      <w:lvlText w:val="%1."/>
      <w:lvlJc w:val="left"/>
      <w:pPr>
        <w:ind w:left="840" w:hanging="840"/>
      </w:pPr>
      <w:rPr>
        <w:rFonts w:hint="default"/>
      </w:rPr>
    </w:lvl>
    <w:lvl w:ilvl="1">
      <w:start w:val="1"/>
      <w:numFmt w:val="decimal"/>
      <w:lvlText w:val="%1.%2."/>
      <w:lvlJc w:val="left"/>
      <w:pPr>
        <w:ind w:left="960" w:hanging="840"/>
      </w:pPr>
      <w:rPr>
        <w:rFonts w:hint="default"/>
      </w:rPr>
    </w:lvl>
    <w:lvl w:ilvl="2">
      <w:start w:val="8"/>
      <w:numFmt w:val="decimal"/>
      <w:lvlText w:val="%1.%2.%3."/>
      <w:lvlJc w:val="left"/>
      <w:pPr>
        <w:ind w:left="1080" w:hanging="840"/>
      </w:pPr>
      <w:rPr>
        <w:rFonts w:hint="default"/>
      </w:rPr>
    </w:lvl>
    <w:lvl w:ilvl="3">
      <w:start w:val="4"/>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94">
    <w:nsid w:val="2F871513"/>
    <w:multiLevelType w:val="multilevel"/>
    <w:tmpl w:val="903A6BE2"/>
    <w:lvl w:ilvl="0">
      <w:start w:val="2"/>
      <w:numFmt w:val="decimal"/>
      <w:lvlText w:val="%1."/>
      <w:lvlJc w:val="left"/>
      <w:pPr>
        <w:ind w:left="840" w:hanging="840"/>
      </w:pPr>
      <w:rPr>
        <w:rFonts w:hint="default"/>
        <w:sz w:val="24"/>
      </w:rPr>
    </w:lvl>
    <w:lvl w:ilvl="1">
      <w:start w:val="3"/>
      <w:numFmt w:val="decimal"/>
      <w:lvlText w:val="%1.%2."/>
      <w:lvlJc w:val="left"/>
      <w:pPr>
        <w:ind w:left="960" w:hanging="840"/>
      </w:pPr>
      <w:rPr>
        <w:rFonts w:hint="default"/>
        <w:b/>
        <w:bCs/>
        <w:sz w:val="36"/>
        <w:szCs w:val="24"/>
      </w:rPr>
    </w:lvl>
    <w:lvl w:ilvl="2">
      <w:start w:val="3"/>
      <w:numFmt w:val="decimal"/>
      <w:lvlText w:val="%1.%2.%3."/>
      <w:lvlJc w:val="left"/>
      <w:pPr>
        <w:ind w:left="1080" w:hanging="840"/>
      </w:pPr>
      <w:rPr>
        <w:rFonts w:hint="default"/>
        <w:sz w:val="24"/>
      </w:rPr>
    </w:lvl>
    <w:lvl w:ilvl="3">
      <w:start w:val="2"/>
      <w:numFmt w:val="decimal"/>
      <w:lvlText w:val="%1.%2.%3.%4."/>
      <w:lvlJc w:val="left"/>
      <w:pPr>
        <w:ind w:left="1200" w:hanging="840"/>
      </w:pPr>
      <w:rPr>
        <w:rFonts w:hint="default"/>
        <w:sz w:val="24"/>
      </w:rPr>
    </w:lvl>
    <w:lvl w:ilvl="4">
      <w:start w:val="1"/>
      <w:numFmt w:val="decimal"/>
      <w:lvlText w:val="%1.%2.%3.%4.%5."/>
      <w:lvlJc w:val="left"/>
      <w:pPr>
        <w:ind w:left="1320" w:hanging="840"/>
      </w:pPr>
      <w:rPr>
        <w:rFonts w:hint="default"/>
        <w:sz w:val="24"/>
      </w:rPr>
    </w:lvl>
    <w:lvl w:ilvl="5">
      <w:start w:val="1"/>
      <w:numFmt w:val="decimal"/>
      <w:lvlText w:val="%1.%2.%3.%4.%5.%6."/>
      <w:lvlJc w:val="left"/>
      <w:pPr>
        <w:ind w:left="1680" w:hanging="1080"/>
      </w:pPr>
      <w:rPr>
        <w:rFonts w:hint="default"/>
        <w:sz w:val="24"/>
      </w:rPr>
    </w:lvl>
    <w:lvl w:ilvl="6">
      <w:start w:val="1"/>
      <w:numFmt w:val="decimal"/>
      <w:lvlText w:val="%1.%2.%3.%4.%5.%6.%7."/>
      <w:lvlJc w:val="left"/>
      <w:pPr>
        <w:ind w:left="1800" w:hanging="1080"/>
      </w:pPr>
      <w:rPr>
        <w:rFonts w:hint="default"/>
        <w:sz w:val="24"/>
      </w:rPr>
    </w:lvl>
    <w:lvl w:ilvl="7">
      <w:start w:val="1"/>
      <w:numFmt w:val="decimal"/>
      <w:lvlText w:val="%1.%2.%3.%4.%5.%6.%7.%8."/>
      <w:lvlJc w:val="left"/>
      <w:pPr>
        <w:ind w:left="1920" w:hanging="1080"/>
      </w:pPr>
      <w:rPr>
        <w:rFonts w:hint="default"/>
        <w:sz w:val="24"/>
      </w:rPr>
    </w:lvl>
    <w:lvl w:ilvl="8">
      <w:start w:val="1"/>
      <w:numFmt w:val="decimal"/>
      <w:lvlText w:val="%1.%2.%3.%4.%5.%6.%7.%8.%9."/>
      <w:lvlJc w:val="left"/>
      <w:pPr>
        <w:ind w:left="2400" w:hanging="1440"/>
      </w:pPr>
      <w:rPr>
        <w:rFonts w:hint="default"/>
        <w:sz w:val="24"/>
      </w:rPr>
    </w:lvl>
  </w:abstractNum>
  <w:abstractNum w:abstractNumId="95">
    <w:nsid w:val="2FAF7F7B"/>
    <w:multiLevelType w:val="multilevel"/>
    <w:tmpl w:val="1DBAC8F2"/>
    <w:lvl w:ilvl="0">
      <w:start w:val="1"/>
      <w:numFmt w:val="decimal"/>
      <w:lvlText w:val="%1."/>
      <w:lvlJc w:val="left"/>
      <w:pPr>
        <w:ind w:left="630" w:hanging="630"/>
      </w:pPr>
      <w:rPr>
        <w:rFonts w:hint="default"/>
      </w:rPr>
    </w:lvl>
    <w:lvl w:ilvl="1">
      <w:start w:val="7"/>
      <w:numFmt w:val="decimal"/>
      <w:lvlText w:val="%1.%2."/>
      <w:lvlJc w:val="left"/>
      <w:pPr>
        <w:ind w:left="900" w:hanging="72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96">
    <w:nsid w:val="2FE478D1"/>
    <w:multiLevelType w:val="multilevel"/>
    <w:tmpl w:val="78048FC4"/>
    <w:lvl w:ilvl="0">
      <w:start w:val="1"/>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7">
    <w:nsid w:val="32651356"/>
    <w:multiLevelType w:val="multilevel"/>
    <w:tmpl w:val="0E2C1484"/>
    <w:lvl w:ilvl="0">
      <w:start w:val="4"/>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8">
    <w:nsid w:val="32CF679C"/>
    <w:multiLevelType w:val="multilevel"/>
    <w:tmpl w:val="A36CE300"/>
    <w:lvl w:ilvl="0">
      <w:start w:val="2"/>
      <w:numFmt w:val="decimal"/>
      <w:lvlText w:val="%1."/>
      <w:lvlJc w:val="left"/>
      <w:pPr>
        <w:ind w:left="630" w:hanging="630"/>
      </w:pPr>
      <w:rPr>
        <w:rFonts w:hint="default"/>
      </w:rPr>
    </w:lvl>
    <w:lvl w:ilvl="1">
      <w:start w:val="5"/>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99">
    <w:nsid w:val="331B48C5"/>
    <w:multiLevelType w:val="hybridMultilevel"/>
    <w:tmpl w:val="48CAE130"/>
    <w:lvl w:ilvl="0" w:tplc="03948838">
      <w:start w:val="6"/>
      <w:numFmt w:val="bullet"/>
      <w:lvlText w:val=""/>
      <w:lvlJc w:val="left"/>
      <w:pPr>
        <w:ind w:left="1440" w:hanging="360"/>
      </w:pPr>
      <w:rPr>
        <w:rFonts w:ascii="Symbol" w:eastAsiaTheme="minorHAnsi" w:hAnsi="Symbol"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0">
    <w:nsid w:val="3382389D"/>
    <w:multiLevelType w:val="hybridMultilevel"/>
    <w:tmpl w:val="2572FECE"/>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101">
    <w:nsid w:val="33FF75FB"/>
    <w:multiLevelType w:val="multilevel"/>
    <w:tmpl w:val="9A427A34"/>
    <w:lvl w:ilvl="0">
      <w:start w:val="1"/>
      <w:numFmt w:val="decimal"/>
      <w:lvlText w:val="%1."/>
      <w:lvlJc w:val="left"/>
      <w:pPr>
        <w:ind w:left="630" w:hanging="630"/>
      </w:pPr>
      <w:rPr>
        <w:rFonts w:hint="default"/>
      </w:rPr>
    </w:lvl>
    <w:lvl w:ilvl="1">
      <w:start w:val="5"/>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02">
    <w:nsid w:val="348A561C"/>
    <w:multiLevelType w:val="multilevel"/>
    <w:tmpl w:val="CB982370"/>
    <w:lvl w:ilvl="0">
      <w:start w:val="4"/>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3">
    <w:nsid w:val="34B379A3"/>
    <w:multiLevelType w:val="multilevel"/>
    <w:tmpl w:val="8F4618A0"/>
    <w:lvl w:ilvl="0">
      <w:start w:val="3"/>
      <w:numFmt w:val="decimal"/>
      <w:lvlText w:val="%1."/>
      <w:lvlJc w:val="left"/>
      <w:pPr>
        <w:ind w:left="630" w:hanging="630"/>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04">
    <w:nsid w:val="356E0AF1"/>
    <w:multiLevelType w:val="multilevel"/>
    <w:tmpl w:val="BE02C670"/>
    <w:lvl w:ilvl="0">
      <w:start w:val="3"/>
      <w:numFmt w:val="decimal"/>
      <w:lvlText w:val="%1."/>
      <w:lvlJc w:val="left"/>
      <w:pPr>
        <w:ind w:left="630" w:hanging="630"/>
      </w:pPr>
      <w:rPr>
        <w:rFonts w:hint="default"/>
      </w:rPr>
    </w:lvl>
    <w:lvl w:ilvl="1">
      <w:start w:val="8"/>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5">
    <w:nsid w:val="357B6E24"/>
    <w:multiLevelType w:val="hybridMultilevel"/>
    <w:tmpl w:val="422C1F0C"/>
    <w:lvl w:ilvl="0" w:tplc="92728BE0">
      <w:start w:val="1"/>
      <w:numFmt w:val="bullet"/>
      <w:lvlText w:val="o"/>
      <w:lvlJc w:val="left"/>
      <w:pPr>
        <w:ind w:left="720" w:hanging="360"/>
      </w:pPr>
      <w:rPr>
        <w:rFonts w:ascii="Courier New" w:hAnsi="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nsid w:val="35D57B3F"/>
    <w:multiLevelType w:val="multilevel"/>
    <w:tmpl w:val="86F8703A"/>
    <w:lvl w:ilvl="0">
      <w:start w:val="2"/>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val="0"/>
        <w:bCs/>
        <w:sz w:val="24"/>
        <w:szCs w:val="24"/>
      </w:rPr>
    </w:lvl>
    <w:lvl w:ilvl="3">
      <w:start w:val="2"/>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07">
    <w:nsid w:val="35DB5AD0"/>
    <w:multiLevelType w:val="multilevel"/>
    <w:tmpl w:val="68B8F6FA"/>
    <w:lvl w:ilvl="0">
      <w:start w:val="1"/>
      <w:numFmt w:val="decimal"/>
      <w:lvlText w:val="%1."/>
      <w:lvlJc w:val="left"/>
      <w:pPr>
        <w:ind w:left="840" w:hanging="840"/>
      </w:pPr>
      <w:rPr>
        <w:rFonts w:ascii="Simplified Arabic" w:hAnsi="Simplified Arabic" w:cs="Simplified Arabic" w:hint="default"/>
        <w:sz w:val="24"/>
      </w:rPr>
    </w:lvl>
    <w:lvl w:ilvl="1">
      <w:start w:val="5"/>
      <w:numFmt w:val="decimal"/>
      <w:lvlText w:val="%1.%2."/>
      <w:lvlJc w:val="left"/>
      <w:pPr>
        <w:ind w:left="840" w:hanging="840"/>
      </w:pPr>
      <w:rPr>
        <w:rFonts w:ascii="Simplified Arabic" w:hAnsi="Simplified Arabic" w:cs="Simplified Arabic" w:hint="default"/>
        <w:sz w:val="24"/>
      </w:rPr>
    </w:lvl>
    <w:lvl w:ilvl="2">
      <w:start w:val="6"/>
      <w:numFmt w:val="decimal"/>
      <w:lvlText w:val="%1.%2.%3."/>
      <w:lvlJc w:val="left"/>
      <w:pPr>
        <w:ind w:left="840" w:hanging="840"/>
      </w:pPr>
      <w:rPr>
        <w:rFonts w:ascii="Simplified Arabic" w:hAnsi="Simplified Arabic" w:cs="Simplified Arabic" w:hint="default"/>
        <w:b/>
        <w:bCs/>
        <w:sz w:val="24"/>
      </w:rPr>
    </w:lvl>
    <w:lvl w:ilvl="3">
      <w:start w:val="2"/>
      <w:numFmt w:val="decimal"/>
      <w:lvlText w:val="%1.%2.%3.%4."/>
      <w:lvlJc w:val="left"/>
      <w:pPr>
        <w:ind w:left="1080" w:hanging="1080"/>
      </w:pPr>
      <w:rPr>
        <w:rFonts w:ascii="Simplified Arabic" w:hAnsi="Simplified Arabic" w:cs="Simplified Arabic" w:hint="default"/>
        <w:sz w:val="22"/>
        <w:szCs w:val="24"/>
      </w:rPr>
    </w:lvl>
    <w:lvl w:ilvl="4">
      <w:start w:val="1"/>
      <w:numFmt w:val="decimal"/>
      <w:lvlText w:val="%1.%2.%3.%4.%5."/>
      <w:lvlJc w:val="left"/>
      <w:pPr>
        <w:ind w:left="1080" w:hanging="1080"/>
      </w:pPr>
      <w:rPr>
        <w:rFonts w:ascii="Simplified Arabic" w:hAnsi="Simplified Arabic" w:cs="Simplified Arabic" w:hint="default"/>
        <w:sz w:val="24"/>
      </w:rPr>
    </w:lvl>
    <w:lvl w:ilvl="5">
      <w:start w:val="1"/>
      <w:numFmt w:val="decimal"/>
      <w:lvlText w:val="%1.%2.%3.%4.%5.%6."/>
      <w:lvlJc w:val="left"/>
      <w:pPr>
        <w:ind w:left="1440" w:hanging="1440"/>
      </w:pPr>
      <w:rPr>
        <w:rFonts w:ascii="Simplified Arabic" w:hAnsi="Simplified Arabic" w:cs="Simplified Arabic" w:hint="default"/>
        <w:sz w:val="24"/>
      </w:rPr>
    </w:lvl>
    <w:lvl w:ilvl="6">
      <w:start w:val="1"/>
      <w:numFmt w:val="decimal"/>
      <w:lvlText w:val="%1.%2.%3.%4.%5.%6.%7."/>
      <w:lvlJc w:val="left"/>
      <w:pPr>
        <w:ind w:left="1800" w:hanging="1800"/>
      </w:pPr>
      <w:rPr>
        <w:rFonts w:ascii="Simplified Arabic" w:hAnsi="Simplified Arabic" w:cs="Simplified Arabic" w:hint="default"/>
        <w:sz w:val="24"/>
      </w:rPr>
    </w:lvl>
    <w:lvl w:ilvl="7">
      <w:start w:val="1"/>
      <w:numFmt w:val="decimal"/>
      <w:lvlText w:val="%1.%2.%3.%4.%5.%6.%7.%8."/>
      <w:lvlJc w:val="left"/>
      <w:pPr>
        <w:ind w:left="1800" w:hanging="1800"/>
      </w:pPr>
      <w:rPr>
        <w:rFonts w:ascii="Simplified Arabic" w:hAnsi="Simplified Arabic" w:cs="Simplified Arabic" w:hint="default"/>
        <w:sz w:val="24"/>
      </w:rPr>
    </w:lvl>
    <w:lvl w:ilvl="8">
      <w:start w:val="1"/>
      <w:numFmt w:val="decimal"/>
      <w:lvlText w:val="%1.%2.%3.%4.%5.%6.%7.%8.%9."/>
      <w:lvlJc w:val="left"/>
      <w:pPr>
        <w:ind w:left="2160" w:hanging="2160"/>
      </w:pPr>
      <w:rPr>
        <w:rFonts w:ascii="Simplified Arabic" w:hAnsi="Simplified Arabic" w:cs="Simplified Arabic" w:hint="default"/>
        <w:sz w:val="24"/>
      </w:rPr>
    </w:lvl>
  </w:abstractNum>
  <w:abstractNum w:abstractNumId="108">
    <w:nsid w:val="367C6328"/>
    <w:multiLevelType w:val="multilevel"/>
    <w:tmpl w:val="FBF229C8"/>
    <w:lvl w:ilvl="0">
      <w:start w:val="1"/>
      <w:numFmt w:val="decimal"/>
      <w:lvlText w:val="%1."/>
      <w:lvlJc w:val="left"/>
      <w:pPr>
        <w:ind w:left="1002" w:hanging="360"/>
      </w:pPr>
      <w:rPr>
        <w:rFonts w:ascii="Simplified Arabic" w:eastAsiaTheme="minorHAnsi" w:hAnsi="Simplified Arabic" w:cs="Simplified Arabic"/>
        <w:b/>
        <w:bCs/>
      </w:rPr>
    </w:lvl>
    <w:lvl w:ilvl="1">
      <w:start w:val="6"/>
      <w:numFmt w:val="decimal"/>
      <w:isLgl/>
      <w:lvlText w:val="%1.%2."/>
      <w:lvlJc w:val="left"/>
      <w:pPr>
        <w:ind w:left="1362" w:hanging="720"/>
      </w:pPr>
      <w:rPr>
        <w:rFonts w:hint="default"/>
      </w:rPr>
    </w:lvl>
    <w:lvl w:ilvl="2">
      <w:start w:val="1"/>
      <w:numFmt w:val="decimal"/>
      <w:isLgl/>
      <w:lvlText w:val="%1.%2.%3."/>
      <w:lvlJc w:val="left"/>
      <w:pPr>
        <w:ind w:left="1362" w:hanging="720"/>
      </w:pPr>
      <w:rPr>
        <w:rFonts w:hint="default"/>
      </w:rPr>
    </w:lvl>
    <w:lvl w:ilvl="3">
      <w:start w:val="1"/>
      <w:numFmt w:val="decimal"/>
      <w:isLgl/>
      <w:lvlText w:val="%1.%2.%3.%4."/>
      <w:lvlJc w:val="left"/>
      <w:pPr>
        <w:ind w:left="1722" w:hanging="1080"/>
      </w:pPr>
      <w:rPr>
        <w:rFonts w:hint="default"/>
      </w:rPr>
    </w:lvl>
    <w:lvl w:ilvl="4">
      <w:start w:val="1"/>
      <w:numFmt w:val="decimal"/>
      <w:isLgl/>
      <w:lvlText w:val="%1.%2.%3.%4.%5."/>
      <w:lvlJc w:val="left"/>
      <w:pPr>
        <w:ind w:left="1722" w:hanging="1080"/>
      </w:pPr>
      <w:rPr>
        <w:rFonts w:hint="default"/>
      </w:rPr>
    </w:lvl>
    <w:lvl w:ilvl="5">
      <w:start w:val="1"/>
      <w:numFmt w:val="decimal"/>
      <w:isLgl/>
      <w:lvlText w:val="%1.%2.%3.%4.%5.%6."/>
      <w:lvlJc w:val="left"/>
      <w:pPr>
        <w:ind w:left="2082" w:hanging="1440"/>
      </w:pPr>
      <w:rPr>
        <w:rFonts w:hint="default"/>
      </w:rPr>
    </w:lvl>
    <w:lvl w:ilvl="6">
      <w:start w:val="1"/>
      <w:numFmt w:val="decimal"/>
      <w:isLgl/>
      <w:lvlText w:val="%1.%2.%3.%4.%5.%6.%7."/>
      <w:lvlJc w:val="left"/>
      <w:pPr>
        <w:ind w:left="2082" w:hanging="1440"/>
      </w:pPr>
      <w:rPr>
        <w:rFonts w:hint="default"/>
      </w:rPr>
    </w:lvl>
    <w:lvl w:ilvl="7">
      <w:start w:val="1"/>
      <w:numFmt w:val="decimal"/>
      <w:isLgl/>
      <w:lvlText w:val="%1.%2.%3.%4.%5.%6.%7.%8."/>
      <w:lvlJc w:val="left"/>
      <w:pPr>
        <w:ind w:left="2442" w:hanging="1800"/>
      </w:pPr>
      <w:rPr>
        <w:rFonts w:hint="default"/>
      </w:rPr>
    </w:lvl>
    <w:lvl w:ilvl="8">
      <w:start w:val="1"/>
      <w:numFmt w:val="decimal"/>
      <w:isLgl/>
      <w:lvlText w:val="%1.%2.%3.%4.%5.%6.%7.%8.%9."/>
      <w:lvlJc w:val="left"/>
      <w:pPr>
        <w:ind w:left="2442" w:hanging="1800"/>
      </w:pPr>
      <w:rPr>
        <w:rFonts w:hint="default"/>
      </w:rPr>
    </w:lvl>
  </w:abstractNum>
  <w:abstractNum w:abstractNumId="109">
    <w:nsid w:val="368838F5"/>
    <w:multiLevelType w:val="hybridMultilevel"/>
    <w:tmpl w:val="057246C6"/>
    <w:lvl w:ilvl="0" w:tplc="5852A0DA">
      <w:start w:val="1"/>
      <w:numFmt w:val="bullet"/>
      <w:lvlText w:val=""/>
      <w:lvlJc w:val="center"/>
      <w:pPr>
        <w:ind w:left="444" w:hanging="360"/>
      </w:pPr>
      <w:rPr>
        <w:rFonts w:ascii="Wingdings" w:hAnsi="Wingdings"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10">
    <w:nsid w:val="368B26BF"/>
    <w:multiLevelType w:val="multilevel"/>
    <w:tmpl w:val="61488C86"/>
    <w:lvl w:ilvl="0">
      <w:start w:val="7"/>
      <w:numFmt w:val="decimal"/>
      <w:lvlText w:val="%1."/>
      <w:lvlJc w:val="left"/>
      <w:pPr>
        <w:ind w:left="840" w:hanging="840"/>
      </w:pPr>
      <w:rPr>
        <w:rFonts w:hint="default"/>
      </w:rPr>
    </w:lvl>
    <w:lvl w:ilvl="1">
      <w:start w:val="2"/>
      <w:numFmt w:val="decimal"/>
      <w:lvlText w:val="%1.%2."/>
      <w:lvlJc w:val="left"/>
      <w:pPr>
        <w:ind w:left="960" w:hanging="840"/>
      </w:pPr>
      <w:rPr>
        <w:rFonts w:hint="default"/>
      </w:rPr>
    </w:lvl>
    <w:lvl w:ilvl="2">
      <w:start w:val="3"/>
      <w:numFmt w:val="decimal"/>
      <w:lvlText w:val="%1.%2.%3."/>
      <w:lvlJc w:val="left"/>
      <w:pPr>
        <w:ind w:left="1080" w:hanging="840"/>
      </w:pPr>
      <w:rPr>
        <w:rFonts w:hint="default"/>
      </w:rPr>
    </w:lvl>
    <w:lvl w:ilvl="3">
      <w:start w:val="5"/>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11">
    <w:nsid w:val="36FB748E"/>
    <w:multiLevelType w:val="multilevel"/>
    <w:tmpl w:val="D78003BC"/>
    <w:lvl w:ilvl="0">
      <w:start w:val="2"/>
      <w:numFmt w:val="decimal"/>
      <w:lvlText w:val="%1."/>
      <w:lvlJc w:val="left"/>
      <w:pPr>
        <w:ind w:left="840" w:hanging="840"/>
      </w:pPr>
      <w:rPr>
        <w:rFonts w:hint="default"/>
        <w:b/>
      </w:rPr>
    </w:lvl>
    <w:lvl w:ilvl="1">
      <w:start w:val="6"/>
      <w:numFmt w:val="decimal"/>
      <w:lvlText w:val="%1.%2."/>
      <w:lvlJc w:val="left"/>
      <w:pPr>
        <w:ind w:left="1200" w:hanging="840"/>
      </w:pPr>
      <w:rPr>
        <w:rFonts w:hint="default"/>
        <w:b/>
      </w:rPr>
    </w:lvl>
    <w:lvl w:ilvl="2">
      <w:start w:val="1"/>
      <w:numFmt w:val="decimal"/>
      <w:lvlText w:val="%1.%2.%3."/>
      <w:lvlJc w:val="left"/>
      <w:pPr>
        <w:ind w:left="1560" w:hanging="840"/>
      </w:pPr>
      <w:rPr>
        <w:rFonts w:hint="default"/>
        <w:b/>
      </w:rPr>
    </w:lvl>
    <w:lvl w:ilvl="3">
      <w:start w:val="1"/>
      <w:numFmt w:val="decimal"/>
      <w:lvlText w:val="%1.%2.%3.%4."/>
      <w:lvlJc w:val="left"/>
      <w:pPr>
        <w:ind w:left="2160" w:hanging="1080"/>
      </w:pPr>
      <w:rPr>
        <w:rFonts w:hint="default"/>
        <w:b w:val="0"/>
        <w:bCs/>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112">
    <w:nsid w:val="3786458F"/>
    <w:multiLevelType w:val="multilevel"/>
    <w:tmpl w:val="04D01250"/>
    <w:lvl w:ilvl="0">
      <w:start w:val="1"/>
      <w:numFmt w:val="decimal"/>
      <w:lvlText w:val="%1."/>
      <w:lvlJc w:val="left"/>
      <w:pPr>
        <w:ind w:left="840" w:hanging="840"/>
      </w:pPr>
      <w:rPr>
        <w:rFonts w:hint="default"/>
      </w:rPr>
    </w:lvl>
    <w:lvl w:ilvl="1">
      <w:start w:val="2"/>
      <w:numFmt w:val="decimal"/>
      <w:lvlText w:val="%1.%2."/>
      <w:lvlJc w:val="left"/>
      <w:pPr>
        <w:ind w:left="960" w:hanging="840"/>
      </w:pPr>
      <w:rPr>
        <w:rFonts w:hint="default"/>
      </w:rPr>
    </w:lvl>
    <w:lvl w:ilvl="2">
      <w:start w:val="6"/>
      <w:numFmt w:val="decimal"/>
      <w:lvlText w:val="%1.%2.%3."/>
      <w:lvlJc w:val="left"/>
      <w:pPr>
        <w:ind w:left="1080" w:hanging="840"/>
      </w:pPr>
      <w:rPr>
        <w:rFonts w:hint="default"/>
      </w:rPr>
    </w:lvl>
    <w:lvl w:ilvl="3">
      <w:start w:val="6"/>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13">
    <w:nsid w:val="37D6540F"/>
    <w:multiLevelType w:val="multilevel"/>
    <w:tmpl w:val="96663576"/>
    <w:lvl w:ilvl="0">
      <w:start w:val="2"/>
      <w:numFmt w:val="decimal"/>
      <w:lvlText w:val="%1."/>
      <w:lvlJc w:val="left"/>
      <w:pPr>
        <w:ind w:left="840" w:hanging="840"/>
      </w:pPr>
      <w:rPr>
        <w:rFonts w:hint="default"/>
      </w:rPr>
    </w:lvl>
    <w:lvl w:ilvl="1">
      <w:start w:val="2"/>
      <w:numFmt w:val="arabicAlpha"/>
      <w:lvlText w:val="6.%2."/>
      <w:lvlJc w:val="right"/>
      <w:pPr>
        <w:ind w:left="920" w:hanging="840"/>
      </w:pPr>
      <w:rPr>
        <w:rFonts w:hint="default"/>
        <w:b/>
        <w:bCs/>
        <w:sz w:val="22"/>
        <w:szCs w:val="24"/>
      </w:rPr>
    </w:lvl>
    <w:lvl w:ilvl="2">
      <w:start w:val="4"/>
      <w:numFmt w:val="decimal"/>
      <w:lvlText w:val="%1.%2.%3."/>
      <w:lvlJc w:val="left"/>
      <w:pPr>
        <w:ind w:left="1000" w:hanging="840"/>
      </w:pPr>
      <w:rPr>
        <w:rFonts w:hint="default"/>
      </w:rPr>
    </w:lvl>
    <w:lvl w:ilvl="3">
      <w:start w:val="2"/>
      <w:numFmt w:val="decimal"/>
      <w:lvlText w:val="%1.%2.%3.%4."/>
      <w:lvlJc w:val="left"/>
      <w:pPr>
        <w:ind w:left="1320" w:hanging="108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840" w:hanging="1440"/>
      </w:pPr>
      <w:rPr>
        <w:rFonts w:hint="default"/>
      </w:rPr>
    </w:lvl>
    <w:lvl w:ilvl="6">
      <w:start w:val="1"/>
      <w:numFmt w:val="decimal"/>
      <w:lvlText w:val="%1.%2.%3.%4.%5.%6.%7."/>
      <w:lvlJc w:val="left"/>
      <w:pPr>
        <w:ind w:left="1920" w:hanging="1440"/>
      </w:pPr>
      <w:rPr>
        <w:rFonts w:hint="default"/>
      </w:rPr>
    </w:lvl>
    <w:lvl w:ilvl="7">
      <w:start w:val="1"/>
      <w:numFmt w:val="decimal"/>
      <w:lvlText w:val="%1.%2.%3.%4.%5.%6.%7.%8."/>
      <w:lvlJc w:val="left"/>
      <w:pPr>
        <w:ind w:left="2360" w:hanging="1800"/>
      </w:pPr>
      <w:rPr>
        <w:rFonts w:hint="default"/>
      </w:rPr>
    </w:lvl>
    <w:lvl w:ilvl="8">
      <w:start w:val="1"/>
      <w:numFmt w:val="decimal"/>
      <w:lvlText w:val="%1.%2.%3.%4.%5.%6.%7.%8.%9."/>
      <w:lvlJc w:val="left"/>
      <w:pPr>
        <w:ind w:left="2440" w:hanging="1800"/>
      </w:pPr>
      <w:rPr>
        <w:rFonts w:hint="default"/>
      </w:rPr>
    </w:lvl>
  </w:abstractNum>
  <w:abstractNum w:abstractNumId="114">
    <w:nsid w:val="383A4CFC"/>
    <w:multiLevelType w:val="multilevel"/>
    <w:tmpl w:val="8BCA2A86"/>
    <w:lvl w:ilvl="0">
      <w:start w:val="2"/>
      <w:numFmt w:val="decimal"/>
      <w:lvlText w:val="%1."/>
      <w:lvlJc w:val="left"/>
      <w:pPr>
        <w:ind w:left="420" w:hanging="420"/>
      </w:pPr>
      <w:rPr>
        <w:rFonts w:hint="default"/>
      </w:rPr>
    </w:lvl>
    <w:lvl w:ilvl="1">
      <w:start w:val="4"/>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b/>
        <w:bCs/>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5">
    <w:nsid w:val="38B373D5"/>
    <w:multiLevelType w:val="hybridMultilevel"/>
    <w:tmpl w:val="10E21DB8"/>
    <w:lvl w:ilvl="0" w:tplc="81A064A4">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6">
    <w:nsid w:val="39DE33B1"/>
    <w:multiLevelType w:val="multilevel"/>
    <w:tmpl w:val="C7ACB2F8"/>
    <w:lvl w:ilvl="0">
      <w:start w:val="2"/>
      <w:numFmt w:val="decimal"/>
      <w:lvlText w:val="%1"/>
      <w:lvlJc w:val="left"/>
      <w:pPr>
        <w:ind w:left="420" w:hanging="420"/>
      </w:pPr>
      <w:rPr>
        <w:rFonts w:ascii="Simplified Arabic" w:hAnsi="Simplified Arabic" w:cs="Simplified Arabic" w:hint="default"/>
      </w:rPr>
    </w:lvl>
    <w:lvl w:ilvl="1">
      <w:start w:val="6"/>
      <w:numFmt w:val="decimal"/>
      <w:lvlText w:val="%1.%2"/>
      <w:lvlJc w:val="left"/>
      <w:pPr>
        <w:ind w:left="859" w:hanging="720"/>
      </w:pPr>
      <w:rPr>
        <w:rFonts w:ascii="Simplified Arabic" w:hAnsi="Simplified Arabic" w:cs="Simplified Arabic" w:hint="default"/>
        <w:sz w:val="24"/>
        <w:szCs w:val="24"/>
      </w:rPr>
    </w:lvl>
    <w:lvl w:ilvl="2">
      <w:start w:val="1"/>
      <w:numFmt w:val="decimal"/>
      <w:lvlText w:val="%1.%2.%3"/>
      <w:lvlJc w:val="left"/>
      <w:pPr>
        <w:ind w:left="998" w:hanging="720"/>
      </w:pPr>
      <w:rPr>
        <w:rFonts w:ascii="Simplified Arabic" w:hAnsi="Simplified Arabic" w:cs="Simplified Arabic" w:hint="default"/>
      </w:rPr>
    </w:lvl>
    <w:lvl w:ilvl="3">
      <w:start w:val="1"/>
      <w:numFmt w:val="decimal"/>
      <w:lvlText w:val="%1.%2.%3.%4"/>
      <w:lvlJc w:val="left"/>
      <w:pPr>
        <w:ind w:left="1497" w:hanging="1080"/>
      </w:pPr>
      <w:rPr>
        <w:rFonts w:ascii="Simplified Arabic" w:hAnsi="Simplified Arabic" w:cs="Simplified Arabic" w:hint="default"/>
      </w:rPr>
    </w:lvl>
    <w:lvl w:ilvl="4">
      <w:start w:val="1"/>
      <w:numFmt w:val="decimal"/>
      <w:lvlText w:val="%1.%2.%3.%4.%5"/>
      <w:lvlJc w:val="left"/>
      <w:pPr>
        <w:ind w:left="1996" w:hanging="1440"/>
      </w:pPr>
      <w:rPr>
        <w:rFonts w:ascii="Simplified Arabic" w:hAnsi="Simplified Arabic" w:cs="Simplified Arabic" w:hint="default"/>
      </w:rPr>
    </w:lvl>
    <w:lvl w:ilvl="5">
      <w:start w:val="1"/>
      <w:numFmt w:val="decimal"/>
      <w:lvlText w:val="%1.%2.%3.%4.%5.%6"/>
      <w:lvlJc w:val="left"/>
      <w:pPr>
        <w:ind w:left="2135" w:hanging="1440"/>
      </w:pPr>
      <w:rPr>
        <w:rFonts w:ascii="Simplified Arabic" w:hAnsi="Simplified Arabic" w:cs="Simplified Arabic" w:hint="default"/>
      </w:rPr>
    </w:lvl>
    <w:lvl w:ilvl="6">
      <w:start w:val="1"/>
      <w:numFmt w:val="decimal"/>
      <w:lvlText w:val="%1.%2.%3.%4.%5.%6.%7"/>
      <w:lvlJc w:val="left"/>
      <w:pPr>
        <w:ind w:left="2634" w:hanging="1800"/>
      </w:pPr>
      <w:rPr>
        <w:rFonts w:ascii="Simplified Arabic" w:hAnsi="Simplified Arabic" w:cs="Simplified Arabic" w:hint="default"/>
      </w:rPr>
    </w:lvl>
    <w:lvl w:ilvl="7">
      <w:start w:val="1"/>
      <w:numFmt w:val="decimal"/>
      <w:lvlText w:val="%1.%2.%3.%4.%5.%6.%7.%8"/>
      <w:lvlJc w:val="left"/>
      <w:pPr>
        <w:ind w:left="2773" w:hanging="1800"/>
      </w:pPr>
      <w:rPr>
        <w:rFonts w:ascii="Simplified Arabic" w:hAnsi="Simplified Arabic" w:cs="Simplified Arabic" w:hint="default"/>
      </w:rPr>
    </w:lvl>
    <w:lvl w:ilvl="8">
      <w:start w:val="1"/>
      <w:numFmt w:val="decimal"/>
      <w:lvlText w:val="%1.%2.%3.%4.%5.%6.%7.%8.%9"/>
      <w:lvlJc w:val="left"/>
      <w:pPr>
        <w:ind w:left="3272" w:hanging="2160"/>
      </w:pPr>
      <w:rPr>
        <w:rFonts w:ascii="Simplified Arabic" w:hAnsi="Simplified Arabic" w:cs="Simplified Arabic" w:hint="default"/>
      </w:rPr>
    </w:lvl>
  </w:abstractNum>
  <w:abstractNum w:abstractNumId="117">
    <w:nsid w:val="3A3A070E"/>
    <w:multiLevelType w:val="hybridMultilevel"/>
    <w:tmpl w:val="BE9869CE"/>
    <w:lvl w:ilvl="0" w:tplc="703E773A">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8">
    <w:nsid w:val="3A992E59"/>
    <w:multiLevelType w:val="multilevel"/>
    <w:tmpl w:val="1CDC8488"/>
    <w:lvl w:ilvl="0">
      <w:start w:val="4"/>
      <w:numFmt w:val="decimal"/>
      <w:lvlText w:val="%1."/>
      <w:lvlJc w:val="left"/>
      <w:pPr>
        <w:ind w:left="840" w:hanging="840"/>
      </w:pPr>
      <w:rPr>
        <w:rFonts w:hint="default"/>
      </w:rPr>
    </w:lvl>
    <w:lvl w:ilvl="1">
      <w:start w:val="4"/>
      <w:numFmt w:val="arabicAlpha"/>
      <w:lvlText w:val="6.%2."/>
      <w:lvlJc w:val="right"/>
      <w:pPr>
        <w:ind w:left="960" w:hanging="840"/>
      </w:pPr>
      <w:rPr>
        <w:rFonts w:hint="default"/>
        <w:b/>
        <w:bCs/>
        <w:sz w:val="22"/>
        <w:szCs w:val="24"/>
      </w:rPr>
    </w:lvl>
    <w:lvl w:ilvl="2">
      <w:start w:val="4"/>
      <w:numFmt w:val="decimal"/>
      <w:lvlText w:val="%1.%2.%3."/>
      <w:lvlJc w:val="left"/>
      <w:pPr>
        <w:ind w:left="1080" w:hanging="84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19">
    <w:nsid w:val="3AD834B8"/>
    <w:multiLevelType w:val="multilevel"/>
    <w:tmpl w:val="01206A6C"/>
    <w:lvl w:ilvl="0">
      <w:start w:val="5"/>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0">
    <w:nsid w:val="3AF92417"/>
    <w:multiLevelType w:val="multilevel"/>
    <w:tmpl w:val="04C208BC"/>
    <w:lvl w:ilvl="0">
      <w:start w:val="2"/>
      <w:numFmt w:val="decimal"/>
      <w:lvlText w:val="%1."/>
      <w:lvlJc w:val="left"/>
      <w:pPr>
        <w:ind w:left="630" w:hanging="630"/>
      </w:pPr>
      <w:rPr>
        <w:rFonts w:hint="default"/>
      </w:rPr>
    </w:lvl>
    <w:lvl w:ilvl="1">
      <w:start w:val="7"/>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21">
    <w:nsid w:val="3B07491E"/>
    <w:multiLevelType w:val="multilevel"/>
    <w:tmpl w:val="6E483976"/>
    <w:lvl w:ilvl="0">
      <w:start w:val="3"/>
      <w:numFmt w:val="decimal"/>
      <w:lvlText w:val="%1."/>
      <w:lvlJc w:val="left"/>
      <w:pPr>
        <w:ind w:left="840" w:hanging="840"/>
      </w:pPr>
      <w:rPr>
        <w:rFonts w:hint="default"/>
      </w:rPr>
    </w:lvl>
    <w:lvl w:ilvl="1">
      <w:start w:val="2"/>
      <w:numFmt w:val="decimal"/>
      <w:lvlText w:val="%1.%2."/>
      <w:lvlJc w:val="left"/>
      <w:pPr>
        <w:ind w:left="1020" w:hanging="840"/>
      </w:pPr>
      <w:rPr>
        <w:rFonts w:hint="default"/>
      </w:rPr>
    </w:lvl>
    <w:lvl w:ilvl="2">
      <w:start w:val="3"/>
      <w:numFmt w:val="decimal"/>
      <w:lvlText w:val="%1.%2.%3."/>
      <w:lvlJc w:val="left"/>
      <w:pPr>
        <w:ind w:left="1200" w:hanging="84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22">
    <w:nsid w:val="3BB7092B"/>
    <w:multiLevelType w:val="multilevel"/>
    <w:tmpl w:val="ED5EDEEC"/>
    <w:lvl w:ilvl="0">
      <w:start w:val="4"/>
      <w:numFmt w:val="decimal"/>
      <w:lvlText w:val="%1."/>
      <w:lvlJc w:val="left"/>
      <w:pPr>
        <w:ind w:left="840" w:hanging="840"/>
      </w:pPr>
      <w:rPr>
        <w:rFonts w:ascii="Simplified Arabic" w:hAnsi="Simplified Arabic" w:cs="Simplified Arabic" w:hint="default"/>
        <w:b/>
      </w:rPr>
    </w:lvl>
    <w:lvl w:ilvl="1">
      <w:start w:val="1"/>
      <w:numFmt w:val="decimal"/>
      <w:lvlText w:val="%1.%2."/>
      <w:lvlJc w:val="left"/>
      <w:pPr>
        <w:ind w:left="1980" w:hanging="840"/>
      </w:pPr>
      <w:rPr>
        <w:rFonts w:ascii="Simplified Arabic" w:hAnsi="Simplified Arabic" w:cs="Simplified Arabic" w:hint="default"/>
        <w:b/>
      </w:rPr>
    </w:lvl>
    <w:lvl w:ilvl="2">
      <w:start w:val="1"/>
      <w:numFmt w:val="decimal"/>
      <w:lvlText w:val="%1.%2.%3."/>
      <w:lvlJc w:val="left"/>
      <w:pPr>
        <w:ind w:left="3120" w:hanging="840"/>
      </w:pPr>
      <w:rPr>
        <w:rFonts w:ascii="Simplified Arabic" w:hAnsi="Simplified Arabic" w:cs="Simplified Arabic" w:hint="default"/>
        <w:b/>
      </w:rPr>
    </w:lvl>
    <w:lvl w:ilvl="3">
      <w:start w:val="2"/>
      <w:numFmt w:val="decimal"/>
      <w:lvlText w:val="%1.%2.%3.%4."/>
      <w:lvlJc w:val="left"/>
      <w:pPr>
        <w:ind w:left="4500" w:hanging="1080"/>
      </w:pPr>
      <w:rPr>
        <w:rFonts w:ascii="Simplified Arabic" w:hAnsi="Simplified Arabic" w:cs="Simplified Arabic" w:hint="default"/>
        <w:b w:val="0"/>
        <w:bCs/>
      </w:rPr>
    </w:lvl>
    <w:lvl w:ilvl="4">
      <w:start w:val="1"/>
      <w:numFmt w:val="decimal"/>
      <w:lvlText w:val="%1.%2.%3.%4.%5."/>
      <w:lvlJc w:val="left"/>
      <w:pPr>
        <w:ind w:left="5640" w:hanging="1080"/>
      </w:pPr>
      <w:rPr>
        <w:rFonts w:ascii="Simplified Arabic" w:hAnsi="Simplified Arabic" w:cs="Simplified Arabic" w:hint="default"/>
        <w:b/>
      </w:rPr>
    </w:lvl>
    <w:lvl w:ilvl="5">
      <w:start w:val="1"/>
      <w:numFmt w:val="decimal"/>
      <w:lvlText w:val="%1.%2.%3.%4.%5.%6."/>
      <w:lvlJc w:val="left"/>
      <w:pPr>
        <w:ind w:left="7140" w:hanging="1440"/>
      </w:pPr>
      <w:rPr>
        <w:rFonts w:ascii="Simplified Arabic" w:hAnsi="Simplified Arabic" w:cs="Simplified Arabic" w:hint="default"/>
        <w:b/>
      </w:rPr>
    </w:lvl>
    <w:lvl w:ilvl="6">
      <w:start w:val="1"/>
      <w:numFmt w:val="decimal"/>
      <w:lvlText w:val="%1.%2.%3.%4.%5.%6.%7."/>
      <w:lvlJc w:val="left"/>
      <w:pPr>
        <w:ind w:left="8280" w:hanging="1440"/>
      </w:pPr>
      <w:rPr>
        <w:rFonts w:ascii="Simplified Arabic" w:hAnsi="Simplified Arabic" w:cs="Simplified Arabic" w:hint="default"/>
        <w:b/>
      </w:rPr>
    </w:lvl>
    <w:lvl w:ilvl="7">
      <w:start w:val="1"/>
      <w:numFmt w:val="decimal"/>
      <w:lvlText w:val="%1.%2.%3.%4.%5.%6.%7.%8."/>
      <w:lvlJc w:val="left"/>
      <w:pPr>
        <w:ind w:left="9780" w:hanging="1800"/>
      </w:pPr>
      <w:rPr>
        <w:rFonts w:ascii="Simplified Arabic" w:hAnsi="Simplified Arabic" w:cs="Simplified Arabic" w:hint="default"/>
        <w:b/>
      </w:rPr>
    </w:lvl>
    <w:lvl w:ilvl="8">
      <w:start w:val="1"/>
      <w:numFmt w:val="decimal"/>
      <w:lvlText w:val="%1.%2.%3.%4.%5.%6.%7.%8.%9."/>
      <w:lvlJc w:val="left"/>
      <w:pPr>
        <w:ind w:left="11280" w:hanging="2160"/>
      </w:pPr>
      <w:rPr>
        <w:rFonts w:ascii="Simplified Arabic" w:hAnsi="Simplified Arabic" w:cs="Simplified Arabic" w:hint="default"/>
        <w:b/>
      </w:rPr>
    </w:lvl>
  </w:abstractNum>
  <w:abstractNum w:abstractNumId="123">
    <w:nsid w:val="3C067DB7"/>
    <w:multiLevelType w:val="multilevel"/>
    <w:tmpl w:val="D1D44020"/>
    <w:lvl w:ilvl="0">
      <w:start w:val="1"/>
      <w:numFmt w:val="arabicAlpha"/>
      <w:lvlText w:val="2.%1."/>
      <w:lvlJc w:val="right"/>
      <w:pPr>
        <w:ind w:left="840" w:hanging="840"/>
      </w:pPr>
      <w:rPr>
        <w:rFonts w:hint="default"/>
        <w:b/>
        <w:sz w:val="22"/>
        <w:szCs w:val="24"/>
      </w:rPr>
    </w:lvl>
    <w:lvl w:ilvl="1">
      <w:start w:val="2"/>
      <w:numFmt w:val="arabicAlpha"/>
      <w:lvlText w:val="6.أ.%2"/>
      <w:lvlJc w:val="right"/>
      <w:pPr>
        <w:ind w:left="960" w:hanging="840"/>
      </w:pPr>
      <w:rPr>
        <w:rFonts w:hint="default"/>
        <w:b/>
        <w:bCs/>
        <w:sz w:val="22"/>
        <w:szCs w:val="24"/>
      </w:rPr>
    </w:lvl>
    <w:lvl w:ilvl="2">
      <w:start w:val="2"/>
      <w:numFmt w:val="decimal"/>
      <w:lvlText w:val="%1.%2.%3."/>
      <w:lvlJc w:val="left"/>
      <w:pPr>
        <w:ind w:left="1080" w:hanging="840"/>
      </w:pPr>
      <w:rPr>
        <w:rFonts w:hint="default"/>
        <w:b/>
      </w:rPr>
    </w:lvl>
    <w:lvl w:ilvl="3">
      <w:start w:val="2"/>
      <w:numFmt w:val="decimal"/>
      <w:lvlText w:val="%1.%2.%3.%4."/>
      <w:lvlJc w:val="left"/>
      <w:pPr>
        <w:ind w:left="1440" w:hanging="1080"/>
      </w:pPr>
      <w:rPr>
        <w:rFonts w:hint="default"/>
        <w:b w:val="0"/>
        <w:bCs/>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124">
    <w:nsid w:val="3C13663E"/>
    <w:multiLevelType w:val="multilevel"/>
    <w:tmpl w:val="4688479A"/>
    <w:lvl w:ilvl="0">
      <w:start w:val="3"/>
      <w:numFmt w:val="decimal"/>
      <w:lvlText w:val="%1."/>
      <w:lvlJc w:val="left"/>
      <w:pPr>
        <w:ind w:left="630" w:hanging="630"/>
      </w:pPr>
      <w:rPr>
        <w:rFonts w:hint="default"/>
      </w:rPr>
    </w:lvl>
    <w:lvl w:ilvl="1">
      <w:start w:val="3"/>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25">
    <w:nsid w:val="3C6D6727"/>
    <w:multiLevelType w:val="multilevel"/>
    <w:tmpl w:val="90DE277E"/>
    <w:lvl w:ilvl="0">
      <w:start w:val="1"/>
      <w:numFmt w:val="decimal"/>
      <w:lvlText w:val="%1."/>
      <w:lvlJc w:val="left"/>
      <w:pPr>
        <w:ind w:left="840" w:hanging="840"/>
      </w:pPr>
      <w:rPr>
        <w:rFonts w:hint="default"/>
        <w:b/>
      </w:rPr>
    </w:lvl>
    <w:lvl w:ilvl="1">
      <w:start w:val="6"/>
      <w:numFmt w:val="decimal"/>
      <w:lvlText w:val="%1.%2."/>
      <w:lvlJc w:val="left"/>
      <w:pPr>
        <w:ind w:left="920" w:hanging="840"/>
      </w:pPr>
      <w:rPr>
        <w:rFonts w:hint="default"/>
        <w:b/>
      </w:rPr>
    </w:lvl>
    <w:lvl w:ilvl="2">
      <w:start w:val="6"/>
      <w:numFmt w:val="decimal"/>
      <w:lvlText w:val="%1.%2.%3."/>
      <w:lvlJc w:val="left"/>
      <w:pPr>
        <w:ind w:left="1000" w:hanging="840"/>
      </w:pPr>
      <w:rPr>
        <w:rFonts w:hint="default"/>
        <w:b/>
      </w:rPr>
    </w:lvl>
    <w:lvl w:ilvl="3">
      <w:start w:val="2"/>
      <w:numFmt w:val="decimal"/>
      <w:lvlText w:val="%1.%2.%3.%4."/>
      <w:lvlJc w:val="left"/>
      <w:pPr>
        <w:ind w:left="1320" w:hanging="1080"/>
      </w:pPr>
      <w:rPr>
        <w:rFonts w:hint="default"/>
        <w:b/>
        <w:bCs w:val="0"/>
      </w:rPr>
    </w:lvl>
    <w:lvl w:ilvl="4">
      <w:start w:val="1"/>
      <w:numFmt w:val="decimal"/>
      <w:lvlText w:val="%1.%2.%3.%4.%5."/>
      <w:lvlJc w:val="left"/>
      <w:pPr>
        <w:ind w:left="1400" w:hanging="1080"/>
      </w:pPr>
      <w:rPr>
        <w:rFonts w:hint="default"/>
        <w:b/>
      </w:rPr>
    </w:lvl>
    <w:lvl w:ilvl="5">
      <w:start w:val="1"/>
      <w:numFmt w:val="decimal"/>
      <w:lvlText w:val="%1.%2.%3.%4.%5.%6."/>
      <w:lvlJc w:val="left"/>
      <w:pPr>
        <w:ind w:left="1840" w:hanging="1440"/>
      </w:pPr>
      <w:rPr>
        <w:rFonts w:hint="default"/>
        <w:b/>
      </w:rPr>
    </w:lvl>
    <w:lvl w:ilvl="6">
      <w:start w:val="1"/>
      <w:numFmt w:val="decimal"/>
      <w:lvlText w:val="%1.%2.%3.%4.%5.%6.%7."/>
      <w:lvlJc w:val="left"/>
      <w:pPr>
        <w:ind w:left="1920" w:hanging="1440"/>
      </w:pPr>
      <w:rPr>
        <w:rFonts w:hint="default"/>
        <w:b/>
      </w:rPr>
    </w:lvl>
    <w:lvl w:ilvl="7">
      <w:start w:val="1"/>
      <w:numFmt w:val="decimal"/>
      <w:lvlText w:val="%1.%2.%3.%4.%5.%6.%7.%8."/>
      <w:lvlJc w:val="left"/>
      <w:pPr>
        <w:ind w:left="2360" w:hanging="1800"/>
      </w:pPr>
      <w:rPr>
        <w:rFonts w:hint="default"/>
        <w:b/>
      </w:rPr>
    </w:lvl>
    <w:lvl w:ilvl="8">
      <w:start w:val="1"/>
      <w:numFmt w:val="decimal"/>
      <w:lvlText w:val="%1.%2.%3.%4.%5.%6.%7.%8.%9."/>
      <w:lvlJc w:val="left"/>
      <w:pPr>
        <w:ind w:left="2440" w:hanging="1800"/>
      </w:pPr>
      <w:rPr>
        <w:rFonts w:hint="default"/>
        <w:b/>
      </w:rPr>
    </w:lvl>
  </w:abstractNum>
  <w:abstractNum w:abstractNumId="126">
    <w:nsid w:val="3C6F36C9"/>
    <w:multiLevelType w:val="multilevel"/>
    <w:tmpl w:val="6F4C491C"/>
    <w:lvl w:ilvl="0">
      <w:start w:val="2"/>
      <w:numFmt w:val="decimal"/>
      <w:lvlText w:val="%1."/>
      <w:lvlJc w:val="left"/>
      <w:pPr>
        <w:ind w:left="840" w:hanging="840"/>
      </w:pPr>
      <w:rPr>
        <w:rFonts w:hint="default"/>
      </w:rPr>
    </w:lvl>
    <w:lvl w:ilvl="1">
      <w:start w:val="5"/>
      <w:numFmt w:val="decimal"/>
      <w:lvlText w:val="%1.%2."/>
      <w:lvlJc w:val="left"/>
      <w:pPr>
        <w:ind w:left="1200" w:hanging="840"/>
      </w:pPr>
      <w:rPr>
        <w:rFonts w:hint="default"/>
      </w:rPr>
    </w:lvl>
    <w:lvl w:ilvl="2">
      <w:start w:val="1"/>
      <w:numFmt w:val="decimal"/>
      <w:lvlText w:val="%1.%2.%3."/>
      <w:lvlJc w:val="left"/>
      <w:pPr>
        <w:ind w:left="1560" w:hanging="840"/>
      </w:pPr>
      <w:rPr>
        <w:rFonts w:hint="default"/>
        <w:b/>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7">
    <w:nsid w:val="3D506F68"/>
    <w:multiLevelType w:val="hybridMultilevel"/>
    <w:tmpl w:val="3E34CE5E"/>
    <w:lvl w:ilvl="0" w:tplc="6FDA7B2C">
      <w:start w:val="1"/>
      <w:numFmt w:val="decimal"/>
      <w:lvlText w:val="%1."/>
      <w:lvlJc w:val="left"/>
      <w:pPr>
        <w:ind w:left="785" w:hanging="360"/>
      </w:pPr>
      <w:rPr>
        <w:rFonts w:ascii="Simplified Arabic" w:hAnsi="Simplified Arabic" w:cs="Simplified Arabic"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28">
    <w:nsid w:val="3D92450F"/>
    <w:multiLevelType w:val="multilevel"/>
    <w:tmpl w:val="2D5A247E"/>
    <w:lvl w:ilvl="0">
      <w:start w:val="9"/>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9">
    <w:nsid w:val="3E4C3273"/>
    <w:multiLevelType w:val="multilevel"/>
    <w:tmpl w:val="3270585C"/>
    <w:lvl w:ilvl="0">
      <w:start w:val="5"/>
      <w:numFmt w:val="decimal"/>
      <w:lvlText w:val="%1."/>
      <w:lvlJc w:val="left"/>
      <w:pPr>
        <w:ind w:left="840" w:hanging="840"/>
      </w:pPr>
      <w:rPr>
        <w:rFonts w:hint="default"/>
        <w:b/>
      </w:rPr>
    </w:lvl>
    <w:lvl w:ilvl="1">
      <w:start w:val="6"/>
      <w:numFmt w:val="decimal"/>
      <w:lvlText w:val="%1.%2."/>
      <w:lvlJc w:val="left"/>
      <w:pPr>
        <w:ind w:left="1200" w:hanging="840"/>
      </w:pPr>
      <w:rPr>
        <w:rFonts w:hint="default"/>
        <w:b/>
      </w:rPr>
    </w:lvl>
    <w:lvl w:ilvl="2">
      <w:start w:val="1"/>
      <w:numFmt w:val="decimal"/>
      <w:lvlText w:val="%1.%2.%3."/>
      <w:lvlJc w:val="left"/>
      <w:pPr>
        <w:ind w:left="1560" w:hanging="840"/>
      </w:pPr>
      <w:rPr>
        <w:rFonts w:hint="default"/>
        <w:b/>
      </w:rPr>
    </w:lvl>
    <w:lvl w:ilvl="3">
      <w:start w:val="1"/>
      <w:numFmt w:val="decimal"/>
      <w:lvlText w:val="%1.%2.%3.%4."/>
      <w:lvlJc w:val="left"/>
      <w:pPr>
        <w:ind w:left="2160" w:hanging="1080"/>
      </w:pPr>
      <w:rPr>
        <w:rFonts w:hint="default"/>
        <w:b w:val="0"/>
        <w:bCs/>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130">
    <w:nsid w:val="3E6866E9"/>
    <w:multiLevelType w:val="multilevel"/>
    <w:tmpl w:val="7652BA8C"/>
    <w:lvl w:ilvl="0">
      <w:start w:val="5"/>
      <w:numFmt w:val="decimal"/>
      <w:lvlText w:val="%1."/>
      <w:lvlJc w:val="left"/>
      <w:pPr>
        <w:ind w:left="630" w:hanging="630"/>
      </w:pPr>
      <w:rPr>
        <w:rFonts w:hint="default"/>
        <w:b/>
        <w:sz w:val="24"/>
      </w:rPr>
    </w:lvl>
    <w:lvl w:ilvl="1">
      <w:start w:val="4"/>
      <w:numFmt w:val="decimal"/>
      <w:lvlText w:val="%1.%2."/>
      <w:lvlJc w:val="left"/>
      <w:pPr>
        <w:ind w:left="810" w:hanging="630"/>
      </w:pPr>
      <w:rPr>
        <w:rFonts w:hint="default"/>
        <w:b w:val="0"/>
        <w:bCs/>
        <w:sz w:val="24"/>
      </w:rPr>
    </w:lvl>
    <w:lvl w:ilvl="2">
      <w:start w:val="1"/>
      <w:numFmt w:val="decimal"/>
      <w:lvlText w:val="%1.%2.%3."/>
      <w:lvlJc w:val="left"/>
      <w:pPr>
        <w:ind w:left="1080" w:hanging="720"/>
      </w:pPr>
      <w:rPr>
        <w:rFonts w:hint="default"/>
        <w:b w:val="0"/>
        <w:bCs/>
        <w:sz w:val="24"/>
      </w:rPr>
    </w:lvl>
    <w:lvl w:ilvl="3">
      <w:start w:val="2"/>
      <w:numFmt w:val="decimal"/>
      <w:lvlText w:val="%1.%2.%3.%4."/>
      <w:lvlJc w:val="left"/>
      <w:pPr>
        <w:ind w:left="1620" w:hanging="1080"/>
      </w:pPr>
      <w:rPr>
        <w:rFonts w:hint="default"/>
        <w:b w:val="0"/>
        <w:bCs/>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2340" w:hanging="144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3060" w:hanging="1800"/>
      </w:pPr>
      <w:rPr>
        <w:rFonts w:hint="default"/>
        <w:b/>
        <w:sz w:val="24"/>
      </w:rPr>
    </w:lvl>
    <w:lvl w:ilvl="8">
      <w:start w:val="1"/>
      <w:numFmt w:val="decimal"/>
      <w:lvlText w:val="%1.%2.%3.%4.%5.%6.%7.%8.%9."/>
      <w:lvlJc w:val="left"/>
      <w:pPr>
        <w:ind w:left="3240" w:hanging="1800"/>
      </w:pPr>
      <w:rPr>
        <w:rFonts w:hint="default"/>
        <w:b/>
        <w:sz w:val="24"/>
      </w:rPr>
    </w:lvl>
  </w:abstractNum>
  <w:abstractNum w:abstractNumId="131">
    <w:nsid w:val="3E725607"/>
    <w:multiLevelType w:val="multilevel"/>
    <w:tmpl w:val="CC927658"/>
    <w:lvl w:ilvl="0">
      <w:start w:val="2"/>
      <w:numFmt w:val="decimal"/>
      <w:lvlText w:val="%1."/>
      <w:lvlJc w:val="left"/>
      <w:pPr>
        <w:ind w:left="630" w:hanging="630"/>
      </w:pPr>
      <w:rPr>
        <w:rFonts w:ascii="Simplified Arabic" w:hAnsi="Simplified Arabic" w:cs="Simplified Arabic" w:hint="default"/>
        <w:sz w:val="24"/>
      </w:rPr>
    </w:lvl>
    <w:lvl w:ilvl="1">
      <w:start w:val="8"/>
      <w:numFmt w:val="decimal"/>
      <w:lvlText w:val="%1.%2."/>
      <w:lvlJc w:val="left"/>
      <w:pPr>
        <w:ind w:left="630" w:hanging="630"/>
      </w:pPr>
      <w:rPr>
        <w:rFonts w:ascii="Simplified Arabic" w:hAnsi="Simplified Arabic" w:cs="Simplified Arabic" w:hint="default"/>
        <w:sz w:val="24"/>
      </w:rPr>
    </w:lvl>
    <w:lvl w:ilvl="2">
      <w:start w:val="4"/>
      <w:numFmt w:val="decimal"/>
      <w:lvlText w:val="%1.%2.%3."/>
      <w:lvlJc w:val="left"/>
      <w:pPr>
        <w:ind w:left="720" w:hanging="720"/>
      </w:pPr>
      <w:rPr>
        <w:rFonts w:ascii="Simplified Arabic" w:hAnsi="Simplified Arabic" w:cs="Simplified Arabic" w:hint="default"/>
        <w:sz w:val="32"/>
        <w:szCs w:val="24"/>
      </w:rPr>
    </w:lvl>
    <w:lvl w:ilvl="3">
      <w:start w:val="1"/>
      <w:numFmt w:val="decimal"/>
      <w:lvlText w:val="%1.%2.%3.%4."/>
      <w:lvlJc w:val="left"/>
      <w:pPr>
        <w:ind w:left="720" w:hanging="720"/>
      </w:pPr>
      <w:rPr>
        <w:rFonts w:ascii="Simplified Arabic" w:hAnsi="Simplified Arabic" w:cs="Simplified Arabic" w:hint="default"/>
        <w:sz w:val="24"/>
        <w:szCs w:val="24"/>
      </w:rPr>
    </w:lvl>
    <w:lvl w:ilvl="4">
      <w:start w:val="1"/>
      <w:numFmt w:val="decimal"/>
      <w:lvlText w:val="%1.%2.%3.%4.%5."/>
      <w:lvlJc w:val="left"/>
      <w:pPr>
        <w:ind w:left="1080" w:hanging="1080"/>
      </w:pPr>
      <w:rPr>
        <w:rFonts w:ascii="Simplified Arabic" w:hAnsi="Simplified Arabic" w:cs="Simplified Arabic" w:hint="default"/>
        <w:sz w:val="24"/>
      </w:rPr>
    </w:lvl>
    <w:lvl w:ilvl="5">
      <w:start w:val="1"/>
      <w:numFmt w:val="decimal"/>
      <w:lvlText w:val="%1.%2.%3.%4.%5.%6."/>
      <w:lvlJc w:val="left"/>
      <w:pPr>
        <w:ind w:left="1080" w:hanging="1080"/>
      </w:pPr>
      <w:rPr>
        <w:rFonts w:ascii="Simplified Arabic" w:hAnsi="Simplified Arabic" w:cs="Simplified Arabic" w:hint="default"/>
        <w:sz w:val="24"/>
      </w:rPr>
    </w:lvl>
    <w:lvl w:ilvl="6">
      <w:start w:val="1"/>
      <w:numFmt w:val="decimal"/>
      <w:lvlText w:val="%1.%2.%3.%4.%5.%6.%7."/>
      <w:lvlJc w:val="left"/>
      <w:pPr>
        <w:ind w:left="1080" w:hanging="1080"/>
      </w:pPr>
      <w:rPr>
        <w:rFonts w:ascii="Simplified Arabic" w:hAnsi="Simplified Arabic" w:cs="Simplified Arabic" w:hint="default"/>
        <w:sz w:val="24"/>
      </w:rPr>
    </w:lvl>
    <w:lvl w:ilvl="7">
      <w:start w:val="1"/>
      <w:numFmt w:val="decimal"/>
      <w:lvlText w:val="%1.%2.%3.%4.%5.%6.%7.%8."/>
      <w:lvlJc w:val="left"/>
      <w:pPr>
        <w:ind w:left="1440" w:hanging="1440"/>
      </w:pPr>
      <w:rPr>
        <w:rFonts w:ascii="Simplified Arabic" w:hAnsi="Simplified Arabic" w:cs="Simplified Arabic" w:hint="default"/>
        <w:sz w:val="24"/>
      </w:rPr>
    </w:lvl>
    <w:lvl w:ilvl="8">
      <w:start w:val="1"/>
      <w:numFmt w:val="decimal"/>
      <w:lvlText w:val="%1.%2.%3.%4.%5.%6.%7.%8.%9."/>
      <w:lvlJc w:val="left"/>
      <w:pPr>
        <w:ind w:left="1440" w:hanging="1440"/>
      </w:pPr>
      <w:rPr>
        <w:rFonts w:ascii="Simplified Arabic" w:hAnsi="Simplified Arabic" w:cs="Simplified Arabic" w:hint="default"/>
        <w:sz w:val="24"/>
      </w:rPr>
    </w:lvl>
  </w:abstractNum>
  <w:abstractNum w:abstractNumId="132">
    <w:nsid w:val="3EBE316C"/>
    <w:multiLevelType w:val="multilevel"/>
    <w:tmpl w:val="67745E16"/>
    <w:lvl w:ilvl="0">
      <w:start w:val="3"/>
      <w:numFmt w:val="decimal"/>
      <w:lvlText w:val="%1."/>
      <w:lvlJc w:val="left"/>
      <w:pPr>
        <w:ind w:left="975" w:hanging="975"/>
      </w:pPr>
      <w:rPr>
        <w:rFonts w:hint="default"/>
      </w:rPr>
    </w:lvl>
    <w:lvl w:ilvl="1">
      <w:start w:val="1"/>
      <w:numFmt w:val="decimal"/>
      <w:lvlText w:val="%1.%2."/>
      <w:lvlJc w:val="left"/>
      <w:pPr>
        <w:ind w:left="975" w:hanging="975"/>
      </w:pPr>
      <w:rPr>
        <w:rFonts w:hint="default"/>
      </w:rPr>
    </w:lvl>
    <w:lvl w:ilvl="2">
      <w:start w:val="10"/>
      <w:numFmt w:val="decimal"/>
      <w:lvlText w:val="%1.%2.%3."/>
      <w:lvlJc w:val="left"/>
      <w:pPr>
        <w:ind w:left="975" w:hanging="975"/>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3">
    <w:nsid w:val="3EE10193"/>
    <w:multiLevelType w:val="multilevel"/>
    <w:tmpl w:val="423C792A"/>
    <w:lvl w:ilvl="0">
      <w:start w:val="2"/>
      <w:numFmt w:val="decimal"/>
      <w:lvlText w:val="%1."/>
      <w:lvlJc w:val="left"/>
      <w:pPr>
        <w:ind w:left="840" w:hanging="840"/>
      </w:pPr>
      <w:rPr>
        <w:rFonts w:hint="default"/>
      </w:rPr>
    </w:lvl>
    <w:lvl w:ilvl="1">
      <w:start w:val="2"/>
      <w:numFmt w:val="decimal"/>
      <w:lvlText w:val="%1.%2."/>
      <w:lvlJc w:val="left"/>
      <w:pPr>
        <w:ind w:left="1020" w:hanging="840"/>
      </w:pPr>
      <w:rPr>
        <w:rFonts w:hint="default"/>
      </w:rPr>
    </w:lvl>
    <w:lvl w:ilvl="2">
      <w:start w:val="2"/>
      <w:numFmt w:val="decimal"/>
      <w:lvlText w:val="%1.%2.%3."/>
      <w:lvlJc w:val="left"/>
      <w:pPr>
        <w:ind w:left="1200" w:hanging="84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34">
    <w:nsid w:val="3F990421"/>
    <w:multiLevelType w:val="hybridMultilevel"/>
    <w:tmpl w:val="2C7E3F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5">
    <w:nsid w:val="3FD17302"/>
    <w:multiLevelType w:val="hybridMultilevel"/>
    <w:tmpl w:val="117AEF8C"/>
    <w:lvl w:ilvl="0" w:tplc="2CD6997E">
      <w:start w:val="1"/>
      <w:numFmt w:val="decimal"/>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36">
    <w:nsid w:val="3FF14801"/>
    <w:multiLevelType w:val="multilevel"/>
    <w:tmpl w:val="6F0827B2"/>
    <w:lvl w:ilvl="0">
      <w:start w:val="6"/>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7">
    <w:nsid w:val="3FFB5021"/>
    <w:multiLevelType w:val="hybridMultilevel"/>
    <w:tmpl w:val="2500DB68"/>
    <w:lvl w:ilvl="0" w:tplc="2DC8C968">
      <w:start w:val="1"/>
      <w:numFmt w:val="arabicAlpha"/>
      <w:lvlText w:val="%1-"/>
      <w:lvlJc w:val="left"/>
      <w:pPr>
        <w:ind w:left="642" w:hanging="360"/>
      </w:pPr>
      <w:rPr>
        <w:rFonts w:hint="default"/>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38">
    <w:nsid w:val="400E26E6"/>
    <w:multiLevelType w:val="multilevel"/>
    <w:tmpl w:val="03B6C0A2"/>
    <w:lvl w:ilvl="0">
      <w:start w:val="5"/>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39">
    <w:nsid w:val="40105CAD"/>
    <w:multiLevelType w:val="hybridMultilevel"/>
    <w:tmpl w:val="66346658"/>
    <w:lvl w:ilvl="0" w:tplc="AA1CA36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0">
    <w:nsid w:val="401A6863"/>
    <w:multiLevelType w:val="hybridMultilevel"/>
    <w:tmpl w:val="85C427BE"/>
    <w:lvl w:ilvl="0" w:tplc="F84C37C0">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1">
    <w:nsid w:val="40857FAD"/>
    <w:multiLevelType w:val="hybridMultilevel"/>
    <w:tmpl w:val="334EC4DE"/>
    <w:lvl w:ilvl="0" w:tplc="1C34695E">
      <w:start w:val="1"/>
      <w:numFmt w:val="decimal"/>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2">
    <w:nsid w:val="414D711C"/>
    <w:multiLevelType w:val="hybridMultilevel"/>
    <w:tmpl w:val="9D34547A"/>
    <w:lvl w:ilvl="0" w:tplc="0524B6F0">
      <w:numFmt w:val="bullet"/>
      <w:lvlText w:val="-"/>
      <w:lvlJc w:val="left"/>
      <w:pPr>
        <w:ind w:left="642" w:hanging="360"/>
      </w:pPr>
      <w:rPr>
        <w:rFonts w:ascii="Simplified Arabic" w:eastAsiaTheme="minorHAnsi" w:hAnsi="Simplified Arabic" w:cs="Simplified Arabic" w:hint="default"/>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143">
    <w:nsid w:val="41813085"/>
    <w:multiLevelType w:val="hybridMultilevel"/>
    <w:tmpl w:val="A10A8FE0"/>
    <w:lvl w:ilvl="0" w:tplc="1F32465A">
      <w:start w:val="1"/>
      <w:numFmt w:val="decimal"/>
      <w:lvlText w:val="%1."/>
      <w:lvlJc w:val="left"/>
      <w:pPr>
        <w:ind w:left="720" w:hanging="360"/>
      </w:pPr>
      <w:rPr>
        <w:rFonts w:hint="default"/>
        <w:color w:val="000000" w:themeColor="text1"/>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4">
    <w:nsid w:val="41BB6D8F"/>
    <w:multiLevelType w:val="multilevel"/>
    <w:tmpl w:val="76865350"/>
    <w:lvl w:ilvl="0">
      <w:start w:val="7"/>
      <w:numFmt w:val="decimal"/>
      <w:lvlText w:val="%1."/>
      <w:lvlJc w:val="left"/>
      <w:pPr>
        <w:ind w:left="840" w:hanging="840"/>
      </w:pPr>
      <w:rPr>
        <w:rFonts w:hint="default"/>
      </w:rPr>
    </w:lvl>
    <w:lvl w:ilvl="1">
      <w:start w:val="4"/>
      <w:numFmt w:val="decimal"/>
      <w:lvlText w:val="%1.%2."/>
      <w:lvlJc w:val="left"/>
      <w:pPr>
        <w:ind w:left="960" w:hanging="840"/>
      </w:pPr>
      <w:rPr>
        <w:rFonts w:hint="default"/>
      </w:rPr>
    </w:lvl>
    <w:lvl w:ilvl="2">
      <w:start w:val="4"/>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45">
    <w:nsid w:val="428F2F6E"/>
    <w:multiLevelType w:val="multilevel"/>
    <w:tmpl w:val="21C6FA2A"/>
    <w:lvl w:ilvl="0">
      <w:start w:val="1"/>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46">
    <w:nsid w:val="434D35AA"/>
    <w:multiLevelType w:val="multilevel"/>
    <w:tmpl w:val="F9E42906"/>
    <w:lvl w:ilvl="0">
      <w:start w:val="2"/>
      <w:numFmt w:val="decimal"/>
      <w:lvlText w:val="%1."/>
      <w:lvlJc w:val="left"/>
      <w:pPr>
        <w:ind w:left="840" w:hanging="840"/>
      </w:pPr>
      <w:rPr>
        <w:rFonts w:hint="default"/>
      </w:rPr>
    </w:lvl>
    <w:lvl w:ilvl="1">
      <w:start w:val="2"/>
      <w:numFmt w:val="decimal"/>
      <w:lvlText w:val="%1.%2."/>
      <w:lvlJc w:val="left"/>
      <w:pPr>
        <w:ind w:left="960" w:hanging="840"/>
      </w:pPr>
      <w:rPr>
        <w:rFonts w:hint="default"/>
      </w:rPr>
    </w:lvl>
    <w:lvl w:ilvl="2">
      <w:start w:val="6"/>
      <w:numFmt w:val="decimal"/>
      <w:lvlText w:val="%1.%2.%3."/>
      <w:lvlJc w:val="left"/>
      <w:pPr>
        <w:ind w:left="1080" w:hanging="840"/>
      </w:pPr>
      <w:rPr>
        <w:rFonts w:hint="default"/>
      </w:rPr>
    </w:lvl>
    <w:lvl w:ilvl="3">
      <w:start w:val="6"/>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47">
    <w:nsid w:val="43706713"/>
    <w:multiLevelType w:val="multilevel"/>
    <w:tmpl w:val="9126EF98"/>
    <w:lvl w:ilvl="0">
      <w:start w:val="2"/>
      <w:numFmt w:val="decimal"/>
      <w:lvlText w:val="%1."/>
      <w:lvlJc w:val="left"/>
      <w:pPr>
        <w:ind w:left="840" w:hanging="840"/>
      </w:pPr>
      <w:rPr>
        <w:rFonts w:hint="default"/>
      </w:rPr>
    </w:lvl>
    <w:lvl w:ilvl="1">
      <w:start w:val="2"/>
      <w:numFmt w:val="decimal"/>
      <w:lvlText w:val="%1.%2."/>
      <w:lvlJc w:val="left"/>
      <w:pPr>
        <w:ind w:left="900" w:hanging="840"/>
      </w:pPr>
      <w:rPr>
        <w:rFonts w:hint="default"/>
      </w:rPr>
    </w:lvl>
    <w:lvl w:ilvl="2">
      <w:start w:val="8"/>
      <w:numFmt w:val="decimal"/>
      <w:lvlText w:val="%1.%2.%3."/>
      <w:lvlJc w:val="left"/>
      <w:pPr>
        <w:ind w:left="960" w:hanging="840"/>
      </w:pPr>
      <w:rPr>
        <w:rFonts w:hint="default"/>
      </w:rPr>
    </w:lvl>
    <w:lvl w:ilvl="3">
      <w:start w:val="4"/>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48">
    <w:nsid w:val="44BE6905"/>
    <w:multiLevelType w:val="multilevel"/>
    <w:tmpl w:val="D53E48FE"/>
    <w:lvl w:ilvl="0">
      <w:start w:val="4"/>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9">
    <w:nsid w:val="44D72487"/>
    <w:multiLevelType w:val="hybridMultilevel"/>
    <w:tmpl w:val="2F928426"/>
    <w:lvl w:ilvl="0" w:tplc="92728BE0">
      <w:start w:val="1"/>
      <w:numFmt w:val="bullet"/>
      <w:lvlText w:val="o"/>
      <w:lvlJc w:val="left"/>
      <w:pPr>
        <w:ind w:left="720" w:hanging="360"/>
      </w:pPr>
      <w:rPr>
        <w:rFonts w:ascii="Courier New" w:hAnsi="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0">
    <w:nsid w:val="44FC3BC3"/>
    <w:multiLevelType w:val="multilevel"/>
    <w:tmpl w:val="F808CC5C"/>
    <w:lvl w:ilvl="0">
      <w:start w:val="1"/>
      <w:numFmt w:val="arabicAlpha"/>
      <w:lvlText w:val="6.%1."/>
      <w:lvlJc w:val="right"/>
      <w:pPr>
        <w:ind w:left="840" w:hanging="840"/>
      </w:pPr>
      <w:rPr>
        <w:rFonts w:hint="default"/>
        <w:b/>
        <w:bCs/>
        <w:sz w:val="22"/>
        <w:szCs w:val="24"/>
      </w:rPr>
    </w:lvl>
    <w:lvl w:ilvl="1">
      <w:start w:val="1"/>
      <w:numFmt w:val="arabicAlpha"/>
      <w:lvlText w:val="6.أ.%2"/>
      <w:lvlJc w:val="right"/>
      <w:pPr>
        <w:ind w:left="960" w:hanging="840"/>
      </w:pPr>
      <w:rPr>
        <w:rFonts w:hint="default"/>
        <w:b/>
        <w:bCs/>
        <w:sz w:val="22"/>
        <w:szCs w:val="24"/>
      </w:rPr>
    </w:lvl>
    <w:lvl w:ilvl="2">
      <w:start w:val="2"/>
      <w:numFmt w:val="decimal"/>
      <w:lvlText w:val="%1.%2.%3."/>
      <w:lvlJc w:val="left"/>
      <w:pPr>
        <w:ind w:left="1080" w:hanging="840"/>
      </w:pPr>
      <w:rPr>
        <w:rFonts w:hint="default"/>
        <w:b/>
      </w:rPr>
    </w:lvl>
    <w:lvl w:ilvl="3">
      <w:start w:val="2"/>
      <w:numFmt w:val="decimal"/>
      <w:lvlText w:val="%1.%2.%3.%4."/>
      <w:lvlJc w:val="left"/>
      <w:pPr>
        <w:ind w:left="1440" w:hanging="1080"/>
      </w:pPr>
      <w:rPr>
        <w:rFonts w:hint="default"/>
        <w:b w:val="0"/>
        <w:bCs/>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151">
    <w:nsid w:val="452A246A"/>
    <w:multiLevelType w:val="multilevel"/>
    <w:tmpl w:val="21EE1038"/>
    <w:lvl w:ilvl="0">
      <w:start w:val="1"/>
      <w:numFmt w:val="decimal"/>
      <w:lvlText w:val="%1."/>
      <w:lvlJc w:val="left"/>
      <w:pPr>
        <w:ind w:left="630" w:hanging="630"/>
      </w:pPr>
      <w:rPr>
        <w:rFonts w:hint="default"/>
        <w:sz w:val="24"/>
      </w:rPr>
    </w:lvl>
    <w:lvl w:ilvl="1">
      <w:start w:val="4"/>
      <w:numFmt w:val="decimal"/>
      <w:lvlText w:val="%1.%2."/>
      <w:lvlJc w:val="left"/>
      <w:pPr>
        <w:ind w:left="900" w:hanging="720"/>
      </w:pPr>
      <w:rPr>
        <w:rFonts w:hint="default"/>
        <w:sz w:val="24"/>
      </w:rPr>
    </w:lvl>
    <w:lvl w:ilvl="2">
      <w:start w:val="2"/>
      <w:numFmt w:val="decimal"/>
      <w:lvlText w:val="%1.%2.%3."/>
      <w:lvlJc w:val="left"/>
      <w:pPr>
        <w:ind w:left="1080" w:hanging="720"/>
      </w:pPr>
      <w:rPr>
        <w:rFonts w:ascii="Simplified Arabic" w:hAnsi="Simplified Arabic" w:cs="Simplified Arabic" w:hint="default"/>
        <w:b/>
        <w:bCs/>
        <w:sz w:val="22"/>
        <w:szCs w:val="24"/>
      </w:rPr>
    </w:lvl>
    <w:lvl w:ilvl="3">
      <w:start w:val="3"/>
      <w:numFmt w:val="decimal"/>
      <w:lvlText w:val="%1.%2.%3.%4."/>
      <w:lvlJc w:val="left"/>
      <w:pPr>
        <w:ind w:left="1620" w:hanging="1080"/>
      </w:pPr>
      <w:rPr>
        <w:rFonts w:ascii="Simplified Arabic" w:hAnsi="Simplified Arabic" w:cs="Simplified Arabic" w:hint="default"/>
        <w:b/>
        <w:bCs/>
        <w:sz w:val="24"/>
        <w:szCs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152">
    <w:nsid w:val="458824B1"/>
    <w:multiLevelType w:val="multilevel"/>
    <w:tmpl w:val="DE2A885A"/>
    <w:lvl w:ilvl="0">
      <w:start w:val="3"/>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3">
    <w:nsid w:val="463A56EC"/>
    <w:multiLevelType w:val="multilevel"/>
    <w:tmpl w:val="6CE4E822"/>
    <w:lvl w:ilvl="0">
      <w:start w:val="5"/>
      <w:numFmt w:val="decimal"/>
      <w:lvlText w:val="%1."/>
      <w:lvlJc w:val="left"/>
      <w:pPr>
        <w:ind w:left="630" w:hanging="630"/>
      </w:pPr>
      <w:rPr>
        <w:rFonts w:hint="default"/>
        <w:b/>
        <w:color w:val="000000"/>
      </w:rPr>
    </w:lvl>
    <w:lvl w:ilvl="1">
      <w:start w:val="2"/>
      <w:numFmt w:val="decimal"/>
      <w:lvlText w:val="%1.%2."/>
      <w:lvlJc w:val="left"/>
      <w:pPr>
        <w:ind w:left="900" w:hanging="720"/>
      </w:pPr>
      <w:rPr>
        <w:rFonts w:hint="default"/>
        <w:b/>
        <w:color w:val="000000"/>
      </w:rPr>
    </w:lvl>
    <w:lvl w:ilvl="2">
      <w:start w:val="6"/>
      <w:numFmt w:val="decimal"/>
      <w:lvlText w:val="%1.%2.%3."/>
      <w:lvlJc w:val="left"/>
      <w:pPr>
        <w:ind w:left="1080" w:hanging="720"/>
      </w:pPr>
      <w:rPr>
        <w:rFonts w:hint="default"/>
        <w:b w:val="0"/>
        <w:bCs/>
        <w:color w:val="000000"/>
      </w:rPr>
    </w:lvl>
    <w:lvl w:ilvl="3">
      <w:start w:val="1"/>
      <w:numFmt w:val="decimal"/>
      <w:lvlText w:val="%1.%2.%3.%4."/>
      <w:lvlJc w:val="left"/>
      <w:pPr>
        <w:ind w:left="1620" w:hanging="108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2340" w:hanging="144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3060" w:hanging="180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154">
    <w:nsid w:val="46A14098"/>
    <w:multiLevelType w:val="multilevel"/>
    <w:tmpl w:val="5024EE0A"/>
    <w:lvl w:ilvl="0">
      <w:start w:val="3"/>
      <w:numFmt w:val="decimal"/>
      <w:lvlText w:val="%1."/>
      <w:lvlJc w:val="left"/>
      <w:pPr>
        <w:ind w:left="720" w:hanging="360"/>
      </w:pPr>
      <w:rPr>
        <w:rFonts w:hint="default"/>
        <w:b/>
        <w:bCs/>
        <w:sz w:val="24"/>
        <w:szCs w:val="24"/>
      </w:rPr>
    </w:lvl>
    <w:lvl w:ilvl="1">
      <w:start w:val="3"/>
      <w:numFmt w:val="decimal"/>
      <w:isLgl/>
      <w:lvlText w:val="%1.%2."/>
      <w:lvlJc w:val="left"/>
      <w:pPr>
        <w:ind w:left="1080" w:hanging="72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5">
    <w:nsid w:val="46F56B7D"/>
    <w:multiLevelType w:val="multilevel"/>
    <w:tmpl w:val="BB727784"/>
    <w:lvl w:ilvl="0">
      <w:start w:val="4"/>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6">
    <w:nsid w:val="47803563"/>
    <w:multiLevelType w:val="multilevel"/>
    <w:tmpl w:val="43EE7A0E"/>
    <w:lvl w:ilvl="0">
      <w:start w:val="1"/>
      <w:numFmt w:val="decimal"/>
      <w:lvlText w:val="%1."/>
      <w:lvlJc w:val="left"/>
      <w:pPr>
        <w:ind w:left="420" w:hanging="420"/>
      </w:pPr>
      <w:rPr>
        <w:rFonts w:hint="default"/>
      </w:rPr>
    </w:lvl>
    <w:lvl w:ilvl="1">
      <w:start w:val="4"/>
      <w:numFmt w:val="decimal"/>
      <w:lvlText w:val="%1.%2."/>
      <w:lvlJc w:val="left"/>
      <w:pPr>
        <w:ind w:left="720" w:hanging="720"/>
      </w:pPr>
      <w:rPr>
        <w:rFonts w:hint="default"/>
        <w:b/>
        <w:bCs/>
      </w:rPr>
    </w:lvl>
    <w:lvl w:ilvl="2">
      <w:start w:val="6"/>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7">
    <w:nsid w:val="47D215A7"/>
    <w:multiLevelType w:val="multilevel"/>
    <w:tmpl w:val="23DACDAA"/>
    <w:lvl w:ilvl="0">
      <w:start w:val="4"/>
      <w:numFmt w:val="decimal"/>
      <w:lvlText w:val="%1."/>
      <w:lvlJc w:val="left"/>
      <w:pPr>
        <w:ind w:left="840" w:hanging="840"/>
      </w:pPr>
      <w:rPr>
        <w:rFonts w:hint="default"/>
      </w:rPr>
    </w:lvl>
    <w:lvl w:ilvl="1">
      <w:start w:val="4"/>
      <w:numFmt w:val="arabicAlpha"/>
      <w:lvlText w:val="2.%2."/>
      <w:lvlJc w:val="right"/>
      <w:pPr>
        <w:ind w:left="1019" w:hanging="840"/>
      </w:pPr>
      <w:rPr>
        <w:rFonts w:hint="default"/>
        <w:b/>
        <w:bCs/>
        <w:sz w:val="22"/>
        <w:szCs w:val="24"/>
      </w:rPr>
    </w:lvl>
    <w:lvl w:ilvl="2">
      <w:start w:val="4"/>
      <w:numFmt w:val="decimal"/>
      <w:lvlText w:val="%1.%2.%3."/>
      <w:lvlJc w:val="left"/>
      <w:pPr>
        <w:ind w:left="1198" w:hanging="840"/>
      </w:pPr>
      <w:rPr>
        <w:rFonts w:hint="default"/>
      </w:rPr>
    </w:lvl>
    <w:lvl w:ilvl="3">
      <w:start w:val="3"/>
      <w:numFmt w:val="decimal"/>
      <w:lvlText w:val="%1.%2.%3.%4."/>
      <w:lvlJc w:val="left"/>
      <w:pPr>
        <w:ind w:left="1617" w:hanging="1080"/>
      </w:pPr>
      <w:rPr>
        <w:rFonts w:hint="default"/>
      </w:rPr>
    </w:lvl>
    <w:lvl w:ilvl="4">
      <w:start w:val="1"/>
      <w:numFmt w:val="decimal"/>
      <w:lvlText w:val="%1.%2.%3.%4.%5."/>
      <w:lvlJc w:val="left"/>
      <w:pPr>
        <w:ind w:left="1796" w:hanging="1080"/>
      </w:pPr>
      <w:rPr>
        <w:rFonts w:hint="default"/>
      </w:rPr>
    </w:lvl>
    <w:lvl w:ilvl="5">
      <w:start w:val="1"/>
      <w:numFmt w:val="decimal"/>
      <w:lvlText w:val="%1.%2.%3.%4.%5.%6."/>
      <w:lvlJc w:val="left"/>
      <w:pPr>
        <w:ind w:left="2335" w:hanging="1440"/>
      </w:pPr>
      <w:rPr>
        <w:rFonts w:hint="default"/>
      </w:rPr>
    </w:lvl>
    <w:lvl w:ilvl="6">
      <w:start w:val="1"/>
      <w:numFmt w:val="decimal"/>
      <w:lvlText w:val="%1.%2.%3.%4.%5.%6.%7."/>
      <w:lvlJc w:val="left"/>
      <w:pPr>
        <w:ind w:left="2514" w:hanging="1440"/>
      </w:pPr>
      <w:rPr>
        <w:rFonts w:hint="default"/>
      </w:rPr>
    </w:lvl>
    <w:lvl w:ilvl="7">
      <w:start w:val="1"/>
      <w:numFmt w:val="decimal"/>
      <w:lvlText w:val="%1.%2.%3.%4.%5.%6.%7.%8."/>
      <w:lvlJc w:val="left"/>
      <w:pPr>
        <w:ind w:left="3053" w:hanging="1800"/>
      </w:pPr>
      <w:rPr>
        <w:rFonts w:hint="default"/>
      </w:rPr>
    </w:lvl>
    <w:lvl w:ilvl="8">
      <w:start w:val="1"/>
      <w:numFmt w:val="decimal"/>
      <w:lvlText w:val="%1.%2.%3.%4.%5.%6.%7.%8.%9."/>
      <w:lvlJc w:val="left"/>
      <w:pPr>
        <w:ind w:left="3232" w:hanging="1800"/>
      </w:pPr>
      <w:rPr>
        <w:rFonts w:hint="default"/>
      </w:rPr>
    </w:lvl>
  </w:abstractNum>
  <w:abstractNum w:abstractNumId="158">
    <w:nsid w:val="480105DE"/>
    <w:multiLevelType w:val="multilevel"/>
    <w:tmpl w:val="A79C7BF6"/>
    <w:lvl w:ilvl="0">
      <w:start w:val="3"/>
      <w:numFmt w:val="decimal"/>
      <w:lvlText w:val="%1."/>
      <w:lvlJc w:val="left"/>
      <w:pPr>
        <w:ind w:left="840" w:hanging="840"/>
      </w:pPr>
      <w:rPr>
        <w:rFonts w:hint="default"/>
      </w:rPr>
    </w:lvl>
    <w:lvl w:ilvl="1">
      <w:start w:val="1"/>
      <w:numFmt w:val="decimal"/>
      <w:lvlText w:val="%1.%2."/>
      <w:lvlJc w:val="left"/>
      <w:pPr>
        <w:ind w:left="1200" w:hanging="840"/>
      </w:pPr>
      <w:rPr>
        <w:rFonts w:hint="default"/>
      </w:rPr>
    </w:lvl>
    <w:lvl w:ilvl="2">
      <w:start w:val="1"/>
      <w:numFmt w:val="decimal"/>
      <w:lvlText w:val="%1.%2.%3."/>
      <w:lvlJc w:val="left"/>
      <w:pPr>
        <w:ind w:left="1560" w:hanging="840"/>
      </w:pPr>
      <w:rPr>
        <w:rFonts w:hint="default"/>
      </w:rPr>
    </w:lvl>
    <w:lvl w:ilvl="3">
      <w:start w:val="2"/>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9">
    <w:nsid w:val="4802365A"/>
    <w:multiLevelType w:val="hybridMultilevel"/>
    <w:tmpl w:val="C42A2D94"/>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160">
    <w:nsid w:val="485C3F49"/>
    <w:multiLevelType w:val="hybridMultilevel"/>
    <w:tmpl w:val="53B82124"/>
    <w:lvl w:ilvl="0" w:tplc="6428EB88">
      <w:start w:val="1860"/>
      <w:numFmt w:val="bullet"/>
      <w:lvlText w:val=""/>
      <w:lvlJc w:val="left"/>
      <w:pPr>
        <w:ind w:left="435" w:hanging="360"/>
      </w:pPr>
      <w:rPr>
        <w:rFonts w:ascii="Symbol" w:eastAsiaTheme="minorHAnsi" w:hAnsi="Symbol" w:cs="Simplified Arabic"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161">
    <w:nsid w:val="48675096"/>
    <w:multiLevelType w:val="hybridMultilevel"/>
    <w:tmpl w:val="FAEA7F26"/>
    <w:lvl w:ilvl="0" w:tplc="19D0BB6C">
      <w:start w:val="100"/>
      <w:numFmt w:val="bullet"/>
      <w:lvlText w:val=""/>
      <w:lvlJc w:val="left"/>
      <w:pPr>
        <w:ind w:left="720" w:hanging="360"/>
      </w:pPr>
      <w:rPr>
        <w:rFonts w:ascii="Symbol" w:eastAsiaTheme="minorHAnsi" w:hAnsi="Symbol" w:cs="Simplified Arabic" w:hint="default"/>
        <w:sz w:val="24"/>
      </w:rPr>
    </w:lvl>
    <w:lvl w:ilvl="1" w:tplc="C186CCAE">
      <w:start w:val="4"/>
      <w:numFmt w:val="bullet"/>
      <w:lvlText w:val="-"/>
      <w:lvlJc w:val="left"/>
      <w:pPr>
        <w:ind w:left="1440" w:hanging="360"/>
      </w:pPr>
      <w:rPr>
        <w:rFonts w:ascii="Simplified Arabic" w:eastAsiaTheme="minorHAnsi" w:hAnsi="Simplified Arabic" w:cs="Simplified Arabic" w:hint="default"/>
        <w:b/>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2">
    <w:nsid w:val="48872B70"/>
    <w:multiLevelType w:val="multilevel"/>
    <w:tmpl w:val="A3521BD8"/>
    <w:lvl w:ilvl="0">
      <w:start w:val="2"/>
      <w:numFmt w:val="decimal"/>
      <w:lvlText w:val="%1."/>
      <w:lvlJc w:val="left"/>
      <w:pPr>
        <w:ind w:left="840" w:hanging="840"/>
      </w:pPr>
      <w:rPr>
        <w:rFonts w:hint="default"/>
      </w:rPr>
    </w:lvl>
    <w:lvl w:ilvl="1">
      <w:start w:val="2"/>
      <w:numFmt w:val="arabicAlpha"/>
      <w:lvlText w:val="2.%2."/>
      <w:lvlJc w:val="right"/>
      <w:pPr>
        <w:ind w:left="960" w:hanging="840"/>
      </w:pPr>
      <w:rPr>
        <w:rFonts w:hint="default"/>
        <w:b/>
        <w:bCs/>
        <w:sz w:val="22"/>
        <w:szCs w:val="24"/>
      </w:rPr>
    </w:lvl>
    <w:lvl w:ilvl="2">
      <w:start w:val="4"/>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63">
    <w:nsid w:val="48A47981"/>
    <w:multiLevelType w:val="multilevel"/>
    <w:tmpl w:val="78E8E968"/>
    <w:lvl w:ilvl="0">
      <w:start w:val="7"/>
      <w:numFmt w:val="decimal"/>
      <w:lvlText w:val="%1."/>
      <w:lvlJc w:val="left"/>
      <w:pPr>
        <w:ind w:left="840" w:hanging="840"/>
      </w:pPr>
      <w:rPr>
        <w:rFonts w:hint="default"/>
      </w:rPr>
    </w:lvl>
    <w:lvl w:ilvl="1">
      <w:start w:val="7"/>
      <w:numFmt w:val="arabicAlpha"/>
      <w:lvlText w:val="2.%2."/>
      <w:lvlJc w:val="right"/>
      <w:pPr>
        <w:ind w:left="960" w:hanging="840"/>
      </w:pPr>
      <w:rPr>
        <w:rFonts w:hint="default"/>
        <w:b/>
        <w:bCs/>
        <w:sz w:val="22"/>
        <w:szCs w:val="24"/>
      </w:rPr>
    </w:lvl>
    <w:lvl w:ilvl="2">
      <w:start w:val="4"/>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64">
    <w:nsid w:val="490C1DD6"/>
    <w:multiLevelType w:val="multilevel"/>
    <w:tmpl w:val="5E542840"/>
    <w:lvl w:ilvl="0">
      <w:start w:val="6"/>
      <w:numFmt w:val="decimal"/>
      <w:lvlText w:val="%1."/>
      <w:lvlJc w:val="left"/>
      <w:pPr>
        <w:ind w:left="840" w:hanging="840"/>
      </w:pPr>
      <w:rPr>
        <w:rFonts w:hint="default"/>
        <w:b/>
      </w:rPr>
    </w:lvl>
    <w:lvl w:ilvl="1">
      <w:start w:val="6"/>
      <w:numFmt w:val="decimal"/>
      <w:lvlText w:val="%1.%2."/>
      <w:lvlJc w:val="left"/>
      <w:pPr>
        <w:ind w:left="960" w:hanging="840"/>
      </w:pPr>
      <w:rPr>
        <w:rFonts w:hint="default"/>
        <w:b w:val="0"/>
        <w:bCs/>
      </w:rPr>
    </w:lvl>
    <w:lvl w:ilvl="2">
      <w:start w:val="2"/>
      <w:numFmt w:val="decimal"/>
      <w:lvlText w:val="%1.%2.%3."/>
      <w:lvlJc w:val="left"/>
      <w:pPr>
        <w:ind w:left="1080" w:hanging="840"/>
      </w:pPr>
      <w:rPr>
        <w:rFonts w:hint="default"/>
        <w:b/>
      </w:rPr>
    </w:lvl>
    <w:lvl w:ilvl="3">
      <w:start w:val="2"/>
      <w:numFmt w:val="decimal"/>
      <w:lvlText w:val="%1.%2.%3.%4."/>
      <w:lvlJc w:val="left"/>
      <w:pPr>
        <w:ind w:left="1440" w:hanging="1080"/>
      </w:pPr>
      <w:rPr>
        <w:rFonts w:hint="default"/>
        <w:b w:val="0"/>
        <w:bCs/>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165">
    <w:nsid w:val="492135EA"/>
    <w:multiLevelType w:val="multilevel"/>
    <w:tmpl w:val="513C0442"/>
    <w:lvl w:ilvl="0">
      <w:start w:val="6"/>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6">
    <w:nsid w:val="49657B1E"/>
    <w:multiLevelType w:val="multilevel"/>
    <w:tmpl w:val="1C96FC16"/>
    <w:lvl w:ilvl="0">
      <w:start w:val="2"/>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7">
    <w:nsid w:val="498D6911"/>
    <w:multiLevelType w:val="multilevel"/>
    <w:tmpl w:val="D9760654"/>
    <w:lvl w:ilvl="0">
      <w:start w:val="1"/>
      <w:numFmt w:val="decimal"/>
      <w:lvlText w:val="%1."/>
      <w:lvlJc w:val="left"/>
      <w:pPr>
        <w:ind w:left="630" w:hanging="630"/>
      </w:pPr>
      <w:rPr>
        <w:rFonts w:ascii="Simplified Arabic" w:hAnsi="Simplified Arabic" w:cs="Simplified Arabic" w:hint="default"/>
        <w:b/>
        <w:sz w:val="24"/>
      </w:rPr>
    </w:lvl>
    <w:lvl w:ilvl="1">
      <w:start w:val="4"/>
      <w:numFmt w:val="decimal"/>
      <w:lvlText w:val="%1.%2."/>
      <w:lvlJc w:val="left"/>
      <w:pPr>
        <w:ind w:left="900" w:hanging="720"/>
      </w:pPr>
      <w:rPr>
        <w:rFonts w:ascii="Simplified Arabic" w:hAnsi="Simplified Arabic" w:cs="Simplified Arabic" w:hint="default"/>
        <w:b/>
        <w:sz w:val="24"/>
      </w:rPr>
    </w:lvl>
    <w:lvl w:ilvl="2">
      <w:start w:val="2"/>
      <w:numFmt w:val="decimal"/>
      <w:lvlText w:val="%1.%2.%3."/>
      <w:lvlJc w:val="left"/>
      <w:pPr>
        <w:ind w:left="1080" w:hanging="720"/>
      </w:pPr>
      <w:rPr>
        <w:rFonts w:ascii="Simplified Arabic" w:hAnsi="Simplified Arabic" w:cs="Simplified Arabic" w:hint="default"/>
        <w:b/>
        <w:bCs w:val="0"/>
        <w:sz w:val="22"/>
        <w:szCs w:val="24"/>
        <w:lang w:val="fr-FR"/>
      </w:rPr>
    </w:lvl>
    <w:lvl w:ilvl="3">
      <w:start w:val="1"/>
      <w:numFmt w:val="decimal"/>
      <w:lvlText w:val="%1.%2.%3.%4."/>
      <w:lvlJc w:val="left"/>
      <w:pPr>
        <w:ind w:left="1620" w:hanging="1080"/>
      </w:pPr>
      <w:rPr>
        <w:rFonts w:ascii="Simplified Arabic" w:hAnsi="Simplified Arabic" w:cs="Simplified Arabic" w:hint="default"/>
        <w:b/>
        <w:sz w:val="24"/>
      </w:rPr>
    </w:lvl>
    <w:lvl w:ilvl="4">
      <w:start w:val="1"/>
      <w:numFmt w:val="decimal"/>
      <w:lvlText w:val="%1.%2.%3.%4.%5."/>
      <w:lvlJc w:val="left"/>
      <w:pPr>
        <w:ind w:left="2160" w:hanging="1440"/>
      </w:pPr>
      <w:rPr>
        <w:rFonts w:ascii="Simplified Arabic" w:hAnsi="Simplified Arabic" w:cs="Simplified Arabic" w:hint="default"/>
        <w:b/>
        <w:sz w:val="24"/>
      </w:rPr>
    </w:lvl>
    <w:lvl w:ilvl="5">
      <w:start w:val="1"/>
      <w:numFmt w:val="decimal"/>
      <w:lvlText w:val="%1.%2.%3.%4.%5.%6."/>
      <w:lvlJc w:val="left"/>
      <w:pPr>
        <w:ind w:left="2340" w:hanging="1440"/>
      </w:pPr>
      <w:rPr>
        <w:rFonts w:ascii="Simplified Arabic" w:hAnsi="Simplified Arabic" w:cs="Simplified Arabic" w:hint="default"/>
        <w:b/>
        <w:sz w:val="24"/>
      </w:rPr>
    </w:lvl>
    <w:lvl w:ilvl="6">
      <w:start w:val="1"/>
      <w:numFmt w:val="decimal"/>
      <w:lvlText w:val="%1.%2.%3.%4.%5.%6.%7."/>
      <w:lvlJc w:val="left"/>
      <w:pPr>
        <w:ind w:left="2880" w:hanging="1800"/>
      </w:pPr>
      <w:rPr>
        <w:rFonts w:ascii="Simplified Arabic" w:hAnsi="Simplified Arabic" w:cs="Simplified Arabic" w:hint="default"/>
        <w:b/>
        <w:sz w:val="24"/>
      </w:rPr>
    </w:lvl>
    <w:lvl w:ilvl="7">
      <w:start w:val="1"/>
      <w:numFmt w:val="decimal"/>
      <w:lvlText w:val="%1.%2.%3.%4.%5.%6.%7.%8."/>
      <w:lvlJc w:val="left"/>
      <w:pPr>
        <w:ind w:left="3420" w:hanging="2160"/>
      </w:pPr>
      <w:rPr>
        <w:rFonts w:ascii="Simplified Arabic" w:hAnsi="Simplified Arabic" w:cs="Simplified Arabic" w:hint="default"/>
        <w:b/>
        <w:sz w:val="24"/>
      </w:rPr>
    </w:lvl>
    <w:lvl w:ilvl="8">
      <w:start w:val="1"/>
      <w:numFmt w:val="decimal"/>
      <w:lvlText w:val="%1.%2.%3.%4.%5.%6.%7.%8.%9."/>
      <w:lvlJc w:val="left"/>
      <w:pPr>
        <w:ind w:left="3600" w:hanging="2160"/>
      </w:pPr>
      <w:rPr>
        <w:rFonts w:ascii="Simplified Arabic" w:hAnsi="Simplified Arabic" w:cs="Simplified Arabic" w:hint="default"/>
        <w:b/>
        <w:sz w:val="24"/>
      </w:rPr>
    </w:lvl>
  </w:abstractNum>
  <w:abstractNum w:abstractNumId="168">
    <w:nsid w:val="49D64CC5"/>
    <w:multiLevelType w:val="multilevel"/>
    <w:tmpl w:val="E15AC01C"/>
    <w:lvl w:ilvl="0">
      <w:start w:val="2"/>
      <w:numFmt w:val="decimal"/>
      <w:lvlText w:val="%1."/>
      <w:lvlJc w:val="left"/>
      <w:pPr>
        <w:ind w:left="840" w:hanging="840"/>
      </w:pPr>
      <w:rPr>
        <w:rFonts w:hint="default"/>
      </w:rPr>
    </w:lvl>
    <w:lvl w:ilvl="1">
      <w:start w:val="4"/>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9">
    <w:nsid w:val="4AE9112E"/>
    <w:multiLevelType w:val="hybridMultilevel"/>
    <w:tmpl w:val="97588C54"/>
    <w:lvl w:ilvl="0" w:tplc="F75400C6">
      <w:start w:val="1"/>
      <w:numFmt w:val="decimal"/>
      <w:lvlText w:val="%1-"/>
      <w:lvlJc w:val="left"/>
      <w:pPr>
        <w:ind w:left="720" w:hanging="360"/>
      </w:pPr>
      <w:rPr>
        <w:rFonts w:ascii="Simplified Arabic" w:eastAsiaTheme="minorHAnsi" w:hAnsi="Simplified Arabic" w:cs="Simplified Arabic" w:hint="default"/>
        <w:b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0">
    <w:nsid w:val="4B2A4E5F"/>
    <w:multiLevelType w:val="multilevel"/>
    <w:tmpl w:val="915AC3EA"/>
    <w:lvl w:ilvl="0">
      <w:start w:val="2"/>
      <w:numFmt w:val="decimal"/>
      <w:lvlText w:val="%1."/>
      <w:lvlJc w:val="left"/>
      <w:pPr>
        <w:ind w:left="840" w:hanging="840"/>
      </w:pPr>
      <w:rPr>
        <w:rFonts w:hint="default"/>
      </w:rPr>
    </w:lvl>
    <w:lvl w:ilvl="1">
      <w:start w:val="2"/>
      <w:numFmt w:val="arabicAlpha"/>
      <w:lvlText w:val="2.%2."/>
      <w:lvlJc w:val="right"/>
      <w:pPr>
        <w:ind w:left="900" w:hanging="840"/>
      </w:pPr>
      <w:rPr>
        <w:rFonts w:hint="default"/>
        <w:sz w:val="22"/>
        <w:szCs w:val="24"/>
      </w:rPr>
    </w:lvl>
    <w:lvl w:ilvl="2">
      <w:start w:val="2"/>
      <w:numFmt w:val="decimal"/>
      <w:lvlText w:val="%1.%2.%3."/>
      <w:lvlJc w:val="left"/>
      <w:pPr>
        <w:ind w:left="960" w:hanging="840"/>
      </w:pPr>
      <w:rPr>
        <w:rFonts w:hint="default"/>
      </w:rPr>
    </w:lvl>
    <w:lvl w:ilvl="3">
      <w:start w:val="2"/>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71">
    <w:nsid w:val="4B2C2417"/>
    <w:multiLevelType w:val="multilevel"/>
    <w:tmpl w:val="17B4DC06"/>
    <w:lvl w:ilvl="0">
      <w:start w:val="2"/>
      <w:numFmt w:val="decimal"/>
      <w:lvlText w:val="%1."/>
      <w:lvlJc w:val="left"/>
      <w:pPr>
        <w:ind w:left="840" w:hanging="840"/>
      </w:pPr>
      <w:rPr>
        <w:rFonts w:hint="default"/>
      </w:rPr>
    </w:lvl>
    <w:lvl w:ilvl="1">
      <w:start w:val="2"/>
      <w:numFmt w:val="decimal"/>
      <w:lvlText w:val="%1.%2."/>
      <w:lvlJc w:val="left"/>
      <w:pPr>
        <w:ind w:left="900" w:hanging="840"/>
      </w:pPr>
      <w:rPr>
        <w:rFonts w:hint="default"/>
      </w:rPr>
    </w:lvl>
    <w:lvl w:ilvl="2">
      <w:start w:val="4"/>
      <w:numFmt w:val="decimal"/>
      <w:lvlText w:val="%1.%2.%3."/>
      <w:lvlJc w:val="left"/>
      <w:pPr>
        <w:ind w:left="960" w:hanging="840"/>
      </w:pPr>
      <w:rPr>
        <w:rFonts w:hint="default"/>
      </w:rPr>
    </w:lvl>
    <w:lvl w:ilvl="3">
      <w:start w:val="2"/>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72">
    <w:nsid w:val="4BDB64B4"/>
    <w:multiLevelType w:val="multilevel"/>
    <w:tmpl w:val="DCBA4506"/>
    <w:lvl w:ilvl="0">
      <w:start w:val="2"/>
      <w:numFmt w:val="decimal"/>
      <w:lvlText w:val="%1."/>
      <w:lvlJc w:val="left"/>
      <w:pPr>
        <w:ind w:left="840" w:hanging="840"/>
      </w:pPr>
      <w:rPr>
        <w:rFonts w:hint="default"/>
      </w:rPr>
    </w:lvl>
    <w:lvl w:ilvl="1">
      <w:start w:val="2"/>
      <w:numFmt w:val="arabicAlpha"/>
      <w:lvlText w:val="6.%2."/>
      <w:lvlJc w:val="right"/>
      <w:pPr>
        <w:ind w:left="840" w:hanging="840"/>
      </w:pPr>
      <w:rPr>
        <w:rFonts w:hint="default"/>
        <w:b/>
        <w:bCs/>
        <w:sz w:val="22"/>
        <w:szCs w:val="24"/>
      </w:rPr>
    </w:lvl>
    <w:lvl w:ilvl="2">
      <w:start w:val="2"/>
      <w:numFmt w:val="decimal"/>
      <w:lvlText w:val="%1.%2.%3."/>
      <w:lvlJc w:val="left"/>
      <w:pPr>
        <w:ind w:left="840" w:hanging="84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3">
    <w:nsid w:val="4D7E2126"/>
    <w:multiLevelType w:val="multilevel"/>
    <w:tmpl w:val="1B444F6C"/>
    <w:lvl w:ilvl="0">
      <w:start w:val="2"/>
      <w:numFmt w:val="decimal"/>
      <w:lvlText w:val="%1."/>
      <w:lvlJc w:val="left"/>
      <w:pPr>
        <w:ind w:left="840" w:hanging="840"/>
      </w:pPr>
      <w:rPr>
        <w:rFonts w:hint="default"/>
        <w:b/>
      </w:rPr>
    </w:lvl>
    <w:lvl w:ilvl="1">
      <w:start w:val="1"/>
      <w:numFmt w:val="arabicAlpha"/>
      <w:lvlText w:val="1.%2."/>
      <w:lvlJc w:val="right"/>
      <w:pPr>
        <w:ind w:left="960" w:hanging="840"/>
      </w:pPr>
      <w:rPr>
        <w:rFonts w:hint="default"/>
        <w:b/>
        <w:bCs/>
        <w:sz w:val="22"/>
        <w:szCs w:val="24"/>
      </w:rPr>
    </w:lvl>
    <w:lvl w:ilvl="2">
      <w:start w:val="2"/>
      <w:numFmt w:val="decimal"/>
      <w:lvlText w:val="%1.%2.%3."/>
      <w:lvlJc w:val="left"/>
      <w:pPr>
        <w:ind w:left="1080" w:hanging="840"/>
      </w:pPr>
      <w:rPr>
        <w:rFonts w:hint="default"/>
        <w:b/>
      </w:rPr>
    </w:lvl>
    <w:lvl w:ilvl="3">
      <w:start w:val="2"/>
      <w:numFmt w:val="decimal"/>
      <w:lvlText w:val="%1.%2.%3.%4."/>
      <w:lvlJc w:val="left"/>
      <w:pPr>
        <w:ind w:left="1440" w:hanging="1080"/>
      </w:pPr>
      <w:rPr>
        <w:rFonts w:hint="default"/>
        <w:b w:val="0"/>
        <w:bCs/>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174">
    <w:nsid w:val="4DB721E2"/>
    <w:multiLevelType w:val="multilevel"/>
    <w:tmpl w:val="721AB25C"/>
    <w:lvl w:ilvl="0">
      <w:start w:val="2"/>
      <w:numFmt w:val="decimal"/>
      <w:lvlText w:val="%1."/>
      <w:lvlJc w:val="left"/>
      <w:pPr>
        <w:ind w:left="840" w:hanging="840"/>
      </w:pPr>
      <w:rPr>
        <w:rFonts w:hint="default"/>
        <w:sz w:val="24"/>
      </w:rPr>
    </w:lvl>
    <w:lvl w:ilvl="1">
      <w:start w:val="3"/>
      <w:numFmt w:val="decimal"/>
      <w:lvlText w:val="%1.%2."/>
      <w:lvlJc w:val="left"/>
      <w:pPr>
        <w:ind w:left="840" w:hanging="840"/>
      </w:pPr>
      <w:rPr>
        <w:rFonts w:hint="default"/>
        <w:sz w:val="24"/>
      </w:rPr>
    </w:lvl>
    <w:lvl w:ilvl="2">
      <w:start w:val="3"/>
      <w:numFmt w:val="decimal"/>
      <w:lvlText w:val="%1.%2.%3."/>
      <w:lvlJc w:val="left"/>
      <w:pPr>
        <w:ind w:left="840" w:hanging="840"/>
      </w:pPr>
      <w:rPr>
        <w:rFonts w:hint="default"/>
        <w:sz w:val="24"/>
      </w:rPr>
    </w:lvl>
    <w:lvl w:ilvl="3">
      <w:start w:val="2"/>
      <w:numFmt w:val="decimal"/>
      <w:lvlText w:val="%1.%2.%3.%4."/>
      <w:lvlJc w:val="left"/>
      <w:pPr>
        <w:ind w:left="840" w:hanging="840"/>
      </w:pPr>
      <w:rPr>
        <w:rFonts w:hint="default"/>
        <w:sz w:val="24"/>
      </w:rPr>
    </w:lvl>
    <w:lvl w:ilvl="4">
      <w:start w:val="1"/>
      <w:numFmt w:val="decimal"/>
      <w:lvlText w:val="%1.%2.%3.%4.%5."/>
      <w:lvlJc w:val="left"/>
      <w:pPr>
        <w:ind w:left="840" w:hanging="84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080" w:hanging="1080"/>
      </w:pPr>
      <w:rPr>
        <w:rFonts w:hint="default"/>
        <w:sz w:val="24"/>
      </w:rPr>
    </w:lvl>
    <w:lvl w:ilvl="8">
      <w:start w:val="1"/>
      <w:numFmt w:val="decimal"/>
      <w:lvlText w:val="%1.%2.%3.%4.%5.%6.%7.%8.%9."/>
      <w:lvlJc w:val="left"/>
      <w:pPr>
        <w:ind w:left="1440" w:hanging="1440"/>
      </w:pPr>
      <w:rPr>
        <w:rFonts w:hint="default"/>
        <w:sz w:val="24"/>
      </w:rPr>
    </w:lvl>
  </w:abstractNum>
  <w:abstractNum w:abstractNumId="175">
    <w:nsid w:val="4FAF2228"/>
    <w:multiLevelType w:val="multilevel"/>
    <w:tmpl w:val="FF90E354"/>
    <w:lvl w:ilvl="0">
      <w:start w:val="2"/>
      <w:numFmt w:val="decimal"/>
      <w:lvlText w:val="%1."/>
      <w:lvlJc w:val="left"/>
      <w:pPr>
        <w:ind w:left="840" w:hanging="840"/>
      </w:pPr>
      <w:rPr>
        <w:rFonts w:hint="default"/>
      </w:rPr>
    </w:lvl>
    <w:lvl w:ilvl="1">
      <w:start w:val="2"/>
      <w:numFmt w:val="arabicAlpha"/>
      <w:lvlText w:val="3.%2."/>
      <w:lvlJc w:val="right"/>
      <w:pPr>
        <w:ind w:left="960" w:hanging="840"/>
      </w:pPr>
      <w:rPr>
        <w:rFonts w:hint="default"/>
        <w:b/>
        <w:bCs/>
        <w:sz w:val="22"/>
        <w:szCs w:val="24"/>
      </w:rPr>
    </w:lvl>
    <w:lvl w:ilvl="2">
      <w:start w:val="5"/>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76">
    <w:nsid w:val="4FE30DA2"/>
    <w:multiLevelType w:val="multilevel"/>
    <w:tmpl w:val="F96C501A"/>
    <w:lvl w:ilvl="0">
      <w:start w:val="2"/>
      <w:numFmt w:val="decimal"/>
      <w:lvlText w:val="%1."/>
      <w:lvlJc w:val="left"/>
      <w:pPr>
        <w:ind w:left="630" w:hanging="630"/>
      </w:pPr>
      <w:rPr>
        <w:rFonts w:hint="default"/>
      </w:rPr>
    </w:lvl>
    <w:lvl w:ilvl="1">
      <w:start w:val="3"/>
      <w:numFmt w:val="decimal"/>
      <w:lvlText w:val="%1.%2."/>
      <w:lvlJc w:val="left"/>
      <w:pPr>
        <w:ind w:left="840" w:hanging="720"/>
      </w:pPr>
      <w:rPr>
        <w:rFonts w:hint="default"/>
        <w:b/>
        <w:bCs/>
        <w:sz w:val="24"/>
        <w:szCs w:val="24"/>
      </w:rPr>
    </w:lvl>
    <w:lvl w:ilvl="2">
      <w:start w:val="2"/>
      <w:numFmt w:val="decimal"/>
      <w:lvlText w:val="%1.%2.%3."/>
      <w:lvlJc w:val="left"/>
      <w:pPr>
        <w:ind w:left="960" w:hanging="72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77">
    <w:nsid w:val="500044BF"/>
    <w:multiLevelType w:val="multilevel"/>
    <w:tmpl w:val="0B8693E8"/>
    <w:lvl w:ilvl="0">
      <w:start w:val="2"/>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4"/>
      <w:numFmt w:val="decimal"/>
      <w:lvlText w:val="%1.%2.%3."/>
      <w:lvlJc w:val="left"/>
      <w:pPr>
        <w:ind w:left="840" w:hanging="840"/>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8">
    <w:nsid w:val="503D0C07"/>
    <w:multiLevelType w:val="multilevel"/>
    <w:tmpl w:val="93F4677E"/>
    <w:lvl w:ilvl="0">
      <w:start w:val="4"/>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9">
    <w:nsid w:val="51FC6B28"/>
    <w:multiLevelType w:val="multilevel"/>
    <w:tmpl w:val="1C0E90FC"/>
    <w:lvl w:ilvl="0">
      <w:start w:val="1"/>
      <w:numFmt w:val="decimal"/>
      <w:lvlText w:val="%1."/>
      <w:lvlJc w:val="left"/>
      <w:pPr>
        <w:ind w:left="630" w:hanging="630"/>
      </w:pPr>
      <w:rPr>
        <w:rFonts w:hint="default"/>
      </w:rPr>
    </w:lvl>
    <w:lvl w:ilvl="1">
      <w:start w:val="3"/>
      <w:numFmt w:val="decimal"/>
      <w:lvlText w:val="%1.%2."/>
      <w:lvlJc w:val="left"/>
      <w:pPr>
        <w:ind w:left="840" w:hanging="720"/>
      </w:pPr>
      <w:rPr>
        <w:rFonts w:hint="default"/>
      </w:rPr>
    </w:lvl>
    <w:lvl w:ilvl="2">
      <w:start w:val="6"/>
      <w:numFmt w:val="decimal"/>
      <w:lvlText w:val="%1.%2.%3."/>
      <w:lvlJc w:val="left"/>
      <w:pPr>
        <w:ind w:left="96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80">
    <w:nsid w:val="524A22D5"/>
    <w:multiLevelType w:val="multilevel"/>
    <w:tmpl w:val="E2C8CEEA"/>
    <w:lvl w:ilvl="0">
      <w:start w:val="2"/>
      <w:numFmt w:val="decimal"/>
      <w:lvlText w:val="%1."/>
      <w:lvlJc w:val="left"/>
      <w:pPr>
        <w:ind w:left="630" w:hanging="630"/>
      </w:pPr>
      <w:rPr>
        <w:rFonts w:ascii="Simplified Arabic" w:hAnsi="Simplified Arabic" w:cs="Simplified Arabic" w:hint="default"/>
        <w:sz w:val="24"/>
      </w:rPr>
    </w:lvl>
    <w:lvl w:ilvl="1">
      <w:start w:val="8"/>
      <w:numFmt w:val="decimal"/>
      <w:lvlText w:val="%1.%2."/>
      <w:lvlJc w:val="left"/>
      <w:pPr>
        <w:ind w:left="630" w:hanging="630"/>
      </w:pPr>
      <w:rPr>
        <w:rFonts w:ascii="Simplified Arabic" w:hAnsi="Simplified Arabic" w:cs="Simplified Arabic" w:hint="default"/>
        <w:sz w:val="24"/>
      </w:rPr>
    </w:lvl>
    <w:lvl w:ilvl="2">
      <w:start w:val="2"/>
      <w:numFmt w:val="decimal"/>
      <w:lvlText w:val="%1.%2.%3."/>
      <w:lvlJc w:val="left"/>
      <w:pPr>
        <w:ind w:left="720" w:hanging="720"/>
      </w:pPr>
      <w:rPr>
        <w:rFonts w:ascii="Simplified Arabic" w:hAnsi="Simplified Arabic" w:cs="Simplified Arabic" w:hint="default"/>
        <w:sz w:val="32"/>
        <w:szCs w:val="24"/>
      </w:rPr>
    </w:lvl>
    <w:lvl w:ilvl="3">
      <w:start w:val="1"/>
      <w:numFmt w:val="decimal"/>
      <w:lvlText w:val="%1.%2.%3.%4."/>
      <w:lvlJc w:val="left"/>
      <w:pPr>
        <w:ind w:left="720" w:hanging="720"/>
      </w:pPr>
      <w:rPr>
        <w:rFonts w:ascii="Simplified Arabic" w:hAnsi="Simplified Arabic" w:cs="Simplified Arabic" w:hint="default"/>
        <w:sz w:val="28"/>
        <w:szCs w:val="28"/>
      </w:rPr>
    </w:lvl>
    <w:lvl w:ilvl="4">
      <w:start w:val="1"/>
      <w:numFmt w:val="decimal"/>
      <w:lvlText w:val="%1.%2.%3.%4.%5."/>
      <w:lvlJc w:val="left"/>
      <w:pPr>
        <w:ind w:left="1080" w:hanging="1080"/>
      </w:pPr>
      <w:rPr>
        <w:rFonts w:ascii="Simplified Arabic" w:hAnsi="Simplified Arabic" w:cs="Simplified Arabic" w:hint="default"/>
        <w:sz w:val="24"/>
      </w:rPr>
    </w:lvl>
    <w:lvl w:ilvl="5">
      <w:start w:val="1"/>
      <w:numFmt w:val="decimal"/>
      <w:lvlText w:val="%1.%2.%3.%4.%5.%6."/>
      <w:lvlJc w:val="left"/>
      <w:pPr>
        <w:ind w:left="1080" w:hanging="1080"/>
      </w:pPr>
      <w:rPr>
        <w:rFonts w:ascii="Simplified Arabic" w:hAnsi="Simplified Arabic" w:cs="Simplified Arabic" w:hint="default"/>
        <w:sz w:val="24"/>
      </w:rPr>
    </w:lvl>
    <w:lvl w:ilvl="6">
      <w:start w:val="1"/>
      <w:numFmt w:val="decimal"/>
      <w:lvlText w:val="%1.%2.%3.%4.%5.%6.%7."/>
      <w:lvlJc w:val="left"/>
      <w:pPr>
        <w:ind w:left="1080" w:hanging="1080"/>
      </w:pPr>
      <w:rPr>
        <w:rFonts w:ascii="Simplified Arabic" w:hAnsi="Simplified Arabic" w:cs="Simplified Arabic" w:hint="default"/>
        <w:sz w:val="24"/>
      </w:rPr>
    </w:lvl>
    <w:lvl w:ilvl="7">
      <w:start w:val="1"/>
      <w:numFmt w:val="decimal"/>
      <w:lvlText w:val="%1.%2.%3.%4.%5.%6.%7.%8."/>
      <w:lvlJc w:val="left"/>
      <w:pPr>
        <w:ind w:left="1440" w:hanging="1440"/>
      </w:pPr>
      <w:rPr>
        <w:rFonts w:ascii="Simplified Arabic" w:hAnsi="Simplified Arabic" w:cs="Simplified Arabic" w:hint="default"/>
        <w:sz w:val="24"/>
      </w:rPr>
    </w:lvl>
    <w:lvl w:ilvl="8">
      <w:start w:val="1"/>
      <w:numFmt w:val="decimal"/>
      <w:lvlText w:val="%1.%2.%3.%4.%5.%6.%7.%8.%9."/>
      <w:lvlJc w:val="left"/>
      <w:pPr>
        <w:ind w:left="1440" w:hanging="1440"/>
      </w:pPr>
      <w:rPr>
        <w:rFonts w:ascii="Simplified Arabic" w:hAnsi="Simplified Arabic" w:cs="Simplified Arabic" w:hint="default"/>
        <w:sz w:val="24"/>
      </w:rPr>
    </w:lvl>
  </w:abstractNum>
  <w:abstractNum w:abstractNumId="181">
    <w:nsid w:val="52AE32CF"/>
    <w:multiLevelType w:val="multilevel"/>
    <w:tmpl w:val="57A4C19E"/>
    <w:lvl w:ilvl="0">
      <w:start w:val="1"/>
      <w:numFmt w:val="decimal"/>
      <w:lvlText w:val="%1."/>
      <w:lvlJc w:val="left"/>
      <w:pPr>
        <w:ind w:left="840" w:hanging="840"/>
      </w:pPr>
      <w:rPr>
        <w:rFonts w:hint="default"/>
        <w:b/>
      </w:rPr>
    </w:lvl>
    <w:lvl w:ilvl="1">
      <w:start w:val="5"/>
      <w:numFmt w:val="decimal"/>
      <w:lvlText w:val="%1.%2."/>
      <w:lvlJc w:val="left"/>
      <w:pPr>
        <w:ind w:left="1020" w:hanging="840"/>
      </w:pPr>
      <w:rPr>
        <w:rFonts w:hint="default"/>
        <w:b/>
      </w:rPr>
    </w:lvl>
    <w:lvl w:ilvl="2">
      <w:start w:val="1"/>
      <w:numFmt w:val="decimal"/>
      <w:lvlText w:val="%1.%2.%3."/>
      <w:lvlJc w:val="left"/>
      <w:pPr>
        <w:ind w:left="1200" w:hanging="840"/>
      </w:pPr>
      <w:rPr>
        <w:rFonts w:hint="default"/>
        <w:b w:val="0"/>
        <w:bCs/>
      </w:rPr>
    </w:lvl>
    <w:lvl w:ilvl="3">
      <w:start w:val="1"/>
      <w:numFmt w:val="decimal"/>
      <w:lvlText w:val="%1.%2.%3.%4."/>
      <w:lvlJc w:val="left"/>
      <w:pPr>
        <w:ind w:left="1620" w:hanging="1080"/>
      </w:pPr>
      <w:rPr>
        <w:rFonts w:hint="default"/>
        <w:b w:val="0"/>
        <w:bCs/>
      </w:rPr>
    </w:lvl>
    <w:lvl w:ilvl="4">
      <w:start w:val="1"/>
      <w:numFmt w:val="decimal"/>
      <w:lvlText w:val="%1.%2.%3.%4.%5."/>
      <w:lvlJc w:val="left"/>
      <w:pPr>
        <w:ind w:left="1800" w:hanging="1080"/>
      </w:pPr>
      <w:rPr>
        <w:rFonts w:hint="default"/>
        <w:b/>
      </w:rPr>
    </w:lvl>
    <w:lvl w:ilvl="5">
      <w:start w:val="1"/>
      <w:numFmt w:val="decimal"/>
      <w:lvlText w:val="%1.%2.%3.%4.%5.%6."/>
      <w:lvlJc w:val="left"/>
      <w:pPr>
        <w:ind w:left="2340" w:hanging="144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3060" w:hanging="1800"/>
      </w:pPr>
      <w:rPr>
        <w:rFonts w:hint="default"/>
        <w:b/>
      </w:rPr>
    </w:lvl>
    <w:lvl w:ilvl="8">
      <w:start w:val="1"/>
      <w:numFmt w:val="decimal"/>
      <w:lvlText w:val="%1.%2.%3.%4.%5.%6.%7.%8.%9."/>
      <w:lvlJc w:val="left"/>
      <w:pPr>
        <w:ind w:left="3240" w:hanging="1800"/>
      </w:pPr>
      <w:rPr>
        <w:rFonts w:hint="default"/>
        <w:b/>
      </w:rPr>
    </w:lvl>
  </w:abstractNum>
  <w:abstractNum w:abstractNumId="182">
    <w:nsid w:val="53E410DE"/>
    <w:multiLevelType w:val="multilevel"/>
    <w:tmpl w:val="9000E700"/>
    <w:lvl w:ilvl="0">
      <w:start w:val="2"/>
      <w:numFmt w:val="decimal"/>
      <w:lvlText w:val="%1."/>
      <w:lvlJc w:val="left"/>
      <w:pPr>
        <w:ind w:left="390" w:hanging="39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3">
    <w:nsid w:val="54E058F9"/>
    <w:multiLevelType w:val="multilevel"/>
    <w:tmpl w:val="FE129B6A"/>
    <w:lvl w:ilvl="0">
      <w:start w:val="1"/>
      <w:numFmt w:val="decimal"/>
      <w:lvlText w:val="%1."/>
      <w:lvlJc w:val="left"/>
      <w:pPr>
        <w:ind w:left="630" w:hanging="630"/>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84">
    <w:nsid w:val="55305C7A"/>
    <w:multiLevelType w:val="hybridMultilevel"/>
    <w:tmpl w:val="E02C99A2"/>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185">
    <w:nsid w:val="553A5B2B"/>
    <w:multiLevelType w:val="hybridMultilevel"/>
    <w:tmpl w:val="EDF4323A"/>
    <w:lvl w:ilvl="0" w:tplc="2BC80D7C">
      <w:start w:val="1"/>
      <w:numFmt w:val="bullet"/>
      <w:lvlText w:val="o"/>
      <w:lvlJc w:val="left"/>
      <w:pPr>
        <w:ind w:left="720" w:hanging="360"/>
      </w:pPr>
      <w:rPr>
        <w:rFonts w:asciiTheme="majorBidi" w:hAnsiTheme="majorBidi" w:cstheme="majorBidi"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6">
    <w:nsid w:val="55BA1967"/>
    <w:multiLevelType w:val="multilevel"/>
    <w:tmpl w:val="C8086166"/>
    <w:lvl w:ilvl="0">
      <w:start w:val="3"/>
      <w:numFmt w:val="decimal"/>
      <w:lvlText w:val="%1."/>
      <w:lvlJc w:val="left"/>
      <w:pPr>
        <w:ind w:left="840" w:hanging="840"/>
      </w:pPr>
      <w:rPr>
        <w:rFonts w:hint="default"/>
      </w:rPr>
    </w:lvl>
    <w:lvl w:ilvl="1">
      <w:start w:val="3"/>
      <w:numFmt w:val="decimal"/>
      <w:lvlText w:val="%1.%2."/>
      <w:lvlJc w:val="left"/>
      <w:pPr>
        <w:ind w:left="960" w:hanging="840"/>
      </w:pPr>
      <w:rPr>
        <w:rFonts w:hint="default"/>
      </w:rPr>
    </w:lvl>
    <w:lvl w:ilvl="2">
      <w:start w:val="3"/>
      <w:numFmt w:val="decimal"/>
      <w:lvlText w:val="%1.%2.%3."/>
      <w:lvlJc w:val="left"/>
      <w:pPr>
        <w:ind w:left="1080" w:hanging="84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87">
    <w:nsid w:val="5779019A"/>
    <w:multiLevelType w:val="hybridMultilevel"/>
    <w:tmpl w:val="1096B1F4"/>
    <w:lvl w:ilvl="0" w:tplc="92728BE0">
      <w:start w:val="1"/>
      <w:numFmt w:val="bullet"/>
      <w:lvlText w:val="o"/>
      <w:lvlJc w:val="left"/>
      <w:pPr>
        <w:ind w:left="720" w:hanging="360"/>
      </w:pPr>
      <w:rPr>
        <w:rFonts w:ascii="Courier New" w:hAnsi="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8">
    <w:nsid w:val="587C46DF"/>
    <w:multiLevelType w:val="multilevel"/>
    <w:tmpl w:val="314A3C92"/>
    <w:lvl w:ilvl="0">
      <w:start w:val="1"/>
      <w:numFmt w:val="decimal"/>
      <w:lvlText w:val="%1."/>
      <w:lvlJc w:val="left"/>
      <w:pPr>
        <w:ind w:left="840" w:hanging="840"/>
      </w:pPr>
      <w:rPr>
        <w:rFonts w:hint="default"/>
      </w:rPr>
    </w:lvl>
    <w:lvl w:ilvl="1">
      <w:start w:val="3"/>
      <w:numFmt w:val="decimal"/>
      <w:lvlText w:val="%1.%2."/>
      <w:lvlJc w:val="left"/>
      <w:pPr>
        <w:ind w:left="960" w:hanging="840"/>
      </w:pPr>
      <w:rPr>
        <w:rFonts w:hint="default"/>
      </w:rPr>
    </w:lvl>
    <w:lvl w:ilvl="2">
      <w:start w:val="3"/>
      <w:numFmt w:val="decimal"/>
      <w:lvlText w:val="%1.%2.%3."/>
      <w:lvlJc w:val="left"/>
      <w:pPr>
        <w:ind w:left="1080" w:hanging="84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189">
    <w:nsid w:val="588703B5"/>
    <w:multiLevelType w:val="multilevel"/>
    <w:tmpl w:val="C8785D1A"/>
    <w:lvl w:ilvl="0">
      <w:start w:val="5"/>
      <w:numFmt w:val="decimal"/>
      <w:lvlText w:val="%1."/>
      <w:lvlJc w:val="left"/>
      <w:pPr>
        <w:ind w:left="840" w:hanging="840"/>
      </w:pPr>
      <w:rPr>
        <w:rFonts w:hint="default"/>
        <w:b/>
        <w:sz w:val="24"/>
      </w:rPr>
    </w:lvl>
    <w:lvl w:ilvl="1">
      <w:start w:val="5"/>
      <w:numFmt w:val="arabicAlpha"/>
      <w:lvlText w:val="6.%2."/>
      <w:lvlJc w:val="right"/>
      <w:pPr>
        <w:ind w:left="840" w:hanging="840"/>
      </w:pPr>
      <w:rPr>
        <w:rFonts w:hint="default"/>
        <w:b/>
        <w:bCs/>
        <w:sz w:val="22"/>
        <w:szCs w:val="24"/>
      </w:rPr>
    </w:lvl>
    <w:lvl w:ilvl="2">
      <w:start w:val="4"/>
      <w:numFmt w:val="decimal"/>
      <w:lvlText w:val="%1.%2.%3."/>
      <w:lvlJc w:val="left"/>
      <w:pPr>
        <w:ind w:left="840" w:hanging="840"/>
      </w:pPr>
      <w:rPr>
        <w:rFonts w:hint="default"/>
        <w:b/>
        <w:sz w:val="24"/>
      </w:rPr>
    </w:lvl>
    <w:lvl w:ilvl="3">
      <w:start w:val="2"/>
      <w:numFmt w:val="decimal"/>
      <w:lvlText w:val="%1.%2.%3.%4."/>
      <w:lvlJc w:val="left"/>
      <w:pPr>
        <w:ind w:left="1080" w:hanging="1080"/>
      </w:pPr>
      <w:rPr>
        <w:rFonts w:hint="default"/>
        <w:b w:val="0"/>
        <w:bCs/>
        <w:sz w:val="22"/>
        <w:szCs w:val="24"/>
      </w:rPr>
    </w:lvl>
    <w:lvl w:ilvl="4">
      <w:start w:val="1"/>
      <w:numFmt w:val="decimal"/>
      <w:lvlText w:val="%1.%2.%3.%4.%5."/>
      <w:lvlJc w:val="left"/>
      <w:pPr>
        <w:ind w:left="1440" w:hanging="1440"/>
      </w:pPr>
      <w:rPr>
        <w:rFonts w:hint="default"/>
        <w:b/>
        <w:sz w:val="24"/>
      </w:rPr>
    </w:lvl>
    <w:lvl w:ilvl="5">
      <w:start w:val="1"/>
      <w:numFmt w:val="decimal"/>
      <w:lvlText w:val="%1.%2.%3.%4.%5.%6."/>
      <w:lvlJc w:val="left"/>
      <w:pPr>
        <w:ind w:left="1440" w:hanging="1440"/>
      </w:pPr>
      <w:rPr>
        <w:rFonts w:hint="default"/>
        <w:b/>
        <w:sz w:val="24"/>
      </w:rPr>
    </w:lvl>
    <w:lvl w:ilvl="6">
      <w:start w:val="1"/>
      <w:numFmt w:val="decimal"/>
      <w:lvlText w:val="%1.%2.%3.%4.%5.%6.%7."/>
      <w:lvlJc w:val="left"/>
      <w:pPr>
        <w:ind w:left="1800" w:hanging="1800"/>
      </w:pPr>
      <w:rPr>
        <w:rFonts w:hint="default"/>
        <w:b/>
        <w:sz w:val="24"/>
      </w:rPr>
    </w:lvl>
    <w:lvl w:ilvl="7">
      <w:start w:val="1"/>
      <w:numFmt w:val="decimal"/>
      <w:lvlText w:val="%1.%2.%3.%4.%5.%6.%7.%8."/>
      <w:lvlJc w:val="left"/>
      <w:pPr>
        <w:ind w:left="2160" w:hanging="2160"/>
      </w:pPr>
      <w:rPr>
        <w:rFonts w:hint="default"/>
        <w:b/>
        <w:sz w:val="24"/>
      </w:rPr>
    </w:lvl>
    <w:lvl w:ilvl="8">
      <w:start w:val="1"/>
      <w:numFmt w:val="decimal"/>
      <w:lvlText w:val="%1.%2.%3.%4.%5.%6.%7.%8.%9."/>
      <w:lvlJc w:val="left"/>
      <w:pPr>
        <w:ind w:left="2160" w:hanging="2160"/>
      </w:pPr>
      <w:rPr>
        <w:rFonts w:hint="default"/>
        <w:b/>
        <w:sz w:val="24"/>
      </w:rPr>
    </w:lvl>
  </w:abstractNum>
  <w:abstractNum w:abstractNumId="190">
    <w:nsid w:val="58B0309C"/>
    <w:multiLevelType w:val="multilevel"/>
    <w:tmpl w:val="39CA7CD6"/>
    <w:lvl w:ilvl="0">
      <w:start w:val="2"/>
      <w:numFmt w:val="decimal"/>
      <w:lvlText w:val="%1."/>
      <w:lvlJc w:val="left"/>
      <w:pPr>
        <w:ind w:left="630" w:hanging="630"/>
      </w:pPr>
      <w:rPr>
        <w:rFonts w:hint="default"/>
      </w:rPr>
    </w:lvl>
    <w:lvl w:ilvl="1">
      <w:start w:val="7"/>
      <w:numFmt w:val="decimal"/>
      <w:lvlText w:val="%1.%2."/>
      <w:lvlJc w:val="left"/>
      <w:pPr>
        <w:ind w:left="900" w:hanging="72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91">
    <w:nsid w:val="59820E21"/>
    <w:multiLevelType w:val="multilevel"/>
    <w:tmpl w:val="21D2FB84"/>
    <w:lvl w:ilvl="0">
      <w:start w:val="1"/>
      <w:numFmt w:val="decimal"/>
      <w:lvlText w:val="%1"/>
      <w:lvlJc w:val="left"/>
      <w:pPr>
        <w:ind w:left="555" w:hanging="555"/>
      </w:pPr>
      <w:rPr>
        <w:rFonts w:hint="default"/>
        <w:b/>
      </w:rPr>
    </w:lvl>
    <w:lvl w:ilvl="1">
      <w:start w:val="2"/>
      <w:numFmt w:val="decimal"/>
      <w:lvlText w:val="%1.%2"/>
      <w:lvlJc w:val="left"/>
      <w:pPr>
        <w:ind w:left="735" w:hanging="555"/>
      </w:pPr>
      <w:rPr>
        <w:rFonts w:hint="default"/>
        <w:b/>
      </w:rPr>
    </w:lvl>
    <w:lvl w:ilvl="2">
      <w:start w:val="6"/>
      <w:numFmt w:val="decimal"/>
      <w:lvlText w:val="%1.%2.%3"/>
      <w:lvlJc w:val="left"/>
      <w:pPr>
        <w:ind w:left="1080" w:hanging="720"/>
      </w:pPr>
      <w:rPr>
        <w:rFonts w:hint="default"/>
        <w:b w:val="0"/>
        <w:bCs/>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2340" w:hanging="144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3060" w:hanging="1800"/>
      </w:pPr>
      <w:rPr>
        <w:rFonts w:hint="default"/>
        <w:b/>
      </w:rPr>
    </w:lvl>
    <w:lvl w:ilvl="8">
      <w:start w:val="1"/>
      <w:numFmt w:val="decimal"/>
      <w:lvlText w:val="%1.%2.%3.%4.%5.%6.%7.%8.%9"/>
      <w:lvlJc w:val="left"/>
      <w:pPr>
        <w:ind w:left="3240" w:hanging="1800"/>
      </w:pPr>
      <w:rPr>
        <w:rFonts w:hint="default"/>
        <w:b/>
      </w:rPr>
    </w:lvl>
  </w:abstractNum>
  <w:abstractNum w:abstractNumId="192">
    <w:nsid w:val="59BD0034"/>
    <w:multiLevelType w:val="multilevel"/>
    <w:tmpl w:val="D2523154"/>
    <w:lvl w:ilvl="0">
      <w:start w:val="5"/>
      <w:numFmt w:val="arabicAlpha"/>
      <w:lvlText w:val="%1."/>
      <w:lvlJc w:val="right"/>
      <w:pPr>
        <w:ind w:left="643" w:hanging="360"/>
      </w:pPr>
      <w:rPr>
        <w:rFonts w:hint="default"/>
        <w:b/>
        <w:bCs/>
        <w:color w:val="242021"/>
        <w:sz w:val="22"/>
        <w:szCs w:val="24"/>
      </w:rPr>
    </w:lvl>
    <w:lvl w:ilvl="1">
      <w:start w:val="5"/>
      <w:numFmt w:val="arabicAlpha"/>
      <w:lvlText w:val="2.%2."/>
      <w:lvlJc w:val="right"/>
      <w:pPr>
        <w:ind w:left="1208" w:hanging="840"/>
      </w:pPr>
      <w:rPr>
        <w:rFonts w:hint="default"/>
        <w:b/>
        <w:bCs/>
        <w:sz w:val="22"/>
        <w:szCs w:val="24"/>
      </w:rPr>
    </w:lvl>
    <w:lvl w:ilvl="2">
      <w:start w:val="4"/>
      <w:numFmt w:val="decimal"/>
      <w:isLgl/>
      <w:lvlText w:val="%1.%2.%3."/>
      <w:lvlJc w:val="left"/>
      <w:pPr>
        <w:ind w:left="1293" w:hanging="840"/>
      </w:pPr>
      <w:rPr>
        <w:rFonts w:hint="default"/>
      </w:rPr>
    </w:lvl>
    <w:lvl w:ilvl="3">
      <w:start w:val="3"/>
      <w:numFmt w:val="decimal"/>
      <w:isLgl/>
      <w:lvlText w:val="%1.%2.%3.%4."/>
      <w:lvlJc w:val="left"/>
      <w:pPr>
        <w:ind w:left="1618" w:hanging="1080"/>
      </w:pPr>
      <w:rPr>
        <w:rFonts w:hint="default"/>
      </w:rPr>
    </w:lvl>
    <w:lvl w:ilvl="4">
      <w:start w:val="1"/>
      <w:numFmt w:val="decimal"/>
      <w:isLgl/>
      <w:lvlText w:val="%1.%2.%3.%4.%5."/>
      <w:lvlJc w:val="left"/>
      <w:pPr>
        <w:ind w:left="1703"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233" w:hanging="1440"/>
      </w:pPr>
      <w:rPr>
        <w:rFonts w:hint="default"/>
      </w:rPr>
    </w:lvl>
    <w:lvl w:ilvl="7">
      <w:start w:val="1"/>
      <w:numFmt w:val="decimal"/>
      <w:isLgl/>
      <w:lvlText w:val="%1.%2.%3.%4.%5.%6.%7.%8."/>
      <w:lvlJc w:val="left"/>
      <w:pPr>
        <w:ind w:left="2678" w:hanging="1800"/>
      </w:pPr>
      <w:rPr>
        <w:rFonts w:hint="default"/>
      </w:rPr>
    </w:lvl>
    <w:lvl w:ilvl="8">
      <w:start w:val="1"/>
      <w:numFmt w:val="decimal"/>
      <w:isLgl/>
      <w:lvlText w:val="%1.%2.%3.%4.%5.%6.%7.%8.%9."/>
      <w:lvlJc w:val="left"/>
      <w:pPr>
        <w:ind w:left="2763" w:hanging="1800"/>
      </w:pPr>
      <w:rPr>
        <w:rFonts w:hint="default"/>
      </w:rPr>
    </w:lvl>
  </w:abstractNum>
  <w:abstractNum w:abstractNumId="193">
    <w:nsid w:val="59FB3BFA"/>
    <w:multiLevelType w:val="multilevel"/>
    <w:tmpl w:val="57F48D5C"/>
    <w:lvl w:ilvl="0">
      <w:start w:val="2"/>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194">
    <w:nsid w:val="5AED0C03"/>
    <w:multiLevelType w:val="multilevel"/>
    <w:tmpl w:val="040C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5">
    <w:nsid w:val="5B32458B"/>
    <w:multiLevelType w:val="multilevel"/>
    <w:tmpl w:val="E49E2858"/>
    <w:lvl w:ilvl="0">
      <w:start w:val="3"/>
      <w:numFmt w:val="decimal"/>
      <w:lvlText w:val="%1."/>
      <w:lvlJc w:val="left"/>
      <w:pPr>
        <w:ind w:left="840" w:hanging="840"/>
      </w:pPr>
      <w:rPr>
        <w:rFonts w:ascii="Simplified Arabic" w:hAnsi="Simplified Arabic" w:cs="Simplified Arabic" w:hint="default"/>
        <w:b/>
        <w:sz w:val="24"/>
      </w:rPr>
    </w:lvl>
    <w:lvl w:ilvl="1">
      <w:start w:val="3"/>
      <w:numFmt w:val="arabicAlpha"/>
      <w:lvlText w:val="2.%2."/>
      <w:lvlJc w:val="right"/>
      <w:pPr>
        <w:ind w:left="960" w:hanging="840"/>
      </w:pPr>
      <w:rPr>
        <w:rFonts w:ascii="Simplified Arabic" w:hAnsi="Simplified Arabic" w:cs="Simplified Arabic" w:hint="default"/>
        <w:b w:val="0"/>
        <w:bCs/>
        <w:sz w:val="22"/>
        <w:szCs w:val="24"/>
      </w:rPr>
    </w:lvl>
    <w:lvl w:ilvl="2">
      <w:start w:val="2"/>
      <w:numFmt w:val="decimal"/>
      <w:lvlText w:val="%1.%2.%3."/>
      <w:lvlJc w:val="left"/>
      <w:pPr>
        <w:ind w:left="1080" w:hanging="840"/>
      </w:pPr>
      <w:rPr>
        <w:rFonts w:ascii="Simplified Arabic" w:hAnsi="Simplified Arabic" w:cs="Simplified Arabic" w:hint="default"/>
        <w:b/>
        <w:sz w:val="24"/>
      </w:rPr>
    </w:lvl>
    <w:lvl w:ilvl="3">
      <w:start w:val="2"/>
      <w:numFmt w:val="decimal"/>
      <w:lvlText w:val="%1.%2.%3.%4."/>
      <w:lvlJc w:val="left"/>
      <w:pPr>
        <w:ind w:left="1200" w:hanging="840"/>
      </w:pPr>
      <w:rPr>
        <w:rFonts w:ascii="Simplified Arabic" w:hAnsi="Simplified Arabic" w:cs="Simplified Arabic" w:hint="default"/>
        <w:b w:val="0"/>
        <w:bCs/>
        <w:sz w:val="24"/>
      </w:rPr>
    </w:lvl>
    <w:lvl w:ilvl="4">
      <w:start w:val="1"/>
      <w:numFmt w:val="decimal"/>
      <w:lvlText w:val="%1.%2.%3.%4.%5."/>
      <w:lvlJc w:val="left"/>
      <w:pPr>
        <w:ind w:left="1560" w:hanging="1080"/>
      </w:pPr>
      <w:rPr>
        <w:rFonts w:ascii="Simplified Arabic" w:hAnsi="Simplified Arabic" w:cs="Simplified Arabic" w:hint="default"/>
        <w:b/>
        <w:sz w:val="24"/>
      </w:rPr>
    </w:lvl>
    <w:lvl w:ilvl="5">
      <w:start w:val="1"/>
      <w:numFmt w:val="decimal"/>
      <w:lvlText w:val="%1.%2.%3.%4.%5.%6."/>
      <w:lvlJc w:val="left"/>
      <w:pPr>
        <w:ind w:left="1680" w:hanging="1080"/>
      </w:pPr>
      <w:rPr>
        <w:rFonts w:ascii="Simplified Arabic" w:hAnsi="Simplified Arabic" w:cs="Simplified Arabic" w:hint="default"/>
        <w:b/>
        <w:sz w:val="24"/>
      </w:rPr>
    </w:lvl>
    <w:lvl w:ilvl="6">
      <w:start w:val="1"/>
      <w:numFmt w:val="decimal"/>
      <w:lvlText w:val="%1.%2.%3.%4.%5.%6.%7."/>
      <w:lvlJc w:val="left"/>
      <w:pPr>
        <w:ind w:left="2160" w:hanging="1440"/>
      </w:pPr>
      <w:rPr>
        <w:rFonts w:ascii="Simplified Arabic" w:hAnsi="Simplified Arabic" w:cs="Simplified Arabic" w:hint="default"/>
        <w:b/>
        <w:sz w:val="24"/>
      </w:rPr>
    </w:lvl>
    <w:lvl w:ilvl="7">
      <w:start w:val="1"/>
      <w:numFmt w:val="decimal"/>
      <w:lvlText w:val="%1.%2.%3.%4.%5.%6.%7.%8."/>
      <w:lvlJc w:val="left"/>
      <w:pPr>
        <w:ind w:left="2280" w:hanging="1440"/>
      </w:pPr>
      <w:rPr>
        <w:rFonts w:ascii="Simplified Arabic" w:hAnsi="Simplified Arabic" w:cs="Simplified Arabic" w:hint="default"/>
        <w:b/>
        <w:sz w:val="24"/>
      </w:rPr>
    </w:lvl>
    <w:lvl w:ilvl="8">
      <w:start w:val="1"/>
      <w:numFmt w:val="decimal"/>
      <w:lvlText w:val="%1.%2.%3.%4.%5.%6.%7.%8.%9."/>
      <w:lvlJc w:val="left"/>
      <w:pPr>
        <w:ind w:left="2760" w:hanging="1800"/>
      </w:pPr>
      <w:rPr>
        <w:rFonts w:ascii="Simplified Arabic" w:hAnsi="Simplified Arabic" w:cs="Simplified Arabic" w:hint="default"/>
        <w:b/>
        <w:sz w:val="24"/>
      </w:rPr>
    </w:lvl>
  </w:abstractNum>
  <w:abstractNum w:abstractNumId="196">
    <w:nsid w:val="5B91218C"/>
    <w:multiLevelType w:val="multilevel"/>
    <w:tmpl w:val="6A06E35A"/>
    <w:lvl w:ilvl="0">
      <w:start w:val="1"/>
      <w:numFmt w:val="decimal"/>
      <w:lvlText w:val="%1."/>
      <w:lvlJc w:val="left"/>
      <w:pPr>
        <w:ind w:left="630" w:hanging="630"/>
      </w:pPr>
      <w:rPr>
        <w:rFonts w:hint="default"/>
      </w:rPr>
    </w:lvl>
    <w:lvl w:ilvl="1">
      <w:start w:val="3"/>
      <w:numFmt w:val="decimal"/>
      <w:lvlText w:val="%1.%2."/>
      <w:lvlJc w:val="left"/>
      <w:pPr>
        <w:ind w:left="720" w:hanging="720"/>
      </w:pPr>
      <w:rPr>
        <w:rFonts w:hint="default"/>
        <w:lang w:bidi="ar-DZ"/>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7">
    <w:nsid w:val="5BA174EB"/>
    <w:multiLevelType w:val="multilevel"/>
    <w:tmpl w:val="CB225E36"/>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8">
    <w:nsid w:val="5C7C393A"/>
    <w:multiLevelType w:val="hybridMultilevel"/>
    <w:tmpl w:val="762601EE"/>
    <w:lvl w:ilvl="0" w:tplc="62CC84FA">
      <w:start w:val="2"/>
      <w:numFmt w:val="arabicAlpha"/>
      <w:lvlText w:val="%1)"/>
      <w:lvlJc w:val="left"/>
      <w:pPr>
        <w:ind w:left="720" w:hanging="360"/>
      </w:pPr>
      <w:rPr>
        <w:rFonts w:hint="default"/>
        <w:b w:val="0"/>
        <w:bCs/>
        <w:color w:val="auto"/>
        <w:sz w:val="24"/>
        <w:szCs w:val="24"/>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9">
    <w:nsid w:val="5CC40399"/>
    <w:multiLevelType w:val="multilevel"/>
    <w:tmpl w:val="4D482DAE"/>
    <w:lvl w:ilvl="0">
      <w:start w:val="10"/>
      <w:numFmt w:val="decimal"/>
      <w:lvlText w:val="%1."/>
      <w:lvlJc w:val="left"/>
      <w:pPr>
        <w:ind w:left="555" w:hanging="55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0">
    <w:nsid w:val="5CCD7C5D"/>
    <w:multiLevelType w:val="hybridMultilevel"/>
    <w:tmpl w:val="C226B578"/>
    <w:lvl w:ilvl="0" w:tplc="F1D2849C">
      <w:start w:val="1"/>
      <w:numFmt w:val="arabicAlpha"/>
      <w:lvlText w:val="1.%1."/>
      <w:lvlJc w:val="right"/>
      <w:pPr>
        <w:ind w:left="840" w:hanging="360"/>
      </w:pPr>
      <w:rPr>
        <w:rFonts w:hint="default"/>
        <w:b/>
        <w:bCs/>
        <w:sz w:val="22"/>
        <w:szCs w:val="24"/>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201">
    <w:nsid w:val="5CDF14A1"/>
    <w:multiLevelType w:val="multilevel"/>
    <w:tmpl w:val="4E5ECC20"/>
    <w:lvl w:ilvl="0">
      <w:start w:val="5"/>
      <w:numFmt w:val="decimal"/>
      <w:lvlText w:val="%1."/>
      <w:lvlJc w:val="left"/>
      <w:pPr>
        <w:ind w:left="630" w:hanging="630"/>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3"/>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02">
    <w:nsid w:val="5D4A26EC"/>
    <w:multiLevelType w:val="multilevel"/>
    <w:tmpl w:val="BBD8F306"/>
    <w:lvl w:ilvl="0">
      <w:start w:val="3"/>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03">
    <w:nsid w:val="5D915546"/>
    <w:multiLevelType w:val="multilevel"/>
    <w:tmpl w:val="62D298C6"/>
    <w:lvl w:ilvl="0">
      <w:start w:val="1"/>
      <w:numFmt w:val="decimal"/>
      <w:lvlText w:val="%1."/>
      <w:lvlJc w:val="left"/>
      <w:pPr>
        <w:ind w:left="840" w:hanging="840"/>
      </w:pPr>
      <w:rPr>
        <w:rFonts w:hint="default"/>
        <w:color w:val="000000"/>
      </w:rPr>
    </w:lvl>
    <w:lvl w:ilvl="1">
      <w:start w:val="2"/>
      <w:numFmt w:val="decimal"/>
      <w:lvlText w:val="%1.%2."/>
      <w:lvlJc w:val="left"/>
      <w:pPr>
        <w:ind w:left="960" w:hanging="840"/>
      </w:pPr>
      <w:rPr>
        <w:rFonts w:hint="default"/>
        <w:color w:val="000000"/>
      </w:rPr>
    </w:lvl>
    <w:lvl w:ilvl="2">
      <w:start w:val="8"/>
      <w:numFmt w:val="decimal"/>
      <w:lvlText w:val="%1.%2.%3."/>
      <w:lvlJc w:val="left"/>
      <w:pPr>
        <w:ind w:left="1080" w:hanging="840"/>
      </w:pPr>
      <w:rPr>
        <w:rFonts w:hint="default"/>
        <w:color w:val="000000"/>
      </w:rPr>
    </w:lvl>
    <w:lvl w:ilvl="3">
      <w:start w:val="4"/>
      <w:numFmt w:val="decimal"/>
      <w:lvlText w:val="%1.%2.%3.%4."/>
      <w:lvlJc w:val="left"/>
      <w:pPr>
        <w:ind w:left="1440" w:hanging="1080"/>
      </w:pPr>
      <w:rPr>
        <w:rFonts w:hint="default"/>
        <w:color w:val="000000"/>
      </w:rPr>
    </w:lvl>
    <w:lvl w:ilvl="4">
      <w:start w:val="1"/>
      <w:numFmt w:val="decimal"/>
      <w:lvlText w:val="%1.%2.%3.%4.%5."/>
      <w:lvlJc w:val="left"/>
      <w:pPr>
        <w:ind w:left="1560" w:hanging="1080"/>
      </w:pPr>
      <w:rPr>
        <w:rFonts w:hint="default"/>
        <w:color w:val="000000"/>
      </w:rPr>
    </w:lvl>
    <w:lvl w:ilvl="5">
      <w:start w:val="1"/>
      <w:numFmt w:val="decimal"/>
      <w:lvlText w:val="%1.%2.%3.%4.%5.%6."/>
      <w:lvlJc w:val="left"/>
      <w:pPr>
        <w:ind w:left="2040" w:hanging="1440"/>
      </w:pPr>
      <w:rPr>
        <w:rFonts w:hint="default"/>
        <w:color w:val="000000"/>
      </w:rPr>
    </w:lvl>
    <w:lvl w:ilvl="6">
      <w:start w:val="1"/>
      <w:numFmt w:val="decimal"/>
      <w:lvlText w:val="%1.%2.%3.%4.%5.%6.%7."/>
      <w:lvlJc w:val="left"/>
      <w:pPr>
        <w:ind w:left="2160" w:hanging="1440"/>
      </w:pPr>
      <w:rPr>
        <w:rFonts w:hint="default"/>
        <w:color w:val="000000"/>
      </w:rPr>
    </w:lvl>
    <w:lvl w:ilvl="7">
      <w:start w:val="1"/>
      <w:numFmt w:val="decimal"/>
      <w:lvlText w:val="%1.%2.%3.%4.%5.%6.%7.%8."/>
      <w:lvlJc w:val="left"/>
      <w:pPr>
        <w:ind w:left="2640" w:hanging="1800"/>
      </w:pPr>
      <w:rPr>
        <w:rFonts w:hint="default"/>
        <w:color w:val="000000"/>
      </w:rPr>
    </w:lvl>
    <w:lvl w:ilvl="8">
      <w:start w:val="1"/>
      <w:numFmt w:val="decimal"/>
      <w:lvlText w:val="%1.%2.%3.%4.%5.%6.%7.%8.%9."/>
      <w:lvlJc w:val="left"/>
      <w:pPr>
        <w:ind w:left="2760" w:hanging="1800"/>
      </w:pPr>
      <w:rPr>
        <w:rFonts w:hint="default"/>
        <w:color w:val="000000"/>
      </w:rPr>
    </w:lvl>
  </w:abstractNum>
  <w:abstractNum w:abstractNumId="204">
    <w:nsid w:val="5DFF59C4"/>
    <w:multiLevelType w:val="hybridMultilevel"/>
    <w:tmpl w:val="6D4446AE"/>
    <w:lvl w:ilvl="0" w:tplc="19D0BB6C">
      <w:start w:val="100"/>
      <w:numFmt w:val="bullet"/>
      <w:lvlText w:val=""/>
      <w:lvlJc w:val="left"/>
      <w:pPr>
        <w:ind w:left="642" w:hanging="360"/>
      </w:pPr>
      <w:rPr>
        <w:rFonts w:ascii="Symbol" w:eastAsiaTheme="minorHAnsi" w:hAnsi="Symbol" w:cs="Simplified Arabic" w:hint="default"/>
        <w:b/>
        <w:sz w:val="24"/>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205">
    <w:nsid w:val="5E035393"/>
    <w:multiLevelType w:val="multilevel"/>
    <w:tmpl w:val="E7C64942"/>
    <w:lvl w:ilvl="0">
      <w:start w:val="4"/>
      <w:numFmt w:val="decimal"/>
      <w:lvlText w:val="%1."/>
      <w:lvlJc w:val="left"/>
      <w:pPr>
        <w:ind w:left="630" w:hanging="630"/>
      </w:pPr>
      <w:rPr>
        <w:rFonts w:hint="default"/>
      </w:rPr>
    </w:lvl>
    <w:lvl w:ilvl="1">
      <w:start w:val="6"/>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06">
    <w:nsid w:val="5E675418"/>
    <w:multiLevelType w:val="multilevel"/>
    <w:tmpl w:val="0E4CD2E2"/>
    <w:lvl w:ilvl="0">
      <w:start w:val="1"/>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7">
    <w:nsid w:val="5E785BED"/>
    <w:multiLevelType w:val="multilevel"/>
    <w:tmpl w:val="C88E7E72"/>
    <w:lvl w:ilvl="0">
      <w:start w:val="1"/>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8"/>
      <w:numFmt w:val="decimal"/>
      <w:lvlText w:val="%1.%2.%3."/>
      <w:lvlJc w:val="left"/>
      <w:pPr>
        <w:ind w:left="840" w:hanging="840"/>
      </w:pPr>
      <w:rPr>
        <w:rFonts w:hint="default"/>
      </w:rPr>
    </w:lvl>
    <w:lvl w:ilvl="3">
      <w:start w:val="4"/>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8">
    <w:nsid w:val="5F1F02E4"/>
    <w:multiLevelType w:val="multilevel"/>
    <w:tmpl w:val="C0C004A0"/>
    <w:lvl w:ilvl="0">
      <w:start w:val="4"/>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9">
    <w:nsid w:val="601E265A"/>
    <w:multiLevelType w:val="multilevel"/>
    <w:tmpl w:val="97E83E62"/>
    <w:lvl w:ilvl="0">
      <w:start w:val="4"/>
      <w:numFmt w:val="decimal"/>
      <w:lvlText w:val="%1."/>
      <w:lvlJc w:val="left"/>
      <w:pPr>
        <w:ind w:left="840" w:hanging="840"/>
      </w:pPr>
      <w:rPr>
        <w:rFonts w:hint="default"/>
      </w:rPr>
    </w:lvl>
    <w:lvl w:ilvl="1">
      <w:start w:val="2"/>
      <w:numFmt w:val="decimal"/>
      <w:lvlText w:val="%1.%2."/>
      <w:lvlJc w:val="left"/>
      <w:pPr>
        <w:ind w:left="960" w:hanging="840"/>
      </w:pPr>
      <w:rPr>
        <w:rFonts w:hint="default"/>
      </w:rPr>
    </w:lvl>
    <w:lvl w:ilvl="2">
      <w:start w:val="6"/>
      <w:numFmt w:val="decimal"/>
      <w:lvlText w:val="%1.%2.%3."/>
      <w:lvlJc w:val="left"/>
      <w:pPr>
        <w:ind w:left="1080" w:hanging="840"/>
      </w:pPr>
      <w:rPr>
        <w:rFonts w:hint="default"/>
        <w:b/>
        <w:bCs/>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10">
    <w:nsid w:val="60B30C36"/>
    <w:multiLevelType w:val="multilevel"/>
    <w:tmpl w:val="7AFA3114"/>
    <w:lvl w:ilvl="0">
      <w:start w:val="3"/>
      <w:numFmt w:val="decimal"/>
      <w:lvlText w:val="%1."/>
      <w:lvlJc w:val="left"/>
      <w:pPr>
        <w:ind w:left="840" w:hanging="840"/>
      </w:pPr>
      <w:rPr>
        <w:rFonts w:hint="default"/>
        <w:b/>
      </w:rPr>
    </w:lvl>
    <w:lvl w:ilvl="1">
      <w:start w:val="2"/>
      <w:numFmt w:val="decimal"/>
      <w:lvlText w:val="%1.%2."/>
      <w:lvlJc w:val="left"/>
      <w:pPr>
        <w:ind w:left="960" w:hanging="840"/>
      </w:pPr>
      <w:rPr>
        <w:rFonts w:hint="default"/>
        <w:b w:val="0"/>
        <w:bCs/>
      </w:rPr>
    </w:lvl>
    <w:lvl w:ilvl="2">
      <w:start w:val="1"/>
      <w:numFmt w:val="decimal"/>
      <w:lvlText w:val="%1.%2.%3."/>
      <w:lvlJc w:val="left"/>
      <w:pPr>
        <w:ind w:left="1080" w:hanging="840"/>
      </w:pPr>
      <w:rPr>
        <w:rFonts w:ascii="Simplified Arabic" w:hAnsi="Simplified Arabic" w:cs="Simplified Arabic" w:hint="default"/>
        <w:b w:val="0"/>
        <w:bCs/>
      </w:rPr>
    </w:lvl>
    <w:lvl w:ilvl="3">
      <w:start w:val="2"/>
      <w:numFmt w:val="decimal"/>
      <w:lvlText w:val="%1.%2.%3.%4."/>
      <w:lvlJc w:val="left"/>
      <w:pPr>
        <w:ind w:left="1440" w:hanging="1080"/>
      </w:pPr>
      <w:rPr>
        <w:rFonts w:hint="default"/>
        <w:b/>
        <w:bCs w:val="0"/>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211">
    <w:nsid w:val="61461445"/>
    <w:multiLevelType w:val="multilevel"/>
    <w:tmpl w:val="94167702"/>
    <w:lvl w:ilvl="0">
      <w:start w:val="5"/>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2">
    <w:nsid w:val="622A1E63"/>
    <w:multiLevelType w:val="multilevel"/>
    <w:tmpl w:val="48DCB3EA"/>
    <w:lvl w:ilvl="0">
      <w:start w:val="5"/>
      <w:numFmt w:val="decimal"/>
      <w:lvlText w:val="%1."/>
      <w:lvlJc w:val="left"/>
      <w:pPr>
        <w:ind w:left="630" w:hanging="630"/>
      </w:pPr>
      <w:rPr>
        <w:rFonts w:hint="default"/>
      </w:rPr>
    </w:lvl>
    <w:lvl w:ilvl="1">
      <w:start w:val="2"/>
      <w:numFmt w:val="decimal"/>
      <w:lvlText w:val="%1.%2."/>
      <w:lvlJc w:val="left"/>
      <w:pPr>
        <w:ind w:left="840" w:hanging="720"/>
      </w:pPr>
      <w:rPr>
        <w:rFonts w:hint="default"/>
      </w:rPr>
    </w:lvl>
    <w:lvl w:ilvl="2">
      <w:start w:val="3"/>
      <w:numFmt w:val="decimal"/>
      <w:lvlText w:val="%1.%2.%3."/>
      <w:lvlJc w:val="left"/>
      <w:pPr>
        <w:ind w:left="960" w:hanging="720"/>
      </w:pPr>
      <w:rPr>
        <w:rFonts w:hint="default"/>
      </w:rPr>
    </w:lvl>
    <w:lvl w:ilvl="3">
      <w:start w:val="5"/>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13">
    <w:nsid w:val="631746AD"/>
    <w:multiLevelType w:val="multilevel"/>
    <w:tmpl w:val="267257D4"/>
    <w:lvl w:ilvl="0">
      <w:start w:val="1"/>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4">
    <w:nsid w:val="63754085"/>
    <w:multiLevelType w:val="multilevel"/>
    <w:tmpl w:val="5D1C5034"/>
    <w:lvl w:ilvl="0">
      <w:start w:val="2"/>
      <w:numFmt w:val="decimal"/>
      <w:lvlText w:val="%1."/>
      <w:lvlJc w:val="left"/>
      <w:pPr>
        <w:ind w:left="630" w:hanging="630"/>
      </w:pPr>
      <w:rPr>
        <w:rFonts w:hint="default"/>
        <w:b/>
      </w:rPr>
    </w:lvl>
    <w:lvl w:ilvl="1">
      <w:start w:val="6"/>
      <w:numFmt w:val="decimal"/>
      <w:lvlText w:val="%1.%2."/>
      <w:lvlJc w:val="left"/>
      <w:pPr>
        <w:ind w:left="900" w:hanging="720"/>
      </w:pPr>
      <w:rPr>
        <w:rFonts w:hint="default"/>
        <w:b w:val="0"/>
        <w:bCs/>
      </w:rPr>
    </w:lvl>
    <w:lvl w:ilvl="2">
      <w:start w:val="1"/>
      <w:numFmt w:val="decimal"/>
      <w:lvlText w:val="%1.%2.%3."/>
      <w:lvlJc w:val="left"/>
      <w:pPr>
        <w:ind w:left="1080" w:hanging="720"/>
      </w:pPr>
      <w:rPr>
        <w:rFonts w:hint="default"/>
        <w:b w:val="0"/>
        <w:bCs/>
      </w:rPr>
    </w:lvl>
    <w:lvl w:ilvl="3">
      <w:start w:val="1"/>
      <w:numFmt w:val="decimal"/>
      <w:lvlText w:val="%1.%2.%3.%4."/>
      <w:lvlJc w:val="left"/>
      <w:pPr>
        <w:ind w:left="1620" w:hanging="108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2340" w:hanging="144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3060" w:hanging="1800"/>
      </w:pPr>
      <w:rPr>
        <w:rFonts w:hint="default"/>
        <w:b/>
      </w:rPr>
    </w:lvl>
    <w:lvl w:ilvl="8">
      <w:start w:val="1"/>
      <w:numFmt w:val="decimal"/>
      <w:lvlText w:val="%1.%2.%3.%4.%5.%6.%7.%8.%9."/>
      <w:lvlJc w:val="left"/>
      <w:pPr>
        <w:ind w:left="3240" w:hanging="1800"/>
      </w:pPr>
      <w:rPr>
        <w:rFonts w:hint="default"/>
        <w:b/>
      </w:rPr>
    </w:lvl>
  </w:abstractNum>
  <w:abstractNum w:abstractNumId="215">
    <w:nsid w:val="640D22B1"/>
    <w:multiLevelType w:val="multilevel"/>
    <w:tmpl w:val="59AEECEC"/>
    <w:lvl w:ilvl="0">
      <w:start w:val="3"/>
      <w:numFmt w:val="arabicAlpha"/>
      <w:lvlText w:val="2.%1."/>
      <w:lvlJc w:val="right"/>
      <w:pPr>
        <w:ind w:left="720" w:hanging="360"/>
      </w:pPr>
      <w:rPr>
        <w:rFonts w:hint="default"/>
        <w:b w:val="0"/>
        <w:bCs/>
        <w:sz w:val="22"/>
        <w:szCs w:val="24"/>
      </w:rPr>
    </w:lvl>
    <w:lvl w:ilvl="1">
      <w:start w:val="5"/>
      <w:numFmt w:val="decimal"/>
      <w:isLgl/>
      <w:lvlText w:val="%1.%2."/>
      <w:lvlJc w:val="left"/>
      <w:pPr>
        <w:ind w:left="1080" w:hanging="720"/>
      </w:pPr>
      <w:rPr>
        <w:rFonts w:ascii="Simplified Arabic" w:hAnsi="Simplified Arabic" w:cs="Simplified Arabic" w:hint="default"/>
        <w:b/>
        <w:sz w:val="24"/>
      </w:rPr>
    </w:lvl>
    <w:lvl w:ilvl="2">
      <w:start w:val="2"/>
      <w:numFmt w:val="decimal"/>
      <w:isLgl/>
      <w:lvlText w:val="%1.%2.%3."/>
      <w:lvlJc w:val="left"/>
      <w:pPr>
        <w:ind w:left="1080" w:hanging="720"/>
      </w:pPr>
      <w:rPr>
        <w:rFonts w:ascii="Simplified Arabic" w:hAnsi="Simplified Arabic" w:cs="Simplified Arabic" w:hint="default"/>
        <w:b w:val="0"/>
        <w:bCs/>
        <w:sz w:val="24"/>
      </w:rPr>
    </w:lvl>
    <w:lvl w:ilvl="3">
      <w:start w:val="3"/>
      <w:numFmt w:val="decimal"/>
      <w:isLgl/>
      <w:lvlText w:val="%1.%2.%3.%4."/>
      <w:lvlJc w:val="left"/>
      <w:pPr>
        <w:ind w:left="1440" w:hanging="1080"/>
      </w:pPr>
      <w:rPr>
        <w:rFonts w:ascii="Simplified Arabic" w:hAnsi="Simplified Arabic" w:cs="Simplified Arabic" w:hint="default"/>
        <w:b/>
        <w:sz w:val="24"/>
      </w:rPr>
    </w:lvl>
    <w:lvl w:ilvl="4">
      <w:start w:val="1"/>
      <w:numFmt w:val="decimal"/>
      <w:isLgl/>
      <w:lvlText w:val="%1.%2.%3.%4.%5."/>
      <w:lvlJc w:val="left"/>
      <w:pPr>
        <w:ind w:left="1800" w:hanging="1440"/>
      </w:pPr>
      <w:rPr>
        <w:rFonts w:ascii="Simplified Arabic" w:hAnsi="Simplified Arabic" w:cs="Simplified Arabic" w:hint="default"/>
        <w:b/>
        <w:sz w:val="24"/>
      </w:rPr>
    </w:lvl>
    <w:lvl w:ilvl="5">
      <w:start w:val="1"/>
      <w:numFmt w:val="decimal"/>
      <w:isLgl/>
      <w:lvlText w:val="%1.%2.%3.%4.%5.%6."/>
      <w:lvlJc w:val="left"/>
      <w:pPr>
        <w:ind w:left="1800" w:hanging="1440"/>
      </w:pPr>
      <w:rPr>
        <w:rFonts w:ascii="Simplified Arabic" w:hAnsi="Simplified Arabic" w:cs="Simplified Arabic" w:hint="default"/>
        <w:b/>
        <w:sz w:val="24"/>
      </w:rPr>
    </w:lvl>
    <w:lvl w:ilvl="6">
      <w:start w:val="1"/>
      <w:numFmt w:val="decimal"/>
      <w:isLgl/>
      <w:lvlText w:val="%1.%2.%3.%4.%5.%6.%7."/>
      <w:lvlJc w:val="left"/>
      <w:pPr>
        <w:ind w:left="2160" w:hanging="1800"/>
      </w:pPr>
      <w:rPr>
        <w:rFonts w:ascii="Simplified Arabic" w:hAnsi="Simplified Arabic" w:cs="Simplified Arabic" w:hint="default"/>
        <w:b/>
        <w:sz w:val="24"/>
      </w:rPr>
    </w:lvl>
    <w:lvl w:ilvl="7">
      <w:start w:val="1"/>
      <w:numFmt w:val="decimal"/>
      <w:isLgl/>
      <w:lvlText w:val="%1.%2.%3.%4.%5.%6.%7.%8."/>
      <w:lvlJc w:val="left"/>
      <w:pPr>
        <w:ind w:left="2520" w:hanging="2160"/>
      </w:pPr>
      <w:rPr>
        <w:rFonts w:ascii="Simplified Arabic" w:hAnsi="Simplified Arabic" w:cs="Simplified Arabic" w:hint="default"/>
        <w:b/>
        <w:sz w:val="24"/>
      </w:rPr>
    </w:lvl>
    <w:lvl w:ilvl="8">
      <w:start w:val="1"/>
      <w:numFmt w:val="decimal"/>
      <w:isLgl/>
      <w:lvlText w:val="%1.%2.%3.%4.%5.%6.%7.%8.%9."/>
      <w:lvlJc w:val="left"/>
      <w:pPr>
        <w:ind w:left="2520" w:hanging="2160"/>
      </w:pPr>
      <w:rPr>
        <w:rFonts w:ascii="Simplified Arabic" w:hAnsi="Simplified Arabic" w:cs="Simplified Arabic" w:hint="default"/>
        <w:b/>
        <w:sz w:val="24"/>
      </w:rPr>
    </w:lvl>
  </w:abstractNum>
  <w:abstractNum w:abstractNumId="216">
    <w:nsid w:val="64A971F6"/>
    <w:multiLevelType w:val="multilevel"/>
    <w:tmpl w:val="FF424A1C"/>
    <w:lvl w:ilvl="0">
      <w:start w:val="1"/>
      <w:numFmt w:val="decimal"/>
      <w:lvlText w:val="%1."/>
      <w:lvlJc w:val="left"/>
      <w:pPr>
        <w:ind w:left="840" w:hanging="840"/>
      </w:pPr>
      <w:rPr>
        <w:rFonts w:hint="default"/>
        <w:sz w:val="24"/>
      </w:rPr>
    </w:lvl>
    <w:lvl w:ilvl="1">
      <w:start w:val="4"/>
      <w:numFmt w:val="decimal"/>
      <w:lvlText w:val="%1.%2."/>
      <w:lvlJc w:val="left"/>
      <w:pPr>
        <w:ind w:left="840" w:hanging="840"/>
      </w:pPr>
      <w:rPr>
        <w:rFonts w:hint="default"/>
        <w:sz w:val="24"/>
      </w:rPr>
    </w:lvl>
    <w:lvl w:ilvl="2">
      <w:start w:val="1"/>
      <w:numFmt w:val="decimal"/>
      <w:lvlText w:val="%1.%2.%3."/>
      <w:lvlJc w:val="left"/>
      <w:pPr>
        <w:ind w:left="840" w:hanging="840"/>
      </w:pPr>
      <w:rPr>
        <w:rFonts w:hint="default"/>
        <w:sz w:val="24"/>
        <w:lang w:bidi="ar-DZ"/>
      </w:rPr>
    </w:lvl>
    <w:lvl w:ilvl="3">
      <w:start w:val="1"/>
      <w:numFmt w:val="decimal"/>
      <w:lvlText w:val="%1.%2.%3.%4."/>
      <w:lvlJc w:val="left"/>
      <w:pPr>
        <w:ind w:left="1080" w:hanging="1080"/>
      </w:pPr>
      <w:rPr>
        <w:rFonts w:hint="default"/>
        <w:sz w:val="22"/>
        <w:szCs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160" w:hanging="2160"/>
      </w:pPr>
      <w:rPr>
        <w:rFonts w:hint="default"/>
        <w:sz w:val="24"/>
      </w:rPr>
    </w:lvl>
  </w:abstractNum>
  <w:abstractNum w:abstractNumId="217">
    <w:nsid w:val="64BE08B8"/>
    <w:multiLevelType w:val="hybridMultilevel"/>
    <w:tmpl w:val="BCE40672"/>
    <w:lvl w:ilvl="0" w:tplc="A8C07E48">
      <w:start w:val="2"/>
      <w:numFmt w:val="arabicAlpha"/>
      <w:lvlText w:val="%1)"/>
      <w:lvlJc w:val="left"/>
      <w:pPr>
        <w:ind w:left="720" w:hanging="360"/>
      </w:pPr>
      <w:rPr>
        <w:rFonts w:hint="default"/>
        <w:b w:val="0"/>
        <w:bCs/>
        <w:color w:val="auto"/>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8">
    <w:nsid w:val="654E3A83"/>
    <w:multiLevelType w:val="multilevel"/>
    <w:tmpl w:val="B524BD90"/>
    <w:lvl w:ilvl="0">
      <w:start w:val="2"/>
      <w:numFmt w:val="decimal"/>
      <w:lvlText w:val="%1."/>
      <w:lvlJc w:val="left"/>
      <w:pPr>
        <w:ind w:left="840" w:hanging="840"/>
      </w:pPr>
      <w:rPr>
        <w:rFonts w:hint="default"/>
      </w:rPr>
    </w:lvl>
    <w:lvl w:ilvl="1">
      <w:start w:val="6"/>
      <w:numFmt w:val="decimal"/>
      <w:lvlText w:val="%1.%2."/>
      <w:lvlJc w:val="left"/>
      <w:pPr>
        <w:ind w:left="920" w:hanging="840"/>
      </w:pPr>
      <w:rPr>
        <w:rFonts w:hint="default"/>
      </w:rPr>
    </w:lvl>
    <w:lvl w:ilvl="2">
      <w:start w:val="6"/>
      <w:numFmt w:val="decimal"/>
      <w:lvlText w:val="%1.%2.%3."/>
      <w:lvlJc w:val="left"/>
      <w:pPr>
        <w:ind w:left="1000" w:hanging="840"/>
      </w:pPr>
      <w:rPr>
        <w:rFonts w:hint="default"/>
      </w:rPr>
    </w:lvl>
    <w:lvl w:ilvl="3">
      <w:start w:val="2"/>
      <w:numFmt w:val="decimal"/>
      <w:lvlText w:val="%1.%2.%3.%4."/>
      <w:lvlJc w:val="left"/>
      <w:pPr>
        <w:ind w:left="1320" w:hanging="1080"/>
      </w:pPr>
      <w:rPr>
        <w:rFonts w:hint="default"/>
      </w:rPr>
    </w:lvl>
    <w:lvl w:ilvl="4">
      <w:start w:val="1"/>
      <w:numFmt w:val="decimal"/>
      <w:lvlText w:val="%1.%2.%3.%4.%5."/>
      <w:lvlJc w:val="left"/>
      <w:pPr>
        <w:ind w:left="1400" w:hanging="1080"/>
      </w:pPr>
      <w:rPr>
        <w:rFonts w:hint="default"/>
      </w:rPr>
    </w:lvl>
    <w:lvl w:ilvl="5">
      <w:start w:val="1"/>
      <w:numFmt w:val="decimal"/>
      <w:lvlText w:val="%1.%2.%3.%4.%5.%6."/>
      <w:lvlJc w:val="left"/>
      <w:pPr>
        <w:ind w:left="1840" w:hanging="1440"/>
      </w:pPr>
      <w:rPr>
        <w:rFonts w:hint="default"/>
      </w:rPr>
    </w:lvl>
    <w:lvl w:ilvl="6">
      <w:start w:val="1"/>
      <w:numFmt w:val="decimal"/>
      <w:lvlText w:val="%1.%2.%3.%4.%5.%6.%7."/>
      <w:lvlJc w:val="left"/>
      <w:pPr>
        <w:ind w:left="1920" w:hanging="1440"/>
      </w:pPr>
      <w:rPr>
        <w:rFonts w:hint="default"/>
      </w:rPr>
    </w:lvl>
    <w:lvl w:ilvl="7">
      <w:start w:val="1"/>
      <w:numFmt w:val="decimal"/>
      <w:lvlText w:val="%1.%2.%3.%4.%5.%6.%7.%8."/>
      <w:lvlJc w:val="left"/>
      <w:pPr>
        <w:ind w:left="2360" w:hanging="1800"/>
      </w:pPr>
      <w:rPr>
        <w:rFonts w:hint="default"/>
      </w:rPr>
    </w:lvl>
    <w:lvl w:ilvl="8">
      <w:start w:val="1"/>
      <w:numFmt w:val="decimal"/>
      <w:lvlText w:val="%1.%2.%3.%4.%5.%6.%7.%8.%9."/>
      <w:lvlJc w:val="left"/>
      <w:pPr>
        <w:ind w:left="2440" w:hanging="1800"/>
      </w:pPr>
      <w:rPr>
        <w:rFonts w:hint="default"/>
      </w:rPr>
    </w:lvl>
  </w:abstractNum>
  <w:abstractNum w:abstractNumId="219">
    <w:nsid w:val="65845571"/>
    <w:multiLevelType w:val="multilevel"/>
    <w:tmpl w:val="2F52D4D4"/>
    <w:lvl w:ilvl="0">
      <w:start w:val="4"/>
      <w:numFmt w:val="decimal"/>
      <w:lvlText w:val="%1."/>
      <w:lvlJc w:val="left"/>
      <w:pPr>
        <w:ind w:left="840" w:hanging="840"/>
      </w:pPr>
      <w:rPr>
        <w:rFonts w:hint="default"/>
      </w:rPr>
    </w:lvl>
    <w:lvl w:ilvl="1">
      <w:start w:val="2"/>
      <w:numFmt w:val="decimal"/>
      <w:lvlText w:val="%1.%2."/>
      <w:lvlJc w:val="left"/>
      <w:pPr>
        <w:ind w:left="1020" w:hanging="840"/>
      </w:pPr>
      <w:rPr>
        <w:rFonts w:hint="default"/>
      </w:rPr>
    </w:lvl>
    <w:lvl w:ilvl="2">
      <w:start w:val="3"/>
      <w:numFmt w:val="decimal"/>
      <w:lvlText w:val="%1.%2.%3."/>
      <w:lvlJc w:val="left"/>
      <w:pPr>
        <w:ind w:left="1200" w:hanging="840"/>
      </w:pPr>
      <w:rPr>
        <w:rFonts w:hint="default"/>
      </w:rPr>
    </w:lvl>
    <w:lvl w:ilvl="3">
      <w:start w:val="5"/>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20">
    <w:nsid w:val="660A5446"/>
    <w:multiLevelType w:val="hybridMultilevel"/>
    <w:tmpl w:val="B94AF0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1">
    <w:nsid w:val="66865F1D"/>
    <w:multiLevelType w:val="multilevel"/>
    <w:tmpl w:val="C0C4D3BC"/>
    <w:lvl w:ilvl="0">
      <w:start w:val="4"/>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2">
    <w:nsid w:val="66BB5080"/>
    <w:multiLevelType w:val="multilevel"/>
    <w:tmpl w:val="8B885AA2"/>
    <w:lvl w:ilvl="0">
      <w:start w:val="2"/>
      <w:numFmt w:val="decimal"/>
      <w:lvlText w:val="%1."/>
      <w:lvlJc w:val="left"/>
      <w:pPr>
        <w:ind w:left="630" w:hanging="630"/>
      </w:pPr>
      <w:rPr>
        <w:rFonts w:hint="default"/>
      </w:rPr>
    </w:lvl>
    <w:lvl w:ilvl="1">
      <w:start w:val="2"/>
      <w:numFmt w:val="decimal"/>
      <w:lvlText w:val="%1.%2."/>
      <w:lvlJc w:val="left"/>
      <w:pPr>
        <w:ind w:left="810" w:hanging="720"/>
      </w:pPr>
      <w:rPr>
        <w:rFonts w:hint="default"/>
      </w:rPr>
    </w:lvl>
    <w:lvl w:ilvl="2">
      <w:start w:val="2"/>
      <w:numFmt w:val="decimal"/>
      <w:lvlText w:val="%1.%2.%3."/>
      <w:lvlJc w:val="left"/>
      <w:pPr>
        <w:ind w:left="900" w:hanging="720"/>
      </w:pPr>
      <w:rPr>
        <w:rFonts w:hint="default"/>
      </w:rPr>
    </w:lvl>
    <w:lvl w:ilvl="3">
      <w:start w:val="3"/>
      <w:numFmt w:val="decimal"/>
      <w:lvlText w:val="%1.%2.%3.%4."/>
      <w:lvlJc w:val="left"/>
      <w:pPr>
        <w:ind w:left="135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90" w:hanging="144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430" w:hanging="1800"/>
      </w:pPr>
      <w:rPr>
        <w:rFonts w:hint="default"/>
      </w:rPr>
    </w:lvl>
    <w:lvl w:ilvl="8">
      <w:start w:val="1"/>
      <w:numFmt w:val="decimal"/>
      <w:lvlText w:val="%1.%2.%3.%4.%5.%6.%7.%8.%9."/>
      <w:lvlJc w:val="left"/>
      <w:pPr>
        <w:ind w:left="2520" w:hanging="1800"/>
      </w:pPr>
      <w:rPr>
        <w:rFonts w:hint="default"/>
      </w:rPr>
    </w:lvl>
  </w:abstractNum>
  <w:abstractNum w:abstractNumId="223">
    <w:nsid w:val="67840CEC"/>
    <w:multiLevelType w:val="multilevel"/>
    <w:tmpl w:val="C10C9062"/>
    <w:lvl w:ilvl="0">
      <w:start w:val="2"/>
      <w:numFmt w:val="decimal"/>
      <w:lvlText w:val="%1."/>
      <w:lvlJc w:val="left"/>
      <w:pPr>
        <w:ind w:left="630" w:hanging="630"/>
      </w:pPr>
      <w:rPr>
        <w:rFonts w:hint="default"/>
        <w:b/>
        <w:bCs/>
        <w:sz w:val="24"/>
        <w:szCs w:val="24"/>
      </w:rPr>
    </w:lvl>
    <w:lvl w:ilvl="1">
      <w:start w:val="9"/>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4">
    <w:nsid w:val="67C83B7F"/>
    <w:multiLevelType w:val="hybridMultilevel"/>
    <w:tmpl w:val="25FA5BAE"/>
    <w:lvl w:ilvl="0" w:tplc="9ABA81B2">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5">
    <w:nsid w:val="67E86C8B"/>
    <w:multiLevelType w:val="hybridMultilevel"/>
    <w:tmpl w:val="B09E2680"/>
    <w:lvl w:ilvl="0" w:tplc="92728BE0">
      <w:start w:val="1"/>
      <w:numFmt w:val="bullet"/>
      <w:lvlText w:val="o"/>
      <w:lvlJc w:val="left"/>
      <w:pPr>
        <w:ind w:left="1002" w:hanging="360"/>
      </w:pPr>
      <w:rPr>
        <w:rFonts w:ascii="Courier New" w:hAnsi="Courier New"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226">
    <w:nsid w:val="68EE49A0"/>
    <w:multiLevelType w:val="multilevel"/>
    <w:tmpl w:val="AD9CD7EA"/>
    <w:lvl w:ilvl="0">
      <w:start w:val="5"/>
      <w:numFmt w:val="decimal"/>
      <w:lvlText w:val="%1."/>
      <w:lvlJc w:val="left"/>
      <w:pPr>
        <w:ind w:left="630" w:hanging="630"/>
      </w:pPr>
      <w:rPr>
        <w:rFonts w:hint="default"/>
        <w:b/>
        <w:sz w:val="24"/>
      </w:rPr>
    </w:lvl>
    <w:lvl w:ilvl="1">
      <w:start w:val="2"/>
      <w:numFmt w:val="decimal"/>
      <w:lvlText w:val="%1.%2."/>
      <w:lvlJc w:val="left"/>
      <w:pPr>
        <w:ind w:left="810" w:hanging="630"/>
      </w:pPr>
      <w:rPr>
        <w:rFonts w:ascii="Simplified Arabic" w:hAnsi="Simplified Arabic" w:cs="Simplified Arabic" w:hint="default"/>
        <w:b w:val="0"/>
        <w:bCs/>
        <w:sz w:val="24"/>
      </w:rPr>
    </w:lvl>
    <w:lvl w:ilvl="2">
      <w:start w:val="2"/>
      <w:numFmt w:val="decimal"/>
      <w:lvlText w:val="%1.%2.%3."/>
      <w:lvlJc w:val="left"/>
      <w:pPr>
        <w:ind w:left="1080" w:hanging="720"/>
      </w:pPr>
      <w:rPr>
        <w:rFonts w:ascii="Simplified Arabic" w:hAnsi="Simplified Arabic" w:cs="Simplified Arabic" w:hint="default"/>
        <w:b w:val="0"/>
        <w:bCs/>
        <w:sz w:val="24"/>
      </w:rPr>
    </w:lvl>
    <w:lvl w:ilvl="3">
      <w:start w:val="1"/>
      <w:numFmt w:val="decimal"/>
      <w:lvlText w:val="%1.%2.%3.%4."/>
      <w:lvlJc w:val="left"/>
      <w:pPr>
        <w:ind w:left="1620" w:hanging="108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2340" w:hanging="144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3060" w:hanging="1800"/>
      </w:pPr>
      <w:rPr>
        <w:rFonts w:hint="default"/>
        <w:b/>
        <w:sz w:val="24"/>
      </w:rPr>
    </w:lvl>
    <w:lvl w:ilvl="8">
      <w:start w:val="1"/>
      <w:numFmt w:val="decimal"/>
      <w:lvlText w:val="%1.%2.%3.%4.%5.%6.%7.%8.%9."/>
      <w:lvlJc w:val="left"/>
      <w:pPr>
        <w:ind w:left="3240" w:hanging="1800"/>
      </w:pPr>
      <w:rPr>
        <w:rFonts w:hint="default"/>
        <w:b/>
        <w:sz w:val="24"/>
      </w:rPr>
    </w:lvl>
  </w:abstractNum>
  <w:abstractNum w:abstractNumId="227">
    <w:nsid w:val="69AA70F1"/>
    <w:multiLevelType w:val="hybridMultilevel"/>
    <w:tmpl w:val="D9F400A8"/>
    <w:lvl w:ilvl="0" w:tplc="C512FE5C">
      <w:start w:val="1"/>
      <w:numFmt w:val="bullet"/>
      <w:lvlText w:val=""/>
      <w:lvlJc w:val="left"/>
      <w:pPr>
        <w:ind w:left="720" w:hanging="360"/>
      </w:pPr>
      <w:rPr>
        <w:rFonts w:ascii="Symbol" w:eastAsiaTheme="minorHAns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8">
    <w:nsid w:val="69DB453C"/>
    <w:multiLevelType w:val="multilevel"/>
    <w:tmpl w:val="4A343E52"/>
    <w:lvl w:ilvl="0">
      <w:start w:val="1"/>
      <w:numFmt w:val="decimal"/>
      <w:lvlText w:val="%1."/>
      <w:lvlJc w:val="left"/>
      <w:pPr>
        <w:ind w:left="630" w:hanging="63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9">
    <w:nsid w:val="6A3003A3"/>
    <w:multiLevelType w:val="multilevel"/>
    <w:tmpl w:val="88E2ECCC"/>
    <w:lvl w:ilvl="0">
      <w:start w:val="1"/>
      <w:numFmt w:val="decimal"/>
      <w:lvlText w:val="%1."/>
      <w:lvlJc w:val="left"/>
      <w:pPr>
        <w:ind w:left="630" w:hanging="630"/>
      </w:pPr>
      <w:rPr>
        <w:rFonts w:hint="default"/>
      </w:rPr>
    </w:lvl>
    <w:lvl w:ilvl="1">
      <w:start w:val="1"/>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0">
    <w:nsid w:val="6A4354EA"/>
    <w:multiLevelType w:val="multilevel"/>
    <w:tmpl w:val="E1ECA788"/>
    <w:lvl w:ilvl="0">
      <w:start w:val="2"/>
      <w:numFmt w:val="decimal"/>
      <w:lvlText w:val="%1"/>
      <w:lvlJc w:val="left"/>
      <w:pPr>
        <w:ind w:left="555" w:hanging="555"/>
      </w:pPr>
      <w:rPr>
        <w:rFonts w:hint="default"/>
        <w:b/>
      </w:rPr>
    </w:lvl>
    <w:lvl w:ilvl="1">
      <w:start w:val="2"/>
      <w:numFmt w:val="decimal"/>
      <w:lvlText w:val="%1.%2"/>
      <w:lvlJc w:val="left"/>
      <w:pPr>
        <w:ind w:left="735" w:hanging="555"/>
      </w:pPr>
      <w:rPr>
        <w:rFonts w:hint="default"/>
        <w:b/>
      </w:rPr>
    </w:lvl>
    <w:lvl w:ilvl="2">
      <w:start w:val="6"/>
      <w:numFmt w:val="decimal"/>
      <w:lvlText w:val="%1.%2.%3"/>
      <w:lvlJc w:val="left"/>
      <w:pPr>
        <w:ind w:left="1080" w:hanging="720"/>
      </w:pPr>
      <w:rPr>
        <w:rFonts w:hint="default"/>
        <w:b w:val="0"/>
        <w:bCs/>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2340" w:hanging="144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3060" w:hanging="1800"/>
      </w:pPr>
      <w:rPr>
        <w:rFonts w:hint="default"/>
        <w:b/>
      </w:rPr>
    </w:lvl>
    <w:lvl w:ilvl="8">
      <w:start w:val="1"/>
      <w:numFmt w:val="decimal"/>
      <w:lvlText w:val="%1.%2.%3.%4.%5.%6.%7.%8.%9"/>
      <w:lvlJc w:val="left"/>
      <w:pPr>
        <w:ind w:left="3240" w:hanging="1800"/>
      </w:pPr>
      <w:rPr>
        <w:rFonts w:hint="default"/>
        <w:b/>
      </w:rPr>
    </w:lvl>
  </w:abstractNum>
  <w:abstractNum w:abstractNumId="231">
    <w:nsid w:val="6B196AEB"/>
    <w:multiLevelType w:val="multilevel"/>
    <w:tmpl w:val="F5A8F7B8"/>
    <w:lvl w:ilvl="0">
      <w:start w:val="2"/>
      <w:numFmt w:val="decimal"/>
      <w:lvlText w:val="%1."/>
      <w:lvlJc w:val="left"/>
      <w:pPr>
        <w:ind w:left="630" w:hanging="630"/>
      </w:pPr>
      <w:rPr>
        <w:rFonts w:hint="default"/>
      </w:rPr>
    </w:lvl>
    <w:lvl w:ilvl="1">
      <w:start w:val="6"/>
      <w:numFmt w:val="decimal"/>
      <w:lvlText w:val="%1.%2."/>
      <w:lvlJc w:val="left"/>
      <w:pPr>
        <w:ind w:left="900" w:hanging="720"/>
      </w:pPr>
      <w:rPr>
        <w:rFonts w:hint="default"/>
        <w:b/>
        <w:bCs/>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32">
    <w:nsid w:val="6B5E5598"/>
    <w:multiLevelType w:val="multilevel"/>
    <w:tmpl w:val="17C2ECEC"/>
    <w:lvl w:ilvl="0">
      <w:start w:val="3"/>
      <w:numFmt w:val="decimal"/>
      <w:lvlText w:val="%1."/>
      <w:lvlJc w:val="left"/>
      <w:pPr>
        <w:ind w:left="630" w:hanging="630"/>
      </w:pPr>
      <w:rPr>
        <w:rFonts w:hint="default"/>
        <w:sz w:val="24"/>
      </w:rPr>
    </w:lvl>
    <w:lvl w:ilvl="1">
      <w:start w:val="4"/>
      <w:numFmt w:val="decimal"/>
      <w:lvlText w:val="%1.%2."/>
      <w:lvlJc w:val="left"/>
      <w:pPr>
        <w:ind w:left="900" w:hanging="720"/>
      </w:pPr>
      <w:rPr>
        <w:rFonts w:hint="default"/>
        <w:sz w:val="24"/>
      </w:rPr>
    </w:lvl>
    <w:lvl w:ilvl="2">
      <w:start w:val="2"/>
      <w:numFmt w:val="decimal"/>
      <w:lvlText w:val="%1.%2.%3."/>
      <w:lvlJc w:val="left"/>
      <w:pPr>
        <w:ind w:left="1080" w:hanging="720"/>
      </w:pPr>
      <w:rPr>
        <w:rFonts w:hint="default"/>
        <w:b/>
        <w:bCs/>
        <w:sz w:val="24"/>
        <w:szCs w:val="24"/>
      </w:rPr>
    </w:lvl>
    <w:lvl w:ilvl="3">
      <w:start w:val="1"/>
      <w:numFmt w:val="decimal"/>
      <w:lvlText w:val="%1.%2.%3.%4."/>
      <w:lvlJc w:val="left"/>
      <w:pPr>
        <w:ind w:left="1620" w:hanging="1080"/>
      </w:pPr>
      <w:rPr>
        <w:rFonts w:hint="default"/>
        <w:sz w:val="24"/>
      </w:rPr>
    </w:lvl>
    <w:lvl w:ilvl="4">
      <w:start w:val="1"/>
      <w:numFmt w:val="decimal"/>
      <w:lvlText w:val="%1.%2.%3.%4.%5."/>
      <w:lvlJc w:val="left"/>
      <w:pPr>
        <w:ind w:left="2160" w:hanging="1440"/>
      </w:pPr>
      <w:rPr>
        <w:rFonts w:hint="default"/>
        <w:sz w:val="24"/>
      </w:rPr>
    </w:lvl>
    <w:lvl w:ilvl="5">
      <w:start w:val="1"/>
      <w:numFmt w:val="decimal"/>
      <w:lvlText w:val="%1.%2.%3.%4.%5.%6."/>
      <w:lvlJc w:val="left"/>
      <w:pPr>
        <w:ind w:left="2340" w:hanging="1440"/>
      </w:pPr>
      <w:rPr>
        <w:rFonts w:hint="default"/>
        <w:sz w:val="24"/>
      </w:rPr>
    </w:lvl>
    <w:lvl w:ilvl="6">
      <w:start w:val="1"/>
      <w:numFmt w:val="decimal"/>
      <w:lvlText w:val="%1.%2.%3.%4.%5.%6.%7."/>
      <w:lvlJc w:val="left"/>
      <w:pPr>
        <w:ind w:left="2880" w:hanging="1800"/>
      </w:pPr>
      <w:rPr>
        <w:rFonts w:hint="default"/>
        <w:sz w:val="24"/>
      </w:rPr>
    </w:lvl>
    <w:lvl w:ilvl="7">
      <w:start w:val="1"/>
      <w:numFmt w:val="decimal"/>
      <w:lvlText w:val="%1.%2.%3.%4.%5.%6.%7.%8."/>
      <w:lvlJc w:val="left"/>
      <w:pPr>
        <w:ind w:left="3420" w:hanging="2160"/>
      </w:pPr>
      <w:rPr>
        <w:rFonts w:hint="default"/>
        <w:sz w:val="24"/>
      </w:rPr>
    </w:lvl>
    <w:lvl w:ilvl="8">
      <w:start w:val="1"/>
      <w:numFmt w:val="decimal"/>
      <w:lvlText w:val="%1.%2.%3.%4.%5.%6.%7.%8.%9."/>
      <w:lvlJc w:val="left"/>
      <w:pPr>
        <w:ind w:left="3600" w:hanging="2160"/>
      </w:pPr>
      <w:rPr>
        <w:rFonts w:hint="default"/>
        <w:sz w:val="24"/>
      </w:rPr>
    </w:lvl>
  </w:abstractNum>
  <w:abstractNum w:abstractNumId="233">
    <w:nsid w:val="6BB13C50"/>
    <w:multiLevelType w:val="multilevel"/>
    <w:tmpl w:val="EECCC366"/>
    <w:lvl w:ilvl="0">
      <w:start w:val="2"/>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4">
    <w:nsid w:val="6BBC4EBF"/>
    <w:multiLevelType w:val="multilevel"/>
    <w:tmpl w:val="A558B8BA"/>
    <w:lvl w:ilvl="0">
      <w:start w:val="1"/>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35">
    <w:nsid w:val="6BF73FD4"/>
    <w:multiLevelType w:val="multilevel"/>
    <w:tmpl w:val="7F8474DC"/>
    <w:lvl w:ilvl="0">
      <w:start w:val="2"/>
      <w:numFmt w:val="decimal"/>
      <w:lvlText w:val="%1."/>
      <w:lvlJc w:val="left"/>
      <w:pPr>
        <w:ind w:left="2988" w:hanging="360"/>
      </w:pPr>
      <w:rPr>
        <w:rFonts w:hint="default"/>
      </w:rPr>
    </w:lvl>
    <w:lvl w:ilvl="1">
      <w:start w:val="2"/>
      <w:numFmt w:val="decimal"/>
      <w:isLgl/>
      <w:lvlText w:val="%1.%2."/>
      <w:lvlJc w:val="left"/>
      <w:pPr>
        <w:ind w:left="3348" w:hanging="720"/>
      </w:pPr>
      <w:rPr>
        <w:rFonts w:hint="default"/>
      </w:rPr>
    </w:lvl>
    <w:lvl w:ilvl="2">
      <w:start w:val="3"/>
      <w:numFmt w:val="decimal"/>
      <w:isLgl/>
      <w:lvlText w:val="%1.%2.%3."/>
      <w:lvlJc w:val="left"/>
      <w:pPr>
        <w:ind w:left="3348" w:hanging="720"/>
      </w:pPr>
      <w:rPr>
        <w:rFonts w:hint="default"/>
      </w:rPr>
    </w:lvl>
    <w:lvl w:ilvl="3">
      <w:start w:val="1"/>
      <w:numFmt w:val="decimal"/>
      <w:isLgl/>
      <w:lvlText w:val="%1.%2.%3.%4."/>
      <w:lvlJc w:val="left"/>
      <w:pPr>
        <w:ind w:left="3708" w:hanging="1080"/>
      </w:pPr>
      <w:rPr>
        <w:rFonts w:hint="default"/>
      </w:rPr>
    </w:lvl>
    <w:lvl w:ilvl="4">
      <w:start w:val="1"/>
      <w:numFmt w:val="decimal"/>
      <w:isLgl/>
      <w:lvlText w:val="%1.%2.%3.%4.%5."/>
      <w:lvlJc w:val="left"/>
      <w:pPr>
        <w:ind w:left="3708" w:hanging="1080"/>
      </w:pPr>
      <w:rPr>
        <w:rFonts w:hint="default"/>
      </w:rPr>
    </w:lvl>
    <w:lvl w:ilvl="5">
      <w:start w:val="1"/>
      <w:numFmt w:val="decimal"/>
      <w:isLgl/>
      <w:lvlText w:val="%1.%2.%3.%4.%5.%6."/>
      <w:lvlJc w:val="left"/>
      <w:pPr>
        <w:ind w:left="4068" w:hanging="1440"/>
      </w:pPr>
      <w:rPr>
        <w:rFonts w:hint="default"/>
      </w:rPr>
    </w:lvl>
    <w:lvl w:ilvl="6">
      <w:start w:val="1"/>
      <w:numFmt w:val="decimal"/>
      <w:isLgl/>
      <w:lvlText w:val="%1.%2.%3.%4.%5.%6.%7."/>
      <w:lvlJc w:val="left"/>
      <w:pPr>
        <w:ind w:left="4068" w:hanging="1440"/>
      </w:pPr>
      <w:rPr>
        <w:rFonts w:hint="default"/>
      </w:rPr>
    </w:lvl>
    <w:lvl w:ilvl="7">
      <w:start w:val="1"/>
      <w:numFmt w:val="decimal"/>
      <w:isLgl/>
      <w:lvlText w:val="%1.%2.%3.%4.%5.%6.%7.%8."/>
      <w:lvlJc w:val="left"/>
      <w:pPr>
        <w:ind w:left="4428" w:hanging="1800"/>
      </w:pPr>
      <w:rPr>
        <w:rFonts w:hint="default"/>
      </w:rPr>
    </w:lvl>
    <w:lvl w:ilvl="8">
      <w:start w:val="1"/>
      <w:numFmt w:val="decimal"/>
      <w:isLgl/>
      <w:lvlText w:val="%1.%2.%3.%4.%5.%6.%7.%8.%9."/>
      <w:lvlJc w:val="left"/>
      <w:pPr>
        <w:ind w:left="4428" w:hanging="1800"/>
      </w:pPr>
      <w:rPr>
        <w:rFonts w:hint="default"/>
      </w:rPr>
    </w:lvl>
  </w:abstractNum>
  <w:abstractNum w:abstractNumId="236">
    <w:nsid w:val="6C7F16F1"/>
    <w:multiLevelType w:val="hybridMultilevel"/>
    <w:tmpl w:val="2F948C46"/>
    <w:lvl w:ilvl="0" w:tplc="D5106BE2">
      <w:start w:val="1"/>
      <w:numFmt w:val="arabicAlpha"/>
      <w:lvlText w:val="%1)"/>
      <w:lvlJc w:val="left"/>
      <w:pPr>
        <w:ind w:left="1002" w:hanging="360"/>
      </w:pPr>
      <w:rPr>
        <w:rFonts w:ascii="Simplified Arabic" w:hAnsi="Simplified Arabic" w:cs="Simplified Arabic" w:hint="default"/>
        <w:sz w:val="24"/>
        <w:szCs w:val="24"/>
      </w:rPr>
    </w:lvl>
    <w:lvl w:ilvl="1" w:tplc="040C0019" w:tentative="1">
      <w:start w:val="1"/>
      <w:numFmt w:val="lowerLetter"/>
      <w:lvlText w:val="%2."/>
      <w:lvlJc w:val="left"/>
      <w:pPr>
        <w:ind w:left="1722" w:hanging="360"/>
      </w:pPr>
    </w:lvl>
    <w:lvl w:ilvl="2" w:tplc="040C001B" w:tentative="1">
      <w:start w:val="1"/>
      <w:numFmt w:val="lowerRoman"/>
      <w:lvlText w:val="%3."/>
      <w:lvlJc w:val="right"/>
      <w:pPr>
        <w:ind w:left="2442" w:hanging="180"/>
      </w:pPr>
    </w:lvl>
    <w:lvl w:ilvl="3" w:tplc="040C000F" w:tentative="1">
      <w:start w:val="1"/>
      <w:numFmt w:val="decimal"/>
      <w:lvlText w:val="%4."/>
      <w:lvlJc w:val="left"/>
      <w:pPr>
        <w:ind w:left="3162" w:hanging="360"/>
      </w:pPr>
    </w:lvl>
    <w:lvl w:ilvl="4" w:tplc="040C0019" w:tentative="1">
      <w:start w:val="1"/>
      <w:numFmt w:val="lowerLetter"/>
      <w:lvlText w:val="%5."/>
      <w:lvlJc w:val="left"/>
      <w:pPr>
        <w:ind w:left="3882" w:hanging="360"/>
      </w:pPr>
    </w:lvl>
    <w:lvl w:ilvl="5" w:tplc="040C001B" w:tentative="1">
      <w:start w:val="1"/>
      <w:numFmt w:val="lowerRoman"/>
      <w:lvlText w:val="%6."/>
      <w:lvlJc w:val="right"/>
      <w:pPr>
        <w:ind w:left="4602" w:hanging="180"/>
      </w:pPr>
    </w:lvl>
    <w:lvl w:ilvl="6" w:tplc="040C000F" w:tentative="1">
      <w:start w:val="1"/>
      <w:numFmt w:val="decimal"/>
      <w:lvlText w:val="%7."/>
      <w:lvlJc w:val="left"/>
      <w:pPr>
        <w:ind w:left="5322" w:hanging="360"/>
      </w:pPr>
    </w:lvl>
    <w:lvl w:ilvl="7" w:tplc="040C0019" w:tentative="1">
      <w:start w:val="1"/>
      <w:numFmt w:val="lowerLetter"/>
      <w:lvlText w:val="%8."/>
      <w:lvlJc w:val="left"/>
      <w:pPr>
        <w:ind w:left="6042" w:hanging="360"/>
      </w:pPr>
    </w:lvl>
    <w:lvl w:ilvl="8" w:tplc="040C001B" w:tentative="1">
      <w:start w:val="1"/>
      <w:numFmt w:val="lowerRoman"/>
      <w:lvlText w:val="%9."/>
      <w:lvlJc w:val="right"/>
      <w:pPr>
        <w:ind w:left="6762" w:hanging="180"/>
      </w:pPr>
    </w:lvl>
  </w:abstractNum>
  <w:abstractNum w:abstractNumId="237">
    <w:nsid w:val="6CA65AE8"/>
    <w:multiLevelType w:val="multilevel"/>
    <w:tmpl w:val="59FA426E"/>
    <w:lvl w:ilvl="0">
      <w:start w:val="4"/>
      <w:numFmt w:val="decimal"/>
      <w:lvlText w:val="%1."/>
      <w:lvlJc w:val="left"/>
      <w:pPr>
        <w:ind w:left="840" w:hanging="840"/>
      </w:pPr>
      <w:rPr>
        <w:rFonts w:hint="default"/>
        <w:b/>
      </w:rPr>
    </w:lvl>
    <w:lvl w:ilvl="1">
      <w:start w:val="4"/>
      <w:numFmt w:val="decimal"/>
      <w:lvlText w:val="%1.%2."/>
      <w:lvlJc w:val="left"/>
      <w:pPr>
        <w:ind w:left="960" w:hanging="840"/>
      </w:pPr>
      <w:rPr>
        <w:rFonts w:hint="default"/>
        <w:b/>
      </w:rPr>
    </w:lvl>
    <w:lvl w:ilvl="2">
      <w:start w:val="6"/>
      <w:numFmt w:val="decimal"/>
      <w:lvlText w:val="%1.%2.%3."/>
      <w:lvlJc w:val="left"/>
      <w:pPr>
        <w:ind w:left="1080" w:hanging="840"/>
      </w:pPr>
      <w:rPr>
        <w:rFonts w:hint="default"/>
        <w:b/>
      </w:rPr>
    </w:lvl>
    <w:lvl w:ilvl="3">
      <w:start w:val="1"/>
      <w:numFmt w:val="decimal"/>
      <w:lvlText w:val="%1.%2.%3.%4."/>
      <w:lvlJc w:val="left"/>
      <w:pPr>
        <w:ind w:left="1440" w:hanging="1080"/>
      </w:pPr>
      <w:rPr>
        <w:rFonts w:hint="default"/>
        <w:b/>
        <w:bCs w:val="0"/>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238">
    <w:nsid w:val="6CBF2D91"/>
    <w:multiLevelType w:val="hybridMultilevel"/>
    <w:tmpl w:val="89A2AB5C"/>
    <w:lvl w:ilvl="0" w:tplc="83583D96">
      <w:start w:val="1"/>
      <w:numFmt w:val="arabicAlpha"/>
      <w:lvlText w:val="4.%1."/>
      <w:lvlJc w:val="right"/>
      <w:pPr>
        <w:ind w:left="720" w:hanging="360"/>
      </w:pPr>
      <w:rPr>
        <w:rFonts w:hint="default"/>
        <w:b/>
        <w:bCs/>
        <w:sz w:val="22"/>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9">
    <w:nsid w:val="6CFC4251"/>
    <w:multiLevelType w:val="hybridMultilevel"/>
    <w:tmpl w:val="175A481A"/>
    <w:lvl w:ilvl="0" w:tplc="5852A0DA">
      <w:start w:val="1"/>
      <w:numFmt w:val="bullet"/>
      <w:lvlText w:val=""/>
      <w:lvlJc w:val="center"/>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40">
    <w:nsid w:val="6D517A6D"/>
    <w:multiLevelType w:val="multilevel"/>
    <w:tmpl w:val="97807FFE"/>
    <w:lvl w:ilvl="0">
      <w:start w:val="1"/>
      <w:numFmt w:val="decimal"/>
      <w:lvlText w:val="%1."/>
      <w:lvlJc w:val="left"/>
      <w:pPr>
        <w:ind w:left="840" w:hanging="840"/>
      </w:pPr>
      <w:rPr>
        <w:rFonts w:hint="default"/>
      </w:rPr>
    </w:lvl>
    <w:lvl w:ilvl="1">
      <w:start w:val="2"/>
      <w:numFmt w:val="decimal"/>
      <w:lvlText w:val="%1.%2."/>
      <w:lvlJc w:val="left"/>
      <w:pPr>
        <w:ind w:left="960" w:hanging="840"/>
      </w:pPr>
      <w:rPr>
        <w:rFonts w:hint="default"/>
      </w:rPr>
    </w:lvl>
    <w:lvl w:ilvl="2">
      <w:start w:val="4"/>
      <w:numFmt w:val="decimal"/>
      <w:lvlText w:val="%1.%2.%3."/>
      <w:lvlJc w:val="left"/>
      <w:pPr>
        <w:ind w:left="1080" w:hanging="840"/>
      </w:pPr>
      <w:rPr>
        <w:rFonts w:hint="default"/>
      </w:rPr>
    </w:lvl>
    <w:lvl w:ilvl="3">
      <w:start w:val="2"/>
      <w:numFmt w:val="decimal"/>
      <w:lvlText w:val="%1.%2.%3.%4."/>
      <w:lvlJc w:val="left"/>
      <w:pPr>
        <w:ind w:left="1440" w:hanging="1080"/>
      </w:pPr>
      <w:rPr>
        <w:rFonts w:ascii="Simplified Arabic" w:hAnsi="Simplified Arabic" w:cs="Simplified Arabic" w:hint="default"/>
        <w:sz w:val="24"/>
        <w:szCs w:val="24"/>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41">
    <w:nsid w:val="6E700FA6"/>
    <w:multiLevelType w:val="hybridMultilevel"/>
    <w:tmpl w:val="BB448F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2">
    <w:nsid w:val="6FEA33ED"/>
    <w:multiLevelType w:val="multilevel"/>
    <w:tmpl w:val="458440EE"/>
    <w:lvl w:ilvl="0">
      <w:start w:val="3"/>
      <w:numFmt w:val="decimal"/>
      <w:lvlText w:val="%1."/>
      <w:lvlJc w:val="left"/>
      <w:pPr>
        <w:ind w:left="840" w:hanging="840"/>
      </w:pPr>
      <w:rPr>
        <w:rFonts w:hint="default"/>
      </w:rPr>
    </w:lvl>
    <w:lvl w:ilvl="1">
      <w:start w:val="3"/>
      <w:numFmt w:val="arabicAlpha"/>
      <w:lvlText w:val="6.%2."/>
      <w:lvlJc w:val="right"/>
      <w:pPr>
        <w:ind w:left="960" w:hanging="840"/>
      </w:pPr>
      <w:rPr>
        <w:rFonts w:hint="default"/>
        <w:b/>
        <w:bCs/>
        <w:sz w:val="22"/>
        <w:szCs w:val="24"/>
      </w:rPr>
    </w:lvl>
    <w:lvl w:ilvl="2">
      <w:start w:val="4"/>
      <w:numFmt w:val="decimal"/>
      <w:lvlText w:val="%1.%2.%3."/>
      <w:lvlJc w:val="left"/>
      <w:pPr>
        <w:ind w:left="1080" w:hanging="840"/>
      </w:pPr>
      <w:rPr>
        <w:rFonts w:hint="default"/>
      </w:rPr>
    </w:lvl>
    <w:lvl w:ilvl="3">
      <w:start w:val="2"/>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43">
    <w:nsid w:val="701943C5"/>
    <w:multiLevelType w:val="hybridMultilevel"/>
    <w:tmpl w:val="34F4EBD8"/>
    <w:lvl w:ilvl="0" w:tplc="5B789B56">
      <w:start w:val="1"/>
      <w:numFmt w:val="decimal"/>
      <w:lvlText w:val="%1-"/>
      <w:lvlJc w:val="left"/>
      <w:pPr>
        <w:ind w:left="642" w:hanging="360"/>
      </w:pPr>
      <w:rPr>
        <w:rFonts w:ascii="Simplified Arabic" w:eastAsiaTheme="minorHAnsi" w:hAnsi="Simplified Arabic" w:cs="Simplified Arabic"/>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244">
    <w:nsid w:val="703B47FE"/>
    <w:multiLevelType w:val="hybridMultilevel"/>
    <w:tmpl w:val="0606744A"/>
    <w:lvl w:ilvl="0" w:tplc="5F4EB27E">
      <w:start w:val="1"/>
      <w:numFmt w:val="arabicAlpha"/>
      <w:lvlText w:val="3.%1."/>
      <w:lvlJc w:val="right"/>
      <w:pPr>
        <w:ind w:left="840" w:hanging="360"/>
      </w:pPr>
      <w:rPr>
        <w:rFonts w:hint="default"/>
        <w:b/>
        <w:bCs/>
        <w:sz w:val="22"/>
        <w:szCs w:val="24"/>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245">
    <w:nsid w:val="708D2906"/>
    <w:multiLevelType w:val="hybridMultilevel"/>
    <w:tmpl w:val="63820878"/>
    <w:lvl w:ilvl="0" w:tplc="92728BE0">
      <w:start w:val="1"/>
      <w:numFmt w:val="bullet"/>
      <w:lvlText w:val="o"/>
      <w:lvlJc w:val="left"/>
      <w:pPr>
        <w:ind w:left="360" w:hanging="360"/>
      </w:pPr>
      <w:rPr>
        <w:rFonts w:ascii="Courier New" w:hAnsi="Courier New"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6">
    <w:nsid w:val="714D71DF"/>
    <w:multiLevelType w:val="multilevel"/>
    <w:tmpl w:val="B8784C36"/>
    <w:lvl w:ilvl="0">
      <w:start w:val="4"/>
      <w:numFmt w:val="decimal"/>
      <w:lvlText w:val="%1."/>
      <w:lvlJc w:val="left"/>
      <w:pPr>
        <w:ind w:left="420" w:hanging="420"/>
      </w:pPr>
      <w:rPr>
        <w:rFonts w:hint="default"/>
      </w:rPr>
    </w:lvl>
    <w:lvl w:ilvl="1">
      <w:start w:val="2"/>
      <w:numFmt w:val="decimal"/>
      <w:lvlText w:val="%1.%2."/>
      <w:lvlJc w:val="left"/>
      <w:pPr>
        <w:ind w:left="1080" w:hanging="720"/>
      </w:pPr>
      <w:rPr>
        <w:rFonts w:hint="default"/>
        <w:b/>
        <w:bCs/>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47">
    <w:nsid w:val="71F92B8C"/>
    <w:multiLevelType w:val="hybridMultilevel"/>
    <w:tmpl w:val="01601954"/>
    <w:lvl w:ilvl="0" w:tplc="16EEF466">
      <w:start w:val="1"/>
      <w:numFmt w:val="decimal"/>
      <w:lvlText w:val="%1-"/>
      <w:lvlJc w:val="left"/>
      <w:pPr>
        <w:ind w:left="643" w:hanging="360"/>
      </w:pPr>
      <w:rPr>
        <w:rFonts w:ascii="Simplified Arabic" w:hAnsi="Simplified Arabic" w:cs="Simplified Arabic" w:hint="default"/>
        <w:color w:val="000000" w:themeColor="text1"/>
        <w:u w:val="none"/>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48">
    <w:nsid w:val="72AE5F58"/>
    <w:multiLevelType w:val="multilevel"/>
    <w:tmpl w:val="DC80B772"/>
    <w:lvl w:ilvl="0">
      <w:start w:val="3"/>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3"/>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49">
    <w:nsid w:val="72DA594D"/>
    <w:multiLevelType w:val="multilevel"/>
    <w:tmpl w:val="0BEE2404"/>
    <w:lvl w:ilvl="0">
      <w:start w:val="6"/>
      <w:numFmt w:val="decimal"/>
      <w:lvlText w:val="%1."/>
      <w:lvlJc w:val="left"/>
      <w:pPr>
        <w:ind w:left="420" w:hanging="420"/>
      </w:pPr>
      <w:rPr>
        <w:rFonts w:hint="default"/>
        <w:b/>
        <w:sz w:val="24"/>
      </w:rPr>
    </w:lvl>
    <w:lvl w:ilvl="1">
      <w:start w:val="2"/>
      <w:numFmt w:val="decimal"/>
      <w:lvlText w:val="%1.%2."/>
      <w:lvlJc w:val="left"/>
      <w:pPr>
        <w:ind w:left="780" w:hanging="420"/>
      </w:pPr>
      <w:rPr>
        <w:rFonts w:hint="default"/>
        <w:b/>
        <w:bCs w:val="0"/>
        <w:sz w:val="24"/>
      </w:rPr>
    </w:lvl>
    <w:lvl w:ilvl="2">
      <w:start w:val="1"/>
      <w:numFmt w:val="decimal"/>
      <w:lvlText w:val="%1.%2.%3."/>
      <w:lvlJc w:val="left"/>
      <w:pPr>
        <w:ind w:left="1440" w:hanging="720"/>
      </w:pPr>
      <w:rPr>
        <w:rFonts w:hint="default"/>
        <w:b/>
        <w:sz w:val="24"/>
      </w:rPr>
    </w:lvl>
    <w:lvl w:ilvl="3">
      <w:start w:val="1"/>
      <w:numFmt w:val="decimal"/>
      <w:lvlText w:val="%1.%2.%3.%4."/>
      <w:lvlJc w:val="left"/>
      <w:pPr>
        <w:ind w:left="2160" w:hanging="1080"/>
      </w:pPr>
      <w:rPr>
        <w:rFonts w:hint="default"/>
        <w:b/>
        <w:sz w:val="24"/>
      </w:rPr>
    </w:lvl>
    <w:lvl w:ilvl="4">
      <w:start w:val="1"/>
      <w:numFmt w:val="decimal"/>
      <w:lvlText w:val="%1.%2.%3.%4.%5."/>
      <w:lvlJc w:val="left"/>
      <w:pPr>
        <w:ind w:left="2520" w:hanging="1080"/>
      </w:pPr>
      <w:rPr>
        <w:rFonts w:hint="default"/>
        <w:b/>
        <w:sz w:val="24"/>
      </w:rPr>
    </w:lvl>
    <w:lvl w:ilvl="5">
      <w:start w:val="1"/>
      <w:numFmt w:val="decimal"/>
      <w:lvlText w:val="%1.%2.%3.%4.%5.%6."/>
      <w:lvlJc w:val="left"/>
      <w:pPr>
        <w:ind w:left="3240" w:hanging="1440"/>
      </w:pPr>
      <w:rPr>
        <w:rFonts w:hint="default"/>
        <w:b/>
        <w:sz w:val="24"/>
      </w:rPr>
    </w:lvl>
    <w:lvl w:ilvl="6">
      <w:start w:val="1"/>
      <w:numFmt w:val="decimal"/>
      <w:lvlText w:val="%1.%2.%3.%4.%5.%6.%7."/>
      <w:lvlJc w:val="left"/>
      <w:pPr>
        <w:ind w:left="3600" w:hanging="1440"/>
      </w:pPr>
      <w:rPr>
        <w:rFonts w:hint="default"/>
        <w:b/>
        <w:sz w:val="24"/>
      </w:rPr>
    </w:lvl>
    <w:lvl w:ilvl="7">
      <w:start w:val="1"/>
      <w:numFmt w:val="decimal"/>
      <w:lvlText w:val="%1.%2.%3.%4.%5.%6.%7.%8."/>
      <w:lvlJc w:val="left"/>
      <w:pPr>
        <w:ind w:left="4320" w:hanging="1800"/>
      </w:pPr>
      <w:rPr>
        <w:rFonts w:hint="default"/>
        <w:b/>
        <w:sz w:val="24"/>
      </w:rPr>
    </w:lvl>
    <w:lvl w:ilvl="8">
      <w:start w:val="1"/>
      <w:numFmt w:val="decimal"/>
      <w:lvlText w:val="%1.%2.%3.%4.%5.%6.%7.%8.%9."/>
      <w:lvlJc w:val="left"/>
      <w:pPr>
        <w:ind w:left="4680" w:hanging="1800"/>
      </w:pPr>
      <w:rPr>
        <w:rFonts w:hint="default"/>
        <w:b/>
        <w:sz w:val="24"/>
      </w:rPr>
    </w:lvl>
  </w:abstractNum>
  <w:abstractNum w:abstractNumId="250">
    <w:nsid w:val="72FD2492"/>
    <w:multiLevelType w:val="multilevel"/>
    <w:tmpl w:val="F9E8F492"/>
    <w:lvl w:ilvl="0">
      <w:start w:val="3"/>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1080" w:hanging="1080"/>
      </w:pPr>
      <w:rPr>
        <w:rFonts w:hint="default"/>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1">
    <w:nsid w:val="733808B8"/>
    <w:multiLevelType w:val="multilevel"/>
    <w:tmpl w:val="A40AA690"/>
    <w:lvl w:ilvl="0">
      <w:start w:val="3"/>
      <w:numFmt w:val="decimal"/>
      <w:lvlText w:val="%1."/>
      <w:lvlJc w:val="left"/>
      <w:pPr>
        <w:ind w:left="630" w:hanging="630"/>
      </w:pPr>
      <w:rPr>
        <w:rFonts w:hint="default"/>
      </w:rPr>
    </w:lvl>
    <w:lvl w:ilvl="1">
      <w:start w:val="1"/>
      <w:numFmt w:val="decimal"/>
      <w:lvlText w:val="%1.%2."/>
      <w:lvlJc w:val="left"/>
      <w:pPr>
        <w:ind w:left="900" w:hanging="720"/>
      </w:pPr>
      <w:rPr>
        <w:rFonts w:ascii="Simplified Arabic" w:hAnsi="Simplified Arabic" w:cs="Simplified Arabic" w:hint="default"/>
        <w:b/>
        <w:bCs/>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52">
    <w:nsid w:val="74AF23DF"/>
    <w:multiLevelType w:val="multilevel"/>
    <w:tmpl w:val="8B665112"/>
    <w:lvl w:ilvl="0">
      <w:start w:val="6"/>
      <w:numFmt w:val="decimal"/>
      <w:lvlText w:val="%1."/>
      <w:lvlJc w:val="left"/>
      <w:pPr>
        <w:ind w:left="840" w:hanging="840"/>
      </w:pPr>
      <w:rPr>
        <w:rFonts w:hint="default"/>
      </w:rPr>
    </w:lvl>
    <w:lvl w:ilvl="1">
      <w:start w:val="6"/>
      <w:numFmt w:val="arabicAlpha"/>
      <w:lvlText w:val="2.%2."/>
      <w:lvlJc w:val="right"/>
      <w:pPr>
        <w:ind w:left="960" w:hanging="840"/>
      </w:pPr>
      <w:rPr>
        <w:rFonts w:hint="default"/>
        <w:b/>
        <w:bCs/>
        <w:sz w:val="22"/>
        <w:szCs w:val="24"/>
      </w:rPr>
    </w:lvl>
    <w:lvl w:ilvl="2">
      <w:start w:val="4"/>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53">
    <w:nsid w:val="74B45E28"/>
    <w:multiLevelType w:val="multilevel"/>
    <w:tmpl w:val="707A5ECE"/>
    <w:lvl w:ilvl="0">
      <w:start w:val="4"/>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ascii="Simplified Arabic" w:hAnsi="Simplified Arabic" w:cs="Simplified Arabic" w:hint="default"/>
        <w:b/>
        <w:bCs/>
        <w:sz w:val="24"/>
        <w:szCs w:val="24"/>
      </w:rPr>
    </w:lvl>
    <w:lvl w:ilvl="3">
      <w:start w:val="5"/>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4">
    <w:nsid w:val="752149D9"/>
    <w:multiLevelType w:val="multilevel"/>
    <w:tmpl w:val="3B323C2E"/>
    <w:lvl w:ilvl="0">
      <w:start w:val="2"/>
      <w:numFmt w:val="decimal"/>
      <w:lvlText w:val="%1."/>
      <w:lvlJc w:val="left"/>
      <w:pPr>
        <w:ind w:left="630" w:hanging="630"/>
      </w:pPr>
      <w:rPr>
        <w:rFonts w:hint="default"/>
      </w:rPr>
    </w:lvl>
    <w:lvl w:ilvl="1">
      <w:start w:val="2"/>
      <w:numFmt w:val="decimal"/>
      <w:lvlText w:val="%1.%2."/>
      <w:lvlJc w:val="left"/>
      <w:pPr>
        <w:ind w:left="840" w:hanging="720"/>
      </w:pPr>
      <w:rPr>
        <w:rFonts w:hint="default"/>
      </w:rPr>
    </w:lvl>
    <w:lvl w:ilvl="2">
      <w:start w:val="3"/>
      <w:numFmt w:val="decimal"/>
      <w:lvlText w:val="%1.%2.%3."/>
      <w:lvlJc w:val="left"/>
      <w:pPr>
        <w:ind w:left="960" w:hanging="720"/>
      </w:pPr>
      <w:rPr>
        <w:rFonts w:hint="default"/>
      </w:rPr>
    </w:lvl>
    <w:lvl w:ilvl="3">
      <w:start w:val="5"/>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55">
    <w:nsid w:val="753F3C67"/>
    <w:multiLevelType w:val="multilevel"/>
    <w:tmpl w:val="F13A0726"/>
    <w:lvl w:ilvl="0">
      <w:start w:val="1"/>
      <w:numFmt w:val="decimal"/>
      <w:lvlText w:val="%1."/>
      <w:lvlJc w:val="left"/>
      <w:pPr>
        <w:ind w:left="420" w:hanging="420"/>
      </w:pPr>
      <w:rPr>
        <w:rFonts w:hint="default"/>
      </w:rPr>
    </w:lvl>
    <w:lvl w:ilvl="1">
      <w:start w:val="6"/>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6">
    <w:nsid w:val="770264AC"/>
    <w:multiLevelType w:val="multilevel"/>
    <w:tmpl w:val="D7B25280"/>
    <w:lvl w:ilvl="0">
      <w:start w:val="1"/>
      <w:numFmt w:val="decimal"/>
      <w:lvlText w:val="%1."/>
      <w:lvlJc w:val="left"/>
      <w:pPr>
        <w:ind w:left="765" w:hanging="765"/>
      </w:pPr>
      <w:rPr>
        <w:rFonts w:hint="default"/>
      </w:rPr>
    </w:lvl>
    <w:lvl w:ilvl="1">
      <w:start w:val="10"/>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7">
    <w:nsid w:val="770F511E"/>
    <w:multiLevelType w:val="multilevel"/>
    <w:tmpl w:val="DCAC3A8C"/>
    <w:lvl w:ilvl="0">
      <w:start w:val="4"/>
      <w:numFmt w:val="decimal"/>
      <w:lvlText w:val="%1."/>
      <w:lvlJc w:val="left"/>
      <w:pPr>
        <w:ind w:left="630" w:hanging="630"/>
      </w:pPr>
      <w:rPr>
        <w:rFonts w:hint="default"/>
      </w:rPr>
    </w:lvl>
    <w:lvl w:ilvl="1">
      <w:start w:val="4"/>
      <w:numFmt w:val="decimal"/>
      <w:lvlText w:val="%1.%2."/>
      <w:lvlJc w:val="left"/>
      <w:pPr>
        <w:ind w:left="780" w:hanging="720"/>
      </w:pPr>
      <w:rPr>
        <w:rFonts w:hint="default"/>
      </w:rPr>
    </w:lvl>
    <w:lvl w:ilvl="2">
      <w:start w:val="3"/>
      <w:numFmt w:val="decimal"/>
      <w:lvlText w:val="%1.%2.%3."/>
      <w:lvlJc w:val="left"/>
      <w:pPr>
        <w:ind w:left="840" w:hanging="720"/>
      </w:pPr>
      <w:rPr>
        <w:rFonts w:hint="default"/>
      </w:rPr>
    </w:lvl>
    <w:lvl w:ilvl="3">
      <w:start w:val="5"/>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258">
    <w:nsid w:val="777177D1"/>
    <w:multiLevelType w:val="hybridMultilevel"/>
    <w:tmpl w:val="985A5538"/>
    <w:lvl w:ilvl="0" w:tplc="92728BE0">
      <w:start w:val="1"/>
      <w:numFmt w:val="bullet"/>
      <w:lvlText w:val="o"/>
      <w:lvlJc w:val="left"/>
      <w:pPr>
        <w:ind w:left="1002" w:hanging="360"/>
      </w:pPr>
      <w:rPr>
        <w:rFonts w:ascii="Courier New" w:hAnsi="Courier New"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259">
    <w:nsid w:val="78145A4A"/>
    <w:multiLevelType w:val="hybridMultilevel"/>
    <w:tmpl w:val="D934486A"/>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0">
    <w:nsid w:val="78731E6A"/>
    <w:multiLevelType w:val="multilevel"/>
    <w:tmpl w:val="646C0A20"/>
    <w:lvl w:ilvl="0">
      <w:start w:val="6"/>
      <w:numFmt w:val="decimal"/>
      <w:lvlText w:val="%1."/>
      <w:lvlJc w:val="left"/>
      <w:pPr>
        <w:ind w:left="1404" w:hanging="840"/>
      </w:pPr>
      <w:rPr>
        <w:rFonts w:hint="default"/>
        <w:b/>
      </w:rPr>
    </w:lvl>
    <w:lvl w:ilvl="1">
      <w:start w:val="6"/>
      <w:numFmt w:val="decimal"/>
      <w:lvlText w:val="%1.%2."/>
      <w:lvlJc w:val="left"/>
      <w:pPr>
        <w:ind w:left="1764" w:hanging="840"/>
      </w:pPr>
      <w:rPr>
        <w:rFonts w:hint="default"/>
        <w:b/>
      </w:rPr>
    </w:lvl>
    <w:lvl w:ilvl="2">
      <w:start w:val="1"/>
      <w:numFmt w:val="decimal"/>
      <w:lvlText w:val="%1.%2.%3."/>
      <w:lvlJc w:val="left"/>
      <w:pPr>
        <w:ind w:left="2124" w:hanging="840"/>
      </w:pPr>
      <w:rPr>
        <w:rFonts w:hint="default"/>
        <w:b/>
      </w:rPr>
    </w:lvl>
    <w:lvl w:ilvl="3">
      <w:start w:val="1"/>
      <w:numFmt w:val="decimal"/>
      <w:lvlText w:val="%1.%2.%3.%4."/>
      <w:lvlJc w:val="left"/>
      <w:pPr>
        <w:ind w:left="2724" w:hanging="1080"/>
      </w:pPr>
      <w:rPr>
        <w:rFonts w:hint="default"/>
        <w:b w:val="0"/>
        <w:bCs/>
      </w:rPr>
    </w:lvl>
    <w:lvl w:ilvl="4">
      <w:start w:val="1"/>
      <w:numFmt w:val="decimal"/>
      <w:lvlText w:val="%1.%2.%3.%4.%5."/>
      <w:lvlJc w:val="left"/>
      <w:pPr>
        <w:ind w:left="3084" w:hanging="1080"/>
      </w:pPr>
      <w:rPr>
        <w:rFonts w:hint="default"/>
        <w:b/>
      </w:rPr>
    </w:lvl>
    <w:lvl w:ilvl="5">
      <w:start w:val="1"/>
      <w:numFmt w:val="decimal"/>
      <w:lvlText w:val="%1.%2.%3.%4.%5.%6."/>
      <w:lvlJc w:val="left"/>
      <w:pPr>
        <w:ind w:left="3804" w:hanging="1440"/>
      </w:pPr>
      <w:rPr>
        <w:rFonts w:hint="default"/>
        <w:b/>
      </w:rPr>
    </w:lvl>
    <w:lvl w:ilvl="6">
      <w:start w:val="1"/>
      <w:numFmt w:val="decimal"/>
      <w:lvlText w:val="%1.%2.%3.%4.%5.%6.%7."/>
      <w:lvlJc w:val="left"/>
      <w:pPr>
        <w:ind w:left="4164" w:hanging="1440"/>
      </w:pPr>
      <w:rPr>
        <w:rFonts w:hint="default"/>
        <w:b/>
      </w:rPr>
    </w:lvl>
    <w:lvl w:ilvl="7">
      <w:start w:val="1"/>
      <w:numFmt w:val="decimal"/>
      <w:lvlText w:val="%1.%2.%3.%4.%5.%6.%7.%8."/>
      <w:lvlJc w:val="left"/>
      <w:pPr>
        <w:ind w:left="4884" w:hanging="1800"/>
      </w:pPr>
      <w:rPr>
        <w:rFonts w:hint="default"/>
        <w:b/>
      </w:rPr>
    </w:lvl>
    <w:lvl w:ilvl="8">
      <w:start w:val="1"/>
      <w:numFmt w:val="decimal"/>
      <w:lvlText w:val="%1.%2.%3.%4.%5.%6.%7.%8.%9."/>
      <w:lvlJc w:val="left"/>
      <w:pPr>
        <w:ind w:left="5244" w:hanging="1800"/>
      </w:pPr>
      <w:rPr>
        <w:rFonts w:hint="default"/>
        <w:b/>
      </w:rPr>
    </w:lvl>
  </w:abstractNum>
  <w:abstractNum w:abstractNumId="261">
    <w:nsid w:val="799A4E3A"/>
    <w:multiLevelType w:val="multilevel"/>
    <w:tmpl w:val="6AA4799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2">
    <w:nsid w:val="79D660D8"/>
    <w:multiLevelType w:val="multilevel"/>
    <w:tmpl w:val="C2E66FD6"/>
    <w:lvl w:ilvl="0">
      <w:start w:val="1"/>
      <w:numFmt w:val="decimal"/>
      <w:lvlText w:val="%1."/>
      <w:lvlJc w:val="left"/>
      <w:pPr>
        <w:ind w:left="630" w:hanging="630"/>
      </w:pPr>
      <w:rPr>
        <w:rFonts w:hint="default"/>
      </w:rPr>
    </w:lvl>
    <w:lvl w:ilvl="1">
      <w:start w:val="9"/>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3">
    <w:nsid w:val="7A1D7204"/>
    <w:multiLevelType w:val="multilevel"/>
    <w:tmpl w:val="BC164D50"/>
    <w:lvl w:ilvl="0">
      <w:start w:val="1"/>
      <w:numFmt w:val="decimal"/>
      <w:lvlText w:val="%1."/>
      <w:lvlJc w:val="left"/>
      <w:pPr>
        <w:ind w:left="420" w:hanging="420"/>
      </w:pPr>
      <w:rPr>
        <w:rFonts w:hint="default"/>
      </w:rPr>
    </w:lvl>
    <w:lvl w:ilvl="1">
      <w:start w:val="6"/>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64">
    <w:nsid w:val="7AD80756"/>
    <w:multiLevelType w:val="hybridMultilevel"/>
    <w:tmpl w:val="DF16E9F4"/>
    <w:lvl w:ilvl="0" w:tplc="5C84982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65">
    <w:nsid w:val="7B303EBF"/>
    <w:multiLevelType w:val="multilevel"/>
    <w:tmpl w:val="3022E1F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sz w:val="28"/>
        <w:szCs w:val="28"/>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66">
    <w:nsid w:val="7B815F65"/>
    <w:multiLevelType w:val="multilevel"/>
    <w:tmpl w:val="BDD4E6E6"/>
    <w:lvl w:ilvl="0">
      <w:start w:val="2"/>
      <w:numFmt w:val="decimal"/>
      <w:lvlText w:val="%1."/>
      <w:lvlJc w:val="left"/>
      <w:pPr>
        <w:ind w:left="420" w:hanging="420"/>
      </w:pPr>
      <w:rPr>
        <w:rFonts w:hint="default"/>
      </w:rPr>
    </w:lvl>
    <w:lvl w:ilvl="1">
      <w:start w:val="3"/>
      <w:numFmt w:val="decimal"/>
      <w:lvlText w:val="%1.%2."/>
      <w:lvlJc w:val="left"/>
      <w:pPr>
        <w:ind w:left="1080" w:hanging="720"/>
      </w:pPr>
      <w:rPr>
        <w:rFonts w:hint="default"/>
        <w:b w:val="0"/>
        <w:bCs w:val="0"/>
      </w:rPr>
    </w:lvl>
    <w:lvl w:ilvl="2">
      <w:start w:val="1"/>
      <w:numFmt w:val="decimal"/>
      <w:lvlText w:val="%1.%2.%3."/>
      <w:lvlJc w:val="left"/>
      <w:pPr>
        <w:ind w:left="1440" w:hanging="720"/>
      </w:pPr>
      <w:rPr>
        <w:rFonts w:hint="default"/>
        <w:b/>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67">
    <w:nsid w:val="7B885A3A"/>
    <w:multiLevelType w:val="multilevel"/>
    <w:tmpl w:val="E3D87032"/>
    <w:lvl w:ilvl="0">
      <w:start w:val="1"/>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8">
    <w:nsid w:val="7BEB49B3"/>
    <w:multiLevelType w:val="multilevel"/>
    <w:tmpl w:val="43104402"/>
    <w:lvl w:ilvl="0">
      <w:start w:val="3"/>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69">
    <w:nsid w:val="7D10299C"/>
    <w:multiLevelType w:val="hybridMultilevel"/>
    <w:tmpl w:val="DBBEC4A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0">
    <w:nsid w:val="7D4E6D5C"/>
    <w:multiLevelType w:val="hybridMultilevel"/>
    <w:tmpl w:val="DEA4E090"/>
    <w:lvl w:ilvl="0" w:tplc="3B6604F8">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71">
    <w:nsid w:val="7E13002D"/>
    <w:multiLevelType w:val="multilevel"/>
    <w:tmpl w:val="47261430"/>
    <w:lvl w:ilvl="0">
      <w:start w:val="3"/>
      <w:numFmt w:val="decimal"/>
      <w:lvlText w:val="%1."/>
      <w:lvlJc w:val="left"/>
      <w:pPr>
        <w:ind w:left="840" w:hanging="840"/>
      </w:pPr>
      <w:rPr>
        <w:rFonts w:hint="default"/>
        <w:b/>
      </w:rPr>
    </w:lvl>
    <w:lvl w:ilvl="1">
      <w:start w:val="2"/>
      <w:numFmt w:val="decimal"/>
      <w:lvlText w:val="%1.%2."/>
      <w:lvlJc w:val="left"/>
      <w:pPr>
        <w:ind w:left="960" w:hanging="840"/>
      </w:pPr>
      <w:rPr>
        <w:rFonts w:hint="default"/>
        <w:b w:val="0"/>
        <w:bCs/>
      </w:rPr>
    </w:lvl>
    <w:lvl w:ilvl="2">
      <w:start w:val="1"/>
      <w:numFmt w:val="decimal"/>
      <w:lvlText w:val="%1.%2.%3."/>
      <w:lvlJc w:val="left"/>
      <w:pPr>
        <w:ind w:left="1080" w:hanging="840"/>
      </w:pPr>
      <w:rPr>
        <w:rFonts w:ascii="Simplified Arabic" w:hAnsi="Simplified Arabic" w:cs="Simplified Arabic" w:hint="default"/>
        <w:b w:val="0"/>
        <w:bCs/>
      </w:rPr>
    </w:lvl>
    <w:lvl w:ilvl="3">
      <w:start w:val="2"/>
      <w:numFmt w:val="decimal"/>
      <w:lvlText w:val="%1.%2.%3.%4."/>
      <w:lvlJc w:val="left"/>
      <w:pPr>
        <w:ind w:left="1440" w:hanging="1080"/>
      </w:pPr>
      <w:rPr>
        <w:rFonts w:hint="default"/>
        <w:b/>
        <w:bCs w:val="0"/>
      </w:rPr>
    </w:lvl>
    <w:lvl w:ilvl="4">
      <w:start w:val="1"/>
      <w:numFmt w:val="decimal"/>
      <w:lvlText w:val="%1.%2.%3.%4.%5."/>
      <w:lvlJc w:val="left"/>
      <w:pPr>
        <w:ind w:left="1560" w:hanging="1080"/>
      </w:pPr>
      <w:rPr>
        <w:rFonts w:hint="default"/>
        <w:b/>
      </w:rPr>
    </w:lvl>
    <w:lvl w:ilvl="5">
      <w:start w:val="1"/>
      <w:numFmt w:val="decimal"/>
      <w:lvlText w:val="%1.%2.%3.%4.%5.%6."/>
      <w:lvlJc w:val="left"/>
      <w:pPr>
        <w:ind w:left="2040" w:hanging="144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640" w:hanging="1800"/>
      </w:pPr>
      <w:rPr>
        <w:rFonts w:hint="default"/>
        <w:b/>
      </w:rPr>
    </w:lvl>
    <w:lvl w:ilvl="8">
      <w:start w:val="1"/>
      <w:numFmt w:val="decimal"/>
      <w:lvlText w:val="%1.%2.%3.%4.%5.%6.%7.%8.%9."/>
      <w:lvlJc w:val="left"/>
      <w:pPr>
        <w:ind w:left="2760" w:hanging="1800"/>
      </w:pPr>
      <w:rPr>
        <w:rFonts w:hint="default"/>
        <w:b/>
      </w:rPr>
    </w:lvl>
  </w:abstractNum>
  <w:abstractNum w:abstractNumId="272">
    <w:nsid w:val="7E322548"/>
    <w:multiLevelType w:val="multilevel"/>
    <w:tmpl w:val="C7720F80"/>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73">
    <w:nsid w:val="7E3C14B9"/>
    <w:multiLevelType w:val="multilevel"/>
    <w:tmpl w:val="6610E200"/>
    <w:lvl w:ilvl="0">
      <w:start w:val="2"/>
      <w:numFmt w:val="decimal"/>
      <w:lvlText w:val="%1."/>
      <w:lvlJc w:val="left"/>
      <w:pPr>
        <w:ind w:left="840" w:hanging="840"/>
      </w:pPr>
      <w:rPr>
        <w:rFonts w:hint="default"/>
      </w:rPr>
    </w:lvl>
    <w:lvl w:ilvl="1">
      <w:start w:val="5"/>
      <w:numFmt w:val="decimal"/>
      <w:lvlText w:val="%1.%2."/>
      <w:lvlJc w:val="left"/>
      <w:pPr>
        <w:ind w:left="960" w:hanging="840"/>
      </w:pPr>
      <w:rPr>
        <w:rFonts w:hint="default"/>
      </w:rPr>
    </w:lvl>
    <w:lvl w:ilvl="2">
      <w:start w:val="2"/>
      <w:numFmt w:val="decimal"/>
      <w:lvlText w:val="%1.%2.%3."/>
      <w:lvlJc w:val="left"/>
      <w:pPr>
        <w:ind w:left="1080" w:hanging="840"/>
      </w:pPr>
      <w:rPr>
        <w:rFonts w:hint="default"/>
      </w:rPr>
    </w:lvl>
    <w:lvl w:ilvl="3">
      <w:start w:val="3"/>
      <w:numFmt w:val="decimal"/>
      <w:lvlText w:val="%1.%2.%3.%4."/>
      <w:lvlJc w:val="left"/>
      <w:pPr>
        <w:ind w:left="1440" w:hanging="108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2760" w:hanging="1800"/>
      </w:pPr>
      <w:rPr>
        <w:rFonts w:hint="default"/>
      </w:rPr>
    </w:lvl>
  </w:abstractNum>
  <w:abstractNum w:abstractNumId="274">
    <w:nsid w:val="7E572F33"/>
    <w:multiLevelType w:val="hybridMultilevel"/>
    <w:tmpl w:val="A818197A"/>
    <w:lvl w:ilvl="0" w:tplc="19D0BB6C">
      <w:start w:val="100"/>
      <w:numFmt w:val="bullet"/>
      <w:lvlText w:val=""/>
      <w:lvlJc w:val="left"/>
      <w:pPr>
        <w:ind w:left="642" w:hanging="360"/>
      </w:pPr>
      <w:rPr>
        <w:rFonts w:ascii="Symbol" w:eastAsiaTheme="minorHAnsi" w:hAnsi="Symbol" w:cs="Simplified Arabic" w:hint="default"/>
        <w:sz w:val="24"/>
      </w:rPr>
    </w:lvl>
    <w:lvl w:ilvl="1" w:tplc="040C0003" w:tentative="1">
      <w:start w:val="1"/>
      <w:numFmt w:val="bullet"/>
      <w:lvlText w:val="o"/>
      <w:lvlJc w:val="left"/>
      <w:pPr>
        <w:ind w:left="1362" w:hanging="360"/>
      </w:pPr>
      <w:rPr>
        <w:rFonts w:ascii="Courier New" w:hAnsi="Courier New" w:cs="Courier New" w:hint="default"/>
      </w:rPr>
    </w:lvl>
    <w:lvl w:ilvl="2" w:tplc="040C0005" w:tentative="1">
      <w:start w:val="1"/>
      <w:numFmt w:val="bullet"/>
      <w:lvlText w:val=""/>
      <w:lvlJc w:val="left"/>
      <w:pPr>
        <w:ind w:left="2082" w:hanging="360"/>
      </w:pPr>
      <w:rPr>
        <w:rFonts w:ascii="Wingdings" w:hAnsi="Wingdings" w:hint="default"/>
      </w:rPr>
    </w:lvl>
    <w:lvl w:ilvl="3" w:tplc="040C0001" w:tentative="1">
      <w:start w:val="1"/>
      <w:numFmt w:val="bullet"/>
      <w:lvlText w:val=""/>
      <w:lvlJc w:val="left"/>
      <w:pPr>
        <w:ind w:left="2802" w:hanging="360"/>
      </w:pPr>
      <w:rPr>
        <w:rFonts w:ascii="Symbol" w:hAnsi="Symbol" w:hint="default"/>
      </w:rPr>
    </w:lvl>
    <w:lvl w:ilvl="4" w:tplc="040C0003" w:tentative="1">
      <w:start w:val="1"/>
      <w:numFmt w:val="bullet"/>
      <w:lvlText w:val="o"/>
      <w:lvlJc w:val="left"/>
      <w:pPr>
        <w:ind w:left="3522" w:hanging="360"/>
      </w:pPr>
      <w:rPr>
        <w:rFonts w:ascii="Courier New" w:hAnsi="Courier New" w:cs="Courier New" w:hint="default"/>
      </w:rPr>
    </w:lvl>
    <w:lvl w:ilvl="5" w:tplc="040C0005" w:tentative="1">
      <w:start w:val="1"/>
      <w:numFmt w:val="bullet"/>
      <w:lvlText w:val=""/>
      <w:lvlJc w:val="left"/>
      <w:pPr>
        <w:ind w:left="4242" w:hanging="360"/>
      </w:pPr>
      <w:rPr>
        <w:rFonts w:ascii="Wingdings" w:hAnsi="Wingdings" w:hint="default"/>
      </w:rPr>
    </w:lvl>
    <w:lvl w:ilvl="6" w:tplc="040C0001" w:tentative="1">
      <w:start w:val="1"/>
      <w:numFmt w:val="bullet"/>
      <w:lvlText w:val=""/>
      <w:lvlJc w:val="left"/>
      <w:pPr>
        <w:ind w:left="4962" w:hanging="360"/>
      </w:pPr>
      <w:rPr>
        <w:rFonts w:ascii="Symbol" w:hAnsi="Symbol" w:hint="default"/>
      </w:rPr>
    </w:lvl>
    <w:lvl w:ilvl="7" w:tplc="040C0003" w:tentative="1">
      <w:start w:val="1"/>
      <w:numFmt w:val="bullet"/>
      <w:lvlText w:val="o"/>
      <w:lvlJc w:val="left"/>
      <w:pPr>
        <w:ind w:left="5682" w:hanging="360"/>
      </w:pPr>
      <w:rPr>
        <w:rFonts w:ascii="Courier New" w:hAnsi="Courier New" w:cs="Courier New" w:hint="default"/>
      </w:rPr>
    </w:lvl>
    <w:lvl w:ilvl="8" w:tplc="040C0005" w:tentative="1">
      <w:start w:val="1"/>
      <w:numFmt w:val="bullet"/>
      <w:lvlText w:val=""/>
      <w:lvlJc w:val="left"/>
      <w:pPr>
        <w:ind w:left="6402" w:hanging="360"/>
      </w:pPr>
      <w:rPr>
        <w:rFonts w:ascii="Wingdings" w:hAnsi="Wingdings" w:hint="default"/>
      </w:rPr>
    </w:lvl>
  </w:abstractNum>
  <w:abstractNum w:abstractNumId="275">
    <w:nsid w:val="7E5E3571"/>
    <w:multiLevelType w:val="multilevel"/>
    <w:tmpl w:val="F09070DA"/>
    <w:lvl w:ilvl="0">
      <w:start w:val="2"/>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3"/>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276">
    <w:nsid w:val="7FCA3AEE"/>
    <w:multiLevelType w:val="multilevel"/>
    <w:tmpl w:val="35EAB2B4"/>
    <w:lvl w:ilvl="0">
      <w:start w:val="5"/>
      <w:numFmt w:val="decimal"/>
      <w:lvlText w:val="%1."/>
      <w:lvlJc w:val="left"/>
      <w:pPr>
        <w:ind w:left="630" w:hanging="630"/>
      </w:pPr>
      <w:rPr>
        <w:rFonts w:hint="default"/>
        <w:b/>
        <w:sz w:val="24"/>
      </w:rPr>
    </w:lvl>
    <w:lvl w:ilvl="1">
      <w:start w:val="1"/>
      <w:numFmt w:val="decimal"/>
      <w:lvlText w:val="%1.%2."/>
      <w:lvlJc w:val="left"/>
      <w:pPr>
        <w:ind w:left="810" w:hanging="630"/>
      </w:pPr>
      <w:rPr>
        <w:rFonts w:ascii="Simplified Arabic" w:hAnsi="Simplified Arabic" w:cs="Simplified Arabic" w:hint="default"/>
        <w:b/>
        <w:bCs w:val="0"/>
        <w:sz w:val="24"/>
      </w:rPr>
    </w:lvl>
    <w:lvl w:ilvl="2">
      <w:start w:val="1"/>
      <w:numFmt w:val="decimal"/>
      <w:lvlText w:val="%1.%2.%3."/>
      <w:lvlJc w:val="left"/>
      <w:pPr>
        <w:ind w:left="1080" w:hanging="720"/>
      </w:pPr>
      <w:rPr>
        <w:rFonts w:hint="default"/>
        <w:b w:val="0"/>
        <w:bCs/>
        <w:sz w:val="24"/>
      </w:rPr>
    </w:lvl>
    <w:lvl w:ilvl="3">
      <w:start w:val="1"/>
      <w:numFmt w:val="decimal"/>
      <w:lvlText w:val="%1.%2.%3.%4."/>
      <w:lvlJc w:val="left"/>
      <w:pPr>
        <w:ind w:left="1620" w:hanging="108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2340" w:hanging="144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3060" w:hanging="1800"/>
      </w:pPr>
      <w:rPr>
        <w:rFonts w:hint="default"/>
        <w:b/>
        <w:sz w:val="24"/>
      </w:rPr>
    </w:lvl>
    <w:lvl w:ilvl="8">
      <w:start w:val="1"/>
      <w:numFmt w:val="decimal"/>
      <w:lvlText w:val="%1.%2.%3.%4.%5.%6.%7.%8.%9."/>
      <w:lvlJc w:val="left"/>
      <w:pPr>
        <w:ind w:left="3240" w:hanging="1800"/>
      </w:pPr>
      <w:rPr>
        <w:rFonts w:hint="default"/>
        <w:b/>
        <w:sz w:val="24"/>
      </w:rPr>
    </w:lvl>
  </w:abstractNum>
  <w:num w:numId="1">
    <w:abstractNumId w:val="4"/>
  </w:num>
  <w:num w:numId="2">
    <w:abstractNumId w:val="99"/>
  </w:num>
  <w:num w:numId="3">
    <w:abstractNumId w:val="169"/>
  </w:num>
  <w:num w:numId="4">
    <w:abstractNumId w:val="81"/>
  </w:num>
  <w:num w:numId="5">
    <w:abstractNumId w:val="245"/>
  </w:num>
  <w:num w:numId="6">
    <w:abstractNumId w:val="223"/>
  </w:num>
  <w:num w:numId="7">
    <w:abstractNumId w:val="100"/>
  </w:num>
  <w:num w:numId="8">
    <w:abstractNumId w:val="80"/>
  </w:num>
  <w:num w:numId="9">
    <w:abstractNumId w:val="217"/>
  </w:num>
  <w:num w:numId="10">
    <w:abstractNumId w:val="265"/>
  </w:num>
  <w:num w:numId="11">
    <w:abstractNumId w:val="159"/>
  </w:num>
  <w:num w:numId="12">
    <w:abstractNumId w:val="184"/>
  </w:num>
  <w:num w:numId="13">
    <w:abstractNumId w:val="69"/>
  </w:num>
  <w:num w:numId="14">
    <w:abstractNumId w:val="38"/>
  </w:num>
  <w:num w:numId="15">
    <w:abstractNumId w:val="251"/>
  </w:num>
  <w:num w:numId="16">
    <w:abstractNumId w:val="276"/>
  </w:num>
  <w:num w:numId="17">
    <w:abstractNumId w:val="266"/>
  </w:num>
  <w:num w:numId="18">
    <w:abstractNumId w:val="250"/>
  </w:num>
  <w:num w:numId="19">
    <w:abstractNumId w:val="83"/>
  </w:num>
  <w:num w:numId="20">
    <w:abstractNumId w:val="249"/>
  </w:num>
  <w:num w:numId="21">
    <w:abstractNumId w:val="185"/>
  </w:num>
  <w:num w:numId="22">
    <w:abstractNumId w:val="274"/>
  </w:num>
  <w:num w:numId="23">
    <w:abstractNumId w:val="224"/>
  </w:num>
  <w:num w:numId="24">
    <w:abstractNumId w:val="198"/>
  </w:num>
  <w:num w:numId="25">
    <w:abstractNumId w:val="204"/>
  </w:num>
  <w:num w:numId="26">
    <w:abstractNumId w:val="137"/>
  </w:num>
  <w:num w:numId="27">
    <w:abstractNumId w:val="227"/>
  </w:num>
  <w:num w:numId="28">
    <w:abstractNumId w:val="26"/>
  </w:num>
  <w:num w:numId="29">
    <w:abstractNumId w:val="236"/>
  </w:num>
  <w:num w:numId="30">
    <w:abstractNumId w:val="57"/>
  </w:num>
  <w:num w:numId="31">
    <w:abstractNumId w:val="139"/>
  </w:num>
  <w:num w:numId="32">
    <w:abstractNumId w:val="58"/>
  </w:num>
  <w:num w:numId="33">
    <w:abstractNumId w:val="22"/>
  </w:num>
  <w:num w:numId="34">
    <w:abstractNumId w:val="161"/>
  </w:num>
  <w:num w:numId="35">
    <w:abstractNumId w:val="92"/>
  </w:num>
  <w:num w:numId="36">
    <w:abstractNumId w:val="40"/>
  </w:num>
  <w:num w:numId="37">
    <w:abstractNumId w:val="76"/>
  </w:num>
  <w:num w:numId="38">
    <w:abstractNumId w:val="160"/>
  </w:num>
  <w:num w:numId="39">
    <w:abstractNumId w:val="11"/>
  </w:num>
  <w:num w:numId="40">
    <w:abstractNumId w:val="43"/>
  </w:num>
  <w:num w:numId="41">
    <w:abstractNumId w:val="87"/>
  </w:num>
  <w:num w:numId="42">
    <w:abstractNumId w:val="135"/>
  </w:num>
  <w:num w:numId="43">
    <w:abstractNumId w:val="143"/>
  </w:num>
  <w:num w:numId="44">
    <w:abstractNumId w:val="108"/>
  </w:num>
  <w:num w:numId="45">
    <w:abstractNumId w:val="187"/>
  </w:num>
  <w:num w:numId="46">
    <w:abstractNumId w:val="109"/>
  </w:num>
  <w:num w:numId="47">
    <w:abstractNumId w:val="241"/>
  </w:num>
  <w:num w:numId="48">
    <w:abstractNumId w:val="134"/>
  </w:num>
  <w:num w:numId="49">
    <w:abstractNumId w:val="239"/>
  </w:num>
  <w:num w:numId="50">
    <w:abstractNumId w:val="220"/>
  </w:num>
  <w:num w:numId="51">
    <w:abstractNumId w:val="259"/>
  </w:num>
  <w:num w:numId="52">
    <w:abstractNumId w:val="55"/>
  </w:num>
  <w:num w:numId="53">
    <w:abstractNumId w:val="59"/>
  </w:num>
  <w:num w:numId="54">
    <w:abstractNumId w:val="52"/>
  </w:num>
  <w:num w:numId="55">
    <w:abstractNumId w:val="78"/>
  </w:num>
  <w:num w:numId="56">
    <w:abstractNumId w:val="243"/>
  </w:num>
  <w:num w:numId="57">
    <w:abstractNumId w:val="141"/>
  </w:num>
  <w:num w:numId="58">
    <w:abstractNumId w:val="270"/>
  </w:num>
  <w:num w:numId="59">
    <w:abstractNumId w:val="258"/>
  </w:num>
  <w:num w:numId="60">
    <w:abstractNumId w:val="225"/>
  </w:num>
  <w:num w:numId="61">
    <w:abstractNumId w:val="33"/>
  </w:num>
  <w:num w:numId="62">
    <w:abstractNumId w:val="183"/>
  </w:num>
  <w:num w:numId="63">
    <w:abstractNumId w:val="103"/>
  </w:num>
  <w:num w:numId="64">
    <w:abstractNumId w:val="268"/>
  </w:num>
  <w:num w:numId="65">
    <w:abstractNumId w:val="42"/>
  </w:num>
  <w:num w:numId="66">
    <w:abstractNumId w:val="35"/>
  </w:num>
  <w:num w:numId="67">
    <w:abstractNumId w:val="7"/>
  </w:num>
  <w:num w:numId="68">
    <w:abstractNumId w:val="31"/>
  </w:num>
  <w:num w:numId="69">
    <w:abstractNumId w:val="49"/>
  </w:num>
  <w:num w:numId="70">
    <w:abstractNumId w:val="5"/>
  </w:num>
  <w:num w:numId="71">
    <w:abstractNumId w:val="16"/>
  </w:num>
  <w:num w:numId="72">
    <w:abstractNumId w:val="264"/>
  </w:num>
  <w:num w:numId="73">
    <w:abstractNumId w:val="140"/>
  </w:num>
  <w:num w:numId="74">
    <w:abstractNumId w:val="247"/>
  </w:num>
  <w:num w:numId="75">
    <w:abstractNumId w:val="1"/>
  </w:num>
  <w:num w:numId="76">
    <w:abstractNumId w:val="114"/>
  </w:num>
  <w:num w:numId="77">
    <w:abstractNumId w:val="179"/>
  </w:num>
  <w:num w:numId="78">
    <w:abstractNumId w:val="46"/>
  </w:num>
  <w:num w:numId="79">
    <w:abstractNumId w:val="263"/>
  </w:num>
  <w:num w:numId="80">
    <w:abstractNumId w:val="167"/>
  </w:num>
  <w:num w:numId="81">
    <w:abstractNumId w:val="221"/>
  </w:num>
  <w:num w:numId="82">
    <w:abstractNumId w:val="240"/>
  </w:num>
  <w:num w:numId="83">
    <w:abstractNumId w:val="171"/>
  </w:num>
  <w:num w:numId="84">
    <w:abstractNumId w:val="261"/>
  </w:num>
  <w:num w:numId="85">
    <w:abstractNumId w:val="127"/>
  </w:num>
  <w:num w:numId="86">
    <w:abstractNumId w:val="182"/>
  </w:num>
  <w:num w:numId="87">
    <w:abstractNumId w:val="255"/>
  </w:num>
  <w:num w:numId="88">
    <w:abstractNumId w:val="197"/>
  </w:num>
  <w:num w:numId="89">
    <w:abstractNumId w:val="67"/>
  </w:num>
  <w:num w:numId="90">
    <w:abstractNumId w:val="152"/>
  </w:num>
  <w:num w:numId="91">
    <w:abstractNumId w:val="148"/>
  </w:num>
  <w:num w:numId="92">
    <w:abstractNumId w:val="116"/>
  </w:num>
  <w:num w:numId="93">
    <w:abstractNumId w:val="191"/>
  </w:num>
  <w:num w:numId="94">
    <w:abstractNumId w:val="230"/>
  </w:num>
  <w:num w:numId="95">
    <w:abstractNumId w:val="63"/>
  </w:num>
  <w:num w:numId="96">
    <w:abstractNumId w:val="209"/>
  </w:num>
  <w:num w:numId="97">
    <w:abstractNumId w:val="153"/>
  </w:num>
  <w:num w:numId="98">
    <w:abstractNumId w:val="165"/>
  </w:num>
  <w:num w:numId="99">
    <w:abstractNumId w:val="210"/>
  </w:num>
  <w:num w:numId="100">
    <w:abstractNumId w:val="45"/>
  </w:num>
  <w:num w:numId="101">
    <w:abstractNumId w:val="44"/>
  </w:num>
  <w:num w:numId="102">
    <w:abstractNumId w:val="231"/>
  </w:num>
  <w:num w:numId="103">
    <w:abstractNumId w:val="25"/>
  </w:num>
  <w:num w:numId="104">
    <w:abstractNumId w:val="205"/>
  </w:num>
  <w:num w:numId="105">
    <w:abstractNumId w:val="75"/>
  </w:num>
  <w:num w:numId="106">
    <w:abstractNumId w:val="70"/>
  </w:num>
  <w:num w:numId="107">
    <w:abstractNumId w:val="120"/>
  </w:num>
  <w:num w:numId="108">
    <w:abstractNumId w:val="90"/>
  </w:num>
  <w:num w:numId="109">
    <w:abstractNumId w:val="84"/>
  </w:num>
  <w:num w:numId="110">
    <w:abstractNumId w:val="180"/>
  </w:num>
  <w:num w:numId="111">
    <w:abstractNumId w:val="104"/>
  </w:num>
  <w:num w:numId="112">
    <w:abstractNumId w:val="64"/>
  </w:num>
  <w:num w:numId="113">
    <w:abstractNumId w:val="65"/>
  </w:num>
  <w:num w:numId="114">
    <w:abstractNumId w:val="206"/>
  </w:num>
  <w:num w:numId="115">
    <w:abstractNumId w:val="41"/>
  </w:num>
  <w:num w:numId="116">
    <w:abstractNumId w:val="178"/>
  </w:num>
  <w:num w:numId="117">
    <w:abstractNumId w:val="23"/>
  </w:num>
  <w:num w:numId="118">
    <w:abstractNumId w:val="196"/>
  </w:num>
  <w:num w:numId="119">
    <w:abstractNumId w:val="155"/>
  </w:num>
  <w:num w:numId="120">
    <w:abstractNumId w:val="214"/>
  </w:num>
  <w:num w:numId="121">
    <w:abstractNumId w:val="17"/>
  </w:num>
  <w:num w:numId="122">
    <w:abstractNumId w:val="226"/>
  </w:num>
  <w:num w:numId="123">
    <w:abstractNumId w:val="34"/>
  </w:num>
  <w:num w:numId="124">
    <w:abstractNumId w:val="54"/>
  </w:num>
  <w:num w:numId="125">
    <w:abstractNumId w:val="235"/>
  </w:num>
  <w:num w:numId="126">
    <w:abstractNumId w:val="267"/>
  </w:num>
  <w:num w:numId="127">
    <w:abstractNumId w:val="74"/>
  </w:num>
  <w:num w:numId="128">
    <w:abstractNumId w:val="173"/>
  </w:num>
  <w:num w:numId="129">
    <w:abstractNumId w:val="222"/>
  </w:num>
  <w:num w:numId="130">
    <w:abstractNumId w:val="170"/>
  </w:num>
  <w:num w:numId="131">
    <w:abstractNumId w:val="195"/>
  </w:num>
  <w:num w:numId="132">
    <w:abstractNumId w:val="36"/>
  </w:num>
  <w:num w:numId="133">
    <w:abstractNumId w:val="10"/>
  </w:num>
  <w:num w:numId="134">
    <w:abstractNumId w:val="201"/>
  </w:num>
  <w:num w:numId="135">
    <w:abstractNumId w:val="60"/>
  </w:num>
  <w:num w:numId="136">
    <w:abstractNumId w:val="172"/>
  </w:num>
  <w:num w:numId="137">
    <w:abstractNumId w:val="176"/>
  </w:num>
  <w:num w:numId="138">
    <w:abstractNumId w:val="246"/>
  </w:num>
  <w:num w:numId="139">
    <w:abstractNumId w:val="151"/>
  </w:num>
  <w:num w:numId="140">
    <w:abstractNumId w:val="275"/>
  </w:num>
  <w:num w:numId="141">
    <w:abstractNumId w:val="248"/>
  </w:num>
  <w:num w:numId="142">
    <w:abstractNumId w:val="85"/>
  </w:num>
  <w:num w:numId="143">
    <w:abstractNumId w:val="79"/>
  </w:num>
  <w:num w:numId="144">
    <w:abstractNumId w:val="18"/>
  </w:num>
  <w:num w:numId="145">
    <w:abstractNumId w:val="113"/>
  </w:num>
  <w:num w:numId="146">
    <w:abstractNumId w:val="242"/>
  </w:num>
  <w:num w:numId="147">
    <w:abstractNumId w:val="118"/>
  </w:num>
  <w:num w:numId="148">
    <w:abstractNumId w:val="189"/>
  </w:num>
  <w:num w:numId="149">
    <w:abstractNumId w:val="0"/>
  </w:num>
  <w:num w:numId="150">
    <w:abstractNumId w:val="208"/>
  </w:num>
  <w:num w:numId="151">
    <w:abstractNumId w:val="211"/>
  </w:num>
  <w:num w:numId="152">
    <w:abstractNumId w:val="234"/>
  </w:num>
  <w:num w:numId="153">
    <w:abstractNumId w:val="166"/>
  </w:num>
  <w:num w:numId="154">
    <w:abstractNumId w:val="228"/>
  </w:num>
  <w:num w:numId="155">
    <w:abstractNumId w:val="254"/>
  </w:num>
  <w:num w:numId="156">
    <w:abstractNumId w:val="212"/>
  </w:num>
  <w:num w:numId="157">
    <w:abstractNumId w:val="136"/>
  </w:num>
  <w:num w:numId="158">
    <w:abstractNumId w:val="213"/>
  </w:num>
  <w:num w:numId="159">
    <w:abstractNumId w:val="30"/>
  </w:num>
  <w:num w:numId="160">
    <w:abstractNumId w:val="124"/>
  </w:num>
  <w:num w:numId="161">
    <w:abstractNumId w:val="102"/>
  </w:num>
  <w:num w:numId="162">
    <w:abstractNumId w:val="119"/>
  </w:num>
  <w:num w:numId="163">
    <w:abstractNumId w:val="145"/>
  </w:num>
  <w:num w:numId="164">
    <w:abstractNumId w:val="193"/>
  </w:num>
  <w:num w:numId="165">
    <w:abstractNumId w:val="47"/>
  </w:num>
  <w:num w:numId="166">
    <w:abstractNumId w:val="162"/>
  </w:num>
  <w:num w:numId="167">
    <w:abstractNumId w:val="13"/>
  </w:num>
  <w:num w:numId="168">
    <w:abstractNumId w:val="157"/>
  </w:num>
  <w:num w:numId="169">
    <w:abstractNumId w:val="252"/>
  </w:num>
  <w:num w:numId="170">
    <w:abstractNumId w:val="163"/>
  </w:num>
  <w:num w:numId="171">
    <w:abstractNumId w:val="202"/>
  </w:num>
  <w:num w:numId="172">
    <w:abstractNumId w:val="257"/>
  </w:num>
  <w:num w:numId="173">
    <w:abstractNumId w:val="101"/>
  </w:num>
  <w:num w:numId="174">
    <w:abstractNumId w:val="98"/>
  </w:num>
  <w:num w:numId="175">
    <w:abstractNumId w:val="53"/>
  </w:num>
  <w:num w:numId="176">
    <w:abstractNumId w:val="175"/>
  </w:num>
  <w:num w:numId="177">
    <w:abstractNumId w:val="117"/>
  </w:num>
  <w:num w:numId="178">
    <w:abstractNumId w:val="48"/>
  </w:num>
  <w:num w:numId="179">
    <w:abstractNumId w:val="115"/>
  </w:num>
  <w:num w:numId="180">
    <w:abstractNumId w:val="62"/>
  </w:num>
  <w:num w:numId="181">
    <w:abstractNumId w:val="156"/>
  </w:num>
  <w:num w:numId="182">
    <w:abstractNumId w:val="39"/>
  </w:num>
  <w:num w:numId="183">
    <w:abstractNumId w:val="27"/>
  </w:num>
  <w:num w:numId="184">
    <w:abstractNumId w:val="73"/>
  </w:num>
  <w:num w:numId="185">
    <w:abstractNumId w:val="21"/>
  </w:num>
  <w:num w:numId="186">
    <w:abstractNumId w:val="112"/>
  </w:num>
  <w:num w:numId="187">
    <w:abstractNumId w:val="146"/>
  </w:num>
  <w:num w:numId="188">
    <w:abstractNumId w:val="8"/>
  </w:num>
  <w:num w:numId="189">
    <w:abstractNumId w:val="142"/>
  </w:num>
  <w:num w:numId="190">
    <w:abstractNumId w:val="194"/>
  </w:num>
  <w:num w:numId="191">
    <w:abstractNumId w:val="88"/>
  </w:num>
  <w:num w:numId="192">
    <w:abstractNumId w:val="272"/>
  </w:num>
  <w:num w:numId="193">
    <w:abstractNumId w:val="216"/>
  </w:num>
  <w:num w:numId="194">
    <w:abstractNumId w:val="168"/>
  </w:num>
  <w:num w:numId="195">
    <w:abstractNumId w:val="238"/>
  </w:num>
  <w:num w:numId="196">
    <w:abstractNumId w:val="181"/>
  </w:num>
  <w:num w:numId="197">
    <w:abstractNumId w:val="56"/>
  </w:num>
  <w:num w:numId="198">
    <w:abstractNumId w:val="260"/>
  </w:num>
  <w:num w:numId="199">
    <w:abstractNumId w:val="129"/>
  </w:num>
  <w:num w:numId="200">
    <w:abstractNumId w:val="77"/>
  </w:num>
  <w:num w:numId="201">
    <w:abstractNumId w:val="2"/>
  </w:num>
  <w:num w:numId="202">
    <w:abstractNumId w:val="97"/>
  </w:num>
  <w:num w:numId="203">
    <w:abstractNumId w:val="229"/>
  </w:num>
  <w:num w:numId="204">
    <w:abstractNumId w:val="3"/>
  </w:num>
  <w:num w:numId="205">
    <w:abstractNumId w:val="158"/>
  </w:num>
  <w:num w:numId="206">
    <w:abstractNumId w:val="122"/>
  </w:num>
  <w:num w:numId="207">
    <w:abstractNumId w:val="82"/>
  </w:num>
  <w:num w:numId="208">
    <w:abstractNumId w:val="271"/>
  </w:num>
  <w:num w:numId="209">
    <w:abstractNumId w:val="232"/>
  </w:num>
  <w:num w:numId="210">
    <w:abstractNumId w:val="123"/>
  </w:num>
  <w:num w:numId="211">
    <w:abstractNumId w:val="150"/>
  </w:num>
  <w:num w:numId="212">
    <w:abstractNumId w:val="9"/>
  </w:num>
  <w:num w:numId="213">
    <w:abstractNumId w:val="19"/>
  </w:num>
  <w:num w:numId="214">
    <w:abstractNumId w:val="14"/>
  </w:num>
  <w:num w:numId="215">
    <w:abstractNumId w:val="68"/>
  </w:num>
  <w:num w:numId="216">
    <w:abstractNumId w:val="72"/>
  </w:num>
  <w:num w:numId="217">
    <w:abstractNumId w:val="6"/>
  </w:num>
  <w:num w:numId="218">
    <w:abstractNumId w:val="200"/>
  </w:num>
  <w:num w:numId="219">
    <w:abstractNumId w:val="28"/>
  </w:num>
  <w:num w:numId="220">
    <w:abstractNumId w:val="177"/>
  </w:num>
  <w:num w:numId="221">
    <w:abstractNumId w:val="130"/>
  </w:num>
  <w:num w:numId="222">
    <w:abstractNumId w:val="95"/>
  </w:num>
  <w:num w:numId="223">
    <w:abstractNumId w:val="190"/>
  </w:num>
  <w:num w:numId="224">
    <w:abstractNumId w:val="89"/>
  </w:num>
  <w:num w:numId="225">
    <w:abstractNumId w:val="207"/>
  </w:num>
  <w:num w:numId="226">
    <w:abstractNumId w:val="93"/>
  </w:num>
  <w:num w:numId="227">
    <w:abstractNumId w:val="203"/>
  </w:num>
  <w:num w:numId="228">
    <w:abstractNumId w:val="147"/>
  </w:num>
  <w:num w:numId="229">
    <w:abstractNumId w:val="128"/>
  </w:num>
  <w:num w:numId="230">
    <w:abstractNumId w:val="29"/>
  </w:num>
  <w:num w:numId="231">
    <w:abstractNumId w:val="86"/>
  </w:num>
  <w:num w:numId="232">
    <w:abstractNumId w:val="132"/>
  </w:num>
  <w:num w:numId="233">
    <w:abstractNumId w:val="20"/>
  </w:num>
  <w:num w:numId="234">
    <w:abstractNumId w:val="121"/>
  </w:num>
  <w:num w:numId="235">
    <w:abstractNumId w:val="110"/>
  </w:num>
  <w:num w:numId="236">
    <w:abstractNumId w:val="154"/>
  </w:num>
  <w:num w:numId="237">
    <w:abstractNumId w:val="192"/>
  </w:num>
  <w:num w:numId="238">
    <w:abstractNumId w:val="66"/>
  </w:num>
  <w:num w:numId="239">
    <w:abstractNumId w:val="244"/>
  </w:num>
  <w:num w:numId="240">
    <w:abstractNumId w:val="237"/>
  </w:num>
  <w:num w:numId="241">
    <w:abstractNumId w:val="164"/>
  </w:num>
  <w:num w:numId="242">
    <w:abstractNumId w:val="15"/>
  </w:num>
  <w:num w:numId="243">
    <w:abstractNumId w:val="61"/>
  </w:num>
  <w:num w:numId="244">
    <w:abstractNumId w:val="50"/>
  </w:num>
  <w:num w:numId="245">
    <w:abstractNumId w:val="273"/>
  </w:num>
  <w:num w:numId="246">
    <w:abstractNumId w:val="215"/>
  </w:num>
  <w:num w:numId="247">
    <w:abstractNumId w:val="133"/>
  </w:num>
  <w:num w:numId="248">
    <w:abstractNumId w:val="138"/>
  </w:num>
  <w:num w:numId="249">
    <w:abstractNumId w:val="106"/>
  </w:num>
  <w:num w:numId="250">
    <w:abstractNumId w:val="71"/>
  </w:num>
  <w:num w:numId="251">
    <w:abstractNumId w:val="144"/>
  </w:num>
  <w:num w:numId="252">
    <w:abstractNumId w:val="12"/>
  </w:num>
  <w:num w:numId="253">
    <w:abstractNumId w:val="131"/>
  </w:num>
  <w:num w:numId="254">
    <w:abstractNumId w:val="91"/>
  </w:num>
  <w:num w:numId="255">
    <w:abstractNumId w:val="262"/>
  </w:num>
  <w:num w:numId="256">
    <w:abstractNumId w:val="233"/>
  </w:num>
  <w:num w:numId="257">
    <w:abstractNumId w:val="199"/>
  </w:num>
  <w:num w:numId="258">
    <w:abstractNumId w:val="256"/>
  </w:num>
  <w:num w:numId="259">
    <w:abstractNumId w:val="219"/>
  </w:num>
  <w:num w:numId="260">
    <w:abstractNumId w:val="253"/>
  </w:num>
  <w:num w:numId="261">
    <w:abstractNumId w:val="107"/>
  </w:num>
  <w:num w:numId="262">
    <w:abstractNumId w:val="32"/>
  </w:num>
  <w:num w:numId="263">
    <w:abstractNumId w:val="51"/>
  </w:num>
  <w:num w:numId="264">
    <w:abstractNumId w:val="125"/>
  </w:num>
  <w:num w:numId="265">
    <w:abstractNumId w:val="218"/>
  </w:num>
  <w:num w:numId="266">
    <w:abstractNumId w:val="24"/>
  </w:num>
  <w:num w:numId="267">
    <w:abstractNumId w:val="96"/>
  </w:num>
  <w:num w:numId="268">
    <w:abstractNumId w:val="37"/>
  </w:num>
  <w:num w:numId="269">
    <w:abstractNumId w:val="126"/>
  </w:num>
  <w:num w:numId="270">
    <w:abstractNumId w:val="111"/>
  </w:num>
  <w:num w:numId="271">
    <w:abstractNumId w:val="188"/>
  </w:num>
  <w:num w:numId="272">
    <w:abstractNumId w:val="94"/>
  </w:num>
  <w:num w:numId="273">
    <w:abstractNumId w:val="174"/>
  </w:num>
  <w:num w:numId="274">
    <w:abstractNumId w:val="186"/>
  </w:num>
  <w:num w:numId="275">
    <w:abstractNumId w:val="149"/>
  </w:num>
  <w:num w:numId="276">
    <w:abstractNumId w:val="105"/>
  </w:num>
  <w:num w:numId="277">
    <w:abstractNumId w:val="269"/>
  </w:num>
  <w:numIdMacAtCleanup w:val="2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175"/>
    <w:rsid w:val="00000016"/>
    <w:rsid w:val="00000ADE"/>
    <w:rsid w:val="00000EF8"/>
    <w:rsid w:val="00001638"/>
    <w:rsid w:val="0000210E"/>
    <w:rsid w:val="00002924"/>
    <w:rsid w:val="00002B28"/>
    <w:rsid w:val="0000351F"/>
    <w:rsid w:val="00003C4F"/>
    <w:rsid w:val="00003DA9"/>
    <w:rsid w:val="00003F39"/>
    <w:rsid w:val="00004191"/>
    <w:rsid w:val="000041B1"/>
    <w:rsid w:val="00004746"/>
    <w:rsid w:val="000050DD"/>
    <w:rsid w:val="000056E4"/>
    <w:rsid w:val="00007119"/>
    <w:rsid w:val="0000770C"/>
    <w:rsid w:val="00007B70"/>
    <w:rsid w:val="00007BDA"/>
    <w:rsid w:val="00007CD8"/>
    <w:rsid w:val="000101D0"/>
    <w:rsid w:val="00010DE7"/>
    <w:rsid w:val="00011212"/>
    <w:rsid w:val="000115BF"/>
    <w:rsid w:val="00012350"/>
    <w:rsid w:val="000127EB"/>
    <w:rsid w:val="00012CDB"/>
    <w:rsid w:val="0001342B"/>
    <w:rsid w:val="000138C3"/>
    <w:rsid w:val="0001509E"/>
    <w:rsid w:val="0001510C"/>
    <w:rsid w:val="000152D8"/>
    <w:rsid w:val="00016357"/>
    <w:rsid w:val="00016748"/>
    <w:rsid w:val="00016BFE"/>
    <w:rsid w:val="00016C27"/>
    <w:rsid w:val="00016FD1"/>
    <w:rsid w:val="0001739A"/>
    <w:rsid w:val="00020088"/>
    <w:rsid w:val="00021BCA"/>
    <w:rsid w:val="00021F38"/>
    <w:rsid w:val="000220B2"/>
    <w:rsid w:val="00022266"/>
    <w:rsid w:val="00023DFC"/>
    <w:rsid w:val="00023E32"/>
    <w:rsid w:val="00024324"/>
    <w:rsid w:val="000250B3"/>
    <w:rsid w:val="000255A3"/>
    <w:rsid w:val="00025C94"/>
    <w:rsid w:val="00026402"/>
    <w:rsid w:val="00026FEB"/>
    <w:rsid w:val="000277B0"/>
    <w:rsid w:val="00027868"/>
    <w:rsid w:val="0002788C"/>
    <w:rsid w:val="000300A1"/>
    <w:rsid w:val="00030261"/>
    <w:rsid w:val="000302CA"/>
    <w:rsid w:val="00030A03"/>
    <w:rsid w:val="000312D9"/>
    <w:rsid w:val="00031974"/>
    <w:rsid w:val="00031D99"/>
    <w:rsid w:val="000321FF"/>
    <w:rsid w:val="00032653"/>
    <w:rsid w:val="00032C5E"/>
    <w:rsid w:val="000337DD"/>
    <w:rsid w:val="00033C3C"/>
    <w:rsid w:val="00033F81"/>
    <w:rsid w:val="000344EA"/>
    <w:rsid w:val="000357DC"/>
    <w:rsid w:val="0003624D"/>
    <w:rsid w:val="000362A7"/>
    <w:rsid w:val="00037B77"/>
    <w:rsid w:val="00040621"/>
    <w:rsid w:val="00041571"/>
    <w:rsid w:val="0004167A"/>
    <w:rsid w:val="00041F69"/>
    <w:rsid w:val="00042D55"/>
    <w:rsid w:val="00042DF3"/>
    <w:rsid w:val="00042F36"/>
    <w:rsid w:val="000432D1"/>
    <w:rsid w:val="00043302"/>
    <w:rsid w:val="00043BD8"/>
    <w:rsid w:val="00043CA2"/>
    <w:rsid w:val="00043FFD"/>
    <w:rsid w:val="00044395"/>
    <w:rsid w:val="0004515E"/>
    <w:rsid w:val="000454E5"/>
    <w:rsid w:val="00045FEB"/>
    <w:rsid w:val="000466B8"/>
    <w:rsid w:val="000470B1"/>
    <w:rsid w:val="00047C2A"/>
    <w:rsid w:val="000501F9"/>
    <w:rsid w:val="000504ED"/>
    <w:rsid w:val="00050E22"/>
    <w:rsid w:val="00050FB8"/>
    <w:rsid w:val="000510D7"/>
    <w:rsid w:val="000514CB"/>
    <w:rsid w:val="00051D79"/>
    <w:rsid w:val="00052163"/>
    <w:rsid w:val="00052B7F"/>
    <w:rsid w:val="00053B7E"/>
    <w:rsid w:val="00054ABC"/>
    <w:rsid w:val="00054E22"/>
    <w:rsid w:val="00055268"/>
    <w:rsid w:val="000556AC"/>
    <w:rsid w:val="00056084"/>
    <w:rsid w:val="00056B43"/>
    <w:rsid w:val="000571E2"/>
    <w:rsid w:val="000575DC"/>
    <w:rsid w:val="00057709"/>
    <w:rsid w:val="0006014B"/>
    <w:rsid w:val="00061425"/>
    <w:rsid w:val="00061508"/>
    <w:rsid w:val="000618E8"/>
    <w:rsid w:val="00061AA8"/>
    <w:rsid w:val="00061BB2"/>
    <w:rsid w:val="00062521"/>
    <w:rsid w:val="0006254A"/>
    <w:rsid w:val="0006264F"/>
    <w:rsid w:val="000626EC"/>
    <w:rsid w:val="000627E9"/>
    <w:rsid w:val="00062CDA"/>
    <w:rsid w:val="00062EBC"/>
    <w:rsid w:val="000635D8"/>
    <w:rsid w:val="00063A1A"/>
    <w:rsid w:val="00063AB9"/>
    <w:rsid w:val="00064309"/>
    <w:rsid w:val="000643B3"/>
    <w:rsid w:val="00065058"/>
    <w:rsid w:val="00065359"/>
    <w:rsid w:val="000653A5"/>
    <w:rsid w:val="000663EA"/>
    <w:rsid w:val="000666D9"/>
    <w:rsid w:val="00066A5E"/>
    <w:rsid w:val="00066A65"/>
    <w:rsid w:val="00066C86"/>
    <w:rsid w:val="00066C89"/>
    <w:rsid w:val="00066F35"/>
    <w:rsid w:val="00067003"/>
    <w:rsid w:val="00067B68"/>
    <w:rsid w:val="00070045"/>
    <w:rsid w:val="00071263"/>
    <w:rsid w:val="00072323"/>
    <w:rsid w:val="000728C1"/>
    <w:rsid w:val="0007343E"/>
    <w:rsid w:val="000743B1"/>
    <w:rsid w:val="000749AD"/>
    <w:rsid w:val="000755BB"/>
    <w:rsid w:val="00076996"/>
    <w:rsid w:val="00076D1B"/>
    <w:rsid w:val="0007710C"/>
    <w:rsid w:val="00077494"/>
    <w:rsid w:val="00077ED9"/>
    <w:rsid w:val="00080E28"/>
    <w:rsid w:val="00080E8D"/>
    <w:rsid w:val="00081472"/>
    <w:rsid w:val="000819F0"/>
    <w:rsid w:val="00081BDD"/>
    <w:rsid w:val="00082BC9"/>
    <w:rsid w:val="000830BB"/>
    <w:rsid w:val="000832BF"/>
    <w:rsid w:val="00083967"/>
    <w:rsid w:val="000839A5"/>
    <w:rsid w:val="000839F0"/>
    <w:rsid w:val="00083FA6"/>
    <w:rsid w:val="00084667"/>
    <w:rsid w:val="00084A0C"/>
    <w:rsid w:val="00084D2F"/>
    <w:rsid w:val="00085960"/>
    <w:rsid w:val="00085EFD"/>
    <w:rsid w:val="000862DC"/>
    <w:rsid w:val="000864D2"/>
    <w:rsid w:val="000915D5"/>
    <w:rsid w:val="000936DA"/>
    <w:rsid w:val="00095381"/>
    <w:rsid w:val="0009591F"/>
    <w:rsid w:val="00095C3B"/>
    <w:rsid w:val="00095C4F"/>
    <w:rsid w:val="00095F2B"/>
    <w:rsid w:val="000964C1"/>
    <w:rsid w:val="00096AF0"/>
    <w:rsid w:val="00097583"/>
    <w:rsid w:val="000A09F6"/>
    <w:rsid w:val="000A17C3"/>
    <w:rsid w:val="000A17E8"/>
    <w:rsid w:val="000A1D24"/>
    <w:rsid w:val="000A1D70"/>
    <w:rsid w:val="000A1DE0"/>
    <w:rsid w:val="000A3810"/>
    <w:rsid w:val="000A3B4C"/>
    <w:rsid w:val="000A4D5B"/>
    <w:rsid w:val="000A5297"/>
    <w:rsid w:val="000A5542"/>
    <w:rsid w:val="000A59DB"/>
    <w:rsid w:val="000A5BC5"/>
    <w:rsid w:val="000A6051"/>
    <w:rsid w:val="000A623E"/>
    <w:rsid w:val="000A7432"/>
    <w:rsid w:val="000B0C55"/>
    <w:rsid w:val="000B1055"/>
    <w:rsid w:val="000B1801"/>
    <w:rsid w:val="000B1BAB"/>
    <w:rsid w:val="000B1FD6"/>
    <w:rsid w:val="000B298C"/>
    <w:rsid w:val="000B2A5E"/>
    <w:rsid w:val="000B3241"/>
    <w:rsid w:val="000B35D1"/>
    <w:rsid w:val="000B3925"/>
    <w:rsid w:val="000B3B52"/>
    <w:rsid w:val="000B3D88"/>
    <w:rsid w:val="000B42BD"/>
    <w:rsid w:val="000B4CC3"/>
    <w:rsid w:val="000B4DF2"/>
    <w:rsid w:val="000B58C8"/>
    <w:rsid w:val="000B607B"/>
    <w:rsid w:val="000B60D3"/>
    <w:rsid w:val="000B6218"/>
    <w:rsid w:val="000B64DE"/>
    <w:rsid w:val="000B7156"/>
    <w:rsid w:val="000B7445"/>
    <w:rsid w:val="000B749D"/>
    <w:rsid w:val="000B7619"/>
    <w:rsid w:val="000B7C19"/>
    <w:rsid w:val="000C08A4"/>
    <w:rsid w:val="000C1171"/>
    <w:rsid w:val="000C157D"/>
    <w:rsid w:val="000C16FB"/>
    <w:rsid w:val="000C2369"/>
    <w:rsid w:val="000C29FF"/>
    <w:rsid w:val="000C318E"/>
    <w:rsid w:val="000C4E94"/>
    <w:rsid w:val="000C4F4D"/>
    <w:rsid w:val="000C6330"/>
    <w:rsid w:val="000C6366"/>
    <w:rsid w:val="000C66C3"/>
    <w:rsid w:val="000C69D2"/>
    <w:rsid w:val="000C7020"/>
    <w:rsid w:val="000C738B"/>
    <w:rsid w:val="000C7BFD"/>
    <w:rsid w:val="000C7FAA"/>
    <w:rsid w:val="000D007F"/>
    <w:rsid w:val="000D0081"/>
    <w:rsid w:val="000D0207"/>
    <w:rsid w:val="000D1111"/>
    <w:rsid w:val="000D1DD1"/>
    <w:rsid w:val="000D1E93"/>
    <w:rsid w:val="000D2F35"/>
    <w:rsid w:val="000D408A"/>
    <w:rsid w:val="000D5C80"/>
    <w:rsid w:val="000D6E78"/>
    <w:rsid w:val="000D732A"/>
    <w:rsid w:val="000E06A7"/>
    <w:rsid w:val="000E0D22"/>
    <w:rsid w:val="000E0E6A"/>
    <w:rsid w:val="000E29E6"/>
    <w:rsid w:val="000E3684"/>
    <w:rsid w:val="000E395D"/>
    <w:rsid w:val="000E3D38"/>
    <w:rsid w:val="000E3FE0"/>
    <w:rsid w:val="000E5608"/>
    <w:rsid w:val="000E65A4"/>
    <w:rsid w:val="000E6851"/>
    <w:rsid w:val="000E6F1E"/>
    <w:rsid w:val="000F0151"/>
    <w:rsid w:val="000F0243"/>
    <w:rsid w:val="000F06E3"/>
    <w:rsid w:val="000F148E"/>
    <w:rsid w:val="000F1B33"/>
    <w:rsid w:val="000F21D4"/>
    <w:rsid w:val="000F350B"/>
    <w:rsid w:val="000F3561"/>
    <w:rsid w:val="000F3A39"/>
    <w:rsid w:val="000F3F0D"/>
    <w:rsid w:val="000F5199"/>
    <w:rsid w:val="000F5911"/>
    <w:rsid w:val="000F593C"/>
    <w:rsid w:val="000F5EC4"/>
    <w:rsid w:val="000F633C"/>
    <w:rsid w:val="000F65A0"/>
    <w:rsid w:val="000F6B95"/>
    <w:rsid w:val="0010285C"/>
    <w:rsid w:val="00102897"/>
    <w:rsid w:val="001035CA"/>
    <w:rsid w:val="001045BF"/>
    <w:rsid w:val="00105BB8"/>
    <w:rsid w:val="00105CB7"/>
    <w:rsid w:val="00105EF7"/>
    <w:rsid w:val="00105EFC"/>
    <w:rsid w:val="0010715E"/>
    <w:rsid w:val="00107D0C"/>
    <w:rsid w:val="00107E52"/>
    <w:rsid w:val="0011101E"/>
    <w:rsid w:val="001110EF"/>
    <w:rsid w:val="001111A0"/>
    <w:rsid w:val="001114CF"/>
    <w:rsid w:val="001119FC"/>
    <w:rsid w:val="00111B6F"/>
    <w:rsid w:val="00111EBD"/>
    <w:rsid w:val="00111FD1"/>
    <w:rsid w:val="00113B5C"/>
    <w:rsid w:val="00114274"/>
    <w:rsid w:val="00114559"/>
    <w:rsid w:val="00114D83"/>
    <w:rsid w:val="0011519F"/>
    <w:rsid w:val="00117CE1"/>
    <w:rsid w:val="001207D9"/>
    <w:rsid w:val="00120DEB"/>
    <w:rsid w:val="00121678"/>
    <w:rsid w:val="00121C33"/>
    <w:rsid w:val="00122384"/>
    <w:rsid w:val="0012247F"/>
    <w:rsid w:val="00122989"/>
    <w:rsid w:val="0012301E"/>
    <w:rsid w:val="00123932"/>
    <w:rsid w:val="00123962"/>
    <w:rsid w:val="00124F32"/>
    <w:rsid w:val="001256E0"/>
    <w:rsid w:val="00126AC7"/>
    <w:rsid w:val="00126F53"/>
    <w:rsid w:val="001270C4"/>
    <w:rsid w:val="00130FA1"/>
    <w:rsid w:val="00131A88"/>
    <w:rsid w:val="001326BC"/>
    <w:rsid w:val="00133513"/>
    <w:rsid w:val="00134103"/>
    <w:rsid w:val="001341DA"/>
    <w:rsid w:val="00134332"/>
    <w:rsid w:val="00134C6D"/>
    <w:rsid w:val="001355C5"/>
    <w:rsid w:val="001362F5"/>
    <w:rsid w:val="00136991"/>
    <w:rsid w:val="00136E2F"/>
    <w:rsid w:val="00136EFD"/>
    <w:rsid w:val="00137979"/>
    <w:rsid w:val="001402FE"/>
    <w:rsid w:val="0014085F"/>
    <w:rsid w:val="00140D71"/>
    <w:rsid w:val="00140F39"/>
    <w:rsid w:val="00141225"/>
    <w:rsid w:val="0014132D"/>
    <w:rsid w:val="0014147A"/>
    <w:rsid w:val="00141595"/>
    <w:rsid w:val="001417E8"/>
    <w:rsid w:val="00142269"/>
    <w:rsid w:val="001423BA"/>
    <w:rsid w:val="001428AE"/>
    <w:rsid w:val="0014302C"/>
    <w:rsid w:val="001435F8"/>
    <w:rsid w:val="001435F9"/>
    <w:rsid w:val="00144745"/>
    <w:rsid w:val="00144824"/>
    <w:rsid w:val="0014541B"/>
    <w:rsid w:val="00145434"/>
    <w:rsid w:val="00145608"/>
    <w:rsid w:val="00150377"/>
    <w:rsid w:val="00150C74"/>
    <w:rsid w:val="00154025"/>
    <w:rsid w:val="0015420D"/>
    <w:rsid w:val="00155983"/>
    <w:rsid w:val="00155A54"/>
    <w:rsid w:val="00155D63"/>
    <w:rsid w:val="001569BB"/>
    <w:rsid w:val="001579F3"/>
    <w:rsid w:val="00157C4E"/>
    <w:rsid w:val="00157DF0"/>
    <w:rsid w:val="001600ED"/>
    <w:rsid w:val="00160167"/>
    <w:rsid w:val="00160437"/>
    <w:rsid w:val="00160480"/>
    <w:rsid w:val="001608D4"/>
    <w:rsid w:val="00161321"/>
    <w:rsid w:val="00161D44"/>
    <w:rsid w:val="00162103"/>
    <w:rsid w:val="00162981"/>
    <w:rsid w:val="00163A2A"/>
    <w:rsid w:val="00163AEE"/>
    <w:rsid w:val="00163FC3"/>
    <w:rsid w:val="00164C26"/>
    <w:rsid w:val="00164D9F"/>
    <w:rsid w:val="001652AB"/>
    <w:rsid w:val="00165B85"/>
    <w:rsid w:val="00165B91"/>
    <w:rsid w:val="00165EAB"/>
    <w:rsid w:val="00166610"/>
    <w:rsid w:val="0016721C"/>
    <w:rsid w:val="001700E8"/>
    <w:rsid w:val="0017094A"/>
    <w:rsid w:val="00171E1E"/>
    <w:rsid w:val="001722A2"/>
    <w:rsid w:val="00172786"/>
    <w:rsid w:val="00172BB0"/>
    <w:rsid w:val="00172E47"/>
    <w:rsid w:val="00172F24"/>
    <w:rsid w:val="00173081"/>
    <w:rsid w:val="0017364D"/>
    <w:rsid w:val="00173D34"/>
    <w:rsid w:val="00173F7F"/>
    <w:rsid w:val="001759DB"/>
    <w:rsid w:val="001765B0"/>
    <w:rsid w:val="00177AB4"/>
    <w:rsid w:val="00180C88"/>
    <w:rsid w:val="00180E30"/>
    <w:rsid w:val="0018100F"/>
    <w:rsid w:val="00181028"/>
    <w:rsid w:val="00181321"/>
    <w:rsid w:val="00181761"/>
    <w:rsid w:val="00181C0F"/>
    <w:rsid w:val="0018204B"/>
    <w:rsid w:val="0018224F"/>
    <w:rsid w:val="001822EE"/>
    <w:rsid w:val="00182471"/>
    <w:rsid w:val="00182C3B"/>
    <w:rsid w:val="00182FCD"/>
    <w:rsid w:val="00183412"/>
    <w:rsid w:val="0018380C"/>
    <w:rsid w:val="00183A9D"/>
    <w:rsid w:val="00183B43"/>
    <w:rsid w:val="00184517"/>
    <w:rsid w:val="00184810"/>
    <w:rsid w:val="00184FDC"/>
    <w:rsid w:val="00185833"/>
    <w:rsid w:val="0018610E"/>
    <w:rsid w:val="0018668B"/>
    <w:rsid w:val="00186B74"/>
    <w:rsid w:val="00187284"/>
    <w:rsid w:val="001878DA"/>
    <w:rsid w:val="001902D4"/>
    <w:rsid w:val="00190EC7"/>
    <w:rsid w:val="00191137"/>
    <w:rsid w:val="00191509"/>
    <w:rsid w:val="00191967"/>
    <w:rsid w:val="00192570"/>
    <w:rsid w:val="00192C2A"/>
    <w:rsid w:val="001943BC"/>
    <w:rsid w:val="001949DF"/>
    <w:rsid w:val="00195605"/>
    <w:rsid w:val="0019602E"/>
    <w:rsid w:val="001970CF"/>
    <w:rsid w:val="001976D5"/>
    <w:rsid w:val="00197919"/>
    <w:rsid w:val="001A00C2"/>
    <w:rsid w:val="001A0A4E"/>
    <w:rsid w:val="001A0A97"/>
    <w:rsid w:val="001A1270"/>
    <w:rsid w:val="001A17E5"/>
    <w:rsid w:val="001A1AF7"/>
    <w:rsid w:val="001A1F22"/>
    <w:rsid w:val="001A4E59"/>
    <w:rsid w:val="001A5014"/>
    <w:rsid w:val="001A55CF"/>
    <w:rsid w:val="001A5834"/>
    <w:rsid w:val="001A63C9"/>
    <w:rsid w:val="001A65F3"/>
    <w:rsid w:val="001A7F1A"/>
    <w:rsid w:val="001B06E3"/>
    <w:rsid w:val="001B13C2"/>
    <w:rsid w:val="001B1660"/>
    <w:rsid w:val="001B18E7"/>
    <w:rsid w:val="001B1A99"/>
    <w:rsid w:val="001B21D8"/>
    <w:rsid w:val="001B283D"/>
    <w:rsid w:val="001B2FD0"/>
    <w:rsid w:val="001B3B52"/>
    <w:rsid w:val="001B4761"/>
    <w:rsid w:val="001B5487"/>
    <w:rsid w:val="001B60BA"/>
    <w:rsid w:val="001B6385"/>
    <w:rsid w:val="001B66CC"/>
    <w:rsid w:val="001B6915"/>
    <w:rsid w:val="001B6C0A"/>
    <w:rsid w:val="001B7241"/>
    <w:rsid w:val="001B75AC"/>
    <w:rsid w:val="001B7607"/>
    <w:rsid w:val="001B78B0"/>
    <w:rsid w:val="001C0313"/>
    <w:rsid w:val="001C0A5C"/>
    <w:rsid w:val="001C0EB8"/>
    <w:rsid w:val="001C16A9"/>
    <w:rsid w:val="001C2212"/>
    <w:rsid w:val="001C2A58"/>
    <w:rsid w:val="001C401E"/>
    <w:rsid w:val="001C5203"/>
    <w:rsid w:val="001C5220"/>
    <w:rsid w:val="001C5672"/>
    <w:rsid w:val="001C59C1"/>
    <w:rsid w:val="001C5B13"/>
    <w:rsid w:val="001C5CD1"/>
    <w:rsid w:val="001C6266"/>
    <w:rsid w:val="001C7371"/>
    <w:rsid w:val="001C7E22"/>
    <w:rsid w:val="001D020A"/>
    <w:rsid w:val="001D0548"/>
    <w:rsid w:val="001D1250"/>
    <w:rsid w:val="001D1DEC"/>
    <w:rsid w:val="001D32BC"/>
    <w:rsid w:val="001D37BB"/>
    <w:rsid w:val="001D3E3A"/>
    <w:rsid w:val="001D460C"/>
    <w:rsid w:val="001D4FB7"/>
    <w:rsid w:val="001D4FDA"/>
    <w:rsid w:val="001D5540"/>
    <w:rsid w:val="001D55D9"/>
    <w:rsid w:val="001D59AA"/>
    <w:rsid w:val="001D5E43"/>
    <w:rsid w:val="001D6590"/>
    <w:rsid w:val="001D6AED"/>
    <w:rsid w:val="001E0670"/>
    <w:rsid w:val="001E12D7"/>
    <w:rsid w:val="001E24AF"/>
    <w:rsid w:val="001E26BC"/>
    <w:rsid w:val="001E2C58"/>
    <w:rsid w:val="001E3532"/>
    <w:rsid w:val="001E4726"/>
    <w:rsid w:val="001E4B5D"/>
    <w:rsid w:val="001E4F9D"/>
    <w:rsid w:val="001E5612"/>
    <w:rsid w:val="001E57DB"/>
    <w:rsid w:val="001E5D06"/>
    <w:rsid w:val="001E7FBD"/>
    <w:rsid w:val="001F0653"/>
    <w:rsid w:val="001F14B8"/>
    <w:rsid w:val="001F1955"/>
    <w:rsid w:val="001F20F8"/>
    <w:rsid w:val="001F2907"/>
    <w:rsid w:val="001F2FCF"/>
    <w:rsid w:val="001F3126"/>
    <w:rsid w:val="001F3518"/>
    <w:rsid w:val="001F3A69"/>
    <w:rsid w:val="001F4030"/>
    <w:rsid w:val="001F4397"/>
    <w:rsid w:val="001F53E4"/>
    <w:rsid w:val="001F6273"/>
    <w:rsid w:val="001F7EFE"/>
    <w:rsid w:val="00200A51"/>
    <w:rsid w:val="00200E8E"/>
    <w:rsid w:val="002010BD"/>
    <w:rsid w:val="002013D9"/>
    <w:rsid w:val="00201CDE"/>
    <w:rsid w:val="00201FE3"/>
    <w:rsid w:val="002021B4"/>
    <w:rsid w:val="00202EF8"/>
    <w:rsid w:val="00203D9E"/>
    <w:rsid w:val="00204FD6"/>
    <w:rsid w:val="00205E51"/>
    <w:rsid w:val="00206B59"/>
    <w:rsid w:val="00206D09"/>
    <w:rsid w:val="00206E75"/>
    <w:rsid w:val="002076F7"/>
    <w:rsid w:val="00207885"/>
    <w:rsid w:val="002101AF"/>
    <w:rsid w:val="00211413"/>
    <w:rsid w:val="00211BAF"/>
    <w:rsid w:val="00214539"/>
    <w:rsid w:val="002153AA"/>
    <w:rsid w:val="002161B2"/>
    <w:rsid w:val="00216657"/>
    <w:rsid w:val="00216D9C"/>
    <w:rsid w:val="00216DD5"/>
    <w:rsid w:val="00217B7A"/>
    <w:rsid w:val="00217E96"/>
    <w:rsid w:val="002204E3"/>
    <w:rsid w:val="0022082E"/>
    <w:rsid w:val="00220BB6"/>
    <w:rsid w:val="00221015"/>
    <w:rsid w:val="00221CDA"/>
    <w:rsid w:val="00222135"/>
    <w:rsid w:val="00223B9A"/>
    <w:rsid w:val="00223F93"/>
    <w:rsid w:val="002244D2"/>
    <w:rsid w:val="00224CB9"/>
    <w:rsid w:val="002252DD"/>
    <w:rsid w:val="0022590C"/>
    <w:rsid w:val="00225DAA"/>
    <w:rsid w:val="00226F93"/>
    <w:rsid w:val="00230470"/>
    <w:rsid w:val="00230FAB"/>
    <w:rsid w:val="00231C6B"/>
    <w:rsid w:val="002320E9"/>
    <w:rsid w:val="002322EF"/>
    <w:rsid w:val="002324E3"/>
    <w:rsid w:val="0023280A"/>
    <w:rsid w:val="00232D64"/>
    <w:rsid w:val="002338FD"/>
    <w:rsid w:val="00233EF3"/>
    <w:rsid w:val="002341AA"/>
    <w:rsid w:val="00235476"/>
    <w:rsid w:val="00235510"/>
    <w:rsid w:val="00235651"/>
    <w:rsid w:val="002357F4"/>
    <w:rsid w:val="00235BF6"/>
    <w:rsid w:val="00235E1C"/>
    <w:rsid w:val="00236569"/>
    <w:rsid w:val="00240377"/>
    <w:rsid w:val="00240437"/>
    <w:rsid w:val="00240840"/>
    <w:rsid w:val="00241BC3"/>
    <w:rsid w:val="0024209D"/>
    <w:rsid w:val="00242684"/>
    <w:rsid w:val="002429D1"/>
    <w:rsid w:val="00242DC6"/>
    <w:rsid w:val="00243513"/>
    <w:rsid w:val="00243D55"/>
    <w:rsid w:val="0024519A"/>
    <w:rsid w:val="0024591B"/>
    <w:rsid w:val="002479E7"/>
    <w:rsid w:val="00250BD5"/>
    <w:rsid w:val="00250D3E"/>
    <w:rsid w:val="00250DE9"/>
    <w:rsid w:val="00251DEC"/>
    <w:rsid w:val="00251ECF"/>
    <w:rsid w:val="00251F26"/>
    <w:rsid w:val="002521F4"/>
    <w:rsid w:val="002531E0"/>
    <w:rsid w:val="002535DA"/>
    <w:rsid w:val="0025399D"/>
    <w:rsid w:val="00253C18"/>
    <w:rsid w:val="00253D8C"/>
    <w:rsid w:val="00253EB9"/>
    <w:rsid w:val="00254074"/>
    <w:rsid w:val="0025445C"/>
    <w:rsid w:val="00254D6E"/>
    <w:rsid w:val="00254E31"/>
    <w:rsid w:val="00255763"/>
    <w:rsid w:val="002558C2"/>
    <w:rsid w:val="00255A12"/>
    <w:rsid w:val="00255E42"/>
    <w:rsid w:val="00256295"/>
    <w:rsid w:val="002564B5"/>
    <w:rsid w:val="00256C0A"/>
    <w:rsid w:val="00257022"/>
    <w:rsid w:val="002601B3"/>
    <w:rsid w:val="002602ED"/>
    <w:rsid w:val="002604D7"/>
    <w:rsid w:val="00260769"/>
    <w:rsid w:val="00260ADC"/>
    <w:rsid w:val="00260DDA"/>
    <w:rsid w:val="00261158"/>
    <w:rsid w:val="002614C0"/>
    <w:rsid w:val="00261E72"/>
    <w:rsid w:val="00262316"/>
    <w:rsid w:val="002635B4"/>
    <w:rsid w:val="002637A1"/>
    <w:rsid w:val="00263914"/>
    <w:rsid w:val="00263D49"/>
    <w:rsid w:val="002642A7"/>
    <w:rsid w:val="002644AC"/>
    <w:rsid w:val="00264E15"/>
    <w:rsid w:val="00264FC1"/>
    <w:rsid w:val="0026579B"/>
    <w:rsid w:val="00266884"/>
    <w:rsid w:val="002668EF"/>
    <w:rsid w:val="00266F30"/>
    <w:rsid w:val="00266FE8"/>
    <w:rsid w:val="0026781F"/>
    <w:rsid w:val="0027101B"/>
    <w:rsid w:val="002713DB"/>
    <w:rsid w:val="00271B46"/>
    <w:rsid w:val="00272200"/>
    <w:rsid w:val="00272511"/>
    <w:rsid w:val="00272512"/>
    <w:rsid w:val="002728B2"/>
    <w:rsid w:val="00272B08"/>
    <w:rsid w:val="002739F3"/>
    <w:rsid w:val="0027472C"/>
    <w:rsid w:val="0027496A"/>
    <w:rsid w:val="00275220"/>
    <w:rsid w:val="0027551F"/>
    <w:rsid w:val="002759D5"/>
    <w:rsid w:val="00276295"/>
    <w:rsid w:val="00276BE5"/>
    <w:rsid w:val="00276D01"/>
    <w:rsid w:val="00276DB9"/>
    <w:rsid w:val="00277010"/>
    <w:rsid w:val="00277051"/>
    <w:rsid w:val="00277968"/>
    <w:rsid w:val="002779DE"/>
    <w:rsid w:val="00277CB2"/>
    <w:rsid w:val="0028074B"/>
    <w:rsid w:val="0028087F"/>
    <w:rsid w:val="002817FB"/>
    <w:rsid w:val="002818DE"/>
    <w:rsid w:val="00281952"/>
    <w:rsid w:val="002822A5"/>
    <w:rsid w:val="00283518"/>
    <w:rsid w:val="0028376D"/>
    <w:rsid w:val="00283D00"/>
    <w:rsid w:val="00284D5A"/>
    <w:rsid w:val="00285095"/>
    <w:rsid w:val="00291101"/>
    <w:rsid w:val="00291A37"/>
    <w:rsid w:val="00291F74"/>
    <w:rsid w:val="0029262E"/>
    <w:rsid w:val="00292646"/>
    <w:rsid w:val="0029296B"/>
    <w:rsid w:val="00292F30"/>
    <w:rsid w:val="00293414"/>
    <w:rsid w:val="00293E2A"/>
    <w:rsid w:val="002948B6"/>
    <w:rsid w:val="00294ADA"/>
    <w:rsid w:val="00294FEA"/>
    <w:rsid w:val="00295340"/>
    <w:rsid w:val="00295822"/>
    <w:rsid w:val="00295A14"/>
    <w:rsid w:val="00295A8E"/>
    <w:rsid w:val="00295FF6"/>
    <w:rsid w:val="00296366"/>
    <w:rsid w:val="002A01D3"/>
    <w:rsid w:val="002A047A"/>
    <w:rsid w:val="002A0F39"/>
    <w:rsid w:val="002A100D"/>
    <w:rsid w:val="002A17A1"/>
    <w:rsid w:val="002A17CC"/>
    <w:rsid w:val="002A25CE"/>
    <w:rsid w:val="002A398E"/>
    <w:rsid w:val="002A3D80"/>
    <w:rsid w:val="002A4437"/>
    <w:rsid w:val="002A52EB"/>
    <w:rsid w:val="002A6447"/>
    <w:rsid w:val="002A686B"/>
    <w:rsid w:val="002A68E5"/>
    <w:rsid w:val="002A6A1E"/>
    <w:rsid w:val="002A70CC"/>
    <w:rsid w:val="002A73F0"/>
    <w:rsid w:val="002A7F68"/>
    <w:rsid w:val="002B0B49"/>
    <w:rsid w:val="002B0FA6"/>
    <w:rsid w:val="002B194C"/>
    <w:rsid w:val="002B1E96"/>
    <w:rsid w:val="002B26E0"/>
    <w:rsid w:val="002B2AAE"/>
    <w:rsid w:val="002B3085"/>
    <w:rsid w:val="002B3961"/>
    <w:rsid w:val="002B3D7B"/>
    <w:rsid w:val="002B4162"/>
    <w:rsid w:val="002B56E8"/>
    <w:rsid w:val="002B5C6F"/>
    <w:rsid w:val="002C053E"/>
    <w:rsid w:val="002C09C9"/>
    <w:rsid w:val="002C0BFC"/>
    <w:rsid w:val="002C0D0D"/>
    <w:rsid w:val="002C0E1D"/>
    <w:rsid w:val="002C0F09"/>
    <w:rsid w:val="002C2285"/>
    <w:rsid w:val="002C2B9A"/>
    <w:rsid w:val="002C2FA2"/>
    <w:rsid w:val="002C3D67"/>
    <w:rsid w:val="002C408D"/>
    <w:rsid w:val="002C4151"/>
    <w:rsid w:val="002C42ED"/>
    <w:rsid w:val="002C4993"/>
    <w:rsid w:val="002C4C23"/>
    <w:rsid w:val="002C4D01"/>
    <w:rsid w:val="002C4D82"/>
    <w:rsid w:val="002C50A7"/>
    <w:rsid w:val="002C52FF"/>
    <w:rsid w:val="002C5684"/>
    <w:rsid w:val="002C6F9D"/>
    <w:rsid w:val="002C7B42"/>
    <w:rsid w:val="002C7B56"/>
    <w:rsid w:val="002D09AF"/>
    <w:rsid w:val="002D11D2"/>
    <w:rsid w:val="002D1B2E"/>
    <w:rsid w:val="002D3568"/>
    <w:rsid w:val="002D3958"/>
    <w:rsid w:val="002D39F0"/>
    <w:rsid w:val="002D435C"/>
    <w:rsid w:val="002D4B3E"/>
    <w:rsid w:val="002D4E4B"/>
    <w:rsid w:val="002D514D"/>
    <w:rsid w:val="002D52AA"/>
    <w:rsid w:val="002D6A0E"/>
    <w:rsid w:val="002D6D49"/>
    <w:rsid w:val="002D70BD"/>
    <w:rsid w:val="002D7A49"/>
    <w:rsid w:val="002D7A79"/>
    <w:rsid w:val="002D7D9C"/>
    <w:rsid w:val="002E0AAE"/>
    <w:rsid w:val="002E222F"/>
    <w:rsid w:val="002E27F2"/>
    <w:rsid w:val="002E29B0"/>
    <w:rsid w:val="002E3633"/>
    <w:rsid w:val="002E3BBC"/>
    <w:rsid w:val="002E42A1"/>
    <w:rsid w:val="002E4A8A"/>
    <w:rsid w:val="002E57F8"/>
    <w:rsid w:val="002E5EF8"/>
    <w:rsid w:val="002E645D"/>
    <w:rsid w:val="002E6486"/>
    <w:rsid w:val="002E648F"/>
    <w:rsid w:val="002E70AF"/>
    <w:rsid w:val="002E7127"/>
    <w:rsid w:val="002E733A"/>
    <w:rsid w:val="002E778E"/>
    <w:rsid w:val="002E7B86"/>
    <w:rsid w:val="002E7C71"/>
    <w:rsid w:val="002F035A"/>
    <w:rsid w:val="002F1079"/>
    <w:rsid w:val="002F1145"/>
    <w:rsid w:val="002F2579"/>
    <w:rsid w:val="002F2722"/>
    <w:rsid w:val="002F2B70"/>
    <w:rsid w:val="002F2E6E"/>
    <w:rsid w:val="002F3AF2"/>
    <w:rsid w:val="002F491D"/>
    <w:rsid w:val="002F4DAB"/>
    <w:rsid w:val="002F5D34"/>
    <w:rsid w:val="002F69A2"/>
    <w:rsid w:val="002F6BC3"/>
    <w:rsid w:val="002F7BFA"/>
    <w:rsid w:val="002F7C85"/>
    <w:rsid w:val="002F7D77"/>
    <w:rsid w:val="002F7EB3"/>
    <w:rsid w:val="00300A57"/>
    <w:rsid w:val="00301390"/>
    <w:rsid w:val="003013DB"/>
    <w:rsid w:val="003018E9"/>
    <w:rsid w:val="00301ED6"/>
    <w:rsid w:val="0030299B"/>
    <w:rsid w:val="00302AD4"/>
    <w:rsid w:val="00302C7C"/>
    <w:rsid w:val="00302E6D"/>
    <w:rsid w:val="00302EBA"/>
    <w:rsid w:val="003034C2"/>
    <w:rsid w:val="00304ED9"/>
    <w:rsid w:val="003057D7"/>
    <w:rsid w:val="00306703"/>
    <w:rsid w:val="0030761B"/>
    <w:rsid w:val="0030771E"/>
    <w:rsid w:val="00310243"/>
    <w:rsid w:val="0031078D"/>
    <w:rsid w:val="00310E07"/>
    <w:rsid w:val="0031104B"/>
    <w:rsid w:val="003121BF"/>
    <w:rsid w:val="00312245"/>
    <w:rsid w:val="00312268"/>
    <w:rsid w:val="0031286B"/>
    <w:rsid w:val="0031287A"/>
    <w:rsid w:val="003130C5"/>
    <w:rsid w:val="003130F0"/>
    <w:rsid w:val="00313574"/>
    <w:rsid w:val="003137AF"/>
    <w:rsid w:val="00313DB0"/>
    <w:rsid w:val="00314509"/>
    <w:rsid w:val="0031493B"/>
    <w:rsid w:val="00314D7C"/>
    <w:rsid w:val="0031518C"/>
    <w:rsid w:val="003154E7"/>
    <w:rsid w:val="00315EB8"/>
    <w:rsid w:val="003166C4"/>
    <w:rsid w:val="003173D1"/>
    <w:rsid w:val="0031779D"/>
    <w:rsid w:val="00317AE5"/>
    <w:rsid w:val="00320754"/>
    <w:rsid w:val="0032108C"/>
    <w:rsid w:val="00322868"/>
    <w:rsid w:val="003228DD"/>
    <w:rsid w:val="00323763"/>
    <w:rsid w:val="00324231"/>
    <w:rsid w:val="00324BD6"/>
    <w:rsid w:val="00326170"/>
    <w:rsid w:val="003266C2"/>
    <w:rsid w:val="0032690F"/>
    <w:rsid w:val="00327194"/>
    <w:rsid w:val="00331E34"/>
    <w:rsid w:val="00332E24"/>
    <w:rsid w:val="003337FD"/>
    <w:rsid w:val="00333CF6"/>
    <w:rsid w:val="003343A3"/>
    <w:rsid w:val="00335D1B"/>
    <w:rsid w:val="00335E41"/>
    <w:rsid w:val="00336138"/>
    <w:rsid w:val="003361A3"/>
    <w:rsid w:val="0033684E"/>
    <w:rsid w:val="00337414"/>
    <w:rsid w:val="003378FF"/>
    <w:rsid w:val="00337904"/>
    <w:rsid w:val="00337DE1"/>
    <w:rsid w:val="0034017F"/>
    <w:rsid w:val="00340760"/>
    <w:rsid w:val="003412E6"/>
    <w:rsid w:val="00342228"/>
    <w:rsid w:val="003422D8"/>
    <w:rsid w:val="00342782"/>
    <w:rsid w:val="00342CAA"/>
    <w:rsid w:val="00343137"/>
    <w:rsid w:val="003438FF"/>
    <w:rsid w:val="00343EEE"/>
    <w:rsid w:val="00344073"/>
    <w:rsid w:val="0034445F"/>
    <w:rsid w:val="003449D5"/>
    <w:rsid w:val="00345202"/>
    <w:rsid w:val="00345759"/>
    <w:rsid w:val="00345EA2"/>
    <w:rsid w:val="00346B91"/>
    <w:rsid w:val="00347011"/>
    <w:rsid w:val="0034796E"/>
    <w:rsid w:val="00347EDC"/>
    <w:rsid w:val="00350075"/>
    <w:rsid w:val="00350E26"/>
    <w:rsid w:val="00350EF3"/>
    <w:rsid w:val="0035126A"/>
    <w:rsid w:val="00351845"/>
    <w:rsid w:val="00352041"/>
    <w:rsid w:val="0035223D"/>
    <w:rsid w:val="003528CC"/>
    <w:rsid w:val="003536EF"/>
    <w:rsid w:val="00354A9B"/>
    <w:rsid w:val="00355967"/>
    <w:rsid w:val="00355A16"/>
    <w:rsid w:val="00355D62"/>
    <w:rsid w:val="00356188"/>
    <w:rsid w:val="003561B8"/>
    <w:rsid w:val="00356E02"/>
    <w:rsid w:val="00357DB2"/>
    <w:rsid w:val="003603C9"/>
    <w:rsid w:val="00360D48"/>
    <w:rsid w:val="00360D8F"/>
    <w:rsid w:val="00361390"/>
    <w:rsid w:val="00362C69"/>
    <w:rsid w:val="00363632"/>
    <w:rsid w:val="003636CB"/>
    <w:rsid w:val="00363934"/>
    <w:rsid w:val="003641FE"/>
    <w:rsid w:val="00364757"/>
    <w:rsid w:val="003648EA"/>
    <w:rsid w:val="003667B4"/>
    <w:rsid w:val="00366B39"/>
    <w:rsid w:val="00367EA1"/>
    <w:rsid w:val="00370032"/>
    <w:rsid w:val="00370143"/>
    <w:rsid w:val="003708D0"/>
    <w:rsid w:val="00371A83"/>
    <w:rsid w:val="003720D9"/>
    <w:rsid w:val="00372127"/>
    <w:rsid w:val="00372924"/>
    <w:rsid w:val="003738E7"/>
    <w:rsid w:val="00374F0F"/>
    <w:rsid w:val="003761B8"/>
    <w:rsid w:val="0037624B"/>
    <w:rsid w:val="00376F85"/>
    <w:rsid w:val="0038003E"/>
    <w:rsid w:val="0038073E"/>
    <w:rsid w:val="00380754"/>
    <w:rsid w:val="00380900"/>
    <w:rsid w:val="00380F10"/>
    <w:rsid w:val="003813C4"/>
    <w:rsid w:val="00382096"/>
    <w:rsid w:val="0038230A"/>
    <w:rsid w:val="0038259A"/>
    <w:rsid w:val="003825BB"/>
    <w:rsid w:val="00382B11"/>
    <w:rsid w:val="0038366C"/>
    <w:rsid w:val="00383F18"/>
    <w:rsid w:val="00383F54"/>
    <w:rsid w:val="00384E87"/>
    <w:rsid w:val="00385420"/>
    <w:rsid w:val="003854B9"/>
    <w:rsid w:val="00385720"/>
    <w:rsid w:val="003859B3"/>
    <w:rsid w:val="00385EB4"/>
    <w:rsid w:val="00386468"/>
    <w:rsid w:val="00386BDF"/>
    <w:rsid w:val="00386CD3"/>
    <w:rsid w:val="0038754B"/>
    <w:rsid w:val="00387A73"/>
    <w:rsid w:val="00390518"/>
    <w:rsid w:val="003909B8"/>
    <w:rsid w:val="003916A7"/>
    <w:rsid w:val="00391E92"/>
    <w:rsid w:val="00392716"/>
    <w:rsid w:val="003934C9"/>
    <w:rsid w:val="00393AC5"/>
    <w:rsid w:val="00394289"/>
    <w:rsid w:val="00395065"/>
    <w:rsid w:val="00395134"/>
    <w:rsid w:val="00395244"/>
    <w:rsid w:val="00395CB4"/>
    <w:rsid w:val="00396175"/>
    <w:rsid w:val="00396D5E"/>
    <w:rsid w:val="00397171"/>
    <w:rsid w:val="0039775D"/>
    <w:rsid w:val="003A005F"/>
    <w:rsid w:val="003A04A3"/>
    <w:rsid w:val="003A089F"/>
    <w:rsid w:val="003A1157"/>
    <w:rsid w:val="003A1179"/>
    <w:rsid w:val="003A1DB8"/>
    <w:rsid w:val="003A2669"/>
    <w:rsid w:val="003A2678"/>
    <w:rsid w:val="003A36D7"/>
    <w:rsid w:val="003A37D5"/>
    <w:rsid w:val="003A50EC"/>
    <w:rsid w:val="003A5C71"/>
    <w:rsid w:val="003A5E65"/>
    <w:rsid w:val="003A6155"/>
    <w:rsid w:val="003A64AB"/>
    <w:rsid w:val="003A6721"/>
    <w:rsid w:val="003A6E56"/>
    <w:rsid w:val="003A762D"/>
    <w:rsid w:val="003A7C73"/>
    <w:rsid w:val="003B0174"/>
    <w:rsid w:val="003B0686"/>
    <w:rsid w:val="003B0963"/>
    <w:rsid w:val="003B0BFD"/>
    <w:rsid w:val="003B0C39"/>
    <w:rsid w:val="003B0D7E"/>
    <w:rsid w:val="003B10F0"/>
    <w:rsid w:val="003B1373"/>
    <w:rsid w:val="003B18D2"/>
    <w:rsid w:val="003B1C61"/>
    <w:rsid w:val="003B22D6"/>
    <w:rsid w:val="003B235F"/>
    <w:rsid w:val="003B2908"/>
    <w:rsid w:val="003B2AF7"/>
    <w:rsid w:val="003B2FE7"/>
    <w:rsid w:val="003B3044"/>
    <w:rsid w:val="003B3048"/>
    <w:rsid w:val="003B31C6"/>
    <w:rsid w:val="003B4A3F"/>
    <w:rsid w:val="003B4A4D"/>
    <w:rsid w:val="003B5A5F"/>
    <w:rsid w:val="003B5A79"/>
    <w:rsid w:val="003B69AF"/>
    <w:rsid w:val="003C0667"/>
    <w:rsid w:val="003C0B82"/>
    <w:rsid w:val="003C27AC"/>
    <w:rsid w:val="003C3475"/>
    <w:rsid w:val="003C34D5"/>
    <w:rsid w:val="003C3A3B"/>
    <w:rsid w:val="003C4AAE"/>
    <w:rsid w:val="003C6C16"/>
    <w:rsid w:val="003C7BD8"/>
    <w:rsid w:val="003C7F9B"/>
    <w:rsid w:val="003D0161"/>
    <w:rsid w:val="003D0608"/>
    <w:rsid w:val="003D0C94"/>
    <w:rsid w:val="003D260F"/>
    <w:rsid w:val="003D5A6A"/>
    <w:rsid w:val="003D5B32"/>
    <w:rsid w:val="003D5EC0"/>
    <w:rsid w:val="003D6499"/>
    <w:rsid w:val="003D6759"/>
    <w:rsid w:val="003D6C3D"/>
    <w:rsid w:val="003D7105"/>
    <w:rsid w:val="003D74E6"/>
    <w:rsid w:val="003D7601"/>
    <w:rsid w:val="003D7790"/>
    <w:rsid w:val="003D7FDA"/>
    <w:rsid w:val="003E015E"/>
    <w:rsid w:val="003E047D"/>
    <w:rsid w:val="003E067A"/>
    <w:rsid w:val="003E0F31"/>
    <w:rsid w:val="003E0FFA"/>
    <w:rsid w:val="003E10BA"/>
    <w:rsid w:val="003E11A3"/>
    <w:rsid w:val="003E1563"/>
    <w:rsid w:val="003E166E"/>
    <w:rsid w:val="003E1781"/>
    <w:rsid w:val="003E1A0D"/>
    <w:rsid w:val="003E1B7F"/>
    <w:rsid w:val="003E1ECC"/>
    <w:rsid w:val="003E3683"/>
    <w:rsid w:val="003E424F"/>
    <w:rsid w:val="003E49B7"/>
    <w:rsid w:val="003E4C8B"/>
    <w:rsid w:val="003E6679"/>
    <w:rsid w:val="003E6E79"/>
    <w:rsid w:val="003E76DA"/>
    <w:rsid w:val="003F006D"/>
    <w:rsid w:val="003F0359"/>
    <w:rsid w:val="003F059C"/>
    <w:rsid w:val="003F0601"/>
    <w:rsid w:val="003F0C93"/>
    <w:rsid w:val="003F0F02"/>
    <w:rsid w:val="003F2E93"/>
    <w:rsid w:val="003F3134"/>
    <w:rsid w:val="003F3BBB"/>
    <w:rsid w:val="003F525F"/>
    <w:rsid w:val="003F65C7"/>
    <w:rsid w:val="003F668B"/>
    <w:rsid w:val="003F6961"/>
    <w:rsid w:val="003F6A32"/>
    <w:rsid w:val="003F7A7A"/>
    <w:rsid w:val="00400CC2"/>
    <w:rsid w:val="00400E7F"/>
    <w:rsid w:val="00401555"/>
    <w:rsid w:val="00403692"/>
    <w:rsid w:val="00404257"/>
    <w:rsid w:val="004042BD"/>
    <w:rsid w:val="0040455E"/>
    <w:rsid w:val="004047B5"/>
    <w:rsid w:val="0040506F"/>
    <w:rsid w:val="0040574F"/>
    <w:rsid w:val="004065DF"/>
    <w:rsid w:val="004066FA"/>
    <w:rsid w:val="00406831"/>
    <w:rsid w:val="004074DE"/>
    <w:rsid w:val="00410240"/>
    <w:rsid w:val="00410D7E"/>
    <w:rsid w:val="00410D9F"/>
    <w:rsid w:val="00411E35"/>
    <w:rsid w:val="004130C5"/>
    <w:rsid w:val="004130F1"/>
    <w:rsid w:val="00414203"/>
    <w:rsid w:val="00414D79"/>
    <w:rsid w:val="004158CE"/>
    <w:rsid w:val="0041674B"/>
    <w:rsid w:val="00417081"/>
    <w:rsid w:val="0041709C"/>
    <w:rsid w:val="004179B9"/>
    <w:rsid w:val="00417C24"/>
    <w:rsid w:val="00420034"/>
    <w:rsid w:val="0042038B"/>
    <w:rsid w:val="00420C00"/>
    <w:rsid w:val="00420D13"/>
    <w:rsid w:val="00420FB8"/>
    <w:rsid w:val="004212E3"/>
    <w:rsid w:val="00421449"/>
    <w:rsid w:val="004217D6"/>
    <w:rsid w:val="00421CEA"/>
    <w:rsid w:val="00421EA8"/>
    <w:rsid w:val="004221B2"/>
    <w:rsid w:val="00422639"/>
    <w:rsid w:val="004226D5"/>
    <w:rsid w:val="00422922"/>
    <w:rsid w:val="00423120"/>
    <w:rsid w:val="004231A1"/>
    <w:rsid w:val="00423DB6"/>
    <w:rsid w:val="00427280"/>
    <w:rsid w:val="004277F3"/>
    <w:rsid w:val="004304C1"/>
    <w:rsid w:val="00431226"/>
    <w:rsid w:val="004314D5"/>
    <w:rsid w:val="00431544"/>
    <w:rsid w:val="00431C08"/>
    <w:rsid w:val="00431DFD"/>
    <w:rsid w:val="00431F5C"/>
    <w:rsid w:val="0043311D"/>
    <w:rsid w:val="004337D6"/>
    <w:rsid w:val="00433D85"/>
    <w:rsid w:val="00433F95"/>
    <w:rsid w:val="00434544"/>
    <w:rsid w:val="004357E2"/>
    <w:rsid w:val="00435A8C"/>
    <w:rsid w:val="004368FF"/>
    <w:rsid w:val="0043696E"/>
    <w:rsid w:val="004369DC"/>
    <w:rsid w:val="00436A44"/>
    <w:rsid w:val="00437284"/>
    <w:rsid w:val="00437374"/>
    <w:rsid w:val="004373DC"/>
    <w:rsid w:val="004376A2"/>
    <w:rsid w:val="004376A7"/>
    <w:rsid w:val="00441373"/>
    <w:rsid w:val="00441886"/>
    <w:rsid w:val="00441961"/>
    <w:rsid w:val="00441B65"/>
    <w:rsid w:val="00443333"/>
    <w:rsid w:val="0044333D"/>
    <w:rsid w:val="00443405"/>
    <w:rsid w:val="00443BB9"/>
    <w:rsid w:val="00443C46"/>
    <w:rsid w:val="0044421C"/>
    <w:rsid w:val="004443BF"/>
    <w:rsid w:val="00444B8E"/>
    <w:rsid w:val="00444E95"/>
    <w:rsid w:val="0044599C"/>
    <w:rsid w:val="00446242"/>
    <w:rsid w:val="00446683"/>
    <w:rsid w:val="00450698"/>
    <w:rsid w:val="00450984"/>
    <w:rsid w:val="00451212"/>
    <w:rsid w:val="00451FA7"/>
    <w:rsid w:val="00452954"/>
    <w:rsid w:val="00452A83"/>
    <w:rsid w:val="004539AD"/>
    <w:rsid w:val="00454476"/>
    <w:rsid w:val="00454EF1"/>
    <w:rsid w:val="00455E86"/>
    <w:rsid w:val="00456511"/>
    <w:rsid w:val="00456DDB"/>
    <w:rsid w:val="00456E70"/>
    <w:rsid w:val="00457387"/>
    <w:rsid w:val="00457548"/>
    <w:rsid w:val="00460322"/>
    <w:rsid w:val="0046080D"/>
    <w:rsid w:val="00460B39"/>
    <w:rsid w:val="004619D0"/>
    <w:rsid w:val="00462288"/>
    <w:rsid w:val="004623E5"/>
    <w:rsid w:val="00463944"/>
    <w:rsid w:val="00463B4E"/>
    <w:rsid w:val="004646C1"/>
    <w:rsid w:val="004652F9"/>
    <w:rsid w:val="00465921"/>
    <w:rsid w:val="004670E8"/>
    <w:rsid w:val="004677B4"/>
    <w:rsid w:val="004702A2"/>
    <w:rsid w:val="00471657"/>
    <w:rsid w:val="004716B3"/>
    <w:rsid w:val="0047185C"/>
    <w:rsid w:val="004724BE"/>
    <w:rsid w:val="00474608"/>
    <w:rsid w:val="00474875"/>
    <w:rsid w:val="00474C2D"/>
    <w:rsid w:val="004750D0"/>
    <w:rsid w:val="004750EB"/>
    <w:rsid w:val="0047523B"/>
    <w:rsid w:val="0047537C"/>
    <w:rsid w:val="00475494"/>
    <w:rsid w:val="004758B9"/>
    <w:rsid w:val="00475B29"/>
    <w:rsid w:val="004760CB"/>
    <w:rsid w:val="00476A23"/>
    <w:rsid w:val="00476FEE"/>
    <w:rsid w:val="00477080"/>
    <w:rsid w:val="004775D4"/>
    <w:rsid w:val="004778C7"/>
    <w:rsid w:val="00477CA3"/>
    <w:rsid w:val="00480C52"/>
    <w:rsid w:val="00480F41"/>
    <w:rsid w:val="004815C9"/>
    <w:rsid w:val="00482E98"/>
    <w:rsid w:val="00482FC6"/>
    <w:rsid w:val="0048349B"/>
    <w:rsid w:val="0048393C"/>
    <w:rsid w:val="00485134"/>
    <w:rsid w:val="0048578C"/>
    <w:rsid w:val="00485B31"/>
    <w:rsid w:val="00485B6F"/>
    <w:rsid w:val="004875E5"/>
    <w:rsid w:val="00490213"/>
    <w:rsid w:val="00490829"/>
    <w:rsid w:val="004920A9"/>
    <w:rsid w:val="004924D8"/>
    <w:rsid w:val="004924E6"/>
    <w:rsid w:val="004925A2"/>
    <w:rsid w:val="004927CB"/>
    <w:rsid w:val="0049321C"/>
    <w:rsid w:val="00493342"/>
    <w:rsid w:val="00493BED"/>
    <w:rsid w:val="004940EC"/>
    <w:rsid w:val="0049503E"/>
    <w:rsid w:val="00495CA2"/>
    <w:rsid w:val="00495F17"/>
    <w:rsid w:val="00497D5C"/>
    <w:rsid w:val="00497FF0"/>
    <w:rsid w:val="004A046D"/>
    <w:rsid w:val="004A04AC"/>
    <w:rsid w:val="004A0667"/>
    <w:rsid w:val="004A0807"/>
    <w:rsid w:val="004A0F9B"/>
    <w:rsid w:val="004A189C"/>
    <w:rsid w:val="004A212E"/>
    <w:rsid w:val="004A2283"/>
    <w:rsid w:val="004A28D7"/>
    <w:rsid w:val="004A2D43"/>
    <w:rsid w:val="004A3040"/>
    <w:rsid w:val="004A33BC"/>
    <w:rsid w:val="004A3470"/>
    <w:rsid w:val="004A4201"/>
    <w:rsid w:val="004A4454"/>
    <w:rsid w:val="004A51A7"/>
    <w:rsid w:val="004A5559"/>
    <w:rsid w:val="004A5A2B"/>
    <w:rsid w:val="004A5A93"/>
    <w:rsid w:val="004A6317"/>
    <w:rsid w:val="004A6451"/>
    <w:rsid w:val="004A6DA9"/>
    <w:rsid w:val="004B08D0"/>
    <w:rsid w:val="004B0B79"/>
    <w:rsid w:val="004B0B82"/>
    <w:rsid w:val="004B1201"/>
    <w:rsid w:val="004B13DA"/>
    <w:rsid w:val="004B19B0"/>
    <w:rsid w:val="004B19C8"/>
    <w:rsid w:val="004B3826"/>
    <w:rsid w:val="004B3E02"/>
    <w:rsid w:val="004B54BB"/>
    <w:rsid w:val="004B5A4C"/>
    <w:rsid w:val="004B5FB4"/>
    <w:rsid w:val="004B6901"/>
    <w:rsid w:val="004B7749"/>
    <w:rsid w:val="004B7C45"/>
    <w:rsid w:val="004B7EFC"/>
    <w:rsid w:val="004C0267"/>
    <w:rsid w:val="004C04FB"/>
    <w:rsid w:val="004C11CD"/>
    <w:rsid w:val="004C204B"/>
    <w:rsid w:val="004C25F8"/>
    <w:rsid w:val="004C2E65"/>
    <w:rsid w:val="004C2FDB"/>
    <w:rsid w:val="004C4647"/>
    <w:rsid w:val="004C4FD1"/>
    <w:rsid w:val="004C574F"/>
    <w:rsid w:val="004C5BC8"/>
    <w:rsid w:val="004C5DF8"/>
    <w:rsid w:val="004C5E34"/>
    <w:rsid w:val="004C6B22"/>
    <w:rsid w:val="004C726F"/>
    <w:rsid w:val="004C76FC"/>
    <w:rsid w:val="004C7802"/>
    <w:rsid w:val="004C7DF0"/>
    <w:rsid w:val="004D016D"/>
    <w:rsid w:val="004D141C"/>
    <w:rsid w:val="004D2534"/>
    <w:rsid w:val="004D3B64"/>
    <w:rsid w:val="004D4613"/>
    <w:rsid w:val="004D4E44"/>
    <w:rsid w:val="004D4F07"/>
    <w:rsid w:val="004D5330"/>
    <w:rsid w:val="004D575C"/>
    <w:rsid w:val="004D66E2"/>
    <w:rsid w:val="004D6C40"/>
    <w:rsid w:val="004D6FB3"/>
    <w:rsid w:val="004D7022"/>
    <w:rsid w:val="004D702A"/>
    <w:rsid w:val="004D7E5F"/>
    <w:rsid w:val="004E006F"/>
    <w:rsid w:val="004E0CB0"/>
    <w:rsid w:val="004E0D6A"/>
    <w:rsid w:val="004E1FA3"/>
    <w:rsid w:val="004E3522"/>
    <w:rsid w:val="004E41AE"/>
    <w:rsid w:val="004E41F9"/>
    <w:rsid w:val="004E42D2"/>
    <w:rsid w:val="004E4512"/>
    <w:rsid w:val="004E5058"/>
    <w:rsid w:val="004E52D9"/>
    <w:rsid w:val="004E6AEB"/>
    <w:rsid w:val="004F0650"/>
    <w:rsid w:val="004F069E"/>
    <w:rsid w:val="004F11D1"/>
    <w:rsid w:val="004F1363"/>
    <w:rsid w:val="004F1679"/>
    <w:rsid w:val="004F1AF5"/>
    <w:rsid w:val="004F2A75"/>
    <w:rsid w:val="004F314F"/>
    <w:rsid w:val="004F3AD4"/>
    <w:rsid w:val="004F4636"/>
    <w:rsid w:val="004F4990"/>
    <w:rsid w:val="004F5524"/>
    <w:rsid w:val="004F628D"/>
    <w:rsid w:val="004F679A"/>
    <w:rsid w:val="004F6920"/>
    <w:rsid w:val="004F7D7B"/>
    <w:rsid w:val="005007F5"/>
    <w:rsid w:val="005010C2"/>
    <w:rsid w:val="0050136D"/>
    <w:rsid w:val="005021A4"/>
    <w:rsid w:val="005022E2"/>
    <w:rsid w:val="005029CA"/>
    <w:rsid w:val="005031DF"/>
    <w:rsid w:val="00504CBB"/>
    <w:rsid w:val="00505B43"/>
    <w:rsid w:val="00506E38"/>
    <w:rsid w:val="00506FF0"/>
    <w:rsid w:val="005071CB"/>
    <w:rsid w:val="00507B68"/>
    <w:rsid w:val="00507CE8"/>
    <w:rsid w:val="00507DB0"/>
    <w:rsid w:val="005104FB"/>
    <w:rsid w:val="00511AA5"/>
    <w:rsid w:val="0051277F"/>
    <w:rsid w:val="0051322D"/>
    <w:rsid w:val="005135C8"/>
    <w:rsid w:val="00514348"/>
    <w:rsid w:val="0051459F"/>
    <w:rsid w:val="00514C3D"/>
    <w:rsid w:val="00515704"/>
    <w:rsid w:val="00515DA1"/>
    <w:rsid w:val="005166FF"/>
    <w:rsid w:val="00516F44"/>
    <w:rsid w:val="005172EB"/>
    <w:rsid w:val="00517B46"/>
    <w:rsid w:val="00517EFB"/>
    <w:rsid w:val="00520192"/>
    <w:rsid w:val="00521976"/>
    <w:rsid w:val="00522002"/>
    <w:rsid w:val="005222BE"/>
    <w:rsid w:val="0052250B"/>
    <w:rsid w:val="0052268C"/>
    <w:rsid w:val="0052372A"/>
    <w:rsid w:val="00523E5B"/>
    <w:rsid w:val="00524FD0"/>
    <w:rsid w:val="005255A5"/>
    <w:rsid w:val="005255B2"/>
    <w:rsid w:val="00526028"/>
    <w:rsid w:val="00527205"/>
    <w:rsid w:val="0052738E"/>
    <w:rsid w:val="00530A80"/>
    <w:rsid w:val="00530BCF"/>
    <w:rsid w:val="00530D42"/>
    <w:rsid w:val="0053123D"/>
    <w:rsid w:val="005312A1"/>
    <w:rsid w:val="00531390"/>
    <w:rsid w:val="0053190A"/>
    <w:rsid w:val="005320A2"/>
    <w:rsid w:val="005320E6"/>
    <w:rsid w:val="00532C45"/>
    <w:rsid w:val="005331EC"/>
    <w:rsid w:val="00533697"/>
    <w:rsid w:val="00534907"/>
    <w:rsid w:val="00534C3D"/>
    <w:rsid w:val="00534DCA"/>
    <w:rsid w:val="0053565F"/>
    <w:rsid w:val="005364E2"/>
    <w:rsid w:val="00536DE1"/>
    <w:rsid w:val="00536EA1"/>
    <w:rsid w:val="005373F7"/>
    <w:rsid w:val="0053760B"/>
    <w:rsid w:val="005378C0"/>
    <w:rsid w:val="00540199"/>
    <w:rsid w:val="00540275"/>
    <w:rsid w:val="00540ADE"/>
    <w:rsid w:val="0054108A"/>
    <w:rsid w:val="00541F04"/>
    <w:rsid w:val="0054240E"/>
    <w:rsid w:val="0054325C"/>
    <w:rsid w:val="005432F9"/>
    <w:rsid w:val="00543520"/>
    <w:rsid w:val="00543681"/>
    <w:rsid w:val="00543A04"/>
    <w:rsid w:val="00544EB8"/>
    <w:rsid w:val="00546958"/>
    <w:rsid w:val="005506ED"/>
    <w:rsid w:val="00550E38"/>
    <w:rsid w:val="005516DD"/>
    <w:rsid w:val="00552505"/>
    <w:rsid w:val="00552676"/>
    <w:rsid w:val="00552A45"/>
    <w:rsid w:val="00552BD9"/>
    <w:rsid w:val="00552E44"/>
    <w:rsid w:val="00553B7A"/>
    <w:rsid w:val="00554236"/>
    <w:rsid w:val="005544AF"/>
    <w:rsid w:val="0055456B"/>
    <w:rsid w:val="005547F9"/>
    <w:rsid w:val="00554E0D"/>
    <w:rsid w:val="0055520A"/>
    <w:rsid w:val="00555313"/>
    <w:rsid w:val="00555689"/>
    <w:rsid w:val="00556318"/>
    <w:rsid w:val="00556EF1"/>
    <w:rsid w:val="00557CC2"/>
    <w:rsid w:val="005611DC"/>
    <w:rsid w:val="005623FB"/>
    <w:rsid w:val="00562872"/>
    <w:rsid w:val="00562DFA"/>
    <w:rsid w:val="00562E0F"/>
    <w:rsid w:val="00562EDD"/>
    <w:rsid w:val="00563C59"/>
    <w:rsid w:val="0056498E"/>
    <w:rsid w:val="0056596E"/>
    <w:rsid w:val="00565FCB"/>
    <w:rsid w:val="005663AF"/>
    <w:rsid w:val="0056671D"/>
    <w:rsid w:val="005668F0"/>
    <w:rsid w:val="0057041C"/>
    <w:rsid w:val="005704E0"/>
    <w:rsid w:val="00570FD3"/>
    <w:rsid w:val="00571002"/>
    <w:rsid w:val="00571F1B"/>
    <w:rsid w:val="0057240C"/>
    <w:rsid w:val="005728A4"/>
    <w:rsid w:val="00572B7C"/>
    <w:rsid w:val="00572EB7"/>
    <w:rsid w:val="0057301D"/>
    <w:rsid w:val="00573E4A"/>
    <w:rsid w:val="005743C8"/>
    <w:rsid w:val="005768EE"/>
    <w:rsid w:val="005771C7"/>
    <w:rsid w:val="00577622"/>
    <w:rsid w:val="00577AD7"/>
    <w:rsid w:val="005801C0"/>
    <w:rsid w:val="00580B13"/>
    <w:rsid w:val="00580C0E"/>
    <w:rsid w:val="00581AA3"/>
    <w:rsid w:val="00581DDF"/>
    <w:rsid w:val="00582103"/>
    <w:rsid w:val="00582143"/>
    <w:rsid w:val="005823A9"/>
    <w:rsid w:val="00582BC6"/>
    <w:rsid w:val="00582F48"/>
    <w:rsid w:val="00583402"/>
    <w:rsid w:val="00583502"/>
    <w:rsid w:val="00583AF4"/>
    <w:rsid w:val="00585814"/>
    <w:rsid w:val="0058653F"/>
    <w:rsid w:val="00586B41"/>
    <w:rsid w:val="00587480"/>
    <w:rsid w:val="00590BE0"/>
    <w:rsid w:val="00590C5C"/>
    <w:rsid w:val="00590FA1"/>
    <w:rsid w:val="00591340"/>
    <w:rsid w:val="0059180A"/>
    <w:rsid w:val="005922FD"/>
    <w:rsid w:val="00593077"/>
    <w:rsid w:val="00594318"/>
    <w:rsid w:val="00594B9C"/>
    <w:rsid w:val="0059573D"/>
    <w:rsid w:val="00596DB3"/>
    <w:rsid w:val="00597092"/>
    <w:rsid w:val="00597332"/>
    <w:rsid w:val="005973AE"/>
    <w:rsid w:val="005978F5"/>
    <w:rsid w:val="005A0491"/>
    <w:rsid w:val="005A05B0"/>
    <w:rsid w:val="005A0DCF"/>
    <w:rsid w:val="005A1FFD"/>
    <w:rsid w:val="005A2336"/>
    <w:rsid w:val="005A4499"/>
    <w:rsid w:val="005A4BE4"/>
    <w:rsid w:val="005A4E89"/>
    <w:rsid w:val="005A582D"/>
    <w:rsid w:val="005A5851"/>
    <w:rsid w:val="005A58AE"/>
    <w:rsid w:val="005A6107"/>
    <w:rsid w:val="005A61BF"/>
    <w:rsid w:val="005A6316"/>
    <w:rsid w:val="005A6326"/>
    <w:rsid w:val="005A6DE0"/>
    <w:rsid w:val="005A6F57"/>
    <w:rsid w:val="005A79EC"/>
    <w:rsid w:val="005A7CE7"/>
    <w:rsid w:val="005B0098"/>
    <w:rsid w:val="005B016A"/>
    <w:rsid w:val="005B035C"/>
    <w:rsid w:val="005B0947"/>
    <w:rsid w:val="005B0AA0"/>
    <w:rsid w:val="005B1531"/>
    <w:rsid w:val="005B1E2F"/>
    <w:rsid w:val="005B2675"/>
    <w:rsid w:val="005B2843"/>
    <w:rsid w:val="005B2B3E"/>
    <w:rsid w:val="005B2CD9"/>
    <w:rsid w:val="005B34F5"/>
    <w:rsid w:val="005B3B8D"/>
    <w:rsid w:val="005B3D8C"/>
    <w:rsid w:val="005B3DD7"/>
    <w:rsid w:val="005B5149"/>
    <w:rsid w:val="005B5703"/>
    <w:rsid w:val="005B5CD9"/>
    <w:rsid w:val="005B78D3"/>
    <w:rsid w:val="005B7C70"/>
    <w:rsid w:val="005C0768"/>
    <w:rsid w:val="005C1173"/>
    <w:rsid w:val="005C13A2"/>
    <w:rsid w:val="005C13D9"/>
    <w:rsid w:val="005C1DE7"/>
    <w:rsid w:val="005C21FF"/>
    <w:rsid w:val="005C2680"/>
    <w:rsid w:val="005C342F"/>
    <w:rsid w:val="005C392B"/>
    <w:rsid w:val="005C6174"/>
    <w:rsid w:val="005C6273"/>
    <w:rsid w:val="005C63B0"/>
    <w:rsid w:val="005C642B"/>
    <w:rsid w:val="005D05EB"/>
    <w:rsid w:val="005D1105"/>
    <w:rsid w:val="005D2333"/>
    <w:rsid w:val="005D23F5"/>
    <w:rsid w:val="005D2BFE"/>
    <w:rsid w:val="005D2C8C"/>
    <w:rsid w:val="005D3015"/>
    <w:rsid w:val="005D346E"/>
    <w:rsid w:val="005D35CA"/>
    <w:rsid w:val="005D42BC"/>
    <w:rsid w:val="005D50CE"/>
    <w:rsid w:val="005D560C"/>
    <w:rsid w:val="005D5AF0"/>
    <w:rsid w:val="005D5D3B"/>
    <w:rsid w:val="005D6A8B"/>
    <w:rsid w:val="005D6ACF"/>
    <w:rsid w:val="005D7A1D"/>
    <w:rsid w:val="005D7A23"/>
    <w:rsid w:val="005D7AD7"/>
    <w:rsid w:val="005E0182"/>
    <w:rsid w:val="005E0AEE"/>
    <w:rsid w:val="005E1E65"/>
    <w:rsid w:val="005E2369"/>
    <w:rsid w:val="005E2B24"/>
    <w:rsid w:val="005E3083"/>
    <w:rsid w:val="005E35F0"/>
    <w:rsid w:val="005E3674"/>
    <w:rsid w:val="005E45F8"/>
    <w:rsid w:val="005E4F6B"/>
    <w:rsid w:val="005E54A7"/>
    <w:rsid w:val="005E54DA"/>
    <w:rsid w:val="005E5A95"/>
    <w:rsid w:val="005E5E13"/>
    <w:rsid w:val="005E660A"/>
    <w:rsid w:val="005E681C"/>
    <w:rsid w:val="005E7A52"/>
    <w:rsid w:val="005E7F7B"/>
    <w:rsid w:val="005F0F7A"/>
    <w:rsid w:val="005F2244"/>
    <w:rsid w:val="005F287C"/>
    <w:rsid w:val="005F2D9A"/>
    <w:rsid w:val="005F4190"/>
    <w:rsid w:val="005F4AC7"/>
    <w:rsid w:val="005F4EF9"/>
    <w:rsid w:val="005F500A"/>
    <w:rsid w:val="005F504D"/>
    <w:rsid w:val="005F5450"/>
    <w:rsid w:val="005F5C1E"/>
    <w:rsid w:val="005F5EF0"/>
    <w:rsid w:val="005F673F"/>
    <w:rsid w:val="005F6DE6"/>
    <w:rsid w:val="005F7175"/>
    <w:rsid w:val="005F74C1"/>
    <w:rsid w:val="005F7EE2"/>
    <w:rsid w:val="0060003B"/>
    <w:rsid w:val="00600B79"/>
    <w:rsid w:val="00600CBB"/>
    <w:rsid w:val="00601146"/>
    <w:rsid w:val="006012AD"/>
    <w:rsid w:val="0060148B"/>
    <w:rsid w:val="00601706"/>
    <w:rsid w:val="00601798"/>
    <w:rsid w:val="00601A76"/>
    <w:rsid w:val="00603244"/>
    <w:rsid w:val="006039EE"/>
    <w:rsid w:val="00603D54"/>
    <w:rsid w:val="006040E6"/>
    <w:rsid w:val="006041F9"/>
    <w:rsid w:val="006043C3"/>
    <w:rsid w:val="006055EC"/>
    <w:rsid w:val="006062F6"/>
    <w:rsid w:val="00606DC3"/>
    <w:rsid w:val="00607B8B"/>
    <w:rsid w:val="00610118"/>
    <w:rsid w:val="006121F8"/>
    <w:rsid w:val="00612D90"/>
    <w:rsid w:val="00613507"/>
    <w:rsid w:val="00613A03"/>
    <w:rsid w:val="00614A2C"/>
    <w:rsid w:val="00614D9A"/>
    <w:rsid w:val="00614DA0"/>
    <w:rsid w:val="00615082"/>
    <w:rsid w:val="00616919"/>
    <w:rsid w:val="006200F1"/>
    <w:rsid w:val="006213E1"/>
    <w:rsid w:val="00621667"/>
    <w:rsid w:val="00621BF3"/>
    <w:rsid w:val="00621D65"/>
    <w:rsid w:val="00621F84"/>
    <w:rsid w:val="00622171"/>
    <w:rsid w:val="0062340E"/>
    <w:rsid w:val="006235D0"/>
    <w:rsid w:val="0062386B"/>
    <w:rsid w:val="006242DA"/>
    <w:rsid w:val="006245B3"/>
    <w:rsid w:val="006249D2"/>
    <w:rsid w:val="00624B92"/>
    <w:rsid w:val="00625BBB"/>
    <w:rsid w:val="00626824"/>
    <w:rsid w:val="006268F3"/>
    <w:rsid w:val="00627604"/>
    <w:rsid w:val="00627D2E"/>
    <w:rsid w:val="00627E4F"/>
    <w:rsid w:val="00630334"/>
    <w:rsid w:val="006312E6"/>
    <w:rsid w:val="00632BBA"/>
    <w:rsid w:val="006330C8"/>
    <w:rsid w:val="00634716"/>
    <w:rsid w:val="0063490D"/>
    <w:rsid w:val="00634A20"/>
    <w:rsid w:val="00634AB6"/>
    <w:rsid w:val="006352DB"/>
    <w:rsid w:val="00635628"/>
    <w:rsid w:val="00635769"/>
    <w:rsid w:val="00635826"/>
    <w:rsid w:val="00636126"/>
    <w:rsid w:val="006361A2"/>
    <w:rsid w:val="00636CAF"/>
    <w:rsid w:val="006378B6"/>
    <w:rsid w:val="00637B1B"/>
    <w:rsid w:val="00637C32"/>
    <w:rsid w:val="00640FFF"/>
    <w:rsid w:val="00642373"/>
    <w:rsid w:val="006423F4"/>
    <w:rsid w:val="00642F89"/>
    <w:rsid w:val="006433F1"/>
    <w:rsid w:val="006439B6"/>
    <w:rsid w:val="00645810"/>
    <w:rsid w:val="0064593B"/>
    <w:rsid w:val="00647856"/>
    <w:rsid w:val="00650652"/>
    <w:rsid w:val="00650694"/>
    <w:rsid w:val="00651156"/>
    <w:rsid w:val="006511B3"/>
    <w:rsid w:val="00651860"/>
    <w:rsid w:val="00651CFB"/>
    <w:rsid w:val="0065213C"/>
    <w:rsid w:val="006521D5"/>
    <w:rsid w:val="00652B46"/>
    <w:rsid w:val="00652D31"/>
    <w:rsid w:val="006536C7"/>
    <w:rsid w:val="00653CE0"/>
    <w:rsid w:val="00654AB3"/>
    <w:rsid w:val="00655025"/>
    <w:rsid w:val="006550EA"/>
    <w:rsid w:val="006551FC"/>
    <w:rsid w:val="0065547D"/>
    <w:rsid w:val="00655549"/>
    <w:rsid w:val="00656BDA"/>
    <w:rsid w:val="00656F12"/>
    <w:rsid w:val="006573B6"/>
    <w:rsid w:val="006612B7"/>
    <w:rsid w:val="006619D8"/>
    <w:rsid w:val="00661C06"/>
    <w:rsid w:val="00661DEB"/>
    <w:rsid w:val="00662049"/>
    <w:rsid w:val="00662BEC"/>
    <w:rsid w:val="00663027"/>
    <w:rsid w:val="00663057"/>
    <w:rsid w:val="006635A5"/>
    <w:rsid w:val="0066360D"/>
    <w:rsid w:val="006637F1"/>
    <w:rsid w:val="00663EEC"/>
    <w:rsid w:val="00664542"/>
    <w:rsid w:val="00667527"/>
    <w:rsid w:val="00670CDD"/>
    <w:rsid w:val="00670EF5"/>
    <w:rsid w:val="00671018"/>
    <w:rsid w:val="00671224"/>
    <w:rsid w:val="00671277"/>
    <w:rsid w:val="00671802"/>
    <w:rsid w:val="00672426"/>
    <w:rsid w:val="006729A3"/>
    <w:rsid w:val="00674027"/>
    <w:rsid w:val="006744E1"/>
    <w:rsid w:val="0067677B"/>
    <w:rsid w:val="00681A57"/>
    <w:rsid w:val="00681FA1"/>
    <w:rsid w:val="006823D6"/>
    <w:rsid w:val="0068264F"/>
    <w:rsid w:val="006842CF"/>
    <w:rsid w:val="00684A1C"/>
    <w:rsid w:val="006853F3"/>
    <w:rsid w:val="006860FE"/>
    <w:rsid w:val="00686292"/>
    <w:rsid w:val="00686ACA"/>
    <w:rsid w:val="00686E4D"/>
    <w:rsid w:val="00687850"/>
    <w:rsid w:val="00687A4C"/>
    <w:rsid w:val="00687D9B"/>
    <w:rsid w:val="00687F18"/>
    <w:rsid w:val="00687FB6"/>
    <w:rsid w:val="006911A8"/>
    <w:rsid w:val="00692407"/>
    <w:rsid w:val="006926D8"/>
    <w:rsid w:val="00692A88"/>
    <w:rsid w:val="00692BE6"/>
    <w:rsid w:val="0069356E"/>
    <w:rsid w:val="00693BF7"/>
    <w:rsid w:val="006940DF"/>
    <w:rsid w:val="00694962"/>
    <w:rsid w:val="00694E8B"/>
    <w:rsid w:val="00694E8F"/>
    <w:rsid w:val="00694FA8"/>
    <w:rsid w:val="00695189"/>
    <w:rsid w:val="0069562E"/>
    <w:rsid w:val="00696549"/>
    <w:rsid w:val="006968CE"/>
    <w:rsid w:val="00696A80"/>
    <w:rsid w:val="00696C00"/>
    <w:rsid w:val="0069793D"/>
    <w:rsid w:val="006A0ED4"/>
    <w:rsid w:val="006A0F34"/>
    <w:rsid w:val="006A1699"/>
    <w:rsid w:val="006A19AE"/>
    <w:rsid w:val="006A239A"/>
    <w:rsid w:val="006A2D89"/>
    <w:rsid w:val="006A314A"/>
    <w:rsid w:val="006A4424"/>
    <w:rsid w:val="006A4C3A"/>
    <w:rsid w:val="006A60E6"/>
    <w:rsid w:val="006A6A29"/>
    <w:rsid w:val="006A7069"/>
    <w:rsid w:val="006A78F1"/>
    <w:rsid w:val="006A7D73"/>
    <w:rsid w:val="006B037B"/>
    <w:rsid w:val="006B12FB"/>
    <w:rsid w:val="006B18A0"/>
    <w:rsid w:val="006B18AB"/>
    <w:rsid w:val="006B1D71"/>
    <w:rsid w:val="006B1EDE"/>
    <w:rsid w:val="006B2217"/>
    <w:rsid w:val="006B26A5"/>
    <w:rsid w:val="006B38DD"/>
    <w:rsid w:val="006B3BAC"/>
    <w:rsid w:val="006B3F4D"/>
    <w:rsid w:val="006B4219"/>
    <w:rsid w:val="006B46BC"/>
    <w:rsid w:val="006B4FAA"/>
    <w:rsid w:val="006B53BD"/>
    <w:rsid w:val="006B5AEF"/>
    <w:rsid w:val="006B6112"/>
    <w:rsid w:val="006B69EC"/>
    <w:rsid w:val="006B6F13"/>
    <w:rsid w:val="006B7356"/>
    <w:rsid w:val="006B77D1"/>
    <w:rsid w:val="006B7C0E"/>
    <w:rsid w:val="006C024D"/>
    <w:rsid w:val="006C0BF6"/>
    <w:rsid w:val="006C157C"/>
    <w:rsid w:val="006C15BD"/>
    <w:rsid w:val="006C163A"/>
    <w:rsid w:val="006C1CCF"/>
    <w:rsid w:val="006C1DE7"/>
    <w:rsid w:val="006C2094"/>
    <w:rsid w:val="006C2547"/>
    <w:rsid w:val="006C3E60"/>
    <w:rsid w:val="006C4448"/>
    <w:rsid w:val="006C4B84"/>
    <w:rsid w:val="006C54D9"/>
    <w:rsid w:val="006C61D8"/>
    <w:rsid w:val="006C7244"/>
    <w:rsid w:val="006D0337"/>
    <w:rsid w:val="006D0480"/>
    <w:rsid w:val="006D0C1B"/>
    <w:rsid w:val="006D0E05"/>
    <w:rsid w:val="006D0FE8"/>
    <w:rsid w:val="006D1C8D"/>
    <w:rsid w:val="006D21B3"/>
    <w:rsid w:val="006D22A4"/>
    <w:rsid w:val="006D26EE"/>
    <w:rsid w:val="006D2713"/>
    <w:rsid w:val="006D2F1A"/>
    <w:rsid w:val="006D3374"/>
    <w:rsid w:val="006D3867"/>
    <w:rsid w:val="006D732F"/>
    <w:rsid w:val="006E0021"/>
    <w:rsid w:val="006E007D"/>
    <w:rsid w:val="006E0E8D"/>
    <w:rsid w:val="006E13CC"/>
    <w:rsid w:val="006E1BF5"/>
    <w:rsid w:val="006E1CBA"/>
    <w:rsid w:val="006E2733"/>
    <w:rsid w:val="006E2A95"/>
    <w:rsid w:val="006E3B99"/>
    <w:rsid w:val="006E439E"/>
    <w:rsid w:val="006E49F7"/>
    <w:rsid w:val="006E4F7C"/>
    <w:rsid w:val="006E5CDE"/>
    <w:rsid w:val="006E6239"/>
    <w:rsid w:val="006E636D"/>
    <w:rsid w:val="006E645A"/>
    <w:rsid w:val="006E6D32"/>
    <w:rsid w:val="006E7510"/>
    <w:rsid w:val="006E7557"/>
    <w:rsid w:val="006E76AF"/>
    <w:rsid w:val="006F0054"/>
    <w:rsid w:val="006F0F94"/>
    <w:rsid w:val="006F1380"/>
    <w:rsid w:val="006F19CB"/>
    <w:rsid w:val="006F1CFD"/>
    <w:rsid w:val="006F2585"/>
    <w:rsid w:val="006F2D09"/>
    <w:rsid w:val="006F2D2A"/>
    <w:rsid w:val="006F2D6E"/>
    <w:rsid w:val="006F32D7"/>
    <w:rsid w:val="006F4675"/>
    <w:rsid w:val="006F47C4"/>
    <w:rsid w:val="006F5932"/>
    <w:rsid w:val="006F6F04"/>
    <w:rsid w:val="006F7321"/>
    <w:rsid w:val="006F7F44"/>
    <w:rsid w:val="0070052F"/>
    <w:rsid w:val="00700CE1"/>
    <w:rsid w:val="00701356"/>
    <w:rsid w:val="007020A9"/>
    <w:rsid w:val="0070292D"/>
    <w:rsid w:val="00702F56"/>
    <w:rsid w:val="007031C4"/>
    <w:rsid w:val="00703DF4"/>
    <w:rsid w:val="00704069"/>
    <w:rsid w:val="007056D8"/>
    <w:rsid w:val="00707334"/>
    <w:rsid w:val="007077CC"/>
    <w:rsid w:val="00707D84"/>
    <w:rsid w:val="007103FE"/>
    <w:rsid w:val="00710400"/>
    <w:rsid w:val="00710CDE"/>
    <w:rsid w:val="00710D6A"/>
    <w:rsid w:val="007112B3"/>
    <w:rsid w:val="00712D87"/>
    <w:rsid w:val="00713010"/>
    <w:rsid w:val="0071305F"/>
    <w:rsid w:val="0071331B"/>
    <w:rsid w:val="00713E53"/>
    <w:rsid w:val="00715894"/>
    <w:rsid w:val="007160ED"/>
    <w:rsid w:val="00716935"/>
    <w:rsid w:val="007207F1"/>
    <w:rsid w:val="007218F6"/>
    <w:rsid w:val="00721A1E"/>
    <w:rsid w:val="00721C85"/>
    <w:rsid w:val="00721E6A"/>
    <w:rsid w:val="007229EC"/>
    <w:rsid w:val="007239C1"/>
    <w:rsid w:val="007245F7"/>
    <w:rsid w:val="00725010"/>
    <w:rsid w:val="00727477"/>
    <w:rsid w:val="00730089"/>
    <w:rsid w:val="007301EE"/>
    <w:rsid w:val="0073065B"/>
    <w:rsid w:val="00730663"/>
    <w:rsid w:val="00730ED2"/>
    <w:rsid w:val="007313F2"/>
    <w:rsid w:val="00731EE9"/>
    <w:rsid w:val="007323C9"/>
    <w:rsid w:val="0073397C"/>
    <w:rsid w:val="00733D03"/>
    <w:rsid w:val="007344B2"/>
    <w:rsid w:val="00734C16"/>
    <w:rsid w:val="00734EF0"/>
    <w:rsid w:val="007353F0"/>
    <w:rsid w:val="0073553A"/>
    <w:rsid w:val="00735AD7"/>
    <w:rsid w:val="00735CBB"/>
    <w:rsid w:val="00736342"/>
    <w:rsid w:val="00736577"/>
    <w:rsid w:val="00736A72"/>
    <w:rsid w:val="0073772E"/>
    <w:rsid w:val="007378CF"/>
    <w:rsid w:val="00737E25"/>
    <w:rsid w:val="007406D0"/>
    <w:rsid w:val="00740E22"/>
    <w:rsid w:val="00742D06"/>
    <w:rsid w:val="00743547"/>
    <w:rsid w:val="00743BF5"/>
    <w:rsid w:val="00743E92"/>
    <w:rsid w:val="007443E9"/>
    <w:rsid w:val="0074440A"/>
    <w:rsid w:val="00744927"/>
    <w:rsid w:val="00744D48"/>
    <w:rsid w:val="0074521C"/>
    <w:rsid w:val="00745244"/>
    <w:rsid w:val="00746091"/>
    <w:rsid w:val="007465F1"/>
    <w:rsid w:val="00746816"/>
    <w:rsid w:val="00747500"/>
    <w:rsid w:val="00747A54"/>
    <w:rsid w:val="00747B45"/>
    <w:rsid w:val="00750146"/>
    <w:rsid w:val="00750523"/>
    <w:rsid w:val="00751E60"/>
    <w:rsid w:val="0075221E"/>
    <w:rsid w:val="007529AE"/>
    <w:rsid w:val="007529D2"/>
    <w:rsid w:val="00752AE2"/>
    <w:rsid w:val="0075393B"/>
    <w:rsid w:val="00753C53"/>
    <w:rsid w:val="00753F6F"/>
    <w:rsid w:val="007553E7"/>
    <w:rsid w:val="00755E6F"/>
    <w:rsid w:val="00756D30"/>
    <w:rsid w:val="007571AD"/>
    <w:rsid w:val="0075729B"/>
    <w:rsid w:val="00757E4E"/>
    <w:rsid w:val="007605F0"/>
    <w:rsid w:val="00760E4A"/>
    <w:rsid w:val="00761094"/>
    <w:rsid w:val="007613D3"/>
    <w:rsid w:val="0076145B"/>
    <w:rsid w:val="00761A10"/>
    <w:rsid w:val="00762191"/>
    <w:rsid w:val="00763281"/>
    <w:rsid w:val="0076478F"/>
    <w:rsid w:val="00764DB3"/>
    <w:rsid w:val="00765FDD"/>
    <w:rsid w:val="00766051"/>
    <w:rsid w:val="0076649C"/>
    <w:rsid w:val="0076668D"/>
    <w:rsid w:val="00766F8C"/>
    <w:rsid w:val="00767243"/>
    <w:rsid w:val="0077044F"/>
    <w:rsid w:val="00770A5A"/>
    <w:rsid w:val="00770B2B"/>
    <w:rsid w:val="00770CA1"/>
    <w:rsid w:val="0077118A"/>
    <w:rsid w:val="007730B2"/>
    <w:rsid w:val="007735B5"/>
    <w:rsid w:val="007741FA"/>
    <w:rsid w:val="00775821"/>
    <w:rsid w:val="00775CC2"/>
    <w:rsid w:val="00775D14"/>
    <w:rsid w:val="00775E11"/>
    <w:rsid w:val="0077622D"/>
    <w:rsid w:val="00776510"/>
    <w:rsid w:val="00776816"/>
    <w:rsid w:val="00776ABF"/>
    <w:rsid w:val="00777643"/>
    <w:rsid w:val="007778DE"/>
    <w:rsid w:val="00781AD8"/>
    <w:rsid w:val="00781B54"/>
    <w:rsid w:val="007822F4"/>
    <w:rsid w:val="00783454"/>
    <w:rsid w:val="00783637"/>
    <w:rsid w:val="007838C0"/>
    <w:rsid w:val="00783AC1"/>
    <w:rsid w:val="00785893"/>
    <w:rsid w:val="00786F01"/>
    <w:rsid w:val="007871BD"/>
    <w:rsid w:val="00787828"/>
    <w:rsid w:val="00787A8D"/>
    <w:rsid w:val="00787BBD"/>
    <w:rsid w:val="007911A2"/>
    <w:rsid w:val="0079159F"/>
    <w:rsid w:val="007918E5"/>
    <w:rsid w:val="00792532"/>
    <w:rsid w:val="00792721"/>
    <w:rsid w:val="00792E38"/>
    <w:rsid w:val="007931A2"/>
    <w:rsid w:val="00793543"/>
    <w:rsid w:val="007937CD"/>
    <w:rsid w:val="00793C15"/>
    <w:rsid w:val="007940DA"/>
    <w:rsid w:val="00794BA6"/>
    <w:rsid w:val="00794C25"/>
    <w:rsid w:val="007962DE"/>
    <w:rsid w:val="0079648F"/>
    <w:rsid w:val="00797113"/>
    <w:rsid w:val="007A0685"/>
    <w:rsid w:val="007A091D"/>
    <w:rsid w:val="007A11BB"/>
    <w:rsid w:val="007A1354"/>
    <w:rsid w:val="007A2CFC"/>
    <w:rsid w:val="007A2E99"/>
    <w:rsid w:val="007A30E8"/>
    <w:rsid w:val="007A371C"/>
    <w:rsid w:val="007A374C"/>
    <w:rsid w:val="007A3902"/>
    <w:rsid w:val="007A4566"/>
    <w:rsid w:val="007A4ABB"/>
    <w:rsid w:val="007A528A"/>
    <w:rsid w:val="007A57BA"/>
    <w:rsid w:val="007A58DC"/>
    <w:rsid w:val="007A5BAB"/>
    <w:rsid w:val="007A7475"/>
    <w:rsid w:val="007A7FD2"/>
    <w:rsid w:val="007B09BB"/>
    <w:rsid w:val="007B176E"/>
    <w:rsid w:val="007B1801"/>
    <w:rsid w:val="007B1CC6"/>
    <w:rsid w:val="007B1D02"/>
    <w:rsid w:val="007B1F0B"/>
    <w:rsid w:val="007B1F52"/>
    <w:rsid w:val="007B2151"/>
    <w:rsid w:val="007B29E7"/>
    <w:rsid w:val="007B2E9A"/>
    <w:rsid w:val="007B3806"/>
    <w:rsid w:val="007B3D15"/>
    <w:rsid w:val="007B44C0"/>
    <w:rsid w:val="007B48E9"/>
    <w:rsid w:val="007B558D"/>
    <w:rsid w:val="007B5764"/>
    <w:rsid w:val="007B6222"/>
    <w:rsid w:val="007B676D"/>
    <w:rsid w:val="007B7820"/>
    <w:rsid w:val="007B78A4"/>
    <w:rsid w:val="007B7D37"/>
    <w:rsid w:val="007C0251"/>
    <w:rsid w:val="007C10D1"/>
    <w:rsid w:val="007C1361"/>
    <w:rsid w:val="007C1ED2"/>
    <w:rsid w:val="007C241B"/>
    <w:rsid w:val="007C2990"/>
    <w:rsid w:val="007C37BF"/>
    <w:rsid w:val="007C3989"/>
    <w:rsid w:val="007C3AF7"/>
    <w:rsid w:val="007C487F"/>
    <w:rsid w:val="007C5090"/>
    <w:rsid w:val="007C531A"/>
    <w:rsid w:val="007C5CA2"/>
    <w:rsid w:val="007C5CB7"/>
    <w:rsid w:val="007C5ED4"/>
    <w:rsid w:val="007C5F3C"/>
    <w:rsid w:val="007C6684"/>
    <w:rsid w:val="007C6DCB"/>
    <w:rsid w:val="007C7C95"/>
    <w:rsid w:val="007D0871"/>
    <w:rsid w:val="007D0E03"/>
    <w:rsid w:val="007D2D9A"/>
    <w:rsid w:val="007D377B"/>
    <w:rsid w:val="007D3E8E"/>
    <w:rsid w:val="007D4102"/>
    <w:rsid w:val="007D423E"/>
    <w:rsid w:val="007D4545"/>
    <w:rsid w:val="007D4ED5"/>
    <w:rsid w:val="007D6EEC"/>
    <w:rsid w:val="007D6F22"/>
    <w:rsid w:val="007D7123"/>
    <w:rsid w:val="007D73C8"/>
    <w:rsid w:val="007E003C"/>
    <w:rsid w:val="007E030B"/>
    <w:rsid w:val="007E1448"/>
    <w:rsid w:val="007E16EB"/>
    <w:rsid w:val="007E1F40"/>
    <w:rsid w:val="007E2037"/>
    <w:rsid w:val="007E2476"/>
    <w:rsid w:val="007E31DB"/>
    <w:rsid w:val="007E343B"/>
    <w:rsid w:val="007E3E5B"/>
    <w:rsid w:val="007E4A93"/>
    <w:rsid w:val="007E4CD0"/>
    <w:rsid w:val="007E663B"/>
    <w:rsid w:val="007E71D3"/>
    <w:rsid w:val="007E7613"/>
    <w:rsid w:val="007F0B55"/>
    <w:rsid w:val="007F24E7"/>
    <w:rsid w:val="007F29D2"/>
    <w:rsid w:val="007F2A45"/>
    <w:rsid w:val="007F2F4D"/>
    <w:rsid w:val="007F324B"/>
    <w:rsid w:val="007F3B7E"/>
    <w:rsid w:val="007F3D03"/>
    <w:rsid w:val="007F42EC"/>
    <w:rsid w:val="007F43FC"/>
    <w:rsid w:val="007F4407"/>
    <w:rsid w:val="007F4B64"/>
    <w:rsid w:val="007F4B85"/>
    <w:rsid w:val="007F590C"/>
    <w:rsid w:val="007F5CE1"/>
    <w:rsid w:val="007F64E7"/>
    <w:rsid w:val="007F6A5E"/>
    <w:rsid w:val="007F6B1D"/>
    <w:rsid w:val="007F6FC1"/>
    <w:rsid w:val="007F7A90"/>
    <w:rsid w:val="008003A2"/>
    <w:rsid w:val="00800B70"/>
    <w:rsid w:val="0080260C"/>
    <w:rsid w:val="00802779"/>
    <w:rsid w:val="00802887"/>
    <w:rsid w:val="0080308C"/>
    <w:rsid w:val="0080393A"/>
    <w:rsid w:val="008040FF"/>
    <w:rsid w:val="00805EBA"/>
    <w:rsid w:val="008060DF"/>
    <w:rsid w:val="0080640F"/>
    <w:rsid w:val="008064C0"/>
    <w:rsid w:val="00806529"/>
    <w:rsid w:val="00806746"/>
    <w:rsid w:val="00806C3E"/>
    <w:rsid w:val="0080762B"/>
    <w:rsid w:val="0081047D"/>
    <w:rsid w:val="00810723"/>
    <w:rsid w:val="00810AAD"/>
    <w:rsid w:val="008111DB"/>
    <w:rsid w:val="008129E7"/>
    <w:rsid w:val="00812D9A"/>
    <w:rsid w:val="00812F55"/>
    <w:rsid w:val="008134DC"/>
    <w:rsid w:val="00814624"/>
    <w:rsid w:val="0081474D"/>
    <w:rsid w:val="00814821"/>
    <w:rsid w:val="008149EF"/>
    <w:rsid w:val="00814F52"/>
    <w:rsid w:val="00815247"/>
    <w:rsid w:val="008153DC"/>
    <w:rsid w:val="00815451"/>
    <w:rsid w:val="00816C56"/>
    <w:rsid w:val="008173AB"/>
    <w:rsid w:val="0081748D"/>
    <w:rsid w:val="0082025E"/>
    <w:rsid w:val="00820396"/>
    <w:rsid w:val="008204C4"/>
    <w:rsid w:val="008217A7"/>
    <w:rsid w:val="008219D4"/>
    <w:rsid w:val="00821AD8"/>
    <w:rsid w:val="00821E5A"/>
    <w:rsid w:val="0082217F"/>
    <w:rsid w:val="008226AA"/>
    <w:rsid w:val="00823F36"/>
    <w:rsid w:val="008242B7"/>
    <w:rsid w:val="00824483"/>
    <w:rsid w:val="008246D9"/>
    <w:rsid w:val="00824E6D"/>
    <w:rsid w:val="008250F4"/>
    <w:rsid w:val="008269EA"/>
    <w:rsid w:val="00827CBD"/>
    <w:rsid w:val="00830775"/>
    <w:rsid w:val="008309F4"/>
    <w:rsid w:val="00831391"/>
    <w:rsid w:val="00831598"/>
    <w:rsid w:val="00831C84"/>
    <w:rsid w:val="00831D27"/>
    <w:rsid w:val="00831DB8"/>
    <w:rsid w:val="00832970"/>
    <w:rsid w:val="0083308C"/>
    <w:rsid w:val="00834F52"/>
    <w:rsid w:val="00834F6E"/>
    <w:rsid w:val="0083556B"/>
    <w:rsid w:val="00835CD6"/>
    <w:rsid w:val="0083667F"/>
    <w:rsid w:val="00836946"/>
    <w:rsid w:val="00837B6E"/>
    <w:rsid w:val="00837E58"/>
    <w:rsid w:val="008415F8"/>
    <w:rsid w:val="008423DA"/>
    <w:rsid w:val="00842A33"/>
    <w:rsid w:val="00843283"/>
    <w:rsid w:val="008433F3"/>
    <w:rsid w:val="008439BA"/>
    <w:rsid w:val="00845256"/>
    <w:rsid w:val="008454C2"/>
    <w:rsid w:val="00845D47"/>
    <w:rsid w:val="00846950"/>
    <w:rsid w:val="00846C39"/>
    <w:rsid w:val="00846F15"/>
    <w:rsid w:val="00847083"/>
    <w:rsid w:val="0085017B"/>
    <w:rsid w:val="00850600"/>
    <w:rsid w:val="008508C7"/>
    <w:rsid w:val="00850AD2"/>
    <w:rsid w:val="00851D11"/>
    <w:rsid w:val="00851D30"/>
    <w:rsid w:val="00852167"/>
    <w:rsid w:val="00852397"/>
    <w:rsid w:val="00852616"/>
    <w:rsid w:val="008526B2"/>
    <w:rsid w:val="00852778"/>
    <w:rsid w:val="008529D4"/>
    <w:rsid w:val="00854034"/>
    <w:rsid w:val="0085445C"/>
    <w:rsid w:val="00854AB7"/>
    <w:rsid w:val="00854C67"/>
    <w:rsid w:val="0085503F"/>
    <w:rsid w:val="0085574C"/>
    <w:rsid w:val="00855B85"/>
    <w:rsid w:val="0085749F"/>
    <w:rsid w:val="0085774C"/>
    <w:rsid w:val="00857F03"/>
    <w:rsid w:val="00860073"/>
    <w:rsid w:val="00860647"/>
    <w:rsid w:val="008607D4"/>
    <w:rsid w:val="0086096A"/>
    <w:rsid w:val="00861773"/>
    <w:rsid w:val="008621B3"/>
    <w:rsid w:val="008625BC"/>
    <w:rsid w:val="0086315D"/>
    <w:rsid w:val="0086316E"/>
    <w:rsid w:val="0086485C"/>
    <w:rsid w:val="0086488F"/>
    <w:rsid w:val="00864ADA"/>
    <w:rsid w:val="00865839"/>
    <w:rsid w:val="00865CE8"/>
    <w:rsid w:val="0086655D"/>
    <w:rsid w:val="00866B97"/>
    <w:rsid w:val="00867491"/>
    <w:rsid w:val="008674F3"/>
    <w:rsid w:val="0086753C"/>
    <w:rsid w:val="00867743"/>
    <w:rsid w:val="008677EB"/>
    <w:rsid w:val="00867B00"/>
    <w:rsid w:val="00870798"/>
    <w:rsid w:val="00870939"/>
    <w:rsid w:val="008709FE"/>
    <w:rsid w:val="0087147F"/>
    <w:rsid w:val="00871B35"/>
    <w:rsid w:val="008721FB"/>
    <w:rsid w:val="00872687"/>
    <w:rsid w:val="0087329A"/>
    <w:rsid w:val="008736F8"/>
    <w:rsid w:val="00874969"/>
    <w:rsid w:val="00875026"/>
    <w:rsid w:val="00875029"/>
    <w:rsid w:val="008755CD"/>
    <w:rsid w:val="0087567F"/>
    <w:rsid w:val="00876872"/>
    <w:rsid w:val="008769EE"/>
    <w:rsid w:val="00876E26"/>
    <w:rsid w:val="008770DD"/>
    <w:rsid w:val="008771D8"/>
    <w:rsid w:val="008801DF"/>
    <w:rsid w:val="00880266"/>
    <w:rsid w:val="0088066D"/>
    <w:rsid w:val="008808D6"/>
    <w:rsid w:val="00881476"/>
    <w:rsid w:val="00881F58"/>
    <w:rsid w:val="00882D2F"/>
    <w:rsid w:val="00883165"/>
    <w:rsid w:val="0088320F"/>
    <w:rsid w:val="008836B0"/>
    <w:rsid w:val="008845EF"/>
    <w:rsid w:val="00885CEE"/>
    <w:rsid w:val="00886098"/>
    <w:rsid w:val="00886596"/>
    <w:rsid w:val="00886A8A"/>
    <w:rsid w:val="00886EF1"/>
    <w:rsid w:val="00887360"/>
    <w:rsid w:val="00887C46"/>
    <w:rsid w:val="00890E75"/>
    <w:rsid w:val="00891050"/>
    <w:rsid w:val="008910A0"/>
    <w:rsid w:val="0089158C"/>
    <w:rsid w:val="00891AB3"/>
    <w:rsid w:val="00891B30"/>
    <w:rsid w:val="008922CE"/>
    <w:rsid w:val="00892CD9"/>
    <w:rsid w:val="00893A95"/>
    <w:rsid w:val="008946B3"/>
    <w:rsid w:val="00895749"/>
    <w:rsid w:val="00896AF5"/>
    <w:rsid w:val="00897632"/>
    <w:rsid w:val="00897730"/>
    <w:rsid w:val="008A0765"/>
    <w:rsid w:val="008A0B64"/>
    <w:rsid w:val="008A1614"/>
    <w:rsid w:val="008A17DE"/>
    <w:rsid w:val="008A1E5F"/>
    <w:rsid w:val="008A2302"/>
    <w:rsid w:val="008A251C"/>
    <w:rsid w:val="008A3721"/>
    <w:rsid w:val="008A4C45"/>
    <w:rsid w:val="008A4DAE"/>
    <w:rsid w:val="008A51FE"/>
    <w:rsid w:val="008A594F"/>
    <w:rsid w:val="008A5FF7"/>
    <w:rsid w:val="008A6AD5"/>
    <w:rsid w:val="008A7B2A"/>
    <w:rsid w:val="008A7BE9"/>
    <w:rsid w:val="008A7F3C"/>
    <w:rsid w:val="008A7FEF"/>
    <w:rsid w:val="008B09EF"/>
    <w:rsid w:val="008B0F1E"/>
    <w:rsid w:val="008B107D"/>
    <w:rsid w:val="008B1261"/>
    <w:rsid w:val="008B14FE"/>
    <w:rsid w:val="008B1B2E"/>
    <w:rsid w:val="008B208D"/>
    <w:rsid w:val="008B24FF"/>
    <w:rsid w:val="008B3E54"/>
    <w:rsid w:val="008B4A36"/>
    <w:rsid w:val="008B4D83"/>
    <w:rsid w:val="008B4DD2"/>
    <w:rsid w:val="008B4F19"/>
    <w:rsid w:val="008B59CF"/>
    <w:rsid w:val="008B697F"/>
    <w:rsid w:val="008B6A98"/>
    <w:rsid w:val="008B6F09"/>
    <w:rsid w:val="008C1201"/>
    <w:rsid w:val="008C134B"/>
    <w:rsid w:val="008C162D"/>
    <w:rsid w:val="008C17D6"/>
    <w:rsid w:val="008C1DC7"/>
    <w:rsid w:val="008C1FAC"/>
    <w:rsid w:val="008C3391"/>
    <w:rsid w:val="008C3FAE"/>
    <w:rsid w:val="008C4609"/>
    <w:rsid w:val="008C46F0"/>
    <w:rsid w:val="008C493E"/>
    <w:rsid w:val="008C4A67"/>
    <w:rsid w:val="008C50E7"/>
    <w:rsid w:val="008C5403"/>
    <w:rsid w:val="008C6D3D"/>
    <w:rsid w:val="008C7574"/>
    <w:rsid w:val="008C759A"/>
    <w:rsid w:val="008C75E1"/>
    <w:rsid w:val="008C7745"/>
    <w:rsid w:val="008C7C6E"/>
    <w:rsid w:val="008C7F0E"/>
    <w:rsid w:val="008D070C"/>
    <w:rsid w:val="008D0B56"/>
    <w:rsid w:val="008D159E"/>
    <w:rsid w:val="008D2128"/>
    <w:rsid w:val="008D2278"/>
    <w:rsid w:val="008D2353"/>
    <w:rsid w:val="008D31DF"/>
    <w:rsid w:val="008D347B"/>
    <w:rsid w:val="008D47A1"/>
    <w:rsid w:val="008D558B"/>
    <w:rsid w:val="008D703C"/>
    <w:rsid w:val="008D756F"/>
    <w:rsid w:val="008D7C78"/>
    <w:rsid w:val="008D7F74"/>
    <w:rsid w:val="008E241C"/>
    <w:rsid w:val="008E3000"/>
    <w:rsid w:val="008E3834"/>
    <w:rsid w:val="008E396B"/>
    <w:rsid w:val="008E532E"/>
    <w:rsid w:val="008E533E"/>
    <w:rsid w:val="008E5395"/>
    <w:rsid w:val="008E5575"/>
    <w:rsid w:val="008E63DA"/>
    <w:rsid w:val="008E6A6B"/>
    <w:rsid w:val="008E6F30"/>
    <w:rsid w:val="008E77C5"/>
    <w:rsid w:val="008E7811"/>
    <w:rsid w:val="008F06AA"/>
    <w:rsid w:val="008F076F"/>
    <w:rsid w:val="008F146D"/>
    <w:rsid w:val="008F16E4"/>
    <w:rsid w:val="008F1B5A"/>
    <w:rsid w:val="008F2978"/>
    <w:rsid w:val="008F31EA"/>
    <w:rsid w:val="008F3CCF"/>
    <w:rsid w:val="008F4107"/>
    <w:rsid w:val="008F43B8"/>
    <w:rsid w:val="008F43FA"/>
    <w:rsid w:val="008F4AB9"/>
    <w:rsid w:val="008F4F6C"/>
    <w:rsid w:val="008F503B"/>
    <w:rsid w:val="008F5299"/>
    <w:rsid w:val="008F544B"/>
    <w:rsid w:val="008F5AD6"/>
    <w:rsid w:val="008F5F42"/>
    <w:rsid w:val="008F70BD"/>
    <w:rsid w:val="008F7575"/>
    <w:rsid w:val="009007C6"/>
    <w:rsid w:val="009007EC"/>
    <w:rsid w:val="0090147E"/>
    <w:rsid w:val="009016D1"/>
    <w:rsid w:val="00901FA7"/>
    <w:rsid w:val="00902DAC"/>
    <w:rsid w:val="0090316B"/>
    <w:rsid w:val="00903440"/>
    <w:rsid w:val="009036D4"/>
    <w:rsid w:val="00903AD1"/>
    <w:rsid w:val="0090405A"/>
    <w:rsid w:val="009051C2"/>
    <w:rsid w:val="009055D6"/>
    <w:rsid w:val="00906711"/>
    <w:rsid w:val="00906E31"/>
    <w:rsid w:val="00906F5A"/>
    <w:rsid w:val="00907B0F"/>
    <w:rsid w:val="00910D61"/>
    <w:rsid w:val="00911279"/>
    <w:rsid w:val="009113F2"/>
    <w:rsid w:val="00911B37"/>
    <w:rsid w:val="00911DD1"/>
    <w:rsid w:val="009121C9"/>
    <w:rsid w:val="0091248C"/>
    <w:rsid w:val="00912CC3"/>
    <w:rsid w:val="00914C3D"/>
    <w:rsid w:val="00914F40"/>
    <w:rsid w:val="0091529A"/>
    <w:rsid w:val="009162FA"/>
    <w:rsid w:val="00916EFA"/>
    <w:rsid w:val="0091721B"/>
    <w:rsid w:val="00917788"/>
    <w:rsid w:val="00917B75"/>
    <w:rsid w:val="00917C49"/>
    <w:rsid w:val="00917F5E"/>
    <w:rsid w:val="00917F79"/>
    <w:rsid w:val="009204D0"/>
    <w:rsid w:val="009217B0"/>
    <w:rsid w:val="00922CDC"/>
    <w:rsid w:val="00922EB8"/>
    <w:rsid w:val="009238B6"/>
    <w:rsid w:val="00923B9F"/>
    <w:rsid w:val="009242DA"/>
    <w:rsid w:val="009250F8"/>
    <w:rsid w:val="009273B5"/>
    <w:rsid w:val="009274BE"/>
    <w:rsid w:val="009276CF"/>
    <w:rsid w:val="009307F3"/>
    <w:rsid w:val="00930D8E"/>
    <w:rsid w:val="009313AF"/>
    <w:rsid w:val="0093148F"/>
    <w:rsid w:val="00931E83"/>
    <w:rsid w:val="0093280A"/>
    <w:rsid w:val="009330A9"/>
    <w:rsid w:val="00933300"/>
    <w:rsid w:val="00933659"/>
    <w:rsid w:val="009340AD"/>
    <w:rsid w:val="00934369"/>
    <w:rsid w:val="00934612"/>
    <w:rsid w:val="00934AED"/>
    <w:rsid w:val="00934F89"/>
    <w:rsid w:val="009358EE"/>
    <w:rsid w:val="00935E16"/>
    <w:rsid w:val="00936305"/>
    <w:rsid w:val="009367AB"/>
    <w:rsid w:val="00936A7C"/>
    <w:rsid w:val="00937EFC"/>
    <w:rsid w:val="009400A3"/>
    <w:rsid w:val="009401A5"/>
    <w:rsid w:val="009405E2"/>
    <w:rsid w:val="0094084B"/>
    <w:rsid w:val="009426E2"/>
    <w:rsid w:val="00943107"/>
    <w:rsid w:val="009435DE"/>
    <w:rsid w:val="00943C19"/>
    <w:rsid w:val="00945C7E"/>
    <w:rsid w:val="0094604A"/>
    <w:rsid w:val="009469EF"/>
    <w:rsid w:val="0094754E"/>
    <w:rsid w:val="0094772C"/>
    <w:rsid w:val="00950A2F"/>
    <w:rsid w:val="009511F0"/>
    <w:rsid w:val="00951BF5"/>
    <w:rsid w:val="00952C94"/>
    <w:rsid w:val="00952DA4"/>
    <w:rsid w:val="009532CC"/>
    <w:rsid w:val="009533B0"/>
    <w:rsid w:val="009535EA"/>
    <w:rsid w:val="00953A2A"/>
    <w:rsid w:val="009540C1"/>
    <w:rsid w:val="00954293"/>
    <w:rsid w:val="00954C0B"/>
    <w:rsid w:val="00955108"/>
    <w:rsid w:val="0095516B"/>
    <w:rsid w:val="00955516"/>
    <w:rsid w:val="00955701"/>
    <w:rsid w:val="00955B06"/>
    <w:rsid w:val="00956B0A"/>
    <w:rsid w:val="00956C0C"/>
    <w:rsid w:val="00957460"/>
    <w:rsid w:val="009579C8"/>
    <w:rsid w:val="009579D2"/>
    <w:rsid w:val="00957AC3"/>
    <w:rsid w:val="00957BD5"/>
    <w:rsid w:val="00957D73"/>
    <w:rsid w:val="00957EE1"/>
    <w:rsid w:val="009602CE"/>
    <w:rsid w:val="00960A55"/>
    <w:rsid w:val="00960E76"/>
    <w:rsid w:val="009616F1"/>
    <w:rsid w:val="0096287E"/>
    <w:rsid w:val="00962CA4"/>
    <w:rsid w:val="009630FE"/>
    <w:rsid w:val="00963FFD"/>
    <w:rsid w:val="0096439C"/>
    <w:rsid w:val="009644DF"/>
    <w:rsid w:val="009649B6"/>
    <w:rsid w:val="00964BA1"/>
    <w:rsid w:val="00964D57"/>
    <w:rsid w:val="00965809"/>
    <w:rsid w:val="00965DB1"/>
    <w:rsid w:val="009660F8"/>
    <w:rsid w:val="00966262"/>
    <w:rsid w:val="00966486"/>
    <w:rsid w:val="009666F3"/>
    <w:rsid w:val="00966AAF"/>
    <w:rsid w:val="00966C7A"/>
    <w:rsid w:val="00967837"/>
    <w:rsid w:val="0097032A"/>
    <w:rsid w:val="009716FB"/>
    <w:rsid w:val="00971AF5"/>
    <w:rsid w:val="00972DFF"/>
    <w:rsid w:val="00972E1F"/>
    <w:rsid w:val="00972E43"/>
    <w:rsid w:val="0097332C"/>
    <w:rsid w:val="00973A58"/>
    <w:rsid w:val="00973B10"/>
    <w:rsid w:val="00973E8E"/>
    <w:rsid w:val="00974103"/>
    <w:rsid w:val="009749C2"/>
    <w:rsid w:val="00974D84"/>
    <w:rsid w:val="00975103"/>
    <w:rsid w:val="00975C6D"/>
    <w:rsid w:val="00975C94"/>
    <w:rsid w:val="009761F5"/>
    <w:rsid w:val="00976B6A"/>
    <w:rsid w:val="00977025"/>
    <w:rsid w:val="00977B0D"/>
    <w:rsid w:val="00977C7F"/>
    <w:rsid w:val="00977D69"/>
    <w:rsid w:val="00980E88"/>
    <w:rsid w:val="009814F2"/>
    <w:rsid w:val="009815C3"/>
    <w:rsid w:val="009838BE"/>
    <w:rsid w:val="00983C07"/>
    <w:rsid w:val="00983FF6"/>
    <w:rsid w:val="00984A95"/>
    <w:rsid w:val="00985A7F"/>
    <w:rsid w:val="0098627F"/>
    <w:rsid w:val="009866DE"/>
    <w:rsid w:val="00986BEA"/>
    <w:rsid w:val="0098748C"/>
    <w:rsid w:val="00987549"/>
    <w:rsid w:val="00987E25"/>
    <w:rsid w:val="00990ACB"/>
    <w:rsid w:val="009910B6"/>
    <w:rsid w:val="009911F2"/>
    <w:rsid w:val="00992123"/>
    <w:rsid w:val="009921F6"/>
    <w:rsid w:val="0099223A"/>
    <w:rsid w:val="009925CD"/>
    <w:rsid w:val="009938A1"/>
    <w:rsid w:val="0099470D"/>
    <w:rsid w:val="00994AA9"/>
    <w:rsid w:val="00994C33"/>
    <w:rsid w:val="00995440"/>
    <w:rsid w:val="00995BE5"/>
    <w:rsid w:val="00995C9A"/>
    <w:rsid w:val="00995F16"/>
    <w:rsid w:val="00996401"/>
    <w:rsid w:val="009A02EB"/>
    <w:rsid w:val="009A11C9"/>
    <w:rsid w:val="009A1750"/>
    <w:rsid w:val="009A3120"/>
    <w:rsid w:val="009A3537"/>
    <w:rsid w:val="009A433A"/>
    <w:rsid w:val="009A4889"/>
    <w:rsid w:val="009A50FA"/>
    <w:rsid w:val="009A58AA"/>
    <w:rsid w:val="009A752E"/>
    <w:rsid w:val="009B10C4"/>
    <w:rsid w:val="009B131D"/>
    <w:rsid w:val="009B1381"/>
    <w:rsid w:val="009B1B49"/>
    <w:rsid w:val="009B2C33"/>
    <w:rsid w:val="009B3FCC"/>
    <w:rsid w:val="009B46FC"/>
    <w:rsid w:val="009B4D77"/>
    <w:rsid w:val="009B4DC5"/>
    <w:rsid w:val="009B4ED1"/>
    <w:rsid w:val="009B4F7B"/>
    <w:rsid w:val="009B543A"/>
    <w:rsid w:val="009B57E1"/>
    <w:rsid w:val="009B5875"/>
    <w:rsid w:val="009B593E"/>
    <w:rsid w:val="009B5D22"/>
    <w:rsid w:val="009B6519"/>
    <w:rsid w:val="009B7900"/>
    <w:rsid w:val="009B7BEF"/>
    <w:rsid w:val="009B7C4F"/>
    <w:rsid w:val="009C01DE"/>
    <w:rsid w:val="009C0B9C"/>
    <w:rsid w:val="009C0BBE"/>
    <w:rsid w:val="009C16F1"/>
    <w:rsid w:val="009C1757"/>
    <w:rsid w:val="009C1C85"/>
    <w:rsid w:val="009C270F"/>
    <w:rsid w:val="009C284A"/>
    <w:rsid w:val="009C28A1"/>
    <w:rsid w:val="009C3712"/>
    <w:rsid w:val="009C3CC0"/>
    <w:rsid w:val="009C4096"/>
    <w:rsid w:val="009C43FD"/>
    <w:rsid w:val="009C4EEC"/>
    <w:rsid w:val="009C53FC"/>
    <w:rsid w:val="009C61E5"/>
    <w:rsid w:val="009C6725"/>
    <w:rsid w:val="009C76AC"/>
    <w:rsid w:val="009C7F0A"/>
    <w:rsid w:val="009D0725"/>
    <w:rsid w:val="009D098F"/>
    <w:rsid w:val="009D0A60"/>
    <w:rsid w:val="009D0AFF"/>
    <w:rsid w:val="009D11B9"/>
    <w:rsid w:val="009D252C"/>
    <w:rsid w:val="009D3211"/>
    <w:rsid w:val="009D3D84"/>
    <w:rsid w:val="009D411E"/>
    <w:rsid w:val="009D4A54"/>
    <w:rsid w:val="009D4D3C"/>
    <w:rsid w:val="009D545A"/>
    <w:rsid w:val="009D5A03"/>
    <w:rsid w:val="009D6CB8"/>
    <w:rsid w:val="009E0332"/>
    <w:rsid w:val="009E09C4"/>
    <w:rsid w:val="009E0A64"/>
    <w:rsid w:val="009E0BD8"/>
    <w:rsid w:val="009E1985"/>
    <w:rsid w:val="009E1D9B"/>
    <w:rsid w:val="009E21CA"/>
    <w:rsid w:val="009E24B5"/>
    <w:rsid w:val="009E2BB3"/>
    <w:rsid w:val="009E3A96"/>
    <w:rsid w:val="009E3B63"/>
    <w:rsid w:val="009E40A0"/>
    <w:rsid w:val="009E59D4"/>
    <w:rsid w:val="009E6486"/>
    <w:rsid w:val="009E68E8"/>
    <w:rsid w:val="009E6E07"/>
    <w:rsid w:val="009E6FC8"/>
    <w:rsid w:val="009E76E4"/>
    <w:rsid w:val="009E78CE"/>
    <w:rsid w:val="009E7AF6"/>
    <w:rsid w:val="009F0A39"/>
    <w:rsid w:val="009F0FE8"/>
    <w:rsid w:val="009F10F6"/>
    <w:rsid w:val="009F14A9"/>
    <w:rsid w:val="009F15BD"/>
    <w:rsid w:val="009F1DDA"/>
    <w:rsid w:val="009F2AF3"/>
    <w:rsid w:val="009F2D79"/>
    <w:rsid w:val="009F376B"/>
    <w:rsid w:val="009F3BED"/>
    <w:rsid w:val="009F3EF1"/>
    <w:rsid w:val="009F41B7"/>
    <w:rsid w:val="009F4821"/>
    <w:rsid w:val="009F50D2"/>
    <w:rsid w:val="009F61DF"/>
    <w:rsid w:val="009F7544"/>
    <w:rsid w:val="009F772D"/>
    <w:rsid w:val="00A001A1"/>
    <w:rsid w:val="00A00B11"/>
    <w:rsid w:val="00A00D25"/>
    <w:rsid w:val="00A01128"/>
    <w:rsid w:val="00A04689"/>
    <w:rsid w:val="00A04CC6"/>
    <w:rsid w:val="00A05BEC"/>
    <w:rsid w:val="00A07706"/>
    <w:rsid w:val="00A07C7E"/>
    <w:rsid w:val="00A11E91"/>
    <w:rsid w:val="00A122CB"/>
    <w:rsid w:val="00A126CC"/>
    <w:rsid w:val="00A13905"/>
    <w:rsid w:val="00A15CDF"/>
    <w:rsid w:val="00A15DB8"/>
    <w:rsid w:val="00A16284"/>
    <w:rsid w:val="00A16945"/>
    <w:rsid w:val="00A202E6"/>
    <w:rsid w:val="00A2094C"/>
    <w:rsid w:val="00A20DB3"/>
    <w:rsid w:val="00A21D41"/>
    <w:rsid w:val="00A2225F"/>
    <w:rsid w:val="00A2418B"/>
    <w:rsid w:val="00A24458"/>
    <w:rsid w:val="00A244ED"/>
    <w:rsid w:val="00A251AC"/>
    <w:rsid w:val="00A25425"/>
    <w:rsid w:val="00A25590"/>
    <w:rsid w:val="00A2673B"/>
    <w:rsid w:val="00A2741E"/>
    <w:rsid w:val="00A277CA"/>
    <w:rsid w:val="00A27B6E"/>
    <w:rsid w:val="00A30733"/>
    <w:rsid w:val="00A30B24"/>
    <w:rsid w:val="00A30BF9"/>
    <w:rsid w:val="00A30CAC"/>
    <w:rsid w:val="00A31551"/>
    <w:rsid w:val="00A319A1"/>
    <w:rsid w:val="00A31BEA"/>
    <w:rsid w:val="00A32BD5"/>
    <w:rsid w:val="00A32CD8"/>
    <w:rsid w:val="00A33C89"/>
    <w:rsid w:val="00A33DCA"/>
    <w:rsid w:val="00A35008"/>
    <w:rsid w:val="00A3535D"/>
    <w:rsid w:val="00A35C05"/>
    <w:rsid w:val="00A35DDF"/>
    <w:rsid w:val="00A3776B"/>
    <w:rsid w:val="00A37ACD"/>
    <w:rsid w:val="00A40002"/>
    <w:rsid w:val="00A408D2"/>
    <w:rsid w:val="00A414AA"/>
    <w:rsid w:val="00A417E2"/>
    <w:rsid w:val="00A41A07"/>
    <w:rsid w:val="00A41D52"/>
    <w:rsid w:val="00A41FEA"/>
    <w:rsid w:val="00A42643"/>
    <w:rsid w:val="00A42EBE"/>
    <w:rsid w:val="00A45444"/>
    <w:rsid w:val="00A45526"/>
    <w:rsid w:val="00A45A04"/>
    <w:rsid w:val="00A45C63"/>
    <w:rsid w:val="00A4647E"/>
    <w:rsid w:val="00A4755C"/>
    <w:rsid w:val="00A478CD"/>
    <w:rsid w:val="00A5193A"/>
    <w:rsid w:val="00A52C1D"/>
    <w:rsid w:val="00A54657"/>
    <w:rsid w:val="00A54945"/>
    <w:rsid w:val="00A54C33"/>
    <w:rsid w:val="00A550A3"/>
    <w:rsid w:val="00A553E2"/>
    <w:rsid w:val="00A55B0E"/>
    <w:rsid w:val="00A565D2"/>
    <w:rsid w:val="00A57435"/>
    <w:rsid w:val="00A575E2"/>
    <w:rsid w:val="00A6065E"/>
    <w:rsid w:val="00A60776"/>
    <w:rsid w:val="00A60B48"/>
    <w:rsid w:val="00A60DCC"/>
    <w:rsid w:val="00A60F5B"/>
    <w:rsid w:val="00A61382"/>
    <w:rsid w:val="00A62D43"/>
    <w:rsid w:val="00A637C5"/>
    <w:rsid w:val="00A637CB"/>
    <w:rsid w:val="00A63D6A"/>
    <w:rsid w:val="00A655D1"/>
    <w:rsid w:val="00A665E5"/>
    <w:rsid w:val="00A66F37"/>
    <w:rsid w:val="00A670D4"/>
    <w:rsid w:val="00A67165"/>
    <w:rsid w:val="00A6743E"/>
    <w:rsid w:val="00A707AD"/>
    <w:rsid w:val="00A70AF1"/>
    <w:rsid w:val="00A70D67"/>
    <w:rsid w:val="00A715BB"/>
    <w:rsid w:val="00A71960"/>
    <w:rsid w:val="00A71AB0"/>
    <w:rsid w:val="00A71DE1"/>
    <w:rsid w:val="00A72D4F"/>
    <w:rsid w:val="00A73815"/>
    <w:rsid w:val="00A7482B"/>
    <w:rsid w:val="00A74995"/>
    <w:rsid w:val="00A75084"/>
    <w:rsid w:val="00A753F8"/>
    <w:rsid w:val="00A7555A"/>
    <w:rsid w:val="00A75B8E"/>
    <w:rsid w:val="00A75BBE"/>
    <w:rsid w:val="00A76358"/>
    <w:rsid w:val="00A76F07"/>
    <w:rsid w:val="00A77350"/>
    <w:rsid w:val="00A779EE"/>
    <w:rsid w:val="00A80238"/>
    <w:rsid w:val="00A8095C"/>
    <w:rsid w:val="00A80C2A"/>
    <w:rsid w:val="00A80F3D"/>
    <w:rsid w:val="00A81363"/>
    <w:rsid w:val="00A817BA"/>
    <w:rsid w:val="00A829B3"/>
    <w:rsid w:val="00A82E12"/>
    <w:rsid w:val="00A8445E"/>
    <w:rsid w:val="00A8477E"/>
    <w:rsid w:val="00A84B6E"/>
    <w:rsid w:val="00A8759B"/>
    <w:rsid w:val="00A90290"/>
    <w:rsid w:val="00A903CE"/>
    <w:rsid w:val="00A909EF"/>
    <w:rsid w:val="00A90F73"/>
    <w:rsid w:val="00A9141D"/>
    <w:rsid w:val="00A9192D"/>
    <w:rsid w:val="00A92273"/>
    <w:rsid w:val="00A92430"/>
    <w:rsid w:val="00A92680"/>
    <w:rsid w:val="00A92955"/>
    <w:rsid w:val="00A9318D"/>
    <w:rsid w:val="00A93BEE"/>
    <w:rsid w:val="00A93DA8"/>
    <w:rsid w:val="00A947E0"/>
    <w:rsid w:val="00A9510F"/>
    <w:rsid w:val="00A95369"/>
    <w:rsid w:val="00A9608A"/>
    <w:rsid w:val="00A96441"/>
    <w:rsid w:val="00A97221"/>
    <w:rsid w:val="00A97FA5"/>
    <w:rsid w:val="00AA00E9"/>
    <w:rsid w:val="00AA01A7"/>
    <w:rsid w:val="00AA02F5"/>
    <w:rsid w:val="00AA0719"/>
    <w:rsid w:val="00AA0720"/>
    <w:rsid w:val="00AA0F8A"/>
    <w:rsid w:val="00AA1999"/>
    <w:rsid w:val="00AA1D2C"/>
    <w:rsid w:val="00AA1E01"/>
    <w:rsid w:val="00AA2F93"/>
    <w:rsid w:val="00AA3479"/>
    <w:rsid w:val="00AA4D38"/>
    <w:rsid w:val="00AA4E57"/>
    <w:rsid w:val="00AA4EB6"/>
    <w:rsid w:val="00AA4FA9"/>
    <w:rsid w:val="00AA51ED"/>
    <w:rsid w:val="00AA570E"/>
    <w:rsid w:val="00AA5824"/>
    <w:rsid w:val="00AA6BEE"/>
    <w:rsid w:val="00AA7774"/>
    <w:rsid w:val="00AA7856"/>
    <w:rsid w:val="00AA7E5E"/>
    <w:rsid w:val="00AB0309"/>
    <w:rsid w:val="00AB0503"/>
    <w:rsid w:val="00AB0F1E"/>
    <w:rsid w:val="00AB0F83"/>
    <w:rsid w:val="00AB165A"/>
    <w:rsid w:val="00AB2137"/>
    <w:rsid w:val="00AB3087"/>
    <w:rsid w:val="00AB3258"/>
    <w:rsid w:val="00AB333A"/>
    <w:rsid w:val="00AB43B9"/>
    <w:rsid w:val="00AB50C1"/>
    <w:rsid w:val="00AB540E"/>
    <w:rsid w:val="00AB56E6"/>
    <w:rsid w:val="00AB57DA"/>
    <w:rsid w:val="00AB61EC"/>
    <w:rsid w:val="00AB67EE"/>
    <w:rsid w:val="00AC0129"/>
    <w:rsid w:val="00AC06C7"/>
    <w:rsid w:val="00AC207B"/>
    <w:rsid w:val="00AC29C6"/>
    <w:rsid w:val="00AC33D5"/>
    <w:rsid w:val="00AC36AD"/>
    <w:rsid w:val="00AC3F29"/>
    <w:rsid w:val="00AC3F93"/>
    <w:rsid w:val="00AC60D2"/>
    <w:rsid w:val="00AC6399"/>
    <w:rsid w:val="00AC6F53"/>
    <w:rsid w:val="00AD0663"/>
    <w:rsid w:val="00AD1249"/>
    <w:rsid w:val="00AD1322"/>
    <w:rsid w:val="00AD1A56"/>
    <w:rsid w:val="00AD2832"/>
    <w:rsid w:val="00AD2B8E"/>
    <w:rsid w:val="00AD319D"/>
    <w:rsid w:val="00AD3206"/>
    <w:rsid w:val="00AD3DD9"/>
    <w:rsid w:val="00AD4503"/>
    <w:rsid w:val="00AD47C6"/>
    <w:rsid w:val="00AD4A00"/>
    <w:rsid w:val="00AD4AEC"/>
    <w:rsid w:val="00AD4C1A"/>
    <w:rsid w:val="00AD515C"/>
    <w:rsid w:val="00AD65A2"/>
    <w:rsid w:val="00AD6693"/>
    <w:rsid w:val="00AD6F1A"/>
    <w:rsid w:val="00AD724B"/>
    <w:rsid w:val="00AD7901"/>
    <w:rsid w:val="00AE0608"/>
    <w:rsid w:val="00AE1861"/>
    <w:rsid w:val="00AE257D"/>
    <w:rsid w:val="00AE292F"/>
    <w:rsid w:val="00AE29AC"/>
    <w:rsid w:val="00AE2B0F"/>
    <w:rsid w:val="00AE3008"/>
    <w:rsid w:val="00AE3189"/>
    <w:rsid w:val="00AE3226"/>
    <w:rsid w:val="00AE42BA"/>
    <w:rsid w:val="00AE4A70"/>
    <w:rsid w:val="00AE4AF9"/>
    <w:rsid w:val="00AE4B8B"/>
    <w:rsid w:val="00AE51CD"/>
    <w:rsid w:val="00AE6D4F"/>
    <w:rsid w:val="00AE6E2D"/>
    <w:rsid w:val="00AF2071"/>
    <w:rsid w:val="00AF2813"/>
    <w:rsid w:val="00AF2C8B"/>
    <w:rsid w:val="00AF3640"/>
    <w:rsid w:val="00AF3D2C"/>
    <w:rsid w:val="00AF521A"/>
    <w:rsid w:val="00AF7197"/>
    <w:rsid w:val="00AF7772"/>
    <w:rsid w:val="00AF7D2A"/>
    <w:rsid w:val="00AF7FC3"/>
    <w:rsid w:val="00B0072A"/>
    <w:rsid w:val="00B00CED"/>
    <w:rsid w:val="00B00D2B"/>
    <w:rsid w:val="00B01562"/>
    <w:rsid w:val="00B02037"/>
    <w:rsid w:val="00B02482"/>
    <w:rsid w:val="00B025BB"/>
    <w:rsid w:val="00B03553"/>
    <w:rsid w:val="00B03718"/>
    <w:rsid w:val="00B03921"/>
    <w:rsid w:val="00B03FBB"/>
    <w:rsid w:val="00B041C9"/>
    <w:rsid w:val="00B04D3B"/>
    <w:rsid w:val="00B05668"/>
    <w:rsid w:val="00B06AA2"/>
    <w:rsid w:val="00B07010"/>
    <w:rsid w:val="00B0760E"/>
    <w:rsid w:val="00B10410"/>
    <w:rsid w:val="00B1084C"/>
    <w:rsid w:val="00B10895"/>
    <w:rsid w:val="00B10B9F"/>
    <w:rsid w:val="00B10FE0"/>
    <w:rsid w:val="00B125D1"/>
    <w:rsid w:val="00B12AEF"/>
    <w:rsid w:val="00B12E90"/>
    <w:rsid w:val="00B13406"/>
    <w:rsid w:val="00B136D1"/>
    <w:rsid w:val="00B1396F"/>
    <w:rsid w:val="00B13DB4"/>
    <w:rsid w:val="00B1589F"/>
    <w:rsid w:val="00B158B5"/>
    <w:rsid w:val="00B1707A"/>
    <w:rsid w:val="00B17BE0"/>
    <w:rsid w:val="00B200D9"/>
    <w:rsid w:val="00B2024C"/>
    <w:rsid w:val="00B204B3"/>
    <w:rsid w:val="00B2094C"/>
    <w:rsid w:val="00B2131A"/>
    <w:rsid w:val="00B21848"/>
    <w:rsid w:val="00B218EF"/>
    <w:rsid w:val="00B21C24"/>
    <w:rsid w:val="00B21C2A"/>
    <w:rsid w:val="00B21D45"/>
    <w:rsid w:val="00B2250E"/>
    <w:rsid w:val="00B232B1"/>
    <w:rsid w:val="00B23A22"/>
    <w:rsid w:val="00B2446B"/>
    <w:rsid w:val="00B24A3A"/>
    <w:rsid w:val="00B26A4B"/>
    <w:rsid w:val="00B27D5B"/>
    <w:rsid w:val="00B30182"/>
    <w:rsid w:val="00B3018E"/>
    <w:rsid w:val="00B3094E"/>
    <w:rsid w:val="00B30FD9"/>
    <w:rsid w:val="00B31695"/>
    <w:rsid w:val="00B31C70"/>
    <w:rsid w:val="00B31EAF"/>
    <w:rsid w:val="00B323B8"/>
    <w:rsid w:val="00B324ED"/>
    <w:rsid w:val="00B32EC6"/>
    <w:rsid w:val="00B33777"/>
    <w:rsid w:val="00B33B7D"/>
    <w:rsid w:val="00B34260"/>
    <w:rsid w:val="00B34537"/>
    <w:rsid w:val="00B352F3"/>
    <w:rsid w:val="00B35300"/>
    <w:rsid w:val="00B364CE"/>
    <w:rsid w:val="00B36D99"/>
    <w:rsid w:val="00B37014"/>
    <w:rsid w:val="00B3795C"/>
    <w:rsid w:val="00B37AC9"/>
    <w:rsid w:val="00B37B1B"/>
    <w:rsid w:val="00B4066D"/>
    <w:rsid w:val="00B41C15"/>
    <w:rsid w:val="00B41FC6"/>
    <w:rsid w:val="00B420C0"/>
    <w:rsid w:val="00B4215B"/>
    <w:rsid w:val="00B42630"/>
    <w:rsid w:val="00B427F9"/>
    <w:rsid w:val="00B42E1E"/>
    <w:rsid w:val="00B42F3D"/>
    <w:rsid w:val="00B43211"/>
    <w:rsid w:val="00B4362F"/>
    <w:rsid w:val="00B43930"/>
    <w:rsid w:val="00B439B7"/>
    <w:rsid w:val="00B43EEE"/>
    <w:rsid w:val="00B43F8D"/>
    <w:rsid w:val="00B4433C"/>
    <w:rsid w:val="00B4536D"/>
    <w:rsid w:val="00B466FA"/>
    <w:rsid w:val="00B46A40"/>
    <w:rsid w:val="00B46F38"/>
    <w:rsid w:val="00B47E04"/>
    <w:rsid w:val="00B50A43"/>
    <w:rsid w:val="00B50A81"/>
    <w:rsid w:val="00B51031"/>
    <w:rsid w:val="00B51E76"/>
    <w:rsid w:val="00B51EE2"/>
    <w:rsid w:val="00B5238A"/>
    <w:rsid w:val="00B525A9"/>
    <w:rsid w:val="00B52AF2"/>
    <w:rsid w:val="00B532B3"/>
    <w:rsid w:val="00B54FD3"/>
    <w:rsid w:val="00B55B98"/>
    <w:rsid w:val="00B56AF9"/>
    <w:rsid w:val="00B56CD6"/>
    <w:rsid w:val="00B57747"/>
    <w:rsid w:val="00B57BC2"/>
    <w:rsid w:val="00B57DB0"/>
    <w:rsid w:val="00B57FAC"/>
    <w:rsid w:val="00B6038F"/>
    <w:rsid w:val="00B61590"/>
    <w:rsid w:val="00B61C41"/>
    <w:rsid w:val="00B6296F"/>
    <w:rsid w:val="00B62F86"/>
    <w:rsid w:val="00B6365E"/>
    <w:rsid w:val="00B64F90"/>
    <w:rsid w:val="00B64FEC"/>
    <w:rsid w:val="00B657A0"/>
    <w:rsid w:val="00B65E07"/>
    <w:rsid w:val="00B66811"/>
    <w:rsid w:val="00B66EBC"/>
    <w:rsid w:val="00B67A5A"/>
    <w:rsid w:val="00B70189"/>
    <w:rsid w:val="00B70579"/>
    <w:rsid w:val="00B70857"/>
    <w:rsid w:val="00B71154"/>
    <w:rsid w:val="00B71368"/>
    <w:rsid w:val="00B72749"/>
    <w:rsid w:val="00B72CAD"/>
    <w:rsid w:val="00B72D62"/>
    <w:rsid w:val="00B72F63"/>
    <w:rsid w:val="00B733D0"/>
    <w:rsid w:val="00B74202"/>
    <w:rsid w:val="00B74545"/>
    <w:rsid w:val="00B74595"/>
    <w:rsid w:val="00B75C11"/>
    <w:rsid w:val="00B77683"/>
    <w:rsid w:val="00B80059"/>
    <w:rsid w:val="00B81078"/>
    <w:rsid w:val="00B81242"/>
    <w:rsid w:val="00B812F8"/>
    <w:rsid w:val="00B81489"/>
    <w:rsid w:val="00B8189A"/>
    <w:rsid w:val="00B818D7"/>
    <w:rsid w:val="00B82118"/>
    <w:rsid w:val="00B82A42"/>
    <w:rsid w:val="00B82EAC"/>
    <w:rsid w:val="00B8335B"/>
    <w:rsid w:val="00B83545"/>
    <w:rsid w:val="00B83D02"/>
    <w:rsid w:val="00B84791"/>
    <w:rsid w:val="00B84853"/>
    <w:rsid w:val="00B849BF"/>
    <w:rsid w:val="00B8529B"/>
    <w:rsid w:val="00B859B4"/>
    <w:rsid w:val="00B859CC"/>
    <w:rsid w:val="00B85CB7"/>
    <w:rsid w:val="00B86599"/>
    <w:rsid w:val="00B86646"/>
    <w:rsid w:val="00B86665"/>
    <w:rsid w:val="00B90CCE"/>
    <w:rsid w:val="00B9175E"/>
    <w:rsid w:val="00B91966"/>
    <w:rsid w:val="00B93CC4"/>
    <w:rsid w:val="00B94344"/>
    <w:rsid w:val="00B947B6"/>
    <w:rsid w:val="00B9492B"/>
    <w:rsid w:val="00B94F01"/>
    <w:rsid w:val="00B952D4"/>
    <w:rsid w:val="00B9551B"/>
    <w:rsid w:val="00B956B1"/>
    <w:rsid w:val="00B95808"/>
    <w:rsid w:val="00B963E6"/>
    <w:rsid w:val="00B96959"/>
    <w:rsid w:val="00B975A4"/>
    <w:rsid w:val="00BA0204"/>
    <w:rsid w:val="00BA0C13"/>
    <w:rsid w:val="00BA0D2F"/>
    <w:rsid w:val="00BA11BE"/>
    <w:rsid w:val="00BA1210"/>
    <w:rsid w:val="00BA13F2"/>
    <w:rsid w:val="00BA2122"/>
    <w:rsid w:val="00BA274D"/>
    <w:rsid w:val="00BA3C04"/>
    <w:rsid w:val="00BA4046"/>
    <w:rsid w:val="00BA42A0"/>
    <w:rsid w:val="00BA4398"/>
    <w:rsid w:val="00BA47BF"/>
    <w:rsid w:val="00BA4D9A"/>
    <w:rsid w:val="00BA54D1"/>
    <w:rsid w:val="00BA6027"/>
    <w:rsid w:val="00BA6458"/>
    <w:rsid w:val="00BA686F"/>
    <w:rsid w:val="00BA6A71"/>
    <w:rsid w:val="00BA7442"/>
    <w:rsid w:val="00BA7880"/>
    <w:rsid w:val="00BB2513"/>
    <w:rsid w:val="00BB4A38"/>
    <w:rsid w:val="00BB4BBA"/>
    <w:rsid w:val="00BB4D8D"/>
    <w:rsid w:val="00BB4E96"/>
    <w:rsid w:val="00BB568F"/>
    <w:rsid w:val="00BB57D3"/>
    <w:rsid w:val="00BB59E9"/>
    <w:rsid w:val="00BB5A96"/>
    <w:rsid w:val="00BB5C97"/>
    <w:rsid w:val="00BB5EA9"/>
    <w:rsid w:val="00BB60B3"/>
    <w:rsid w:val="00BB7DA1"/>
    <w:rsid w:val="00BC0EAD"/>
    <w:rsid w:val="00BC14D4"/>
    <w:rsid w:val="00BC18CD"/>
    <w:rsid w:val="00BC1EF0"/>
    <w:rsid w:val="00BC2381"/>
    <w:rsid w:val="00BC34C9"/>
    <w:rsid w:val="00BC457C"/>
    <w:rsid w:val="00BC4F70"/>
    <w:rsid w:val="00BC50B4"/>
    <w:rsid w:val="00BC5890"/>
    <w:rsid w:val="00BC7AB6"/>
    <w:rsid w:val="00BD214E"/>
    <w:rsid w:val="00BD3C14"/>
    <w:rsid w:val="00BD4288"/>
    <w:rsid w:val="00BD4569"/>
    <w:rsid w:val="00BD4AC8"/>
    <w:rsid w:val="00BD4CB4"/>
    <w:rsid w:val="00BD50EF"/>
    <w:rsid w:val="00BD5790"/>
    <w:rsid w:val="00BD58BC"/>
    <w:rsid w:val="00BD5CA2"/>
    <w:rsid w:val="00BD67B7"/>
    <w:rsid w:val="00BD6A32"/>
    <w:rsid w:val="00BD6E25"/>
    <w:rsid w:val="00BD6F6C"/>
    <w:rsid w:val="00BD7301"/>
    <w:rsid w:val="00BD74EF"/>
    <w:rsid w:val="00BE030D"/>
    <w:rsid w:val="00BE0EDD"/>
    <w:rsid w:val="00BE133D"/>
    <w:rsid w:val="00BE1F24"/>
    <w:rsid w:val="00BE23F2"/>
    <w:rsid w:val="00BE271A"/>
    <w:rsid w:val="00BE3406"/>
    <w:rsid w:val="00BE3780"/>
    <w:rsid w:val="00BE3BA4"/>
    <w:rsid w:val="00BE3C15"/>
    <w:rsid w:val="00BE417C"/>
    <w:rsid w:val="00BE4A64"/>
    <w:rsid w:val="00BE4B68"/>
    <w:rsid w:val="00BE53B0"/>
    <w:rsid w:val="00BE5549"/>
    <w:rsid w:val="00BE5994"/>
    <w:rsid w:val="00BE5F58"/>
    <w:rsid w:val="00BE67DE"/>
    <w:rsid w:val="00BE72C0"/>
    <w:rsid w:val="00BF0196"/>
    <w:rsid w:val="00BF1569"/>
    <w:rsid w:val="00BF1F08"/>
    <w:rsid w:val="00BF28A5"/>
    <w:rsid w:val="00BF33DF"/>
    <w:rsid w:val="00BF42ED"/>
    <w:rsid w:val="00BF45C7"/>
    <w:rsid w:val="00BF5114"/>
    <w:rsid w:val="00BF540A"/>
    <w:rsid w:val="00BF5BB3"/>
    <w:rsid w:val="00BF7D1C"/>
    <w:rsid w:val="00C002E4"/>
    <w:rsid w:val="00C01173"/>
    <w:rsid w:val="00C02010"/>
    <w:rsid w:val="00C02145"/>
    <w:rsid w:val="00C02334"/>
    <w:rsid w:val="00C0278F"/>
    <w:rsid w:val="00C02E26"/>
    <w:rsid w:val="00C03B00"/>
    <w:rsid w:val="00C04396"/>
    <w:rsid w:val="00C04890"/>
    <w:rsid w:val="00C04CB5"/>
    <w:rsid w:val="00C05457"/>
    <w:rsid w:val="00C05812"/>
    <w:rsid w:val="00C05B6B"/>
    <w:rsid w:val="00C07E2F"/>
    <w:rsid w:val="00C10F5A"/>
    <w:rsid w:val="00C11B15"/>
    <w:rsid w:val="00C11DD1"/>
    <w:rsid w:val="00C120D2"/>
    <w:rsid w:val="00C12175"/>
    <w:rsid w:val="00C121B0"/>
    <w:rsid w:val="00C122DC"/>
    <w:rsid w:val="00C12411"/>
    <w:rsid w:val="00C12AE8"/>
    <w:rsid w:val="00C12DCF"/>
    <w:rsid w:val="00C12FF0"/>
    <w:rsid w:val="00C13460"/>
    <w:rsid w:val="00C13735"/>
    <w:rsid w:val="00C139E2"/>
    <w:rsid w:val="00C13A7D"/>
    <w:rsid w:val="00C13CF0"/>
    <w:rsid w:val="00C1423D"/>
    <w:rsid w:val="00C14590"/>
    <w:rsid w:val="00C14B11"/>
    <w:rsid w:val="00C14C6E"/>
    <w:rsid w:val="00C14F18"/>
    <w:rsid w:val="00C14FB6"/>
    <w:rsid w:val="00C16126"/>
    <w:rsid w:val="00C1632B"/>
    <w:rsid w:val="00C1647F"/>
    <w:rsid w:val="00C164AB"/>
    <w:rsid w:val="00C16604"/>
    <w:rsid w:val="00C16655"/>
    <w:rsid w:val="00C1672B"/>
    <w:rsid w:val="00C1756A"/>
    <w:rsid w:val="00C1764F"/>
    <w:rsid w:val="00C17DC7"/>
    <w:rsid w:val="00C2186B"/>
    <w:rsid w:val="00C219E6"/>
    <w:rsid w:val="00C222A9"/>
    <w:rsid w:val="00C22773"/>
    <w:rsid w:val="00C22864"/>
    <w:rsid w:val="00C22913"/>
    <w:rsid w:val="00C22BCA"/>
    <w:rsid w:val="00C22BF0"/>
    <w:rsid w:val="00C23595"/>
    <w:rsid w:val="00C23656"/>
    <w:rsid w:val="00C23B81"/>
    <w:rsid w:val="00C242D0"/>
    <w:rsid w:val="00C24F88"/>
    <w:rsid w:val="00C25296"/>
    <w:rsid w:val="00C2564A"/>
    <w:rsid w:val="00C25969"/>
    <w:rsid w:val="00C260BA"/>
    <w:rsid w:val="00C26210"/>
    <w:rsid w:val="00C26868"/>
    <w:rsid w:val="00C26EF7"/>
    <w:rsid w:val="00C279F0"/>
    <w:rsid w:val="00C3017D"/>
    <w:rsid w:val="00C3021C"/>
    <w:rsid w:val="00C31848"/>
    <w:rsid w:val="00C31A12"/>
    <w:rsid w:val="00C31C0B"/>
    <w:rsid w:val="00C32141"/>
    <w:rsid w:val="00C32C51"/>
    <w:rsid w:val="00C344DD"/>
    <w:rsid w:val="00C346C5"/>
    <w:rsid w:val="00C353C5"/>
    <w:rsid w:val="00C3572E"/>
    <w:rsid w:val="00C358A2"/>
    <w:rsid w:val="00C36165"/>
    <w:rsid w:val="00C36B56"/>
    <w:rsid w:val="00C375F7"/>
    <w:rsid w:val="00C37F14"/>
    <w:rsid w:val="00C401F0"/>
    <w:rsid w:val="00C4027A"/>
    <w:rsid w:val="00C40712"/>
    <w:rsid w:val="00C40D8C"/>
    <w:rsid w:val="00C414D5"/>
    <w:rsid w:val="00C42503"/>
    <w:rsid w:val="00C43961"/>
    <w:rsid w:val="00C43AF6"/>
    <w:rsid w:val="00C444FE"/>
    <w:rsid w:val="00C44EBE"/>
    <w:rsid w:val="00C44FBC"/>
    <w:rsid w:val="00C4648F"/>
    <w:rsid w:val="00C478D0"/>
    <w:rsid w:val="00C47D2D"/>
    <w:rsid w:val="00C47F16"/>
    <w:rsid w:val="00C502AE"/>
    <w:rsid w:val="00C509D6"/>
    <w:rsid w:val="00C50CF2"/>
    <w:rsid w:val="00C50D65"/>
    <w:rsid w:val="00C51310"/>
    <w:rsid w:val="00C52829"/>
    <w:rsid w:val="00C5282A"/>
    <w:rsid w:val="00C52A78"/>
    <w:rsid w:val="00C55A17"/>
    <w:rsid w:val="00C55A3C"/>
    <w:rsid w:val="00C56208"/>
    <w:rsid w:val="00C56833"/>
    <w:rsid w:val="00C56F69"/>
    <w:rsid w:val="00C577E6"/>
    <w:rsid w:val="00C57845"/>
    <w:rsid w:val="00C57CFC"/>
    <w:rsid w:val="00C57DB4"/>
    <w:rsid w:val="00C60343"/>
    <w:rsid w:val="00C6061E"/>
    <w:rsid w:val="00C611E8"/>
    <w:rsid w:val="00C613BB"/>
    <w:rsid w:val="00C62080"/>
    <w:rsid w:val="00C631E2"/>
    <w:rsid w:val="00C63701"/>
    <w:rsid w:val="00C63D67"/>
    <w:rsid w:val="00C64A92"/>
    <w:rsid w:val="00C6592B"/>
    <w:rsid w:val="00C65F68"/>
    <w:rsid w:val="00C66050"/>
    <w:rsid w:val="00C66770"/>
    <w:rsid w:val="00C66A42"/>
    <w:rsid w:val="00C671B3"/>
    <w:rsid w:val="00C671BC"/>
    <w:rsid w:val="00C67278"/>
    <w:rsid w:val="00C67FAE"/>
    <w:rsid w:val="00C702F1"/>
    <w:rsid w:val="00C709F4"/>
    <w:rsid w:val="00C71A41"/>
    <w:rsid w:val="00C71ECA"/>
    <w:rsid w:val="00C722CC"/>
    <w:rsid w:val="00C72E79"/>
    <w:rsid w:val="00C739B5"/>
    <w:rsid w:val="00C73AFF"/>
    <w:rsid w:val="00C74176"/>
    <w:rsid w:val="00C7475E"/>
    <w:rsid w:val="00C74986"/>
    <w:rsid w:val="00C74D0D"/>
    <w:rsid w:val="00C74EE0"/>
    <w:rsid w:val="00C754EF"/>
    <w:rsid w:val="00C7578F"/>
    <w:rsid w:val="00C75CAD"/>
    <w:rsid w:val="00C765B3"/>
    <w:rsid w:val="00C7683B"/>
    <w:rsid w:val="00C77812"/>
    <w:rsid w:val="00C810A2"/>
    <w:rsid w:val="00C81228"/>
    <w:rsid w:val="00C8251C"/>
    <w:rsid w:val="00C83BD9"/>
    <w:rsid w:val="00C83E64"/>
    <w:rsid w:val="00C840FB"/>
    <w:rsid w:val="00C84D8B"/>
    <w:rsid w:val="00C84FE2"/>
    <w:rsid w:val="00C85286"/>
    <w:rsid w:val="00C863CE"/>
    <w:rsid w:val="00C86931"/>
    <w:rsid w:val="00C86F10"/>
    <w:rsid w:val="00C86F6F"/>
    <w:rsid w:val="00C8752C"/>
    <w:rsid w:val="00C87697"/>
    <w:rsid w:val="00C87D80"/>
    <w:rsid w:val="00C901B3"/>
    <w:rsid w:val="00C91D16"/>
    <w:rsid w:val="00C91EA0"/>
    <w:rsid w:val="00C921E8"/>
    <w:rsid w:val="00C922D7"/>
    <w:rsid w:val="00C92A7F"/>
    <w:rsid w:val="00C92BBC"/>
    <w:rsid w:val="00C92D2C"/>
    <w:rsid w:val="00C92D5E"/>
    <w:rsid w:val="00C93783"/>
    <w:rsid w:val="00C954A0"/>
    <w:rsid w:val="00C9581C"/>
    <w:rsid w:val="00C959E4"/>
    <w:rsid w:val="00C95A40"/>
    <w:rsid w:val="00C97AE9"/>
    <w:rsid w:val="00C97D7A"/>
    <w:rsid w:val="00C97FA4"/>
    <w:rsid w:val="00CA2383"/>
    <w:rsid w:val="00CA3620"/>
    <w:rsid w:val="00CA388B"/>
    <w:rsid w:val="00CA3BFE"/>
    <w:rsid w:val="00CA42DB"/>
    <w:rsid w:val="00CA4E7F"/>
    <w:rsid w:val="00CA6E28"/>
    <w:rsid w:val="00CA777B"/>
    <w:rsid w:val="00CA7AC6"/>
    <w:rsid w:val="00CA7CD1"/>
    <w:rsid w:val="00CB007E"/>
    <w:rsid w:val="00CB0149"/>
    <w:rsid w:val="00CB091B"/>
    <w:rsid w:val="00CB1691"/>
    <w:rsid w:val="00CB1C9B"/>
    <w:rsid w:val="00CB248E"/>
    <w:rsid w:val="00CB2B2E"/>
    <w:rsid w:val="00CB2C3F"/>
    <w:rsid w:val="00CB2C8C"/>
    <w:rsid w:val="00CB2EEC"/>
    <w:rsid w:val="00CB4172"/>
    <w:rsid w:val="00CB4D42"/>
    <w:rsid w:val="00CB4F8D"/>
    <w:rsid w:val="00CB5EC2"/>
    <w:rsid w:val="00CB5FAF"/>
    <w:rsid w:val="00CB7020"/>
    <w:rsid w:val="00CB70EB"/>
    <w:rsid w:val="00CB77B1"/>
    <w:rsid w:val="00CC0222"/>
    <w:rsid w:val="00CC10F2"/>
    <w:rsid w:val="00CC159E"/>
    <w:rsid w:val="00CC190E"/>
    <w:rsid w:val="00CC1C68"/>
    <w:rsid w:val="00CC1EC5"/>
    <w:rsid w:val="00CC1F42"/>
    <w:rsid w:val="00CC2507"/>
    <w:rsid w:val="00CC3695"/>
    <w:rsid w:val="00CC3726"/>
    <w:rsid w:val="00CC39B7"/>
    <w:rsid w:val="00CC3B0A"/>
    <w:rsid w:val="00CC4405"/>
    <w:rsid w:val="00CC44EF"/>
    <w:rsid w:val="00CC4501"/>
    <w:rsid w:val="00CC4870"/>
    <w:rsid w:val="00CC53BC"/>
    <w:rsid w:val="00CC5904"/>
    <w:rsid w:val="00CC5AB7"/>
    <w:rsid w:val="00CC6901"/>
    <w:rsid w:val="00CC69BB"/>
    <w:rsid w:val="00CC6E13"/>
    <w:rsid w:val="00CC713B"/>
    <w:rsid w:val="00CC7543"/>
    <w:rsid w:val="00CC78F0"/>
    <w:rsid w:val="00CC7CBB"/>
    <w:rsid w:val="00CC7ED2"/>
    <w:rsid w:val="00CC7FF6"/>
    <w:rsid w:val="00CD1299"/>
    <w:rsid w:val="00CD16D8"/>
    <w:rsid w:val="00CD1824"/>
    <w:rsid w:val="00CD2E33"/>
    <w:rsid w:val="00CD2F15"/>
    <w:rsid w:val="00CD3726"/>
    <w:rsid w:val="00CD4A43"/>
    <w:rsid w:val="00CD4C29"/>
    <w:rsid w:val="00CD5584"/>
    <w:rsid w:val="00CD59B0"/>
    <w:rsid w:val="00CD68AB"/>
    <w:rsid w:val="00CD75A6"/>
    <w:rsid w:val="00CD7E1A"/>
    <w:rsid w:val="00CD7FCC"/>
    <w:rsid w:val="00CE0B2D"/>
    <w:rsid w:val="00CE2466"/>
    <w:rsid w:val="00CE24D0"/>
    <w:rsid w:val="00CE28C4"/>
    <w:rsid w:val="00CE2F44"/>
    <w:rsid w:val="00CE56B5"/>
    <w:rsid w:val="00CE5F23"/>
    <w:rsid w:val="00CE609C"/>
    <w:rsid w:val="00CE698F"/>
    <w:rsid w:val="00CF09A1"/>
    <w:rsid w:val="00CF24F8"/>
    <w:rsid w:val="00CF3711"/>
    <w:rsid w:val="00CF392B"/>
    <w:rsid w:val="00CF419E"/>
    <w:rsid w:val="00CF4719"/>
    <w:rsid w:val="00CF4A92"/>
    <w:rsid w:val="00CF627C"/>
    <w:rsid w:val="00CF6281"/>
    <w:rsid w:val="00CF6C3E"/>
    <w:rsid w:val="00CF6DC1"/>
    <w:rsid w:val="00CF6FB6"/>
    <w:rsid w:val="00CF7134"/>
    <w:rsid w:val="00CF773B"/>
    <w:rsid w:val="00D00AFE"/>
    <w:rsid w:val="00D00D84"/>
    <w:rsid w:val="00D018A1"/>
    <w:rsid w:val="00D01CF9"/>
    <w:rsid w:val="00D01D61"/>
    <w:rsid w:val="00D02463"/>
    <w:rsid w:val="00D02756"/>
    <w:rsid w:val="00D0344B"/>
    <w:rsid w:val="00D036AA"/>
    <w:rsid w:val="00D0421F"/>
    <w:rsid w:val="00D04912"/>
    <w:rsid w:val="00D04B96"/>
    <w:rsid w:val="00D0508F"/>
    <w:rsid w:val="00D05248"/>
    <w:rsid w:val="00D052D7"/>
    <w:rsid w:val="00D05594"/>
    <w:rsid w:val="00D05C61"/>
    <w:rsid w:val="00D0651D"/>
    <w:rsid w:val="00D06F53"/>
    <w:rsid w:val="00D07534"/>
    <w:rsid w:val="00D078F2"/>
    <w:rsid w:val="00D07C64"/>
    <w:rsid w:val="00D10D3E"/>
    <w:rsid w:val="00D11880"/>
    <w:rsid w:val="00D13702"/>
    <w:rsid w:val="00D138AD"/>
    <w:rsid w:val="00D1442C"/>
    <w:rsid w:val="00D158AF"/>
    <w:rsid w:val="00D15A6E"/>
    <w:rsid w:val="00D15BA6"/>
    <w:rsid w:val="00D160A7"/>
    <w:rsid w:val="00D1649B"/>
    <w:rsid w:val="00D167B4"/>
    <w:rsid w:val="00D16F2E"/>
    <w:rsid w:val="00D17CCD"/>
    <w:rsid w:val="00D20065"/>
    <w:rsid w:val="00D20C38"/>
    <w:rsid w:val="00D20DA0"/>
    <w:rsid w:val="00D21839"/>
    <w:rsid w:val="00D21E33"/>
    <w:rsid w:val="00D22265"/>
    <w:rsid w:val="00D22BD2"/>
    <w:rsid w:val="00D2343B"/>
    <w:rsid w:val="00D236B9"/>
    <w:rsid w:val="00D23D78"/>
    <w:rsid w:val="00D2461F"/>
    <w:rsid w:val="00D24AA4"/>
    <w:rsid w:val="00D24BF7"/>
    <w:rsid w:val="00D24F05"/>
    <w:rsid w:val="00D25CAD"/>
    <w:rsid w:val="00D25F9F"/>
    <w:rsid w:val="00D26498"/>
    <w:rsid w:val="00D26E16"/>
    <w:rsid w:val="00D26F8A"/>
    <w:rsid w:val="00D2746F"/>
    <w:rsid w:val="00D275BC"/>
    <w:rsid w:val="00D300EA"/>
    <w:rsid w:val="00D301F2"/>
    <w:rsid w:val="00D304D8"/>
    <w:rsid w:val="00D316BB"/>
    <w:rsid w:val="00D328F4"/>
    <w:rsid w:val="00D32AC3"/>
    <w:rsid w:val="00D3308C"/>
    <w:rsid w:val="00D3340B"/>
    <w:rsid w:val="00D33C12"/>
    <w:rsid w:val="00D345AB"/>
    <w:rsid w:val="00D34BA6"/>
    <w:rsid w:val="00D34DAA"/>
    <w:rsid w:val="00D35785"/>
    <w:rsid w:val="00D35B2A"/>
    <w:rsid w:val="00D36A17"/>
    <w:rsid w:val="00D36BF8"/>
    <w:rsid w:val="00D37F7C"/>
    <w:rsid w:val="00D4062F"/>
    <w:rsid w:val="00D408D1"/>
    <w:rsid w:val="00D40CBC"/>
    <w:rsid w:val="00D4139E"/>
    <w:rsid w:val="00D413BA"/>
    <w:rsid w:val="00D41515"/>
    <w:rsid w:val="00D41590"/>
    <w:rsid w:val="00D4165F"/>
    <w:rsid w:val="00D41956"/>
    <w:rsid w:val="00D421B2"/>
    <w:rsid w:val="00D43E24"/>
    <w:rsid w:val="00D4406E"/>
    <w:rsid w:val="00D44AFC"/>
    <w:rsid w:val="00D456E1"/>
    <w:rsid w:val="00D45909"/>
    <w:rsid w:val="00D45DC1"/>
    <w:rsid w:val="00D467F2"/>
    <w:rsid w:val="00D4697E"/>
    <w:rsid w:val="00D46C82"/>
    <w:rsid w:val="00D47361"/>
    <w:rsid w:val="00D47DF1"/>
    <w:rsid w:val="00D47EDE"/>
    <w:rsid w:val="00D50865"/>
    <w:rsid w:val="00D513F8"/>
    <w:rsid w:val="00D521B7"/>
    <w:rsid w:val="00D526B9"/>
    <w:rsid w:val="00D52F29"/>
    <w:rsid w:val="00D537E0"/>
    <w:rsid w:val="00D542CE"/>
    <w:rsid w:val="00D54891"/>
    <w:rsid w:val="00D54B9B"/>
    <w:rsid w:val="00D54BE5"/>
    <w:rsid w:val="00D5519C"/>
    <w:rsid w:val="00D55247"/>
    <w:rsid w:val="00D5533C"/>
    <w:rsid w:val="00D55808"/>
    <w:rsid w:val="00D55857"/>
    <w:rsid w:val="00D558A7"/>
    <w:rsid w:val="00D558E5"/>
    <w:rsid w:val="00D55C84"/>
    <w:rsid w:val="00D56240"/>
    <w:rsid w:val="00D57FDF"/>
    <w:rsid w:val="00D60075"/>
    <w:rsid w:val="00D61313"/>
    <w:rsid w:val="00D61866"/>
    <w:rsid w:val="00D61B05"/>
    <w:rsid w:val="00D61C5B"/>
    <w:rsid w:val="00D61E03"/>
    <w:rsid w:val="00D622DA"/>
    <w:rsid w:val="00D62664"/>
    <w:rsid w:val="00D62A6E"/>
    <w:rsid w:val="00D62FDD"/>
    <w:rsid w:val="00D644DD"/>
    <w:rsid w:val="00D64D31"/>
    <w:rsid w:val="00D65FAF"/>
    <w:rsid w:val="00D66034"/>
    <w:rsid w:val="00D66529"/>
    <w:rsid w:val="00D66617"/>
    <w:rsid w:val="00D6682C"/>
    <w:rsid w:val="00D669D6"/>
    <w:rsid w:val="00D66CA2"/>
    <w:rsid w:val="00D67836"/>
    <w:rsid w:val="00D701BD"/>
    <w:rsid w:val="00D707BE"/>
    <w:rsid w:val="00D71398"/>
    <w:rsid w:val="00D71A98"/>
    <w:rsid w:val="00D71AED"/>
    <w:rsid w:val="00D71B31"/>
    <w:rsid w:val="00D71F29"/>
    <w:rsid w:val="00D7248E"/>
    <w:rsid w:val="00D724B4"/>
    <w:rsid w:val="00D72740"/>
    <w:rsid w:val="00D744C4"/>
    <w:rsid w:val="00D7495E"/>
    <w:rsid w:val="00D75061"/>
    <w:rsid w:val="00D750D7"/>
    <w:rsid w:val="00D75BD4"/>
    <w:rsid w:val="00D7621F"/>
    <w:rsid w:val="00D763E0"/>
    <w:rsid w:val="00D7756F"/>
    <w:rsid w:val="00D77F10"/>
    <w:rsid w:val="00D81526"/>
    <w:rsid w:val="00D81735"/>
    <w:rsid w:val="00D817DB"/>
    <w:rsid w:val="00D81B0D"/>
    <w:rsid w:val="00D8341B"/>
    <w:rsid w:val="00D83A8B"/>
    <w:rsid w:val="00D83C83"/>
    <w:rsid w:val="00D86155"/>
    <w:rsid w:val="00D86821"/>
    <w:rsid w:val="00D87672"/>
    <w:rsid w:val="00D877DE"/>
    <w:rsid w:val="00D90BF2"/>
    <w:rsid w:val="00D91173"/>
    <w:rsid w:val="00D92896"/>
    <w:rsid w:val="00D92955"/>
    <w:rsid w:val="00D93006"/>
    <w:rsid w:val="00D93C47"/>
    <w:rsid w:val="00D94286"/>
    <w:rsid w:val="00D94931"/>
    <w:rsid w:val="00D94F3C"/>
    <w:rsid w:val="00D96A77"/>
    <w:rsid w:val="00D96C41"/>
    <w:rsid w:val="00D971FE"/>
    <w:rsid w:val="00D97D85"/>
    <w:rsid w:val="00DA093F"/>
    <w:rsid w:val="00DA1C45"/>
    <w:rsid w:val="00DA2C2B"/>
    <w:rsid w:val="00DA2C47"/>
    <w:rsid w:val="00DA36AE"/>
    <w:rsid w:val="00DA37CA"/>
    <w:rsid w:val="00DA3837"/>
    <w:rsid w:val="00DA3BEF"/>
    <w:rsid w:val="00DA45D2"/>
    <w:rsid w:val="00DA491C"/>
    <w:rsid w:val="00DA49AB"/>
    <w:rsid w:val="00DA4C81"/>
    <w:rsid w:val="00DA50D1"/>
    <w:rsid w:val="00DA656E"/>
    <w:rsid w:val="00DA7B69"/>
    <w:rsid w:val="00DB012F"/>
    <w:rsid w:val="00DB069F"/>
    <w:rsid w:val="00DB1250"/>
    <w:rsid w:val="00DB1EF9"/>
    <w:rsid w:val="00DB245E"/>
    <w:rsid w:val="00DB2BA0"/>
    <w:rsid w:val="00DB2EC8"/>
    <w:rsid w:val="00DB3FD8"/>
    <w:rsid w:val="00DB4514"/>
    <w:rsid w:val="00DB4738"/>
    <w:rsid w:val="00DB4801"/>
    <w:rsid w:val="00DB4FF7"/>
    <w:rsid w:val="00DB66BC"/>
    <w:rsid w:val="00DC0092"/>
    <w:rsid w:val="00DC02DB"/>
    <w:rsid w:val="00DC054D"/>
    <w:rsid w:val="00DC064A"/>
    <w:rsid w:val="00DC0A79"/>
    <w:rsid w:val="00DC12C5"/>
    <w:rsid w:val="00DC14DE"/>
    <w:rsid w:val="00DC1D82"/>
    <w:rsid w:val="00DC225C"/>
    <w:rsid w:val="00DC245F"/>
    <w:rsid w:val="00DC2E44"/>
    <w:rsid w:val="00DC38B1"/>
    <w:rsid w:val="00DC3F70"/>
    <w:rsid w:val="00DC5DE5"/>
    <w:rsid w:val="00DC5FC1"/>
    <w:rsid w:val="00DC6430"/>
    <w:rsid w:val="00DC6EF3"/>
    <w:rsid w:val="00DC776F"/>
    <w:rsid w:val="00DC79FC"/>
    <w:rsid w:val="00DC7DA2"/>
    <w:rsid w:val="00DD1501"/>
    <w:rsid w:val="00DD19C3"/>
    <w:rsid w:val="00DD1AA9"/>
    <w:rsid w:val="00DD1EF7"/>
    <w:rsid w:val="00DD20E0"/>
    <w:rsid w:val="00DD2AE8"/>
    <w:rsid w:val="00DD3B71"/>
    <w:rsid w:val="00DD3FBD"/>
    <w:rsid w:val="00DD4749"/>
    <w:rsid w:val="00DD53E4"/>
    <w:rsid w:val="00DD5668"/>
    <w:rsid w:val="00DD5962"/>
    <w:rsid w:val="00DD60EE"/>
    <w:rsid w:val="00DD65F4"/>
    <w:rsid w:val="00DD6E49"/>
    <w:rsid w:val="00DD6FF5"/>
    <w:rsid w:val="00DD7278"/>
    <w:rsid w:val="00DE0D65"/>
    <w:rsid w:val="00DE243A"/>
    <w:rsid w:val="00DE3274"/>
    <w:rsid w:val="00DE48A9"/>
    <w:rsid w:val="00DE50D1"/>
    <w:rsid w:val="00DE5680"/>
    <w:rsid w:val="00DE5E87"/>
    <w:rsid w:val="00DE61DD"/>
    <w:rsid w:val="00DE6911"/>
    <w:rsid w:val="00DE6E5C"/>
    <w:rsid w:val="00DE72CF"/>
    <w:rsid w:val="00DE73A6"/>
    <w:rsid w:val="00DE7706"/>
    <w:rsid w:val="00DE78DE"/>
    <w:rsid w:val="00DE7DE9"/>
    <w:rsid w:val="00DF031D"/>
    <w:rsid w:val="00DF0996"/>
    <w:rsid w:val="00DF11A4"/>
    <w:rsid w:val="00DF16AA"/>
    <w:rsid w:val="00DF16EA"/>
    <w:rsid w:val="00DF176D"/>
    <w:rsid w:val="00DF1EE7"/>
    <w:rsid w:val="00DF20A8"/>
    <w:rsid w:val="00DF247F"/>
    <w:rsid w:val="00DF2AD7"/>
    <w:rsid w:val="00DF2FFA"/>
    <w:rsid w:val="00DF4026"/>
    <w:rsid w:val="00DF4442"/>
    <w:rsid w:val="00DF4BC9"/>
    <w:rsid w:val="00DF4D58"/>
    <w:rsid w:val="00DF61CD"/>
    <w:rsid w:val="00DF6746"/>
    <w:rsid w:val="00DF6ED7"/>
    <w:rsid w:val="00DF72A4"/>
    <w:rsid w:val="00DF798B"/>
    <w:rsid w:val="00E0129E"/>
    <w:rsid w:val="00E016D1"/>
    <w:rsid w:val="00E022DD"/>
    <w:rsid w:val="00E0244A"/>
    <w:rsid w:val="00E02761"/>
    <w:rsid w:val="00E027E8"/>
    <w:rsid w:val="00E02A48"/>
    <w:rsid w:val="00E02BCF"/>
    <w:rsid w:val="00E039CA"/>
    <w:rsid w:val="00E03D46"/>
    <w:rsid w:val="00E050E2"/>
    <w:rsid w:val="00E0577E"/>
    <w:rsid w:val="00E05A47"/>
    <w:rsid w:val="00E05C18"/>
    <w:rsid w:val="00E06151"/>
    <w:rsid w:val="00E068BB"/>
    <w:rsid w:val="00E06927"/>
    <w:rsid w:val="00E077AD"/>
    <w:rsid w:val="00E07F97"/>
    <w:rsid w:val="00E101C8"/>
    <w:rsid w:val="00E1084B"/>
    <w:rsid w:val="00E11355"/>
    <w:rsid w:val="00E11D15"/>
    <w:rsid w:val="00E11D21"/>
    <w:rsid w:val="00E12376"/>
    <w:rsid w:val="00E12AF7"/>
    <w:rsid w:val="00E12FB6"/>
    <w:rsid w:val="00E13385"/>
    <w:rsid w:val="00E13C6A"/>
    <w:rsid w:val="00E14B4E"/>
    <w:rsid w:val="00E14D82"/>
    <w:rsid w:val="00E150A6"/>
    <w:rsid w:val="00E151DE"/>
    <w:rsid w:val="00E17AB8"/>
    <w:rsid w:val="00E208EA"/>
    <w:rsid w:val="00E2157F"/>
    <w:rsid w:val="00E21597"/>
    <w:rsid w:val="00E21657"/>
    <w:rsid w:val="00E219F2"/>
    <w:rsid w:val="00E21F67"/>
    <w:rsid w:val="00E22B8D"/>
    <w:rsid w:val="00E22D47"/>
    <w:rsid w:val="00E22E03"/>
    <w:rsid w:val="00E2367D"/>
    <w:rsid w:val="00E23788"/>
    <w:rsid w:val="00E23C04"/>
    <w:rsid w:val="00E24028"/>
    <w:rsid w:val="00E24C4A"/>
    <w:rsid w:val="00E250C0"/>
    <w:rsid w:val="00E26050"/>
    <w:rsid w:val="00E2634E"/>
    <w:rsid w:val="00E26FC5"/>
    <w:rsid w:val="00E27143"/>
    <w:rsid w:val="00E30288"/>
    <w:rsid w:val="00E30B96"/>
    <w:rsid w:val="00E31EE1"/>
    <w:rsid w:val="00E320F9"/>
    <w:rsid w:val="00E32314"/>
    <w:rsid w:val="00E3248B"/>
    <w:rsid w:val="00E32962"/>
    <w:rsid w:val="00E32974"/>
    <w:rsid w:val="00E333BB"/>
    <w:rsid w:val="00E33735"/>
    <w:rsid w:val="00E337F9"/>
    <w:rsid w:val="00E347F8"/>
    <w:rsid w:val="00E34DFC"/>
    <w:rsid w:val="00E351C0"/>
    <w:rsid w:val="00E35AF9"/>
    <w:rsid w:val="00E35CF1"/>
    <w:rsid w:val="00E35FE7"/>
    <w:rsid w:val="00E36102"/>
    <w:rsid w:val="00E36675"/>
    <w:rsid w:val="00E37A74"/>
    <w:rsid w:val="00E409D8"/>
    <w:rsid w:val="00E40B4F"/>
    <w:rsid w:val="00E40DF8"/>
    <w:rsid w:val="00E418A5"/>
    <w:rsid w:val="00E4219E"/>
    <w:rsid w:val="00E4268E"/>
    <w:rsid w:val="00E42942"/>
    <w:rsid w:val="00E4294D"/>
    <w:rsid w:val="00E42C01"/>
    <w:rsid w:val="00E430ED"/>
    <w:rsid w:val="00E43558"/>
    <w:rsid w:val="00E439EC"/>
    <w:rsid w:val="00E43B27"/>
    <w:rsid w:val="00E43CFF"/>
    <w:rsid w:val="00E446C9"/>
    <w:rsid w:val="00E451F2"/>
    <w:rsid w:val="00E460AB"/>
    <w:rsid w:val="00E463F4"/>
    <w:rsid w:val="00E4670C"/>
    <w:rsid w:val="00E46713"/>
    <w:rsid w:val="00E47919"/>
    <w:rsid w:val="00E5011D"/>
    <w:rsid w:val="00E51C05"/>
    <w:rsid w:val="00E520B1"/>
    <w:rsid w:val="00E52135"/>
    <w:rsid w:val="00E52265"/>
    <w:rsid w:val="00E52712"/>
    <w:rsid w:val="00E52F36"/>
    <w:rsid w:val="00E53C4E"/>
    <w:rsid w:val="00E53FE3"/>
    <w:rsid w:val="00E5415C"/>
    <w:rsid w:val="00E54618"/>
    <w:rsid w:val="00E548C9"/>
    <w:rsid w:val="00E548E8"/>
    <w:rsid w:val="00E54E65"/>
    <w:rsid w:val="00E556EB"/>
    <w:rsid w:val="00E56388"/>
    <w:rsid w:val="00E56528"/>
    <w:rsid w:val="00E56C46"/>
    <w:rsid w:val="00E57B00"/>
    <w:rsid w:val="00E60B41"/>
    <w:rsid w:val="00E60C50"/>
    <w:rsid w:val="00E61001"/>
    <w:rsid w:val="00E612F7"/>
    <w:rsid w:val="00E61BFE"/>
    <w:rsid w:val="00E61FD9"/>
    <w:rsid w:val="00E6260F"/>
    <w:rsid w:val="00E628DE"/>
    <w:rsid w:val="00E62ABA"/>
    <w:rsid w:val="00E6348E"/>
    <w:rsid w:val="00E642A9"/>
    <w:rsid w:val="00E6559C"/>
    <w:rsid w:val="00E657B0"/>
    <w:rsid w:val="00E65F90"/>
    <w:rsid w:val="00E66B7E"/>
    <w:rsid w:val="00E66EC4"/>
    <w:rsid w:val="00E67A85"/>
    <w:rsid w:val="00E67C55"/>
    <w:rsid w:val="00E70556"/>
    <w:rsid w:val="00E71193"/>
    <w:rsid w:val="00E71572"/>
    <w:rsid w:val="00E71717"/>
    <w:rsid w:val="00E71828"/>
    <w:rsid w:val="00E71F8F"/>
    <w:rsid w:val="00E722EB"/>
    <w:rsid w:val="00E724B9"/>
    <w:rsid w:val="00E7318F"/>
    <w:rsid w:val="00E7409E"/>
    <w:rsid w:val="00E74403"/>
    <w:rsid w:val="00E7535B"/>
    <w:rsid w:val="00E75518"/>
    <w:rsid w:val="00E75C89"/>
    <w:rsid w:val="00E75EA0"/>
    <w:rsid w:val="00E779B8"/>
    <w:rsid w:val="00E804A2"/>
    <w:rsid w:val="00E804B0"/>
    <w:rsid w:val="00E80D32"/>
    <w:rsid w:val="00E81523"/>
    <w:rsid w:val="00E81B5A"/>
    <w:rsid w:val="00E82620"/>
    <w:rsid w:val="00E82985"/>
    <w:rsid w:val="00E82BD5"/>
    <w:rsid w:val="00E82D7F"/>
    <w:rsid w:val="00E83392"/>
    <w:rsid w:val="00E834CB"/>
    <w:rsid w:val="00E8438B"/>
    <w:rsid w:val="00E85560"/>
    <w:rsid w:val="00E85C72"/>
    <w:rsid w:val="00E8765E"/>
    <w:rsid w:val="00E87B43"/>
    <w:rsid w:val="00E87DA1"/>
    <w:rsid w:val="00E87F28"/>
    <w:rsid w:val="00E902D2"/>
    <w:rsid w:val="00E907C0"/>
    <w:rsid w:val="00E90976"/>
    <w:rsid w:val="00E90A03"/>
    <w:rsid w:val="00E90C8D"/>
    <w:rsid w:val="00E914A9"/>
    <w:rsid w:val="00E9171D"/>
    <w:rsid w:val="00E93797"/>
    <w:rsid w:val="00E93A95"/>
    <w:rsid w:val="00E93BE8"/>
    <w:rsid w:val="00E93D55"/>
    <w:rsid w:val="00E94905"/>
    <w:rsid w:val="00E9560C"/>
    <w:rsid w:val="00E95C84"/>
    <w:rsid w:val="00E96782"/>
    <w:rsid w:val="00E97C56"/>
    <w:rsid w:val="00E97FD1"/>
    <w:rsid w:val="00EA0088"/>
    <w:rsid w:val="00EA0A67"/>
    <w:rsid w:val="00EA0DC8"/>
    <w:rsid w:val="00EA0F5A"/>
    <w:rsid w:val="00EA11D7"/>
    <w:rsid w:val="00EA1E80"/>
    <w:rsid w:val="00EA23B5"/>
    <w:rsid w:val="00EA2414"/>
    <w:rsid w:val="00EA290C"/>
    <w:rsid w:val="00EA308F"/>
    <w:rsid w:val="00EA3173"/>
    <w:rsid w:val="00EA3438"/>
    <w:rsid w:val="00EA3B5B"/>
    <w:rsid w:val="00EA41F4"/>
    <w:rsid w:val="00EA4AA3"/>
    <w:rsid w:val="00EA5169"/>
    <w:rsid w:val="00EA5193"/>
    <w:rsid w:val="00EA52C8"/>
    <w:rsid w:val="00EA5482"/>
    <w:rsid w:val="00EA5C68"/>
    <w:rsid w:val="00EA605B"/>
    <w:rsid w:val="00EA6174"/>
    <w:rsid w:val="00EA69EE"/>
    <w:rsid w:val="00EA6F54"/>
    <w:rsid w:val="00EA7045"/>
    <w:rsid w:val="00EA7564"/>
    <w:rsid w:val="00EA7BB1"/>
    <w:rsid w:val="00EB0A59"/>
    <w:rsid w:val="00EB0D96"/>
    <w:rsid w:val="00EB1211"/>
    <w:rsid w:val="00EB1849"/>
    <w:rsid w:val="00EB224C"/>
    <w:rsid w:val="00EB2673"/>
    <w:rsid w:val="00EB2B12"/>
    <w:rsid w:val="00EB2BCD"/>
    <w:rsid w:val="00EB3348"/>
    <w:rsid w:val="00EB336D"/>
    <w:rsid w:val="00EB3717"/>
    <w:rsid w:val="00EB463B"/>
    <w:rsid w:val="00EB517D"/>
    <w:rsid w:val="00EB51C2"/>
    <w:rsid w:val="00EB54C2"/>
    <w:rsid w:val="00EB5CE2"/>
    <w:rsid w:val="00EB6C1E"/>
    <w:rsid w:val="00EB6CF7"/>
    <w:rsid w:val="00EB7039"/>
    <w:rsid w:val="00EB7229"/>
    <w:rsid w:val="00EB7C24"/>
    <w:rsid w:val="00EB7E48"/>
    <w:rsid w:val="00EC0DCB"/>
    <w:rsid w:val="00EC1099"/>
    <w:rsid w:val="00EC1622"/>
    <w:rsid w:val="00EC1766"/>
    <w:rsid w:val="00EC1879"/>
    <w:rsid w:val="00EC1AE9"/>
    <w:rsid w:val="00EC20FB"/>
    <w:rsid w:val="00EC226F"/>
    <w:rsid w:val="00EC23BE"/>
    <w:rsid w:val="00EC30C1"/>
    <w:rsid w:val="00EC3DE5"/>
    <w:rsid w:val="00EC5B04"/>
    <w:rsid w:val="00EC60E2"/>
    <w:rsid w:val="00EC778A"/>
    <w:rsid w:val="00EC7E25"/>
    <w:rsid w:val="00ED0409"/>
    <w:rsid w:val="00ED0593"/>
    <w:rsid w:val="00ED083D"/>
    <w:rsid w:val="00ED08AC"/>
    <w:rsid w:val="00ED0B51"/>
    <w:rsid w:val="00ED10C2"/>
    <w:rsid w:val="00ED1644"/>
    <w:rsid w:val="00ED1C8F"/>
    <w:rsid w:val="00ED3102"/>
    <w:rsid w:val="00ED33AF"/>
    <w:rsid w:val="00ED40E7"/>
    <w:rsid w:val="00ED4398"/>
    <w:rsid w:val="00ED4EAE"/>
    <w:rsid w:val="00ED4ED9"/>
    <w:rsid w:val="00ED50C9"/>
    <w:rsid w:val="00ED51F1"/>
    <w:rsid w:val="00ED5476"/>
    <w:rsid w:val="00ED5628"/>
    <w:rsid w:val="00ED58E0"/>
    <w:rsid w:val="00ED5AF6"/>
    <w:rsid w:val="00ED5B76"/>
    <w:rsid w:val="00ED6196"/>
    <w:rsid w:val="00ED63D5"/>
    <w:rsid w:val="00ED6725"/>
    <w:rsid w:val="00ED6D47"/>
    <w:rsid w:val="00ED6EC9"/>
    <w:rsid w:val="00ED72BB"/>
    <w:rsid w:val="00ED7571"/>
    <w:rsid w:val="00ED79E0"/>
    <w:rsid w:val="00EE00BE"/>
    <w:rsid w:val="00EE0929"/>
    <w:rsid w:val="00EE1028"/>
    <w:rsid w:val="00EE1065"/>
    <w:rsid w:val="00EE221D"/>
    <w:rsid w:val="00EE228D"/>
    <w:rsid w:val="00EE2BA2"/>
    <w:rsid w:val="00EE383E"/>
    <w:rsid w:val="00EE3EE1"/>
    <w:rsid w:val="00EE457F"/>
    <w:rsid w:val="00EE553C"/>
    <w:rsid w:val="00EE57CB"/>
    <w:rsid w:val="00EE5A77"/>
    <w:rsid w:val="00EE5BEE"/>
    <w:rsid w:val="00EE6A21"/>
    <w:rsid w:val="00EE758A"/>
    <w:rsid w:val="00EE7795"/>
    <w:rsid w:val="00EF0F83"/>
    <w:rsid w:val="00EF14A9"/>
    <w:rsid w:val="00EF3F25"/>
    <w:rsid w:val="00EF4BE8"/>
    <w:rsid w:val="00EF4D4E"/>
    <w:rsid w:val="00EF4F0B"/>
    <w:rsid w:val="00EF5226"/>
    <w:rsid w:val="00EF5314"/>
    <w:rsid w:val="00EF572D"/>
    <w:rsid w:val="00EF5838"/>
    <w:rsid w:val="00EF6BAB"/>
    <w:rsid w:val="00EF6D99"/>
    <w:rsid w:val="00EF6F59"/>
    <w:rsid w:val="00F0068D"/>
    <w:rsid w:val="00F0295F"/>
    <w:rsid w:val="00F02A93"/>
    <w:rsid w:val="00F02D79"/>
    <w:rsid w:val="00F0451B"/>
    <w:rsid w:val="00F04897"/>
    <w:rsid w:val="00F05813"/>
    <w:rsid w:val="00F059B4"/>
    <w:rsid w:val="00F05BFA"/>
    <w:rsid w:val="00F06308"/>
    <w:rsid w:val="00F0667B"/>
    <w:rsid w:val="00F06E46"/>
    <w:rsid w:val="00F07169"/>
    <w:rsid w:val="00F071BE"/>
    <w:rsid w:val="00F07D1F"/>
    <w:rsid w:val="00F10503"/>
    <w:rsid w:val="00F110FA"/>
    <w:rsid w:val="00F111A3"/>
    <w:rsid w:val="00F11A03"/>
    <w:rsid w:val="00F11CB2"/>
    <w:rsid w:val="00F13233"/>
    <w:rsid w:val="00F13FA0"/>
    <w:rsid w:val="00F146C0"/>
    <w:rsid w:val="00F14C48"/>
    <w:rsid w:val="00F15019"/>
    <w:rsid w:val="00F15360"/>
    <w:rsid w:val="00F1544B"/>
    <w:rsid w:val="00F155DD"/>
    <w:rsid w:val="00F15975"/>
    <w:rsid w:val="00F159AB"/>
    <w:rsid w:val="00F15B9B"/>
    <w:rsid w:val="00F16672"/>
    <w:rsid w:val="00F17722"/>
    <w:rsid w:val="00F1779F"/>
    <w:rsid w:val="00F177E5"/>
    <w:rsid w:val="00F17F00"/>
    <w:rsid w:val="00F209FB"/>
    <w:rsid w:val="00F20A9A"/>
    <w:rsid w:val="00F20E58"/>
    <w:rsid w:val="00F20E71"/>
    <w:rsid w:val="00F21129"/>
    <w:rsid w:val="00F2126C"/>
    <w:rsid w:val="00F21890"/>
    <w:rsid w:val="00F21CBA"/>
    <w:rsid w:val="00F23058"/>
    <w:rsid w:val="00F239DE"/>
    <w:rsid w:val="00F23BE4"/>
    <w:rsid w:val="00F25A47"/>
    <w:rsid w:val="00F25E2C"/>
    <w:rsid w:val="00F26AB3"/>
    <w:rsid w:val="00F26F57"/>
    <w:rsid w:val="00F277CD"/>
    <w:rsid w:val="00F27C67"/>
    <w:rsid w:val="00F32493"/>
    <w:rsid w:val="00F3385A"/>
    <w:rsid w:val="00F3488D"/>
    <w:rsid w:val="00F34B7E"/>
    <w:rsid w:val="00F353EA"/>
    <w:rsid w:val="00F3552B"/>
    <w:rsid w:val="00F355C6"/>
    <w:rsid w:val="00F35A8F"/>
    <w:rsid w:val="00F36071"/>
    <w:rsid w:val="00F36E8F"/>
    <w:rsid w:val="00F371DD"/>
    <w:rsid w:val="00F37353"/>
    <w:rsid w:val="00F37760"/>
    <w:rsid w:val="00F377EC"/>
    <w:rsid w:val="00F40AC8"/>
    <w:rsid w:val="00F40C39"/>
    <w:rsid w:val="00F40E4D"/>
    <w:rsid w:val="00F4114F"/>
    <w:rsid w:val="00F417D8"/>
    <w:rsid w:val="00F41957"/>
    <w:rsid w:val="00F41989"/>
    <w:rsid w:val="00F4223D"/>
    <w:rsid w:val="00F42435"/>
    <w:rsid w:val="00F427A5"/>
    <w:rsid w:val="00F43011"/>
    <w:rsid w:val="00F4360A"/>
    <w:rsid w:val="00F44043"/>
    <w:rsid w:val="00F4495C"/>
    <w:rsid w:val="00F45072"/>
    <w:rsid w:val="00F450E1"/>
    <w:rsid w:val="00F45439"/>
    <w:rsid w:val="00F466C1"/>
    <w:rsid w:val="00F46F27"/>
    <w:rsid w:val="00F500B8"/>
    <w:rsid w:val="00F50139"/>
    <w:rsid w:val="00F50EB5"/>
    <w:rsid w:val="00F50EEF"/>
    <w:rsid w:val="00F512BD"/>
    <w:rsid w:val="00F5203B"/>
    <w:rsid w:val="00F52541"/>
    <w:rsid w:val="00F526D0"/>
    <w:rsid w:val="00F52B76"/>
    <w:rsid w:val="00F52F7D"/>
    <w:rsid w:val="00F5307F"/>
    <w:rsid w:val="00F54311"/>
    <w:rsid w:val="00F5452E"/>
    <w:rsid w:val="00F54A68"/>
    <w:rsid w:val="00F557E1"/>
    <w:rsid w:val="00F5633A"/>
    <w:rsid w:val="00F60BC4"/>
    <w:rsid w:val="00F60D34"/>
    <w:rsid w:val="00F61197"/>
    <w:rsid w:val="00F6138C"/>
    <w:rsid w:val="00F62BCC"/>
    <w:rsid w:val="00F62C0A"/>
    <w:rsid w:val="00F62E8C"/>
    <w:rsid w:val="00F63431"/>
    <w:rsid w:val="00F63953"/>
    <w:rsid w:val="00F63976"/>
    <w:rsid w:val="00F6397D"/>
    <w:rsid w:val="00F6476B"/>
    <w:rsid w:val="00F64B03"/>
    <w:rsid w:val="00F654B9"/>
    <w:rsid w:val="00F65A5A"/>
    <w:rsid w:val="00F65DCA"/>
    <w:rsid w:val="00F65EC8"/>
    <w:rsid w:val="00F65F44"/>
    <w:rsid w:val="00F669B1"/>
    <w:rsid w:val="00F67048"/>
    <w:rsid w:val="00F700CC"/>
    <w:rsid w:val="00F701D4"/>
    <w:rsid w:val="00F708F8"/>
    <w:rsid w:val="00F70E2D"/>
    <w:rsid w:val="00F70E9A"/>
    <w:rsid w:val="00F71508"/>
    <w:rsid w:val="00F71B50"/>
    <w:rsid w:val="00F71E37"/>
    <w:rsid w:val="00F71FB8"/>
    <w:rsid w:val="00F7357D"/>
    <w:rsid w:val="00F735D4"/>
    <w:rsid w:val="00F73746"/>
    <w:rsid w:val="00F744D2"/>
    <w:rsid w:val="00F7459D"/>
    <w:rsid w:val="00F7549C"/>
    <w:rsid w:val="00F757AC"/>
    <w:rsid w:val="00F75C42"/>
    <w:rsid w:val="00F75CB0"/>
    <w:rsid w:val="00F76477"/>
    <w:rsid w:val="00F765B6"/>
    <w:rsid w:val="00F768E8"/>
    <w:rsid w:val="00F76D99"/>
    <w:rsid w:val="00F76EC7"/>
    <w:rsid w:val="00F77863"/>
    <w:rsid w:val="00F779C4"/>
    <w:rsid w:val="00F77B47"/>
    <w:rsid w:val="00F77CA5"/>
    <w:rsid w:val="00F800C5"/>
    <w:rsid w:val="00F8018A"/>
    <w:rsid w:val="00F80994"/>
    <w:rsid w:val="00F80DCD"/>
    <w:rsid w:val="00F81324"/>
    <w:rsid w:val="00F8136E"/>
    <w:rsid w:val="00F81791"/>
    <w:rsid w:val="00F83141"/>
    <w:rsid w:val="00F83BFC"/>
    <w:rsid w:val="00F83CBA"/>
    <w:rsid w:val="00F83DA5"/>
    <w:rsid w:val="00F8482D"/>
    <w:rsid w:val="00F84BFD"/>
    <w:rsid w:val="00F85322"/>
    <w:rsid w:val="00F85817"/>
    <w:rsid w:val="00F85D41"/>
    <w:rsid w:val="00F860E2"/>
    <w:rsid w:val="00F8631A"/>
    <w:rsid w:val="00F86F58"/>
    <w:rsid w:val="00F874F3"/>
    <w:rsid w:val="00F8756E"/>
    <w:rsid w:val="00F90BBA"/>
    <w:rsid w:val="00F90C3F"/>
    <w:rsid w:val="00F91085"/>
    <w:rsid w:val="00F9217D"/>
    <w:rsid w:val="00F92DFA"/>
    <w:rsid w:val="00F93444"/>
    <w:rsid w:val="00F93FD9"/>
    <w:rsid w:val="00F94045"/>
    <w:rsid w:val="00F94B7D"/>
    <w:rsid w:val="00F9562A"/>
    <w:rsid w:val="00F966D0"/>
    <w:rsid w:val="00F96C75"/>
    <w:rsid w:val="00F96F2E"/>
    <w:rsid w:val="00FA0551"/>
    <w:rsid w:val="00FA0885"/>
    <w:rsid w:val="00FA08EF"/>
    <w:rsid w:val="00FA0AF0"/>
    <w:rsid w:val="00FA0AF4"/>
    <w:rsid w:val="00FA1CA5"/>
    <w:rsid w:val="00FA1F87"/>
    <w:rsid w:val="00FA21B3"/>
    <w:rsid w:val="00FA2249"/>
    <w:rsid w:val="00FA243E"/>
    <w:rsid w:val="00FA31CA"/>
    <w:rsid w:val="00FA3727"/>
    <w:rsid w:val="00FA380B"/>
    <w:rsid w:val="00FA4CC5"/>
    <w:rsid w:val="00FA5697"/>
    <w:rsid w:val="00FA58DC"/>
    <w:rsid w:val="00FA6718"/>
    <w:rsid w:val="00FA6F60"/>
    <w:rsid w:val="00FA6FE0"/>
    <w:rsid w:val="00FA7097"/>
    <w:rsid w:val="00FA7537"/>
    <w:rsid w:val="00FA7859"/>
    <w:rsid w:val="00FA7D6E"/>
    <w:rsid w:val="00FA7E02"/>
    <w:rsid w:val="00FB11E5"/>
    <w:rsid w:val="00FB13C0"/>
    <w:rsid w:val="00FB1450"/>
    <w:rsid w:val="00FB1966"/>
    <w:rsid w:val="00FB196C"/>
    <w:rsid w:val="00FB19FB"/>
    <w:rsid w:val="00FB1F88"/>
    <w:rsid w:val="00FB2920"/>
    <w:rsid w:val="00FB29A6"/>
    <w:rsid w:val="00FB2CE7"/>
    <w:rsid w:val="00FB3124"/>
    <w:rsid w:val="00FB379C"/>
    <w:rsid w:val="00FB3AA6"/>
    <w:rsid w:val="00FB4142"/>
    <w:rsid w:val="00FB41CC"/>
    <w:rsid w:val="00FB463F"/>
    <w:rsid w:val="00FB494E"/>
    <w:rsid w:val="00FB4D28"/>
    <w:rsid w:val="00FB52AE"/>
    <w:rsid w:val="00FB5F02"/>
    <w:rsid w:val="00FB5F07"/>
    <w:rsid w:val="00FB663A"/>
    <w:rsid w:val="00FB6BA9"/>
    <w:rsid w:val="00FB742A"/>
    <w:rsid w:val="00FB7A34"/>
    <w:rsid w:val="00FC07D5"/>
    <w:rsid w:val="00FC0954"/>
    <w:rsid w:val="00FC0DC6"/>
    <w:rsid w:val="00FC0E80"/>
    <w:rsid w:val="00FC31DF"/>
    <w:rsid w:val="00FC3B24"/>
    <w:rsid w:val="00FC4EDA"/>
    <w:rsid w:val="00FC52FB"/>
    <w:rsid w:val="00FC54C5"/>
    <w:rsid w:val="00FC567B"/>
    <w:rsid w:val="00FC5C44"/>
    <w:rsid w:val="00FC60E2"/>
    <w:rsid w:val="00FC671D"/>
    <w:rsid w:val="00FC6BC6"/>
    <w:rsid w:val="00FC6E58"/>
    <w:rsid w:val="00FC75A8"/>
    <w:rsid w:val="00FC7EC8"/>
    <w:rsid w:val="00FD0913"/>
    <w:rsid w:val="00FD0DAA"/>
    <w:rsid w:val="00FD0DC4"/>
    <w:rsid w:val="00FD1016"/>
    <w:rsid w:val="00FD11A9"/>
    <w:rsid w:val="00FD1399"/>
    <w:rsid w:val="00FD1FDA"/>
    <w:rsid w:val="00FD2D29"/>
    <w:rsid w:val="00FD32DD"/>
    <w:rsid w:val="00FD3CF5"/>
    <w:rsid w:val="00FD3D45"/>
    <w:rsid w:val="00FD47D6"/>
    <w:rsid w:val="00FD5475"/>
    <w:rsid w:val="00FD5616"/>
    <w:rsid w:val="00FD5C7F"/>
    <w:rsid w:val="00FD69D1"/>
    <w:rsid w:val="00FD7036"/>
    <w:rsid w:val="00FD7139"/>
    <w:rsid w:val="00FD7569"/>
    <w:rsid w:val="00FE037E"/>
    <w:rsid w:val="00FE0BD1"/>
    <w:rsid w:val="00FE1BF2"/>
    <w:rsid w:val="00FE2A0B"/>
    <w:rsid w:val="00FE42C8"/>
    <w:rsid w:val="00FE49D6"/>
    <w:rsid w:val="00FE50B2"/>
    <w:rsid w:val="00FE59D6"/>
    <w:rsid w:val="00FE62A3"/>
    <w:rsid w:val="00FE693C"/>
    <w:rsid w:val="00FE6F46"/>
    <w:rsid w:val="00FE70A2"/>
    <w:rsid w:val="00FE717F"/>
    <w:rsid w:val="00FF0E60"/>
    <w:rsid w:val="00FF1002"/>
    <w:rsid w:val="00FF1331"/>
    <w:rsid w:val="00FF179E"/>
    <w:rsid w:val="00FF26E7"/>
    <w:rsid w:val="00FF4888"/>
    <w:rsid w:val="00FF4C1D"/>
    <w:rsid w:val="00FF558D"/>
    <w:rsid w:val="00FF6153"/>
    <w:rsid w:val="00FF61D8"/>
    <w:rsid w:val="00FF68B3"/>
    <w:rsid w:val="00FF712C"/>
    <w:rsid w:val="00FF713D"/>
    <w:rsid w:val="00FF7625"/>
    <w:rsid w:val="00FF793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AC06C7"/>
    <w:pPr>
      <w:keepNext/>
      <w:spacing w:before="240" w:after="60"/>
      <w:outlineLvl w:val="0"/>
    </w:pPr>
    <w:rPr>
      <w:rFonts w:ascii="Cambria" w:eastAsia="Times New Roman" w:hAnsi="Cambria" w:cs="Times New Roman"/>
      <w:b/>
      <w:bCs/>
      <w:kern w:val="32"/>
      <w:sz w:val="32"/>
      <w:szCs w:val="32"/>
    </w:rPr>
  </w:style>
  <w:style w:type="paragraph" w:styleId="Titre2">
    <w:name w:val="heading 2"/>
    <w:basedOn w:val="Normal"/>
    <w:next w:val="Normal"/>
    <w:link w:val="Titre2Car"/>
    <w:uiPriority w:val="9"/>
    <w:unhideWhenUsed/>
    <w:qFormat/>
    <w:rsid w:val="002208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3A762D"/>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3A762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C06C7"/>
    <w:rPr>
      <w:rFonts w:ascii="Cambria" w:eastAsia="Times New Roman" w:hAnsi="Cambria" w:cs="Times New Roman"/>
      <w:b/>
      <w:bCs/>
      <w:kern w:val="32"/>
      <w:sz w:val="32"/>
      <w:szCs w:val="32"/>
    </w:rPr>
  </w:style>
  <w:style w:type="character" w:customStyle="1" w:styleId="Titre2Car">
    <w:name w:val="Titre 2 Car"/>
    <w:basedOn w:val="Policepardfaut"/>
    <w:link w:val="Titre2"/>
    <w:uiPriority w:val="9"/>
    <w:rsid w:val="0022082E"/>
    <w:rPr>
      <w:rFonts w:asciiTheme="majorHAnsi" w:eastAsiaTheme="majorEastAsia" w:hAnsiTheme="majorHAnsi" w:cstheme="majorBidi"/>
      <w:b/>
      <w:bCs/>
      <w:color w:val="4F81BD" w:themeColor="accent1"/>
      <w:sz w:val="26"/>
      <w:szCs w:val="26"/>
    </w:rPr>
  </w:style>
  <w:style w:type="paragraph" w:styleId="Sansinterligne">
    <w:name w:val="No Spacing"/>
    <w:link w:val="SansinterligneCar"/>
    <w:uiPriority w:val="1"/>
    <w:qFormat/>
    <w:rsid w:val="005F7175"/>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5F7175"/>
    <w:rPr>
      <w:rFonts w:eastAsiaTheme="minorEastAsia"/>
      <w:lang w:eastAsia="fr-FR"/>
    </w:rPr>
  </w:style>
  <w:style w:type="paragraph" w:styleId="Textedebulles">
    <w:name w:val="Balloon Text"/>
    <w:basedOn w:val="Normal"/>
    <w:link w:val="TextedebullesCar"/>
    <w:uiPriority w:val="99"/>
    <w:semiHidden/>
    <w:unhideWhenUsed/>
    <w:rsid w:val="005F717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7175"/>
    <w:rPr>
      <w:rFonts w:ascii="Tahoma" w:hAnsi="Tahoma" w:cs="Tahoma"/>
      <w:sz w:val="16"/>
      <w:szCs w:val="16"/>
    </w:rPr>
  </w:style>
  <w:style w:type="table" w:styleId="Grilledutableau">
    <w:name w:val="Table Grid"/>
    <w:basedOn w:val="TableauNormal"/>
    <w:uiPriority w:val="59"/>
    <w:rsid w:val="00C50D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rodeligne">
    <w:name w:val="line number"/>
    <w:basedOn w:val="Policepardfaut"/>
    <w:uiPriority w:val="99"/>
    <w:semiHidden/>
    <w:unhideWhenUsed/>
    <w:rsid w:val="00766051"/>
  </w:style>
  <w:style w:type="paragraph" w:styleId="En-tte">
    <w:name w:val="header"/>
    <w:basedOn w:val="Normal"/>
    <w:link w:val="En-tteCar"/>
    <w:uiPriority w:val="99"/>
    <w:unhideWhenUsed/>
    <w:rsid w:val="00766051"/>
    <w:pPr>
      <w:tabs>
        <w:tab w:val="center" w:pos="4536"/>
        <w:tab w:val="right" w:pos="9072"/>
      </w:tabs>
      <w:spacing w:after="0" w:line="240" w:lineRule="auto"/>
    </w:pPr>
  </w:style>
  <w:style w:type="character" w:customStyle="1" w:styleId="En-tteCar">
    <w:name w:val="En-tête Car"/>
    <w:basedOn w:val="Policepardfaut"/>
    <w:link w:val="En-tte"/>
    <w:uiPriority w:val="99"/>
    <w:rsid w:val="00766051"/>
  </w:style>
  <w:style w:type="paragraph" w:styleId="Pieddepage">
    <w:name w:val="footer"/>
    <w:basedOn w:val="Normal"/>
    <w:link w:val="PieddepageCar"/>
    <w:uiPriority w:val="99"/>
    <w:unhideWhenUsed/>
    <w:rsid w:val="0076605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66051"/>
  </w:style>
  <w:style w:type="paragraph" w:styleId="Corpsdetexte">
    <w:name w:val="Body Text"/>
    <w:basedOn w:val="Normal"/>
    <w:link w:val="CorpsdetexteCar"/>
    <w:uiPriority w:val="1"/>
    <w:unhideWhenUsed/>
    <w:qFormat/>
    <w:rsid w:val="003D5EC0"/>
    <w:pPr>
      <w:bidi/>
      <w:spacing w:after="120" w:line="240" w:lineRule="auto"/>
    </w:pPr>
    <w:rPr>
      <w:rFonts w:ascii="Times New Roman" w:eastAsia="Times New Roman" w:hAnsi="Times New Roman" w:cs="Times New Roman"/>
      <w:sz w:val="24"/>
      <w:szCs w:val="24"/>
      <w:lang w:val="en-US" w:bidi="ar-DZ"/>
    </w:rPr>
  </w:style>
  <w:style w:type="character" w:customStyle="1" w:styleId="CorpsdetexteCar">
    <w:name w:val="Corps de texte Car"/>
    <w:basedOn w:val="Policepardfaut"/>
    <w:link w:val="Corpsdetexte"/>
    <w:uiPriority w:val="1"/>
    <w:rsid w:val="003D5EC0"/>
    <w:rPr>
      <w:rFonts w:ascii="Times New Roman" w:eastAsia="Times New Roman" w:hAnsi="Times New Roman" w:cs="Times New Roman"/>
      <w:sz w:val="24"/>
      <w:szCs w:val="24"/>
      <w:lang w:val="en-US" w:bidi="ar-DZ"/>
    </w:rPr>
  </w:style>
  <w:style w:type="paragraph" w:customStyle="1" w:styleId="Default">
    <w:name w:val="Default"/>
    <w:rsid w:val="0022082E"/>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22082E"/>
    <w:pPr>
      <w:ind w:left="720"/>
      <w:contextualSpacing/>
    </w:pPr>
  </w:style>
  <w:style w:type="paragraph" w:styleId="NormalWeb">
    <w:name w:val="Normal (Web)"/>
    <w:basedOn w:val="Normal"/>
    <w:uiPriority w:val="99"/>
    <w:unhideWhenUsed/>
    <w:rsid w:val="0022082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y2iqfc">
    <w:name w:val="y2iqfc"/>
    <w:rsid w:val="0022082E"/>
  </w:style>
  <w:style w:type="character" w:styleId="Lienhypertexte">
    <w:name w:val="Hyperlink"/>
    <w:basedOn w:val="Policepardfaut"/>
    <w:uiPriority w:val="99"/>
    <w:unhideWhenUsed/>
    <w:rsid w:val="0022082E"/>
    <w:rPr>
      <w:color w:val="0000FF"/>
      <w:u w:val="single"/>
    </w:rPr>
  </w:style>
  <w:style w:type="character" w:styleId="Textedelespacerserv">
    <w:name w:val="Placeholder Text"/>
    <w:basedOn w:val="Policepardfaut"/>
    <w:uiPriority w:val="99"/>
    <w:semiHidden/>
    <w:rsid w:val="0022082E"/>
    <w:rPr>
      <w:color w:val="808080"/>
    </w:rPr>
  </w:style>
  <w:style w:type="character" w:styleId="Accentuation">
    <w:name w:val="Emphasis"/>
    <w:basedOn w:val="Policepardfaut"/>
    <w:uiPriority w:val="20"/>
    <w:qFormat/>
    <w:rsid w:val="0022082E"/>
    <w:rPr>
      <w:i/>
      <w:iCs/>
    </w:rPr>
  </w:style>
  <w:style w:type="character" w:customStyle="1" w:styleId="authors-list-item">
    <w:name w:val="authors-list-item"/>
    <w:basedOn w:val="Policepardfaut"/>
    <w:rsid w:val="0022082E"/>
  </w:style>
  <w:style w:type="character" w:customStyle="1" w:styleId="comma">
    <w:name w:val="comma"/>
    <w:basedOn w:val="Policepardfaut"/>
    <w:rsid w:val="0022082E"/>
  </w:style>
  <w:style w:type="character" w:customStyle="1" w:styleId="viiyi">
    <w:name w:val="viiyi"/>
    <w:basedOn w:val="Policepardfaut"/>
    <w:rsid w:val="007F2A45"/>
  </w:style>
  <w:style w:type="character" w:customStyle="1" w:styleId="q4iawc">
    <w:name w:val="q4iawc"/>
    <w:basedOn w:val="Policepardfaut"/>
    <w:rsid w:val="007F2A45"/>
  </w:style>
  <w:style w:type="character" w:customStyle="1" w:styleId="A12">
    <w:name w:val="A12"/>
    <w:uiPriority w:val="99"/>
    <w:rsid w:val="00AC06C7"/>
    <w:rPr>
      <w:i/>
      <w:iCs/>
      <w:color w:val="000000"/>
      <w:sz w:val="14"/>
      <w:szCs w:val="14"/>
    </w:rPr>
  </w:style>
  <w:style w:type="paragraph" w:customStyle="1" w:styleId="texte">
    <w:name w:val="texte"/>
    <w:basedOn w:val="Normal"/>
    <w:rsid w:val="00AC06C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uiPriority w:val="22"/>
    <w:qFormat/>
    <w:rsid w:val="00AC06C7"/>
    <w:rPr>
      <w:b/>
      <w:bCs/>
    </w:rPr>
  </w:style>
  <w:style w:type="paragraph" w:styleId="Notedebasdepage">
    <w:name w:val="footnote text"/>
    <w:basedOn w:val="Normal"/>
    <w:link w:val="NotedebasdepageCar"/>
    <w:uiPriority w:val="99"/>
    <w:semiHidden/>
    <w:unhideWhenUsed/>
    <w:rsid w:val="00AC06C7"/>
    <w:pPr>
      <w:spacing w:after="0" w:line="240" w:lineRule="auto"/>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semiHidden/>
    <w:rsid w:val="00AC06C7"/>
    <w:rPr>
      <w:rFonts w:ascii="Calibri" w:eastAsia="Calibri" w:hAnsi="Calibri" w:cs="Arial"/>
      <w:sz w:val="20"/>
      <w:szCs w:val="20"/>
    </w:rPr>
  </w:style>
  <w:style w:type="character" w:styleId="Appelnotedebasdep">
    <w:name w:val="footnote reference"/>
    <w:uiPriority w:val="99"/>
    <w:semiHidden/>
    <w:unhideWhenUsed/>
    <w:rsid w:val="00AC06C7"/>
    <w:rPr>
      <w:vertAlign w:val="superscript"/>
    </w:rPr>
  </w:style>
  <w:style w:type="paragraph" w:styleId="PrformatHTML">
    <w:name w:val="HTML Preformatted"/>
    <w:basedOn w:val="Normal"/>
    <w:link w:val="PrformatHTMLCar"/>
    <w:uiPriority w:val="99"/>
    <w:unhideWhenUsed/>
    <w:rsid w:val="00AC06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C06C7"/>
    <w:rPr>
      <w:rFonts w:ascii="Courier New" w:eastAsia="Times New Roman" w:hAnsi="Courier New" w:cs="Courier New"/>
      <w:sz w:val="20"/>
      <w:szCs w:val="20"/>
      <w:lang w:eastAsia="fr-FR"/>
    </w:rPr>
  </w:style>
  <w:style w:type="paragraph" w:customStyle="1" w:styleId="Pa9">
    <w:name w:val="Pa9"/>
    <w:basedOn w:val="Default"/>
    <w:next w:val="Default"/>
    <w:uiPriority w:val="99"/>
    <w:rsid w:val="00AC06C7"/>
    <w:pPr>
      <w:spacing w:line="201" w:lineRule="atLeast"/>
    </w:pPr>
    <w:rPr>
      <w:rFonts w:ascii="Arial" w:eastAsia="Calibri" w:hAnsi="Arial" w:cs="Arial"/>
      <w:color w:val="auto"/>
      <w:lang w:eastAsia="fr-FR"/>
    </w:rPr>
  </w:style>
  <w:style w:type="paragraph" w:customStyle="1" w:styleId="Pa12">
    <w:name w:val="Pa12"/>
    <w:basedOn w:val="Default"/>
    <w:next w:val="Default"/>
    <w:uiPriority w:val="99"/>
    <w:rsid w:val="00AC06C7"/>
    <w:pPr>
      <w:spacing w:line="201" w:lineRule="atLeast"/>
    </w:pPr>
    <w:rPr>
      <w:rFonts w:ascii="Arial" w:eastAsia="Calibri" w:hAnsi="Arial" w:cs="Arial"/>
      <w:color w:val="auto"/>
      <w:lang w:eastAsia="fr-FR"/>
    </w:rPr>
  </w:style>
  <w:style w:type="paragraph" w:customStyle="1" w:styleId="Pa15">
    <w:name w:val="Pa15"/>
    <w:basedOn w:val="Default"/>
    <w:next w:val="Default"/>
    <w:uiPriority w:val="99"/>
    <w:rsid w:val="00AC06C7"/>
    <w:pPr>
      <w:spacing w:line="201" w:lineRule="atLeast"/>
    </w:pPr>
    <w:rPr>
      <w:rFonts w:ascii="Arial" w:eastAsia="Calibri" w:hAnsi="Arial" w:cs="Arial"/>
      <w:color w:val="auto"/>
      <w:lang w:eastAsia="fr-FR"/>
    </w:rPr>
  </w:style>
  <w:style w:type="character" w:customStyle="1" w:styleId="A0">
    <w:name w:val="A0"/>
    <w:uiPriority w:val="99"/>
    <w:rsid w:val="00AC06C7"/>
    <w:rPr>
      <w:b/>
      <w:bCs/>
      <w:color w:val="000000"/>
      <w:sz w:val="20"/>
      <w:szCs w:val="20"/>
    </w:rPr>
  </w:style>
  <w:style w:type="character" w:customStyle="1" w:styleId="A1">
    <w:name w:val="A1"/>
    <w:uiPriority w:val="99"/>
    <w:rsid w:val="00AC06C7"/>
    <w:rPr>
      <w:color w:val="000000"/>
      <w:sz w:val="16"/>
      <w:szCs w:val="16"/>
    </w:rPr>
  </w:style>
  <w:style w:type="paragraph" w:customStyle="1" w:styleId="Pa16">
    <w:name w:val="Pa16"/>
    <w:basedOn w:val="Default"/>
    <w:next w:val="Default"/>
    <w:uiPriority w:val="99"/>
    <w:rsid w:val="00AC06C7"/>
    <w:pPr>
      <w:spacing w:line="201" w:lineRule="atLeast"/>
    </w:pPr>
    <w:rPr>
      <w:rFonts w:ascii="Arial" w:eastAsia="Calibri" w:hAnsi="Arial" w:cs="Arial"/>
      <w:color w:val="auto"/>
      <w:lang w:eastAsia="fr-FR"/>
    </w:rPr>
  </w:style>
  <w:style w:type="character" w:customStyle="1" w:styleId="A7">
    <w:name w:val="A7"/>
    <w:uiPriority w:val="99"/>
    <w:rsid w:val="00AC06C7"/>
    <w:rPr>
      <w:color w:val="000000"/>
      <w:sz w:val="18"/>
      <w:szCs w:val="18"/>
    </w:rPr>
  </w:style>
  <w:style w:type="paragraph" w:customStyle="1" w:styleId="Pa5">
    <w:name w:val="Pa5"/>
    <w:basedOn w:val="Default"/>
    <w:next w:val="Default"/>
    <w:uiPriority w:val="99"/>
    <w:rsid w:val="00AC06C7"/>
    <w:pPr>
      <w:spacing w:line="221" w:lineRule="atLeast"/>
    </w:pPr>
    <w:rPr>
      <w:rFonts w:ascii="Arial" w:eastAsia="Calibri" w:hAnsi="Arial" w:cs="Arial"/>
      <w:color w:val="auto"/>
      <w:lang w:eastAsia="fr-FR"/>
    </w:rPr>
  </w:style>
  <w:style w:type="character" w:customStyle="1" w:styleId="markedcontent">
    <w:name w:val="markedcontent"/>
    <w:rsid w:val="00AC06C7"/>
  </w:style>
  <w:style w:type="character" w:customStyle="1" w:styleId="A4">
    <w:name w:val="A4"/>
    <w:uiPriority w:val="99"/>
    <w:rsid w:val="00AC06C7"/>
    <w:rPr>
      <w:color w:val="000000"/>
      <w:sz w:val="22"/>
      <w:szCs w:val="22"/>
    </w:rPr>
  </w:style>
  <w:style w:type="character" w:customStyle="1" w:styleId="jlqj4b">
    <w:name w:val="jlqj4b"/>
    <w:rsid w:val="00AC06C7"/>
  </w:style>
  <w:style w:type="paragraph" w:styleId="Lgende">
    <w:name w:val="caption"/>
    <w:basedOn w:val="Normal"/>
    <w:next w:val="Normal"/>
    <w:uiPriority w:val="35"/>
    <w:unhideWhenUsed/>
    <w:qFormat/>
    <w:rsid w:val="00A903CE"/>
    <w:pPr>
      <w:spacing w:line="240" w:lineRule="auto"/>
    </w:pPr>
    <w:rPr>
      <w:b/>
      <w:bCs/>
      <w:color w:val="4F81BD" w:themeColor="accent1"/>
      <w:sz w:val="18"/>
      <w:szCs w:val="18"/>
    </w:rPr>
  </w:style>
  <w:style w:type="character" w:customStyle="1" w:styleId="CommentaireCar">
    <w:name w:val="Commentaire Car"/>
    <w:basedOn w:val="Policepardfaut"/>
    <w:link w:val="Commentaire"/>
    <w:uiPriority w:val="99"/>
    <w:semiHidden/>
    <w:rsid w:val="000B42BD"/>
    <w:rPr>
      <w:sz w:val="20"/>
      <w:szCs w:val="20"/>
    </w:rPr>
  </w:style>
  <w:style w:type="paragraph" w:styleId="Commentaire">
    <w:name w:val="annotation text"/>
    <w:basedOn w:val="Normal"/>
    <w:link w:val="CommentaireCar"/>
    <w:uiPriority w:val="99"/>
    <w:semiHidden/>
    <w:unhideWhenUsed/>
    <w:rsid w:val="000B42BD"/>
    <w:pPr>
      <w:spacing w:line="240" w:lineRule="auto"/>
    </w:pPr>
    <w:rPr>
      <w:sz w:val="20"/>
      <w:szCs w:val="20"/>
    </w:rPr>
  </w:style>
  <w:style w:type="character" w:customStyle="1" w:styleId="ObjetducommentaireCar">
    <w:name w:val="Objet du commentaire Car"/>
    <w:basedOn w:val="CommentaireCar"/>
    <w:link w:val="Objetducommentaire"/>
    <w:uiPriority w:val="99"/>
    <w:semiHidden/>
    <w:rsid w:val="000B42BD"/>
    <w:rPr>
      <w:b/>
      <w:bCs/>
      <w:sz w:val="20"/>
      <w:szCs w:val="20"/>
    </w:rPr>
  </w:style>
  <w:style w:type="paragraph" w:styleId="Objetducommentaire">
    <w:name w:val="annotation subject"/>
    <w:basedOn w:val="Commentaire"/>
    <w:next w:val="Commentaire"/>
    <w:link w:val="ObjetducommentaireCar"/>
    <w:uiPriority w:val="99"/>
    <w:semiHidden/>
    <w:unhideWhenUsed/>
    <w:rsid w:val="000B42BD"/>
    <w:rPr>
      <w:b/>
      <w:bCs/>
    </w:rPr>
  </w:style>
  <w:style w:type="paragraph" w:customStyle="1" w:styleId="ETASRfigurecaption">
    <w:name w:val="ETASR figure caption"/>
    <w:basedOn w:val="Normal"/>
    <w:rsid w:val="0044599C"/>
    <w:pPr>
      <w:spacing w:before="80" w:line="240" w:lineRule="auto"/>
      <w:jc w:val="center"/>
    </w:pPr>
    <w:rPr>
      <w:rFonts w:ascii="Times New Roman" w:eastAsia="SimSun" w:hAnsi="Times New Roman" w:cs="Times New Roman"/>
      <w:noProof/>
      <w:sz w:val="16"/>
      <w:szCs w:val="16"/>
      <w:lang w:val="en-US"/>
    </w:rPr>
  </w:style>
  <w:style w:type="character" w:customStyle="1" w:styleId="epub-sectionitem">
    <w:name w:val="epub-section__item"/>
    <w:rsid w:val="0044599C"/>
  </w:style>
  <w:style w:type="character" w:customStyle="1" w:styleId="epub-sectiondate">
    <w:name w:val="epub-section__date"/>
    <w:rsid w:val="0044599C"/>
  </w:style>
  <w:style w:type="character" w:styleId="Lienhypertextesuivivisit">
    <w:name w:val="FollowedHyperlink"/>
    <w:basedOn w:val="Policepardfaut"/>
    <w:uiPriority w:val="99"/>
    <w:semiHidden/>
    <w:unhideWhenUsed/>
    <w:rsid w:val="00594B9C"/>
    <w:rPr>
      <w:color w:val="800080" w:themeColor="followedHyperlink"/>
      <w:u w:val="single"/>
    </w:rPr>
  </w:style>
  <w:style w:type="character" w:customStyle="1" w:styleId="familyname">
    <w:name w:val="familyname"/>
    <w:basedOn w:val="Policepardfaut"/>
    <w:rsid w:val="002F2722"/>
  </w:style>
  <w:style w:type="character" w:customStyle="1" w:styleId="rynqvb">
    <w:name w:val="rynqvb"/>
    <w:basedOn w:val="Policepardfaut"/>
    <w:rsid w:val="00EE6A21"/>
  </w:style>
  <w:style w:type="paragraph" w:customStyle="1" w:styleId="AB630D60F59F403CB531B268FE76FA17">
    <w:name w:val="AB630D60F59F403CB531B268FE76FA17"/>
    <w:rsid w:val="00852167"/>
    <w:rPr>
      <w:rFonts w:eastAsiaTheme="minorEastAsia"/>
      <w:lang w:eastAsia="fr-FR"/>
    </w:rPr>
  </w:style>
  <w:style w:type="paragraph" w:styleId="En-ttedetabledesmatires">
    <w:name w:val="TOC Heading"/>
    <w:basedOn w:val="Titre1"/>
    <w:next w:val="Normal"/>
    <w:uiPriority w:val="39"/>
    <w:unhideWhenUsed/>
    <w:qFormat/>
    <w:rsid w:val="0011519F"/>
    <w:pPr>
      <w:keepLines/>
      <w:spacing w:before="480" w:after="0"/>
      <w:outlineLvl w:val="9"/>
    </w:pPr>
    <w:rPr>
      <w:rFonts w:asciiTheme="majorHAnsi" w:eastAsiaTheme="majorEastAsia" w:hAnsiTheme="majorHAnsi" w:cstheme="majorBidi"/>
      <w:color w:val="365F91" w:themeColor="accent1" w:themeShade="BF"/>
      <w:kern w:val="0"/>
      <w:sz w:val="28"/>
      <w:szCs w:val="28"/>
      <w:lang w:eastAsia="fr-FR"/>
    </w:rPr>
  </w:style>
  <w:style w:type="paragraph" w:styleId="TM2">
    <w:name w:val="toc 2"/>
    <w:basedOn w:val="Normal"/>
    <w:next w:val="Normal"/>
    <w:autoRedefine/>
    <w:uiPriority w:val="39"/>
    <w:unhideWhenUsed/>
    <w:qFormat/>
    <w:rsid w:val="001A5014"/>
    <w:pPr>
      <w:tabs>
        <w:tab w:val="left" w:pos="1132"/>
        <w:tab w:val="left" w:pos="1760"/>
        <w:tab w:val="right" w:leader="dot" w:pos="9062"/>
      </w:tabs>
      <w:bidi/>
      <w:spacing w:after="100"/>
      <w:ind w:left="423"/>
    </w:pPr>
    <w:rPr>
      <w:rFonts w:ascii="Simplified Arabic" w:eastAsiaTheme="minorEastAsia" w:hAnsi="Simplified Arabic" w:cs="Simplified Arabic"/>
      <w:b/>
      <w:bCs/>
      <w:noProof/>
      <w:lang w:val="en-US" w:eastAsia="fr-FR"/>
    </w:rPr>
  </w:style>
  <w:style w:type="paragraph" w:styleId="TM1">
    <w:name w:val="toc 1"/>
    <w:basedOn w:val="Normal"/>
    <w:next w:val="Normal"/>
    <w:link w:val="TM1Car"/>
    <w:autoRedefine/>
    <w:uiPriority w:val="39"/>
    <w:unhideWhenUsed/>
    <w:qFormat/>
    <w:rsid w:val="009579D2"/>
    <w:pPr>
      <w:tabs>
        <w:tab w:val="left" w:pos="0"/>
        <w:tab w:val="right" w:pos="282"/>
        <w:tab w:val="right" w:pos="8363"/>
        <w:tab w:val="right" w:pos="8646"/>
        <w:tab w:val="right" w:leader="dot" w:pos="8928"/>
        <w:tab w:val="right" w:pos="9070"/>
      </w:tabs>
      <w:bidi/>
      <w:spacing w:after="0"/>
      <w:jc w:val="center"/>
    </w:pPr>
    <w:rPr>
      <w:rFonts w:ascii="Simplified Arabic" w:eastAsiaTheme="minorEastAsia" w:hAnsi="Simplified Arabic" w:cs="Simplified Arabic"/>
      <w:b/>
      <w:bCs/>
      <w:noProof/>
      <w:color w:val="000000" w:themeColor="text1"/>
      <w:lang w:val="en-US" w:eastAsia="fr-FR" w:bidi="ar-DZ"/>
    </w:rPr>
  </w:style>
  <w:style w:type="paragraph" w:styleId="TM3">
    <w:name w:val="toc 3"/>
    <w:basedOn w:val="Normal"/>
    <w:next w:val="Normal"/>
    <w:autoRedefine/>
    <w:uiPriority w:val="39"/>
    <w:unhideWhenUsed/>
    <w:qFormat/>
    <w:rsid w:val="003A089F"/>
    <w:pPr>
      <w:tabs>
        <w:tab w:val="left" w:pos="1417"/>
        <w:tab w:val="left" w:pos="2038"/>
        <w:tab w:val="right" w:leader="dot" w:pos="9062"/>
        <w:tab w:val="left" w:pos="9292"/>
      </w:tabs>
      <w:bidi/>
      <w:spacing w:after="0" w:line="240" w:lineRule="auto"/>
      <w:ind w:left="440"/>
      <w:jc w:val="both"/>
    </w:pPr>
    <w:rPr>
      <w:rFonts w:ascii="Simplified Arabic" w:eastAsiaTheme="minorEastAsia" w:hAnsi="Simplified Arabic" w:cs="Simplified Arabic"/>
      <w:b/>
      <w:bCs/>
      <w:noProof/>
      <w:lang w:eastAsia="fr-FR" w:bidi="ar-DZ"/>
    </w:rPr>
  </w:style>
  <w:style w:type="paragraph" w:styleId="TM4">
    <w:name w:val="toc 4"/>
    <w:basedOn w:val="Normal"/>
    <w:next w:val="Normal"/>
    <w:autoRedefine/>
    <w:uiPriority w:val="39"/>
    <w:unhideWhenUsed/>
    <w:rsid w:val="003D0608"/>
    <w:pPr>
      <w:spacing w:after="100"/>
      <w:ind w:left="660"/>
    </w:pPr>
    <w:rPr>
      <w:rFonts w:eastAsiaTheme="minorEastAsia"/>
      <w:lang w:eastAsia="fr-FR"/>
    </w:rPr>
  </w:style>
  <w:style w:type="paragraph" w:styleId="TM5">
    <w:name w:val="toc 5"/>
    <w:basedOn w:val="Normal"/>
    <w:next w:val="Normal"/>
    <w:autoRedefine/>
    <w:uiPriority w:val="39"/>
    <w:unhideWhenUsed/>
    <w:rsid w:val="003D0608"/>
    <w:pPr>
      <w:spacing w:after="100"/>
      <w:ind w:left="880"/>
    </w:pPr>
    <w:rPr>
      <w:rFonts w:eastAsiaTheme="minorEastAsia"/>
      <w:lang w:eastAsia="fr-FR"/>
    </w:rPr>
  </w:style>
  <w:style w:type="paragraph" w:styleId="TM6">
    <w:name w:val="toc 6"/>
    <w:basedOn w:val="Normal"/>
    <w:next w:val="Normal"/>
    <w:autoRedefine/>
    <w:uiPriority w:val="39"/>
    <w:unhideWhenUsed/>
    <w:rsid w:val="003D0608"/>
    <w:pPr>
      <w:spacing w:after="100"/>
      <w:ind w:left="1100"/>
    </w:pPr>
    <w:rPr>
      <w:rFonts w:eastAsiaTheme="minorEastAsia"/>
      <w:lang w:eastAsia="fr-FR"/>
    </w:rPr>
  </w:style>
  <w:style w:type="paragraph" w:styleId="TM7">
    <w:name w:val="toc 7"/>
    <w:basedOn w:val="Normal"/>
    <w:next w:val="Normal"/>
    <w:autoRedefine/>
    <w:uiPriority w:val="39"/>
    <w:unhideWhenUsed/>
    <w:rsid w:val="003D0608"/>
    <w:pPr>
      <w:spacing w:after="100"/>
      <w:ind w:left="1320"/>
    </w:pPr>
    <w:rPr>
      <w:rFonts w:eastAsiaTheme="minorEastAsia"/>
      <w:lang w:eastAsia="fr-FR"/>
    </w:rPr>
  </w:style>
  <w:style w:type="paragraph" w:styleId="TM8">
    <w:name w:val="toc 8"/>
    <w:basedOn w:val="Normal"/>
    <w:next w:val="Normal"/>
    <w:autoRedefine/>
    <w:uiPriority w:val="39"/>
    <w:unhideWhenUsed/>
    <w:rsid w:val="003D0608"/>
    <w:pPr>
      <w:spacing w:after="100"/>
      <w:ind w:left="1540"/>
    </w:pPr>
    <w:rPr>
      <w:rFonts w:eastAsiaTheme="minorEastAsia"/>
      <w:lang w:eastAsia="fr-FR"/>
    </w:rPr>
  </w:style>
  <w:style w:type="paragraph" w:styleId="TM9">
    <w:name w:val="toc 9"/>
    <w:basedOn w:val="Normal"/>
    <w:next w:val="Normal"/>
    <w:autoRedefine/>
    <w:uiPriority w:val="39"/>
    <w:unhideWhenUsed/>
    <w:rsid w:val="003D0608"/>
    <w:pPr>
      <w:spacing w:after="100"/>
      <w:ind w:left="1760"/>
    </w:pPr>
    <w:rPr>
      <w:rFonts w:eastAsiaTheme="minorEastAsia"/>
      <w:lang w:eastAsia="fr-FR"/>
    </w:rPr>
  </w:style>
  <w:style w:type="paragraph" w:customStyle="1" w:styleId="fegure">
    <w:name w:val="fegure"/>
    <w:basedOn w:val="Normal"/>
    <w:link w:val="fegureCar"/>
    <w:qFormat/>
    <w:rsid w:val="00654AB3"/>
    <w:pPr>
      <w:bidi/>
      <w:spacing w:after="0" w:line="240" w:lineRule="auto"/>
      <w:jc w:val="center"/>
      <w:outlineLvl w:val="0"/>
    </w:pPr>
    <w:rPr>
      <w:rFonts w:ascii="Simplified Arabic" w:hAnsi="Simplified Arabic" w:cs="Simplified Arabic"/>
      <w:bCs/>
      <w:color w:val="000000" w:themeColor="text1"/>
      <w:sz w:val="24"/>
      <w:szCs w:val="56"/>
    </w:rPr>
  </w:style>
  <w:style w:type="character" w:customStyle="1" w:styleId="Titre3Car">
    <w:name w:val="Titre 3 Car"/>
    <w:basedOn w:val="Policepardfaut"/>
    <w:link w:val="Titre3"/>
    <w:uiPriority w:val="9"/>
    <w:semiHidden/>
    <w:rsid w:val="003A762D"/>
    <w:rPr>
      <w:rFonts w:asciiTheme="majorHAnsi" w:eastAsiaTheme="majorEastAsia" w:hAnsiTheme="majorHAnsi" w:cstheme="majorBidi"/>
      <w:b/>
      <w:bCs/>
      <w:color w:val="4F81BD" w:themeColor="accent1"/>
    </w:rPr>
  </w:style>
  <w:style w:type="character" w:customStyle="1" w:styleId="fegureCar">
    <w:name w:val="fegure Car"/>
    <w:basedOn w:val="Policepardfaut"/>
    <w:link w:val="fegure"/>
    <w:rsid w:val="00654AB3"/>
    <w:rPr>
      <w:rFonts w:ascii="Simplified Arabic" w:hAnsi="Simplified Arabic" w:cs="Simplified Arabic"/>
      <w:bCs/>
      <w:color w:val="000000" w:themeColor="text1"/>
      <w:sz w:val="24"/>
      <w:szCs w:val="56"/>
    </w:rPr>
  </w:style>
  <w:style w:type="character" w:customStyle="1" w:styleId="Titre4Car">
    <w:name w:val="Titre 4 Car"/>
    <w:basedOn w:val="Policepardfaut"/>
    <w:link w:val="Titre4"/>
    <w:uiPriority w:val="9"/>
    <w:semiHidden/>
    <w:rsid w:val="003A762D"/>
    <w:rPr>
      <w:rFonts w:asciiTheme="majorHAnsi" w:eastAsiaTheme="majorEastAsia" w:hAnsiTheme="majorHAnsi" w:cstheme="majorBidi"/>
      <w:b/>
      <w:bCs/>
      <w:i/>
      <w:iCs/>
      <w:color w:val="4F81BD" w:themeColor="accent1"/>
    </w:rPr>
  </w:style>
  <w:style w:type="paragraph" w:customStyle="1" w:styleId="Tableau">
    <w:name w:val="Tableau"/>
    <w:basedOn w:val="Normal"/>
    <w:link w:val="TableauCar"/>
    <w:qFormat/>
    <w:rsid w:val="00045FEB"/>
    <w:pPr>
      <w:tabs>
        <w:tab w:val="left" w:pos="3128"/>
      </w:tabs>
      <w:bidi/>
      <w:spacing w:before="240" w:after="0" w:line="240" w:lineRule="auto"/>
      <w:jc w:val="center"/>
      <w:outlineLvl w:val="0"/>
    </w:pPr>
    <w:rPr>
      <w:rFonts w:ascii="Simplified Arabic" w:hAnsi="Simplified Arabic" w:cs="Simplified Arabic"/>
      <w:b/>
      <w:bCs/>
      <w:sz w:val="24"/>
      <w:szCs w:val="24"/>
    </w:rPr>
  </w:style>
  <w:style w:type="paragraph" w:customStyle="1" w:styleId="carte">
    <w:name w:val="carte"/>
    <w:basedOn w:val="Normal"/>
    <w:link w:val="carteCar"/>
    <w:qFormat/>
    <w:rsid w:val="00A9318D"/>
    <w:pPr>
      <w:tabs>
        <w:tab w:val="left" w:pos="3128"/>
      </w:tabs>
      <w:bidi/>
      <w:spacing w:before="120" w:after="120" w:line="240" w:lineRule="auto"/>
      <w:jc w:val="center"/>
      <w:outlineLvl w:val="0"/>
    </w:pPr>
    <w:rPr>
      <w:rFonts w:ascii="Simplified Arabic" w:hAnsi="Simplified Arabic" w:cs="Simplified Arabic"/>
      <w:b/>
      <w:bCs/>
      <w:sz w:val="24"/>
      <w:szCs w:val="24"/>
    </w:rPr>
  </w:style>
  <w:style w:type="character" w:customStyle="1" w:styleId="TableauCar">
    <w:name w:val="Tableau Car"/>
    <w:basedOn w:val="Policepardfaut"/>
    <w:link w:val="Tableau"/>
    <w:rsid w:val="00045FEB"/>
    <w:rPr>
      <w:rFonts w:ascii="Simplified Arabic" w:hAnsi="Simplified Arabic" w:cs="Simplified Arabic"/>
      <w:b/>
      <w:bCs/>
      <w:sz w:val="24"/>
      <w:szCs w:val="24"/>
    </w:rPr>
  </w:style>
  <w:style w:type="paragraph" w:customStyle="1" w:styleId="Photo">
    <w:name w:val="Photo"/>
    <w:basedOn w:val="Normal"/>
    <w:link w:val="PhotoCar"/>
    <w:qFormat/>
    <w:rsid w:val="006D732F"/>
    <w:pPr>
      <w:tabs>
        <w:tab w:val="left" w:pos="3128"/>
      </w:tabs>
      <w:bidi/>
      <w:spacing w:before="240" w:after="0" w:line="240" w:lineRule="auto"/>
      <w:jc w:val="center"/>
      <w:outlineLvl w:val="0"/>
    </w:pPr>
    <w:rPr>
      <w:rFonts w:ascii="Simplified Arabic" w:hAnsi="Simplified Arabic" w:cs="Simplified Arabic"/>
      <w:b/>
      <w:bCs/>
      <w:sz w:val="24"/>
      <w:szCs w:val="24"/>
    </w:rPr>
  </w:style>
  <w:style w:type="character" w:customStyle="1" w:styleId="carteCar">
    <w:name w:val="carte Car"/>
    <w:basedOn w:val="Policepardfaut"/>
    <w:link w:val="carte"/>
    <w:rsid w:val="00A9318D"/>
    <w:rPr>
      <w:rFonts w:ascii="Simplified Arabic" w:hAnsi="Simplified Arabic" w:cs="Simplified Arabic"/>
      <w:b/>
      <w:bCs/>
      <w:sz w:val="24"/>
      <w:szCs w:val="24"/>
    </w:rPr>
  </w:style>
  <w:style w:type="character" w:customStyle="1" w:styleId="PhotoCar">
    <w:name w:val="Photo Car"/>
    <w:basedOn w:val="Policepardfaut"/>
    <w:link w:val="Photo"/>
    <w:rsid w:val="006D732F"/>
    <w:rPr>
      <w:rFonts w:ascii="Simplified Arabic" w:hAnsi="Simplified Arabic" w:cs="Simplified Arabic"/>
      <w:b/>
      <w:bCs/>
      <w:sz w:val="24"/>
      <w:szCs w:val="24"/>
    </w:rPr>
  </w:style>
  <w:style w:type="paragraph" w:customStyle="1" w:styleId="Rsum">
    <w:name w:val="Résumé"/>
    <w:basedOn w:val="TM1"/>
    <w:link w:val="RsumCar"/>
    <w:qFormat/>
    <w:rsid w:val="00531390"/>
    <w:rPr>
      <w:rFonts w:eastAsia="Arial Unicode MS"/>
    </w:rPr>
  </w:style>
  <w:style w:type="paragraph" w:customStyle="1" w:styleId="Style1">
    <w:name w:val="Style1"/>
    <w:basedOn w:val="TM1"/>
    <w:link w:val="Style1Car"/>
    <w:qFormat/>
    <w:rsid w:val="00531390"/>
    <w:rPr>
      <w:rFonts w:asciiTheme="majorBidi" w:hAnsiTheme="majorBidi" w:cstheme="majorBidi"/>
    </w:rPr>
  </w:style>
  <w:style w:type="character" w:customStyle="1" w:styleId="TM1Car">
    <w:name w:val="TM 1 Car"/>
    <w:basedOn w:val="Policepardfaut"/>
    <w:link w:val="TM1"/>
    <w:uiPriority w:val="39"/>
    <w:rsid w:val="009579D2"/>
    <w:rPr>
      <w:rFonts w:ascii="Simplified Arabic" w:eastAsiaTheme="minorEastAsia" w:hAnsi="Simplified Arabic" w:cs="Simplified Arabic"/>
      <w:b/>
      <w:bCs/>
      <w:noProof/>
      <w:color w:val="000000" w:themeColor="text1"/>
      <w:lang w:val="en-US" w:eastAsia="fr-FR" w:bidi="ar-DZ"/>
    </w:rPr>
  </w:style>
  <w:style w:type="character" w:customStyle="1" w:styleId="RsumCar">
    <w:name w:val="Résumé Car"/>
    <w:basedOn w:val="TM1Car"/>
    <w:link w:val="Rsum"/>
    <w:rsid w:val="00531390"/>
    <w:rPr>
      <w:rFonts w:ascii="Simplified Arabic" w:eastAsia="Arial Unicode MS" w:hAnsi="Simplified Arabic" w:cs="Simplified Arabic"/>
      <w:b/>
      <w:bCs/>
      <w:noProof/>
      <w:color w:val="000000" w:themeColor="text1"/>
      <w:lang w:val="en-US" w:eastAsia="fr-FR" w:bidi="ar-DZ"/>
    </w:rPr>
  </w:style>
  <w:style w:type="character" w:customStyle="1" w:styleId="Style1Car">
    <w:name w:val="Style1 Car"/>
    <w:basedOn w:val="TM1Car"/>
    <w:link w:val="Style1"/>
    <w:rsid w:val="00531390"/>
    <w:rPr>
      <w:rFonts w:asciiTheme="majorBidi" w:eastAsiaTheme="minorEastAsia" w:hAnsiTheme="majorBidi" w:cstheme="majorBidi"/>
      <w:b/>
      <w:bCs/>
      <w:noProof/>
      <w:color w:val="000000" w:themeColor="text1"/>
      <w:lang w:val="en-US" w:eastAsia="fr-FR" w:bidi="ar-DZ"/>
    </w:rPr>
  </w:style>
  <w:style w:type="character" w:customStyle="1" w:styleId="CommentaireCar1">
    <w:name w:val="Commentaire Car1"/>
    <w:basedOn w:val="Policepardfaut"/>
    <w:uiPriority w:val="99"/>
    <w:semiHidden/>
    <w:rsid w:val="00E12AF7"/>
    <w:rPr>
      <w:sz w:val="20"/>
      <w:szCs w:val="20"/>
    </w:rPr>
  </w:style>
  <w:style w:type="character" w:customStyle="1" w:styleId="ObjetducommentaireCar1">
    <w:name w:val="Objet du commentaire Car1"/>
    <w:basedOn w:val="CommentaireCar1"/>
    <w:uiPriority w:val="99"/>
    <w:semiHidden/>
    <w:rsid w:val="00E12AF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AC06C7"/>
    <w:pPr>
      <w:keepNext/>
      <w:spacing w:before="240" w:after="60"/>
      <w:outlineLvl w:val="0"/>
    </w:pPr>
    <w:rPr>
      <w:rFonts w:ascii="Cambria" w:eastAsia="Times New Roman" w:hAnsi="Cambria" w:cs="Times New Roman"/>
      <w:b/>
      <w:bCs/>
      <w:kern w:val="32"/>
      <w:sz w:val="32"/>
      <w:szCs w:val="32"/>
    </w:rPr>
  </w:style>
  <w:style w:type="paragraph" w:styleId="Titre2">
    <w:name w:val="heading 2"/>
    <w:basedOn w:val="Normal"/>
    <w:next w:val="Normal"/>
    <w:link w:val="Titre2Car"/>
    <w:uiPriority w:val="9"/>
    <w:unhideWhenUsed/>
    <w:qFormat/>
    <w:rsid w:val="002208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3A762D"/>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3A762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C06C7"/>
    <w:rPr>
      <w:rFonts w:ascii="Cambria" w:eastAsia="Times New Roman" w:hAnsi="Cambria" w:cs="Times New Roman"/>
      <w:b/>
      <w:bCs/>
      <w:kern w:val="32"/>
      <w:sz w:val="32"/>
      <w:szCs w:val="32"/>
    </w:rPr>
  </w:style>
  <w:style w:type="character" w:customStyle="1" w:styleId="Titre2Car">
    <w:name w:val="Titre 2 Car"/>
    <w:basedOn w:val="Policepardfaut"/>
    <w:link w:val="Titre2"/>
    <w:uiPriority w:val="9"/>
    <w:rsid w:val="0022082E"/>
    <w:rPr>
      <w:rFonts w:asciiTheme="majorHAnsi" w:eastAsiaTheme="majorEastAsia" w:hAnsiTheme="majorHAnsi" w:cstheme="majorBidi"/>
      <w:b/>
      <w:bCs/>
      <w:color w:val="4F81BD" w:themeColor="accent1"/>
      <w:sz w:val="26"/>
      <w:szCs w:val="26"/>
    </w:rPr>
  </w:style>
  <w:style w:type="paragraph" w:styleId="Sansinterligne">
    <w:name w:val="No Spacing"/>
    <w:link w:val="SansinterligneCar"/>
    <w:uiPriority w:val="1"/>
    <w:qFormat/>
    <w:rsid w:val="005F7175"/>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5F7175"/>
    <w:rPr>
      <w:rFonts w:eastAsiaTheme="minorEastAsia"/>
      <w:lang w:eastAsia="fr-FR"/>
    </w:rPr>
  </w:style>
  <w:style w:type="paragraph" w:styleId="Textedebulles">
    <w:name w:val="Balloon Text"/>
    <w:basedOn w:val="Normal"/>
    <w:link w:val="TextedebullesCar"/>
    <w:uiPriority w:val="99"/>
    <w:semiHidden/>
    <w:unhideWhenUsed/>
    <w:rsid w:val="005F717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7175"/>
    <w:rPr>
      <w:rFonts w:ascii="Tahoma" w:hAnsi="Tahoma" w:cs="Tahoma"/>
      <w:sz w:val="16"/>
      <w:szCs w:val="16"/>
    </w:rPr>
  </w:style>
  <w:style w:type="table" w:styleId="Grilledutableau">
    <w:name w:val="Table Grid"/>
    <w:basedOn w:val="TableauNormal"/>
    <w:uiPriority w:val="59"/>
    <w:rsid w:val="00C50D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rodeligne">
    <w:name w:val="line number"/>
    <w:basedOn w:val="Policepardfaut"/>
    <w:uiPriority w:val="99"/>
    <w:semiHidden/>
    <w:unhideWhenUsed/>
    <w:rsid w:val="00766051"/>
  </w:style>
  <w:style w:type="paragraph" w:styleId="En-tte">
    <w:name w:val="header"/>
    <w:basedOn w:val="Normal"/>
    <w:link w:val="En-tteCar"/>
    <w:uiPriority w:val="99"/>
    <w:unhideWhenUsed/>
    <w:rsid w:val="00766051"/>
    <w:pPr>
      <w:tabs>
        <w:tab w:val="center" w:pos="4536"/>
        <w:tab w:val="right" w:pos="9072"/>
      </w:tabs>
      <w:spacing w:after="0" w:line="240" w:lineRule="auto"/>
    </w:pPr>
  </w:style>
  <w:style w:type="character" w:customStyle="1" w:styleId="En-tteCar">
    <w:name w:val="En-tête Car"/>
    <w:basedOn w:val="Policepardfaut"/>
    <w:link w:val="En-tte"/>
    <w:uiPriority w:val="99"/>
    <w:rsid w:val="00766051"/>
  </w:style>
  <w:style w:type="paragraph" w:styleId="Pieddepage">
    <w:name w:val="footer"/>
    <w:basedOn w:val="Normal"/>
    <w:link w:val="PieddepageCar"/>
    <w:uiPriority w:val="99"/>
    <w:unhideWhenUsed/>
    <w:rsid w:val="0076605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66051"/>
  </w:style>
  <w:style w:type="paragraph" w:styleId="Corpsdetexte">
    <w:name w:val="Body Text"/>
    <w:basedOn w:val="Normal"/>
    <w:link w:val="CorpsdetexteCar"/>
    <w:uiPriority w:val="1"/>
    <w:unhideWhenUsed/>
    <w:qFormat/>
    <w:rsid w:val="003D5EC0"/>
    <w:pPr>
      <w:bidi/>
      <w:spacing w:after="120" w:line="240" w:lineRule="auto"/>
    </w:pPr>
    <w:rPr>
      <w:rFonts w:ascii="Times New Roman" w:eastAsia="Times New Roman" w:hAnsi="Times New Roman" w:cs="Times New Roman"/>
      <w:sz w:val="24"/>
      <w:szCs w:val="24"/>
      <w:lang w:val="en-US" w:bidi="ar-DZ"/>
    </w:rPr>
  </w:style>
  <w:style w:type="character" w:customStyle="1" w:styleId="CorpsdetexteCar">
    <w:name w:val="Corps de texte Car"/>
    <w:basedOn w:val="Policepardfaut"/>
    <w:link w:val="Corpsdetexte"/>
    <w:uiPriority w:val="1"/>
    <w:rsid w:val="003D5EC0"/>
    <w:rPr>
      <w:rFonts w:ascii="Times New Roman" w:eastAsia="Times New Roman" w:hAnsi="Times New Roman" w:cs="Times New Roman"/>
      <w:sz w:val="24"/>
      <w:szCs w:val="24"/>
      <w:lang w:val="en-US" w:bidi="ar-DZ"/>
    </w:rPr>
  </w:style>
  <w:style w:type="paragraph" w:customStyle="1" w:styleId="Default">
    <w:name w:val="Default"/>
    <w:rsid w:val="0022082E"/>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22082E"/>
    <w:pPr>
      <w:ind w:left="720"/>
      <w:contextualSpacing/>
    </w:pPr>
  </w:style>
  <w:style w:type="paragraph" w:styleId="NormalWeb">
    <w:name w:val="Normal (Web)"/>
    <w:basedOn w:val="Normal"/>
    <w:uiPriority w:val="99"/>
    <w:unhideWhenUsed/>
    <w:rsid w:val="0022082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y2iqfc">
    <w:name w:val="y2iqfc"/>
    <w:rsid w:val="0022082E"/>
  </w:style>
  <w:style w:type="character" w:styleId="Lienhypertexte">
    <w:name w:val="Hyperlink"/>
    <w:basedOn w:val="Policepardfaut"/>
    <w:uiPriority w:val="99"/>
    <w:unhideWhenUsed/>
    <w:rsid w:val="0022082E"/>
    <w:rPr>
      <w:color w:val="0000FF"/>
      <w:u w:val="single"/>
    </w:rPr>
  </w:style>
  <w:style w:type="character" w:styleId="Textedelespacerserv">
    <w:name w:val="Placeholder Text"/>
    <w:basedOn w:val="Policepardfaut"/>
    <w:uiPriority w:val="99"/>
    <w:semiHidden/>
    <w:rsid w:val="0022082E"/>
    <w:rPr>
      <w:color w:val="808080"/>
    </w:rPr>
  </w:style>
  <w:style w:type="character" w:styleId="Accentuation">
    <w:name w:val="Emphasis"/>
    <w:basedOn w:val="Policepardfaut"/>
    <w:uiPriority w:val="20"/>
    <w:qFormat/>
    <w:rsid w:val="0022082E"/>
    <w:rPr>
      <w:i/>
      <w:iCs/>
    </w:rPr>
  </w:style>
  <w:style w:type="character" w:customStyle="1" w:styleId="authors-list-item">
    <w:name w:val="authors-list-item"/>
    <w:basedOn w:val="Policepardfaut"/>
    <w:rsid w:val="0022082E"/>
  </w:style>
  <w:style w:type="character" w:customStyle="1" w:styleId="comma">
    <w:name w:val="comma"/>
    <w:basedOn w:val="Policepardfaut"/>
    <w:rsid w:val="0022082E"/>
  </w:style>
  <w:style w:type="character" w:customStyle="1" w:styleId="viiyi">
    <w:name w:val="viiyi"/>
    <w:basedOn w:val="Policepardfaut"/>
    <w:rsid w:val="007F2A45"/>
  </w:style>
  <w:style w:type="character" w:customStyle="1" w:styleId="q4iawc">
    <w:name w:val="q4iawc"/>
    <w:basedOn w:val="Policepardfaut"/>
    <w:rsid w:val="007F2A45"/>
  </w:style>
  <w:style w:type="character" w:customStyle="1" w:styleId="A12">
    <w:name w:val="A12"/>
    <w:uiPriority w:val="99"/>
    <w:rsid w:val="00AC06C7"/>
    <w:rPr>
      <w:i/>
      <w:iCs/>
      <w:color w:val="000000"/>
      <w:sz w:val="14"/>
      <w:szCs w:val="14"/>
    </w:rPr>
  </w:style>
  <w:style w:type="paragraph" w:customStyle="1" w:styleId="texte">
    <w:name w:val="texte"/>
    <w:basedOn w:val="Normal"/>
    <w:rsid w:val="00AC06C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uiPriority w:val="22"/>
    <w:qFormat/>
    <w:rsid w:val="00AC06C7"/>
    <w:rPr>
      <w:b/>
      <w:bCs/>
    </w:rPr>
  </w:style>
  <w:style w:type="paragraph" w:styleId="Notedebasdepage">
    <w:name w:val="footnote text"/>
    <w:basedOn w:val="Normal"/>
    <w:link w:val="NotedebasdepageCar"/>
    <w:uiPriority w:val="99"/>
    <w:semiHidden/>
    <w:unhideWhenUsed/>
    <w:rsid w:val="00AC06C7"/>
    <w:pPr>
      <w:spacing w:after="0" w:line="240" w:lineRule="auto"/>
    </w:pPr>
    <w:rPr>
      <w:rFonts w:ascii="Calibri" w:eastAsia="Calibri" w:hAnsi="Calibri" w:cs="Arial"/>
      <w:sz w:val="20"/>
      <w:szCs w:val="20"/>
    </w:rPr>
  </w:style>
  <w:style w:type="character" w:customStyle="1" w:styleId="NotedebasdepageCar">
    <w:name w:val="Note de bas de page Car"/>
    <w:basedOn w:val="Policepardfaut"/>
    <w:link w:val="Notedebasdepage"/>
    <w:uiPriority w:val="99"/>
    <w:semiHidden/>
    <w:rsid w:val="00AC06C7"/>
    <w:rPr>
      <w:rFonts w:ascii="Calibri" w:eastAsia="Calibri" w:hAnsi="Calibri" w:cs="Arial"/>
      <w:sz w:val="20"/>
      <w:szCs w:val="20"/>
    </w:rPr>
  </w:style>
  <w:style w:type="character" w:styleId="Appelnotedebasdep">
    <w:name w:val="footnote reference"/>
    <w:uiPriority w:val="99"/>
    <w:semiHidden/>
    <w:unhideWhenUsed/>
    <w:rsid w:val="00AC06C7"/>
    <w:rPr>
      <w:vertAlign w:val="superscript"/>
    </w:rPr>
  </w:style>
  <w:style w:type="paragraph" w:styleId="PrformatHTML">
    <w:name w:val="HTML Preformatted"/>
    <w:basedOn w:val="Normal"/>
    <w:link w:val="PrformatHTMLCar"/>
    <w:uiPriority w:val="99"/>
    <w:unhideWhenUsed/>
    <w:rsid w:val="00AC06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C06C7"/>
    <w:rPr>
      <w:rFonts w:ascii="Courier New" w:eastAsia="Times New Roman" w:hAnsi="Courier New" w:cs="Courier New"/>
      <w:sz w:val="20"/>
      <w:szCs w:val="20"/>
      <w:lang w:eastAsia="fr-FR"/>
    </w:rPr>
  </w:style>
  <w:style w:type="paragraph" w:customStyle="1" w:styleId="Pa9">
    <w:name w:val="Pa9"/>
    <w:basedOn w:val="Default"/>
    <w:next w:val="Default"/>
    <w:uiPriority w:val="99"/>
    <w:rsid w:val="00AC06C7"/>
    <w:pPr>
      <w:spacing w:line="201" w:lineRule="atLeast"/>
    </w:pPr>
    <w:rPr>
      <w:rFonts w:ascii="Arial" w:eastAsia="Calibri" w:hAnsi="Arial" w:cs="Arial"/>
      <w:color w:val="auto"/>
      <w:lang w:eastAsia="fr-FR"/>
    </w:rPr>
  </w:style>
  <w:style w:type="paragraph" w:customStyle="1" w:styleId="Pa12">
    <w:name w:val="Pa12"/>
    <w:basedOn w:val="Default"/>
    <w:next w:val="Default"/>
    <w:uiPriority w:val="99"/>
    <w:rsid w:val="00AC06C7"/>
    <w:pPr>
      <w:spacing w:line="201" w:lineRule="atLeast"/>
    </w:pPr>
    <w:rPr>
      <w:rFonts w:ascii="Arial" w:eastAsia="Calibri" w:hAnsi="Arial" w:cs="Arial"/>
      <w:color w:val="auto"/>
      <w:lang w:eastAsia="fr-FR"/>
    </w:rPr>
  </w:style>
  <w:style w:type="paragraph" w:customStyle="1" w:styleId="Pa15">
    <w:name w:val="Pa15"/>
    <w:basedOn w:val="Default"/>
    <w:next w:val="Default"/>
    <w:uiPriority w:val="99"/>
    <w:rsid w:val="00AC06C7"/>
    <w:pPr>
      <w:spacing w:line="201" w:lineRule="atLeast"/>
    </w:pPr>
    <w:rPr>
      <w:rFonts w:ascii="Arial" w:eastAsia="Calibri" w:hAnsi="Arial" w:cs="Arial"/>
      <w:color w:val="auto"/>
      <w:lang w:eastAsia="fr-FR"/>
    </w:rPr>
  </w:style>
  <w:style w:type="character" w:customStyle="1" w:styleId="A0">
    <w:name w:val="A0"/>
    <w:uiPriority w:val="99"/>
    <w:rsid w:val="00AC06C7"/>
    <w:rPr>
      <w:b/>
      <w:bCs/>
      <w:color w:val="000000"/>
      <w:sz w:val="20"/>
      <w:szCs w:val="20"/>
    </w:rPr>
  </w:style>
  <w:style w:type="character" w:customStyle="1" w:styleId="A1">
    <w:name w:val="A1"/>
    <w:uiPriority w:val="99"/>
    <w:rsid w:val="00AC06C7"/>
    <w:rPr>
      <w:color w:val="000000"/>
      <w:sz w:val="16"/>
      <w:szCs w:val="16"/>
    </w:rPr>
  </w:style>
  <w:style w:type="paragraph" w:customStyle="1" w:styleId="Pa16">
    <w:name w:val="Pa16"/>
    <w:basedOn w:val="Default"/>
    <w:next w:val="Default"/>
    <w:uiPriority w:val="99"/>
    <w:rsid w:val="00AC06C7"/>
    <w:pPr>
      <w:spacing w:line="201" w:lineRule="atLeast"/>
    </w:pPr>
    <w:rPr>
      <w:rFonts w:ascii="Arial" w:eastAsia="Calibri" w:hAnsi="Arial" w:cs="Arial"/>
      <w:color w:val="auto"/>
      <w:lang w:eastAsia="fr-FR"/>
    </w:rPr>
  </w:style>
  <w:style w:type="character" w:customStyle="1" w:styleId="A7">
    <w:name w:val="A7"/>
    <w:uiPriority w:val="99"/>
    <w:rsid w:val="00AC06C7"/>
    <w:rPr>
      <w:color w:val="000000"/>
      <w:sz w:val="18"/>
      <w:szCs w:val="18"/>
    </w:rPr>
  </w:style>
  <w:style w:type="paragraph" w:customStyle="1" w:styleId="Pa5">
    <w:name w:val="Pa5"/>
    <w:basedOn w:val="Default"/>
    <w:next w:val="Default"/>
    <w:uiPriority w:val="99"/>
    <w:rsid w:val="00AC06C7"/>
    <w:pPr>
      <w:spacing w:line="221" w:lineRule="atLeast"/>
    </w:pPr>
    <w:rPr>
      <w:rFonts w:ascii="Arial" w:eastAsia="Calibri" w:hAnsi="Arial" w:cs="Arial"/>
      <w:color w:val="auto"/>
      <w:lang w:eastAsia="fr-FR"/>
    </w:rPr>
  </w:style>
  <w:style w:type="character" w:customStyle="1" w:styleId="markedcontent">
    <w:name w:val="markedcontent"/>
    <w:rsid w:val="00AC06C7"/>
  </w:style>
  <w:style w:type="character" w:customStyle="1" w:styleId="A4">
    <w:name w:val="A4"/>
    <w:uiPriority w:val="99"/>
    <w:rsid w:val="00AC06C7"/>
    <w:rPr>
      <w:color w:val="000000"/>
      <w:sz w:val="22"/>
      <w:szCs w:val="22"/>
    </w:rPr>
  </w:style>
  <w:style w:type="character" w:customStyle="1" w:styleId="jlqj4b">
    <w:name w:val="jlqj4b"/>
    <w:rsid w:val="00AC06C7"/>
  </w:style>
  <w:style w:type="paragraph" w:styleId="Lgende">
    <w:name w:val="caption"/>
    <w:basedOn w:val="Normal"/>
    <w:next w:val="Normal"/>
    <w:uiPriority w:val="35"/>
    <w:unhideWhenUsed/>
    <w:qFormat/>
    <w:rsid w:val="00A903CE"/>
    <w:pPr>
      <w:spacing w:line="240" w:lineRule="auto"/>
    </w:pPr>
    <w:rPr>
      <w:b/>
      <w:bCs/>
      <w:color w:val="4F81BD" w:themeColor="accent1"/>
      <w:sz w:val="18"/>
      <w:szCs w:val="18"/>
    </w:rPr>
  </w:style>
  <w:style w:type="character" w:customStyle="1" w:styleId="CommentaireCar">
    <w:name w:val="Commentaire Car"/>
    <w:basedOn w:val="Policepardfaut"/>
    <w:link w:val="Commentaire"/>
    <w:uiPriority w:val="99"/>
    <w:semiHidden/>
    <w:rsid w:val="000B42BD"/>
    <w:rPr>
      <w:sz w:val="20"/>
      <w:szCs w:val="20"/>
    </w:rPr>
  </w:style>
  <w:style w:type="paragraph" w:styleId="Commentaire">
    <w:name w:val="annotation text"/>
    <w:basedOn w:val="Normal"/>
    <w:link w:val="CommentaireCar"/>
    <w:uiPriority w:val="99"/>
    <w:semiHidden/>
    <w:unhideWhenUsed/>
    <w:rsid w:val="000B42BD"/>
    <w:pPr>
      <w:spacing w:line="240" w:lineRule="auto"/>
    </w:pPr>
    <w:rPr>
      <w:sz w:val="20"/>
      <w:szCs w:val="20"/>
    </w:rPr>
  </w:style>
  <w:style w:type="character" w:customStyle="1" w:styleId="ObjetducommentaireCar">
    <w:name w:val="Objet du commentaire Car"/>
    <w:basedOn w:val="CommentaireCar"/>
    <w:link w:val="Objetducommentaire"/>
    <w:uiPriority w:val="99"/>
    <w:semiHidden/>
    <w:rsid w:val="000B42BD"/>
    <w:rPr>
      <w:b/>
      <w:bCs/>
      <w:sz w:val="20"/>
      <w:szCs w:val="20"/>
    </w:rPr>
  </w:style>
  <w:style w:type="paragraph" w:styleId="Objetducommentaire">
    <w:name w:val="annotation subject"/>
    <w:basedOn w:val="Commentaire"/>
    <w:next w:val="Commentaire"/>
    <w:link w:val="ObjetducommentaireCar"/>
    <w:uiPriority w:val="99"/>
    <w:semiHidden/>
    <w:unhideWhenUsed/>
    <w:rsid w:val="000B42BD"/>
    <w:rPr>
      <w:b/>
      <w:bCs/>
    </w:rPr>
  </w:style>
  <w:style w:type="paragraph" w:customStyle="1" w:styleId="ETASRfigurecaption">
    <w:name w:val="ETASR figure caption"/>
    <w:basedOn w:val="Normal"/>
    <w:rsid w:val="0044599C"/>
    <w:pPr>
      <w:spacing w:before="80" w:line="240" w:lineRule="auto"/>
      <w:jc w:val="center"/>
    </w:pPr>
    <w:rPr>
      <w:rFonts w:ascii="Times New Roman" w:eastAsia="SimSun" w:hAnsi="Times New Roman" w:cs="Times New Roman"/>
      <w:noProof/>
      <w:sz w:val="16"/>
      <w:szCs w:val="16"/>
      <w:lang w:val="en-US"/>
    </w:rPr>
  </w:style>
  <w:style w:type="character" w:customStyle="1" w:styleId="epub-sectionitem">
    <w:name w:val="epub-section__item"/>
    <w:rsid w:val="0044599C"/>
  </w:style>
  <w:style w:type="character" w:customStyle="1" w:styleId="epub-sectiondate">
    <w:name w:val="epub-section__date"/>
    <w:rsid w:val="0044599C"/>
  </w:style>
  <w:style w:type="character" w:styleId="Lienhypertextesuivivisit">
    <w:name w:val="FollowedHyperlink"/>
    <w:basedOn w:val="Policepardfaut"/>
    <w:uiPriority w:val="99"/>
    <w:semiHidden/>
    <w:unhideWhenUsed/>
    <w:rsid w:val="00594B9C"/>
    <w:rPr>
      <w:color w:val="800080" w:themeColor="followedHyperlink"/>
      <w:u w:val="single"/>
    </w:rPr>
  </w:style>
  <w:style w:type="character" w:customStyle="1" w:styleId="familyname">
    <w:name w:val="familyname"/>
    <w:basedOn w:val="Policepardfaut"/>
    <w:rsid w:val="002F2722"/>
  </w:style>
  <w:style w:type="character" w:customStyle="1" w:styleId="rynqvb">
    <w:name w:val="rynqvb"/>
    <w:basedOn w:val="Policepardfaut"/>
    <w:rsid w:val="00EE6A21"/>
  </w:style>
  <w:style w:type="paragraph" w:customStyle="1" w:styleId="AB630D60F59F403CB531B268FE76FA17">
    <w:name w:val="AB630D60F59F403CB531B268FE76FA17"/>
    <w:rsid w:val="00852167"/>
    <w:rPr>
      <w:rFonts w:eastAsiaTheme="minorEastAsia"/>
      <w:lang w:eastAsia="fr-FR"/>
    </w:rPr>
  </w:style>
  <w:style w:type="paragraph" w:styleId="En-ttedetabledesmatires">
    <w:name w:val="TOC Heading"/>
    <w:basedOn w:val="Titre1"/>
    <w:next w:val="Normal"/>
    <w:uiPriority w:val="39"/>
    <w:unhideWhenUsed/>
    <w:qFormat/>
    <w:rsid w:val="0011519F"/>
    <w:pPr>
      <w:keepLines/>
      <w:spacing w:before="480" w:after="0"/>
      <w:outlineLvl w:val="9"/>
    </w:pPr>
    <w:rPr>
      <w:rFonts w:asciiTheme="majorHAnsi" w:eastAsiaTheme="majorEastAsia" w:hAnsiTheme="majorHAnsi" w:cstheme="majorBidi"/>
      <w:color w:val="365F91" w:themeColor="accent1" w:themeShade="BF"/>
      <w:kern w:val="0"/>
      <w:sz w:val="28"/>
      <w:szCs w:val="28"/>
      <w:lang w:eastAsia="fr-FR"/>
    </w:rPr>
  </w:style>
  <w:style w:type="paragraph" w:styleId="TM2">
    <w:name w:val="toc 2"/>
    <w:basedOn w:val="Normal"/>
    <w:next w:val="Normal"/>
    <w:autoRedefine/>
    <w:uiPriority w:val="39"/>
    <w:unhideWhenUsed/>
    <w:qFormat/>
    <w:rsid w:val="001A5014"/>
    <w:pPr>
      <w:tabs>
        <w:tab w:val="left" w:pos="1132"/>
        <w:tab w:val="left" w:pos="1760"/>
        <w:tab w:val="right" w:leader="dot" w:pos="9062"/>
      </w:tabs>
      <w:bidi/>
      <w:spacing w:after="100"/>
      <w:ind w:left="423"/>
    </w:pPr>
    <w:rPr>
      <w:rFonts w:ascii="Simplified Arabic" w:eastAsiaTheme="minorEastAsia" w:hAnsi="Simplified Arabic" w:cs="Simplified Arabic"/>
      <w:b/>
      <w:bCs/>
      <w:noProof/>
      <w:lang w:val="en-US" w:eastAsia="fr-FR"/>
    </w:rPr>
  </w:style>
  <w:style w:type="paragraph" w:styleId="TM1">
    <w:name w:val="toc 1"/>
    <w:basedOn w:val="Normal"/>
    <w:next w:val="Normal"/>
    <w:link w:val="TM1Car"/>
    <w:autoRedefine/>
    <w:uiPriority w:val="39"/>
    <w:unhideWhenUsed/>
    <w:qFormat/>
    <w:rsid w:val="009579D2"/>
    <w:pPr>
      <w:tabs>
        <w:tab w:val="left" w:pos="0"/>
        <w:tab w:val="right" w:pos="282"/>
        <w:tab w:val="right" w:pos="8363"/>
        <w:tab w:val="right" w:pos="8646"/>
        <w:tab w:val="right" w:leader="dot" w:pos="8928"/>
        <w:tab w:val="right" w:pos="9070"/>
      </w:tabs>
      <w:bidi/>
      <w:spacing w:after="0"/>
      <w:jc w:val="center"/>
    </w:pPr>
    <w:rPr>
      <w:rFonts w:ascii="Simplified Arabic" w:eastAsiaTheme="minorEastAsia" w:hAnsi="Simplified Arabic" w:cs="Simplified Arabic"/>
      <w:b/>
      <w:bCs/>
      <w:noProof/>
      <w:color w:val="000000" w:themeColor="text1"/>
      <w:lang w:val="en-US" w:eastAsia="fr-FR" w:bidi="ar-DZ"/>
    </w:rPr>
  </w:style>
  <w:style w:type="paragraph" w:styleId="TM3">
    <w:name w:val="toc 3"/>
    <w:basedOn w:val="Normal"/>
    <w:next w:val="Normal"/>
    <w:autoRedefine/>
    <w:uiPriority w:val="39"/>
    <w:unhideWhenUsed/>
    <w:qFormat/>
    <w:rsid w:val="003A089F"/>
    <w:pPr>
      <w:tabs>
        <w:tab w:val="left" w:pos="1417"/>
        <w:tab w:val="left" w:pos="2038"/>
        <w:tab w:val="right" w:leader="dot" w:pos="9062"/>
        <w:tab w:val="left" w:pos="9292"/>
      </w:tabs>
      <w:bidi/>
      <w:spacing w:after="0" w:line="240" w:lineRule="auto"/>
      <w:ind w:left="440"/>
      <w:jc w:val="both"/>
    </w:pPr>
    <w:rPr>
      <w:rFonts w:ascii="Simplified Arabic" w:eastAsiaTheme="minorEastAsia" w:hAnsi="Simplified Arabic" w:cs="Simplified Arabic"/>
      <w:b/>
      <w:bCs/>
      <w:noProof/>
      <w:lang w:eastAsia="fr-FR" w:bidi="ar-DZ"/>
    </w:rPr>
  </w:style>
  <w:style w:type="paragraph" w:styleId="TM4">
    <w:name w:val="toc 4"/>
    <w:basedOn w:val="Normal"/>
    <w:next w:val="Normal"/>
    <w:autoRedefine/>
    <w:uiPriority w:val="39"/>
    <w:unhideWhenUsed/>
    <w:rsid w:val="003D0608"/>
    <w:pPr>
      <w:spacing w:after="100"/>
      <w:ind w:left="660"/>
    </w:pPr>
    <w:rPr>
      <w:rFonts w:eastAsiaTheme="minorEastAsia"/>
      <w:lang w:eastAsia="fr-FR"/>
    </w:rPr>
  </w:style>
  <w:style w:type="paragraph" w:styleId="TM5">
    <w:name w:val="toc 5"/>
    <w:basedOn w:val="Normal"/>
    <w:next w:val="Normal"/>
    <w:autoRedefine/>
    <w:uiPriority w:val="39"/>
    <w:unhideWhenUsed/>
    <w:rsid w:val="003D0608"/>
    <w:pPr>
      <w:spacing w:after="100"/>
      <w:ind w:left="880"/>
    </w:pPr>
    <w:rPr>
      <w:rFonts w:eastAsiaTheme="minorEastAsia"/>
      <w:lang w:eastAsia="fr-FR"/>
    </w:rPr>
  </w:style>
  <w:style w:type="paragraph" w:styleId="TM6">
    <w:name w:val="toc 6"/>
    <w:basedOn w:val="Normal"/>
    <w:next w:val="Normal"/>
    <w:autoRedefine/>
    <w:uiPriority w:val="39"/>
    <w:unhideWhenUsed/>
    <w:rsid w:val="003D0608"/>
    <w:pPr>
      <w:spacing w:after="100"/>
      <w:ind w:left="1100"/>
    </w:pPr>
    <w:rPr>
      <w:rFonts w:eastAsiaTheme="minorEastAsia"/>
      <w:lang w:eastAsia="fr-FR"/>
    </w:rPr>
  </w:style>
  <w:style w:type="paragraph" w:styleId="TM7">
    <w:name w:val="toc 7"/>
    <w:basedOn w:val="Normal"/>
    <w:next w:val="Normal"/>
    <w:autoRedefine/>
    <w:uiPriority w:val="39"/>
    <w:unhideWhenUsed/>
    <w:rsid w:val="003D0608"/>
    <w:pPr>
      <w:spacing w:after="100"/>
      <w:ind w:left="1320"/>
    </w:pPr>
    <w:rPr>
      <w:rFonts w:eastAsiaTheme="minorEastAsia"/>
      <w:lang w:eastAsia="fr-FR"/>
    </w:rPr>
  </w:style>
  <w:style w:type="paragraph" w:styleId="TM8">
    <w:name w:val="toc 8"/>
    <w:basedOn w:val="Normal"/>
    <w:next w:val="Normal"/>
    <w:autoRedefine/>
    <w:uiPriority w:val="39"/>
    <w:unhideWhenUsed/>
    <w:rsid w:val="003D0608"/>
    <w:pPr>
      <w:spacing w:after="100"/>
      <w:ind w:left="1540"/>
    </w:pPr>
    <w:rPr>
      <w:rFonts w:eastAsiaTheme="minorEastAsia"/>
      <w:lang w:eastAsia="fr-FR"/>
    </w:rPr>
  </w:style>
  <w:style w:type="paragraph" w:styleId="TM9">
    <w:name w:val="toc 9"/>
    <w:basedOn w:val="Normal"/>
    <w:next w:val="Normal"/>
    <w:autoRedefine/>
    <w:uiPriority w:val="39"/>
    <w:unhideWhenUsed/>
    <w:rsid w:val="003D0608"/>
    <w:pPr>
      <w:spacing w:after="100"/>
      <w:ind w:left="1760"/>
    </w:pPr>
    <w:rPr>
      <w:rFonts w:eastAsiaTheme="minorEastAsia"/>
      <w:lang w:eastAsia="fr-FR"/>
    </w:rPr>
  </w:style>
  <w:style w:type="paragraph" w:customStyle="1" w:styleId="fegure">
    <w:name w:val="fegure"/>
    <w:basedOn w:val="Normal"/>
    <w:link w:val="fegureCar"/>
    <w:qFormat/>
    <w:rsid w:val="00654AB3"/>
    <w:pPr>
      <w:bidi/>
      <w:spacing w:after="0" w:line="240" w:lineRule="auto"/>
      <w:jc w:val="center"/>
      <w:outlineLvl w:val="0"/>
    </w:pPr>
    <w:rPr>
      <w:rFonts w:ascii="Simplified Arabic" w:hAnsi="Simplified Arabic" w:cs="Simplified Arabic"/>
      <w:bCs/>
      <w:color w:val="000000" w:themeColor="text1"/>
      <w:sz w:val="24"/>
      <w:szCs w:val="56"/>
    </w:rPr>
  </w:style>
  <w:style w:type="character" w:customStyle="1" w:styleId="Titre3Car">
    <w:name w:val="Titre 3 Car"/>
    <w:basedOn w:val="Policepardfaut"/>
    <w:link w:val="Titre3"/>
    <w:uiPriority w:val="9"/>
    <w:semiHidden/>
    <w:rsid w:val="003A762D"/>
    <w:rPr>
      <w:rFonts w:asciiTheme="majorHAnsi" w:eastAsiaTheme="majorEastAsia" w:hAnsiTheme="majorHAnsi" w:cstheme="majorBidi"/>
      <w:b/>
      <w:bCs/>
      <w:color w:val="4F81BD" w:themeColor="accent1"/>
    </w:rPr>
  </w:style>
  <w:style w:type="character" w:customStyle="1" w:styleId="fegureCar">
    <w:name w:val="fegure Car"/>
    <w:basedOn w:val="Policepardfaut"/>
    <w:link w:val="fegure"/>
    <w:rsid w:val="00654AB3"/>
    <w:rPr>
      <w:rFonts w:ascii="Simplified Arabic" w:hAnsi="Simplified Arabic" w:cs="Simplified Arabic"/>
      <w:bCs/>
      <w:color w:val="000000" w:themeColor="text1"/>
      <w:sz w:val="24"/>
      <w:szCs w:val="56"/>
    </w:rPr>
  </w:style>
  <w:style w:type="character" w:customStyle="1" w:styleId="Titre4Car">
    <w:name w:val="Titre 4 Car"/>
    <w:basedOn w:val="Policepardfaut"/>
    <w:link w:val="Titre4"/>
    <w:uiPriority w:val="9"/>
    <w:semiHidden/>
    <w:rsid w:val="003A762D"/>
    <w:rPr>
      <w:rFonts w:asciiTheme="majorHAnsi" w:eastAsiaTheme="majorEastAsia" w:hAnsiTheme="majorHAnsi" w:cstheme="majorBidi"/>
      <w:b/>
      <w:bCs/>
      <w:i/>
      <w:iCs/>
      <w:color w:val="4F81BD" w:themeColor="accent1"/>
    </w:rPr>
  </w:style>
  <w:style w:type="paragraph" w:customStyle="1" w:styleId="Tableau">
    <w:name w:val="Tableau"/>
    <w:basedOn w:val="Normal"/>
    <w:link w:val="TableauCar"/>
    <w:qFormat/>
    <w:rsid w:val="00045FEB"/>
    <w:pPr>
      <w:tabs>
        <w:tab w:val="left" w:pos="3128"/>
      </w:tabs>
      <w:bidi/>
      <w:spacing w:before="240" w:after="0" w:line="240" w:lineRule="auto"/>
      <w:jc w:val="center"/>
      <w:outlineLvl w:val="0"/>
    </w:pPr>
    <w:rPr>
      <w:rFonts w:ascii="Simplified Arabic" w:hAnsi="Simplified Arabic" w:cs="Simplified Arabic"/>
      <w:b/>
      <w:bCs/>
      <w:sz w:val="24"/>
      <w:szCs w:val="24"/>
    </w:rPr>
  </w:style>
  <w:style w:type="paragraph" w:customStyle="1" w:styleId="carte">
    <w:name w:val="carte"/>
    <w:basedOn w:val="Normal"/>
    <w:link w:val="carteCar"/>
    <w:qFormat/>
    <w:rsid w:val="00A9318D"/>
    <w:pPr>
      <w:tabs>
        <w:tab w:val="left" w:pos="3128"/>
      </w:tabs>
      <w:bidi/>
      <w:spacing w:before="120" w:after="120" w:line="240" w:lineRule="auto"/>
      <w:jc w:val="center"/>
      <w:outlineLvl w:val="0"/>
    </w:pPr>
    <w:rPr>
      <w:rFonts w:ascii="Simplified Arabic" w:hAnsi="Simplified Arabic" w:cs="Simplified Arabic"/>
      <w:b/>
      <w:bCs/>
      <w:sz w:val="24"/>
      <w:szCs w:val="24"/>
    </w:rPr>
  </w:style>
  <w:style w:type="character" w:customStyle="1" w:styleId="TableauCar">
    <w:name w:val="Tableau Car"/>
    <w:basedOn w:val="Policepardfaut"/>
    <w:link w:val="Tableau"/>
    <w:rsid w:val="00045FEB"/>
    <w:rPr>
      <w:rFonts w:ascii="Simplified Arabic" w:hAnsi="Simplified Arabic" w:cs="Simplified Arabic"/>
      <w:b/>
      <w:bCs/>
      <w:sz w:val="24"/>
      <w:szCs w:val="24"/>
    </w:rPr>
  </w:style>
  <w:style w:type="paragraph" w:customStyle="1" w:styleId="Photo">
    <w:name w:val="Photo"/>
    <w:basedOn w:val="Normal"/>
    <w:link w:val="PhotoCar"/>
    <w:qFormat/>
    <w:rsid w:val="006D732F"/>
    <w:pPr>
      <w:tabs>
        <w:tab w:val="left" w:pos="3128"/>
      </w:tabs>
      <w:bidi/>
      <w:spacing w:before="240" w:after="0" w:line="240" w:lineRule="auto"/>
      <w:jc w:val="center"/>
      <w:outlineLvl w:val="0"/>
    </w:pPr>
    <w:rPr>
      <w:rFonts w:ascii="Simplified Arabic" w:hAnsi="Simplified Arabic" w:cs="Simplified Arabic"/>
      <w:b/>
      <w:bCs/>
      <w:sz w:val="24"/>
      <w:szCs w:val="24"/>
    </w:rPr>
  </w:style>
  <w:style w:type="character" w:customStyle="1" w:styleId="carteCar">
    <w:name w:val="carte Car"/>
    <w:basedOn w:val="Policepardfaut"/>
    <w:link w:val="carte"/>
    <w:rsid w:val="00A9318D"/>
    <w:rPr>
      <w:rFonts w:ascii="Simplified Arabic" w:hAnsi="Simplified Arabic" w:cs="Simplified Arabic"/>
      <w:b/>
      <w:bCs/>
      <w:sz w:val="24"/>
      <w:szCs w:val="24"/>
    </w:rPr>
  </w:style>
  <w:style w:type="character" w:customStyle="1" w:styleId="PhotoCar">
    <w:name w:val="Photo Car"/>
    <w:basedOn w:val="Policepardfaut"/>
    <w:link w:val="Photo"/>
    <w:rsid w:val="006D732F"/>
    <w:rPr>
      <w:rFonts w:ascii="Simplified Arabic" w:hAnsi="Simplified Arabic" w:cs="Simplified Arabic"/>
      <w:b/>
      <w:bCs/>
      <w:sz w:val="24"/>
      <w:szCs w:val="24"/>
    </w:rPr>
  </w:style>
  <w:style w:type="paragraph" w:customStyle="1" w:styleId="Rsum">
    <w:name w:val="Résumé"/>
    <w:basedOn w:val="TM1"/>
    <w:link w:val="RsumCar"/>
    <w:qFormat/>
    <w:rsid w:val="00531390"/>
    <w:rPr>
      <w:rFonts w:eastAsia="Arial Unicode MS"/>
    </w:rPr>
  </w:style>
  <w:style w:type="paragraph" w:customStyle="1" w:styleId="Style1">
    <w:name w:val="Style1"/>
    <w:basedOn w:val="TM1"/>
    <w:link w:val="Style1Car"/>
    <w:qFormat/>
    <w:rsid w:val="00531390"/>
    <w:rPr>
      <w:rFonts w:asciiTheme="majorBidi" w:hAnsiTheme="majorBidi" w:cstheme="majorBidi"/>
    </w:rPr>
  </w:style>
  <w:style w:type="character" w:customStyle="1" w:styleId="TM1Car">
    <w:name w:val="TM 1 Car"/>
    <w:basedOn w:val="Policepardfaut"/>
    <w:link w:val="TM1"/>
    <w:uiPriority w:val="39"/>
    <w:rsid w:val="009579D2"/>
    <w:rPr>
      <w:rFonts w:ascii="Simplified Arabic" w:eastAsiaTheme="minorEastAsia" w:hAnsi="Simplified Arabic" w:cs="Simplified Arabic"/>
      <w:b/>
      <w:bCs/>
      <w:noProof/>
      <w:color w:val="000000" w:themeColor="text1"/>
      <w:lang w:val="en-US" w:eastAsia="fr-FR" w:bidi="ar-DZ"/>
    </w:rPr>
  </w:style>
  <w:style w:type="character" w:customStyle="1" w:styleId="RsumCar">
    <w:name w:val="Résumé Car"/>
    <w:basedOn w:val="TM1Car"/>
    <w:link w:val="Rsum"/>
    <w:rsid w:val="00531390"/>
    <w:rPr>
      <w:rFonts w:ascii="Simplified Arabic" w:eastAsia="Arial Unicode MS" w:hAnsi="Simplified Arabic" w:cs="Simplified Arabic"/>
      <w:b/>
      <w:bCs/>
      <w:noProof/>
      <w:color w:val="000000" w:themeColor="text1"/>
      <w:lang w:val="en-US" w:eastAsia="fr-FR" w:bidi="ar-DZ"/>
    </w:rPr>
  </w:style>
  <w:style w:type="character" w:customStyle="1" w:styleId="Style1Car">
    <w:name w:val="Style1 Car"/>
    <w:basedOn w:val="TM1Car"/>
    <w:link w:val="Style1"/>
    <w:rsid w:val="00531390"/>
    <w:rPr>
      <w:rFonts w:asciiTheme="majorBidi" w:eastAsiaTheme="minorEastAsia" w:hAnsiTheme="majorBidi" w:cstheme="majorBidi"/>
      <w:b/>
      <w:bCs/>
      <w:noProof/>
      <w:color w:val="000000" w:themeColor="text1"/>
      <w:lang w:val="en-US" w:eastAsia="fr-FR" w:bidi="ar-DZ"/>
    </w:rPr>
  </w:style>
  <w:style w:type="character" w:customStyle="1" w:styleId="CommentaireCar1">
    <w:name w:val="Commentaire Car1"/>
    <w:basedOn w:val="Policepardfaut"/>
    <w:uiPriority w:val="99"/>
    <w:semiHidden/>
    <w:rsid w:val="00E12AF7"/>
    <w:rPr>
      <w:sz w:val="20"/>
      <w:szCs w:val="20"/>
    </w:rPr>
  </w:style>
  <w:style w:type="character" w:customStyle="1" w:styleId="ObjetducommentaireCar1">
    <w:name w:val="Objet du commentaire Car1"/>
    <w:basedOn w:val="CommentaireCar1"/>
    <w:uiPriority w:val="99"/>
    <w:semiHidden/>
    <w:rsid w:val="00E12A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728862">
      <w:bodyDiv w:val="1"/>
      <w:marLeft w:val="0"/>
      <w:marRight w:val="0"/>
      <w:marTop w:val="0"/>
      <w:marBottom w:val="0"/>
      <w:divBdr>
        <w:top w:val="none" w:sz="0" w:space="0" w:color="auto"/>
        <w:left w:val="none" w:sz="0" w:space="0" w:color="auto"/>
        <w:bottom w:val="none" w:sz="0" w:space="0" w:color="auto"/>
        <w:right w:val="none" w:sz="0" w:space="0" w:color="auto"/>
      </w:divBdr>
    </w:div>
    <w:div w:id="167183908">
      <w:bodyDiv w:val="1"/>
      <w:marLeft w:val="0"/>
      <w:marRight w:val="0"/>
      <w:marTop w:val="0"/>
      <w:marBottom w:val="0"/>
      <w:divBdr>
        <w:top w:val="none" w:sz="0" w:space="0" w:color="auto"/>
        <w:left w:val="none" w:sz="0" w:space="0" w:color="auto"/>
        <w:bottom w:val="none" w:sz="0" w:space="0" w:color="auto"/>
        <w:right w:val="none" w:sz="0" w:space="0" w:color="auto"/>
      </w:divBdr>
    </w:div>
    <w:div w:id="204878498">
      <w:bodyDiv w:val="1"/>
      <w:marLeft w:val="0"/>
      <w:marRight w:val="0"/>
      <w:marTop w:val="0"/>
      <w:marBottom w:val="0"/>
      <w:divBdr>
        <w:top w:val="none" w:sz="0" w:space="0" w:color="auto"/>
        <w:left w:val="none" w:sz="0" w:space="0" w:color="auto"/>
        <w:bottom w:val="none" w:sz="0" w:space="0" w:color="auto"/>
        <w:right w:val="none" w:sz="0" w:space="0" w:color="auto"/>
      </w:divBdr>
    </w:div>
    <w:div w:id="304631145">
      <w:bodyDiv w:val="1"/>
      <w:marLeft w:val="0"/>
      <w:marRight w:val="0"/>
      <w:marTop w:val="0"/>
      <w:marBottom w:val="0"/>
      <w:divBdr>
        <w:top w:val="none" w:sz="0" w:space="0" w:color="auto"/>
        <w:left w:val="none" w:sz="0" w:space="0" w:color="auto"/>
        <w:bottom w:val="none" w:sz="0" w:space="0" w:color="auto"/>
        <w:right w:val="none" w:sz="0" w:space="0" w:color="auto"/>
      </w:divBdr>
    </w:div>
    <w:div w:id="304704475">
      <w:bodyDiv w:val="1"/>
      <w:marLeft w:val="0"/>
      <w:marRight w:val="0"/>
      <w:marTop w:val="0"/>
      <w:marBottom w:val="0"/>
      <w:divBdr>
        <w:top w:val="none" w:sz="0" w:space="0" w:color="auto"/>
        <w:left w:val="none" w:sz="0" w:space="0" w:color="auto"/>
        <w:bottom w:val="none" w:sz="0" w:space="0" w:color="auto"/>
        <w:right w:val="none" w:sz="0" w:space="0" w:color="auto"/>
      </w:divBdr>
      <w:divsChild>
        <w:div w:id="1079475623">
          <w:marLeft w:val="0"/>
          <w:marRight w:val="547"/>
          <w:marTop w:val="0"/>
          <w:marBottom w:val="0"/>
          <w:divBdr>
            <w:top w:val="none" w:sz="0" w:space="0" w:color="auto"/>
            <w:left w:val="none" w:sz="0" w:space="0" w:color="auto"/>
            <w:bottom w:val="none" w:sz="0" w:space="0" w:color="auto"/>
            <w:right w:val="none" w:sz="0" w:space="0" w:color="auto"/>
          </w:divBdr>
        </w:div>
      </w:divsChild>
    </w:div>
    <w:div w:id="330260985">
      <w:bodyDiv w:val="1"/>
      <w:marLeft w:val="0"/>
      <w:marRight w:val="0"/>
      <w:marTop w:val="0"/>
      <w:marBottom w:val="0"/>
      <w:divBdr>
        <w:top w:val="none" w:sz="0" w:space="0" w:color="auto"/>
        <w:left w:val="none" w:sz="0" w:space="0" w:color="auto"/>
        <w:bottom w:val="none" w:sz="0" w:space="0" w:color="auto"/>
        <w:right w:val="none" w:sz="0" w:space="0" w:color="auto"/>
      </w:divBdr>
    </w:div>
    <w:div w:id="455370119">
      <w:bodyDiv w:val="1"/>
      <w:marLeft w:val="0"/>
      <w:marRight w:val="0"/>
      <w:marTop w:val="0"/>
      <w:marBottom w:val="0"/>
      <w:divBdr>
        <w:top w:val="none" w:sz="0" w:space="0" w:color="auto"/>
        <w:left w:val="none" w:sz="0" w:space="0" w:color="auto"/>
        <w:bottom w:val="none" w:sz="0" w:space="0" w:color="auto"/>
        <w:right w:val="none" w:sz="0" w:space="0" w:color="auto"/>
      </w:divBdr>
      <w:divsChild>
        <w:div w:id="1374764961">
          <w:marLeft w:val="547"/>
          <w:marRight w:val="0"/>
          <w:marTop w:val="0"/>
          <w:marBottom w:val="0"/>
          <w:divBdr>
            <w:top w:val="none" w:sz="0" w:space="0" w:color="auto"/>
            <w:left w:val="none" w:sz="0" w:space="0" w:color="auto"/>
            <w:bottom w:val="none" w:sz="0" w:space="0" w:color="auto"/>
            <w:right w:val="none" w:sz="0" w:space="0" w:color="auto"/>
          </w:divBdr>
        </w:div>
      </w:divsChild>
    </w:div>
    <w:div w:id="477652396">
      <w:bodyDiv w:val="1"/>
      <w:marLeft w:val="0"/>
      <w:marRight w:val="0"/>
      <w:marTop w:val="0"/>
      <w:marBottom w:val="0"/>
      <w:divBdr>
        <w:top w:val="none" w:sz="0" w:space="0" w:color="auto"/>
        <w:left w:val="none" w:sz="0" w:space="0" w:color="auto"/>
        <w:bottom w:val="none" w:sz="0" w:space="0" w:color="auto"/>
        <w:right w:val="none" w:sz="0" w:space="0" w:color="auto"/>
      </w:divBdr>
      <w:divsChild>
        <w:div w:id="9140190">
          <w:marLeft w:val="0"/>
          <w:marRight w:val="547"/>
          <w:marTop w:val="0"/>
          <w:marBottom w:val="0"/>
          <w:divBdr>
            <w:top w:val="none" w:sz="0" w:space="0" w:color="auto"/>
            <w:left w:val="none" w:sz="0" w:space="0" w:color="auto"/>
            <w:bottom w:val="none" w:sz="0" w:space="0" w:color="auto"/>
            <w:right w:val="none" w:sz="0" w:space="0" w:color="auto"/>
          </w:divBdr>
        </w:div>
      </w:divsChild>
    </w:div>
    <w:div w:id="573011878">
      <w:bodyDiv w:val="1"/>
      <w:marLeft w:val="0"/>
      <w:marRight w:val="0"/>
      <w:marTop w:val="0"/>
      <w:marBottom w:val="0"/>
      <w:divBdr>
        <w:top w:val="none" w:sz="0" w:space="0" w:color="auto"/>
        <w:left w:val="none" w:sz="0" w:space="0" w:color="auto"/>
        <w:bottom w:val="none" w:sz="0" w:space="0" w:color="auto"/>
        <w:right w:val="none" w:sz="0" w:space="0" w:color="auto"/>
      </w:divBdr>
      <w:divsChild>
        <w:div w:id="411003412">
          <w:marLeft w:val="547"/>
          <w:marRight w:val="0"/>
          <w:marTop w:val="0"/>
          <w:marBottom w:val="0"/>
          <w:divBdr>
            <w:top w:val="none" w:sz="0" w:space="0" w:color="auto"/>
            <w:left w:val="none" w:sz="0" w:space="0" w:color="auto"/>
            <w:bottom w:val="none" w:sz="0" w:space="0" w:color="auto"/>
            <w:right w:val="none" w:sz="0" w:space="0" w:color="auto"/>
          </w:divBdr>
        </w:div>
      </w:divsChild>
    </w:div>
    <w:div w:id="577831468">
      <w:bodyDiv w:val="1"/>
      <w:marLeft w:val="0"/>
      <w:marRight w:val="0"/>
      <w:marTop w:val="0"/>
      <w:marBottom w:val="0"/>
      <w:divBdr>
        <w:top w:val="none" w:sz="0" w:space="0" w:color="auto"/>
        <w:left w:val="none" w:sz="0" w:space="0" w:color="auto"/>
        <w:bottom w:val="none" w:sz="0" w:space="0" w:color="auto"/>
        <w:right w:val="none" w:sz="0" w:space="0" w:color="auto"/>
      </w:divBdr>
    </w:div>
    <w:div w:id="637758451">
      <w:bodyDiv w:val="1"/>
      <w:marLeft w:val="0"/>
      <w:marRight w:val="0"/>
      <w:marTop w:val="0"/>
      <w:marBottom w:val="0"/>
      <w:divBdr>
        <w:top w:val="none" w:sz="0" w:space="0" w:color="auto"/>
        <w:left w:val="none" w:sz="0" w:space="0" w:color="auto"/>
        <w:bottom w:val="none" w:sz="0" w:space="0" w:color="auto"/>
        <w:right w:val="none" w:sz="0" w:space="0" w:color="auto"/>
      </w:divBdr>
      <w:divsChild>
        <w:div w:id="777529244">
          <w:marLeft w:val="0"/>
          <w:marRight w:val="547"/>
          <w:marTop w:val="0"/>
          <w:marBottom w:val="0"/>
          <w:divBdr>
            <w:top w:val="none" w:sz="0" w:space="0" w:color="auto"/>
            <w:left w:val="none" w:sz="0" w:space="0" w:color="auto"/>
            <w:bottom w:val="none" w:sz="0" w:space="0" w:color="auto"/>
            <w:right w:val="none" w:sz="0" w:space="0" w:color="auto"/>
          </w:divBdr>
        </w:div>
      </w:divsChild>
    </w:div>
    <w:div w:id="639841261">
      <w:bodyDiv w:val="1"/>
      <w:marLeft w:val="0"/>
      <w:marRight w:val="0"/>
      <w:marTop w:val="0"/>
      <w:marBottom w:val="0"/>
      <w:divBdr>
        <w:top w:val="none" w:sz="0" w:space="0" w:color="auto"/>
        <w:left w:val="none" w:sz="0" w:space="0" w:color="auto"/>
        <w:bottom w:val="none" w:sz="0" w:space="0" w:color="auto"/>
        <w:right w:val="none" w:sz="0" w:space="0" w:color="auto"/>
      </w:divBdr>
    </w:div>
    <w:div w:id="725223692">
      <w:bodyDiv w:val="1"/>
      <w:marLeft w:val="0"/>
      <w:marRight w:val="0"/>
      <w:marTop w:val="0"/>
      <w:marBottom w:val="0"/>
      <w:divBdr>
        <w:top w:val="none" w:sz="0" w:space="0" w:color="auto"/>
        <w:left w:val="none" w:sz="0" w:space="0" w:color="auto"/>
        <w:bottom w:val="none" w:sz="0" w:space="0" w:color="auto"/>
        <w:right w:val="none" w:sz="0" w:space="0" w:color="auto"/>
      </w:divBdr>
    </w:div>
    <w:div w:id="726297560">
      <w:bodyDiv w:val="1"/>
      <w:marLeft w:val="0"/>
      <w:marRight w:val="0"/>
      <w:marTop w:val="0"/>
      <w:marBottom w:val="0"/>
      <w:divBdr>
        <w:top w:val="none" w:sz="0" w:space="0" w:color="auto"/>
        <w:left w:val="none" w:sz="0" w:space="0" w:color="auto"/>
        <w:bottom w:val="none" w:sz="0" w:space="0" w:color="auto"/>
        <w:right w:val="none" w:sz="0" w:space="0" w:color="auto"/>
      </w:divBdr>
      <w:divsChild>
        <w:div w:id="17850846">
          <w:marLeft w:val="0"/>
          <w:marRight w:val="547"/>
          <w:marTop w:val="0"/>
          <w:marBottom w:val="0"/>
          <w:divBdr>
            <w:top w:val="none" w:sz="0" w:space="0" w:color="auto"/>
            <w:left w:val="none" w:sz="0" w:space="0" w:color="auto"/>
            <w:bottom w:val="none" w:sz="0" w:space="0" w:color="auto"/>
            <w:right w:val="none" w:sz="0" w:space="0" w:color="auto"/>
          </w:divBdr>
        </w:div>
        <w:div w:id="2098138147">
          <w:marLeft w:val="0"/>
          <w:marRight w:val="547"/>
          <w:marTop w:val="0"/>
          <w:marBottom w:val="0"/>
          <w:divBdr>
            <w:top w:val="none" w:sz="0" w:space="0" w:color="auto"/>
            <w:left w:val="none" w:sz="0" w:space="0" w:color="auto"/>
            <w:bottom w:val="none" w:sz="0" w:space="0" w:color="auto"/>
            <w:right w:val="none" w:sz="0" w:space="0" w:color="auto"/>
          </w:divBdr>
        </w:div>
      </w:divsChild>
    </w:div>
    <w:div w:id="739211543">
      <w:bodyDiv w:val="1"/>
      <w:marLeft w:val="0"/>
      <w:marRight w:val="0"/>
      <w:marTop w:val="0"/>
      <w:marBottom w:val="0"/>
      <w:divBdr>
        <w:top w:val="none" w:sz="0" w:space="0" w:color="auto"/>
        <w:left w:val="none" w:sz="0" w:space="0" w:color="auto"/>
        <w:bottom w:val="none" w:sz="0" w:space="0" w:color="auto"/>
        <w:right w:val="none" w:sz="0" w:space="0" w:color="auto"/>
      </w:divBdr>
    </w:div>
    <w:div w:id="746420956">
      <w:bodyDiv w:val="1"/>
      <w:marLeft w:val="0"/>
      <w:marRight w:val="0"/>
      <w:marTop w:val="0"/>
      <w:marBottom w:val="0"/>
      <w:divBdr>
        <w:top w:val="none" w:sz="0" w:space="0" w:color="auto"/>
        <w:left w:val="none" w:sz="0" w:space="0" w:color="auto"/>
        <w:bottom w:val="none" w:sz="0" w:space="0" w:color="auto"/>
        <w:right w:val="none" w:sz="0" w:space="0" w:color="auto"/>
      </w:divBdr>
      <w:divsChild>
        <w:div w:id="1935088152">
          <w:marLeft w:val="0"/>
          <w:marRight w:val="547"/>
          <w:marTop w:val="0"/>
          <w:marBottom w:val="0"/>
          <w:divBdr>
            <w:top w:val="none" w:sz="0" w:space="0" w:color="auto"/>
            <w:left w:val="none" w:sz="0" w:space="0" w:color="auto"/>
            <w:bottom w:val="none" w:sz="0" w:space="0" w:color="auto"/>
            <w:right w:val="none" w:sz="0" w:space="0" w:color="auto"/>
          </w:divBdr>
        </w:div>
      </w:divsChild>
    </w:div>
    <w:div w:id="788623594">
      <w:bodyDiv w:val="1"/>
      <w:marLeft w:val="0"/>
      <w:marRight w:val="0"/>
      <w:marTop w:val="0"/>
      <w:marBottom w:val="0"/>
      <w:divBdr>
        <w:top w:val="none" w:sz="0" w:space="0" w:color="auto"/>
        <w:left w:val="none" w:sz="0" w:space="0" w:color="auto"/>
        <w:bottom w:val="none" w:sz="0" w:space="0" w:color="auto"/>
        <w:right w:val="none" w:sz="0" w:space="0" w:color="auto"/>
      </w:divBdr>
      <w:divsChild>
        <w:div w:id="256835872">
          <w:marLeft w:val="0"/>
          <w:marRight w:val="547"/>
          <w:marTop w:val="0"/>
          <w:marBottom w:val="0"/>
          <w:divBdr>
            <w:top w:val="none" w:sz="0" w:space="0" w:color="auto"/>
            <w:left w:val="none" w:sz="0" w:space="0" w:color="auto"/>
            <w:bottom w:val="none" w:sz="0" w:space="0" w:color="auto"/>
            <w:right w:val="none" w:sz="0" w:space="0" w:color="auto"/>
          </w:divBdr>
        </w:div>
        <w:div w:id="1395853040">
          <w:marLeft w:val="0"/>
          <w:marRight w:val="547"/>
          <w:marTop w:val="0"/>
          <w:marBottom w:val="0"/>
          <w:divBdr>
            <w:top w:val="none" w:sz="0" w:space="0" w:color="auto"/>
            <w:left w:val="none" w:sz="0" w:space="0" w:color="auto"/>
            <w:bottom w:val="none" w:sz="0" w:space="0" w:color="auto"/>
            <w:right w:val="none" w:sz="0" w:space="0" w:color="auto"/>
          </w:divBdr>
        </w:div>
      </w:divsChild>
    </w:div>
    <w:div w:id="803230158">
      <w:bodyDiv w:val="1"/>
      <w:marLeft w:val="0"/>
      <w:marRight w:val="0"/>
      <w:marTop w:val="0"/>
      <w:marBottom w:val="0"/>
      <w:divBdr>
        <w:top w:val="none" w:sz="0" w:space="0" w:color="auto"/>
        <w:left w:val="none" w:sz="0" w:space="0" w:color="auto"/>
        <w:bottom w:val="none" w:sz="0" w:space="0" w:color="auto"/>
        <w:right w:val="none" w:sz="0" w:space="0" w:color="auto"/>
      </w:divBdr>
    </w:div>
    <w:div w:id="928581585">
      <w:bodyDiv w:val="1"/>
      <w:marLeft w:val="0"/>
      <w:marRight w:val="0"/>
      <w:marTop w:val="0"/>
      <w:marBottom w:val="0"/>
      <w:divBdr>
        <w:top w:val="none" w:sz="0" w:space="0" w:color="auto"/>
        <w:left w:val="none" w:sz="0" w:space="0" w:color="auto"/>
        <w:bottom w:val="none" w:sz="0" w:space="0" w:color="auto"/>
        <w:right w:val="none" w:sz="0" w:space="0" w:color="auto"/>
      </w:divBdr>
      <w:divsChild>
        <w:div w:id="569002532">
          <w:marLeft w:val="0"/>
          <w:marRight w:val="547"/>
          <w:marTop w:val="0"/>
          <w:marBottom w:val="0"/>
          <w:divBdr>
            <w:top w:val="none" w:sz="0" w:space="0" w:color="auto"/>
            <w:left w:val="none" w:sz="0" w:space="0" w:color="auto"/>
            <w:bottom w:val="none" w:sz="0" w:space="0" w:color="auto"/>
            <w:right w:val="none" w:sz="0" w:space="0" w:color="auto"/>
          </w:divBdr>
        </w:div>
        <w:div w:id="1590655279">
          <w:marLeft w:val="0"/>
          <w:marRight w:val="547"/>
          <w:marTop w:val="0"/>
          <w:marBottom w:val="0"/>
          <w:divBdr>
            <w:top w:val="none" w:sz="0" w:space="0" w:color="auto"/>
            <w:left w:val="none" w:sz="0" w:space="0" w:color="auto"/>
            <w:bottom w:val="none" w:sz="0" w:space="0" w:color="auto"/>
            <w:right w:val="none" w:sz="0" w:space="0" w:color="auto"/>
          </w:divBdr>
        </w:div>
      </w:divsChild>
    </w:div>
    <w:div w:id="929199376">
      <w:bodyDiv w:val="1"/>
      <w:marLeft w:val="0"/>
      <w:marRight w:val="0"/>
      <w:marTop w:val="0"/>
      <w:marBottom w:val="0"/>
      <w:divBdr>
        <w:top w:val="none" w:sz="0" w:space="0" w:color="auto"/>
        <w:left w:val="none" w:sz="0" w:space="0" w:color="auto"/>
        <w:bottom w:val="none" w:sz="0" w:space="0" w:color="auto"/>
        <w:right w:val="none" w:sz="0" w:space="0" w:color="auto"/>
      </w:divBdr>
    </w:div>
    <w:div w:id="931085267">
      <w:bodyDiv w:val="1"/>
      <w:marLeft w:val="0"/>
      <w:marRight w:val="0"/>
      <w:marTop w:val="0"/>
      <w:marBottom w:val="0"/>
      <w:divBdr>
        <w:top w:val="none" w:sz="0" w:space="0" w:color="auto"/>
        <w:left w:val="none" w:sz="0" w:space="0" w:color="auto"/>
        <w:bottom w:val="none" w:sz="0" w:space="0" w:color="auto"/>
        <w:right w:val="none" w:sz="0" w:space="0" w:color="auto"/>
      </w:divBdr>
    </w:div>
    <w:div w:id="1018194808">
      <w:bodyDiv w:val="1"/>
      <w:marLeft w:val="0"/>
      <w:marRight w:val="0"/>
      <w:marTop w:val="0"/>
      <w:marBottom w:val="0"/>
      <w:divBdr>
        <w:top w:val="none" w:sz="0" w:space="0" w:color="auto"/>
        <w:left w:val="none" w:sz="0" w:space="0" w:color="auto"/>
        <w:bottom w:val="none" w:sz="0" w:space="0" w:color="auto"/>
        <w:right w:val="none" w:sz="0" w:space="0" w:color="auto"/>
      </w:divBdr>
    </w:div>
    <w:div w:id="1045718167">
      <w:bodyDiv w:val="1"/>
      <w:marLeft w:val="0"/>
      <w:marRight w:val="0"/>
      <w:marTop w:val="0"/>
      <w:marBottom w:val="0"/>
      <w:divBdr>
        <w:top w:val="none" w:sz="0" w:space="0" w:color="auto"/>
        <w:left w:val="none" w:sz="0" w:space="0" w:color="auto"/>
        <w:bottom w:val="none" w:sz="0" w:space="0" w:color="auto"/>
        <w:right w:val="none" w:sz="0" w:space="0" w:color="auto"/>
      </w:divBdr>
    </w:div>
    <w:div w:id="1055928691">
      <w:bodyDiv w:val="1"/>
      <w:marLeft w:val="0"/>
      <w:marRight w:val="0"/>
      <w:marTop w:val="0"/>
      <w:marBottom w:val="0"/>
      <w:divBdr>
        <w:top w:val="none" w:sz="0" w:space="0" w:color="auto"/>
        <w:left w:val="none" w:sz="0" w:space="0" w:color="auto"/>
        <w:bottom w:val="none" w:sz="0" w:space="0" w:color="auto"/>
        <w:right w:val="none" w:sz="0" w:space="0" w:color="auto"/>
      </w:divBdr>
      <w:divsChild>
        <w:div w:id="140856374">
          <w:marLeft w:val="0"/>
          <w:marRight w:val="547"/>
          <w:marTop w:val="0"/>
          <w:marBottom w:val="0"/>
          <w:divBdr>
            <w:top w:val="none" w:sz="0" w:space="0" w:color="auto"/>
            <w:left w:val="none" w:sz="0" w:space="0" w:color="auto"/>
            <w:bottom w:val="none" w:sz="0" w:space="0" w:color="auto"/>
            <w:right w:val="none" w:sz="0" w:space="0" w:color="auto"/>
          </w:divBdr>
        </w:div>
        <w:div w:id="1433474134">
          <w:marLeft w:val="0"/>
          <w:marRight w:val="547"/>
          <w:marTop w:val="0"/>
          <w:marBottom w:val="0"/>
          <w:divBdr>
            <w:top w:val="none" w:sz="0" w:space="0" w:color="auto"/>
            <w:left w:val="none" w:sz="0" w:space="0" w:color="auto"/>
            <w:bottom w:val="none" w:sz="0" w:space="0" w:color="auto"/>
            <w:right w:val="none" w:sz="0" w:space="0" w:color="auto"/>
          </w:divBdr>
        </w:div>
      </w:divsChild>
    </w:div>
    <w:div w:id="1084452756">
      <w:bodyDiv w:val="1"/>
      <w:marLeft w:val="0"/>
      <w:marRight w:val="0"/>
      <w:marTop w:val="0"/>
      <w:marBottom w:val="0"/>
      <w:divBdr>
        <w:top w:val="none" w:sz="0" w:space="0" w:color="auto"/>
        <w:left w:val="none" w:sz="0" w:space="0" w:color="auto"/>
        <w:bottom w:val="none" w:sz="0" w:space="0" w:color="auto"/>
        <w:right w:val="none" w:sz="0" w:space="0" w:color="auto"/>
      </w:divBdr>
      <w:divsChild>
        <w:div w:id="860895955">
          <w:marLeft w:val="547"/>
          <w:marRight w:val="0"/>
          <w:marTop w:val="0"/>
          <w:marBottom w:val="0"/>
          <w:divBdr>
            <w:top w:val="none" w:sz="0" w:space="0" w:color="auto"/>
            <w:left w:val="none" w:sz="0" w:space="0" w:color="auto"/>
            <w:bottom w:val="none" w:sz="0" w:space="0" w:color="auto"/>
            <w:right w:val="none" w:sz="0" w:space="0" w:color="auto"/>
          </w:divBdr>
        </w:div>
      </w:divsChild>
    </w:div>
    <w:div w:id="1114056028">
      <w:bodyDiv w:val="1"/>
      <w:marLeft w:val="0"/>
      <w:marRight w:val="0"/>
      <w:marTop w:val="0"/>
      <w:marBottom w:val="0"/>
      <w:divBdr>
        <w:top w:val="none" w:sz="0" w:space="0" w:color="auto"/>
        <w:left w:val="none" w:sz="0" w:space="0" w:color="auto"/>
        <w:bottom w:val="none" w:sz="0" w:space="0" w:color="auto"/>
        <w:right w:val="none" w:sz="0" w:space="0" w:color="auto"/>
      </w:divBdr>
    </w:div>
    <w:div w:id="1129786924">
      <w:bodyDiv w:val="1"/>
      <w:marLeft w:val="0"/>
      <w:marRight w:val="0"/>
      <w:marTop w:val="0"/>
      <w:marBottom w:val="0"/>
      <w:divBdr>
        <w:top w:val="none" w:sz="0" w:space="0" w:color="auto"/>
        <w:left w:val="none" w:sz="0" w:space="0" w:color="auto"/>
        <w:bottom w:val="none" w:sz="0" w:space="0" w:color="auto"/>
        <w:right w:val="none" w:sz="0" w:space="0" w:color="auto"/>
      </w:divBdr>
    </w:div>
    <w:div w:id="1157768584">
      <w:bodyDiv w:val="1"/>
      <w:marLeft w:val="0"/>
      <w:marRight w:val="0"/>
      <w:marTop w:val="0"/>
      <w:marBottom w:val="0"/>
      <w:divBdr>
        <w:top w:val="none" w:sz="0" w:space="0" w:color="auto"/>
        <w:left w:val="none" w:sz="0" w:space="0" w:color="auto"/>
        <w:bottom w:val="none" w:sz="0" w:space="0" w:color="auto"/>
        <w:right w:val="none" w:sz="0" w:space="0" w:color="auto"/>
      </w:divBdr>
    </w:div>
    <w:div w:id="1215965872">
      <w:bodyDiv w:val="1"/>
      <w:marLeft w:val="0"/>
      <w:marRight w:val="0"/>
      <w:marTop w:val="0"/>
      <w:marBottom w:val="0"/>
      <w:divBdr>
        <w:top w:val="none" w:sz="0" w:space="0" w:color="auto"/>
        <w:left w:val="none" w:sz="0" w:space="0" w:color="auto"/>
        <w:bottom w:val="none" w:sz="0" w:space="0" w:color="auto"/>
        <w:right w:val="none" w:sz="0" w:space="0" w:color="auto"/>
      </w:divBdr>
      <w:divsChild>
        <w:div w:id="925768511">
          <w:marLeft w:val="547"/>
          <w:marRight w:val="0"/>
          <w:marTop w:val="0"/>
          <w:marBottom w:val="0"/>
          <w:divBdr>
            <w:top w:val="none" w:sz="0" w:space="0" w:color="auto"/>
            <w:left w:val="none" w:sz="0" w:space="0" w:color="auto"/>
            <w:bottom w:val="none" w:sz="0" w:space="0" w:color="auto"/>
            <w:right w:val="none" w:sz="0" w:space="0" w:color="auto"/>
          </w:divBdr>
        </w:div>
      </w:divsChild>
    </w:div>
    <w:div w:id="1235552970">
      <w:bodyDiv w:val="1"/>
      <w:marLeft w:val="0"/>
      <w:marRight w:val="0"/>
      <w:marTop w:val="0"/>
      <w:marBottom w:val="0"/>
      <w:divBdr>
        <w:top w:val="none" w:sz="0" w:space="0" w:color="auto"/>
        <w:left w:val="none" w:sz="0" w:space="0" w:color="auto"/>
        <w:bottom w:val="none" w:sz="0" w:space="0" w:color="auto"/>
        <w:right w:val="none" w:sz="0" w:space="0" w:color="auto"/>
      </w:divBdr>
    </w:div>
    <w:div w:id="1257639761">
      <w:bodyDiv w:val="1"/>
      <w:marLeft w:val="0"/>
      <w:marRight w:val="0"/>
      <w:marTop w:val="0"/>
      <w:marBottom w:val="0"/>
      <w:divBdr>
        <w:top w:val="none" w:sz="0" w:space="0" w:color="auto"/>
        <w:left w:val="none" w:sz="0" w:space="0" w:color="auto"/>
        <w:bottom w:val="none" w:sz="0" w:space="0" w:color="auto"/>
        <w:right w:val="none" w:sz="0" w:space="0" w:color="auto"/>
      </w:divBdr>
    </w:div>
    <w:div w:id="1305357099">
      <w:bodyDiv w:val="1"/>
      <w:marLeft w:val="0"/>
      <w:marRight w:val="0"/>
      <w:marTop w:val="0"/>
      <w:marBottom w:val="0"/>
      <w:divBdr>
        <w:top w:val="none" w:sz="0" w:space="0" w:color="auto"/>
        <w:left w:val="none" w:sz="0" w:space="0" w:color="auto"/>
        <w:bottom w:val="none" w:sz="0" w:space="0" w:color="auto"/>
        <w:right w:val="none" w:sz="0" w:space="0" w:color="auto"/>
      </w:divBdr>
      <w:divsChild>
        <w:div w:id="146938263">
          <w:marLeft w:val="0"/>
          <w:marRight w:val="547"/>
          <w:marTop w:val="0"/>
          <w:marBottom w:val="0"/>
          <w:divBdr>
            <w:top w:val="none" w:sz="0" w:space="0" w:color="auto"/>
            <w:left w:val="none" w:sz="0" w:space="0" w:color="auto"/>
            <w:bottom w:val="none" w:sz="0" w:space="0" w:color="auto"/>
            <w:right w:val="none" w:sz="0" w:space="0" w:color="auto"/>
          </w:divBdr>
        </w:div>
        <w:div w:id="1605921464">
          <w:marLeft w:val="0"/>
          <w:marRight w:val="547"/>
          <w:marTop w:val="0"/>
          <w:marBottom w:val="0"/>
          <w:divBdr>
            <w:top w:val="none" w:sz="0" w:space="0" w:color="auto"/>
            <w:left w:val="none" w:sz="0" w:space="0" w:color="auto"/>
            <w:bottom w:val="none" w:sz="0" w:space="0" w:color="auto"/>
            <w:right w:val="none" w:sz="0" w:space="0" w:color="auto"/>
          </w:divBdr>
        </w:div>
      </w:divsChild>
    </w:div>
    <w:div w:id="1317370425">
      <w:bodyDiv w:val="1"/>
      <w:marLeft w:val="0"/>
      <w:marRight w:val="0"/>
      <w:marTop w:val="0"/>
      <w:marBottom w:val="0"/>
      <w:divBdr>
        <w:top w:val="none" w:sz="0" w:space="0" w:color="auto"/>
        <w:left w:val="none" w:sz="0" w:space="0" w:color="auto"/>
        <w:bottom w:val="none" w:sz="0" w:space="0" w:color="auto"/>
        <w:right w:val="none" w:sz="0" w:space="0" w:color="auto"/>
      </w:divBdr>
    </w:div>
    <w:div w:id="1334063521">
      <w:bodyDiv w:val="1"/>
      <w:marLeft w:val="0"/>
      <w:marRight w:val="0"/>
      <w:marTop w:val="0"/>
      <w:marBottom w:val="0"/>
      <w:divBdr>
        <w:top w:val="none" w:sz="0" w:space="0" w:color="auto"/>
        <w:left w:val="none" w:sz="0" w:space="0" w:color="auto"/>
        <w:bottom w:val="none" w:sz="0" w:space="0" w:color="auto"/>
        <w:right w:val="none" w:sz="0" w:space="0" w:color="auto"/>
      </w:divBdr>
    </w:div>
    <w:div w:id="1343505825">
      <w:bodyDiv w:val="1"/>
      <w:marLeft w:val="0"/>
      <w:marRight w:val="0"/>
      <w:marTop w:val="0"/>
      <w:marBottom w:val="0"/>
      <w:divBdr>
        <w:top w:val="none" w:sz="0" w:space="0" w:color="auto"/>
        <w:left w:val="none" w:sz="0" w:space="0" w:color="auto"/>
        <w:bottom w:val="none" w:sz="0" w:space="0" w:color="auto"/>
        <w:right w:val="none" w:sz="0" w:space="0" w:color="auto"/>
      </w:divBdr>
    </w:div>
    <w:div w:id="1380787640">
      <w:bodyDiv w:val="1"/>
      <w:marLeft w:val="0"/>
      <w:marRight w:val="0"/>
      <w:marTop w:val="0"/>
      <w:marBottom w:val="0"/>
      <w:divBdr>
        <w:top w:val="none" w:sz="0" w:space="0" w:color="auto"/>
        <w:left w:val="none" w:sz="0" w:space="0" w:color="auto"/>
        <w:bottom w:val="none" w:sz="0" w:space="0" w:color="auto"/>
        <w:right w:val="none" w:sz="0" w:space="0" w:color="auto"/>
      </w:divBdr>
    </w:div>
    <w:div w:id="1390349823">
      <w:bodyDiv w:val="1"/>
      <w:marLeft w:val="0"/>
      <w:marRight w:val="0"/>
      <w:marTop w:val="0"/>
      <w:marBottom w:val="0"/>
      <w:divBdr>
        <w:top w:val="none" w:sz="0" w:space="0" w:color="auto"/>
        <w:left w:val="none" w:sz="0" w:space="0" w:color="auto"/>
        <w:bottom w:val="none" w:sz="0" w:space="0" w:color="auto"/>
        <w:right w:val="none" w:sz="0" w:space="0" w:color="auto"/>
      </w:divBdr>
      <w:divsChild>
        <w:div w:id="1883402634">
          <w:marLeft w:val="0"/>
          <w:marRight w:val="547"/>
          <w:marTop w:val="0"/>
          <w:marBottom w:val="0"/>
          <w:divBdr>
            <w:top w:val="none" w:sz="0" w:space="0" w:color="auto"/>
            <w:left w:val="none" w:sz="0" w:space="0" w:color="auto"/>
            <w:bottom w:val="none" w:sz="0" w:space="0" w:color="auto"/>
            <w:right w:val="none" w:sz="0" w:space="0" w:color="auto"/>
          </w:divBdr>
        </w:div>
      </w:divsChild>
    </w:div>
    <w:div w:id="1410732205">
      <w:bodyDiv w:val="1"/>
      <w:marLeft w:val="0"/>
      <w:marRight w:val="0"/>
      <w:marTop w:val="0"/>
      <w:marBottom w:val="0"/>
      <w:divBdr>
        <w:top w:val="none" w:sz="0" w:space="0" w:color="auto"/>
        <w:left w:val="none" w:sz="0" w:space="0" w:color="auto"/>
        <w:bottom w:val="none" w:sz="0" w:space="0" w:color="auto"/>
        <w:right w:val="none" w:sz="0" w:space="0" w:color="auto"/>
      </w:divBdr>
    </w:div>
    <w:div w:id="1430854639">
      <w:bodyDiv w:val="1"/>
      <w:marLeft w:val="0"/>
      <w:marRight w:val="0"/>
      <w:marTop w:val="0"/>
      <w:marBottom w:val="0"/>
      <w:divBdr>
        <w:top w:val="none" w:sz="0" w:space="0" w:color="auto"/>
        <w:left w:val="none" w:sz="0" w:space="0" w:color="auto"/>
        <w:bottom w:val="none" w:sz="0" w:space="0" w:color="auto"/>
        <w:right w:val="none" w:sz="0" w:space="0" w:color="auto"/>
      </w:divBdr>
    </w:div>
    <w:div w:id="1434009084">
      <w:bodyDiv w:val="1"/>
      <w:marLeft w:val="0"/>
      <w:marRight w:val="0"/>
      <w:marTop w:val="0"/>
      <w:marBottom w:val="0"/>
      <w:divBdr>
        <w:top w:val="none" w:sz="0" w:space="0" w:color="auto"/>
        <w:left w:val="none" w:sz="0" w:space="0" w:color="auto"/>
        <w:bottom w:val="none" w:sz="0" w:space="0" w:color="auto"/>
        <w:right w:val="none" w:sz="0" w:space="0" w:color="auto"/>
      </w:divBdr>
    </w:div>
    <w:div w:id="1550916165">
      <w:bodyDiv w:val="1"/>
      <w:marLeft w:val="0"/>
      <w:marRight w:val="0"/>
      <w:marTop w:val="0"/>
      <w:marBottom w:val="0"/>
      <w:divBdr>
        <w:top w:val="none" w:sz="0" w:space="0" w:color="auto"/>
        <w:left w:val="none" w:sz="0" w:space="0" w:color="auto"/>
        <w:bottom w:val="none" w:sz="0" w:space="0" w:color="auto"/>
        <w:right w:val="none" w:sz="0" w:space="0" w:color="auto"/>
      </w:divBdr>
    </w:div>
    <w:div w:id="1659574983">
      <w:bodyDiv w:val="1"/>
      <w:marLeft w:val="0"/>
      <w:marRight w:val="0"/>
      <w:marTop w:val="0"/>
      <w:marBottom w:val="0"/>
      <w:divBdr>
        <w:top w:val="none" w:sz="0" w:space="0" w:color="auto"/>
        <w:left w:val="none" w:sz="0" w:space="0" w:color="auto"/>
        <w:bottom w:val="none" w:sz="0" w:space="0" w:color="auto"/>
        <w:right w:val="none" w:sz="0" w:space="0" w:color="auto"/>
      </w:divBdr>
    </w:div>
    <w:div w:id="1733581102">
      <w:bodyDiv w:val="1"/>
      <w:marLeft w:val="0"/>
      <w:marRight w:val="0"/>
      <w:marTop w:val="0"/>
      <w:marBottom w:val="0"/>
      <w:divBdr>
        <w:top w:val="none" w:sz="0" w:space="0" w:color="auto"/>
        <w:left w:val="none" w:sz="0" w:space="0" w:color="auto"/>
        <w:bottom w:val="none" w:sz="0" w:space="0" w:color="auto"/>
        <w:right w:val="none" w:sz="0" w:space="0" w:color="auto"/>
      </w:divBdr>
      <w:divsChild>
        <w:div w:id="1350372182">
          <w:marLeft w:val="547"/>
          <w:marRight w:val="0"/>
          <w:marTop w:val="0"/>
          <w:marBottom w:val="0"/>
          <w:divBdr>
            <w:top w:val="none" w:sz="0" w:space="0" w:color="auto"/>
            <w:left w:val="none" w:sz="0" w:space="0" w:color="auto"/>
            <w:bottom w:val="none" w:sz="0" w:space="0" w:color="auto"/>
            <w:right w:val="none" w:sz="0" w:space="0" w:color="auto"/>
          </w:divBdr>
        </w:div>
      </w:divsChild>
    </w:div>
    <w:div w:id="1779327191">
      <w:bodyDiv w:val="1"/>
      <w:marLeft w:val="0"/>
      <w:marRight w:val="0"/>
      <w:marTop w:val="0"/>
      <w:marBottom w:val="0"/>
      <w:divBdr>
        <w:top w:val="none" w:sz="0" w:space="0" w:color="auto"/>
        <w:left w:val="none" w:sz="0" w:space="0" w:color="auto"/>
        <w:bottom w:val="none" w:sz="0" w:space="0" w:color="auto"/>
        <w:right w:val="none" w:sz="0" w:space="0" w:color="auto"/>
      </w:divBdr>
    </w:div>
    <w:div w:id="1808669514">
      <w:bodyDiv w:val="1"/>
      <w:marLeft w:val="0"/>
      <w:marRight w:val="0"/>
      <w:marTop w:val="0"/>
      <w:marBottom w:val="0"/>
      <w:divBdr>
        <w:top w:val="none" w:sz="0" w:space="0" w:color="auto"/>
        <w:left w:val="none" w:sz="0" w:space="0" w:color="auto"/>
        <w:bottom w:val="none" w:sz="0" w:space="0" w:color="auto"/>
        <w:right w:val="none" w:sz="0" w:space="0" w:color="auto"/>
      </w:divBdr>
    </w:div>
    <w:div w:id="1843352278">
      <w:bodyDiv w:val="1"/>
      <w:marLeft w:val="0"/>
      <w:marRight w:val="0"/>
      <w:marTop w:val="0"/>
      <w:marBottom w:val="0"/>
      <w:divBdr>
        <w:top w:val="none" w:sz="0" w:space="0" w:color="auto"/>
        <w:left w:val="none" w:sz="0" w:space="0" w:color="auto"/>
        <w:bottom w:val="none" w:sz="0" w:space="0" w:color="auto"/>
        <w:right w:val="none" w:sz="0" w:space="0" w:color="auto"/>
      </w:divBdr>
    </w:div>
    <w:div w:id="1889415166">
      <w:bodyDiv w:val="1"/>
      <w:marLeft w:val="0"/>
      <w:marRight w:val="0"/>
      <w:marTop w:val="0"/>
      <w:marBottom w:val="0"/>
      <w:divBdr>
        <w:top w:val="none" w:sz="0" w:space="0" w:color="auto"/>
        <w:left w:val="none" w:sz="0" w:space="0" w:color="auto"/>
        <w:bottom w:val="none" w:sz="0" w:space="0" w:color="auto"/>
        <w:right w:val="none" w:sz="0" w:space="0" w:color="auto"/>
      </w:divBdr>
      <w:divsChild>
        <w:div w:id="1405684929">
          <w:marLeft w:val="0"/>
          <w:marRight w:val="547"/>
          <w:marTop w:val="0"/>
          <w:marBottom w:val="0"/>
          <w:divBdr>
            <w:top w:val="none" w:sz="0" w:space="0" w:color="auto"/>
            <w:left w:val="none" w:sz="0" w:space="0" w:color="auto"/>
            <w:bottom w:val="none" w:sz="0" w:space="0" w:color="auto"/>
            <w:right w:val="none" w:sz="0" w:space="0" w:color="auto"/>
          </w:divBdr>
        </w:div>
        <w:div w:id="1673725488">
          <w:marLeft w:val="0"/>
          <w:marRight w:val="547"/>
          <w:marTop w:val="0"/>
          <w:marBottom w:val="0"/>
          <w:divBdr>
            <w:top w:val="none" w:sz="0" w:space="0" w:color="auto"/>
            <w:left w:val="none" w:sz="0" w:space="0" w:color="auto"/>
            <w:bottom w:val="none" w:sz="0" w:space="0" w:color="auto"/>
            <w:right w:val="none" w:sz="0" w:space="0" w:color="auto"/>
          </w:divBdr>
        </w:div>
      </w:divsChild>
    </w:div>
    <w:div w:id="1902715221">
      <w:bodyDiv w:val="1"/>
      <w:marLeft w:val="0"/>
      <w:marRight w:val="0"/>
      <w:marTop w:val="0"/>
      <w:marBottom w:val="0"/>
      <w:divBdr>
        <w:top w:val="none" w:sz="0" w:space="0" w:color="auto"/>
        <w:left w:val="none" w:sz="0" w:space="0" w:color="auto"/>
        <w:bottom w:val="none" w:sz="0" w:space="0" w:color="auto"/>
        <w:right w:val="none" w:sz="0" w:space="0" w:color="auto"/>
      </w:divBdr>
      <w:divsChild>
        <w:div w:id="1656953277">
          <w:marLeft w:val="547"/>
          <w:marRight w:val="0"/>
          <w:marTop w:val="0"/>
          <w:marBottom w:val="0"/>
          <w:divBdr>
            <w:top w:val="none" w:sz="0" w:space="0" w:color="auto"/>
            <w:left w:val="none" w:sz="0" w:space="0" w:color="auto"/>
            <w:bottom w:val="none" w:sz="0" w:space="0" w:color="auto"/>
            <w:right w:val="none" w:sz="0" w:space="0" w:color="auto"/>
          </w:divBdr>
        </w:div>
      </w:divsChild>
    </w:div>
    <w:div w:id="1908683034">
      <w:bodyDiv w:val="1"/>
      <w:marLeft w:val="0"/>
      <w:marRight w:val="0"/>
      <w:marTop w:val="0"/>
      <w:marBottom w:val="0"/>
      <w:divBdr>
        <w:top w:val="none" w:sz="0" w:space="0" w:color="auto"/>
        <w:left w:val="none" w:sz="0" w:space="0" w:color="auto"/>
        <w:bottom w:val="none" w:sz="0" w:space="0" w:color="auto"/>
        <w:right w:val="none" w:sz="0" w:space="0" w:color="auto"/>
      </w:divBdr>
    </w:div>
    <w:div w:id="1913075552">
      <w:bodyDiv w:val="1"/>
      <w:marLeft w:val="0"/>
      <w:marRight w:val="0"/>
      <w:marTop w:val="0"/>
      <w:marBottom w:val="0"/>
      <w:divBdr>
        <w:top w:val="none" w:sz="0" w:space="0" w:color="auto"/>
        <w:left w:val="none" w:sz="0" w:space="0" w:color="auto"/>
        <w:bottom w:val="none" w:sz="0" w:space="0" w:color="auto"/>
        <w:right w:val="none" w:sz="0" w:space="0" w:color="auto"/>
      </w:divBdr>
    </w:div>
    <w:div w:id="1974631760">
      <w:bodyDiv w:val="1"/>
      <w:marLeft w:val="0"/>
      <w:marRight w:val="0"/>
      <w:marTop w:val="0"/>
      <w:marBottom w:val="0"/>
      <w:divBdr>
        <w:top w:val="none" w:sz="0" w:space="0" w:color="auto"/>
        <w:left w:val="none" w:sz="0" w:space="0" w:color="auto"/>
        <w:bottom w:val="none" w:sz="0" w:space="0" w:color="auto"/>
        <w:right w:val="none" w:sz="0" w:space="0" w:color="auto"/>
      </w:divBdr>
    </w:div>
    <w:div w:id="1989164027">
      <w:bodyDiv w:val="1"/>
      <w:marLeft w:val="0"/>
      <w:marRight w:val="0"/>
      <w:marTop w:val="0"/>
      <w:marBottom w:val="0"/>
      <w:divBdr>
        <w:top w:val="none" w:sz="0" w:space="0" w:color="auto"/>
        <w:left w:val="none" w:sz="0" w:space="0" w:color="auto"/>
        <w:bottom w:val="none" w:sz="0" w:space="0" w:color="auto"/>
        <w:right w:val="none" w:sz="0" w:space="0" w:color="auto"/>
      </w:divBdr>
      <w:divsChild>
        <w:div w:id="636642844">
          <w:marLeft w:val="0"/>
          <w:marRight w:val="547"/>
          <w:marTop w:val="0"/>
          <w:marBottom w:val="0"/>
          <w:divBdr>
            <w:top w:val="none" w:sz="0" w:space="0" w:color="auto"/>
            <w:left w:val="none" w:sz="0" w:space="0" w:color="auto"/>
            <w:bottom w:val="none" w:sz="0" w:space="0" w:color="auto"/>
            <w:right w:val="none" w:sz="0" w:space="0" w:color="auto"/>
          </w:divBdr>
        </w:div>
      </w:divsChild>
    </w:div>
    <w:div w:id="2005164432">
      <w:bodyDiv w:val="1"/>
      <w:marLeft w:val="0"/>
      <w:marRight w:val="0"/>
      <w:marTop w:val="0"/>
      <w:marBottom w:val="0"/>
      <w:divBdr>
        <w:top w:val="none" w:sz="0" w:space="0" w:color="auto"/>
        <w:left w:val="none" w:sz="0" w:space="0" w:color="auto"/>
        <w:bottom w:val="none" w:sz="0" w:space="0" w:color="auto"/>
        <w:right w:val="none" w:sz="0" w:space="0" w:color="auto"/>
      </w:divBdr>
    </w:div>
    <w:div w:id="2044865768">
      <w:bodyDiv w:val="1"/>
      <w:marLeft w:val="0"/>
      <w:marRight w:val="0"/>
      <w:marTop w:val="0"/>
      <w:marBottom w:val="0"/>
      <w:divBdr>
        <w:top w:val="none" w:sz="0" w:space="0" w:color="auto"/>
        <w:left w:val="none" w:sz="0" w:space="0" w:color="auto"/>
        <w:bottom w:val="none" w:sz="0" w:space="0" w:color="auto"/>
        <w:right w:val="none" w:sz="0" w:space="0" w:color="auto"/>
      </w:divBdr>
    </w:div>
    <w:div w:id="2046370572">
      <w:bodyDiv w:val="1"/>
      <w:marLeft w:val="0"/>
      <w:marRight w:val="0"/>
      <w:marTop w:val="0"/>
      <w:marBottom w:val="0"/>
      <w:divBdr>
        <w:top w:val="none" w:sz="0" w:space="0" w:color="auto"/>
        <w:left w:val="none" w:sz="0" w:space="0" w:color="auto"/>
        <w:bottom w:val="none" w:sz="0" w:space="0" w:color="auto"/>
        <w:right w:val="none" w:sz="0" w:space="0" w:color="auto"/>
      </w:divBdr>
    </w:div>
    <w:div w:id="2050252361">
      <w:bodyDiv w:val="1"/>
      <w:marLeft w:val="0"/>
      <w:marRight w:val="0"/>
      <w:marTop w:val="0"/>
      <w:marBottom w:val="0"/>
      <w:divBdr>
        <w:top w:val="none" w:sz="0" w:space="0" w:color="auto"/>
        <w:left w:val="none" w:sz="0" w:space="0" w:color="auto"/>
        <w:bottom w:val="none" w:sz="0" w:space="0" w:color="auto"/>
        <w:right w:val="none" w:sz="0" w:space="0" w:color="auto"/>
      </w:divBdr>
    </w:div>
    <w:div w:id="2091921910">
      <w:bodyDiv w:val="1"/>
      <w:marLeft w:val="0"/>
      <w:marRight w:val="0"/>
      <w:marTop w:val="0"/>
      <w:marBottom w:val="0"/>
      <w:divBdr>
        <w:top w:val="none" w:sz="0" w:space="0" w:color="auto"/>
        <w:left w:val="none" w:sz="0" w:space="0" w:color="auto"/>
        <w:bottom w:val="none" w:sz="0" w:space="0" w:color="auto"/>
        <w:right w:val="none" w:sz="0" w:space="0" w:color="auto"/>
      </w:divBdr>
    </w:div>
    <w:div w:id="2110269326">
      <w:bodyDiv w:val="1"/>
      <w:marLeft w:val="0"/>
      <w:marRight w:val="0"/>
      <w:marTop w:val="0"/>
      <w:marBottom w:val="0"/>
      <w:divBdr>
        <w:top w:val="none" w:sz="0" w:space="0" w:color="auto"/>
        <w:left w:val="none" w:sz="0" w:space="0" w:color="auto"/>
        <w:bottom w:val="none" w:sz="0" w:space="0" w:color="auto"/>
        <w:right w:val="none" w:sz="0" w:space="0" w:color="auto"/>
      </w:divBdr>
      <w:divsChild>
        <w:div w:id="2084253649">
          <w:marLeft w:val="0"/>
          <w:marRight w:val="547"/>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diagramQuickStyle" Target="diagrams/quickStyle8.xml"/><Relationship Id="rId299" Type="http://schemas.openxmlformats.org/officeDocument/2006/relationships/chart" Target="charts/chart18.xml"/><Relationship Id="rId21" Type="http://schemas.openxmlformats.org/officeDocument/2006/relationships/hyperlink" Target="file:///C:\Users\NTC\Desktop\&#1575;&#1604;&#1575;&#1591;&#1585;&#1608;&#1581;&#1577;%20-%20&#1605;&#1593;&#1610;&#1608;&#1601;%20&#1586;&#1607;&#1610;&#1585;.docx" TargetMode="External"/><Relationship Id="rId63" Type="http://schemas.openxmlformats.org/officeDocument/2006/relationships/diagramData" Target="diagrams/data4.xml"/><Relationship Id="rId159" Type="http://schemas.openxmlformats.org/officeDocument/2006/relationships/diagramColors" Target="diagrams/colors13.xml"/><Relationship Id="rId324" Type="http://schemas.openxmlformats.org/officeDocument/2006/relationships/image" Target="media/image123.jpg"/><Relationship Id="rId366" Type="http://schemas.openxmlformats.org/officeDocument/2006/relationships/hyperlink" Target="http://dx.doi.org/10.3917/ag.654.0115" TargetMode="External"/><Relationship Id="rId170" Type="http://schemas.openxmlformats.org/officeDocument/2006/relationships/diagramData" Target="diagrams/data14.xml"/><Relationship Id="rId226" Type="http://schemas.openxmlformats.org/officeDocument/2006/relationships/diagramData" Target="diagrams/data18.xml"/><Relationship Id="rId433" Type="http://schemas.openxmlformats.org/officeDocument/2006/relationships/diagramQuickStyle" Target="diagrams/quickStyle23.xml"/><Relationship Id="rId268" Type="http://schemas.openxmlformats.org/officeDocument/2006/relationships/chart" Target="charts/chart13.xml"/><Relationship Id="rId32" Type="http://schemas.openxmlformats.org/officeDocument/2006/relationships/header" Target="header4.xml"/><Relationship Id="rId74" Type="http://schemas.microsoft.com/office/2007/relationships/diagramDrawing" Target="diagrams/drawing5.xml"/><Relationship Id="rId128" Type="http://schemas.openxmlformats.org/officeDocument/2006/relationships/diagramQuickStyle" Target="diagrams/quickStyle10.xml"/><Relationship Id="rId335" Type="http://schemas.openxmlformats.org/officeDocument/2006/relationships/image" Target="media/image135.jpeg"/><Relationship Id="rId377" Type="http://schemas.openxmlformats.org/officeDocument/2006/relationships/hyperlink" Target="https://doi.org/10.3390/su14052495" TargetMode="External"/><Relationship Id="rId5" Type="http://schemas.openxmlformats.org/officeDocument/2006/relationships/settings" Target="settings.xml"/><Relationship Id="rId181" Type="http://schemas.openxmlformats.org/officeDocument/2006/relationships/footer" Target="footer19.xml"/><Relationship Id="rId237" Type="http://schemas.openxmlformats.org/officeDocument/2006/relationships/chart" Target="charts/chart2.xml"/><Relationship Id="rId402" Type="http://schemas.openxmlformats.org/officeDocument/2006/relationships/hyperlink" Target="file:///D:\&#1575;&#1604;&#1575;&#1591;&#1585;&#1608;&#1581;&#1577;%2022-23\&#1575;&#1604;&#1575;&#1591;&#1585;&#1608;&#1581;&#1577;%202022-2023\Tacnet,%20J-M,%20Dezert%20J.,%20Curt%20C.,%20Batton-Hubert%20M.,%20et%20Chojnacki%20E.,%20(2014):" TargetMode="External"/><Relationship Id="rId279" Type="http://schemas.openxmlformats.org/officeDocument/2006/relationships/diagramColors" Target="diagrams/colors21.xml"/><Relationship Id="rId43" Type="http://schemas.openxmlformats.org/officeDocument/2006/relationships/diagramColors" Target="diagrams/colors1.xml"/><Relationship Id="rId139" Type="http://schemas.openxmlformats.org/officeDocument/2006/relationships/footer" Target="footer14.xml"/><Relationship Id="rId290" Type="http://schemas.microsoft.com/office/2007/relationships/hdphoto" Target="media/hdphoto4.wdp"/><Relationship Id="rId304" Type="http://schemas.openxmlformats.org/officeDocument/2006/relationships/image" Target="media/image112.jpg"/><Relationship Id="rId346" Type="http://schemas.openxmlformats.org/officeDocument/2006/relationships/header" Target="header29.xml"/><Relationship Id="rId388" Type="http://schemas.openxmlformats.org/officeDocument/2006/relationships/hyperlink" Target="https://doi.org/10.2495/SC100561" TargetMode="External"/><Relationship Id="rId85" Type="http://schemas.openxmlformats.org/officeDocument/2006/relationships/diagramQuickStyle" Target="diagrams/quickStyle6.xml"/><Relationship Id="rId150" Type="http://schemas.openxmlformats.org/officeDocument/2006/relationships/diagramLayout" Target="diagrams/layout12.xml"/><Relationship Id="rId192" Type="http://schemas.microsoft.com/office/2007/relationships/diagramDrawing" Target="diagrams/drawing15.xml"/><Relationship Id="rId206" Type="http://schemas.openxmlformats.org/officeDocument/2006/relationships/image" Target="media/image76.png"/><Relationship Id="rId413" Type="http://schemas.openxmlformats.org/officeDocument/2006/relationships/hyperlink" Target="https://doi.org/10.1016/j.envsci.2014.12.017" TargetMode="External"/><Relationship Id="rId248" Type="http://schemas.openxmlformats.org/officeDocument/2006/relationships/image" Target="media/image94.jpeg"/><Relationship Id="rId12" Type="http://schemas.openxmlformats.org/officeDocument/2006/relationships/hyperlink" Target="file:///C:\Users\NTC\Desktop\&#1575;&#1604;&#1575;&#1591;&#1585;&#1608;&#1581;&#1577;%20-%20&#1605;&#1593;&#1610;&#1608;&#1601;%20&#1586;&#1607;&#1610;&#1585;.docx" TargetMode="External"/><Relationship Id="rId108" Type="http://schemas.openxmlformats.org/officeDocument/2006/relationships/image" Target="media/image33.jpg"/><Relationship Id="rId315" Type="http://schemas.openxmlformats.org/officeDocument/2006/relationships/image" Target="media/image1170.jpeg"/><Relationship Id="rId357" Type="http://schemas.openxmlformats.org/officeDocument/2006/relationships/hyperlink" Target="https://doi.org/10.1080/01944360608976734" TargetMode="External"/><Relationship Id="rId54" Type="http://schemas.microsoft.com/office/2007/relationships/diagramDrawing" Target="diagrams/drawing2.xml"/><Relationship Id="rId96" Type="http://schemas.openxmlformats.org/officeDocument/2006/relationships/image" Target="media/image30.emf"/><Relationship Id="rId161" Type="http://schemas.openxmlformats.org/officeDocument/2006/relationships/image" Target="media/image51.JPG"/><Relationship Id="rId217" Type="http://schemas.openxmlformats.org/officeDocument/2006/relationships/footer" Target="footer21.xml"/><Relationship Id="rId399" Type="http://schemas.openxmlformats.org/officeDocument/2006/relationships/hyperlink" Target="https://doi.org/10%20.3390%20/urbansci5010018" TargetMode="External"/><Relationship Id="rId259" Type="http://schemas.openxmlformats.org/officeDocument/2006/relationships/chart" Target="charts/chart9.xml"/><Relationship Id="rId424" Type="http://schemas.openxmlformats.org/officeDocument/2006/relationships/footer" Target="footer32.xml"/><Relationship Id="rId23" Type="http://schemas.openxmlformats.org/officeDocument/2006/relationships/hyperlink" Target="file:///C:\Users\NTC\Desktop\&#1575;&#1604;&#1575;&#1591;&#1585;&#1608;&#1581;&#1577;%20-%20&#1605;&#1593;&#1610;&#1608;&#1601;%20&#1586;&#1607;&#1610;&#1585;.docx" TargetMode="External"/><Relationship Id="rId119" Type="http://schemas.microsoft.com/office/2007/relationships/diagramDrawing" Target="diagrams/drawing8.xml"/><Relationship Id="rId270" Type="http://schemas.openxmlformats.org/officeDocument/2006/relationships/header" Target="header22.xml"/><Relationship Id="rId326" Type="http://schemas.openxmlformats.org/officeDocument/2006/relationships/chart" Target="charts/chart20.xml"/><Relationship Id="rId65" Type="http://schemas.openxmlformats.org/officeDocument/2006/relationships/diagramQuickStyle" Target="diagrams/quickStyle4.xml"/><Relationship Id="rId130" Type="http://schemas.microsoft.com/office/2007/relationships/diagramDrawing" Target="diagrams/drawing10.xml"/><Relationship Id="rId368" Type="http://schemas.openxmlformats.org/officeDocument/2006/relationships/hyperlink" Target="https://doi.org/10.3390/su141911798" TargetMode="External"/><Relationship Id="rId172" Type="http://schemas.openxmlformats.org/officeDocument/2006/relationships/diagramQuickStyle" Target="diagrams/quickStyle14.xml"/><Relationship Id="rId228" Type="http://schemas.openxmlformats.org/officeDocument/2006/relationships/diagramQuickStyle" Target="diagrams/quickStyle18.xml"/><Relationship Id="rId435" Type="http://schemas.microsoft.com/office/2007/relationships/diagramDrawing" Target="diagrams/drawing23.xml"/><Relationship Id="rId281" Type="http://schemas.openxmlformats.org/officeDocument/2006/relationships/image" Target="media/image99.png"/><Relationship Id="rId337" Type="http://schemas.openxmlformats.org/officeDocument/2006/relationships/chart" Target="charts/chart23.xml"/><Relationship Id="rId34" Type="http://schemas.openxmlformats.org/officeDocument/2006/relationships/header" Target="header5.xml"/><Relationship Id="rId76" Type="http://schemas.openxmlformats.org/officeDocument/2006/relationships/image" Target="media/image15.png"/><Relationship Id="rId141" Type="http://schemas.openxmlformats.org/officeDocument/2006/relationships/footer" Target="footer15.xml"/><Relationship Id="rId379" Type="http://schemas.openxmlformats.org/officeDocument/2006/relationships/hyperlink" Target="https://doi.org/10.1016/S0169-2046(02)00230-X" TargetMode="External"/><Relationship Id="rId7" Type="http://schemas.openxmlformats.org/officeDocument/2006/relationships/footnotes" Target="footnotes.xml"/><Relationship Id="rId183" Type="http://schemas.openxmlformats.org/officeDocument/2006/relationships/image" Target="media/image61.png"/><Relationship Id="rId239" Type="http://schemas.openxmlformats.org/officeDocument/2006/relationships/hyperlink" Target="https://www.openstreetmap.fr" TargetMode="External"/><Relationship Id="rId390" Type="http://schemas.openxmlformats.org/officeDocument/2006/relationships/hyperlink" Target="https://doi.org/10.5751/ES-06939-190455" TargetMode="External"/><Relationship Id="rId404" Type="http://schemas.openxmlformats.org/officeDocument/2006/relationships/hyperlink" Target="https://doi.org/10.1007/s11069-012-0152-2" TargetMode="External"/><Relationship Id="rId250" Type="http://schemas.openxmlformats.org/officeDocument/2006/relationships/hyperlink" Target="https://questionnaire-pro.fr" TargetMode="External"/><Relationship Id="rId292" Type="http://schemas.microsoft.com/office/2007/relationships/hdphoto" Target="media/hdphoto5.wdp"/><Relationship Id="rId306" Type="http://schemas.openxmlformats.org/officeDocument/2006/relationships/image" Target="media/image113.jpeg"/><Relationship Id="rId45" Type="http://schemas.openxmlformats.org/officeDocument/2006/relationships/image" Target="media/image4.jpeg"/><Relationship Id="rId87" Type="http://schemas.microsoft.com/office/2007/relationships/diagramDrawing" Target="diagrams/drawing6.xml"/><Relationship Id="rId110" Type="http://schemas.openxmlformats.org/officeDocument/2006/relationships/image" Target="media/image35.jpeg"/><Relationship Id="rId348" Type="http://schemas.openxmlformats.org/officeDocument/2006/relationships/hyperlink" Target="https://www.merefa2000.com/2019/08/arcgis.html" TargetMode="External"/><Relationship Id="rId152" Type="http://schemas.openxmlformats.org/officeDocument/2006/relationships/diagramColors" Target="diagrams/colors12.xml"/><Relationship Id="rId194" Type="http://schemas.openxmlformats.org/officeDocument/2006/relationships/image" Target="media/image67.jpeg"/><Relationship Id="rId208" Type="http://schemas.openxmlformats.org/officeDocument/2006/relationships/image" Target="media/image78.jpeg"/><Relationship Id="rId415" Type="http://schemas.openxmlformats.org/officeDocument/2006/relationships/hyperlink" Target="https://www.cariassociation.org/Organismes/Agence-Nationale-des-Ressources-Hydrauliques-Direction-Generale-Algerie" TargetMode="External"/><Relationship Id="rId261" Type="http://schemas.openxmlformats.org/officeDocument/2006/relationships/chart" Target="charts/chart11.xml"/><Relationship Id="rId14" Type="http://schemas.openxmlformats.org/officeDocument/2006/relationships/hyperlink" Target="file:///C:\Users\NTC\Desktop\&#1575;&#1604;&#1575;&#1591;&#1585;&#1608;&#1581;&#1577;%20-%20&#1605;&#1593;&#1610;&#1608;&#1601;%20&#1586;&#1607;&#1610;&#1585;.docx" TargetMode="External"/><Relationship Id="rId56" Type="http://schemas.openxmlformats.org/officeDocument/2006/relationships/diagramLayout" Target="diagrams/layout3.xml"/><Relationship Id="rId317" Type="http://schemas.openxmlformats.org/officeDocument/2006/relationships/image" Target="media/image1180.jpeg"/><Relationship Id="rId359" Type="http://schemas.openxmlformats.org/officeDocument/2006/relationships/hyperlink" Target="file:///D:\&#1575;&#1604;&#1575;&#1591;&#1585;&#1608;&#1581;&#1577;%2022-23\&#1575;&#1604;&#1575;&#1591;&#1585;&#1608;&#1581;&#1577;%202022-2023\Carladous,%20S.,%20Tacnet%20J-M.,%20Batton-Hubert%20M.,%20Dezert%20J.,%20&amp;%20Marco,%20O.,%20(2019):" TargetMode="External"/><Relationship Id="rId98" Type="http://schemas.openxmlformats.org/officeDocument/2006/relationships/footer" Target="footer9.xml"/><Relationship Id="rId121" Type="http://schemas.openxmlformats.org/officeDocument/2006/relationships/diagramData" Target="diagrams/data9.xml"/><Relationship Id="rId163" Type="http://schemas.openxmlformats.org/officeDocument/2006/relationships/image" Target="media/image53.png"/><Relationship Id="rId219" Type="http://schemas.openxmlformats.org/officeDocument/2006/relationships/footer" Target="footer22.xml"/><Relationship Id="rId370" Type="http://schemas.openxmlformats.org/officeDocument/2006/relationships/hyperlink" Target="file:///C:\Users\NTC\AppData\Roaming\Microsoft\Word\Durand,%20CP.,%20Andalib,%20M.,%20Dunton,%20GF.,%20Wolch,%20J.&amp;%20Pentz,%20MA.,%20(2011):" TargetMode="External"/><Relationship Id="rId426" Type="http://schemas.openxmlformats.org/officeDocument/2006/relationships/diagramData" Target="diagrams/data22.xml"/><Relationship Id="rId230" Type="http://schemas.microsoft.com/office/2007/relationships/diagramDrawing" Target="diagrams/drawing18.xml"/><Relationship Id="rId25" Type="http://schemas.openxmlformats.org/officeDocument/2006/relationships/hyperlink" Target="file:///C:\Users\NTC\Desktop\&#1575;&#1604;&#1575;&#1591;&#1585;&#1608;&#1581;&#1577;%20-%20&#1605;&#1593;&#1610;&#1608;&#1601;%20&#1586;&#1607;&#1610;&#1585;.docx" TargetMode="External"/><Relationship Id="rId67" Type="http://schemas.microsoft.com/office/2007/relationships/diagramDrawing" Target="diagrams/drawing4.xml"/><Relationship Id="rId272" Type="http://schemas.openxmlformats.org/officeDocument/2006/relationships/header" Target="header23.xml"/><Relationship Id="rId328" Type="http://schemas.openxmlformats.org/officeDocument/2006/relationships/image" Target="media/image129.jpeg"/><Relationship Id="rId132" Type="http://schemas.openxmlformats.org/officeDocument/2006/relationships/header" Target="header10.xml"/><Relationship Id="rId174" Type="http://schemas.microsoft.com/office/2007/relationships/diagramDrawing" Target="diagrams/drawing14.xml"/><Relationship Id="rId381" Type="http://schemas.openxmlformats.org/officeDocument/2006/relationships/hyperlink" Target="http://dx.doi.org/10.1596/978-0-8213-8865-5" TargetMode="External"/><Relationship Id="rId241" Type="http://schemas.openxmlformats.org/officeDocument/2006/relationships/image" Target="media/image87.jpeg"/><Relationship Id="rId437" Type="http://schemas.openxmlformats.org/officeDocument/2006/relationships/header" Target="header34.xml"/><Relationship Id="rId36" Type="http://schemas.openxmlformats.org/officeDocument/2006/relationships/header" Target="header6.xml"/><Relationship Id="rId283" Type="http://schemas.microsoft.com/office/2007/relationships/hdphoto" Target="media/hdphoto2.wdp"/><Relationship Id="rId339" Type="http://schemas.openxmlformats.org/officeDocument/2006/relationships/footer" Target="footer25.xml"/><Relationship Id="rId78" Type="http://schemas.openxmlformats.org/officeDocument/2006/relationships/image" Target="media/image17.jpg"/><Relationship Id="rId101" Type="http://schemas.openxmlformats.org/officeDocument/2006/relationships/image" Target="media/image31.jpg"/><Relationship Id="rId143" Type="http://schemas.openxmlformats.org/officeDocument/2006/relationships/diagramLayout" Target="diagrams/layout11.xml"/><Relationship Id="rId185" Type="http://schemas.openxmlformats.org/officeDocument/2006/relationships/image" Target="media/image63.png"/><Relationship Id="rId350" Type="http://schemas.openxmlformats.org/officeDocument/2006/relationships/hyperlink" Target="https://doi.org/10.1080/13574809.2013.772881" TargetMode="External"/><Relationship Id="rId406" Type="http://schemas.openxmlformats.org/officeDocument/2006/relationships/hyperlink" Target="http://wcr.unhabitat.org/" TargetMode="External"/><Relationship Id="rId9" Type="http://schemas.openxmlformats.org/officeDocument/2006/relationships/image" Target="media/image3.emf"/><Relationship Id="rId210" Type="http://schemas.openxmlformats.org/officeDocument/2006/relationships/image" Target="media/image80.png"/><Relationship Id="rId392" Type="http://schemas.openxmlformats.org/officeDocument/2006/relationships/hyperlink" Target="https://doi.org/10.1016/j.ijdrr.2019.101069" TargetMode="External"/><Relationship Id="rId252" Type="http://schemas.openxmlformats.org/officeDocument/2006/relationships/hyperlink" Target="https://fr.surveymonkey.com" TargetMode="External"/><Relationship Id="rId294" Type="http://schemas.openxmlformats.org/officeDocument/2006/relationships/image" Target="media/image107.jpeg"/><Relationship Id="rId308" Type="http://schemas.openxmlformats.org/officeDocument/2006/relationships/image" Target="media/image114.jpeg"/><Relationship Id="rId47" Type="http://schemas.openxmlformats.org/officeDocument/2006/relationships/image" Target="media/image6.jpg"/><Relationship Id="rId89" Type="http://schemas.openxmlformats.org/officeDocument/2006/relationships/image" Target="media/image24.wmf"/><Relationship Id="rId112" Type="http://schemas.openxmlformats.org/officeDocument/2006/relationships/image" Target="media/image37.jpg"/><Relationship Id="rId154" Type="http://schemas.openxmlformats.org/officeDocument/2006/relationships/image" Target="media/image49.JPG"/><Relationship Id="rId361" Type="http://schemas.openxmlformats.org/officeDocument/2006/relationships/hyperlink" Target="http://modernistarchitecture.wordpress.com/2010/11/03" TargetMode="External"/><Relationship Id="rId196" Type="http://schemas.openxmlformats.org/officeDocument/2006/relationships/image" Target="media/image69.png"/><Relationship Id="rId417" Type="http://schemas.openxmlformats.org/officeDocument/2006/relationships/hyperlink" Target="https://questionnaire-pro.fr" TargetMode="External"/><Relationship Id="rId16" Type="http://schemas.openxmlformats.org/officeDocument/2006/relationships/hyperlink" Target="file:///C:\Users\NTC\Desktop\&#1575;&#1604;&#1575;&#1591;&#1585;&#1608;&#1581;&#1577;%20-%20&#1605;&#1593;&#1610;&#1608;&#1601;%20&#1586;&#1607;&#1610;&#1585;.docx" TargetMode="External"/><Relationship Id="rId221" Type="http://schemas.openxmlformats.org/officeDocument/2006/relationships/diagramLayout" Target="diagrams/layout17.xml"/><Relationship Id="rId263" Type="http://schemas.openxmlformats.org/officeDocument/2006/relationships/diagramLayout" Target="diagrams/layout20.xml"/><Relationship Id="rId319" Type="http://schemas.openxmlformats.org/officeDocument/2006/relationships/image" Target="media/image1190.jpeg"/><Relationship Id="rId58" Type="http://schemas.openxmlformats.org/officeDocument/2006/relationships/diagramColors" Target="diagrams/colors3.xml"/><Relationship Id="rId123" Type="http://schemas.openxmlformats.org/officeDocument/2006/relationships/diagramQuickStyle" Target="diagrams/quickStyle9.xml"/><Relationship Id="rId330" Type="http://schemas.openxmlformats.org/officeDocument/2006/relationships/image" Target="media/image131.jpeg"/><Relationship Id="rId165" Type="http://schemas.openxmlformats.org/officeDocument/2006/relationships/image" Target="media/image55.png"/><Relationship Id="rId372" Type="http://schemas.openxmlformats.org/officeDocument/2006/relationships/hyperlink" Target="https://www.icevirtuallibrary.com/doi/abs/10.1680/wama.14.00066" TargetMode="External"/><Relationship Id="rId428" Type="http://schemas.openxmlformats.org/officeDocument/2006/relationships/diagramQuickStyle" Target="diagrams/quickStyle22.xml"/><Relationship Id="rId232" Type="http://schemas.openxmlformats.org/officeDocument/2006/relationships/diagramData" Target="diagrams/data19.xml"/><Relationship Id="rId274" Type="http://schemas.openxmlformats.org/officeDocument/2006/relationships/footer" Target="footer24.xml"/><Relationship Id="rId27" Type="http://schemas.openxmlformats.org/officeDocument/2006/relationships/header" Target="header2.xml"/><Relationship Id="rId69" Type="http://schemas.openxmlformats.org/officeDocument/2006/relationships/image" Target="media/image13.jpg"/><Relationship Id="rId134" Type="http://schemas.openxmlformats.org/officeDocument/2006/relationships/header" Target="header11.xml"/><Relationship Id="rId80" Type="http://schemas.openxmlformats.org/officeDocument/2006/relationships/image" Target="media/image19.png"/><Relationship Id="rId176" Type="http://schemas.openxmlformats.org/officeDocument/2006/relationships/footer" Target="footer16.xml"/><Relationship Id="rId341" Type="http://schemas.openxmlformats.org/officeDocument/2006/relationships/footer" Target="footer26.xml"/><Relationship Id="rId383" Type="http://schemas.openxmlformats.org/officeDocument/2006/relationships/hyperlink" Target="http://dx.doi.org/10.1016/j" TargetMode="External"/><Relationship Id="rId439" Type="http://schemas.openxmlformats.org/officeDocument/2006/relationships/fontTable" Target="fontTable.xml"/><Relationship Id="rId201" Type="http://schemas.openxmlformats.org/officeDocument/2006/relationships/diagramColors" Target="diagrams/colors16.xml"/><Relationship Id="rId243" Type="http://schemas.openxmlformats.org/officeDocument/2006/relationships/image" Target="media/image89.jpeg"/><Relationship Id="rId285" Type="http://schemas.openxmlformats.org/officeDocument/2006/relationships/image" Target="media/image102.jpeg"/><Relationship Id="rId38" Type="http://schemas.openxmlformats.org/officeDocument/2006/relationships/header" Target="header7.xml"/><Relationship Id="rId103" Type="http://schemas.openxmlformats.org/officeDocument/2006/relationships/diagramLayout" Target="diagrams/layout7.xml"/><Relationship Id="rId310" Type="http://schemas.openxmlformats.org/officeDocument/2006/relationships/image" Target="media/image115.jpeg"/><Relationship Id="rId91" Type="http://schemas.microsoft.com/office/2007/relationships/hdphoto" Target="media/hdphoto1.wdp"/><Relationship Id="rId145" Type="http://schemas.openxmlformats.org/officeDocument/2006/relationships/diagramColors" Target="diagrams/colors11.xml"/><Relationship Id="rId187" Type="http://schemas.openxmlformats.org/officeDocument/2006/relationships/image" Target="media/image65.png"/><Relationship Id="rId352" Type="http://schemas.openxmlformats.org/officeDocument/2006/relationships/hyperlink" Target="file:///D:\&#1575;&#1604;&#1575;&#1591;&#1585;&#1608;&#1581;&#1577;%2022-23\&#1575;&#1604;&#1575;&#1591;&#1585;&#1608;&#1581;&#1577;%202022-2023\Bojovic,%20N.%20&amp;%20Milenkovic,%20M.,%20(2008):%20%22The%20best%20rail%20fleet%20%20mix%20problem%22,%20Operational%20Research,%20vol.%208,%20n&#176;.%201,%20p.%2077&#8211;87.%20https:\doi.org\10.1007\s12351-008-0012-8" TargetMode="External"/><Relationship Id="rId394" Type="http://schemas.openxmlformats.org/officeDocument/2006/relationships/hyperlink" Target="http://www.100resilientcities.org/" TargetMode="External"/><Relationship Id="rId408" Type="http://schemas.openxmlformats.org/officeDocument/2006/relationships/hyperlink" Target="https://www.preventionweb.net/files/43291_sendaiframeworkfordrren.pdf" TargetMode="External"/><Relationship Id="rId212" Type="http://schemas.openxmlformats.org/officeDocument/2006/relationships/image" Target="media/image82.png"/><Relationship Id="rId254" Type="http://schemas.openxmlformats.org/officeDocument/2006/relationships/chart" Target="charts/chart4.xml"/><Relationship Id="rId49" Type="http://schemas.openxmlformats.org/officeDocument/2006/relationships/image" Target="media/image8.jpg"/><Relationship Id="rId114" Type="http://schemas.openxmlformats.org/officeDocument/2006/relationships/image" Target="media/image39.jpg"/><Relationship Id="rId296" Type="http://schemas.openxmlformats.org/officeDocument/2006/relationships/image" Target="media/image108.jpg"/><Relationship Id="rId60" Type="http://schemas.openxmlformats.org/officeDocument/2006/relationships/image" Target="media/image9.jpeg"/><Relationship Id="rId81" Type="http://schemas.openxmlformats.org/officeDocument/2006/relationships/image" Target="media/image20.png"/><Relationship Id="rId135" Type="http://schemas.openxmlformats.org/officeDocument/2006/relationships/footer" Target="footer12.xml"/><Relationship Id="rId156" Type="http://schemas.openxmlformats.org/officeDocument/2006/relationships/diagramData" Target="diagrams/data13.xml"/><Relationship Id="rId177" Type="http://schemas.openxmlformats.org/officeDocument/2006/relationships/footer" Target="footer17.xml"/><Relationship Id="rId198" Type="http://schemas.openxmlformats.org/officeDocument/2006/relationships/diagramData" Target="diagrams/data16.xml"/><Relationship Id="rId321" Type="http://schemas.openxmlformats.org/officeDocument/2006/relationships/image" Target="media/image1200.jpeg"/><Relationship Id="rId342" Type="http://schemas.openxmlformats.org/officeDocument/2006/relationships/header" Target="header27.xml"/><Relationship Id="rId363" Type="http://schemas.openxmlformats.org/officeDocument/2006/relationships/hyperlink" Target="http://dx.doi.org/10.1016/j.cities.2013.03.010" TargetMode="External"/><Relationship Id="rId384" Type="http://schemas.openxmlformats.org/officeDocument/2006/relationships/hyperlink" Target="http://dx.doi.org/10.18686/esta.v4i2.57" TargetMode="External"/><Relationship Id="rId419" Type="http://schemas.openxmlformats.org/officeDocument/2006/relationships/footer" Target="footer30.xml"/><Relationship Id="rId202" Type="http://schemas.microsoft.com/office/2007/relationships/diagramDrawing" Target="diagrams/drawing16.xml"/><Relationship Id="rId223" Type="http://schemas.openxmlformats.org/officeDocument/2006/relationships/diagramColors" Target="diagrams/colors17.xml"/><Relationship Id="rId244" Type="http://schemas.openxmlformats.org/officeDocument/2006/relationships/image" Target="media/image90.jpeg"/><Relationship Id="rId430" Type="http://schemas.microsoft.com/office/2007/relationships/diagramDrawing" Target="diagrams/drawing22.xml"/><Relationship Id="rId18" Type="http://schemas.openxmlformats.org/officeDocument/2006/relationships/hyperlink" Target="file:///C:\Users\NTC\Desktop\&#1575;&#1604;&#1575;&#1591;&#1585;&#1608;&#1581;&#1577;%20-%20&#1605;&#1593;&#1610;&#1608;&#1601;%20&#1586;&#1607;&#1610;&#1585;.docx" TargetMode="External"/><Relationship Id="rId39" Type="http://schemas.openxmlformats.org/officeDocument/2006/relationships/footer" Target="footer8.xml"/><Relationship Id="rId265" Type="http://schemas.openxmlformats.org/officeDocument/2006/relationships/diagramColors" Target="diagrams/colors20.xml"/><Relationship Id="rId286" Type="http://schemas.openxmlformats.org/officeDocument/2006/relationships/image" Target="media/image103.png"/><Relationship Id="rId50" Type="http://schemas.openxmlformats.org/officeDocument/2006/relationships/diagramData" Target="diagrams/data2.xml"/><Relationship Id="rId104" Type="http://schemas.openxmlformats.org/officeDocument/2006/relationships/diagramQuickStyle" Target="diagrams/quickStyle7.xml"/><Relationship Id="rId125" Type="http://schemas.microsoft.com/office/2007/relationships/diagramDrawing" Target="diagrams/drawing9.xml"/><Relationship Id="rId146" Type="http://schemas.microsoft.com/office/2007/relationships/diagramDrawing" Target="diagrams/drawing11.xml"/><Relationship Id="rId167" Type="http://schemas.openxmlformats.org/officeDocument/2006/relationships/image" Target="media/image57.png"/><Relationship Id="rId188" Type="http://schemas.openxmlformats.org/officeDocument/2006/relationships/diagramData" Target="diagrams/data15.xml"/><Relationship Id="rId311" Type="http://schemas.openxmlformats.org/officeDocument/2006/relationships/image" Target="media/image1150.jpeg"/><Relationship Id="rId332" Type="http://schemas.openxmlformats.org/officeDocument/2006/relationships/image" Target="media/image132.jpeg"/><Relationship Id="rId353" Type="http://schemas.openxmlformats.org/officeDocument/2006/relationships/hyperlink" Target="https://doi.org/10.1007/BF03401002" TargetMode="External"/><Relationship Id="rId374" Type="http://schemas.openxmlformats.org/officeDocument/2006/relationships/hyperlink" Target="https://doi.org/10.1016/j.gloenvcha.2006.04.002" TargetMode="External"/><Relationship Id="rId395" Type="http://schemas.openxmlformats.org/officeDocument/2006/relationships/hyperlink" Target="https://doi.org/10.3390/su14159162" TargetMode="External"/><Relationship Id="rId409" Type="http://schemas.openxmlformats.org/officeDocument/2006/relationships/hyperlink" Target="http://urbact.eu/resilient-europe" TargetMode="External"/><Relationship Id="rId71" Type="http://schemas.openxmlformats.org/officeDocument/2006/relationships/diagramLayout" Target="diagrams/layout5.xml"/><Relationship Id="rId92" Type="http://schemas.openxmlformats.org/officeDocument/2006/relationships/image" Target="media/image26.png"/><Relationship Id="rId213" Type="http://schemas.openxmlformats.org/officeDocument/2006/relationships/header" Target="header18.xml"/><Relationship Id="rId234" Type="http://schemas.openxmlformats.org/officeDocument/2006/relationships/diagramQuickStyle" Target="diagrams/quickStyle19.xml"/><Relationship Id="rId420" Type="http://schemas.openxmlformats.org/officeDocument/2006/relationships/hyperlink" Target="https://www.openstreetmap.fr" TargetMode="External"/><Relationship Id="rId2" Type="http://schemas.openxmlformats.org/officeDocument/2006/relationships/numbering" Target="numbering.xml"/><Relationship Id="rId29" Type="http://schemas.openxmlformats.org/officeDocument/2006/relationships/footer" Target="footer3.xml"/><Relationship Id="rId255" Type="http://schemas.openxmlformats.org/officeDocument/2006/relationships/chart" Target="charts/chart5.xml"/><Relationship Id="rId276" Type="http://schemas.openxmlformats.org/officeDocument/2006/relationships/diagramData" Target="diagrams/data21.xml"/><Relationship Id="rId297" Type="http://schemas.openxmlformats.org/officeDocument/2006/relationships/chart" Target="charts/chart17.xml"/><Relationship Id="rId40" Type="http://schemas.openxmlformats.org/officeDocument/2006/relationships/diagramData" Target="diagrams/data1.xml"/><Relationship Id="rId115" Type="http://schemas.openxmlformats.org/officeDocument/2006/relationships/diagramData" Target="diagrams/data8.xml"/><Relationship Id="rId136" Type="http://schemas.openxmlformats.org/officeDocument/2006/relationships/header" Target="header12.xml"/><Relationship Id="rId157" Type="http://schemas.openxmlformats.org/officeDocument/2006/relationships/diagramLayout" Target="diagrams/layout13.xml"/><Relationship Id="rId178" Type="http://schemas.openxmlformats.org/officeDocument/2006/relationships/header" Target="header16.xml"/><Relationship Id="rId301" Type="http://schemas.openxmlformats.org/officeDocument/2006/relationships/chart" Target="charts/chart19.xml"/><Relationship Id="rId322" Type="http://schemas.openxmlformats.org/officeDocument/2006/relationships/image" Target="media/image121.jpeg"/><Relationship Id="rId343" Type="http://schemas.openxmlformats.org/officeDocument/2006/relationships/footer" Target="footer27.xml"/><Relationship Id="rId364" Type="http://schemas.openxmlformats.org/officeDocument/2006/relationships/hyperlink" Target="http://dx.doi.org/10.1016/j" TargetMode="External"/><Relationship Id="rId61" Type="http://schemas.openxmlformats.org/officeDocument/2006/relationships/image" Target="media/image10.jpeg"/><Relationship Id="rId82" Type="http://schemas.openxmlformats.org/officeDocument/2006/relationships/image" Target="media/image21.jpg"/><Relationship Id="rId199" Type="http://schemas.openxmlformats.org/officeDocument/2006/relationships/diagramLayout" Target="diagrams/layout16.xml"/><Relationship Id="rId203" Type="http://schemas.openxmlformats.org/officeDocument/2006/relationships/image" Target="media/image73.jpg"/><Relationship Id="rId385" Type="http://schemas.openxmlformats.org/officeDocument/2006/relationships/hyperlink" Target="file:///D:\&#1575;&#1604;&#1575;&#1591;&#1585;&#1608;&#1581;&#1577;%2022-23\&#1575;&#1604;&#1575;&#1591;&#1585;&#1608;&#1581;&#1577;%202022-2023\Kuhlicke,%20C.,%20Steinfuhrer%20A.,%20Begg%20C.,%20Bianchizza%20C.,%20Brundl%20M.,%20Buchecker%20M,%20De%20Marchi%20B.,%20(2011):%20%22Perspectives%20on%20Social%20Capacity%20Building%20for%20Natural%20Hazards:%20Outlining%20an%20Emerging%20Field%20of%20Research%20and%20Practice%20in%20Europe%22,%20Environmental%20Science%20&amp;%20Policy,%20vol.%2014,%20n&#176;%207,%20p.%20804-14.%20https:\doi.org\10.1016\j.envsci.2011.05.001" TargetMode="External"/><Relationship Id="rId19" Type="http://schemas.openxmlformats.org/officeDocument/2006/relationships/hyperlink" Target="file:///C:\Users\NTC\Desktop\&#1575;&#1604;&#1575;&#1591;&#1585;&#1608;&#1581;&#1577;%20-%20&#1605;&#1593;&#1610;&#1608;&#1601;%20&#1586;&#1607;&#1610;&#1585;.docx" TargetMode="External"/><Relationship Id="rId224" Type="http://schemas.microsoft.com/office/2007/relationships/diagramDrawing" Target="diagrams/drawing17.xml"/><Relationship Id="rId245" Type="http://schemas.openxmlformats.org/officeDocument/2006/relationships/image" Target="media/image91.jpeg"/><Relationship Id="rId266" Type="http://schemas.microsoft.com/office/2007/relationships/diagramDrawing" Target="diagrams/drawing20.xml"/><Relationship Id="rId287" Type="http://schemas.openxmlformats.org/officeDocument/2006/relationships/image" Target="media/image104.jpeg"/><Relationship Id="rId410" Type="http://schemas.openxmlformats.org/officeDocument/2006/relationships/hyperlink" Target="http://dx.doi.org/10.1016/" TargetMode="External"/><Relationship Id="rId431" Type="http://schemas.openxmlformats.org/officeDocument/2006/relationships/diagramData" Target="diagrams/data23.xml"/><Relationship Id="rId30" Type="http://schemas.openxmlformats.org/officeDocument/2006/relationships/header" Target="header3.xml"/><Relationship Id="rId105" Type="http://schemas.openxmlformats.org/officeDocument/2006/relationships/diagramColors" Target="diagrams/colors7.xml"/><Relationship Id="rId126" Type="http://schemas.openxmlformats.org/officeDocument/2006/relationships/diagramData" Target="diagrams/data10.xml"/><Relationship Id="rId147" Type="http://schemas.openxmlformats.org/officeDocument/2006/relationships/image" Target="media/image47.JPG"/><Relationship Id="rId168" Type="http://schemas.openxmlformats.org/officeDocument/2006/relationships/image" Target="media/image58.jpeg"/><Relationship Id="rId312" Type="http://schemas.openxmlformats.org/officeDocument/2006/relationships/image" Target="media/image116.jpeg"/><Relationship Id="rId333" Type="http://schemas.openxmlformats.org/officeDocument/2006/relationships/image" Target="media/image133.jpeg"/><Relationship Id="rId354" Type="http://schemas.openxmlformats.org/officeDocument/2006/relationships/hyperlink" Target="http://www.recherche-qualitative.qc.ca/Revue.html" TargetMode="External"/><Relationship Id="rId51" Type="http://schemas.openxmlformats.org/officeDocument/2006/relationships/diagramLayout" Target="diagrams/layout2.xml"/><Relationship Id="rId72" Type="http://schemas.openxmlformats.org/officeDocument/2006/relationships/diagramQuickStyle" Target="diagrams/quickStyle5.xml"/><Relationship Id="rId93" Type="http://schemas.openxmlformats.org/officeDocument/2006/relationships/image" Target="media/image27.emf"/><Relationship Id="rId189" Type="http://schemas.openxmlformats.org/officeDocument/2006/relationships/diagramLayout" Target="diagrams/layout15.xml"/><Relationship Id="rId375" Type="http://schemas.openxmlformats.org/officeDocument/2006/relationships/hyperlink" Target="https://hal.archives-ouvertes.fr/hal-00679293/" TargetMode="External"/><Relationship Id="rId396" Type="http://schemas.openxmlformats.org/officeDocument/2006/relationships/hyperlink" Target="http://dx.doi.10.1080/19463138.2016.1277227" TargetMode="External"/><Relationship Id="rId3" Type="http://schemas.openxmlformats.org/officeDocument/2006/relationships/styles" Target="styles.xml"/><Relationship Id="rId214" Type="http://schemas.openxmlformats.org/officeDocument/2006/relationships/footer" Target="footer20.xml"/><Relationship Id="rId235" Type="http://schemas.openxmlformats.org/officeDocument/2006/relationships/diagramColors" Target="diagrams/colors19.xml"/><Relationship Id="rId256" Type="http://schemas.openxmlformats.org/officeDocument/2006/relationships/chart" Target="charts/chart6.xml"/><Relationship Id="rId277" Type="http://schemas.openxmlformats.org/officeDocument/2006/relationships/diagramLayout" Target="diagrams/layout21.xml"/><Relationship Id="rId298" Type="http://schemas.openxmlformats.org/officeDocument/2006/relationships/image" Target="media/image109.jpeg"/><Relationship Id="rId400" Type="http://schemas.openxmlformats.org/officeDocument/2006/relationships/hyperlink" Target="https://doi.org/10.1177/1473095218780515" TargetMode="External"/><Relationship Id="rId421" Type="http://schemas.openxmlformats.org/officeDocument/2006/relationships/header" Target="header31.xml"/><Relationship Id="rId116" Type="http://schemas.openxmlformats.org/officeDocument/2006/relationships/diagramLayout" Target="diagrams/layout8.xml"/><Relationship Id="rId137" Type="http://schemas.openxmlformats.org/officeDocument/2006/relationships/footer" Target="footer13.xml"/><Relationship Id="rId158" Type="http://schemas.openxmlformats.org/officeDocument/2006/relationships/diagramQuickStyle" Target="diagrams/quickStyle13.xml"/><Relationship Id="rId302" Type="http://schemas.openxmlformats.org/officeDocument/2006/relationships/image" Target="media/image111.jpeg"/><Relationship Id="rId323" Type="http://schemas.openxmlformats.org/officeDocument/2006/relationships/image" Target="media/image122.jpeg"/><Relationship Id="rId344" Type="http://schemas.openxmlformats.org/officeDocument/2006/relationships/header" Target="header28.xml"/><Relationship Id="rId20" Type="http://schemas.openxmlformats.org/officeDocument/2006/relationships/hyperlink" Target="file:///C:\Users\NTC\Desktop\&#1575;&#1604;&#1575;&#1591;&#1585;&#1608;&#1581;&#1577;%20-%20&#1605;&#1593;&#1610;&#1608;&#1601;%20&#1586;&#1607;&#1610;&#1585;.docx" TargetMode="External"/><Relationship Id="rId41" Type="http://schemas.openxmlformats.org/officeDocument/2006/relationships/diagramLayout" Target="diagrams/layout1.xml"/><Relationship Id="rId62" Type="http://schemas.openxmlformats.org/officeDocument/2006/relationships/image" Target="media/image11.jpg"/><Relationship Id="rId83" Type="http://schemas.openxmlformats.org/officeDocument/2006/relationships/diagramData" Target="diagrams/data6.xml"/><Relationship Id="rId179" Type="http://schemas.openxmlformats.org/officeDocument/2006/relationships/footer" Target="footer18.xml"/><Relationship Id="rId365" Type="http://schemas.openxmlformats.org/officeDocument/2006/relationships/hyperlink" Target="https://doi.org/10.1007/s11069-015-1993-2" TargetMode="External"/><Relationship Id="rId386" Type="http://schemas.openxmlformats.org/officeDocument/2006/relationships/hyperlink" Target="http://dx.doi.org/10.1016/j.trpro.2018.12.199" TargetMode="External"/><Relationship Id="rId190" Type="http://schemas.openxmlformats.org/officeDocument/2006/relationships/diagramQuickStyle" Target="diagrams/quickStyle15.xml"/><Relationship Id="rId204" Type="http://schemas.openxmlformats.org/officeDocument/2006/relationships/image" Target="media/image74.png"/><Relationship Id="rId225" Type="http://schemas.openxmlformats.org/officeDocument/2006/relationships/image" Target="media/image83.png"/><Relationship Id="rId246" Type="http://schemas.openxmlformats.org/officeDocument/2006/relationships/image" Target="media/image92.jpeg"/><Relationship Id="rId267" Type="http://schemas.openxmlformats.org/officeDocument/2006/relationships/chart" Target="charts/chart12.xml"/><Relationship Id="rId288" Type="http://schemas.microsoft.com/office/2007/relationships/hdphoto" Target="media/hdphoto3.wdp"/><Relationship Id="rId411" Type="http://schemas.openxmlformats.org/officeDocument/2006/relationships/hyperlink" Target="https://doi.org/10.5751/ES-00650-090205" TargetMode="External"/><Relationship Id="rId432" Type="http://schemas.openxmlformats.org/officeDocument/2006/relationships/diagramLayout" Target="diagrams/layout23.xml"/><Relationship Id="rId106" Type="http://schemas.microsoft.com/office/2007/relationships/diagramDrawing" Target="diagrams/drawing7.xml"/><Relationship Id="rId127" Type="http://schemas.openxmlformats.org/officeDocument/2006/relationships/diagramLayout" Target="diagrams/layout10.xml"/><Relationship Id="rId313" Type="http://schemas.openxmlformats.org/officeDocument/2006/relationships/image" Target="media/image1160.jpeg"/><Relationship Id="rId10" Type="http://schemas.openxmlformats.org/officeDocument/2006/relationships/image" Target="media/image31.emf"/><Relationship Id="rId31" Type="http://schemas.openxmlformats.org/officeDocument/2006/relationships/footer" Target="footer4.xml"/><Relationship Id="rId52" Type="http://schemas.openxmlformats.org/officeDocument/2006/relationships/diagramQuickStyle" Target="diagrams/quickStyle2.xml"/><Relationship Id="rId73" Type="http://schemas.openxmlformats.org/officeDocument/2006/relationships/diagramColors" Target="diagrams/colors5.xml"/><Relationship Id="rId94" Type="http://schemas.openxmlformats.org/officeDocument/2006/relationships/image" Target="media/image28.jpeg"/><Relationship Id="rId148" Type="http://schemas.openxmlformats.org/officeDocument/2006/relationships/image" Target="media/image48.JPG"/><Relationship Id="rId169" Type="http://schemas.openxmlformats.org/officeDocument/2006/relationships/image" Target="media/image59.JPG"/><Relationship Id="rId334" Type="http://schemas.openxmlformats.org/officeDocument/2006/relationships/image" Target="media/image134.jpeg"/><Relationship Id="rId355" Type="http://schemas.openxmlformats.org/officeDocument/2006/relationships/hyperlink" Target="https://doi" TargetMode="External"/><Relationship Id="rId376" Type="http://schemas.openxmlformats.org/officeDocument/2006/relationships/hyperlink" Target="http://www.resilientus.org/librar" TargetMode="External"/><Relationship Id="rId397" Type="http://schemas.openxmlformats.org/officeDocument/2006/relationships/hyperlink" Target="https://www.diva-ortal.org/smash/get/diva2:469916/FULLTEXT01.pdf" TargetMode="External"/><Relationship Id="rId4" Type="http://schemas.microsoft.com/office/2007/relationships/stylesWithEffects" Target="stylesWithEffects.xml"/><Relationship Id="rId180" Type="http://schemas.openxmlformats.org/officeDocument/2006/relationships/header" Target="header17.xml"/><Relationship Id="rId215" Type="http://schemas.openxmlformats.org/officeDocument/2006/relationships/header" Target="header19.xml"/><Relationship Id="rId236" Type="http://schemas.microsoft.com/office/2007/relationships/diagramDrawing" Target="diagrams/drawing19.xml"/><Relationship Id="rId257" Type="http://schemas.openxmlformats.org/officeDocument/2006/relationships/chart" Target="charts/chart7.xml"/><Relationship Id="rId278" Type="http://schemas.openxmlformats.org/officeDocument/2006/relationships/diagramQuickStyle" Target="diagrams/quickStyle21.xml"/><Relationship Id="rId401" Type="http://schemas.openxmlformats.org/officeDocument/2006/relationships/hyperlink" Target="https://ui.adsabs.harvard.edu/abs/2007AGUFM.U43D" TargetMode="External"/><Relationship Id="rId422" Type="http://schemas.openxmlformats.org/officeDocument/2006/relationships/footer" Target="footer31.xml"/><Relationship Id="rId303" Type="http://schemas.openxmlformats.org/officeDocument/2006/relationships/image" Target="media/image1110.jpeg"/><Relationship Id="rId42" Type="http://schemas.openxmlformats.org/officeDocument/2006/relationships/diagramQuickStyle" Target="diagrams/quickStyle1.xml"/><Relationship Id="rId84" Type="http://schemas.openxmlformats.org/officeDocument/2006/relationships/diagramLayout" Target="diagrams/layout6.xml"/><Relationship Id="rId138" Type="http://schemas.openxmlformats.org/officeDocument/2006/relationships/header" Target="header13.xml"/><Relationship Id="rId345" Type="http://schemas.openxmlformats.org/officeDocument/2006/relationships/footer" Target="footer28.xml"/><Relationship Id="rId387" Type="http://schemas.openxmlformats.org/officeDocument/2006/relationships/hyperlink" Target="https://doi.org/10.4000/vertigo.14502" TargetMode="External"/><Relationship Id="rId191" Type="http://schemas.openxmlformats.org/officeDocument/2006/relationships/diagramColors" Target="diagrams/colors15.xml"/><Relationship Id="rId205" Type="http://schemas.openxmlformats.org/officeDocument/2006/relationships/image" Target="media/image75.png"/><Relationship Id="rId247" Type="http://schemas.openxmlformats.org/officeDocument/2006/relationships/image" Target="media/image93.jpeg"/><Relationship Id="rId412" Type="http://schemas.openxmlformats.org/officeDocument/2006/relationships/hyperlink" Target="http://dx.doi.org/10.1016/j.techfore.2009.11.005" TargetMode="External"/><Relationship Id="rId107" Type="http://schemas.openxmlformats.org/officeDocument/2006/relationships/image" Target="media/image32.jpg"/><Relationship Id="rId289" Type="http://schemas.openxmlformats.org/officeDocument/2006/relationships/image" Target="media/image105.jpeg"/><Relationship Id="rId11" Type="http://schemas.openxmlformats.org/officeDocument/2006/relationships/footer" Target="footer1.xml"/><Relationship Id="rId53" Type="http://schemas.openxmlformats.org/officeDocument/2006/relationships/diagramColors" Target="diagrams/colors2.xml"/><Relationship Id="rId149" Type="http://schemas.openxmlformats.org/officeDocument/2006/relationships/diagramData" Target="diagrams/data12.xml"/><Relationship Id="rId314" Type="http://schemas.openxmlformats.org/officeDocument/2006/relationships/image" Target="media/image117.jpeg"/><Relationship Id="rId356" Type="http://schemas.openxmlformats.org/officeDocument/2006/relationships/hyperlink" Target="http://dx.doi.org/10.5194/nhess-12-2299-2012" TargetMode="External"/><Relationship Id="rId398" Type="http://schemas.openxmlformats.org/officeDocument/2006/relationships/hyperlink" Target="https://shs.hal.science/halshs-01250351" TargetMode="External"/><Relationship Id="rId95" Type="http://schemas.openxmlformats.org/officeDocument/2006/relationships/image" Target="media/image29.png"/><Relationship Id="rId160" Type="http://schemas.microsoft.com/office/2007/relationships/diagramDrawing" Target="diagrams/drawing13.xml"/><Relationship Id="rId216" Type="http://schemas.openxmlformats.org/officeDocument/2006/relationships/header" Target="header20.xml"/><Relationship Id="rId423" Type="http://schemas.openxmlformats.org/officeDocument/2006/relationships/header" Target="header32.xml"/><Relationship Id="rId258" Type="http://schemas.openxmlformats.org/officeDocument/2006/relationships/chart" Target="charts/chart8.xml"/><Relationship Id="rId22" Type="http://schemas.openxmlformats.org/officeDocument/2006/relationships/hyperlink" Target="file:///C:\Users\NTC\Desktop\&#1575;&#1604;&#1575;&#1591;&#1585;&#1608;&#1581;&#1577;%20-%20&#1605;&#1593;&#1610;&#1608;&#1601;%20&#1586;&#1607;&#1610;&#1585;.docx" TargetMode="External"/><Relationship Id="rId64" Type="http://schemas.openxmlformats.org/officeDocument/2006/relationships/diagramLayout" Target="diagrams/layout4.xml"/><Relationship Id="rId118" Type="http://schemas.openxmlformats.org/officeDocument/2006/relationships/diagramColors" Target="diagrams/colors8.xml"/><Relationship Id="rId325" Type="http://schemas.openxmlformats.org/officeDocument/2006/relationships/image" Target="media/image124.jpeg"/><Relationship Id="rId367" Type="http://schemas.openxmlformats.org/officeDocument/2006/relationships/hyperlink" Target="http://dx.doi.org/10.3917/ag.654.0115" TargetMode="External"/><Relationship Id="rId171" Type="http://schemas.openxmlformats.org/officeDocument/2006/relationships/diagramLayout" Target="diagrams/layout14.xml"/><Relationship Id="rId227" Type="http://schemas.openxmlformats.org/officeDocument/2006/relationships/diagramLayout" Target="diagrams/layout18.xml"/><Relationship Id="rId269" Type="http://schemas.openxmlformats.org/officeDocument/2006/relationships/chart" Target="charts/chart14.xml"/><Relationship Id="rId434" Type="http://schemas.openxmlformats.org/officeDocument/2006/relationships/diagramColors" Target="diagrams/colors23.xml"/><Relationship Id="rId33" Type="http://schemas.openxmlformats.org/officeDocument/2006/relationships/footer" Target="footer5.xml"/><Relationship Id="rId129" Type="http://schemas.openxmlformats.org/officeDocument/2006/relationships/diagramColors" Target="diagrams/colors10.xml"/><Relationship Id="rId280" Type="http://schemas.microsoft.com/office/2007/relationships/diagramDrawing" Target="diagrams/drawing21.xml"/><Relationship Id="rId336" Type="http://schemas.openxmlformats.org/officeDocument/2006/relationships/chart" Target="charts/chart22.xml"/><Relationship Id="rId75" Type="http://schemas.openxmlformats.org/officeDocument/2006/relationships/image" Target="media/image14.jpg"/><Relationship Id="rId140" Type="http://schemas.openxmlformats.org/officeDocument/2006/relationships/header" Target="header14.xml"/><Relationship Id="rId182" Type="http://schemas.openxmlformats.org/officeDocument/2006/relationships/image" Target="media/image60.jpeg"/><Relationship Id="rId378" Type="http://schemas.openxmlformats.org/officeDocument/2006/relationships/hyperlink" Target="https://doi.org/10.1287/mnsc.33.11.1383" TargetMode="External"/><Relationship Id="rId403" Type="http://schemas.openxmlformats.org/officeDocument/2006/relationships/hyperlink" Target="http://dx.doi.10.1177/0885412205283104" TargetMode="External"/><Relationship Id="rId6" Type="http://schemas.openxmlformats.org/officeDocument/2006/relationships/webSettings" Target="webSettings.xml"/><Relationship Id="rId238" Type="http://schemas.openxmlformats.org/officeDocument/2006/relationships/image" Target="media/image85.png"/><Relationship Id="rId291" Type="http://schemas.openxmlformats.org/officeDocument/2006/relationships/image" Target="media/image106.jpeg"/><Relationship Id="rId305" Type="http://schemas.openxmlformats.org/officeDocument/2006/relationships/image" Target="media/image1120.jpg"/><Relationship Id="rId347" Type="http://schemas.openxmlformats.org/officeDocument/2006/relationships/footer" Target="footer29.xml"/><Relationship Id="rId44" Type="http://schemas.microsoft.com/office/2007/relationships/diagramDrawing" Target="diagrams/drawing1.xml"/><Relationship Id="rId86" Type="http://schemas.openxmlformats.org/officeDocument/2006/relationships/diagramColors" Target="diagrams/colors6.xml"/><Relationship Id="rId151" Type="http://schemas.openxmlformats.org/officeDocument/2006/relationships/diagramQuickStyle" Target="diagrams/quickStyle12.xml"/><Relationship Id="rId389" Type="http://schemas.openxmlformats.org/officeDocument/2006/relationships/hyperlink" Target="http://dx.doi.org/10.1016/j.ypmed.2016.08.042" TargetMode="External"/><Relationship Id="rId193" Type="http://schemas.openxmlformats.org/officeDocument/2006/relationships/image" Target="media/image66.jpeg"/><Relationship Id="rId207" Type="http://schemas.openxmlformats.org/officeDocument/2006/relationships/image" Target="media/image77.png"/><Relationship Id="rId249" Type="http://schemas.openxmlformats.org/officeDocument/2006/relationships/hyperlink" Target="https://fr.surveymonkey.com" TargetMode="External"/><Relationship Id="rId414" Type="http://schemas.openxmlformats.org/officeDocument/2006/relationships/hyperlink" Target="https://www.ifrc.org/en/publications-and-reports/world-disasters-report/wdr2005/wdr-" TargetMode="External"/><Relationship Id="rId13" Type="http://schemas.openxmlformats.org/officeDocument/2006/relationships/hyperlink" Target="file:///C:\Users\NTC\Desktop\&#1575;&#1604;&#1575;&#1591;&#1585;&#1608;&#1581;&#1577;%20-%20&#1605;&#1593;&#1610;&#1608;&#1601;%20&#1586;&#1607;&#1610;&#1585;.docx" TargetMode="External"/><Relationship Id="rId109" Type="http://schemas.openxmlformats.org/officeDocument/2006/relationships/image" Target="media/image34.jpg"/><Relationship Id="rId260" Type="http://schemas.openxmlformats.org/officeDocument/2006/relationships/chart" Target="charts/chart10.xml"/><Relationship Id="rId316" Type="http://schemas.openxmlformats.org/officeDocument/2006/relationships/image" Target="media/image118.jpeg"/><Relationship Id="rId55" Type="http://schemas.openxmlformats.org/officeDocument/2006/relationships/diagramData" Target="diagrams/data3.xml"/><Relationship Id="rId97" Type="http://schemas.openxmlformats.org/officeDocument/2006/relationships/header" Target="header8.xml"/><Relationship Id="rId120" Type="http://schemas.openxmlformats.org/officeDocument/2006/relationships/image" Target="media/image40.jpg"/><Relationship Id="rId358" Type="http://schemas.openxmlformats.org/officeDocument/2006/relationships/hyperlink" Target="http://dx.doi.org/10.1103/PhysRevE.73.066107" TargetMode="External"/><Relationship Id="rId162" Type="http://schemas.openxmlformats.org/officeDocument/2006/relationships/image" Target="media/image52.emf"/><Relationship Id="rId218" Type="http://schemas.openxmlformats.org/officeDocument/2006/relationships/header" Target="header21.xml"/><Relationship Id="rId425" Type="http://schemas.openxmlformats.org/officeDocument/2006/relationships/image" Target="media/image136.png"/><Relationship Id="rId271" Type="http://schemas.openxmlformats.org/officeDocument/2006/relationships/footer" Target="footer23.xml"/><Relationship Id="rId24" Type="http://schemas.openxmlformats.org/officeDocument/2006/relationships/hyperlink" Target="file:///C:\Users\NTC\Desktop\&#1575;&#1604;&#1575;&#1591;&#1585;&#1608;&#1581;&#1577;%20-%20&#1605;&#1593;&#1610;&#1608;&#1601;%20&#1586;&#1607;&#1610;&#1585;.docx" TargetMode="External"/><Relationship Id="rId66" Type="http://schemas.openxmlformats.org/officeDocument/2006/relationships/diagramColors" Target="diagrams/colors4.xml"/><Relationship Id="rId131" Type="http://schemas.openxmlformats.org/officeDocument/2006/relationships/image" Target="media/image41.png"/><Relationship Id="rId327" Type="http://schemas.openxmlformats.org/officeDocument/2006/relationships/image" Target="media/image128.jpeg"/><Relationship Id="rId369" Type="http://schemas.openxmlformats.org/officeDocument/2006/relationships/hyperlink" Target="http://www.informatica.si/index.php/informatica/article/download/263/260" TargetMode="External"/><Relationship Id="rId173" Type="http://schemas.openxmlformats.org/officeDocument/2006/relationships/diagramColors" Target="diagrams/colors14.xml"/><Relationship Id="rId229" Type="http://schemas.openxmlformats.org/officeDocument/2006/relationships/diagramColors" Target="diagrams/colors18.xml"/><Relationship Id="rId380" Type="http://schemas.openxmlformats.org/officeDocument/2006/relationships/hyperlink" Target="https://doi:10.1080/27658511.2021.1889083" TargetMode="External"/><Relationship Id="rId436" Type="http://schemas.openxmlformats.org/officeDocument/2006/relationships/header" Target="header33.xml"/><Relationship Id="rId240" Type="http://schemas.openxmlformats.org/officeDocument/2006/relationships/image" Target="media/image86.jpeg"/><Relationship Id="rId35" Type="http://schemas.openxmlformats.org/officeDocument/2006/relationships/footer" Target="footer6.xml"/><Relationship Id="rId77" Type="http://schemas.openxmlformats.org/officeDocument/2006/relationships/image" Target="media/image16.png"/><Relationship Id="rId100" Type="http://schemas.openxmlformats.org/officeDocument/2006/relationships/footer" Target="footer10.xml"/><Relationship Id="rId282" Type="http://schemas.openxmlformats.org/officeDocument/2006/relationships/image" Target="media/image100.png"/><Relationship Id="rId338" Type="http://schemas.openxmlformats.org/officeDocument/2006/relationships/header" Target="header25.xml"/><Relationship Id="rId8" Type="http://schemas.openxmlformats.org/officeDocument/2006/relationships/endnotes" Target="endnotes.xml"/><Relationship Id="rId142" Type="http://schemas.openxmlformats.org/officeDocument/2006/relationships/diagramData" Target="diagrams/data11.xml"/><Relationship Id="rId184" Type="http://schemas.openxmlformats.org/officeDocument/2006/relationships/image" Target="media/image62.png"/><Relationship Id="rId391" Type="http://schemas.openxmlformats.org/officeDocument/2006/relationships/hyperlink" Target="file:///D:\&#1575;&#1604;&#1575;&#1591;&#1585;&#1608;&#1581;&#1577;%2022-23\&#1575;&#1604;&#1575;&#1591;&#1585;&#1608;&#1581;&#1577;%202022-2023\Mayouf,%20Z.%20&amp;%20Nouibat,%20B.,%20(2022):%20%22Spatial%20Modeling%20for%20Urban%20Resilience%20Assessment:%20Using%20AHP%20and%20GIS%20(Case%20Study%20of%20Bou-Sa&#226;da%20City,%20Algeria)%22,%20Technium%20Social%20Sciences%20Journal,%20vol.%2036,%20p.%20607&#8211;622.%20https:\doi.org\10.47577\tssj.v36i1.7386" TargetMode="External"/><Relationship Id="rId405" Type="http://schemas.openxmlformats.org/officeDocument/2006/relationships/hyperlink" Target="https://habitat3.org/the-new-urban-agenda" TargetMode="External"/><Relationship Id="rId251" Type="http://schemas.openxmlformats.org/officeDocument/2006/relationships/hyperlink" Target="https://fr.surveymonkey.com" TargetMode="External"/><Relationship Id="rId46" Type="http://schemas.openxmlformats.org/officeDocument/2006/relationships/image" Target="media/image5.jpg"/><Relationship Id="rId293" Type="http://schemas.openxmlformats.org/officeDocument/2006/relationships/chart" Target="charts/chart15.xml"/><Relationship Id="rId307" Type="http://schemas.openxmlformats.org/officeDocument/2006/relationships/image" Target="media/image1130.jpeg"/><Relationship Id="rId349" Type="http://schemas.openxmlformats.org/officeDocument/2006/relationships/hyperlink" Target="https://doi.org/" TargetMode="External"/><Relationship Id="rId88" Type="http://schemas.openxmlformats.org/officeDocument/2006/relationships/image" Target="media/image23.jpg"/><Relationship Id="rId111" Type="http://schemas.openxmlformats.org/officeDocument/2006/relationships/image" Target="media/image36.jpg"/><Relationship Id="rId153" Type="http://schemas.microsoft.com/office/2007/relationships/diagramDrawing" Target="diagrams/drawing12.xml"/><Relationship Id="rId195" Type="http://schemas.openxmlformats.org/officeDocument/2006/relationships/image" Target="media/image68.png"/><Relationship Id="rId209" Type="http://schemas.openxmlformats.org/officeDocument/2006/relationships/image" Target="media/image79.png"/><Relationship Id="rId360" Type="http://schemas.openxmlformats.org/officeDocument/2006/relationships/hyperlink" Target="https://doi.org/10.1186/2193-2697-3-13" TargetMode="External"/><Relationship Id="rId416" Type="http://schemas.openxmlformats.org/officeDocument/2006/relationships/hyperlink" Target="https://fr.surveymonkey.com" TargetMode="External"/><Relationship Id="rId220" Type="http://schemas.openxmlformats.org/officeDocument/2006/relationships/diagramData" Target="diagrams/data17.xml"/><Relationship Id="rId15" Type="http://schemas.openxmlformats.org/officeDocument/2006/relationships/hyperlink" Target="file:///C:\Users\NTC\Desktop\&#1575;&#1604;&#1575;&#1591;&#1585;&#1608;&#1581;&#1577;%20-%20&#1605;&#1593;&#1610;&#1608;&#1601;%20&#1586;&#1607;&#1610;&#1585;.docx" TargetMode="External"/><Relationship Id="rId57" Type="http://schemas.openxmlformats.org/officeDocument/2006/relationships/diagramQuickStyle" Target="diagrams/quickStyle3.xml"/><Relationship Id="rId262" Type="http://schemas.openxmlformats.org/officeDocument/2006/relationships/diagramData" Target="diagrams/data20.xml"/><Relationship Id="rId318" Type="http://schemas.openxmlformats.org/officeDocument/2006/relationships/image" Target="media/image119.jpeg"/><Relationship Id="rId99" Type="http://schemas.openxmlformats.org/officeDocument/2006/relationships/header" Target="header9.xml"/><Relationship Id="rId122" Type="http://schemas.openxmlformats.org/officeDocument/2006/relationships/diagramLayout" Target="diagrams/layout9.xml"/><Relationship Id="rId164" Type="http://schemas.openxmlformats.org/officeDocument/2006/relationships/image" Target="media/image54.jpg"/><Relationship Id="rId371" Type="http://schemas.openxmlformats.org/officeDocument/2006/relationships/hyperlink" Target="https://doi.org/10.1007/s10668-020-00950-4" TargetMode="External"/><Relationship Id="rId427" Type="http://schemas.openxmlformats.org/officeDocument/2006/relationships/diagramLayout" Target="diagrams/layout22.xml"/><Relationship Id="rId26" Type="http://schemas.openxmlformats.org/officeDocument/2006/relationships/header" Target="header1.xml"/><Relationship Id="rId231" Type="http://schemas.openxmlformats.org/officeDocument/2006/relationships/chart" Target="charts/chart1.xml"/><Relationship Id="rId273" Type="http://schemas.openxmlformats.org/officeDocument/2006/relationships/header" Target="header24.xml"/><Relationship Id="rId329" Type="http://schemas.openxmlformats.org/officeDocument/2006/relationships/image" Target="media/image130.jpeg"/><Relationship Id="rId68" Type="http://schemas.openxmlformats.org/officeDocument/2006/relationships/image" Target="media/image12.jpg"/><Relationship Id="rId133" Type="http://schemas.openxmlformats.org/officeDocument/2006/relationships/footer" Target="footer11.xml"/><Relationship Id="rId175" Type="http://schemas.openxmlformats.org/officeDocument/2006/relationships/header" Target="header15.xml"/><Relationship Id="rId340" Type="http://schemas.openxmlformats.org/officeDocument/2006/relationships/header" Target="header26.xml"/><Relationship Id="rId200" Type="http://schemas.openxmlformats.org/officeDocument/2006/relationships/diagramQuickStyle" Target="diagrams/quickStyle16.xml"/><Relationship Id="rId382" Type="http://schemas.openxmlformats.org/officeDocument/2006/relationships/hyperlink" Target="file:///D:\&#1575;&#1604;&#1575;&#1591;&#1585;&#1608;&#1581;&#1577;%2022-23\&#1575;&#1604;&#1575;&#1591;&#1585;&#1608;&#1581;&#1577;%202022-2023\R.%20Kaaviya,%20V.%20Devadas.%20(2021)Water%20resilience%20mapping%20of%20Chennai,%20India.%20Kaaviya%20and%20Devadas%20&#65279;Ecological%20Processes.%20https:\doi.org\10.1186\s13717-021-00341-1" TargetMode="External"/><Relationship Id="rId438" Type="http://schemas.openxmlformats.org/officeDocument/2006/relationships/footer" Target="footer33.xml"/><Relationship Id="rId242" Type="http://schemas.openxmlformats.org/officeDocument/2006/relationships/image" Target="media/image88.jpeg"/><Relationship Id="rId284" Type="http://schemas.openxmlformats.org/officeDocument/2006/relationships/image" Target="media/image101.png"/><Relationship Id="rId37" Type="http://schemas.openxmlformats.org/officeDocument/2006/relationships/footer" Target="footer7.xml"/><Relationship Id="rId79" Type="http://schemas.openxmlformats.org/officeDocument/2006/relationships/image" Target="media/image18.png"/><Relationship Id="rId102" Type="http://schemas.openxmlformats.org/officeDocument/2006/relationships/diagramData" Target="diagrams/data7.xml"/><Relationship Id="rId144" Type="http://schemas.openxmlformats.org/officeDocument/2006/relationships/diagramQuickStyle" Target="diagrams/quickStyle11.xml"/><Relationship Id="rId90" Type="http://schemas.openxmlformats.org/officeDocument/2006/relationships/image" Target="media/image25.png"/><Relationship Id="rId186" Type="http://schemas.openxmlformats.org/officeDocument/2006/relationships/image" Target="media/image64.jpeg"/><Relationship Id="rId351" Type="http://schemas.openxmlformats.org/officeDocument/2006/relationships/hyperlink" Target="https://doi.org/10.13140/RG.2.1.%201300.1444" TargetMode="External"/><Relationship Id="rId393" Type="http://schemas.openxmlformats.org/officeDocument/2006/relationships/hyperlink" Target="https://doi.org/10.1146/annurev.energy.28.050302.105551" TargetMode="External"/><Relationship Id="rId407" Type="http://schemas.openxmlformats.org/officeDocument/2006/relationships/hyperlink" Target="https://www.unisdr.org/campaign/resilientcities" TargetMode="External"/><Relationship Id="rId211" Type="http://schemas.openxmlformats.org/officeDocument/2006/relationships/image" Target="media/image81.png"/><Relationship Id="rId253" Type="http://schemas.openxmlformats.org/officeDocument/2006/relationships/chart" Target="charts/chart3.xml"/><Relationship Id="rId295" Type="http://schemas.openxmlformats.org/officeDocument/2006/relationships/chart" Target="charts/chart16.xml"/><Relationship Id="rId309" Type="http://schemas.openxmlformats.org/officeDocument/2006/relationships/image" Target="media/image1140.jpeg"/><Relationship Id="rId48" Type="http://schemas.openxmlformats.org/officeDocument/2006/relationships/image" Target="media/image7.png"/><Relationship Id="rId113" Type="http://schemas.openxmlformats.org/officeDocument/2006/relationships/image" Target="media/image38.png"/><Relationship Id="rId320" Type="http://schemas.openxmlformats.org/officeDocument/2006/relationships/image" Target="media/image120.jpeg"/><Relationship Id="rId155" Type="http://schemas.openxmlformats.org/officeDocument/2006/relationships/image" Target="media/image50.png"/><Relationship Id="rId197" Type="http://schemas.openxmlformats.org/officeDocument/2006/relationships/image" Target="media/image70.jpg"/><Relationship Id="rId362" Type="http://schemas.openxmlformats.org/officeDocument/2006/relationships/hyperlink" Target="http://www.macmillanihe.com/t/9781137288820" TargetMode="External"/><Relationship Id="rId418" Type="http://schemas.openxmlformats.org/officeDocument/2006/relationships/header" Target="header30.xml"/><Relationship Id="rId222" Type="http://schemas.openxmlformats.org/officeDocument/2006/relationships/diagramQuickStyle" Target="diagrams/quickStyle17.xml"/><Relationship Id="rId264" Type="http://schemas.openxmlformats.org/officeDocument/2006/relationships/diagramQuickStyle" Target="diagrams/quickStyle20.xml"/><Relationship Id="rId17" Type="http://schemas.openxmlformats.org/officeDocument/2006/relationships/hyperlink" Target="file:///C:\Users\NTC\Desktop\&#1575;&#1604;&#1575;&#1591;&#1585;&#1608;&#1581;&#1577;%20-%20&#1605;&#1593;&#1610;&#1608;&#1601;%20&#1586;&#1607;&#1610;&#1585;.docx" TargetMode="External"/><Relationship Id="rId59" Type="http://schemas.microsoft.com/office/2007/relationships/diagramDrawing" Target="diagrams/drawing3.xml"/><Relationship Id="rId124" Type="http://schemas.openxmlformats.org/officeDocument/2006/relationships/diagramColors" Target="diagrams/colors9.xml"/><Relationship Id="rId70" Type="http://schemas.openxmlformats.org/officeDocument/2006/relationships/diagramData" Target="diagrams/data5.xml"/><Relationship Id="rId166" Type="http://schemas.openxmlformats.org/officeDocument/2006/relationships/image" Target="media/image56.JPG"/><Relationship Id="rId331" Type="http://schemas.openxmlformats.org/officeDocument/2006/relationships/chart" Target="charts/chart21.xml"/><Relationship Id="rId373" Type="http://schemas.openxmlformats.org/officeDocument/2006/relationships/hyperlink" Target="http://hdl.handle.net/2263/57477" TargetMode="External"/><Relationship Id="rId429" Type="http://schemas.openxmlformats.org/officeDocument/2006/relationships/diagramColors" Target="diagrams/colors22.xml"/><Relationship Id="rId1" Type="http://schemas.openxmlformats.org/officeDocument/2006/relationships/customXml" Target="../customXml/item1.xml"/><Relationship Id="rId233" Type="http://schemas.openxmlformats.org/officeDocument/2006/relationships/diagramLayout" Target="diagrams/layout19.xml"/><Relationship Id="rId440" Type="http://schemas.openxmlformats.org/officeDocument/2006/relationships/theme" Target="theme/theme1.xml"/><Relationship Id="rId28" Type="http://schemas.openxmlformats.org/officeDocument/2006/relationships/footer" Target="footer2.xml"/><Relationship Id="rId275" Type="http://schemas.openxmlformats.org/officeDocument/2006/relationships/image" Target="media/image98.png"/><Relationship Id="rId300" Type="http://schemas.openxmlformats.org/officeDocument/2006/relationships/image" Target="media/image110.jpeg"/></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575;&#1604;&#1575;&#1591;&#1585;&#1608;&#1581;&#1577;%2022-23\&#1575;&#1604;&#1575;&#1591;&#1585;&#1608;&#1581;&#1577;%202022-2023\28-11-2023%20Tableaux%20&#1601;&#1589;&#1604;%206%20(Enregistr&#233;%20automatiquement).xlsx"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1575;&#1604;&#1575;&#1591;&#1585;&#1608;&#1581;&#1577;%2022-23\&#1575;&#1604;&#1575;&#1591;&#1585;&#1608;&#1581;&#1577;%202022-2023\28-11-2023%20Tableaux%20&#1601;&#1589;&#1604;%206%20(Enregistr&#233;%20automatiquement).xlsx"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D:\&#1575;&#1604;&#1575;&#1591;&#1585;&#1608;&#1581;&#1577;%2022-23\&#1575;&#1604;&#1575;&#1591;&#1585;&#1608;&#1581;&#1577;%202022-2023\28-11-2023%20Tableaux%20&#1601;&#1589;&#1604;%206%20(Enregistr&#233;%20automatiquement).xlsx"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D:\&#1575;&#1604;&#1575;&#1591;&#1585;&#1608;&#1581;&#1577;%2022-23\&#1575;&#1604;&#1575;&#1591;&#1585;&#1608;&#1581;&#1577;%202022-2023\28-11-2023%20Tableaux%20&#1601;&#1589;&#1604;%206%20(Enregistr&#233;%20automatiquement).xlsx"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D:\&#1575;&#1604;&#1575;&#1591;&#1585;&#1608;&#1581;&#1577;%2022-23\&#1575;&#1604;&#1575;&#1591;&#1585;&#1608;&#1581;&#1577;%202022-2023\28-11-2023%20Tableaux%20&#1601;&#1589;&#1604;%206%20(Enregistr&#233;%20automatiquemen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D:\&#1575;&#1604;&#1575;&#1591;&#1585;&#1608;&#1581;&#1577;%2022-23\&#1575;&#1604;&#1575;&#1591;&#1585;&#1608;&#1581;&#1577;%202022-2023\28-11-2023%20Tableaux%20&#1601;&#1589;&#1604;%206%20(Enregistr&#233;%20automatiquement).xlsx" TargetMode="External"/></Relationships>
</file>

<file path=word/charts/_rels/chart21.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6-%20&#1575;&#1604;&#1601;&#1589;&#1604;%20&#1575;&#1604;&#1587;&#1575;&#1583;&#1587;\cumule%2006\28-11-2023%20Tableaux%20&#1601;&#1589;&#1604;%206.xlsx" TargetMode="External"/></Relationships>
</file>

<file path=word/charts/_rels/chart22.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6-%20&#1575;&#1604;&#1601;&#1589;&#1604;%20&#1575;&#1604;&#1587;&#1575;&#1583;&#1587;\cumule%2006\28-11-2023%20Tableaux%20&#1601;&#1589;&#1604;%206.xlsx" TargetMode="External"/></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6-%20&#1575;&#1604;&#1601;&#1589;&#1604;%20&#1575;&#1604;&#1587;&#1575;&#1583;&#1587;\cumule%2006\28-11-2023%20Tableaux%20&#1601;&#1589;&#1604;%206.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1575;&#1604;&#1575;&#1591;&#1585;&#1608;&#1581;&#1577;%2022-23\3%20-%20&#1575;&#1604;&#1580;&#1586;&#1569;%20&#1575;&#1604;&#1579;&#1575;&#1604;&#1579;-%20&#1575;&#1604;&#1575;&#1591;&#1575;&#1585;%20&#1575;&#1604;&#1578;&#1591;&#1576;&#1610;&#1602;&#1610;%20&#1604;&#1604;&#1583;&#1585;&#1575;&#1587;&#1577;\5-%20&#1575;&#1604;&#1601;&#1589;&#1604;%20&#1575;&#1604;&#1582;&#1575;&#1605;&#1587;\&#1575;&#1587;&#1578;&#1576;&#1610;&#1575;&#1606;%20&#1575;&#1604;&#1587;&#1603;&#1575;&#1606;%201-11-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200" b="1">
                <a:latin typeface="Simplified Arabic" panose="02020603050405020304" pitchFamily="18" charset="-78"/>
                <a:cs typeface="Simplified Arabic" panose="02020603050405020304" pitchFamily="18" charset="-78"/>
              </a:rPr>
              <a:t>مستوى أهمية العوامل النهائية </a:t>
            </a:r>
            <a:r>
              <a:rPr lang="ar-DZ" sz="1200" b="1" i="0" u="none" strike="noStrike" baseline="0">
                <a:effectLst/>
                <a:latin typeface="Simplified Arabic" panose="02020603050405020304" pitchFamily="18" charset="-78"/>
                <a:cs typeface="Simplified Arabic" panose="02020603050405020304" pitchFamily="18" charset="-78"/>
              </a:rPr>
              <a:t>لتقييم المرونة الحضرية</a:t>
            </a:r>
            <a:endParaRPr lang="fr-FR" sz="1200" b="1">
              <a:latin typeface="Simplified Arabic" panose="02020603050405020304" pitchFamily="18" charset="-78"/>
              <a:cs typeface="Simplified Arabic" panose="02020603050405020304" pitchFamily="18" charset="-78"/>
            </a:endParaRPr>
          </a:p>
        </c:rich>
      </c:tx>
      <c:layout/>
      <c:overlay val="0"/>
    </c:title>
    <c:autoTitleDeleted val="0"/>
    <c:plotArea>
      <c:layout/>
      <c:barChart>
        <c:barDir val="bar"/>
        <c:grouping val="stacked"/>
        <c:varyColors val="0"/>
        <c:ser>
          <c:idx val="0"/>
          <c:order val="0"/>
          <c:tx>
            <c:strRef>
              <c:f>'اهمية العوامل النهائية'!$C$3</c:f>
              <c:strCache>
                <c:ptCount val="1"/>
                <c:pt idx="0">
                  <c:v>المتوسط الحسابي (x̅)</c:v>
                </c:pt>
              </c:strCache>
            </c:strRef>
          </c:tx>
          <c:invertIfNegative val="0"/>
          <c:cat>
            <c:strRef>
              <c:f>'اهمية العوامل النهائية'!$B$4:$B$11</c:f>
              <c:strCache>
                <c:ptCount val="8"/>
                <c:pt idx="1">
                  <c:v>كثافة البناء</c:v>
                </c:pt>
                <c:pt idx="2">
                  <c:v>المسافة الى المرافق الامنية</c:v>
                </c:pt>
                <c:pt idx="3">
                  <c:v>المسافة الى المرافق التعليمية</c:v>
                </c:pt>
                <c:pt idx="4">
                  <c:v>المسافة الى المرافق الدينية/الثقافية</c:v>
                </c:pt>
                <c:pt idx="5">
                  <c:v>المسافة الى المرافق الصحية</c:v>
                </c:pt>
                <c:pt idx="6">
                  <c:v>عمق الطرق الشريانية </c:v>
                </c:pt>
                <c:pt idx="7">
                  <c:v>المسافة الى مرافق الانقاذ</c:v>
                </c:pt>
              </c:strCache>
            </c:strRef>
          </c:cat>
          <c:val>
            <c:numRef>
              <c:f>'اهمية العوامل النهائية'!$C$4:$C$11</c:f>
              <c:numCache>
                <c:formatCode>General</c:formatCode>
                <c:ptCount val="8"/>
                <c:pt idx="1">
                  <c:v>3.92</c:v>
                </c:pt>
                <c:pt idx="2">
                  <c:v>4.03</c:v>
                </c:pt>
                <c:pt idx="3">
                  <c:v>4.1100000000000003</c:v>
                </c:pt>
                <c:pt idx="4">
                  <c:v>4.1100000000000003</c:v>
                </c:pt>
                <c:pt idx="5">
                  <c:v>4.3099999999999996</c:v>
                </c:pt>
                <c:pt idx="6">
                  <c:v>4.33</c:v>
                </c:pt>
                <c:pt idx="7">
                  <c:v>4.5599999999999996</c:v>
                </c:pt>
              </c:numCache>
            </c:numRef>
          </c:val>
        </c:ser>
        <c:dLbls>
          <c:showLegendKey val="0"/>
          <c:showVal val="0"/>
          <c:showCatName val="0"/>
          <c:showSerName val="0"/>
          <c:showPercent val="0"/>
          <c:showBubbleSize val="0"/>
        </c:dLbls>
        <c:gapWidth val="150"/>
        <c:overlap val="100"/>
        <c:axId val="586814976"/>
        <c:axId val="566778624"/>
      </c:barChart>
      <c:catAx>
        <c:axId val="586814976"/>
        <c:scaling>
          <c:orientation val="minMax"/>
        </c:scaling>
        <c:delete val="0"/>
        <c:axPos val="l"/>
        <c:majorTickMark val="out"/>
        <c:minorTickMark val="none"/>
        <c:tickLblPos val="nextTo"/>
        <c:crossAx val="566778624"/>
        <c:crosses val="autoZero"/>
        <c:auto val="1"/>
        <c:lblAlgn val="ctr"/>
        <c:lblOffset val="100"/>
        <c:noMultiLvlLbl val="0"/>
      </c:catAx>
      <c:valAx>
        <c:axId val="566778624"/>
        <c:scaling>
          <c:orientation val="minMax"/>
        </c:scaling>
        <c:delete val="0"/>
        <c:axPos val="b"/>
        <c:majorGridlines/>
        <c:numFmt formatCode="General" sourceLinked="1"/>
        <c:majorTickMark val="out"/>
        <c:minorTickMark val="none"/>
        <c:tickLblPos val="nextTo"/>
        <c:crossAx val="586814976"/>
        <c:crosses val="autoZero"/>
        <c:crossBetween val="between"/>
      </c:valAx>
    </c:plotArea>
    <c:legend>
      <c:legendPos val="r"/>
      <c:layout>
        <c:manualLayout>
          <c:xMode val="edge"/>
          <c:yMode val="edge"/>
          <c:x val="0.71644447562094826"/>
          <c:y val="0.80393311840990245"/>
          <c:w val="0.25113422069457353"/>
          <c:h val="7.5110800474763401E-2"/>
        </c:manualLayout>
      </c:layou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48087056041042"/>
          <c:y val="0.22210427827021473"/>
          <c:w val="0.5154924434242617"/>
          <c:h val="0.64553380663852455"/>
        </c:manualLayout>
      </c:layout>
      <c:barChart>
        <c:barDir val="col"/>
        <c:grouping val="clustered"/>
        <c:varyColors val="0"/>
        <c:ser>
          <c:idx val="0"/>
          <c:order val="0"/>
          <c:tx>
            <c:strRef>
              <c:f>'نوع المسكن'!$C$9</c:f>
              <c:strCache>
                <c:ptCount val="1"/>
                <c:pt idx="0">
                  <c:v>ط+0</c:v>
                </c:pt>
              </c:strCache>
            </c:strRef>
          </c:tx>
          <c:invertIfNegative val="0"/>
          <c:cat>
            <c:strRef>
              <c:f>'نوع المسكن'!$B$10:$B$13</c:f>
              <c:strCache>
                <c:ptCount val="4"/>
                <c:pt idx="0">
                  <c:v>سيدي سليمان</c:v>
                </c:pt>
                <c:pt idx="1">
                  <c:v>ميطر</c:v>
                </c:pt>
                <c:pt idx="2">
                  <c:v>الحمايد</c:v>
                </c:pt>
                <c:pt idx="3">
                  <c:v>الباطن </c:v>
                </c:pt>
              </c:strCache>
            </c:strRef>
          </c:cat>
          <c:val>
            <c:numRef>
              <c:f>'نوع المسكن'!$C$10:$C$13</c:f>
              <c:numCache>
                <c:formatCode>0.00</c:formatCode>
                <c:ptCount val="4"/>
                <c:pt idx="0">
                  <c:v>34.285714285714285</c:v>
                </c:pt>
                <c:pt idx="1">
                  <c:v>24.155844155844157</c:v>
                </c:pt>
                <c:pt idx="2">
                  <c:v>11.688311688311689</c:v>
                </c:pt>
                <c:pt idx="3">
                  <c:v>5.1948051948051948</c:v>
                </c:pt>
              </c:numCache>
            </c:numRef>
          </c:val>
        </c:ser>
        <c:ser>
          <c:idx val="1"/>
          <c:order val="1"/>
          <c:tx>
            <c:strRef>
              <c:f>'نوع المسكن'!$D$9</c:f>
              <c:strCache>
                <c:ptCount val="1"/>
                <c:pt idx="0">
                  <c:v>ط+1</c:v>
                </c:pt>
              </c:strCache>
            </c:strRef>
          </c:tx>
          <c:spPr>
            <a:solidFill>
              <a:srgbClr val="FFFF00"/>
            </a:solidFill>
          </c:spPr>
          <c:invertIfNegative val="0"/>
          <c:cat>
            <c:strRef>
              <c:f>'نوع المسكن'!$B$10:$B$13</c:f>
              <c:strCache>
                <c:ptCount val="4"/>
                <c:pt idx="0">
                  <c:v>سيدي سليمان</c:v>
                </c:pt>
                <c:pt idx="1">
                  <c:v>ميطر</c:v>
                </c:pt>
                <c:pt idx="2">
                  <c:v>الحمايد</c:v>
                </c:pt>
                <c:pt idx="3">
                  <c:v>الباطن </c:v>
                </c:pt>
              </c:strCache>
            </c:strRef>
          </c:cat>
          <c:val>
            <c:numRef>
              <c:f>'نوع المسكن'!$D$10:$D$13</c:f>
              <c:numCache>
                <c:formatCode>0.00</c:formatCode>
                <c:ptCount val="4"/>
                <c:pt idx="0">
                  <c:v>47.532467532467535</c:v>
                </c:pt>
                <c:pt idx="1">
                  <c:v>57.142857142857146</c:v>
                </c:pt>
                <c:pt idx="2">
                  <c:v>59.740259740259738</c:v>
                </c:pt>
                <c:pt idx="3">
                  <c:v>11.428571428571429</c:v>
                </c:pt>
              </c:numCache>
            </c:numRef>
          </c:val>
        </c:ser>
        <c:ser>
          <c:idx val="2"/>
          <c:order val="2"/>
          <c:tx>
            <c:strRef>
              <c:f>'نوع المسكن'!$E$9</c:f>
              <c:strCache>
                <c:ptCount val="1"/>
                <c:pt idx="0">
                  <c:v>ط+2</c:v>
                </c:pt>
              </c:strCache>
            </c:strRef>
          </c:tx>
          <c:spPr>
            <a:solidFill>
              <a:srgbClr val="00B050"/>
            </a:solidFill>
          </c:spPr>
          <c:invertIfNegative val="0"/>
          <c:cat>
            <c:strRef>
              <c:f>'نوع المسكن'!$B$10:$B$13</c:f>
              <c:strCache>
                <c:ptCount val="4"/>
                <c:pt idx="0">
                  <c:v>سيدي سليمان</c:v>
                </c:pt>
                <c:pt idx="1">
                  <c:v>ميطر</c:v>
                </c:pt>
                <c:pt idx="2">
                  <c:v>الحمايد</c:v>
                </c:pt>
                <c:pt idx="3">
                  <c:v>الباطن </c:v>
                </c:pt>
              </c:strCache>
            </c:strRef>
          </c:cat>
          <c:val>
            <c:numRef>
              <c:f>'نوع المسكن'!$E$10:$E$13</c:f>
              <c:numCache>
                <c:formatCode>0.00</c:formatCode>
                <c:ptCount val="4"/>
                <c:pt idx="0">
                  <c:v>9.6103896103896105</c:v>
                </c:pt>
                <c:pt idx="1">
                  <c:v>11.688311688311689</c:v>
                </c:pt>
                <c:pt idx="2">
                  <c:v>18.441558441558442</c:v>
                </c:pt>
                <c:pt idx="3">
                  <c:v>23.636363636363637</c:v>
                </c:pt>
              </c:numCache>
            </c:numRef>
          </c:val>
        </c:ser>
        <c:ser>
          <c:idx val="3"/>
          <c:order val="3"/>
          <c:tx>
            <c:strRef>
              <c:f>'نوع المسكن'!$F$9</c:f>
              <c:strCache>
                <c:ptCount val="1"/>
                <c:pt idx="0">
                  <c:v>ط+3</c:v>
                </c:pt>
              </c:strCache>
            </c:strRef>
          </c:tx>
          <c:spPr>
            <a:solidFill>
              <a:srgbClr val="FF0000"/>
            </a:solidFill>
          </c:spPr>
          <c:invertIfNegative val="0"/>
          <c:cat>
            <c:strRef>
              <c:f>'نوع المسكن'!$B$10:$B$13</c:f>
              <c:strCache>
                <c:ptCount val="4"/>
                <c:pt idx="0">
                  <c:v>سيدي سليمان</c:v>
                </c:pt>
                <c:pt idx="1">
                  <c:v>ميطر</c:v>
                </c:pt>
                <c:pt idx="2">
                  <c:v>الحمايد</c:v>
                </c:pt>
                <c:pt idx="3">
                  <c:v>الباطن </c:v>
                </c:pt>
              </c:strCache>
            </c:strRef>
          </c:cat>
          <c:val>
            <c:numRef>
              <c:f>'نوع المسكن'!$F$10:$F$13</c:f>
              <c:numCache>
                <c:formatCode>0.00</c:formatCode>
                <c:ptCount val="4"/>
                <c:pt idx="0">
                  <c:v>8.5714285714285712</c:v>
                </c:pt>
                <c:pt idx="1">
                  <c:v>7.0129870129870131</c:v>
                </c:pt>
                <c:pt idx="2">
                  <c:v>10.129870129870129</c:v>
                </c:pt>
                <c:pt idx="3">
                  <c:v>59.740259740259738</c:v>
                </c:pt>
              </c:numCache>
            </c:numRef>
          </c:val>
        </c:ser>
        <c:dLbls>
          <c:showLegendKey val="0"/>
          <c:showVal val="0"/>
          <c:showCatName val="0"/>
          <c:showSerName val="0"/>
          <c:showPercent val="0"/>
          <c:showBubbleSize val="0"/>
        </c:dLbls>
        <c:gapWidth val="150"/>
        <c:axId val="589934080"/>
        <c:axId val="586542464"/>
      </c:barChart>
      <c:catAx>
        <c:axId val="589934080"/>
        <c:scaling>
          <c:orientation val="minMax"/>
        </c:scaling>
        <c:delete val="0"/>
        <c:axPos val="b"/>
        <c:majorTickMark val="out"/>
        <c:minorTickMark val="none"/>
        <c:tickLblPos val="nextTo"/>
        <c:crossAx val="586542464"/>
        <c:crosses val="autoZero"/>
        <c:auto val="1"/>
        <c:lblAlgn val="ctr"/>
        <c:lblOffset val="100"/>
        <c:noMultiLvlLbl val="0"/>
      </c:catAx>
      <c:valAx>
        <c:axId val="586542464"/>
        <c:scaling>
          <c:orientation val="minMax"/>
          <c:max val="100"/>
        </c:scaling>
        <c:delete val="0"/>
        <c:axPos val="l"/>
        <c:majorGridlines/>
        <c:numFmt formatCode="0.00" sourceLinked="1"/>
        <c:majorTickMark val="out"/>
        <c:minorTickMark val="none"/>
        <c:tickLblPos val="nextTo"/>
        <c:crossAx val="589934080"/>
        <c:crosses val="autoZero"/>
        <c:crossBetween val="between"/>
      </c:valAx>
    </c:plotArea>
    <c:legend>
      <c:legendPos val="r"/>
      <c:layout>
        <c:manualLayout>
          <c:xMode val="edge"/>
          <c:yMode val="edge"/>
          <c:x val="0.69646678873607992"/>
          <c:y val="0.47336621832776737"/>
          <c:w val="0.22710731107773643"/>
          <c:h val="0.29186965788211527"/>
        </c:manualLayout>
      </c:layout>
      <c:overlay val="0"/>
    </c:legend>
    <c:plotVisOnly val="1"/>
    <c:dispBlanksAs val="gap"/>
    <c:showDLblsOverMax val="0"/>
  </c:chart>
  <c:spPr>
    <a:ln>
      <a:solidFill>
        <a:schemeClr val="tx1"/>
      </a:solid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7489132217847775E-2"/>
          <c:y val="0.18612563645260827"/>
          <c:w val="0.64506145995306974"/>
          <c:h val="0.65492601802480988"/>
        </c:manualLayout>
      </c:layout>
      <c:barChart>
        <c:barDir val="col"/>
        <c:grouping val="clustered"/>
        <c:varyColors val="0"/>
        <c:ser>
          <c:idx val="0"/>
          <c:order val="0"/>
          <c:tx>
            <c:strRef>
              <c:f>'غمر الشارع'!$C$4</c:f>
              <c:strCache>
                <c:ptCount val="1"/>
                <c:pt idx="0">
                  <c:v>نعم</c:v>
                </c:pt>
              </c:strCache>
            </c:strRef>
          </c:tx>
          <c:invertIfNegative val="0"/>
          <c:cat>
            <c:strRef>
              <c:f>'غمر الشارع'!$B$5:$B$8</c:f>
              <c:strCache>
                <c:ptCount val="4"/>
                <c:pt idx="0">
                  <c:v>سيدي سليمان</c:v>
                </c:pt>
                <c:pt idx="1">
                  <c:v>ميطر</c:v>
                </c:pt>
                <c:pt idx="2">
                  <c:v>الحمايد</c:v>
                </c:pt>
                <c:pt idx="3">
                  <c:v>الباطن </c:v>
                </c:pt>
              </c:strCache>
            </c:strRef>
          </c:cat>
          <c:val>
            <c:numRef>
              <c:f>'غمر الشارع'!$C$5:$C$8</c:f>
              <c:numCache>
                <c:formatCode>0.00</c:formatCode>
                <c:ptCount val="4"/>
                <c:pt idx="0">
                  <c:v>82.077922077922082</c:v>
                </c:pt>
                <c:pt idx="1">
                  <c:v>77.922077922077918</c:v>
                </c:pt>
                <c:pt idx="2">
                  <c:v>63.116883116883116</c:v>
                </c:pt>
                <c:pt idx="3">
                  <c:v>70.23</c:v>
                </c:pt>
              </c:numCache>
            </c:numRef>
          </c:val>
        </c:ser>
        <c:ser>
          <c:idx val="1"/>
          <c:order val="1"/>
          <c:tx>
            <c:strRef>
              <c:f>'غمر الشارع'!$D$4</c:f>
              <c:strCache>
                <c:ptCount val="1"/>
                <c:pt idx="0">
                  <c:v>لا</c:v>
                </c:pt>
              </c:strCache>
            </c:strRef>
          </c:tx>
          <c:invertIfNegative val="0"/>
          <c:cat>
            <c:strRef>
              <c:f>'غمر الشارع'!$B$5:$B$8</c:f>
              <c:strCache>
                <c:ptCount val="4"/>
                <c:pt idx="0">
                  <c:v>سيدي سليمان</c:v>
                </c:pt>
                <c:pt idx="1">
                  <c:v>ميطر</c:v>
                </c:pt>
                <c:pt idx="2">
                  <c:v>الحمايد</c:v>
                </c:pt>
                <c:pt idx="3">
                  <c:v>الباطن </c:v>
                </c:pt>
              </c:strCache>
            </c:strRef>
          </c:cat>
          <c:val>
            <c:numRef>
              <c:f>'غمر الشارع'!$D$5:$D$8</c:f>
              <c:numCache>
                <c:formatCode>0.00</c:formatCode>
                <c:ptCount val="4"/>
                <c:pt idx="0">
                  <c:v>17.922077922077921</c:v>
                </c:pt>
                <c:pt idx="1">
                  <c:v>22.077922077922079</c:v>
                </c:pt>
                <c:pt idx="2">
                  <c:v>36.883116883116884</c:v>
                </c:pt>
                <c:pt idx="3">
                  <c:v>29.77</c:v>
                </c:pt>
              </c:numCache>
            </c:numRef>
          </c:val>
        </c:ser>
        <c:dLbls>
          <c:showLegendKey val="0"/>
          <c:showVal val="0"/>
          <c:showCatName val="0"/>
          <c:showSerName val="0"/>
          <c:showPercent val="0"/>
          <c:showBubbleSize val="0"/>
        </c:dLbls>
        <c:gapWidth val="150"/>
        <c:axId val="590102528"/>
        <c:axId val="586544192"/>
      </c:barChart>
      <c:catAx>
        <c:axId val="590102528"/>
        <c:scaling>
          <c:orientation val="minMax"/>
        </c:scaling>
        <c:delete val="0"/>
        <c:axPos val="b"/>
        <c:majorTickMark val="out"/>
        <c:minorTickMark val="none"/>
        <c:tickLblPos val="nextTo"/>
        <c:crossAx val="586544192"/>
        <c:crosses val="autoZero"/>
        <c:auto val="1"/>
        <c:lblAlgn val="ctr"/>
        <c:lblOffset val="100"/>
        <c:noMultiLvlLbl val="0"/>
      </c:catAx>
      <c:valAx>
        <c:axId val="586544192"/>
        <c:scaling>
          <c:orientation val="minMax"/>
          <c:max val="100"/>
        </c:scaling>
        <c:delete val="0"/>
        <c:axPos val="l"/>
        <c:majorGridlines/>
        <c:numFmt formatCode="0.00" sourceLinked="1"/>
        <c:majorTickMark val="out"/>
        <c:minorTickMark val="none"/>
        <c:tickLblPos val="nextTo"/>
        <c:crossAx val="590102528"/>
        <c:crosses val="autoZero"/>
        <c:crossBetween val="between"/>
      </c:valAx>
    </c:plotArea>
    <c:legend>
      <c:legendPos val="r"/>
      <c:layout>
        <c:manualLayout>
          <c:xMode val="edge"/>
          <c:yMode val="edge"/>
          <c:x val="0.87153126447429363"/>
          <c:y val="0.568558192593417"/>
          <c:w val="9.1460196483714853E-2"/>
          <c:h val="0.12650921483507055"/>
        </c:manualLayout>
      </c:layout>
      <c:overlay val="0"/>
    </c:legend>
    <c:plotVisOnly val="1"/>
    <c:dispBlanksAs val="gap"/>
    <c:showDLblsOverMax val="0"/>
  </c:chart>
  <c:spPr>
    <a:ln>
      <a:solidFill>
        <a:schemeClr val="tx1"/>
      </a:solid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16913421486056"/>
          <c:y val="0.12605529571961402"/>
          <c:w val="0.63247067781060207"/>
          <c:h val="0.68935903881745764"/>
        </c:manualLayout>
      </c:layout>
      <c:barChart>
        <c:barDir val="col"/>
        <c:grouping val="clustered"/>
        <c:varyColors val="0"/>
        <c:ser>
          <c:idx val="0"/>
          <c:order val="0"/>
          <c:tx>
            <c:strRef>
              <c:f>'المرافق الضرورية'!$B$15</c:f>
              <c:strCache>
                <c:ptCount val="1"/>
                <c:pt idx="0">
                  <c:v>مراكز التكفل الطبي</c:v>
                </c:pt>
              </c:strCache>
            </c:strRef>
          </c:tx>
          <c:spPr>
            <a:solidFill>
              <a:schemeClr val="bg1">
                <a:lumMod val="50000"/>
              </a:schemeClr>
            </a:solidFill>
          </c:spPr>
          <c:invertIfNegative val="0"/>
          <c:cat>
            <c:multiLvlStrRef>
              <c:f>'المرافق الضرورية'!$C$13:$J$14</c:f>
              <c:multiLvlStrCache>
                <c:ptCount val="8"/>
                <c:lvl>
                  <c:pt idx="0">
                    <c:v>كافية</c:v>
                  </c:pt>
                  <c:pt idx="1">
                    <c:v>غير كافية</c:v>
                  </c:pt>
                  <c:pt idx="2">
                    <c:v>كافية</c:v>
                  </c:pt>
                  <c:pt idx="3">
                    <c:v>غير كافية</c:v>
                  </c:pt>
                  <c:pt idx="4">
                    <c:v>كافية</c:v>
                  </c:pt>
                  <c:pt idx="5">
                    <c:v>غير كافية</c:v>
                  </c:pt>
                  <c:pt idx="6">
                    <c:v>كافية</c:v>
                  </c:pt>
                  <c:pt idx="7">
                    <c:v>غير كافية</c:v>
                  </c:pt>
                </c:lvl>
                <c:lvl>
                  <c:pt idx="0">
                    <c:v>سيدي سليمان</c:v>
                  </c:pt>
                  <c:pt idx="2">
                    <c:v>ميطر</c:v>
                  </c:pt>
                  <c:pt idx="4">
                    <c:v>الحمايد</c:v>
                  </c:pt>
                  <c:pt idx="6">
                    <c:v>الباطن </c:v>
                  </c:pt>
                </c:lvl>
              </c:multiLvlStrCache>
            </c:multiLvlStrRef>
          </c:cat>
          <c:val>
            <c:numRef>
              <c:f>'المرافق الضرورية'!$C$15:$J$15</c:f>
              <c:numCache>
                <c:formatCode>0.00</c:formatCode>
                <c:ptCount val="8"/>
                <c:pt idx="0">
                  <c:v>41.81818181818182</c:v>
                </c:pt>
                <c:pt idx="1">
                  <c:v>58.18181818181818</c:v>
                </c:pt>
                <c:pt idx="2">
                  <c:v>29.350649350649352</c:v>
                </c:pt>
                <c:pt idx="3">
                  <c:v>70.649350649350652</c:v>
                </c:pt>
                <c:pt idx="4">
                  <c:v>22.857142857142858</c:v>
                </c:pt>
                <c:pt idx="5">
                  <c:v>77.142857142857139</c:v>
                </c:pt>
                <c:pt idx="6">
                  <c:v>9.6103896103896105</c:v>
                </c:pt>
                <c:pt idx="7">
                  <c:v>90.389610389610397</c:v>
                </c:pt>
              </c:numCache>
            </c:numRef>
          </c:val>
        </c:ser>
        <c:ser>
          <c:idx val="1"/>
          <c:order val="1"/>
          <c:tx>
            <c:strRef>
              <c:f>'المرافق الضرورية'!$B$16</c:f>
              <c:strCache>
                <c:ptCount val="1"/>
                <c:pt idx="0">
                  <c:v>مراكز التعليم الابتدائي</c:v>
                </c:pt>
              </c:strCache>
            </c:strRef>
          </c:tx>
          <c:spPr>
            <a:solidFill>
              <a:schemeClr val="accent6">
                <a:lumMod val="60000"/>
                <a:lumOff val="40000"/>
              </a:schemeClr>
            </a:solidFill>
          </c:spPr>
          <c:invertIfNegative val="0"/>
          <c:cat>
            <c:multiLvlStrRef>
              <c:f>'المرافق الضرورية'!$C$13:$J$14</c:f>
              <c:multiLvlStrCache>
                <c:ptCount val="8"/>
                <c:lvl>
                  <c:pt idx="0">
                    <c:v>كافية</c:v>
                  </c:pt>
                  <c:pt idx="1">
                    <c:v>غير كافية</c:v>
                  </c:pt>
                  <c:pt idx="2">
                    <c:v>كافية</c:v>
                  </c:pt>
                  <c:pt idx="3">
                    <c:v>غير كافية</c:v>
                  </c:pt>
                  <c:pt idx="4">
                    <c:v>كافية</c:v>
                  </c:pt>
                  <c:pt idx="5">
                    <c:v>غير كافية</c:v>
                  </c:pt>
                  <c:pt idx="6">
                    <c:v>كافية</c:v>
                  </c:pt>
                  <c:pt idx="7">
                    <c:v>غير كافية</c:v>
                  </c:pt>
                </c:lvl>
                <c:lvl>
                  <c:pt idx="0">
                    <c:v>سيدي سليمان</c:v>
                  </c:pt>
                  <c:pt idx="2">
                    <c:v>ميطر</c:v>
                  </c:pt>
                  <c:pt idx="4">
                    <c:v>الحمايد</c:v>
                  </c:pt>
                  <c:pt idx="6">
                    <c:v>الباطن </c:v>
                  </c:pt>
                </c:lvl>
              </c:multiLvlStrCache>
            </c:multiLvlStrRef>
          </c:cat>
          <c:val>
            <c:numRef>
              <c:f>'المرافق الضرورية'!$C$16:$J$16</c:f>
              <c:numCache>
                <c:formatCode>0.00</c:formatCode>
                <c:ptCount val="8"/>
                <c:pt idx="0">
                  <c:v>90.909090909090907</c:v>
                </c:pt>
                <c:pt idx="1">
                  <c:v>9.0909090909090917</c:v>
                </c:pt>
                <c:pt idx="2">
                  <c:v>80.519480519480524</c:v>
                </c:pt>
                <c:pt idx="3">
                  <c:v>19.480519480519479</c:v>
                </c:pt>
                <c:pt idx="4">
                  <c:v>82.857142857142861</c:v>
                </c:pt>
                <c:pt idx="5">
                  <c:v>17.142857142857142</c:v>
                </c:pt>
                <c:pt idx="6">
                  <c:v>76.103896103896105</c:v>
                </c:pt>
                <c:pt idx="7">
                  <c:v>23.896103896103895</c:v>
                </c:pt>
              </c:numCache>
            </c:numRef>
          </c:val>
        </c:ser>
        <c:ser>
          <c:idx val="2"/>
          <c:order val="2"/>
          <c:tx>
            <c:strRef>
              <c:f>'المرافق الضرورية'!$B$17</c:f>
              <c:strCache>
                <c:ptCount val="1"/>
                <c:pt idx="0">
                  <c:v>المراكز الأمنية</c:v>
                </c:pt>
              </c:strCache>
            </c:strRef>
          </c:tx>
          <c:spPr>
            <a:solidFill>
              <a:srgbClr val="0070C0"/>
            </a:solidFill>
          </c:spPr>
          <c:invertIfNegative val="0"/>
          <c:cat>
            <c:multiLvlStrRef>
              <c:f>'المرافق الضرورية'!$C$13:$J$14</c:f>
              <c:multiLvlStrCache>
                <c:ptCount val="8"/>
                <c:lvl>
                  <c:pt idx="0">
                    <c:v>كافية</c:v>
                  </c:pt>
                  <c:pt idx="1">
                    <c:v>غير كافية</c:v>
                  </c:pt>
                  <c:pt idx="2">
                    <c:v>كافية</c:v>
                  </c:pt>
                  <c:pt idx="3">
                    <c:v>غير كافية</c:v>
                  </c:pt>
                  <c:pt idx="4">
                    <c:v>كافية</c:v>
                  </c:pt>
                  <c:pt idx="5">
                    <c:v>غير كافية</c:v>
                  </c:pt>
                  <c:pt idx="6">
                    <c:v>كافية</c:v>
                  </c:pt>
                  <c:pt idx="7">
                    <c:v>غير كافية</c:v>
                  </c:pt>
                </c:lvl>
                <c:lvl>
                  <c:pt idx="0">
                    <c:v>سيدي سليمان</c:v>
                  </c:pt>
                  <c:pt idx="2">
                    <c:v>ميطر</c:v>
                  </c:pt>
                  <c:pt idx="4">
                    <c:v>الحمايد</c:v>
                  </c:pt>
                  <c:pt idx="6">
                    <c:v>الباطن </c:v>
                  </c:pt>
                </c:lvl>
              </c:multiLvlStrCache>
            </c:multiLvlStrRef>
          </c:cat>
          <c:val>
            <c:numRef>
              <c:f>'المرافق الضرورية'!$C$17:$J$17</c:f>
              <c:numCache>
                <c:formatCode>0.00</c:formatCode>
                <c:ptCount val="8"/>
                <c:pt idx="0">
                  <c:v>30.38961038961039</c:v>
                </c:pt>
                <c:pt idx="1">
                  <c:v>69.610389610389603</c:v>
                </c:pt>
                <c:pt idx="2">
                  <c:v>73.506493506493513</c:v>
                </c:pt>
                <c:pt idx="3">
                  <c:v>26.493506493506494</c:v>
                </c:pt>
                <c:pt idx="4">
                  <c:v>8.0519480519480524</c:v>
                </c:pt>
                <c:pt idx="5">
                  <c:v>91.948051948051955</c:v>
                </c:pt>
                <c:pt idx="6">
                  <c:v>74.545454545454547</c:v>
                </c:pt>
                <c:pt idx="7">
                  <c:v>25.454545454545453</c:v>
                </c:pt>
              </c:numCache>
            </c:numRef>
          </c:val>
        </c:ser>
        <c:ser>
          <c:idx val="3"/>
          <c:order val="3"/>
          <c:tx>
            <c:strRef>
              <c:f>'المرافق الضرورية'!$B$18</c:f>
              <c:strCache>
                <c:ptCount val="1"/>
                <c:pt idx="0">
                  <c:v>المراكز الدينية/الثقافية</c:v>
                </c:pt>
              </c:strCache>
            </c:strRef>
          </c:tx>
          <c:spPr>
            <a:solidFill>
              <a:srgbClr val="00B050"/>
            </a:solidFill>
          </c:spPr>
          <c:invertIfNegative val="0"/>
          <c:cat>
            <c:multiLvlStrRef>
              <c:f>'المرافق الضرورية'!$C$13:$J$14</c:f>
              <c:multiLvlStrCache>
                <c:ptCount val="8"/>
                <c:lvl>
                  <c:pt idx="0">
                    <c:v>كافية</c:v>
                  </c:pt>
                  <c:pt idx="1">
                    <c:v>غير كافية</c:v>
                  </c:pt>
                  <c:pt idx="2">
                    <c:v>كافية</c:v>
                  </c:pt>
                  <c:pt idx="3">
                    <c:v>غير كافية</c:v>
                  </c:pt>
                  <c:pt idx="4">
                    <c:v>كافية</c:v>
                  </c:pt>
                  <c:pt idx="5">
                    <c:v>غير كافية</c:v>
                  </c:pt>
                  <c:pt idx="6">
                    <c:v>كافية</c:v>
                  </c:pt>
                  <c:pt idx="7">
                    <c:v>غير كافية</c:v>
                  </c:pt>
                </c:lvl>
                <c:lvl>
                  <c:pt idx="0">
                    <c:v>سيدي سليمان</c:v>
                  </c:pt>
                  <c:pt idx="2">
                    <c:v>ميطر</c:v>
                  </c:pt>
                  <c:pt idx="4">
                    <c:v>الحمايد</c:v>
                  </c:pt>
                  <c:pt idx="6">
                    <c:v>الباطن </c:v>
                  </c:pt>
                </c:lvl>
              </c:multiLvlStrCache>
            </c:multiLvlStrRef>
          </c:cat>
          <c:val>
            <c:numRef>
              <c:f>'المرافق الضرورية'!$C$18:$J$18</c:f>
              <c:numCache>
                <c:formatCode>0.00</c:formatCode>
                <c:ptCount val="8"/>
                <c:pt idx="0">
                  <c:v>93.506493506493513</c:v>
                </c:pt>
                <c:pt idx="1">
                  <c:v>6.4935064935064934</c:v>
                </c:pt>
                <c:pt idx="2">
                  <c:v>81.038961038961034</c:v>
                </c:pt>
                <c:pt idx="3">
                  <c:v>18.961038961038962</c:v>
                </c:pt>
                <c:pt idx="4">
                  <c:v>75.324675324675326</c:v>
                </c:pt>
                <c:pt idx="5">
                  <c:v>24.675324675324674</c:v>
                </c:pt>
                <c:pt idx="6">
                  <c:v>82.337662337662337</c:v>
                </c:pt>
                <c:pt idx="7">
                  <c:v>17.662337662337663</c:v>
                </c:pt>
              </c:numCache>
            </c:numRef>
          </c:val>
        </c:ser>
        <c:ser>
          <c:idx val="4"/>
          <c:order val="4"/>
          <c:tx>
            <c:strRef>
              <c:f>'المرافق الضرورية'!$B$19</c:f>
              <c:strCache>
                <c:ptCount val="1"/>
                <c:pt idx="0">
                  <c:v>مراكز الإنقاذ و الحماية </c:v>
                </c:pt>
              </c:strCache>
            </c:strRef>
          </c:tx>
          <c:spPr>
            <a:solidFill>
              <a:srgbClr val="FF0000"/>
            </a:solidFill>
          </c:spPr>
          <c:invertIfNegative val="0"/>
          <c:cat>
            <c:multiLvlStrRef>
              <c:f>'المرافق الضرورية'!$C$13:$J$14</c:f>
              <c:multiLvlStrCache>
                <c:ptCount val="8"/>
                <c:lvl>
                  <c:pt idx="0">
                    <c:v>كافية</c:v>
                  </c:pt>
                  <c:pt idx="1">
                    <c:v>غير كافية</c:v>
                  </c:pt>
                  <c:pt idx="2">
                    <c:v>كافية</c:v>
                  </c:pt>
                  <c:pt idx="3">
                    <c:v>غير كافية</c:v>
                  </c:pt>
                  <c:pt idx="4">
                    <c:v>كافية</c:v>
                  </c:pt>
                  <c:pt idx="5">
                    <c:v>غير كافية</c:v>
                  </c:pt>
                  <c:pt idx="6">
                    <c:v>كافية</c:v>
                  </c:pt>
                  <c:pt idx="7">
                    <c:v>غير كافية</c:v>
                  </c:pt>
                </c:lvl>
                <c:lvl>
                  <c:pt idx="0">
                    <c:v>سيدي سليمان</c:v>
                  </c:pt>
                  <c:pt idx="2">
                    <c:v>ميطر</c:v>
                  </c:pt>
                  <c:pt idx="4">
                    <c:v>الحمايد</c:v>
                  </c:pt>
                  <c:pt idx="6">
                    <c:v>الباطن </c:v>
                  </c:pt>
                </c:lvl>
              </c:multiLvlStrCache>
            </c:multiLvlStrRef>
          </c:cat>
          <c:val>
            <c:numRef>
              <c:f>'المرافق الضرورية'!$C$19:$J$19</c:f>
              <c:numCache>
                <c:formatCode>0.00</c:formatCode>
                <c:ptCount val="8"/>
                <c:pt idx="0">
                  <c:v>66.753246753246756</c:v>
                </c:pt>
                <c:pt idx="1">
                  <c:v>33.246753246753244</c:v>
                </c:pt>
                <c:pt idx="2">
                  <c:v>60</c:v>
                </c:pt>
                <c:pt idx="3">
                  <c:v>40</c:v>
                </c:pt>
                <c:pt idx="4">
                  <c:v>62.857142857142854</c:v>
                </c:pt>
                <c:pt idx="5">
                  <c:v>37.142857142857146</c:v>
                </c:pt>
                <c:pt idx="6">
                  <c:v>83.376623376623371</c:v>
                </c:pt>
                <c:pt idx="7">
                  <c:v>16.623376623376622</c:v>
                </c:pt>
              </c:numCache>
            </c:numRef>
          </c:val>
        </c:ser>
        <c:dLbls>
          <c:showLegendKey val="0"/>
          <c:showVal val="0"/>
          <c:showCatName val="0"/>
          <c:showSerName val="0"/>
          <c:showPercent val="0"/>
          <c:showBubbleSize val="0"/>
        </c:dLbls>
        <c:gapWidth val="150"/>
        <c:axId val="590104576"/>
        <c:axId val="586545920"/>
      </c:barChart>
      <c:catAx>
        <c:axId val="590104576"/>
        <c:scaling>
          <c:orientation val="minMax"/>
        </c:scaling>
        <c:delete val="0"/>
        <c:axPos val="b"/>
        <c:majorTickMark val="out"/>
        <c:minorTickMark val="none"/>
        <c:tickLblPos val="nextTo"/>
        <c:crossAx val="586545920"/>
        <c:crosses val="autoZero"/>
        <c:auto val="1"/>
        <c:lblAlgn val="ctr"/>
        <c:lblOffset val="100"/>
        <c:noMultiLvlLbl val="0"/>
      </c:catAx>
      <c:valAx>
        <c:axId val="586545920"/>
        <c:scaling>
          <c:orientation val="minMax"/>
        </c:scaling>
        <c:delete val="0"/>
        <c:axPos val="l"/>
        <c:majorGridlines/>
        <c:numFmt formatCode="0.00" sourceLinked="1"/>
        <c:majorTickMark val="out"/>
        <c:minorTickMark val="none"/>
        <c:tickLblPos val="nextTo"/>
        <c:crossAx val="590104576"/>
        <c:crosses val="autoZero"/>
        <c:crossBetween val="between"/>
      </c:valAx>
      <c:spPr>
        <a:ln>
          <a:solidFill>
            <a:schemeClr val="accent1"/>
          </a:solidFill>
        </a:ln>
      </c:spPr>
    </c:plotArea>
    <c:legend>
      <c:legendPos val="r"/>
      <c:layout>
        <c:manualLayout>
          <c:xMode val="edge"/>
          <c:yMode val="edge"/>
          <c:x val="0.77169484706407243"/>
          <c:y val="0.35410338185187595"/>
          <c:w val="0.22830515293592754"/>
          <c:h val="0.30529990521402622"/>
        </c:manualLayout>
      </c:layout>
      <c:overlay val="0"/>
    </c:legend>
    <c:plotVisOnly val="1"/>
    <c:dispBlanksAs val="gap"/>
    <c:showDLblsOverMax val="0"/>
  </c:chart>
  <c:spPr>
    <a:ln>
      <a:solidFill>
        <a:schemeClr val="tx1"/>
      </a:solid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237333765155958"/>
          <c:y val="4.8650354809513303E-2"/>
          <c:w val="0.49450961978376562"/>
          <c:h val="0.78439002976919814"/>
        </c:manualLayout>
      </c:layout>
      <c:barChart>
        <c:barDir val="col"/>
        <c:grouping val="stacked"/>
        <c:varyColors val="0"/>
        <c:ser>
          <c:idx val="0"/>
          <c:order val="0"/>
          <c:tx>
            <c:strRef>
              <c:f>'عدد عقد الطريق'!$C$6</c:f>
              <c:strCache>
                <c:ptCount val="1"/>
                <c:pt idx="0">
                  <c:v>مريح</c:v>
                </c:pt>
              </c:strCache>
            </c:strRef>
          </c:tx>
          <c:invertIfNegative val="0"/>
          <c:cat>
            <c:strRef>
              <c:f>'عدد عقد الطريق'!$B$7:$B$10</c:f>
              <c:strCache>
                <c:ptCount val="4"/>
                <c:pt idx="0">
                  <c:v>سيدي سليمان</c:v>
                </c:pt>
                <c:pt idx="1">
                  <c:v>ميطر</c:v>
                </c:pt>
                <c:pt idx="2">
                  <c:v>الحمايد</c:v>
                </c:pt>
                <c:pt idx="3">
                  <c:v>الباطن </c:v>
                </c:pt>
              </c:strCache>
            </c:strRef>
          </c:cat>
          <c:val>
            <c:numRef>
              <c:f>'عدد عقد الطريق'!$C$7:$C$10</c:f>
              <c:numCache>
                <c:formatCode>0.00</c:formatCode>
                <c:ptCount val="4"/>
                <c:pt idx="0">
                  <c:v>53.246753246753244</c:v>
                </c:pt>
                <c:pt idx="1">
                  <c:v>44.415584415584412</c:v>
                </c:pt>
                <c:pt idx="2">
                  <c:v>76.36363636363636</c:v>
                </c:pt>
                <c:pt idx="3">
                  <c:v>70.23</c:v>
                </c:pt>
              </c:numCache>
            </c:numRef>
          </c:val>
        </c:ser>
        <c:ser>
          <c:idx val="1"/>
          <c:order val="1"/>
          <c:tx>
            <c:strRef>
              <c:f>'عدد عقد الطريق'!$D$6</c:f>
              <c:strCache>
                <c:ptCount val="1"/>
                <c:pt idx="0">
                  <c:v>غير مريح</c:v>
                </c:pt>
              </c:strCache>
            </c:strRef>
          </c:tx>
          <c:invertIfNegative val="0"/>
          <c:cat>
            <c:strRef>
              <c:f>'عدد عقد الطريق'!$B$7:$B$10</c:f>
              <c:strCache>
                <c:ptCount val="4"/>
                <c:pt idx="0">
                  <c:v>سيدي سليمان</c:v>
                </c:pt>
                <c:pt idx="1">
                  <c:v>ميطر</c:v>
                </c:pt>
                <c:pt idx="2">
                  <c:v>الحمايد</c:v>
                </c:pt>
                <c:pt idx="3">
                  <c:v>الباطن </c:v>
                </c:pt>
              </c:strCache>
            </c:strRef>
          </c:cat>
          <c:val>
            <c:numRef>
              <c:f>'عدد عقد الطريق'!$D$7:$D$10</c:f>
              <c:numCache>
                <c:formatCode>0.00</c:formatCode>
                <c:ptCount val="4"/>
                <c:pt idx="0">
                  <c:v>46.753246753246756</c:v>
                </c:pt>
                <c:pt idx="1">
                  <c:v>55.584415584415588</c:v>
                </c:pt>
                <c:pt idx="2">
                  <c:v>23.636363636363637</c:v>
                </c:pt>
                <c:pt idx="3">
                  <c:v>29.77</c:v>
                </c:pt>
              </c:numCache>
            </c:numRef>
          </c:val>
        </c:ser>
        <c:dLbls>
          <c:showLegendKey val="0"/>
          <c:showVal val="0"/>
          <c:showCatName val="0"/>
          <c:showSerName val="0"/>
          <c:showPercent val="0"/>
          <c:showBubbleSize val="0"/>
        </c:dLbls>
        <c:gapWidth val="150"/>
        <c:overlap val="100"/>
        <c:axId val="590337536"/>
        <c:axId val="590242368"/>
      </c:barChart>
      <c:catAx>
        <c:axId val="590337536"/>
        <c:scaling>
          <c:orientation val="minMax"/>
        </c:scaling>
        <c:delete val="0"/>
        <c:axPos val="b"/>
        <c:majorTickMark val="out"/>
        <c:minorTickMark val="none"/>
        <c:tickLblPos val="nextTo"/>
        <c:crossAx val="590242368"/>
        <c:crosses val="autoZero"/>
        <c:auto val="1"/>
        <c:lblAlgn val="ctr"/>
        <c:lblOffset val="100"/>
        <c:noMultiLvlLbl val="0"/>
      </c:catAx>
      <c:valAx>
        <c:axId val="590242368"/>
        <c:scaling>
          <c:orientation val="minMax"/>
          <c:max val="100"/>
        </c:scaling>
        <c:delete val="0"/>
        <c:axPos val="l"/>
        <c:majorGridlines/>
        <c:numFmt formatCode="0.00" sourceLinked="1"/>
        <c:majorTickMark val="out"/>
        <c:minorTickMark val="none"/>
        <c:tickLblPos val="nextTo"/>
        <c:crossAx val="590337536"/>
        <c:crosses val="autoZero"/>
        <c:crossBetween val="between"/>
      </c:valAx>
    </c:plotArea>
    <c:legend>
      <c:legendPos val="r"/>
      <c:layout>
        <c:manualLayout>
          <c:xMode val="edge"/>
          <c:yMode val="edge"/>
          <c:x val="0.74724127351456582"/>
          <c:y val="0.46784094815590888"/>
          <c:w val="0.17025848632674129"/>
          <c:h val="0.1259036960324818"/>
        </c:manualLayout>
      </c:layout>
      <c:overlay val="0"/>
    </c:legend>
    <c:plotVisOnly val="1"/>
    <c:dispBlanksAs val="gap"/>
    <c:showDLblsOverMax val="0"/>
  </c:chart>
  <c:spPr>
    <a:ln>
      <a:solidFill>
        <a:schemeClr val="tx1"/>
      </a:solid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'راحة قرب المسافة'!$D$14</c:f>
              <c:strCache>
                <c:ptCount val="1"/>
                <c:pt idx="0">
                  <c:v>غير ملائمة جدا (1)</c:v>
                </c:pt>
              </c:strCache>
            </c:strRef>
          </c:tx>
          <c:spPr>
            <a:solidFill>
              <a:srgbClr val="FF0000"/>
            </a:solidFill>
          </c:spPr>
          <c:invertIfNegative val="0"/>
          <c:cat>
            <c:strRef>
              <c:f>'راحة قرب المسافة'!$C$15:$C$21</c:f>
              <c:strCache>
                <c:ptCount val="7"/>
                <c:pt idx="1">
                  <c:v>مراكز الإنقاذ والحماية اقل من (2000م)</c:v>
                </c:pt>
                <c:pt idx="2">
                  <c:v>المراكز الدينية و الثقافية اقل من(800م)</c:v>
                </c:pt>
                <c:pt idx="3">
                  <c:v>المراكز الأمنية اقل من(800م)</c:v>
                </c:pt>
                <c:pt idx="4">
                  <c:v>مراكز التعليم الابتدائي (400م)</c:v>
                </c:pt>
                <c:pt idx="5">
                  <c:v>مراكز التكفل الطبي اقل من(800م)</c:v>
                </c:pt>
                <c:pt idx="6">
                  <c:v>المسافة بين نقاط تقاطع شبكة الطرق الداخلية اقل من (90م)</c:v>
                </c:pt>
              </c:strCache>
            </c:strRef>
          </c:cat>
          <c:val>
            <c:numRef>
              <c:f>'راحة قرب المسافة'!$D$15:$D$21</c:f>
              <c:numCache>
                <c:formatCode>0.00</c:formatCode>
                <c:ptCount val="7"/>
                <c:pt idx="1">
                  <c:v>36.363636363636367</c:v>
                </c:pt>
                <c:pt idx="2">
                  <c:v>7.2727272727272725</c:v>
                </c:pt>
                <c:pt idx="3">
                  <c:v>11.168831168831169</c:v>
                </c:pt>
                <c:pt idx="4">
                  <c:v>3.8961038961038961</c:v>
                </c:pt>
                <c:pt idx="5">
                  <c:v>14.805194805194805</c:v>
                </c:pt>
                <c:pt idx="6">
                  <c:v>9.0909090909090917</c:v>
                </c:pt>
              </c:numCache>
            </c:numRef>
          </c:val>
        </c:ser>
        <c:ser>
          <c:idx val="1"/>
          <c:order val="1"/>
          <c:tx>
            <c:strRef>
              <c:f>'راحة قرب المسافة'!$E$14</c:f>
              <c:strCache>
                <c:ptCount val="1"/>
                <c:pt idx="0">
                  <c:v>غير ملائمة (2)</c:v>
                </c:pt>
              </c:strCache>
            </c:strRef>
          </c:tx>
          <c:invertIfNegative val="0"/>
          <c:cat>
            <c:strRef>
              <c:f>'راحة قرب المسافة'!$C$15:$C$21</c:f>
              <c:strCache>
                <c:ptCount val="7"/>
                <c:pt idx="1">
                  <c:v>مراكز الإنقاذ والحماية اقل من (2000م)</c:v>
                </c:pt>
                <c:pt idx="2">
                  <c:v>المراكز الدينية و الثقافية اقل من(800م)</c:v>
                </c:pt>
                <c:pt idx="3">
                  <c:v>المراكز الأمنية اقل من(800م)</c:v>
                </c:pt>
                <c:pt idx="4">
                  <c:v>مراكز التعليم الابتدائي (400م)</c:v>
                </c:pt>
                <c:pt idx="5">
                  <c:v>مراكز التكفل الطبي اقل من(800م)</c:v>
                </c:pt>
                <c:pt idx="6">
                  <c:v>المسافة بين نقاط تقاطع شبكة الطرق الداخلية اقل من (90م)</c:v>
                </c:pt>
              </c:strCache>
            </c:strRef>
          </c:cat>
          <c:val>
            <c:numRef>
              <c:f>'راحة قرب المسافة'!$E$15:$E$21</c:f>
              <c:numCache>
                <c:formatCode>0.00</c:formatCode>
                <c:ptCount val="7"/>
                <c:pt idx="1">
                  <c:v>11.428571428571429</c:v>
                </c:pt>
                <c:pt idx="2">
                  <c:v>6.4935064935064926</c:v>
                </c:pt>
                <c:pt idx="3">
                  <c:v>10.38961038961039</c:v>
                </c:pt>
                <c:pt idx="4">
                  <c:v>6.4935064935064926</c:v>
                </c:pt>
                <c:pt idx="5">
                  <c:v>8.5714285714285712</c:v>
                </c:pt>
                <c:pt idx="6">
                  <c:v>10.649350649350648</c:v>
                </c:pt>
              </c:numCache>
            </c:numRef>
          </c:val>
        </c:ser>
        <c:ser>
          <c:idx val="2"/>
          <c:order val="2"/>
          <c:tx>
            <c:strRef>
              <c:f>'راحة قرب المسافة'!$F$14</c:f>
              <c:strCache>
                <c:ptCount val="1"/>
                <c:pt idx="0">
                  <c:v>معتدل (3)</c:v>
                </c:pt>
              </c:strCache>
            </c:strRef>
          </c:tx>
          <c:spPr>
            <a:solidFill>
              <a:srgbClr val="00B0F0"/>
            </a:solidFill>
          </c:spPr>
          <c:invertIfNegative val="0"/>
          <c:cat>
            <c:strRef>
              <c:f>'راحة قرب المسافة'!$C$15:$C$21</c:f>
              <c:strCache>
                <c:ptCount val="7"/>
                <c:pt idx="1">
                  <c:v>مراكز الإنقاذ والحماية اقل من (2000م)</c:v>
                </c:pt>
                <c:pt idx="2">
                  <c:v>المراكز الدينية و الثقافية اقل من(800م)</c:v>
                </c:pt>
                <c:pt idx="3">
                  <c:v>المراكز الأمنية اقل من(800م)</c:v>
                </c:pt>
                <c:pt idx="4">
                  <c:v>مراكز التعليم الابتدائي (400م)</c:v>
                </c:pt>
                <c:pt idx="5">
                  <c:v>مراكز التكفل الطبي اقل من(800م)</c:v>
                </c:pt>
                <c:pt idx="6">
                  <c:v>المسافة بين نقاط تقاطع شبكة الطرق الداخلية اقل من (90م)</c:v>
                </c:pt>
              </c:strCache>
            </c:strRef>
          </c:cat>
          <c:val>
            <c:numRef>
              <c:f>'راحة قرب المسافة'!$F$15:$F$21</c:f>
              <c:numCache>
                <c:formatCode>0.00</c:formatCode>
                <c:ptCount val="7"/>
                <c:pt idx="1">
                  <c:v>3.116883116883117</c:v>
                </c:pt>
                <c:pt idx="2">
                  <c:v>7.7922077922077921</c:v>
                </c:pt>
                <c:pt idx="3">
                  <c:v>3.8961038961038961</c:v>
                </c:pt>
                <c:pt idx="4">
                  <c:v>5.4545454545454541</c:v>
                </c:pt>
                <c:pt idx="5">
                  <c:v>4.9350649350649354</c:v>
                </c:pt>
                <c:pt idx="6">
                  <c:v>3.8961038961038961</c:v>
                </c:pt>
              </c:numCache>
            </c:numRef>
          </c:val>
        </c:ser>
        <c:ser>
          <c:idx val="3"/>
          <c:order val="3"/>
          <c:tx>
            <c:strRef>
              <c:f>'راحة قرب المسافة'!$G$14</c:f>
              <c:strCache>
                <c:ptCount val="1"/>
                <c:pt idx="0">
                  <c:v>ملائمة (4)</c:v>
                </c:pt>
              </c:strCache>
            </c:strRef>
          </c:tx>
          <c:spPr>
            <a:solidFill>
              <a:schemeClr val="tx1"/>
            </a:solidFill>
          </c:spPr>
          <c:invertIfNegative val="0"/>
          <c:cat>
            <c:strRef>
              <c:f>'راحة قرب المسافة'!$C$15:$C$21</c:f>
              <c:strCache>
                <c:ptCount val="7"/>
                <c:pt idx="1">
                  <c:v>مراكز الإنقاذ والحماية اقل من (2000م)</c:v>
                </c:pt>
                <c:pt idx="2">
                  <c:v>المراكز الدينية و الثقافية اقل من(800م)</c:v>
                </c:pt>
                <c:pt idx="3">
                  <c:v>المراكز الأمنية اقل من(800م)</c:v>
                </c:pt>
                <c:pt idx="4">
                  <c:v>مراكز التعليم الابتدائي (400م)</c:v>
                </c:pt>
                <c:pt idx="5">
                  <c:v>مراكز التكفل الطبي اقل من(800م)</c:v>
                </c:pt>
                <c:pt idx="6">
                  <c:v>المسافة بين نقاط تقاطع شبكة الطرق الداخلية اقل من (90م)</c:v>
                </c:pt>
              </c:strCache>
            </c:strRef>
          </c:cat>
          <c:val>
            <c:numRef>
              <c:f>'راحة قرب المسافة'!$G$15:$G$21</c:f>
              <c:numCache>
                <c:formatCode>0.00</c:formatCode>
                <c:ptCount val="7"/>
                <c:pt idx="1">
                  <c:v>19.740259740259742</c:v>
                </c:pt>
                <c:pt idx="2">
                  <c:v>24.675324675324674</c:v>
                </c:pt>
                <c:pt idx="3">
                  <c:v>33.766233766233768</c:v>
                </c:pt>
                <c:pt idx="4">
                  <c:v>27.79220779220779</c:v>
                </c:pt>
                <c:pt idx="5">
                  <c:v>24.675324675324674</c:v>
                </c:pt>
                <c:pt idx="6">
                  <c:v>15.844155844155845</c:v>
                </c:pt>
              </c:numCache>
            </c:numRef>
          </c:val>
        </c:ser>
        <c:ser>
          <c:idx val="4"/>
          <c:order val="4"/>
          <c:tx>
            <c:strRef>
              <c:f>'راحة قرب المسافة'!$H$14</c:f>
              <c:strCache>
                <c:ptCount val="1"/>
                <c:pt idx="0">
                  <c:v>ملائمة جدا (5)</c:v>
                </c:pt>
              </c:strCache>
            </c:strRef>
          </c:tx>
          <c:spPr>
            <a:solidFill>
              <a:srgbClr val="00B050"/>
            </a:solidFill>
          </c:spPr>
          <c:invertIfNegative val="0"/>
          <c:cat>
            <c:strRef>
              <c:f>'راحة قرب المسافة'!$C$15:$C$21</c:f>
              <c:strCache>
                <c:ptCount val="7"/>
                <c:pt idx="1">
                  <c:v>مراكز الإنقاذ والحماية اقل من (2000م)</c:v>
                </c:pt>
                <c:pt idx="2">
                  <c:v>المراكز الدينية و الثقافية اقل من(800م)</c:v>
                </c:pt>
                <c:pt idx="3">
                  <c:v>المراكز الأمنية اقل من(800م)</c:v>
                </c:pt>
                <c:pt idx="4">
                  <c:v>مراكز التعليم الابتدائي (400م)</c:v>
                </c:pt>
                <c:pt idx="5">
                  <c:v>مراكز التكفل الطبي اقل من(800م)</c:v>
                </c:pt>
                <c:pt idx="6">
                  <c:v>المسافة بين نقاط تقاطع شبكة الطرق الداخلية اقل من (90م)</c:v>
                </c:pt>
              </c:strCache>
            </c:strRef>
          </c:cat>
          <c:val>
            <c:numRef>
              <c:f>'راحة قرب المسافة'!$H$15:$H$21</c:f>
              <c:numCache>
                <c:formatCode>0.00</c:formatCode>
                <c:ptCount val="7"/>
                <c:pt idx="1">
                  <c:v>29.350649350649348</c:v>
                </c:pt>
                <c:pt idx="2">
                  <c:v>53.766233766233761</c:v>
                </c:pt>
                <c:pt idx="3">
                  <c:v>40.779220779220779</c:v>
                </c:pt>
                <c:pt idx="4">
                  <c:v>56.36363636363636</c:v>
                </c:pt>
                <c:pt idx="5">
                  <c:v>47.012987012987011</c:v>
                </c:pt>
                <c:pt idx="6">
                  <c:v>60.519480519480517</c:v>
                </c:pt>
              </c:numCache>
            </c:numRef>
          </c:val>
        </c:ser>
        <c:dLbls>
          <c:showLegendKey val="0"/>
          <c:showVal val="0"/>
          <c:showCatName val="0"/>
          <c:showSerName val="0"/>
          <c:showPercent val="0"/>
          <c:showBubbleSize val="0"/>
        </c:dLbls>
        <c:gapWidth val="150"/>
        <c:axId val="590338048"/>
        <c:axId val="590244096"/>
      </c:barChart>
      <c:catAx>
        <c:axId val="590338048"/>
        <c:scaling>
          <c:orientation val="minMax"/>
        </c:scaling>
        <c:delete val="0"/>
        <c:axPos val="b"/>
        <c:majorTickMark val="out"/>
        <c:minorTickMark val="none"/>
        <c:tickLblPos val="nextTo"/>
        <c:crossAx val="590244096"/>
        <c:crosses val="autoZero"/>
        <c:auto val="1"/>
        <c:lblAlgn val="ctr"/>
        <c:lblOffset val="100"/>
        <c:noMultiLvlLbl val="0"/>
      </c:catAx>
      <c:valAx>
        <c:axId val="590244096"/>
        <c:scaling>
          <c:orientation val="minMax"/>
          <c:max val="100"/>
          <c:min val="0"/>
        </c:scaling>
        <c:delete val="0"/>
        <c:axPos val="l"/>
        <c:majorGridlines/>
        <c:numFmt formatCode="0.00" sourceLinked="1"/>
        <c:majorTickMark val="out"/>
        <c:minorTickMark val="none"/>
        <c:tickLblPos val="nextTo"/>
        <c:crossAx val="590338048"/>
        <c:crosses val="autoZero"/>
        <c:crossBetween val="between"/>
      </c:valAx>
    </c:plotArea>
    <c:legend>
      <c:legendPos val="r"/>
      <c:layout>
        <c:manualLayout>
          <c:xMode val="edge"/>
          <c:yMode val="edge"/>
          <c:x val="0.77399739944716972"/>
          <c:y val="0.26814356584099464"/>
          <c:w val="0.21165478678384764"/>
          <c:h val="0.33197931679505732"/>
        </c:manualLayout>
      </c:layout>
      <c:overlay val="0"/>
    </c:legend>
    <c:plotVisOnly val="1"/>
    <c:dispBlanksAs val="gap"/>
    <c:showDLblsOverMax val="0"/>
  </c:chart>
  <c:spPr>
    <a:ln>
      <a:solidFill>
        <a:schemeClr val="tx1"/>
      </a:solid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200"/>
            </a:pPr>
            <a:r>
              <a:rPr lang="ar-DZ" sz="1200" b="0">
                <a:latin typeface="Simplified Arabic" panose="02020603050405020304" pitchFamily="18" charset="-78"/>
                <a:cs typeface="Simplified Arabic" panose="02020603050405020304" pitchFamily="18" charset="-78"/>
              </a:rPr>
              <a:t>النسبة</a:t>
            </a:r>
          </a:p>
        </c:rich>
      </c:tx>
      <c:layout>
        <c:manualLayout>
          <c:xMode val="edge"/>
          <c:yMode val="edge"/>
          <c:x val="5.1736416383534878E-2"/>
          <c:y val="0"/>
        </c:manualLayout>
      </c:layout>
      <c:overlay val="1"/>
    </c:title>
    <c:autoTitleDeleted val="0"/>
    <c:plotArea>
      <c:layout>
        <c:manualLayout>
          <c:layoutTarget val="inner"/>
          <c:xMode val="edge"/>
          <c:yMode val="edge"/>
          <c:x val="0.16316570858090593"/>
          <c:y val="0.13831390424948933"/>
          <c:w val="0.27033261946551157"/>
          <c:h val="0.41690314265934281"/>
        </c:manualLayout>
      </c:layout>
      <c:barChart>
        <c:barDir val="col"/>
        <c:grouping val="clustered"/>
        <c:varyColors val="0"/>
        <c:ser>
          <c:idx val="0"/>
          <c:order val="0"/>
          <c:tx>
            <c:strRef>
              <c:f>'سمة الكثافة '!$M$14</c:f>
              <c:strCache>
                <c:ptCount val="1"/>
                <c:pt idx="0">
                  <c:v>النسبة بين مسافة شبكة الشوارع والمسافة الإقليدية </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dLbls>
            <c:dLbl>
              <c:idx val="0"/>
              <c:spPr/>
              <c:txPr>
                <a:bodyPr/>
                <a:lstStyle/>
                <a:p>
                  <a:pPr>
                    <a:defRPr sz="1200" b="0">
                      <a:latin typeface="Times New Roman" panose="02020603050405020304" pitchFamily="18" charset="0"/>
                      <a:cs typeface="Times New Roman" panose="02020603050405020304" pitchFamily="18" charset="0"/>
                    </a:defRPr>
                  </a:pPr>
                  <a:endParaRPr lang="fr-FR"/>
                </a:p>
              </c:txPr>
              <c:dLblPos val="inEnd"/>
              <c:showLegendKey val="0"/>
              <c:showVal val="1"/>
              <c:showCatName val="0"/>
              <c:showSerName val="0"/>
              <c:showPercent val="0"/>
              <c:showBubbleSize val="0"/>
            </c:dLbl>
            <c:dLbl>
              <c:idx val="1"/>
              <c:spPr/>
              <c:txPr>
                <a:bodyPr/>
                <a:lstStyle/>
                <a:p>
                  <a:pPr>
                    <a:defRPr sz="1200" b="0">
                      <a:latin typeface="Times New Roman" panose="02020603050405020304" pitchFamily="18" charset="0"/>
                      <a:cs typeface="Times New Roman" panose="02020603050405020304" pitchFamily="18" charset="0"/>
                    </a:defRPr>
                  </a:pPr>
                  <a:endParaRPr lang="fr-FR"/>
                </a:p>
              </c:txPr>
              <c:dLblPos val="inEnd"/>
              <c:showLegendKey val="0"/>
              <c:showVal val="1"/>
              <c:showCatName val="0"/>
              <c:showSerName val="0"/>
              <c:showPercent val="0"/>
              <c:showBubbleSize val="0"/>
            </c:dLbl>
            <c:txPr>
              <a:bodyPr/>
              <a:lstStyle/>
              <a:p>
                <a:pPr>
                  <a:defRPr sz="1200" b="1">
                    <a:latin typeface="Times New Roman" panose="02020603050405020304" pitchFamily="18" charset="0"/>
                    <a:cs typeface="Times New Roman" panose="02020603050405020304" pitchFamily="18" charset="0"/>
                  </a:defRPr>
                </a:pPr>
                <a:endParaRPr lang="fr-FR"/>
              </a:p>
            </c:txPr>
            <c:dLblPos val="inEnd"/>
            <c:showLegendKey val="0"/>
            <c:showVal val="1"/>
            <c:showCatName val="0"/>
            <c:showSerName val="0"/>
            <c:showPercent val="0"/>
            <c:showBubbleSize val="0"/>
            <c:showLeaderLines val="0"/>
          </c:dLbls>
          <c:cat>
            <c:multiLvlStrRef>
              <c:f>'سمة الكثافة '!$J$15:$L$16</c:f>
              <c:multiLvlStrCache>
                <c:ptCount val="2"/>
                <c:lvl>
                  <c:pt idx="0">
                    <c:v>1</c:v>
                  </c:pt>
                  <c:pt idx="1">
                    <c:v>2</c:v>
                  </c:pt>
                </c:lvl>
                <c:lvl>
                  <c:pt idx="0">
                    <c:v>حي القصر</c:v>
                  </c:pt>
                </c:lvl>
                <c:lvl>
                  <c:pt idx="0">
                    <c:v>الفئة (أ)</c:v>
                  </c:pt>
                </c:lvl>
              </c:multiLvlStrCache>
            </c:multiLvlStrRef>
          </c:cat>
          <c:val>
            <c:numRef>
              <c:f>'سمة الكثافة '!$M$15:$M$16</c:f>
              <c:numCache>
                <c:formatCode>0.00</c:formatCode>
                <c:ptCount val="2"/>
                <c:pt idx="0">
                  <c:v>0.31</c:v>
                </c:pt>
                <c:pt idx="1">
                  <c:v>0.2</c:v>
                </c:pt>
              </c:numCache>
            </c:numRef>
          </c:val>
        </c:ser>
        <c:dLbls>
          <c:showLegendKey val="0"/>
          <c:showVal val="0"/>
          <c:showCatName val="0"/>
          <c:showSerName val="0"/>
          <c:showPercent val="0"/>
          <c:showBubbleSize val="0"/>
        </c:dLbls>
        <c:gapWidth val="75"/>
        <c:overlap val="40"/>
        <c:axId val="592889344"/>
        <c:axId val="590244672"/>
      </c:barChart>
      <c:catAx>
        <c:axId val="592889344"/>
        <c:scaling>
          <c:orientation val="minMax"/>
        </c:scaling>
        <c:delete val="0"/>
        <c:axPos val="b"/>
        <c:majorTickMark val="none"/>
        <c:minorTickMark val="none"/>
        <c:tickLblPos val="nextTo"/>
        <c:txPr>
          <a:bodyPr/>
          <a:lstStyle/>
          <a:p>
            <a:pPr>
              <a:defRPr sz="1200" b="0">
                <a:latin typeface="Simplified Arabic" panose="02020603050405020304" pitchFamily="18" charset="-78"/>
                <a:cs typeface="Simplified Arabic" panose="02020603050405020304" pitchFamily="18" charset="-78"/>
              </a:defRPr>
            </a:pPr>
            <a:endParaRPr lang="fr-FR"/>
          </a:p>
        </c:txPr>
        <c:crossAx val="590244672"/>
        <c:crosses val="autoZero"/>
        <c:auto val="1"/>
        <c:lblAlgn val="ctr"/>
        <c:lblOffset val="100"/>
        <c:noMultiLvlLbl val="0"/>
      </c:catAx>
      <c:valAx>
        <c:axId val="590244672"/>
        <c:scaling>
          <c:orientation val="minMax"/>
          <c:max val="1"/>
        </c:scaling>
        <c:delete val="0"/>
        <c:axPos val="l"/>
        <c:majorGridlines/>
        <c:numFmt formatCode="0.00" sourceLinked="1"/>
        <c:majorTickMark val="none"/>
        <c:minorTickMark val="none"/>
        <c:tickLblPos val="nextTo"/>
        <c:txPr>
          <a:bodyPr/>
          <a:lstStyle/>
          <a:p>
            <a:pPr>
              <a:defRPr sz="1200" b="0">
                <a:latin typeface="Times New Roman" panose="02020603050405020304" pitchFamily="18" charset="0"/>
                <a:cs typeface="Times New Roman" panose="02020603050405020304" pitchFamily="18" charset="0"/>
              </a:defRPr>
            </a:pPr>
            <a:endParaRPr lang="fr-FR"/>
          </a:p>
        </c:txPr>
        <c:crossAx val="592889344"/>
        <c:crosses val="autoZero"/>
        <c:crossBetween val="between"/>
        <c:majorUnit val="0.2"/>
        <c:minorUnit val="4.0000000000000008E-2"/>
      </c:valAx>
    </c:plotArea>
    <c:legend>
      <c:legendPos val="r"/>
      <c:layout>
        <c:manualLayout>
          <c:xMode val="edge"/>
          <c:yMode val="edge"/>
          <c:x val="0.46384223869826485"/>
          <c:y val="0.2929858861981875"/>
          <c:w val="0.46391018640918052"/>
          <c:h val="0.26092645966424011"/>
        </c:manualLayout>
      </c:layout>
      <c:overlay val="0"/>
      <c:txPr>
        <a:bodyPr/>
        <a:lstStyle/>
        <a:p>
          <a:pPr>
            <a:defRPr sz="1200">
              <a:latin typeface="Simplified Arabic" panose="02020603050405020304" pitchFamily="18" charset="-78"/>
              <a:cs typeface="Simplified Arabic" panose="02020603050405020304" pitchFamily="18" charset="-78"/>
            </a:defRPr>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729999581487395"/>
          <c:y val="0.15570538057742783"/>
          <c:w val="0.41876546007288662"/>
          <c:h val="0.4186606882473024"/>
        </c:manualLayout>
      </c:layout>
      <c:barChart>
        <c:barDir val="col"/>
        <c:grouping val="clustered"/>
        <c:varyColors val="0"/>
        <c:ser>
          <c:idx val="0"/>
          <c:order val="0"/>
          <c:tx>
            <c:strRef>
              <c:f>'سمة الكثافة '!$M$18</c:f>
              <c:strCache>
                <c:ptCount val="1"/>
                <c:pt idx="0">
                  <c:v>النسبة بين مسافة شبكة الشوارع والمسافة الإقليدية </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dLbls>
            <c:txPr>
              <a:bodyPr/>
              <a:lstStyle/>
              <a:p>
                <a:pPr>
                  <a:defRPr sz="1200" b="0">
                    <a:latin typeface="Times New Roman" panose="02020603050405020304" pitchFamily="18" charset="0"/>
                    <a:cs typeface="Times New Roman" panose="02020603050405020304" pitchFamily="18" charset="0"/>
                  </a:defRPr>
                </a:pPr>
                <a:endParaRPr lang="fr-FR"/>
              </a:p>
            </c:txPr>
            <c:dLblPos val="inEnd"/>
            <c:showLegendKey val="0"/>
            <c:showVal val="1"/>
            <c:showCatName val="0"/>
            <c:showSerName val="0"/>
            <c:showPercent val="0"/>
            <c:showBubbleSize val="0"/>
            <c:showLeaderLines val="0"/>
          </c:dLbls>
          <c:cat>
            <c:multiLvlStrRef>
              <c:f>'سمة الكثافة '!$J$19:$L$22</c:f>
              <c:multiLvlStrCache>
                <c:ptCount val="3"/>
                <c:lvl>
                  <c:pt idx="0">
                    <c:v>1</c:v>
                  </c:pt>
                  <c:pt idx="1">
                    <c:v>2</c:v>
                  </c:pt>
                  <c:pt idx="2">
                    <c:v>3</c:v>
                  </c:pt>
                </c:lvl>
                <c:lvl>
                  <c:pt idx="0">
                    <c:v>حي بلاتو</c:v>
                  </c:pt>
                </c:lvl>
                <c:lvl>
                  <c:pt idx="0">
                    <c:v>الفئة (ب)</c:v>
                  </c:pt>
                </c:lvl>
              </c:multiLvlStrCache>
            </c:multiLvlStrRef>
          </c:cat>
          <c:val>
            <c:numRef>
              <c:f>'سمة الكثافة '!$M$19:$M$21</c:f>
              <c:numCache>
                <c:formatCode>0.00</c:formatCode>
                <c:ptCount val="3"/>
                <c:pt idx="0">
                  <c:v>0.57999999999999996</c:v>
                </c:pt>
                <c:pt idx="1">
                  <c:v>0.47</c:v>
                </c:pt>
                <c:pt idx="2">
                  <c:v>0.52</c:v>
                </c:pt>
              </c:numCache>
            </c:numRef>
          </c:val>
        </c:ser>
        <c:dLbls>
          <c:showLegendKey val="0"/>
          <c:showVal val="0"/>
          <c:showCatName val="0"/>
          <c:showSerName val="0"/>
          <c:showPercent val="0"/>
          <c:showBubbleSize val="0"/>
        </c:dLbls>
        <c:gapWidth val="75"/>
        <c:overlap val="40"/>
        <c:axId val="592889856"/>
        <c:axId val="590248704"/>
      </c:barChart>
      <c:catAx>
        <c:axId val="592889856"/>
        <c:scaling>
          <c:orientation val="minMax"/>
        </c:scaling>
        <c:delete val="0"/>
        <c:axPos val="b"/>
        <c:majorTickMark val="none"/>
        <c:minorTickMark val="none"/>
        <c:tickLblPos val="nextTo"/>
        <c:txPr>
          <a:bodyPr/>
          <a:lstStyle/>
          <a:p>
            <a:pPr>
              <a:defRPr sz="1200" b="0">
                <a:latin typeface="Simplified Arabic" panose="02020603050405020304" pitchFamily="18" charset="-78"/>
                <a:cs typeface="Simplified Arabic" panose="02020603050405020304" pitchFamily="18" charset="-78"/>
              </a:defRPr>
            </a:pPr>
            <a:endParaRPr lang="fr-FR"/>
          </a:p>
        </c:txPr>
        <c:crossAx val="590248704"/>
        <c:crosses val="autoZero"/>
        <c:auto val="1"/>
        <c:lblAlgn val="ctr"/>
        <c:lblOffset val="100"/>
        <c:noMultiLvlLbl val="0"/>
      </c:catAx>
      <c:valAx>
        <c:axId val="590248704"/>
        <c:scaling>
          <c:orientation val="minMax"/>
          <c:max val="1"/>
        </c:scaling>
        <c:delete val="0"/>
        <c:axPos val="l"/>
        <c:majorGridlines/>
        <c:numFmt formatCode="0.00" sourceLinked="1"/>
        <c:majorTickMark val="none"/>
        <c:minorTickMark val="none"/>
        <c:tickLblPos val="nextTo"/>
        <c:txPr>
          <a:bodyPr/>
          <a:lstStyle/>
          <a:p>
            <a:pPr>
              <a:defRPr sz="1200" b="0">
                <a:latin typeface="Times New Roman" panose="02020603050405020304" pitchFamily="18" charset="0"/>
                <a:cs typeface="Times New Roman" panose="02020603050405020304" pitchFamily="18" charset="0"/>
              </a:defRPr>
            </a:pPr>
            <a:endParaRPr lang="fr-FR"/>
          </a:p>
        </c:txPr>
        <c:crossAx val="592889856"/>
        <c:crosses val="autoZero"/>
        <c:crossBetween val="between"/>
        <c:majorUnit val="0.2"/>
        <c:minorUnit val="4.0000000000000008E-2"/>
      </c:valAx>
    </c:plotArea>
    <c:legend>
      <c:legendPos val="r"/>
      <c:layout>
        <c:manualLayout>
          <c:xMode val="edge"/>
          <c:yMode val="edge"/>
          <c:x val="0.56603335665204346"/>
          <c:y val="0.30061914899074099"/>
          <c:w val="0.41817295307910068"/>
          <c:h val="0.30142604324296596"/>
        </c:manualLayout>
      </c:layout>
      <c:overlay val="0"/>
      <c:txPr>
        <a:bodyPr/>
        <a:lstStyle/>
        <a:p>
          <a:pPr>
            <a:defRPr sz="1200" b="0">
              <a:latin typeface="Simplified Arabic" panose="02020603050405020304" pitchFamily="18" charset="-78"/>
              <a:cs typeface="Simplified Arabic" panose="02020603050405020304" pitchFamily="18" charset="-78"/>
            </a:defRPr>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4219081589160329"/>
          <c:y val="0.18280067932684885"/>
          <c:w val="0.4572373645601992"/>
          <c:h val="0.40607356207170936"/>
        </c:manualLayout>
      </c:layout>
      <c:barChart>
        <c:barDir val="col"/>
        <c:grouping val="clustered"/>
        <c:varyColors val="0"/>
        <c:ser>
          <c:idx val="0"/>
          <c:order val="0"/>
          <c:tx>
            <c:strRef>
              <c:f>'سمة الكثافة '!$M$24</c:f>
              <c:strCache>
                <c:ptCount val="1"/>
                <c:pt idx="0">
                  <c:v>النسبة بين مسافة شبكة الشوارع والمسافة الإقليدية </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dLbls>
            <c:txPr>
              <a:bodyPr/>
              <a:lstStyle/>
              <a:p>
                <a:pPr>
                  <a:defRPr sz="1200" b="0">
                    <a:latin typeface="Times New Roman" panose="02020603050405020304" pitchFamily="18" charset="0"/>
                    <a:cs typeface="Times New Roman" panose="02020603050405020304" pitchFamily="18" charset="0"/>
                  </a:defRPr>
                </a:pPr>
                <a:endParaRPr lang="fr-FR"/>
              </a:p>
            </c:txPr>
            <c:dLblPos val="inEnd"/>
            <c:showLegendKey val="0"/>
            <c:showVal val="1"/>
            <c:showCatName val="0"/>
            <c:showSerName val="0"/>
            <c:showPercent val="0"/>
            <c:showBubbleSize val="0"/>
            <c:showLeaderLines val="0"/>
          </c:dLbls>
          <c:cat>
            <c:multiLvlStrRef>
              <c:f>'سمة الكثافة '!$J$25:$L$28</c:f>
              <c:multiLvlStrCache>
                <c:ptCount val="4"/>
                <c:lvl>
                  <c:pt idx="0">
                    <c:v>1</c:v>
                  </c:pt>
                  <c:pt idx="1">
                    <c:v>2</c:v>
                  </c:pt>
                  <c:pt idx="2">
                    <c:v>3</c:v>
                  </c:pt>
                  <c:pt idx="3">
                    <c:v>4</c:v>
                  </c:pt>
                </c:lvl>
                <c:lvl>
                  <c:pt idx="0">
                    <c:v>حي سيدي سليمان</c:v>
                  </c:pt>
                </c:lvl>
                <c:lvl>
                  <c:pt idx="0">
                    <c:v>الفئة (جـ)</c:v>
                  </c:pt>
                </c:lvl>
              </c:multiLvlStrCache>
            </c:multiLvlStrRef>
          </c:cat>
          <c:val>
            <c:numRef>
              <c:f>'سمة الكثافة '!$M$25:$M$28</c:f>
              <c:numCache>
                <c:formatCode>0.00</c:formatCode>
                <c:ptCount val="4"/>
                <c:pt idx="0">
                  <c:v>0.39</c:v>
                </c:pt>
                <c:pt idx="1">
                  <c:v>0.48</c:v>
                </c:pt>
                <c:pt idx="2">
                  <c:v>0.46</c:v>
                </c:pt>
                <c:pt idx="3">
                  <c:v>0.41</c:v>
                </c:pt>
              </c:numCache>
            </c:numRef>
          </c:val>
        </c:ser>
        <c:dLbls>
          <c:showLegendKey val="0"/>
          <c:showVal val="0"/>
          <c:showCatName val="0"/>
          <c:showSerName val="0"/>
          <c:showPercent val="0"/>
          <c:showBubbleSize val="0"/>
        </c:dLbls>
        <c:gapWidth val="75"/>
        <c:overlap val="40"/>
        <c:axId val="587079680"/>
        <c:axId val="56779328"/>
      </c:barChart>
      <c:catAx>
        <c:axId val="587079680"/>
        <c:scaling>
          <c:orientation val="minMax"/>
        </c:scaling>
        <c:delete val="0"/>
        <c:axPos val="b"/>
        <c:majorTickMark val="none"/>
        <c:minorTickMark val="none"/>
        <c:tickLblPos val="nextTo"/>
        <c:txPr>
          <a:bodyPr/>
          <a:lstStyle/>
          <a:p>
            <a:pPr>
              <a:defRPr sz="1200" b="0">
                <a:latin typeface="Simplified Arabic" panose="02020603050405020304" pitchFamily="18" charset="-78"/>
                <a:cs typeface="Simplified Arabic" panose="02020603050405020304" pitchFamily="18" charset="-78"/>
              </a:defRPr>
            </a:pPr>
            <a:endParaRPr lang="fr-FR"/>
          </a:p>
        </c:txPr>
        <c:crossAx val="56779328"/>
        <c:crosses val="autoZero"/>
        <c:auto val="1"/>
        <c:lblAlgn val="ctr"/>
        <c:lblOffset val="100"/>
        <c:noMultiLvlLbl val="0"/>
      </c:catAx>
      <c:valAx>
        <c:axId val="56779328"/>
        <c:scaling>
          <c:orientation val="minMax"/>
          <c:max val="1"/>
        </c:scaling>
        <c:delete val="0"/>
        <c:axPos val="l"/>
        <c:majorGridlines/>
        <c:numFmt formatCode="0.00" sourceLinked="1"/>
        <c:majorTickMark val="none"/>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fr-FR"/>
          </a:p>
        </c:txPr>
        <c:crossAx val="587079680"/>
        <c:crosses val="autoZero"/>
        <c:crossBetween val="between"/>
        <c:majorUnit val="0.2"/>
        <c:minorUnit val="4.0000000000000008E-2"/>
      </c:valAx>
    </c:plotArea>
    <c:legend>
      <c:legendPos val="r"/>
      <c:layout>
        <c:manualLayout>
          <c:xMode val="edge"/>
          <c:yMode val="edge"/>
          <c:x val="0.62394194315454155"/>
          <c:y val="0.2670369692160573"/>
          <c:w val="0.35084438163178328"/>
          <c:h val="0.29959473075344256"/>
        </c:manualLayout>
      </c:layout>
      <c:overlay val="0"/>
      <c:txPr>
        <a:bodyPr/>
        <a:lstStyle/>
        <a:p>
          <a:pPr>
            <a:defRPr sz="1200" b="0">
              <a:latin typeface="Simplified Arabic" panose="02020603050405020304" pitchFamily="18" charset="-78"/>
              <a:cs typeface="Simplified Arabic" panose="02020603050405020304" pitchFamily="18" charset="-78"/>
            </a:defRPr>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323519874700979"/>
          <c:y val="0.18108109235286268"/>
          <c:w val="0.40484726122521397"/>
          <c:h val="0.42897078940344319"/>
        </c:manualLayout>
      </c:layout>
      <c:barChart>
        <c:barDir val="col"/>
        <c:grouping val="clustered"/>
        <c:varyColors val="0"/>
        <c:ser>
          <c:idx val="0"/>
          <c:order val="0"/>
          <c:tx>
            <c:strRef>
              <c:f>'[28-11-2023 Tableaux فصل 6 (Enregistré automatiquement).xlsx]سمة الكثافة '!$M$32</c:f>
              <c:strCache>
                <c:ptCount val="1"/>
                <c:pt idx="0">
                  <c:v>النسبة بين مسافة شبكة الشوارع والمسافة الإقليدية </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dLbls>
            <c:txPr>
              <a:bodyPr/>
              <a:lstStyle/>
              <a:p>
                <a:pPr>
                  <a:defRPr sz="1200" b="0">
                    <a:latin typeface="Times New Roman" panose="02020603050405020304" pitchFamily="18" charset="0"/>
                    <a:cs typeface="Times New Roman" panose="02020603050405020304" pitchFamily="18" charset="0"/>
                  </a:defRPr>
                </a:pPr>
                <a:endParaRPr lang="fr-FR"/>
              </a:p>
            </c:txPr>
            <c:dLblPos val="inEnd"/>
            <c:showLegendKey val="0"/>
            <c:showVal val="1"/>
            <c:showCatName val="0"/>
            <c:showSerName val="0"/>
            <c:showPercent val="0"/>
            <c:showBubbleSize val="0"/>
            <c:showLeaderLines val="0"/>
          </c:dLbls>
          <c:cat>
            <c:multiLvlStrRef>
              <c:f>'[28-11-2023 Tableaux فصل 6 (Enregistré automatiquement).xlsx]سمة الكثافة '!$J$33:$L$36</c:f>
              <c:multiLvlStrCache>
                <c:ptCount val="3"/>
                <c:lvl>
                  <c:pt idx="0">
                    <c:v>1</c:v>
                  </c:pt>
                  <c:pt idx="1">
                    <c:v>2</c:v>
                  </c:pt>
                  <c:pt idx="2">
                    <c:v>3</c:v>
                  </c:pt>
                </c:lvl>
                <c:lvl>
                  <c:pt idx="0">
                    <c:v>حي الحمايد</c:v>
                  </c:pt>
                </c:lvl>
                <c:lvl>
                  <c:pt idx="0">
                    <c:v>الفئة (د)</c:v>
                  </c:pt>
                </c:lvl>
              </c:multiLvlStrCache>
            </c:multiLvlStrRef>
          </c:cat>
          <c:val>
            <c:numRef>
              <c:f>'[28-11-2023 Tableaux فصل 6 (Enregistré automatiquement).xlsx]سمة الكثافة '!$M$33:$M$35</c:f>
              <c:numCache>
                <c:formatCode>0.00</c:formatCode>
                <c:ptCount val="3"/>
                <c:pt idx="0">
                  <c:v>0.48</c:v>
                </c:pt>
                <c:pt idx="1">
                  <c:v>0.52</c:v>
                </c:pt>
                <c:pt idx="2">
                  <c:v>0.54</c:v>
                </c:pt>
              </c:numCache>
            </c:numRef>
          </c:val>
        </c:ser>
        <c:dLbls>
          <c:showLegendKey val="0"/>
          <c:showVal val="0"/>
          <c:showCatName val="0"/>
          <c:showSerName val="0"/>
          <c:showPercent val="0"/>
          <c:showBubbleSize val="0"/>
        </c:dLbls>
        <c:gapWidth val="75"/>
        <c:overlap val="40"/>
        <c:axId val="587080192"/>
        <c:axId val="56781056"/>
      </c:barChart>
      <c:catAx>
        <c:axId val="587080192"/>
        <c:scaling>
          <c:orientation val="minMax"/>
        </c:scaling>
        <c:delete val="0"/>
        <c:axPos val="b"/>
        <c:majorTickMark val="none"/>
        <c:minorTickMark val="none"/>
        <c:tickLblPos val="nextTo"/>
        <c:txPr>
          <a:bodyPr/>
          <a:lstStyle/>
          <a:p>
            <a:pPr>
              <a:defRPr sz="1200" b="0"/>
            </a:pPr>
            <a:endParaRPr lang="fr-FR"/>
          </a:p>
        </c:txPr>
        <c:crossAx val="56781056"/>
        <c:crosses val="autoZero"/>
        <c:auto val="1"/>
        <c:lblAlgn val="ctr"/>
        <c:lblOffset val="100"/>
        <c:noMultiLvlLbl val="0"/>
      </c:catAx>
      <c:valAx>
        <c:axId val="56781056"/>
        <c:scaling>
          <c:orientation val="minMax"/>
          <c:max val="1"/>
        </c:scaling>
        <c:delete val="0"/>
        <c:axPos val="l"/>
        <c:majorGridlines/>
        <c:numFmt formatCode="0.00" sourceLinked="1"/>
        <c:majorTickMark val="none"/>
        <c:minorTickMark val="none"/>
        <c:tickLblPos val="nextTo"/>
        <c:txPr>
          <a:bodyPr/>
          <a:lstStyle/>
          <a:p>
            <a:pPr>
              <a:defRPr sz="1200" b="0">
                <a:latin typeface="Times New Roman" panose="02020603050405020304" pitchFamily="18" charset="0"/>
                <a:cs typeface="Times New Roman" panose="02020603050405020304" pitchFamily="18" charset="0"/>
              </a:defRPr>
            </a:pPr>
            <a:endParaRPr lang="fr-FR"/>
          </a:p>
        </c:txPr>
        <c:crossAx val="587080192"/>
        <c:crosses val="autoZero"/>
        <c:crossBetween val="between"/>
        <c:majorUnit val="0.2"/>
        <c:minorUnit val="4.0000000000000008E-2"/>
      </c:valAx>
    </c:plotArea>
    <c:legend>
      <c:legendPos val="r"/>
      <c:layout>
        <c:manualLayout>
          <c:xMode val="edge"/>
          <c:yMode val="edge"/>
          <c:x val="0.55129018320423939"/>
          <c:y val="0.3395210529827839"/>
          <c:w val="0.43365742497446291"/>
          <c:h val="0.2459656072754452"/>
        </c:manualLayout>
      </c:layout>
      <c:overlay val="0"/>
      <c:txPr>
        <a:bodyPr/>
        <a:lstStyle/>
        <a:p>
          <a:pPr>
            <a:defRPr sz="1200" b="0">
              <a:latin typeface="Simplified Arabic" panose="02020603050405020304" pitchFamily="18" charset="-78"/>
              <a:cs typeface="Simplified Arabic" panose="02020603050405020304" pitchFamily="18" charset="-78"/>
            </a:defRPr>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343102340423215"/>
          <c:y val="0.19409528354410244"/>
          <c:w val="0.47428170026464533"/>
          <c:h val="0.48929267168622748"/>
        </c:manualLayout>
      </c:layout>
      <c:barChart>
        <c:barDir val="col"/>
        <c:grouping val="clustered"/>
        <c:varyColors val="0"/>
        <c:ser>
          <c:idx val="0"/>
          <c:order val="0"/>
          <c:tx>
            <c:strRef>
              <c:f>'سمة الكثافة '!$M$7</c:f>
              <c:strCache>
                <c:ptCount val="1"/>
                <c:pt idx="0">
                  <c:v>النسبة بين مسافة شبكة الشوارع والمسافة الإقليدية </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dLbls>
            <c:txPr>
              <a:bodyPr/>
              <a:lstStyle/>
              <a:p>
                <a:pPr>
                  <a:defRPr sz="1200" b="0">
                    <a:latin typeface="Times New Roman" panose="02020603050405020304" pitchFamily="18" charset="0"/>
                    <a:cs typeface="Times New Roman" panose="02020603050405020304" pitchFamily="18" charset="0"/>
                  </a:defRPr>
                </a:pPr>
                <a:endParaRPr lang="fr-FR"/>
              </a:p>
            </c:txPr>
            <c:dLblPos val="inEnd"/>
            <c:showLegendKey val="0"/>
            <c:showVal val="1"/>
            <c:showCatName val="0"/>
            <c:showSerName val="0"/>
            <c:showPercent val="0"/>
            <c:showBubbleSize val="0"/>
            <c:showLeaderLines val="0"/>
          </c:dLbls>
          <c:cat>
            <c:multiLvlStrRef>
              <c:f>'سمة الكثافة '!$K$8:$L$11</c:f>
              <c:multiLvlStrCache>
                <c:ptCount val="4"/>
                <c:lvl>
                  <c:pt idx="0">
                    <c:v>القصر</c:v>
                  </c:pt>
                  <c:pt idx="1">
                    <c:v>بلاتو</c:v>
                  </c:pt>
                  <c:pt idx="2">
                    <c:v>سيدي سليمان</c:v>
                  </c:pt>
                  <c:pt idx="3">
                    <c:v>الحمايد</c:v>
                  </c:pt>
                </c:lvl>
                <c:lvl>
                  <c:pt idx="0">
                    <c:v>الفئة (أ)</c:v>
                  </c:pt>
                  <c:pt idx="1">
                    <c:v>الفئة (ب)</c:v>
                  </c:pt>
                  <c:pt idx="2">
                    <c:v>الفئة (جـ)</c:v>
                  </c:pt>
                  <c:pt idx="3">
                    <c:v>الفئة (د)</c:v>
                  </c:pt>
                </c:lvl>
              </c:multiLvlStrCache>
            </c:multiLvlStrRef>
          </c:cat>
          <c:val>
            <c:numRef>
              <c:f>'سمة الكثافة '!$M$8:$M$11</c:f>
              <c:numCache>
                <c:formatCode>0.00</c:formatCode>
                <c:ptCount val="4"/>
                <c:pt idx="0">
                  <c:v>0.25</c:v>
                </c:pt>
                <c:pt idx="1">
                  <c:v>0.52</c:v>
                </c:pt>
                <c:pt idx="2">
                  <c:v>0.44</c:v>
                </c:pt>
                <c:pt idx="3">
                  <c:v>0.5</c:v>
                </c:pt>
              </c:numCache>
            </c:numRef>
          </c:val>
        </c:ser>
        <c:dLbls>
          <c:showLegendKey val="0"/>
          <c:showVal val="0"/>
          <c:showCatName val="0"/>
          <c:showSerName val="0"/>
          <c:showPercent val="0"/>
          <c:showBubbleSize val="0"/>
        </c:dLbls>
        <c:gapWidth val="75"/>
        <c:overlap val="40"/>
        <c:axId val="587082240"/>
        <c:axId val="56782784"/>
      </c:barChart>
      <c:catAx>
        <c:axId val="587082240"/>
        <c:scaling>
          <c:orientation val="minMax"/>
        </c:scaling>
        <c:delete val="0"/>
        <c:axPos val="b"/>
        <c:majorTickMark val="none"/>
        <c:minorTickMark val="none"/>
        <c:tickLblPos val="nextTo"/>
        <c:txPr>
          <a:bodyPr/>
          <a:lstStyle/>
          <a:p>
            <a:pPr>
              <a:defRPr sz="1200" b="0"/>
            </a:pPr>
            <a:endParaRPr lang="fr-FR"/>
          </a:p>
        </c:txPr>
        <c:crossAx val="56782784"/>
        <c:crosses val="autoZero"/>
        <c:auto val="1"/>
        <c:lblAlgn val="ctr"/>
        <c:lblOffset val="100"/>
        <c:noMultiLvlLbl val="0"/>
      </c:catAx>
      <c:valAx>
        <c:axId val="56782784"/>
        <c:scaling>
          <c:orientation val="minMax"/>
          <c:max val="1"/>
        </c:scaling>
        <c:delete val="0"/>
        <c:axPos val="l"/>
        <c:majorGridlines/>
        <c:numFmt formatCode="0.00" sourceLinked="1"/>
        <c:majorTickMark val="none"/>
        <c:minorTickMark val="none"/>
        <c:tickLblPos val="nextTo"/>
        <c:txPr>
          <a:bodyPr/>
          <a:lstStyle/>
          <a:p>
            <a:pPr>
              <a:defRPr sz="1200" b="0">
                <a:latin typeface="Times New Roman" panose="02020603050405020304" pitchFamily="18" charset="0"/>
                <a:cs typeface="Times New Roman" panose="02020603050405020304" pitchFamily="18" charset="0"/>
              </a:defRPr>
            </a:pPr>
            <a:endParaRPr lang="fr-FR"/>
          </a:p>
        </c:txPr>
        <c:crossAx val="587082240"/>
        <c:crosses val="autoZero"/>
        <c:crossBetween val="between"/>
        <c:majorUnit val="0.2"/>
        <c:minorUnit val="4.0000000000000008E-2"/>
      </c:valAx>
    </c:plotArea>
    <c:legend>
      <c:legendPos val="r"/>
      <c:layout>
        <c:manualLayout>
          <c:xMode val="edge"/>
          <c:yMode val="edge"/>
          <c:x val="0.60254422085607662"/>
          <c:y val="0.41787003897240116"/>
          <c:w val="0.38129784624379581"/>
          <c:h val="0.19119586614173228"/>
        </c:manualLayout>
      </c:layout>
      <c:overlay val="0"/>
      <c:txPr>
        <a:bodyPr/>
        <a:lstStyle/>
        <a:p>
          <a:pPr>
            <a:defRPr sz="1200" b="0">
              <a:latin typeface="Simplified Arabic" panose="02020603050405020304" pitchFamily="18" charset="-78"/>
              <a:cs typeface="Simplified Arabic" panose="02020603050405020304" pitchFamily="18" charset="-78"/>
            </a:defRPr>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الاوزان!$D$4</c:f>
              <c:strCache>
                <c:ptCount val="1"/>
                <c:pt idx="0">
                  <c:v>الاوزان النهائية  (%)</c:v>
                </c:pt>
              </c:strCache>
            </c:strRef>
          </c:tx>
          <c:invertIfNegative val="0"/>
          <c:cat>
            <c:strRef>
              <c:f>الاوزان!$C$5:$C$11</c:f>
              <c:strCache>
                <c:ptCount val="7"/>
                <c:pt idx="0">
                  <c:v>التكفل الطبي(C1)</c:v>
                </c:pt>
                <c:pt idx="1">
                  <c:v>الايواء المؤقت(C4)</c:v>
                </c:pt>
                <c:pt idx="2">
                  <c:v>الأمن(C3)</c:v>
                </c:pt>
                <c:pt idx="3">
                  <c:v>الإنقاذ والإجلاء(C2)</c:v>
                </c:pt>
                <c:pt idx="4">
                  <c:v>عمق الطرق الشريانية  (C7)</c:v>
                </c:pt>
                <c:pt idx="5">
                  <c:v>التضامن والتموين(C5)</c:v>
                </c:pt>
                <c:pt idx="6">
                  <c:v>كثافة البناء(C6)</c:v>
                </c:pt>
              </c:strCache>
            </c:strRef>
          </c:cat>
          <c:val>
            <c:numRef>
              <c:f>الاوزان!$D$5:$D$11</c:f>
              <c:numCache>
                <c:formatCode>General</c:formatCode>
                <c:ptCount val="7"/>
                <c:pt idx="0">
                  <c:v>20.79</c:v>
                </c:pt>
                <c:pt idx="1">
                  <c:v>19.420000000000002</c:v>
                </c:pt>
                <c:pt idx="2">
                  <c:v>17.29</c:v>
                </c:pt>
                <c:pt idx="3">
                  <c:v>12.49</c:v>
                </c:pt>
                <c:pt idx="4">
                  <c:v>11.1</c:v>
                </c:pt>
                <c:pt idx="5">
                  <c:v>10.87</c:v>
                </c:pt>
                <c:pt idx="6">
                  <c:v>8.0399999999999991</c:v>
                </c:pt>
              </c:numCache>
            </c:numRef>
          </c:val>
        </c:ser>
        <c:dLbls>
          <c:showLegendKey val="0"/>
          <c:showVal val="0"/>
          <c:showCatName val="0"/>
          <c:showSerName val="0"/>
          <c:showPercent val="0"/>
          <c:showBubbleSize val="0"/>
        </c:dLbls>
        <c:gapWidth val="150"/>
        <c:overlap val="100"/>
        <c:axId val="589045248"/>
        <c:axId val="582041600"/>
      </c:barChart>
      <c:catAx>
        <c:axId val="589045248"/>
        <c:scaling>
          <c:orientation val="minMax"/>
        </c:scaling>
        <c:delete val="0"/>
        <c:axPos val="l"/>
        <c:majorTickMark val="out"/>
        <c:minorTickMark val="none"/>
        <c:tickLblPos val="nextTo"/>
        <c:crossAx val="582041600"/>
        <c:crosses val="autoZero"/>
        <c:auto val="1"/>
        <c:lblAlgn val="ctr"/>
        <c:lblOffset val="100"/>
        <c:noMultiLvlLbl val="0"/>
      </c:catAx>
      <c:valAx>
        <c:axId val="582041600"/>
        <c:scaling>
          <c:orientation val="minMax"/>
        </c:scaling>
        <c:delete val="0"/>
        <c:axPos val="b"/>
        <c:majorGridlines/>
        <c:numFmt formatCode="General" sourceLinked="1"/>
        <c:majorTickMark val="out"/>
        <c:minorTickMark val="none"/>
        <c:tickLblPos val="nextTo"/>
        <c:crossAx val="589045248"/>
        <c:crosses val="autoZero"/>
        <c:crossBetween val="between"/>
      </c:valAx>
    </c:plotArea>
    <c:legend>
      <c:legendPos val="r"/>
      <c:layout>
        <c:manualLayout>
          <c:xMode val="edge"/>
          <c:yMode val="edge"/>
          <c:x val="0.73184165338861129"/>
          <c:y val="0.78800647518361822"/>
          <c:w val="0.22624610037694207"/>
          <c:h val="7.9050987479024143E-2"/>
        </c:manualLayout>
      </c:layout>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7231085244779202E-2"/>
          <c:y val="0.16302614950908914"/>
          <c:w val="0.75293357561074115"/>
          <c:h val="0.54816017789442995"/>
        </c:manualLayout>
      </c:layout>
      <c:barChart>
        <c:barDir val="col"/>
        <c:grouping val="clustered"/>
        <c:varyColors val="0"/>
        <c:ser>
          <c:idx val="0"/>
          <c:order val="0"/>
          <c:tx>
            <c:strRef>
              <c:f>Feuil4!$E$3:$E$4</c:f>
              <c:strCache>
                <c:ptCount val="1"/>
                <c:pt idx="0">
                  <c:v>مساحة التغطية بالخدمة (هك)</c:v>
                </c:pt>
              </c:strCache>
            </c:strRef>
          </c:tx>
          <c:spPr>
            <a:solidFill>
              <a:schemeClr val="bg1">
                <a:lumMod val="65000"/>
              </a:schemeClr>
            </a:solidFill>
            <a:ln>
              <a:solidFill>
                <a:schemeClr val="tx1"/>
              </a:solidFill>
            </a:ln>
          </c:spPr>
          <c:invertIfNegative val="0"/>
          <c:cat>
            <c:multiLvlStrRef>
              <c:f>Feuil4!$B$5:$D$18</c:f>
              <c:multiLvlStrCache>
                <c:ptCount val="14"/>
                <c:lvl>
                  <c:pt idx="0">
                    <c:v>1</c:v>
                  </c:pt>
                  <c:pt idx="1">
                    <c:v>2</c:v>
                  </c:pt>
                  <c:pt idx="2">
                    <c:v>1</c:v>
                  </c:pt>
                  <c:pt idx="3">
                    <c:v>2</c:v>
                  </c:pt>
                  <c:pt idx="4">
                    <c:v>3</c:v>
                  </c:pt>
                  <c:pt idx="5">
                    <c:v>4</c:v>
                  </c:pt>
                  <c:pt idx="6">
                    <c:v>2</c:v>
                  </c:pt>
                  <c:pt idx="7">
                    <c:v>3</c:v>
                  </c:pt>
                  <c:pt idx="8">
                    <c:v>4</c:v>
                  </c:pt>
                  <c:pt idx="9">
                    <c:v>2</c:v>
                  </c:pt>
                  <c:pt idx="10">
                    <c:v>3</c:v>
                  </c:pt>
                  <c:pt idx="11">
                    <c:v>4</c:v>
                  </c:pt>
                  <c:pt idx="12">
                    <c:v>5</c:v>
                  </c:pt>
                  <c:pt idx="13">
                    <c:v>6</c:v>
                  </c:pt>
                </c:lvl>
                <c:lvl>
                  <c:pt idx="0">
                    <c:v>القصر</c:v>
                  </c:pt>
                  <c:pt idx="2">
                    <c:v>بلاتو</c:v>
                  </c:pt>
                  <c:pt idx="6">
                    <c:v>سيدي سليمان</c:v>
                  </c:pt>
                  <c:pt idx="9">
                    <c:v>الحمايد</c:v>
                  </c:pt>
                </c:lvl>
                <c:lvl>
                  <c:pt idx="0">
                    <c:v>الفئة (أ)</c:v>
                  </c:pt>
                  <c:pt idx="2">
                    <c:v>الفئة (ب)</c:v>
                  </c:pt>
                  <c:pt idx="6">
                    <c:v>الفئة (ج)</c:v>
                  </c:pt>
                  <c:pt idx="9">
                    <c:v>الفئة (د)</c:v>
                  </c:pt>
                </c:lvl>
              </c:multiLvlStrCache>
            </c:multiLvlStrRef>
          </c:cat>
          <c:val>
            <c:numRef>
              <c:f>Feuil4!$E$5:$E$18</c:f>
              <c:numCache>
                <c:formatCode>General</c:formatCode>
                <c:ptCount val="14"/>
                <c:pt idx="0">
                  <c:v>30.89</c:v>
                </c:pt>
                <c:pt idx="1">
                  <c:v>0.15</c:v>
                </c:pt>
                <c:pt idx="2">
                  <c:v>54.04</c:v>
                </c:pt>
                <c:pt idx="3">
                  <c:v>1.93</c:v>
                </c:pt>
                <c:pt idx="4">
                  <c:v>0.43</c:v>
                </c:pt>
                <c:pt idx="5">
                  <c:v>2.83</c:v>
                </c:pt>
                <c:pt idx="6">
                  <c:v>106.02</c:v>
                </c:pt>
                <c:pt idx="7">
                  <c:v>23.9</c:v>
                </c:pt>
                <c:pt idx="8">
                  <c:v>13.14</c:v>
                </c:pt>
                <c:pt idx="9">
                  <c:v>28.16</c:v>
                </c:pt>
                <c:pt idx="10">
                  <c:v>52.28</c:v>
                </c:pt>
                <c:pt idx="11">
                  <c:v>14.98</c:v>
                </c:pt>
                <c:pt idx="12">
                  <c:v>10.42</c:v>
                </c:pt>
                <c:pt idx="13">
                  <c:v>6.16</c:v>
                </c:pt>
              </c:numCache>
            </c:numRef>
          </c:val>
        </c:ser>
        <c:ser>
          <c:idx val="1"/>
          <c:order val="1"/>
          <c:tx>
            <c:strRef>
              <c:f>Feuil4!$F$3:$F$4</c:f>
              <c:strCache>
                <c:ptCount val="1"/>
                <c:pt idx="0">
                  <c:v>قيمة التنوع (%)</c:v>
                </c:pt>
              </c:strCache>
            </c:strRef>
          </c:tx>
          <c:spPr>
            <a:solidFill>
              <a:schemeClr val="tx1">
                <a:lumMod val="85000"/>
                <a:lumOff val="15000"/>
              </a:schemeClr>
            </a:solidFill>
            <a:ln>
              <a:solidFill>
                <a:schemeClr val="tx1"/>
              </a:solidFill>
            </a:ln>
          </c:spPr>
          <c:invertIfNegative val="0"/>
          <c:cat>
            <c:multiLvlStrRef>
              <c:f>Feuil4!$B$5:$D$18</c:f>
              <c:multiLvlStrCache>
                <c:ptCount val="14"/>
                <c:lvl>
                  <c:pt idx="0">
                    <c:v>1</c:v>
                  </c:pt>
                  <c:pt idx="1">
                    <c:v>2</c:v>
                  </c:pt>
                  <c:pt idx="2">
                    <c:v>1</c:v>
                  </c:pt>
                  <c:pt idx="3">
                    <c:v>2</c:v>
                  </c:pt>
                  <c:pt idx="4">
                    <c:v>3</c:v>
                  </c:pt>
                  <c:pt idx="5">
                    <c:v>4</c:v>
                  </c:pt>
                  <c:pt idx="6">
                    <c:v>2</c:v>
                  </c:pt>
                  <c:pt idx="7">
                    <c:v>3</c:v>
                  </c:pt>
                  <c:pt idx="8">
                    <c:v>4</c:v>
                  </c:pt>
                  <c:pt idx="9">
                    <c:v>2</c:v>
                  </c:pt>
                  <c:pt idx="10">
                    <c:v>3</c:v>
                  </c:pt>
                  <c:pt idx="11">
                    <c:v>4</c:v>
                  </c:pt>
                  <c:pt idx="12">
                    <c:v>5</c:v>
                  </c:pt>
                  <c:pt idx="13">
                    <c:v>6</c:v>
                  </c:pt>
                </c:lvl>
                <c:lvl>
                  <c:pt idx="0">
                    <c:v>القصر</c:v>
                  </c:pt>
                  <c:pt idx="2">
                    <c:v>بلاتو</c:v>
                  </c:pt>
                  <c:pt idx="6">
                    <c:v>سيدي سليمان</c:v>
                  </c:pt>
                  <c:pt idx="9">
                    <c:v>الحمايد</c:v>
                  </c:pt>
                </c:lvl>
                <c:lvl>
                  <c:pt idx="0">
                    <c:v>الفئة (أ)</c:v>
                  </c:pt>
                  <c:pt idx="2">
                    <c:v>الفئة (ب)</c:v>
                  </c:pt>
                  <c:pt idx="6">
                    <c:v>الفئة (ج)</c:v>
                  </c:pt>
                  <c:pt idx="9">
                    <c:v>الفئة (د)</c:v>
                  </c:pt>
                </c:lvl>
              </c:multiLvlStrCache>
            </c:multiLvlStrRef>
          </c:cat>
          <c:val>
            <c:numRef>
              <c:f>Feuil4!$F$5:$F$18</c:f>
              <c:numCache>
                <c:formatCode>General</c:formatCode>
                <c:ptCount val="14"/>
                <c:pt idx="0">
                  <c:v>100</c:v>
                </c:pt>
                <c:pt idx="1">
                  <c:v>58.84</c:v>
                </c:pt>
                <c:pt idx="2">
                  <c:v>100</c:v>
                </c:pt>
                <c:pt idx="3">
                  <c:v>78.62</c:v>
                </c:pt>
                <c:pt idx="4">
                  <c:v>52.91</c:v>
                </c:pt>
                <c:pt idx="5">
                  <c:v>28.89</c:v>
                </c:pt>
                <c:pt idx="6">
                  <c:v>63.17</c:v>
                </c:pt>
                <c:pt idx="7">
                  <c:v>39.15</c:v>
                </c:pt>
                <c:pt idx="8">
                  <c:v>37.46</c:v>
                </c:pt>
                <c:pt idx="9">
                  <c:v>74.290000000000006</c:v>
                </c:pt>
                <c:pt idx="10">
                  <c:v>63.17</c:v>
                </c:pt>
                <c:pt idx="11">
                  <c:v>37.46</c:v>
                </c:pt>
                <c:pt idx="12">
                  <c:v>24.02</c:v>
                </c:pt>
                <c:pt idx="13">
                  <c:v>0</c:v>
                </c:pt>
              </c:numCache>
            </c:numRef>
          </c:val>
        </c:ser>
        <c:ser>
          <c:idx val="2"/>
          <c:order val="2"/>
          <c:tx>
            <c:strRef>
              <c:f>Feuil4!$G$3:$G$4</c:f>
              <c:strCache>
                <c:ptCount val="1"/>
                <c:pt idx="0">
                  <c:v>درجة التنوع</c:v>
                </c:pt>
              </c:strCache>
            </c:strRef>
          </c:tx>
          <c:invertIfNegative val="0"/>
          <c:cat>
            <c:multiLvlStrRef>
              <c:f>Feuil4!$B$5:$D$18</c:f>
              <c:multiLvlStrCache>
                <c:ptCount val="14"/>
                <c:lvl>
                  <c:pt idx="0">
                    <c:v>1</c:v>
                  </c:pt>
                  <c:pt idx="1">
                    <c:v>2</c:v>
                  </c:pt>
                  <c:pt idx="2">
                    <c:v>1</c:v>
                  </c:pt>
                  <c:pt idx="3">
                    <c:v>2</c:v>
                  </c:pt>
                  <c:pt idx="4">
                    <c:v>3</c:v>
                  </c:pt>
                  <c:pt idx="5">
                    <c:v>4</c:v>
                  </c:pt>
                  <c:pt idx="6">
                    <c:v>2</c:v>
                  </c:pt>
                  <c:pt idx="7">
                    <c:v>3</c:v>
                  </c:pt>
                  <c:pt idx="8">
                    <c:v>4</c:v>
                  </c:pt>
                  <c:pt idx="9">
                    <c:v>2</c:v>
                  </c:pt>
                  <c:pt idx="10">
                    <c:v>3</c:v>
                  </c:pt>
                  <c:pt idx="11">
                    <c:v>4</c:v>
                  </c:pt>
                  <c:pt idx="12">
                    <c:v>5</c:v>
                  </c:pt>
                  <c:pt idx="13">
                    <c:v>6</c:v>
                  </c:pt>
                </c:lvl>
                <c:lvl>
                  <c:pt idx="0">
                    <c:v>القصر</c:v>
                  </c:pt>
                  <c:pt idx="2">
                    <c:v>بلاتو</c:v>
                  </c:pt>
                  <c:pt idx="6">
                    <c:v>سيدي سليمان</c:v>
                  </c:pt>
                  <c:pt idx="9">
                    <c:v>الحمايد</c:v>
                  </c:pt>
                </c:lvl>
                <c:lvl>
                  <c:pt idx="0">
                    <c:v>الفئة (أ)</c:v>
                  </c:pt>
                  <c:pt idx="2">
                    <c:v>الفئة (ب)</c:v>
                  </c:pt>
                  <c:pt idx="6">
                    <c:v>الفئة (ج)</c:v>
                  </c:pt>
                  <c:pt idx="9">
                    <c:v>الفئة (د)</c:v>
                  </c:pt>
                </c:lvl>
              </c:multiLvlStrCache>
            </c:multiLvlStrRef>
          </c:cat>
          <c:val>
            <c:numRef>
              <c:f>Feuil4!$G$5:$G$18</c:f>
              <c:numCache>
                <c:formatCode>General</c:formatCode>
                <c:ptCount val="14"/>
                <c:pt idx="0">
                  <c:v>0</c:v>
                </c:pt>
                <c:pt idx="1">
                  <c:v>0</c:v>
                </c:pt>
                <c:pt idx="2">
                  <c:v>0</c:v>
                </c:pt>
                <c:pt idx="3">
                  <c:v>0</c:v>
                </c:pt>
                <c:pt idx="4">
                  <c:v>0</c:v>
                </c:pt>
                <c:pt idx="5">
                  <c:v>0</c:v>
                </c:pt>
                <c:pt idx="6">
                  <c:v>0</c:v>
                </c:pt>
                <c:pt idx="7">
                  <c:v>0</c:v>
                </c:pt>
                <c:pt idx="8">
                  <c:v>0</c:v>
                </c:pt>
                <c:pt idx="9">
                  <c:v>0</c:v>
                </c:pt>
                <c:pt idx="10">
                  <c:v>0</c:v>
                </c:pt>
                <c:pt idx="11">
                  <c:v>0</c:v>
                </c:pt>
                <c:pt idx="12">
                  <c:v>0</c:v>
                </c:pt>
                <c:pt idx="13">
                  <c:v>0</c:v>
                </c:pt>
              </c:numCache>
            </c:numRef>
          </c:val>
        </c:ser>
        <c:dLbls>
          <c:showLegendKey val="0"/>
          <c:showVal val="0"/>
          <c:showCatName val="0"/>
          <c:showSerName val="0"/>
          <c:showPercent val="0"/>
          <c:showBubbleSize val="0"/>
        </c:dLbls>
        <c:gapWidth val="150"/>
        <c:axId val="593307136"/>
        <c:axId val="56786240"/>
      </c:barChart>
      <c:catAx>
        <c:axId val="593307136"/>
        <c:scaling>
          <c:orientation val="minMax"/>
        </c:scaling>
        <c:delete val="0"/>
        <c:axPos val="b"/>
        <c:majorTickMark val="out"/>
        <c:minorTickMark val="none"/>
        <c:tickLblPos val="nextTo"/>
        <c:txPr>
          <a:bodyPr/>
          <a:lstStyle/>
          <a:p>
            <a:pPr>
              <a:defRPr b="1"/>
            </a:pPr>
            <a:endParaRPr lang="fr-FR"/>
          </a:p>
        </c:txPr>
        <c:crossAx val="56786240"/>
        <c:crosses val="autoZero"/>
        <c:auto val="1"/>
        <c:lblAlgn val="ctr"/>
        <c:lblOffset val="100"/>
        <c:noMultiLvlLbl val="0"/>
      </c:catAx>
      <c:valAx>
        <c:axId val="56786240"/>
        <c:scaling>
          <c:orientation val="minMax"/>
        </c:scaling>
        <c:delete val="0"/>
        <c:axPos val="l"/>
        <c:majorGridlines/>
        <c:numFmt formatCode="General" sourceLinked="1"/>
        <c:majorTickMark val="out"/>
        <c:minorTickMark val="none"/>
        <c:tickLblPos val="nextTo"/>
        <c:txPr>
          <a:bodyPr/>
          <a:lstStyle/>
          <a:p>
            <a:pPr>
              <a:defRPr sz="1050" b="1"/>
            </a:pPr>
            <a:endParaRPr lang="fr-FR"/>
          </a:p>
        </c:txPr>
        <c:crossAx val="593307136"/>
        <c:crosses val="autoZero"/>
        <c:crossBetween val="between"/>
      </c:valAx>
    </c:plotArea>
    <c:legend>
      <c:legendPos val="r"/>
      <c:legendEntry>
        <c:idx val="2"/>
        <c:delete val="1"/>
      </c:legendEntry>
      <c:layout>
        <c:manualLayout>
          <c:xMode val="edge"/>
          <c:yMode val="edge"/>
          <c:x val="0.82704790596827571"/>
          <c:y val="0.41628268688636144"/>
          <c:w val="0.17019851648978659"/>
          <c:h val="0.22761956838728492"/>
        </c:manualLayout>
      </c:layout>
      <c:overlay val="0"/>
    </c:legend>
    <c:plotVisOnly val="1"/>
    <c:dispBlanksAs val="gap"/>
    <c:showDLblsOverMax val="0"/>
  </c:chart>
  <c:spPr>
    <a:ln>
      <a:solidFill>
        <a:schemeClr val="tx1"/>
      </a:solidFill>
    </a:ln>
  </c:spPr>
  <c:txPr>
    <a:bodyPr/>
    <a:lstStyle/>
    <a:p>
      <a:pPr>
        <a:defRPr sz="1000"/>
      </a:pPr>
      <a:endParaRPr lang="fr-FR"/>
    </a:p>
  </c:txPr>
  <c:externalData r:id="rId1">
    <c:autoUpdate val="0"/>
  </c:externalData>
  <c:userShapes r:id="rId2"/>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355318532306323"/>
          <c:y val="0.14158690045212322"/>
          <c:w val="0.5007347455459461"/>
          <c:h val="0.57805083425852899"/>
        </c:manualLayout>
      </c:layout>
      <c:barChart>
        <c:barDir val="col"/>
        <c:grouping val="clustered"/>
        <c:varyColors val="0"/>
        <c:ser>
          <c:idx val="1"/>
          <c:order val="0"/>
          <c:tx>
            <c:strRef>
              <c:f>'سمة الاتصال'!$D$2:$D$3</c:f>
              <c:strCache>
                <c:ptCount val="1"/>
                <c:pt idx="0">
                  <c:v>متوسط عمق الطرق الرئيسية والثانوية (م)</c:v>
                </c:pt>
              </c:strCache>
            </c:strRef>
          </c:tx>
          <c:spPr>
            <a:solidFill>
              <a:schemeClr val="tx1">
                <a:lumMod val="65000"/>
                <a:lumOff val="35000"/>
              </a:schemeClr>
            </a:solidFill>
            <a:ln>
              <a:solidFill>
                <a:schemeClr val="tx1"/>
              </a:solidFill>
            </a:ln>
          </c:spPr>
          <c:invertIfNegative val="0"/>
          <c:cat>
            <c:multiLvlStrRef>
              <c:f>'سمة الاتصال'!$B$4:$C$7</c:f>
              <c:multiLvlStrCache>
                <c:ptCount val="4"/>
                <c:lvl>
                  <c:pt idx="0">
                    <c:v>القصر</c:v>
                  </c:pt>
                  <c:pt idx="1">
                    <c:v>بلاتو</c:v>
                  </c:pt>
                  <c:pt idx="2">
                    <c:v>سيدي سليمان</c:v>
                  </c:pt>
                  <c:pt idx="3">
                    <c:v>الحمايد</c:v>
                  </c:pt>
                </c:lvl>
                <c:lvl>
                  <c:pt idx="0">
                    <c:v>الفئة أ</c:v>
                  </c:pt>
                  <c:pt idx="1">
                    <c:v>الفئة ب</c:v>
                  </c:pt>
                  <c:pt idx="2">
                    <c:v>الفئة جـ</c:v>
                  </c:pt>
                  <c:pt idx="3">
                    <c:v>الفئة د</c:v>
                  </c:pt>
                </c:lvl>
              </c:multiLvlStrCache>
            </c:multiLvlStrRef>
          </c:cat>
          <c:val>
            <c:numRef>
              <c:f>'سمة الاتصال'!$D$4:$D$7</c:f>
              <c:numCache>
                <c:formatCode>General</c:formatCode>
                <c:ptCount val="4"/>
                <c:pt idx="0">
                  <c:v>670</c:v>
                </c:pt>
                <c:pt idx="1">
                  <c:v>530</c:v>
                </c:pt>
                <c:pt idx="2">
                  <c:v>1253</c:v>
                </c:pt>
                <c:pt idx="3">
                  <c:v>863</c:v>
                </c:pt>
              </c:numCache>
            </c:numRef>
          </c:val>
        </c:ser>
        <c:dLbls>
          <c:showLegendKey val="0"/>
          <c:showVal val="0"/>
          <c:showCatName val="0"/>
          <c:showSerName val="0"/>
          <c:showPercent val="0"/>
          <c:showBubbleSize val="0"/>
        </c:dLbls>
        <c:gapWidth val="150"/>
        <c:axId val="593309184"/>
        <c:axId val="587065600"/>
      </c:barChart>
      <c:catAx>
        <c:axId val="593309184"/>
        <c:scaling>
          <c:orientation val="minMax"/>
        </c:scaling>
        <c:delete val="0"/>
        <c:axPos val="b"/>
        <c:majorTickMark val="out"/>
        <c:minorTickMark val="none"/>
        <c:tickLblPos val="nextTo"/>
        <c:txPr>
          <a:bodyPr/>
          <a:lstStyle/>
          <a:p>
            <a:pPr>
              <a:defRPr sz="1100" b="1"/>
            </a:pPr>
            <a:endParaRPr lang="fr-FR"/>
          </a:p>
        </c:txPr>
        <c:crossAx val="587065600"/>
        <c:crosses val="autoZero"/>
        <c:auto val="1"/>
        <c:lblAlgn val="ctr"/>
        <c:lblOffset val="100"/>
        <c:noMultiLvlLbl val="0"/>
      </c:catAx>
      <c:valAx>
        <c:axId val="587065600"/>
        <c:scaling>
          <c:orientation val="minMax"/>
        </c:scaling>
        <c:delete val="0"/>
        <c:axPos val="l"/>
        <c:majorGridlines/>
        <c:numFmt formatCode="General" sourceLinked="1"/>
        <c:majorTickMark val="out"/>
        <c:minorTickMark val="none"/>
        <c:tickLblPos val="nextTo"/>
        <c:txPr>
          <a:bodyPr/>
          <a:lstStyle/>
          <a:p>
            <a:pPr>
              <a:defRPr sz="1100" b="0">
                <a:latin typeface="Times New Roman" panose="02020603050405020304" pitchFamily="18" charset="0"/>
                <a:cs typeface="Times New Roman" panose="02020603050405020304" pitchFamily="18" charset="0"/>
              </a:defRPr>
            </a:pPr>
            <a:endParaRPr lang="fr-FR"/>
          </a:p>
        </c:txPr>
        <c:crossAx val="593309184"/>
        <c:crosses val="autoZero"/>
        <c:crossBetween val="between"/>
      </c:valAx>
    </c:plotArea>
    <c:legend>
      <c:legendPos val="r"/>
      <c:layout>
        <c:manualLayout>
          <c:xMode val="edge"/>
          <c:yMode val="edge"/>
          <c:x val="0.62684685904233317"/>
          <c:y val="0.49715396424503527"/>
          <c:w val="0.36958430605031467"/>
          <c:h val="0.19196820068736706"/>
        </c:manualLayout>
      </c:layout>
      <c:overlay val="0"/>
      <c:txPr>
        <a:bodyPr/>
        <a:lstStyle/>
        <a:p>
          <a:pPr>
            <a:defRPr sz="1200" b="0">
              <a:latin typeface="Simplified Arabic" panose="02020603050405020304" pitchFamily="18" charset="-78"/>
              <a:cs typeface="Simplified Arabic" panose="02020603050405020304" pitchFamily="18" charset="-78"/>
            </a:defRPr>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9.3002405949256337E-2"/>
          <c:y val="0.1484631087780694"/>
          <c:w val="0.59027652918120033"/>
          <c:h val="0.60278476684667293"/>
        </c:manualLayout>
      </c:layout>
      <c:barChart>
        <c:barDir val="col"/>
        <c:grouping val="clustered"/>
        <c:varyColors val="0"/>
        <c:ser>
          <c:idx val="1"/>
          <c:order val="0"/>
          <c:tx>
            <c:strRef>
              <c:f>'تكرار معدل'!$E$48</c:f>
              <c:strCache>
                <c:ptCount val="1"/>
                <c:pt idx="0">
                  <c:v>نسبة العقد الموصولة</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cat>
            <c:multiLvlStrRef>
              <c:f>'تكرار معدل'!$B$49:$C$52</c:f>
              <c:multiLvlStrCache>
                <c:ptCount val="4"/>
                <c:lvl>
                  <c:pt idx="0">
                    <c:v>القصر</c:v>
                  </c:pt>
                  <c:pt idx="1">
                    <c:v>بلاتو</c:v>
                  </c:pt>
                  <c:pt idx="2">
                    <c:v>سيدي سليمان</c:v>
                  </c:pt>
                  <c:pt idx="3">
                    <c:v>الحمايد</c:v>
                  </c:pt>
                </c:lvl>
                <c:lvl>
                  <c:pt idx="0">
                    <c:v>الفئة أ</c:v>
                  </c:pt>
                  <c:pt idx="1">
                    <c:v>الفئة ب</c:v>
                  </c:pt>
                  <c:pt idx="2">
                    <c:v>الفئة جـ</c:v>
                  </c:pt>
                  <c:pt idx="3">
                    <c:v>الفئة د</c:v>
                  </c:pt>
                </c:lvl>
              </c:multiLvlStrCache>
            </c:multiLvlStrRef>
          </c:cat>
          <c:val>
            <c:numRef>
              <c:f>'تكرار معدل'!$E$49:$E$52</c:f>
              <c:numCache>
                <c:formatCode>0</c:formatCode>
                <c:ptCount val="4"/>
                <c:pt idx="0" formatCode="0.00">
                  <c:v>0.83</c:v>
                </c:pt>
                <c:pt idx="1">
                  <c:v>1</c:v>
                </c:pt>
                <c:pt idx="2" formatCode="0.00">
                  <c:v>0.96</c:v>
                </c:pt>
                <c:pt idx="3">
                  <c:v>1</c:v>
                </c:pt>
              </c:numCache>
            </c:numRef>
          </c:val>
        </c:ser>
        <c:ser>
          <c:idx val="2"/>
          <c:order val="1"/>
          <c:tx>
            <c:strRef>
              <c:f>'تكرار معدل'!$F$48</c:f>
              <c:strCache>
                <c:ptCount val="1"/>
                <c:pt idx="0">
                  <c:v>نسبة وصلة-العقد</c:v>
                </c:pt>
              </c:strCache>
            </c:strRef>
          </c:tx>
          <c:spPr>
            <a:solidFill>
              <a:schemeClr val="tx1">
                <a:lumMod val="65000"/>
                <a:lumOff val="35000"/>
              </a:schemeClr>
            </a:solidFill>
            <a:ln>
              <a:solidFill>
                <a:schemeClr val="tx1"/>
              </a:solidFill>
            </a:ln>
          </c:spPr>
          <c:invertIfNegative val="0"/>
          <c:cat>
            <c:multiLvlStrRef>
              <c:f>'تكرار معدل'!$B$49:$C$52</c:f>
              <c:multiLvlStrCache>
                <c:ptCount val="4"/>
                <c:lvl>
                  <c:pt idx="0">
                    <c:v>القصر</c:v>
                  </c:pt>
                  <c:pt idx="1">
                    <c:v>بلاتو</c:v>
                  </c:pt>
                  <c:pt idx="2">
                    <c:v>سيدي سليمان</c:v>
                  </c:pt>
                  <c:pt idx="3">
                    <c:v>الحمايد</c:v>
                  </c:pt>
                </c:lvl>
                <c:lvl>
                  <c:pt idx="0">
                    <c:v>الفئة أ</c:v>
                  </c:pt>
                  <c:pt idx="1">
                    <c:v>الفئة ب</c:v>
                  </c:pt>
                  <c:pt idx="2">
                    <c:v>الفئة جـ</c:v>
                  </c:pt>
                  <c:pt idx="3">
                    <c:v>الفئة د</c:v>
                  </c:pt>
                </c:lvl>
              </c:multiLvlStrCache>
            </c:multiLvlStrRef>
          </c:cat>
          <c:val>
            <c:numRef>
              <c:f>'تكرار معدل'!$F$49:$F$52</c:f>
              <c:numCache>
                <c:formatCode>0.00</c:formatCode>
                <c:ptCount val="4"/>
                <c:pt idx="0">
                  <c:v>1.31</c:v>
                </c:pt>
                <c:pt idx="1">
                  <c:v>1.44</c:v>
                </c:pt>
                <c:pt idx="2">
                  <c:v>1.35</c:v>
                </c:pt>
                <c:pt idx="3">
                  <c:v>1.52</c:v>
                </c:pt>
              </c:numCache>
            </c:numRef>
          </c:val>
        </c:ser>
        <c:dLbls>
          <c:showLegendKey val="0"/>
          <c:showVal val="0"/>
          <c:showCatName val="0"/>
          <c:showSerName val="0"/>
          <c:showPercent val="0"/>
          <c:showBubbleSize val="0"/>
        </c:dLbls>
        <c:gapWidth val="150"/>
        <c:axId val="593723392"/>
        <c:axId val="587067328"/>
      </c:barChart>
      <c:catAx>
        <c:axId val="593723392"/>
        <c:scaling>
          <c:orientation val="minMax"/>
        </c:scaling>
        <c:delete val="0"/>
        <c:axPos val="b"/>
        <c:majorTickMark val="out"/>
        <c:minorTickMark val="none"/>
        <c:tickLblPos val="nextTo"/>
        <c:txPr>
          <a:bodyPr/>
          <a:lstStyle/>
          <a:p>
            <a:pPr>
              <a:defRPr sz="1100" b="1"/>
            </a:pPr>
            <a:endParaRPr lang="fr-FR"/>
          </a:p>
        </c:txPr>
        <c:crossAx val="587067328"/>
        <c:crosses val="autoZero"/>
        <c:auto val="1"/>
        <c:lblAlgn val="ctr"/>
        <c:lblOffset val="100"/>
        <c:noMultiLvlLbl val="0"/>
      </c:catAx>
      <c:valAx>
        <c:axId val="587067328"/>
        <c:scaling>
          <c:orientation val="minMax"/>
        </c:scaling>
        <c:delete val="0"/>
        <c:axPos val="l"/>
        <c:majorGridlines/>
        <c:numFmt formatCode="0.00" sourceLinked="1"/>
        <c:majorTickMark val="out"/>
        <c:minorTickMark val="none"/>
        <c:tickLblPos val="nextTo"/>
        <c:txPr>
          <a:bodyPr/>
          <a:lstStyle/>
          <a:p>
            <a:pPr>
              <a:defRPr sz="1100" b="0">
                <a:latin typeface="Times New Roman" panose="02020603050405020304" pitchFamily="18" charset="0"/>
                <a:cs typeface="Times New Roman" panose="02020603050405020304" pitchFamily="18" charset="0"/>
              </a:defRPr>
            </a:pPr>
            <a:endParaRPr lang="fr-FR"/>
          </a:p>
        </c:txPr>
        <c:crossAx val="593723392"/>
        <c:crosses val="autoZero"/>
        <c:crossBetween val="between"/>
      </c:valAx>
    </c:plotArea>
    <c:legend>
      <c:legendPos val="r"/>
      <c:layout>
        <c:manualLayout>
          <c:xMode val="edge"/>
          <c:yMode val="edge"/>
          <c:x val="0.73651568130254907"/>
          <c:y val="0.42462808310577338"/>
          <c:w val="0.24588816228479915"/>
          <c:h val="0.33520082716933108"/>
        </c:manualLayout>
      </c:layout>
      <c:overlay val="0"/>
      <c:txPr>
        <a:bodyPr/>
        <a:lstStyle/>
        <a:p>
          <a:pPr>
            <a:defRPr sz="1000" b="1"/>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4090227851953288"/>
          <c:y val="0.1589501312335958"/>
          <c:w val="0.56533264863631172"/>
          <c:h val="0.49859069143074675"/>
        </c:manualLayout>
      </c:layout>
      <c:barChart>
        <c:barDir val="col"/>
        <c:grouping val="clustered"/>
        <c:varyColors val="0"/>
        <c:ser>
          <c:idx val="0"/>
          <c:order val="0"/>
          <c:tx>
            <c:strRef>
              <c:f>'تكرار معدل'!$D$48</c:f>
              <c:strCache>
                <c:ptCount val="1"/>
                <c:pt idx="0">
                  <c:v>كثافة شبكة الشوارع (كم/كم2)</c:v>
                </c:pt>
              </c:strCache>
            </c:strRef>
          </c:tx>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invertIfNegative val="0"/>
          <c:cat>
            <c:multiLvlStrRef>
              <c:f>'تكرار معدل'!$B$49:$C$52</c:f>
              <c:multiLvlStrCache>
                <c:ptCount val="4"/>
                <c:lvl>
                  <c:pt idx="0">
                    <c:v>القصر</c:v>
                  </c:pt>
                  <c:pt idx="1">
                    <c:v>بلاتو</c:v>
                  </c:pt>
                  <c:pt idx="2">
                    <c:v>سيدي سليمان</c:v>
                  </c:pt>
                  <c:pt idx="3">
                    <c:v>الحمايد</c:v>
                  </c:pt>
                </c:lvl>
                <c:lvl>
                  <c:pt idx="0">
                    <c:v>الفئة أ</c:v>
                  </c:pt>
                  <c:pt idx="1">
                    <c:v>الفئة ب</c:v>
                  </c:pt>
                  <c:pt idx="2">
                    <c:v>الفئة جـ</c:v>
                  </c:pt>
                  <c:pt idx="3">
                    <c:v>الفئة د</c:v>
                  </c:pt>
                </c:lvl>
              </c:multiLvlStrCache>
            </c:multiLvlStrRef>
          </c:cat>
          <c:val>
            <c:numRef>
              <c:f>'تكرار معدل'!$D$49:$D$52</c:f>
              <c:numCache>
                <c:formatCode>0.00</c:formatCode>
                <c:ptCount val="4"/>
                <c:pt idx="0">
                  <c:v>27.35</c:v>
                </c:pt>
                <c:pt idx="1">
                  <c:v>28.2</c:v>
                </c:pt>
                <c:pt idx="2">
                  <c:v>26.53</c:v>
                </c:pt>
                <c:pt idx="3">
                  <c:v>27.52</c:v>
                </c:pt>
              </c:numCache>
            </c:numRef>
          </c:val>
        </c:ser>
        <c:dLbls>
          <c:showLegendKey val="0"/>
          <c:showVal val="0"/>
          <c:showCatName val="0"/>
          <c:showSerName val="0"/>
          <c:showPercent val="0"/>
          <c:showBubbleSize val="0"/>
        </c:dLbls>
        <c:gapWidth val="150"/>
        <c:axId val="593308160"/>
        <c:axId val="587069056"/>
      </c:barChart>
      <c:catAx>
        <c:axId val="593308160"/>
        <c:scaling>
          <c:orientation val="minMax"/>
        </c:scaling>
        <c:delete val="0"/>
        <c:axPos val="b"/>
        <c:majorTickMark val="out"/>
        <c:minorTickMark val="none"/>
        <c:tickLblPos val="nextTo"/>
        <c:txPr>
          <a:bodyPr/>
          <a:lstStyle/>
          <a:p>
            <a:pPr>
              <a:defRPr sz="1000" b="1"/>
            </a:pPr>
            <a:endParaRPr lang="fr-FR"/>
          </a:p>
        </c:txPr>
        <c:crossAx val="587069056"/>
        <c:crossesAt val="0"/>
        <c:auto val="1"/>
        <c:lblAlgn val="ctr"/>
        <c:lblOffset val="100"/>
        <c:noMultiLvlLbl val="0"/>
      </c:catAx>
      <c:valAx>
        <c:axId val="587069056"/>
        <c:scaling>
          <c:orientation val="minMax"/>
          <c:max val="50"/>
        </c:scaling>
        <c:delete val="0"/>
        <c:axPos val="l"/>
        <c:majorGridlines/>
        <c:numFmt formatCode="0" sourceLinked="0"/>
        <c:majorTickMark val="out"/>
        <c:minorTickMark val="none"/>
        <c:tickLblPos val="nextTo"/>
        <c:txPr>
          <a:bodyPr/>
          <a:lstStyle/>
          <a:p>
            <a:pPr>
              <a:defRPr sz="1100" b="0">
                <a:latin typeface="Times New Roman" panose="02020603050405020304" pitchFamily="18" charset="0"/>
                <a:cs typeface="Times New Roman" panose="02020603050405020304" pitchFamily="18" charset="0"/>
              </a:defRPr>
            </a:pPr>
            <a:endParaRPr lang="fr-FR"/>
          </a:p>
        </c:txPr>
        <c:crossAx val="593308160"/>
        <c:crosses val="autoZero"/>
        <c:crossBetween val="between"/>
      </c:valAx>
    </c:plotArea>
    <c:legend>
      <c:legendPos val="r"/>
      <c:legendEntry>
        <c:idx val="0"/>
        <c:txPr>
          <a:bodyPr/>
          <a:lstStyle/>
          <a:p>
            <a:pPr>
              <a:defRPr b="1">
                <a:latin typeface="Times New Roman"/>
                <a:cs typeface="Times New Roman"/>
              </a:defRPr>
            </a:pPr>
            <a:endParaRPr lang="fr-FR"/>
          </a:p>
        </c:txPr>
      </c:legendEntry>
      <c:layout>
        <c:manualLayout>
          <c:xMode val="edge"/>
          <c:yMode val="edge"/>
          <c:x val="0.70125223477500098"/>
          <c:y val="0.41308048326020314"/>
          <c:w val="0.29413404846133362"/>
          <c:h val="0.24301697020696841"/>
        </c:manualLayout>
      </c:layout>
      <c:overlay val="0"/>
      <c:txPr>
        <a:bodyPr/>
        <a:lstStyle/>
        <a:p>
          <a:pPr>
            <a:defRPr b="1"/>
          </a:pPr>
          <a:endParaRPr lang="fr-FR"/>
        </a:p>
      </c:txPr>
    </c:legend>
    <c:plotVisOnly val="1"/>
    <c:dispBlanksAs val="gap"/>
    <c:showDLblsOverMax val="0"/>
  </c:chart>
  <c:spPr>
    <a:ln>
      <a:solidFill>
        <a:schemeClr val="tx1"/>
      </a:solidFill>
    </a:ln>
  </c:sp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9992163726126813"/>
          <c:y val="4.402630406055251E-2"/>
          <c:w val="0.53579987343285984"/>
          <c:h val="0.78495485775382312"/>
        </c:manualLayout>
      </c:layout>
      <c:barChart>
        <c:barDir val="col"/>
        <c:grouping val="stacked"/>
        <c:varyColors val="0"/>
        <c:ser>
          <c:idx val="0"/>
          <c:order val="0"/>
          <c:tx>
            <c:strRef>
              <c:f>'نسب النوع'!$C$5:$C$6</c:f>
              <c:strCache>
                <c:ptCount val="1"/>
                <c:pt idx="0">
                  <c:v>ذكور</c:v>
                </c:pt>
              </c:strCache>
            </c:strRef>
          </c:tx>
          <c:invertIfNegative val="0"/>
          <c:cat>
            <c:strRef>
              <c:f>'نسب النوع'!$B$7:$B$10</c:f>
              <c:strCache>
                <c:ptCount val="4"/>
                <c:pt idx="0">
                  <c:v>سيدي سليمان</c:v>
                </c:pt>
                <c:pt idx="1">
                  <c:v>ميطر</c:v>
                </c:pt>
                <c:pt idx="2">
                  <c:v>الحمايد</c:v>
                </c:pt>
                <c:pt idx="3">
                  <c:v>الباطن </c:v>
                </c:pt>
              </c:strCache>
            </c:strRef>
          </c:cat>
          <c:val>
            <c:numRef>
              <c:f>'نسب النوع'!$C$7:$C$10</c:f>
              <c:numCache>
                <c:formatCode>0.00</c:formatCode>
                <c:ptCount val="4"/>
                <c:pt idx="0">
                  <c:v>64.15584415584415</c:v>
                </c:pt>
                <c:pt idx="1">
                  <c:v>58.701298701298704</c:v>
                </c:pt>
                <c:pt idx="2">
                  <c:v>65.714285714285708</c:v>
                </c:pt>
                <c:pt idx="3">
                  <c:v>72.987012987012989</c:v>
                </c:pt>
              </c:numCache>
            </c:numRef>
          </c:val>
        </c:ser>
        <c:ser>
          <c:idx val="1"/>
          <c:order val="1"/>
          <c:tx>
            <c:strRef>
              <c:f>'نسب النوع'!$D$5:$D$6</c:f>
              <c:strCache>
                <c:ptCount val="1"/>
                <c:pt idx="0">
                  <c:v>إناث</c:v>
                </c:pt>
              </c:strCache>
            </c:strRef>
          </c:tx>
          <c:invertIfNegative val="0"/>
          <c:cat>
            <c:strRef>
              <c:f>'نسب النوع'!$B$7:$B$10</c:f>
              <c:strCache>
                <c:ptCount val="4"/>
                <c:pt idx="0">
                  <c:v>سيدي سليمان</c:v>
                </c:pt>
                <c:pt idx="1">
                  <c:v>ميطر</c:v>
                </c:pt>
                <c:pt idx="2">
                  <c:v>الحمايد</c:v>
                </c:pt>
                <c:pt idx="3">
                  <c:v>الباطن </c:v>
                </c:pt>
              </c:strCache>
            </c:strRef>
          </c:cat>
          <c:val>
            <c:numRef>
              <c:f>'نسب النوع'!$D$7:$D$10</c:f>
              <c:numCache>
                <c:formatCode>0.00</c:formatCode>
                <c:ptCount val="4"/>
                <c:pt idx="0">
                  <c:v>35.844155844155843</c:v>
                </c:pt>
                <c:pt idx="1">
                  <c:v>41.298701298701296</c:v>
                </c:pt>
                <c:pt idx="2">
                  <c:v>34.285714285714285</c:v>
                </c:pt>
                <c:pt idx="3">
                  <c:v>27.012987012987011</c:v>
                </c:pt>
              </c:numCache>
            </c:numRef>
          </c:val>
        </c:ser>
        <c:dLbls>
          <c:showLegendKey val="0"/>
          <c:showVal val="0"/>
          <c:showCatName val="0"/>
          <c:showSerName val="0"/>
          <c:showPercent val="0"/>
          <c:showBubbleSize val="0"/>
        </c:dLbls>
        <c:gapWidth val="150"/>
        <c:overlap val="100"/>
        <c:axId val="589721600"/>
        <c:axId val="566941888"/>
      </c:barChart>
      <c:catAx>
        <c:axId val="589721600"/>
        <c:scaling>
          <c:orientation val="minMax"/>
        </c:scaling>
        <c:delete val="0"/>
        <c:axPos val="b"/>
        <c:majorTickMark val="out"/>
        <c:minorTickMark val="none"/>
        <c:tickLblPos val="nextTo"/>
        <c:crossAx val="566941888"/>
        <c:crosses val="autoZero"/>
        <c:auto val="1"/>
        <c:lblAlgn val="ctr"/>
        <c:lblOffset val="100"/>
        <c:noMultiLvlLbl val="0"/>
      </c:catAx>
      <c:valAx>
        <c:axId val="566941888"/>
        <c:scaling>
          <c:orientation val="minMax"/>
          <c:max val="100"/>
        </c:scaling>
        <c:delete val="0"/>
        <c:axPos val="l"/>
        <c:majorGridlines/>
        <c:numFmt formatCode="0.00" sourceLinked="1"/>
        <c:majorTickMark val="out"/>
        <c:minorTickMark val="none"/>
        <c:tickLblPos val="nextTo"/>
        <c:crossAx val="589721600"/>
        <c:crosses val="autoZero"/>
        <c:crossBetween val="between"/>
      </c:valAx>
    </c:plotArea>
    <c:legend>
      <c:legendPos val="r"/>
      <c:layout>
        <c:manualLayout>
          <c:xMode val="edge"/>
          <c:yMode val="edge"/>
          <c:x val="0.81991688538932639"/>
          <c:y val="0.55223860240482625"/>
          <c:w val="0.13013378182096169"/>
          <c:h val="0.14365770316446294"/>
        </c:manualLayout>
      </c:layout>
      <c:overlay val="0"/>
    </c:legend>
    <c:plotVisOnly val="1"/>
    <c:dispBlanksAs val="gap"/>
    <c:showDLblsOverMax val="0"/>
  </c:chart>
  <c:spPr>
    <a:ln>
      <a:solidFill>
        <a:schemeClr val="tx1"/>
      </a:solid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771952567694801"/>
          <c:y val="4.4928316198668189E-2"/>
          <c:w val="0.54317452742649597"/>
          <c:h val="0.68936132983377074"/>
        </c:manualLayout>
      </c:layout>
      <c:barChart>
        <c:barDir val="col"/>
        <c:grouping val="stacked"/>
        <c:varyColors val="0"/>
        <c:ser>
          <c:idx val="0"/>
          <c:order val="0"/>
          <c:tx>
            <c:strRef>
              <c:f>'نسب التشغيل'!$D$8</c:f>
              <c:strCache>
                <c:ptCount val="1"/>
                <c:pt idx="0">
                  <c:v>عامل</c:v>
                </c:pt>
              </c:strCache>
            </c:strRef>
          </c:tx>
          <c:invertIfNegative val="0"/>
          <c:cat>
            <c:strRef>
              <c:f>'نسب التشغيل'!$C$9:$C$12</c:f>
              <c:strCache>
                <c:ptCount val="4"/>
                <c:pt idx="0">
                  <c:v>سيدي سليمان</c:v>
                </c:pt>
                <c:pt idx="1">
                  <c:v>ميطر</c:v>
                </c:pt>
                <c:pt idx="2">
                  <c:v>الحمايد</c:v>
                </c:pt>
                <c:pt idx="3">
                  <c:v>الباطن </c:v>
                </c:pt>
              </c:strCache>
            </c:strRef>
          </c:cat>
          <c:val>
            <c:numRef>
              <c:f>'نسب التشغيل'!$D$9:$D$12</c:f>
              <c:numCache>
                <c:formatCode>0.00</c:formatCode>
                <c:ptCount val="4"/>
                <c:pt idx="0">
                  <c:v>57.8</c:v>
                </c:pt>
                <c:pt idx="1">
                  <c:v>62.068965517241381</c:v>
                </c:pt>
                <c:pt idx="2">
                  <c:v>71.428571428571431</c:v>
                </c:pt>
                <c:pt idx="3">
                  <c:v>64.86486486486487</c:v>
                </c:pt>
              </c:numCache>
            </c:numRef>
          </c:val>
        </c:ser>
        <c:ser>
          <c:idx val="1"/>
          <c:order val="1"/>
          <c:tx>
            <c:strRef>
              <c:f>'نسب التشغيل'!$E$8</c:f>
              <c:strCache>
                <c:ptCount val="1"/>
                <c:pt idx="0">
                  <c:v>بلا عمل</c:v>
                </c:pt>
              </c:strCache>
            </c:strRef>
          </c:tx>
          <c:spPr>
            <a:solidFill>
              <a:srgbClr val="FFFF00"/>
            </a:solidFill>
          </c:spPr>
          <c:invertIfNegative val="0"/>
          <c:cat>
            <c:strRef>
              <c:f>'نسب التشغيل'!$C$9:$C$12</c:f>
              <c:strCache>
                <c:ptCount val="4"/>
                <c:pt idx="0">
                  <c:v>سيدي سليمان</c:v>
                </c:pt>
                <c:pt idx="1">
                  <c:v>ميطر</c:v>
                </c:pt>
                <c:pt idx="2">
                  <c:v>الحمايد</c:v>
                </c:pt>
                <c:pt idx="3">
                  <c:v>الباطن </c:v>
                </c:pt>
              </c:strCache>
            </c:strRef>
          </c:cat>
          <c:val>
            <c:numRef>
              <c:f>'نسب التشغيل'!$E$9:$E$12</c:f>
              <c:numCache>
                <c:formatCode>0.00</c:formatCode>
                <c:ptCount val="4"/>
                <c:pt idx="0">
                  <c:v>42.2</c:v>
                </c:pt>
                <c:pt idx="1">
                  <c:v>37.931034482758619</c:v>
                </c:pt>
                <c:pt idx="2">
                  <c:v>28.571428571428569</c:v>
                </c:pt>
                <c:pt idx="3">
                  <c:v>35.135135135135137</c:v>
                </c:pt>
              </c:numCache>
            </c:numRef>
          </c:val>
        </c:ser>
        <c:dLbls>
          <c:showLegendKey val="0"/>
          <c:showVal val="0"/>
          <c:showCatName val="0"/>
          <c:showSerName val="0"/>
          <c:showPercent val="0"/>
          <c:showBubbleSize val="0"/>
        </c:dLbls>
        <c:gapWidth val="150"/>
        <c:overlap val="100"/>
        <c:axId val="589722112"/>
        <c:axId val="566941312"/>
      </c:barChart>
      <c:catAx>
        <c:axId val="589722112"/>
        <c:scaling>
          <c:orientation val="minMax"/>
        </c:scaling>
        <c:delete val="0"/>
        <c:axPos val="b"/>
        <c:majorTickMark val="out"/>
        <c:minorTickMark val="none"/>
        <c:tickLblPos val="nextTo"/>
        <c:crossAx val="566941312"/>
        <c:crosses val="autoZero"/>
        <c:auto val="1"/>
        <c:lblAlgn val="ctr"/>
        <c:lblOffset val="100"/>
        <c:noMultiLvlLbl val="0"/>
      </c:catAx>
      <c:valAx>
        <c:axId val="566941312"/>
        <c:scaling>
          <c:orientation val="minMax"/>
          <c:max val="100"/>
          <c:min val="0"/>
        </c:scaling>
        <c:delete val="0"/>
        <c:axPos val="l"/>
        <c:majorGridlines/>
        <c:numFmt formatCode="0.00" sourceLinked="1"/>
        <c:majorTickMark val="out"/>
        <c:minorTickMark val="none"/>
        <c:tickLblPos val="nextTo"/>
        <c:crossAx val="589722112"/>
        <c:crosses val="autoZero"/>
        <c:crossBetween val="between"/>
      </c:valAx>
    </c:plotArea>
    <c:legend>
      <c:legendPos val="r"/>
      <c:layout>
        <c:manualLayout>
          <c:xMode val="edge"/>
          <c:yMode val="edge"/>
          <c:x val="0.77747180251117254"/>
          <c:y val="0.46380358705161862"/>
          <c:w val="0.17161403909519157"/>
          <c:h val="0.1709968168872508"/>
        </c:manualLayout>
      </c:layout>
      <c:overlay val="0"/>
    </c:legend>
    <c:plotVisOnly val="1"/>
    <c:dispBlanksAs val="gap"/>
    <c:showDLblsOverMax val="0"/>
  </c:chart>
  <c:spPr>
    <a:ln>
      <a:solidFill>
        <a:schemeClr val="tx1"/>
      </a:solid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075731672253532"/>
          <c:y val="7.2346153642855501E-2"/>
          <c:w val="0.54929213393780318"/>
          <c:h val="0.68826422941276155"/>
        </c:manualLayout>
      </c:layout>
      <c:barChart>
        <c:barDir val="col"/>
        <c:grouping val="stacked"/>
        <c:varyColors val="0"/>
        <c:ser>
          <c:idx val="0"/>
          <c:order val="0"/>
          <c:tx>
            <c:strRef>
              <c:f>'نسب الفئات العمرية'!$C$4</c:f>
              <c:strCache>
                <c:ptCount val="1"/>
                <c:pt idx="0">
                  <c:v>18-35</c:v>
                </c:pt>
              </c:strCache>
            </c:strRef>
          </c:tx>
          <c:invertIfNegative val="0"/>
          <c:cat>
            <c:strRef>
              <c:f>'نسب الفئات العمرية'!$B$5:$B$8</c:f>
              <c:strCache>
                <c:ptCount val="4"/>
                <c:pt idx="0">
                  <c:v>سيدي سليمان</c:v>
                </c:pt>
                <c:pt idx="1">
                  <c:v>ميطر</c:v>
                </c:pt>
                <c:pt idx="2">
                  <c:v>الحمايد</c:v>
                </c:pt>
                <c:pt idx="3">
                  <c:v>الباطن </c:v>
                </c:pt>
              </c:strCache>
            </c:strRef>
          </c:cat>
          <c:val>
            <c:numRef>
              <c:f>'نسب الفئات العمرية'!$D$5:$D$8</c:f>
              <c:numCache>
                <c:formatCode>0.00</c:formatCode>
                <c:ptCount val="4"/>
                <c:pt idx="0">
                  <c:v>21.42</c:v>
                </c:pt>
                <c:pt idx="1">
                  <c:v>21.79</c:v>
                </c:pt>
                <c:pt idx="2">
                  <c:v>25.714285714285712</c:v>
                </c:pt>
                <c:pt idx="3">
                  <c:v>23.45</c:v>
                </c:pt>
              </c:numCache>
            </c:numRef>
          </c:val>
        </c:ser>
        <c:ser>
          <c:idx val="1"/>
          <c:order val="1"/>
          <c:tx>
            <c:strRef>
              <c:f>'نسب الفئات العمرية'!$D$4</c:f>
              <c:strCache>
                <c:ptCount val="1"/>
                <c:pt idx="0">
                  <c:v>36-55</c:v>
                </c:pt>
              </c:strCache>
            </c:strRef>
          </c:tx>
          <c:spPr>
            <a:solidFill>
              <a:schemeClr val="tx1">
                <a:lumMod val="75000"/>
                <a:lumOff val="25000"/>
              </a:schemeClr>
            </a:solidFill>
          </c:spPr>
          <c:invertIfNegative val="0"/>
          <c:cat>
            <c:strRef>
              <c:f>'نسب الفئات العمرية'!$B$5:$B$8</c:f>
              <c:strCache>
                <c:ptCount val="4"/>
                <c:pt idx="0">
                  <c:v>سيدي سليمان</c:v>
                </c:pt>
                <c:pt idx="1">
                  <c:v>ميطر</c:v>
                </c:pt>
                <c:pt idx="2">
                  <c:v>الحمايد</c:v>
                </c:pt>
                <c:pt idx="3">
                  <c:v>الباطن </c:v>
                </c:pt>
              </c:strCache>
            </c:strRef>
          </c:cat>
          <c:val>
            <c:numRef>
              <c:f>'نسب الفئات العمرية'!$C$5:$C$8</c:f>
              <c:numCache>
                <c:formatCode>0.00</c:formatCode>
                <c:ptCount val="4"/>
                <c:pt idx="0">
                  <c:v>64.290000000000006</c:v>
                </c:pt>
                <c:pt idx="1">
                  <c:v>65.827586206896598</c:v>
                </c:pt>
                <c:pt idx="2">
                  <c:v>62.86</c:v>
                </c:pt>
                <c:pt idx="3">
                  <c:v>68.14</c:v>
                </c:pt>
              </c:numCache>
            </c:numRef>
          </c:val>
        </c:ser>
        <c:ser>
          <c:idx val="2"/>
          <c:order val="2"/>
          <c:tx>
            <c:strRef>
              <c:f>'نسب الفئات العمرية'!#REF!</c:f>
              <c:strCache>
                <c:ptCount val="1"/>
                <c:pt idx="0">
                  <c:v>#REF!</c:v>
                </c:pt>
              </c:strCache>
            </c:strRef>
          </c:tx>
          <c:invertIfNegative val="0"/>
          <c:cat>
            <c:strRef>
              <c:f>'نسب الفئات العمرية'!$B$5:$B$8</c:f>
              <c:strCache>
                <c:ptCount val="4"/>
                <c:pt idx="0">
                  <c:v>سيدي سليمان</c:v>
                </c:pt>
                <c:pt idx="1">
                  <c:v>ميطر</c:v>
                </c:pt>
                <c:pt idx="2">
                  <c:v>الحمايد</c:v>
                </c:pt>
                <c:pt idx="3">
                  <c:v>الباطن </c:v>
                </c:pt>
              </c:strCache>
            </c:strRef>
          </c:cat>
          <c:val>
            <c:numRef>
              <c:f>'نسب الفئات العمرية'!#REF!</c:f>
              <c:numCache>
                <c:formatCode>General</c:formatCode>
                <c:ptCount val="1"/>
                <c:pt idx="0">
                  <c:v>1</c:v>
                </c:pt>
              </c:numCache>
            </c:numRef>
          </c:val>
        </c:ser>
        <c:ser>
          <c:idx val="3"/>
          <c:order val="3"/>
          <c:tx>
            <c:strRef>
              <c:f>'نسب الفئات العمرية'!$E$4</c:f>
              <c:strCache>
                <c:ptCount val="1"/>
                <c:pt idx="0">
                  <c:v>&gt; 55</c:v>
                </c:pt>
              </c:strCache>
            </c:strRef>
          </c:tx>
          <c:spPr>
            <a:solidFill>
              <a:srgbClr val="FF0000"/>
            </a:solidFill>
          </c:spPr>
          <c:invertIfNegative val="0"/>
          <c:cat>
            <c:strRef>
              <c:f>'نسب الفئات العمرية'!$B$5:$B$8</c:f>
              <c:strCache>
                <c:ptCount val="4"/>
                <c:pt idx="0">
                  <c:v>سيدي سليمان</c:v>
                </c:pt>
                <c:pt idx="1">
                  <c:v>ميطر</c:v>
                </c:pt>
                <c:pt idx="2">
                  <c:v>الحمايد</c:v>
                </c:pt>
                <c:pt idx="3">
                  <c:v>الباطن </c:v>
                </c:pt>
              </c:strCache>
            </c:strRef>
          </c:cat>
          <c:val>
            <c:numRef>
              <c:f>'نسب الفئات العمرية'!$E$5:$E$8</c:f>
              <c:numCache>
                <c:formatCode>0.00</c:formatCode>
                <c:ptCount val="4"/>
                <c:pt idx="0">
                  <c:v>14.285714285714285</c:v>
                </c:pt>
                <c:pt idx="1">
                  <c:v>12.38</c:v>
                </c:pt>
                <c:pt idx="2">
                  <c:v>11.428571428571429</c:v>
                </c:pt>
                <c:pt idx="3">
                  <c:v>8.41</c:v>
                </c:pt>
              </c:numCache>
            </c:numRef>
          </c:val>
        </c:ser>
        <c:dLbls>
          <c:showLegendKey val="0"/>
          <c:showVal val="0"/>
          <c:showCatName val="0"/>
          <c:showSerName val="0"/>
          <c:showPercent val="0"/>
          <c:showBubbleSize val="0"/>
        </c:dLbls>
        <c:gapWidth val="150"/>
        <c:overlap val="100"/>
        <c:axId val="589722624"/>
        <c:axId val="582044480"/>
      </c:barChart>
      <c:catAx>
        <c:axId val="589722624"/>
        <c:scaling>
          <c:orientation val="minMax"/>
        </c:scaling>
        <c:delete val="0"/>
        <c:axPos val="b"/>
        <c:majorTickMark val="out"/>
        <c:minorTickMark val="none"/>
        <c:tickLblPos val="nextTo"/>
        <c:crossAx val="582044480"/>
        <c:crosses val="autoZero"/>
        <c:auto val="1"/>
        <c:lblAlgn val="ctr"/>
        <c:lblOffset val="100"/>
        <c:noMultiLvlLbl val="0"/>
      </c:catAx>
      <c:valAx>
        <c:axId val="582044480"/>
        <c:scaling>
          <c:orientation val="minMax"/>
          <c:max val="100"/>
        </c:scaling>
        <c:delete val="0"/>
        <c:axPos val="l"/>
        <c:majorGridlines/>
        <c:numFmt formatCode="0.00" sourceLinked="1"/>
        <c:majorTickMark val="out"/>
        <c:minorTickMark val="none"/>
        <c:tickLblPos val="nextTo"/>
        <c:crossAx val="589722624"/>
        <c:crosses val="autoZero"/>
        <c:crossBetween val="between"/>
      </c:valAx>
    </c:plotArea>
    <c:legend>
      <c:legendPos val="r"/>
      <c:legendEntry>
        <c:idx val="1"/>
        <c:delete val="1"/>
      </c:legendEntry>
      <c:layout>
        <c:manualLayout>
          <c:xMode val="edge"/>
          <c:yMode val="edge"/>
          <c:x val="0.81002075720927025"/>
          <c:y val="0.420280284038829"/>
          <c:w val="0.15910861816988786"/>
          <c:h val="0.24273666824272858"/>
        </c:manualLayout>
      </c:layout>
      <c:overlay val="0"/>
    </c:legend>
    <c:plotVisOnly val="1"/>
    <c:dispBlanksAs val="gap"/>
    <c:showDLblsOverMax val="0"/>
  </c:chart>
  <c:spPr>
    <a:ln>
      <a:solidFill>
        <a:schemeClr val="tx1"/>
      </a:solid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9319725511667468"/>
          <c:y val="6.6695631403815112E-2"/>
          <c:w val="0.47502183511735813"/>
          <c:h val="0.67191794324678489"/>
        </c:manualLayout>
      </c:layout>
      <c:barChart>
        <c:barDir val="bar"/>
        <c:grouping val="clustered"/>
        <c:varyColors val="0"/>
        <c:ser>
          <c:idx val="0"/>
          <c:order val="0"/>
          <c:tx>
            <c:strRef>
              <c:f>'المستوى التعليمي'!$C$6</c:f>
              <c:strCache>
                <c:ptCount val="1"/>
                <c:pt idx="0">
                  <c:v>ابتدائي</c:v>
                </c:pt>
              </c:strCache>
            </c:strRef>
          </c:tx>
          <c:invertIfNegative val="0"/>
          <c:cat>
            <c:strRef>
              <c:f>'المستوى التعليمي'!$B$7:$B$10</c:f>
              <c:strCache>
                <c:ptCount val="4"/>
                <c:pt idx="0">
                  <c:v>سيدي سليمان</c:v>
                </c:pt>
                <c:pt idx="1">
                  <c:v>ميطر</c:v>
                </c:pt>
                <c:pt idx="2">
                  <c:v>الحمايد</c:v>
                </c:pt>
                <c:pt idx="3">
                  <c:v>الباطن </c:v>
                </c:pt>
              </c:strCache>
            </c:strRef>
          </c:cat>
          <c:val>
            <c:numRef>
              <c:f>'المستوى التعليمي'!$C$7:$C$10</c:f>
              <c:numCache>
                <c:formatCode>0.00</c:formatCode>
                <c:ptCount val="4"/>
                <c:pt idx="0">
                  <c:v>5.7142857142857144</c:v>
                </c:pt>
                <c:pt idx="1">
                  <c:v>0</c:v>
                </c:pt>
                <c:pt idx="2">
                  <c:v>5.7142857142857144</c:v>
                </c:pt>
                <c:pt idx="3">
                  <c:v>0</c:v>
                </c:pt>
              </c:numCache>
            </c:numRef>
          </c:val>
        </c:ser>
        <c:ser>
          <c:idx val="1"/>
          <c:order val="1"/>
          <c:tx>
            <c:strRef>
              <c:f>'المستوى التعليمي'!$D$6</c:f>
              <c:strCache>
                <c:ptCount val="1"/>
                <c:pt idx="0">
                  <c:v>متوسط</c:v>
                </c:pt>
              </c:strCache>
            </c:strRef>
          </c:tx>
          <c:invertIfNegative val="0"/>
          <c:cat>
            <c:strRef>
              <c:f>'المستوى التعليمي'!$B$7:$B$10</c:f>
              <c:strCache>
                <c:ptCount val="4"/>
                <c:pt idx="0">
                  <c:v>سيدي سليمان</c:v>
                </c:pt>
                <c:pt idx="1">
                  <c:v>ميطر</c:v>
                </c:pt>
                <c:pt idx="2">
                  <c:v>الحمايد</c:v>
                </c:pt>
                <c:pt idx="3">
                  <c:v>الباطن </c:v>
                </c:pt>
              </c:strCache>
            </c:strRef>
          </c:cat>
          <c:val>
            <c:numRef>
              <c:f>'المستوى التعليمي'!$D$7:$D$10</c:f>
              <c:numCache>
                <c:formatCode>0.00</c:formatCode>
                <c:ptCount val="4"/>
                <c:pt idx="0">
                  <c:v>8.5714285714285712</c:v>
                </c:pt>
                <c:pt idx="1">
                  <c:v>20.689655172413794</c:v>
                </c:pt>
                <c:pt idx="2">
                  <c:v>5.7142857142857144</c:v>
                </c:pt>
                <c:pt idx="3">
                  <c:v>13.513513513513514</c:v>
                </c:pt>
              </c:numCache>
            </c:numRef>
          </c:val>
        </c:ser>
        <c:ser>
          <c:idx val="2"/>
          <c:order val="2"/>
          <c:tx>
            <c:strRef>
              <c:f>'المستوى التعليمي'!$E$6</c:f>
              <c:strCache>
                <c:ptCount val="1"/>
                <c:pt idx="0">
                  <c:v>ثانوي</c:v>
                </c:pt>
              </c:strCache>
            </c:strRef>
          </c:tx>
          <c:invertIfNegative val="0"/>
          <c:cat>
            <c:strRef>
              <c:f>'المستوى التعليمي'!$B$7:$B$10</c:f>
              <c:strCache>
                <c:ptCount val="4"/>
                <c:pt idx="0">
                  <c:v>سيدي سليمان</c:v>
                </c:pt>
                <c:pt idx="1">
                  <c:v>ميطر</c:v>
                </c:pt>
                <c:pt idx="2">
                  <c:v>الحمايد</c:v>
                </c:pt>
                <c:pt idx="3">
                  <c:v>الباطن </c:v>
                </c:pt>
              </c:strCache>
            </c:strRef>
          </c:cat>
          <c:val>
            <c:numRef>
              <c:f>'المستوى التعليمي'!$E$7:$E$10</c:f>
              <c:numCache>
                <c:formatCode>0.00</c:formatCode>
                <c:ptCount val="4"/>
                <c:pt idx="0">
                  <c:v>35.714285714285715</c:v>
                </c:pt>
                <c:pt idx="1">
                  <c:v>31.03448275862069</c:v>
                </c:pt>
                <c:pt idx="2">
                  <c:v>28.571428571428569</c:v>
                </c:pt>
                <c:pt idx="3">
                  <c:v>29.72972972972973</c:v>
                </c:pt>
              </c:numCache>
            </c:numRef>
          </c:val>
        </c:ser>
        <c:ser>
          <c:idx val="3"/>
          <c:order val="3"/>
          <c:tx>
            <c:strRef>
              <c:f>'المستوى التعليمي'!$F$6</c:f>
              <c:strCache>
                <c:ptCount val="1"/>
                <c:pt idx="0">
                  <c:v>جامعي</c:v>
                </c:pt>
              </c:strCache>
            </c:strRef>
          </c:tx>
          <c:spPr>
            <a:solidFill>
              <a:schemeClr val="tx1"/>
            </a:solidFill>
          </c:spPr>
          <c:invertIfNegative val="0"/>
          <c:cat>
            <c:strRef>
              <c:f>'المستوى التعليمي'!$B$7:$B$10</c:f>
              <c:strCache>
                <c:ptCount val="4"/>
                <c:pt idx="0">
                  <c:v>سيدي سليمان</c:v>
                </c:pt>
                <c:pt idx="1">
                  <c:v>ميطر</c:v>
                </c:pt>
                <c:pt idx="2">
                  <c:v>الحمايد</c:v>
                </c:pt>
                <c:pt idx="3">
                  <c:v>الباطن </c:v>
                </c:pt>
              </c:strCache>
            </c:strRef>
          </c:cat>
          <c:val>
            <c:numRef>
              <c:f>'المستوى التعليمي'!$F$7:$F$10</c:f>
              <c:numCache>
                <c:formatCode>0.00</c:formatCode>
                <c:ptCount val="4"/>
                <c:pt idx="0">
                  <c:v>50</c:v>
                </c:pt>
                <c:pt idx="1">
                  <c:v>48.275862068965516</c:v>
                </c:pt>
                <c:pt idx="2">
                  <c:v>60</c:v>
                </c:pt>
                <c:pt idx="3">
                  <c:v>56.756756756756758</c:v>
                </c:pt>
              </c:numCache>
            </c:numRef>
          </c:val>
        </c:ser>
        <c:dLbls>
          <c:showLegendKey val="0"/>
          <c:showVal val="0"/>
          <c:showCatName val="0"/>
          <c:showSerName val="0"/>
          <c:showPercent val="0"/>
          <c:showBubbleSize val="0"/>
        </c:dLbls>
        <c:gapWidth val="150"/>
        <c:axId val="589044736"/>
        <c:axId val="582046208"/>
      </c:barChart>
      <c:catAx>
        <c:axId val="589044736"/>
        <c:scaling>
          <c:orientation val="minMax"/>
        </c:scaling>
        <c:delete val="0"/>
        <c:axPos val="l"/>
        <c:majorTickMark val="out"/>
        <c:minorTickMark val="none"/>
        <c:tickLblPos val="nextTo"/>
        <c:crossAx val="582046208"/>
        <c:crosses val="autoZero"/>
        <c:auto val="1"/>
        <c:lblAlgn val="ctr"/>
        <c:lblOffset val="100"/>
        <c:noMultiLvlLbl val="0"/>
      </c:catAx>
      <c:valAx>
        <c:axId val="582046208"/>
        <c:scaling>
          <c:orientation val="minMax"/>
          <c:max val="100"/>
        </c:scaling>
        <c:delete val="0"/>
        <c:axPos val="b"/>
        <c:majorGridlines/>
        <c:numFmt formatCode="0.00" sourceLinked="1"/>
        <c:majorTickMark val="out"/>
        <c:minorTickMark val="none"/>
        <c:tickLblPos val="nextTo"/>
        <c:crossAx val="589044736"/>
        <c:crosses val="autoZero"/>
        <c:crossBetween val="between"/>
      </c:valAx>
    </c:plotArea>
    <c:legend>
      <c:legendPos val="r"/>
      <c:layout>
        <c:manualLayout>
          <c:xMode val="edge"/>
          <c:yMode val="edge"/>
          <c:x val="0.77243948835770981"/>
          <c:y val="0.13857108067677107"/>
          <c:w val="0.16375294860294365"/>
          <c:h val="0.52990222376049145"/>
        </c:manualLayout>
      </c:layout>
      <c:overlay val="0"/>
    </c:legend>
    <c:plotVisOnly val="1"/>
    <c:dispBlanksAs val="gap"/>
    <c:showDLblsOverMax val="0"/>
  </c:chart>
  <c:spPr>
    <a:ln>
      <a:solidFill>
        <a:schemeClr val="tx1"/>
      </a:solid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334729753771656"/>
          <c:y val="4.3033022035036318E-2"/>
          <c:w val="0.42976023394451934"/>
          <c:h val="0.70021862156632864"/>
        </c:manualLayout>
      </c:layout>
      <c:barChart>
        <c:barDir val="col"/>
        <c:grouping val="stacked"/>
        <c:varyColors val="0"/>
        <c:ser>
          <c:idx val="0"/>
          <c:order val="0"/>
          <c:tx>
            <c:strRef>
              <c:f>'نسبة حدوث المخاطر'!$C$6</c:f>
              <c:strCache>
                <c:ptCount val="1"/>
                <c:pt idx="0">
                  <c:v>الفيضانات</c:v>
                </c:pt>
              </c:strCache>
            </c:strRef>
          </c:tx>
          <c:invertIfNegative val="0"/>
          <c:cat>
            <c:strRef>
              <c:f>'نسبة حدوث المخاطر'!$B$7:$B$10</c:f>
              <c:strCache>
                <c:ptCount val="4"/>
                <c:pt idx="0">
                  <c:v>سيدي سليمان</c:v>
                </c:pt>
                <c:pt idx="1">
                  <c:v>ميطر</c:v>
                </c:pt>
                <c:pt idx="2">
                  <c:v>الحمايد</c:v>
                </c:pt>
                <c:pt idx="3">
                  <c:v>الباطن </c:v>
                </c:pt>
              </c:strCache>
            </c:strRef>
          </c:cat>
          <c:val>
            <c:numRef>
              <c:f>'نسبة حدوث المخاطر'!$C$7:$C$10</c:f>
              <c:numCache>
                <c:formatCode>0.00</c:formatCode>
                <c:ptCount val="4"/>
                <c:pt idx="0">
                  <c:v>81.818181818181813</c:v>
                </c:pt>
                <c:pt idx="1">
                  <c:v>77.922077922077918</c:v>
                </c:pt>
                <c:pt idx="2">
                  <c:v>70.909090909090907</c:v>
                </c:pt>
                <c:pt idx="3">
                  <c:v>65.194805194805198</c:v>
                </c:pt>
              </c:numCache>
            </c:numRef>
          </c:val>
        </c:ser>
        <c:ser>
          <c:idx val="1"/>
          <c:order val="1"/>
          <c:tx>
            <c:strRef>
              <c:f>'نسبة حدوث المخاطر'!$D$6</c:f>
              <c:strCache>
                <c:ptCount val="1"/>
                <c:pt idx="0">
                  <c:v>انزلاق التربة</c:v>
                </c:pt>
              </c:strCache>
            </c:strRef>
          </c:tx>
          <c:spPr>
            <a:solidFill>
              <a:srgbClr val="00B050"/>
            </a:solidFill>
          </c:spPr>
          <c:invertIfNegative val="0"/>
          <c:cat>
            <c:strRef>
              <c:f>'نسبة حدوث المخاطر'!$B$7:$B$10</c:f>
              <c:strCache>
                <c:ptCount val="4"/>
                <c:pt idx="0">
                  <c:v>سيدي سليمان</c:v>
                </c:pt>
                <c:pt idx="1">
                  <c:v>ميطر</c:v>
                </c:pt>
                <c:pt idx="2">
                  <c:v>الحمايد</c:v>
                </c:pt>
                <c:pt idx="3">
                  <c:v>الباطن </c:v>
                </c:pt>
              </c:strCache>
            </c:strRef>
          </c:cat>
          <c:val>
            <c:numRef>
              <c:f>'نسبة حدوث المخاطر'!$D$7:$D$10</c:f>
              <c:numCache>
                <c:formatCode>0.00</c:formatCode>
                <c:ptCount val="4"/>
                <c:pt idx="0">
                  <c:v>1.0389610389610389</c:v>
                </c:pt>
                <c:pt idx="1">
                  <c:v>2.0779220779220777</c:v>
                </c:pt>
                <c:pt idx="2">
                  <c:v>3.116883116883117</c:v>
                </c:pt>
                <c:pt idx="3">
                  <c:v>3.8961038961038961</c:v>
                </c:pt>
              </c:numCache>
            </c:numRef>
          </c:val>
        </c:ser>
        <c:ser>
          <c:idx val="2"/>
          <c:order val="2"/>
          <c:tx>
            <c:strRef>
              <c:f>'نسبة حدوث المخاطر'!$E$6</c:f>
              <c:strCache>
                <c:ptCount val="1"/>
                <c:pt idx="0">
                  <c:v>الزلازل</c:v>
                </c:pt>
              </c:strCache>
            </c:strRef>
          </c:tx>
          <c:spPr>
            <a:solidFill>
              <a:schemeClr val="tx1"/>
            </a:solidFill>
          </c:spPr>
          <c:invertIfNegative val="0"/>
          <c:cat>
            <c:strRef>
              <c:f>'نسبة حدوث المخاطر'!$B$7:$B$10</c:f>
              <c:strCache>
                <c:ptCount val="4"/>
                <c:pt idx="0">
                  <c:v>سيدي سليمان</c:v>
                </c:pt>
                <c:pt idx="1">
                  <c:v>ميطر</c:v>
                </c:pt>
                <c:pt idx="2">
                  <c:v>الحمايد</c:v>
                </c:pt>
                <c:pt idx="3">
                  <c:v>الباطن </c:v>
                </c:pt>
              </c:strCache>
            </c:strRef>
          </c:cat>
          <c:val>
            <c:numRef>
              <c:f>'نسبة حدوث المخاطر'!$E$7:$E$10</c:f>
              <c:numCache>
                <c:formatCode>0.00</c:formatCode>
                <c:ptCount val="4"/>
                <c:pt idx="0">
                  <c:v>2.0779220779220777</c:v>
                </c:pt>
                <c:pt idx="1">
                  <c:v>2.0779220779220777</c:v>
                </c:pt>
                <c:pt idx="2">
                  <c:v>3.8961038961038961</c:v>
                </c:pt>
                <c:pt idx="3">
                  <c:v>5.9740259740259738</c:v>
                </c:pt>
              </c:numCache>
            </c:numRef>
          </c:val>
        </c:ser>
        <c:ser>
          <c:idx val="3"/>
          <c:order val="3"/>
          <c:tx>
            <c:strRef>
              <c:f>'نسبة حدوث المخاطر'!$F$6</c:f>
              <c:strCache>
                <c:ptCount val="1"/>
                <c:pt idx="0">
                  <c:v>التصحر (الترمل)</c:v>
                </c:pt>
              </c:strCache>
            </c:strRef>
          </c:tx>
          <c:spPr>
            <a:solidFill>
              <a:srgbClr val="FFFF00"/>
            </a:solidFill>
          </c:spPr>
          <c:invertIfNegative val="0"/>
          <c:cat>
            <c:strRef>
              <c:f>'نسبة حدوث المخاطر'!$B$7:$B$10</c:f>
              <c:strCache>
                <c:ptCount val="4"/>
                <c:pt idx="0">
                  <c:v>سيدي سليمان</c:v>
                </c:pt>
                <c:pt idx="1">
                  <c:v>ميطر</c:v>
                </c:pt>
                <c:pt idx="2">
                  <c:v>الحمايد</c:v>
                </c:pt>
                <c:pt idx="3">
                  <c:v>الباطن </c:v>
                </c:pt>
              </c:strCache>
            </c:strRef>
          </c:cat>
          <c:val>
            <c:numRef>
              <c:f>'نسبة حدوث المخاطر'!$F$7:$F$10</c:f>
              <c:numCache>
                <c:formatCode>0.00</c:formatCode>
                <c:ptCount val="4"/>
                <c:pt idx="0">
                  <c:v>15.064935064935066</c:v>
                </c:pt>
                <c:pt idx="1">
                  <c:v>17.922077922077921</c:v>
                </c:pt>
                <c:pt idx="2">
                  <c:v>22.077922077922079</c:v>
                </c:pt>
                <c:pt idx="3">
                  <c:v>24.935064935064936</c:v>
                </c:pt>
              </c:numCache>
            </c:numRef>
          </c:val>
        </c:ser>
        <c:dLbls>
          <c:showLegendKey val="0"/>
          <c:showVal val="0"/>
          <c:showCatName val="0"/>
          <c:showSerName val="0"/>
          <c:showPercent val="0"/>
          <c:showBubbleSize val="0"/>
        </c:dLbls>
        <c:gapWidth val="150"/>
        <c:overlap val="100"/>
        <c:axId val="589723648"/>
        <c:axId val="582047936"/>
      </c:barChart>
      <c:catAx>
        <c:axId val="589723648"/>
        <c:scaling>
          <c:orientation val="minMax"/>
        </c:scaling>
        <c:delete val="0"/>
        <c:axPos val="b"/>
        <c:majorTickMark val="out"/>
        <c:minorTickMark val="none"/>
        <c:tickLblPos val="nextTo"/>
        <c:crossAx val="582047936"/>
        <c:crosses val="autoZero"/>
        <c:auto val="1"/>
        <c:lblAlgn val="ctr"/>
        <c:lblOffset val="100"/>
        <c:noMultiLvlLbl val="0"/>
      </c:catAx>
      <c:valAx>
        <c:axId val="582047936"/>
        <c:scaling>
          <c:orientation val="minMax"/>
          <c:max val="100"/>
        </c:scaling>
        <c:delete val="0"/>
        <c:axPos val="l"/>
        <c:majorGridlines/>
        <c:numFmt formatCode="0.00" sourceLinked="1"/>
        <c:majorTickMark val="out"/>
        <c:minorTickMark val="none"/>
        <c:tickLblPos val="nextTo"/>
        <c:crossAx val="589723648"/>
        <c:crosses val="autoZero"/>
        <c:crossBetween val="between"/>
      </c:valAx>
    </c:plotArea>
    <c:legend>
      <c:legendPos val="r"/>
      <c:layout>
        <c:manualLayout>
          <c:xMode val="edge"/>
          <c:yMode val="edge"/>
          <c:x val="0.71312223068890579"/>
          <c:y val="0.339626133725691"/>
          <c:w val="0.25801723998502946"/>
          <c:h val="0.35044405786485994"/>
        </c:manualLayout>
      </c:layout>
      <c:overlay val="0"/>
    </c:legend>
    <c:plotVisOnly val="1"/>
    <c:dispBlanksAs val="gap"/>
    <c:showDLblsOverMax val="0"/>
  </c:chart>
  <c:spPr>
    <a:ln>
      <a:solidFill>
        <a:schemeClr val="tx1"/>
      </a:solid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69606013080655"/>
          <c:y val="6.1914292514097378E-2"/>
          <c:w val="0.55059061544828936"/>
          <c:h val="0.63866014102207191"/>
        </c:manualLayout>
      </c:layout>
      <c:barChart>
        <c:barDir val="col"/>
        <c:grouping val="clustered"/>
        <c:varyColors val="0"/>
        <c:ser>
          <c:idx val="0"/>
          <c:order val="0"/>
          <c:tx>
            <c:strRef>
              <c:f>'تكرار المخاطر'!$D$8</c:f>
              <c:strCache>
                <c:ptCount val="1"/>
                <c:pt idx="0">
                  <c:v>الفيضانات</c:v>
                </c:pt>
              </c:strCache>
            </c:strRef>
          </c:tx>
          <c:spPr>
            <a:solidFill>
              <a:srgbClr val="00B0F0"/>
            </a:solidFill>
          </c:spPr>
          <c:invertIfNegative val="0"/>
          <c:cat>
            <c:multiLvlStrRef>
              <c:f>'تكرار المخاطر'!$B$9:$C$16</c:f>
              <c:multiLvlStrCache>
                <c:ptCount val="8"/>
                <c:lvl>
                  <c:pt idx="0">
                    <c:v>نعم</c:v>
                  </c:pt>
                  <c:pt idx="1">
                    <c:v>لا</c:v>
                  </c:pt>
                  <c:pt idx="2">
                    <c:v>نعم</c:v>
                  </c:pt>
                  <c:pt idx="3">
                    <c:v>لا</c:v>
                  </c:pt>
                  <c:pt idx="4">
                    <c:v>نعم</c:v>
                  </c:pt>
                  <c:pt idx="5">
                    <c:v>لا</c:v>
                  </c:pt>
                  <c:pt idx="6">
                    <c:v>نعم</c:v>
                  </c:pt>
                  <c:pt idx="7">
                    <c:v>لا</c:v>
                  </c:pt>
                </c:lvl>
                <c:lvl>
                  <c:pt idx="0">
                    <c:v>سيدي سليمان</c:v>
                  </c:pt>
                  <c:pt idx="2">
                    <c:v>ميطر</c:v>
                  </c:pt>
                  <c:pt idx="4">
                    <c:v>الحمايد</c:v>
                  </c:pt>
                  <c:pt idx="6">
                    <c:v>الباطن </c:v>
                  </c:pt>
                </c:lvl>
              </c:multiLvlStrCache>
            </c:multiLvlStrRef>
          </c:cat>
          <c:val>
            <c:numRef>
              <c:f>'تكرار المخاطر'!$D$9:$D$16</c:f>
              <c:numCache>
                <c:formatCode>0.00</c:formatCode>
                <c:ptCount val="8"/>
                <c:pt idx="0">
                  <c:v>83.636363636363626</c:v>
                </c:pt>
                <c:pt idx="1">
                  <c:v>16.363636363636363</c:v>
                </c:pt>
                <c:pt idx="2">
                  <c:v>90.129870129870127</c:v>
                </c:pt>
                <c:pt idx="3">
                  <c:v>9.8701298701298708</c:v>
                </c:pt>
                <c:pt idx="4">
                  <c:v>81.818181818181827</c:v>
                </c:pt>
                <c:pt idx="5">
                  <c:v>18.181818181818183</c:v>
                </c:pt>
                <c:pt idx="6">
                  <c:v>88.571428571428569</c:v>
                </c:pt>
                <c:pt idx="7">
                  <c:v>11.428571428571429</c:v>
                </c:pt>
              </c:numCache>
            </c:numRef>
          </c:val>
        </c:ser>
        <c:ser>
          <c:idx val="1"/>
          <c:order val="1"/>
          <c:tx>
            <c:strRef>
              <c:f>'تكرار المخاطر'!$E$8</c:f>
              <c:strCache>
                <c:ptCount val="1"/>
                <c:pt idx="0">
                  <c:v>انزلاق التربة</c:v>
                </c:pt>
              </c:strCache>
            </c:strRef>
          </c:tx>
          <c:spPr>
            <a:solidFill>
              <a:srgbClr val="00B050"/>
            </a:solidFill>
          </c:spPr>
          <c:invertIfNegative val="0"/>
          <c:cat>
            <c:multiLvlStrRef>
              <c:f>'تكرار المخاطر'!$B$9:$C$16</c:f>
              <c:multiLvlStrCache>
                <c:ptCount val="8"/>
                <c:lvl>
                  <c:pt idx="0">
                    <c:v>نعم</c:v>
                  </c:pt>
                  <c:pt idx="1">
                    <c:v>لا</c:v>
                  </c:pt>
                  <c:pt idx="2">
                    <c:v>نعم</c:v>
                  </c:pt>
                  <c:pt idx="3">
                    <c:v>لا</c:v>
                  </c:pt>
                  <c:pt idx="4">
                    <c:v>نعم</c:v>
                  </c:pt>
                  <c:pt idx="5">
                    <c:v>لا</c:v>
                  </c:pt>
                  <c:pt idx="6">
                    <c:v>نعم</c:v>
                  </c:pt>
                  <c:pt idx="7">
                    <c:v>لا</c:v>
                  </c:pt>
                </c:lvl>
                <c:lvl>
                  <c:pt idx="0">
                    <c:v>سيدي سليمان</c:v>
                  </c:pt>
                  <c:pt idx="2">
                    <c:v>ميطر</c:v>
                  </c:pt>
                  <c:pt idx="4">
                    <c:v>الحمايد</c:v>
                  </c:pt>
                  <c:pt idx="6">
                    <c:v>الباطن </c:v>
                  </c:pt>
                </c:lvl>
              </c:multiLvlStrCache>
            </c:multiLvlStrRef>
          </c:cat>
          <c:val>
            <c:numRef>
              <c:f>'تكرار المخاطر'!$E$9:$E$16</c:f>
              <c:numCache>
                <c:formatCode>0.00</c:formatCode>
                <c:ptCount val="8"/>
                <c:pt idx="0">
                  <c:v>6.4935064935064926</c:v>
                </c:pt>
                <c:pt idx="1">
                  <c:v>93.506493506493499</c:v>
                </c:pt>
                <c:pt idx="2">
                  <c:v>2.5974025974025974</c:v>
                </c:pt>
                <c:pt idx="3">
                  <c:v>97.402597402597408</c:v>
                </c:pt>
                <c:pt idx="4">
                  <c:v>4.9350649350649354</c:v>
                </c:pt>
                <c:pt idx="5">
                  <c:v>95.064935064935057</c:v>
                </c:pt>
                <c:pt idx="6">
                  <c:v>2.5974025974025974</c:v>
                </c:pt>
                <c:pt idx="7">
                  <c:v>97.402597402597408</c:v>
                </c:pt>
              </c:numCache>
            </c:numRef>
          </c:val>
        </c:ser>
        <c:ser>
          <c:idx val="2"/>
          <c:order val="2"/>
          <c:tx>
            <c:strRef>
              <c:f>'تكرار المخاطر'!$F$8</c:f>
              <c:strCache>
                <c:ptCount val="1"/>
                <c:pt idx="0">
                  <c:v>الزلازل</c:v>
                </c:pt>
              </c:strCache>
            </c:strRef>
          </c:tx>
          <c:spPr>
            <a:solidFill>
              <a:schemeClr val="tx1"/>
            </a:solidFill>
          </c:spPr>
          <c:invertIfNegative val="0"/>
          <c:cat>
            <c:multiLvlStrRef>
              <c:f>'تكرار المخاطر'!$B$9:$C$16</c:f>
              <c:multiLvlStrCache>
                <c:ptCount val="8"/>
                <c:lvl>
                  <c:pt idx="0">
                    <c:v>نعم</c:v>
                  </c:pt>
                  <c:pt idx="1">
                    <c:v>لا</c:v>
                  </c:pt>
                  <c:pt idx="2">
                    <c:v>نعم</c:v>
                  </c:pt>
                  <c:pt idx="3">
                    <c:v>لا</c:v>
                  </c:pt>
                  <c:pt idx="4">
                    <c:v>نعم</c:v>
                  </c:pt>
                  <c:pt idx="5">
                    <c:v>لا</c:v>
                  </c:pt>
                  <c:pt idx="6">
                    <c:v>نعم</c:v>
                  </c:pt>
                  <c:pt idx="7">
                    <c:v>لا</c:v>
                  </c:pt>
                </c:lvl>
                <c:lvl>
                  <c:pt idx="0">
                    <c:v>سيدي سليمان</c:v>
                  </c:pt>
                  <c:pt idx="2">
                    <c:v>ميطر</c:v>
                  </c:pt>
                  <c:pt idx="4">
                    <c:v>الحمايد</c:v>
                  </c:pt>
                  <c:pt idx="6">
                    <c:v>الباطن </c:v>
                  </c:pt>
                </c:lvl>
              </c:multiLvlStrCache>
            </c:multiLvlStrRef>
          </c:cat>
          <c:val>
            <c:numRef>
              <c:f>'تكرار المخاطر'!$F$9:$F$16</c:f>
              <c:numCache>
                <c:formatCode>0.00</c:formatCode>
                <c:ptCount val="8"/>
                <c:pt idx="0">
                  <c:v>3.8961038961038961</c:v>
                </c:pt>
                <c:pt idx="1">
                  <c:v>96.103896103896105</c:v>
                </c:pt>
                <c:pt idx="2">
                  <c:v>3.6363636363636362</c:v>
                </c:pt>
                <c:pt idx="3">
                  <c:v>96.36363636363636</c:v>
                </c:pt>
                <c:pt idx="4">
                  <c:v>5.7142857142857144</c:v>
                </c:pt>
                <c:pt idx="5">
                  <c:v>94.285714285714278</c:v>
                </c:pt>
                <c:pt idx="6">
                  <c:v>4.4155844155844157</c:v>
                </c:pt>
                <c:pt idx="7">
                  <c:v>95.584415584415581</c:v>
                </c:pt>
              </c:numCache>
            </c:numRef>
          </c:val>
        </c:ser>
        <c:ser>
          <c:idx val="3"/>
          <c:order val="3"/>
          <c:tx>
            <c:strRef>
              <c:f>'تكرار المخاطر'!$G$8</c:f>
              <c:strCache>
                <c:ptCount val="1"/>
                <c:pt idx="0">
                  <c:v>التصحر (الترمل)</c:v>
                </c:pt>
              </c:strCache>
            </c:strRef>
          </c:tx>
          <c:spPr>
            <a:solidFill>
              <a:srgbClr val="FFFF00"/>
            </a:solidFill>
          </c:spPr>
          <c:invertIfNegative val="0"/>
          <c:cat>
            <c:multiLvlStrRef>
              <c:f>'تكرار المخاطر'!$B$9:$C$16</c:f>
              <c:multiLvlStrCache>
                <c:ptCount val="8"/>
                <c:lvl>
                  <c:pt idx="0">
                    <c:v>نعم</c:v>
                  </c:pt>
                  <c:pt idx="1">
                    <c:v>لا</c:v>
                  </c:pt>
                  <c:pt idx="2">
                    <c:v>نعم</c:v>
                  </c:pt>
                  <c:pt idx="3">
                    <c:v>لا</c:v>
                  </c:pt>
                  <c:pt idx="4">
                    <c:v>نعم</c:v>
                  </c:pt>
                  <c:pt idx="5">
                    <c:v>لا</c:v>
                  </c:pt>
                  <c:pt idx="6">
                    <c:v>نعم</c:v>
                  </c:pt>
                  <c:pt idx="7">
                    <c:v>لا</c:v>
                  </c:pt>
                </c:lvl>
                <c:lvl>
                  <c:pt idx="0">
                    <c:v>سيدي سليمان</c:v>
                  </c:pt>
                  <c:pt idx="2">
                    <c:v>ميطر</c:v>
                  </c:pt>
                  <c:pt idx="4">
                    <c:v>الحمايد</c:v>
                  </c:pt>
                  <c:pt idx="6">
                    <c:v>الباطن </c:v>
                  </c:pt>
                </c:lvl>
              </c:multiLvlStrCache>
            </c:multiLvlStrRef>
          </c:cat>
          <c:val>
            <c:numRef>
              <c:f>'تكرار المخاطر'!$G$9:$G$16</c:f>
              <c:numCache>
                <c:formatCode>0.00</c:formatCode>
                <c:ptCount val="8"/>
                <c:pt idx="0">
                  <c:v>74.025974025974023</c:v>
                </c:pt>
                <c:pt idx="1">
                  <c:v>25.97402597402597</c:v>
                </c:pt>
                <c:pt idx="2">
                  <c:v>81.818181818181827</c:v>
                </c:pt>
                <c:pt idx="3">
                  <c:v>18.181818181818183</c:v>
                </c:pt>
                <c:pt idx="4">
                  <c:v>67.532467532467535</c:v>
                </c:pt>
                <c:pt idx="5">
                  <c:v>32.467532467532465</c:v>
                </c:pt>
                <c:pt idx="6">
                  <c:v>88.831168831168824</c:v>
                </c:pt>
                <c:pt idx="7">
                  <c:v>11.168831168831169</c:v>
                </c:pt>
              </c:numCache>
            </c:numRef>
          </c:val>
        </c:ser>
        <c:dLbls>
          <c:showLegendKey val="0"/>
          <c:showVal val="0"/>
          <c:showCatName val="0"/>
          <c:showSerName val="0"/>
          <c:showPercent val="0"/>
          <c:showBubbleSize val="0"/>
        </c:dLbls>
        <c:gapWidth val="150"/>
        <c:axId val="589930496"/>
        <c:axId val="586539008"/>
      </c:barChart>
      <c:catAx>
        <c:axId val="589930496"/>
        <c:scaling>
          <c:orientation val="minMax"/>
        </c:scaling>
        <c:delete val="0"/>
        <c:axPos val="b"/>
        <c:majorTickMark val="out"/>
        <c:minorTickMark val="none"/>
        <c:tickLblPos val="nextTo"/>
        <c:crossAx val="586539008"/>
        <c:crosses val="autoZero"/>
        <c:auto val="1"/>
        <c:lblAlgn val="ctr"/>
        <c:lblOffset val="100"/>
        <c:noMultiLvlLbl val="0"/>
      </c:catAx>
      <c:valAx>
        <c:axId val="586539008"/>
        <c:scaling>
          <c:orientation val="minMax"/>
          <c:max val="100"/>
        </c:scaling>
        <c:delete val="0"/>
        <c:axPos val="l"/>
        <c:majorGridlines/>
        <c:numFmt formatCode="0.00" sourceLinked="1"/>
        <c:majorTickMark val="out"/>
        <c:minorTickMark val="none"/>
        <c:tickLblPos val="nextTo"/>
        <c:crossAx val="589930496"/>
        <c:crosses val="autoZero"/>
        <c:crossBetween val="between"/>
      </c:valAx>
    </c:plotArea>
    <c:legend>
      <c:legendPos val="r"/>
      <c:layout>
        <c:manualLayout>
          <c:xMode val="edge"/>
          <c:yMode val="edge"/>
          <c:x val="0.73183655452159391"/>
          <c:y val="0.20063008344348304"/>
          <c:w val="0.24756696783230991"/>
          <c:h val="0.50426417696114811"/>
        </c:manualLayout>
      </c:layout>
      <c:overlay val="0"/>
    </c:legend>
    <c:plotVisOnly val="1"/>
    <c:dispBlanksAs val="gap"/>
    <c:showDLblsOverMax val="0"/>
  </c:chart>
  <c:spPr>
    <a:ln>
      <a:solidFill>
        <a:schemeClr val="tx1"/>
      </a:solid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775109337217301"/>
          <c:y val="9.5682707309882431E-2"/>
          <c:w val="0.43258200086952331"/>
          <c:h val="0.73762533995408752"/>
        </c:manualLayout>
      </c:layout>
      <c:barChart>
        <c:barDir val="col"/>
        <c:grouping val="clustered"/>
        <c:varyColors val="0"/>
        <c:ser>
          <c:idx val="0"/>
          <c:order val="0"/>
          <c:tx>
            <c:strRef>
              <c:f>'اهمية عملية الحماية'!$C$5</c:f>
              <c:strCache>
                <c:ptCount val="1"/>
                <c:pt idx="0">
                  <c:v>مجدية</c:v>
                </c:pt>
              </c:strCache>
            </c:strRef>
          </c:tx>
          <c:spPr>
            <a:solidFill>
              <a:schemeClr val="accent3"/>
            </a:solidFill>
          </c:spPr>
          <c:invertIfNegative val="0"/>
          <c:cat>
            <c:strRef>
              <c:f>'اهمية عملية الحماية'!$B$6</c:f>
              <c:strCache>
                <c:ptCount val="1"/>
                <c:pt idx="0">
                  <c:v>الباطن </c:v>
                </c:pt>
              </c:strCache>
            </c:strRef>
          </c:cat>
          <c:val>
            <c:numRef>
              <c:f>'اهمية عملية الحماية'!$C$6</c:f>
              <c:numCache>
                <c:formatCode>0.00</c:formatCode>
                <c:ptCount val="1"/>
                <c:pt idx="0">
                  <c:v>15.064935064935066</c:v>
                </c:pt>
              </c:numCache>
            </c:numRef>
          </c:val>
        </c:ser>
        <c:ser>
          <c:idx val="1"/>
          <c:order val="1"/>
          <c:tx>
            <c:strRef>
              <c:f>'اهمية عملية الحماية'!$D$5</c:f>
              <c:strCache>
                <c:ptCount val="1"/>
                <c:pt idx="0">
                  <c:v>غير مجدية</c:v>
                </c:pt>
              </c:strCache>
            </c:strRef>
          </c:tx>
          <c:spPr>
            <a:solidFill>
              <a:schemeClr val="accent2"/>
            </a:solidFill>
          </c:spPr>
          <c:invertIfNegative val="0"/>
          <c:cat>
            <c:strRef>
              <c:f>'اهمية عملية الحماية'!$B$6</c:f>
              <c:strCache>
                <c:ptCount val="1"/>
                <c:pt idx="0">
                  <c:v>الباطن </c:v>
                </c:pt>
              </c:strCache>
            </c:strRef>
          </c:cat>
          <c:val>
            <c:numRef>
              <c:f>'اهمية عملية الحماية'!$D$6</c:f>
              <c:numCache>
                <c:formatCode>0.00</c:formatCode>
                <c:ptCount val="1"/>
                <c:pt idx="0">
                  <c:v>67.012987012987011</c:v>
                </c:pt>
              </c:numCache>
            </c:numRef>
          </c:val>
        </c:ser>
        <c:ser>
          <c:idx val="2"/>
          <c:order val="2"/>
          <c:tx>
            <c:strRef>
              <c:f>'اهمية عملية الحماية'!$E$5</c:f>
              <c:strCache>
                <c:ptCount val="1"/>
                <c:pt idx="0">
                  <c:v>لا اعرف</c:v>
                </c:pt>
              </c:strCache>
            </c:strRef>
          </c:tx>
          <c:spPr>
            <a:solidFill>
              <a:schemeClr val="tx2">
                <a:lumMod val="60000"/>
                <a:lumOff val="40000"/>
              </a:schemeClr>
            </a:solidFill>
          </c:spPr>
          <c:invertIfNegative val="0"/>
          <c:cat>
            <c:strRef>
              <c:f>'اهمية عملية الحماية'!$B$6</c:f>
              <c:strCache>
                <c:ptCount val="1"/>
                <c:pt idx="0">
                  <c:v>الباطن </c:v>
                </c:pt>
              </c:strCache>
            </c:strRef>
          </c:cat>
          <c:val>
            <c:numRef>
              <c:f>'اهمية عملية الحماية'!$E$6</c:f>
              <c:numCache>
                <c:formatCode>0.00</c:formatCode>
                <c:ptCount val="1"/>
                <c:pt idx="0">
                  <c:v>17.922077922077921</c:v>
                </c:pt>
              </c:numCache>
            </c:numRef>
          </c:val>
        </c:ser>
        <c:dLbls>
          <c:showLegendKey val="0"/>
          <c:showVal val="0"/>
          <c:showCatName val="0"/>
          <c:showSerName val="0"/>
          <c:showPercent val="0"/>
          <c:showBubbleSize val="0"/>
        </c:dLbls>
        <c:gapWidth val="150"/>
        <c:axId val="589932032"/>
        <c:axId val="586540736"/>
      </c:barChart>
      <c:catAx>
        <c:axId val="589932032"/>
        <c:scaling>
          <c:orientation val="minMax"/>
        </c:scaling>
        <c:delete val="0"/>
        <c:axPos val="b"/>
        <c:majorTickMark val="out"/>
        <c:minorTickMark val="none"/>
        <c:tickLblPos val="nextTo"/>
        <c:crossAx val="586540736"/>
        <c:crosses val="autoZero"/>
        <c:auto val="1"/>
        <c:lblAlgn val="ctr"/>
        <c:lblOffset val="100"/>
        <c:noMultiLvlLbl val="0"/>
      </c:catAx>
      <c:valAx>
        <c:axId val="586540736"/>
        <c:scaling>
          <c:orientation val="minMax"/>
          <c:max val="100"/>
        </c:scaling>
        <c:delete val="0"/>
        <c:axPos val="l"/>
        <c:majorGridlines/>
        <c:numFmt formatCode="0.00" sourceLinked="1"/>
        <c:majorTickMark val="out"/>
        <c:minorTickMark val="none"/>
        <c:tickLblPos val="nextTo"/>
        <c:crossAx val="589932032"/>
        <c:crosses val="autoZero"/>
        <c:crossBetween val="between"/>
      </c:valAx>
    </c:plotArea>
    <c:legend>
      <c:legendPos val="r"/>
      <c:layout>
        <c:manualLayout>
          <c:xMode val="edge"/>
          <c:yMode val="edge"/>
          <c:x val="0.62940449110527852"/>
          <c:y val="0.27439569823992588"/>
          <c:w val="0.33661325521535423"/>
          <c:h val="0.39316928343651592"/>
        </c:manualLayout>
      </c:layout>
      <c:overlay val="0"/>
    </c:legend>
    <c:plotVisOnly val="1"/>
    <c:dispBlanksAs val="gap"/>
    <c:showDLblsOverMax val="0"/>
  </c:chart>
  <c:spPr>
    <a:ln>
      <a:solidFill>
        <a:schemeClr val="tx1"/>
      </a:solidFill>
    </a:ln>
  </c:spPr>
  <c:externalData r:id="rId1">
    <c:autoUpdate val="0"/>
  </c:externalData>
</c:chartSpace>
</file>

<file path=word/diagrams/_rels/data11.xml.rels><?xml version="1.0" encoding="UTF-8" standalone="yes"?>
<Relationships xmlns="http://schemas.openxmlformats.org/package/2006/relationships"><Relationship Id="rId3" Type="http://schemas.openxmlformats.org/officeDocument/2006/relationships/image" Target="../media/image44.jpeg"/><Relationship Id="rId2" Type="http://schemas.openxmlformats.org/officeDocument/2006/relationships/image" Target="../media/image43.jpeg"/><Relationship Id="rId1" Type="http://schemas.openxmlformats.org/officeDocument/2006/relationships/image" Target="../media/image42.jpeg"/><Relationship Id="rId5" Type="http://schemas.openxmlformats.org/officeDocument/2006/relationships/image" Target="../media/image46.jpeg"/><Relationship Id="rId4" Type="http://schemas.openxmlformats.org/officeDocument/2006/relationships/image" Target="../media/image45.jpeg"/></Relationships>
</file>

<file path=word/diagrams/_rels/data16.xml.rels><?xml version="1.0" encoding="UTF-8" standalone="yes"?>
<Relationships xmlns="http://schemas.openxmlformats.org/package/2006/relationships"><Relationship Id="rId2" Type="http://schemas.openxmlformats.org/officeDocument/2006/relationships/image" Target="../media/image72.jpeg"/><Relationship Id="rId1" Type="http://schemas.openxmlformats.org/officeDocument/2006/relationships/image" Target="../media/image71.jpeg"/></Relationships>
</file>

<file path=word/diagrams/_rels/data18.xml.rels><?xml version="1.0" encoding="UTF-8" standalone="yes"?>
<Relationships xmlns="http://schemas.openxmlformats.org/package/2006/relationships"><Relationship Id="rId3" Type="http://schemas.openxmlformats.org/officeDocument/2006/relationships/image" Target="../media/image45.jpeg"/><Relationship Id="rId2" Type="http://schemas.openxmlformats.org/officeDocument/2006/relationships/image" Target="../media/image84.png"/><Relationship Id="rId1" Type="http://schemas.openxmlformats.org/officeDocument/2006/relationships/image" Target="../media/image43.jpeg"/><Relationship Id="rId5" Type="http://schemas.openxmlformats.org/officeDocument/2006/relationships/image" Target="../media/image44.jpeg"/><Relationship Id="rId4" Type="http://schemas.openxmlformats.org/officeDocument/2006/relationships/image" Target="../media/image46.jpeg"/></Relationships>
</file>

<file path=word/diagrams/_rels/data20.xml.rels><?xml version="1.0" encoding="UTF-8" standalone="yes"?>
<Relationships xmlns="http://schemas.openxmlformats.org/package/2006/relationships"><Relationship Id="rId3" Type="http://schemas.openxmlformats.org/officeDocument/2006/relationships/image" Target="../media/image97.jpeg"/><Relationship Id="rId2" Type="http://schemas.openxmlformats.org/officeDocument/2006/relationships/image" Target="../media/image96.png"/><Relationship Id="rId1" Type="http://schemas.openxmlformats.org/officeDocument/2006/relationships/image" Target="../media/image95.png"/></Relationships>
</file>

<file path=word/diagrams/_rels/data22.xml.rels><?xml version="1.0" encoding="UTF-8" standalone="yes"?>
<Relationships xmlns="http://schemas.openxmlformats.org/package/2006/relationships"><Relationship Id="rId3" Type="http://schemas.openxmlformats.org/officeDocument/2006/relationships/image" Target="../media/image139.jpeg"/><Relationship Id="rId2" Type="http://schemas.openxmlformats.org/officeDocument/2006/relationships/image" Target="../media/image138.jpeg"/><Relationship Id="rId1" Type="http://schemas.openxmlformats.org/officeDocument/2006/relationships/image" Target="../media/image137.jpeg"/><Relationship Id="rId4" Type="http://schemas.openxmlformats.org/officeDocument/2006/relationships/image" Target="../media/image140.jpeg"/></Relationships>
</file>

<file path=word/diagrams/_rels/data6.xml.rels><?xml version="1.0" encoding="UTF-8" standalone="yes"?>
<Relationships xmlns="http://schemas.openxmlformats.org/package/2006/relationships"><Relationship Id="rId1" Type="http://schemas.openxmlformats.org/officeDocument/2006/relationships/image" Target="../media/image22.png"/></Relationships>
</file>

<file path=word/diagrams/_rels/drawing11.xml.rels><?xml version="1.0" encoding="UTF-8" standalone="yes"?>
<Relationships xmlns="http://schemas.openxmlformats.org/package/2006/relationships"><Relationship Id="rId3" Type="http://schemas.openxmlformats.org/officeDocument/2006/relationships/image" Target="../media/image44.jpeg"/><Relationship Id="rId2" Type="http://schemas.openxmlformats.org/officeDocument/2006/relationships/image" Target="../media/image43.jpeg"/><Relationship Id="rId1" Type="http://schemas.openxmlformats.org/officeDocument/2006/relationships/image" Target="../media/image42.jpeg"/><Relationship Id="rId5" Type="http://schemas.openxmlformats.org/officeDocument/2006/relationships/image" Target="../media/image46.jpeg"/><Relationship Id="rId4" Type="http://schemas.openxmlformats.org/officeDocument/2006/relationships/image" Target="../media/image45.jpeg"/></Relationships>
</file>

<file path=word/diagrams/_rels/drawing16.xml.rels><?xml version="1.0" encoding="UTF-8" standalone="yes"?>
<Relationships xmlns="http://schemas.openxmlformats.org/package/2006/relationships"><Relationship Id="rId2" Type="http://schemas.openxmlformats.org/officeDocument/2006/relationships/image" Target="../media/image71.jpeg"/><Relationship Id="rId1" Type="http://schemas.openxmlformats.org/officeDocument/2006/relationships/image" Target="../media/image72.jpeg"/></Relationships>
</file>

<file path=word/diagrams/_rels/drawing18.xml.rels><?xml version="1.0" encoding="UTF-8" standalone="yes"?>
<Relationships xmlns="http://schemas.openxmlformats.org/package/2006/relationships"><Relationship Id="rId3" Type="http://schemas.openxmlformats.org/officeDocument/2006/relationships/image" Target="../media/image44.jpeg"/><Relationship Id="rId2" Type="http://schemas.openxmlformats.org/officeDocument/2006/relationships/image" Target="../media/image84.png"/><Relationship Id="rId1" Type="http://schemas.openxmlformats.org/officeDocument/2006/relationships/image" Target="../media/image43.jpeg"/><Relationship Id="rId5" Type="http://schemas.openxmlformats.org/officeDocument/2006/relationships/image" Target="../media/image46.jpeg"/><Relationship Id="rId4" Type="http://schemas.openxmlformats.org/officeDocument/2006/relationships/image" Target="../media/image45.jpeg"/></Relationships>
</file>

<file path=word/diagrams/_rels/drawing20.xml.rels><?xml version="1.0" encoding="UTF-8" standalone="yes"?>
<Relationships xmlns="http://schemas.openxmlformats.org/package/2006/relationships"><Relationship Id="rId3" Type="http://schemas.openxmlformats.org/officeDocument/2006/relationships/image" Target="../media/image97.jpeg"/><Relationship Id="rId2" Type="http://schemas.openxmlformats.org/officeDocument/2006/relationships/image" Target="../media/image95.png"/><Relationship Id="rId1" Type="http://schemas.openxmlformats.org/officeDocument/2006/relationships/image" Target="../media/image96.png"/></Relationships>
</file>

<file path=word/diagrams/_rels/drawing22.xml.rels><?xml version="1.0" encoding="UTF-8" standalone="yes"?>
<Relationships xmlns="http://schemas.openxmlformats.org/package/2006/relationships"><Relationship Id="rId3" Type="http://schemas.openxmlformats.org/officeDocument/2006/relationships/image" Target="../media/image139.jpeg"/><Relationship Id="rId2" Type="http://schemas.openxmlformats.org/officeDocument/2006/relationships/image" Target="../media/image138.jpeg"/><Relationship Id="rId1" Type="http://schemas.openxmlformats.org/officeDocument/2006/relationships/image" Target="../media/image137.jpeg"/><Relationship Id="rId4" Type="http://schemas.openxmlformats.org/officeDocument/2006/relationships/image" Target="../media/image140.jpeg"/></Relationships>
</file>

<file path=word/diagrams/_rels/drawing6.xml.rels><?xml version="1.0" encoding="UTF-8" standalone="yes"?>
<Relationships xmlns="http://schemas.openxmlformats.org/package/2006/relationships"><Relationship Id="rId1" Type="http://schemas.openxmlformats.org/officeDocument/2006/relationships/image" Target="../media/image22.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21643C-88D9-443A-9687-BC58E3547984}"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fr-FR"/>
        </a:p>
      </dgm:t>
    </dgm:pt>
    <dgm:pt modelId="{5B53217C-0E06-4DBD-974A-87891201AA09}">
      <dgm:prSet phldrT="[Texte]" custT="1"/>
      <dgm:spPr>
        <a:solidFill>
          <a:schemeClr val="bg1">
            <a:lumMod val="75000"/>
          </a:schemeClr>
        </a:solidFill>
        <a:ln w="6350">
          <a:solidFill>
            <a:schemeClr val="bg1">
              <a:lumMod val="75000"/>
            </a:schemeClr>
          </a:solidFill>
        </a:ln>
      </dgm:spPr>
      <dgm:t>
        <a:bodyPr/>
        <a:lstStyle/>
        <a:p>
          <a:pPr algn="ctr" rtl="1"/>
          <a:r>
            <a:rPr lang="ar-SA" sz="1200" b="1">
              <a:latin typeface="Simplified Arabic" panose="02020603050405020304" pitchFamily="18" charset="-78"/>
              <a:cs typeface="Simplified Arabic" panose="02020603050405020304" pitchFamily="18" charset="-78"/>
            </a:rPr>
            <a:t>استعمال</a:t>
          </a:r>
          <a:r>
            <a:rPr lang="ar-DZ" sz="1200" b="1">
              <a:latin typeface="Simplified Arabic" panose="02020603050405020304" pitchFamily="18" charset="-78"/>
              <a:cs typeface="Simplified Arabic" panose="02020603050405020304" pitchFamily="18" charset="-78"/>
            </a:rPr>
            <a:t> الارض الحضرية</a:t>
          </a:r>
          <a:endParaRPr lang="fr-FR" sz="1200" b="1">
            <a:latin typeface="Simplified Arabic" panose="02020603050405020304" pitchFamily="18" charset="-78"/>
            <a:cs typeface="Simplified Arabic" panose="02020603050405020304" pitchFamily="18" charset="-78"/>
          </a:endParaRPr>
        </a:p>
      </dgm:t>
    </dgm:pt>
    <dgm:pt modelId="{3F3BFC95-2C22-4E82-9277-46468BC2F4A1}" type="parTrans" cxnId="{85360CE0-2AF2-467F-9B50-5F80CDF75BA2}">
      <dgm:prSet/>
      <dgm:spPr/>
      <dgm:t>
        <a:bodyPr/>
        <a:lstStyle/>
        <a:p>
          <a:pPr algn="ctr" rtl="1"/>
          <a:endParaRPr lang="fr-FR"/>
        </a:p>
      </dgm:t>
    </dgm:pt>
    <dgm:pt modelId="{B29E63F2-7943-49F8-B2B4-8A37E6DE8F78}" type="sibTrans" cxnId="{85360CE0-2AF2-467F-9B50-5F80CDF75BA2}">
      <dgm:prSet/>
      <dgm:spPr/>
      <dgm:t>
        <a:bodyPr/>
        <a:lstStyle/>
        <a:p>
          <a:pPr algn="ctr" rtl="1"/>
          <a:endParaRPr lang="fr-FR"/>
        </a:p>
      </dgm:t>
    </dgm:pt>
    <dgm:pt modelId="{5724942B-C0D8-4952-A5CE-FD4B386BE4FD}">
      <dgm:prSet phldrT="[Texte]" custT="1"/>
      <dgm:spPr>
        <a:solidFill>
          <a:schemeClr val="bg1">
            <a:lumMod val="75000"/>
          </a:schemeClr>
        </a:solidFill>
        <a:ln>
          <a:solidFill>
            <a:schemeClr val="bg1">
              <a:lumMod val="75000"/>
            </a:schemeClr>
          </a:solidFill>
        </a:ln>
      </dgm:spPr>
      <dgm:t>
        <a:bodyPr/>
        <a:lstStyle/>
        <a:p>
          <a:pPr algn="ctr" rtl="1"/>
          <a:r>
            <a:rPr lang="ar-SA" sz="1200">
              <a:latin typeface="Simplified Arabic" panose="02020603050405020304" pitchFamily="18" charset="-78"/>
              <a:cs typeface="Simplified Arabic" panose="02020603050405020304" pitchFamily="18" charset="-78"/>
            </a:rPr>
            <a:t>تحديد المناطق الحضرية</a:t>
          </a:r>
          <a:endParaRPr lang="fr-FR" sz="1200">
            <a:latin typeface="Simplified Arabic" panose="02020603050405020304" pitchFamily="18" charset="-78"/>
            <a:cs typeface="Simplified Arabic" panose="02020603050405020304" pitchFamily="18" charset="-78"/>
          </a:endParaRPr>
        </a:p>
      </dgm:t>
    </dgm:pt>
    <dgm:pt modelId="{D84CE293-3262-4274-9C90-E816DCC9E7C4}" type="parTrans" cxnId="{D54DE8DC-13EB-4199-9878-7F5D24B33441}">
      <dgm:prSet custT="1"/>
      <dgm:spPr/>
      <dgm:t>
        <a:bodyPr/>
        <a:lstStyle/>
        <a:p>
          <a:pPr algn="ctr" rtl="1"/>
          <a:r>
            <a:rPr lang="ar-DZ" sz="1200">
              <a:latin typeface="Simplified Arabic" panose="02020603050405020304" pitchFamily="18" charset="-78"/>
              <a:cs typeface="Simplified Arabic" panose="02020603050405020304" pitchFamily="18" charset="-78"/>
            </a:rPr>
            <a:t>1</a:t>
          </a:r>
          <a:endParaRPr lang="fr-FR" sz="1200">
            <a:latin typeface="Simplified Arabic" panose="02020603050405020304" pitchFamily="18" charset="-78"/>
            <a:cs typeface="Simplified Arabic" panose="02020603050405020304" pitchFamily="18" charset="-78"/>
          </a:endParaRPr>
        </a:p>
      </dgm:t>
    </dgm:pt>
    <dgm:pt modelId="{C908BFB9-4A16-4112-8791-A992FB467853}" type="sibTrans" cxnId="{D54DE8DC-13EB-4199-9878-7F5D24B33441}">
      <dgm:prSet/>
      <dgm:spPr/>
      <dgm:t>
        <a:bodyPr/>
        <a:lstStyle/>
        <a:p>
          <a:pPr algn="ctr" rtl="1"/>
          <a:endParaRPr lang="fr-FR"/>
        </a:p>
      </dgm:t>
    </dgm:pt>
    <dgm:pt modelId="{B1ED6529-2E92-41CD-AE3F-8F2EDE5A3201}">
      <dgm:prSet phldrT="[Texte]" custT="1"/>
      <dgm:spPr>
        <a:solidFill>
          <a:schemeClr val="bg1">
            <a:lumMod val="85000"/>
          </a:schemeClr>
        </a:solidFill>
        <a:ln>
          <a:solidFill>
            <a:schemeClr val="bg1">
              <a:lumMod val="85000"/>
            </a:schemeClr>
          </a:solidFill>
        </a:ln>
      </dgm:spPr>
      <dgm:t>
        <a:bodyPr/>
        <a:lstStyle/>
        <a:p>
          <a:pPr algn="ctr" rtl="1"/>
          <a:r>
            <a:rPr lang="ar-DZ" sz="1000">
              <a:latin typeface="Simplified Arabic" panose="02020603050405020304" pitchFamily="18" charset="-78"/>
              <a:cs typeface="Simplified Arabic" panose="02020603050405020304" pitchFamily="18" charset="-78"/>
            </a:rPr>
            <a:t>1. </a:t>
          </a:r>
          <a:r>
            <a:rPr lang="ar-SA" sz="1000">
              <a:latin typeface="Simplified Arabic" panose="02020603050405020304" pitchFamily="18" charset="-78"/>
              <a:cs typeface="Simplified Arabic" panose="02020603050405020304" pitchFamily="18" charset="-78"/>
            </a:rPr>
            <a:t>أنشطة عمل الأفراد</a:t>
          </a:r>
          <a:r>
            <a:rPr lang="ar-DZ" sz="1000">
              <a:latin typeface="Simplified Arabic" panose="02020603050405020304" pitchFamily="18" charset="-78"/>
              <a:cs typeface="Simplified Arabic" panose="02020603050405020304" pitchFamily="18" charset="-78"/>
            </a:rPr>
            <a:t> (الانشطة اليومية)</a:t>
          </a:r>
          <a:endParaRPr lang="fr-FR" sz="1000">
            <a:latin typeface="Simplified Arabic" panose="02020603050405020304" pitchFamily="18" charset="-78"/>
            <a:cs typeface="Simplified Arabic" panose="02020603050405020304" pitchFamily="18" charset="-78"/>
          </a:endParaRPr>
        </a:p>
      </dgm:t>
    </dgm:pt>
    <dgm:pt modelId="{2FBBFC94-AE6A-4101-8956-40EA278C3FB0}" type="parTrans" cxnId="{D6117919-415D-4F80-AC68-9C22DAC38504}">
      <dgm:prSet/>
      <dgm:spPr/>
      <dgm:t>
        <a:bodyPr/>
        <a:lstStyle/>
        <a:p>
          <a:pPr algn="ctr" rtl="1"/>
          <a:endParaRPr lang="fr-FR"/>
        </a:p>
      </dgm:t>
    </dgm:pt>
    <dgm:pt modelId="{DDFCB4C3-310F-4094-9DA1-460C26E1ED19}" type="sibTrans" cxnId="{D6117919-415D-4F80-AC68-9C22DAC38504}">
      <dgm:prSet/>
      <dgm:spPr/>
      <dgm:t>
        <a:bodyPr/>
        <a:lstStyle/>
        <a:p>
          <a:pPr algn="ctr" rtl="1"/>
          <a:endParaRPr lang="fr-FR"/>
        </a:p>
      </dgm:t>
    </dgm:pt>
    <dgm:pt modelId="{939CB3BC-C1A3-4769-BC8B-ECFB30C27276}">
      <dgm:prSet phldrT="[Texte]" custT="1"/>
      <dgm:spPr>
        <a:solidFill>
          <a:schemeClr val="bg1">
            <a:lumMod val="85000"/>
          </a:schemeClr>
        </a:solidFill>
        <a:ln>
          <a:solidFill>
            <a:schemeClr val="bg1">
              <a:lumMod val="85000"/>
            </a:schemeClr>
          </a:solidFill>
        </a:ln>
      </dgm:spPr>
      <dgm:t>
        <a:bodyPr/>
        <a:lstStyle/>
        <a:p>
          <a:pPr algn="ctr" rtl="1"/>
          <a:r>
            <a:rPr lang="ar-DZ" sz="1000">
              <a:latin typeface="Simplified Arabic" panose="02020603050405020304" pitchFamily="18" charset="-78"/>
              <a:cs typeface="Simplified Arabic" panose="02020603050405020304" pitchFamily="18" charset="-78"/>
            </a:rPr>
            <a:t>2. </a:t>
          </a:r>
          <a:r>
            <a:rPr lang="ar-SA" sz="1000">
              <a:latin typeface="Simplified Arabic" panose="02020603050405020304" pitchFamily="18" charset="-78"/>
              <a:cs typeface="Simplified Arabic" panose="02020603050405020304" pitchFamily="18" charset="-78"/>
            </a:rPr>
            <a:t>الخدمات العامة</a:t>
          </a:r>
          <a:r>
            <a:rPr lang="ar-DZ" sz="1000">
              <a:latin typeface="Simplified Arabic" panose="02020603050405020304" pitchFamily="18" charset="-78"/>
              <a:cs typeface="Simplified Arabic" panose="02020603050405020304" pitchFamily="18" charset="-78"/>
            </a:rPr>
            <a:t> (اقتصاية اجتماعية </a:t>
          </a:r>
          <a:r>
            <a:rPr lang="ar-DZ" sz="1000" b="0">
              <a:latin typeface="Simplified Arabic" panose="02020603050405020304" pitchFamily="18" charset="-78"/>
              <a:cs typeface="Simplified Arabic" panose="02020603050405020304" pitchFamily="18" charset="-78"/>
            </a:rPr>
            <a:t>وغيرها</a:t>
          </a:r>
          <a:r>
            <a:rPr lang="ar-DZ" sz="1000">
              <a:latin typeface="Simplified Arabic" panose="02020603050405020304" pitchFamily="18" charset="-78"/>
              <a:cs typeface="Simplified Arabic" panose="02020603050405020304" pitchFamily="18" charset="-78"/>
            </a:rPr>
            <a:t>)</a:t>
          </a:r>
          <a:endParaRPr lang="fr-FR" sz="1000">
            <a:latin typeface="Simplified Arabic" panose="02020603050405020304" pitchFamily="18" charset="-78"/>
            <a:cs typeface="Simplified Arabic" panose="02020603050405020304" pitchFamily="18" charset="-78"/>
          </a:endParaRPr>
        </a:p>
      </dgm:t>
    </dgm:pt>
    <dgm:pt modelId="{5542BAE3-B38B-4D1D-8B80-DD321217A45F}" type="parTrans" cxnId="{A00ADF6F-246B-43D8-AC0C-D689BC38850E}">
      <dgm:prSet/>
      <dgm:spPr/>
      <dgm:t>
        <a:bodyPr/>
        <a:lstStyle/>
        <a:p>
          <a:pPr algn="ctr" rtl="1"/>
          <a:endParaRPr lang="fr-FR"/>
        </a:p>
      </dgm:t>
    </dgm:pt>
    <dgm:pt modelId="{121DE647-36EE-4A2F-A796-DC5ABE7ACA6F}" type="sibTrans" cxnId="{A00ADF6F-246B-43D8-AC0C-D689BC38850E}">
      <dgm:prSet/>
      <dgm:spPr/>
      <dgm:t>
        <a:bodyPr/>
        <a:lstStyle/>
        <a:p>
          <a:pPr algn="ctr" rtl="1"/>
          <a:endParaRPr lang="fr-FR"/>
        </a:p>
      </dgm:t>
    </dgm:pt>
    <dgm:pt modelId="{65BB3A97-E061-4DC6-8A33-1B13DE522440}">
      <dgm:prSet phldrT="[Texte]" custT="1"/>
      <dgm:spPr>
        <a:solidFill>
          <a:schemeClr val="bg1">
            <a:lumMod val="75000"/>
          </a:schemeClr>
        </a:solidFill>
        <a:ln>
          <a:solidFill>
            <a:schemeClr val="bg1">
              <a:lumMod val="75000"/>
            </a:schemeClr>
          </a:solidFill>
        </a:ln>
      </dgm:spPr>
      <dgm:t>
        <a:bodyPr/>
        <a:lstStyle/>
        <a:p>
          <a:pPr algn="ctr" rtl="1"/>
          <a:r>
            <a:rPr lang="ar-DZ" sz="1200">
              <a:latin typeface="Simplified Arabic" panose="02020603050405020304" pitchFamily="18" charset="-78"/>
              <a:cs typeface="Simplified Arabic" panose="02020603050405020304" pitchFamily="18" charset="-78"/>
            </a:rPr>
            <a:t>علاقة التوزيع المكاني مع أنشطة الأفراد وخدماتهم </a:t>
          </a:r>
          <a:endParaRPr lang="fr-FR" sz="1100">
            <a:latin typeface="Simplified Arabic" panose="02020603050405020304" pitchFamily="18" charset="-78"/>
            <a:cs typeface="Simplified Arabic" panose="02020603050405020304" pitchFamily="18" charset="-78"/>
          </a:endParaRPr>
        </a:p>
      </dgm:t>
    </dgm:pt>
    <dgm:pt modelId="{CE3D49FF-5814-47E4-8154-89A753F19C48}" type="parTrans" cxnId="{1678B01E-582F-4E9B-A647-8A39D4555051}">
      <dgm:prSet custT="1"/>
      <dgm:spPr/>
      <dgm:t>
        <a:bodyPr/>
        <a:lstStyle/>
        <a:p>
          <a:pPr algn="ctr" rtl="1"/>
          <a:r>
            <a:rPr lang="ar-DZ" sz="1200">
              <a:latin typeface="Simplified Arabic" panose="02020603050405020304" pitchFamily="18" charset="-78"/>
              <a:cs typeface="Simplified Arabic" panose="02020603050405020304" pitchFamily="18" charset="-78"/>
            </a:rPr>
            <a:t>3</a:t>
          </a:r>
          <a:endParaRPr lang="fr-FR" sz="1200">
            <a:latin typeface="Simplified Arabic" panose="02020603050405020304" pitchFamily="18" charset="-78"/>
            <a:cs typeface="Simplified Arabic" panose="02020603050405020304" pitchFamily="18" charset="-78"/>
          </a:endParaRPr>
        </a:p>
      </dgm:t>
    </dgm:pt>
    <dgm:pt modelId="{09237381-9E80-463A-BF03-CC5553219EDC}" type="sibTrans" cxnId="{1678B01E-582F-4E9B-A647-8A39D4555051}">
      <dgm:prSet/>
      <dgm:spPr/>
      <dgm:t>
        <a:bodyPr/>
        <a:lstStyle/>
        <a:p>
          <a:pPr algn="ctr" rtl="1"/>
          <a:endParaRPr lang="fr-FR"/>
        </a:p>
      </dgm:t>
    </dgm:pt>
    <dgm:pt modelId="{DAFA32B0-D7CE-4F49-BFBE-D4AB0FE5D073}">
      <dgm:prSet phldrT="[Texte]" custT="1"/>
      <dgm:spPr>
        <a:solidFill>
          <a:schemeClr val="bg1">
            <a:lumMod val="75000"/>
          </a:schemeClr>
        </a:solidFill>
        <a:ln>
          <a:solidFill>
            <a:schemeClr val="bg1">
              <a:lumMod val="75000"/>
            </a:schemeClr>
          </a:solidFill>
        </a:ln>
      </dgm:spPr>
      <dgm:t>
        <a:bodyPr/>
        <a:lstStyle/>
        <a:p>
          <a:pPr algn="ctr" rtl="1"/>
          <a:r>
            <a:rPr lang="ar-SA" sz="1200">
              <a:latin typeface="Simplified Arabic" panose="02020603050405020304" pitchFamily="18" charset="-78"/>
              <a:cs typeface="Simplified Arabic" panose="02020603050405020304" pitchFamily="18" charset="-78"/>
            </a:rPr>
            <a:t>التوزيع المكاني الوظيفي للمدينة </a:t>
          </a:r>
          <a:endParaRPr lang="fr-FR" sz="1200">
            <a:latin typeface="Simplified Arabic" panose="02020603050405020304" pitchFamily="18" charset="-78"/>
            <a:cs typeface="Simplified Arabic" panose="02020603050405020304" pitchFamily="18" charset="-78"/>
          </a:endParaRPr>
        </a:p>
      </dgm:t>
    </dgm:pt>
    <dgm:pt modelId="{4235E2BF-F017-4544-AE01-CA01CB05BDEF}" type="sibTrans" cxnId="{77022DF5-DAF8-48BF-BBC0-BDDF4926BAB6}">
      <dgm:prSet/>
      <dgm:spPr/>
      <dgm:t>
        <a:bodyPr/>
        <a:lstStyle/>
        <a:p>
          <a:pPr algn="ctr" rtl="1"/>
          <a:endParaRPr lang="fr-FR"/>
        </a:p>
      </dgm:t>
    </dgm:pt>
    <dgm:pt modelId="{1EEC5F86-7597-4467-B2C6-A0036851920F}" type="parTrans" cxnId="{77022DF5-DAF8-48BF-BBC0-BDDF4926BAB6}">
      <dgm:prSet custT="1"/>
      <dgm:spPr/>
      <dgm:t>
        <a:bodyPr/>
        <a:lstStyle/>
        <a:p>
          <a:pPr algn="ctr" rtl="1"/>
          <a:r>
            <a:rPr lang="ar-DZ" sz="1200">
              <a:latin typeface="Simplified Arabic" panose="02020603050405020304" pitchFamily="18" charset="-78"/>
              <a:cs typeface="Simplified Arabic" panose="02020603050405020304" pitchFamily="18" charset="-78"/>
            </a:rPr>
            <a:t>2</a:t>
          </a:r>
          <a:endParaRPr lang="fr-FR" sz="1200">
            <a:latin typeface="Simplified Arabic" panose="02020603050405020304" pitchFamily="18" charset="-78"/>
            <a:cs typeface="Simplified Arabic" panose="02020603050405020304" pitchFamily="18" charset="-78"/>
          </a:endParaRPr>
        </a:p>
      </dgm:t>
    </dgm:pt>
    <dgm:pt modelId="{26BC0250-3757-498E-83E1-F18022B0D8DD}" type="pres">
      <dgm:prSet presAssocID="{BE21643C-88D9-443A-9687-BC58E3547984}" presName="diagram" presStyleCnt="0">
        <dgm:presLayoutVars>
          <dgm:chPref val="1"/>
          <dgm:dir val="rev"/>
          <dgm:animOne val="branch"/>
          <dgm:animLvl val="lvl"/>
          <dgm:resizeHandles val="exact"/>
        </dgm:presLayoutVars>
      </dgm:prSet>
      <dgm:spPr/>
      <dgm:t>
        <a:bodyPr/>
        <a:lstStyle/>
        <a:p>
          <a:endParaRPr lang="fr-FR"/>
        </a:p>
      </dgm:t>
    </dgm:pt>
    <dgm:pt modelId="{B6D6B640-A96A-4860-BC2A-454C392ED75C}" type="pres">
      <dgm:prSet presAssocID="{5B53217C-0E06-4DBD-974A-87891201AA09}" presName="root1" presStyleCnt="0"/>
      <dgm:spPr/>
    </dgm:pt>
    <dgm:pt modelId="{CC355484-AF17-4844-A6B1-0C317E110583}" type="pres">
      <dgm:prSet presAssocID="{5B53217C-0E06-4DBD-974A-87891201AA09}" presName="LevelOneTextNode" presStyleLbl="node0" presStyleIdx="0" presStyleCnt="1" custScaleX="66572" custScaleY="72279" custLinFactNeighborX="-3384" custLinFactNeighborY="-7626">
        <dgm:presLayoutVars>
          <dgm:chPref val="3"/>
        </dgm:presLayoutVars>
      </dgm:prSet>
      <dgm:spPr/>
      <dgm:t>
        <a:bodyPr/>
        <a:lstStyle/>
        <a:p>
          <a:endParaRPr lang="fr-FR"/>
        </a:p>
      </dgm:t>
    </dgm:pt>
    <dgm:pt modelId="{34B38B74-795B-4B59-A52A-679904E0618E}" type="pres">
      <dgm:prSet presAssocID="{5B53217C-0E06-4DBD-974A-87891201AA09}" presName="level2hierChild" presStyleCnt="0"/>
      <dgm:spPr/>
    </dgm:pt>
    <dgm:pt modelId="{FA830038-ECBB-4B0B-85F4-B64ADF0F6454}" type="pres">
      <dgm:prSet presAssocID="{D84CE293-3262-4274-9C90-E816DCC9E7C4}" presName="conn2-1" presStyleLbl="parChTrans1D2" presStyleIdx="0" presStyleCnt="3"/>
      <dgm:spPr/>
      <dgm:t>
        <a:bodyPr/>
        <a:lstStyle/>
        <a:p>
          <a:endParaRPr lang="fr-FR"/>
        </a:p>
      </dgm:t>
    </dgm:pt>
    <dgm:pt modelId="{1758ABF0-CDC4-405E-AA79-64DE6DC127B6}" type="pres">
      <dgm:prSet presAssocID="{D84CE293-3262-4274-9C90-E816DCC9E7C4}" presName="connTx" presStyleLbl="parChTrans1D2" presStyleIdx="0" presStyleCnt="3"/>
      <dgm:spPr/>
      <dgm:t>
        <a:bodyPr/>
        <a:lstStyle/>
        <a:p>
          <a:endParaRPr lang="fr-FR"/>
        </a:p>
      </dgm:t>
    </dgm:pt>
    <dgm:pt modelId="{AF60A521-AC46-49D2-91C8-9DE564CD932A}" type="pres">
      <dgm:prSet presAssocID="{5724942B-C0D8-4952-A5CE-FD4B386BE4FD}" presName="root2" presStyleCnt="0"/>
      <dgm:spPr/>
    </dgm:pt>
    <dgm:pt modelId="{CE33F3E1-5E79-4949-A3D4-32C08CB35F86}" type="pres">
      <dgm:prSet presAssocID="{5724942B-C0D8-4952-A5CE-FD4B386BE4FD}" presName="LevelTwoTextNode" presStyleLbl="node2" presStyleIdx="0" presStyleCnt="3" custScaleX="91714" custScaleY="73134" custLinFactNeighborX="-612" custLinFactNeighborY="-3691">
        <dgm:presLayoutVars>
          <dgm:chPref val="3"/>
        </dgm:presLayoutVars>
      </dgm:prSet>
      <dgm:spPr/>
      <dgm:t>
        <a:bodyPr/>
        <a:lstStyle/>
        <a:p>
          <a:endParaRPr lang="fr-FR"/>
        </a:p>
      </dgm:t>
    </dgm:pt>
    <dgm:pt modelId="{D7E8D2B5-2617-4256-B86F-E52BA86E1AD4}" type="pres">
      <dgm:prSet presAssocID="{5724942B-C0D8-4952-A5CE-FD4B386BE4FD}" presName="level3hierChild" presStyleCnt="0"/>
      <dgm:spPr/>
    </dgm:pt>
    <dgm:pt modelId="{4446F773-3F8A-485A-A018-DA5C1039261D}" type="pres">
      <dgm:prSet presAssocID="{2FBBFC94-AE6A-4101-8956-40EA278C3FB0}" presName="conn2-1" presStyleLbl="parChTrans1D3" presStyleIdx="0" presStyleCnt="2"/>
      <dgm:spPr/>
      <dgm:t>
        <a:bodyPr/>
        <a:lstStyle/>
        <a:p>
          <a:endParaRPr lang="fr-FR"/>
        </a:p>
      </dgm:t>
    </dgm:pt>
    <dgm:pt modelId="{AD76309C-A2A3-44A5-83A3-45BD237556B8}" type="pres">
      <dgm:prSet presAssocID="{2FBBFC94-AE6A-4101-8956-40EA278C3FB0}" presName="connTx" presStyleLbl="parChTrans1D3" presStyleIdx="0" presStyleCnt="2"/>
      <dgm:spPr/>
      <dgm:t>
        <a:bodyPr/>
        <a:lstStyle/>
        <a:p>
          <a:endParaRPr lang="fr-FR"/>
        </a:p>
      </dgm:t>
    </dgm:pt>
    <dgm:pt modelId="{DA238C2B-0C95-4636-B547-ECA84D065D48}" type="pres">
      <dgm:prSet presAssocID="{B1ED6529-2E92-41CD-AE3F-8F2EDE5A3201}" presName="root2" presStyleCnt="0"/>
      <dgm:spPr/>
    </dgm:pt>
    <dgm:pt modelId="{826E675F-B2F0-402F-9443-E2F3CC14710D}" type="pres">
      <dgm:prSet presAssocID="{B1ED6529-2E92-41CD-AE3F-8F2EDE5A3201}" presName="LevelTwoTextNode" presStyleLbl="node3" presStyleIdx="0" presStyleCnt="2" custScaleX="81884" custScaleY="78612" custLinFactNeighborX="4640" custLinFactNeighborY="6393">
        <dgm:presLayoutVars>
          <dgm:chPref val="3"/>
        </dgm:presLayoutVars>
      </dgm:prSet>
      <dgm:spPr/>
      <dgm:t>
        <a:bodyPr/>
        <a:lstStyle/>
        <a:p>
          <a:endParaRPr lang="fr-FR"/>
        </a:p>
      </dgm:t>
    </dgm:pt>
    <dgm:pt modelId="{E972A3E8-FC71-4F87-807C-11C10F9091E3}" type="pres">
      <dgm:prSet presAssocID="{B1ED6529-2E92-41CD-AE3F-8F2EDE5A3201}" presName="level3hierChild" presStyleCnt="0"/>
      <dgm:spPr/>
    </dgm:pt>
    <dgm:pt modelId="{F31416AA-4374-471A-A16F-4E402B71A70D}" type="pres">
      <dgm:prSet presAssocID="{5542BAE3-B38B-4D1D-8B80-DD321217A45F}" presName="conn2-1" presStyleLbl="parChTrans1D3" presStyleIdx="1" presStyleCnt="2"/>
      <dgm:spPr/>
      <dgm:t>
        <a:bodyPr/>
        <a:lstStyle/>
        <a:p>
          <a:endParaRPr lang="fr-FR"/>
        </a:p>
      </dgm:t>
    </dgm:pt>
    <dgm:pt modelId="{47C80C47-8FE3-429E-AE52-361B70BE32E3}" type="pres">
      <dgm:prSet presAssocID="{5542BAE3-B38B-4D1D-8B80-DD321217A45F}" presName="connTx" presStyleLbl="parChTrans1D3" presStyleIdx="1" presStyleCnt="2"/>
      <dgm:spPr/>
      <dgm:t>
        <a:bodyPr/>
        <a:lstStyle/>
        <a:p>
          <a:endParaRPr lang="fr-FR"/>
        </a:p>
      </dgm:t>
    </dgm:pt>
    <dgm:pt modelId="{7D33273C-9BED-478C-AF50-6F4DB1F46C56}" type="pres">
      <dgm:prSet presAssocID="{939CB3BC-C1A3-4769-BC8B-ECFB30C27276}" presName="root2" presStyleCnt="0"/>
      <dgm:spPr/>
    </dgm:pt>
    <dgm:pt modelId="{9158BACD-E7A5-470F-B9D9-A7998A520C1B}" type="pres">
      <dgm:prSet presAssocID="{939CB3BC-C1A3-4769-BC8B-ECFB30C27276}" presName="LevelTwoTextNode" presStyleLbl="node3" presStyleIdx="1" presStyleCnt="2" custScaleX="82877" custScaleY="78389" custLinFactNeighborX="5204">
        <dgm:presLayoutVars>
          <dgm:chPref val="3"/>
        </dgm:presLayoutVars>
      </dgm:prSet>
      <dgm:spPr/>
      <dgm:t>
        <a:bodyPr/>
        <a:lstStyle/>
        <a:p>
          <a:endParaRPr lang="fr-FR"/>
        </a:p>
      </dgm:t>
    </dgm:pt>
    <dgm:pt modelId="{28D8E4B6-9519-4509-930F-A162FE14975B}" type="pres">
      <dgm:prSet presAssocID="{939CB3BC-C1A3-4769-BC8B-ECFB30C27276}" presName="level3hierChild" presStyleCnt="0"/>
      <dgm:spPr/>
    </dgm:pt>
    <dgm:pt modelId="{61757307-197C-4C86-9A67-BF964EC489AB}" type="pres">
      <dgm:prSet presAssocID="{1EEC5F86-7597-4467-B2C6-A0036851920F}" presName="conn2-1" presStyleLbl="parChTrans1D2" presStyleIdx="1" presStyleCnt="3"/>
      <dgm:spPr/>
      <dgm:t>
        <a:bodyPr/>
        <a:lstStyle/>
        <a:p>
          <a:endParaRPr lang="fr-FR"/>
        </a:p>
      </dgm:t>
    </dgm:pt>
    <dgm:pt modelId="{6D064B66-C46F-417C-8691-D39517A209E3}" type="pres">
      <dgm:prSet presAssocID="{1EEC5F86-7597-4467-B2C6-A0036851920F}" presName="connTx" presStyleLbl="parChTrans1D2" presStyleIdx="1" presStyleCnt="3"/>
      <dgm:spPr/>
      <dgm:t>
        <a:bodyPr/>
        <a:lstStyle/>
        <a:p>
          <a:endParaRPr lang="fr-FR"/>
        </a:p>
      </dgm:t>
    </dgm:pt>
    <dgm:pt modelId="{F2878563-A496-4ABC-A5B1-FD14DDF5981E}" type="pres">
      <dgm:prSet presAssocID="{DAFA32B0-D7CE-4F49-BFBE-D4AB0FE5D073}" presName="root2" presStyleCnt="0"/>
      <dgm:spPr/>
    </dgm:pt>
    <dgm:pt modelId="{B9A1A01B-87AB-472A-89C2-AB838CC4A7A3}" type="pres">
      <dgm:prSet presAssocID="{DAFA32B0-D7CE-4F49-BFBE-D4AB0FE5D073}" presName="LevelTwoTextNode" presStyleLbl="node2" presStyleIdx="1" presStyleCnt="3" custScaleX="92052" custScaleY="73372" custLinFactNeighborY="-7626">
        <dgm:presLayoutVars>
          <dgm:chPref val="3"/>
        </dgm:presLayoutVars>
      </dgm:prSet>
      <dgm:spPr/>
      <dgm:t>
        <a:bodyPr/>
        <a:lstStyle/>
        <a:p>
          <a:endParaRPr lang="fr-FR"/>
        </a:p>
      </dgm:t>
    </dgm:pt>
    <dgm:pt modelId="{CF326B6F-B19B-4CE4-9E37-0F9DD87AEC4E}" type="pres">
      <dgm:prSet presAssocID="{DAFA32B0-D7CE-4F49-BFBE-D4AB0FE5D073}" presName="level3hierChild" presStyleCnt="0"/>
      <dgm:spPr/>
    </dgm:pt>
    <dgm:pt modelId="{BB453E7D-CF9A-4026-87D1-8BB57824A0CF}" type="pres">
      <dgm:prSet presAssocID="{CE3D49FF-5814-47E4-8154-89A753F19C48}" presName="conn2-1" presStyleLbl="parChTrans1D2" presStyleIdx="2" presStyleCnt="3"/>
      <dgm:spPr/>
      <dgm:t>
        <a:bodyPr/>
        <a:lstStyle/>
        <a:p>
          <a:endParaRPr lang="fr-FR"/>
        </a:p>
      </dgm:t>
    </dgm:pt>
    <dgm:pt modelId="{F8B8B65A-C88B-45A8-A2EF-0B0313ADC614}" type="pres">
      <dgm:prSet presAssocID="{CE3D49FF-5814-47E4-8154-89A753F19C48}" presName="connTx" presStyleLbl="parChTrans1D2" presStyleIdx="2" presStyleCnt="3"/>
      <dgm:spPr/>
      <dgm:t>
        <a:bodyPr/>
        <a:lstStyle/>
        <a:p>
          <a:endParaRPr lang="fr-FR"/>
        </a:p>
      </dgm:t>
    </dgm:pt>
    <dgm:pt modelId="{A7526C55-88D4-47D4-9FCE-43F423F2210E}" type="pres">
      <dgm:prSet presAssocID="{65BB3A97-E061-4DC6-8A33-1B13DE522440}" presName="root2" presStyleCnt="0"/>
      <dgm:spPr/>
    </dgm:pt>
    <dgm:pt modelId="{26069A05-BB8A-4FD5-9060-33E9F7B1966D}" type="pres">
      <dgm:prSet presAssocID="{65BB3A97-E061-4DC6-8A33-1B13DE522440}" presName="LevelTwoTextNode" presStyleLbl="node2" presStyleIdx="2" presStyleCnt="3" custScaleX="91714" custScaleY="73372" custLinFactNeighborY="-11439">
        <dgm:presLayoutVars>
          <dgm:chPref val="3"/>
        </dgm:presLayoutVars>
      </dgm:prSet>
      <dgm:spPr/>
      <dgm:t>
        <a:bodyPr/>
        <a:lstStyle/>
        <a:p>
          <a:endParaRPr lang="fr-FR"/>
        </a:p>
      </dgm:t>
    </dgm:pt>
    <dgm:pt modelId="{88A5890D-C944-473C-9AB2-D83AE971DC92}" type="pres">
      <dgm:prSet presAssocID="{65BB3A97-E061-4DC6-8A33-1B13DE522440}" presName="level3hierChild" presStyleCnt="0"/>
      <dgm:spPr/>
    </dgm:pt>
  </dgm:ptLst>
  <dgm:cxnLst>
    <dgm:cxn modelId="{77022DF5-DAF8-48BF-BBC0-BDDF4926BAB6}" srcId="{5B53217C-0E06-4DBD-974A-87891201AA09}" destId="{DAFA32B0-D7CE-4F49-BFBE-D4AB0FE5D073}" srcOrd="1" destOrd="0" parTransId="{1EEC5F86-7597-4467-B2C6-A0036851920F}" sibTransId="{4235E2BF-F017-4544-AE01-CA01CB05BDEF}"/>
    <dgm:cxn modelId="{1678B01E-582F-4E9B-A647-8A39D4555051}" srcId="{5B53217C-0E06-4DBD-974A-87891201AA09}" destId="{65BB3A97-E061-4DC6-8A33-1B13DE522440}" srcOrd="2" destOrd="0" parTransId="{CE3D49FF-5814-47E4-8154-89A753F19C48}" sibTransId="{09237381-9E80-463A-BF03-CC5553219EDC}"/>
    <dgm:cxn modelId="{D6117919-415D-4F80-AC68-9C22DAC38504}" srcId="{5724942B-C0D8-4952-A5CE-FD4B386BE4FD}" destId="{B1ED6529-2E92-41CD-AE3F-8F2EDE5A3201}" srcOrd="0" destOrd="0" parTransId="{2FBBFC94-AE6A-4101-8956-40EA278C3FB0}" sibTransId="{DDFCB4C3-310F-4094-9DA1-460C26E1ED19}"/>
    <dgm:cxn modelId="{3D686300-59A4-4252-8075-64B7E22812AA}" type="presOf" srcId="{2FBBFC94-AE6A-4101-8956-40EA278C3FB0}" destId="{AD76309C-A2A3-44A5-83A3-45BD237556B8}" srcOrd="1" destOrd="0" presId="urn:microsoft.com/office/officeart/2005/8/layout/hierarchy2"/>
    <dgm:cxn modelId="{C92BDF99-4231-42DE-9730-82BEF8E2A6B7}" type="presOf" srcId="{B1ED6529-2E92-41CD-AE3F-8F2EDE5A3201}" destId="{826E675F-B2F0-402F-9443-E2F3CC14710D}" srcOrd="0" destOrd="0" presId="urn:microsoft.com/office/officeart/2005/8/layout/hierarchy2"/>
    <dgm:cxn modelId="{5179D27E-20EA-4805-986D-37D886C4F92D}" type="presOf" srcId="{2FBBFC94-AE6A-4101-8956-40EA278C3FB0}" destId="{4446F773-3F8A-485A-A018-DA5C1039261D}" srcOrd="0" destOrd="0" presId="urn:microsoft.com/office/officeart/2005/8/layout/hierarchy2"/>
    <dgm:cxn modelId="{55B61D6F-55AC-4CD2-9556-F6D56005C8BB}" type="presOf" srcId="{DAFA32B0-D7CE-4F49-BFBE-D4AB0FE5D073}" destId="{B9A1A01B-87AB-472A-89C2-AB838CC4A7A3}" srcOrd="0" destOrd="0" presId="urn:microsoft.com/office/officeart/2005/8/layout/hierarchy2"/>
    <dgm:cxn modelId="{B72B346A-D310-43DC-BEFD-5F1A809B519F}" type="presOf" srcId="{D84CE293-3262-4274-9C90-E816DCC9E7C4}" destId="{FA830038-ECBB-4B0B-85F4-B64ADF0F6454}" srcOrd="0" destOrd="0" presId="urn:microsoft.com/office/officeart/2005/8/layout/hierarchy2"/>
    <dgm:cxn modelId="{85360CE0-2AF2-467F-9B50-5F80CDF75BA2}" srcId="{BE21643C-88D9-443A-9687-BC58E3547984}" destId="{5B53217C-0E06-4DBD-974A-87891201AA09}" srcOrd="0" destOrd="0" parTransId="{3F3BFC95-2C22-4E82-9277-46468BC2F4A1}" sibTransId="{B29E63F2-7943-49F8-B2B4-8A37E6DE8F78}"/>
    <dgm:cxn modelId="{F95CFF30-F43E-414C-85B8-4990D73CE9B8}" type="presOf" srcId="{5542BAE3-B38B-4D1D-8B80-DD321217A45F}" destId="{47C80C47-8FE3-429E-AE52-361B70BE32E3}" srcOrd="1" destOrd="0" presId="urn:microsoft.com/office/officeart/2005/8/layout/hierarchy2"/>
    <dgm:cxn modelId="{68828AF0-AD02-422A-AA39-5EECF5D21244}" type="presOf" srcId="{CE3D49FF-5814-47E4-8154-89A753F19C48}" destId="{BB453E7D-CF9A-4026-87D1-8BB57824A0CF}" srcOrd="0" destOrd="0" presId="urn:microsoft.com/office/officeart/2005/8/layout/hierarchy2"/>
    <dgm:cxn modelId="{7F3EE0F4-9DF5-40F1-9840-C2C15C16EE18}" type="presOf" srcId="{939CB3BC-C1A3-4769-BC8B-ECFB30C27276}" destId="{9158BACD-E7A5-470F-B9D9-A7998A520C1B}" srcOrd="0" destOrd="0" presId="urn:microsoft.com/office/officeart/2005/8/layout/hierarchy2"/>
    <dgm:cxn modelId="{E99E0715-02E6-4C6C-9EFE-3088D3585DC1}" type="presOf" srcId="{1EEC5F86-7597-4467-B2C6-A0036851920F}" destId="{6D064B66-C46F-417C-8691-D39517A209E3}" srcOrd="1" destOrd="0" presId="urn:microsoft.com/office/officeart/2005/8/layout/hierarchy2"/>
    <dgm:cxn modelId="{FF88301E-067C-43D0-8EAB-1522A31D614D}" type="presOf" srcId="{5724942B-C0D8-4952-A5CE-FD4B386BE4FD}" destId="{CE33F3E1-5E79-4949-A3D4-32C08CB35F86}" srcOrd="0" destOrd="0" presId="urn:microsoft.com/office/officeart/2005/8/layout/hierarchy2"/>
    <dgm:cxn modelId="{7890AE08-6859-4A23-B25C-87B91775E86B}" type="presOf" srcId="{5542BAE3-B38B-4D1D-8B80-DD321217A45F}" destId="{F31416AA-4374-471A-A16F-4E402B71A70D}" srcOrd="0" destOrd="0" presId="urn:microsoft.com/office/officeart/2005/8/layout/hierarchy2"/>
    <dgm:cxn modelId="{21D4D7B6-4379-470A-84E2-6A7301FAF48D}" type="presOf" srcId="{D84CE293-3262-4274-9C90-E816DCC9E7C4}" destId="{1758ABF0-CDC4-405E-AA79-64DE6DC127B6}" srcOrd="1" destOrd="0" presId="urn:microsoft.com/office/officeart/2005/8/layout/hierarchy2"/>
    <dgm:cxn modelId="{A00ADF6F-246B-43D8-AC0C-D689BC38850E}" srcId="{5724942B-C0D8-4952-A5CE-FD4B386BE4FD}" destId="{939CB3BC-C1A3-4769-BC8B-ECFB30C27276}" srcOrd="1" destOrd="0" parTransId="{5542BAE3-B38B-4D1D-8B80-DD321217A45F}" sibTransId="{121DE647-36EE-4A2F-A796-DC5ABE7ACA6F}"/>
    <dgm:cxn modelId="{F72ABFB8-1596-47D0-9E29-6E5620CC4166}" type="presOf" srcId="{BE21643C-88D9-443A-9687-BC58E3547984}" destId="{26BC0250-3757-498E-83E1-F18022B0D8DD}" srcOrd="0" destOrd="0" presId="urn:microsoft.com/office/officeart/2005/8/layout/hierarchy2"/>
    <dgm:cxn modelId="{1B244E4A-1525-4DB0-A8F5-BDBD54086C36}" type="presOf" srcId="{1EEC5F86-7597-4467-B2C6-A0036851920F}" destId="{61757307-197C-4C86-9A67-BF964EC489AB}" srcOrd="0" destOrd="0" presId="urn:microsoft.com/office/officeart/2005/8/layout/hierarchy2"/>
    <dgm:cxn modelId="{D54DE8DC-13EB-4199-9878-7F5D24B33441}" srcId="{5B53217C-0E06-4DBD-974A-87891201AA09}" destId="{5724942B-C0D8-4952-A5CE-FD4B386BE4FD}" srcOrd="0" destOrd="0" parTransId="{D84CE293-3262-4274-9C90-E816DCC9E7C4}" sibTransId="{C908BFB9-4A16-4112-8791-A992FB467853}"/>
    <dgm:cxn modelId="{FACA9924-470B-4704-961A-3E255387093B}" type="presOf" srcId="{5B53217C-0E06-4DBD-974A-87891201AA09}" destId="{CC355484-AF17-4844-A6B1-0C317E110583}" srcOrd="0" destOrd="0" presId="urn:microsoft.com/office/officeart/2005/8/layout/hierarchy2"/>
    <dgm:cxn modelId="{905EEE10-2FF0-476B-957C-62368E1A9E05}" type="presOf" srcId="{65BB3A97-E061-4DC6-8A33-1B13DE522440}" destId="{26069A05-BB8A-4FD5-9060-33E9F7B1966D}" srcOrd="0" destOrd="0" presId="urn:microsoft.com/office/officeart/2005/8/layout/hierarchy2"/>
    <dgm:cxn modelId="{BE9787BB-AA1B-47C3-B35D-F9155E783F28}" type="presOf" srcId="{CE3D49FF-5814-47E4-8154-89A753F19C48}" destId="{F8B8B65A-C88B-45A8-A2EF-0B0313ADC614}" srcOrd="1" destOrd="0" presId="urn:microsoft.com/office/officeart/2005/8/layout/hierarchy2"/>
    <dgm:cxn modelId="{06E4AF94-967A-4803-A8D8-07C15E5C09CA}" type="presParOf" srcId="{26BC0250-3757-498E-83E1-F18022B0D8DD}" destId="{B6D6B640-A96A-4860-BC2A-454C392ED75C}" srcOrd="0" destOrd="0" presId="urn:microsoft.com/office/officeart/2005/8/layout/hierarchy2"/>
    <dgm:cxn modelId="{61EB407F-BD2B-4AC2-82C5-5CEC544ED638}" type="presParOf" srcId="{B6D6B640-A96A-4860-BC2A-454C392ED75C}" destId="{CC355484-AF17-4844-A6B1-0C317E110583}" srcOrd="0" destOrd="0" presId="urn:microsoft.com/office/officeart/2005/8/layout/hierarchy2"/>
    <dgm:cxn modelId="{46C8E87B-F7F0-499C-897B-A453E54A61E9}" type="presParOf" srcId="{B6D6B640-A96A-4860-BC2A-454C392ED75C}" destId="{34B38B74-795B-4B59-A52A-679904E0618E}" srcOrd="1" destOrd="0" presId="urn:microsoft.com/office/officeart/2005/8/layout/hierarchy2"/>
    <dgm:cxn modelId="{09EE1BCA-BE2C-4490-AD1C-62AC78CDB7A2}" type="presParOf" srcId="{34B38B74-795B-4B59-A52A-679904E0618E}" destId="{FA830038-ECBB-4B0B-85F4-B64ADF0F6454}" srcOrd="0" destOrd="0" presId="urn:microsoft.com/office/officeart/2005/8/layout/hierarchy2"/>
    <dgm:cxn modelId="{D4AABE94-CDA3-4349-A9B0-951EDB6E488A}" type="presParOf" srcId="{FA830038-ECBB-4B0B-85F4-B64ADF0F6454}" destId="{1758ABF0-CDC4-405E-AA79-64DE6DC127B6}" srcOrd="0" destOrd="0" presId="urn:microsoft.com/office/officeart/2005/8/layout/hierarchy2"/>
    <dgm:cxn modelId="{631FCEB3-8BB9-43FD-99D9-35D2F38C14E6}" type="presParOf" srcId="{34B38B74-795B-4B59-A52A-679904E0618E}" destId="{AF60A521-AC46-49D2-91C8-9DE564CD932A}" srcOrd="1" destOrd="0" presId="urn:microsoft.com/office/officeart/2005/8/layout/hierarchy2"/>
    <dgm:cxn modelId="{464B4494-7EEA-42B4-B2E8-F21B496266C2}" type="presParOf" srcId="{AF60A521-AC46-49D2-91C8-9DE564CD932A}" destId="{CE33F3E1-5E79-4949-A3D4-32C08CB35F86}" srcOrd="0" destOrd="0" presId="urn:microsoft.com/office/officeart/2005/8/layout/hierarchy2"/>
    <dgm:cxn modelId="{84D8B2DF-54E2-4D63-8F18-A4241E7C23C0}" type="presParOf" srcId="{AF60A521-AC46-49D2-91C8-9DE564CD932A}" destId="{D7E8D2B5-2617-4256-B86F-E52BA86E1AD4}" srcOrd="1" destOrd="0" presId="urn:microsoft.com/office/officeart/2005/8/layout/hierarchy2"/>
    <dgm:cxn modelId="{D7619504-B320-489B-B1EA-CF889A73B256}" type="presParOf" srcId="{D7E8D2B5-2617-4256-B86F-E52BA86E1AD4}" destId="{4446F773-3F8A-485A-A018-DA5C1039261D}" srcOrd="0" destOrd="0" presId="urn:microsoft.com/office/officeart/2005/8/layout/hierarchy2"/>
    <dgm:cxn modelId="{6E87FDB1-A284-4D44-99FB-647010D0CD28}" type="presParOf" srcId="{4446F773-3F8A-485A-A018-DA5C1039261D}" destId="{AD76309C-A2A3-44A5-83A3-45BD237556B8}" srcOrd="0" destOrd="0" presId="urn:microsoft.com/office/officeart/2005/8/layout/hierarchy2"/>
    <dgm:cxn modelId="{D916FA27-59A5-46F8-97CA-0044B8F9B7F0}" type="presParOf" srcId="{D7E8D2B5-2617-4256-B86F-E52BA86E1AD4}" destId="{DA238C2B-0C95-4636-B547-ECA84D065D48}" srcOrd="1" destOrd="0" presId="urn:microsoft.com/office/officeart/2005/8/layout/hierarchy2"/>
    <dgm:cxn modelId="{21FCD9B8-1AFD-434F-81A2-40E12ACBDAAD}" type="presParOf" srcId="{DA238C2B-0C95-4636-B547-ECA84D065D48}" destId="{826E675F-B2F0-402F-9443-E2F3CC14710D}" srcOrd="0" destOrd="0" presId="urn:microsoft.com/office/officeart/2005/8/layout/hierarchy2"/>
    <dgm:cxn modelId="{E501DF3E-B1A2-446F-A9F3-40590E4430F1}" type="presParOf" srcId="{DA238C2B-0C95-4636-B547-ECA84D065D48}" destId="{E972A3E8-FC71-4F87-807C-11C10F9091E3}" srcOrd="1" destOrd="0" presId="urn:microsoft.com/office/officeart/2005/8/layout/hierarchy2"/>
    <dgm:cxn modelId="{3EEEF923-FF2E-4166-AE15-49DD814053B7}" type="presParOf" srcId="{D7E8D2B5-2617-4256-B86F-E52BA86E1AD4}" destId="{F31416AA-4374-471A-A16F-4E402B71A70D}" srcOrd="2" destOrd="0" presId="urn:microsoft.com/office/officeart/2005/8/layout/hierarchy2"/>
    <dgm:cxn modelId="{8295D54D-644D-4235-B9F7-6FFEF61990D3}" type="presParOf" srcId="{F31416AA-4374-471A-A16F-4E402B71A70D}" destId="{47C80C47-8FE3-429E-AE52-361B70BE32E3}" srcOrd="0" destOrd="0" presId="urn:microsoft.com/office/officeart/2005/8/layout/hierarchy2"/>
    <dgm:cxn modelId="{31893901-0A7C-43CA-99AA-41F58B2CC6B7}" type="presParOf" srcId="{D7E8D2B5-2617-4256-B86F-E52BA86E1AD4}" destId="{7D33273C-9BED-478C-AF50-6F4DB1F46C56}" srcOrd="3" destOrd="0" presId="urn:microsoft.com/office/officeart/2005/8/layout/hierarchy2"/>
    <dgm:cxn modelId="{526A2573-72E0-4C09-9300-C160DA19B366}" type="presParOf" srcId="{7D33273C-9BED-478C-AF50-6F4DB1F46C56}" destId="{9158BACD-E7A5-470F-B9D9-A7998A520C1B}" srcOrd="0" destOrd="0" presId="urn:microsoft.com/office/officeart/2005/8/layout/hierarchy2"/>
    <dgm:cxn modelId="{128B88E3-A907-462B-B5F6-A6F6063FDD62}" type="presParOf" srcId="{7D33273C-9BED-478C-AF50-6F4DB1F46C56}" destId="{28D8E4B6-9519-4509-930F-A162FE14975B}" srcOrd="1" destOrd="0" presId="urn:microsoft.com/office/officeart/2005/8/layout/hierarchy2"/>
    <dgm:cxn modelId="{BE5E3F0A-0606-488D-8FCC-B2ADCDF4F928}" type="presParOf" srcId="{34B38B74-795B-4B59-A52A-679904E0618E}" destId="{61757307-197C-4C86-9A67-BF964EC489AB}" srcOrd="2" destOrd="0" presId="urn:microsoft.com/office/officeart/2005/8/layout/hierarchy2"/>
    <dgm:cxn modelId="{F5848559-66E7-46A6-BE74-B924A9023D09}" type="presParOf" srcId="{61757307-197C-4C86-9A67-BF964EC489AB}" destId="{6D064B66-C46F-417C-8691-D39517A209E3}" srcOrd="0" destOrd="0" presId="urn:microsoft.com/office/officeart/2005/8/layout/hierarchy2"/>
    <dgm:cxn modelId="{B05887F0-2E25-4CE2-9820-F7D12E96342B}" type="presParOf" srcId="{34B38B74-795B-4B59-A52A-679904E0618E}" destId="{F2878563-A496-4ABC-A5B1-FD14DDF5981E}" srcOrd="3" destOrd="0" presId="urn:microsoft.com/office/officeart/2005/8/layout/hierarchy2"/>
    <dgm:cxn modelId="{3BEF79AE-D9DB-4049-987A-47C8F46D0936}" type="presParOf" srcId="{F2878563-A496-4ABC-A5B1-FD14DDF5981E}" destId="{B9A1A01B-87AB-472A-89C2-AB838CC4A7A3}" srcOrd="0" destOrd="0" presId="urn:microsoft.com/office/officeart/2005/8/layout/hierarchy2"/>
    <dgm:cxn modelId="{49296A0F-6282-4720-A52D-F5AD0E1F84A5}" type="presParOf" srcId="{F2878563-A496-4ABC-A5B1-FD14DDF5981E}" destId="{CF326B6F-B19B-4CE4-9E37-0F9DD87AEC4E}" srcOrd="1" destOrd="0" presId="urn:microsoft.com/office/officeart/2005/8/layout/hierarchy2"/>
    <dgm:cxn modelId="{1B516032-A5F5-4CB0-92A1-7C3FC6186C1A}" type="presParOf" srcId="{34B38B74-795B-4B59-A52A-679904E0618E}" destId="{BB453E7D-CF9A-4026-87D1-8BB57824A0CF}" srcOrd="4" destOrd="0" presId="urn:microsoft.com/office/officeart/2005/8/layout/hierarchy2"/>
    <dgm:cxn modelId="{8A88C962-3A7F-48F8-B6B9-15FBD8AC660F}" type="presParOf" srcId="{BB453E7D-CF9A-4026-87D1-8BB57824A0CF}" destId="{F8B8B65A-C88B-45A8-A2EF-0B0313ADC614}" srcOrd="0" destOrd="0" presId="urn:microsoft.com/office/officeart/2005/8/layout/hierarchy2"/>
    <dgm:cxn modelId="{1D5F8989-21A5-4214-8305-2A8181011837}" type="presParOf" srcId="{34B38B74-795B-4B59-A52A-679904E0618E}" destId="{A7526C55-88D4-47D4-9FCE-43F423F2210E}" srcOrd="5" destOrd="0" presId="urn:microsoft.com/office/officeart/2005/8/layout/hierarchy2"/>
    <dgm:cxn modelId="{778F9B8B-D4DC-42DA-ACA6-8E34ADEC0D59}" type="presParOf" srcId="{A7526C55-88D4-47D4-9FCE-43F423F2210E}" destId="{26069A05-BB8A-4FD5-9060-33E9F7B1966D}" srcOrd="0" destOrd="0" presId="urn:microsoft.com/office/officeart/2005/8/layout/hierarchy2"/>
    <dgm:cxn modelId="{93C54C6E-9B37-4FC8-910E-1F5A0442533B}" type="presParOf" srcId="{A7526C55-88D4-47D4-9FCE-43F423F2210E}" destId="{88A5890D-C944-473C-9AB2-D83AE971DC92}" srcOrd="1" destOrd="0" presId="urn:microsoft.com/office/officeart/2005/8/layout/hierarchy2"/>
  </dgm:cxnLst>
  <dgm:bg/>
  <dgm:whole>
    <a:ln w="9525" cap="sq" cmpd="sng" algn="ctr">
      <a:solidFill>
        <a:schemeClr val="tx1"/>
      </a:solidFill>
      <a:prstDash val="solid"/>
      <a:round/>
      <a:headEnd type="none" w="med" len="med"/>
      <a:tailEnd type="none" w="med" len="med"/>
    </a:ln>
  </dgm:whole>
  <dgm:extLst>
    <a:ext uri="http://schemas.microsoft.com/office/drawing/2008/diagram">
      <dsp:dataModelExt xmlns:dsp="http://schemas.microsoft.com/office/drawing/2008/diagram" relId="rId4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2D25109C-4E3B-4F3B-8FE7-666DBF2D0DCF}" type="doc">
      <dgm:prSet loTypeId="urn:microsoft.com/office/officeart/2005/8/layout/pList1" loCatId="list" qsTypeId="urn:microsoft.com/office/officeart/2005/8/quickstyle/simple1" qsCatId="simple" csTypeId="urn:microsoft.com/office/officeart/2005/8/colors/accent1_2" csCatId="accent1" phldr="1"/>
      <dgm:spPr/>
      <dgm:t>
        <a:bodyPr/>
        <a:lstStyle/>
        <a:p>
          <a:endParaRPr lang="fr-FR"/>
        </a:p>
      </dgm:t>
    </dgm:pt>
    <dgm:pt modelId="{AE188C8D-B5F9-4B7F-8C4B-AB0952C2359B}">
      <dgm:prSet phldrT="[Texte]" custT="1"/>
      <dgm:spPr/>
      <dgm:t>
        <a:bodyPr/>
        <a:lstStyle/>
        <a:p>
          <a:pPr rtl="1"/>
          <a:r>
            <a:rPr lang="ar-DZ" sz="1100">
              <a:latin typeface="Simplified Arabic" panose="02020603050405020304" pitchFamily="18" charset="-78"/>
              <a:cs typeface="Simplified Arabic" panose="02020603050405020304" pitchFamily="18" charset="-78"/>
            </a:rPr>
            <a:t>متوسط زمن الاستجابة لخدمات الطوارئ</a:t>
          </a:r>
          <a:endParaRPr lang="fr-FR" sz="1100">
            <a:latin typeface="Simplified Arabic" panose="02020603050405020304" pitchFamily="18" charset="-78"/>
            <a:cs typeface="Simplified Arabic" panose="02020603050405020304" pitchFamily="18" charset="-78"/>
          </a:endParaRPr>
        </a:p>
      </dgm:t>
    </dgm:pt>
    <dgm:pt modelId="{E10FC464-4226-4B79-9E10-68BD2FE3F56C}" type="parTrans" cxnId="{B27E1606-61CC-45CC-BBA5-AE113771D14D}">
      <dgm:prSet/>
      <dgm:spPr/>
      <dgm:t>
        <a:bodyPr/>
        <a:lstStyle/>
        <a:p>
          <a:endParaRPr lang="fr-FR"/>
        </a:p>
      </dgm:t>
    </dgm:pt>
    <dgm:pt modelId="{4D8F8A3E-329B-4EB5-BA29-79098EDBDF95}" type="sibTrans" cxnId="{B27E1606-61CC-45CC-BBA5-AE113771D14D}">
      <dgm:prSet/>
      <dgm:spPr/>
      <dgm:t>
        <a:bodyPr/>
        <a:lstStyle/>
        <a:p>
          <a:endParaRPr lang="fr-FR"/>
        </a:p>
      </dgm:t>
    </dgm:pt>
    <dgm:pt modelId="{84785458-8800-437A-9C7E-6F82D33DFD14}">
      <dgm:prSet phldrT="[Texte]" custT="1"/>
      <dgm:spPr/>
      <dgm:t>
        <a:bodyPr/>
        <a:lstStyle/>
        <a:p>
          <a:r>
            <a:rPr lang="ar-DZ" sz="1100">
              <a:latin typeface="Simplified Arabic" panose="02020603050405020304" pitchFamily="18" charset="-78"/>
              <a:cs typeface="Simplified Arabic" panose="02020603050405020304" pitchFamily="18" charset="-78"/>
            </a:rPr>
            <a:t>عدد المنظمات المدنية أو الدينية لكل 100000 نسمة</a:t>
          </a:r>
          <a:endParaRPr lang="fr-FR" sz="1100"/>
        </a:p>
      </dgm:t>
    </dgm:pt>
    <dgm:pt modelId="{14728F13-298A-44B2-A1C3-605A876C73C7}" type="parTrans" cxnId="{72EAC68E-AA94-4454-8AC2-EADE803CDD48}">
      <dgm:prSet/>
      <dgm:spPr/>
      <dgm:t>
        <a:bodyPr/>
        <a:lstStyle/>
        <a:p>
          <a:endParaRPr lang="fr-FR"/>
        </a:p>
      </dgm:t>
    </dgm:pt>
    <dgm:pt modelId="{9059308E-E5CB-4830-AF44-3EF301D8BF21}" type="sibTrans" cxnId="{72EAC68E-AA94-4454-8AC2-EADE803CDD48}">
      <dgm:prSet/>
      <dgm:spPr/>
      <dgm:t>
        <a:bodyPr/>
        <a:lstStyle/>
        <a:p>
          <a:endParaRPr lang="fr-FR"/>
        </a:p>
      </dgm:t>
    </dgm:pt>
    <dgm:pt modelId="{5DEAB889-45F7-4E56-8CE9-B205D1E66EDB}">
      <dgm:prSet phldrT="[Texte]" custT="1"/>
      <dgm:spPr/>
      <dgm:t>
        <a:bodyPr/>
        <a:lstStyle/>
        <a:p>
          <a:r>
            <a:rPr lang="ar-DZ" sz="1100">
              <a:latin typeface="Simplified Arabic" panose="02020603050405020304" pitchFamily="18" charset="-78"/>
              <a:cs typeface="Simplified Arabic" panose="02020603050405020304" pitchFamily="18" charset="-78"/>
            </a:rPr>
            <a:t>مؤشر هيرفيندال لتنويع الاقتصاد المحلي</a:t>
          </a:r>
          <a:endParaRPr lang="fr-FR" sz="1100">
            <a:latin typeface="Simplified Arabic" panose="02020603050405020304" pitchFamily="18" charset="-78"/>
            <a:cs typeface="Simplified Arabic" panose="02020603050405020304" pitchFamily="18" charset="-78"/>
          </a:endParaRPr>
        </a:p>
      </dgm:t>
    </dgm:pt>
    <dgm:pt modelId="{C3DD7AC3-D2AC-4188-A4C4-79D894683033}" type="parTrans" cxnId="{2300194A-0926-410D-88D8-223DD91117CA}">
      <dgm:prSet/>
      <dgm:spPr/>
      <dgm:t>
        <a:bodyPr/>
        <a:lstStyle/>
        <a:p>
          <a:endParaRPr lang="fr-FR"/>
        </a:p>
      </dgm:t>
    </dgm:pt>
    <dgm:pt modelId="{0D1279D7-7BF0-4ECA-A1A7-E3940FFA49BF}" type="sibTrans" cxnId="{2300194A-0926-410D-88D8-223DD91117CA}">
      <dgm:prSet/>
      <dgm:spPr/>
      <dgm:t>
        <a:bodyPr/>
        <a:lstStyle/>
        <a:p>
          <a:endParaRPr lang="fr-FR"/>
        </a:p>
      </dgm:t>
    </dgm:pt>
    <dgm:pt modelId="{2D245974-69DF-48B5-8811-B29D76F4DACC}">
      <dgm:prSet phldrT="[Texte]" custT="1"/>
      <dgm:spPr/>
      <dgm:t>
        <a:bodyPr/>
        <a:lstStyle/>
        <a:p>
          <a:pPr rtl="1"/>
          <a:r>
            <a:rPr lang="ar-DZ" sz="1100">
              <a:latin typeface="Simplified Arabic" panose="02020603050405020304" pitchFamily="18" charset="-78"/>
              <a:cs typeface="Simplified Arabic" panose="02020603050405020304" pitchFamily="18" charset="-78"/>
            </a:rPr>
            <a:t>مستوى الثقة في الحكومة المحلية</a:t>
          </a:r>
          <a:endParaRPr lang="fr-FR" sz="1100">
            <a:latin typeface="Simplified Arabic" panose="02020603050405020304" pitchFamily="18" charset="-78"/>
            <a:cs typeface="Simplified Arabic" panose="02020603050405020304" pitchFamily="18" charset="-78"/>
          </a:endParaRPr>
        </a:p>
      </dgm:t>
    </dgm:pt>
    <dgm:pt modelId="{FBECA393-B273-43B9-8282-D714C71DCA68}" type="sibTrans" cxnId="{0D54EB03-9121-4581-AFB0-5BD81597CE3F}">
      <dgm:prSet/>
      <dgm:spPr/>
      <dgm:t>
        <a:bodyPr/>
        <a:lstStyle/>
        <a:p>
          <a:endParaRPr lang="fr-FR"/>
        </a:p>
      </dgm:t>
    </dgm:pt>
    <dgm:pt modelId="{E8610EFF-F75F-4B86-A7C8-457C2D0C752F}" type="parTrans" cxnId="{0D54EB03-9121-4581-AFB0-5BD81597CE3F}">
      <dgm:prSet/>
      <dgm:spPr/>
      <dgm:t>
        <a:bodyPr/>
        <a:lstStyle/>
        <a:p>
          <a:endParaRPr lang="fr-FR"/>
        </a:p>
      </dgm:t>
    </dgm:pt>
    <dgm:pt modelId="{B45C3A18-A672-4BCB-9084-A49CC43949FC}" type="pres">
      <dgm:prSet presAssocID="{2D25109C-4E3B-4F3B-8FE7-666DBF2D0DCF}" presName="Name0" presStyleCnt="0">
        <dgm:presLayoutVars>
          <dgm:dir/>
          <dgm:resizeHandles val="exact"/>
        </dgm:presLayoutVars>
      </dgm:prSet>
      <dgm:spPr/>
      <dgm:t>
        <a:bodyPr/>
        <a:lstStyle/>
        <a:p>
          <a:endParaRPr lang="fr-FR"/>
        </a:p>
      </dgm:t>
    </dgm:pt>
    <dgm:pt modelId="{60175CC2-D79C-4361-888A-77843352C74D}" type="pres">
      <dgm:prSet presAssocID="{AE188C8D-B5F9-4B7F-8C4B-AB0952C2359B}" presName="compNode" presStyleCnt="0"/>
      <dgm:spPr/>
    </dgm:pt>
    <dgm:pt modelId="{E665B313-44D7-470F-AAE1-AE21AFAAF1F1}" type="pres">
      <dgm:prSet presAssocID="{AE188C8D-B5F9-4B7F-8C4B-AB0952C2359B}" presName="pictRect" presStyleLbl="node1" presStyleIdx="0" presStyleCnt="4" custScaleX="233566" custScaleY="194873" custLinFactNeighborX="-10759" custLinFactNeighborY="35918"/>
      <dgm:spPr>
        <a:solidFill>
          <a:schemeClr val="tx2">
            <a:lumMod val="20000"/>
            <a:lumOff val="80000"/>
          </a:schemeClr>
        </a:solidFill>
      </dgm:spPr>
    </dgm:pt>
    <dgm:pt modelId="{8F78DD1E-2FC2-4A79-9778-63B117AEE955}" type="pres">
      <dgm:prSet presAssocID="{AE188C8D-B5F9-4B7F-8C4B-AB0952C2359B}" presName="textRect" presStyleLbl="revTx" presStyleIdx="0" presStyleCnt="4" custScaleX="224465" custScaleY="328024" custLinFactNeighborX="-10780" custLinFactNeighborY="-72404">
        <dgm:presLayoutVars>
          <dgm:bulletEnabled val="1"/>
        </dgm:presLayoutVars>
      </dgm:prSet>
      <dgm:spPr/>
      <dgm:t>
        <a:bodyPr/>
        <a:lstStyle/>
        <a:p>
          <a:endParaRPr lang="fr-FR"/>
        </a:p>
      </dgm:t>
    </dgm:pt>
    <dgm:pt modelId="{7EC20620-1E3A-40A8-9434-42B7B659AE46}" type="pres">
      <dgm:prSet presAssocID="{4D8F8A3E-329B-4EB5-BA29-79098EDBDF95}" presName="sibTrans" presStyleLbl="sibTrans2D1" presStyleIdx="0" presStyleCnt="0"/>
      <dgm:spPr/>
      <dgm:t>
        <a:bodyPr/>
        <a:lstStyle/>
        <a:p>
          <a:endParaRPr lang="fr-FR"/>
        </a:p>
      </dgm:t>
    </dgm:pt>
    <dgm:pt modelId="{70EAF03B-4E60-46C8-AE4E-75FF999ECBE0}" type="pres">
      <dgm:prSet presAssocID="{2D245974-69DF-48B5-8811-B29D76F4DACC}" presName="compNode" presStyleCnt="0"/>
      <dgm:spPr/>
    </dgm:pt>
    <dgm:pt modelId="{9B9DE85D-F946-4566-89B9-0CF920C1C291}" type="pres">
      <dgm:prSet presAssocID="{2D245974-69DF-48B5-8811-B29D76F4DACC}" presName="pictRect" presStyleLbl="node1" presStyleIdx="1" presStyleCnt="4" custScaleX="227182" custScaleY="194873" custLinFactNeighborX="6464" custLinFactNeighborY="28386"/>
      <dgm:spPr>
        <a:solidFill>
          <a:schemeClr val="tx2">
            <a:lumMod val="20000"/>
            <a:lumOff val="80000"/>
          </a:schemeClr>
        </a:solidFill>
      </dgm:spPr>
    </dgm:pt>
    <dgm:pt modelId="{97A60E26-51A4-4311-8D64-371507C0E3C7}" type="pres">
      <dgm:prSet presAssocID="{2D245974-69DF-48B5-8811-B29D76F4DACC}" presName="textRect" presStyleLbl="revTx" presStyleIdx="1" presStyleCnt="4" custScaleX="191488" custScaleY="239635" custLinFactNeighborX="5698" custLinFactNeighborY="-92826">
        <dgm:presLayoutVars>
          <dgm:bulletEnabled val="1"/>
        </dgm:presLayoutVars>
      </dgm:prSet>
      <dgm:spPr/>
      <dgm:t>
        <a:bodyPr/>
        <a:lstStyle/>
        <a:p>
          <a:endParaRPr lang="fr-FR"/>
        </a:p>
      </dgm:t>
    </dgm:pt>
    <dgm:pt modelId="{54056B4A-9129-4019-9C9F-CD8DF7EEB8A8}" type="pres">
      <dgm:prSet presAssocID="{FBECA393-B273-43B9-8282-D714C71DCA68}" presName="sibTrans" presStyleLbl="sibTrans2D1" presStyleIdx="0" presStyleCnt="0"/>
      <dgm:spPr/>
      <dgm:t>
        <a:bodyPr/>
        <a:lstStyle/>
        <a:p>
          <a:endParaRPr lang="fr-FR"/>
        </a:p>
      </dgm:t>
    </dgm:pt>
    <dgm:pt modelId="{9762821E-EFF9-47ED-8760-2AAC01914441}" type="pres">
      <dgm:prSet presAssocID="{84785458-8800-437A-9C7E-6F82D33DFD14}" presName="compNode" presStyleCnt="0"/>
      <dgm:spPr/>
    </dgm:pt>
    <dgm:pt modelId="{111FF6F5-634B-49B7-A10F-3685FF89E74F}" type="pres">
      <dgm:prSet presAssocID="{84785458-8800-437A-9C7E-6F82D33DFD14}" presName="pictRect" presStyleLbl="node1" presStyleIdx="2" presStyleCnt="4" custScaleX="228552" custScaleY="194872" custLinFactX="100000" custLinFactNeighborX="145000" custLinFactNeighborY="7390"/>
      <dgm:spPr>
        <a:solidFill>
          <a:schemeClr val="tx2">
            <a:lumMod val="20000"/>
            <a:lumOff val="80000"/>
          </a:schemeClr>
        </a:solidFill>
        <a:ln>
          <a:solidFill>
            <a:schemeClr val="bg1"/>
          </a:solidFill>
        </a:ln>
      </dgm:spPr>
    </dgm:pt>
    <dgm:pt modelId="{216878CC-F41E-4306-B7F4-450B87F31CEE}" type="pres">
      <dgm:prSet presAssocID="{84785458-8800-437A-9C7E-6F82D33DFD14}" presName="textRect" presStyleLbl="revTx" presStyleIdx="2" presStyleCnt="4" custScaleX="215377" custScaleY="296027" custLinFactX="100000" custLinFactY="-68941" custLinFactNeighborX="144477" custLinFactNeighborY="-100000">
        <dgm:presLayoutVars>
          <dgm:bulletEnabled val="1"/>
        </dgm:presLayoutVars>
      </dgm:prSet>
      <dgm:spPr/>
      <dgm:t>
        <a:bodyPr/>
        <a:lstStyle/>
        <a:p>
          <a:endParaRPr lang="fr-FR"/>
        </a:p>
      </dgm:t>
    </dgm:pt>
    <dgm:pt modelId="{C3EBE5FA-FB9F-41B7-AD68-EA5A05E6AD0C}" type="pres">
      <dgm:prSet presAssocID="{9059308E-E5CB-4830-AF44-3EF301D8BF21}" presName="sibTrans" presStyleLbl="sibTrans2D1" presStyleIdx="0" presStyleCnt="0"/>
      <dgm:spPr/>
      <dgm:t>
        <a:bodyPr/>
        <a:lstStyle/>
        <a:p>
          <a:endParaRPr lang="fr-FR"/>
        </a:p>
      </dgm:t>
    </dgm:pt>
    <dgm:pt modelId="{88A8C0BB-7C37-4EF1-A6D4-7580A268BDAB}" type="pres">
      <dgm:prSet presAssocID="{5DEAB889-45F7-4E56-8CE9-B205D1E66EDB}" presName="compNode" presStyleCnt="0"/>
      <dgm:spPr/>
    </dgm:pt>
    <dgm:pt modelId="{2DE13BC0-527A-4D1C-9DD5-EF59826CE17D}" type="pres">
      <dgm:prSet presAssocID="{5DEAB889-45F7-4E56-8CE9-B205D1E66EDB}" presName="pictRect" presStyleLbl="node1" presStyleIdx="3" presStyleCnt="4" custScaleX="225299" custScaleY="194872" custLinFactX="-100000" custLinFactNeighborX="-152174" custLinFactNeighborY="4840"/>
      <dgm:spPr>
        <a:solidFill>
          <a:schemeClr val="tx2">
            <a:lumMod val="20000"/>
            <a:lumOff val="80000"/>
          </a:schemeClr>
        </a:solidFill>
        <a:ln>
          <a:solidFill>
            <a:schemeClr val="bg1"/>
          </a:solidFill>
        </a:ln>
      </dgm:spPr>
    </dgm:pt>
    <dgm:pt modelId="{660D9037-4A62-4D82-8C43-0DEDFC833784}" type="pres">
      <dgm:prSet presAssocID="{5DEAB889-45F7-4E56-8CE9-B205D1E66EDB}" presName="textRect" presStyleLbl="revTx" presStyleIdx="3" presStyleCnt="4" custScaleX="232735" custScaleY="294254" custLinFactX="-100000" custLinFactY="-32187" custLinFactNeighborX="-151713" custLinFactNeighborY="-100000">
        <dgm:presLayoutVars>
          <dgm:bulletEnabled val="1"/>
        </dgm:presLayoutVars>
      </dgm:prSet>
      <dgm:spPr/>
      <dgm:t>
        <a:bodyPr/>
        <a:lstStyle/>
        <a:p>
          <a:endParaRPr lang="fr-FR"/>
        </a:p>
      </dgm:t>
    </dgm:pt>
  </dgm:ptLst>
  <dgm:cxnLst>
    <dgm:cxn modelId="{61402B5C-BB0A-42C7-AEE6-7442904B42CC}" type="presOf" srcId="{5DEAB889-45F7-4E56-8CE9-B205D1E66EDB}" destId="{660D9037-4A62-4D82-8C43-0DEDFC833784}" srcOrd="0" destOrd="0" presId="urn:microsoft.com/office/officeart/2005/8/layout/pList1"/>
    <dgm:cxn modelId="{2300194A-0926-410D-88D8-223DD91117CA}" srcId="{2D25109C-4E3B-4F3B-8FE7-666DBF2D0DCF}" destId="{5DEAB889-45F7-4E56-8CE9-B205D1E66EDB}" srcOrd="3" destOrd="0" parTransId="{C3DD7AC3-D2AC-4188-A4C4-79D894683033}" sibTransId="{0D1279D7-7BF0-4ECA-A1A7-E3940FFA49BF}"/>
    <dgm:cxn modelId="{BE96CDB2-D434-4C0C-BC46-2B4C5229DFF3}" type="presOf" srcId="{2D245974-69DF-48B5-8811-B29D76F4DACC}" destId="{97A60E26-51A4-4311-8D64-371507C0E3C7}" srcOrd="0" destOrd="0" presId="urn:microsoft.com/office/officeart/2005/8/layout/pList1"/>
    <dgm:cxn modelId="{DA3B7C8A-2050-4F4A-85F0-E568CE2D1E71}" type="presOf" srcId="{2D25109C-4E3B-4F3B-8FE7-666DBF2D0DCF}" destId="{B45C3A18-A672-4BCB-9084-A49CC43949FC}" srcOrd="0" destOrd="0" presId="urn:microsoft.com/office/officeart/2005/8/layout/pList1"/>
    <dgm:cxn modelId="{6ADDCD84-CF99-43F0-9C80-F608F1182264}" type="presOf" srcId="{4D8F8A3E-329B-4EB5-BA29-79098EDBDF95}" destId="{7EC20620-1E3A-40A8-9434-42B7B659AE46}" srcOrd="0" destOrd="0" presId="urn:microsoft.com/office/officeart/2005/8/layout/pList1"/>
    <dgm:cxn modelId="{0D54EB03-9121-4581-AFB0-5BD81597CE3F}" srcId="{2D25109C-4E3B-4F3B-8FE7-666DBF2D0DCF}" destId="{2D245974-69DF-48B5-8811-B29D76F4DACC}" srcOrd="1" destOrd="0" parTransId="{E8610EFF-F75F-4B86-A7C8-457C2D0C752F}" sibTransId="{FBECA393-B273-43B9-8282-D714C71DCA68}"/>
    <dgm:cxn modelId="{AB7241FA-E788-435E-BB18-8C3C85CBDBE6}" type="presOf" srcId="{84785458-8800-437A-9C7E-6F82D33DFD14}" destId="{216878CC-F41E-4306-B7F4-450B87F31CEE}" srcOrd="0" destOrd="0" presId="urn:microsoft.com/office/officeart/2005/8/layout/pList1"/>
    <dgm:cxn modelId="{72EAC68E-AA94-4454-8AC2-EADE803CDD48}" srcId="{2D25109C-4E3B-4F3B-8FE7-666DBF2D0DCF}" destId="{84785458-8800-437A-9C7E-6F82D33DFD14}" srcOrd="2" destOrd="0" parTransId="{14728F13-298A-44B2-A1C3-605A876C73C7}" sibTransId="{9059308E-E5CB-4830-AF44-3EF301D8BF21}"/>
    <dgm:cxn modelId="{B27E1606-61CC-45CC-BBA5-AE113771D14D}" srcId="{2D25109C-4E3B-4F3B-8FE7-666DBF2D0DCF}" destId="{AE188C8D-B5F9-4B7F-8C4B-AB0952C2359B}" srcOrd="0" destOrd="0" parTransId="{E10FC464-4226-4B79-9E10-68BD2FE3F56C}" sibTransId="{4D8F8A3E-329B-4EB5-BA29-79098EDBDF95}"/>
    <dgm:cxn modelId="{7AF05F98-81C7-4710-B4C5-3468CC0BB1A2}" type="presOf" srcId="{AE188C8D-B5F9-4B7F-8C4B-AB0952C2359B}" destId="{8F78DD1E-2FC2-4A79-9778-63B117AEE955}" srcOrd="0" destOrd="0" presId="urn:microsoft.com/office/officeart/2005/8/layout/pList1"/>
    <dgm:cxn modelId="{64BA19E4-4ADF-4027-9BA3-8B676C50488E}" type="presOf" srcId="{9059308E-E5CB-4830-AF44-3EF301D8BF21}" destId="{C3EBE5FA-FB9F-41B7-AD68-EA5A05E6AD0C}" srcOrd="0" destOrd="0" presId="urn:microsoft.com/office/officeart/2005/8/layout/pList1"/>
    <dgm:cxn modelId="{7D9FBA04-4EC4-44BA-BE29-E99A5A94351B}" type="presOf" srcId="{FBECA393-B273-43B9-8282-D714C71DCA68}" destId="{54056B4A-9129-4019-9C9F-CD8DF7EEB8A8}" srcOrd="0" destOrd="0" presId="urn:microsoft.com/office/officeart/2005/8/layout/pList1"/>
    <dgm:cxn modelId="{376D2872-9F9F-4958-B411-750D4042FBDF}" type="presParOf" srcId="{B45C3A18-A672-4BCB-9084-A49CC43949FC}" destId="{60175CC2-D79C-4361-888A-77843352C74D}" srcOrd="0" destOrd="0" presId="urn:microsoft.com/office/officeart/2005/8/layout/pList1"/>
    <dgm:cxn modelId="{CD25893E-ADE3-4046-BD40-7AEB9B356721}" type="presParOf" srcId="{60175CC2-D79C-4361-888A-77843352C74D}" destId="{E665B313-44D7-470F-AAE1-AE21AFAAF1F1}" srcOrd="0" destOrd="0" presId="urn:microsoft.com/office/officeart/2005/8/layout/pList1"/>
    <dgm:cxn modelId="{E1B8FC6C-411E-4F12-A781-C86D50A94F54}" type="presParOf" srcId="{60175CC2-D79C-4361-888A-77843352C74D}" destId="{8F78DD1E-2FC2-4A79-9778-63B117AEE955}" srcOrd="1" destOrd="0" presId="urn:microsoft.com/office/officeart/2005/8/layout/pList1"/>
    <dgm:cxn modelId="{FE616AAB-095A-4950-BC49-FDC984BB55B0}" type="presParOf" srcId="{B45C3A18-A672-4BCB-9084-A49CC43949FC}" destId="{7EC20620-1E3A-40A8-9434-42B7B659AE46}" srcOrd="1" destOrd="0" presId="urn:microsoft.com/office/officeart/2005/8/layout/pList1"/>
    <dgm:cxn modelId="{A02C9EFC-AF20-4FBC-85A3-8585B5DF9926}" type="presParOf" srcId="{B45C3A18-A672-4BCB-9084-A49CC43949FC}" destId="{70EAF03B-4E60-46C8-AE4E-75FF999ECBE0}" srcOrd="2" destOrd="0" presId="urn:microsoft.com/office/officeart/2005/8/layout/pList1"/>
    <dgm:cxn modelId="{6AD22F99-4A9D-44F3-B94B-D78EA3DE9DAB}" type="presParOf" srcId="{70EAF03B-4E60-46C8-AE4E-75FF999ECBE0}" destId="{9B9DE85D-F946-4566-89B9-0CF920C1C291}" srcOrd="0" destOrd="0" presId="urn:microsoft.com/office/officeart/2005/8/layout/pList1"/>
    <dgm:cxn modelId="{DD6550BA-6CAC-464C-9F8D-C7484E83F09E}" type="presParOf" srcId="{70EAF03B-4E60-46C8-AE4E-75FF999ECBE0}" destId="{97A60E26-51A4-4311-8D64-371507C0E3C7}" srcOrd="1" destOrd="0" presId="urn:microsoft.com/office/officeart/2005/8/layout/pList1"/>
    <dgm:cxn modelId="{BEEF5A7D-9236-43AF-BE8D-03EEE8F830FA}" type="presParOf" srcId="{B45C3A18-A672-4BCB-9084-A49CC43949FC}" destId="{54056B4A-9129-4019-9C9F-CD8DF7EEB8A8}" srcOrd="3" destOrd="0" presId="urn:microsoft.com/office/officeart/2005/8/layout/pList1"/>
    <dgm:cxn modelId="{367E7B24-E2EF-4667-8F35-776787A78FB0}" type="presParOf" srcId="{B45C3A18-A672-4BCB-9084-A49CC43949FC}" destId="{9762821E-EFF9-47ED-8760-2AAC01914441}" srcOrd="4" destOrd="0" presId="urn:microsoft.com/office/officeart/2005/8/layout/pList1"/>
    <dgm:cxn modelId="{C953630F-4B87-44D7-A56A-FC98D53FC7B9}" type="presParOf" srcId="{9762821E-EFF9-47ED-8760-2AAC01914441}" destId="{111FF6F5-634B-49B7-A10F-3685FF89E74F}" srcOrd="0" destOrd="0" presId="urn:microsoft.com/office/officeart/2005/8/layout/pList1"/>
    <dgm:cxn modelId="{1146B51A-3552-49D6-B77F-3C0DEDBA8131}" type="presParOf" srcId="{9762821E-EFF9-47ED-8760-2AAC01914441}" destId="{216878CC-F41E-4306-B7F4-450B87F31CEE}" srcOrd="1" destOrd="0" presId="urn:microsoft.com/office/officeart/2005/8/layout/pList1"/>
    <dgm:cxn modelId="{18838703-1338-4BE3-8365-669BAE426BCB}" type="presParOf" srcId="{B45C3A18-A672-4BCB-9084-A49CC43949FC}" destId="{C3EBE5FA-FB9F-41B7-AD68-EA5A05E6AD0C}" srcOrd="5" destOrd="0" presId="urn:microsoft.com/office/officeart/2005/8/layout/pList1"/>
    <dgm:cxn modelId="{8C4F21DC-5BE7-4C65-9CB2-A6386ABF9E5F}" type="presParOf" srcId="{B45C3A18-A672-4BCB-9084-A49CC43949FC}" destId="{88A8C0BB-7C37-4EF1-A6D4-7580A268BDAB}" srcOrd="6" destOrd="0" presId="urn:microsoft.com/office/officeart/2005/8/layout/pList1"/>
    <dgm:cxn modelId="{E573E9A1-2B22-44F6-90E6-B2BD294D9438}" type="presParOf" srcId="{88A8C0BB-7C37-4EF1-A6D4-7580A268BDAB}" destId="{2DE13BC0-527A-4D1C-9DD5-EF59826CE17D}" srcOrd="0" destOrd="0" presId="urn:microsoft.com/office/officeart/2005/8/layout/pList1"/>
    <dgm:cxn modelId="{13891D1E-282F-4AE6-947A-ECB0E30E6A59}" type="presParOf" srcId="{88A8C0BB-7C37-4EF1-A6D4-7580A268BDAB}" destId="{660D9037-4A62-4D82-8C43-0DEDFC833784}" srcOrd="1" destOrd="0" presId="urn:microsoft.com/office/officeart/2005/8/layout/pList1"/>
  </dgm:cxnLst>
  <dgm:bg/>
  <dgm:whole>
    <a:ln>
      <a:solidFill>
        <a:schemeClr val="tx1"/>
      </a:solidFill>
    </a:ln>
  </dgm:whole>
  <dgm:extLst>
    <a:ext uri="http://schemas.microsoft.com/office/drawing/2008/diagram">
      <dsp:dataModelExt xmlns:dsp="http://schemas.microsoft.com/office/drawing/2008/diagram" relId="rId130"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06264BA8-E1F6-499D-AE0C-D24B99D88C95}" type="doc">
      <dgm:prSet loTypeId="urn:microsoft.com/office/officeart/2005/8/layout/hProcess10" loCatId="picture" qsTypeId="urn:microsoft.com/office/officeart/2005/8/quickstyle/simple5" qsCatId="simple" csTypeId="urn:microsoft.com/office/officeart/2005/8/colors/accent1_2" csCatId="accent1" phldr="1"/>
      <dgm:spPr/>
      <dgm:t>
        <a:bodyPr/>
        <a:lstStyle/>
        <a:p>
          <a:endParaRPr lang="fr-FR"/>
        </a:p>
      </dgm:t>
    </dgm:pt>
    <dgm:pt modelId="{2ACAA4A6-E20A-4AF7-9572-8700DE8A4A65}">
      <dgm:prSet phldrT="[Texte]" custT="1"/>
      <dgm:spPr>
        <a:solidFill>
          <a:schemeClr val="bg1">
            <a:lumMod val="75000"/>
          </a:schemeClr>
        </a:solidFill>
        <a:ln>
          <a:solidFill>
            <a:schemeClr val="bg1">
              <a:lumMod val="50000"/>
            </a:schemeClr>
          </a:solidFill>
        </a:ln>
      </dgm:spPr>
      <dgm:t>
        <a:bodyPr/>
        <a:lstStyle/>
        <a:p>
          <a:pPr rtl="1"/>
          <a:r>
            <a:rPr lang="ar-DZ" sz="1000" b="1">
              <a:solidFill>
                <a:sysClr val="windowText" lastClr="000000"/>
              </a:solidFill>
              <a:latin typeface="Simplified Arabic" panose="02020603050405020304" pitchFamily="18" charset="-78"/>
              <a:cs typeface="Simplified Arabic" panose="02020603050405020304" pitchFamily="18" charset="-78"/>
            </a:rPr>
            <a:t>1/ مطالعة الابحاث لتحديد العوامل الاولية المؤثرة على المرونة</a:t>
          </a:r>
        </a:p>
        <a:p>
          <a:pPr rtl="1"/>
          <a:r>
            <a:rPr lang="ar-DZ" sz="1000" b="1">
              <a:solidFill>
                <a:sysClr val="windowText" lastClr="000000"/>
              </a:solidFill>
              <a:latin typeface="Simplified Arabic" panose="02020603050405020304" pitchFamily="18" charset="-78"/>
              <a:cs typeface="Simplified Arabic" panose="02020603050405020304" pitchFamily="18" charset="-78"/>
            </a:rPr>
            <a:t>- مقارنة بين نماذج تقييم المرونة الحضرية الشاملة </a:t>
          </a:r>
          <a:r>
            <a:rPr lang="ar-SA" sz="1000" b="1">
              <a:solidFill>
                <a:sysClr val="windowText" lastClr="000000"/>
              </a:solidFill>
              <a:latin typeface="Simplified Arabic" panose="02020603050405020304" pitchFamily="18" charset="-78"/>
              <a:cs typeface="+mj-cs"/>
            </a:rPr>
            <a:t>(</a:t>
          </a:r>
          <a:r>
            <a:rPr lang="en-US" sz="1000" b="1">
              <a:solidFill>
                <a:sysClr val="windowText" lastClr="000000"/>
              </a:solidFill>
              <a:latin typeface="Times New Roman" panose="02020603050405020304" pitchFamily="18" charset="0"/>
              <a:cs typeface="Times New Roman" panose="02020603050405020304" pitchFamily="18" charset="0"/>
            </a:rPr>
            <a:t>GURAT</a:t>
          </a:r>
          <a:r>
            <a:rPr lang="ar-SA" sz="1000" b="1">
              <a:solidFill>
                <a:sysClr val="windowText" lastClr="000000"/>
              </a:solidFill>
              <a:latin typeface="Simplified Arabic" panose="02020603050405020304" pitchFamily="18" charset="-78"/>
              <a:cs typeface="+mj-cs"/>
            </a:rPr>
            <a:t>)</a:t>
          </a:r>
          <a:endParaRPr lang="ar-DZ" sz="500">
            <a:solidFill>
              <a:sysClr val="windowText" lastClr="000000"/>
            </a:solidFill>
            <a:cs typeface="+mj-cs"/>
          </a:endParaRPr>
        </a:p>
      </dgm:t>
    </dgm:pt>
    <dgm:pt modelId="{16D07C74-7979-44D3-B0A6-5530A3BF598E}" type="parTrans" cxnId="{24D1491E-CB6A-457C-B3EB-35FA2168CF17}">
      <dgm:prSet/>
      <dgm:spPr/>
      <dgm:t>
        <a:bodyPr/>
        <a:lstStyle/>
        <a:p>
          <a:endParaRPr lang="fr-FR"/>
        </a:p>
      </dgm:t>
    </dgm:pt>
    <dgm:pt modelId="{96579B30-C100-41D5-8D84-07AE93EFD8C9}" type="sibTrans" cxnId="{24D1491E-CB6A-457C-B3EB-35FA2168CF17}">
      <dgm:prSet/>
      <dgm:spPr/>
      <dgm:t>
        <a:bodyPr/>
        <a:lstStyle/>
        <a:p>
          <a:endParaRPr lang="fr-FR"/>
        </a:p>
      </dgm:t>
    </dgm:pt>
    <dgm:pt modelId="{8F494B21-5BBF-47F0-8622-3816018D1665}">
      <dgm:prSet phldrT="[Texte]" custT="1"/>
      <dgm:spPr>
        <a:solidFill>
          <a:schemeClr val="bg1">
            <a:lumMod val="75000"/>
          </a:schemeClr>
        </a:solidFill>
        <a:ln>
          <a:solidFill>
            <a:schemeClr val="bg1">
              <a:lumMod val="50000"/>
            </a:schemeClr>
          </a:solidFill>
        </a:ln>
      </dgm:spPr>
      <dgm:t>
        <a:bodyPr/>
        <a:lstStyle/>
        <a:p>
          <a:pPr rtl="1"/>
          <a:endParaRPr lang="ar-DZ" sz="1000" b="1">
            <a:solidFill>
              <a:sysClr val="windowText" lastClr="000000"/>
            </a:solidFill>
            <a:latin typeface="Simplified Arabic" panose="02020603050405020304" pitchFamily="18" charset="-78"/>
            <a:cs typeface="Simplified Arabic" panose="02020603050405020304" pitchFamily="18" charset="-78"/>
          </a:endParaRPr>
        </a:p>
        <a:p>
          <a:pPr rtl="1"/>
          <a:r>
            <a:rPr lang="ar-DZ" sz="1000" b="1">
              <a:solidFill>
                <a:sysClr val="windowText" lastClr="000000"/>
              </a:solidFill>
              <a:latin typeface="Simplified Arabic" panose="02020603050405020304" pitchFamily="18" charset="-78"/>
              <a:cs typeface="Simplified Arabic" panose="02020603050405020304" pitchFamily="18" charset="-78"/>
            </a:rPr>
            <a:t>3/ تخصيص نظام ترجيح لعوامل تقييم المرونة الحضرية</a:t>
          </a:r>
        </a:p>
        <a:p>
          <a:pPr rtl="1"/>
          <a:r>
            <a:rPr lang="ar-DZ" sz="1000" b="1">
              <a:solidFill>
                <a:sysClr val="windowText" lastClr="000000"/>
              </a:solidFill>
              <a:latin typeface="Simplified Arabic" panose="02020603050405020304" pitchFamily="18" charset="-78"/>
              <a:cs typeface="Simplified Arabic" panose="02020603050405020304" pitchFamily="18" charset="-78"/>
            </a:rPr>
            <a:t>- عملية التحليل الهرمي التسلسلي </a:t>
          </a:r>
          <a:r>
            <a:rPr lang="ar-DZ" sz="1000" b="1">
              <a:solidFill>
                <a:sysClr val="windowText" lastClr="000000"/>
              </a:solidFill>
              <a:latin typeface="Simplified Arabic" panose="02020603050405020304" pitchFamily="18" charset="-78"/>
              <a:cs typeface="+mj-cs"/>
            </a:rPr>
            <a:t>(</a:t>
          </a:r>
          <a:r>
            <a:rPr lang="fr-FR" sz="1000" b="1">
              <a:solidFill>
                <a:sysClr val="windowText" lastClr="000000"/>
              </a:solidFill>
              <a:latin typeface="Times New Roman" panose="02020603050405020304" pitchFamily="18" charset="0"/>
              <a:cs typeface="Times New Roman" panose="02020603050405020304" pitchFamily="18" charset="0"/>
            </a:rPr>
            <a:t>AHP</a:t>
          </a:r>
          <a:r>
            <a:rPr lang="ar-DZ" sz="1000" b="1">
              <a:solidFill>
                <a:sysClr val="windowText" lastClr="000000"/>
              </a:solidFill>
              <a:latin typeface="Simplified Arabic" panose="02020603050405020304" pitchFamily="18" charset="-78"/>
              <a:cs typeface="+mj-cs"/>
            </a:rPr>
            <a:t>) </a:t>
          </a:r>
          <a:r>
            <a:rPr lang="ar-DZ" sz="1000" b="1">
              <a:solidFill>
                <a:sysClr val="windowText" lastClr="000000"/>
              </a:solidFill>
              <a:latin typeface="Simplified Arabic" panose="02020603050405020304" pitchFamily="18" charset="-78"/>
              <a:cs typeface="Simplified Arabic" panose="02020603050405020304" pitchFamily="18" charset="-78"/>
            </a:rPr>
            <a:t>عبر </a:t>
          </a:r>
          <a:r>
            <a:rPr lang="en-US" sz="900" b="1">
              <a:solidFill>
                <a:sysClr val="windowText" lastClr="000000"/>
              </a:solidFill>
              <a:latin typeface="Times New Roman" panose="02020603050405020304" pitchFamily="18" charset="0"/>
              <a:cs typeface="Times New Roman" panose="02020603050405020304" pitchFamily="18" charset="0"/>
            </a:rPr>
            <a:t>SurveyMonkey</a:t>
          </a:r>
          <a:endParaRPr lang="ar-DZ" sz="1000" b="1">
            <a:solidFill>
              <a:sysClr val="windowText" lastClr="000000"/>
            </a:solidFill>
            <a:latin typeface="Simplified Arabic" panose="02020603050405020304" pitchFamily="18" charset="-78"/>
            <a:cs typeface="+mj-cs"/>
          </a:endParaRPr>
        </a:p>
        <a:p>
          <a:pPr rtl="1"/>
          <a:endParaRPr lang="ar-DZ" sz="1400" b="1">
            <a:solidFill>
              <a:sysClr val="windowText" lastClr="000000"/>
            </a:solidFill>
            <a:latin typeface="Times New Roman" panose="02020603050405020304" pitchFamily="18" charset="0"/>
            <a:cs typeface="Times New Roman" panose="02020603050405020304" pitchFamily="18" charset="0"/>
          </a:endParaRPr>
        </a:p>
        <a:p>
          <a:pPr rtl="1"/>
          <a:endParaRPr lang="fr-FR" sz="500">
            <a:solidFill>
              <a:sysClr val="windowText" lastClr="000000"/>
            </a:solidFill>
          </a:endParaRPr>
        </a:p>
      </dgm:t>
    </dgm:pt>
    <dgm:pt modelId="{56606DE5-6FA5-4DE6-A96A-28430C518A4E}" type="parTrans" cxnId="{90CAEEBE-6BC1-413E-9238-039C8468C28E}">
      <dgm:prSet/>
      <dgm:spPr/>
      <dgm:t>
        <a:bodyPr/>
        <a:lstStyle/>
        <a:p>
          <a:endParaRPr lang="fr-FR"/>
        </a:p>
      </dgm:t>
    </dgm:pt>
    <dgm:pt modelId="{656A8710-94B2-4C44-BD34-EF3E85899678}" type="sibTrans" cxnId="{90CAEEBE-6BC1-413E-9238-039C8468C28E}">
      <dgm:prSet/>
      <dgm:spPr/>
      <dgm:t>
        <a:bodyPr/>
        <a:lstStyle/>
        <a:p>
          <a:endParaRPr lang="fr-FR"/>
        </a:p>
      </dgm:t>
    </dgm:pt>
    <dgm:pt modelId="{FC2BD0B6-7876-48D5-B5FC-5B6A5281ECE5}">
      <dgm:prSet custT="1"/>
      <dgm:spPr>
        <a:solidFill>
          <a:schemeClr val="bg1">
            <a:lumMod val="75000"/>
          </a:schemeClr>
        </a:solidFill>
        <a:ln>
          <a:solidFill>
            <a:schemeClr val="bg1">
              <a:lumMod val="50000"/>
            </a:schemeClr>
          </a:solidFill>
        </a:ln>
      </dgm:spPr>
      <dgm:t>
        <a:bodyPr/>
        <a:lstStyle/>
        <a:p>
          <a:pPr rtl="1"/>
          <a:r>
            <a:rPr lang="ar-DZ" sz="1000" b="1">
              <a:solidFill>
                <a:sysClr val="windowText" lastClr="000000"/>
              </a:solidFill>
              <a:latin typeface="Simplified Arabic" panose="02020603050405020304" pitchFamily="18" charset="-78"/>
              <a:cs typeface="Simplified Arabic" panose="02020603050405020304" pitchFamily="18" charset="-78"/>
            </a:rPr>
            <a:t>4/ </a:t>
          </a:r>
          <a:r>
            <a:rPr lang="ar-SA" sz="1000" b="1">
              <a:solidFill>
                <a:schemeClr val="tx1"/>
              </a:solidFill>
              <a:latin typeface="Simplified Arabic" panose="02020603050405020304" pitchFamily="18" charset="-78"/>
              <a:cs typeface="Simplified Arabic" panose="02020603050405020304" pitchFamily="18" charset="-78"/>
            </a:rPr>
            <a:t>النمذجة المكانية للعوامل ضمن بيئة</a:t>
          </a:r>
          <a:r>
            <a:rPr lang="ar-SA" sz="1000">
              <a:solidFill>
                <a:schemeClr val="tx1"/>
              </a:solidFill>
              <a:latin typeface="Simplified Arabic" panose="02020603050405020304" pitchFamily="18" charset="-78"/>
              <a:cs typeface="Simplified Arabic" panose="02020603050405020304" pitchFamily="18" charset="-78"/>
            </a:rPr>
            <a:t> </a:t>
          </a:r>
          <a:r>
            <a:rPr lang="ar-SA" sz="1000" b="1">
              <a:solidFill>
                <a:schemeClr val="tx1"/>
              </a:solidFill>
              <a:latin typeface="Simplified Arabic" panose="02020603050405020304" pitchFamily="18" charset="-78"/>
              <a:cs typeface="+mj-cs"/>
            </a:rPr>
            <a:t>(</a:t>
          </a:r>
          <a:r>
            <a:rPr lang="en-US" sz="1000" b="1">
              <a:solidFill>
                <a:schemeClr val="tx1"/>
              </a:solidFill>
              <a:latin typeface="Times New Roman" panose="02020603050405020304" pitchFamily="18" charset="0"/>
              <a:cs typeface="Times New Roman" panose="02020603050405020304" pitchFamily="18" charset="0"/>
            </a:rPr>
            <a:t>GIS</a:t>
          </a:r>
          <a:r>
            <a:rPr lang="ar-SA" sz="1000" b="1">
              <a:solidFill>
                <a:schemeClr val="tx1"/>
              </a:solidFill>
              <a:latin typeface="Simplified Arabic" panose="02020603050405020304" pitchFamily="18" charset="-78"/>
              <a:cs typeface="+mj-cs"/>
            </a:rPr>
            <a:t>)</a:t>
          </a:r>
          <a:r>
            <a:rPr lang="ar-DZ" sz="1000" b="1">
              <a:solidFill>
                <a:schemeClr val="tx1"/>
              </a:solidFill>
              <a:latin typeface="Simplified Arabic" panose="02020603050405020304" pitchFamily="18" charset="-78"/>
              <a:cs typeface="+mj-cs"/>
            </a:rPr>
            <a:t> لدعم القرار المكاني</a:t>
          </a:r>
        </a:p>
        <a:p>
          <a:pPr rtl="1"/>
          <a:r>
            <a:rPr lang="ar-DZ" sz="1000" b="1">
              <a:solidFill>
                <a:schemeClr val="tx1"/>
              </a:solidFill>
              <a:latin typeface="Simplified Arabic" panose="02020603050405020304" pitchFamily="18" charset="-78"/>
              <a:cs typeface="Simplified Arabic" panose="02020603050405020304" pitchFamily="18" charset="-78"/>
            </a:rPr>
            <a:t>-</a:t>
          </a:r>
          <a:r>
            <a:rPr lang="ar-SA" sz="1000" b="1">
              <a:solidFill>
                <a:schemeClr val="tx1"/>
              </a:solidFill>
              <a:latin typeface="Simplified Arabic" panose="02020603050405020304" pitchFamily="18" charset="-78"/>
              <a:cs typeface="Simplified Arabic" panose="02020603050405020304" pitchFamily="18" charset="-78"/>
            </a:rPr>
            <a:t>خرائط معايير التقييم ''المدخلات'' وخريطة تصنيفات المرونة الحضرية''المخرجات''</a:t>
          </a:r>
          <a:endParaRPr lang="fr-FR" sz="500">
            <a:solidFill>
              <a:sysClr val="windowText" lastClr="000000"/>
            </a:solidFill>
          </a:endParaRPr>
        </a:p>
      </dgm:t>
    </dgm:pt>
    <dgm:pt modelId="{D9BE0EAC-F311-4BC7-B341-29E22EB1DF58}" type="parTrans" cxnId="{ED7E2F87-7B6D-422D-83E2-66EC3C888A2C}">
      <dgm:prSet/>
      <dgm:spPr/>
      <dgm:t>
        <a:bodyPr/>
        <a:lstStyle/>
        <a:p>
          <a:endParaRPr lang="fr-FR"/>
        </a:p>
      </dgm:t>
    </dgm:pt>
    <dgm:pt modelId="{EFC57EE5-BC9F-4B1E-B38D-18D32AFFE0D4}" type="sibTrans" cxnId="{ED7E2F87-7B6D-422D-83E2-66EC3C888A2C}">
      <dgm:prSet/>
      <dgm:spPr/>
      <dgm:t>
        <a:bodyPr/>
        <a:lstStyle/>
        <a:p>
          <a:endParaRPr lang="fr-FR"/>
        </a:p>
      </dgm:t>
    </dgm:pt>
    <dgm:pt modelId="{AD0CF236-C034-4B17-9484-F87062BACDA6}">
      <dgm:prSet custT="1"/>
      <dgm:spPr>
        <a:solidFill>
          <a:schemeClr val="bg1">
            <a:lumMod val="75000"/>
          </a:schemeClr>
        </a:solidFill>
        <a:ln>
          <a:solidFill>
            <a:schemeClr val="bg1">
              <a:lumMod val="50000"/>
            </a:schemeClr>
          </a:solidFill>
        </a:ln>
      </dgm:spPr>
      <dgm:t>
        <a:bodyPr/>
        <a:lstStyle/>
        <a:p>
          <a:pPr rtl="1"/>
          <a:r>
            <a:rPr lang="ar-DZ" sz="1000" b="1">
              <a:solidFill>
                <a:schemeClr val="tx1"/>
              </a:solidFill>
              <a:latin typeface="Simplified Arabic" panose="02020603050405020304" pitchFamily="18" charset="-78"/>
              <a:cs typeface="Simplified Arabic" panose="02020603050405020304" pitchFamily="18" charset="-78"/>
            </a:rPr>
            <a:t>5/ </a:t>
          </a:r>
          <a:r>
            <a:rPr lang="ar-SA" sz="1000" b="1">
              <a:solidFill>
                <a:sysClr val="windowText" lastClr="000000"/>
              </a:solidFill>
              <a:latin typeface="Simplified Arabic" panose="02020603050405020304" pitchFamily="18" charset="-78"/>
              <a:cs typeface="Simplified Arabic" panose="02020603050405020304" pitchFamily="18" charset="-78"/>
            </a:rPr>
            <a:t>التحقيق في تصورات السكان ل</a:t>
          </a:r>
          <a:r>
            <a:rPr lang="ar-DZ" sz="1000" b="1">
              <a:solidFill>
                <a:sysClr val="windowText" lastClr="000000"/>
              </a:solidFill>
              <a:latin typeface="Simplified Arabic" panose="02020603050405020304" pitchFamily="18" charset="-78"/>
              <a:cs typeface="Simplified Arabic" panose="02020603050405020304" pitchFamily="18" charset="-78"/>
            </a:rPr>
            <a:t>تحديد أولويات </a:t>
          </a:r>
          <a:r>
            <a:rPr lang="ar-SA" sz="1000" b="1">
              <a:solidFill>
                <a:sysClr val="windowText" lastClr="000000"/>
              </a:solidFill>
              <a:latin typeface="Simplified Arabic" panose="02020603050405020304" pitchFamily="18" charset="-78"/>
              <a:cs typeface="Simplified Arabic" panose="02020603050405020304" pitchFamily="18" charset="-78"/>
            </a:rPr>
            <a:t>التنمية الحضرية</a:t>
          </a:r>
          <a:endParaRPr lang="ar-DZ" sz="1000" b="1">
            <a:solidFill>
              <a:sysClr val="windowText" lastClr="000000"/>
            </a:solidFill>
            <a:latin typeface="Simplified Arabic" panose="02020603050405020304" pitchFamily="18" charset="-78"/>
            <a:cs typeface="Simplified Arabic" panose="02020603050405020304" pitchFamily="18" charset="-78"/>
          </a:endParaRPr>
        </a:p>
        <a:p>
          <a:pPr rtl="1"/>
          <a:r>
            <a:rPr lang="ar-DZ" sz="1000" b="1">
              <a:solidFill>
                <a:sysClr val="windowText" lastClr="000000"/>
              </a:solidFill>
              <a:latin typeface="Simplified Arabic" panose="02020603050405020304" pitchFamily="18" charset="-78"/>
              <a:cs typeface="Simplified Arabic" panose="02020603050405020304" pitchFamily="18" charset="-78"/>
            </a:rPr>
            <a:t>- استبيان للسكان المحليين عبر</a:t>
          </a:r>
          <a:r>
            <a:rPr lang="ar-DZ" sz="1000" b="1">
              <a:solidFill>
                <a:sysClr val="windowText" lastClr="000000"/>
              </a:solidFill>
            </a:rPr>
            <a:t> </a:t>
          </a:r>
          <a:r>
            <a:rPr lang="en-US" sz="900" b="1">
              <a:solidFill>
                <a:sysClr val="windowText" lastClr="000000"/>
              </a:solidFill>
              <a:latin typeface="Times New Roman" panose="02020603050405020304" pitchFamily="18" charset="0"/>
              <a:cs typeface="Times New Roman" panose="02020603050405020304" pitchFamily="18" charset="0"/>
            </a:rPr>
            <a:t>SurveyMonkey</a:t>
          </a:r>
          <a:endParaRPr lang="fr-FR" sz="1000" b="1">
            <a:solidFill>
              <a:schemeClr val="tx1"/>
            </a:solidFill>
            <a:latin typeface="Simplified Arabic" panose="02020603050405020304" pitchFamily="18" charset="-78"/>
            <a:cs typeface="Simplified Arabic" panose="02020603050405020304" pitchFamily="18" charset="-78"/>
          </a:endParaRPr>
        </a:p>
      </dgm:t>
    </dgm:pt>
    <dgm:pt modelId="{E7075EC9-602F-41AF-BBF0-F4227D47AF7C}" type="parTrans" cxnId="{434A211E-9A2E-4E4C-B9DC-C9F000734D80}">
      <dgm:prSet/>
      <dgm:spPr/>
      <dgm:t>
        <a:bodyPr/>
        <a:lstStyle/>
        <a:p>
          <a:endParaRPr lang="fr-FR"/>
        </a:p>
      </dgm:t>
    </dgm:pt>
    <dgm:pt modelId="{9AED3430-181E-4F82-B99C-E59AB4384167}" type="sibTrans" cxnId="{434A211E-9A2E-4E4C-B9DC-C9F000734D80}">
      <dgm:prSet/>
      <dgm:spPr/>
      <dgm:t>
        <a:bodyPr/>
        <a:lstStyle/>
        <a:p>
          <a:endParaRPr lang="fr-FR"/>
        </a:p>
      </dgm:t>
    </dgm:pt>
    <dgm:pt modelId="{C2609888-71B0-4177-8B97-A59CF8B06B03}">
      <dgm:prSet phldrT="[Texte]" custT="1"/>
      <dgm:spPr>
        <a:solidFill>
          <a:schemeClr val="bg1">
            <a:lumMod val="75000"/>
          </a:schemeClr>
        </a:solidFill>
        <a:ln>
          <a:solidFill>
            <a:schemeClr val="bg1">
              <a:lumMod val="50000"/>
            </a:schemeClr>
          </a:solidFill>
        </a:ln>
      </dgm:spPr>
      <dgm:t>
        <a:bodyPr/>
        <a:lstStyle/>
        <a:p>
          <a:pPr algn="ctr" rtl="1"/>
          <a:r>
            <a:rPr lang="ar-DZ" sz="1000" b="1">
              <a:solidFill>
                <a:sysClr val="windowText" lastClr="000000"/>
              </a:solidFill>
              <a:latin typeface="Simplified Arabic" panose="02020603050405020304" pitchFamily="18" charset="-78"/>
              <a:cs typeface="Simplified Arabic" panose="02020603050405020304" pitchFamily="18" charset="-78"/>
            </a:rPr>
            <a:t>2/ </a:t>
          </a:r>
          <a:r>
            <a:rPr lang="ar-SA" sz="1000" b="1">
              <a:solidFill>
                <a:sysClr val="windowText" lastClr="000000"/>
              </a:solidFill>
              <a:latin typeface="Simplified Arabic" panose="02020603050405020304" pitchFamily="18" charset="-78"/>
              <a:cs typeface="Simplified Arabic" panose="02020603050405020304" pitchFamily="18" charset="-78"/>
            </a:rPr>
            <a:t>إجماع الخبراء </a:t>
          </a:r>
          <a:r>
            <a:rPr lang="ar-DZ" sz="1000" b="1">
              <a:solidFill>
                <a:sysClr val="windowText" lastClr="000000"/>
              </a:solidFill>
              <a:latin typeface="Simplified Arabic" panose="02020603050405020304" pitchFamily="18" charset="-78"/>
              <a:cs typeface="Simplified Arabic" panose="02020603050405020304" pitchFamily="18" charset="-78"/>
            </a:rPr>
            <a:t>لتحديد ال</a:t>
          </a:r>
          <a:r>
            <a:rPr lang="ar-SA" sz="1000" b="1">
              <a:solidFill>
                <a:sysClr val="windowText" lastClr="000000"/>
              </a:solidFill>
              <a:latin typeface="Simplified Arabic" panose="02020603050405020304" pitchFamily="18" charset="-78"/>
              <a:cs typeface="Simplified Arabic" panose="02020603050405020304" pitchFamily="18" charset="-78"/>
            </a:rPr>
            <a:t>عوامل </a:t>
          </a:r>
          <a:r>
            <a:rPr lang="ar-DZ" sz="1000" b="1">
              <a:solidFill>
                <a:sysClr val="windowText" lastClr="000000"/>
              </a:solidFill>
              <a:latin typeface="Simplified Arabic" panose="02020603050405020304" pitchFamily="18" charset="-78"/>
              <a:cs typeface="Simplified Arabic" panose="02020603050405020304" pitchFamily="18" charset="-78"/>
            </a:rPr>
            <a:t>ال</a:t>
          </a:r>
          <a:r>
            <a:rPr lang="ar-SA" sz="1000" b="1">
              <a:solidFill>
                <a:sysClr val="windowText" lastClr="000000"/>
              </a:solidFill>
              <a:latin typeface="Simplified Arabic" panose="02020603050405020304" pitchFamily="18" charset="-78"/>
              <a:cs typeface="Simplified Arabic" panose="02020603050405020304" pitchFamily="18" charset="-78"/>
            </a:rPr>
            <a:t>نهائية لتقييم المرونة الحضرية</a:t>
          </a:r>
          <a:endParaRPr lang="ar-DZ" sz="1000" b="1">
            <a:solidFill>
              <a:sysClr val="windowText" lastClr="000000"/>
            </a:solidFill>
            <a:latin typeface="Simplified Arabic" panose="02020603050405020304" pitchFamily="18" charset="-78"/>
            <a:cs typeface="Simplified Arabic" panose="02020603050405020304" pitchFamily="18" charset="-78"/>
          </a:endParaRPr>
        </a:p>
        <a:p>
          <a:pPr algn="ctr" rtl="1"/>
          <a:r>
            <a:rPr lang="ar-DZ" sz="1000" b="1">
              <a:solidFill>
                <a:sysClr val="windowText" lastClr="000000"/>
              </a:solidFill>
              <a:latin typeface="Simplified Arabic" panose="02020603050405020304" pitchFamily="18" charset="-78"/>
              <a:cs typeface="Simplified Arabic" panose="02020603050405020304" pitchFamily="18" charset="-78"/>
            </a:rPr>
            <a:t>- استخدام تقنية دلفي عبر </a:t>
          </a:r>
          <a:r>
            <a:rPr lang="en-US" sz="900" b="1">
              <a:solidFill>
                <a:sysClr val="windowText" lastClr="000000"/>
              </a:solidFill>
              <a:latin typeface="Times New Roman" panose="02020603050405020304" pitchFamily="18" charset="0"/>
              <a:cs typeface="Times New Roman" panose="02020603050405020304" pitchFamily="18" charset="0"/>
            </a:rPr>
            <a:t>SurveyMonkey</a:t>
          </a:r>
          <a:endParaRPr lang="fr-FR" sz="1000">
            <a:solidFill>
              <a:sysClr val="windowText" lastClr="000000"/>
            </a:solidFill>
            <a:latin typeface="Times New Roman" panose="02020603050405020304" pitchFamily="18" charset="0"/>
            <a:cs typeface="Times New Roman" panose="02020603050405020304" pitchFamily="18" charset="0"/>
          </a:endParaRPr>
        </a:p>
      </dgm:t>
    </dgm:pt>
    <dgm:pt modelId="{FBE3B00E-4728-4046-AE7E-B1465A8F2409}" type="sibTrans" cxnId="{959C9A01-9100-4467-A5DF-B7B6B52EA73D}">
      <dgm:prSet/>
      <dgm:spPr/>
      <dgm:t>
        <a:bodyPr/>
        <a:lstStyle/>
        <a:p>
          <a:endParaRPr lang="fr-FR"/>
        </a:p>
      </dgm:t>
    </dgm:pt>
    <dgm:pt modelId="{EF6BBB30-2F1E-42C7-830E-EA98D052C7D4}" type="parTrans" cxnId="{959C9A01-9100-4467-A5DF-B7B6B52EA73D}">
      <dgm:prSet/>
      <dgm:spPr/>
      <dgm:t>
        <a:bodyPr/>
        <a:lstStyle/>
        <a:p>
          <a:endParaRPr lang="fr-FR"/>
        </a:p>
      </dgm:t>
    </dgm:pt>
    <dgm:pt modelId="{8769BEC6-5CC4-4F4E-BA3B-5B8B2E66A189}" type="pres">
      <dgm:prSet presAssocID="{06264BA8-E1F6-499D-AE0C-D24B99D88C95}" presName="Name0" presStyleCnt="0">
        <dgm:presLayoutVars>
          <dgm:dir val="rev"/>
          <dgm:resizeHandles val="exact"/>
        </dgm:presLayoutVars>
      </dgm:prSet>
      <dgm:spPr/>
      <dgm:t>
        <a:bodyPr/>
        <a:lstStyle/>
        <a:p>
          <a:endParaRPr lang="fr-FR"/>
        </a:p>
      </dgm:t>
    </dgm:pt>
    <dgm:pt modelId="{1487E970-2C00-41C9-B574-0950CD67A3FA}" type="pres">
      <dgm:prSet presAssocID="{2ACAA4A6-E20A-4AF7-9572-8700DE8A4A65}" presName="composite" presStyleCnt="0"/>
      <dgm:spPr/>
    </dgm:pt>
    <dgm:pt modelId="{33560463-6B9B-4728-BF7C-34F0627D77BC}" type="pres">
      <dgm:prSet presAssocID="{2ACAA4A6-E20A-4AF7-9572-8700DE8A4A65}" presName="imagSh" presStyleLbl="bgImgPlace1" presStyleIdx="0" presStyleCnt="5" custScaleX="235795" custScaleY="214359" custLinFactY="100000" custLinFactNeighborX="-66859" custLinFactNeighborY="178222"/>
      <dgm:spPr>
        <a:blipFill rotWithShape="1">
          <a:blip xmlns:r="http://schemas.openxmlformats.org/officeDocument/2006/relationships" r:embed="rId1"/>
          <a:stretch>
            <a:fillRect/>
          </a:stretch>
        </a:blipFill>
        <a:ln>
          <a:solidFill>
            <a:schemeClr val="tx1"/>
          </a:solidFill>
        </a:ln>
      </dgm:spPr>
      <dgm:t>
        <a:bodyPr/>
        <a:lstStyle/>
        <a:p>
          <a:endParaRPr lang="fr-FR"/>
        </a:p>
      </dgm:t>
    </dgm:pt>
    <dgm:pt modelId="{26BB6028-51C4-41BB-B397-30FD60D0DE36}" type="pres">
      <dgm:prSet presAssocID="{2ACAA4A6-E20A-4AF7-9572-8700DE8A4A65}" presName="txNode" presStyleLbl="node1" presStyleIdx="0" presStyleCnt="5" custScaleX="282318" custScaleY="421461" custLinFactY="-17509" custLinFactNeighborX="-49740" custLinFactNeighborY="-100000">
        <dgm:presLayoutVars>
          <dgm:bulletEnabled val="1"/>
        </dgm:presLayoutVars>
      </dgm:prSet>
      <dgm:spPr/>
      <dgm:t>
        <a:bodyPr/>
        <a:lstStyle/>
        <a:p>
          <a:endParaRPr lang="fr-FR"/>
        </a:p>
      </dgm:t>
    </dgm:pt>
    <dgm:pt modelId="{E35D8EE5-1B5A-4D0A-B39B-8436BFC4542D}" type="pres">
      <dgm:prSet presAssocID="{96579B30-C100-41D5-8D84-07AE93EFD8C9}" presName="sibTrans" presStyleLbl="sibTrans2D1" presStyleIdx="0" presStyleCnt="4" custScaleX="214359"/>
      <dgm:spPr/>
      <dgm:t>
        <a:bodyPr/>
        <a:lstStyle/>
        <a:p>
          <a:endParaRPr lang="fr-FR"/>
        </a:p>
      </dgm:t>
    </dgm:pt>
    <dgm:pt modelId="{AA6B65D6-9CCB-438D-BB53-8CF341748192}" type="pres">
      <dgm:prSet presAssocID="{96579B30-C100-41D5-8D84-07AE93EFD8C9}" presName="connTx" presStyleLbl="sibTrans2D1" presStyleIdx="0" presStyleCnt="4"/>
      <dgm:spPr/>
      <dgm:t>
        <a:bodyPr/>
        <a:lstStyle/>
        <a:p>
          <a:endParaRPr lang="fr-FR"/>
        </a:p>
      </dgm:t>
    </dgm:pt>
    <dgm:pt modelId="{17AF9739-864B-4F95-AAB7-A92B368F73EB}" type="pres">
      <dgm:prSet presAssocID="{C2609888-71B0-4177-8B97-A59CF8B06B03}" presName="composite" presStyleCnt="0"/>
      <dgm:spPr/>
    </dgm:pt>
    <dgm:pt modelId="{BA45DFA2-92E2-49A2-B4FF-CD4C8B9353D6}" type="pres">
      <dgm:prSet presAssocID="{C2609888-71B0-4177-8B97-A59CF8B06B03}" presName="imagSh" presStyleLbl="bgImgPlace1" presStyleIdx="1" presStyleCnt="5" custScaleX="235795" custScaleY="214359" custLinFactY="100000" custLinFactNeighborX="-36436" custLinFactNeighborY="177866"/>
      <dgm:spPr>
        <a:blipFill rotWithShape="1">
          <a:blip xmlns:r="http://schemas.openxmlformats.org/officeDocument/2006/relationships" r:embed="rId2"/>
          <a:stretch>
            <a:fillRect/>
          </a:stretch>
        </a:blipFill>
        <a:ln>
          <a:solidFill>
            <a:schemeClr val="tx1"/>
          </a:solidFill>
        </a:ln>
      </dgm:spPr>
      <dgm:t>
        <a:bodyPr/>
        <a:lstStyle/>
        <a:p>
          <a:endParaRPr lang="fr-FR"/>
        </a:p>
      </dgm:t>
    </dgm:pt>
    <dgm:pt modelId="{595A73E7-87F7-454F-A9F2-C4EA99780C91}" type="pres">
      <dgm:prSet presAssocID="{C2609888-71B0-4177-8B97-A59CF8B06B03}" presName="txNode" presStyleLbl="node1" presStyleIdx="1" presStyleCnt="5" custScaleX="283255" custScaleY="422859" custLinFactY="-18651" custLinFactNeighborX="-25808" custLinFactNeighborY="-100000">
        <dgm:presLayoutVars>
          <dgm:bulletEnabled val="1"/>
        </dgm:presLayoutVars>
      </dgm:prSet>
      <dgm:spPr/>
      <dgm:t>
        <a:bodyPr/>
        <a:lstStyle/>
        <a:p>
          <a:endParaRPr lang="fr-FR"/>
        </a:p>
      </dgm:t>
    </dgm:pt>
    <dgm:pt modelId="{F6956B94-A06E-4732-9CF8-29796A9467AD}" type="pres">
      <dgm:prSet presAssocID="{FBE3B00E-4728-4046-AE7E-B1465A8F2409}" presName="sibTrans" presStyleLbl="sibTrans2D1" presStyleIdx="1" presStyleCnt="4" custScaleX="177156"/>
      <dgm:spPr/>
      <dgm:t>
        <a:bodyPr/>
        <a:lstStyle/>
        <a:p>
          <a:endParaRPr lang="fr-FR"/>
        </a:p>
      </dgm:t>
    </dgm:pt>
    <dgm:pt modelId="{C7B684E7-5D8C-4B6B-B512-0284356EF2E3}" type="pres">
      <dgm:prSet presAssocID="{FBE3B00E-4728-4046-AE7E-B1465A8F2409}" presName="connTx" presStyleLbl="sibTrans2D1" presStyleIdx="1" presStyleCnt="4"/>
      <dgm:spPr/>
      <dgm:t>
        <a:bodyPr/>
        <a:lstStyle/>
        <a:p>
          <a:endParaRPr lang="fr-FR"/>
        </a:p>
      </dgm:t>
    </dgm:pt>
    <dgm:pt modelId="{5D2A6A06-AC84-469F-BA0D-126D6DDFE0B7}" type="pres">
      <dgm:prSet presAssocID="{8F494B21-5BBF-47F0-8622-3816018D1665}" presName="composite" presStyleCnt="0"/>
      <dgm:spPr/>
    </dgm:pt>
    <dgm:pt modelId="{D5917B6D-3069-41FD-8A30-7AA4AA851EAB}" type="pres">
      <dgm:prSet presAssocID="{8F494B21-5BBF-47F0-8622-3816018D1665}" presName="imagSh" presStyleLbl="bgImgPlace1" presStyleIdx="2" presStyleCnt="5" custScaleX="235795" custScaleY="214359" custLinFactY="100000" custLinFactNeighborX="-15191" custLinFactNeighborY="176442"/>
      <dgm:spPr>
        <a:blipFill rotWithShape="1">
          <a:blip xmlns:r="http://schemas.openxmlformats.org/officeDocument/2006/relationships" r:embed="rId3"/>
          <a:stretch>
            <a:fillRect/>
          </a:stretch>
        </a:blipFill>
        <a:ln>
          <a:solidFill>
            <a:schemeClr val="tx1"/>
          </a:solidFill>
        </a:ln>
      </dgm:spPr>
      <dgm:t>
        <a:bodyPr/>
        <a:lstStyle/>
        <a:p>
          <a:endParaRPr lang="fr-FR"/>
        </a:p>
      </dgm:t>
    </dgm:pt>
    <dgm:pt modelId="{E8F0A3AE-0C63-4129-B6FA-D5FF41017C4A}" type="pres">
      <dgm:prSet presAssocID="{8F494B21-5BBF-47F0-8622-3816018D1665}" presName="txNode" presStyleLbl="node1" presStyleIdx="2" presStyleCnt="5" custScaleX="284197" custScaleY="424266" custLinFactY="-16730" custLinFactNeighborX="-3835" custLinFactNeighborY="-100000">
        <dgm:presLayoutVars>
          <dgm:bulletEnabled val="1"/>
        </dgm:presLayoutVars>
      </dgm:prSet>
      <dgm:spPr/>
      <dgm:t>
        <a:bodyPr/>
        <a:lstStyle/>
        <a:p>
          <a:endParaRPr lang="fr-FR"/>
        </a:p>
      </dgm:t>
    </dgm:pt>
    <dgm:pt modelId="{6BA1AE87-2263-421B-BFC3-EEB88F8DAB52}" type="pres">
      <dgm:prSet presAssocID="{656A8710-94B2-4C44-BD34-EF3E85899678}" presName="sibTrans" presStyleLbl="sibTrans2D1" presStyleIdx="2" presStyleCnt="4" custScaleX="177156" custLinFactNeighborX="-6244"/>
      <dgm:spPr/>
      <dgm:t>
        <a:bodyPr/>
        <a:lstStyle/>
        <a:p>
          <a:endParaRPr lang="fr-FR"/>
        </a:p>
      </dgm:t>
    </dgm:pt>
    <dgm:pt modelId="{FA5253C0-62F0-43DF-BBEA-CDDE142498B1}" type="pres">
      <dgm:prSet presAssocID="{656A8710-94B2-4C44-BD34-EF3E85899678}" presName="connTx" presStyleLbl="sibTrans2D1" presStyleIdx="2" presStyleCnt="4"/>
      <dgm:spPr/>
      <dgm:t>
        <a:bodyPr/>
        <a:lstStyle/>
        <a:p>
          <a:endParaRPr lang="fr-FR"/>
        </a:p>
      </dgm:t>
    </dgm:pt>
    <dgm:pt modelId="{533F731F-0416-400E-9DBA-83D8EBC1DE10}" type="pres">
      <dgm:prSet presAssocID="{FC2BD0B6-7876-48D5-B5FC-5B6A5281ECE5}" presName="composite" presStyleCnt="0"/>
      <dgm:spPr/>
    </dgm:pt>
    <dgm:pt modelId="{5A554662-ED55-45CE-BB79-B1B86D1BF549}" type="pres">
      <dgm:prSet presAssocID="{FC2BD0B6-7876-48D5-B5FC-5B6A5281ECE5}" presName="imagSh" presStyleLbl="bgImgPlace1" presStyleIdx="3" presStyleCnt="5" custScaleX="235795" custScaleY="214359" custLinFactY="100000" custLinFactNeighborX="1729" custLinFactNeighborY="176442"/>
      <dgm:spPr>
        <a:blipFill rotWithShape="1">
          <a:blip xmlns:r="http://schemas.openxmlformats.org/officeDocument/2006/relationships" r:embed="rId4"/>
          <a:stretch>
            <a:fillRect/>
          </a:stretch>
        </a:blipFill>
        <a:ln>
          <a:solidFill>
            <a:schemeClr val="tx1"/>
          </a:solidFill>
        </a:ln>
      </dgm:spPr>
      <dgm:t>
        <a:bodyPr/>
        <a:lstStyle/>
        <a:p>
          <a:endParaRPr lang="fr-FR"/>
        </a:p>
      </dgm:t>
    </dgm:pt>
    <dgm:pt modelId="{3FDBC310-4E8E-470B-BA43-FF6203E51041}" type="pres">
      <dgm:prSet presAssocID="{FC2BD0B6-7876-48D5-B5FC-5B6A5281ECE5}" presName="txNode" presStyleLbl="node1" presStyleIdx="3" presStyleCnt="5" custScaleX="284671" custScaleY="424973" custLinFactY="-17546" custLinFactNeighborX="18989" custLinFactNeighborY="-100000">
        <dgm:presLayoutVars>
          <dgm:bulletEnabled val="1"/>
        </dgm:presLayoutVars>
      </dgm:prSet>
      <dgm:spPr/>
      <dgm:t>
        <a:bodyPr/>
        <a:lstStyle/>
        <a:p>
          <a:endParaRPr lang="fr-FR"/>
        </a:p>
      </dgm:t>
    </dgm:pt>
    <dgm:pt modelId="{141086F2-15F1-4702-9C7B-D8B311635C1E}" type="pres">
      <dgm:prSet presAssocID="{EFC57EE5-BC9F-4B1E-B38D-18D32AFFE0D4}" presName="sibTrans" presStyleLbl="sibTrans2D1" presStyleIdx="3" presStyleCnt="4" custScaleX="161051" custLinFactNeighborX="-11175"/>
      <dgm:spPr/>
      <dgm:t>
        <a:bodyPr/>
        <a:lstStyle/>
        <a:p>
          <a:endParaRPr lang="fr-FR"/>
        </a:p>
      </dgm:t>
    </dgm:pt>
    <dgm:pt modelId="{A8C18697-EEEB-4813-8A4A-328D2AC3C054}" type="pres">
      <dgm:prSet presAssocID="{EFC57EE5-BC9F-4B1E-B38D-18D32AFFE0D4}" presName="connTx" presStyleLbl="sibTrans2D1" presStyleIdx="3" presStyleCnt="4"/>
      <dgm:spPr/>
      <dgm:t>
        <a:bodyPr/>
        <a:lstStyle/>
        <a:p>
          <a:endParaRPr lang="fr-FR"/>
        </a:p>
      </dgm:t>
    </dgm:pt>
    <dgm:pt modelId="{2BC167A0-B8FD-429B-9BB3-104820742DC4}" type="pres">
      <dgm:prSet presAssocID="{AD0CF236-C034-4B17-9484-F87062BACDA6}" presName="composite" presStyleCnt="0"/>
      <dgm:spPr/>
    </dgm:pt>
    <dgm:pt modelId="{0BF41F20-7BF4-480A-AE8A-A24023B79C9B}" type="pres">
      <dgm:prSet presAssocID="{AD0CF236-C034-4B17-9484-F87062BACDA6}" presName="imagSh" presStyleLbl="bgImgPlace1" presStyleIdx="4" presStyleCnt="5" custScaleX="235795" custScaleY="214359" custLinFactY="100000" custLinFactNeighborX="20007" custLinFactNeighborY="176442"/>
      <dgm:spPr>
        <a:blipFill rotWithShape="1">
          <a:blip xmlns:r="http://schemas.openxmlformats.org/officeDocument/2006/relationships" r:embed="rId5"/>
          <a:stretch>
            <a:fillRect/>
          </a:stretch>
        </a:blipFill>
        <a:ln>
          <a:solidFill>
            <a:schemeClr val="tx1"/>
          </a:solidFill>
        </a:ln>
      </dgm:spPr>
      <dgm:t>
        <a:bodyPr/>
        <a:lstStyle/>
        <a:p>
          <a:endParaRPr lang="fr-FR"/>
        </a:p>
      </dgm:t>
    </dgm:pt>
    <dgm:pt modelId="{F208B848-67A8-4E6A-9622-05F26B5D8F7C}" type="pres">
      <dgm:prSet presAssocID="{AD0CF236-C034-4B17-9484-F87062BACDA6}" presName="txNode" presStyleLbl="node1" presStyleIdx="4" presStyleCnt="5" custScaleX="284671" custScaleY="421461" custLinFactY="-16616" custLinFactNeighborX="42998" custLinFactNeighborY="-100000">
        <dgm:presLayoutVars>
          <dgm:bulletEnabled val="1"/>
        </dgm:presLayoutVars>
      </dgm:prSet>
      <dgm:spPr/>
      <dgm:t>
        <a:bodyPr/>
        <a:lstStyle/>
        <a:p>
          <a:endParaRPr lang="fr-FR"/>
        </a:p>
      </dgm:t>
    </dgm:pt>
  </dgm:ptLst>
  <dgm:cxnLst>
    <dgm:cxn modelId="{7DAACAD8-E1BD-4C89-95BC-E29EC731EA99}" type="presOf" srcId="{656A8710-94B2-4C44-BD34-EF3E85899678}" destId="{6BA1AE87-2263-421B-BFC3-EEB88F8DAB52}" srcOrd="0" destOrd="0" presId="urn:microsoft.com/office/officeart/2005/8/layout/hProcess10"/>
    <dgm:cxn modelId="{1D62706D-DE67-409C-95CB-1005B753B89D}" type="presOf" srcId="{06264BA8-E1F6-499D-AE0C-D24B99D88C95}" destId="{8769BEC6-5CC4-4F4E-BA3B-5B8B2E66A189}" srcOrd="0" destOrd="0" presId="urn:microsoft.com/office/officeart/2005/8/layout/hProcess10"/>
    <dgm:cxn modelId="{A5CCFA97-9D5E-4E89-A639-B1670FAD29CA}" type="presOf" srcId="{FC2BD0B6-7876-48D5-B5FC-5B6A5281ECE5}" destId="{3FDBC310-4E8E-470B-BA43-FF6203E51041}" srcOrd="0" destOrd="0" presId="urn:microsoft.com/office/officeart/2005/8/layout/hProcess10"/>
    <dgm:cxn modelId="{E2B7C4DC-7A5E-44E8-B8B8-A4EFA2A598C6}" type="presOf" srcId="{96579B30-C100-41D5-8D84-07AE93EFD8C9}" destId="{AA6B65D6-9CCB-438D-BB53-8CF341748192}" srcOrd="1" destOrd="0" presId="urn:microsoft.com/office/officeart/2005/8/layout/hProcess10"/>
    <dgm:cxn modelId="{90CAEEBE-6BC1-413E-9238-039C8468C28E}" srcId="{06264BA8-E1F6-499D-AE0C-D24B99D88C95}" destId="{8F494B21-5BBF-47F0-8622-3816018D1665}" srcOrd="2" destOrd="0" parTransId="{56606DE5-6FA5-4DE6-A96A-28430C518A4E}" sibTransId="{656A8710-94B2-4C44-BD34-EF3E85899678}"/>
    <dgm:cxn modelId="{BF06AE95-8F3C-46E5-B680-0BEAA3C4C15B}" type="presOf" srcId="{EFC57EE5-BC9F-4B1E-B38D-18D32AFFE0D4}" destId="{A8C18697-EEEB-4813-8A4A-328D2AC3C054}" srcOrd="1" destOrd="0" presId="urn:microsoft.com/office/officeart/2005/8/layout/hProcess10"/>
    <dgm:cxn modelId="{C9ADC28C-4CAE-4A67-8839-972EED78287A}" type="presOf" srcId="{AD0CF236-C034-4B17-9484-F87062BACDA6}" destId="{F208B848-67A8-4E6A-9622-05F26B5D8F7C}" srcOrd="0" destOrd="0" presId="urn:microsoft.com/office/officeart/2005/8/layout/hProcess10"/>
    <dgm:cxn modelId="{5406B833-7C94-4DA5-B6AC-193AAB482B13}" type="presOf" srcId="{8F494B21-5BBF-47F0-8622-3816018D1665}" destId="{E8F0A3AE-0C63-4129-B6FA-D5FF41017C4A}" srcOrd="0" destOrd="0" presId="urn:microsoft.com/office/officeart/2005/8/layout/hProcess10"/>
    <dgm:cxn modelId="{959C9A01-9100-4467-A5DF-B7B6B52EA73D}" srcId="{06264BA8-E1F6-499D-AE0C-D24B99D88C95}" destId="{C2609888-71B0-4177-8B97-A59CF8B06B03}" srcOrd="1" destOrd="0" parTransId="{EF6BBB30-2F1E-42C7-830E-EA98D052C7D4}" sibTransId="{FBE3B00E-4728-4046-AE7E-B1465A8F2409}"/>
    <dgm:cxn modelId="{920C2E76-40B4-47E0-988E-98BB2F87851B}" type="presOf" srcId="{EFC57EE5-BC9F-4B1E-B38D-18D32AFFE0D4}" destId="{141086F2-15F1-4702-9C7B-D8B311635C1E}" srcOrd="0" destOrd="0" presId="urn:microsoft.com/office/officeart/2005/8/layout/hProcess10"/>
    <dgm:cxn modelId="{434A211E-9A2E-4E4C-B9DC-C9F000734D80}" srcId="{06264BA8-E1F6-499D-AE0C-D24B99D88C95}" destId="{AD0CF236-C034-4B17-9484-F87062BACDA6}" srcOrd="4" destOrd="0" parTransId="{E7075EC9-602F-41AF-BBF0-F4227D47AF7C}" sibTransId="{9AED3430-181E-4F82-B99C-E59AB4384167}"/>
    <dgm:cxn modelId="{24D1491E-CB6A-457C-B3EB-35FA2168CF17}" srcId="{06264BA8-E1F6-499D-AE0C-D24B99D88C95}" destId="{2ACAA4A6-E20A-4AF7-9572-8700DE8A4A65}" srcOrd="0" destOrd="0" parTransId="{16D07C74-7979-44D3-B0A6-5530A3BF598E}" sibTransId="{96579B30-C100-41D5-8D84-07AE93EFD8C9}"/>
    <dgm:cxn modelId="{9B640146-6229-4B47-AFD1-380ADE109E4A}" type="presOf" srcId="{C2609888-71B0-4177-8B97-A59CF8B06B03}" destId="{595A73E7-87F7-454F-A9F2-C4EA99780C91}" srcOrd="0" destOrd="0" presId="urn:microsoft.com/office/officeart/2005/8/layout/hProcess10"/>
    <dgm:cxn modelId="{57C6F170-73DC-44D9-A375-757CFCABB938}" type="presOf" srcId="{96579B30-C100-41D5-8D84-07AE93EFD8C9}" destId="{E35D8EE5-1B5A-4D0A-B39B-8436BFC4542D}" srcOrd="0" destOrd="0" presId="urn:microsoft.com/office/officeart/2005/8/layout/hProcess10"/>
    <dgm:cxn modelId="{F92FDE87-BE76-4363-A0C9-695A9F00BD0A}" type="presOf" srcId="{2ACAA4A6-E20A-4AF7-9572-8700DE8A4A65}" destId="{26BB6028-51C4-41BB-B397-30FD60D0DE36}" srcOrd="0" destOrd="0" presId="urn:microsoft.com/office/officeart/2005/8/layout/hProcess10"/>
    <dgm:cxn modelId="{A8C52974-43AF-4E07-9B91-B41C39C04122}" type="presOf" srcId="{FBE3B00E-4728-4046-AE7E-B1465A8F2409}" destId="{C7B684E7-5D8C-4B6B-B512-0284356EF2E3}" srcOrd="1" destOrd="0" presId="urn:microsoft.com/office/officeart/2005/8/layout/hProcess10"/>
    <dgm:cxn modelId="{ED7E2F87-7B6D-422D-83E2-66EC3C888A2C}" srcId="{06264BA8-E1F6-499D-AE0C-D24B99D88C95}" destId="{FC2BD0B6-7876-48D5-B5FC-5B6A5281ECE5}" srcOrd="3" destOrd="0" parTransId="{D9BE0EAC-F311-4BC7-B341-29E22EB1DF58}" sibTransId="{EFC57EE5-BC9F-4B1E-B38D-18D32AFFE0D4}"/>
    <dgm:cxn modelId="{C3E23B23-3B2D-4CCB-8D67-A9B0854784F7}" type="presOf" srcId="{656A8710-94B2-4C44-BD34-EF3E85899678}" destId="{FA5253C0-62F0-43DF-BBEA-CDDE142498B1}" srcOrd="1" destOrd="0" presId="urn:microsoft.com/office/officeart/2005/8/layout/hProcess10"/>
    <dgm:cxn modelId="{163368D7-B7F0-4AA0-9143-E4B2CD334C16}" type="presOf" srcId="{FBE3B00E-4728-4046-AE7E-B1465A8F2409}" destId="{F6956B94-A06E-4732-9CF8-29796A9467AD}" srcOrd="0" destOrd="0" presId="urn:microsoft.com/office/officeart/2005/8/layout/hProcess10"/>
    <dgm:cxn modelId="{AA69D2BE-2803-495C-863B-3BF7CEEBACE9}" type="presParOf" srcId="{8769BEC6-5CC4-4F4E-BA3B-5B8B2E66A189}" destId="{1487E970-2C00-41C9-B574-0950CD67A3FA}" srcOrd="0" destOrd="0" presId="urn:microsoft.com/office/officeart/2005/8/layout/hProcess10"/>
    <dgm:cxn modelId="{86C8D80B-0B0E-4B68-BBC7-513D52D1E6E5}" type="presParOf" srcId="{1487E970-2C00-41C9-B574-0950CD67A3FA}" destId="{33560463-6B9B-4728-BF7C-34F0627D77BC}" srcOrd="0" destOrd="0" presId="urn:microsoft.com/office/officeart/2005/8/layout/hProcess10"/>
    <dgm:cxn modelId="{F3D1BBCD-08C8-43B2-BBA2-5FC511970E65}" type="presParOf" srcId="{1487E970-2C00-41C9-B574-0950CD67A3FA}" destId="{26BB6028-51C4-41BB-B397-30FD60D0DE36}" srcOrd="1" destOrd="0" presId="urn:microsoft.com/office/officeart/2005/8/layout/hProcess10"/>
    <dgm:cxn modelId="{A1F143C6-9890-4ED5-929B-B0AC91BE3597}" type="presParOf" srcId="{8769BEC6-5CC4-4F4E-BA3B-5B8B2E66A189}" destId="{E35D8EE5-1B5A-4D0A-B39B-8436BFC4542D}" srcOrd="1" destOrd="0" presId="urn:microsoft.com/office/officeart/2005/8/layout/hProcess10"/>
    <dgm:cxn modelId="{423552B8-3A6E-4F9B-BCFA-0A7AD19973A1}" type="presParOf" srcId="{E35D8EE5-1B5A-4D0A-B39B-8436BFC4542D}" destId="{AA6B65D6-9CCB-438D-BB53-8CF341748192}" srcOrd="0" destOrd="0" presId="urn:microsoft.com/office/officeart/2005/8/layout/hProcess10"/>
    <dgm:cxn modelId="{9722634F-FD38-4A4A-B29E-8F05B0F44F82}" type="presParOf" srcId="{8769BEC6-5CC4-4F4E-BA3B-5B8B2E66A189}" destId="{17AF9739-864B-4F95-AAB7-A92B368F73EB}" srcOrd="2" destOrd="0" presId="urn:microsoft.com/office/officeart/2005/8/layout/hProcess10"/>
    <dgm:cxn modelId="{EE282CBF-378C-44FB-86F6-2AF382EDA233}" type="presParOf" srcId="{17AF9739-864B-4F95-AAB7-A92B368F73EB}" destId="{BA45DFA2-92E2-49A2-B4FF-CD4C8B9353D6}" srcOrd="0" destOrd="0" presId="urn:microsoft.com/office/officeart/2005/8/layout/hProcess10"/>
    <dgm:cxn modelId="{2D73D00F-4C47-4B4B-AB13-98398210F5FD}" type="presParOf" srcId="{17AF9739-864B-4F95-AAB7-A92B368F73EB}" destId="{595A73E7-87F7-454F-A9F2-C4EA99780C91}" srcOrd="1" destOrd="0" presId="urn:microsoft.com/office/officeart/2005/8/layout/hProcess10"/>
    <dgm:cxn modelId="{0781B153-5DC8-4D4B-B0EF-CF685DD19FEE}" type="presParOf" srcId="{8769BEC6-5CC4-4F4E-BA3B-5B8B2E66A189}" destId="{F6956B94-A06E-4732-9CF8-29796A9467AD}" srcOrd="3" destOrd="0" presId="urn:microsoft.com/office/officeart/2005/8/layout/hProcess10"/>
    <dgm:cxn modelId="{BE4D275C-9159-448F-AD52-54207994740B}" type="presParOf" srcId="{F6956B94-A06E-4732-9CF8-29796A9467AD}" destId="{C7B684E7-5D8C-4B6B-B512-0284356EF2E3}" srcOrd="0" destOrd="0" presId="urn:microsoft.com/office/officeart/2005/8/layout/hProcess10"/>
    <dgm:cxn modelId="{CF8A4041-0B5E-45F0-BDF9-59884DAD6DDB}" type="presParOf" srcId="{8769BEC6-5CC4-4F4E-BA3B-5B8B2E66A189}" destId="{5D2A6A06-AC84-469F-BA0D-126D6DDFE0B7}" srcOrd="4" destOrd="0" presId="urn:microsoft.com/office/officeart/2005/8/layout/hProcess10"/>
    <dgm:cxn modelId="{C8B5DB1D-6045-48B0-A93B-9BB58945362A}" type="presParOf" srcId="{5D2A6A06-AC84-469F-BA0D-126D6DDFE0B7}" destId="{D5917B6D-3069-41FD-8A30-7AA4AA851EAB}" srcOrd="0" destOrd="0" presId="urn:microsoft.com/office/officeart/2005/8/layout/hProcess10"/>
    <dgm:cxn modelId="{DFC8A95F-6F15-4E86-BDB0-75DBA7B93D42}" type="presParOf" srcId="{5D2A6A06-AC84-469F-BA0D-126D6DDFE0B7}" destId="{E8F0A3AE-0C63-4129-B6FA-D5FF41017C4A}" srcOrd="1" destOrd="0" presId="urn:microsoft.com/office/officeart/2005/8/layout/hProcess10"/>
    <dgm:cxn modelId="{A684106B-B456-4511-B4B6-603A3D35C51D}" type="presParOf" srcId="{8769BEC6-5CC4-4F4E-BA3B-5B8B2E66A189}" destId="{6BA1AE87-2263-421B-BFC3-EEB88F8DAB52}" srcOrd="5" destOrd="0" presId="urn:microsoft.com/office/officeart/2005/8/layout/hProcess10"/>
    <dgm:cxn modelId="{4758648A-C24A-4AE4-B1E1-63509996295A}" type="presParOf" srcId="{6BA1AE87-2263-421B-BFC3-EEB88F8DAB52}" destId="{FA5253C0-62F0-43DF-BBEA-CDDE142498B1}" srcOrd="0" destOrd="0" presId="urn:microsoft.com/office/officeart/2005/8/layout/hProcess10"/>
    <dgm:cxn modelId="{89955F60-D756-45F4-B26A-86812DA0E881}" type="presParOf" srcId="{8769BEC6-5CC4-4F4E-BA3B-5B8B2E66A189}" destId="{533F731F-0416-400E-9DBA-83D8EBC1DE10}" srcOrd="6" destOrd="0" presId="urn:microsoft.com/office/officeart/2005/8/layout/hProcess10"/>
    <dgm:cxn modelId="{DF497A4E-81CA-4A9F-8EB6-8A31F0BD5B85}" type="presParOf" srcId="{533F731F-0416-400E-9DBA-83D8EBC1DE10}" destId="{5A554662-ED55-45CE-BB79-B1B86D1BF549}" srcOrd="0" destOrd="0" presId="urn:microsoft.com/office/officeart/2005/8/layout/hProcess10"/>
    <dgm:cxn modelId="{329E9462-1B38-43B3-BB13-791F97384669}" type="presParOf" srcId="{533F731F-0416-400E-9DBA-83D8EBC1DE10}" destId="{3FDBC310-4E8E-470B-BA43-FF6203E51041}" srcOrd="1" destOrd="0" presId="urn:microsoft.com/office/officeart/2005/8/layout/hProcess10"/>
    <dgm:cxn modelId="{8B425BE9-3FC9-4FB5-A2EF-013B2977EEDC}" type="presParOf" srcId="{8769BEC6-5CC4-4F4E-BA3B-5B8B2E66A189}" destId="{141086F2-15F1-4702-9C7B-D8B311635C1E}" srcOrd="7" destOrd="0" presId="urn:microsoft.com/office/officeart/2005/8/layout/hProcess10"/>
    <dgm:cxn modelId="{14465480-7AF8-4AB7-ACF8-7E86196572BA}" type="presParOf" srcId="{141086F2-15F1-4702-9C7B-D8B311635C1E}" destId="{A8C18697-EEEB-4813-8A4A-328D2AC3C054}" srcOrd="0" destOrd="0" presId="urn:microsoft.com/office/officeart/2005/8/layout/hProcess10"/>
    <dgm:cxn modelId="{BCF567D8-0665-484F-8D44-161666B1F749}" type="presParOf" srcId="{8769BEC6-5CC4-4F4E-BA3B-5B8B2E66A189}" destId="{2BC167A0-B8FD-429B-9BB3-104820742DC4}" srcOrd="8" destOrd="0" presId="urn:microsoft.com/office/officeart/2005/8/layout/hProcess10"/>
    <dgm:cxn modelId="{AC98233B-9F03-4DCC-AF2E-3FBAAB7EEB9A}" type="presParOf" srcId="{2BC167A0-B8FD-429B-9BB3-104820742DC4}" destId="{0BF41F20-7BF4-480A-AE8A-A24023B79C9B}" srcOrd="0" destOrd="0" presId="urn:microsoft.com/office/officeart/2005/8/layout/hProcess10"/>
    <dgm:cxn modelId="{2F1E0431-2363-41BB-97B5-21349CE82D42}" type="presParOf" srcId="{2BC167A0-B8FD-429B-9BB3-104820742DC4}" destId="{F208B848-67A8-4E6A-9622-05F26B5D8F7C}" srcOrd="1" destOrd="0" presId="urn:microsoft.com/office/officeart/2005/8/layout/hProcess10"/>
  </dgm:cxnLst>
  <dgm:bg>
    <a:noFill/>
  </dgm:bg>
  <dgm:whole>
    <a:ln w="6350">
      <a:solidFill>
        <a:schemeClr val="tx1"/>
      </a:solidFill>
    </a:ln>
  </dgm:whole>
  <dgm:extLst>
    <a:ext uri="http://schemas.microsoft.com/office/drawing/2008/diagram">
      <dsp:dataModelExt xmlns:dsp="http://schemas.microsoft.com/office/drawing/2008/diagram" relId="rId146"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0E110800-F610-4F28-A084-EB7E9FE0BCDF}" type="doc">
      <dgm:prSet loTypeId="urn:microsoft.com/office/officeart/2005/8/layout/process3" loCatId="process" qsTypeId="urn:microsoft.com/office/officeart/2005/8/quickstyle/simple5" qsCatId="simple" csTypeId="urn:microsoft.com/office/officeart/2005/8/colors/accent1_2" csCatId="accent1" phldr="1"/>
      <dgm:spPr/>
      <dgm:t>
        <a:bodyPr/>
        <a:lstStyle/>
        <a:p>
          <a:endParaRPr lang="fr-FR"/>
        </a:p>
      </dgm:t>
    </dgm:pt>
    <dgm:pt modelId="{D8A17FEE-A75B-4946-A0F8-0573936871C5}">
      <dgm:prSet phldrT="[Texte]" custT="1">
        <dgm:style>
          <a:lnRef idx="2">
            <a:schemeClr val="dk1"/>
          </a:lnRef>
          <a:fillRef idx="1">
            <a:schemeClr val="lt1"/>
          </a:fillRef>
          <a:effectRef idx="0">
            <a:schemeClr val="dk1"/>
          </a:effectRef>
          <a:fontRef idx="minor">
            <a:schemeClr val="dk1"/>
          </a:fontRef>
        </dgm:style>
      </dgm:prSet>
      <dgm:spPr/>
      <dgm:t>
        <a:bodyPr/>
        <a:lstStyle/>
        <a:p>
          <a:pPr algn="ctr" rtl="1"/>
          <a:r>
            <a:rPr lang="ar-DZ" sz="1200" b="1">
              <a:solidFill>
                <a:schemeClr val="tx1"/>
              </a:solidFill>
              <a:latin typeface="Simplified Arabic" panose="02020603050405020304" pitchFamily="18" charset="-78"/>
              <a:cs typeface="Simplified Arabic" panose="02020603050405020304" pitchFamily="18" charset="-78"/>
            </a:rPr>
            <a:t>1</a:t>
          </a:r>
          <a:endParaRPr lang="fr-FR" sz="500" b="1">
            <a:solidFill>
              <a:schemeClr val="tx1"/>
            </a:solidFill>
            <a:latin typeface="Simplified Arabic" panose="02020603050405020304" pitchFamily="18" charset="-78"/>
            <a:cs typeface="Simplified Arabic" panose="02020603050405020304" pitchFamily="18" charset="-78"/>
          </a:endParaRPr>
        </a:p>
      </dgm:t>
    </dgm:pt>
    <dgm:pt modelId="{1643FF20-6602-4C70-881C-1B73B23350E0}" type="parTrans" cxnId="{AAA5341C-407A-4ACB-9F3D-DE90850087D1}">
      <dgm:prSet/>
      <dgm:spPr/>
      <dgm:t>
        <a:bodyPr/>
        <a:lstStyle/>
        <a:p>
          <a:pPr algn="r"/>
          <a:endParaRPr lang="fr-FR"/>
        </a:p>
      </dgm:t>
    </dgm:pt>
    <dgm:pt modelId="{02096BE3-F2FA-478C-9503-77132370A660}" type="sibTrans" cxnId="{AAA5341C-407A-4ACB-9F3D-DE90850087D1}">
      <dgm:prSet/>
      <dgm:spPr/>
      <dgm:t>
        <a:bodyPr/>
        <a:lstStyle/>
        <a:p>
          <a:pPr algn="r"/>
          <a:endParaRPr lang="fr-FR"/>
        </a:p>
      </dgm:t>
    </dgm:pt>
    <dgm:pt modelId="{E84B4FC8-4C90-4CED-B0D5-ECD49975D080}">
      <dgm:prSet phldrT="[Texte]" custT="1"/>
      <dgm:spPr/>
      <dgm:t>
        <a:bodyPr/>
        <a:lstStyle/>
        <a:p>
          <a:pPr algn="r" rtl="1"/>
          <a:r>
            <a:rPr lang="ar-DZ" sz="1000" b="1">
              <a:latin typeface="Simplified Arabic" panose="02020603050405020304" pitchFamily="18" charset="-78"/>
              <a:cs typeface="Simplified Arabic" panose="02020603050405020304" pitchFamily="18" charset="-78"/>
            </a:rPr>
            <a:t>اختيار فريق خبراء:</a:t>
          </a:r>
          <a:endParaRPr lang="fr-FR" sz="1000">
            <a:latin typeface="Simplified Arabic" panose="02020603050405020304" pitchFamily="18" charset="-78"/>
            <a:cs typeface="Simplified Arabic" panose="02020603050405020304" pitchFamily="18" charset="-78"/>
          </a:endParaRPr>
        </a:p>
      </dgm:t>
    </dgm:pt>
    <dgm:pt modelId="{2EEBB015-2F25-4256-B63E-2D9C318A10EA}" type="parTrans" cxnId="{43A44D52-186E-4C66-B22D-441AA25DAD69}">
      <dgm:prSet/>
      <dgm:spPr/>
      <dgm:t>
        <a:bodyPr/>
        <a:lstStyle/>
        <a:p>
          <a:pPr algn="r"/>
          <a:endParaRPr lang="fr-FR"/>
        </a:p>
      </dgm:t>
    </dgm:pt>
    <dgm:pt modelId="{9F2A9028-5B85-4D63-880C-325D728717CB}" type="sibTrans" cxnId="{43A44D52-186E-4C66-B22D-441AA25DAD69}">
      <dgm:prSet/>
      <dgm:spPr/>
      <dgm:t>
        <a:bodyPr/>
        <a:lstStyle/>
        <a:p>
          <a:pPr algn="r"/>
          <a:endParaRPr lang="fr-FR"/>
        </a:p>
      </dgm:t>
    </dgm:pt>
    <dgm:pt modelId="{95C3594E-24D3-47DC-807B-04D7D4E2095D}">
      <dgm:prSet phldrT="[Texte]" custT="1">
        <dgm:style>
          <a:lnRef idx="2">
            <a:schemeClr val="dk1"/>
          </a:lnRef>
          <a:fillRef idx="1">
            <a:schemeClr val="lt1"/>
          </a:fillRef>
          <a:effectRef idx="0">
            <a:schemeClr val="dk1"/>
          </a:effectRef>
          <a:fontRef idx="minor">
            <a:schemeClr val="dk1"/>
          </a:fontRef>
        </dgm:style>
      </dgm:prSet>
      <dgm:spPr/>
      <dgm:t>
        <a:bodyPr/>
        <a:lstStyle/>
        <a:p>
          <a:pPr algn="ctr" rtl="1"/>
          <a:r>
            <a:rPr lang="ar-DZ" sz="1200" b="1">
              <a:latin typeface="Simplified Arabic" panose="02020603050405020304" pitchFamily="18" charset="-78"/>
              <a:cs typeface="Simplified Arabic" panose="02020603050405020304" pitchFamily="18" charset="-78"/>
            </a:rPr>
            <a:t>2</a:t>
          </a:r>
          <a:endParaRPr lang="fr-FR" sz="800"/>
        </a:p>
      </dgm:t>
    </dgm:pt>
    <dgm:pt modelId="{B038C367-0E89-4954-A412-33B0EDD5D1E4}" type="parTrans" cxnId="{8AF413AB-1782-4AA7-B0C9-60D36C0C4586}">
      <dgm:prSet/>
      <dgm:spPr/>
      <dgm:t>
        <a:bodyPr/>
        <a:lstStyle/>
        <a:p>
          <a:pPr algn="r"/>
          <a:endParaRPr lang="fr-FR"/>
        </a:p>
      </dgm:t>
    </dgm:pt>
    <dgm:pt modelId="{C6B02888-509A-4834-8E4A-44D3C9378887}" type="sibTrans" cxnId="{8AF413AB-1782-4AA7-B0C9-60D36C0C4586}">
      <dgm:prSet/>
      <dgm:spPr/>
      <dgm:t>
        <a:bodyPr/>
        <a:lstStyle/>
        <a:p>
          <a:pPr algn="r"/>
          <a:endParaRPr lang="fr-FR"/>
        </a:p>
      </dgm:t>
    </dgm:pt>
    <dgm:pt modelId="{B1E9656B-5710-4E81-91CE-478149CA07DC}">
      <dgm:prSet phldrT="[Texte]" custT="1"/>
      <dgm:spPr/>
      <dgm:t>
        <a:bodyPr/>
        <a:lstStyle/>
        <a:p>
          <a:pPr algn="r" rtl="1"/>
          <a:r>
            <a:rPr lang="ar-DZ" sz="1000" b="1">
              <a:latin typeface="Simplified Arabic" panose="02020603050405020304" pitchFamily="18" charset="-78"/>
              <a:cs typeface="Simplified Arabic" panose="02020603050405020304" pitchFamily="18" charset="-78"/>
            </a:rPr>
            <a:t>الجولة 1:</a:t>
          </a:r>
          <a:endParaRPr lang="fr-FR" sz="1000">
            <a:latin typeface="Simplified Arabic" panose="02020603050405020304" pitchFamily="18" charset="-78"/>
            <a:cs typeface="Simplified Arabic" panose="02020603050405020304" pitchFamily="18" charset="-78"/>
          </a:endParaRPr>
        </a:p>
      </dgm:t>
    </dgm:pt>
    <dgm:pt modelId="{C81E89AD-B843-4F43-92FD-F4652308694A}" type="parTrans" cxnId="{EE0220CD-86DB-4E3B-885F-7DBC107257F5}">
      <dgm:prSet/>
      <dgm:spPr/>
      <dgm:t>
        <a:bodyPr/>
        <a:lstStyle/>
        <a:p>
          <a:pPr algn="r"/>
          <a:endParaRPr lang="fr-FR"/>
        </a:p>
      </dgm:t>
    </dgm:pt>
    <dgm:pt modelId="{A5B28904-95BB-436C-A590-820343F01033}" type="sibTrans" cxnId="{EE0220CD-86DB-4E3B-885F-7DBC107257F5}">
      <dgm:prSet/>
      <dgm:spPr/>
      <dgm:t>
        <a:bodyPr/>
        <a:lstStyle/>
        <a:p>
          <a:pPr algn="r"/>
          <a:endParaRPr lang="fr-FR"/>
        </a:p>
      </dgm:t>
    </dgm:pt>
    <dgm:pt modelId="{119E2ACA-94D9-4D2B-ABED-8CCCA1C6CCF5}">
      <dgm:prSet phldrT="[Texte]" custT="1">
        <dgm:style>
          <a:lnRef idx="2">
            <a:schemeClr val="dk1"/>
          </a:lnRef>
          <a:fillRef idx="1">
            <a:schemeClr val="lt1"/>
          </a:fillRef>
          <a:effectRef idx="0">
            <a:schemeClr val="dk1"/>
          </a:effectRef>
          <a:fontRef idx="minor">
            <a:schemeClr val="dk1"/>
          </a:fontRef>
        </dgm:style>
      </dgm:prSet>
      <dgm:spPr/>
      <dgm:t>
        <a:bodyPr/>
        <a:lstStyle/>
        <a:p>
          <a:pPr algn="ctr" rtl="1"/>
          <a:r>
            <a:rPr lang="ar-DZ" sz="1200" b="1">
              <a:latin typeface="Simplified Arabic" panose="02020603050405020304" pitchFamily="18" charset="-78"/>
              <a:cs typeface="Simplified Arabic" panose="02020603050405020304" pitchFamily="18" charset="-78"/>
            </a:rPr>
            <a:t>3</a:t>
          </a:r>
          <a:endParaRPr lang="fr-FR" sz="800" b="1">
            <a:latin typeface="Simplified Arabic" panose="02020603050405020304" pitchFamily="18" charset="-78"/>
            <a:cs typeface="Simplified Arabic" panose="02020603050405020304" pitchFamily="18" charset="-78"/>
          </a:endParaRPr>
        </a:p>
      </dgm:t>
    </dgm:pt>
    <dgm:pt modelId="{7AF29488-2161-48B0-B9FB-FA4B866D20D8}" type="parTrans" cxnId="{C196EFE2-8383-4C70-BBB5-2B8A3C516765}">
      <dgm:prSet/>
      <dgm:spPr/>
      <dgm:t>
        <a:bodyPr/>
        <a:lstStyle/>
        <a:p>
          <a:pPr algn="r"/>
          <a:endParaRPr lang="fr-FR"/>
        </a:p>
      </dgm:t>
    </dgm:pt>
    <dgm:pt modelId="{D459558C-ACCB-4A1D-9984-E3A97F8C448F}" type="sibTrans" cxnId="{C196EFE2-8383-4C70-BBB5-2B8A3C516765}">
      <dgm:prSet/>
      <dgm:spPr/>
      <dgm:t>
        <a:bodyPr/>
        <a:lstStyle/>
        <a:p>
          <a:pPr algn="r"/>
          <a:endParaRPr lang="fr-FR"/>
        </a:p>
      </dgm:t>
    </dgm:pt>
    <dgm:pt modelId="{F52734A0-E96F-4384-806F-5108BD184C5D}">
      <dgm:prSet phldrT="[Texte]" custT="1"/>
      <dgm:spPr/>
      <dgm:t>
        <a:bodyPr/>
        <a:lstStyle/>
        <a:p>
          <a:pPr algn="r" rtl="1"/>
          <a:r>
            <a:rPr lang="ar-DZ" sz="1000" b="1">
              <a:latin typeface="Simplified Arabic" panose="02020603050405020304" pitchFamily="18" charset="-78"/>
              <a:cs typeface="Simplified Arabic" panose="02020603050405020304" pitchFamily="18" charset="-78"/>
            </a:rPr>
            <a:t>الجولة 2:</a:t>
          </a:r>
          <a:endParaRPr lang="fr-FR" sz="1000">
            <a:latin typeface="Simplified Arabic" panose="02020603050405020304" pitchFamily="18" charset="-78"/>
            <a:cs typeface="Simplified Arabic" panose="02020603050405020304" pitchFamily="18" charset="-78"/>
          </a:endParaRPr>
        </a:p>
      </dgm:t>
    </dgm:pt>
    <dgm:pt modelId="{4AAF9379-30AD-4D60-B3A4-6828828C46EC}" type="parTrans" cxnId="{26155033-2848-4D73-BB86-DE382923A826}">
      <dgm:prSet/>
      <dgm:spPr/>
      <dgm:t>
        <a:bodyPr/>
        <a:lstStyle/>
        <a:p>
          <a:pPr algn="r"/>
          <a:endParaRPr lang="fr-FR"/>
        </a:p>
      </dgm:t>
    </dgm:pt>
    <dgm:pt modelId="{2E3E14BE-7083-4B49-B3FA-0C24C4B6A3E5}" type="sibTrans" cxnId="{26155033-2848-4D73-BB86-DE382923A826}">
      <dgm:prSet/>
      <dgm:spPr/>
      <dgm:t>
        <a:bodyPr/>
        <a:lstStyle/>
        <a:p>
          <a:pPr algn="r"/>
          <a:endParaRPr lang="fr-FR"/>
        </a:p>
      </dgm:t>
    </dgm:pt>
    <dgm:pt modelId="{374901CA-0B8F-4D59-824C-290D38233192}">
      <dgm:prSet custT="1">
        <dgm:style>
          <a:lnRef idx="2">
            <a:schemeClr val="dk1"/>
          </a:lnRef>
          <a:fillRef idx="1">
            <a:schemeClr val="lt1"/>
          </a:fillRef>
          <a:effectRef idx="0">
            <a:schemeClr val="dk1"/>
          </a:effectRef>
          <a:fontRef idx="minor">
            <a:schemeClr val="dk1"/>
          </a:fontRef>
        </dgm:style>
      </dgm:prSet>
      <dgm:spPr/>
      <dgm:t>
        <a:bodyPr/>
        <a:lstStyle/>
        <a:p>
          <a:pPr algn="ctr" rtl="1"/>
          <a:r>
            <a:rPr lang="ar-DZ" sz="1200" b="1">
              <a:latin typeface="Simplified Arabic" panose="02020603050405020304" pitchFamily="18" charset="-78"/>
              <a:cs typeface="Simplified Arabic" panose="02020603050405020304" pitchFamily="18" charset="-78"/>
            </a:rPr>
            <a:t>4</a:t>
          </a:r>
          <a:endParaRPr lang="fr-FR" sz="800" b="1">
            <a:latin typeface="Simplified Arabic" panose="02020603050405020304" pitchFamily="18" charset="-78"/>
            <a:cs typeface="Simplified Arabic" panose="02020603050405020304" pitchFamily="18" charset="-78"/>
          </a:endParaRPr>
        </a:p>
      </dgm:t>
    </dgm:pt>
    <dgm:pt modelId="{3521A0CD-DACC-443F-BC04-11B091823BF8}" type="parTrans" cxnId="{5CF2BC60-F74E-47C4-9ED2-81F777DF8210}">
      <dgm:prSet/>
      <dgm:spPr/>
      <dgm:t>
        <a:bodyPr/>
        <a:lstStyle/>
        <a:p>
          <a:pPr algn="r"/>
          <a:endParaRPr lang="fr-FR"/>
        </a:p>
      </dgm:t>
    </dgm:pt>
    <dgm:pt modelId="{2A81C7D2-A16A-4F1F-A142-020C7247AF8A}" type="sibTrans" cxnId="{5CF2BC60-F74E-47C4-9ED2-81F777DF8210}">
      <dgm:prSet/>
      <dgm:spPr/>
      <dgm:t>
        <a:bodyPr/>
        <a:lstStyle/>
        <a:p>
          <a:pPr algn="r"/>
          <a:endParaRPr lang="fr-FR"/>
        </a:p>
      </dgm:t>
    </dgm:pt>
    <dgm:pt modelId="{AC07979A-FBD8-483D-91F2-4DA6A563EDD4}">
      <dgm:prSet custT="1">
        <dgm:style>
          <a:lnRef idx="2">
            <a:schemeClr val="dk1"/>
          </a:lnRef>
          <a:fillRef idx="1">
            <a:schemeClr val="lt1"/>
          </a:fillRef>
          <a:effectRef idx="0">
            <a:schemeClr val="dk1"/>
          </a:effectRef>
          <a:fontRef idx="minor">
            <a:schemeClr val="dk1"/>
          </a:fontRef>
        </dgm:style>
      </dgm:prSet>
      <dgm:spPr/>
      <dgm:t>
        <a:bodyPr/>
        <a:lstStyle/>
        <a:p>
          <a:pPr algn="ctr"/>
          <a:r>
            <a:rPr lang="ar-DZ" sz="1200" b="1">
              <a:latin typeface="Simplified Arabic" panose="02020603050405020304" pitchFamily="18" charset="-78"/>
              <a:cs typeface="Simplified Arabic" panose="02020603050405020304" pitchFamily="18" charset="-78"/>
            </a:rPr>
            <a:t>5</a:t>
          </a:r>
          <a:endParaRPr lang="fr-FR" sz="700"/>
        </a:p>
      </dgm:t>
    </dgm:pt>
    <dgm:pt modelId="{DED36B37-5170-4E93-AE5C-DAF23B6CA565}" type="parTrans" cxnId="{5CA25A2B-BFDD-48AB-9B7E-403A371E4D38}">
      <dgm:prSet/>
      <dgm:spPr/>
      <dgm:t>
        <a:bodyPr/>
        <a:lstStyle/>
        <a:p>
          <a:pPr algn="r"/>
          <a:endParaRPr lang="fr-FR"/>
        </a:p>
      </dgm:t>
    </dgm:pt>
    <dgm:pt modelId="{6FDBC403-929F-4CB3-81AE-A62B8BDBC639}" type="sibTrans" cxnId="{5CA25A2B-BFDD-48AB-9B7E-403A371E4D38}">
      <dgm:prSet/>
      <dgm:spPr/>
      <dgm:t>
        <a:bodyPr/>
        <a:lstStyle/>
        <a:p>
          <a:pPr algn="r"/>
          <a:endParaRPr lang="fr-FR"/>
        </a:p>
      </dgm:t>
    </dgm:pt>
    <dgm:pt modelId="{0EED7405-BB05-44AE-A6D4-2FDC12E4DF66}">
      <dgm:prSet custT="1"/>
      <dgm:spPr/>
      <dgm:t>
        <a:bodyPr/>
        <a:lstStyle/>
        <a:p>
          <a:pPr algn="r" rtl="1"/>
          <a:r>
            <a:rPr lang="ar-DZ" sz="1000" b="1">
              <a:latin typeface="Simplified Arabic" panose="02020603050405020304" pitchFamily="18" charset="-78"/>
              <a:cs typeface="Simplified Arabic" panose="02020603050405020304" pitchFamily="18" charset="-78"/>
            </a:rPr>
            <a:t>الجولة3:</a:t>
          </a:r>
          <a:endParaRPr lang="fr-FR" sz="1000">
            <a:latin typeface="Simplified Arabic" panose="02020603050405020304" pitchFamily="18" charset="-78"/>
            <a:cs typeface="Simplified Arabic" panose="02020603050405020304" pitchFamily="18" charset="-78"/>
          </a:endParaRPr>
        </a:p>
      </dgm:t>
    </dgm:pt>
    <dgm:pt modelId="{0A83BEEF-C8DA-4011-A8AA-22CB091415D7}" type="parTrans" cxnId="{7D4C2D0B-EAF2-48E9-8F5B-1A83C3152559}">
      <dgm:prSet/>
      <dgm:spPr/>
      <dgm:t>
        <a:bodyPr/>
        <a:lstStyle/>
        <a:p>
          <a:pPr algn="r"/>
          <a:endParaRPr lang="fr-FR"/>
        </a:p>
      </dgm:t>
    </dgm:pt>
    <dgm:pt modelId="{1E2F0D5A-AEEF-4E28-A637-F71412182F2A}" type="sibTrans" cxnId="{7D4C2D0B-EAF2-48E9-8F5B-1A83C3152559}">
      <dgm:prSet/>
      <dgm:spPr/>
      <dgm:t>
        <a:bodyPr/>
        <a:lstStyle/>
        <a:p>
          <a:pPr algn="r"/>
          <a:endParaRPr lang="fr-FR"/>
        </a:p>
      </dgm:t>
    </dgm:pt>
    <dgm:pt modelId="{014ACA7B-0BCE-460E-AE9A-F342D58FCC42}">
      <dgm:prSet custT="1"/>
      <dgm:spPr/>
      <dgm:t>
        <a:bodyPr/>
        <a:lstStyle/>
        <a:p>
          <a:pPr algn="r" rtl="1"/>
          <a:r>
            <a:rPr lang="ar-DZ" sz="1000" b="1">
              <a:latin typeface="Simplified Arabic" panose="02020603050405020304" pitchFamily="18" charset="-78"/>
              <a:cs typeface="Simplified Arabic" panose="02020603050405020304" pitchFamily="18" charset="-78"/>
            </a:rPr>
            <a:t>جمع تحليل معلومات:</a:t>
          </a:r>
          <a:endParaRPr lang="fr-FR" sz="1000">
            <a:latin typeface="Simplified Arabic" panose="02020603050405020304" pitchFamily="18" charset="-78"/>
            <a:cs typeface="Simplified Arabic" panose="02020603050405020304" pitchFamily="18" charset="-78"/>
          </a:endParaRPr>
        </a:p>
      </dgm:t>
    </dgm:pt>
    <dgm:pt modelId="{DD3E6EBC-8947-43CF-8B76-CD4E730AEBF9}" type="sibTrans" cxnId="{3E1BA4F5-A5EE-4090-9A5C-0F5CAAC64766}">
      <dgm:prSet/>
      <dgm:spPr/>
      <dgm:t>
        <a:bodyPr/>
        <a:lstStyle/>
        <a:p>
          <a:pPr algn="r"/>
          <a:endParaRPr lang="fr-FR"/>
        </a:p>
      </dgm:t>
    </dgm:pt>
    <dgm:pt modelId="{24F896BE-B596-48C6-9063-5B5C42727D60}" type="parTrans" cxnId="{3E1BA4F5-A5EE-4090-9A5C-0F5CAAC64766}">
      <dgm:prSet/>
      <dgm:spPr/>
      <dgm:t>
        <a:bodyPr/>
        <a:lstStyle/>
        <a:p>
          <a:pPr algn="r"/>
          <a:endParaRPr lang="fr-FR"/>
        </a:p>
      </dgm:t>
    </dgm:pt>
    <dgm:pt modelId="{F11F3B63-61B1-4175-AD6D-476ECCC8930F}">
      <dgm:prSet custT="1"/>
      <dgm:spPr/>
      <dgm:t>
        <a:bodyPr/>
        <a:lstStyle/>
        <a:p>
          <a:pPr rtl="1"/>
          <a:r>
            <a:rPr lang="ar-DZ" sz="1000">
              <a:latin typeface="Simplified Arabic" panose="02020603050405020304" pitchFamily="18" charset="-78"/>
              <a:cs typeface="Simplified Arabic" panose="02020603050405020304" pitchFamily="18" charset="-78"/>
            </a:rPr>
            <a:t>خبراء محليين (اساتذة جامعة، زملاء، معماريين مهندسين مهنيين)</a:t>
          </a:r>
          <a:endParaRPr lang="fr-FR" sz="1000">
            <a:latin typeface="Simplified Arabic" panose="02020603050405020304" pitchFamily="18" charset="-78"/>
            <a:cs typeface="Simplified Arabic" panose="02020603050405020304" pitchFamily="18" charset="-78"/>
          </a:endParaRPr>
        </a:p>
      </dgm:t>
    </dgm:pt>
    <dgm:pt modelId="{7DB016AE-9FE5-4BCB-97A7-82BB1A4D86C3}" type="parTrans" cxnId="{18620B7F-E106-4AD9-8622-8CD2D92B8510}">
      <dgm:prSet/>
      <dgm:spPr/>
      <dgm:t>
        <a:bodyPr/>
        <a:lstStyle/>
        <a:p>
          <a:endParaRPr lang="fr-FR"/>
        </a:p>
      </dgm:t>
    </dgm:pt>
    <dgm:pt modelId="{8B854ECF-CB2F-4956-A09F-6A0BE794C361}" type="sibTrans" cxnId="{18620B7F-E106-4AD9-8622-8CD2D92B8510}">
      <dgm:prSet/>
      <dgm:spPr/>
      <dgm:t>
        <a:bodyPr/>
        <a:lstStyle/>
        <a:p>
          <a:endParaRPr lang="fr-FR"/>
        </a:p>
      </dgm:t>
    </dgm:pt>
    <dgm:pt modelId="{4625D4C2-8C5E-4CC0-94FD-1840DD26CCD0}">
      <dgm:prSet custT="1"/>
      <dgm:spPr/>
      <dgm:t>
        <a:bodyPr/>
        <a:lstStyle/>
        <a:p>
          <a:pPr rtl="1"/>
          <a:r>
            <a:rPr lang="ar-DZ" sz="1000">
              <a:latin typeface="Simplified Arabic" panose="02020603050405020304" pitchFamily="18" charset="-78"/>
              <a:cs typeface="Simplified Arabic" panose="02020603050405020304" pitchFamily="18" charset="-78"/>
            </a:rPr>
            <a:t>العصف الذهني ونظام التصنيف </a:t>
          </a:r>
          <a:endParaRPr lang="fr-FR" sz="1000">
            <a:latin typeface="Simplified Arabic" panose="02020603050405020304" pitchFamily="18" charset="-78"/>
            <a:cs typeface="Simplified Arabic" panose="02020603050405020304" pitchFamily="18" charset="-78"/>
          </a:endParaRPr>
        </a:p>
      </dgm:t>
    </dgm:pt>
    <dgm:pt modelId="{FAA72AFB-C41F-4D59-A651-9CB5B7FBAFCE}" type="parTrans" cxnId="{5DF262F9-4E50-47F9-B7E0-0E60CAFE2FC9}">
      <dgm:prSet/>
      <dgm:spPr/>
      <dgm:t>
        <a:bodyPr/>
        <a:lstStyle/>
        <a:p>
          <a:endParaRPr lang="fr-FR"/>
        </a:p>
      </dgm:t>
    </dgm:pt>
    <dgm:pt modelId="{A021B273-4814-45FC-9ABB-E87721F6EDF6}" type="sibTrans" cxnId="{5DF262F9-4E50-47F9-B7E0-0E60CAFE2FC9}">
      <dgm:prSet/>
      <dgm:spPr/>
      <dgm:t>
        <a:bodyPr/>
        <a:lstStyle/>
        <a:p>
          <a:endParaRPr lang="fr-FR"/>
        </a:p>
      </dgm:t>
    </dgm:pt>
    <dgm:pt modelId="{BE7DE544-F6DA-446E-9F87-7C4CDB3D10B3}">
      <dgm:prSet custT="1"/>
      <dgm:spPr/>
      <dgm:t>
        <a:bodyPr/>
        <a:lstStyle/>
        <a:p>
          <a:pPr rtl="1"/>
          <a:r>
            <a:rPr lang="ar-DZ" sz="1000">
              <a:latin typeface="Simplified Arabic" panose="02020603050405020304" pitchFamily="18" charset="-78"/>
              <a:cs typeface="Simplified Arabic" panose="02020603050405020304" pitchFamily="18" charset="-78"/>
            </a:rPr>
            <a:t>مراجعة الردود والحصر</a:t>
          </a:r>
          <a:endParaRPr lang="fr-FR" sz="1000">
            <a:latin typeface="Simplified Arabic" panose="02020603050405020304" pitchFamily="18" charset="-78"/>
            <a:cs typeface="Simplified Arabic" panose="02020603050405020304" pitchFamily="18" charset="-78"/>
          </a:endParaRPr>
        </a:p>
      </dgm:t>
    </dgm:pt>
    <dgm:pt modelId="{B02756DC-2110-49CE-BBC7-725930186226}" type="parTrans" cxnId="{CC6FD7F4-18CC-435B-851B-5EFF1FFAFD8F}">
      <dgm:prSet/>
      <dgm:spPr/>
      <dgm:t>
        <a:bodyPr/>
        <a:lstStyle/>
        <a:p>
          <a:endParaRPr lang="fr-FR"/>
        </a:p>
      </dgm:t>
    </dgm:pt>
    <dgm:pt modelId="{EBFFB3B9-7399-4472-AF01-5CBEC268115E}" type="sibTrans" cxnId="{CC6FD7F4-18CC-435B-851B-5EFF1FFAFD8F}">
      <dgm:prSet/>
      <dgm:spPr/>
      <dgm:t>
        <a:bodyPr/>
        <a:lstStyle/>
        <a:p>
          <a:endParaRPr lang="fr-FR"/>
        </a:p>
      </dgm:t>
    </dgm:pt>
    <dgm:pt modelId="{07A2CE73-4288-44C3-8C9D-F61B3F9B6D23}">
      <dgm:prSet custT="1"/>
      <dgm:spPr/>
      <dgm:t>
        <a:bodyPr/>
        <a:lstStyle/>
        <a:p>
          <a:pPr rtl="1"/>
          <a:r>
            <a:rPr lang="ar-DZ" sz="1000">
              <a:latin typeface="Simplified Arabic" panose="02020603050405020304" pitchFamily="18" charset="-78"/>
              <a:cs typeface="Simplified Arabic" panose="02020603050405020304" pitchFamily="18" charset="-78"/>
            </a:rPr>
            <a:t>نظام التصنيف</a:t>
          </a:r>
          <a:endParaRPr lang="fr-FR" sz="1000">
            <a:latin typeface="Simplified Arabic" panose="02020603050405020304" pitchFamily="18" charset="-78"/>
            <a:cs typeface="Simplified Arabic" panose="02020603050405020304" pitchFamily="18" charset="-78"/>
          </a:endParaRPr>
        </a:p>
      </dgm:t>
    </dgm:pt>
    <dgm:pt modelId="{5316F916-78DA-4E94-84C6-BFA3C6DB963B}" type="parTrans" cxnId="{1FE6E418-D719-4ABB-82C5-3F9E47817AD0}">
      <dgm:prSet/>
      <dgm:spPr/>
      <dgm:t>
        <a:bodyPr/>
        <a:lstStyle/>
        <a:p>
          <a:endParaRPr lang="fr-FR"/>
        </a:p>
      </dgm:t>
    </dgm:pt>
    <dgm:pt modelId="{298A2AA2-D57E-45A1-90F7-9491BBD32314}" type="sibTrans" cxnId="{1FE6E418-D719-4ABB-82C5-3F9E47817AD0}">
      <dgm:prSet/>
      <dgm:spPr/>
      <dgm:t>
        <a:bodyPr/>
        <a:lstStyle/>
        <a:p>
          <a:endParaRPr lang="fr-FR"/>
        </a:p>
      </dgm:t>
    </dgm:pt>
    <dgm:pt modelId="{C1579DE3-EE5F-4991-96E1-BB4C9C67EE2D}">
      <dgm:prSet custT="1"/>
      <dgm:spPr/>
      <dgm:t>
        <a:bodyPr/>
        <a:lstStyle/>
        <a:p>
          <a:pPr rtl="1"/>
          <a:r>
            <a:rPr lang="ar-DZ" sz="1000">
              <a:latin typeface="Simplified Arabic" panose="02020603050405020304" pitchFamily="18" charset="-78"/>
              <a:cs typeface="Simplified Arabic" panose="02020603050405020304" pitchFamily="18" charset="-78"/>
            </a:rPr>
            <a:t>تحديد العوامل النهائية لتقييم المرونة الحضرية - بوسعادة</a:t>
          </a:r>
          <a:endParaRPr lang="fr-FR" sz="1000">
            <a:latin typeface="Simplified Arabic" panose="02020603050405020304" pitchFamily="18" charset="-78"/>
            <a:cs typeface="Simplified Arabic" panose="02020603050405020304" pitchFamily="18" charset="-78"/>
          </a:endParaRPr>
        </a:p>
      </dgm:t>
    </dgm:pt>
    <dgm:pt modelId="{B5DFA674-6A68-4FF4-9BD1-A0FBF4F4B204}" type="parTrans" cxnId="{3843AE81-583F-4A0D-B92A-A3CC5FE841B2}">
      <dgm:prSet/>
      <dgm:spPr/>
      <dgm:t>
        <a:bodyPr/>
        <a:lstStyle/>
        <a:p>
          <a:endParaRPr lang="fr-FR"/>
        </a:p>
      </dgm:t>
    </dgm:pt>
    <dgm:pt modelId="{7331F6D9-19FD-44E1-B68B-E2EE1EC1CC90}" type="sibTrans" cxnId="{3843AE81-583F-4A0D-B92A-A3CC5FE841B2}">
      <dgm:prSet/>
      <dgm:spPr/>
      <dgm:t>
        <a:bodyPr/>
        <a:lstStyle/>
        <a:p>
          <a:endParaRPr lang="fr-FR"/>
        </a:p>
      </dgm:t>
    </dgm:pt>
    <dgm:pt modelId="{A138C64E-BE07-4277-BC9F-5F43864F5B7A}" type="pres">
      <dgm:prSet presAssocID="{0E110800-F610-4F28-A084-EB7E9FE0BCDF}" presName="linearFlow" presStyleCnt="0">
        <dgm:presLayoutVars>
          <dgm:dir val="rev"/>
          <dgm:animLvl val="lvl"/>
          <dgm:resizeHandles val="exact"/>
        </dgm:presLayoutVars>
      </dgm:prSet>
      <dgm:spPr/>
      <dgm:t>
        <a:bodyPr/>
        <a:lstStyle/>
        <a:p>
          <a:endParaRPr lang="fr-FR"/>
        </a:p>
      </dgm:t>
    </dgm:pt>
    <dgm:pt modelId="{D7B9E11B-C2E1-4A02-B62C-716EF6B02DF8}" type="pres">
      <dgm:prSet presAssocID="{D8A17FEE-A75B-4946-A0F8-0573936871C5}" presName="composite" presStyleCnt="0"/>
      <dgm:spPr/>
    </dgm:pt>
    <dgm:pt modelId="{0E7AB544-170C-4BEF-803C-2C16E6501F04}" type="pres">
      <dgm:prSet presAssocID="{D8A17FEE-A75B-4946-A0F8-0573936871C5}" presName="parTx" presStyleLbl="node1" presStyleIdx="0" presStyleCnt="5">
        <dgm:presLayoutVars>
          <dgm:chMax val="0"/>
          <dgm:chPref val="0"/>
          <dgm:bulletEnabled val="1"/>
        </dgm:presLayoutVars>
      </dgm:prSet>
      <dgm:spPr/>
      <dgm:t>
        <a:bodyPr/>
        <a:lstStyle/>
        <a:p>
          <a:endParaRPr lang="fr-FR"/>
        </a:p>
      </dgm:t>
    </dgm:pt>
    <dgm:pt modelId="{61479F16-3621-4A11-8DD5-22E7701143F5}" type="pres">
      <dgm:prSet presAssocID="{D8A17FEE-A75B-4946-A0F8-0573936871C5}" presName="parSh" presStyleLbl="node1" presStyleIdx="0" presStyleCnt="5" custScaleX="159815" custScaleY="166667" custLinFactNeighborX="-66340" custLinFactNeighborY="-3299"/>
      <dgm:spPr>
        <a:prstGeom prst="ellipse">
          <a:avLst/>
        </a:prstGeom>
      </dgm:spPr>
      <dgm:t>
        <a:bodyPr/>
        <a:lstStyle/>
        <a:p>
          <a:endParaRPr lang="fr-FR"/>
        </a:p>
      </dgm:t>
    </dgm:pt>
    <dgm:pt modelId="{D048F298-AD3F-41F8-88B3-E33208ACA93C}" type="pres">
      <dgm:prSet presAssocID="{D8A17FEE-A75B-4946-A0F8-0573936871C5}" presName="desTx" presStyleLbl="fgAcc1" presStyleIdx="0" presStyleCnt="5" custScaleX="638380" custScaleY="92726" custLinFactNeighborX="-45936" custLinFactNeighborY="16075">
        <dgm:presLayoutVars>
          <dgm:bulletEnabled val="1"/>
        </dgm:presLayoutVars>
      </dgm:prSet>
      <dgm:spPr/>
      <dgm:t>
        <a:bodyPr/>
        <a:lstStyle/>
        <a:p>
          <a:endParaRPr lang="fr-FR"/>
        </a:p>
      </dgm:t>
    </dgm:pt>
    <dgm:pt modelId="{ADA0B68D-5658-4CE3-9566-0755DC5BBFFC}" type="pres">
      <dgm:prSet presAssocID="{02096BE3-F2FA-478C-9503-77132370A660}" presName="sibTrans" presStyleLbl="sibTrans2D1" presStyleIdx="0" presStyleCnt="4" custAng="21586286" custScaleX="83037" custScaleY="307488" custLinFactY="47769" custLinFactNeighborX="-25643" custLinFactNeighborY="100000"/>
      <dgm:spPr/>
      <dgm:t>
        <a:bodyPr/>
        <a:lstStyle/>
        <a:p>
          <a:endParaRPr lang="fr-FR"/>
        </a:p>
      </dgm:t>
    </dgm:pt>
    <dgm:pt modelId="{A256D8B9-3AA2-4596-BCA3-63A33DDCE5C5}" type="pres">
      <dgm:prSet presAssocID="{02096BE3-F2FA-478C-9503-77132370A660}" presName="connTx" presStyleLbl="sibTrans2D1" presStyleIdx="0" presStyleCnt="4"/>
      <dgm:spPr/>
      <dgm:t>
        <a:bodyPr/>
        <a:lstStyle/>
        <a:p>
          <a:endParaRPr lang="fr-FR"/>
        </a:p>
      </dgm:t>
    </dgm:pt>
    <dgm:pt modelId="{9324829F-9801-4E6F-9961-68330663103C}" type="pres">
      <dgm:prSet presAssocID="{95C3594E-24D3-47DC-807B-04D7D4E2095D}" presName="composite" presStyleCnt="0"/>
      <dgm:spPr/>
    </dgm:pt>
    <dgm:pt modelId="{5177F2F1-8E56-4191-A443-EE1E00CD10C9}" type="pres">
      <dgm:prSet presAssocID="{95C3594E-24D3-47DC-807B-04D7D4E2095D}" presName="parTx" presStyleLbl="node1" presStyleIdx="0" presStyleCnt="5">
        <dgm:presLayoutVars>
          <dgm:chMax val="0"/>
          <dgm:chPref val="0"/>
          <dgm:bulletEnabled val="1"/>
        </dgm:presLayoutVars>
      </dgm:prSet>
      <dgm:spPr/>
      <dgm:t>
        <a:bodyPr/>
        <a:lstStyle/>
        <a:p>
          <a:endParaRPr lang="fr-FR"/>
        </a:p>
      </dgm:t>
    </dgm:pt>
    <dgm:pt modelId="{60AF9CD0-670E-40D9-8F1D-B057D41C85F3}" type="pres">
      <dgm:prSet presAssocID="{95C3594E-24D3-47DC-807B-04D7D4E2095D}" presName="parSh" presStyleLbl="node1" presStyleIdx="1" presStyleCnt="5" custScaleX="159815" custScaleY="166667" custLinFactNeighborX="-49291" custLinFactNeighborY="-5698"/>
      <dgm:spPr>
        <a:prstGeom prst="ellipse">
          <a:avLst/>
        </a:prstGeom>
      </dgm:spPr>
      <dgm:t>
        <a:bodyPr/>
        <a:lstStyle/>
        <a:p>
          <a:endParaRPr lang="fr-FR"/>
        </a:p>
      </dgm:t>
    </dgm:pt>
    <dgm:pt modelId="{D5D30473-44A0-4A5D-800F-C2AB4E98487A}" type="pres">
      <dgm:prSet presAssocID="{95C3594E-24D3-47DC-807B-04D7D4E2095D}" presName="desTx" presStyleLbl="fgAcc1" presStyleIdx="1" presStyleCnt="5" custScaleX="407555" custScaleY="97646" custLinFactNeighborX="-26603" custLinFactNeighborY="19133">
        <dgm:presLayoutVars>
          <dgm:bulletEnabled val="1"/>
        </dgm:presLayoutVars>
      </dgm:prSet>
      <dgm:spPr/>
      <dgm:t>
        <a:bodyPr/>
        <a:lstStyle/>
        <a:p>
          <a:endParaRPr lang="fr-FR"/>
        </a:p>
      </dgm:t>
    </dgm:pt>
    <dgm:pt modelId="{DB54BBEA-D4D7-4FC0-9D8C-944C9552595D}" type="pres">
      <dgm:prSet presAssocID="{C6B02888-509A-4834-8E4A-44D3C9378887}" presName="sibTrans" presStyleLbl="sibTrans2D1" presStyleIdx="1" presStyleCnt="4" custScaleX="115665" custScaleY="307488" custLinFactY="52966" custLinFactNeighborX="2144" custLinFactNeighborY="100000"/>
      <dgm:spPr/>
      <dgm:t>
        <a:bodyPr/>
        <a:lstStyle/>
        <a:p>
          <a:endParaRPr lang="fr-FR"/>
        </a:p>
      </dgm:t>
    </dgm:pt>
    <dgm:pt modelId="{A7FF8BB1-42CC-4A2E-8AC3-97AAB33AFC82}" type="pres">
      <dgm:prSet presAssocID="{C6B02888-509A-4834-8E4A-44D3C9378887}" presName="connTx" presStyleLbl="sibTrans2D1" presStyleIdx="1" presStyleCnt="4"/>
      <dgm:spPr/>
      <dgm:t>
        <a:bodyPr/>
        <a:lstStyle/>
        <a:p>
          <a:endParaRPr lang="fr-FR"/>
        </a:p>
      </dgm:t>
    </dgm:pt>
    <dgm:pt modelId="{F6372AB9-ADC8-42DC-8493-BF68C8E16371}" type="pres">
      <dgm:prSet presAssocID="{119E2ACA-94D9-4D2B-ABED-8CCCA1C6CCF5}" presName="composite" presStyleCnt="0"/>
      <dgm:spPr/>
    </dgm:pt>
    <dgm:pt modelId="{2DB1CC61-3BFD-4895-98FA-A1D8465CE5F5}" type="pres">
      <dgm:prSet presAssocID="{119E2ACA-94D9-4D2B-ABED-8CCCA1C6CCF5}" presName="parTx" presStyleLbl="node1" presStyleIdx="1" presStyleCnt="5">
        <dgm:presLayoutVars>
          <dgm:chMax val="0"/>
          <dgm:chPref val="0"/>
          <dgm:bulletEnabled val="1"/>
        </dgm:presLayoutVars>
      </dgm:prSet>
      <dgm:spPr/>
      <dgm:t>
        <a:bodyPr/>
        <a:lstStyle/>
        <a:p>
          <a:endParaRPr lang="fr-FR"/>
        </a:p>
      </dgm:t>
    </dgm:pt>
    <dgm:pt modelId="{E5D3A23F-EBB1-48F4-AA19-A215A4BE9BD7}" type="pres">
      <dgm:prSet presAssocID="{119E2ACA-94D9-4D2B-ABED-8CCCA1C6CCF5}" presName="parSh" presStyleLbl="node1" presStyleIdx="2" presStyleCnt="5" custScaleX="159815" custScaleY="165884" custLinFactNeighborX="-23154" custLinFactNeighborY="-5871"/>
      <dgm:spPr>
        <a:prstGeom prst="ellipse">
          <a:avLst/>
        </a:prstGeom>
      </dgm:spPr>
      <dgm:t>
        <a:bodyPr/>
        <a:lstStyle/>
        <a:p>
          <a:endParaRPr lang="fr-FR"/>
        </a:p>
      </dgm:t>
    </dgm:pt>
    <dgm:pt modelId="{F5A1E78E-154D-4BF4-84D9-FD4DB916BAEC}" type="pres">
      <dgm:prSet presAssocID="{119E2ACA-94D9-4D2B-ABED-8CCCA1C6CCF5}" presName="desTx" presStyleLbl="fgAcc1" presStyleIdx="2" presStyleCnt="5" custScaleX="396220" custScaleY="99031" custLinFactNeighborX="-5936" custLinFactNeighborY="19122">
        <dgm:presLayoutVars>
          <dgm:bulletEnabled val="1"/>
        </dgm:presLayoutVars>
      </dgm:prSet>
      <dgm:spPr/>
      <dgm:t>
        <a:bodyPr/>
        <a:lstStyle/>
        <a:p>
          <a:endParaRPr lang="fr-FR"/>
        </a:p>
      </dgm:t>
    </dgm:pt>
    <dgm:pt modelId="{8E9415A4-3E9B-4923-8D4F-D88BDC6FE7CD}" type="pres">
      <dgm:prSet presAssocID="{D459558C-ACCB-4A1D-9984-E3A97F8C448F}" presName="sibTrans" presStyleLbl="sibTrans2D1" presStyleIdx="2" presStyleCnt="4" custScaleX="139053" custScaleY="307487" custLinFactY="67917" custLinFactNeighborX="-14255" custLinFactNeighborY="100000"/>
      <dgm:spPr/>
      <dgm:t>
        <a:bodyPr/>
        <a:lstStyle/>
        <a:p>
          <a:endParaRPr lang="fr-FR"/>
        </a:p>
      </dgm:t>
    </dgm:pt>
    <dgm:pt modelId="{821CC870-BF70-4448-B589-B48328E470B1}" type="pres">
      <dgm:prSet presAssocID="{D459558C-ACCB-4A1D-9984-E3A97F8C448F}" presName="connTx" presStyleLbl="sibTrans2D1" presStyleIdx="2" presStyleCnt="4"/>
      <dgm:spPr/>
      <dgm:t>
        <a:bodyPr/>
        <a:lstStyle/>
        <a:p>
          <a:endParaRPr lang="fr-FR"/>
        </a:p>
      </dgm:t>
    </dgm:pt>
    <dgm:pt modelId="{98F5EFE3-622D-481A-A8BD-BAA7192C44ED}" type="pres">
      <dgm:prSet presAssocID="{374901CA-0B8F-4D59-824C-290D38233192}" presName="composite" presStyleCnt="0"/>
      <dgm:spPr/>
    </dgm:pt>
    <dgm:pt modelId="{43ADBAA6-F32F-491C-AA90-215E87FEB605}" type="pres">
      <dgm:prSet presAssocID="{374901CA-0B8F-4D59-824C-290D38233192}" presName="parTx" presStyleLbl="node1" presStyleIdx="2" presStyleCnt="5">
        <dgm:presLayoutVars>
          <dgm:chMax val="0"/>
          <dgm:chPref val="0"/>
          <dgm:bulletEnabled val="1"/>
        </dgm:presLayoutVars>
      </dgm:prSet>
      <dgm:spPr/>
      <dgm:t>
        <a:bodyPr/>
        <a:lstStyle/>
        <a:p>
          <a:endParaRPr lang="fr-FR"/>
        </a:p>
      </dgm:t>
    </dgm:pt>
    <dgm:pt modelId="{7B472E2B-E5BF-4530-9BC3-4B5E01EA247A}" type="pres">
      <dgm:prSet presAssocID="{374901CA-0B8F-4D59-824C-290D38233192}" presName="parSh" presStyleLbl="node1" presStyleIdx="3" presStyleCnt="5" custScaleX="159815" custScaleY="166667" custLinFactNeighborX="-6507" custLinFactNeighborY="-8946"/>
      <dgm:spPr>
        <a:prstGeom prst="ellipse">
          <a:avLst/>
        </a:prstGeom>
      </dgm:spPr>
      <dgm:t>
        <a:bodyPr/>
        <a:lstStyle/>
        <a:p>
          <a:endParaRPr lang="fr-FR"/>
        </a:p>
      </dgm:t>
    </dgm:pt>
    <dgm:pt modelId="{DBA72AD1-5341-4ADD-8506-63DCF895E2B6}" type="pres">
      <dgm:prSet presAssocID="{374901CA-0B8F-4D59-824C-290D38233192}" presName="desTx" presStyleLbl="fgAcc1" presStyleIdx="3" presStyleCnt="5" custScaleX="312869" custScaleY="99047" custLinFactNeighborX="11669" custLinFactNeighborY="19380">
        <dgm:presLayoutVars>
          <dgm:bulletEnabled val="1"/>
        </dgm:presLayoutVars>
      </dgm:prSet>
      <dgm:spPr/>
      <dgm:t>
        <a:bodyPr/>
        <a:lstStyle/>
        <a:p>
          <a:endParaRPr lang="fr-FR"/>
        </a:p>
      </dgm:t>
    </dgm:pt>
    <dgm:pt modelId="{EDDDD3E0-E61C-4C67-A2D8-1113B514415F}" type="pres">
      <dgm:prSet presAssocID="{2A81C7D2-A16A-4F1F-A142-020C7247AF8A}" presName="sibTrans" presStyleLbl="sibTrans2D1" presStyleIdx="3" presStyleCnt="4" custScaleX="102586" custScaleY="307487" custLinFactY="25349" custLinFactNeighborX="23875" custLinFactNeighborY="100000"/>
      <dgm:spPr/>
      <dgm:t>
        <a:bodyPr/>
        <a:lstStyle/>
        <a:p>
          <a:endParaRPr lang="fr-FR"/>
        </a:p>
      </dgm:t>
    </dgm:pt>
    <dgm:pt modelId="{9F70CC29-AC60-434D-B513-D2F565675237}" type="pres">
      <dgm:prSet presAssocID="{2A81C7D2-A16A-4F1F-A142-020C7247AF8A}" presName="connTx" presStyleLbl="sibTrans2D1" presStyleIdx="3" presStyleCnt="4"/>
      <dgm:spPr/>
      <dgm:t>
        <a:bodyPr/>
        <a:lstStyle/>
        <a:p>
          <a:endParaRPr lang="fr-FR"/>
        </a:p>
      </dgm:t>
    </dgm:pt>
    <dgm:pt modelId="{99C6F131-28B1-46F5-83A2-CC5CFE5B382C}" type="pres">
      <dgm:prSet presAssocID="{AC07979A-FBD8-483D-91F2-4DA6A563EDD4}" presName="composite" presStyleCnt="0"/>
      <dgm:spPr/>
    </dgm:pt>
    <dgm:pt modelId="{F114FD99-1D6D-489F-8980-490BDFFDCC43}" type="pres">
      <dgm:prSet presAssocID="{AC07979A-FBD8-483D-91F2-4DA6A563EDD4}" presName="parTx" presStyleLbl="node1" presStyleIdx="3" presStyleCnt="5">
        <dgm:presLayoutVars>
          <dgm:chMax val="0"/>
          <dgm:chPref val="0"/>
          <dgm:bulletEnabled val="1"/>
        </dgm:presLayoutVars>
      </dgm:prSet>
      <dgm:spPr/>
      <dgm:t>
        <a:bodyPr/>
        <a:lstStyle/>
        <a:p>
          <a:endParaRPr lang="fr-FR"/>
        </a:p>
      </dgm:t>
    </dgm:pt>
    <dgm:pt modelId="{BC6050B1-A255-4CAB-AD27-EBA74847CD4B}" type="pres">
      <dgm:prSet presAssocID="{AC07979A-FBD8-483D-91F2-4DA6A563EDD4}" presName="parSh" presStyleLbl="node1" presStyleIdx="4" presStyleCnt="5" custScaleX="159815" custScaleY="166667" custLinFactNeighborX="31791" custLinFactNeighborY="-7933"/>
      <dgm:spPr>
        <a:prstGeom prst="ellipse">
          <a:avLst/>
        </a:prstGeom>
      </dgm:spPr>
      <dgm:t>
        <a:bodyPr/>
        <a:lstStyle/>
        <a:p>
          <a:endParaRPr lang="fr-FR"/>
        </a:p>
      </dgm:t>
    </dgm:pt>
    <dgm:pt modelId="{983C1F0B-5563-4FEC-8A6B-A4DACDBC2AD5}" type="pres">
      <dgm:prSet presAssocID="{AC07979A-FBD8-483D-91F2-4DA6A563EDD4}" presName="desTx" presStyleLbl="fgAcc1" presStyleIdx="4" presStyleCnt="5" custScaleX="584821" custScaleY="97236" custLinFactNeighborX="31917" custLinFactNeighborY="18457">
        <dgm:presLayoutVars>
          <dgm:bulletEnabled val="1"/>
        </dgm:presLayoutVars>
      </dgm:prSet>
      <dgm:spPr/>
      <dgm:t>
        <a:bodyPr/>
        <a:lstStyle/>
        <a:p>
          <a:endParaRPr lang="fr-FR"/>
        </a:p>
      </dgm:t>
    </dgm:pt>
  </dgm:ptLst>
  <dgm:cxnLst>
    <dgm:cxn modelId="{18620B7F-E106-4AD9-8622-8CD2D92B8510}" srcId="{D8A17FEE-A75B-4946-A0F8-0573936871C5}" destId="{F11F3B63-61B1-4175-AD6D-476ECCC8930F}" srcOrd="1" destOrd="0" parTransId="{7DB016AE-9FE5-4BCB-97A7-82BB1A4D86C3}" sibTransId="{8B854ECF-CB2F-4956-A09F-6A0BE794C361}"/>
    <dgm:cxn modelId="{5D91A6E8-1FEC-4695-8021-7A838A552F44}" type="presOf" srcId="{AC07979A-FBD8-483D-91F2-4DA6A563EDD4}" destId="{F114FD99-1D6D-489F-8980-490BDFFDCC43}" srcOrd="0" destOrd="0" presId="urn:microsoft.com/office/officeart/2005/8/layout/process3"/>
    <dgm:cxn modelId="{8F2B7CB3-3ADA-43DF-835C-16F639B6C8AD}" type="presOf" srcId="{4625D4C2-8C5E-4CC0-94FD-1840DD26CCD0}" destId="{D5D30473-44A0-4A5D-800F-C2AB4E98487A}" srcOrd="0" destOrd="1" presId="urn:microsoft.com/office/officeart/2005/8/layout/process3"/>
    <dgm:cxn modelId="{3843AE81-583F-4A0D-B92A-A3CC5FE841B2}" srcId="{AC07979A-FBD8-483D-91F2-4DA6A563EDD4}" destId="{C1579DE3-EE5F-4991-96E1-BB4C9C67EE2D}" srcOrd="1" destOrd="0" parTransId="{B5DFA674-6A68-4FF4-9BD1-A0FBF4F4B204}" sibTransId="{7331F6D9-19FD-44E1-B68B-E2EE1EC1CC90}"/>
    <dgm:cxn modelId="{1F2F1CA3-FA2D-470B-B39E-FB475991DB1F}" type="presOf" srcId="{374901CA-0B8F-4D59-824C-290D38233192}" destId="{7B472E2B-E5BF-4530-9BC3-4B5E01EA247A}" srcOrd="1" destOrd="0" presId="urn:microsoft.com/office/officeart/2005/8/layout/process3"/>
    <dgm:cxn modelId="{7D4C2D0B-EAF2-48E9-8F5B-1A83C3152559}" srcId="{374901CA-0B8F-4D59-824C-290D38233192}" destId="{0EED7405-BB05-44AE-A6D4-2FDC12E4DF66}" srcOrd="0" destOrd="0" parTransId="{0A83BEEF-C8DA-4011-A8AA-22CB091415D7}" sibTransId="{1E2F0D5A-AEEF-4E28-A637-F71412182F2A}"/>
    <dgm:cxn modelId="{0DF7AFDA-485C-4223-AA5A-86A55A34DA8E}" type="presOf" srcId="{02096BE3-F2FA-478C-9503-77132370A660}" destId="{A256D8B9-3AA2-4596-BCA3-63A33DDCE5C5}" srcOrd="1" destOrd="0" presId="urn:microsoft.com/office/officeart/2005/8/layout/process3"/>
    <dgm:cxn modelId="{86A8ED91-340D-43C5-A6D3-B01E4216B9F5}" type="presOf" srcId="{F11F3B63-61B1-4175-AD6D-476ECCC8930F}" destId="{D048F298-AD3F-41F8-88B3-E33208ACA93C}" srcOrd="0" destOrd="1" presId="urn:microsoft.com/office/officeart/2005/8/layout/process3"/>
    <dgm:cxn modelId="{5CF2BC60-F74E-47C4-9ED2-81F777DF8210}" srcId="{0E110800-F610-4F28-A084-EB7E9FE0BCDF}" destId="{374901CA-0B8F-4D59-824C-290D38233192}" srcOrd="3" destOrd="0" parTransId="{3521A0CD-DACC-443F-BC04-11B091823BF8}" sibTransId="{2A81C7D2-A16A-4F1F-A142-020C7247AF8A}"/>
    <dgm:cxn modelId="{09F5494E-6D5B-4089-A81A-F76B2E3D5B15}" type="presOf" srcId="{95C3594E-24D3-47DC-807B-04D7D4E2095D}" destId="{5177F2F1-8E56-4191-A443-EE1E00CD10C9}" srcOrd="0" destOrd="0" presId="urn:microsoft.com/office/officeart/2005/8/layout/process3"/>
    <dgm:cxn modelId="{2E8DDD67-3ECB-447B-AB33-76F45BB9D841}" type="presOf" srcId="{AC07979A-FBD8-483D-91F2-4DA6A563EDD4}" destId="{BC6050B1-A255-4CAB-AD27-EBA74847CD4B}" srcOrd="1" destOrd="0" presId="urn:microsoft.com/office/officeart/2005/8/layout/process3"/>
    <dgm:cxn modelId="{C196EFE2-8383-4C70-BBB5-2B8A3C516765}" srcId="{0E110800-F610-4F28-A084-EB7E9FE0BCDF}" destId="{119E2ACA-94D9-4D2B-ABED-8CCCA1C6CCF5}" srcOrd="2" destOrd="0" parTransId="{7AF29488-2161-48B0-B9FB-FA4B866D20D8}" sibTransId="{D459558C-ACCB-4A1D-9984-E3A97F8C448F}"/>
    <dgm:cxn modelId="{AAF52B27-C352-489E-9956-528F51A4FA56}" type="presOf" srcId="{E84B4FC8-4C90-4CED-B0D5-ECD49975D080}" destId="{D048F298-AD3F-41F8-88B3-E33208ACA93C}" srcOrd="0" destOrd="0" presId="urn:microsoft.com/office/officeart/2005/8/layout/process3"/>
    <dgm:cxn modelId="{43A44D52-186E-4C66-B22D-441AA25DAD69}" srcId="{D8A17FEE-A75B-4946-A0F8-0573936871C5}" destId="{E84B4FC8-4C90-4CED-B0D5-ECD49975D080}" srcOrd="0" destOrd="0" parTransId="{2EEBB015-2F25-4256-B63E-2D9C318A10EA}" sibTransId="{9F2A9028-5B85-4D63-880C-325D728717CB}"/>
    <dgm:cxn modelId="{1FE6E418-D719-4ABB-82C5-3F9E47817AD0}" srcId="{374901CA-0B8F-4D59-824C-290D38233192}" destId="{07A2CE73-4288-44C3-8C9D-F61B3F9B6D23}" srcOrd="1" destOrd="0" parTransId="{5316F916-78DA-4E94-84C6-BFA3C6DB963B}" sibTransId="{298A2AA2-D57E-45A1-90F7-9491BBD32314}"/>
    <dgm:cxn modelId="{A87D7E67-0D8A-46BE-A9CE-D406BDD43178}" type="presOf" srcId="{D8A17FEE-A75B-4946-A0F8-0573936871C5}" destId="{0E7AB544-170C-4BEF-803C-2C16E6501F04}" srcOrd="0" destOrd="0" presId="urn:microsoft.com/office/officeart/2005/8/layout/process3"/>
    <dgm:cxn modelId="{A427F476-35F1-4154-8FB4-8008F834B471}" type="presOf" srcId="{119E2ACA-94D9-4D2B-ABED-8CCCA1C6CCF5}" destId="{2DB1CC61-3BFD-4895-98FA-A1D8465CE5F5}" srcOrd="0" destOrd="0" presId="urn:microsoft.com/office/officeart/2005/8/layout/process3"/>
    <dgm:cxn modelId="{3E1BA4F5-A5EE-4090-9A5C-0F5CAAC64766}" srcId="{AC07979A-FBD8-483D-91F2-4DA6A563EDD4}" destId="{014ACA7B-0BCE-460E-AE9A-F342D58FCC42}" srcOrd="0" destOrd="0" parTransId="{24F896BE-B596-48C6-9063-5B5C42727D60}" sibTransId="{DD3E6EBC-8947-43CF-8B76-CD4E730AEBF9}"/>
    <dgm:cxn modelId="{5CA25A2B-BFDD-48AB-9B7E-403A371E4D38}" srcId="{0E110800-F610-4F28-A084-EB7E9FE0BCDF}" destId="{AC07979A-FBD8-483D-91F2-4DA6A563EDD4}" srcOrd="4" destOrd="0" parTransId="{DED36B37-5170-4E93-AE5C-DAF23B6CA565}" sibTransId="{6FDBC403-929F-4CB3-81AE-A62B8BDBC639}"/>
    <dgm:cxn modelId="{EE0220CD-86DB-4E3B-885F-7DBC107257F5}" srcId="{95C3594E-24D3-47DC-807B-04D7D4E2095D}" destId="{B1E9656B-5710-4E81-91CE-478149CA07DC}" srcOrd="0" destOrd="0" parTransId="{C81E89AD-B843-4F43-92FD-F4652308694A}" sibTransId="{A5B28904-95BB-436C-A590-820343F01033}"/>
    <dgm:cxn modelId="{D4C5578C-1314-43A1-8A96-07F50773E0AA}" type="presOf" srcId="{C1579DE3-EE5F-4991-96E1-BB4C9C67EE2D}" destId="{983C1F0B-5563-4FEC-8A6B-A4DACDBC2AD5}" srcOrd="0" destOrd="1" presId="urn:microsoft.com/office/officeart/2005/8/layout/process3"/>
    <dgm:cxn modelId="{8AF413AB-1782-4AA7-B0C9-60D36C0C4586}" srcId="{0E110800-F610-4F28-A084-EB7E9FE0BCDF}" destId="{95C3594E-24D3-47DC-807B-04D7D4E2095D}" srcOrd="1" destOrd="0" parTransId="{B038C367-0E89-4954-A412-33B0EDD5D1E4}" sibTransId="{C6B02888-509A-4834-8E4A-44D3C9378887}"/>
    <dgm:cxn modelId="{4FA9B47D-2450-4207-9DBC-D0056DA945D4}" type="presOf" srcId="{014ACA7B-0BCE-460E-AE9A-F342D58FCC42}" destId="{983C1F0B-5563-4FEC-8A6B-A4DACDBC2AD5}" srcOrd="0" destOrd="0" presId="urn:microsoft.com/office/officeart/2005/8/layout/process3"/>
    <dgm:cxn modelId="{9C0723E9-9DC8-4A11-82A8-73FAACB0899C}" type="presOf" srcId="{D459558C-ACCB-4A1D-9984-E3A97F8C448F}" destId="{8E9415A4-3E9B-4923-8D4F-D88BDC6FE7CD}" srcOrd="0" destOrd="0" presId="urn:microsoft.com/office/officeart/2005/8/layout/process3"/>
    <dgm:cxn modelId="{1E07F391-3090-457C-A181-E5311C6E91A5}" type="presOf" srcId="{F52734A0-E96F-4384-806F-5108BD184C5D}" destId="{F5A1E78E-154D-4BF4-84D9-FD4DB916BAEC}" srcOrd="0" destOrd="0" presId="urn:microsoft.com/office/officeart/2005/8/layout/process3"/>
    <dgm:cxn modelId="{0C501885-F5AA-41F6-94CB-E01EEF8D9BEA}" type="presOf" srcId="{95C3594E-24D3-47DC-807B-04D7D4E2095D}" destId="{60AF9CD0-670E-40D9-8F1D-B057D41C85F3}" srcOrd="1" destOrd="0" presId="urn:microsoft.com/office/officeart/2005/8/layout/process3"/>
    <dgm:cxn modelId="{366A9308-625A-423E-807B-872F3D6F995C}" type="presOf" srcId="{D459558C-ACCB-4A1D-9984-E3A97F8C448F}" destId="{821CC870-BF70-4448-B589-B48328E470B1}" srcOrd="1" destOrd="0" presId="urn:microsoft.com/office/officeart/2005/8/layout/process3"/>
    <dgm:cxn modelId="{CC6FD7F4-18CC-435B-851B-5EFF1FFAFD8F}" srcId="{119E2ACA-94D9-4D2B-ABED-8CCCA1C6CCF5}" destId="{BE7DE544-F6DA-446E-9F87-7C4CDB3D10B3}" srcOrd="1" destOrd="0" parTransId="{B02756DC-2110-49CE-BBC7-725930186226}" sibTransId="{EBFFB3B9-7399-4472-AF01-5CBEC268115E}"/>
    <dgm:cxn modelId="{1BC23882-7DBF-41A2-A8B1-87FD4E471958}" type="presOf" srcId="{C6B02888-509A-4834-8E4A-44D3C9378887}" destId="{A7FF8BB1-42CC-4A2E-8AC3-97AAB33AFC82}" srcOrd="1" destOrd="0" presId="urn:microsoft.com/office/officeart/2005/8/layout/process3"/>
    <dgm:cxn modelId="{D7423B6A-B907-4B34-A036-0DDD3F8462DD}" type="presOf" srcId="{BE7DE544-F6DA-446E-9F87-7C4CDB3D10B3}" destId="{F5A1E78E-154D-4BF4-84D9-FD4DB916BAEC}" srcOrd="0" destOrd="1" presId="urn:microsoft.com/office/officeart/2005/8/layout/process3"/>
    <dgm:cxn modelId="{5DF262F9-4E50-47F9-B7E0-0E60CAFE2FC9}" srcId="{95C3594E-24D3-47DC-807B-04D7D4E2095D}" destId="{4625D4C2-8C5E-4CC0-94FD-1840DD26CCD0}" srcOrd="1" destOrd="0" parTransId="{FAA72AFB-C41F-4D59-A651-9CB5B7FBAFCE}" sibTransId="{A021B273-4814-45FC-9ABB-E87721F6EDF6}"/>
    <dgm:cxn modelId="{A031C83B-1BEC-4302-87D4-1EB26CBC5323}" type="presOf" srcId="{B1E9656B-5710-4E81-91CE-478149CA07DC}" destId="{D5D30473-44A0-4A5D-800F-C2AB4E98487A}" srcOrd="0" destOrd="0" presId="urn:microsoft.com/office/officeart/2005/8/layout/process3"/>
    <dgm:cxn modelId="{A9AADE99-F9E1-4B60-A178-8DCE3CC95DDA}" type="presOf" srcId="{374901CA-0B8F-4D59-824C-290D38233192}" destId="{43ADBAA6-F32F-491C-AA90-215E87FEB605}" srcOrd="0" destOrd="0" presId="urn:microsoft.com/office/officeart/2005/8/layout/process3"/>
    <dgm:cxn modelId="{E0AE9FAC-CAAA-4CDC-A611-F7317C6B6704}" type="presOf" srcId="{2A81C7D2-A16A-4F1F-A142-020C7247AF8A}" destId="{EDDDD3E0-E61C-4C67-A2D8-1113B514415F}" srcOrd="0" destOrd="0" presId="urn:microsoft.com/office/officeart/2005/8/layout/process3"/>
    <dgm:cxn modelId="{26155033-2848-4D73-BB86-DE382923A826}" srcId="{119E2ACA-94D9-4D2B-ABED-8CCCA1C6CCF5}" destId="{F52734A0-E96F-4384-806F-5108BD184C5D}" srcOrd="0" destOrd="0" parTransId="{4AAF9379-30AD-4D60-B3A4-6828828C46EC}" sibTransId="{2E3E14BE-7083-4B49-B3FA-0C24C4B6A3E5}"/>
    <dgm:cxn modelId="{EFD16C35-8235-4EE0-B137-5E94E914E2BE}" type="presOf" srcId="{0EED7405-BB05-44AE-A6D4-2FDC12E4DF66}" destId="{DBA72AD1-5341-4ADD-8506-63DCF895E2B6}" srcOrd="0" destOrd="0" presId="urn:microsoft.com/office/officeart/2005/8/layout/process3"/>
    <dgm:cxn modelId="{AAA5341C-407A-4ACB-9F3D-DE90850087D1}" srcId="{0E110800-F610-4F28-A084-EB7E9FE0BCDF}" destId="{D8A17FEE-A75B-4946-A0F8-0573936871C5}" srcOrd="0" destOrd="0" parTransId="{1643FF20-6602-4C70-881C-1B73B23350E0}" sibTransId="{02096BE3-F2FA-478C-9503-77132370A660}"/>
    <dgm:cxn modelId="{AF80B82F-7AB6-4A21-8800-9968F27DD418}" type="presOf" srcId="{02096BE3-F2FA-478C-9503-77132370A660}" destId="{ADA0B68D-5658-4CE3-9566-0755DC5BBFFC}" srcOrd="0" destOrd="0" presId="urn:microsoft.com/office/officeart/2005/8/layout/process3"/>
    <dgm:cxn modelId="{2456FC8D-ADAD-4F36-BEE1-A453DEA9C9C0}" type="presOf" srcId="{0E110800-F610-4F28-A084-EB7E9FE0BCDF}" destId="{A138C64E-BE07-4277-BC9F-5F43864F5B7A}" srcOrd="0" destOrd="0" presId="urn:microsoft.com/office/officeart/2005/8/layout/process3"/>
    <dgm:cxn modelId="{F58B6E97-2CFF-41B6-A7E9-8F46C82224D3}" type="presOf" srcId="{2A81C7D2-A16A-4F1F-A142-020C7247AF8A}" destId="{9F70CC29-AC60-434D-B513-D2F565675237}" srcOrd="1" destOrd="0" presId="urn:microsoft.com/office/officeart/2005/8/layout/process3"/>
    <dgm:cxn modelId="{F1AF1CBD-CC60-4A97-B8E9-52BFF8ECA5A7}" type="presOf" srcId="{C6B02888-509A-4834-8E4A-44D3C9378887}" destId="{DB54BBEA-D4D7-4FC0-9D8C-944C9552595D}" srcOrd="0" destOrd="0" presId="urn:microsoft.com/office/officeart/2005/8/layout/process3"/>
    <dgm:cxn modelId="{8975E202-79F2-4D50-B8BB-744C01545A57}" type="presOf" srcId="{07A2CE73-4288-44C3-8C9D-F61B3F9B6D23}" destId="{DBA72AD1-5341-4ADD-8506-63DCF895E2B6}" srcOrd="0" destOrd="1" presId="urn:microsoft.com/office/officeart/2005/8/layout/process3"/>
    <dgm:cxn modelId="{EE1DAEB5-1173-43FF-B038-5760101148B0}" type="presOf" srcId="{D8A17FEE-A75B-4946-A0F8-0573936871C5}" destId="{61479F16-3621-4A11-8DD5-22E7701143F5}" srcOrd="1" destOrd="0" presId="urn:microsoft.com/office/officeart/2005/8/layout/process3"/>
    <dgm:cxn modelId="{0ADAB84C-39AE-4631-B77A-D4AA3A84BC4F}" type="presOf" srcId="{119E2ACA-94D9-4D2B-ABED-8CCCA1C6CCF5}" destId="{E5D3A23F-EBB1-48F4-AA19-A215A4BE9BD7}" srcOrd="1" destOrd="0" presId="urn:microsoft.com/office/officeart/2005/8/layout/process3"/>
    <dgm:cxn modelId="{44307F49-22C3-49B7-B1F8-8F4318FD4FF7}" type="presParOf" srcId="{A138C64E-BE07-4277-BC9F-5F43864F5B7A}" destId="{D7B9E11B-C2E1-4A02-B62C-716EF6B02DF8}" srcOrd="0" destOrd="0" presId="urn:microsoft.com/office/officeart/2005/8/layout/process3"/>
    <dgm:cxn modelId="{EF06A356-3709-4F6C-8E1F-269470817088}" type="presParOf" srcId="{D7B9E11B-C2E1-4A02-B62C-716EF6B02DF8}" destId="{0E7AB544-170C-4BEF-803C-2C16E6501F04}" srcOrd="0" destOrd="0" presId="urn:microsoft.com/office/officeart/2005/8/layout/process3"/>
    <dgm:cxn modelId="{7732654A-3D57-49CE-BECB-8CBBAF8B9616}" type="presParOf" srcId="{D7B9E11B-C2E1-4A02-B62C-716EF6B02DF8}" destId="{61479F16-3621-4A11-8DD5-22E7701143F5}" srcOrd="1" destOrd="0" presId="urn:microsoft.com/office/officeart/2005/8/layout/process3"/>
    <dgm:cxn modelId="{DBB67FC5-FB83-4238-B142-4DDE4EA60AB3}" type="presParOf" srcId="{D7B9E11B-C2E1-4A02-B62C-716EF6B02DF8}" destId="{D048F298-AD3F-41F8-88B3-E33208ACA93C}" srcOrd="2" destOrd="0" presId="urn:microsoft.com/office/officeart/2005/8/layout/process3"/>
    <dgm:cxn modelId="{43CD89D1-FBA8-4CA8-A5FA-D2F2F72C7C50}" type="presParOf" srcId="{A138C64E-BE07-4277-BC9F-5F43864F5B7A}" destId="{ADA0B68D-5658-4CE3-9566-0755DC5BBFFC}" srcOrd="1" destOrd="0" presId="urn:microsoft.com/office/officeart/2005/8/layout/process3"/>
    <dgm:cxn modelId="{43D4FED7-5F9A-4F8B-9D1F-FBD44DE29337}" type="presParOf" srcId="{ADA0B68D-5658-4CE3-9566-0755DC5BBFFC}" destId="{A256D8B9-3AA2-4596-BCA3-63A33DDCE5C5}" srcOrd="0" destOrd="0" presId="urn:microsoft.com/office/officeart/2005/8/layout/process3"/>
    <dgm:cxn modelId="{3DA06858-1E0D-4FA0-8595-C5E568F63228}" type="presParOf" srcId="{A138C64E-BE07-4277-BC9F-5F43864F5B7A}" destId="{9324829F-9801-4E6F-9961-68330663103C}" srcOrd="2" destOrd="0" presId="urn:microsoft.com/office/officeart/2005/8/layout/process3"/>
    <dgm:cxn modelId="{165F45EF-D986-477B-8556-044E3B701C09}" type="presParOf" srcId="{9324829F-9801-4E6F-9961-68330663103C}" destId="{5177F2F1-8E56-4191-A443-EE1E00CD10C9}" srcOrd="0" destOrd="0" presId="urn:microsoft.com/office/officeart/2005/8/layout/process3"/>
    <dgm:cxn modelId="{60418E5C-49B5-4F0C-8F29-38BA3614E131}" type="presParOf" srcId="{9324829F-9801-4E6F-9961-68330663103C}" destId="{60AF9CD0-670E-40D9-8F1D-B057D41C85F3}" srcOrd="1" destOrd="0" presId="urn:microsoft.com/office/officeart/2005/8/layout/process3"/>
    <dgm:cxn modelId="{063A11A6-0014-4A94-84F1-A9011382A746}" type="presParOf" srcId="{9324829F-9801-4E6F-9961-68330663103C}" destId="{D5D30473-44A0-4A5D-800F-C2AB4E98487A}" srcOrd="2" destOrd="0" presId="urn:microsoft.com/office/officeart/2005/8/layout/process3"/>
    <dgm:cxn modelId="{8C5E2FD8-0640-4BD0-AB0F-311897F51771}" type="presParOf" srcId="{A138C64E-BE07-4277-BC9F-5F43864F5B7A}" destId="{DB54BBEA-D4D7-4FC0-9D8C-944C9552595D}" srcOrd="3" destOrd="0" presId="urn:microsoft.com/office/officeart/2005/8/layout/process3"/>
    <dgm:cxn modelId="{E860EB98-CC9E-406C-B39C-A682EE8B4733}" type="presParOf" srcId="{DB54BBEA-D4D7-4FC0-9D8C-944C9552595D}" destId="{A7FF8BB1-42CC-4A2E-8AC3-97AAB33AFC82}" srcOrd="0" destOrd="0" presId="urn:microsoft.com/office/officeart/2005/8/layout/process3"/>
    <dgm:cxn modelId="{D4850746-0DEF-4F9F-971C-D3269DB57E7A}" type="presParOf" srcId="{A138C64E-BE07-4277-BC9F-5F43864F5B7A}" destId="{F6372AB9-ADC8-42DC-8493-BF68C8E16371}" srcOrd="4" destOrd="0" presId="urn:microsoft.com/office/officeart/2005/8/layout/process3"/>
    <dgm:cxn modelId="{F37AD543-3145-48AA-8B9A-E0B017AE73C4}" type="presParOf" srcId="{F6372AB9-ADC8-42DC-8493-BF68C8E16371}" destId="{2DB1CC61-3BFD-4895-98FA-A1D8465CE5F5}" srcOrd="0" destOrd="0" presId="urn:microsoft.com/office/officeart/2005/8/layout/process3"/>
    <dgm:cxn modelId="{F47A9ABF-5AB3-438E-A785-127B997E34FA}" type="presParOf" srcId="{F6372AB9-ADC8-42DC-8493-BF68C8E16371}" destId="{E5D3A23F-EBB1-48F4-AA19-A215A4BE9BD7}" srcOrd="1" destOrd="0" presId="urn:microsoft.com/office/officeart/2005/8/layout/process3"/>
    <dgm:cxn modelId="{D65BB948-F471-4970-ADD8-283BB7F1ED72}" type="presParOf" srcId="{F6372AB9-ADC8-42DC-8493-BF68C8E16371}" destId="{F5A1E78E-154D-4BF4-84D9-FD4DB916BAEC}" srcOrd="2" destOrd="0" presId="urn:microsoft.com/office/officeart/2005/8/layout/process3"/>
    <dgm:cxn modelId="{BE87D5A4-846A-4FA3-B273-F641D3BC8BB0}" type="presParOf" srcId="{A138C64E-BE07-4277-BC9F-5F43864F5B7A}" destId="{8E9415A4-3E9B-4923-8D4F-D88BDC6FE7CD}" srcOrd="5" destOrd="0" presId="urn:microsoft.com/office/officeart/2005/8/layout/process3"/>
    <dgm:cxn modelId="{73152FAF-E744-464A-BDDD-4DF203E1AAAA}" type="presParOf" srcId="{8E9415A4-3E9B-4923-8D4F-D88BDC6FE7CD}" destId="{821CC870-BF70-4448-B589-B48328E470B1}" srcOrd="0" destOrd="0" presId="urn:microsoft.com/office/officeart/2005/8/layout/process3"/>
    <dgm:cxn modelId="{CA01FDEF-918F-4647-A268-C73DF0623254}" type="presParOf" srcId="{A138C64E-BE07-4277-BC9F-5F43864F5B7A}" destId="{98F5EFE3-622D-481A-A8BD-BAA7192C44ED}" srcOrd="6" destOrd="0" presId="urn:microsoft.com/office/officeart/2005/8/layout/process3"/>
    <dgm:cxn modelId="{A7350A41-CD8F-4DD0-A414-1CC9F19FF487}" type="presParOf" srcId="{98F5EFE3-622D-481A-A8BD-BAA7192C44ED}" destId="{43ADBAA6-F32F-491C-AA90-215E87FEB605}" srcOrd="0" destOrd="0" presId="urn:microsoft.com/office/officeart/2005/8/layout/process3"/>
    <dgm:cxn modelId="{6CBC0AE8-5776-49DF-955E-1D39A4F43A61}" type="presParOf" srcId="{98F5EFE3-622D-481A-A8BD-BAA7192C44ED}" destId="{7B472E2B-E5BF-4530-9BC3-4B5E01EA247A}" srcOrd="1" destOrd="0" presId="urn:microsoft.com/office/officeart/2005/8/layout/process3"/>
    <dgm:cxn modelId="{9D4D0215-A0D8-4903-96F6-2C44E5FFB5A4}" type="presParOf" srcId="{98F5EFE3-622D-481A-A8BD-BAA7192C44ED}" destId="{DBA72AD1-5341-4ADD-8506-63DCF895E2B6}" srcOrd="2" destOrd="0" presId="urn:microsoft.com/office/officeart/2005/8/layout/process3"/>
    <dgm:cxn modelId="{19932208-C996-4168-A48A-FD87283552DB}" type="presParOf" srcId="{A138C64E-BE07-4277-BC9F-5F43864F5B7A}" destId="{EDDDD3E0-E61C-4C67-A2D8-1113B514415F}" srcOrd="7" destOrd="0" presId="urn:microsoft.com/office/officeart/2005/8/layout/process3"/>
    <dgm:cxn modelId="{B62DE2C4-EE46-4DF1-8593-E7A00A1BD426}" type="presParOf" srcId="{EDDDD3E0-E61C-4C67-A2D8-1113B514415F}" destId="{9F70CC29-AC60-434D-B513-D2F565675237}" srcOrd="0" destOrd="0" presId="urn:microsoft.com/office/officeart/2005/8/layout/process3"/>
    <dgm:cxn modelId="{CF3A8BCB-89FE-48A0-82DC-0C00822F6E9F}" type="presParOf" srcId="{A138C64E-BE07-4277-BC9F-5F43864F5B7A}" destId="{99C6F131-28B1-46F5-83A2-CC5CFE5B382C}" srcOrd="8" destOrd="0" presId="urn:microsoft.com/office/officeart/2005/8/layout/process3"/>
    <dgm:cxn modelId="{B76DAC5A-0D8B-4635-A371-441EF0CBE42A}" type="presParOf" srcId="{99C6F131-28B1-46F5-83A2-CC5CFE5B382C}" destId="{F114FD99-1D6D-489F-8980-490BDFFDCC43}" srcOrd="0" destOrd="0" presId="urn:microsoft.com/office/officeart/2005/8/layout/process3"/>
    <dgm:cxn modelId="{45C788CD-4CF6-4B77-A833-229823C1E3D2}" type="presParOf" srcId="{99C6F131-28B1-46F5-83A2-CC5CFE5B382C}" destId="{BC6050B1-A255-4CAB-AD27-EBA74847CD4B}" srcOrd="1" destOrd="0" presId="urn:microsoft.com/office/officeart/2005/8/layout/process3"/>
    <dgm:cxn modelId="{127E7BA4-8D23-4A41-A813-2E653560A66E}" type="presParOf" srcId="{99C6F131-28B1-46F5-83A2-CC5CFE5B382C}" destId="{983C1F0B-5563-4FEC-8A6B-A4DACDBC2AD5}" srcOrd="2" destOrd="0" presId="urn:microsoft.com/office/officeart/2005/8/layout/process3"/>
  </dgm:cxnLst>
  <dgm:bg>
    <a:noFill/>
  </dgm:bg>
  <dgm:whole>
    <a:ln w="6350">
      <a:solidFill>
        <a:schemeClr val="tx1"/>
      </a:solidFill>
      <a:prstDash val="dash"/>
    </a:ln>
  </dgm:whole>
  <dgm:extLst>
    <a:ext uri="http://schemas.microsoft.com/office/drawing/2008/diagram">
      <dsp:dataModelExt xmlns:dsp="http://schemas.microsoft.com/office/drawing/2008/diagram" relId="rId153"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2A673452-15A1-447D-82D7-4079AF0D5563}"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fr-FR"/>
        </a:p>
      </dgm:t>
    </dgm:pt>
    <dgm:pt modelId="{E3D8B292-05F5-44FB-918D-296AC0F73CFC}">
      <dgm:prSet phldrT="[Texte]" custT="1">
        <dgm:style>
          <a:lnRef idx="1">
            <a:schemeClr val="dk1"/>
          </a:lnRef>
          <a:fillRef idx="2">
            <a:schemeClr val="dk1"/>
          </a:fillRef>
          <a:effectRef idx="1">
            <a:schemeClr val="dk1"/>
          </a:effectRef>
          <a:fontRef idx="minor">
            <a:schemeClr val="dk1"/>
          </a:fontRef>
        </dgm:style>
      </dgm:prSet>
      <dgm:spPr>
        <a:solidFill>
          <a:schemeClr val="accent6">
            <a:lumMod val="40000"/>
            <a:lumOff val="60000"/>
          </a:schemeClr>
        </a:solidFill>
        <a:ln>
          <a:solidFill>
            <a:schemeClr val="accent6">
              <a:lumMod val="20000"/>
              <a:lumOff val="80000"/>
            </a:schemeClr>
          </a:solidFill>
        </a:ln>
      </dgm:spPr>
      <dgm:t>
        <a:bodyPr/>
        <a:lstStyle/>
        <a:p>
          <a:pPr algn="ctr" rtl="1"/>
          <a:r>
            <a:rPr lang="ar-DZ" sz="1200">
              <a:solidFill>
                <a:schemeClr val="tx1"/>
              </a:solidFill>
              <a:latin typeface="Simplified Arabic" panose="02020603050405020304" pitchFamily="18" charset="-78"/>
              <a:cs typeface="Simplified Arabic" panose="02020603050405020304" pitchFamily="18" charset="-78"/>
            </a:rPr>
            <a:t>الهدف</a:t>
          </a:r>
          <a:endParaRPr lang="fr-FR" sz="1200">
            <a:solidFill>
              <a:schemeClr val="tx1"/>
            </a:solidFill>
            <a:latin typeface="Simplified Arabic" panose="02020603050405020304" pitchFamily="18" charset="-78"/>
            <a:cs typeface="Simplified Arabic" panose="02020603050405020304" pitchFamily="18" charset="-78"/>
          </a:endParaRPr>
        </a:p>
      </dgm:t>
    </dgm:pt>
    <dgm:pt modelId="{2D5D4D0A-B02C-4F83-8D6A-D2AA1F7BC43E}" type="parTrans" cxnId="{A63A7A34-0EAD-4BA2-8055-FD6FA07A2AA0}">
      <dgm:prSet/>
      <dgm:spPr/>
      <dgm:t>
        <a:bodyPr/>
        <a:lstStyle/>
        <a:p>
          <a:pPr algn="ctr"/>
          <a:endParaRPr lang="fr-FR"/>
        </a:p>
      </dgm:t>
    </dgm:pt>
    <dgm:pt modelId="{0F4A411D-9FCE-4F90-9E33-4B6134D90107}" type="sibTrans" cxnId="{A63A7A34-0EAD-4BA2-8055-FD6FA07A2AA0}">
      <dgm:prSet/>
      <dgm:spPr/>
      <dgm:t>
        <a:bodyPr/>
        <a:lstStyle/>
        <a:p>
          <a:pPr algn="ctr"/>
          <a:endParaRPr lang="fr-FR"/>
        </a:p>
      </dgm:t>
    </dgm:pt>
    <dgm:pt modelId="{1028AEB9-2ED6-4934-B57E-1F812C9A7B6C}">
      <dgm:prSet phldrT="[Texte]" custT="1"/>
      <dgm:spPr>
        <a:solidFill>
          <a:schemeClr val="bg1">
            <a:lumMod val="85000"/>
          </a:schemeClr>
        </a:solidFill>
        <a:ln w="6350">
          <a:solidFill>
            <a:schemeClr val="bg1">
              <a:lumMod val="85000"/>
            </a:schemeClr>
          </a:solidFill>
        </a:ln>
      </dgm:spPr>
      <dgm:t>
        <a:bodyPr/>
        <a:lstStyle/>
        <a:p>
          <a:pPr algn="ctr" rtl="1"/>
          <a:r>
            <a:rPr lang="ar-DZ" sz="1200">
              <a:solidFill>
                <a:schemeClr val="tx1"/>
              </a:solidFill>
              <a:latin typeface="Simplified Arabic" panose="02020603050405020304" pitchFamily="18" charset="-78"/>
              <a:cs typeface="Simplified Arabic" panose="02020603050405020304" pitchFamily="18" charset="-78"/>
            </a:rPr>
            <a:t>معيار (1)</a:t>
          </a:r>
          <a:endParaRPr lang="fr-FR" sz="1200"/>
        </a:p>
      </dgm:t>
    </dgm:pt>
    <dgm:pt modelId="{BB945000-2EED-4A03-8433-C751EF69A80B}" type="parTrans" cxnId="{306EF68C-A6DE-48AE-A00F-98240F7F55C1}">
      <dgm:prSet>
        <dgm:style>
          <a:lnRef idx="2">
            <a:schemeClr val="dk1"/>
          </a:lnRef>
          <a:fillRef idx="0">
            <a:schemeClr val="dk1"/>
          </a:fillRef>
          <a:effectRef idx="1">
            <a:schemeClr val="dk1"/>
          </a:effectRef>
          <a:fontRef idx="minor">
            <a:schemeClr val="tx1"/>
          </a:fontRef>
        </dgm:style>
      </dgm:prSet>
      <dgm:spPr>
        <a:ln w="6350">
          <a:solidFill>
            <a:schemeClr val="tx1"/>
          </a:solidFill>
        </a:ln>
      </dgm:spPr>
      <dgm:t>
        <a:bodyPr/>
        <a:lstStyle/>
        <a:p>
          <a:pPr algn="ctr"/>
          <a:endParaRPr lang="fr-FR"/>
        </a:p>
      </dgm:t>
    </dgm:pt>
    <dgm:pt modelId="{05530A37-9681-4D82-AA4F-DEEA52DBC53F}" type="sibTrans" cxnId="{306EF68C-A6DE-48AE-A00F-98240F7F55C1}">
      <dgm:prSet/>
      <dgm:spPr/>
      <dgm:t>
        <a:bodyPr/>
        <a:lstStyle/>
        <a:p>
          <a:pPr algn="ctr"/>
          <a:endParaRPr lang="fr-FR"/>
        </a:p>
      </dgm:t>
    </dgm:pt>
    <dgm:pt modelId="{C0FA8615-1853-4B2B-9058-05E1C17509D0}">
      <dgm:prSet phldrT="[Texte]" custT="1"/>
      <dgm:spPr>
        <a:solidFill>
          <a:schemeClr val="bg1">
            <a:lumMod val="85000"/>
          </a:schemeClr>
        </a:solidFill>
        <a:ln w="6350">
          <a:solidFill>
            <a:schemeClr val="bg1">
              <a:lumMod val="85000"/>
            </a:schemeClr>
          </a:solidFill>
        </a:ln>
      </dgm:spPr>
      <dgm:t>
        <a:bodyPr/>
        <a:lstStyle/>
        <a:p>
          <a:pPr algn="ctr" rtl="1"/>
          <a:r>
            <a:rPr lang="ar-DZ" sz="1200">
              <a:solidFill>
                <a:schemeClr val="tx1"/>
              </a:solidFill>
              <a:latin typeface="Simplified Arabic" panose="02020603050405020304" pitchFamily="18" charset="-78"/>
              <a:cs typeface="Simplified Arabic" panose="02020603050405020304" pitchFamily="18" charset="-78"/>
            </a:rPr>
            <a:t>معيار (3)</a:t>
          </a:r>
          <a:endParaRPr lang="fr-FR" sz="1200">
            <a:solidFill>
              <a:schemeClr val="tx1"/>
            </a:solidFill>
            <a:latin typeface="Simplified Arabic" panose="02020603050405020304" pitchFamily="18" charset="-78"/>
            <a:cs typeface="Simplified Arabic" panose="02020603050405020304" pitchFamily="18" charset="-78"/>
          </a:endParaRPr>
        </a:p>
      </dgm:t>
    </dgm:pt>
    <dgm:pt modelId="{2A30FBF8-7352-4FC4-A81A-7080EBF48224}" type="parTrans" cxnId="{940B8C02-EEFD-4FF8-9BE0-E0A85579824D}">
      <dgm:prSet/>
      <dgm:spPr>
        <a:ln w="6350">
          <a:solidFill>
            <a:schemeClr val="tx1"/>
          </a:solidFill>
        </a:ln>
      </dgm:spPr>
      <dgm:t>
        <a:bodyPr/>
        <a:lstStyle/>
        <a:p>
          <a:pPr algn="ctr"/>
          <a:endParaRPr lang="fr-FR"/>
        </a:p>
      </dgm:t>
    </dgm:pt>
    <dgm:pt modelId="{FB3E456D-A8F3-4B68-A649-ED9962511E62}" type="sibTrans" cxnId="{940B8C02-EEFD-4FF8-9BE0-E0A85579824D}">
      <dgm:prSet/>
      <dgm:spPr/>
      <dgm:t>
        <a:bodyPr/>
        <a:lstStyle/>
        <a:p>
          <a:pPr algn="ctr"/>
          <a:endParaRPr lang="fr-FR"/>
        </a:p>
      </dgm:t>
    </dgm:pt>
    <dgm:pt modelId="{E8BCF26E-6067-4F03-90FB-EC6304EDEC29}">
      <dgm:prSet phldrT="[Texte]" custT="1"/>
      <dgm:spPr>
        <a:noFill/>
      </dgm:spPr>
      <dgm:t>
        <a:bodyPr/>
        <a:lstStyle/>
        <a:p>
          <a:pPr algn="ctr" rtl="1"/>
          <a:r>
            <a:rPr lang="ar-DZ" sz="1200">
              <a:latin typeface="Simplified Arabic" panose="02020603050405020304" pitchFamily="18" charset="-78"/>
              <a:cs typeface="Simplified Arabic" panose="02020603050405020304" pitchFamily="18" charset="-78"/>
            </a:rPr>
            <a:t>المعايير الفرعية (البدائل)</a:t>
          </a:r>
          <a:endParaRPr lang="fr-FR" sz="1200">
            <a:latin typeface="Simplified Arabic" panose="02020603050405020304" pitchFamily="18" charset="-78"/>
            <a:cs typeface="Simplified Arabic" panose="02020603050405020304" pitchFamily="18" charset="-78"/>
          </a:endParaRPr>
        </a:p>
      </dgm:t>
    </dgm:pt>
    <dgm:pt modelId="{F666FE55-F9E4-4A9A-A893-905F101F9BF1}" type="parTrans" cxnId="{130322EA-5630-44C7-96AB-6587AF875D4F}">
      <dgm:prSet/>
      <dgm:spPr/>
      <dgm:t>
        <a:bodyPr/>
        <a:lstStyle/>
        <a:p>
          <a:pPr algn="ctr"/>
          <a:endParaRPr lang="fr-FR"/>
        </a:p>
      </dgm:t>
    </dgm:pt>
    <dgm:pt modelId="{1B6635E6-8018-4E55-911E-F26CF7AA45D1}" type="sibTrans" cxnId="{130322EA-5630-44C7-96AB-6587AF875D4F}">
      <dgm:prSet/>
      <dgm:spPr/>
      <dgm:t>
        <a:bodyPr/>
        <a:lstStyle/>
        <a:p>
          <a:pPr algn="ctr"/>
          <a:endParaRPr lang="fr-FR"/>
        </a:p>
      </dgm:t>
    </dgm:pt>
    <dgm:pt modelId="{8B7C9FDF-342E-4E3C-8FAA-B6A217F0076F}">
      <dgm:prSet phldrT="[Texte]" custT="1"/>
      <dgm:spPr>
        <a:noFill/>
      </dgm:spPr>
      <dgm:t>
        <a:bodyPr/>
        <a:lstStyle/>
        <a:p>
          <a:pPr algn="ctr"/>
          <a:r>
            <a:rPr lang="ar-DZ" sz="1200">
              <a:latin typeface="Simplified Arabic" panose="02020603050405020304" pitchFamily="18" charset="-78"/>
              <a:cs typeface="Simplified Arabic" panose="02020603050405020304" pitchFamily="18" charset="-78"/>
            </a:rPr>
            <a:t>المعايير</a:t>
          </a:r>
          <a:endParaRPr lang="fr-FR" sz="2400">
            <a:latin typeface="Simplified Arabic" panose="02020603050405020304" pitchFamily="18" charset="-78"/>
            <a:cs typeface="Simplified Arabic" panose="02020603050405020304" pitchFamily="18" charset="-78"/>
          </a:endParaRPr>
        </a:p>
      </dgm:t>
    </dgm:pt>
    <dgm:pt modelId="{1E30603B-6853-41B2-96C3-3C35775CAA84}" type="sibTrans" cxnId="{D8AAA4B3-6255-4F1D-A2E8-71DDB99C03C1}">
      <dgm:prSet/>
      <dgm:spPr/>
      <dgm:t>
        <a:bodyPr/>
        <a:lstStyle/>
        <a:p>
          <a:pPr algn="ctr"/>
          <a:endParaRPr lang="fr-FR"/>
        </a:p>
      </dgm:t>
    </dgm:pt>
    <dgm:pt modelId="{5BFFD004-FE0C-469D-B582-48C7CA8FF96E}" type="parTrans" cxnId="{D8AAA4B3-6255-4F1D-A2E8-71DDB99C03C1}">
      <dgm:prSet/>
      <dgm:spPr/>
      <dgm:t>
        <a:bodyPr/>
        <a:lstStyle/>
        <a:p>
          <a:pPr algn="ctr"/>
          <a:endParaRPr lang="fr-FR"/>
        </a:p>
      </dgm:t>
    </dgm:pt>
    <dgm:pt modelId="{F02D01F8-AFA5-4C4D-878D-166ADB2CFFAA}">
      <dgm:prSet phldrT="[Texte]" custT="1"/>
      <dgm:spPr>
        <a:noFill/>
        <a:ln>
          <a:noFill/>
        </a:ln>
      </dgm:spPr>
      <dgm:t>
        <a:bodyPr/>
        <a:lstStyle/>
        <a:p>
          <a:pPr algn="ctr"/>
          <a:r>
            <a:rPr lang="ar-DZ" sz="1200">
              <a:latin typeface="Simplified Arabic" panose="02020603050405020304" pitchFamily="18" charset="-78"/>
              <a:cs typeface="Simplified Arabic" panose="02020603050405020304" pitchFamily="18" charset="-78"/>
            </a:rPr>
            <a:t>الهدف</a:t>
          </a:r>
          <a:endParaRPr lang="fr-FR" sz="2400">
            <a:latin typeface="Simplified Arabic" panose="02020603050405020304" pitchFamily="18" charset="-78"/>
            <a:cs typeface="Simplified Arabic" panose="02020603050405020304" pitchFamily="18" charset="-78"/>
          </a:endParaRPr>
        </a:p>
      </dgm:t>
    </dgm:pt>
    <dgm:pt modelId="{B6E22D58-4ABC-4F52-9EBC-E07A02AF45AE}" type="sibTrans" cxnId="{D48F8746-5BF2-4323-8BC0-EEC9821D94A3}">
      <dgm:prSet/>
      <dgm:spPr/>
      <dgm:t>
        <a:bodyPr/>
        <a:lstStyle/>
        <a:p>
          <a:pPr algn="ctr"/>
          <a:endParaRPr lang="fr-FR"/>
        </a:p>
      </dgm:t>
    </dgm:pt>
    <dgm:pt modelId="{BF33D1ED-26DD-49E7-8D36-F7929ADCFB92}" type="parTrans" cxnId="{D48F8746-5BF2-4323-8BC0-EEC9821D94A3}">
      <dgm:prSet/>
      <dgm:spPr/>
      <dgm:t>
        <a:bodyPr/>
        <a:lstStyle/>
        <a:p>
          <a:pPr algn="ctr"/>
          <a:endParaRPr lang="fr-FR"/>
        </a:p>
      </dgm:t>
    </dgm:pt>
    <dgm:pt modelId="{45D89239-DA44-4796-BE49-4CBBC39759AB}">
      <dgm:prSet custT="1">
        <dgm:style>
          <a:lnRef idx="1">
            <a:schemeClr val="accent1"/>
          </a:lnRef>
          <a:fillRef idx="2">
            <a:schemeClr val="accent1"/>
          </a:fillRef>
          <a:effectRef idx="1">
            <a:schemeClr val="accent1"/>
          </a:effectRef>
          <a:fontRef idx="minor">
            <a:schemeClr val="dk1"/>
          </a:fontRef>
        </dgm:style>
      </dgm:prSet>
      <dgm:spPr>
        <a:solidFill>
          <a:schemeClr val="bg1">
            <a:lumMod val="85000"/>
          </a:schemeClr>
        </a:solidFill>
        <a:ln>
          <a:solidFill>
            <a:schemeClr val="bg1">
              <a:lumMod val="85000"/>
            </a:schemeClr>
          </a:solidFill>
        </a:ln>
      </dgm:spPr>
      <dgm:t>
        <a:bodyPr/>
        <a:lstStyle/>
        <a:p>
          <a:pPr algn="ctr" rtl="1"/>
          <a:r>
            <a:rPr lang="ar-DZ" sz="1200">
              <a:solidFill>
                <a:schemeClr val="tx1"/>
              </a:solidFill>
              <a:latin typeface="Simplified Arabic" panose="02020603050405020304" pitchFamily="18" charset="-78"/>
              <a:cs typeface="Simplified Arabic" panose="02020603050405020304" pitchFamily="18" charset="-78"/>
            </a:rPr>
            <a:t>معيار (2)</a:t>
          </a:r>
          <a:endParaRPr lang="fr-FR" sz="1200"/>
        </a:p>
      </dgm:t>
    </dgm:pt>
    <dgm:pt modelId="{417FF3CF-B1CD-4EE3-B0D0-65CC097E3EA7}" type="parTrans" cxnId="{FED1B598-31D9-4FA4-85B8-828576F3AE1A}">
      <dgm:prSet>
        <dgm:style>
          <a:lnRef idx="1">
            <a:schemeClr val="dk1"/>
          </a:lnRef>
          <a:fillRef idx="0">
            <a:schemeClr val="dk1"/>
          </a:fillRef>
          <a:effectRef idx="0">
            <a:schemeClr val="dk1"/>
          </a:effectRef>
          <a:fontRef idx="minor">
            <a:schemeClr val="tx1"/>
          </a:fontRef>
        </dgm:style>
      </dgm:prSet>
      <dgm:spPr>
        <a:ln w="12700"/>
      </dgm:spPr>
      <dgm:t>
        <a:bodyPr/>
        <a:lstStyle/>
        <a:p>
          <a:pPr algn="ctr"/>
          <a:endParaRPr lang="fr-FR"/>
        </a:p>
      </dgm:t>
    </dgm:pt>
    <dgm:pt modelId="{5C4EA65C-5FF9-48E7-A5CE-CD04DA0749EA}" type="sibTrans" cxnId="{FED1B598-31D9-4FA4-85B8-828576F3AE1A}">
      <dgm:prSet/>
      <dgm:spPr/>
      <dgm:t>
        <a:bodyPr/>
        <a:lstStyle/>
        <a:p>
          <a:pPr algn="ctr"/>
          <a:endParaRPr lang="fr-FR"/>
        </a:p>
      </dgm:t>
    </dgm:pt>
    <dgm:pt modelId="{A70E79DB-544A-45FA-A497-34981DA79C3C}">
      <dgm:prSet>
        <dgm:style>
          <a:lnRef idx="1">
            <a:schemeClr val="accent1"/>
          </a:lnRef>
          <a:fillRef idx="2">
            <a:schemeClr val="accent1"/>
          </a:fillRef>
          <a:effectRef idx="1">
            <a:schemeClr val="accent1"/>
          </a:effectRef>
          <a:fontRef idx="minor">
            <a:schemeClr val="dk1"/>
          </a:fontRef>
        </dgm:style>
      </dgm:prSet>
      <dgm:spPr>
        <a:ln/>
      </dgm:spPr>
      <dgm:t>
        <a:bodyPr/>
        <a:lstStyle/>
        <a:p>
          <a:pPr algn="ctr"/>
          <a:endParaRPr lang="fr-FR"/>
        </a:p>
      </dgm:t>
    </dgm:pt>
    <dgm:pt modelId="{0A9BBA33-60DF-40C5-B9DE-2EE64BA56445}" type="parTrans" cxnId="{7832E87C-8DA6-4294-8130-7C42B7D973F3}">
      <dgm:prSet/>
      <dgm:spPr>
        <a:ln w="6350">
          <a:solidFill>
            <a:schemeClr val="tx1"/>
          </a:solidFill>
        </a:ln>
      </dgm:spPr>
      <dgm:t>
        <a:bodyPr/>
        <a:lstStyle/>
        <a:p>
          <a:pPr algn="ctr"/>
          <a:endParaRPr lang="fr-FR"/>
        </a:p>
      </dgm:t>
    </dgm:pt>
    <dgm:pt modelId="{12B72C0F-F126-47B0-8245-2B193A5A6A38}" type="sibTrans" cxnId="{7832E87C-8DA6-4294-8130-7C42B7D973F3}">
      <dgm:prSet/>
      <dgm:spPr/>
      <dgm:t>
        <a:bodyPr/>
        <a:lstStyle/>
        <a:p>
          <a:pPr algn="ctr"/>
          <a:endParaRPr lang="fr-FR"/>
        </a:p>
      </dgm:t>
    </dgm:pt>
    <dgm:pt modelId="{2CA45E24-A033-4A6E-BF6C-E45BD9074CA3}">
      <dgm:prSet>
        <dgm:style>
          <a:lnRef idx="1">
            <a:schemeClr val="accent1"/>
          </a:lnRef>
          <a:fillRef idx="2">
            <a:schemeClr val="accent1"/>
          </a:fillRef>
          <a:effectRef idx="1">
            <a:schemeClr val="accent1"/>
          </a:effectRef>
          <a:fontRef idx="minor">
            <a:schemeClr val="dk1"/>
          </a:fontRef>
        </dgm:style>
      </dgm:prSet>
      <dgm:spPr>
        <a:ln/>
      </dgm:spPr>
      <dgm:t>
        <a:bodyPr/>
        <a:lstStyle/>
        <a:p>
          <a:pPr algn="ctr"/>
          <a:endParaRPr lang="fr-FR"/>
        </a:p>
      </dgm:t>
    </dgm:pt>
    <dgm:pt modelId="{EFB35893-29B3-4D9B-8252-68FE62913170}" type="parTrans" cxnId="{C04F5874-C314-418A-A254-BCCA7DB6070E}">
      <dgm:prSet/>
      <dgm:spPr>
        <a:ln w="6350">
          <a:solidFill>
            <a:schemeClr val="tx1"/>
          </a:solidFill>
        </a:ln>
      </dgm:spPr>
      <dgm:t>
        <a:bodyPr/>
        <a:lstStyle/>
        <a:p>
          <a:pPr algn="ctr"/>
          <a:endParaRPr lang="fr-FR"/>
        </a:p>
      </dgm:t>
    </dgm:pt>
    <dgm:pt modelId="{C88CFE61-BD25-45B5-81CC-8ADA5DC35C56}" type="sibTrans" cxnId="{C04F5874-C314-418A-A254-BCCA7DB6070E}">
      <dgm:prSet/>
      <dgm:spPr/>
      <dgm:t>
        <a:bodyPr/>
        <a:lstStyle/>
        <a:p>
          <a:pPr algn="ctr"/>
          <a:endParaRPr lang="fr-FR"/>
        </a:p>
      </dgm:t>
    </dgm:pt>
    <dgm:pt modelId="{F510AE10-B295-4244-97E0-2F6C366B0BD5}">
      <dgm:prSet>
        <dgm:style>
          <a:lnRef idx="1">
            <a:schemeClr val="accent1"/>
          </a:lnRef>
          <a:fillRef idx="2">
            <a:schemeClr val="accent1"/>
          </a:fillRef>
          <a:effectRef idx="1">
            <a:schemeClr val="accent1"/>
          </a:effectRef>
          <a:fontRef idx="minor">
            <a:schemeClr val="dk1"/>
          </a:fontRef>
        </dgm:style>
      </dgm:prSet>
      <dgm:spPr>
        <a:ln/>
      </dgm:spPr>
      <dgm:t>
        <a:bodyPr/>
        <a:lstStyle/>
        <a:p>
          <a:pPr algn="ctr"/>
          <a:endParaRPr lang="fr-FR"/>
        </a:p>
      </dgm:t>
    </dgm:pt>
    <dgm:pt modelId="{C4D01BD0-A280-4136-B3B3-5DFAA5A9C074}" type="parTrans" cxnId="{10510F9B-E712-42F7-8BE6-B98835C64FAB}">
      <dgm:prSet/>
      <dgm:spPr>
        <a:ln w="6350">
          <a:solidFill>
            <a:schemeClr val="tx1"/>
          </a:solidFill>
        </a:ln>
      </dgm:spPr>
      <dgm:t>
        <a:bodyPr/>
        <a:lstStyle/>
        <a:p>
          <a:pPr algn="ctr"/>
          <a:endParaRPr lang="fr-FR"/>
        </a:p>
      </dgm:t>
    </dgm:pt>
    <dgm:pt modelId="{56276C32-B375-46EB-AC92-FB1B73434804}" type="sibTrans" cxnId="{10510F9B-E712-42F7-8BE6-B98835C64FAB}">
      <dgm:prSet/>
      <dgm:spPr/>
      <dgm:t>
        <a:bodyPr/>
        <a:lstStyle/>
        <a:p>
          <a:pPr algn="ctr"/>
          <a:endParaRPr lang="fr-FR"/>
        </a:p>
      </dgm:t>
    </dgm:pt>
    <dgm:pt modelId="{2597B54F-C1B2-41A4-96F5-84AA303445C2}">
      <dgm:prSet>
        <dgm:style>
          <a:lnRef idx="1">
            <a:schemeClr val="accent1"/>
          </a:lnRef>
          <a:fillRef idx="2">
            <a:schemeClr val="accent1"/>
          </a:fillRef>
          <a:effectRef idx="1">
            <a:schemeClr val="accent1"/>
          </a:effectRef>
          <a:fontRef idx="minor">
            <a:schemeClr val="dk1"/>
          </a:fontRef>
        </dgm:style>
      </dgm:prSet>
      <dgm:spPr>
        <a:ln/>
      </dgm:spPr>
      <dgm:t>
        <a:bodyPr/>
        <a:lstStyle/>
        <a:p>
          <a:pPr algn="ctr"/>
          <a:endParaRPr lang="fr-FR"/>
        </a:p>
      </dgm:t>
    </dgm:pt>
    <dgm:pt modelId="{8CE5852C-B4D8-4ADA-8217-A31FDD2AAF0E}" type="parTrans" cxnId="{660234E5-A148-4120-A586-85AD83148CBC}">
      <dgm:prSet>
        <dgm:style>
          <a:lnRef idx="2">
            <a:schemeClr val="dk1"/>
          </a:lnRef>
          <a:fillRef idx="1">
            <a:schemeClr val="lt1"/>
          </a:fillRef>
          <a:effectRef idx="0">
            <a:schemeClr val="dk1"/>
          </a:effectRef>
          <a:fontRef idx="minor">
            <a:schemeClr val="dk1"/>
          </a:fontRef>
        </dgm:style>
      </dgm:prSet>
      <dgm:spPr>
        <a:ln w="6350"/>
      </dgm:spPr>
      <dgm:t>
        <a:bodyPr/>
        <a:lstStyle/>
        <a:p>
          <a:pPr algn="ctr"/>
          <a:endParaRPr lang="fr-FR"/>
        </a:p>
      </dgm:t>
    </dgm:pt>
    <dgm:pt modelId="{5CA2AD23-C0D9-44D6-95F0-CA5F6416F836}" type="sibTrans" cxnId="{660234E5-A148-4120-A586-85AD83148CBC}">
      <dgm:prSet/>
      <dgm:spPr/>
      <dgm:t>
        <a:bodyPr/>
        <a:lstStyle/>
        <a:p>
          <a:pPr algn="ctr"/>
          <a:endParaRPr lang="fr-FR"/>
        </a:p>
      </dgm:t>
    </dgm:pt>
    <dgm:pt modelId="{B6B014CB-1D66-4ADD-8536-0DEEFEF2F195}">
      <dgm:prSet>
        <dgm:style>
          <a:lnRef idx="1">
            <a:schemeClr val="accent1"/>
          </a:lnRef>
          <a:fillRef idx="2">
            <a:schemeClr val="accent1"/>
          </a:fillRef>
          <a:effectRef idx="1">
            <a:schemeClr val="accent1"/>
          </a:effectRef>
          <a:fontRef idx="minor">
            <a:schemeClr val="dk1"/>
          </a:fontRef>
        </dgm:style>
      </dgm:prSet>
      <dgm:spPr>
        <a:ln/>
      </dgm:spPr>
      <dgm:t>
        <a:bodyPr/>
        <a:lstStyle/>
        <a:p>
          <a:pPr algn="ctr"/>
          <a:endParaRPr lang="fr-FR"/>
        </a:p>
      </dgm:t>
    </dgm:pt>
    <dgm:pt modelId="{7E68D892-0F07-49F7-A23D-7092C1BAE2C2}" type="parTrans" cxnId="{8BE2E3D8-7A36-46AE-9BB6-C8E6D6909B9D}">
      <dgm:prSet>
        <dgm:style>
          <a:lnRef idx="2">
            <a:schemeClr val="dk1"/>
          </a:lnRef>
          <a:fillRef idx="1">
            <a:schemeClr val="lt1"/>
          </a:fillRef>
          <a:effectRef idx="0">
            <a:schemeClr val="dk1"/>
          </a:effectRef>
          <a:fontRef idx="minor">
            <a:schemeClr val="dk1"/>
          </a:fontRef>
        </dgm:style>
      </dgm:prSet>
      <dgm:spPr>
        <a:ln w="6350"/>
      </dgm:spPr>
      <dgm:t>
        <a:bodyPr/>
        <a:lstStyle/>
        <a:p>
          <a:pPr algn="ctr"/>
          <a:endParaRPr lang="fr-FR"/>
        </a:p>
      </dgm:t>
    </dgm:pt>
    <dgm:pt modelId="{E5872F4D-6ADB-4614-9A5E-9EE2394DB622}" type="sibTrans" cxnId="{8BE2E3D8-7A36-46AE-9BB6-C8E6D6909B9D}">
      <dgm:prSet/>
      <dgm:spPr/>
      <dgm:t>
        <a:bodyPr/>
        <a:lstStyle/>
        <a:p>
          <a:pPr algn="ctr"/>
          <a:endParaRPr lang="fr-FR"/>
        </a:p>
      </dgm:t>
    </dgm:pt>
    <dgm:pt modelId="{4C277AA1-F7E5-48CD-AB6C-86069F0CC59D}">
      <dgm:prSet>
        <dgm:style>
          <a:lnRef idx="1">
            <a:schemeClr val="accent1"/>
          </a:lnRef>
          <a:fillRef idx="2">
            <a:schemeClr val="accent1"/>
          </a:fillRef>
          <a:effectRef idx="1">
            <a:schemeClr val="accent1"/>
          </a:effectRef>
          <a:fontRef idx="minor">
            <a:schemeClr val="dk1"/>
          </a:fontRef>
        </dgm:style>
      </dgm:prSet>
      <dgm:spPr>
        <a:ln/>
      </dgm:spPr>
      <dgm:t>
        <a:bodyPr/>
        <a:lstStyle/>
        <a:p>
          <a:pPr algn="ctr"/>
          <a:endParaRPr lang="fr-FR"/>
        </a:p>
      </dgm:t>
    </dgm:pt>
    <dgm:pt modelId="{769F9052-2F52-42A5-8169-A55101622A32}" type="parTrans" cxnId="{614E030D-9741-4EC7-9F99-81A83BAB949B}">
      <dgm:prSet>
        <dgm:style>
          <a:lnRef idx="2">
            <a:schemeClr val="dk1"/>
          </a:lnRef>
          <a:fillRef idx="1">
            <a:schemeClr val="lt1"/>
          </a:fillRef>
          <a:effectRef idx="0">
            <a:schemeClr val="dk1"/>
          </a:effectRef>
          <a:fontRef idx="minor">
            <a:schemeClr val="dk1"/>
          </a:fontRef>
        </dgm:style>
      </dgm:prSet>
      <dgm:spPr>
        <a:ln w="6350"/>
      </dgm:spPr>
      <dgm:t>
        <a:bodyPr/>
        <a:lstStyle/>
        <a:p>
          <a:pPr algn="ctr"/>
          <a:endParaRPr lang="fr-FR"/>
        </a:p>
      </dgm:t>
    </dgm:pt>
    <dgm:pt modelId="{0929725A-87EE-4DF7-88B4-E16588F81DDF}" type="sibTrans" cxnId="{614E030D-9741-4EC7-9F99-81A83BAB949B}">
      <dgm:prSet/>
      <dgm:spPr/>
      <dgm:t>
        <a:bodyPr/>
        <a:lstStyle/>
        <a:p>
          <a:pPr algn="ctr"/>
          <a:endParaRPr lang="fr-FR"/>
        </a:p>
      </dgm:t>
    </dgm:pt>
    <dgm:pt modelId="{DC146E56-8B8E-4879-9D56-FEC3D14EE104}">
      <dgm:prSet>
        <dgm:style>
          <a:lnRef idx="1">
            <a:schemeClr val="accent1"/>
          </a:lnRef>
          <a:fillRef idx="2">
            <a:schemeClr val="accent1"/>
          </a:fillRef>
          <a:effectRef idx="1">
            <a:schemeClr val="accent1"/>
          </a:effectRef>
          <a:fontRef idx="minor">
            <a:schemeClr val="dk1"/>
          </a:fontRef>
        </dgm:style>
      </dgm:prSet>
      <dgm:spPr>
        <a:ln/>
      </dgm:spPr>
      <dgm:t>
        <a:bodyPr/>
        <a:lstStyle/>
        <a:p>
          <a:pPr algn="ctr"/>
          <a:endParaRPr lang="fr-FR"/>
        </a:p>
      </dgm:t>
    </dgm:pt>
    <dgm:pt modelId="{69CD8A7E-D5BF-43C8-8983-E4E5900A0D10}" type="parTrans" cxnId="{2BDC6B0F-23F3-49DB-A16C-A978B47CEC91}">
      <dgm:prSet/>
      <dgm:spPr>
        <a:ln w="6350">
          <a:solidFill>
            <a:schemeClr val="tx1"/>
          </a:solidFill>
        </a:ln>
      </dgm:spPr>
      <dgm:t>
        <a:bodyPr/>
        <a:lstStyle/>
        <a:p>
          <a:pPr algn="ctr"/>
          <a:endParaRPr lang="fr-FR"/>
        </a:p>
      </dgm:t>
    </dgm:pt>
    <dgm:pt modelId="{28416989-EBF3-45F8-BA54-DC99A820D7F8}" type="sibTrans" cxnId="{2BDC6B0F-23F3-49DB-A16C-A978B47CEC91}">
      <dgm:prSet/>
      <dgm:spPr/>
      <dgm:t>
        <a:bodyPr/>
        <a:lstStyle/>
        <a:p>
          <a:pPr algn="ctr"/>
          <a:endParaRPr lang="fr-FR"/>
        </a:p>
      </dgm:t>
    </dgm:pt>
    <dgm:pt modelId="{DFED38FC-A2EF-4383-BC8A-64F768BBA1CC}">
      <dgm:prSet>
        <dgm:style>
          <a:lnRef idx="1">
            <a:schemeClr val="accent1"/>
          </a:lnRef>
          <a:fillRef idx="2">
            <a:schemeClr val="accent1"/>
          </a:fillRef>
          <a:effectRef idx="1">
            <a:schemeClr val="accent1"/>
          </a:effectRef>
          <a:fontRef idx="minor">
            <a:schemeClr val="dk1"/>
          </a:fontRef>
        </dgm:style>
      </dgm:prSet>
      <dgm:spPr>
        <a:ln/>
      </dgm:spPr>
      <dgm:t>
        <a:bodyPr/>
        <a:lstStyle/>
        <a:p>
          <a:endParaRPr lang="fr-FR"/>
        </a:p>
      </dgm:t>
    </dgm:pt>
    <dgm:pt modelId="{FD1ECDE5-79F2-4F7A-B31C-7FE0FE7D3902}" type="parTrans" cxnId="{E7575217-5947-456F-AE58-99B08456E007}">
      <dgm:prSet/>
      <dgm:spPr>
        <a:ln w="6350">
          <a:solidFill>
            <a:schemeClr val="tx1"/>
          </a:solidFill>
        </a:ln>
      </dgm:spPr>
      <dgm:t>
        <a:bodyPr/>
        <a:lstStyle/>
        <a:p>
          <a:endParaRPr lang="fr-FR"/>
        </a:p>
      </dgm:t>
    </dgm:pt>
    <dgm:pt modelId="{1A91B089-CDC6-4BE9-8856-90C49DBFA1C1}" type="sibTrans" cxnId="{E7575217-5947-456F-AE58-99B08456E007}">
      <dgm:prSet/>
      <dgm:spPr/>
      <dgm:t>
        <a:bodyPr/>
        <a:lstStyle/>
        <a:p>
          <a:endParaRPr lang="fr-FR"/>
        </a:p>
      </dgm:t>
    </dgm:pt>
    <dgm:pt modelId="{3CEE7AF4-EC34-4E4C-9519-58713DC96FAE}">
      <dgm:prSet>
        <dgm:style>
          <a:lnRef idx="1">
            <a:schemeClr val="accent1"/>
          </a:lnRef>
          <a:fillRef idx="2">
            <a:schemeClr val="accent1"/>
          </a:fillRef>
          <a:effectRef idx="1">
            <a:schemeClr val="accent1"/>
          </a:effectRef>
          <a:fontRef idx="minor">
            <a:schemeClr val="dk1"/>
          </a:fontRef>
        </dgm:style>
      </dgm:prSet>
      <dgm:spPr>
        <a:ln/>
      </dgm:spPr>
      <dgm:t>
        <a:bodyPr/>
        <a:lstStyle/>
        <a:p>
          <a:endParaRPr lang="fr-FR"/>
        </a:p>
      </dgm:t>
    </dgm:pt>
    <dgm:pt modelId="{0E13C9E5-9373-4F4C-99F7-36C50139D9E3}" type="parTrans" cxnId="{B46EF7DF-0B0A-448A-98FC-BAF3FBA3E120}">
      <dgm:prSet/>
      <dgm:spPr>
        <a:ln w="6350">
          <a:solidFill>
            <a:schemeClr val="tx1"/>
          </a:solidFill>
        </a:ln>
      </dgm:spPr>
      <dgm:t>
        <a:bodyPr/>
        <a:lstStyle/>
        <a:p>
          <a:endParaRPr lang="fr-FR"/>
        </a:p>
      </dgm:t>
    </dgm:pt>
    <dgm:pt modelId="{EF3DBF69-EAED-459B-9E3B-21F4D25C94ED}" type="sibTrans" cxnId="{B46EF7DF-0B0A-448A-98FC-BAF3FBA3E120}">
      <dgm:prSet/>
      <dgm:spPr/>
      <dgm:t>
        <a:bodyPr/>
        <a:lstStyle/>
        <a:p>
          <a:endParaRPr lang="fr-FR"/>
        </a:p>
      </dgm:t>
    </dgm:pt>
    <dgm:pt modelId="{886B8333-BFF3-4DE7-83B1-37F295B09F93}" type="pres">
      <dgm:prSet presAssocID="{2A673452-15A1-447D-82D7-4079AF0D5563}" presName="mainComposite" presStyleCnt="0">
        <dgm:presLayoutVars>
          <dgm:chPref val="1"/>
          <dgm:dir val="rev"/>
          <dgm:animOne val="branch"/>
          <dgm:animLvl val="lvl"/>
          <dgm:resizeHandles val="exact"/>
        </dgm:presLayoutVars>
      </dgm:prSet>
      <dgm:spPr/>
      <dgm:t>
        <a:bodyPr/>
        <a:lstStyle/>
        <a:p>
          <a:endParaRPr lang="fr-FR"/>
        </a:p>
      </dgm:t>
    </dgm:pt>
    <dgm:pt modelId="{B04D05EA-7CC1-43CE-ABE6-247CAFE6E359}" type="pres">
      <dgm:prSet presAssocID="{2A673452-15A1-447D-82D7-4079AF0D5563}" presName="hierFlow" presStyleCnt="0"/>
      <dgm:spPr/>
    </dgm:pt>
    <dgm:pt modelId="{6C17DB8B-E127-4D0E-A747-06E48246E221}" type="pres">
      <dgm:prSet presAssocID="{2A673452-15A1-447D-82D7-4079AF0D5563}" presName="firstBuf" presStyleCnt="0"/>
      <dgm:spPr/>
    </dgm:pt>
    <dgm:pt modelId="{6432A491-75F9-4DBE-821C-494B253FAFD6}" type="pres">
      <dgm:prSet presAssocID="{2A673452-15A1-447D-82D7-4079AF0D5563}" presName="hierChild1" presStyleCnt="0">
        <dgm:presLayoutVars>
          <dgm:chPref val="1"/>
          <dgm:animOne val="branch"/>
          <dgm:animLvl val="lvl"/>
        </dgm:presLayoutVars>
      </dgm:prSet>
      <dgm:spPr/>
    </dgm:pt>
    <dgm:pt modelId="{A7842817-0FED-4034-AFD3-F6CE1994AE35}" type="pres">
      <dgm:prSet presAssocID="{E3D8B292-05F5-44FB-918D-296AC0F73CFC}" presName="Name14" presStyleCnt="0"/>
      <dgm:spPr/>
    </dgm:pt>
    <dgm:pt modelId="{7C848DF1-9AE2-4E25-B983-0926523D6D91}" type="pres">
      <dgm:prSet presAssocID="{E3D8B292-05F5-44FB-918D-296AC0F73CFC}" presName="level1Shape" presStyleLbl="node0" presStyleIdx="0" presStyleCnt="1" custScaleX="211633" custScaleY="147695" custLinFactNeighborX="0" custLinFactNeighborY="-37285">
        <dgm:presLayoutVars>
          <dgm:chPref val="3"/>
        </dgm:presLayoutVars>
      </dgm:prSet>
      <dgm:spPr/>
      <dgm:t>
        <a:bodyPr/>
        <a:lstStyle/>
        <a:p>
          <a:endParaRPr lang="fr-FR"/>
        </a:p>
      </dgm:t>
    </dgm:pt>
    <dgm:pt modelId="{13292FA9-9D26-4A00-B701-7BE187C5A252}" type="pres">
      <dgm:prSet presAssocID="{E3D8B292-05F5-44FB-918D-296AC0F73CFC}" presName="hierChild2" presStyleCnt="0"/>
      <dgm:spPr/>
    </dgm:pt>
    <dgm:pt modelId="{A35E1BAF-0A2A-4291-917A-223E27A83BE4}" type="pres">
      <dgm:prSet presAssocID="{BB945000-2EED-4A03-8433-C751EF69A80B}" presName="Name19" presStyleLbl="parChTrans1D2" presStyleIdx="0" presStyleCnt="3"/>
      <dgm:spPr/>
      <dgm:t>
        <a:bodyPr/>
        <a:lstStyle/>
        <a:p>
          <a:endParaRPr lang="fr-FR"/>
        </a:p>
      </dgm:t>
    </dgm:pt>
    <dgm:pt modelId="{236BB3BF-C678-4790-A452-F5CE31893C8A}" type="pres">
      <dgm:prSet presAssocID="{1028AEB9-2ED6-4934-B57E-1F812C9A7B6C}" presName="Name21" presStyleCnt="0"/>
      <dgm:spPr/>
    </dgm:pt>
    <dgm:pt modelId="{D5A28022-61E1-433F-8FB1-6EE5D0C605C6}" type="pres">
      <dgm:prSet presAssocID="{1028AEB9-2ED6-4934-B57E-1F812C9A7B6C}" presName="level2Shape" presStyleLbl="node2" presStyleIdx="0" presStyleCnt="3" custScaleX="225864" custScaleY="166396" custLinFactNeighborX="-4999" custLinFactNeighborY="-1250"/>
      <dgm:spPr/>
      <dgm:t>
        <a:bodyPr/>
        <a:lstStyle/>
        <a:p>
          <a:endParaRPr lang="fr-FR"/>
        </a:p>
      </dgm:t>
    </dgm:pt>
    <dgm:pt modelId="{2A8F324F-AD16-4295-BB18-9BB5863EEE2D}" type="pres">
      <dgm:prSet presAssocID="{1028AEB9-2ED6-4934-B57E-1F812C9A7B6C}" presName="hierChild3" presStyleCnt="0"/>
      <dgm:spPr/>
    </dgm:pt>
    <dgm:pt modelId="{E2489A2D-10D1-4B1A-9022-8C4AAFC94AD9}" type="pres">
      <dgm:prSet presAssocID="{0A9BBA33-60DF-40C5-B9DE-2EE64BA56445}" presName="Name19" presStyleLbl="parChTrans1D3" presStyleIdx="0" presStyleCnt="9"/>
      <dgm:spPr/>
      <dgm:t>
        <a:bodyPr/>
        <a:lstStyle/>
        <a:p>
          <a:endParaRPr lang="fr-FR"/>
        </a:p>
      </dgm:t>
    </dgm:pt>
    <dgm:pt modelId="{E22ABF49-FC09-4BC3-88D8-3468BCAA6BB8}" type="pres">
      <dgm:prSet presAssocID="{A70E79DB-544A-45FA-A497-34981DA79C3C}" presName="Name21" presStyleCnt="0"/>
      <dgm:spPr/>
    </dgm:pt>
    <dgm:pt modelId="{63358567-AB0C-401C-85D7-9117F8AE3FB0}" type="pres">
      <dgm:prSet presAssocID="{A70E79DB-544A-45FA-A497-34981DA79C3C}" presName="level2Shape" presStyleLbl="node3" presStyleIdx="0" presStyleCnt="9" custLinFactNeighborX="-5790" custLinFactNeighborY="37635"/>
      <dgm:spPr/>
      <dgm:t>
        <a:bodyPr/>
        <a:lstStyle/>
        <a:p>
          <a:endParaRPr lang="fr-FR"/>
        </a:p>
      </dgm:t>
    </dgm:pt>
    <dgm:pt modelId="{5C2AC97D-434A-4328-92FD-58AD5FBDF1CD}" type="pres">
      <dgm:prSet presAssocID="{A70E79DB-544A-45FA-A497-34981DA79C3C}" presName="hierChild3" presStyleCnt="0"/>
      <dgm:spPr/>
    </dgm:pt>
    <dgm:pt modelId="{18F9BE8E-6BF1-4BFB-8A4D-99B6283065E4}" type="pres">
      <dgm:prSet presAssocID="{FD1ECDE5-79F2-4F7A-B31C-7FE0FE7D3902}" presName="Name19" presStyleLbl="parChTrans1D3" presStyleIdx="1" presStyleCnt="9"/>
      <dgm:spPr/>
      <dgm:t>
        <a:bodyPr/>
        <a:lstStyle/>
        <a:p>
          <a:endParaRPr lang="fr-FR"/>
        </a:p>
      </dgm:t>
    </dgm:pt>
    <dgm:pt modelId="{A4B27FF0-039D-42F1-A0AD-5A4252478036}" type="pres">
      <dgm:prSet presAssocID="{DFED38FC-A2EF-4383-BC8A-64F768BBA1CC}" presName="Name21" presStyleCnt="0"/>
      <dgm:spPr/>
    </dgm:pt>
    <dgm:pt modelId="{D6696896-7E5A-4493-8D76-3615641C3ED2}" type="pres">
      <dgm:prSet presAssocID="{DFED38FC-A2EF-4383-BC8A-64F768BBA1CC}" presName="level2Shape" presStyleLbl="node3" presStyleIdx="1" presStyleCnt="9" custLinFactNeighborX="-4812" custLinFactNeighborY="39699"/>
      <dgm:spPr/>
      <dgm:t>
        <a:bodyPr/>
        <a:lstStyle/>
        <a:p>
          <a:endParaRPr lang="fr-FR"/>
        </a:p>
      </dgm:t>
    </dgm:pt>
    <dgm:pt modelId="{CE6FB79D-FEC4-44A3-BFB8-3C2DB1905B79}" type="pres">
      <dgm:prSet presAssocID="{DFED38FC-A2EF-4383-BC8A-64F768BBA1CC}" presName="hierChild3" presStyleCnt="0"/>
      <dgm:spPr/>
    </dgm:pt>
    <dgm:pt modelId="{3E640F95-9DC4-449C-BE84-196F41BFDAD5}" type="pres">
      <dgm:prSet presAssocID="{0E13C9E5-9373-4F4C-99F7-36C50139D9E3}" presName="Name19" presStyleLbl="parChTrans1D3" presStyleIdx="2" presStyleCnt="9"/>
      <dgm:spPr/>
      <dgm:t>
        <a:bodyPr/>
        <a:lstStyle/>
        <a:p>
          <a:endParaRPr lang="fr-FR"/>
        </a:p>
      </dgm:t>
    </dgm:pt>
    <dgm:pt modelId="{08E9FF42-8B1C-4F2C-B036-0838C6703DDF}" type="pres">
      <dgm:prSet presAssocID="{3CEE7AF4-EC34-4E4C-9519-58713DC96FAE}" presName="Name21" presStyleCnt="0"/>
      <dgm:spPr/>
    </dgm:pt>
    <dgm:pt modelId="{4F58919A-3CE6-495B-A83E-B0508C168C17}" type="pres">
      <dgm:prSet presAssocID="{3CEE7AF4-EC34-4E4C-9519-58713DC96FAE}" presName="level2Shape" presStyleLbl="node3" presStyleIdx="2" presStyleCnt="9" custLinFactNeighborY="36090"/>
      <dgm:spPr/>
      <dgm:t>
        <a:bodyPr/>
        <a:lstStyle/>
        <a:p>
          <a:endParaRPr lang="fr-FR"/>
        </a:p>
      </dgm:t>
    </dgm:pt>
    <dgm:pt modelId="{BAB5E934-1CB6-4FAD-BF53-7EA0C4FFEB03}" type="pres">
      <dgm:prSet presAssocID="{3CEE7AF4-EC34-4E4C-9519-58713DC96FAE}" presName="hierChild3" presStyleCnt="0"/>
      <dgm:spPr/>
    </dgm:pt>
    <dgm:pt modelId="{C99CCCA8-C584-4006-919F-2775C0FDB68F}" type="pres">
      <dgm:prSet presAssocID="{417FF3CF-B1CD-4EE3-B0D0-65CC097E3EA7}" presName="Name19" presStyleLbl="parChTrans1D2" presStyleIdx="1" presStyleCnt="3"/>
      <dgm:spPr/>
      <dgm:t>
        <a:bodyPr/>
        <a:lstStyle/>
        <a:p>
          <a:endParaRPr lang="fr-FR"/>
        </a:p>
      </dgm:t>
    </dgm:pt>
    <dgm:pt modelId="{378D3DC6-ABA0-4BBD-A39E-A6FC116CBEA0}" type="pres">
      <dgm:prSet presAssocID="{45D89239-DA44-4796-BE49-4CBBC39759AB}" presName="Name21" presStyleCnt="0"/>
      <dgm:spPr/>
    </dgm:pt>
    <dgm:pt modelId="{92A8F34B-BB05-43A7-8F80-3DB47EAF20A8}" type="pres">
      <dgm:prSet presAssocID="{45D89239-DA44-4796-BE49-4CBBC39759AB}" presName="level2Shape" presStyleLbl="node2" presStyleIdx="1" presStyleCnt="3" custScaleX="225728" custScaleY="172103" custLinFactNeighborX="4812"/>
      <dgm:spPr/>
      <dgm:t>
        <a:bodyPr/>
        <a:lstStyle/>
        <a:p>
          <a:endParaRPr lang="fr-FR"/>
        </a:p>
      </dgm:t>
    </dgm:pt>
    <dgm:pt modelId="{941256C9-EE06-455D-A784-E7B162830CC5}" type="pres">
      <dgm:prSet presAssocID="{45D89239-DA44-4796-BE49-4CBBC39759AB}" presName="hierChild3" presStyleCnt="0"/>
      <dgm:spPr/>
    </dgm:pt>
    <dgm:pt modelId="{5A0D8665-A3F8-484E-B9B0-9D56D4AA3E0E}" type="pres">
      <dgm:prSet presAssocID="{EFB35893-29B3-4D9B-8252-68FE62913170}" presName="Name19" presStyleLbl="parChTrans1D3" presStyleIdx="3" presStyleCnt="9"/>
      <dgm:spPr/>
      <dgm:t>
        <a:bodyPr/>
        <a:lstStyle/>
        <a:p>
          <a:endParaRPr lang="fr-FR"/>
        </a:p>
      </dgm:t>
    </dgm:pt>
    <dgm:pt modelId="{59515ADB-61E0-45A4-8BDC-328082B51760}" type="pres">
      <dgm:prSet presAssocID="{2CA45E24-A033-4A6E-BF6C-E45BD9074CA3}" presName="Name21" presStyleCnt="0"/>
      <dgm:spPr/>
    </dgm:pt>
    <dgm:pt modelId="{19BD9073-A2BD-4E71-B8C6-BBF5A340A9D8}" type="pres">
      <dgm:prSet presAssocID="{2CA45E24-A033-4A6E-BF6C-E45BD9074CA3}" presName="level2Shape" presStyleLbl="node3" presStyleIdx="3" presStyleCnt="9" custLinFactNeighborY="30971"/>
      <dgm:spPr/>
      <dgm:t>
        <a:bodyPr/>
        <a:lstStyle/>
        <a:p>
          <a:endParaRPr lang="fr-FR"/>
        </a:p>
      </dgm:t>
    </dgm:pt>
    <dgm:pt modelId="{BB54494B-39FB-436F-B8EC-E985A7ACE909}" type="pres">
      <dgm:prSet presAssocID="{2CA45E24-A033-4A6E-BF6C-E45BD9074CA3}" presName="hierChild3" presStyleCnt="0"/>
      <dgm:spPr/>
    </dgm:pt>
    <dgm:pt modelId="{39B2F692-1BE4-479B-939E-B7C6D6EE6A46}" type="pres">
      <dgm:prSet presAssocID="{769F9052-2F52-42A5-8169-A55101622A32}" presName="Name19" presStyleLbl="parChTrans1D3" presStyleIdx="4" presStyleCnt="9"/>
      <dgm:spPr/>
      <dgm:t>
        <a:bodyPr/>
        <a:lstStyle/>
        <a:p>
          <a:endParaRPr lang="fr-FR"/>
        </a:p>
      </dgm:t>
    </dgm:pt>
    <dgm:pt modelId="{8A28AC76-F1D3-4F1A-B06E-7CF1ACC81072}" type="pres">
      <dgm:prSet presAssocID="{4C277AA1-F7E5-48CD-AB6C-86069F0CC59D}" presName="Name21" presStyleCnt="0"/>
      <dgm:spPr/>
    </dgm:pt>
    <dgm:pt modelId="{AB57768D-E3ED-4AA4-84BE-DFEC6663B236}" type="pres">
      <dgm:prSet presAssocID="{4C277AA1-F7E5-48CD-AB6C-86069F0CC59D}" presName="level2Shape" presStyleLbl="node3" presStyleIdx="4" presStyleCnt="9" custLinFactNeighborX="4812" custLinFactNeighborY="29879"/>
      <dgm:spPr/>
      <dgm:t>
        <a:bodyPr/>
        <a:lstStyle/>
        <a:p>
          <a:endParaRPr lang="fr-FR"/>
        </a:p>
      </dgm:t>
    </dgm:pt>
    <dgm:pt modelId="{3A7A3E11-4884-456C-8264-3C1E7798BCF8}" type="pres">
      <dgm:prSet presAssocID="{4C277AA1-F7E5-48CD-AB6C-86069F0CC59D}" presName="hierChild3" presStyleCnt="0"/>
      <dgm:spPr/>
    </dgm:pt>
    <dgm:pt modelId="{2F27D46E-835F-48A2-93AB-9AE3E4DC1344}" type="pres">
      <dgm:prSet presAssocID="{C4D01BD0-A280-4136-B3B3-5DFAA5A9C074}" presName="Name19" presStyleLbl="parChTrans1D3" presStyleIdx="5" presStyleCnt="9"/>
      <dgm:spPr/>
      <dgm:t>
        <a:bodyPr/>
        <a:lstStyle/>
        <a:p>
          <a:endParaRPr lang="fr-FR"/>
        </a:p>
      </dgm:t>
    </dgm:pt>
    <dgm:pt modelId="{0F23B2E7-C910-4338-A1F4-0E787C0F187B}" type="pres">
      <dgm:prSet presAssocID="{F510AE10-B295-4244-97E0-2F6C366B0BD5}" presName="Name21" presStyleCnt="0"/>
      <dgm:spPr/>
    </dgm:pt>
    <dgm:pt modelId="{87096355-B31D-4DFF-A8D0-ED4E0A8AD722}" type="pres">
      <dgm:prSet presAssocID="{F510AE10-B295-4244-97E0-2F6C366B0BD5}" presName="level2Shape" presStyleLbl="node3" presStyleIdx="5" presStyleCnt="9" custLinFactNeighborX="9624" custLinFactNeighborY="28513"/>
      <dgm:spPr/>
      <dgm:t>
        <a:bodyPr/>
        <a:lstStyle/>
        <a:p>
          <a:endParaRPr lang="fr-FR"/>
        </a:p>
      </dgm:t>
    </dgm:pt>
    <dgm:pt modelId="{A869BE01-8650-48FA-9B60-6A645147AAF2}" type="pres">
      <dgm:prSet presAssocID="{F510AE10-B295-4244-97E0-2F6C366B0BD5}" presName="hierChild3" presStyleCnt="0"/>
      <dgm:spPr/>
    </dgm:pt>
    <dgm:pt modelId="{58EEC371-3188-4EA1-A9FA-E0BE3F012C82}" type="pres">
      <dgm:prSet presAssocID="{2A30FBF8-7352-4FC4-A81A-7080EBF48224}" presName="Name19" presStyleLbl="parChTrans1D2" presStyleIdx="2" presStyleCnt="3"/>
      <dgm:spPr/>
      <dgm:t>
        <a:bodyPr/>
        <a:lstStyle/>
        <a:p>
          <a:endParaRPr lang="fr-FR"/>
        </a:p>
      </dgm:t>
    </dgm:pt>
    <dgm:pt modelId="{6E08F87A-E1A1-44E8-A512-5D9CA152EB85}" type="pres">
      <dgm:prSet presAssocID="{C0FA8615-1853-4B2B-9058-05E1C17509D0}" presName="Name21" presStyleCnt="0"/>
      <dgm:spPr/>
    </dgm:pt>
    <dgm:pt modelId="{24460B01-6339-46BD-96F2-D2EFAAE1DF00}" type="pres">
      <dgm:prSet presAssocID="{C0FA8615-1853-4B2B-9058-05E1C17509D0}" presName="level2Shape" presStyleLbl="node2" presStyleIdx="2" presStyleCnt="3" custScaleX="214037" custScaleY="156179"/>
      <dgm:spPr/>
      <dgm:t>
        <a:bodyPr/>
        <a:lstStyle/>
        <a:p>
          <a:endParaRPr lang="fr-FR"/>
        </a:p>
      </dgm:t>
    </dgm:pt>
    <dgm:pt modelId="{F55024C0-10CD-4508-B782-B71AF8301657}" type="pres">
      <dgm:prSet presAssocID="{C0FA8615-1853-4B2B-9058-05E1C17509D0}" presName="hierChild3" presStyleCnt="0"/>
      <dgm:spPr/>
    </dgm:pt>
    <dgm:pt modelId="{6925E4C4-D918-4C5B-82FD-40B214ED4924}" type="pres">
      <dgm:prSet presAssocID="{8CE5852C-B4D8-4ADA-8217-A31FDD2AAF0E}" presName="Name19" presStyleLbl="parChTrans1D3" presStyleIdx="6" presStyleCnt="9"/>
      <dgm:spPr/>
      <dgm:t>
        <a:bodyPr/>
        <a:lstStyle/>
        <a:p>
          <a:endParaRPr lang="fr-FR"/>
        </a:p>
      </dgm:t>
    </dgm:pt>
    <dgm:pt modelId="{CA836635-2D80-48C6-9FFD-65E95DD7AE74}" type="pres">
      <dgm:prSet presAssocID="{2597B54F-C1B2-41A4-96F5-84AA303445C2}" presName="Name21" presStyleCnt="0"/>
      <dgm:spPr/>
    </dgm:pt>
    <dgm:pt modelId="{4E5C403B-1D38-4E01-956E-D97516F91DC6}" type="pres">
      <dgm:prSet presAssocID="{2597B54F-C1B2-41A4-96F5-84AA303445C2}" presName="level2Shape" presStyleLbl="node3" presStyleIdx="6" presStyleCnt="9" custLinFactNeighborY="44244"/>
      <dgm:spPr/>
      <dgm:t>
        <a:bodyPr/>
        <a:lstStyle/>
        <a:p>
          <a:endParaRPr lang="fr-FR"/>
        </a:p>
      </dgm:t>
    </dgm:pt>
    <dgm:pt modelId="{17485CE3-A85A-47CD-811E-6262E0BAA3F9}" type="pres">
      <dgm:prSet presAssocID="{2597B54F-C1B2-41A4-96F5-84AA303445C2}" presName="hierChild3" presStyleCnt="0"/>
      <dgm:spPr/>
    </dgm:pt>
    <dgm:pt modelId="{280FA3FB-31D7-4AC6-A9A1-249FC70E30EC}" type="pres">
      <dgm:prSet presAssocID="{7E68D892-0F07-49F7-A23D-7092C1BAE2C2}" presName="Name19" presStyleLbl="parChTrans1D3" presStyleIdx="7" presStyleCnt="9"/>
      <dgm:spPr/>
      <dgm:t>
        <a:bodyPr/>
        <a:lstStyle/>
        <a:p>
          <a:endParaRPr lang="fr-FR"/>
        </a:p>
      </dgm:t>
    </dgm:pt>
    <dgm:pt modelId="{11B6B8AC-408D-4108-9431-BE81E381CBDB}" type="pres">
      <dgm:prSet presAssocID="{B6B014CB-1D66-4ADD-8536-0DEEFEF2F195}" presName="Name21" presStyleCnt="0"/>
      <dgm:spPr/>
    </dgm:pt>
    <dgm:pt modelId="{F666C5F7-852A-43B3-8D32-25C90D17765F}" type="pres">
      <dgm:prSet presAssocID="{B6B014CB-1D66-4ADD-8536-0DEEFEF2F195}" presName="level2Shape" presStyleLbl="node3" presStyleIdx="7" presStyleCnt="9" custLinFactNeighborY="44244"/>
      <dgm:spPr/>
      <dgm:t>
        <a:bodyPr/>
        <a:lstStyle/>
        <a:p>
          <a:endParaRPr lang="fr-FR"/>
        </a:p>
      </dgm:t>
    </dgm:pt>
    <dgm:pt modelId="{CDD34612-3856-449E-B27C-0FB90F111C89}" type="pres">
      <dgm:prSet presAssocID="{B6B014CB-1D66-4ADD-8536-0DEEFEF2F195}" presName="hierChild3" presStyleCnt="0"/>
      <dgm:spPr/>
    </dgm:pt>
    <dgm:pt modelId="{EB19BBEA-FC12-4502-A24E-45F04D438B4B}" type="pres">
      <dgm:prSet presAssocID="{69CD8A7E-D5BF-43C8-8983-E4E5900A0D10}" presName="Name19" presStyleLbl="parChTrans1D3" presStyleIdx="8" presStyleCnt="9"/>
      <dgm:spPr/>
      <dgm:t>
        <a:bodyPr/>
        <a:lstStyle/>
        <a:p>
          <a:endParaRPr lang="fr-FR"/>
        </a:p>
      </dgm:t>
    </dgm:pt>
    <dgm:pt modelId="{18EC3691-48D2-49D4-A8D6-EEDE7FB73B76}" type="pres">
      <dgm:prSet presAssocID="{DC146E56-8B8E-4879-9D56-FEC3D14EE104}" presName="Name21" presStyleCnt="0"/>
      <dgm:spPr/>
    </dgm:pt>
    <dgm:pt modelId="{21E6D603-2130-4095-B256-64BED9E9E5FD}" type="pres">
      <dgm:prSet presAssocID="{DC146E56-8B8E-4879-9D56-FEC3D14EE104}" presName="level2Shape" presStyleLbl="node3" presStyleIdx="8" presStyleCnt="9" custLinFactNeighborY="41786"/>
      <dgm:spPr/>
      <dgm:t>
        <a:bodyPr/>
        <a:lstStyle/>
        <a:p>
          <a:endParaRPr lang="fr-FR"/>
        </a:p>
      </dgm:t>
    </dgm:pt>
    <dgm:pt modelId="{ED05EDB1-EA67-4470-A7F5-033AB8321AD5}" type="pres">
      <dgm:prSet presAssocID="{DC146E56-8B8E-4879-9D56-FEC3D14EE104}" presName="hierChild3" presStyleCnt="0"/>
      <dgm:spPr/>
    </dgm:pt>
    <dgm:pt modelId="{7F6A481F-9155-452B-A588-9410BABA0698}" type="pres">
      <dgm:prSet presAssocID="{2A673452-15A1-447D-82D7-4079AF0D5563}" presName="bgShapesFlow" presStyleCnt="0"/>
      <dgm:spPr/>
    </dgm:pt>
    <dgm:pt modelId="{3164B092-1222-4449-A97E-44F78A534758}" type="pres">
      <dgm:prSet presAssocID="{F02D01F8-AFA5-4C4D-878D-166ADB2CFFAA}" presName="rectComp" presStyleCnt="0"/>
      <dgm:spPr/>
    </dgm:pt>
    <dgm:pt modelId="{C238C88C-2916-4201-ADC8-1076F3D2AC22}" type="pres">
      <dgm:prSet presAssocID="{F02D01F8-AFA5-4C4D-878D-166ADB2CFFAA}" presName="bgRect" presStyleLbl="bgShp" presStyleIdx="0" presStyleCnt="3" custLinFactNeighborY="11202"/>
      <dgm:spPr/>
      <dgm:t>
        <a:bodyPr/>
        <a:lstStyle/>
        <a:p>
          <a:endParaRPr lang="fr-FR"/>
        </a:p>
      </dgm:t>
    </dgm:pt>
    <dgm:pt modelId="{FD0E28CC-A4FF-45F7-89AE-5608D2DB5FF3}" type="pres">
      <dgm:prSet presAssocID="{F02D01F8-AFA5-4C4D-878D-166ADB2CFFAA}" presName="bgRectTx" presStyleLbl="bgShp" presStyleIdx="0" presStyleCnt="3">
        <dgm:presLayoutVars>
          <dgm:bulletEnabled val="1"/>
        </dgm:presLayoutVars>
      </dgm:prSet>
      <dgm:spPr/>
      <dgm:t>
        <a:bodyPr/>
        <a:lstStyle/>
        <a:p>
          <a:endParaRPr lang="fr-FR"/>
        </a:p>
      </dgm:t>
    </dgm:pt>
    <dgm:pt modelId="{F0A4C3D0-1E79-476C-8323-019FC53871C2}" type="pres">
      <dgm:prSet presAssocID="{F02D01F8-AFA5-4C4D-878D-166ADB2CFFAA}" presName="spComp" presStyleCnt="0"/>
      <dgm:spPr/>
    </dgm:pt>
    <dgm:pt modelId="{771E2FE3-BF15-465A-9D1D-CE179F7A758E}" type="pres">
      <dgm:prSet presAssocID="{F02D01F8-AFA5-4C4D-878D-166ADB2CFFAA}" presName="vSp" presStyleCnt="0"/>
      <dgm:spPr/>
    </dgm:pt>
    <dgm:pt modelId="{0BF8A2B4-3EB5-4246-8722-A1A3A913E196}" type="pres">
      <dgm:prSet presAssocID="{8B7C9FDF-342E-4E3C-8FAA-B6A217F0076F}" presName="rectComp" presStyleCnt="0"/>
      <dgm:spPr/>
    </dgm:pt>
    <dgm:pt modelId="{1C34BA21-E602-4E2E-9E7C-5534342EE64F}" type="pres">
      <dgm:prSet presAssocID="{8B7C9FDF-342E-4E3C-8FAA-B6A217F0076F}" presName="bgRect" presStyleLbl="bgShp" presStyleIdx="1" presStyleCnt="3" custLinFactNeighborY="67330"/>
      <dgm:spPr/>
      <dgm:t>
        <a:bodyPr/>
        <a:lstStyle/>
        <a:p>
          <a:endParaRPr lang="fr-FR"/>
        </a:p>
      </dgm:t>
    </dgm:pt>
    <dgm:pt modelId="{D2ED49C4-9A48-4B46-9BDB-8CF360727CF4}" type="pres">
      <dgm:prSet presAssocID="{8B7C9FDF-342E-4E3C-8FAA-B6A217F0076F}" presName="bgRectTx" presStyleLbl="bgShp" presStyleIdx="1" presStyleCnt="3">
        <dgm:presLayoutVars>
          <dgm:bulletEnabled val="1"/>
        </dgm:presLayoutVars>
      </dgm:prSet>
      <dgm:spPr/>
      <dgm:t>
        <a:bodyPr/>
        <a:lstStyle/>
        <a:p>
          <a:endParaRPr lang="fr-FR"/>
        </a:p>
      </dgm:t>
    </dgm:pt>
    <dgm:pt modelId="{E64CD5DE-4137-4446-97A8-681CCB47C234}" type="pres">
      <dgm:prSet presAssocID="{8B7C9FDF-342E-4E3C-8FAA-B6A217F0076F}" presName="spComp" presStyleCnt="0"/>
      <dgm:spPr/>
    </dgm:pt>
    <dgm:pt modelId="{F20B8C63-BFF9-4D2A-839A-EAD3227CAECE}" type="pres">
      <dgm:prSet presAssocID="{8B7C9FDF-342E-4E3C-8FAA-B6A217F0076F}" presName="vSp" presStyleCnt="0"/>
      <dgm:spPr/>
    </dgm:pt>
    <dgm:pt modelId="{BF231585-68C3-4173-BD48-1A26877B8EB4}" type="pres">
      <dgm:prSet presAssocID="{E8BCF26E-6067-4F03-90FB-EC6304EDEC29}" presName="rectComp" presStyleCnt="0"/>
      <dgm:spPr/>
    </dgm:pt>
    <dgm:pt modelId="{ECB8B1BF-AEE4-46EC-989F-95EF1E354EBE}" type="pres">
      <dgm:prSet presAssocID="{E8BCF26E-6067-4F03-90FB-EC6304EDEC29}" presName="bgRect" presStyleLbl="bgShp" presStyleIdx="2" presStyleCnt="3" custLinFactY="21598" custLinFactNeighborX="-143" custLinFactNeighborY="100000"/>
      <dgm:spPr/>
      <dgm:t>
        <a:bodyPr/>
        <a:lstStyle/>
        <a:p>
          <a:endParaRPr lang="fr-FR"/>
        </a:p>
      </dgm:t>
    </dgm:pt>
    <dgm:pt modelId="{D35A4847-9739-445A-84A6-DBBFE8539983}" type="pres">
      <dgm:prSet presAssocID="{E8BCF26E-6067-4F03-90FB-EC6304EDEC29}" presName="bgRectTx" presStyleLbl="bgShp" presStyleIdx="2" presStyleCnt="3">
        <dgm:presLayoutVars>
          <dgm:bulletEnabled val="1"/>
        </dgm:presLayoutVars>
      </dgm:prSet>
      <dgm:spPr/>
      <dgm:t>
        <a:bodyPr/>
        <a:lstStyle/>
        <a:p>
          <a:endParaRPr lang="fr-FR"/>
        </a:p>
      </dgm:t>
    </dgm:pt>
  </dgm:ptLst>
  <dgm:cxnLst>
    <dgm:cxn modelId="{2060406E-F02D-4A18-86B4-62C92C7F9C55}" type="presOf" srcId="{BB945000-2EED-4A03-8433-C751EF69A80B}" destId="{A35E1BAF-0A2A-4291-917A-223E27A83BE4}" srcOrd="0" destOrd="0" presId="urn:microsoft.com/office/officeart/2005/8/layout/hierarchy6"/>
    <dgm:cxn modelId="{B46EF7DF-0B0A-448A-98FC-BAF3FBA3E120}" srcId="{1028AEB9-2ED6-4934-B57E-1F812C9A7B6C}" destId="{3CEE7AF4-EC34-4E4C-9519-58713DC96FAE}" srcOrd="2" destOrd="0" parTransId="{0E13C9E5-9373-4F4C-99F7-36C50139D9E3}" sibTransId="{EF3DBF69-EAED-459B-9E3B-21F4D25C94ED}"/>
    <dgm:cxn modelId="{C04F5874-C314-418A-A254-BCCA7DB6070E}" srcId="{45D89239-DA44-4796-BE49-4CBBC39759AB}" destId="{2CA45E24-A033-4A6E-BF6C-E45BD9074CA3}" srcOrd="0" destOrd="0" parTransId="{EFB35893-29B3-4D9B-8252-68FE62913170}" sibTransId="{C88CFE61-BD25-45B5-81CC-8ADA5DC35C56}"/>
    <dgm:cxn modelId="{97438272-E7C3-4B5F-BF9E-5F41A6F5C52A}" type="presOf" srcId="{FD1ECDE5-79F2-4F7A-B31C-7FE0FE7D3902}" destId="{18F9BE8E-6BF1-4BFB-8A4D-99B6283065E4}" srcOrd="0" destOrd="0" presId="urn:microsoft.com/office/officeart/2005/8/layout/hierarchy6"/>
    <dgm:cxn modelId="{D48F8746-5BF2-4323-8BC0-EEC9821D94A3}" srcId="{2A673452-15A1-447D-82D7-4079AF0D5563}" destId="{F02D01F8-AFA5-4C4D-878D-166ADB2CFFAA}" srcOrd="1" destOrd="0" parTransId="{BF33D1ED-26DD-49E7-8D36-F7929ADCFB92}" sibTransId="{B6E22D58-4ABC-4F52-9EBC-E07A02AF45AE}"/>
    <dgm:cxn modelId="{5BB69A06-3477-4228-AD61-F6AAABBB0523}" type="presOf" srcId="{B6B014CB-1D66-4ADD-8536-0DEEFEF2F195}" destId="{F666C5F7-852A-43B3-8D32-25C90D17765F}" srcOrd="0" destOrd="0" presId="urn:microsoft.com/office/officeart/2005/8/layout/hierarchy6"/>
    <dgm:cxn modelId="{36A46687-C95A-4B72-9827-A6235316539F}" type="presOf" srcId="{EFB35893-29B3-4D9B-8252-68FE62913170}" destId="{5A0D8665-A3F8-484E-B9B0-9D56D4AA3E0E}" srcOrd="0" destOrd="0" presId="urn:microsoft.com/office/officeart/2005/8/layout/hierarchy6"/>
    <dgm:cxn modelId="{D92F0068-0D34-40B0-8639-93FDF516372F}" type="presOf" srcId="{7E68D892-0F07-49F7-A23D-7092C1BAE2C2}" destId="{280FA3FB-31D7-4AC6-A9A1-249FC70E30EC}" srcOrd="0" destOrd="0" presId="urn:microsoft.com/office/officeart/2005/8/layout/hierarchy6"/>
    <dgm:cxn modelId="{614E030D-9741-4EC7-9F99-81A83BAB949B}" srcId="{45D89239-DA44-4796-BE49-4CBBC39759AB}" destId="{4C277AA1-F7E5-48CD-AB6C-86069F0CC59D}" srcOrd="1" destOrd="0" parTransId="{769F9052-2F52-42A5-8169-A55101622A32}" sibTransId="{0929725A-87EE-4DF7-88B4-E16588F81DDF}"/>
    <dgm:cxn modelId="{306EF68C-A6DE-48AE-A00F-98240F7F55C1}" srcId="{E3D8B292-05F5-44FB-918D-296AC0F73CFC}" destId="{1028AEB9-2ED6-4934-B57E-1F812C9A7B6C}" srcOrd="0" destOrd="0" parTransId="{BB945000-2EED-4A03-8433-C751EF69A80B}" sibTransId="{05530A37-9681-4D82-AA4F-DEEA52DBC53F}"/>
    <dgm:cxn modelId="{C9104676-4272-4582-A467-2C90C213FA69}" type="presOf" srcId="{417FF3CF-B1CD-4EE3-B0D0-65CC097E3EA7}" destId="{C99CCCA8-C584-4006-919F-2775C0FDB68F}" srcOrd="0" destOrd="0" presId="urn:microsoft.com/office/officeart/2005/8/layout/hierarchy6"/>
    <dgm:cxn modelId="{2BDC6B0F-23F3-49DB-A16C-A978B47CEC91}" srcId="{C0FA8615-1853-4B2B-9058-05E1C17509D0}" destId="{DC146E56-8B8E-4879-9D56-FEC3D14EE104}" srcOrd="2" destOrd="0" parTransId="{69CD8A7E-D5BF-43C8-8983-E4E5900A0D10}" sibTransId="{28416989-EBF3-45F8-BA54-DC99A820D7F8}"/>
    <dgm:cxn modelId="{A7DDB817-3BC4-40A7-A07C-58F5CACEC273}" type="presOf" srcId="{F02D01F8-AFA5-4C4D-878D-166ADB2CFFAA}" destId="{FD0E28CC-A4FF-45F7-89AE-5608D2DB5FF3}" srcOrd="1" destOrd="0" presId="urn:microsoft.com/office/officeart/2005/8/layout/hierarchy6"/>
    <dgm:cxn modelId="{940B8C02-EEFD-4FF8-9BE0-E0A85579824D}" srcId="{E3D8B292-05F5-44FB-918D-296AC0F73CFC}" destId="{C0FA8615-1853-4B2B-9058-05E1C17509D0}" srcOrd="2" destOrd="0" parTransId="{2A30FBF8-7352-4FC4-A81A-7080EBF48224}" sibTransId="{FB3E456D-A8F3-4B68-A649-ED9962511E62}"/>
    <dgm:cxn modelId="{9B9F1E7B-F63B-474F-92AD-D9D5EDE596C8}" type="presOf" srcId="{8CE5852C-B4D8-4ADA-8217-A31FDD2AAF0E}" destId="{6925E4C4-D918-4C5B-82FD-40B214ED4924}" srcOrd="0" destOrd="0" presId="urn:microsoft.com/office/officeart/2005/8/layout/hierarchy6"/>
    <dgm:cxn modelId="{E6D0EC5E-AB03-43E1-80E2-077EF6577281}" type="presOf" srcId="{4C277AA1-F7E5-48CD-AB6C-86069F0CC59D}" destId="{AB57768D-E3ED-4AA4-84BE-DFEC6663B236}" srcOrd="0" destOrd="0" presId="urn:microsoft.com/office/officeart/2005/8/layout/hierarchy6"/>
    <dgm:cxn modelId="{2EB8DF90-528F-41B8-B197-4B92EA5A95A7}" type="presOf" srcId="{769F9052-2F52-42A5-8169-A55101622A32}" destId="{39B2F692-1BE4-479B-939E-B7C6D6EE6A46}" srcOrd="0" destOrd="0" presId="urn:microsoft.com/office/officeart/2005/8/layout/hierarchy6"/>
    <dgm:cxn modelId="{9CC8FBCD-9EC1-4F78-8378-3A100B2A234D}" type="presOf" srcId="{E3D8B292-05F5-44FB-918D-296AC0F73CFC}" destId="{7C848DF1-9AE2-4E25-B983-0926523D6D91}" srcOrd="0" destOrd="0" presId="urn:microsoft.com/office/officeart/2005/8/layout/hierarchy6"/>
    <dgm:cxn modelId="{660234E5-A148-4120-A586-85AD83148CBC}" srcId="{C0FA8615-1853-4B2B-9058-05E1C17509D0}" destId="{2597B54F-C1B2-41A4-96F5-84AA303445C2}" srcOrd="0" destOrd="0" parTransId="{8CE5852C-B4D8-4ADA-8217-A31FDD2AAF0E}" sibTransId="{5CA2AD23-C0D9-44D6-95F0-CA5F6416F836}"/>
    <dgm:cxn modelId="{8BE2E3D8-7A36-46AE-9BB6-C8E6D6909B9D}" srcId="{C0FA8615-1853-4B2B-9058-05E1C17509D0}" destId="{B6B014CB-1D66-4ADD-8536-0DEEFEF2F195}" srcOrd="1" destOrd="0" parTransId="{7E68D892-0F07-49F7-A23D-7092C1BAE2C2}" sibTransId="{E5872F4D-6ADB-4614-9A5E-9EE2394DB622}"/>
    <dgm:cxn modelId="{E7575217-5947-456F-AE58-99B08456E007}" srcId="{1028AEB9-2ED6-4934-B57E-1F812C9A7B6C}" destId="{DFED38FC-A2EF-4383-BC8A-64F768BBA1CC}" srcOrd="1" destOrd="0" parTransId="{FD1ECDE5-79F2-4F7A-B31C-7FE0FE7D3902}" sibTransId="{1A91B089-CDC6-4BE9-8856-90C49DBFA1C1}"/>
    <dgm:cxn modelId="{1B73BAB2-73BD-49B6-93A5-12B0399B306F}" type="presOf" srcId="{DC146E56-8B8E-4879-9D56-FEC3D14EE104}" destId="{21E6D603-2130-4095-B256-64BED9E9E5FD}" srcOrd="0" destOrd="0" presId="urn:microsoft.com/office/officeart/2005/8/layout/hierarchy6"/>
    <dgm:cxn modelId="{45711008-145D-47EE-80DC-ABA5EE679EF8}" type="presOf" srcId="{C4D01BD0-A280-4136-B3B3-5DFAA5A9C074}" destId="{2F27D46E-835F-48A2-93AB-9AE3E4DC1344}" srcOrd="0" destOrd="0" presId="urn:microsoft.com/office/officeart/2005/8/layout/hierarchy6"/>
    <dgm:cxn modelId="{130322EA-5630-44C7-96AB-6587AF875D4F}" srcId="{2A673452-15A1-447D-82D7-4079AF0D5563}" destId="{E8BCF26E-6067-4F03-90FB-EC6304EDEC29}" srcOrd="3" destOrd="0" parTransId="{F666FE55-F9E4-4A9A-A893-905F101F9BF1}" sibTransId="{1B6635E6-8018-4E55-911E-F26CF7AA45D1}"/>
    <dgm:cxn modelId="{806BB667-21FC-4EA6-8818-2C1A6659BC9A}" type="presOf" srcId="{C0FA8615-1853-4B2B-9058-05E1C17509D0}" destId="{24460B01-6339-46BD-96F2-D2EFAAE1DF00}" srcOrd="0" destOrd="0" presId="urn:microsoft.com/office/officeart/2005/8/layout/hierarchy6"/>
    <dgm:cxn modelId="{3A5132B3-ADC9-4571-8B8D-18BB10C5E0F8}" type="presOf" srcId="{DFED38FC-A2EF-4383-BC8A-64F768BBA1CC}" destId="{D6696896-7E5A-4493-8D76-3615641C3ED2}" srcOrd="0" destOrd="0" presId="urn:microsoft.com/office/officeart/2005/8/layout/hierarchy6"/>
    <dgm:cxn modelId="{8C598B18-88A7-4AA9-8B8A-4DA2648F56FB}" type="presOf" srcId="{69CD8A7E-D5BF-43C8-8983-E4E5900A0D10}" destId="{EB19BBEA-FC12-4502-A24E-45F04D438B4B}" srcOrd="0" destOrd="0" presId="urn:microsoft.com/office/officeart/2005/8/layout/hierarchy6"/>
    <dgm:cxn modelId="{7832E87C-8DA6-4294-8130-7C42B7D973F3}" srcId="{1028AEB9-2ED6-4934-B57E-1F812C9A7B6C}" destId="{A70E79DB-544A-45FA-A497-34981DA79C3C}" srcOrd="0" destOrd="0" parTransId="{0A9BBA33-60DF-40C5-B9DE-2EE64BA56445}" sibTransId="{12B72C0F-F126-47B0-8245-2B193A5A6A38}"/>
    <dgm:cxn modelId="{1B444C3D-78B5-4760-A951-9F652A7091E9}" type="presOf" srcId="{F02D01F8-AFA5-4C4D-878D-166ADB2CFFAA}" destId="{C238C88C-2916-4201-ADC8-1076F3D2AC22}" srcOrd="0" destOrd="0" presId="urn:microsoft.com/office/officeart/2005/8/layout/hierarchy6"/>
    <dgm:cxn modelId="{96A21E0E-361A-4389-843B-9FC8C885408D}" type="presOf" srcId="{3CEE7AF4-EC34-4E4C-9519-58713DC96FAE}" destId="{4F58919A-3CE6-495B-A83E-B0508C168C17}" srcOrd="0" destOrd="0" presId="urn:microsoft.com/office/officeart/2005/8/layout/hierarchy6"/>
    <dgm:cxn modelId="{15077344-A107-4E5E-AEDC-92546BF6C4BF}" type="presOf" srcId="{0A9BBA33-60DF-40C5-B9DE-2EE64BA56445}" destId="{E2489A2D-10D1-4B1A-9022-8C4AAFC94AD9}" srcOrd="0" destOrd="0" presId="urn:microsoft.com/office/officeart/2005/8/layout/hierarchy6"/>
    <dgm:cxn modelId="{5A88C153-1B80-4D7F-BC98-1B948CE8CE0E}" type="presOf" srcId="{8B7C9FDF-342E-4E3C-8FAA-B6A217F0076F}" destId="{D2ED49C4-9A48-4B46-9BDB-8CF360727CF4}" srcOrd="1" destOrd="0" presId="urn:microsoft.com/office/officeart/2005/8/layout/hierarchy6"/>
    <dgm:cxn modelId="{7192B3B3-2F0A-4003-AAB7-AAEAA8814FED}" type="presOf" srcId="{0E13C9E5-9373-4F4C-99F7-36C50139D9E3}" destId="{3E640F95-9DC4-449C-BE84-196F41BFDAD5}" srcOrd="0" destOrd="0" presId="urn:microsoft.com/office/officeart/2005/8/layout/hierarchy6"/>
    <dgm:cxn modelId="{10510F9B-E712-42F7-8BE6-B98835C64FAB}" srcId="{45D89239-DA44-4796-BE49-4CBBC39759AB}" destId="{F510AE10-B295-4244-97E0-2F6C366B0BD5}" srcOrd="2" destOrd="0" parTransId="{C4D01BD0-A280-4136-B3B3-5DFAA5A9C074}" sibTransId="{56276C32-B375-46EB-AC92-FB1B73434804}"/>
    <dgm:cxn modelId="{408407B1-9A8D-4E07-B994-89CBF5B0A046}" type="presOf" srcId="{2A30FBF8-7352-4FC4-A81A-7080EBF48224}" destId="{58EEC371-3188-4EA1-A9FA-E0BE3F012C82}" srcOrd="0" destOrd="0" presId="urn:microsoft.com/office/officeart/2005/8/layout/hierarchy6"/>
    <dgm:cxn modelId="{A63A7A34-0EAD-4BA2-8055-FD6FA07A2AA0}" srcId="{2A673452-15A1-447D-82D7-4079AF0D5563}" destId="{E3D8B292-05F5-44FB-918D-296AC0F73CFC}" srcOrd="0" destOrd="0" parTransId="{2D5D4D0A-B02C-4F83-8D6A-D2AA1F7BC43E}" sibTransId="{0F4A411D-9FCE-4F90-9E33-4B6134D90107}"/>
    <dgm:cxn modelId="{E421E219-F69D-4AC6-8080-ACC6052F8C76}" type="presOf" srcId="{F510AE10-B295-4244-97E0-2F6C366B0BD5}" destId="{87096355-B31D-4DFF-A8D0-ED4E0A8AD722}" srcOrd="0" destOrd="0" presId="urn:microsoft.com/office/officeart/2005/8/layout/hierarchy6"/>
    <dgm:cxn modelId="{D8AAA4B3-6255-4F1D-A2E8-71DDB99C03C1}" srcId="{2A673452-15A1-447D-82D7-4079AF0D5563}" destId="{8B7C9FDF-342E-4E3C-8FAA-B6A217F0076F}" srcOrd="2" destOrd="0" parTransId="{5BFFD004-FE0C-469D-B582-48C7CA8FF96E}" sibTransId="{1E30603B-6853-41B2-96C3-3C35775CAA84}"/>
    <dgm:cxn modelId="{199E6155-6FC8-4FAB-B4D7-8AC959D67B72}" type="presOf" srcId="{8B7C9FDF-342E-4E3C-8FAA-B6A217F0076F}" destId="{1C34BA21-E602-4E2E-9E7C-5534342EE64F}" srcOrd="0" destOrd="0" presId="urn:microsoft.com/office/officeart/2005/8/layout/hierarchy6"/>
    <dgm:cxn modelId="{FED1B598-31D9-4FA4-85B8-828576F3AE1A}" srcId="{E3D8B292-05F5-44FB-918D-296AC0F73CFC}" destId="{45D89239-DA44-4796-BE49-4CBBC39759AB}" srcOrd="1" destOrd="0" parTransId="{417FF3CF-B1CD-4EE3-B0D0-65CC097E3EA7}" sibTransId="{5C4EA65C-5FF9-48E7-A5CE-CD04DA0749EA}"/>
    <dgm:cxn modelId="{43197F09-68E9-4798-AAEB-9CCB87EA541E}" type="presOf" srcId="{2A673452-15A1-447D-82D7-4079AF0D5563}" destId="{886B8333-BFF3-4DE7-83B1-37F295B09F93}" srcOrd="0" destOrd="0" presId="urn:microsoft.com/office/officeart/2005/8/layout/hierarchy6"/>
    <dgm:cxn modelId="{053F0E39-17DC-426F-9141-D96FB0F61FD9}" type="presOf" srcId="{E8BCF26E-6067-4F03-90FB-EC6304EDEC29}" destId="{D35A4847-9739-445A-84A6-DBBFE8539983}" srcOrd="1" destOrd="0" presId="urn:microsoft.com/office/officeart/2005/8/layout/hierarchy6"/>
    <dgm:cxn modelId="{680097C3-2BA0-4993-B718-BBF1DC5F219E}" type="presOf" srcId="{E8BCF26E-6067-4F03-90FB-EC6304EDEC29}" destId="{ECB8B1BF-AEE4-46EC-989F-95EF1E354EBE}" srcOrd="0" destOrd="0" presId="urn:microsoft.com/office/officeart/2005/8/layout/hierarchy6"/>
    <dgm:cxn modelId="{DCCA1EDA-C661-477F-81AE-4C11F289B8D0}" type="presOf" srcId="{2597B54F-C1B2-41A4-96F5-84AA303445C2}" destId="{4E5C403B-1D38-4E01-956E-D97516F91DC6}" srcOrd="0" destOrd="0" presId="urn:microsoft.com/office/officeart/2005/8/layout/hierarchy6"/>
    <dgm:cxn modelId="{0ADFF85F-C9E5-4FE0-A00C-07838FC0CB59}" type="presOf" srcId="{45D89239-DA44-4796-BE49-4CBBC39759AB}" destId="{92A8F34B-BB05-43A7-8F80-3DB47EAF20A8}" srcOrd="0" destOrd="0" presId="urn:microsoft.com/office/officeart/2005/8/layout/hierarchy6"/>
    <dgm:cxn modelId="{E6E7CCB2-13DB-442C-8DD6-D212DA97070E}" type="presOf" srcId="{2CA45E24-A033-4A6E-BF6C-E45BD9074CA3}" destId="{19BD9073-A2BD-4E71-B8C6-BBF5A340A9D8}" srcOrd="0" destOrd="0" presId="urn:microsoft.com/office/officeart/2005/8/layout/hierarchy6"/>
    <dgm:cxn modelId="{93A3E6D9-3999-4C21-B204-455F7BE4DC24}" type="presOf" srcId="{1028AEB9-2ED6-4934-B57E-1F812C9A7B6C}" destId="{D5A28022-61E1-433F-8FB1-6EE5D0C605C6}" srcOrd="0" destOrd="0" presId="urn:microsoft.com/office/officeart/2005/8/layout/hierarchy6"/>
    <dgm:cxn modelId="{FEE7B613-5685-428C-BD45-49CE09EEA1A7}" type="presOf" srcId="{A70E79DB-544A-45FA-A497-34981DA79C3C}" destId="{63358567-AB0C-401C-85D7-9117F8AE3FB0}" srcOrd="0" destOrd="0" presId="urn:microsoft.com/office/officeart/2005/8/layout/hierarchy6"/>
    <dgm:cxn modelId="{4C955E19-A12D-4B66-991F-203CDA150221}" type="presParOf" srcId="{886B8333-BFF3-4DE7-83B1-37F295B09F93}" destId="{B04D05EA-7CC1-43CE-ABE6-247CAFE6E359}" srcOrd="0" destOrd="0" presId="urn:microsoft.com/office/officeart/2005/8/layout/hierarchy6"/>
    <dgm:cxn modelId="{D5FB4E6D-B2D4-4B8F-81C6-3758B0757525}" type="presParOf" srcId="{B04D05EA-7CC1-43CE-ABE6-247CAFE6E359}" destId="{6C17DB8B-E127-4D0E-A747-06E48246E221}" srcOrd="0" destOrd="0" presId="urn:microsoft.com/office/officeart/2005/8/layout/hierarchy6"/>
    <dgm:cxn modelId="{29D5FAC6-2FE4-454B-9974-37E37F8A7309}" type="presParOf" srcId="{B04D05EA-7CC1-43CE-ABE6-247CAFE6E359}" destId="{6432A491-75F9-4DBE-821C-494B253FAFD6}" srcOrd="1" destOrd="0" presId="urn:microsoft.com/office/officeart/2005/8/layout/hierarchy6"/>
    <dgm:cxn modelId="{4EC76D32-AED9-431D-8F25-27B807B9B415}" type="presParOf" srcId="{6432A491-75F9-4DBE-821C-494B253FAFD6}" destId="{A7842817-0FED-4034-AFD3-F6CE1994AE35}" srcOrd="0" destOrd="0" presId="urn:microsoft.com/office/officeart/2005/8/layout/hierarchy6"/>
    <dgm:cxn modelId="{6C2F06C4-86D2-46E8-82FE-C2B364B7A638}" type="presParOf" srcId="{A7842817-0FED-4034-AFD3-F6CE1994AE35}" destId="{7C848DF1-9AE2-4E25-B983-0926523D6D91}" srcOrd="0" destOrd="0" presId="urn:microsoft.com/office/officeart/2005/8/layout/hierarchy6"/>
    <dgm:cxn modelId="{13E4940D-FB0D-4047-971F-2F207A1E95B7}" type="presParOf" srcId="{A7842817-0FED-4034-AFD3-F6CE1994AE35}" destId="{13292FA9-9D26-4A00-B701-7BE187C5A252}" srcOrd="1" destOrd="0" presId="urn:microsoft.com/office/officeart/2005/8/layout/hierarchy6"/>
    <dgm:cxn modelId="{E6CAF535-E22A-4BA5-B19A-00DF4F559733}" type="presParOf" srcId="{13292FA9-9D26-4A00-B701-7BE187C5A252}" destId="{A35E1BAF-0A2A-4291-917A-223E27A83BE4}" srcOrd="0" destOrd="0" presId="urn:microsoft.com/office/officeart/2005/8/layout/hierarchy6"/>
    <dgm:cxn modelId="{D35FF600-B615-4896-BB13-35974DC951A4}" type="presParOf" srcId="{13292FA9-9D26-4A00-B701-7BE187C5A252}" destId="{236BB3BF-C678-4790-A452-F5CE31893C8A}" srcOrd="1" destOrd="0" presId="urn:microsoft.com/office/officeart/2005/8/layout/hierarchy6"/>
    <dgm:cxn modelId="{B44F5914-5C1E-41CB-8E6E-05DF70FCE6F7}" type="presParOf" srcId="{236BB3BF-C678-4790-A452-F5CE31893C8A}" destId="{D5A28022-61E1-433F-8FB1-6EE5D0C605C6}" srcOrd="0" destOrd="0" presId="urn:microsoft.com/office/officeart/2005/8/layout/hierarchy6"/>
    <dgm:cxn modelId="{B216102C-FD90-41A1-800C-EB928326A637}" type="presParOf" srcId="{236BB3BF-C678-4790-A452-F5CE31893C8A}" destId="{2A8F324F-AD16-4295-BB18-9BB5863EEE2D}" srcOrd="1" destOrd="0" presId="urn:microsoft.com/office/officeart/2005/8/layout/hierarchy6"/>
    <dgm:cxn modelId="{D0FFB203-51C1-4F2C-8722-995D93939761}" type="presParOf" srcId="{2A8F324F-AD16-4295-BB18-9BB5863EEE2D}" destId="{E2489A2D-10D1-4B1A-9022-8C4AAFC94AD9}" srcOrd="0" destOrd="0" presId="urn:microsoft.com/office/officeart/2005/8/layout/hierarchy6"/>
    <dgm:cxn modelId="{418376BB-36E7-46C8-86B3-7D1459D3A4AD}" type="presParOf" srcId="{2A8F324F-AD16-4295-BB18-9BB5863EEE2D}" destId="{E22ABF49-FC09-4BC3-88D8-3468BCAA6BB8}" srcOrd="1" destOrd="0" presId="urn:microsoft.com/office/officeart/2005/8/layout/hierarchy6"/>
    <dgm:cxn modelId="{AE7759DA-B9D5-4E52-86C1-A7F34DB30ADE}" type="presParOf" srcId="{E22ABF49-FC09-4BC3-88D8-3468BCAA6BB8}" destId="{63358567-AB0C-401C-85D7-9117F8AE3FB0}" srcOrd="0" destOrd="0" presId="urn:microsoft.com/office/officeart/2005/8/layout/hierarchy6"/>
    <dgm:cxn modelId="{E3E38DE7-8DD8-41C4-9192-E0D8D17D9063}" type="presParOf" srcId="{E22ABF49-FC09-4BC3-88D8-3468BCAA6BB8}" destId="{5C2AC97D-434A-4328-92FD-58AD5FBDF1CD}" srcOrd="1" destOrd="0" presId="urn:microsoft.com/office/officeart/2005/8/layout/hierarchy6"/>
    <dgm:cxn modelId="{7687AB48-308B-4B50-8784-D311C5AE0FB9}" type="presParOf" srcId="{2A8F324F-AD16-4295-BB18-9BB5863EEE2D}" destId="{18F9BE8E-6BF1-4BFB-8A4D-99B6283065E4}" srcOrd="2" destOrd="0" presId="urn:microsoft.com/office/officeart/2005/8/layout/hierarchy6"/>
    <dgm:cxn modelId="{B91781A4-271E-4F59-A986-EFF6F2F67CD1}" type="presParOf" srcId="{2A8F324F-AD16-4295-BB18-9BB5863EEE2D}" destId="{A4B27FF0-039D-42F1-A0AD-5A4252478036}" srcOrd="3" destOrd="0" presId="urn:microsoft.com/office/officeart/2005/8/layout/hierarchy6"/>
    <dgm:cxn modelId="{A454E487-6E01-40AB-BED6-6B48BBB150DB}" type="presParOf" srcId="{A4B27FF0-039D-42F1-A0AD-5A4252478036}" destId="{D6696896-7E5A-4493-8D76-3615641C3ED2}" srcOrd="0" destOrd="0" presId="urn:microsoft.com/office/officeart/2005/8/layout/hierarchy6"/>
    <dgm:cxn modelId="{38ED7BF8-44FA-47FD-8076-DA082DB9F430}" type="presParOf" srcId="{A4B27FF0-039D-42F1-A0AD-5A4252478036}" destId="{CE6FB79D-FEC4-44A3-BFB8-3C2DB1905B79}" srcOrd="1" destOrd="0" presId="urn:microsoft.com/office/officeart/2005/8/layout/hierarchy6"/>
    <dgm:cxn modelId="{3E65FB6D-3959-499D-89E3-04F9EA7A95AB}" type="presParOf" srcId="{2A8F324F-AD16-4295-BB18-9BB5863EEE2D}" destId="{3E640F95-9DC4-449C-BE84-196F41BFDAD5}" srcOrd="4" destOrd="0" presId="urn:microsoft.com/office/officeart/2005/8/layout/hierarchy6"/>
    <dgm:cxn modelId="{79EF95C9-D22C-41A2-88F6-CAA96F308880}" type="presParOf" srcId="{2A8F324F-AD16-4295-BB18-9BB5863EEE2D}" destId="{08E9FF42-8B1C-4F2C-B036-0838C6703DDF}" srcOrd="5" destOrd="0" presId="urn:microsoft.com/office/officeart/2005/8/layout/hierarchy6"/>
    <dgm:cxn modelId="{DFA7C59C-D4FD-4C50-8223-634B5CF62885}" type="presParOf" srcId="{08E9FF42-8B1C-4F2C-B036-0838C6703DDF}" destId="{4F58919A-3CE6-495B-A83E-B0508C168C17}" srcOrd="0" destOrd="0" presId="urn:microsoft.com/office/officeart/2005/8/layout/hierarchy6"/>
    <dgm:cxn modelId="{C008C0CF-E6D3-4413-A894-C25C252C12E0}" type="presParOf" srcId="{08E9FF42-8B1C-4F2C-B036-0838C6703DDF}" destId="{BAB5E934-1CB6-4FAD-BF53-7EA0C4FFEB03}" srcOrd="1" destOrd="0" presId="urn:microsoft.com/office/officeart/2005/8/layout/hierarchy6"/>
    <dgm:cxn modelId="{7E56BE5B-0D1D-4426-B106-13AA9E3C2217}" type="presParOf" srcId="{13292FA9-9D26-4A00-B701-7BE187C5A252}" destId="{C99CCCA8-C584-4006-919F-2775C0FDB68F}" srcOrd="2" destOrd="0" presId="urn:microsoft.com/office/officeart/2005/8/layout/hierarchy6"/>
    <dgm:cxn modelId="{C1954EA4-99BD-42B7-9387-2576039F4F42}" type="presParOf" srcId="{13292FA9-9D26-4A00-B701-7BE187C5A252}" destId="{378D3DC6-ABA0-4BBD-A39E-A6FC116CBEA0}" srcOrd="3" destOrd="0" presId="urn:microsoft.com/office/officeart/2005/8/layout/hierarchy6"/>
    <dgm:cxn modelId="{FB6483B1-98A2-4F3C-99EF-BB9EE3551C6D}" type="presParOf" srcId="{378D3DC6-ABA0-4BBD-A39E-A6FC116CBEA0}" destId="{92A8F34B-BB05-43A7-8F80-3DB47EAF20A8}" srcOrd="0" destOrd="0" presId="urn:microsoft.com/office/officeart/2005/8/layout/hierarchy6"/>
    <dgm:cxn modelId="{ED914FA2-7204-4E65-BE37-8B4EFF97CA19}" type="presParOf" srcId="{378D3DC6-ABA0-4BBD-A39E-A6FC116CBEA0}" destId="{941256C9-EE06-455D-A784-E7B162830CC5}" srcOrd="1" destOrd="0" presId="urn:microsoft.com/office/officeart/2005/8/layout/hierarchy6"/>
    <dgm:cxn modelId="{3BE98F12-0433-42CD-BC11-B378A28B9169}" type="presParOf" srcId="{941256C9-EE06-455D-A784-E7B162830CC5}" destId="{5A0D8665-A3F8-484E-B9B0-9D56D4AA3E0E}" srcOrd="0" destOrd="0" presId="urn:microsoft.com/office/officeart/2005/8/layout/hierarchy6"/>
    <dgm:cxn modelId="{AE9E0D28-FA8A-4E7D-8127-F0A6C30FF6C9}" type="presParOf" srcId="{941256C9-EE06-455D-A784-E7B162830CC5}" destId="{59515ADB-61E0-45A4-8BDC-328082B51760}" srcOrd="1" destOrd="0" presId="urn:microsoft.com/office/officeart/2005/8/layout/hierarchy6"/>
    <dgm:cxn modelId="{7C5739D2-E6A0-46CE-997C-CEF1197169E0}" type="presParOf" srcId="{59515ADB-61E0-45A4-8BDC-328082B51760}" destId="{19BD9073-A2BD-4E71-B8C6-BBF5A340A9D8}" srcOrd="0" destOrd="0" presId="urn:microsoft.com/office/officeart/2005/8/layout/hierarchy6"/>
    <dgm:cxn modelId="{310C094E-ADE4-4D8F-A928-F72F2E883A68}" type="presParOf" srcId="{59515ADB-61E0-45A4-8BDC-328082B51760}" destId="{BB54494B-39FB-436F-B8EC-E985A7ACE909}" srcOrd="1" destOrd="0" presId="urn:microsoft.com/office/officeart/2005/8/layout/hierarchy6"/>
    <dgm:cxn modelId="{A773095B-6A63-4511-9473-2E6B0F816089}" type="presParOf" srcId="{941256C9-EE06-455D-A784-E7B162830CC5}" destId="{39B2F692-1BE4-479B-939E-B7C6D6EE6A46}" srcOrd="2" destOrd="0" presId="urn:microsoft.com/office/officeart/2005/8/layout/hierarchy6"/>
    <dgm:cxn modelId="{403B8041-C0E8-4D88-B373-6AD337A2623F}" type="presParOf" srcId="{941256C9-EE06-455D-A784-E7B162830CC5}" destId="{8A28AC76-F1D3-4F1A-B06E-7CF1ACC81072}" srcOrd="3" destOrd="0" presId="urn:microsoft.com/office/officeart/2005/8/layout/hierarchy6"/>
    <dgm:cxn modelId="{7293E08A-14BE-42CD-A718-2CF18F628A8C}" type="presParOf" srcId="{8A28AC76-F1D3-4F1A-B06E-7CF1ACC81072}" destId="{AB57768D-E3ED-4AA4-84BE-DFEC6663B236}" srcOrd="0" destOrd="0" presId="urn:microsoft.com/office/officeart/2005/8/layout/hierarchy6"/>
    <dgm:cxn modelId="{4F0E5F44-E1C2-443A-B3B2-016475F4F7A9}" type="presParOf" srcId="{8A28AC76-F1D3-4F1A-B06E-7CF1ACC81072}" destId="{3A7A3E11-4884-456C-8264-3C1E7798BCF8}" srcOrd="1" destOrd="0" presId="urn:microsoft.com/office/officeart/2005/8/layout/hierarchy6"/>
    <dgm:cxn modelId="{DA26F512-53C5-4E82-9BB9-59E3D532515B}" type="presParOf" srcId="{941256C9-EE06-455D-A784-E7B162830CC5}" destId="{2F27D46E-835F-48A2-93AB-9AE3E4DC1344}" srcOrd="4" destOrd="0" presId="urn:microsoft.com/office/officeart/2005/8/layout/hierarchy6"/>
    <dgm:cxn modelId="{CA9EF935-2702-401F-8D77-DBB513AE090D}" type="presParOf" srcId="{941256C9-EE06-455D-A784-E7B162830CC5}" destId="{0F23B2E7-C910-4338-A1F4-0E787C0F187B}" srcOrd="5" destOrd="0" presId="urn:microsoft.com/office/officeart/2005/8/layout/hierarchy6"/>
    <dgm:cxn modelId="{DE0FA513-5B60-4E4A-9FED-984E2DC8CAAD}" type="presParOf" srcId="{0F23B2E7-C910-4338-A1F4-0E787C0F187B}" destId="{87096355-B31D-4DFF-A8D0-ED4E0A8AD722}" srcOrd="0" destOrd="0" presId="urn:microsoft.com/office/officeart/2005/8/layout/hierarchy6"/>
    <dgm:cxn modelId="{20393BA5-B3D7-4E74-B744-A48514C248E4}" type="presParOf" srcId="{0F23B2E7-C910-4338-A1F4-0E787C0F187B}" destId="{A869BE01-8650-48FA-9B60-6A645147AAF2}" srcOrd="1" destOrd="0" presId="urn:microsoft.com/office/officeart/2005/8/layout/hierarchy6"/>
    <dgm:cxn modelId="{04DFB9F9-2BA3-4D1E-A49C-225CD9CC0415}" type="presParOf" srcId="{13292FA9-9D26-4A00-B701-7BE187C5A252}" destId="{58EEC371-3188-4EA1-A9FA-E0BE3F012C82}" srcOrd="4" destOrd="0" presId="urn:microsoft.com/office/officeart/2005/8/layout/hierarchy6"/>
    <dgm:cxn modelId="{24726EB0-2072-464F-97C0-03E1EFC54F92}" type="presParOf" srcId="{13292FA9-9D26-4A00-B701-7BE187C5A252}" destId="{6E08F87A-E1A1-44E8-A512-5D9CA152EB85}" srcOrd="5" destOrd="0" presId="urn:microsoft.com/office/officeart/2005/8/layout/hierarchy6"/>
    <dgm:cxn modelId="{EF945499-993E-4230-BBEF-AB9964A998B9}" type="presParOf" srcId="{6E08F87A-E1A1-44E8-A512-5D9CA152EB85}" destId="{24460B01-6339-46BD-96F2-D2EFAAE1DF00}" srcOrd="0" destOrd="0" presId="urn:microsoft.com/office/officeart/2005/8/layout/hierarchy6"/>
    <dgm:cxn modelId="{66BAE90D-AA53-4C9D-A98D-FD88E2712244}" type="presParOf" srcId="{6E08F87A-E1A1-44E8-A512-5D9CA152EB85}" destId="{F55024C0-10CD-4508-B782-B71AF8301657}" srcOrd="1" destOrd="0" presId="urn:microsoft.com/office/officeart/2005/8/layout/hierarchy6"/>
    <dgm:cxn modelId="{4427454F-D761-49AE-B553-8D542B23E97C}" type="presParOf" srcId="{F55024C0-10CD-4508-B782-B71AF8301657}" destId="{6925E4C4-D918-4C5B-82FD-40B214ED4924}" srcOrd="0" destOrd="0" presId="urn:microsoft.com/office/officeart/2005/8/layout/hierarchy6"/>
    <dgm:cxn modelId="{D3DF4411-AA73-406E-BBDB-90CBDDFFA846}" type="presParOf" srcId="{F55024C0-10CD-4508-B782-B71AF8301657}" destId="{CA836635-2D80-48C6-9FFD-65E95DD7AE74}" srcOrd="1" destOrd="0" presId="urn:microsoft.com/office/officeart/2005/8/layout/hierarchy6"/>
    <dgm:cxn modelId="{46C1E956-1E9A-4B62-8762-20BFD6E9852B}" type="presParOf" srcId="{CA836635-2D80-48C6-9FFD-65E95DD7AE74}" destId="{4E5C403B-1D38-4E01-956E-D97516F91DC6}" srcOrd="0" destOrd="0" presId="urn:microsoft.com/office/officeart/2005/8/layout/hierarchy6"/>
    <dgm:cxn modelId="{A6F99AB9-DD97-4C19-BD36-EBBB4D20B5D4}" type="presParOf" srcId="{CA836635-2D80-48C6-9FFD-65E95DD7AE74}" destId="{17485CE3-A85A-47CD-811E-6262E0BAA3F9}" srcOrd="1" destOrd="0" presId="urn:microsoft.com/office/officeart/2005/8/layout/hierarchy6"/>
    <dgm:cxn modelId="{10C93DE7-C65A-4C2F-80FA-A152D0318140}" type="presParOf" srcId="{F55024C0-10CD-4508-B782-B71AF8301657}" destId="{280FA3FB-31D7-4AC6-A9A1-249FC70E30EC}" srcOrd="2" destOrd="0" presId="urn:microsoft.com/office/officeart/2005/8/layout/hierarchy6"/>
    <dgm:cxn modelId="{2CBDB587-23C3-41D4-9171-9DF951462FBB}" type="presParOf" srcId="{F55024C0-10CD-4508-B782-B71AF8301657}" destId="{11B6B8AC-408D-4108-9431-BE81E381CBDB}" srcOrd="3" destOrd="0" presId="urn:microsoft.com/office/officeart/2005/8/layout/hierarchy6"/>
    <dgm:cxn modelId="{5C041A08-1472-4D85-A232-6D6BF9D59F23}" type="presParOf" srcId="{11B6B8AC-408D-4108-9431-BE81E381CBDB}" destId="{F666C5F7-852A-43B3-8D32-25C90D17765F}" srcOrd="0" destOrd="0" presId="urn:microsoft.com/office/officeart/2005/8/layout/hierarchy6"/>
    <dgm:cxn modelId="{20D41193-69F1-419C-8E69-F42F3432EC0B}" type="presParOf" srcId="{11B6B8AC-408D-4108-9431-BE81E381CBDB}" destId="{CDD34612-3856-449E-B27C-0FB90F111C89}" srcOrd="1" destOrd="0" presId="urn:microsoft.com/office/officeart/2005/8/layout/hierarchy6"/>
    <dgm:cxn modelId="{3E760F84-B326-42BB-834E-3A699D0E5EEC}" type="presParOf" srcId="{F55024C0-10CD-4508-B782-B71AF8301657}" destId="{EB19BBEA-FC12-4502-A24E-45F04D438B4B}" srcOrd="4" destOrd="0" presId="urn:microsoft.com/office/officeart/2005/8/layout/hierarchy6"/>
    <dgm:cxn modelId="{53ABC3AA-F6FA-46D1-A142-3530A711283C}" type="presParOf" srcId="{F55024C0-10CD-4508-B782-B71AF8301657}" destId="{18EC3691-48D2-49D4-A8D6-EEDE7FB73B76}" srcOrd="5" destOrd="0" presId="urn:microsoft.com/office/officeart/2005/8/layout/hierarchy6"/>
    <dgm:cxn modelId="{CBD6B93C-4B53-4CB1-9F42-CD93D8BAFD12}" type="presParOf" srcId="{18EC3691-48D2-49D4-A8D6-EEDE7FB73B76}" destId="{21E6D603-2130-4095-B256-64BED9E9E5FD}" srcOrd="0" destOrd="0" presId="urn:microsoft.com/office/officeart/2005/8/layout/hierarchy6"/>
    <dgm:cxn modelId="{405CF572-8F08-48DB-8E20-257532865E62}" type="presParOf" srcId="{18EC3691-48D2-49D4-A8D6-EEDE7FB73B76}" destId="{ED05EDB1-EA67-4470-A7F5-033AB8321AD5}" srcOrd="1" destOrd="0" presId="urn:microsoft.com/office/officeart/2005/8/layout/hierarchy6"/>
    <dgm:cxn modelId="{0FA1AFA3-F9C5-4062-BF3A-9B8015D45A1F}" type="presParOf" srcId="{886B8333-BFF3-4DE7-83B1-37F295B09F93}" destId="{7F6A481F-9155-452B-A588-9410BABA0698}" srcOrd="1" destOrd="0" presId="urn:microsoft.com/office/officeart/2005/8/layout/hierarchy6"/>
    <dgm:cxn modelId="{4EDD9F35-0452-485A-8A83-E6DD38C76346}" type="presParOf" srcId="{7F6A481F-9155-452B-A588-9410BABA0698}" destId="{3164B092-1222-4449-A97E-44F78A534758}" srcOrd="0" destOrd="0" presId="urn:microsoft.com/office/officeart/2005/8/layout/hierarchy6"/>
    <dgm:cxn modelId="{0ACD81DF-1AAF-4C56-972D-2C17DB1D23C1}" type="presParOf" srcId="{3164B092-1222-4449-A97E-44F78A534758}" destId="{C238C88C-2916-4201-ADC8-1076F3D2AC22}" srcOrd="0" destOrd="0" presId="urn:microsoft.com/office/officeart/2005/8/layout/hierarchy6"/>
    <dgm:cxn modelId="{2536926E-3ECD-4C71-B340-41D6D0BDED2C}" type="presParOf" srcId="{3164B092-1222-4449-A97E-44F78A534758}" destId="{FD0E28CC-A4FF-45F7-89AE-5608D2DB5FF3}" srcOrd="1" destOrd="0" presId="urn:microsoft.com/office/officeart/2005/8/layout/hierarchy6"/>
    <dgm:cxn modelId="{43E4122A-8BFB-41FA-86F2-76A3A4BA299D}" type="presParOf" srcId="{7F6A481F-9155-452B-A588-9410BABA0698}" destId="{F0A4C3D0-1E79-476C-8323-019FC53871C2}" srcOrd="1" destOrd="0" presId="urn:microsoft.com/office/officeart/2005/8/layout/hierarchy6"/>
    <dgm:cxn modelId="{ED3C7AF7-61DE-4D99-B653-2665C00081B5}" type="presParOf" srcId="{F0A4C3D0-1E79-476C-8323-019FC53871C2}" destId="{771E2FE3-BF15-465A-9D1D-CE179F7A758E}" srcOrd="0" destOrd="0" presId="urn:microsoft.com/office/officeart/2005/8/layout/hierarchy6"/>
    <dgm:cxn modelId="{6BB23259-678E-467A-AEA8-5A56261AABF1}" type="presParOf" srcId="{7F6A481F-9155-452B-A588-9410BABA0698}" destId="{0BF8A2B4-3EB5-4246-8722-A1A3A913E196}" srcOrd="2" destOrd="0" presId="urn:microsoft.com/office/officeart/2005/8/layout/hierarchy6"/>
    <dgm:cxn modelId="{EFAE6886-AFB3-41A5-A465-8F3CA3178369}" type="presParOf" srcId="{0BF8A2B4-3EB5-4246-8722-A1A3A913E196}" destId="{1C34BA21-E602-4E2E-9E7C-5534342EE64F}" srcOrd="0" destOrd="0" presId="urn:microsoft.com/office/officeart/2005/8/layout/hierarchy6"/>
    <dgm:cxn modelId="{3C83D805-4C12-407C-9030-549CAF719193}" type="presParOf" srcId="{0BF8A2B4-3EB5-4246-8722-A1A3A913E196}" destId="{D2ED49C4-9A48-4B46-9BDB-8CF360727CF4}" srcOrd="1" destOrd="0" presId="urn:microsoft.com/office/officeart/2005/8/layout/hierarchy6"/>
    <dgm:cxn modelId="{465FE6A9-3FEB-4BAA-80CE-32B791C2EFD1}" type="presParOf" srcId="{7F6A481F-9155-452B-A588-9410BABA0698}" destId="{E64CD5DE-4137-4446-97A8-681CCB47C234}" srcOrd="3" destOrd="0" presId="urn:microsoft.com/office/officeart/2005/8/layout/hierarchy6"/>
    <dgm:cxn modelId="{18067F49-95B5-4994-86E0-5D6C7B80BC11}" type="presParOf" srcId="{E64CD5DE-4137-4446-97A8-681CCB47C234}" destId="{F20B8C63-BFF9-4D2A-839A-EAD3227CAECE}" srcOrd="0" destOrd="0" presId="urn:microsoft.com/office/officeart/2005/8/layout/hierarchy6"/>
    <dgm:cxn modelId="{7727E1DE-988D-47C0-9180-C443D8B03510}" type="presParOf" srcId="{7F6A481F-9155-452B-A588-9410BABA0698}" destId="{BF231585-68C3-4173-BD48-1A26877B8EB4}" srcOrd="4" destOrd="0" presId="urn:microsoft.com/office/officeart/2005/8/layout/hierarchy6"/>
    <dgm:cxn modelId="{610B6B4E-C11E-47A6-86F3-E98127E0EF79}" type="presParOf" srcId="{BF231585-68C3-4173-BD48-1A26877B8EB4}" destId="{ECB8B1BF-AEE4-46EC-989F-95EF1E354EBE}" srcOrd="0" destOrd="0" presId="urn:microsoft.com/office/officeart/2005/8/layout/hierarchy6"/>
    <dgm:cxn modelId="{DF3CFB6E-BCEE-40C4-BE01-F4CFC30899F2}" type="presParOf" srcId="{BF231585-68C3-4173-BD48-1A26877B8EB4}" destId="{D35A4847-9739-445A-84A6-DBBFE8539983}" srcOrd="1" destOrd="0" presId="urn:microsoft.com/office/officeart/2005/8/layout/hierarchy6"/>
  </dgm:cxnLst>
  <dgm:bg/>
  <dgm:whole>
    <a:ln>
      <a:solidFill>
        <a:schemeClr val="tx1"/>
      </a:solidFill>
      <a:prstDash val="dash"/>
    </a:ln>
  </dgm:whole>
  <dgm:extLst>
    <a:ext uri="http://schemas.microsoft.com/office/drawing/2008/diagram">
      <dsp:dataModelExt xmlns:dsp="http://schemas.microsoft.com/office/drawing/2008/diagram" relId="rId160"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0E110800-F610-4F28-A084-EB7E9FE0BCDF}" type="doc">
      <dgm:prSet loTypeId="urn:microsoft.com/office/officeart/2005/8/layout/process3" loCatId="process" qsTypeId="urn:microsoft.com/office/officeart/2005/8/quickstyle/simple5" qsCatId="simple" csTypeId="urn:microsoft.com/office/officeart/2005/8/colors/accent1_2" csCatId="accent1" phldr="1"/>
      <dgm:spPr/>
      <dgm:t>
        <a:bodyPr/>
        <a:lstStyle/>
        <a:p>
          <a:endParaRPr lang="fr-FR"/>
        </a:p>
      </dgm:t>
    </dgm:pt>
    <dgm:pt modelId="{D8A17FEE-A75B-4946-A0F8-0573936871C5}">
      <dgm:prSet phldrT="[Texte]" custT="1">
        <dgm:style>
          <a:lnRef idx="2">
            <a:schemeClr val="dk1"/>
          </a:lnRef>
          <a:fillRef idx="1">
            <a:schemeClr val="lt1"/>
          </a:fillRef>
          <a:effectRef idx="0">
            <a:schemeClr val="dk1"/>
          </a:effectRef>
          <a:fontRef idx="minor">
            <a:schemeClr val="dk1"/>
          </a:fontRef>
        </dgm:style>
      </dgm:prSet>
      <dgm:spPr/>
      <dgm:t>
        <a:bodyPr/>
        <a:lstStyle/>
        <a:p>
          <a:pPr algn="ctr" rtl="1"/>
          <a:r>
            <a:rPr lang="ar-DZ" sz="1200" b="1">
              <a:solidFill>
                <a:schemeClr val="tx1"/>
              </a:solidFill>
              <a:latin typeface="Simplified Arabic" panose="02020603050405020304" pitchFamily="18" charset="-78"/>
              <a:cs typeface="Simplified Arabic" panose="02020603050405020304" pitchFamily="18" charset="-78"/>
            </a:rPr>
            <a:t>1</a:t>
          </a:r>
          <a:endParaRPr lang="fr-FR" sz="500" b="1">
            <a:solidFill>
              <a:schemeClr val="tx1"/>
            </a:solidFill>
            <a:latin typeface="Simplified Arabic" panose="02020603050405020304" pitchFamily="18" charset="-78"/>
            <a:cs typeface="Simplified Arabic" panose="02020603050405020304" pitchFamily="18" charset="-78"/>
          </a:endParaRPr>
        </a:p>
      </dgm:t>
    </dgm:pt>
    <dgm:pt modelId="{1643FF20-6602-4C70-881C-1B73B23350E0}" type="parTrans" cxnId="{AAA5341C-407A-4ACB-9F3D-DE90850087D1}">
      <dgm:prSet/>
      <dgm:spPr/>
      <dgm:t>
        <a:bodyPr/>
        <a:lstStyle/>
        <a:p>
          <a:pPr algn="r"/>
          <a:endParaRPr lang="fr-FR"/>
        </a:p>
      </dgm:t>
    </dgm:pt>
    <dgm:pt modelId="{02096BE3-F2FA-478C-9503-77132370A660}" type="sibTrans" cxnId="{AAA5341C-407A-4ACB-9F3D-DE90850087D1}">
      <dgm:prSet/>
      <dgm:spPr/>
      <dgm:t>
        <a:bodyPr/>
        <a:lstStyle/>
        <a:p>
          <a:pPr algn="r"/>
          <a:endParaRPr lang="fr-FR"/>
        </a:p>
      </dgm:t>
    </dgm:pt>
    <dgm:pt modelId="{E84B4FC8-4C90-4CED-B0D5-ECD49975D080}">
      <dgm:prSet phldrT="[Texte]" custT="1"/>
      <dgm:spPr/>
      <dgm:t>
        <a:bodyPr/>
        <a:lstStyle/>
        <a:p>
          <a:pPr algn="r" rtl="1"/>
          <a:r>
            <a:rPr lang="ar-DZ" sz="1100" b="1">
              <a:latin typeface="Simplified Arabic" panose="02020603050405020304" pitchFamily="18" charset="-78"/>
              <a:cs typeface="Simplified Arabic" panose="02020603050405020304" pitchFamily="18" charset="-78"/>
            </a:rPr>
            <a:t>بناء استبيان:</a:t>
          </a:r>
          <a:endParaRPr lang="fr-FR" sz="1100">
            <a:latin typeface="Simplified Arabic" panose="02020603050405020304" pitchFamily="18" charset="-78"/>
            <a:cs typeface="Simplified Arabic" panose="02020603050405020304" pitchFamily="18" charset="-78"/>
          </a:endParaRPr>
        </a:p>
      </dgm:t>
    </dgm:pt>
    <dgm:pt modelId="{2EEBB015-2F25-4256-B63E-2D9C318A10EA}" type="parTrans" cxnId="{43A44D52-186E-4C66-B22D-441AA25DAD69}">
      <dgm:prSet/>
      <dgm:spPr/>
      <dgm:t>
        <a:bodyPr/>
        <a:lstStyle/>
        <a:p>
          <a:pPr algn="r"/>
          <a:endParaRPr lang="fr-FR"/>
        </a:p>
      </dgm:t>
    </dgm:pt>
    <dgm:pt modelId="{9F2A9028-5B85-4D63-880C-325D728717CB}" type="sibTrans" cxnId="{43A44D52-186E-4C66-B22D-441AA25DAD69}">
      <dgm:prSet/>
      <dgm:spPr/>
      <dgm:t>
        <a:bodyPr/>
        <a:lstStyle/>
        <a:p>
          <a:pPr algn="r"/>
          <a:endParaRPr lang="fr-FR"/>
        </a:p>
      </dgm:t>
    </dgm:pt>
    <dgm:pt modelId="{95C3594E-24D3-47DC-807B-04D7D4E2095D}">
      <dgm:prSet phldrT="[Texte]" custT="1">
        <dgm:style>
          <a:lnRef idx="2">
            <a:schemeClr val="dk1"/>
          </a:lnRef>
          <a:fillRef idx="1">
            <a:schemeClr val="lt1"/>
          </a:fillRef>
          <a:effectRef idx="0">
            <a:schemeClr val="dk1"/>
          </a:effectRef>
          <a:fontRef idx="minor">
            <a:schemeClr val="dk1"/>
          </a:fontRef>
        </dgm:style>
      </dgm:prSet>
      <dgm:spPr/>
      <dgm:t>
        <a:bodyPr/>
        <a:lstStyle/>
        <a:p>
          <a:pPr algn="ctr" rtl="1"/>
          <a:r>
            <a:rPr lang="ar-DZ" sz="1200" b="1">
              <a:latin typeface="Simplified Arabic" panose="02020603050405020304" pitchFamily="18" charset="-78"/>
              <a:cs typeface="Simplified Arabic" panose="02020603050405020304" pitchFamily="18" charset="-78"/>
            </a:rPr>
            <a:t>2</a:t>
          </a:r>
          <a:endParaRPr lang="fr-FR" sz="800"/>
        </a:p>
      </dgm:t>
    </dgm:pt>
    <dgm:pt modelId="{B038C367-0E89-4954-A412-33B0EDD5D1E4}" type="parTrans" cxnId="{8AF413AB-1782-4AA7-B0C9-60D36C0C4586}">
      <dgm:prSet/>
      <dgm:spPr/>
      <dgm:t>
        <a:bodyPr/>
        <a:lstStyle/>
        <a:p>
          <a:pPr algn="r"/>
          <a:endParaRPr lang="fr-FR"/>
        </a:p>
      </dgm:t>
    </dgm:pt>
    <dgm:pt modelId="{C6B02888-509A-4834-8E4A-44D3C9378887}" type="sibTrans" cxnId="{8AF413AB-1782-4AA7-B0C9-60D36C0C4586}">
      <dgm:prSet/>
      <dgm:spPr/>
      <dgm:t>
        <a:bodyPr/>
        <a:lstStyle/>
        <a:p>
          <a:pPr algn="r"/>
          <a:endParaRPr lang="fr-FR"/>
        </a:p>
      </dgm:t>
    </dgm:pt>
    <dgm:pt modelId="{B1E9656B-5710-4E81-91CE-478149CA07DC}">
      <dgm:prSet phldrT="[Texte]" custT="1"/>
      <dgm:spPr/>
      <dgm:t>
        <a:bodyPr/>
        <a:lstStyle/>
        <a:p>
          <a:pPr algn="r" rtl="1"/>
          <a:r>
            <a:rPr lang="ar-DZ" sz="1100" b="1">
              <a:latin typeface="Simplified Arabic" panose="02020603050405020304" pitchFamily="18" charset="-78"/>
              <a:cs typeface="Simplified Arabic" panose="02020603050405020304" pitchFamily="18" charset="-78"/>
            </a:rPr>
            <a:t>المراجعة:</a:t>
          </a:r>
          <a:endParaRPr lang="fr-FR" sz="1100">
            <a:latin typeface="Simplified Arabic" panose="02020603050405020304" pitchFamily="18" charset="-78"/>
            <a:cs typeface="Simplified Arabic" panose="02020603050405020304" pitchFamily="18" charset="-78"/>
          </a:endParaRPr>
        </a:p>
      </dgm:t>
    </dgm:pt>
    <dgm:pt modelId="{C81E89AD-B843-4F43-92FD-F4652308694A}" type="parTrans" cxnId="{EE0220CD-86DB-4E3B-885F-7DBC107257F5}">
      <dgm:prSet/>
      <dgm:spPr/>
      <dgm:t>
        <a:bodyPr/>
        <a:lstStyle/>
        <a:p>
          <a:pPr algn="r"/>
          <a:endParaRPr lang="fr-FR"/>
        </a:p>
      </dgm:t>
    </dgm:pt>
    <dgm:pt modelId="{A5B28904-95BB-436C-A590-820343F01033}" type="sibTrans" cxnId="{EE0220CD-86DB-4E3B-885F-7DBC107257F5}">
      <dgm:prSet/>
      <dgm:spPr/>
      <dgm:t>
        <a:bodyPr/>
        <a:lstStyle/>
        <a:p>
          <a:pPr algn="r"/>
          <a:endParaRPr lang="fr-FR"/>
        </a:p>
      </dgm:t>
    </dgm:pt>
    <dgm:pt modelId="{119E2ACA-94D9-4D2B-ABED-8CCCA1C6CCF5}">
      <dgm:prSet phldrT="[Texte]" custT="1">
        <dgm:style>
          <a:lnRef idx="2">
            <a:schemeClr val="dk1"/>
          </a:lnRef>
          <a:fillRef idx="1">
            <a:schemeClr val="lt1"/>
          </a:fillRef>
          <a:effectRef idx="0">
            <a:schemeClr val="dk1"/>
          </a:effectRef>
          <a:fontRef idx="minor">
            <a:schemeClr val="dk1"/>
          </a:fontRef>
        </dgm:style>
      </dgm:prSet>
      <dgm:spPr/>
      <dgm:t>
        <a:bodyPr/>
        <a:lstStyle/>
        <a:p>
          <a:pPr algn="ctr" rtl="1"/>
          <a:r>
            <a:rPr lang="ar-DZ" sz="1200" b="1">
              <a:latin typeface="Simplified Arabic" panose="02020603050405020304" pitchFamily="18" charset="-78"/>
              <a:cs typeface="Simplified Arabic" panose="02020603050405020304" pitchFamily="18" charset="-78"/>
            </a:rPr>
            <a:t>3</a:t>
          </a:r>
          <a:endParaRPr lang="fr-FR" sz="800"/>
        </a:p>
      </dgm:t>
    </dgm:pt>
    <dgm:pt modelId="{7AF29488-2161-48B0-B9FB-FA4B866D20D8}" type="parTrans" cxnId="{C196EFE2-8383-4C70-BBB5-2B8A3C516765}">
      <dgm:prSet/>
      <dgm:spPr/>
      <dgm:t>
        <a:bodyPr/>
        <a:lstStyle/>
        <a:p>
          <a:pPr algn="r"/>
          <a:endParaRPr lang="fr-FR"/>
        </a:p>
      </dgm:t>
    </dgm:pt>
    <dgm:pt modelId="{D459558C-ACCB-4A1D-9984-E3A97F8C448F}" type="sibTrans" cxnId="{C196EFE2-8383-4C70-BBB5-2B8A3C516765}">
      <dgm:prSet/>
      <dgm:spPr/>
      <dgm:t>
        <a:bodyPr/>
        <a:lstStyle/>
        <a:p>
          <a:pPr algn="r"/>
          <a:endParaRPr lang="fr-FR"/>
        </a:p>
      </dgm:t>
    </dgm:pt>
    <dgm:pt modelId="{F52734A0-E96F-4384-806F-5108BD184C5D}">
      <dgm:prSet phldrT="[Texte]" custT="1"/>
      <dgm:spPr/>
      <dgm:t>
        <a:bodyPr/>
        <a:lstStyle/>
        <a:p>
          <a:pPr algn="r" rtl="1"/>
          <a:r>
            <a:rPr lang="ar-DZ" sz="1100" b="1">
              <a:latin typeface="Simplified Arabic" panose="02020603050405020304" pitchFamily="18" charset="-78"/>
              <a:cs typeface="Simplified Arabic" panose="02020603050405020304" pitchFamily="18" charset="-78"/>
            </a:rPr>
            <a:t>توزيع استبيان:</a:t>
          </a:r>
          <a:endParaRPr lang="fr-FR" sz="1100">
            <a:latin typeface="Simplified Arabic" panose="02020603050405020304" pitchFamily="18" charset="-78"/>
            <a:cs typeface="Simplified Arabic" panose="02020603050405020304" pitchFamily="18" charset="-78"/>
          </a:endParaRPr>
        </a:p>
      </dgm:t>
    </dgm:pt>
    <dgm:pt modelId="{4AAF9379-30AD-4D60-B3A4-6828828C46EC}" type="parTrans" cxnId="{26155033-2848-4D73-BB86-DE382923A826}">
      <dgm:prSet/>
      <dgm:spPr/>
      <dgm:t>
        <a:bodyPr/>
        <a:lstStyle/>
        <a:p>
          <a:pPr algn="r"/>
          <a:endParaRPr lang="fr-FR"/>
        </a:p>
      </dgm:t>
    </dgm:pt>
    <dgm:pt modelId="{2E3E14BE-7083-4B49-B3FA-0C24C4B6A3E5}" type="sibTrans" cxnId="{26155033-2848-4D73-BB86-DE382923A826}">
      <dgm:prSet/>
      <dgm:spPr/>
      <dgm:t>
        <a:bodyPr/>
        <a:lstStyle/>
        <a:p>
          <a:pPr algn="r"/>
          <a:endParaRPr lang="fr-FR"/>
        </a:p>
      </dgm:t>
    </dgm:pt>
    <dgm:pt modelId="{374901CA-0B8F-4D59-824C-290D38233192}">
      <dgm:prSet custT="1">
        <dgm:style>
          <a:lnRef idx="2">
            <a:schemeClr val="dk1"/>
          </a:lnRef>
          <a:fillRef idx="1">
            <a:schemeClr val="lt1"/>
          </a:fillRef>
          <a:effectRef idx="0">
            <a:schemeClr val="dk1"/>
          </a:effectRef>
          <a:fontRef idx="minor">
            <a:schemeClr val="dk1"/>
          </a:fontRef>
        </dgm:style>
      </dgm:prSet>
      <dgm:spPr/>
      <dgm:t>
        <a:bodyPr/>
        <a:lstStyle/>
        <a:p>
          <a:pPr algn="ctr" rtl="1"/>
          <a:r>
            <a:rPr lang="ar-DZ" sz="1200">
              <a:latin typeface="Simplified Arabic" panose="02020603050405020304" pitchFamily="18" charset="-78"/>
              <a:cs typeface="Simplified Arabic" panose="02020603050405020304" pitchFamily="18" charset="-78"/>
            </a:rPr>
            <a:t>4</a:t>
          </a:r>
          <a:endParaRPr lang="fr-FR" sz="800">
            <a:latin typeface="Simplified Arabic" panose="02020603050405020304" pitchFamily="18" charset="-78"/>
            <a:cs typeface="Simplified Arabic" panose="02020603050405020304" pitchFamily="18" charset="-78"/>
          </a:endParaRPr>
        </a:p>
      </dgm:t>
    </dgm:pt>
    <dgm:pt modelId="{3521A0CD-DACC-443F-BC04-11B091823BF8}" type="parTrans" cxnId="{5CF2BC60-F74E-47C4-9ED2-81F777DF8210}">
      <dgm:prSet/>
      <dgm:spPr/>
      <dgm:t>
        <a:bodyPr/>
        <a:lstStyle/>
        <a:p>
          <a:pPr algn="r"/>
          <a:endParaRPr lang="fr-FR"/>
        </a:p>
      </dgm:t>
    </dgm:pt>
    <dgm:pt modelId="{2A81C7D2-A16A-4F1F-A142-020C7247AF8A}" type="sibTrans" cxnId="{5CF2BC60-F74E-47C4-9ED2-81F777DF8210}">
      <dgm:prSet/>
      <dgm:spPr/>
      <dgm:t>
        <a:bodyPr/>
        <a:lstStyle/>
        <a:p>
          <a:pPr algn="r"/>
          <a:endParaRPr lang="fr-FR"/>
        </a:p>
      </dgm:t>
    </dgm:pt>
    <dgm:pt modelId="{AC07979A-FBD8-483D-91F2-4DA6A563EDD4}">
      <dgm:prSet custT="1">
        <dgm:style>
          <a:lnRef idx="2">
            <a:schemeClr val="dk1"/>
          </a:lnRef>
          <a:fillRef idx="1">
            <a:schemeClr val="lt1"/>
          </a:fillRef>
          <a:effectRef idx="0">
            <a:schemeClr val="dk1"/>
          </a:effectRef>
          <a:fontRef idx="minor">
            <a:schemeClr val="dk1"/>
          </a:fontRef>
        </dgm:style>
      </dgm:prSet>
      <dgm:spPr/>
      <dgm:t>
        <a:bodyPr/>
        <a:lstStyle/>
        <a:p>
          <a:pPr algn="ctr"/>
          <a:r>
            <a:rPr lang="ar-DZ" sz="1200" b="1">
              <a:latin typeface="Simplified Arabic" panose="02020603050405020304" pitchFamily="18" charset="-78"/>
              <a:cs typeface="Simplified Arabic" panose="02020603050405020304" pitchFamily="18" charset="-78"/>
            </a:rPr>
            <a:t>5</a:t>
          </a:r>
          <a:endParaRPr lang="fr-FR" sz="700"/>
        </a:p>
      </dgm:t>
    </dgm:pt>
    <dgm:pt modelId="{DED36B37-5170-4E93-AE5C-DAF23B6CA565}" type="parTrans" cxnId="{5CA25A2B-BFDD-48AB-9B7E-403A371E4D38}">
      <dgm:prSet/>
      <dgm:spPr/>
      <dgm:t>
        <a:bodyPr/>
        <a:lstStyle/>
        <a:p>
          <a:pPr algn="r"/>
          <a:endParaRPr lang="fr-FR"/>
        </a:p>
      </dgm:t>
    </dgm:pt>
    <dgm:pt modelId="{6FDBC403-929F-4CB3-81AE-A62B8BDBC639}" type="sibTrans" cxnId="{5CA25A2B-BFDD-48AB-9B7E-403A371E4D38}">
      <dgm:prSet/>
      <dgm:spPr/>
      <dgm:t>
        <a:bodyPr/>
        <a:lstStyle/>
        <a:p>
          <a:pPr algn="r"/>
          <a:endParaRPr lang="fr-FR"/>
        </a:p>
      </dgm:t>
    </dgm:pt>
    <dgm:pt modelId="{5C35D0E3-519D-43C5-A0D0-8E25D13D952D}">
      <dgm:prSet custT="1"/>
      <dgm:spPr/>
      <dgm:t>
        <a:bodyPr/>
        <a:lstStyle/>
        <a:p>
          <a:pPr algn="r" rtl="1"/>
          <a:r>
            <a:rPr lang="ar-DZ" sz="1100">
              <a:latin typeface="Simplified Arabic" panose="02020603050405020304" pitchFamily="18" charset="-78"/>
              <a:cs typeface="Simplified Arabic" panose="02020603050405020304" pitchFamily="18" charset="-78"/>
            </a:rPr>
            <a:t>مراجعة لغوية</a:t>
          </a:r>
          <a:endParaRPr lang="fr-FR" sz="1100">
            <a:latin typeface="Simplified Arabic" panose="02020603050405020304" pitchFamily="18" charset="-78"/>
            <a:cs typeface="Simplified Arabic" panose="02020603050405020304" pitchFamily="18" charset="-78"/>
          </a:endParaRPr>
        </a:p>
      </dgm:t>
    </dgm:pt>
    <dgm:pt modelId="{B76300B0-DCEC-4883-9446-D0A47891E58D}" type="parTrans" cxnId="{7BA7CB46-93CF-482A-8D18-DECA9AEAEF9F}">
      <dgm:prSet/>
      <dgm:spPr/>
      <dgm:t>
        <a:bodyPr/>
        <a:lstStyle/>
        <a:p>
          <a:pPr algn="r"/>
          <a:endParaRPr lang="fr-FR"/>
        </a:p>
      </dgm:t>
    </dgm:pt>
    <dgm:pt modelId="{97C784E8-A956-4C98-AA19-6EE5CFBCE247}" type="sibTrans" cxnId="{7BA7CB46-93CF-482A-8D18-DECA9AEAEF9F}">
      <dgm:prSet/>
      <dgm:spPr/>
      <dgm:t>
        <a:bodyPr/>
        <a:lstStyle/>
        <a:p>
          <a:pPr algn="r"/>
          <a:endParaRPr lang="fr-FR"/>
        </a:p>
      </dgm:t>
    </dgm:pt>
    <dgm:pt modelId="{3B116CD0-63ED-4D04-A03B-CDB9250AE236}">
      <dgm:prSet phldrT="[Texte]" custT="1"/>
      <dgm:spPr/>
      <dgm:t>
        <a:bodyPr/>
        <a:lstStyle/>
        <a:p>
          <a:pPr algn="r" rtl="1"/>
          <a:r>
            <a:rPr lang="ar-DZ" sz="1100">
              <a:latin typeface="Simplified Arabic" panose="02020603050405020304" pitchFamily="18" charset="-78"/>
              <a:cs typeface="Simplified Arabic" panose="02020603050405020304" pitchFamily="18" charset="-78"/>
            </a:rPr>
            <a:t>الاطلاع على الابحاث</a:t>
          </a:r>
          <a:endParaRPr lang="fr-FR" sz="1100">
            <a:latin typeface="Simplified Arabic" panose="02020603050405020304" pitchFamily="18" charset="-78"/>
            <a:cs typeface="Simplified Arabic" panose="02020603050405020304" pitchFamily="18" charset="-78"/>
          </a:endParaRPr>
        </a:p>
      </dgm:t>
    </dgm:pt>
    <dgm:pt modelId="{6DF19332-278C-4210-8E18-238DFF8AB1B5}" type="parTrans" cxnId="{D00F09E5-7219-4654-95D1-1C86D5A76D83}">
      <dgm:prSet/>
      <dgm:spPr/>
      <dgm:t>
        <a:bodyPr/>
        <a:lstStyle/>
        <a:p>
          <a:pPr algn="r"/>
          <a:endParaRPr lang="fr-FR"/>
        </a:p>
      </dgm:t>
    </dgm:pt>
    <dgm:pt modelId="{9AFE0625-7926-4E27-AF39-3F3741117C33}" type="sibTrans" cxnId="{D00F09E5-7219-4654-95D1-1C86D5A76D83}">
      <dgm:prSet/>
      <dgm:spPr/>
      <dgm:t>
        <a:bodyPr/>
        <a:lstStyle/>
        <a:p>
          <a:pPr algn="r"/>
          <a:endParaRPr lang="fr-FR"/>
        </a:p>
      </dgm:t>
    </dgm:pt>
    <dgm:pt modelId="{DED191A0-093A-4DAD-B6D6-9089DB524EC4}">
      <dgm:prSet custT="1"/>
      <dgm:spPr/>
      <dgm:t>
        <a:bodyPr/>
        <a:lstStyle/>
        <a:p>
          <a:pPr algn="r" rtl="1"/>
          <a:r>
            <a:rPr lang="ar-DZ" sz="1100">
              <a:latin typeface="Simplified Arabic" panose="02020603050405020304" pitchFamily="18" charset="-78"/>
              <a:cs typeface="Simplified Arabic" panose="02020603050405020304" pitchFamily="18" charset="-78"/>
            </a:rPr>
            <a:t>الإنترنت (اداة </a:t>
          </a:r>
          <a:r>
            <a:rPr lang="fr-FR" sz="1100">
              <a:latin typeface="Times New Roman" panose="02020603050405020304" pitchFamily="18" charset="0"/>
              <a:cs typeface="Times New Roman" panose="02020603050405020304" pitchFamily="18" charset="0"/>
            </a:rPr>
            <a:t>Web</a:t>
          </a:r>
          <a:r>
            <a:rPr lang="ar-DZ" sz="1100">
              <a:latin typeface="Simplified Arabic" panose="02020603050405020304" pitchFamily="18" charset="-78"/>
              <a:cs typeface="Simplified Arabic" panose="02020603050405020304" pitchFamily="18" charset="-78"/>
            </a:rPr>
            <a:t> </a:t>
          </a:r>
          <a:r>
            <a:rPr lang="fr-FR" sz="1100">
              <a:latin typeface="Simplified Arabic" panose="02020603050405020304" pitchFamily="18" charset="-78"/>
              <a:cs typeface="Simplified Arabic" panose="02020603050405020304" pitchFamily="18" charset="-78"/>
            </a:rPr>
            <a:t>(</a:t>
          </a:r>
        </a:p>
      </dgm:t>
    </dgm:pt>
    <dgm:pt modelId="{57B6178B-8EEB-4078-9B9D-9821C846F118}" type="parTrans" cxnId="{A59E0CF4-FF36-4F8C-A06E-BA019D79EF7F}">
      <dgm:prSet/>
      <dgm:spPr/>
      <dgm:t>
        <a:bodyPr/>
        <a:lstStyle/>
        <a:p>
          <a:pPr algn="r"/>
          <a:endParaRPr lang="fr-FR"/>
        </a:p>
      </dgm:t>
    </dgm:pt>
    <dgm:pt modelId="{15F123ED-62AE-4352-A121-5E2AC570AE49}" type="sibTrans" cxnId="{A59E0CF4-FF36-4F8C-A06E-BA019D79EF7F}">
      <dgm:prSet/>
      <dgm:spPr/>
      <dgm:t>
        <a:bodyPr/>
        <a:lstStyle/>
        <a:p>
          <a:pPr algn="r"/>
          <a:endParaRPr lang="fr-FR"/>
        </a:p>
      </dgm:t>
    </dgm:pt>
    <dgm:pt modelId="{0EED7405-BB05-44AE-A6D4-2FDC12E4DF66}">
      <dgm:prSet custT="1"/>
      <dgm:spPr/>
      <dgm:t>
        <a:bodyPr/>
        <a:lstStyle/>
        <a:p>
          <a:pPr algn="r" rtl="1"/>
          <a:r>
            <a:rPr lang="ar-DZ" sz="1100">
              <a:latin typeface="Simplified Arabic" panose="02020603050405020304" pitchFamily="18" charset="-78"/>
              <a:cs typeface="Simplified Arabic" panose="02020603050405020304" pitchFamily="18" charset="-78"/>
            </a:rPr>
            <a:t>جمع البيانات</a:t>
          </a:r>
          <a:endParaRPr lang="fr-FR" sz="1100">
            <a:latin typeface="Simplified Arabic" panose="02020603050405020304" pitchFamily="18" charset="-78"/>
            <a:cs typeface="Simplified Arabic" panose="02020603050405020304" pitchFamily="18" charset="-78"/>
          </a:endParaRPr>
        </a:p>
      </dgm:t>
    </dgm:pt>
    <dgm:pt modelId="{0A83BEEF-C8DA-4011-A8AA-22CB091415D7}" type="parTrans" cxnId="{7D4C2D0B-EAF2-48E9-8F5B-1A83C3152559}">
      <dgm:prSet/>
      <dgm:spPr/>
      <dgm:t>
        <a:bodyPr/>
        <a:lstStyle/>
        <a:p>
          <a:pPr algn="r"/>
          <a:endParaRPr lang="fr-FR"/>
        </a:p>
      </dgm:t>
    </dgm:pt>
    <dgm:pt modelId="{1E2F0D5A-AEEF-4E28-A637-F71412182F2A}" type="sibTrans" cxnId="{7D4C2D0B-EAF2-48E9-8F5B-1A83C3152559}">
      <dgm:prSet/>
      <dgm:spPr/>
      <dgm:t>
        <a:bodyPr/>
        <a:lstStyle/>
        <a:p>
          <a:pPr algn="r"/>
          <a:endParaRPr lang="fr-FR"/>
        </a:p>
      </dgm:t>
    </dgm:pt>
    <dgm:pt modelId="{014ACA7B-0BCE-460E-AE9A-F342D58FCC42}">
      <dgm:prSet custT="1"/>
      <dgm:spPr/>
      <dgm:t>
        <a:bodyPr/>
        <a:lstStyle/>
        <a:p>
          <a:pPr algn="ctr" rtl="1"/>
          <a:r>
            <a:rPr lang="ar-DZ" sz="1100">
              <a:latin typeface="Simplified Arabic" panose="02020603050405020304" pitchFamily="18" charset="-78"/>
              <a:cs typeface="Simplified Arabic" panose="02020603050405020304" pitchFamily="18" charset="-78"/>
            </a:rPr>
            <a:t>تحليل البيانات برنامج إحصاء </a:t>
          </a:r>
          <a:r>
            <a:rPr lang="ar-DZ" sz="1000" b="1">
              <a:latin typeface="Simplified Arabic" panose="02020603050405020304" pitchFamily="18" charset="-78"/>
              <a:cs typeface="+mj-cs"/>
            </a:rPr>
            <a:t>(</a:t>
          </a:r>
          <a:r>
            <a:rPr lang="en-US" sz="1000" b="0">
              <a:latin typeface="Times New Roman" panose="02020603050405020304" pitchFamily="18" charset="0"/>
              <a:cs typeface="Times New Roman" panose="02020603050405020304" pitchFamily="18" charset="0"/>
            </a:rPr>
            <a:t>Excel</a:t>
          </a:r>
          <a:r>
            <a:rPr lang="ar-DZ" sz="1000" b="1">
              <a:latin typeface="Simplified Arabic" panose="02020603050405020304" pitchFamily="18" charset="-78"/>
              <a:cs typeface="+mj-cs"/>
            </a:rPr>
            <a:t>)</a:t>
          </a:r>
          <a:endParaRPr lang="fr-FR" sz="1000" b="1">
            <a:latin typeface="Simplified Arabic" panose="02020603050405020304" pitchFamily="18" charset="-78"/>
            <a:cs typeface="+mj-cs"/>
          </a:endParaRPr>
        </a:p>
      </dgm:t>
    </dgm:pt>
    <dgm:pt modelId="{DD3E6EBC-8947-43CF-8B76-CD4E730AEBF9}" type="sibTrans" cxnId="{3E1BA4F5-A5EE-4090-9A5C-0F5CAAC64766}">
      <dgm:prSet/>
      <dgm:spPr/>
      <dgm:t>
        <a:bodyPr/>
        <a:lstStyle/>
        <a:p>
          <a:pPr algn="r"/>
          <a:endParaRPr lang="fr-FR"/>
        </a:p>
      </dgm:t>
    </dgm:pt>
    <dgm:pt modelId="{24F896BE-B596-48C6-9063-5B5C42727D60}" type="parTrans" cxnId="{3E1BA4F5-A5EE-4090-9A5C-0F5CAAC64766}">
      <dgm:prSet/>
      <dgm:spPr/>
      <dgm:t>
        <a:bodyPr/>
        <a:lstStyle/>
        <a:p>
          <a:pPr algn="r"/>
          <a:endParaRPr lang="fr-FR"/>
        </a:p>
      </dgm:t>
    </dgm:pt>
    <dgm:pt modelId="{A138C64E-BE07-4277-BC9F-5F43864F5B7A}" type="pres">
      <dgm:prSet presAssocID="{0E110800-F610-4F28-A084-EB7E9FE0BCDF}" presName="linearFlow" presStyleCnt="0">
        <dgm:presLayoutVars>
          <dgm:dir val="rev"/>
          <dgm:animLvl val="lvl"/>
          <dgm:resizeHandles val="exact"/>
        </dgm:presLayoutVars>
      </dgm:prSet>
      <dgm:spPr/>
      <dgm:t>
        <a:bodyPr/>
        <a:lstStyle/>
        <a:p>
          <a:endParaRPr lang="fr-FR"/>
        </a:p>
      </dgm:t>
    </dgm:pt>
    <dgm:pt modelId="{D7B9E11B-C2E1-4A02-B62C-716EF6B02DF8}" type="pres">
      <dgm:prSet presAssocID="{D8A17FEE-A75B-4946-A0F8-0573936871C5}" presName="composite" presStyleCnt="0"/>
      <dgm:spPr/>
    </dgm:pt>
    <dgm:pt modelId="{0E7AB544-170C-4BEF-803C-2C16E6501F04}" type="pres">
      <dgm:prSet presAssocID="{D8A17FEE-A75B-4946-A0F8-0573936871C5}" presName="parTx" presStyleLbl="node1" presStyleIdx="0" presStyleCnt="5">
        <dgm:presLayoutVars>
          <dgm:chMax val="0"/>
          <dgm:chPref val="0"/>
          <dgm:bulletEnabled val="1"/>
        </dgm:presLayoutVars>
      </dgm:prSet>
      <dgm:spPr/>
      <dgm:t>
        <a:bodyPr/>
        <a:lstStyle/>
        <a:p>
          <a:endParaRPr lang="fr-FR"/>
        </a:p>
      </dgm:t>
    </dgm:pt>
    <dgm:pt modelId="{61479F16-3621-4A11-8DD5-22E7701143F5}" type="pres">
      <dgm:prSet presAssocID="{D8A17FEE-A75B-4946-A0F8-0573936871C5}" presName="parSh" presStyleLbl="node1" presStyleIdx="0" presStyleCnt="5" custScaleX="159815" custScaleY="166667" custLinFactNeighborX="-58935" custLinFactNeighborY="-38026"/>
      <dgm:spPr>
        <a:prstGeom prst="ellipse">
          <a:avLst/>
        </a:prstGeom>
      </dgm:spPr>
      <dgm:t>
        <a:bodyPr/>
        <a:lstStyle/>
        <a:p>
          <a:endParaRPr lang="fr-FR"/>
        </a:p>
      </dgm:t>
    </dgm:pt>
    <dgm:pt modelId="{D048F298-AD3F-41F8-88B3-E33208ACA93C}" type="pres">
      <dgm:prSet presAssocID="{D8A17FEE-A75B-4946-A0F8-0573936871C5}" presName="desTx" presStyleLbl="fgAcc1" presStyleIdx="0" presStyleCnt="5" custScaleX="524944" custScaleY="92381" custLinFactNeighborX="-38308" custLinFactNeighborY="16595">
        <dgm:presLayoutVars>
          <dgm:bulletEnabled val="1"/>
        </dgm:presLayoutVars>
      </dgm:prSet>
      <dgm:spPr/>
      <dgm:t>
        <a:bodyPr/>
        <a:lstStyle/>
        <a:p>
          <a:endParaRPr lang="fr-FR"/>
        </a:p>
      </dgm:t>
    </dgm:pt>
    <dgm:pt modelId="{ADA0B68D-5658-4CE3-9566-0755DC5BBFFC}" type="pres">
      <dgm:prSet presAssocID="{02096BE3-F2FA-478C-9503-77132370A660}" presName="sibTrans" presStyleLbl="sibTrans2D1" presStyleIdx="0" presStyleCnt="4" custAng="21586286" custScaleX="133733" custScaleY="307488" custLinFactNeighborX="-12799" custLinFactNeighborY="74334"/>
      <dgm:spPr/>
      <dgm:t>
        <a:bodyPr/>
        <a:lstStyle/>
        <a:p>
          <a:endParaRPr lang="fr-FR"/>
        </a:p>
      </dgm:t>
    </dgm:pt>
    <dgm:pt modelId="{A256D8B9-3AA2-4596-BCA3-63A33DDCE5C5}" type="pres">
      <dgm:prSet presAssocID="{02096BE3-F2FA-478C-9503-77132370A660}" presName="connTx" presStyleLbl="sibTrans2D1" presStyleIdx="0" presStyleCnt="4"/>
      <dgm:spPr/>
      <dgm:t>
        <a:bodyPr/>
        <a:lstStyle/>
        <a:p>
          <a:endParaRPr lang="fr-FR"/>
        </a:p>
      </dgm:t>
    </dgm:pt>
    <dgm:pt modelId="{9324829F-9801-4E6F-9961-68330663103C}" type="pres">
      <dgm:prSet presAssocID="{95C3594E-24D3-47DC-807B-04D7D4E2095D}" presName="composite" presStyleCnt="0"/>
      <dgm:spPr/>
    </dgm:pt>
    <dgm:pt modelId="{5177F2F1-8E56-4191-A443-EE1E00CD10C9}" type="pres">
      <dgm:prSet presAssocID="{95C3594E-24D3-47DC-807B-04D7D4E2095D}" presName="parTx" presStyleLbl="node1" presStyleIdx="0" presStyleCnt="5">
        <dgm:presLayoutVars>
          <dgm:chMax val="0"/>
          <dgm:chPref val="0"/>
          <dgm:bulletEnabled val="1"/>
        </dgm:presLayoutVars>
      </dgm:prSet>
      <dgm:spPr/>
      <dgm:t>
        <a:bodyPr/>
        <a:lstStyle/>
        <a:p>
          <a:endParaRPr lang="fr-FR"/>
        </a:p>
      </dgm:t>
    </dgm:pt>
    <dgm:pt modelId="{60AF9CD0-670E-40D9-8F1D-B057D41C85F3}" type="pres">
      <dgm:prSet presAssocID="{95C3594E-24D3-47DC-807B-04D7D4E2095D}" presName="parSh" presStyleLbl="node1" presStyleIdx="1" presStyleCnt="5" custScaleX="159815" custScaleY="166667" custLinFactNeighborX="-49603" custLinFactNeighborY="-40425"/>
      <dgm:spPr>
        <a:prstGeom prst="ellipse">
          <a:avLst/>
        </a:prstGeom>
      </dgm:spPr>
      <dgm:t>
        <a:bodyPr/>
        <a:lstStyle/>
        <a:p>
          <a:endParaRPr lang="fr-FR"/>
        </a:p>
      </dgm:t>
    </dgm:pt>
    <dgm:pt modelId="{D5D30473-44A0-4A5D-800F-C2AB4E98487A}" type="pres">
      <dgm:prSet presAssocID="{95C3594E-24D3-47DC-807B-04D7D4E2095D}" presName="desTx" presStyleLbl="fgAcc1" presStyleIdx="1" presStyleCnt="5" custScaleX="407555" custScaleY="97646" custLinFactNeighborX="-29736" custLinFactNeighborY="19133">
        <dgm:presLayoutVars>
          <dgm:bulletEnabled val="1"/>
        </dgm:presLayoutVars>
      </dgm:prSet>
      <dgm:spPr/>
      <dgm:t>
        <a:bodyPr/>
        <a:lstStyle/>
        <a:p>
          <a:endParaRPr lang="fr-FR"/>
        </a:p>
      </dgm:t>
    </dgm:pt>
    <dgm:pt modelId="{DB54BBEA-D4D7-4FC0-9D8C-944C9552595D}" type="pres">
      <dgm:prSet presAssocID="{C6B02888-509A-4834-8E4A-44D3C9378887}" presName="sibTrans" presStyleLbl="sibTrans2D1" presStyleIdx="1" presStyleCnt="4" custScaleX="115665" custScaleY="307488" custLinFactNeighborX="7530" custLinFactNeighborY="79531"/>
      <dgm:spPr/>
      <dgm:t>
        <a:bodyPr/>
        <a:lstStyle/>
        <a:p>
          <a:endParaRPr lang="fr-FR"/>
        </a:p>
      </dgm:t>
    </dgm:pt>
    <dgm:pt modelId="{A7FF8BB1-42CC-4A2E-8AC3-97AAB33AFC82}" type="pres">
      <dgm:prSet presAssocID="{C6B02888-509A-4834-8E4A-44D3C9378887}" presName="connTx" presStyleLbl="sibTrans2D1" presStyleIdx="1" presStyleCnt="4"/>
      <dgm:spPr/>
      <dgm:t>
        <a:bodyPr/>
        <a:lstStyle/>
        <a:p>
          <a:endParaRPr lang="fr-FR"/>
        </a:p>
      </dgm:t>
    </dgm:pt>
    <dgm:pt modelId="{F6372AB9-ADC8-42DC-8493-BF68C8E16371}" type="pres">
      <dgm:prSet presAssocID="{119E2ACA-94D9-4D2B-ABED-8CCCA1C6CCF5}" presName="composite" presStyleCnt="0"/>
      <dgm:spPr/>
    </dgm:pt>
    <dgm:pt modelId="{2DB1CC61-3BFD-4895-98FA-A1D8465CE5F5}" type="pres">
      <dgm:prSet presAssocID="{119E2ACA-94D9-4D2B-ABED-8CCCA1C6CCF5}" presName="parTx" presStyleLbl="node1" presStyleIdx="1" presStyleCnt="5">
        <dgm:presLayoutVars>
          <dgm:chMax val="0"/>
          <dgm:chPref val="0"/>
          <dgm:bulletEnabled val="1"/>
        </dgm:presLayoutVars>
      </dgm:prSet>
      <dgm:spPr/>
      <dgm:t>
        <a:bodyPr/>
        <a:lstStyle/>
        <a:p>
          <a:endParaRPr lang="fr-FR"/>
        </a:p>
      </dgm:t>
    </dgm:pt>
    <dgm:pt modelId="{E5D3A23F-EBB1-48F4-AA19-A215A4BE9BD7}" type="pres">
      <dgm:prSet presAssocID="{119E2ACA-94D9-4D2B-ABED-8CCCA1C6CCF5}" presName="parSh" presStyleLbl="node1" presStyleIdx="2" presStyleCnt="5" custScaleX="159815" custScaleY="165884" custLinFactNeighborX="-39469" custLinFactNeighborY="-40598"/>
      <dgm:spPr>
        <a:prstGeom prst="ellipse">
          <a:avLst/>
        </a:prstGeom>
      </dgm:spPr>
      <dgm:t>
        <a:bodyPr/>
        <a:lstStyle/>
        <a:p>
          <a:endParaRPr lang="fr-FR"/>
        </a:p>
      </dgm:t>
    </dgm:pt>
    <dgm:pt modelId="{F5A1E78E-154D-4BF4-84D9-FD4DB916BAEC}" type="pres">
      <dgm:prSet presAssocID="{119E2ACA-94D9-4D2B-ABED-8CCCA1C6CCF5}" presName="desTx" presStyleLbl="fgAcc1" presStyleIdx="2" presStyleCnt="5" custScaleX="478310" custScaleY="99031" custLinFactNeighborX="-19853" custLinFactNeighborY="19122">
        <dgm:presLayoutVars>
          <dgm:bulletEnabled val="1"/>
        </dgm:presLayoutVars>
      </dgm:prSet>
      <dgm:spPr/>
      <dgm:t>
        <a:bodyPr/>
        <a:lstStyle/>
        <a:p>
          <a:endParaRPr lang="fr-FR"/>
        </a:p>
      </dgm:t>
    </dgm:pt>
    <dgm:pt modelId="{8E9415A4-3E9B-4923-8D4F-D88BDC6FE7CD}" type="pres">
      <dgm:prSet presAssocID="{D459558C-ACCB-4A1D-9984-E3A97F8C448F}" presName="sibTrans" presStyleLbl="sibTrans2D1" presStyleIdx="2" presStyleCnt="4" custScaleX="104473" custScaleY="307487" custLinFactNeighborX="-10445" custLinFactNeighborY="94482"/>
      <dgm:spPr/>
      <dgm:t>
        <a:bodyPr/>
        <a:lstStyle/>
        <a:p>
          <a:endParaRPr lang="fr-FR"/>
        </a:p>
      </dgm:t>
    </dgm:pt>
    <dgm:pt modelId="{821CC870-BF70-4448-B589-B48328E470B1}" type="pres">
      <dgm:prSet presAssocID="{D459558C-ACCB-4A1D-9984-E3A97F8C448F}" presName="connTx" presStyleLbl="sibTrans2D1" presStyleIdx="2" presStyleCnt="4"/>
      <dgm:spPr/>
      <dgm:t>
        <a:bodyPr/>
        <a:lstStyle/>
        <a:p>
          <a:endParaRPr lang="fr-FR"/>
        </a:p>
      </dgm:t>
    </dgm:pt>
    <dgm:pt modelId="{98F5EFE3-622D-481A-A8BD-BAA7192C44ED}" type="pres">
      <dgm:prSet presAssocID="{374901CA-0B8F-4D59-824C-290D38233192}" presName="composite" presStyleCnt="0"/>
      <dgm:spPr/>
    </dgm:pt>
    <dgm:pt modelId="{43ADBAA6-F32F-491C-AA90-215E87FEB605}" type="pres">
      <dgm:prSet presAssocID="{374901CA-0B8F-4D59-824C-290D38233192}" presName="parTx" presStyleLbl="node1" presStyleIdx="2" presStyleCnt="5">
        <dgm:presLayoutVars>
          <dgm:chMax val="0"/>
          <dgm:chPref val="0"/>
          <dgm:bulletEnabled val="1"/>
        </dgm:presLayoutVars>
      </dgm:prSet>
      <dgm:spPr/>
      <dgm:t>
        <a:bodyPr/>
        <a:lstStyle/>
        <a:p>
          <a:endParaRPr lang="fr-FR"/>
        </a:p>
      </dgm:t>
    </dgm:pt>
    <dgm:pt modelId="{7B472E2B-E5BF-4530-9BC3-4B5E01EA247A}" type="pres">
      <dgm:prSet presAssocID="{374901CA-0B8F-4D59-824C-290D38233192}" presName="parSh" presStyleLbl="node1" presStyleIdx="3" presStyleCnt="5" custScaleX="159815" custScaleY="166667" custLinFactNeighborX="-27321" custLinFactNeighborY="-43673"/>
      <dgm:spPr>
        <a:prstGeom prst="ellipse">
          <a:avLst/>
        </a:prstGeom>
      </dgm:spPr>
      <dgm:t>
        <a:bodyPr/>
        <a:lstStyle/>
        <a:p>
          <a:endParaRPr lang="fr-FR"/>
        </a:p>
      </dgm:t>
    </dgm:pt>
    <dgm:pt modelId="{DBA72AD1-5341-4ADD-8506-63DCF895E2B6}" type="pres">
      <dgm:prSet presAssocID="{374901CA-0B8F-4D59-824C-290D38233192}" presName="desTx" presStyleLbl="fgAcc1" presStyleIdx="3" presStyleCnt="5" custScaleX="416429" custScaleY="99047" custLinFactNeighborX="-14601" custLinFactNeighborY="19871">
        <dgm:presLayoutVars>
          <dgm:bulletEnabled val="1"/>
        </dgm:presLayoutVars>
      </dgm:prSet>
      <dgm:spPr/>
      <dgm:t>
        <a:bodyPr/>
        <a:lstStyle/>
        <a:p>
          <a:endParaRPr lang="fr-FR"/>
        </a:p>
      </dgm:t>
    </dgm:pt>
    <dgm:pt modelId="{EDDDD3E0-E61C-4C67-A2D8-1113B514415F}" type="pres">
      <dgm:prSet presAssocID="{2A81C7D2-A16A-4F1F-A142-020C7247AF8A}" presName="sibTrans" presStyleLbl="sibTrans2D1" presStyleIdx="3" presStyleCnt="4" custScaleX="112845" custScaleY="307487" custLinFactNeighborX="-2078" custLinFactNeighborY="83904"/>
      <dgm:spPr/>
      <dgm:t>
        <a:bodyPr/>
        <a:lstStyle/>
        <a:p>
          <a:endParaRPr lang="fr-FR"/>
        </a:p>
      </dgm:t>
    </dgm:pt>
    <dgm:pt modelId="{9F70CC29-AC60-434D-B513-D2F565675237}" type="pres">
      <dgm:prSet presAssocID="{2A81C7D2-A16A-4F1F-A142-020C7247AF8A}" presName="connTx" presStyleLbl="sibTrans2D1" presStyleIdx="3" presStyleCnt="4"/>
      <dgm:spPr/>
      <dgm:t>
        <a:bodyPr/>
        <a:lstStyle/>
        <a:p>
          <a:endParaRPr lang="fr-FR"/>
        </a:p>
      </dgm:t>
    </dgm:pt>
    <dgm:pt modelId="{99C6F131-28B1-46F5-83A2-CC5CFE5B382C}" type="pres">
      <dgm:prSet presAssocID="{AC07979A-FBD8-483D-91F2-4DA6A563EDD4}" presName="composite" presStyleCnt="0"/>
      <dgm:spPr/>
    </dgm:pt>
    <dgm:pt modelId="{F114FD99-1D6D-489F-8980-490BDFFDCC43}" type="pres">
      <dgm:prSet presAssocID="{AC07979A-FBD8-483D-91F2-4DA6A563EDD4}" presName="parTx" presStyleLbl="node1" presStyleIdx="3" presStyleCnt="5">
        <dgm:presLayoutVars>
          <dgm:chMax val="0"/>
          <dgm:chPref val="0"/>
          <dgm:bulletEnabled val="1"/>
        </dgm:presLayoutVars>
      </dgm:prSet>
      <dgm:spPr/>
      <dgm:t>
        <a:bodyPr/>
        <a:lstStyle/>
        <a:p>
          <a:endParaRPr lang="fr-FR"/>
        </a:p>
      </dgm:t>
    </dgm:pt>
    <dgm:pt modelId="{BC6050B1-A255-4CAB-AD27-EBA74847CD4B}" type="pres">
      <dgm:prSet presAssocID="{AC07979A-FBD8-483D-91F2-4DA6A563EDD4}" presName="parSh" presStyleLbl="node1" presStyleIdx="4" presStyleCnt="5" custScaleX="159815" custScaleY="166667" custLinFactNeighborX="-21402" custLinFactNeighborY="-42660"/>
      <dgm:spPr>
        <a:prstGeom prst="ellipse">
          <a:avLst/>
        </a:prstGeom>
      </dgm:spPr>
      <dgm:t>
        <a:bodyPr/>
        <a:lstStyle/>
        <a:p>
          <a:endParaRPr lang="fr-FR"/>
        </a:p>
      </dgm:t>
    </dgm:pt>
    <dgm:pt modelId="{983C1F0B-5563-4FEC-8A6B-A4DACDBC2AD5}" type="pres">
      <dgm:prSet presAssocID="{AC07979A-FBD8-483D-91F2-4DA6A563EDD4}" presName="desTx" presStyleLbl="fgAcc1" presStyleIdx="4" presStyleCnt="5" custScaleX="442393" custScaleY="99063" custLinFactNeighborX="-5166" custLinFactNeighborY="20524">
        <dgm:presLayoutVars>
          <dgm:bulletEnabled val="1"/>
        </dgm:presLayoutVars>
      </dgm:prSet>
      <dgm:spPr/>
      <dgm:t>
        <a:bodyPr/>
        <a:lstStyle/>
        <a:p>
          <a:endParaRPr lang="fr-FR"/>
        </a:p>
      </dgm:t>
    </dgm:pt>
  </dgm:ptLst>
  <dgm:cxnLst>
    <dgm:cxn modelId="{8F8B957F-10DD-40BA-9E9F-5EDA7DD59F8B}" type="presOf" srcId="{374901CA-0B8F-4D59-824C-290D38233192}" destId="{7B472E2B-E5BF-4530-9BC3-4B5E01EA247A}" srcOrd="1" destOrd="0" presId="urn:microsoft.com/office/officeart/2005/8/layout/process3"/>
    <dgm:cxn modelId="{44520BCD-A80D-45E9-A559-1945C13E4CD2}" type="presOf" srcId="{119E2ACA-94D9-4D2B-ABED-8CCCA1C6CCF5}" destId="{E5D3A23F-EBB1-48F4-AA19-A215A4BE9BD7}" srcOrd="1" destOrd="0" presId="urn:microsoft.com/office/officeart/2005/8/layout/process3"/>
    <dgm:cxn modelId="{15FB26A4-F142-4B9B-A829-3AABC6D310AC}" type="presOf" srcId="{014ACA7B-0BCE-460E-AE9A-F342D58FCC42}" destId="{983C1F0B-5563-4FEC-8A6B-A4DACDBC2AD5}" srcOrd="0" destOrd="0" presId="urn:microsoft.com/office/officeart/2005/8/layout/process3"/>
    <dgm:cxn modelId="{7BA7CB46-93CF-482A-8D18-DECA9AEAEF9F}" srcId="{95C3594E-24D3-47DC-807B-04D7D4E2095D}" destId="{5C35D0E3-519D-43C5-A0D0-8E25D13D952D}" srcOrd="1" destOrd="0" parTransId="{B76300B0-DCEC-4883-9446-D0A47891E58D}" sibTransId="{97C784E8-A956-4C98-AA19-6EE5CFBCE247}"/>
    <dgm:cxn modelId="{7D4C2D0B-EAF2-48E9-8F5B-1A83C3152559}" srcId="{374901CA-0B8F-4D59-824C-290D38233192}" destId="{0EED7405-BB05-44AE-A6D4-2FDC12E4DF66}" srcOrd="0" destOrd="0" parTransId="{0A83BEEF-C8DA-4011-A8AA-22CB091415D7}" sibTransId="{1E2F0D5A-AEEF-4E28-A637-F71412182F2A}"/>
    <dgm:cxn modelId="{96DED77A-D538-4978-A403-7CD443829124}" type="presOf" srcId="{119E2ACA-94D9-4D2B-ABED-8CCCA1C6CCF5}" destId="{2DB1CC61-3BFD-4895-98FA-A1D8465CE5F5}" srcOrd="0" destOrd="0" presId="urn:microsoft.com/office/officeart/2005/8/layout/process3"/>
    <dgm:cxn modelId="{5CF2BC60-F74E-47C4-9ED2-81F777DF8210}" srcId="{0E110800-F610-4F28-A084-EB7E9FE0BCDF}" destId="{374901CA-0B8F-4D59-824C-290D38233192}" srcOrd="3" destOrd="0" parTransId="{3521A0CD-DACC-443F-BC04-11B091823BF8}" sibTransId="{2A81C7D2-A16A-4F1F-A142-020C7247AF8A}"/>
    <dgm:cxn modelId="{C196EFE2-8383-4C70-BBB5-2B8A3C516765}" srcId="{0E110800-F610-4F28-A084-EB7E9FE0BCDF}" destId="{119E2ACA-94D9-4D2B-ABED-8CCCA1C6CCF5}" srcOrd="2" destOrd="0" parTransId="{7AF29488-2161-48B0-B9FB-FA4B866D20D8}" sibTransId="{D459558C-ACCB-4A1D-9984-E3A97F8C448F}"/>
    <dgm:cxn modelId="{43A44D52-186E-4C66-B22D-441AA25DAD69}" srcId="{D8A17FEE-A75B-4946-A0F8-0573936871C5}" destId="{E84B4FC8-4C90-4CED-B0D5-ECD49975D080}" srcOrd="0" destOrd="0" parTransId="{2EEBB015-2F25-4256-B63E-2D9C318A10EA}" sibTransId="{9F2A9028-5B85-4D63-880C-325D728717CB}"/>
    <dgm:cxn modelId="{DFE917F6-FA23-48F1-A7AA-47176528657D}" type="presOf" srcId="{95C3594E-24D3-47DC-807B-04D7D4E2095D}" destId="{60AF9CD0-670E-40D9-8F1D-B057D41C85F3}" srcOrd="1" destOrd="0" presId="urn:microsoft.com/office/officeart/2005/8/layout/process3"/>
    <dgm:cxn modelId="{3E1BA4F5-A5EE-4090-9A5C-0F5CAAC64766}" srcId="{AC07979A-FBD8-483D-91F2-4DA6A563EDD4}" destId="{014ACA7B-0BCE-460E-AE9A-F342D58FCC42}" srcOrd="0" destOrd="0" parTransId="{24F896BE-B596-48C6-9063-5B5C42727D60}" sibTransId="{DD3E6EBC-8947-43CF-8B76-CD4E730AEBF9}"/>
    <dgm:cxn modelId="{5CA25A2B-BFDD-48AB-9B7E-403A371E4D38}" srcId="{0E110800-F610-4F28-A084-EB7E9FE0BCDF}" destId="{AC07979A-FBD8-483D-91F2-4DA6A563EDD4}" srcOrd="4" destOrd="0" parTransId="{DED36B37-5170-4E93-AE5C-DAF23B6CA565}" sibTransId="{6FDBC403-929F-4CB3-81AE-A62B8BDBC639}"/>
    <dgm:cxn modelId="{38E068AB-7260-4E49-9F73-2A2B09C38A39}" type="presOf" srcId="{95C3594E-24D3-47DC-807B-04D7D4E2095D}" destId="{5177F2F1-8E56-4191-A443-EE1E00CD10C9}" srcOrd="0" destOrd="0" presId="urn:microsoft.com/office/officeart/2005/8/layout/process3"/>
    <dgm:cxn modelId="{EE0220CD-86DB-4E3B-885F-7DBC107257F5}" srcId="{95C3594E-24D3-47DC-807B-04D7D4E2095D}" destId="{B1E9656B-5710-4E81-91CE-478149CA07DC}" srcOrd="0" destOrd="0" parTransId="{C81E89AD-B843-4F43-92FD-F4652308694A}" sibTransId="{A5B28904-95BB-436C-A590-820343F01033}"/>
    <dgm:cxn modelId="{399F1EC6-CA45-49C5-A6DD-B171634756BE}" type="presOf" srcId="{C6B02888-509A-4834-8E4A-44D3C9378887}" destId="{DB54BBEA-D4D7-4FC0-9D8C-944C9552595D}" srcOrd="0" destOrd="0" presId="urn:microsoft.com/office/officeart/2005/8/layout/process3"/>
    <dgm:cxn modelId="{9DF117AF-0AA9-4EF6-AB77-4AE20DB53CF0}" type="presOf" srcId="{374901CA-0B8F-4D59-824C-290D38233192}" destId="{43ADBAA6-F32F-491C-AA90-215E87FEB605}" srcOrd="0" destOrd="0" presId="urn:microsoft.com/office/officeart/2005/8/layout/process3"/>
    <dgm:cxn modelId="{D7A790F2-CFD0-45D2-9090-7C8519F6D368}" type="presOf" srcId="{D8A17FEE-A75B-4946-A0F8-0573936871C5}" destId="{61479F16-3621-4A11-8DD5-22E7701143F5}" srcOrd="1" destOrd="0" presId="urn:microsoft.com/office/officeart/2005/8/layout/process3"/>
    <dgm:cxn modelId="{5634D64F-6093-46F5-BCD7-CF76562632D0}" type="presOf" srcId="{D8A17FEE-A75B-4946-A0F8-0573936871C5}" destId="{0E7AB544-170C-4BEF-803C-2C16E6501F04}" srcOrd="0" destOrd="0" presId="urn:microsoft.com/office/officeart/2005/8/layout/process3"/>
    <dgm:cxn modelId="{8AF413AB-1782-4AA7-B0C9-60D36C0C4586}" srcId="{0E110800-F610-4F28-A084-EB7E9FE0BCDF}" destId="{95C3594E-24D3-47DC-807B-04D7D4E2095D}" srcOrd="1" destOrd="0" parTransId="{B038C367-0E89-4954-A412-33B0EDD5D1E4}" sibTransId="{C6B02888-509A-4834-8E4A-44D3C9378887}"/>
    <dgm:cxn modelId="{33C96A0D-B21A-40AC-AB96-77025C554EC7}" type="presOf" srcId="{F52734A0-E96F-4384-806F-5108BD184C5D}" destId="{F5A1E78E-154D-4BF4-84D9-FD4DB916BAEC}" srcOrd="0" destOrd="0" presId="urn:microsoft.com/office/officeart/2005/8/layout/process3"/>
    <dgm:cxn modelId="{5E2F223E-A00D-4B17-9F3D-1D6444EA3EAA}" type="presOf" srcId="{AC07979A-FBD8-483D-91F2-4DA6A563EDD4}" destId="{F114FD99-1D6D-489F-8980-490BDFFDCC43}" srcOrd="0" destOrd="0" presId="urn:microsoft.com/office/officeart/2005/8/layout/process3"/>
    <dgm:cxn modelId="{D00F09E5-7219-4654-95D1-1C86D5A76D83}" srcId="{D8A17FEE-A75B-4946-A0F8-0573936871C5}" destId="{3B116CD0-63ED-4D04-A03B-CDB9250AE236}" srcOrd="1" destOrd="0" parTransId="{6DF19332-278C-4210-8E18-238DFF8AB1B5}" sibTransId="{9AFE0625-7926-4E27-AF39-3F3741117C33}"/>
    <dgm:cxn modelId="{BF6BA86C-A5B0-4A7B-B087-684D98282423}" type="presOf" srcId="{2A81C7D2-A16A-4F1F-A142-020C7247AF8A}" destId="{9F70CC29-AC60-434D-B513-D2F565675237}" srcOrd="1" destOrd="0" presId="urn:microsoft.com/office/officeart/2005/8/layout/process3"/>
    <dgm:cxn modelId="{E7DF90AF-F350-4BCE-9A01-8C01F9F6A973}" type="presOf" srcId="{D459558C-ACCB-4A1D-9984-E3A97F8C448F}" destId="{821CC870-BF70-4448-B589-B48328E470B1}" srcOrd="1" destOrd="0" presId="urn:microsoft.com/office/officeart/2005/8/layout/process3"/>
    <dgm:cxn modelId="{43A32305-1724-4F81-BCCE-77ACEA4DED52}" type="presOf" srcId="{02096BE3-F2FA-478C-9503-77132370A660}" destId="{ADA0B68D-5658-4CE3-9566-0755DC5BBFFC}" srcOrd="0" destOrd="0" presId="urn:microsoft.com/office/officeart/2005/8/layout/process3"/>
    <dgm:cxn modelId="{69F7CFE4-6DC2-471F-8ADA-EB740FB6F697}" type="presOf" srcId="{DED191A0-093A-4DAD-B6D6-9089DB524EC4}" destId="{F5A1E78E-154D-4BF4-84D9-FD4DB916BAEC}" srcOrd="0" destOrd="1" presId="urn:microsoft.com/office/officeart/2005/8/layout/process3"/>
    <dgm:cxn modelId="{A59E0CF4-FF36-4F8C-A06E-BA019D79EF7F}" srcId="{119E2ACA-94D9-4D2B-ABED-8CCCA1C6CCF5}" destId="{DED191A0-093A-4DAD-B6D6-9089DB524EC4}" srcOrd="1" destOrd="0" parTransId="{57B6178B-8EEB-4078-9B9D-9821C846F118}" sibTransId="{15F123ED-62AE-4352-A121-5E2AC570AE49}"/>
    <dgm:cxn modelId="{03253E78-197C-4674-8607-8AEACBE9679E}" type="presOf" srcId="{2A81C7D2-A16A-4F1F-A142-020C7247AF8A}" destId="{EDDDD3E0-E61C-4C67-A2D8-1113B514415F}" srcOrd="0" destOrd="0" presId="urn:microsoft.com/office/officeart/2005/8/layout/process3"/>
    <dgm:cxn modelId="{26155033-2848-4D73-BB86-DE382923A826}" srcId="{119E2ACA-94D9-4D2B-ABED-8CCCA1C6CCF5}" destId="{F52734A0-E96F-4384-806F-5108BD184C5D}" srcOrd="0" destOrd="0" parTransId="{4AAF9379-30AD-4D60-B3A4-6828828C46EC}" sibTransId="{2E3E14BE-7083-4B49-B3FA-0C24C4B6A3E5}"/>
    <dgm:cxn modelId="{21E9C1E6-2398-48B3-9D1B-2201887403B6}" type="presOf" srcId="{3B116CD0-63ED-4D04-A03B-CDB9250AE236}" destId="{D048F298-AD3F-41F8-88B3-E33208ACA93C}" srcOrd="0" destOrd="1" presId="urn:microsoft.com/office/officeart/2005/8/layout/process3"/>
    <dgm:cxn modelId="{6246A619-AC8F-4489-AC0E-9142450EF986}" type="presOf" srcId="{C6B02888-509A-4834-8E4A-44D3C9378887}" destId="{A7FF8BB1-42CC-4A2E-8AC3-97AAB33AFC82}" srcOrd="1" destOrd="0" presId="urn:microsoft.com/office/officeart/2005/8/layout/process3"/>
    <dgm:cxn modelId="{DB97A7BB-0A1E-4A75-B16A-5DC14CA7CD77}" type="presOf" srcId="{E84B4FC8-4C90-4CED-B0D5-ECD49975D080}" destId="{D048F298-AD3F-41F8-88B3-E33208ACA93C}" srcOrd="0" destOrd="0" presId="urn:microsoft.com/office/officeart/2005/8/layout/process3"/>
    <dgm:cxn modelId="{92BE3039-1E24-4EAC-A434-5D0623DA3B51}" type="presOf" srcId="{D459558C-ACCB-4A1D-9984-E3A97F8C448F}" destId="{8E9415A4-3E9B-4923-8D4F-D88BDC6FE7CD}" srcOrd="0" destOrd="0" presId="urn:microsoft.com/office/officeart/2005/8/layout/process3"/>
    <dgm:cxn modelId="{AAA5341C-407A-4ACB-9F3D-DE90850087D1}" srcId="{0E110800-F610-4F28-A084-EB7E9FE0BCDF}" destId="{D8A17FEE-A75B-4946-A0F8-0573936871C5}" srcOrd="0" destOrd="0" parTransId="{1643FF20-6602-4C70-881C-1B73B23350E0}" sibTransId="{02096BE3-F2FA-478C-9503-77132370A660}"/>
    <dgm:cxn modelId="{FD067A66-A51E-41EA-B81A-C02FA546ED44}" type="presOf" srcId="{0EED7405-BB05-44AE-A6D4-2FDC12E4DF66}" destId="{DBA72AD1-5341-4ADD-8506-63DCF895E2B6}" srcOrd="0" destOrd="0" presId="urn:microsoft.com/office/officeart/2005/8/layout/process3"/>
    <dgm:cxn modelId="{DB8494A4-90FF-40A6-9DD9-194D1B3065D5}" type="presOf" srcId="{02096BE3-F2FA-478C-9503-77132370A660}" destId="{A256D8B9-3AA2-4596-BCA3-63A33DDCE5C5}" srcOrd="1" destOrd="0" presId="urn:microsoft.com/office/officeart/2005/8/layout/process3"/>
    <dgm:cxn modelId="{0E3BB37E-7090-42E5-8B95-15FB764462F6}" type="presOf" srcId="{5C35D0E3-519D-43C5-A0D0-8E25D13D952D}" destId="{D5D30473-44A0-4A5D-800F-C2AB4E98487A}" srcOrd="0" destOrd="1" presId="urn:microsoft.com/office/officeart/2005/8/layout/process3"/>
    <dgm:cxn modelId="{63FDEB69-DCE8-4C30-BE2B-1C3D85923899}" type="presOf" srcId="{AC07979A-FBD8-483D-91F2-4DA6A563EDD4}" destId="{BC6050B1-A255-4CAB-AD27-EBA74847CD4B}" srcOrd="1" destOrd="0" presId="urn:microsoft.com/office/officeart/2005/8/layout/process3"/>
    <dgm:cxn modelId="{6670A0B7-5554-4ECA-8581-F70FF1FC305B}" type="presOf" srcId="{0E110800-F610-4F28-A084-EB7E9FE0BCDF}" destId="{A138C64E-BE07-4277-BC9F-5F43864F5B7A}" srcOrd="0" destOrd="0" presId="urn:microsoft.com/office/officeart/2005/8/layout/process3"/>
    <dgm:cxn modelId="{A0DEF937-A3A0-4380-903C-1F279D0D56F4}" type="presOf" srcId="{B1E9656B-5710-4E81-91CE-478149CA07DC}" destId="{D5D30473-44A0-4A5D-800F-C2AB4E98487A}" srcOrd="0" destOrd="0" presId="urn:microsoft.com/office/officeart/2005/8/layout/process3"/>
    <dgm:cxn modelId="{C6F50994-A9D5-4489-9287-957605688F9B}" type="presParOf" srcId="{A138C64E-BE07-4277-BC9F-5F43864F5B7A}" destId="{D7B9E11B-C2E1-4A02-B62C-716EF6B02DF8}" srcOrd="0" destOrd="0" presId="urn:microsoft.com/office/officeart/2005/8/layout/process3"/>
    <dgm:cxn modelId="{7EE026EF-7AFE-4E10-8C29-F6ECB02C02D1}" type="presParOf" srcId="{D7B9E11B-C2E1-4A02-B62C-716EF6B02DF8}" destId="{0E7AB544-170C-4BEF-803C-2C16E6501F04}" srcOrd="0" destOrd="0" presId="urn:microsoft.com/office/officeart/2005/8/layout/process3"/>
    <dgm:cxn modelId="{1EFDF0E9-5237-44B2-9324-F754BD8AA24F}" type="presParOf" srcId="{D7B9E11B-C2E1-4A02-B62C-716EF6B02DF8}" destId="{61479F16-3621-4A11-8DD5-22E7701143F5}" srcOrd="1" destOrd="0" presId="urn:microsoft.com/office/officeart/2005/8/layout/process3"/>
    <dgm:cxn modelId="{5CD9E794-9002-445F-83F5-3EF96569BD49}" type="presParOf" srcId="{D7B9E11B-C2E1-4A02-B62C-716EF6B02DF8}" destId="{D048F298-AD3F-41F8-88B3-E33208ACA93C}" srcOrd="2" destOrd="0" presId="urn:microsoft.com/office/officeart/2005/8/layout/process3"/>
    <dgm:cxn modelId="{1332E4CC-A07C-4FDC-9049-FEC67C9604F0}" type="presParOf" srcId="{A138C64E-BE07-4277-BC9F-5F43864F5B7A}" destId="{ADA0B68D-5658-4CE3-9566-0755DC5BBFFC}" srcOrd="1" destOrd="0" presId="urn:microsoft.com/office/officeart/2005/8/layout/process3"/>
    <dgm:cxn modelId="{796F0CE8-B8ED-43C9-BCFD-B6F8C510F397}" type="presParOf" srcId="{ADA0B68D-5658-4CE3-9566-0755DC5BBFFC}" destId="{A256D8B9-3AA2-4596-BCA3-63A33DDCE5C5}" srcOrd="0" destOrd="0" presId="urn:microsoft.com/office/officeart/2005/8/layout/process3"/>
    <dgm:cxn modelId="{63DF0CAF-4B83-4CFD-8E7E-39A560737057}" type="presParOf" srcId="{A138C64E-BE07-4277-BC9F-5F43864F5B7A}" destId="{9324829F-9801-4E6F-9961-68330663103C}" srcOrd="2" destOrd="0" presId="urn:microsoft.com/office/officeart/2005/8/layout/process3"/>
    <dgm:cxn modelId="{92317788-FD60-4556-AFCB-5C976C87CF02}" type="presParOf" srcId="{9324829F-9801-4E6F-9961-68330663103C}" destId="{5177F2F1-8E56-4191-A443-EE1E00CD10C9}" srcOrd="0" destOrd="0" presId="urn:microsoft.com/office/officeart/2005/8/layout/process3"/>
    <dgm:cxn modelId="{396CC447-31A1-4E7F-8270-32067F638DFD}" type="presParOf" srcId="{9324829F-9801-4E6F-9961-68330663103C}" destId="{60AF9CD0-670E-40D9-8F1D-B057D41C85F3}" srcOrd="1" destOrd="0" presId="urn:microsoft.com/office/officeart/2005/8/layout/process3"/>
    <dgm:cxn modelId="{1126A88D-93D8-4920-B48F-043391C73731}" type="presParOf" srcId="{9324829F-9801-4E6F-9961-68330663103C}" destId="{D5D30473-44A0-4A5D-800F-C2AB4E98487A}" srcOrd="2" destOrd="0" presId="urn:microsoft.com/office/officeart/2005/8/layout/process3"/>
    <dgm:cxn modelId="{3F506452-56B6-4788-9ECD-2A1EF55B0F0D}" type="presParOf" srcId="{A138C64E-BE07-4277-BC9F-5F43864F5B7A}" destId="{DB54BBEA-D4D7-4FC0-9D8C-944C9552595D}" srcOrd="3" destOrd="0" presId="urn:microsoft.com/office/officeart/2005/8/layout/process3"/>
    <dgm:cxn modelId="{7C237042-119F-4DB2-AEB0-B27FE639344F}" type="presParOf" srcId="{DB54BBEA-D4D7-4FC0-9D8C-944C9552595D}" destId="{A7FF8BB1-42CC-4A2E-8AC3-97AAB33AFC82}" srcOrd="0" destOrd="0" presId="urn:microsoft.com/office/officeart/2005/8/layout/process3"/>
    <dgm:cxn modelId="{5DF41833-FC7C-4365-907B-80CBD84F186B}" type="presParOf" srcId="{A138C64E-BE07-4277-BC9F-5F43864F5B7A}" destId="{F6372AB9-ADC8-42DC-8493-BF68C8E16371}" srcOrd="4" destOrd="0" presId="urn:microsoft.com/office/officeart/2005/8/layout/process3"/>
    <dgm:cxn modelId="{FA7E80E1-0BD1-49F0-8544-E5C1C7059E0B}" type="presParOf" srcId="{F6372AB9-ADC8-42DC-8493-BF68C8E16371}" destId="{2DB1CC61-3BFD-4895-98FA-A1D8465CE5F5}" srcOrd="0" destOrd="0" presId="urn:microsoft.com/office/officeart/2005/8/layout/process3"/>
    <dgm:cxn modelId="{E3CCD0CD-71C7-47FA-9F30-724ED400EFC9}" type="presParOf" srcId="{F6372AB9-ADC8-42DC-8493-BF68C8E16371}" destId="{E5D3A23F-EBB1-48F4-AA19-A215A4BE9BD7}" srcOrd="1" destOrd="0" presId="urn:microsoft.com/office/officeart/2005/8/layout/process3"/>
    <dgm:cxn modelId="{69C15D6F-F4F2-4C14-994C-5B60C856DE92}" type="presParOf" srcId="{F6372AB9-ADC8-42DC-8493-BF68C8E16371}" destId="{F5A1E78E-154D-4BF4-84D9-FD4DB916BAEC}" srcOrd="2" destOrd="0" presId="urn:microsoft.com/office/officeart/2005/8/layout/process3"/>
    <dgm:cxn modelId="{FAB0FAC8-5B47-496D-A650-45A18C0EA497}" type="presParOf" srcId="{A138C64E-BE07-4277-BC9F-5F43864F5B7A}" destId="{8E9415A4-3E9B-4923-8D4F-D88BDC6FE7CD}" srcOrd="5" destOrd="0" presId="urn:microsoft.com/office/officeart/2005/8/layout/process3"/>
    <dgm:cxn modelId="{7157CF93-D98E-4DBD-9EEB-E5777A61084B}" type="presParOf" srcId="{8E9415A4-3E9B-4923-8D4F-D88BDC6FE7CD}" destId="{821CC870-BF70-4448-B589-B48328E470B1}" srcOrd="0" destOrd="0" presId="urn:microsoft.com/office/officeart/2005/8/layout/process3"/>
    <dgm:cxn modelId="{96EA304D-3DB1-4B70-858C-752EA684C1B6}" type="presParOf" srcId="{A138C64E-BE07-4277-BC9F-5F43864F5B7A}" destId="{98F5EFE3-622D-481A-A8BD-BAA7192C44ED}" srcOrd="6" destOrd="0" presId="urn:microsoft.com/office/officeart/2005/8/layout/process3"/>
    <dgm:cxn modelId="{10DF5DBC-4462-4D4D-9265-A794E55AA5FB}" type="presParOf" srcId="{98F5EFE3-622D-481A-A8BD-BAA7192C44ED}" destId="{43ADBAA6-F32F-491C-AA90-215E87FEB605}" srcOrd="0" destOrd="0" presId="urn:microsoft.com/office/officeart/2005/8/layout/process3"/>
    <dgm:cxn modelId="{58C864BF-8675-459E-94D6-77CF52E05EB7}" type="presParOf" srcId="{98F5EFE3-622D-481A-A8BD-BAA7192C44ED}" destId="{7B472E2B-E5BF-4530-9BC3-4B5E01EA247A}" srcOrd="1" destOrd="0" presId="urn:microsoft.com/office/officeart/2005/8/layout/process3"/>
    <dgm:cxn modelId="{99E2F280-F494-4129-912B-205F2334F1C3}" type="presParOf" srcId="{98F5EFE3-622D-481A-A8BD-BAA7192C44ED}" destId="{DBA72AD1-5341-4ADD-8506-63DCF895E2B6}" srcOrd="2" destOrd="0" presId="urn:microsoft.com/office/officeart/2005/8/layout/process3"/>
    <dgm:cxn modelId="{5C406A87-1B1A-474B-AB91-4D3F9C4A5499}" type="presParOf" srcId="{A138C64E-BE07-4277-BC9F-5F43864F5B7A}" destId="{EDDDD3E0-E61C-4C67-A2D8-1113B514415F}" srcOrd="7" destOrd="0" presId="urn:microsoft.com/office/officeart/2005/8/layout/process3"/>
    <dgm:cxn modelId="{C5FC0C79-B061-47A0-A47D-804CA8C48C0E}" type="presParOf" srcId="{EDDDD3E0-E61C-4C67-A2D8-1113B514415F}" destId="{9F70CC29-AC60-434D-B513-D2F565675237}" srcOrd="0" destOrd="0" presId="urn:microsoft.com/office/officeart/2005/8/layout/process3"/>
    <dgm:cxn modelId="{68D298FA-4466-4258-BE6F-A6901067D98B}" type="presParOf" srcId="{A138C64E-BE07-4277-BC9F-5F43864F5B7A}" destId="{99C6F131-28B1-46F5-83A2-CC5CFE5B382C}" srcOrd="8" destOrd="0" presId="urn:microsoft.com/office/officeart/2005/8/layout/process3"/>
    <dgm:cxn modelId="{283F84E4-2233-4D7E-AE3E-D7D46DB3B0E6}" type="presParOf" srcId="{99C6F131-28B1-46F5-83A2-CC5CFE5B382C}" destId="{F114FD99-1D6D-489F-8980-490BDFFDCC43}" srcOrd="0" destOrd="0" presId="urn:microsoft.com/office/officeart/2005/8/layout/process3"/>
    <dgm:cxn modelId="{DCC4213D-F6CE-4FDD-996E-D4ECB7A0F370}" type="presParOf" srcId="{99C6F131-28B1-46F5-83A2-CC5CFE5B382C}" destId="{BC6050B1-A255-4CAB-AD27-EBA74847CD4B}" srcOrd="1" destOrd="0" presId="urn:microsoft.com/office/officeart/2005/8/layout/process3"/>
    <dgm:cxn modelId="{C308B8B2-D190-4903-8046-69DBC4F3A0AB}" type="presParOf" srcId="{99C6F131-28B1-46F5-83A2-CC5CFE5B382C}" destId="{983C1F0B-5563-4FEC-8A6B-A4DACDBC2AD5}" srcOrd="2" destOrd="0" presId="urn:microsoft.com/office/officeart/2005/8/layout/process3"/>
  </dgm:cxnLst>
  <dgm:bg>
    <a:noFill/>
  </dgm:bg>
  <dgm:whole>
    <a:ln>
      <a:solidFill>
        <a:schemeClr val="tx1"/>
      </a:solidFill>
    </a:ln>
  </dgm:whole>
  <dgm:extLst>
    <a:ext uri="http://schemas.microsoft.com/office/drawing/2008/diagram">
      <dsp:dataModelExt xmlns:dsp="http://schemas.microsoft.com/office/drawing/2008/diagram" relId="rId174"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6E39B9E9-0721-4508-BB35-D53F689D93D3}"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fr-FR"/>
        </a:p>
      </dgm:t>
    </dgm:pt>
    <dgm:pt modelId="{8F1DBC21-9F06-4E2C-81C6-C3AEC19356AE}">
      <dgm:prSet phldrT="[Texte]" custT="1">
        <dgm:style>
          <a:lnRef idx="1">
            <a:schemeClr val="accent4"/>
          </a:lnRef>
          <a:fillRef idx="2">
            <a:schemeClr val="accent4"/>
          </a:fillRef>
          <a:effectRef idx="1">
            <a:schemeClr val="accent4"/>
          </a:effectRef>
          <a:fontRef idx="minor">
            <a:schemeClr val="dk1"/>
          </a:fontRef>
        </dgm:style>
      </dgm:prSet>
      <dgm:spPr>
        <a:solidFill>
          <a:schemeClr val="bg1">
            <a:lumMod val="95000"/>
          </a:schemeClr>
        </a:solidFill>
      </dgm:spPr>
      <dgm:t>
        <a:bodyPr/>
        <a:lstStyle/>
        <a:p>
          <a:pPr algn="ctr" rtl="1"/>
          <a:r>
            <a:rPr lang="ar-DZ" sz="1200" b="1">
              <a:solidFill>
                <a:schemeClr val="tx1"/>
              </a:solidFill>
              <a:latin typeface="Simplified Arabic" panose="02020603050405020304" pitchFamily="18" charset="-78"/>
              <a:cs typeface="Simplified Arabic" panose="02020603050405020304" pitchFamily="18" charset="-78"/>
            </a:rPr>
            <a:t>المكونات الحضرية لمدينة بوسعادة</a:t>
          </a:r>
        </a:p>
      </dgm:t>
    </dgm:pt>
    <dgm:pt modelId="{267614FD-4740-4191-ACC8-CB1EBB896B51}" type="parTrans" cxnId="{471067EB-D7D4-4E57-B738-B889C2B3E794}">
      <dgm:prSet/>
      <dgm:spPr/>
      <dgm:t>
        <a:bodyPr/>
        <a:lstStyle/>
        <a:p>
          <a:pPr algn="ctr"/>
          <a:endParaRPr lang="fr-FR"/>
        </a:p>
      </dgm:t>
    </dgm:pt>
    <dgm:pt modelId="{EEF6DEF0-0799-47B2-81F7-6B34272C8784}" type="sibTrans" cxnId="{471067EB-D7D4-4E57-B738-B889C2B3E794}">
      <dgm:prSet/>
      <dgm:spPr/>
      <dgm:t>
        <a:bodyPr/>
        <a:lstStyle/>
        <a:p>
          <a:pPr algn="ctr"/>
          <a:endParaRPr lang="fr-FR"/>
        </a:p>
      </dgm:t>
    </dgm:pt>
    <dgm:pt modelId="{FD0BAE13-11C5-48D9-9173-EBF78FBFFC09}">
      <dgm:prSet phldrT="[Texte]" custT="1">
        <dgm:style>
          <a:lnRef idx="1">
            <a:schemeClr val="dk1"/>
          </a:lnRef>
          <a:fillRef idx="2">
            <a:schemeClr val="dk1"/>
          </a:fillRef>
          <a:effectRef idx="1">
            <a:schemeClr val="dk1"/>
          </a:effectRef>
          <a:fontRef idx="minor">
            <a:schemeClr val="dk1"/>
          </a:fontRef>
        </dgm:style>
      </dgm:prSet>
      <dgm:spPr>
        <a:ln/>
      </dgm:spPr>
      <dgm:t>
        <a:bodyPr/>
        <a:lstStyle/>
        <a:p>
          <a:pPr algn="ctr" rtl="1"/>
          <a:r>
            <a:rPr lang="ar-DZ" sz="1200">
              <a:solidFill>
                <a:schemeClr val="tx1"/>
              </a:solidFill>
              <a:latin typeface="Simplified Arabic" panose="02020603050405020304" pitchFamily="18" charset="-78"/>
              <a:cs typeface="Simplified Arabic" panose="02020603050405020304" pitchFamily="18" charset="-78"/>
            </a:rPr>
            <a:t>مباني السكن </a:t>
          </a:r>
          <a:endParaRPr lang="fr-FR" sz="1200">
            <a:solidFill>
              <a:schemeClr val="tx1"/>
            </a:solidFill>
            <a:latin typeface="Simplified Arabic" panose="02020603050405020304" pitchFamily="18" charset="-78"/>
            <a:cs typeface="Simplified Arabic" panose="02020603050405020304" pitchFamily="18" charset="-78"/>
          </a:endParaRPr>
        </a:p>
      </dgm:t>
    </dgm:pt>
    <dgm:pt modelId="{EB560501-67D0-4185-99BC-65E2771BBFCF}" type="parTrans" cxnId="{DFFD664A-6C14-4ECF-8481-1CEEF2B4AC7A}">
      <dgm:prSet/>
      <dgm:spPr/>
      <dgm:t>
        <a:bodyPr/>
        <a:lstStyle/>
        <a:p>
          <a:pPr algn="ctr"/>
          <a:endParaRPr lang="fr-FR"/>
        </a:p>
      </dgm:t>
    </dgm:pt>
    <dgm:pt modelId="{F19BF385-4402-4998-8E0A-1D5BE752C2DA}" type="sibTrans" cxnId="{DFFD664A-6C14-4ECF-8481-1CEEF2B4AC7A}">
      <dgm:prSet>
        <dgm:style>
          <a:lnRef idx="1">
            <a:schemeClr val="dk1"/>
          </a:lnRef>
          <a:fillRef idx="2">
            <a:schemeClr val="dk1"/>
          </a:fillRef>
          <a:effectRef idx="1">
            <a:schemeClr val="dk1"/>
          </a:effectRef>
          <a:fontRef idx="minor">
            <a:schemeClr val="dk1"/>
          </a:fontRef>
        </dgm:style>
      </dgm:prSet>
      <dgm:spPr>
        <a:solidFill>
          <a:schemeClr val="accent6">
            <a:lumMod val="40000"/>
            <a:lumOff val="60000"/>
          </a:schemeClr>
        </a:solidFill>
      </dgm:spPr>
      <dgm:t>
        <a:bodyPr/>
        <a:lstStyle/>
        <a:p>
          <a:pPr algn="ctr"/>
          <a:endParaRPr lang="fr-FR"/>
        </a:p>
      </dgm:t>
    </dgm:pt>
    <dgm:pt modelId="{381E3C98-4F51-4EA3-A475-6FD4141D585A}">
      <dgm:prSet phldrT="[Texte]" custT="1">
        <dgm:style>
          <a:lnRef idx="1">
            <a:schemeClr val="dk1"/>
          </a:lnRef>
          <a:fillRef idx="2">
            <a:schemeClr val="dk1"/>
          </a:fillRef>
          <a:effectRef idx="1">
            <a:schemeClr val="dk1"/>
          </a:effectRef>
          <a:fontRef idx="minor">
            <a:schemeClr val="dk1"/>
          </a:fontRef>
        </dgm:style>
      </dgm:prSet>
      <dgm:spPr/>
      <dgm:t>
        <a:bodyPr/>
        <a:lstStyle/>
        <a:p>
          <a:pPr algn="ctr" rtl="1"/>
          <a:r>
            <a:rPr lang="ar-DZ" sz="1200" b="0">
              <a:solidFill>
                <a:schemeClr val="tx1"/>
              </a:solidFill>
              <a:latin typeface="Simplified Arabic" panose="02020603050405020304" pitchFamily="18" charset="-78"/>
              <a:cs typeface="Simplified Arabic" panose="02020603050405020304" pitchFamily="18" charset="-78"/>
            </a:rPr>
            <a:t>المرافق والخدمات</a:t>
          </a:r>
          <a:endParaRPr lang="fr-FR" sz="1200" b="0">
            <a:solidFill>
              <a:schemeClr val="tx1"/>
            </a:solidFill>
            <a:latin typeface="Simplified Arabic" panose="02020603050405020304" pitchFamily="18" charset="-78"/>
            <a:cs typeface="Simplified Arabic" panose="02020603050405020304" pitchFamily="18" charset="-78"/>
          </a:endParaRPr>
        </a:p>
      </dgm:t>
    </dgm:pt>
    <dgm:pt modelId="{C6E926C4-1B70-4CDB-8E4D-AA59E74C6DAB}" type="parTrans" cxnId="{65AD30F2-9064-4BB8-9F4D-706988E90BC7}">
      <dgm:prSet/>
      <dgm:spPr/>
      <dgm:t>
        <a:bodyPr/>
        <a:lstStyle/>
        <a:p>
          <a:pPr algn="ctr"/>
          <a:endParaRPr lang="fr-FR"/>
        </a:p>
      </dgm:t>
    </dgm:pt>
    <dgm:pt modelId="{CC889F06-C030-492E-98FE-1E14C12F40C1}" type="sibTrans" cxnId="{65AD30F2-9064-4BB8-9F4D-706988E90BC7}">
      <dgm:prSet>
        <dgm:style>
          <a:lnRef idx="1">
            <a:schemeClr val="dk1"/>
          </a:lnRef>
          <a:fillRef idx="2">
            <a:schemeClr val="dk1"/>
          </a:fillRef>
          <a:effectRef idx="1">
            <a:schemeClr val="dk1"/>
          </a:effectRef>
          <a:fontRef idx="minor">
            <a:schemeClr val="dk1"/>
          </a:fontRef>
        </dgm:style>
      </dgm:prSet>
      <dgm:spPr>
        <a:solidFill>
          <a:schemeClr val="accent6">
            <a:lumMod val="40000"/>
            <a:lumOff val="60000"/>
          </a:schemeClr>
        </a:solidFill>
      </dgm:spPr>
      <dgm:t>
        <a:bodyPr/>
        <a:lstStyle/>
        <a:p>
          <a:pPr algn="ctr"/>
          <a:endParaRPr lang="fr-FR"/>
        </a:p>
      </dgm:t>
    </dgm:pt>
    <dgm:pt modelId="{C0497E69-F276-4663-A797-80C5B56AF169}">
      <dgm:prSet phldrT="[Texte]" custT="1">
        <dgm:style>
          <a:lnRef idx="1">
            <a:schemeClr val="dk1"/>
          </a:lnRef>
          <a:fillRef idx="2">
            <a:schemeClr val="dk1"/>
          </a:fillRef>
          <a:effectRef idx="1">
            <a:schemeClr val="dk1"/>
          </a:effectRef>
          <a:fontRef idx="minor">
            <a:schemeClr val="dk1"/>
          </a:fontRef>
        </dgm:style>
      </dgm:prSet>
      <dgm:spPr/>
      <dgm:t>
        <a:bodyPr/>
        <a:lstStyle/>
        <a:p>
          <a:pPr algn="ctr" rtl="1"/>
          <a:r>
            <a:rPr lang="ar-DZ" sz="1200">
              <a:solidFill>
                <a:schemeClr val="tx1"/>
              </a:solidFill>
              <a:latin typeface="Simplified Arabic" panose="02020603050405020304" pitchFamily="18" charset="-78"/>
              <a:cs typeface="Simplified Arabic" panose="02020603050405020304" pitchFamily="18" charset="-78"/>
            </a:rPr>
            <a:t>شبكة الطرق</a:t>
          </a:r>
          <a:endParaRPr lang="fr-FR" sz="1200">
            <a:solidFill>
              <a:schemeClr val="tx1"/>
            </a:solidFill>
            <a:latin typeface="Simplified Arabic" panose="02020603050405020304" pitchFamily="18" charset="-78"/>
            <a:cs typeface="Simplified Arabic" panose="02020603050405020304" pitchFamily="18" charset="-78"/>
          </a:endParaRPr>
        </a:p>
      </dgm:t>
    </dgm:pt>
    <dgm:pt modelId="{93D6D9FC-7ADD-422D-BDBE-2BB482F2F703}" type="parTrans" cxnId="{98810B18-10FC-4824-8956-FF99FCE7A70F}">
      <dgm:prSet/>
      <dgm:spPr/>
      <dgm:t>
        <a:bodyPr/>
        <a:lstStyle/>
        <a:p>
          <a:pPr algn="ctr"/>
          <a:endParaRPr lang="fr-FR"/>
        </a:p>
      </dgm:t>
    </dgm:pt>
    <dgm:pt modelId="{6B84A5F7-1E23-4DE6-80BE-FF20F4683818}" type="sibTrans" cxnId="{98810B18-10FC-4824-8956-FF99FCE7A70F}">
      <dgm:prSet>
        <dgm:style>
          <a:lnRef idx="1">
            <a:schemeClr val="dk1"/>
          </a:lnRef>
          <a:fillRef idx="2">
            <a:schemeClr val="dk1"/>
          </a:fillRef>
          <a:effectRef idx="1">
            <a:schemeClr val="dk1"/>
          </a:effectRef>
          <a:fontRef idx="minor">
            <a:schemeClr val="dk1"/>
          </a:fontRef>
        </dgm:style>
      </dgm:prSet>
      <dgm:spPr>
        <a:solidFill>
          <a:schemeClr val="accent6">
            <a:lumMod val="40000"/>
            <a:lumOff val="60000"/>
          </a:schemeClr>
        </a:solidFill>
      </dgm:spPr>
      <dgm:t>
        <a:bodyPr/>
        <a:lstStyle/>
        <a:p>
          <a:pPr algn="ctr"/>
          <a:endParaRPr lang="fr-FR"/>
        </a:p>
      </dgm:t>
    </dgm:pt>
    <dgm:pt modelId="{C5957A84-9C6A-41B4-8BC8-33ECD182328F}">
      <dgm:prSet phldrT="[Texte]" custT="1">
        <dgm:style>
          <a:lnRef idx="1">
            <a:schemeClr val="dk1"/>
          </a:lnRef>
          <a:fillRef idx="2">
            <a:schemeClr val="dk1"/>
          </a:fillRef>
          <a:effectRef idx="1">
            <a:schemeClr val="dk1"/>
          </a:effectRef>
          <a:fontRef idx="minor">
            <a:schemeClr val="dk1"/>
          </a:fontRef>
        </dgm:style>
      </dgm:prSet>
      <dgm:spPr/>
      <dgm:t>
        <a:bodyPr/>
        <a:lstStyle/>
        <a:p>
          <a:pPr algn="ctr"/>
          <a:r>
            <a:rPr lang="ar-DZ" sz="1200">
              <a:solidFill>
                <a:schemeClr val="tx1"/>
              </a:solidFill>
              <a:latin typeface="Simplified Arabic" panose="02020603050405020304" pitchFamily="18" charset="-78"/>
              <a:cs typeface="Simplified Arabic" panose="02020603050405020304" pitchFamily="18" charset="-78"/>
            </a:rPr>
            <a:t>المساحات المفتوحة</a:t>
          </a:r>
          <a:endParaRPr lang="fr-FR" sz="1200">
            <a:solidFill>
              <a:schemeClr val="tx1"/>
            </a:solidFill>
            <a:latin typeface="Simplified Arabic" panose="02020603050405020304" pitchFamily="18" charset="-78"/>
            <a:cs typeface="Simplified Arabic" panose="02020603050405020304" pitchFamily="18" charset="-78"/>
          </a:endParaRPr>
        </a:p>
      </dgm:t>
    </dgm:pt>
    <dgm:pt modelId="{3EC81F87-ED54-47A4-980C-8938245CA90D}" type="parTrans" cxnId="{9EF07584-79EF-4619-A39C-3E7C820A608F}">
      <dgm:prSet/>
      <dgm:spPr/>
      <dgm:t>
        <a:bodyPr/>
        <a:lstStyle/>
        <a:p>
          <a:pPr algn="ctr"/>
          <a:endParaRPr lang="fr-FR"/>
        </a:p>
      </dgm:t>
    </dgm:pt>
    <dgm:pt modelId="{6AD4EFE2-4E3C-4020-BBFF-180C50E6E599}" type="sibTrans" cxnId="{9EF07584-79EF-4619-A39C-3E7C820A608F}">
      <dgm:prSet>
        <dgm:style>
          <a:lnRef idx="1">
            <a:schemeClr val="dk1"/>
          </a:lnRef>
          <a:fillRef idx="2">
            <a:schemeClr val="dk1"/>
          </a:fillRef>
          <a:effectRef idx="1">
            <a:schemeClr val="dk1"/>
          </a:effectRef>
          <a:fontRef idx="minor">
            <a:schemeClr val="dk1"/>
          </a:fontRef>
        </dgm:style>
      </dgm:prSet>
      <dgm:spPr>
        <a:solidFill>
          <a:schemeClr val="accent6">
            <a:lumMod val="40000"/>
            <a:lumOff val="60000"/>
          </a:schemeClr>
        </a:solidFill>
      </dgm:spPr>
      <dgm:t>
        <a:bodyPr/>
        <a:lstStyle/>
        <a:p>
          <a:pPr algn="ctr"/>
          <a:endParaRPr lang="fr-FR"/>
        </a:p>
      </dgm:t>
    </dgm:pt>
    <dgm:pt modelId="{11D97BDE-4447-4AB6-867E-CEC967DED8BE}" type="pres">
      <dgm:prSet presAssocID="{6E39B9E9-0721-4508-BB35-D53F689D93D3}" presName="Name0" presStyleCnt="0">
        <dgm:presLayoutVars>
          <dgm:chMax val="1"/>
          <dgm:dir/>
          <dgm:animLvl val="ctr"/>
          <dgm:resizeHandles val="exact"/>
        </dgm:presLayoutVars>
      </dgm:prSet>
      <dgm:spPr/>
      <dgm:t>
        <a:bodyPr/>
        <a:lstStyle/>
        <a:p>
          <a:endParaRPr lang="fr-FR"/>
        </a:p>
      </dgm:t>
    </dgm:pt>
    <dgm:pt modelId="{8B7EA448-7D00-4F69-AA0D-36CB43937DEE}" type="pres">
      <dgm:prSet presAssocID="{8F1DBC21-9F06-4E2C-81C6-C3AEC19356AE}" presName="centerShape" presStyleLbl="node0" presStyleIdx="0" presStyleCnt="1" custScaleX="161051" custScaleY="161051"/>
      <dgm:spPr/>
      <dgm:t>
        <a:bodyPr/>
        <a:lstStyle/>
        <a:p>
          <a:endParaRPr lang="fr-FR"/>
        </a:p>
      </dgm:t>
    </dgm:pt>
    <dgm:pt modelId="{B36EC059-1037-45F1-9196-81D93B4B5C54}" type="pres">
      <dgm:prSet presAssocID="{FD0BAE13-11C5-48D9-9173-EBF78FBFFC09}" presName="node" presStyleLbl="node1" presStyleIdx="0" presStyleCnt="4" custScaleX="110000" custScaleY="90909" custRadScaleRad="94855">
        <dgm:presLayoutVars>
          <dgm:bulletEnabled val="1"/>
        </dgm:presLayoutVars>
      </dgm:prSet>
      <dgm:spPr/>
      <dgm:t>
        <a:bodyPr/>
        <a:lstStyle/>
        <a:p>
          <a:endParaRPr lang="fr-FR"/>
        </a:p>
      </dgm:t>
    </dgm:pt>
    <dgm:pt modelId="{42E2DAB1-F07F-4BCA-8136-2D7807E0D8D0}" type="pres">
      <dgm:prSet presAssocID="{FD0BAE13-11C5-48D9-9173-EBF78FBFFC09}" presName="dummy" presStyleCnt="0"/>
      <dgm:spPr/>
    </dgm:pt>
    <dgm:pt modelId="{5E4E3D66-A4A7-4197-8804-4B08119EA5CE}" type="pres">
      <dgm:prSet presAssocID="{F19BF385-4402-4998-8E0A-1D5BE752C2DA}" presName="sibTrans" presStyleLbl="sibTrans2D1" presStyleIdx="0" presStyleCnt="4"/>
      <dgm:spPr/>
      <dgm:t>
        <a:bodyPr/>
        <a:lstStyle/>
        <a:p>
          <a:endParaRPr lang="fr-FR"/>
        </a:p>
      </dgm:t>
    </dgm:pt>
    <dgm:pt modelId="{5FE658B9-9795-4677-B181-1470C43927DF}" type="pres">
      <dgm:prSet presAssocID="{381E3C98-4F51-4EA3-A475-6FD4141D585A}" presName="node" presStyleLbl="node1" presStyleIdx="1" presStyleCnt="4" custScaleX="110000" custScaleY="90909" custRadScaleRad="97063" custRadScaleInc="1446">
        <dgm:presLayoutVars>
          <dgm:bulletEnabled val="1"/>
        </dgm:presLayoutVars>
      </dgm:prSet>
      <dgm:spPr/>
      <dgm:t>
        <a:bodyPr/>
        <a:lstStyle/>
        <a:p>
          <a:endParaRPr lang="fr-FR"/>
        </a:p>
      </dgm:t>
    </dgm:pt>
    <dgm:pt modelId="{95DBDF8F-013A-4963-9D8B-29195AC95A35}" type="pres">
      <dgm:prSet presAssocID="{381E3C98-4F51-4EA3-A475-6FD4141D585A}" presName="dummy" presStyleCnt="0"/>
      <dgm:spPr/>
    </dgm:pt>
    <dgm:pt modelId="{CA65F150-FC5A-4274-A94B-12C80840D207}" type="pres">
      <dgm:prSet presAssocID="{CC889F06-C030-492E-98FE-1E14C12F40C1}" presName="sibTrans" presStyleLbl="sibTrans2D1" presStyleIdx="1" presStyleCnt="4"/>
      <dgm:spPr/>
      <dgm:t>
        <a:bodyPr/>
        <a:lstStyle/>
        <a:p>
          <a:endParaRPr lang="fr-FR"/>
        </a:p>
      </dgm:t>
    </dgm:pt>
    <dgm:pt modelId="{92A57443-F282-40A4-B8E5-C0C2AB09AF9D}" type="pres">
      <dgm:prSet presAssocID="{C0497E69-F276-4663-A797-80C5B56AF169}" presName="node" presStyleLbl="node1" presStyleIdx="2" presStyleCnt="4" custScaleX="110000" custScaleY="90909" custRadScaleRad="91180">
        <dgm:presLayoutVars>
          <dgm:bulletEnabled val="1"/>
        </dgm:presLayoutVars>
      </dgm:prSet>
      <dgm:spPr/>
      <dgm:t>
        <a:bodyPr/>
        <a:lstStyle/>
        <a:p>
          <a:endParaRPr lang="fr-FR"/>
        </a:p>
      </dgm:t>
    </dgm:pt>
    <dgm:pt modelId="{23DB7FD4-B11E-4954-983D-FFC07D651069}" type="pres">
      <dgm:prSet presAssocID="{C0497E69-F276-4663-A797-80C5B56AF169}" presName="dummy" presStyleCnt="0"/>
      <dgm:spPr/>
    </dgm:pt>
    <dgm:pt modelId="{F3A67058-2984-4995-B23A-DA7094A793DD}" type="pres">
      <dgm:prSet presAssocID="{6B84A5F7-1E23-4DE6-80BE-FF20F4683818}" presName="sibTrans" presStyleLbl="sibTrans2D1" presStyleIdx="2" presStyleCnt="4"/>
      <dgm:spPr/>
      <dgm:t>
        <a:bodyPr/>
        <a:lstStyle/>
        <a:p>
          <a:endParaRPr lang="fr-FR"/>
        </a:p>
      </dgm:t>
    </dgm:pt>
    <dgm:pt modelId="{1E6DBC4D-EE60-440A-B9A0-72F38EC6A2F9}" type="pres">
      <dgm:prSet presAssocID="{C5957A84-9C6A-41B4-8BC8-33ECD182328F}" presName="node" presStyleLbl="node1" presStyleIdx="3" presStyleCnt="4" custScaleX="110000" custScaleY="90909" custRadScaleRad="96325">
        <dgm:presLayoutVars>
          <dgm:bulletEnabled val="1"/>
        </dgm:presLayoutVars>
      </dgm:prSet>
      <dgm:spPr/>
      <dgm:t>
        <a:bodyPr/>
        <a:lstStyle/>
        <a:p>
          <a:endParaRPr lang="fr-FR"/>
        </a:p>
      </dgm:t>
    </dgm:pt>
    <dgm:pt modelId="{9C925A40-8F4B-4036-A1D4-2EA969787581}" type="pres">
      <dgm:prSet presAssocID="{C5957A84-9C6A-41B4-8BC8-33ECD182328F}" presName="dummy" presStyleCnt="0"/>
      <dgm:spPr/>
    </dgm:pt>
    <dgm:pt modelId="{92A649A0-9D8E-4071-AE9D-0D08DAA533B6}" type="pres">
      <dgm:prSet presAssocID="{6AD4EFE2-4E3C-4020-BBFF-180C50E6E599}" presName="sibTrans" presStyleLbl="sibTrans2D1" presStyleIdx="3" presStyleCnt="4"/>
      <dgm:spPr/>
      <dgm:t>
        <a:bodyPr/>
        <a:lstStyle/>
        <a:p>
          <a:endParaRPr lang="fr-FR"/>
        </a:p>
      </dgm:t>
    </dgm:pt>
  </dgm:ptLst>
  <dgm:cxnLst>
    <dgm:cxn modelId="{DFFD664A-6C14-4ECF-8481-1CEEF2B4AC7A}" srcId="{8F1DBC21-9F06-4E2C-81C6-C3AEC19356AE}" destId="{FD0BAE13-11C5-48D9-9173-EBF78FBFFC09}" srcOrd="0" destOrd="0" parTransId="{EB560501-67D0-4185-99BC-65E2771BBFCF}" sibTransId="{F19BF385-4402-4998-8E0A-1D5BE752C2DA}"/>
    <dgm:cxn modelId="{482BC9AA-C680-4451-9860-69920C25B595}" type="presOf" srcId="{6AD4EFE2-4E3C-4020-BBFF-180C50E6E599}" destId="{92A649A0-9D8E-4071-AE9D-0D08DAA533B6}" srcOrd="0" destOrd="0" presId="urn:microsoft.com/office/officeart/2005/8/layout/radial6"/>
    <dgm:cxn modelId="{48BDB846-B9D0-4981-96A2-FB135CB5B4E4}" type="presOf" srcId="{FD0BAE13-11C5-48D9-9173-EBF78FBFFC09}" destId="{B36EC059-1037-45F1-9196-81D93B4B5C54}" srcOrd="0" destOrd="0" presId="urn:microsoft.com/office/officeart/2005/8/layout/radial6"/>
    <dgm:cxn modelId="{D720F1C9-AECA-4D94-AA72-A4E414605717}" type="presOf" srcId="{C0497E69-F276-4663-A797-80C5B56AF169}" destId="{92A57443-F282-40A4-B8E5-C0C2AB09AF9D}" srcOrd="0" destOrd="0" presId="urn:microsoft.com/office/officeart/2005/8/layout/radial6"/>
    <dgm:cxn modelId="{1050B8EE-C494-44A7-9A69-9E69DC6277B2}" type="presOf" srcId="{6E39B9E9-0721-4508-BB35-D53F689D93D3}" destId="{11D97BDE-4447-4AB6-867E-CEC967DED8BE}" srcOrd="0" destOrd="0" presId="urn:microsoft.com/office/officeart/2005/8/layout/radial6"/>
    <dgm:cxn modelId="{2584ABD8-9B0E-49E5-8A34-E94105268798}" type="presOf" srcId="{6B84A5F7-1E23-4DE6-80BE-FF20F4683818}" destId="{F3A67058-2984-4995-B23A-DA7094A793DD}" srcOrd="0" destOrd="0" presId="urn:microsoft.com/office/officeart/2005/8/layout/radial6"/>
    <dgm:cxn modelId="{76F93D5A-60F2-4939-867C-D8885B2ADB2B}" type="presOf" srcId="{CC889F06-C030-492E-98FE-1E14C12F40C1}" destId="{CA65F150-FC5A-4274-A94B-12C80840D207}" srcOrd="0" destOrd="0" presId="urn:microsoft.com/office/officeart/2005/8/layout/radial6"/>
    <dgm:cxn modelId="{9EF07584-79EF-4619-A39C-3E7C820A608F}" srcId="{8F1DBC21-9F06-4E2C-81C6-C3AEC19356AE}" destId="{C5957A84-9C6A-41B4-8BC8-33ECD182328F}" srcOrd="3" destOrd="0" parTransId="{3EC81F87-ED54-47A4-980C-8938245CA90D}" sibTransId="{6AD4EFE2-4E3C-4020-BBFF-180C50E6E599}"/>
    <dgm:cxn modelId="{F61F8572-3D5F-449F-B824-EB8618025828}" type="presOf" srcId="{F19BF385-4402-4998-8E0A-1D5BE752C2DA}" destId="{5E4E3D66-A4A7-4197-8804-4B08119EA5CE}" srcOrd="0" destOrd="0" presId="urn:microsoft.com/office/officeart/2005/8/layout/radial6"/>
    <dgm:cxn modelId="{65AD30F2-9064-4BB8-9F4D-706988E90BC7}" srcId="{8F1DBC21-9F06-4E2C-81C6-C3AEC19356AE}" destId="{381E3C98-4F51-4EA3-A475-6FD4141D585A}" srcOrd="1" destOrd="0" parTransId="{C6E926C4-1B70-4CDB-8E4D-AA59E74C6DAB}" sibTransId="{CC889F06-C030-492E-98FE-1E14C12F40C1}"/>
    <dgm:cxn modelId="{EE9593AB-49E9-493A-BD95-F913B60CD5B9}" type="presOf" srcId="{8F1DBC21-9F06-4E2C-81C6-C3AEC19356AE}" destId="{8B7EA448-7D00-4F69-AA0D-36CB43937DEE}" srcOrd="0" destOrd="0" presId="urn:microsoft.com/office/officeart/2005/8/layout/radial6"/>
    <dgm:cxn modelId="{D984FEF4-A6D9-46CB-8ADC-CD9A1B4CD8FE}" type="presOf" srcId="{381E3C98-4F51-4EA3-A475-6FD4141D585A}" destId="{5FE658B9-9795-4677-B181-1470C43927DF}" srcOrd="0" destOrd="0" presId="urn:microsoft.com/office/officeart/2005/8/layout/radial6"/>
    <dgm:cxn modelId="{98810B18-10FC-4824-8956-FF99FCE7A70F}" srcId="{8F1DBC21-9F06-4E2C-81C6-C3AEC19356AE}" destId="{C0497E69-F276-4663-A797-80C5B56AF169}" srcOrd="2" destOrd="0" parTransId="{93D6D9FC-7ADD-422D-BDBE-2BB482F2F703}" sibTransId="{6B84A5F7-1E23-4DE6-80BE-FF20F4683818}"/>
    <dgm:cxn modelId="{471067EB-D7D4-4E57-B738-B889C2B3E794}" srcId="{6E39B9E9-0721-4508-BB35-D53F689D93D3}" destId="{8F1DBC21-9F06-4E2C-81C6-C3AEC19356AE}" srcOrd="0" destOrd="0" parTransId="{267614FD-4740-4191-ACC8-CB1EBB896B51}" sibTransId="{EEF6DEF0-0799-47B2-81F7-6B34272C8784}"/>
    <dgm:cxn modelId="{D51836FD-6DDB-4885-9B28-5DE67B3EF7D7}" type="presOf" srcId="{C5957A84-9C6A-41B4-8BC8-33ECD182328F}" destId="{1E6DBC4D-EE60-440A-B9A0-72F38EC6A2F9}" srcOrd="0" destOrd="0" presId="urn:microsoft.com/office/officeart/2005/8/layout/radial6"/>
    <dgm:cxn modelId="{F1AA1D6E-95F6-4093-A8F2-3FECEE69B5CD}" type="presParOf" srcId="{11D97BDE-4447-4AB6-867E-CEC967DED8BE}" destId="{8B7EA448-7D00-4F69-AA0D-36CB43937DEE}" srcOrd="0" destOrd="0" presId="urn:microsoft.com/office/officeart/2005/8/layout/radial6"/>
    <dgm:cxn modelId="{BF4967F3-7010-4AF8-AD17-70FB1214446C}" type="presParOf" srcId="{11D97BDE-4447-4AB6-867E-CEC967DED8BE}" destId="{B36EC059-1037-45F1-9196-81D93B4B5C54}" srcOrd="1" destOrd="0" presId="urn:microsoft.com/office/officeart/2005/8/layout/radial6"/>
    <dgm:cxn modelId="{F0A0DE57-D35B-4CC3-9B23-D05CE6843874}" type="presParOf" srcId="{11D97BDE-4447-4AB6-867E-CEC967DED8BE}" destId="{42E2DAB1-F07F-4BCA-8136-2D7807E0D8D0}" srcOrd="2" destOrd="0" presId="urn:microsoft.com/office/officeart/2005/8/layout/radial6"/>
    <dgm:cxn modelId="{1509C9BE-165E-4195-A0E4-6704125EC08A}" type="presParOf" srcId="{11D97BDE-4447-4AB6-867E-CEC967DED8BE}" destId="{5E4E3D66-A4A7-4197-8804-4B08119EA5CE}" srcOrd="3" destOrd="0" presId="urn:microsoft.com/office/officeart/2005/8/layout/radial6"/>
    <dgm:cxn modelId="{9AC9F441-5A31-4D48-B752-308AB03DCAB5}" type="presParOf" srcId="{11D97BDE-4447-4AB6-867E-CEC967DED8BE}" destId="{5FE658B9-9795-4677-B181-1470C43927DF}" srcOrd="4" destOrd="0" presId="urn:microsoft.com/office/officeart/2005/8/layout/radial6"/>
    <dgm:cxn modelId="{34442DDA-646A-48B7-A651-A5531434D197}" type="presParOf" srcId="{11D97BDE-4447-4AB6-867E-CEC967DED8BE}" destId="{95DBDF8F-013A-4963-9D8B-29195AC95A35}" srcOrd="5" destOrd="0" presId="urn:microsoft.com/office/officeart/2005/8/layout/radial6"/>
    <dgm:cxn modelId="{2FCB0FEC-FBB5-4BEB-BE57-3C9EAF5A1C3F}" type="presParOf" srcId="{11D97BDE-4447-4AB6-867E-CEC967DED8BE}" destId="{CA65F150-FC5A-4274-A94B-12C80840D207}" srcOrd="6" destOrd="0" presId="urn:microsoft.com/office/officeart/2005/8/layout/radial6"/>
    <dgm:cxn modelId="{1974381E-84D7-41AA-A696-C06FF69FEA03}" type="presParOf" srcId="{11D97BDE-4447-4AB6-867E-CEC967DED8BE}" destId="{92A57443-F282-40A4-B8E5-C0C2AB09AF9D}" srcOrd="7" destOrd="0" presId="urn:microsoft.com/office/officeart/2005/8/layout/radial6"/>
    <dgm:cxn modelId="{B2260460-2DDF-4A35-8AA5-826BEEF069C4}" type="presParOf" srcId="{11D97BDE-4447-4AB6-867E-CEC967DED8BE}" destId="{23DB7FD4-B11E-4954-983D-FFC07D651069}" srcOrd="8" destOrd="0" presId="urn:microsoft.com/office/officeart/2005/8/layout/radial6"/>
    <dgm:cxn modelId="{909D5766-A648-41C2-A9C2-31465B43706E}" type="presParOf" srcId="{11D97BDE-4447-4AB6-867E-CEC967DED8BE}" destId="{F3A67058-2984-4995-B23A-DA7094A793DD}" srcOrd="9" destOrd="0" presId="urn:microsoft.com/office/officeart/2005/8/layout/radial6"/>
    <dgm:cxn modelId="{E29F8948-B443-4A63-997B-931F5ACE7FBD}" type="presParOf" srcId="{11D97BDE-4447-4AB6-867E-CEC967DED8BE}" destId="{1E6DBC4D-EE60-440A-B9A0-72F38EC6A2F9}" srcOrd="10" destOrd="0" presId="urn:microsoft.com/office/officeart/2005/8/layout/radial6"/>
    <dgm:cxn modelId="{0F85A1DE-4C94-403A-BC39-41F438472543}" type="presParOf" srcId="{11D97BDE-4447-4AB6-867E-CEC967DED8BE}" destId="{9C925A40-8F4B-4036-A1D4-2EA969787581}" srcOrd="11" destOrd="0" presId="urn:microsoft.com/office/officeart/2005/8/layout/radial6"/>
    <dgm:cxn modelId="{427B4E73-7232-4DE5-9263-00948E224BEA}" type="presParOf" srcId="{11D97BDE-4447-4AB6-867E-CEC967DED8BE}" destId="{92A649A0-9D8E-4071-AE9D-0D08DAA533B6}" srcOrd="12" destOrd="0" presId="urn:microsoft.com/office/officeart/2005/8/layout/radial6"/>
  </dgm:cxnLst>
  <dgm:bg/>
  <dgm:whole>
    <a:ln w="6350">
      <a:solidFill>
        <a:schemeClr val="tx1"/>
      </a:solidFill>
    </a:ln>
  </dgm:whole>
  <dgm:extLst>
    <a:ext uri="http://schemas.microsoft.com/office/drawing/2008/diagram">
      <dsp:dataModelExt xmlns:dsp="http://schemas.microsoft.com/office/drawing/2008/diagram" relId="rId192" minVer="http://schemas.openxmlformats.org/drawingml/2006/diagram"/>
    </a:ext>
  </dgm:extLst>
</dgm:dataModel>
</file>

<file path=word/diagrams/data16.xml><?xml version="1.0" encoding="utf-8"?>
<dgm:dataModel xmlns:dgm="http://schemas.openxmlformats.org/drawingml/2006/diagram" xmlns:a="http://schemas.openxmlformats.org/drawingml/2006/main">
  <dgm:ptLst>
    <dgm:pt modelId="{C25F2F14-E188-435F-B2DB-1E1EEA4A64DF}"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fr-FR"/>
        </a:p>
      </dgm:t>
    </dgm:pt>
    <dgm:pt modelId="{634C07DD-CFF0-497A-92F9-4621D46AD5EE}">
      <dgm:prSet phldrT="[Texte]" custT="1"/>
      <dgm:spPr>
        <a:blipFill rotWithShape="0">
          <a:blip xmlns:r="http://schemas.openxmlformats.org/officeDocument/2006/relationships" r:embed="rId1"/>
          <a:stretch>
            <a:fillRect/>
          </a:stretch>
        </a:blipFill>
        <a:ln w="3175">
          <a:solidFill>
            <a:schemeClr val="tx1"/>
          </a:solidFill>
        </a:ln>
      </dgm:spPr>
      <dgm:t>
        <a:bodyPr/>
        <a:lstStyle/>
        <a:p>
          <a:pPr algn="ctr"/>
          <a:endParaRPr lang="fr-FR" sz="800">
            <a:solidFill>
              <a:srgbClr val="FF0000"/>
            </a:solidFill>
          </a:endParaRPr>
        </a:p>
      </dgm:t>
    </dgm:pt>
    <dgm:pt modelId="{EC640F5B-0E2A-4E7F-91C3-A766826CFFD3}" type="parTrans" cxnId="{A5B05A96-CD52-4BB0-BEA3-E4BCF0FDD08F}">
      <dgm:prSet/>
      <dgm:spPr/>
      <dgm:t>
        <a:bodyPr/>
        <a:lstStyle/>
        <a:p>
          <a:endParaRPr lang="fr-FR"/>
        </a:p>
      </dgm:t>
    </dgm:pt>
    <dgm:pt modelId="{369FF951-9EE5-47AF-98B0-99CE7A63EAE5}" type="sibTrans" cxnId="{A5B05A96-CD52-4BB0-BEA3-E4BCF0FDD08F}">
      <dgm:prSet/>
      <dgm:spPr/>
      <dgm:t>
        <a:bodyPr/>
        <a:lstStyle/>
        <a:p>
          <a:endParaRPr lang="fr-FR"/>
        </a:p>
      </dgm:t>
    </dgm:pt>
    <dgm:pt modelId="{2867FFD9-63FA-4169-A58D-76FD26238F08}">
      <dgm:prSet phldrT="[Texte]" custT="1"/>
      <dgm:spPr>
        <a:blipFill rotWithShape="0">
          <a:blip xmlns:r="http://schemas.openxmlformats.org/officeDocument/2006/relationships" r:embed="rId2"/>
          <a:stretch>
            <a:fillRect/>
          </a:stretch>
        </a:blipFill>
        <a:ln w="3175">
          <a:solidFill>
            <a:schemeClr val="tx1"/>
          </a:solidFill>
        </a:ln>
      </dgm:spPr>
      <dgm:t>
        <a:bodyPr/>
        <a:lstStyle/>
        <a:p>
          <a:endParaRPr lang="fr-FR" sz="900">
            <a:solidFill>
              <a:srgbClr val="FF0000"/>
            </a:solidFill>
          </a:endParaRPr>
        </a:p>
      </dgm:t>
    </dgm:pt>
    <dgm:pt modelId="{F0439D17-ABE5-43B7-B548-A44E8EB77827}" type="sibTrans" cxnId="{4DE5D350-4960-41EF-8A90-C5F5EBC9DCB1}">
      <dgm:prSet/>
      <dgm:spPr/>
      <dgm:t>
        <a:bodyPr/>
        <a:lstStyle/>
        <a:p>
          <a:endParaRPr lang="fr-FR"/>
        </a:p>
      </dgm:t>
    </dgm:pt>
    <dgm:pt modelId="{712F4296-D7D1-4DB5-89C5-FEC27E74F6F9}" type="parTrans" cxnId="{4DE5D350-4960-41EF-8A90-C5F5EBC9DCB1}">
      <dgm:prSet/>
      <dgm:spPr/>
      <dgm:t>
        <a:bodyPr/>
        <a:lstStyle/>
        <a:p>
          <a:endParaRPr lang="fr-FR"/>
        </a:p>
      </dgm:t>
    </dgm:pt>
    <dgm:pt modelId="{FE195C30-858B-41CB-B97E-15F2D18D3502}" type="pres">
      <dgm:prSet presAssocID="{C25F2F14-E188-435F-B2DB-1E1EEA4A64DF}" presName="diagram" presStyleCnt="0">
        <dgm:presLayoutVars>
          <dgm:dir/>
          <dgm:resizeHandles val="exact"/>
        </dgm:presLayoutVars>
      </dgm:prSet>
      <dgm:spPr/>
      <dgm:t>
        <a:bodyPr/>
        <a:lstStyle/>
        <a:p>
          <a:endParaRPr lang="fr-FR"/>
        </a:p>
      </dgm:t>
    </dgm:pt>
    <dgm:pt modelId="{CB8E5BA1-A34D-4586-B0D8-58D673D13878}" type="pres">
      <dgm:prSet presAssocID="{2867FFD9-63FA-4169-A58D-76FD26238F08}" presName="node" presStyleLbl="node1" presStyleIdx="0" presStyleCnt="2" custScaleX="44011" custScaleY="57620" custLinFactNeighborX="2913" custLinFactNeighborY="-129">
        <dgm:presLayoutVars>
          <dgm:bulletEnabled val="1"/>
        </dgm:presLayoutVars>
      </dgm:prSet>
      <dgm:spPr/>
      <dgm:t>
        <a:bodyPr/>
        <a:lstStyle/>
        <a:p>
          <a:endParaRPr lang="fr-FR"/>
        </a:p>
      </dgm:t>
    </dgm:pt>
    <dgm:pt modelId="{56DDAF45-F73E-4B8F-B8F0-74C496DCD459}" type="pres">
      <dgm:prSet presAssocID="{F0439D17-ABE5-43B7-B548-A44E8EB77827}" presName="sibTrans" presStyleCnt="0"/>
      <dgm:spPr/>
    </dgm:pt>
    <dgm:pt modelId="{A94DF336-0558-469C-A4A7-63D085856D5B}" type="pres">
      <dgm:prSet presAssocID="{634C07DD-CFF0-497A-92F9-4621D46AD5EE}" presName="node" presStyleLbl="node1" presStyleIdx="1" presStyleCnt="2" custScaleX="44511" custScaleY="57764" custLinFactNeighborX="-2652" custLinFactNeighborY="-57">
        <dgm:presLayoutVars>
          <dgm:bulletEnabled val="1"/>
        </dgm:presLayoutVars>
      </dgm:prSet>
      <dgm:spPr/>
      <dgm:t>
        <a:bodyPr/>
        <a:lstStyle/>
        <a:p>
          <a:endParaRPr lang="fr-FR"/>
        </a:p>
      </dgm:t>
    </dgm:pt>
  </dgm:ptLst>
  <dgm:cxnLst>
    <dgm:cxn modelId="{A1AC2BF8-CEB0-490D-98AF-AE3D64A47088}" type="presOf" srcId="{2867FFD9-63FA-4169-A58D-76FD26238F08}" destId="{CB8E5BA1-A34D-4586-B0D8-58D673D13878}" srcOrd="0" destOrd="0" presId="urn:microsoft.com/office/officeart/2005/8/layout/default"/>
    <dgm:cxn modelId="{66C2D6A1-A4CC-46F5-8DC3-EBB82AE341DE}" type="presOf" srcId="{634C07DD-CFF0-497A-92F9-4621D46AD5EE}" destId="{A94DF336-0558-469C-A4A7-63D085856D5B}" srcOrd="0" destOrd="0" presId="urn:microsoft.com/office/officeart/2005/8/layout/default"/>
    <dgm:cxn modelId="{4DE5D350-4960-41EF-8A90-C5F5EBC9DCB1}" srcId="{C25F2F14-E188-435F-B2DB-1E1EEA4A64DF}" destId="{2867FFD9-63FA-4169-A58D-76FD26238F08}" srcOrd="0" destOrd="0" parTransId="{712F4296-D7D1-4DB5-89C5-FEC27E74F6F9}" sibTransId="{F0439D17-ABE5-43B7-B548-A44E8EB77827}"/>
    <dgm:cxn modelId="{A5B05A96-CD52-4BB0-BEA3-E4BCF0FDD08F}" srcId="{C25F2F14-E188-435F-B2DB-1E1EEA4A64DF}" destId="{634C07DD-CFF0-497A-92F9-4621D46AD5EE}" srcOrd="1" destOrd="0" parTransId="{EC640F5B-0E2A-4E7F-91C3-A766826CFFD3}" sibTransId="{369FF951-9EE5-47AF-98B0-99CE7A63EAE5}"/>
    <dgm:cxn modelId="{E80ABE63-B774-4B45-A95B-ADABA9817406}" type="presOf" srcId="{C25F2F14-E188-435F-B2DB-1E1EEA4A64DF}" destId="{FE195C30-858B-41CB-B97E-15F2D18D3502}" srcOrd="0" destOrd="0" presId="urn:microsoft.com/office/officeart/2005/8/layout/default"/>
    <dgm:cxn modelId="{0DFC24AA-C1E4-46D3-ADD7-6F5B14FACE98}" type="presParOf" srcId="{FE195C30-858B-41CB-B97E-15F2D18D3502}" destId="{CB8E5BA1-A34D-4586-B0D8-58D673D13878}" srcOrd="0" destOrd="0" presId="urn:microsoft.com/office/officeart/2005/8/layout/default"/>
    <dgm:cxn modelId="{7A90DF02-C522-497F-8079-2A952FE12127}" type="presParOf" srcId="{FE195C30-858B-41CB-B97E-15F2D18D3502}" destId="{56DDAF45-F73E-4B8F-B8F0-74C496DCD459}" srcOrd="1" destOrd="0" presId="urn:microsoft.com/office/officeart/2005/8/layout/default"/>
    <dgm:cxn modelId="{9C724218-5756-4CE3-AFCA-E95E08FA1AFD}" type="presParOf" srcId="{FE195C30-858B-41CB-B97E-15F2D18D3502}" destId="{A94DF336-0558-469C-A4A7-63D085856D5B}" srcOrd="2" destOrd="0" presId="urn:microsoft.com/office/officeart/2005/8/layout/default"/>
  </dgm:cxnLst>
  <dgm:bg/>
  <dgm:whole>
    <a:ln w="6350" cap="flat" cmpd="sng" algn="ctr">
      <a:solidFill>
        <a:schemeClr val="tx1"/>
      </a:solidFill>
      <a:prstDash val="solid"/>
      <a:round/>
      <a:headEnd type="none" w="med" len="med"/>
      <a:tailEnd type="none" w="med" len="med"/>
    </a:ln>
  </dgm:whole>
  <dgm:extLst>
    <a:ext uri="http://schemas.microsoft.com/office/drawing/2008/diagram">
      <dsp:dataModelExt xmlns:dsp="http://schemas.microsoft.com/office/drawing/2008/diagram" relId="rId202" minVer="http://schemas.openxmlformats.org/drawingml/2006/diagram"/>
    </a:ext>
  </dgm:extLst>
</dgm:dataModel>
</file>

<file path=word/diagrams/data17.xml><?xml version="1.0" encoding="utf-8"?>
<dgm:dataModel xmlns:dgm="http://schemas.openxmlformats.org/drawingml/2006/diagram" xmlns:a="http://schemas.openxmlformats.org/drawingml/2006/main">
  <dgm:ptLst>
    <dgm:pt modelId="{FF924677-837F-4807-AC33-FEFBFEB71194}"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fr-FR"/>
        </a:p>
      </dgm:t>
    </dgm:pt>
    <dgm:pt modelId="{98E682DE-FAE8-44B8-8DCB-188BCB675056}">
      <dgm:prSet phldrT="[Texte]" custT="1">
        <dgm:style>
          <a:lnRef idx="1">
            <a:schemeClr val="dk1"/>
          </a:lnRef>
          <a:fillRef idx="2">
            <a:schemeClr val="dk1"/>
          </a:fillRef>
          <a:effectRef idx="1">
            <a:schemeClr val="dk1"/>
          </a:effectRef>
          <a:fontRef idx="minor">
            <a:schemeClr val="dk1"/>
          </a:fontRef>
        </dgm:style>
      </dgm:prSet>
      <dgm:spPr>
        <a:ln/>
      </dgm:spPr>
      <dgm:t>
        <a:bodyPr/>
        <a:lstStyle/>
        <a:p>
          <a:pPr algn="ctr"/>
          <a:r>
            <a:rPr lang="ar-DZ" sz="1400"/>
            <a:t>مكونات مرونة مدينة بوسعادة</a:t>
          </a:r>
          <a:endParaRPr lang="fr-FR" sz="1400"/>
        </a:p>
      </dgm:t>
    </dgm:pt>
    <dgm:pt modelId="{8C6779B1-A3B8-4DF5-8E77-C040ADF82319}" type="parTrans" cxnId="{D4BBC883-DCD0-4B8E-8234-3D585245E923}">
      <dgm:prSet/>
      <dgm:spPr/>
      <dgm:t>
        <a:bodyPr/>
        <a:lstStyle/>
        <a:p>
          <a:pPr algn="ctr"/>
          <a:endParaRPr lang="fr-FR"/>
        </a:p>
      </dgm:t>
    </dgm:pt>
    <dgm:pt modelId="{892CFED7-DC1A-4791-841F-221120C5EAC3}" type="sibTrans" cxnId="{D4BBC883-DCD0-4B8E-8234-3D585245E923}">
      <dgm:prSet/>
      <dgm:spPr/>
      <dgm:t>
        <a:bodyPr/>
        <a:lstStyle/>
        <a:p>
          <a:pPr algn="ctr"/>
          <a:endParaRPr lang="fr-FR"/>
        </a:p>
      </dgm:t>
    </dgm:pt>
    <dgm:pt modelId="{4752F337-7B1E-470E-9F80-A0496934B04D}">
      <dgm:prSet phldrT="[Texte]" custT="1">
        <dgm:style>
          <a:lnRef idx="1">
            <a:schemeClr val="dk1"/>
          </a:lnRef>
          <a:fillRef idx="2">
            <a:schemeClr val="dk1"/>
          </a:fillRef>
          <a:effectRef idx="1">
            <a:schemeClr val="dk1"/>
          </a:effectRef>
          <a:fontRef idx="minor">
            <a:schemeClr val="dk1"/>
          </a:fontRef>
        </dgm:style>
      </dgm:prSet>
      <dgm:spPr>
        <a:solidFill>
          <a:schemeClr val="bg1">
            <a:lumMod val="75000"/>
          </a:schemeClr>
        </a:solidFill>
        <a:ln>
          <a:solidFill>
            <a:schemeClr val="bg2"/>
          </a:solidFill>
        </a:ln>
      </dgm:spPr>
      <dgm:t>
        <a:bodyPr/>
        <a:lstStyle/>
        <a:p>
          <a:pPr algn="ctr" rtl="1"/>
          <a:r>
            <a:rPr lang="ar-DZ" sz="1400" b="1">
              <a:latin typeface="Simplified Arabic" panose="02020603050405020304" pitchFamily="18" charset="-78"/>
              <a:cs typeface="Simplified Arabic" panose="02020603050405020304" pitchFamily="18" charset="-78"/>
            </a:rPr>
            <a:t>المكون الفيزيائي</a:t>
          </a:r>
          <a:endParaRPr lang="fr-FR" sz="1400" b="1" cap="none" spc="0">
            <a:ln w="6350">
              <a:solidFill>
                <a:schemeClr val="tx2">
                  <a:satMod val="155000"/>
                </a:schemeClr>
              </a:solidFill>
              <a:prstDash val="solid"/>
            </a:ln>
            <a:solidFill>
              <a:schemeClr val="bg2">
                <a:tint val="85000"/>
                <a:satMod val="155000"/>
              </a:schemeClr>
            </a:solidFill>
            <a:effectLst>
              <a:outerShdw blurRad="41275" dist="20320" dir="1800000" algn="tl" rotWithShape="0">
                <a:srgbClr val="000000">
                  <a:alpha val="40000"/>
                </a:srgbClr>
              </a:outerShdw>
            </a:effectLst>
            <a:latin typeface="Simplified Arabic" panose="02020603050405020304" pitchFamily="18" charset="-78"/>
            <a:cs typeface="Simplified Arabic" panose="02020603050405020304" pitchFamily="18" charset="-78"/>
          </a:endParaRPr>
        </a:p>
      </dgm:t>
    </dgm:pt>
    <dgm:pt modelId="{7590B58A-1836-4C14-A13F-F6A89658FC79}" type="parTrans" cxnId="{990427F3-3938-4EE0-9777-EDCD0E3FB59F}">
      <dgm:prSet/>
      <dgm:spPr/>
      <dgm:t>
        <a:bodyPr/>
        <a:lstStyle/>
        <a:p>
          <a:pPr algn="ctr"/>
          <a:endParaRPr lang="fr-FR"/>
        </a:p>
      </dgm:t>
    </dgm:pt>
    <dgm:pt modelId="{4C7FCA2B-4E01-474B-92EA-74BEDDCBE19F}" type="sibTrans" cxnId="{990427F3-3938-4EE0-9777-EDCD0E3FB59F}">
      <dgm:prSet/>
      <dgm:spPr>
        <a:solidFill>
          <a:schemeClr val="bg1">
            <a:lumMod val="95000"/>
          </a:schemeClr>
        </a:solidFill>
        <a:ln>
          <a:solidFill>
            <a:schemeClr val="bg1">
              <a:lumMod val="50000"/>
            </a:schemeClr>
          </a:solidFill>
        </a:ln>
      </dgm:spPr>
      <dgm:t>
        <a:bodyPr/>
        <a:lstStyle/>
        <a:p>
          <a:pPr algn="ctr"/>
          <a:endParaRPr lang="fr-FR"/>
        </a:p>
      </dgm:t>
    </dgm:pt>
    <dgm:pt modelId="{22941BCD-0EF2-43B7-A32B-A26C93233751}">
      <dgm:prSet phldrT="[Texte]" custT="1">
        <dgm:style>
          <a:lnRef idx="2">
            <a:schemeClr val="dk1"/>
          </a:lnRef>
          <a:fillRef idx="1">
            <a:schemeClr val="lt1"/>
          </a:fillRef>
          <a:effectRef idx="0">
            <a:schemeClr val="dk1"/>
          </a:effectRef>
          <a:fontRef idx="minor">
            <a:schemeClr val="dk1"/>
          </a:fontRef>
        </dgm:style>
      </dgm:prSet>
      <dgm:spPr>
        <a:ln w="6350">
          <a:solidFill>
            <a:schemeClr val="bg1">
              <a:lumMod val="50000"/>
            </a:schemeClr>
          </a:solidFill>
        </a:ln>
      </dgm:spPr>
      <dgm:t>
        <a:bodyPr/>
        <a:lstStyle/>
        <a:p>
          <a:pPr algn="ctr" rtl="1"/>
          <a:r>
            <a:rPr lang="ar-DZ" sz="1100" b="0">
              <a:latin typeface="Simplified Arabic" panose="02020603050405020304" pitchFamily="18" charset="-78"/>
              <a:cs typeface="Simplified Arabic" panose="02020603050405020304" pitchFamily="18" charset="-78"/>
            </a:rPr>
            <a:t>المكون الاقتصادي</a:t>
          </a:r>
          <a:endParaRPr lang="fr-FR" sz="1100" b="0">
            <a:latin typeface="Simplified Arabic" panose="02020603050405020304" pitchFamily="18" charset="-78"/>
            <a:cs typeface="Simplified Arabic" panose="02020603050405020304" pitchFamily="18" charset="-78"/>
          </a:endParaRPr>
        </a:p>
      </dgm:t>
    </dgm:pt>
    <dgm:pt modelId="{D4CC2DCD-1FB0-4C02-AEFC-386271779E84}" type="parTrans" cxnId="{92E3198D-6B1F-427B-9DF6-35F4D01C5934}">
      <dgm:prSet/>
      <dgm:spPr/>
      <dgm:t>
        <a:bodyPr/>
        <a:lstStyle/>
        <a:p>
          <a:pPr algn="ctr"/>
          <a:endParaRPr lang="fr-FR"/>
        </a:p>
      </dgm:t>
    </dgm:pt>
    <dgm:pt modelId="{6029CBF2-D9BD-4C8E-8E54-D3499218AAF8}" type="sibTrans" cxnId="{92E3198D-6B1F-427B-9DF6-35F4D01C5934}">
      <dgm:prSet/>
      <dgm:spPr>
        <a:solidFill>
          <a:schemeClr val="bg1">
            <a:lumMod val="95000"/>
          </a:schemeClr>
        </a:solidFill>
        <a:ln>
          <a:solidFill>
            <a:schemeClr val="bg1">
              <a:lumMod val="50000"/>
            </a:schemeClr>
          </a:solidFill>
        </a:ln>
      </dgm:spPr>
      <dgm:t>
        <a:bodyPr/>
        <a:lstStyle/>
        <a:p>
          <a:pPr algn="ctr"/>
          <a:endParaRPr lang="fr-FR"/>
        </a:p>
      </dgm:t>
    </dgm:pt>
    <dgm:pt modelId="{3C5F42CE-4808-4996-8149-16876345C479}">
      <dgm:prSet phldrT="[Texte]" custT="1">
        <dgm:style>
          <a:lnRef idx="2">
            <a:schemeClr val="dk1"/>
          </a:lnRef>
          <a:fillRef idx="1">
            <a:schemeClr val="lt1"/>
          </a:fillRef>
          <a:effectRef idx="0">
            <a:schemeClr val="dk1"/>
          </a:effectRef>
          <a:fontRef idx="minor">
            <a:schemeClr val="dk1"/>
          </a:fontRef>
        </dgm:style>
      </dgm:prSet>
      <dgm:spPr>
        <a:ln w="6350">
          <a:solidFill>
            <a:schemeClr val="bg1">
              <a:lumMod val="50000"/>
            </a:schemeClr>
          </a:solidFill>
        </a:ln>
      </dgm:spPr>
      <dgm:t>
        <a:bodyPr/>
        <a:lstStyle/>
        <a:p>
          <a:pPr algn="ctr" rtl="1"/>
          <a:r>
            <a:rPr lang="ar-DZ" sz="1100" b="0">
              <a:latin typeface="Simplified Arabic" panose="02020603050405020304" pitchFamily="18" charset="-78"/>
              <a:cs typeface="Simplified Arabic" panose="02020603050405020304" pitchFamily="18" charset="-78"/>
            </a:rPr>
            <a:t>المكون الاجتماعي</a:t>
          </a:r>
          <a:endParaRPr lang="fr-FR" sz="1100" b="0">
            <a:latin typeface="Simplified Arabic" panose="02020603050405020304" pitchFamily="18" charset="-78"/>
            <a:cs typeface="Simplified Arabic" panose="02020603050405020304" pitchFamily="18" charset="-78"/>
          </a:endParaRPr>
        </a:p>
      </dgm:t>
    </dgm:pt>
    <dgm:pt modelId="{47CD475F-D2CC-43D0-9D11-7E7C46D4CA63}" type="parTrans" cxnId="{125074B7-301F-4BAE-A83D-58C0C953E714}">
      <dgm:prSet/>
      <dgm:spPr/>
      <dgm:t>
        <a:bodyPr/>
        <a:lstStyle/>
        <a:p>
          <a:pPr algn="ctr"/>
          <a:endParaRPr lang="fr-FR"/>
        </a:p>
      </dgm:t>
    </dgm:pt>
    <dgm:pt modelId="{7CE5CED1-B469-433C-851A-9DF94921FF37}" type="sibTrans" cxnId="{125074B7-301F-4BAE-A83D-58C0C953E714}">
      <dgm:prSet/>
      <dgm:spPr>
        <a:solidFill>
          <a:schemeClr val="bg1">
            <a:lumMod val="95000"/>
          </a:schemeClr>
        </a:solidFill>
        <a:ln>
          <a:solidFill>
            <a:schemeClr val="bg1">
              <a:lumMod val="50000"/>
            </a:schemeClr>
          </a:solidFill>
        </a:ln>
      </dgm:spPr>
      <dgm:t>
        <a:bodyPr/>
        <a:lstStyle/>
        <a:p>
          <a:pPr algn="ctr"/>
          <a:endParaRPr lang="fr-FR"/>
        </a:p>
      </dgm:t>
    </dgm:pt>
    <dgm:pt modelId="{118355E0-393B-4347-8BF4-331499F312A1}">
      <dgm:prSet phldrT="[Texte]" custT="1">
        <dgm:style>
          <a:lnRef idx="2">
            <a:schemeClr val="dk1"/>
          </a:lnRef>
          <a:fillRef idx="1">
            <a:schemeClr val="lt1"/>
          </a:fillRef>
          <a:effectRef idx="0">
            <a:schemeClr val="dk1"/>
          </a:effectRef>
          <a:fontRef idx="minor">
            <a:schemeClr val="dk1"/>
          </a:fontRef>
        </dgm:style>
      </dgm:prSet>
      <dgm:spPr>
        <a:ln w="6350">
          <a:solidFill>
            <a:schemeClr val="bg1">
              <a:lumMod val="50000"/>
            </a:schemeClr>
          </a:solidFill>
        </a:ln>
      </dgm:spPr>
      <dgm:t>
        <a:bodyPr/>
        <a:lstStyle/>
        <a:p>
          <a:pPr algn="ctr" rtl="1"/>
          <a:r>
            <a:rPr lang="ar-DZ" sz="1100" b="0">
              <a:latin typeface="Simplified Arabic" panose="02020603050405020304" pitchFamily="18" charset="-78"/>
              <a:cs typeface="Simplified Arabic" panose="02020603050405020304" pitchFamily="18" charset="-78"/>
            </a:rPr>
            <a:t>المكون المؤسساتي</a:t>
          </a:r>
          <a:endParaRPr lang="fr-FR" sz="1100" b="0">
            <a:latin typeface="Simplified Arabic" panose="02020603050405020304" pitchFamily="18" charset="-78"/>
            <a:cs typeface="Simplified Arabic" panose="02020603050405020304" pitchFamily="18" charset="-78"/>
          </a:endParaRPr>
        </a:p>
      </dgm:t>
    </dgm:pt>
    <dgm:pt modelId="{7E563D8C-6F0A-4752-9CD2-0054E448B991}" type="parTrans" cxnId="{F8440037-27FC-41F3-A078-D04B2BA86201}">
      <dgm:prSet/>
      <dgm:spPr/>
      <dgm:t>
        <a:bodyPr/>
        <a:lstStyle/>
        <a:p>
          <a:endParaRPr lang="fr-FR"/>
        </a:p>
      </dgm:t>
    </dgm:pt>
    <dgm:pt modelId="{01EF263F-BD67-423E-A9BC-A213757797C9}" type="sibTrans" cxnId="{F8440037-27FC-41F3-A078-D04B2BA86201}">
      <dgm:prSet/>
      <dgm:spPr>
        <a:solidFill>
          <a:schemeClr val="bg1">
            <a:lumMod val="95000"/>
          </a:schemeClr>
        </a:solidFill>
        <a:ln>
          <a:solidFill>
            <a:schemeClr val="bg1">
              <a:lumMod val="50000"/>
            </a:schemeClr>
          </a:solidFill>
        </a:ln>
      </dgm:spPr>
      <dgm:t>
        <a:bodyPr/>
        <a:lstStyle/>
        <a:p>
          <a:endParaRPr lang="fr-FR"/>
        </a:p>
      </dgm:t>
    </dgm:pt>
    <dgm:pt modelId="{BE733F2B-92A3-468B-B256-803807180BE1}">
      <dgm:prSet custT="1">
        <dgm:style>
          <a:lnRef idx="2">
            <a:schemeClr val="dk1"/>
          </a:lnRef>
          <a:fillRef idx="1">
            <a:schemeClr val="lt1"/>
          </a:fillRef>
          <a:effectRef idx="0">
            <a:schemeClr val="dk1"/>
          </a:effectRef>
          <a:fontRef idx="minor">
            <a:schemeClr val="dk1"/>
          </a:fontRef>
        </dgm:style>
      </dgm:prSet>
      <dgm:spPr>
        <a:ln w="6350">
          <a:solidFill>
            <a:schemeClr val="bg1">
              <a:lumMod val="50000"/>
            </a:schemeClr>
          </a:solidFill>
        </a:ln>
      </dgm:spPr>
      <dgm:t>
        <a:bodyPr/>
        <a:lstStyle/>
        <a:p>
          <a:pPr rtl="1"/>
          <a:r>
            <a:rPr lang="ar-DZ" sz="1100" b="0">
              <a:latin typeface="Simplified Arabic" panose="02020603050405020304" pitchFamily="18" charset="-78"/>
              <a:cs typeface="Simplified Arabic" panose="02020603050405020304" pitchFamily="18" charset="-78"/>
            </a:rPr>
            <a:t>المكون البيئي</a:t>
          </a:r>
          <a:endParaRPr lang="fr-FR" sz="1100" b="0">
            <a:latin typeface="Simplified Arabic" panose="02020603050405020304" pitchFamily="18" charset="-78"/>
            <a:cs typeface="Simplified Arabic" panose="02020603050405020304" pitchFamily="18" charset="-78"/>
          </a:endParaRPr>
        </a:p>
      </dgm:t>
    </dgm:pt>
    <dgm:pt modelId="{BC29FC15-4CBB-4867-A83C-09F4C3E00E83}" type="parTrans" cxnId="{060F92B7-9E87-4058-8C24-B384A47AC918}">
      <dgm:prSet/>
      <dgm:spPr/>
      <dgm:t>
        <a:bodyPr/>
        <a:lstStyle/>
        <a:p>
          <a:endParaRPr lang="fr-FR"/>
        </a:p>
      </dgm:t>
    </dgm:pt>
    <dgm:pt modelId="{746DD70B-4FE3-4FB5-8483-9A948F693D07}" type="sibTrans" cxnId="{060F92B7-9E87-4058-8C24-B384A47AC918}">
      <dgm:prSet/>
      <dgm:spPr>
        <a:solidFill>
          <a:schemeClr val="bg1">
            <a:lumMod val="95000"/>
          </a:schemeClr>
        </a:solidFill>
        <a:ln>
          <a:solidFill>
            <a:schemeClr val="bg1">
              <a:lumMod val="50000"/>
            </a:schemeClr>
          </a:solidFill>
        </a:ln>
      </dgm:spPr>
      <dgm:t>
        <a:bodyPr/>
        <a:lstStyle/>
        <a:p>
          <a:endParaRPr lang="fr-FR"/>
        </a:p>
      </dgm:t>
    </dgm:pt>
    <dgm:pt modelId="{532EE866-8BD8-45E3-B1DF-CA973B1CEA5A}" type="pres">
      <dgm:prSet presAssocID="{FF924677-837F-4807-AC33-FEFBFEB71194}" presName="Name0" presStyleCnt="0">
        <dgm:presLayoutVars>
          <dgm:chMax val="1"/>
          <dgm:dir/>
          <dgm:animLvl val="ctr"/>
          <dgm:resizeHandles val="exact"/>
        </dgm:presLayoutVars>
      </dgm:prSet>
      <dgm:spPr/>
      <dgm:t>
        <a:bodyPr/>
        <a:lstStyle/>
        <a:p>
          <a:endParaRPr lang="fr-FR"/>
        </a:p>
      </dgm:t>
    </dgm:pt>
    <dgm:pt modelId="{82C10AF1-D099-45CE-8942-F449A9FB6823}" type="pres">
      <dgm:prSet presAssocID="{98E682DE-FAE8-44B8-8DCB-188BCB675056}" presName="centerShape" presStyleLbl="node0" presStyleIdx="0" presStyleCnt="1" custScaleX="158517" custScaleY="156080" custLinFactNeighborX="0" custLinFactNeighborY="3117"/>
      <dgm:spPr/>
      <dgm:t>
        <a:bodyPr/>
        <a:lstStyle/>
        <a:p>
          <a:endParaRPr lang="fr-FR"/>
        </a:p>
      </dgm:t>
    </dgm:pt>
    <dgm:pt modelId="{947E1089-9B2B-42BF-8AC8-B9B3D0B1C721}" type="pres">
      <dgm:prSet presAssocID="{4752F337-7B1E-470E-9F80-A0496934B04D}" presName="node" presStyleLbl="node1" presStyleIdx="0" presStyleCnt="5" custScaleX="119375" custScaleY="89603" custRadScaleRad="88874" custRadScaleInc="3518">
        <dgm:presLayoutVars>
          <dgm:bulletEnabled val="1"/>
        </dgm:presLayoutVars>
      </dgm:prSet>
      <dgm:spPr/>
      <dgm:t>
        <a:bodyPr/>
        <a:lstStyle/>
        <a:p>
          <a:endParaRPr lang="fr-FR"/>
        </a:p>
      </dgm:t>
    </dgm:pt>
    <dgm:pt modelId="{F18D2DE3-FC73-4EB1-9DCF-8EC782658B5E}" type="pres">
      <dgm:prSet presAssocID="{4752F337-7B1E-470E-9F80-A0496934B04D}" presName="dummy" presStyleCnt="0"/>
      <dgm:spPr/>
      <dgm:t>
        <a:bodyPr/>
        <a:lstStyle/>
        <a:p>
          <a:endParaRPr lang="fr-FR"/>
        </a:p>
      </dgm:t>
    </dgm:pt>
    <dgm:pt modelId="{37F20DFB-29EC-4063-BACC-A39C9AF28F3D}" type="pres">
      <dgm:prSet presAssocID="{4C7FCA2B-4E01-474B-92EA-74BEDDCBE19F}" presName="sibTrans" presStyleLbl="sibTrans2D1" presStyleIdx="0" presStyleCnt="5" custScaleX="90910" custScaleY="90910" custLinFactNeighborX="3200" custLinFactNeighborY="-4160" custRadScaleRad="26808" custRadScaleInc="-2147483648"/>
      <dgm:spPr/>
      <dgm:t>
        <a:bodyPr/>
        <a:lstStyle/>
        <a:p>
          <a:endParaRPr lang="fr-FR"/>
        </a:p>
      </dgm:t>
    </dgm:pt>
    <dgm:pt modelId="{98F7DA6E-3CCC-4349-9BC2-BB1844D532D8}" type="pres">
      <dgm:prSet presAssocID="{22941BCD-0EF2-43B7-A32B-A26C93233751}" presName="node" presStyleLbl="node1" presStyleIdx="1" presStyleCnt="5" custScaleX="110000" custScaleY="75132" custRadScaleRad="98172" custRadScaleInc="15156">
        <dgm:presLayoutVars>
          <dgm:bulletEnabled val="1"/>
        </dgm:presLayoutVars>
      </dgm:prSet>
      <dgm:spPr/>
      <dgm:t>
        <a:bodyPr/>
        <a:lstStyle/>
        <a:p>
          <a:endParaRPr lang="fr-FR"/>
        </a:p>
      </dgm:t>
    </dgm:pt>
    <dgm:pt modelId="{8A7EFA3B-5673-4DEE-B500-0E46D169837A}" type="pres">
      <dgm:prSet presAssocID="{22941BCD-0EF2-43B7-A32B-A26C93233751}" presName="dummy" presStyleCnt="0"/>
      <dgm:spPr/>
      <dgm:t>
        <a:bodyPr/>
        <a:lstStyle/>
        <a:p>
          <a:endParaRPr lang="fr-FR"/>
        </a:p>
      </dgm:t>
    </dgm:pt>
    <dgm:pt modelId="{CB044701-DBF7-422D-B46C-17A9A9420D2B}" type="pres">
      <dgm:prSet presAssocID="{6029CBF2-D9BD-4C8E-8E54-D3499218AAF8}" presName="sibTrans" presStyleLbl="sibTrans2D1" presStyleIdx="1" presStyleCnt="5" custLinFactNeighborX="1280" custLinFactNeighborY="640"/>
      <dgm:spPr/>
      <dgm:t>
        <a:bodyPr/>
        <a:lstStyle/>
        <a:p>
          <a:endParaRPr lang="fr-FR"/>
        </a:p>
      </dgm:t>
    </dgm:pt>
    <dgm:pt modelId="{B3085424-D668-4A2E-BB8B-3AAC83686023}" type="pres">
      <dgm:prSet presAssocID="{3C5F42CE-4808-4996-8149-16876345C479}" presName="node" presStyleLbl="node1" presStyleIdx="2" presStyleCnt="5" custScaleX="110000" custScaleY="75132" custRadScaleRad="103043" custRadScaleInc="3230">
        <dgm:presLayoutVars>
          <dgm:bulletEnabled val="1"/>
        </dgm:presLayoutVars>
      </dgm:prSet>
      <dgm:spPr/>
      <dgm:t>
        <a:bodyPr/>
        <a:lstStyle/>
        <a:p>
          <a:endParaRPr lang="fr-FR"/>
        </a:p>
      </dgm:t>
    </dgm:pt>
    <dgm:pt modelId="{C37FEAC5-EDED-40E2-B64F-CA7E5BC730C7}" type="pres">
      <dgm:prSet presAssocID="{3C5F42CE-4808-4996-8149-16876345C479}" presName="dummy" presStyleCnt="0"/>
      <dgm:spPr/>
      <dgm:t>
        <a:bodyPr/>
        <a:lstStyle/>
        <a:p>
          <a:endParaRPr lang="fr-FR"/>
        </a:p>
      </dgm:t>
    </dgm:pt>
    <dgm:pt modelId="{56A83787-BD9D-47F7-91FF-CE65745F05AA}" type="pres">
      <dgm:prSet presAssocID="{7CE5CED1-B469-433C-851A-9DF94921FF37}" presName="sibTrans" presStyleLbl="sibTrans2D1" presStyleIdx="2" presStyleCnt="5"/>
      <dgm:spPr/>
      <dgm:t>
        <a:bodyPr/>
        <a:lstStyle/>
        <a:p>
          <a:endParaRPr lang="fr-FR"/>
        </a:p>
      </dgm:t>
    </dgm:pt>
    <dgm:pt modelId="{6605A325-BA95-4BA4-AB8E-FA9FD4A3A750}" type="pres">
      <dgm:prSet presAssocID="{BE733F2B-92A3-468B-B256-803807180BE1}" presName="node" presStyleLbl="node1" presStyleIdx="3" presStyleCnt="5" custScaleX="110000" custScaleY="75132" custRadScaleRad="103205" custRadScaleInc="-5342">
        <dgm:presLayoutVars>
          <dgm:bulletEnabled val="1"/>
        </dgm:presLayoutVars>
      </dgm:prSet>
      <dgm:spPr/>
      <dgm:t>
        <a:bodyPr/>
        <a:lstStyle/>
        <a:p>
          <a:endParaRPr lang="fr-FR"/>
        </a:p>
      </dgm:t>
    </dgm:pt>
    <dgm:pt modelId="{B734E75C-94F1-4350-8FC4-696145D95889}" type="pres">
      <dgm:prSet presAssocID="{BE733F2B-92A3-468B-B256-803807180BE1}" presName="dummy" presStyleCnt="0"/>
      <dgm:spPr/>
      <dgm:t>
        <a:bodyPr/>
        <a:lstStyle/>
        <a:p>
          <a:endParaRPr lang="fr-FR"/>
        </a:p>
      </dgm:t>
    </dgm:pt>
    <dgm:pt modelId="{26CB0212-7CD7-4EA6-B7F0-8A912EBA06DE}" type="pres">
      <dgm:prSet presAssocID="{746DD70B-4FE3-4FB5-8483-9A948F693D07}" presName="sibTrans" presStyleLbl="sibTrans2D1" presStyleIdx="3" presStyleCnt="5"/>
      <dgm:spPr/>
      <dgm:t>
        <a:bodyPr/>
        <a:lstStyle/>
        <a:p>
          <a:endParaRPr lang="fr-FR"/>
        </a:p>
      </dgm:t>
    </dgm:pt>
    <dgm:pt modelId="{43B799F7-6A3D-4195-8811-7A4A7F25779D}" type="pres">
      <dgm:prSet presAssocID="{118355E0-393B-4347-8BF4-331499F312A1}" presName="node" presStyleLbl="node1" presStyleIdx="4" presStyleCnt="5" custScaleX="110000" custScaleY="75132" custRadScaleRad="98172" custRadScaleInc="-15156">
        <dgm:presLayoutVars>
          <dgm:bulletEnabled val="1"/>
        </dgm:presLayoutVars>
      </dgm:prSet>
      <dgm:spPr/>
      <dgm:t>
        <a:bodyPr/>
        <a:lstStyle/>
        <a:p>
          <a:endParaRPr lang="fr-FR"/>
        </a:p>
      </dgm:t>
    </dgm:pt>
    <dgm:pt modelId="{263C9618-9593-430D-B6FC-5C20B7F52FB9}" type="pres">
      <dgm:prSet presAssocID="{118355E0-393B-4347-8BF4-331499F312A1}" presName="dummy" presStyleCnt="0"/>
      <dgm:spPr/>
      <dgm:t>
        <a:bodyPr/>
        <a:lstStyle/>
        <a:p>
          <a:endParaRPr lang="fr-FR"/>
        </a:p>
      </dgm:t>
    </dgm:pt>
    <dgm:pt modelId="{B745BA16-731B-491E-B24B-C93E67C9FEC9}" type="pres">
      <dgm:prSet presAssocID="{01EF263F-BD67-423E-A9BC-A213757797C9}" presName="sibTrans" presStyleLbl="sibTrans2D1" presStyleIdx="4" presStyleCnt="5"/>
      <dgm:spPr/>
      <dgm:t>
        <a:bodyPr/>
        <a:lstStyle/>
        <a:p>
          <a:endParaRPr lang="fr-FR"/>
        </a:p>
      </dgm:t>
    </dgm:pt>
  </dgm:ptLst>
  <dgm:cxnLst>
    <dgm:cxn modelId="{76FB01C8-4424-43EE-A76D-E639CE85ED3E}" type="presOf" srcId="{FF924677-837F-4807-AC33-FEFBFEB71194}" destId="{532EE866-8BD8-45E3-B1DF-CA973B1CEA5A}" srcOrd="0" destOrd="0" presId="urn:microsoft.com/office/officeart/2005/8/layout/radial6"/>
    <dgm:cxn modelId="{1CBAD780-3DB5-4796-912E-7622C6C3C4AC}" type="presOf" srcId="{118355E0-393B-4347-8BF4-331499F312A1}" destId="{43B799F7-6A3D-4195-8811-7A4A7F25779D}" srcOrd="0" destOrd="0" presId="urn:microsoft.com/office/officeart/2005/8/layout/radial6"/>
    <dgm:cxn modelId="{92E3198D-6B1F-427B-9DF6-35F4D01C5934}" srcId="{98E682DE-FAE8-44B8-8DCB-188BCB675056}" destId="{22941BCD-0EF2-43B7-A32B-A26C93233751}" srcOrd="1" destOrd="0" parTransId="{D4CC2DCD-1FB0-4C02-AEFC-386271779E84}" sibTransId="{6029CBF2-D9BD-4C8E-8E54-D3499218AAF8}"/>
    <dgm:cxn modelId="{D5F3B2BD-0F68-4E29-970F-C761C0EE8C23}" type="presOf" srcId="{98E682DE-FAE8-44B8-8DCB-188BCB675056}" destId="{82C10AF1-D099-45CE-8942-F449A9FB6823}" srcOrd="0" destOrd="0" presId="urn:microsoft.com/office/officeart/2005/8/layout/radial6"/>
    <dgm:cxn modelId="{1C07D8F6-C336-438A-B019-29B3458D28AA}" type="presOf" srcId="{4752F337-7B1E-470E-9F80-A0496934B04D}" destId="{947E1089-9B2B-42BF-8AC8-B9B3D0B1C721}" srcOrd="0" destOrd="0" presId="urn:microsoft.com/office/officeart/2005/8/layout/radial6"/>
    <dgm:cxn modelId="{FE555DA4-109A-4914-BAD4-B9668DCA0E68}" type="presOf" srcId="{01EF263F-BD67-423E-A9BC-A213757797C9}" destId="{B745BA16-731B-491E-B24B-C93E67C9FEC9}" srcOrd="0" destOrd="0" presId="urn:microsoft.com/office/officeart/2005/8/layout/radial6"/>
    <dgm:cxn modelId="{F8440037-27FC-41F3-A078-D04B2BA86201}" srcId="{98E682DE-FAE8-44B8-8DCB-188BCB675056}" destId="{118355E0-393B-4347-8BF4-331499F312A1}" srcOrd="4" destOrd="0" parTransId="{7E563D8C-6F0A-4752-9CD2-0054E448B991}" sibTransId="{01EF263F-BD67-423E-A9BC-A213757797C9}"/>
    <dgm:cxn modelId="{922BE087-996F-45A6-983D-A9156B33A908}" type="presOf" srcId="{22941BCD-0EF2-43B7-A32B-A26C93233751}" destId="{98F7DA6E-3CCC-4349-9BC2-BB1844D532D8}" srcOrd="0" destOrd="0" presId="urn:microsoft.com/office/officeart/2005/8/layout/radial6"/>
    <dgm:cxn modelId="{43FFE4D4-5829-4FCD-A2B9-D445DC8CBF12}" type="presOf" srcId="{6029CBF2-D9BD-4C8E-8E54-D3499218AAF8}" destId="{CB044701-DBF7-422D-B46C-17A9A9420D2B}" srcOrd="0" destOrd="0" presId="urn:microsoft.com/office/officeart/2005/8/layout/radial6"/>
    <dgm:cxn modelId="{4DF6BD7C-4073-4106-A872-6D22971E5B74}" type="presOf" srcId="{746DD70B-4FE3-4FB5-8483-9A948F693D07}" destId="{26CB0212-7CD7-4EA6-B7F0-8A912EBA06DE}" srcOrd="0" destOrd="0" presId="urn:microsoft.com/office/officeart/2005/8/layout/radial6"/>
    <dgm:cxn modelId="{D7A4074B-5794-47B6-8CAD-02C61FE2E910}" type="presOf" srcId="{BE733F2B-92A3-468B-B256-803807180BE1}" destId="{6605A325-BA95-4BA4-AB8E-FA9FD4A3A750}" srcOrd="0" destOrd="0" presId="urn:microsoft.com/office/officeart/2005/8/layout/radial6"/>
    <dgm:cxn modelId="{D4BBC883-DCD0-4B8E-8234-3D585245E923}" srcId="{FF924677-837F-4807-AC33-FEFBFEB71194}" destId="{98E682DE-FAE8-44B8-8DCB-188BCB675056}" srcOrd="0" destOrd="0" parTransId="{8C6779B1-A3B8-4DF5-8E77-C040ADF82319}" sibTransId="{892CFED7-DC1A-4791-841F-221120C5EAC3}"/>
    <dgm:cxn modelId="{060F92B7-9E87-4058-8C24-B384A47AC918}" srcId="{98E682DE-FAE8-44B8-8DCB-188BCB675056}" destId="{BE733F2B-92A3-468B-B256-803807180BE1}" srcOrd="3" destOrd="0" parTransId="{BC29FC15-4CBB-4867-A83C-09F4C3E00E83}" sibTransId="{746DD70B-4FE3-4FB5-8483-9A948F693D07}"/>
    <dgm:cxn modelId="{990427F3-3938-4EE0-9777-EDCD0E3FB59F}" srcId="{98E682DE-FAE8-44B8-8DCB-188BCB675056}" destId="{4752F337-7B1E-470E-9F80-A0496934B04D}" srcOrd="0" destOrd="0" parTransId="{7590B58A-1836-4C14-A13F-F6A89658FC79}" sibTransId="{4C7FCA2B-4E01-474B-92EA-74BEDDCBE19F}"/>
    <dgm:cxn modelId="{3EE3FBA6-FFEF-4E1F-AA71-3D954693C522}" type="presOf" srcId="{7CE5CED1-B469-433C-851A-9DF94921FF37}" destId="{56A83787-BD9D-47F7-91FF-CE65745F05AA}" srcOrd="0" destOrd="0" presId="urn:microsoft.com/office/officeart/2005/8/layout/radial6"/>
    <dgm:cxn modelId="{40AE202D-1083-4DEA-B77E-71621D783594}" type="presOf" srcId="{3C5F42CE-4808-4996-8149-16876345C479}" destId="{B3085424-D668-4A2E-BB8B-3AAC83686023}" srcOrd="0" destOrd="0" presId="urn:microsoft.com/office/officeart/2005/8/layout/radial6"/>
    <dgm:cxn modelId="{125074B7-301F-4BAE-A83D-58C0C953E714}" srcId="{98E682DE-FAE8-44B8-8DCB-188BCB675056}" destId="{3C5F42CE-4808-4996-8149-16876345C479}" srcOrd="2" destOrd="0" parTransId="{47CD475F-D2CC-43D0-9D11-7E7C46D4CA63}" sibTransId="{7CE5CED1-B469-433C-851A-9DF94921FF37}"/>
    <dgm:cxn modelId="{BAD831CD-8852-41AE-AFB2-E35749AF6086}" type="presOf" srcId="{4C7FCA2B-4E01-474B-92EA-74BEDDCBE19F}" destId="{37F20DFB-29EC-4063-BACC-A39C9AF28F3D}" srcOrd="0" destOrd="0" presId="urn:microsoft.com/office/officeart/2005/8/layout/radial6"/>
    <dgm:cxn modelId="{43C7BBB2-E662-4DE4-B10F-7AB273DA64C0}" type="presParOf" srcId="{532EE866-8BD8-45E3-B1DF-CA973B1CEA5A}" destId="{82C10AF1-D099-45CE-8942-F449A9FB6823}" srcOrd="0" destOrd="0" presId="urn:microsoft.com/office/officeart/2005/8/layout/radial6"/>
    <dgm:cxn modelId="{E3487746-A367-460F-82C8-3C9232591EEE}" type="presParOf" srcId="{532EE866-8BD8-45E3-B1DF-CA973B1CEA5A}" destId="{947E1089-9B2B-42BF-8AC8-B9B3D0B1C721}" srcOrd="1" destOrd="0" presId="urn:microsoft.com/office/officeart/2005/8/layout/radial6"/>
    <dgm:cxn modelId="{2E8D679A-7601-4A73-80C3-760A6F21F155}" type="presParOf" srcId="{532EE866-8BD8-45E3-B1DF-CA973B1CEA5A}" destId="{F18D2DE3-FC73-4EB1-9DCF-8EC782658B5E}" srcOrd="2" destOrd="0" presId="urn:microsoft.com/office/officeart/2005/8/layout/radial6"/>
    <dgm:cxn modelId="{A24C2450-7786-4518-AD2A-8A0AAB350E16}" type="presParOf" srcId="{532EE866-8BD8-45E3-B1DF-CA973B1CEA5A}" destId="{37F20DFB-29EC-4063-BACC-A39C9AF28F3D}" srcOrd="3" destOrd="0" presId="urn:microsoft.com/office/officeart/2005/8/layout/radial6"/>
    <dgm:cxn modelId="{2358420D-2A1A-4AE7-B602-720836E0CB51}" type="presParOf" srcId="{532EE866-8BD8-45E3-B1DF-CA973B1CEA5A}" destId="{98F7DA6E-3CCC-4349-9BC2-BB1844D532D8}" srcOrd="4" destOrd="0" presId="urn:microsoft.com/office/officeart/2005/8/layout/radial6"/>
    <dgm:cxn modelId="{5190E382-F67C-4A4A-885C-42ECBB48A8D3}" type="presParOf" srcId="{532EE866-8BD8-45E3-B1DF-CA973B1CEA5A}" destId="{8A7EFA3B-5673-4DEE-B500-0E46D169837A}" srcOrd="5" destOrd="0" presId="urn:microsoft.com/office/officeart/2005/8/layout/radial6"/>
    <dgm:cxn modelId="{15C9D378-934B-4525-B4BB-C37A75439152}" type="presParOf" srcId="{532EE866-8BD8-45E3-B1DF-CA973B1CEA5A}" destId="{CB044701-DBF7-422D-B46C-17A9A9420D2B}" srcOrd="6" destOrd="0" presId="urn:microsoft.com/office/officeart/2005/8/layout/radial6"/>
    <dgm:cxn modelId="{F43F5C40-702A-4331-A5FB-CB54AA9ADED1}" type="presParOf" srcId="{532EE866-8BD8-45E3-B1DF-CA973B1CEA5A}" destId="{B3085424-D668-4A2E-BB8B-3AAC83686023}" srcOrd="7" destOrd="0" presId="urn:microsoft.com/office/officeart/2005/8/layout/radial6"/>
    <dgm:cxn modelId="{7AE184BF-B061-4540-9E59-FF163EA3BCC8}" type="presParOf" srcId="{532EE866-8BD8-45E3-B1DF-CA973B1CEA5A}" destId="{C37FEAC5-EDED-40E2-B64F-CA7E5BC730C7}" srcOrd="8" destOrd="0" presId="urn:microsoft.com/office/officeart/2005/8/layout/radial6"/>
    <dgm:cxn modelId="{AF13DAB4-4F71-48DA-B6F1-080F0C82E813}" type="presParOf" srcId="{532EE866-8BD8-45E3-B1DF-CA973B1CEA5A}" destId="{56A83787-BD9D-47F7-91FF-CE65745F05AA}" srcOrd="9" destOrd="0" presId="urn:microsoft.com/office/officeart/2005/8/layout/radial6"/>
    <dgm:cxn modelId="{6499916A-DCF2-4F14-B6DA-926E458824B8}" type="presParOf" srcId="{532EE866-8BD8-45E3-B1DF-CA973B1CEA5A}" destId="{6605A325-BA95-4BA4-AB8E-FA9FD4A3A750}" srcOrd="10" destOrd="0" presId="urn:microsoft.com/office/officeart/2005/8/layout/radial6"/>
    <dgm:cxn modelId="{E7111134-ABE8-4D0D-BAF7-B99E763301FD}" type="presParOf" srcId="{532EE866-8BD8-45E3-B1DF-CA973B1CEA5A}" destId="{B734E75C-94F1-4350-8FC4-696145D95889}" srcOrd="11" destOrd="0" presId="urn:microsoft.com/office/officeart/2005/8/layout/radial6"/>
    <dgm:cxn modelId="{FFE9C80D-8E2F-49A9-B180-095A8D7F69C5}" type="presParOf" srcId="{532EE866-8BD8-45E3-B1DF-CA973B1CEA5A}" destId="{26CB0212-7CD7-4EA6-B7F0-8A912EBA06DE}" srcOrd="12" destOrd="0" presId="urn:microsoft.com/office/officeart/2005/8/layout/radial6"/>
    <dgm:cxn modelId="{C41B9C60-6EC0-4EBA-943D-1E10260AA9A6}" type="presParOf" srcId="{532EE866-8BD8-45E3-B1DF-CA973B1CEA5A}" destId="{43B799F7-6A3D-4195-8811-7A4A7F25779D}" srcOrd="13" destOrd="0" presId="urn:microsoft.com/office/officeart/2005/8/layout/radial6"/>
    <dgm:cxn modelId="{588D9122-CCF0-4DF8-B0F9-9885233B5DC7}" type="presParOf" srcId="{532EE866-8BD8-45E3-B1DF-CA973B1CEA5A}" destId="{263C9618-9593-430D-B6FC-5C20B7F52FB9}" srcOrd="14" destOrd="0" presId="urn:microsoft.com/office/officeart/2005/8/layout/radial6"/>
    <dgm:cxn modelId="{81D5429C-72A6-4D57-99AD-D02F1617F530}" type="presParOf" srcId="{532EE866-8BD8-45E3-B1DF-CA973B1CEA5A}" destId="{B745BA16-731B-491E-B24B-C93E67C9FEC9}" srcOrd="15" destOrd="0" presId="urn:microsoft.com/office/officeart/2005/8/layout/radial6"/>
  </dgm:cxnLst>
  <dgm:bg/>
  <dgm:whole>
    <a:ln w="9525" cap="flat" cmpd="sng" algn="ctr">
      <a:solidFill>
        <a:schemeClr val="tx1"/>
      </a:solidFill>
      <a:prstDash val="solid"/>
      <a:round/>
      <a:headEnd type="none" w="med" len="med"/>
      <a:tailEnd type="none" w="med" len="med"/>
    </a:ln>
  </dgm:whole>
  <dgm:extLst>
    <a:ext uri="http://schemas.microsoft.com/office/drawing/2008/diagram">
      <dsp:dataModelExt xmlns:dsp="http://schemas.microsoft.com/office/drawing/2008/diagram" relId="rId224" minVer="http://schemas.openxmlformats.org/drawingml/2006/diagram"/>
    </a:ext>
  </dgm:extLst>
</dgm:dataModel>
</file>

<file path=word/diagrams/data18.xml><?xml version="1.0" encoding="utf-8"?>
<dgm:dataModel xmlns:dgm="http://schemas.openxmlformats.org/drawingml/2006/diagram" xmlns:a="http://schemas.openxmlformats.org/drawingml/2006/main">
  <dgm:ptLst>
    <dgm:pt modelId="{F146402B-10DB-473F-A025-553709303FE0}"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fr-FR"/>
        </a:p>
      </dgm:t>
    </dgm:pt>
    <dgm:pt modelId="{40005BE9-EA35-4A0A-864A-0B3C1E03E097}">
      <dgm:prSet phldrT="[Texte]"/>
      <dgm:spPr>
        <a:blipFill rotWithShape="0">
          <a:blip xmlns:r="http://schemas.openxmlformats.org/officeDocument/2006/relationships" r:embed="rId1"/>
          <a:stretch>
            <a:fillRect/>
          </a:stretch>
        </a:blipFill>
        <a:ln w="3175"/>
      </dgm:spPr>
      <dgm:t>
        <a:bodyPr/>
        <a:lstStyle/>
        <a:p>
          <a:endParaRPr lang="fr-FR"/>
        </a:p>
      </dgm:t>
    </dgm:pt>
    <dgm:pt modelId="{E6A7A01E-A88E-44D3-8382-25D191BD028B}" type="parTrans" cxnId="{CE361AF1-4AB5-45D8-91E6-5EA46250B69C}">
      <dgm:prSet/>
      <dgm:spPr/>
      <dgm:t>
        <a:bodyPr/>
        <a:lstStyle/>
        <a:p>
          <a:endParaRPr lang="fr-FR"/>
        </a:p>
      </dgm:t>
    </dgm:pt>
    <dgm:pt modelId="{48003AD0-2393-4973-8C63-54CE3CD5AD2B}" type="sibTrans" cxnId="{CE361AF1-4AB5-45D8-91E6-5EA46250B69C}">
      <dgm:prSet/>
      <dgm:spPr>
        <a:solidFill>
          <a:schemeClr val="tx1">
            <a:lumMod val="65000"/>
            <a:lumOff val="35000"/>
          </a:schemeClr>
        </a:solidFill>
        <a:scene3d>
          <a:camera prst="orthographicFront">
            <a:rot lat="20278511" lon="19160999" rev="4200000"/>
          </a:camera>
          <a:lightRig rig="threePt" dir="t"/>
        </a:scene3d>
        <a:sp3d/>
      </dgm:spPr>
      <dgm:t>
        <a:bodyPr/>
        <a:lstStyle/>
        <a:p>
          <a:endParaRPr lang="fr-FR"/>
        </a:p>
      </dgm:t>
    </dgm:pt>
    <dgm:pt modelId="{3A1A1CB8-5EAC-4B61-82A0-BFE4BD028CBC}">
      <dgm:prSet phldrT="[Texte]"/>
      <dgm:spPr>
        <a:blipFill rotWithShape="0">
          <a:blip xmlns:r="http://schemas.openxmlformats.org/officeDocument/2006/relationships" r:embed="rId2"/>
          <a:stretch>
            <a:fillRect/>
          </a:stretch>
        </a:blipFill>
        <a:ln w="3175"/>
      </dgm:spPr>
      <dgm:t>
        <a:bodyPr/>
        <a:lstStyle/>
        <a:p>
          <a:endParaRPr lang="fr-FR"/>
        </a:p>
      </dgm:t>
    </dgm:pt>
    <dgm:pt modelId="{C036BDB8-FA9F-4A86-946F-0F2606A5CF81}" type="parTrans" cxnId="{B79B998D-EF08-4421-81E0-742803C197B3}">
      <dgm:prSet/>
      <dgm:spPr/>
      <dgm:t>
        <a:bodyPr/>
        <a:lstStyle/>
        <a:p>
          <a:endParaRPr lang="fr-FR"/>
        </a:p>
      </dgm:t>
    </dgm:pt>
    <dgm:pt modelId="{7C9B47BF-6563-403E-B515-B80CB3DC054E}" type="sibTrans" cxnId="{B79B998D-EF08-4421-81E0-742803C197B3}">
      <dgm:prSet/>
      <dgm:spPr/>
      <dgm:t>
        <a:bodyPr/>
        <a:lstStyle/>
        <a:p>
          <a:endParaRPr lang="fr-FR"/>
        </a:p>
      </dgm:t>
    </dgm:pt>
    <dgm:pt modelId="{693EE2BE-AD5B-4A1F-9891-26692B2C3ADD}">
      <dgm:prSet phldrT="[Texte]"/>
      <dgm:spPr>
        <a:blipFill rotWithShape="0">
          <a:blip xmlns:r="http://schemas.openxmlformats.org/officeDocument/2006/relationships" r:embed="rId3"/>
          <a:stretch>
            <a:fillRect/>
          </a:stretch>
        </a:blipFill>
        <a:ln w="3175"/>
      </dgm:spPr>
      <dgm:t>
        <a:bodyPr/>
        <a:lstStyle/>
        <a:p>
          <a:endParaRPr lang="fr-FR"/>
        </a:p>
      </dgm:t>
    </dgm:pt>
    <dgm:pt modelId="{512AF92E-697C-4A0C-BF66-792E5FE2943A}" type="parTrans" cxnId="{F47C1869-387E-4F47-BB98-B58795521B84}">
      <dgm:prSet/>
      <dgm:spPr/>
      <dgm:t>
        <a:bodyPr/>
        <a:lstStyle/>
        <a:p>
          <a:endParaRPr lang="fr-FR"/>
        </a:p>
      </dgm:t>
    </dgm:pt>
    <dgm:pt modelId="{CEDDF9FF-4632-494B-AE04-D47E7EB0AC23}" type="sibTrans" cxnId="{F47C1869-387E-4F47-BB98-B58795521B84}">
      <dgm:prSet/>
      <dgm:spPr/>
      <dgm:t>
        <a:bodyPr/>
        <a:lstStyle/>
        <a:p>
          <a:endParaRPr lang="fr-FR"/>
        </a:p>
      </dgm:t>
    </dgm:pt>
    <dgm:pt modelId="{28F43418-4624-4F87-A1CD-F8658127E154}">
      <dgm:prSet phldrT="[Texte]"/>
      <dgm:spPr>
        <a:blipFill rotWithShape="0">
          <a:blip xmlns:r="http://schemas.openxmlformats.org/officeDocument/2006/relationships" r:embed="rId4"/>
          <a:stretch>
            <a:fillRect/>
          </a:stretch>
        </a:blipFill>
        <a:ln w="3175">
          <a:solidFill>
            <a:schemeClr val="tx1"/>
          </a:solidFill>
        </a:ln>
      </dgm:spPr>
      <dgm:t>
        <a:bodyPr/>
        <a:lstStyle/>
        <a:p>
          <a:endParaRPr lang="fr-FR">
            <a:solidFill>
              <a:schemeClr val="tx1"/>
            </a:solidFill>
          </a:endParaRPr>
        </a:p>
      </dgm:t>
    </dgm:pt>
    <dgm:pt modelId="{D63064A6-D019-4262-A562-663B91B1FFC2}" type="parTrans" cxnId="{386ACC98-6A62-41A4-8271-A958B1F48B6C}">
      <dgm:prSet/>
      <dgm:spPr/>
      <dgm:t>
        <a:bodyPr/>
        <a:lstStyle/>
        <a:p>
          <a:endParaRPr lang="fr-FR"/>
        </a:p>
      </dgm:t>
    </dgm:pt>
    <dgm:pt modelId="{393F366E-F2C3-4651-BFCD-E67E1F96B2B4}" type="sibTrans" cxnId="{386ACC98-6A62-41A4-8271-A958B1F48B6C}">
      <dgm:prSet/>
      <dgm:spPr/>
      <dgm:t>
        <a:bodyPr/>
        <a:lstStyle/>
        <a:p>
          <a:endParaRPr lang="fr-FR"/>
        </a:p>
      </dgm:t>
    </dgm:pt>
    <dgm:pt modelId="{CE5B6B90-9AFA-4410-A799-9EDFC9535FAB}">
      <dgm:prSet custT="1">
        <dgm:style>
          <a:lnRef idx="1">
            <a:schemeClr val="dk1"/>
          </a:lnRef>
          <a:fillRef idx="2">
            <a:schemeClr val="dk1"/>
          </a:fillRef>
          <a:effectRef idx="1">
            <a:schemeClr val="dk1"/>
          </a:effectRef>
          <a:fontRef idx="minor">
            <a:schemeClr val="dk1"/>
          </a:fontRef>
        </dgm:style>
      </dgm:prSet>
      <dgm:spPr>
        <a:ln/>
      </dgm:spPr>
      <dgm:t>
        <a:bodyPr>
          <a:scene3d>
            <a:camera prst="orthographicFront"/>
            <a:lightRig rig="soft" dir="tl">
              <a:rot lat="0" lon="0" rev="0"/>
            </a:lightRig>
          </a:scene3d>
          <a:sp3d contourW="25400" prstMaterial="matte">
            <a:bevelT w="25400" h="55880" prst="artDeco"/>
            <a:contourClr>
              <a:schemeClr val="accent2">
                <a:tint val="20000"/>
              </a:schemeClr>
            </a:contourClr>
          </a:sp3d>
        </a:bodyPr>
        <a:lstStyle/>
        <a:p>
          <a:r>
            <a:rPr lang="ar-DZ" sz="14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اولا</a:t>
          </a:r>
          <a:endParaRPr lang="fr-FR" sz="9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gm:t>
    </dgm:pt>
    <dgm:pt modelId="{7700C8D2-9B27-4C55-B335-8DD5DCB9C4A9}" type="parTrans" cxnId="{771E98B6-A1F2-4A65-9434-E06474E04093}">
      <dgm:prSet/>
      <dgm:spPr/>
      <dgm:t>
        <a:bodyPr/>
        <a:lstStyle/>
        <a:p>
          <a:endParaRPr lang="fr-FR"/>
        </a:p>
      </dgm:t>
    </dgm:pt>
    <dgm:pt modelId="{A80EC9BE-6638-4839-9271-424318DBCD9A}" type="sibTrans" cxnId="{771E98B6-A1F2-4A65-9434-E06474E04093}">
      <dgm:prSet/>
      <dgm:spPr/>
      <dgm:t>
        <a:bodyPr/>
        <a:lstStyle/>
        <a:p>
          <a:endParaRPr lang="fr-FR"/>
        </a:p>
      </dgm:t>
    </dgm:pt>
    <dgm:pt modelId="{7133E2A8-93F2-44E8-A72C-7C58EAF08259}">
      <dgm:prSet custT="1">
        <dgm:style>
          <a:lnRef idx="1">
            <a:schemeClr val="dk1"/>
          </a:lnRef>
          <a:fillRef idx="2">
            <a:schemeClr val="dk1"/>
          </a:fillRef>
          <a:effectRef idx="1">
            <a:schemeClr val="dk1"/>
          </a:effectRef>
          <a:fontRef idx="minor">
            <a:schemeClr val="dk1"/>
          </a:fontRef>
        </dgm:style>
      </dgm:prSet>
      <dgm:spPr>
        <a:ln/>
      </dgm:spPr>
      <dgm:t>
        <a:bodyPr>
          <a:scene3d>
            <a:camera prst="orthographicFront"/>
            <a:lightRig rig="soft" dir="tl">
              <a:rot lat="0" lon="0" rev="0"/>
            </a:lightRig>
          </a:scene3d>
          <a:sp3d contourW="25400" prstMaterial="matte">
            <a:bevelT w="25400" h="55880" prst="artDeco"/>
            <a:contourClr>
              <a:schemeClr val="accent2">
                <a:tint val="20000"/>
              </a:schemeClr>
            </a:contourClr>
          </a:sp3d>
        </a:bodyPr>
        <a:lstStyle/>
        <a:p>
          <a:r>
            <a:rPr lang="ar-DZ" sz="1400" b="1" cap="none" spc="0">
              <a:ln w="952">
                <a:solidFill>
                  <a:schemeClr val="tx1"/>
                </a:solidFill>
              </a:ln>
              <a:solidFill>
                <a:schemeClr val="tx1"/>
              </a:solidFill>
              <a:effectLst>
                <a:innerShdw blurRad="69850" dist="43180" dir="5400000">
                  <a:srgbClr val="000000">
                    <a:alpha val="65000"/>
                  </a:srgbClr>
                </a:innerShdw>
              </a:effectLst>
              <a:latin typeface="Simplified Arabic" panose="02020603050405020304" pitchFamily="18" charset="-78"/>
              <a:cs typeface="Simplified Arabic" panose="02020603050405020304" pitchFamily="18" charset="-78"/>
            </a:rPr>
            <a:t>ثانيا</a:t>
          </a:r>
          <a:endParaRPr lang="fr-FR" sz="700" b="1" cap="none" spc="50">
            <a:ln w="952">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gm:t>
    </dgm:pt>
    <dgm:pt modelId="{8B76F67E-33F6-436B-A2C9-438A9EDFC276}" type="parTrans" cxnId="{8767384A-EC7C-4C86-A470-740914E914BA}">
      <dgm:prSet/>
      <dgm:spPr/>
      <dgm:t>
        <a:bodyPr/>
        <a:lstStyle/>
        <a:p>
          <a:endParaRPr lang="fr-FR"/>
        </a:p>
      </dgm:t>
    </dgm:pt>
    <dgm:pt modelId="{59DE546D-AEFA-4B80-A68B-D08882C66277}" type="sibTrans" cxnId="{8767384A-EC7C-4C86-A470-740914E914BA}">
      <dgm:prSet/>
      <dgm:spPr/>
      <dgm:t>
        <a:bodyPr/>
        <a:lstStyle/>
        <a:p>
          <a:endParaRPr lang="fr-FR"/>
        </a:p>
      </dgm:t>
    </dgm:pt>
    <dgm:pt modelId="{1EF65425-4417-4E21-9C38-EE43A51680EF}">
      <dgm:prSet custT="1">
        <dgm:style>
          <a:lnRef idx="1">
            <a:schemeClr val="dk1"/>
          </a:lnRef>
          <a:fillRef idx="2">
            <a:schemeClr val="dk1"/>
          </a:fillRef>
          <a:effectRef idx="1">
            <a:schemeClr val="dk1"/>
          </a:effectRef>
          <a:fontRef idx="minor">
            <a:schemeClr val="dk1"/>
          </a:fontRef>
        </dgm:style>
      </dgm:prSet>
      <dgm:spPr>
        <a:ln/>
      </dgm:spPr>
      <dgm:t>
        <a:bodyPr>
          <a:scene3d>
            <a:camera prst="orthographicFront"/>
            <a:lightRig rig="soft" dir="tl">
              <a:rot lat="0" lon="0" rev="0"/>
            </a:lightRig>
          </a:scene3d>
          <a:sp3d contourW="25400" prstMaterial="matte">
            <a:bevelT w="25400" h="55880" prst="artDeco"/>
            <a:contourClr>
              <a:schemeClr val="accent2">
                <a:tint val="20000"/>
              </a:schemeClr>
            </a:contourClr>
          </a:sp3d>
        </a:bodyPr>
        <a:lstStyle/>
        <a:p>
          <a:r>
            <a:rPr lang="ar-DZ" sz="14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ثالثا</a:t>
          </a:r>
          <a:endParaRPr lang="fr-FR" sz="11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gm:t>
    </dgm:pt>
    <dgm:pt modelId="{6555CAB2-39D0-4343-B32E-6B7EBEAB83F5}" type="parTrans" cxnId="{668DDF26-9739-44DC-87AA-432F991EA0DB}">
      <dgm:prSet/>
      <dgm:spPr/>
      <dgm:t>
        <a:bodyPr/>
        <a:lstStyle/>
        <a:p>
          <a:endParaRPr lang="fr-FR"/>
        </a:p>
      </dgm:t>
    </dgm:pt>
    <dgm:pt modelId="{314BE6DA-7B0C-4F10-95BB-B0DA656674B1}" type="sibTrans" cxnId="{668DDF26-9739-44DC-87AA-432F991EA0DB}">
      <dgm:prSet/>
      <dgm:spPr/>
      <dgm:t>
        <a:bodyPr/>
        <a:lstStyle/>
        <a:p>
          <a:endParaRPr lang="fr-FR"/>
        </a:p>
      </dgm:t>
    </dgm:pt>
    <dgm:pt modelId="{7F4046F0-F397-4FCE-B29E-404B7C0375E2}">
      <dgm:prSet custT="1">
        <dgm:style>
          <a:lnRef idx="1">
            <a:schemeClr val="dk1"/>
          </a:lnRef>
          <a:fillRef idx="2">
            <a:schemeClr val="dk1"/>
          </a:fillRef>
          <a:effectRef idx="1">
            <a:schemeClr val="dk1"/>
          </a:effectRef>
          <a:fontRef idx="minor">
            <a:schemeClr val="dk1"/>
          </a:fontRef>
        </dgm:style>
      </dgm:prSet>
      <dgm:spPr>
        <a:ln/>
      </dgm:spPr>
      <dgm:t>
        <a:bodyPr>
          <a:scene3d>
            <a:camera prst="orthographicFront"/>
            <a:lightRig rig="soft" dir="tl">
              <a:rot lat="0" lon="0" rev="0"/>
            </a:lightRig>
          </a:scene3d>
          <a:sp3d contourW="25400" prstMaterial="matte">
            <a:bevelT w="25400" h="55880" prst="artDeco"/>
            <a:contourClr>
              <a:schemeClr val="accent2">
                <a:tint val="20000"/>
              </a:schemeClr>
            </a:contourClr>
          </a:sp3d>
        </a:bodyPr>
        <a:lstStyle/>
        <a:p>
          <a:r>
            <a:rPr lang="ar-DZ" sz="14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رابعا</a:t>
          </a:r>
          <a:endParaRPr lang="fr-FR" sz="15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gm:t>
    </dgm:pt>
    <dgm:pt modelId="{4C179B90-34C4-4E35-A6D5-E128AB306847}" type="parTrans" cxnId="{EDED34BD-3EBD-40BB-A4F7-6709D0065017}">
      <dgm:prSet/>
      <dgm:spPr/>
      <dgm:t>
        <a:bodyPr/>
        <a:lstStyle/>
        <a:p>
          <a:endParaRPr lang="fr-FR"/>
        </a:p>
      </dgm:t>
    </dgm:pt>
    <dgm:pt modelId="{64CFFD8E-877B-42BA-90A0-35ACB6DA58C7}" type="sibTrans" cxnId="{EDED34BD-3EBD-40BB-A4F7-6709D0065017}">
      <dgm:prSet/>
      <dgm:spPr/>
      <dgm:t>
        <a:bodyPr/>
        <a:lstStyle/>
        <a:p>
          <a:endParaRPr lang="fr-FR"/>
        </a:p>
      </dgm:t>
    </dgm:pt>
    <dgm:pt modelId="{A49AA326-F7ED-4EE9-9D46-7CBD281C9400}">
      <dgm:prSet custT="1">
        <dgm:style>
          <a:lnRef idx="1">
            <a:schemeClr val="dk1"/>
          </a:lnRef>
          <a:fillRef idx="2">
            <a:schemeClr val="dk1"/>
          </a:fillRef>
          <a:effectRef idx="1">
            <a:schemeClr val="dk1"/>
          </a:effectRef>
          <a:fontRef idx="minor">
            <a:schemeClr val="dk1"/>
          </a:fontRef>
        </dgm:style>
      </dgm:prSet>
      <dgm:spPr>
        <a:ln/>
      </dgm:spPr>
      <dgm:t>
        <a:bodyPr>
          <a:scene3d>
            <a:camera prst="orthographicFront"/>
            <a:lightRig rig="soft" dir="tl">
              <a:rot lat="0" lon="0" rev="0"/>
            </a:lightRig>
          </a:scene3d>
          <a:sp3d contourW="25400" prstMaterial="matte">
            <a:bevelT w="25400" h="55880" prst="artDeco"/>
            <a:contourClr>
              <a:schemeClr val="accent2">
                <a:tint val="20000"/>
              </a:schemeClr>
            </a:contourClr>
          </a:sp3d>
        </a:bodyPr>
        <a:lstStyle/>
        <a:p>
          <a:r>
            <a:rPr lang="ar-DZ" sz="12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خامسا</a:t>
          </a:r>
          <a:endParaRPr lang="fr-FR" sz="800" b="1"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gm:t>
    </dgm:pt>
    <dgm:pt modelId="{6BB2B398-7517-4122-BE2F-B76F1F954941}" type="parTrans" cxnId="{929B33E0-BBC6-483F-8CD4-2775AE054767}">
      <dgm:prSet/>
      <dgm:spPr/>
      <dgm:t>
        <a:bodyPr/>
        <a:lstStyle/>
        <a:p>
          <a:endParaRPr lang="fr-FR"/>
        </a:p>
      </dgm:t>
    </dgm:pt>
    <dgm:pt modelId="{50ACB854-B10D-411B-B2AB-D086DF9209FF}" type="sibTrans" cxnId="{929B33E0-BBC6-483F-8CD4-2775AE054767}">
      <dgm:prSet/>
      <dgm:spPr/>
      <dgm:t>
        <a:bodyPr/>
        <a:lstStyle/>
        <a:p>
          <a:endParaRPr lang="fr-FR"/>
        </a:p>
      </dgm:t>
    </dgm:pt>
    <dgm:pt modelId="{0923F52E-C994-4DED-83B3-9724911282E8}">
      <dgm:prSet phldrT="[Texte]"/>
      <dgm:spPr>
        <a:blipFill rotWithShape="0">
          <a:blip xmlns:r="http://schemas.openxmlformats.org/officeDocument/2006/relationships" r:embed="rId5"/>
          <a:stretch>
            <a:fillRect/>
          </a:stretch>
        </a:blipFill>
        <a:ln w="3175"/>
      </dgm:spPr>
      <dgm:t>
        <a:bodyPr/>
        <a:lstStyle/>
        <a:p>
          <a:endParaRPr lang="fr-FR"/>
        </a:p>
      </dgm:t>
    </dgm:pt>
    <dgm:pt modelId="{8B9FB75C-4237-4533-B919-9FD0E6EB54D8}" type="sibTrans" cxnId="{F37B2845-1B4F-46E3-97BC-33F4DE8F6AD0}">
      <dgm:prSet/>
      <dgm:spPr/>
      <dgm:t>
        <a:bodyPr/>
        <a:lstStyle/>
        <a:p>
          <a:endParaRPr lang="fr-FR"/>
        </a:p>
      </dgm:t>
    </dgm:pt>
    <dgm:pt modelId="{A3028293-7CD7-4BBF-82AD-CB861FE2C637}" type="parTrans" cxnId="{F37B2845-1B4F-46E3-97BC-33F4DE8F6AD0}">
      <dgm:prSet/>
      <dgm:spPr/>
      <dgm:t>
        <a:bodyPr/>
        <a:lstStyle/>
        <a:p>
          <a:endParaRPr lang="fr-FR"/>
        </a:p>
      </dgm:t>
    </dgm:pt>
    <dgm:pt modelId="{CE9E0D15-0D29-4484-BD7E-ED44B6DFB1DF}" type="pres">
      <dgm:prSet presAssocID="{F146402B-10DB-473F-A025-553709303FE0}" presName="Name0" presStyleCnt="0">
        <dgm:presLayoutVars>
          <dgm:dir/>
          <dgm:resizeHandles val="exact"/>
        </dgm:presLayoutVars>
      </dgm:prSet>
      <dgm:spPr/>
      <dgm:t>
        <a:bodyPr/>
        <a:lstStyle/>
        <a:p>
          <a:endParaRPr lang="fr-FR"/>
        </a:p>
      </dgm:t>
    </dgm:pt>
    <dgm:pt modelId="{4C95D611-CF0B-43CB-BBA8-3FD7A803B7E3}" type="pres">
      <dgm:prSet presAssocID="{F146402B-10DB-473F-A025-553709303FE0}" presName="cycle" presStyleCnt="0"/>
      <dgm:spPr/>
    </dgm:pt>
    <dgm:pt modelId="{DF6669DD-D9A8-43BE-A943-20E88E8C91CD}" type="pres">
      <dgm:prSet presAssocID="{40005BE9-EA35-4A0A-864A-0B3C1E03E097}" presName="nodeFirstNode" presStyleLbl="node1" presStyleIdx="0" presStyleCnt="10" custAng="19781587" custScaleX="121000" custScaleY="214360" custRadScaleRad="139200" custRadScaleInc="173447">
        <dgm:presLayoutVars>
          <dgm:bulletEnabled val="1"/>
        </dgm:presLayoutVars>
      </dgm:prSet>
      <dgm:spPr>
        <a:prstGeom prst="leftArrowCallout">
          <a:avLst/>
        </a:prstGeom>
      </dgm:spPr>
      <dgm:t>
        <a:bodyPr/>
        <a:lstStyle/>
        <a:p>
          <a:endParaRPr lang="fr-FR"/>
        </a:p>
      </dgm:t>
    </dgm:pt>
    <dgm:pt modelId="{2211D164-0C0E-46E1-9ADE-527FA8FD0E39}" type="pres">
      <dgm:prSet presAssocID="{48003AD0-2393-4973-8C63-54CE3CD5AD2B}" presName="sibTransFirstNode" presStyleLbl="bgShp" presStyleIdx="0" presStyleCnt="1" custScaleX="100000" custLinFactNeighborX="-48897" custLinFactNeighborY="-8734" custRadScaleRad="58692" custRadScaleInc="-2147483648"/>
      <dgm:spPr/>
      <dgm:t>
        <a:bodyPr/>
        <a:lstStyle/>
        <a:p>
          <a:endParaRPr lang="fr-FR"/>
        </a:p>
      </dgm:t>
    </dgm:pt>
    <dgm:pt modelId="{F8E45369-0B16-42FC-AD36-280C68313AC3}" type="pres">
      <dgm:prSet presAssocID="{3A1A1CB8-5EAC-4B61-82A0-BFE4BD028CBC}" presName="nodeFollowingNodes" presStyleLbl="node1" presStyleIdx="1" presStyleCnt="10" custAng="1398784" custScaleX="121000" custScaleY="203849" custRadScaleRad="140196" custRadScaleInc="-280714">
        <dgm:presLayoutVars>
          <dgm:bulletEnabled val="1"/>
        </dgm:presLayoutVars>
      </dgm:prSet>
      <dgm:spPr>
        <a:prstGeom prst="rightArrowCallout">
          <a:avLst/>
        </a:prstGeom>
      </dgm:spPr>
      <dgm:t>
        <a:bodyPr/>
        <a:lstStyle/>
        <a:p>
          <a:endParaRPr lang="fr-FR"/>
        </a:p>
      </dgm:t>
    </dgm:pt>
    <dgm:pt modelId="{256674D6-8F8B-49F1-9F41-567B49818C53}" type="pres">
      <dgm:prSet presAssocID="{0923F52E-C994-4DED-83B3-9724911282E8}" presName="nodeFollowingNodes" presStyleLbl="node1" presStyleIdx="2" presStyleCnt="10" custAng="1092120" custScaleX="121000" custScaleY="214360" custRadScaleRad="142937" custRadScaleInc="137683">
        <dgm:presLayoutVars>
          <dgm:bulletEnabled val="1"/>
        </dgm:presLayoutVars>
      </dgm:prSet>
      <dgm:spPr>
        <a:prstGeom prst="leftArrowCallout">
          <a:avLst/>
        </a:prstGeom>
      </dgm:spPr>
      <dgm:t>
        <a:bodyPr/>
        <a:lstStyle/>
        <a:p>
          <a:endParaRPr lang="fr-FR"/>
        </a:p>
      </dgm:t>
    </dgm:pt>
    <dgm:pt modelId="{D3335BCD-DB57-413B-B323-8FCA0632DBB0}" type="pres">
      <dgm:prSet presAssocID="{693EE2BE-AD5B-4A1F-9891-26692B2C3ADD}" presName="nodeFollowingNodes" presStyleLbl="node1" presStyleIdx="3" presStyleCnt="10" custAng="4471162" custScaleX="121000" custScaleY="214360" custRadScaleRad="134800" custRadScaleInc="410681">
        <dgm:presLayoutVars>
          <dgm:bulletEnabled val="1"/>
        </dgm:presLayoutVars>
      </dgm:prSet>
      <dgm:spPr>
        <a:prstGeom prst="upArrowCallout">
          <a:avLst/>
        </a:prstGeom>
      </dgm:spPr>
      <dgm:t>
        <a:bodyPr/>
        <a:lstStyle/>
        <a:p>
          <a:endParaRPr lang="fr-FR"/>
        </a:p>
      </dgm:t>
    </dgm:pt>
    <dgm:pt modelId="{9BFA7716-3B20-4D0F-BEDE-4870C4CF4D01}" type="pres">
      <dgm:prSet presAssocID="{28F43418-4624-4F87-A1CD-F8658127E154}" presName="nodeFollowingNodes" presStyleLbl="node1" presStyleIdx="4" presStyleCnt="10" custAng="1298175" custScaleX="130993" custScaleY="233486" custRadScaleRad="54673" custRadScaleInc="398548">
        <dgm:presLayoutVars>
          <dgm:bulletEnabled val="1"/>
        </dgm:presLayoutVars>
      </dgm:prSet>
      <dgm:spPr>
        <a:prstGeom prst="leftArrowCallout">
          <a:avLst/>
        </a:prstGeom>
      </dgm:spPr>
      <dgm:t>
        <a:bodyPr/>
        <a:lstStyle/>
        <a:p>
          <a:endParaRPr lang="fr-FR"/>
        </a:p>
      </dgm:t>
    </dgm:pt>
    <dgm:pt modelId="{18AE25BD-F020-4A30-BF21-0B181BE5BB82}" type="pres">
      <dgm:prSet presAssocID="{CE5B6B90-9AFA-4410-A799-9EDFC9535FAB}" presName="nodeFollowingNodes" presStyleLbl="node1" presStyleIdx="5" presStyleCnt="10" custScaleX="82645" custScaleY="146410" custRadScaleRad="89166" custRadScaleInc="398491">
        <dgm:presLayoutVars>
          <dgm:bulletEnabled val="1"/>
        </dgm:presLayoutVars>
      </dgm:prSet>
      <dgm:spPr>
        <a:prstGeom prst="ellipse">
          <a:avLst/>
        </a:prstGeom>
      </dgm:spPr>
      <dgm:t>
        <a:bodyPr/>
        <a:lstStyle/>
        <a:p>
          <a:endParaRPr lang="fr-FR"/>
        </a:p>
      </dgm:t>
    </dgm:pt>
    <dgm:pt modelId="{203E45F5-91B1-427A-993F-B64B7676C1B8}" type="pres">
      <dgm:prSet presAssocID="{7133E2A8-93F2-44E8-A72C-7C58EAF08259}" presName="nodeFollowingNodes" presStyleLbl="node1" presStyleIdx="6" presStyleCnt="10" custScaleX="82645" custScaleY="146410" custRadScaleRad="88785" custRadScaleInc="-504859">
        <dgm:presLayoutVars>
          <dgm:bulletEnabled val="1"/>
        </dgm:presLayoutVars>
      </dgm:prSet>
      <dgm:spPr>
        <a:prstGeom prst="ellipse">
          <a:avLst/>
        </a:prstGeom>
      </dgm:spPr>
      <dgm:t>
        <a:bodyPr/>
        <a:lstStyle/>
        <a:p>
          <a:endParaRPr lang="fr-FR"/>
        </a:p>
      </dgm:t>
    </dgm:pt>
    <dgm:pt modelId="{12D6BC87-2BC0-4C02-9004-606460CD5CB4}" type="pres">
      <dgm:prSet presAssocID="{1EF65425-4417-4E21-9C38-EE43A51680EF}" presName="nodeFollowingNodes" presStyleLbl="node1" presStyleIdx="7" presStyleCnt="10" custScaleX="82645" custScaleY="146410" custRadScaleRad="88570" custRadScaleInc="-397371">
        <dgm:presLayoutVars>
          <dgm:bulletEnabled val="1"/>
        </dgm:presLayoutVars>
      </dgm:prSet>
      <dgm:spPr>
        <a:prstGeom prst="ellipse">
          <a:avLst/>
        </a:prstGeom>
      </dgm:spPr>
      <dgm:t>
        <a:bodyPr/>
        <a:lstStyle/>
        <a:p>
          <a:endParaRPr lang="fr-FR"/>
        </a:p>
      </dgm:t>
    </dgm:pt>
    <dgm:pt modelId="{3F518F98-12B5-4C54-B560-7018D695FFAF}" type="pres">
      <dgm:prSet presAssocID="{7F4046F0-F397-4FCE-B29E-404B7C0375E2}" presName="nodeFollowingNodes" presStyleLbl="node1" presStyleIdx="8" presStyleCnt="10" custScaleX="82645" custScaleY="146410" custRadScaleRad="88090" custRadScaleInc="-165540">
        <dgm:presLayoutVars>
          <dgm:bulletEnabled val="1"/>
        </dgm:presLayoutVars>
      </dgm:prSet>
      <dgm:spPr>
        <a:prstGeom prst="ellipse">
          <a:avLst/>
        </a:prstGeom>
      </dgm:spPr>
      <dgm:t>
        <a:bodyPr/>
        <a:lstStyle/>
        <a:p>
          <a:endParaRPr lang="fr-FR"/>
        </a:p>
      </dgm:t>
    </dgm:pt>
    <dgm:pt modelId="{E2B6C566-D8A6-41F4-AFA6-BD3F5E91F329}" type="pres">
      <dgm:prSet presAssocID="{A49AA326-F7ED-4EE9-9D46-7CBD281C9400}" presName="nodeFollowingNodes" presStyleLbl="node1" presStyleIdx="9" presStyleCnt="10" custScaleX="100299" custScaleY="146410" custRadScaleRad="112513" custRadScaleInc="-124715">
        <dgm:presLayoutVars>
          <dgm:bulletEnabled val="1"/>
        </dgm:presLayoutVars>
      </dgm:prSet>
      <dgm:spPr>
        <a:prstGeom prst="ellipse">
          <a:avLst/>
        </a:prstGeom>
      </dgm:spPr>
      <dgm:t>
        <a:bodyPr/>
        <a:lstStyle/>
        <a:p>
          <a:endParaRPr lang="fr-FR"/>
        </a:p>
      </dgm:t>
    </dgm:pt>
  </dgm:ptLst>
  <dgm:cxnLst>
    <dgm:cxn modelId="{08DD7694-4D95-447C-AECF-53E354A8E474}" type="presOf" srcId="{7133E2A8-93F2-44E8-A72C-7C58EAF08259}" destId="{203E45F5-91B1-427A-993F-B64B7676C1B8}" srcOrd="0" destOrd="0" presId="urn:microsoft.com/office/officeart/2005/8/layout/cycle3"/>
    <dgm:cxn modelId="{388C6A10-7E56-488C-B65F-199AFB481D7D}" type="presOf" srcId="{0923F52E-C994-4DED-83B3-9724911282E8}" destId="{256674D6-8F8B-49F1-9F41-567B49818C53}" srcOrd="0" destOrd="0" presId="urn:microsoft.com/office/officeart/2005/8/layout/cycle3"/>
    <dgm:cxn modelId="{AA6ED86C-247A-425C-9103-897FA6682A16}" type="presOf" srcId="{1EF65425-4417-4E21-9C38-EE43A51680EF}" destId="{12D6BC87-2BC0-4C02-9004-606460CD5CB4}" srcOrd="0" destOrd="0" presId="urn:microsoft.com/office/officeart/2005/8/layout/cycle3"/>
    <dgm:cxn modelId="{929B33E0-BBC6-483F-8CD4-2775AE054767}" srcId="{F146402B-10DB-473F-A025-553709303FE0}" destId="{A49AA326-F7ED-4EE9-9D46-7CBD281C9400}" srcOrd="9" destOrd="0" parTransId="{6BB2B398-7517-4122-BE2F-B76F1F954941}" sibTransId="{50ACB854-B10D-411B-B2AB-D086DF9209FF}"/>
    <dgm:cxn modelId="{CE361AF1-4AB5-45D8-91E6-5EA46250B69C}" srcId="{F146402B-10DB-473F-A025-553709303FE0}" destId="{40005BE9-EA35-4A0A-864A-0B3C1E03E097}" srcOrd="0" destOrd="0" parTransId="{E6A7A01E-A88E-44D3-8382-25D191BD028B}" sibTransId="{48003AD0-2393-4973-8C63-54CE3CD5AD2B}"/>
    <dgm:cxn modelId="{A3E0DF06-7882-4BF2-AC2B-656B82D7452B}" type="presOf" srcId="{3A1A1CB8-5EAC-4B61-82A0-BFE4BD028CBC}" destId="{F8E45369-0B16-42FC-AD36-280C68313AC3}" srcOrd="0" destOrd="0" presId="urn:microsoft.com/office/officeart/2005/8/layout/cycle3"/>
    <dgm:cxn modelId="{EDCC665C-1346-4AB8-B3A4-B655C47FD3CE}" type="presOf" srcId="{7F4046F0-F397-4FCE-B29E-404B7C0375E2}" destId="{3F518F98-12B5-4C54-B560-7018D695FFAF}" srcOrd="0" destOrd="0" presId="urn:microsoft.com/office/officeart/2005/8/layout/cycle3"/>
    <dgm:cxn modelId="{BD06DB2E-01D8-4B1C-B9A6-DE35CBDA77DD}" type="presOf" srcId="{693EE2BE-AD5B-4A1F-9891-26692B2C3ADD}" destId="{D3335BCD-DB57-413B-B323-8FCA0632DBB0}" srcOrd="0" destOrd="0" presId="urn:microsoft.com/office/officeart/2005/8/layout/cycle3"/>
    <dgm:cxn modelId="{6327F4F1-9FA4-4871-A98E-905FDE0358F7}" type="presOf" srcId="{CE5B6B90-9AFA-4410-A799-9EDFC9535FAB}" destId="{18AE25BD-F020-4A30-BF21-0B181BE5BB82}" srcOrd="0" destOrd="0" presId="urn:microsoft.com/office/officeart/2005/8/layout/cycle3"/>
    <dgm:cxn modelId="{F47C1869-387E-4F47-BB98-B58795521B84}" srcId="{F146402B-10DB-473F-A025-553709303FE0}" destId="{693EE2BE-AD5B-4A1F-9891-26692B2C3ADD}" srcOrd="3" destOrd="0" parTransId="{512AF92E-697C-4A0C-BF66-792E5FE2943A}" sibTransId="{CEDDF9FF-4632-494B-AE04-D47E7EB0AC23}"/>
    <dgm:cxn modelId="{386ACC98-6A62-41A4-8271-A958B1F48B6C}" srcId="{F146402B-10DB-473F-A025-553709303FE0}" destId="{28F43418-4624-4F87-A1CD-F8658127E154}" srcOrd="4" destOrd="0" parTransId="{D63064A6-D019-4262-A562-663B91B1FFC2}" sibTransId="{393F366E-F2C3-4651-BFCD-E67E1F96B2B4}"/>
    <dgm:cxn modelId="{B79B998D-EF08-4421-81E0-742803C197B3}" srcId="{F146402B-10DB-473F-A025-553709303FE0}" destId="{3A1A1CB8-5EAC-4B61-82A0-BFE4BD028CBC}" srcOrd="1" destOrd="0" parTransId="{C036BDB8-FA9F-4A86-946F-0F2606A5CF81}" sibTransId="{7C9B47BF-6563-403E-B515-B80CB3DC054E}"/>
    <dgm:cxn modelId="{8767384A-EC7C-4C86-A470-740914E914BA}" srcId="{F146402B-10DB-473F-A025-553709303FE0}" destId="{7133E2A8-93F2-44E8-A72C-7C58EAF08259}" srcOrd="6" destOrd="0" parTransId="{8B76F67E-33F6-436B-A2C9-438A9EDFC276}" sibTransId="{59DE546D-AEFA-4B80-A68B-D08882C66277}"/>
    <dgm:cxn modelId="{8CF83B3A-60B5-499B-898A-2AE09CCA7FF2}" type="presOf" srcId="{48003AD0-2393-4973-8C63-54CE3CD5AD2B}" destId="{2211D164-0C0E-46E1-9ADE-527FA8FD0E39}" srcOrd="0" destOrd="0" presId="urn:microsoft.com/office/officeart/2005/8/layout/cycle3"/>
    <dgm:cxn modelId="{668DDF26-9739-44DC-87AA-432F991EA0DB}" srcId="{F146402B-10DB-473F-A025-553709303FE0}" destId="{1EF65425-4417-4E21-9C38-EE43A51680EF}" srcOrd="7" destOrd="0" parTransId="{6555CAB2-39D0-4343-B32E-6B7EBEAB83F5}" sibTransId="{314BE6DA-7B0C-4F10-95BB-B0DA656674B1}"/>
    <dgm:cxn modelId="{BA08B0CA-6EE2-416F-9431-F2D21D1BE607}" type="presOf" srcId="{F146402B-10DB-473F-A025-553709303FE0}" destId="{CE9E0D15-0D29-4484-BD7E-ED44B6DFB1DF}" srcOrd="0" destOrd="0" presId="urn:microsoft.com/office/officeart/2005/8/layout/cycle3"/>
    <dgm:cxn modelId="{A57B13FC-E161-4B18-8217-4EC54430190F}" type="presOf" srcId="{40005BE9-EA35-4A0A-864A-0B3C1E03E097}" destId="{DF6669DD-D9A8-43BE-A943-20E88E8C91CD}" srcOrd="0" destOrd="0" presId="urn:microsoft.com/office/officeart/2005/8/layout/cycle3"/>
    <dgm:cxn modelId="{771E98B6-A1F2-4A65-9434-E06474E04093}" srcId="{F146402B-10DB-473F-A025-553709303FE0}" destId="{CE5B6B90-9AFA-4410-A799-9EDFC9535FAB}" srcOrd="5" destOrd="0" parTransId="{7700C8D2-9B27-4C55-B335-8DD5DCB9C4A9}" sibTransId="{A80EC9BE-6638-4839-9271-424318DBCD9A}"/>
    <dgm:cxn modelId="{475DE025-37B1-4FCC-9D43-C9D29FA314E8}" type="presOf" srcId="{28F43418-4624-4F87-A1CD-F8658127E154}" destId="{9BFA7716-3B20-4D0F-BEDE-4870C4CF4D01}" srcOrd="0" destOrd="0" presId="urn:microsoft.com/office/officeart/2005/8/layout/cycle3"/>
    <dgm:cxn modelId="{EDED34BD-3EBD-40BB-A4F7-6709D0065017}" srcId="{F146402B-10DB-473F-A025-553709303FE0}" destId="{7F4046F0-F397-4FCE-B29E-404B7C0375E2}" srcOrd="8" destOrd="0" parTransId="{4C179B90-34C4-4E35-A6D5-E128AB306847}" sibTransId="{64CFFD8E-877B-42BA-90A0-35ACB6DA58C7}"/>
    <dgm:cxn modelId="{F37B2845-1B4F-46E3-97BC-33F4DE8F6AD0}" srcId="{F146402B-10DB-473F-A025-553709303FE0}" destId="{0923F52E-C994-4DED-83B3-9724911282E8}" srcOrd="2" destOrd="0" parTransId="{A3028293-7CD7-4BBF-82AD-CB861FE2C637}" sibTransId="{8B9FB75C-4237-4533-B919-9FD0E6EB54D8}"/>
    <dgm:cxn modelId="{637E092F-FFCF-43C1-8947-80DA6D964977}" type="presOf" srcId="{A49AA326-F7ED-4EE9-9D46-7CBD281C9400}" destId="{E2B6C566-D8A6-41F4-AFA6-BD3F5E91F329}" srcOrd="0" destOrd="0" presId="urn:microsoft.com/office/officeart/2005/8/layout/cycle3"/>
    <dgm:cxn modelId="{C8D9446E-C9FA-4C22-A970-3E2168D5AD71}" type="presParOf" srcId="{CE9E0D15-0D29-4484-BD7E-ED44B6DFB1DF}" destId="{4C95D611-CF0B-43CB-BBA8-3FD7A803B7E3}" srcOrd="0" destOrd="0" presId="urn:microsoft.com/office/officeart/2005/8/layout/cycle3"/>
    <dgm:cxn modelId="{B66FC48B-9F85-4A3C-8DA2-1A24B96506B6}" type="presParOf" srcId="{4C95D611-CF0B-43CB-BBA8-3FD7A803B7E3}" destId="{DF6669DD-D9A8-43BE-A943-20E88E8C91CD}" srcOrd="0" destOrd="0" presId="urn:microsoft.com/office/officeart/2005/8/layout/cycle3"/>
    <dgm:cxn modelId="{C8410F41-1508-45DC-91D9-BC8103DA41A2}" type="presParOf" srcId="{4C95D611-CF0B-43CB-BBA8-3FD7A803B7E3}" destId="{2211D164-0C0E-46E1-9ADE-527FA8FD0E39}" srcOrd="1" destOrd="0" presId="urn:microsoft.com/office/officeart/2005/8/layout/cycle3"/>
    <dgm:cxn modelId="{3ACF8ACE-DA14-42C7-82CF-704AA93528F3}" type="presParOf" srcId="{4C95D611-CF0B-43CB-BBA8-3FD7A803B7E3}" destId="{F8E45369-0B16-42FC-AD36-280C68313AC3}" srcOrd="2" destOrd="0" presId="urn:microsoft.com/office/officeart/2005/8/layout/cycle3"/>
    <dgm:cxn modelId="{D6D09DA9-E6F4-408D-876F-E86D70506D57}" type="presParOf" srcId="{4C95D611-CF0B-43CB-BBA8-3FD7A803B7E3}" destId="{256674D6-8F8B-49F1-9F41-567B49818C53}" srcOrd="3" destOrd="0" presId="urn:microsoft.com/office/officeart/2005/8/layout/cycle3"/>
    <dgm:cxn modelId="{AD9F12A7-6A9B-4EE7-826F-45FEEE9BE34F}" type="presParOf" srcId="{4C95D611-CF0B-43CB-BBA8-3FD7A803B7E3}" destId="{D3335BCD-DB57-413B-B323-8FCA0632DBB0}" srcOrd="4" destOrd="0" presId="urn:microsoft.com/office/officeart/2005/8/layout/cycle3"/>
    <dgm:cxn modelId="{AE4B86E4-CD98-4FFD-9332-8CF2C42E45FA}" type="presParOf" srcId="{4C95D611-CF0B-43CB-BBA8-3FD7A803B7E3}" destId="{9BFA7716-3B20-4D0F-BEDE-4870C4CF4D01}" srcOrd="5" destOrd="0" presId="urn:microsoft.com/office/officeart/2005/8/layout/cycle3"/>
    <dgm:cxn modelId="{128661C5-1ABF-47A9-A7B1-FDA4941DB271}" type="presParOf" srcId="{4C95D611-CF0B-43CB-BBA8-3FD7A803B7E3}" destId="{18AE25BD-F020-4A30-BF21-0B181BE5BB82}" srcOrd="6" destOrd="0" presId="urn:microsoft.com/office/officeart/2005/8/layout/cycle3"/>
    <dgm:cxn modelId="{C48D1BF4-5651-471F-B858-FE158B782786}" type="presParOf" srcId="{4C95D611-CF0B-43CB-BBA8-3FD7A803B7E3}" destId="{203E45F5-91B1-427A-993F-B64B7676C1B8}" srcOrd="7" destOrd="0" presId="urn:microsoft.com/office/officeart/2005/8/layout/cycle3"/>
    <dgm:cxn modelId="{5700FEAC-9691-47F0-81EE-6C791CFE03F8}" type="presParOf" srcId="{4C95D611-CF0B-43CB-BBA8-3FD7A803B7E3}" destId="{12D6BC87-2BC0-4C02-9004-606460CD5CB4}" srcOrd="8" destOrd="0" presId="urn:microsoft.com/office/officeart/2005/8/layout/cycle3"/>
    <dgm:cxn modelId="{9640CACE-DB02-4BF5-8A8F-59CF3897386F}" type="presParOf" srcId="{4C95D611-CF0B-43CB-BBA8-3FD7A803B7E3}" destId="{3F518F98-12B5-4C54-B560-7018D695FFAF}" srcOrd="9" destOrd="0" presId="urn:microsoft.com/office/officeart/2005/8/layout/cycle3"/>
    <dgm:cxn modelId="{CBF6A721-EDE2-4C2A-B68D-1C7D923D9429}" type="presParOf" srcId="{4C95D611-CF0B-43CB-BBA8-3FD7A803B7E3}" destId="{E2B6C566-D8A6-41F4-AFA6-BD3F5E91F329}" srcOrd="10" destOrd="0" presId="urn:microsoft.com/office/officeart/2005/8/layout/cycle3"/>
  </dgm:cxnLst>
  <dgm:bg/>
  <dgm:whole>
    <a:ln>
      <a:solidFill>
        <a:schemeClr val="tx1"/>
      </a:solidFill>
    </a:ln>
  </dgm:whole>
  <dgm:extLst>
    <a:ext uri="http://schemas.microsoft.com/office/drawing/2008/diagram">
      <dsp:dataModelExt xmlns:dsp="http://schemas.microsoft.com/office/drawing/2008/diagram" relId="rId230" minVer="http://schemas.openxmlformats.org/drawingml/2006/diagram"/>
    </a:ext>
  </dgm:extLst>
</dgm:dataModel>
</file>

<file path=word/diagrams/data19.xml><?xml version="1.0" encoding="utf-8"?>
<dgm:dataModel xmlns:dgm="http://schemas.openxmlformats.org/drawingml/2006/diagram" xmlns:a="http://schemas.openxmlformats.org/drawingml/2006/main">
  <dgm:ptLst>
    <dgm:pt modelId="{2A673452-15A1-447D-82D7-4079AF0D5563}"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fr-FR"/>
        </a:p>
      </dgm:t>
    </dgm:pt>
    <dgm:pt modelId="{E3D8B292-05F5-44FB-918D-296AC0F73CFC}">
      <dgm:prSet phldrT="[Texte]" custT="1">
        <dgm:style>
          <a:lnRef idx="2">
            <a:schemeClr val="dk1"/>
          </a:lnRef>
          <a:fillRef idx="1">
            <a:schemeClr val="lt1"/>
          </a:fillRef>
          <a:effectRef idx="0">
            <a:schemeClr val="dk1"/>
          </a:effectRef>
          <a:fontRef idx="minor">
            <a:schemeClr val="dk1"/>
          </a:fontRef>
        </dgm:style>
      </dgm:prSet>
      <dgm:spPr>
        <a:solidFill>
          <a:schemeClr val="bg1">
            <a:lumMod val="75000"/>
          </a:schemeClr>
        </a:solidFill>
        <a:ln w="6350">
          <a:solidFill>
            <a:schemeClr val="tx1"/>
          </a:solidFill>
        </a:ln>
      </dgm:spPr>
      <dgm:t>
        <a:bodyPr/>
        <a:lstStyle/>
        <a:p>
          <a:pPr algn="ctr" rtl="1"/>
          <a:r>
            <a:rPr lang="ar-DZ" sz="1200">
              <a:solidFill>
                <a:schemeClr val="tx1"/>
              </a:solidFill>
              <a:latin typeface="Simplified Arabic" panose="02020603050405020304" pitchFamily="18" charset="-78"/>
              <a:cs typeface="Simplified Arabic" panose="02020603050405020304" pitchFamily="18" charset="-78"/>
            </a:rPr>
            <a:t>ترتيب عوامل تقييم المرونة الحضرية حسب الاولوية</a:t>
          </a:r>
          <a:endParaRPr lang="fr-FR" sz="1200">
            <a:solidFill>
              <a:schemeClr val="tx1"/>
            </a:solidFill>
            <a:latin typeface="Simplified Arabic" panose="02020603050405020304" pitchFamily="18" charset="-78"/>
            <a:cs typeface="Simplified Arabic" panose="02020603050405020304" pitchFamily="18" charset="-78"/>
          </a:endParaRPr>
        </a:p>
      </dgm:t>
    </dgm:pt>
    <dgm:pt modelId="{2D5D4D0A-B02C-4F83-8D6A-D2AA1F7BC43E}" type="parTrans" cxnId="{A63A7A34-0EAD-4BA2-8055-FD6FA07A2AA0}">
      <dgm:prSet/>
      <dgm:spPr/>
      <dgm:t>
        <a:bodyPr/>
        <a:lstStyle/>
        <a:p>
          <a:pPr algn="ctr"/>
          <a:endParaRPr lang="fr-FR"/>
        </a:p>
      </dgm:t>
    </dgm:pt>
    <dgm:pt modelId="{0F4A411D-9FCE-4F90-9E33-4B6134D90107}" type="sibTrans" cxnId="{A63A7A34-0EAD-4BA2-8055-FD6FA07A2AA0}">
      <dgm:prSet/>
      <dgm:spPr/>
      <dgm:t>
        <a:bodyPr/>
        <a:lstStyle/>
        <a:p>
          <a:pPr algn="ctr"/>
          <a:endParaRPr lang="fr-FR"/>
        </a:p>
      </dgm:t>
    </dgm:pt>
    <dgm:pt modelId="{45D89239-DA44-4796-BE49-4CBBC39759AB}">
      <dgm:prSet custT="1">
        <dgm:style>
          <a:lnRef idx="2">
            <a:schemeClr val="dk1"/>
          </a:lnRef>
          <a:fillRef idx="1">
            <a:schemeClr val="lt1"/>
          </a:fillRef>
          <a:effectRef idx="0">
            <a:schemeClr val="dk1"/>
          </a:effectRef>
          <a:fontRef idx="minor">
            <a:schemeClr val="dk1"/>
          </a:fontRef>
        </dgm:style>
      </dgm:prSet>
      <dgm:spPr>
        <a:solidFill>
          <a:schemeClr val="bg1">
            <a:lumMod val="85000"/>
          </a:schemeClr>
        </a:solidFill>
        <a:ln w="6350"/>
      </dgm:spPr>
      <dgm:t>
        <a:bodyPr/>
        <a:lstStyle/>
        <a:p>
          <a:pPr algn="ctr" rtl="1"/>
          <a:r>
            <a:rPr lang="ar-DZ" sz="1200">
              <a:latin typeface="Simplified Arabic" panose="02020603050405020304" pitchFamily="18" charset="-78"/>
              <a:cs typeface="Simplified Arabic" panose="02020603050405020304" pitchFamily="18" charset="-78"/>
            </a:rPr>
            <a:t>معيار كثافة البناء</a:t>
          </a:r>
          <a:endParaRPr lang="fr-FR" sz="1200">
            <a:latin typeface="Simplified Arabic" panose="02020603050405020304" pitchFamily="18" charset="-78"/>
            <a:cs typeface="Simplified Arabic" panose="02020603050405020304" pitchFamily="18" charset="-78"/>
          </a:endParaRPr>
        </a:p>
      </dgm:t>
    </dgm:pt>
    <dgm:pt modelId="{417FF3CF-B1CD-4EE3-B0D0-65CC097E3EA7}" type="parTrans" cxnId="{FED1B598-31D9-4FA4-85B8-828576F3AE1A}">
      <dgm:prSet>
        <dgm:style>
          <a:lnRef idx="1">
            <a:schemeClr val="dk1"/>
          </a:lnRef>
          <a:fillRef idx="0">
            <a:schemeClr val="dk1"/>
          </a:fillRef>
          <a:effectRef idx="0">
            <a:schemeClr val="dk1"/>
          </a:effectRef>
          <a:fontRef idx="minor">
            <a:schemeClr val="tx1"/>
          </a:fontRef>
        </dgm:style>
      </dgm:prSet>
      <dgm:spPr>
        <a:ln w="6350">
          <a:solidFill>
            <a:schemeClr val="tx1"/>
          </a:solidFill>
        </a:ln>
      </dgm:spPr>
      <dgm:t>
        <a:bodyPr/>
        <a:lstStyle/>
        <a:p>
          <a:pPr algn="ctr"/>
          <a:endParaRPr lang="fr-FR"/>
        </a:p>
      </dgm:t>
    </dgm:pt>
    <dgm:pt modelId="{5C4EA65C-5FF9-48E7-A5CE-CD04DA0749EA}" type="sibTrans" cxnId="{FED1B598-31D9-4FA4-85B8-828576F3AE1A}">
      <dgm:prSet/>
      <dgm:spPr/>
      <dgm:t>
        <a:bodyPr/>
        <a:lstStyle/>
        <a:p>
          <a:pPr algn="ctr"/>
          <a:endParaRPr lang="fr-FR"/>
        </a:p>
      </dgm:t>
    </dgm:pt>
    <dgm:pt modelId="{2CA45E24-A033-4A6E-BF6C-E45BD9074CA3}">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latin typeface="Times New Roman" panose="02020603050405020304" pitchFamily="18" charset="0"/>
              <a:cs typeface="Times New Roman" panose="02020603050405020304" pitchFamily="18" charset="0"/>
            </a:rPr>
            <a:t>C6-3</a:t>
          </a:r>
          <a:endParaRPr lang="fr-FR" sz="500">
            <a:latin typeface="Times New Roman" panose="02020603050405020304" pitchFamily="18" charset="0"/>
            <a:cs typeface="Times New Roman" panose="02020603050405020304" pitchFamily="18" charset="0"/>
          </a:endParaRPr>
        </a:p>
      </dgm:t>
    </dgm:pt>
    <dgm:pt modelId="{EFB35893-29B3-4D9B-8252-68FE62913170}" type="parTrans" cxnId="{C04F5874-C314-418A-A254-BCCA7DB6070E}">
      <dgm:prSet/>
      <dgm:spPr>
        <a:ln w="6350">
          <a:solidFill>
            <a:schemeClr val="tx1"/>
          </a:solidFill>
        </a:ln>
      </dgm:spPr>
      <dgm:t>
        <a:bodyPr/>
        <a:lstStyle/>
        <a:p>
          <a:pPr algn="ctr"/>
          <a:endParaRPr lang="fr-FR"/>
        </a:p>
      </dgm:t>
    </dgm:pt>
    <dgm:pt modelId="{C88CFE61-BD25-45B5-81CC-8ADA5DC35C56}" type="sibTrans" cxnId="{C04F5874-C314-418A-A254-BCCA7DB6070E}">
      <dgm:prSet/>
      <dgm:spPr/>
      <dgm:t>
        <a:bodyPr/>
        <a:lstStyle/>
        <a:p>
          <a:pPr algn="ctr"/>
          <a:endParaRPr lang="fr-FR"/>
        </a:p>
      </dgm:t>
    </dgm:pt>
    <dgm:pt modelId="{F510AE10-B295-4244-97E0-2F6C366B0BD5}">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latin typeface="Times New Roman" panose="02020603050405020304" pitchFamily="18" charset="0"/>
              <a:cs typeface="Times New Roman" panose="02020603050405020304" pitchFamily="18" charset="0"/>
            </a:rPr>
            <a:t>C6-1</a:t>
          </a:r>
          <a:endParaRPr lang="fr-FR" sz="500">
            <a:latin typeface="Times New Roman" panose="02020603050405020304" pitchFamily="18" charset="0"/>
            <a:cs typeface="Times New Roman" panose="02020603050405020304" pitchFamily="18" charset="0"/>
          </a:endParaRPr>
        </a:p>
      </dgm:t>
    </dgm:pt>
    <dgm:pt modelId="{C4D01BD0-A280-4136-B3B3-5DFAA5A9C074}" type="parTrans" cxnId="{10510F9B-E712-42F7-8BE6-B98835C64FAB}">
      <dgm:prSet/>
      <dgm:spPr>
        <a:ln w="6350">
          <a:solidFill>
            <a:schemeClr val="tx1"/>
          </a:solidFill>
        </a:ln>
      </dgm:spPr>
      <dgm:t>
        <a:bodyPr/>
        <a:lstStyle/>
        <a:p>
          <a:pPr algn="ctr"/>
          <a:endParaRPr lang="fr-FR"/>
        </a:p>
      </dgm:t>
    </dgm:pt>
    <dgm:pt modelId="{56276C32-B375-46EB-AC92-FB1B73434804}" type="sibTrans" cxnId="{10510F9B-E712-42F7-8BE6-B98835C64FAB}">
      <dgm:prSet/>
      <dgm:spPr/>
      <dgm:t>
        <a:bodyPr/>
        <a:lstStyle/>
        <a:p>
          <a:pPr algn="ctr"/>
          <a:endParaRPr lang="fr-FR"/>
        </a:p>
      </dgm:t>
    </dgm:pt>
    <dgm:pt modelId="{4C277AA1-F7E5-48CD-AB6C-86069F0CC59D}">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latin typeface="Times New Roman" panose="02020603050405020304" pitchFamily="18" charset="0"/>
              <a:cs typeface="Times New Roman" panose="02020603050405020304" pitchFamily="18" charset="0"/>
            </a:rPr>
            <a:t>C6-2</a:t>
          </a:r>
          <a:endParaRPr lang="fr-FR" sz="500">
            <a:latin typeface="Times New Roman" panose="02020603050405020304" pitchFamily="18" charset="0"/>
            <a:cs typeface="Times New Roman" panose="02020603050405020304" pitchFamily="18" charset="0"/>
          </a:endParaRPr>
        </a:p>
      </dgm:t>
    </dgm:pt>
    <dgm:pt modelId="{769F9052-2F52-42A5-8169-A55101622A32}" type="parTrans" cxnId="{614E030D-9741-4EC7-9F99-81A83BAB949B}">
      <dgm:prSet>
        <dgm:style>
          <a:lnRef idx="2">
            <a:schemeClr val="dk1"/>
          </a:lnRef>
          <a:fillRef idx="1">
            <a:schemeClr val="lt1"/>
          </a:fillRef>
          <a:effectRef idx="0">
            <a:schemeClr val="dk1"/>
          </a:effectRef>
          <a:fontRef idx="minor">
            <a:schemeClr val="dk1"/>
          </a:fontRef>
        </dgm:style>
      </dgm:prSet>
      <dgm:spPr>
        <a:ln w="6350"/>
      </dgm:spPr>
      <dgm:t>
        <a:bodyPr/>
        <a:lstStyle/>
        <a:p>
          <a:pPr algn="ctr"/>
          <a:endParaRPr lang="fr-FR"/>
        </a:p>
      </dgm:t>
    </dgm:pt>
    <dgm:pt modelId="{0929725A-87EE-4DF7-88B4-E16588F81DDF}" type="sibTrans" cxnId="{614E030D-9741-4EC7-9F99-81A83BAB949B}">
      <dgm:prSet/>
      <dgm:spPr/>
      <dgm:t>
        <a:bodyPr/>
        <a:lstStyle/>
        <a:p>
          <a:pPr algn="ctr"/>
          <a:endParaRPr lang="fr-FR"/>
        </a:p>
      </dgm:t>
    </dgm:pt>
    <dgm:pt modelId="{D8E9472F-54CF-47CB-A7E0-223040E39A0B}">
      <dgm:prSet custT="1">
        <dgm:style>
          <a:lnRef idx="2">
            <a:schemeClr val="dk1"/>
          </a:lnRef>
          <a:fillRef idx="1">
            <a:schemeClr val="lt1"/>
          </a:fillRef>
          <a:effectRef idx="0">
            <a:schemeClr val="dk1"/>
          </a:effectRef>
          <a:fontRef idx="minor">
            <a:schemeClr val="dk1"/>
          </a:fontRef>
        </dgm:style>
      </dgm:prSet>
      <dgm:spPr>
        <a:solidFill>
          <a:schemeClr val="bg1">
            <a:lumMod val="85000"/>
          </a:schemeClr>
        </a:solidFill>
        <a:ln w="6350"/>
      </dgm:spPr>
      <dgm:t>
        <a:bodyPr/>
        <a:lstStyle/>
        <a:p>
          <a:pPr algn="ctr" rtl="1"/>
          <a:r>
            <a:rPr lang="ar-DZ" sz="1200">
              <a:latin typeface="Simplified Arabic" panose="02020603050405020304" pitchFamily="18" charset="-78"/>
              <a:cs typeface="Simplified Arabic" panose="02020603050405020304" pitchFamily="18" charset="-78"/>
            </a:rPr>
            <a:t>معيار التكفل الطبي</a:t>
          </a:r>
          <a:endParaRPr lang="fr-FR" sz="1200">
            <a:latin typeface="Simplified Arabic" panose="02020603050405020304" pitchFamily="18" charset="-78"/>
            <a:cs typeface="Simplified Arabic" panose="02020603050405020304" pitchFamily="18" charset="-78"/>
          </a:endParaRPr>
        </a:p>
      </dgm:t>
    </dgm:pt>
    <dgm:pt modelId="{BA627F13-1FC1-4223-B8B8-73CD87B454CB}" type="parTrans" cxnId="{9884227D-D07C-4448-9F06-B14938EC573A}">
      <dgm:prSet>
        <dgm:style>
          <a:lnRef idx="1">
            <a:schemeClr val="dk1"/>
          </a:lnRef>
          <a:fillRef idx="0">
            <a:schemeClr val="dk1"/>
          </a:fillRef>
          <a:effectRef idx="0">
            <a:schemeClr val="dk1"/>
          </a:effectRef>
          <a:fontRef idx="minor">
            <a:schemeClr val="tx1"/>
          </a:fontRef>
        </dgm:style>
      </dgm:prSet>
      <dgm:spPr>
        <a:ln w="12700"/>
      </dgm:spPr>
      <dgm:t>
        <a:bodyPr/>
        <a:lstStyle/>
        <a:p>
          <a:pPr algn="ctr"/>
          <a:endParaRPr lang="fr-FR"/>
        </a:p>
      </dgm:t>
    </dgm:pt>
    <dgm:pt modelId="{8424271F-38CD-4EB2-A8C1-C48BB9676B36}" type="sibTrans" cxnId="{9884227D-D07C-4448-9F06-B14938EC573A}">
      <dgm:prSet/>
      <dgm:spPr/>
      <dgm:t>
        <a:bodyPr/>
        <a:lstStyle/>
        <a:p>
          <a:pPr algn="ctr"/>
          <a:endParaRPr lang="fr-FR"/>
        </a:p>
      </dgm:t>
    </dgm:pt>
    <dgm:pt modelId="{5761FE4E-8007-4BD4-B53F-9B3533FA76C2}">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latin typeface="Times New Roman" panose="02020603050405020304" pitchFamily="18" charset="0"/>
              <a:cs typeface="Times New Roman" panose="02020603050405020304" pitchFamily="18" charset="0"/>
            </a:rPr>
            <a:t>C</a:t>
          </a:r>
          <a:r>
            <a:rPr lang="ar-DZ" sz="600">
              <a:latin typeface="Times New Roman" panose="02020603050405020304" pitchFamily="18" charset="0"/>
              <a:cs typeface="Times New Roman" panose="02020603050405020304" pitchFamily="18" charset="0"/>
            </a:rPr>
            <a:t>1</a:t>
          </a:r>
          <a:r>
            <a:rPr lang="fr-FR" sz="600">
              <a:latin typeface="Times New Roman" panose="02020603050405020304" pitchFamily="18" charset="0"/>
              <a:cs typeface="Times New Roman" panose="02020603050405020304" pitchFamily="18" charset="0"/>
            </a:rPr>
            <a:t>-</a:t>
          </a:r>
          <a:r>
            <a:rPr lang="ar-DZ" sz="600">
              <a:latin typeface="Times New Roman" panose="02020603050405020304" pitchFamily="18" charset="0"/>
              <a:cs typeface="Times New Roman" panose="02020603050405020304" pitchFamily="18" charset="0"/>
            </a:rPr>
            <a:t>3</a:t>
          </a:r>
          <a:endParaRPr lang="fr-FR" sz="600"/>
        </a:p>
      </dgm:t>
    </dgm:pt>
    <dgm:pt modelId="{0DC0A57C-B963-4710-A773-C5394AE093B4}" type="parTrans" cxnId="{9E993E88-2B8E-46E4-A8AC-6B35C3CDEA0A}">
      <dgm:prSet/>
      <dgm:spPr>
        <a:ln w="6350">
          <a:solidFill>
            <a:schemeClr val="tx1"/>
          </a:solidFill>
        </a:ln>
      </dgm:spPr>
      <dgm:t>
        <a:bodyPr/>
        <a:lstStyle/>
        <a:p>
          <a:pPr algn="ctr"/>
          <a:endParaRPr lang="fr-FR"/>
        </a:p>
      </dgm:t>
    </dgm:pt>
    <dgm:pt modelId="{D70A405B-BA0D-4418-845C-4F5BF6B4AF63}" type="sibTrans" cxnId="{9E993E88-2B8E-46E4-A8AC-6B35C3CDEA0A}">
      <dgm:prSet/>
      <dgm:spPr/>
      <dgm:t>
        <a:bodyPr/>
        <a:lstStyle/>
        <a:p>
          <a:pPr algn="ctr"/>
          <a:endParaRPr lang="fr-FR"/>
        </a:p>
      </dgm:t>
    </dgm:pt>
    <dgm:pt modelId="{3469E52E-5B47-4426-850E-8FF2CFD37FB6}">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latin typeface="Times New Roman" panose="02020603050405020304" pitchFamily="18" charset="0"/>
              <a:cs typeface="Times New Roman" panose="02020603050405020304" pitchFamily="18" charset="0"/>
            </a:rPr>
            <a:t>C</a:t>
          </a:r>
          <a:r>
            <a:rPr lang="ar-DZ" sz="600">
              <a:latin typeface="Times New Roman" panose="02020603050405020304" pitchFamily="18" charset="0"/>
              <a:cs typeface="Times New Roman" panose="02020603050405020304" pitchFamily="18" charset="0"/>
            </a:rPr>
            <a:t>1</a:t>
          </a:r>
          <a:r>
            <a:rPr lang="fr-FR" sz="600">
              <a:latin typeface="Times New Roman" panose="02020603050405020304" pitchFamily="18" charset="0"/>
              <a:cs typeface="Times New Roman" panose="02020603050405020304" pitchFamily="18" charset="0"/>
            </a:rPr>
            <a:t>-</a:t>
          </a:r>
          <a:r>
            <a:rPr lang="ar-DZ" sz="600">
              <a:latin typeface="Times New Roman" panose="02020603050405020304" pitchFamily="18" charset="0"/>
              <a:cs typeface="Times New Roman" panose="02020603050405020304" pitchFamily="18" charset="0"/>
            </a:rPr>
            <a:t>2</a:t>
          </a:r>
          <a:endParaRPr lang="fr-FR" sz="600"/>
        </a:p>
      </dgm:t>
    </dgm:pt>
    <dgm:pt modelId="{26093EE6-1D6E-4FC5-A7ED-6A9B15EB63FD}" type="parTrans" cxnId="{D3E30A22-AB47-4AE1-9E0A-54D73AD39EDA}">
      <dgm:prSet/>
      <dgm:spPr>
        <a:ln w="6350">
          <a:solidFill>
            <a:schemeClr val="tx1"/>
          </a:solidFill>
        </a:ln>
      </dgm:spPr>
      <dgm:t>
        <a:bodyPr/>
        <a:lstStyle/>
        <a:p>
          <a:pPr algn="ctr"/>
          <a:endParaRPr lang="fr-FR"/>
        </a:p>
      </dgm:t>
    </dgm:pt>
    <dgm:pt modelId="{5D5F6FEE-6B4D-4A2D-A1D6-4FA408CC9637}" type="sibTrans" cxnId="{D3E30A22-AB47-4AE1-9E0A-54D73AD39EDA}">
      <dgm:prSet/>
      <dgm:spPr/>
      <dgm:t>
        <a:bodyPr/>
        <a:lstStyle/>
        <a:p>
          <a:pPr algn="ctr"/>
          <a:endParaRPr lang="fr-FR"/>
        </a:p>
      </dgm:t>
    </dgm:pt>
    <dgm:pt modelId="{B99281FE-2DCD-403C-8FFA-4FBB296EE000}">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latin typeface="Times New Roman" panose="02020603050405020304" pitchFamily="18" charset="0"/>
              <a:cs typeface="Times New Roman" panose="02020603050405020304" pitchFamily="18" charset="0"/>
            </a:rPr>
            <a:t>C</a:t>
          </a:r>
          <a:r>
            <a:rPr lang="ar-DZ" sz="600">
              <a:latin typeface="Times New Roman" panose="02020603050405020304" pitchFamily="18" charset="0"/>
              <a:cs typeface="Times New Roman" panose="02020603050405020304" pitchFamily="18" charset="0"/>
            </a:rPr>
            <a:t>1</a:t>
          </a:r>
          <a:r>
            <a:rPr lang="fr-FR" sz="600">
              <a:latin typeface="Times New Roman" panose="02020603050405020304" pitchFamily="18" charset="0"/>
              <a:cs typeface="Times New Roman" panose="02020603050405020304" pitchFamily="18" charset="0"/>
            </a:rPr>
            <a:t>-</a:t>
          </a:r>
          <a:r>
            <a:rPr lang="ar-DZ" sz="600">
              <a:latin typeface="Times New Roman" panose="02020603050405020304" pitchFamily="18" charset="0"/>
              <a:cs typeface="Times New Roman" panose="02020603050405020304" pitchFamily="18" charset="0"/>
            </a:rPr>
            <a:t>1</a:t>
          </a:r>
          <a:endParaRPr lang="fr-FR" sz="500"/>
        </a:p>
      </dgm:t>
    </dgm:pt>
    <dgm:pt modelId="{731B954E-521C-4366-92F9-D75DAFAE6728}" type="parTrans" cxnId="{DDDB2BC0-9B0C-4E00-831A-AE3AC485A0E5}">
      <dgm:prSet/>
      <dgm:spPr>
        <a:ln w="6350">
          <a:solidFill>
            <a:schemeClr val="tx1"/>
          </a:solidFill>
        </a:ln>
      </dgm:spPr>
      <dgm:t>
        <a:bodyPr/>
        <a:lstStyle/>
        <a:p>
          <a:pPr algn="ctr"/>
          <a:endParaRPr lang="fr-FR"/>
        </a:p>
      </dgm:t>
    </dgm:pt>
    <dgm:pt modelId="{1541EC8D-805F-4A79-98ED-ED18AAADAAA0}" type="sibTrans" cxnId="{DDDB2BC0-9B0C-4E00-831A-AE3AC485A0E5}">
      <dgm:prSet/>
      <dgm:spPr/>
      <dgm:t>
        <a:bodyPr/>
        <a:lstStyle/>
        <a:p>
          <a:pPr algn="ctr"/>
          <a:endParaRPr lang="fr-FR"/>
        </a:p>
      </dgm:t>
    </dgm:pt>
    <dgm:pt modelId="{D4286447-A44C-41DF-A9C3-F5B34EE3E56E}">
      <dgm:prSet custT="1">
        <dgm:style>
          <a:lnRef idx="2">
            <a:schemeClr val="dk1"/>
          </a:lnRef>
          <a:fillRef idx="1">
            <a:schemeClr val="lt1"/>
          </a:fillRef>
          <a:effectRef idx="0">
            <a:schemeClr val="dk1"/>
          </a:effectRef>
          <a:fontRef idx="minor">
            <a:schemeClr val="dk1"/>
          </a:fontRef>
        </dgm:style>
      </dgm:prSet>
      <dgm:spPr>
        <a:solidFill>
          <a:schemeClr val="bg1">
            <a:lumMod val="85000"/>
          </a:schemeClr>
        </a:solidFill>
        <a:ln w="6350"/>
      </dgm:spPr>
      <dgm:t>
        <a:bodyPr/>
        <a:lstStyle/>
        <a:p>
          <a:pPr algn="ctr" rtl="1"/>
          <a:r>
            <a:rPr lang="ar-DZ" sz="1200">
              <a:latin typeface="Simplified Arabic" panose="02020603050405020304" pitchFamily="18" charset="-78"/>
              <a:cs typeface="Simplified Arabic" panose="02020603050405020304" pitchFamily="18" charset="-78"/>
            </a:rPr>
            <a:t>معيار </a:t>
          </a:r>
          <a:r>
            <a:rPr lang="ar-DZ" sz="1200" b="0">
              <a:latin typeface="Simplified Arabic" panose="02020603050405020304" pitchFamily="18" charset="-78"/>
              <a:cs typeface="Simplified Arabic" panose="02020603050405020304" pitchFamily="18" charset="-78"/>
            </a:rPr>
            <a:t>التضامن/التموين</a:t>
          </a:r>
          <a:endParaRPr lang="fr-FR" sz="1200" b="0">
            <a:latin typeface="Simplified Arabic" panose="02020603050405020304" pitchFamily="18" charset="-78"/>
            <a:cs typeface="Simplified Arabic" panose="02020603050405020304" pitchFamily="18" charset="-78"/>
          </a:endParaRPr>
        </a:p>
      </dgm:t>
    </dgm:pt>
    <dgm:pt modelId="{915E27CA-438F-4211-9A77-2B061F2ABCF3}" type="parTrans" cxnId="{94704863-6C57-4F88-B834-5E138DEBF437}">
      <dgm:prSet>
        <dgm:style>
          <a:lnRef idx="1">
            <a:schemeClr val="dk1"/>
          </a:lnRef>
          <a:fillRef idx="0">
            <a:schemeClr val="dk1"/>
          </a:fillRef>
          <a:effectRef idx="0">
            <a:schemeClr val="dk1"/>
          </a:effectRef>
          <a:fontRef idx="minor">
            <a:schemeClr val="tx1"/>
          </a:fontRef>
        </dgm:style>
      </dgm:prSet>
      <dgm:spPr>
        <a:ln w="6350">
          <a:solidFill>
            <a:schemeClr val="tx1"/>
          </a:solidFill>
        </a:ln>
      </dgm:spPr>
      <dgm:t>
        <a:bodyPr/>
        <a:lstStyle/>
        <a:p>
          <a:pPr algn="ctr"/>
          <a:endParaRPr lang="fr-FR"/>
        </a:p>
      </dgm:t>
    </dgm:pt>
    <dgm:pt modelId="{A32A9221-DF35-4900-9056-D921413ED1A9}" type="sibTrans" cxnId="{94704863-6C57-4F88-B834-5E138DEBF437}">
      <dgm:prSet/>
      <dgm:spPr/>
      <dgm:t>
        <a:bodyPr/>
        <a:lstStyle/>
        <a:p>
          <a:pPr algn="ctr"/>
          <a:endParaRPr lang="fr-FR"/>
        </a:p>
      </dgm:t>
    </dgm:pt>
    <dgm:pt modelId="{C1669B25-677C-46AE-87BD-8289714A965D}">
      <dgm:prSet custT="1">
        <dgm:style>
          <a:lnRef idx="1">
            <a:schemeClr val="dk1"/>
          </a:lnRef>
          <a:fillRef idx="2">
            <a:schemeClr val="dk1"/>
          </a:fillRef>
          <a:effectRef idx="1">
            <a:schemeClr val="dk1"/>
          </a:effectRef>
          <a:fontRef idx="minor">
            <a:schemeClr val="dk1"/>
          </a:fontRef>
        </dgm:style>
      </dgm:prSet>
      <dgm:spPr>
        <a:noFill/>
        <a:ln/>
      </dgm:spPr>
      <dgm:t>
        <a:bodyPr/>
        <a:lstStyle/>
        <a:p>
          <a:r>
            <a:rPr lang="fr-FR" sz="600">
              <a:cs typeface="+mj-cs"/>
            </a:rPr>
            <a:t>C</a:t>
          </a:r>
          <a:r>
            <a:rPr lang="ar-DZ" sz="600">
              <a:cs typeface="+mj-cs"/>
            </a:rPr>
            <a:t>3-5</a:t>
          </a:r>
          <a:endParaRPr lang="fr-FR" sz="600">
            <a:cs typeface="+mj-cs"/>
          </a:endParaRPr>
        </a:p>
      </dgm:t>
    </dgm:pt>
    <dgm:pt modelId="{B0A4FE22-D5AC-468E-B1AF-7B4F95A87AFC}" type="parTrans" cxnId="{38654B0D-31E5-4E0C-9F7F-1DDB40E43D8F}">
      <dgm:prSet/>
      <dgm:spPr>
        <a:ln w="6350">
          <a:solidFill>
            <a:schemeClr val="tx1"/>
          </a:solidFill>
        </a:ln>
      </dgm:spPr>
      <dgm:t>
        <a:bodyPr/>
        <a:lstStyle/>
        <a:p>
          <a:pPr algn="ctr"/>
          <a:endParaRPr lang="fr-FR"/>
        </a:p>
      </dgm:t>
    </dgm:pt>
    <dgm:pt modelId="{F502DDD2-77AE-4824-ACBD-938A66390887}" type="sibTrans" cxnId="{38654B0D-31E5-4E0C-9F7F-1DDB40E43D8F}">
      <dgm:prSet/>
      <dgm:spPr/>
      <dgm:t>
        <a:bodyPr/>
        <a:lstStyle/>
        <a:p>
          <a:pPr algn="ctr"/>
          <a:endParaRPr lang="fr-FR"/>
        </a:p>
      </dgm:t>
    </dgm:pt>
    <dgm:pt modelId="{556C6F59-5095-4126-8076-8F5ABBA59279}">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2-5</a:t>
          </a:r>
          <a:endParaRPr lang="fr-FR" sz="600">
            <a:cs typeface="+mj-cs"/>
          </a:endParaRPr>
        </a:p>
      </dgm:t>
    </dgm:pt>
    <dgm:pt modelId="{DCA639F1-C104-4077-AD5F-7DA6CBFFED86}" type="parTrans" cxnId="{B83F6D0C-1264-4E47-9494-E190CE7B5BD0}">
      <dgm:prSet/>
      <dgm:spPr>
        <a:ln w="6350">
          <a:solidFill>
            <a:schemeClr val="tx1"/>
          </a:solidFill>
        </a:ln>
      </dgm:spPr>
      <dgm:t>
        <a:bodyPr/>
        <a:lstStyle/>
        <a:p>
          <a:pPr algn="ctr"/>
          <a:endParaRPr lang="fr-FR"/>
        </a:p>
      </dgm:t>
    </dgm:pt>
    <dgm:pt modelId="{D00D4A6D-CA5C-4765-A3C4-E5E72422FC61}" type="sibTrans" cxnId="{B83F6D0C-1264-4E47-9494-E190CE7B5BD0}">
      <dgm:prSet/>
      <dgm:spPr/>
      <dgm:t>
        <a:bodyPr/>
        <a:lstStyle/>
        <a:p>
          <a:pPr algn="ctr"/>
          <a:endParaRPr lang="fr-FR"/>
        </a:p>
      </dgm:t>
    </dgm:pt>
    <dgm:pt modelId="{C2DAA548-6D43-4B0A-8F69-08815C4E6479}">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1-5</a:t>
          </a:r>
          <a:endParaRPr lang="fr-FR" sz="600">
            <a:cs typeface="+mj-cs"/>
          </a:endParaRPr>
        </a:p>
      </dgm:t>
    </dgm:pt>
    <dgm:pt modelId="{D0CC79E8-0C2D-4067-8961-9F62A4C76BFF}" type="parTrans" cxnId="{D9358F54-A882-414C-BD8C-B8B521276EF5}">
      <dgm:prSet/>
      <dgm:spPr>
        <a:ln w="6350">
          <a:solidFill>
            <a:schemeClr val="tx1"/>
          </a:solidFill>
        </a:ln>
      </dgm:spPr>
      <dgm:t>
        <a:bodyPr/>
        <a:lstStyle/>
        <a:p>
          <a:pPr algn="ctr"/>
          <a:endParaRPr lang="fr-FR"/>
        </a:p>
      </dgm:t>
    </dgm:pt>
    <dgm:pt modelId="{4840C97F-C24F-4319-8A46-FBF62CB71F94}" type="sibTrans" cxnId="{D9358F54-A882-414C-BD8C-B8B521276EF5}">
      <dgm:prSet/>
      <dgm:spPr/>
      <dgm:t>
        <a:bodyPr/>
        <a:lstStyle/>
        <a:p>
          <a:pPr algn="ctr"/>
          <a:endParaRPr lang="fr-FR"/>
        </a:p>
      </dgm:t>
    </dgm:pt>
    <dgm:pt modelId="{F4A03F23-46C6-46BD-84D2-56F23FD05A1D}">
      <dgm:prSet custT="1">
        <dgm:style>
          <a:lnRef idx="2">
            <a:schemeClr val="dk1"/>
          </a:lnRef>
          <a:fillRef idx="1">
            <a:schemeClr val="lt1"/>
          </a:fillRef>
          <a:effectRef idx="0">
            <a:schemeClr val="dk1"/>
          </a:effectRef>
          <a:fontRef idx="minor">
            <a:schemeClr val="dk1"/>
          </a:fontRef>
        </dgm:style>
      </dgm:prSet>
      <dgm:spPr>
        <a:solidFill>
          <a:schemeClr val="bg1">
            <a:lumMod val="85000"/>
          </a:schemeClr>
        </a:solidFill>
        <a:ln w="6350"/>
      </dgm:spPr>
      <dgm:t>
        <a:bodyPr/>
        <a:lstStyle/>
        <a:p>
          <a:pPr algn="ctr" rtl="1"/>
          <a:r>
            <a:rPr lang="ar-DZ" sz="1200" b="0">
              <a:latin typeface="Simplified Arabic" panose="02020603050405020304" pitchFamily="18" charset="-78"/>
              <a:cs typeface="Simplified Arabic" panose="02020603050405020304" pitchFamily="18" charset="-78"/>
            </a:rPr>
            <a:t>معيار الانقاذ والاجلاء</a:t>
          </a:r>
          <a:endParaRPr lang="fr-FR" sz="1200" b="0">
            <a:latin typeface="Simplified Arabic" panose="02020603050405020304" pitchFamily="18" charset="-78"/>
            <a:cs typeface="Simplified Arabic" panose="02020603050405020304" pitchFamily="18" charset="-78"/>
          </a:endParaRPr>
        </a:p>
      </dgm:t>
    </dgm:pt>
    <dgm:pt modelId="{122F4DE4-BFE1-43A8-BF9D-A60EBB27E3FE}" type="parTrans" cxnId="{B979EB1E-E39B-43A2-ACAB-0300B722CB13}">
      <dgm:prSet>
        <dgm:style>
          <a:lnRef idx="1">
            <a:schemeClr val="dk1"/>
          </a:lnRef>
          <a:fillRef idx="0">
            <a:schemeClr val="dk1"/>
          </a:fillRef>
          <a:effectRef idx="0">
            <a:schemeClr val="dk1"/>
          </a:effectRef>
          <a:fontRef idx="minor">
            <a:schemeClr val="tx1"/>
          </a:fontRef>
        </dgm:style>
      </dgm:prSet>
      <dgm:spPr>
        <a:ln w="6350">
          <a:solidFill>
            <a:schemeClr val="tx1"/>
          </a:solidFill>
        </a:ln>
      </dgm:spPr>
      <dgm:t>
        <a:bodyPr/>
        <a:lstStyle/>
        <a:p>
          <a:pPr algn="ctr"/>
          <a:endParaRPr lang="fr-FR"/>
        </a:p>
      </dgm:t>
    </dgm:pt>
    <dgm:pt modelId="{171436D3-00CB-4766-AD76-912D2BA1CB9F}" type="sibTrans" cxnId="{B979EB1E-E39B-43A2-ACAB-0300B722CB13}">
      <dgm:prSet/>
      <dgm:spPr/>
      <dgm:t>
        <a:bodyPr/>
        <a:lstStyle/>
        <a:p>
          <a:pPr algn="ctr"/>
          <a:endParaRPr lang="fr-FR"/>
        </a:p>
      </dgm:t>
    </dgm:pt>
    <dgm:pt modelId="{4F2265FC-223F-40E4-B000-A83EE2484F6F}">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2</a:t>
          </a:r>
          <a:r>
            <a:rPr lang="fr-FR" sz="600">
              <a:cs typeface="+mj-cs"/>
            </a:rPr>
            <a:t>-</a:t>
          </a:r>
          <a:r>
            <a:rPr lang="ar-DZ" sz="600">
              <a:cs typeface="+mj-cs"/>
            </a:rPr>
            <a:t>3</a:t>
          </a:r>
          <a:endParaRPr lang="fr-FR" sz="600">
            <a:cs typeface="+mj-cs"/>
          </a:endParaRPr>
        </a:p>
      </dgm:t>
    </dgm:pt>
    <dgm:pt modelId="{94F5E534-151B-479A-8FB5-3357E3D180D4}" type="parTrans" cxnId="{AD2AB276-A5B8-4375-8F94-322115ADA915}">
      <dgm:prSet/>
      <dgm:spPr>
        <a:ln w="6350">
          <a:solidFill>
            <a:schemeClr val="tx1"/>
          </a:solidFill>
        </a:ln>
      </dgm:spPr>
      <dgm:t>
        <a:bodyPr/>
        <a:lstStyle/>
        <a:p>
          <a:pPr algn="ctr"/>
          <a:endParaRPr lang="fr-FR"/>
        </a:p>
      </dgm:t>
    </dgm:pt>
    <dgm:pt modelId="{DB617159-B389-4C02-B075-9DFAB816A419}" type="sibTrans" cxnId="{AD2AB276-A5B8-4375-8F94-322115ADA915}">
      <dgm:prSet/>
      <dgm:spPr/>
      <dgm:t>
        <a:bodyPr/>
        <a:lstStyle/>
        <a:p>
          <a:pPr algn="ctr"/>
          <a:endParaRPr lang="fr-FR"/>
        </a:p>
      </dgm:t>
    </dgm:pt>
    <dgm:pt modelId="{EE123195-50B8-4692-9790-276C9CBBE0E4}">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2</a:t>
          </a:r>
          <a:r>
            <a:rPr lang="fr-FR" sz="600">
              <a:cs typeface="+mj-cs"/>
            </a:rPr>
            <a:t>-</a:t>
          </a:r>
          <a:r>
            <a:rPr lang="ar-DZ" sz="600">
              <a:cs typeface="+mj-cs"/>
            </a:rPr>
            <a:t>2</a:t>
          </a:r>
          <a:endParaRPr lang="fr-FR" sz="600">
            <a:cs typeface="+mj-cs"/>
          </a:endParaRPr>
        </a:p>
      </dgm:t>
    </dgm:pt>
    <dgm:pt modelId="{9844C046-8936-4133-8DA4-21544AF9268E}" type="parTrans" cxnId="{A8EF5295-F3D5-4BB0-BF33-096DFD3A7B2D}">
      <dgm:prSet/>
      <dgm:spPr>
        <a:ln w="6350">
          <a:solidFill>
            <a:schemeClr val="tx1"/>
          </a:solidFill>
        </a:ln>
      </dgm:spPr>
      <dgm:t>
        <a:bodyPr/>
        <a:lstStyle/>
        <a:p>
          <a:pPr algn="ctr"/>
          <a:endParaRPr lang="fr-FR"/>
        </a:p>
      </dgm:t>
    </dgm:pt>
    <dgm:pt modelId="{075197F1-4F7A-45D3-BE83-AC4469B28F19}" type="sibTrans" cxnId="{A8EF5295-F3D5-4BB0-BF33-096DFD3A7B2D}">
      <dgm:prSet/>
      <dgm:spPr/>
      <dgm:t>
        <a:bodyPr/>
        <a:lstStyle/>
        <a:p>
          <a:pPr algn="ctr"/>
          <a:endParaRPr lang="fr-FR"/>
        </a:p>
      </dgm:t>
    </dgm:pt>
    <dgm:pt modelId="{3AB943AB-207D-4004-A891-70F1E4DF9B0F}">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2</a:t>
          </a:r>
          <a:r>
            <a:rPr lang="fr-FR" sz="600">
              <a:cs typeface="+mj-cs"/>
            </a:rPr>
            <a:t>-1</a:t>
          </a:r>
        </a:p>
      </dgm:t>
    </dgm:pt>
    <dgm:pt modelId="{9B60AE61-2FE4-46C9-9DAB-0386576F348A}" type="parTrans" cxnId="{5665874C-78A8-4C24-A1D2-C07E8BCB2004}">
      <dgm:prSet/>
      <dgm:spPr>
        <a:ln w="6350">
          <a:solidFill>
            <a:schemeClr val="tx1"/>
          </a:solidFill>
        </a:ln>
      </dgm:spPr>
      <dgm:t>
        <a:bodyPr/>
        <a:lstStyle/>
        <a:p>
          <a:pPr algn="ctr"/>
          <a:endParaRPr lang="fr-FR"/>
        </a:p>
      </dgm:t>
    </dgm:pt>
    <dgm:pt modelId="{BCA5AAB2-457E-4D4F-BABD-C75EA2025A76}" type="sibTrans" cxnId="{5665874C-78A8-4C24-A1D2-C07E8BCB2004}">
      <dgm:prSet/>
      <dgm:spPr/>
      <dgm:t>
        <a:bodyPr/>
        <a:lstStyle/>
        <a:p>
          <a:pPr algn="ctr"/>
          <a:endParaRPr lang="fr-FR"/>
        </a:p>
      </dgm:t>
    </dgm:pt>
    <dgm:pt modelId="{59725706-1EFC-489D-B03B-8E56120B661D}">
      <dgm:prSet custT="1">
        <dgm:style>
          <a:lnRef idx="2">
            <a:schemeClr val="dk1"/>
          </a:lnRef>
          <a:fillRef idx="1">
            <a:schemeClr val="lt1"/>
          </a:fillRef>
          <a:effectRef idx="0">
            <a:schemeClr val="dk1"/>
          </a:effectRef>
          <a:fontRef idx="minor">
            <a:schemeClr val="dk1"/>
          </a:fontRef>
        </dgm:style>
      </dgm:prSet>
      <dgm:spPr>
        <a:solidFill>
          <a:schemeClr val="bg1">
            <a:lumMod val="85000"/>
          </a:schemeClr>
        </a:solidFill>
        <a:ln w="6350"/>
      </dgm:spPr>
      <dgm:t>
        <a:bodyPr/>
        <a:lstStyle/>
        <a:p>
          <a:pPr algn="ctr" rtl="1"/>
          <a:r>
            <a:rPr lang="ar-DZ" sz="1200">
              <a:latin typeface="Simplified Arabic" panose="02020603050405020304" pitchFamily="18" charset="-78"/>
              <a:cs typeface="Simplified Arabic" panose="02020603050405020304" pitchFamily="18" charset="-78"/>
            </a:rPr>
            <a:t>معيار الامن</a:t>
          </a:r>
          <a:endParaRPr lang="fr-FR" sz="1200">
            <a:latin typeface="Simplified Arabic" panose="02020603050405020304" pitchFamily="18" charset="-78"/>
            <a:cs typeface="Simplified Arabic" panose="02020603050405020304" pitchFamily="18" charset="-78"/>
          </a:endParaRPr>
        </a:p>
      </dgm:t>
    </dgm:pt>
    <dgm:pt modelId="{AA9D826A-C9D1-4FEA-AC39-703D5E67A3B1}" type="parTrans" cxnId="{A1F096E5-C32D-426C-AFE5-64FCB30A6253}">
      <dgm:prSet>
        <dgm:style>
          <a:lnRef idx="1">
            <a:schemeClr val="dk1"/>
          </a:lnRef>
          <a:fillRef idx="0">
            <a:schemeClr val="dk1"/>
          </a:fillRef>
          <a:effectRef idx="0">
            <a:schemeClr val="dk1"/>
          </a:effectRef>
          <a:fontRef idx="minor">
            <a:schemeClr val="tx1"/>
          </a:fontRef>
        </dgm:style>
      </dgm:prSet>
      <dgm:spPr>
        <a:ln w="6350">
          <a:solidFill>
            <a:schemeClr val="tx1"/>
          </a:solidFill>
        </a:ln>
      </dgm:spPr>
      <dgm:t>
        <a:bodyPr/>
        <a:lstStyle/>
        <a:p>
          <a:pPr algn="ctr"/>
          <a:endParaRPr lang="fr-FR"/>
        </a:p>
      </dgm:t>
    </dgm:pt>
    <dgm:pt modelId="{004FB548-656B-42FE-97FA-87536147B825}" type="sibTrans" cxnId="{A1F096E5-C32D-426C-AFE5-64FCB30A6253}">
      <dgm:prSet/>
      <dgm:spPr/>
      <dgm:t>
        <a:bodyPr/>
        <a:lstStyle/>
        <a:p>
          <a:pPr algn="ctr"/>
          <a:endParaRPr lang="fr-FR"/>
        </a:p>
      </dgm:t>
    </dgm:pt>
    <dgm:pt modelId="{74BA9EEA-F6FC-4B6B-99B8-6D0A9EE2C1DA}">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C3-</a:t>
          </a:r>
          <a:r>
            <a:rPr lang="ar-DZ" sz="600">
              <a:cs typeface="+mj-cs"/>
            </a:rPr>
            <a:t>3</a:t>
          </a:r>
          <a:endParaRPr lang="fr-FR" sz="600">
            <a:cs typeface="+mj-cs"/>
          </a:endParaRPr>
        </a:p>
      </dgm:t>
    </dgm:pt>
    <dgm:pt modelId="{2CC58B4D-84DB-4E17-A197-D6C757694935}" type="parTrans" cxnId="{FD5B7134-A5FA-40C1-BB24-5E3DFDC222B1}">
      <dgm:prSet/>
      <dgm:spPr>
        <a:ln w="6350">
          <a:solidFill>
            <a:schemeClr val="tx1"/>
          </a:solidFill>
        </a:ln>
      </dgm:spPr>
      <dgm:t>
        <a:bodyPr/>
        <a:lstStyle/>
        <a:p>
          <a:pPr algn="ctr"/>
          <a:endParaRPr lang="fr-FR"/>
        </a:p>
      </dgm:t>
    </dgm:pt>
    <dgm:pt modelId="{0FF2F120-627E-49CB-84A6-FF2EB76E4C8C}" type="sibTrans" cxnId="{FD5B7134-A5FA-40C1-BB24-5E3DFDC222B1}">
      <dgm:prSet/>
      <dgm:spPr/>
      <dgm:t>
        <a:bodyPr/>
        <a:lstStyle/>
        <a:p>
          <a:pPr algn="ctr"/>
          <a:endParaRPr lang="fr-FR"/>
        </a:p>
      </dgm:t>
    </dgm:pt>
    <dgm:pt modelId="{6A2D0F49-8F80-4BEA-A929-13B17F423908}">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C3-</a:t>
          </a:r>
          <a:r>
            <a:rPr lang="ar-DZ" sz="600">
              <a:cs typeface="+mj-cs"/>
            </a:rPr>
            <a:t>2</a:t>
          </a:r>
          <a:endParaRPr lang="fr-FR" sz="600">
            <a:cs typeface="+mj-cs"/>
          </a:endParaRPr>
        </a:p>
      </dgm:t>
    </dgm:pt>
    <dgm:pt modelId="{6AB4C767-0D97-49CA-A553-4339C9EC5ECA}" type="parTrans" cxnId="{66691050-DD84-4EE3-8076-14B6219876E4}">
      <dgm:prSet/>
      <dgm:spPr>
        <a:ln w="6350">
          <a:solidFill>
            <a:schemeClr val="tx1"/>
          </a:solidFill>
        </a:ln>
      </dgm:spPr>
      <dgm:t>
        <a:bodyPr/>
        <a:lstStyle/>
        <a:p>
          <a:pPr algn="ctr"/>
          <a:endParaRPr lang="fr-FR"/>
        </a:p>
      </dgm:t>
    </dgm:pt>
    <dgm:pt modelId="{1FC8DD37-521D-4797-808A-B2036F170BAE}" type="sibTrans" cxnId="{66691050-DD84-4EE3-8076-14B6219876E4}">
      <dgm:prSet/>
      <dgm:spPr/>
      <dgm:t>
        <a:bodyPr/>
        <a:lstStyle/>
        <a:p>
          <a:pPr algn="ctr"/>
          <a:endParaRPr lang="fr-FR"/>
        </a:p>
      </dgm:t>
    </dgm:pt>
    <dgm:pt modelId="{13341D14-51F5-44DB-BF5D-84F360FD1546}">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latin typeface="Times New Roman" panose="02020603050405020304" pitchFamily="18" charset="0"/>
              <a:cs typeface="Times New Roman" panose="02020603050405020304" pitchFamily="18" charset="0"/>
            </a:rPr>
            <a:t>C3-1</a:t>
          </a:r>
        </a:p>
      </dgm:t>
    </dgm:pt>
    <dgm:pt modelId="{45F8E50A-AAC2-4A50-BEF0-1CC3C92F912E}" type="parTrans" cxnId="{DF862ABE-F58B-40A6-AB1C-8BF8B2B7C19F}">
      <dgm:prSet/>
      <dgm:spPr>
        <a:ln w="6350">
          <a:solidFill>
            <a:schemeClr val="tx1"/>
          </a:solidFill>
        </a:ln>
      </dgm:spPr>
      <dgm:t>
        <a:bodyPr/>
        <a:lstStyle/>
        <a:p>
          <a:pPr algn="ctr"/>
          <a:endParaRPr lang="fr-FR"/>
        </a:p>
      </dgm:t>
    </dgm:pt>
    <dgm:pt modelId="{AAD9F2EF-199E-46A9-9CF7-7FC67CA1B7FF}" type="sibTrans" cxnId="{DF862ABE-F58B-40A6-AB1C-8BF8B2B7C19F}">
      <dgm:prSet/>
      <dgm:spPr/>
      <dgm:t>
        <a:bodyPr/>
        <a:lstStyle/>
        <a:p>
          <a:pPr algn="ctr"/>
          <a:endParaRPr lang="fr-FR"/>
        </a:p>
      </dgm:t>
    </dgm:pt>
    <dgm:pt modelId="{1D98A882-E28A-450C-A6F6-53CEC3C10703}">
      <dgm:prSet custT="1">
        <dgm:style>
          <a:lnRef idx="2">
            <a:schemeClr val="dk1"/>
          </a:lnRef>
          <a:fillRef idx="1">
            <a:schemeClr val="lt1"/>
          </a:fillRef>
          <a:effectRef idx="0">
            <a:schemeClr val="dk1"/>
          </a:effectRef>
          <a:fontRef idx="minor">
            <a:schemeClr val="dk1"/>
          </a:fontRef>
        </dgm:style>
      </dgm:prSet>
      <dgm:spPr>
        <a:solidFill>
          <a:schemeClr val="bg1">
            <a:lumMod val="85000"/>
          </a:schemeClr>
        </a:solidFill>
        <a:ln w="6350"/>
      </dgm:spPr>
      <dgm:t>
        <a:bodyPr/>
        <a:lstStyle/>
        <a:p>
          <a:pPr algn="ctr" rtl="1"/>
          <a:r>
            <a:rPr lang="ar-DZ" sz="1200">
              <a:latin typeface="Simplified Arabic" panose="02020603050405020304" pitchFamily="18" charset="-78"/>
              <a:cs typeface="Simplified Arabic" panose="02020603050405020304" pitchFamily="18" charset="-78"/>
            </a:rPr>
            <a:t>معيار الايواء المؤقت</a:t>
          </a:r>
          <a:endParaRPr lang="fr-FR" sz="1200">
            <a:latin typeface="Simplified Arabic" panose="02020603050405020304" pitchFamily="18" charset="-78"/>
            <a:cs typeface="Simplified Arabic" panose="02020603050405020304" pitchFamily="18" charset="-78"/>
          </a:endParaRPr>
        </a:p>
      </dgm:t>
    </dgm:pt>
    <dgm:pt modelId="{F16B1941-6E44-44FC-90FD-D1C6A2841BCE}" type="parTrans" cxnId="{21FDA776-3105-40D0-B5D5-AF7DA31942D8}">
      <dgm:prSet>
        <dgm:style>
          <a:lnRef idx="1">
            <a:schemeClr val="dk1"/>
          </a:lnRef>
          <a:fillRef idx="0">
            <a:schemeClr val="dk1"/>
          </a:fillRef>
          <a:effectRef idx="0">
            <a:schemeClr val="dk1"/>
          </a:effectRef>
          <a:fontRef idx="minor">
            <a:schemeClr val="tx1"/>
          </a:fontRef>
        </dgm:style>
      </dgm:prSet>
      <dgm:spPr>
        <a:ln w="6350">
          <a:solidFill>
            <a:schemeClr val="tx1"/>
          </a:solidFill>
        </a:ln>
      </dgm:spPr>
      <dgm:t>
        <a:bodyPr/>
        <a:lstStyle/>
        <a:p>
          <a:pPr algn="ctr"/>
          <a:endParaRPr lang="fr-FR"/>
        </a:p>
      </dgm:t>
    </dgm:pt>
    <dgm:pt modelId="{C86F588F-1FC4-45CD-884C-C3D94545E389}" type="sibTrans" cxnId="{21FDA776-3105-40D0-B5D5-AF7DA31942D8}">
      <dgm:prSet/>
      <dgm:spPr/>
      <dgm:t>
        <a:bodyPr/>
        <a:lstStyle/>
        <a:p>
          <a:pPr algn="ctr"/>
          <a:endParaRPr lang="fr-FR"/>
        </a:p>
      </dgm:t>
    </dgm:pt>
    <dgm:pt modelId="{FE41D860-8BD8-4AFE-AB6F-24D8A442648D}">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3-4</a:t>
          </a:r>
          <a:endParaRPr lang="fr-FR" sz="600">
            <a:cs typeface="+mj-cs"/>
          </a:endParaRPr>
        </a:p>
      </dgm:t>
    </dgm:pt>
    <dgm:pt modelId="{60F83A4E-2ABD-493A-8CA9-73DD31BAA8A2}" type="parTrans" cxnId="{98826FC9-8D82-4AFF-B74E-5D6D0B05AE59}">
      <dgm:prSet/>
      <dgm:spPr>
        <a:ln w="6350">
          <a:solidFill>
            <a:schemeClr val="tx1"/>
          </a:solidFill>
        </a:ln>
      </dgm:spPr>
      <dgm:t>
        <a:bodyPr/>
        <a:lstStyle/>
        <a:p>
          <a:pPr algn="ctr"/>
          <a:endParaRPr lang="fr-FR"/>
        </a:p>
      </dgm:t>
    </dgm:pt>
    <dgm:pt modelId="{5BBFA3B0-6D7F-49B5-90AC-31EF49B9DAF2}" type="sibTrans" cxnId="{98826FC9-8D82-4AFF-B74E-5D6D0B05AE59}">
      <dgm:prSet/>
      <dgm:spPr/>
      <dgm:t>
        <a:bodyPr/>
        <a:lstStyle/>
        <a:p>
          <a:pPr algn="ctr"/>
          <a:endParaRPr lang="fr-FR"/>
        </a:p>
      </dgm:t>
    </dgm:pt>
    <dgm:pt modelId="{AFEC9BDE-C36F-40F2-9264-DE22A12B9370}">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2-4</a:t>
          </a:r>
          <a:endParaRPr lang="fr-FR" sz="600">
            <a:cs typeface="+mj-cs"/>
          </a:endParaRPr>
        </a:p>
      </dgm:t>
    </dgm:pt>
    <dgm:pt modelId="{52DEC677-7B0C-4F49-B40A-DE4C021238ED}" type="parTrans" cxnId="{2AE22B0C-DE41-43C0-B39E-6C92E783A53A}">
      <dgm:prSet/>
      <dgm:spPr>
        <a:ln w="6350">
          <a:solidFill>
            <a:schemeClr val="tx1"/>
          </a:solidFill>
        </a:ln>
      </dgm:spPr>
      <dgm:t>
        <a:bodyPr/>
        <a:lstStyle/>
        <a:p>
          <a:pPr algn="ctr"/>
          <a:endParaRPr lang="fr-FR"/>
        </a:p>
      </dgm:t>
    </dgm:pt>
    <dgm:pt modelId="{71314BD3-C5D7-46EF-8631-A38F0F1CB04B}" type="sibTrans" cxnId="{2AE22B0C-DE41-43C0-B39E-6C92E783A53A}">
      <dgm:prSet/>
      <dgm:spPr/>
      <dgm:t>
        <a:bodyPr/>
        <a:lstStyle/>
        <a:p>
          <a:pPr algn="ctr"/>
          <a:endParaRPr lang="fr-FR"/>
        </a:p>
      </dgm:t>
    </dgm:pt>
    <dgm:pt modelId="{F838E12C-794F-4456-8451-419C15B97B33}">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1-4</a:t>
          </a:r>
          <a:endParaRPr lang="fr-FR" sz="600">
            <a:cs typeface="+mj-cs"/>
          </a:endParaRPr>
        </a:p>
      </dgm:t>
    </dgm:pt>
    <dgm:pt modelId="{23EE0382-C838-40A6-9CD0-66E6D032F72A}" type="parTrans" cxnId="{461C31B9-D999-4A7B-853F-AA40843E402D}">
      <dgm:prSet/>
      <dgm:spPr>
        <a:ln w="6350">
          <a:solidFill>
            <a:schemeClr val="tx1"/>
          </a:solidFill>
        </a:ln>
      </dgm:spPr>
      <dgm:t>
        <a:bodyPr/>
        <a:lstStyle/>
        <a:p>
          <a:pPr algn="ctr"/>
          <a:endParaRPr lang="fr-FR"/>
        </a:p>
      </dgm:t>
    </dgm:pt>
    <dgm:pt modelId="{0CF60025-4B25-4CE9-A409-E42DD3A6854D}" type="sibTrans" cxnId="{461C31B9-D999-4A7B-853F-AA40843E402D}">
      <dgm:prSet/>
      <dgm:spPr/>
      <dgm:t>
        <a:bodyPr/>
        <a:lstStyle/>
        <a:p>
          <a:pPr algn="ctr"/>
          <a:endParaRPr lang="fr-FR"/>
        </a:p>
      </dgm:t>
    </dgm:pt>
    <dgm:pt modelId="{723A060D-5146-418E-B1A9-4434BD2CF348}">
      <dgm:prSet custT="1">
        <dgm:style>
          <a:lnRef idx="2">
            <a:schemeClr val="dk1"/>
          </a:lnRef>
          <a:fillRef idx="1">
            <a:schemeClr val="lt1"/>
          </a:fillRef>
          <a:effectRef idx="0">
            <a:schemeClr val="dk1"/>
          </a:effectRef>
          <a:fontRef idx="minor">
            <a:schemeClr val="dk1"/>
          </a:fontRef>
        </dgm:style>
      </dgm:prSet>
      <dgm:spPr>
        <a:solidFill>
          <a:schemeClr val="bg1">
            <a:lumMod val="85000"/>
          </a:schemeClr>
        </a:solidFill>
        <a:ln w="6350"/>
      </dgm:spPr>
      <dgm:t>
        <a:bodyPr/>
        <a:lstStyle/>
        <a:p>
          <a:pPr algn="ctr" rtl="1"/>
          <a:r>
            <a:rPr lang="ar-DZ" sz="1200" b="0">
              <a:latin typeface="Simplified Arabic" panose="02020603050405020304" pitchFamily="18" charset="-78"/>
              <a:cs typeface="Simplified Arabic" panose="02020603050405020304" pitchFamily="18" charset="-78"/>
            </a:rPr>
            <a:t>معيار عمق الطرق الشريانية</a:t>
          </a:r>
          <a:endParaRPr lang="fr-FR" sz="1200" b="0">
            <a:latin typeface="Simplified Arabic" panose="02020603050405020304" pitchFamily="18" charset="-78"/>
            <a:cs typeface="Simplified Arabic" panose="02020603050405020304" pitchFamily="18" charset="-78"/>
          </a:endParaRPr>
        </a:p>
      </dgm:t>
    </dgm:pt>
    <dgm:pt modelId="{EDBCFA3A-FEC4-4AE5-AD90-DBC35254D818}" type="parTrans" cxnId="{524954F0-DB58-42B6-9900-B1101B5F7B23}">
      <dgm:prSet/>
      <dgm:spPr>
        <a:ln w="6350">
          <a:solidFill>
            <a:schemeClr val="tx1"/>
          </a:solidFill>
        </a:ln>
      </dgm:spPr>
      <dgm:t>
        <a:bodyPr/>
        <a:lstStyle/>
        <a:p>
          <a:pPr algn="ctr"/>
          <a:endParaRPr lang="fr-FR"/>
        </a:p>
      </dgm:t>
    </dgm:pt>
    <dgm:pt modelId="{8E3DEDFD-B20A-4399-8FB9-0974D45642BA}" type="sibTrans" cxnId="{524954F0-DB58-42B6-9900-B1101B5F7B23}">
      <dgm:prSet/>
      <dgm:spPr/>
      <dgm:t>
        <a:bodyPr/>
        <a:lstStyle/>
        <a:p>
          <a:pPr algn="ctr"/>
          <a:endParaRPr lang="fr-FR"/>
        </a:p>
      </dgm:t>
    </dgm:pt>
    <dgm:pt modelId="{112A4C45-742B-42C6-8D25-E486F7B92DDD}">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3-7</a:t>
          </a:r>
          <a:endParaRPr lang="fr-FR" sz="600">
            <a:cs typeface="+mj-cs"/>
          </a:endParaRPr>
        </a:p>
      </dgm:t>
    </dgm:pt>
    <dgm:pt modelId="{30DF077B-3E7C-4E1A-A108-3F1C62D89B54}" type="parTrans" cxnId="{ABBBB721-0A26-4304-9A80-A6E14FCC3280}">
      <dgm:prSet/>
      <dgm:spPr>
        <a:ln w="6350">
          <a:solidFill>
            <a:schemeClr val="tx1"/>
          </a:solidFill>
        </a:ln>
      </dgm:spPr>
      <dgm:t>
        <a:bodyPr/>
        <a:lstStyle/>
        <a:p>
          <a:pPr algn="ctr"/>
          <a:endParaRPr lang="fr-FR"/>
        </a:p>
      </dgm:t>
    </dgm:pt>
    <dgm:pt modelId="{AEC4F44F-404C-45AA-BABE-716C17ED747F}" type="sibTrans" cxnId="{ABBBB721-0A26-4304-9A80-A6E14FCC3280}">
      <dgm:prSet/>
      <dgm:spPr/>
      <dgm:t>
        <a:bodyPr/>
        <a:lstStyle/>
        <a:p>
          <a:pPr algn="ctr"/>
          <a:endParaRPr lang="fr-FR"/>
        </a:p>
      </dgm:t>
    </dgm:pt>
    <dgm:pt modelId="{62D663FC-F4CE-46C5-A00A-197B3ECDCEE3}">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2-7</a:t>
          </a:r>
          <a:endParaRPr lang="fr-FR" sz="600">
            <a:cs typeface="+mj-cs"/>
          </a:endParaRPr>
        </a:p>
      </dgm:t>
    </dgm:pt>
    <dgm:pt modelId="{64196B8A-BCD3-45CF-8AE4-9EE92021308E}" type="parTrans" cxnId="{31B14DD3-7C36-4DA7-BD58-7957D7807A25}">
      <dgm:prSet/>
      <dgm:spPr>
        <a:ln w="6350">
          <a:solidFill>
            <a:schemeClr val="tx1"/>
          </a:solidFill>
        </a:ln>
      </dgm:spPr>
      <dgm:t>
        <a:bodyPr/>
        <a:lstStyle/>
        <a:p>
          <a:pPr algn="ctr"/>
          <a:endParaRPr lang="fr-FR"/>
        </a:p>
      </dgm:t>
    </dgm:pt>
    <dgm:pt modelId="{4009E590-B028-4EC9-9B25-5DEB7F70CDEB}" type="sibTrans" cxnId="{31B14DD3-7C36-4DA7-BD58-7957D7807A25}">
      <dgm:prSet/>
      <dgm:spPr/>
      <dgm:t>
        <a:bodyPr/>
        <a:lstStyle/>
        <a:p>
          <a:pPr algn="ctr"/>
          <a:endParaRPr lang="fr-FR"/>
        </a:p>
      </dgm:t>
    </dgm:pt>
    <dgm:pt modelId="{3577A26E-F6BE-4771-81FE-CE418670BC1B}">
      <dgm:prSet custT="1">
        <dgm:style>
          <a:lnRef idx="1">
            <a:schemeClr val="dk1"/>
          </a:lnRef>
          <a:fillRef idx="2">
            <a:schemeClr val="dk1"/>
          </a:fillRef>
          <a:effectRef idx="1">
            <a:schemeClr val="dk1"/>
          </a:effectRef>
          <a:fontRef idx="minor">
            <a:schemeClr val="dk1"/>
          </a:fontRef>
        </dgm:style>
      </dgm:prSet>
      <dgm:spPr>
        <a:noFill/>
        <a:ln/>
      </dgm:spPr>
      <dgm:t>
        <a:bodyPr/>
        <a:lstStyle/>
        <a:p>
          <a:pPr algn="ctr"/>
          <a:r>
            <a:rPr lang="fr-FR" sz="600">
              <a:cs typeface="+mj-cs"/>
            </a:rPr>
            <a:t>C</a:t>
          </a:r>
          <a:r>
            <a:rPr lang="ar-DZ" sz="600">
              <a:cs typeface="+mj-cs"/>
            </a:rPr>
            <a:t>1-7</a:t>
          </a:r>
          <a:endParaRPr lang="fr-FR" sz="600">
            <a:cs typeface="+mj-cs"/>
          </a:endParaRPr>
        </a:p>
      </dgm:t>
    </dgm:pt>
    <dgm:pt modelId="{16C8FBA7-F0B6-49B7-B71F-B5334D1956B9}" type="parTrans" cxnId="{6C9FEFA9-D25C-4E5B-AAB9-9752278304A5}">
      <dgm:prSet/>
      <dgm:spPr>
        <a:ln w="6350">
          <a:solidFill>
            <a:schemeClr val="tx1"/>
          </a:solidFill>
        </a:ln>
      </dgm:spPr>
      <dgm:t>
        <a:bodyPr/>
        <a:lstStyle/>
        <a:p>
          <a:pPr algn="ctr"/>
          <a:endParaRPr lang="fr-FR"/>
        </a:p>
      </dgm:t>
    </dgm:pt>
    <dgm:pt modelId="{1549F582-07BF-4B62-8D2E-6FB7370B26C4}" type="sibTrans" cxnId="{6C9FEFA9-D25C-4E5B-AAB9-9752278304A5}">
      <dgm:prSet/>
      <dgm:spPr/>
      <dgm:t>
        <a:bodyPr/>
        <a:lstStyle/>
        <a:p>
          <a:pPr algn="ctr"/>
          <a:endParaRPr lang="fr-FR"/>
        </a:p>
      </dgm:t>
    </dgm:pt>
    <dgm:pt modelId="{886B8333-BFF3-4DE7-83B1-37F295B09F93}" type="pres">
      <dgm:prSet presAssocID="{2A673452-15A1-447D-82D7-4079AF0D5563}" presName="mainComposite" presStyleCnt="0">
        <dgm:presLayoutVars>
          <dgm:chPref val="1"/>
          <dgm:dir val="rev"/>
          <dgm:animOne val="branch"/>
          <dgm:animLvl val="lvl"/>
          <dgm:resizeHandles val="exact"/>
        </dgm:presLayoutVars>
      </dgm:prSet>
      <dgm:spPr/>
      <dgm:t>
        <a:bodyPr/>
        <a:lstStyle/>
        <a:p>
          <a:endParaRPr lang="fr-FR"/>
        </a:p>
      </dgm:t>
    </dgm:pt>
    <dgm:pt modelId="{B04D05EA-7CC1-43CE-ABE6-247CAFE6E359}" type="pres">
      <dgm:prSet presAssocID="{2A673452-15A1-447D-82D7-4079AF0D5563}" presName="hierFlow" presStyleCnt="0"/>
      <dgm:spPr/>
    </dgm:pt>
    <dgm:pt modelId="{6432A491-75F9-4DBE-821C-494B253FAFD6}" type="pres">
      <dgm:prSet presAssocID="{2A673452-15A1-447D-82D7-4079AF0D5563}" presName="hierChild1" presStyleCnt="0">
        <dgm:presLayoutVars>
          <dgm:chPref val="1"/>
          <dgm:animOne val="branch"/>
          <dgm:animLvl val="lvl"/>
        </dgm:presLayoutVars>
      </dgm:prSet>
      <dgm:spPr/>
    </dgm:pt>
    <dgm:pt modelId="{A7842817-0FED-4034-AFD3-F6CE1994AE35}" type="pres">
      <dgm:prSet presAssocID="{E3D8B292-05F5-44FB-918D-296AC0F73CFC}" presName="Name14" presStyleCnt="0"/>
      <dgm:spPr/>
    </dgm:pt>
    <dgm:pt modelId="{7C848DF1-9AE2-4E25-B983-0926523D6D91}" type="pres">
      <dgm:prSet presAssocID="{E3D8B292-05F5-44FB-918D-296AC0F73CFC}" presName="level1Shape" presStyleLbl="node0" presStyleIdx="0" presStyleCnt="1" custScaleX="711675" custScaleY="390013" custLinFactY="-95789" custLinFactNeighborX="11098" custLinFactNeighborY="-100000">
        <dgm:presLayoutVars>
          <dgm:chPref val="3"/>
        </dgm:presLayoutVars>
      </dgm:prSet>
      <dgm:spPr/>
      <dgm:t>
        <a:bodyPr/>
        <a:lstStyle/>
        <a:p>
          <a:endParaRPr lang="fr-FR"/>
        </a:p>
      </dgm:t>
    </dgm:pt>
    <dgm:pt modelId="{13292FA9-9D26-4A00-B701-7BE187C5A252}" type="pres">
      <dgm:prSet presAssocID="{E3D8B292-05F5-44FB-918D-296AC0F73CFC}" presName="hierChild2" presStyleCnt="0"/>
      <dgm:spPr/>
    </dgm:pt>
    <dgm:pt modelId="{C99CCCA8-C584-4006-919F-2775C0FDB68F}" type="pres">
      <dgm:prSet presAssocID="{417FF3CF-B1CD-4EE3-B0D0-65CC097E3EA7}" presName="Name19" presStyleLbl="parChTrans1D2" presStyleIdx="0" presStyleCnt="7"/>
      <dgm:spPr/>
      <dgm:t>
        <a:bodyPr/>
        <a:lstStyle/>
        <a:p>
          <a:endParaRPr lang="fr-FR"/>
        </a:p>
      </dgm:t>
    </dgm:pt>
    <dgm:pt modelId="{378D3DC6-ABA0-4BBD-A39E-A6FC116CBEA0}" type="pres">
      <dgm:prSet presAssocID="{45D89239-DA44-4796-BE49-4CBBC39759AB}" presName="Name21" presStyleCnt="0"/>
      <dgm:spPr/>
    </dgm:pt>
    <dgm:pt modelId="{92A8F34B-BB05-43A7-8F80-3DB47EAF20A8}" type="pres">
      <dgm:prSet presAssocID="{45D89239-DA44-4796-BE49-4CBBC39759AB}" presName="level2Shape" presStyleLbl="node2" presStyleIdx="0" presStyleCnt="7" custScaleX="223190" custScaleY="519999" custLinFactNeighborX="-11140" custLinFactNeighborY="-5025"/>
      <dgm:spPr/>
      <dgm:t>
        <a:bodyPr/>
        <a:lstStyle/>
        <a:p>
          <a:endParaRPr lang="fr-FR"/>
        </a:p>
      </dgm:t>
    </dgm:pt>
    <dgm:pt modelId="{941256C9-EE06-455D-A784-E7B162830CC5}" type="pres">
      <dgm:prSet presAssocID="{45D89239-DA44-4796-BE49-4CBBC39759AB}" presName="hierChild3" presStyleCnt="0"/>
      <dgm:spPr/>
    </dgm:pt>
    <dgm:pt modelId="{5A0D8665-A3F8-484E-B9B0-9D56D4AA3E0E}" type="pres">
      <dgm:prSet presAssocID="{EFB35893-29B3-4D9B-8252-68FE62913170}" presName="Name19" presStyleLbl="parChTrans1D3" presStyleIdx="0" presStyleCnt="21"/>
      <dgm:spPr/>
      <dgm:t>
        <a:bodyPr/>
        <a:lstStyle/>
        <a:p>
          <a:endParaRPr lang="fr-FR"/>
        </a:p>
      </dgm:t>
    </dgm:pt>
    <dgm:pt modelId="{59515ADB-61E0-45A4-8BDC-328082B51760}" type="pres">
      <dgm:prSet presAssocID="{2CA45E24-A033-4A6E-BF6C-E45BD9074CA3}" presName="Name21" presStyleCnt="0"/>
      <dgm:spPr/>
    </dgm:pt>
    <dgm:pt modelId="{19BD9073-A2BD-4E71-B8C6-BBF5A340A9D8}" type="pres">
      <dgm:prSet presAssocID="{2CA45E24-A033-4A6E-BF6C-E45BD9074CA3}" presName="level2Shape" presStyleLbl="node3" presStyleIdx="0" presStyleCnt="21" custScaleX="110000" custLinFactNeighborX="-15952" custLinFactNeighborY="71882"/>
      <dgm:spPr/>
      <dgm:t>
        <a:bodyPr/>
        <a:lstStyle/>
        <a:p>
          <a:endParaRPr lang="fr-FR"/>
        </a:p>
      </dgm:t>
    </dgm:pt>
    <dgm:pt modelId="{BB54494B-39FB-436F-B8EC-E985A7ACE909}" type="pres">
      <dgm:prSet presAssocID="{2CA45E24-A033-4A6E-BF6C-E45BD9074CA3}" presName="hierChild3" presStyleCnt="0"/>
      <dgm:spPr/>
    </dgm:pt>
    <dgm:pt modelId="{39B2F692-1BE4-479B-939E-B7C6D6EE6A46}" type="pres">
      <dgm:prSet presAssocID="{769F9052-2F52-42A5-8169-A55101622A32}" presName="Name19" presStyleLbl="parChTrans1D3" presStyleIdx="1" presStyleCnt="21"/>
      <dgm:spPr/>
      <dgm:t>
        <a:bodyPr/>
        <a:lstStyle/>
        <a:p>
          <a:endParaRPr lang="fr-FR"/>
        </a:p>
      </dgm:t>
    </dgm:pt>
    <dgm:pt modelId="{8A28AC76-F1D3-4F1A-B06E-7CF1ACC81072}" type="pres">
      <dgm:prSet presAssocID="{4C277AA1-F7E5-48CD-AB6C-86069F0CC59D}" presName="Name21" presStyleCnt="0"/>
      <dgm:spPr/>
    </dgm:pt>
    <dgm:pt modelId="{AB57768D-E3ED-4AA4-84BE-DFEC6663B236}" type="pres">
      <dgm:prSet presAssocID="{4C277AA1-F7E5-48CD-AB6C-86069F0CC59D}" presName="level2Shape" presStyleLbl="node3" presStyleIdx="1" presStyleCnt="21" custScaleX="110000" custLinFactNeighborX="-11140" custLinFactNeighborY="70790"/>
      <dgm:spPr/>
      <dgm:t>
        <a:bodyPr/>
        <a:lstStyle/>
        <a:p>
          <a:endParaRPr lang="fr-FR"/>
        </a:p>
      </dgm:t>
    </dgm:pt>
    <dgm:pt modelId="{3A7A3E11-4884-456C-8264-3C1E7798BCF8}" type="pres">
      <dgm:prSet presAssocID="{4C277AA1-F7E5-48CD-AB6C-86069F0CC59D}" presName="hierChild3" presStyleCnt="0"/>
      <dgm:spPr/>
    </dgm:pt>
    <dgm:pt modelId="{2F27D46E-835F-48A2-93AB-9AE3E4DC1344}" type="pres">
      <dgm:prSet presAssocID="{C4D01BD0-A280-4136-B3B3-5DFAA5A9C074}" presName="Name19" presStyleLbl="parChTrans1D3" presStyleIdx="2" presStyleCnt="21"/>
      <dgm:spPr/>
      <dgm:t>
        <a:bodyPr/>
        <a:lstStyle/>
        <a:p>
          <a:endParaRPr lang="fr-FR"/>
        </a:p>
      </dgm:t>
    </dgm:pt>
    <dgm:pt modelId="{0F23B2E7-C910-4338-A1F4-0E787C0F187B}" type="pres">
      <dgm:prSet presAssocID="{F510AE10-B295-4244-97E0-2F6C366B0BD5}" presName="Name21" presStyleCnt="0"/>
      <dgm:spPr/>
    </dgm:pt>
    <dgm:pt modelId="{87096355-B31D-4DFF-A8D0-ED4E0A8AD722}" type="pres">
      <dgm:prSet presAssocID="{F510AE10-B295-4244-97E0-2F6C366B0BD5}" presName="level2Shape" presStyleLbl="node3" presStyleIdx="2" presStyleCnt="21" custScaleX="110000" custLinFactNeighborX="-6328" custLinFactNeighborY="69424"/>
      <dgm:spPr/>
      <dgm:t>
        <a:bodyPr/>
        <a:lstStyle/>
        <a:p>
          <a:endParaRPr lang="fr-FR"/>
        </a:p>
      </dgm:t>
    </dgm:pt>
    <dgm:pt modelId="{A869BE01-8650-48FA-9B60-6A645147AAF2}" type="pres">
      <dgm:prSet presAssocID="{F510AE10-B295-4244-97E0-2F6C366B0BD5}" presName="hierChild3" presStyleCnt="0"/>
      <dgm:spPr/>
    </dgm:pt>
    <dgm:pt modelId="{4A6F9F5B-CE5D-43B3-A3BC-B7218AAD487D}" type="pres">
      <dgm:prSet presAssocID="{AA9D826A-C9D1-4FEA-AC39-703D5E67A3B1}" presName="Name19" presStyleLbl="parChTrans1D2" presStyleIdx="1" presStyleCnt="7"/>
      <dgm:spPr/>
      <dgm:t>
        <a:bodyPr/>
        <a:lstStyle/>
        <a:p>
          <a:endParaRPr lang="fr-FR"/>
        </a:p>
      </dgm:t>
    </dgm:pt>
    <dgm:pt modelId="{90A0F853-E8D0-41C9-93BC-E98CC9131B29}" type="pres">
      <dgm:prSet presAssocID="{59725706-1EFC-489D-B03B-8E56120B661D}" presName="Name21" presStyleCnt="0"/>
      <dgm:spPr/>
    </dgm:pt>
    <dgm:pt modelId="{04D4A528-209F-4D0D-98A9-6C96FB79625E}" type="pres">
      <dgm:prSet presAssocID="{59725706-1EFC-489D-B03B-8E56120B661D}" presName="level2Shape" presStyleLbl="node2" presStyleIdx="1" presStyleCnt="7" custScaleX="238723" custScaleY="521410" custLinFactNeighborX="4812"/>
      <dgm:spPr/>
      <dgm:t>
        <a:bodyPr/>
        <a:lstStyle/>
        <a:p>
          <a:endParaRPr lang="fr-FR"/>
        </a:p>
      </dgm:t>
    </dgm:pt>
    <dgm:pt modelId="{7634497E-5CEA-427F-9845-1E5EB844B28C}" type="pres">
      <dgm:prSet presAssocID="{59725706-1EFC-489D-B03B-8E56120B661D}" presName="hierChild3" presStyleCnt="0"/>
      <dgm:spPr/>
    </dgm:pt>
    <dgm:pt modelId="{A4D1A9F2-54BC-4196-B338-5A649C7A4981}" type="pres">
      <dgm:prSet presAssocID="{2CC58B4D-84DB-4E17-A197-D6C757694935}" presName="Name19" presStyleLbl="parChTrans1D3" presStyleIdx="3" presStyleCnt="21"/>
      <dgm:spPr/>
      <dgm:t>
        <a:bodyPr/>
        <a:lstStyle/>
        <a:p>
          <a:endParaRPr lang="fr-FR"/>
        </a:p>
      </dgm:t>
    </dgm:pt>
    <dgm:pt modelId="{0B520D5B-C963-4AA2-B3AB-EBC4D39B0040}" type="pres">
      <dgm:prSet presAssocID="{74BA9EEA-F6FC-4B6B-99B8-6D0A9EE2C1DA}" presName="Name21" presStyleCnt="0"/>
      <dgm:spPr/>
    </dgm:pt>
    <dgm:pt modelId="{5A18A269-FE1D-48CE-8206-0F2E5A1B2745}" type="pres">
      <dgm:prSet presAssocID="{74BA9EEA-F6FC-4B6B-99B8-6D0A9EE2C1DA}" presName="level2Shape" presStyleLbl="node3" presStyleIdx="3" presStyleCnt="21" custLinFactNeighborY="71882"/>
      <dgm:spPr/>
      <dgm:t>
        <a:bodyPr/>
        <a:lstStyle/>
        <a:p>
          <a:endParaRPr lang="fr-FR"/>
        </a:p>
      </dgm:t>
    </dgm:pt>
    <dgm:pt modelId="{77745A49-8911-4317-A0B8-FA5FF31E68AD}" type="pres">
      <dgm:prSet presAssocID="{74BA9EEA-F6FC-4B6B-99B8-6D0A9EE2C1DA}" presName="hierChild3" presStyleCnt="0"/>
      <dgm:spPr/>
    </dgm:pt>
    <dgm:pt modelId="{0E40FF05-B58D-4F6E-B305-E0C652CEA1A5}" type="pres">
      <dgm:prSet presAssocID="{6AB4C767-0D97-49CA-A553-4339C9EC5ECA}" presName="Name19" presStyleLbl="parChTrans1D3" presStyleIdx="4" presStyleCnt="21"/>
      <dgm:spPr/>
      <dgm:t>
        <a:bodyPr/>
        <a:lstStyle/>
        <a:p>
          <a:endParaRPr lang="fr-FR"/>
        </a:p>
      </dgm:t>
    </dgm:pt>
    <dgm:pt modelId="{81034347-E376-4887-9BAA-24ABAD69529E}" type="pres">
      <dgm:prSet presAssocID="{6A2D0F49-8F80-4BEA-A929-13B17F423908}" presName="Name21" presStyleCnt="0"/>
      <dgm:spPr/>
    </dgm:pt>
    <dgm:pt modelId="{F2CBB407-A3F8-4CEB-9134-F2C504217C5A}" type="pres">
      <dgm:prSet presAssocID="{6A2D0F49-8F80-4BEA-A929-13B17F423908}" presName="level2Shape" presStyleLbl="node3" presStyleIdx="4" presStyleCnt="21" custLinFactNeighborX="4812" custLinFactNeighborY="70790"/>
      <dgm:spPr/>
      <dgm:t>
        <a:bodyPr/>
        <a:lstStyle/>
        <a:p>
          <a:endParaRPr lang="fr-FR"/>
        </a:p>
      </dgm:t>
    </dgm:pt>
    <dgm:pt modelId="{F91F717E-9CCB-4D34-9E6E-2F11B5548710}" type="pres">
      <dgm:prSet presAssocID="{6A2D0F49-8F80-4BEA-A929-13B17F423908}" presName="hierChild3" presStyleCnt="0"/>
      <dgm:spPr/>
    </dgm:pt>
    <dgm:pt modelId="{02581574-90F2-452E-81F9-EC3754B5AD64}" type="pres">
      <dgm:prSet presAssocID="{45F8E50A-AAC2-4A50-BEF0-1CC3C92F912E}" presName="Name19" presStyleLbl="parChTrans1D3" presStyleIdx="5" presStyleCnt="21"/>
      <dgm:spPr/>
      <dgm:t>
        <a:bodyPr/>
        <a:lstStyle/>
        <a:p>
          <a:endParaRPr lang="fr-FR"/>
        </a:p>
      </dgm:t>
    </dgm:pt>
    <dgm:pt modelId="{6D83D5E9-DFB5-4857-AD9A-A7ADB3B1D601}" type="pres">
      <dgm:prSet presAssocID="{13341D14-51F5-44DB-BF5D-84F360FD1546}" presName="Name21" presStyleCnt="0"/>
      <dgm:spPr/>
    </dgm:pt>
    <dgm:pt modelId="{96E87FC5-3E0D-49E0-B529-F3F17E852B44}" type="pres">
      <dgm:prSet presAssocID="{13341D14-51F5-44DB-BF5D-84F360FD1546}" presName="level2Shape" presStyleLbl="node3" presStyleIdx="5" presStyleCnt="21" custScaleX="110000" custLinFactNeighborX="9624" custLinFactNeighborY="69424"/>
      <dgm:spPr/>
      <dgm:t>
        <a:bodyPr/>
        <a:lstStyle/>
        <a:p>
          <a:endParaRPr lang="fr-FR"/>
        </a:p>
      </dgm:t>
    </dgm:pt>
    <dgm:pt modelId="{E3473ED5-833B-4265-835B-11FB1B4E91DF}" type="pres">
      <dgm:prSet presAssocID="{13341D14-51F5-44DB-BF5D-84F360FD1546}" presName="hierChild3" presStyleCnt="0"/>
      <dgm:spPr/>
    </dgm:pt>
    <dgm:pt modelId="{EC4A3106-5D13-4E7F-96C7-EF769D390CF7}" type="pres">
      <dgm:prSet presAssocID="{122F4DE4-BFE1-43A8-BF9D-A60EBB27E3FE}" presName="Name19" presStyleLbl="parChTrans1D2" presStyleIdx="2" presStyleCnt="7"/>
      <dgm:spPr/>
      <dgm:t>
        <a:bodyPr/>
        <a:lstStyle/>
        <a:p>
          <a:endParaRPr lang="fr-FR"/>
        </a:p>
      </dgm:t>
    </dgm:pt>
    <dgm:pt modelId="{A7A58105-546E-4B16-A487-8B67209A4724}" type="pres">
      <dgm:prSet presAssocID="{F4A03F23-46C6-46BD-84D2-56F23FD05A1D}" presName="Name21" presStyleCnt="0"/>
      <dgm:spPr/>
    </dgm:pt>
    <dgm:pt modelId="{F8A34F09-861C-4E92-BFFB-BEA04E1811B4}" type="pres">
      <dgm:prSet presAssocID="{F4A03F23-46C6-46BD-84D2-56F23FD05A1D}" presName="level2Shape" presStyleLbl="node2" presStyleIdx="2" presStyleCnt="7" custScaleX="263112" custScaleY="514823" custLinFactNeighborX="4812" custLinFactNeighborY="-5025"/>
      <dgm:spPr/>
      <dgm:t>
        <a:bodyPr/>
        <a:lstStyle/>
        <a:p>
          <a:endParaRPr lang="fr-FR"/>
        </a:p>
      </dgm:t>
    </dgm:pt>
    <dgm:pt modelId="{146F51BF-B515-4E97-AB0D-DFE6A07CBAEB}" type="pres">
      <dgm:prSet presAssocID="{F4A03F23-46C6-46BD-84D2-56F23FD05A1D}" presName="hierChild3" presStyleCnt="0"/>
      <dgm:spPr/>
    </dgm:pt>
    <dgm:pt modelId="{B0CFFC2D-4791-4ABA-AE8B-A028B670C2F3}" type="pres">
      <dgm:prSet presAssocID="{94F5E534-151B-479A-8FB5-3357E3D180D4}" presName="Name19" presStyleLbl="parChTrans1D3" presStyleIdx="6" presStyleCnt="21"/>
      <dgm:spPr/>
      <dgm:t>
        <a:bodyPr/>
        <a:lstStyle/>
        <a:p>
          <a:endParaRPr lang="fr-FR"/>
        </a:p>
      </dgm:t>
    </dgm:pt>
    <dgm:pt modelId="{8AAAA36F-2C2D-4AE3-9BBC-480AB1045133}" type="pres">
      <dgm:prSet presAssocID="{4F2265FC-223F-40E4-B000-A83EE2484F6F}" presName="Name21" presStyleCnt="0"/>
      <dgm:spPr/>
    </dgm:pt>
    <dgm:pt modelId="{76A9C44A-66AB-452E-AC92-725CAA7AC918}" type="pres">
      <dgm:prSet presAssocID="{4F2265FC-223F-40E4-B000-A83EE2484F6F}" presName="level2Shape" presStyleLbl="node3" presStyleIdx="6" presStyleCnt="21" custLinFactNeighborY="85278"/>
      <dgm:spPr/>
      <dgm:t>
        <a:bodyPr/>
        <a:lstStyle/>
        <a:p>
          <a:endParaRPr lang="fr-FR"/>
        </a:p>
      </dgm:t>
    </dgm:pt>
    <dgm:pt modelId="{45BEC31A-BF38-4E91-8A04-45EEB59C2F3E}" type="pres">
      <dgm:prSet presAssocID="{4F2265FC-223F-40E4-B000-A83EE2484F6F}" presName="hierChild3" presStyleCnt="0"/>
      <dgm:spPr/>
    </dgm:pt>
    <dgm:pt modelId="{570AF86A-72B4-4AF0-81E7-F522806F6918}" type="pres">
      <dgm:prSet presAssocID="{9844C046-8936-4133-8DA4-21544AF9268E}" presName="Name19" presStyleLbl="parChTrans1D3" presStyleIdx="7" presStyleCnt="21"/>
      <dgm:spPr/>
      <dgm:t>
        <a:bodyPr/>
        <a:lstStyle/>
        <a:p>
          <a:endParaRPr lang="fr-FR"/>
        </a:p>
      </dgm:t>
    </dgm:pt>
    <dgm:pt modelId="{7A1D5632-85ED-45DF-89EB-C0B3CE453CE8}" type="pres">
      <dgm:prSet presAssocID="{EE123195-50B8-4692-9790-276C9CBBE0E4}" presName="Name21" presStyleCnt="0"/>
      <dgm:spPr/>
    </dgm:pt>
    <dgm:pt modelId="{2A864C87-7DDD-4EDE-AABB-A88442248A86}" type="pres">
      <dgm:prSet presAssocID="{EE123195-50B8-4692-9790-276C9CBBE0E4}" presName="level2Shape" presStyleLbl="node3" presStyleIdx="7" presStyleCnt="21" custLinFactNeighborX="4812" custLinFactNeighborY="84186"/>
      <dgm:spPr/>
      <dgm:t>
        <a:bodyPr/>
        <a:lstStyle/>
        <a:p>
          <a:endParaRPr lang="fr-FR"/>
        </a:p>
      </dgm:t>
    </dgm:pt>
    <dgm:pt modelId="{97D4664B-6C97-4E3A-ACC7-BC3748528D4E}" type="pres">
      <dgm:prSet presAssocID="{EE123195-50B8-4692-9790-276C9CBBE0E4}" presName="hierChild3" presStyleCnt="0"/>
      <dgm:spPr/>
    </dgm:pt>
    <dgm:pt modelId="{8F134DE1-9443-4A76-A2F5-20496A3C8610}" type="pres">
      <dgm:prSet presAssocID="{9B60AE61-2FE4-46C9-9DAB-0386576F348A}" presName="Name19" presStyleLbl="parChTrans1D3" presStyleIdx="8" presStyleCnt="21"/>
      <dgm:spPr/>
      <dgm:t>
        <a:bodyPr/>
        <a:lstStyle/>
        <a:p>
          <a:endParaRPr lang="fr-FR"/>
        </a:p>
      </dgm:t>
    </dgm:pt>
    <dgm:pt modelId="{AF6777A8-BBE0-4286-91F7-D21548BB4828}" type="pres">
      <dgm:prSet presAssocID="{3AB943AB-207D-4004-A891-70F1E4DF9B0F}" presName="Name21" presStyleCnt="0"/>
      <dgm:spPr/>
    </dgm:pt>
    <dgm:pt modelId="{E2CBFAC9-A1D5-411B-9701-47D328A45087}" type="pres">
      <dgm:prSet presAssocID="{3AB943AB-207D-4004-A891-70F1E4DF9B0F}" presName="level2Shape" presStyleLbl="node3" presStyleIdx="8" presStyleCnt="21" custLinFactNeighborX="9624" custLinFactNeighborY="88323"/>
      <dgm:spPr/>
      <dgm:t>
        <a:bodyPr/>
        <a:lstStyle/>
        <a:p>
          <a:endParaRPr lang="fr-FR"/>
        </a:p>
      </dgm:t>
    </dgm:pt>
    <dgm:pt modelId="{53833AE8-0704-4273-A17A-32667297DACB}" type="pres">
      <dgm:prSet presAssocID="{3AB943AB-207D-4004-A891-70F1E4DF9B0F}" presName="hierChild3" presStyleCnt="0"/>
      <dgm:spPr/>
    </dgm:pt>
    <dgm:pt modelId="{0780D32E-ABFB-4B9F-BCC3-664632188C09}" type="pres">
      <dgm:prSet presAssocID="{BA627F13-1FC1-4223-B8B8-73CD87B454CB}" presName="Name19" presStyleLbl="parChTrans1D2" presStyleIdx="3" presStyleCnt="7"/>
      <dgm:spPr/>
      <dgm:t>
        <a:bodyPr/>
        <a:lstStyle/>
        <a:p>
          <a:endParaRPr lang="fr-FR"/>
        </a:p>
      </dgm:t>
    </dgm:pt>
    <dgm:pt modelId="{2A6C1535-5D3F-481C-94B0-0AF378C0B986}" type="pres">
      <dgm:prSet presAssocID="{D8E9472F-54CF-47CB-A7E0-223040E39A0B}" presName="Name21" presStyleCnt="0"/>
      <dgm:spPr/>
    </dgm:pt>
    <dgm:pt modelId="{97D05B06-B097-4EC4-97A7-83041382261D}" type="pres">
      <dgm:prSet presAssocID="{D8E9472F-54CF-47CB-A7E0-223040E39A0B}" presName="level2Shape" presStyleLbl="node2" presStyleIdx="3" presStyleCnt="7" custScaleX="235462" custScaleY="511069" custLinFactNeighborX="4812"/>
      <dgm:spPr/>
      <dgm:t>
        <a:bodyPr/>
        <a:lstStyle/>
        <a:p>
          <a:endParaRPr lang="fr-FR"/>
        </a:p>
      </dgm:t>
    </dgm:pt>
    <dgm:pt modelId="{EECDA622-72D3-44E1-8EA3-F7ED67E51A26}" type="pres">
      <dgm:prSet presAssocID="{D8E9472F-54CF-47CB-A7E0-223040E39A0B}" presName="hierChild3" presStyleCnt="0"/>
      <dgm:spPr/>
    </dgm:pt>
    <dgm:pt modelId="{74587BA8-5954-4209-ABC2-5E5B183C66F3}" type="pres">
      <dgm:prSet presAssocID="{0DC0A57C-B963-4710-A773-C5394AE093B4}" presName="Name19" presStyleLbl="parChTrans1D3" presStyleIdx="9" presStyleCnt="21"/>
      <dgm:spPr/>
      <dgm:t>
        <a:bodyPr/>
        <a:lstStyle/>
        <a:p>
          <a:endParaRPr lang="fr-FR"/>
        </a:p>
      </dgm:t>
    </dgm:pt>
    <dgm:pt modelId="{743DFCD0-491B-4D13-98C3-B96706B84FFA}" type="pres">
      <dgm:prSet presAssocID="{5761FE4E-8007-4BD4-B53F-9B3533FA76C2}" presName="Name21" presStyleCnt="0"/>
      <dgm:spPr/>
    </dgm:pt>
    <dgm:pt modelId="{357801CE-3718-4936-A990-4B8ABA290ED4}" type="pres">
      <dgm:prSet presAssocID="{5761FE4E-8007-4BD4-B53F-9B3533FA76C2}" presName="level2Shape" presStyleLbl="node3" presStyleIdx="9" presStyleCnt="21" custScaleX="110000" custLinFactNeighborY="83844"/>
      <dgm:spPr/>
      <dgm:t>
        <a:bodyPr/>
        <a:lstStyle/>
        <a:p>
          <a:endParaRPr lang="fr-FR"/>
        </a:p>
      </dgm:t>
    </dgm:pt>
    <dgm:pt modelId="{69524F4E-309A-4F52-9671-5CC4D93AA776}" type="pres">
      <dgm:prSet presAssocID="{5761FE4E-8007-4BD4-B53F-9B3533FA76C2}" presName="hierChild3" presStyleCnt="0"/>
      <dgm:spPr/>
    </dgm:pt>
    <dgm:pt modelId="{6A80476F-7AD5-4D53-B37C-94F640B9CFD0}" type="pres">
      <dgm:prSet presAssocID="{26093EE6-1D6E-4FC5-A7ED-6A9B15EB63FD}" presName="Name19" presStyleLbl="parChTrans1D3" presStyleIdx="10" presStyleCnt="21"/>
      <dgm:spPr/>
      <dgm:t>
        <a:bodyPr/>
        <a:lstStyle/>
        <a:p>
          <a:endParaRPr lang="fr-FR"/>
        </a:p>
      </dgm:t>
    </dgm:pt>
    <dgm:pt modelId="{9D91A2D8-3CBD-4C49-BEE3-41148B6313C1}" type="pres">
      <dgm:prSet presAssocID="{3469E52E-5B47-4426-850E-8FF2CFD37FB6}" presName="Name21" presStyleCnt="0"/>
      <dgm:spPr/>
    </dgm:pt>
    <dgm:pt modelId="{52C11137-D99D-47E2-9030-8F8F03134CA1}" type="pres">
      <dgm:prSet presAssocID="{3469E52E-5B47-4426-850E-8FF2CFD37FB6}" presName="level2Shape" presStyleLbl="node3" presStyleIdx="10" presStyleCnt="21" custScaleX="110000" custLinFactNeighborX="4812" custLinFactNeighborY="82752"/>
      <dgm:spPr/>
      <dgm:t>
        <a:bodyPr/>
        <a:lstStyle/>
        <a:p>
          <a:endParaRPr lang="fr-FR"/>
        </a:p>
      </dgm:t>
    </dgm:pt>
    <dgm:pt modelId="{56FC842B-A0DD-4A1B-A311-DF0C6C3E043D}" type="pres">
      <dgm:prSet presAssocID="{3469E52E-5B47-4426-850E-8FF2CFD37FB6}" presName="hierChild3" presStyleCnt="0"/>
      <dgm:spPr/>
    </dgm:pt>
    <dgm:pt modelId="{936E48CE-C275-4A7A-929C-9788E38091EB}" type="pres">
      <dgm:prSet presAssocID="{731B954E-521C-4366-92F9-D75DAFAE6728}" presName="Name19" presStyleLbl="parChTrans1D3" presStyleIdx="11" presStyleCnt="21"/>
      <dgm:spPr/>
      <dgm:t>
        <a:bodyPr/>
        <a:lstStyle/>
        <a:p>
          <a:endParaRPr lang="fr-FR"/>
        </a:p>
      </dgm:t>
    </dgm:pt>
    <dgm:pt modelId="{24FAFBC3-0C0E-44CF-93EC-6960F882E74E}" type="pres">
      <dgm:prSet presAssocID="{B99281FE-2DCD-403C-8FFA-4FBB296EE000}" presName="Name21" presStyleCnt="0"/>
      <dgm:spPr/>
    </dgm:pt>
    <dgm:pt modelId="{9A616711-DCBC-418A-8278-23D7D144F1C3}" type="pres">
      <dgm:prSet presAssocID="{B99281FE-2DCD-403C-8FFA-4FBB296EE000}" presName="level2Shape" presStyleLbl="node3" presStyleIdx="11" presStyleCnt="21" custScaleX="110000" custLinFactNeighborX="9624" custLinFactNeighborY="81386"/>
      <dgm:spPr/>
      <dgm:t>
        <a:bodyPr/>
        <a:lstStyle/>
        <a:p>
          <a:endParaRPr lang="fr-FR"/>
        </a:p>
      </dgm:t>
    </dgm:pt>
    <dgm:pt modelId="{AE5C5B9B-2F3B-437D-98E4-DDE3E8B02B7A}" type="pres">
      <dgm:prSet presAssocID="{B99281FE-2DCD-403C-8FFA-4FBB296EE000}" presName="hierChild3" presStyleCnt="0"/>
      <dgm:spPr/>
    </dgm:pt>
    <dgm:pt modelId="{D4669E14-CA1A-4D99-A376-6C0AE7D37824}" type="pres">
      <dgm:prSet presAssocID="{915E27CA-438F-4211-9A77-2B061F2ABCF3}" presName="Name19" presStyleLbl="parChTrans1D2" presStyleIdx="4" presStyleCnt="7"/>
      <dgm:spPr/>
      <dgm:t>
        <a:bodyPr/>
        <a:lstStyle/>
        <a:p>
          <a:endParaRPr lang="fr-FR"/>
        </a:p>
      </dgm:t>
    </dgm:pt>
    <dgm:pt modelId="{35F9B29D-84C0-48E1-9108-403B041DE986}" type="pres">
      <dgm:prSet presAssocID="{D4286447-A44C-41DF-A9C3-F5B34EE3E56E}" presName="Name21" presStyleCnt="0"/>
      <dgm:spPr/>
    </dgm:pt>
    <dgm:pt modelId="{9B6EC84A-9497-486F-BD29-774A0446AC6A}" type="pres">
      <dgm:prSet presAssocID="{D4286447-A44C-41DF-A9C3-F5B34EE3E56E}" presName="level2Shape" presStyleLbl="node2" presStyleIdx="4" presStyleCnt="7" custScaleX="293850" custScaleY="521409" custLinFactNeighborX="4812"/>
      <dgm:spPr/>
      <dgm:t>
        <a:bodyPr/>
        <a:lstStyle/>
        <a:p>
          <a:endParaRPr lang="fr-FR"/>
        </a:p>
      </dgm:t>
    </dgm:pt>
    <dgm:pt modelId="{CB509099-279B-40FF-83A8-67D8EF236280}" type="pres">
      <dgm:prSet presAssocID="{D4286447-A44C-41DF-A9C3-F5B34EE3E56E}" presName="hierChild3" presStyleCnt="0"/>
      <dgm:spPr/>
    </dgm:pt>
    <dgm:pt modelId="{987EF481-8F25-4A6D-B228-B0F49951C03F}" type="pres">
      <dgm:prSet presAssocID="{B0A4FE22-D5AC-468E-B1AF-7B4F95A87AFC}" presName="Name19" presStyleLbl="parChTrans1D3" presStyleIdx="12" presStyleCnt="21"/>
      <dgm:spPr/>
      <dgm:t>
        <a:bodyPr/>
        <a:lstStyle/>
        <a:p>
          <a:endParaRPr lang="fr-FR"/>
        </a:p>
      </dgm:t>
    </dgm:pt>
    <dgm:pt modelId="{636A4FAF-10DD-47A3-97F4-E9AF51E687A5}" type="pres">
      <dgm:prSet presAssocID="{C1669B25-677C-46AE-87BD-8289714A965D}" presName="Name21" presStyleCnt="0"/>
      <dgm:spPr/>
    </dgm:pt>
    <dgm:pt modelId="{E5E1456F-2AE9-42B0-9BB7-5A1F88B9E012}" type="pres">
      <dgm:prSet presAssocID="{C1669B25-677C-46AE-87BD-8289714A965D}" presName="level2Shape" presStyleLbl="node3" presStyleIdx="12" presStyleCnt="21" custScaleX="110000" custLinFactNeighborY="72838"/>
      <dgm:spPr/>
      <dgm:t>
        <a:bodyPr/>
        <a:lstStyle/>
        <a:p>
          <a:endParaRPr lang="fr-FR"/>
        </a:p>
      </dgm:t>
    </dgm:pt>
    <dgm:pt modelId="{F3BCA6F0-B3B1-4E9F-B561-11208749EBDB}" type="pres">
      <dgm:prSet presAssocID="{C1669B25-677C-46AE-87BD-8289714A965D}" presName="hierChild3" presStyleCnt="0"/>
      <dgm:spPr/>
    </dgm:pt>
    <dgm:pt modelId="{EF81E231-26E4-45BF-94D2-2AE961407BC3}" type="pres">
      <dgm:prSet presAssocID="{DCA639F1-C104-4077-AD5F-7DA6CBFFED86}" presName="Name19" presStyleLbl="parChTrans1D3" presStyleIdx="13" presStyleCnt="21"/>
      <dgm:spPr/>
      <dgm:t>
        <a:bodyPr/>
        <a:lstStyle/>
        <a:p>
          <a:endParaRPr lang="fr-FR"/>
        </a:p>
      </dgm:t>
    </dgm:pt>
    <dgm:pt modelId="{7A9F6F6C-7D98-43CF-A5C7-F17C488E2782}" type="pres">
      <dgm:prSet presAssocID="{556C6F59-5095-4126-8076-8F5ABBA59279}" presName="Name21" presStyleCnt="0"/>
      <dgm:spPr/>
    </dgm:pt>
    <dgm:pt modelId="{C4DEAA45-24DC-4C4E-97E0-9561E1DAEEDD}" type="pres">
      <dgm:prSet presAssocID="{556C6F59-5095-4126-8076-8F5ABBA59279}" presName="level2Shape" presStyleLbl="node3" presStyleIdx="13" presStyleCnt="21" custScaleX="110000" custLinFactNeighborX="4812" custLinFactNeighborY="71746"/>
      <dgm:spPr/>
      <dgm:t>
        <a:bodyPr/>
        <a:lstStyle/>
        <a:p>
          <a:endParaRPr lang="fr-FR"/>
        </a:p>
      </dgm:t>
    </dgm:pt>
    <dgm:pt modelId="{445C8A41-AB17-4002-9A4C-B2D370281DDE}" type="pres">
      <dgm:prSet presAssocID="{556C6F59-5095-4126-8076-8F5ABBA59279}" presName="hierChild3" presStyleCnt="0"/>
      <dgm:spPr/>
    </dgm:pt>
    <dgm:pt modelId="{B7F04C45-1169-4277-9696-01E0664EAE1B}" type="pres">
      <dgm:prSet presAssocID="{D0CC79E8-0C2D-4067-8961-9F62A4C76BFF}" presName="Name19" presStyleLbl="parChTrans1D3" presStyleIdx="14" presStyleCnt="21"/>
      <dgm:spPr/>
      <dgm:t>
        <a:bodyPr/>
        <a:lstStyle/>
        <a:p>
          <a:endParaRPr lang="fr-FR"/>
        </a:p>
      </dgm:t>
    </dgm:pt>
    <dgm:pt modelId="{D7F45B1A-D1B0-4D9A-AE8E-8EB3773B38A4}" type="pres">
      <dgm:prSet presAssocID="{C2DAA548-6D43-4B0A-8F69-08815C4E6479}" presName="Name21" presStyleCnt="0"/>
      <dgm:spPr/>
    </dgm:pt>
    <dgm:pt modelId="{5F46D040-EDAA-40D7-9C26-C6AF905D2FAC}" type="pres">
      <dgm:prSet presAssocID="{C2DAA548-6D43-4B0A-8F69-08815C4E6479}" presName="level2Shape" presStyleLbl="node3" presStyleIdx="14" presStyleCnt="21" custScaleX="110000" custLinFactNeighborX="9624" custLinFactNeighborY="70380"/>
      <dgm:spPr/>
      <dgm:t>
        <a:bodyPr/>
        <a:lstStyle/>
        <a:p>
          <a:endParaRPr lang="fr-FR"/>
        </a:p>
      </dgm:t>
    </dgm:pt>
    <dgm:pt modelId="{C965A5FF-BD13-4F72-B515-69F7C1753297}" type="pres">
      <dgm:prSet presAssocID="{C2DAA548-6D43-4B0A-8F69-08815C4E6479}" presName="hierChild3" presStyleCnt="0"/>
      <dgm:spPr/>
    </dgm:pt>
    <dgm:pt modelId="{4F0C387C-4B40-4A15-98E4-1DE713E2C616}" type="pres">
      <dgm:prSet presAssocID="{F16B1941-6E44-44FC-90FD-D1C6A2841BCE}" presName="Name19" presStyleLbl="parChTrans1D2" presStyleIdx="5" presStyleCnt="7"/>
      <dgm:spPr/>
      <dgm:t>
        <a:bodyPr/>
        <a:lstStyle/>
        <a:p>
          <a:endParaRPr lang="fr-FR"/>
        </a:p>
      </dgm:t>
    </dgm:pt>
    <dgm:pt modelId="{6EF0B493-4C2D-4BF4-983D-FA86AD9E1BCA}" type="pres">
      <dgm:prSet presAssocID="{1D98A882-E28A-450C-A6F6-53CEC3C10703}" presName="Name21" presStyleCnt="0"/>
      <dgm:spPr/>
    </dgm:pt>
    <dgm:pt modelId="{B0629BFB-151C-4FE2-9D8A-94C0F04E0F05}" type="pres">
      <dgm:prSet presAssocID="{1D98A882-E28A-450C-A6F6-53CEC3C10703}" presName="level2Shape" presStyleLbl="node2" presStyleIdx="5" presStyleCnt="7" custScaleX="255371" custScaleY="522073" custLinFactNeighborX="4812"/>
      <dgm:spPr/>
      <dgm:t>
        <a:bodyPr/>
        <a:lstStyle/>
        <a:p>
          <a:endParaRPr lang="fr-FR"/>
        </a:p>
      </dgm:t>
    </dgm:pt>
    <dgm:pt modelId="{3246C889-0DB2-4C1D-B1B1-DB7974535005}" type="pres">
      <dgm:prSet presAssocID="{1D98A882-E28A-450C-A6F6-53CEC3C10703}" presName="hierChild3" presStyleCnt="0"/>
      <dgm:spPr/>
    </dgm:pt>
    <dgm:pt modelId="{294D6C8C-1123-4BBD-B986-7E954A6633CD}" type="pres">
      <dgm:prSet presAssocID="{60F83A4E-2ABD-493A-8CA9-73DD31BAA8A2}" presName="Name19" presStyleLbl="parChTrans1D3" presStyleIdx="15" presStyleCnt="21"/>
      <dgm:spPr/>
      <dgm:t>
        <a:bodyPr/>
        <a:lstStyle/>
        <a:p>
          <a:endParaRPr lang="fr-FR"/>
        </a:p>
      </dgm:t>
    </dgm:pt>
    <dgm:pt modelId="{86EF36E4-D89A-4964-909F-F8BFB91DA9B0}" type="pres">
      <dgm:prSet presAssocID="{FE41D860-8BD8-4AFE-AB6F-24D8A442648D}" presName="Name21" presStyleCnt="0"/>
      <dgm:spPr/>
    </dgm:pt>
    <dgm:pt modelId="{A2B5379F-D06C-42C2-8D58-A95BA4A41363}" type="pres">
      <dgm:prSet presAssocID="{FE41D860-8BD8-4AFE-AB6F-24D8A442648D}" presName="level2Shape" presStyleLbl="node3" presStyleIdx="15" presStyleCnt="21" custScaleX="110000" custLinFactNeighborY="72838"/>
      <dgm:spPr/>
      <dgm:t>
        <a:bodyPr/>
        <a:lstStyle/>
        <a:p>
          <a:endParaRPr lang="fr-FR"/>
        </a:p>
      </dgm:t>
    </dgm:pt>
    <dgm:pt modelId="{EC5C5499-EB61-49E4-8991-0EA2A622EB4A}" type="pres">
      <dgm:prSet presAssocID="{FE41D860-8BD8-4AFE-AB6F-24D8A442648D}" presName="hierChild3" presStyleCnt="0"/>
      <dgm:spPr/>
    </dgm:pt>
    <dgm:pt modelId="{0F8C9534-ABAD-40AA-A814-7F0FD70CD45E}" type="pres">
      <dgm:prSet presAssocID="{52DEC677-7B0C-4F49-B40A-DE4C021238ED}" presName="Name19" presStyleLbl="parChTrans1D3" presStyleIdx="16" presStyleCnt="21"/>
      <dgm:spPr/>
      <dgm:t>
        <a:bodyPr/>
        <a:lstStyle/>
        <a:p>
          <a:endParaRPr lang="fr-FR"/>
        </a:p>
      </dgm:t>
    </dgm:pt>
    <dgm:pt modelId="{F8FC8B8F-4EC0-4966-B959-1341D7B33EBF}" type="pres">
      <dgm:prSet presAssocID="{AFEC9BDE-C36F-40F2-9264-DE22A12B9370}" presName="Name21" presStyleCnt="0"/>
      <dgm:spPr/>
    </dgm:pt>
    <dgm:pt modelId="{798E04DC-1E3E-4944-8E91-5F5CBA0603A6}" type="pres">
      <dgm:prSet presAssocID="{AFEC9BDE-C36F-40F2-9264-DE22A12B9370}" presName="level2Shape" presStyleLbl="node3" presStyleIdx="16" presStyleCnt="21" custScaleX="110000" custLinFactNeighborX="4812" custLinFactNeighborY="71746"/>
      <dgm:spPr/>
      <dgm:t>
        <a:bodyPr/>
        <a:lstStyle/>
        <a:p>
          <a:endParaRPr lang="fr-FR"/>
        </a:p>
      </dgm:t>
    </dgm:pt>
    <dgm:pt modelId="{8560B967-3ED4-4189-BF87-80568C609EC9}" type="pres">
      <dgm:prSet presAssocID="{AFEC9BDE-C36F-40F2-9264-DE22A12B9370}" presName="hierChild3" presStyleCnt="0"/>
      <dgm:spPr/>
    </dgm:pt>
    <dgm:pt modelId="{A63D3328-963A-4049-92A0-8D9CF75BA05C}" type="pres">
      <dgm:prSet presAssocID="{23EE0382-C838-40A6-9CD0-66E6D032F72A}" presName="Name19" presStyleLbl="parChTrans1D3" presStyleIdx="17" presStyleCnt="21"/>
      <dgm:spPr/>
      <dgm:t>
        <a:bodyPr/>
        <a:lstStyle/>
        <a:p>
          <a:endParaRPr lang="fr-FR"/>
        </a:p>
      </dgm:t>
    </dgm:pt>
    <dgm:pt modelId="{86D5BF19-F7BE-4C6D-9F72-A1ADFA2E5932}" type="pres">
      <dgm:prSet presAssocID="{F838E12C-794F-4456-8451-419C15B97B33}" presName="Name21" presStyleCnt="0"/>
      <dgm:spPr/>
    </dgm:pt>
    <dgm:pt modelId="{B942EF26-0B6E-4F7F-9233-D17279DD4258}" type="pres">
      <dgm:prSet presAssocID="{F838E12C-794F-4456-8451-419C15B97B33}" presName="level2Shape" presStyleLbl="node3" presStyleIdx="17" presStyleCnt="21" custScaleX="110000" custLinFactNeighborX="9624" custLinFactNeighborY="70380"/>
      <dgm:spPr/>
      <dgm:t>
        <a:bodyPr/>
        <a:lstStyle/>
        <a:p>
          <a:endParaRPr lang="fr-FR"/>
        </a:p>
      </dgm:t>
    </dgm:pt>
    <dgm:pt modelId="{797C256F-4351-40EF-90B8-55B9BD87214E}" type="pres">
      <dgm:prSet presAssocID="{F838E12C-794F-4456-8451-419C15B97B33}" presName="hierChild3" presStyleCnt="0"/>
      <dgm:spPr/>
    </dgm:pt>
    <dgm:pt modelId="{C9BA3AAD-5F09-4F57-A105-F4C37B5F051D}" type="pres">
      <dgm:prSet presAssocID="{EDBCFA3A-FEC4-4AE5-AD90-DBC35254D818}" presName="Name19" presStyleLbl="parChTrans1D2" presStyleIdx="6" presStyleCnt="7"/>
      <dgm:spPr/>
      <dgm:t>
        <a:bodyPr/>
        <a:lstStyle/>
        <a:p>
          <a:endParaRPr lang="fr-FR"/>
        </a:p>
      </dgm:t>
    </dgm:pt>
    <dgm:pt modelId="{27100FBF-C1D5-437D-80AB-8ACD7DE63EA7}" type="pres">
      <dgm:prSet presAssocID="{723A060D-5146-418E-B1A9-4434BD2CF348}" presName="Name21" presStyleCnt="0"/>
      <dgm:spPr/>
    </dgm:pt>
    <dgm:pt modelId="{BF493FAE-3F4D-4684-910E-C95A34AE431F}" type="pres">
      <dgm:prSet presAssocID="{723A060D-5146-418E-B1A9-4434BD2CF348}" presName="level2Shape" presStyleLbl="node2" presStyleIdx="6" presStyleCnt="7" custScaleX="354763" custScaleY="522073" custLinFactNeighborX="4812"/>
      <dgm:spPr/>
      <dgm:t>
        <a:bodyPr/>
        <a:lstStyle/>
        <a:p>
          <a:endParaRPr lang="fr-FR"/>
        </a:p>
      </dgm:t>
    </dgm:pt>
    <dgm:pt modelId="{C98D9399-800A-4098-AA68-51256A757395}" type="pres">
      <dgm:prSet presAssocID="{723A060D-5146-418E-B1A9-4434BD2CF348}" presName="hierChild3" presStyleCnt="0"/>
      <dgm:spPr/>
    </dgm:pt>
    <dgm:pt modelId="{8FA7CA82-6462-4D6E-9F2A-1B80B5D4F321}" type="pres">
      <dgm:prSet presAssocID="{30DF077B-3E7C-4E1A-A108-3F1C62D89B54}" presName="Name19" presStyleLbl="parChTrans1D3" presStyleIdx="18" presStyleCnt="21"/>
      <dgm:spPr/>
      <dgm:t>
        <a:bodyPr/>
        <a:lstStyle/>
        <a:p>
          <a:endParaRPr lang="fr-FR"/>
        </a:p>
      </dgm:t>
    </dgm:pt>
    <dgm:pt modelId="{9651C0F5-37C5-492A-A47E-DB714BE50E19}" type="pres">
      <dgm:prSet presAssocID="{112A4C45-742B-42C6-8D25-E486F7B92DDD}" presName="Name21" presStyleCnt="0"/>
      <dgm:spPr/>
    </dgm:pt>
    <dgm:pt modelId="{EB89D6C2-9208-4348-B731-49627D5E5DC1}" type="pres">
      <dgm:prSet presAssocID="{112A4C45-742B-42C6-8D25-E486F7B92DDD}" presName="level2Shape" presStyleLbl="node3" presStyleIdx="18" presStyleCnt="21" custScaleX="110000" custLinFactNeighborY="72838"/>
      <dgm:spPr/>
      <dgm:t>
        <a:bodyPr/>
        <a:lstStyle/>
        <a:p>
          <a:endParaRPr lang="fr-FR"/>
        </a:p>
      </dgm:t>
    </dgm:pt>
    <dgm:pt modelId="{5E1BCD80-A17A-4AA4-8944-1F1805C9653E}" type="pres">
      <dgm:prSet presAssocID="{112A4C45-742B-42C6-8D25-E486F7B92DDD}" presName="hierChild3" presStyleCnt="0"/>
      <dgm:spPr/>
    </dgm:pt>
    <dgm:pt modelId="{70401D0E-695E-4187-939F-984B5276AEC4}" type="pres">
      <dgm:prSet presAssocID="{64196B8A-BCD3-45CF-8AE4-9EE92021308E}" presName="Name19" presStyleLbl="parChTrans1D3" presStyleIdx="19" presStyleCnt="21"/>
      <dgm:spPr/>
      <dgm:t>
        <a:bodyPr/>
        <a:lstStyle/>
        <a:p>
          <a:endParaRPr lang="fr-FR"/>
        </a:p>
      </dgm:t>
    </dgm:pt>
    <dgm:pt modelId="{079B1816-2A9B-4493-A47C-8DF1541FE740}" type="pres">
      <dgm:prSet presAssocID="{62D663FC-F4CE-46C5-A00A-197B3ECDCEE3}" presName="Name21" presStyleCnt="0"/>
      <dgm:spPr/>
    </dgm:pt>
    <dgm:pt modelId="{8EAFD011-D4A0-429B-8AEA-5B6FCD77CB17}" type="pres">
      <dgm:prSet presAssocID="{62D663FC-F4CE-46C5-A00A-197B3ECDCEE3}" presName="level2Shape" presStyleLbl="node3" presStyleIdx="19" presStyleCnt="21" custScaleX="110000" custLinFactNeighborX="4812" custLinFactNeighborY="71746"/>
      <dgm:spPr/>
      <dgm:t>
        <a:bodyPr/>
        <a:lstStyle/>
        <a:p>
          <a:endParaRPr lang="fr-FR"/>
        </a:p>
      </dgm:t>
    </dgm:pt>
    <dgm:pt modelId="{2446D3B1-D4A5-44CA-A671-A027BBCC5279}" type="pres">
      <dgm:prSet presAssocID="{62D663FC-F4CE-46C5-A00A-197B3ECDCEE3}" presName="hierChild3" presStyleCnt="0"/>
      <dgm:spPr/>
    </dgm:pt>
    <dgm:pt modelId="{ABF67DB1-78D2-41E6-A9C9-8C64F075A7CF}" type="pres">
      <dgm:prSet presAssocID="{16C8FBA7-F0B6-49B7-B71F-B5334D1956B9}" presName="Name19" presStyleLbl="parChTrans1D3" presStyleIdx="20" presStyleCnt="21"/>
      <dgm:spPr/>
      <dgm:t>
        <a:bodyPr/>
        <a:lstStyle/>
        <a:p>
          <a:endParaRPr lang="fr-FR"/>
        </a:p>
      </dgm:t>
    </dgm:pt>
    <dgm:pt modelId="{BD1E99BE-671F-4C23-84D7-0716F7C8A303}" type="pres">
      <dgm:prSet presAssocID="{3577A26E-F6BE-4771-81FE-CE418670BC1B}" presName="Name21" presStyleCnt="0"/>
      <dgm:spPr/>
    </dgm:pt>
    <dgm:pt modelId="{8353D0DB-AE05-4CAC-8662-CE1A495D859A}" type="pres">
      <dgm:prSet presAssocID="{3577A26E-F6BE-4771-81FE-CE418670BC1B}" presName="level2Shape" presStyleLbl="node3" presStyleIdx="20" presStyleCnt="21" custScaleX="110000" custLinFactNeighborX="9624" custLinFactNeighborY="70380"/>
      <dgm:spPr/>
      <dgm:t>
        <a:bodyPr/>
        <a:lstStyle/>
        <a:p>
          <a:endParaRPr lang="fr-FR"/>
        </a:p>
      </dgm:t>
    </dgm:pt>
    <dgm:pt modelId="{88677124-D119-4D4C-97F8-D4C55D7222FE}" type="pres">
      <dgm:prSet presAssocID="{3577A26E-F6BE-4771-81FE-CE418670BC1B}" presName="hierChild3" presStyleCnt="0"/>
      <dgm:spPr/>
    </dgm:pt>
    <dgm:pt modelId="{7F6A481F-9155-452B-A588-9410BABA0698}" type="pres">
      <dgm:prSet presAssocID="{2A673452-15A1-447D-82D7-4079AF0D5563}" presName="bgShapesFlow" presStyleCnt="0"/>
      <dgm:spPr/>
    </dgm:pt>
  </dgm:ptLst>
  <dgm:cxnLst>
    <dgm:cxn modelId="{8A25944E-ECE0-4490-9C68-99ABD18778F5}" type="presOf" srcId="{2CC58B4D-84DB-4E17-A197-D6C757694935}" destId="{A4D1A9F2-54BC-4196-B338-5A649C7A4981}" srcOrd="0" destOrd="0" presId="urn:microsoft.com/office/officeart/2005/8/layout/hierarchy6"/>
    <dgm:cxn modelId="{D8A5F123-55A7-418F-9015-23E8764063CE}" type="presOf" srcId="{45F8E50A-AAC2-4A50-BEF0-1CC3C92F912E}" destId="{02581574-90F2-452E-81F9-EC3754B5AD64}" srcOrd="0" destOrd="0" presId="urn:microsoft.com/office/officeart/2005/8/layout/hierarchy6"/>
    <dgm:cxn modelId="{637C4A8A-FC2A-4454-92AB-916158C19E3C}" type="presOf" srcId="{B99281FE-2DCD-403C-8FFA-4FBB296EE000}" destId="{9A616711-DCBC-418A-8278-23D7D144F1C3}" srcOrd="0" destOrd="0" presId="urn:microsoft.com/office/officeart/2005/8/layout/hierarchy6"/>
    <dgm:cxn modelId="{453F7F83-8F6B-496D-9051-FA046008F88B}" type="presOf" srcId="{B0A4FE22-D5AC-468E-B1AF-7B4F95A87AFC}" destId="{987EF481-8F25-4A6D-B228-B0F49951C03F}" srcOrd="0" destOrd="0" presId="urn:microsoft.com/office/officeart/2005/8/layout/hierarchy6"/>
    <dgm:cxn modelId="{A1F096E5-C32D-426C-AFE5-64FCB30A6253}" srcId="{E3D8B292-05F5-44FB-918D-296AC0F73CFC}" destId="{59725706-1EFC-489D-B03B-8E56120B661D}" srcOrd="1" destOrd="0" parTransId="{AA9D826A-C9D1-4FEA-AC39-703D5E67A3B1}" sibTransId="{004FB548-656B-42FE-97FA-87536147B825}"/>
    <dgm:cxn modelId="{5377B7A2-C500-4DC9-A44F-FFAD5C2B5ADE}" type="presOf" srcId="{AFEC9BDE-C36F-40F2-9264-DE22A12B9370}" destId="{798E04DC-1E3E-4944-8E91-5F5CBA0603A6}" srcOrd="0" destOrd="0" presId="urn:microsoft.com/office/officeart/2005/8/layout/hierarchy6"/>
    <dgm:cxn modelId="{A8073699-C574-456A-B2DF-E7FBB5599120}" type="presOf" srcId="{D4286447-A44C-41DF-A9C3-F5B34EE3E56E}" destId="{9B6EC84A-9497-486F-BD29-774A0446AC6A}" srcOrd="0" destOrd="0" presId="urn:microsoft.com/office/officeart/2005/8/layout/hierarchy6"/>
    <dgm:cxn modelId="{524954F0-DB58-42B6-9900-B1101B5F7B23}" srcId="{E3D8B292-05F5-44FB-918D-296AC0F73CFC}" destId="{723A060D-5146-418E-B1A9-4434BD2CF348}" srcOrd="6" destOrd="0" parTransId="{EDBCFA3A-FEC4-4AE5-AD90-DBC35254D818}" sibTransId="{8E3DEDFD-B20A-4399-8FB9-0974D45642BA}"/>
    <dgm:cxn modelId="{D3E30A22-AB47-4AE1-9E0A-54D73AD39EDA}" srcId="{D8E9472F-54CF-47CB-A7E0-223040E39A0B}" destId="{3469E52E-5B47-4426-850E-8FF2CFD37FB6}" srcOrd="1" destOrd="0" parTransId="{26093EE6-1D6E-4FC5-A7ED-6A9B15EB63FD}" sibTransId="{5D5F6FEE-6B4D-4A2D-A1D6-4FA408CC9637}"/>
    <dgm:cxn modelId="{4EBB285A-0B27-464C-BFE7-CC020C71394F}" type="presOf" srcId="{64196B8A-BCD3-45CF-8AE4-9EE92021308E}" destId="{70401D0E-695E-4187-939F-984B5276AEC4}" srcOrd="0" destOrd="0" presId="urn:microsoft.com/office/officeart/2005/8/layout/hierarchy6"/>
    <dgm:cxn modelId="{A5421C21-48C6-491C-A851-F4261A290DF3}" type="presOf" srcId="{9B60AE61-2FE4-46C9-9DAB-0386576F348A}" destId="{8F134DE1-9443-4A76-A2F5-20496A3C8610}" srcOrd="0" destOrd="0" presId="urn:microsoft.com/office/officeart/2005/8/layout/hierarchy6"/>
    <dgm:cxn modelId="{FD5B7134-A5FA-40C1-BB24-5E3DFDC222B1}" srcId="{59725706-1EFC-489D-B03B-8E56120B661D}" destId="{74BA9EEA-F6FC-4B6B-99B8-6D0A9EE2C1DA}" srcOrd="0" destOrd="0" parTransId="{2CC58B4D-84DB-4E17-A197-D6C757694935}" sibTransId="{0FF2F120-627E-49CB-84A6-FF2EB76E4C8C}"/>
    <dgm:cxn modelId="{CB9F456E-0F8E-44E8-B896-A8808D1FB44C}" type="presOf" srcId="{F838E12C-794F-4456-8451-419C15B97B33}" destId="{B942EF26-0B6E-4F7F-9233-D17279DD4258}" srcOrd="0" destOrd="0" presId="urn:microsoft.com/office/officeart/2005/8/layout/hierarchy6"/>
    <dgm:cxn modelId="{533D3F22-A73D-49DF-B1A2-C351F330A502}" type="presOf" srcId="{3469E52E-5B47-4426-850E-8FF2CFD37FB6}" destId="{52C11137-D99D-47E2-9030-8F8F03134CA1}" srcOrd="0" destOrd="0" presId="urn:microsoft.com/office/officeart/2005/8/layout/hierarchy6"/>
    <dgm:cxn modelId="{4606C1A8-2E88-4802-8358-B8B2DB2FC383}" type="presOf" srcId="{AA9D826A-C9D1-4FEA-AC39-703D5E67A3B1}" destId="{4A6F9F5B-CE5D-43B3-A3BC-B7218AAD487D}" srcOrd="0" destOrd="0" presId="urn:microsoft.com/office/officeart/2005/8/layout/hierarchy6"/>
    <dgm:cxn modelId="{819EA1C3-2F52-409A-B56F-9C01471BD7C0}" type="presOf" srcId="{769F9052-2F52-42A5-8169-A55101622A32}" destId="{39B2F692-1BE4-479B-939E-B7C6D6EE6A46}" srcOrd="0" destOrd="0" presId="urn:microsoft.com/office/officeart/2005/8/layout/hierarchy6"/>
    <dgm:cxn modelId="{31B14DD3-7C36-4DA7-BD58-7957D7807A25}" srcId="{723A060D-5146-418E-B1A9-4434BD2CF348}" destId="{62D663FC-F4CE-46C5-A00A-197B3ECDCEE3}" srcOrd="1" destOrd="0" parTransId="{64196B8A-BCD3-45CF-8AE4-9EE92021308E}" sibTransId="{4009E590-B028-4EC9-9B25-5DEB7F70CDEB}"/>
    <dgm:cxn modelId="{15D88B20-8A8B-4EDE-9DA7-6008F377D429}" type="presOf" srcId="{60F83A4E-2ABD-493A-8CA9-73DD31BAA8A2}" destId="{294D6C8C-1123-4BBD-B986-7E954A6633CD}" srcOrd="0" destOrd="0" presId="urn:microsoft.com/office/officeart/2005/8/layout/hierarchy6"/>
    <dgm:cxn modelId="{C04F5874-C314-418A-A254-BCCA7DB6070E}" srcId="{45D89239-DA44-4796-BE49-4CBBC39759AB}" destId="{2CA45E24-A033-4A6E-BF6C-E45BD9074CA3}" srcOrd="0" destOrd="0" parTransId="{EFB35893-29B3-4D9B-8252-68FE62913170}" sibTransId="{C88CFE61-BD25-45B5-81CC-8ADA5DC35C56}"/>
    <dgm:cxn modelId="{66691050-DD84-4EE3-8076-14B6219876E4}" srcId="{59725706-1EFC-489D-B03B-8E56120B661D}" destId="{6A2D0F49-8F80-4BEA-A929-13B17F423908}" srcOrd="1" destOrd="0" parTransId="{6AB4C767-0D97-49CA-A553-4339C9EC5ECA}" sibTransId="{1FC8DD37-521D-4797-808A-B2036F170BAE}"/>
    <dgm:cxn modelId="{C116827F-F477-4323-BC07-1CB4EC7CDC38}" type="presOf" srcId="{C4D01BD0-A280-4136-B3B3-5DFAA5A9C074}" destId="{2F27D46E-835F-48A2-93AB-9AE3E4DC1344}" srcOrd="0" destOrd="0" presId="urn:microsoft.com/office/officeart/2005/8/layout/hierarchy6"/>
    <dgm:cxn modelId="{21FDA776-3105-40D0-B5D5-AF7DA31942D8}" srcId="{E3D8B292-05F5-44FB-918D-296AC0F73CFC}" destId="{1D98A882-E28A-450C-A6F6-53CEC3C10703}" srcOrd="5" destOrd="0" parTransId="{F16B1941-6E44-44FC-90FD-D1C6A2841BCE}" sibTransId="{C86F588F-1FC4-45CD-884C-C3D94545E389}"/>
    <dgm:cxn modelId="{7CD2637C-DA87-4E12-94F2-1FC1FAB52D2F}" type="presOf" srcId="{6AB4C767-0D97-49CA-A553-4339C9EC5ECA}" destId="{0E40FF05-B58D-4F6E-B305-E0C652CEA1A5}" srcOrd="0" destOrd="0" presId="urn:microsoft.com/office/officeart/2005/8/layout/hierarchy6"/>
    <dgm:cxn modelId="{94704863-6C57-4F88-B834-5E138DEBF437}" srcId="{E3D8B292-05F5-44FB-918D-296AC0F73CFC}" destId="{D4286447-A44C-41DF-A9C3-F5B34EE3E56E}" srcOrd="4" destOrd="0" parTransId="{915E27CA-438F-4211-9A77-2B061F2ABCF3}" sibTransId="{A32A9221-DF35-4900-9056-D921413ED1A9}"/>
    <dgm:cxn modelId="{98826FC9-8D82-4AFF-B74E-5D6D0B05AE59}" srcId="{1D98A882-E28A-450C-A6F6-53CEC3C10703}" destId="{FE41D860-8BD8-4AFE-AB6F-24D8A442648D}" srcOrd="0" destOrd="0" parTransId="{60F83A4E-2ABD-493A-8CA9-73DD31BAA8A2}" sibTransId="{5BBFA3B0-6D7F-49B5-90AC-31EF49B9DAF2}"/>
    <dgm:cxn modelId="{EEAFFDAD-FD4C-49DE-BC1D-5AEF2A534BED}" type="presOf" srcId="{FE41D860-8BD8-4AFE-AB6F-24D8A442648D}" destId="{A2B5379F-D06C-42C2-8D58-A95BA4A41363}" srcOrd="0" destOrd="0" presId="urn:microsoft.com/office/officeart/2005/8/layout/hierarchy6"/>
    <dgm:cxn modelId="{21136FC0-FB8F-4BBD-9D09-15113895FC4D}" type="presOf" srcId="{23EE0382-C838-40A6-9CD0-66E6D032F72A}" destId="{A63D3328-963A-4049-92A0-8D9CF75BA05C}" srcOrd="0" destOrd="0" presId="urn:microsoft.com/office/officeart/2005/8/layout/hierarchy6"/>
    <dgm:cxn modelId="{F52755AC-8B4A-4DD8-9C72-FCEF41E09439}" type="presOf" srcId="{1D98A882-E28A-450C-A6F6-53CEC3C10703}" destId="{B0629BFB-151C-4FE2-9D8A-94C0F04E0F05}" srcOrd="0" destOrd="0" presId="urn:microsoft.com/office/officeart/2005/8/layout/hierarchy6"/>
    <dgm:cxn modelId="{DF862ABE-F58B-40A6-AB1C-8BF8B2B7C19F}" srcId="{59725706-1EFC-489D-B03B-8E56120B661D}" destId="{13341D14-51F5-44DB-BF5D-84F360FD1546}" srcOrd="2" destOrd="0" parTransId="{45F8E50A-AAC2-4A50-BEF0-1CC3C92F912E}" sibTransId="{AAD9F2EF-199E-46A9-9CF7-7FC67CA1B7FF}"/>
    <dgm:cxn modelId="{E6BFD4AA-A58C-4C33-8E2B-ECBDC5AB5BAC}" type="presOf" srcId="{723A060D-5146-418E-B1A9-4434BD2CF348}" destId="{BF493FAE-3F4D-4684-910E-C95A34AE431F}" srcOrd="0" destOrd="0" presId="urn:microsoft.com/office/officeart/2005/8/layout/hierarchy6"/>
    <dgm:cxn modelId="{9F10141A-93E2-49CE-9ABB-997BDB4E1B74}" type="presOf" srcId="{F510AE10-B295-4244-97E0-2F6C366B0BD5}" destId="{87096355-B31D-4DFF-A8D0-ED4E0A8AD722}" srcOrd="0" destOrd="0" presId="urn:microsoft.com/office/officeart/2005/8/layout/hierarchy6"/>
    <dgm:cxn modelId="{38654B0D-31E5-4E0C-9F7F-1DDB40E43D8F}" srcId="{D4286447-A44C-41DF-A9C3-F5B34EE3E56E}" destId="{C1669B25-677C-46AE-87BD-8289714A965D}" srcOrd="0" destOrd="0" parTransId="{B0A4FE22-D5AC-468E-B1AF-7B4F95A87AFC}" sibTransId="{F502DDD2-77AE-4824-ACBD-938A66390887}"/>
    <dgm:cxn modelId="{373606DF-C5C2-4647-B355-B9887C339982}" type="presOf" srcId="{D0CC79E8-0C2D-4067-8961-9F62A4C76BFF}" destId="{B7F04C45-1169-4277-9696-01E0664EAE1B}" srcOrd="0" destOrd="0" presId="urn:microsoft.com/office/officeart/2005/8/layout/hierarchy6"/>
    <dgm:cxn modelId="{052F2F8E-BAC8-4ED8-A79E-8AFFBB6145A0}" type="presOf" srcId="{0DC0A57C-B963-4710-A773-C5394AE093B4}" destId="{74587BA8-5954-4209-ABC2-5E5B183C66F3}" srcOrd="0" destOrd="0" presId="urn:microsoft.com/office/officeart/2005/8/layout/hierarchy6"/>
    <dgm:cxn modelId="{04C3A64B-AE16-4F6A-B3C7-E41C63285B95}" type="presOf" srcId="{D8E9472F-54CF-47CB-A7E0-223040E39A0B}" destId="{97D05B06-B097-4EC4-97A7-83041382261D}" srcOrd="0" destOrd="0" presId="urn:microsoft.com/office/officeart/2005/8/layout/hierarchy6"/>
    <dgm:cxn modelId="{AD2AB276-A5B8-4375-8F94-322115ADA915}" srcId="{F4A03F23-46C6-46BD-84D2-56F23FD05A1D}" destId="{4F2265FC-223F-40E4-B000-A83EE2484F6F}" srcOrd="0" destOrd="0" parTransId="{94F5E534-151B-479A-8FB5-3357E3D180D4}" sibTransId="{DB617159-B389-4C02-B075-9DFAB816A419}"/>
    <dgm:cxn modelId="{6C9FEFA9-D25C-4E5B-AAB9-9752278304A5}" srcId="{723A060D-5146-418E-B1A9-4434BD2CF348}" destId="{3577A26E-F6BE-4771-81FE-CE418670BC1B}" srcOrd="2" destOrd="0" parTransId="{16C8FBA7-F0B6-49B7-B71F-B5334D1956B9}" sibTransId="{1549F582-07BF-4B62-8D2E-6FB7370B26C4}"/>
    <dgm:cxn modelId="{FC1B6E2B-B94B-465A-914A-21E530CA92DC}" type="presOf" srcId="{F4A03F23-46C6-46BD-84D2-56F23FD05A1D}" destId="{F8A34F09-861C-4E92-BFFB-BEA04E1811B4}" srcOrd="0" destOrd="0" presId="urn:microsoft.com/office/officeart/2005/8/layout/hierarchy6"/>
    <dgm:cxn modelId="{D9358F54-A882-414C-BD8C-B8B521276EF5}" srcId="{D4286447-A44C-41DF-A9C3-F5B34EE3E56E}" destId="{C2DAA548-6D43-4B0A-8F69-08815C4E6479}" srcOrd="2" destOrd="0" parTransId="{D0CC79E8-0C2D-4067-8961-9F62A4C76BFF}" sibTransId="{4840C97F-C24F-4319-8A46-FBF62CB71F94}"/>
    <dgm:cxn modelId="{DDDB2BC0-9B0C-4E00-831A-AE3AC485A0E5}" srcId="{D8E9472F-54CF-47CB-A7E0-223040E39A0B}" destId="{B99281FE-2DCD-403C-8FFA-4FBB296EE000}" srcOrd="2" destOrd="0" parTransId="{731B954E-521C-4366-92F9-D75DAFAE6728}" sibTransId="{1541EC8D-805F-4A79-98ED-ED18AAADAAA0}"/>
    <dgm:cxn modelId="{9878C9AD-C926-4AE2-974E-5089ECCFF216}" type="presOf" srcId="{4F2265FC-223F-40E4-B000-A83EE2484F6F}" destId="{76A9C44A-66AB-452E-AC92-725CAA7AC918}" srcOrd="0" destOrd="0" presId="urn:microsoft.com/office/officeart/2005/8/layout/hierarchy6"/>
    <dgm:cxn modelId="{86E00561-E4D4-4BF9-91FC-B57557AEB971}" type="presOf" srcId="{731B954E-521C-4366-92F9-D75DAFAE6728}" destId="{936E48CE-C275-4A7A-929C-9788E38091EB}" srcOrd="0" destOrd="0" presId="urn:microsoft.com/office/officeart/2005/8/layout/hierarchy6"/>
    <dgm:cxn modelId="{B83F6D0C-1264-4E47-9494-E190CE7B5BD0}" srcId="{D4286447-A44C-41DF-A9C3-F5B34EE3E56E}" destId="{556C6F59-5095-4126-8076-8F5ABBA59279}" srcOrd="1" destOrd="0" parTransId="{DCA639F1-C104-4077-AD5F-7DA6CBFFED86}" sibTransId="{D00D4A6D-CA5C-4765-A3C4-E5E72422FC61}"/>
    <dgm:cxn modelId="{9E993E88-2B8E-46E4-A8AC-6B35C3CDEA0A}" srcId="{D8E9472F-54CF-47CB-A7E0-223040E39A0B}" destId="{5761FE4E-8007-4BD4-B53F-9B3533FA76C2}" srcOrd="0" destOrd="0" parTransId="{0DC0A57C-B963-4710-A773-C5394AE093B4}" sibTransId="{D70A405B-BA0D-4418-845C-4F5BF6B4AF63}"/>
    <dgm:cxn modelId="{D17CC777-3CD1-4AAA-94AC-A37EC1B33C2F}" type="presOf" srcId="{62D663FC-F4CE-46C5-A00A-197B3ECDCEE3}" destId="{8EAFD011-D4A0-429B-8AEA-5B6FCD77CB17}" srcOrd="0" destOrd="0" presId="urn:microsoft.com/office/officeart/2005/8/layout/hierarchy6"/>
    <dgm:cxn modelId="{461C31B9-D999-4A7B-853F-AA40843E402D}" srcId="{1D98A882-E28A-450C-A6F6-53CEC3C10703}" destId="{F838E12C-794F-4456-8451-419C15B97B33}" srcOrd="2" destOrd="0" parTransId="{23EE0382-C838-40A6-9CD0-66E6D032F72A}" sibTransId="{0CF60025-4B25-4CE9-A409-E42DD3A6854D}"/>
    <dgm:cxn modelId="{222061A4-D5EA-470C-8947-C991C7390117}" type="presOf" srcId="{EE123195-50B8-4692-9790-276C9CBBE0E4}" destId="{2A864C87-7DDD-4EDE-AABB-A88442248A86}" srcOrd="0" destOrd="0" presId="urn:microsoft.com/office/officeart/2005/8/layout/hierarchy6"/>
    <dgm:cxn modelId="{2754B312-5F81-4210-A065-A8BF4F1E486C}" type="presOf" srcId="{556C6F59-5095-4126-8076-8F5ABBA59279}" destId="{C4DEAA45-24DC-4C4E-97E0-9561E1DAEEDD}" srcOrd="0" destOrd="0" presId="urn:microsoft.com/office/officeart/2005/8/layout/hierarchy6"/>
    <dgm:cxn modelId="{860D82F9-688F-4730-9413-7D0F5108FF2A}" type="presOf" srcId="{45D89239-DA44-4796-BE49-4CBBC39759AB}" destId="{92A8F34B-BB05-43A7-8F80-3DB47EAF20A8}" srcOrd="0" destOrd="0" presId="urn:microsoft.com/office/officeart/2005/8/layout/hierarchy6"/>
    <dgm:cxn modelId="{C4530588-5065-4D74-8C9B-03B35DB6B3EA}" type="presOf" srcId="{EDBCFA3A-FEC4-4AE5-AD90-DBC35254D818}" destId="{C9BA3AAD-5F09-4F57-A105-F4C37B5F051D}" srcOrd="0" destOrd="0" presId="urn:microsoft.com/office/officeart/2005/8/layout/hierarchy6"/>
    <dgm:cxn modelId="{0D9AF10B-3F2A-4CFC-B5E8-7156627CAB94}" type="presOf" srcId="{9844C046-8936-4133-8DA4-21544AF9268E}" destId="{570AF86A-72B4-4AF0-81E7-F522806F6918}" srcOrd="0" destOrd="0" presId="urn:microsoft.com/office/officeart/2005/8/layout/hierarchy6"/>
    <dgm:cxn modelId="{FF2ACD4B-8983-458B-BF89-48213C4F516C}" type="presOf" srcId="{30DF077B-3E7C-4E1A-A108-3F1C62D89B54}" destId="{8FA7CA82-6462-4D6E-9F2A-1B80B5D4F321}" srcOrd="0" destOrd="0" presId="urn:microsoft.com/office/officeart/2005/8/layout/hierarchy6"/>
    <dgm:cxn modelId="{4045705A-3292-48DE-B505-86D1D2449895}" type="presOf" srcId="{94F5E534-151B-479A-8FB5-3357E3D180D4}" destId="{B0CFFC2D-4791-4ABA-AE8B-A028B670C2F3}" srcOrd="0" destOrd="0" presId="urn:microsoft.com/office/officeart/2005/8/layout/hierarchy6"/>
    <dgm:cxn modelId="{400D51B8-7E35-4F95-BFBD-90B2020C6296}" type="presOf" srcId="{E3D8B292-05F5-44FB-918D-296AC0F73CFC}" destId="{7C848DF1-9AE2-4E25-B983-0926523D6D91}" srcOrd="0" destOrd="0" presId="urn:microsoft.com/office/officeart/2005/8/layout/hierarchy6"/>
    <dgm:cxn modelId="{60D264A4-7496-471C-B5DE-D35C1A5B9A84}" type="presOf" srcId="{52DEC677-7B0C-4F49-B40A-DE4C021238ED}" destId="{0F8C9534-ABAD-40AA-A814-7F0FD70CD45E}" srcOrd="0" destOrd="0" presId="urn:microsoft.com/office/officeart/2005/8/layout/hierarchy6"/>
    <dgm:cxn modelId="{78768BB5-6E2E-4DA2-9F22-F62DE87F2DD7}" type="presOf" srcId="{26093EE6-1D6E-4FC5-A7ED-6A9B15EB63FD}" destId="{6A80476F-7AD5-4D53-B37C-94F640B9CFD0}" srcOrd="0" destOrd="0" presId="urn:microsoft.com/office/officeart/2005/8/layout/hierarchy6"/>
    <dgm:cxn modelId="{58C00CDF-A3DF-46E9-B4F2-AC527CC823D7}" type="presOf" srcId="{3577A26E-F6BE-4771-81FE-CE418670BC1B}" destId="{8353D0DB-AE05-4CAC-8662-CE1A495D859A}" srcOrd="0" destOrd="0" presId="urn:microsoft.com/office/officeart/2005/8/layout/hierarchy6"/>
    <dgm:cxn modelId="{2C25FD24-A37C-4941-9A27-17E5924E8687}" type="presOf" srcId="{16C8FBA7-F0B6-49B7-B71F-B5334D1956B9}" destId="{ABF67DB1-78D2-41E6-A9C9-8C64F075A7CF}" srcOrd="0" destOrd="0" presId="urn:microsoft.com/office/officeart/2005/8/layout/hierarchy6"/>
    <dgm:cxn modelId="{A63A7A34-0EAD-4BA2-8055-FD6FA07A2AA0}" srcId="{2A673452-15A1-447D-82D7-4079AF0D5563}" destId="{E3D8B292-05F5-44FB-918D-296AC0F73CFC}" srcOrd="0" destOrd="0" parTransId="{2D5D4D0A-B02C-4F83-8D6A-D2AA1F7BC43E}" sibTransId="{0F4A411D-9FCE-4F90-9E33-4B6134D90107}"/>
    <dgm:cxn modelId="{F3C72547-2094-4B0B-BDCB-0F8A9CB6D003}" type="presOf" srcId="{112A4C45-742B-42C6-8D25-E486F7B92DDD}" destId="{EB89D6C2-9208-4348-B731-49627D5E5DC1}" srcOrd="0" destOrd="0" presId="urn:microsoft.com/office/officeart/2005/8/layout/hierarchy6"/>
    <dgm:cxn modelId="{3903365B-0D0B-453F-AEF4-C995DF6EE8F6}" type="presOf" srcId="{4C277AA1-F7E5-48CD-AB6C-86069F0CC59D}" destId="{AB57768D-E3ED-4AA4-84BE-DFEC6663B236}" srcOrd="0" destOrd="0" presId="urn:microsoft.com/office/officeart/2005/8/layout/hierarchy6"/>
    <dgm:cxn modelId="{9884227D-D07C-4448-9F06-B14938EC573A}" srcId="{E3D8B292-05F5-44FB-918D-296AC0F73CFC}" destId="{D8E9472F-54CF-47CB-A7E0-223040E39A0B}" srcOrd="3" destOrd="0" parTransId="{BA627F13-1FC1-4223-B8B8-73CD87B454CB}" sibTransId="{8424271F-38CD-4EB2-A8C1-C48BB9676B36}"/>
    <dgm:cxn modelId="{F90C65EA-2611-4099-A27A-4C88B9664814}" type="presOf" srcId="{2A673452-15A1-447D-82D7-4079AF0D5563}" destId="{886B8333-BFF3-4DE7-83B1-37F295B09F93}" srcOrd="0" destOrd="0" presId="urn:microsoft.com/office/officeart/2005/8/layout/hierarchy6"/>
    <dgm:cxn modelId="{A5184F15-5398-43EF-8878-F6DEDF3B13EA}" type="presOf" srcId="{122F4DE4-BFE1-43A8-BF9D-A60EBB27E3FE}" destId="{EC4A3106-5D13-4E7F-96C7-EF769D390CF7}" srcOrd="0" destOrd="0" presId="urn:microsoft.com/office/officeart/2005/8/layout/hierarchy6"/>
    <dgm:cxn modelId="{AED96CA1-8EBF-4C22-8F7A-32BAF974EB79}" type="presOf" srcId="{13341D14-51F5-44DB-BF5D-84F360FD1546}" destId="{96E87FC5-3E0D-49E0-B529-F3F17E852B44}" srcOrd="0" destOrd="0" presId="urn:microsoft.com/office/officeart/2005/8/layout/hierarchy6"/>
    <dgm:cxn modelId="{5C494AD5-1C98-4869-ACC4-97383E16F08D}" type="presOf" srcId="{915E27CA-438F-4211-9A77-2B061F2ABCF3}" destId="{D4669E14-CA1A-4D99-A376-6C0AE7D37824}" srcOrd="0" destOrd="0" presId="urn:microsoft.com/office/officeart/2005/8/layout/hierarchy6"/>
    <dgm:cxn modelId="{FED1B598-31D9-4FA4-85B8-828576F3AE1A}" srcId="{E3D8B292-05F5-44FB-918D-296AC0F73CFC}" destId="{45D89239-DA44-4796-BE49-4CBBC39759AB}" srcOrd="0" destOrd="0" parTransId="{417FF3CF-B1CD-4EE3-B0D0-65CC097E3EA7}" sibTransId="{5C4EA65C-5FF9-48E7-A5CE-CD04DA0749EA}"/>
    <dgm:cxn modelId="{13AB6804-944A-4A2E-A1C5-9815638E62B0}" type="presOf" srcId="{3AB943AB-207D-4004-A891-70F1E4DF9B0F}" destId="{E2CBFAC9-A1D5-411B-9701-47D328A45087}" srcOrd="0" destOrd="0" presId="urn:microsoft.com/office/officeart/2005/8/layout/hierarchy6"/>
    <dgm:cxn modelId="{9D6D448B-C82A-4179-A739-A79C5F64F85D}" type="presOf" srcId="{6A2D0F49-8F80-4BEA-A929-13B17F423908}" destId="{F2CBB407-A3F8-4CEB-9134-F2C504217C5A}" srcOrd="0" destOrd="0" presId="urn:microsoft.com/office/officeart/2005/8/layout/hierarchy6"/>
    <dgm:cxn modelId="{614E030D-9741-4EC7-9F99-81A83BAB949B}" srcId="{45D89239-DA44-4796-BE49-4CBBC39759AB}" destId="{4C277AA1-F7E5-48CD-AB6C-86069F0CC59D}" srcOrd="1" destOrd="0" parTransId="{769F9052-2F52-42A5-8169-A55101622A32}" sibTransId="{0929725A-87EE-4DF7-88B4-E16588F81DDF}"/>
    <dgm:cxn modelId="{68C5F365-06F1-4397-801B-857E562EB7F8}" type="presOf" srcId="{EFB35893-29B3-4D9B-8252-68FE62913170}" destId="{5A0D8665-A3F8-484E-B9B0-9D56D4AA3E0E}" srcOrd="0" destOrd="0" presId="urn:microsoft.com/office/officeart/2005/8/layout/hierarchy6"/>
    <dgm:cxn modelId="{0B2FB10A-0457-49FE-BF4B-AEA509F9E0CD}" type="presOf" srcId="{C1669B25-677C-46AE-87BD-8289714A965D}" destId="{E5E1456F-2AE9-42B0-9BB7-5A1F88B9E012}" srcOrd="0" destOrd="0" presId="urn:microsoft.com/office/officeart/2005/8/layout/hierarchy6"/>
    <dgm:cxn modelId="{10510F9B-E712-42F7-8BE6-B98835C64FAB}" srcId="{45D89239-DA44-4796-BE49-4CBBC39759AB}" destId="{F510AE10-B295-4244-97E0-2F6C366B0BD5}" srcOrd="2" destOrd="0" parTransId="{C4D01BD0-A280-4136-B3B3-5DFAA5A9C074}" sibTransId="{56276C32-B375-46EB-AC92-FB1B73434804}"/>
    <dgm:cxn modelId="{BE856945-5D71-4DB5-AEF4-41690EFAF059}" type="presOf" srcId="{2CA45E24-A033-4A6E-BF6C-E45BD9074CA3}" destId="{19BD9073-A2BD-4E71-B8C6-BBF5A340A9D8}" srcOrd="0" destOrd="0" presId="urn:microsoft.com/office/officeart/2005/8/layout/hierarchy6"/>
    <dgm:cxn modelId="{ED462397-B036-4BA0-8BB7-FD64E0E0C5DA}" type="presOf" srcId="{417FF3CF-B1CD-4EE3-B0D0-65CC097E3EA7}" destId="{C99CCCA8-C584-4006-919F-2775C0FDB68F}" srcOrd="0" destOrd="0" presId="urn:microsoft.com/office/officeart/2005/8/layout/hierarchy6"/>
    <dgm:cxn modelId="{50FDFD96-854C-4145-91B4-502BE35059C8}" type="presOf" srcId="{F16B1941-6E44-44FC-90FD-D1C6A2841BCE}" destId="{4F0C387C-4B40-4A15-98E4-1DE713E2C616}" srcOrd="0" destOrd="0" presId="urn:microsoft.com/office/officeart/2005/8/layout/hierarchy6"/>
    <dgm:cxn modelId="{B979EB1E-E39B-43A2-ACAB-0300B722CB13}" srcId="{E3D8B292-05F5-44FB-918D-296AC0F73CFC}" destId="{F4A03F23-46C6-46BD-84D2-56F23FD05A1D}" srcOrd="2" destOrd="0" parTransId="{122F4DE4-BFE1-43A8-BF9D-A60EBB27E3FE}" sibTransId="{171436D3-00CB-4766-AD76-912D2BA1CB9F}"/>
    <dgm:cxn modelId="{27D44970-13FE-408F-AA53-FC20F6CAA0F5}" type="presOf" srcId="{5761FE4E-8007-4BD4-B53F-9B3533FA76C2}" destId="{357801CE-3718-4936-A990-4B8ABA290ED4}" srcOrd="0" destOrd="0" presId="urn:microsoft.com/office/officeart/2005/8/layout/hierarchy6"/>
    <dgm:cxn modelId="{E45E1B19-C6F3-4CD1-83D2-EA1B954F83EE}" type="presOf" srcId="{C2DAA548-6D43-4B0A-8F69-08815C4E6479}" destId="{5F46D040-EDAA-40D7-9C26-C6AF905D2FAC}" srcOrd="0" destOrd="0" presId="urn:microsoft.com/office/officeart/2005/8/layout/hierarchy6"/>
    <dgm:cxn modelId="{2AE22B0C-DE41-43C0-B39E-6C92E783A53A}" srcId="{1D98A882-E28A-450C-A6F6-53CEC3C10703}" destId="{AFEC9BDE-C36F-40F2-9264-DE22A12B9370}" srcOrd="1" destOrd="0" parTransId="{52DEC677-7B0C-4F49-B40A-DE4C021238ED}" sibTransId="{71314BD3-C5D7-46EF-8631-A38F0F1CB04B}"/>
    <dgm:cxn modelId="{9CF69547-CB90-4EF8-8BB8-6A937196CEDC}" type="presOf" srcId="{BA627F13-1FC1-4223-B8B8-73CD87B454CB}" destId="{0780D32E-ABFB-4B9F-BCC3-664632188C09}" srcOrd="0" destOrd="0" presId="urn:microsoft.com/office/officeart/2005/8/layout/hierarchy6"/>
    <dgm:cxn modelId="{73F206EA-D7F8-4DBF-AC55-340301759A14}" type="presOf" srcId="{74BA9EEA-F6FC-4B6B-99B8-6D0A9EE2C1DA}" destId="{5A18A269-FE1D-48CE-8206-0F2E5A1B2745}" srcOrd="0" destOrd="0" presId="urn:microsoft.com/office/officeart/2005/8/layout/hierarchy6"/>
    <dgm:cxn modelId="{5665874C-78A8-4C24-A1D2-C07E8BCB2004}" srcId="{F4A03F23-46C6-46BD-84D2-56F23FD05A1D}" destId="{3AB943AB-207D-4004-A891-70F1E4DF9B0F}" srcOrd="2" destOrd="0" parTransId="{9B60AE61-2FE4-46C9-9DAB-0386576F348A}" sibTransId="{BCA5AAB2-457E-4D4F-BABD-C75EA2025A76}"/>
    <dgm:cxn modelId="{A8EF5295-F3D5-4BB0-BF33-096DFD3A7B2D}" srcId="{F4A03F23-46C6-46BD-84D2-56F23FD05A1D}" destId="{EE123195-50B8-4692-9790-276C9CBBE0E4}" srcOrd="1" destOrd="0" parTransId="{9844C046-8936-4133-8DA4-21544AF9268E}" sibTransId="{075197F1-4F7A-45D3-BE83-AC4469B28F19}"/>
    <dgm:cxn modelId="{96827A0A-C9A5-4F53-9C97-06AC44BDE3F7}" type="presOf" srcId="{DCA639F1-C104-4077-AD5F-7DA6CBFFED86}" destId="{EF81E231-26E4-45BF-94D2-2AE961407BC3}" srcOrd="0" destOrd="0" presId="urn:microsoft.com/office/officeart/2005/8/layout/hierarchy6"/>
    <dgm:cxn modelId="{ABBBB721-0A26-4304-9A80-A6E14FCC3280}" srcId="{723A060D-5146-418E-B1A9-4434BD2CF348}" destId="{112A4C45-742B-42C6-8D25-E486F7B92DDD}" srcOrd="0" destOrd="0" parTransId="{30DF077B-3E7C-4E1A-A108-3F1C62D89B54}" sibTransId="{AEC4F44F-404C-45AA-BABE-716C17ED747F}"/>
    <dgm:cxn modelId="{AFFAA70F-8A36-4BDC-B7FA-593B31CF7729}" type="presOf" srcId="{59725706-1EFC-489D-B03B-8E56120B661D}" destId="{04D4A528-209F-4D0D-98A9-6C96FB79625E}" srcOrd="0" destOrd="0" presId="urn:microsoft.com/office/officeart/2005/8/layout/hierarchy6"/>
    <dgm:cxn modelId="{079EC761-08F8-40D6-BEED-A43492085C00}" type="presParOf" srcId="{886B8333-BFF3-4DE7-83B1-37F295B09F93}" destId="{B04D05EA-7CC1-43CE-ABE6-247CAFE6E359}" srcOrd="0" destOrd="0" presId="urn:microsoft.com/office/officeart/2005/8/layout/hierarchy6"/>
    <dgm:cxn modelId="{CDA774F4-4D8C-4868-AC0F-35A02C86D14F}" type="presParOf" srcId="{B04D05EA-7CC1-43CE-ABE6-247CAFE6E359}" destId="{6432A491-75F9-4DBE-821C-494B253FAFD6}" srcOrd="0" destOrd="0" presId="urn:microsoft.com/office/officeart/2005/8/layout/hierarchy6"/>
    <dgm:cxn modelId="{82C61171-E11A-4503-8C88-DCC23099FE8B}" type="presParOf" srcId="{6432A491-75F9-4DBE-821C-494B253FAFD6}" destId="{A7842817-0FED-4034-AFD3-F6CE1994AE35}" srcOrd="0" destOrd="0" presId="urn:microsoft.com/office/officeart/2005/8/layout/hierarchy6"/>
    <dgm:cxn modelId="{0FF87AE5-3E79-4A93-9946-68DF4E76608D}" type="presParOf" srcId="{A7842817-0FED-4034-AFD3-F6CE1994AE35}" destId="{7C848DF1-9AE2-4E25-B983-0926523D6D91}" srcOrd="0" destOrd="0" presId="urn:microsoft.com/office/officeart/2005/8/layout/hierarchy6"/>
    <dgm:cxn modelId="{9E67FD22-AF51-4904-BBD1-71F4A3B07BFE}" type="presParOf" srcId="{A7842817-0FED-4034-AFD3-F6CE1994AE35}" destId="{13292FA9-9D26-4A00-B701-7BE187C5A252}" srcOrd="1" destOrd="0" presId="urn:microsoft.com/office/officeart/2005/8/layout/hierarchy6"/>
    <dgm:cxn modelId="{2BB099B6-7C9A-48CD-A5EA-6164C0F1B348}" type="presParOf" srcId="{13292FA9-9D26-4A00-B701-7BE187C5A252}" destId="{C99CCCA8-C584-4006-919F-2775C0FDB68F}" srcOrd="0" destOrd="0" presId="urn:microsoft.com/office/officeart/2005/8/layout/hierarchy6"/>
    <dgm:cxn modelId="{BF95638A-5FDF-417A-A134-31711BE74F19}" type="presParOf" srcId="{13292FA9-9D26-4A00-B701-7BE187C5A252}" destId="{378D3DC6-ABA0-4BBD-A39E-A6FC116CBEA0}" srcOrd="1" destOrd="0" presId="urn:microsoft.com/office/officeart/2005/8/layout/hierarchy6"/>
    <dgm:cxn modelId="{712B71A7-899F-4BE0-86BF-21B1F73F77F1}" type="presParOf" srcId="{378D3DC6-ABA0-4BBD-A39E-A6FC116CBEA0}" destId="{92A8F34B-BB05-43A7-8F80-3DB47EAF20A8}" srcOrd="0" destOrd="0" presId="urn:microsoft.com/office/officeart/2005/8/layout/hierarchy6"/>
    <dgm:cxn modelId="{F51B32B6-9724-4D44-9C03-17061D6A9F4E}" type="presParOf" srcId="{378D3DC6-ABA0-4BBD-A39E-A6FC116CBEA0}" destId="{941256C9-EE06-455D-A784-E7B162830CC5}" srcOrd="1" destOrd="0" presId="urn:microsoft.com/office/officeart/2005/8/layout/hierarchy6"/>
    <dgm:cxn modelId="{970CFAB2-9B8C-4DE4-9AC5-917594CC8723}" type="presParOf" srcId="{941256C9-EE06-455D-A784-E7B162830CC5}" destId="{5A0D8665-A3F8-484E-B9B0-9D56D4AA3E0E}" srcOrd="0" destOrd="0" presId="urn:microsoft.com/office/officeart/2005/8/layout/hierarchy6"/>
    <dgm:cxn modelId="{858C6365-2F8C-4658-93B5-A79864656F58}" type="presParOf" srcId="{941256C9-EE06-455D-A784-E7B162830CC5}" destId="{59515ADB-61E0-45A4-8BDC-328082B51760}" srcOrd="1" destOrd="0" presId="urn:microsoft.com/office/officeart/2005/8/layout/hierarchy6"/>
    <dgm:cxn modelId="{377D79BC-0413-48C8-AB3A-CE7EEB9A577E}" type="presParOf" srcId="{59515ADB-61E0-45A4-8BDC-328082B51760}" destId="{19BD9073-A2BD-4E71-B8C6-BBF5A340A9D8}" srcOrd="0" destOrd="0" presId="urn:microsoft.com/office/officeart/2005/8/layout/hierarchy6"/>
    <dgm:cxn modelId="{167B8258-CA22-492A-BFAC-865A7B9C8D72}" type="presParOf" srcId="{59515ADB-61E0-45A4-8BDC-328082B51760}" destId="{BB54494B-39FB-436F-B8EC-E985A7ACE909}" srcOrd="1" destOrd="0" presId="urn:microsoft.com/office/officeart/2005/8/layout/hierarchy6"/>
    <dgm:cxn modelId="{45EC0257-E3F3-4B2E-950C-CDD8BDCEF6EC}" type="presParOf" srcId="{941256C9-EE06-455D-A784-E7B162830CC5}" destId="{39B2F692-1BE4-479B-939E-B7C6D6EE6A46}" srcOrd="2" destOrd="0" presId="urn:microsoft.com/office/officeart/2005/8/layout/hierarchy6"/>
    <dgm:cxn modelId="{A7D20A18-5EFA-4405-A081-E5A496F352EA}" type="presParOf" srcId="{941256C9-EE06-455D-A784-E7B162830CC5}" destId="{8A28AC76-F1D3-4F1A-B06E-7CF1ACC81072}" srcOrd="3" destOrd="0" presId="urn:microsoft.com/office/officeart/2005/8/layout/hierarchy6"/>
    <dgm:cxn modelId="{4E895D39-EF64-4752-B78B-8436D28A5502}" type="presParOf" srcId="{8A28AC76-F1D3-4F1A-B06E-7CF1ACC81072}" destId="{AB57768D-E3ED-4AA4-84BE-DFEC6663B236}" srcOrd="0" destOrd="0" presId="urn:microsoft.com/office/officeart/2005/8/layout/hierarchy6"/>
    <dgm:cxn modelId="{655F50D5-12FB-408E-85C2-C1E932F3CDEF}" type="presParOf" srcId="{8A28AC76-F1D3-4F1A-B06E-7CF1ACC81072}" destId="{3A7A3E11-4884-456C-8264-3C1E7798BCF8}" srcOrd="1" destOrd="0" presId="urn:microsoft.com/office/officeart/2005/8/layout/hierarchy6"/>
    <dgm:cxn modelId="{51DCB81E-3426-431B-85E2-E2469961F1DC}" type="presParOf" srcId="{941256C9-EE06-455D-A784-E7B162830CC5}" destId="{2F27D46E-835F-48A2-93AB-9AE3E4DC1344}" srcOrd="4" destOrd="0" presId="urn:microsoft.com/office/officeart/2005/8/layout/hierarchy6"/>
    <dgm:cxn modelId="{B382481D-2EE8-4501-9306-D44B44558290}" type="presParOf" srcId="{941256C9-EE06-455D-A784-E7B162830CC5}" destId="{0F23B2E7-C910-4338-A1F4-0E787C0F187B}" srcOrd="5" destOrd="0" presId="urn:microsoft.com/office/officeart/2005/8/layout/hierarchy6"/>
    <dgm:cxn modelId="{97BB9138-0A67-4514-96E1-8AB8533EDE8E}" type="presParOf" srcId="{0F23B2E7-C910-4338-A1F4-0E787C0F187B}" destId="{87096355-B31D-4DFF-A8D0-ED4E0A8AD722}" srcOrd="0" destOrd="0" presId="urn:microsoft.com/office/officeart/2005/8/layout/hierarchy6"/>
    <dgm:cxn modelId="{989DB8A8-83FE-4A3F-A836-F813B9C103BC}" type="presParOf" srcId="{0F23B2E7-C910-4338-A1F4-0E787C0F187B}" destId="{A869BE01-8650-48FA-9B60-6A645147AAF2}" srcOrd="1" destOrd="0" presId="urn:microsoft.com/office/officeart/2005/8/layout/hierarchy6"/>
    <dgm:cxn modelId="{C65E88C8-FA82-4CBA-A323-4506AFB1299B}" type="presParOf" srcId="{13292FA9-9D26-4A00-B701-7BE187C5A252}" destId="{4A6F9F5B-CE5D-43B3-A3BC-B7218AAD487D}" srcOrd="2" destOrd="0" presId="urn:microsoft.com/office/officeart/2005/8/layout/hierarchy6"/>
    <dgm:cxn modelId="{E5C0840F-482A-4B4C-85F9-BC7CB01C7B98}" type="presParOf" srcId="{13292FA9-9D26-4A00-B701-7BE187C5A252}" destId="{90A0F853-E8D0-41C9-93BC-E98CC9131B29}" srcOrd="3" destOrd="0" presId="urn:microsoft.com/office/officeart/2005/8/layout/hierarchy6"/>
    <dgm:cxn modelId="{60EF507C-8929-4D07-9FFD-79942666529F}" type="presParOf" srcId="{90A0F853-E8D0-41C9-93BC-E98CC9131B29}" destId="{04D4A528-209F-4D0D-98A9-6C96FB79625E}" srcOrd="0" destOrd="0" presId="urn:microsoft.com/office/officeart/2005/8/layout/hierarchy6"/>
    <dgm:cxn modelId="{95655413-79D1-4AF6-969C-7A1DB7FC14B1}" type="presParOf" srcId="{90A0F853-E8D0-41C9-93BC-E98CC9131B29}" destId="{7634497E-5CEA-427F-9845-1E5EB844B28C}" srcOrd="1" destOrd="0" presId="urn:microsoft.com/office/officeart/2005/8/layout/hierarchy6"/>
    <dgm:cxn modelId="{46905624-2131-42EB-8ADD-4F864805A3FB}" type="presParOf" srcId="{7634497E-5CEA-427F-9845-1E5EB844B28C}" destId="{A4D1A9F2-54BC-4196-B338-5A649C7A4981}" srcOrd="0" destOrd="0" presId="urn:microsoft.com/office/officeart/2005/8/layout/hierarchy6"/>
    <dgm:cxn modelId="{F30186C8-D495-4190-9449-1A8F21D22EC4}" type="presParOf" srcId="{7634497E-5CEA-427F-9845-1E5EB844B28C}" destId="{0B520D5B-C963-4AA2-B3AB-EBC4D39B0040}" srcOrd="1" destOrd="0" presId="urn:microsoft.com/office/officeart/2005/8/layout/hierarchy6"/>
    <dgm:cxn modelId="{03FAAC93-25DA-4A22-8CA1-BA434E68DE68}" type="presParOf" srcId="{0B520D5B-C963-4AA2-B3AB-EBC4D39B0040}" destId="{5A18A269-FE1D-48CE-8206-0F2E5A1B2745}" srcOrd="0" destOrd="0" presId="urn:microsoft.com/office/officeart/2005/8/layout/hierarchy6"/>
    <dgm:cxn modelId="{B493E824-496D-4772-90E5-B75C5FEF409A}" type="presParOf" srcId="{0B520D5B-C963-4AA2-B3AB-EBC4D39B0040}" destId="{77745A49-8911-4317-A0B8-FA5FF31E68AD}" srcOrd="1" destOrd="0" presId="urn:microsoft.com/office/officeart/2005/8/layout/hierarchy6"/>
    <dgm:cxn modelId="{1FCB2889-7ABC-4368-A256-04DD14318ED0}" type="presParOf" srcId="{7634497E-5CEA-427F-9845-1E5EB844B28C}" destId="{0E40FF05-B58D-4F6E-B305-E0C652CEA1A5}" srcOrd="2" destOrd="0" presId="urn:microsoft.com/office/officeart/2005/8/layout/hierarchy6"/>
    <dgm:cxn modelId="{B7B4BF08-3D6F-4724-91C7-5A60D5DA03FD}" type="presParOf" srcId="{7634497E-5CEA-427F-9845-1E5EB844B28C}" destId="{81034347-E376-4887-9BAA-24ABAD69529E}" srcOrd="3" destOrd="0" presId="urn:microsoft.com/office/officeart/2005/8/layout/hierarchy6"/>
    <dgm:cxn modelId="{7621A709-247F-4B92-A5BA-4FDE1717942A}" type="presParOf" srcId="{81034347-E376-4887-9BAA-24ABAD69529E}" destId="{F2CBB407-A3F8-4CEB-9134-F2C504217C5A}" srcOrd="0" destOrd="0" presId="urn:microsoft.com/office/officeart/2005/8/layout/hierarchy6"/>
    <dgm:cxn modelId="{48E50ED4-7380-43B3-A5A7-DE356D6990CE}" type="presParOf" srcId="{81034347-E376-4887-9BAA-24ABAD69529E}" destId="{F91F717E-9CCB-4D34-9E6E-2F11B5548710}" srcOrd="1" destOrd="0" presId="urn:microsoft.com/office/officeart/2005/8/layout/hierarchy6"/>
    <dgm:cxn modelId="{F84EF720-76CB-4319-8FC5-F688DD3B299C}" type="presParOf" srcId="{7634497E-5CEA-427F-9845-1E5EB844B28C}" destId="{02581574-90F2-452E-81F9-EC3754B5AD64}" srcOrd="4" destOrd="0" presId="urn:microsoft.com/office/officeart/2005/8/layout/hierarchy6"/>
    <dgm:cxn modelId="{208C67EA-F5E0-4079-A126-A16B0822617A}" type="presParOf" srcId="{7634497E-5CEA-427F-9845-1E5EB844B28C}" destId="{6D83D5E9-DFB5-4857-AD9A-A7ADB3B1D601}" srcOrd="5" destOrd="0" presId="urn:microsoft.com/office/officeart/2005/8/layout/hierarchy6"/>
    <dgm:cxn modelId="{E804E50C-A6F5-4B83-BB29-51AD2B384192}" type="presParOf" srcId="{6D83D5E9-DFB5-4857-AD9A-A7ADB3B1D601}" destId="{96E87FC5-3E0D-49E0-B529-F3F17E852B44}" srcOrd="0" destOrd="0" presId="urn:microsoft.com/office/officeart/2005/8/layout/hierarchy6"/>
    <dgm:cxn modelId="{8846B48F-5AB4-4246-8DB2-C2ADB90555A3}" type="presParOf" srcId="{6D83D5E9-DFB5-4857-AD9A-A7ADB3B1D601}" destId="{E3473ED5-833B-4265-835B-11FB1B4E91DF}" srcOrd="1" destOrd="0" presId="urn:microsoft.com/office/officeart/2005/8/layout/hierarchy6"/>
    <dgm:cxn modelId="{0D88124A-B1DF-4DD6-BC3F-3ACD1C1BCBB9}" type="presParOf" srcId="{13292FA9-9D26-4A00-B701-7BE187C5A252}" destId="{EC4A3106-5D13-4E7F-96C7-EF769D390CF7}" srcOrd="4" destOrd="0" presId="urn:microsoft.com/office/officeart/2005/8/layout/hierarchy6"/>
    <dgm:cxn modelId="{EBE19B6E-99B9-4229-BEFC-6529C248C31C}" type="presParOf" srcId="{13292FA9-9D26-4A00-B701-7BE187C5A252}" destId="{A7A58105-546E-4B16-A487-8B67209A4724}" srcOrd="5" destOrd="0" presId="urn:microsoft.com/office/officeart/2005/8/layout/hierarchy6"/>
    <dgm:cxn modelId="{879DF1A9-635C-4DC7-9F7D-1E7FDD4B0BDE}" type="presParOf" srcId="{A7A58105-546E-4B16-A487-8B67209A4724}" destId="{F8A34F09-861C-4E92-BFFB-BEA04E1811B4}" srcOrd="0" destOrd="0" presId="urn:microsoft.com/office/officeart/2005/8/layout/hierarchy6"/>
    <dgm:cxn modelId="{0EE198D2-40ED-4511-87AB-31A327D86AC5}" type="presParOf" srcId="{A7A58105-546E-4B16-A487-8B67209A4724}" destId="{146F51BF-B515-4E97-AB0D-DFE6A07CBAEB}" srcOrd="1" destOrd="0" presId="urn:microsoft.com/office/officeart/2005/8/layout/hierarchy6"/>
    <dgm:cxn modelId="{11F2A814-ED46-43DC-9DF1-E8B736E5308C}" type="presParOf" srcId="{146F51BF-B515-4E97-AB0D-DFE6A07CBAEB}" destId="{B0CFFC2D-4791-4ABA-AE8B-A028B670C2F3}" srcOrd="0" destOrd="0" presId="urn:microsoft.com/office/officeart/2005/8/layout/hierarchy6"/>
    <dgm:cxn modelId="{42484375-CAC7-4597-9A5D-EF5C18A322A6}" type="presParOf" srcId="{146F51BF-B515-4E97-AB0D-DFE6A07CBAEB}" destId="{8AAAA36F-2C2D-4AE3-9BBC-480AB1045133}" srcOrd="1" destOrd="0" presId="urn:microsoft.com/office/officeart/2005/8/layout/hierarchy6"/>
    <dgm:cxn modelId="{2B50207F-EA42-4065-A93C-7D1BF6ADC6FA}" type="presParOf" srcId="{8AAAA36F-2C2D-4AE3-9BBC-480AB1045133}" destId="{76A9C44A-66AB-452E-AC92-725CAA7AC918}" srcOrd="0" destOrd="0" presId="urn:microsoft.com/office/officeart/2005/8/layout/hierarchy6"/>
    <dgm:cxn modelId="{7C1BD89F-F35A-453C-9BC5-0111329B784B}" type="presParOf" srcId="{8AAAA36F-2C2D-4AE3-9BBC-480AB1045133}" destId="{45BEC31A-BF38-4E91-8A04-45EEB59C2F3E}" srcOrd="1" destOrd="0" presId="urn:microsoft.com/office/officeart/2005/8/layout/hierarchy6"/>
    <dgm:cxn modelId="{01F5978E-9E23-4D1F-B718-5E71F02B2602}" type="presParOf" srcId="{146F51BF-B515-4E97-AB0D-DFE6A07CBAEB}" destId="{570AF86A-72B4-4AF0-81E7-F522806F6918}" srcOrd="2" destOrd="0" presId="urn:microsoft.com/office/officeart/2005/8/layout/hierarchy6"/>
    <dgm:cxn modelId="{5250709D-67CA-4EBA-A867-77E46165689E}" type="presParOf" srcId="{146F51BF-B515-4E97-AB0D-DFE6A07CBAEB}" destId="{7A1D5632-85ED-45DF-89EB-C0B3CE453CE8}" srcOrd="3" destOrd="0" presId="urn:microsoft.com/office/officeart/2005/8/layout/hierarchy6"/>
    <dgm:cxn modelId="{A5AECB26-146C-4E88-9D91-E34E168BFB54}" type="presParOf" srcId="{7A1D5632-85ED-45DF-89EB-C0B3CE453CE8}" destId="{2A864C87-7DDD-4EDE-AABB-A88442248A86}" srcOrd="0" destOrd="0" presId="urn:microsoft.com/office/officeart/2005/8/layout/hierarchy6"/>
    <dgm:cxn modelId="{181B7D5F-32AB-445C-9E38-4A4420EE1181}" type="presParOf" srcId="{7A1D5632-85ED-45DF-89EB-C0B3CE453CE8}" destId="{97D4664B-6C97-4E3A-ACC7-BC3748528D4E}" srcOrd="1" destOrd="0" presId="urn:microsoft.com/office/officeart/2005/8/layout/hierarchy6"/>
    <dgm:cxn modelId="{20272DF6-415A-44A5-8162-ED1B23114006}" type="presParOf" srcId="{146F51BF-B515-4E97-AB0D-DFE6A07CBAEB}" destId="{8F134DE1-9443-4A76-A2F5-20496A3C8610}" srcOrd="4" destOrd="0" presId="urn:microsoft.com/office/officeart/2005/8/layout/hierarchy6"/>
    <dgm:cxn modelId="{FFE43DF0-8A98-418A-A3EB-05B8BC76D9C3}" type="presParOf" srcId="{146F51BF-B515-4E97-AB0D-DFE6A07CBAEB}" destId="{AF6777A8-BBE0-4286-91F7-D21548BB4828}" srcOrd="5" destOrd="0" presId="urn:microsoft.com/office/officeart/2005/8/layout/hierarchy6"/>
    <dgm:cxn modelId="{7BB4A5CA-725D-4683-8902-3BC726B23426}" type="presParOf" srcId="{AF6777A8-BBE0-4286-91F7-D21548BB4828}" destId="{E2CBFAC9-A1D5-411B-9701-47D328A45087}" srcOrd="0" destOrd="0" presId="urn:microsoft.com/office/officeart/2005/8/layout/hierarchy6"/>
    <dgm:cxn modelId="{0DAFC202-FFAF-4CE7-8A67-7BF4F1A99A80}" type="presParOf" srcId="{AF6777A8-BBE0-4286-91F7-D21548BB4828}" destId="{53833AE8-0704-4273-A17A-32667297DACB}" srcOrd="1" destOrd="0" presId="urn:microsoft.com/office/officeart/2005/8/layout/hierarchy6"/>
    <dgm:cxn modelId="{C203295D-6192-4D48-A508-912859C72EA1}" type="presParOf" srcId="{13292FA9-9D26-4A00-B701-7BE187C5A252}" destId="{0780D32E-ABFB-4B9F-BCC3-664632188C09}" srcOrd="6" destOrd="0" presId="urn:microsoft.com/office/officeart/2005/8/layout/hierarchy6"/>
    <dgm:cxn modelId="{FFFD9204-EEEA-414E-8DC7-06B94DDA53ED}" type="presParOf" srcId="{13292FA9-9D26-4A00-B701-7BE187C5A252}" destId="{2A6C1535-5D3F-481C-94B0-0AF378C0B986}" srcOrd="7" destOrd="0" presId="urn:microsoft.com/office/officeart/2005/8/layout/hierarchy6"/>
    <dgm:cxn modelId="{0ED21817-C6AE-4929-8A54-F24C58C69C4B}" type="presParOf" srcId="{2A6C1535-5D3F-481C-94B0-0AF378C0B986}" destId="{97D05B06-B097-4EC4-97A7-83041382261D}" srcOrd="0" destOrd="0" presId="urn:microsoft.com/office/officeart/2005/8/layout/hierarchy6"/>
    <dgm:cxn modelId="{60C4FEEE-DC48-4279-8C94-3E73D5F2DC12}" type="presParOf" srcId="{2A6C1535-5D3F-481C-94B0-0AF378C0B986}" destId="{EECDA622-72D3-44E1-8EA3-F7ED67E51A26}" srcOrd="1" destOrd="0" presId="urn:microsoft.com/office/officeart/2005/8/layout/hierarchy6"/>
    <dgm:cxn modelId="{217093E4-5DE7-487F-86D6-7A1397785A99}" type="presParOf" srcId="{EECDA622-72D3-44E1-8EA3-F7ED67E51A26}" destId="{74587BA8-5954-4209-ABC2-5E5B183C66F3}" srcOrd="0" destOrd="0" presId="urn:microsoft.com/office/officeart/2005/8/layout/hierarchy6"/>
    <dgm:cxn modelId="{F0D0A423-E52E-4ADE-A69F-C869776C1A70}" type="presParOf" srcId="{EECDA622-72D3-44E1-8EA3-F7ED67E51A26}" destId="{743DFCD0-491B-4D13-98C3-B96706B84FFA}" srcOrd="1" destOrd="0" presId="urn:microsoft.com/office/officeart/2005/8/layout/hierarchy6"/>
    <dgm:cxn modelId="{2ECE7A3C-103F-4E64-A3AE-435A3D15BE78}" type="presParOf" srcId="{743DFCD0-491B-4D13-98C3-B96706B84FFA}" destId="{357801CE-3718-4936-A990-4B8ABA290ED4}" srcOrd="0" destOrd="0" presId="urn:microsoft.com/office/officeart/2005/8/layout/hierarchy6"/>
    <dgm:cxn modelId="{F14AFB88-4467-4134-A08E-4BD2714C5C53}" type="presParOf" srcId="{743DFCD0-491B-4D13-98C3-B96706B84FFA}" destId="{69524F4E-309A-4F52-9671-5CC4D93AA776}" srcOrd="1" destOrd="0" presId="urn:microsoft.com/office/officeart/2005/8/layout/hierarchy6"/>
    <dgm:cxn modelId="{6BE3E370-20B7-4F2F-B180-395A56182962}" type="presParOf" srcId="{EECDA622-72D3-44E1-8EA3-F7ED67E51A26}" destId="{6A80476F-7AD5-4D53-B37C-94F640B9CFD0}" srcOrd="2" destOrd="0" presId="urn:microsoft.com/office/officeart/2005/8/layout/hierarchy6"/>
    <dgm:cxn modelId="{7130340C-0F2C-48DE-A31F-909DC53B1EFB}" type="presParOf" srcId="{EECDA622-72D3-44E1-8EA3-F7ED67E51A26}" destId="{9D91A2D8-3CBD-4C49-BEE3-41148B6313C1}" srcOrd="3" destOrd="0" presId="urn:microsoft.com/office/officeart/2005/8/layout/hierarchy6"/>
    <dgm:cxn modelId="{ABFD4593-DA76-4DCA-A183-C277CE9C6D2C}" type="presParOf" srcId="{9D91A2D8-3CBD-4C49-BEE3-41148B6313C1}" destId="{52C11137-D99D-47E2-9030-8F8F03134CA1}" srcOrd="0" destOrd="0" presId="urn:microsoft.com/office/officeart/2005/8/layout/hierarchy6"/>
    <dgm:cxn modelId="{D6D6ACCC-BC9D-42A6-A1AA-C14BBFA8770B}" type="presParOf" srcId="{9D91A2D8-3CBD-4C49-BEE3-41148B6313C1}" destId="{56FC842B-A0DD-4A1B-A311-DF0C6C3E043D}" srcOrd="1" destOrd="0" presId="urn:microsoft.com/office/officeart/2005/8/layout/hierarchy6"/>
    <dgm:cxn modelId="{04C0E6FD-6FE7-4D0C-8AD7-09E089C5B53C}" type="presParOf" srcId="{EECDA622-72D3-44E1-8EA3-F7ED67E51A26}" destId="{936E48CE-C275-4A7A-929C-9788E38091EB}" srcOrd="4" destOrd="0" presId="urn:microsoft.com/office/officeart/2005/8/layout/hierarchy6"/>
    <dgm:cxn modelId="{20B946B3-FF5E-4EDA-BFF6-6E2C07ED7E83}" type="presParOf" srcId="{EECDA622-72D3-44E1-8EA3-F7ED67E51A26}" destId="{24FAFBC3-0C0E-44CF-93EC-6960F882E74E}" srcOrd="5" destOrd="0" presId="urn:microsoft.com/office/officeart/2005/8/layout/hierarchy6"/>
    <dgm:cxn modelId="{7B15C651-E3FA-4230-B241-051573501394}" type="presParOf" srcId="{24FAFBC3-0C0E-44CF-93EC-6960F882E74E}" destId="{9A616711-DCBC-418A-8278-23D7D144F1C3}" srcOrd="0" destOrd="0" presId="urn:microsoft.com/office/officeart/2005/8/layout/hierarchy6"/>
    <dgm:cxn modelId="{2B02E4EF-3288-459A-8E3F-D64F9329F958}" type="presParOf" srcId="{24FAFBC3-0C0E-44CF-93EC-6960F882E74E}" destId="{AE5C5B9B-2F3B-437D-98E4-DDE3E8B02B7A}" srcOrd="1" destOrd="0" presId="urn:microsoft.com/office/officeart/2005/8/layout/hierarchy6"/>
    <dgm:cxn modelId="{B5D758AD-018E-400E-AB2B-4FB975F91343}" type="presParOf" srcId="{13292FA9-9D26-4A00-B701-7BE187C5A252}" destId="{D4669E14-CA1A-4D99-A376-6C0AE7D37824}" srcOrd="8" destOrd="0" presId="urn:microsoft.com/office/officeart/2005/8/layout/hierarchy6"/>
    <dgm:cxn modelId="{A19CAFBB-F615-4E9D-ADEF-9E34FA2D7CD4}" type="presParOf" srcId="{13292FA9-9D26-4A00-B701-7BE187C5A252}" destId="{35F9B29D-84C0-48E1-9108-403B041DE986}" srcOrd="9" destOrd="0" presId="urn:microsoft.com/office/officeart/2005/8/layout/hierarchy6"/>
    <dgm:cxn modelId="{56092191-7090-4F78-A074-AD9848E4E90E}" type="presParOf" srcId="{35F9B29D-84C0-48E1-9108-403B041DE986}" destId="{9B6EC84A-9497-486F-BD29-774A0446AC6A}" srcOrd="0" destOrd="0" presId="urn:microsoft.com/office/officeart/2005/8/layout/hierarchy6"/>
    <dgm:cxn modelId="{09B5D060-6693-42F1-860E-3E5DF8FA4F9E}" type="presParOf" srcId="{35F9B29D-84C0-48E1-9108-403B041DE986}" destId="{CB509099-279B-40FF-83A8-67D8EF236280}" srcOrd="1" destOrd="0" presId="urn:microsoft.com/office/officeart/2005/8/layout/hierarchy6"/>
    <dgm:cxn modelId="{47C58CD5-94D8-4399-8FF1-29586C03E19F}" type="presParOf" srcId="{CB509099-279B-40FF-83A8-67D8EF236280}" destId="{987EF481-8F25-4A6D-B228-B0F49951C03F}" srcOrd="0" destOrd="0" presId="urn:microsoft.com/office/officeart/2005/8/layout/hierarchy6"/>
    <dgm:cxn modelId="{42DB2FB1-DD47-448D-BA29-22A0CE53C32B}" type="presParOf" srcId="{CB509099-279B-40FF-83A8-67D8EF236280}" destId="{636A4FAF-10DD-47A3-97F4-E9AF51E687A5}" srcOrd="1" destOrd="0" presId="urn:microsoft.com/office/officeart/2005/8/layout/hierarchy6"/>
    <dgm:cxn modelId="{21B04B89-2ECB-4433-A208-FE91444C34A7}" type="presParOf" srcId="{636A4FAF-10DD-47A3-97F4-E9AF51E687A5}" destId="{E5E1456F-2AE9-42B0-9BB7-5A1F88B9E012}" srcOrd="0" destOrd="0" presId="urn:microsoft.com/office/officeart/2005/8/layout/hierarchy6"/>
    <dgm:cxn modelId="{2CDBE8B2-589D-4BDC-B602-C9748CBCD019}" type="presParOf" srcId="{636A4FAF-10DD-47A3-97F4-E9AF51E687A5}" destId="{F3BCA6F0-B3B1-4E9F-B561-11208749EBDB}" srcOrd="1" destOrd="0" presId="urn:microsoft.com/office/officeart/2005/8/layout/hierarchy6"/>
    <dgm:cxn modelId="{9EAF4DC8-92C3-42F8-999A-C08C90755FAD}" type="presParOf" srcId="{CB509099-279B-40FF-83A8-67D8EF236280}" destId="{EF81E231-26E4-45BF-94D2-2AE961407BC3}" srcOrd="2" destOrd="0" presId="urn:microsoft.com/office/officeart/2005/8/layout/hierarchy6"/>
    <dgm:cxn modelId="{803EE658-C703-409B-965A-27DE89734925}" type="presParOf" srcId="{CB509099-279B-40FF-83A8-67D8EF236280}" destId="{7A9F6F6C-7D98-43CF-A5C7-F17C488E2782}" srcOrd="3" destOrd="0" presId="urn:microsoft.com/office/officeart/2005/8/layout/hierarchy6"/>
    <dgm:cxn modelId="{8EC13019-51F4-4375-B3E3-0B22F7D95D5A}" type="presParOf" srcId="{7A9F6F6C-7D98-43CF-A5C7-F17C488E2782}" destId="{C4DEAA45-24DC-4C4E-97E0-9561E1DAEEDD}" srcOrd="0" destOrd="0" presId="urn:microsoft.com/office/officeart/2005/8/layout/hierarchy6"/>
    <dgm:cxn modelId="{60148433-8687-49EA-8CDE-BF20B88DDCB8}" type="presParOf" srcId="{7A9F6F6C-7D98-43CF-A5C7-F17C488E2782}" destId="{445C8A41-AB17-4002-9A4C-B2D370281DDE}" srcOrd="1" destOrd="0" presId="urn:microsoft.com/office/officeart/2005/8/layout/hierarchy6"/>
    <dgm:cxn modelId="{266B859B-E4AC-469D-8CDC-2948D8D3BE78}" type="presParOf" srcId="{CB509099-279B-40FF-83A8-67D8EF236280}" destId="{B7F04C45-1169-4277-9696-01E0664EAE1B}" srcOrd="4" destOrd="0" presId="urn:microsoft.com/office/officeart/2005/8/layout/hierarchy6"/>
    <dgm:cxn modelId="{FD57A846-240A-4CBE-80D2-5CB99A6A4B94}" type="presParOf" srcId="{CB509099-279B-40FF-83A8-67D8EF236280}" destId="{D7F45B1A-D1B0-4D9A-AE8E-8EB3773B38A4}" srcOrd="5" destOrd="0" presId="urn:microsoft.com/office/officeart/2005/8/layout/hierarchy6"/>
    <dgm:cxn modelId="{58B081A2-7128-4529-9097-FE4D3703B538}" type="presParOf" srcId="{D7F45B1A-D1B0-4D9A-AE8E-8EB3773B38A4}" destId="{5F46D040-EDAA-40D7-9C26-C6AF905D2FAC}" srcOrd="0" destOrd="0" presId="urn:microsoft.com/office/officeart/2005/8/layout/hierarchy6"/>
    <dgm:cxn modelId="{8CBEF221-5D94-47D2-9250-51928BEC31C4}" type="presParOf" srcId="{D7F45B1A-D1B0-4D9A-AE8E-8EB3773B38A4}" destId="{C965A5FF-BD13-4F72-B515-69F7C1753297}" srcOrd="1" destOrd="0" presId="urn:microsoft.com/office/officeart/2005/8/layout/hierarchy6"/>
    <dgm:cxn modelId="{A8738310-744C-4191-A2DB-08B524C8FDB8}" type="presParOf" srcId="{13292FA9-9D26-4A00-B701-7BE187C5A252}" destId="{4F0C387C-4B40-4A15-98E4-1DE713E2C616}" srcOrd="10" destOrd="0" presId="urn:microsoft.com/office/officeart/2005/8/layout/hierarchy6"/>
    <dgm:cxn modelId="{CB405193-6A42-4118-BC0E-C2670A92C9E6}" type="presParOf" srcId="{13292FA9-9D26-4A00-B701-7BE187C5A252}" destId="{6EF0B493-4C2D-4BF4-983D-FA86AD9E1BCA}" srcOrd="11" destOrd="0" presId="urn:microsoft.com/office/officeart/2005/8/layout/hierarchy6"/>
    <dgm:cxn modelId="{DD440374-0B38-44AD-85A4-2A7D81897775}" type="presParOf" srcId="{6EF0B493-4C2D-4BF4-983D-FA86AD9E1BCA}" destId="{B0629BFB-151C-4FE2-9D8A-94C0F04E0F05}" srcOrd="0" destOrd="0" presId="urn:microsoft.com/office/officeart/2005/8/layout/hierarchy6"/>
    <dgm:cxn modelId="{ABD73529-0E98-4131-B8F6-7A8535E8269C}" type="presParOf" srcId="{6EF0B493-4C2D-4BF4-983D-FA86AD9E1BCA}" destId="{3246C889-0DB2-4C1D-B1B1-DB7974535005}" srcOrd="1" destOrd="0" presId="urn:microsoft.com/office/officeart/2005/8/layout/hierarchy6"/>
    <dgm:cxn modelId="{62FF9EBB-D0F1-48AC-BFBD-8A3A50BB0E52}" type="presParOf" srcId="{3246C889-0DB2-4C1D-B1B1-DB7974535005}" destId="{294D6C8C-1123-4BBD-B986-7E954A6633CD}" srcOrd="0" destOrd="0" presId="urn:microsoft.com/office/officeart/2005/8/layout/hierarchy6"/>
    <dgm:cxn modelId="{53B1C852-9A24-483C-BCB5-ABB37020A01D}" type="presParOf" srcId="{3246C889-0DB2-4C1D-B1B1-DB7974535005}" destId="{86EF36E4-D89A-4964-909F-F8BFB91DA9B0}" srcOrd="1" destOrd="0" presId="urn:microsoft.com/office/officeart/2005/8/layout/hierarchy6"/>
    <dgm:cxn modelId="{3D1BED5A-2533-40C1-869D-BC2184DD4F4E}" type="presParOf" srcId="{86EF36E4-D89A-4964-909F-F8BFB91DA9B0}" destId="{A2B5379F-D06C-42C2-8D58-A95BA4A41363}" srcOrd="0" destOrd="0" presId="urn:microsoft.com/office/officeart/2005/8/layout/hierarchy6"/>
    <dgm:cxn modelId="{CBAC5EEE-9D43-4901-A9B2-41674CEA1F91}" type="presParOf" srcId="{86EF36E4-D89A-4964-909F-F8BFB91DA9B0}" destId="{EC5C5499-EB61-49E4-8991-0EA2A622EB4A}" srcOrd="1" destOrd="0" presId="urn:microsoft.com/office/officeart/2005/8/layout/hierarchy6"/>
    <dgm:cxn modelId="{9F8FE3F0-AF51-4D9F-A252-C8093968BB0B}" type="presParOf" srcId="{3246C889-0DB2-4C1D-B1B1-DB7974535005}" destId="{0F8C9534-ABAD-40AA-A814-7F0FD70CD45E}" srcOrd="2" destOrd="0" presId="urn:microsoft.com/office/officeart/2005/8/layout/hierarchy6"/>
    <dgm:cxn modelId="{D7FF3E87-0266-4891-9B5D-A2E3743D08AC}" type="presParOf" srcId="{3246C889-0DB2-4C1D-B1B1-DB7974535005}" destId="{F8FC8B8F-4EC0-4966-B959-1341D7B33EBF}" srcOrd="3" destOrd="0" presId="urn:microsoft.com/office/officeart/2005/8/layout/hierarchy6"/>
    <dgm:cxn modelId="{1F6709E4-226C-4EF7-B12D-BFC3F4EB2F15}" type="presParOf" srcId="{F8FC8B8F-4EC0-4966-B959-1341D7B33EBF}" destId="{798E04DC-1E3E-4944-8E91-5F5CBA0603A6}" srcOrd="0" destOrd="0" presId="urn:microsoft.com/office/officeart/2005/8/layout/hierarchy6"/>
    <dgm:cxn modelId="{A358DEE5-265A-4503-9013-F30ABF7A218D}" type="presParOf" srcId="{F8FC8B8F-4EC0-4966-B959-1341D7B33EBF}" destId="{8560B967-3ED4-4189-BF87-80568C609EC9}" srcOrd="1" destOrd="0" presId="urn:microsoft.com/office/officeart/2005/8/layout/hierarchy6"/>
    <dgm:cxn modelId="{2B75AFFB-8ECB-4E7D-AC2E-D46B73E7E114}" type="presParOf" srcId="{3246C889-0DB2-4C1D-B1B1-DB7974535005}" destId="{A63D3328-963A-4049-92A0-8D9CF75BA05C}" srcOrd="4" destOrd="0" presId="urn:microsoft.com/office/officeart/2005/8/layout/hierarchy6"/>
    <dgm:cxn modelId="{09F93005-2DB6-4B18-8F08-A4A41F779DBE}" type="presParOf" srcId="{3246C889-0DB2-4C1D-B1B1-DB7974535005}" destId="{86D5BF19-F7BE-4C6D-9F72-A1ADFA2E5932}" srcOrd="5" destOrd="0" presId="urn:microsoft.com/office/officeart/2005/8/layout/hierarchy6"/>
    <dgm:cxn modelId="{615C1BC3-2E00-43F6-B9E3-63388DB5A960}" type="presParOf" srcId="{86D5BF19-F7BE-4C6D-9F72-A1ADFA2E5932}" destId="{B942EF26-0B6E-4F7F-9233-D17279DD4258}" srcOrd="0" destOrd="0" presId="urn:microsoft.com/office/officeart/2005/8/layout/hierarchy6"/>
    <dgm:cxn modelId="{56D6564E-59E9-4357-B4F8-E483219A77F6}" type="presParOf" srcId="{86D5BF19-F7BE-4C6D-9F72-A1ADFA2E5932}" destId="{797C256F-4351-40EF-90B8-55B9BD87214E}" srcOrd="1" destOrd="0" presId="urn:microsoft.com/office/officeart/2005/8/layout/hierarchy6"/>
    <dgm:cxn modelId="{696D01BD-6E75-468B-892F-C735ED56E567}" type="presParOf" srcId="{13292FA9-9D26-4A00-B701-7BE187C5A252}" destId="{C9BA3AAD-5F09-4F57-A105-F4C37B5F051D}" srcOrd="12" destOrd="0" presId="urn:microsoft.com/office/officeart/2005/8/layout/hierarchy6"/>
    <dgm:cxn modelId="{274ABA08-8EDB-4CA2-8755-848F7347B09D}" type="presParOf" srcId="{13292FA9-9D26-4A00-B701-7BE187C5A252}" destId="{27100FBF-C1D5-437D-80AB-8ACD7DE63EA7}" srcOrd="13" destOrd="0" presId="urn:microsoft.com/office/officeart/2005/8/layout/hierarchy6"/>
    <dgm:cxn modelId="{271E3D6E-FE8F-45C6-B14D-2E9036D673E6}" type="presParOf" srcId="{27100FBF-C1D5-437D-80AB-8ACD7DE63EA7}" destId="{BF493FAE-3F4D-4684-910E-C95A34AE431F}" srcOrd="0" destOrd="0" presId="urn:microsoft.com/office/officeart/2005/8/layout/hierarchy6"/>
    <dgm:cxn modelId="{75AB4535-8871-4160-95F2-AA11A262C97B}" type="presParOf" srcId="{27100FBF-C1D5-437D-80AB-8ACD7DE63EA7}" destId="{C98D9399-800A-4098-AA68-51256A757395}" srcOrd="1" destOrd="0" presId="urn:microsoft.com/office/officeart/2005/8/layout/hierarchy6"/>
    <dgm:cxn modelId="{B3A7B70A-8CB3-4FBE-9D13-B767FCA61DE1}" type="presParOf" srcId="{C98D9399-800A-4098-AA68-51256A757395}" destId="{8FA7CA82-6462-4D6E-9F2A-1B80B5D4F321}" srcOrd="0" destOrd="0" presId="urn:microsoft.com/office/officeart/2005/8/layout/hierarchy6"/>
    <dgm:cxn modelId="{116A67E9-460F-447A-A67C-D9DCC22EE542}" type="presParOf" srcId="{C98D9399-800A-4098-AA68-51256A757395}" destId="{9651C0F5-37C5-492A-A47E-DB714BE50E19}" srcOrd="1" destOrd="0" presId="urn:microsoft.com/office/officeart/2005/8/layout/hierarchy6"/>
    <dgm:cxn modelId="{C0AD2D90-31AA-4A51-AF83-D8DD6C884898}" type="presParOf" srcId="{9651C0F5-37C5-492A-A47E-DB714BE50E19}" destId="{EB89D6C2-9208-4348-B731-49627D5E5DC1}" srcOrd="0" destOrd="0" presId="urn:microsoft.com/office/officeart/2005/8/layout/hierarchy6"/>
    <dgm:cxn modelId="{BCF460A2-E277-4C28-97F0-2A5865F0926F}" type="presParOf" srcId="{9651C0F5-37C5-492A-A47E-DB714BE50E19}" destId="{5E1BCD80-A17A-4AA4-8944-1F1805C9653E}" srcOrd="1" destOrd="0" presId="urn:microsoft.com/office/officeart/2005/8/layout/hierarchy6"/>
    <dgm:cxn modelId="{FBDD02D5-E2A6-4F24-A43C-2865AD621960}" type="presParOf" srcId="{C98D9399-800A-4098-AA68-51256A757395}" destId="{70401D0E-695E-4187-939F-984B5276AEC4}" srcOrd="2" destOrd="0" presId="urn:microsoft.com/office/officeart/2005/8/layout/hierarchy6"/>
    <dgm:cxn modelId="{8F5B51E1-DBC0-41A8-9C2D-46AA654B16E8}" type="presParOf" srcId="{C98D9399-800A-4098-AA68-51256A757395}" destId="{079B1816-2A9B-4493-A47C-8DF1541FE740}" srcOrd="3" destOrd="0" presId="urn:microsoft.com/office/officeart/2005/8/layout/hierarchy6"/>
    <dgm:cxn modelId="{E34E53A4-0ABE-44BA-B667-167FE9BACEA4}" type="presParOf" srcId="{079B1816-2A9B-4493-A47C-8DF1541FE740}" destId="{8EAFD011-D4A0-429B-8AEA-5B6FCD77CB17}" srcOrd="0" destOrd="0" presId="urn:microsoft.com/office/officeart/2005/8/layout/hierarchy6"/>
    <dgm:cxn modelId="{ACE665FD-2FDA-4B19-B473-D3D1C2C1599C}" type="presParOf" srcId="{079B1816-2A9B-4493-A47C-8DF1541FE740}" destId="{2446D3B1-D4A5-44CA-A671-A027BBCC5279}" srcOrd="1" destOrd="0" presId="urn:microsoft.com/office/officeart/2005/8/layout/hierarchy6"/>
    <dgm:cxn modelId="{9F1152D5-B24C-48C4-8BCF-0686092CDE3B}" type="presParOf" srcId="{C98D9399-800A-4098-AA68-51256A757395}" destId="{ABF67DB1-78D2-41E6-A9C9-8C64F075A7CF}" srcOrd="4" destOrd="0" presId="urn:microsoft.com/office/officeart/2005/8/layout/hierarchy6"/>
    <dgm:cxn modelId="{E057F92E-BB43-4EFF-8E4F-307CFD388A1A}" type="presParOf" srcId="{C98D9399-800A-4098-AA68-51256A757395}" destId="{BD1E99BE-671F-4C23-84D7-0716F7C8A303}" srcOrd="5" destOrd="0" presId="urn:microsoft.com/office/officeart/2005/8/layout/hierarchy6"/>
    <dgm:cxn modelId="{3C2FC3F0-1699-4673-9F7E-8CAB6B6899C8}" type="presParOf" srcId="{BD1E99BE-671F-4C23-84D7-0716F7C8A303}" destId="{8353D0DB-AE05-4CAC-8662-CE1A495D859A}" srcOrd="0" destOrd="0" presId="urn:microsoft.com/office/officeart/2005/8/layout/hierarchy6"/>
    <dgm:cxn modelId="{AD592281-8F49-4E01-8259-7A67FAB00D78}" type="presParOf" srcId="{BD1E99BE-671F-4C23-84D7-0716F7C8A303}" destId="{88677124-D119-4D4C-97F8-D4C55D7222FE}" srcOrd="1" destOrd="0" presId="urn:microsoft.com/office/officeart/2005/8/layout/hierarchy6"/>
    <dgm:cxn modelId="{D24B7CA8-A734-458A-9D53-AC30591D67DA}" type="presParOf" srcId="{886B8333-BFF3-4DE7-83B1-37F295B09F93}" destId="{7F6A481F-9155-452B-A588-9410BABA0698}"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FFA10EA-FC5E-47A0-B55A-AAFDAE44C4FB}" type="doc">
      <dgm:prSet loTypeId="urn:microsoft.com/office/officeart/2005/8/layout/hierarchy3" loCatId="relationship" qsTypeId="urn:microsoft.com/office/officeart/2005/8/quickstyle/simple1" qsCatId="simple" csTypeId="urn:microsoft.com/office/officeart/2005/8/colors/accent0_2" csCatId="mainScheme" phldr="1"/>
      <dgm:spPr/>
      <dgm:t>
        <a:bodyPr/>
        <a:lstStyle/>
        <a:p>
          <a:endParaRPr lang="fr-FR"/>
        </a:p>
      </dgm:t>
    </dgm:pt>
    <dgm:pt modelId="{9BE1B6B6-AF6A-43C8-B8FE-D432E377225B}">
      <dgm:prSet phldrT="[Texte]" custT="1"/>
      <dgm:spPr>
        <a:solidFill>
          <a:schemeClr val="bg1">
            <a:lumMod val="75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مفهوم المرونة</a:t>
          </a:r>
          <a:endParaRPr lang="fr-FR" sz="1200">
            <a:solidFill>
              <a:schemeClr val="tx1"/>
            </a:solidFill>
            <a:latin typeface="Simplified Arabic" panose="02020603050405020304" pitchFamily="18" charset="-78"/>
            <a:cs typeface="Simplified Arabic" panose="02020603050405020304" pitchFamily="18" charset="-78"/>
          </a:endParaRPr>
        </a:p>
      </dgm:t>
    </dgm:pt>
    <dgm:pt modelId="{A5C3F61B-AD5F-4EAD-8AA0-4BFEA7ABEDF9}" type="parTrans" cxnId="{14A375C4-8EF0-415B-A0F7-DC7F01CB2624}">
      <dgm:prSet/>
      <dgm:spPr/>
      <dgm:t>
        <a:bodyPr/>
        <a:lstStyle/>
        <a:p>
          <a:pPr rtl="1"/>
          <a:endParaRPr lang="fr-FR">
            <a:solidFill>
              <a:schemeClr val="tx1"/>
            </a:solidFill>
          </a:endParaRPr>
        </a:p>
      </dgm:t>
    </dgm:pt>
    <dgm:pt modelId="{F8656340-1AD1-43E9-A43B-8CE9C7C94330}" type="sibTrans" cxnId="{14A375C4-8EF0-415B-A0F7-DC7F01CB2624}">
      <dgm:prSet/>
      <dgm:spPr/>
      <dgm:t>
        <a:bodyPr/>
        <a:lstStyle/>
        <a:p>
          <a:pPr rtl="1"/>
          <a:endParaRPr lang="fr-FR">
            <a:solidFill>
              <a:schemeClr val="tx1"/>
            </a:solidFill>
          </a:endParaRPr>
        </a:p>
      </dgm:t>
    </dgm:pt>
    <dgm:pt modelId="{550CC6A4-1F9B-4860-B3C3-DE343AC2BD0E}">
      <dgm:prSet phldrT="[Texte]" custT="1"/>
      <dgm:spPr>
        <a:solidFill>
          <a:schemeClr val="bg1">
            <a:lumMod val="75000"/>
            <a:alpha val="90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نظام اجتماعي مرتبط بنظام ايكولوجي</a:t>
          </a:r>
          <a:endParaRPr lang="fr-FR" sz="1200">
            <a:solidFill>
              <a:schemeClr val="tx1"/>
            </a:solidFill>
            <a:latin typeface="Simplified Arabic" panose="02020603050405020304" pitchFamily="18" charset="-78"/>
            <a:cs typeface="Simplified Arabic" panose="02020603050405020304" pitchFamily="18" charset="-78"/>
          </a:endParaRPr>
        </a:p>
      </dgm:t>
    </dgm:pt>
    <dgm:pt modelId="{1DAD4FE2-79A9-4271-9534-46B6EC099A97}" type="parTrans" cxnId="{F1EDC855-4B34-4BE7-A97F-AAD887FE3596}">
      <dgm:prSet>
        <dgm:style>
          <a:lnRef idx="2">
            <a:schemeClr val="dk1"/>
          </a:lnRef>
          <a:fillRef idx="0">
            <a:schemeClr val="dk1"/>
          </a:fillRef>
          <a:effectRef idx="1">
            <a:schemeClr val="dk1"/>
          </a:effectRef>
          <a:fontRef idx="minor">
            <a:schemeClr val="tx1"/>
          </a:fontRef>
        </dgm:style>
      </dgm:prSet>
      <dgm:spPr>
        <a:ln w="9525"/>
      </dgm:spPr>
      <dgm:t>
        <a:bodyPr/>
        <a:lstStyle/>
        <a:p>
          <a:pPr rtl="1"/>
          <a:endParaRPr lang="fr-FR">
            <a:solidFill>
              <a:schemeClr val="tx1"/>
            </a:solidFill>
          </a:endParaRPr>
        </a:p>
      </dgm:t>
    </dgm:pt>
    <dgm:pt modelId="{23841C72-62EA-47F9-A1BF-D60BA83F20D3}" type="sibTrans" cxnId="{F1EDC855-4B34-4BE7-A97F-AAD887FE3596}">
      <dgm:prSet/>
      <dgm:spPr/>
      <dgm:t>
        <a:bodyPr/>
        <a:lstStyle/>
        <a:p>
          <a:pPr rtl="1"/>
          <a:endParaRPr lang="fr-FR">
            <a:solidFill>
              <a:schemeClr val="tx1"/>
            </a:solidFill>
          </a:endParaRPr>
        </a:p>
      </dgm:t>
    </dgm:pt>
    <dgm:pt modelId="{62716109-F932-41AB-91B2-E721151C36AA}">
      <dgm:prSet phldrT="[Texte]" custT="1"/>
      <dgm:spPr>
        <a:solidFill>
          <a:schemeClr val="bg1">
            <a:lumMod val="75000"/>
            <a:alpha val="90000"/>
          </a:schemeClr>
        </a:solidFill>
        <a:ln w="9525">
          <a:solidFill>
            <a:schemeClr val="bg1">
              <a:lumMod val="65000"/>
            </a:schemeClr>
          </a:solidFill>
        </a:ln>
      </dgm:spPr>
      <dgm:t>
        <a:bodyPr/>
        <a:lstStyle/>
        <a:p>
          <a:pPr rtl="1"/>
          <a:r>
            <a:rPr lang="ar-DZ" sz="1200" b="0">
              <a:solidFill>
                <a:schemeClr val="tx1"/>
              </a:solidFill>
              <a:latin typeface="Simplified Arabic" panose="02020603050405020304" pitchFamily="18" charset="-78"/>
              <a:cs typeface="Simplified Arabic" panose="02020603050405020304" pitchFamily="18" charset="-78"/>
            </a:rPr>
            <a:t>نظام اجتماعي وايكولوجي غير قابل للتنبؤ</a:t>
          </a:r>
          <a:endParaRPr lang="fr-FR" sz="1200" b="0">
            <a:solidFill>
              <a:schemeClr val="tx1"/>
            </a:solidFill>
            <a:latin typeface="Simplified Arabic" panose="02020603050405020304" pitchFamily="18" charset="-78"/>
            <a:cs typeface="Simplified Arabic" panose="02020603050405020304" pitchFamily="18" charset="-78"/>
          </a:endParaRPr>
        </a:p>
      </dgm:t>
    </dgm:pt>
    <dgm:pt modelId="{CB4766BE-28A1-40E2-846D-51910323F15C}" type="parTrans" cxnId="{029DD837-1221-4AB0-9DCB-1EE53F214ABF}">
      <dgm:prSet>
        <dgm:style>
          <a:lnRef idx="2">
            <a:schemeClr val="dk1"/>
          </a:lnRef>
          <a:fillRef idx="0">
            <a:schemeClr val="dk1"/>
          </a:fillRef>
          <a:effectRef idx="1">
            <a:schemeClr val="dk1"/>
          </a:effectRef>
          <a:fontRef idx="minor">
            <a:schemeClr val="tx1"/>
          </a:fontRef>
        </dgm:style>
      </dgm:prSet>
      <dgm:spPr>
        <a:ln w="9525"/>
      </dgm:spPr>
      <dgm:t>
        <a:bodyPr/>
        <a:lstStyle/>
        <a:p>
          <a:pPr rtl="1"/>
          <a:endParaRPr lang="fr-FR">
            <a:solidFill>
              <a:schemeClr val="tx1"/>
            </a:solidFill>
          </a:endParaRPr>
        </a:p>
      </dgm:t>
    </dgm:pt>
    <dgm:pt modelId="{6EC6F58E-0D85-48DF-BEEA-0F99BC6277F5}" type="sibTrans" cxnId="{029DD837-1221-4AB0-9DCB-1EE53F214ABF}">
      <dgm:prSet/>
      <dgm:spPr/>
      <dgm:t>
        <a:bodyPr/>
        <a:lstStyle/>
        <a:p>
          <a:pPr rtl="1"/>
          <a:endParaRPr lang="fr-FR">
            <a:solidFill>
              <a:schemeClr val="tx1"/>
            </a:solidFill>
          </a:endParaRPr>
        </a:p>
      </dgm:t>
    </dgm:pt>
    <dgm:pt modelId="{AA613474-270E-4C5D-8A25-E79E2BD53C45}">
      <dgm:prSet phldrT="[Texte]" custT="1">
        <dgm:style>
          <a:lnRef idx="2">
            <a:schemeClr val="dk1"/>
          </a:lnRef>
          <a:fillRef idx="1">
            <a:schemeClr val="lt1"/>
          </a:fillRef>
          <a:effectRef idx="0">
            <a:schemeClr val="dk1"/>
          </a:effectRef>
          <a:fontRef idx="minor">
            <a:schemeClr val="dk1"/>
          </a:fontRef>
        </dgm:style>
      </dgm:prSet>
      <dgm:spPr>
        <a:solidFill>
          <a:schemeClr val="bg1">
            <a:lumMod val="75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مستوى قياس المرونة</a:t>
          </a:r>
          <a:endParaRPr lang="fr-FR" sz="1200">
            <a:solidFill>
              <a:schemeClr val="tx1"/>
            </a:solidFill>
            <a:latin typeface="Simplified Arabic" panose="02020603050405020304" pitchFamily="18" charset="-78"/>
            <a:cs typeface="Simplified Arabic" panose="02020603050405020304" pitchFamily="18" charset="-78"/>
          </a:endParaRPr>
        </a:p>
      </dgm:t>
    </dgm:pt>
    <dgm:pt modelId="{032ED419-02EB-4031-A82A-7D1EDE9AC30D}" type="parTrans" cxnId="{5306D089-F870-4187-9774-7F4F3AE588DE}">
      <dgm:prSet/>
      <dgm:spPr/>
      <dgm:t>
        <a:bodyPr/>
        <a:lstStyle/>
        <a:p>
          <a:pPr rtl="1"/>
          <a:endParaRPr lang="fr-FR">
            <a:solidFill>
              <a:schemeClr val="tx1"/>
            </a:solidFill>
          </a:endParaRPr>
        </a:p>
      </dgm:t>
    </dgm:pt>
    <dgm:pt modelId="{B2C17775-BABE-4B0A-8789-D5458329DADA}" type="sibTrans" cxnId="{5306D089-F870-4187-9774-7F4F3AE588DE}">
      <dgm:prSet/>
      <dgm:spPr/>
      <dgm:t>
        <a:bodyPr/>
        <a:lstStyle/>
        <a:p>
          <a:pPr rtl="1"/>
          <a:endParaRPr lang="fr-FR">
            <a:solidFill>
              <a:schemeClr val="tx1"/>
            </a:solidFill>
          </a:endParaRPr>
        </a:p>
      </dgm:t>
    </dgm:pt>
    <dgm:pt modelId="{56F1F788-AAF2-402D-9DD9-FFA69D57E49C}">
      <dgm:prSet phldrT="[Texte]" custT="1"/>
      <dgm:spPr>
        <a:solidFill>
          <a:schemeClr val="bg1">
            <a:lumMod val="75000"/>
            <a:alpha val="90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مرونة هندسية</a:t>
          </a:r>
          <a:endParaRPr lang="fr-FR" sz="1200">
            <a:solidFill>
              <a:schemeClr val="tx1"/>
            </a:solidFill>
            <a:latin typeface="Simplified Arabic" panose="02020603050405020304" pitchFamily="18" charset="-78"/>
            <a:cs typeface="Simplified Arabic" panose="02020603050405020304" pitchFamily="18" charset="-78"/>
          </a:endParaRPr>
        </a:p>
      </dgm:t>
    </dgm:pt>
    <dgm:pt modelId="{360E17B7-D58B-479C-A39E-B77554313031}" type="parTrans" cxnId="{98FE2068-A34B-4D8B-A940-98D746E83472}">
      <dgm:prSet/>
      <dgm:spPr>
        <a:ln w="9525">
          <a:solidFill>
            <a:schemeClr val="tx1"/>
          </a:solidFill>
        </a:ln>
      </dgm:spPr>
      <dgm:t>
        <a:bodyPr/>
        <a:lstStyle/>
        <a:p>
          <a:pPr rtl="1"/>
          <a:endParaRPr lang="fr-FR">
            <a:solidFill>
              <a:schemeClr val="tx1"/>
            </a:solidFill>
          </a:endParaRPr>
        </a:p>
      </dgm:t>
    </dgm:pt>
    <dgm:pt modelId="{FC964B9D-0F93-4ED4-8D79-381CB2CF765B}" type="sibTrans" cxnId="{98FE2068-A34B-4D8B-A940-98D746E83472}">
      <dgm:prSet/>
      <dgm:spPr/>
      <dgm:t>
        <a:bodyPr/>
        <a:lstStyle/>
        <a:p>
          <a:pPr rtl="1"/>
          <a:endParaRPr lang="fr-FR">
            <a:solidFill>
              <a:schemeClr val="tx1"/>
            </a:solidFill>
          </a:endParaRPr>
        </a:p>
      </dgm:t>
    </dgm:pt>
    <dgm:pt modelId="{1C92FE57-B890-482D-9285-929A835994A8}">
      <dgm:prSet phldrT="[Texte]" custT="1"/>
      <dgm:spPr>
        <a:solidFill>
          <a:schemeClr val="bg1">
            <a:lumMod val="75000"/>
            <a:alpha val="90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مرونة بيئية</a:t>
          </a:r>
          <a:endParaRPr lang="fr-FR" sz="1200">
            <a:solidFill>
              <a:schemeClr val="tx1"/>
            </a:solidFill>
            <a:latin typeface="Simplified Arabic" panose="02020603050405020304" pitchFamily="18" charset="-78"/>
            <a:cs typeface="Simplified Arabic" panose="02020603050405020304" pitchFamily="18" charset="-78"/>
          </a:endParaRPr>
        </a:p>
      </dgm:t>
    </dgm:pt>
    <dgm:pt modelId="{DC14652D-C30C-4085-9917-8C37FF49D2A5}" type="parTrans" cxnId="{6A17B542-EC0F-4173-8093-24CB726F43D8}">
      <dgm:prSet/>
      <dgm:spPr>
        <a:ln w="9525">
          <a:solidFill>
            <a:schemeClr val="tx1"/>
          </a:solidFill>
        </a:ln>
      </dgm:spPr>
      <dgm:t>
        <a:bodyPr/>
        <a:lstStyle/>
        <a:p>
          <a:pPr rtl="1"/>
          <a:endParaRPr lang="fr-FR">
            <a:solidFill>
              <a:schemeClr val="tx1"/>
            </a:solidFill>
          </a:endParaRPr>
        </a:p>
      </dgm:t>
    </dgm:pt>
    <dgm:pt modelId="{FB9F878E-30AD-4BCE-A605-563216EAF95B}" type="sibTrans" cxnId="{6A17B542-EC0F-4173-8093-24CB726F43D8}">
      <dgm:prSet/>
      <dgm:spPr/>
      <dgm:t>
        <a:bodyPr/>
        <a:lstStyle/>
        <a:p>
          <a:pPr rtl="1"/>
          <a:endParaRPr lang="fr-FR">
            <a:solidFill>
              <a:schemeClr val="tx1"/>
            </a:solidFill>
          </a:endParaRPr>
        </a:p>
      </dgm:t>
    </dgm:pt>
    <dgm:pt modelId="{CE6B73A4-B4B2-49E5-8B04-172F103DE66C}">
      <dgm:prSet phldrT="[Texte]" custT="1"/>
      <dgm:spPr>
        <a:solidFill>
          <a:schemeClr val="bg1">
            <a:lumMod val="75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الخصائص</a:t>
          </a:r>
          <a:endParaRPr lang="fr-FR" sz="2800">
            <a:solidFill>
              <a:schemeClr val="tx1"/>
            </a:solidFill>
            <a:latin typeface="Simplified Arabic" panose="02020603050405020304" pitchFamily="18" charset="-78"/>
            <a:cs typeface="Simplified Arabic" panose="02020603050405020304" pitchFamily="18" charset="-78"/>
          </a:endParaRPr>
        </a:p>
      </dgm:t>
    </dgm:pt>
    <dgm:pt modelId="{C3EC0CA3-07E4-422A-B2B1-337F24FF755B}" type="parTrans" cxnId="{A03800D4-0B1A-4F88-9F94-BB5AE83F8F0B}">
      <dgm:prSet/>
      <dgm:spPr/>
      <dgm:t>
        <a:bodyPr/>
        <a:lstStyle/>
        <a:p>
          <a:pPr rtl="1"/>
          <a:endParaRPr lang="fr-FR">
            <a:solidFill>
              <a:schemeClr val="tx1"/>
            </a:solidFill>
          </a:endParaRPr>
        </a:p>
      </dgm:t>
    </dgm:pt>
    <dgm:pt modelId="{8C165803-80AE-42CA-A675-2240D3DBA01D}" type="sibTrans" cxnId="{A03800D4-0B1A-4F88-9F94-BB5AE83F8F0B}">
      <dgm:prSet/>
      <dgm:spPr/>
      <dgm:t>
        <a:bodyPr/>
        <a:lstStyle/>
        <a:p>
          <a:pPr rtl="1"/>
          <a:endParaRPr lang="fr-FR">
            <a:solidFill>
              <a:schemeClr val="tx1"/>
            </a:solidFill>
          </a:endParaRPr>
        </a:p>
      </dgm:t>
    </dgm:pt>
    <dgm:pt modelId="{92F73BE3-DB22-4E9C-9517-8FA13AE5DD24}">
      <dgm:prSet phldrT="[Texte]" custT="1"/>
      <dgm:spPr>
        <a:solidFill>
          <a:schemeClr val="bg1">
            <a:lumMod val="75000"/>
            <a:alpha val="90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تقاوم التغيير</a:t>
          </a:r>
          <a:endParaRPr lang="fr-FR" sz="1200">
            <a:solidFill>
              <a:schemeClr val="tx1"/>
            </a:solidFill>
            <a:latin typeface="Simplified Arabic" panose="02020603050405020304" pitchFamily="18" charset="-78"/>
            <a:cs typeface="Simplified Arabic" panose="02020603050405020304" pitchFamily="18" charset="-78"/>
          </a:endParaRPr>
        </a:p>
      </dgm:t>
    </dgm:pt>
    <dgm:pt modelId="{4723020A-8C63-4B59-B6DA-C2E80A994A72}" type="parTrans" cxnId="{9C51431A-7ED4-4CE9-B0B1-B1B5A94E4209}">
      <dgm:prSet/>
      <dgm:spPr>
        <a:ln w="9525">
          <a:solidFill>
            <a:schemeClr val="tx1"/>
          </a:solidFill>
        </a:ln>
      </dgm:spPr>
      <dgm:t>
        <a:bodyPr/>
        <a:lstStyle/>
        <a:p>
          <a:pPr rtl="1"/>
          <a:endParaRPr lang="fr-FR">
            <a:solidFill>
              <a:schemeClr val="tx1"/>
            </a:solidFill>
          </a:endParaRPr>
        </a:p>
      </dgm:t>
    </dgm:pt>
    <dgm:pt modelId="{8DE6AD1F-333B-4273-AE6C-1D7A7B95F03A}" type="sibTrans" cxnId="{9C51431A-7ED4-4CE9-B0B1-B1B5A94E4209}">
      <dgm:prSet/>
      <dgm:spPr/>
      <dgm:t>
        <a:bodyPr/>
        <a:lstStyle/>
        <a:p>
          <a:pPr rtl="1"/>
          <a:endParaRPr lang="fr-FR">
            <a:solidFill>
              <a:schemeClr val="tx1"/>
            </a:solidFill>
          </a:endParaRPr>
        </a:p>
      </dgm:t>
    </dgm:pt>
    <dgm:pt modelId="{29F69842-9B85-4E76-9985-5732B607A796}">
      <dgm:prSet phldrT="[Texte]" custT="1"/>
      <dgm:spPr>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تستوعب التغيير</a:t>
          </a:r>
          <a:endParaRPr lang="fr-FR" sz="1200">
            <a:solidFill>
              <a:schemeClr val="tx1"/>
            </a:solidFill>
            <a:latin typeface="Simplified Arabic" panose="02020603050405020304" pitchFamily="18" charset="-78"/>
            <a:cs typeface="Simplified Arabic" panose="02020603050405020304" pitchFamily="18" charset="-78"/>
          </a:endParaRPr>
        </a:p>
      </dgm:t>
    </dgm:pt>
    <dgm:pt modelId="{E61A8E28-FC8B-4B52-9D56-8A938407ACB1}" type="parTrans" cxnId="{88D47DCE-D8C3-4D79-8B7A-AC6C60C31FFC}">
      <dgm:prSet/>
      <dgm:spPr>
        <a:ln w="9525">
          <a:solidFill>
            <a:schemeClr val="tx1"/>
          </a:solidFill>
        </a:ln>
      </dgm:spPr>
      <dgm:t>
        <a:bodyPr/>
        <a:lstStyle/>
        <a:p>
          <a:pPr rtl="1"/>
          <a:endParaRPr lang="fr-FR">
            <a:solidFill>
              <a:schemeClr val="tx1"/>
            </a:solidFill>
          </a:endParaRPr>
        </a:p>
      </dgm:t>
    </dgm:pt>
    <dgm:pt modelId="{B90A71FC-A875-49DF-B816-456E14447634}" type="sibTrans" cxnId="{88D47DCE-D8C3-4D79-8B7A-AC6C60C31FFC}">
      <dgm:prSet/>
      <dgm:spPr/>
      <dgm:t>
        <a:bodyPr/>
        <a:lstStyle/>
        <a:p>
          <a:pPr rtl="1"/>
          <a:endParaRPr lang="fr-FR">
            <a:solidFill>
              <a:schemeClr val="tx1"/>
            </a:solidFill>
          </a:endParaRPr>
        </a:p>
      </dgm:t>
    </dgm:pt>
    <dgm:pt modelId="{E4E77F64-66DA-4115-B05C-B99DF5703614}">
      <dgm:prSet phldrT="[Texte]" custT="1"/>
      <dgm:spPr>
        <a:solidFill>
          <a:schemeClr val="bg1">
            <a:lumMod val="75000"/>
            <a:alpha val="90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نظام واحد اجتماعي وايكولوجي</a:t>
          </a:r>
          <a:endParaRPr lang="fr-FR" sz="1200">
            <a:solidFill>
              <a:schemeClr val="tx1"/>
            </a:solidFill>
            <a:latin typeface="Simplified Arabic" panose="02020603050405020304" pitchFamily="18" charset="-78"/>
            <a:cs typeface="Simplified Arabic" panose="02020603050405020304" pitchFamily="18" charset="-78"/>
          </a:endParaRPr>
        </a:p>
      </dgm:t>
    </dgm:pt>
    <dgm:pt modelId="{AB100EDF-0368-4ED7-B446-B4F8C2E3522B}" type="parTrans" cxnId="{D07361B1-4EF6-48DD-BA17-F58F41E57BDE}">
      <dgm:prSet>
        <dgm:style>
          <a:lnRef idx="2">
            <a:schemeClr val="dk1"/>
          </a:lnRef>
          <a:fillRef idx="0">
            <a:schemeClr val="dk1"/>
          </a:fillRef>
          <a:effectRef idx="1">
            <a:schemeClr val="dk1"/>
          </a:effectRef>
          <a:fontRef idx="minor">
            <a:schemeClr val="tx1"/>
          </a:fontRef>
        </dgm:style>
      </dgm:prSet>
      <dgm:spPr>
        <a:ln w="6350"/>
      </dgm:spPr>
      <dgm:t>
        <a:bodyPr/>
        <a:lstStyle/>
        <a:p>
          <a:pPr rtl="1"/>
          <a:endParaRPr lang="fr-FR">
            <a:solidFill>
              <a:schemeClr val="tx1"/>
            </a:solidFill>
          </a:endParaRPr>
        </a:p>
      </dgm:t>
    </dgm:pt>
    <dgm:pt modelId="{0BE5B529-9DD0-4A06-A749-692DCA37A7AF}" type="sibTrans" cxnId="{D07361B1-4EF6-48DD-BA17-F58F41E57BDE}">
      <dgm:prSet/>
      <dgm:spPr/>
      <dgm:t>
        <a:bodyPr/>
        <a:lstStyle/>
        <a:p>
          <a:pPr rtl="1"/>
          <a:endParaRPr lang="fr-FR">
            <a:solidFill>
              <a:schemeClr val="tx1"/>
            </a:solidFill>
          </a:endParaRPr>
        </a:p>
      </dgm:t>
    </dgm:pt>
    <dgm:pt modelId="{A7991400-B093-47DC-94DE-8F94D0E9CC84}">
      <dgm:prSet phldrT="[Texte]" custT="1"/>
      <dgm:spPr>
        <a:solidFill>
          <a:schemeClr val="bg1">
            <a:lumMod val="75000"/>
            <a:alpha val="90000"/>
          </a:schemeClr>
        </a:solidFill>
        <a:ln w="9525">
          <a:solidFill>
            <a:schemeClr val="bg1">
              <a:lumMod val="65000"/>
            </a:schemeClr>
          </a:solidFill>
        </a:ln>
      </dgm:spPr>
      <dgm:t>
        <a:bodyPr/>
        <a:lstStyle/>
        <a:p>
          <a:pPr rtl="1"/>
          <a:r>
            <a:rPr lang="ar-DZ" sz="1200">
              <a:solidFill>
                <a:schemeClr val="tx1"/>
              </a:solidFill>
              <a:latin typeface="Simplified Arabic" panose="02020603050405020304" pitchFamily="18" charset="-78"/>
              <a:cs typeface="Simplified Arabic" panose="02020603050405020304" pitchFamily="18" charset="-78"/>
            </a:rPr>
            <a:t>مرونة سوسيو-بيئية</a:t>
          </a:r>
          <a:endParaRPr lang="fr-FR" sz="1200">
            <a:solidFill>
              <a:schemeClr val="tx1"/>
            </a:solidFill>
            <a:latin typeface="Simplified Arabic" panose="02020603050405020304" pitchFamily="18" charset="-78"/>
            <a:cs typeface="Simplified Arabic" panose="02020603050405020304" pitchFamily="18" charset="-78"/>
          </a:endParaRPr>
        </a:p>
      </dgm:t>
    </dgm:pt>
    <dgm:pt modelId="{D95EE246-4A3A-4B24-9760-F0CEA160F3BD}" type="parTrans" cxnId="{A2392A3F-7D5B-4677-A849-96C9E91E9D87}">
      <dgm:prSet/>
      <dgm:spPr>
        <a:ln w="9525">
          <a:solidFill>
            <a:schemeClr val="tx1"/>
          </a:solidFill>
        </a:ln>
      </dgm:spPr>
      <dgm:t>
        <a:bodyPr/>
        <a:lstStyle/>
        <a:p>
          <a:pPr rtl="1"/>
          <a:endParaRPr lang="fr-FR">
            <a:solidFill>
              <a:schemeClr val="tx1"/>
            </a:solidFill>
          </a:endParaRPr>
        </a:p>
      </dgm:t>
    </dgm:pt>
    <dgm:pt modelId="{0D3E0BBB-B959-46BD-87D6-A9B58E1D4A08}" type="sibTrans" cxnId="{A2392A3F-7D5B-4677-A849-96C9E91E9D87}">
      <dgm:prSet/>
      <dgm:spPr/>
      <dgm:t>
        <a:bodyPr/>
        <a:lstStyle/>
        <a:p>
          <a:pPr rtl="1"/>
          <a:endParaRPr lang="fr-FR">
            <a:solidFill>
              <a:schemeClr val="tx1"/>
            </a:solidFill>
          </a:endParaRPr>
        </a:p>
      </dgm:t>
    </dgm:pt>
    <dgm:pt modelId="{5FB414FB-4CBD-4D20-B6EF-FED7C15B2F0C}">
      <dgm:prSet phldrT="[Texte]" custT="1"/>
      <dgm:spPr>
        <a:ln w="9525">
          <a:solidFill>
            <a:schemeClr val="bg1">
              <a:lumMod val="65000"/>
            </a:schemeClr>
          </a:solidFill>
        </a:ln>
      </dgm:spPr>
      <dgm:t>
        <a:bodyPr/>
        <a:lstStyle/>
        <a:p>
          <a:pPr rtl="1"/>
          <a:r>
            <a:rPr lang="ar-SA" sz="1200" b="0">
              <a:solidFill>
                <a:schemeClr val="tx1"/>
              </a:solidFill>
              <a:latin typeface="Simplified Arabic" panose="02020603050405020304" pitchFamily="18" charset="-78"/>
              <a:cs typeface="Simplified Arabic" panose="02020603050405020304" pitchFamily="18" charset="-78"/>
            </a:rPr>
            <a:t>استيعاب ومواجهة التغييرات والحف</a:t>
          </a:r>
          <a:r>
            <a:rPr lang="ar-DZ" sz="1200" b="0">
              <a:solidFill>
                <a:schemeClr val="tx1"/>
              </a:solidFill>
              <a:latin typeface="Simplified Arabic" panose="02020603050405020304" pitchFamily="18" charset="-78"/>
              <a:cs typeface="Simplified Arabic" panose="02020603050405020304" pitchFamily="18" charset="-78"/>
            </a:rPr>
            <a:t>ا</a:t>
          </a:r>
          <a:r>
            <a:rPr lang="ar-SA" sz="1200" b="0">
              <a:solidFill>
                <a:schemeClr val="tx1"/>
              </a:solidFill>
              <a:latin typeface="Simplified Arabic" panose="02020603050405020304" pitchFamily="18" charset="-78"/>
              <a:cs typeface="Simplified Arabic" panose="02020603050405020304" pitchFamily="18" charset="-78"/>
            </a:rPr>
            <a:t>ظ على </a:t>
          </a:r>
          <a:r>
            <a:rPr lang="ar-DZ" sz="1200" b="0">
              <a:solidFill>
                <a:schemeClr val="tx1"/>
              </a:solidFill>
              <a:latin typeface="Simplified Arabic" panose="02020603050405020304" pitchFamily="18" charset="-78"/>
              <a:cs typeface="Simplified Arabic" panose="02020603050405020304" pitchFamily="18" charset="-78"/>
            </a:rPr>
            <a:t>ال</a:t>
          </a:r>
          <a:r>
            <a:rPr lang="ar-SA" sz="1200" b="0">
              <a:solidFill>
                <a:schemeClr val="tx1"/>
              </a:solidFill>
              <a:latin typeface="Simplified Arabic" panose="02020603050405020304" pitchFamily="18" charset="-78"/>
              <a:cs typeface="Simplified Arabic" panose="02020603050405020304" pitchFamily="18" charset="-78"/>
            </a:rPr>
            <a:t>وظائف</a:t>
          </a:r>
          <a:endParaRPr lang="fr-FR" sz="1200" b="0">
            <a:solidFill>
              <a:schemeClr val="tx1"/>
            </a:solidFill>
            <a:latin typeface="Simplified Arabic" panose="02020603050405020304" pitchFamily="18" charset="-78"/>
            <a:cs typeface="Simplified Arabic" panose="02020603050405020304" pitchFamily="18" charset="-78"/>
          </a:endParaRPr>
        </a:p>
      </dgm:t>
    </dgm:pt>
    <dgm:pt modelId="{ED1D398B-7271-4AAF-BBE9-C10ECB33FFEC}" type="sibTrans" cxnId="{B6DF2D76-BDE9-479B-BC79-4E32424BA783}">
      <dgm:prSet/>
      <dgm:spPr/>
      <dgm:t>
        <a:bodyPr/>
        <a:lstStyle/>
        <a:p>
          <a:pPr rtl="1"/>
          <a:endParaRPr lang="fr-FR">
            <a:solidFill>
              <a:schemeClr val="tx1"/>
            </a:solidFill>
          </a:endParaRPr>
        </a:p>
      </dgm:t>
    </dgm:pt>
    <dgm:pt modelId="{A6462CF7-5825-4C0C-AC43-B65FF3C5382C}" type="parTrans" cxnId="{B6DF2D76-BDE9-479B-BC79-4E32424BA783}">
      <dgm:prSet/>
      <dgm:spPr>
        <a:ln w="9525">
          <a:solidFill>
            <a:schemeClr val="tx1"/>
          </a:solidFill>
        </a:ln>
      </dgm:spPr>
      <dgm:t>
        <a:bodyPr/>
        <a:lstStyle/>
        <a:p>
          <a:pPr rtl="1"/>
          <a:endParaRPr lang="fr-FR">
            <a:solidFill>
              <a:schemeClr val="tx1"/>
            </a:solidFill>
          </a:endParaRPr>
        </a:p>
      </dgm:t>
    </dgm:pt>
    <dgm:pt modelId="{3D129990-7867-4B23-AE8E-B077510EB963}" type="pres">
      <dgm:prSet presAssocID="{AFFA10EA-FC5E-47A0-B55A-AAFDAE44C4FB}" presName="diagram" presStyleCnt="0">
        <dgm:presLayoutVars>
          <dgm:chPref val="1"/>
          <dgm:dir val="rev"/>
          <dgm:animOne val="branch"/>
          <dgm:animLvl val="lvl"/>
          <dgm:resizeHandles/>
        </dgm:presLayoutVars>
      </dgm:prSet>
      <dgm:spPr/>
      <dgm:t>
        <a:bodyPr/>
        <a:lstStyle/>
        <a:p>
          <a:endParaRPr lang="fr-FR"/>
        </a:p>
      </dgm:t>
    </dgm:pt>
    <dgm:pt modelId="{614BA659-87E5-44B9-9A24-374773000404}" type="pres">
      <dgm:prSet presAssocID="{9BE1B6B6-AF6A-43C8-B8FE-D432E377225B}" presName="root" presStyleCnt="0"/>
      <dgm:spPr/>
    </dgm:pt>
    <dgm:pt modelId="{C7EBF063-C95F-4F00-A7D7-A042E7FBBD92}" type="pres">
      <dgm:prSet presAssocID="{9BE1B6B6-AF6A-43C8-B8FE-D432E377225B}" presName="rootComposite" presStyleCnt="0"/>
      <dgm:spPr/>
    </dgm:pt>
    <dgm:pt modelId="{F58E0EE7-024A-45D0-9415-5C59141E0DA4}" type="pres">
      <dgm:prSet presAssocID="{9BE1B6B6-AF6A-43C8-B8FE-D432E377225B}" presName="rootText" presStyleLbl="node1" presStyleIdx="0" presStyleCnt="3" custScaleX="90909" custScaleY="90910" custLinFactNeighborY="7377"/>
      <dgm:spPr/>
      <dgm:t>
        <a:bodyPr/>
        <a:lstStyle/>
        <a:p>
          <a:endParaRPr lang="fr-FR"/>
        </a:p>
      </dgm:t>
    </dgm:pt>
    <dgm:pt modelId="{A0252BCD-DB11-4CEE-B772-3C88F7C938AC}" type="pres">
      <dgm:prSet presAssocID="{9BE1B6B6-AF6A-43C8-B8FE-D432E377225B}" presName="rootConnector" presStyleLbl="node1" presStyleIdx="0" presStyleCnt="3"/>
      <dgm:spPr/>
      <dgm:t>
        <a:bodyPr/>
        <a:lstStyle/>
        <a:p>
          <a:endParaRPr lang="fr-FR"/>
        </a:p>
      </dgm:t>
    </dgm:pt>
    <dgm:pt modelId="{E66E37C7-D325-4D62-A163-40A1DCD21C50}" type="pres">
      <dgm:prSet presAssocID="{9BE1B6B6-AF6A-43C8-B8FE-D432E377225B}" presName="childShape" presStyleCnt="0"/>
      <dgm:spPr/>
    </dgm:pt>
    <dgm:pt modelId="{12316019-AE9D-41B6-8DD7-C2FE12162131}" type="pres">
      <dgm:prSet presAssocID="{1DAD4FE2-79A9-4271-9534-46B6EC099A97}" presName="Name13" presStyleLbl="parChTrans1D2" presStyleIdx="0" presStyleCnt="9"/>
      <dgm:spPr/>
      <dgm:t>
        <a:bodyPr/>
        <a:lstStyle/>
        <a:p>
          <a:endParaRPr lang="fr-FR"/>
        </a:p>
      </dgm:t>
    </dgm:pt>
    <dgm:pt modelId="{F4AD09CD-DB2D-4B34-B82B-070A98CE97B7}" type="pres">
      <dgm:prSet presAssocID="{550CC6A4-1F9B-4860-B3C3-DE343AC2BD0E}" presName="childText" presStyleLbl="bgAcc1" presStyleIdx="0" presStyleCnt="9" custScaleX="126578" custLinFactNeighborY="-3840">
        <dgm:presLayoutVars>
          <dgm:bulletEnabled val="1"/>
        </dgm:presLayoutVars>
      </dgm:prSet>
      <dgm:spPr/>
      <dgm:t>
        <a:bodyPr/>
        <a:lstStyle/>
        <a:p>
          <a:endParaRPr lang="fr-FR"/>
        </a:p>
      </dgm:t>
    </dgm:pt>
    <dgm:pt modelId="{0A9B4C1D-37D4-4D19-928C-009DE7FD41DD}" type="pres">
      <dgm:prSet presAssocID="{CB4766BE-28A1-40E2-846D-51910323F15C}" presName="Name13" presStyleLbl="parChTrans1D2" presStyleIdx="1" presStyleCnt="9"/>
      <dgm:spPr/>
      <dgm:t>
        <a:bodyPr/>
        <a:lstStyle/>
        <a:p>
          <a:endParaRPr lang="fr-FR"/>
        </a:p>
      </dgm:t>
    </dgm:pt>
    <dgm:pt modelId="{63503D05-316F-4BE3-92E8-BB07927D1419}" type="pres">
      <dgm:prSet presAssocID="{62716109-F932-41AB-91B2-E721151C36AA}" presName="childText" presStyleLbl="bgAcc1" presStyleIdx="1" presStyleCnt="9" custScaleX="126412" custScaleY="111444" custLinFactNeighborY="-13971">
        <dgm:presLayoutVars>
          <dgm:bulletEnabled val="1"/>
        </dgm:presLayoutVars>
      </dgm:prSet>
      <dgm:spPr/>
      <dgm:t>
        <a:bodyPr/>
        <a:lstStyle/>
        <a:p>
          <a:endParaRPr lang="fr-FR"/>
        </a:p>
      </dgm:t>
    </dgm:pt>
    <dgm:pt modelId="{F37D95AA-DAA7-4519-A113-0CFDDEECE90F}" type="pres">
      <dgm:prSet presAssocID="{AB100EDF-0368-4ED7-B446-B4F8C2E3522B}" presName="Name13" presStyleLbl="parChTrans1D2" presStyleIdx="2" presStyleCnt="9"/>
      <dgm:spPr/>
      <dgm:t>
        <a:bodyPr/>
        <a:lstStyle/>
        <a:p>
          <a:endParaRPr lang="fr-FR"/>
        </a:p>
      </dgm:t>
    </dgm:pt>
    <dgm:pt modelId="{6C35A718-FBEE-4D77-AB13-999F69FE81E8}" type="pres">
      <dgm:prSet presAssocID="{E4E77F64-66DA-4115-B05C-B99DF5703614}" presName="childText" presStyleLbl="bgAcc1" presStyleIdx="2" presStyleCnt="9" custScaleX="126460" custLinFactNeighborX="-1" custLinFactNeighborY="-23876">
        <dgm:presLayoutVars>
          <dgm:bulletEnabled val="1"/>
        </dgm:presLayoutVars>
      </dgm:prSet>
      <dgm:spPr/>
      <dgm:t>
        <a:bodyPr/>
        <a:lstStyle/>
        <a:p>
          <a:endParaRPr lang="fr-FR"/>
        </a:p>
      </dgm:t>
    </dgm:pt>
    <dgm:pt modelId="{2C8BD908-DA78-4112-99B0-2B6FB4E34FC2}" type="pres">
      <dgm:prSet presAssocID="{AA613474-270E-4C5D-8A25-E79E2BD53C45}" presName="root" presStyleCnt="0"/>
      <dgm:spPr/>
    </dgm:pt>
    <dgm:pt modelId="{DB5D7C3C-2E16-466C-9B4C-6F5F8EE4BCAA}" type="pres">
      <dgm:prSet presAssocID="{AA613474-270E-4C5D-8A25-E79E2BD53C45}" presName="rootComposite" presStyleCnt="0"/>
      <dgm:spPr/>
    </dgm:pt>
    <dgm:pt modelId="{2ADA7CA5-1882-4B8A-8968-E748F97021DD}" type="pres">
      <dgm:prSet presAssocID="{AA613474-270E-4C5D-8A25-E79E2BD53C45}" presName="rootText" presStyleLbl="node1" presStyleIdx="1" presStyleCnt="3" custScaleX="90909" custScaleY="90910" custLinFactNeighborY="7377"/>
      <dgm:spPr/>
      <dgm:t>
        <a:bodyPr/>
        <a:lstStyle/>
        <a:p>
          <a:endParaRPr lang="fr-FR"/>
        </a:p>
      </dgm:t>
    </dgm:pt>
    <dgm:pt modelId="{2A46E3B2-BC73-4A6F-9563-1E61D7E16480}" type="pres">
      <dgm:prSet presAssocID="{AA613474-270E-4C5D-8A25-E79E2BD53C45}" presName="rootConnector" presStyleLbl="node1" presStyleIdx="1" presStyleCnt="3"/>
      <dgm:spPr/>
      <dgm:t>
        <a:bodyPr/>
        <a:lstStyle/>
        <a:p>
          <a:endParaRPr lang="fr-FR"/>
        </a:p>
      </dgm:t>
    </dgm:pt>
    <dgm:pt modelId="{3DB35930-A662-431F-9076-AE931A09A7A3}" type="pres">
      <dgm:prSet presAssocID="{AA613474-270E-4C5D-8A25-E79E2BD53C45}" presName="childShape" presStyleCnt="0"/>
      <dgm:spPr/>
    </dgm:pt>
    <dgm:pt modelId="{F852CFDE-1062-4783-A32B-C240CF73727B}" type="pres">
      <dgm:prSet presAssocID="{360E17B7-D58B-479C-A39E-B77554313031}" presName="Name13" presStyleLbl="parChTrans1D2" presStyleIdx="3" presStyleCnt="9"/>
      <dgm:spPr/>
      <dgm:t>
        <a:bodyPr/>
        <a:lstStyle/>
        <a:p>
          <a:endParaRPr lang="fr-FR"/>
        </a:p>
      </dgm:t>
    </dgm:pt>
    <dgm:pt modelId="{BA6C41A1-89CC-4677-B409-6C404FB2094C}" type="pres">
      <dgm:prSet presAssocID="{56F1F788-AAF2-402D-9DD9-FFA69D57E49C}" presName="childText" presStyleLbl="bgAcc1" presStyleIdx="3" presStyleCnt="9" custLinFactNeighborY="1389">
        <dgm:presLayoutVars>
          <dgm:bulletEnabled val="1"/>
        </dgm:presLayoutVars>
      </dgm:prSet>
      <dgm:spPr/>
      <dgm:t>
        <a:bodyPr/>
        <a:lstStyle/>
        <a:p>
          <a:endParaRPr lang="fr-FR"/>
        </a:p>
      </dgm:t>
    </dgm:pt>
    <dgm:pt modelId="{A3C58BD6-04C2-4E06-9B9B-3A812C10A618}" type="pres">
      <dgm:prSet presAssocID="{DC14652D-C30C-4085-9917-8C37FF49D2A5}" presName="Name13" presStyleLbl="parChTrans1D2" presStyleIdx="4" presStyleCnt="9"/>
      <dgm:spPr/>
      <dgm:t>
        <a:bodyPr/>
        <a:lstStyle/>
        <a:p>
          <a:endParaRPr lang="fr-FR"/>
        </a:p>
      </dgm:t>
    </dgm:pt>
    <dgm:pt modelId="{87DB08EB-95EE-444C-BA4C-F29B6E5897EA}" type="pres">
      <dgm:prSet presAssocID="{1C92FE57-B890-482D-9285-929A835994A8}" presName="childText" presStyleLbl="bgAcc1" presStyleIdx="4" presStyleCnt="9" custLinFactNeighborY="1389">
        <dgm:presLayoutVars>
          <dgm:bulletEnabled val="1"/>
        </dgm:presLayoutVars>
      </dgm:prSet>
      <dgm:spPr/>
      <dgm:t>
        <a:bodyPr/>
        <a:lstStyle/>
        <a:p>
          <a:endParaRPr lang="fr-FR"/>
        </a:p>
      </dgm:t>
    </dgm:pt>
    <dgm:pt modelId="{FF72A3ED-D724-432D-AB9E-0118F838F768}" type="pres">
      <dgm:prSet presAssocID="{D95EE246-4A3A-4B24-9760-F0CEA160F3BD}" presName="Name13" presStyleLbl="parChTrans1D2" presStyleIdx="5" presStyleCnt="9"/>
      <dgm:spPr/>
      <dgm:t>
        <a:bodyPr/>
        <a:lstStyle/>
        <a:p>
          <a:endParaRPr lang="fr-FR"/>
        </a:p>
      </dgm:t>
    </dgm:pt>
    <dgm:pt modelId="{BD0AA763-9649-4063-8BA2-7CDAD381CDE5}" type="pres">
      <dgm:prSet presAssocID="{A7991400-B093-47DC-94DE-8F94D0E9CC84}" presName="childText" presStyleLbl="bgAcc1" presStyleIdx="5" presStyleCnt="9" custLinFactNeighborY="-8142">
        <dgm:presLayoutVars>
          <dgm:bulletEnabled val="1"/>
        </dgm:presLayoutVars>
      </dgm:prSet>
      <dgm:spPr/>
      <dgm:t>
        <a:bodyPr/>
        <a:lstStyle/>
        <a:p>
          <a:endParaRPr lang="fr-FR"/>
        </a:p>
      </dgm:t>
    </dgm:pt>
    <dgm:pt modelId="{ED9AA170-110D-46FB-A002-3D645A1C35A8}" type="pres">
      <dgm:prSet presAssocID="{CE6B73A4-B4B2-49E5-8B04-172F103DE66C}" presName="root" presStyleCnt="0"/>
      <dgm:spPr/>
    </dgm:pt>
    <dgm:pt modelId="{6A56F247-9B6F-4352-8EB2-D3F268069528}" type="pres">
      <dgm:prSet presAssocID="{CE6B73A4-B4B2-49E5-8B04-172F103DE66C}" presName="rootComposite" presStyleCnt="0"/>
      <dgm:spPr/>
    </dgm:pt>
    <dgm:pt modelId="{D4A3F89F-150E-4EE5-AE01-2B6661BC9E1E}" type="pres">
      <dgm:prSet presAssocID="{CE6B73A4-B4B2-49E5-8B04-172F103DE66C}" presName="rootText" presStyleLbl="node1" presStyleIdx="2" presStyleCnt="3" custScaleX="90909" custScaleY="90910" custLinFactNeighborY="7377"/>
      <dgm:spPr/>
      <dgm:t>
        <a:bodyPr/>
        <a:lstStyle/>
        <a:p>
          <a:endParaRPr lang="fr-FR"/>
        </a:p>
      </dgm:t>
    </dgm:pt>
    <dgm:pt modelId="{C23AFB9A-D785-41B3-A779-7F1B75BE7D7B}" type="pres">
      <dgm:prSet presAssocID="{CE6B73A4-B4B2-49E5-8B04-172F103DE66C}" presName="rootConnector" presStyleLbl="node1" presStyleIdx="2" presStyleCnt="3"/>
      <dgm:spPr/>
      <dgm:t>
        <a:bodyPr/>
        <a:lstStyle/>
        <a:p>
          <a:endParaRPr lang="fr-FR"/>
        </a:p>
      </dgm:t>
    </dgm:pt>
    <dgm:pt modelId="{5B3C2577-2106-4B52-B868-1A8D44C78400}" type="pres">
      <dgm:prSet presAssocID="{CE6B73A4-B4B2-49E5-8B04-172F103DE66C}" presName="childShape" presStyleCnt="0"/>
      <dgm:spPr/>
    </dgm:pt>
    <dgm:pt modelId="{C682B817-D2A4-4FBC-B3C8-519F4CAD1AF5}" type="pres">
      <dgm:prSet presAssocID="{4723020A-8C63-4B59-B6DA-C2E80A994A72}" presName="Name13" presStyleLbl="parChTrans1D2" presStyleIdx="6" presStyleCnt="9"/>
      <dgm:spPr/>
      <dgm:t>
        <a:bodyPr/>
        <a:lstStyle/>
        <a:p>
          <a:endParaRPr lang="fr-FR"/>
        </a:p>
      </dgm:t>
    </dgm:pt>
    <dgm:pt modelId="{AAEF194D-3DEF-4632-833D-017F8C80C3AD}" type="pres">
      <dgm:prSet presAssocID="{92F73BE3-DB22-4E9C-9517-8FA13AE5DD24}" presName="childText" presStyleLbl="bgAcc1" presStyleIdx="6" presStyleCnt="9" custLinFactNeighborY="1389">
        <dgm:presLayoutVars>
          <dgm:bulletEnabled val="1"/>
        </dgm:presLayoutVars>
      </dgm:prSet>
      <dgm:spPr/>
      <dgm:t>
        <a:bodyPr/>
        <a:lstStyle/>
        <a:p>
          <a:endParaRPr lang="fr-FR"/>
        </a:p>
      </dgm:t>
    </dgm:pt>
    <dgm:pt modelId="{A661B67F-BBE6-4003-B619-60FDA109D8E0}" type="pres">
      <dgm:prSet presAssocID="{E61A8E28-FC8B-4B52-9D56-8A938407ACB1}" presName="Name13" presStyleLbl="parChTrans1D2" presStyleIdx="7" presStyleCnt="9"/>
      <dgm:spPr/>
      <dgm:t>
        <a:bodyPr/>
        <a:lstStyle/>
        <a:p>
          <a:endParaRPr lang="fr-FR"/>
        </a:p>
      </dgm:t>
    </dgm:pt>
    <dgm:pt modelId="{099CD644-C29E-4DE8-91C4-A192E1B7DEFD}" type="pres">
      <dgm:prSet presAssocID="{29F69842-9B85-4E76-9985-5732B607A796}" presName="childText" presStyleLbl="bgAcc1" presStyleIdx="7" presStyleCnt="9" custLinFactNeighborY="1389">
        <dgm:presLayoutVars>
          <dgm:bulletEnabled val="1"/>
        </dgm:presLayoutVars>
      </dgm:prSet>
      <dgm:spPr/>
      <dgm:t>
        <a:bodyPr/>
        <a:lstStyle/>
        <a:p>
          <a:endParaRPr lang="fr-FR"/>
        </a:p>
      </dgm:t>
    </dgm:pt>
    <dgm:pt modelId="{7E83F049-1DB1-4D4C-850D-724DBACA55B9}" type="pres">
      <dgm:prSet presAssocID="{A6462CF7-5825-4C0C-AC43-B65FF3C5382C}" presName="Name13" presStyleLbl="parChTrans1D2" presStyleIdx="8" presStyleCnt="9"/>
      <dgm:spPr/>
      <dgm:t>
        <a:bodyPr/>
        <a:lstStyle/>
        <a:p>
          <a:endParaRPr lang="fr-FR"/>
        </a:p>
      </dgm:t>
    </dgm:pt>
    <dgm:pt modelId="{64824F94-18ED-42FC-BC3B-8EAE6B58AE44}" type="pres">
      <dgm:prSet presAssocID="{5FB414FB-4CBD-4D20-B6EF-FED7C15B2F0C}" presName="childText" presStyleLbl="bgAcc1" presStyleIdx="8" presStyleCnt="9" custLinFactNeighborY="-8142">
        <dgm:presLayoutVars>
          <dgm:bulletEnabled val="1"/>
        </dgm:presLayoutVars>
      </dgm:prSet>
      <dgm:spPr/>
      <dgm:t>
        <a:bodyPr/>
        <a:lstStyle/>
        <a:p>
          <a:endParaRPr lang="fr-FR"/>
        </a:p>
      </dgm:t>
    </dgm:pt>
  </dgm:ptLst>
  <dgm:cxnLst>
    <dgm:cxn modelId="{9C51431A-7ED4-4CE9-B0B1-B1B5A94E4209}" srcId="{CE6B73A4-B4B2-49E5-8B04-172F103DE66C}" destId="{92F73BE3-DB22-4E9C-9517-8FA13AE5DD24}" srcOrd="0" destOrd="0" parTransId="{4723020A-8C63-4B59-B6DA-C2E80A994A72}" sibTransId="{8DE6AD1F-333B-4273-AE6C-1D7A7B95F03A}"/>
    <dgm:cxn modelId="{D07361B1-4EF6-48DD-BA17-F58F41E57BDE}" srcId="{9BE1B6B6-AF6A-43C8-B8FE-D432E377225B}" destId="{E4E77F64-66DA-4115-B05C-B99DF5703614}" srcOrd="2" destOrd="0" parTransId="{AB100EDF-0368-4ED7-B446-B4F8C2E3522B}" sibTransId="{0BE5B529-9DD0-4A06-A749-692DCA37A7AF}"/>
    <dgm:cxn modelId="{14A375C4-8EF0-415B-A0F7-DC7F01CB2624}" srcId="{AFFA10EA-FC5E-47A0-B55A-AAFDAE44C4FB}" destId="{9BE1B6B6-AF6A-43C8-B8FE-D432E377225B}" srcOrd="0" destOrd="0" parTransId="{A5C3F61B-AD5F-4EAD-8AA0-4BFEA7ABEDF9}" sibTransId="{F8656340-1AD1-43E9-A43B-8CE9C7C94330}"/>
    <dgm:cxn modelId="{B66ED664-A353-4E5E-B5A0-89DC9C124C65}" type="presOf" srcId="{E4E77F64-66DA-4115-B05C-B99DF5703614}" destId="{6C35A718-FBEE-4D77-AB13-999F69FE81E8}" srcOrd="0" destOrd="0" presId="urn:microsoft.com/office/officeart/2005/8/layout/hierarchy3"/>
    <dgm:cxn modelId="{BC328678-5524-41C3-887D-1266CD754A4A}" type="presOf" srcId="{A6462CF7-5825-4C0C-AC43-B65FF3C5382C}" destId="{7E83F049-1DB1-4D4C-850D-724DBACA55B9}" srcOrd="0" destOrd="0" presId="urn:microsoft.com/office/officeart/2005/8/layout/hierarchy3"/>
    <dgm:cxn modelId="{E68DF509-BE53-419B-B5AF-40EB668D4DBB}" type="presOf" srcId="{9BE1B6B6-AF6A-43C8-B8FE-D432E377225B}" destId="{A0252BCD-DB11-4CEE-B772-3C88F7C938AC}" srcOrd="1" destOrd="0" presId="urn:microsoft.com/office/officeart/2005/8/layout/hierarchy3"/>
    <dgm:cxn modelId="{71EFAF72-FB5E-4807-9059-D930169209E3}" type="presOf" srcId="{1C92FE57-B890-482D-9285-929A835994A8}" destId="{87DB08EB-95EE-444C-BA4C-F29B6E5897EA}" srcOrd="0" destOrd="0" presId="urn:microsoft.com/office/officeart/2005/8/layout/hierarchy3"/>
    <dgm:cxn modelId="{A2392A3F-7D5B-4677-A849-96C9E91E9D87}" srcId="{AA613474-270E-4C5D-8A25-E79E2BD53C45}" destId="{A7991400-B093-47DC-94DE-8F94D0E9CC84}" srcOrd="2" destOrd="0" parTransId="{D95EE246-4A3A-4B24-9760-F0CEA160F3BD}" sibTransId="{0D3E0BBB-B959-46BD-87D6-A9B58E1D4A08}"/>
    <dgm:cxn modelId="{2AC75DCC-C16B-4CF2-A859-239CE7038236}" type="presOf" srcId="{56F1F788-AAF2-402D-9DD9-FFA69D57E49C}" destId="{BA6C41A1-89CC-4677-B409-6C404FB2094C}" srcOrd="0" destOrd="0" presId="urn:microsoft.com/office/officeart/2005/8/layout/hierarchy3"/>
    <dgm:cxn modelId="{029DD837-1221-4AB0-9DCB-1EE53F214ABF}" srcId="{9BE1B6B6-AF6A-43C8-B8FE-D432E377225B}" destId="{62716109-F932-41AB-91B2-E721151C36AA}" srcOrd="1" destOrd="0" parTransId="{CB4766BE-28A1-40E2-846D-51910323F15C}" sibTransId="{6EC6F58E-0D85-48DF-BEEA-0F99BC6277F5}"/>
    <dgm:cxn modelId="{6A17B542-EC0F-4173-8093-24CB726F43D8}" srcId="{AA613474-270E-4C5D-8A25-E79E2BD53C45}" destId="{1C92FE57-B890-482D-9285-929A835994A8}" srcOrd="1" destOrd="0" parTransId="{DC14652D-C30C-4085-9917-8C37FF49D2A5}" sibTransId="{FB9F878E-30AD-4BCE-A605-563216EAF95B}"/>
    <dgm:cxn modelId="{194AD614-1DDD-4AD1-A30A-E3FB5F140202}" type="presOf" srcId="{CE6B73A4-B4B2-49E5-8B04-172F103DE66C}" destId="{D4A3F89F-150E-4EE5-AE01-2B6661BC9E1E}" srcOrd="0" destOrd="0" presId="urn:microsoft.com/office/officeart/2005/8/layout/hierarchy3"/>
    <dgm:cxn modelId="{F63F7C6A-3AED-4A76-BDA6-D253772CBDC6}" type="presOf" srcId="{92F73BE3-DB22-4E9C-9517-8FA13AE5DD24}" destId="{AAEF194D-3DEF-4632-833D-017F8C80C3AD}" srcOrd="0" destOrd="0" presId="urn:microsoft.com/office/officeart/2005/8/layout/hierarchy3"/>
    <dgm:cxn modelId="{98FE2068-A34B-4D8B-A940-98D746E83472}" srcId="{AA613474-270E-4C5D-8A25-E79E2BD53C45}" destId="{56F1F788-AAF2-402D-9DD9-FFA69D57E49C}" srcOrd="0" destOrd="0" parTransId="{360E17B7-D58B-479C-A39E-B77554313031}" sibTransId="{FC964B9D-0F93-4ED4-8D79-381CB2CF765B}"/>
    <dgm:cxn modelId="{0616A1E4-0FC9-436A-B8F0-32B33096FA82}" type="presOf" srcId="{D95EE246-4A3A-4B24-9760-F0CEA160F3BD}" destId="{FF72A3ED-D724-432D-AB9E-0118F838F768}" srcOrd="0" destOrd="0" presId="urn:microsoft.com/office/officeart/2005/8/layout/hierarchy3"/>
    <dgm:cxn modelId="{FA212F8A-1935-4FBD-8F7F-46F315B9255B}" type="presOf" srcId="{550CC6A4-1F9B-4860-B3C3-DE343AC2BD0E}" destId="{F4AD09CD-DB2D-4B34-B82B-070A98CE97B7}" srcOrd="0" destOrd="0" presId="urn:microsoft.com/office/officeart/2005/8/layout/hierarchy3"/>
    <dgm:cxn modelId="{F1EDC855-4B34-4BE7-A97F-AAD887FE3596}" srcId="{9BE1B6B6-AF6A-43C8-B8FE-D432E377225B}" destId="{550CC6A4-1F9B-4860-B3C3-DE343AC2BD0E}" srcOrd="0" destOrd="0" parTransId="{1DAD4FE2-79A9-4271-9534-46B6EC099A97}" sibTransId="{23841C72-62EA-47F9-A1BF-D60BA83F20D3}"/>
    <dgm:cxn modelId="{FE958FAB-734A-4A27-91D7-4AC6FB584A7A}" type="presOf" srcId="{360E17B7-D58B-479C-A39E-B77554313031}" destId="{F852CFDE-1062-4783-A32B-C240CF73727B}" srcOrd="0" destOrd="0" presId="urn:microsoft.com/office/officeart/2005/8/layout/hierarchy3"/>
    <dgm:cxn modelId="{384166DC-8B12-4041-A024-C430BDA53514}" type="presOf" srcId="{9BE1B6B6-AF6A-43C8-B8FE-D432E377225B}" destId="{F58E0EE7-024A-45D0-9415-5C59141E0DA4}" srcOrd="0" destOrd="0" presId="urn:microsoft.com/office/officeart/2005/8/layout/hierarchy3"/>
    <dgm:cxn modelId="{357DA95A-00DF-427B-B589-909F1593D125}" type="presOf" srcId="{CB4766BE-28A1-40E2-846D-51910323F15C}" destId="{0A9B4C1D-37D4-4D19-928C-009DE7FD41DD}" srcOrd="0" destOrd="0" presId="urn:microsoft.com/office/officeart/2005/8/layout/hierarchy3"/>
    <dgm:cxn modelId="{BF50FD00-6570-4BEB-BE9A-E3F89D1C6965}" type="presOf" srcId="{AA613474-270E-4C5D-8A25-E79E2BD53C45}" destId="{2A46E3B2-BC73-4A6F-9563-1E61D7E16480}" srcOrd="1" destOrd="0" presId="urn:microsoft.com/office/officeart/2005/8/layout/hierarchy3"/>
    <dgm:cxn modelId="{6AE4FDDA-5EBF-494F-871A-D99D842874B1}" type="presOf" srcId="{1DAD4FE2-79A9-4271-9534-46B6EC099A97}" destId="{12316019-AE9D-41B6-8DD7-C2FE12162131}" srcOrd="0" destOrd="0" presId="urn:microsoft.com/office/officeart/2005/8/layout/hierarchy3"/>
    <dgm:cxn modelId="{63F28871-FD41-4EBD-AD38-037EDB0FFA82}" type="presOf" srcId="{AA613474-270E-4C5D-8A25-E79E2BD53C45}" destId="{2ADA7CA5-1882-4B8A-8968-E748F97021DD}" srcOrd="0" destOrd="0" presId="urn:microsoft.com/office/officeart/2005/8/layout/hierarchy3"/>
    <dgm:cxn modelId="{4E3679D4-48A6-48F5-B1A0-CBE469D939B7}" type="presOf" srcId="{4723020A-8C63-4B59-B6DA-C2E80A994A72}" destId="{C682B817-D2A4-4FBC-B3C8-519F4CAD1AF5}" srcOrd="0" destOrd="0" presId="urn:microsoft.com/office/officeart/2005/8/layout/hierarchy3"/>
    <dgm:cxn modelId="{6764D872-CE61-49B5-B32A-5F2EF4664679}" type="presOf" srcId="{CE6B73A4-B4B2-49E5-8B04-172F103DE66C}" destId="{C23AFB9A-D785-41B3-A779-7F1B75BE7D7B}" srcOrd="1" destOrd="0" presId="urn:microsoft.com/office/officeart/2005/8/layout/hierarchy3"/>
    <dgm:cxn modelId="{8899F165-D953-426B-9501-9655C7357C36}" type="presOf" srcId="{AB100EDF-0368-4ED7-B446-B4F8C2E3522B}" destId="{F37D95AA-DAA7-4519-A113-0CFDDEECE90F}" srcOrd="0" destOrd="0" presId="urn:microsoft.com/office/officeart/2005/8/layout/hierarchy3"/>
    <dgm:cxn modelId="{BE7C1FF5-1520-478F-AEB6-6627E7673010}" type="presOf" srcId="{62716109-F932-41AB-91B2-E721151C36AA}" destId="{63503D05-316F-4BE3-92E8-BB07927D1419}" srcOrd="0" destOrd="0" presId="urn:microsoft.com/office/officeart/2005/8/layout/hierarchy3"/>
    <dgm:cxn modelId="{285F443A-EDED-460A-BEE8-FF6ABB22DD9F}" type="presOf" srcId="{E61A8E28-FC8B-4B52-9D56-8A938407ACB1}" destId="{A661B67F-BBE6-4003-B619-60FDA109D8E0}" srcOrd="0" destOrd="0" presId="urn:microsoft.com/office/officeart/2005/8/layout/hierarchy3"/>
    <dgm:cxn modelId="{F26DE964-5192-470E-8C47-C443AE064E12}" type="presOf" srcId="{A7991400-B093-47DC-94DE-8F94D0E9CC84}" destId="{BD0AA763-9649-4063-8BA2-7CDAD381CDE5}" srcOrd="0" destOrd="0" presId="urn:microsoft.com/office/officeart/2005/8/layout/hierarchy3"/>
    <dgm:cxn modelId="{0E2EE132-02C2-4EA9-BDF1-2D655CAAA735}" type="presOf" srcId="{5FB414FB-4CBD-4D20-B6EF-FED7C15B2F0C}" destId="{64824F94-18ED-42FC-BC3B-8EAE6B58AE44}" srcOrd="0" destOrd="0" presId="urn:microsoft.com/office/officeart/2005/8/layout/hierarchy3"/>
    <dgm:cxn modelId="{88D47DCE-D8C3-4D79-8B7A-AC6C60C31FFC}" srcId="{CE6B73A4-B4B2-49E5-8B04-172F103DE66C}" destId="{29F69842-9B85-4E76-9985-5732B607A796}" srcOrd="1" destOrd="0" parTransId="{E61A8E28-FC8B-4B52-9D56-8A938407ACB1}" sibTransId="{B90A71FC-A875-49DF-B816-456E14447634}"/>
    <dgm:cxn modelId="{788E8B06-62FD-4C0B-A920-0412356D21EA}" type="presOf" srcId="{AFFA10EA-FC5E-47A0-B55A-AAFDAE44C4FB}" destId="{3D129990-7867-4B23-AE8E-B077510EB963}" srcOrd="0" destOrd="0" presId="urn:microsoft.com/office/officeart/2005/8/layout/hierarchy3"/>
    <dgm:cxn modelId="{5306D089-F870-4187-9774-7F4F3AE588DE}" srcId="{AFFA10EA-FC5E-47A0-B55A-AAFDAE44C4FB}" destId="{AA613474-270E-4C5D-8A25-E79E2BD53C45}" srcOrd="1" destOrd="0" parTransId="{032ED419-02EB-4031-A82A-7D1EDE9AC30D}" sibTransId="{B2C17775-BABE-4B0A-8789-D5458329DADA}"/>
    <dgm:cxn modelId="{B6DF2D76-BDE9-479B-BC79-4E32424BA783}" srcId="{CE6B73A4-B4B2-49E5-8B04-172F103DE66C}" destId="{5FB414FB-4CBD-4D20-B6EF-FED7C15B2F0C}" srcOrd="2" destOrd="0" parTransId="{A6462CF7-5825-4C0C-AC43-B65FF3C5382C}" sibTransId="{ED1D398B-7271-4AAF-BBE9-C10ECB33FFEC}"/>
    <dgm:cxn modelId="{842DE928-F0D9-431B-861F-F0CA96BF9ECC}" type="presOf" srcId="{DC14652D-C30C-4085-9917-8C37FF49D2A5}" destId="{A3C58BD6-04C2-4E06-9B9B-3A812C10A618}" srcOrd="0" destOrd="0" presId="urn:microsoft.com/office/officeart/2005/8/layout/hierarchy3"/>
    <dgm:cxn modelId="{A03800D4-0B1A-4F88-9F94-BB5AE83F8F0B}" srcId="{AFFA10EA-FC5E-47A0-B55A-AAFDAE44C4FB}" destId="{CE6B73A4-B4B2-49E5-8B04-172F103DE66C}" srcOrd="2" destOrd="0" parTransId="{C3EC0CA3-07E4-422A-B2B1-337F24FF755B}" sibTransId="{8C165803-80AE-42CA-A675-2240D3DBA01D}"/>
    <dgm:cxn modelId="{71227F10-D6C3-4502-ACE9-6ECA70152A80}" type="presOf" srcId="{29F69842-9B85-4E76-9985-5732B607A796}" destId="{099CD644-C29E-4DE8-91C4-A192E1B7DEFD}" srcOrd="0" destOrd="0" presId="urn:microsoft.com/office/officeart/2005/8/layout/hierarchy3"/>
    <dgm:cxn modelId="{21BC026F-F892-4437-A6FD-56E4E4838D04}" type="presParOf" srcId="{3D129990-7867-4B23-AE8E-B077510EB963}" destId="{614BA659-87E5-44B9-9A24-374773000404}" srcOrd="0" destOrd="0" presId="urn:microsoft.com/office/officeart/2005/8/layout/hierarchy3"/>
    <dgm:cxn modelId="{9AA46B53-8D70-4EE5-B12A-9403F28F898A}" type="presParOf" srcId="{614BA659-87E5-44B9-9A24-374773000404}" destId="{C7EBF063-C95F-4F00-A7D7-A042E7FBBD92}" srcOrd="0" destOrd="0" presId="urn:microsoft.com/office/officeart/2005/8/layout/hierarchy3"/>
    <dgm:cxn modelId="{EC146C3B-B8D7-48BE-AB87-81FF592FB064}" type="presParOf" srcId="{C7EBF063-C95F-4F00-A7D7-A042E7FBBD92}" destId="{F58E0EE7-024A-45D0-9415-5C59141E0DA4}" srcOrd="0" destOrd="0" presId="urn:microsoft.com/office/officeart/2005/8/layout/hierarchy3"/>
    <dgm:cxn modelId="{88A5C37E-4746-48DC-9D51-AB6DE26D830E}" type="presParOf" srcId="{C7EBF063-C95F-4F00-A7D7-A042E7FBBD92}" destId="{A0252BCD-DB11-4CEE-B772-3C88F7C938AC}" srcOrd="1" destOrd="0" presId="urn:microsoft.com/office/officeart/2005/8/layout/hierarchy3"/>
    <dgm:cxn modelId="{B0320716-4593-49BB-9E00-43A3CD065555}" type="presParOf" srcId="{614BA659-87E5-44B9-9A24-374773000404}" destId="{E66E37C7-D325-4D62-A163-40A1DCD21C50}" srcOrd="1" destOrd="0" presId="urn:microsoft.com/office/officeart/2005/8/layout/hierarchy3"/>
    <dgm:cxn modelId="{24C67D5C-CF41-47F5-86C9-5D428B715B6E}" type="presParOf" srcId="{E66E37C7-D325-4D62-A163-40A1DCD21C50}" destId="{12316019-AE9D-41B6-8DD7-C2FE12162131}" srcOrd="0" destOrd="0" presId="urn:microsoft.com/office/officeart/2005/8/layout/hierarchy3"/>
    <dgm:cxn modelId="{0BF8CC29-07A5-44E4-87E4-7B2616D2D685}" type="presParOf" srcId="{E66E37C7-D325-4D62-A163-40A1DCD21C50}" destId="{F4AD09CD-DB2D-4B34-B82B-070A98CE97B7}" srcOrd="1" destOrd="0" presId="urn:microsoft.com/office/officeart/2005/8/layout/hierarchy3"/>
    <dgm:cxn modelId="{B32D5146-8AED-4889-89B9-83C36A07E35D}" type="presParOf" srcId="{E66E37C7-D325-4D62-A163-40A1DCD21C50}" destId="{0A9B4C1D-37D4-4D19-928C-009DE7FD41DD}" srcOrd="2" destOrd="0" presId="urn:microsoft.com/office/officeart/2005/8/layout/hierarchy3"/>
    <dgm:cxn modelId="{89ACF16B-B066-432B-BCFD-F9ED6DC461AA}" type="presParOf" srcId="{E66E37C7-D325-4D62-A163-40A1DCD21C50}" destId="{63503D05-316F-4BE3-92E8-BB07927D1419}" srcOrd="3" destOrd="0" presId="urn:microsoft.com/office/officeart/2005/8/layout/hierarchy3"/>
    <dgm:cxn modelId="{AA02BC8C-5F34-4B5F-AD29-7953567AC4F6}" type="presParOf" srcId="{E66E37C7-D325-4D62-A163-40A1DCD21C50}" destId="{F37D95AA-DAA7-4519-A113-0CFDDEECE90F}" srcOrd="4" destOrd="0" presId="urn:microsoft.com/office/officeart/2005/8/layout/hierarchy3"/>
    <dgm:cxn modelId="{C3F2D444-D822-45E5-B230-B879E5B856FA}" type="presParOf" srcId="{E66E37C7-D325-4D62-A163-40A1DCD21C50}" destId="{6C35A718-FBEE-4D77-AB13-999F69FE81E8}" srcOrd="5" destOrd="0" presId="urn:microsoft.com/office/officeart/2005/8/layout/hierarchy3"/>
    <dgm:cxn modelId="{0481A0AE-9328-440B-B1F2-FEA3482968FB}" type="presParOf" srcId="{3D129990-7867-4B23-AE8E-B077510EB963}" destId="{2C8BD908-DA78-4112-99B0-2B6FB4E34FC2}" srcOrd="1" destOrd="0" presId="urn:microsoft.com/office/officeart/2005/8/layout/hierarchy3"/>
    <dgm:cxn modelId="{4D90E820-EB78-467F-8074-2EE2EB5E285E}" type="presParOf" srcId="{2C8BD908-DA78-4112-99B0-2B6FB4E34FC2}" destId="{DB5D7C3C-2E16-466C-9B4C-6F5F8EE4BCAA}" srcOrd="0" destOrd="0" presId="urn:microsoft.com/office/officeart/2005/8/layout/hierarchy3"/>
    <dgm:cxn modelId="{2D9421BB-3878-4CA7-AFC6-A5D944BABCB7}" type="presParOf" srcId="{DB5D7C3C-2E16-466C-9B4C-6F5F8EE4BCAA}" destId="{2ADA7CA5-1882-4B8A-8968-E748F97021DD}" srcOrd="0" destOrd="0" presId="urn:microsoft.com/office/officeart/2005/8/layout/hierarchy3"/>
    <dgm:cxn modelId="{758CB6DB-5972-458B-8613-0E0959346A18}" type="presParOf" srcId="{DB5D7C3C-2E16-466C-9B4C-6F5F8EE4BCAA}" destId="{2A46E3B2-BC73-4A6F-9563-1E61D7E16480}" srcOrd="1" destOrd="0" presId="urn:microsoft.com/office/officeart/2005/8/layout/hierarchy3"/>
    <dgm:cxn modelId="{14C9B3C9-07EA-443D-B98C-550F79A90BC8}" type="presParOf" srcId="{2C8BD908-DA78-4112-99B0-2B6FB4E34FC2}" destId="{3DB35930-A662-431F-9076-AE931A09A7A3}" srcOrd="1" destOrd="0" presId="urn:microsoft.com/office/officeart/2005/8/layout/hierarchy3"/>
    <dgm:cxn modelId="{435F0853-EB9A-49AA-9F3B-2C4875B3808B}" type="presParOf" srcId="{3DB35930-A662-431F-9076-AE931A09A7A3}" destId="{F852CFDE-1062-4783-A32B-C240CF73727B}" srcOrd="0" destOrd="0" presId="urn:microsoft.com/office/officeart/2005/8/layout/hierarchy3"/>
    <dgm:cxn modelId="{6CA80317-0E54-44BA-A834-32E16ABFFEA3}" type="presParOf" srcId="{3DB35930-A662-431F-9076-AE931A09A7A3}" destId="{BA6C41A1-89CC-4677-B409-6C404FB2094C}" srcOrd="1" destOrd="0" presId="urn:microsoft.com/office/officeart/2005/8/layout/hierarchy3"/>
    <dgm:cxn modelId="{96965F44-A482-4762-8D93-08ED5B86470D}" type="presParOf" srcId="{3DB35930-A662-431F-9076-AE931A09A7A3}" destId="{A3C58BD6-04C2-4E06-9B9B-3A812C10A618}" srcOrd="2" destOrd="0" presId="urn:microsoft.com/office/officeart/2005/8/layout/hierarchy3"/>
    <dgm:cxn modelId="{9DD9C7F3-F5FC-47BD-90F4-FF4A292DFA15}" type="presParOf" srcId="{3DB35930-A662-431F-9076-AE931A09A7A3}" destId="{87DB08EB-95EE-444C-BA4C-F29B6E5897EA}" srcOrd="3" destOrd="0" presId="urn:microsoft.com/office/officeart/2005/8/layout/hierarchy3"/>
    <dgm:cxn modelId="{C11FBEC1-3AAC-43D4-85C3-2309C9EF3DF2}" type="presParOf" srcId="{3DB35930-A662-431F-9076-AE931A09A7A3}" destId="{FF72A3ED-D724-432D-AB9E-0118F838F768}" srcOrd="4" destOrd="0" presId="urn:microsoft.com/office/officeart/2005/8/layout/hierarchy3"/>
    <dgm:cxn modelId="{A6F0C073-CEA7-42E6-A861-2C9EADB447C5}" type="presParOf" srcId="{3DB35930-A662-431F-9076-AE931A09A7A3}" destId="{BD0AA763-9649-4063-8BA2-7CDAD381CDE5}" srcOrd="5" destOrd="0" presId="urn:microsoft.com/office/officeart/2005/8/layout/hierarchy3"/>
    <dgm:cxn modelId="{E5CAE3AA-4392-4A56-86ED-94B25A0A4848}" type="presParOf" srcId="{3D129990-7867-4B23-AE8E-B077510EB963}" destId="{ED9AA170-110D-46FB-A002-3D645A1C35A8}" srcOrd="2" destOrd="0" presId="urn:microsoft.com/office/officeart/2005/8/layout/hierarchy3"/>
    <dgm:cxn modelId="{AE9975FD-5006-4E06-8252-29608A4AF434}" type="presParOf" srcId="{ED9AA170-110D-46FB-A002-3D645A1C35A8}" destId="{6A56F247-9B6F-4352-8EB2-D3F268069528}" srcOrd="0" destOrd="0" presId="urn:microsoft.com/office/officeart/2005/8/layout/hierarchy3"/>
    <dgm:cxn modelId="{DD279A25-999B-4CC4-8651-9B0FE9F7ABE3}" type="presParOf" srcId="{6A56F247-9B6F-4352-8EB2-D3F268069528}" destId="{D4A3F89F-150E-4EE5-AE01-2B6661BC9E1E}" srcOrd="0" destOrd="0" presId="urn:microsoft.com/office/officeart/2005/8/layout/hierarchy3"/>
    <dgm:cxn modelId="{79054ECC-F584-47C3-B1FA-D939231B2229}" type="presParOf" srcId="{6A56F247-9B6F-4352-8EB2-D3F268069528}" destId="{C23AFB9A-D785-41B3-A779-7F1B75BE7D7B}" srcOrd="1" destOrd="0" presId="urn:microsoft.com/office/officeart/2005/8/layout/hierarchy3"/>
    <dgm:cxn modelId="{7ACDD974-3D06-4798-9A00-B527B9BA77FD}" type="presParOf" srcId="{ED9AA170-110D-46FB-A002-3D645A1C35A8}" destId="{5B3C2577-2106-4B52-B868-1A8D44C78400}" srcOrd="1" destOrd="0" presId="urn:microsoft.com/office/officeart/2005/8/layout/hierarchy3"/>
    <dgm:cxn modelId="{A1A699EC-0080-4BA4-A78D-29450C3D30C2}" type="presParOf" srcId="{5B3C2577-2106-4B52-B868-1A8D44C78400}" destId="{C682B817-D2A4-4FBC-B3C8-519F4CAD1AF5}" srcOrd="0" destOrd="0" presId="urn:microsoft.com/office/officeart/2005/8/layout/hierarchy3"/>
    <dgm:cxn modelId="{32D9A1B2-C1BB-48EB-828A-398C311F3CE3}" type="presParOf" srcId="{5B3C2577-2106-4B52-B868-1A8D44C78400}" destId="{AAEF194D-3DEF-4632-833D-017F8C80C3AD}" srcOrd="1" destOrd="0" presId="urn:microsoft.com/office/officeart/2005/8/layout/hierarchy3"/>
    <dgm:cxn modelId="{ED1E77E6-F88A-4D6F-9289-D5F6C4FE6EEA}" type="presParOf" srcId="{5B3C2577-2106-4B52-B868-1A8D44C78400}" destId="{A661B67F-BBE6-4003-B619-60FDA109D8E0}" srcOrd="2" destOrd="0" presId="urn:microsoft.com/office/officeart/2005/8/layout/hierarchy3"/>
    <dgm:cxn modelId="{BCA72ED8-6096-403D-ADBF-85300556678F}" type="presParOf" srcId="{5B3C2577-2106-4B52-B868-1A8D44C78400}" destId="{099CD644-C29E-4DE8-91C4-A192E1B7DEFD}" srcOrd="3" destOrd="0" presId="urn:microsoft.com/office/officeart/2005/8/layout/hierarchy3"/>
    <dgm:cxn modelId="{FAC20A2A-FD06-4106-BCB2-7A40DD29CB99}" type="presParOf" srcId="{5B3C2577-2106-4B52-B868-1A8D44C78400}" destId="{7E83F049-1DB1-4D4C-850D-724DBACA55B9}" srcOrd="4" destOrd="0" presId="urn:microsoft.com/office/officeart/2005/8/layout/hierarchy3"/>
    <dgm:cxn modelId="{77DF4B2F-0ED2-45E8-B04E-E34C54EBFA82}" type="presParOf" srcId="{5B3C2577-2106-4B52-B868-1A8D44C78400}" destId="{64824F94-18ED-42FC-BC3B-8EAE6B58AE44}" srcOrd="5" destOrd="0" presId="urn:microsoft.com/office/officeart/2005/8/layout/hierarchy3"/>
  </dgm:cxnLst>
  <dgm:bg>
    <a:noFill/>
  </dgm:bg>
  <dgm:whole>
    <a:ln w="9525" cap="flat" cmpd="sng" algn="ctr">
      <a:solidFill>
        <a:schemeClr val="tx1"/>
      </a:solidFill>
      <a:prstDash val="solid"/>
      <a:round/>
      <a:headEnd type="none" w="med" len="med"/>
      <a:tailEnd type="none" w="med" len="med"/>
    </a:ln>
  </dgm:whole>
  <dgm:extLst>
    <a:ext uri="http://schemas.microsoft.com/office/drawing/2008/diagram">
      <dsp:dataModelExt xmlns:dsp="http://schemas.microsoft.com/office/drawing/2008/diagram" relId="rId54" minVer="http://schemas.openxmlformats.org/drawingml/2006/diagram"/>
    </a:ext>
  </dgm:extLst>
</dgm:dataModel>
</file>

<file path=word/diagrams/data20.xml><?xml version="1.0" encoding="utf-8"?>
<dgm:dataModel xmlns:dgm="http://schemas.openxmlformats.org/drawingml/2006/diagram" xmlns:a="http://schemas.openxmlformats.org/drawingml/2006/main">
  <dgm:ptLst>
    <dgm:pt modelId="{C25F2F14-E188-435F-B2DB-1E1EEA4A64DF}"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fr-FR"/>
        </a:p>
      </dgm:t>
    </dgm:pt>
    <dgm:pt modelId="{634C07DD-CFF0-497A-92F9-4621D46AD5EE}">
      <dgm:prSet phldrT="[Texte]" custT="1"/>
      <dgm:spPr>
        <a:blipFill rotWithShape="0">
          <a:blip xmlns:r="http://schemas.openxmlformats.org/officeDocument/2006/relationships" r:embed="rId1"/>
          <a:stretch>
            <a:fillRect/>
          </a:stretch>
        </a:blipFill>
        <a:ln w="3175">
          <a:solidFill>
            <a:schemeClr val="tx1"/>
          </a:solidFill>
        </a:ln>
      </dgm:spPr>
      <dgm:t>
        <a:bodyPr/>
        <a:lstStyle/>
        <a:p>
          <a:pPr algn="ctr"/>
          <a:endParaRPr lang="fr-FR" sz="800">
            <a:solidFill>
              <a:srgbClr val="FF0000"/>
            </a:solidFill>
          </a:endParaRPr>
        </a:p>
      </dgm:t>
    </dgm:pt>
    <dgm:pt modelId="{EC640F5B-0E2A-4E7F-91C3-A766826CFFD3}" type="parTrans" cxnId="{A5B05A96-CD52-4BB0-BEA3-E4BCF0FDD08F}">
      <dgm:prSet/>
      <dgm:spPr/>
      <dgm:t>
        <a:bodyPr/>
        <a:lstStyle/>
        <a:p>
          <a:endParaRPr lang="fr-FR"/>
        </a:p>
      </dgm:t>
    </dgm:pt>
    <dgm:pt modelId="{369FF951-9EE5-47AF-98B0-99CE7A63EAE5}" type="sibTrans" cxnId="{A5B05A96-CD52-4BB0-BEA3-E4BCF0FDD08F}">
      <dgm:prSet/>
      <dgm:spPr/>
      <dgm:t>
        <a:bodyPr/>
        <a:lstStyle/>
        <a:p>
          <a:endParaRPr lang="fr-FR"/>
        </a:p>
      </dgm:t>
    </dgm:pt>
    <dgm:pt modelId="{2867FFD9-63FA-4169-A58D-76FD26238F08}">
      <dgm:prSet phldrT="[Texte]" custT="1"/>
      <dgm:spPr>
        <a:blipFill rotWithShape="0">
          <a:blip xmlns:r="http://schemas.openxmlformats.org/officeDocument/2006/relationships" r:embed="rId2"/>
          <a:stretch>
            <a:fillRect/>
          </a:stretch>
        </a:blipFill>
        <a:ln w="3175">
          <a:solidFill>
            <a:schemeClr val="tx1"/>
          </a:solidFill>
        </a:ln>
      </dgm:spPr>
      <dgm:t>
        <a:bodyPr/>
        <a:lstStyle/>
        <a:p>
          <a:endParaRPr lang="fr-FR" sz="900">
            <a:solidFill>
              <a:srgbClr val="FF0000"/>
            </a:solidFill>
          </a:endParaRPr>
        </a:p>
      </dgm:t>
    </dgm:pt>
    <dgm:pt modelId="{F0439D17-ABE5-43B7-B548-A44E8EB77827}" type="sibTrans" cxnId="{4DE5D350-4960-41EF-8A90-C5F5EBC9DCB1}">
      <dgm:prSet/>
      <dgm:spPr/>
      <dgm:t>
        <a:bodyPr/>
        <a:lstStyle/>
        <a:p>
          <a:endParaRPr lang="fr-FR"/>
        </a:p>
      </dgm:t>
    </dgm:pt>
    <dgm:pt modelId="{712F4296-D7D1-4DB5-89C5-FEC27E74F6F9}" type="parTrans" cxnId="{4DE5D350-4960-41EF-8A90-C5F5EBC9DCB1}">
      <dgm:prSet/>
      <dgm:spPr/>
      <dgm:t>
        <a:bodyPr/>
        <a:lstStyle/>
        <a:p>
          <a:endParaRPr lang="fr-FR"/>
        </a:p>
      </dgm:t>
    </dgm:pt>
    <dgm:pt modelId="{7461B276-5F48-44FB-AB03-8654CB7708F6}">
      <dgm:prSet/>
      <dgm:spPr>
        <a:blipFill rotWithShape="0">
          <a:blip xmlns:r="http://schemas.openxmlformats.org/officeDocument/2006/relationships" r:embed="rId3"/>
          <a:stretch>
            <a:fillRect/>
          </a:stretch>
        </a:blipFill>
      </dgm:spPr>
      <dgm:t>
        <a:bodyPr/>
        <a:lstStyle/>
        <a:p>
          <a:endParaRPr lang="fr-FR"/>
        </a:p>
      </dgm:t>
    </dgm:pt>
    <dgm:pt modelId="{62923A3B-4C44-462B-A430-162B821AF9CC}" type="parTrans" cxnId="{ECBB18C0-7044-4C65-BF8B-063A56D63218}">
      <dgm:prSet/>
      <dgm:spPr/>
      <dgm:t>
        <a:bodyPr/>
        <a:lstStyle/>
        <a:p>
          <a:endParaRPr lang="fr-FR"/>
        </a:p>
      </dgm:t>
    </dgm:pt>
    <dgm:pt modelId="{ED52053C-6A18-44AE-BBDC-E5EB7E606487}" type="sibTrans" cxnId="{ECBB18C0-7044-4C65-BF8B-063A56D63218}">
      <dgm:prSet/>
      <dgm:spPr/>
      <dgm:t>
        <a:bodyPr/>
        <a:lstStyle/>
        <a:p>
          <a:endParaRPr lang="fr-FR"/>
        </a:p>
      </dgm:t>
    </dgm:pt>
    <dgm:pt modelId="{FE195C30-858B-41CB-B97E-15F2D18D3502}" type="pres">
      <dgm:prSet presAssocID="{C25F2F14-E188-435F-B2DB-1E1EEA4A64DF}" presName="diagram" presStyleCnt="0">
        <dgm:presLayoutVars>
          <dgm:dir/>
          <dgm:resizeHandles val="exact"/>
        </dgm:presLayoutVars>
      </dgm:prSet>
      <dgm:spPr/>
      <dgm:t>
        <a:bodyPr/>
        <a:lstStyle/>
        <a:p>
          <a:endParaRPr lang="fr-FR"/>
        </a:p>
      </dgm:t>
    </dgm:pt>
    <dgm:pt modelId="{CB8E5BA1-A34D-4586-B0D8-58D673D13878}" type="pres">
      <dgm:prSet presAssocID="{2867FFD9-63FA-4169-A58D-76FD26238F08}" presName="node" presStyleLbl="node1" presStyleIdx="0" presStyleCnt="3" custScaleX="36373" custScaleY="76692" custLinFactNeighborX="2913" custLinFactNeighborY="-129">
        <dgm:presLayoutVars>
          <dgm:bulletEnabled val="1"/>
        </dgm:presLayoutVars>
      </dgm:prSet>
      <dgm:spPr/>
      <dgm:t>
        <a:bodyPr/>
        <a:lstStyle/>
        <a:p>
          <a:endParaRPr lang="fr-FR"/>
        </a:p>
      </dgm:t>
    </dgm:pt>
    <dgm:pt modelId="{56DDAF45-F73E-4B8F-B8F0-74C496DCD459}" type="pres">
      <dgm:prSet presAssocID="{F0439D17-ABE5-43B7-B548-A44E8EB77827}" presName="sibTrans" presStyleCnt="0"/>
      <dgm:spPr/>
    </dgm:pt>
    <dgm:pt modelId="{A94DF336-0558-469C-A4A7-63D085856D5B}" type="pres">
      <dgm:prSet presAssocID="{634C07DD-CFF0-497A-92F9-4621D46AD5EE}" presName="node" presStyleLbl="node1" presStyleIdx="1" presStyleCnt="3" custScaleX="29869" custScaleY="76883" custLinFactNeighborX="2842" custLinFactNeighborY="-57">
        <dgm:presLayoutVars>
          <dgm:bulletEnabled val="1"/>
        </dgm:presLayoutVars>
      </dgm:prSet>
      <dgm:spPr/>
      <dgm:t>
        <a:bodyPr/>
        <a:lstStyle/>
        <a:p>
          <a:endParaRPr lang="fr-FR"/>
        </a:p>
      </dgm:t>
    </dgm:pt>
    <dgm:pt modelId="{4C45ABA0-6586-465F-8612-DD281C385A4E}" type="pres">
      <dgm:prSet presAssocID="{369FF951-9EE5-47AF-98B0-99CE7A63EAE5}" presName="sibTrans" presStyleCnt="0"/>
      <dgm:spPr/>
    </dgm:pt>
    <dgm:pt modelId="{1AB3C96C-3C76-4C55-A63F-BF2ADD769CAB}" type="pres">
      <dgm:prSet presAssocID="{7461B276-5F48-44FB-AB03-8654CB7708F6}" presName="node" presStyleLbl="node1" presStyleIdx="2" presStyleCnt="3" custScaleX="51448" custScaleY="82786">
        <dgm:presLayoutVars>
          <dgm:bulletEnabled val="1"/>
        </dgm:presLayoutVars>
      </dgm:prSet>
      <dgm:spPr/>
      <dgm:t>
        <a:bodyPr/>
        <a:lstStyle/>
        <a:p>
          <a:endParaRPr lang="fr-FR"/>
        </a:p>
      </dgm:t>
    </dgm:pt>
  </dgm:ptLst>
  <dgm:cxnLst>
    <dgm:cxn modelId="{CA1F2B2A-D9FE-4F28-AD47-9FE7D283487A}" type="presOf" srcId="{C25F2F14-E188-435F-B2DB-1E1EEA4A64DF}" destId="{FE195C30-858B-41CB-B97E-15F2D18D3502}" srcOrd="0" destOrd="0" presId="urn:microsoft.com/office/officeart/2005/8/layout/default"/>
    <dgm:cxn modelId="{A5B05A96-CD52-4BB0-BEA3-E4BCF0FDD08F}" srcId="{C25F2F14-E188-435F-B2DB-1E1EEA4A64DF}" destId="{634C07DD-CFF0-497A-92F9-4621D46AD5EE}" srcOrd="1" destOrd="0" parTransId="{EC640F5B-0E2A-4E7F-91C3-A766826CFFD3}" sibTransId="{369FF951-9EE5-47AF-98B0-99CE7A63EAE5}"/>
    <dgm:cxn modelId="{DB6F15B8-5FE7-4977-B315-44851D316455}" type="presOf" srcId="{634C07DD-CFF0-497A-92F9-4621D46AD5EE}" destId="{A94DF336-0558-469C-A4A7-63D085856D5B}" srcOrd="0" destOrd="0" presId="urn:microsoft.com/office/officeart/2005/8/layout/default"/>
    <dgm:cxn modelId="{ECBB18C0-7044-4C65-BF8B-063A56D63218}" srcId="{C25F2F14-E188-435F-B2DB-1E1EEA4A64DF}" destId="{7461B276-5F48-44FB-AB03-8654CB7708F6}" srcOrd="2" destOrd="0" parTransId="{62923A3B-4C44-462B-A430-162B821AF9CC}" sibTransId="{ED52053C-6A18-44AE-BBDC-E5EB7E606487}"/>
    <dgm:cxn modelId="{0C84641A-0780-4ACF-9D7C-19981ECD36A0}" type="presOf" srcId="{2867FFD9-63FA-4169-A58D-76FD26238F08}" destId="{CB8E5BA1-A34D-4586-B0D8-58D673D13878}" srcOrd="0" destOrd="0" presId="urn:microsoft.com/office/officeart/2005/8/layout/default"/>
    <dgm:cxn modelId="{1F76D5D9-6666-4397-80F9-DA1BB517C021}" type="presOf" srcId="{7461B276-5F48-44FB-AB03-8654CB7708F6}" destId="{1AB3C96C-3C76-4C55-A63F-BF2ADD769CAB}" srcOrd="0" destOrd="0" presId="urn:microsoft.com/office/officeart/2005/8/layout/default"/>
    <dgm:cxn modelId="{4DE5D350-4960-41EF-8A90-C5F5EBC9DCB1}" srcId="{C25F2F14-E188-435F-B2DB-1E1EEA4A64DF}" destId="{2867FFD9-63FA-4169-A58D-76FD26238F08}" srcOrd="0" destOrd="0" parTransId="{712F4296-D7D1-4DB5-89C5-FEC27E74F6F9}" sibTransId="{F0439D17-ABE5-43B7-B548-A44E8EB77827}"/>
    <dgm:cxn modelId="{80A0B4CC-52BE-4B49-8995-CA41C4682F29}" type="presParOf" srcId="{FE195C30-858B-41CB-B97E-15F2D18D3502}" destId="{CB8E5BA1-A34D-4586-B0D8-58D673D13878}" srcOrd="0" destOrd="0" presId="urn:microsoft.com/office/officeart/2005/8/layout/default"/>
    <dgm:cxn modelId="{312415AF-AA01-469E-A248-D0E1A3712360}" type="presParOf" srcId="{FE195C30-858B-41CB-B97E-15F2D18D3502}" destId="{56DDAF45-F73E-4B8F-B8F0-74C496DCD459}" srcOrd="1" destOrd="0" presId="urn:microsoft.com/office/officeart/2005/8/layout/default"/>
    <dgm:cxn modelId="{15C3CDA8-29C5-48E4-A937-CAC8FF1F5CE1}" type="presParOf" srcId="{FE195C30-858B-41CB-B97E-15F2D18D3502}" destId="{A94DF336-0558-469C-A4A7-63D085856D5B}" srcOrd="2" destOrd="0" presId="urn:microsoft.com/office/officeart/2005/8/layout/default"/>
    <dgm:cxn modelId="{9E1047FB-5E60-41F2-A833-15967C63EF33}" type="presParOf" srcId="{FE195C30-858B-41CB-B97E-15F2D18D3502}" destId="{4C45ABA0-6586-465F-8612-DD281C385A4E}" srcOrd="3" destOrd="0" presId="urn:microsoft.com/office/officeart/2005/8/layout/default"/>
    <dgm:cxn modelId="{3F4CF0E5-BD1A-46EB-9181-2D94B91ADAD5}" type="presParOf" srcId="{FE195C30-858B-41CB-B97E-15F2D18D3502}" destId="{1AB3C96C-3C76-4C55-A63F-BF2ADD769CAB}" srcOrd="4" destOrd="0" presId="urn:microsoft.com/office/officeart/2005/8/layout/default"/>
  </dgm:cxnLst>
  <dgm:bg/>
  <dgm:whole>
    <a:ln w="6350" cap="flat" cmpd="sng" algn="ctr">
      <a:solidFill>
        <a:schemeClr val="tx1"/>
      </a:solidFill>
      <a:prstDash val="solid"/>
      <a:round/>
      <a:headEnd type="none" w="med" len="med"/>
      <a:tailEnd type="none" w="med" len="med"/>
    </a:ln>
  </dgm:whole>
  <dgm:extLst>
    <a:ext uri="http://schemas.microsoft.com/office/drawing/2008/diagram">
      <dsp:dataModelExt xmlns:dsp="http://schemas.microsoft.com/office/drawing/2008/diagram" relId="rId266" minVer="http://schemas.openxmlformats.org/drawingml/2006/diagram"/>
    </a:ext>
  </dgm:extLst>
</dgm:dataModel>
</file>

<file path=word/diagrams/data21.xml><?xml version="1.0" encoding="utf-8"?>
<dgm:dataModel xmlns:dgm="http://schemas.openxmlformats.org/drawingml/2006/diagram" xmlns:a="http://schemas.openxmlformats.org/drawingml/2006/main">
  <dgm:ptLst>
    <dgm:pt modelId="{F12BBA5C-C85B-4E22-BAA5-BAA22BC97877}" type="doc">
      <dgm:prSet loTypeId="urn:microsoft.com/office/officeart/2005/8/layout/cycle4" loCatId="cycle" qsTypeId="urn:microsoft.com/office/officeart/2005/8/quickstyle/simple1" qsCatId="simple" csTypeId="urn:microsoft.com/office/officeart/2005/8/colors/accent1_2" csCatId="accent1" phldr="1"/>
      <dgm:spPr/>
      <dgm:t>
        <a:bodyPr/>
        <a:lstStyle/>
        <a:p>
          <a:endParaRPr lang="fr-FR"/>
        </a:p>
      </dgm:t>
    </dgm:pt>
    <dgm:pt modelId="{FB62C4C4-4C5C-4994-A961-09418CD16AC3}">
      <dgm:prSet phldrT="[Texte]" custT="1">
        <dgm:style>
          <a:lnRef idx="1">
            <a:schemeClr val="dk1"/>
          </a:lnRef>
          <a:fillRef idx="2">
            <a:schemeClr val="dk1"/>
          </a:fillRef>
          <a:effectRef idx="1">
            <a:schemeClr val="dk1"/>
          </a:effectRef>
          <a:fontRef idx="minor">
            <a:schemeClr val="dk1"/>
          </a:fontRef>
        </dgm:style>
      </dgm:prSet>
      <dgm:spPr/>
      <dgm:t>
        <a:bodyPr/>
        <a:lstStyle/>
        <a:p>
          <a:pPr algn="ctr" rtl="1"/>
          <a:r>
            <a:rPr lang="ar-DZ" sz="1200">
              <a:latin typeface="Simplified Arabic" panose="02020603050405020304" pitchFamily="18" charset="-78"/>
              <a:cs typeface="Simplified Arabic" panose="02020603050405020304" pitchFamily="18" charset="-78"/>
            </a:rPr>
            <a:t>4: المرونة لأي غرض؟</a:t>
          </a:r>
          <a:endParaRPr lang="fr-FR" sz="1200">
            <a:latin typeface="Simplified Arabic" panose="02020603050405020304" pitchFamily="18" charset="-78"/>
            <a:cs typeface="Simplified Arabic" panose="02020603050405020304" pitchFamily="18" charset="-78"/>
          </a:endParaRPr>
        </a:p>
      </dgm:t>
    </dgm:pt>
    <dgm:pt modelId="{F4387408-03D8-40F8-ACC2-20B17FE0F8DA}" type="parTrans" cxnId="{8C846163-6157-46BF-B585-3307947A9473}">
      <dgm:prSet/>
      <dgm:spPr/>
      <dgm:t>
        <a:bodyPr/>
        <a:lstStyle/>
        <a:p>
          <a:endParaRPr lang="fr-FR"/>
        </a:p>
      </dgm:t>
    </dgm:pt>
    <dgm:pt modelId="{7BE5AF30-8BA5-4989-B626-066351CED2DB}" type="sibTrans" cxnId="{8C846163-6157-46BF-B585-3307947A9473}">
      <dgm:prSet/>
      <dgm:spPr/>
      <dgm:t>
        <a:bodyPr/>
        <a:lstStyle/>
        <a:p>
          <a:endParaRPr lang="fr-FR"/>
        </a:p>
      </dgm:t>
    </dgm:pt>
    <dgm:pt modelId="{504EDF0E-1F27-4509-BA75-0258500D32B5}">
      <dgm:prSet phldrT="[Texte]" custT="1">
        <dgm:style>
          <a:lnRef idx="1">
            <a:schemeClr val="dk1"/>
          </a:lnRef>
          <a:fillRef idx="2">
            <a:schemeClr val="dk1"/>
          </a:fillRef>
          <a:effectRef idx="1">
            <a:schemeClr val="dk1"/>
          </a:effectRef>
          <a:fontRef idx="minor">
            <a:schemeClr val="dk1"/>
          </a:fontRef>
        </dgm:style>
      </dgm:prSet>
      <dgm:spPr>
        <a:ln/>
      </dgm:spPr>
      <dgm:t>
        <a:bodyPr/>
        <a:lstStyle/>
        <a:p>
          <a:pPr algn="l" rtl="1"/>
          <a:r>
            <a:rPr lang="ar-DZ" sz="1200">
              <a:latin typeface="Simplified Arabic" panose="02020603050405020304" pitchFamily="18" charset="-78"/>
              <a:cs typeface="Simplified Arabic" panose="02020603050405020304" pitchFamily="18" charset="-78"/>
            </a:rPr>
            <a:t>سمات المرونة: (الكثافة، التنوع، التكرار، الاتصال)</a:t>
          </a:r>
          <a:endParaRPr lang="fr-FR" sz="1100">
            <a:latin typeface="Simplified Arabic" panose="02020603050405020304" pitchFamily="18" charset="-78"/>
            <a:cs typeface="Simplified Arabic" panose="02020603050405020304" pitchFamily="18" charset="-78"/>
          </a:endParaRPr>
        </a:p>
      </dgm:t>
    </dgm:pt>
    <dgm:pt modelId="{51709882-CCDF-4AD2-A578-5B8558D38BE7}" type="parTrans" cxnId="{CD086C54-6584-4A29-AFFA-408BEE880160}">
      <dgm:prSet/>
      <dgm:spPr/>
      <dgm:t>
        <a:bodyPr/>
        <a:lstStyle/>
        <a:p>
          <a:endParaRPr lang="fr-FR"/>
        </a:p>
      </dgm:t>
    </dgm:pt>
    <dgm:pt modelId="{F208C435-9A30-4097-A995-4DE6914819D1}" type="sibTrans" cxnId="{CD086C54-6584-4A29-AFFA-408BEE880160}">
      <dgm:prSet/>
      <dgm:spPr/>
      <dgm:t>
        <a:bodyPr/>
        <a:lstStyle/>
        <a:p>
          <a:endParaRPr lang="fr-FR"/>
        </a:p>
      </dgm:t>
    </dgm:pt>
    <dgm:pt modelId="{FFDDEB84-36A4-451F-AA4E-4C5AFA63A1AC}">
      <dgm:prSet phldrT="[Texte]" custT="1">
        <dgm:style>
          <a:lnRef idx="1">
            <a:schemeClr val="dk1"/>
          </a:lnRef>
          <a:fillRef idx="2">
            <a:schemeClr val="dk1"/>
          </a:fillRef>
          <a:effectRef idx="1">
            <a:schemeClr val="dk1"/>
          </a:effectRef>
          <a:fontRef idx="minor">
            <a:schemeClr val="dk1"/>
          </a:fontRef>
        </dgm:style>
      </dgm:prSet>
      <dgm:spPr/>
      <dgm:t>
        <a:bodyPr/>
        <a:lstStyle/>
        <a:p>
          <a:pPr algn="ctr" rtl="1"/>
          <a:r>
            <a:rPr lang="ar-DZ" sz="1200">
              <a:latin typeface="Simplified Arabic" panose="02020603050405020304" pitchFamily="18" charset="-78"/>
              <a:cs typeface="Simplified Arabic" panose="02020603050405020304" pitchFamily="18" charset="-78"/>
            </a:rPr>
            <a:t>1: المرونة في سياق ماذا؟</a:t>
          </a:r>
          <a:endParaRPr lang="fr-FR" sz="1200">
            <a:latin typeface="Simplified Arabic" panose="02020603050405020304" pitchFamily="18" charset="-78"/>
            <a:cs typeface="Simplified Arabic" panose="02020603050405020304" pitchFamily="18" charset="-78"/>
          </a:endParaRPr>
        </a:p>
      </dgm:t>
    </dgm:pt>
    <dgm:pt modelId="{DC511BDD-A2EC-4AF2-9150-B8093AAA2D3E}" type="parTrans" cxnId="{E9F8CC0C-4AB1-441D-88B1-39FCC47F7CAC}">
      <dgm:prSet/>
      <dgm:spPr/>
      <dgm:t>
        <a:bodyPr/>
        <a:lstStyle/>
        <a:p>
          <a:endParaRPr lang="fr-FR"/>
        </a:p>
      </dgm:t>
    </dgm:pt>
    <dgm:pt modelId="{59333404-63EE-4DDB-A6C1-23CDE6A54547}" type="sibTrans" cxnId="{E9F8CC0C-4AB1-441D-88B1-39FCC47F7CAC}">
      <dgm:prSet/>
      <dgm:spPr/>
      <dgm:t>
        <a:bodyPr/>
        <a:lstStyle/>
        <a:p>
          <a:endParaRPr lang="fr-FR"/>
        </a:p>
      </dgm:t>
    </dgm:pt>
    <dgm:pt modelId="{38EDEE68-089C-4B3C-A516-2B97351D7B0B}">
      <dgm:prSet phldrT="[Texte]" custT="1">
        <dgm:style>
          <a:lnRef idx="1">
            <a:schemeClr val="dk1"/>
          </a:lnRef>
          <a:fillRef idx="2">
            <a:schemeClr val="dk1"/>
          </a:fillRef>
          <a:effectRef idx="1">
            <a:schemeClr val="dk1"/>
          </a:effectRef>
          <a:fontRef idx="minor">
            <a:schemeClr val="dk1"/>
          </a:fontRef>
        </dgm:style>
      </dgm:prSet>
      <dgm:spPr>
        <a:ln/>
      </dgm:spPr>
      <dgm:t>
        <a:bodyPr/>
        <a:lstStyle/>
        <a:p>
          <a:pPr rtl="1"/>
          <a:r>
            <a:rPr lang="ar-SA" sz="1200"/>
            <a:t>استعمالات </a:t>
          </a:r>
          <a:r>
            <a:rPr lang="ar-DZ" sz="1200" b="0">
              <a:latin typeface="Simplified Arabic" panose="02020603050405020304" pitchFamily="18" charset="-78"/>
              <a:cs typeface="Simplified Arabic" panose="02020603050405020304" pitchFamily="18" charset="-78"/>
            </a:rPr>
            <a:t>الاراضي الحضرية </a:t>
          </a:r>
          <a:endParaRPr lang="fr-FR" sz="1200" b="0">
            <a:latin typeface="Simplified Arabic" panose="02020603050405020304" pitchFamily="18" charset="-78"/>
            <a:cs typeface="Simplified Arabic" panose="02020603050405020304" pitchFamily="18" charset="-78"/>
          </a:endParaRPr>
        </a:p>
      </dgm:t>
    </dgm:pt>
    <dgm:pt modelId="{D6DA9A98-56A8-4906-B729-970F9A344522}" type="parTrans" cxnId="{51E050A9-F921-49F6-909A-A4601805FA60}">
      <dgm:prSet/>
      <dgm:spPr/>
      <dgm:t>
        <a:bodyPr/>
        <a:lstStyle/>
        <a:p>
          <a:endParaRPr lang="fr-FR"/>
        </a:p>
      </dgm:t>
    </dgm:pt>
    <dgm:pt modelId="{91BF8DEF-9A8F-4782-A1CC-96989E721A6D}" type="sibTrans" cxnId="{51E050A9-F921-49F6-909A-A4601805FA60}">
      <dgm:prSet/>
      <dgm:spPr/>
      <dgm:t>
        <a:bodyPr/>
        <a:lstStyle/>
        <a:p>
          <a:endParaRPr lang="fr-FR"/>
        </a:p>
      </dgm:t>
    </dgm:pt>
    <dgm:pt modelId="{AF96DD06-5305-47F9-90A9-0C72916040D9}">
      <dgm:prSet phldrT="[Texte]" custT="1">
        <dgm:style>
          <a:lnRef idx="1">
            <a:schemeClr val="dk1"/>
          </a:lnRef>
          <a:fillRef idx="2">
            <a:schemeClr val="dk1"/>
          </a:fillRef>
          <a:effectRef idx="1">
            <a:schemeClr val="dk1"/>
          </a:effectRef>
          <a:fontRef idx="minor">
            <a:schemeClr val="dk1"/>
          </a:fontRef>
        </dgm:style>
      </dgm:prSet>
      <dgm:spPr/>
      <dgm:t>
        <a:bodyPr/>
        <a:lstStyle/>
        <a:p>
          <a:pPr algn="ctr" rtl="1"/>
          <a:endParaRPr lang="ar-DZ" sz="1200">
            <a:latin typeface="Simplified Arabic" panose="02020603050405020304" pitchFamily="18" charset="-78"/>
            <a:cs typeface="Simplified Arabic" panose="02020603050405020304" pitchFamily="18" charset="-78"/>
          </a:endParaRPr>
        </a:p>
        <a:p>
          <a:pPr algn="ctr" rtl="1"/>
          <a:r>
            <a:rPr lang="ar-DZ" sz="1200">
              <a:latin typeface="Simplified Arabic" panose="02020603050405020304" pitchFamily="18" charset="-78"/>
              <a:cs typeface="Simplified Arabic" panose="02020603050405020304" pitchFamily="18" charset="-78"/>
            </a:rPr>
            <a:t>2: المرونة في مواجهة ماذا؟</a:t>
          </a:r>
          <a:endParaRPr lang="fr-FR" sz="1200">
            <a:latin typeface="Simplified Arabic" panose="02020603050405020304" pitchFamily="18" charset="-78"/>
            <a:cs typeface="Simplified Arabic" panose="02020603050405020304" pitchFamily="18" charset="-78"/>
          </a:endParaRPr>
        </a:p>
      </dgm:t>
    </dgm:pt>
    <dgm:pt modelId="{6F8F00A5-CDC4-4B9A-B661-21E6C2AA8CFC}" type="parTrans" cxnId="{48FD73B1-A8E8-4537-AEDD-9985221D870E}">
      <dgm:prSet/>
      <dgm:spPr/>
      <dgm:t>
        <a:bodyPr/>
        <a:lstStyle/>
        <a:p>
          <a:endParaRPr lang="fr-FR"/>
        </a:p>
      </dgm:t>
    </dgm:pt>
    <dgm:pt modelId="{7D0C0B9B-7ABA-4CED-995B-79AAEFC566A1}" type="sibTrans" cxnId="{48FD73B1-A8E8-4537-AEDD-9985221D870E}">
      <dgm:prSet/>
      <dgm:spPr/>
      <dgm:t>
        <a:bodyPr/>
        <a:lstStyle/>
        <a:p>
          <a:endParaRPr lang="fr-FR"/>
        </a:p>
      </dgm:t>
    </dgm:pt>
    <dgm:pt modelId="{8D944682-E5A4-418E-BA21-B9E786217A04}">
      <dgm:prSet phldrT="[Texte]" custT="1">
        <dgm:style>
          <a:lnRef idx="1">
            <a:schemeClr val="dk1"/>
          </a:lnRef>
          <a:fillRef idx="2">
            <a:schemeClr val="dk1"/>
          </a:fillRef>
          <a:effectRef idx="1">
            <a:schemeClr val="dk1"/>
          </a:effectRef>
          <a:fontRef idx="minor">
            <a:schemeClr val="dk1"/>
          </a:fontRef>
        </dgm:style>
      </dgm:prSet>
      <dgm:spPr/>
      <dgm:t>
        <a:bodyPr/>
        <a:lstStyle/>
        <a:p>
          <a:pPr algn="l" rtl="1"/>
          <a:r>
            <a:rPr lang="ar-DZ" sz="1200">
              <a:latin typeface="Simplified Arabic" panose="02020603050405020304" pitchFamily="18" charset="-78"/>
              <a:cs typeface="Simplified Arabic" panose="02020603050405020304" pitchFamily="18" charset="-78"/>
            </a:rPr>
            <a:t>    </a:t>
          </a:r>
        </a:p>
        <a:p>
          <a:pPr algn="ctr" rtl="1"/>
          <a:r>
            <a:rPr lang="ar-DZ" sz="1200">
              <a:latin typeface="Simplified Arabic" panose="02020603050405020304" pitchFamily="18" charset="-78"/>
              <a:cs typeface="Simplified Arabic" panose="02020603050405020304" pitchFamily="18" charset="-78"/>
            </a:rPr>
            <a:t>3: المرونة في أي مرحلة؟</a:t>
          </a:r>
          <a:endParaRPr lang="fr-FR" sz="1200">
            <a:latin typeface="Simplified Arabic" panose="02020603050405020304" pitchFamily="18" charset="-78"/>
            <a:cs typeface="Simplified Arabic" panose="02020603050405020304" pitchFamily="18" charset="-78"/>
          </a:endParaRPr>
        </a:p>
      </dgm:t>
    </dgm:pt>
    <dgm:pt modelId="{2297460F-51F3-477C-B3EE-4AC21E04668F}" type="parTrans" cxnId="{275C0FA1-3DD5-4B9C-9433-CFF6BC5EBBCC}">
      <dgm:prSet/>
      <dgm:spPr/>
      <dgm:t>
        <a:bodyPr/>
        <a:lstStyle/>
        <a:p>
          <a:endParaRPr lang="fr-FR"/>
        </a:p>
      </dgm:t>
    </dgm:pt>
    <dgm:pt modelId="{508BDD42-5374-41A4-8B57-0344A023447F}" type="sibTrans" cxnId="{275C0FA1-3DD5-4B9C-9433-CFF6BC5EBBCC}">
      <dgm:prSet/>
      <dgm:spPr/>
      <dgm:t>
        <a:bodyPr/>
        <a:lstStyle/>
        <a:p>
          <a:endParaRPr lang="fr-FR"/>
        </a:p>
      </dgm:t>
    </dgm:pt>
    <dgm:pt modelId="{611D8B4E-D24F-482C-AC2E-4D783010D219}">
      <dgm:prSet phldrT="[Texte]" custT="1">
        <dgm:style>
          <a:lnRef idx="1">
            <a:schemeClr val="dk1"/>
          </a:lnRef>
          <a:fillRef idx="2">
            <a:schemeClr val="dk1"/>
          </a:fillRef>
          <a:effectRef idx="1">
            <a:schemeClr val="dk1"/>
          </a:effectRef>
          <a:fontRef idx="minor">
            <a:schemeClr val="dk1"/>
          </a:fontRef>
        </dgm:style>
      </dgm:prSet>
      <dgm:spPr>
        <a:ln/>
      </dgm:spPr>
      <dgm:t>
        <a:bodyPr/>
        <a:lstStyle/>
        <a:p>
          <a:pPr algn="r" rtl="1"/>
          <a:r>
            <a:rPr lang="ar-DZ" sz="1200">
              <a:latin typeface="Simplified Arabic" panose="02020603050405020304" pitchFamily="18" charset="-78"/>
              <a:cs typeface="Simplified Arabic" panose="02020603050405020304" pitchFamily="18" charset="-78"/>
            </a:rPr>
            <a:t>المخاطر الطبيعية (الفيضانات)</a:t>
          </a:r>
          <a:endParaRPr lang="fr-FR" sz="1200">
            <a:latin typeface="Simplified Arabic" panose="02020603050405020304" pitchFamily="18" charset="-78"/>
            <a:cs typeface="Simplified Arabic" panose="02020603050405020304" pitchFamily="18" charset="-78"/>
          </a:endParaRPr>
        </a:p>
      </dgm:t>
    </dgm:pt>
    <dgm:pt modelId="{B7588987-D0C1-4664-8649-662F931A9E52}" type="sibTrans" cxnId="{13845F83-99B9-462F-88E7-6FC1709E0483}">
      <dgm:prSet/>
      <dgm:spPr/>
      <dgm:t>
        <a:bodyPr/>
        <a:lstStyle/>
        <a:p>
          <a:endParaRPr lang="fr-FR"/>
        </a:p>
      </dgm:t>
    </dgm:pt>
    <dgm:pt modelId="{D0BA25F3-0DC8-46D6-A374-E5217F52A1BE}" type="parTrans" cxnId="{13845F83-99B9-462F-88E7-6FC1709E0483}">
      <dgm:prSet/>
      <dgm:spPr/>
      <dgm:t>
        <a:bodyPr/>
        <a:lstStyle/>
        <a:p>
          <a:endParaRPr lang="fr-FR"/>
        </a:p>
      </dgm:t>
    </dgm:pt>
    <dgm:pt modelId="{6664A87F-C695-4938-A926-EA3E4E4C2B5F}">
      <dgm:prSet phldrT="[Texte]" custT="1">
        <dgm:style>
          <a:lnRef idx="1">
            <a:schemeClr val="dk1"/>
          </a:lnRef>
          <a:fillRef idx="2">
            <a:schemeClr val="dk1"/>
          </a:fillRef>
          <a:effectRef idx="1">
            <a:schemeClr val="dk1"/>
          </a:effectRef>
          <a:fontRef idx="minor">
            <a:schemeClr val="dk1"/>
          </a:fontRef>
        </dgm:style>
      </dgm:prSet>
      <dgm:spPr>
        <a:ln/>
      </dgm:spPr>
      <dgm:t>
        <a:bodyPr/>
        <a:lstStyle/>
        <a:p>
          <a:pPr algn="r" rtl="1"/>
          <a:r>
            <a:rPr lang="ar-DZ" sz="1200">
              <a:latin typeface="Simplified Arabic" panose="02020603050405020304" pitchFamily="18" charset="-78"/>
              <a:cs typeface="Simplified Arabic" panose="02020603050405020304" pitchFamily="18" charset="-78"/>
            </a:rPr>
            <a:t>مرحلة التكيّف</a:t>
          </a:r>
          <a:endParaRPr lang="fr-FR" sz="1200">
            <a:latin typeface="Simplified Arabic" panose="02020603050405020304" pitchFamily="18" charset="-78"/>
            <a:cs typeface="Simplified Arabic" panose="02020603050405020304" pitchFamily="18" charset="-78"/>
          </a:endParaRPr>
        </a:p>
      </dgm:t>
    </dgm:pt>
    <dgm:pt modelId="{0E44D6C8-1375-4F41-9FD1-B520DA3F5253}" type="sibTrans" cxnId="{43558C02-9BE7-4737-B2DA-0EB47F06393B}">
      <dgm:prSet/>
      <dgm:spPr/>
      <dgm:t>
        <a:bodyPr/>
        <a:lstStyle/>
        <a:p>
          <a:endParaRPr lang="fr-FR"/>
        </a:p>
      </dgm:t>
    </dgm:pt>
    <dgm:pt modelId="{DF1ADFF1-B7D9-48BC-956D-2E25CC35E6D4}" type="parTrans" cxnId="{43558C02-9BE7-4737-B2DA-0EB47F06393B}">
      <dgm:prSet/>
      <dgm:spPr/>
      <dgm:t>
        <a:bodyPr/>
        <a:lstStyle/>
        <a:p>
          <a:endParaRPr lang="fr-FR"/>
        </a:p>
      </dgm:t>
    </dgm:pt>
    <dgm:pt modelId="{DF4C4C99-BCB5-4223-B8C7-C5AAF515E5C1}" type="pres">
      <dgm:prSet presAssocID="{F12BBA5C-C85B-4E22-BAA5-BAA22BC97877}" presName="cycleMatrixDiagram" presStyleCnt="0">
        <dgm:presLayoutVars>
          <dgm:chMax val="1"/>
          <dgm:dir/>
          <dgm:animLvl val="lvl"/>
          <dgm:resizeHandles val="exact"/>
        </dgm:presLayoutVars>
      </dgm:prSet>
      <dgm:spPr/>
      <dgm:t>
        <a:bodyPr/>
        <a:lstStyle/>
        <a:p>
          <a:endParaRPr lang="fr-FR"/>
        </a:p>
      </dgm:t>
    </dgm:pt>
    <dgm:pt modelId="{709086AC-86ED-4F02-9CC1-C8E943CC4647}" type="pres">
      <dgm:prSet presAssocID="{F12BBA5C-C85B-4E22-BAA5-BAA22BC97877}" presName="children" presStyleCnt="0"/>
      <dgm:spPr/>
    </dgm:pt>
    <dgm:pt modelId="{E0FFE455-4777-43E1-AFE0-D21C8453285A}" type="pres">
      <dgm:prSet presAssocID="{F12BBA5C-C85B-4E22-BAA5-BAA22BC97877}" presName="child1group" presStyleCnt="0"/>
      <dgm:spPr/>
    </dgm:pt>
    <dgm:pt modelId="{2B7F78BF-CE55-4DF8-BA9E-8D7BE0F1BA89}" type="pres">
      <dgm:prSet presAssocID="{F12BBA5C-C85B-4E22-BAA5-BAA22BC97877}" presName="child1" presStyleLbl="bgAcc1" presStyleIdx="0" presStyleCnt="4" custScaleX="212535" custLinFactNeighborX="-33047" custLinFactNeighborY="51342"/>
      <dgm:spPr/>
      <dgm:t>
        <a:bodyPr/>
        <a:lstStyle/>
        <a:p>
          <a:endParaRPr lang="fr-FR"/>
        </a:p>
      </dgm:t>
    </dgm:pt>
    <dgm:pt modelId="{AC0C7D71-DE12-433E-9522-692F480A933C}" type="pres">
      <dgm:prSet presAssocID="{F12BBA5C-C85B-4E22-BAA5-BAA22BC97877}" presName="child1Text" presStyleLbl="bgAcc1" presStyleIdx="0" presStyleCnt="4">
        <dgm:presLayoutVars>
          <dgm:bulletEnabled val="1"/>
        </dgm:presLayoutVars>
      </dgm:prSet>
      <dgm:spPr/>
      <dgm:t>
        <a:bodyPr/>
        <a:lstStyle/>
        <a:p>
          <a:endParaRPr lang="fr-FR"/>
        </a:p>
      </dgm:t>
    </dgm:pt>
    <dgm:pt modelId="{E3339753-BC4A-4571-839B-83884B3FEFB4}" type="pres">
      <dgm:prSet presAssocID="{F12BBA5C-C85B-4E22-BAA5-BAA22BC97877}" presName="child2group" presStyleCnt="0"/>
      <dgm:spPr/>
    </dgm:pt>
    <dgm:pt modelId="{6A1D0904-0A7A-41E3-BAC7-4F8DA3A2AD97}" type="pres">
      <dgm:prSet presAssocID="{F12BBA5C-C85B-4E22-BAA5-BAA22BC97877}" presName="child2" presStyleLbl="bgAcc1" presStyleIdx="1" presStyleCnt="4" custScaleX="152979" custScaleY="100355" custLinFactNeighborX="37191" custLinFactNeighborY="51994"/>
      <dgm:spPr/>
      <dgm:t>
        <a:bodyPr/>
        <a:lstStyle/>
        <a:p>
          <a:endParaRPr lang="fr-FR"/>
        </a:p>
      </dgm:t>
    </dgm:pt>
    <dgm:pt modelId="{1D1516A0-E568-4C34-BB51-CBA63BC217FB}" type="pres">
      <dgm:prSet presAssocID="{F12BBA5C-C85B-4E22-BAA5-BAA22BC97877}" presName="child2Text" presStyleLbl="bgAcc1" presStyleIdx="1" presStyleCnt="4">
        <dgm:presLayoutVars>
          <dgm:bulletEnabled val="1"/>
        </dgm:presLayoutVars>
      </dgm:prSet>
      <dgm:spPr/>
      <dgm:t>
        <a:bodyPr/>
        <a:lstStyle/>
        <a:p>
          <a:endParaRPr lang="fr-FR"/>
        </a:p>
      </dgm:t>
    </dgm:pt>
    <dgm:pt modelId="{5313C719-4344-4B65-A3DE-425C442C4B0F}" type="pres">
      <dgm:prSet presAssocID="{F12BBA5C-C85B-4E22-BAA5-BAA22BC97877}" presName="child3group" presStyleCnt="0"/>
      <dgm:spPr/>
    </dgm:pt>
    <dgm:pt modelId="{46626D5F-37AE-4A4A-A3B3-5FD71D18B5F2}" type="pres">
      <dgm:prSet presAssocID="{F12BBA5C-C85B-4E22-BAA5-BAA22BC97877}" presName="child3" presStyleLbl="bgAcc1" presStyleIdx="2" presStyleCnt="4" custScaleX="158790" custScaleY="108059" custLinFactNeighborX="35042" custLinFactNeighborY="-41986"/>
      <dgm:spPr/>
      <dgm:t>
        <a:bodyPr/>
        <a:lstStyle/>
        <a:p>
          <a:endParaRPr lang="fr-FR"/>
        </a:p>
      </dgm:t>
    </dgm:pt>
    <dgm:pt modelId="{714764A3-FC74-49F2-82C1-FBB7A9FF1BFC}" type="pres">
      <dgm:prSet presAssocID="{F12BBA5C-C85B-4E22-BAA5-BAA22BC97877}" presName="child3Text" presStyleLbl="bgAcc1" presStyleIdx="2" presStyleCnt="4">
        <dgm:presLayoutVars>
          <dgm:bulletEnabled val="1"/>
        </dgm:presLayoutVars>
      </dgm:prSet>
      <dgm:spPr/>
      <dgm:t>
        <a:bodyPr/>
        <a:lstStyle/>
        <a:p>
          <a:endParaRPr lang="fr-FR"/>
        </a:p>
      </dgm:t>
    </dgm:pt>
    <dgm:pt modelId="{D4CDC60A-7010-4F2B-8192-3DE81973CD83}" type="pres">
      <dgm:prSet presAssocID="{F12BBA5C-C85B-4E22-BAA5-BAA22BC97877}" presName="child4group" presStyleCnt="0"/>
      <dgm:spPr/>
    </dgm:pt>
    <dgm:pt modelId="{60C92B5A-F8AE-4521-8DF3-2AF3410242A2}" type="pres">
      <dgm:prSet presAssocID="{F12BBA5C-C85B-4E22-BAA5-BAA22BC97877}" presName="child4" presStyleLbl="bgAcc1" presStyleIdx="3" presStyleCnt="4" custScaleX="167832" custScaleY="110380" custLinFactNeighborX="-55398" custLinFactNeighborY="-40962"/>
      <dgm:spPr/>
      <dgm:t>
        <a:bodyPr/>
        <a:lstStyle/>
        <a:p>
          <a:endParaRPr lang="fr-FR"/>
        </a:p>
      </dgm:t>
    </dgm:pt>
    <dgm:pt modelId="{D491B999-B8AC-4CBD-919B-66B1E127746A}" type="pres">
      <dgm:prSet presAssocID="{F12BBA5C-C85B-4E22-BAA5-BAA22BC97877}" presName="child4Text" presStyleLbl="bgAcc1" presStyleIdx="3" presStyleCnt="4">
        <dgm:presLayoutVars>
          <dgm:bulletEnabled val="1"/>
        </dgm:presLayoutVars>
      </dgm:prSet>
      <dgm:spPr/>
      <dgm:t>
        <a:bodyPr/>
        <a:lstStyle/>
        <a:p>
          <a:endParaRPr lang="fr-FR"/>
        </a:p>
      </dgm:t>
    </dgm:pt>
    <dgm:pt modelId="{BAC0E061-CA2E-45B1-8179-7DCD22ABE93E}" type="pres">
      <dgm:prSet presAssocID="{F12BBA5C-C85B-4E22-BAA5-BAA22BC97877}" presName="childPlaceholder" presStyleCnt="0"/>
      <dgm:spPr/>
    </dgm:pt>
    <dgm:pt modelId="{8949A898-80B3-4504-B1BD-F37FE4F1F386}" type="pres">
      <dgm:prSet presAssocID="{F12BBA5C-C85B-4E22-BAA5-BAA22BC97877}" presName="circle" presStyleCnt="0"/>
      <dgm:spPr/>
    </dgm:pt>
    <dgm:pt modelId="{DE41B026-4E87-45E8-A700-09EB8C93194B}" type="pres">
      <dgm:prSet presAssocID="{F12BBA5C-C85B-4E22-BAA5-BAA22BC97877}" presName="quadrant1" presStyleLbl="node1" presStyleIdx="0" presStyleCnt="4" custScaleX="121000" custScaleY="110000" custLinFactNeighborX="-1687" custLinFactNeighborY="-6559">
        <dgm:presLayoutVars>
          <dgm:chMax val="1"/>
          <dgm:bulletEnabled val="1"/>
        </dgm:presLayoutVars>
      </dgm:prSet>
      <dgm:spPr/>
      <dgm:t>
        <a:bodyPr/>
        <a:lstStyle/>
        <a:p>
          <a:endParaRPr lang="fr-FR"/>
        </a:p>
      </dgm:t>
    </dgm:pt>
    <dgm:pt modelId="{C412F3DA-306A-44C5-B1D7-CCE0512F0716}" type="pres">
      <dgm:prSet presAssocID="{F12BBA5C-C85B-4E22-BAA5-BAA22BC97877}" presName="quadrant2" presStyleLbl="node1" presStyleIdx="1" presStyleCnt="4" custScaleX="121000" custScaleY="110000" custLinFactNeighborX="21070" custLinFactNeighborY="-6559">
        <dgm:presLayoutVars>
          <dgm:chMax val="1"/>
          <dgm:bulletEnabled val="1"/>
        </dgm:presLayoutVars>
      </dgm:prSet>
      <dgm:spPr/>
      <dgm:t>
        <a:bodyPr/>
        <a:lstStyle/>
        <a:p>
          <a:endParaRPr lang="fr-FR"/>
        </a:p>
      </dgm:t>
    </dgm:pt>
    <dgm:pt modelId="{E479C272-FB59-440C-A6D5-AFF4F215B8DB}" type="pres">
      <dgm:prSet presAssocID="{F12BBA5C-C85B-4E22-BAA5-BAA22BC97877}" presName="quadrant3" presStyleLbl="node1" presStyleIdx="2" presStyleCnt="4" custScaleX="121000" custScaleY="110000" custLinFactNeighborX="21070" custLinFactNeighborY="3124">
        <dgm:presLayoutVars>
          <dgm:chMax val="1"/>
          <dgm:bulletEnabled val="1"/>
        </dgm:presLayoutVars>
      </dgm:prSet>
      <dgm:spPr/>
      <dgm:t>
        <a:bodyPr/>
        <a:lstStyle/>
        <a:p>
          <a:endParaRPr lang="fr-FR"/>
        </a:p>
      </dgm:t>
    </dgm:pt>
    <dgm:pt modelId="{B7D3C0DE-EF46-42F7-921D-A18952AABBEB}" type="pres">
      <dgm:prSet presAssocID="{F12BBA5C-C85B-4E22-BAA5-BAA22BC97877}" presName="quadrant4" presStyleLbl="node1" presStyleIdx="3" presStyleCnt="4" custScaleX="121000" custScaleY="110000" custLinFactNeighborX="-1687" custLinFactNeighborY="3124">
        <dgm:presLayoutVars>
          <dgm:chMax val="1"/>
          <dgm:bulletEnabled val="1"/>
        </dgm:presLayoutVars>
      </dgm:prSet>
      <dgm:spPr/>
      <dgm:t>
        <a:bodyPr/>
        <a:lstStyle/>
        <a:p>
          <a:endParaRPr lang="fr-FR"/>
        </a:p>
      </dgm:t>
    </dgm:pt>
    <dgm:pt modelId="{9D80639A-418F-495E-99ED-3695825CB741}" type="pres">
      <dgm:prSet presAssocID="{F12BBA5C-C85B-4E22-BAA5-BAA22BC97877}" presName="quadrantPlaceholder" presStyleCnt="0"/>
      <dgm:spPr/>
    </dgm:pt>
    <dgm:pt modelId="{EB590BCD-E22C-47E0-9669-ED80A7A45050}" type="pres">
      <dgm:prSet presAssocID="{F12BBA5C-C85B-4E22-BAA5-BAA22BC97877}" presName="center1" presStyleLbl="fgShp" presStyleIdx="0" presStyleCnt="2" custAng="5400000" custScaleX="146410" custScaleY="177156" custLinFactNeighborX="45238" custLinFactNeighborY="22236">
        <dgm:style>
          <a:lnRef idx="1">
            <a:schemeClr val="dk1"/>
          </a:lnRef>
          <a:fillRef idx="2">
            <a:schemeClr val="dk1"/>
          </a:fillRef>
          <a:effectRef idx="1">
            <a:schemeClr val="dk1"/>
          </a:effectRef>
          <a:fontRef idx="minor">
            <a:schemeClr val="dk1"/>
          </a:fontRef>
        </dgm:style>
      </dgm:prSet>
      <dgm:spPr/>
    </dgm:pt>
    <dgm:pt modelId="{AFF89BDD-5816-4EBA-AF7B-AD260CF94213}" type="pres">
      <dgm:prSet presAssocID="{F12BBA5C-C85B-4E22-BAA5-BAA22BC97877}" presName="center2" presStyleLbl="fgShp" presStyleIdx="1" presStyleCnt="2" custAng="5612077" custScaleX="146410" custScaleY="177156" custLinFactNeighborX="9073" custLinFactNeighborY="-15220">
        <dgm:style>
          <a:lnRef idx="1">
            <a:schemeClr val="dk1"/>
          </a:lnRef>
          <a:fillRef idx="2">
            <a:schemeClr val="dk1"/>
          </a:fillRef>
          <a:effectRef idx="1">
            <a:schemeClr val="dk1"/>
          </a:effectRef>
          <a:fontRef idx="minor">
            <a:schemeClr val="dk1"/>
          </a:fontRef>
        </dgm:style>
      </dgm:prSet>
      <dgm:spPr/>
    </dgm:pt>
  </dgm:ptLst>
  <dgm:cxnLst>
    <dgm:cxn modelId="{FDEEE37F-74EE-4F22-B384-ACB0B8C860B9}" type="presOf" srcId="{38EDEE68-089C-4B3C-A516-2B97351D7B0B}" destId="{1D1516A0-E568-4C34-BB51-CBA63BC217FB}" srcOrd="1" destOrd="0" presId="urn:microsoft.com/office/officeart/2005/8/layout/cycle4"/>
    <dgm:cxn modelId="{8C846163-6157-46BF-B585-3307947A9473}" srcId="{F12BBA5C-C85B-4E22-BAA5-BAA22BC97877}" destId="{FB62C4C4-4C5C-4994-A961-09418CD16AC3}" srcOrd="0" destOrd="0" parTransId="{F4387408-03D8-40F8-ACC2-20B17FE0F8DA}" sibTransId="{7BE5AF30-8BA5-4989-B626-066351CED2DB}"/>
    <dgm:cxn modelId="{275C0FA1-3DD5-4B9C-9433-CFF6BC5EBBCC}" srcId="{F12BBA5C-C85B-4E22-BAA5-BAA22BC97877}" destId="{8D944682-E5A4-418E-BA21-B9E786217A04}" srcOrd="3" destOrd="0" parTransId="{2297460F-51F3-477C-B3EE-4AC21E04668F}" sibTransId="{508BDD42-5374-41A4-8B57-0344A023447F}"/>
    <dgm:cxn modelId="{43558C02-9BE7-4737-B2DA-0EB47F06393B}" srcId="{8D944682-E5A4-418E-BA21-B9E786217A04}" destId="{6664A87F-C695-4938-A926-EA3E4E4C2B5F}" srcOrd="0" destOrd="0" parTransId="{DF1ADFF1-B7D9-48BC-956D-2E25CC35E6D4}" sibTransId="{0E44D6C8-1375-4F41-9FD1-B520DA3F5253}"/>
    <dgm:cxn modelId="{0F1B6B98-7BB7-4AFE-AEF0-11EFE1814A9D}" type="presOf" srcId="{504EDF0E-1F27-4509-BA75-0258500D32B5}" destId="{2B7F78BF-CE55-4DF8-BA9E-8D7BE0F1BA89}" srcOrd="0" destOrd="0" presId="urn:microsoft.com/office/officeart/2005/8/layout/cycle4"/>
    <dgm:cxn modelId="{CD086C54-6584-4A29-AFFA-408BEE880160}" srcId="{FB62C4C4-4C5C-4994-A961-09418CD16AC3}" destId="{504EDF0E-1F27-4509-BA75-0258500D32B5}" srcOrd="0" destOrd="0" parTransId="{51709882-CCDF-4AD2-A578-5B8558D38BE7}" sibTransId="{F208C435-9A30-4097-A995-4DE6914819D1}"/>
    <dgm:cxn modelId="{E250AEDA-78CA-413E-B570-F2B634570BA1}" type="presOf" srcId="{38EDEE68-089C-4B3C-A516-2B97351D7B0B}" destId="{6A1D0904-0A7A-41E3-BAC7-4F8DA3A2AD97}" srcOrd="0" destOrd="0" presId="urn:microsoft.com/office/officeart/2005/8/layout/cycle4"/>
    <dgm:cxn modelId="{51E050A9-F921-49F6-909A-A4601805FA60}" srcId="{FFDDEB84-36A4-451F-AA4E-4C5AFA63A1AC}" destId="{38EDEE68-089C-4B3C-A516-2B97351D7B0B}" srcOrd="0" destOrd="0" parTransId="{D6DA9A98-56A8-4906-B729-970F9A344522}" sibTransId="{91BF8DEF-9A8F-4782-A1CC-96989E721A6D}"/>
    <dgm:cxn modelId="{13845F83-99B9-462F-88E7-6FC1709E0483}" srcId="{AF96DD06-5305-47F9-90A9-0C72916040D9}" destId="{611D8B4E-D24F-482C-AC2E-4D783010D219}" srcOrd="0" destOrd="0" parTransId="{D0BA25F3-0DC8-46D6-A374-E5217F52A1BE}" sibTransId="{B7588987-D0C1-4664-8649-662F931A9E52}"/>
    <dgm:cxn modelId="{E9F8CC0C-4AB1-441D-88B1-39FCC47F7CAC}" srcId="{F12BBA5C-C85B-4E22-BAA5-BAA22BC97877}" destId="{FFDDEB84-36A4-451F-AA4E-4C5AFA63A1AC}" srcOrd="1" destOrd="0" parTransId="{DC511BDD-A2EC-4AF2-9150-B8093AAA2D3E}" sibTransId="{59333404-63EE-4DDB-A6C1-23CDE6A54547}"/>
    <dgm:cxn modelId="{18AB581E-7028-4945-8E61-7C34D6F62D1C}" type="presOf" srcId="{8D944682-E5A4-418E-BA21-B9E786217A04}" destId="{B7D3C0DE-EF46-42F7-921D-A18952AABBEB}" srcOrd="0" destOrd="0" presId="urn:microsoft.com/office/officeart/2005/8/layout/cycle4"/>
    <dgm:cxn modelId="{27B7BA5D-50E0-4CE4-8D96-DBACEF983904}" type="presOf" srcId="{611D8B4E-D24F-482C-AC2E-4D783010D219}" destId="{714764A3-FC74-49F2-82C1-FBB7A9FF1BFC}" srcOrd="1" destOrd="0" presId="urn:microsoft.com/office/officeart/2005/8/layout/cycle4"/>
    <dgm:cxn modelId="{E7CF8190-36BF-49BF-AAF1-B346F7089027}" type="presOf" srcId="{FB62C4C4-4C5C-4994-A961-09418CD16AC3}" destId="{DE41B026-4E87-45E8-A700-09EB8C93194B}" srcOrd="0" destOrd="0" presId="urn:microsoft.com/office/officeart/2005/8/layout/cycle4"/>
    <dgm:cxn modelId="{48FD73B1-A8E8-4537-AEDD-9985221D870E}" srcId="{F12BBA5C-C85B-4E22-BAA5-BAA22BC97877}" destId="{AF96DD06-5305-47F9-90A9-0C72916040D9}" srcOrd="2" destOrd="0" parTransId="{6F8F00A5-CDC4-4B9A-B661-21E6C2AA8CFC}" sibTransId="{7D0C0B9B-7ABA-4CED-995B-79AAEFC566A1}"/>
    <dgm:cxn modelId="{E1F679E3-6EED-42C1-A30B-59E9C4E4B59A}" type="presOf" srcId="{FFDDEB84-36A4-451F-AA4E-4C5AFA63A1AC}" destId="{C412F3DA-306A-44C5-B1D7-CCE0512F0716}" srcOrd="0" destOrd="0" presId="urn:microsoft.com/office/officeart/2005/8/layout/cycle4"/>
    <dgm:cxn modelId="{8D5D9F5F-CEC5-4250-86AB-0BD02658C9CD}" type="presOf" srcId="{611D8B4E-D24F-482C-AC2E-4D783010D219}" destId="{46626D5F-37AE-4A4A-A3B3-5FD71D18B5F2}" srcOrd="0" destOrd="0" presId="urn:microsoft.com/office/officeart/2005/8/layout/cycle4"/>
    <dgm:cxn modelId="{1424C2F2-F951-4431-972B-B8F892FDD38E}" type="presOf" srcId="{F12BBA5C-C85B-4E22-BAA5-BAA22BC97877}" destId="{DF4C4C99-BCB5-4223-B8C7-C5AAF515E5C1}" srcOrd="0" destOrd="0" presId="urn:microsoft.com/office/officeart/2005/8/layout/cycle4"/>
    <dgm:cxn modelId="{C7D0D82E-D11E-4934-9601-8AE52B21DB18}" type="presOf" srcId="{504EDF0E-1F27-4509-BA75-0258500D32B5}" destId="{AC0C7D71-DE12-433E-9522-692F480A933C}" srcOrd="1" destOrd="0" presId="urn:microsoft.com/office/officeart/2005/8/layout/cycle4"/>
    <dgm:cxn modelId="{F234AEFC-5123-462A-92A6-7032FDB02CD9}" type="presOf" srcId="{6664A87F-C695-4938-A926-EA3E4E4C2B5F}" destId="{60C92B5A-F8AE-4521-8DF3-2AF3410242A2}" srcOrd="0" destOrd="0" presId="urn:microsoft.com/office/officeart/2005/8/layout/cycle4"/>
    <dgm:cxn modelId="{F2EA3A9C-67FB-4FE3-A874-5EFB17D8009E}" type="presOf" srcId="{AF96DD06-5305-47F9-90A9-0C72916040D9}" destId="{E479C272-FB59-440C-A6D5-AFF4F215B8DB}" srcOrd="0" destOrd="0" presId="urn:microsoft.com/office/officeart/2005/8/layout/cycle4"/>
    <dgm:cxn modelId="{EE1F6A49-5B98-43FB-A533-D7493D425182}" type="presOf" srcId="{6664A87F-C695-4938-A926-EA3E4E4C2B5F}" destId="{D491B999-B8AC-4CBD-919B-66B1E127746A}" srcOrd="1" destOrd="0" presId="urn:microsoft.com/office/officeart/2005/8/layout/cycle4"/>
    <dgm:cxn modelId="{0BE1F008-7F63-4098-8BDB-9E7833381C64}" type="presParOf" srcId="{DF4C4C99-BCB5-4223-B8C7-C5AAF515E5C1}" destId="{709086AC-86ED-4F02-9CC1-C8E943CC4647}" srcOrd="0" destOrd="0" presId="urn:microsoft.com/office/officeart/2005/8/layout/cycle4"/>
    <dgm:cxn modelId="{FE2BB19B-3146-4B8B-97AE-A6953655FFAD}" type="presParOf" srcId="{709086AC-86ED-4F02-9CC1-C8E943CC4647}" destId="{E0FFE455-4777-43E1-AFE0-D21C8453285A}" srcOrd="0" destOrd="0" presId="urn:microsoft.com/office/officeart/2005/8/layout/cycle4"/>
    <dgm:cxn modelId="{B6F1CF0A-5823-487A-9242-952BF784057F}" type="presParOf" srcId="{E0FFE455-4777-43E1-AFE0-D21C8453285A}" destId="{2B7F78BF-CE55-4DF8-BA9E-8D7BE0F1BA89}" srcOrd="0" destOrd="0" presId="urn:microsoft.com/office/officeart/2005/8/layout/cycle4"/>
    <dgm:cxn modelId="{B7FE7721-3400-421F-98FA-8EC94A7D311B}" type="presParOf" srcId="{E0FFE455-4777-43E1-AFE0-D21C8453285A}" destId="{AC0C7D71-DE12-433E-9522-692F480A933C}" srcOrd="1" destOrd="0" presId="urn:microsoft.com/office/officeart/2005/8/layout/cycle4"/>
    <dgm:cxn modelId="{566AB0E4-7F74-46D9-BA6B-C24ADF4674F5}" type="presParOf" srcId="{709086AC-86ED-4F02-9CC1-C8E943CC4647}" destId="{E3339753-BC4A-4571-839B-83884B3FEFB4}" srcOrd="1" destOrd="0" presId="urn:microsoft.com/office/officeart/2005/8/layout/cycle4"/>
    <dgm:cxn modelId="{D4A6C441-12D3-4000-A51E-260CA1039227}" type="presParOf" srcId="{E3339753-BC4A-4571-839B-83884B3FEFB4}" destId="{6A1D0904-0A7A-41E3-BAC7-4F8DA3A2AD97}" srcOrd="0" destOrd="0" presId="urn:microsoft.com/office/officeart/2005/8/layout/cycle4"/>
    <dgm:cxn modelId="{E17F9E9E-A506-4508-954B-53A3076662A3}" type="presParOf" srcId="{E3339753-BC4A-4571-839B-83884B3FEFB4}" destId="{1D1516A0-E568-4C34-BB51-CBA63BC217FB}" srcOrd="1" destOrd="0" presId="urn:microsoft.com/office/officeart/2005/8/layout/cycle4"/>
    <dgm:cxn modelId="{DB7E5757-B256-421D-ABBA-DE56B33AA80E}" type="presParOf" srcId="{709086AC-86ED-4F02-9CC1-C8E943CC4647}" destId="{5313C719-4344-4B65-A3DE-425C442C4B0F}" srcOrd="2" destOrd="0" presId="urn:microsoft.com/office/officeart/2005/8/layout/cycle4"/>
    <dgm:cxn modelId="{BA4CAA61-C147-4C71-9A5C-6DCEAEB79AAD}" type="presParOf" srcId="{5313C719-4344-4B65-A3DE-425C442C4B0F}" destId="{46626D5F-37AE-4A4A-A3B3-5FD71D18B5F2}" srcOrd="0" destOrd="0" presId="urn:microsoft.com/office/officeart/2005/8/layout/cycle4"/>
    <dgm:cxn modelId="{11C8A902-FBD4-45EA-B0AC-543D5F935D81}" type="presParOf" srcId="{5313C719-4344-4B65-A3DE-425C442C4B0F}" destId="{714764A3-FC74-49F2-82C1-FBB7A9FF1BFC}" srcOrd="1" destOrd="0" presId="urn:microsoft.com/office/officeart/2005/8/layout/cycle4"/>
    <dgm:cxn modelId="{9CBF7D79-94C8-4886-95CA-6664EB235085}" type="presParOf" srcId="{709086AC-86ED-4F02-9CC1-C8E943CC4647}" destId="{D4CDC60A-7010-4F2B-8192-3DE81973CD83}" srcOrd="3" destOrd="0" presId="urn:microsoft.com/office/officeart/2005/8/layout/cycle4"/>
    <dgm:cxn modelId="{1093E056-8E10-4293-959A-0B3586C81ADE}" type="presParOf" srcId="{D4CDC60A-7010-4F2B-8192-3DE81973CD83}" destId="{60C92B5A-F8AE-4521-8DF3-2AF3410242A2}" srcOrd="0" destOrd="0" presId="urn:microsoft.com/office/officeart/2005/8/layout/cycle4"/>
    <dgm:cxn modelId="{7826A01F-E4C7-4B08-8B66-5C9D53408D1C}" type="presParOf" srcId="{D4CDC60A-7010-4F2B-8192-3DE81973CD83}" destId="{D491B999-B8AC-4CBD-919B-66B1E127746A}" srcOrd="1" destOrd="0" presId="urn:microsoft.com/office/officeart/2005/8/layout/cycle4"/>
    <dgm:cxn modelId="{0467EA24-7596-4BD6-87B6-9EEC24BA0828}" type="presParOf" srcId="{709086AC-86ED-4F02-9CC1-C8E943CC4647}" destId="{BAC0E061-CA2E-45B1-8179-7DCD22ABE93E}" srcOrd="4" destOrd="0" presId="urn:microsoft.com/office/officeart/2005/8/layout/cycle4"/>
    <dgm:cxn modelId="{81AE013F-53CA-4E16-AECC-D28DADA773BA}" type="presParOf" srcId="{DF4C4C99-BCB5-4223-B8C7-C5AAF515E5C1}" destId="{8949A898-80B3-4504-B1BD-F37FE4F1F386}" srcOrd="1" destOrd="0" presId="urn:microsoft.com/office/officeart/2005/8/layout/cycle4"/>
    <dgm:cxn modelId="{6A876908-1F64-4605-8E96-BD2320A9641A}" type="presParOf" srcId="{8949A898-80B3-4504-B1BD-F37FE4F1F386}" destId="{DE41B026-4E87-45E8-A700-09EB8C93194B}" srcOrd="0" destOrd="0" presId="urn:microsoft.com/office/officeart/2005/8/layout/cycle4"/>
    <dgm:cxn modelId="{E0BD0F0B-9294-4C6F-B86D-EFF6D79E288A}" type="presParOf" srcId="{8949A898-80B3-4504-B1BD-F37FE4F1F386}" destId="{C412F3DA-306A-44C5-B1D7-CCE0512F0716}" srcOrd="1" destOrd="0" presId="urn:microsoft.com/office/officeart/2005/8/layout/cycle4"/>
    <dgm:cxn modelId="{F7591624-33D9-435B-84B2-D81394B9A201}" type="presParOf" srcId="{8949A898-80B3-4504-B1BD-F37FE4F1F386}" destId="{E479C272-FB59-440C-A6D5-AFF4F215B8DB}" srcOrd="2" destOrd="0" presId="urn:microsoft.com/office/officeart/2005/8/layout/cycle4"/>
    <dgm:cxn modelId="{2DD7C78D-DDD9-47DF-A576-8D2EB9E7231D}" type="presParOf" srcId="{8949A898-80B3-4504-B1BD-F37FE4F1F386}" destId="{B7D3C0DE-EF46-42F7-921D-A18952AABBEB}" srcOrd="3" destOrd="0" presId="urn:microsoft.com/office/officeart/2005/8/layout/cycle4"/>
    <dgm:cxn modelId="{391EA137-C01F-4643-8FC5-C507B4DBF874}" type="presParOf" srcId="{8949A898-80B3-4504-B1BD-F37FE4F1F386}" destId="{9D80639A-418F-495E-99ED-3695825CB741}" srcOrd="4" destOrd="0" presId="urn:microsoft.com/office/officeart/2005/8/layout/cycle4"/>
    <dgm:cxn modelId="{8CCE5303-3628-4039-B655-3EE2DC8214A4}" type="presParOf" srcId="{DF4C4C99-BCB5-4223-B8C7-C5AAF515E5C1}" destId="{EB590BCD-E22C-47E0-9669-ED80A7A45050}" srcOrd="2" destOrd="0" presId="urn:microsoft.com/office/officeart/2005/8/layout/cycle4"/>
    <dgm:cxn modelId="{70ADFEBC-0E85-43E9-B3DC-1B3DC45C9076}" type="presParOf" srcId="{DF4C4C99-BCB5-4223-B8C7-C5AAF515E5C1}" destId="{AFF89BDD-5816-4EBA-AF7B-AD260CF94213}" srcOrd="3" destOrd="0" presId="urn:microsoft.com/office/officeart/2005/8/layout/cycle4"/>
  </dgm:cxnLst>
  <dgm:bg/>
  <dgm:whole>
    <a:ln>
      <a:solidFill>
        <a:schemeClr val="tx1"/>
      </a:solidFill>
    </a:ln>
  </dgm:whole>
  <dgm:extLst>
    <a:ext uri="http://schemas.microsoft.com/office/drawing/2008/diagram">
      <dsp:dataModelExt xmlns:dsp="http://schemas.microsoft.com/office/drawing/2008/diagram" relId="rId280" minVer="http://schemas.openxmlformats.org/drawingml/2006/diagram"/>
    </a:ext>
  </dgm:extLst>
</dgm:dataModel>
</file>

<file path=word/diagrams/data22.xml><?xml version="1.0" encoding="utf-8"?>
<dgm:dataModel xmlns:dgm="http://schemas.openxmlformats.org/drawingml/2006/diagram" xmlns:a="http://schemas.openxmlformats.org/drawingml/2006/main">
  <dgm:ptLst>
    <dgm:pt modelId="{7A72D090-7247-4CC5-BD6E-ADC2F4BA9AF1}" type="doc">
      <dgm:prSet loTypeId="urn:microsoft.com/office/officeart/2005/8/layout/pList1" loCatId="list" qsTypeId="urn:microsoft.com/office/officeart/2005/8/quickstyle/simple1" qsCatId="simple" csTypeId="urn:microsoft.com/office/officeart/2005/8/colors/accent1_2" csCatId="accent1" phldr="1"/>
      <dgm:spPr/>
      <dgm:t>
        <a:bodyPr/>
        <a:lstStyle/>
        <a:p>
          <a:endParaRPr lang="fr-FR"/>
        </a:p>
      </dgm:t>
    </dgm:pt>
    <dgm:pt modelId="{97A26A76-9075-49AA-87DF-1460F3E66711}">
      <dgm:prSet phldrT="[Texte]" custT="1">
        <dgm:style>
          <a:lnRef idx="1">
            <a:schemeClr val="dk1"/>
          </a:lnRef>
          <a:fillRef idx="2">
            <a:schemeClr val="dk1"/>
          </a:fillRef>
          <a:effectRef idx="1">
            <a:schemeClr val="dk1"/>
          </a:effectRef>
          <a:fontRef idx="minor">
            <a:schemeClr val="dk1"/>
          </a:fontRef>
        </dgm:style>
      </dgm:prSet>
      <dgm:spPr>
        <a:ln>
          <a:solidFill>
            <a:schemeClr val="bg1">
              <a:lumMod val="85000"/>
            </a:schemeClr>
          </a:solidFill>
        </a:ln>
      </dgm:spPr>
      <dgm:t>
        <a:bodyPr/>
        <a:lstStyle/>
        <a:p>
          <a:r>
            <a:rPr lang="ar-DZ" sz="1200" b="1">
              <a:latin typeface="Simplified Arabic" panose="02020603050405020304" pitchFamily="18" charset="-78"/>
              <a:cs typeface="Simplified Arabic" panose="02020603050405020304" pitchFamily="18" charset="-78"/>
            </a:rPr>
            <a:t>حي الكوشة والقيسة</a:t>
          </a:r>
          <a:endParaRPr lang="fr-FR" sz="1200" b="1">
            <a:latin typeface="Simplified Arabic" panose="02020603050405020304" pitchFamily="18" charset="-78"/>
            <a:cs typeface="Simplified Arabic" panose="02020603050405020304" pitchFamily="18" charset="-78"/>
          </a:endParaRPr>
        </a:p>
      </dgm:t>
    </dgm:pt>
    <dgm:pt modelId="{815DE442-83AA-448D-A270-806952431634}" type="parTrans" cxnId="{690028D7-9F39-471B-BE9A-DCA30BE523F6}">
      <dgm:prSet/>
      <dgm:spPr/>
      <dgm:t>
        <a:bodyPr/>
        <a:lstStyle/>
        <a:p>
          <a:endParaRPr lang="fr-FR"/>
        </a:p>
      </dgm:t>
    </dgm:pt>
    <dgm:pt modelId="{1A18F25B-2D5C-4D54-B8E3-F9803C873569}" type="sibTrans" cxnId="{690028D7-9F39-471B-BE9A-DCA30BE523F6}">
      <dgm:prSet/>
      <dgm:spPr/>
      <dgm:t>
        <a:bodyPr/>
        <a:lstStyle/>
        <a:p>
          <a:endParaRPr lang="fr-FR"/>
        </a:p>
      </dgm:t>
    </dgm:pt>
    <dgm:pt modelId="{7F40C44A-6BEC-4C6E-8568-FD11FDBF23B3}">
      <dgm:prSet phldrT="[Texte]" custT="1">
        <dgm:style>
          <a:lnRef idx="1">
            <a:schemeClr val="dk1"/>
          </a:lnRef>
          <a:fillRef idx="2">
            <a:schemeClr val="dk1"/>
          </a:fillRef>
          <a:effectRef idx="1">
            <a:schemeClr val="dk1"/>
          </a:effectRef>
          <a:fontRef idx="minor">
            <a:schemeClr val="dk1"/>
          </a:fontRef>
        </dgm:style>
      </dgm:prSet>
      <dgm:spPr>
        <a:ln>
          <a:solidFill>
            <a:schemeClr val="bg1">
              <a:lumMod val="85000"/>
            </a:schemeClr>
          </a:solidFill>
        </a:ln>
      </dgm:spPr>
      <dgm:t>
        <a:bodyPr/>
        <a:lstStyle/>
        <a:p>
          <a:r>
            <a:rPr lang="ar-DZ" sz="1200" b="1">
              <a:latin typeface="Simplified Arabic" panose="02020603050405020304" pitchFamily="18" charset="-78"/>
              <a:cs typeface="Simplified Arabic" panose="02020603050405020304" pitchFamily="18" charset="-78"/>
            </a:rPr>
            <a:t>حي الباطن</a:t>
          </a:r>
          <a:endParaRPr lang="fr-FR" sz="1200" b="1">
            <a:latin typeface="Simplified Arabic" panose="02020603050405020304" pitchFamily="18" charset="-78"/>
            <a:cs typeface="Simplified Arabic" panose="02020603050405020304" pitchFamily="18" charset="-78"/>
          </a:endParaRPr>
        </a:p>
      </dgm:t>
    </dgm:pt>
    <dgm:pt modelId="{515B43AF-8F47-459A-94C3-A81EF5CF877E}" type="parTrans" cxnId="{AB9FD5AD-E170-476B-8AD6-8358A1697495}">
      <dgm:prSet/>
      <dgm:spPr/>
      <dgm:t>
        <a:bodyPr/>
        <a:lstStyle/>
        <a:p>
          <a:endParaRPr lang="fr-FR"/>
        </a:p>
      </dgm:t>
    </dgm:pt>
    <dgm:pt modelId="{71B74AFC-073C-4F5C-8ADA-0A257C3A9811}" type="sibTrans" cxnId="{AB9FD5AD-E170-476B-8AD6-8358A1697495}">
      <dgm:prSet/>
      <dgm:spPr/>
      <dgm:t>
        <a:bodyPr/>
        <a:lstStyle/>
        <a:p>
          <a:endParaRPr lang="fr-FR"/>
        </a:p>
      </dgm:t>
    </dgm:pt>
    <dgm:pt modelId="{CE432E84-344E-43DB-9569-AE7A1E058EEB}">
      <dgm:prSet phldrT="[Texte]" custT="1">
        <dgm:style>
          <a:lnRef idx="1">
            <a:schemeClr val="dk1"/>
          </a:lnRef>
          <a:fillRef idx="2">
            <a:schemeClr val="dk1"/>
          </a:fillRef>
          <a:effectRef idx="1">
            <a:schemeClr val="dk1"/>
          </a:effectRef>
          <a:fontRef idx="minor">
            <a:schemeClr val="dk1"/>
          </a:fontRef>
        </dgm:style>
      </dgm:prSet>
      <dgm:spPr>
        <a:ln>
          <a:solidFill>
            <a:schemeClr val="bg1">
              <a:lumMod val="85000"/>
            </a:schemeClr>
          </a:solidFill>
        </a:ln>
      </dgm:spPr>
      <dgm:t>
        <a:bodyPr/>
        <a:lstStyle/>
        <a:p>
          <a:r>
            <a:rPr lang="ar-DZ" sz="1200" b="1">
              <a:latin typeface="Simplified Arabic" panose="02020603050405020304" pitchFamily="18" charset="-78"/>
              <a:cs typeface="Simplified Arabic" panose="02020603050405020304" pitchFamily="18" charset="-78"/>
            </a:rPr>
            <a:t>حي بلاتو</a:t>
          </a:r>
          <a:endParaRPr lang="fr-FR" sz="1200" b="1">
            <a:latin typeface="Simplified Arabic" panose="02020603050405020304" pitchFamily="18" charset="-78"/>
            <a:cs typeface="Simplified Arabic" panose="02020603050405020304" pitchFamily="18" charset="-78"/>
          </a:endParaRPr>
        </a:p>
      </dgm:t>
    </dgm:pt>
    <dgm:pt modelId="{B353C370-333A-494B-A792-B19D3D81FD9F}" type="parTrans" cxnId="{1C13FA6F-15D9-4F94-8384-66CFFA40A0E7}">
      <dgm:prSet/>
      <dgm:spPr/>
      <dgm:t>
        <a:bodyPr/>
        <a:lstStyle/>
        <a:p>
          <a:endParaRPr lang="fr-FR"/>
        </a:p>
      </dgm:t>
    </dgm:pt>
    <dgm:pt modelId="{30F10CF9-A027-4969-A4D4-E5D56B25F27B}" type="sibTrans" cxnId="{1C13FA6F-15D9-4F94-8384-66CFFA40A0E7}">
      <dgm:prSet/>
      <dgm:spPr/>
      <dgm:t>
        <a:bodyPr/>
        <a:lstStyle/>
        <a:p>
          <a:endParaRPr lang="fr-FR"/>
        </a:p>
      </dgm:t>
    </dgm:pt>
    <dgm:pt modelId="{B7D88062-364B-4AD3-BB29-EE3377240334}">
      <dgm:prSet phldrT="[Texte]" custT="1">
        <dgm:style>
          <a:lnRef idx="1">
            <a:schemeClr val="dk1"/>
          </a:lnRef>
          <a:fillRef idx="2">
            <a:schemeClr val="dk1"/>
          </a:fillRef>
          <a:effectRef idx="1">
            <a:schemeClr val="dk1"/>
          </a:effectRef>
          <a:fontRef idx="minor">
            <a:schemeClr val="dk1"/>
          </a:fontRef>
        </dgm:style>
      </dgm:prSet>
      <dgm:spPr>
        <a:ln>
          <a:solidFill>
            <a:schemeClr val="bg1">
              <a:lumMod val="85000"/>
            </a:schemeClr>
          </a:solidFill>
        </a:ln>
      </dgm:spPr>
      <dgm:t>
        <a:bodyPr/>
        <a:lstStyle/>
        <a:p>
          <a:pPr rtl="1"/>
          <a:r>
            <a:rPr lang="ar-DZ" sz="1200" b="1">
              <a:latin typeface="Simplified Arabic" panose="02020603050405020304" pitchFamily="18" charset="-78"/>
              <a:cs typeface="Simplified Arabic" panose="02020603050405020304" pitchFamily="18" charset="-78"/>
            </a:rPr>
            <a:t>القصر </a:t>
          </a:r>
          <a:r>
            <a:rPr lang="ar-DZ" sz="1000" b="1">
              <a:latin typeface="Simplified Arabic" panose="02020603050405020304" pitchFamily="18" charset="-78"/>
              <a:cs typeface="Simplified Arabic" panose="02020603050405020304" pitchFamily="18" charset="-78"/>
            </a:rPr>
            <a:t>(المدينة القديمة)</a:t>
          </a:r>
          <a:endParaRPr lang="fr-FR" sz="1000" b="1">
            <a:latin typeface="Simplified Arabic" panose="02020603050405020304" pitchFamily="18" charset="-78"/>
            <a:cs typeface="Simplified Arabic" panose="02020603050405020304" pitchFamily="18" charset="-78"/>
          </a:endParaRPr>
        </a:p>
      </dgm:t>
    </dgm:pt>
    <dgm:pt modelId="{79C436EF-92E7-4EBF-9A95-7D3810A1AD7B}" type="sibTrans" cxnId="{C1056C01-EAA6-4EA8-B6D3-382DCD501FF8}">
      <dgm:prSet/>
      <dgm:spPr/>
      <dgm:t>
        <a:bodyPr/>
        <a:lstStyle/>
        <a:p>
          <a:endParaRPr lang="fr-FR"/>
        </a:p>
      </dgm:t>
    </dgm:pt>
    <dgm:pt modelId="{7BD138B1-C9EA-420B-A611-1414FD62B7C6}" type="parTrans" cxnId="{C1056C01-EAA6-4EA8-B6D3-382DCD501FF8}">
      <dgm:prSet/>
      <dgm:spPr/>
      <dgm:t>
        <a:bodyPr/>
        <a:lstStyle/>
        <a:p>
          <a:endParaRPr lang="fr-FR"/>
        </a:p>
      </dgm:t>
    </dgm:pt>
    <dgm:pt modelId="{7BEA4DD4-1444-4ACE-AD85-BD764D1C23C5}" type="pres">
      <dgm:prSet presAssocID="{7A72D090-7247-4CC5-BD6E-ADC2F4BA9AF1}" presName="Name0" presStyleCnt="0">
        <dgm:presLayoutVars>
          <dgm:dir/>
          <dgm:resizeHandles val="exact"/>
        </dgm:presLayoutVars>
      </dgm:prSet>
      <dgm:spPr/>
      <dgm:t>
        <a:bodyPr/>
        <a:lstStyle/>
        <a:p>
          <a:endParaRPr lang="fr-FR"/>
        </a:p>
      </dgm:t>
    </dgm:pt>
    <dgm:pt modelId="{1756FE37-67D1-47D2-AC7A-784E6882BF8E}" type="pres">
      <dgm:prSet presAssocID="{97A26A76-9075-49AA-87DF-1460F3E66711}" presName="compNode" presStyleCnt="0"/>
      <dgm:spPr/>
    </dgm:pt>
    <dgm:pt modelId="{DE579FD0-8194-482A-BF52-0A9B547A804A}" type="pres">
      <dgm:prSet presAssocID="{97A26A76-9075-49AA-87DF-1460F3E66711}" presName="pictRect" presStyleLbl="node1" presStyleIdx="0" presStyleCnt="4" custScaleX="177156" custScaleY="285311" custLinFactNeighborX="2488" custLinFactNeighborY="2359"/>
      <dgm:spPr>
        <a:prstGeom prst="rect">
          <a:avLst/>
        </a:prstGeom>
        <a:blipFill rotWithShape="1">
          <a:blip xmlns:r="http://schemas.openxmlformats.org/officeDocument/2006/relationships" r:embed="rId1"/>
          <a:stretch>
            <a:fillRect/>
          </a:stretch>
        </a:blipFill>
        <a:ln w="6350">
          <a:solidFill>
            <a:schemeClr val="tx1"/>
          </a:solidFill>
        </a:ln>
      </dgm:spPr>
    </dgm:pt>
    <dgm:pt modelId="{413B6BDC-0C80-472D-8DBD-38E5279A4013}" type="pres">
      <dgm:prSet presAssocID="{97A26A76-9075-49AA-87DF-1460F3E66711}" presName="textRect" presStyleLbl="revTx" presStyleIdx="0" presStyleCnt="4" custScaleX="75855" custScaleY="57192" custLinFactNeighborX="51638" custLinFactNeighborY="92752">
        <dgm:presLayoutVars>
          <dgm:bulletEnabled val="1"/>
        </dgm:presLayoutVars>
      </dgm:prSet>
      <dgm:spPr/>
      <dgm:t>
        <a:bodyPr/>
        <a:lstStyle/>
        <a:p>
          <a:endParaRPr lang="fr-FR"/>
        </a:p>
      </dgm:t>
    </dgm:pt>
    <dgm:pt modelId="{5CB9FEFD-E742-4630-9E1B-99BFC84ACDF6}" type="pres">
      <dgm:prSet presAssocID="{1A18F25B-2D5C-4D54-B8E3-F9803C873569}" presName="sibTrans" presStyleLbl="sibTrans2D1" presStyleIdx="0" presStyleCnt="0"/>
      <dgm:spPr/>
      <dgm:t>
        <a:bodyPr/>
        <a:lstStyle/>
        <a:p>
          <a:endParaRPr lang="fr-FR"/>
        </a:p>
      </dgm:t>
    </dgm:pt>
    <dgm:pt modelId="{F7A22CD5-D747-4006-B27A-4679FA57A767}" type="pres">
      <dgm:prSet presAssocID="{B7D88062-364B-4AD3-BB29-EE3377240334}" presName="compNode" presStyleCnt="0"/>
      <dgm:spPr/>
    </dgm:pt>
    <dgm:pt modelId="{E813E428-FB50-427E-B842-A997209CD4BC}" type="pres">
      <dgm:prSet presAssocID="{B7D88062-364B-4AD3-BB29-EE3377240334}" presName="pictRect" presStyleLbl="node1" presStyleIdx="1" presStyleCnt="4" custScaleX="177156" custScaleY="285311" custLinFactNeighborX="-2488" custLinFactNeighborY="2359"/>
      <dgm:spPr>
        <a:prstGeom prst="rect">
          <a:avLst/>
        </a:prstGeom>
        <a:blipFill rotWithShape="1">
          <a:blip xmlns:r="http://schemas.openxmlformats.org/officeDocument/2006/relationships" r:embed="rId2"/>
          <a:stretch>
            <a:fillRect/>
          </a:stretch>
        </a:blipFill>
        <a:ln w="6350">
          <a:solidFill>
            <a:schemeClr val="tx1"/>
          </a:solidFill>
        </a:ln>
      </dgm:spPr>
    </dgm:pt>
    <dgm:pt modelId="{2CDB69E2-DA46-440C-B370-7A6E26F4F5C9}" type="pres">
      <dgm:prSet presAssocID="{B7D88062-364B-4AD3-BB29-EE3377240334}" presName="textRect" presStyleLbl="revTx" presStyleIdx="1" presStyleCnt="4" custScaleX="81894" custScaleY="57192" custLinFactNeighborX="47043" custLinFactNeighborY="92752">
        <dgm:presLayoutVars>
          <dgm:bulletEnabled val="1"/>
        </dgm:presLayoutVars>
      </dgm:prSet>
      <dgm:spPr/>
      <dgm:t>
        <a:bodyPr/>
        <a:lstStyle/>
        <a:p>
          <a:endParaRPr lang="fr-FR"/>
        </a:p>
      </dgm:t>
    </dgm:pt>
    <dgm:pt modelId="{8F918970-3B50-4601-B0A9-6E4238D7B256}" type="pres">
      <dgm:prSet presAssocID="{79C436EF-92E7-4EBF-9A95-7D3810A1AD7B}" presName="sibTrans" presStyleLbl="sibTrans2D1" presStyleIdx="0" presStyleCnt="0"/>
      <dgm:spPr/>
      <dgm:t>
        <a:bodyPr/>
        <a:lstStyle/>
        <a:p>
          <a:endParaRPr lang="fr-FR"/>
        </a:p>
      </dgm:t>
    </dgm:pt>
    <dgm:pt modelId="{188DAAD4-345A-4FCB-8912-3EE62748D369}" type="pres">
      <dgm:prSet presAssocID="{7F40C44A-6BEC-4C6E-8568-FD11FDBF23B3}" presName="compNode" presStyleCnt="0"/>
      <dgm:spPr/>
    </dgm:pt>
    <dgm:pt modelId="{D82E9B98-0B6E-454D-9A36-BD9A36BA72C9}" type="pres">
      <dgm:prSet presAssocID="{7F40C44A-6BEC-4C6E-8568-FD11FDBF23B3}" presName="pictRect" presStyleLbl="node1" presStyleIdx="2" presStyleCnt="4" custScaleX="177156" custScaleY="285311" custLinFactNeighborX="2488" custLinFactNeighborY="-1542"/>
      <dgm:spPr>
        <a:prstGeom prst="rect">
          <a:avLst/>
        </a:prstGeom>
        <a:blipFill rotWithShape="1">
          <a:blip xmlns:r="http://schemas.openxmlformats.org/officeDocument/2006/relationships" r:embed="rId3"/>
          <a:stretch>
            <a:fillRect/>
          </a:stretch>
        </a:blipFill>
        <a:ln w="6350">
          <a:solidFill>
            <a:schemeClr val="tx1"/>
          </a:solidFill>
        </a:ln>
      </dgm:spPr>
    </dgm:pt>
    <dgm:pt modelId="{81DD6AE9-5604-4244-BEEE-CE4E386AF2DB}" type="pres">
      <dgm:prSet presAssocID="{7F40C44A-6BEC-4C6E-8568-FD11FDBF23B3}" presName="textRect" presStyleLbl="revTx" presStyleIdx="2" presStyleCnt="4" custScaleX="68959" custScaleY="57192" custLinFactNeighborX="55992" custLinFactNeighborY="87173">
        <dgm:presLayoutVars>
          <dgm:bulletEnabled val="1"/>
        </dgm:presLayoutVars>
      </dgm:prSet>
      <dgm:spPr/>
      <dgm:t>
        <a:bodyPr/>
        <a:lstStyle/>
        <a:p>
          <a:endParaRPr lang="fr-FR"/>
        </a:p>
      </dgm:t>
    </dgm:pt>
    <dgm:pt modelId="{29EBBF65-ECD2-4385-A205-6DFD3C285D59}" type="pres">
      <dgm:prSet presAssocID="{71B74AFC-073C-4F5C-8ADA-0A257C3A9811}" presName="sibTrans" presStyleLbl="sibTrans2D1" presStyleIdx="0" presStyleCnt="0"/>
      <dgm:spPr/>
      <dgm:t>
        <a:bodyPr/>
        <a:lstStyle/>
        <a:p>
          <a:endParaRPr lang="fr-FR"/>
        </a:p>
      </dgm:t>
    </dgm:pt>
    <dgm:pt modelId="{E4A67107-A08D-4100-8C68-7B338C3C2911}" type="pres">
      <dgm:prSet presAssocID="{CE432E84-344E-43DB-9569-AE7A1E058EEB}" presName="compNode" presStyleCnt="0"/>
      <dgm:spPr/>
    </dgm:pt>
    <dgm:pt modelId="{E0FEC658-5D53-4B36-BB86-EAEF4428760D}" type="pres">
      <dgm:prSet presAssocID="{CE432E84-344E-43DB-9569-AE7A1E058EEB}" presName="pictRect" presStyleLbl="node1" presStyleIdx="3" presStyleCnt="4" custScaleX="177156" custScaleY="285311" custLinFactNeighborX="-2488" custLinFactNeighborY="-1542"/>
      <dgm:spPr>
        <a:prstGeom prst="rect">
          <a:avLst/>
        </a:prstGeom>
        <a:blipFill rotWithShape="1">
          <a:blip xmlns:r="http://schemas.openxmlformats.org/officeDocument/2006/relationships" r:embed="rId4"/>
          <a:stretch>
            <a:fillRect/>
          </a:stretch>
        </a:blipFill>
        <a:ln w="6350">
          <a:solidFill>
            <a:schemeClr val="tx1"/>
          </a:solidFill>
        </a:ln>
      </dgm:spPr>
      <dgm:t>
        <a:bodyPr/>
        <a:lstStyle/>
        <a:p>
          <a:endParaRPr lang="fr-FR"/>
        </a:p>
      </dgm:t>
    </dgm:pt>
    <dgm:pt modelId="{6507053E-F50A-4785-8D25-025136CC6E4E}" type="pres">
      <dgm:prSet presAssocID="{CE432E84-344E-43DB-9569-AE7A1E058EEB}" presName="textRect" presStyleLbl="revTx" presStyleIdx="3" presStyleCnt="4" custScaleX="68959" custScaleY="57192" custLinFactNeighborX="50394" custLinFactNeighborY="87173">
        <dgm:presLayoutVars>
          <dgm:bulletEnabled val="1"/>
        </dgm:presLayoutVars>
      </dgm:prSet>
      <dgm:spPr/>
      <dgm:t>
        <a:bodyPr/>
        <a:lstStyle/>
        <a:p>
          <a:endParaRPr lang="fr-FR"/>
        </a:p>
      </dgm:t>
    </dgm:pt>
  </dgm:ptLst>
  <dgm:cxnLst>
    <dgm:cxn modelId="{EAF43591-DAE8-4075-89CB-742844E111E9}" type="presOf" srcId="{7A72D090-7247-4CC5-BD6E-ADC2F4BA9AF1}" destId="{7BEA4DD4-1444-4ACE-AD85-BD764D1C23C5}" srcOrd="0" destOrd="0" presId="urn:microsoft.com/office/officeart/2005/8/layout/pList1"/>
    <dgm:cxn modelId="{AB9FD5AD-E170-476B-8AD6-8358A1697495}" srcId="{7A72D090-7247-4CC5-BD6E-ADC2F4BA9AF1}" destId="{7F40C44A-6BEC-4C6E-8568-FD11FDBF23B3}" srcOrd="2" destOrd="0" parTransId="{515B43AF-8F47-459A-94C3-A81EF5CF877E}" sibTransId="{71B74AFC-073C-4F5C-8ADA-0A257C3A9811}"/>
    <dgm:cxn modelId="{73B0207A-D030-4D9B-9A58-CB806CDC1B1A}" type="presOf" srcId="{CE432E84-344E-43DB-9569-AE7A1E058EEB}" destId="{6507053E-F50A-4785-8D25-025136CC6E4E}" srcOrd="0" destOrd="0" presId="urn:microsoft.com/office/officeart/2005/8/layout/pList1"/>
    <dgm:cxn modelId="{1C13FA6F-15D9-4F94-8384-66CFFA40A0E7}" srcId="{7A72D090-7247-4CC5-BD6E-ADC2F4BA9AF1}" destId="{CE432E84-344E-43DB-9569-AE7A1E058EEB}" srcOrd="3" destOrd="0" parTransId="{B353C370-333A-494B-A792-B19D3D81FD9F}" sibTransId="{30F10CF9-A027-4969-A4D4-E5D56B25F27B}"/>
    <dgm:cxn modelId="{96F13EA8-8107-4210-98E9-21AE2A6A73A2}" type="presOf" srcId="{B7D88062-364B-4AD3-BB29-EE3377240334}" destId="{2CDB69E2-DA46-440C-B370-7A6E26F4F5C9}" srcOrd="0" destOrd="0" presId="urn:microsoft.com/office/officeart/2005/8/layout/pList1"/>
    <dgm:cxn modelId="{C1056C01-EAA6-4EA8-B6D3-382DCD501FF8}" srcId="{7A72D090-7247-4CC5-BD6E-ADC2F4BA9AF1}" destId="{B7D88062-364B-4AD3-BB29-EE3377240334}" srcOrd="1" destOrd="0" parTransId="{7BD138B1-C9EA-420B-A611-1414FD62B7C6}" sibTransId="{79C436EF-92E7-4EBF-9A95-7D3810A1AD7B}"/>
    <dgm:cxn modelId="{690028D7-9F39-471B-BE9A-DCA30BE523F6}" srcId="{7A72D090-7247-4CC5-BD6E-ADC2F4BA9AF1}" destId="{97A26A76-9075-49AA-87DF-1460F3E66711}" srcOrd="0" destOrd="0" parTransId="{815DE442-83AA-448D-A270-806952431634}" sibTransId="{1A18F25B-2D5C-4D54-B8E3-F9803C873569}"/>
    <dgm:cxn modelId="{D7B6D1BF-845B-4C00-A762-B1EA882FF7CC}" type="presOf" srcId="{71B74AFC-073C-4F5C-8ADA-0A257C3A9811}" destId="{29EBBF65-ECD2-4385-A205-6DFD3C285D59}" srcOrd="0" destOrd="0" presId="urn:microsoft.com/office/officeart/2005/8/layout/pList1"/>
    <dgm:cxn modelId="{8E638961-5328-4EC2-B0DA-A4D28846AFFA}" type="presOf" srcId="{1A18F25B-2D5C-4D54-B8E3-F9803C873569}" destId="{5CB9FEFD-E742-4630-9E1B-99BFC84ACDF6}" srcOrd="0" destOrd="0" presId="urn:microsoft.com/office/officeart/2005/8/layout/pList1"/>
    <dgm:cxn modelId="{52DB1543-B158-45C5-A3D0-149B450B12A6}" type="presOf" srcId="{7F40C44A-6BEC-4C6E-8568-FD11FDBF23B3}" destId="{81DD6AE9-5604-4244-BEEE-CE4E386AF2DB}" srcOrd="0" destOrd="0" presId="urn:microsoft.com/office/officeart/2005/8/layout/pList1"/>
    <dgm:cxn modelId="{3644CC29-FA98-4D81-9503-1DD0DF2188E1}" type="presOf" srcId="{97A26A76-9075-49AA-87DF-1460F3E66711}" destId="{413B6BDC-0C80-472D-8DBD-38E5279A4013}" srcOrd="0" destOrd="0" presId="urn:microsoft.com/office/officeart/2005/8/layout/pList1"/>
    <dgm:cxn modelId="{2B2F6BC1-D9A9-48EE-8069-3423D041F478}" type="presOf" srcId="{79C436EF-92E7-4EBF-9A95-7D3810A1AD7B}" destId="{8F918970-3B50-4601-B0A9-6E4238D7B256}" srcOrd="0" destOrd="0" presId="urn:microsoft.com/office/officeart/2005/8/layout/pList1"/>
    <dgm:cxn modelId="{52D664C8-BC9C-4F04-84B9-658A9D47BB85}" type="presParOf" srcId="{7BEA4DD4-1444-4ACE-AD85-BD764D1C23C5}" destId="{1756FE37-67D1-47D2-AC7A-784E6882BF8E}" srcOrd="0" destOrd="0" presId="urn:microsoft.com/office/officeart/2005/8/layout/pList1"/>
    <dgm:cxn modelId="{A76A6F05-425B-458E-B8AD-CD653BAF61B9}" type="presParOf" srcId="{1756FE37-67D1-47D2-AC7A-784E6882BF8E}" destId="{DE579FD0-8194-482A-BF52-0A9B547A804A}" srcOrd="0" destOrd="0" presId="urn:microsoft.com/office/officeart/2005/8/layout/pList1"/>
    <dgm:cxn modelId="{46973DB5-5AE0-46FB-B437-E4E938D5F6D6}" type="presParOf" srcId="{1756FE37-67D1-47D2-AC7A-784E6882BF8E}" destId="{413B6BDC-0C80-472D-8DBD-38E5279A4013}" srcOrd="1" destOrd="0" presId="urn:microsoft.com/office/officeart/2005/8/layout/pList1"/>
    <dgm:cxn modelId="{674BA94F-6C49-4CA5-BCFC-D827971EB0BE}" type="presParOf" srcId="{7BEA4DD4-1444-4ACE-AD85-BD764D1C23C5}" destId="{5CB9FEFD-E742-4630-9E1B-99BFC84ACDF6}" srcOrd="1" destOrd="0" presId="urn:microsoft.com/office/officeart/2005/8/layout/pList1"/>
    <dgm:cxn modelId="{82679764-0B29-4589-93E6-3A11BA1B835B}" type="presParOf" srcId="{7BEA4DD4-1444-4ACE-AD85-BD764D1C23C5}" destId="{F7A22CD5-D747-4006-B27A-4679FA57A767}" srcOrd="2" destOrd="0" presId="urn:microsoft.com/office/officeart/2005/8/layout/pList1"/>
    <dgm:cxn modelId="{F65B776A-1F53-4BA7-BF4F-2553CC8588E2}" type="presParOf" srcId="{F7A22CD5-D747-4006-B27A-4679FA57A767}" destId="{E813E428-FB50-427E-B842-A997209CD4BC}" srcOrd="0" destOrd="0" presId="urn:microsoft.com/office/officeart/2005/8/layout/pList1"/>
    <dgm:cxn modelId="{F52C9C61-06DE-46BF-A3E3-8DFCF033CAF4}" type="presParOf" srcId="{F7A22CD5-D747-4006-B27A-4679FA57A767}" destId="{2CDB69E2-DA46-440C-B370-7A6E26F4F5C9}" srcOrd="1" destOrd="0" presId="urn:microsoft.com/office/officeart/2005/8/layout/pList1"/>
    <dgm:cxn modelId="{C36AB7BE-264F-4AF6-9213-8758EAD808CC}" type="presParOf" srcId="{7BEA4DD4-1444-4ACE-AD85-BD764D1C23C5}" destId="{8F918970-3B50-4601-B0A9-6E4238D7B256}" srcOrd="3" destOrd="0" presId="urn:microsoft.com/office/officeart/2005/8/layout/pList1"/>
    <dgm:cxn modelId="{23F4FF2C-4EEB-4D84-9A48-480AB0E2B411}" type="presParOf" srcId="{7BEA4DD4-1444-4ACE-AD85-BD764D1C23C5}" destId="{188DAAD4-345A-4FCB-8912-3EE62748D369}" srcOrd="4" destOrd="0" presId="urn:microsoft.com/office/officeart/2005/8/layout/pList1"/>
    <dgm:cxn modelId="{FB2CC3FB-4CE9-450F-B0D4-2D0EBE48B724}" type="presParOf" srcId="{188DAAD4-345A-4FCB-8912-3EE62748D369}" destId="{D82E9B98-0B6E-454D-9A36-BD9A36BA72C9}" srcOrd="0" destOrd="0" presId="urn:microsoft.com/office/officeart/2005/8/layout/pList1"/>
    <dgm:cxn modelId="{AF6F225F-09FF-48FC-92CC-875D146B222E}" type="presParOf" srcId="{188DAAD4-345A-4FCB-8912-3EE62748D369}" destId="{81DD6AE9-5604-4244-BEEE-CE4E386AF2DB}" srcOrd="1" destOrd="0" presId="urn:microsoft.com/office/officeart/2005/8/layout/pList1"/>
    <dgm:cxn modelId="{37A48D93-D019-4826-A8DA-E970E96C52A1}" type="presParOf" srcId="{7BEA4DD4-1444-4ACE-AD85-BD764D1C23C5}" destId="{29EBBF65-ECD2-4385-A205-6DFD3C285D59}" srcOrd="5" destOrd="0" presId="urn:microsoft.com/office/officeart/2005/8/layout/pList1"/>
    <dgm:cxn modelId="{65B13F93-88CC-44C2-B642-5B8563E4A5EE}" type="presParOf" srcId="{7BEA4DD4-1444-4ACE-AD85-BD764D1C23C5}" destId="{E4A67107-A08D-4100-8C68-7B338C3C2911}" srcOrd="6" destOrd="0" presId="urn:microsoft.com/office/officeart/2005/8/layout/pList1"/>
    <dgm:cxn modelId="{80DB88CD-6976-4F52-8061-FE09D7025A60}" type="presParOf" srcId="{E4A67107-A08D-4100-8C68-7B338C3C2911}" destId="{E0FEC658-5D53-4B36-BB86-EAEF4428760D}" srcOrd="0" destOrd="0" presId="urn:microsoft.com/office/officeart/2005/8/layout/pList1"/>
    <dgm:cxn modelId="{B7C456C2-EACC-4B40-B0C2-8464D67BC024}" type="presParOf" srcId="{E4A67107-A08D-4100-8C68-7B338C3C2911}" destId="{6507053E-F50A-4785-8D25-025136CC6E4E}" srcOrd="1" destOrd="0" presId="urn:microsoft.com/office/officeart/2005/8/layout/pList1"/>
  </dgm:cxnLst>
  <dgm:bg/>
  <dgm:whole>
    <a:ln w="6350">
      <a:solidFill>
        <a:schemeClr val="tx1"/>
      </a:solidFill>
    </a:ln>
  </dgm:whole>
  <dgm:extLst>
    <a:ext uri="http://schemas.microsoft.com/office/drawing/2008/diagram">
      <dsp:dataModelExt xmlns:dsp="http://schemas.microsoft.com/office/drawing/2008/diagram" relId="rId430" minVer="http://schemas.openxmlformats.org/drawingml/2006/diagram"/>
    </a:ext>
  </dgm:extLst>
</dgm:dataModel>
</file>

<file path=word/diagrams/data23.xml><?xml version="1.0" encoding="utf-8"?>
<dgm:dataModel xmlns:dgm="http://schemas.openxmlformats.org/drawingml/2006/diagram" xmlns:a="http://schemas.openxmlformats.org/drawingml/2006/main">
  <dgm:ptLst>
    <dgm:pt modelId="{7DF66E86-3FC7-450B-A2D5-42EF3F910E1D}"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fr-FR"/>
        </a:p>
      </dgm:t>
    </dgm:pt>
    <dgm:pt modelId="{A5873CF6-D3BC-424F-AEC5-52D6D4B088D8}">
      <dgm:prSet phldrT="[Texte]" custT="1">
        <dgm:style>
          <a:lnRef idx="1">
            <a:schemeClr val="dk1"/>
          </a:lnRef>
          <a:fillRef idx="2">
            <a:schemeClr val="dk1"/>
          </a:fillRef>
          <a:effectRef idx="1">
            <a:schemeClr val="dk1"/>
          </a:effectRef>
          <a:fontRef idx="minor">
            <a:schemeClr val="dk1"/>
          </a:fontRef>
        </dgm:style>
      </dgm:prSet>
      <dgm:spPr>
        <a:ln/>
      </dgm:spPr>
      <dgm:t>
        <a:bodyPr/>
        <a:lstStyle/>
        <a:p>
          <a:pPr rtl="1"/>
          <a:r>
            <a:rPr lang="ar-DZ" sz="1200"/>
            <a:t>ابعاد المرونة الحضرية</a:t>
          </a:r>
          <a:endParaRPr lang="fr-FR" sz="1100">
            <a:latin typeface="Simplified Arabic" panose="02020603050405020304" pitchFamily="18" charset="-78"/>
            <a:cs typeface="Simplified Arabic" panose="02020603050405020304" pitchFamily="18" charset="-78"/>
          </a:endParaRPr>
        </a:p>
      </dgm:t>
    </dgm:pt>
    <dgm:pt modelId="{66504279-261A-4094-81DE-47B5B4F3E695}" type="parTrans" cxnId="{56E9AFE1-75B9-43D4-B615-87C83A847CA9}">
      <dgm:prSet/>
      <dgm:spPr/>
      <dgm:t>
        <a:bodyPr/>
        <a:lstStyle/>
        <a:p>
          <a:endParaRPr lang="fr-FR"/>
        </a:p>
      </dgm:t>
    </dgm:pt>
    <dgm:pt modelId="{5FF3F07E-3A57-4557-A432-B85BE0531356}" type="sibTrans" cxnId="{56E9AFE1-75B9-43D4-B615-87C83A847CA9}">
      <dgm:prSet/>
      <dgm:spPr/>
      <dgm:t>
        <a:bodyPr/>
        <a:lstStyle/>
        <a:p>
          <a:endParaRPr lang="fr-FR"/>
        </a:p>
      </dgm:t>
    </dgm:pt>
    <dgm:pt modelId="{93D86335-2F20-46DA-A513-7A84FEF121D4}">
      <dgm:prSet phldrT="[Texte]" custT="1">
        <dgm:style>
          <a:lnRef idx="1">
            <a:schemeClr val="dk1"/>
          </a:lnRef>
          <a:fillRef idx="2">
            <a:schemeClr val="dk1"/>
          </a:fillRef>
          <a:effectRef idx="1">
            <a:schemeClr val="dk1"/>
          </a:effectRef>
          <a:fontRef idx="minor">
            <a:schemeClr val="dk1"/>
          </a:fontRef>
        </dgm:style>
      </dgm:prSet>
      <dgm:spPr>
        <a:ln/>
      </dgm:spPr>
      <dgm:t>
        <a:bodyPr/>
        <a:lstStyle/>
        <a:p>
          <a:pPr rtl="1"/>
          <a:r>
            <a:rPr lang="ar-DZ" sz="1200"/>
            <a:t>البعد الفيزيائي</a:t>
          </a:r>
          <a:endParaRPr lang="fr-FR" sz="1300">
            <a:latin typeface="Simplified Arabic" panose="02020603050405020304" pitchFamily="18" charset="-78"/>
            <a:cs typeface="Simplified Arabic" panose="02020603050405020304" pitchFamily="18" charset="-78"/>
          </a:endParaRPr>
        </a:p>
      </dgm:t>
    </dgm:pt>
    <dgm:pt modelId="{BAF4DE2A-7B72-47B6-8891-FAD532DED522}" type="parTrans" cxnId="{1FB08227-D5A4-439B-A16B-05A0DA4BFEBF}">
      <dgm:prSet>
        <dgm:style>
          <a:lnRef idx="1">
            <a:schemeClr val="dk1"/>
          </a:lnRef>
          <a:fillRef idx="0">
            <a:schemeClr val="dk1"/>
          </a:fillRef>
          <a:effectRef idx="0">
            <a:schemeClr val="dk1"/>
          </a:effectRef>
          <a:fontRef idx="minor">
            <a:schemeClr val="tx1"/>
          </a:fontRef>
        </dgm:style>
      </dgm:prSet>
      <dgm:spPr>
        <a:ln w="6350"/>
      </dgm:spPr>
      <dgm:t>
        <a:bodyPr/>
        <a:lstStyle/>
        <a:p>
          <a:endParaRPr lang="fr-FR"/>
        </a:p>
      </dgm:t>
    </dgm:pt>
    <dgm:pt modelId="{242FC3F8-BB1A-4303-AD03-C29816A3B5BF}" type="sibTrans" cxnId="{1FB08227-D5A4-439B-A16B-05A0DA4BFEBF}">
      <dgm:prSet/>
      <dgm:spPr/>
      <dgm:t>
        <a:bodyPr/>
        <a:lstStyle/>
        <a:p>
          <a:endParaRPr lang="fr-FR"/>
        </a:p>
      </dgm:t>
    </dgm:pt>
    <dgm:pt modelId="{5FBA79A4-D934-4098-A87B-2CAF5C4E3EB2}">
      <dgm:prSet phldrT="[Texte]" custT="1">
        <dgm:style>
          <a:lnRef idx="1">
            <a:schemeClr val="dk1"/>
          </a:lnRef>
          <a:fillRef idx="2">
            <a:schemeClr val="dk1"/>
          </a:fillRef>
          <a:effectRef idx="1">
            <a:schemeClr val="dk1"/>
          </a:effectRef>
          <a:fontRef idx="minor">
            <a:schemeClr val="dk1"/>
          </a:fontRef>
        </dgm:style>
      </dgm:prSet>
      <dgm:spPr>
        <a:ln/>
      </dgm:spPr>
      <dgm:t>
        <a:bodyPr/>
        <a:lstStyle/>
        <a:p>
          <a:pPr rtl="1"/>
          <a:r>
            <a:rPr lang="ar-SA" sz="1200" b="1">
              <a:latin typeface="Simplified Arabic" panose="02020603050405020304" pitchFamily="18" charset="-78"/>
              <a:cs typeface="Simplified Arabic" panose="02020603050405020304" pitchFamily="18" charset="-78"/>
            </a:rPr>
            <a:t>عمق </a:t>
          </a:r>
          <a:r>
            <a:rPr lang="ar-DZ" sz="1200" b="1">
              <a:latin typeface="Simplified Arabic" panose="02020603050405020304" pitchFamily="18" charset="-78"/>
              <a:cs typeface="Simplified Arabic" panose="02020603050405020304" pitchFamily="18" charset="-78"/>
            </a:rPr>
            <a:t>الطريق الشرياني</a:t>
          </a:r>
          <a:r>
            <a:rPr lang="ar-SA" sz="1200" b="1">
              <a:latin typeface="Simplified Arabic" panose="02020603050405020304" pitchFamily="18" charset="-78"/>
              <a:cs typeface="Simplified Arabic" panose="02020603050405020304" pitchFamily="18" charset="-78"/>
            </a:rPr>
            <a:t> </a:t>
          </a:r>
          <a:endParaRPr lang="fr-FR" sz="1700" b="1">
            <a:latin typeface="Simplified Arabic" panose="02020603050405020304" pitchFamily="18" charset="-78"/>
            <a:cs typeface="Simplified Arabic" panose="02020603050405020304" pitchFamily="18" charset="-78"/>
          </a:endParaRPr>
        </a:p>
      </dgm:t>
    </dgm:pt>
    <dgm:pt modelId="{41B76773-44E4-4B09-AC93-F5DD5659E53A}" type="parTrans" cxnId="{A46235BF-FD90-459E-BD61-1C6D41CAA02F}">
      <dgm:prSet/>
      <dgm:spPr>
        <a:ln w="6350">
          <a:solidFill>
            <a:schemeClr val="tx1"/>
          </a:solidFill>
        </a:ln>
      </dgm:spPr>
      <dgm:t>
        <a:bodyPr/>
        <a:lstStyle/>
        <a:p>
          <a:endParaRPr lang="fr-FR"/>
        </a:p>
      </dgm:t>
    </dgm:pt>
    <dgm:pt modelId="{15B6AE0A-3C28-4278-A996-F9A48CC5EC08}" type="sibTrans" cxnId="{A46235BF-FD90-459E-BD61-1C6D41CAA02F}">
      <dgm:prSet/>
      <dgm:spPr/>
      <dgm:t>
        <a:bodyPr/>
        <a:lstStyle/>
        <a:p>
          <a:endParaRPr lang="fr-FR"/>
        </a:p>
      </dgm:t>
    </dgm:pt>
    <dgm:pt modelId="{A956B258-1408-43C1-B845-87B9B58B1BE3}">
      <dgm:prSet phldrT="[Texte]" custT="1">
        <dgm:style>
          <a:lnRef idx="1">
            <a:schemeClr val="dk1"/>
          </a:lnRef>
          <a:fillRef idx="2">
            <a:schemeClr val="dk1"/>
          </a:fillRef>
          <a:effectRef idx="1">
            <a:schemeClr val="dk1"/>
          </a:effectRef>
          <a:fontRef idx="minor">
            <a:schemeClr val="dk1"/>
          </a:fontRef>
        </dgm:style>
      </dgm:prSet>
      <dgm:spPr>
        <a:ln/>
      </dgm:spPr>
      <dgm:t>
        <a:bodyPr/>
        <a:lstStyle/>
        <a:p>
          <a:pPr rtl="1"/>
          <a:r>
            <a:rPr lang="ar-DZ" sz="1200">
              <a:latin typeface="Simplified Arabic" panose="02020603050405020304" pitchFamily="18" charset="-78"/>
              <a:cs typeface="Simplified Arabic" panose="02020603050405020304" pitchFamily="18" charset="-78"/>
            </a:rPr>
            <a:t>التوزيع المكاني لاستخدام الارض الحضرية</a:t>
          </a:r>
          <a:endParaRPr lang="fr-FR" sz="1200">
            <a:latin typeface="Simplified Arabic" panose="02020603050405020304" pitchFamily="18" charset="-78"/>
            <a:cs typeface="Simplified Arabic" panose="02020603050405020304" pitchFamily="18" charset="-78"/>
          </a:endParaRPr>
        </a:p>
      </dgm:t>
    </dgm:pt>
    <dgm:pt modelId="{4FDB9450-CE40-4263-B9B2-078471599CCD}" type="parTrans" cxnId="{BB424381-156D-4658-B798-3F707C9033AC}">
      <dgm:prSet/>
      <dgm:spPr>
        <a:ln w="6350">
          <a:solidFill>
            <a:schemeClr val="tx1"/>
          </a:solidFill>
        </a:ln>
      </dgm:spPr>
      <dgm:t>
        <a:bodyPr/>
        <a:lstStyle/>
        <a:p>
          <a:endParaRPr lang="fr-FR"/>
        </a:p>
      </dgm:t>
    </dgm:pt>
    <dgm:pt modelId="{131CEF2A-F19D-478E-9811-63FC61F801E5}" type="sibTrans" cxnId="{BB424381-156D-4658-B798-3F707C9033AC}">
      <dgm:prSet/>
      <dgm:spPr/>
      <dgm:t>
        <a:bodyPr/>
        <a:lstStyle/>
        <a:p>
          <a:endParaRPr lang="fr-FR"/>
        </a:p>
      </dgm:t>
    </dgm:pt>
    <dgm:pt modelId="{71BF184A-9118-40BA-AD1C-5C8858049506}">
      <dgm:prSet custT="1">
        <dgm:style>
          <a:lnRef idx="1">
            <a:schemeClr val="dk1"/>
          </a:lnRef>
          <a:fillRef idx="2">
            <a:schemeClr val="dk1"/>
          </a:fillRef>
          <a:effectRef idx="1">
            <a:schemeClr val="dk1"/>
          </a:effectRef>
          <a:fontRef idx="minor">
            <a:schemeClr val="dk1"/>
          </a:fontRef>
        </dgm:style>
      </dgm:prSet>
      <dgm:spPr>
        <a:ln/>
      </dgm:spPr>
      <dgm:t>
        <a:bodyPr/>
        <a:lstStyle/>
        <a:p>
          <a:r>
            <a:rPr lang="ar-DZ" sz="1200" b="1">
              <a:latin typeface="Simplified Arabic" panose="02020603050405020304" pitchFamily="18" charset="-78"/>
              <a:cs typeface="Simplified Arabic" panose="02020603050405020304" pitchFamily="18" charset="-78"/>
            </a:rPr>
            <a:t>كثافة البناء</a:t>
          </a:r>
          <a:endParaRPr lang="fr-FR" sz="1500" b="1">
            <a:latin typeface="Simplified Arabic" panose="02020603050405020304" pitchFamily="18" charset="-78"/>
            <a:cs typeface="Simplified Arabic" panose="02020603050405020304" pitchFamily="18" charset="-78"/>
          </a:endParaRPr>
        </a:p>
      </dgm:t>
    </dgm:pt>
    <dgm:pt modelId="{500027E1-8498-4CA9-B537-9302FF34522E}" type="parTrans" cxnId="{870A0F79-5C4F-493B-8F90-C04B1D829702}">
      <dgm:prSet/>
      <dgm:spPr>
        <a:ln w="6350">
          <a:solidFill>
            <a:schemeClr val="tx1"/>
          </a:solidFill>
        </a:ln>
      </dgm:spPr>
      <dgm:t>
        <a:bodyPr/>
        <a:lstStyle/>
        <a:p>
          <a:endParaRPr lang="fr-FR"/>
        </a:p>
      </dgm:t>
    </dgm:pt>
    <dgm:pt modelId="{13FC4F7A-B2B7-4B22-AF73-9180594932C4}" type="sibTrans" cxnId="{870A0F79-5C4F-493B-8F90-C04B1D829702}">
      <dgm:prSet/>
      <dgm:spPr/>
      <dgm:t>
        <a:bodyPr/>
        <a:lstStyle/>
        <a:p>
          <a:endParaRPr lang="fr-FR"/>
        </a:p>
      </dgm:t>
    </dgm:pt>
    <dgm:pt modelId="{B2B12EA7-0B42-4129-95B5-5E037B195D81}">
      <dgm:prSet custT="1">
        <dgm:style>
          <a:lnRef idx="1">
            <a:schemeClr val="dk1"/>
          </a:lnRef>
          <a:fillRef idx="2">
            <a:schemeClr val="dk1"/>
          </a:fillRef>
          <a:effectRef idx="1">
            <a:schemeClr val="dk1"/>
          </a:effectRef>
          <a:fontRef idx="minor">
            <a:schemeClr val="dk1"/>
          </a:fontRef>
        </dgm:style>
      </dgm:prSet>
      <dgm:spPr>
        <a:ln/>
      </dgm:spPr>
      <dgm:t>
        <a:bodyPr/>
        <a:lstStyle/>
        <a:p>
          <a:r>
            <a:rPr lang="ar-SA" sz="1200" b="1">
              <a:latin typeface="Simplified Arabic" panose="02020603050405020304" pitchFamily="18" charset="-78"/>
              <a:cs typeface="Simplified Arabic" panose="02020603050405020304" pitchFamily="18" charset="-78"/>
            </a:rPr>
            <a:t>المسافة الى المرافق التعليمية</a:t>
          </a:r>
          <a:endParaRPr lang="fr-FR" sz="1200" b="1">
            <a:latin typeface="Simplified Arabic" panose="02020603050405020304" pitchFamily="18" charset="-78"/>
            <a:cs typeface="Simplified Arabic" panose="02020603050405020304" pitchFamily="18" charset="-78"/>
          </a:endParaRPr>
        </a:p>
      </dgm:t>
    </dgm:pt>
    <dgm:pt modelId="{F1C7FEBD-D895-4737-AECE-CC5656B87E93}" type="parTrans" cxnId="{BFC3C5AD-6893-4FD8-8A19-8229A0A61255}">
      <dgm:prSet/>
      <dgm:spPr>
        <a:ln w="6350">
          <a:solidFill>
            <a:schemeClr val="tx1"/>
          </a:solidFill>
        </a:ln>
      </dgm:spPr>
      <dgm:t>
        <a:bodyPr/>
        <a:lstStyle/>
        <a:p>
          <a:endParaRPr lang="fr-FR"/>
        </a:p>
      </dgm:t>
    </dgm:pt>
    <dgm:pt modelId="{AFE28780-76D2-41C3-9EFD-9A68F6F8D6E8}" type="sibTrans" cxnId="{BFC3C5AD-6893-4FD8-8A19-8229A0A61255}">
      <dgm:prSet/>
      <dgm:spPr/>
      <dgm:t>
        <a:bodyPr/>
        <a:lstStyle/>
        <a:p>
          <a:endParaRPr lang="fr-FR"/>
        </a:p>
      </dgm:t>
    </dgm:pt>
    <dgm:pt modelId="{32A3CB39-59A9-47B0-BA3F-A0BBACD4ABE7}">
      <dgm:prSet custT="1">
        <dgm:style>
          <a:lnRef idx="1">
            <a:schemeClr val="dk1"/>
          </a:lnRef>
          <a:fillRef idx="2">
            <a:schemeClr val="dk1"/>
          </a:fillRef>
          <a:effectRef idx="1">
            <a:schemeClr val="dk1"/>
          </a:effectRef>
          <a:fontRef idx="minor">
            <a:schemeClr val="dk1"/>
          </a:fontRef>
        </dgm:style>
      </dgm:prSet>
      <dgm:spPr>
        <a:ln/>
      </dgm:spPr>
      <dgm:t>
        <a:bodyPr/>
        <a:lstStyle/>
        <a:p>
          <a:r>
            <a:rPr lang="ar-SA" sz="1200" b="1">
              <a:latin typeface="Simplified Arabic" panose="02020603050405020304" pitchFamily="18" charset="-78"/>
              <a:cs typeface="Simplified Arabic" panose="02020603050405020304" pitchFamily="18" charset="-78"/>
            </a:rPr>
            <a:t>المسافة الى المرافق الصحية</a:t>
          </a:r>
          <a:endParaRPr lang="fr-FR" sz="1200">
            <a:latin typeface="Simplified Arabic" panose="02020603050405020304" pitchFamily="18" charset="-78"/>
            <a:cs typeface="Simplified Arabic" panose="02020603050405020304" pitchFamily="18" charset="-78"/>
          </a:endParaRPr>
        </a:p>
      </dgm:t>
    </dgm:pt>
    <dgm:pt modelId="{B95C4957-51BD-4636-99E0-69294CAE444B}" type="parTrans" cxnId="{4FA7DDF2-AEEA-4A8D-BC0B-D8BB67A6E939}">
      <dgm:prSet/>
      <dgm:spPr>
        <a:ln w="6350">
          <a:solidFill>
            <a:schemeClr val="tx1"/>
          </a:solidFill>
        </a:ln>
      </dgm:spPr>
      <dgm:t>
        <a:bodyPr/>
        <a:lstStyle/>
        <a:p>
          <a:endParaRPr lang="fr-FR"/>
        </a:p>
      </dgm:t>
    </dgm:pt>
    <dgm:pt modelId="{7E9D7437-CF29-4EC0-B2DD-3C44F33620FD}" type="sibTrans" cxnId="{4FA7DDF2-AEEA-4A8D-BC0B-D8BB67A6E939}">
      <dgm:prSet/>
      <dgm:spPr/>
      <dgm:t>
        <a:bodyPr/>
        <a:lstStyle/>
        <a:p>
          <a:endParaRPr lang="fr-FR"/>
        </a:p>
      </dgm:t>
    </dgm:pt>
    <dgm:pt modelId="{AA4FBFE9-4347-45A4-A198-655036C336B6}">
      <dgm:prSet custT="1">
        <dgm:style>
          <a:lnRef idx="1">
            <a:schemeClr val="dk1"/>
          </a:lnRef>
          <a:fillRef idx="2">
            <a:schemeClr val="dk1"/>
          </a:fillRef>
          <a:effectRef idx="1">
            <a:schemeClr val="dk1"/>
          </a:effectRef>
          <a:fontRef idx="minor">
            <a:schemeClr val="dk1"/>
          </a:fontRef>
        </dgm:style>
      </dgm:prSet>
      <dgm:spPr>
        <a:ln/>
      </dgm:spPr>
      <dgm:t>
        <a:bodyPr/>
        <a:lstStyle/>
        <a:p>
          <a:r>
            <a:rPr lang="ar-SA" sz="1200" b="1">
              <a:latin typeface="Simplified Arabic" panose="02020603050405020304" pitchFamily="18" charset="-78"/>
              <a:cs typeface="Simplified Arabic" panose="02020603050405020304" pitchFamily="18" charset="-78"/>
            </a:rPr>
            <a:t>المسافة الى المرافق الامنية</a:t>
          </a:r>
          <a:endParaRPr lang="fr-FR" sz="1200">
            <a:latin typeface="Simplified Arabic" panose="02020603050405020304" pitchFamily="18" charset="-78"/>
            <a:cs typeface="Simplified Arabic" panose="02020603050405020304" pitchFamily="18" charset="-78"/>
          </a:endParaRPr>
        </a:p>
      </dgm:t>
    </dgm:pt>
    <dgm:pt modelId="{318E4718-6FCB-419D-B2E5-260E64F77987}" type="parTrans" cxnId="{A9BC70DF-791A-4110-A5BF-9313D6B89693}">
      <dgm:prSet/>
      <dgm:spPr>
        <a:ln w="6350">
          <a:solidFill>
            <a:schemeClr val="tx1"/>
          </a:solidFill>
        </a:ln>
      </dgm:spPr>
      <dgm:t>
        <a:bodyPr/>
        <a:lstStyle/>
        <a:p>
          <a:endParaRPr lang="fr-FR"/>
        </a:p>
      </dgm:t>
    </dgm:pt>
    <dgm:pt modelId="{B5A4F154-88E5-4BE2-A415-F36F68469FA1}" type="sibTrans" cxnId="{A9BC70DF-791A-4110-A5BF-9313D6B89693}">
      <dgm:prSet/>
      <dgm:spPr/>
      <dgm:t>
        <a:bodyPr/>
        <a:lstStyle/>
        <a:p>
          <a:endParaRPr lang="fr-FR"/>
        </a:p>
      </dgm:t>
    </dgm:pt>
    <dgm:pt modelId="{BFAB3542-3BF6-42FA-9748-362F11EB9D5D}">
      <dgm:prSet custT="1">
        <dgm:style>
          <a:lnRef idx="1">
            <a:schemeClr val="dk1"/>
          </a:lnRef>
          <a:fillRef idx="2">
            <a:schemeClr val="dk1"/>
          </a:fillRef>
          <a:effectRef idx="1">
            <a:schemeClr val="dk1"/>
          </a:effectRef>
          <a:fontRef idx="minor">
            <a:schemeClr val="dk1"/>
          </a:fontRef>
        </dgm:style>
      </dgm:prSet>
      <dgm:spPr>
        <a:ln/>
      </dgm:spPr>
      <dgm:t>
        <a:bodyPr/>
        <a:lstStyle/>
        <a:p>
          <a:r>
            <a:rPr lang="ar-SA" sz="1200" b="1">
              <a:latin typeface="Simplified Arabic" panose="02020603050405020304" pitchFamily="18" charset="-78"/>
              <a:cs typeface="Simplified Arabic" panose="02020603050405020304" pitchFamily="18" charset="-78"/>
            </a:rPr>
            <a:t>المسافة الى مرافق الانقاذ</a:t>
          </a:r>
          <a:endParaRPr lang="fr-FR" sz="1200">
            <a:latin typeface="Simplified Arabic" panose="02020603050405020304" pitchFamily="18" charset="-78"/>
            <a:cs typeface="Simplified Arabic" panose="02020603050405020304" pitchFamily="18" charset="-78"/>
          </a:endParaRPr>
        </a:p>
      </dgm:t>
    </dgm:pt>
    <dgm:pt modelId="{CEAC5D1B-1420-4B67-A63E-D07FE95BC04F}" type="parTrans" cxnId="{43747A0D-E4AC-481C-9B17-73E0AD75633D}">
      <dgm:prSet/>
      <dgm:spPr>
        <a:ln w="6350">
          <a:solidFill>
            <a:schemeClr val="tx1"/>
          </a:solidFill>
        </a:ln>
      </dgm:spPr>
      <dgm:t>
        <a:bodyPr/>
        <a:lstStyle/>
        <a:p>
          <a:endParaRPr lang="fr-FR"/>
        </a:p>
      </dgm:t>
    </dgm:pt>
    <dgm:pt modelId="{1598B431-459B-45D8-B732-D3A515768B21}" type="sibTrans" cxnId="{43747A0D-E4AC-481C-9B17-73E0AD75633D}">
      <dgm:prSet/>
      <dgm:spPr/>
      <dgm:t>
        <a:bodyPr/>
        <a:lstStyle/>
        <a:p>
          <a:endParaRPr lang="fr-FR"/>
        </a:p>
      </dgm:t>
    </dgm:pt>
    <dgm:pt modelId="{F17E9076-5E58-4D72-BF36-F6D95BB135E3}">
      <dgm:prSet custT="1">
        <dgm:style>
          <a:lnRef idx="1">
            <a:schemeClr val="dk1"/>
          </a:lnRef>
          <a:fillRef idx="2">
            <a:schemeClr val="dk1"/>
          </a:fillRef>
          <a:effectRef idx="1">
            <a:schemeClr val="dk1"/>
          </a:effectRef>
          <a:fontRef idx="minor">
            <a:schemeClr val="dk1"/>
          </a:fontRef>
        </dgm:style>
      </dgm:prSet>
      <dgm:spPr>
        <a:ln/>
      </dgm:spPr>
      <dgm:t>
        <a:bodyPr/>
        <a:lstStyle/>
        <a:p>
          <a:r>
            <a:rPr lang="ar-SA" sz="1200" b="1">
              <a:latin typeface="Simplified Arabic" panose="02020603050405020304" pitchFamily="18" charset="-78"/>
              <a:cs typeface="Simplified Arabic" panose="02020603050405020304" pitchFamily="18" charset="-78"/>
            </a:rPr>
            <a:t>المسافة الى المرافق الدينية/الثقافية</a:t>
          </a:r>
          <a:endParaRPr lang="fr-FR" sz="1200">
            <a:latin typeface="Simplified Arabic" panose="02020603050405020304" pitchFamily="18" charset="-78"/>
            <a:cs typeface="Simplified Arabic" panose="02020603050405020304" pitchFamily="18" charset="-78"/>
          </a:endParaRPr>
        </a:p>
      </dgm:t>
    </dgm:pt>
    <dgm:pt modelId="{F9F47772-840A-42A2-9CA2-495BBCA69B37}" type="parTrans" cxnId="{8E0DD48D-69DC-49A8-AE6E-5248657B6319}">
      <dgm:prSet/>
      <dgm:spPr>
        <a:ln w="6350">
          <a:solidFill>
            <a:schemeClr val="tx1"/>
          </a:solidFill>
        </a:ln>
      </dgm:spPr>
      <dgm:t>
        <a:bodyPr/>
        <a:lstStyle/>
        <a:p>
          <a:endParaRPr lang="fr-FR"/>
        </a:p>
      </dgm:t>
    </dgm:pt>
    <dgm:pt modelId="{A079452F-63C5-460F-9AA5-859B80D425D3}" type="sibTrans" cxnId="{8E0DD48D-69DC-49A8-AE6E-5248657B6319}">
      <dgm:prSet/>
      <dgm:spPr/>
      <dgm:t>
        <a:bodyPr/>
        <a:lstStyle/>
        <a:p>
          <a:endParaRPr lang="fr-FR"/>
        </a:p>
      </dgm:t>
    </dgm:pt>
    <dgm:pt modelId="{62474769-7398-483D-8033-5B1ED9E30FA7}" type="pres">
      <dgm:prSet presAssocID="{7DF66E86-3FC7-450B-A2D5-42EF3F910E1D}" presName="diagram" presStyleCnt="0">
        <dgm:presLayoutVars>
          <dgm:chPref val="1"/>
          <dgm:dir val="rev"/>
          <dgm:animOne val="branch"/>
          <dgm:animLvl val="lvl"/>
          <dgm:resizeHandles val="exact"/>
        </dgm:presLayoutVars>
      </dgm:prSet>
      <dgm:spPr/>
      <dgm:t>
        <a:bodyPr/>
        <a:lstStyle/>
        <a:p>
          <a:endParaRPr lang="fr-FR"/>
        </a:p>
      </dgm:t>
    </dgm:pt>
    <dgm:pt modelId="{22BB7C3D-50AC-4009-AA3B-3D144FFCDBF8}" type="pres">
      <dgm:prSet presAssocID="{A5873CF6-D3BC-424F-AEC5-52D6D4B088D8}" presName="root1" presStyleCnt="0"/>
      <dgm:spPr/>
    </dgm:pt>
    <dgm:pt modelId="{05866E7F-CC52-412C-96BD-FF8C018BB29F}" type="pres">
      <dgm:prSet presAssocID="{A5873CF6-D3BC-424F-AEC5-52D6D4B088D8}" presName="LevelOneTextNode" presStyleLbl="node0" presStyleIdx="0" presStyleCnt="1" custScaleX="146410" custScaleY="235795" custLinFactNeighborX="-5475">
        <dgm:presLayoutVars>
          <dgm:chPref val="3"/>
        </dgm:presLayoutVars>
      </dgm:prSet>
      <dgm:spPr>
        <a:prstGeom prst="flowChartMultidocument">
          <a:avLst/>
        </a:prstGeom>
      </dgm:spPr>
      <dgm:t>
        <a:bodyPr/>
        <a:lstStyle/>
        <a:p>
          <a:endParaRPr lang="fr-FR"/>
        </a:p>
      </dgm:t>
    </dgm:pt>
    <dgm:pt modelId="{BB5FDAC8-1701-4D61-A7E2-FC0A33D2FCCB}" type="pres">
      <dgm:prSet presAssocID="{A5873CF6-D3BC-424F-AEC5-52D6D4B088D8}" presName="level2hierChild" presStyleCnt="0"/>
      <dgm:spPr/>
    </dgm:pt>
    <dgm:pt modelId="{393E9FCB-42FA-44B4-AB51-0333FA8FB01C}" type="pres">
      <dgm:prSet presAssocID="{BAF4DE2A-7B72-47B6-8891-FAD532DED522}" presName="conn2-1" presStyleLbl="parChTrans1D2" presStyleIdx="0" presStyleCnt="1"/>
      <dgm:spPr/>
      <dgm:t>
        <a:bodyPr/>
        <a:lstStyle/>
        <a:p>
          <a:endParaRPr lang="fr-FR"/>
        </a:p>
      </dgm:t>
    </dgm:pt>
    <dgm:pt modelId="{3398FC43-2009-444A-AA79-0D98BA3548C4}" type="pres">
      <dgm:prSet presAssocID="{BAF4DE2A-7B72-47B6-8891-FAD532DED522}" presName="connTx" presStyleLbl="parChTrans1D2" presStyleIdx="0" presStyleCnt="1"/>
      <dgm:spPr/>
      <dgm:t>
        <a:bodyPr/>
        <a:lstStyle/>
        <a:p>
          <a:endParaRPr lang="fr-FR"/>
        </a:p>
      </dgm:t>
    </dgm:pt>
    <dgm:pt modelId="{3E96F06E-C32F-4759-8DC6-91D6A31AD8BD}" type="pres">
      <dgm:prSet presAssocID="{93D86335-2F20-46DA-A513-7A84FEF121D4}" presName="root2" presStyleCnt="0"/>
      <dgm:spPr/>
    </dgm:pt>
    <dgm:pt modelId="{1BEB59D0-2DCB-4A0A-9719-C6CAA8CB535E}" type="pres">
      <dgm:prSet presAssocID="{93D86335-2F20-46DA-A513-7A84FEF121D4}" presName="LevelTwoTextNode" presStyleLbl="node2" presStyleIdx="0" presStyleCnt="1" custScaleX="110000" custScaleY="214359" custLinFactNeighborX="10954">
        <dgm:presLayoutVars>
          <dgm:chPref val="3"/>
        </dgm:presLayoutVars>
      </dgm:prSet>
      <dgm:spPr>
        <a:prstGeom prst="flowChartDocument">
          <a:avLst/>
        </a:prstGeom>
      </dgm:spPr>
      <dgm:t>
        <a:bodyPr/>
        <a:lstStyle/>
        <a:p>
          <a:endParaRPr lang="fr-FR"/>
        </a:p>
      </dgm:t>
    </dgm:pt>
    <dgm:pt modelId="{D5469ED7-EBDA-4B94-9035-B3DE01DCDCC2}" type="pres">
      <dgm:prSet presAssocID="{93D86335-2F20-46DA-A513-7A84FEF121D4}" presName="level3hierChild" presStyleCnt="0"/>
      <dgm:spPr/>
    </dgm:pt>
    <dgm:pt modelId="{B1B1EFF6-9D9A-4056-AF7A-F12C13C184B4}" type="pres">
      <dgm:prSet presAssocID="{4FDB9450-CE40-4263-B9B2-078471599CCD}" presName="conn2-1" presStyleLbl="parChTrans1D3" presStyleIdx="0" presStyleCnt="1"/>
      <dgm:spPr/>
      <dgm:t>
        <a:bodyPr/>
        <a:lstStyle/>
        <a:p>
          <a:endParaRPr lang="fr-FR"/>
        </a:p>
      </dgm:t>
    </dgm:pt>
    <dgm:pt modelId="{BAEED80B-F40E-4483-B248-F9B20B4E6493}" type="pres">
      <dgm:prSet presAssocID="{4FDB9450-CE40-4263-B9B2-078471599CCD}" presName="connTx" presStyleLbl="parChTrans1D3" presStyleIdx="0" presStyleCnt="1"/>
      <dgm:spPr/>
      <dgm:t>
        <a:bodyPr/>
        <a:lstStyle/>
        <a:p>
          <a:endParaRPr lang="fr-FR"/>
        </a:p>
      </dgm:t>
    </dgm:pt>
    <dgm:pt modelId="{10DD12A2-14DB-4F6C-AEDF-01CF56E662DE}" type="pres">
      <dgm:prSet presAssocID="{A956B258-1408-43C1-B845-87B9B58B1BE3}" presName="root2" presStyleCnt="0"/>
      <dgm:spPr/>
    </dgm:pt>
    <dgm:pt modelId="{DC9D02AE-E664-438E-AF2F-2F86ABE2C04E}" type="pres">
      <dgm:prSet presAssocID="{A956B258-1408-43C1-B845-87B9B58B1BE3}" presName="LevelTwoTextNode" presStyleLbl="node3" presStyleIdx="0" presStyleCnt="1" custScaleY="417728" custLinFactNeighborX="28502">
        <dgm:presLayoutVars>
          <dgm:chPref val="3"/>
        </dgm:presLayoutVars>
      </dgm:prSet>
      <dgm:spPr/>
      <dgm:t>
        <a:bodyPr/>
        <a:lstStyle/>
        <a:p>
          <a:endParaRPr lang="fr-FR"/>
        </a:p>
      </dgm:t>
    </dgm:pt>
    <dgm:pt modelId="{4F233FCD-E549-4AD0-ABCD-A1C527DBA0DF}" type="pres">
      <dgm:prSet presAssocID="{A956B258-1408-43C1-B845-87B9B58B1BE3}" presName="level3hierChild" presStyleCnt="0"/>
      <dgm:spPr/>
    </dgm:pt>
    <dgm:pt modelId="{C2479319-AEE8-4446-A3C0-3F94E0D49B39}" type="pres">
      <dgm:prSet presAssocID="{41B76773-44E4-4B09-AC93-F5DD5659E53A}" presName="conn2-1" presStyleLbl="parChTrans1D4" presStyleIdx="0" presStyleCnt="7"/>
      <dgm:spPr/>
      <dgm:t>
        <a:bodyPr/>
        <a:lstStyle/>
        <a:p>
          <a:endParaRPr lang="fr-FR"/>
        </a:p>
      </dgm:t>
    </dgm:pt>
    <dgm:pt modelId="{BB510F73-ECCF-453F-A0D1-37F309F6D253}" type="pres">
      <dgm:prSet presAssocID="{41B76773-44E4-4B09-AC93-F5DD5659E53A}" presName="connTx" presStyleLbl="parChTrans1D4" presStyleIdx="0" presStyleCnt="7"/>
      <dgm:spPr/>
      <dgm:t>
        <a:bodyPr/>
        <a:lstStyle/>
        <a:p>
          <a:endParaRPr lang="fr-FR"/>
        </a:p>
      </dgm:t>
    </dgm:pt>
    <dgm:pt modelId="{2568FBE1-F92D-45D5-A9E6-B23B1E04CA76}" type="pres">
      <dgm:prSet presAssocID="{5FBA79A4-D934-4098-A87B-2CAF5C4E3EB2}" presName="root2" presStyleCnt="0"/>
      <dgm:spPr/>
    </dgm:pt>
    <dgm:pt modelId="{C3BA534A-C721-4460-8507-91027E05F39D}" type="pres">
      <dgm:prSet presAssocID="{5FBA79A4-D934-4098-A87B-2CAF5C4E3EB2}" presName="LevelTwoTextNode" presStyleLbl="node4" presStyleIdx="0" presStyleCnt="7" custScaleX="313842" custLinFactNeighborX="9012">
        <dgm:presLayoutVars>
          <dgm:chPref val="3"/>
        </dgm:presLayoutVars>
      </dgm:prSet>
      <dgm:spPr/>
      <dgm:t>
        <a:bodyPr/>
        <a:lstStyle/>
        <a:p>
          <a:endParaRPr lang="fr-FR"/>
        </a:p>
      </dgm:t>
    </dgm:pt>
    <dgm:pt modelId="{802EBEBA-9D92-443D-BAE7-06F62B42F737}" type="pres">
      <dgm:prSet presAssocID="{5FBA79A4-D934-4098-A87B-2CAF5C4E3EB2}" presName="level3hierChild" presStyleCnt="0"/>
      <dgm:spPr/>
    </dgm:pt>
    <dgm:pt modelId="{519580A6-8702-4D96-8B9D-3B042C57ED3D}" type="pres">
      <dgm:prSet presAssocID="{500027E1-8498-4CA9-B537-9302FF34522E}" presName="conn2-1" presStyleLbl="parChTrans1D4" presStyleIdx="1" presStyleCnt="7"/>
      <dgm:spPr/>
      <dgm:t>
        <a:bodyPr/>
        <a:lstStyle/>
        <a:p>
          <a:endParaRPr lang="fr-FR"/>
        </a:p>
      </dgm:t>
    </dgm:pt>
    <dgm:pt modelId="{9215FA8E-B65E-4338-828A-5A21DC90709E}" type="pres">
      <dgm:prSet presAssocID="{500027E1-8498-4CA9-B537-9302FF34522E}" presName="connTx" presStyleLbl="parChTrans1D4" presStyleIdx="1" presStyleCnt="7"/>
      <dgm:spPr/>
      <dgm:t>
        <a:bodyPr/>
        <a:lstStyle/>
        <a:p>
          <a:endParaRPr lang="fr-FR"/>
        </a:p>
      </dgm:t>
    </dgm:pt>
    <dgm:pt modelId="{BABC7D52-ACB4-4A31-B806-A5F926F1A1B2}" type="pres">
      <dgm:prSet presAssocID="{71BF184A-9118-40BA-AD1C-5C8858049506}" presName="root2" presStyleCnt="0"/>
      <dgm:spPr/>
    </dgm:pt>
    <dgm:pt modelId="{423827F0-948C-4C3D-8018-038C029F006E}" type="pres">
      <dgm:prSet presAssocID="{71BF184A-9118-40BA-AD1C-5C8858049506}" presName="LevelTwoTextNode" presStyleLbl="node4" presStyleIdx="1" presStyleCnt="7" custScaleX="313842" custLinFactNeighborX="9012">
        <dgm:presLayoutVars>
          <dgm:chPref val="3"/>
        </dgm:presLayoutVars>
      </dgm:prSet>
      <dgm:spPr/>
      <dgm:t>
        <a:bodyPr/>
        <a:lstStyle/>
        <a:p>
          <a:endParaRPr lang="fr-FR"/>
        </a:p>
      </dgm:t>
    </dgm:pt>
    <dgm:pt modelId="{13BED3C2-198B-4B76-B82A-632AFCD8869D}" type="pres">
      <dgm:prSet presAssocID="{71BF184A-9118-40BA-AD1C-5C8858049506}" presName="level3hierChild" presStyleCnt="0"/>
      <dgm:spPr/>
    </dgm:pt>
    <dgm:pt modelId="{7F6AE4BF-6FBC-4648-89E9-E9F13B8522E5}" type="pres">
      <dgm:prSet presAssocID="{F1C7FEBD-D895-4737-AECE-CC5656B87E93}" presName="conn2-1" presStyleLbl="parChTrans1D4" presStyleIdx="2" presStyleCnt="7"/>
      <dgm:spPr/>
      <dgm:t>
        <a:bodyPr/>
        <a:lstStyle/>
        <a:p>
          <a:endParaRPr lang="fr-FR"/>
        </a:p>
      </dgm:t>
    </dgm:pt>
    <dgm:pt modelId="{CFE3360C-F67C-4935-A337-47D5BA4CBC49}" type="pres">
      <dgm:prSet presAssocID="{F1C7FEBD-D895-4737-AECE-CC5656B87E93}" presName="connTx" presStyleLbl="parChTrans1D4" presStyleIdx="2" presStyleCnt="7"/>
      <dgm:spPr/>
      <dgm:t>
        <a:bodyPr/>
        <a:lstStyle/>
        <a:p>
          <a:endParaRPr lang="fr-FR"/>
        </a:p>
      </dgm:t>
    </dgm:pt>
    <dgm:pt modelId="{329DEC69-1157-4F0C-8161-13F057C96DEB}" type="pres">
      <dgm:prSet presAssocID="{B2B12EA7-0B42-4129-95B5-5E037B195D81}" presName="root2" presStyleCnt="0"/>
      <dgm:spPr/>
    </dgm:pt>
    <dgm:pt modelId="{94DC1FE6-AB09-4A00-8783-E9C0253B9DEC}" type="pres">
      <dgm:prSet presAssocID="{B2B12EA7-0B42-4129-95B5-5E037B195D81}" presName="LevelTwoTextNode" presStyleLbl="node4" presStyleIdx="2" presStyleCnt="7" custScaleX="313842" custLinFactNeighborX="9012">
        <dgm:presLayoutVars>
          <dgm:chPref val="3"/>
        </dgm:presLayoutVars>
      </dgm:prSet>
      <dgm:spPr/>
      <dgm:t>
        <a:bodyPr/>
        <a:lstStyle/>
        <a:p>
          <a:endParaRPr lang="fr-FR"/>
        </a:p>
      </dgm:t>
    </dgm:pt>
    <dgm:pt modelId="{2CD27E70-20E7-4AA3-BE33-DE5C7A389264}" type="pres">
      <dgm:prSet presAssocID="{B2B12EA7-0B42-4129-95B5-5E037B195D81}" presName="level3hierChild" presStyleCnt="0"/>
      <dgm:spPr/>
    </dgm:pt>
    <dgm:pt modelId="{FC954F51-18EB-40CD-9A3C-458DA78E3561}" type="pres">
      <dgm:prSet presAssocID="{B95C4957-51BD-4636-99E0-69294CAE444B}" presName="conn2-1" presStyleLbl="parChTrans1D4" presStyleIdx="3" presStyleCnt="7"/>
      <dgm:spPr/>
      <dgm:t>
        <a:bodyPr/>
        <a:lstStyle/>
        <a:p>
          <a:endParaRPr lang="fr-FR"/>
        </a:p>
      </dgm:t>
    </dgm:pt>
    <dgm:pt modelId="{13C89911-88C9-4C07-A6B0-4B01546E325D}" type="pres">
      <dgm:prSet presAssocID="{B95C4957-51BD-4636-99E0-69294CAE444B}" presName="connTx" presStyleLbl="parChTrans1D4" presStyleIdx="3" presStyleCnt="7"/>
      <dgm:spPr/>
      <dgm:t>
        <a:bodyPr/>
        <a:lstStyle/>
        <a:p>
          <a:endParaRPr lang="fr-FR"/>
        </a:p>
      </dgm:t>
    </dgm:pt>
    <dgm:pt modelId="{8BAB2EFE-BAA6-4566-B524-6A53BD0066B2}" type="pres">
      <dgm:prSet presAssocID="{32A3CB39-59A9-47B0-BA3F-A0BBACD4ABE7}" presName="root2" presStyleCnt="0"/>
      <dgm:spPr/>
    </dgm:pt>
    <dgm:pt modelId="{331D4B48-944F-4B13-AA46-63CE4AD5EF7E}" type="pres">
      <dgm:prSet presAssocID="{32A3CB39-59A9-47B0-BA3F-A0BBACD4ABE7}" presName="LevelTwoTextNode" presStyleLbl="node4" presStyleIdx="3" presStyleCnt="7" custScaleX="313842" custLinFactNeighborX="9012">
        <dgm:presLayoutVars>
          <dgm:chPref val="3"/>
        </dgm:presLayoutVars>
      </dgm:prSet>
      <dgm:spPr/>
      <dgm:t>
        <a:bodyPr/>
        <a:lstStyle/>
        <a:p>
          <a:endParaRPr lang="fr-FR"/>
        </a:p>
      </dgm:t>
    </dgm:pt>
    <dgm:pt modelId="{53B668F7-ACB0-4D38-A189-48414460D0A8}" type="pres">
      <dgm:prSet presAssocID="{32A3CB39-59A9-47B0-BA3F-A0BBACD4ABE7}" presName="level3hierChild" presStyleCnt="0"/>
      <dgm:spPr/>
    </dgm:pt>
    <dgm:pt modelId="{EF8ED5B3-2824-4BAD-A58B-FB4495F65ACB}" type="pres">
      <dgm:prSet presAssocID="{318E4718-6FCB-419D-B2E5-260E64F77987}" presName="conn2-1" presStyleLbl="parChTrans1D4" presStyleIdx="4" presStyleCnt="7"/>
      <dgm:spPr/>
      <dgm:t>
        <a:bodyPr/>
        <a:lstStyle/>
        <a:p>
          <a:endParaRPr lang="fr-FR"/>
        </a:p>
      </dgm:t>
    </dgm:pt>
    <dgm:pt modelId="{64FF53A8-3B96-469F-976C-E7474F582F4C}" type="pres">
      <dgm:prSet presAssocID="{318E4718-6FCB-419D-B2E5-260E64F77987}" presName="connTx" presStyleLbl="parChTrans1D4" presStyleIdx="4" presStyleCnt="7"/>
      <dgm:spPr/>
      <dgm:t>
        <a:bodyPr/>
        <a:lstStyle/>
        <a:p>
          <a:endParaRPr lang="fr-FR"/>
        </a:p>
      </dgm:t>
    </dgm:pt>
    <dgm:pt modelId="{2A10AC3C-BCC5-45B3-98D1-7A097FFE6777}" type="pres">
      <dgm:prSet presAssocID="{AA4FBFE9-4347-45A4-A198-655036C336B6}" presName="root2" presStyleCnt="0"/>
      <dgm:spPr/>
    </dgm:pt>
    <dgm:pt modelId="{E206D450-B39D-4E39-B679-01E2445DE4A4}" type="pres">
      <dgm:prSet presAssocID="{AA4FBFE9-4347-45A4-A198-655036C336B6}" presName="LevelTwoTextNode" presStyleLbl="node4" presStyleIdx="4" presStyleCnt="7" custScaleX="313842" custLinFactNeighborX="9012">
        <dgm:presLayoutVars>
          <dgm:chPref val="3"/>
        </dgm:presLayoutVars>
      </dgm:prSet>
      <dgm:spPr/>
      <dgm:t>
        <a:bodyPr/>
        <a:lstStyle/>
        <a:p>
          <a:endParaRPr lang="fr-FR"/>
        </a:p>
      </dgm:t>
    </dgm:pt>
    <dgm:pt modelId="{8EF70902-9468-4951-BFB1-3EB10BA37E33}" type="pres">
      <dgm:prSet presAssocID="{AA4FBFE9-4347-45A4-A198-655036C336B6}" presName="level3hierChild" presStyleCnt="0"/>
      <dgm:spPr/>
    </dgm:pt>
    <dgm:pt modelId="{93895C91-954A-4191-B468-75E89A499255}" type="pres">
      <dgm:prSet presAssocID="{CEAC5D1B-1420-4B67-A63E-D07FE95BC04F}" presName="conn2-1" presStyleLbl="parChTrans1D4" presStyleIdx="5" presStyleCnt="7"/>
      <dgm:spPr/>
      <dgm:t>
        <a:bodyPr/>
        <a:lstStyle/>
        <a:p>
          <a:endParaRPr lang="fr-FR"/>
        </a:p>
      </dgm:t>
    </dgm:pt>
    <dgm:pt modelId="{27715E58-057D-4F41-8C68-2A6554F42C10}" type="pres">
      <dgm:prSet presAssocID="{CEAC5D1B-1420-4B67-A63E-D07FE95BC04F}" presName="connTx" presStyleLbl="parChTrans1D4" presStyleIdx="5" presStyleCnt="7"/>
      <dgm:spPr/>
      <dgm:t>
        <a:bodyPr/>
        <a:lstStyle/>
        <a:p>
          <a:endParaRPr lang="fr-FR"/>
        </a:p>
      </dgm:t>
    </dgm:pt>
    <dgm:pt modelId="{AAEC100E-BA3A-40BD-B432-E3538873D265}" type="pres">
      <dgm:prSet presAssocID="{BFAB3542-3BF6-42FA-9748-362F11EB9D5D}" presName="root2" presStyleCnt="0"/>
      <dgm:spPr/>
    </dgm:pt>
    <dgm:pt modelId="{A9953E1C-D352-4DE9-A1DE-91805999B224}" type="pres">
      <dgm:prSet presAssocID="{BFAB3542-3BF6-42FA-9748-362F11EB9D5D}" presName="LevelTwoTextNode" presStyleLbl="node4" presStyleIdx="5" presStyleCnt="7" custScaleX="313842" custLinFactNeighborX="9012">
        <dgm:presLayoutVars>
          <dgm:chPref val="3"/>
        </dgm:presLayoutVars>
      </dgm:prSet>
      <dgm:spPr/>
      <dgm:t>
        <a:bodyPr/>
        <a:lstStyle/>
        <a:p>
          <a:endParaRPr lang="fr-FR"/>
        </a:p>
      </dgm:t>
    </dgm:pt>
    <dgm:pt modelId="{55AB1462-3C61-4CDE-BF21-5EDEA9F62CF4}" type="pres">
      <dgm:prSet presAssocID="{BFAB3542-3BF6-42FA-9748-362F11EB9D5D}" presName="level3hierChild" presStyleCnt="0"/>
      <dgm:spPr/>
    </dgm:pt>
    <dgm:pt modelId="{D8757E5C-34D2-4BFD-A3C9-CF2290FB7478}" type="pres">
      <dgm:prSet presAssocID="{F9F47772-840A-42A2-9CA2-495BBCA69B37}" presName="conn2-1" presStyleLbl="parChTrans1D4" presStyleIdx="6" presStyleCnt="7"/>
      <dgm:spPr/>
      <dgm:t>
        <a:bodyPr/>
        <a:lstStyle/>
        <a:p>
          <a:endParaRPr lang="fr-FR"/>
        </a:p>
      </dgm:t>
    </dgm:pt>
    <dgm:pt modelId="{F7D81F3A-B6A7-4DEE-B9DB-03FA7F4846D5}" type="pres">
      <dgm:prSet presAssocID="{F9F47772-840A-42A2-9CA2-495BBCA69B37}" presName="connTx" presStyleLbl="parChTrans1D4" presStyleIdx="6" presStyleCnt="7"/>
      <dgm:spPr/>
      <dgm:t>
        <a:bodyPr/>
        <a:lstStyle/>
        <a:p>
          <a:endParaRPr lang="fr-FR"/>
        </a:p>
      </dgm:t>
    </dgm:pt>
    <dgm:pt modelId="{3FFD7889-CC5B-4742-9F7E-C23E86DCC35F}" type="pres">
      <dgm:prSet presAssocID="{F17E9076-5E58-4D72-BF36-F6D95BB135E3}" presName="root2" presStyleCnt="0"/>
      <dgm:spPr/>
    </dgm:pt>
    <dgm:pt modelId="{237D66A8-87A1-4CFC-8060-17E2BDE8C28A}" type="pres">
      <dgm:prSet presAssocID="{F17E9076-5E58-4D72-BF36-F6D95BB135E3}" presName="LevelTwoTextNode" presStyleLbl="node4" presStyleIdx="6" presStyleCnt="7" custScaleX="313842" custLinFactNeighborX="9012" custLinFactNeighborY="-4822">
        <dgm:presLayoutVars>
          <dgm:chPref val="3"/>
        </dgm:presLayoutVars>
      </dgm:prSet>
      <dgm:spPr/>
      <dgm:t>
        <a:bodyPr/>
        <a:lstStyle/>
        <a:p>
          <a:endParaRPr lang="fr-FR"/>
        </a:p>
      </dgm:t>
    </dgm:pt>
    <dgm:pt modelId="{5B67B99B-08D0-45C9-9B6D-2ED146877891}" type="pres">
      <dgm:prSet presAssocID="{F17E9076-5E58-4D72-BF36-F6D95BB135E3}" presName="level3hierChild" presStyleCnt="0"/>
      <dgm:spPr/>
    </dgm:pt>
  </dgm:ptLst>
  <dgm:cxnLst>
    <dgm:cxn modelId="{BD09BC7B-05E0-4AAC-B2E8-E2F2E0DCCE83}" type="presOf" srcId="{F1C7FEBD-D895-4737-AECE-CC5656B87E93}" destId="{CFE3360C-F67C-4935-A337-47D5BA4CBC49}" srcOrd="1" destOrd="0" presId="urn:microsoft.com/office/officeart/2005/8/layout/hierarchy2"/>
    <dgm:cxn modelId="{37EBF2F4-57F4-440F-AAD0-C0483BCB55BA}" type="presOf" srcId="{F17E9076-5E58-4D72-BF36-F6D95BB135E3}" destId="{237D66A8-87A1-4CFC-8060-17E2BDE8C28A}" srcOrd="0" destOrd="0" presId="urn:microsoft.com/office/officeart/2005/8/layout/hierarchy2"/>
    <dgm:cxn modelId="{07ECAE83-83D5-4F8E-9E7D-0DD3F60B7252}" type="presOf" srcId="{B95C4957-51BD-4636-99E0-69294CAE444B}" destId="{FC954F51-18EB-40CD-9A3C-458DA78E3561}" srcOrd="0" destOrd="0" presId="urn:microsoft.com/office/officeart/2005/8/layout/hierarchy2"/>
    <dgm:cxn modelId="{DAEA9B6B-E78E-4D82-ABFF-73807B3A89E8}" type="presOf" srcId="{B95C4957-51BD-4636-99E0-69294CAE444B}" destId="{13C89911-88C9-4C07-A6B0-4B01546E325D}" srcOrd="1" destOrd="0" presId="urn:microsoft.com/office/officeart/2005/8/layout/hierarchy2"/>
    <dgm:cxn modelId="{6F045E4E-C5F3-460C-BEC9-BA1C78832F87}" type="presOf" srcId="{A956B258-1408-43C1-B845-87B9B58B1BE3}" destId="{DC9D02AE-E664-438E-AF2F-2F86ABE2C04E}" srcOrd="0" destOrd="0" presId="urn:microsoft.com/office/officeart/2005/8/layout/hierarchy2"/>
    <dgm:cxn modelId="{8E0DD48D-69DC-49A8-AE6E-5248657B6319}" srcId="{A956B258-1408-43C1-B845-87B9B58B1BE3}" destId="{F17E9076-5E58-4D72-BF36-F6D95BB135E3}" srcOrd="6" destOrd="0" parTransId="{F9F47772-840A-42A2-9CA2-495BBCA69B37}" sibTransId="{A079452F-63C5-460F-9AA5-859B80D425D3}"/>
    <dgm:cxn modelId="{BFC3C5AD-6893-4FD8-8A19-8229A0A61255}" srcId="{A956B258-1408-43C1-B845-87B9B58B1BE3}" destId="{B2B12EA7-0B42-4129-95B5-5E037B195D81}" srcOrd="2" destOrd="0" parTransId="{F1C7FEBD-D895-4737-AECE-CC5656B87E93}" sibTransId="{AFE28780-76D2-41C3-9EFD-9A68F6F8D6E8}"/>
    <dgm:cxn modelId="{3BFBE7FC-0092-42EC-B7FE-92DDF4F4AD82}" type="presOf" srcId="{AA4FBFE9-4347-45A4-A198-655036C336B6}" destId="{E206D450-B39D-4E39-B679-01E2445DE4A4}" srcOrd="0" destOrd="0" presId="urn:microsoft.com/office/officeart/2005/8/layout/hierarchy2"/>
    <dgm:cxn modelId="{DC92EA74-6279-4950-BB02-8F0BE728DF3A}" type="presOf" srcId="{BAF4DE2A-7B72-47B6-8891-FAD532DED522}" destId="{393E9FCB-42FA-44B4-AB51-0333FA8FB01C}" srcOrd="0" destOrd="0" presId="urn:microsoft.com/office/officeart/2005/8/layout/hierarchy2"/>
    <dgm:cxn modelId="{A3443961-FA1B-478A-A6BC-9F1F256EC86A}" type="presOf" srcId="{41B76773-44E4-4B09-AC93-F5DD5659E53A}" destId="{BB510F73-ECCF-453F-A0D1-37F309F6D253}" srcOrd="1" destOrd="0" presId="urn:microsoft.com/office/officeart/2005/8/layout/hierarchy2"/>
    <dgm:cxn modelId="{05FB6046-E77C-4F33-A464-011F9388FD53}" type="presOf" srcId="{500027E1-8498-4CA9-B537-9302FF34522E}" destId="{519580A6-8702-4D96-8B9D-3B042C57ED3D}" srcOrd="0" destOrd="0" presId="urn:microsoft.com/office/officeart/2005/8/layout/hierarchy2"/>
    <dgm:cxn modelId="{870A0F79-5C4F-493B-8F90-C04B1D829702}" srcId="{A956B258-1408-43C1-B845-87B9B58B1BE3}" destId="{71BF184A-9118-40BA-AD1C-5C8858049506}" srcOrd="1" destOrd="0" parTransId="{500027E1-8498-4CA9-B537-9302FF34522E}" sibTransId="{13FC4F7A-B2B7-4B22-AF73-9180594932C4}"/>
    <dgm:cxn modelId="{56E9AFE1-75B9-43D4-B615-87C83A847CA9}" srcId="{7DF66E86-3FC7-450B-A2D5-42EF3F910E1D}" destId="{A5873CF6-D3BC-424F-AEC5-52D6D4B088D8}" srcOrd="0" destOrd="0" parTransId="{66504279-261A-4094-81DE-47B5B4F3E695}" sibTransId="{5FF3F07E-3A57-4557-A432-B85BE0531356}"/>
    <dgm:cxn modelId="{BB424381-156D-4658-B798-3F707C9033AC}" srcId="{93D86335-2F20-46DA-A513-7A84FEF121D4}" destId="{A956B258-1408-43C1-B845-87B9B58B1BE3}" srcOrd="0" destOrd="0" parTransId="{4FDB9450-CE40-4263-B9B2-078471599CCD}" sibTransId="{131CEF2A-F19D-478E-9811-63FC61F801E5}"/>
    <dgm:cxn modelId="{F5DC36AF-44BD-4488-B461-3B9610BE511F}" type="presOf" srcId="{CEAC5D1B-1420-4B67-A63E-D07FE95BC04F}" destId="{93895C91-954A-4191-B468-75E89A499255}" srcOrd="0" destOrd="0" presId="urn:microsoft.com/office/officeart/2005/8/layout/hierarchy2"/>
    <dgm:cxn modelId="{0A00AD33-5AA8-40AB-B97F-FADA3EA49A8C}" type="presOf" srcId="{93D86335-2F20-46DA-A513-7A84FEF121D4}" destId="{1BEB59D0-2DCB-4A0A-9719-C6CAA8CB535E}" srcOrd="0" destOrd="0" presId="urn:microsoft.com/office/officeart/2005/8/layout/hierarchy2"/>
    <dgm:cxn modelId="{D7EA2203-D103-42CF-9EFC-1606EB4317A9}" type="presOf" srcId="{BFAB3542-3BF6-42FA-9748-362F11EB9D5D}" destId="{A9953E1C-D352-4DE9-A1DE-91805999B224}" srcOrd="0" destOrd="0" presId="urn:microsoft.com/office/officeart/2005/8/layout/hierarchy2"/>
    <dgm:cxn modelId="{CBDD0046-268E-4A06-B0DC-607CF496462A}" type="presOf" srcId="{B2B12EA7-0B42-4129-95B5-5E037B195D81}" destId="{94DC1FE6-AB09-4A00-8783-E9C0253B9DEC}" srcOrd="0" destOrd="0" presId="urn:microsoft.com/office/officeart/2005/8/layout/hierarchy2"/>
    <dgm:cxn modelId="{C37F4390-4CBD-4C3B-B491-79CED559923F}" type="presOf" srcId="{F9F47772-840A-42A2-9CA2-495BBCA69B37}" destId="{F7D81F3A-B6A7-4DEE-B9DB-03FA7F4846D5}" srcOrd="1" destOrd="0" presId="urn:microsoft.com/office/officeart/2005/8/layout/hierarchy2"/>
    <dgm:cxn modelId="{9EB1C01A-D2DC-48DE-AA23-DC044DB7F90A}" type="presOf" srcId="{71BF184A-9118-40BA-AD1C-5C8858049506}" destId="{423827F0-948C-4C3D-8018-038C029F006E}" srcOrd="0" destOrd="0" presId="urn:microsoft.com/office/officeart/2005/8/layout/hierarchy2"/>
    <dgm:cxn modelId="{F482848D-EE3E-4D3C-BCE7-B8AB36FDC5B4}" type="presOf" srcId="{318E4718-6FCB-419D-B2E5-260E64F77987}" destId="{EF8ED5B3-2824-4BAD-A58B-FB4495F65ACB}" srcOrd="0" destOrd="0" presId="urn:microsoft.com/office/officeart/2005/8/layout/hierarchy2"/>
    <dgm:cxn modelId="{4FA7DDF2-AEEA-4A8D-BC0B-D8BB67A6E939}" srcId="{A956B258-1408-43C1-B845-87B9B58B1BE3}" destId="{32A3CB39-59A9-47B0-BA3F-A0BBACD4ABE7}" srcOrd="3" destOrd="0" parTransId="{B95C4957-51BD-4636-99E0-69294CAE444B}" sibTransId="{7E9D7437-CF29-4EC0-B2DD-3C44F33620FD}"/>
    <dgm:cxn modelId="{A46235BF-FD90-459E-BD61-1C6D41CAA02F}" srcId="{A956B258-1408-43C1-B845-87B9B58B1BE3}" destId="{5FBA79A4-D934-4098-A87B-2CAF5C4E3EB2}" srcOrd="0" destOrd="0" parTransId="{41B76773-44E4-4B09-AC93-F5DD5659E53A}" sibTransId="{15B6AE0A-3C28-4278-A996-F9A48CC5EC08}"/>
    <dgm:cxn modelId="{1FB08227-D5A4-439B-A16B-05A0DA4BFEBF}" srcId="{A5873CF6-D3BC-424F-AEC5-52D6D4B088D8}" destId="{93D86335-2F20-46DA-A513-7A84FEF121D4}" srcOrd="0" destOrd="0" parTransId="{BAF4DE2A-7B72-47B6-8891-FAD532DED522}" sibTransId="{242FC3F8-BB1A-4303-AD03-C29816A3B5BF}"/>
    <dgm:cxn modelId="{D7D9973B-962B-4A85-AE9A-51DF427525B8}" type="presOf" srcId="{F9F47772-840A-42A2-9CA2-495BBCA69B37}" destId="{D8757E5C-34D2-4BFD-A3C9-CF2290FB7478}" srcOrd="0" destOrd="0" presId="urn:microsoft.com/office/officeart/2005/8/layout/hierarchy2"/>
    <dgm:cxn modelId="{3414326A-1F33-4343-812F-0B963F5391E5}" type="presOf" srcId="{41B76773-44E4-4B09-AC93-F5DD5659E53A}" destId="{C2479319-AEE8-4446-A3C0-3F94E0D49B39}" srcOrd="0" destOrd="0" presId="urn:microsoft.com/office/officeart/2005/8/layout/hierarchy2"/>
    <dgm:cxn modelId="{76AF478F-6493-4188-9CFE-AF34E84F9382}" type="presOf" srcId="{7DF66E86-3FC7-450B-A2D5-42EF3F910E1D}" destId="{62474769-7398-483D-8033-5B1ED9E30FA7}" srcOrd="0" destOrd="0" presId="urn:microsoft.com/office/officeart/2005/8/layout/hierarchy2"/>
    <dgm:cxn modelId="{C8412CB4-10C1-4581-A7A9-56A45CCF215B}" type="presOf" srcId="{4FDB9450-CE40-4263-B9B2-078471599CCD}" destId="{B1B1EFF6-9D9A-4056-AF7A-F12C13C184B4}" srcOrd="0" destOrd="0" presId="urn:microsoft.com/office/officeart/2005/8/layout/hierarchy2"/>
    <dgm:cxn modelId="{3544DF98-F5EF-46CD-BE02-CC3E0905A5F0}" type="presOf" srcId="{BAF4DE2A-7B72-47B6-8891-FAD532DED522}" destId="{3398FC43-2009-444A-AA79-0D98BA3548C4}" srcOrd="1" destOrd="0" presId="urn:microsoft.com/office/officeart/2005/8/layout/hierarchy2"/>
    <dgm:cxn modelId="{022B1ACD-7CD7-4E0D-8719-9EA3B73D77C1}" type="presOf" srcId="{CEAC5D1B-1420-4B67-A63E-D07FE95BC04F}" destId="{27715E58-057D-4F41-8C68-2A6554F42C10}" srcOrd="1" destOrd="0" presId="urn:microsoft.com/office/officeart/2005/8/layout/hierarchy2"/>
    <dgm:cxn modelId="{9971386E-4BF4-4798-BA7C-983B228C1058}" type="presOf" srcId="{500027E1-8498-4CA9-B537-9302FF34522E}" destId="{9215FA8E-B65E-4338-828A-5A21DC90709E}" srcOrd="1" destOrd="0" presId="urn:microsoft.com/office/officeart/2005/8/layout/hierarchy2"/>
    <dgm:cxn modelId="{65FF984F-D70C-4653-B6B3-FAEB7377FB10}" type="presOf" srcId="{5FBA79A4-D934-4098-A87B-2CAF5C4E3EB2}" destId="{C3BA534A-C721-4460-8507-91027E05F39D}" srcOrd="0" destOrd="0" presId="urn:microsoft.com/office/officeart/2005/8/layout/hierarchy2"/>
    <dgm:cxn modelId="{58E48549-6C98-4A28-9411-79151FAF2809}" type="presOf" srcId="{318E4718-6FCB-419D-B2E5-260E64F77987}" destId="{64FF53A8-3B96-469F-976C-E7474F582F4C}" srcOrd="1" destOrd="0" presId="urn:microsoft.com/office/officeart/2005/8/layout/hierarchy2"/>
    <dgm:cxn modelId="{A9BC70DF-791A-4110-A5BF-9313D6B89693}" srcId="{A956B258-1408-43C1-B845-87B9B58B1BE3}" destId="{AA4FBFE9-4347-45A4-A198-655036C336B6}" srcOrd="4" destOrd="0" parTransId="{318E4718-6FCB-419D-B2E5-260E64F77987}" sibTransId="{B5A4F154-88E5-4BE2-A415-F36F68469FA1}"/>
    <dgm:cxn modelId="{20A310F3-9BC0-4AE6-B1B4-BEFF06C8F26C}" type="presOf" srcId="{A5873CF6-D3BC-424F-AEC5-52D6D4B088D8}" destId="{05866E7F-CC52-412C-96BD-FF8C018BB29F}" srcOrd="0" destOrd="0" presId="urn:microsoft.com/office/officeart/2005/8/layout/hierarchy2"/>
    <dgm:cxn modelId="{FFCE484B-E2D9-44C7-A73D-E96FF3749AA8}" type="presOf" srcId="{F1C7FEBD-D895-4737-AECE-CC5656B87E93}" destId="{7F6AE4BF-6FBC-4648-89E9-E9F13B8522E5}" srcOrd="0" destOrd="0" presId="urn:microsoft.com/office/officeart/2005/8/layout/hierarchy2"/>
    <dgm:cxn modelId="{43747A0D-E4AC-481C-9B17-73E0AD75633D}" srcId="{A956B258-1408-43C1-B845-87B9B58B1BE3}" destId="{BFAB3542-3BF6-42FA-9748-362F11EB9D5D}" srcOrd="5" destOrd="0" parTransId="{CEAC5D1B-1420-4B67-A63E-D07FE95BC04F}" sibTransId="{1598B431-459B-45D8-B732-D3A515768B21}"/>
    <dgm:cxn modelId="{943C7D5F-ECFD-47FC-86E2-3AE02B5F52CC}" type="presOf" srcId="{4FDB9450-CE40-4263-B9B2-078471599CCD}" destId="{BAEED80B-F40E-4483-B248-F9B20B4E6493}" srcOrd="1" destOrd="0" presId="urn:microsoft.com/office/officeart/2005/8/layout/hierarchy2"/>
    <dgm:cxn modelId="{41D6FB4E-F7A9-4FB3-8A88-AC6D39964B8E}" type="presOf" srcId="{32A3CB39-59A9-47B0-BA3F-A0BBACD4ABE7}" destId="{331D4B48-944F-4B13-AA46-63CE4AD5EF7E}" srcOrd="0" destOrd="0" presId="urn:microsoft.com/office/officeart/2005/8/layout/hierarchy2"/>
    <dgm:cxn modelId="{EA747A2C-6F97-42C0-AFD9-C5EE8BCF8699}" type="presParOf" srcId="{62474769-7398-483D-8033-5B1ED9E30FA7}" destId="{22BB7C3D-50AC-4009-AA3B-3D144FFCDBF8}" srcOrd="0" destOrd="0" presId="urn:microsoft.com/office/officeart/2005/8/layout/hierarchy2"/>
    <dgm:cxn modelId="{AB59F60E-462A-4E7C-8579-C2CEB3942AA8}" type="presParOf" srcId="{22BB7C3D-50AC-4009-AA3B-3D144FFCDBF8}" destId="{05866E7F-CC52-412C-96BD-FF8C018BB29F}" srcOrd="0" destOrd="0" presId="urn:microsoft.com/office/officeart/2005/8/layout/hierarchy2"/>
    <dgm:cxn modelId="{FA6AF145-A1A1-4513-A351-3E98252C0736}" type="presParOf" srcId="{22BB7C3D-50AC-4009-AA3B-3D144FFCDBF8}" destId="{BB5FDAC8-1701-4D61-A7E2-FC0A33D2FCCB}" srcOrd="1" destOrd="0" presId="urn:microsoft.com/office/officeart/2005/8/layout/hierarchy2"/>
    <dgm:cxn modelId="{4AADE8FF-9327-4091-9685-C201E5519D20}" type="presParOf" srcId="{BB5FDAC8-1701-4D61-A7E2-FC0A33D2FCCB}" destId="{393E9FCB-42FA-44B4-AB51-0333FA8FB01C}" srcOrd="0" destOrd="0" presId="urn:microsoft.com/office/officeart/2005/8/layout/hierarchy2"/>
    <dgm:cxn modelId="{1E8B7002-060B-44A3-BBA9-FE586DAC8F5D}" type="presParOf" srcId="{393E9FCB-42FA-44B4-AB51-0333FA8FB01C}" destId="{3398FC43-2009-444A-AA79-0D98BA3548C4}" srcOrd="0" destOrd="0" presId="urn:microsoft.com/office/officeart/2005/8/layout/hierarchy2"/>
    <dgm:cxn modelId="{0ABD0FCF-4B3E-41BB-9B89-747539D60435}" type="presParOf" srcId="{BB5FDAC8-1701-4D61-A7E2-FC0A33D2FCCB}" destId="{3E96F06E-C32F-4759-8DC6-91D6A31AD8BD}" srcOrd="1" destOrd="0" presId="urn:microsoft.com/office/officeart/2005/8/layout/hierarchy2"/>
    <dgm:cxn modelId="{B63B48AD-2A88-459C-8D47-4A116E504A30}" type="presParOf" srcId="{3E96F06E-C32F-4759-8DC6-91D6A31AD8BD}" destId="{1BEB59D0-2DCB-4A0A-9719-C6CAA8CB535E}" srcOrd="0" destOrd="0" presId="urn:microsoft.com/office/officeart/2005/8/layout/hierarchy2"/>
    <dgm:cxn modelId="{B4CB5A97-8FBA-4B66-9A98-C922E33895AD}" type="presParOf" srcId="{3E96F06E-C32F-4759-8DC6-91D6A31AD8BD}" destId="{D5469ED7-EBDA-4B94-9035-B3DE01DCDCC2}" srcOrd="1" destOrd="0" presId="urn:microsoft.com/office/officeart/2005/8/layout/hierarchy2"/>
    <dgm:cxn modelId="{FAAAF944-64CB-443E-BD15-917300904E92}" type="presParOf" srcId="{D5469ED7-EBDA-4B94-9035-B3DE01DCDCC2}" destId="{B1B1EFF6-9D9A-4056-AF7A-F12C13C184B4}" srcOrd="0" destOrd="0" presId="urn:microsoft.com/office/officeart/2005/8/layout/hierarchy2"/>
    <dgm:cxn modelId="{F745BA47-9A1C-4339-8F6E-FE9DF12F5F13}" type="presParOf" srcId="{B1B1EFF6-9D9A-4056-AF7A-F12C13C184B4}" destId="{BAEED80B-F40E-4483-B248-F9B20B4E6493}" srcOrd="0" destOrd="0" presId="urn:microsoft.com/office/officeart/2005/8/layout/hierarchy2"/>
    <dgm:cxn modelId="{2223622E-17C5-4795-870D-8440439459B6}" type="presParOf" srcId="{D5469ED7-EBDA-4B94-9035-B3DE01DCDCC2}" destId="{10DD12A2-14DB-4F6C-AEDF-01CF56E662DE}" srcOrd="1" destOrd="0" presId="urn:microsoft.com/office/officeart/2005/8/layout/hierarchy2"/>
    <dgm:cxn modelId="{38EB0691-DE63-420B-8DCC-13EB8B4DCC76}" type="presParOf" srcId="{10DD12A2-14DB-4F6C-AEDF-01CF56E662DE}" destId="{DC9D02AE-E664-438E-AF2F-2F86ABE2C04E}" srcOrd="0" destOrd="0" presId="urn:microsoft.com/office/officeart/2005/8/layout/hierarchy2"/>
    <dgm:cxn modelId="{4DF74F93-16C2-4372-BBEF-12C36E08CE77}" type="presParOf" srcId="{10DD12A2-14DB-4F6C-AEDF-01CF56E662DE}" destId="{4F233FCD-E549-4AD0-ABCD-A1C527DBA0DF}" srcOrd="1" destOrd="0" presId="urn:microsoft.com/office/officeart/2005/8/layout/hierarchy2"/>
    <dgm:cxn modelId="{2DEA9CB0-AE70-4341-8936-06B21410A1CF}" type="presParOf" srcId="{4F233FCD-E549-4AD0-ABCD-A1C527DBA0DF}" destId="{C2479319-AEE8-4446-A3C0-3F94E0D49B39}" srcOrd="0" destOrd="0" presId="urn:microsoft.com/office/officeart/2005/8/layout/hierarchy2"/>
    <dgm:cxn modelId="{1EEA6110-D065-4A73-B1E9-2AC4C36AF975}" type="presParOf" srcId="{C2479319-AEE8-4446-A3C0-3F94E0D49B39}" destId="{BB510F73-ECCF-453F-A0D1-37F309F6D253}" srcOrd="0" destOrd="0" presId="urn:microsoft.com/office/officeart/2005/8/layout/hierarchy2"/>
    <dgm:cxn modelId="{D461DD08-4585-49C4-AC2A-6D78C73B7DB7}" type="presParOf" srcId="{4F233FCD-E549-4AD0-ABCD-A1C527DBA0DF}" destId="{2568FBE1-F92D-45D5-A9E6-B23B1E04CA76}" srcOrd="1" destOrd="0" presId="urn:microsoft.com/office/officeart/2005/8/layout/hierarchy2"/>
    <dgm:cxn modelId="{1B2CAA91-1B6C-4D72-A107-53FC93220664}" type="presParOf" srcId="{2568FBE1-F92D-45D5-A9E6-B23B1E04CA76}" destId="{C3BA534A-C721-4460-8507-91027E05F39D}" srcOrd="0" destOrd="0" presId="urn:microsoft.com/office/officeart/2005/8/layout/hierarchy2"/>
    <dgm:cxn modelId="{CAC13114-ABCE-4BC2-AB32-35B648240CB2}" type="presParOf" srcId="{2568FBE1-F92D-45D5-A9E6-B23B1E04CA76}" destId="{802EBEBA-9D92-443D-BAE7-06F62B42F737}" srcOrd="1" destOrd="0" presId="urn:microsoft.com/office/officeart/2005/8/layout/hierarchy2"/>
    <dgm:cxn modelId="{5101B745-3E47-4D10-ACDD-1DFEBE6192B4}" type="presParOf" srcId="{4F233FCD-E549-4AD0-ABCD-A1C527DBA0DF}" destId="{519580A6-8702-4D96-8B9D-3B042C57ED3D}" srcOrd="2" destOrd="0" presId="urn:microsoft.com/office/officeart/2005/8/layout/hierarchy2"/>
    <dgm:cxn modelId="{30BB6978-4E41-4335-8434-C92926400C41}" type="presParOf" srcId="{519580A6-8702-4D96-8B9D-3B042C57ED3D}" destId="{9215FA8E-B65E-4338-828A-5A21DC90709E}" srcOrd="0" destOrd="0" presId="urn:microsoft.com/office/officeart/2005/8/layout/hierarchy2"/>
    <dgm:cxn modelId="{25655190-E0FE-4B7A-B17B-D8FB34DA402D}" type="presParOf" srcId="{4F233FCD-E549-4AD0-ABCD-A1C527DBA0DF}" destId="{BABC7D52-ACB4-4A31-B806-A5F926F1A1B2}" srcOrd="3" destOrd="0" presId="urn:microsoft.com/office/officeart/2005/8/layout/hierarchy2"/>
    <dgm:cxn modelId="{27A7D517-6576-404C-8522-EF9B9E01267B}" type="presParOf" srcId="{BABC7D52-ACB4-4A31-B806-A5F926F1A1B2}" destId="{423827F0-948C-4C3D-8018-038C029F006E}" srcOrd="0" destOrd="0" presId="urn:microsoft.com/office/officeart/2005/8/layout/hierarchy2"/>
    <dgm:cxn modelId="{CA298783-9B40-4331-A14E-2073FCCFEB1B}" type="presParOf" srcId="{BABC7D52-ACB4-4A31-B806-A5F926F1A1B2}" destId="{13BED3C2-198B-4B76-B82A-632AFCD8869D}" srcOrd="1" destOrd="0" presId="urn:microsoft.com/office/officeart/2005/8/layout/hierarchy2"/>
    <dgm:cxn modelId="{580CB45B-8F6F-4AEC-9057-DC17BE7739F2}" type="presParOf" srcId="{4F233FCD-E549-4AD0-ABCD-A1C527DBA0DF}" destId="{7F6AE4BF-6FBC-4648-89E9-E9F13B8522E5}" srcOrd="4" destOrd="0" presId="urn:microsoft.com/office/officeart/2005/8/layout/hierarchy2"/>
    <dgm:cxn modelId="{23C29AC3-1689-42A3-97B9-DFA544DC4547}" type="presParOf" srcId="{7F6AE4BF-6FBC-4648-89E9-E9F13B8522E5}" destId="{CFE3360C-F67C-4935-A337-47D5BA4CBC49}" srcOrd="0" destOrd="0" presId="urn:microsoft.com/office/officeart/2005/8/layout/hierarchy2"/>
    <dgm:cxn modelId="{99DF9394-F498-4832-8948-BA63FE78AB36}" type="presParOf" srcId="{4F233FCD-E549-4AD0-ABCD-A1C527DBA0DF}" destId="{329DEC69-1157-4F0C-8161-13F057C96DEB}" srcOrd="5" destOrd="0" presId="urn:microsoft.com/office/officeart/2005/8/layout/hierarchy2"/>
    <dgm:cxn modelId="{BF01C932-55BC-4E3A-8CA9-F17716161DA8}" type="presParOf" srcId="{329DEC69-1157-4F0C-8161-13F057C96DEB}" destId="{94DC1FE6-AB09-4A00-8783-E9C0253B9DEC}" srcOrd="0" destOrd="0" presId="urn:microsoft.com/office/officeart/2005/8/layout/hierarchy2"/>
    <dgm:cxn modelId="{16E6D14E-FC9B-4CA8-B2DF-CFA7F315F899}" type="presParOf" srcId="{329DEC69-1157-4F0C-8161-13F057C96DEB}" destId="{2CD27E70-20E7-4AA3-BE33-DE5C7A389264}" srcOrd="1" destOrd="0" presId="urn:microsoft.com/office/officeart/2005/8/layout/hierarchy2"/>
    <dgm:cxn modelId="{312F3446-F5C3-42AD-A3F0-F4A77AA2B818}" type="presParOf" srcId="{4F233FCD-E549-4AD0-ABCD-A1C527DBA0DF}" destId="{FC954F51-18EB-40CD-9A3C-458DA78E3561}" srcOrd="6" destOrd="0" presId="urn:microsoft.com/office/officeart/2005/8/layout/hierarchy2"/>
    <dgm:cxn modelId="{B76976B9-C628-431C-A3CD-BD53853E583F}" type="presParOf" srcId="{FC954F51-18EB-40CD-9A3C-458DA78E3561}" destId="{13C89911-88C9-4C07-A6B0-4B01546E325D}" srcOrd="0" destOrd="0" presId="urn:microsoft.com/office/officeart/2005/8/layout/hierarchy2"/>
    <dgm:cxn modelId="{E097485F-6EDB-47D6-B5C3-D1A9394AA193}" type="presParOf" srcId="{4F233FCD-E549-4AD0-ABCD-A1C527DBA0DF}" destId="{8BAB2EFE-BAA6-4566-B524-6A53BD0066B2}" srcOrd="7" destOrd="0" presId="urn:microsoft.com/office/officeart/2005/8/layout/hierarchy2"/>
    <dgm:cxn modelId="{067E43F9-403C-4830-9389-7B2E77AFC822}" type="presParOf" srcId="{8BAB2EFE-BAA6-4566-B524-6A53BD0066B2}" destId="{331D4B48-944F-4B13-AA46-63CE4AD5EF7E}" srcOrd="0" destOrd="0" presId="urn:microsoft.com/office/officeart/2005/8/layout/hierarchy2"/>
    <dgm:cxn modelId="{2F65A19C-0255-4405-A028-807B79BD395A}" type="presParOf" srcId="{8BAB2EFE-BAA6-4566-B524-6A53BD0066B2}" destId="{53B668F7-ACB0-4D38-A189-48414460D0A8}" srcOrd="1" destOrd="0" presId="urn:microsoft.com/office/officeart/2005/8/layout/hierarchy2"/>
    <dgm:cxn modelId="{031717BF-F33C-4832-B0D3-FA64F5364F83}" type="presParOf" srcId="{4F233FCD-E549-4AD0-ABCD-A1C527DBA0DF}" destId="{EF8ED5B3-2824-4BAD-A58B-FB4495F65ACB}" srcOrd="8" destOrd="0" presId="urn:microsoft.com/office/officeart/2005/8/layout/hierarchy2"/>
    <dgm:cxn modelId="{EF1E8DFD-9697-4DB4-A818-D5DFDF8F72BB}" type="presParOf" srcId="{EF8ED5B3-2824-4BAD-A58B-FB4495F65ACB}" destId="{64FF53A8-3B96-469F-976C-E7474F582F4C}" srcOrd="0" destOrd="0" presId="urn:microsoft.com/office/officeart/2005/8/layout/hierarchy2"/>
    <dgm:cxn modelId="{5639E6D1-1DF7-489F-B788-4C7CEF1B75AC}" type="presParOf" srcId="{4F233FCD-E549-4AD0-ABCD-A1C527DBA0DF}" destId="{2A10AC3C-BCC5-45B3-98D1-7A097FFE6777}" srcOrd="9" destOrd="0" presId="urn:microsoft.com/office/officeart/2005/8/layout/hierarchy2"/>
    <dgm:cxn modelId="{A460F7A4-1F9C-491A-B7A4-88CBA046BDF9}" type="presParOf" srcId="{2A10AC3C-BCC5-45B3-98D1-7A097FFE6777}" destId="{E206D450-B39D-4E39-B679-01E2445DE4A4}" srcOrd="0" destOrd="0" presId="urn:microsoft.com/office/officeart/2005/8/layout/hierarchy2"/>
    <dgm:cxn modelId="{51E705F9-B1E5-4DCF-9A63-9E828BFC95A2}" type="presParOf" srcId="{2A10AC3C-BCC5-45B3-98D1-7A097FFE6777}" destId="{8EF70902-9468-4951-BFB1-3EB10BA37E33}" srcOrd="1" destOrd="0" presId="urn:microsoft.com/office/officeart/2005/8/layout/hierarchy2"/>
    <dgm:cxn modelId="{D793DD6E-2758-49D1-BA97-7A6E3B966512}" type="presParOf" srcId="{4F233FCD-E549-4AD0-ABCD-A1C527DBA0DF}" destId="{93895C91-954A-4191-B468-75E89A499255}" srcOrd="10" destOrd="0" presId="urn:microsoft.com/office/officeart/2005/8/layout/hierarchy2"/>
    <dgm:cxn modelId="{5DC8E3E5-8F72-47A2-AA9C-6302AA58F2BA}" type="presParOf" srcId="{93895C91-954A-4191-B468-75E89A499255}" destId="{27715E58-057D-4F41-8C68-2A6554F42C10}" srcOrd="0" destOrd="0" presId="urn:microsoft.com/office/officeart/2005/8/layout/hierarchy2"/>
    <dgm:cxn modelId="{D166C098-C08A-40D6-9BB2-7917CF14FF24}" type="presParOf" srcId="{4F233FCD-E549-4AD0-ABCD-A1C527DBA0DF}" destId="{AAEC100E-BA3A-40BD-B432-E3538873D265}" srcOrd="11" destOrd="0" presId="urn:microsoft.com/office/officeart/2005/8/layout/hierarchy2"/>
    <dgm:cxn modelId="{94941ED2-3ED2-4DFB-8BA8-57E8C328443C}" type="presParOf" srcId="{AAEC100E-BA3A-40BD-B432-E3538873D265}" destId="{A9953E1C-D352-4DE9-A1DE-91805999B224}" srcOrd="0" destOrd="0" presId="urn:microsoft.com/office/officeart/2005/8/layout/hierarchy2"/>
    <dgm:cxn modelId="{FDA69331-9107-48C9-8122-B654A28028D0}" type="presParOf" srcId="{AAEC100E-BA3A-40BD-B432-E3538873D265}" destId="{55AB1462-3C61-4CDE-BF21-5EDEA9F62CF4}" srcOrd="1" destOrd="0" presId="urn:microsoft.com/office/officeart/2005/8/layout/hierarchy2"/>
    <dgm:cxn modelId="{8BCBC875-815F-4AC8-A271-26BD64A9568A}" type="presParOf" srcId="{4F233FCD-E549-4AD0-ABCD-A1C527DBA0DF}" destId="{D8757E5C-34D2-4BFD-A3C9-CF2290FB7478}" srcOrd="12" destOrd="0" presId="urn:microsoft.com/office/officeart/2005/8/layout/hierarchy2"/>
    <dgm:cxn modelId="{5F852D29-5006-4B77-91F7-E31D115DF21B}" type="presParOf" srcId="{D8757E5C-34D2-4BFD-A3C9-CF2290FB7478}" destId="{F7D81F3A-B6A7-4DEE-B9DB-03FA7F4846D5}" srcOrd="0" destOrd="0" presId="urn:microsoft.com/office/officeart/2005/8/layout/hierarchy2"/>
    <dgm:cxn modelId="{FBE6E59D-9B2C-4914-A948-F4F8AA4192F5}" type="presParOf" srcId="{4F233FCD-E549-4AD0-ABCD-A1C527DBA0DF}" destId="{3FFD7889-CC5B-4742-9F7E-C23E86DCC35F}" srcOrd="13" destOrd="0" presId="urn:microsoft.com/office/officeart/2005/8/layout/hierarchy2"/>
    <dgm:cxn modelId="{82413953-5D6B-4390-B039-F12E11E27FF5}" type="presParOf" srcId="{3FFD7889-CC5B-4742-9F7E-C23E86DCC35F}" destId="{237D66A8-87A1-4CFC-8060-17E2BDE8C28A}" srcOrd="0" destOrd="0" presId="urn:microsoft.com/office/officeart/2005/8/layout/hierarchy2"/>
    <dgm:cxn modelId="{EDEC486E-CFE2-48ED-B6E3-B8152F179076}" type="presParOf" srcId="{3FFD7889-CC5B-4742-9F7E-C23E86DCC35F}" destId="{5B67B99B-08D0-45C9-9B6D-2ED146877891}" srcOrd="1" destOrd="0" presId="urn:microsoft.com/office/officeart/2005/8/layout/hierarchy2"/>
  </dgm:cxnLst>
  <dgm:bg>
    <a:noFill/>
  </dgm:bg>
  <dgm:whole>
    <a:ln w="9525">
      <a:solidFill>
        <a:schemeClr val="tx1"/>
      </a:solidFill>
    </a:ln>
  </dgm:whole>
  <dgm:extLst>
    <a:ext uri="http://schemas.microsoft.com/office/drawing/2008/diagram">
      <dsp:dataModelExt xmlns:dsp="http://schemas.microsoft.com/office/drawing/2008/diagram" relId="rId43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EEEF7C2-48E1-4C78-A1FF-65214268486F}" type="doc">
      <dgm:prSet loTypeId="urn:microsoft.com/office/officeart/2005/8/layout/arrow2" loCatId="process" qsTypeId="urn:microsoft.com/office/officeart/2005/8/quickstyle/simple1" qsCatId="simple" csTypeId="urn:microsoft.com/office/officeart/2005/8/colors/accent1_2" csCatId="accent1" phldr="1"/>
      <dgm:spPr/>
      <dgm:t>
        <a:bodyPr/>
        <a:lstStyle/>
        <a:p>
          <a:endParaRPr lang="fr-FR"/>
        </a:p>
      </dgm:t>
    </dgm:pt>
    <dgm:pt modelId="{A08E6700-7660-4917-B43F-2BF9F14C3B78}">
      <dgm:prSet phldrT="[Texte]" custT="1"/>
      <dgm:spPr>
        <a:ln w="3175">
          <a:noFill/>
          <a:prstDash val="sysDash"/>
        </a:ln>
      </dgm:spPr>
      <dgm:t>
        <a:bodyPr/>
        <a:lstStyle/>
        <a:p>
          <a:pPr algn="ctr" rtl="1"/>
          <a:r>
            <a:rPr lang="ar-DZ" sz="1000" b="1">
              <a:latin typeface="Simplified Arabic" panose="02020603050405020304" pitchFamily="18" charset="-78"/>
              <a:cs typeface="Simplified Arabic" panose="02020603050405020304" pitchFamily="18" charset="-78"/>
            </a:rPr>
            <a:t>مفهوم </a:t>
          </a:r>
          <a:r>
            <a:rPr lang="ar-DZ" sz="1000" b="1" i="1">
              <a:latin typeface="Simplified Arabic" panose="02020603050405020304" pitchFamily="18" charset="-78"/>
              <a:cs typeface="Simplified Arabic" panose="02020603050405020304" pitchFamily="18" charset="-78"/>
            </a:rPr>
            <a:t>الضعف (</a:t>
          </a:r>
          <a:r>
            <a:rPr lang="fr-FR" sz="1000" b="1" i="1">
              <a:latin typeface="Times New Roman" panose="02020603050405020304" pitchFamily="18" charset="0"/>
              <a:cs typeface="Times New Roman" panose="02020603050405020304" pitchFamily="18" charset="0"/>
            </a:rPr>
            <a:t>Concept</a:t>
          </a:r>
          <a:r>
            <a:rPr lang="fr-FR" sz="1000" b="1" i="1">
              <a:latin typeface="Simplified Arabic" panose="02020603050405020304" pitchFamily="18" charset="-78"/>
              <a:cs typeface="Simplified Arabic" panose="02020603050405020304" pitchFamily="18" charset="-78"/>
            </a:rPr>
            <a:t> </a:t>
          </a:r>
          <a:r>
            <a:rPr lang="fr-FR" sz="1000" b="1" i="1">
              <a:latin typeface="Times New Roman" panose="02020603050405020304" pitchFamily="18" charset="0"/>
              <a:cs typeface="Times New Roman" panose="02020603050405020304" pitchFamily="18" charset="0"/>
            </a:rPr>
            <a:t>Vulnérabilité</a:t>
          </a:r>
          <a:r>
            <a:rPr lang="ar-SA" sz="1000" b="1" i="1">
              <a:latin typeface="Simplified Arabic" panose="02020603050405020304" pitchFamily="18" charset="-78"/>
              <a:cs typeface="Simplified Arabic" panose="02020603050405020304" pitchFamily="18" charset="-78"/>
            </a:rPr>
            <a:t>)</a:t>
          </a:r>
          <a:r>
            <a:rPr lang="ar-DZ" sz="1000" b="1" i="1">
              <a:latin typeface="Simplified Arabic" panose="02020603050405020304" pitchFamily="18" charset="-78"/>
              <a:cs typeface="Simplified Arabic" panose="02020603050405020304" pitchFamily="18" charset="-78"/>
            </a:rPr>
            <a:t>:</a:t>
          </a:r>
        </a:p>
        <a:p>
          <a:pPr algn="r" rtl="1"/>
          <a:r>
            <a:rPr lang="ar-DZ" sz="1000" b="1">
              <a:latin typeface="Simplified Arabic" panose="02020603050405020304" pitchFamily="18" charset="-78"/>
              <a:cs typeface="Simplified Arabic" panose="02020603050405020304" pitchFamily="18" charset="-78"/>
            </a:rPr>
            <a:t> </a:t>
          </a:r>
          <a:r>
            <a:rPr lang="ar-DZ" sz="1000" b="0">
              <a:latin typeface="Simplified Arabic" panose="02020603050405020304" pitchFamily="18" charset="-78"/>
              <a:cs typeface="Simplified Arabic" panose="02020603050405020304" pitchFamily="18" charset="-78"/>
            </a:rPr>
            <a:t>يعمل على الرهانات التي تعرضت للضرر جراء الظاهرة.</a:t>
          </a:r>
        </a:p>
        <a:p>
          <a:pPr algn="r" rtl="1"/>
          <a:r>
            <a:rPr lang="ar-DZ" sz="1000" b="1">
              <a:latin typeface="Simplified Arabic" panose="02020603050405020304" pitchFamily="18" charset="-78"/>
              <a:cs typeface="Simplified Arabic" panose="02020603050405020304" pitchFamily="18" charset="-78"/>
            </a:rPr>
            <a:t>الحدود</a:t>
          </a:r>
          <a:r>
            <a:rPr lang="ar-DZ" sz="1000" b="0">
              <a:latin typeface="Simplified Arabic" panose="02020603050405020304" pitchFamily="18" charset="-78"/>
              <a:cs typeface="Simplified Arabic" panose="02020603050405020304" pitchFamily="18" charset="-78"/>
            </a:rPr>
            <a:t>: المفهوم له وقعًا سلبيًا + يستحيل تخفيض الضعف الى مستوى الصفر</a:t>
          </a:r>
        </a:p>
      </dgm:t>
    </dgm:pt>
    <dgm:pt modelId="{1F65E645-18D1-4F54-BDC3-7CCE48089C6B}" type="parTrans" cxnId="{70EBAECB-7AA3-4133-8ED6-DFAEF6FF0BCB}">
      <dgm:prSet/>
      <dgm:spPr/>
      <dgm:t>
        <a:bodyPr/>
        <a:lstStyle/>
        <a:p>
          <a:endParaRPr lang="fr-FR"/>
        </a:p>
      </dgm:t>
    </dgm:pt>
    <dgm:pt modelId="{704A2434-DBAF-4CF1-BA8F-72432CF442C6}" type="sibTrans" cxnId="{70EBAECB-7AA3-4133-8ED6-DFAEF6FF0BCB}">
      <dgm:prSet/>
      <dgm:spPr/>
      <dgm:t>
        <a:bodyPr/>
        <a:lstStyle/>
        <a:p>
          <a:endParaRPr lang="fr-FR"/>
        </a:p>
      </dgm:t>
    </dgm:pt>
    <dgm:pt modelId="{D8478434-E3B8-47CE-A571-B51FEC24E6D5}">
      <dgm:prSet phldrT="[Texte]" custT="1"/>
      <dgm:spPr>
        <a:ln w="3175">
          <a:noFill/>
          <a:prstDash val="sysDash"/>
        </a:ln>
      </dgm:spPr>
      <dgm:t>
        <a:bodyPr/>
        <a:lstStyle/>
        <a:p>
          <a:pPr algn="r" rtl="1"/>
          <a:r>
            <a:rPr lang="ar-DZ" sz="1000" b="1">
              <a:latin typeface="Simplified Arabic" panose="02020603050405020304" pitchFamily="18" charset="-78"/>
              <a:cs typeface="Simplified Arabic" panose="02020603050405020304" pitchFamily="18" charset="-78"/>
            </a:rPr>
            <a:t>مفهوم </a:t>
          </a:r>
          <a:r>
            <a:rPr lang="ar-DZ" sz="1000" b="1" i="1">
              <a:latin typeface="Simplified Arabic" panose="02020603050405020304" pitchFamily="18" charset="-78"/>
              <a:cs typeface="Simplified Arabic" panose="02020603050405020304" pitchFamily="18" charset="-78"/>
            </a:rPr>
            <a:t>المرونة (</a:t>
          </a:r>
          <a:r>
            <a:rPr lang="fr-FR" sz="1000" b="1" i="1">
              <a:latin typeface="Times New Roman" panose="02020603050405020304" pitchFamily="18" charset="0"/>
              <a:cs typeface="Times New Roman" panose="02020603050405020304" pitchFamily="18" charset="0"/>
            </a:rPr>
            <a:t>Concept</a:t>
          </a:r>
          <a:r>
            <a:rPr lang="fr-FR" sz="1000" b="1" i="1">
              <a:latin typeface="Simplified Arabic" panose="02020603050405020304" pitchFamily="18" charset="-78"/>
              <a:cs typeface="Simplified Arabic" panose="02020603050405020304" pitchFamily="18" charset="-78"/>
            </a:rPr>
            <a:t> </a:t>
          </a:r>
          <a:r>
            <a:rPr lang="fr-FR" sz="1000" b="1" i="1">
              <a:latin typeface="Times New Roman" panose="02020603050405020304" pitchFamily="18" charset="0"/>
              <a:cs typeface="Times New Roman" panose="02020603050405020304" pitchFamily="18" charset="0"/>
            </a:rPr>
            <a:t>Resilience</a:t>
          </a:r>
          <a:r>
            <a:rPr lang="ar-SA" sz="1000" b="1" i="1">
              <a:latin typeface="Simplified Arabic" panose="02020603050405020304" pitchFamily="18" charset="-78"/>
              <a:cs typeface="Simplified Arabic" panose="02020603050405020304" pitchFamily="18" charset="-78"/>
            </a:rPr>
            <a:t>)</a:t>
          </a:r>
          <a:r>
            <a:rPr lang="ar-DZ" sz="1000" b="1" i="1">
              <a:latin typeface="Simplified Arabic" panose="02020603050405020304" pitchFamily="18" charset="-78"/>
              <a:cs typeface="Simplified Arabic" panose="02020603050405020304" pitchFamily="18" charset="-78"/>
            </a:rPr>
            <a:t>:</a:t>
          </a:r>
        </a:p>
        <a:p>
          <a:pPr algn="r" rtl="1"/>
          <a:r>
            <a:rPr lang="ar-DZ" sz="1000" b="0">
              <a:latin typeface="Simplified Arabic" panose="02020603050405020304" pitchFamily="18" charset="-78"/>
              <a:cs typeface="Simplified Arabic" panose="02020603050405020304" pitchFamily="18" charset="-78"/>
            </a:rPr>
            <a:t>يعمل على قدرات النظام لامتصاص الاضطرابات مع حشد خصائصه و بعث النشاط</a:t>
          </a:r>
        </a:p>
        <a:p>
          <a:pPr algn="r" rtl="1"/>
          <a:r>
            <a:rPr lang="ar-DZ" sz="1000" b="1">
              <a:latin typeface="Simplified Arabic" panose="02020603050405020304" pitchFamily="18" charset="-78"/>
              <a:cs typeface="Simplified Arabic" panose="02020603050405020304" pitchFamily="18" charset="-78"/>
            </a:rPr>
            <a:t>الحدود</a:t>
          </a:r>
          <a:r>
            <a:rPr lang="ar-DZ" sz="1000" b="0">
              <a:latin typeface="Simplified Arabic" panose="02020603050405020304" pitchFamily="18" charset="-78"/>
              <a:cs typeface="Simplified Arabic" panose="02020603050405020304" pitchFamily="18" charset="-78"/>
            </a:rPr>
            <a:t>: مازال المفهوم مبهمًا و في طور التفعيل</a:t>
          </a:r>
          <a:endParaRPr lang="fr-FR" sz="1000" b="0">
            <a:latin typeface="Simplified Arabic" panose="02020603050405020304" pitchFamily="18" charset="-78"/>
            <a:cs typeface="Simplified Arabic" panose="02020603050405020304" pitchFamily="18" charset="-78"/>
          </a:endParaRPr>
        </a:p>
      </dgm:t>
    </dgm:pt>
    <dgm:pt modelId="{4B95031D-35F3-47B8-84C3-CCB97DA8F547}" type="parTrans" cxnId="{93DBF6A4-408B-48CF-8551-4BA90D7FE5BF}">
      <dgm:prSet/>
      <dgm:spPr/>
      <dgm:t>
        <a:bodyPr/>
        <a:lstStyle/>
        <a:p>
          <a:endParaRPr lang="fr-FR"/>
        </a:p>
      </dgm:t>
    </dgm:pt>
    <dgm:pt modelId="{EC457725-CF3B-442A-A56B-FA31F32629FF}" type="sibTrans" cxnId="{93DBF6A4-408B-48CF-8551-4BA90D7FE5BF}">
      <dgm:prSet/>
      <dgm:spPr/>
      <dgm:t>
        <a:bodyPr/>
        <a:lstStyle/>
        <a:p>
          <a:endParaRPr lang="fr-FR"/>
        </a:p>
      </dgm:t>
    </dgm:pt>
    <dgm:pt modelId="{7A45B10C-A10F-43AA-8A02-580A67FD5145}">
      <dgm:prSet phldrT="[Texte]" custT="1"/>
      <dgm:spPr>
        <a:ln w="3175">
          <a:noFill/>
          <a:prstDash val="sysDash"/>
        </a:ln>
        <a:scene3d>
          <a:camera prst="orthographicFront"/>
          <a:lightRig rig="threePt" dir="t"/>
        </a:scene3d>
        <a:sp3d/>
      </dgm:spPr>
      <dgm:t>
        <a:bodyPr/>
        <a:lstStyle/>
        <a:p>
          <a:pPr algn="l" rtl="1"/>
          <a:r>
            <a:rPr lang="ar-DZ" sz="1000" b="1" i="1">
              <a:latin typeface="Simplified Arabic" panose="02020603050405020304" pitchFamily="18" charset="-78"/>
              <a:cs typeface="Simplified Arabic" panose="02020603050405020304" pitchFamily="18" charset="-78"/>
            </a:rPr>
            <a:t>مقاربة الظاهرة -المركزية </a:t>
          </a:r>
          <a:r>
            <a:rPr lang="ar-DZ" sz="1000" b="1" i="1">
              <a:latin typeface="Simplified Arabic" panose="02020603050405020304" pitchFamily="18" charset="-78"/>
              <a:cs typeface="+mj-cs"/>
            </a:rPr>
            <a:t>(</a:t>
          </a:r>
          <a:r>
            <a:rPr lang="fr-FR" sz="1000" b="1" i="1">
              <a:latin typeface="Times New Roman" panose="02020603050405020304" pitchFamily="18" charset="0"/>
              <a:cs typeface="Times New Roman" panose="02020603050405020304" pitchFamily="18" charset="0"/>
            </a:rPr>
            <a:t>Approche</a:t>
          </a:r>
          <a:r>
            <a:rPr lang="fr-FR" sz="1000" b="1" i="1">
              <a:latin typeface="Simplified Arabic" panose="02020603050405020304" pitchFamily="18" charset="-78"/>
              <a:cs typeface="+mj-cs"/>
            </a:rPr>
            <a:t> </a:t>
          </a:r>
          <a:r>
            <a:rPr lang="fr-FR" sz="1000" b="1" i="1">
              <a:latin typeface="Times New Roman" panose="02020603050405020304" pitchFamily="18" charset="0"/>
              <a:cs typeface="Times New Roman" panose="02020603050405020304" pitchFamily="18" charset="0"/>
            </a:rPr>
            <a:t>Aléa</a:t>
          </a:r>
          <a:r>
            <a:rPr lang="fr-FR" sz="1000" b="1" i="1">
              <a:latin typeface="Simplified Arabic" panose="02020603050405020304" pitchFamily="18" charset="-78"/>
              <a:cs typeface="+mj-cs"/>
            </a:rPr>
            <a:t> </a:t>
          </a:r>
          <a:r>
            <a:rPr lang="fr-FR" sz="1000" b="1" i="1">
              <a:latin typeface="Times New Roman" panose="02020603050405020304" pitchFamily="18" charset="0"/>
              <a:cs typeface="Times New Roman" panose="02020603050405020304" pitchFamily="18" charset="0"/>
            </a:rPr>
            <a:t>-Centrée</a:t>
          </a:r>
          <a:r>
            <a:rPr lang="ar-SA" sz="1000" b="1" i="1">
              <a:latin typeface="Simplified Arabic" panose="02020603050405020304" pitchFamily="18" charset="-78"/>
              <a:cs typeface="+mj-cs"/>
            </a:rPr>
            <a:t>)</a:t>
          </a:r>
          <a:r>
            <a:rPr lang="ar-DZ" sz="1000" b="1" i="1">
              <a:latin typeface="Simplified Arabic" panose="02020603050405020304" pitchFamily="18" charset="-78"/>
              <a:cs typeface="Simplified Arabic" panose="02020603050405020304" pitchFamily="18" charset="-78"/>
            </a:rPr>
            <a:t>:</a:t>
          </a:r>
          <a:r>
            <a:rPr lang="ar-DZ" sz="1000" b="1">
              <a:latin typeface="Simplified Arabic" panose="02020603050405020304" pitchFamily="18" charset="-78"/>
              <a:cs typeface="Simplified Arabic" panose="02020603050405020304" pitchFamily="18" charset="-78"/>
            </a:rPr>
            <a:t> </a:t>
          </a:r>
        </a:p>
        <a:p>
          <a:pPr algn="r" rtl="1"/>
          <a:r>
            <a:rPr lang="ar-DZ" sz="1000" b="1">
              <a:latin typeface="Simplified Arabic" panose="02020603050405020304" pitchFamily="18" charset="-78"/>
              <a:cs typeface="Simplified Arabic" panose="02020603050405020304" pitchFamily="18" charset="-78"/>
            </a:rPr>
            <a:t>الحدود</a:t>
          </a:r>
          <a:r>
            <a:rPr lang="ar-DZ" sz="1000" b="0">
              <a:latin typeface="Simplified Arabic" panose="02020603050405020304" pitchFamily="18" charset="-78"/>
              <a:cs typeface="Simplified Arabic" panose="02020603050405020304" pitchFamily="18" charset="-78"/>
            </a:rPr>
            <a:t>: الظاهرة ارتيابية و لا يمكن تقديرها +امكانية ضعف قوى انظمة الحماية +الشعور الخاطئ بالامان المؤدي الى الضعف</a:t>
          </a:r>
          <a:endParaRPr lang="fr-FR" sz="1000" b="0">
            <a:latin typeface="Simplified Arabic" panose="02020603050405020304" pitchFamily="18" charset="-78"/>
            <a:cs typeface="Simplified Arabic" panose="02020603050405020304" pitchFamily="18" charset="-78"/>
          </a:endParaRPr>
        </a:p>
      </dgm:t>
    </dgm:pt>
    <dgm:pt modelId="{4F379E3A-0290-4E4F-AA76-63B341E1B150}" type="parTrans" cxnId="{FB2FCF27-47C2-4C58-BB84-116874F008DF}">
      <dgm:prSet/>
      <dgm:spPr/>
      <dgm:t>
        <a:bodyPr/>
        <a:lstStyle/>
        <a:p>
          <a:endParaRPr lang="fr-FR"/>
        </a:p>
      </dgm:t>
    </dgm:pt>
    <dgm:pt modelId="{D7378C67-2EBC-4ACC-8B29-08498E7077CE}" type="sibTrans" cxnId="{FB2FCF27-47C2-4C58-BB84-116874F008DF}">
      <dgm:prSet/>
      <dgm:spPr/>
      <dgm:t>
        <a:bodyPr/>
        <a:lstStyle/>
        <a:p>
          <a:endParaRPr lang="fr-FR"/>
        </a:p>
      </dgm:t>
    </dgm:pt>
    <dgm:pt modelId="{773443FB-16CE-4A05-B805-6E703F503ADD}">
      <dgm:prSet phldrT="[Texte]" custT="1"/>
      <dgm:spPr>
        <a:ln w="3175">
          <a:noFill/>
          <a:prstDash val="sysDash"/>
        </a:ln>
      </dgm:spPr>
      <dgm:t>
        <a:bodyPr/>
        <a:lstStyle/>
        <a:p>
          <a:pPr algn="r" rtl="1"/>
          <a:r>
            <a:rPr lang="ar-DZ" sz="1000" b="1" i="1">
              <a:latin typeface="Simplified Arabic" panose="02020603050405020304" pitchFamily="18" charset="-78"/>
              <a:cs typeface="Simplified Arabic" panose="02020603050405020304" pitchFamily="18" charset="-78"/>
            </a:rPr>
            <a:t>          الظاهرة </a:t>
          </a:r>
          <a:r>
            <a:rPr lang="ar-DZ" sz="1000" b="1" i="1">
              <a:latin typeface="Simplified Arabic" panose="02020603050405020304" pitchFamily="18" charset="-78"/>
              <a:cs typeface="+mj-cs"/>
            </a:rPr>
            <a:t>(</a:t>
          </a:r>
          <a:r>
            <a:rPr lang="fr-FR" sz="1000" b="1" i="1">
              <a:latin typeface="Times New Roman" panose="02020603050405020304" pitchFamily="18" charset="0"/>
              <a:cs typeface="+mj-cs"/>
            </a:rPr>
            <a:t>Aléa</a:t>
          </a:r>
          <a:r>
            <a:rPr lang="ar-SA" sz="1000" b="1" i="1">
              <a:latin typeface="Simplified Arabic" panose="02020603050405020304" pitchFamily="18" charset="-78"/>
              <a:cs typeface="+mj-cs"/>
            </a:rPr>
            <a:t>)</a:t>
          </a:r>
          <a:r>
            <a:rPr lang="ar-DZ" sz="1000" b="1" i="1">
              <a:latin typeface="Simplified Arabic" panose="02020603050405020304" pitchFamily="18" charset="-78"/>
              <a:cs typeface="Simplified Arabic" panose="02020603050405020304" pitchFamily="18" charset="-78"/>
            </a:rPr>
            <a:t>: </a:t>
          </a:r>
        </a:p>
        <a:p>
          <a:pPr algn="r" rtl="1"/>
          <a:r>
            <a:rPr lang="ar-DZ" sz="1000" b="0">
              <a:latin typeface="Simplified Arabic" panose="02020603050405020304" pitchFamily="18" charset="-78"/>
              <a:cs typeface="Simplified Arabic" panose="02020603050405020304" pitchFamily="18" charset="-78"/>
            </a:rPr>
            <a:t>الامم السابقة كانت تفسر الظاهرة كعقاب الهي على الخطايا</a:t>
          </a:r>
        </a:p>
        <a:p>
          <a:pPr algn="r" rtl="1"/>
          <a:r>
            <a:rPr lang="ar-DZ" sz="1000" b="1">
              <a:latin typeface="Simplified Arabic" panose="02020603050405020304" pitchFamily="18" charset="-78"/>
              <a:cs typeface="Simplified Arabic" panose="02020603050405020304" pitchFamily="18" charset="-78"/>
            </a:rPr>
            <a:t>الحدود</a:t>
          </a:r>
          <a:r>
            <a:rPr lang="ar-DZ" sz="1000" b="0">
              <a:latin typeface="Simplified Arabic" panose="02020603050405020304" pitchFamily="18" charset="-78"/>
              <a:cs typeface="Simplified Arabic" panose="02020603050405020304" pitchFamily="18" charset="-78"/>
            </a:rPr>
            <a:t>: قصور كلي تجاه الظاهرة</a:t>
          </a:r>
          <a:endParaRPr lang="fr-FR" sz="1000" b="0">
            <a:latin typeface="Simplified Arabic" panose="02020603050405020304" pitchFamily="18" charset="-78"/>
            <a:cs typeface="Simplified Arabic" panose="02020603050405020304" pitchFamily="18" charset="-78"/>
          </a:endParaRPr>
        </a:p>
      </dgm:t>
    </dgm:pt>
    <dgm:pt modelId="{C42766AF-A1E3-4F5A-B0F7-0B884808FA52}" type="parTrans" cxnId="{8D3F7A4D-D329-454F-A9D1-9EF946208F25}">
      <dgm:prSet/>
      <dgm:spPr/>
      <dgm:t>
        <a:bodyPr/>
        <a:lstStyle/>
        <a:p>
          <a:endParaRPr lang="fr-FR"/>
        </a:p>
      </dgm:t>
    </dgm:pt>
    <dgm:pt modelId="{96BC22DF-2985-4833-A8CA-7F135B399785}" type="sibTrans" cxnId="{8D3F7A4D-D329-454F-A9D1-9EF946208F25}">
      <dgm:prSet/>
      <dgm:spPr/>
      <dgm:t>
        <a:bodyPr/>
        <a:lstStyle/>
        <a:p>
          <a:endParaRPr lang="fr-FR"/>
        </a:p>
      </dgm:t>
    </dgm:pt>
    <dgm:pt modelId="{A32A21E0-BC2B-4848-8DD6-2713A32FBD1A}" type="pres">
      <dgm:prSet presAssocID="{1EEEF7C2-48E1-4C78-A1FF-65214268486F}" presName="arrowDiagram" presStyleCnt="0">
        <dgm:presLayoutVars>
          <dgm:chMax val="5"/>
          <dgm:dir/>
          <dgm:resizeHandles val="exact"/>
        </dgm:presLayoutVars>
      </dgm:prSet>
      <dgm:spPr/>
      <dgm:t>
        <a:bodyPr/>
        <a:lstStyle/>
        <a:p>
          <a:endParaRPr lang="fr-FR"/>
        </a:p>
      </dgm:t>
    </dgm:pt>
    <dgm:pt modelId="{B21CB473-FEED-46DC-8B34-8433A91DE942}" type="pres">
      <dgm:prSet presAssocID="{1EEEF7C2-48E1-4C78-A1FF-65214268486F}" presName="arrow" presStyleLbl="bgShp" presStyleIdx="0" presStyleCnt="1" custLinFactNeighborX="-334"/>
      <dgm:spPr>
        <a:scene3d>
          <a:camera prst="perspectiveContrastingRightFacing" fov="0">
            <a:rot lat="18600000" lon="10800000" rev="21000000"/>
          </a:camera>
          <a:lightRig rig="threePt" dir="t"/>
        </a:scene3d>
        <a:sp3d/>
      </dgm:spPr>
    </dgm:pt>
    <dgm:pt modelId="{75814B2A-9189-4C07-9A73-3CB68B9277AD}" type="pres">
      <dgm:prSet presAssocID="{1EEEF7C2-48E1-4C78-A1FF-65214268486F}" presName="arrowDiagram4" presStyleCnt="0"/>
      <dgm:spPr/>
    </dgm:pt>
    <dgm:pt modelId="{0C4C0584-A8C8-4A58-8AD4-08FD4F9B1FC5}" type="pres">
      <dgm:prSet presAssocID="{A08E6700-7660-4917-B43F-2BF9F14C3B78}" presName="bullet4a" presStyleLbl="node1" presStyleIdx="0" presStyleCnt="4" custLinFactX="1700000" custLinFactY="90178" custLinFactNeighborX="1740731" custLinFactNeighborY="100000"/>
      <dgm:spPr>
        <a:solidFill>
          <a:schemeClr val="tx1"/>
        </a:solidFill>
      </dgm:spPr>
    </dgm:pt>
    <dgm:pt modelId="{049A2C6A-CD09-40A4-A8C2-87EDD28507F7}" type="pres">
      <dgm:prSet presAssocID="{A08E6700-7660-4917-B43F-2BF9F14C3B78}" presName="textBox4a" presStyleLbl="revTx" presStyleIdx="0" presStyleCnt="4" custScaleX="350202" custScaleY="87573" custLinFactY="-61292" custLinFactNeighborX="65348" custLinFactNeighborY="-100000">
        <dgm:presLayoutVars>
          <dgm:bulletEnabled val="1"/>
        </dgm:presLayoutVars>
      </dgm:prSet>
      <dgm:spPr/>
      <dgm:t>
        <a:bodyPr/>
        <a:lstStyle/>
        <a:p>
          <a:endParaRPr lang="fr-FR"/>
        </a:p>
      </dgm:t>
    </dgm:pt>
    <dgm:pt modelId="{3F68BDEE-E2F7-43FF-92CC-84E0A990CB47}" type="pres">
      <dgm:prSet presAssocID="{D8478434-E3B8-47CE-A571-B51FEC24E6D5}" presName="bullet4b" presStyleLbl="node1" presStyleIdx="1" presStyleCnt="4" custLinFactX="600000" custLinFactY="63928" custLinFactNeighborX="626544" custLinFactNeighborY="100000"/>
      <dgm:spPr>
        <a:solidFill>
          <a:schemeClr val="accent6">
            <a:lumMod val="50000"/>
          </a:schemeClr>
        </a:solidFill>
      </dgm:spPr>
    </dgm:pt>
    <dgm:pt modelId="{2F857894-B8C3-4A5F-964D-6B3CEAD3CFB9}" type="pres">
      <dgm:prSet presAssocID="{D8478434-E3B8-47CE-A571-B51FEC24E6D5}" presName="textBox4b" presStyleLbl="revTx" presStyleIdx="1" presStyleCnt="4" custScaleX="306199" custScaleY="44342" custLinFactY="-26686" custLinFactNeighborX="-22788" custLinFactNeighborY="-100000">
        <dgm:presLayoutVars>
          <dgm:bulletEnabled val="1"/>
        </dgm:presLayoutVars>
      </dgm:prSet>
      <dgm:spPr/>
      <dgm:t>
        <a:bodyPr/>
        <a:lstStyle/>
        <a:p>
          <a:endParaRPr lang="fr-FR"/>
        </a:p>
      </dgm:t>
    </dgm:pt>
    <dgm:pt modelId="{EB3459C7-C6D2-4D40-82FA-012EE126ADC5}" type="pres">
      <dgm:prSet presAssocID="{7A45B10C-A10F-43AA-8A02-580A67FD5145}" presName="bullet4c" presStyleLbl="node1" presStyleIdx="2" presStyleCnt="4" custLinFactNeighborX="73375" custLinFactNeighborY="63805"/>
      <dgm:spPr>
        <a:solidFill>
          <a:schemeClr val="accent6">
            <a:lumMod val="75000"/>
          </a:schemeClr>
        </a:solidFill>
      </dgm:spPr>
    </dgm:pt>
    <dgm:pt modelId="{55DF1046-A98E-4A83-B0FA-A93E81CC6A16}" type="pres">
      <dgm:prSet presAssocID="{7A45B10C-A10F-43AA-8A02-580A67FD5145}" presName="textBox4c" presStyleLbl="revTx" presStyleIdx="2" presStyleCnt="4" custScaleX="261897" custScaleY="30889" custLinFactNeighborX="-31452" custLinFactNeighborY="3518">
        <dgm:presLayoutVars>
          <dgm:bulletEnabled val="1"/>
        </dgm:presLayoutVars>
      </dgm:prSet>
      <dgm:spPr/>
      <dgm:t>
        <a:bodyPr/>
        <a:lstStyle/>
        <a:p>
          <a:endParaRPr lang="fr-FR"/>
        </a:p>
      </dgm:t>
    </dgm:pt>
    <dgm:pt modelId="{687C262F-2A44-47C9-B481-24BBA9074D0B}" type="pres">
      <dgm:prSet presAssocID="{773443FB-16CE-4A05-B805-6E703F503ADD}" presName="bullet4d" presStyleLbl="node1" presStyleIdx="3" presStyleCnt="4" custLinFactX="-300000" custLinFactNeighborX="-392834" custLinFactNeighborY="-8099"/>
      <dgm:spPr>
        <a:solidFill>
          <a:schemeClr val="accent6">
            <a:lumMod val="60000"/>
            <a:lumOff val="40000"/>
          </a:schemeClr>
        </a:solidFill>
      </dgm:spPr>
    </dgm:pt>
    <dgm:pt modelId="{C2D4DFC2-834B-46AC-9243-AC36A14B49B0}" type="pres">
      <dgm:prSet presAssocID="{773443FB-16CE-4A05-B805-6E703F503ADD}" presName="textBox4d" presStyleLbl="revTx" presStyleIdx="3" presStyleCnt="4" custScaleX="229760" custScaleY="28234" custLinFactNeighborX="-61929" custLinFactNeighborY="36025">
        <dgm:presLayoutVars>
          <dgm:bulletEnabled val="1"/>
        </dgm:presLayoutVars>
      </dgm:prSet>
      <dgm:spPr/>
      <dgm:t>
        <a:bodyPr/>
        <a:lstStyle/>
        <a:p>
          <a:endParaRPr lang="fr-FR"/>
        </a:p>
      </dgm:t>
    </dgm:pt>
  </dgm:ptLst>
  <dgm:cxnLst>
    <dgm:cxn modelId="{1F2D518B-106E-4088-9E20-61A7E5FFF594}" type="presOf" srcId="{773443FB-16CE-4A05-B805-6E703F503ADD}" destId="{C2D4DFC2-834B-46AC-9243-AC36A14B49B0}" srcOrd="0" destOrd="0" presId="urn:microsoft.com/office/officeart/2005/8/layout/arrow2"/>
    <dgm:cxn modelId="{6F35A355-F057-43B9-9C32-EB11FE625EC2}" type="presOf" srcId="{A08E6700-7660-4917-B43F-2BF9F14C3B78}" destId="{049A2C6A-CD09-40A4-A8C2-87EDD28507F7}" srcOrd="0" destOrd="0" presId="urn:microsoft.com/office/officeart/2005/8/layout/arrow2"/>
    <dgm:cxn modelId="{BF9879D0-8920-4E16-A7D1-13AD6A3FD00A}" type="presOf" srcId="{1EEEF7C2-48E1-4C78-A1FF-65214268486F}" destId="{A32A21E0-BC2B-4848-8DD6-2713A32FBD1A}" srcOrd="0" destOrd="0" presId="urn:microsoft.com/office/officeart/2005/8/layout/arrow2"/>
    <dgm:cxn modelId="{8D3F7A4D-D329-454F-A9D1-9EF946208F25}" srcId="{1EEEF7C2-48E1-4C78-A1FF-65214268486F}" destId="{773443FB-16CE-4A05-B805-6E703F503ADD}" srcOrd="3" destOrd="0" parTransId="{C42766AF-A1E3-4F5A-B0F7-0B884808FA52}" sibTransId="{96BC22DF-2985-4833-A8CA-7F135B399785}"/>
    <dgm:cxn modelId="{FB2FCF27-47C2-4C58-BB84-116874F008DF}" srcId="{1EEEF7C2-48E1-4C78-A1FF-65214268486F}" destId="{7A45B10C-A10F-43AA-8A02-580A67FD5145}" srcOrd="2" destOrd="0" parTransId="{4F379E3A-0290-4E4F-AA76-63B341E1B150}" sibTransId="{D7378C67-2EBC-4ACC-8B29-08498E7077CE}"/>
    <dgm:cxn modelId="{2AD6AE1B-1199-4320-A203-929C7FF8C1C0}" type="presOf" srcId="{D8478434-E3B8-47CE-A571-B51FEC24E6D5}" destId="{2F857894-B8C3-4A5F-964D-6B3CEAD3CFB9}" srcOrd="0" destOrd="0" presId="urn:microsoft.com/office/officeart/2005/8/layout/arrow2"/>
    <dgm:cxn modelId="{93DBF6A4-408B-48CF-8551-4BA90D7FE5BF}" srcId="{1EEEF7C2-48E1-4C78-A1FF-65214268486F}" destId="{D8478434-E3B8-47CE-A571-B51FEC24E6D5}" srcOrd="1" destOrd="0" parTransId="{4B95031D-35F3-47B8-84C3-CCB97DA8F547}" sibTransId="{EC457725-CF3B-442A-A56B-FA31F32629FF}"/>
    <dgm:cxn modelId="{F9ADD086-AC4F-4190-9D58-53A0EA7D3766}" type="presOf" srcId="{7A45B10C-A10F-43AA-8A02-580A67FD5145}" destId="{55DF1046-A98E-4A83-B0FA-A93E81CC6A16}" srcOrd="0" destOrd="0" presId="urn:microsoft.com/office/officeart/2005/8/layout/arrow2"/>
    <dgm:cxn modelId="{70EBAECB-7AA3-4133-8ED6-DFAEF6FF0BCB}" srcId="{1EEEF7C2-48E1-4C78-A1FF-65214268486F}" destId="{A08E6700-7660-4917-B43F-2BF9F14C3B78}" srcOrd="0" destOrd="0" parTransId="{1F65E645-18D1-4F54-BDC3-7CCE48089C6B}" sibTransId="{704A2434-DBAF-4CF1-BA8F-72432CF442C6}"/>
    <dgm:cxn modelId="{E0215B2F-CF88-4AB1-9F2D-CADBF6E91765}" type="presParOf" srcId="{A32A21E0-BC2B-4848-8DD6-2713A32FBD1A}" destId="{B21CB473-FEED-46DC-8B34-8433A91DE942}" srcOrd="0" destOrd="0" presId="urn:microsoft.com/office/officeart/2005/8/layout/arrow2"/>
    <dgm:cxn modelId="{9217CAF0-7EF8-4F00-9D1F-A321B6E73AF6}" type="presParOf" srcId="{A32A21E0-BC2B-4848-8DD6-2713A32FBD1A}" destId="{75814B2A-9189-4C07-9A73-3CB68B9277AD}" srcOrd="1" destOrd="0" presId="urn:microsoft.com/office/officeart/2005/8/layout/arrow2"/>
    <dgm:cxn modelId="{47AA7067-766E-4E0B-BEFC-DB164F3A2F03}" type="presParOf" srcId="{75814B2A-9189-4C07-9A73-3CB68B9277AD}" destId="{0C4C0584-A8C8-4A58-8AD4-08FD4F9B1FC5}" srcOrd="0" destOrd="0" presId="urn:microsoft.com/office/officeart/2005/8/layout/arrow2"/>
    <dgm:cxn modelId="{0685252B-2756-4C19-9801-1C98C562714D}" type="presParOf" srcId="{75814B2A-9189-4C07-9A73-3CB68B9277AD}" destId="{049A2C6A-CD09-40A4-A8C2-87EDD28507F7}" srcOrd="1" destOrd="0" presId="urn:microsoft.com/office/officeart/2005/8/layout/arrow2"/>
    <dgm:cxn modelId="{99B318EB-B70F-43E5-ADF3-5CAE1231F527}" type="presParOf" srcId="{75814B2A-9189-4C07-9A73-3CB68B9277AD}" destId="{3F68BDEE-E2F7-43FF-92CC-84E0A990CB47}" srcOrd="2" destOrd="0" presId="urn:microsoft.com/office/officeart/2005/8/layout/arrow2"/>
    <dgm:cxn modelId="{23C85CA4-F110-4870-9140-A164AFA67499}" type="presParOf" srcId="{75814B2A-9189-4C07-9A73-3CB68B9277AD}" destId="{2F857894-B8C3-4A5F-964D-6B3CEAD3CFB9}" srcOrd="3" destOrd="0" presId="urn:microsoft.com/office/officeart/2005/8/layout/arrow2"/>
    <dgm:cxn modelId="{5FF7CBE1-14CB-4948-844A-D237E5984825}" type="presParOf" srcId="{75814B2A-9189-4C07-9A73-3CB68B9277AD}" destId="{EB3459C7-C6D2-4D40-82FA-012EE126ADC5}" srcOrd="4" destOrd="0" presId="urn:microsoft.com/office/officeart/2005/8/layout/arrow2"/>
    <dgm:cxn modelId="{1E8C7E9C-337F-46F2-987E-02786D046587}" type="presParOf" srcId="{75814B2A-9189-4C07-9A73-3CB68B9277AD}" destId="{55DF1046-A98E-4A83-B0FA-A93E81CC6A16}" srcOrd="5" destOrd="0" presId="urn:microsoft.com/office/officeart/2005/8/layout/arrow2"/>
    <dgm:cxn modelId="{11AA91F9-EDAC-4BB4-8748-CD118115725F}" type="presParOf" srcId="{75814B2A-9189-4C07-9A73-3CB68B9277AD}" destId="{687C262F-2A44-47C9-B481-24BBA9074D0B}" srcOrd="6" destOrd="0" presId="urn:microsoft.com/office/officeart/2005/8/layout/arrow2"/>
    <dgm:cxn modelId="{EA473058-B7BF-47B9-AE9A-EF8F0008BFDB}" type="presParOf" srcId="{75814B2A-9189-4C07-9A73-3CB68B9277AD}" destId="{C2D4DFC2-834B-46AC-9243-AC36A14B49B0}" srcOrd="7" destOrd="0" presId="urn:microsoft.com/office/officeart/2005/8/layout/arrow2"/>
  </dgm:cxnLst>
  <dgm:bg/>
  <dgm:whole>
    <a:ln>
      <a:solidFill>
        <a:schemeClr val="tx1"/>
      </a:solidFill>
    </a:ln>
  </dgm:whole>
  <dgm:extLst>
    <a:ext uri="http://schemas.microsoft.com/office/drawing/2008/diagram">
      <dsp:dataModelExt xmlns:dsp="http://schemas.microsoft.com/office/drawing/2008/diagram" relId="rId59" minVer="http://schemas.openxmlformats.org/drawingml/2006/diagram"/>
    </a:ext>
    <a:ext uri="{C62137D5-CB1D-491B-B009-E17868A290BF}">
      <dgm14:recolorImg xmlns:dgm14="http://schemas.microsoft.com/office/drawing/2010/diagram" val="1"/>
    </a:ext>
  </dgm:extLst>
</dgm:dataModel>
</file>

<file path=word/diagrams/data4.xml><?xml version="1.0" encoding="utf-8"?>
<dgm:dataModel xmlns:dgm="http://schemas.openxmlformats.org/drawingml/2006/diagram" xmlns:a="http://schemas.openxmlformats.org/drawingml/2006/main">
  <dgm:ptLst>
    <dgm:pt modelId="{9F3228FA-2911-47CF-9E9B-EF0D52E73F0C}"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fr-FR"/>
        </a:p>
      </dgm:t>
    </dgm:pt>
    <dgm:pt modelId="{25C5A095-7A4A-484C-8C81-650441AE5A67}">
      <dgm:prSet phldrT="[Texte]" custT="1"/>
      <dgm:spPr/>
      <dgm:t>
        <a:bodyPr/>
        <a:lstStyle/>
        <a:p>
          <a:pPr rtl="1"/>
          <a:r>
            <a:rPr lang="ar-DZ" sz="1200" b="0">
              <a:latin typeface="Simplified Arabic" panose="02020603050405020304" pitchFamily="18" charset="-78"/>
              <a:cs typeface="Simplified Arabic" panose="02020603050405020304" pitchFamily="18" charset="-78"/>
            </a:rPr>
            <a:t>الضعف</a:t>
          </a:r>
          <a:endParaRPr lang="fr-FR" sz="1200" b="0">
            <a:latin typeface="Simplified Arabic" panose="02020603050405020304" pitchFamily="18" charset="-78"/>
            <a:cs typeface="Simplified Arabic" panose="02020603050405020304" pitchFamily="18" charset="-78"/>
          </a:endParaRPr>
        </a:p>
      </dgm:t>
    </dgm:pt>
    <dgm:pt modelId="{832CA355-D142-4EA4-AC54-700A02B333EB}" type="parTrans" cxnId="{A65BA7AF-54A9-4C03-A011-5EB176D57869}">
      <dgm:prSet/>
      <dgm:spPr/>
      <dgm:t>
        <a:bodyPr/>
        <a:lstStyle/>
        <a:p>
          <a:endParaRPr lang="fr-FR"/>
        </a:p>
      </dgm:t>
    </dgm:pt>
    <dgm:pt modelId="{5C544935-A6F4-4709-BF67-B989660232F0}" type="sibTrans" cxnId="{A65BA7AF-54A9-4C03-A011-5EB176D57869}">
      <dgm:prSet>
        <dgm:style>
          <a:lnRef idx="2">
            <a:schemeClr val="dk1"/>
          </a:lnRef>
          <a:fillRef idx="1">
            <a:schemeClr val="lt1"/>
          </a:fillRef>
          <a:effectRef idx="0">
            <a:schemeClr val="dk1"/>
          </a:effectRef>
          <a:fontRef idx="minor">
            <a:schemeClr val="dk1"/>
          </a:fontRef>
        </dgm:style>
      </dgm:prSet>
      <dgm:spPr>
        <a:ln>
          <a:solidFill>
            <a:schemeClr val="accent6">
              <a:lumMod val="75000"/>
            </a:schemeClr>
          </a:solidFill>
        </a:ln>
      </dgm:spPr>
      <dgm:t>
        <a:bodyPr/>
        <a:lstStyle/>
        <a:p>
          <a:endParaRPr lang="fr-FR"/>
        </a:p>
      </dgm:t>
    </dgm:pt>
    <dgm:pt modelId="{057F230C-FB38-4EAF-9BAB-79E21EFF0D35}">
      <dgm:prSet phldrT="[Texte]" custT="1"/>
      <dgm:spPr/>
      <dgm:t>
        <a:bodyPr/>
        <a:lstStyle/>
        <a:p>
          <a:pPr rtl="1"/>
          <a:r>
            <a:rPr lang="ar-DZ" sz="1200" b="0">
              <a:latin typeface="Simplified Arabic" panose="02020603050405020304" pitchFamily="18" charset="-78"/>
              <a:cs typeface="Simplified Arabic" panose="02020603050405020304" pitchFamily="18" charset="-78"/>
            </a:rPr>
            <a:t>المرونة</a:t>
          </a:r>
          <a:endParaRPr lang="fr-FR" sz="2100" b="0">
            <a:latin typeface="Simplified Arabic" panose="02020603050405020304" pitchFamily="18" charset="-78"/>
            <a:cs typeface="Simplified Arabic" panose="02020603050405020304" pitchFamily="18" charset="-78"/>
          </a:endParaRPr>
        </a:p>
      </dgm:t>
    </dgm:pt>
    <dgm:pt modelId="{B4CCDACA-8D8E-4A2E-9735-8C48D5502EFE}" type="parTrans" cxnId="{82486F77-833F-40B1-B838-1A4EBB91F093}">
      <dgm:prSet/>
      <dgm:spPr/>
      <dgm:t>
        <a:bodyPr/>
        <a:lstStyle/>
        <a:p>
          <a:endParaRPr lang="fr-FR"/>
        </a:p>
      </dgm:t>
    </dgm:pt>
    <dgm:pt modelId="{3ADA4F07-6F75-4297-BC2B-AE19DC8C94B7}" type="sibTrans" cxnId="{82486F77-833F-40B1-B838-1A4EBB91F093}">
      <dgm:prSet/>
      <dgm:spPr>
        <a:noFill/>
        <a:ln>
          <a:solidFill>
            <a:schemeClr val="accent6">
              <a:lumMod val="75000"/>
            </a:schemeClr>
          </a:solidFill>
          <a:prstDash val="sysDash"/>
        </a:ln>
      </dgm:spPr>
      <dgm:t>
        <a:bodyPr/>
        <a:lstStyle/>
        <a:p>
          <a:endParaRPr lang="fr-FR"/>
        </a:p>
      </dgm:t>
    </dgm:pt>
    <dgm:pt modelId="{BFC47CE1-F509-49B7-942F-FB42D6CBC977}">
      <dgm:prSet phldrT="[Texte]" custT="1"/>
      <dgm:spPr/>
      <dgm:t>
        <a:bodyPr/>
        <a:lstStyle/>
        <a:p>
          <a:pPr rtl="1"/>
          <a:r>
            <a:rPr lang="ar-DZ" sz="1200" b="0">
              <a:latin typeface="Simplified Arabic" panose="02020603050405020304" pitchFamily="18" charset="-78"/>
              <a:cs typeface="Simplified Arabic" panose="02020603050405020304" pitchFamily="18" charset="-78"/>
            </a:rPr>
            <a:t>قدرة الاستجابة</a:t>
          </a:r>
          <a:endParaRPr lang="fr-FR" sz="1200" b="0">
            <a:latin typeface="Simplified Arabic" panose="02020603050405020304" pitchFamily="18" charset="-78"/>
            <a:cs typeface="Simplified Arabic" panose="02020603050405020304" pitchFamily="18" charset="-78"/>
          </a:endParaRPr>
        </a:p>
      </dgm:t>
    </dgm:pt>
    <dgm:pt modelId="{29DE4AF0-AACC-46BA-A68A-F0E565DF2653}" type="parTrans" cxnId="{4764BAC6-E987-41B9-A921-F06966E1DD32}">
      <dgm:prSet/>
      <dgm:spPr/>
      <dgm:t>
        <a:bodyPr/>
        <a:lstStyle/>
        <a:p>
          <a:endParaRPr lang="fr-FR"/>
        </a:p>
      </dgm:t>
    </dgm:pt>
    <dgm:pt modelId="{484C9DAC-F798-4643-83F9-1E39686775E2}" type="sibTrans" cxnId="{4764BAC6-E987-41B9-A921-F06966E1DD32}">
      <dgm:prSet>
        <dgm:style>
          <a:lnRef idx="2">
            <a:schemeClr val="dk1"/>
          </a:lnRef>
          <a:fillRef idx="1">
            <a:schemeClr val="lt1"/>
          </a:fillRef>
          <a:effectRef idx="0">
            <a:schemeClr val="dk1"/>
          </a:effectRef>
          <a:fontRef idx="minor">
            <a:schemeClr val="dk1"/>
          </a:fontRef>
        </dgm:style>
      </dgm:prSet>
      <dgm:spPr>
        <a:noFill/>
        <a:ln>
          <a:solidFill>
            <a:schemeClr val="accent6">
              <a:lumMod val="75000"/>
            </a:schemeClr>
          </a:solidFill>
        </a:ln>
      </dgm:spPr>
      <dgm:t>
        <a:bodyPr/>
        <a:lstStyle/>
        <a:p>
          <a:endParaRPr lang="fr-FR"/>
        </a:p>
      </dgm:t>
    </dgm:pt>
    <dgm:pt modelId="{C187F1D5-4331-454C-8DBA-C9E4CBB9FD93}" type="pres">
      <dgm:prSet presAssocID="{9F3228FA-2911-47CF-9E9B-EF0D52E73F0C}" presName="cycle" presStyleCnt="0">
        <dgm:presLayoutVars>
          <dgm:dir/>
          <dgm:resizeHandles val="exact"/>
        </dgm:presLayoutVars>
      </dgm:prSet>
      <dgm:spPr/>
      <dgm:t>
        <a:bodyPr/>
        <a:lstStyle/>
        <a:p>
          <a:endParaRPr lang="fr-FR"/>
        </a:p>
      </dgm:t>
    </dgm:pt>
    <dgm:pt modelId="{74EE771B-ED9D-4933-8C83-103F9B7C0323}" type="pres">
      <dgm:prSet presAssocID="{25C5A095-7A4A-484C-8C81-650441AE5A67}" presName="dummy" presStyleCnt="0"/>
      <dgm:spPr/>
    </dgm:pt>
    <dgm:pt modelId="{3E441819-54B5-4CC3-B6D9-ABD3A12C0353}" type="pres">
      <dgm:prSet presAssocID="{25C5A095-7A4A-484C-8C81-650441AE5A67}" presName="node" presStyleLbl="revTx" presStyleIdx="0" presStyleCnt="3" custScaleX="123442" custScaleY="30561" custRadScaleRad="92074" custRadScaleInc="25371">
        <dgm:presLayoutVars>
          <dgm:bulletEnabled val="1"/>
        </dgm:presLayoutVars>
      </dgm:prSet>
      <dgm:spPr/>
      <dgm:t>
        <a:bodyPr/>
        <a:lstStyle/>
        <a:p>
          <a:endParaRPr lang="fr-FR"/>
        </a:p>
      </dgm:t>
    </dgm:pt>
    <dgm:pt modelId="{A837F733-48B9-4AB5-BB62-9665B21FCBF1}" type="pres">
      <dgm:prSet presAssocID="{5C544935-A6F4-4709-BF67-B989660232F0}" presName="sibTrans" presStyleLbl="node1" presStyleIdx="0" presStyleCnt="3" custScaleX="110294" custScaleY="81039" custLinFactNeighborX="2233" custLinFactNeighborY="8996"/>
      <dgm:spPr/>
      <dgm:t>
        <a:bodyPr/>
        <a:lstStyle/>
        <a:p>
          <a:endParaRPr lang="fr-FR"/>
        </a:p>
      </dgm:t>
    </dgm:pt>
    <dgm:pt modelId="{EB9FA7AC-6FD9-47F2-873D-0256A031C879}" type="pres">
      <dgm:prSet presAssocID="{057F230C-FB38-4EAF-9BAB-79E21EFF0D35}" presName="dummy" presStyleCnt="0"/>
      <dgm:spPr/>
    </dgm:pt>
    <dgm:pt modelId="{409F75D1-3B08-4649-95F0-7FA5EF1AB191}" type="pres">
      <dgm:prSet presAssocID="{057F230C-FB38-4EAF-9BAB-79E21EFF0D35}" presName="node" presStyleLbl="revTx" presStyleIdx="1" presStyleCnt="3" custScaleY="33621" custRadScaleRad="78993" custRadScaleInc="4927">
        <dgm:presLayoutVars>
          <dgm:bulletEnabled val="1"/>
        </dgm:presLayoutVars>
      </dgm:prSet>
      <dgm:spPr/>
      <dgm:t>
        <a:bodyPr/>
        <a:lstStyle/>
        <a:p>
          <a:endParaRPr lang="fr-FR"/>
        </a:p>
      </dgm:t>
    </dgm:pt>
    <dgm:pt modelId="{497F98C7-685A-4943-8256-48619A3DD0AF}" type="pres">
      <dgm:prSet presAssocID="{3ADA4F07-6F75-4297-BC2B-AE19DC8C94B7}" presName="sibTrans" presStyleLbl="node1" presStyleIdx="1" presStyleCnt="3" custScaleX="92829" custScaleY="92919" custLinFactNeighborX="-3346" custLinFactNeighborY="7530"/>
      <dgm:spPr/>
      <dgm:t>
        <a:bodyPr/>
        <a:lstStyle/>
        <a:p>
          <a:endParaRPr lang="fr-FR"/>
        </a:p>
      </dgm:t>
    </dgm:pt>
    <dgm:pt modelId="{8B23F11E-083C-4B4B-9FEA-60EAF416A886}" type="pres">
      <dgm:prSet presAssocID="{BFC47CE1-F509-49B7-942F-FB42D6CBC977}" presName="dummy" presStyleCnt="0"/>
      <dgm:spPr/>
    </dgm:pt>
    <dgm:pt modelId="{18598B04-0693-4599-B107-311A6B811705}" type="pres">
      <dgm:prSet presAssocID="{BFC47CE1-F509-49B7-942F-FB42D6CBC977}" presName="node" presStyleLbl="revTx" presStyleIdx="2" presStyleCnt="3" custScaleX="100567" custScaleY="47610" custRadScaleRad="108934" custRadScaleInc="-39561">
        <dgm:presLayoutVars>
          <dgm:bulletEnabled val="1"/>
        </dgm:presLayoutVars>
      </dgm:prSet>
      <dgm:spPr/>
      <dgm:t>
        <a:bodyPr/>
        <a:lstStyle/>
        <a:p>
          <a:endParaRPr lang="fr-FR"/>
        </a:p>
      </dgm:t>
    </dgm:pt>
    <dgm:pt modelId="{6CB457F3-E549-42FA-8202-1CE8DB05BCA6}" type="pres">
      <dgm:prSet presAssocID="{484C9DAC-F798-4643-83F9-1E39686775E2}" presName="sibTrans" presStyleLbl="node1" presStyleIdx="2" presStyleCnt="3" custScaleX="113053" custScaleY="99637" custLinFactNeighborX="3074" custLinFactNeighborY="-1896"/>
      <dgm:spPr/>
      <dgm:t>
        <a:bodyPr/>
        <a:lstStyle/>
        <a:p>
          <a:endParaRPr lang="fr-FR"/>
        </a:p>
      </dgm:t>
    </dgm:pt>
  </dgm:ptLst>
  <dgm:cxnLst>
    <dgm:cxn modelId="{D3DBFAEE-FBCF-4F79-A6A4-F12BF2474EF1}" type="presOf" srcId="{9F3228FA-2911-47CF-9E9B-EF0D52E73F0C}" destId="{C187F1D5-4331-454C-8DBA-C9E4CBB9FD93}" srcOrd="0" destOrd="0" presId="urn:microsoft.com/office/officeart/2005/8/layout/cycle1"/>
    <dgm:cxn modelId="{4764BAC6-E987-41B9-A921-F06966E1DD32}" srcId="{9F3228FA-2911-47CF-9E9B-EF0D52E73F0C}" destId="{BFC47CE1-F509-49B7-942F-FB42D6CBC977}" srcOrd="2" destOrd="0" parTransId="{29DE4AF0-AACC-46BA-A68A-F0E565DF2653}" sibTransId="{484C9DAC-F798-4643-83F9-1E39686775E2}"/>
    <dgm:cxn modelId="{82486F77-833F-40B1-B838-1A4EBB91F093}" srcId="{9F3228FA-2911-47CF-9E9B-EF0D52E73F0C}" destId="{057F230C-FB38-4EAF-9BAB-79E21EFF0D35}" srcOrd="1" destOrd="0" parTransId="{B4CCDACA-8D8E-4A2E-9735-8C48D5502EFE}" sibTransId="{3ADA4F07-6F75-4297-BC2B-AE19DC8C94B7}"/>
    <dgm:cxn modelId="{90AE475A-D59A-49D4-B138-56BAC0D6D7DE}" type="presOf" srcId="{5C544935-A6F4-4709-BF67-B989660232F0}" destId="{A837F733-48B9-4AB5-BB62-9665B21FCBF1}" srcOrd="0" destOrd="0" presId="urn:microsoft.com/office/officeart/2005/8/layout/cycle1"/>
    <dgm:cxn modelId="{59DA5166-85F2-4822-87F1-680DA3059337}" type="presOf" srcId="{BFC47CE1-F509-49B7-942F-FB42D6CBC977}" destId="{18598B04-0693-4599-B107-311A6B811705}" srcOrd="0" destOrd="0" presId="urn:microsoft.com/office/officeart/2005/8/layout/cycle1"/>
    <dgm:cxn modelId="{71F5C0C7-48BF-4760-AF70-7D8BE056EDC5}" type="presOf" srcId="{484C9DAC-F798-4643-83F9-1E39686775E2}" destId="{6CB457F3-E549-42FA-8202-1CE8DB05BCA6}" srcOrd="0" destOrd="0" presId="urn:microsoft.com/office/officeart/2005/8/layout/cycle1"/>
    <dgm:cxn modelId="{A1A948AF-B49E-432D-945B-B3AF58745C40}" type="presOf" srcId="{25C5A095-7A4A-484C-8C81-650441AE5A67}" destId="{3E441819-54B5-4CC3-B6D9-ABD3A12C0353}" srcOrd="0" destOrd="0" presId="urn:microsoft.com/office/officeart/2005/8/layout/cycle1"/>
    <dgm:cxn modelId="{2314C3BE-3AE0-4D28-9310-63F9B8CE97FD}" type="presOf" srcId="{057F230C-FB38-4EAF-9BAB-79E21EFF0D35}" destId="{409F75D1-3B08-4649-95F0-7FA5EF1AB191}" srcOrd="0" destOrd="0" presId="urn:microsoft.com/office/officeart/2005/8/layout/cycle1"/>
    <dgm:cxn modelId="{A65BA7AF-54A9-4C03-A011-5EB176D57869}" srcId="{9F3228FA-2911-47CF-9E9B-EF0D52E73F0C}" destId="{25C5A095-7A4A-484C-8C81-650441AE5A67}" srcOrd="0" destOrd="0" parTransId="{832CA355-D142-4EA4-AC54-700A02B333EB}" sibTransId="{5C544935-A6F4-4709-BF67-B989660232F0}"/>
    <dgm:cxn modelId="{9EFE64E6-6F25-4674-9404-A61354F9F302}" type="presOf" srcId="{3ADA4F07-6F75-4297-BC2B-AE19DC8C94B7}" destId="{497F98C7-685A-4943-8256-48619A3DD0AF}" srcOrd="0" destOrd="0" presId="urn:microsoft.com/office/officeart/2005/8/layout/cycle1"/>
    <dgm:cxn modelId="{84345AE6-7E66-4436-9FF9-F201B2E94840}" type="presParOf" srcId="{C187F1D5-4331-454C-8DBA-C9E4CBB9FD93}" destId="{74EE771B-ED9D-4933-8C83-103F9B7C0323}" srcOrd="0" destOrd="0" presId="urn:microsoft.com/office/officeart/2005/8/layout/cycle1"/>
    <dgm:cxn modelId="{7FEBAD1E-F6CF-4146-82DB-21E412900C0B}" type="presParOf" srcId="{C187F1D5-4331-454C-8DBA-C9E4CBB9FD93}" destId="{3E441819-54B5-4CC3-B6D9-ABD3A12C0353}" srcOrd="1" destOrd="0" presId="urn:microsoft.com/office/officeart/2005/8/layout/cycle1"/>
    <dgm:cxn modelId="{4E484BB6-9C8A-421C-862F-34E5BE5F2BC5}" type="presParOf" srcId="{C187F1D5-4331-454C-8DBA-C9E4CBB9FD93}" destId="{A837F733-48B9-4AB5-BB62-9665B21FCBF1}" srcOrd="2" destOrd="0" presId="urn:microsoft.com/office/officeart/2005/8/layout/cycle1"/>
    <dgm:cxn modelId="{BCAC98D1-381C-40B3-A7A1-DF39918C5230}" type="presParOf" srcId="{C187F1D5-4331-454C-8DBA-C9E4CBB9FD93}" destId="{EB9FA7AC-6FD9-47F2-873D-0256A031C879}" srcOrd="3" destOrd="0" presId="urn:microsoft.com/office/officeart/2005/8/layout/cycle1"/>
    <dgm:cxn modelId="{C06EE0E9-5185-47A6-9508-E25E4AD8A514}" type="presParOf" srcId="{C187F1D5-4331-454C-8DBA-C9E4CBB9FD93}" destId="{409F75D1-3B08-4649-95F0-7FA5EF1AB191}" srcOrd="4" destOrd="0" presId="urn:microsoft.com/office/officeart/2005/8/layout/cycle1"/>
    <dgm:cxn modelId="{B45BAC5E-D6CA-453F-8479-120FBBD04EA7}" type="presParOf" srcId="{C187F1D5-4331-454C-8DBA-C9E4CBB9FD93}" destId="{497F98C7-685A-4943-8256-48619A3DD0AF}" srcOrd="5" destOrd="0" presId="urn:microsoft.com/office/officeart/2005/8/layout/cycle1"/>
    <dgm:cxn modelId="{15513D5F-B52A-4A5C-8267-9580A843EFB7}" type="presParOf" srcId="{C187F1D5-4331-454C-8DBA-C9E4CBB9FD93}" destId="{8B23F11E-083C-4B4B-9FEA-60EAF416A886}" srcOrd="6" destOrd="0" presId="urn:microsoft.com/office/officeart/2005/8/layout/cycle1"/>
    <dgm:cxn modelId="{95C3C105-9F5D-412D-B1E2-2470A086A0BD}" type="presParOf" srcId="{C187F1D5-4331-454C-8DBA-C9E4CBB9FD93}" destId="{18598B04-0693-4599-B107-311A6B811705}" srcOrd="7" destOrd="0" presId="urn:microsoft.com/office/officeart/2005/8/layout/cycle1"/>
    <dgm:cxn modelId="{2B3EF38D-C5FA-4775-B942-A4C1DCD0FE4A}" type="presParOf" srcId="{C187F1D5-4331-454C-8DBA-C9E4CBB9FD93}" destId="{6CB457F3-E549-42FA-8202-1CE8DB05BCA6}" srcOrd="8" destOrd="0" presId="urn:microsoft.com/office/officeart/2005/8/layout/cycle1"/>
  </dgm:cxnLst>
  <dgm:bg/>
  <dgm:whole>
    <a:ln>
      <a:solidFill>
        <a:schemeClr val="tx1"/>
      </a:solidFill>
    </a:ln>
  </dgm:whole>
  <dgm:extLst>
    <a:ext uri="http://schemas.microsoft.com/office/drawing/2008/diagram">
      <dsp:dataModelExt xmlns:dsp="http://schemas.microsoft.com/office/drawing/2008/diagram" relId="rId6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BAE54B4-AC66-4276-9B2D-FA2735207518}" type="doc">
      <dgm:prSet loTypeId="urn:microsoft.com/office/officeart/2005/8/layout/radial3" loCatId="relationship" qsTypeId="urn:microsoft.com/office/officeart/2005/8/quickstyle/simple1" qsCatId="simple" csTypeId="urn:microsoft.com/office/officeart/2005/8/colors/accent1_2" csCatId="accent1" phldr="1"/>
      <dgm:spPr/>
      <dgm:t>
        <a:bodyPr/>
        <a:lstStyle/>
        <a:p>
          <a:endParaRPr lang="fr-FR"/>
        </a:p>
      </dgm:t>
    </dgm:pt>
    <dgm:pt modelId="{5C58F420-552A-4A9F-B95E-48C785376533}">
      <dgm:prSet phldrT="[Texte]" custT="1">
        <dgm:style>
          <a:lnRef idx="1">
            <a:schemeClr val="accent1"/>
          </a:lnRef>
          <a:fillRef idx="2">
            <a:schemeClr val="accent1"/>
          </a:fillRef>
          <a:effectRef idx="1">
            <a:schemeClr val="accent1"/>
          </a:effectRef>
          <a:fontRef idx="minor">
            <a:schemeClr val="dk1"/>
          </a:fontRef>
        </dgm:style>
      </dgm:prSet>
      <dgm:spPr>
        <a:ln>
          <a:solidFill>
            <a:schemeClr val="bg1">
              <a:lumMod val="50000"/>
            </a:schemeClr>
          </a:solidFill>
        </a:ln>
      </dgm:spPr>
      <dgm:t>
        <a:bodyPr/>
        <a:lstStyle/>
        <a:p>
          <a:pPr algn="ctr" rtl="1"/>
          <a:r>
            <a:rPr lang="ar-DZ" sz="1200">
              <a:latin typeface="Simplified Arabic" panose="02020603050405020304" pitchFamily="18" charset="-78"/>
              <a:cs typeface="Simplified Arabic" panose="02020603050405020304" pitchFamily="18" charset="-78"/>
            </a:rPr>
            <a:t>سمات المرونة المكانية</a:t>
          </a:r>
          <a:endParaRPr lang="fr-FR" sz="1200">
            <a:latin typeface="Simplified Arabic" panose="02020603050405020304" pitchFamily="18" charset="-78"/>
            <a:cs typeface="Simplified Arabic" panose="02020603050405020304" pitchFamily="18" charset="-78"/>
          </a:endParaRPr>
        </a:p>
      </dgm:t>
    </dgm:pt>
    <dgm:pt modelId="{DC26E5D6-9D20-43D9-A960-BBA58CC04771}" type="parTrans" cxnId="{8C23D16A-8AE2-4246-9948-CD8E63EDC131}">
      <dgm:prSet/>
      <dgm:spPr/>
      <dgm:t>
        <a:bodyPr/>
        <a:lstStyle/>
        <a:p>
          <a:pPr algn="ctr"/>
          <a:endParaRPr lang="fr-FR"/>
        </a:p>
      </dgm:t>
    </dgm:pt>
    <dgm:pt modelId="{9ACC18ED-7DAF-4505-9607-024B5213402C}" type="sibTrans" cxnId="{8C23D16A-8AE2-4246-9948-CD8E63EDC131}">
      <dgm:prSet/>
      <dgm:spPr/>
      <dgm:t>
        <a:bodyPr/>
        <a:lstStyle/>
        <a:p>
          <a:pPr algn="ctr"/>
          <a:endParaRPr lang="fr-FR"/>
        </a:p>
      </dgm:t>
    </dgm:pt>
    <dgm:pt modelId="{0699965D-59FC-4784-8D6C-67F520BD4CEB}">
      <dgm:prSet phldrT="[Texte]" custT="1">
        <dgm:style>
          <a:lnRef idx="1">
            <a:schemeClr val="accent1"/>
          </a:lnRef>
          <a:fillRef idx="2">
            <a:schemeClr val="accent1"/>
          </a:fillRef>
          <a:effectRef idx="1">
            <a:schemeClr val="accent1"/>
          </a:effectRef>
          <a:fontRef idx="minor">
            <a:schemeClr val="dk1"/>
          </a:fontRef>
        </dgm:style>
      </dgm:prSet>
      <dgm:spPr>
        <a:ln>
          <a:solidFill>
            <a:schemeClr val="bg1">
              <a:lumMod val="50000"/>
            </a:schemeClr>
          </a:solidFill>
        </a:ln>
      </dgm:spPr>
      <dgm:t>
        <a:bodyPr/>
        <a:lstStyle/>
        <a:p>
          <a:pPr algn="ctr" rtl="1"/>
          <a:r>
            <a:rPr lang="ar-DZ" sz="1200">
              <a:latin typeface="Simplified Arabic" panose="02020603050405020304" pitchFamily="18" charset="-78"/>
              <a:cs typeface="Simplified Arabic" panose="02020603050405020304" pitchFamily="18" charset="-78"/>
            </a:rPr>
            <a:t>الكثافة</a:t>
          </a:r>
          <a:endParaRPr lang="fr-FR" sz="2000">
            <a:latin typeface="Simplified Arabic" panose="02020603050405020304" pitchFamily="18" charset="-78"/>
            <a:cs typeface="Simplified Arabic" panose="02020603050405020304" pitchFamily="18" charset="-78"/>
          </a:endParaRPr>
        </a:p>
      </dgm:t>
    </dgm:pt>
    <dgm:pt modelId="{4E607C7F-6A65-4904-934B-112ACDB014EA}" type="parTrans" cxnId="{EE7558B4-091F-4C98-8431-4C7E808FF725}">
      <dgm:prSet/>
      <dgm:spPr/>
      <dgm:t>
        <a:bodyPr/>
        <a:lstStyle/>
        <a:p>
          <a:pPr algn="ctr"/>
          <a:endParaRPr lang="fr-FR"/>
        </a:p>
      </dgm:t>
    </dgm:pt>
    <dgm:pt modelId="{8D48A20D-6CF4-45BA-881B-13E880A99C1A}" type="sibTrans" cxnId="{EE7558B4-091F-4C98-8431-4C7E808FF725}">
      <dgm:prSet/>
      <dgm:spPr/>
      <dgm:t>
        <a:bodyPr/>
        <a:lstStyle/>
        <a:p>
          <a:pPr algn="ctr"/>
          <a:endParaRPr lang="fr-FR"/>
        </a:p>
      </dgm:t>
    </dgm:pt>
    <dgm:pt modelId="{B2190CA5-E4D1-4640-814C-AE7610DE269C}">
      <dgm:prSet phldrT="[Texte]" custT="1">
        <dgm:style>
          <a:lnRef idx="1">
            <a:schemeClr val="accent1"/>
          </a:lnRef>
          <a:fillRef idx="2">
            <a:schemeClr val="accent1"/>
          </a:fillRef>
          <a:effectRef idx="1">
            <a:schemeClr val="accent1"/>
          </a:effectRef>
          <a:fontRef idx="minor">
            <a:schemeClr val="dk1"/>
          </a:fontRef>
        </dgm:style>
      </dgm:prSet>
      <dgm:spPr>
        <a:ln>
          <a:solidFill>
            <a:schemeClr val="bg1">
              <a:lumMod val="50000"/>
            </a:schemeClr>
          </a:solidFill>
        </a:ln>
      </dgm:spPr>
      <dgm:t>
        <a:bodyPr/>
        <a:lstStyle/>
        <a:p>
          <a:pPr algn="ctr" rtl="1"/>
          <a:r>
            <a:rPr lang="ar-DZ" sz="1200">
              <a:latin typeface="Simplified Arabic" panose="02020603050405020304" pitchFamily="18" charset="-78"/>
              <a:cs typeface="Simplified Arabic" panose="02020603050405020304" pitchFamily="18" charset="-78"/>
            </a:rPr>
            <a:t>التنوع</a:t>
          </a:r>
          <a:endParaRPr lang="fr-FR" sz="2300">
            <a:latin typeface="Simplified Arabic" panose="02020603050405020304" pitchFamily="18" charset="-78"/>
            <a:cs typeface="Simplified Arabic" panose="02020603050405020304" pitchFamily="18" charset="-78"/>
          </a:endParaRPr>
        </a:p>
      </dgm:t>
    </dgm:pt>
    <dgm:pt modelId="{DD968A49-56B4-4B6B-81B8-7969BA08D4B6}" type="parTrans" cxnId="{57ADCAFF-6898-46F1-8941-2CCAD45903AE}">
      <dgm:prSet/>
      <dgm:spPr/>
      <dgm:t>
        <a:bodyPr/>
        <a:lstStyle/>
        <a:p>
          <a:pPr algn="ctr"/>
          <a:endParaRPr lang="fr-FR"/>
        </a:p>
      </dgm:t>
    </dgm:pt>
    <dgm:pt modelId="{703A6750-35AB-4D47-9C55-A0728BAC920F}" type="sibTrans" cxnId="{57ADCAFF-6898-46F1-8941-2CCAD45903AE}">
      <dgm:prSet/>
      <dgm:spPr/>
      <dgm:t>
        <a:bodyPr/>
        <a:lstStyle/>
        <a:p>
          <a:pPr algn="ctr"/>
          <a:endParaRPr lang="fr-FR"/>
        </a:p>
      </dgm:t>
    </dgm:pt>
    <dgm:pt modelId="{EF522112-C0A2-45F5-960D-90406A3E644A}">
      <dgm:prSet phldrT="[Texte]" custT="1">
        <dgm:style>
          <a:lnRef idx="1">
            <a:schemeClr val="accent1"/>
          </a:lnRef>
          <a:fillRef idx="2">
            <a:schemeClr val="accent1"/>
          </a:fillRef>
          <a:effectRef idx="1">
            <a:schemeClr val="accent1"/>
          </a:effectRef>
          <a:fontRef idx="minor">
            <a:schemeClr val="dk1"/>
          </a:fontRef>
        </dgm:style>
      </dgm:prSet>
      <dgm:spPr>
        <a:ln>
          <a:solidFill>
            <a:schemeClr val="bg1">
              <a:lumMod val="50000"/>
            </a:schemeClr>
          </a:solidFill>
        </a:ln>
      </dgm:spPr>
      <dgm:t>
        <a:bodyPr/>
        <a:lstStyle/>
        <a:p>
          <a:pPr algn="ctr" rtl="1"/>
          <a:r>
            <a:rPr lang="ar-DZ" sz="1200">
              <a:latin typeface="Simplified Arabic" panose="02020603050405020304" pitchFamily="18" charset="-78"/>
              <a:cs typeface="Simplified Arabic" panose="02020603050405020304" pitchFamily="18" charset="-78"/>
            </a:rPr>
            <a:t>الاتصال</a:t>
          </a:r>
          <a:endParaRPr lang="fr-FR" sz="1300">
            <a:latin typeface="Simplified Arabic" panose="02020603050405020304" pitchFamily="18" charset="-78"/>
            <a:cs typeface="Simplified Arabic" panose="02020603050405020304" pitchFamily="18" charset="-78"/>
          </a:endParaRPr>
        </a:p>
      </dgm:t>
    </dgm:pt>
    <dgm:pt modelId="{0B591845-E8D1-4898-AE0B-B7E41A94DF21}" type="parTrans" cxnId="{61DD7BBD-67FC-4882-B965-CA3F785F31BF}">
      <dgm:prSet/>
      <dgm:spPr/>
      <dgm:t>
        <a:bodyPr/>
        <a:lstStyle/>
        <a:p>
          <a:pPr algn="ctr"/>
          <a:endParaRPr lang="fr-FR"/>
        </a:p>
      </dgm:t>
    </dgm:pt>
    <dgm:pt modelId="{3C3A332B-40BD-4BD7-9FF1-EB10DC3F339A}" type="sibTrans" cxnId="{61DD7BBD-67FC-4882-B965-CA3F785F31BF}">
      <dgm:prSet/>
      <dgm:spPr/>
      <dgm:t>
        <a:bodyPr/>
        <a:lstStyle/>
        <a:p>
          <a:pPr algn="ctr"/>
          <a:endParaRPr lang="fr-FR"/>
        </a:p>
      </dgm:t>
    </dgm:pt>
    <dgm:pt modelId="{70F16642-D333-440A-B11C-5D326F3E8A81}">
      <dgm:prSet phldrT="[Texte]" custT="1">
        <dgm:style>
          <a:lnRef idx="1">
            <a:schemeClr val="accent1"/>
          </a:lnRef>
          <a:fillRef idx="2">
            <a:schemeClr val="accent1"/>
          </a:fillRef>
          <a:effectRef idx="1">
            <a:schemeClr val="accent1"/>
          </a:effectRef>
          <a:fontRef idx="minor">
            <a:schemeClr val="dk1"/>
          </a:fontRef>
        </dgm:style>
      </dgm:prSet>
      <dgm:spPr>
        <a:ln>
          <a:solidFill>
            <a:schemeClr val="bg1">
              <a:lumMod val="50000"/>
            </a:schemeClr>
          </a:solidFill>
        </a:ln>
      </dgm:spPr>
      <dgm:t>
        <a:bodyPr/>
        <a:lstStyle/>
        <a:p>
          <a:pPr algn="ctr"/>
          <a:r>
            <a:rPr lang="ar-DZ" sz="1200">
              <a:latin typeface="Simplified Arabic" panose="02020603050405020304" pitchFamily="18" charset="-78"/>
              <a:cs typeface="Simplified Arabic" panose="02020603050405020304" pitchFamily="18" charset="-78"/>
            </a:rPr>
            <a:t>التكرار</a:t>
          </a:r>
          <a:endParaRPr lang="fr-FR" sz="1500">
            <a:latin typeface="Simplified Arabic" panose="02020603050405020304" pitchFamily="18" charset="-78"/>
            <a:cs typeface="Simplified Arabic" panose="02020603050405020304" pitchFamily="18" charset="-78"/>
          </a:endParaRPr>
        </a:p>
      </dgm:t>
    </dgm:pt>
    <dgm:pt modelId="{0521F18A-C4EC-4203-9EEC-B4279706BA1E}" type="parTrans" cxnId="{9ABCE98F-D6B1-416F-BBA8-22933E51E5C7}">
      <dgm:prSet/>
      <dgm:spPr/>
      <dgm:t>
        <a:bodyPr/>
        <a:lstStyle/>
        <a:p>
          <a:pPr algn="ctr"/>
          <a:endParaRPr lang="fr-FR"/>
        </a:p>
      </dgm:t>
    </dgm:pt>
    <dgm:pt modelId="{8C9C73CB-E36F-4CCD-A7D8-90E3974310C6}" type="sibTrans" cxnId="{9ABCE98F-D6B1-416F-BBA8-22933E51E5C7}">
      <dgm:prSet/>
      <dgm:spPr/>
      <dgm:t>
        <a:bodyPr/>
        <a:lstStyle/>
        <a:p>
          <a:pPr algn="ctr"/>
          <a:endParaRPr lang="fr-FR"/>
        </a:p>
      </dgm:t>
    </dgm:pt>
    <dgm:pt modelId="{AF8D9D56-E75A-4423-B5D8-CC9F83CFCCFD}">
      <dgm:prSet phldrT="[Texte]" custT="1">
        <dgm:style>
          <a:lnRef idx="1">
            <a:schemeClr val="accent6"/>
          </a:lnRef>
          <a:fillRef idx="2">
            <a:schemeClr val="accent6"/>
          </a:fillRef>
          <a:effectRef idx="1">
            <a:schemeClr val="accent6"/>
          </a:effectRef>
          <a:fontRef idx="minor">
            <a:schemeClr val="dk1"/>
          </a:fontRef>
        </dgm:style>
      </dgm:prSet>
      <dgm:spPr>
        <a:ln>
          <a:solidFill>
            <a:schemeClr val="bg1">
              <a:lumMod val="65000"/>
            </a:schemeClr>
          </a:solidFill>
        </a:ln>
      </dgm:spPr>
      <dgm:t>
        <a:bodyPr/>
        <a:lstStyle/>
        <a:p>
          <a:pPr algn="ctr" rtl="1"/>
          <a:r>
            <a:rPr lang="ar-DZ" sz="1200">
              <a:latin typeface="Simplified Arabic" panose="02020603050405020304" pitchFamily="18" charset="-78"/>
              <a:cs typeface="Simplified Arabic" panose="02020603050405020304" pitchFamily="18" charset="-78"/>
            </a:rPr>
            <a:t>المرافق العامة</a:t>
          </a:r>
          <a:endParaRPr lang="fr-FR" sz="1200">
            <a:latin typeface="Simplified Arabic" panose="02020603050405020304" pitchFamily="18" charset="-78"/>
            <a:cs typeface="Simplified Arabic" panose="02020603050405020304" pitchFamily="18" charset="-78"/>
          </a:endParaRPr>
        </a:p>
      </dgm:t>
    </dgm:pt>
    <dgm:pt modelId="{233CC733-1BA2-4D94-954A-9DE3DC868CFD}" type="parTrans" cxnId="{29B73B15-DE5A-4F6E-B345-61E672C9CBA0}">
      <dgm:prSet/>
      <dgm:spPr/>
      <dgm:t>
        <a:bodyPr/>
        <a:lstStyle/>
        <a:p>
          <a:pPr algn="ctr"/>
          <a:endParaRPr lang="fr-FR"/>
        </a:p>
      </dgm:t>
    </dgm:pt>
    <dgm:pt modelId="{80F6339E-5BD2-4DC5-9E00-13169D220E81}" type="sibTrans" cxnId="{29B73B15-DE5A-4F6E-B345-61E672C9CBA0}">
      <dgm:prSet/>
      <dgm:spPr/>
      <dgm:t>
        <a:bodyPr/>
        <a:lstStyle/>
        <a:p>
          <a:pPr algn="ctr"/>
          <a:endParaRPr lang="fr-FR"/>
        </a:p>
      </dgm:t>
    </dgm:pt>
    <dgm:pt modelId="{7D99B950-14CE-417E-8AE9-3A720FBCDCE2}">
      <dgm:prSet phldrT="[Texte]" custT="1">
        <dgm:style>
          <a:lnRef idx="1">
            <a:schemeClr val="accent6"/>
          </a:lnRef>
          <a:fillRef idx="2">
            <a:schemeClr val="accent6"/>
          </a:fillRef>
          <a:effectRef idx="1">
            <a:schemeClr val="accent6"/>
          </a:effectRef>
          <a:fontRef idx="minor">
            <a:schemeClr val="dk1"/>
          </a:fontRef>
        </dgm:style>
      </dgm:prSet>
      <dgm:spPr>
        <a:ln>
          <a:solidFill>
            <a:schemeClr val="bg1">
              <a:lumMod val="65000"/>
            </a:schemeClr>
          </a:solidFill>
        </a:ln>
      </dgm:spPr>
      <dgm:t>
        <a:bodyPr/>
        <a:lstStyle/>
        <a:p>
          <a:pPr algn="ctr" rtl="1"/>
          <a:endParaRPr lang="ar-DZ" sz="1200">
            <a:latin typeface="Simplified Arabic" panose="02020603050405020304" pitchFamily="18" charset="-78"/>
            <a:cs typeface="Simplified Arabic" panose="02020603050405020304" pitchFamily="18" charset="-78"/>
          </a:endParaRPr>
        </a:p>
        <a:p>
          <a:pPr algn="ctr" rtl="1"/>
          <a:r>
            <a:rPr lang="ar-DZ" sz="1200">
              <a:latin typeface="Simplified Arabic" panose="02020603050405020304" pitchFamily="18" charset="-78"/>
              <a:cs typeface="Simplified Arabic" panose="02020603050405020304" pitchFamily="18" charset="-78"/>
            </a:rPr>
            <a:t>تقاطعات شبكة الطرق</a:t>
          </a:r>
          <a:endParaRPr lang="fr-FR" sz="1200">
            <a:latin typeface="Simplified Arabic" panose="02020603050405020304" pitchFamily="18" charset="-78"/>
            <a:cs typeface="Simplified Arabic" panose="02020603050405020304" pitchFamily="18" charset="-78"/>
          </a:endParaRPr>
        </a:p>
        <a:p>
          <a:pPr algn="ctr" rtl="1"/>
          <a:endParaRPr lang="fr-FR" sz="1200">
            <a:latin typeface="Simplified Arabic" panose="02020603050405020304" pitchFamily="18" charset="-78"/>
            <a:cs typeface="Simplified Arabic" panose="02020603050405020304" pitchFamily="18" charset="-78"/>
          </a:endParaRPr>
        </a:p>
      </dgm:t>
    </dgm:pt>
    <dgm:pt modelId="{1ED9F081-23B9-42A7-94D3-A89F9DF8BE34}" type="parTrans" cxnId="{2F44A036-0794-45A1-B864-B8B967FC0BEE}">
      <dgm:prSet/>
      <dgm:spPr/>
      <dgm:t>
        <a:bodyPr/>
        <a:lstStyle/>
        <a:p>
          <a:pPr algn="ctr"/>
          <a:endParaRPr lang="fr-FR"/>
        </a:p>
      </dgm:t>
    </dgm:pt>
    <dgm:pt modelId="{FD34DF5B-DD27-4440-92C2-AF0C7B58718E}" type="sibTrans" cxnId="{2F44A036-0794-45A1-B864-B8B967FC0BEE}">
      <dgm:prSet/>
      <dgm:spPr/>
      <dgm:t>
        <a:bodyPr/>
        <a:lstStyle/>
        <a:p>
          <a:pPr algn="ctr"/>
          <a:endParaRPr lang="fr-FR"/>
        </a:p>
      </dgm:t>
    </dgm:pt>
    <dgm:pt modelId="{87940385-CFA0-4414-A86F-5D68125F3AA4}">
      <dgm:prSet phldrT="[Texte]" custT="1">
        <dgm:style>
          <a:lnRef idx="1">
            <a:schemeClr val="accent6"/>
          </a:lnRef>
          <a:fillRef idx="2">
            <a:schemeClr val="accent6"/>
          </a:fillRef>
          <a:effectRef idx="1">
            <a:schemeClr val="accent6"/>
          </a:effectRef>
          <a:fontRef idx="minor">
            <a:schemeClr val="dk1"/>
          </a:fontRef>
        </dgm:style>
      </dgm:prSet>
      <dgm:spPr>
        <a:ln>
          <a:solidFill>
            <a:schemeClr val="bg1">
              <a:lumMod val="65000"/>
            </a:schemeClr>
          </a:solidFill>
        </a:ln>
      </dgm:spPr>
      <dgm:t>
        <a:bodyPr/>
        <a:lstStyle/>
        <a:p>
          <a:pPr algn="ctr" rtl="1"/>
          <a:r>
            <a:rPr lang="ar-DZ" sz="1200">
              <a:latin typeface="Simplified Arabic" panose="02020603050405020304" pitchFamily="18" charset="-78"/>
              <a:cs typeface="Simplified Arabic" panose="02020603050405020304" pitchFamily="18" charset="-78"/>
            </a:rPr>
            <a:t>عمق الطرق</a:t>
          </a:r>
          <a:endParaRPr lang="fr-FR" sz="1200">
            <a:latin typeface="Simplified Arabic" panose="02020603050405020304" pitchFamily="18" charset="-78"/>
            <a:cs typeface="Simplified Arabic" panose="02020603050405020304" pitchFamily="18" charset="-78"/>
          </a:endParaRPr>
        </a:p>
      </dgm:t>
    </dgm:pt>
    <dgm:pt modelId="{F09D10AD-DFBD-41EB-B850-E459C50B3582}" type="parTrans" cxnId="{F581848C-3133-4DF0-BD98-9E15FFC7ADEF}">
      <dgm:prSet/>
      <dgm:spPr/>
      <dgm:t>
        <a:bodyPr/>
        <a:lstStyle/>
        <a:p>
          <a:pPr algn="ctr"/>
          <a:endParaRPr lang="fr-FR"/>
        </a:p>
      </dgm:t>
    </dgm:pt>
    <dgm:pt modelId="{9087D0F3-7999-4B27-AE0E-971AA06AECA5}" type="sibTrans" cxnId="{F581848C-3133-4DF0-BD98-9E15FFC7ADEF}">
      <dgm:prSet/>
      <dgm:spPr/>
      <dgm:t>
        <a:bodyPr/>
        <a:lstStyle/>
        <a:p>
          <a:pPr algn="ctr"/>
          <a:endParaRPr lang="fr-FR"/>
        </a:p>
      </dgm:t>
    </dgm:pt>
    <dgm:pt modelId="{0EAEC445-D964-4E11-8149-5A62EA240B30}">
      <dgm:prSet phldrT="[Texte]" custT="1">
        <dgm:style>
          <a:lnRef idx="1">
            <a:schemeClr val="accent6"/>
          </a:lnRef>
          <a:fillRef idx="2">
            <a:schemeClr val="accent6"/>
          </a:fillRef>
          <a:effectRef idx="1">
            <a:schemeClr val="accent6"/>
          </a:effectRef>
          <a:fontRef idx="minor">
            <a:schemeClr val="dk1"/>
          </a:fontRef>
        </dgm:style>
      </dgm:prSet>
      <dgm:spPr>
        <a:ln>
          <a:solidFill>
            <a:schemeClr val="bg1">
              <a:lumMod val="65000"/>
            </a:schemeClr>
          </a:solidFill>
        </a:ln>
      </dgm:spPr>
      <dgm:t>
        <a:bodyPr/>
        <a:lstStyle/>
        <a:p>
          <a:pPr algn="ctr" rtl="1"/>
          <a:r>
            <a:rPr lang="ar-DZ" sz="1200">
              <a:latin typeface="Simplified Arabic" panose="02020603050405020304" pitchFamily="18" charset="-78"/>
              <a:cs typeface="Simplified Arabic" panose="02020603050405020304" pitchFamily="18" charset="-78"/>
            </a:rPr>
            <a:t>*مخزون المسكن </a:t>
          </a:r>
        </a:p>
      </dgm:t>
    </dgm:pt>
    <dgm:pt modelId="{9A6147FF-0520-48BD-BEE2-F9CD8F7F81D5}" type="parTrans" cxnId="{BA9F0EDB-70AD-463E-9919-0D441B66FBDE}">
      <dgm:prSet/>
      <dgm:spPr/>
      <dgm:t>
        <a:bodyPr/>
        <a:lstStyle/>
        <a:p>
          <a:pPr algn="ctr"/>
          <a:endParaRPr lang="fr-FR"/>
        </a:p>
      </dgm:t>
    </dgm:pt>
    <dgm:pt modelId="{F93F3245-0571-4617-999D-49D6CA0FC9C4}" type="sibTrans" cxnId="{BA9F0EDB-70AD-463E-9919-0D441B66FBDE}">
      <dgm:prSet/>
      <dgm:spPr/>
      <dgm:t>
        <a:bodyPr/>
        <a:lstStyle/>
        <a:p>
          <a:pPr algn="ctr"/>
          <a:endParaRPr lang="fr-FR"/>
        </a:p>
      </dgm:t>
    </dgm:pt>
    <dgm:pt modelId="{F3D94E37-ACFA-403B-9F02-1F3200B4672E}" type="pres">
      <dgm:prSet presAssocID="{7BAE54B4-AC66-4276-9B2D-FA2735207518}" presName="composite" presStyleCnt="0">
        <dgm:presLayoutVars>
          <dgm:chMax val="1"/>
          <dgm:dir/>
          <dgm:resizeHandles val="exact"/>
        </dgm:presLayoutVars>
      </dgm:prSet>
      <dgm:spPr/>
      <dgm:t>
        <a:bodyPr/>
        <a:lstStyle/>
        <a:p>
          <a:endParaRPr lang="fr-FR"/>
        </a:p>
      </dgm:t>
    </dgm:pt>
    <dgm:pt modelId="{0148D4F7-9F91-4707-A76A-CB811D780C6C}" type="pres">
      <dgm:prSet presAssocID="{7BAE54B4-AC66-4276-9B2D-FA2735207518}" presName="radial" presStyleCnt="0">
        <dgm:presLayoutVars>
          <dgm:animLvl val="ctr"/>
        </dgm:presLayoutVars>
      </dgm:prSet>
      <dgm:spPr/>
      <dgm:t>
        <a:bodyPr/>
        <a:lstStyle/>
        <a:p>
          <a:endParaRPr lang="fr-FR"/>
        </a:p>
      </dgm:t>
    </dgm:pt>
    <dgm:pt modelId="{F0B86E32-0D98-41FC-8D58-D27A492946D4}" type="pres">
      <dgm:prSet presAssocID="{5C58F420-552A-4A9F-B95E-48C785376533}" presName="centerShape" presStyleLbl="vennNode1" presStyleIdx="0" presStyleCnt="9" custScaleX="69642" custScaleY="66261" custLinFactNeighborX="-1155" custLinFactNeighborY="-3437"/>
      <dgm:spPr/>
      <dgm:t>
        <a:bodyPr/>
        <a:lstStyle/>
        <a:p>
          <a:endParaRPr lang="fr-FR"/>
        </a:p>
      </dgm:t>
    </dgm:pt>
    <dgm:pt modelId="{A51737D9-DE0A-4234-A40D-C6A7AF3BC8CB}" type="pres">
      <dgm:prSet presAssocID="{0699965D-59FC-4784-8D6C-67F520BD4CEB}" presName="node" presStyleLbl="vennNode1" presStyleIdx="1" presStyleCnt="9" custScaleX="80352" custScaleY="76038" custRadScaleRad="71130" custRadScaleInc="188108">
        <dgm:presLayoutVars>
          <dgm:bulletEnabled val="1"/>
        </dgm:presLayoutVars>
      </dgm:prSet>
      <dgm:spPr/>
      <dgm:t>
        <a:bodyPr/>
        <a:lstStyle/>
        <a:p>
          <a:endParaRPr lang="fr-FR"/>
        </a:p>
      </dgm:t>
    </dgm:pt>
    <dgm:pt modelId="{CF004879-B8D2-4A35-ADD8-0351B76D1732}" type="pres">
      <dgm:prSet presAssocID="{B2190CA5-E4D1-4640-814C-AE7610DE269C}" presName="node" presStyleLbl="vennNode1" presStyleIdx="2" presStyleCnt="9" custScaleX="89698" custScaleY="74800" custRadScaleRad="71239" custRadScaleInc="-105319">
        <dgm:presLayoutVars>
          <dgm:bulletEnabled val="1"/>
        </dgm:presLayoutVars>
      </dgm:prSet>
      <dgm:spPr/>
      <dgm:t>
        <a:bodyPr/>
        <a:lstStyle/>
        <a:p>
          <a:endParaRPr lang="fr-FR"/>
        </a:p>
      </dgm:t>
    </dgm:pt>
    <dgm:pt modelId="{2D6062F3-8550-4E47-A62C-218C93394F97}" type="pres">
      <dgm:prSet presAssocID="{EF522112-C0A2-45F5-960D-90406A3E644A}" presName="node" presStyleLbl="vennNode1" presStyleIdx="3" presStyleCnt="9" custScaleX="88388" custScaleY="78998" custRadScaleRad="59630" custRadScaleInc="201935">
        <dgm:presLayoutVars>
          <dgm:bulletEnabled val="1"/>
        </dgm:presLayoutVars>
      </dgm:prSet>
      <dgm:spPr/>
      <dgm:t>
        <a:bodyPr/>
        <a:lstStyle/>
        <a:p>
          <a:endParaRPr lang="fr-FR"/>
        </a:p>
      </dgm:t>
    </dgm:pt>
    <dgm:pt modelId="{DFF34F14-A949-47C8-B32E-2698D4745070}" type="pres">
      <dgm:prSet presAssocID="{70F16642-D333-440A-B11C-5D326F3E8A81}" presName="node" presStyleLbl="vennNode1" presStyleIdx="4" presStyleCnt="9" custScaleX="80909" custScaleY="77799" custRadScaleRad="77174" custRadScaleInc="311129">
        <dgm:presLayoutVars>
          <dgm:bulletEnabled val="1"/>
        </dgm:presLayoutVars>
      </dgm:prSet>
      <dgm:spPr/>
      <dgm:t>
        <a:bodyPr/>
        <a:lstStyle/>
        <a:p>
          <a:endParaRPr lang="fr-FR"/>
        </a:p>
      </dgm:t>
    </dgm:pt>
    <dgm:pt modelId="{F55AE759-A8B6-4169-A59C-70295D4C19C3}" type="pres">
      <dgm:prSet presAssocID="{AF8D9D56-E75A-4423-B5D8-CC9F83CFCCFD}" presName="node" presStyleLbl="vennNode1" presStyleIdx="5" presStyleCnt="9" custScaleX="74667" custScaleY="51993" custRadScaleRad="115890" custRadScaleInc="397406">
        <dgm:presLayoutVars>
          <dgm:bulletEnabled val="1"/>
        </dgm:presLayoutVars>
      </dgm:prSet>
      <dgm:spPr>
        <a:prstGeom prst="rect">
          <a:avLst/>
        </a:prstGeom>
      </dgm:spPr>
      <dgm:t>
        <a:bodyPr/>
        <a:lstStyle/>
        <a:p>
          <a:endParaRPr lang="fr-FR"/>
        </a:p>
      </dgm:t>
    </dgm:pt>
    <dgm:pt modelId="{8A8CDDF6-C63F-47C1-A542-06E4F8369F8C}" type="pres">
      <dgm:prSet presAssocID="{7D99B950-14CE-417E-8AE9-3A720FBCDCE2}" presName="node" presStyleLbl="vennNode1" presStyleIdx="6" presStyleCnt="9" custScaleX="114654" custScaleY="62258" custRadScaleRad="146880" custRadScaleInc="105776">
        <dgm:presLayoutVars>
          <dgm:bulletEnabled val="1"/>
        </dgm:presLayoutVars>
      </dgm:prSet>
      <dgm:spPr>
        <a:prstGeom prst="rect">
          <a:avLst/>
        </a:prstGeom>
      </dgm:spPr>
      <dgm:t>
        <a:bodyPr/>
        <a:lstStyle/>
        <a:p>
          <a:endParaRPr lang="fr-FR"/>
        </a:p>
      </dgm:t>
    </dgm:pt>
    <dgm:pt modelId="{3BE0F788-8EE2-485D-AE45-ECF2C1382EB1}" type="pres">
      <dgm:prSet presAssocID="{87940385-CFA0-4414-A86F-5D68125F3AA4}" presName="node" presStyleLbl="vennNode1" presStyleIdx="7" presStyleCnt="9" custScaleX="81602" custScaleY="57042" custRadScaleRad="103867" custRadScaleInc="-199386">
        <dgm:presLayoutVars>
          <dgm:bulletEnabled val="1"/>
        </dgm:presLayoutVars>
      </dgm:prSet>
      <dgm:spPr>
        <a:prstGeom prst="rect">
          <a:avLst/>
        </a:prstGeom>
      </dgm:spPr>
      <dgm:t>
        <a:bodyPr/>
        <a:lstStyle/>
        <a:p>
          <a:endParaRPr lang="fr-FR"/>
        </a:p>
      </dgm:t>
    </dgm:pt>
    <dgm:pt modelId="{0553C873-B2B4-409D-8CD6-DBED47064CD1}" type="pres">
      <dgm:prSet presAssocID="{0EAEC445-D964-4E11-8149-5A62EA240B30}" presName="node" presStyleLbl="vennNode1" presStyleIdx="8" presStyleCnt="9" custScaleX="126755" custScaleY="61889" custRadScaleRad="144109" custRadScaleInc="294397">
        <dgm:presLayoutVars>
          <dgm:bulletEnabled val="1"/>
        </dgm:presLayoutVars>
      </dgm:prSet>
      <dgm:spPr>
        <a:prstGeom prst="rect">
          <a:avLst/>
        </a:prstGeom>
      </dgm:spPr>
      <dgm:t>
        <a:bodyPr/>
        <a:lstStyle/>
        <a:p>
          <a:endParaRPr lang="fr-FR"/>
        </a:p>
      </dgm:t>
    </dgm:pt>
  </dgm:ptLst>
  <dgm:cxnLst>
    <dgm:cxn modelId="{8758BEF9-596F-4120-B111-3D975B432C6F}" type="presOf" srcId="{7BAE54B4-AC66-4276-9B2D-FA2735207518}" destId="{F3D94E37-ACFA-403B-9F02-1F3200B4672E}" srcOrd="0" destOrd="0" presId="urn:microsoft.com/office/officeart/2005/8/layout/radial3"/>
    <dgm:cxn modelId="{BAE32B45-DEB4-487E-9517-64F9CC5A4BDE}" type="presOf" srcId="{B2190CA5-E4D1-4640-814C-AE7610DE269C}" destId="{CF004879-B8D2-4A35-ADD8-0351B76D1732}" srcOrd="0" destOrd="0" presId="urn:microsoft.com/office/officeart/2005/8/layout/radial3"/>
    <dgm:cxn modelId="{DB827285-6DF4-48F9-A2AD-200BF606AA9A}" type="presOf" srcId="{70F16642-D333-440A-B11C-5D326F3E8A81}" destId="{DFF34F14-A949-47C8-B32E-2698D4745070}" srcOrd="0" destOrd="0" presId="urn:microsoft.com/office/officeart/2005/8/layout/radial3"/>
    <dgm:cxn modelId="{29B73B15-DE5A-4F6E-B345-61E672C9CBA0}" srcId="{5C58F420-552A-4A9F-B95E-48C785376533}" destId="{AF8D9D56-E75A-4423-B5D8-CC9F83CFCCFD}" srcOrd="4" destOrd="0" parTransId="{233CC733-1BA2-4D94-954A-9DE3DC868CFD}" sibTransId="{80F6339E-5BD2-4DC5-9E00-13169D220E81}"/>
    <dgm:cxn modelId="{61DD7BBD-67FC-4882-B965-CA3F785F31BF}" srcId="{5C58F420-552A-4A9F-B95E-48C785376533}" destId="{EF522112-C0A2-45F5-960D-90406A3E644A}" srcOrd="2" destOrd="0" parTransId="{0B591845-E8D1-4898-AE0B-B7E41A94DF21}" sibTransId="{3C3A332B-40BD-4BD7-9FF1-EB10DC3F339A}"/>
    <dgm:cxn modelId="{9ABCE98F-D6B1-416F-BBA8-22933E51E5C7}" srcId="{5C58F420-552A-4A9F-B95E-48C785376533}" destId="{70F16642-D333-440A-B11C-5D326F3E8A81}" srcOrd="3" destOrd="0" parTransId="{0521F18A-C4EC-4203-9EEC-B4279706BA1E}" sibTransId="{8C9C73CB-E36F-4CCD-A7D8-90E3974310C6}"/>
    <dgm:cxn modelId="{3DE1DBAA-21D7-431E-8BE6-E1CAB905B20F}" type="presOf" srcId="{7D99B950-14CE-417E-8AE9-3A720FBCDCE2}" destId="{8A8CDDF6-C63F-47C1-A542-06E4F8369F8C}" srcOrd="0" destOrd="0" presId="urn:microsoft.com/office/officeart/2005/8/layout/radial3"/>
    <dgm:cxn modelId="{2F44A036-0794-45A1-B864-B8B967FC0BEE}" srcId="{5C58F420-552A-4A9F-B95E-48C785376533}" destId="{7D99B950-14CE-417E-8AE9-3A720FBCDCE2}" srcOrd="5" destOrd="0" parTransId="{1ED9F081-23B9-42A7-94D3-A89F9DF8BE34}" sibTransId="{FD34DF5B-DD27-4440-92C2-AF0C7B58718E}"/>
    <dgm:cxn modelId="{57ADCAFF-6898-46F1-8941-2CCAD45903AE}" srcId="{5C58F420-552A-4A9F-B95E-48C785376533}" destId="{B2190CA5-E4D1-4640-814C-AE7610DE269C}" srcOrd="1" destOrd="0" parTransId="{DD968A49-56B4-4B6B-81B8-7969BA08D4B6}" sibTransId="{703A6750-35AB-4D47-9C55-A0728BAC920F}"/>
    <dgm:cxn modelId="{F581848C-3133-4DF0-BD98-9E15FFC7ADEF}" srcId="{5C58F420-552A-4A9F-B95E-48C785376533}" destId="{87940385-CFA0-4414-A86F-5D68125F3AA4}" srcOrd="6" destOrd="0" parTransId="{F09D10AD-DFBD-41EB-B850-E459C50B3582}" sibTransId="{9087D0F3-7999-4B27-AE0E-971AA06AECA5}"/>
    <dgm:cxn modelId="{CD0AAAA0-8D27-4383-A369-72D4A76435E7}" type="presOf" srcId="{AF8D9D56-E75A-4423-B5D8-CC9F83CFCCFD}" destId="{F55AE759-A8B6-4169-A59C-70295D4C19C3}" srcOrd="0" destOrd="0" presId="urn:microsoft.com/office/officeart/2005/8/layout/radial3"/>
    <dgm:cxn modelId="{BA9F0EDB-70AD-463E-9919-0D441B66FBDE}" srcId="{5C58F420-552A-4A9F-B95E-48C785376533}" destId="{0EAEC445-D964-4E11-8149-5A62EA240B30}" srcOrd="7" destOrd="0" parTransId="{9A6147FF-0520-48BD-BEE2-F9CD8F7F81D5}" sibTransId="{F93F3245-0571-4617-999D-49D6CA0FC9C4}"/>
    <dgm:cxn modelId="{EE7558B4-091F-4C98-8431-4C7E808FF725}" srcId="{5C58F420-552A-4A9F-B95E-48C785376533}" destId="{0699965D-59FC-4784-8D6C-67F520BD4CEB}" srcOrd="0" destOrd="0" parTransId="{4E607C7F-6A65-4904-934B-112ACDB014EA}" sibTransId="{8D48A20D-6CF4-45BA-881B-13E880A99C1A}"/>
    <dgm:cxn modelId="{B02A497F-7F48-4BC7-9F62-160D98AB3BE9}" type="presOf" srcId="{5C58F420-552A-4A9F-B95E-48C785376533}" destId="{F0B86E32-0D98-41FC-8D58-D27A492946D4}" srcOrd="0" destOrd="0" presId="urn:microsoft.com/office/officeart/2005/8/layout/radial3"/>
    <dgm:cxn modelId="{FC97457B-F900-4262-9A04-96C8CC385AD7}" type="presOf" srcId="{87940385-CFA0-4414-A86F-5D68125F3AA4}" destId="{3BE0F788-8EE2-485D-AE45-ECF2C1382EB1}" srcOrd="0" destOrd="0" presId="urn:microsoft.com/office/officeart/2005/8/layout/radial3"/>
    <dgm:cxn modelId="{6A048DF9-D537-4C41-93CC-E947AE33B627}" type="presOf" srcId="{0699965D-59FC-4784-8D6C-67F520BD4CEB}" destId="{A51737D9-DE0A-4234-A40D-C6A7AF3BC8CB}" srcOrd="0" destOrd="0" presId="urn:microsoft.com/office/officeart/2005/8/layout/radial3"/>
    <dgm:cxn modelId="{135B0A14-7DCF-48C5-B973-8E78ABF9DEC1}" type="presOf" srcId="{EF522112-C0A2-45F5-960D-90406A3E644A}" destId="{2D6062F3-8550-4E47-A62C-218C93394F97}" srcOrd="0" destOrd="0" presId="urn:microsoft.com/office/officeart/2005/8/layout/radial3"/>
    <dgm:cxn modelId="{8C23D16A-8AE2-4246-9948-CD8E63EDC131}" srcId="{7BAE54B4-AC66-4276-9B2D-FA2735207518}" destId="{5C58F420-552A-4A9F-B95E-48C785376533}" srcOrd="0" destOrd="0" parTransId="{DC26E5D6-9D20-43D9-A960-BBA58CC04771}" sibTransId="{9ACC18ED-7DAF-4505-9607-024B5213402C}"/>
    <dgm:cxn modelId="{6C8922FE-F862-4EC4-83F1-59728DD3ABDE}" type="presOf" srcId="{0EAEC445-D964-4E11-8149-5A62EA240B30}" destId="{0553C873-B2B4-409D-8CD6-DBED47064CD1}" srcOrd="0" destOrd="0" presId="urn:microsoft.com/office/officeart/2005/8/layout/radial3"/>
    <dgm:cxn modelId="{FAB36D22-F316-4D29-B9F1-826015737348}" type="presParOf" srcId="{F3D94E37-ACFA-403B-9F02-1F3200B4672E}" destId="{0148D4F7-9F91-4707-A76A-CB811D780C6C}" srcOrd="0" destOrd="0" presId="urn:microsoft.com/office/officeart/2005/8/layout/radial3"/>
    <dgm:cxn modelId="{B918C1F1-808F-410B-A268-BF90FB7C611B}" type="presParOf" srcId="{0148D4F7-9F91-4707-A76A-CB811D780C6C}" destId="{F0B86E32-0D98-41FC-8D58-D27A492946D4}" srcOrd="0" destOrd="0" presId="urn:microsoft.com/office/officeart/2005/8/layout/radial3"/>
    <dgm:cxn modelId="{92E05ADF-2DEC-478B-BB96-622CBE03E790}" type="presParOf" srcId="{0148D4F7-9F91-4707-A76A-CB811D780C6C}" destId="{A51737D9-DE0A-4234-A40D-C6A7AF3BC8CB}" srcOrd="1" destOrd="0" presId="urn:microsoft.com/office/officeart/2005/8/layout/radial3"/>
    <dgm:cxn modelId="{EB80BCAD-3432-45B8-947A-09AB7547E3E3}" type="presParOf" srcId="{0148D4F7-9F91-4707-A76A-CB811D780C6C}" destId="{CF004879-B8D2-4A35-ADD8-0351B76D1732}" srcOrd="2" destOrd="0" presId="urn:microsoft.com/office/officeart/2005/8/layout/radial3"/>
    <dgm:cxn modelId="{5F5106E6-6076-4E7E-AD74-5B946C18DF78}" type="presParOf" srcId="{0148D4F7-9F91-4707-A76A-CB811D780C6C}" destId="{2D6062F3-8550-4E47-A62C-218C93394F97}" srcOrd="3" destOrd="0" presId="urn:microsoft.com/office/officeart/2005/8/layout/radial3"/>
    <dgm:cxn modelId="{3F9DC4CC-3DEB-4087-B4BF-47E6CB09C6B9}" type="presParOf" srcId="{0148D4F7-9F91-4707-A76A-CB811D780C6C}" destId="{DFF34F14-A949-47C8-B32E-2698D4745070}" srcOrd="4" destOrd="0" presId="urn:microsoft.com/office/officeart/2005/8/layout/radial3"/>
    <dgm:cxn modelId="{92FE10F2-D8F0-474A-8A49-97293B5C2B92}" type="presParOf" srcId="{0148D4F7-9F91-4707-A76A-CB811D780C6C}" destId="{F55AE759-A8B6-4169-A59C-70295D4C19C3}" srcOrd="5" destOrd="0" presId="urn:microsoft.com/office/officeart/2005/8/layout/radial3"/>
    <dgm:cxn modelId="{2456EF7D-F260-46D2-89A4-BB4E7D24518A}" type="presParOf" srcId="{0148D4F7-9F91-4707-A76A-CB811D780C6C}" destId="{8A8CDDF6-C63F-47C1-A542-06E4F8369F8C}" srcOrd="6" destOrd="0" presId="urn:microsoft.com/office/officeart/2005/8/layout/radial3"/>
    <dgm:cxn modelId="{35CDA13C-90D8-473D-9326-11C9C2BD8712}" type="presParOf" srcId="{0148D4F7-9F91-4707-A76A-CB811D780C6C}" destId="{3BE0F788-8EE2-485D-AE45-ECF2C1382EB1}" srcOrd="7" destOrd="0" presId="urn:microsoft.com/office/officeart/2005/8/layout/radial3"/>
    <dgm:cxn modelId="{7407F035-B46D-4EA2-83B0-6AFC4C9A9B9B}" type="presParOf" srcId="{0148D4F7-9F91-4707-A76A-CB811D780C6C}" destId="{0553C873-B2B4-409D-8CD6-DBED47064CD1}" srcOrd="8" destOrd="0" presId="urn:microsoft.com/office/officeart/2005/8/layout/radial3"/>
  </dgm:cxnLst>
  <dgm:bg/>
  <dgm:whole>
    <a:ln>
      <a:solidFill>
        <a:schemeClr val="tx1"/>
      </a:solidFill>
    </a:ln>
  </dgm:whole>
  <dgm:extLst>
    <a:ext uri="http://schemas.microsoft.com/office/drawing/2008/diagram">
      <dsp:dataModelExt xmlns:dsp="http://schemas.microsoft.com/office/drawing/2008/diagram" relId="rId7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D8EDBD7-BC62-43C6-B68C-6906DECA67A6}" type="doc">
      <dgm:prSet loTypeId="urn:microsoft.com/office/officeart/2005/8/layout/pyramid2" loCatId="list" qsTypeId="urn:microsoft.com/office/officeart/2005/8/quickstyle/simple1" qsCatId="simple" csTypeId="urn:microsoft.com/office/officeart/2005/8/colors/accent0_2" csCatId="mainScheme" phldr="1"/>
      <dgm:spPr/>
      <dgm:t>
        <a:bodyPr/>
        <a:lstStyle/>
        <a:p>
          <a:endParaRPr lang="fr-FR"/>
        </a:p>
      </dgm:t>
    </dgm:pt>
    <dgm:pt modelId="{BB480361-2071-41FA-A70E-03BE55BA0534}">
      <dgm:prSet phldrT="[Texte]" custT="1"/>
      <dgm:spPr>
        <a:solidFill>
          <a:schemeClr val="bg1">
            <a:lumMod val="75000"/>
            <a:alpha val="90000"/>
          </a:schemeClr>
        </a:solidFill>
        <a:ln>
          <a:solidFill>
            <a:schemeClr val="bg1">
              <a:lumMod val="75000"/>
            </a:schemeClr>
          </a:solidFill>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الكثافة</a:t>
          </a:r>
          <a:endParaRPr lang="fr-FR" sz="500">
            <a:solidFill>
              <a:sysClr val="windowText" lastClr="000000"/>
            </a:solidFill>
          </a:endParaRPr>
        </a:p>
      </dgm:t>
    </dgm:pt>
    <dgm:pt modelId="{DE04CB84-3ED8-4DA0-A21D-D3DF4A690184}" type="parTrans" cxnId="{1D519822-D00A-418D-AD55-018EF6E4ADCB}">
      <dgm:prSet/>
      <dgm:spPr/>
      <dgm:t>
        <a:bodyPr/>
        <a:lstStyle/>
        <a:p>
          <a:endParaRPr lang="fr-FR"/>
        </a:p>
      </dgm:t>
    </dgm:pt>
    <dgm:pt modelId="{93F35551-A691-4BD2-BFE4-F99942FFC3D8}" type="sibTrans" cxnId="{1D519822-D00A-418D-AD55-018EF6E4ADCB}">
      <dgm:prSet/>
      <dgm:spPr/>
      <dgm:t>
        <a:bodyPr/>
        <a:lstStyle/>
        <a:p>
          <a:endParaRPr lang="fr-FR"/>
        </a:p>
      </dgm:t>
    </dgm:pt>
    <dgm:pt modelId="{CDCBA91B-FE00-4F03-A8D1-A0F94DF65A0C}">
      <dgm:prSet phldrT="[Texte]" custT="1"/>
      <dgm:spPr>
        <a:solidFill>
          <a:schemeClr val="bg1">
            <a:lumMod val="75000"/>
            <a:alpha val="90000"/>
          </a:schemeClr>
        </a:solidFill>
        <a:ln>
          <a:solidFill>
            <a:schemeClr val="bg1">
              <a:lumMod val="75000"/>
            </a:schemeClr>
          </a:solidFill>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التنوع</a:t>
          </a:r>
          <a:endParaRPr lang="fr-FR" sz="500">
            <a:solidFill>
              <a:sysClr val="windowText" lastClr="000000"/>
            </a:solidFill>
          </a:endParaRPr>
        </a:p>
      </dgm:t>
    </dgm:pt>
    <dgm:pt modelId="{F76BA289-2990-4998-A77D-5A170E0C3B4F}" type="parTrans" cxnId="{41961120-61AA-4E6C-9A79-33D587B429DA}">
      <dgm:prSet/>
      <dgm:spPr/>
      <dgm:t>
        <a:bodyPr/>
        <a:lstStyle/>
        <a:p>
          <a:endParaRPr lang="fr-FR"/>
        </a:p>
      </dgm:t>
    </dgm:pt>
    <dgm:pt modelId="{20B2C400-42E4-4A32-9F27-3197DC32DC5F}" type="sibTrans" cxnId="{41961120-61AA-4E6C-9A79-33D587B429DA}">
      <dgm:prSet/>
      <dgm:spPr/>
      <dgm:t>
        <a:bodyPr/>
        <a:lstStyle/>
        <a:p>
          <a:endParaRPr lang="fr-FR"/>
        </a:p>
      </dgm:t>
    </dgm:pt>
    <dgm:pt modelId="{28DDFD88-E1E3-486A-A32B-DBF856348A6D}">
      <dgm:prSet phldrT="[Texte]" custT="1"/>
      <dgm:spPr>
        <a:solidFill>
          <a:schemeClr val="bg1">
            <a:lumMod val="75000"/>
            <a:alpha val="90000"/>
          </a:schemeClr>
        </a:solidFill>
        <a:ln>
          <a:solidFill>
            <a:schemeClr val="bg1">
              <a:lumMod val="75000"/>
            </a:schemeClr>
          </a:solidFill>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التكرار</a:t>
          </a:r>
          <a:endParaRPr lang="fr-FR" sz="500">
            <a:solidFill>
              <a:sysClr val="windowText" lastClr="000000"/>
            </a:solidFill>
          </a:endParaRPr>
        </a:p>
      </dgm:t>
    </dgm:pt>
    <dgm:pt modelId="{75D460D3-FE84-47AA-9B1C-50508575ED64}" type="parTrans" cxnId="{2050852A-B432-44F0-99E8-FD0DC26917C7}">
      <dgm:prSet/>
      <dgm:spPr/>
      <dgm:t>
        <a:bodyPr/>
        <a:lstStyle/>
        <a:p>
          <a:endParaRPr lang="fr-FR"/>
        </a:p>
      </dgm:t>
    </dgm:pt>
    <dgm:pt modelId="{7F0B1F81-F5DC-49B6-B9ED-B6D455EAB35C}" type="sibTrans" cxnId="{2050852A-B432-44F0-99E8-FD0DC26917C7}">
      <dgm:prSet/>
      <dgm:spPr/>
      <dgm:t>
        <a:bodyPr/>
        <a:lstStyle/>
        <a:p>
          <a:endParaRPr lang="fr-FR"/>
        </a:p>
      </dgm:t>
    </dgm:pt>
    <dgm:pt modelId="{D2FA2601-B4B1-4E03-A705-E86F47E30971}">
      <dgm:prSet custT="1">
        <dgm:style>
          <a:lnRef idx="1">
            <a:schemeClr val="accent1"/>
          </a:lnRef>
          <a:fillRef idx="2">
            <a:schemeClr val="accent1"/>
          </a:fillRef>
          <a:effectRef idx="1">
            <a:schemeClr val="accent1"/>
          </a:effectRef>
          <a:fontRef idx="minor">
            <a:schemeClr val="dk1"/>
          </a:fontRef>
        </dgm:style>
      </dgm:prSet>
      <dgm:spPr>
        <a:ln/>
      </dgm:spPr>
      <dgm:t>
        <a:bodyPr/>
        <a:lstStyle/>
        <a:p>
          <a:pPr rtl="1"/>
          <a:r>
            <a:rPr lang="ar-SA" sz="1200" b="1">
              <a:solidFill>
                <a:schemeClr val="tx1"/>
              </a:solidFill>
            </a:rPr>
            <a:t>استعمال</a:t>
          </a:r>
          <a:r>
            <a:rPr lang="ar-SA" sz="1200">
              <a:solidFill>
                <a:schemeClr val="tx1"/>
              </a:solidFill>
            </a:rPr>
            <a:t> </a:t>
          </a:r>
          <a:r>
            <a:rPr lang="ar-DZ" sz="1200" b="1">
              <a:solidFill>
                <a:sysClr val="windowText" lastClr="000000"/>
              </a:solidFill>
              <a:latin typeface="Simplified Arabic" panose="02020603050405020304" pitchFamily="18" charset="-78"/>
              <a:cs typeface="Simplified Arabic" panose="02020603050405020304" pitchFamily="18" charset="-78"/>
            </a:rPr>
            <a:t>الارض الحضرية</a:t>
          </a:r>
          <a:endParaRPr lang="fr-FR" sz="1200" b="1">
            <a:solidFill>
              <a:sysClr val="windowText" lastClr="000000"/>
            </a:solidFill>
            <a:latin typeface="Simplified Arabic" panose="02020603050405020304" pitchFamily="18" charset="-78"/>
            <a:cs typeface="Simplified Arabic" panose="02020603050405020304" pitchFamily="18" charset="-78"/>
          </a:endParaRPr>
        </a:p>
      </dgm:t>
    </dgm:pt>
    <dgm:pt modelId="{5196DCA9-1A40-4028-855F-A89F27384CB8}" type="sibTrans" cxnId="{4114C838-5F0D-4C9E-89BC-8CE66879C085}">
      <dgm:prSet/>
      <dgm:spPr/>
      <dgm:t>
        <a:bodyPr/>
        <a:lstStyle/>
        <a:p>
          <a:endParaRPr lang="fr-FR"/>
        </a:p>
      </dgm:t>
    </dgm:pt>
    <dgm:pt modelId="{9ECF1D4D-8D0B-4CF2-852E-8CDF8B559F68}" type="parTrans" cxnId="{4114C838-5F0D-4C9E-89BC-8CE66879C085}">
      <dgm:prSet/>
      <dgm:spPr/>
      <dgm:t>
        <a:bodyPr/>
        <a:lstStyle/>
        <a:p>
          <a:endParaRPr lang="fr-FR"/>
        </a:p>
      </dgm:t>
    </dgm:pt>
    <dgm:pt modelId="{A2CEF689-9F2B-448C-A9D1-176963683346}">
      <dgm:prSet phldrT="[Texte]" custT="1">
        <dgm:style>
          <a:lnRef idx="1">
            <a:schemeClr val="accent6"/>
          </a:lnRef>
          <a:fillRef idx="2">
            <a:schemeClr val="accent6"/>
          </a:fillRef>
          <a:effectRef idx="1">
            <a:schemeClr val="accent6"/>
          </a:effectRef>
          <a:fontRef idx="minor">
            <a:schemeClr val="dk1"/>
          </a:fontRef>
        </dgm:style>
      </dgm:prSet>
      <dgm:spPr>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سمات المرونة المكانية</a:t>
          </a:r>
          <a:endParaRPr lang="fr-FR" sz="1200" b="1">
            <a:solidFill>
              <a:sysClr val="windowText" lastClr="000000"/>
            </a:solidFill>
            <a:latin typeface="Simplified Arabic" panose="02020603050405020304" pitchFamily="18" charset="-78"/>
            <a:cs typeface="Simplified Arabic" panose="02020603050405020304" pitchFamily="18" charset="-78"/>
          </a:endParaRPr>
        </a:p>
      </dgm:t>
    </dgm:pt>
    <dgm:pt modelId="{8E26E67F-6DA1-435E-8ADE-CA0775408C25}" type="parTrans" cxnId="{9FAE3352-7C62-434F-869C-3F0FFB764687}">
      <dgm:prSet/>
      <dgm:spPr/>
      <dgm:t>
        <a:bodyPr/>
        <a:lstStyle/>
        <a:p>
          <a:endParaRPr lang="fr-FR"/>
        </a:p>
      </dgm:t>
    </dgm:pt>
    <dgm:pt modelId="{A2A4EA63-1241-418F-9864-94335D68A9FE}" type="sibTrans" cxnId="{9FAE3352-7C62-434F-869C-3F0FFB764687}">
      <dgm:prSet/>
      <dgm:spPr/>
      <dgm:t>
        <a:bodyPr/>
        <a:lstStyle/>
        <a:p>
          <a:endParaRPr lang="fr-FR"/>
        </a:p>
      </dgm:t>
    </dgm:pt>
    <dgm:pt modelId="{ECC3ADB8-E39D-4B60-82A9-3FB9C5BAFA23}">
      <dgm:prSet phldrT="[Texte]" custT="1"/>
      <dgm:spPr>
        <a:solidFill>
          <a:schemeClr val="bg1">
            <a:lumMod val="75000"/>
            <a:alpha val="90000"/>
          </a:schemeClr>
        </a:solidFill>
        <a:ln>
          <a:solidFill>
            <a:schemeClr val="bg1">
              <a:lumMod val="75000"/>
            </a:schemeClr>
          </a:solidFill>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الاتصال</a:t>
          </a:r>
          <a:endParaRPr lang="fr-FR" sz="500">
            <a:solidFill>
              <a:sysClr val="windowText" lastClr="000000"/>
            </a:solidFill>
          </a:endParaRPr>
        </a:p>
      </dgm:t>
    </dgm:pt>
    <dgm:pt modelId="{2410E2FC-602A-4CB1-ADB1-72DF66E1002F}" type="parTrans" cxnId="{FE6C698B-4608-4108-BCE2-F6005A20B2A9}">
      <dgm:prSet/>
      <dgm:spPr/>
      <dgm:t>
        <a:bodyPr/>
        <a:lstStyle/>
        <a:p>
          <a:endParaRPr lang="fr-FR"/>
        </a:p>
      </dgm:t>
    </dgm:pt>
    <dgm:pt modelId="{72C74294-95E9-4FA4-BB3E-C8198AE86AA2}" type="sibTrans" cxnId="{FE6C698B-4608-4108-BCE2-F6005A20B2A9}">
      <dgm:prSet/>
      <dgm:spPr/>
      <dgm:t>
        <a:bodyPr/>
        <a:lstStyle/>
        <a:p>
          <a:endParaRPr lang="fr-FR"/>
        </a:p>
      </dgm:t>
    </dgm:pt>
    <dgm:pt modelId="{89771021-5CD9-47B0-A451-89708F78C88C}">
      <dgm:prSet custT="1">
        <dgm:style>
          <a:lnRef idx="1">
            <a:schemeClr val="accent1"/>
          </a:lnRef>
          <a:fillRef idx="2">
            <a:schemeClr val="accent1"/>
          </a:fillRef>
          <a:effectRef idx="1">
            <a:schemeClr val="accent1"/>
          </a:effectRef>
          <a:fontRef idx="minor">
            <a:schemeClr val="dk1"/>
          </a:fontRef>
        </dgm:style>
      </dgm:prSet>
      <dgm:spPr>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شبكة التنقل</a:t>
          </a:r>
          <a:endParaRPr lang="fr-FR" sz="1200" b="1">
            <a:solidFill>
              <a:sysClr val="windowText" lastClr="000000"/>
            </a:solidFill>
            <a:latin typeface="Simplified Arabic" panose="02020603050405020304" pitchFamily="18" charset="-78"/>
            <a:cs typeface="Simplified Arabic" panose="02020603050405020304" pitchFamily="18" charset="-78"/>
          </a:endParaRPr>
        </a:p>
      </dgm:t>
    </dgm:pt>
    <dgm:pt modelId="{F08C5673-9FE4-4977-8903-38029B474F48}" type="parTrans" cxnId="{EBD1C533-D470-42C5-BED3-1AAA4B631B2A}">
      <dgm:prSet/>
      <dgm:spPr/>
      <dgm:t>
        <a:bodyPr/>
        <a:lstStyle/>
        <a:p>
          <a:endParaRPr lang="fr-FR"/>
        </a:p>
      </dgm:t>
    </dgm:pt>
    <dgm:pt modelId="{8A54466A-91BF-4867-B21E-286F6B4463A9}" type="sibTrans" cxnId="{EBD1C533-D470-42C5-BED3-1AAA4B631B2A}">
      <dgm:prSet/>
      <dgm:spPr/>
      <dgm:t>
        <a:bodyPr/>
        <a:lstStyle/>
        <a:p>
          <a:endParaRPr lang="fr-FR"/>
        </a:p>
      </dgm:t>
    </dgm:pt>
    <dgm:pt modelId="{40C19837-B4D8-4100-91BB-58F376893610}">
      <dgm:prSet custT="1">
        <dgm:style>
          <a:lnRef idx="1">
            <a:schemeClr val="accent1"/>
          </a:lnRef>
          <a:fillRef idx="2">
            <a:schemeClr val="accent1"/>
          </a:fillRef>
          <a:effectRef idx="1">
            <a:schemeClr val="accent1"/>
          </a:effectRef>
          <a:fontRef idx="minor">
            <a:schemeClr val="dk1"/>
          </a:fontRef>
        </dgm:style>
      </dgm:prSet>
      <dgm:spPr>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مخزون المسكن</a:t>
          </a:r>
          <a:endParaRPr lang="fr-FR" sz="900" b="1">
            <a:solidFill>
              <a:sysClr val="windowText" lastClr="000000"/>
            </a:solidFill>
            <a:latin typeface="Simplified Arabic" panose="02020603050405020304" pitchFamily="18" charset="-78"/>
            <a:cs typeface="Simplified Arabic" panose="02020603050405020304" pitchFamily="18" charset="-78"/>
          </a:endParaRPr>
        </a:p>
      </dgm:t>
    </dgm:pt>
    <dgm:pt modelId="{00788E51-057F-496D-88FA-3174D59CE8F4}" type="parTrans" cxnId="{702051DD-E64D-4B92-AC27-95FE5B3F0FF7}">
      <dgm:prSet/>
      <dgm:spPr/>
      <dgm:t>
        <a:bodyPr/>
        <a:lstStyle/>
        <a:p>
          <a:endParaRPr lang="fr-FR"/>
        </a:p>
      </dgm:t>
    </dgm:pt>
    <dgm:pt modelId="{EF51AE22-FB87-4A9C-9CBC-DFEF46266767}" type="sibTrans" cxnId="{702051DD-E64D-4B92-AC27-95FE5B3F0FF7}">
      <dgm:prSet/>
      <dgm:spPr/>
      <dgm:t>
        <a:bodyPr/>
        <a:lstStyle/>
        <a:p>
          <a:endParaRPr lang="fr-FR"/>
        </a:p>
      </dgm:t>
    </dgm:pt>
    <dgm:pt modelId="{AAFDF3A6-092A-47CF-960A-210B0C704D05}">
      <dgm:prSet custT="1">
        <dgm:style>
          <a:lnRef idx="1">
            <a:schemeClr val="accent1"/>
          </a:lnRef>
          <a:fillRef idx="2">
            <a:schemeClr val="accent1"/>
          </a:fillRef>
          <a:effectRef idx="1">
            <a:schemeClr val="accent1"/>
          </a:effectRef>
          <a:fontRef idx="minor">
            <a:schemeClr val="dk1"/>
          </a:fontRef>
        </dgm:style>
      </dgm:prSet>
      <dgm:spPr>
        <a:ln/>
      </dgm:spPr>
      <dgm:t>
        <a:bodyPr/>
        <a:lstStyle/>
        <a:p>
          <a:pPr rtl="1"/>
          <a:r>
            <a:rPr lang="ar-DZ" sz="1000" b="1">
              <a:solidFill>
                <a:sysClr val="windowText" lastClr="000000"/>
              </a:solidFill>
              <a:latin typeface="Simplified Arabic" panose="02020603050405020304" pitchFamily="18" charset="-78"/>
              <a:cs typeface="Simplified Arabic" panose="02020603050405020304" pitchFamily="18" charset="-78"/>
            </a:rPr>
            <a:t>المرافق والخدمات </a:t>
          </a:r>
          <a:endParaRPr lang="fr-FR" sz="500" b="1">
            <a:solidFill>
              <a:sysClr val="windowText" lastClr="000000"/>
            </a:solidFill>
            <a:latin typeface="Simplified Arabic" panose="02020603050405020304" pitchFamily="18" charset="-78"/>
            <a:cs typeface="Simplified Arabic" panose="02020603050405020304" pitchFamily="18" charset="-78"/>
          </a:endParaRPr>
        </a:p>
      </dgm:t>
    </dgm:pt>
    <dgm:pt modelId="{550AB50E-AE98-471B-815F-B2A71FC64C6A}" type="parTrans" cxnId="{DA9A44F6-C41E-4814-AE65-DD1837A0D496}">
      <dgm:prSet/>
      <dgm:spPr/>
      <dgm:t>
        <a:bodyPr/>
        <a:lstStyle/>
        <a:p>
          <a:endParaRPr lang="fr-FR"/>
        </a:p>
      </dgm:t>
    </dgm:pt>
    <dgm:pt modelId="{093C28DE-8CCE-4632-894E-CA2AC7DF57B1}" type="sibTrans" cxnId="{DA9A44F6-C41E-4814-AE65-DD1837A0D496}">
      <dgm:prSet/>
      <dgm:spPr/>
      <dgm:t>
        <a:bodyPr/>
        <a:lstStyle/>
        <a:p>
          <a:endParaRPr lang="fr-FR"/>
        </a:p>
      </dgm:t>
    </dgm:pt>
    <dgm:pt modelId="{366F56F4-8906-4C73-9616-E1B9DF653F11}">
      <dgm:prSet phldrT="[Texte]" custT="1"/>
      <dgm:spPr>
        <a:solidFill>
          <a:schemeClr val="bg1">
            <a:lumMod val="85000"/>
          </a:schemeClr>
        </a:solidFill>
        <a:ln w="6350">
          <a:solidFill>
            <a:schemeClr val="bg1">
              <a:lumMod val="85000"/>
            </a:schemeClr>
          </a:solidFill>
        </a:ln>
      </dgm:spPr>
      <dgm:t>
        <a:bodyPr/>
        <a:lstStyle/>
        <a:p>
          <a:pPr rtl="1"/>
          <a:r>
            <a:rPr lang="ar-DZ" sz="1000" b="1">
              <a:solidFill>
                <a:sysClr val="windowText" lastClr="000000"/>
              </a:solidFill>
              <a:latin typeface="Simplified Arabic" panose="02020603050405020304" pitchFamily="18" charset="-78"/>
              <a:cs typeface="Simplified Arabic" panose="02020603050405020304" pitchFamily="18" charset="-78"/>
            </a:rPr>
            <a:t>العوامل المكانية التي تؤثر على المرونة الحضرية بناء على سمات المرونة المكانية</a:t>
          </a:r>
          <a:endParaRPr lang="fr-FR" sz="1000" b="1">
            <a:solidFill>
              <a:sysClr val="windowText" lastClr="000000"/>
            </a:solidFill>
            <a:latin typeface="Simplified Arabic" panose="02020603050405020304" pitchFamily="18" charset="-78"/>
            <a:cs typeface="Simplified Arabic" panose="02020603050405020304" pitchFamily="18" charset="-78"/>
          </a:endParaRPr>
        </a:p>
      </dgm:t>
    </dgm:pt>
    <dgm:pt modelId="{6B59BBB1-D7D6-4C3C-99B7-C16D7D4C737A}" type="parTrans" cxnId="{40D6B8C1-FFAE-4724-BF7A-D362D1987F7E}">
      <dgm:prSet/>
      <dgm:spPr/>
      <dgm:t>
        <a:bodyPr/>
        <a:lstStyle/>
        <a:p>
          <a:endParaRPr lang="fr-FR"/>
        </a:p>
      </dgm:t>
    </dgm:pt>
    <dgm:pt modelId="{47D79483-DD3B-4830-A014-1BD82B45F386}" type="sibTrans" cxnId="{40D6B8C1-FFAE-4724-BF7A-D362D1987F7E}">
      <dgm:prSet/>
      <dgm:spPr/>
      <dgm:t>
        <a:bodyPr/>
        <a:lstStyle/>
        <a:p>
          <a:endParaRPr lang="fr-FR"/>
        </a:p>
      </dgm:t>
    </dgm:pt>
    <dgm:pt modelId="{D95232E2-1201-4EB6-ABA9-90E180E24FDB}">
      <dgm:prSet phldrT="[Texte]"/>
      <dgm:spPr>
        <a:solidFill>
          <a:schemeClr val="bg1">
            <a:alpha val="90000"/>
          </a:schemeClr>
        </a:solidFill>
        <a:ln w="6350">
          <a:solidFill>
            <a:schemeClr val="tx1"/>
          </a:solidFill>
        </a:ln>
      </dgm:spPr>
      <dgm:t>
        <a:bodyPr/>
        <a:lstStyle/>
        <a:p>
          <a:endParaRPr lang="fr-FR"/>
        </a:p>
      </dgm:t>
    </dgm:pt>
    <dgm:pt modelId="{71B0D98A-1B4B-4CA6-85E9-877BB2A74636}" type="sibTrans" cxnId="{ECF5E479-E35A-45BD-ABD7-A67E9DBFCE4B}">
      <dgm:prSet/>
      <dgm:spPr/>
      <dgm:t>
        <a:bodyPr/>
        <a:lstStyle/>
        <a:p>
          <a:endParaRPr lang="fr-FR"/>
        </a:p>
      </dgm:t>
    </dgm:pt>
    <dgm:pt modelId="{9D33E117-B18D-4B84-B0E2-FA8FBD959D77}" type="parTrans" cxnId="{ECF5E479-E35A-45BD-ABD7-A67E9DBFCE4B}">
      <dgm:prSet/>
      <dgm:spPr/>
      <dgm:t>
        <a:bodyPr/>
        <a:lstStyle/>
        <a:p>
          <a:endParaRPr lang="fr-FR"/>
        </a:p>
      </dgm:t>
    </dgm:pt>
    <dgm:pt modelId="{BDD03346-979F-47FF-A508-713AD7EC7B33}">
      <dgm:prSet custT="1">
        <dgm:style>
          <a:lnRef idx="1">
            <a:schemeClr val="accent1"/>
          </a:lnRef>
          <a:fillRef idx="2">
            <a:schemeClr val="accent1"/>
          </a:fillRef>
          <a:effectRef idx="1">
            <a:schemeClr val="accent1"/>
          </a:effectRef>
          <a:fontRef idx="minor">
            <a:schemeClr val="dk1"/>
          </a:fontRef>
        </dgm:style>
      </dgm:prSet>
      <dgm:spPr>
        <a:ln/>
      </dgm:spPr>
      <dgm:t>
        <a:bodyPr/>
        <a:lstStyle/>
        <a:p>
          <a:pPr rtl="1"/>
          <a:r>
            <a:rPr lang="ar-DZ" sz="1200" b="1">
              <a:solidFill>
                <a:sysClr val="windowText" lastClr="000000"/>
              </a:solidFill>
              <a:latin typeface="Simplified Arabic" panose="02020603050405020304" pitchFamily="18" charset="-78"/>
              <a:cs typeface="Simplified Arabic" panose="02020603050405020304" pitchFamily="18" charset="-78"/>
            </a:rPr>
            <a:t>المساحات</a:t>
          </a:r>
          <a:r>
            <a:rPr lang="ar-DZ" sz="1200" b="1"/>
            <a:t> </a:t>
          </a:r>
          <a:r>
            <a:rPr lang="ar-DZ" sz="1200" b="0">
              <a:latin typeface="Simplified Arabic" panose="02020603050405020304" pitchFamily="18" charset="-78"/>
              <a:cs typeface="Simplified Arabic" panose="02020603050405020304" pitchFamily="18" charset="-78"/>
            </a:rPr>
            <a:t>ال</a:t>
          </a:r>
          <a:r>
            <a:rPr lang="ar-DZ" sz="1200" b="0">
              <a:solidFill>
                <a:sysClr val="windowText" lastClr="000000"/>
              </a:solidFill>
              <a:latin typeface="Simplified Arabic" panose="02020603050405020304" pitchFamily="18" charset="-78"/>
              <a:cs typeface="Simplified Arabic" panose="02020603050405020304" pitchFamily="18" charset="-78"/>
            </a:rPr>
            <a:t>مفتوحة</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CF30A555-C3A5-42E5-8AC2-1D0D840AE95E}" type="parTrans" cxnId="{CFBE2A5F-6822-4488-BA69-1FC2E762D5ED}">
      <dgm:prSet/>
      <dgm:spPr/>
      <dgm:t>
        <a:bodyPr/>
        <a:lstStyle/>
        <a:p>
          <a:endParaRPr lang="fr-FR"/>
        </a:p>
      </dgm:t>
    </dgm:pt>
    <dgm:pt modelId="{58030FC2-BCF5-4916-A369-2292B69DB152}" type="sibTrans" cxnId="{CFBE2A5F-6822-4488-BA69-1FC2E762D5ED}">
      <dgm:prSet/>
      <dgm:spPr/>
      <dgm:t>
        <a:bodyPr/>
        <a:lstStyle/>
        <a:p>
          <a:endParaRPr lang="fr-FR"/>
        </a:p>
      </dgm:t>
    </dgm:pt>
    <dgm:pt modelId="{8EB7ADAC-CC67-495F-B0C7-077784262F72}">
      <dgm:prSet phldrT="[Texte]"/>
      <dgm:spPr>
        <a:solidFill>
          <a:schemeClr val="bg1">
            <a:alpha val="90000"/>
          </a:schemeClr>
        </a:solidFill>
        <a:ln w="6350">
          <a:solidFill>
            <a:schemeClr val="tx1"/>
          </a:solidFill>
        </a:ln>
      </dgm:spPr>
      <dgm:t>
        <a:bodyPr/>
        <a:lstStyle/>
        <a:p>
          <a:r>
            <a:rPr lang="ar-DZ"/>
            <a:t>+</a:t>
          </a:r>
          <a:endParaRPr lang="fr-FR"/>
        </a:p>
      </dgm:t>
    </dgm:pt>
    <dgm:pt modelId="{C4298CCB-F458-48B8-9FD7-060E72ECAC8C}" type="parTrans" cxnId="{85D8B1C7-614B-41DC-8E47-9C84B7E6FEF9}">
      <dgm:prSet/>
      <dgm:spPr/>
      <dgm:t>
        <a:bodyPr/>
        <a:lstStyle/>
        <a:p>
          <a:endParaRPr lang="fr-FR"/>
        </a:p>
      </dgm:t>
    </dgm:pt>
    <dgm:pt modelId="{56908DC9-02E6-4191-8BBB-A042221C3B4D}" type="sibTrans" cxnId="{85D8B1C7-614B-41DC-8E47-9C84B7E6FEF9}">
      <dgm:prSet/>
      <dgm:spPr/>
      <dgm:t>
        <a:bodyPr/>
        <a:lstStyle/>
        <a:p>
          <a:endParaRPr lang="fr-FR"/>
        </a:p>
      </dgm:t>
    </dgm:pt>
    <dgm:pt modelId="{2C4B3A9A-3D72-44E4-9A1F-D1F732822980}">
      <dgm:prSet phldrT="[Texte]" custT="1">
        <dgm:style>
          <a:lnRef idx="1">
            <a:schemeClr val="accent6"/>
          </a:lnRef>
          <a:fillRef idx="2">
            <a:schemeClr val="accent6"/>
          </a:fillRef>
          <a:effectRef idx="1">
            <a:schemeClr val="accent6"/>
          </a:effectRef>
          <a:fontRef idx="minor">
            <a:schemeClr val="dk1"/>
          </a:fontRef>
        </dgm:style>
      </dgm:prSet>
      <dgm:spPr>
        <a:ln/>
      </dgm:spPr>
      <dgm:t>
        <a:bodyPr/>
        <a:lstStyle/>
        <a:p>
          <a:r>
            <a:rPr lang="ar-DZ" sz="1200" b="1">
              <a:solidFill>
                <a:sysClr val="windowText" lastClr="000000"/>
              </a:solidFill>
              <a:latin typeface="Simplified Arabic" panose="02020603050405020304" pitchFamily="18" charset="-78"/>
              <a:cs typeface="Simplified Arabic" panose="02020603050405020304" pitchFamily="18" charset="-78"/>
            </a:rPr>
            <a:t>المرونة الحضرية</a:t>
          </a:r>
          <a:endParaRPr lang="fr-FR" sz="1200" b="1">
            <a:solidFill>
              <a:sysClr val="windowText" lastClr="000000"/>
            </a:solidFill>
            <a:latin typeface="Simplified Arabic" panose="02020603050405020304" pitchFamily="18" charset="-78"/>
            <a:cs typeface="Simplified Arabic" panose="02020603050405020304" pitchFamily="18" charset="-78"/>
          </a:endParaRPr>
        </a:p>
      </dgm:t>
    </dgm:pt>
    <dgm:pt modelId="{11D21F2E-E0A3-4B4C-AFFC-5927B2DC49A6}" type="parTrans" cxnId="{75518F1D-0F34-481A-B456-9EB766932E70}">
      <dgm:prSet/>
      <dgm:spPr/>
      <dgm:t>
        <a:bodyPr/>
        <a:lstStyle/>
        <a:p>
          <a:endParaRPr lang="fr-FR"/>
        </a:p>
      </dgm:t>
    </dgm:pt>
    <dgm:pt modelId="{C8A1DE36-27CD-4F85-B40E-EE1E75F4C67E}" type="sibTrans" cxnId="{75518F1D-0F34-481A-B456-9EB766932E70}">
      <dgm:prSet/>
      <dgm:spPr/>
      <dgm:t>
        <a:bodyPr/>
        <a:lstStyle/>
        <a:p>
          <a:endParaRPr lang="fr-FR"/>
        </a:p>
      </dgm:t>
    </dgm:pt>
    <dgm:pt modelId="{AD85D7E2-37E4-46F6-9CE3-A78C53C66F3F}">
      <dgm:prSet phldrT="[Texte]" custT="1">
        <dgm:style>
          <a:lnRef idx="1">
            <a:schemeClr val="accent6"/>
          </a:lnRef>
          <a:fillRef idx="2">
            <a:schemeClr val="accent6"/>
          </a:fillRef>
          <a:effectRef idx="1">
            <a:schemeClr val="accent6"/>
          </a:effectRef>
          <a:fontRef idx="minor">
            <a:schemeClr val="dk1"/>
          </a:fontRef>
        </dgm:style>
      </dgm:prSet>
      <dgm:spPr>
        <a:ln/>
      </dgm:spPr>
      <dgm:t>
        <a:bodyPr/>
        <a:lstStyle/>
        <a:p>
          <a:pPr algn="ctr" rtl="1"/>
          <a:r>
            <a:rPr lang="ar-DZ" sz="1200" b="1">
              <a:solidFill>
                <a:sysClr val="windowText" lastClr="000000"/>
              </a:solidFill>
              <a:latin typeface="Simplified Arabic" panose="02020603050405020304" pitchFamily="18" charset="-78"/>
              <a:cs typeface="Simplified Arabic" panose="02020603050405020304" pitchFamily="18" charset="-78"/>
            </a:rPr>
            <a:t>العوامل المكانية</a:t>
          </a:r>
          <a:endParaRPr lang="fr-FR" sz="1200" b="1">
            <a:solidFill>
              <a:sysClr val="windowText" lastClr="000000"/>
            </a:solidFill>
            <a:latin typeface="Simplified Arabic" panose="02020603050405020304" pitchFamily="18" charset="-78"/>
            <a:cs typeface="Simplified Arabic" panose="02020603050405020304" pitchFamily="18" charset="-78"/>
          </a:endParaRPr>
        </a:p>
      </dgm:t>
    </dgm:pt>
    <dgm:pt modelId="{D8987335-7C4C-4BFF-83B0-599BBC164D9F}" type="parTrans" cxnId="{5CBC886A-E37C-4BF1-B2F5-6DB7A672B3C4}">
      <dgm:prSet/>
      <dgm:spPr/>
      <dgm:t>
        <a:bodyPr/>
        <a:lstStyle/>
        <a:p>
          <a:endParaRPr lang="fr-FR"/>
        </a:p>
      </dgm:t>
    </dgm:pt>
    <dgm:pt modelId="{BE4CB6CC-9359-4D89-9870-294319EFE2C7}" type="sibTrans" cxnId="{5CBC886A-E37C-4BF1-B2F5-6DB7A672B3C4}">
      <dgm:prSet/>
      <dgm:spPr/>
      <dgm:t>
        <a:bodyPr/>
        <a:lstStyle/>
        <a:p>
          <a:endParaRPr lang="fr-FR"/>
        </a:p>
      </dgm:t>
    </dgm:pt>
    <dgm:pt modelId="{BF9D8A51-5B6C-46CC-A0E3-CD058E2FB38D}">
      <dgm:prSet/>
      <dgm:spPr>
        <a:solidFill>
          <a:schemeClr val="bg1">
            <a:lumMod val="50000"/>
            <a:alpha val="90000"/>
          </a:schemeClr>
        </a:solidFill>
        <a:ln>
          <a:solidFill>
            <a:schemeClr val="bg1">
              <a:lumMod val="50000"/>
            </a:schemeClr>
          </a:solidFill>
        </a:ln>
      </dgm:spPr>
      <dgm:t>
        <a:bodyPr/>
        <a:lstStyle/>
        <a:p>
          <a:endParaRPr lang="fr-FR"/>
        </a:p>
      </dgm:t>
    </dgm:pt>
    <dgm:pt modelId="{7DC03107-253C-495B-8CBE-5EEBCF6CB33C}" type="sibTrans" cxnId="{FAF8FC15-C9CC-42D6-9CDD-6B78A22F9435}">
      <dgm:prSet/>
      <dgm:spPr/>
      <dgm:t>
        <a:bodyPr/>
        <a:lstStyle/>
        <a:p>
          <a:endParaRPr lang="fr-FR"/>
        </a:p>
      </dgm:t>
    </dgm:pt>
    <dgm:pt modelId="{97ED6ED8-46E4-4052-89C8-7FB88EA8DDB1}" type="parTrans" cxnId="{FAF8FC15-C9CC-42D6-9CDD-6B78A22F9435}">
      <dgm:prSet/>
      <dgm:spPr/>
      <dgm:t>
        <a:bodyPr/>
        <a:lstStyle/>
        <a:p>
          <a:endParaRPr lang="fr-FR"/>
        </a:p>
      </dgm:t>
    </dgm:pt>
    <dgm:pt modelId="{D65FF772-F856-423D-B3E7-DD20193618E1}">
      <dgm:prSet/>
      <dgm:spPr>
        <a:solidFill>
          <a:schemeClr val="bg1">
            <a:lumMod val="50000"/>
            <a:alpha val="90000"/>
          </a:schemeClr>
        </a:solidFill>
        <a:ln>
          <a:solidFill>
            <a:schemeClr val="bg1">
              <a:lumMod val="50000"/>
            </a:schemeClr>
          </a:solidFill>
        </a:ln>
      </dgm:spPr>
      <dgm:t>
        <a:bodyPr/>
        <a:lstStyle/>
        <a:p>
          <a:endParaRPr lang="fr-FR"/>
        </a:p>
      </dgm:t>
    </dgm:pt>
    <dgm:pt modelId="{8906A4B6-C311-4954-AC2F-7FC48CD14B02}" type="sibTrans" cxnId="{E6B61D63-B21B-4944-91FC-5112C62A82C8}">
      <dgm:prSet/>
      <dgm:spPr/>
      <dgm:t>
        <a:bodyPr/>
        <a:lstStyle/>
        <a:p>
          <a:endParaRPr lang="fr-FR"/>
        </a:p>
      </dgm:t>
    </dgm:pt>
    <dgm:pt modelId="{CECE609B-76AE-489E-BFFB-F699A960ED10}" type="parTrans" cxnId="{E6B61D63-B21B-4944-91FC-5112C62A82C8}">
      <dgm:prSet/>
      <dgm:spPr/>
      <dgm:t>
        <a:bodyPr/>
        <a:lstStyle/>
        <a:p>
          <a:endParaRPr lang="fr-FR"/>
        </a:p>
      </dgm:t>
    </dgm:pt>
    <dgm:pt modelId="{4B7B416D-63E5-46CB-BBDE-1362CE9F10EF}">
      <dgm:prSet/>
      <dgm:spPr>
        <a:solidFill>
          <a:schemeClr val="bg1">
            <a:lumMod val="50000"/>
          </a:schemeClr>
        </a:solidFill>
        <a:ln>
          <a:solidFill>
            <a:schemeClr val="bg1">
              <a:lumMod val="50000"/>
            </a:schemeClr>
          </a:solidFill>
        </a:ln>
      </dgm:spPr>
      <dgm:t>
        <a:bodyPr/>
        <a:lstStyle/>
        <a:p>
          <a:endParaRPr lang="fr-FR"/>
        </a:p>
      </dgm:t>
    </dgm:pt>
    <dgm:pt modelId="{EEB77EA9-AA8E-4D26-8287-593DEF3C3809}" type="sibTrans" cxnId="{44C15D07-521D-4F5D-8355-AD167F0F6B22}">
      <dgm:prSet/>
      <dgm:spPr/>
      <dgm:t>
        <a:bodyPr/>
        <a:lstStyle/>
        <a:p>
          <a:endParaRPr lang="fr-FR"/>
        </a:p>
      </dgm:t>
    </dgm:pt>
    <dgm:pt modelId="{0CF4BD80-2890-4903-A22C-034223B7758B}" type="parTrans" cxnId="{44C15D07-521D-4F5D-8355-AD167F0F6B22}">
      <dgm:prSet/>
      <dgm:spPr/>
      <dgm:t>
        <a:bodyPr/>
        <a:lstStyle/>
        <a:p>
          <a:endParaRPr lang="fr-FR"/>
        </a:p>
      </dgm:t>
    </dgm:pt>
    <dgm:pt modelId="{01AF93C9-D2AC-4808-B29D-4C76A0553F28}">
      <dgm:prSet/>
      <dgm:spPr>
        <a:solidFill>
          <a:schemeClr val="bg1">
            <a:lumMod val="50000"/>
            <a:alpha val="90000"/>
          </a:schemeClr>
        </a:solidFill>
        <a:ln>
          <a:solidFill>
            <a:schemeClr val="bg1">
              <a:lumMod val="50000"/>
            </a:schemeClr>
          </a:solidFill>
        </a:ln>
      </dgm:spPr>
      <dgm:t>
        <a:bodyPr/>
        <a:lstStyle/>
        <a:p>
          <a:endParaRPr lang="fr-FR"/>
        </a:p>
      </dgm:t>
    </dgm:pt>
    <dgm:pt modelId="{0647497C-BFBB-4412-9441-ED3957AD3B09}" type="sibTrans" cxnId="{1189F863-3D82-43F0-99AF-815D5AB4C726}">
      <dgm:prSet/>
      <dgm:spPr/>
      <dgm:t>
        <a:bodyPr/>
        <a:lstStyle/>
        <a:p>
          <a:endParaRPr lang="fr-FR"/>
        </a:p>
      </dgm:t>
    </dgm:pt>
    <dgm:pt modelId="{9F4329D8-F7EC-4D39-8AE4-0275C304D31A}" type="parTrans" cxnId="{1189F863-3D82-43F0-99AF-815D5AB4C726}">
      <dgm:prSet/>
      <dgm:spPr/>
      <dgm:t>
        <a:bodyPr/>
        <a:lstStyle/>
        <a:p>
          <a:endParaRPr lang="fr-FR"/>
        </a:p>
      </dgm:t>
    </dgm:pt>
    <dgm:pt modelId="{ACD65BCD-154F-4586-A4E7-63A7F855670C}" type="pres">
      <dgm:prSet presAssocID="{8D8EDBD7-BC62-43C6-B68C-6906DECA67A6}" presName="compositeShape" presStyleCnt="0">
        <dgm:presLayoutVars>
          <dgm:dir/>
          <dgm:resizeHandles/>
        </dgm:presLayoutVars>
      </dgm:prSet>
      <dgm:spPr/>
      <dgm:t>
        <a:bodyPr/>
        <a:lstStyle/>
        <a:p>
          <a:endParaRPr lang="fr-FR"/>
        </a:p>
      </dgm:t>
    </dgm:pt>
    <dgm:pt modelId="{A01AF7DC-4C61-4738-BDD7-60C1E632DC49}" type="pres">
      <dgm:prSet presAssocID="{8D8EDBD7-BC62-43C6-B68C-6906DECA67A6}" presName="pyramid" presStyleLbl="node1" presStyleIdx="0" presStyleCnt="1" custScaleX="54815" custScaleY="72645" custLinFactNeighborX="11574" custLinFactNeighborY="-2383">
        <dgm:style>
          <a:lnRef idx="2">
            <a:schemeClr val="dk1"/>
          </a:lnRef>
          <a:fillRef idx="1">
            <a:schemeClr val="lt1"/>
          </a:fillRef>
          <a:effectRef idx="0">
            <a:schemeClr val="dk1"/>
          </a:effectRef>
          <a:fontRef idx="minor">
            <a:schemeClr val="dk1"/>
          </a:fontRef>
        </dgm:style>
      </dgm:prSet>
      <dgm:spPr>
        <a:prstGeom prst="triangle">
          <a:avLst/>
        </a:prstGeom>
        <a:blipFill rotWithShape="0">
          <a:blip xmlns:r="http://schemas.openxmlformats.org/officeDocument/2006/relationships" r:embed="rId1"/>
          <a:stretch>
            <a:fillRect/>
          </a:stretch>
        </a:blipFill>
        <a:ln w="6350">
          <a:prstDash val="dash"/>
        </a:ln>
      </dgm:spPr>
      <dgm:t>
        <a:bodyPr/>
        <a:lstStyle/>
        <a:p>
          <a:endParaRPr lang="fr-FR"/>
        </a:p>
      </dgm:t>
    </dgm:pt>
    <dgm:pt modelId="{7343392C-BACC-4979-B392-E87A3C09876E}" type="pres">
      <dgm:prSet presAssocID="{8D8EDBD7-BC62-43C6-B68C-6906DECA67A6}" presName="theList" presStyleCnt="0"/>
      <dgm:spPr/>
      <dgm:t>
        <a:bodyPr/>
        <a:lstStyle/>
        <a:p>
          <a:endParaRPr lang="fr-FR"/>
        </a:p>
      </dgm:t>
    </dgm:pt>
    <dgm:pt modelId="{73797847-36D3-44ED-8DE0-995D213A5304}" type="pres">
      <dgm:prSet presAssocID="{BB480361-2071-41FA-A70E-03BE55BA0534}" presName="aNode" presStyleLbl="fgAcc1" presStyleIdx="0" presStyleCnt="19" custScaleX="27447" custScaleY="21669414" custLinFactY="162915717" custLinFactNeighborX="-11441" custLinFactNeighborY="163000000">
        <dgm:presLayoutVars>
          <dgm:bulletEnabled val="1"/>
        </dgm:presLayoutVars>
      </dgm:prSet>
      <dgm:spPr/>
      <dgm:t>
        <a:bodyPr/>
        <a:lstStyle/>
        <a:p>
          <a:endParaRPr lang="fr-FR"/>
        </a:p>
      </dgm:t>
    </dgm:pt>
    <dgm:pt modelId="{DF498C14-ECE7-4D7A-8FF0-19DE9F255521}" type="pres">
      <dgm:prSet presAssocID="{BB480361-2071-41FA-A70E-03BE55BA0534}" presName="aSpace" presStyleCnt="0"/>
      <dgm:spPr/>
      <dgm:t>
        <a:bodyPr/>
        <a:lstStyle/>
        <a:p>
          <a:endParaRPr lang="fr-FR"/>
        </a:p>
      </dgm:t>
    </dgm:pt>
    <dgm:pt modelId="{4667463F-009E-4256-838A-9A79E870E774}" type="pres">
      <dgm:prSet presAssocID="{CDCBA91B-FE00-4F03-A8D1-A0F94DF65A0C}" presName="aNode" presStyleLbl="fgAcc1" presStyleIdx="1" presStyleCnt="19" custFlipHor="1" custScaleX="23754" custScaleY="23836355" custLinFactY="42226272" custLinFactNeighborX="-27608" custLinFactNeighborY="42300000">
        <dgm:presLayoutVars>
          <dgm:bulletEnabled val="1"/>
        </dgm:presLayoutVars>
      </dgm:prSet>
      <dgm:spPr/>
      <dgm:t>
        <a:bodyPr/>
        <a:lstStyle/>
        <a:p>
          <a:endParaRPr lang="fr-FR"/>
        </a:p>
      </dgm:t>
    </dgm:pt>
    <dgm:pt modelId="{80CCD617-5196-4AF2-9154-E3BA791168F1}" type="pres">
      <dgm:prSet presAssocID="{CDCBA91B-FE00-4F03-A8D1-A0F94DF65A0C}" presName="aSpace" presStyleCnt="0"/>
      <dgm:spPr/>
      <dgm:t>
        <a:bodyPr/>
        <a:lstStyle/>
        <a:p>
          <a:endParaRPr lang="fr-FR"/>
        </a:p>
      </dgm:t>
    </dgm:pt>
    <dgm:pt modelId="{6395A356-6F24-41E3-9829-18BB315A57E1}" type="pres">
      <dgm:prSet presAssocID="{28DDFD88-E1E3-486A-A32B-DBF856348A6D}" presName="aNode" presStyleLbl="fgAcc1" presStyleIdx="2" presStyleCnt="19" custScaleX="22914" custScaleY="21669414" custLinFactY="56612984" custLinFactNeighborX="-20695" custLinFactNeighborY="56700000">
        <dgm:presLayoutVars>
          <dgm:bulletEnabled val="1"/>
        </dgm:presLayoutVars>
      </dgm:prSet>
      <dgm:spPr/>
      <dgm:t>
        <a:bodyPr/>
        <a:lstStyle/>
        <a:p>
          <a:endParaRPr lang="fr-FR"/>
        </a:p>
      </dgm:t>
    </dgm:pt>
    <dgm:pt modelId="{E13DD2C2-6F67-4D5A-AE62-C0B29A585A97}" type="pres">
      <dgm:prSet presAssocID="{28DDFD88-E1E3-486A-A32B-DBF856348A6D}" presName="aSpace" presStyleCnt="0"/>
      <dgm:spPr/>
      <dgm:t>
        <a:bodyPr/>
        <a:lstStyle/>
        <a:p>
          <a:endParaRPr lang="fr-FR"/>
        </a:p>
      </dgm:t>
    </dgm:pt>
    <dgm:pt modelId="{2CE29AAF-9B28-4278-BE1A-E32D81EFEDCC}" type="pres">
      <dgm:prSet presAssocID="{A2CEF689-9F2B-448C-A9D1-176963683346}" presName="aNode" presStyleLbl="fgAcc1" presStyleIdx="3" presStyleCnt="19" custScaleX="67909" custScaleY="19699467" custLinFactY="146378107" custLinFactNeighborX="-32174" custLinFactNeighborY="146400000">
        <dgm:presLayoutVars>
          <dgm:bulletEnabled val="1"/>
        </dgm:presLayoutVars>
      </dgm:prSet>
      <dgm:spPr/>
      <dgm:t>
        <a:bodyPr/>
        <a:lstStyle/>
        <a:p>
          <a:endParaRPr lang="fr-FR"/>
        </a:p>
      </dgm:t>
    </dgm:pt>
    <dgm:pt modelId="{1811444D-57CB-4813-AB94-9E6B24B36826}" type="pres">
      <dgm:prSet presAssocID="{A2CEF689-9F2B-448C-A9D1-176963683346}" presName="aSpace" presStyleCnt="0"/>
      <dgm:spPr/>
      <dgm:t>
        <a:bodyPr/>
        <a:lstStyle/>
        <a:p>
          <a:endParaRPr lang="fr-FR"/>
        </a:p>
      </dgm:t>
    </dgm:pt>
    <dgm:pt modelId="{21529CD5-1D49-4794-A675-CEB6EC8F99AD}" type="pres">
      <dgm:prSet presAssocID="{AD85D7E2-37E4-46F6-9CE3-A78C53C66F3F}" presName="aNode" presStyleLbl="fgAcc1" presStyleIdx="4" presStyleCnt="19" custAng="10800000" custFlipVert="1" custScaleX="48413" custScaleY="19699467" custLinFactY="130335406" custLinFactNeighborX="74671" custLinFactNeighborY="130400000">
        <dgm:presLayoutVars>
          <dgm:bulletEnabled val="1"/>
        </dgm:presLayoutVars>
      </dgm:prSet>
      <dgm:spPr/>
      <dgm:t>
        <a:bodyPr/>
        <a:lstStyle/>
        <a:p>
          <a:endParaRPr lang="fr-FR"/>
        </a:p>
      </dgm:t>
    </dgm:pt>
    <dgm:pt modelId="{123AB86D-47F7-4B27-9EFE-A1DA19722AED}" type="pres">
      <dgm:prSet presAssocID="{AD85D7E2-37E4-46F6-9CE3-A78C53C66F3F}" presName="aSpace" presStyleCnt="0"/>
      <dgm:spPr/>
      <dgm:t>
        <a:bodyPr/>
        <a:lstStyle/>
        <a:p>
          <a:endParaRPr lang="fr-FR"/>
        </a:p>
      </dgm:t>
    </dgm:pt>
    <dgm:pt modelId="{1B8CB791-E5C8-4D6E-9B66-1C07AD1344B4}" type="pres">
      <dgm:prSet presAssocID="{D95232E2-1201-4EB6-ABA9-90E180E24FDB}" presName="aNode" presStyleLbl="fgAcc1" presStyleIdx="5" presStyleCnt="19" custAng="5400000" custScaleX="12761" custScaleY="13455001" custLinFactY="10397542" custLinFactNeighborX="11230" custLinFactNeighborY="10400000">
        <dgm:presLayoutVars>
          <dgm:bulletEnabled val="1"/>
        </dgm:presLayoutVars>
      </dgm:prSet>
      <dgm:spPr>
        <a:prstGeom prst="mathPlus">
          <a:avLst/>
        </a:prstGeom>
      </dgm:spPr>
      <dgm:t>
        <a:bodyPr/>
        <a:lstStyle/>
        <a:p>
          <a:endParaRPr lang="fr-FR"/>
        </a:p>
      </dgm:t>
    </dgm:pt>
    <dgm:pt modelId="{84305241-423C-4394-A41F-A7CEE69DA4F4}" type="pres">
      <dgm:prSet presAssocID="{D95232E2-1201-4EB6-ABA9-90E180E24FDB}" presName="aSpace" presStyleCnt="0"/>
      <dgm:spPr/>
      <dgm:t>
        <a:bodyPr/>
        <a:lstStyle/>
        <a:p>
          <a:endParaRPr lang="fr-FR"/>
        </a:p>
      </dgm:t>
    </dgm:pt>
    <dgm:pt modelId="{0B183182-2FA8-4FE6-B08A-0B3304850CFE}" type="pres">
      <dgm:prSet presAssocID="{D2FA2601-B4B1-4E03-A705-E86F47E30971}" presName="aNode" presStyleLbl="fgAcc1" presStyleIdx="6" presStyleCnt="19" custAng="0" custScaleX="108340" custScaleY="26219991" custLinFactY="-9942611" custLinFactNeighborX="76621" custLinFactNeighborY="-10000000">
        <dgm:presLayoutVars>
          <dgm:bulletEnabled val="1"/>
        </dgm:presLayoutVars>
      </dgm:prSet>
      <dgm:spPr>
        <a:prstGeom prst="ellipse">
          <a:avLst/>
        </a:prstGeom>
      </dgm:spPr>
      <dgm:t>
        <a:bodyPr/>
        <a:lstStyle/>
        <a:p>
          <a:endParaRPr lang="fr-FR"/>
        </a:p>
      </dgm:t>
    </dgm:pt>
    <dgm:pt modelId="{B7D94702-2330-40B7-9462-40905FBCBD13}" type="pres">
      <dgm:prSet presAssocID="{D2FA2601-B4B1-4E03-A705-E86F47E30971}" presName="aSpace" presStyleCnt="0"/>
      <dgm:spPr/>
      <dgm:t>
        <a:bodyPr/>
        <a:lstStyle/>
        <a:p>
          <a:endParaRPr lang="fr-FR"/>
        </a:p>
      </dgm:t>
    </dgm:pt>
    <dgm:pt modelId="{FF7165DC-1B1B-4CF0-8FC5-84239D22E924}" type="pres">
      <dgm:prSet presAssocID="{ECC3ADB8-E39D-4B60-82A9-3FB9C5BAFA23}" presName="aNode" presStyleLbl="fgAcc1" presStyleIdx="7" presStyleCnt="19" custScaleX="27298" custScaleY="19699467" custLinFactY="3309491" custLinFactNeighborX="-17423" custLinFactNeighborY="3400000">
        <dgm:presLayoutVars>
          <dgm:bulletEnabled val="1"/>
        </dgm:presLayoutVars>
      </dgm:prSet>
      <dgm:spPr/>
      <dgm:t>
        <a:bodyPr/>
        <a:lstStyle/>
        <a:p>
          <a:endParaRPr lang="fr-FR"/>
        </a:p>
      </dgm:t>
    </dgm:pt>
    <dgm:pt modelId="{CC244EA6-E203-4FFB-BB17-956C41BA5907}" type="pres">
      <dgm:prSet presAssocID="{ECC3ADB8-E39D-4B60-82A9-3FB9C5BAFA23}" presName="aSpace" presStyleCnt="0"/>
      <dgm:spPr/>
      <dgm:t>
        <a:bodyPr/>
        <a:lstStyle/>
        <a:p>
          <a:endParaRPr lang="fr-FR"/>
        </a:p>
      </dgm:t>
    </dgm:pt>
    <dgm:pt modelId="{C09EB180-AA17-49C9-9ED5-8DE38E121CB3}" type="pres">
      <dgm:prSet presAssocID="{89771021-5CD9-47B0-A451-89708F78C88C}" presName="aNode" presStyleLbl="fgAcc1" presStyleIdx="8" presStyleCnt="19" custAng="0" custScaleX="39533" custScaleY="14800501" custLinFactX="6139" custLinFactY="26296961" custLinFactNeighborX="100000" custLinFactNeighborY="26300000">
        <dgm:presLayoutVars>
          <dgm:bulletEnabled val="1"/>
        </dgm:presLayoutVars>
      </dgm:prSet>
      <dgm:spPr>
        <a:prstGeom prst="roundRect">
          <a:avLst/>
        </a:prstGeom>
      </dgm:spPr>
      <dgm:t>
        <a:bodyPr/>
        <a:lstStyle/>
        <a:p>
          <a:endParaRPr lang="fr-FR"/>
        </a:p>
      </dgm:t>
    </dgm:pt>
    <dgm:pt modelId="{148C1FA1-9238-49E4-9223-AE7C5F111BDC}" type="pres">
      <dgm:prSet presAssocID="{89771021-5CD9-47B0-A451-89708F78C88C}" presName="aSpace" presStyleCnt="0"/>
      <dgm:spPr/>
      <dgm:t>
        <a:bodyPr/>
        <a:lstStyle/>
        <a:p>
          <a:endParaRPr lang="fr-FR"/>
        </a:p>
      </dgm:t>
    </dgm:pt>
    <dgm:pt modelId="{79885C82-B3CE-4A79-9B1F-9B66272060A6}" type="pres">
      <dgm:prSet presAssocID="{D65FF772-F856-423D-B3E7-DD20193618E1}" presName="aNode" presStyleLbl="fgAcc1" presStyleIdx="9" presStyleCnt="19" custAng="7795153" custFlipVert="0" custFlipHor="0" custScaleX="22558" custScaleY="2000000" custLinFactY="-11392879" custLinFactNeighborX="55416" custLinFactNeighborY="-11400000">
        <dgm:presLayoutVars>
          <dgm:bulletEnabled val="1"/>
        </dgm:presLayoutVars>
      </dgm:prSet>
      <dgm:spPr>
        <a:prstGeom prst="notchedRightArrow">
          <a:avLst/>
        </a:prstGeom>
      </dgm:spPr>
      <dgm:t>
        <a:bodyPr/>
        <a:lstStyle/>
        <a:p>
          <a:endParaRPr lang="fr-FR"/>
        </a:p>
      </dgm:t>
    </dgm:pt>
    <dgm:pt modelId="{CF89915A-4914-4F32-9955-A46E35F2CBC2}" type="pres">
      <dgm:prSet presAssocID="{D65FF772-F856-423D-B3E7-DD20193618E1}" presName="aSpace" presStyleCnt="0"/>
      <dgm:spPr/>
      <dgm:t>
        <a:bodyPr/>
        <a:lstStyle/>
        <a:p>
          <a:endParaRPr lang="fr-FR"/>
        </a:p>
      </dgm:t>
    </dgm:pt>
    <dgm:pt modelId="{109F40BD-38D8-4FA5-8A94-72C12991089C}" type="pres">
      <dgm:prSet presAssocID="{BF9D8A51-5B6C-46CC-A0E3-CD058E2FB38D}" presName="aNode" presStyleLbl="fgAcc1" presStyleIdx="10" presStyleCnt="19" custAng="7995394" custFlipVert="0" custFlipHor="1" custScaleX="24383" custScaleY="2000000" custLinFactY="-12979710" custLinFactNeighborX="91530" custLinFactNeighborY="-13000000">
        <dgm:presLayoutVars>
          <dgm:bulletEnabled val="1"/>
        </dgm:presLayoutVars>
      </dgm:prSet>
      <dgm:spPr>
        <a:prstGeom prst="notchedRightArrow">
          <a:avLst/>
        </a:prstGeom>
      </dgm:spPr>
      <dgm:t>
        <a:bodyPr/>
        <a:lstStyle/>
        <a:p>
          <a:endParaRPr lang="fr-FR"/>
        </a:p>
      </dgm:t>
    </dgm:pt>
    <dgm:pt modelId="{43B88622-E56F-430C-9651-05216563034A}" type="pres">
      <dgm:prSet presAssocID="{BF9D8A51-5B6C-46CC-A0E3-CD058E2FB38D}" presName="aSpace" presStyleCnt="0"/>
      <dgm:spPr/>
      <dgm:t>
        <a:bodyPr/>
        <a:lstStyle/>
        <a:p>
          <a:endParaRPr lang="fr-FR"/>
        </a:p>
      </dgm:t>
    </dgm:pt>
    <dgm:pt modelId="{51332F50-5A78-4054-9A53-F96F93FE2739}" type="pres">
      <dgm:prSet presAssocID="{01AF93C9-D2AC-4808-B29D-4C76A0553F28}" presName="aNode" presStyleLbl="fgAcc1" presStyleIdx="11" presStyleCnt="19" custAng="2908874" custFlipVert="1" custScaleX="24031" custScaleY="2000000" custLinFactY="-96434880" custLinFactNeighborX="89559" custLinFactNeighborY="-96500000">
        <dgm:presLayoutVars>
          <dgm:bulletEnabled val="1"/>
        </dgm:presLayoutVars>
      </dgm:prSet>
      <dgm:spPr>
        <a:prstGeom prst="notchedRightArrow">
          <a:avLst/>
        </a:prstGeom>
      </dgm:spPr>
      <dgm:t>
        <a:bodyPr/>
        <a:lstStyle/>
        <a:p>
          <a:endParaRPr lang="fr-FR"/>
        </a:p>
      </dgm:t>
    </dgm:pt>
    <dgm:pt modelId="{88504F89-CC6F-4AD5-8189-75611A1BCD1A}" type="pres">
      <dgm:prSet presAssocID="{01AF93C9-D2AC-4808-B29D-4C76A0553F28}" presName="aSpace" presStyleCnt="0"/>
      <dgm:spPr/>
      <dgm:t>
        <a:bodyPr/>
        <a:lstStyle/>
        <a:p>
          <a:endParaRPr lang="fr-FR"/>
        </a:p>
      </dgm:t>
    </dgm:pt>
    <dgm:pt modelId="{47068904-0F66-4609-8153-AB353004CB0A}" type="pres">
      <dgm:prSet presAssocID="{4B7B416D-63E5-46CB-BBDE-1362CE9F10EF}" presName="aNode" presStyleLbl="fgAcc1" presStyleIdx="12" presStyleCnt="19" custAng="2747771" custFlipVert="1" custFlipHor="1" custScaleX="23759" custScaleY="2200000" custLinFactY="-97358405" custLinFactNeighborX="51135" custLinFactNeighborY="-97400000">
        <dgm:presLayoutVars>
          <dgm:bulletEnabled val="1"/>
        </dgm:presLayoutVars>
      </dgm:prSet>
      <dgm:spPr>
        <a:prstGeom prst="notchedRightArrow">
          <a:avLst/>
        </a:prstGeom>
      </dgm:spPr>
      <dgm:t>
        <a:bodyPr/>
        <a:lstStyle/>
        <a:p>
          <a:endParaRPr lang="fr-FR"/>
        </a:p>
      </dgm:t>
    </dgm:pt>
    <dgm:pt modelId="{9F8E93EB-E910-4277-B347-B6622719851A}" type="pres">
      <dgm:prSet presAssocID="{4B7B416D-63E5-46CB-BBDE-1362CE9F10EF}" presName="aSpace" presStyleCnt="0"/>
      <dgm:spPr/>
      <dgm:t>
        <a:bodyPr/>
        <a:lstStyle/>
        <a:p>
          <a:endParaRPr lang="fr-FR"/>
        </a:p>
      </dgm:t>
    </dgm:pt>
    <dgm:pt modelId="{42E77EEE-1A3E-46F6-AEE4-D7B1861803A8}" type="pres">
      <dgm:prSet presAssocID="{40C19837-B4D8-4100-91BB-58F376893610}" presName="aNode" presStyleLbl="fgAcc1" presStyleIdx="13" presStyleCnt="19" custScaleX="46981" custScaleY="14800501" custLinFactY="-140647672" custLinFactNeighborX="40332" custLinFactNeighborY="-140700000">
        <dgm:presLayoutVars>
          <dgm:bulletEnabled val="1"/>
        </dgm:presLayoutVars>
      </dgm:prSet>
      <dgm:spPr>
        <a:prstGeom prst="roundRect">
          <a:avLst/>
        </a:prstGeom>
      </dgm:spPr>
      <dgm:t>
        <a:bodyPr/>
        <a:lstStyle/>
        <a:p>
          <a:endParaRPr lang="fr-FR"/>
        </a:p>
      </dgm:t>
    </dgm:pt>
    <dgm:pt modelId="{EABE16B8-B7D2-43B9-820C-4997CAFA71FE}" type="pres">
      <dgm:prSet presAssocID="{40C19837-B4D8-4100-91BB-58F376893610}" presName="aSpace" presStyleCnt="0"/>
      <dgm:spPr/>
      <dgm:t>
        <a:bodyPr/>
        <a:lstStyle/>
        <a:p>
          <a:endParaRPr lang="fr-FR"/>
        </a:p>
      </dgm:t>
    </dgm:pt>
    <dgm:pt modelId="{359778CA-505F-40AF-B3B7-61207F57A333}" type="pres">
      <dgm:prSet presAssocID="{AAFDF3A6-092A-47CF-960A-210B0C704D05}" presName="aNode" presStyleLbl="fgAcc1" presStyleIdx="14" presStyleCnt="19" custAng="0" custScaleX="43023" custScaleY="14800501" custLinFactY="-7526504" custLinFactNeighborX="40858" custLinFactNeighborY="-7600000">
        <dgm:presLayoutVars>
          <dgm:bulletEnabled val="1"/>
        </dgm:presLayoutVars>
      </dgm:prSet>
      <dgm:spPr>
        <a:prstGeom prst="roundRect">
          <a:avLst/>
        </a:prstGeom>
      </dgm:spPr>
      <dgm:t>
        <a:bodyPr/>
        <a:lstStyle/>
        <a:p>
          <a:endParaRPr lang="fr-FR"/>
        </a:p>
      </dgm:t>
    </dgm:pt>
    <dgm:pt modelId="{9BDF71F3-1C01-47B2-90CB-7D5BF5083673}" type="pres">
      <dgm:prSet presAssocID="{AAFDF3A6-092A-47CF-960A-210B0C704D05}" presName="aSpace" presStyleCnt="0"/>
      <dgm:spPr/>
      <dgm:t>
        <a:bodyPr/>
        <a:lstStyle/>
        <a:p>
          <a:endParaRPr lang="fr-FR"/>
        </a:p>
      </dgm:t>
    </dgm:pt>
    <dgm:pt modelId="{AD03626A-AF6E-45CD-AB1B-3C72636E5E5A}" type="pres">
      <dgm:prSet presAssocID="{BDD03346-979F-47FF-A508-713AD7EC7B33}" presName="aNode" presStyleLbl="fgAcc1" presStyleIdx="15" presStyleCnt="19" custScaleX="56390" custScaleY="13455001" custLinFactX="1749" custLinFactY="-166129332" custLinFactNeighborX="100000" custLinFactNeighborY="-166200000">
        <dgm:presLayoutVars>
          <dgm:bulletEnabled val="1"/>
        </dgm:presLayoutVars>
      </dgm:prSet>
      <dgm:spPr>
        <a:prstGeom prst="roundRect">
          <a:avLst/>
        </a:prstGeom>
      </dgm:spPr>
      <dgm:t>
        <a:bodyPr/>
        <a:lstStyle/>
        <a:p>
          <a:endParaRPr lang="fr-FR"/>
        </a:p>
      </dgm:t>
    </dgm:pt>
    <dgm:pt modelId="{C2612C42-AE77-4E33-854C-E26B7D523DAE}" type="pres">
      <dgm:prSet presAssocID="{BDD03346-979F-47FF-A508-713AD7EC7B33}" presName="aSpace" presStyleCnt="0"/>
      <dgm:spPr/>
      <dgm:t>
        <a:bodyPr/>
        <a:lstStyle/>
        <a:p>
          <a:endParaRPr lang="fr-FR"/>
        </a:p>
      </dgm:t>
    </dgm:pt>
    <dgm:pt modelId="{5043320E-DD84-4A83-89E2-DDEE4CBE032E}" type="pres">
      <dgm:prSet presAssocID="{366F56F4-8906-4C73-9616-E1B9DF653F11}" presName="aNode" presStyleLbl="fgAcc1" presStyleIdx="16" presStyleCnt="19" custScaleX="192000" custScaleY="16280551" custLinFactY="42400000" custLinFactNeighborX="34448" custLinFactNeighborY="42419056">
        <dgm:presLayoutVars>
          <dgm:bulletEnabled val="1"/>
        </dgm:presLayoutVars>
      </dgm:prSet>
      <dgm:spPr/>
      <dgm:t>
        <a:bodyPr/>
        <a:lstStyle/>
        <a:p>
          <a:endParaRPr lang="fr-FR"/>
        </a:p>
      </dgm:t>
    </dgm:pt>
    <dgm:pt modelId="{9A5F0A0D-92AC-42E5-9AB9-48B0C0DE9A09}" type="pres">
      <dgm:prSet presAssocID="{366F56F4-8906-4C73-9616-E1B9DF653F11}" presName="aSpace" presStyleCnt="0"/>
      <dgm:spPr/>
      <dgm:t>
        <a:bodyPr/>
        <a:lstStyle/>
        <a:p>
          <a:endParaRPr lang="fr-FR"/>
        </a:p>
      </dgm:t>
    </dgm:pt>
    <dgm:pt modelId="{ADEC167F-603A-43D9-BAAF-FCF23E416D98}" type="pres">
      <dgm:prSet presAssocID="{8EB7ADAC-CC67-495F-B0C7-077784262F72}" presName="aNode" presStyleLbl="fgAcc1" presStyleIdx="17" presStyleCnt="19" custAng="10800000" custScaleX="9501" custScaleY="11119835" custLinFactY="-109720264" custLinFactNeighborX="-72039" custLinFactNeighborY="-109800000">
        <dgm:presLayoutVars>
          <dgm:bulletEnabled val="1"/>
        </dgm:presLayoutVars>
      </dgm:prSet>
      <dgm:spPr>
        <a:prstGeom prst="rightArrow">
          <a:avLst/>
        </a:prstGeom>
      </dgm:spPr>
      <dgm:t>
        <a:bodyPr/>
        <a:lstStyle/>
        <a:p>
          <a:endParaRPr lang="fr-FR"/>
        </a:p>
      </dgm:t>
    </dgm:pt>
    <dgm:pt modelId="{2F93AD0B-D204-4EAC-83C9-BF5554CDF20B}" type="pres">
      <dgm:prSet presAssocID="{8EB7ADAC-CC67-495F-B0C7-077784262F72}" presName="aSpace" presStyleCnt="0"/>
      <dgm:spPr/>
      <dgm:t>
        <a:bodyPr/>
        <a:lstStyle/>
        <a:p>
          <a:endParaRPr lang="fr-FR"/>
        </a:p>
      </dgm:t>
    </dgm:pt>
    <dgm:pt modelId="{44572DE2-0292-4B04-B2D1-63B03F4C6EF1}" type="pres">
      <dgm:prSet presAssocID="{2C4B3A9A-3D72-44E4-9A1F-D1F732822980}" presName="aNode" presStyleLbl="fgAcc1" presStyleIdx="18" presStyleCnt="19" custAng="0" custFlipVert="0" custScaleX="52918" custScaleY="21669414" custLinFactX="-9398" custLinFactY="-124765229" custLinFactNeighborX="-100000" custLinFactNeighborY="-124800000">
        <dgm:presLayoutVars>
          <dgm:bulletEnabled val="1"/>
        </dgm:presLayoutVars>
      </dgm:prSet>
      <dgm:spPr>
        <a:prstGeom prst="roundRect">
          <a:avLst/>
        </a:prstGeom>
      </dgm:spPr>
      <dgm:t>
        <a:bodyPr/>
        <a:lstStyle/>
        <a:p>
          <a:endParaRPr lang="fr-FR"/>
        </a:p>
      </dgm:t>
    </dgm:pt>
    <dgm:pt modelId="{DB1D96F4-6904-419A-B0A0-2DFBC968796A}" type="pres">
      <dgm:prSet presAssocID="{2C4B3A9A-3D72-44E4-9A1F-D1F732822980}" presName="aSpace" presStyleCnt="0"/>
      <dgm:spPr/>
      <dgm:t>
        <a:bodyPr/>
        <a:lstStyle/>
        <a:p>
          <a:endParaRPr lang="fr-FR"/>
        </a:p>
      </dgm:t>
    </dgm:pt>
  </dgm:ptLst>
  <dgm:cxnLst>
    <dgm:cxn modelId="{85D8B1C7-614B-41DC-8E47-9C84B7E6FEF9}" srcId="{8D8EDBD7-BC62-43C6-B68C-6906DECA67A6}" destId="{8EB7ADAC-CC67-495F-B0C7-077784262F72}" srcOrd="17" destOrd="0" parTransId="{C4298CCB-F458-48B8-9FD7-060E72ECAC8C}" sibTransId="{56908DC9-02E6-4191-8BBB-A042221C3B4D}"/>
    <dgm:cxn modelId="{EBD1C533-D470-42C5-BED3-1AAA4B631B2A}" srcId="{8D8EDBD7-BC62-43C6-B68C-6906DECA67A6}" destId="{89771021-5CD9-47B0-A451-89708F78C88C}" srcOrd="8" destOrd="0" parTransId="{F08C5673-9FE4-4977-8903-38029B474F48}" sibTransId="{8A54466A-91BF-4867-B21E-286F6B4463A9}"/>
    <dgm:cxn modelId="{02E5840B-D9B8-48DD-8C67-2FB9EF0231CF}" type="presOf" srcId="{28DDFD88-E1E3-486A-A32B-DBF856348A6D}" destId="{6395A356-6F24-41E3-9829-18BB315A57E1}" srcOrd="0" destOrd="0" presId="urn:microsoft.com/office/officeart/2005/8/layout/pyramid2"/>
    <dgm:cxn modelId="{D8003169-0AC0-44DA-A5EA-1BBC3F5580E2}" type="presOf" srcId="{D65FF772-F856-423D-B3E7-DD20193618E1}" destId="{79885C82-B3CE-4A79-9B1F-9B66272060A6}" srcOrd="0" destOrd="0" presId="urn:microsoft.com/office/officeart/2005/8/layout/pyramid2"/>
    <dgm:cxn modelId="{AD594AAB-85C4-4B66-AA07-44674401BBB1}" type="presOf" srcId="{4B7B416D-63E5-46CB-BBDE-1362CE9F10EF}" destId="{47068904-0F66-4609-8153-AB353004CB0A}" srcOrd="0" destOrd="0" presId="urn:microsoft.com/office/officeart/2005/8/layout/pyramid2"/>
    <dgm:cxn modelId="{654702EF-E803-4DDF-84E8-CFC187F89F22}" type="presOf" srcId="{8D8EDBD7-BC62-43C6-B68C-6906DECA67A6}" destId="{ACD65BCD-154F-4586-A4E7-63A7F855670C}" srcOrd="0" destOrd="0" presId="urn:microsoft.com/office/officeart/2005/8/layout/pyramid2"/>
    <dgm:cxn modelId="{A1407A62-CBD5-487B-A88F-EB57B86889A2}" type="presOf" srcId="{8EB7ADAC-CC67-495F-B0C7-077784262F72}" destId="{ADEC167F-603A-43D9-BAAF-FCF23E416D98}" srcOrd="0" destOrd="0" presId="urn:microsoft.com/office/officeart/2005/8/layout/pyramid2"/>
    <dgm:cxn modelId="{711592EA-14AC-4DDF-9BE9-2DBB0F8C5BCD}" type="presOf" srcId="{ECC3ADB8-E39D-4B60-82A9-3FB9C5BAFA23}" destId="{FF7165DC-1B1B-4CF0-8FC5-84239D22E924}" srcOrd="0" destOrd="0" presId="urn:microsoft.com/office/officeart/2005/8/layout/pyramid2"/>
    <dgm:cxn modelId="{324B7F92-6F71-4B5B-B57E-CC40AFC4D5B6}" type="presOf" srcId="{2C4B3A9A-3D72-44E4-9A1F-D1F732822980}" destId="{44572DE2-0292-4B04-B2D1-63B03F4C6EF1}" srcOrd="0" destOrd="0" presId="urn:microsoft.com/office/officeart/2005/8/layout/pyramid2"/>
    <dgm:cxn modelId="{1D519822-D00A-418D-AD55-018EF6E4ADCB}" srcId="{8D8EDBD7-BC62-43C6-B68C-6906DECA67A6}" destId="{BB480361-2071-41FA-A70E-03BE55BA0534}" srcOrd="0" destOrd="0" parTransId="{DE04CB84-3ED8-4DA0-A21D-D3DF4A690184}" sibTransId="{93F35551-A691-4BD2-BFE4-F99942FFC3D8}"/>
    <dgm:cxn modelId="{44C15D07-521D-4F5D-8355-AD167F0F6B22}" srcId="{8D8EDBD7-BC62-43C6-B68C-6906DECA67A6}" destId="{4B7B416D-63E5-46CB-BBDE-1362CE9F10EF}" srcOrd="12" destOrd="0" parTransId="{0CF4BD80-2890-4903-A22C-034223B7758B}" sibTransId="{EEB77EA9-AA8E-4D26-8287-593DEF3C3809}"/>
    <dgm:cxn modelId="{7E2B677F-8004-4A29-A0DA-B7666F0A0ED7}" type="presOf" srcId="{BDD03346-979F-47FF-A508-713AD7EC7B33}" destId="{AD03626A-AF6E-45CD-AB1B-3C72636E5E5A}" srcOrd="0" destOrd="0" presId="urn:microsoft.com/office/officeart/2005/8/layout/pyramid2"/>
    <dgm:cxn modelId="{E6B61D63-B21B-4944-91FC-5112C62A82C8}" srcId="{8D8EDBD7-BC62-43C6-B68C-6906DECA67A6}" destId="{D65FF772-F856-423D-B3E7-DD20193618E1}" srcOrd="9" destOrd="0" parTransId="{CECE609B-76AE-489E-BFFB-F699A960ED10}" sibTransId="{8906A4B6-C311-4954-AC2F-7FC48CD14B02}"/>
    <dgm:cxn modelId="{40D6B8C1-FFAE-4724-BF7A-D362D1987F7E}" srcId="{8D8EDBD7-BC62-43C6-B68C-6906DECA67A6}" destId="{366F56F4-8906-4C73-9616-E1B9DF653F11}" srcOrd="16" destOrd="0" parTransId="{6B59BBB1-D7D6-4C3C-99B7-C16D7D4C737A}" sibTransId="{47D79483-DD3B-4830-A014-1BD82B45F386}"/>
    <dgm:cxn modelId="{FD2AA57E-8734-42BC-9E28-897A9A0EF4E1}" type="presOf" srcId="{BB480361-2071-41FA-A70E-03BE55BA0534}" destId="{73797847-36D3-44ED-8DE0-995D213A5304}" srcOrd="0" destOrd="0" presId="urn:microsoft.com/office/officeart/2005/8/layout/pyramid2"/>
    <dgm:cxn modelId="{FAF8FC15-C9CC-42D6-9CDD-6B78A22F9435}" srcId="{8D8EDBD7-BC62-43C6-B68C-6906DECA67A6}" destId="{BF9D8A51-5B6C-46CC-A0E3-CD058E2FB38D}" srcOrd="10" destOrd="0" parTransId="{97ED6ED8-46E4-4052-89C8-7FB88EA8DDB1}" sibTransId="{7DC03107-253C-495B-8CBE-5EEBCF6CB33C}"/>
    <dgm:cxn modelId="{FE6C698B-4608-4108-BCE2-F6005A20B2A9}" srcId="{8D8EDBD7-BC62-43C6-B68C-6906DECA67A6}" destId="{ECC3ADB8-E39D-4B60-82A9-3FB9C5BAFA23}" srcOrd="7" destOrd="0" parTransId="{2410E2FC-602A-4CB1-ADB1-72DF66E1002F}" sibTransId="{72C74294-95E9-4FA4-BB3E-C8198AE86AA2}"/>
    <dgm:cxn modelId="{702051DD-E64D-4B92-AC27-95FE5B3F0FF7}" srcId="{8D8EDBD7-BC62-43C6-B68C-6906DECA67A6}" destId="{40C19837-B4D8-4100-91BB-58F376893610}" srcOrd="13" destOrd="0" parTransId="{00788E51-057F-496D-88FA-3174D59CE8F4}" sibTransId="{EF51AE22-FB87-4A9C-9CBC-DFEF46266767}"/>
    <dgm:cxn modelId="{DA9A44F6-C41E-4814-AE65-DD1837A0D496}" srcId="{8D8EDBD7-BC62-43C6-B68C-6906DECA67A6}" destId="{AAFDF3A6-092A-47CF-960A-210B0C704D05}" srcOrd="14" destOrd="0" parTransId="{550AB50E-AE98-471B-815F-B2A71FC64C6A}" sibTransId="{093C28DE-8CCE-4632-894E-CA2AC7DF57B1}"/>
    <dgm:cxn modelId="{4114C838-5F0D-4C9E-89BC-8CE66879C085}" srcId="{8D8EDBD7-BC62-43C6-B68C-6906DECA67A6}" destId="{D2FA2601-B4B1-4E03-A705-E86F47E30971}" srcOrd="6" destOrd="0" parTransId="{9ECF1D4D-8D0B-4CF2-852E-8CDF8B559F68}" sibTransId="{5196DCA9-1A40-4028-855F-A89F27384CB8}"/>
    <dgm:cxn modelId="{1C5AA6E3-C4D8-43E3-B550-75D15699AD18}" type="presOf" srcId="{40C19837-B4D8-4100-91BB-58F376893610}" destId="{42E77EEE-1A3E-46F6-AEE4-D7B1861803A8}" srcOrd="0" destOrd="0" presId="urn:microsoft.com/office/officeart/2005/8/layout/pyramid2"/>
    <dgm:cxn modelId="{775C35E1-42B9-4A2C-83BE-C83377D14985}" type="presOf" srcId="{366F56F4-8906-4C73-9616-E1B9DF653F11}" destId="{5043320E-DD84-4A83-89E2-DDEE4CBE032E}" srcOrd="0" destOrd="0" presId="urn:microsoft.com/office/officeart/2005/8/layout/pyramid2"/>
    <dgm:cxn modelId="{5CBC886A-E37C-4BF1-B2F5-6DB7A672B3C4}" srcId="{8D8EDBD7-BC62-43C6-B68C-6906DECA67A6}" destId="{AD85D7E2-37E4-46F6-9CE3-A78C53C66F3F}" srcOrd="4" destOrd="0" parTransId="{D8987335-7C4C-4BFF-83B0-599BBC164D9F}" sibTransId="{BE4CB6CC-9359-4D89-9870-294319EFE2C7}"/>
    <dgm:cxn modelId="{41961120-61AA-4E6C-9A79-33D587B429DA}" srcId="{8D8EDBD7-BC62-43C6-B68C-6906DECA67A6}" destId="{CDCBA91B-FE00-4F03-A8D1-A0F94DF65A0C}" srcOrd="1" destOrd="0" parTransId="{F76BA289-2990-4998-A77D-5A170E0C3B4F}" sibTransId="{20B2C400-42E4-4A32-9F27-3197DC32DC5F}"/>
    <dgm:cxn modelId="{86A1F1B2-4653-4C17-AB46-DDB7D68C76E8}" type="presOf" srcId="{D95232E2-1201-4EB6-ABA9-90E180E24FDB}" destId="{1B8CB791-E5C8-4D6E-9B66-1C07AD1344B4}" srcOrd="0" destOrd="0" presId="urn:microsoft.com/office/officeart/2005/8/layout/pyramid2"/>
    <dgm:cxn modelId="{2050852A-B432-44F0-99E8-FD0DC26917C7}" srcId="{8D8EDBD7-BC62-43C6-B68C-6906DECA67A6}" destId="{28DDFD88-E1E3-486A-A32B-DBF856348A6D}" srcOrd="2" destOrd="0" parTransId="{75D460D3-FE84-47AA-9B1C-50508575ED64}" sibTransId="{7F0B1F81-F5DC-49B6-B9ED-B6D455EAB35C}"/>
    <dgm:cxn modelId="{D3290B4B-3650-4AC8-91EB-C538D671A887}" type="presOf" srcId="{CDCBA91B-FE00-4F03-A8D1-A0F94DF65A0C}" destId="{4667463F-009E-4256-838A-9A79E870E774}" srcOrd="0" destOrd="0" presId="urn:microsoft.com/office/officeart/2005/8/layout/pyramid2"/>
    <dgm:cxn modelId="{9FAE3352-7C62-434F-869C-3F0FFB764687}" srcId="{8D8EDBD7-BC62-43C6-B68C-6906DECA67A6}" destId="{A2CEF689-9F2B-448C-A9D1-176963683346}" srcOrd="3" destOrd="0" parTransId="{8E26E67F-6DA1-435E-8ADE-CA0775408C25}" sibTransId="{A2A4EA63-1241-418F-9864-94335D68A9FE}"/>
    <dgm:cxn modelId="{0F57E2A9-D297-447C-8C4A-26604B5E5DA2}" type="presOf" srcId="{D2FA2601-B4B1-4E03-A705-E86F47E30971}" destId="{0B183182-2FA8-4FE6-B08A-0B3304850CFE}" srcOrd="0" destOrd="0" presId="urn:microsoft.com/office/officeart/2005/8/layout/pyramid2"/>
    <dgm:cxn modelId="{ECF5E479-E35A-45BD-ABD7-A67E9DBFCE4B}" srcId="{8D8EDBD7-BC62-43C6-B68C-6906DECA67A6}" destId="{D95232E2-1201-4EB6-ABA9-90E180E24FDB}" srcOrd="5" destOrd="0" parTransId="{9D33E117-B18D-4B84-B0E2-FA8FBD959D77}" sibTransId="{71B0D98A-1B4B-4CA6-85E9-877BB2A74636}"/>
    <dgm:cxn modelId="{BDB72894-A166-4C2F-A68A-176F71BF78F2}" type="presOf" srcId="{89771021-5CD9-47B0-A451-89708F78C88C}" destId="{C09EB180-AA17-49C9-9ED5-8DE38E121CB3}" srcOrd="0" destOrd="0" presId="urn:microsoft.com/office/officeart/2005/8/layout/pyramid2"/>
    <dgm:cxn modelId="{0A7ADF5C-0272-468F-8C78-A4BB31CC6676}" type="presOf" srcId="{AD85D7E2-37E4-46F6-9CE3-A78C53C66F3F}" destId="{21529CD5-1D49-4794-A675-CEB6EC8F99AD}" srcOrd="0" destOrd="0" presId="urn:microsoft.com/office/officeart/2005/8/layout/pyramid2"/>
    <dgm:cxn modelId="{5E1E44C9-F433-4544-817B-1C4DB4B9BE92}" type="presOf" srcId="{AAFDF3A6-092A-47CF-960A-210B0C704D05}" destId="{359778CA-505F-40AF-B3B7-61207F57A333}" srcOrd="0" destOrd="0" presId="urn:microsoft.com/office/officeart/2005/8/layout/pyramid2"/>
    <dgm:cxn modelId="{CFBE2A5F-6822-4488-BA69-1FC2E762D5ED}" srcId="{8D8EDBD7-BC62-43C6-B68C-6906DECA67A6}" destId="{BDD03346-979F-47FF-A508-713AD7EC7B33}" srcOrd="15" destOrd="0" parTransId="{CF30A555-C3A5-42E5-8AC2-1D0D840AE95E}" sibTransId="{58030FC2-BCF5-4916-A369-2292B69DB152}"/>
    <dgm:cxn modelId="{1189F863-3D82-43F0-99AF-815D5AB4C726}" srcId="{8D8EDBD7-BC62-43C6-B68C-6906DECA67A6}" destId="{01AF93C9-D2AC-4808-B29D-4C76A0553F28}" srcOrd="11" destOrd="0" parTransId="{9F4329D8-F7EC-4D39-8AE4-0275C304D31A}" sibTransId="{0647497C-BFBB-4412-9441-ED3957AD3B09}"/>
    <dgm:cxn modelId="{75518F1D-0F34-481A-B456-9EB766932E70}" srcId="{8D8EDBD7-BC62-43C6-B68C-6906DECA67A6}" destId="{2C4B3A9A-3D72-44E4-9A1F-D1F732822980}" srcOrd="18" destOrd="0" parTransId="{11D21F2E-E0A3-4B4C-AFFC-5927B2DC49A6}" sibTransId="{C8A1DE36-27CD-4F85-B40E-EE1E75F4C67E}"/>
    <dgm:cxn modelId="{C996EE63-A3D7-4D8C-A548-523AEFD376D6}" type="presOf" srcId="{A2CEF689-9F2B-448C-A9D1-176963683346}" destId="{2CE29AAF-9B28-4278-BE1A-E32D81EFEDCC}" srcOrd="0" destOrd="0" presId="urn:microsoft.com/office/officeart/2005/8/layout/pyramid2"/>
    <dgm:cxn modelId="{61F3BE90-9918-4D18-A6A8-DFDFAC3941FF}" type="presOf" srcId="{01AF93C9-D2AC-4808-B29D-4C76A0553F28}" destId="{51332F50-5A78-4054-9A53-F96F93FE2739}" srcOrd="0" destOrd="0" presId="urn:microsoft.com/office/officeart/2005/8/layout/pyramid2"/>
    <dgm:cxn modelId="{04D677AC-1068-462A-9F76-CB6E23B9A9E5}" type="presOf" srcId="{BF9D8A51-5B6C-46CC-A0E3-CD058E2FB38D}" destId="{109F40BD-38D8-4FA5-8A94-72C12991089C}" srcOrd="0" destOrd="0" presId="urn:microsoft.com/office/officeart/2005/8/layout/pyramid2"/>
    <dgm:cxn modelId="{5D3B4C4F-AA13-4FC8-99CE-1AF2FA373B58}" type="presParOf" srcId="{ACD65BCD-154F-4586-A4E7-63A7F855670C}" destId="{A01AF7DC-4C61-4738-BDD7-60C1E632DC49}" srcOrd="0" destOrd="0" presId="urn:microsoft.com/office/officeart/2005/8/layout/pyramid2"/>
    <dgm:cxn modelId="{43E2364C-6D43-4C48-8D0E-03015F78FA6B}" type="presParOf" srcId="{ACD65BCD-154F-4586-A4E7-63A7F855670C}" destId="{7343392C-BACC-4979-B392-E87A3C09876E}" srcOrd="1" destOrd="0" presId="urn:microsoft.com/office/officeart/2005/8/layout/pyramid2"/>
    <dgm:cxn modelId="{88A39A39-483C-4657-91ED-8D326871B6D7}" type="presParOf" srcId="{7343392C-BACC-4979-B392-E87A3C09876E}" destId="{73797847-36D3-44ED-8DE0-995D213A5304}" srcOrd="0" destOrd="0" presId="urn:microsoft.com/office/officeart/2005/8/layout/pyramid2"/>
    <dgm:cxn modelId="{3FEB0317-5919-4092-8724-3EEF9B3B9972}" type="presParOf" srcId="{7343392C-BACC-4979-B392-E87A3C09876E}" destId="{DF498C14-ECE7-4D7A-8FF0-19DE9F255521}" srcOrd="1" destOrd="0" presId="urn:microsoft.com/office/officeart/2005/8/layout/pyramid2"/>
    <dgm:cxn modelId="{AA9F9283-9FE7-40A5-9798-F52ECEB38E2D}" type="presParOf" srcId="{7343392C-BACC-4979-B392-E87A3C09876E}" destId="{4667463F-009E-4256-838A-9A79E870E774}" srcOrd="2" destOrd="0" presId="urn:microsoft.com/office/officeart/2005/8/layout/pyramid2"/>
    <dgm:cxn modelId="{2CB58AA2-A554-4B2B-B9F4-D4DA38F7BA3E}" type="presParOf" srcId="{7343392C-BACC-4979-B392-E87A3C09876E}" destId="{80CCD617-5196-4AF2-9154-E3BA791168F1}" srcOrd="3" destOrd="0" presId="urn:microsoft.com/office/officeart/2005/8/layout/pyramid2"/>
    <dgm:cxn modelId="{18B5CEE8-5C47-4AA8-B5B0-8EF42212ABF7}" type="presParOf" srcId="{7343392C-BACC-4979-B392-E87A3C09876E}" destId="{6395A356-6F24-41E3-9829-18BB315A57E1}" srcOrd="4" destOrd="0" presId="urn:microsoft.com/office/officeart/2005/8/layout/pyramid2"/>
    <dgm:cxn modelId="{2205488F-BA32-4C73-ADE3-531FEF2534AD}" type="presParOf" srcId="{7343392C-BACC-4979-B392-E87A3C09876E}" destId="{E13DD2C2-6F67-4D5A-AE62-C0B29A585A97}" srcOrd="5" destOrd="0" presId="urn:microsoft.com/office/officeart/2005/8/layout/pyramid2"/>
    <dgm:cxn modelId="{84A6093B-FB25-465F-B01E-364C0B7BF9E8}" type="presParOf" srcId="{7343392C-BACC-4979-B392-E87A3C09876E}" destId="{2CE29AAF-9B28-4278-BE1A-E32D81EFEDCC}" srcOrd="6" destOrd="0" presId="urn:microsoft.com/office/officeart/2005/8/layout/pyramid2"/>
    <dgm:cxn modelId="{39ED054B-C4FE-483E-88DB-558FF78F7364}" type="presParOf" srcId="{7343392C-BACC-4979-B392-E87A3C09876E}" destId="{1811444D-57CB-4813-AB94-9E6B24B36826}" srcOrd="7" destOrd="0" presId="urn:microsoft.com/office/officeart/2005/8/layout/pyramid2"/>
    <dgm:cxn modelId="{550A8BE7-8354-46EF-BEEA-7C41B65AB7A6}" type="presParOf" srcId="{7343392C-BACC-4979-B392-E87A3C09876E}" destId="{21529CD5-1D49-4794-A675-CEB6EC8F99AD}" srcOrd="8" destOrd="0" presId="urn:microsoft.com/office/officeart/2005/8/layout/pyramid2"/>
    <dgm:cxn modelId="{B9BB4368-72DE-44C6-A22C-01C6A2BD2204}" type="presParOf" srcId="{7343392C-BACC-4979-B392-E87A3C09876E}" destId="{123AB86D-47F7-4B27-9EFE-A1DA19722AED}" srcOrd="9" destOrd="0" presId="urn:microsoft.com/office/officeart/2005/8/layout/pyramid2"/>
    <dgm:cxn modelId="{20A21C7A-7C35-4E94-8574-DF1F321374BF}" type="presParOf" srcId="{7343392C-BACC-4979-B392-E87A3C09876E}" destId="{1B8CB791-E5C8-4D6E-9B66-1C07AD1344B4}" srcOrd="10" destOrd="0" presId="urn:microsoft.com/office/officeart/2005/8/layout/pyramid2"/>
    <dgm:cxn modelId="{46D21802-2040-4D1E-B81D-F7B0E003E987}" type="presParOf" srcId="{7343392C-BACC-4979-B392-E87A3C09876E}" destId="{84305241-423C-4394-A41F-A7CEE69DA4F4}" srcOrd="11" destOrd="0" presId="urn:microsoft.com/office/officeart/2005/8/layout/pyramid2"/>
    <dgm:cxn modelId="{DF45B40C-92BA-4223-B216-FFC812E89E72}" type="presParOf" srcId="{7343392C-BACC-4979-B392-E87A3C09876E}" destId="{0B183182-2FA8-4FE6-B08A-0B3304850CFE}" srcOrd="12" destOrd="0" presId="urn:microsoft.com/office/officeart/2005/8/layout/pyramid2"/>
    <dgm:cxn modelId="{8A9EB444-5845-4253-B4D1-72C1B7F94902}" type="presParOf" srcId="{7343392C-BACC-4979-B392-E87A3C09876E}" destId="{B7D94702-2330-40B7-9462-40905FBCBD13}" srcOrd="13" destOrd="0" presId="urn:microsoft.com/office/officeart/2005/8/layout/pyramid2"/>
    <dgm:cxn modelId="{32C1E292-F064-455E-9A91-EA88318B9617}" type="presParOf" srcId="{7343392C-BACC-4979-B392-E87A3C09876E}" destId="{FF7165DC-1B1B-4CF0-8FC5-84239D22E924}" srcOrd="14" destOrd="0" presId="urn:microsoft.com/office/officeart/2005/8/layout/pyramid2"/>
    <dgm:cxn modelId="{13022699-B033-48D3-9E4A-E5835CB3D51F}" type="presParOf" srcId="{7343392C-BACC-4979-B392-E87A3C09876E}" destId="{CC244EA6-E203-4FFB-BB17-956C41BA5907}" srcOrd="15" destOrd="0" presId="urn:microsoft.com/office/officeart/2005/8/layout/pyramid2"/>
    <dgm:cxn modelId="{A6C01152-5D35-439D-A650-6803CB511DF2}" type="presParOf" srcId="{7343392C-BACC-4979-B392-E87A3C09876E}" destId="{C09EB180-AA17-49C9-9ED5-8DE38E121CB3}" srcOrd="16" destOrd="0" presId="urn:microsoft.com/office/officeart/2005/8/layout/pyramid2"/>
    <dgm:cxn modelId="{5941ADE0-1902-4D4A-8B04-D8487C6140C5}" type="presParOf" srcId="{7343392C-BACC-4979-B392-E87A3C09876E}" destId="{148C1FA1-9238-49E4-9223-AE7C5F111BDC}" srcOrd="17" destOrd="0" presId="urn:microsoft.com/office/officeart/2005/8/layout/pyramid2"/>
    <dgm:cxn modelId="{CB9D150B-AA16-49E8-88BC-BC3BF394C84F}" type="presParOf" srcId="{7343392C-BACC-4979-B392-E87A3C09876E}" destId="{79885C82-B3CE-4A79-9B1F-9B66272060A6}" srcOrd="18" destOrd="0" presId="urn:microsoft.com/office/officeart/2005/8/layout/pyramid2"/>
    <dgm:cxn modelId="{B39962AB-5A43-4F46-A848-ABDF22A8F7D5}" type="presParOf" srcId="{7343392C-BACC-4979-B392-E87A3C09876E}" destId="{CF89915A-4914-4F32-9955-A46E35F2CBC2}" srcOrd="19" destOrd="0" presId="urn:microsoft.com/office/officeart/2005/8/layout/pyramid2"/>
    <dgm:cxn modelId="{C75DDB6A-6B77-4907-8266-993E6369201D}" type="presParOf" srcId="{7343392C-BACC-4979-B392-E87A3C09876E}" destId="{109F40BD-38D8-4FA5-8A94-72C12991089C}" srcOrd="20" destOrd="0" presId="urn:microsoft.com/office/officeart/2005/8/layout/pyramid2"/>
    <dgm:cxn modelId="{F49BCA17-28EC-4197-B0F8-829B69F336E4}" type="presParOf" srcId="{7343392C-BACC-4979-B392-E87A3C09876E}" destId="{43B88622-E56F-430C-9651-05216563034A}" srcOrd="21" destOrd="0" presId="urn:microsoft.com/office/officeart/2005/8/layout/pyramid2"/>
    <dgm:cxn modelId="{6D30459C-3028-4447-9FEC-3B5B1F8008E6}" type="presParOf" srcId="{7343392C-BACC-4979-B392-E87A3C09876E}" destId="{51332F50-5A78-4054-9A53-F96F93FE2739}" srcOrd="22" destOrd="0" presId="urn:microsoft.com/office/officeart/2005/8/layout/pyramid2"/>
    <dgm:cxn modelId="{B3CBA55D-E170-4494-B77A-6B2C4FB40D3D}" type="presParOf" srcId="{7343392C-BACC-4979-B392-E87A3C09876E}" destId="{88504F89-CC6F-4AD5-8189-75611A1BCD1A}" srcOrd="23" destOrd="0" presId="urn:microsoft.com/office/officeart/2005/8/layout/pyramid2"/>
    <dgm:cxn modelId="{856C3234-DCF5-43C1-89E7-4D11FC08205A}" type="presParOf" srcId="{7343392C-BACC-4979-B392-E87A3C09876E}" destId="{47068904-0F66-4609-8153-AB353004CB0A}" srcOrd="24" destOrd="0" presId="urn:microsoft.com/office/officeart/2005/8/layout/pyramid2"/>
    <dgm:cxn modelId="{DE18F1E1-14B1-4CEB-BCBD-5090D750EA0B}" type="presParOf" srcId="{7343392C-BACC-4979-B392-E87A3C09876E}" destId="{9F8E93EB-E910-4277-B347-B6622719851A}" srcOrd="25" destOrd="0" presId="urn:microsoft.com/office/officeart/2005/8/layout/pyramid2"/>
    <dgm:cxn modelId="{C188FB3F-CF8C-4B00-9D7F-135843137D2C}" type="presParOf" srcId="{7343392C-BACC-4979-B392-E87A3C09876E}" destId="{42E77EEE-1A3E-46F6-AEE4-D7B1861803A8}" srcOrd="26" destOrd="0" presId="urn:microsoft.com/office/officeart/2005/8/layout/pyramid2"/>
    <dgm:cxn modelId="{63F29465-5067-48E9-AD61-2706DAFC11E4}" type="presParOf" srcId="{7343392C-BACC-4979-B392-E87A3C09876E}" destId="{EABE16B8-B7D2-43B9-820C-4997CAFA71FE}" srcOrd="27" destOrd="0" presId="urn:microsoft.com/office/officeart/2005/8/layout/pyramid2"/>
    <dgm:cxn modelId="{0279F91D-C6B4-4D50-8A5F-66D84D71D603}" type="presParOf" srcId="{7343392C-BACC-4979-B392-E87A3C09876E}" destId="{359778CA-505F-40AF-B3B7-61207F57A333}" srcOrd="28" destOrd="0" presId="urn:microsoft.com/office/officeart/2005/8/layout/pyramid2"/>
    <dgm:cxn modelId="{E86D8BCC-3D95-4D3F-BDD9-48296F5B8AED}" type="presParOf" srcId="{7343392C-BACC-4979-B392-E87A3C09876E}" destId="{9BDF71F3-1C01-47B2-90CB-7D5BF5083673}" srcOrd="29" destOrd="0" presId="urn:microsoft.com/office/officeart/2005/8/layout/pyramid2"/>
    <dgm:cxn modelId="{C9D0270D-6753-4425-919E-4A8062459339}" type="presParOf" srcId="{7343392C-BACC-4979-B392-E87A3C09876E}" destId="{AD03626A-AF6E-45CD-AB1B-3C72636E5E5A}" srcOrd="30" destOrd="0" presId="urn:microsoft.com/office/officeart/2005/8/layout/pyramid2"/>
    <dgm:cxn modelId="{81CC8790-C50D-4D8A-80E1-215180D1F878}" type="presParOf" srcId="{7343392C-BACC-4979-B392-E87A3C09876E}" destId="{C2612C42-AE77-4E33-854C-E26B7D523DAE}" srcOrd="31" destOrd="0" presId="urn:microsoft.com/office/officeart/2005/8/layout/pyramid2"/>
    <dgm:cxn modelId="{E8F6AE74-FBFA-4188-92D1-C9993986F05B}" type="presParOf" srcId="{7343392C-BACC-4979-B392-E87A3C09876E}" destId="{5043320E-DD84-4A83-89E2-DDEE4CBE032E}" srcOrd="32" destOrd="0" presId="urn:microsoft.com/office/officeart/2005/8/layout/pyramid2"/>
    <dgm:cxn modelId="{2B688469-1CC6-4874-AAAD-CECF7D68F22E}" type="presParOf" srcId="{7343392C-BACC-4979-B392-E87A3C09876E}" destId="{9A5F0A0D-92AC-42E5-9AB9-48B0C0DE9A09}" srcOrd="33" destOrd="0" presId="urn:microsoft.com/office/officeart/2005/8/layout/pyramid2"/>
    <dgm:cxn modelId="{1BE3A509-0C1F-49AB-92A6-E008C77F8427}" type="presParOf" srcId="{7343392C-BACC-4979-B392-E87A3C09876E}" destId="{ADEC167F-603A-43D9-BAAF-FCF23E416D98}" srcOrd="34" destOrd="0" presId="urn:microsoft.com/office/officeart/2005/8/layout/pyramid2"/>
    <dgm:cxn modelId="{78F123C1-9A67-4E89-A116-8B9F2B0C3176}" type="presParOf" srcId="{7343392C-BACC-4979-B392-E87A3C09876E}" destId="{2F93AD0B-D204-4EAC-83C9-BF5554CDF20B}" srcOrd="35" destOrd="0" presId="urn:microsoft.com/office/officeart/2005/8/layout/pyramid2"/>
    <dgm:cxn modelId="{04F7157D-340D-431B-82C8-47CBF0B306C2}" type="presParOf" srcId="{7343392C-BACC-4979-B392-E87A3C09876E}" destId="{44572DE2-0292-4B04-B2D1-63B03F4C6EF1}" srcOrd="36" destOrd="0" presId="urn:microsoft.com/office/officeart/2005/8/layout/pyramid2"/>
    <dgm:cxn modelId="{D223D35A-FA8C-44D2-92D7-EF4C67889F63}" type="presParOf" srcId="{7343392C-BACC-4979-B392-E87A3C09876E}" destId="{DB1D96F4-6904-419A-B0A0-2DFBC968796A}" srcOrd="37" destOrd="0" presId="urn:microsoft.com/office/officeart/2005/8/layout/pyramid2"/>
  </dgm:cxnLst>
  <dgm:bg>
    <a:noFill/>
  </dgm:bg>
  <dgm:whole>
    <a:ln w="9525" cap="flat" cmpd="sng" algn="ctr">
      <a:solidFill>
        <a:schemeClr val="tx1"/>
      </a:solidFill>
      <a:prstDash val="solid"/>
      <a:round/>
      <a:headEnd type="none" w="med" len="med"/>
      <a:tailEnd type="none" w="med" len="med"/>
    </a:ln>
  </dgm:whole>
  <dgm:extLst>
    <a:ext uri="http://schemas.microsoft.com/office/drawing/2008/diagram">
      <dsp:dataModelExt xmlns:dsp="http://schemas.microsoft.com/office/drawing/2008/diagram" relId="rId8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12BBA5C-C85B-4E22-BAA5-BAA22BC97877}" type="doc">
      <dgm:prSet loTypeId="urn:microsoft.com/office/officeart/2005/8/layout/cycle4" loCatId="cycle" qsTypeId="urn:microsoft.com/office/officeart/2005/8/quickstyle/simple1" qsCatId="simple" csTypeId="urn:microsoft.com/office/officeart/2005/8/colors/accent1_2" csCatId="accent1" phldr="1"/>
      <dgm:spPr/>
      <dgm:t>
        <a:bodyPr/>
        <a:lstStyle/>
        <a:p>
          <a:endParaRPr lang="fr-FR"/>
        </a:p>
      </dgm:t>
    </dgm:pt>
    <dgm:pt modelId="{FB62C4C4-4C5C-4994-A961-09418CD16AC3}">
      <dgm:prSet phldrT="[Texte]" custT="1">
        <dgm:style>
          <a:lnRef idx="1">
            <a:schemeClr val="dk1"/>
          </a:lnRef>
          <a:fillRef idx="2">
            <a:schemeClr val="dk1"/>
          </a:fillRef>
          <a:effectRef idx="1">
            <a:schemeClr val="dk1"/>
          </a:effectRef>
          <a:fontRef idx="minor">
            <a:schemeClr val="dk1"/>
          </a:fontRef>
        </dgm:style>
      </dgm:prSet>
      <dgm:spPr>
        <a:solidFill>
          <a:schemeClr val="accent6">
            <a:lumMod val="60000"/>
            <a:lumOff val="40000"/>
          </a:schemeClr>
        </a:solidFill>
      </dgm:spPr>
      <dgm:t>
        <a:bodyPr/>
        <a:lstStyle/>
        <a:p>
          <a:pPr algn="ctr" rtl="1"/>
          <a:r>
            <a:rPr lang="ar-DZ" sz="1200">
              <a:latin typeface="Simplified Arabic" panose="02020603050405020304" pitchFamily="18" charset="-78"/>
              <a:cs typeface="Simplified Arabic" panose="02020603050405020304" pitchFamily="18" charset="-78"/>
            </a:rPr>
            <a:t>الاستجابة للكوارث</a:t>
          </a:r>
          <a:endParaRPr lang="fr-FR" sz="1200">
            <a:latin typeface="Simplified Arabic" panose="02020603050405020304" pitchFamily="18" charset="-78"/>
            <a:cs typeface="Simplified Arabic" panose="02020603050405020304" pitchFamily="18" charset="-78"/>
          </a:endParaRPr>
        </a:p>
      </dgm:t>
    </dgm:pt>
    <dgm:pt modelId="{F4387408-03D8-40F8-ACC2-20B17FE0F8DA}" type="parTrans" cxnId="{8C846163-6157-46BF-B585-3307947A9473}">
      <dgm:prSet/>
      <dgm:spPr/>
      <dgm:t>
        <a:bodyPr/>
        <a:lstStyle/>
        <a:p>
          <a:endParaRPr lang="fr-FR"/>
        </a:p>
      </dgm:t>
    </dgm:pt>
    <dgm:pt modelId="{7BE5AF30-8BA5-4989-B626-066351CED2DB}" type="sibTrans" cxnId="{8C846163-6157-46BF-B585-3307947A9473}">
      <dgm:prSet/>
      <dgm:spPr/>
      <dgm:t>
        <a:bodyPr/>
        <a:lstStyle/>
        <a:p>
          <a:endParaRPr lang="fr-FR"/>
        </a:p>
      </dgm:t>
    </dgm:pt>
    <dgm:pt modelId="{FFDDEB84-36A4-451F-AA4E-4C5AFA63A1AC}">
      <dgm:prSet phldrT="[Texte]" custT="1">
        <dgm:style>
          <a:lnRef idx="1">
            <a:schemeClr val="dk1"/>
          </a:lnRef>
          <a:fillRef idx="2">
            <a:schemeClr val="dk1"/>
          </a:fillRef>
          <a:effectRef idx="1">
            <a:schemeClr val="dk1"/>
          </a:effectRef>
          <a:fontRef idx="minor">
            <a:schemeClr val="dk1"/>
          </a:fontRef>
        </dgm:style>
      </dgm:prSet>
      <dgm:spPr>
        <a:solidFill>
          <a:schemeClr val="bg2">
            <a:lumMod val="50000"/>
          </a:schemeClr>
        </a:solidFill>
      </dgm:spPr>
      <dgm:t>
        <a:bodyPr/>
        <a:lstStyle/>
        <a:p>
          <a:pPr algn="ctr" rtl="1"/>
          <a:r>
            <a:rPr lang="ar-DZ" sz="1200">
              <a:latin typeface="Simplified Arabic" panose="02020603050405020304" pitchFamily="18" charset="-78"/>
              <a:cs typeface="Simplified Arabic" panose="02020603050405020304" pitchFamily="18" charset="-78"/>
            </a:rPr>
            <a:t>التحضير للكوارث</a:t>
          </a:r>
          <a:endParaRPr lang="fr-FR" sz="1200">
            <a:latin typeface="Simplified Arabic" panose="02020603050405020304" pitchFamily="18" charset="-78"/>
            <a:cs typeface="Simplified Arabic" panose="02020603050405020304" pitchFamily="18" charset="-78"/>
          </a:endParaRPr>
        </a:p>
      </dgm:t>
    </dgm:pt>
    <dgm:pt modelId="{DC511BDD-A2EC-4AF2-9150-B8093AAA2D3E}" type="parTrans" cxnId="{E9F8CC0C-4AB1-441D-88B1-39FCC47F7CAC}">
      <dgm:prSet/>
      <dgm:spPr/>
      <dgm:t>
        <a:bodyPr/>
        <a:lstStyle/>
        <a:p>
          <a:endParaRPr lang="fr-FR"/>
        </a:p>
      </dgm:t>
    </dgm:pt>
    <dgm:pt modelId="{59333404-63EE-4DDB-A6C1-23CDE6A54547}" type="sibTrans" cxnId="{E9F8CC0C-4AB1-441D-88B1-39FCC47F7CAC}">
      <dgm:prSet/>
      <dgm:spPr/>
      <dgm:t>
        <a:bodyPr/>
        <a:lstStyle/>
        <a:p>
          <a:endParaRPr lang="fr-FR"/>
        </a:p>
      </dgm:t>
    </dgm:pt>
    <dgm:pt modelId="{38EDEE68-089C-4B3C-A516-2B97351D7B0B}">
      <dgm:prSet phldrT="[Texte]" custT="1">
        <dgm:style>
          <a:lnRef idx="1">
            <a:schemeClr val="dk1"/>
          </a:lnRef>
          <a:fillRef idx="2">
            <a:schemeClr val="dk1"/>
          </a:fillRef>
          <a:effectRef idx="1">
            <a:schemeClr val="dk1"/>
          </a:effectRef>
          <a:fontRef idx="minor">
            <a:schemeClr val="dk1"/>
          </a:fontRef>
        </dgm:style>
      </dgm:prSet>
      <dgm:spPr>
        <a:solidFill>
          <a:schemeClr val="bg2">
            <a:lumMod val="50000"/>
          </a:schemeClr>
        </a:solidFill>
        <a:ln/>
      </dgm:spPr>
      <dgm:t>
        <a:bodyPr/>
        <a:lstStyle/>
        <a:p>
          <a:pPr rtl="1"/>
          <a:r>
            <a:rPr lang="ar-DZ" sz="1000" b="0">
              <a:latin typeface="Simplified Arabic" panose="02020603050405020304" pitchFamily="18" charset="-78"/>
              <a:cs typeface="Simplified Arabic" panose="02020603050405020304" pitchFamily="18" charset="-78"/>
            </a:rPr>
            <a:t>الراسمال الاجتماعي</a:t>
          </a:r>
          <a:endParaRPr lang="fr-FR" sz="1000" b="0">
            <a:latin typeface="Simplified Arabic" panose="02020603050405020304" pitchFamily="18" charset="-78"/>
            <a:cs typeface="Simplified Arabic" panose="02020603050405020304" pitchFamily="18" charset="-78"/>
          </a:endParaRPr>
        </a:p>
      </dgm:t>
    </dgm:pt>
    <dgm:pt modelId="{D6DA9A98-56A8-4906-B729-970F9A344522}" type="parTrans" cxnId="{51E050A9-F921-49F6-909A-A4601805FA60}">
      <dgm:prSet/>
      <dgm:spPr/>
      <dgm:t>
        <a:bodyPr/>
        <a:lstStyle/>
        <a:p>
          <a:endParaRPr lang="fr-FR"/>
        </a:p>
      </dgm:t>
    </dgm:pt>
    <dgm:pt modelId="{91BF8DEF-9A8F-4782-A1CC-96989E721A6D}" type="sibTrans" cxnId="{51E050A9-F921-49F6-909A-A4601805FA60}">
      <dgm:prSet/>
      <dgm:spPr/>
      <dgm:t>
        <a:bodyPr/>
        <a:lstStyle/>
        <a:p>
          <a:endParaRPr lang="fr-FR"/>
        </a:p>
      </dgm:t>
    </dgm:pt>
    <dgm:pt modelId="{AF96DD06-5305-47F9-90A9-0C72916040D9}">
      <dgm:prSet phldrT="[Texte]" custT="1">
        <dgm:style>
          <a:lnRef idx="1">
            <a:schemeClr val="dk1"/>
          </a:lnRef>
          <a:fillRef idx="2">
            <a:schemeClr val="dk1"/>
          </a:fillRef>
          <a:effectRef idx="1">
            <a:schemeClr val="dk1"/>
          </a:effectRef>
          <a:fontRef idx="minor">
            <a:schemeClr val="dk1"/>
          </a:fontRef>
        </dgm:style>
      </dgm:prSet>
      <dgm:spPr>
        <a:solidFill>
          <a:schemeClr val="accent5">
            <a:lumMod val="60000"/>
            <a:lumOff val="40000"/>
          </a:schemeClr>
        </a:solidFill>
      </dgm:spPr>
      <dgm:t>
        <a:bodyPr/>
        <a:lstStyle/>
        <a:p>
          <a:pPr algn="ctr" rtl="1"/>
          <a:r>
            <a:rPr lang="ar-DZ" sz="1200">
              <a:latin typeface="Simplified Arabic" panose="02020603050405020304" pitchFamily="18" charset="-78"/>
              <a:cs typeface="Simplified Arabic" panose="02020603050405020304" pitchFamily="18" charset="-78"/>
            </a:rPr>
            <a:t>التخفيف من حدة الكوارث</a:t>
          </a:r>
        </a:p>
      </dgm:t>
    </dgm:pt>
    <dgm:pt modelId="{6F8F00A5-CDC4-4B9A-B661-21E6C2AA8CFC}" type="parTrans" cxnId="{48FD73B1-A8E8-4537-AEDD-9985221D870E}">
      <dgm:prSet/>
      <dgm:spPr/>
      <dgm:t>
        <a:bodyPr/>
        <a:lstStyle/>
        <a:p>
          <a:endParaRPr lang="fr-FR"/>
        </a:p>
      </dgm:t>
    </dgm:pt>
    <dgm:pt modelId="{7D0C0B9B-7ABA-4CED-995B-79AAEFC566A1}" type="sibTrans" cxnId="{48FD73B1-A8E8-4537-AEDD-9985221D870E}">
      <dgm:prSet/>
      <dgm:spPr/>
      <dgm:t>
        <a:bodyPr/>
        <a:lstStyle/>
        <a:p>
          <a:endParaRPr lang="fr-FR"/>
        </a:p>
      </dgm:t>
    </dgm:pt>
    <dgm:pt modelId="{8D944682-E5A4-418E-BA21-B9E786217A04}">
      <dgm:prSet phldrT="[Texte]" custT="1">
        <dgm:style>
          <a:lnRef idx="1">
            <a:schemeClr val="dk1"/>
          </a:lnRef>
          <a:fillRef idx="2">
            <a:schemeClr val="dk1"/>
          </a:fillRef>
          <a:effectRef idx="1">
            <a:schemeClr val="dk1"/>
          </a:effectRef>
          <a:fontRef idx="minor">
            <a:schemeClr val="dk1"/>
          </a:fontRef>
        </dgm:style>
      </dgm:prSet>
      <dgm:spPr>
        <a:solidFill>
          <a:schemeClr val="accent3">
            <a:lumMod val="60000"/>
            <a:lumOff val="40000"/>
          </a:schemeClr>
        </a:solidFill>
      </dgm:spPr>
      <dgm:t>
        <a:bodyPr/>
        <a:lstStyle/>
        <a:p>
          <a:pPr algn="ctr" rtl="1"/>
          <a:r>
            <a:rPr lang="ar-DZ" sz="1200">
              <a:latin typeface="Simplified Arabic" panose="02020603050405020304" pitchFamily="18" charset="-78"/>
              <a:cs typeface="Simplified Arabic" panose="02020603050405020304" pitchFamily="18" charset="-78"/>
            </a:rPr>
            <a:t>التعافي من الكوارث    </a:t>
          </a:r>
        </a:p>
      </dgm:t>
    </dgm:pt>
    <dgm:pt modelId="{2297460F-51F3-477C-B3EE-4AC21E04668F}" type="parTrans" cxnId="{275C0FA1-3DD5-4B9C-9433-CFF6BC5EBBCC}">
      <dgm:prSet/>
      <dgm:spPr/>
      <dgm:t>
        <a:bodyPr/>
        <a:lstStyle/>
        <a:p>
          <a:endParaRPr lang="fr-FR"/>
        </a:p>
      </dgm:t>
    </dgm:pt>
    <dgm:pt modelId="{508BDD42-5374-41A4-8B57-0344A023447F}" type="sibTrans" cxnId="{275C0FA1-3DD5-4B9C-9433-CFF6BC5EBBCC}">
      <dgm:prSet/>
      <dgm:spPr/>
      <dgm:t>
        <a:bodyPr/>
        <a:lstStyle/>
        <a:p>
          <a:endParaRPr lang="fr-FR"/>
        </a:p>
      </dgm:t>
    </dgm:pt>
    <dgm:pt modelId="{108C4283-09B0-423B-AAD0-AE64D402298B}">
      <dgm:prSet phldrT="[Texte]" custT="1">
        <dgm:style>
          <a:lnRef idx="1">
            <a:schemeClr val="dk1"/>
          </a:lnRef>
          <a:fillRef idx="2">
            <a:schemeClr val="dk1"/>
          </a:fillRef>
          <a:effectRef idx="1">
            <a:schemeClr val="dk1"/>
          </a:effectRef>
          <a:fontRef idx="minor">
            <a:schemeClr val="dk1"/>
          </a:fontRef>
        </dgm:style>
      </dgm:prSet>
      <dgm:spPr>
        <a:solidFill>
          <a:schemeClr val="bg2">
            <a:lumMod val="5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1F4203C2-B883-4275-880B-B7A92A65117E}" type="parTrans" cxnId="{3745951D-7000-497A-A2DC-73E6B269B92C}">
      <dgm:prSet/>
      <dgm:spPr/>
      <dgm:t>
        <a:bodyPr/>
        <a:lstStyle/>
        <a:p>
          <a:endParaRPr lang="fr-FR"/>
        </a:p>
      </dgm:t>
    </dgm:pt>
    <dgm:pt modelId="{294C3CC6-8AB0-4954-8E4A-52A1368EDA92}" type="sibTrans" cxnId="{3745951D-7000-497A-A2DC-73E6B269B92C}">
      <dgm:prSet/>
      <dgm:spPr/>
      <dgm:t>
        <a:bodyPr/>
        <a:lstStyle/>
        <a:p>
          <a:endParaRPr lang="fr-FR"/>
        </a:p>
      </dgm:t>
    </dgm:pt>
    <dgm:pt modelId="{227C3FE1-188C-4B5E-890E-FC243A4F2061}">
      <dgm:prSet phldrT="[Texte]" custT="1">
        <dgm:style>
          <a:lnRef idx="1">
            <a:schemeClr val="dk1"/>
          </a:lnRef>
          <a:fillRef idx="2">
            <a:schemeClr val="dk1"/>
          </a:fillRef>
          <a:effectRef idx="1">
            <a:schemeClr val="dk1"/>
          </a:effectRef>
          <a:fontRef idx="minor">
            <a:schemeClr val="dk1"/>
          </a:fontRef>
        </dgm:style>
      </dgm:prSet>
      <dgm:spPr>
        <a:solidFill>
          <a:schemeClr val="bg2">
            <a:lumMod val="5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5960FC4E-5BE5-4647-A482-D330D2551024}" type="parTrans" cxnId="{CA8CB9C0-B432-4DD5-A6C1-74389F0F277B}">
      <dgm:prSet/>
      <dgm:spPr/>
      <dgm:t>
        <a:bodyPr/>
        <a:lstStyle/>
        <a:p>
          <a:endParaRPr lang="fr-FR"/>
        </a:p>
      </dgm:t>
    </dgm:pt>
    <dgm:pt modelId="{8F6FA3B3-74CB-49DB-A129-98CF9C387488}" type="sibTrans" cxnId="{CA8CB9C0-B432-4DD5-A6C1-74389F0F277B}">
      <dgm:prSet/>
      <dgm:spPr/>
      <dgm:t>
        <a:bodyPr/>
        <a:lstStyle/>
        <a:p>
          <a:endParaRPr lang="fr-FR"/>
        </a:p>
      </dgm:t>
    </dgm:pt>
    <dgm:pt modelId="{A0BCA35C-B4E7-4B4A-ADC6-BE5B7DEA1B3E}">
      <dgm:prSet phldrT="[Texte]" custT="1">
        <dgm:style>
          <a:lnRef idx="1">
            <a:schemeClr val="dk1"/>
          </a:lnRef>
          <a:fillRef idx="2">
            <a:schemeClr val="dk1"/>
          </a:fillRef>
          <a:effectRef idx="1">
            <a:schemeClr val="dk1"/>
          </a:effectRef>
          <a:fontRef idx="minor">
            <a:schemeClr val="dk1"/>
          </a:fontRef>
        </dgm:style>
      </dgm:prSet>
      <dgm:spPr>
        <a:solidFill>
          <a:schemeClr val="bg2">
            <a:lumMod val="5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06D0CBF0-2712-4275-A4FD-C4A07D070202}" type="sibTrans" cxnId="{EB4FD0E9-D01C-4BAC-B134-E6A71492667F}">
      <dgm:prSet/>
      <dgm:spPr/>
      <dgm:t>
        <a:bodyPr/>
        <a:lstStyle/>
        <a:p>
          <a:endParaRPr lang="fr-FR"/>
        </a:p>
      </dgm:t>
    </dgm:pt>
    <dgm:pt modelId="{BE3A763E-72BC-4DAC-8369-F95EA7C823BA}" type="parTrans" cxnId="{EB4FD0E9-D01C-4BAC-B134-E6A71492667F}">
      <dgm:prSet/>
      <dgm:spPr/>
      <dgm:t>
        <a:bodyPr/>
        <a:lstStyle/>
        <a:p>
          <a:endParaRPr lang="fr-FR"/>
        </a:p>
      </dgm:t>
    </dgm:pt>
    <dgm:pt modelId="{504EDF0E-1F27-4509-BA75-0258500D32B5}">
      <dgm:prSet phldrT="[Texte]" custT="1">
        <dgm:style>
          <a:lnRef idx="1">
            <a:schemeClr val="dk1"/>
          </a:lnRef>
          <a:fillRef idx="2">
            <a:schemeClr val="dk1"/>
          </a:fillRef>
          <a:effectRef idx="1">
            <a:schemeClr val="dk1"/>
          </a:effectRef>
          <a:fontRef idx="minor">
            <a:schemeClr val="dk1"/>
          </a:fontRef>
        </dgm:style>
      </dgm:prSet>
      <dgm:spPr>
        <a:solidFill>
          <a:schemeClr val="accent6">
            <a:lumMod val="60000"/>
            <a:lumOff val="40000"/>
          </a:schemeClr>
        </a:solidFill>
        <a:ln/>
      </dgm:spPr>
      <dgm:t>
        <a:bodyPr/>
        <a:lstStyle/>
        <a:p>
          <a:pPr algn="r" rtl="1"/>
          <a:r>
            <a:rPr lang="ar-DZ" sz="1000" b="0">
              <a:latin typeface="Simplified Arabic" panose="02020603050405020304" pitchFamily="18" charset="-78"/>
              <a:cs typeface="Simplified Arabic" panose="02020603050405020304" pitchFamily="18" charset="-78"/>
            </a:rPr>
            <a:t>الراسمال الاجتماعي</a:t>
          </a:r>
          <a:endParaRPr lang="fr-FR" sz="1000">
            <a:latin typeface="Simplified Arabic" panose="02020603050405020304" pitchFamily="18" charset="-78"/>
            <a:cs typeface="Simplified Arabic" panose="02020603050405020304" pitchFamily="18" charset="-78"/>
          </a:endParaRPr>
        </a:p>
      </dgm:t>
    </dgm:pt>
    <dgm:pt modelId="{F208C435-9A30-4097-A995-4DE6914819D1}" type="sibTrans" cxnId="{CD086C54-6584-4A29-AFFA-408BEE880160}">
      <dgm:prSet/>
      <dgm:spPr/>
      <dgm:t>
        <a:bodyPr/>
        <a:lstStyle/>
        <a:p>
          <a:endParaRPr lang="fr-FR"/>
        </a:p>
      </dgm:t>
    </dgm:pt>
    <dgm:pt modelId="{51709882-CCDF-4AD2-A578-5B8558D38BE7}" type="parTrans" cxnId="{CD086C54-6584-4A29-AFFA-408BEE880160}">
      <dgm:prSet/>
      <dgm:spPr/>
      <dgm:t>
        <a:bodyPr/>
        <a:lstStyle/>
        <a:p>
          <a:endParaRPr lang="fr-FR"/>
        </a:p>
      </dgm:t>
    </dgm:pt>
    <dgm:pt modelId="{C466A90F-C6A4-48BE-9A8D-62E957DE0991}">
      <dgm:prSet phldrT="[Texte]" custT="1">
        <dgm:style>
          <a:lnRef idx="1">
            <a:schemeClr val="dk1"/>
          </a:lnRef>
          <a:fillRef idx="2">
            <a:schemeClr val="dk1"/>
          </a:fillRef>
          <a:effectRef idx="1">
            <a:schemeClr val="dk1"/>
          </a:effectRef>
          <a:fontRef idx="minor">
            <a:schemeClr val="dk1"/>
          </a:fontRef>
        </dgm:style>
      </dgm:prSet>
      <dgm:spPr>
        <a:solidFill>
          <a:schemeClr val="accent6">
            <a:lumMod val="60000"/>
            <a:lumOff val="4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EDE38691-F38C-46D3-91C1-862E86D33A52}" type="parTrans" cxnId="{FBA40055-49B2-47FD-91C1-EB28A487B803}">
      <dgm:prSet/>
      <dgm:spPr/>
      <dgm:t>
        <a:bodyPr/>
        <a:lstStyle/>
        <a:p>
          <a:endParaRPr lang="fr-FR"/>
        </a:p>
      </dgm:t>
    </dgm:pt>
    <dgm:pt modelId="{7E75538E-FD46-439A-AF59-3DF1D74F3251}" type="sibTrans" cxnId="{FBA40055-49B2-47FD-91C1-EB28A487B803}">
      <dgm:prSet/>
      <dgm:spPr/>
      <dgm:t>
        <a:bodyPr/>
        <a:lstStyle/>
        <a:p>
          <a:endParaRPr lang="fr-FR"/>
        </a:p>
      </dgm:t>
    </dgm:pt>
    <dgm:pt modelId="{46E0CA54-1CF1-40D1-9056-276E6D89D911}">
      <dgm:prSet phldrT="[Texte]" custT="1">
        <dgm:style>
          <a:lnRef idx="1">
            <a:schemeClr val="dk1"/>
          </a:lnRef>
          <a:fillRef idx="2">
            <a:schemeClr val="dk1"/>
          </a:fillRef>
          <a:effectRef idx="1">
            <a:schemeClr val="dk1"/>
          </a:effectRef>
          <a:fontRef idx="minor">
            <a:schemeClr val="dk1"/>
          </a:fontRef>
        </dgm:style>
      </dgm:prSet>
      <dgm:spPr>
        <a:solidFill>
          <a:schemeClr val="accent6">
            <a:lumMod val="60000"/>
            <a:lumOff val="4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486B1912-8E88-4B92-9D61-A79CBAEE73EC}" type="parTrans" cxnId="{53C1D8E2-13A0-4873-9AD7-599E27A2707F}">
      <dgm:prSet/>
      <dgm:spPr/>
      <dgm:t>
        <a:bodyPr/>
        <a:lstStyle/>
        <a:p>
          <a:endParaRPr lang="fr-FR"/>
        </a:p>
      </dgm:t>
    </dgm:pt>
    <dgm:pt modelId="{89F3ED49-2339-4F60-A30B-0E42AEDDB125}" type="sibTrans" cxnId="{53C1D8E2-13A0-4873-9AD7-599E27A2707F}">
      <dgm:prSet/>
      <dgm:spPr/>
      <dgm:t>
        <a:bodyPr/>
        <a:lstStyle/>
        <a:p>
          <a:endParaRPr lang="fr-FR"/>
        </a:p>
      </dgm:t>
    </dgm:pt>
    <dgm:pt modelId="{4AE711A0-6CB3-460F-B283-FC08DEC10B28}">
      <dgm:prSet phldrT="[Texte]" custT="1">
        <dgm:style>
          <a:lnRef idx="1">
            <a:schemeClr val="dk1"/>
          </a:lnRef>
          <a:fillRef idx="2">
            <a:schemeClr val="dk1"/>
          </a:fillRef>
          <a:effectRef idx="1">
            <a:schemeClr val="dk1"/>
          </a:effectRef>
          <a:fontRef idx="minor">
            <a:schemeClr val="dk1"/>
          </a:fontRef>
        </dgm:style>
      </dgm:prSet>
      <dgm:spPr>
        <a:solidFill>
          <a:schemeClr val="accent6">
            <a:lumMod val="60000"/>
            <a:lumOff val="4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713E50D6-FF49-42EF-9DC5-8D5F0D892B7F}" type="parTrans" cxnId="{DD0CDE63-6D3E-41A9-92EF-72316186E057}">
      <dgm:prSet/>
      <dgm:spPr/>
      <dgm:t>
        <a:bodyPr/>
        <a:lstStyle/>
        <a:p>
          <a:endParaRPr lang="fr-FR"/>
        </a:p>
      </dgm:t>
    </dgm:pt>
    <dgm:pt modelId="{2B57404D-11F0-439C-9F54-5397B7C17581}" type="sibTrans" cxnId="{DD0CDE63-6D3E-41A9-92EF-72316186E057}">
      <dgm:prSet/>
      <dgm:spPr/>
      <dgm:t>
        <a:bodyPr/>
        <a:lstStyle/>
        <a:p>
          <a:endParaRPr lang="fr-FR"/>
        </a:p>
      </dgm:t>
    </dgm:pt>
    <dgm:pt modelId="{11E4E17B-4A41-4C56-A612-405A1B50006D}">
      <dgm:prSet phldrT="[Texte]" custT="1">
        <dgm:style>
          <a:lnRef idx="1">
            <a:schemeClr val="dk1"/>
          </a:lnRef>
          <a:fillRef idx="2">
            <a:schemeClr val="dk1"/>
          </a:fillRef>
          <a:effectRef idx="1">
            <a:schemeClr val="dk1"/>
          </a:effectRef>
          <a:fontRef idx="minor">
            <a:schemeClr val="dk1"/>
          </a:fontRef>
        </dgm:style>
      </dgm:prSet>
      <dgm:spPr>
        <a:solidFill>
          <a:schemeClr val="accent6">
            <a:lumMod val="60000"/>
            <a:lumOff val="40000"/>
          </a:schemeClr>
        </a:solidFill>
        <a:ln/>
      </dgm:spPr>
      <dgm:t>
        <a:bodyPr/>
        <a:lstStyle/>
        <a:p>
          <a:pPr rtl="1"/>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C97B48C8-6EF5-417A-8616-60F6B95C01E8}" type="parTrans" cxnId="{36FCE228-09B4-4859-927E-863AA20DC5C2}">
      <dgm:prSet/>
      <dgm:spPr/>
      <dgm:t>
        <a:bodyPr/>
        <a:lstStyle/>
        <a:p>
          <a:endParaRPr lang="fr-FR"/>
        </a:p>
      </dgm:t>
    </dgm:pt>
    <dgm:pt modelId="{1D98D4F1-3AA5-46CB-8213-A0537CD12E68}" type="sibTrans" cxnId="{36FCE228-09B4-4859-927E-863AA20DC5C2}">
      <dgm:prSet/>
      <dgm:spPr/>
      <dgm:t>
        <a:bodyPr/>
        <a:lstStyle/>
        <a:p>
          <a:endParaRPr lang="fr-FR"/>
        </a:p>
      </dgm:t>
    </dgm:pt>
    <dgm:pt modelId="{605A3DB6-188A-4426-873C-156CB08C88F2}">
      <dgm:prSet phldrT="[Texte]" custT="1">
        <dgm:style>
          <a:lnRef idx="1">
            <a:schemeClr val="dk1"/>
          </a:lnRef>
          <a:fillRef idx="2">
            <a:schemeClr val="dk1"/>
          </a:fillRef>
          <a:effectRef idx="1">
            <a:schemeClr val="dk1"/>
          </a:effectRef>
          <a:fontRef idx="minor">
            <a:schemeClr val="dk1"/>
          </a:fontRef>
        </dgm:style>
      </dgm:prSet>
      <dgm:spPr>
        <a:solidFill>
          <a:schemeClr val="accent3">
            <a:lumMod val="60000"/>
            <a:lumOff val="4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712156A9-76BC-4EF7-A34E-DB84B0C1BBEF}" type="sibTrans" cxnId="{1BFFC9A7-C70A-4B3B-A15E-D81B07D7B360}">
      <dgm:prSet/>
      <dgm:spPr/>
      <dgm:t>
        <a:bodyPr/>
        <a:lstStyle/>
        <a:p>
          <a:endParaRPr lang="fr-FR"/>
        </a:p>
      </dgm:t>
    </dgm:pt>
    <dgm:pt modelId="{CECBAB8E-B3B4-40EA-8974-3D4EFF50C8EC}" type="parTrans" cxnId="{1BFFC9A7-C70A-4B3B-A15E-D81B07D7B360}">
      <dgm:prSet/>
      <dgm:spPr/>
      <dgm:t>
        <a:bodyPr/>
        <a:lstStyle/>
        <a:p>
          <a:endParaRPr lang="fr-FR"/>
        </a:p>
      </dgm:t>
    </dgm:pt>
    <dgm:pt modelId="{FB57C12F-6E58-4540-B682-7195E57C106F}">
      <dgm:prSet phldrT="[Texte]" custT="1">
        <dgm:style>
          <a:lnRef idx="1">
            <a:schemeClr val="dk1"/>
          </a:lnRef>
          <a:fillRef idx="2">
            <a:schemeClr val="dk1"/>
          </a:fillRef>
          <a:effectRef idx="1">
            <a:schemeClr val="dk1"/>
          </a:effectRef>
          <a:fontRef idx="minor">
            <a:schemeClr val="dk1"/>
          </a:fontRef>
        </dgm:style>
      </dgm:prSet>
      <dgm:spPr>
        <a:solidFill>
          <a:schemeClr val="accent3">
            <a:lumMod val="60000"/>
            <a:lumOff val="4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7C51BBB1-888F-4D18-880F-2B2E199C2D79}" type="sibTrans" cxnId="{5FFFC3D9-9994-4870-915D-0166650794F8}">
      <dgm:prSet/>
      <dgm:spPr/>
      <dgm:t>
        <a:bodyPr/>
        <a:lstStyle/>
        <a:p>
          <a:endParaRPr lang="fr-FR"/>
        </a:p>
      </dgm:t>
    </dgm:pt>
    <dgm:pt modelId="{3BB1455A-B412-4B45-99E9-4287803B7783}" type="parTrans" cxnId="{5FFFC3D9-9994-4870-915D-0166650794F8}">
      <dgm:prSet/>
      <dgm:spPr/>
      <dgm:t>
        <a:bodyPr/>
        <a:lstStyle/>
        <a:p>
          <a:endParaRPr lang="fr-FR"/>
        </a:p>
      </dgm:t>
    </dgm:pt>
    <dgm:pt modelId="{33EC9C0A-F660-4053-9DD1-392D0053E044}">
      <dgm:prSet phldrT="[Texte]" custT="1">
        <dgm:style>
          <a:lnRef idx="1">
            <a:schemeClr val="dk1"/>
          </a:lnRef>
          <a:fillRef idx="2">
            <a:schemeClr val="dk1"/>
          </a:fillRef>
          <a:effectRef idx="1">
            <a:schemeClr val="dk1"/>
          </a:effectRef>
          <a:fontRef idx="minor">
            <a:schemeClr val="dk1"/>
          </a:fontRef>
        </dgm:style>
      </dgm:prSet>
      <dgm:spPr>
        <a:solidFill>
          <a:schemeClr val="accent3">
            <a:lumMod val="60000"/>
            <a:lumOff val="40000"/>
          </a:schemeClr>
        </a:solidFill>
        <a:ln/>
      </dgm:spPr>
      <dgm:t>
        <a:bodyPr/>
        <a:lstStyle/>
        <a:p>
          <a:pP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42631BD4-AF66-4DC3-A296-7E803727E819}" type="sibTrans" cxnId="{9F89F5CF-8D0A-44D7-93F9-1695B66ECB4C}">
      <dgm:prSet/>
      <dgm:spPr/>
      <dgm:t>
        <a:bodyPr/>
        <a:lstStyle/>
        <a:p>
          <a:endParaRPr lang="fr-FR"/>
        </a:p>
      </dgm:t>
    </dgm:pt>
    <dgm:pt modelId="{0F1D2A5E-72BC-428E-B9CB-17B966573F8C}" type="parTrans" cxnId="{9F89F5CF-8D0A-44D7-93F9-1695B66ECB4C}">
      <dgm:prSet/>
      <dgm:spPr/>
      <dgm:t>
        <a:bodyPr/>
        <a:lstStyle/>
        <a:p>
          <a:endParaRPr lang="fr-FR"/>
        </a:p>
      </dgm:t>
    </dgm:pt>
    <dgm:pt modelId="{6664A87F-C695-4938-A926-EA3E4E4C2B5F}">
      <dgm:prSet phldrT="[Texte]" custT="1">
        <dgm:style>
          <a:lnRef idx="1">
            <a:schemeClr val="dk1"/>
          </a:lnRef>
          <a:fillRef idx="2">
            <a:schemeClr val="dk1"/>
          </a:fillRef>
          <a:effectRef idx="1">
            <a:schemeClr val="dk1"/>
          </a:effectRef>
          <a:fontRef idx="minor">
            <a:schemeClr val="dk1"/>
          </a:fontRef>
        </dgm:style>
      </dgm:prSet>
      <dgm:spPr>
        <a:solidFill>
          <a:schemeClr val="accent3">
            <a:lumMod val="60000"/>
            <a:lumOff val="40000"/>
          </a:schemeClr>
        </a:solidFill>
        <a:ln/>
      </dgm:spPr>
      <dgm:t>
        <a:bodyPr/>
        <a:lstStyle/>
        <a:p>
          <a:pPr algn="r" rtl="1"/>
          <a:r>
            <a:rPr lang="ar-DZ" sz="1000" b="0">
              <a:latin typeface="Simplified Arabic" panose="02020603050405020304" pitchFamily="18" charset="-78"/>
              <a:cs typeface="Simplified Arabic" panose="02020603050405020304" pitchFamily="18" charset="-78"/>
            </a:rPr>
            <a:t>الراسمال الاجتماعي</a:t>
          </a:r>
          <a:endParaRPr lang="fr-FR" sz="1000">
            <a:latin typeface="Simplified Arabic" panose="02020603050405020304" pitchFamily="18" charset="-78"/>
            <a:cs typeface="Simplified Arabic" panose="02020603050405020304" pitchFamily="18" charset="-78"/>
          </a:endParaRPr>
        </a:p>
      </dgm:t>
    </dgm:pt>
    <dgm:pt modelId="{0E44D6C8-1375-4F41-9FD1-B520DA3F5253}" type="sibTrans" cxnId="{43558C02-9BE7-4737-B2DA-0EB47F06393B}">
      <dgm:prSet/>
      <dgm:spPr/>
      <dgm:t>
        <a:bodyPr/>
        <a:lstStyle/>
        <a:p>
          <a:endParaRPr lang="fr-FR"/>
        </a:p>
      </dgm:t>
    </dgm:pt>
    <dgm:pt modelId="{DF1ADFF1-B7D9-48BC-956D-2E25CC35E6D4}" type="parTrans" cxnId="{43558C02-9BE7-4737-B2DA-0EB47F06393B}">
      <dgm:prSet/>
      <dgm:spPr/>
      <dgm:t>
        <a:bodyPr/>
        <a:lstStyle/>
        <a:p>
          <a:endParaRPr lang="fr-FR"/>
        </a:p>
      </dgm:t>
    </dgm:pt>
    <dgm:pt modelId="{A8D20012-7EFB-41C1-9216-91BE87D8B154}">
      <dgm:prSet custT="1"/>
      <dgm:spPr>
        <a:solidFill>
          <a:schemeClr val="accent5">
            <a:lumMod val="60000"/>
            <a:lumOff val="40000"/>
          </a:schemeClr>
        </a:solidFill>
      </dgm:spPr>
      <dgm:t>
        <a:bodyPr/>
        <a:lstStyle/>
        <a:p>
          <a:pPr algn="r" rtl="1"/>
          <a:r>
            <a:rPr lang="ar-DZ" sz="1000" b="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49193883-DEA3-4790-AAFE-E16002580C58}" type="sibTrans" cxnId="{0A9FF6A3-5431-4A72-9C04-B576D8499E36}">
      <dgm:prSet/>
      <dgm:spPr/>
      <dgm:t>
        <a:bodyPr/>
        <a:lstStyle/>
        <a:p>
          <a:endParaRPr lang="fr-FR"/>
        </a:p>
      </dgm:t>
    </dgm:pt>
    <dgm:pt modelId="{54780E89-0BC1-4646-895B-8802578DECC9}" type="parTrans" cxnId="{0A9FF6A3-5431-4A72-9C04-B576D8499E36}">
      <dgm:prSet/>
      <dgm:spPr/>
      <dgm:t>
        <a:bodyPr/>
        <a:lstStyle/>
        <a:p>
          <a:endParaRPr lang="fr-FR"/>
        </a:p>
      </dgm:t>
    </dgm:pt>
    <dgm:pt modelId="{A5710D26-84D2-4C68-BEAD-92DCF63E618B}">
      <dgm:prSet custT="1"/>
      <dgm:spPr>
        <a:solidFill>
          <a:schemeClr val="accent5">
            <a:lumMod val="60000"/>
            <a:lumOff val="40000"/>
          </a:schemeClr>
        </a:solidFill>
      </dgm:spPr>
      <dgm:t>
        <a:bodyPr/>
        <a:lstStyle/>
        <a:p>
          <a:pPr algn="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AFC9BFA1-45D0-4EC7-B0D1-6CD92CA74B3A}" type="sibTrans" cxnId="{79DA4B07-0028-4F55-9CC9-2A1286AAC50A}">
      <dgm:prSet/>
      <dgm:spPr/>
      <dgm:t>
        <a:bodyPr/>
        <a:lstStyle/>
        <a:p>
          <a:endParaRPr lang="fr-FR"/>
        </a:p>
      </dgm:t>
    </dgm:pt>
    <dgm:pt modelId="{486FFD60-94B3-4AA7-A321-3822BAF64B54}" type="parTrans" cxnId="{79DA4B07-0028-4F55-9CC9-2A1286AAC50A}">
      <dgm:prSet/>
      <dgm:spPr/>
      <dgm:t>
        <a:bodyPr/>
        <a:lstStyle/>
        <a:p>
          <a:endParaRPr lang="fr-FR"/>
        </a:p>
      </dgm:t>
    </dgm:pt>
    <dgm:pt modelId="{F4351410-B289-4BE0-8988-AE3F959E2A30}">
      <dgm:prSet custT="1"/>
      <dgm:spPr>
        <a:solidFill>
          <a:schemeClr val="accent5">
            <a:lumMod val="60000"/>
            <a:lumOff val="40000"/>
          </a:schemeClr>
        </a:solidFill>
      </dgm:spPr>
      <dgm:t>
        <a:bodyPr/>
        <a:lstStyle/>
        <a:p>
          <a:pPr algn="r" rtl="1"/>
          <a:r>
            <a:rPr lang="ar-DZ" sz="1000" b="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a:solidFill>
              <a:sysClr val="windowText" lastClr="000000"/>
            </a:solidFill>
            <a:latin typeface="Simplified Arabic" panose="02020603050405020304" pitchFamily="18" charset="-78"/>
            <a:cs typeface="Simplified Arabic" panose="02020603050405020304" pitchFamily="18" charset="-78"/>
          </a:endParaRPr>
        </a:p>
      </dgm:t>
    </dgm:pt>
    <dgm:pt modelId="{4D47CA39-B1B4-44EC-A904-10C84DF69A30}" type="sibTrans" cxnId="{65E9EB0E-A92B-4C02-BE5B-2DF178F9FA2F}">
      <dgm:prSet/>
      <dgm:spPr/>
      <dgm:t>
        <a:bodyPr/>
        <a:lstStyle/>
        <a:p>
          <a:endParaRPr lang="fr-FR"/>
        </a:p>
      </dgm:t>
    </dgm:pt>
    <dgm:pt modelId="{5FFF745C-91DC-4162-962A-2611B5A531BE}" type="parTrans" cxnId="{65E9EB0E-A92B-4C02-BE5B-2DF178F9FA2F}">
      <dgm:prSet/>
      <dgm:spPr/>
      <dgm:t>
        <a:bodyPr/>
        <a:lstStyle/>
        <a:p>
          <a:endParaRPr lang="fr-FR"/>
        </a:p>
      </dgm:t>
    </dgm:pt>
    <dgm:pt modelId="{611D8B4E-D24F-482C-AC2E-4D783010D219}">
      <dgm:prSet phldrT="[Texte]" custT="1">
        <dgm:style>
          <a:lnRef idx="1">
            <a:schemeClr val="dk1"/>
          </a:lnRef>
          <a:fillRef idx="2">
            <a:schemeClr val="dk1"/>
          </a:fillRef>
          <a:effectRef idx="1">
            <a:schemeClr val="dk1"/>
          </a:effectRef>
          <a:fontRef idx="minor">
            <a:schemeClr val="dk1"/>
          </a:fontRef>
        </dgm:style>
      </dgm:prSet>
      <dgm:spPr>
        <a:solidFill>
          <a:schemeClr val="accent5">
            <a:lumMod val="60000"/>
            <a:lumOff val="40000"/>
          </a:schemeClr>
        </a:solidFill>
        <a:ln/>
      </dgm:spPr>
      <dgm:t>
        <a:bodyPr/>
        <a:lstStyle/>
        <a:p>
          <a:pPr algn="r" rtl="1"/>
          <a:r>
            <a:rPr lang="ar-DZ" sz="1000" b="0">
              <a:latin typeface="Simplified Arabic" panose="02020603050405020304" pitchFamily="18" charset="-78"/>
              <a:cs typeface="Simplified Arabic" panose="02020603050405020304" pitchFamily="18" charset="-78"/>
            </a:rPr>
            <a:t>الراسمال الاجتماعي</a:t>
          </a:r>
          <a:endParaRPr lang="fr-FR" sz="1000">
            <a:latin typeface="Simplified Arabic" panose="02020603050405020304" pitchFamily="18" charset="-78"/>
            <a:cs typeface="Simplified Arabic" panose="02020603050405020304" pitchFamily="18" charset="-78"/>
          </a:endParaRPr>
        </a:p>
      </dgm:t>
    </dgm:pt>
    <dgm:pt modelId="{B7588987-D0C1-4664-8649-662F931A9E52}" type="sibTrans" cxnId="{13845F83-99B9-462F-88E7-6FC1709E0483}">
      <dgm:prSet/>
      <dgm:spPr/>
      <dgm:t>
        <a:bodyPr/>
        <a:lstStyle/>
        <a:p>
          <a:endParaRPr lang="fr-FR"/>
        </a:p>
      </dgm:t>
    </dgm:pt>
    <dgm:pt modelId="{D0BA25F3-0DC8-46D6-A374-E5217F52A1BE}" type="parTrans" cxnId="{13845F83-99B9-462F-88E7-6FC1709E0483}">
      <dgm:prSet/>
      <dgm:spPr/>
      <dgm:t>
        <a:bodyPr/>
        <a:lstStyle/>
        <a:p>
          <a:endParaRPr lang="fr-FR"/>
        </a:p>
      </dgm:t>
    </dgm:pt>
    <dgm:pt modelId="{DF4C4C99-BCB5-4223-B8C7-C5AAF515E5C1}" type="pres">
      <dgm:prSet presAssocID="{F12BBA5C-C85B-4E22-BAA5-BAA22BC97877}" presName="cycleMatrixDiagram" presStyleCnt="0">
        <dgm:presLayoutVars>
          <dgm:chMax val="1"/>
          <dgm:dir/>
          <dgm:animLvl val="lvl"/>
          <dgm:resizeHandles val="exact"/>
        </dgm:presLayoutVars>
      </dgm:prSet>
      <dgm:spPr/>
      <dgm:t>
        <a:bodyPr/>
        <a:lstStyle/>
        <a:p>
          <a:endParaRPr lang="fr-FR"/>
        </a:p>
      </dgm:t>
    </dgm:pt>
    <dgm:pt modelId="{709086AC-86ED-4F02-9CC1-C8E943CC4647}" type="pres">
      <dgm:prSet presAssocID="{F12BBA5C-C85B-4E22-BAA5-BAA22BC97877}" presName="children" presStyleCnt="0"/>
      <dgm:spPr/>
      <dgm:t>
        <a:bodyPr/>
        <a:lstStyle/>
        <a:p>
          <a:endParaRPr lang="fr-FR"/>
        </a:p>
      </dgm:t>
    </dgm:pt>
    <dgm:pt modelId="{E0FFE455-4777-43E1-AFE0-D21C8453285A}" type="pres">
      <dgm:prSet presAssocID="{F12BBA5C-C85B-4E22-BAA5-BAA22BC97877}" presName="child1group" presStyleCnt="0"/>
      <dgm:spPr/>
      <dgm:t>
        <a:bodyPr/>
        <a:lstStyle/>
        <a:p>
          <a:endParaRPr lang="fr-FR"/>
        </a:p>
      </dgm:t>
    </dgm:pt>
    <dgm:pt modelId="{2B7F78BF-CE55-4DF8-BA9E-8D7BE0F1BA89}" type="pres">
      <dgm:prSet presAssocID="{F12BBA5C-C85B-4E22-BAA5-BAA22BC97877}" presName="child1" presStyleLbl="bgAcc1" presStyleIdx="0" presStyleCnt="4" custScaleX="108734" custScaleY="114851" custLinFactNeighborX="-39309" custLinFactNeighborY="14677"/>
      <dgm:spPr/>
      <dgm:t>
        <a:bodyPr/>
        <a:lstStyle/>
        <a:p>
          <a:endParaRPr lang="fr-FR"/>
        </a:p>
      </dgm:t>
    </dgm:pt>
    <dgm:pt modelId="{AC0C7D71-DE12-433E-9522-692F480A933C}" type="pres">
      <dgm:prSet presAssocID="{F12BBA5C-C85B-4E22-BAA5-BAA22BC97877}" presName="child1Text" presStyleLbl="bgAcc1" presStyleIdx="0" presStyleCnt="4">
        <dgm:presLayoutVars>
          <dgm:bulletEnabled val="1"/>
        </dgm:presLayoutVars>
      </dgm:prSet>
      <dgm:spPr/>
      <dgm:t>
        <a:bodyPr/>
        <a:lstStyle/>
        <a:p>
          <a:endParaRPr lang="fr-FR"/>
        </a:p>
      </dgm:t>
    </dgm:pt>
    <dgm:pt modelId="{E3339753-BC4A-4571-839B-83884B3FEFB4}" type="pres">
      <dgm:prSet presAssocID="{F12BBA5C-C85B-4E22-BAA5-BAA22BC97877}" presName="child2group" presStyleCnt="0"/>
      <dgm:spPr/>
      <dgm:t>
        <a:bodyPr/>
        <a:lstStyle/>
        <a:p>
          <a:endParaRPr lang="fr-FR"/>
        </a:p>
      </dgm:t>
    </dgm:pt>
    <dgm:pt modelId="{6A1D0904-0A7A-41E3-BAC7-4F8DA3A2AD97}" type="pres">
      <dgm:prSet presAssocID="{F12BBA5C-C85B-4E22-BAA5-BAA22BC97877}" presName="child2" presStyleLbl="bgAcc1" presStyleIdx="1" presStyleCnt="4" custScaleX="108807" custScaleY="114935" custLinFactNeighborX="41754" custLinFactNeighborY="16697"/>
      <dgm:spPr/>
      <dgm:t>
        <a:bodyPr/>
        <a:lstStyle/>
        <a:p>
          <a:endParaRPr lang="fr-FR"/>
        </a:p>
      </dgm:t>
    </dgm:pt>
    <dgm:pt modelId="{1D1516A0-E568-4C34-BB51-CBA63BC217FB}" type="pres">
      <dgm:prSet presAssocID="{F12BBA5C-C85B-4E22-BAA5-BAA22BC97877}" presName="child2Text" presStyleLbl="bgAcc1" presStyleIdx="1" presStyleCnt="4">
        <dgm:presLayoutVars>
          <dgm:bulletEnabled val="1"/>
        </dgm:presLayoutVars>
      </dgm:prSet>
      <dgm:spPr/>
      <dgm:t>
        <a:bodyPr/>
        <a:lstStyle/>
        <a:p>
          <a:endParaRPr lang="fr-FR"/>
        </a:p>
      </dgm:t>
    </dgm:pt>
    <dgm:pt modelId="{5313C719-4344-4B65-A3DE-425C442C4B0F}" type="pres">
      <dgm:prSet presAssocID="{F12BBA5C-C85B-4E22-BAA5-BAA22BC97877}" presName="child3group" presStyleCnt="0"/>
      <dgm:spPr/>
      <dgm:t>
        <a:bodyPr/>
        <a:lstStyle/>
        <a:p>
          <a:endParaRPr lang="fr-FR"/>
        </a:p>
      </dgm:t>
    </dgm:pt>
    <dgm:pt modelId="{46626D5F-37AE-4A4A-A3B3-5FD71D18B5F2}" type="pres">
      <dgm:prSet presAssocID="{F12BBA5C-C85B-4E22-BAA5-BAA22BC97877}" presName="child3" presStyleLbl="bgAcc1" presStyleIdx="2" presStyleCnt="4" custScaleX="110721" custScaleY="139810" custLinFactNeighborX="40964" custLinFactNeighborY="-19212"/>
      <dgm:spPr/>
      <dgm:t>
        <a:bodyPr/>
        <a:lstStyle/>
        <a:p>
          <a:endParaRPr lang="fr-FR"/>
        </a:p>
      </dgm:t>
    </dgm:pt>
    <dgm:pt modelId="{714764A3-FC74-49F2-82C1-FBB7A9FF1BFC}" type="pres">
      <dgm:prSet presAssocID="{F12BBA5C-C85B-4E22-BAA5-BAA22BC97877}" presName="child3Text" presStyleLbl="bgAcc1" presStyleIdx="2" presStyleCnt="4">
        <dgm:presLayoutVars>
          <dgm:bulletEnabled val="1"/>
        </dgm:presLayoutVars>
      </dgm:prSet>
      <dgm:spPr/>
      <dgm:t>
        <a:bodyPr/>
        <a:lstStyle/>
        <a:p>
          <a:endParaRPr lang="fr-FR"/>
        </a:p>
      </dgm:t>
    </dgm:pt>
    <dgm:pt modelId="{D4CDC60A-7010-4F2B-8192-3DE81973CD83}" type="pres">
      <dgm:prSet presAssocID="{F12BBA5C-C85B-4E22-BAA5-BAA22BC97877}" presName="child4group" presStyleCnt="0"/>
      <dgm:spPr/>
      <dgm:t>
        <a:bodyPr/>
        <a:lstStyle/>
        <a:p>
          <a:endParaRPr lang="fr-FR"/>
        </a:p>
      </dgm:t>
    </dgm:pt>
    <dgm:pt modelId="{60C92B5A-F8AE-4521-8DF3-2AF3410242A2}" type="pres">
      <dgm:prSet presAssocID="{F12BBA5C-C85B-4E22-BAA5-BAA22BC97877}" presName="child4" presStyleLbl="bgAcc1" presStyleIdx="3" presStyleCnt="4" custScaleX="110156" custScaleY="139096" custLinFactNeighborX="-38192" custLinFactNeighborY="-18485"/>
      <dgm:spPr/>
      <dgm:t>
        <a:bodyPr/>
        <a:lstStyle/>
        <a:p>
          <a:endParaRPr lang="fr-FR"/>
        </a:p>
      </dgm:t>
    </dgm:pt>
    <dgm:pt modelId="{D491B999-B8AC-4CBD-919B-66B1E127746A}" type="pres">
      <dgm:prSet presAssocID="{F12BBA5C-C85B-4E22-BAA5-BAA22BC97877}" presName="child4Text" presStyleLbl="bgAcc1" presStyleIdx="3" presStyleCnt="4">
        <dgm:presLayoutVars>
          <dgm:bulletEnabled val="1"/>
        </dgm:presLayoutVars>
      </dgm:prSet>
      <dgm:spPr/>
      <dgm:t>
        <a:bodyPr/>
        <a:lstStyle/>
        <a:p>
          <a:endParaRPr lang="fr-FR"/>
        </a:p>
      </dgm:t>
    </dgm:pt>
    <dgm:pt modelId="{BAC0E061-CA2E-45B1-8179-7DCD22ABE93E}" type="pres">
      <dgm:prSet presAssocID="{F12BBA5C-C85B-4E22-BAA5-BAA22BC97877}" presName="childPlaceholder" presStyleCnt="0"/>
      <dgm:spPr/>
      <dgm:t>
        <a:bodyPr/>
        <a:lstStyle/>
        <a:p>
          <a:endParaRPr lang="fr-FR"/>
        </a:p>
      </dgm:t>
    </dgm:pt>
    <dgm:pt modelId="{8949A898-80B3-4504-B1BD-F37FE4F1F386}" type="pres">
      <dgm:prSet presAssocID="{F12BBA5C-C85B-4E22-BAA5-BAA22BC97877}" presName="circle" presStyleCnt="0"/>
      <dgm:spPr/>
      <dgm:t>
        <a:bodyPr/>
        <a:lstStyle/>
        <a:p>
          <a:endParaRPr lang="fr-FR"/>
        </a:p>
      </dgm:t>
    </dgm:pt>
    <dgm:pt modelId="{DE41B026-4E87-45E8-A700-09EB8C93194B}" type="pres">
      <dgm:prSet presAssocID="{F12BBA5C-C85B-4E22-BAA5-BAA22BC97877}" presName="quadrant1" presStyleLbl="node1" presStyleIdx="0" presStyleCnt="4" custScaleX="121000" custScaleY="110000" custLinFactNeighborX="-1774" custLinFactNeighborY="-6559">
        <dgm:presLayoutVars>
          <dgm:chMax val="1"/>
          <dgm:bulletEnabled val="1"/>
        </dgm:presLayoutVars>
      </dgm:prSet>
      <dgm:spPr/>
      <dgm:t>
        <a:bodyPr/>
        <a:lstStyle/>
        <a:p>
          <a:endParaRPr lang="fr-FR"/>
        </a:p>
      </dgm:t>
    </dgm:pt>
    <dgm:pt modelId="{C412F3DA-306A-44C5-B1D7-CCE0512F0716}" type="pres">
      <dgm:prSet presAssocID="{F12BBA5C-C85B-4E22-BAA5-BAA22BC97877}" presName="quadrant2" presStyleLbl="node1" presStyleIdx="1" presStyleCnt="4" custScaleX="121000" custScaleY="110000" custLinFactNeighborX="18433" custLinFactNeighborY="-6559">
        <dgm:presLayoutVars>
          <dgm:chMax val="1"/>
          <dgm:bulletEnabled val="1"/>
        </dgm:presLayoutVars>
      </dgm:prSet>
      <dgm:spPr/>
      <dgm:t>
        <a:bodyPr/>
        <a:lstStyle/>
        <a:p>
          <a:endParaRPr lang="fr-FR"/>
        </a:p>
      </dgm:t>
    </dgm:pt>
    <dgm:pt modelId="{E479C272-FB59-440C-A6D5-AFF4F215B8DB}" type="pres">
      <dgm:prSet presAssocID="{F12BBA5C-C85B-4E22-BAA5-BAA22BC97877}" presName="quadrant3" presStyleLbl="node1" presStyleIdx="2" presStyleCnt="4" custScaleX="121000" custScaleY="110000" custLinFactNeighborX="18433" custLinFactNeighborY="3124">
        <dgm:presLayoutVars>
          <dgm:chMax val="1"/>
          <dgm:bulletEnabled val="1"/>
        </dgm:presLayoutVars>
      </dgm:prSet>
      <dgm:spPr/>
      <dgm:t>
        <a:bodyPr/>
        <a:lstStyle/>
        <a:p>
          <a:endParaRPr lang="fr-FR"/>
        </a:p>
      </dgm:t>
    </dgm:pt>
    <dgm:pt modelId="{B7D3C0DE-EF46-42F7-921D-A18952AABBEB}" type="pres">
      <dgm:prSet presAssocID="{F12BBA5C-C85B-4E22-BAA5-BAA22BC97877}" presName="quadrant4" presStyleLbl="node1" presStyleIdx="3" presStyleCnt="4" custScaleX="121000" custScaleY="110000" custLinFactNeighborX="-1774" custLinFactNeighborY="3124">
        <dgm:presLayoutVars>
          <dgm:chMax val="1"/>
          <dgm:bulletEnabled val="1"/>
        </dgm:presLayoutVars>
      </dgm:prSet>
      <dgm:spPr/>
      <dgm:t>
        <a:bodyPr/>
        <a:lstStyle/>
        <a:p>
          <a:endParaRPr lang="fr-FR"/>
        </a:p>
      </dgm:t>
    </dgm:pt>
    <dgm:pt modelId="{9D80639A-418F-495E-99ED-3695825CB741}" type="pres">
      <dgm:prSet presAssocID="{F12BBA5C-C85B-4E22-BAA5-BAA22BC97877}" presName="quadrantPlaceholder" presStyleCnt="0"/>
      <dgm:spPr/>
      <dgm:t>
        <a:bodyPr/>
        <a:lstStyle/>
        <a:p>
          <a:endParaRPr lang="fr-FR"/>
        </a:p>
      </dgm:t>
    </dgm:pt>
    <dgm:pt modelId="{EB590BCD-E22C-47E0-9669-ED80A7A45050}" type="pres">
      <dgm:prSet presAssocID="{F12BBA5C-C85B-4E22-BAA5-BAA22BC97877}" presName="center1" presStyleLbl="fgShp" presStyleIdx="0" presStyleCnt="2" custAng="0" custFlipHor="1" custScaleX="163651" custScaleY="177156" custLinFactNeighborX="20429" custLinFactNeighborY="-20129">
        <dgm:style>
          <a:lnRef idx="1">
            <a:schemeClr val="dk1"/>
          </a:lnRef>
          <a:fillRef idx="2">
            <a:schemeClr val="dk1"/>
          </a:fillRef>
          <a:effectRef idx="1">
            <a:schemeClr val="dk1"/>
          </a:effectRef>
          <a:fontRef idx="minor">
            <a:schemeClr val="dk1"/>
          </a:fontRef>
        </dgm:style>
      </dgm:prSet>
      <dgm:spPr/>
      <dgm:t>
        <a:bodyPr/>
        <a:lstStyle/>
        <a:p>
          <a:endParaRPr lang="fr-FR"/>
        </a:p>
      </dgm:t>
    </dgm:pt>
    <dgm:pt modelId="{AFF89BDD-5816-4EBA-AF7B-AD260CF94213}" type="pres">
      <dgm:prSet presAssocID="{F12BBA5C-C85B-4E22-BAA5-BAA22BC97877}" presName="center2" presStyleLbl="fgShp" presStyleIdx="1" presStyleCnt="2" custAng="0" custFlipHor="1" custScaleX="168684" custScaleY="177156" custLinFactNeighborX="23560" custLinFactNeighborY="-6748">
        <dgm:style>
          <a:lnRef idx="1">
            <a:schemeClr val="dk1"/>
          </a:lnRef>
          <a:fillRef idx="2">
            <a:schemeClr val="dk1"/>
          </a:fillRef>
          <a:effectRef idx="1">
            <a:schemeClr val="dk1"/>
          </a:effectRef>
          <a:fontRef idx="minor">
            <a:schemeClr val="dk1"/>
          </a:fontRef>
        </dgm:style>
      </dgm:prSet>
      <dgm:spPr/>
      <dgm:t>
        <a:bodyPr/>
        <a:lstStyle/>
        <a:p>
          <a:endParaRPr lang="fr-FR"/>
        </a:p>
      </dgm:t>
    </dgm:pt>
  </dgm:ptLst>
  <dgm:cxnLst>
    <dgm:cxn modelId="{F1ADD65A-151D-454B-A1E8-BD979C57B34D}" type="presOf" srcId="{FB57C12F-6E58-4540-B682-7195E57C106F}" destId="{D491B999-B8AC-4CBD-919B-66B1E127746A}" srcOrd="1" destOrd="2" presId="urn:microsoft.com/office/officeart/2005/8/layout/cycle4"/>
    <dgm:cxn modelId="{882336CA-F75F-4C4A-BDBB-094031AA7F2E}" type="presOf" srcId="{4AE711A0-6CB3-460F-B283-FC08DEC10B28}" destId="{2B7F78BF-CE55-4DF8-BA9E-8D7BE0F1BA89}" srcOrd="0" destOrd="3" presId="urn:microsoft.com/office/officeart/2005/8/layout/cycle4"/>
    <dgm:cxn modelId="{E1610DF3-4312-49AD-8F46-7D36C0A15AE2}" type="presOf" srcId="{F12BBA5C-C85B-4E22-BAA5-BAA22BC97877}" destId="{DF4C4C99-BCB5-4223-B8C7-C5AAF515E5C1}" srcOrd="0" destOrd="0" presId="urn:microsoft.com/office/officeart/2005/8/layout/cycle4"/>
    <dgm:cxn modelId="{9F89F5CF-8D0A-44D7-93F9-1695B66ECB4C}" srcId="{8D944682-E5A4-418E-BA21-B9E786217A04}" destId="{33EC9C0A-F660-4053-9DD1-392D0053E044}" srcOrd="1" destOrd="0" parTransId="{0F1D2A5E-72BC-428E-B9CB-17B966573F8C}" sibTransId="{42631BD4-AF66-4DC3-A296-7E803727E819}"/>
    <dgm:cxn modelId="{3672A188-12B7-4FC3-9089-D88BCE5E94DB}" type="presOf" srcId="{F4351410-B289-4BE0-8988-AE3F959E2A30}" destId="{714764A3-FC74-49F2-82C1-FBB7A9FF1BFC}" srcOrd="1" destOrd="1" presId="urn:microsoft.com/office/officeart/2005/8/layout/cycle4"/>
    <dgm:cxn modelId="{2BF7F441-31C6-41FB-B27F-5F40ED73FE3C}" type="presOf" srcId="{F4351410-B289-4BE0-8988-AE3F959E2A30}" destId="{46626D5F-37AE-4A4A-A3B3-5FD71D18B5F2}" srcOrd="0" destOrd="1" presId="urn:microsoft.com/office/officeart/2005/8/layout/cycle4"/>
    <dgm:cxn modelId="{4788BFC8-8EBF-48F1-BCB6-5856A60B6F99}" type="presOf" srcId="{8D944682-E5A4-418E-BA21-B9E786217A04}" destId="{B7D3C0DE-EF46-42F7-921D-A18952AABBEB}" srcOrd="0" destOrd="0" presId="urn:microsoft.com/office/officeart/2005/8/layout/cycle4"/>
    <dgm:cxn modelId="{275C0FA1-3DD5-4B9C-9433-CFF6BC5EBBCC}" srcId="{F12BBA5C-C85B-4E22-BAA5-BAA22BC97877}" destId="{8D944682-E5A4-418E-BA21-B9E786217A04}" srcOrd="3" destOrd="0" parTransId="{2297460F-51F3-477C-B3EE-4AC21E04668F}" sibTransId="{508BDD42-5374-41A4-8B57-0344A023447F}"/>
    <dgm:cxn modelId="{65E9EB0E-A92B-4C02-BE5B-2DF178F9FA2F}" srcId="{AF96DD06-5305-47F9-90A9-0C72916040D9}" destId="{F4351410-B289-4BE0-8988-AE3F959E2A30}" srcOrd="1" destOrd="0" parTransId="{5FFF745C-91DC-4162-962A-2611B5A531BE}" sibTransId="{4D47CA39-B1B4-44EC-A904-10C84DF69A30}"/>
    <dgm:cxn modelId="{4A418CE9-F40F-4710-B05F-D84C0B1E7B67}" type="presOf" srcId="{108C4283-09B0-423B-AAD0-AE64D402298B}" destId="{6A1D0904-0A7A-41E3-BAC7-4F8DA3A2AD97}" srcOrd="0" destOrd="2" presId="urn:microsoft.com/office/officeart/2005/8/layout/cycle4"/>
    <dgm:cxn modelId="{51E050A9-F921-49F6-909A-A4601805FA60}" srcId="{FFDDEB84-36A4-451F-AA4E-4C5AFA63A1AC}" destId="{38EDEE68-089C-4B3C-A516-2B97351D7B0B}" srcOrd="0" destOrd="0" parTransId="{D6DA9A98-56A8-4906-B729-970F9A344522}" sibTransId="{91BF8DEF-9A8F-4782-A1CC-96989E721A6D}"/>
    <dgm:cxn modelId="{6E7C4D32-8AD5-4693-894C-922BFF3BF5DF}" type="presOf" srcId="{C466A90F-C6A4-48BE-9A8D-62E957DE0991}" destId="{AC0C7D71-DE12-433E-9522-692F480A933C}" srcOrd="1" destOrd="1" presId="urn:microsoft.com/office/officeart/2005/8/layout/cycle4"/>
    <dgm:cxn modelId="{68AF58C6-9B4E-432B-8F71-A10EE46CFEB5}" type="presOf" srcId="{38EDEE68-089C-4B3C-A516-2B97351D7B0B}" destId="{1D1516A0-E568-4C34-BB51-CBA63BC217FB}" srcOrd="1" destOrd="0" presId="urn:microsoft.com/office/officeart/2005/8/layout/cycle4"/>
    <dgm:cxn modelId="{79DA4B07-0028-4F55-9CC9-2A1286AAC50A}" srcId="{AF96DD06-5305-47F9-90A9-0C72916040D9}" destId="{A5710D26-84D2-4C68-BEAD-92DCF63E618B}" srcOrd="2" destOrd="0" parTransId="{486FFD60-94B3-4AA7-A321-3822BAF64B54}" sibTransId="{AFC9BFA1-45D0-4EC7-B0D1-6CD92CA74B3A}"/>
    <dgm:cxn modelId="{724229EA-A8BA-4D64-8060-C3B28562B9C4}" type="presOf" srcId="{227C3FE1-188C-4B5E-890E-FC243A4F2061}" destId="{1D1516A0-E568-4C34-BB51-CBA63BC217FB}" srcOrd="1" destOrd="3" presId="urn:microsoft.com/office/officeart/2005/8/layout/cycle4"/>
    <dgm:cxn modelId="{AEAEE807-8E42-4E9E-A877-E1C167A00F32}" type="presOf" srcId="{605A3DB6-188A-4426-873C-156CB08C88F2}" destId="{D491B999-B8AC-4CBD-919B-66B1E127746A}" srcOrd="1" destOrd="3" presId="urn:microsoft.com/office/officeart/2005/8/layout/cycle4"/>
    <dgm:cxn modelId="{35819BCD-2DEC-4A4F-AB71-DE4EE46011D7}" type="presOf" srcId="{605A3DB6-188A-4426-873C-156CB08C88F2}" destId="{60C92B5A-F8AE-4521-8DF3-2AF3410242A2}" srcOrd="0" destOrd="3" presId="urn:microsoft.com/office/officeart/2005/8/layout/cycle4"/>
    <dgm:cxn modelId="{DD666729-B010-41E9-9B24-D30A8F25EA7B}" type="presOf" srcId="{11E4E17B-4A41-4C56-A612-405A1B50006D}" destId="{2B7F78BF-CE55-4DF8-BA9E-8D7BE0F1BA89}" srcOrd="0" destOrd="4" presId="urn:microsoft.com/office/officeart/2005/8/layout/cycle4"/>
    <dgm:cxn modelId="{D924FD84-1EBD-4DCA-9A7A-D2AF1A6D2076}" type="presOf" srcId="{FB57C12F-6E58-4540-B682-7195E57C106F}" destId="{60C92B5A-F8AE-4521-8DF3-2AF3410242A2}" srcOrd="0" destOrd="2" presId="urn:microsoft.com/office/officeart/2005/8/layout/cycle4"/>
    <dgm:cxn modelId="{66D09C03-1D7F-4982-ADE1-B0085EC69539}" type="presOf" srcId="{AF96DD06-5305-47F9-90A9-0C72916040D9}" destId="{E479C272-FB59-440C-A6D5-AFF4F215B8DB}" srcOrd="0" destOrd="0" presId="urn:microsoft.com/office/officeart/2005/8/layout/cycle4"/>
    <dgm:cxn modelId="{0B4A6A85-1D89-4167-964B-75F3A77DE459}" type="presOf" srcId="{4AE711A0-6CB3-460F-B283-FC08DEC10B28}" destId="{AC0C7D71-DE12-433E-9522-692F480A933C}" srcOrd="1" destOrd="3" presId="urn:microsoft.com/office/officeart/2005/8/layout/cycle4"/>
    <dgm:cxn modelId="{EEFEDBDE-C7EA-4A53-9698-098807D9E8E3}" type="presOf" srcId="{FB62C4C4-4C5C-4994-A961-09418CD16AC3}" destId="{DE41B026-4E87-45E8-A700-09EB8C93194B}" srcOrd="0" destOrd="0" presId="urn:microsoft.com/office/officeart/2005/8/layout/cycle4"/>
    <dgm:cxn modelId="{48FD73B1-A8E8-4537-AEDD-9985221D870E}" srcId="{F12BBA5C-C85B-4E22-BAA5-BAA22BC97877}" destId="{AF96DD06-5305-47F9-90A9-0C72916040D9}" srcOrd="2" destOrd="0" parTransId="{6F8F00A5-CDC4-4B9A-B661-21E6C2AA8CFC}" sibTransId="{7D0C0B9B-7ABA-4CED-995B-79AAEFC566A1}"/>
    <dgm:cxn modelId="{CD086C54-6584-4A29-AFFA-408BEE880160}" srcId="{FB62C4C4-4C5C-4994-A961-09418CD16AC3}" destId="{504EDF0E-1F27-4509-BA75-0258500D32B5}" srcOrd="0" destOrd="0" parTransId="{51709882-CCDF-4AD2-A578-5B8558D38BE7}" sibTransId="{F208C435-9A30-4097-A995-4DE6914819D1}"/>
    <dgm:cxn modelId="{538B222A-FD77-4AB1-8EB4-5246ED367A7B}" type="presOf" srcId="{A0BCA35C-B4E7-4B4A-ADC6-BE5B7DEA1B3E}" destId="{6A1D0904-0A7A-41E3-BAC7-4F8DA3A2AD97}" srcOrd="0" destOrd="1" presId="urn:microsoft.com/office/officeart/2005/8/layout/cycle4"/>
    <dgm:cxn modelId="{0A9FF6A3-5431-4A72-9C04-B576D8499E36}" srcId="{AF96DD06-5305-47F9-90A9-0C72916040D9}" destId="{A8D20012-7EFB-41C1-9216-91BE87D8B154}" srcOrd="3" destOrd="0" parTransId="{54780E89-0BC1-4646-895B-8802578DECC9}" sibTransId="{49193883-DEA3-4790-AAFE-E16002580C58}"/>
    <dgm:cxn modelId="{A7A50470-197E-460E-8961-FEC17575F03B}" type="presOf" srcId="{11E4E17B-4A41-4C56-A612-405A1B50006D}" destId="{AC0C7D71-DE12-433E-9522-692F480A933C}" srcOrd="1" destOrd="4" presId="urn:microsoft.com/office/officeart/2005/8/layout/cycle4"/>
    <dgm:cxn modelId="{13845F83-99B9-462F-88E7-6FC1709E0483}" srcId="{AF96DD06-5305-47F9-90A9-0C72916040D9}" destId="{611D8B4E-D24F-482C-AC2E-4D783010D219}" srcOrd="0" destOrd="0" parTransId="{D0BA25F3-0DC8-46D6-A374-E5217F52A1BE}" sibTransId="{B7588987-D0C1-4664-8649-662F931A9E52}"/>
    <dgm:cxn modelId="{1BFFC9A7-C70A-4B3B-A15E-D81B07D7B360}" srcId="{8D944682-E5A4-418E-BA21-B9E786217A04}" destId="{605A3DB6-188A-4426-873C-156CB08C88F2}" srcOrd="3" destOrd="0" parTransId="{CECBAB8E-B3B4-40EA-8974-3D4EFF50C8EC}" sibTransId="{712156A9-76BC-4EF7-A34E-DB84B0C1BBEF}"/>
    <dgm:cxn modelId="{CA8CB9C0-B432-4DD5-A6C1-74389F0F277B}" srcId="{FFDDEB84-36A4-451F-AA4E-4C5AFA63A1AC}" destId="{227C3FE1-188C-4B5E-890E-FC243A4F2061}" srcOrd="3" destOrd="0" parTransId="{5960FC4E-5BE5-4647-A482-D330D2551024}" sibTransId="{8F6FA3B3-74CB-49DB-A129-98CF9C387488}"/>
    <dgm:cxn modelId="{E4A2F708-31CE-47C1-9951-A5311756B0B6}" type="presOf" srcId="{C466A90F-C6A4-48BE-9A8D-62E957DE0991}" destId="{2B7F78BF-CE55-4DF8-BA9E-8D7BE0F1BA89}" srcOrd="0" destOrd="1" presId="urn:microsoft.com/office/officeart/2005/8/layout/cycle4"/>
    <dgm:cxn modelId="{A0C4A68D-F08F-4664-895C-F3ECAE5A78EF}" type="presOf" srcId="{38EDEE68-089C-4B3C-A516-2B97351D7B0B}" destId="{6A1D0904-0A7A-41E3-BAC7-4F8DA3A2AD97}" srcOrd="0" destOrd="0" presId="urn:microsoft.com/office/officeart/2005/8/layout/cycle4"/>
    <dgm:cxn modelId="{A7BD2B0D-B560-4216-B754-A766ECC9DE89}" type="presOf" srcId="{108C4283-09B0-423B-AAD0-AE64D402298B}" destId="{1D1516A0-E568-4C34-BB51-CBA63BC217FB}" srcOrd="1" destOrd="2" presId="urn:microsoft.com/office/officeart/2005/8/layout/cycle4"/>
    <dgm:cxn modelId="{E9F8CC0C-4AB1-441D-88B1-39FCC47F7CAC}" srcId="{F12BBA5C-C85B-4E22-BAA5-BAA22BC97877}" destId="{FFDDEB84-36A4-451F-AA4E-4C5AFA63A1AC}" srcOrd="1" destOrd="0" parTransId="{DC511BDD-A2EC-4AF2-9150-B8093AAA2D3E}" sibTransId="{59333404-63EE-4DDB-A6C1-23CDE6A54547}"/>
    <dgm:cxn modelId="{5FFFC3D9-9994-4870-915D-0166650794F8}" srcId="{8D944682-E5A4-418E-BA21-B9E786217A04}" destId="{FB57C12F-6E58-4540-B682-7195E57C106F}" srcOrd="2" destOrd="0" parTransId="{3BB1455A-B412-4B45-99E9-4287803B7783}" sibTransId="{7C51BBB1-888F-4D18-880F-2B2E199C2D79}"/>
    <dgm:cxn modelId="{ACAE6DA2-6157-4E03-8B34-DA4371A8BAB3}" type="presOf" srcId="{A8D20012-7EFB-41C1-9216-91BE87D8B154}" destId="{46626D5F-37AE-4A4A-A3B3-5FD71D18B5F2}" srcOrd="0" destOrd="3" presId="urn:microsoft.com/office/officeart/2005/8/layout/cycle4"/>
    <dgm:cxn modelId="{9F3704CD-CB61-4B08-95B9-5D8A1CA4C589}" type="presOf" srcId="{611D8B4E-D24F-482C-AC2E-4D783010D219}" destId="{46626D5F-37AE-4A4A-A3B3-5FD71D18B5F2}" srcOrd="0" destOrd="0" presId="urn:microsoft.com/office/officeart/2005/8/layout/cycle4"/>
    <dgm:cxn modelId="{8075344D-A986-4FD7-A88C-E0C4758CA49A}" type="presOf" srcId="{A5710D26-84D2-4C68-BEAD-92DCF63E618B}" destId="{46626D5F-37AE-4A4A-A3B3-5FD71D18B5F2}" srcOrd="0" destOrd="2" presId="urn:microsoft.com/office/officeart/2005/8/layout/cycle4"/>
    <dgm:cxn modelId="{70B8F213-7BFE-4785-9BCB-24BFEFEEDCCC}" type="presOf" srcId="{6664A87F-C695-4938-A926-EA3E4E4C2B5F}" destId="{D491B999-B8AC-4CBD-919B-66B1E127746A}" srcOrd="1" destOrd="0" presId="urn:microsoft.com/office/officeart/2005/8/layout/cycle4"/>
    <dgm:cxn modelId="{F19B6B17-D31E-4BB8-AF4E-0172A1A1D4F1}" type="presOf" srcId="{33EC9C0A-F660-4053-9DD1-392D0053E044}" destId="{D491B999-B8AC-4CBD-919B-66B1E127746A}" srcOrd="1" destOrd="1" presId="urn:microsoft.com/office/officeart/2005/8/layout/cycle4"/>
    <dgm:cxn modelId="{4ECD70D4-7C6E-4855-816F-E7833B6FA4A9}" type="presOf" srcId="{611D8B4E-D24F-482C-AC2E-4D783010D219}" destId="{714764A3-FC74-49F2-82C1-FBB7A9FF1BFC}" srcOrd="1" destOrd="0" presId="urn:microsoft.com/office/officeart/2005/8/layout/cycle4"/>
    <dgm:cxn modelId="{2388ED7A-F629-4760-9D57-3F3E6D423448}" type="presOf" srcId="{FFDDEB84-36A4-451F-AA4E-4C5AFA63A1AC}" destId="{C412F3DA-306A-44C5-B1D7-CCE0512F0716}" srcOrd="0" destOrd="0" presId="urn:microsoft.com/office/officeart/2005/8/layout/cycle4"/>
    <dgm:cxn modelId="{747E2581-416F-40B3-B6E0-5B9CCEC80F7D}" type="presOf" srcId="{227C3FE1-188C-4B5E-890E-FC243A4F2061}" destId="{6A1D0904-0A7A-41E3-BAC7-4F8DA3A2AD97}" srcOrd="0" destOrd="3" presId="urn:microsoft.com/office/officeart/2005/8/layout/cycle4"/>
    <dgm:cxn modelId="{F21289B2-CEA2-421D-AE6C-0733F89F1F2D}" type="presOf" srcId="{504EDF0E-1F27-4509-BA75-0258500D32B5}" destId="{2B7F78BF-CE55-4DF8-BA9E-8D7BE0F1BA89}" srcOrd="0" destOrd="0" presId="urn:microsoft.com/office/officeart/2005/8/layout/cycle4"/>
    <dgm:cxn modelId="{FBA40055-49B2-47FD-91C1-EB28A487B803}" srcId="{FB62C4C4-4C5C-4994-A961-09418CD16AC3}" destId="{C466A90F-C6A4-48BE-9A8D-62E957DE0991}" srcOrd="1" destOrd="0" parTransId="{EDE38691-F38C-46D3-91C1-862E86D33A52}" sibTransId="{7E75538E-FD46-439A-AF59-3DF1D74F3251}"/>
    <dgm:cxn modelId="{8C846163-6157-46BF-B585-3307947A9473}" srcId="{F12BBA5C-C85B-4E22-BAA5-BAA22BC97877}" destId="{FB62C4C4-4C5C-4994-A961-09418CD16AC3}" srcOrd="0" destOrd="0" parTransId="{F4387408-03D8-40F8-ACC2-20B17FE0F8DA}" sibTransId="{7BE5AF30-8BA5-4989-B626-066351CED2DB}"/>
    <dgm:cxn modelId="{7410AB78-13F3-4BA4-A84F-7A590C67BB26}" type="presOf" srcId="{33EC9C0A-F660-4053-9DD1-392D0053E044}" destId="{60C92B5A-F8AE-4521-8DF3-2AF3410242A2}" srcOrd="0" destOrd="1" presId="urn:microsoft.com/office/officeart/2005/8/layout/cycle4"/>
    <dgm:cxn modelId="{06AA7B92-30BB-4B61-9FA1-301EC6393A8C}" type="presOf" srcId="{A0BCA35C-B4E7-4B4A-ADC6-BE5B7DEA1B3E}" destId="{1D1516A0-E568-4C34-BB51-CBA63BC217FB}" srcOrd="1" destOrd="1" presId="urn:microsoft.com/office/officeart/2005/8/layout/cycle4"/>
    <dgm:cxn modelId="{A4894972-7118-40C3-81B1-A2AFD5A6461B}" type="presOf" srcId="{504EDF0E-1F27-4509-BA75-0258500D32B5}" destId="{AC0C7D71-DE12-433E-9522-692F480A933C}" srcOrd="1" destOrd="0" presId="urn:microsoft.com/office/officeart/2005/8/layout/cycle4"/>
    <dgm:cxn modelId="{36FCE228-09B4-4859-927E-863AA20DC5C2}" srcId="{FB62C4C4-4C5C-4994-A961-09418CD16AC3}" destId="{11E4E17B-4A41-4C56-A612-405A1B50006D}" srcOrd="4" destOrd="0" parTransId="{C97B48C8-6EF5-417A-8616-60F6B95C01E8}" sibTransId="{1D98D4F1-3AA5-46CB-8213-A0537CD12E68}"/>
    <dgm:cxn modelId="{DD0CDE63-6D3E-41A9-92EF-72316186E057}" srcId="{FB62C4C4-4C5C-4994-A961-09418CD16AC3}" destId="{4AE711A0-6CB3-460F-B283-FC08DEC10B28}" srcOrd="3" destOrd="0" parTransId="{713E50D6-FF49-42EF-9DC5-8D5F0D892B7F}" sibTransId="{2B57404D-11F0-439C-9F54-5397B7C17581}"/>
    <dgm:cxn modelId="{53C1D8E2-13A0-4873-9AD7-599E27A2707F}" srcId="{FB62C4C4-4C5C-4994-A961-09418CD16AC3}" destId="{46E0CA54-1CF1-40D1-9056-276E6D89D911}" srcOrd="2" destOrd="0" parTransId="{486B1912-8E88-4B92-9D61-A79CBAEE73EC}" sibTransId="{89F3ED49-2339-4F60-A30B-0E42AEDDB125}"/>
    <dgm:cxn modelId="{43558C02-9BE7-4737-B2DA-0EB47F06393B}" srcId="{8D944682-E5A4-418E-BA21-B9E786217A04}" destId="{6664A87F-C695-4938-A926-EA3E4E4C2B5F}" srcOrd="0" destOrd="0" parTransId="{DF1ADFF1-B7D9-48BC-956D-2E25CC35E6D4}" sibTransId="{0E44D6C8-1375-4F41-9FD1-B520DA3F5253}"/>
    <dgm:cxn modelId="{EB4FD0E9-D01C-4BAC-B134-E6A71492667F}" srcId="{FFDDEB84-36A4-451F-AA4E-4C5AFA63A1AC}" destId="{A0BCA35C-B4E7-4B4A-ADC6-BE5B7DEA1B3E}" srcOrd="1" destOrd="0" parTransId="{BE3A763E-72BC-4DAC-8369-F95EA7C823BA}" sibTransId="{06D0CBF0-2712-4275-A4FD-C4A07D070202}"/>
    <dgm:cxn modelId="{8A39549D-5D5C-4573-945E-61609BA5E3EB}" type="presOf" srcId="{46E0CA54-1CF1-40D1-9056-276E6D89D911}" destId="{2B7F78BF-CE55-4DF8-BA9E-8D7BE0F1BA89}" srcOrd="0" destOrd="2" presId="urn:microsoft.com/office/officeart/2005/8/layout/cycle4"/>
    <dgm:cxn modelId="{68859C1D-A651-4CAF-A707-5A6844DF0CDB}" type="presOf" srcId="{A5710D26-84D2-4C68-BEAD-92DCF63E618B}" destId="{714764A3-FC74-49F2-82C1-FBB7A9FF1BFC}" srcOrd="1" destOrd="2" presId="urn:microsoft.com/office/officeart/2005/8/layout/cycle4"/>
    <dgm:cxn modelId="{3745951D-7000-497A-A2DC-73E6B269B92C}" srcId="{FFDDEB84-36A4-451F-AA4E-4C5AFA63A1AC}" destId="{108C4283-09B0-423B-AAD0-AE64D402298B}" srcOrd="2" destOrd="0" parTransId="{1F4203C2-B883-4275-880B-B7A92A65117E}" sibTransId="{294C3CC6-8AB0-4954-8E4A-52A1368EDA92}"/>
    <dgm:cxn modelId="{AD65DCFD-725D-4E57-B6A1-49CEBF0B5897}" type="presOf" srcId="{46E0CA54-1CF1-40D1-9056-276E6D89D911}" destId="{AC0C7D71-DE12-433E-9522-692F480A933C}" srcOrd="1" destOrd="2" presId="urn:microsoft.com/office/officeart/2005/8/layout/cycle4"/>
    <dgm:cxn modelId="{001FF18A-D0E4-4927-B564-634333380C2C}" type="presOf" srcId="{6664A87F-C695-4938-A926-EA3E4E4C2B5F}" destId="{60C92B5A-F8AE-4521-8DF3-2AF3410242A2}" srcOrd="0" destOrd="0" presId="urn:microsoft.com/office/officeart/2005/8/layout/cycle4"/>
    <dgm:cxn modelId="{792F8DD7-8410-4B1F-B53B-CDC0564BF93B}" type="presOf" srcId="{A8D20012-7EFB-41C1-9216-91BE87D8B154}" destId="{714764A3-FC74-49F2-82C1-FBB7A9FF1BFC}" srcOrd="1" destOrd="3" presId="urn:microsoft.com/office/officeart/2005/8/layout/cycle4"/>
    <dgm:cxn modelId="{81BA4EA3-8B00-444B-9F08-AF0196E7381D}" type="presParOf" srcId="{DF4C4C99-BCB5-4223-B8C7-C5AAF515E5C1}" destId="{709086AC-86ED-4F02-9CC1-C8E943CC4647}" srcOrd="0" destOrd="0" presId="urn:microsoft.com/office/officeart/2005/8/layout/cycle4"/>
    <dgm:cxn modelId="{DB4A249E-B2CC-434D-8253-DCA68BFA771C}" type="presParOf" srcId="{709086AC-86ED-4F02-9CC1-C8E943CC4647}" destId="{E0FFE455-4777-43E1-AFE0-D21C8453285A}" srcOrd="0" destOrd="0" presId="urn:microsoft.com/office/officeart/2005/8/layout/cycle4"/>
    <dgm:cxn modelId="{CEC83403-F5E9-48F5-83C6-A4041DC6C3C1}" type="presParOf" srcId="{E0FFE455-4777-43E1-AFE0-D21C8453285A}" destId="{2B7F78BF-CE55-4DF8-BA9E-8D7BE0F1BA89}" srcOrd="0" destOrd="0" presId="urn:microsoft.com/office/officeart/2005/8/layout/cycle4"/>
    <dgm:cxn modelId="{71D94DED-AFB8-4A12-BD43-D471FFCAD6A9}" type="presParOf" srcId="{E0FFE455-4777-43E1-AFE0-D21C8453285A}" destId="{AC0C7D71-DE12-433E-9522-692F480A933C}" srcOrd="1" destOrd="0" presId="urn:microsoft.com/office/officeart/2005/8/layout/cycle4"/>
    <dgm:cxn modelId="{24F9E440-C013-4904-BAE2-41E476ED6EAD}" type="presParOf" srcId="{709086AC-86ED-4F02-9CC1-C8E943CC4647}" destId="{E3339753-BC4A-4571-839B-83884B3FEFB4}" srcOrd="1" destOrd="0" presId="urn:microsoft.com/office/officeart/2005/8/layout/cycle4"/>
    <dgm:cxn modelId="{817E2CDD-4150-4B81-88EE-FD2B5127C20A}" type="presParOf" srcId="{E3339753-BC4A-4571-839B-83884B3FEFB4}" destId="{6A1D0904-0A7A-41E3-BAC7-4F8DA3A2AD97}" srcOrd="0" destOrd="0" presId="urn:microsoft.com/office/officeart/2005/8/layout/cycle4"/>
    <dgm:cxn modelId="{F8F636FB-777F-42C2-B71D-97874C4D0B51}" type="presParOf" srcId="{E3339753-BC4A-4571-839B-83884B3FEFB4}" destId="{1D1516A0-E568-4C34-BB51-CBA63BC217FB}" srcOrd="1" destOrd="0" presId="urn:microsoft.com/office/officeart/2005/8/layout/cycle4"/>
    <dgm:cxn modelId="{7F2E10AC-6592-4067-8F9C-D779BFB975B2}" type="presParOf" srcId="{709086AC-86ED-4F02-9CC1-C8E943CC4647}" destId="{5313C719-4344-4B65-A3DE-425C442C4B0F}" srcOrd="2" destOrd="0" presId="urn:microsoft.com/office/officeart/2005/8/layout/cycle4"/>
    <dgm:cxn modelId="{1D3B2D31-DCAC-408D-AFBF-CDBD3513D788}" type="presParOf" srcId="{5313C719-4344-4B65-A3DE-425C442C4B0F}" destId="{46626D5F-37AE-4A4A-A3B3-5FD71D18B5F2}" srcOrd="0" destOrd="0" presId="urn:microsoft.com/office/officeart/2005/8/layout/cycle4"/>
    <dgm:cxn modelId="{03D7C13E-E620-4783-B744-4435D713A12B}" type="presParOf" srcId="{5313C719-4344-4B65-A3DE-425C442C4B0F}" destId="{714764A3-FC74-49F2-82C1-FBB7A9FF1BFC}" srcOrd="1" destOrd="0" presId="urn:microsoft.com/office/officeart/2005/8/layout/cycle4"/>
    <dgm:cxn modelId="{70D50DC0-AC2B-41B7-A35B-20D77193474E}" type="presParOf" srcId="{709086AC-86ED-4F02-9CC1-C8E943CC4647}" destId="{D4CDC60A-7010-4F2B-8192-3DE81973CD83}" srcOrd="3" destOrd="0" presId="urn:microsoft.com/office/officeart/2005/8/layout/cycle4"/>
    <dgm:cxn modelId="{A9994F0D-AEB0-41A2-8B07-370A24F00B23}" type="presParOf" srcId="{D4CDC60A-7010-4F2B-8192-3DE81973CD83}" destId="{60C92B5A-F8AE-4521-8DF3-2AF3410242A2}" srcOrd="0" destOrd="0" presId="urn:microsoft.com/office/officeart/2005/8/layout/cycle4"/>
    <dgm:cxn modelId="{B1697026-3F76-4573-BE47-0CA589CD8013}" type="presParOf" srcId="{D4CDC60A-7010-4F2B-8192-3DE81973CD83}" destId="{D491B999-B8AC-4CBD-919B-66B1E127746A}" srcOrd="1" destOrd="0" presId="urn:microsoft.com/office/officeart/2005/8/layout/cycle4"/>
    <dgm:cxn modelId="{863A6B89-61D9-4693-9D6A-49B22E9C6D89}" type="presParOf" srcId="{709086AC-86ED-4F02-9CC1-C8E943CC4647}" destId="{BAC0E061-CA2E-45B1-8179-7DCD22ABE93E}" srcOrd="4" destOrd="0" presId="urn:microsoft.com/office/officeart/2005/8/layout/cycle4"/>
    <dgm:cxn modelId="{7BCAD1CD-FC55-485C-A05D-CB1FA553D394}" type="presParOf" srcId="{DF4C4C99-BCB5-4223-B8C7-C5AAF515E5C1}" destId="{8949A898-80B3-4504-B1BD-F37FE4F1F386}" srcOrd="1" destOrd="0" presId="urn:microsoft.com/office/officeart/2005/8/layout/cycle4"/>
    <dgm:cxn modelId="{DA9AC2C9-AB51-4A93-8FB1-2389987BEBB5}" type="presParOf" srcId="{8949A898-80B3-4504-B1BD-F37FE4F1F386}" destId="{DE41B026-4E87-45E8-A700-09EB8C93194B}" srcOrd="0" destOrd="0" presId="urn:microsoft.com/office/officeart/2005/8/layout/cycle4"/>
    <dgm:cxn modelId="{F37C8C41-25D2-4EA6-8550-DC133A7802B4}" type="presParOf" srcId="{8949A898-80B3-4504-B1BD-F37FE4F1F386}" destId="{C412F3DA-306A-44C5-B1D7-CCE0512F0716}" srcOrd="1" destOrd="0" presId="urn:microsoft.com/office/officeart/2005/8/layout/cycle4"/>
    <dgm:cxn modelId="{6E622923-71DF-44E3-912B-C00F1E2EAAB8}" type="presParOf" srcId="{8949A898-80B3-4504-B1BD-F37FE4F1F386}" destId="{E479C272-FB59-440C-A6D5-AFF4F215B8DB}" srcOrd="2" destOrd="0" presId="urn:microsoft.com/office/officeart/2005/8/layout/cycle4"/>
    <dgm:cxn modelId="{9AC89312-10C1-46E2-874B-48632CA79EE6}" type="presParOf" srcId="{8949A898-80B3-4504-B1BD-F37FE4F1F386}" destId="{B7D3C0DE-EF46-42F7-921D-A18952AABBEB}" srcOrd="3" destOrd="0" presId="urn:microsoft.com/office/officeart/2005/8/layout/cycle4"/>
    <dgm:cxn modelId="{C744B4D1-34CA-4FCB-B4CB-435D09FBA682}" type="presParOf" srcId="{8949A898-80B3-4504-B1BD-F37FE4F1F386}" destId="{9D80639A-418F-495E-99ED-3695825CB741}" srcOrd="4" destOrd="0" presId="urn:microsoft.com/office/officeart/2005/8/layout/cycle4"/>
    <dgm:cxn modelId="{EC6851AA-2078-4494-8F7F-1488C10A2803}" type="presParOf" srcId="{DF4C4C99-BCB5-4223-B8C7-C5AAF515E5C1}" destId="{EB590BCD-E22C-47E0-9669-ED80A7A45050}" srcOrd="2" destOrd="0" presId="urn:microsoft.com/office/officeart/2005/8/layout/cycle4"/>
    <dgm:cxn modelId="{42B34DE1-E852-446B-8DC6-9B9DCCB8C6D2}" type="presParOf" srcId="{DF4C4C99-BCB5-4223-B8C7-C5AAF515E5C1}" destId="{AFF89BDD-5816-4EBA-AF7B-AD260CF94213}" srcOrd="3" destOrd="0" presId="urn:microsoft.com/office/officeart/2005/8/layout/cycle4"/>
  </dgm:cxnLst>
  <dgm:bg/>
  <dgm:whole>
    <a:ln>
      <a:solidFill>
        <a:schemeClr val="tx1"/>
      </a:solidFill>
    </a:ln>
  </dgm:whole>
  <dgm:extLst>
    <a:ext uri="http://schemas.microsoft.com/office/drawing/2008/diagram">
      <dsp:dataModelExt xmlns:dsp="http://schemas.microsoft.com/office/drawing/2008/diagram" relId="rId10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7DF66E86-3FC7-450B-A2D5-42EF3F910E1D}"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fr-FR"/>
        </a:p>
      </dgm:t>
    </dgm:pt>
    <dgm:pt modelId="{A5873CF6-D3BC-424F-AEC5-52D6D4B088D8}">
      <dgm:prSet phldrT="[Texte]" custT="1">
        <dgm:style>
          <a:lnRef idx="2">
            <a:schemeClr val="dk1"/>
          </a:lnRef>
          <a:fillRef idx="1">
            <a:schemeClr val="lt1"/>
          </a:fillRef>
          <a:effectRef idx="0">
            <a:schemeClr val="dk1"/>
          </a:effectRef>
          <a:fontRef idx="minor">
            <a:schemeClr val="dk1"/>
          </a:fontRef>
        </dgm:style>
      </dgm:prSet>
      <dgm:spPr>
        <a:solidFill>
          <a:schemeClr val="tx2">
            <a:lumMod val="40000"/>
            <a:lumOff val="6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الهدف</a:t>
          </a:r>
          <a:endParaRPr lang="fr-FR" sz="1100">
            <a:latin typeface="Simplified Arabic" panose="02020603050405020304" pitchFamily="18" charset="-78"/>
            <a:cs typeface="Simplified Arabic" panose="02020603050405020304" pitchFamily="18" charset="-78"/>
          </a:endParaRPr>
        </a:p>
      </dgm:t>
    </dgm:pt>
    <dgm:pt modelId="{66504279-261A-4094-81DE-47B5B4F3E695}" type="parTrans" cxnId="{56E9AFE1-75B9-43D4-B615-87C83A847CA9}">
      <dgm:prSet/>
      <dgm:spPr/>
      <dgm:t>
        <a:bodyPr/>
        <a:lstStyle/>
        <a:p>
          <a:endParaRPr lang="fr-FR"/>
        </a:p>
      </dgm:t>
    </dgm:pt>
    <dgm:pt modelId="{5FF3F07E-3A57-4557-A432-B85BE0531356}" type="sibTrans" cxnId="{56E9AFE1-75B9-43D4-B615-87C83A847CA9}">
      <dgm:prSet/>
      <dgm:spPr/>
      <dgm:t>
        <a:bodyPr/>
        <a:lstStyle/>
        <a:p>
          <a:endParaRPr lang="fr-FR"/>
        </a:p>
      </dgm:t>
    </dgm:pt>
    <dgm:pt modelId="{93D86335-2F20-46DA-A513-7A84FEF121D4}">
      <dgm:prSet phldrT="[Texte]" custT="1">
        <dgm:style>
          <a:lnRef idx="2">
            <a:schemeClr val="dk1"/>
          </a:lnRef>
          <a:fillRef idx="1">
            <a:schemeClr val="lt1"/>
          </a:fillRef>
          <a:effectRef idx="0">
            <a:schemeClr val="dk1"/>
          </a:effectRef>
          <a:fontRef idx="minor">
            <a:schemeClr val="dk1"/>
          </a:fontRef>
        </dgm:style>
      </dgm:prSet>
      <dgm:spPr>
        <a:solidFill>
          <a:schemeClr val="accent5">
            <a:lumMod val="40000"/>
            <a:lumOff val="6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مؤشر1</a:t>
          </a:r>
          <a:endParaRPr lang="fr-FR" sz="1300">
            <a:latin typeface="Simplified Arabic" panose="02020603050405020304" pitchFamily="18" charset="-78"/>
            <a:cs typeface="Simplified Arabic" panose="02020603050405020304" pitchFamily="18" charset="-78"/>
          </a:endParaRPr>
        </a:p>
      </dgm:t>
    </dgm:pt>
    <dgm:pt modelId="{BAF4DE2A-7B72-47B6-8891-FAD532DED522}" type="parTrans" cxnId="{1FB08227-D5A4-439B-A16B-05A0DA4BFEBF}">
      <dgm:prSet>
        <dgm:style>
          <a:lnRef idx="1">
            <a:schemeClr val="dk1"/>
          </a:lnRef>
          <a:fillRef idx="0">
            <a:schemeClr val="dk1"/>
          </a:fillRef>
          <a:effectRef idx="0">
            <a:schemeClr val="dk1"/>
          </a:effectRef>
          <a:fontRef idx="minor">
            <a:schemeClr val="tx1"/>
          </a:fontRef>
        </dgm:style>
      </dgm:prSet>
      <dgm:spPr>
        <a:ln w="6350"/>
      </dgm:spPr>
      <dgm:t>
        <a:bodyPr/>
        <a:lstStyle/>
        <a:p>
          <a:endParaRPr lang="fr-FR"/>
        </a:p>
      </dgm:t>
    </dgm:pt>
    <dgm:pt modelId="{242FC3F8-BB1A-4303-AD03-C29816A3B5BF}" type="sibTrans" cxnId="{1FB08227-D5A4-439B-A16B-05A0DA4BFEBF}">
      <dgm:prSet/>
      <dgm:spPr/>
      <dgm:t>
        <a:bodyPr/>
        <a:lstStyle/>
        <a:p>
          <a:endParaRPr lang="fr-FR"/>
        </a:p>
      </dgm:t>
    </dgm:pt>
    <dgm:pt modelId="{5FBA79A4-D934-4098-A87B-2CAF5C4E3EB2}">
      <dgm:prSet phldrT="[Texte]" custT="1">
        <dgm:style>
          <a:lnRef idx="2">
            <a:schemeClr val="dk1"/>
          </a:lnRef>
          <a:fillRef idx="1">
            <a:schemeClr val="lt1"/>
          </a:fillRef>
          <a:effectRef idx="0">
            <a:schemeClr val="dk1"/>
          </a:effectRef>
          <a:fontRef idx="minor">
            <a:schemeClr val="dk1"/>
          </a:fontRef>
        </dgm:style>
      </dgm:prSet>
      <dgm:spPr>
        <a:solidFill>
          <a:schemeClr val="accent1">
            <a:lumMod val="20000"/>
            <a:lumOff val="8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متغير1</a:t>
          </a:r>
          <a:endParaRPr lang="fr-FR" sz="1700">
            <a:latin typeface="Simplified Arabic" panose="02020603050405020304" pitchFamily="18" charset="-78"/>
            <a:cs typeface="Simplified Arabic" panose="02020603050405020304" pitchFamily="18" charset="-78"/>
          </a:endParaRPr>
        </a:p>
      </dgm:t>
    </dgm:pt>
    <dgm:pt modelId="{41B76773-44E4-4B09-AC93-F5DD5659E53A}" type="parTrans" cxnId="{A46235BF-FD90-459E-BD61-1C6D41CAA02F}">
      <dgm:prSet/>
      <dgm:spPr>
        <a:ln w="6350">
          <a:solidFill>
            <a:schemeClr val="tx1"/>
          </a:solidFill>
        </a:ln>
      </dgm:spPr>
      <dgm:t>
        <a:bodyPr/>
        <a:lstStyle/>
        <a:p>
          <a:endParaRPr lang="fr-FR"/>
        </a:p>
      </dgm:t>
    </dgm:pt>
    <dgm:pt modelId="{15B6AE0A-3C28-4278-A996-F9A48CC5EC08}" type="sibTrans" cxnId="{A46235BF-FD90-459E-BD61-1C6D41CAA02F}">
      <dgm:prSet/>
      <dgm:spPr/>
      <dgm:t>
        <a:bodyPr/>
        <a:lstStyle/>
        <a:p>
          <a:endParaRPr lang="fr-FR"/>
        </a:p>
      </dgm:t>
    </dgm:pt>
    <dgm:pt modelId="{AE6F495D-942A-4877-A4CE-073E05373702}">
      <dgm:prSet phldrT="[Texte]" custT="1">
        <dgm:style>
          <a:lnRef idx="2">
            <a:schemeClr val="dk1"/>
          </a:lnRef>
          <a:fillRef idx="1">
            <a:schemeClr val="lt1"/>
          </a:fillRef>
          <a:effectRef idx="0">
            <a:schemeClr val="dk1"/>
          </a:effectRef>
          <a:fontRef idx="minor">
            <a:schemeClr val="dk1"/>
          </a:fontRef>
        </dgm:style>
      </dgm:prSet>
      <dgm:spPr>
        <a:solidFill>
          <a:schemeClr val="accent5">
            <a:lumMod val="20000"/>
            <a:lumOff val="8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مؤشر فرعي2</a:t>
          </a:r>
          <a:endParaRPr lang="fr-FR" sz="1700">
            <a:latin typeface="Simplified Arabic" panose="02020603050405020304" pitchFamily="18" charset="-78"/>
            <a:cs typeface="Simplified Arabic" panose="02020603050405020304" pitchFamily="18" charset="-78"/>
          </a:endParaRPr>
        </a:p>
      </dgm:t>
    </dgm:pt>
    <dgm:pt modelId="{1B282CDD-5233-426F-AAA8-F9BA72BD686B}" type="parTrans" cxnId="{9D398C00-FCAC-4E36-BA01-B8C093ACF9CA}">
      <dgm:prSet/>
      <dgm:spPr>
        <a:ln w="6350">
          <a:solidFill>
            <a:schemeClr val="tx1"/>
          </a:solidFill>
        </a:ln>
      </dgm:spPr>
      <dgm:t>
        <a:bodyPr/>
        <a:lstStyle/>
        <a:p>
          <a:endParaRPr lang="fr-FR"/>
        </a:p>
      </dgm:t>
    </dgm:pt>
    <dgm:pt modelId="{F46A8ADD-2F30-4EA5-BBA7-B5F1BC44E913}" type="sibTrans" cxnId="{9D398C00-FCAC-4E36-BA01-B8C093ACF9CA}">
      <dgm:prSet/>
      <dgm:spPr/>
      <dgm:t>
        <a:bodyPr/>
        <a:lstStyle/>
        <a:p>
          <a:endParaRPr lang="fr-FR"/>
        </a:p>
      </dgm:t>
    </dgm:pt>
    <dgm:pt modelId="{28E40DCF-4A2C-456B-8929-0CB5797F5475}">
      <dgm:prSet phldrT="[Texte]" custT="1">
        <dgm:style>
          <a:lnRef idx="2">
            <a:schemeClr val="dk1"/>
          </a:lnRef>
          <a:fillRef idx="1">
            <a:schemeClr val="lt1"/>
          </a:fillRef>
          <a:effectRef idx="0">
            <a:schemeClr val="dk1"/>
          </a:effectRef>
          <a:fontRef idx="minor">
            <a:schemeClr val="dk1"/>
          </a:fontRef>
        </dgm:style>
      </dgm:prSet>
      <dgm:spPr>
        <a:solidFill>
          <a:schemeClr val="accent5">
            <a:lumMod val="40000"/>
            <a:lumOff val="6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مؤشر2</a:t>
          </a:r>
          <a:endParaRPr lang="fr-FR" sz="1200">
            <a:latin typeface="Simplified Arabic" panose="02020603050405020304" pitchFamily="18" charset="-78"/>
            <a:cs typeface="Simplified Arabic" panose="02020603050405020304" pitchFamily="18" charset="-78"/>
          </a:endParaRPr>
        </a:p>
      </dgm:t>
    </dgm:pt>
    <dgm:pt modelId="{D9777752-4022-437D-8869-C43D450D02CF}" type="parTrans" cxnId="{3BEE60C5-10D8-4667-BEEB-1B53C5D8471E}">
      <dgm:prSet>
        <dgm:style>
          <a:lnRef idx="1">
            <a:schemeClr val="dk1"/>
          </a:lnRef>
          <a:fillRef idx="0">
            <a:schemeClr val="dk1"/>
          </a:fillRef>
          <a:effectRef idx="0">
            <a:schemeClr val="dk1"/>
          </a:effectRef>
          <a:fontRef idx="minor">
            <a:schemeClr val="tx1"/>
          </a:fontRef>
        </dgm:style>
      </dgm:prSet>
      <dgm:spPr>
        <a:ln w="6350"/>
      </dgm:spPr>
      <dgm:t>
        <a:bodyPr/>
        <a:lstStyle/>
        <a:p>
          <a:endParaRPr lang="fr-FR"/>
        </a:p>
      </dgm:t>
    </dgm:pt>
    <dgm:pt modelId="{31D03E7E-0CA5-4809-BFA3-29ECC9593253}" type="sibTrans" cxnId="{3BEE60C5-10D8-4667-BEEB-1B53C5D8471E}">
      <dgm:prSet/>
      <dgm:spPr/>
      <dgm:t>
        <a:bodyPr/>
        <a:lstStyle/>
        <a:p>
          <a:endParaRPr lang="fr-FR"/>
        </a:p>
      </dgm:t>
    </dgm:pt>
    <dgm:pt modelId="{2E045B47-CCCE-4C97-B39A-CDCBF10F4A5D}">
      <dgm:prSet phldrT="[Texte]" custT="1">
        <dgm:style>
          <a:lnRef idx="2">
            <a:schemeClr val="dk1"/>
          </a:lnRef>
          <a:fillRef idx="1">
            <a:schemeClr val="lt1"/>
          </a:fillRef>
          <a:effectRef idx="0">
            <a:schemeClr val="dk1"/>
          </a:effectRef>
          <a:fontRef idx="minor">
            <a:schemeClr val="dk1"/>
          </a:fontRef>
        </dgm:style>
      </dgm:prSet>
      <dgm:spPr>
        <a:solidFill>
          <a:schemeClr val="accent5">
            <a:lumMod val="20000"/>
            <a:lumOff val="8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مؤشر فرعي1</a:t>
          </a:r>
          <a:endParaRPr lang="fr-FR" sz="1700">
            <a:latin typeface="Simplified Arabic" panose="02020603050405020304" pitchFamily="18" charset="-78"/>
            <a:cs typeface="Simplified Arabic" panose="02020603050405020304" pitchFamily="18" charset="-78"/>
          </a:endParaRPr>
        </a:p>
      </dgm:t>
    </dgm:pt>
    <dgm:pt modelId="{91347954-DAD6-4A20-BE7A-057AC862CB5E}" type="parTrans" cxnId="{8308B074-5B5D-47FB-AB8A-15702E0331EC}">
      <dgm:prSet/>
      <dgm:spPr>
        <a:ln w="9525">
          <a:solidFill>
            <a:schemeClr val="tx1"/>
          </a:solidFill>
        </a:ln>
      </dgm:spPr>
      <dgm:t>
        <a:bodyPr/>
        <a:lstStyle/>
        <a:p>
          <a:endParaRPr lang="fr-FR"/>
        </a:p>
      </dgm:t>
    </dgm:pt>
    <dgm:pt modelId="{AC191747-17B1-49E2-A6C3-A63E79AA4074}" type="sibTrans" cxnId="{8308B074-5B5D-47FB-AB8A-15702E0331EC}">
      <dgm:prSet/>
      <dgm:spPr/>
      <dgm:t>
        <a:bodyPr/>
        <a:lstStyle/>
        <a:p>
          <a:endParaRPr lang="fr-FR"/>
        </a:p>
      </dgm:t>
    </dgm:pt>
    <dgm:pt modelId="{A956B258-1408-43C1-B845-87B9B58B1BE3}">
      <dgm:prSet phldrT="[Texte]" custT="1">
        <dgm:style>
          <a:lnRef idx="2">
            <a:schemeClr val="dk1"/>
          </a:lnRef>
          <a:fillRef idx="1">
            <a:schemeClr val="lt1"/>
          </a:fillRef>
          <a:effectRef idx="0">
            <a:schemeClr val="dk1"/>
          </a:effectRef>
          <a:fontRef idx="minor">
            <a:schemeClr val="dk1"/>
          </a:fontRef>
        </dgm:style>
      </dgm:prSet>
      <dgm:spPr>
        <a:solidFill>
          <a:schemeClr val="accent5">
            <a:lumMod val="20000"/>
            <a:lumOff val="8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مؤشر فرعي1</a:t>
          </a:r>
          <a:endParaRPr lang="fr-FR" sz="1700">
            <a:latin typeface="Simplified Arabic" panose="02020603050405020304" pitchFamily="18" charset="-78"/>
            <a:cs typeface="Simplified Arabic" panose="02020603050405020304" pitchFamily="18" charset="-78"/>
          </a:endParaRPr>
        </a:p>
      </dgm:t>
    </dgm:pt>
    <dgm:pt modelId="{4FDB9450-CE40-4263-B9B2-078471599CCD}" type="parTrans" cxnId="{BB424381-156D-4658-B798-3F707C9033AC}">
      <dgm:prSet/>
      <dgm:spPr>
        <a:ln w="6350">
          <a:solidFill>
            <a:schemeClr val="tx1"/>
          </a:solidFill>
        </a:ln>
      </dgm:spPr>
      <dgm:t>
        <a:bodyPr/>
        <a:lstStyle/>
        <a:p>
          <a:endParaRPr lang="fr-FR"/>
        </a:p>
      </dgm:t>
    </dgm:pt>
    <dgm:pt modelId="{131CEF2A-F19D-478E-9811-63FC61F801E5}" type="sibTrans" cxnId="{BB424381-156D-4658-B798-3F707C9033AC}">
      <dgm:prSet/>
      <dgm:spPr/>
      <dgm:t>
        <a:bodyPr/>
        <a:lstStyle/>
        <a:p>
          <a:endParaRPr lang="fr-FR"/>
        </a:p>
      </dgm:t>
    </dgm:pt>
    <dgm:pt modelId="{9E8DB670-3BA5-4A79-A288-787C2E42BB2F}">
      <dgm:prSet phldrT="[Texte]" custT="1">
        <dgm:style>
          <a:lnRef idx="2">
            <a:schemeClr val="dk1"/>
          </a:lnRef>
          <a:fillRef idx="1">
            <a:schemeClr val="lt1"/>
          </a:fillRef>
          <a:effectRef idx="0">
            <a:schemeClr val="dk1"/>
          </a:effectRef>
          <a:fontRef idx="minor">
            <a:schemeClr val="dk1"/>
          </a:fontRef>
        </dgm:style>
      </dgm:prSet>
      <dgm:spPr>
        <a:solidFill>
          <a:schemeClr val="accent5">
            <a:lumMod val="40000"/>
            <a:lumOff val="60000"/>
          </a:schemeClr>
        </a:solidFill>
        <a:ln w="9525">
          <a:solidFill>
            <a:schemeClr val="tx1"/>
          </a:solidFill>
        </a:ln>
      </dgm:spPr>
      <dgm:t>
        <a:bodyPr/>
        <a:lstStyle/>
        <a:p>
          <a:pPr rtl="1"/>
          <a:r>
            <a:rPr lang="ar-DZ" sz="1200">
              <a:latin typeface="Simplified Arabic" panose="02020603050405020304" pitchFamily="18" charset="-78"/>
              <a:cs typeface="Simplified Arabic" panose="02020603050405020304" pitchFamily="18" charset="-78"/>
            </a:rPr>
            <a:t>مؤشر1</a:t>
          </a:r>
          <a:endParaRPr lang="fr-FR" sz="1700">
            <a:latin typeface="Simplified Arabic" panose="02020603050405020304" pitchFamily="18" charset="-78"/>
            <a:cs typeface="Simplified Arabic" panose="02020603050405020304" pitchFamily="18" charset="-78"/>
          </a:endParaRPr>
        </a:p>
      </dgm:t>
    </dgm:pt>
    <dgm:pt modelId="{6A15626E-F471-4E74-9E33-ECA0F61A3F85}" type="parTrans" cxnId="{3E391988-1961-445C-9986-F9A2E219A17F}">
      <dgm:prSet>
        <dgm:style>
          <a:lnRef idx="1">
            <a:schemeClr val="dk1"/>
          </a:lnRef>
          <a:fillRef idx="0">
            <a:schemeClr val="dk1"/>
          </a:fillRef>
          <a:effectRef idx="0">
            <a:schemeClr val="dk1"/>
          </a:effectRef>
          <a:fontRef idx="minor">
            <a:schemeClr val="tx1"/>
          </a:fontRef>
        </dgm:style>
      </dgm:prSet>
      <dgm:spPr>
        <a:ln w="6350"/>
      </dgm:spPr>
      <dgm:t>
        <a:bodyPr/>
        <a:lstStyle/>
        <a:p>
          <a:endParaRPr lang="fr-FR"/>
        </a:p>
      </dgm:t>
    </dgm:pt>
    <dgm:pt modelId="{F27F8E7E-7874-4A53-AFAD-73B68A2F5007}" type="sibTrans" cxnId="{3E391988-1961-445C-9986-F9A2E219A17F}">
      <dgm:prSet/>
      <dgm:spPr/>
      <dgm:t>
        <a:bodyPr/>
        <a:lstStyle/>
        <a:p>
          <a:endParaRPr lang="fr-FR"/>
        </a:p>
      </dgm:t>
    </dgm:pt>
    <dgm:pt modelId="{96D95B75-DB25-4C53-9ED1-3BBF0E79FBC4}">
      <dgm:prSet>
        <dgm:style>
          <a:lnRef idx="2">
            <a:schemeClr val="dk1"/>
          </a:lnRef>
          <a:fillRef idx="1">
            <a:schemeClr val="lt1"/>
          </a:fillRef>
          <a:effectRef idx="0">
            <a:schemeClr val="dk1"/>
          </a:effectRef>
          <a:fontRef idx="minor">
            <a:schemeClr val="dk1"/>
          </a:fontRef>
        </dgm:style>
      </dgm:prSet>
      <dgm:spPr>
        <a:solidFill>
          <a:schemeClr val="accent5">
            <a:lumMod val="20000"/>
            <a:lumOff val="80000"/>
          </a:schemeClr>
        </a:solidFill>
        <a:ln w="9525">
          <a:solidFill>
            <a:schemeClr val="tx1"/>
          </a:solidFill>
        </a:ln>
      </dgm:spPr>
      <dgm:t>
        <a:bodyPr/>
        <a:lstStyle/>
        <a:p>
          <a:r>
            <a:rPr lang="ar-DZ">
              <a:latin typeface="Simplified Arabic" panose="02020603050405020304" pitchFamily="18" charset="-78"/>
              <a:cs typeface="Simplified Arabic" panose="02020603050405020304" pitchFamily="18" charset="-78"/>
            </a:rPr>
            <a:t>مؤشر فرعي1</a:t>
          </a:r>
          <a:endParaRPr lang="fr-FR">
            <a:solidFill>
              <a:sysClr val="windowText" lastClr="000000"/>
            </a:solidFill>
            <a:latin typeface="Simplified Arabic" panose="02020603050405020304" pitchFamily="18" charset="-78"/>
            <a:cs typeface="Simplified Arabic" panose="02020603050405020304" pitchFamily="18" charset="-78"/>
          </a:endParaRPr>
        </a:p>
      </dgm:t>
    </dgm:pt>
    <dgm:pt modelId="{1647AC61-1398-4FEA-A86F-27E60D87AF17}" type="parTrans" cxnId="{9D4913F7-7EE1-4658-8ACC-7B2272C67881}">
      <dgm:prSet/>
      <dgm:spPr>
        <a:ln w="9525">
          <a:solidFill>
            <a:schemeClr val="tx1"/>
          </a:solidFill>
        </a:ln>
      </dgm:spPr>
      <dgm:t>
        <a:bodyPr/>
        <a:lstStyle/>
        <a:p>
          <a:endParaRPr lang="fr-FR"/>
        </a:p>
      </dgm:t>
    </dgm:pt>
    <dgm:pt modelId="{FE360D05-2322-4FBA-A717-0D8F4D3D46CC}" type="sibTrans" cxnId="{9D4913F7-7EE1-4658-8ACC-7B2272C67881}">
      <dgm:prSet/>
      <dgm:spPr/>
      <dgm:t>
        <a:bodyPr/>
        <a:lstStyle/>
        <a:p>
          <a:endParaRPr lang="fr-FR"/>
        </a:p>
      </dgm:t>
    </dgm:pt>
    <dgm:pt modelId="{CFC919C6-1D8B-470B-BBFE-417D193CFB16}">
      <dgm:prSet>
        <dgm:style>
          <a:lnRef idx="2">
            <a:schemeClr val="dk1"/>
          </a:lnRef>
          <a:fillRef idx="1">
            <a:schemeClr val="lt1"/>
          </a:fillRef>
          <a:effectRef idx="0">
            <a:schemeClr val="dk1"/>
          </a:effectRef>
          <a:fontRef idx="minor">
            <a:schemeClr val="dk1"/>
          </a:fontRef>
        </dgm:style>
      </dgm:prSet>
      <dgm:spPr>
        <a:solidFill>
          <a:schemeClr val="accent1">
            <a:lumMod val="20000"/>
            <a:lumOff val="80000"/>
          </a:schemeClr>
        </a:solidFill>
        <a:ln w="9525">
          <a:solidFill>
            <a:schemeClr val="tx1"/>
          </a:solidFill>
        </a:ln>
      </dgm:spPr>
      <dgm:t>
        <a:bodyPr/>
        <a:lstStyle/>
        <a:p>
          <a:r>
            <a:rPr lang="ar-DZ">
              <a:latin typeface="Simplified Arabic" panose="02020603050405020304" pitchFamily="18" charset="-78"/>
              <a:cs typeface="Simplified Arabic" panose="02020603050405020304" pitchFamily="18" charset="-78"/>
            </a:rPr>
            <a:t>متغير1</a:t>
          </a:r>
          <a:endParaRPr lang="fr-FR"/>
        </a:p>
      </dgm:t>
    </dgm:pt>
    <dgm:pt modelId="{C804D058-4ABD-43FF-8F8B-9DDEA43072E5}" type="parTrans" cxnId="{71E05FE0-819C-4407-80ED-C8F3AEBCE9D7}">
      <dgm:prSet/>
      <dgm:spPr>
        <a:ln w="9525">
          <a:solidFill>
            <a:schemeClr val="tx1"/>
          </a:solidFill>
        </a:ln>
      </dgm:spPr>
      <dgm:t>
        <a:bodyPr/>
        <a:lstStyle/>
        <a:p>
          <a:endParaRPr lang="fr-FR"/>
        </a:p>
      </dgm:t>
    </dgm:pt>
    <dgm:pt modelId="{B053D6D5-0FE2-4F67-A5ED-D4239DDACCC0}" type="sibTrans" cxnId="{71E05FE0-819C-4407-80ED-C8F3AEBCE9D7}">
      <dgm:prSet/>
      <dgm:spPr/>
      <dgm:t>
        <a:bodyPr/>
        <a:lstStyle/>
        <a:p>
          <a:endParaRPr lang="fr-FR"/>
        </a:p>
      </dgm:t>
    </dgm:pt>
    <dgm:pt modelId="{71BF184A-9118-40BA-AD1C-5C8858049506}">
      <dgm:prSet custT="1">
        <dgm:style>
          <a:lnRef idx="2">
            <a:schemeClr val="dk1"/>
          </a:lnRef>
          <a:fillRef idx="1">
            <a:schemeClr val="lt1"/>
          </a:fillRef>
          <a:effectRef idx="0">
            <a:schemeClr val="dk1"/>
          </a:effectRef>
          <a:fontRef idx="minor">
            <a:schemeClr val="dk1"/>
          </a:fontRef>
        </dgm:style>
      </dgm:prSet>
      <dgm:spPr>
        <a:solidFill>
          <a:schemeClr val="accent1">
            <a:lumMod val="20000"/>
            <a:lumOff val="80000"/>
          </a:schemeClr>
        </a:solidFill>
        <a:ln w="9525">
          <a:solidFill>
            <a:schemeClr val="tx1"/>
          </a:solidFill>
        </a:ln>
      </dgm:spPr>
      <dgm:t>
        <a:bodyPr/>
        <a:lstStyle/>
        <a:p>
          <a:r>
            <a:rPr lang="ar-DZ" sz="1200">
              <a:latin typeface="Simplified Arabic" panose="02020603050405020304" pitchFamily="18" charset="-78"/>
              <a:cs typeface="Simplified Arabic" panose="02020603050405020304" pitchFamily="18" charset="-78"/>
            </a:rPr>
            <a:t>متغير2</a:t>
          </a:r>
          <a:endParaRPr lang="fr-FR" sz="1500">
            <a:latin typeface="Simplified Arabic" panose="02020603050405020304" pitchFamily="18" charset="-78"/>
            <a:cs typeface="Simplified Arabic" panose="02020603050405020304" pitchFamily="18" charset="-78"/>
          </a:endParaRPr>
        </a:p>
      </dgm:t>
    </dgm:pt>
    <dgm:pt modelId="{500027E1-8498-4CA9-B537-9302FF34522E}" type="parTrans" cxnId="{870A0F79-5C4F-493B-8F90-C04B1D829702}">
      <dgm:prSet/>
      <dgm:spPr>
        <a:ln w="6350">
          <a:solidFill>
            <a:schemeClr val="tx1"/>
          </a:solidFill>
        </a:ln>
      </dgm:spPr>
      <dgm:t>
        <a:bodyPr/>
        <a:lstStyle/>
        <a:p>
          <a:endParaRPr lang="fr-FR"/>
        </a:p>
      </dgm:t>
    </dgm:pt>
    <dgm:pt modelId="{13FC4F7A-B2B7-4B22-AF73-9180594932C4}" type="sibTrans" cxnId="{870A0F79-5C4F-493B-8F90-C04B1D829702}">
      <dgm:prSet/>
      <dgm:spPr/>
      <dgm:t>
        <a:bodyPr/>
        <a:lstStyle/>
        <a:p>
          <a:endParaRPr lang="fr-FR"/>
        </a:p>
      </dgm:t>
    </dgm:pt>
    <dgm:pt modelId="{62474769-7398-483D-8033-5B1ED9E30FA7}" type="pres">
      <dgm:prSet presAssocID="{7DF66E86-3FC7-450B-A2D5-42EF3F910E1D}" presName="diagram" presStyleCnt="0">
        <dgm:presLayoutVars>
          <dgm:chPref val="1"/>
          <dgm:dir val="rev"/>
          <dgm:animOne val="branch"/>
          <dgm:animLvl val="lvl"/>
          <dgm:resizeHandles val="exact"/>
        </dgm:presLayoutVars>
      </dgm:prSet>
      <dgm:spPr/>
      <dgm:t>
        <a:bodyPr/>
        <a:lstStyle/>
        <a:p>
          <a:endParaRPr lang="fr-FR"/>
        </a:p>
      </dgm:t>
    </dgm:pt>
    <dgm:pt modelId="{22BB7C3D-50AC-4009-AA3B-3D144FFCDBF8}" type="pres">
      <dgm:prSet presAssocID="{A5873CF6-D3BC-424F-AEC5-52D6D4B088D8}" presName="root1" presStyleCnt="0"/>
      <dgm:spPr/>
    </dgm:pt>
    <dgm:pt modelId="{05866E7F-CC52-412C-96BD-FF8C018BB29F}" type="pres">
      <dgm:prSet presAssocID="{A5873CF6-D3BC-424F-AEC5-52D6D4B088D8}" presName="LevelOneTextNode" presStyleLbl="node0" presStyleIdx="0" presStyleCnt="1" custLinFactNeighborX="-9729">
        <dgm:presLayoutVars>
          <dgm:chPref val="3"/>
        </dgm:presLayoutVars>
      </dgm:prSet>
      <dgm:spPr/>
      <dgm:t>
        <a:bodyPr/>
        <a:lstStyle/>
        <a:p>
          <a:endParaRPr lang="fr-FR"/>
        </a:p>
      </dgm:t>
    </dgm:pt>
    <dgm:pt modelId="{BB5FDAC8-1701-4D61-A7E2-FC0A33D2FCCB}" type="pres">
      <dgm:prSet presAssocID="{A5873CF6-D3BC-424F-AEC5-52D6D4B088D8}" presName="level2hierChild" presStyleCnt="0"/>
      <dgm:spPr/>
    </dgm:pt>
    <dgm:pt modelId="{393E9FCB-42FA-44B4-AB51-0333FA8FB01C}" type="pres">
      <dgm:prSet presAssocID="{BAF4DE2A-7B72-47B6-8891-FAD532DED522}" presName="conn2-1" presStyleLbl="parChTrans1D2" presStyleIdx="0" presStyleCnt="3"/>
      <dgm:spPr/>
      <dgm:t>
        <a:bodyPr/>
        <a:lstStyle/>
        <a:p>
          <a:endParaRPr lang="fr-FR"/>
        </a:p>
      </dgm:t>
    </dgm:pt>
    <dgm:pt modelId="{3398FC43-2009-444A-AA79-0D98BA3548C4}" type="pres">
      <dgm:prSet presAssocID="{BAF4DE2A-7B72-47B6-8891-FAD532DED522}" presName="connTx" presStyleLbl="parChTrans1D2" presStyleIdx="0" presStyleCnt="3"/>
      <dgm:spPr/>
      <dgm:t>
        <a:bodyPr/>
        <a:lstStyle/>
        <a:p>
          <a:endParaRPr lang="fr-FR"/>
        </a:p>
      </dgm:t>
    </dgm:pt>
    <dgm:pt modelId="{3E96F06E-C32F-4759-8DC6-91D6A31AD8BD}" type="pres">
      <dgm:prSet presAssocID="{93D86335-2F20-46DA-A513-7A84FEF121D4}" presName="root2" presStyleCnt="0"/>
      <dgm:spPr/>
    </dgm:pt>
    <dgm:pt modelId="{1BEB59D0-2DCB-4A0A-9719-C6CAA8CB535E}" type="pres">
      <dgm:prSet presAssocID="{93D86335-2F20-46DA-A513-7A84FEF121D4}" presName="LevelTwoTextNode" presStyleLbl="node2" presStyleIdx="0" presStyleCnt="3" custLinFactNeighborX="-1040">
        <dgm:presLayoutVars>
          <dgm:chPref val="3"/>
        </dgm:presLayoutVars>
      </dgm:prSet>
      <dgm:spPr/>
      <dgm:t>
        <a:bodyPr/>
        <a:lstStyle/>
        <a:p>
          <a:endParaRPr lang="fr-FR"/>
        </a:p>
      </dgm:t>
    </dgm:pt>
    <dgm:pt modelId="{D5469ED7-EBDA-4B94-9035-B3DE01DCDCC2}" type="pres">
      <dgm:prSet presAssocID="{93D86335-2F20-46DA-A513-7A84FEF121D4}" presName="level3hierChild" presStyleCnt="0"/>
      <dgm:spPr/>
    </dgm:pt>
    <dgm:pt modelId="{B1B1EFF6-9D9A-4056-AF7A-F12C13C184B4}" type="pres">
      <dgm:prSet presAssocID="{4FDB9450-CE40-4263-B9B2-078471599CCD}" presName="conn2-1" presStyleLbl="parChTrans1D3" presStyleIdx="0" presStyleCnt="4"/>
      <dgm:spPr/>
      <dgm:t>
        <a:bodyPr/>
        <a:lstStyle/>
        <a:p>
          <a:endParaRPr lang="fr-FR"/>
        </a:p>
      </dgm:t>
    </dgm:pt>
    <dgm:pt modelId="{BAEED80B-F40E-4483-B248-F9B20B4E6493}" type="pres">
      <dgm:prSet presAssocID="{4FDB9450-CE40-4263-B9B2-078471599CCD}" presName="connTx" presStyleLbl="parChTrans1D3" presStyleIdx="0" presStyleCnt="4"/>
      <dgm:spPr/>
      <dgm:t>
        <a:bodyPr/>
        <a:lstStyle/>
        <a:p>
          <a:endParaRPr lang="fr-FR"/>
        </a:p>
      </dgm:t>
    </dgm:pt>
    <dgm:pt modelId="{10DD12A2-14DB-4F6C-AEDF-01CF56E662DE}" type="pres">
      <dgm:prSet presAssocID="{A956B258-1408-43C1-B845-87B9B58B1BE3}" presName="root2" presStyleCnt="0"/>
      <dgm:spPr/>
    </dgm:pt>
    <dgm:pt modelId="{DC9D02AE-E664-438E-AF2F-2F86ABE2C04E}" type="pres">
      <dgm:prSet presAssocID="{A956B258-1408-43C1-B845-87B9B58B1BE3}" presName="LevelTwoTextNode" presStyleLbl="node3" presStyleIdx="0" presStyleCnt="4" custLinFactNeighborX="2">
        <dgm:presLayoutVars>
          <dgm:chPref val="3"/>
        </dgm:presLayoutVars>
      </dgm:prSet>
      <dgm:spPr/>
      <dgm:t>
        <a:bodyPr/>
        <a:lstStyle/>
        <a:p>
          <a:endParaRPr lang="fr-FR"/>
        </a:p>
      </dgm:t>
    </dgm:pt>
    <dgm:pt modelId="{4F233FCD-E549-4AD0-ABCD-A1C527DBA0DF}" type="pres">
      <dgm:prSet presAssocID="{A956B258-1408-43C1-B845-87B9B58B1BE3}" presName="level3hierChild" presStyleCnt="0"/>
      <dgm:spPr/>
    </dgm:pt>
    <dgm:pt modelId="{C2479319-AEE8-4446-A3C0-3F94E0D49B39}" type="pres">
      <dgm:prSet presAssocID="{41B76773-44E4-4B09-AC93-F5DD5659E53A}" presName="conn2-1" presStyleLbl="parChTrans1D4" presStyleIdx="0" presStyleCnt="3"/>
      <dgm:spPr/>
      <dgm:t>
        <a:bodyPr/>
        <a:lstStyle/>
        <a:p>
          <a:endParaRPr lang="fr-FR"/>
        </a:p>
      </dgm:t>
    </dgm:pt>
    <dgm:pt modelId="{BB510F73-ECCF-453F-A0D1-37F309F6D253}" type="pres">
      <dgm:prSet presAssocID="{41B76773-44E4-4B09-AC93-F5DD5659E53A}" presName="connTx" presStyleLbl="parChTrans1D4" presStyleIdx="0" presStyleCnt="3"/>
      <dgm:spPr/>
      <dgm:t>
        <a:bodyPr/>
        <a:lstStyle/>
        <a:p>
          <a:endParaRPr lang="fr-FR"/>
        </a:p>
      </dgm:t>
    </dgm:pt>
    <dgm:pt modelId="{2568FBE1-F92D-45D5-A9E6-B23B1E04CA76}" type="pres">
      <dgm:prSet presAssocID="{5FBA79A4-D934-4098-A87B-2CAF5C4E3EB2}" presName="root2" presStyleCnt="0"/>
      <dgm:spPr/>
    </dgm:pt>
    <dgm:pt modelId="{C3BA534A-C721-4460-8507-91027E05F39D}" type="pres">
      <dgm:prSet presAssocID="{5FBA79A4-D934-4098-A87B-2CAF5C4E3EB2}" presName="LevelTwoTextNode" presStyleLbl="node4" presStyleIdx="0" presStyleCnt="3" custLinFactNeighborX="9362">
        <dgm:presLayoutVars>
          <dgm:chPref val="3"/>
        </dgm:presLayoutVars>
      </dgm:prSet>
      <dgm:spPr/>
      <dgm:t>
        <a:bodyPr/>
        <a:lstStyle/>
        <a:p>
          <a:endParaRPr lang="fr-FR"/>
        </a:p>
      </dgm:t>
    </dgm:pt>
    <dgm:pt modelId="{802EBEBA-9D92-443D-BAE7-06F62B42F737}" type="pres">
      <dgm:prSet presAssocID="{5FBA79A4-D934-4098-A87B-2CAF5C4E3EB2}" presName="level3hierChild" presStyleCnt="0"/>
      <dgm:spPr/>
    </dgm:pt>
    <dgm:pt modelId="{519580A6-8702-4D96-8B9D-3B042C57ED3D}" type="pres">
      <dgm:prSet presAssocID="{500027E1-8498-4CA9-B537-9302FF34522E}" presName="conn2-1" presStyleLbl="parChTrans1D4" presStyleIdx="1" presStyleCnt="3"/>
      <dgm:spPr/>
      <dgm:t>
        <a:bodyPr/>
        <a:lstStyle/>
        <a:p>
          <a:endParaRPr lang="fr-FR"/>
        </a:p>
      </dgm:t>
    </dgm:pt>
    <dgm:pt modelId="{9215FA8E-B65E-4338-828A-5A21DC90709E}" type="pres">
      <dgm:prSet presAssocID="{500027E1-8498-4CA9-B537-9302FF34522E}" presName="connTx" presStyleLbl="parChTrans1D4" presStyleIdx="1" presStyleCnt="3"/>
      <dgm:spPr/>
      <dgm:t>
        <a:bodyPr/>
        <a:lstStyle/>
        <a:p>
          <a:endParaRPr lang="fr-FR"/>
        </a:p>
      </dgm:t>
    </dgm:pt>
    <dgm:pt modelId="{BABC7D52-ACB4-4A31-B806-A5F926F1A1B2}" type="pres">
      <dgm:prSet presAssocID="{71BF184A-9118-40BA-AD1C-5C8858049506}" presName="root2" presStyleCnt="0"/>
      <dgm:spPr/>
    </dgm:pt>
    <dgm:pt modelId="{423827F0-948C-4C3D-8018-038C029F006E}" type="pres">
      <dgm:prSet presAssocID="{71BF184A-9118-40BA-AD1C-5C8858049506}" presName="LevelTwoTextNode" presStyleLbl="node4" presStyleIdx="1" presStyleCnt="3" custLinFactNeighborX="8648">
        <dgm:presLayoutVars>
          <dgm:chPref val="3"/>
        </dgm:presLayoutVars>
      </dgm:prSet>
      <dgm:spPr/>
      <dgm:t>
        <a:bodyPr/>
        <a:lstStyle/>
        <a:p>
          <a:endParaRPr lang="fr-FR"/>
        </a:p>
      </dgm:t>
    </dgm:pt>
    <dgm:pt modelId="{13BED3C2-198B-4B76-B82A-632AFCD8869D}" type="pres">
      <dgm:prSet presAssocID="{71BF184A-9118-40BA-AD1C-5C8858049506}" presName="level3hierChild" presStyleCnt="0"/>
      <dgm:spPr/>
    </dgm:pt>
    <dgm:pt modelId="{03D252E5-BF43-4639-8379-76DFB3A7296F}" type="pres">
      <dgm:prSet presAssocID="{1B282CDD-5233-426F-AAA8-F9BA72BD686B}" presName="conn2-1" presStyleLbl="parChTrans1D3" presStyleIdx="1" presStyleCnt="4"/>
      <dgm:spPr/>
      <dgm:t>
        <a:bodyPr/>
        <a:lstStyle/>
        <a:p>
          <a:endParaRPr lang="fr-FR"/>
        </a:p>
      </dgm:t>
    </dgm:pt>
    <dgm:pt modelId="{F8BD6A6B-4978-4761-B906-E6785BC96387}" type="pres">
      <dgm:prSet presAssocID="{1B282CDD-5233-426F-AAA8-F9BA72BD686B}" presName="connTx" presStyleLbl="parChTrans1D3" presStyleIdx="1" presStyleCnt="4"/>
      <dgm:spPr/>
      <dgm:t>
        <a:bodyPr/>
        <a:lstStyle/>
        <a:p>
          <a:endParaRPr lang="fr-FR"/>
        </a:p>
      </dgm:t>
    </dgm:pt>
    <dgm:pt modelId="{9E06BD0F-2D53-4BFF-B309-5EC2353B2188}" type="pres">
      <dgm:prSet presAssocID="{AE6F495D-942A-4877-A4CE-073E05373702}" presName="root2" presStyleCnt="0"/>
      <dgm:spPr/>
    </dgm:pt>
    <dgm:pt modelId="{A0796474-E3E5-4B23-A740-13DFFA5DF39D}" type="pres">
      <dgm:prSet presAssocID="{AE6F495D-942A-4877-A4CE-073E05373702}" presName="LevelTwoTextNode" presStyleLbl="node3" presStyleIdx="1" presStyleCnt="4" custLinFactNeighborX="348">
        <dgm:presLayoutVars>
          <dgm:chPref val="3"/>
        </dgm:presLayoutVars>
      </dgm:prSet>
      <dgm:spPr/>
      <dgm:t>
        <a:bodyPr/>
        <a:lstStyle/>
        <a:p>
          <a:endParaRPr lang="fr-FR"/>
        </a:p>
      </dgm:t>
    </dgm:pt>
    <dgm:pt modelId="{1C930242-44E5-4391-A2E7-5EF3B49E2169}" type="pres">
      <dgm:prSet presAssocID="{AE6F495D-942A-4877-A4CE-073E05373702}" presName="level3hierChild" presStyleCnt="0"/>
      <dgm:spPr/>
    </dgm:pt>
    <dgm:pt modelId="{C9A9C598-67A1-4098-9623-510FFA3A8475}" type="pres">
      <dgm:prSet presAssocID="{D9777752-4022-437D-8869-C43D450D02CF}" presName="conn2-1" presStyleLbl="parChTrans1D2" presStyleIdx="1" presStyleCnt="3"/>
      <dgm:spPr/>
      <dgm:t>
        <a:bodyPr/>
        <a:lstStyle/>
        <a:p>
          <a:endParaRPr lang="fr-FR"/>
        </a:p>
      </dgm:t>
    </dgm:pt>
    <dgm:pt modelId="{8C2D0ECF-86AC-42C8-9224-540DC2A169E2}" type="pres">
      <dgm:prSet presAssocID="{D9777752-4022-437D-8869-C43D450D02CF}" presName="connTx" presStyleLbl="parChTrans1D2" presStyleIdx="1" presStyleCnt="3"/>
      <dgm:spPr/>
      <dgm:t>
        <a:bodyPr/>
        <a:lstStyle/>
        <a:p>
          <a:endParaRPr lang="fr-FR"/>
        </a:p>
      </dgm:t>
    </dgm:pt>
    <dgm:pt modelId="{F52BCD53-52F1-448F-92BC-7343FB7099F2}" type="pres">
      <dgm:prSet presAssocID="{28E40DCF-4A2C-456B-8929-0CB5797F5475}" presName="root2" presStyleCnt="0"/>
      <dgm:spPr/>
    </dgm:pt>
    <dgm:pt modelId="{78338AC3-4C95-4C5B-BA6C-CF06AF4FBEEA}" type="pres">
      <dgm:prSet presAssocID="{28E40DCF-4A2C-456B-8929-0CB5797F5475}" presName="LevelTwoTextNode" presStyleLbl="node2" presStyleIdx="1" presStyleCnt="3" custLinFactNeighborX="-1732">
        <dgm:presLayoutVars>
          <dgm:chPref val="3"/>
        </dgm:presLayoutVars>
      </dgm:prSet>
      <dgm:spPr/>
      <dgm:t>
        <a:bodyPr/>
        <a:lstStyle/>
        <a:p>
          <a:endParaRPr lang="fr-FR"/>
        </a:p>
      </dgm:t>
    </dgm:pt>
    <dgm:pt modelId="{8EF65607-FE28-4841-985A-459BC30225A3}" type="pres">
      <dgm:prSet presAssocID="{28E40DCF-4A2C-456B-8929-0CB5797F5475}" presName="level3hierChild" presStyleCnt="0"/>
      <dgm:spPr/>
    </dgm:pt>
    <dgm:pt modelId="{46F32E19-C1E5-4FF7-A907-51D6E126DD5E}" type="pres">
      <dgm:prSet presAssocID="{1647AC61-1398-4FEA-A86F-27E60D87AF17}" presName="conn2-1" presStyleLbl="parChTrans1D3" presStyleIdx="2" presStyleCnt="4"/>
      <dgm:spPr/>
      <dgm:t>
        <a:bodyPr/>
        <a:lstStyle/>
        <a:p>
          <a:endParaRPr lang="fr-FR"/>
        </a:p>
      </dgm:t>
    </dgm:pt>
    <dgm:pt modelId="{4C93E737-43AB-4F3C-A184-01B4DCEAB25F}" type="pres">
      <dgm:prSet presAssocID="{1647AC61-1398-4FEA-A86F-27E60D87AF17}" presName="connTx" presStyleLbl="parChTrans1D3" presStyleIdx="2" presStyleCnt="4"/>
      <dgm:spPr/>
      <dgm:t>
        <a:bodyPr/>
        <a:lstStyle/>
        <a:p>
          <a:endParaRPr lang="fr-FR"/>
        </a:p>
      </dgm:t>
    </dgm:pt>
    <dgm:pt modelId="{064CACF9-342F-4F31-A9D4-74E03D91A843}" type="pres">
      <dgm:prSet presAssocID="{96D95B75-DB25-4C53-9ED1-3BBF0E79FBC4}" presName="root2" presStyleCnt="0"/>
      <dgm:spPr/>
    </dgm:pt>
    <dgm:pt modelId="{7B08BC9A-60EF-4F50-81CA-4C01F392A13C}" type="pres">
      <dgm:prSet presAssocID="{96D95B75-DB25-4C53-9ED1-3BBF0E79FBC4}" presName="LevelTwoTextNode" presStyleLbl="node3" presStyleIdx="2" presStyleCnt="4">
        <dgm:presLayoutVars>
          <dgm:chPref val="3"/>
        </dgm:presLayoutVars>
      </dgm:prSet>
      <dgm:spPr/>
      <dgm:t>
        <a:bodyPr/>
        <a:lstStyle/>
        <a:p>
          <a:endParaRPr lang="fr-FR"/>
        </a:p>
      </dgm:t>
    </dgm:pt>
    <dgm:pt modelId="{F4A43824-ABFF-4A11-871D-D300AC9DC653}" type="pres">
      <dgm:prSet presAssocID="{96D95B75-DB25-4C53-9ED1-3BBF0E79FBC4}" presName="level3hierChild" presStyleCnt="0"/>
      <dgm:spPr/>
    </dgm:pt>
    <dgm:pt modelId="{2CA34F35-94AF-4376-A36C-D3060B6AA474}" type="pres">
      <dgm:prSet presAssocID="{C804D058-4ABD-43FF-8F8B-9DDEA43072E5}" presName="conn2-1" presStyleLbl="parChTrans1D4" presStyleIdx="2" presStyleCnt="3"/>
      <dgm:spPr/>
      <dgm:t>
        <a:bodyPr/>
        <a:lstStyle/>
        <a:p>
          <a:endParaRPr lang="fr-FR"/>
        </a:p>
      </dgm:t>
    </dgm:pt>
    <dgm:pt modelId="{B1698EB6-12FC-4E72-AB0E-2E0C6E235D44}" type="pres">
      <dgm:prSet presAssocID="{C804D058-4ABD-43FF-8F8B-9DDEA43072E5}" presName="connTx" presStyleLbl="parChTrans1D4" presStyleIdx="2" presStyleCnt="3"/>
      <dgm:spPr/>
      <dgm:t>
        <a:bodyPr/>
        <a:lstStyle/>
        <a:p>
          <a:endParaRPr lang="fr-FR"/>
        </a:p>
      </dgm:t>
    </dgm:pt>
    <dgm:pt modelId="{8D84E277-5E1B-40B8-93D4-23CD88B4FF25}" type="pres">
      <dgm:prSet presAssocID="{CFC919C6-1D8B-470B-BBFE-417D193CFB16}" presName="root2" presStyleCnt="0"/>
      <dgm:spPr/>
    </dgm:pt>
    <dgm:pt modelId="{F0AE7E35-3F18-45EB-B04F-975B962392F7}" type="pres">
      <dgm:prSet presAssocID="{CFC919C6-1D8B-470B-BBFE-417D193CFB16}" presName="LevelTwoTextNode" presStyleLbl="node4" presStyleIdx="2" presStyleCnt="3" custLinFactNeighborX="8648">
        <dgm:presLayoutVars>
          <dgm:chPref val="3"/>
        </dgm:presLayoutVars>
      </dgm:prSet>
      <dgm:spPr/>
      <dgm:t>
        <a:bodyPr/>
        <a:lstStyle/>
        <a:p>
          <a:endParaRPr lang="fr-FR"/>
        </a:p>
      </dgm:t>
    </dgm:pt>
    <dgm:pt modelId="{40958B84-7C83-4418-AD5B-922BB5D2DC09}" type="pres">
      <dgm:prSet presAssocID="{CFC919C6-1D8B-470B-BBFE-417D193CFB16}" presName="level3hierChild" presStyleCnt="0"/>
      <dgm:spPr/>
    </dgm:pt>
    <dgm:pt modelId="{C1F9FE51-24DE-4657-942C-7BD1CAEB48A3}" type="pres">
      <dgm:prSet presAssocID="{6A15626E-F471-4E74-9E33-ECA0F61A3F85}" presName="conn2-1" presStyleLbl="parChTrans1D2" presStyleIdx="2" presStyleCnt="3"/>
      <dgm:spPr/>
      <dgm:t>
        <a:bodyPr/>
        <a:lstStyle/>
        <a:p>
          <a:endParaRPr lang="fr-FR"/>
        </a:p>
      </dgm:t>
    </dgm:pt>
    <dgm:pt modelId="{997E55CA-450A-47D1-8F1B-0D7A75F9FFBF}" type="pres">
      <dgm:prSet presAssocID="{6A15626E-F471-4E74-9E33-ECA0F61A3F85}" presName="connTx" presStyleLbl="parChTrans1D2" presStyleIdx="2" presStyleCnt="3"/>
      <dgm:spPr/>
      <dgm:t>
        <a:bodyPr/>
        <a:lstStyle/>
        <a:p>
          <a:endParaRPr lang="fr-FR"/>
        </a:p>
      </dgm:t>
    </dgm:pt>
    <dgm:pt modelId="{DE9137D3-41F1-4AEE-B774-E06F81FE54C8}" type="pres">
      <dgm:prSet presAssocID="{9E8DB670-3BA5-4A79-A288-787C2E42BB2F}" presName="root2" presStyleCnt="0"/>
      <dgm:spPr/>
    </dgm:pt>
    <dgm:pt modelId="{C93F1079-4D05-4148-B46D-22C5D3C60A8F}" type="pres">
      <dgm:prSet presAssocID="{9E8DB670-3BA5-4A79-A288-787C2E42BB2F}" presName="LevelTwoTextNode" presStyleLbl="node2" presStyleIdx="2" presStyleCnt="3" custLinFactNeighborX="-692">
        <dgm:presLayoutVars>
          <dgm:chPref val="3"/>
        </dgm:presLayoutVars>
      </dgm:prSet>
      <dgm:spPr/>
      <dgm:t>
        <a:bodyPr/>
        <a:lstStyle/>
        <a:p>
          <a:endParaRPr lang="fr-FR"/>
        </a:p>
      </dgm:t>
    </dgm:pt>
    <dgm:pt modelId="{3AF10DBA-A498-4325-879B-A3970079578A}" type="pres">
      <dgm:prSet presAssocID="{9E8DB670-3BA5-4A79-A288-787C2E42BB2F}" presName="level3hierChild" presStyleCnt="0"/>
      <dgm:spPr/>
    </dgm:pt>
    <dgm:pt modelId="{671DA1D1-B247-46D1-B94D-252A170ED781}" type="pres">
      <dgm:prSet presAssocID="{91347954-DAD6-4A20-BE7A-057AC862CB5E}" presName="conn2-1" presStyleLbl="parChTrans1D3" presStyleIdx="3" presStyleCnt="4"/>
      <dgm:spPr/>
      <dgm:t>
        <a:bodyPr/>
        <a:lstStyle/>
        <a:p>
          <a:endParaRPr lang="fr-FR"/>
        </a:p>
      </dgm:t>
    </dgm:pt>
    <dgm:pt modelId="{34B472E7-0D1A-46FE-BDF7-A86E1388E6F2}" type="pres">
      <dgm:prSet presAssocID="{91347954-DAD6-4A20-BE7A-057AC862CB5E}" presName="connTx" presStyleLbl="parChTrans1D3" presStyleIdx="3" presStyleCnt="4"/>
      <dgm:spPr/>
      <dgm:t>
        <a:bodyPr/>
        <a:lstStyle/>
        <a:p>
          <a:endParaRPr lang="fr-FR"/>
        </a:p>
      </dgm:t>
    </dgm:pt>
    <dgm:pt modelId="{98481C02-DC18-43AC-982D-D51DD269D5D1}" type="pres">
      <dgm:prSet presAssocID="{2E045B47-CCCE-4C97-B39A-CDCBF10F4A5D}" presName="root2" presStyleCnt="0"/>
      <dgm:spPr/>
    </dgm:pt>
    <dgm:pt modelId="{9F9FBBE0-8056-40A6-A4A7-B02D75B3C537}" type="pres">
      <dgm:prSet presAssocID="{2E045B47-CCCE-4C97-B39A-CDCBF10F4A5D}" presName="LevelTwoTextNode" presStyleLbl="node3" presStyleIdx="3" presStyleCnt="4" custLinFactNeighborX="348">
        <dgm:presLayoutVars>
          <dgm:chPref val="3"/>
        </dgm:presLayoutVars>
      </dgm:prSet>
      <dgm:spPr/>
      <dgm:t>
        <a:bodyPr/>
        <a:lstStyle/>
        <a:p>
          <a:endParaRPr lang="fr-FR"/>
        </a:p>
      </dgm:t>
    </dgm:pt>
    <dgm:pt modelId="{7778AAB3-0FC6-477B-BE53-0723154F3BB0}" type="pres">
      <dgm:prSet presAssocID="{2E045B47-CCCE-4C97-B39A-CDCBF10F4A5D}" presName="level3hierChild" presStyleCnt="0"/>
      <dgm:spPr/>
    </dgm:pt>
  </dgm:ptLst>
  <dgm:cxnLst>
    <dgm:cxn modelId="{2F45288F-8728-4CEE-BB4D-F866DD218087}" type="presOf" srcId="{28E40DCF-4A2C-456B-8929-0CB5797F5475}" destId="{78338AC3-4C95-4C5B-BA6C-CF06AF4FBEEA}" srcOrd="0" destOrd="0" presId="urn:microsoft.com/office/officeart/2005/8/layout/hierarchy2"/>
    <dgm:cxn modelId="{A9CBE220-E8E3-4889-8E7E-2D1B1AE2A0CC}" type="presOf" srcId="{6A15626E-F471-4E74-9E33-ECA0F61A3F85}" destId="{997E55CA-450A-47D1-8F1B-0D7A75F9FFBF}" srcOrd="1" destOrd="0" presId="urn:microsoft.com/office/officeart/2005/8/layout/hierarchy2"/>
    <dgm:cxn modelId="{1FB08227-D5A4-439B-A16B-05A0DA4BFEBF}" srcId="{A5873CF6-D3BC-424F-AEC5-52D6D4B088D8}" destId="{93D86335-2F20-46DA-A513-7A84FEF121D4}" srcOrd="0" destOrd="0" parTransId="{BAF4DE2A-7B72-47B6-8891-FAD532DED522}" sibTransId="{242FC3F8-BB1A-4303-AD03-C29816A3B5BF}"/>
    <dgm:cxn modelId="{2B448201-BB48-41FB-B7D5-3A365FA2DAA8}" type="presOf" srcId="{C804D058-4ABD-43FF-8F8B-9DDEA43072E5}" destId="{B1698EB6-12FC-4E72-AB0E-2E0C6E235D44}" srcOrd="1" destOrd="0" presId="urn:microsoft.com/office/officeart/2005/8/layout/hierarchy2"/>
    <dgm:cxn modelId="{870A0F79-5C4F-493B-8F90-C04B1D829702}" srcId="{A956B258-1408-43C1-B845-87B9B58B1BE3}" destId="{71BF184A-9118-40BA-AD1C-5C8858049506}" srcOrd="1" destOrd="0" parTransId="{500027E1-8498-4CA9-B537-9302FF34522E}" sibTransId="{13FC4F7A-B2B7-4B22-AF73-9180594932C4}"/>
    <dgm:cxn modelId="{7C7F38A1-D162-4601-B640-C3062DCC6DD2}" type="presOf" srcId="{1B282CDD-5233-426F-AAA8-F9BA72BD686B}" destId="{F8BD6A6B-4978-4761-B906-E6785BC96387}" srcOrd="1" destOrd="0" presId="urn:microsoft.com/office/officeart/2005/8/layout/hierarchy2"/>
    <dgm:cxn modelId="{D5EAEC6B-631B-48B6-BD48-58DC7288ACBC}" type="presOf" srcId="{93D86335-2F20-46DA-A513-7A84FEF121D4}" destId="{1BEB59D0-2DCB-4A0A-9719-C6CAA8CB535E}" srcOrd="0" destOrd="0" presId="urn:microsoft.com/office/officeart/2005/8/layout/hierarchy2"/>
    <dgm:cxn modelId="{45BA6BC7-3B1B-418D-A985-925516236536}" type="presOf" srcId="{41B76773-44E4-4B09-AC93-F5DD5659E53A}" destId="{BB510F73-ECCF-453F-A0D1-37F309F6D253}" srcOrd="1" destOrd="0" presId="urn:microsoft.com/office/officeart/2005/8/layout/hierarchy2"/>
    <dgm:cxn modelId="{9D4913F7-7EE1-4658-8ACC-7B2272C67881}" srcId="{28E40DCF-4A2C-456B-8929-0CB5797F5475}" destId="{96D95B75-DB25-4C53-9ED1-3BBF0E79FBC4}" srcOrd="0" destOrd="0" parTransId="{1647AC61-1398-4FEA-A86F-27E60D87AF17}" sibTransId="{FE360D05-2322-4FBA-A717-0D8F4D3D46CC}"/>
    <dgm:cxn modelId="{6A1B523F-2A0B-445F-8BD7-604E1168E40B}" type="presOf" srcId="{41B76773-44E4-4B09-AC93-F5DD5659E53A}" destId="{C2479319-AEE8-4446-A3C0-3F94E0D49B39}" srcOrd="0" destOrd="0" presId="urn:microsoft.com/office/officeart/2005/8/layout/hierarchy2"/>
    <dgm:cxn modelId="{5C56B6F0-0532-4930-A36B-546339864118}" type="presOf" srcId="{4FDB9450-CE40-4263-B9B2-078471599CCD}" destId="{B1B1EFF6-9D9A-4056-AF7A-F12C13C184B4}" srcOrd="0" destOrd="0" presId="urn:microsoft.com/office/officeart/2005/8/layout/hierarchy2"/>
    <dgm:cxn modelId="{3E391988-1961-445C-9986-F9A2E219A17F}" srcId="{A5873CF6-D3BC-424F-AEC5-52D6D4B088D8}" destId="{9E8DB670-3BA5-4A79-A288-787C2E42BB2F}" srcOrd="2" destOrd="0" parTransId="{6A15626E-F471-4E74-9E33-ECA0F61A3F85}" sibTransId="{F27F8E7E-7874-4A53-AFAD-73B68A2F5007}"/>
    <dgm:cxn modelId="{3BEE60C5-10D8-4667-BEEB-1B53C5D8471E}" srcId="{A5873CF6-D3BC-424F-AEC5-52D6D4B088D8}" destId="{28E40DCF-4A2C-456B-8929-0CB5797F5475}" srcOrd="1" destOrd="0" parTransId="{D9777752-4022-437D-8869-C43D450D02CF}" sibTransId="{31D03E7E-0CA5-4809-BFA3-29ECC9593253}"/>
    <dgm:cxn modelId="{4C884F7F-766A-4AF5-84F6-163405009C69}" type="presOf" srcId="{500027E1-8498-4CA9-B537-9302FF34522E}" destId="{9215FA8E-B65E-4338-828A-5A21DC90709E}" srcOrd="1" destOrd="0" presId="urn:microsoft.com/office/officeart/2005/8/layout/hierarchy2"/>
    <dgm:cxn modelId="{E887C28E-3C7E-4C2C-848C-CBD572B6F2BB}" type="presOf" srcId="{4FDB9450-CE40-4263-B9B2-078471599CCD}" destId="{BAEED80B-F40E-4483-B248-F9B20B4E6493}" srcOrd="1" destOrd="0" presId="urn:microsoft.com/office/officeart/2005/8/layout/hierarchy2"/>
    <dgm:cxn modelId="{F8EED76E-0E19-4CB6-A948-DA81C1FF3E44}" type="presOf" srcId="{BAF4DE2A-7B72-47B6-8891-FAD532DED522}" destId="{393E9FCB-42FA-44B4-AB51-0333FA8FB01C}" srcOrd="0" destOrd="0" presId="urn:microsoft.com/office/officeart/2005/8/layout/hierarchy2"/>
    <dgm:cxn modelId="{82D3683B-F9DE-454A-A322-1EDAECCFC7D3}" type="presOf" srcId="{6A15626E-F471-4E74-9E33-ECA0F61A3F85}" destId="{C1F9FE51-24DE-4657-942C-7BD1CAEB48A3}" srcOrd="0" destOrd="0" presId="urn:microsoft.com/office/officeart/2005/8/layout/hierarchy2"/>
    <dgm:cxn modelId="{490C245C-26E5-4B11-9597-457E6DF2E1C9}" type="presOf" srcId="{1B282CDD-5233-426F-AAA8-F9BA72BD686B}" destId="{03D252E5-BF43-4639-8379-76DFB3A7296F}" srcOrd="0" destOrd="0" presId="urn:microsoft.com/office/officeart/2005/8/layout/hierarchy2"/>
    <dgm:cxn modelId="{01C46AF8-E15B-4175-A41B-9E5EF685B4AE}" type="presOf" srcId="{2E045B47-CCCE-4C97-B39A-CDCBF10F4A5D}" destId="{9F9FBBE0-8056-40A6-A4A7-B02D75B3C537}" srcOrd="0" destOrd="0" presId="urn:microsoft.com/office/officeart/2005/8/layout/hierarchy2"/>
    <dgm:cxn modelId="{F9361F7C-0D77-476A-B2F8-35FC8EB56B3D}" type="presOf" srcId="{CFC919C6-1D8B-470B-BBFE-417D193CFB16}" destId="{F0AE7E35-3F18-45EB-B04F-975B962392F7}" srcOrd="0" destOrd="0" presId="urn:microsoft.com/office/officeart/2005/8/layout/hierarchy2"/>
    <dgm:cxn modelId="{BB424381-156D-4658-B798-3F707C9033AC}" srcId="{93D86335-2F20-46DA-A513-7A84FEF121D4}" destId="{A956B258-1408-43C1-B845-87B9B58B1BE3}" srcOrd="0" destOrd="0" parTransId="{4FDB9450-CE40-4263-B9B2-078471599CCD}" sibTransId="{131CEF2A-F19D-478E-9811-63FC61F801E5}"/>
    <dgm:cxn modelId="{3C9AE566-F26D-4302-B886-027ED33578FB}" type="presOf" srcId="{A956B258-1408-43C1-B845-87B9B58B1BE3}" destId="{DC9D02AE-E664-438E-AF2F-2F86ABE2C04E}" srcOrd="0" destOrd="0" presId="urn:microsoft.com/office/officeart/2005/8/layout/hierarchy2"/>
    <dgm:cxn modelId="{1CA5F87D-07CE-41FC-8E9D-5D052DA9A52C}" type="presOf" srcId="{D9777752-4022-437D-8869-C43D450D02CF}" destId="{8C2D0ECF-86AC-42C8-9224-540DC2A169E2}" srcOrd="1" destOrd="0" presId="urn:microsoft.com/office/officeart/2005/8/layout/hierarchy2"/>
    <dgm:cxn modelId="{8308B074-5B5D-47FB-AB8A-15702E0331EC}" srcId="{9E8DB670-3BA5-4A79-A288-787C2E42BB2F}" destId="{2E045B47-CCCE-4C97-B39A-CDCBF10F4A5D}" srcOrd="0" destOrd="0" parTransId="{91347954-DAD6-4A20-BE7A-057AC862CB5E}" sibTransId="{AC191747-17B1-49E2-A6C3-A63E79AA4074}"/>
    <dgm:cxn modelId="{9D398C00-FCAC-4E36-BA01-B8C093ACF9CA}" srcId="{93D86335-2F20-46DA-A513-7A84FEF121D4}" destId="{AE6F495D-942A-4877-A4CE-073E05373702}" srcOrd="1" destOrd="0" parTransId="{1B282CDD-5233-426F-AAA8-F9BA72BD686B}" sibTransId="{F46A8ADD-2F30-4EA5-BBA7-B5F1BC44E913}"/>
    <dgm:cxn modelId="{22E77443-3054-45A3-8A23-21639DC14478}" type="presOf" srcId="{5FBA79A4-D934-4098-A87B-2CAF5C4E3EB2}" destId="{C3BA534A-C721-4460-8507-91027E05F39D}" srcOrd="0" destOrd="0" presId="urn:microsoft.com/office/officeart/2005/8/layout/hierarchy2"/>
    <dgm:cxn modelId="{3F52638D-1CC7-4DAA-850F-7FB8122D0B29}" type="presOf" srcId="{AE6F495D-942A-4877-A4CE-073E05373702}" destId="{A0796474-E3E5-4B23-A740-13DFFA5DF39D}" srcOrd="0" destOrd="0" presId="urn:microsoft.com/office/officeart/2005/8/layout/hierarchy2"/>
    <dgm:cxn modelId="{A46235BF-FD90-459E-BD61-1C6D41CAA02F}" srcId="{A956B258-1408-43C1-B845-87B9B58B1BE3}" destId="{5FBA79A4-D934-4098-A87B-2CAF5C4E3EB2}" srcOrd="0" destOrd="0" parTransId="{41B76773-44E4-4B09-AC93-F5DD5659E53A}" sibTransId="{15B6AE0A-3C28-4278-A996-F9A48CC5EC08}"/>
    <dgm:cxn modelId="{DB08D7D1-967C-4DA2-B7FF-A8C709EE4104}" type="presOf" srcId="{500027E1-8498-4CA9-B537-9302FF34522E}" destId="{519580A6-8702-4D96-8B9D-3B042C57ED3D}" srcOrd="0" destOrd="0" presId="urn:microsoft.com/office/officeart/2005/8/layout/hierarchy2"/>
    <dgm:cxn modelId="{85EB13C4-C39C-4A3B-94E2-C4EC5A901B2A}" type="presOf" srcId="{91347954-DAD6-4A20-BE7A-057AC862CB5E}" destId="{34B472E7-0D1A-46FE-BDF7-A86E1388E6F2}" srcOrd="1" destOrd="0" presId="urn:microsoft.com/office/officeart/2005/8/layout/hierarchy2"/>
    <dgm:cxn modelId="{E33CC5A8-AD3D-41B7-8810-13B713AED1C6}" type="presOf" srcId="{91347954-DAD6-4A20-BE7A-057AC862CB5E}" destId="{671DA1D1-B247-46D1-B94D-252A170ED781}" srcOrd="0" destOrd="0" presId="urn:microsoft.com/office/officeart/2005/8/layout/hierarchy2"/>
    <dgm:cxn modelId="{F0ACC977-51A1-4EB3-9C66-F99BD39E9301}" type="presOf" srcId="{7DF66E86-3FC7-450B-A2D5-42EF3F910E1D}" destId="{62474769-7398-483D-8033-5B1ED9E30FA7}" srcOrd="0" destOrd="0" presId="urn:microsoft.com/office/officeart/2005/8/layout/hierarchy2"/>
    <dgm:cxn modelId="{458D5B4E-DCB1-4096-B428-AF58EFC9A287}" type="presOf" srcId="{D9777752-4022-437D-8869-C43D450D02CF}" destId="{C9A9C598-67A1-4098-9623-510FFA3A8475}" srcOrd="0" destOrd="0" presId="urn:microsoft.com/office/officeart/2005/8/layout/hierarchy2"/>
    <dgm:cxn modelId="{71E05FE0-819C-4407-80ED-C8F3AEBCE9D7}" srcId="{96D95B75-DB25-4C53-9ED1-3BBF0E79FBC4}" destId="{CFC919C6-1D8B-470B-BBFE-417D193CFB16}" srcOrd="0" destOrd="0" parTransId="{C804D058-4ABD-43FF-8F8B-9DDEA43072E5}" sibTransId="{B053D6D5-0FE2-4F67-A5ED-D4239DDACCC0}"/>
    <dgm:cxn modelId="{22AA171E-BC80-4490-99F3-0DF37802ED44}" type="presOf" srcId="{1647AC61-1398-4FEA-A86F-27E60D87AF17}" destId="{4C93E737-43AB-4F3C-A184-01B4DCEAB25F}" srcOrd="1" destOrd="0" presId="urn:microsoft.com/office/officeart/2005/8/layout/hierarchy2"/>
    <dgm:cxn modelId="{02A43461-3BFE-4F8D-A9B7-0A42C5E8C671}" type="presOf" srcId="{BAF4DE2A-7B72-47B6-8891-FAD532DED522}" destId="{3398FC43-2009-444A-AA79-0D98BA3548C4}" srcOrd="1" destOrd="0" presId="urn:microsoft.com/office/officeart/2005/8/layout/hierarchy2"/>
    <dgm:cxn modelId="{D97E37A1-E191-4B37-B743-F3705449004D}" type="presOf" srcId="{C804D058-4ABD-43FF-8F8B-9DDEA43072E5}" destId="{2CA34F35-94AF-4376-A36C-D3060B6AA474}" srcOrd="0" destOrd="0" presId="urn:microsoft.com/office/officeart/2005/8/layout/hierarchy2"/>
    <dgm:cxn modelId="{FF3D27BF-5813-40F0-B797-4179EF57A160}" type="presOf" srcId="{71BF184A-9118-40BA-AD1C-5C8858049506}" destId="{423827F0-948C-4C3D-8018-038C029F006E}" srcOrd="0" destOrd="0" presId="urn:microsoft.com/office/officeart/2005/8/layout/hierarchy2"/>
    <dgm:cxn modelId="{DB4884E6-9B97-47A2-BF50-3BA38B3B737B}" type="presOf" srcId="{1647AC61-1398-4FEA-A86F-27E60D87AF17}" destId="{46F32E19-C1E5-4FF7-A907-51D6E126DD5E}" srcOrd="0" destOrd="0" presId="urn:microsoft.com/office/officeart/2005/8/layout/hierarchy2"/>
    <dgm:cxn modelId="{92BC98F7-F8A9-4FB3-AD40-EC00F1B24D05}" type="presOf" srcId="{96D95B75-DB25-4C53-9ED1-3BBF0E79FBC4}" destId="{7B08BC9A-60EF-4F50-81CA-4C01F392A13C}" srcOrd="0" destOrd="0" presId="urn:microsoft.com/office/officeart/2005/8/layout/hierarchy2"/>
    <dgm:cxn modelId="{56E9AFE1-75B9-43D4-B615-87C83A847CA9}" srcId="{7DF66E86-3FC7-450B-A2D5-42EF3F910E1D}" destId="{A5873CF6-D3BC-424F-AEC5-52D6D4B088D8}" srcOrd="0" destOrd="0" parTransId="{66504279-261A-4094-81DE-47B5B4F3E695}" sibTransId="{5FF3F07E-3A57-4557-A432-B85BE0531356}"/>
    <dgm:cxn modelId="{AE63A580-F2B4-4F8F-BD66-348C54DA6916}" type="presOf" srcId="{A5873CF6-D3BC-424F-AEC5-52D6D4B088D8}" destId="{05866E7F-CC52-412C-96BD-FF8C018BB29F}" srcOrd="0" destOrd="0" presId="urn:microsoft.com/office/officeart/2005/8/layout/hierarchy2"/>
    <dgm:cxn modelId="{854C33E6-E97D-44E2-BB9D-E590B9C65FB2}" type="presOf" srcId="{9E8DB670-3BA5-4A79-A288-787C2E42BB2F}" destId="{C93F1079-4D05-4148-B46D-22C5D3C60A8F}" srcOrd="0" destOrd="0" presId="urn:microsoft.com/office/officeart/2005/8/layout/hierarchy2"/>
    <dgm:cxn modelId="{28BDA6D0-FAA9-4AD8-AC21-4D6CB0B03A5C}" type="presParOf" srcId="{62474769-7398-483D-8033-5B1ED9E30FA7}" destId="{22BB7C3D-50AC-4009-AA3B-3D144FFCDBF8}" srcOrd="0" destOrd="0" presId="urn:microsoft.com/office/officeart/2005/8/layout/hierarchy2"/>
    <dgm:cxn modelId="{91AF99CF-449C-4150-A790-E9E6C3C523A9}" type="presParOf" srcId="{22BB7C3D-50AC-4009-AA3B-3D144FFCDBF8}" destId="{05866E7F-CC52-412C-96BD-FF8C018BB29F}" srcOrd="0" destOrd="0" presId="urn:microsoft.com/office/officeart/2005/8/layout/hierarchy2"/>
    <dgm:cxn modelId="{C9BE20DA-E717-44FF-9727-E3387CFBF967}" type="presParOf" srcId="{22BB7C3D-50AC-4009-AA3B-3D144FFCDBF8}" destId="{BB5FDAC8-1701-4D61-A7E2-FC0A33D2FCCB}" srcOrd="1" destOrd="0" presId="urn:microsoft.com/office/officeart/2005/8/layout/hierarchy2"/>
    <dgm:cxn modelId="{DC7FA75C-BDFA-45CB-8ABA-6A8273B25104}" type="presParOf" srcId="{BB5FDAC8-1701-4D61-A7E2-FC0A33D2FCCB}" destId="{393E9FCB-42FA-44B4-AB51-0333FA8FB01C}" srcOrd="0" destOrd="0" presId="urn:microsoft.com/office/officeart/2005/8/layout/hierarchy2"/>
    <dgm:cxn modelId="{5E75B4F9-015B-46ED-A4B4-5B0B69B658CB}" type="presParOf" srcId="{393E9FCB-42FA-44B4-AB51-0333FA8FB01C}" destId="{3398FC43-2009-444A-AA79-0D98BA3548C4}" srcOrd="0" destOrd="0" presId="urn:microsoft.com/office/officeart/2005/8/layout/hierarchy2"/>
    <dgm:cxn modelId="{ADEEC759-BC2E-4CA3-B648-6D4286236853}" type="presParOf" srcId="{BB5FDAC8-1701-4D61-A7E2-FC0A33D2FCCB}" destId="{3E96F06E-C32F-4759-8DC6-91D6A31AD8BD}" srcOrd="1" destOrd="0" presId="urn:microsoft.com/office/officeart/2005/8/layout/hierarchy2"/>
    <dgm:cxn modelId="{F412B5C5-6BBB-4CE6-AD84-DFE0E0D42A19}" type="presParOf" srcId="{3E96F06E-C32F-4759-8DC6-91D6A31AD8BD}" destId="{1BEB59D0-2DCB-4A0A-9719-C6CAA8CB535E}" srcOrd="0" destOrd="0" presId="urn:microsoft.com/office/officeart/2005/8/layout/hierarchy2"/>
    <dgm:cxn modelId="{50178B22-AF88-4736-8500-B9BB9B2DB4DA}" type="presParOf" srcId="{3E96F06E-C32F-4759-8DC6-91D6A31AD8BD}" destId="{D5469ED7-EBDA-4B94-9035-B3DE01DCDCC2}" srcOrd="1" destOrd="0" presId="urn:microsoft.com/office/officeart/2005/8/layout/hierarchy2"/>
    <dgm:cxn modelId="{4E3FF090-8CC8-4E89-8D3C-D71AF8B4C2D5}" type="presParOf" srcId="{D5469ED7-EBDA-4B94-9035-B3DE01DCDCC2}" destId="{B1B1EFF6-9D9A-4056-AF7A-F12C13C184B4}" srcOrd="0" destOrd="0" presId="urn:microsoft.com/office/officeart/2005/8/layout/hierarchy2"/>
    <dgm:cxn modelId="{53279A1F-803D-4B30-AFD8-D5D41BE7CF38}" type="presParOf" srcId="{B1B1EFF6-9D9A-4056-AF7A-F12C13C184B4}" destId="{BAEED80B-F40E-4483-B248-F9B20B4E6493}" srcOrd="0" destOrd="0" presId="urn:microsoft.com/office/officeart/2005/8/layout/hierarchy2"/>
    <dgm:cxn modelId="{244EC5D4-02A5-4BE9-B0A3-71D0B6052365}" type="presParOf" srcId="{D5469ED7-EBDA-4B94-9035-B3DE01DCDCC2}" destId="{10DD12A2-14DB-4F6C-AEDF-01CF56E662DE}" srcOrd="1" destOrd="0" presId="urn:microsoft.com/office/officeart/2005/8/layout/hierarchy2"/>
    <dgm:cxn modelId="{51152AA5-C62D-4CCA-B75B-A25303584CA4}" type="presParOf" srcId="{10DD12A2-14DB-4F6C-AEDF-01CF56E662DE}" destId="{DC9D02AE-E664-438E-AF2F-2F86ABE2C04E}" srcOrd="0" destOrd="0" presId="urn:microsoft.com/office/officeart/2005/8/layout/hierarchy2"/>
    <dgm:cxn modelId="{763D29E0-8398-4B13-85F8-E5741C8E8699}" type="presParOf" srcId="{10DD12A2-14DB-4F6C-AEDF-01CF56E662DE}" destId="{4F233FCD-E549-4AD0-ABCD-A1C527DBA0DF}" srcOrd="1" destOrd="0" presId="urn:microsoft.com/office/officeart/2005/8/layout/hierarchy2"/>
    <dgm:cxn modelId="{DE073016-10F0-470C-B99A-02AA69F92D06}" type="presParOf" srcId="{4F233FCD-E549-4AD0-ABCD-A1C527DBA0DF}" destId="{C2479319-AEE8-4446-A3C0-3F94E0D49B39}" srcOrd="0" destOrd="0" presId="urn:microsoft.com/office/officeart/2005/8/layout/hierarchy2"/>
    <dgm:cxn modelId="{A1B29596-6A54-45CA-A4E2-710360AE40A7}" type="presParOf" srcId="{C2479319-AEE8-4446-A3C0-3F94E0D49B39}" destId="{BB510F73-ECCF-453F-A0D1-37F309F6D253}" srcOrd="0" destOrd="0" presId="urn:microsoft.com/office/officeart/2005/8/layout/hierarchy2"/>
    <dgm:cxn modelId="{80925BB3-F520-498B-A0D3-BBD4883F497E}" type="presParOf" srcId="{4F233FCD-E549-4AD0-ABCD-A1C527DBA0DF}" destId="{2568FBE1-F92D-45D5-A9E6-B23B1E04CA76}" srcOrd="1" destOrd="0" presId="urn:microsoft.com/office/officeart/2005/8/layout/hierarchy2"/>
    <dgm:cxn modelId="{672570F0-0744-4048-8991-37F80D39DEDC}" type="presParOf" srcId="{2568FBE1-F92D-45D5-A9E6-B23B1E04CA76}" destId="{C3BA534A-C721-4460-8507-91027E05F39D}" srcOrd="0" destOrd="0" presId="urn:microsoft.com/office/officeart/2005/8/layout/hierarchy2"/>
    <dgm:cxn modelId="{73077FF5-FD0A-4121-849F-DB344E1B3672}" type="presParOf" srcId="{2568FBE1-F92D-45D5-A9E6-B23B1E04CA76}" destId="{802EBEBA-9D92-443D-BAE7-06F62B42F737}" srcOrd="1" destOrd="0" presId="urn:microsoft.com/office/officeart/2005/8/layout/hierarchy2"/>
    <dgm:cxn modelId="{D06E2305-447D-421E-92D5-F1B4AA315A25}" type="presParOf" srcId="{4F233FCD-E549-4AD0-ABCD-A1C527DBA0DF}" destId="{519580A6-8702-4D96-8B9D-3B042C57ED3D}" srcOrd="2" destOrd="0" presId="urn:microsoft.com/office/officeart/2005/8/layout/hierarchy2"/>
    <dgm:cxn modelId="{1A835CBF-04D7-49FC-85A7-33BB8894B6A9}" type="presParOf" srcId="{519580A6-8702-4D96-8B9D-3B042C57ED3D}" destId="{9215FA8E-B65E-4338-828A-5A21DC90709E}" srcOrd="0" destOrd="0" presId="urn:microsoft.com/office/officeart/2005/8/layout/hierarchy2"/>
    <dgm:cxn modelId="{668FA01F-4477-49A5-B13F-6CB1A131B835}" type="presParOf" srcId="{4F233FCD-E549-4AD0-ABCD-A1C527DBA0DF}" destId="{BABC7D52-ACB4-4A31-B806-A5F926F1A1B2}" srcOrd="3" destOrd="0" presId="urn:microsoft.com/office/officeart/2005/8/layout/hierarchy2"/>
    <dgm:cxn modelId="{D99A2584-F1FD-48C7-891C-C9F5D17E43A8}" type="presParOf" srcId="{BABC7D52-ACB4-4A31-B806-A5F926F1A1B2}" destId="{423827F0-948C-4C3D-8018-038C029F006E}" srcOrd="0" destOrd="0" presId="urn:microsoft.com/office/officeart/2005/8/layout/hierarchy2"/>
    <dgm:cxn modelId="{898BA27A-1158-40BD-B11B-4A883AE1BEA3}" type="presParOf" srcId="{BABC7D52-ACB4-4A31-B806-A5F926F1A1B2}" destId="{13BED3C2-198B-4B76-B82A-632AFCD8869D}" srcOrd="1" destOrd="0" presId="urn:microsoft.com/office/officeart/2005/8/layout/hierarchy2"/>
    <dgm:cxn modelId="{ACF960EE-800F-4362-9BC2-746136113BB0}" type="presParOf" srcId="{D5469ED7-EBDA-4B94-9035-B3DE01DCDCC2}" destId="{03D252E5-BF43-4639-8379-76DFB3A7296F}" srcOrd="2" destOrd="0" presId="urn:microsoft.com/office/officeart/2005/8/layout/hierarchy2"/>
    <dgm:cxn modelId="{141DDE09-F6E7-47BD-BC33-562B3E1A1DBA}" type="presParOf" srcId="{03D252E5-BF43-4639-8379-76DFB3A7296F}" destId="{F8BD6A6B-4978-4761-B906-E6785BC96387}" srcOrd="0" destOrd="0" presId="urn:microsoft.com/office/officeart/2005/8/layout/hierarchy2"/>
    <dgm:cxn modelId="{A1DCCCF7-0982-4E59-88A5-49D344AD2493}" type="presParOf" srcId="{D5469ED7-EBDA-4B94-9035-B3DE01DCDCC2}" destId="{9E06BD0F-2D53-4BFF-B309-5EC2353B2188}" srcOrd="3" destOrd="0" presId="urn:microsoft.com/office/officeart/2005/8/layout/hierarchy2"/>
    <dgm:cxn modelId="{459F8B44-0351-46C2-83E9-6D7C78E32891}" type="presParOf" srcId="{9E06BD0F-2D53-4BFF-B309-5EC2353B2188}" destId="{A0796474-E3E5-4B23-A740-13DFFA5DF39D}" srcOrd="0" destOrd="0" presId="urn:microsoft.com/office/officeart/2005/8/layout/hierarchy2"/>
    <dgm:cxn modelId="{7119E45A-3530-47AD-978D-7A528D130E56}" type="presParOf" srcId="{9E06BD0F-2D53-4BFF-B309-5EC2353B2188}" destId="{1C930242-44E5-4391-A2E7-5EF3B49E2169}" srcOrd="1" destOrd="0" presId="urn:microsoft.com/office/officeart/2005/8/layout/hierarchy2"/>
    <dgm:cxn modelId="{3BD701E4-4483-4A1F-B2C0-6494C5C5C0E9}" type="presParOf" srcId="{BB5FDAC8-1701-4D61-A7E2-FC0A33D2FCCB}" destId="{C9A9C598-67A1-4098-9623-510FFA3A8475}" srcOrd="2" destOrd="0" presId="urn:microsoft.com/office/officeart/2005/8/layout/hierarchy2"/>
    <dgm:cxn modelId="{CF70B051-AA12-4313-A520-64114FB0AE8C}" type="presParOf" srcId="{C9A9C598-67A1-4098-9623-510FFA3A8475}" destId="{8C2D0ECF-86AC-42C8-9224-540DC2A169E2}" srcOrd="0" destOrd="0" presId="urn:microsoft.com/office/officeart/2005/8/layout/hierarchy2"/>
    <dgm:cxn modelId="{473216D8-866B-4763-B066-B272DBE575D0}" type="presParOf" srcId="{BB5FDAC8-1701-4D61-A7E2-FC0A33D2FCCB}" destId="{F52BCD53-52F1-448F-92BC-7343FB7099F2}" srcOrd="3" destOrd="0" presId="urn:microsoft.com/office/officeart/2005/8/layout/hierarchy2"/>
    <dgm:cxn modelId="{19EB7EB3-4CB8-4AF5-879A-6E835FCC7B3D}" type="presParOf" srcId="{F52BCD53-52F1-448F-92BC-7343FB7099F2}" destId="{78338AC3-4C95-4C5B-BA6C-CF06AF4FBEEA}" srcOrd="0" destOrd="0" presId="urn:microsoft.com/office/officeart/2005/8/layout/hierarchy2"/>
    <dgm:cxn modelId="{ED0B52BC-73DC-4177-97FB-142C4F5C4004}" type="presParOf" srcId="{F52BCD53-52F1-448F-92BC-7343FB7099F2}" destId="{8EF65607-FE28-4841-985A-459BC30225A3}" srcOrd="1" destOrd="0" presId="urn:microsoft.com/office/officeart/2005/8/layout/hierarchy2"/>
    <dgm:cxn modelId="{7E3C9F07-0DAD-418F-96A0-AB34BC0D0DE8}" type="presParOf" srcId="{8EF65607-FE28-4841-985A-459BC30225A3}" destId="{46F32E19-C1E5-4FF7-A907-51D6E126DD5E}" srcOrd="0" destOrd="0" presId="urn:microsoft.com/office/officeart/2005/8/layout/hierarchy2"/>
    <dgm:cxn modelId="{993CA4F8-E6EC-4C1A-8174-08EB15851AEE}" type="presParOf" srcId="{46F32E19-C1E5-4FF7-A907-51D6E126DD5E}" destId="{4C93E737-43AB-4F3C-A184-01B4DCEAB25F}" srcOrd="0" destOrd="0" presId="urn:microsoft.com/office/officeart/2005/8/layout/hierarchy2"/>
    <dgm:cxn modelId="{CD560F90-0F9A-438B-9BE9-DCA495D1E5A3}" type="presParOf" srcId="{8EF65607-FE28-4841-985A-459BC30225A3}" destId="{064CACF9-342F-4F31-A9D4-74E03D91A843}" srcOrd="1" destOrd="0" presId="urn:microsoft.com/office/officeart/2005/8/layout/hierarchy2"/>
    <dgm:cxn modelId="{22B4BD22-0217-4103-BE58-9D0E87F0F24F}" type="presParOf" srcId="{064CACF9-342F-4F31-A9D4-74E03D91A843}" destId="{7B08BC9A-60EF-4F50-81CA-4C01F392A13C}" srcOrd="0" destOrd="0" presId="urn:microsoft.com/office/officeart/2005/8/layout/hierarchy2"/>
    <dgm:cxn modelId="{A083AFF4-39F8-4732-96C1-4965F56432DC}" type="presParOf" srcId="{064CACF9-342F-4F31-A9D4-74E03D91A843}" destId="{F4A43824-ABFF-4A11-871D-D300AC9DC653}" srcOrd="1" destOrd="0" presId="urn:microsoft.com/office/officeart/2005/8/layout/hierarchy2"/>
    <dgm:cxn modelId="{99676003-3BB9-483B-B383-C94B7E9973ED}" type="presParOf" srcId="{F4A43824-ABFF-4A11-871D-D300AC9DC653}" destId="{2CA34F35-94AF-4376-A36C-D3060B6AA474}" srcOrd="0" destOrd="0" presId="urn:microsoft.com/office/officeart/2005/8/layout/hierarchy2"/>
    <dgm:cxn modelId="{E1678FF9-71EA-4523-9BBD-09B713C09FAC}" type="presParOf" srcId="{2CA34F35-94AF-4376-A36C-D3060B6AA474}" destId="{B1698EB6-12FC-4E72-AB0E-2E0C6E235D44}" srcOrd="0" destOrd="0" presId="urn:microsoft.com/office/officeart/2005/8/layout/hierarchy2"/>
    <dgm:cxn modelId="{46583122-A25A-4472-AF26-34C9E4AC4083}" type="presParOf" srcId="{F4A43824-ABFF-4A11-871D-D300AC9DC653}" destId="{8D84E277-5E1B-40B8-93D4-23CD88B4FF25}" srcOrd="1" destOrd="0" presId="urn:microsoft.com/office/officeart/2005/8/layout/hierarchy2"/>
    <dgm:cxn modelId="{4BA253BB-F2A1-4BD1-99A4-1A9993E95672}" type="presParOf" srcId="{8D84E277-5E1B-40B8-93D4-23CD88B4FF25}" destId="{F0AE7E35-3F18-45EB-B04F-975B962392F7}" srcOrd="0" destOrd="0" presId="urn:microsoft.com/office/officeart/2005/8/layout/hierarchy2"/>
    <dgm:cxn modelId="{79D7FDAF-8727-48F3-B9D4-3E94A46067A5}" type="presParOf" srcId="{8D84E277-5E1B-40B8-93D4-23CD88B4FF25}" destId="{40958B84-7C83-4418-AD5B-922BB5D2DC09}" srcOrd="1" destOrd="0" presId="urn:microsoft.com/office/officeart/2005/8/layout/hierarchy2"/>
    <dgm:cxn modelId="{D7FAFA6D-4D9A-48F3-9AE7-27FFC13D0EC5}" type="presParOf" srcId="{BB5FDAC8-1701-4D61-A7E2-FC0A33D2FCCB}" destId="{C1F9FE51-24DE-4657-942C-7BD1CAEB48A3}" srcOrd="4" destOrd="0" presId="urn:microsoft.com/office/officeart/2005/8/layout/hierarchy2"/>
    <dgm:cxn modelId="{BA6FAB32-C9B1-4E64-A003-A9267090100F}" type="presParOf" srcId="{C1F9FE51-24DE-4657-942C-7BD1CAEB48A3}" destId="{997E55CA-450A-47D1-8F1B-0D7A75F9FFBF}" srcOrd="0" destOrd="0" presId="urn:microsoft.com/office/officeart/2005/8/layout/hierarchy2"/>
    <dgm:cxn modelId="{3871D5C9-A4CC-4D54-9DCD-EA90082D8D29}" type="presParOf" srcId="{BB5FDAC8-1701-4D61-A7E2-FC0A33D2FCCB}" destId="{DE9137D3-41F1-4AEE-B774-E06F81FE54C8}" srcOrd="5" destOrd="0" presId="urn:microsoft.com/office/officeart/2005/8/layout/hierarchy2"/>
    <dgm:cxn modelId="{68E26101-B52F-4E4D-9A4C-D6C279BD9D9E}" type="presParOf" srcId="{DE9137D3-41F1-4AEE-B774-E06F81FE54C8}" destId="{C93F1079-4D05-4148-B46D-22C5D3C60A8F}" srcOrd="0" destOrd="0" presId="urn:microsoft.com/office/officeart/2005/8/layout/hierarchy2"/>
    <dgm:cxn modelId="{D1500A81-34F1-423F-9B16-3AE9859E4083}" type="presParOf" srcId="{DE9137D3-41F1-4AEE-B774-E06F81FE54C8}" destId="{3AF10DBA-A498-4325-879B-A3970079578A}" srcOrd="1" destOrd="0" presId="urn:microsoft.com/office/officeart/2005/8/layout/hierarchy2"/>
    <dgm:cxn modelId="{FC2A5697-209F-4696-9942-922CCCE2BDE3}" type="presParOf" srcId="{3AF10DBA-A498-4325-879B-A3970079578A}" destId="{671DA1D1-B247-46D1-B94D-252A170ED781}" srcOrd="0" destOrd="0" presId="urn:microsoft.com/office/officeart/2005/8/layout/hierarchy2"/>
    <dgm:cxn modelId="{83E7F7E7-9C81-467E-83E1-DDF77FA1E6A8}" type="presParOf" srcId="{671DA1D1-B247-46D1-B94D-252A170ED781}" destId="{34B472E7-0D1A-46FE-BDF7-A86E1388E6F2}" srcOrd="0" destOrd="0" presId="urn:microsoft.com/office/officeart/2005/8/layout/hierarchy2"/>
    <dgm:cxn modelId="{CFA6F9DC-2CD2-4EDB-9B30-2BC1BC34BABD}" type="presParOf" srcId="{3AF10DBA-A498-4325-879B-A3970079578A}" destId="{98481C02-DC18-43AC-982D-D51DD269D5D1}" srcOrd="1" destOrd="0" presId="urn:microsoft.com/office/officeart/2005/8/layout/hierarchy2"/>
    <dgm:cxn modelId="{97483DF0-7487-442C-A5FA-5A53AFBF7A79}" type="presParOf" srcId="{98481C02-DC18-43AC-982D-D51DD269D5D1}" destId="{9F9FBBE0-8056-40A6-A4A7-B02D75B3C537}" srcOrd="0" destOrd="0" presId="urn:microsoft.com/office/officeart/2005/8/layout/hierarchy2"/>
    <dgm:cxn modelId="{BA61C9B2-C147-4183-A7F9-E678D72751C0}" type="presParOf" srcId="{98481C02-DC18-43AC-982D-D51DD269D5D1}" destId="{7778AAB3-0FC6-477B-BE53-0723154F3BB0}" srcOrd="1" destOrd="0" presId="urn:microsoft.com/office/officeart/2005/8/layout/hierarchy2"/>
  </dgm:cxnLst>
  <dgm:bg/>
  <dgm:whole>
    <a:ln w="9525">
      <a:solidFill>
        <a:schemeClr val="tx1"/>
      </a:solidFill>
    </a:ln>
  </dgm:whole>
  <dgm:extLst>
    <a:ext uri="http://schemas.microsoft.com/office/drawing/2008/diagram">
      <dsp:dataModelExt xmlns:dsp="http://schemas.microsoft.com/office/drawing/2008/diagram" relId="rId11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2D25109C-4E3B-4F3B-8FE7-666DBF2D0DCF}" type="doc">
      <dgm:prSet loTypeId="urn:microsoft.com/office/officeart/2005/8/layout/pList1" loCatId="list" qsTypeId="urn:microsoft.com/office/officeart/2005/8/quickstyle/simple1" qsCatId="simple" csTypeId="urn:microsoft.com/office/officeart/2005/8/colors/accent1_2" csCatId="accent1" phldr="1"/>
      <dgm:spPr/>
      <dgm:t>
        <a:bodyPr/>
        <a:lstStyle/>
        <a:p>
          <a:endParaRPr lang="fr-FR"/>
        </a:p>
      </dgm:t>
    </dgm:pt>
    <dgm:pt modelId="{AE188C8D-B5F9-4B7F-8C4B-AB0952C2359B}">
      <dgm:prSet phldrT="[Texte]" custT="1"/>
      <dgm:spPr/>
      <dgm:t>
        <a:bodyPr/>
        <a:lstStyle/>
        <a:p>
          <a:pPr rtl="1"/>
          <a:r>
            <a:rPr lang="ar-DZ" sz="1100">
              <a:latin typeface="Simplified Arabic" panose="02020603050405020304" pitchFamily="18" charset="-78"/>
              <a:cs typeface="Simplified Arabic" panose="02020603050405020304" pitchFamily="18" charset="-78"/>
            </a:rPr>
            <a:t>متوسط الأضرار السنوية التي لحقت بالممتلكات بسبب الكوارث الطبيعية خلال السنوات العشر الماضية</a:t>
          </a:r>
          <a:endParaRPr lang="fr-FR" sz="1100">
            <a:latin typeface="Simplified Arabic" panose="02020603050405020304" pitchFamily="18" charset="-78"/>
            <a:cs typeface="Simplified Arabic" panose="02020603050405020304" pitchFamily="18" charset="-78"/>
          </a:endParaRPr>
        </a:p>
      </dgm:t>
    </dgm:pt>
    <dgm:pt modelId="{E10FC464-4226-4B79-9E10-68BD2FE3F56C}" type="parTrans" cxnId="{B27E1606-61CC-45CC-BBA5-AE113771D14D}">
      <dgm:prSet/>
      <dgm:spPr/>
      <dgm:t>
        <a:bodyPr/>
        <a:lstStyle/>
        <a:p>
          <a:endParaRPr lang="fr-FR"/>
        </a:p>
      </dgm:t>
    </dgm:pt>
    <dgm:pt modelId="{4D8F8A3E-329B-4EB5-BA29-79098EDBDF95}" type="sibTrans" cxnId="{B27E1606-61CC-45CC-BBA5-AE113771D14D}">
      <dgm:prSet/>
      <dgm:spPr/>
      <dgm:t>
        <a:bodyPr/>
        <a:lstStyle/>
        <a:p>
          <a:endParaRPr lang="fr-FR"/>
        </a:p>
      </dgm:t>
    </dgm:pt>
    <dgm:pt modelId="{84785458-8800-437A-9C7E-6F82D33DFD14}">
      <dgm:prSet phldrT="[Texte]" custT="1"/>
      <dgm:spPr/>
      <dgm:t>
        <a:bodyPr/>
        <a:lstStyle/>
        <a:p>
          <a:r>
            <a:rPr lang="ar-DZ" sz="1100">
              <a:latin typeface="Simplified Arabic" panose="02020603050405020304" pitchFamily="18" charset="-78"/>
              <a:cs typeface="Simplified Arabic" panose="02020603050405020304" pitchFamily="18" charset="-78"/>
            </a:rPr>
            <a:t>معدل الجريمة لكل 100000 نسمة بعد حلقة الاضطرابات الاجتماعية</a:t>
          </a:r>
          <a:endParaRPr lang="fr-FR" sz="1100"/>
        </a:p>
      </dgm:t>
    </dgm:pt>
    <dgm:pt modelId="{14728F13-298A-44B2-A1C3-605A876C73C7}" type="parTrans" cxnId="{72EAC68E-AA94-4454-8AC2-EADE803CDD48}">
      <dgm:prSet/>
      <dgm:spPr/>
      <dgm:t>
        <a:bodyPr/>
        <a:lstStyle/>
        <a:p>
          <a:endParaRPr lang="fr-FR"/>
        </a:p>
      </dgm:t>
    </dgm:pt>
    <dgm:pt modelId="{9059308E-E5CB-4830-AF44-3EF301D8BF21}" type="sibTrans" cxnId="{72EAC68E-AA94-4454-8AC2-EADE803CDD48}">
      <dgm:prSet/>
      <dgm:spPr/>
      <dgm:t>
        <a:bodyPr/>
        <a:lstStyle/>
        <a:p>
          <a:endParaRPr lang="fr-FR"/>
        </a:p>
      </dgm:t>
    </dgm:pt>
    <dgm:pt modelId="{5DEAB889-45F7-4E56-8CE9-B205D1E66EDB}">
      <dgm:prSet phldrT="[Texte]" custT="1"/>
      <dgm:spPr/>
      <dgm:t>
        <a:bodyPr/>
        <a:lstStyle/>
        <a:p>
          <a:r>
            <a:rPr lang="ar-DZ" sz="1100">
              <a:latin typeface="Simplified Arabic" panose="02020603050405020304" pitchFamily="18" charset="-78"/>
              <a:cs typeface="Simplified Arabic" panose="02020603050405020304" pitchFamily="18" charset="-78"/>
            </a:rPr>
            <a:t>عدد الأشخاص الذين ليس لديهم مأوى مناسب أثناء الإخلاء الإلزامي</a:t>
          </a:r>
          <a:endParaRPr lang="fr-FR" sz="1100">
            <a:latin typeface="Simplified Arabic" panose="02020603050405020304" pitchFamily="18" charset="-78"/>
            <a:cs typeface="Simplified Arabic" panose="02020603050405020304" pitchFamily="18" charset="-78"/>
          </a:endParaRPr>
        </a:p>
      </dgm:t>
    </dgm:pt>
    <dgm:pt modelId="{C3DD7AC3-D2AC-4188-A4C4-79D894683033}" type="parTrans" cxnId="{2300194A-0926-410D-88D8-223DD91117CA}">
      <dgm:prSet/>
      <dgm:spPr/>
      <dgm:t>
        <a:bodyPr/>
        <a:lstStyle/>
        <a:p>
          <a:endParaRPr lang="fr-FR"/>
        </a:p>
      </dgm:t>
    </dgm:pt>
    <dgm:pt modelId="{0D1279D7-7BF0-4ECA-A1A7-E3940FFA49BF}" type="sibTrans" cxnId="{2300194A-0926-410D-88D8-223DD91117CA}">
      <dgm:prSet/>
      <dgm:spPr/>
      <dgm:t>
        <a:bodyPr/>
        <a:lstStyle/>
        <a:p>
          <a:endParaRPr lang="fr-FR"/>
        </a:p>
      </dgm:t>
    </dgm:pt>
    <dgm:pt modelId="{2D245974-69DF-48B5-8811-B29D76F4DACC}">
      <dgm:prSet phldrT="[Texte]" custT="1"/>
      <dgm:spPr/>
      <dgm:t>
        <a:bodyPr/>
        <a:lstStyle/>
        <a:p>
          <a:pPr rtl="1"/>
          <a:r>
            <a:rPr lang="ar-DZ" sz="1100">
              <a:latin typeface="Simplified Arabic" panose="02020603050405020304" pitchFamily="18" charset="-78"/>
              <a:cs typeface="Simplified Arabic" panose="02020603050405020304" pitchFamily="18" charset="-78"/>
            </a:rPr>
            <a:t>متوسط مدة البطالة خلال الأزمة الاقتصادية</a:t>
          </a:r>
          <a:endParaRPr lang="fr-FR" sz="1100">
            <a:latin typeface="Simplified Arabic" panose="02020603050405020304" pitchFamily="18" charset="-78"/>
            <a:cs typeface="Simplified Arabic" panose="02020603050405020304" pitchFamily="18" charset="-78"/>
          </a:endParaRPr>
        </a:p>
      </dgm:t>
    </dgm:pt>
    <dgm:pt modelId="{FBECA393-B273-43B9-8282-D714C71DCA68}" type="sibTrans" cxnId="{0D54EB03-9121-4581-AFB0-5BD81597CE3F}">
      <dgm:prSet/>
      <dgm:spPr/>
      <dgm:t>
        <a:bodyPr/>
        <a:lstStyle/>
        <a:p>
          <a:endParaRPr lang="fr-FR"/>
        </a:p>
      </dgm:t>
    </dgm:pt>
    <dgm:pt modelId="{E8610EFF-F75F-4B86-A7C8-457C2D0C752F}" type="parTrans" cxnId="{0D54EB03-9121-4581-AFB0-5BD81597CE3F}">
      <dgm:prSet/>
      <dgm:spPr/>
      <dgm:t>
        <a:bodyPr/>
        <a:lstStyle/>
        <a:p>
          <a:endParaRPr lang="fr-FR"/>
        </a:p>
      </dgm:t>
    </dgm:pt>
    <dgm:pt modelId="{B45C3A18-A672-4BCB-9084-A49CC43949FC}" type="pres">
      <dgm:prSet presAssocID="{2D25109C-4E3B-4F3B-8FE7-666DBF2D0DCF}" presName="Name0" presStyleCnt="0">
        <dgm:presLayoutVars>
          <dgm:dir/>
          <dgm:resizeHandles val="exact"/>
        </dgm:presLayoutVars>
      </dgm:prSet>
      <dgm:spPr/>
      <dgm:t>
        <a:bodyPr/>
        <a:lstStyle/>
        <a:p>
          <a:endParaRPr lang="fr-FR"/>
        </a:p>
      </dgm:t>
    </dgm:pt>
    <dgm:pt modelId="{60175CC2-D79C-4361-888A-77843352C74D}" type="pres">
      <dgm:prSet presAssocID="{AE188C8D-B5F9-4B7F-8C4B-AB0952C2359B}" presName="compNode" presStyleCnt="0"/>
      <dgm:spPr/>
    </dgm:pt>
    <dgm:pt modelId="{E665B313-44D7-470F-AAE1-AE21AFAAF1F1}" type="pres">
      <dgm:prSet presAssocID="{AE188C8D-B5F9-4B7F-8C4B-AB0952C2359B}" presName="pictRect" presStyleLbl="node1" presStyleIdx="0" presStyleCnt="4" custScaleX="320442" custScaleY="194873" custLinFactNeighborX="-4717" custLinFactNeighborY="24153"/>
      <dgm:spPr>
        <a:solidFill>
          <a:schemeClr val="tx2">
            <a:lumMod val="20000"/>
            <a:lumOff val="80000"/>
          </a:schemeClr>
        </a:solidFill>
      </dgm:spPr>
    </dgm:pt>
    <dgm:pt modelId="{8F78DD1E-2FC2-4A79-9778-63B117AEE955}" type="pres">
      <dgm:prSet presAssocID="{AE188C8D-B5F9-4B7F-8C4B-AB0952C2359B}" presName="textRect" presStyleLbl="revTx" presStyleIdx="0" presStyleCnt="4" custScaleX="333383" custScaleY="328024" custLinFactY="-24630" custLinFactNeighborX="1754" custLinFactNeighborY="-100000">
        <dgm:presLayoutVars>
          <dgm:bulletEnabled val="1"/>
        </dgm:presLayoutVars>
      </dgm:prSet>
      <dgm:spPr/>
      <dgm:t>
        <a:bodyPr/>
        <a:lstStyle/>
        <a:p>
          <a:endParaRPr lang="fr-FR"/>
        </a:p>
      </dgm:t>
    </dgm:pt>
    <dgm:pt modelId="{7EC20620-1E3A-40A8-9434-42B7B659AE46}" type="pres">
      <dgm:prSet presAssocID="{4D8F8A3E-329B-4EB5-BA29-79098EDBDF95}" presName="sibTrans" presStyleLbl="sibTrans2D1" presStyleIdx="0" presStyleCnt="0"/>
      <dgm:spPr/>
      <dgm:t>
        <a:bodyPr/>
        <a:lstStyle/>
        <a:p>
          <a:endParaRPr lang="fr-FR"/>
        </a:p>
      </dgm:t>
    </dgm:pt>
    <dgm:pt modelId="{70EAF03B-4E60-46C8-AE4E-75FF999ECBE0}" type="pres">
      <dgm:prSet presAssocID="{2D245974-69DF-48B5-8811-B29D76F4DACC}" presName="compNode" presStyleCnt="0"/>
      <dgm:spPr/>
    </dgm:pt>
    <dgm:pt modelId="{9B9DE85D-F946-4566-89B9-0CF920C1C291}" type="pres">
      <dgm:prSet presAssocID="{2D245974-69DF-48B5-8811-B29D76F4DACC}" presName="pictRect" presStyleLbl="node1" presStyleIdx="1" presStyleCnt="4" custScaleX="268190" custScaleY="194873" custLinFactNeighborX="-20" custLinFactNeighborY="1646"/>
      <dgm:spPr>
        <a:solidFill>
          <a:schemeClr val="tx2">
            <a:lumMod val="20000"/>
            <a:lumOff val="80000"/>
          </a:schemeClr>
        </a:solidFill>
      </dgm:spPr>
    </dgm:pt>
    <dgm:pt modelId="{97A60E26-51A4-4311-8D64-371507C0E3C7}" type="pres">
      <dgm:prSet presAssocID="{2D245974-69DF-48B5-8811-B29D76F4DACC}" presName="textRect" presStyleLbl="revTx" presStyleIdx="1" presStyleCnt="4" custScaleX="233366" custScaleY="239635" custLinFactY="-42498" custLinFactNeighborX="5698" custLinFactNeighborY="-100000">
        <dgm:presLayoutVars>
          <dgm:bulletEnabled val="1"/>
        </dgm:presLayoutVars>
      </dgm:prSet>
      <dgm:spPr/>
      <dgm:t>
        <a:bodyPr/>
        <a:lstStyle/>
        <a:p>
          <a:endParaRPr lang="fr-FR"/>
        </a:p>
      </dgm:t>
    </dgm:pt>
    <dgm:pt modelId="{54056B4A-9129-4019-9C9F-CD8DF7EEB8A8}" type="pres">
      <dgm:prSet presAssocID="{FBECA393-B273-43B9-8282-D714C71DCA68}" presName="sibTrans" presStyleLbl="sibTrans2D1" presStyleIdx="0" presStyleCnt="0"/>
      <dgm:spPr/>
      <dgm:t>
        <a:bodyPr/>
        <a:lstStyle/>
        <a:p>
          <a:endParaRPr lang="fr-FR"/>
        </a:p>
      </dgm:t>
    </dgm:pt>
    <dgm:pt modelId="{9762821E-EFF9-47ED-8760-2AAC01914441}" type="pres">
      <dgm:prSet presAssocID="{84785458-8800-437A-9C7E-6F82D33DFD14}" presName="compNode" presStyleCnt="0"/>
      <dgm:spPr/>
    </dgm:pt>
    <dgm:pt modelId="{111FF6F5-634B-49B7-A10F-3685FF89E74F}" type="pres">
      <dgm:prSet presAssocID="{84785458-8800-437A-9C7E-6F82D33DFD14}" presName="pictRect" presStyleLbl="node1" presStyleIdx="2" presStyleCnt="4" custScaleX="264609" custScaleY="194872" custLinFactX="126863" custLinFactNeighborX="200000" custLinFactNeighborY="-42986"/>
      <dgm:spPr>
        <a:solidFill>
          <a:schemeClr val="tx2">
            <a:lumMod val="20000"/>
            <a:lumOff val="80000"/>
          </a:schemeClr>
        </a:solidFill>
        <a:ln>
          <a:solidFill>
            <a:schemeClr val="bg1"/>
          </a:solidFill>
        </a:ln>
      </dgm:spPr>
    </dgm:pt>
    <dgm:pt modelId="{216878CC-F41E-4306-B7F4-450B87F31CEE}" type="pres">
      <dgm:prSet presAssocID="{84785458-8800-437A-9C7E-6F82D33DFD14}" presName="textRect" presStyleLbl="revTx" presStyleIdx="2" presStyleCnt="4" custScaleX="259974" custScaleY="296027" custLinFactX="119373" custLinFactY="-100000" custLinFactNeighborX="200000" custLinFactNeighborY="-155796">
        <dgm:presLayoutVars>
          <dgm:bulletEnabled val="1"/>
        </dgm:presLayoutVars>
      </dgm:prSet>
      <dgm:spPr/>
      <dgm:t>
        <a:bodyPr/>
        <a:lstStyle/>
        <a:p>
          <a:endParaRPr lang="fr-FR"/>
        </a:p>
      </dgm:t>
    </dgm:pt>
    <dgm:pt modelId="{C3EBE5FA-FB9F-41B7-AD68-EA5A05E6AD0C}" type="pres">
      <dgm:prSet presAssocID="{9059308E-E5CB-4830-AF44-3EF301D8BF21}" presName="sibTrans" presStyleLbl="sibTrans2D1" presStyleIdx="0" presStyleCnt="0"/>
      <dgm:spPr/>
      <dgm:t>
        <a:bodyPr/>
        <a:lstStyle/>
        <a:p>
          <a:endParaRPr lang="fr-FR"/>
        </a:p>
      </dgm:t>
    </dgm:pt>
    <dgm:pt modelId="{88A8C0BB-7C37-4EF1-A6D4-7580A268BDAB}" type="pres">
      <dgm:prSet presAssocID="{5DEAB889-45F7-4E56-8CE9-B205D1E66EDB}" presName="compNode" presStyleCnt="0"/>
      <dgm:spPr/>
    </dgm:pt>
    <dgm:pt modelId="{2DE13BC0-527A-4D1C-9DD5-EF59826CE17D}" type="pres">
      <dgm:prSet presAssocID="{5DEAB889-45F7-4E56-8CE9-B205D1E66EDB}" presName="pictRect" presStyleLbl="node1" presStyleIdx="3" presStyleCnt="4" custScaleX="322432" custScaleY="194872" custLinFactX="-100000" custLinFactNeighborX="-180125" custLinFactNeighborY="-39401"/>
      <dgm:spPr>
        <a:solidFill>
          <a:schemeClr val="tx2">
            <a:lumMod val="20000"/>
            <a:lumOff val="80000"/>
          </a:schemeClr>
        </a:solidFill>
        <a:ln>
          <a:solidFill>
            <a:schemeClr val="bg1"/>
          </a:solidFill>
        </a:ln>
      </dgm:spPr>
    </dgm:pt>
    <dgm:pt modelId="{660D9037-4A62-4D82-8C43-0DEDFC833784}" type="pres">
      <dgm:prSet presAssocID="{5DEAB889-45F7-4E56-8CE9-B205D1E66EDB}" presName="textRect" presStyleLbl="revTx" presStyleIdx="3" presStyleCnt="4" custScaleX="320288" custScaleY="294254" custLinFactX="-100000" custLinFactY="-100000" custLinFactNeighborX="-177050" custLinFactNeighborY="-126364">
        <dgm:presLayoutVars>
          <dgm:bulletEnabled val="1"/>
        </dgm:presLayoutVars>
      </dgm:prSet>
      <dgm:spPr/>
      <dgm:t>
        <a:bodyPr/>
        <a:lstStyle/>
        <a:p>
          <a:endParaRPr lang="fr-FR"/>
        </a:p>
      </dgm:t>
    </dgm:pt>
  </dgm:ptLst>
  <dgm:cxnLst>
    <dgm:cxn modelId="{EE7406F8-A9FB-4521-86EE-478BE075265A}" type="presOf" srcId="{2D245974-69DF-48B5-8811-B29D76F4DACC}" destId="{97A60E26-51A4-4311-8D64-371507C0E3C7}" srcOrd="0" destOrd="0" presId="urn:microsoft.com/office/officeart/2005/8/layout/pList1"/>
    <dgm:cxn modelId="{2E90A6D3-1EDB-4BBB-AE00-D8E0E52A4703}" type="presOf" srcId="{9059308E-E5CB-4830-AF44-3EF301D8BF21}" destId="{C3EBE5FA-FB9F-41B7-AD68-EA5A05E6AD0C}" srcOrd="0" destOrd="0" presId="urn:microsoft.com/office/officeart/2005/8/layout/pList1"/>
    <dgm:cxn modelId="{2300194A-0926-410D-88D8-223DD91117CA}" srcId="{2D25109C-4E3B-4F3B-8FE7-666DBF2D0DCF}" destId="{5DEAB889-45F7-4E56-8CE9-B205D1E66EDB}" srcOrd="3" destOrd="0" parTransId="{C3DD7AC3-D2AC-4188-A4C4-79D894683033}" sibTransId="{0D1279D7-7BF0-4ECA-A1A7-E3940FFA49BF}"/>
    <dgm:cxn modelId="{55FD65AF-6741-4FE2-A775-83BE2089DCD1}" type="presOf" srcId="{84785458-8800-437A-9C7E-6F82D33DFD14}" destId="{216878CC-F41E-4306-B7F4-450B87F31CEE}" srcOrd="0" destOrd="0" presId="urn:microsoft.com/office/officeart/2005/8/layout/pList1"/>
    <dgm:cxn modelId="{3DE87108-7E85-4B8F-A88C-7CD8E1C8DD60}" type="presOf" srcId="{AE188C8D-B5F9-4B7F-8C4B-AB0952C2359B}" destId="{8F78DD1E-2FC2-4A79-9778-63B117AEE955}" srcOrd="0" destOrd="0" presId="urn:microsoft.com/office/officeart/2005/8/layout/pList1"/>
    <dgm:cxn modelId="{C1991C0D-CB9D-4581-B594-F75D160ADB4C}" type="presOf" srcId="{4D8F8A3E-329B-4EB5-BA29-79098EDBDF95}" destId="{7EC20620-1E3A-40A8-9434-42B7B659AE46}" srcOrd="0" destOrd="0" presId="urn:microsoft.com/office/officeart/2005/8/layout/pList1"/>
    <dgm:cxn modelId="{0D54EB03-9121-4581-AFB0-5BD81597CE3F}" srcId="{2D25109C-4E3B-4F3B-8FE7-666DBF2D0DCF}" destId="{2D245974-69DF-48B5-8811-B29D76F4DACC}" srcOrd="1" destOrd="0" parTransId="{E8610EFF-F75F-4B86-A7C8-457C2D0C752F}" sibTransId="{FBECA393-B273-43B9-8282-D714C71DCA68}"/>
    <dgm:cxn modelId="{72EAC68E-AA94-4454-8AC2-EADE803CDD48}" srcId="{2D25109C-4E3B-4F3B-8FE7-666DBF2D0DCF}" destId="{84785458-8800-437A-9C7E-6F82D33DFD14}" srcOrd="2" destOrd="0" parTransId="{14728F13-298A-44B2-A1C3-605A876C73C7}" sibTransId="{9059308E-E5CB-4830-AF44-3EF301D8BF21}"/>
    <dgm:cxn modelId="{1194C73A-3C8F-4C27-AD94-4BF750F67026}" type="presOf" srcId="{5DEAB889-45F7-4E56-8CE9-B205D1E66EDB}" destId="{660D9037-4A62-4D82-8C43-0DEDFC833784}" srcOrd="0" destOrd="0" presId="urn:microsoft.com/office/officeart/2005/8/layout/pList1"/>
    <dgm:cxn modelId="{B27E1606-61CC-45CC-BBA5-AE113771D14D}" srcId="{2D25109C-4E3B-4F3B-8FE7-666DBF2D0DCF}" destId="{AE188C8D-B5F9-4B7F-8C4B-AB0952C2359B}" srcOrd="0" destOrd="0" parTransId="{E10FC464-4226-4B79-9E10-68BD2FE3F56C}" sibTransId="{4D8F8A3E-329B-4EB5-BA29-79098EDBDF95}"/>
    <dgm:cxn modelId="{FBFF618D-1543-4061-8FB1-A3B24E4F5865}" type="presOf" srcId="{FBECA393-B273-43B9-8282-D714C71DCA68}" destId="{54056B4A-9129-4019-9C9F-CD8DF7EEB8A8}" srcOrd="0" destOrd="0" presId="urn:microsoft.com/office/officeart/2005/8/layout/pList1"/>
    <dgm:cxn modelId="{48824334-67B7-4E5D-9B30-06BEE6CCC801}" type="presOf" srcId="{2D25109C-4E3B-4F3B-8FE7-666DBF2D0DCF}" destId="{B45C3A18-A672-4BCB-9084-A49CC43949FC}" srcOrd="0" destOrd="0" presId="urn:microsoft.com/office/officeart/2005/8/layout/pList1"/>
    <dgm:cxn modelId="{B40A80F1-193E-4682-9439-5D71CD244DF5}" type="presParOf" srcId="{B45C3A18-A672-4BCB-9084-A49CC43949FC}" destId="{60175CC2-D79C-4361-888A-77843352C74D}" srcOrd="0" destOrd="0" presId="urn:microsoft.com/office/officeart/2005/8/layout/pList1"/>
    <dgm:cxn modelId="{677294FA-54AF-488C-BA56-7BB454E70256}" type="presParOf" srcId="{60175CC2-D79C-4361-888A-77843352C74D}" destId="{E665B313-44D7-470F-AAE1-AE21AFAAF1F1}" srcOrd="0" destOrd="0" presId="urn:microsoft.com/office/officeart/2005/8/layout/pList1"/>
    <dgm:cxn modelId="{B7C78362-8466-4E61-81E9-22A9359ADA14}" type="presParOf" srcId="{60175CC2-D79C-4361-888A-77843352C74D}" destId="{8F78DD1E-2FC2-4A79-9778-63B117AEE955}" srcOrd="1" destOrd="0" presId="urn:microsoft.com/office/officeart/2005/8/layout/pList1"/>
    <dgm:cxn modelId="{EB2629EB-F3E5-4EAD-A921-3DCBAB0FB591}" type="presParOf" srcId="{B45C3A18-A672-4BCB-9084-A49CC43949FC}" destId="{7EC20620-1E3A-40A8-9434-42B7B659AE46}" srcOrd="1" destOrd="0" presId="urn:microsoft.com/office/officeart/2005/8/layout/pList1"/>
    <dgm:cxn modelId="{D2ED699F-A494-4AF5-A6FA-398B753A4092}" type="presParOf" srcId="{B45C3A18-A672-4BCB-9084-A49CC43949FC}" destId="{70EAF03B-4E60-46C8-AE4E-75FF999ECBE0}" srcOrd="2" destOrd="0" presId="urn:microsoft.com/office/officeart/2005/8/layout/pList1"/>
    <dgm:cxn modelId="{2BA037C1-D918-47A8-BA42-08D6B036574F}" type="presParOf" srcId="{70EAF03B-4E60-46C8-AE4E-75FF999ECBE0}" destId="{9B9DE85D-F946-4566-89B9-0CF920C1C291}" srcOrd="0" destOrd="0" presId="urn:microsoft.com/office/officeart/2005/8/layout/pList1"/>
    <dgm:cxn modelId="{7D4CAD39-BF3E-4581-AB76-87059117C70A}" type="presParOf" srcId="{70EAF03B-4E60-46C8-AE4E-75FF999ECBE0}" destId="{97A60E26-51A4-4311-8D64-371507C0E3C7}" srcOrd="1" destOrd="0" presId="urn:microsoft.com/office/officeart/2005/8/layout/pList1"/>
    <dgm:cxn modelId="{8B65B707-ADB9-44F6-9995-3AE3198158B5}" type="presParOf" srcId="{B45C3A18-A672-4BCB-9084-A49CC43949FC}" destId="{54056B4A-9129-4019-9C9F-CD8DF7EEB8A8}" srcOrd="3" destOrd="0" presId="urn:microsoft.com/office/officeart/2005/8/layout/pList1"/>
    <dgm:cxn modelId="{D0D9EA48-975F-4292-A8AC-60582D9AD838}" type="presParOf" srcId="{B45C3A18-A672-4BCB-9084-A49CC43949FC}" destId="{9762821E-EFF9-47ED-8760-2AAC01914441}" srcOrd="4" destOrd="0" presId="urn:microsoft.com/office/officeart/2005/8/layout/pList1"/>
    <dgm:cxn modelId="{68A08F7A-3FEF-46EF-934B-CAD91124AFE4}" type="presParOf" srcId="{9762821E-EFF9-47ED-8760-2AAC01914441}" destId="{111FF6F5-634B-49B7-A10F-3685FF89E74F}" srcOrd="0" destOrd="0" presId="urn:microsoft.com/office/officeart/2005/8/layout/pList1"/>
    <dgm:cxn modelId="{791933A4-46CB-4F5E-B864-B58803B54043}" type="presParOf" srcId="{9762821E-EFF9-47ED-8760-2AAC01914441}" destId="{216878CC-F41E-4306-B7F4-450B87F31CEE}" srcOrd="1" destOrd="0" presId="urn:microsoft.com/office/officeart/2005/8/layout/pList1"/>
    <dgm:cxn modelId="{8085BC37-351C-42DC-94AD-798740764B62}" type="presParOf" srcId="{B45C3A18-A672-4BCB-9084-A49CC43949FC}" destId="{C3EBE5FA-FB9F-41B7-AD68-EA5A05E6AD0C}" srcOrd="5" destOrd="0" presId="urn:microsoft.com/office/officeart/2005/8/layout/pList1"/>
    <dgm:cxn modelId="{D373F863-E9B9-4777-8022-603470C69434}" type="presParOf" srcId="{B45C3A18-A672-4BCB-9084-A49CC43949FC}" destId="{88A8C0BB-7C37-4EF1-A6D4-7580A268BDAB}" srcOrd="6" destOrd="0" presId="urn:microsoft.com/office/officeart/2005/8/layout/pList1"/>
    <dgm:cxn modelId="{0E05C590-EB5C-4C9F-9C51-6EE740AA30CB}" type="presParOf" srcId="{88A8C0BB-7C37-4EF1-A6D4-7580A268BDAB}" destId="{2DE13BC0-527A-4D1C-9DD5-EF59826CE17D}" srcOrd="0" destOrd="0" presId="urn:microsoft.com/office/officeart/2005/8/layout/pList1"/>
    <dgm:cxn modelId="{000706C8-4E38-4841-A342-85096DBDFC20}" type="presParOf" srcId="{88A8C0BB-7C37-4EF1-A6D4-7580A268BDAB}" destId="{660D9037-4A62-4D82-8C43-0DEDFC833784}" srcOrd="1" destOrd="0" presId="urn:microsoft.com/office/officeart/2005/8/layout/pList1"/>
  </dgm:cxnLst>
  <dgm:bg/>
  <dgm:whole>
    <a:ln>
      <a:solidFill>
        <a:schemeClr val="tx1"/>
      </a:solidFill>
    </a:ln>
  </dgm:whole>
  <dgm:extLst>
    <a:ext uri="http://schemas.microsoft.com/office/drawing/2008/diagram">
      <dsp:dataModelExt xmlns:dsp="http://schemas.microsoft.com/office/drawing/2008/diagram" relId="rId1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355484-AF17-4844-A6B1-0C317E110583}">
      <dsp:nvSpPr>
        <dsp:cNvPr id="0" name=""/>
        <dsp:cNvSpPr/>
      </dsp:nvSpPr>
      <dsp:spPr>
        <a:xfrm>
          <a:off x="3412756" y="1009389"/>
          <a:ext cx="903738" cy="490606"/>
        </a:xfrm>
        <a:prstGeom prst="roundRect">
          <a:avLst>
            <a:gd name="adj" fmla="val 10000"/>
          </a:avLst>
        </a:prstGeom>
        <a:solidFill>
          <a:schemeClr val="bg1">
            <a:lumMod val="75000"/>
          </a:schemeClr>
        </a:solidFill>
        <a:ln w="635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SA" sz="1200" b="1" kern="1200">
              <a:latin typeface="Simplified Arabic" panose="02020603050405020304" pitchFamily="18" charset="-78"/>
              <a:cs typeface="Simplified Arabic" panose="02020603050405020304" pitchFamily="18" charset="-78"/>
            </a:rPr>
            <a:t>استعمال</a:t>
          </a:r>
          <a:r>
            <a:rPr lang="ar-DZ" sz="1200" b="1" kern="1200">
              <a:latin typeface="Simplified Arabic" panose="02020603050405020304" pitchFamily="18" charset="-78"/>
              <a:cs typeface="Simplified Arabic" panose="02020603050405020304" pitchFamily="18" charset="-78"/>
            </a:rPr>
            <a:t> الارض الحضرية</a:t>
          </a:r>
          <a:endParaRPr lang="fr-FR" sz="1200" b="1" kern="1200">
            <a:latin typeface="Simplified Arabic" panose="02020603050405020304" pitchFamily="18" charset="-78"/>
            <a:cs typeface="Simplified Arabic" panose="02020603050405020304" pitchFamily="18" charset="-78"/>
          </a:endParaRPr>
        </a:p>
      </dsp:txBody>
      <dsp:txXfrm>
        <a:off x="3427125" y="1023758"/>
        <a:ext cx="875000" cy="461868"/>
      </dsp:txXfrm>
    </dsp:sp>
    <dsp:sp modelId="{FA830038-ECBB-4B0B-85F4-B64ADF0F6454}">
      <dsp:nvSpPr>
        <dsp:cNvPr id="0" name=""/>
        <dsp:cNvSpPr/>
      </dsp:nvSpPr>
      <dsp:spPr>
        <a:xfrm rot="13715662">
          <a:off x="2778000" y="941303"/>
          <a:ext cx="764127" cy="53648"/>
        </a:xfrm>
        <a:custGeom>
          <a:avLst/>
          <a:gdLst/>
          <a:ahLst/>
          <a:cxnLst/>
          <a:rect l="0" t="0" r="0" b="0"/>
          <a:pathLst>
            <a:path>
              <a:moveTo>
                <a:pt x="0" y="26824"/>
              </a:moveTo>
              <a:lnTo>
                <a:pt x="327142" y="26824"/>
              </a:lnTo>
            </a:path>
            <a:path>
              <a:moveTo>
                <a:pt x="436985" y="26824"/>
              </a:moveTo>
              <a:lnTo>
                <a:pt x="764127" y="268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1</a:t>
          </a:r>
          <a:endParaRPr lang="fr-FR" sz="1200" kern="1200">
            <a:latin typeface="Simplified Arabic" panose="02020603050405020304" pitchFamily="18" charset="-78"/>
            <a:cs typeface="Simplified Arabic" panose="02020603050405020304" pitchFamily="18" charset="-78"/>
          </a:endParaRPr>
        </a:p>
      </dsp:txBody>
      <dsp:txXfrm rot="10800000">
        <a:off x="3105142" y="872611"/>
        <a:ext cx="109843" cy="191031"/>
      </dsp:txXfrm>
    </dsp:sp>
    <dsp:sp modelId="{CE33F3E1-5E79-4949-A3D4-32C08CB35F86}">
      <dsp:nvSpPr>
        <dsp:cNvPr id="0" name=""/>
        <dsp:cNvSpPr/>
      </dsp:nvSpPr>
      <dsp:spPr>
        <a:xfrm>
          <a:off x="1662323" y="433357"/>
          <a:ext cx="1245049" cy="496409"/>
        </a:xfrm>
        <a:prstGeom prst="roundRect">
          <a:avLst>
            <a:gd name="adj" fmla="val 10000"/>
          </a:avLst>
        </a:prstGeom>
        <a:solidFill>
          <a:schemeClr val="bg1">
            <a:lumMod val="75000"/>
          </a:schemeClr>
        </a:solidFill>
        <a:ln w="2540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SA" sz="1200" kern="1200">
              <a:latin typeface="Simplified Arabic" panose="02020603050405020304" pitchFamily="18" charset="-78"/>
              <a:cs typeface="Simplified Arabic" panose="02020603050405020304" pitchFamily="18" charset="-78"/>
            </a:rPr>
            <a:t>تحديد المناطق الحضرية</a:t>
          </a:r>
          <a:endParaRPr lang="fr-FR" sz="1200" kern="1200">
            <a:latin typeface="Simplified Arabic" panose="02020603050405020304" pitchFamily="18" charset="-78"/>
            <a:cs typeface="Simplified Arabic" panose="02020603050405020304" pitchFamily="18" charset="-78"/>
          </a:endParaRPr>
        </a:p>
      </dsp:txBody>
      <dsp:txXfrm>
        <a:off x="1676862" y="447896"/>
        <a:ext cx="1215971" cy="467331"/>
      </dsp:txXfrm>
    </dsp:sp>
    <dsp:sp modelId="{4446F773-3F8A-485A-A018-DA5C1039261D}">
      <dsp:nvSpPr>
        <dsp:cNvPr id="0" name=""/>
        <dsp:cNvSpPr/>
      </dsp:nvSpPr>
      <dsp:spPr>
        <a:xfrm rot="12466816">
          <a:off x="1159880" y="530487"/>
          <a:ext cx="533168" cy="53648"/>
        </a:xfrm>
        <a:custGeom>
          <a:avLst/>
          <a:gdLst/>
          <a:ahLst/>
          <a:cxnLst/>
          <a:rect l="0" t="0" r="0" b="0"/>
          <a:pathLst>
            <a:path>
              <a:moveTo>
                <a:pt x="0" y="26824"/>
              </a:moveTo>
              <a:lnTo>
                <a:pt x="533168" y="2682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fr-FR" sz="500" kern="1200"/>
        </a:p>
      </dsp:txBody>
      <dsp:txXfrm rot="10800000">
        <a:off x="1413135" y="543982"/>
        <a:ext cx="26658" cy="26658"/>
      </dsp:txXfrm>
    </dsp:sp>
    <dsp:sp modelId="{826E675F-B2F0-402F-9443-E2F3CC14710D}">
      <dsp:nvSpPr>
        <dsp:cNvPr id="0" name=""/>
        <dsp:cNvSpPr/>
      </dsp:nvSpPr>
      <dsp:spPr>
        <a:xfrm>
          <a:off x="79002" y="166265"/>
          <a:ext cx="1111604" cy="533592"/>
        </a:xfrm>
        <a:prstGeom prst="roundRect">
          <a:avLst>
            <a:gd name="adj" fmla="val 10000"/>
          </a:avLst>
        </a:prstGeom>
        <a:solidFill>
          <a:schemeClr val="bg1">
            <a:lumMod val="85000"/>
          </a:schemeClr>
        </a:solidFill>
        <a:ln w="25400" cap="flat" cmpd="sng" algn="ctr">
          <a:solidFill>
            <a:schemeClr val="bg1">
              <a:lumMod val="8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ar-DZ" sz="1000" kern="1200">
              <a:latin typeface="Simplified Arabic" panose="02020603050405020304" pitchFamily="18" charset="-78"/>
              <a:cs typeface="Simplified Arabic" panose="02020603050405020304" pitchFamily="18" charset="-78"/>
            </a:rPr>
            <a:t>1. </a:t>
          </a:r>
          <a:r>
            <a:rPr lang="ar-SA" sz="1000" kern="1200">
              <a:latin typeface="Simplified Arabic" panose="02020603050405020304" pitchFamily="18" charset="-78"/>
              <a:cs typeface="Simplified Arabic" panose="02020603050405020304" pitchFamily="18" charset="-78"/>
            </a:rPr>
            <a:t>أنشطة عمل الأفراد</a:t>
          </a:r>
          <a:r>
            <a:rPr lang="ar-DZ" sz="1000" kern="1200">
              <a:latin typeface="Simplified Arabic" panose="02020603050405020304" pitchFamily="18" charset="-78"/>
              <a:cs typeface="Simplified Arabic" panose="02020603050405020304" pitchFamily="18" charset="-78"/>
            </a:rPr>
            <a:t> (الانشطة اليومية)</a:t>
          </a:r>
          <a:endParaRPr lang="fr-FR" sz="1000" kern="1200">
            <a:latin typeface="Simplified Arabic" panose="02020603050405020304" pitchFamily="18" charset="-78"/>
            <a:cs typeface="Simplified Arabic" panose="02020603050405020304" pitchFamily="18" charset="-78"/>
          </a:endParaRPr>
        </a:p>
      </dsp:txBody>
      <dsp:txXfrm>
        <a:off x="94630" y="181893"/>
        <a:ext cx="1080348" cy="502336"/>
      </dsp:txXfrm>
    </dsp:sp>
    <dsp:sp modelId="{F31416AA-4374-471A-A16F-4E402B71A70D}">
      <dsp:nvSpPr>
        <dsp:cNvPr id="0" name=""/>
        <dsp:cNvSpPr/>
      </dsp:nvSpPr>
      <dsp:spPr>
        <a:xfrm rot="8613013">
          <a:off x="1141834" y="826116"/>
          <a:ext cx="576917" cy="53648"/>
        </a:xfrm>
        <a:custGeom>
          <a:avLst/>
          <a:gdLst/>
          <a:ahLst/>
          <a:cxnLst/>
          <a:rect l="0" t="0" r="0" b="0"/>
          <a:pathLst>
            <a:path>
              <a:moveTo>
                <a:pt x="0" y="26824"/>
              </a:moveTo>
              <a:lnTo>
                <a:pt x="576917" y="26824"/>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fr-FR" sz="500" kern="1200"/>
        </a:p>
      </dsp:txBody>
      <dsp:txXfrm rot="10800000">
        <a:off x="1415870" y="838517"/>
        <a:ext cx="28845" cy="28845"/>
      </dsp:txXfrm>
    </dsp:sp>
    <dsp:sp modelId="{9158BACD-E7A5-470F-B9D9-A7998A520C1B}">
      <dsp:nvSpPr>
        <dsp:cNvPr id="0" name=""/>
        <dsp:cNvSpPr/>
      </dsp:nvSpPr>
      <dsp:spPr>
        <a:xfrm>
          <a:off x="73178" y="758279"/>
          <a:ext cx="1125084" cy="532079"/>
        </a:xfrm>
        <a:prstGeom prst="roundRect">
          <a:avLst>
            <a:gd name="adj" fmla="val 10000"/>
          </a:avLst>
        </a:prstGeom>
        <a:solidFill>
          <a:schemeClr val="bg1">
            <a:lumMod val="85000"/>
          </a:schemeClr>
        </a:solidFill>
        <a:ln w="25400" cap="flat" cmpd="sng" algn="ctr">
          <a:solidFill>
            <a:schemeClr val="bg1">
              <a:lumMod val="8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ar-DZ" sz="1000" kern="1200">
              <a:latin typeface="Simplified Arabic" panose="02020603050405020304" pitchFamily="18" charset="-78"/>
              <a:cs typeface="Simplified Arabic" panose="02020603050405020304" pitchFamily="18" charset="-78"/>
            </a:rPr>
            <a:t>2. </a:t>
          </a:r>
          <a:r>
            <a:rPr lang="ar-SA" sz="1000" kern="1200">
              <a:latin typeface="Simplified Arabic" panose="02020603050405020304" pitchFamily="18" charset="-78"/>
              <a:cs typeface="Simplified Arabic" panose="02020603050405020304" pitchFamily="18" charset="-78"/>
            </a:rPr>
            <a:t>الخدمات العامة</a:t>
          </a:r>
          <a:r>
            <a:rPr lang="ar-DZ" sz="1000" kern="1200">
              <a:latin typeface="Simplified Arabic" panose="02020603050405020304" pitchFamily="18" charset="-78"/>
              <a:cs typeface="Simplified Arabic" panose="02020603050405020304" pitchFamily="18" charset="-78"/>
            </a:rPr>
            <a:t> (اقتصاية اجتماعية </a:t>
          </a:r>
          <a:r>
            <a:rPr lang="ar-DZ" sz="1000" b="0" kern="1200">
              <a:latin typeface="Simplified Arabic" panose="02020603050405020304" pitchFamily="18" charset="-78"/>
              <a:cs typeface="Simplified Arabic" panose="02020603050405020304" pitchFamily="18" charset="-78"/>
            </a:rPr>
            <a:t>وغيرها</a:t>
          </a:r>
          <a:r>
            <a:rPr lang="ar-DZ" sz="1000" kern="1200">
              <a:latin typeface="Simplified Arabic" panose="02020603050405020304" pitchFamily="18" charset="-78"/>
              <a:cs typeface="Simplified Arabic" panose="02020603050405020304" pitchFamily="18" charset="-78"/>
            </a:rPr>
            <a:t>)</a:t>
          </a:r>
          <a:endParaRPr lang="fr-FR" sz="1000" kern="1200">
            <a:latin typeface="Simplified Arabic" panose="02020603050405020304" pitchFamily="18" charset="-78"/>
            <a:cs typeface="Simplified Arabic" panose="02020603050405020304" pitchFamily="18" charset="-78"/>
          </a:endParaRPr>
        </a:p>
      </dsp:txBody>
      <dsp:txXfrm>
        <a:off x="88762" y="773863"/>
        <a:ext cx="1093916" cy="500911"/>
      </dsp:txXfrm>
    </dsp:sp>
    <dsp:sp modelId="{61757307-197C-4C86-9A67-BF964EC489AB}">
      <dsp:nvSpPr>
        <dsp:cNvPr id="0" name=""/>
        <dsp:cNvSpPr/>
      </dsp:nvSpPr>
      <dsp:spPr>
        <a:xfrm rot="10805586">
          <a:off x="2915680" y="1227464"/>
          <a:ext cx="497075" cy="53648"/>
        </a:xfrm>
        <a:custGeom>
          <a:avLst/>
          <a:gdLst/>
          <a:ahLst/>
          <a:cxnLst/>
          <a:rect l="0" t="0" r="0" b="0"/>
          <a:pathLst>
            <a:path>
              <a:moveTo>
                <a:pt x="0" y="26824"/>
              </a:moveTo>
              <a:lnTo>
                <a:pt x="195335" y="26824"/>
              </a:lnTo>
            </a:path>
            <a:path>
              <a:moveTo>
                <a:pt x="301740" y="26824"/>
              </a:moveTo>
              <a:lnTo>
                <a:pt x="497075" y="268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2</a:t>
          </a:r>
          <a:endParaRPr lang="fr-FR" sz="1200" kern="1200">
            <a:latin typeface="Simplified Arabic" panose="02020603050405020304" pitchFamily="18" charset="-78"/>
            <a:cs typeface="Simplified Arabic" panose="02020603050405020304" pitchFamily="18" charset="-78"/>
          </a:endParaRPr>
        </a:p>
      </dsp:txBody>
      <dsp:txXfrm rot="10800000">
        <a:off x="3111015" y="1192154"/>
        <a:ext cx="106405" cy="124268"/>
      </dsp:txXfrm>
    </dsp:sp>
    <dsp:sp modelId="{B9A1A01B-87AB-472A-89C2-AB838CC4A7A3}">
      <dsp:nvSpPr>
        <dsp:cNvPr id="0" name=""/>
        <dsp:cNvSpPr/>
      </dsp:nvSpPr>
      <dsp:spPr>
        <a:xfrm>
          <a:off x="1666042" y="1004872"/>
          <a:ext cx="1249638" cy="498025"/>
        </a:xfrm>
        <a:prstGeom prst="roundRect">
          <a:avLst>
            <a:gd name="adj" fmla="val 10000"/>
          </a:avLst>
        </a:prstGeom>
        <a:solidFill>
          <a:schemeClr val="bg1">
            <a:lumMod val="75000"/>
          </a:schemeClr>
        </a:solidFill>
        <a:ln w="2540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SA" sz="1200" kern="1200">
              <a:latin typeface="Simplified Arabic" panose="02020603050405020304" pitchFamily="18" charset="-78"/>
              <a:cs typeface="Simplified Arabic" panose="02020603050405020304" pitchFamily="18" charset="-78"/>
            </a:rPr>
            <a:t>التوزيع المكاني الوظيفي للمدينة </a:t>
          </a:r>
          <a:endParaRPr lang="fr-FR" sz="1200" kern="1200">
            <a:latin typeface="Simplified Arabic" panose="02020603050405020304" pitchFamily="18" charset="-78"/>
            <a:cs typeface="Simplified Arabic" panose="02020603050405020304" pitchFamily="18" charset="-78"/>
          </a:endParaRPr>
        </a:p>
      </dsp:txBody>
      <dsp:txXfrm>
        <a:off x="1680629" y="1019459"/>
        <a:ext cx="1220464" cy="468851"/>
      </dsp:txXfrm>
    </dsp:sp>
    <dsp:sp modelId="{BB453E7D-CF9A-4026-87D1-8BB57824A0CF}">
      <dsp:nvSpPr>
        <dsp:cNvPr id="0" name=""/>
        <dsp:cNvSpPr/>
      </dsp:nvSpPr>
      <dsp:spPr>
        <a:xfrm rot="7856041">
          <a:off x="2784881" y="1514444"/>
          <a:ext cx="758673" cy="53648"/>
        </a:xfrm>
        <a:custGeom>
          <a:avLst/>
          <a:gdLst/>
          <a:ahLst/>
          <a:cxnLst/>
          <a:rect l="0" t="0" r="0" b="0"/>
          <a:pathLst>
            <a:path>
              <a:moveTo>
                <a:pt x="0" y="26824"/>
              </a:moveTo>
              <a:lnTo>
                <a:pt x="324807" y="26824"/>
              </a:lnTo>
            </a:path>
            <a:path>
              <a:moveTo>
                <a:pt x="433866" y="26824"/>
              </a:moveTo>
              <a:lnTo>
                <a:pt x="758673" y="268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3</a:t>
          </a:r>
          <a:endParaRPr lang="fr-FR" sz="1200" kern="1200">
            <a:latin typeface="Simplified Arabic" panose="02020603050405020304" pitchFamily="18" charset="-78"/>
            <a:cs typeface="Simplified Arabic" panose="02020603050405020304" pitchFamily="18" charset="-78"/>
          </a:endParaRPr>
        </a:p>
      </dsp:txBody>
      <dsp:txXfrm rot="10800000">
        <a:off x="3109688" y="1446434"/>
        <a:ext cx="109059" cy="189668"/>
      </dsp:txXfrm>
    </dsp:sp>
    <dsp:sp modelId="{26069A05-BB8A-4FD5-9060-33E9F7B1966D}">
      <dsp:nvSpPr>
        <dsp:cNvPr id="0" name=""/>
        <dsp:cNvSpPr/>
      </dsp:nvSpPr>
      <dsp:spPr>
        <a:xfrm>
          <a:off x="1670631" y="1578831"/>
          <a:ext cx="1245049" cy="498025"/>
        </a:xfrm>
        <a:prstGeom prst="roundRect">
          <a:avLst>
            <a:gd name="adj" fmla="val 10000"/>
          </a:avLst>
        </a:prstGeom>
        <a:solidFill>
          <a:schemeClr val="bg1">
            <a:lumMod val="75000"/>
          </a:schemeClr>
        </a:solidFill>
        <a:ln w="2540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علاقة التوزيع المكاني مع أنشطة الأفراد وخدماتهم </a:t>
          </a:r>
          <a:endParaRPr lang="fr-FR" sz="1100" kern="1200">
            <a:latin typeface="Simplified Arabic" panose="02020603050405020304" pitchFamily="18" charset="-78"/>
            <a:cs typeface="Simplified Arabic" panose="02020603050405020304" pitchFamily="18" charset="-78"/>
          </a:endParaRPr>
        </a:p>
      </dsp:txBody>
      <dsp:txXfrm>
        <a:off x="1685218" y="1593418"/>
        <a:ext cx="1215875" cy="468851"/>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65B313-44D7-470F-AAE1-AE21AFAAF1F1}">
      <dsp:nvSpPr>
        <dsp:cNvPr id="0" name=""/>
        <dsp:cNvSpPr/>
      </dsp:nvSpPr>
      <dsp:spPr>
        <a:xfrm>
          <a:off x="375813" y="130180"/>
          <a:ext cx="1227349" cy="705552"/>
        </a:xfrm>
        <a:prstGeom prst="roundRect">
          <a:avLst/>
        </a:prstGeom>
        <a:solidFill>
          <a:schemeClr val="tx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F78DD1E-2FC2-4A79-9778-63B117AEE955}">
      <dsp:nvSpPr>
        <dsp:cNvPr id="0" name=""/>
        <dsp:cNvSpPr/>
      </dsp:nvSpPr>
      <dsp:spPr>
        <a:xfrm>
          <a:off x="399615" y="170515"/>
          <a:ext cx="1179525" cy="63949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rtl="1">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متوسط زمن الاستجابة لخدمات الطوارئ</a:t>
          </a:r>
          <a:endParaRPr lang="fr-FR" sz="1100" kern="1200">
            <a:latin typeface="Simplified Arabic" panose="02020603050405020304" pitchFamily="18" charset="-78"/>
            <a:cs typeface="Simplified Arabic" panose="02020603050405020304" pitchFamily="18" charset="-78"/>
          </a:endParaRPr>
        </a:p>
      </dsp:txBody>
      <dsp:txXfrm>
        <a:off x="399615" y="170515"/>
        <a:ext cx="1179525" cy="639496"/>
      </dsp:txXfrm>
    </dsp:sp>
    <dsp:sp modelId="{9B9DE85D-F946-4566-89B9-0CF920C1C291}">
      <dsp:nvSpPr>
        <dsp:cNvPr id="0" name=""/>
        <dsp:cNvSpPr/>
      </dsp:nvSpPr>
      <dsp:spPr>
        <a:xfrm>
          <a:off x="1746237" y="145989"/>
          <a:ext cx="1193802" cy="705552"/>
        </a:xfrm>
        <a:prstGeom prst="roundRect">
          <a:avLst/>
        </a:prstGeom>
        <a:solidFill>
          <a:schemeClr val="tx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7A60E26-51A4-4311-8D64-371507C0E3C7}">
      <dsp:nvSpPr>
        <dsp:cNvPr id="0" name=""/>
        <dsp:cNvSpPr/>
      </dsp:nvSpPr>
      <dsp:spPr>
        <a:xfrm>
          <a:off x="1835995" y="259940"/>
          <a:ext cx="1006236" cy="46717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rtl="1">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مستوى الثقة في الحكومة المحلية</a:t>
          </a:r>
          <a:endParaRPr lang="fr-FR" sz="1100" kern="1200">
            <a:latin typeface="Simplified Arabic" panose="02020603050405020304" pitchFamily="18" charset="-78"/>
            <a:cs typeface="Simplified Arabic" panose="02020603050405020304" pitchFamily="18" charset="-78"/>
          </a:endParaRPr>
        </a:p>
      </dsp:txBody>
      <dsp:txXfrm>
        <a:off x="1835995" y="259940"/>
        <a:ext cx="1006236" cy="467178"/>
      </dsp:txXfrm>
    </dsp:sp>
    <dsp:sp modelId="{111FF6F5-634B-49B7-A10F-3685FF89E74F}">
      <dsp:nvSpPr>
        <dsp:cNvPr id="0" name=""/>
        <dsp:cNvSpPr/>
      </dsp:nvSpPr>
      <dsp:spPr>
        <a:xfrm>
          <a:off x="1718367" y="1030471"/>
          <a:ext cx="1201001" cy="705549"/>
        </a:xfrm>
        <a:prstGeom prst="roundRect">
          <a:avLst/>
        </a:prstGeom>
        <a:solidFill>
          <a:schemeClr val="tx2">
            <a:lumMod val="20000"/>
            <a:lumOff val="80000"/>
          </a:schemeClr>
        </a:solidFill>
        <a:ln w="25400" cap="flat" cmpd="sng" algn="ctr">
          <a:solidFill>
            <a:schemeClr val="bg1"/>
          </a:solidFill>
          <a:prstDash val="solid"/>
        </a:ln>
        <a:effectLst/>
      </dsp:spPr>
      <dsp:style>
        <a:lnRef idx="2">
          <a:scrgbClr r="0" g="0" b="0"/>
        </a:lnRef>
        <a:fillRef idx="1">
          <a:scrgbClr r="0" g="0" b="0"/>
        </a:fillRef>
        <a:effectRef idx="0">
          <a:scrgbClr r="0" g="0" b="0"/>
        </a:effectRef>
        <a:fontRef idx="minor">
          <a:schemeClr val="lt1"/>
        </a:fontRef>
      </dsp:style>
    </dsp:sp>
    <dsp:sp modelId="{216878CC-F41E-4306-B7F4-450B87F31CEE}">
      <dsp:nvSpPr>
        <dsp:cNvPr id="0" name=""/>
        <dsp:cNvSpPr/>
      </dsp:nvSpPr>
      <dsp:spPr>
        <a:xfrm>
          <a:off x="1750235" y="1017079"/>
          <a:ext cx="1131769" cy="57711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عدد المنظمات المدنية أو الدينية لكل 100000 نسمة</a:t>
          </a:r>
          <a:endParaRPr lang="fr-FR" sz="1100" kern="1200"/>
        </a:p>
      </dsp:txBody>
      <dsp:txXfrm>
        <a:off x="1750235" y="1017079"/>
        <a:ext cx="1131769" cy="577117"/>
      </dsp:txXfrm>
    </dsp:sp>
    <dsp:sp modelId="{2DE13BC0-527A-4D1C-9DD5-EF59826CE17D}">
      <dsp:nvSpPr>
        <dsp:cNvPr id="0" name=""/>
        <dsp:cNvSpPr/>
      </dsp:nvSpPr>
      <dsp:spPr>
        <a:xfrm>
          <a:off x="378912" y="1022103"/>
          <a:ext cx="1183907" cy="705549"/>
        </a:xfrm>
        <a:prstGeom prst="roundRect">
          <a:avLst/>
        </a:prstGeom>
        <a:solidFill>
          <a:schemeClr val="tx2">
            <a:lumMod val="20000"/>
            <a:lumOff val="80000"/>
          </a:schemeClr>
        </a:solidFill>
        <a:ln w="25400" cap="flat" cmpd="sng" algn="ctr">
          <a:solidFill>
            <a:schemeClr val="bg1"/>
          </a:solidFill>
          <a:prstDash val="solid"/>
        </a:ln>
        <a:effectLst/>
      </dsp:spPr>
      <dsp:style>
        <a:lnRef idx="2">
          <a:scrgbClr r="0" g="0" b="0"/>
        </a:lnRef>
        <a:fillRef idx="1">
          <a:scrgbClr r="0" g="0" b="0"/>
        </a:fillRef>
        <a:effectRef idx="0">
          <a:scrgbClr r="0" g="0" b="0"/>
        </a:effectRef>
        <a:fontRef idx="minor">
          <a:schemeClr val="lt1"/>
        </a:fontRef>
      </dsp:style>
    </dsp:sp>
    <dsp:sp modelId="{660D9037-4A62-4D82-8C43-0DEDFC833784}">
      <dsp:nvSpPr>
        <dsp:cNvPr id="0" name=""/>
        <dsp:cNvSpPr/>
      </dsp:nvSpPr>
      <dsp:spPr>
        <a:xfrm>
          <a:off x="361797" y="1091325"/>
          <a:ext cx="1222982" cy="57366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مؤشر هيرفيندال لتنويع الاقتصاد المحلي</a:t>
          </a:r>
          <a:endParaRPr lang="fr-FR" sz="1100" kern="1200">
            <a:latin typeface="Simplified Arabic" panose="02020603050405020304" pitchFamily="18" charset="-78"/>
            <a:cs typeface="Simplified Arabic" panose="02020603050405020304" pitchFamily="18" charset="-78"/>
          </a:endParaRPr>
        </a:p>
      </dsp:txBody>
      <dsp:txXfrm>
        <a:off x="361797" y="1091325"/>
        <a:ext cx="1222982" cy="573660"/>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560463-6B9B-4728-BF7C-34F0627D77BC}">
      <dsp:nvSpPr>
        <dsp:cNvPr id="0" name=""/>
        <dsp:cNvSpPr/>
      </dsp:nvSpPr>
      <dsp:spPr>
        <a:xfrm>
          <a:off x="4515425" y="1636874"/>
          <a:ext cx="841891" cy="765355"/>
        </a:xfrm>
        <a:prstGeom prst="roundRect">
          <a:avLst>
            <a:gd name="adj" fmla="val 10000"/>
          </a:avLst>
        </a:prstGeom>
        <a:blipFill rotWithShape="1">
          <a:blip xmlns:r="http://schemas.openxmlformats.org/officeDocument/2006/relationships" r:embed="rId1"/>
          <a:stretch>
            <a:fillRect/>
          </a:stretch>
        </a:blipFill>
        <a:ln>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26BB6028-51C4-41BB-B397-30FD60D0DE36}">
      <dsp:nvSpPr>
        <dsp:cNvPr id="0" name=""/>
        <dsp:cNvSpPr/>
      </dsp:nvSpPr>
      <dsp:spPr>
        <a:xfrm>
          <a:off x="4435370" y="68444"/>
          <a:ext cx="1007999" cy="1504800"/>
        </a:xfrm>
        <a:prstGeom prst="roundRect">
          <a:avLst>
            <a:gd name="adj" fmla="val 10000"/>
          </a:avLst>
        </a:prstGeom>
        <a:solidFill>
          <a:schemeClr val="bg1">
            <a:lumMod val="75000"/>
          </a:schemeClr>
        </a:solidFill>
        <a:ln>
          <a:solidFill>
            <a:schemeClr val="bg1">
              <a:lumMod val="50000"/>
            </a:schemeClr>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1/ مطالعة الابحاث لتحديد العوامل الاولية المؤثرة على المرونة</a:t>
          </a:r>
        </a:p>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 مقارنة بين نماذج تقييم المرونة الحضرية الشاملة </a:t>
          </a:r>
          <a:r>
            <a:rPr lang="ar-SA" sz="1000" b="1" kern="1200">
              <a:solidFill>
                <a:sysClr val="windowText" lastClr="000000"/>
              </a:solidFill>
              <a:latin typeface="Simplified Arabic" panose="02020603050405020304" pitchFamily="18" charset="-78"/>
              <a:cs typeface="+mj-cs"/>
            </a:rPr>
            <a:t>(</a:t>
          </a:r>
          <a:r>
            <a:rPr lang="en-US" sz="1000" b="1" kern="1200">
              <a:solidFill>
                <a:sysClr val="windowText" lastClr="000000"/>
              </a:solidFill>
              <a:latin typeface="Times New Roman" panose="02020603050405020304" pitchFamily="18" charset="0"/>
              <a:cs typeface="Times New Roman" panose="02020603050405020304" pitchFamily="18" charset="0"/>
            </a:rPr>
            <a:t>GURAT</a:t>
          </a:r>
          <a:r>
            <a:rPr lang="ar-SA" sz="1000" b="1" kern="1200">
              <a:solidFill>
                <a:sysClr val="windowText" lastClr="000000"/>
              </a:solidFill>
              <a:latin typeface="Simplified Arabic" panose="02020603050405020304" pitchFamily="18" charset="-78"/>
              <a:cs typeface="+mj-cs"/>
            </a:rPr>
            <a:t>)</a:t>
          </a:r>
          <a:endParaRPr lang="ar-DZ" sz="500" kern="1200">
            <a:solidFill>
              <a:sysClr val="windowText" lastClr="000000"/>
            </a:solidFill>
            <a:cs typeface="+mj-cs"/>
          </a:endParaRPr>
        </a:p>
      </dsp:txBody>
      <dsp:txXfrm>
        <a:off x="4464893" y="97967"/>
        <a:ext cx="948953" cy="1445754"/>
      </dsp:txXfrm>
    </dsp:sp>
    <dsp:sp modelId="{E35D8EE5-1B5A-4D0A-B39B-8436BFC4542D}">
      <dsp:nvSpPr>
        <dsp:cNvPr id="0" name=""/>
        <dsp:cNvSpPr/>
      </dsp:nvSpPr>
      <dsp:spPr>
        <a:xfrm rot="10804204">
          <a:off x="4337620" y="1976013"/>
          <a:ext cx="148199" cy="85792"/>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4363358" y="1993187"/>
        <a:ext cx="122461" cy="51476"/>
      </dsp:txXfrm>
    </dsp:sp>
    <dsp:sp modelId="{BA45DFA2-92E2-49A2-B4FF-CD4C8B9353D6}">
      <dsp:nvSpPr>
        <dsp:cNvPr id="0" name=""/>
        <dsp:cNvSpPr/>
      </dsp:nvSpPr>
      <dsp:spPr>
        <a:xfrm>
          <a:off x="3476001" y="1635602"/>
          <a:ext cx="841891" cy="765355"/>
        </a:xfrm>
        <a:prstGeom prst="roundRect">
          <a:avLst>
            <a:gd name="adj" fmla="val 10000"/>
          </a:avLst>
        </a:prstGeom>
        <a:blipFill rotWithShape="1">
          <a:blip xmlns:r="http://schemas.openxmlformats.org/officeDocument/2006/relationships" r:embed="rId2"/>
          <a:stretch>
            <a:fillRect/>
          </a:stretch>
        </a:blipFill>
        <a:ln>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595A73E7-87F7-454F-A9F2-C4EA99780C91}">
      <dsp:nvSpPr>
        <dsp:cNvPr id="0" name=""/>
        <dsp:cNvSpPr/>
      </dsp:nvSpPr>
      <dsp:spPr>
        <a:xfrm>
          <a:off x="3371097" y="61871"/>
          <a:ext cx="1011344" cy="1509792"/>
        </a:xfrm>
        <a:prstGeom prst="roundRect">
          <a:avLst>
            <a:gd name="adj" fmla="val 10000"/>
          </a:avLst>
        </a:prstGeom>
        <a:solidFill>
          <a:schemeClr val="bg1">
            <a:lumMod val="75000"/>
          </a:schemeClr>
        </a:solidFill>
        <a:ln>
          <a:solidFill>
            <a:schemeClr val="bg1">
              <a:lumMod val="50000"/>
            </a:schemeClr>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2/ </a:t>
          </a:r>
          <a:r>
            <a:rPr lang="ar-SA" sz="1000" b="1" kern="1200">
              <a:solidFill>
                <a:sysClr val="windowText" lastClr="000000"/>
              </a:solidFill>
              <a:latin typeface="Simplified Arabic" panose="02020603050405020304" pitchFamily="18" charset="-78"/>
              <a:cs typeface="Simplified Arabic" panose="02020603050405020304" pitchFamily="18" charset="-78"/>
            </a:rPr>
            <a:t>إجماع الخبراء </a:t>
          </a:r>
          <a:r>
            <a:rPr lang="ar-DZ" sz="1000" b="1" kern="1200">
              <a:solidFill>
                <a:sysClr val="windowText" lastClr="000000"/>
              </a:solidFill>
              <a:latin typeface="Simplified Arabic" panose="02020603050405020304" pitchFamily="18" charset="-78"/>
              <a:cs typeface="Simplified Arabic" panose="02020603050405020304" pitchFamily="18" charset="-78"/>
            </a:rPr>
            <a:t>لتحديد ال</a:t>
          </a:r>
          <a:r>
            <a:rPr lang="ar-SA" sz="1000" b="1" kern="1200">
              <a:solidFill>
                <a:sysClr val="windowText" lastClr="000000"/>
              </a:solidFill>
              <a:latin typeface="Simplified Arabic" panose="02020603050405020304" pitchFamily="18" charset="-78"/>
              <a:cs typeface="Simplified Arabic" panose="02020603050405020304" pitchFamily="18" charset="-78"/>
            </a:rPr>
            <a:t>عوامل </a:t>
          </a:r>
          <a:r>
            <a:rPr lang="ar-DZ" sz="1000" b="1" kern="1200">
              <a:solidFill>
                <a:sysClr val="windowText" lastClr="000000"/>
              </a:solidFill>
              <a:latin typeface="Simplified Arabic" panose="02020603050405020304" pitchFamily="18" charset="-78"/>
              <a:cs typeface="Simplified Arabic" panose="02020603050405020304" pitchFamily="18" charset="-78"/>
            </a:rPr>
            <a:t>ال</a:t>
          </a:r>
          <a:r>
            <a:rPr lang="ar-SA" sz="1000" b="1" kern="1200">
              <a:solidFill>
                <a:sysClr val="windowText" lastClr="000000"/>
              </a:solidFill>
              <a:latin typeface="Simplified Arabic" panose="02020603050405020304" pitchFamily="18" charset="-78"/>
              <a:cs typeface="Simplified Arabic" panose="02020603050405020304" pitchFamily="18" charset="-78"/>
            </a:rPr>
            <a:t>نهائية لتقييم المرونة الحضرية</a:t>
          </a:r>
          <a:endParaRPr lang="ar-DZ" sz="1000" b="1" kern="1200">
            <a:solidFill>
              <a:sysClr val="windowText" lastClr="000000"/>
            </a:solidFill>
            <a:latin typeface="Simplified Arabic" panose="02020603050405020304" pitchFamily="18" charset="-78"/>
            <a:cs typeface="Simplified Arabic" panose="02020603050405020304" pitchFamily="18" charset="-78"/>
          </a:endParaRPr>
        </a:p>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 استخدام تقنية دلفي عبر </a:t>
          </a:r>
          <a:r>
            <a:rPr lang="en-US" sz="900" b="1" kern="1200">
              <a:solidFill>
                <a:sysClr val="windowText" lastClr="000000"/>
              </a:solidFill>
              <a:latin typeface="Times New Roman" panose="02020603050405020304" pitchFamily="18" charset="0"/>
              <a:cs typeface="Times New Roman" panose="02020603050405020304" pitchFamily="18" charset="0"/>
            </a:rPr>
            <a:t>SurveyMonkey</a:t>
          </a:r>
          <a:endParaRPr lang="fr-FR" sz="1000" kern="1200">
            <a:solidFill>
              <a:sysClr val="windowText" lastClr="000000"/>
            </a:solidFill>
            <a:latin typeface="Times New Roman" panose="02020603050405020304" pitchFamily="18" charset="0"/>
            <a:cs typeface="Times New Roman" panose="02020603050405020304" pitchFamily="18" charset="0"/>
          </a:endParaRPr>
        </a:p>
      </dsp:txBody>
      <dsp:txXfrm>
        <a:off x="3400718" y="91492"/>
        <a:ext cx="952102" cy="1450550"/>
      </dsp:txXfrm>
    </dsp:sp>
    <dsp:sp modelId="{F6956B94-A06E-4732-9CF8-29796A9467AD}">
      <dsp:nvSpPr>
        <dsp:cNvPr id="0" name=""/>
        <dsp:cNvSpPr/>
      </dsp:nvSpPr>
      <dsp:spPr>
        <a:xfrm rot="10816251">
          <a:off x="3280892" y="1972814"/>
          <a:ext cx="144879" cy="85792"/>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3306630" y="1990033"/>
        <a:ext cx="119141" cy="51476"/>
      </dsp:txXfrm>
    </dsp:sp>
    <dsp:sp modelId="{D5917B6D-3069-41FD-8A30-7AA4AA851EAB}">
      <dsp:nvSpPr>
        <dsp:cNvPr id="0" name=""/>
        <dsp:cNvSpPr/>
      </dsp:nvSpPr>
      <dsp:spPr>
        <a:xfrm>
          <a:off x="2400453" y="1630518"/>
          <a:ext cx="841891" cy="765355"/>
        </a:xfrm>
        <a:prstGeom prst="roundRect">
          <a:avLst>
            <a:gd name="adj" fmla="val 10000"/>
          </a:avLst>
        </a:prstGeom>
        <a:blipFill rotWithShape="1">
          <a:blip xmlns:r="http://schemas.openxmlformats.org/officeDocument/2006/relationships" r:embed="rId3"/>
          <a:stretch>
            <a:fillRect/>
          </a:stretch>
        </a:blipFill>
        <a:ln>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E8F0A3AE-0C63-4129-B6FA-D5FF41017C4A}">
      <dsp:nvSpPr>
        <dsp:cNvPr id="0" name=""/>
        <dsp:cNvSpPr/>
      </dsp:nvSpPr>
      <dsp:spPr>
        <a:xfrm>
          <a:off x="2296467" y="66218"/>
          <a:ext cx="1014708" cy="1514816"/>
        </a:xfrm>
        <a:prstGeom prst="roundRect">
          <a:avLst>
            <a:gd name="adj" fmla="val 10000"/>
          </a:avLst>
        </a:prstGeom>
        <a:solidFill>
          <a:schemeClr val="bg1">
            <a:lumMod val="75000"/>
          </a:schemeClr>
        </a:solidFill>
        <a:ln>
          <a:solidFill>
            <a:schemeClr val="bg1">
              <a:lumMod val="50000"/>
            </a:schemeClr>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endParaRPr lang="ar-DZ" sz="1000" b="1" kern="1200">
            <a:solidFill>
              <a:sysClr val="windowText" lastClr="000000"/>
            </a:solidFill>
            <a:latin typeface="Simplified Arabic" panose="02020603050405020304" pitchFamily="18" charset="-78"/>
            <a:cs typeface="Simplified Arabic" panose="02020603050405020304" pitchFamily="18" charset="-78"/>
          </a:endParaRPr>
        </a:p>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3/ تخصيص نظام ترجيح لعوامل تقييم المرونة الحضرية</a:t>
          </a:r>
        </a:p>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 عملية التحليل الهرمي التسلسلي </a:t>
          </a:r>
          <a:r>
            <a:rPr lang="ar-DZ" sz="1000" b="1" kern="1200">
              <a:solidFill>
                <a:sysClr val="windowText" lastClr="000000"/>
              </a:solidFill>
              <a:latin typeface="Simplified Arabic" panose="02020603050405020304" pitchFamily="18" charset="-78"/>
              <a:cs typeface="+mj-cs"/>
            </a:rPr>
            <a:t>(</a:t>
          </a:r>
          <a:r>
            <a:rPr lang="fr-FR" sz="1000" b="1" kern="1200">
              <a:solidFill>
                <a:sysClr val="windowText" lastClr="000000"/>
              </a:solidFill>
              <a:latin typeface="Times New Roman" panose="02020603050405020304" pitchFamily="18" charset="0"/>
              <a:cs typeface="Times New Roman" panose="02020603050405020304" pitchFamily="18" charset="0"/>
            </a:rPr>
            <a:t>AHP</a:t>
          </a:r>
          <a:r>
            <a:rPr lang="ar-DZ" sz="1000" b="1" kern="1200">
              <a:solidFill>
                <a:sysClr val="windowText" lastClr="000000"/>
              </a:solidFill>
              <a:latin typeface="Simplified Arabic" panose="02020603050405020304" pitchFamily="18" charset="-78"/>
              <a:cs typeface="+mj-cs"/>
            </a:rPr>
            <a:t>) </a:t>
          </a:r>
          <a:r>
            <a:rPr lang="ar-DZ" sz="1000" b="1" kern="1200">
              <a:solidFill>
                <a:sysClr val="windowText" lastClr="000000"/>
              </a:solidFill>
              <a:latin typeface="Simplified Arabic" panose="02020603050405020304" pitchFamily="18" charset="-78"/>
              <a:cs typeface="Simplified Arabic" panose="02020603050405020304" pitchFamily="18" charset="-78"/>
            </a:rPr>
            <a:t>عبر </a:t>
          </a:r>
          <a:r>
            <a:rPr lang="en-US" sz="900" b="1" kern="1200">
              <a:solidFill>
                <a:sysClr val="windowText" lastClr="000000"/>
              </a:solidFill>
              <a:latin typeface="Times New Roman" panose="02020603050405020304" pitchFamily="18" charset="0"/>
              <a:cs typeface="Times New Roman" panose="02020603050405020304" pitchFamily="18" charset="0"/>
            </a:rPr>
            <a:t>SurveyMonkey</a:t>
          </a:r>
          <a:endParaRPr lang="ar-DZ" sz="1000" b="1" kern="1200">
            <a:solidFill>
              <a:sysClr val="windowText" lastClr="000000"/>
            </a:solidFill>
            <a:latin typeface="Simplified Arabic" panose="02020603050405020304" pitchFamily="18" charset="-78"/>
            <a:cs typeface="+mj-cs"/>
          </a:endParaRPr>
        </a:p>
        <a:p>
          <a:pPr lvl="0" algn="ctr" defTabSz="444500" rtl="1">
            <a:lnSpc>
              <a:spcPct val="90000"/>
            </a:lnSpc>
            <a:spcBef>
              <a:spcPct val="0"/>
            </a:spcBef>
            <a:spcAft>
              <a:spcPct val="35000"/>
            </a:spcAft>
          </a:pPr>
          <a:endParaRPr lang="ar-DZ" sz="1400" b="1" kern="1200">
            <a:solidFill>
              <a:sysClr val="windowText" lastClr="000000"/>
            </a:solidFill>
            <a:latin typeface="Times New Roman" panose="02020603050405020304" pitchFamily="18" charset="0"/>
            <a:cs typeface="Times New Roman" panose="02020603050405020304" pitchFamily="18" charset="0"/>
          </a:endParaRPr>
        </a:p>
        <a:p>
          <a:pPr lvl="0" algn="ctr" defTabSz="444500" rtl="1">
            <a:lnSpc>
              <a:spcPct val="90000"/>
            </a:lnSpc>
            <a:spcBef>
              <a:spcPct val="0"/>
            </a:spcBef>
            <a:spcAft>
              <a:spcPct val="35000"/>
            </a:spcAft>
          </a:pPr>
          <a:endParaRPr lang="fr-FR" sz="500" kern="1200">
            <a:solidFill>
              <a:sysClr val="windowText" lastClr="000000"/>
            </a:solidFill>
          </a:endParaRPr>
        </a:p>
      </dsp:txBody>
      <dsp:txXfrm>
        <a:off x="2326187" y="95938"/>
        <a:ext cx="955268" cy="1455376"/>
      </dsp:txXfrm>
    </dsp:sp>
    <dsp:sp modelId="{6BA1AE87-2263-421B-BFC3-EEB88F8DAB52}">
      <dsp:nvSpPr>
        <dsp:cNvPr id="0" name=""/>
        <dsp:cNvSpPr/>
      </dsp:nvSpPr>
      <dsp:spPr>
        <a:xfrm rot="10800000">
          <a:off x="2184840" y="1970300"/>
          <a:ext cx="156019" cy="85792"/>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210578" y="1987458"/>
        <a:ext cx="130281" cy="51476"/>
      </dsp:txXfrm>
    </dsp:sp>
    <dsp:sp modelId="{5A554662-ED55-45CE-BB79-B1B86D1BF549}">
      <dsp:nvSpPr>
        <dsp:cNvPr id="0" name=""/>
        <dsp:cNvSpPr/>
      </dsp:nvSpPr>
      <dsp:spPr>
        <a:xfrm>
          <a:off x="1306935" y="1630518"/>
          <a:ext cx="841891" cy="765355"/>
        </a:xfrm>
        <a:prstGeom prst="roundRect">
          <a:avLst>
            <a:gd name="adj" fmla="val 10000"/>
          </a:avLst>
        </a:prstGeom>
        <a:blipFill rotWithShape="1">
          <a:blip xmlns:r="http://schemas.openxmlformats.org/officeDocument/2006/relationships" r:embed="rId4"/>
          <a:stretch>
            <a:fillRect/>
          </a:stretch>
        </a:blipFill>
        <a:ln>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3FDBC310-4E8E-470B-BA43-FF6203E51041}">
      <dsp:nvSpPr>
        <dsp:cNvPr id="0" name=""/>
        <dsp:cNvSpPr/>
      </dsp:nvSpPr>
      <dsp:spPr>
        <a:xfrm>
          <a:off x="1223183" y="62042"/>
          <a:ext cx="1016400" cy="1517340"/>
        </a:xfrm>
        <a:prstGeom prst="roundRect">
          <a:avLst>
            <a:gd name="adj" fmla="val 10000"/>
          </a:avLst>
        </a:prstGeom>
        <a:solidFill>
          <a:schemeClr val="bg1">
            <a:lumMod val="75000"/>
          </a:schemeClr>
        </a:solidFill>
        <a:ln>
          <a:solidFill>
            <a:schemeClr val="bg1">
              <a:lumMod val="50000"/>
            </a:schemeClr>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4/ </a:t>
          </a:r>
          <a:r>
            <a:rPr lang="ar-SA" sz="1000" b="1" kern="1200">
              <a:solidFill>
                <a:schemeClr val="tx1"/>
              </a:solidFill>
              <a:latin typeface="Simplified Arabic" panose="02020603050405020304" pitchFamily="18" charset="-78"/>
              <a:cs typeface="Simplified Arabic" panose="02020603050405020304" pitchFamily="18" charset="-78"/>
            </a:rPr>
            <a:t>النمذجة المكانية للعوامل ضمن بيئة</a:t>
          </a:r>
          <a:r>
            <a:rPr lang="ar-SA" sz="1000" kern="1200">
              <a:solidFill>
                <a:schemeClr val="tx1"/>
              </a:solidFill>
              <a:latin typeface="Simplified Arabic" panose="02020603050405020304" pitchFamily="18" charset="-78"/>
              <a:cs typeface="Simplified Arabic" panose="02020603050405020304" pitchFamily="18" charset="-78"/>
            </a:rPr>
            <a:t> </a:t>
          </a:r>
          <a:r>
            <a:rPr lang="ar-SA" sz="1000" b="1" kern="1200">
              <a:solidFill>
                <a:schemeClr val="tx1"/>
              </a:solidFill>
              <a:latin typeface="Simplified Arabic" panose="02020603050405020304" pitchFamily="18" charset="-78"/>
              <a:cs typeface="+mj-cs"/>
            </a:rPr>
            <a:t>(</a:t>
          </a:r>
          <a:r>
            <a:rPr lang="en-US" sz="1000" b="1" kern="1200">
              <a:solidFill>
                <a:schemeClr val="tx1"/>
              </a:solidFill>
              <a:latin typeface="Times New Roman" panose="02020603050405020304" pitchFamily="18" charset="0"/>
              <a:cs typeface="Times New Roman" panose="02020603050405020304" pitchFamily="18" charset="0"/>
            </a:rPr>
            <a:t>GIS</a:t>
          </a:r>
          <a:r>
            <a:rPr lang="ar-SA" sz="1000" b="1" kern="1200">
              <a:solidFill>
                <a:schemeClr val="tx1"/>
              </a:solidFill>
              <a:latin typeface="Simplified Arabic" panose="02020603050405020304" pitchFamily="18" charset="-78"/>
              <a:cs typeface="+mj-cs"/>
            </a:rPr>
            <a:t>)</a:t>
          </a:r>
          <a:r>
            <a:rPr lang="ar-DZ" sz="1000" b="1" kern="1200">
              <a:solidFill>
                <a:schemeClr val="tx1"/>
              </a:solidFill>
              <a:latin typeface="Simplified Arabic" panose="02020603050405020304" pitchFamily="18" charset="-78"/>
              <a:cs typeface="+mj-cs"/>
            </a:rPr>
            <a:t> لدعم القرار المكاني</a:t>
          </a:r>
        </a:p>
        <a:p>
          <a:pPr lvl="0" algn="ctr" defTabSz="444500" rtl="1">
            <a:lnSpc>
              <a:spcPct val="90000"/>
            </a:lnSpc>
            <a:spcBef>
              <a:spcPct val="0"/>
            </a:spcBef>
            <a:spcAft>
              <a:spcPct val="35000"/>
            </a:spcAft>
          </a:pPr>
          <a:r>
            <a:rPr lang="ar-DZ" sz="1000" b="1" kern="1200">
              <a:solidFill>
                <a:schemeClr val="tx1"/>
              </a:solidFill>
              <a:latin typeface="Simplified Arabic" panose="02020603050405020304" pitchFamily="18" charset="-78"/>
              <a:cs typeface="Simplified Arabic" panose="02020603050405020304" pitchFamily="18" charset="-78"/>
            </a:rPr>
            <a:t>-</a:t>
          </a:r>
          <a:r>
            <a:rPr lang="ar-SA" sz="1000" b="1" kern="1200">
              <a:solidFill>
                <a:schemeClr val="tx1"/>
              </a:solidFill>
              <a:latin typeface="Simplified Arabic" panose="02020603050405020304" pitchFamily="18" charset="-78"/>
              <a:cs typeface="Simplified Arabic" panose="02020603050405020304" pitchFamily="18" charset="-78"/>
            </a:rPr>
            <a:t>خرائط معايير التقييم ''المدخلات'' وخريطة تصنيفات المرونة الحضرية''المخرجات''</a:t>
          </a:r>
          <a:endParaRPr lang="fr-FR" sz="500" kern="1200">
            <a:solidFill>
              <a:sysClr val="windowText" lastClr="000000"/>
            </a:solidFill>
          </a:endParaRPr>
        </a:p>
      </dsp:txBody>
      <dsp:txXfrm>
        <a:off x="1252952" y="91811"/>
        <a:ext cx="956862" cy="1457802"/>
      </dsp:txXfrm>
    </dsp:sp>
    <dsp:sp modelId="{141086F2-15F1-4702-9C7B-D8B311635C1E}">
      <dsp:nvSpPr>
        <dsp:cNvPr id="0" name=""/>
        <dsp:cNvSpPr/>
      </dsp:nvSpPr>
      <dsp:spPr>
        <a:xfrm rot="10800000">
          <a:off x="1097458" y="1970300"/>
          <a:ext cx="139580" cy="85792"/>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1123196" y="1987458"/>
        <a:ext cx="113842" cy="51476"/>
      </dsp:txXfrm>
    </dsp:sp>
    <dsp:sp modelId="{0BF41F20-7BF4-480A-AE8A-A24023B79C9B}">
      <dsp:nvSpPr>
        <dsp:cNvPr id="0" name=""/>
        <dsp:cNvSpPr/>
      </dsp:nvSpPr>
      <dsp:spPr>
        <a:xfrm>
          <a:off x="217420" y="1630518"/>
          <a:ext cx="841891" cy="765355"/>
        </a:xfrm>
        <a:prstGeom prst="roundRect">
          <a:avLst>
            <a:gd name="adj" fmla="val 10000"/>
          </a:avLst>
        </a:prstGeom>
        <a:blipFill rotWithShape="1">
          <a:blip xmlns:r="http://schemas.openxmlformats.org/officeDocument/2006/relationships" r:embed="rId5"/>
          <a:stretch>
            <a:fillRect/>
          </a:stretch>
        </a:blipFill>
        <a:ln>
          <a:solidFill>
            <a:schemeClr val="tx1"/>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1">
          <a:scrgbClr r="0" g="0" b="0"/>
        </a:fillRef>
        <a:effectRef idx="3">
          <a:scrgbClr r="0" g="0" b="0"/>
        </a:effectRef>
        <a:fontRef idx="minor"/>
      </dsp:style>
    </dsp:sp>
    <dsp:sp modelId="{F208B848-67A8-4E6A-9622-05F26B5D8F7C}">
      <dsp:nvSpPr>
        <dsp:cNvPr id="0" name=""/>
        <dsp:cNvSpPr/>
      </dsp:nvSpPr>
      <dsp:spPr>
        <a:xfrm>
          <a:off x="154130" y="71632"/>
          <a:ext cx="1016400" cy="1504800"/>
        </a:xfrm>
        <a:prstGeom prst="roundRect">
          <a:avLst>
            <a:gd name="adj" fmla="val 10000"/>
          </a:avLst>
        </a:prstGeom>
        <a:solidFill>
          <a:schemeClr val="bg1">
            <a:lumMod val="75000"/>
          </a:schemeClr>
        </a:solidFill>
        <a:ln>
          <a:solidFill>
            <a:schemeClr val="bg1">
              <a:lumMod val="50000"/>
            </a:schemeClr>
          </a:solid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ar-DZ" sz="1000" b="1" kern="1200">
              <a:solidFill>
                <a:schemeClr val="tx1"/>
              </a:solidFill>
              <a:latin typeface="Simplified Arabic" panose="02020603050405020304" pitchFamily="18" charset="-78"/>
              <a:cs typeface="Simplified Arabic" panose="02020603050405020304" pitchFamily="18" charset="-78"/>
            </a:rPr>
            <a:t>5/ </a:t>
          </a:r>
          <a:r>
            <a:rPr lang="ar-SA" sz="1000" b="1" kern="1200">
              <a:solidFill>
                <a:sysClr val="windowText" lastClr="000000"/>
              </a:solidFill>
              <a:latin typeface="Simplified Arabic" panose="02020603050405020304" pitchFamily="18" charset="-78"/>
              <a:cs typeface="Simplified Arabic" panose="02020603050405020304" pitchFamily="18" charset="-78"/>
            </a:rPr>
            <a:t>التحقيق في تصورات السكان ل</a:t>
          </a:r>
          <a:r>
            <a:rPr lang="ar-DZ" sz="1000" b="1" kern="1200">
              <a:solidFill>
                <a:sysClr val="windowText" lastClr="000000"/>
              </a:solidFill>
              <a:latin typeface="Simplified Arabic" panose="02020603050405020304" pitchFamily="18" charset="-78"/>
              <a:cs typeface="Simplified Arabic" panose="02020603050405020304" pitchFamily="18" charset="-78"/>
            </a:rPr>
            <a:t>تحديد أولويات </a:t>
          </a:r>
          <a:r>
            <a:rPr lang="ar-SA" sz="1000" b="1" kern="1200">
              <a:solidFill>
                <a:sysClr val="windowText" lastClr="000000"/>
              </a:solidFill>
              <a:latin typeface="Simplified Arabic" panose="02020603050405020304" pitchFamily="18" charset="-78"/>
              <a:cs typeface="Simplified Arabic" panose="02020603050405020304" pitchFamily="18" charset="-78"/>
            </a:rPr>
            <a:t>التنمية الحضرية</a:t>
          </a:r>
          <a:endParaRPr lang="ar-DZ" sz="1000" b="1" kern="1200">
            <a:solidFill>
              <a:sysClr val="windowText" lastClr="000000"/>
            </a:solidFill>
            <a:latin typeface="Simplified Arabic" panose="02020603050405020304" pitchFamily="18" charset="-78"/>
            <a:cs typeface="Simplified Arabic" panose="02020603050405020304" pitchFamily="18" charset="-78"/>
          </a:endParaRPr>
        </a:p>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 استبيان للسكان المحليين عبر</a:t>
          </a:r>
          <a:r>
            <a:rPr lang="ar-DZ" sz="1000" b="1" kern="1200">
              <a:solidFill>
                <a:sysClr val="windowText" lastClr="000000"/>
              </a:solidFill>
            </a:rPr>
            <a:t> </a:t>
          </a:r>
          <a:r>
            <a:rPr lang="en-US" sz="900" b="1" kern="1200">
              <a:solidFill>
                <a:sysClr val="windowText" lastClr="000000"/>
              </a:solidFill>
              <a:latin typeface="Times New Roman" panose="02020603050405020304" pitchFamily="18" charset="0"/>
              <a:cs typeface="Times New Roman" panose="02020603050405020304" pitchFamily="18" charset="0"/>
            </a:rPr>
            <a:t>SurveyMonkey</a:t>
          </a:r>
          <a:endParaRPr lang="fr-FR" sz="1000" b="1" kern="1200">
            <a:solidFill>
              <a:schemeClr val="tx1"/>
            </a:solidFill>
            <a:latin typeface="Simplified Arabic" panose="02020603050405020304" pitchFamily="18" charset="-78"/>
            <a:cs typeface="Simplified Arabic" panose="02020603050405020304" pitchFamily="18" charset="-78"/>
          </a:endParaRPr>
        </a:p>
      </dsp:txBody>
      <dsp:txXfrm>
        <a:off x="183899" y="101401"/>
        <a:ext cx="956862" cy="1445262"/>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479F16-3621-4A11-8DD5-22E7701143F5}">
      <dsp:nvSpPr>
        <dsp:cNvPr id="0" name=""/>
        <dsp:cNvSpPr/>
      </dsp:nvSpPr>
      <dsp:spPr>
        <a:xfrm>
          <a:off x="4159020" y="348232"/>
          <a:ext cx="315635" cy="31563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b="1" kern="1200">
              <a:solidFill>
                <a:schemeClr val="tx1"/>
              </a:solidFill>
              <a:latin typeface="Simplified Arabic" panose="02020603050405020304" pitchFamily="18" charset="-78"/>
              <a:cs typeface="Simplified Arabic" panose="02020603050405020304" pitchFamily="18" charset="-78"/>
            </a:rPr>
            <a:t>1</a:t>
          </a:r>
          <a:endParaRPr lang="fr-FR" sz="500" b="1" kern="1200">
            <a:solidFill>
              <a:schemeClr val="tx1"/>
            </a:solidFill>
            <a:latin typeface="Simplified Arabic" panose="02020603050405020304" pitchFamily="18" charset="-78"/>
            <a:cs typeface="Simplified Arabic" panose="02020603050405020304" pitchFamily="18" charset="-78"/>
          </a:endParaRPr>
        </a:p>
      </dsp:txBody>
      <dsp:txXfrm>
        <a:off x="4166310" y="348232"/>
        <a:ext cx="315635" cy="210423"/>
      </dsp:txXfrm>
    </dsp:sp>
    <dsp:sp modelId="{D048F298-AD3F-41F8-88B3-E33208ACA93C}">
      <dsp:nvSpPr>
        <dsp:cNvPr id="0" name=""/>
        <dsp:cNvSpPr/>
      </dsp:nvSpPr>
      <dsp:spPr>
        <a:xfrm>
          <a:off x="3692523" y="730666"/>
          <a:ext cx="1260802" cy="878739"/>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1120" tIns="71120" rIns="71120" bIns="71120" numCol="1" spcCol="1270" anchor="t" anchorCtr="0">
          <a:noAutofit/>
        </a:bodyPr>
        <a:lstStyle/>
        <a:p>
          <a:pPr marL="57150" lvl="1" indent="-57150" algn="r" defTabSz="444500" rtl="1">
            <a:lnSpc>
              <a:spcPct val="90000"/>
            </a:lnSpc>
            <a:spcBef>
              <a:spcPct val="0"/>
            </a:spcBef>
            <a:spcAft>
              <a:spcPct val="15000"/>
            </a:spcAft>
            <a:buChar char="••"/>
          </a:pPr>
          <a:r>
            <a:rPr lang="ar-DZ" sz="1000" b="1" kern="1200">
              <a:latin typeface="Simplified Arabic" panose="02020603050405020304" pitchFamily="18" charset="-78"/>
              <a:cs typeface="Simplified Arabic" panose="02020603050405020304" pitchFamily="18" charset="-78"/>
            </a:rPr>
            <a:t>اختيار فريق خبراء:</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kern="1200">
              <a:latin typeface="Simplified Arabic" panose="02020603050405020304" pitchFamily="18" charset="-78"/>
              <a:cs typeface="Simplified Arabic" panose="02020603050405020304" pitchFamily="18" charset="-78"/>
            </a:rPr>
            <a:t>خبراء محليين (اساتذة جامعة، زملاء، معماريين مهندسين مهنيين)</a:t>
          </a:r>
          <a:endParaRPr lang="fr-FR" sz="1000" kern="1200">
            <a:latin typeface="Simplified Arabic" panose="02020603050405020304" pitchFamily="18" charset="-78"/>
            <a:cs typeface="Simplified Arabic" panose="02020603050405020304" pitchFamily="18" charset="-78"/>
          </a:endParaRPr>
        </a:p>
      </dsp:txBody>
      <dsp:txXfrm>
        <a:off x="3718260" y="756403"/>
        <a:ext cx="1209328" cy="827265"/>
      </dsp:txXfrm>
    </dsp:sp>
    <dsp:sp modelId="{ADA0B68D-5658-4CE3-9566-0755DC5BBFFC}">
      <dsp:nvSpPr>
        <dsp:cNvPr id="0" name=""/>
        <dsp:cNvSpPr/>
      </dsp:nvSpPr>
      <dsp:spPr>
        <a:xfrm rot="10802788">
          <a:off x="3501953" y="447865"/>
          <a:ext cx="335703" cy="151049"/>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3547268" y="478093"/>
        <a:ext cx="290388" cy="90629"/>
      </dsp:txXfrm>
    </dsp:sp>
    <dsp:sp modelId="{60AF9CD0-670E-40D9-8F1D-B057D41C85F3}">
      <dsp:nvSpPr>
        <dsp:cNvPr id="0" name=""/>
        <dsp:cNvSpPr/>
      </dsp:nvSpPr>
      <dsp:spPr>
        <a:xfrm>
          <a:off x="3080598" y="343055"/>
          <a:ext cx="315635" cy="31563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2</a:t>
          </a:r>
          <a:endParaRPr lang="fr-FR" sz="800" kern="1200"/>
        </a:p>
      </dsp:txBody>
      <dsp:txXfrm>
        <a:off x="3087888" y="343055"/>
        <a:ext cx="315635" cy="210423"/>
      </dsp:txXfrm>
    </dsp:sp>
    <dsp:sp modelId="{D5D30473-44A0-4A5D-800F-C2AB4E98487A}">
      <dsp:nvSpPr>
        <dsp:cNvPr id="0" name=""/>
        <dsp:cNvSpPr/>
      </dsp:nvSpPr>
      <dsp:spPr>
        <a:xfrm>
          <a:off x="2846551" y="731169"/>
          <a:ext cx="804922" cy="903581"/>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1120" tIns="71120" rIns="71120" bIns="71120" numCol="1" spcCol="1270" anchor="t" anchorCtr="0">
          <a:noAutofit/>
        </a:bodyPr>
        <a:lstStyle/>
        <a:p>
          <a:pPr marL="57150" lvl="1" indent="-57150" algn="r" defTabSz="444500" rtl="1">
            <a:lnSpc>
              <a:spcPct val="90000"/>
            </a:lnSpc>
            <a:spcBef>
              <a:spcPct val="0"/>
            </a:spcBef>
            <a:spcAft>
              <a:spcPct val="15000"/>
            </a:spcAft>
            <a:buChar char="••"/>
          </a:pPr>
          <a:r>
            <a:rPr lang="ar-DZ" sz="1000" b="1" kern="1200">
              <a:latin typeface="Simplified Arabic" panose="02020603050405020304" pitchFamily="18" charset="-78"/>
              <a:cs typeface="Simplified Arabic" panose="02020603050405020304" pitchFamily="18" charset="-78"/>
            </a:rPr>
            <a:t>الجولة 1:</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kern="1200">
              <a:latin typeface="Simplified Arabic" panose="02020603050405020304" pitchFamily="18" charset="-78"/>
              <a:cs typeface="Simplified Arabic" panose="02020603050405020304" pitchFamily="18" charset="-78"/>
            </a:rPr>
            <a:t>العصف الذهني ونظام التصنيف </a:t>
          </a:r>
          <a:endParaRPr lang="fr-FR" sz="1000" kern="1200">
            <a:latin typeface="Simplified Arabic" panose="02020603050405020304" pitchFamily="18" charset="-78"/>
            <a:cs typeface="Simplified Arabic" panose="02020603050405020304" pitchFamily="18" charset="-78"/>
          </a:endParaRPr>
        </a:p>
      </dsp:txBody>
      <dsp:txXfrm>
        <a:off x="2870126" y="754744"/>
        <a:ext cx="757772" cy="856431"/>
      </dsp:txXfrm>
    </dsp:sp>
    <dsp:sp modelId="{DB54BBEA-D4D7-4FC0-9D8C-944C9552595D}">
      <dsp:nvSpPr>
        <dsp:cNvPr id="0" name=""/>
        <dsp:cNvSpPr/>
      </dsp:nvSpPr>
      <dsp:spPr>
        <a:xfrm rot="10796625">
          <a:off x="2678191" y="448295"/>
          <a:ext cx="310009" cy="151049"/>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2723506" y="478483"/>
        <a:ext cx="264694" cy="90629"/>
      </dsp:txXfrm>
    </dsp:sp>
    <dsp:sp modelId="{E5D3A23F-EBB1-48F4-AA19-A215A4BE9BD7}">
      <dsp:nvSpPr>
        <dsp:cNvPr id="0" name=""/>
        <dsp:cNvSpPr/>
      </dsp:nvSpPr>
      <dsp:spPr>
        <a:xfrm>
          <a:off x="2259258" y="344355"/>
          <a:ext cx="315635" cy="314152"/>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3</a:t>
          </a:r>
          <a:endParaRPr lang="fr-FR" sz="800" b="1" kern="1200">
            <a:latin typeface="Simplified Arabic" panose="02020603050405020304" pitchFamily="18" charset="-78"/>
            <a:cs typeface="Simplified Arabic" panose="02020603050405020304" pitchFamily="18" charset="-78"/>
          </a:endParaRPr>
        </a:p>
      </dsp:txBody>
      <dsp:txXfrm>
        <a:off x="2266548" y="344355"/>
        <a:ext cx="315635" cy="209435"/>
      </dsp:txXfrm>
    </dsp:sp>
    <dsp:sp modelId="{F5A1E78E-154D-4BF4-84D9-FD4DB916BAEC}">
      <dsp:nvSpPr>
        <dsp:cNvPr id="0" name=""/>
        <dsp:cNvSpPr/>
      </dsp:nvSpPr>
      <dsp:spPr>
        <a:xfrm>
          <a:off x="2025601" y="723787"/>
          <a:ext cx="782535" cy="90751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1120" tIns="71120" rIns="71120" bIns="71120" numCol="1" spcCol="1270" anchor="t" anchorCtr="0">
          <a:noAutofit/>
        </a:bodyPr>
        <a:lstStyle/>
        <a:p>
          <a:pPr marL="57150" lvl="1" indent="-57150" algn="r" defTabSz="444500" rtl="1">
            <a:lnSpc>
              <a:spcPct val="90000"/>
            </a:lnSpc>
            <a:spcBef>
              <a:spcPct val="0"/>
            </a:spcBef>
            <a:spcAft>
              <a:spcPct val="15000"/>
            </a:spcAft>
            <a:buChar char="••"/>
          </a:pPr>
          <a:r>
            <a:rPr lang="ar-DZ" sz="1000" b="1" kern="1200">
              <a:latin typeface="Simplified Arabic" panose="02020603050405020304" pitchFamily="18" charset="-78"/>
              <a:cs typeface="Simplified Arabic" panose="02020603050405020304" pitchFamily="18" charset="-78"/>
            </a:rPr>
            <a:t>الجولة 2:</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kern="1200">
              <a:latin typeface="Simplified Arabic" panose="02020603050405020304" pitchFamily="18" charset="-78"/>
              <a:cs typeface="Simplified Arabic" panose="02020603050405020304" pitchFamily="18" charset="-78"/>
            </a:rPr>
            <a:t>مراجعة الردود والحصر</a:t>
          </a:r>
          <a:endParaRPr lang="fr-FR" sz="1000" kern="1200">
            <a:latin typeface="Simplified Arabic" panose="02020603050405020304" pitchFamily="18" charset="-78"/>
            <a:cs typeface="Simplified Arabic" panose="02020603050405020304" pitchFamily="18" charset="-78"/>
          </a:endParaRPr>
        </a:p>
      </dsp:txBody>
      <dsp:txXfrm>
        <a:off x="2048521" y="746707"/>
        <a:ext cx="736695" cy="861678"/>
      </dsp:txXfrm>
    </dsp:sp>
    <dsp:sp modelId="{8E9415A4-3E9B-4923-8D4F-D88BDC6FE7CD}">
      <dsp:nvSpPr>
        <dsp:cNvPr id="0" name=""/>
        <dsp:cNvSpPr/>
      </dsp:nvSpPr>
      <dsp:spPr>
        <a:xfrm rot="10806404">
          <a:off x="1853253" y="455328"/>
          <a:ext cx="317599" cy="151049"/>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1898568" y="485580"/>
        <a:ext cx="272284" cy="90629"/>
      </dsp:txXfrm>
    </dsp:sp>
    <dsp:sp modelId="{7B472E2B-E5BF-4530-9BC3-4B5E01EA247A}">
      <dsp:nvSpPr>
        <dsp:cNvPr id="0" name=""/>
        <dsp:cNvSpPr/>
      </dsp:nvSpPr>
      <dsp:spPr>
        <a:xfrm>
          <a:off x="1512677" y="342470"/>
          <a:ext cx="315635" cy="31563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4</a:t>
          </a:r>
          <a:endParaRPr lang="fr-FR" sz="800" b="1" kern="1200">
            <a:latin typeface="Simplified Arabic" panose="02020603050405020304" pitchFamily="18" charset="-78"/>
            <a:cs typeface="Simplified Arabic" panose="02020603050405020304" pitchFamily="18" charset="-78"/>
          </a:endParaRPr>
        </a:p>
      </dsp:txBody>
      <dsp:txXfrm>
        <a:off x="1519967" y="342470"/>
        <a:ext cx="315635" cy="210423"/>
      </dsp:txXfrm>
    </dsp:sp>
    <dsp:sp modelId="{DBA72AD1-5341-4ADD-8506-63DCF895E2B6}">
      <dsp:nvSpPr>
        <dsp:cNvPr id="0" name=""/>
        <dsp:cNvSpPr/>
      </dsp:nvSpPr>
      <dsp:spPr>
        <a:xfrm>
          <a:off x="1363222" y="729024"/>
          <a:ext cx="617917" cy="899014"/>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1120" tIns="71120" rIns="71120" bIns="71120" numCol="1" spcCol="1270" anchor="t" anchorCtr="0">
          <a:noAutofit/>
        </a:bodyPr>
        <a:lstStyle/>
        <a:p>
          <a:pPr marL="57150" lvl="1" indent="-57150" algn="r" defTabSz="444500" rtl="1">
            <a:lnSpc>
              <a:spcPct val="90000"/>
            </a:lnSpc>
            <a:spcBef>
              <a:spcPct val="0"/>
            </a:spcBef>
            <a:spcAft>
              <a:spcPct val="15000"/>
            </a:spcAft>
            <a:buChar char="••"/>
          </a:pPr>
          <a:r>
            <a:rPr lang="ar-DZ" sz="1000" b="1" kern="1200">
              <a:latin typeface="Simplified Arabic" panose="02020603050405020304" pitchFamily="18" charset="-78"/>
              <a:cs typeface="Simplified Arabic" panose="02020603050405020304" pitchFamily="18" charset="-78"/>
            </a:rPr>
            <a:t>الجولة3:</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kern="1200">
              <a:latin typeface="Simplified Arabic" panose="02020603050405020304" pitchFamily="18" charset="-78"/>
              <a:cs typeface="Simplified Arabic" panose="02020603050405020304" pitchFamily="18" charset="-78"/>
            </a:rPr>
            <a:t>نظام التصنيف</a:t>
          </a:r>
          <a:endParaRPr lang="fr-FR" sz="1000" kern="1200">
            <a:latin typeface="Simplified Arabic" panose="02020603050405020304" pitchFamily="18" charset="-78"/>
            <a:cs typeface="Simplified Arabic" panose="02020603050405020304" pitchFamily="18" charset="-78"/>
          </a:endParaRPr>
        </a:p>
      </dsp:txBody>
      <dsp:txXfrm>
        <a:off x="1381320" y="747122"/>
        <a:ext cx="581721" cy="862818"/>
      </dsp:txXfrm>
    </dsp:sp>
    <dsp:sp modelId="{EDDDD3E0-E61C-4C67-A2D8-1113B514415F}">
      <dsp:nvSpPr>
        <dsp:cNvPr id="0" name=""/>
        <dsp:cNvSpPr/>
      </dsp:nvSpPr>
      <dsp:spPr>
        <a:xfrm rot="10730167">
          <a:off x="1130388" y="443113"/>
          <a:ext cx="320832" cy="151049"/>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1175698" y="472863"/>
        <a:ext cx="275517" cy="90629"/>
      </dsp:txXfrm>
    </dsp:sp>
    <dsp:sp modelId="{BC6050B1-A255-4CAB-AD27-EBA74847CD4B}">
      <dsp:nvSpPr>
        <dsp:cNvPr id="0" name=""/>
        <dsp:cNvSpPr/>
      </dsp:nvSpPr>
      <dsp:spPr>
        <a:xfrm>
          <a:off x="609808" y="360869"/>
          <a:ext cx="315635" cy="31563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5</a:t>
          </a:r>
          <a:endParaRPr lang="fr-FR" sz="700" kern="1200"/>
        </a:p>
      </dsp:txBody>
      <dsp:txXfrm>
        <a:off x="614370" y="360869"/>
        <a:ext cx="315635" cy="210423"/>
      </dsp:txXfrm>
    </dsp:sp>
    <dsp:sp modelId="{983C1F0B-5563-4FEC-8A6B-A4DACDBC2AD5}">
      <dsp:nvSpPr>
        <dsp:cNvPr id="0" name=""/>
        <dsp:cNvSpPr/>
      </dsp:nvSpPr>
      <dsp:spPr>
        <a:xfrm>
          <a:off x="168957" y="740368"/>
          <a:ext cx="1155023" cy="858182"/>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1120" tIns="71120" rIns="71120" bIns="71120" numCol="1" spcCol="1270" anchor="t" anchorCtr="0">
          <a:noAutofit/>
        </a:bodyPr>
        <a:lstStyle/>
        <a:p>
          <a:pPr marL="57150" lvl="1" indent="-57150" algn="r" defTabSz="444500" rtl="1">
            <a:lnSpc>
              <a:spcPct val="90000"/>
            </a:lnSpc>
            <a:spcBef>
              <a:spcPct val="0"/>
            </a:spcBef>
            <a:spcAft>
              <a:spcPct val="15000"/>
            </a:spcAft>
            <a:buChar char="••"/>
          </a:pPr>
          <a:r>
            <a:rPr lang="ar-DZ" sz="1000" b="1" kern="1200">
              <a:latin typeface="Simplified Arabic" panose="02020603050405020304" pitchFamily="18" charset="-78"/>
              <a:cs typeface="Simplified Arabic" panose="02020603050405020304" pitchFamily="18" charset="-78"/>
            </a:rPr>
            <a:t>جمع تحليل معلومات:</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kern="1200">
              <a:latin typeface="Simplified Arabic" panose="02020603050405020304" pitchFamily="18" charset="-78"/>
              <a:cs typeface="Simplified Arabic" panose="02020603050405020304" pitchFamily="18" charset="-78"/>
            </a:rPr>
            <a:t>تحديد العوامل النهائية لتقييم المرونة الحضرية - بوسعادة</a:t>
          </a:r>
          <a:endParaRPr lang="fr-FR" sz="1000" kern="1200">
            <a:latin typeface="Simplified Arabic" panose="02020603050405020304" pitchFamily="18" charset="-78"/>
            <a:cs typeface="Simplified Arabic" panose="02020603050405020304" pitchFamily="18" charset="-78"/>
          </a:endParaRPr>
        </a:p>
      </dsp:txBody>
      <dsp:txXfrm>
        <a:off x="194092" y="765503"/>
        <a:ext cx="1104753" cy="807912"/>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B8B1BF-AEE4-46EC-989F-95EF1E354EBE}">
      <dsp:nvSpPr>
        <dsp:cNvPr id="0" name=""/>
        <dsp:cNvSpPr/>
      </dsp:nvSpPr>
      <dsp:spPr>
        <a:xfrm>
          <a:off x="0" y="1177754"/>
          <a:ext cx="4761781" cy="227161"/>
        </a:xfrm>
        <a:prstGeom prst="roundRect">
          <a:avLst>
            <a:gd name="adj" fmla="val 10000"/>
          </a:avLst>
        </a:prstGeom>
        <a:noFill/>
        <a:ln>
          <a:noFill/>
        </a:ln>
        <a:effectLst/>
      </dsp:spPr>
      <dsp:style>
        <a:lnRef idx="0">
          <a:scrgbClr r="0" g="0" b="0"/>
        </a:lnRef>
        <a:fillRef idx="1">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المعايير الفرعية (البدائل)</a:t>
          </a:r>
          <a:endParaRPr lang="fr-FR" sz="1200" kern="1200">
            <a:latin typeface="Simplified Arabic" panose="02020603050405020304" pitchFamily="18" charset="-78"/>
            <a:cs typeface="Simplified Arabic" panose="02020603050405020304" pitchFamily="18" charset="-78"/>
          </a:endParaRPr>
        </a:p>
      </dsp:txBody>
      <dsp:txXfrm>
        <a:off x="3333246" y="1177754"/>
        <a:ext cx="1428534" cy="227161"/>
      </dsp:txXfrm>
    </dsp:sp>
    <dsp:sp modelId="{1C34BA21-E602-4E2E-9E7C-5534342EE64F}">
      <dsp:nvSpPr>
        <dsp:cNvPr id="0" name=""/>
        <dsp:cNvSpPr/>
      </dsp:nvSpPr>
      <dsp:spPr>
        <a:xfrm>
          <a:off x="0" y="789457"/>
          <a:ext cx="4761781" cy="227161"/>
        </a:xfrm>
        <a:prstGeom prst="roundRect">
          <a:avLst>
            <a:gd name="adj" fmla="val 10000"/>
          </a:avLst>
        </a:prstGeom>
        <a:noFill/>
        <a:ln>
          <a:noFill/>
        </a:ln>
        <a:effectLst/>
      </dsp:spPr>
      <dsp:style>
        <a:lnRef idx="0">
          <a:scrgbClr r="0" g="0" b="0"/>
        </a:lnRef>
        <a:fillRef idx="1">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المعايير</a:t>
          </a:r>
          <a:endParaRPr lang="fr-FR" sz="2400" kern="1200">
            <a:latin typeface="Simplified Arabic" panose="02020603050405020304" pitchFamily="18" charset="-78"/>
            <a:cs typeface="Simplified Arabic" panose="02020603050405020304" pitchFamily="18" charset="-78"/>
          </a:endParaRPr>
        </a:p>
      </dsp:txBody>
      <dsp:txXfrm>
        <a:off x="3333246" y="789457"/>
        <a:ext cx="1428534" cy="227161"/>
      </dsp:txXfrm>
    </dsp:sp>
    <dsp:sp modelId="{C238C88C-2916-4201-ADC8-1076F3D2AC22}">
      <dsp:nvSpPr>
        <dsp:cNvPr id="0" name=""/>
        <dsp:cNvSpPr/>
      </dsp:nvSpPr>
      <dsp:spPr>
        <a:xfrm>
          <a:off x="0" y="396935"/>
          <a:ext cx="4761781" cy="227161"/>
        </a:xfrm>
        <a:prstGeom prst="roundRect">
          <a:avLst>
            <a:gd name="adj" fmla="val 10000"/>
          </a:avLst>
        </a:prstGeom>
        <a:noFill/>
        <a:ln>
          <a:noFill/>
        </a:ln>
        <a:effectLst/>
      </dsp:spPr>
      <dsp:style>
        <a:lnRef idx="0">
          <a:scrgbClr r="0" g="0" b="0"/>
        </a:lnRef>
        <a:fillRef idx="1">
          <a:scrgbClr r="0" g="0" b="0"/>
        </a:fillRef>
        <a:effectRef idx="0">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الهدف</a:t>
          </a:r>
          <a:endParaRPr lang="fr-FR" sz="2400" kern="1200">
            <a:latin typeface="Simplified Arabic" panose="02020603050405020304" pitchFamily="18" charset="-78"/>
            <a:cs typeface="Simplified Arabic" panose="02020603050405020304" pitchFamily="18" charset="-78"/>
          </a:endParaRPr>
        </a:p>
      </dsp:txBody>
      <dsp:txXfrm>
        <a:off x="3333246" y="396935"/>
        <a:ext cx="1428534" cy="227161"/>
      </dsp:txXfrm>
    </dsp:sp>
    <dsp:sp modelId="{7C848DF1-9AE2-4E25-B983-0926523D6D91}">
      <dsp:nvSpPr>
        <dsp:cNvPr id="0" name=""/>
        <dsp:cNvSpPr/>
      </dsp:nvSpPr>
      <dsp:spPr>
        <a:xfrm>
          <a:off x="1422169" y="319838"/>
          <a:ext cx="600934" cy="279588"/>
        </a:xfrm>
        <a:prstGeom prst="roundRect">
          <a:avLst>
            <a:gd name="adj" fmla="val 10000"/>
          </a:avLst>
        </a:prstGeom>
        <a:solidFill>
          <a:schemeClr val="accent6">
            <a:lumMod val="40000"/>
            <a:lumOff val="60000"/>
          </a:schemeClr>
        </a:solidFill>
        <a:ln w="9525" cap="flat" cmpd="sng" algn="ctr">
          <a:solidFill>
            <a:schemeClr val="accent6">
              <a:lumMod val="20000"/>
              <a:lumOff val="80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الهدف</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430358" y="328027"/>
        <a:ext cx="584556" cy="263210"/>
      </dsp:txXfrm>
    </dsp:sp>
    <dsp:sp modelId="{A35E1BAF-0A2A-4291-917A-223E27A83BE4}">
      <dsp:nvSpPr>
        <dsp:cNvPr id="0" name=""/>
        <dsp:cNvSpPr/>
      </dsp:nvSpPr>
      <dsp:spPr>
        <a:xfrm>
          <a:off x="1722636" y="599426"/>
          <a:ext cx="1084820" cy="143934"/>
        </a:xfrm>
        <a:custGeom>
          <a:avLst/>
          <a:gdLst/>
          <a:ahLst/>
          <a:cxnLst/>
          <a:rect l="0" t="0" r="0" b="0"/>
          <a:pathLst>
            <a:path>
              <a:moveTo>
                <a:pt x="0" y="0"/>
              </a:moveTo>
              <a:lnTo>
                <a:pt x="0" y="71967"/>
              </a:lnTo>
              <a:lnTo>
                <a:pt x="1084820" y="71967"/>
              </a:lnTo>
              <a:lnTo>
                <a:pt x="1084820" y="143934"/>
              </a:lnTo>
            </a:path>
          </a:pathLst>
        </a:custGeom>
        <a:noFill/>
        <a:ln w="6350" cap="flat" cmpd="sng" algn="ctr">
          <a:solidFill>
            <a:schemeClr val="tx1"/>
          </a:solidFill>
          <a:prstDash val="solid"/>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 modelId="{D5A28022-61E1-433F-8FB1-6EE5D0C605C6}">
      <dsp:nvSpPr>
        <dsp:cNvPr id="0" name=""/>
        <dsp:cNvSpPr/>
      </dsp:nvSpPr>
      <dsp:spPr>
        <a:xfrm>
          <a:off x="2486784" y="743361"/>
          <a:ext cx="641344" cy="314989"/>
        </a:xfrm>
        <a:prstGeom prst="roundRect">
          <a:avLst>
            <a:gd name="adj" fmla="val 10000"/>
          </a:avLst>
        </a:prstGeom>
        <a:solidFill>
          <a:schemeClr val="bg1">
            <a:lumMod val="85000"/>
          </a:schemeClr>
        </a:solidFill>
        <a:ln w="6350" cap="flat" cmpd="sng" algn="ctr">
          <a:solidFill>
            <a:schemeClr val="bg1">
              <a:lumMod val="8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معيار (1)</a:t>
          </a:r>
          <a:endParaRPr lang="fr-FR" sz="1200" kern="1200"/>
        </a:p>
      </dsp:txBody>
      <dsp:txXfrm>
        <a:off x="2496010" y="752587"/>
        <a:ext cx="622892" cy="296537"/>
      </dsp:txXfrm>
    </dsp:sp>
    <dsp:sp modelId="{E2489A2D-10D1-4B1A-9022-8C4AAFC94AD9}">
      <dsp:nvSpPr>
        <dsp:cNvPr id="0" name=""/>
        <dsp:cNvSpPr/>
      </dsp:nvSpPr>
      <dsp:spPr>
        <a:xfrm>
          <a:off x="2807456" y="1058350"/>
          <a:ext cx="366890" cy="149330"/>
        </a:xfrm>
        <a:custGeom>
          <a:avLst/>
          <a:gdLst/>
          <a:ahLst/>
          <a:cxnLst/>
          <a:rect l="0" t="0" r="0" b="0"/>
          <a:pathLst>
            <a:path>
              <a:moveTo>
                <a:pt x="0" y="0"/>
              </a:moveTo>
              <a:lnTo>
                <a:pt x="0" y="74665"/>
              </a:lnTo>
              <a:lnTo>
                <a:pt x="366890" y="74665"/>
              </a:lnTo>
              <a:lnTo>
                <a:pt x="366890" y="149330"/>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63358567-AB0C-401C-85D7-9117F8AE3FB0}">
      <dsp:nvSpPr>
        <dsp:cNvPr id="0" name=""/>
        <dsp:cNvSpPr/>
      </dsp:nvSpPr>
      <dsp:spPr>
        <a:xfrm>
          <a:off x="3032372" y="1207680"/>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3037916" y="1213224"/>
        <a:ext cx="272863" cy="178212"/>
      </dsp:txXfrm>
    </dsp:sp>
    <dsp:sp modelId="{18F9BE8E-6BF1-4BFB-8A4D-99B6283065E4}">
      <dsp:nvSpPr>
        <dsp:cNvPr id="0" name=""/>
        <dsp:cNvSpPr/>
      </dsp:nvSpPr>
      <dsp:spPr>
        <a:xfrm>
          <a:off x="2761736" y="1058350"/>
          <a:ext cx="91440" cy="153237"/>
        </a:xfrm>
        <a:custGeom>
          <a:avLst/>
          <a:gdLst/>
          <a:ahLst/>
          <a:cxnLst/>
          <a:rect l="0" t="0" r="0" b="0"/>
          <a:pathLst>
            <a:path>
              <a:moveTo>
                <a:pt x="45720" y="0"/>
              </a:moveTo>
              <a:lnTo>
                <a:pt x="45720" y="76618"/>
              </a:lnTo>
              <a:lnTo>
                <a:pt x="46250" y="76618"/>
              </a:lnTo>
              <a:lnTo>
                <a:pt x="46250" y="153237"/>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D6696896-7E5A-4493-8D76-3615641C3ED2}">
      <dsp:nvSpPr>
        <dsp:cNvPr id="0" name=""/>
        <dsp:cNvSpPr/>
      </dsp:nvSpPr>
      <dsp:spPr>
        <a:xfrm>
          <a:off x="2666012" y="1211587"/>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2671556" y="1217131"/>
        <a:ext cx="272863" cy="178212"/>
      </dsp:txXfrm>
    </dsp:sp>
    <dsp:sp modelId="{3E640F95-9DC4-449C-BE84-196F41BFDAD5}">
      <dsp:nvSpPr>
        <dsp:cNvPr id="0" name=""/>
        <dsp:cNvSpPr/>
      </dsp:nvSpPr>
      <dsp:spPr>
        <a:xfrm>
          <a:off x="2452514" y="1058350"/>
          <a:ext cx="354942" cy="146405"/>
        </a:xfrm>
        <a:custGeom>
          <a:avLst/>
          <a:gdLst/>
          <a:ahLst/>
          <a:cxnLst/>
          <a:rect l="0" t="0" r="0" b="0"/>
          <a:pathLst>
            <a:path>
              <a:moveTo>
                <a:pt x="354942" y="0"/>
              </a:moveTo>
              <a:lnTo>
                <a:pt x="354942" y="73202"/>
              </a:lnTo>
              <a:lnTo>
                <a:pt x="0" y="73202"/>
              </a:lnTo>
              <a:lnTo>
                <a:pt x="0" y="146405"/>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4F58919A-3CE6-495B-A83E-B0508C168C17}">
      <dsp:nvSpPr>
        <dsp:cNvPr id="0" name=""/>
        <dsp:cNvSpPr/>
      </dsp:nvSpPr>
      <dsp:spPr>
        <a:xfrm>
          <a:off x="2310539" y="1204755"/>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2316083" y="1210299"/>
        <a:ext cx="272863" cy="178212"/>
      </dsp:txXfrm>
    </dsp:sp>
    <dsp:sp modelId="{C99CCCA8-C584-4006-919F-2775C0FDB68F}">
      <dsp:nvSpPr>
        <dsp:cNvPr id="0" name=""/>
        <dsp:cNvSpPr/>
      </dsp:nvSpPr>
      <dsp:spPr>
        <a:xfrm>
          <a:off x="1676916" y="599426"/>
          <a:ext cx="91440" cy="146301"/>
        </a:xfrm>
        <a:custGeom>
          <a:avLst/>
          <a:gdLst/>
          <a:ahLst/>
          <a:cxnLst/>
          <a:rect l="0" t="0" r="0" b="0"/>
          <a:pathLst>
            <a:path>
              <a:moveTo>
                <a:pt x="45720" y="0"/>
              </a:moveTo>
              <a:lnTo>
                <a:pt x="45720" y="73150"/>
              </a:lnTo>
              <a:lnTo>
                <a:pt x="50988" y="73150"/>
              </a:lnTo>
              <a:lnTo>
                <a:pt x="50988" y="146301"/>
              </a:lnTo>
            </a:path>
          </a:pathLst>
        </a:custGeom>
        <a:noFill/>
        <a:ln w="12700"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92A8F34B-BB05-43A7-8F80-3DB47EAF20A8}">
      <dsp:nvSpPr>
        <dsp:cNvPr id="0" name=""/>
        <dsp:cNvSpPr/>
      </dsp:nvSpPr>
      <dsp:spPr>
        <a:xfrm>
          <a:off x="1407425" y="745727"/>
          <a:ext cx="640957" cy="325792"/>
        </a:xfrm>
        <a:prstGeom prst="roundRect">
          <a:avLst>
            <a:gd name="adj" fmla="val 10000"/>
          </a:avLst>
        </a:prstGeom>
        <a:solidFill>
          <a:schemeClr val="bg1">
            <a:lumMod val="85000"/>
          </a:schemeClr>
        </a:solidFill>
        <a:ln w="9525" cap="flat" cmpd="sng" algn="ctr">
          <a:solidFill>
            <a:schemeClr val="bg1">
              <a:lumMod val="8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معيار (2)</a:t>
          </a:r>
          <a:endParaRPr lang="fr-FR" sz="1200" kern="1200"/>
        </a:p>
      </dsp:txBody>
      <dsp:txXfrm>
        <a:off x="1416967" y="755269"/>
        <a:ext cx="621873" cy="306708"/>
      </dsp:txXfrm>
    </dsp:sp>
    <dsp:sp modelId="{5A0D8665-A3F8-484E-B9B0-9D56D4AA3E0E}">
      <dsp:nvSpPr>
        <dsp:cNvPr id="0" name=""/>
        <dsp:cNvSpPr/>
      </dsp:nvSpPr>
      <dsp:spPr>
        <a:xfrm>
          <a:off x="1727904" y="1071519"/>
          <a:ext cx="355473" cy="134348"/>
        </a:xfrm>
        <a:custGeom>
          <a:avLst/>
          <a:gdLst/>
          <a:ahLst/>
          <a:cxnLst/>
          <a:rect l="0" t="0" r="0" b="0"/>
          <a:pathLst>
            <a:path>
              <a:moveTo>
                <a:pt x="0" y="0"/>
              </a:moveTo>
              <a:lnTo>
                <a:pt x="0" y="67174"/>
              </a:lnTo>
              <a:lnTo>
                <a:pt x="355473" y="67174"/>
              </a:lnTo>
              <a:lnTo>
                <a:pt x="355473" y="134348"/>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19BD9073-A2BD-4E71-B8C6-BBF5A340A9D8}">
      <dsp:nvSpPr>
        <dsp:cNvPr id="0" name=""/>
        <dsp:cNvSpPr/>
      </dsp:nvSpPr>
      <dsp:spPr>
        <a:xfrm>
          <a:off x="1941402" y="1205868"/>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1946946" y="1211412"/>
        <a:ext cx="272863" cy="178212"/>
      </dsp:txXfrm>
    </dsp:sp>
    <dsp:sp modelId="{39B2F692-1BE4-479B-939E-B7C6D6EE6A46}">
      <dsp:nvSpPr>
        <dsp:cNvPr id="0" name=""/>
        <dsp:cNvSpPr/>
      </dsp:nvSpPr>
      <dsp:spPr>
        <a:xfrm>
          <a:off x="1682184" y="1071519"/>
          <a:ext cx="91440" cy="132281"/>
        </a:xfrm>
        <a:custGeom>
          <a:avLst/>
          <a:gdLst/>
          <a:ahLst/>
          <a:cxnLst/>
          <a:rect l="0" t="0" r="0" b="0"/>
          <a:pathLst>
            <a:path>
              <a:moveTo>
                <a:pt x="45720" y="0"/>
              </a:moveTo>
              <a:lnTo>
                <a:pt x="45720" y="132281"/>
              </a:lnTo>
            </a:path>
          </a:pathLst>
        </a:custGeom>
        <a:no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AB57768D-E3ED-4AA4-84BE-DFEC6663B236}">
      <dsp:nvSpPr>
        <dsp:cNvPr id="0" name=""/>
        <dsp:cNvSpPr/>
      </dsp:nvSpPr>
      <dsp:spPr>
        <a:xfrm>
          <a:off x="1585929" y="1203801"/>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1591473" y="1209345"/>
        <a:ext cx="272863" cy="178212"/>
      </dsp:txXfrm>
    </dsp:sp>
    <dsp:sp modelId="{2F27D46E-835F-48A2-93AB-9AE3E4DC1344}">
      <dsp:nvSpPr>
        <dsp:cNvPr id="0" name=""/>
        <dsp:cNvSpPr/>
      </dsp:nvSpPr>
      <dsp:spPr>
        <a:xfrm>
          <a:off x="1372431" y="1071519"/>
          <a:ext cx="355473" cy="129695"/>
        </a:xfrm>
        <a:custGeom>
          <a:avLst/>
          <a:gdLst/>
          <a:ahLst/>
          <a:cxnLst/>
          <a:rect l="0" t="0" r="0" b="0"/>
          <a:pathLst>
            <a:path>
              <a:moveTo>
                <a:pt x="355473" y="0"/>
              </a:moveTo>
              <a:lnTo>
                <a:pt x="355473" y="64847"/>
              </a:lnTo>
              <a:lnTo>
                <a:pt x="0" y="64847"/>
              </a:lnTo>
              <a:lnTo>
                <a:pt x="0" y="129695"/>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87096355-B31D-4DFF-A8D0-ED4E0A8AD722}">
      <dsp:nvSpPr>
        <dsp:cNvPr id="0" name=""/>
        <dsp:cNvSpPr/>
      </dsp:nvSpPr>
      <dsp:spPr>
        <a:xfrm>
          <a:off x="1230456" y="1201215"/>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1236000" y="1206759"/>
        <a:ext cx="272863" cy="178212"/>
      </dsp:txXfrm>
    </dsp:sp>
    <dsp:sp modelId="{58EEC371-3188-4EA1-A9FA-E0BE3F012C82}">
      <dsp:nvSpPr>
        <dsp:cNvPr id="0" name=""/>
        <dsp:cNvSpPr/>
      </dsp:nvSpPr>
      <dsp:spPr>
        <a:xfrm>
          <a:off x="606830" y="599426"/>
          <a:ext cx="1115806" cy="146301"/>
        </a:xfrm>
        <a:custGeom>
          <a:avLst/>
          <a:gdLst/>
          <a:ahLst/>
          <a:cxnLst/>
          <a:rect l="0" t="0" r="0" b="0"/>
          <a:pathLst>
            <a:path>
              <a:moveTo>
                <a:pt x="1115806" y="0"/>
              </a:moveTo>
              <a:lnTo>
                <a:pt x="1115806" y="73150"/>
              </a:lnTo>
              <a:lnTo>
                <a:pt x="0" y="73150"/>
              </a:lnTo>
              <a:lnTo>
                <a:pt x="0" y="146301"/>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4460B01-6339-46BD-96F2-D2EFAAE1DF00}">
      <dsp:nvSpPr>
        <dsp:cNvPr id="0" name=""/>
        <dsp:cNvSpPr/>
      </dsp:nvSpPr>
      <dsp:spPr>
        <a:xfrm>
          <a:off x="302950" y="745727"/>
          <a:ext cx="607761" cy="295648"/>
        </a:xfrm>
        <a:prstGeom prst="roundRect">
          <a:avLst>
            <a:gd name="adj" fmla="val 10000"/>
          </a:avLst>
        </a:prstGeom>
        <a:solidFill>
          <a:schemeClr val="bg1">
            <a:lumMod val="85000"/>
          </a:schemeClr>
        </a:solidFill>
        <a:ln w="6350" cap="flat" cmpd="sng" algn="ctr">
          <a:solidFill>
            <a:schemeClr val="bg1">
              <a:lumMod val="8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معيار (3)</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311609" y="754386"/>
        <a:ext cx="590443" cy="278330"/>
      </dsp:txXfrm>
    </dsp:sp>
    <dsp:sp modelId="{6925E4C4-D918-4C5B-82FD-40B214ED4924}">
      <dsp:nvSpPr>
        <dsp:cNvPr id="0" name=""/>
        <dsp:cNvSpPr/>
      </dsp:nvSpPr>
      <dsp:spPr>
        <a:xfrm>
          <a:off x="606830" y="1041375"/>
          <a:ext cx="369136" cy="159474"/>
        </a:xfrm>
        <a:custGeom>
          <a:avLst/>
          <a:gdLst/>
          <a:ahLst/>
          <a:cxnLst/>
          <a:rect l="0" t="0" r="0" b="0"/>
          <a:pathLst>
            <a:path>
              <a:moveTo>
                <a:pt x="0" y="0"/>
              </a:moveTo>
              <a:lnTo>
                <a:pt x="0" y="79737"/>
              </a:lnTo>
              <a:lnTo>
                <a:pt x="369136" y="79737"/>
              </a:lnTo>
              <a:lnTo>
                <a:pt x="369136" y="159474"/>
              </a:lnTo>
            </a:path>
          </a:pathLst>
        </a:custGeom>
        <a:no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4E5C403B-1D38-4E01-956E-D97516F91DC6}">
      <dsp:nvSpPr>
        <dsp:cNvPr id="0" name=""/>
        <dsp:cNvSpPr/>
      </dsp:nvSpPr>
      <dsp:spPr>
        <a:xfrm>
          <a:off x="833991" y="1200850"/>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839535" y="1206394"/>
        <a:ext cx="272863" cy="178212"/>
      </dsp:txXfrm>
    </dsp:sp>
    <dsp:sp modelId="{280FA3FB-31D7-4AC6-A9A1-249FC70E30EC}">
      <dsp:nvSpPr>
        <dsp:cNvPr id="0" name=""/>
        <dsp:cNvSpPr/>
      </dsp:nvSpPr>
      <dsp:spPr>
        <a:xfrm>
          <a:off x="561110" y="1041375"/>
          <a:ext cx="91440" cy="159474"/>
        </a:xfrm>
        <a:custGeom>
          <a:avLst/>
          <a:gdLst/>
          <a:ahLst/>
          <a:cxnLst/>
          <a:rect l="0" t="0" r="0" b="0"/>
          <a:pathLst>
            <a:path>
              <a:moveTo>
                <a:pt x="45720" y="0"/>
              </a:moveTo>
              <a:lnTo>
                <a:pt x="45720" y="159474"/>
              </a:lnTo>
            </a:path>
          </a:pathLst>
        </a:custGeom>
        <a:no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F666C5F7-852A-43B3-8D32-25C90D17765F}">
      <dsp:nvSpPr>
        <dsp:cNvPr id="0" name=""/>
        <dsp:cNvSpPr/>
      </dsp:nvSpPr>
      <dsp:spPr>
        <a:xfrm>
          <a:off x="464854" y="1200850"/>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470398" y="1206394"/>
        <a:ext cx="272863" cy="178212"/>
      </dsp:txXfrm>
    </dsp:sp>
    <dsp:sp modelId="{EB19BBEA-FC12-4502-A24E-45F04D438B4B}">
      <dsp:nvSpPr>
        <dsp:cNvPr id="0" name=""/>
        <dsp:cNvSpPr/>
      </dsp:nvSpPr>
      <dsp:spPr>
        <a:xfrm>
          <a:off x="237693" y="1041375"/>
          <a:ext cx="369136" cy="154821"/>
        </a:xfrm>
        <a:custGeom>
          <a:avLst/>
          <a:gdLst/>
          <a:ahLst/>
          <a:cxnLst/>
          <a:rect l="0" t="0" r="0" b="0"/>
          <a:pathLst>
            <a:path>
              <a:moveTo>
                <a:pt x="369136" y="0"/>
              </a:moveTo>
              <a:lnTo>
                <a:pt x="369136" y="77410"/>
              </a:lnTo>
              <a:lnTo>
                <a:pt x="0" y="77410"/>
              </a:lnTo>
              <a:lnTo>
                <a:pt x="0" y="154821"/>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1E6D603-2130-4095-B256-64BED9E9E5FD}">
      <dsp:nvSpPr>
        <dsp:cNvPr id="0" name=""/>
        <dsp:cNvSpPr/>
      </dsp:nvSpPr>
      <dsp:spPr>
        <a:xfrm>
          <a:off x="95718" y="1196197"/>
          <a:ext cx="283951" cy="189300"/>
        </a:xfrm>
        <a:prstGeom prst="roundRect">
          <a:avLst>
            <a:gd name="adj" fmla="val 10000"/>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p>
      </dsp:txBody>
      <dsp:txXfrm>
        <a:off x="101262" y="1201741"/>
        <a:ext cx="272863" cy="178212"/>
      </dsp:txXfrm>
    </dsp:sp>
  </dsp:spTree>
</dsp:drawing>
</file>

<file path=word/diagrams/drawing1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479F16-3621-4A11-8DD5-22E7701143F5}">
      <dsp:nvSpPr>
        <dsp:cNvPr id="0" name=""/>
        <dsp:cNvSpPr/>
      </dsp:nvSpPr>
      <dsp:spPr>
        <a:xfrm>
          <a:off x="4384532" y="318439"/>
          <a:ext cx="334004" cy="33400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b="1" kern="1200">
              <a:solidFill>
                <a:schemeClr val="tx1"/>
              </a:solidFill>
              <a:latin typeface="Simplified Arabic" panose="02020603050405020304" pitchFamily="18" charset="-78"/>
              <a:cs typeface="Simplified Arabic" panose="02020603050405020304" pitchFamily="18" charset="-78"/>
            </a:rPr>
            <a:t>1</a:t>
          </a:r>
          <a:endParaRPr lang="fr-FR" sz="500" b="1" kern="1200">
            <a:solidFill>
              <a:schemeClr val="tx1"/>
            </a:solidFill>
            <a:latin typeface="Simplified Arabic" panose="02020603050405020304" pitchFamily="18" charset="-78"/>
            <a:cs typeface="Simplified Arabic" panose="02020603050405020304" pitchFamily="18" charset="-78"/>
          </a:endParaRPr>
        </a:p>
      </dsp:txBody>
      <dsp:txXfrm>
        <a:off x="4392247" y="318439"/>
        <a:ext cx="334004" cy="222670"/>
      </dsp:txXfrm>
    </dsp:sp>
    <dsp:sp modelId="{D048F298-AD3F-41F8-88B3-E33208ACA93C}">
      <dsp:nvSpPr>
        <dsp:cNvPr id="0" name=""/>
        <dsp:cNvSpPr/>
      </dsp:nvSpPr>
      <dsp:spPr>
        <a:xfrm>
          <a:off x="4009888" y="810679"/>
          <a:ext cx="1097104" cy="976271"/>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57150" lvl="1" indent="-57150" algn="r" defTabSz="488950" rtl="1">
            <a:lnSpc>
              <a:spcPct val="90000"/>
            </a:lnSpc>
            <a:spcBef>
              <a:spcPct val="0"/>
            </a:spcBef>
            <a:spcAft>
              <a:spcPct val="15000"/>
            </a:spcAft>
            <a:buChar char="••"/>
          </a:pPr>
          <a:r>
            <a:rPr lang="ar-DZ" sz="1100" b="1" kern="1200">
              <a:latin typeface="Simplified Arabic" panose="02020603050405020304" pitchFamily="18" charset="-78"/>
              <a:cs typeface="Simplified Arabic" panose="02020603050405020304" pitchFamily="18" charset="-78"/>
            </a:rPr>
            <a:t>بناء استبيان:</a:t>
          </a:r>
          <a:endParaRPr lang="fr-FR" sz="1100" kern="1200">
            <a:latin typeface="Simplified Arabic" panose="02020603050405020304" pitchFamily="18" charset="-78"/>
            <a:cs typeface="Simplified Arabic" panose="02020603050405020304" pitchFamily="18" charset="-78"/>
          </a:endParaRPr>
        </a:p>
        <a:p>
          <a:pPr marL="57150" lvl="1" indent="-57150" algn="r" defTabSz="488950" rtl="1">
            <a:lnSpc>
              <a:spcPct val="90000"/>
            </a:lnSpc>
            <a:spcBef>
              <a:spcPct val="0"/>
            </a:spcBef>
            <a:spcAft>
              <a:spcPct val="15000"/>
            </a:spcAft>
            <a:buChar char="••"/>
          </a:pPr>
          <a:r>
            <a:rPr lang="ar-DZ" sz="1100" kern="1200">
              <a:latin typeface="Simplified Arabic" panose="02020603050405020304" pitchFamily="18" charset="-78"/>
              <a:cs typeface="Simplified Arabic" panose="02020603050405020304" pitchFamily="18" charset="-78"/>
            </a:rPr>
            <a:t>الاطلاع على الابحاث</a:t>
          </a:r>
          <a:endParaRPr lang="fr-FR" sz="1100" kern="1200">
            <a:latin typeface="Simplified Arabic" panose="02020603050405020304" pitchFamily="18" charset="-78"/>
            <a:cs typeface="Simplified Arabic" panose="02020603050405020304" pitchFamily="18" charset="-78"/>
          </a:endParaRPr>
        </a:p>
      </dsp:txBody>
      <dsp:txXfrm>
        <a:off x="4038482" y="839273"/>
        <a:ext cx="1039916" cy="919083"/>
      </dsp:txXfrm>
    </dsp:sp>
    <dsp:sp modelId="{ADA0B68D-5658-4CE3-9566-0755DC5BBFFC}">
      <dsp:nvSpPr>
        <dsp:cNvPr id="0" name=""/>
        <dsp:cNvSpPr/>
      </dsp:nvSpPr>
      <dsp:spPr>
        <a:xfrm rot="10807551">
          <a:off x="3731710" y="385216"/>
          <a:ext cx="499540" cy="15984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3779662" y="417237"/>
        <a:ext cx="451588" cy="95904"/>
      </dsp:txXfrm>
    </dsp:sp>
    <dsp:sp modelId="{60AF9CD0-670E-40D9-8F1D-B057D41C85F3}">
      <dsp:nvSpPr>
        <dsp:cNvPr id="0" name=""/>
        <dsp:cNvSpPr/>
      </dsp:nvSpPr>
      <dsp:spPr>
        <a:xfrm>
          <a:off x="3345756" y="312013"/>
          <a:ext cx="334004" cy="33400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2</a:t>
          </a:r>
          <a:endParaRPr lang="fr-FR" sz="800" kern="1200"/>
        </a:p>
      </dsp:txBody>
      <dsp:txXfrm>
        <a:off x="3353470" y="312013"/>
        <a:ext cx="334004" cy="222670"/>
      </dsp:txXfrm>
    </dsp:sp>
    <dsp:sp modelId="{D5D30473-44A0-4A5D-800F-C2AB4E98487A}">
      <dsp:nvSpPr>
        <dsp:cNvPr id="0" name=""/>
        <dsp:cNvSpPr/>
      </dsp:nvSpPr>
      <dsp:spPr>
        <a:xfrm>
          <a:off x="3092192" y="803010"/>
          <a:ext cx="851768" cy="1007619"/>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57150" lvl="1" indent="-57150" algn="r" defTabSz="488950" rtl="1">
            <a:lnSpc>
              <a:spcPct val="90000"/>
            </a:lnSpc>
            <a:spcBef>
              <a:spcPct val="0"/>
            </a:spcBef>
            <a:spcAft>
              <a:spcPct val="15000"/>
            </a:spcAft>
            <a:buChar char="••"/>
          </a:pPr>
          <a:r>
            <a:rPr lang="ar-DZ" sz="1100" b="1" kern="1200">
              <a:latin typeface="Simplified Arabic" panose="02020603050405020304" pitchFamily="18" charset="-78"/>
              <a:cs typeface="Simplified Arabic" panose="02020603050405020304" pitchFamily="18" charset="-78"/>
            </a:rPr>
            <a:t>المراجعة:</a:t>
          </a:r>
          <a:endParaRPr lang="fr-FR" sz="1100" kern="1200">
            <a:latin typeface="Simplified Arabic" panose="02020603050405020304" pitchFamily="18" charset="-78"/>
            <a:cs typeface="Simplified Arabic" panose="02020603050405020304" pitchFamily="18" charset="-78"/>
          </a:endParaRPr>
        </a:p>
        <a:p>
          <a:pPr marL="57150" lvl="1" indent="-57150" algn="r" defTabSz="488950" rtl="1">
            <a:lnSpc>
              <a:spcPct val="90000"/>
            </a:lnSpc>
            <a:spcBef>
              <a:spcPct val="0"/>
            </a:spcBef>
            <a:spcAft>
              <a:spcPct val="15000"/>
            </a:spcAft>
            <a:buChar char="••"/>
          </a:pPr>
          <a:r>
            <a:rPr lang="ar-DZ" sz="1100" kern="1200">
              <a:latin typeface="Simplified Arabic" panose="02020603050405020304" pitchFamily="18" charset="-78"/>
              <a:cs typeface="Simplified Arabic" panose="02020603050405020304" pitchFamily="18" charset="-78"/>
            </a:rPr>
            <a:t>مراجعة لغوية</a:t>
          </a:r>
          <a:endParaRPr lang="fr-FR" sz="1100" kern="1200">
            <a:latin typeface="Simplified Arabic" panose="02020603050405020304" pitchFamily="18" charset="-78"/>
            <a:cs typeface="Simplified Arabic" panose="02020603050405020304" pitchFamily="18" charset="-78"/>
          </a:endParaRPr>
        </a:p>
      </dsp:txBody>
      <dsp:txXfrm>
        <a:off x="3117139" y="827957"/>
        <a:ext cx="801874" cy="957725"/>
      </dsp:txXfrm>
    </dsp:sp>
    <dsp:sp modelId="{DB54BBEA-D4D7-4FC0-9D8C-944C9552595D}">
      <dsp:nvSpPr>
        <dsp:cNvPr id="0" name=""/>
        <dsp:cNvSpPr/>
      </dsp:nvSpPr>
      <dsp:spPr>
        <a:xfrm rot="10796836">
          <a:off x="2829169" y="385242"/>
          <a:ext cx="411218" cy="15984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2877121" y="417188"/>
        <a:ext cx="363266" cy="95904"/>
      </dsp:txXfrm>
    </dsp:sp>
    <dsp:sp modelId="{E5D3A23F-EBB1-48F4-AA19-A215A4BE9BD7}">
      <dsp:nvSpPr>
        <dsp:cNvPr id="0" name=""/>
        <dsp:cNvSpPr/>
      </dsp:nvSpPr>
      <dsp:spPr>
        <a:xfrm>
          <a:off x="2343836" y="313461"/>
          <a:ext cx="334004" cy="332436"/>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3</a:t>
          </a:r>
          <a:endParaRPr lang="fr-FR" sz="800" kern="1200"/>
        </a:p>
      </dsp:txBody>
      <dsp:txXfrm>
        <a:off x="2348663" y="313461"/>
        <a:ext cx="334004" cy="221624"/>
      </dsp:txXfrm>
    </dsp:sp>
    <dsp:sp modelId="{F5A1E78E-154D-4BF4-84D9-FD4DB916BAEC}">
      <dsp:nvSpPr>
        <dsp:cNvPr id="0" name=""/>
        <dsp:cNvSpPr/>
      </dsp:nvSpPr>
      <dsp:spPr>
        <a:xfrm>
          <a:off x="2029362" y="794800"/>
          <a:ext cx="999642" cy="1012009"/>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57150" lvl="1" indent="-57150" algn="r" defTabSz="488950" rtl="1">
            <a:lnSpc>
              <a:spcPct val="90000"/>
            </a:lnSpc>
            <a:spcBef>
              <a:spcPct val="0"/>
            </a:spcBef>
            <a:spcAft>
              <a:spcPct val="15000"/>
            </a:spcAft>
            <a:buChar char="••"/>
          </a:pPr>
          <a:r>
            <a:rPr lang="ar-DZ" sz="1100" b="1" kern="1200">
              <a:latin typeface="Simplified Arabic" panose="02020603050405020304" pitchFamily="18" charset="-78"/>
              <a:cs typeface="Simplified Arabic" panose="02020603050405020304" pitchFamily="18" charset="-78"/>
            </a:rPr>
            <a:t>توزيع استبيان:</a:t>
          </a:r>
          <a:endParaRPr lang="fr-FR" sz="1100" kern="1200">
            <a:latin typeface="Simplified Arabic" panose="02020603050405020304" pitchFamily="18" charset="-78"/>
            <a:cs typeface="Simplified Arabic" panose="02020603050405020304" pitchFamily="18" charset="-78"/>
          </a:endParaRPr>
        </a:p>
        <a:p>
          <a:pPr marL="57150" lvl="1" indent="-57150" algn="r" defTabSz="488950" rtl="1">
            <a:lnSpc>
              <a:spcPct val="90000"/>
            </a:lnSpc>
            <a:spcBef>
              <a:spcPct val="0"/>
            </a:spcBef>
            <a:spcAft>
              <a:spcPct val="15000"/>
            </a:spcAft>
            <a:buChar char="••"/>
          </a:pPr>
          <a:r>
            <a:rPr lang="ar-DZ" sz="1100" kern="1200">
              <a:latin typeface="Simplified Arabic" panose="02020603050405020304" pitchFamily="18" charset="-78"/>
              <a:cs typeface="Simplified Arabic" panose="02020603050405020304" pitchFamily="18" charset="-78"/>
            </a:rPr>
            <a:t>الإنترنت (اداة </a:t>
          </a:r>
          <a:r>
            <a:rPr lang="fr-FR" sz="1100" kern="1200">
              <a:latin typeface="Times New Roman" panose="02020603050405020304" pitchFamily="18" charset="0"/>
              <a:cs typeface="Times New Roman" panose="02020603050405020304" pitchFamily="18" charset="0"/>
            </a:rPr>
            <a:t>Web</a:t>
          </a:r>
          <a:r>
            <a:rPr lang="ar-DZ" sz="1100" kern="1200">
              <a:latin typeface="Simplified Arabic" panose="02020603050405020304" pitchFamily="18" charset="-78"/>
              <a:cs typeface="Simplified Arabic" panose="02020603050405020304" pitchFamily="18" charset="-78"/>
            </a:rPr>
            <a:t> </a:t>
          </a:r>
          <a:r>
            <a:rPr lang="fr-FR" sz="1100" kern="1200">
              <a:latin typeface="Simplified Arabic" panose="02020603050405020304" pitchFamily="18" charset="-78"/>
              <a:cs typeface="Simplified Arabic" panose="02020603050405020304" pitchFamily="18" charset="-78"/>
            </a:rPr>
            <a:t>(</a:t>
          </a:r>
        </a:p>
      </dsp:txBody>
      <dsp:txXfrm>
        <a:off x="2058641" y="824079"/>
        <a:ext cx="941084" cy="953451"/>
      </dsp:txXfrm>
    </dsp:sp>
    <dsp:sp modelId="{8E9415A4-3E9B-4923-8D4F-D88BDC6FE7CD}">
      <dsp:nvSpPr>
        <dsp:cNvPr id="0" name=""/>
        <dsp:cNvSpPr/>
      </dsp:nvSpPr>
      <dsp:spPr>
        <a:xfrm rot="10804315">
          <a:off x="1803915" y="392842"/>
          <a:ext cx="356028" cy="15984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1851867" y="424840"/>
        <a:ext cx="308076" cy="95904"/>
      </dsp:txXfrm>
    </dsp:sp>
    <dsp:sp modelId="{7B472E2B-E5BF-4530-9BC3-4B5E01EA247A}">
      <dsp:nvSpPr>
        <dsp:cNvPr id="0" name=""/>
        <dsp:cNvSpPr/>
      </dsp:nvSpPr>
      <dsp:spPr>
        <a:xfrm>
          <a:off x="1363954" y="311712"/>
          <a:ext cx="334004" cy="33400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4</a:t>
          </a:r>
          <a:endParaRPr lang="fr-FR" sz="800" kern="1200">
            <a:latin typeface="Simplified Arabic" panose="02020603050405020304" pitchFamily="18" charset="-78"/>
            <a:cs typeface="Simplified Arabic" panose="02020603050405020304" pitchFamily="18" charset="-78"/>
          </a:endParaRPr>
        </a:p>
      </dsp:txBody>
      <dsp:txXfrm>
        <a:off x="1371669" y="311712"/>
        <a:ext cx="334004" cy="222670"/>
      </dsp:txXfrm>
    </dsp:sp>
    <dsp:sp modelId="{DBA72AD1-5341-4ADD-8506-63DCF895E2B6}">
      <dsp:nvSpPr>
        <dsp:cNvPr id="0" name=""/>
        <dsp:cNvSpPr/>
      </dsp:nvSpPr>
      <dsp:spPr>
        <a:xfrm>
          <a:off x="1086181" y="805589"/>
          <a:ext cx="870314" cy="100252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57150" lvl="1" indent="-57150" algn="r" defTabSz="488950" rtl="1">
            <a:lnSpc>
              <a:spcPct val="90000"/>
            </a:lnSpc>
            <a:spcBef>
              <a:spcPct val="0"/>
            </a:spcBef>
            <a:spcAft>
              <a:spcPct val="15000"/>
            </a:spcAft>
            <a:buChar char="••"/>
          </a:pPr>
          <a:r>
            <a:rPr lang="ar-DZ" sz="1100" kern="1200">
              <a:latin typeface="Simplified Arabic" panose="02020603050405020304" pitchFamily="18" charset="-78"/>
              <a:cs typeface="Simplified Arabic" panose="02020603050405020304" pitchFamily="18" charset="-78"/>
            </a:rPr>
            <a:t>جمع البيانات</a:t>
          </a:r>
          <a:endParaRPr lang="fr-FR" sz="1100" kern="1200">
            <a:latin typeface="Simplified Arabic" panose="02020603050405020304" pitchFamily="18" charset="-78"/>
            <a:cs typeface="Simplified Arabic" panose="02020603050405020304" pitchFamily="18" charset="-78"/>
          </a:endParaRPr>
        </a:p>
      </dsp:txBody>
      <dsp:txXfrm>
        <a:off x="1111672" y="831080"/>
        <a:ext cx="819332" cy="951544"/>
      </dsp:txXfrm>
    </dsp:sp>
    <dsp:sp modelId="{EDDDD3E0-E61C-4C67-A2D8-1113B514415F}">
      <dsp:nvSpPr>
        <dsp:cNvPr id="0" name=""/>
        <dsp:cNvSpPr/>
      </dsp:nvSpPr>
      <dsp:spPr>
        <a:xfrm rot="10776592">
          <a:off x="834264" y="390163"/>
          <a:ext cx="389568" cy="15984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r" defTabSz="177800">
            <a:lnSpc>
              <a:spcPct val="90000"/>
            </a:lnSpc>
            <a:spcBef>
              <a:spcPct val="0"/>
            </a:spcBef>
            <a:spcAft>
              <a:spcPct val="35000"/>
            </a:spcAft>
          </a:pPr>
          <a:endParaRPr lang="fr-FR" sz="400" kern="1200"/>
        </a:p>
      </dsp:txBody>
      <dsp:txXfrm rot="10800000">
        <a:off x="882215" y="421968"/>
        <a:ext cx="341616" cy="95904"/>
      </dsp:txXfrm>
    </dsp:sp>
    <dsp:sp modelId="{BC6050B1-A255-4CAB-AD27-EBA74847CD4B}">
      <dsp:nvSpPr>
        <dsp:cNvPr id="0" name=""/>
        <dsp:cNvSpPr/>
      </dsp:nvSpPr>
      <dsp:spPr>
        <a:xfrm>
          <a:off x="381485" y="318421"/>
          <a:ext cx="334004" cy="334005"/>
        </a:xfrm>
        <a:prstGeom prst="ellipse">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85344" rIns="85344" bIns="45720" numCol="1" spcCol="1270" anchor="t" anchorCtr="0">
          <a:noAutofit/>
        </a:bodyPr>
        <a:lstStyle/>
        <a:p>
          <a:pPr lvl="0" algn="ctr" defTabSz="533400">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5</a:t>
          </a:r>
          <a:endParaRPr lang="fr-FR" sz="700" kern="1200"/>
        </a:p>
      </dsp:txBody>
      <dsp:txXfrm>
        <a:off x="386312" y="318421"/>
        <a:ext cx="334004" cy="222670"/>
      </dsp:txXfrm>
    </dsp:sp>
    <dsp:sp modelId="{983C1F0B-5563-4FEC-8A6B-A4DACDBC2AD5}">
      <dsp:nvSpPr>
        <dsp:cNvPr id="0" name=""/>
        <dsp:cNvSpPr/>
      </dsp:nvSpPr>
      <dsp:spPr>
        <a:xfrm>
          <a:off x="97478" y="814805"/>
          <a:ext cx="924577" cy="99329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78232" tIns="78232" rIns="78232" bIns="78232" numCol="1" spcCol="1270" anchor="t" anchorCtr="0">
          <a:noAutofit/>
        </a:bodyPr>
        <a:lstStyle/>
        <a:p>
          <a:pPr marL="57150" lvl="1" indent="-57150" algn="ctr" defTabSz="488950" rtl="1">
            <a:lnSpc>
              <a:spcPct val="90000"/>
            </a:lnSpc>
            <a:spcBef>
              <a:spcPct val="0"/>
            </a:spcBef>
            <a:spcAft>
              <a:spcPct val="15000"/>
            </a:spcAft>
            <a:buChar char="••"/>
          </a:pPr>
          <a:r>
            <a:rPr lang="ar-DZ" sz="1100" kern="1200">
              <a:latin typeface="Simplified Arabic" panose="02020603050405020304" pitchFamily="18" charset="-78"/>
              <a:cs typeface="Simplified Arabic" panose="02020603050405020304" pitchFamily="18" charset="-78"/>
            </a:rPr>
            <a:t>تحليل البيانات برنامج إحصاء </a:t>
          </a:r>
          <a:r>
            <a:rPr lang="ar-DZ" sz="1000" b="1" kern="1200">
              <a:latin typeface="Simplified Arabic" panose="02020603050405020304" pitchFamily="18" charset="-78"/>
              <a:cs typeface="+mj-cs"/>
            </a:rPr>
            <a:t>(</a:t>
          </a:r>
          <a:r>
            <a:rPr lang="en-US" sz="1000" b="0" kern="1200">
              <a:latin typeface="Times New Roman" panose="02020603050405020304" pitchFamily="18" charset="0"/>
              <a:cs typeface="Times New Roman" panose="02020603050405020304" pitchFamily="18" charset="0"/>
            </a:rPr>
            <a:t>Excel</a:t>
          </a:r>
          <a:r>
            <a:rPr lang="ar-DZ" sz="1000" b="1" kern="1200">
              <a:latin typeface="Simplified Arabic" panose="02020603050405020304" pitchFamily="18" charset="-78"/>
              <a:cs typeface="+mj-cs"/>
            </a:rPr>
            <a:t>)</a:t>
          </a:r>
          <a:endParaRPr lang="fr-FR" sz="1000" b="1" kern="1200">
            <a:latin typeface="Simplified Arabic" panose="02020603050405020304" pitchFamily="18" charset="-78"/>
            <a:cs typeface="+mj-cs"/>
          </a:endParaRPr>
        </a:p>
      </dsp:txBody>
      <dsp:txXfrm>
        <a:off x="124558" y="841885"/>
        <a:ext cx="870417" cy="939133"/>
      </dsp:txXfrm>
    </dsp:sp>
  </dsp:spTree>
</dsp:drawing>
</file>

<file path=word/diagrams/drawing1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A649A0-9D8E-4071-AE9D-0D08DAA533B6}">
      <dsp:nvSpPr>
        <dsp:cNvPr id="0" name=""/>
        <dsp:cNvSpPr/>
      </dsp:nvSpPr>
      <dsp:spPr>
        <a:xfrm>
          <a:off x="508868" y="387475"/>
          <a:ext cx="2216292" cy="2216292"/>
        </a:xfrm>
        <a:prstGeom prst="blockArc">
          <a:avLst>
            <a:gd name="adj1" fmla="val 10974786"/>
            <a:gd name="adj2" fmla="val 16078080"/>
            <a:gd name="adj3" fmla="val 4642"/>
          </a:avLst>
        </a:prstGeom>
        <a:solidFill>
          <a:schemeClr val="accent6">
            <a:lumMod val="40000"/>
            <a:lumOff val="6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F3A67058-2984-4995-B23A-DA7094A793DD}">
      <dsp:nvSpPr>
        <dsp:cNvPr id="0" name=""/>
        <dsp:cNvSpPr/>
      </dsp:nvSpPr>
      <dsp:spPr>
        <a:xfrm>
          <a:off x="506100" y="237580"/>
          <a:ext cx="2216292" cy="2216292"/>
        </a:xfrm>
        <a:prstGeom prst="blockArc">
          <a:avLst>
            <a:gd name="adj1" fmla="val 5513124"/>
            <a:gd name="adj2" fmla="val 10498265"/>
            <a:gd name="adj3" fmla="val 4642"/>
          </a:avLst>
        </a:prstGeom>
        <a:solidFill>
          <a:schemeClr val="accent6">
            <a:lumMod val="40000"/>
            <a:lumOff val="6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CA65F150-FC5A-4274-A94B-12C80840D207}">
      <dsp:nvSpPr>
        <dsp:cNvPr id="0" name=""/>
        <dsp:cNvSpPr/>
      </dsp:nvSpPr>
      <dsp:spPr>
        <a:xfrm>
          <a:off x="443587" y="237329"/>
          <a:ext cx="2216292" cy="2216292"/>
        </a:xfrm>
        <a:prstGeom prst="blockArc">
          <a:avLst>
            <a:gd name="adj1" fmla="val 327908"/>
            <a:gd name="adj2" fmla="val 5314556"/>
            <a:gd name="adj3" fmla="val 4642"/>
          </a:avLst>
        </a:prstGeom>
        <a:solidFill>
          <a:schemeClr val="accent6">
            <a:lumMod val="40000"/>
            <a:lumOff val="6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5E4E3D66-A4A7-4197-8804-4B08119EA5CE}">
      <dsp:nvSpPr>
        <dsp:cNvPr id="0" name=""/>
        <dsp:cNvSpPr/>
      </dsp:nvSpPr>
      <dsp:spPr>
        <a:xfrm>
          <a:off x="439700" y="387717"/>
          <a:ext cx="2216292" cy="2216292"/>
        </a:xfrm>
        <a:prstGeom prst="blockArc">
          <a:avLst>
            <a:gd name="adj1" fmla="val 16297792"/>
            <a:gd name="adj2" fmla="val 21449734"/>
            <a:gd name="adj3" fmla="val 4642"/>
          </a:avLst>
        </a:prstGeom>
        <a:solidFill>
          <a:schemeClr val="accent6">
            <a:lumMod val="40000"/>
            <a:lumOff val="6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8B7EA448-7D00-4F69-AA0D-36CB43937DEE}">
      <dsp:nvSpPr>
        <dsp:cNvPr id="0" name=""/>
        <dsp:cNvSpPr/>
      </dsp:nvSpPr>
      <dsp:spPr>
        <a:xfrm>
          <a:off x="756821" y="618798"/>
          <a:ext cx="1643625" cy="1643625"/>
        </a:xfrm>
        <a:prstGeom prst="ellipse">
          <a:avLst/>
        </a:prstGeom>
        <a:solidFill>
          <a:schemeClr val="bg1">
            <a:lumMod val="95000"/>
          </a:schemeClr>
        </a:soli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b="1" kern="1200">
              <a:solidFill>
                <a:schemeClr val="tx1"/>
              </a:solidFill>
              <a:latin typeface="Simplified Arabic" panose="02020603050405020304" pitchFamily="18" charset="-78"/>
              <a:cs typeface="Simplified Arabic" panose="02020603050405020304" pitchFamily="18" charset="-78"/>
            </a:rPr>
            <a:t>المكونات الحضرية لمدينة بوسعادة</a:t>
          </a:r>
        </a:p>
      </dsp:txBody>
      <dsp:txXfrm>
        <a:off x="997524" y="859501"/>
        <a:ext cx="1162219" cy="1162219"/>
      </dsp:txXfrm>
    </dsp:sp>
    <dsp:sp modelId="{B36EC059-1037-45F1-9196-81D93B4B5C54}">
      <dsp:nvSpPr>
        <dsp:cNvPr id="0" name=""/>
        <dsp:cNvSpPr/>
      </dsp:nvSpPr>
      <dsp:spPr>
        <a:xfrm>
          <a:off x="1185717" y="89149"/>
          <a:ext cx="785832" cy="649448"/>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مباني السكن </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300799" y="184258"/>
        <a:ext cx="555668" cy="459230"/>
      </dsp:txXfrm>
    </dsp:sp>
    <dsp:sp modelId="{5FE658B9-9795-4677-B181-1470C43927DF}">
      <dsp:nvSpPr>
        <dsp:cNvPr id="0" name=""/>
        <dsp:cNvSpPr/>
      </dsp:nvSpPr>
      <dsp:spPr>
        <a:xfrm>
          <a:off x="2236324" y="1123841"/>
          <a:ext cx="785832" cy="649448"/>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b="0" kern="1200">
              <a:solidFill>
                <a:schemeClr val="tx1"/>
              </a:solidFill>
              <a:latin typeface="Simplified Arabic" panose="02020603050405020304" pitchFamily="18" charset="-78"/>
              <a:cs typeface="Simplified Arabic" panose="02020603050405020304" pitchFamily="18" charset="-78"/>
            </a:rPr>
            <a:t>المرافق والخدمات</a:t>
          </a:r>
          <a:endParaRPr lang="fr-FR" sz="1200" b="0" kern="1200">
            <a:solidFill>
              <a:schemeClr val="tx1"/>
            </a:solidFill>
            <a:latin typeface="Simplified Arabic" panose="02020603050405020304" pitchFamily="18" charset="-78"/>
            <a:cs typeface="Simplified Arabic" panose="02020603050405020304" pitchFamily="18" charset="-78"/>
          </a:endParaRPr>
        </a:p>
      </dsp:txBody>
      <dsp:txXfrm>
        <a:off x="2351406" y="1218950"/>
        <a:ext cx="555668" cy="459230"/>
      </dsp:txXfrm>
    </dsp:sp>
    <dsp:sp modelId="{92A57443-F282-40A4-B8E5-C0C2AB09AF9D}">
      <dsp:nvSpPr>
        <dsp:cNvPr id="0" name=""/>
        <dsp:cNvSpPr/>
      </dsp:nvSpPr>
      <dsp:spPr>
        <a:xfrm>
          <a:off x="1185717" y="2102844"/>
          <a:ext cx="785832" cy="649448"/>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شبكة الطرق</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300799" y="2197953"/>
        <a:ext cx="555668" cy="459230"/>
      </dsp:txXfrm>
    </dsp:sp>
    <dsp:sp modelId="{1E6DBC4D-EE60-440A-B9A0-72F38EC6A2F9}">
      <dsp:nvSpPr>
        <dsp:cNvPr id="0" name=""/>
        <dsp:cNvSpPr/>
      </dsp:nvSpPr>
      <dsp:spPr>
        <a:xfrm>
          <a:off x="143068" y="1115886"/>
          <a:ext cx="785832" cy="649448"/>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المساحات المفتوحة</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258150" y="1210995"/>
        <a:ext cx="555668" cy="459230"/>
      </dsp:txXfrm>
    </dsp:sp>
  </dsp:spTree>
</dsp:drawing>
</file>

<file path=word/diagrams/drawing1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8E5BA1-A34D-4586-B0D8-58D673D13878}">
      <dsp:nvSpPr>
        <dsp:cNvPr id="0" name=""/>
        <dsp:cNvSpPr/>
      </dsp:nvSpPr>
      <dsp:spPr>
        <a:xfrm>
          <a:off x="189337" y="311810"/>
          <a:ext cx="2281739" cy="1792376"/>
        </a:xfrm>
        <a:prstGeom prst="rect">
          <a:avLst/>
        </a:prstGeom>
        <a:blipFill rotWithShape="0">
          <a:blip xmlns:r="http://schemas.openxmlformats.org/officeDocument/2006/relationships" r:embed="rId1"/>
          <a:stretch>
            <a:fillRect/>
          </a:stretch>
        </a:blip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endParaRPr lang="fr-FR" sz="900" kern="1200">
            <a:solidFill>
              <a:srgbClr val="FF0000"/>
            </a:solidFill>
          </a:endParaRPr>
        </a:p>
      </dsp:txBody>
      <dsp:txXfrm>
        <a:off x="189337" y="311810"/>
        <a:ext cx="2281739" cy="1792376"/>
      </dsp:txXfrm>
    </dsp:sp>
    <dsp:sp modelId="{A94DF336-0558-469C-A4A7-63D085856D5B}">
      <dsp:nvSpPr>
        <dsp:cNvPr id="0" name=""/>
        <dsp:cNvSpPr/>
      </dsp:nvSpPr>
      <dsp:spPr>
        <a:xfrm>
          <a:off x="2701007" y="311810"/>
          <a:ext cx="2307661" cy="1796856"/>
        </a:xfrm>
        <a:prstGeom prst="rect">
          <a:avLst/>
        </a:prstGeom>
        <a:blipFill rotWithShape="0">
          <a:blip xmlns:r="http://schemas.openxmlformats.org/officeDocument/2006/relationships" r:embed="rId2"/>
          <a:stretch>
            <a:fillRect/>
          </a:stretch>
        </a:blip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solidFill>
              <a:srgbClr val="FF0000"/>
            </a:solidFill>
          </a:endParaRPr>
        </a:p>
      </dsp:txBody>
      <dsp:txXfrm>
        <a:off x="2701007" y="311810"/>
        <a:ext cx="2307661" cy="1796856"/>
      </dsp:txXfrm>
    </dsp:sp>
  </dsp:spTree>
</dsp:drawing>
</file>

<file path=word/diagrams/drawing1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45BA16-731B-491E-B24B-C93E67C9FEC9}">
      <dsp:nvSpPr>
        <dsp:cNvPr id="0" name=""/>
        <dsp:cNvSpPr/>
      </dsp:nvSpPr>
      <dsp:spPr>
        <a:xfrm>
          <a:off x="688848" y="449858"/>
          <a:ext cx="2299700" cy="2299700"/>
        </a:xfrm>
        <a:prstGeom prst="blockArc">
          <a:avLst>
            <a:gd name="adj1" fmla="val 12045609"/>
            <a:gd name="adj2" fmla="val 16299917"/>
            <a:gd name="adj3" fmla="val 4641"/>
          </a:avLst>
        </a:prstGeom>
        <a:solidFill>
          <a:schemeClr val="bg1">
            <a:lumMod val="95000"/>
          </a:schemeClr>
        </a:solidFill>
        <a:ln>
          <a:solidFill>
            <a:schemeClr val="bg1">
              <a:lumMod val="50000"/>
            </a:schemeClr>
          </a:solidFill>
        </a:ln>
        <a:effectLst/>
      </dsp:spPr>
      <dsp:style>
        <a:lnRef idx="0">
          <a:scrgbClr r="0" g="0" b="0"/>
        </a:lnRef>
        <a:fillRef idx="1">
          <a:scrgbClr r="0" g="0" b="0"/>
        </a:fillRef>
        <a:effectRef idx="0">
          <a:scrgbClr r="0" g="0" b="0"/>
        </a:effectRef>
        <a:fontRef idx="minor">
          <a:schemeClr val="lt1"/>
        </a:fontRef>
      </dsp:style>
    </dsp:sp>
    <dsp:sp modelId="{26CB0212-7CD7-4EA6-B7F0-8A912EBA06DE}">
      <dsp:nvSpPr>
        <dsp:cNvPr id="0" name=""/>
        <dsp:cNvSpPr/>
      </dsp:nvSpPr>
      <dsp:spPr>
        <a:xfrm>
          <a:off x="714281" y="374895"/>
          <a:ext cx="2299700" cy="2299700"/>
        </a:xfrm>
        <a:prstGeom prst="blockArc">
          <a:avLst>
            <a:gd name="adj1" fmla="val 7588490"/>
            <a:gd name="adj2" fmla="val 11803270"/>
            <a:gd name="adj3" fmla="val 4641"/>
          </a:avLst>
        </a:prstGeom>
        <a:solidFill>
          <a:schemeClr val="bg1">
            <a:lumMod val="95000"/>
          </a:schemeClr>
        </a:solidFill>
        <a:ln>
          <a:solidFill>
            <a:schemeClr val="bg1">
              <a:lumMod val="50000"/>
            </a:schemeClr>
          </a:solidFill>
        </a:ln>
        <a:effectLst/>
      </dsp:spPr>
      <dsp:style>
        <a:lnRef idx="0">
          <a:scrgbClr r="0" g="0" b="0"/>
        </a:lnRef>
        <a:fillRef idx="1">
          <a:scrgbClr r="0" g="0" b="0"/>
        </a:fillRef>
        <a:effectRef idx="0">
          <a:scrgbClr r="0" g="0" b="0"/>
        </a:effectRef>
        <a:fontRef idx="minor">
          <a:schemeClr val="lt1"/>
        </a:fontRef>
      </dsp:style>
    </dsp:sp>
    <dsp:sp modelId="{56A83787-BD9D-47F7-91FF-CE65745F05AA}">
      <dsp:nvSpPr>
        <dsp:cNvPr id="0" name=""/>
        <dsp:cNvSpPr/>
      </dsp:nvSpPr>
      <dsp:spPr>
        <a:xfrm>
          <a:off x="705431" y="368419"/>
          <a:ext cx="2299700" cy="2299700"/>
        </a:xfrm>
        <a:prstGeom prst="blockArc">
          <a:avLst>
            <a:gd name="adj1" fmla="val 3206942"/>
            <a:gd name="adj2" fmla="val 7554925"/>
            <a:gd name="adj3" fmla="val 4641"/>
          </a:avLst>
        </a:prstGeom>
        <a:solidFill>
          <a:schemeClr val="bg1">
            <a:lumMod val="95000"/>
          </a:schemeClr>
        </a:solidFill>
        <a:ln>
          <a:solidFill>
            <a:schemeClr val="bg1">
              <a:lumMod val="50000"/>
            </a:schemeClr>
          </a:solidFill>
        </a:ln>
        <a:effectLst/>
      </dsp:spPr>
      <dsp:style>
        <a:lnRef idx="0">
          <a:scrgbClr r="0" g="0" b="0"/>
        </a:lnRef>
        <a:fillRef idx="1">
          <a:scrgbClr r="0" g="0" b="0"/>
        </a:fillRef>
        <a:effectRef idx="0">
          <a:scrgbClr r="0" g="0" b="0"/>
        </a:effectRef>
        <a:fontRef idx="minor">
          <a:schemeClr val="lt1"/>
        </a:fontRef>
      </dsp:style>
    </dsp:sp>
    <dsp:sp modelId="{CB044701-DBF7-422D-B46C-17A9A9420D2B}">
      <dsp:nvSpPr>
        <dsp:cNvPr id="0" name=""/>
        <dsp:cNvSpPr/>
      </dsp:nvSpPr>
      <dsp:spPr>
        <a:xfrm>
          <a:off x="728253" y="388078"/>
          <a:ext cx="2299700" cy="2299700"/>
        </a:xfrm>
        <a:prstGeom prst="blockArc">
          <a:avLst>
            <a:gd name="adj1" fmla="val 20601634"/>
            <a:gd name="adj2" fmla="val 3181672"/>
            <a:gd name="adj3" fmla="val 4641"/>
          </a:avLst>
        </a:prstGeom>
        <a:solidFill>
          <a:schemeClr val="bg1">
            <a:lumMod val="95000"/>
          </a:schemeClr>
        </a:solidFill>
        <a:ln>
          <a:solidFill>
            <a:schemeClr val="bg1">
              <a:lumMod val="50000"/>
            </a:schemeClr>
          </a:solidFill>
        </a:ln>
        <a:effectLst/>
      </dsp:spPr>
      <dsp:style>
        <a:lnRef idx="0">
          <a:scrgbClr r="0" g="0" b="0"/>
        </a:lnRef>
        <a:fillRef idx="1">
          <a:scrgbClr r="0" g="0" b="0"/>
        </a:fillRef>
        <a:effectRef idx="0">
          <a:scrgbClr r="0" g="0" b="0"/>
        </a:effectRef>
        <a:fontRef idx="minor">
          <a:schemeClr val="lt1"/>
        </a:fontRef>
      </dsp:style>
    </dsp:sp>
    <dsp:sp modelId="{37F20DFB-29EC-4063-BACC-A39C9AF28F3D}">
      <dsp:nvSpPr>
        <dsp:cNvPr id="0" name=""/>
        <dsp:cNvSpPr/>
      </dsp:nvSpPr>
      <dsp:spPr>
        <a:xfrm>
          <a:off x="902999" y="459181"/>
          <a:ext cx="2090657" cy="2090657"/>
        </a:xfrm>
        <a:prstGeom prst="blockArc">
          <a:avLst>
            <a:gd name="adj1" fmla="val 16189595"/>
            <a:gd name="adj2" fmla="val 20352855"/>
            <a:gd name="adj3" fmla="val 4641"/>
          </a:avLst>
        </a:prstGeom>
        <a:solidFill>
          <a:schemeClr val="bg1">
            <a:lumMod val="95000"/>
          </a:schemeClr>
        </a:solidFill>
        <a:ln>
          <a:solidFill>
            <a:schemeClr val="bg1">
              <a:lumMod val="50000"/>
            </a:schemeClr>
          </a:solidFill>
        </a:ln>
        <a:effectLst/>
      </dsp:spPr>
      <dsp:style>
        <a:lnRef idx="0">
          <a:scrgbClr r="0" g="0" b="0"/>
        </a:lnRef>
        <a:fillRef idx="1">
          <a:scrgbClr r="0" g="0" b="0"/>
        </a:fillRef>
        <a:effectRef idx="0">
          <a:scrgbClr r="0" g="0" b="0"/>
        </a:effectRef>
        <a:fontRef idx="minor">
          <a:schemeClr val="lt1"/>
        </a:fontRef>
      </dsp:style>
    </dsp:sp>
    <dsp:sp modelId="{82C10AF1-D099-45CE-8942-F449A9FB6823}">
      <dsp:nvSpPr>
        <dsp:cNvPr id="0" name=""/>
        <dsp:cNvSpPr/>
      </dsp:nvSpPr>
      <dsp:spPr>
        <a:xfrm>
          <a:off x="1017393" y="718795"/>
          <a:ext cx="1678471" cy="1652667"/>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ar-DZ" sz="1400" kern="1200"/>
            <a:t>مكونات مرونة مدينة بوسعادة</a:t>
          </a:r>
          <a:endParaRPr lang="fr-FR" sz="1400" kern="1200"/>
        </a:p>
      </dsp:txBody>
      <dsp:txXfrm>
        <a:off x="1263199" y="960822"/>
        <a:ext cx="1186859" cy="1168613"/>
      </dsp:txXfrm>
    </dsp:sp>
    <dsp:sp modelId="{947E1089-9B2B-42BF-8AC8-B9B3D0B1C721}">
      <dsp:nvSpPr>
        <dsp:cNvPr id="0" name=""/>
        <dsp:cNvSpPr/>
      </dsp:nvSpPr>
      <dsp:spPr>
        <a:xfrm>
          <a:off x="1428934" y="144946"/>
          <a:ext cx="884809" cy="664138"/>
        </a:xfrm>
        <a:prstGeom prst="ellipse">
          <a:avLst/>
        </a:prstGeom>
        <a:solidFill>
          <a:schemeClr val="bg1">
            <a:lumMod val="75000"/>
          </a:schemeClr>
        </a:solidFill>
        <a:ln w="9525" cap="flat" cmpd="sng" algn="ctr">
          <a:solidFill>
            <a:schemeClr val="bg2"/>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17780" tIns="17780" rIns="17780" bIns="17780" numCol="1" spcCol="1270" anchor="ctr" anchorCtr="0">
          <a:noAutofit/>
        </a:bodyPr>
        <a:lstStyle/>
        <a:p>
          <a:pPr lvl="0" algn="ctr" defTabSz="622300" rtl="1">
            <a:lnSpc>
              <a:spcPct val="90000"/>
            </a:lnSpc>
            <a:spcBef>
              <a:spcPct val="0"/>
            </a:spcBef>
            <a:spcAft>
              <a:spcPct val="35000"/>
            </a:spcAft>
          </a:pPr>
          <a:r>
            <a:rPr lang="ar-DZ" sz="1400" b="1" kern="1200">
              <a:latin typeface="Simplified Arabic" panose="02020603050405020304" pitchFamily="18" charset="-78"/>
              <a:cs typeface="Simplified Arabic" panose="02020603050405020304" pitchFamily="18" charset="-78"/>
            </a:rPr>
            <a:t>المكون الفيزيائي</a:t>
          </a:r>
          <a:endParaRPr lang="fr-FR" sz="1400" b="1" kern="1200" cap="none" spc="0">
            <a:ln w="6350">
              <a:solidFill>
                <a:schemeClr val="tx2">
                  <a:satMod val="155000"/>
                </a:schemeClr>
              </a:solidFill>
              <a:prstDash val="solid"/>
            </a:ln>
            <a:solidFill>
              <a:schemeClr val="bg2">
                <a:tint val="85000"/>
                <a:satMod val="155000"/>
              </a:schemeClr>
            </a:solidFill>
            <a:effectLst>
              <a:outerShdw blurRad="41275" dist="20320" dir="1800000" algn="tl" rotWithShape="0">
                <a:srgbClr val="000000">
                  <a:alpha val="40000"/>
                </a:srgbClr>
              </a:outerShdw>
            </a:effectLst>
            <a:latin typeface="Simplified Arabic" panose="02020603050405020304" pitchFamily="18" charset="-78"/>
            <a:cs typeface="Simplified Arabic" panose="02020603050405020304" pitchFamily="18" charset="-78"/>
          </a:endParaRPr>
        </a:p>
      </dsp:txBody>
      <dsp:txXfrm>
        <a:off x="1558511" y="242207"/>
        <a:ext cx="625655" cy="469616"/>
      </dsp:txXfrm>
    </dsp:sp>
    <dsp:sp modelId="{98F7DA6E-3CCC-4349-9BC2-BB1844D532D8}">
      <dsp:nvSpPr>
        <dsp:cNvPr id="0" name=""/>
        <dsp:cNvSpPr/>
      </dsp:nvSpPr>
      <dsp:spPr>
        <a:xfrm>
          <a:off x="2517141" y="923154"/>
          <a:ext cx="815321" cy="556879"/>
        </a:xfrm>
        <a:prstGeom prst="ellipse">
          <a:avLst/>
        </a:prstGeom>
        <a:solidFill>
          <a:schemeClr val="lt1"/>
        </a:solidFill>
        <a:ln w="6350" cap="flat" cmpd="sng" algn="ctr">
          <a:solidFill>
            <a:schemeClr val="bg1">
              <a:lumMod val="50000"/>
            </a:schemeClr>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ar-DZ" sz="1100" b="0" kern="1200">
              <a:latin typeface="Simplified Arabic" panose="02020603050405020304" pitchFamily="18" charset="-78"/>
              <a:cs typeface="Simplified Arabic" panose="02020603050405020304" pitchFamily="18" charset="-78"/>
            </a:rPr>
            <a:t>المكون الاقتصادي</a:t>
          </a:r>
          <a:endParaRPr lang="fr-FR" sz="1100" b="0" kern="1200">
            <a:latin typeface="Simplified Arabic" panose="02020603050405020304" pitchFamily="18" charset="-78"/>
            <a:cs typeface="Simplified Arabic" panose="02020603050405020304" pitchFamily="18" charset="-78"/>
          </a:endParaRPr>
        </a:p>
      </dsp:txBody>
      <dsp:txXfrm>
        <a:off x="2636542" y="1004707"/>
        <a:ext cx="576519" cy="393773"/>
      </dsp:txXfrm>
    </dsp:sp>
    <dsp:sp modelId="{B3085424-D668-4A2E-BB8B-3AAC83686023}">
      <dsp:nvSpPr>
        <dsp:cNvPr id="0" name=""/>
        <dsp:cNvSpPr/>
      </dsp:nvSpPr>
      <dsp:spPr>
        <a:xfrm>
          <a:off x="2116508" y="2142100"/>
          <a:ext cx="815321" cy="556879"/>
        </a:xfrm>
        <a:prstGeom prst="ellipse">
          <a:avLst/>
        </a:prstGeom>
        <a:solidFill>
          <a:schemeClr val="lt1"/>
        </a:solidFill>
        <a:ln w="6350" cap="flat" cmpd="sng" algn="ctr">
          <a:solidFill>
            <a:schemeClr val="bg1">
              <a:lumMod val="50000"/>
            </a:schemeClr>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ar-DZ" sz="1100" b="0" kern="1200">
              <a:latin typeface="Simplified Arabic" panose="02020603050405020304" pitchFamily="18" charset="-78"/>
              <a:cs typeface="Simplified Arabic" panose="02020603050405020304" pitchFamily="18" charset="-78"/>
            </a:rPr>
            <a:t>المكون الاجتماعي</a:t>
          </a:r>
          <a:endParaRPr lang="fr-FR" sz="1100" b="0" kern="1200">
            <a:latin typeface="Simplified Arabic" panose="02020603050405020304" pitchFamily="18" charset="-78"/>
            <a:cs typeface="Simplified Arabic" panose="02020603050405020304" pitchFamily="18" charset="-78"/>
          </a:endParaRPr>
        </a:p>
      </dsp:txBody>
      <dsp:txXfrm>
        <a:off x="2235909" y="2223653"/>
        <a:ext cx="576519" cy="393773"/>
      </dsp:txXfrm>
    </dsp:sp>
    <dsp:sp modelId="{6605A325-BA95-4BA4-AB8E-FA9FD4A3A750}">
      <dsp:nvSpPr>
        <dsp:cNvPr id="0" name=""/>
        <dsp:cNvSpPr/>
      </dsp:nvSpPr>
      <dsp:spPr>
        <a:xfrm>
          <a:off x="788782" y="2149464"/>
          <a:ext cx="815321" cy="556879"/>
        </a:xfrm>
        <a:prstGeom prst="ellipse">
          <a:avLst/>
        </a:prstGeom>
        <a:solidFill>
          <a:schemeClr val="lt1"/>
        </a:solidFill>
        <a:ln w="6350" cap="flat" cmpd="sng" algn="ctr">
          <a:solidFill>
            <a:schemeClr val="bg1">
              <a:lumMod val="50000"/>
            </a:schemeClr>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ar-DZ" sz="1100" b="0" kern="1200">
              <a:latin typeface="Simplified Arabic" panose="02020603050405020304" pitchFamily="18" charset="-78"/>
              <a:cs typeface="Simplified Arabic" panose="02020603050405020304" pitchFamily="18" charset="-78"/>
            </a:rPr>
            <a:t>المكون البيئي</a:t>
          </a:r>
          <a:endParaRPr lang="fr-FR" sz="1100" b="0" kern="1200">
            <a:latin typeface="Simplified Arabic" panose="02020603050405020304" pitchFamily="18" charset="-78"/>
            <a:cs typeface="Simplified Arabic" panose="02020603050405020304" pitchFamily="18" charset="-78"/>
          </a:endParaRPr>
        </a:p>
      </dsp:txBody>
      <dsp:txXfrm>
        <a:off x="908183" y="2231017"/>
        <a:ext cx="576519" cy="393773"/>
      </dsp:txXfrm>
    </dsp:sp>
    <dsp:sp modelId="{43B799F7-6A3D-4195-8811-7A4A7F25779D}">
      <dsp:nvSpPr>
        <dsp:cNvPr id="0" name=""/>
        <dsp:cNvSpPr/>
      </dsp:nvSpPr>
      <dsp:spPr>
        <a:xfrm>
          <a:off x="380795" y="923154"/>
          <a:ext cx="815321" cy="556879"/>
        </a:xfrm>
        <a:prstGeom prst="ellipse">
          <a:avLst/>
        </a:prstGeom>
        <a:solidFill>
          <a:schemeClr val="lt1"/>
        </a:solidFill>
        <a:ln w="6350" cap="flat" cmpd="sng" algn="ctr">
          <a:solidFill>
            <a:schemeClr val="bg1">
              <a:lumMod val="50000"/>
            </a:schemeClr>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13970" tIns="13970" rIns="13970" bIns="13970" numCol="1" spcCol="1270" anchor="ctr" anchorCtr="0">
          <a:noAutofit/>
        </a:bodyPr>
        <a:lstStyle/>
        <a:p>
          <a:pPr lvl="0" algn="ctr" defTabSz="488950" rtl="1">
            <a:lnSpc>
              <a:spcPct val="90000"/>
            </a:lnSpc>
            <a:spcBef>
              <a:spcPct val="0"/>
            </a:spcBef>
            <a:spcAft>
              <a:spcPct val="35000"/>
            </a:spcAft>
          </a:pPr>
          <a:r>
            <a:rPr lang="ar-DZ" sz="1100" b="0" kern="1200">
              <a:latin typeface="Simplified Arabic" panose="02020603050405020304" pitchFamily="18" charset="-78"/>
              <a:cs typeface="Simplified Arabic" panose="02020603050405020304" pitchFamily="18" charset="-78"/>
            </a:rPr>
            <a:t>المكون المؤسساتي</a:t>
          </a:r>
          <a:endParaRPr lang="fr-FR" sz="1100" b="0" kern="1200">
            <a:latin typeface="Simplified Arabic" panose="02020603050405020304" pitchFamily="18" charset="-78"/>
            <a:cs typeface="Simplified Arabic" panose="02020603050405020304" pitchFamily="18" charset="-78"/>
          </a:endParaRPr>
        </a:p>
      </dsp:txBody>
      <dsp:txXfrm>
        <a:off x="500196" y="1004707"/>
        <a:ext cx="576519" cy="393773"/>
      </dsp:txXfrm>
    </dsp:sp>
  </dsp:spTree>
</dsp:drawing>
</file>

<file path=word/diagrams/drawing1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11D164-0C0E-46E1-9ADE-527FA8FD0E39}">
      <dsp:nvSpPr>
        <dsp:cNvPr id="0" name=""/>
        <dsp:cNvSpPr/>
      </dsp:nvSpPr>
      <dsp:spPr>
        <a:xfrm>
          <a:off x="673295" y="38943"/>
          <a:ext cx="3338200" cy="3338200"/>
        </a:xfrm>
        <a:prstGeom prst="circularArrow">
          <a:avLst>
            <a:gd name="adj1" fmla="val 5544"/>
            <a:gd name="adj2" fmla="val 330680"/>
            <a:gd name="adj3" fmla="val 14687072"/>
            <a:gd name="adj4" fmla="val 16852817"/>
            <a:gd name="adj5" fmla="val 5757"/>
          </a:avLst>
        </a:prstGeom>
        <a:solidFill>
          <a:schemeClr val="tx1">
            <a:lumMod val="65000"/>
            <a:lumOff val="35000"/>
          </a:schemeClr>
        </a:solidFill>
        <a:ln>
          <a:noFill/>
        </a:ln>
        <a:effectLst/>
        <a:scene3d>
          <a:camera prst="orthographicFront">
            <a:rot lat="20278511" lon="19160999" rev="4200000"/>
          </a:camera>
          <a:lightRig rig="threePt" dir="t"/>
        </a:scene3d>
        <a:sp3d/>
      </dsp:spPr>
      <dsp:style>
        <a:lnRef idx="0">
          <a:scrgbClr r="0" g="0" b="0"/>
        </a:lnRef>
        <a:fillRef idx="1">
          <a:scrgbClr r="0" g="0" b="0"/>
        </a:fillRef>
        <a:effectRef idx="0">
          <a:scrgbClr r="0" g="0" b="0"/>
        </a:effectRef>
        <a:fontRef idx="minor"/>
      </dsp:style>
    </dsp:sp>
    <dsp:sp modelId="{DF6669DD-D9A8-43BE-A943-20E88E8C91CD}">
      <dsp:nvSpPr>
        <dsp:cNvPr id="0" name=""/>
        <dsp:cNvSpPr/>
      </dsp:nvSpPr>
      <dsp:spPr>
        <a:xfrm rot="19781587">
          <a:off x="3518672" y="187176"/>
          <a:ext cx="912006" cy="807842"/>
        </a:xfrm>
        <a:prstGeom prst="leftArrowCallout">
          <a:avLst/>
        </a:prstGeom>
        <a:blipFill rotWithShape="0">
          <a:blip xmlns:r="http://schemas.openxmlformats.org/officeDocument/2006/relationships" r:embed="rId1"/>
          <a:stretch>
            <a:fillRect/>
          </a:stretch>
        </a:blip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7160" tIns="137160" rIns="137160" bIns="137160" numCol="1" spcCol="1270" anchor="ctr" anchorCtr="0">
          <a:noAutofit/>
        </a:bodyPr>
        <a:lstStyle/>
        <a:p>
          <a:pPr lvl="0" algn="ctr" defTabSz="1600200">
            <a:lnSpc>
              <a:spcPct val="90000"/>
            </a:lnSpc>
            <a:spcBef>
              <a:spcPct val="0"/>
            </a:spcBef>
            <a:spcAft>
              <a:spcPct val="35000"/>
            </a:spcAft>
          </a:pPr>
          <a:endParaRPr lang="fr-FR" sz="3600" kern="1200"/>
        </a:p>
      </dsp:txBody>
      <dsp:txXfrm>
        <a:off x="3816258" y="106583"/>
        <a:ext cx="592594" cy="807842"/>
      </dsp:txXfrm>
    </dsp:sp>
    <dsp:sp modelId="{F8E45369-0B16-42FC-AD36-280C68313AC3}">
      <dsp:nvSpPr>
        <dsp:cNvPr id="0" name=""/>
        <dsp:cNvSpPr/>
      </dsp:nvSpPr>
      <dsp:spPr>
        <a:xfrm rot="1398784">
          <a:off x="209228" y="173286"/>
          <a:ext cx="912006" cy="768230"/>
        </a:xfrm>
        <a:prstGeom prst="rightArrowCallout">
          <a:avLst/>
        </a:prstGeom>
        <a:blipFill rotWithShape="0">
          <a:blip xmlns:r="http://schemas.openxmlformats.org/officeDocument/2006/relationships" r:embed="rId2"/>
          <a:stretch>
            <a:fillRect/>
          </a:stretch>
        </a:blip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endParaRPr lang="fr-FR" sz="3400" kern="1200"/>
        </a:p>
      </dsp:txBody>
      <dsp:txXfrm>
        <a:off x="222267" y="110082"/>
        <a:ext cx="592594" cy="768230"/>
      </dsp:txXfrm>
    </dsp:sp>
    <dsp:sp modelId="{256674D6-8F8B-49F1-9F41-567B49818C53}">
      <dsp:nvSpPr>
        <dsp:cNvPr id="0" name=""/>
        <dsp:cNvSpPr/>
      </dsp:nvSpPr>
      <dsp:spPr>
        <a:xfrm rot="1092120">
          <a:off x="3673263" y="2198896"/>
          <a:ext cx="912006" cy="807842"/>
        </a:xfrm>
        <a:prstGeom prst="leftArrowCallout">
          <a:avLst/>
        </a:prstGeom>
        <a:blipFill rotWithShape="0">
          <a:blip xmlns:r="http://schemas.openxmlformats.org/officeDocument/2006/relationships" r:embed="rId3"/>
          <a:stretch>
            <a:fillRect/>
          </a:stretch>
        </a:blip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7160" tIns="137160" rIns="137160" bIns="137160" numCol="1" spcCol="1270" anchor="ctr" anchorCtr="0">
          <a:noAutofit/>
        </a:bodyPr>
        <a:lstStyle/>
        <a:p>
          <a:pPr lvl="0" algn="ctr" defTabSz="1600200">
            <a:lnSpc>
              <a:spcPct val="90000"/>
            </a:lnSpc>
            <a:spcBef>
              <a:spcPct val="0"/>
            </a:spcBef>
            <a:spcAft>
              <a:spcPct val="35000"/>
            </a:spcAft>
          </a:pPr>
          <a:endParaRPr lang="fr-FR" sz="3600" kern="1200"/>
        </a:p>
      </dsp:txBody>
      <dsp:txXfrm>
        <a:off x="3984683" y="2248783"/>
        <a:ext cx="592594" cy="807842"/>
      </dsp:txXfrm>
    </dsp:sp>
    <dsp:sp modelId="{D3335BCD-DB57-413B-B323-8FCA0632DBB0}">
      <dsp:nvSpPr>
        <dsp:cNvPr id="0" name=""/>
        <dsp:cNvSpPr/>
      </dsp:nvSpPr>
      <dsp:spPr>
        <a:xfrm rot="4471162">
          <a:off x="160603" y="2162132"/>
          <a:ext cx="912006" cy="807842"/>
        </a:xfrm>
        <a:prstGeom prst="upArrowCallout">
          <a:avLst/>
        </a:prstGeom>
        <a:blipFill rotWithShape="0">
          <a:blip xmlns:r="http://schemas.openxmlformats.org/officeDocument/2006/relationships" r:embed="rId4"/>
          <a:stretch>
            <a:fillRect/>
          </a:stretch>
        </a:blip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lvl="0" algn="ctr" defTabSz="1022350">
            <a:lnSpc>
              <a:spcPct val="90000"/>
            </a:lnSpc>
            <a:spcBef>
              <a:spcPct val="0"/>
            </a:spcBef>
            <a:spcAft>
              <a:spcPct val="35000"/>
            </a:spcAft>
          </a:pPr>
          <a:endParaRPr lang="fr-FR" sz="2300" kern="1200"/>
        </a:p>
      </dsp:txBody>
      <dsp:txXfrm>
        <a:off x="24270" y="2341356"/>
        <a:ext cx="912006" cy="524911"/>
      </dsp:txXfrm>
    </dsp:sp>
    <dsp:sp modelId="{9BFA7716-3B20-4D0F-BEDE-4870C4CF4D01}">
      <dsp:nvSpPr>
        <dsp:cNvPr id="0" name=""/>
        <dsp:cNvSpPr/>
      </dsp:nvSpPr>
      <dsp:spPr>
        <a:xfrm rot="1298175">
          <a:off x="1047618" y="1177029"/>
          <a:ext cx="987326" cy="879920"/>
        </a:xfrm>
        <a:prstGeom prst="leftArrowCallout">
          <a:avLst/>
        </a:prstGeom>
        <a:blipFill rotWithShape="0">
          <a:blip xmlns:r="http://schemas.openxmlformats.org/officeDocument/2006/relationships" r:embed="rId5"/>
          <a:stretch>
            <a:fillRect/>
          </a:stretch>
        </a:blip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endParaRPr lang="fr-FR" sz="3900" kern="1200">
            <a:solidFill>
              <a:schemeClr val="tx1"/>
            </a:solidFill>
          </a:endParaRPr>
        </a:p>
      </dsp:txBody>
      <dsp:txXfrm>
        <a:off x="1381227" y="1240778"/>
        <a:ext cx="641535" cy="879920"/>
      </dsp:txXfrm>
    </dsp:sp>
    <dsp:sp modelId="{18AE25BD-F020-4A30-BF21-0B181BE5BB82}">
      <dsp:nvSpPr>
        <dsp:cNvPr id="0" name=""/>
        <dsp:cNvSpPr/>
      </dsp:nvSpPr>
      <dsp:spPr>
        <a:xfrm>
          <a:off x="1039374" y="578352"/>
          <a:ext cx="622915" cy="551764"/>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53340" tIns="53340" rIns="53340" bIns="53340" numCol="1" spcCol="1270" anchor="ctr" anchorCtr="0">
          <a:noAutofit/>
          <a:scene3d>
            <a:camera prst="orthographicFront"/>
            <a:lightRig rig="soft" dir="tl">
              <a:rot lat="0" lon="0" rev="0"/>
            </a:lightRig>
          </a:scene3d>
          <a:sp3d contourW="25400" prstMaterial="matte">
            <a:bevelT w="25400" h="55880" prst="artDeco"/>
            <a:contourClr>
              <a:schemeClr val="accent2">
                <a:tint val="20000"/>
              </a:schemeClr>
            </a:contourClr>
          </a:sp3d>
        </a:bodyPr>
        <a:lstStyle/>
        <a:p>
          <a:pPr lvl="0" algn="ctr" defTabSz="622300">
            <a:lnSpc>
              <a:spcPct val="90000"/>
            </a:lnSpc>
            <a:spcBef>
              <a:spcPct val="0"/>
            </a:spcBef>
            <a:spcAft>
              <a:spcPct val="35000"/>
            </a:spcAft>
          </a:pPr>
          <a:r>
            <a:rPr lang="ar-DZ" sz="14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اولا</a:t>
          </a:r>
          <a:endParaRPr lang="fr-FR" sz="9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sp:txBody>
      <dsp:txXfrm>
        <a:off x="1130598" y="659156"/>
        <a:ext cx="440467" cy="390156"/>
      </dsp:txXfrm>
    </dsp:sp>
    <dsp:sp modelId="{203E45F5-91B1-427A-993F-B64B7676C1B8}">
      <dsp:nvSpPr>
        <dsp:cNvPr id="0" name=""/>
        <dsp:cNvSpPr/>
      </dsp:nvSpPr>
      <dsp:spPr>
        <a:xfrm>
          <a:off x="2984860" y="602007"/>
          <a:ext cx="622915" cy="551764"/>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53340" tIns="53340" rIns="53340" bIns="53340" numCol="1" spcCol="1270" anchor="ctr" anchorCtr="0">
          <a:noAutofit/>
          <a:scene3d>
            <a:camera prst="orthographicFront"/>
            <a:lightRig rig="soft" dir="tl">
              <a:rot lat="0" lon="0" rev="0"/>
            </a:lightRig>
          </a:scene3d>
          <a:sp3d contourW="25400" prstMaterial="matte">
            <a:bevelT w="25400" h="55880" prst="artDeco"/>
            <a:contourClr>
              <a:schemeClr val="accent2">
                <a:tint val="20000"/>
              </a:schemeClr>
            </a:contourClr>
          </a:sp3d>
        </a:bodyPr>
        <a:lstStyle/>
        <a:p>
          <a:pPr lvl="0" algn="ctr" defTabSz="622300">
            <a:lnSpc>
              <a:spcPct val="90000"/>
            </a:lnSpc>
            <a:spcBef>
              <a:spcPct val="0"/>
            </a:spcBef>
            <a:spcAft>
              <a:spcPct val="35000"/>
            </a:spcAft>
          </a:pPr>
          <a:r>
            <a:rPr lang="ar-DZ" sz="1400" b="1" kern="1200" cap="none" spc="0">
              <a:ln w="952">
                <a:solidFill>
                  <a:schemeClr val="tx1"/>
                </a:solidFill>
              </a:ln>
              <a:solidFill>
                <a:schemeClr val="tx1"/>
              </a:solidFill>
              <a:effectLst>
                <a:innerShdw blurRad="69850" dist="43180" dir="5400000">
                  <a:srgbClr val="000000">
                    <a:alpha val="65000"/>
                  </a:srgbClr>
                </a:innerShdw>
              </a:effectLst>
              <a:latin typeface="Simplified Arabic" panose="02020603050405020304" pitchFamily="18" charset="-78"/>
              <a:cs typeface="Simplified Arabic" panose="02020603050405020304" pitchFamily="18" charset="-78"/>
            </a:rPr>
            <a:t>ثانيا</a:t>
          </a:r>
          <a:endParaRPr lang="fr-FR" sz="700" b="1" kern="1200" cap="none" spc="50">
            <a:ln w="952">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sp:txBody>
      <dsp:txXfrm>
        <a:off x="3076084" y="682811"/>
        <a:ext cx="440467" cy="390156"/>
      </dsp:txXfrm>
    </dsp:sp>
    <dsp:sp modelId="{12D6BC87-2BC0-4C02-9004-606460CD5CB4}">
      <dsp:nvSpPr>
        <dsp:cNvPr id="0" name=""/>
        <dsp:cNvSpPr/>
      </dsp:nvSpPr>
      <dsp:spPr>
        <a:xfrm>
          <a:off x="3075597" y="2068505"/>
          <a:ext cx="622915" cy="551764"/>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53340" tIns="53340" rIns="53340" bIns="53340" numCol="1" spcCol="1270" anchor="ctr" anchorCtr="0">
          <a:noAutofit/>
          <a:scene3d>
            <a:camera prst="orthographicFront"/>
            <a:lightRig rig="soft" dir="tl">
              <a:rot lat="0" lon="0" rev="0"/>
            </a:lightRig>
          </a:scene3d>
          <a:sp3d contourW="25400" prstMaterial="matte">
            <a:bevelT w="25400" h="55880" prst="artDeco"/>
            <a:contourClr>
              <a:schemeClr val="accent2">
                <a:tint val="20000"/>
              </a:schemeClr>
            </a:contourClr>
          </a:sp3d>
        </a:bodyPr>
        <a:lstStyle/>
        <a:p>
          <a:pPr lvl="0" algn="ctr" defTabSz="622300">
            <a:lnSpc>
              <a:spcPct val="90000"/>
            </a:lnSpc>
            <a:spcBef>
              <a:spcPct val="0"/>
            </a:spcBef>
            <a:spcAft>
              <a:spcPct val="35000"/>
            </a:spcAft>
          </a:pPr>
          <a:r>
            <a:rPr lang="ar-DZ" sz="14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ثالثا</a:t>
          </a:r>
          <a:endParaRPr lang="fr-FR" sz="11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sp:txBody>
      <dsp:txXfrm>
        <a:off x="3166821" y="2149309"/>
        <a:ext cx="440467" cy="390156"/>
      </dsp:txXfrm>
    </dsp:sp>
    <dsp:sp modelId="{3F518F98-12B5-4C54-B560-7018D695FFAF}">
      <dsp:nvSpPr>
        <dsp:cNvPr id="0" name=""/>
        <dsp:cNvSpPr/>
      </dsp:nvSpPr>
      <dsp:spPr>
        <a:xfrm>
          <a:off x="993560" y="2141483"/>
          <a:ext cx="622915" cy="551764"/>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53340" tIns="53340" rIns="53340" bIns="53340" numCol="1" spcCol="1270" anchor="ctr" anchorCtr="0">
          <a:noAutofit/>
          <a:scene3d>
            <a:camera prst="orthographicFront"/>
            <a:lightRig rig="soft" dir="tl">
              <a:rot lat="0" lon="0" rev="0"/>
            </a:lightRig>
          </a:scene3d>
          <a:sp3d contourW="25400" prstMaterial="matte">
            <a:bevelT w="25400" h="55880" prst="artDeco"/>
            <a:contourClr>
              <a:schemeClr val="accent2">
                <a:tint val="20000"/>
              </a:schemeClr>
            </a:contourClr>
          </a:sp3d>
        </a:bodyPr>
        <a:lstStyle/>
        <a:p>
          <a:pPr lvl="0" algn="ctr" defTabSz="622300">
            <a:lnSpc>
              <a:spcPct val="90000"/>
            </a:lnSpc>
            <a:spcBef>
              <a:spcPct val="0"/>
            </a:spcBef>
            <a:spcAft>
              <a:spcPct val="35000"/>
            </a:spcAft>
          </a:pPr>
          <a:r>
            <a:rPr lang="ar-DZ" sz="14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رابعا</a:t>
          </a:r>
          <a:endParaRPr lang="fr-FR" sz="15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sp:txBody>
      <dsp:txXfrm>
        <a:off x="1084784" y="2222287"/>
        <a:ext cx="440467" cy="390156"/>
      </dsp:txXfrm>
    </dsp:sp>
    <dsp:sp modelId="{E2B6C566-D8A6-41F4-AFA6-BD3F5E91F329}">
      <dsp:nvSpPr>
        <dsp:cNvPr id="0" name=""/>
        <dsp:cNvSpPr/>
      </dsp:nvSpPr>
      <dsp:spPr>
        <a:xfrm>
          <a:off x="379804" y="1035965"/>
          <a:ext cx="755978" cy="551764"/>
        </a:xfrm>
        <a:prstGeom prst="ellips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45720" tIns="45720" rIns="45720" bIns="45720" numCol="1" spcCol="1270" anchor="ctr" anchorCtr="0">
          <a:noAutofit/>
          <a:scene3d>
            <a:camera prst="orthographicFront"/>
            <a:lightRig rig="soft" dir="tl">
              <a:rot lat="0" lon="0" rev="0"/>
            </a:lightRig>
          </a:scene3d>
          <a:sp3d contourW="25400" prstMaterial="matte">
            <a:bevelT w="25400" h="55880" prst="artDeco"/>
            <a:contourClr>
              <a:schemeClr val="accent2">
                <a:tint val="20000"/>
              </a:schemeClr>
            </a:contourClr>
          </a:sp3d>
        </a:bodyPr>
        <a:lstStyle/>
        <a:p>
          <a:pPr lvl="0" algn="ctr" defTabSz="533400">
            <a:lnSpc>
              <a:spcPct val="90000"/>
            </a:lnSpc>
            <a:spcBef>
              <a:spcPct val="0"/>
            </a:spcBef>
            <a:spcAft>
              <a:spcPct val="35000"/>
            </a:spcAft>
          </a:pPr>
          <a:r>
            <a:rPr lang="ar-DZ" sz="12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rPr>
            <a:t>خامسا</a:t>
          </a:r>
          <a:endParaRPr lang="fr-FR" sz="800" b="1" kern="1200" cap="none" spc="50">
            <a:ln w="11430">
              <a:solidFill>
                <a:schemeClr val="tx1"/>
              </a:solidFill>
            </a:ln>
            <a:solidFill>
              <a:schemeClr val="tx1"/>
            </a:solidFill>
            <a:effectLst>
              <a:outerShdw blurRad="76200" dist="50800" dir="5400000" algn="tl" rotWithShape="0">
                <a:srgbClr val="000000">
                  <a:alpha val="65000"/>
                </a:srgbClr>
              </a:outerShdw>
            </a:effectLst>
            <a:latin typeface="Simplified Arabic" panose="02020603050405020304" pitchFamily="18" charset="-78"/>
            <a:cs typeface="Simplified Arabic" panose="02020603050405020304" pitchFamily="18" charset="-78"/>
          </a:endParaRPr>
        </a:p>
      </dsp:txBody>
      <dsp:txXfrm>
        <a:off x="490514" y="1116769"/>
        <a:ext cx="534558" cy="390156"/>
      </dsp:txXfrm>
    </dsp:sp>
  </dsp:spTree>
</dsp:drawing>
</file>

<file path=word/diagrams/drawing1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848DF1-9AE2-4E25-B983-0926523D6D91}">
      <dsp:nvSpPr>
        <dsp:cNvPr id="0" name=""/>
        <dsp:cNvSpPr/>
      </dsp:nvSpPr>
      <dsp:spPr>
        <a:xfrm>
          <a:off x="2065096" y="150629"/>
          <a:ext cx="1393673" cy="509175"/>
        </a:xfrm>
        <a:prstGeom prst="roundRect">
          <a:avLst>
            <a:gd name="adj" fmla="val 10000"/>
          </a:avLst>
        </a:prstGeom>
        <a:solidFill>
          <a:schemeClr val="bg1">
            <a:lumMod val="75000"/>
          </a:schemeClr>
        </a:solidFill>
        <a:ln w="6350"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ترتيب عوامل تقييم المرونة الحضرية حسب الاولوية</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2080009" y="165542"/>
        <a:ext cx="1363847" cy="479349"/>
      </dsp:txXfrm>
    </dsp:sp>
    <dsp:sp modelId="{C99CCCA8-C584-4006-919F-2775C0FDB68F}">
      <dsp:nvSpPr>
        <dsp:cNvPr id="0" name=""/>
        <dsp:cNvSpPr/>
      </dsp:nvSpPr>
      <dsp:spPr>
        <a:xfrm>
          <a:off x="2761933" y="659804"/>
          <a:ext cx="2439367" cy="301270"/>
        </a:xfrm>
        <a:custGeom>
          <a:avLst/>
          <a:gdLst/>
          <a:ahLst/>
          <a:cxnLst/>
          <a:rect l="0" t="0" r="0" b="0"/>
          <a:pathLst>
            <a:path>
              <a:moveTo>
                <a:pt x="0" y="0"/>
              </a:moveTo>
              <a:lnTo>
                <a:pt x="0" y="150635"/>
              </a:lnTo>
              <a:lnTo>
                <a:pt x="2439367" y="150635"/>
              </a:lnTo>
              <a:lnTo>
                <a:pt x="2439367" y="301270"/>
              </a:lnTo>
            </a:path>
          </a:pathLst>
        </a:custGeom>
        <a:noFill/>
        <a:ln w="6350" cap="flat" cmpd="sng" algn="ctr">
          <a:solidFill>
            <a:schemeClr val="tx1"/>
          </a:solidFill>
          <a:prstDash val="solid"/>
        </a:ln>
        <a:effectLst/>
      </dsp:spPr>
      <dsp:style>
        <a:lnRef idx="1">
          <a:schemeClr val="dk1"/>
        </a:lnRef>
        <a:fillRef idx="0">
          <a:schemeClr val="dk1"/>
        </a:fillRef>
        <a:effectRef idx="0">
          <a:schemeClr val="dk1"/>
        </a:effectRef>
        <a:fontRef idx="minor">
          <a:schemeClr val="tx1"/>
        </a:fontRef>
      </dsp:style>
    </dsp:sp>
    <dsp:sp modelId="{92A8F34B-BB05-43A7-8F80-3DB47EAF20A8}">
      <dsp:nvSpPr>
        <dsp:cNvPr id="0" name=""/>
        <dsp:cNvSpPr/>
      </dsp:nvSpPr>
      <dsp:spPr>
        <a:xfrm>
          <a:off x="4982764" y="961075"/>
          <a:ext cx="437073" cy="678876"/>
        </a:xfrm>
        <a:prstGeom prst="roundRect">
          <a:avLst>
            <a:gd name="adj" fmla="val 10000"/>
          </a:avLst>
        </a:prstGeom>
        <a:solidFill>
          <a:schemeClr val="bg1">
            <a:lumMod val="85000"/>
          </a:schemeClr>
        </a:solid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معيار كثافة البناء</a:t>
          </a:r>
          <a:endParaRPr lang="fr-FR" sz="1200" kern="1200">
            <a:latin typeface="Simplified Arabic" panose="02020603050405020304" pitchFamily="18" charset="-78"/>
            <a:cs typeface="Simplified Arabic" panose="02020603050405020304" pitchFamily="18" charset="-78"/>
          </a:endParaRPr>
        </a:p>
      </dsp:txBody>
      <dsp:txXfrm>
        <a:off x="4995565" y="973876"/>
        <a:ext cx="411471" cy="653274"/>
      </dsp:txXfrm>
    </dsp:sp>
    <dsp:sp modelId="{5A0D8665-A3F8-484E-B9B0-9D56D4AA3E0E}">
      <dsp:nvSpPr>
        <dsp:cNvPr id="0" name=""/>
        <dsp:cNvSpPr/>
      </dsp:nvSpPr>
      <dsp:spPr>
        <a:xfrm>
          <a:off x="5201300" y="1639951"/>
          <a:ext cx="264738" cy="152626"/>
        </a:xfrm>
        <a:custGeom>
          <a:avLst/>
          <a:gdLst/>
          <a:ahLst/>
          <a:cxnLst/>
          <a:rect l="0" t="0" r="0" b="0"/>
          <a:pathLst>
            <a:path>
              <a:moveTo>
                <a:pt x="0" y="0"/>
              </a:moveTo>
              <a:lnTo>
                <a:pt x="0" y="76313"/>
              </a:lnTo>
              <a:lnTo>
                <a:pt x="264738" y="76313"/>
              </a:lnTo>
              <a:lnTo>
                <a:pt x="264738" y="152626"/>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19BD9073-A2BD-4E71-B8C6-BBF5A340A9D8}">
      <dsp:nvSpPr>
        <dsp:cNvPr id="0" name=""/>
        <dsp:cNvSpPr/>
      </dsp:nvSpPr>
      <dsp:spPr>
        <a:xfrm>
          <a:off x="5358332" y="1792577"/>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latin typeface="Times New Roman" panose="02020603050405020304" pitchFamily="18" charset="0"/>
              <a:cs typeface="Times New Roman" panose="02020603050405020304" pitchFamily="18" charset="0"/>
            </a:rPr>
            <a:t>C6-3</a:t>
          </a:r>
          <a:endParaRPr lang="fr-FR" sz="500" kern="1200">
            <a:latin typeface="Times New Roman" panose="02020603050405020304" pitchFamily="18" charset="0"/>
            <a:cs typeface="Times New Roman" panose="02020603050405020304" pitchFamily="18" charset="0"/>
          </a:endParaRPr>
        </a:p>
      </dsp:txBody>
      <dsp:txXfrm>
        <a:off x="5362156" y="1796401"/>
        <a:ext cx="207765" cy="122905"/>
      </dsp:txXfrm>
    </dsp:sp>
    <dsp:sp modelId="{39B2F692-1BE4-479B-939E-B7C6D6EE6A46}">
      <dsp:nvSpPr>
        <dsp:cNvPr id="0" name=""/>
        <dsp:cNvSpPr/>
      </dsp:nvSpPr>
      <dsp:spPr>
        <a:xfrm>
          <a:off x="5155580" y="1639951"/>
          <a:ext cx="91440" cy="151200"/>
        </a:xfrm>
        <a:custGeom>
          <a:avLst/>
          <a:gdLst/>
          <a:ahLst/>
          <a:cxnLst/>
          <a:rect l="0" t="0" r="0" b="0"/>
          <a:pathLst>
            <a:path>
              <a:moveTo>
                <a:pt x="45720" y="0"/>
              </a:moveTo>
              <a:lnTo>
                <a:pt x="45720" y="151200"/>
              </a:lnTo>
            </a:path>
          </a:pathLst>
        </a:custGeom>
        <a:no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AB57768D-E3ED-4AA4-84BE-DFEC6663B236}">
      <dsp:nvSpPr>
        <dsp:cNvPr id="0" name=""/>
        <dsp:cNvSpPr/>
      </dsp:nvSpPr>
      <dsp:spPr>
        <a:xfrm>
          <a:off x="5093594" y="1791151"/>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latin typeface="Times New Roman" panose="02020603050405020304" pitchFamily="18" charset="0"/>
              <a:cs typeface="Times New Roman" panose="02020603050405020304" pitchFamily="18" charset="0"/>
            </a:rPr>
            <a:t>C6-2</a:t>
          </a:r>
          <a:endParaRPr lang="fr-FR" sz="500" kern="1200">
            <a:latin typeface="Times New Roman" panose="02020603050405020304" pitchFamily="18" charset="0"/>
            <a:cs typeface="Times New Roman" panose="02020603050405020304" pitchFamily="18" charset="0"/>
          </a:endParaRPr>
        </a:p>
      </dsp:txBody>
      <dsp:txXfrm>
        <a:off x="5097418" y="1794975"/>
        <a:ext cx="207765" cy="122905"/>
      </dsp:txXfrm>
    </dsp:sp>
    <dsp:sp modelId="{2F27D46E-835F-48A2-93AB-9AE3E4DC1344}">
      <dsp:nvSpPr>
        <dsp:cNvPr id="0" name=""/>
        <dsp:cNvSpPr/>
      </dsp:nvSpPr>
      <dsp:spPr>
        <a:xfrm>
          <a:off x="4936561" y="1639951"/>
          <a:ext cx="264738" cy="149417"/>
        </a:xfrm>
        <a:custGeom>
          <a:avLst/>
          <a:gdLst/>
          <a:ahLst/>
          <a:cxnLst/>
          <a:rect l="0" t="0" r="0" b="0"/>
          <a:pathLst>
            <a:path>
              <a:moveTo>
                <a:pt x="264738" y="0"/>
              </a:moveTo>
              <a:lnTo>
                <a:pt x="264738" y="74708"/>
              </a:lnTo>
              <a:lnTo>
                <a:pt x="0" y="74708"/>
              </a:lnTo>
              <a:lnTo>
                <a:pt x="0" y="149417"/>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87096355-B31D-4DFF-A8D0-ED4E0A8AD722}">
      <dsp:nvSpPr>
        <dsp:cNvPr id="0" name=""/>
        <dsp:cNvSpPr/>
      </dsp:nvSpPr>
      <dsp:spPr>
        <a:xfrm>
          <a:off x="4828855" y="1789368"/>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latin typeface="Times New Roman" panose="02020603050405020304" pitchFamily="18" charset="0"/>
              <a:cs typeface="Times New Roman" panose="02020603050405020304" pitchFamily="18" charset="0"/>
            </a:rPr>
            <a:t>C6-1</a:t>
          </a:r>
          <a:endParaRPr lang="fr-FR" sz="500" kern="1200">
            <a:latin typeface="Times New Roman" panose="02020603050405020304" pitchFamily="18" charset="0"/>
            <a:cs typeface="Times New Roman" panose="02020603050405020304" pitchFamily="18" charset="0"/>
          </a:endParaRPr>
        </a:p>
      </dsp:txBody>
      <dsp:txXfrm>
        <a:off x="4832679" y="1793192"/>
        <a:ext cx="207765" cy="122905"/>
      </dsp:txXfrm>
    </dsp:sp>
    <dsp:sp modelId="{4A6F9F5B-CE5D-43B3-A3BC-B7218AAD487D}">
      <dsp:nvSpPr>
        <dsp:cNvPr id="0" name=""/>
        <dsp:cNvSpPr/>
      </dsp:nvSpPr>
      <dsp:spPr>
        <a:xfrm>
          <a:off x="2761933" y="659804"/>
          <a:ext cx="1667702" cy="307830"/>
        </a:xfrm>
        <a:custGeom>
          <a:avLst/>
          <a:gdLst/>
          <a:ahLst/>
          <a:cxnLst/>
          <a:rect l="0" t="0" r="0" b="0"/>
          <a:pathLst>
            <a:path>
              <a:moveTo>
                <a:pt x="0" y="0"/>
              </a:moveTo>
              <a:lnTo>
                <a:pt x="0" y="153915"/>
              </a:lnTo>
              <a:lnTo>
                <a:pt x="1667702" y="153915"/>
              </a:lnTo>
              <a:lnTo>
                <a:pt x="1667702" y="307830"/>
              </a:lnTo>
            </a:path>
          </a:pathLst>
        </a:custGeom>
        <a:noFill/>
        <a:ln w="6350" cap="flat" cmpd="sng" algn="ctr">
          <a:solidFill>
            <a:schemeClr val="tx1"/>
          </a:solidFill>
          <a:prstDash val="solid"/>
        </a:ln>
        <a:effectLst/>
      </dsp:spPr>
      <dsp:style>
        <a:lnRef idx="1">
          <a:schemeClr val="dk1"/>
        </a:lnRef>
        <a:fillRef idx="0">
          <a:schemeClr val="dk1"/>
        </a:fillRef>
        <a:effectRef idx="0">
          <a:schemeClr val="dk1"/>
        </a:effectRef>
        <a:fontRef idx="minor">
          <a:schemeClr val="tx1"/>
        </a:fontRef>
      </dsp:style>
    </dsp:sp>
    <dsp:sp modelId="{04D4A528-209F-4D0D-98A9-6C96FB79625E}">
      <dsp:nvSpPr>
        <dsp:cNvPr id="0" name=""/>
        <dsp:cNvSpPr/>
      </dsp:nvSpPr>
      <dsp:spPr>
        <a:xfrm>
          <a:off x="4195890" y="967635"/>
          <a:ext cx="467491" cy="680718"/>
        </a:xfrm>
        <a:prstGeom prst="roundRect">
          <a:avLst>
            <a:gd name="adj" fmla="val 10000"/>
          </a:avLst>
        </a:prstGeom>
        <a:solidFill>
          <a:schemeClr val="bg1">
            <a:lumMod val="85000"/>
          </a:schemeClr>
        </a:solid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معيار الامن</a:t>
          </a:r>
          <a:endParaRPr lang="fr-FR" sz="1200" kern="1200">
            <a:latin typeface="Simplified Arabic" panose="02020603050405020304" pitchFamily="18" charset="-78"/>
            <a:cs typeface="Simplified Arabic" panose="02020603050405020304" pitchFamily="18" charset="-78"/>
          </a:endParaRPr>
        </a:p>
      </dsp:txBody>
      <dsp:txXfrm>
        <a:off x="4209582" y="981327"/>
        <a:ext cx="440107" cy="653334"/>
      </dsp:txXfrm>
    </dsp:sp>
    <dsp:sp modelId="{A4D1A9F2-54BC-4196-B338-5A649C7A4981}">
      <dsp:nvSpPr>
        <dsp:cNvPr id="0" name=""/>
        <dsp:cNvSpPr/>
      </dsp:nvSpPr>
      <dsp:spPr>
        <a:xfrm>
          <a:off x="4429636" y="1648353"/>
          <a:ext cx="254947" cy="146065"/>
        </a:xfrm>
        <a:custGeom>
          <a:avLst/>
          <a:gdLst/>
          <a:ahLst/>
          <a:cxnLst/>
          <a:rect l="0" t="0" r="0" b="0"/>
          <a:pathLst>
            <a:path>
              <a:moveTo>
                <a:pt x="0" y="0"/>
              </a:moveTo>
              <a:lnTo>
                <a:pt x="0" y="73032"/>
              </a:lnTo>
              <a:lnTo>
                <a:pt x="254947" y="73032"/>
              </a:lnTo>
              <a:lnTo>
                <a:pt x="254947" y="146065"/>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A18A269-FE1D-48CE-8206-0F2E5A1B2745}">
      <dsp:nvSpPr>
        <dsp:cNvPr id="0" name=""/>
        <dsp:cNvSpPr/>
      </dsp:nvSpPr>
      <dsp:spPr>
        <a:xfrm>
          <a:off x="4586668" y="1794419"/>
          <a:ext cx="195830"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C3-</a:t>
          </a:r>
          <a:r>
            <a:rPr lang="ar-DZ" sz="600" kern="1200">
              <a:cs typeface="+mj-cs"/>
            </a:rPr>
            <a:t>3</a:t>
          </a:r>
          <a:endParaRPr lang="fr-FR" sz="600" kern="1200">
            <a:cs typeface="+mj-cs"/>
          </a:endParaRPr>
        </a:p>
      </dsp:txBody>
      <dsp:txXfrm>
        <a:off x="4590492" y="1798243"/>
        <a:ext cx="188182" cy="122905"/>
      </dsp:txXfrm>
    </dsp:sp>
    <dsp:sp modelId="{0E40FF05-B58D-4F6E-B305-E0C652CEA1A5}">
      <dsp:nvSpPr>
        <dsp:cNvPr id="0" name=""/>
        <dsp:cNvSpPr/>
      </dsp:nvSpPr>
      <dsp:spPr>
        <a:xfrm>
          <a:off x="4383916" y="1648353"/>
          <a:ext cx="91440" cy="144640"/>
        </a:xfrm>
        <a:custGeom>
          <a:avLst/>
          <a:gdLst/>
          <a:ahLst/>
          <a:cxnLst/>
          <a:rect l="0" t="0" r="0" b="0"/>
          <a:pathLst>
            <a:path>
              <a:moveTo>
                <a:pt x="45720" y="0"/>
              </a:moveTo>
              <a:lnTo>
                <a:pt x="45720" y="72320"/>
              </a:lnTo>
              <a:lnTo>
                <a:pt x="55511" y="72320"/>
              </a:lnTo>
              <a:lnTo>
                <a:pt x="55511" y="144640"/>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F2CBB407-A3F8-4CEB-9134-F2C504217C5A}">
      <dsp:nvSpPr>
        <dsp:cNvPr id="0" name=""/>
        <dsp:cNvSpPr/>
      </dsp:nvSpPr>
      <dsp:spPr>
        <a:xfrm>
          <a:off x="4341512" y="1792993"/>
          <a:ext cx="195830"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C3-</a:t>
          </a:r>
          <a:r>
            <a:rPr lang="ar-DZ" sz="600" kern="1200">
              <a:cs typeface="+mj-cs"/>
            </a:rPr>
            <a:t>2</a:t>
          </a:r>
          <a:endParaRPr lang="fr-FR" sz="600" kern="1200">
            <a:cs typeface="+mj-cs"/>
          </a:endParaRPr>
        </a:p>
      </dsp:txBody>
      <dsp:txXfrm>
        <a:off x="4345336" y="1796817"/>
        <a:ext cx="188182" cy="122905"/>
      </dsp:txXfrm>
    </dsp:sp>
    <dsp:sp modelId="{02581574-90F2-452E-81F9-EC3754B5AD64}">
      <dsp:nvSpPr>
        <dsp:cNvPr id="0" name=""/>
        <dsp:cNvSpPr/>
      </dsp:nvSpPr>
      <dsp:spPr>
        <a:xfrm>
          <a:off x="4184480" y="1648353"/>
          <a:ext cx="245155" cy="142856"/>
        </a:xfrm>
        <a:custGeom>
          <a:avLst/>
          <a:gdLst/>
          <a:ahLst/>
          <a:cxnLst/>
          <a:rect l="0" t="0" r="0" b="0"/>
          <a:pathLst>
            <a:path>
              <a:moveTo>
                <a:pt x="245155" y="0"/>
              </a:moveTo>
              <a:lnTo>
                <a:pt x="245155" y="71428"/>
              </a:lnTo>
              <a:lnTo>
                <a:pt x="0" y="71428"/>
              </a:lnTo>
              <a:lnTo>
                <a:pt x="0" y="142856"/>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96E87FC5-3E0D-49E0-B529-F3F17E852B44}">
      <dsp:nvSpPr>
        <dsp:cNvPr id="0" name=""/>
        <dsp:cNvSpPr/>
      </dsp:nvSpPr>
      <dsp:spPr>
        <a:xfrm>
          <a:off x="4076774" y="1791210"/>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latin typeface="Times New Roman" panose="02020603050405020304" pitchFamily="18" charset="0"/>
              <a:cs typeface="Times New Roman" panose="02020603050405020304" pitchFamily="18" charset="0"/>
            </a:rPr>
            <a:t>C3-1</a:t>
          </a:r>
        </a:p>
      </dsp:txBody>
      <dsp:txXfrm>
        <a:off x="4080598" y="1795034"/>
        <a:ext cx="207765" cy="122905"/>
      </dsp:txXfrm>
    </dsp:sp>
    <dsp:sp modelId="{EC4A3106-5D13-4E7F-96C7-EF769D390CF7}">
      <dsp:nvSpPr>
        <dsp:cNvPr id="0" name=""/>
        <dsp:cNvSpPr/>
      </dsp:nvSpPr>
      <dsp:spPr>
        <a:xfrm>
          <a:off x="2761933" y="659804"/>
          <a:ext cx="894174" cy="301270"/>
        </a:xfrm>
        <a:custGeom>
          <a:avLst/>
          <a:gdLst/>
          <a:ahLst/>
          <a:cxnLst/>
          <a:rect l="0" t="0" r="0" b="0"/>
          <a:pathLst>
            <a:path>
              <a:moveTo>
                <a:pt x="0" y="0"/>
              </a:moveTo>
              <a:lnTo>
                <a:pt x="0" y="150635"/>
              </a:lnTo>
              <a:lnTo>
                <a:pt x="894174" y="150635"/>
              </a:lnTo>
              <a:lnTo>
                <a:pt x="894174" y="301270"/>
              </a:lnTo>
            </a:path>
          </a:pathLst>
        </a:custGeom>
        <a:noFill/>
        <a:ln w="6350" cap="flat" cmpd="sng" algn="ctr">
          <a:solidFill>
            <a:schemeClr val="tx1"/>
          </a:solidFill>
          <a:prstDash val="solid"/>
        </a:ln>
        <a:effectLst/>
      </dsp:spPr>
      <dsp:style>
        <a:lnRef idx="1">
          <a:schemeClr val="dk1"/>
        </a:lnRef>
        <a:fillRef idx="0">
          <a:schemeClr val="dk1"/>
        </a:fillRef>
        <a:effectRef idx="0">
          <a:schemeClr val="dk1"/>
        </a:effectRef>
        <a:fontRef idx="minor">
          <a:schemeClr val="tx1"/>
        </a:fontRef>
      </dsp:style>
    </dsp:sp>
    <dsp:sp modelId="{F8A34F09-861C-4E92-BFFB-BEA04E1811B4}">
      <dsp:nvSpPr>
        <dsp:cNvPr id="0" name=""/>
        <dsp:cNvSpPr/>
      </dsp:nvSpPr>
      <dsp:spPr>
        <a:xfrm>
          <a:off x="3398481" y="961075"/>
          <a:ext cx="515252" cy="672118"/>
        </a:xfrm>
        <a:prstGeom prst="roundRect">
          <a:avLst>
            <a:gd name="adj" fmla="val 10000"/>
          </a:avLst>
        </a:prstGeom>
        <a:solidFill>
          <a:schemeClr val="bg1">
            <a:lumMod val="85000"/>
          </a:schemeClr>
        </a:solid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0" kern="1200">
              <a:latin typeface="Simplified Arabic" panose="02020603050405020304" pitchFamily="18" charset="-78"/>
              <a:cs typeface="Simplified Arabic" panose="02020603050405020304" pitchFamily="18" charset="-78"/>
            </a:rPr>
            <a:t>معيار الانقاذ والاجلاء</a:t>
          </a:r>
          <a:endParaRPr lang="fr-FR" sz="1200" b="0" kern="1200">
            <a:latin typeface="Simplified Arabic" panose="02020603050405020304" pitchFamily="18" charset="-78"/>
            <a:cs typeface="Simplified Arabic" panose="02020603050405020304" pitchFamily="18" charset="-78"/>
          </a:endParaRPr>
        </a:p>
      </dsp:txBody>
      <dsp:txXfrm>
        <a:off x="3413572" y="976166"/>
        <a:ext cx="485070" cy="641936"/>
      </dsp:txXfrm>
    </dsp:sp>
    <dsp:sp modelId="{B0CFFC2D-4791-4ABA-AE8B-A028B670C2F3}">
      <dsp:nvSpPr>
        <dsp:cNvPr id="0" name=""/>
        <dsp:cNvSpPr/>
      </dsp:nvSpPr>
      <dsp:spPr>
        <a:xfrm>
          <a:off x="3656107" y="1633193"/>
          <a:ext cx="245155" cy="170114"/>
        </a:xfrm>
        <a:custGeom>
          <a:avLst/>
          <a:gdLst/>
          <a:ahLst/>
          <a:cxnLst/>
          <a:rect l="0" t="0" r="0" b="0"/>
          <a:pathLst>
            <a:path>
              <a:moveTo>
                <a:pt x="0" y="0"/>
              </a:moveTo>
              <a:lnTo>
                <a:pt x="0" y="85057"/>
              </a:lnTo>
              <a:lnTo>
                <a:pt x="245155" y="85057"/>
              </a:lnTo>
              <a:lnTo>
                <a:pt x="245155" y="170114"/>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76A9C44A-66AB-452E-AC92-725CAA7AC918}">
      <dsp:nvSpPr>
        <dsp:cNvPr id="0" name=""/>
        <dsp:cNvSpPr/>
      </dsp:nvSpPr>
      <dsp:spPr>
        <a:xfrm>
          <a:off x="3803348" y="1803308"/>
          <a:ext cx="195830"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2</a:t>
          </a:r>
          <a:r>
            <a:rPr lang="fr-FR" sz="600" kern="1200">
              <a:cs typeface="+mj-cs"/>
            </a:rPr>
            <a:t>-</a:t>
          </a:r>
          <a:r>
            <a:rPr lang="ar-DZ" sz="600" kern="1200">
              <a:cs typeface="+mj-cs"/>
            </a:rPr>
            <a:t>3</a:t>
          </a:r>
          <a:endParaRPr lang="fr-FR" sz="600" kern="1200">
            <a:cs typeface="+mj-cs"/>
          </a:endParaRPr>
        </a:p>
      </dsp:txBody>
      <dsp:txXfrm>
        <a:off x="3807172" y="1807132"/>
        <a:ext cx="188182" cy="122905"/>
      </dsp:txXfrm>
    </dsp:sp>
    <dsp:sp modelId="{570AF86A-72B4-4AF0-81E7-F522806F6918}">
      <dsp:nvSpPr>
        <dsp:cNvPr id="0" name=""/>
        <dsp:cNvSpPr/>
      </dsp:nvSpPr>
      <dsp:spPr>
        <a:xfrm>
          <a:off x="3610387" y="1633193"/>
          <a:ext cx="91440" cy="168689"/>
        </a:xfrm>
        <a:custGeom>
          <a:avLst/>
          <a:gdLst/>
          <a:ahLst/>
          <a:cxnLst/>
          <a:rect l="0" t="0" r="0" b="0"/>
          <a:pathLst>
            <a:path>
              <a:moveTo>
                <a:pt x="45720" y="0"/>
              </a:moveTo>
              <a:lnTo>
                <a:pt x="45720" y="168689"/>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2A864C87-7DDD-4EDE-AABB-A88442248A86}">
      <dsp:nvSpPr>
        <dsp:cNvPr id="0" name=""/>
        <dsp:cNvSpPr/>
      </dsp:nvSpPr>
      <dsp:spPr>
        <a:xfrm>
          <a:off x="3558192" y="1801883"/>
          <a:ext cx="195830"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2</a:t>
          </a:r>
          <a:r>
            <a:rPr lang="fr-FR" sz="600" kern="1200">
              <a:cs typeface="+mj-cs"/>
            </a:rPr>
            <a:t>-</a:t>
          </a:r>
          <a:r>
            <a:rPr lang="ar-DZ" sz="600" kern="1200">
              <a:cs typeface="+mj-cs"/>
            </a:rPr>
            <a:t>2</a:t>
          </a:r>
          <a:endParaRPr lang="fr-FR" sz="600" kern="1200">
            <a:cs typeface="+mj-cs"/>
          </a:endParaRPr>
        </a:p>
      </dsp:txBody>
      <dsp:txXfrm>
        <a:off x="3562016" y="1805707"/>
        <a:ext cx="188182" cy="122905"/>
      </dsp:txXfrm>
    </dsp:sp>
    <dsp:sp modelId="{8F134DE1-9443-4A76-A2F5-20496A3C8610}">
      <dsp:nvSpPr>
        <dsp:cNvPr id="0" name=""/>
        <dsp:cNvSpPr/>
      </dsp:nvSpPr>
      <dsp:spPr>
        <a:xfrm>
          <a:off x="3410951" y="1633193"/>
          <a:ext cx="245155" cy="174090"/>
        </a:xfrm>
        <a:custGeom>
          <a:avLst/>
          <a:gdLst/>
          <a:ahLst/>
          <a:cxnLst/>
          <a:rect l="0" t="0" r="0" b="0"/>
          <a:pathLst>
            <a:path>
              <a:moveTo>
                <a:pt x="245155" y="0"/>
              </a:moveTo>
              <a:lnTo>
                <a:pt x="245155" y="87045"/>
              </a:lnTo>
              <a:lnTo>
                <a:pt x="0" y="87045"/>
              </a:lnTo>
              <a:lnTo>
                <a:pt x="0" y="174090"/>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E2CBFAC9-A1D5-411B-9701-47D328A45087}">
      <dsp:nvSpPr>
        <dsp:cNvPr id="0" name=""/>
        <dsp:cNvSpPr/>
      </dsp:nvSpPr>
      <dsp:spPr>
        <a:xfrm>
          <a:off x="3313036" y="1807284"/>
          <a:ext cx="195830"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2</a:t>
          </a:r>
          <a:r>
            <a:rPr lang="fr-FR" sz="600" kern="1200">
              <a:cs typeface="+mj-cs"/>
            </a:rPr>
            <a:t>-1</a:t>
          </a:r>
        </a:p>
      </dsp:txBody>
      <dsp:txXfrm>
        <a:off x="3316860" y="1811108"/>
        <a:ext cx="188182" cy="122905"/>
      </dsp:txXfrm>
    </dsp:sp>
    <dsp:sp modelId="{0780D32E-ABFB-4B9F-BCC3-664632188C09}">
      <dsp:nvSpPr>
        <dsp:cNvPr id="0" name=""/>
        <dsp:cNvSpPr/>
      </dsp:nvSpPr>
      <dsp:spPr>
        <a:xfrm>
          <a:off x="2761933" y="659804"/>
          <a:ext cx="101062" cy="307830"/>
        </a:xfrm>
        <a:custGeom>
          <a:avLst/>
          <a:gdLst/>
          <a:ahLst/>
          <a:cxnLst/>
          <a:rect l="0" t="0" r="0" b="0"/>
          <a:pathLst>
            <a:path>
              <a:moveTo>
                <a:pt x="0" y="0"/>
              </a:moveTo>
              <a:lnTo>
                <a:pt x="0" y="153915"/>
              </a:lnTo>
              <a:lnTo>
                <a:pt x="101062" y="153915"/>
              </a:lnTo>
              <a:lnTo>
                <a:pt x="101062" y="307830"/>
              </a:lnTo>
            </a:path>
          </a:pathLst>
        </a:custGeom>
        <a:noFill/>
        <a:ln w="12700"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97D05B06-B097-4EC4-97A7-83041382261D}">
      <dsp:nvSpPr>
        <dsp:cNvPr id="0" name=""/>
        <dsp:cNvSpPr/>
      </dsp:nvSpPr>
      <dsp:spPr>
        <a:xfrm>
          <a:off x="2632443" y="967635"/>
          <a:ext cx="461105" cy="667217"/>
        </a:xfrm>
        <a:prstGeom prst="roundRect">
          <a:avLst>
            <a:gd name="adj" fmla="val 10000"/>
          </a:avLst>
        </a:prstGeom>
        <a:solidFill>
          <a:schemeClr val="bg1">
            <a:lumMod val="85000"/>
          </a:schemeClr>
        </a:solid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معيار التكفل الطبي</a:t>
          </a:r>
          <a:endParaRPr lang="fr-FR" sz="1200" kern="1200">
            <a:latin typeface="Simplified Arabic" panose="02020603050405020304" pitchFamily="18" charset="-78"/>
            <a:cs typeface="Simplified Arabic" panose="02020603050405020304" pitchFamily="18" charset="-78"/>
          </a:endParaRPr>
        </a:p>
      </dsp:txBody>
      <dsp:txXfrm>
        <a:off x="2645948" y="981140"/>
        <a:ext cx="434095" cy="640207"/>
      </dsp:txXfrm>
    </dsp:sp>
    <dsp:sp modelId="{74587BA8-5954-4209-ABC2-5E5B183C66F3}">
      <dsp:nvSpPr>
        <dsp:cNvPr id="0" name=""/>
        <dsp:cNvSpPr/>
      </dsp:nvSpPr>
      <dsp:spPr>
        <a:xfrm>
          <a:off x="2862995" y="1634853"/>
          <a:ext cx="264738" cy="161682"/>
        </a:xfrm>
        <a:custGeom>
          <a:avLst/>
          <a:gdLst/>
          <a:ahLst/>
          <a:cxnLst/>
          <a:rect l="0" t="0" r="0" b="0"/>
          <a:pathLst>
            <a:path>
              <a:moveTo>
                <a:pt x="0" y="0"/>
              </a:moveTo>
              <a:lnTo>
                <a:pt x="0" y="80841"/>
              </a:lnTo>
              <a:lnTo>
                <a:pt x="264738" y="80841"/>
              </a:lnTo>
              <a:lnTo>
                <a:pt x="264738" y="161682"/>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357801CE-3718-4936-A990-4B8ABA290ED4}">
      <dsp:nvSpPr>
        <dsp:cNvPr id="0" name=""/>
        <dsp:cNvSpPr/>
      </dsp:nvSpPr>
      <dsp:spPr>
        <a:xfrm>
          <a:off x="3020028" y="1796535"/>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latin typeface="Times New Roman" panose="02020603050405020304" pitchFamily="18" charset="0"/>
              <a:cs typeface="Times New Roman" panose="02020603050405020304" pitchFamily="18" charset="0"/>
            </a:rPr>
            <a:t>C</a:t>
          </a:r>
          <a:r>
            <a:rPr lang="ar-DZ" sz="600" kern="1200">
              <a:latin typeface="Times New Roman" panose="02020603050405020304" pitchFamily="18" charset="0"/>
              <a:cs typeface="Times New Roman" panose="02020603050405020304" pitchFamily="18" charset="0"/>
            </a:rPr>
            <a:t>1</a:t>
          </a:r>
          <a:r>
            <a:rPr lang="fr-FR" sz="600" kern="1200">
              <a:latin typeface="Times New Roman" panose="02020603050405020304" pitchFamily="18" charset="0"/>
              <a:cs typeface="Times New Roman" panose="02020603050405020304" pitchFamily="18" charset="0"/>
            </a:rPr>
            <a:t>-</a:t>
          </a:r>
          <a:r>
            <a:rPr lang="ar-DZ" sz="600" kern="1200">
              <a:latin typeface="Times New Roman" panose="02020603050405020304" pitchFamily="18" charset="0"/>
              <a:cs typeface="Times New Roman" panose="02020603050405020304" pitchFamily="18" charset="0"/>
            </a:rPr>
            <a:t>3</a:t>
          </a:r>
          <a:endParaRPr lang="fr-FR" sz="600" kern="1200"/>
        </a:p>
      </dsp:txBody>
      <dsp:txXfrm>
        <a:off x="3023852" y="1800359"/>
        <a:ext cx="207765" cy="122905"/>
      </dsp:txXfrm>
    </dsp:sp>
    <dsp:sp modelId="{6A80476F-7AD5-4D53-B37C-94F640B9CFD0}">
      <dsp:nvSpPr>
        <dsp:cNvPr id="0" name=""/>
        <dsp:cNvSpPr/>
      </dsp:nvSpPr>
      <dsp:spPr>
        <a:xfrm>
          <a:off x="2817275" y="1634853"/>
          <a:ext cx="91440" cy="160256"/>
        </a:xfrm>
        <a:custGeom>
          <a:avLst/>
          <a:gdLst/>
          <a:ahLst/>
          <a:cxnLst/>
          <a:rect l="0" t="0" r="0" b="0"/>
          <a:pathLst>
            <a:path>
              <a:moveTo>
                <a:pt x="45720" y="0"/>
              </a:moveTo>
              <a:lnTo>
                <a:pt x="45720" y="160256"/>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2C11137-D99D-47E2-9030-8F8F03134CA1}">
      <dsp:nvSpPr>
        <dsp:cNvPr id="0" name=""/>
        <dsp:cNvSpPr/>
      </dsp:nvSpPr>
      <dsp:spPr>
        <a:xfrm>
          <a:off x="2755289" y="1795110"/>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latin typeface="Times New Roman" panose="02020603050405020304" pitchFamily="18" charset="0"/>
              <a:cs typeface="Times New Roman" panose="02020603050405020304" pitchFamily="18" charset="0"/>
            </a:rPr>
            <a:t>C</a:t>
          </a:r>
          <a:r>
            <a:rPr lang="ar-DZ" sz="600" kern="1200">
              <a:latin typeface="Times New Roman" panose="02020603050405020304" pitchFamily="18" charset="0"/>
              <a:cs typeface="Times New Roman" panose="02020603050405020304" pitchFamily="18" charset="0"/>
            </a:rPr>
            <a:t>1</a:t>
          </a:r>
          <a:r>
            <a:rPr lang="fr-FR" sz="600" kern="1200">
              <a:latin typeface="Times New Roman" panose="02020603050405020304" pitchFamily="18" charset="0"/>
              <a:cs typeface="Times New Roman" panose="02020603050405020304" pitchFamily="18" charset="0"/>
            </a:rPr>
            <a:t>-</a:t>
          </a:r>
          <a:r>
            <a:rPr lang="ar-DZ" sz="600" kern="1200">
              <a:latin typeface="Times New Roman" panose="02020603050405020304" pitchFamily="18" charset="0"/>
              <a:cs typeface="Times New Roman" panose="02020603050405020304" pitchFamily="18" charset="0"/>
            </a:rPr>
            <a:t>2</a:t>
          </a:r>
          <a:endParaRPr lang="fr-FR" sz="600" kern="1200"/>
        </a:p>
      </dsp:txBody>
      <dsp:txXfrm>
        <a:off x="2759113" y="1798934"/>
        <a:ext cx="207765" cy="122905"/>
      </dsp:txXfrm>
    </dsp:sp>
    <dsp:sp modelId="{936E48CE-C275-4A7A-929C-9788E38091EB}">
      <dsp:nvSpPr>
        <dsp:cNvPr id="0" name=""/>
        <dsp:cNvSpPr/>
      </dsp:nvSpPr>
      <dsp:spPr>
        <a:xfrm>
          <a:off x="2598257" y="1634853"/>
          <a:ext cx="264738" cy="158473"/>
        </a:xfrm>
        <a:custGeom>
          <a:avLst/>
          <a:gdLst/>
          <a:ahLst/>
          <a:cxnLst/>
          <a:rect l="0" t="0" r="0" b="0"/>
          <a:pathLst>
            <a:path>
              <a:moveTo>
                <a:pt x="264738" y="0"/>
              </a:moveTo>
              <a:lnTo>
                <a:pt x="264738" y="79236"/>
              </a:lnTo>
              <a:lnTo>
                <a:pt x="0" y="79236"/>
              </a:lnTo>
              <a:lnTo>
                <a:pt x="0" y="15847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9A616711-DCBC-418A-8278-23D7D144F1C3}">
      <dsp:nvSpPr>
        <dsp:cNvPr id="0" name=""/>
        <dsp:cNvSpPr/>
      </dsp:nvSpPr>
      <dsp:spPr>
        <a:xfrm>
          <a:off x="2490550" y="1793326"/>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latin typeface="Times New Roman" panose="02020603050405020304" pitchFamily="18" charset="0"/>
              <a:cs typeface="Times New Roman" panose="02020603050405020304" pitchFamily="18" charset="0"/>
            </a:rPr>
            <a:t>C</a:t>
          </a:r>
          <a:r>
            <a:rPr lang="ar-DZ" sz="600" kern="1200">
              <a:latin typeface="Times New Roman" panose="02020603050405020304" pitchFamily="18" charset="0"/>
              <a:cs typeface="Times New Roman" panose="02020603050405020304" pitchFamily="18" charset="0"/>
            </a:rPr>
            <a:t>1</a:t>
          </a:r>
          <a:r>
            <a:rPr lang="fr-FR" sz="600" kern="1200">
              <a:latin typeface="Times New Roman" panose="02020603050405020304" pitchFamily="18" charset="0"/>
              <a:cs typeface="Times New Roman" panose="02020603050405020304" pitchFamily="18" charset="0"/>
            </a:rPr>
            <a:t>-</a:t>
          </a:r>
          <a:r>
            <a:rPr lang="ar-DZ" sz="600" kern="1200">
              <a:latin typeface="Times New Roman" panose="02020603050405020304" pitchFamily="18" charset="0"/>
              <a:cs typeface="Times New Roman" panose="02020603050405020304" pitchFamily="18" charset="0"/>
            </a:rPr>
            <a:t>1</a:t>
          </a:r>
          <a:endParaRPr lang="fr-FR" sz="500" kern="1200"/>
        </a:p>
      </dsp:txBody>
      <dsp:txXfrm>
        <a:off x="2494374" y="1797150"/>
        <a:ext cx="207765" cy="122905"/>
      </dsp:txXfrm>
    </dsp:sp>
    <dsp:sp modelId="{D4669E14-CA1A-4D99-A376-6C0AE7D37824}">
      <dsp:nvSpPr>
        <dsp:cNvPr id="0" name=""/>
        <dsp:cNvSpPr/>
      </dsp:nvSpPr>
      <dsp:spPr>
        <a:xfrm>
          <a:off x="2040509" y="659804"/>
          <a:ext cx="721423" cy="307830"/>
        </a:xfrm>
        <a:custGeom>
          <a:avLst/>
          <a:gdLst/>
          <a:ahLst/>
          <a:cxnLst/>
          <a:rect l="0" t="0" r="0" b="0"/>
          <a:pathLst>
            <a:path>
              <a:moveTo>
                <a:pt x="721423" y="0"/>
              </a:moveTo>
              <a:lnTo>
                <a:pt x="721423" y="153915"/>
              </a:lnTo>
              <a:lnTo>
                <a:pt x="0" y="153915"/>
              </a:lnTo>
              <a:lnTo>
                <a:pt x="0" y="307830"/>
              </a:lnTo>
            </a:path>
          </a:pathLst>
        </a:custGeom>
        <a:noFill/>
        <a:ln w="6350" cap="flat" cmpd="sng" algn="ctr">
          <a:solidFill>
            <a:schemeClr val="tx1"/>
          </a:solidFill>
          <a:prstDash val="solid"/>
        </a:ln>
        <a:effectLst/>
      </dsp:spPr>
      <dsp:style>
        <a:lnRef idx="1">
          <a:schemeClr val="dk1"/>
        </a:lnRef>
        <a:fillRef idx="0">
          <a:schemeClr val="dk1"/>
        </a:fillRef>
        <a:effectRef idx="0">
          <a:schemeClr val="dk1"/>
        </a:effectRef>
        <a:fontRef idx="minor">
          <a:schemeClr val="tx1"/>
        </a:fontRef>
      </dsp:style>
    </dsp:sp>
    <dsp:sp modelId="{9B6EC84A-9497-486F-BD29-774A0446AC6A}">
      <dsp:nvSpPr>
        <dsp:cNvPr id="0" name=""/>
        <dsp:cNvSpPr/>
      </dsp:nvSpPr>
      <dsp:spPr>
        <a:xfrm>
          <a:off x="1752786" y="967635"/>
          <a:ext cx="575446" cy="680717"/>
        </a:xfrm>
        <a:prstGeom prst="roundRect">
          <a:avLst>
            <a:gd name="adj" fmla="val 10000"/>
          </a:avLst>
        </a:prstGeom>
        <a:solidFill>
          <a:schemeClr val="bg1">
            <a:lumMod val="85000"/>
          </a:schemeClr>
        </a:solid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معيار </a:t>
          </a:r>
          <a:r>
            <a:rPr lang="ar-DZ" sz="1200" b="0" kern="1200">
              <a:latin typeface="Simplified Arabic" panose="02020603050405020304" pitchFamily="18" charset="-78"/>
              <a:cs typeface="Simplified Arabic" panose="02020603050405020304" pitchFamily="18" charset="-78"/>
            </a:rPr>
            <a:t>التضامن/التموين</a:t>
          </a:r>
          <a:endParaRPr lang="fr-FR" sz="1200" b="0" kern="1200">
            <a:latin typeface="Simplified Arabic" panose="02020603050405020304" pitchFamily="18" charset="-78"/>
            <a:cs typeface="Simplified Arabic" panose="02020603050405020304" pitchFamily="18" charset="-78"/>
          </a:endParaRPr>
        </a:p>
      </dsp:txBody>
      <dsp:txXfrm>
        <a:off x="1769640" y="984489"/>
        <a:ext cx="541738" cy="647009"/>
      </dsp:txXfrm>
    </dsp:sp>
    <dsp:sp modelId="{987EF481-8F25-4A6D-B228-B0F49951C03F}">
      <dsp:nvSpPr>
        <dsp:cNvPr id="0" name=""/>
        <dsp:cNvSpPr/>
      </dsp:nvSpPr>
      <dsp:spPr>
        <a:xfrm>
          <a:off x="2040509" y="1648352"/>
          <a:ext cx="264738" cy="147313"/>
        </a:xfrm>
        <a:custGeom>
          <a:avLst/>
          <a:gdLst/>
          <a:ahLst/>
          <a:cxnLst/>
          <a:rect l="0" t="0" r="0" b="0"/>
          <a:pathLst>
            <a:path>
              <a:moveTo>
                <a:pt x="0" y="0"/>
              </a:moveTo>
              <a:lnTo>
                <a:pt x="0" y="73656"/>
              </a:lnTo>
              <a:lnTo>
                <a:pt x="264738" y="73656"/>
              </a:lnTo>
              <a:lnTo>
                <a:pt x="264738" y="14731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E5E1456F-2AE9-42B0-9BB7-5A1F88B9E012}">
      <dsp:nvSpPr>
        <dsp:cNvPr id="0" name=""/>
        <dsp:cNvSpPr/>
      </dsp:nvSpPr>
      <dsp:spPr>
        <a:xfrm>
          <a:off x="2197541" y="1795666"/>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3-5</a:t>
          </a:r>
          <a:endParaRPr lang="fr-FR" sz="600" kern="1200">
            <a:cs typeface="+mj-cs"/>
          </a:endParaRPr>
        </a:p>
      </dsp:txBody>
      <dsp:txXfrm>
        <a:off x="2201365" y="1799490"/>
        <a:ext cx="207765" cy="122905"/>
      </dsp:txXfrm>
    </dsp:sp>
    <dsp:sp modelId="{EF81E231-26E4-45BF-94D2-2AE961407BC3}">
      <dsp:nvSpPr>
        <dsp:cNvPr id="0" name=""/>
        <dsp:cNvSpPr/>
      </dsp:nvSpPr>
      <dsp:spPr>
        <a:xfrm>
          <a:off x="1994789" y="1648352"/>
          <a:ext cx="91440" cy="145888"/>
        </a:xfrm>
        <a:custGeom>
          <a:avLst/>
          <a:gdLst/>
          <a:ahLst/>
          <a:cxnLst/>
          <a:rect l="0" t="0" r="0" b="0"/>
          <a:pathLst>
            <a:path>
              <a:moveTo>
                <a:pt x="45720" y="0"/>
              </a:moveTo>
              <a:lnTo>
                <a:pt x="45720" y="145888"/>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C4DEAA45-24DC-4C4E-97E0-9561E1DAEEDD}">
      <dsp:nvSpPr>
        <dsp:cNvPr id="0" name=""/>
        <dsp:cNvSpPr/>
      </dsp:nvSpPr>
      <dsp:spPr>
        <a:xfrm>
          <a:off x="1932803" y="1794240"/>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2-5</a:t>
          </a:r>
          <a:endParaRPr lang="fr-FR" sz="600" kern="1200">
            <a:cs typeface="+mj-cs"/>
          </a:endParaRPr>
        </a:p>
      </dsp:txBody>
      <dsp:txXfrm>
        <a:off x="1936627" y="1798064"/>
        <a:ext cx="207765" cy="122905"/>
      </dsp:txXfrm>
    </dsp:sp>
    <dsp:sp modelId="{B7F04C45-1169-4277-9696-01E0664EAE1B}">
      <dsp:nvSpPr>
        <dsp:cNvPr id="0" name=""/>
        <dsp:cNvSpPr/>
      </dsp:nvSpPr>
      <dsp:spPr>
        <a:xfrm>
          <a:off x="1775770" y="1648352"/>
          <a:ext cx="264738" cy="144104"/>
        </a:xfrm>
        <a:custGeom>
          <a:avLst/>
          <a:gdLst/>
          <a:ahLst/>
          <a:cxnLst/>
          <a:rect l="0" t="0" r="0" b="0"/>
          <a:pathLst>
            <a:path>
              <a:moveTo>
                <a:pt x="264738" y="0"/>
              </a:moveTo>
              <a:lnTo>
                <a:pt x="264738" y="72052"/>
              </a:lnTo>
              <a:lnTo>
                <a:pt x="0" y="72052"/>
              </a:lnTo>
              <a:lnTo>
                <a:pt x="0" y="144104"/>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5F46D040-EDAA-40D7-9C26-C6AF905D2FAC}">
      <dsp:nvSpPr>
        <dsp:cNvPr id="0" name=""/>
        <dsp:cNvSpPr/>
      </dsp:nvSpPr>
      <dsp:spPr>
        <a:xfrm>
          <a:off x="1668064" y="1792457"/>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1-5</a:t>
          </a:r>
          <a:endParaRPr lang="fr-FR" sz="600" kern="1200">
            <a:cs typeface="+mj-cs"/>
          </a:endParaRPr>
        </a:p>
      </dsp:txBody>
      <dsp:txXfrm>
        <a:off x="1671888" y="1796281"/>
        <a:ext cx="207765" cy="122905"/>
      </dsp:txXfrm>
    </dsp:sp>
    <dsp:sp modelId="{4F0C387C-4B40-4A15-98E4-1DE713E2C616}">
      <dsp:nvSpPr>
        <dsp:cNvPr id="0" name=""/>
        <dsp:cNvSpPr/>
      </dsp:nvSpPr>
      <dsp:spPr>
        <a:xfrm>
          <a:off x="1218023" y="659804"/>
          <a:ext cx="1543909" cy="307830"/>
        </a:xfrm>
        <a:custGeom>
          <a:avLst/>
          <a:gdLst/>
          <a:ahLst/>
          <a:cxnLst/>
          <a:rect l="0" t="0" r="0" b="0"/>
          <a:pathLst>
            <a:path>
              <a:moveTo>
                <a:pt x="1543909" y="0"/>
              </a:moveTo>
              <a:lnTo>
                <a:pt x="1543909" y="153915"/>
              </a:lnTo>
              <a:lnTo>
                <a:pt x="0" y="153915"/>
              </a:lnTo>
              <a:lnTo>
                <a:pt x="0" y="307830"/>
              </a:lnTo>
            </a:path>
          </a:pathLst>
        </a:custGeom>
        <a:noFill/>
        <a:ln w="6350" cap="flat" cmpd="sng" algn="ctr">
          <a:solidFill>
            <a:schemeClr val="tx1"/>
          </a:solidFill>
          <a:prstDash val="solid"/>
        </a:ln>
        <a:effectLst/>
      </dsp:spPr>
      <dsp:style>
        <a:lnRef idx="1">
          <a:schemeClr val="dk1"/>
        </a:lnRef>
        <a:fillRef idx="0">
          <a:schemeClr val="dk1"/>
        </a:fillRef>
        <a:effectRef idx="0">
          <a:schemeClr val="dk1"/>
        </a:effectRef>
        <a:fontRef idx="minor">
          <a:schemeClr val="tx1"/>
        </a:fontRef>
      </dsp:style>
    </dsp:sp>
    <dsp:sp modelId="{B0629BFB-151C-4FE2-9D8A-94C0F04E0F05}">
      <dsp:nvSpPr>
        <dsp:cNvPr id="0" name=""/>
        <dsp:cNvSpPr/>
      </dsp:nvSpPr>
      <dsp:spPr>
        <a:xfrm>
          <a:off x="967976" y="967635"/>
          <a:ext cx="500093" cy="681583"/>
        </a:xfrm>
        <a:prstGeom prst="roundRect">
          <a:avLst>
            <a:gd name="adj" fmla="val 10000"/>
          </a:avLst>
        </a:prstGeom>
        <a:solidFill>
          <a:schemeClr val="bg1">
            <a:lumMod val="85000"/>
          </a:schemeClr>
        </a:solid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معيار الايواء المؤقت</a:t>
          </a:r>
          <a:endParaRPr lang="fr-FR" sz="1200" kern="1200">
            <a:latin typeface="Simplified Arabic" panose="02020603050405020304" pitchFamily="18" charset="-78"/>
            <a:cs typeface="Simplified Arabic" panose="02020603050405020304" pitchFamily="18" charset="-78"/>
          </a:endParaRPr>
        </a:p>
      </dsp:txBody>
      <dsp:txXfrm>
        <a:off x="982623" y="982282"/>
        <a:ext cx="470799" cy="652289"/>
      </dsp:txXfrm>
    </dsp:sp>
    <dsp:sp modelId="{294D6C8C-1123-4BBD-B986-7E954A6633CD}">
      <dsp:nvSpPr>
        <dsp:cNvPr id="0" name=""/>
        <dsp:cNvSpPr/>
      </dsp:nvSpPr>
      <dsp:spPr>
        <a:xfrm>
          <a:off x="1218023" y="1649219"/>
          <a:ext cx="264738" cy="147313"/>
        </a:xfrm>
        <a:custGeom>
          <a:avLst/>
          <a:gdLst/>
          <a:ahLst/>
          <a:cxnLst/>
          <a:rect l="0" t="0" r="0" b="0"/>
          <a:pathLst>
            <a:path>
              <a:moveTo>
                <a:pt x="0" y="0"/>
              </a:moveTo>
              <a:lnTo>
                <a:pt x="0" y="73656"/>
              </a:lnTo>
              <a:lnTo>
                <a:pt x="264738" y="73656"/>
              </a:lnTo>
              <a:lnTo>
                <a:pt x="264738" y="14731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A2B5379F-D06C-42C2-8D58-A95BA4A41363}">
      <dsp:nvSpPr>
        <dsp:cNvPr id="0" name=""/>
        <dsp:cNvSpPr/>
      </dsp:nvSpPr>
      <dsp:spPr>
        <a:xfrm>
          <a:off x="1375055" y="1796533"/>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3-4</a:t>
          </a:r>
          <a:endParaRPr lang="fr-FR" sz="600" kern="1200">
            <a:cs typeface="+mj-cs"/>
          </a:endParaRPr>
        </a:p>
      </dsp:txBody>
      <dsp:txXfrm>
        <a:off x="1378879" y="1800357"/>
        <a:ext cx="207765" cy="122905"/>
      </dsp:txXfrm>
    </dsp:sp>
    <dsp:sp modelId="{0F8C9534-ABAD-40AA-A814-7F0FD70CD45E}">
      <dsp:nvSpPr>
        <dsp:cNvPr id="0" name=""/>
        <dsp:cNvSpPr/>
      </dsp:nvSpPr>
      <dsp:spPr>
        <a:xfrm>
          <a:off x="1172303" y="1649219"/>
          <a:ext cx="91440" cy="145888"/>
        </a:xfrm>
        <a:custGeom>
          <a:avLst/>
          <a:gdLst/>
          <a:ahLst/>
          <a:cxnLst/>
          <a:rect l="0" t="0" r="0" b="0"/>
          <a:pathLst>
            <a:path>
              <a:moveTo>
                <a:pt x="45720" y="0"/>
              </a:moveTo>
              <a:lnTo>
                <a:pt x="45720" y="145888"/>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798E04DC-1E3E-4944-8E91-5F5CBA0603A6}">
      <dsp:nvSpPr>
        <dsp:cNvPr id="0" name=""/>
        <dsp:cNvSpPr/>
      </dsp:nvSpPr>
      <dsp:spPr>
        <a:xfrm>
          <a:off x="1110316" y="1795107"/>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2-4</a:t>
          </a:r>
          <a:endParaRPr lang="fr-FR" sz="600" kern="1200">
            <a:cs typeface="+mj-cs"/>
          </a:endParaRPr>
        </a:p>
      </dsp:txBody>
      <dsp:txXfrm>
        <a:off x="1114140" y="1798931"/>
        <a:ext cx="207765" cy="122905"/>
      </dsp:txXfrm>
    </dsp:sp>
    <dsp:sp modelId="{A63D3328-963A-4049-92A0-8D9CF75BA05C}">
      <dsp:nvSpPr>
        <dsp:cNvPr id="0" name=""/>
        <dsp:cNvSpPr/>
      </dsp:nvSpPr>
      <dsp:spPr>
        <a:xfrm>
          <a:off x="953284" y="1649219"/>
          <a:ext cx="264738" cy="144104"/>
        </a:xfrm>
        <a:custGeom>
          <a:avLst/>
          <a:gdLst/>
          <a:ahLst/>
          <a:cxnLst/>
          <a:rect l="0" t="0" r="0" b="0"/>
          <a:pathLst>
            <a:path>
              <a:moveTo>
                <a:pt x="264738" y="0"/>
              </a:moveTo>
              <a:lnTo>
                <a:pt x="264738" y="72052"/>
              </a:lnTo>
              <a:lnTo>
                <a:pt x="0" y="72052"/>
              </a:lnTo>
              <a:lnTo>
                <a:pt x="0" y="144104"/>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B942EF26-0B6E-4F7F-9233-D17279DD4258}">
      <dsp:nvSpPr>
        <dsp:cNvPr id="0" name=""/>
        <dsp:cNvSpPr/>
      </dsp:nvSpPr>
      <dsp:spPr>
        <a:xfrm>
          <a:off x="845578" y="1793324"/>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1-4</a:t>
          </a:r>
          <a:endParaRPr lang="fr-FR" sz="600" kern="1200">
            <a:cs typeface="+mj-cs"/>
          </a:endParaRPr>
        </a:p>
      </dsp:txBody>
      <dsp:txXfrm>
        <a:off x="849402" y="1797148"/>
        <a:ext cx="207765" cy="122905"/>
      </dsp:txXfrm>
    </dsp:sp>
    <dsp:sp modelId="{C9BA3AAD-5F09-4F57-A105-F4C37B5F051D}">
      <dsp:nvSpPr>
        <dsp:cNvPr id="0" name=""/>
        <dsp:cNvSpPr/>
      </dsp:nvSpPr>
      <dsp:spPr>
        <a:xfrm>
          <a:off x="395537" y="659804"/>
          <a:ext cx="2366396" cy="307830"/>
        </a:xfrm>
        <a:custGeom>
          <a:avLst/>
          <a:gdLst/>
          <a:ahLst/>
          <a:cxnLst/>
          <a:rect l="0" t="0" r="0" b="0"/>
          <a:pathLst>
            <a:path>
              <a:moveTo>
                <a:pt x="2366396" y="0"/>
              </a:moveTo>
              <a:lnTo>
                <a:pt x="2366396" y="153915"/>
              </a:lnTo>
              <a:lnTo>
                <a:pt x="0" y="153915"/>
              </a:lnTo>
              <a:lnTo>
                <a:pt x="0" y="307830"/>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BF493FAE-3F4D-4684-910E-C95A34AE431F}">
      <dsp:nvSpPr>
        <dsp:cNvPr id="0" name=""/>
        <dsp:cNvSpPr/>
      </dsp:nvSpPr>
      <dsp:spPr>
        <a:xfrm>
          <a:off x="48170" y="967635"/>
          <a:ext cx="694732" cy="681583"/>
        </a:xfrm>
        <a:prstGeom prst="roundRect">
          <a:avLst>
            <a:gd name="adj" fmla="val 10000"/>
          </a:avLst>
        </a:prstGeom>
        <a:solidFill>
          <a:schemeClr val="bg1">
            <a:lumMod val="85000"/>
          </a:schemeClr>
        </a:solidFill>
        <a:ln w="635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0" kern="1200">
              <a:latin typeface="Simplified Arabic" panose="02020603050405020304" pitchFamily="18" charset="-78"/>
              <a:cs typeface="Simplified Arabic" panose="02020603050405020304" pitchFamily="18" charset="-78"/>
            </a:rPr>
            <a:t>معيار عمق الطرق الشريانية</a:t>
          </a:r>
          <a:endParaRPr lang="fr-FR" sz="1200" b="0" kern="1200">
            <a:latin typeface="Simplified Arabic" panose="02020603050405020304" pitchFamily="18" charset="-78"/>
            <a:cs typeface="Simplified Arabic" panose="02020603050405020304" pitchFamily="18" charset="-78"/>
          </a:endParaRPr>
        </a:p>
      </dsp:txBody>
      <dsp:txXfrm>
        <a:off x="68133" y="987598"/>
        <a:ext cx="654806" cy="641657"/>
      </dsp:txXfrm>
    </dsp:sp>
    <dsp:sp modelId="{8FA7CA82-6462-4D6E-9F2A-1B80B5D4F321}">
      <dsp:nvSpPr>
        <dsp:cNvPr id="0" name=""/>
        <dsp:cNvSpPr/>
      </dsp:nvSpPr>
      <dsp:spPr>
        <a:xfrm>
          <a:off x="395537" y="1649219"/>
          <a:ext cx="264738" cy="147313"/>
        </a:xfrm>
        <a:custGeom>
          <a:avLst/>
          <a:gdLst/>
          <a:ahLst/>
          <a:cxnLst/>
          <a:rect l="0" t="0" r="0" b="0"/>
          <a:pathLst>
            <a:path>
              <a:moveTo>
                <a:pt x="0" y="0"/>
              </a:moveTo>
              <a:lnTo>
                <a:pt x="0" y="73656"/>
              </a:lnTo>
              <a:lnTo>
                <a:pt x="264738" y="73656"/>
              </a:lnTo>
              <a:lnTo>
                <a:pt x="264738" y="14731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EB89D6C2-9208-4348-B731-49627D5E5DC1}">
      <dsp:nvSpPr>
        <dsp:cNvPr id="0" name=""/>
        <dsp:cNvSpPr/>
      </dsp:nvSpPr>
      <dsp:spPr>
        <a:xfrm>
          <a:off x="552569" y="1796533"/>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3-7</a:t>
          </a:r>
          <a:endParaRPr lang="fr-FR" sz="600" kern="1200">
            <a:cs typeface="+mj-cs"/>
          </a:endParaRPr>
        </a:p>
      </dsp:txBody>
      <dsp:txXfrm>
        <a:off x="556393" y="1800357"/>
        <a:ext cx="207765" cy="122905"/>
      </dsp:txXfrm>
    </dsp:sp>
    <dsp:sp modelId="{70401D0E-695E-4187-939F-984B5276AEC4}">
      <dsp:nvSpPr>
        <dsp:cNvPr id="0" name=""/>
        <dsp:cNvSpPr/>
      </dsp:nvSpPr>
      <dsp:spPr>
        <a:xfrm>
          <a:off x="349817" y="1649219"/>
          <a:ext cx="91440" cy="145888"/>
        </a:xfrm>
        <a:custGeom>
          <a:avLst/>
          <a:gdLst/>
          <a:ahLst/>
          <a:cxnLst/>
          <a:rect l="0" t="0" r="0" b="0"/>
          <a:pathLst>
            <a:path>
              <a:moveTo>
                <a:pt x="45720" y="0"/>
              </a:moveTo>
              <a:lnTo>
                <a:pt x="45720" y="145888"/>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8EAFD011-D4A0-429B-8AEA-5B6FCD77CB17}">
      <dsp:nvSpPr>
        <dsp:cNvPr id="0" name=""/>
        <dsp:cNvSpPr/>
      </dsp:nvSpPr>
      <dsp:spPr>
        <a:xfrm>
          <a:off x="287830" y="1795107"/>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2-7</a:t>
          </a:r>
          <a:endParaRPr lang="fr-FR" sz="600" kern="1200">
            <a:cs typeface="+mj-cs"/>
          </a:endParaRPr>
        </a:p>
      </dsp:txBody>
      <dsp:txXfrm>
        <a:off x="291654" y="1798931"/>
        <a:ext cx="207765" cy="122905"/>
      </dsp:txXfrm>
    </dsp:sp>
    <dsp:sp modelId="{ABF67DB1-78D2-41E6-A9C9-8C64F075A7CF}">
      <dsp:nvSpPr>
        <dsp:cNvPr id="0" name=""/>
        <dsp:cNvSpPr/>
      </dsp:nvSpPr>
      <dsp:spPr>
        <a:xfrm>
          <a:off x="130798" y="1649219"/>
          <a:ext cx="264738" cy="144104"/>
        </a:xfrm>
        <a:custGeom>
          <a:avLst/>
          <a:gdLst/>
          <a:ahLst/>
          <a:cxnLst/>
          <a:rect l="0" t="0" r="0" b="0"/>
          <a:pathLst>
            <a:path>
              <a:moveTo>
                <a:pt x="264738" y="0"/>
              </a:moveTo>
              <a:lnTo>
                <a:pt x="264738" y="72052"/>
              </a:lnTo>
              <a:lnTo>
                <a:pt x="0" y="72052"/>
              </a:lnTo>
              <a:lnTo>
                <a:pt x="0" y="144104"/>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8353D0DB-AE05-4CAC-8662-CE1A495D859A}">
      <dsp:nvSpPr>
        <dsp:cNvPr id="0" name=""/>
        <dsp:cNvSpPr/>
      </dsp:nvSpPr>
      <dsp:spPr>
        <a:xfrm>
          <a:off x="23091" y="1793324"/>
          <a:ext cx="215413" cy="130553"/>
        </a:xfrm>
        <a:prstGeom prst="roundRect">
          <a:avLst>
            <a:gd name="adj" fmla="val 10000"/>
          </a:avLst>
        </a:pr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fr-FR" sz="600" kern="1200">
              <a:cs typeface="+mj-cs"/>
            </a:rPr>
            <a:t>C</a:t>
          </a:r>
          <a:r>
            <a:rPr lang="ar-DZ" sz="600" kern="1200">
              <a:cs typeface="+mj-cs"/>
            </a:rPr>
            <a:t>1-7</a:t>
          </a:r>
          <a:endParaRPr lang="fr-FR" sz="600" kern="1200">
            <a:cs typeface="+mj-cs"/>
          </a:endParaRPr>
        </a:p>
      </dsp:txBody>
      <dsp:txXfrm>
        <a:off x="26915" y="1797148"/>
        <a:ext cx="207765" cy="12290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8E0EE7-024A-45D0-9415-5C59141E0DA4}">
      <dsp:nvSpPr>
        <dsp:cNvPr id="0" name=""/>
        <dsp:cNvSpPr/>
      </dsp:nvSpPr>
      <dsp:spPr>
        <a:xfrm>
          <a:off x="3458146" y="49361"/>
          <a:ext cx="1215676" cy="607845"/>
        </a:xfrm>
        <a:prstGeom prst="roundRect">
          <a:avLst>
            <a:gd name="adj" fmla="val 10000"/>
          </a:avLst>
        </a:prstGeom>
        <a:solidFill>
          <a:schemeClr val="bg1">
            <a:lumMod val="75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مفهوم المرونة</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3475949" y="67164"/>
        <a:ext cx="1180070" cy="572239"/>
      </dsp:txXfrm>
    </dsp:sp>
    <dsp:sp modelId="{12316019-AE9D-41B6-8DD7-C2FE12162131}">
      <dsp:nvSpPr>
        <dsp:cNvPr id="0" name=""/>
        <dsp:cNvSpPr/>
      </dsp:nvSpPr>
      <dsp:spPr>
        <a:xfrm>
          <a:off x="4430687" y="657207"/>
          <a:ext cx="121567" cy="426467"/>
        </a:xfrm>
        <a:custGeom>
          <a:avLst/>
          <a:gdLst/>
          <a:ahLst/>
          <a:cxnLst/>
          <a:rect l="0" t="0" r="0" b="0"/>
          <a:pathLst>
            <a:path>
              <a:moveTo>
                <a:pt x="121567" y="0"/>
              </a:moveTo>
              <a:lnTo>
                <a:pt x="121567" y="426467"/>
              </a:lnTo>
              <a:lnTo>
                <a:pt x="0" y="426467"/>
              </a:lnTo>
            </a:path>
          </a:pathLst>
        </a:custGeom>
        <a:noFill/>
        <a:ln w="9525" cap="flat" cmpd="sng" algn="ctr">
          <a:solidFill>
            <a:schemeClr val="dk1"/>
          </a:solidFill>
          <a:prstDash val="solid"/>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 modelId="{F4AD09CD-DB2D-4B34-B82B-070A98CE97B7}">
      <dsp:nvSpPr>
        <dsp:cNvPr id="0" name=""/>
        <dsp:cNvSpPr/>
      </dsp:nvSpPr>
      <dsp:spPr>
        <a:xfrm>
          <a:off x="3076560" y="749363"/>
          <a:ext cx="1354127" cy="668623"/>
        </a:xfrm>
        <a:prstGeom prst="roundRect">
          <a:avLst>
            <a:gd name="adj" fmla="val 10000"/>
          </a:avLst>
        </a:prstGeom>
        <a:solidFill>
          <a:schemeClr val="bg1">
            <a:lumMod val="75000"/>
            <a:alpha val="90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نظام اجتماعي مرتبط بنظام ايكولوجي</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3096143" y="768946"/>
        <a:ext cx="1314961" cy="629457"/>
      </dsp:txXfrm>
    </dsp:sp>
    <dsp:sp modelId="{0A9B4C1D-37D4-4D19-928C-009DE7FD41DD}">
      <dsp:nvSpPr>
        <dsp:cNvPr id="0" name=""/>
        <dsp:cNvSpPr/>
      </dsp:nvSpPr>
      <dsp:spPr>
        <a:xfrm>
          <a:off x="4428912" y="657207"/>
          <a:ext cx="123343" cy="1232767"/>
        </a:xfrm>
        <a:custGeom>
          <a:avLst/>
          <a:gdLst/>
          <a:ahLst/>
          <a:cxnLst/>
          <a:rect l="0" t="0" r="0" b="0"/>
          <a:pathLst>
            <a:path>
              <a:moveTo>
                <a:pt x="123343" y="0"/>
              </a:moveTo>
              <a:lnTo>
                <a:pt x="123343" y="1232767"/>
              </a:lnTo>
              <a:lnTo>
                <a:pt x="0" y="1232767"/>
              </a:lnTo>
            </a:path>
          </a:pathLst>
        </a:custGeom>
        <a:noFill/>
        <a:ln w="9525" cap="flat" cmpd="sng" algn="ctr">
          <a:solidFill>
            <a:schemeClr val="dk1"/>
          </a:solidFill>
          <a:prstDash val="solid"/>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 modelId="{63503D05-316F-4BE3-92E8-BB07927D1419}">
      <dsp:nvSpPr>
        <dsp:cNvPr id="0" name=""/>
        <dsp:cNvSpPr/>
      </dsp:nvSpPr>
      <dsp:spPr>
        <a:xfrm>
          <a:off x="3076560" y="1517404"/>
          <a:ext cx="1352351" cy="745140"/>
        </a:xfrm>
        <a:prstGeom prst="roundRect">
          <a:avLst>
            <a:gd name="adj" fmla="val 10000"/>
          </a:avLst>
        </a:prstGeom>
        <a:solidFill>
          <a:schemeClr val="bg1">
            <a:lumMod val="75000"/>
            <a:alpha val="90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b="0" kern="1200">
              <a:solidFill>
                <a:schemeClr val="tx1"/>
              </a:solidFill>
              <a:latin typeface="Simplified Arabic" panose="02020603050405020304" pitchFamily="18" charset="-78"/>
              <a:cs typeface="Simplified Arabic" panose="02020603050405020304" pitchFamily="18" charset="-78"/>
            </a:rPr>
            <a:t>نظام اجتماعي وايكولوجي غير قابل للتنبؤ</a:t>
          </a:r>
          <a:endParaRPr lang="fr-FR" sz="1200" b="0" kern="1200">
            <a:solidFill>
              <a:schemeClr val="tx1"/>
            </a:solidFill>
            <a:latin typeface="Simplified Arabic" panose="02020603050405020304" pitchFamily="18" charset="-78"/>
            <a:cs typeface="Simplified Arabic" panose="02020603050405020304" pitchFamily="18" charset="-78"/>
          </a:endParaRPr>
        </a:p>
      </dsp:txBody>
      <dsp:txXfrm>
        <a:off x="3098384" y="1539228"/>
        <a:ext cx="1308703" cy="701492"/>
      </dsp:txXfrm>
    </dsp:sp>
    <dsp:sp modelId="{F37D95AA-DAA7-4519-A113-0CFDDEECE90F}">
      <dsp:nvSpPr>
        <dsp:cNvPr id="0" name=""/>
        <dsp:cNvSpPr/>
      </dsp:nvSpPr>
      <dsp:spPr>
        <a:xfrm>
          <a:off x="4429414" y="657207"/>
          <a:ext cx="122840" cy="2040577"/>
        </a:xfrm>
        <a:custGeom>
          <a:avLst/>
          <a:gdLst/>
          <a:ahLst/>
          <a:cxnLst/>
          <a:rect l="0" t="0" r="0" b="0"/>
          <a:pathLst>
            <a:path>
              <a:moveTo>
                <a:pt x="122840" y="0"/>
              </a:moveTo>
              <a:lnTo>
                <a:pt x="122840" y="2040577"/>
              </a:lnTo>
              <a:lnTo>
                <a:pt x="0" y="2040577"/>
              </a:lnTo>
            </a:path>
          </a:pathLst>
        </a:custGeom>
        <a:noFill/>
        <a:ln w="6350" cap="flat" cmpd="sng" algn="ctr">
          <a:solidFill>
            <a:schemeClr val="dk1"/>
          </a:solidFill>
          <a:prstDash val="solid"/>
        </a:ln>
        <a:effectLst>
          <a:outerShdw blurRad="40000" dist="20000" dir="5400000" rotWithShape="0">
            <a:srgbClr val="000000">
              <a:alpha val="38000"/>
            </a:srgbClr>
          </a:outerShdw>
        </a:effectLst>
      </dsp:spPr>
      <dsp:style>
        <a:lnRef idx="2">
          <a:schemeClr val="dk1"/>
        </a:lnRef>
        <a:fillRef idx="0">
          <a:schemeClr val="dk1"/>
        </a:fillRef>
        <a:effectRef idx="1">
          <a:schemeClr val="dk1"/>
        </a:effectRef>
        <a:fontRef idx="minor">
          <a:schemeClr val="tx1"/>
        </a:fontRef>
      </dsp:style>
    </dsp:sp>
    <dsp:sp modelId="{6C35A718-FBEE-4D77-AB13-999F69FE81E8}">
      <dsp:nvSpPr>
        <dsp:cNvPr id="0" name=""/>
        <dsp:cNvSpPr/>
      </dsp:nvSpPr>
      <dsp:spPr>
        <a:xfrm>
          <a:off x="3076549" y="2363472"/>
          <a:ext cx="1352865" cy="668623"/>
        </a:xfrm>
        <a:prstGeom prst="roundRect">
          <a:avLst>
            <a:gd name="adj" fmla="val 10000"/>
          </a:avLst>
        </a:prstGeom>
        <a:solidFill>
          <a:schemeClr val="bg1">
            <a:lumMod val="75000"/>
            <a:alpha val="90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نظام واحد اجتماعي وايكولوجي</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3096132" y="2383055"/>
        <a:ext cx="1313699" cy="629457"/>
      </dsp:txXfrm>
    </dsp:sp>
    <dsp:sp modelId="{2ADA7CA5-1882-4B8A-8968-E748F97021DD}">
      <dsp:nvSpPr>
        <dsp:cNvPr id="0" name=""/>
        <dsp:cNvSpPr/>
      </dsp:nvSpPr>
      <dsp:spPr>
        <a:xfrm>
          <a:off x="1769707" y="49361"/>
          <a:ext cx="1215676" cy="607845"/>
        </a:xfrm>
        <a:prstGeom prst="roundRect">
          <a:avLst>
            <a:gd name="adj" fmla="val 10000"/>
          </a:avLst>
        </a:prstGeom>
        <a:solidFill>
          <a:schemeClr val="bg1">
            <a:lumMod val="75000"/>
          </a:schemeClr>
        </a:solidFill>
        <a:ln w="9525" cap="flat" cmpd="sng" algn="ctr">
          <a:solidFill>
            <a:schemeClr val="bg1">
              <a:lumMod val="65000"/>
            </a:schemeClr>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مستوى قياس المرونة</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787510" y="67164"/>
        <a:ext cx="1180070" cy="572239"/>
      </dsp:txXfrm>
    </dsp:sp>
    <dsp:sp modelId="{F852CFDE-1062-4783-A32B-C240CF73727B}">
      <dsp:nvSpPr>
        <dsp:cNvPr id="0" name=""/>
        <dsp:cNvSpPr/>
      </dsp:nvSpPr>
      <dsp:spPr>
        <a:xfrm>
          <a:off x="2742248" y="657207"/>
          <a:ext cx="121567" cy="461430"/>
        </a:xfrm>
        <a:custGeom>
          <a:avLst/>
          <a:gdLst/>
          <a:ahLst/>
          <a:cxnLst/>
          <a:rect l="0" t="0" r="0" b="0"/>
          <a:pathLst>
            <a:path>
              <a:moveTo>
                <a:pt x="121567" y="0"/>
              </a:moveTo>
              <a:lnTo>
                <a:pt x="121567" y="461430"/>
              </a:lnTo>
              <a:lnTo>
                <a:pt x="0" y="461430"/>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BA6C41A1-89CC-4677-B409-6C404FB2094C}">
      <dsp:nvSpPr>
        <dsp:cNvPr id="0" name=""/>
        <dsp:cNvSpPr/>
      </dsp:nvSpPr>
      <dsp:spPr>
        <a:xfrm>
          <a:off x="1672452" y="784325"/>
          <a:ext cx="1069796" cy="668623"/>
        </a:xfrm>
        <a:prstGeom prst="roundRect">
          <a:avLst>
            <a:gd name="adj" fmla="val 10000"/>
          </a:avLst>
        </a:prstGeom>
        <a:solidFill>
          <a:schemeClr val="bg1">
            <a:lumMod val="75000"/>
            <a:alpha val="90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مرونة هندسية</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692035" y="803908"/>
        <a:ext cx="1030630" cy="629457"/>
      </dsp:txXfrm>
    </dsp:sp>
    <dsp:sp modelId="{A3C58BD6-04C2-4E06-9B9B-3A812C10A618}">
      <dsp:nvSpPr>
        <dsp:cNvPr id="0" name=""/>
        <dsp:cNvSpPr/>
      </dsp:nvSpPr>
      <dsp:spPr>
        <a:xfrm>
          <a:off x="2742248" y="657207"/>
          <a:ext cx="121567" cy="1297208"/>
        </a:xfrm>
        <a:custGeom>
          <a:avLst/>
          <a:gdLst/>
          <a:ahLst/>
          <a:cxnLst/>
          <a:rect l="0" t="0" r="0" b="0"/>
          <a:pathLst>
            <a:path>
              <a:moveTo>
                <a:pt x="121567" y="0"/>
              </a:moveTo>
              <a:lnTo>
                <a:pt x="121567" y="1297208"/>
              </a:lnTo>
              <a:lnTo>
                <a:pt x="0" y="1297208"/>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87DB08EB-95EE-444C-BA4C-F29B6E5897EA}">
      <dsp:nvSpPr>
        <dsp:cNvPr id="0" name=""/>
        <dsp:cNvSpPr/>
      </dsp:nvSpPr>
      <dsp:spPr>
        <a:xfrm>
          <a:off x="1672452" y="1620104"/>
          <a:ext cx="1069796" cy="668623"/>
        </a:xfrm>
        <a:prstGeom prst="roundRect">
          <a:avLst>
            <a:gd name="adj" fmla="val 10000"/>
          </a:avLst>
        </a:prstGeom>
        <a:solidFill>
          <a:schemeClr val="bg1">
            <a:lumMod val="75000"/>
            <a:alpha val="90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مرونة بيئية</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692035" y="1639687"/>
        <a:ext cx="1030630" cy="629457"/>
      </dsp:txXfrm>
    </dsp:sp>
    <dsp:sp modelId="{FF72A3ED-D724-432D-AB9E-0118F838F768}">
      <dsp:nvSpPr>
        <dsp:cNvPr id="0" name=""/>
        <dsp:cNvSpPr/>
      </dsp:nvSpPr>
      <dsp:spPr>
        <a:xfrm>
          <a:off x="2742248" y="657207"/>
          <a:ext cx="121567" cy="2069261"/>
        </a:xfrm>
        <a:custGeom>
          <a:avLst/>
          <a:gdLst/>
          <a:ahLst/>
          <a:cxnLst/>
          <a:rect l="0" t="0" r="0" b="0"/>
          <a:pathLst>
            <a:path>
              <a:moveTo>
                <a:pt x="121567" y="0"/>
              </a:moveTo>
              <a:lnTo>
                <a:pt x="121567" y="2069261"/>
              </a:lnTo>
              <a:lnTo>
                <a:pt x="0" y="2069261"/>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BD0AA763-9649-4063-8BA2-7CDAD381CDE5}">
      <dsp:nvSpPr>
        <dsp:cNvPr id="0" name=""/>
        <dsp:cNvSpPr/>
      </dsp:nvSpPr>
      <dsp:spPr>
        <a:xfrm>
          <a:off x="1672452" y="2392156"/>
          <a:ext cx="1069796" cy="668623"/>
        </a:xfrm>
        <a:prstGeom prst="roundRect">
          <a:avLst>
            <a:gd name="adj" fmla="val 10000"/>
          </a:avLst>
        </a:prstGeom>
        <a:solidFill>
          <a:schemeClr val="bg1">
            <a:lumMod val="75000"/>
            <a:alpha val="90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مرونة سوسيو-بيئية</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692035" y="2411739"/>
        <a:ext cx="1030630" cy="629457"/>
      </dsp:txXfrm>
    </dsp:sp>
    <dsp:sp modelId="{D4A3F89F-150E-4EE5-AE01-2B6661BC9E1E}">
      <dsp:nvSpPr>
        <dsp:cNvPr id="0" name=""/>
        <dsp:cNvSpPr/>
      </dsp:nvSpPr>
      <dsp:spPr>
        <a:xfrm>
          <a:off x="219718" y="49361"/>
          <a:ext cx="1215676" cy="607845"/>
        </a:xfrm>
        <a:prstGeom prst="roundRect">
          <a:avLst>
            <a:gd name="adj" fmla="val 10000"/>
          </a:avLst>
        </a:prstGeom>
        <a:solidFill>
          <a:schemeClr val="bg1">
            <a:lumMod val="75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الخصائص</a:t>
          </a:r>
          <a:endParaRPr lang="fr-FR" sz="2800" kern="1200">
            <a:solidFill>
              <a:schemeClr val="tx1"/>
            </a:solidFill>
            <a:latin typeface="Simplified Arabic" panose="02020603050405020304" pitchFamily="18" charset="-78"/>
            <a:cs typeface="Simplified Arabic" panose="02020603050405020304" pitchFamily="18" charset="-78"/>
          </a:endParaRPr>
        </a:p>
      </dsp:txBody>
      <dsp:txXfrm>
        <a:off x="237521" y="67164"/>
        <a:ext cx="1180070" cy="572239"/>
      </dsp:txXfrm>
    </dsp:sp>
    <dsp:sp modelId="{C682B817-D2A4-4FBC-B3C8-519F4CAD1AF5}">
      <dsp:nvSpPr>
        <dsp:cNvPr id="0" name=""/>
        <dsp:cNvSpPr/>
      </dsp:nvSpPr>
      <dsp:spPr>
        <a:xfrm>
          <a:off x="1192260" y="657207"/>
          <a:ext cx="121567" cy="461430"/>
        </a:xfrm>
        <a:custGeom>
          <a:avLst/>
          <a:gdLst/>
          <a:ahLst/>
          <a:cxnLst/>
          <a:rect l="0" t="0" r="0" b="0"/>
          <a:pathLst>
            <a:path>
              <a:moveTo>
                <a:pt x="121567" y="0"/>
              </a:moveTo>
              <a:lnTo>
                <a:pt x="121567" y="461430"/>
              </a:lnTo>
              <a:lnTo>
                <a:pt x="0" y="461430"/>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AAEF194D-3DEF-4632-833D-017F8C80C3AD}">
      <dsp:nvSpPr>
        <dsp:cNvPr id="0" name=""/>
        <dsp:cNvSpPr/>
      </dsp:nvSpPr>
      <dsp:spPr>
        <a:xfrm>
          <a:off x="122463" y="784325"/>
          <a:ext cx="1069796" cy="668623"/>
        </a:xfrm>
        <a:prstGeom prst="roundRect">
          <a:avLst>
            <a:gd name="adj" fmla="val 10000"/>
          </a:avLst>
        </a:prstGeom>
        <a:solidFill>
          <a:schemeClr val="bg1">
            <a:lumMod val="75000"/>
            <a:alpha val="9000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تقاوم التغيير</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42046" y="803908"/>
        <a:ext cx="1030630" cy="629457"/>
      </dsp:txXfrm>
    </dsp:sp>
    <dsp:sp modelId="{A661B67F-BBE6-4003-B619-60FDA109D8E0}">
      <dsp:nvSpPr>
        <dsp:cNvPr id="0" name=""/>
        <dsp:cNvSpPr/>
      </dsp:nvSpPr>
      <dsp:spPr>
        <a:xfrm>
          <a:off x="1192260" y="657207"/>
          <a:ext cx="121567" cy="1297208"/>
        </a:xfrm>
        <a:custGeom>
          <a:avLst/>
          <a:gdLst/>
          <a:ahLst/>
          <a:cxnLst/>
          <a:rect l="0" t="0" r="0" b="0"/>
          <a:pathLst>
            <a:path>
              <a:moveTo>
                <a:pt x="121567" y="0"/>
              </a:moveTo>
              <a:lnTo>
                <a:pt x="121567" y="1297208"/>
              </a:lnTo>
              <a:lnTo>
                <a:pt x="0" y="1297208"/>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099CD644-C29E-4DE8-91C4-A192E1B7DEFD}">
      <dsp:nvSpPr>
        <dsp:cNvPr id="0" name=""/>
        <dsp:cNvSpPr/>
      </dsp:nvSpPr>
      <dsp:spPr>
        <a:xfrm>
          <a:off x="122463" y="1620104"/>
          <a:ext cx="1069796" cy="668623"/>
        </a:xfrm>
        <a:prstGeom prst="roundRect">
          <a:avLst>
            <a:gd name="adj" fmla="val 10000"/>
          </a:avLst>
        </a:prstGeom>
        <a:solidFill>
          <a:schemeClr val="dk2">
            <a:alpha val="90000"/>
            <a:tint val="40000"/>
            <a:hueOff val="0"/>
            <a:satOff val="0"/>
            <a:lumOff val="0"/>
            <a:alphaOff val="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DZ" sz="1200" kern="1200">
              <a:solidFill>
                <a:schemeClr val="tx1"/>
              </a:solidFill>
              <a:latin typeface="Simplified Arabic" panose="02020603050405020304" pitchFamily="18" charset="-78"/>
              <a:cs typeface="Simplified Arabic" panose="02020603050405020304" pitchFamily="18" charset="-78"/>
            </a:rPr>
            <a:t>تستوعب التغيير</a:t>
          </a:r>
          <a:endParaRPr lang="fr-FR" sz="1200" kern="1200">
            <a:solidFill>
              <a:schemeClr val="tx1"/>
            </a:solidFill>
            <a:latin typeface="Simplified Arabic" panose="02020603050405020304" pitchFamily="18" charset="-78"/>
            <a:cs typeface="Simplified Arabic" panose="02020603050405020304" pitchFamily="18" charset="-78"/>
          </a:endParaRPr>
        </a:p>
      </dsp:txBody>
      <dsp:txXfrm>
        <a:off x="142046" y="1639687"/>
        <a:ext cx="1030630" cy="629457"/>
      </dsp:txXfrm>
    </dsp:sp>
    <dsp:sp modelId="{7E83F049-1DB1-4D4C-850D-724DBACA55B9}">
      <dsp:nvSpPr>
        <dsp:cNvPr id="0" name=""/>
        <dsp:cNvSpPr/>
      </dsp:nvSpPr>
      <dsp:spPr>
        <a:xfrm>
          <a:off x="1192260" y="657207"/>
          <a:ext cx="121567" cy="2069261"/>
        </a:xfrm>
        <a:custGeom>
          <a:avLst/>
          <a:gdLst/>
          <a:ahLst/>
          <a:cxnLst/>
          <a:rect l="0" t="0" r="0" b="0"/>
          <a:pathLst>
            <a:path>
              <a:moveTo>
                <a:pt x="121567" y="0"/>
              </a:moveTo>
              <a:lnTo>
                <a:pt x="121567" y="2069261"/>
              </a:lnTo>
              <a:lnTo>
                <a:pt x="0" y="2069261"/>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64824F94-18ED-42FC-BC3B-8EAE6B58AE44}">
      <dsp:nvSpPr>
        <dsp:cNvPr id="0" name=""/>
        <dsp:cNvSpPr/>
      </dsp:nvSpPr>
      <dsp:spPr>
        <a:xfrm>
          <a:off x="122463" y="2392156"/>
          <a:ext cx="1069796" cy="668623"/>
        </a:xfrm>
        <a:prstGeom prst="roundRect">
          <a:avLst>
            <a:gd name="adj" fmla="val 10000"/>
          </a:avLst>
        </a:prstGeom>
        <a:solidFill>
          <a:schemeClr val="dk2">
            <a:alpha val="90000"/>
            <a:tint val="40000"/>
            <a:hueOff val="0"/>
            <a:satOff val="0"/>
            <a:lumOff val="0"/>
            <a:alphaOff val="0"/>
          </a:schemeClr>
        </a:solidFill>
        <a:ln w="9525" cap="flat" cmpd="sng" algn="ctr">
          <a:solidFill>
            <a:schemeClr val="bg1">
              <a:lumMod val="6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rtl="1">
            <a:lnSpc>
              <a:spcPct val="90000"/>
            </a:lnSpc>
            <a:spcBef>
              <a:spcPct val="0"/>
            </a:spcBef>
            <a:spcAft>
              <a:spcPct val="35000"/>
            </a:spcAft>
          </a:pPr>
          <a:r>
            <a:rPr lang="ar-SA" sz="1200" b="0" kern="1200">
              <a:solidFill>
                <a:schemeClr val="tx1"/>
              </a:solidFill>
              <a:latin typeface="Simplified Arabic" panose="02020603050405020304" pitchFamily="18" charset="-78"/>
              <a:cs typeface="Simplified Arabic" panose="02020603050405020304" pitchFamily="18" charset="-78"/>
            </a:rPr>
            <a:t>استيعاب ومواجهة التغييرات والحف</a:t>
          </a:r>
          <a:r>
            <a:rPr lang="ar-DZ" sz="1200" b="0" kern="1200">
              <a:solidFill>
                <a:schemeClr val="tx1"/>
              </a:solidFill>
              <a:latin typeface="Simplified Arabic" panose="02020603050405020304" pitchFamily="18" charset="-78"/>
              <a:cs typeface="Simplified Arabic" panose="02020603050405020304" pitchFamily="18" charset="-78"/>
            </a:rPr>
            <a:t>ا</a:t>
          </a:r>
          <a:r>
            <a:rPr lang="ar-SA" sz="1200" b="0" kern="1200">
              <a:solidFill>
                <a:schemeClr val="tx1"/>
              </a:solidFill>
              <a:latin typeface="Simplified Arabic" panose="02020603050405020304" pitchFamily="18" charset="-78"/>
              <a:cs typeface="Simplified Arabic" panose="02020603050405020304" pitchFamily="18" charset="-78"/>
            </a:rPr>
            <a:t>ظ على </a:t>
          </a:r>
          <a:r>
            <a:rPr lang="ar-DZ" sz="1200" b="0" kern="1200">
              <a:solidFill>
                <a:schemeClr val="tx1"/>
              </a:solidFill>
              <a:latin typeface="Simplified Arabic" panose="02020603050405020304" pitchFamily="18" charset="-78"/>
              <a:cs typeface="Simplified Arabic" panose="02020603050405020304" pitchFamily="18" charset="-78"/>
            </a:rPr>
            <a:t>ال</a:t>
          </a:r>
          <a:r>
            <a:rPr lang="ar-SA" sz="1200" b="0" kern="1200">
              <a:solidFill>
                <a:schemeClr val="tx1"/>
              </a:solidFill>
              <a:latin typeface="Simplified Arabic" panose="02020603050405020304" pitchFamily="18" charset="-78"/>
              <a:cs typeface="Simplified Arabic" panose="02020603050405020304" pitchFamily="18" charset="-78"/>
            </a:rPr>
            <a:t>وظائف</a:t>
          </a:r>
          <a:endParaRPr lang="fr-FR" sz="1200" b="0" kern="1200">
            <a:solidFill>
              <a:schemeClr val="tx1"/>
            </a:solidFill>
            <a:latin typeface="Simplified Arabic" panose="02020603050405020304" pitchFamily="18" charset="-78"/>
            <a:cs typeface="Simplified Arabic" panose="02020603050405020304" pitchFamily="18" charset="-78"/>
          </a:endParaRPr>
        </a:p>
      </dsp:txBody>
      <dsp:txXfrm>
        <a:off x="142046" y="2411739"/>
        <a:ext cx="1030630" cy="629457"/>
      </dsp:txXfrm>
    </dsp:sp>
  </dsp:spTree>
</dsp:drawing>
</file>

<file path=word/diagrams/drawing2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8E5BA1-A34D-4586-B0D8-58D673D13878}">
      <dsp:nvSpPr>
        <dsp:cNvPr id="0" name=""/>
        <dsp:cNvSpPr/>
      </dsp:nvSpPr>
      <dsp:spPr>
        <a:xfrm>
          <a:off x="108434" y="344912"/>
          <a:ext cx="1324487" cy="1675598"/>
        </a:xfrm>
        <a:prstGeom prst="rect">
          <a:avLst/>
        </a:prstGeom>
        <a:blipFill rotWithShape="0">
          <a:blip xmlns:r="http://schemas.openxmlformats.org/officeDocument/2006/relationships" r:embed="rId1"/>
          <a:stretch>
            <a:fillRect/>
          </a:stretch>
        </a:blip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endParaRPr lang="fr-FR" sz="900" kern="1200">
            <a:solidFill>
              <a:srgbClr val="FF0000"/>
            </a:solidFill>
          </a:endParaRPr>
        </a:p>
      </dsp:txBody>
      <dsp:txXfrm>
        <a:off x="108434" y="344912"/>
        <a:ext cx="1324487" cy="1675598"/>
      </dsp:txXfrm>
    </dsp:sp>
    <dsp:sp modelId="{A94DF336-0558-469C-A4A7-63D085856D5B}">
      <dsp:nvSpPr>
        <dsp:cNvPr id="0" name=""/>
        <dsp:cNvSpPr/>
      </dsp:nvSpPr>
      <dsp:spPr>
        <a:xfrm>
          <a:off x="1794476" y="344398"/>
          <a:ext cx="1087650" cy="1679771"/>
        </a:xfrm>
        <a:prstGeom prst="rect">
          <a:avLst/>
        </a:prstGeom>
        <a:blipFill rotWithShape="0">
          <a:blip xmlns:r="http://schemas.openxmlformats.org/officeDocument/2006/relationships" r:embed="rId2"/>
          <a:stretch>
            <a:fillRect/>
          </a:stretch>
        </a:blipFill>
        <a:ln w="317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endParaRPr lang="fr-FR" sz="800" kern="1200">
            <a:solidFill>
              <a:srgbClr val="FF0000"/>
            </a:solidFill>
          </a:endParaRPr>
        </a:p>
      </dsp:txBody>
      <dsp:txXfrm>
        <a:off x="1794476" y="344398"/>
        <a:ext cx="1087650" cy="1679771"/>
      </dsp:txXfrm>
    </dsp:sp>
    <dsp:sp modelId="{1AB3C96C-3C76-4C55-A63F-BF2ADD769CAB}">
      <dsp:nvSpPr>
        <dsp:cNvPr id="0" name=""/>
        <dsp:cNvSpPr/>
      </dsp:nvSpPr>
      <dsp:spPr>
        <a:xfrm>
          <a:off x="3142778" y="281158"/>
          <a:ext cx="1873428" cy="1808742"/>
        </a:xfrm>
        <a:prstGeom prst="rect">
          <a:avLst/>
        </a:prstGeom>
        <a:blipFill rotWithShape="0">
          <a:blip xmlns:r="http://schemas.openxmlformats.org/officeDocument/2006/relationships" r:embed="rId3"/>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47650" tIns="247650" rIns="247650" bIns="247650" numCol="1" spcCol="1270" anchor="ctr" anchorCtr="0">
          <a:noAutofit/>
        </a:bodyPr>
        <a:lstStyle/>
        <a:p>
          <a:pPr lvl="0" algn="ctr" defTabSz="2889250">
            <a:lnSpc>
              <a:spcPct val="90000"/>
            </a:lnSpc>
            <a:spcBef>
              <a:spcPct val="0"/>
            </a:spcBef>
            <a:spcAft>
              <a:spcPct val="35000"/>
            </a:spcAft>
          </a:pPr>
          <a:endParaRPr lang="fr-FR" sz="6500" kern="1200"/>
        </a:p>
      </dsp:txBody>
      <dsp:txXfrm>
        <a:off x="3142778" y="281158"/>
        <a:ext cx="1873428" cy="1808742"/>
      </dsp:txXfrm>
    </dsp:sp>
  </dsp:spTree>
</dsp:drawing>
</file>

<file path=word/diagrams/drawing2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626D5F-37AE-4A4A-A3B3-5FD71D18B5F2}">
      <dsp:nvSpPr>
        <dsp:cNvPr id="0" name=""/>
        <dsp:cNvSpPr/>
      </dsp:nvSpPr>
      <dsp:spPr>
        <a:xfrm>
          <a:off x="3036454" y="1239778"/>
          <a:ext cx="1838427" cy="810414"/>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45720" tIns="45720" rIns="45720" bIns="45720" numCol="1" spcCol="1270" anchor="t" anchorCtr="0">
          <a:noAutofit/>
        </a:bodyPr>
        <a:lstStyle/>
        <a:p>
          <a:pPr marL="114300" lvl="1" indent="-114300" algn="r" defTabSz="533400" rtl="1">
            <a:lnSpc>
              <a:spcPct val="90000"/>
            </a:lnSpc>
            <a:spcBef>
              <a:spcPct val="0"/>
            </a:spcBef>
            <a:spcAft>
              <a:spcPct val="15000"/>
            </a:spcAft>
            <a:buChar char="••"/>
          </a:pPr>
          <a:r>
            <a:rPr lang="ar-DZ" sz="1200" kern="1200">
              <a:latin typeface="Simplified Arabic" panose="02020603050405020304" pitchFamily="18" charset="-78"/>
              <a:cs typeface="Simplified Arabic" panose="02020603050405020304" pitchFamily="18" charset="-78"/>
            </a:rPr>
            <a:t>المخاطر الطبيعية (الفيضانات)</a:t>
          </a:r>
          <a:endParaRPr lang="fr-FR" sz="1200" kern="1200">
            <a:latin typeface="Simplified Arabic" panose="02020603050405020304" pitchFamily="18" charset="-78"/>
            <a:cs typeface="Simplified Arabic" panose="02020603050405020304" pitchFamily="18" charset="-78"/>
          </a:endParaRPr>
        </a:p>
      </dsp:txBody>
      <dsp:txXfrm>
        <a:off x="3605785" y="1460184"/>
        <a:ext cx="1251295" cy="572207"/>
      </dsp:txXfrm>
    </dsp:sp>
    <dsp:sp modelId="{60C92B5A-F8AE-4521-8DF3-2AF3410242A2}">
      <dsp:nvSpPr>
        <dsp:cNvPr id="0" name=""/>
        <dsp:cNvSpPr/>
      </dsp:nvSpPr>
      <dsp:spPr>
        <a:xfrm>
          <a:off x="48023" y="1238755"/>
          <a:ext cx="1943113" cy="827821"/>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45720" tIns="45720" rIns="45720" bIns="45720" numCol="1" spcCol="1270" anchor="t" anchorCtr="0">
          <a:noAutofit/>
        </a:bodyPr>
        <a:lstStyle/>
        <a:p>
          <a:pPr marL="114300" lvl="1" indent="-114300" algn="r" defTabSz="533400" rtl="1">
            <a:lnSpc>
              <a:spcPct val="90000"/>
            </a:lnSpc>
            <a:spcBef>
              <a:spcPct val="0"/>
            </a:spcBef>
            <a:spcAft>
              <a:spcPct val="15000"/>
            </a:spcAft>
            <a:buChar char="••"/>
          </a:pPr>
          <a:r>
            <a:rPr lang="ar-DZ" sz="1200" kern="1200">
              <a:latin typeface="Simplified Arabic" panose="02020603050405020304" pitchFamily="18" charset="-78"/>
              <a:cs typeface="Simplified Arabic" panose="02020603050405020304" pitchFamily="18" charset="-78"/>
            </a:rPr>
            <a:t>مرحلة التكيّف</a:t>
          </a:r>
          <a:endParaRPr lang="fr-FR" sz="1200" kern="1200">
            <a:latin typeface="Simplified Arabic" panose="02020603050405020304" pitchFamily="18" charset="-78"/>
            <a:cs typeface="Simplified Arabic" panose="02020603050405020304" pitchFamily="18" charset="-78"/>
          </a:endParaRPr>
        </a:p>
      </dsp:txBody>
      <dsp:txXfrm>
        <a:off x="66208" y="1463895"/>
        <a:ext cx="1323809" cy="584496"/>
      </dsp:txXfrm>
    </dsp:sp>
    <dsp:sp modelId="{6A1D0904-0A7A-41E3-BAC7-4F8DA3A2AD97}">
      <dsp:nvSpPr>
        <dsp:cNvPr id="0" name=""/>
        <dsp:cNvSpPr/>
      </dsp:nvSpPr>
      <dsp:spPr>
        <a:xfrm>
          <a:off x="3094974" y="379798"/>
          <a:ext cx="1771149" cy="75263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45720" tIns="45720" rIns="45720" bIns="45720" numCol="1" spcCol="1270" anchor="t" anchorCtr="0">
          <a:noAutofit/>
        </a:bodyPr>
        <a:lstStyle/>
        <a:p>
          <a:pPr marL="114300" lvl="1" indent="-114300" algn="r" defTabSz="533400" rtl="1">
            <a:lnSpc>
              <a:spcPct val="90000"/>
            </a:lnSpc>
            <a:spcBef>
              <a:spcPct val="0"/>
            </a:spcBef>
            <a:spcAft>
              <a:spcPct val="15000"/>
            </a:spcAft>
            <a:buChar char="••"/>
          </a:pPr>
          <a:r>
            <a:rPr lang="ar-SA" sz="1200" kern="1200"/>
            <a:t>استعمالات </a:t>
          </a:r>
          <a:r>
            <a:rPr lang="ar-DZ" sz="1200" b="0" kern="1200">
              <a:latin typeface="Simplified Arabic" panose="02020603050405020304" pitchFamily="18" charset="-78"/>
              <a:cs typeface="Simplified Arabic" panose="02020603050405020304" pitchFamily="18" charset="-78"/>
            </a:rPr>
            <a:t>الاراضي الحضرية </a:t>
          </a:r>
          <a:endParaRPr lang="fr-FR" sz="1200" b="0" kern="1200">
            <a:latin typeface="Simplified Arabic" panose="02020603050405020304" pitchFamily="18" charset="-78"/>
            <a:cs typeface="Simplified Arabic" panose="02020603050405020304" pitchFamily="18" charset="-78"/>
          </a:endParaRPr>
        </a:p>
      </dsp:txBody>
      <dsp:txXfrm>
        <a:off x="3642852" y="396331"/>
        <a:ext cx="1206738" cy="531411"/>
      </dsp:txXfrm>
    </dsp:sp>
    <dsp:sp modelId="{2B7F78BF-CE55-4DF8-BA9E-8D7BE0F1BA89}">
      <dsp:nvSpPr>
        <dsp:cNvPr id="0" name=""/>
        <dsp:cNvSpPr/>
      </dsp:nvSpPr>
      <dsp:spPr>
        <a:xfrm>
          <a:off x="48018" y="376239"/>
          <a:ext cx="2460672" cy="749974"/>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45720" tIns="45720" rIns="45720" bIns="45720" numCol="1" spcCol="1270" anchor="t" anchorCtr="0">
          <a:noAutofit/>
        </a:bodyPr>
        <a:lstStyle/>
        <a:p>
          <a:pPr marL="114300" lvl="1" indent="-114300" algn="l" defTabSz="533400" rtl="1">
            <a:lnSpc>
              <a:spcPct val="90000"/>
            </a:lnSpc>
            <a:spcBef>
              <a:spcPct val="0"/>
            </a:spcBef>
            <a:spcAft>
              <a:spcPct val="15000"/>
            </a:spcAft>
            <a:buChar char="••"/>
          </a:pPr>
          <a:r>
            <a:rPr lang="ar-DZ" sz="1200" kern="1200">
              <a:latin typeface="Simplified Arabic" panose="02020603050405020304" pitchFamily="18" charset="-78"/>
              <a:cs typeface="Simplified Arabic" panose="02020603050405020304" pitchFamily="18" charset="-78"/>
            </a:rPr>
            <a:t>سمات المرونة: (الكثافة، التنوع، التكرار، الاتصال)</a:t>
          </a:r>
          <a:endParaRPr lang="fr-FR" sz="1100" kern="1200">
            <a:latin typeface="Simplified Arabic" panose="02020603050405020304" pitchFamily="18" charset="-78"/>
            <a:cs typeface="Simplified Arabic" panose="02020603050405020304" pitchFamily="18" charset="-78"/>
          </a:endParaRPr>
        </a:p>
      </dsp:txBody>
      <dsp:txXfrm>
        <a:off x="64492" y="392713"/>
        <a:ext cx="1689522" cy="529532"/>
      </dsp:txXfrm>
    </dsp:sp>
    <dsp:sp modelId="{DE41B026-4E87-45E8-A700-09EB8C93194B}">
      <dsp:nvSpPr>
        <dsp:cNvPr id="0" name=""/>
        <dsp:cNvSpPr/>
      </dsp:nvSpPr>
      <dsp:spPr>
        <a:xfrm>
          <a:off x="1287980" y="26271"/>
          <a:ext cx="1227918" cy="1116289"/>
        </a:xfrm>
        <a:prstGeom prst="pieWedg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4: المرونة لأي غرض؟</a:t>
          </a:r>
          <a:endParaRPr lang="fr-FR" sz="1200" kern="1200">
            <a:latin typeface="Simplified Arabic" panose="02020603050405020304" pitchFamily="18" charset="-78"/>
            <a:cs typeface="Simplified Arabic" panose="02020603050405020304" pitchFamily="18" charset="-78"/>
          </a:endParaRPr>
        </a:p>
      </dsp:txBody>
      <dsp:txXfrm>
        <a:off x="1647629" y="353224"/>
        <a:ext cx="868269" cy="789336"/>
      </dsp:txXfrm>
    </dsp:sp>
    <dsp:sp modelId="{C412F3DA-306A-44C5-B1D7-CCE0512F0716}">
      <dsp:nvSpPr>
        <dsp:cNvPr id="0" name=""/>
        <dsp:cNvSpPr/>
      </dsp:nvSpPr>
      <dsp:spPr>
        <a:xfrm rot="5400000">
          <a:off x="2636418" y="-29543"/>
          <a:ext cx="1116289" cy="1227918"/>
        </a:xfrm>
        <a:prstGeom prst="pieWedg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1: المرونة في سياق ماذا؟</a:t>
          </a:r>
          <a:endParaRPr lang="fr-FR" sz="1200" kern="1200">
            <a:latin typeface="Simplified Arabic" panose="02020603050405020304" pitchFamily="18" charset="-78"/>
            <a:cs typeface="Simplified Arabic" panose="02020603050405020304" pitchFamily="18" charset="-78"/>
          </a:endParaRPr>
        </a:p>
      </dsp:txBody>
      <dsp:txXfrm rot="-5400000">
        <a:off x="2580604" y="353224"/>
        <a:ext cx="868269" cy="789336"/>
      </dsp:txXfrm>
    </dsp:sp>
    <dsp:sp modelId="{E479C272-FB59-440C-A6D5-AFF4F215B8DB}">
      <dsp:nvSpPr>
        <dsp:cNvPr id="0" name=""/>
        <dsp:cNvSpPr/>
      </dsp:nvSpPr>
      <dsp:spPr>
        <a:xfrm rot="10800000">
          <a:off x="2580603" y="1186217"/>
          <a:ext cx="1227918" cy="1116289"/>
        </a:xfrm>
        <a:prstGeom prst="pieWedg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endParaRPr lang="ar-DZ" sz="1200" kern="1200">
            <a:latin typeface="Simplified Arabic" panose="02020603050405020304" pitchFamily="18" charset="-78"/>
            <a:cs typeface="Simplified Arabic" panose="02020603050405020304" pitchFamily="18" charset="-78"/>
          </a:endParaRPr>
        </a:p>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2: المرونة في مواجهة ماذا؟</a:t>
          </a:r>
          <a:endParaRPr lang="fr-FR" sz="1200" kern="1200">
            <a:latin typeface="Simplified Arabic" panose="02020603050405020304" pitchFamily="18" charset="-78"/>
            <a:cs typeface="Simplified Arabic" panose="02020603050405020304" pitchFamily="18" charset="-78"/>
          </a:endParaRPr>
        </a:p>
      </dsp:txBody>
      <dsp:txXfrm rot="10800000">
        <a:off x="2580603" y="1186217"/>
        <a:ext cx="868269" cy="789336"/>
      </dsp:txXfrm>
    </dsp:sp>
    <dsp:sp modelId="{B7D3C0DE-EF46-42F7-921D-A18952AABBEB}">
      <dsp:nvSpPr>
        <dsp:cNvPr id="0" name=""/>
        <dsp:cNvSpPr/>
      </dsp:nvSpPr>
      <dsp:spPr>
        <a:xfrm rot="16200000">
          <a:off x="1343795" y="1130403"/>
          <a:ext cx="1116289" cy="1227918"/>
        </a:xfrm>
        <a:prstGeom prst="pieWedge">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l"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    </a:t>
          </a:r>
        </a:p>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3: المرونة في أي مرحلة؟</a:t>
          </a:r>
          <a:endParaRPr lang="fr-FR" sz="1200" kern="1200">
            <a:latin typeface="Simplified Arabic" panose="02020603050405020304" pitchFamily="18" charset="-78"/>
            <a:cs typeface="Simplified Arabic" panose="02020603050405020304" pitchFamily="18" charset="-78"/>
          </a:endParaRPr>
        </a:p>
      </dsp:txBody>
      <dsp:txXfrm rot="5400000">
        <a:off x="1647630" y="1186217"/>
        <a:ext cx="868269" cy="789336"/>
      </dsp:txXfrm>
    </dsp:sp>
    <dsp:sp modelId="{EB590BCD-E22C-47E0-9669-ED80A7A45050}">
      <dsp:nvSpPr>
        <dsp:cNvPr id="0" name=""/>
        <dsp:cNvSpPr/>
      </dsp:nvSpPr>
      <dsp:spPr>
        <a:xfrm rot="5400000">
          <a:off x="2351911" y="921098"/>
          <a:ext cx="512989" cy="539753"/>
        </a:xfrm>
        <a:prstGeom prst="circularArrow">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AFF89BDD-5816-4EBA-AF7B-AD260CF94213}">
      <dsp:nvSpPr>
        <dsp:cNvPr id="0" name=""/>
        <dsp:cNvSpPr/>
      </dsp:nvSpPr>
      <dsp:spPr>
        <a:xfrm rot="16412077">
          <a:off x="2225196" y="924162"/>
          <a:ext cx="512989" cy="539753"/>
        </a:xfrm>
        <a:prstGeom prst="circularArrow">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Tree>
</dsp:drawing>
</file>

<file path=word/diagrams/drawing2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579FD0-8194-482A-BF52-0A9B547A804A}">
      <dsp:nvSpPr>
        <dsp:cNvPr id="0" name=""/>
        <dsp:cNvSpPr/>
      </dsp:nvSpPr>
      <dsp:spPr>
        <a:xfrm>
          <a:off x="40002" y="85722"/>
          <a:ext cx="2712208" cy="3009573"/>
        </a:xfrm>
        <a:prstGeom prst="rect">
          <a:avLst/>
        </a:prstGeom>
        <a:blipFill rotWithShape="1">
          <a:blip xmlns:r="http://schemas.openxmlformats.org/officeDocument/2006/relationships" r:embed="rId1"/>
          <a:stretch>
            <a:fillRect/>
          </a:stretch>
        </a:blipFill>
        <a:ln w="635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sp>
    <dsp:sp modelId="{413B6BDC-0C80-472D-8DBD-38E5279A4013}">
      <dsp:nvSpPr>
        <dsp:cNvPr id="0" name=""/>
        <dsp:cNvSpPr/>
      </dsp:nvSpPr>
      <dsp:spPr>
        <a:xfrm>
          <a:off x="1567919" y="2741440"/>
          <a:ext cx="1161318" cy="324845"/>
        </a:xfrm>
        <a:prstGeom prst="rec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bg1">
              <a:lumMod val="8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0" numCol="1" spcCol="1270" anchor="t" anchorCtr="0">
          <a:noAutofit/>
        </a:bodyPr>
        <a:lstStyle/>
        <a:p>
          <a:pPr lvl="0" algn="ctr" defTabSz="533400">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حي الكوشة والقيسة</a:t>
          </a:r>
          <a:endParaRPr lang="fr-FR" sz="1200" b="1" kern="1200">
            <a:latin typeface="Simplified Arabic" panose="02020603050405020304" pitchFamily="18" charset="-78"/>
            <a:cs typeface="Simplified Arabic" panose="02020603050405020304" pitchFamily="18" charset="-78"/>
          </a:endParaRPr>
        </a:p>
      </dsp:txBody>
      <dsp:txXfrm>
        <a:off x="1567919" y="2741440"/>
        <a:ext cx="1161318" cy="324845"/>
      </dsp:txXfrm>
    </dsp:sp>
    <dsp:sp modelId="{E813E428-FB50-427E-B842-A997209CD4BC}">
      <dsp:nvSpPr>
        <dsp:cNvPr id="0" name=""/>
        <dsp:cNvSpPr/>
      </dsp:nvSpPr>
      <dsp:spPr>
        <a:xfrm>
          <a:off x="2829191" y="85722"/>
          <a:ext cx="2712208" cy="3009573"/>
        </a:xfrm>
        <a:prstGeom prst="rect">
          <a:avLst/>
        </a:prstGeom>
        <a:blipFill rotWithShape="1">
          <a:blip xmlns:r="http://schemas.openxmlformats.org/officeDocument/2006/relationships" r:embed="rId2"/>
          <a:stretch>
            <a:fillRect/>
          </a:stretch>
        </a:blipFill>
        <a:ln w="635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sp>
    <dsp:sp modelId="{2CDB69E2-DA46-440C-B370-7A6E26F4F5C9}">
      <dsp:nvSpPr>
        <dsp:cNvPr id="0" name=""/>
        <dsp:cNvSpPr/>
      </dsp:nvSpPr>
      <dsp:spPr>
        <a:xfrm>
          <a:off x="4316714" y="2741440"/>
          <a:ext cx="1253774" cy="324845"/>
        </a:xfrm>
        <a:prstGeom prst="rec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bg1">
              <a:lumMod val="8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0" numCol="1" spcCol="1270" anchor="t" anchorCtr="0">
          <a:noAutofit/>
        </a:bodyPr>
        <a:lstStyle/>
        <a:p>
          <a:pPr lvl="0" algn="ctr" defTabSz="533400" rtl="1">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القصر </a:t>
          </a:r>
          <a:r>
            <a:rPr lang="ar-DZ" sz="1000" b="1" kern="1200">
              <a:latin typeface="Simplified Arabic" panose="02020603050405020304" pitchFamily="18" charset="-78"/>
              <a:cs typeface="Simplified Arabic" panose="02020603050405020304" pitchFamily="18" charset="-78"/>
            </a:rPr>
            <a:t>(المدينة القديمة)</a:t>
          </a:r>
          <a:endParaRPr lang="fr-FR" sz="1000" b="1" kern="1200">
            <a:latin typeface="Simplified Arabic" panose="02020603050405020304" pitchFamily="18" charset="-78"/>
            <a:cs typeface="Simplified Arabic" panose="02020603050405020304" pitchFamily="18" charset="-78"/>
          </a:endParaRPr>
        </a:p>
      </dsp:txBody>
      <dsp:txXfrm>
        <a:off x="4316714" y="2741440"/>
        <a:ext cx="1253774" cy="324845"/>
      </dsp:txXfrm>
    </dsp:sp>
    <dsp:sp modelId="{D82E9B98-0B6E-454D-9A36-BD9A36BA72C9}">
      <dsp:nvSpPr>
        <dsp:cNvPr id="0" name=""/>
        <dsp:cNvSpPr/>
      </dsp:nvSpPr>
      <dsp:spPr>
        <a:xfrm>
          <a:off x="40002" y="3207243"/>
          <a:ext cx="2712208" cy="3009573"/>
        </a:xfrm>
        <a:prstGeom prst="rect">
          <a:avLst/>
        </a:prstGeom>
        <a:blipFill rotWithShape="1">
          <a:blip xmlns:r="http://schemas.openxmlformats.org/officeDocument/2006/relationships" r:embed="rId3"/>
          <a:stretch>
            <a:fillRect/>
          </a:stretch>
        </a:blipFill>
        <a:ln w="635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sp>
    <dsp:sp modelId="{81DD6AE9-5604-4244-BEEE-CE4E386AF2DB}">
      <dsp:nvSpPr>
        <dsp:cNvPr id="0" name=""/>
        <dsp:cNvSpPr/>
      </dsp:nvSpPr>
      <dsp:spPr>
        <a:xfrm>
          <a:off x="1687366" y="5872423"/>
          <a:ext cx="1055742" cy="324845"/>
        </a:xfrm>
        <a:prstGeom prst="rec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bg1">
              <a:lumMod val="8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0" numCol="1" spcCol="1270" anchor="t" anchorCtr="0">
          <a:noAutofit/>
        </a:bodyPr>
        <a:lstStyle/>
        <a:p>
          <a:pPr lvl="0" algn="ctr" defTabSz="533400">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حي الباطن</a:t>
          </a:r>
          <a:endParaRPr lang="fr-FR" sz="1200" b="1" kern="1200">
            <a:latin typeface="Simplified Arabic" panose="02020603050405020304" pitchFamily="18" charset="-78"/>
            <a:cs typeface="Simplified Arabic" panose="02020603050405020304" pitchFamily="18" charset="-78"/>
          </a:endParaRPr>
        </a:p>
      </dsp:txBody>
      <dsp:txXfrm>
        <a:off x="1687366" y="5872423"/>
        <a:ext cx="1055742" cy="324845"/>
      </dsp:txXfrm>
    </dsp:sp>
    <dsp:sp modelId="{E0FEC658-5D53-4B36-BB86-EAEF4428760D}">
      <dsp:nvSpPr>
        <dsp:cNvPr id="0" name=""/>
        <dsp:cNvSpPr/>
      </dsp:nvSpPr>
      <dsp:spPr>
        <a:xfrm>
          <a:off x="2829191" y="3207243"/>
          <a:ext cx="2712208" cy="3009573"/>
        </a:xfrm>
        <a:prstGeom prst="rect">
          <a:avLst/>
        </a:prstGeom>
        <a:blipFill rotWithShape="1">
          <a:blip xmlns:r="http://schemas.openxmlformats.org/officeDocument/2006/relationships" r:embed="rId4"/>
          <a:stretch>
            <a:fillRect/>
          </a:stretch>
        </a:blipFill>
        <a:ln w="635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sp>
    <dsp:sp modelId="{6507053E-F50A-4785-8D25-025136CC6E4E}">
      <dsp:nvSpPr>
        <dsp:cNvPr id="0" name=""/>
        <dsp:cNvSpPr/>
      </dsp:nvSpPr>
      <dsp:spPr>
        <a:xfrm>
          <a:off x="4467032" y="5872423"/>
          <a:ext cx="1055742" cy="324845"/>
        </a:xfrm>
        <a:prstGeom prst="rec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bg1">
              <a:lumMod val="8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0" numCol="1" spcCol="1270" anchor="t" anchorCtr="0">
          <a:noAutofit/>
        </a:bodyPr>
        <a:lstStyle/>
        <a:p>
          <a:pPr lvl="0" algn="ctr" defTabSz="533400">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حي بلاتو</a:t>
          </a:r>
          <a:endParaRPr lang="fr-FR" sz="1200" b="1" kern="1200">
            <a:latin typeface="Simplified Arabic" panose="02020603050405020304" pitchFamily="18" charset="-78"/>
            <a:cs typeface="Simplified Arabic" panose="02020603050405020304" pitchFamily="18" charset="-78"/>
          </a:endParaRPr>
        </a:p>
      </dsp:txBody>
      <dsp:txXfrm>
        <a:off x="4467032" y="5872423"/>
        <a:ext cx="1055742" cy="324845"/>
      </dsp:txXfrm>
    </dsp:sp>
  </dsp:spTree>
</dsp:drawing>
</file>

<file path=word/diagrams/drawing2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866E7F-CC52-412C-96BD-FF8C018BB29F}">
      <dsp:nvSpPr>
        <dsp:cNvPr id="0" name=""/>
        <dsp:cNvSpPr/>
      </dsp:nvSpPr>
      <dsp:spPr>
        <a:xfrm>
          <a:off x="4308140" y="974034"/>
          <a:ext cx="987425" cy="795130"/>
        </a:xfrm>
        <a:prstGeom prst="flowChartMultidocumen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t>ابعاد المرونة الحضرية</a:t>
          </a:r>
          <a:endParaRPr lang="fr-FR" sz="1100" kern="1200">
            <a:latin typeface="Simplified Arabic" panose="02020603050405020304" pitchFamily="18" charset="-78"/>
            <a:cs typeface="Simplified Arabic" panose="02020603050405020304" pitchFamily="18" charset="-78"/>
          </a:endParaRPr>
        </a:p>
      </dsp:txBody>
      <dsp:txXfrm>
        <a:off x="4308140" y="1109317"/>
        <a:ext cx="850054" cy="629735"/>
      </dsp:txXfrm>
    </dsp:sp>
    <dsp:sp modelId="{393E9FCB-42FA-44B4-AB51-0333FA8FB01C}">
      <dsp:nvSpPr>
        <dsp:cNvPr id="0" name=""/>
        <dsp:cNvSpPr/>
      </dsp:nvSpPr>
      <dsp:spPr>
        <a:xfrm rot="10800000">
          <a:off x="4149172" y="1360536"/>
          <a:ext cx="158968" cy="22126"/>
        </a:xfrm>
        <a:custGeom>
          <a:avLst/>
          <a:gdLst/>
          <a:ahLst/>
          <a:cxnLst/>
          <a:rect l="0" t="0" r="0" b="0"/>
          <a:pathLst>
            <a:path>
              <a:moveTo>
                <a:pt x="0" y="11063"/>
              </a:moveTo>
              <a:lnTo>
                <a:pt x="158968" y="11063"/>
              </a:lnTo>
            </a:path>
          </a:pathLst>
        </a:custGeom>
        <a:noFill/>
        <a:ln w="6350"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4224682" y="1367625"/>
        <a:ext cx="7948" cy="7948"/>
      </dsp:txXfrm>
    </dsp:sp>
    <dsp:sp modelId="{1BEB59D0-2DCB-4A0A-9719-C6CAA8CB535E}">
      <dsp:nvSpPr>
        <dsp:cNvPr id="0" name=""/>
        <dsp:cNvSpPr/>
      </dsp:nvSpPr>
      <dsp:spPr>
        <a:xfrm>
          <a:off x="3407304" y="1010177"/>
          <a:ext cx="741867" cy="722845"/>
        </a:xfrm>
        <a:prstGeom prst="flowChartDocument">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t>البعد الفيزيائي</a:t>
          </a:r>
          <a:endParaRPr lang="fr-FR" sz="1300" kern="1200">
            <a:latin typeface="Simplified Arabic" panose="02020603050405020304" pitchFamily="18" charset="-78"/>
            <a:cs typeface="Simplified Arabic" panose="02020603050405020304" pitchFamily="18" charset="-78"/>
          </a:endParaRPr>
        </a:p>
      </dsp:txBody>
      <dsp:txXfrm>
        <a:off x="3407304" y="1010177"/>
        <a:ext cx="741867" cy="579682"/>
      </dsp:txXfrm>
    </dsp:sp>
    <dsp:sp modelId="{B1B1EFF6-9D9A-4056-AF7A-F12C13C184B4}">
      <dsp:nvSpPr>
        <dsp:cNvPr id="0" name=""/>
        <dsp:cNvSpPr/>
      </dsp:nvSpPr>
      <dsp:spPr>
        <a:xfrm rot="10800000">
          <a:off x="3255882" y="1360536"/>
          <a:ext cx="151421" cy="22126"/>
        </a:xfrm>
        <a:custGeom>
          <a:avLst/>
          <a:gdLst/>
          <a:ahLst/>
          <a:cxnLst/>
          <a:rect l="0" t="0" r="0" b="0"/>
          <a:pathLst>
            <a:path>
              <a:moveTo>
                <a:pt x="0" y="11063"/>
              </a:moveTo>
              <a:lnTo>
                <a:pt x="151421"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3327808" y="1367814"/>
        <a:ext cx="7571" cy="7571"/>
      </dsp:txXfrm>
    </dsp:sp>
    <dsp:sp modelId="{DC9D02AE-E664-438E-AF2F-2F86ABE2C04E}">
      <dsp:nvSpPr>
        <dsp:cNvPr id="0" name=""/>
        <dsp:cNvSpPr/>
      </dsp:nvSpPr>
      <dsp:spPr>
        <a:xfrm>
          <a:off x="2581457" y="667284"/>
          <a:ext cx="674425" cy="1408631"/>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التوزيع المكاني لاستخدام الارض الحضرية</a:t>
          </a:r>
          <a:endParaRPr lang="fr-FR" sz="1200" kern="1200">
            <a:latin typeface="Simplified Arabic" panose="02020603050405020304" pitchFamily="18" charset="-78"/>
            <a:cs typeface="Simplified Arabic" panose="02020603050405020304" pitchFamily="18" charset="-78"/>
          </a:endParaRPr>
        </a:p>
      </dsp:txBody>
      <dsp:txXfrm>
        <a:off x="2601210" y="687037"/>
        <a:ext cx="634919" cy="1369125"/>
      </dsp:txXfrm>
    </dsp:sp>
    <dsp:sp modelId="{C2479319-AEE8-4446-A3C0-3F94E0D49B39}">
      <dsp:nvSpPr>
        <dsp:cNvPr id="0" name=""/>
        <dsp:cNvSpPr/>
      </dsp:nvSpPr>
      <dsp:spPr>
        <a:xfrm rot="15058335">
          <a:off x="1765537" y="778844"/>
          <a:ext cx="1230623" cy="22126"/>
        </a:xfrm>
        <a:custGeom>
          <a:avLst/>
          <a:gdLst/>
          <a:ahLst/>
          <a:cxnLst/>
          <a:rect l="0" t="0" r="0" b="0"/>
          <a:pathLst>
            <a:path>
              <a:moveTo>
                <a:pt x="0" y="11063"/>
              </a:moveTo>
              <a:lnTo>
                <a:pt x="1230623"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350084" y="759142"/>
        <a:ext cx="61531" cy="61531"/>
      </dsp:txXfrm>
    </dsp:sp>
    <dsp:sp modelId="{C3BA534A-C721-4460-8507-91027E05F39D}">
      <dsp:nvSpPr>
        <dsp:cNvPr id="0" name=""/>
        <dsp:cNvSpPr/>
      </dsp:nvSpPr>
      <dsp:spPr>
        <a:xfrm>
          <a:off x="63612" y="39610"/>
          <a:ext cx="2116629" cy="337212"/>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SA" sz="1200" b="1" kern="1200">
              <a:latin typeface="Simplified Arabic" panose="02020603050405020304" pitchFamily="18" charset="-78"/>
              <a:cs typeface="Simplified Arabic" panose="02020603050405020304" pitchFamily="18" charset="-78"/>
            </a:rPr>
            <a:t>عمق </a:t>
          </a:r>
          <a:r>
            <a:rPr lang="ar-DZ" sz="1200" b="1" kern="1200">
              <a:latin typeface="Simplified Arabic" panose="02020603050405020304" pitchFamily="18" charset="-78"/>
              <a:cs typeface="Simplified Arabic" panose="02020603050405020304" pitchFamily="18" charset="-78"/>
            </a:rPr>
            <a:t>الطريق الشرياني</a:t>
          </a:r>
          <a:r>
            <a:rPr lang="ar-SA" sz="1200" b="1" kern="1200">
              <a:latin typeface="Simplified Arabic" panose="02020603050405020304" pitchFamily="18" charset="-78"/>
              <a:cs typeface="Simplified Arabic" panose="02020603050405020304" pitchFamily="18" charset="-78"/>
            </a:rPr>
            <a:t> </a:t>
          </a:r>
          <a:endParaRPr lang="fr-FR" sz="1700" b="1" kern="1200">
            <a:latin typeface="Simplified Arabic" panose="02020603050405020304" pitchFamily="18" charset="-78"/>
            <a:cs typeface="Simplified Arabic" panose="02020603050405020304" pitchFamily="18" charset="-78"/>
          </a:endParaRPr>
        </a:p>
      </dsp:txBody>
      <dsp:txXfrm>
        <a:off x="73489" y="49487"/>
        <a:ext cx="2096875" cy="317458"/>
      </dsp:txXfrm>
    </dsp:sp>
    <dsp:sp modelId="{519580A6-8702-4D96-8B9D-3B042C57ED3D}">
      <dsp:nvSpPr>
        <dsp:cNvPr id="0" name=""/>
        <dsp:cNvSpPr/>
      </dsp:nvSpPr>
      <dsp:spPr>
        <a:xfrm rot="14558837">
          <a:off x="1944240" y="972742"/>
          <a:ext cx="873219" cy="22126"/>
        </a:xfrm>
        <a:custGeom>
          <a:avLst/>
          <a:gdLst/>
          <a:ahLst/>
          <a:cxnLst/>
          <a:rect l="0" t="0" r="0" b="0"/>
          <a:pathLst>
            <a:path>
              <a:moveTo>
                <a:pt x="0" y="11063"/>
              </a:moveTo>
              <a:lnTo>
                <a:pt x="873219"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359019" y="961975"/>
        <a:ext cx="43660" cy="43660"/>
      </dsp:txXfrm>
    </dsp:sp>
    <dsp:sp modelId="{423827F0-948C-4C3D-8018-038C029F006E}">
      <dsp:nvSpPr>
        <dsp:cNvPr id="0" name=""/>
        <dsp:cNvSpPr/>
      </dsp:nvSpPr>
      <dsp:spPr>
        <a:xfrm>
          <a:off x="63612" y="427404"/>
          <a:ext cx="2116629" cy="337212"/>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kern="1200">
              <a:latin typeface="Simplified Arabic" panose="02020603050405020304" pitchFamily="18" charset="-78"/>
              <a:cs typeface="Simplified Arabic" panose="02020603050405020304" pitchFamily="18" charset="-78"/>
            </a:rPr>
            <a:t>كثافة البناء</a:t>
          </a:r>
          <a:endParaRPr lang="fr-FR" sz="1500" b="1" kern="1200">
            <a:latin typeface="Simplified Arabic" panose="02020603050405020304" pitchFamily="18" charset="-78"/>
            <a:cs typeface="Simplified Arabic" panose="02020603050405020304" pitchFamily="18" charset="-78"/>
          </a:endParaRPr>
        </a:p>
      </dsp:txBody>
      <dsp:txXfrm>
        <a:off x="73489" y="437281"/>
        <a:ext cx="2096875" cy="317458"/>
      </dsp:txXfrm>
    </dsp:sp>
    <dsp:sp modelId="{7F6AE4BF-6FBC-4648-89E9-E9F13B8522E5}">
      <dsp:nvSpPr>
        <dsp:cNvPr id="0" name=""/>
        <dsp:cNvSpPr/>
      </dsp:nvSpPr>
      <dsp:spPr>
        <a:xfrm rot="13441530">
          <a:off x="2101852" y="1166639"/>
          <a:ext cx="557994" cy="22126"/>
        </a:xfrm>
        <a:custGeom>
          <a:avLst/>
          <a:gdLst/>
          <a:ahLst/>
          <a:cxnLst/>
          <a:rect l="0" t="0" r="0" b="0"/>
          <a:pathLst>
            <a:path>
              <a:moveTo>
                <a:pt x="0" y="11063"/>
              </a:moveTo>
              <a:lnTo>
                <a:pt x="557994"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366899" y="1163752"/>
        <a:ext cx="27899" cy="27899"/>
      </dsp:txXfrm>
    </dsp:sp>
    <dsp:sp modelId="{94DC1FE6-AB09-4A00-8783-E9C0253B9DEC}">
      <dsp:nvSpPr>
        <dsp:cNvPr id="0" name=""/>
        <dsp:cNvSpPr/>
      </dsp:nvSpPr>
      <dsp:spPr>
        <a:xfrm>
          <a:off x="63612" y="815199"/>
          <a:ext cx="2116629" cy="337212"/>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b="1" kern="1200">
              <a:latin typeface="Simplified Arabic" panose="02020603050405020304" pitchFamily="18" charset="-78"/>
              <a:cs typeface="Simplified Arabic" panose="02020603050405020304" pitchFamily="18" charset="-78"/>
            </a:rPr>
            <a:t>المسافة الى المرافق التعليمية</a:t>
          </a:r>
          <a:endParaRPr lang="fr-FR" sz="1200" b="1" kern="1200">
            <a:latin typeface="Simplified Arabic" panose="02020603050405020304" pitchFamily="18" charset="-78"/>
            <a:cs typeface="Simplified Arabic" panose="02020603050405020304" pitchFamily="18" charset="-78"/>
          </a:endParaRPr>
        </a:p>
      </dsp:txBody>
      <dsp:txXfrm>
        <a:off x="73489" y="825076"/>
        <a:ext cx="2096875" cy="317458"/>
      </dsp:txXfrm>
    </dsp:sp>
    <dsp:sp modelId="{FC954F51-18EB-40CD-9A3C-458DA78E3561}">
      <dsp:nvSpPr>
        <dsp:cNvPr id="0" name=""/>
        <dsp:cNvSpPr/>
      </dsp:nvSpPr>
      <dsp:spPr>
        <a:xfrm rot="10800000">
          <a:off x="2180241" y="1360536"/>
          <a:ext cx="401215" cy="22126"/>
        </a:xfrm>
        <a:custGeom>
          <a:avLst/>
          <a:gdLst/>
          <a:ahLst/>
          <a:cxnLst/>
          <a:rect l="0" t="0" r="0" b="0"/>
          <a:pathLst>
            <a:path>
              <a:moveTo>
                <a:pt x="0" y="11063"/>
              </a:moveTo>
              <a:lnTo>
                <a:pt x="401215"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370819" y="1361569"/>
        <a:ext cx="20060" cy="20060"/>
      </dsp:txXfrm>
    </dsp:sp>
    <dsp:sp modelId="{331D4B48-944F-4B13-AA46-63CE4AD5EF7E}">
      <dsp:nvSpPr>
        <dsp:cNvPr id="0" name=""/>
        <dsp:cNvSpPr/>
      </dsp:nvSpPr>
      <dsp:spPr>
        <a:xfrm>
          <a:off x="63612" y="1202993"/>
          <a:ext cx="2116629" cy="337212"/>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b="1" kern="1200">
              <a:latin typeface="Simplified Arabic" panose="02020603050405020304" pitchFamily="18" charset="-78"/>
              <a:cs typeface="Simplified Arabic" panose="02020603050405020304" pitchFamily="18" charset="-78"/>
            </a:rPr>
            <a:t>المسافة الى المرافق الصحية</a:t>
          </a:r>
          <a:endParaRPr lang="fr-FR" sz="1200" kern="1200">
            <a:latin typeface="Simplified Arabic" panose="02020603050405020304" pitchFamily="18" charset="-78"/>
            <a:cs typeface="Simplified Arabic" panose="02020603050405020304" pitchFamily="18" charset="-78"/>
          </a:endParaRPr>
        </a:p>
      </dsp:txBody>
      <dsp:txXfrm>
        <a:off x="73489" y="1212870"/>
        <a:ext cx="2096875" cy="317458"/>
      </dsp:txXfrm>
    </dsp:sp>
    <dsp:sp modelId="{EF8ED5B3-2824-4BAD-A58B-FB4495F65ACB}">
      <dsp:nvSpPr>
        <dsp:cNvPr id="0" name=""/>
        <dsp:cNvSpPr/>
      </dsp:nvSpPr>
      <dsp:spPr>
        <a:xfrm rot="8158470">
          <a:off x="2101852" y="1554433"/>
          <a:ext cx="557994" cy="22126"/>
        </a:xfrm>
        <a:custGeom>
          <a:avLst/>
          <a:gdLst/>
          <a:ahLst/>
          <a:cxnLst/>
          <a:rect l="0" t="0" r="0" b="0"/>
          <a:pathLst>
            <a:path>
              <a:moveTo>
                <a:pt x="0" y="11063"/>
              </a:moveTo>
              <a:lnTo>
                <a:pt x="557994"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366899" y="1551547"/>
        <a:ext cx="27899" cy="27899"/>
      </dsp:txXfrm>
    </dsp:sp>
    <dsp:sp modelId="{E206D450-B39D-4E39-B679-01E2445DE4A4}">
      <dsp:nvSpPr>
        <dsp:cNvPr id="0" name=""/>
        <dsp:cNvSpPr/>
      </dsp:nvSpPr>
      <dsp:spPr>
        <a:xfrm>
          <a:off x="63612" y="1590788"/>
          <a:ext cx="2116629" cy="337212"/>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b="1" kern="1200">
              <a:latin typeface="Simplified Arabic" panose="02020603050405020304" pitchFamily="18" charset="-78"/>
              <a:cs typeface="Simplified Arabic" panose="02020603050405020304" pitchFamily="18" charset="-78"/>
            </a:rPr>
            <a:t>المسافة الى المرافق الامنية</a:t>
          </a:r>
          <a:endParaRPr lang="fr-FR" sz="1200" kern="1200">
            <a:latin typeface="Simplified Arabic" panose="02020603050405020304" pitchFamily="18" charset="-78"/>
            <a:cs typeface="Simplified Arabic" panose="02020603050405020304" pitchFamily="18" charset="-78"/>
          </a:endParaRPr>
        </a:p>
      </dsp:txBody>
      <dsp:txXfrm>
        <a:off x="73489" y="1600665"/>
        <a:ext cx="2096875" cy="317458"/>
      </dsp:txXfrm>
    </dsp:sp>
    <dsp:sp modelId="{93895C91-954A-4191-B468-75E89A499255}">
      <dsp:nvSpPr>
        <dsp:cNvPr id="0" name=""/>
        <dsp:cNvSpPr/>
      </dsp:nvSpPr>
      <dsp:spPr>
        <a:xfrm rot="7041163">
          <a:off x="1944240" y="1748331"/>
          <a:ext cx="873219" cy="22126"/>
        </a:xfrm>
        <a:custGeom>
          <a:avLst/>
          <a:gdLst/>
          <a:ahLst/>
          <a:cxnLst/>
          <a:rect l="0" t="0" r="0" b="0"/>
          <a:pathLst>
            <a:path>
              <a:moveTo>
                <a:pt x="0" y="11063"/>
              </a:moveTo>
              <a:lnTo>
                <a:pt x="873219"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359019" y="1737563"/>
        <a:ext cx="43660" cy="43660"/>
      </dsp:txXfrm>
    </dsp:sp>
    <dsp:sp modelId="{A9953E1C-D352-4DE9-A1DE-91805999B224}">
      <dsp:nvSpPr>
        <dsp:cNvPr id="0" name=""/>
        <dsp:cNvSpPr/>
      </dsp:nvSpPr>
      <dsp:spPr>
        <a:xfrm>
          <a:off x="63612" y="1978582"/>
          <a:ext cx="2116629" cy="337212"/>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b="1" kern="1200">
              <a:latin typeface="Simplified Arabic" panose="02020603050405020304" pitchFamily="18" charset="-78"/>
              <a:cs typeface="Simplified Arabic" panose="02020603050405020304" pitchFamily="18" charset="-78"/>
            </a:rPr>
            <a:t>المسافة الى مرافق الانقاذ</a:t>
          </a:r>
          <a:endParaRPr lang="fr-FR" sz="1200" kern="1200">
            <a:latin typeface="Simplified Arabic" panose="02020603050405020304" pitchFamily="18" charset="-78"/>
            <a:cs typeface="Simplified Arabic" panose="02020603050405020304" pitchFamily="18" charset="-78"/>
          </a:endParaRPr>
        </a:p>
      </dsp:txBody>
      <dsp:txXfrm>
        <a:off x="73489" y="1988459"/>
        <a:ext cx="2096875" cy="317458"/>
      </dsp:txXfrm>
    </dsp:sp>
    <dsp:sp modelId="{D8757E5C-34D2-4BFD-A3C9-CF2290FB7478}">
      <dsp:nvSpPr>
        <dsp:cNvPr id="0" name=""/>
        <dsp:cNvSpPr/>
      </dsp:nvSpPr>
      <dsp:spPr>
        <a:xfrm rot="6556662">
          <a:off x="1773218" y="1934098"/>
          <a:ext cx="1215263" cy="22126"/>
        </a:xfrm>
        <a:custGeom>
          <a:avLst/>
          <a:gdLst/>
          <a:ahLst/>
          <a:cxnLst/>
          <a:rect l="0" t="0" r="0" b="0"/>
          <a:pathLst>
            <a:path>
              <a:moveTo>
                <a:pt x="0" y="11063"/>
              </a:moveTo>
              <a:lnTo>
                <a:pt x="1215263" y="11063"/>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350468" y="1914779"/>
        <a:ext cx="60763" cy="60763"/>
      </dsp:txXfrm>
    </dsp:sp>
    <dsp:sp modelId="{237D66A8-87A1-4CFC-8060-17E2BDE8C28A}">
      <dsp:nvSpPr>
        <dsp:cNvPr id="0" name=""/>
        <dsp:cNvSpPr/>
      </dsp:nvSpPr>
      <dsp:spPr>
        <a:xfrm>
          <a:off x="63612" y="2350116"/>
          <a:ext cx="2116629" cy="337212"/>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b="1" kern="1200">
              <a:latin typeface="Simplified Arabic" panose="02020603050405020304" pitchFamily="18" charset="-78"/>
              <a:cs typeface="Simplified Arabic" panose="02020603050405020304" pitchFamily="18" charset="-78"/>
            </a:rPr>
            <a:t>المسافة الى المرافق الدينية/الثقافية</a:t>
          </a:r>
          <a:endParaRPr lang="fr-FR" sz="1200" kern="1200">
            <a:latin typeface="Simplified Arabic" panose="02020603050405020304" pitchFamily="18" charset="-78"/>
            <a:cs typeface="Simplified Arabic" panose="02020603050405020304" pitchFamily="18" charset="-78"/>
          </a:endParaRPr>
        </a:p>
      </dsp:txBody>
      <dsp:txXfrm>
        <a:off x="73489" y="2359993"/>
        <a:ext cx="2096875" cy="31745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1CB473-FEED-46DC-8B34-8433A91DE942}">
      <dsp:nvSpPr>
        <dsp:cNvPr id="0" name=""/>
        <dsp:cNvSpPr/>
      </dsp:nvSpPr>
      <dsp:spPr>
        <a:xfrm>
          <a:off x="57175" y="27332"/>
          <a:ext cx="5446644" cy="3404152"/>
        </a:xfrm>
        <a:prstGeom prst="swooshArrow">
          <a:avLst>
            <a:gd name="adj1" fmla="val 25000"/>
            <a:gd name="adj2" fmla="val 25000"/>
          </a:avLst>
        </a:prstGeom>
        <a:solidFill>
          <a:schemeClr val="accent1">
            <a:tint val="40000"/>
            <a:hueOff val="0"/>
            <a:satOff val="0"/>
            <a:lumOff val="0"/>
            <a:alphaOff val="0"/>
          </a:schemeClr>
        </a:solidFill>
        <a:ln>
          <a:noFill/>
        </a:ln>
        <a:effectLst/>
        <a:scene3d>
          <a:camera prst="perspectiveContrastingRightFacing" fov="0">
            <a:rot lat="18600000" lon="10800000" rev="21000000"/>
          </a:camera>
          <a:lightRig rig="threePt" dir="t"/>
        </a:scene3d>
        <a:sp3d/>
      </dsp:spPr>
      <dsp:style>
        <a:lnRef idx="0">
          <a:scrgbClr r="0" g="0" b="0"/>
        </a:lnRef>
        <a:fillRef idx="1">
          <a:scrgbClr r="0" g="0" b="0"/>
        </a:fillRef>
        <a:effectRef idx="0">
          <a:scrgbClr r="0" g="0" b="0"/>
        </a:effectRef>
        <a:fontRef idx="minor"/>
      </dsp:style>
    </dsp:sp>
    <dsp:sp modelId="{0C4C0584-A8C8-4A58-8AD4-08FD4F9B1FC5}">
      <dsp:nvSpPr>
        <dsp:cNvPr id="0" name=""/>
        <dsp:cNvSpPr/>
      </dsp:nvSpPr>
      <dsp:spPr>
        <a:xfrm>
          <a:off x="4922162" y="2796901"/>
          <a:ext cx="125272" cy="125272"/>
        </a:xfrm>
        <a:prstGeom prst="ellipse">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49A2C6A-CD09-40A4-A8C2-87EDD28507F7}">
      <dsp:nvSpPr>
        <dsp:cNvPr id="0" name=""/>
        <dsp:cNvSpPr/>
      </dsp:nvSpPr>
      <dsp:spPr>
        <a:xfrm>
          <a:off x="117972" y="1364868"/>
          <a:ext cx="3261697" cy="709506"/>
        </a:xfrm>
        <a:prstGeom prst="rect">
          <a:avLst/>
        </a:prstGeom>
        <a:noFill/>
        <a:ln w="3175">
          <a:noFill/>
          <a:prstDash val="sysDash"/>
        </a:ln>
        <a:effectLst/>
      </dsp:spPr>
      <dsp:style>
        <a:lnRef idx="0">
          <a:scrgbClr r="0" g="0" b="0"/>
        </a:lnRef>
        <a:fillRef idx="0">
          <a:scrgbClr r="0" g="0" b="0"/>
        </a:fillRef>
        <a:effectRef idx="0">
          <a:scrgbClr r="0" g="0" b="0"/>
        </a:effectRef>
        <a:fontRef idx="minor"/>
      </dsp:style>
      <dsp:txBody>
        <a:bodyPr spcFirstLastPara="0" vert="horz" wrap="square" lIns="66379" tIns="0" rIns="0" bIns="0" numCol="1" spcCol="1270" anchor="t" anchorCtr="0">
          <a:noAutofit/>
        </a:bodyPr>
        <a:lstStyle/>
        <a:p>
          <a:pPr lvl="0" algn="ctr" defTabSz="444500" rtl="1">
            <a:lnSpc>
              <a:spcPct val="90000"/>
            </a:lnSpc>
            <a:spcBef>
              <a:spcPct val="0"/>
            </a:spcBef>
            <a:spcAft>
              <a:spcPct val="35000"/>
            </a:spcAft>
          </a:pPr>
          <a:r>
            <a:rPr lang="ar-DZ" sz="1000" b="1" kern="1200">
              <a:latin typeface="Simplified Arabic" panose="02020603050405020304" pitchFamily="18" charset="-78"/>
              <a:cs typeface="Simplified Arabic" panose="02020603050405020304" pitchFamily="18" charset="-78"/>
            </a:rPr>
            <a:t>مفهوم </a:t>
          </a:r>
          <a:r>
            <a:rPr lang="ar-DZ" sz="1000" b="1" i="1" kern="1200">
              <a:latin typeface="Simplified Arabic" panose="02020603050405020304" pitchFamily="18" charset="-78"/>
              <a:cs typeface="Simplified Arabic" panose="02020603050405020304" pitchFamily="18" charset="-78"/>
            </a:rPr>
            <a:t>الضعف (</a:t>
          </a:r>
          <a:r>
            <a:rPr lang="fr-FR" sz="1000" b="1" i="1" kern="1200">
              <a:latin typeface="Times New Roman" panose="02020603050405020304" pitchFamily="18" charset="0"/>
              <a:cs typeface="Times New Roman" panose="02020603050405020304" pitchFamily="18" charset="0"/>
            </a:rPr>
            <a:t>Concept</a:t>
          </a:r>
          <a:r>
            <a:rPr lang="fr-FR" sz="1000" b="1" i="1" kern="1200">
              <a:latin typeface="Simplified Arabic" panose="02020603050405020304" pitchFamily="18" charset="-78"/>
              <a:cs typeface="Simplified Arabic" panose="02020603050405020304" pitchFamily="18" charset="-78"/>
            </a:rPr>
            <a:t> </a:t>
          </a:r>
          <a:r>
            <a:rPr lang="fr-FR" sz="1000" b="1" i="1" kern="1200">
              <a:latin typeface="Times New Roman" panose="02020603050405020304" pitchFamily="18" charset="0"/>
              <a:cs typeface="Times New Roman" panose="02020603050405020304" pitchFamily="18" charset="0"/>
            </a:rPr>
            <a:t>Vulnérabilité</a:t>
          </a:r>
          <a:r>
            <a:rPr lang="ar-SA" sz="1000" b="1" i="1" kern="1200">
              <a:latin typeface="Simplified Arabic" panose="02020603050405020304" pitchFamily="18" charset="-78"/>
              <a:cs typeface="Simplified Arabic" panose="02020603050405020304" pitchFamily="18" charset="-78"/>
            </a:rPr>
            <a:t>)</a:t>
          </a:r>
          <a:r>
            <a:rPr lang="ar-DZ" sz="1000" b="1" i="1" kern="1200">
              <a:latin typeface="Simplified Arabic" panose="02020603050405020304" pitchFamily="18" charset="-78"/>
              <a:cs typeface="Simplified Arabic" panose="02020603050405020304" pitchFamily="18" charset="-78"/>
            </a:rPr>
            <a:t>:</a:t>
          </a:r>
        </a:p>
        <a:p>
          <a:pPr lvl="0" algn="r" defTabSz="444500" rtl="1">
            <a:lnSpc>
              <a:spcPct val="90000"/>
            </a:lnSpc>
            <a:spcBef>
              <a:spcPct val="0"/>
            </a:spcBef>
            <a:spcAft>
              <a:spcPct val="35000"/>
            </a:spcAft>
          </a:pPr>
          <a:r>
            <a:rPr lang="ar-DZ" sz="1000" b="1" kern="1200">
              <a:latin typeface="Simplified Arabic" panose="02020603050405020304" pitchFamily="18" charset="-78"/>
              <a:cs typeface="Simplified Arabic" panose="02020603050405020304" pitchFamily="18" charset="-78"/>
            </a:rPr>
            <a:t> </a:t>
          </a:r>
          <a:r>
            <a:rPr lang="ar-DZ" sz="1000" b="0" kern="1200">
              <a:latin typeface="Simplified Arabic" panose="02020603050405020304" pitchFamily="18" charset="-78"/>
              <a:cs typeface="Simplified Arabic" panose="02020603050405020304" pitchFamily="18" charset="-78"/>
            </a:rPr>
            <a:t>يعمل على الرهانات التي تعرضت للضرر جراء الظاهرة.</a:t>
          </a:r>
        </a:p>
        <a:p>
          <a:pPr lvl="0" algn="r" defTabSz="444500" rtl="1">
            <a:lnSpc>
              <a:spcPct val="90000"/>
            </a:lnSpc>
            <a:spcBef>
              <a:spcPct val="0"/>
            </a:spcBef>
            <a:spcAft>
              <a:spcPct val="35000"/>
            </a:spcAft>
          </a:pPr>
          <a:r>
            <a:rPr lang="ar-DZ" sz="1000" b="1" kern="1200">
              <a:latin typeface="Simplified Arabic" panose="02020603050405020304" pitchFamily="18" charset="-78"/>
              <a:cs typeface="Simplified Arabic" panose="02020603050405020304" pitchFamily="18" charset="-78"/>
            </a:rPr>
            <a:t>الحدود</a:t>
          </a:r>
          <a:r>
            <a:rPr lang="ar-DZ" sz="1000" b="0" kern="1200">
              <a:latin typeface="Simplified Arabic" panose="02020603050405020304" pitchFamily="18" charset="-78"/>
              <a:cs typeface="Simplified Arabic" panose="02020603050405020304" pitchFamily="18" charset="-78"/>
            </a:rPr>
            <a:t>: المفهوم له وقعًا سلبيًا + يستحيل تخفيض الضعف الى مستوى الصفر</a:t>
          </a:r>
        </a:p>
      </dsp:txBody>
      <dsp:txXfrm>
        <a:off x="117972" y="1364868"/>
        <a:ext cx="3261697" cy="709506"/>
      </dsp:txXfrm>
    </dsp:sp>
    <dsp:sp modelId="{3F68BDEE-E2F7-43FF-92CC-84E0A990CB47}">
      <dsp:nvSpPr>
        <dsp:cNvPr id="0" name=""/>
        <dsp:cNvSpPr/>
      </dsp:nvSpPr>
      <dsp:spPr>
        <a:xfrm>
          <a:off x="4169160" y="2123997"/>
          <a:ext cx="217865" cy="217865"/>
        </a:xfrm>
        <a:prstGeom prst="ellipse">
          <a:avLst/>
        </a:prstGeom>
        <a:solidFill>
          <a:schemeClr val="accent6">
            <a:lumMod val="5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F857894-B8C3-4A5F-964D-6B3CEAD3CFB9}">
      <dsp:nvSpPr>
        <dsp:cNvPr id="0" name=""/>
        <dsp:cNvSpPr/>
      </dsp:nvSpPr>
      <dsp:spPr>
        <a:xfrm>
          <a:off x="165978" y="337870"/>
          <a:ext cx="3502289" cy="689827"/>
        </a:xfrm>
        <a:prstGeom prst="rect">
          <a:avLst/>
        </a:prstGeom>
        <a:noFill/>
        <a:ln w="3175">
          <a:noFill/>
          <a:prstDash val="sysDash"/>
        </a:ln>
        <a:effectLst/>
      </dsp:spPr>
      <dsp:style>
        <a:lnRef idx="0">
          <a:scrgbClr r="0" g="0" b="0"/>
        </a:lnRef>
        <a:fillRef idx="0">
          <a:scrgbClr r="0" g="0" b="0"/>
        </a:fillRef>
        <a:effectRef idx="0">
          <a:scrgbClr r="0" g="0" b="0"/>
        </a:effectRef>
        <a:fontRef idx="minor"/>
      </dsp:style>
      <dsp:txBody>
        <a:bodyPr spcFirstLastPara="0" vert="horz" wrap="square" lIns="115443" tIns="0" rIns="0" bIns="0" numCol="1" spcCol="1270" anchor="t" anchorCtr="0">
          <a:noAutofit/>
        </a:bodyPr>
        <a:lstStyle/>
        <a:p>
          <a:pPr lvl="0" algn="r" defTabSz="444500" rtl="1">
            <a:lnSpc>
              <a:spcPct val="90000"/>
            </a:lnSpc>
            <a:spcBef>
              <a:spcPct val="0"/>
            </a:spcBef>
            <a:spcAft>
              <a:spcPct val="35000"/>
            </a:spcAft>
          </a:pPr>
          <a:r>
            <a:rPr lang="ar-DZ" sz="1000" b="1" kern="1200">
              <a:latin typeface="Simplified Arabic" panose="02020603050405020304" pitchFamily="18" charset="-78"/>
              <a:cs typeface="Simplified Arabic" panose="02020603050405020304" pitchFamily="18" charset="-78"/>
            </a:rPr>
            <a:t>مفهوم </a:t>
          </a:r>
          <a:r>
            <a:rPr lang="ar-DZ" sz="1000" b="1" i="1" kern="1200">
              <a:latin typeface="Simplified Arabic" panose="02020603050405020304" pitchFamily="18" charset="-78"/>
              <a:cs typeface="Simplified Arabic" panose="02020603050405020304" pitchFamily="18" charset="-78"/>
            </a:rPr>
            <a:t>المرونة (</a:t>
          </a:r>
          <a:r>
            <a:rPr lang="fr-FR" sz="1000" b="1" i="1" kern="1200">
              <a:latin typeface="Times New Roman" panose="02020603050405020304" pitchFamily="18" charset="0"/>
              <a:cs typeface="Times New Roman" panose="02020603050405020304" pitchFamily="18" charset="0"/>
            </a:rPr>
            <a:t>Concept</a:t>
          </a:r>
          <a:r>
            <a:rPr lang="fr-FR" sz="1000" b="1" i="1" kern="1200">
              <a:latin typeface="Simplified Arabic" panose="02020603050405020304" pitchFamily="18" charset="-78"/>
              <a:cs typeface="Simplified Arabic" panose="02020603050405020304" pitchFamily="18" charset="-78"/>
            </a:rPr>
            <a:t> </a:t>
          </a:r>
          <a:r>
            <a:rPr lang="fr-FR" sz="1000" b="1" i="1" kern="1200">
              <a:latin typeface="Times New Roman" panose="02020603050405020304" pitchFamily="18" charset="0"/>
              <a:cs typeface="Times New Roman" panose="02020603050405020304" pitchFamily="18" charset="0"/>
            </a:rPr>
            <a:t>Resilience</a:t>
          </a:r>
          <a:r>
            <a:rPr lang="ar-SA" sz="1000" b="1" i="1" kern="1200">
              <a:latin typeface="Simplified Arabic" panose="02020603050405020304" pitchFamily="18" charset="-78"/>
              <a:cs typeface="Simplified Arabic" panose="02020603050405020304" pitchFamily="18" charset="-78"/>
            </a:rPr>
            <a:t>)</a:t>
          </a:r>
          <a:r>
            <a:rPr lang="ar-DZ" sz="1000" b="1" i="1" kern="1200">
              <a:latin typeface="Simplified Arabic" panose="02020603050405020304" pitchFamily="18" charset="-78"/>
              <a:cs typeface="Simplified Arabic" panose="02020603050405020304" pitchFamily="18" charset="-78"/>
            </a:rPr>
            <a:t>:</a:t>
          </a:r>
        </a:p>
        <a:p>
          <a:pPr lvl="0" algn="r" defTabSz="444500" rtl="1">
            <a:lnSpc>
              <a:spcPct val="90000"/>
            </a:lnSpc>
            <a:spcBef>
              <a:spcPct val="0"/>
            </a:spcBef>
            <a:spcAft>
              <a:spcPct val="35000"/>
            </a:spcAft>
          </a:pPr>
          <a:r>
            <a:rPr lang="ar-DZ" sz="1000" b="0" kern="1200">
              <a:latin typeface="Simplified Arabic" panose="02020603050405020304" pitchFamily="18" charset="-78"/>
              <a:cs typeface="Simplified Arabic" panose="02020603050405020304" pitchFamily="18" charset="-78"/>
            </a:rPr>
            <a:t>يعمل على قدرات النظام لامتصاص الاضطرابات مع حشد خصائصه و بعث النشاط</a:t>
          </a:r>
        </a:p>
        <a:p>
          <a:pPr lvl="0" algn="r" defTabSz="444500" rtl="1">
            <a:lnSpc>
              <a:spcPct val="90000"/>
            </a:lnSpc>
            <a:spcBef>
              <a:spcPct val="0"/>
            </a:spcBef>
            <a:spcAft>
              <a:spcPct val="35000"/>
            </a:spcAft>
          </a:pPr>
          <a:r>
            <a:rPr lang="ar-DZ" sz="1000" b="1" kern="1200">
              <a:latin typeface="Simplified Arabic" panose="02020603050405020304" pitchFamily="18" charset="-78"/>
              <a:cs typeface="Simplified Arabic" panose="02020603050405020304" pitchFamily="18" charset="-78"/>
            </a:rPr>
            <a:t>الحدود</a:t>
          </a:r>
          <a:r>
            <a:rPr lang="ar-DZ" sz="1000" b="0" kern="1200">
              <a:latin typeface="Simplified Arabic" panose="02020603050405020304" pitchFamily="18" charset="-78"/>
              <a:cs typeface="Simplified Arabic" panose="02020603050405020304" pitchFamily="18" charset="-78"/>
            </a:rPr>
            <a:t>: مازال المفهوم مبهمًا و في طور التفعيل</a:t>
          </a:r>
          <a:endParaRPr lang="fr-FR" sz="1000" b="0" kern="1200">
            <a:latin typeface="Simplified Arabic" panose="02020603050405020304" pitchFamily="18" charset="-78"/>
            <a:cs typeface="Simplified Arabic" panose="02020603050405020304" pitchFamily="18" charset="-78"/>
          </a:endParaRPr>
        </a:p>
      </dsp:txBody>
      <dsp:txXfrm>
        <a:off x="165978" y="337870"/>
        <a:ext cx="3502289" cy="689827"/>
      </dsp:txXfrm>
    </dsp:sp>
    <dsp:sp modelId="{EB3459C7-C6D2-4D40-82FA-012EE126ADC5}">
      <dsp:nvSpPr>
        <dsp:cNvPr id="0" name=""/>
        <dsp:cNvSpPr/>
      </dsp:nvSpPr>
      <dsp:spPr>
        <a:xfrm>
          <a:off x="2838933" y="1367569"/>
          <a:ext cx="288672" cy="288672"/>
        </a:xfrm>
        <a:prstGeom prst="ellipse">
          <a:avLst/>
        </a:prstGeom>
        <a:solidFill>
          <a:schemeClr val="accent6">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5DF1046-A98E-4A83-B0FA-A93E81CC6A16}">
      <dsp:nvSpPr>
        <dsp:cNvPr id="0" name=""/>
        <dsp:cNvSpPr/>
      </dsp:nvSpPr>
      <dsp:spPr>
        <a:xfrm>
          <a:off x="1485824" y="2128695"/>
          <a:ext cx="2995565" cy="649832"/>
        </a:xfrm>
        <a:prstGeom prst="rect">
          <a:avLst/>
        </a:prstGeom>
        <a:noFill/>
        <a:ln w="3175">
          <a:noFill/>
          <a:prstDash val="sysDash"/>
        </a:ln>
        <a:effectLst/>
        <a:scene3d>
          <a:camera prst="orthographicFront"/>
          <a:lightRig rig="threePt" dir="t"/>
        </a:scene3d>
        <a:sp3d/>
      </dsp:spPr>
      <dsp:style>
        <a:lnRef idx="0">
          <a:scrgbClr r="0" g="0" b="0"/>
        </a:lnRef>
        <a:fillRef idx="0">
          <a:scrgbClr r="0" g="0" b="0"/>
        </a:fillRef>
        <a:effectRef idx="0">
          <a:scrgbClr r="0" g="0" b="0"/>
        </a:effectRef>
        <a:fontRef idx="minor"/>
      </dsp:style>
      <dsp:txBody>
        <a:bodyPr spcFirstLastPara="0" vert="horz" wrap="square" lIns="152961" tIns="0" rIns="0" bIns="0" numCol="1" spcCol="1270" anchor="t" anchorCtr="0">
          <a:noAutofit/>
        </a:bodyPr>
        <a:lstStyle/>
        <a:p>
          <a:pPr lvl="0" algn="l" defTabSz="444500" rtl="1">
            <a:lnSpc>
              <a:spcPct val="90000"/>
            </a:lnSpc>
            <a:spcBef>
              <a:spcPct val="0"/>
            </a:spcBef>
            <a:spcAft>
              <a:spcPct val="35000"/>
            </a:spcAft>
          </a:pPr>
          <a:r>
            <a:rPr lang="ar-DZ" sz="1000" b="1" i="1" kern="1200">
              <a:latin typeface="Simplified Arabic" panose="02020603050405020304" pitchFamily="18" charset="-78"/>
              <a:cs typeface="Simplified Arabic" panose="02020603050405020304" pitchFamily="18" charset="-78"/>
            </a:rPr>
            <a:t>مقاربة الظاهرة -المركزية </a:t>
          </a:r>
          <a:r>
            <a:rPr lang="ar-DZ" sz="1000" b="1" i="1" kern="1200">
              <a:latin typeface="Simplified Arabic" panose="02020603050405020304" pitchFamily="18" charset="-78"/>
              <a:cs typeface="+mj-cs"/>
            </a:rPr>
            <a:t>(</a:t>
          </a:r>
          <a:r>
            <a:rPr lang="fr-FR" sz="1000" b="1" i="1" kern="1200">
              <a:latin typeface="Times New Roman" panose="02020603050405020304" pitchFamily="18" charset="0"/>
              <a:cs typeface="Times New Roman" panose="02020603050405020304" pitchFamily="18" charset="0"/>
            </a:rPr>
            <a:t>Approche</a:t>
          </a:r>
          <a:r>
            <a:rPr lang="fr-FR" sz="1000" b="1" i="1" kern="1200">
              <a:latin typeface="Simplified Arabic" panose="02020603050405020304" pitchFamily="18" charset="-78"/>
              <a:cs typeface="+mj-cs"/>
            </a:rPr>
            <a:t> </a:t>
          </a:r>
          <a:r>
            <a:rPr lang="fr-FR" sz="1000" b="1" i="1" kern="1200">
              <a:latin typeface="Times New Roman" panose="02020603050405020304" pitchFamily="18" charset="0"/>
              <a:cs typeface="Times New Roman" panose="02020603050405020304" pitchFamily="18" charset="0"/>
            </a:rPr>
            <a:t>Aléa</a:t>
          </a:r>
          <a:r>
            <a:rPr lang="fr-FR" sz="1000" b="1" i="1" kern="1200">
              <a:latin typeface="Simplified Arabic" panose="02020603050405020304" pitchFamily="18" charset="-78"/>
              <a:cs typeface="+mj-cs"/>
            </a:rPr>
            <a:t> </a:t>
          </a:r>
          <a:r>
            <a:rPr lang="fr-FR" sz="1000" b="1" i="1" kern="1200">
              <a:latin typeface="Times New Roman" panose="02020603050405020304" pitchFamily="18" charset="0"/>
              <a:cs typeface="Times New Roman" panose="02020603050405020304" pitchFamily="18" charset="0"/>
            </a:rPr>
            <a:t>-Centrée</a:t>
          </a:r>
          <a:r>
            <a:rPr lang="ar-SA" sz="1000" b="1" i="1" kern="1200">
              <a:latin typeface="Simplified Arabic" panose="02020603050405020304" pitchFamily="18" charset="-78"/>
              <a:cs typeface="+mj-cs"/>
            </a:rPr>
            <a:t>)</a:t>
          </a:r>
          <a:r>
            <a:rPr lang="ar-DZ" sz="1000" b="1" i="1" kern="1200">
              <a:latin typeface="Simplified Arabic" panose="02020603050405020304" pitchFamily="18" charset="-78"/>
              <a:cs typeface="Simplified Arabic" panose="02020603050405020304" pitchFamily="18" charset="-78"/>
            </a:rPr>
            <a:t>:</a:t>
          </a:r>
          <a:r>
            <a:rPr lang="ar-DZ" sz="1000" b="1" kern="1200">
              <a:latin typeface="Simplified Arabic" panose="02020603050405020304" pitchFamily="18" charset="-78"/>
              <a:cs typeface="Simplified Arabic" panose="02020603050405020304" pitchFamily="18" charset="-78"/>
            </a:rPr>
            <a:t> </a:t>
          </a:r>
        </a:p>
        <a:p>
          <a:pPr lvl="0" algn="r" defTabSz="444500" rtl="1">
            <a:lnSpc>
              <a:spcPct val="90000"/>
            </a:lnSpc>
            <a:spcBef>
              <a:spcPct val="0"/>
            </a:spcBef>
            <a:spcAft>
              <a:spcPct val="35000"/>
            </a:spcAft>
          </a:pPr>
          <a:r>
            <a:rPr lang="ar-DZ" sz="1000" b="1" kern="1200">
              <a:latin typeface="Simplified Arabic" panose="02020603050405020304" pitchFamily="18" charset="-78"/>
              <a:cs typeface="Simplified Arabic" panose="02020603050405020304" pitchFamily="18" charset="-78"/>
            </a:rPr>
            <a:t>الحدود</a:t>
          </a:r>
          <a:r>
            <a:rPr lang="ar-DZ" sz="1000" b="0" kern="1200">
              <a:latin typeface="Simplified Arabic" panose="02020603050405020304" pitchFamily="18" charset="-78"/>
              <a:cs typeface="Simplified Arabic" panose="02020603050405020304" pitchFamily="18" charset="-78"/>
            </a:rPr>
            <a:t>: الظاهرة ارتيابية و لا يمكن تقديرها +امكانية ضعف قوى انظمة الحماية +الشعور الخاطئ بالامان المؤدي الى الضعف</a:t>
          </a:r>
          <a:endParaRPr lang="fr-FR" sz="1000" b="0" kern="1200">
            <a:latin typeface="Simplified Arabic" panose="02020603050405020304" pitchFamily="18" charset="-78"/>
            <a:cs typeface="Simplified Arabic" panose="02020603050405020304" pitchFamily="18" charset="-78"/>
          </a:endParaRPr>
        </a:p>
      </dsp:txBody>
      <dsp:txXfrm>
        <a:off x="1485824" y="2128695"/>
        <a:ext cx="2995565" cy="649832"/>
      </dsp:txXfrm>
    </dsp:sp>
    <dsp:sp modelId="{687C262F-2A44-47C9-B481-24BBA9074D0B}">
      <dsp:nvSpPr>
        <dsp:cNvPr id="0" name=""/>
        <dsp:cNvSpPr/>
      </dsp:nvSpPr>
      <dsp:spPr>
        <a:xfrm>
          <a:off x="1178791" y="766031"/>
          <a:ext cx="386711" cy="386711"/>
        </a:xfrm>
        <a:prstGeom prst="ellipse">
          <a:avLst/>
        </a:prstGeom>
        <a:solidFill>
          <a:schemeClr val="accent6">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2D4DFC2-834B-46AC-9243-AC36A14B49B0}">
      <dsp:nvSpPr>
        <dsp:cNvPr id="0" name=""/>
        <dsp:cNvSpPr/>
      </dsp:nvSpPr>
      <dsp:spPr>
        <a:xfrm>
          <a:off x="2600981" y="2745821"/>
          <a:ext cx="2627983" cy="689129"/>
        </a:xfrm>
        <a:prstGeom prst="rect">
          <a:avLst/>
        </a:prstGeom>
        <a:noFill/>
        <a:ln w="3175">
          <a:noFill/>
          <a:prstDash val="sysDash"/>
        </a:ln>
        <a:effectLst/>
      </dsp:spPr>
      <dsp:style>
        <a:lnRef idx="0">
          <a:scrgbClr r="0" g="0" b="0"/>
        </a:lnRef>
        <a:fillRef idx="0">
          <a:scrgbClr r="0" g="0" b="0"/>
        </a:fillRef>
        <a:effectRef idx="0">
          <a:scrgbClr r="0" g="0" b="0"/>
        </a:effectRef>
        <a:fontRef idx="minor"/>
      </dsp:style>
      <dsp:txBody>
        <a:bodyPr spcFirstLastPara="0" vert="horz" wrap="square" lIns="204911" tIns="0" rIns="0" bIns="0" numCol="1" spcCol="1270" anchor="t" anchorCtr="0">
          <a:noAutofit/>
        </a:bodyPr>
        <a:lstStyle/>
        <a:p>
          <a:pPr lvl="0" algn="r" defTabSz="444500" rtl="1">
            <a:lnSpc>
              <a:spcPct val="90000"/>
            </a:lnSpc>
            <a:spcBef>
              <a:spcPct val="0"/>
            </a:spcBef>
            <a:spcAft>
              <a:spcPct val="35000"/>
            </a:spcAft>
          </a:pPr>
          <a:r>
            <a:rPr lang="ar-DZ" sz="1000" b="1" i="1" kern="1200">
              <a:latin typeface="Simplified Arabic" panose="02020603050405020304" pitchFamily="18" charset="-78"/>
              <a:cs typeface="Simplified Arabic" panose="02020603050405020304" pitchFamily="18" charset="-78"/>
            </a:rPr>
            <a:t>          الظاهرة </a:t>
          </a:r>
          <a:r>
            <a:rPr lang="ar-DZ" sz="1000" b="1" i="1" kern="1200">
              <a:latin typeface="Simplified Arabic" panose="02020603050405020304" pitchFamily="18" charset="-78"/>
              <a:cs typeface="+mj-cs"/>
            </a:rPr>
            <a:t>(</a:t>
          </a:r>
          <a:r>
            <a:rPr lang="fr-FR" sz="1000" b="1" i="1" kern="1200">
              <a:latin typeface="Times New Roman" panose="02020603050405020304" pitchFamily="18" charset="0"/>
              <a:cs typeface="+mj-cs"/>
            </a:rPr>
            <a:t>Aléa</a:t>
          </a:r>
          <a:r>
            <a:rPr lang="ar-SA" sz="1000" b="1" i="1" kern="1200">
              <a:latin typeface="Simplified Arabic" panose="02020603050405020304" pitchFamily="18" charset="-78"/>
              <a:cs typeface="+mj-cs"/>
            </a:rPr>
            <a:t>)</a:t>
          </a:r>
          <a:r>
            <a:rPr lang="ar-DZ" sz="1000" b="1" i="1" kern="1200">
              <a:latin typeface="Simplified Arabic" panose="02020603050405020304" pitchFamily="18" charset="-78"/>
              <a:cs typeface="Simplified Arabic" panose="02020603050405020304" pitchFamily="18" charset="-78"/>
            </a:rPr>
            <a:t>: </a:t>
          </a:r>
        </a:p>
        <a:p>
          <a:pPr lvl="0" algn="r" defTabSz="444500" rtl="1">
            <a:lnSpc>
              <a:spcPct val="90000"/>
            </a:lnSpc>
            <a:spcBef>
              <a:spcPct val="0"/>
            </a:spcBef>
            <a:spcAft>
              <a:spcPct val="35000"/>
            </a:spcAft>
          </a:pPr>
          <a:r>
            <a:rPr lang="ar-DZ" sz="1000" b="0" kern="1200">
              <a:latin typeface="Simplified Arabic" panose="02020603050405020304" pitchFamily="18" charset="-78"/>
              <a:cs typeface="Simplified Arabic" panose="02020603050405020304" pitchFamily="18" charset="-78"/>
            </a:rPr>
            <a:t>الامم السابقة كانت تفسر الظاهرة كعقاب الهي على الخطايا</a:t>
          </a:r>
        </a:p>
        <a:p>
          <a:pPr lvl="0" algn="r" defTabSz="444500" rtl="1">
            <a:lnSpc>
              <a:spcPct val="90000"/>
            </a:lnSpc>
            <a:spcBef>
              <a:spcPct val="0"/>
            </a:spcBef>
            <a:spcAft>
              <a:spcPct val="35000"/>
            </a:spcAft>
          </a:pPr>
          <a:r>
            <a:rPr lang="ar-DZ" sz="1000" b="1" kern="1200">
              <a:latin typeface="Simplified Arabic" panose="02020603050405020304" pitchFamily="18" charset="-78"/>
              <a:cs typeface="Simplified Arabic" panose="02020603050405020304" pitchFamily="18" charset="-78"/>
            </a:rPr>
            <a:t>الحدود</a:t>
          </a:r>
          <a:r>
            <a:rPr lang="ar-DZ" sz="1000" b="0" kern="1200">
              <a:latin typeface="Simplified Arabic" panose="02020603050405020304" pitchFamily="18" charset="-78"/>
              <a:cs typeface="Simplified Arabic" panose="02020603050405020304" pitchFamily="18" charset="-78"/>
            </a:rPr>
            <a:t>: قصور كلي تجاه الظاهرة</a:t>
          </a:r>
          <a:endParaRPr lang="fr-FR" sz="1000" b="0" kern="1200">
            <a:latin typeface="Simplified Arabic" panose="02020603050405020304" pitchFamily="18" charset="-78"/>
            <a:cs typeface="Simplified Arabic" panose="02020603050405020304" pitchFamily="18" charset="-78"/>
          </a:endParaRPr>
        </a:p>
      </dsp:txBody>
      <dsp:txXfrm>
        <a:off x="2600981" y="2745821"/>
        <a:ext cx="2627983" cy="68912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441819-54B5-4CC3-B6D9-ABD3A12C0353}">
      <dsp:nvSpPr>
        <dsp:cNvPr id="0" name=""/>
        <dsp:cNvSpPr/>
      </dsp:nvSpPr>
      <dsp:spPr>
        <a:xfrm>
          <a:off x="1226998" y="495386"/>
          <a:ext cx="686472" cy="16995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b="0" kern="1200">
              <a:latin typeface="Simplified Arabic" panose="02020603050405020304" pitchFamily="18" charset="-78"/>
              <a:cs typeface="Simplified Arabic" panose="02020603050405020304" pitchFamily="18" charset="-78"/>
            </a:rPr>
            <a:t>الضعف</a:t>
          </a:r>
          <a:endParaRPr lang="fr-FR" sz="1200" b="0" kern="1200">
            <a:latin typeface="Simplified Arabic" panose="02020603050405020304" pitchFamily="18" charset="-78"/>
            <a:cs typeface="Simplified Arabic" panose="02020603050405020304" pitchFamily="18" charset="-78"/>
          </a:endParaRPr>
        </a:p>
      </dsp:txBody>
      <dsp:txXfrm>
        <a:off x="1226998" y="495386"/>
        <a:ext cx="686472" cy="169952"/>
      </dsp:txXfrm>
    </dsp:sp>
    <dsp:sp modelId="{A837F733-48B9-4AB5-BB62-9665B21FCBF1}">
      <dsp:nvSpPr>
        <dsp:cNvPr id="0" name=""/>
        <dsp:cNvSpPr/>
      </dsp:nvSpPr>
      <dsp:spPr>
        <a:xfrm>
          <a:off x="357234" y="230116"/>
          <a:ext cx="1450342" cy="1065645"/>
        </a:xfrm>
        <a:prstGeom prst="circularArrow">
          <a:avLst>
            <a:gd name="adj1" fmla="val 8247"/>
            <a:gd name="adj2" fmla="val 575960"/>
            <a:gd name="adj3" fmla="val 2699294"/>
            <a:gd name="adj4" fmla="val 131779"/>
            <a:gd name="adj5" fmla="val 9621"/>
          </a:avLst>
        </a:prstGeom>
        <a:solidFill>
          <a:schemeClr val="lt1"/>
        </a:solidFill>
        <a:ln w="25400" cap="flat" cmpd="sng" algn="ctr">
          <a:solidFill>
            <a:schemeClr val="accent6">
              <a:lumMod val="75000"/>
            </a:schemeClr>
          </a:solidFill>
          <a:prstDash val="solid"/>
        </a:ln>
        <a:effectLst/>
      </dsp:spPr>
      <dsp:style>
        <a:lnRef idx="2">
          <a:schemeClr val="dk1"/>
        </a:lnRef>
        <a:fillRef idx="1">
          <a:schemeClr val="lt1"/>
        </a:fillRef>
        <a:effectRef idx="0">
          <a:schemeClr val="dk1"/>
        </a:effectRef>
        <a:fontRef idx="minor">
          <a:schemeClr val="dk1"/>
        </a:fontRef>
      </dsp:style>
    </dsp:sp>
    <dsp:sp modelId="{409F75D1-3B08-4649-95F0-7FA5EF1AB191}">
      <dsp:nvSpPr>
        <dsp:cNvPr id="0" name=""/>
        <dsp:cNvSpPr/>
      </dsp:nvSpPr>
      <dsp:spPr>
        <a:xfrm>
          <a:off x="809847" y="1082041"/>
          <a:ext cx="556109" cy="18696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b="0" kern="1200">
              <a:latin typeface="Simplified Arabic" panose="02020603050405020304" pitchFamily="18" charset="-78"/>
              <a:cs typeface="Simplified Arabic" panose="02020603050405020304" pitchFamily="18" charset="-78"/>
            </a:rPr>
            <a:t>المرونة</a:t>
          </a:r>
          <a:endParaRPr lang="fr-FR" sz="2100" b="0" kern="1200">
            <a:latin typeface="Simplified Arabic" panose="02020603050405020304" pitchFamily="18" charset="-78"/>
            <a:cs typeface="Simplified Arabic" panose="02020603050405020304" pitchFamily="18" charset="-78"/>
          </a:endParaRPr>
        </a:p>
      </dsp:txBody>
      <dsp:txXfrm>
        <a:off x="809847" y="1082041"/>
        <a:ext cx="556109" cy="186969"/>
      </dsp:txXfrm>
    </dsp:sp>
    <dsp:sp modelId="{497F98C7-685A-4943-8256-48619A3DD0AF}">
      <dsp:nvSpPr>
        <dsp:cNvPr id="0" name=""/>
        <dsp:cNvSpPr/>
      </dsp:nvSpPr>
      <dsp:spPr>
        <a:xfrm>
          <a:off x="376107" y="66428"/>
          <a:ext cx="1220681" cy="1221864"/>
        </a:xfrm>
        <a:prstGeom prst="circularArrow">
          <a:avLst>
            <a:gd name="adj1" fmla="val 8247"/>
            <a:gd name="adj2" fmla="val 575960"/>
            <a:gd name="adj3" fmla="val 9195373"/>
            <a:gd name="adj4" fmla="val 6667894"/>
            <a:gd name="adj5" fmla="val 9621"/>
          </a:avLst>
        </a:prstGeom>
        <a:noFill/>
        <a:ln w="25400" cap="flat" cmpd="sng" algn="ctr">
          <a:solidFill>
            <a:schemeClr val="accent6">
              <a:lumMod val="75000"/>
            </a:schemeClr>
          </a:solidFill>
          <a:prstDash val="sysDash"/>
        </a:ln>
        <a:effectLst/>
      </dsp:spPr>
      <dsp:style>
        <a:lnRef idx="2">
          <a:scrgbClr r="0" g="0" b="0"/>
        </a:lnRef>
        <a:fillRef idx="1">
          <a:scrgbClr r="0" g="0" b="0"/>
        </a:fillRef>
        <a:effectRef idx="0">
          <a:scrgbClr r="0" g="0" b="0"/>
        </a:effectRef>
        <a:fontRef idx="minor">
          <a:schemeClr val="lt1"/>
        </a:fontRef>
      </dsp:style>
    </dsp:sp>
    <dsp:sp modelId="{18598B04-0693-4599-B107-311A6B811705}">
      <dsp:nvSpPr>
        <dsp:cNvPr id="0" name=""/>
        <dsp:cNvSpPr/>
      </dsp:nvSpPr>
      <dsp:spPr>
        <a:xfrm>
          <a:off x="252597" y="472765"/>
          <a:ext cx="559262" cy="2647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b="0" kern="1200">
              <a:latin typeface="Simplified Arabic" panose="02020603050405020304" pitchFamily="18" charset="-78"/>
              <a:cs typeface="Simplified Arabic" panose="02020603050405020304" pitchFamily="18" charset="-78"/>
            </a:rPr>
            <a:t>قدرة الاستجابة</a:t>
          </a:r>
          <a:endParaRPr lang="fr-FR" sz="1200" b="0" kern="1200">
            <a:latin typeface="Simplified Arabic" panose="02020603050405020304" pitchFamily="18" charset="-78"/>
            <a:cs typeface="Simplified Arabic" panose="02020603050405020304" pitchFamily="18" charset="-78"/>
          </a:endParaRPr>
        </a:p>
      </dsp:txBody>
      <dsp:txXfrm>
        <a:off x="252597" y="472765"/>
        <a:ext cx="559262" cy="264763"/>
      </dsp:txXfrm>
    </dsp:sp>
    <dsp:sp modelId="{6CB457F3-E549-42FA-8202-1CE8DB05BCA6}">
      <dsp:nvSpPr>
        <dsp:cNvPr id="0" name=""/>
        <dsp:cNvSpPr/>
      </dsp:nvSpPr>
      <dsp:spPr>
        <a:xfrm>
          <a:off x="347626" y="63540"/>
          <a:ext cx="1486622" cy="1310205"/>
        </a:xfrm>
        <a:prstGeom prst="circularArrow">
          <a:avLst>
            <a:gd name="adj1" fmla="val 8247"/>
            <a:gd name="adj2" fmla="val 575960"/>
            <a:gd name="adj3" fmla="val 19382363"/>
            <a:gd name="adj4" fmla="val 12605917"/>
            <a:gd name="adj5" fmla="val 9621"/>
          </a:avLst>
        </a:prstGeom>
        <a:noFill/>
        <a:ln w="25400" cap="flat" cmpd="sng" algn="ctr">
          <a:solidFill>
            <a:schemeClr val="accent6">
              <a:lumMod val="75000"/>
            </a:schemeClr>
          </a:solidFill>
          <a:prstDash val="solid"/>
        </a:ln>
        <a:effectLst/>
      </dsp:spPr>
      <dsp:style>
        <a:lnRef idx="2">
          <a:schemeClr val="dk1"/>
        </a:lnRef>
        <a:fillRef idx="1">
          <a:schemeClr val="lt1"/>
        </a:fillRef>
        <a:effectRef idx="0">
          <a:schemeClr val="dk1"/>
        </a:effectRef>
        <a:fontRef idx="minor">
          <a:schemeClr val="dk1"/>
        </a:fontRef>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B86E32-0D98-41FC-8D58-D27A492946D4}">
      <dsp:nvSpPr>
        <dsp:cNvPr id="0" name=""/>
        <dsp:cNvSpPr/>
      </dsp:nvSpPr>
      <dsp:spPr>
        <a:xfrm>
          <a:off x="1359607" y="810550"/>
          <a:ext cx="1016365" cy="967022"/>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bg1">
              <a:lumMod val="50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سمات المرونة المكانية</a:t>
          </a:r>
          <a:endParaRPr lang="fr-FR" sz="1200" kern="1200">
            <a:latin typeface="Simplified Arabic" panose="02020603050405020304" pitchFamily="18" charset="-78"/>
            <a:cs typeface="Simplified Arabic" panose="02020603050405020304" pitchFamily="18" charset="-78"/>
          </a:endParaRPr>
        </a:p>
      </dsp:txBody>
      <dsp:txXfrm>
        <a:off x="1508450" y="952167"/>
        <a:ext cx="718679" cy="683788"/>
      </dsp:txXfrm>
    </dsp:sp>
    <dsp:sp modelId="{A51737D9-DE0A-4234-A40D-C6A7AF3BC8CB}">
      <dsp:nvSpPr>
        <dsp:cNvPr id="0" name=""/>
        <dsp:cNvSpPr/>
      </dsp:nvSpPr>
      <dsp:spPr>
        <a:xfrm>
          <a:off x="2269661" y="1018916"/>
          <a:ext cx="586334" cy="554854"/>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bg1">
              <a:lumMod val="50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الكثافة</a:t>
          </a:r>
          <a:endParaRPr lang="fr-FR" sz="2000" kern="1200">
            <a:latin typeface="Simplified Arabic" panose="02020603050405020304" pitchFamily="18" charset="-78"/>
            <a:cs typeface="Simplified Arabic" panose="02020603050405020304" pitchFamily="18" charset="-78"/>
          </a:endParaRPr>
        </a:p>
      </dsp:txBody>
      <dsp:txXfrm>
        <a:off x="2355528" y="1100172"/>
        <a:ext cx="414600" cy="392342"/>
      </dsp:txXfrm>
    </dsp:sp>
    <dsp:sp modelId="{CF004879-B8D2-4A35-ADD8-0351B76D1732}">
      <dsp:nvSpPr>
        <dsp:cNvPr id="0" name=""/>
        <dsp:cNvSpPr/>
      </dsp:nvSpPr>
      <dsp:spPr>
        <a:xfrm>
          <a:off x="1534202" y="410007"/>
          <a:ext cx="654532" cy="545820"/>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bg1">
              <a:lumMod val="50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التنوع</a:t>
          </a:r>
          <a:endParaRPr lang="fr-FR" sz="2300" kern="1200">
            <a:latin typeface="Simplified Arabic" panose="02020603050405020304" pitchFamily="18" charset="-78"/>
            <a:cs typeface="Simplified Arabic" panose="02020603050405020304" pitchFamily="18" charset="-78"/>
          </a:endParaRPr>
        </a:p>
      </dsp:txBody>
      <dsp:txXfrm>
        <a:off x="1630056" y="489940"/>
        <a:ext cx="462824" cy="385954"/>
      </dsp:txXfrm>
    </dsp:sp>
    <dsp:sp modelId="{2D6062F3-8550-4E47-A62C-218C93394F97}">
      <dsp:nvSpPr>
        <dsp:cNvPr id="0" name=""/>
        <dsp:cNvSpPr/>
      </dsp:nvSpPr>
      <dsp:spPr>
        <a:xfrm>
          <a:off x="1558645" y="1637832"/>
          <a:ext cx="644973" cy="576454"/>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bg1">
              <a:lumMod val="50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الاتصال</a:t>
          </a:r>
          <a:endParaRPr lang="fr-FR" sz="1300" kern="1200">
            <a:latin typeface="Simplified Arabic" panose="02020603050405020304" pitchFamily="18" charset="-78"/>
            <a:cs typeface="Simplified Arabic" panose="02020603050405020304" pitchFamily="18" charset="-78"/>
          </a:endParaRPr>
        </a:p>
      </dsp:txBody>
      <dsp:txXfrm>
        <a:off x="1653099" y="1722252"/>
        <a:ext cx="456065" cy="407614"/>
      </dsp:txXfrm>
    </dsp:sp>
    <dsp:sp modelId="{DFF34F14-A949-47C8-B32E-2698D4745070}">
      <dsp:nvSpPr>
        <dsp:cNvPr id="0" name=""/>
        <dsp:cNvSpPr/>
      </dsp:nvSpPr>
      <dsp:spPr>
        <a:xfrm>
          <a:off x="863872" y="1011511"/>
          <a:ext cx="590398" cy="567704"/>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bg1">
              <a:lumMod val="50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التكرار</a:t>
          </a:r>
          <a:endParaRPr lang="fr-FR" sz="1500" kern="1200">
            <a:latin typeface="Simplified Arabic" panose="02020603050405020304" pitchFamily="18" charset="-78"/>
            <a:cs typeface="Simplified Arabic" panose="02020603050405020304" pitchFamily="18" charset="-78"/>
          </a:endParaRPr>
        </a:p>
      </dsp:txBody>
      <dsp:txXfrm>
        <a:off x="950334" y="1094649"/>
        <a:ext cx="417474" cy="401428"/>
      </dsp:txXfrm>
    </dsp:sp>
    <dsp:sp modelId="{F55AE759-A8B6-4169-A59C-70295D4C19C3}">
      <dsp:nvSpPr>
        <dsp:cNvPr id="0" name=""/>
        <dsp:cNvSpPr/>
      </dsp:nvSpPr>
      <dsp:spPr>
        <a:xfrm>
          <a:off x="1594881" y="68488"/>
          <a:ext cx="544850" cy="379396"/>
        </a:xfrm>
        <a:prstGeom prst="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bg1">
              <a:lumMod val="6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المرافق العامة</a:t>
          </a:r>
          <a:endParaRPr lang="fr-FR" sz="1200" kern="1200">
            <a:latin typeface="Simplified Arabic" panose="02020603050405020304" pitchFamily="18" charset="-78"/>
            <a:cs typeface="Simplified Arabic" panose="02020603050405020304" pitchFamily="18" charset="-78"/>
          </a:endParaRPr>
        </a:p>
      </dsp:txBody>
      <dsp:txXfrm>
        <a:off x="1594881" y="68488"/>
        <a:ext cx="544850" cy="379396"/>
      </dsp:txXfrm>
    </dsp:sp>
    <dsp:sp modelId="{8A8CDDF6-C63F-47C1-A542-06E4F8369F8C}">
      <dsp:nvSpPr>
        <dsp:cNvPr id="0" name=""/>
        <dsp:cNvSpPr/>
      </dsp:nvSpPr>
      <dsp:spPr>
        <a:xfrm>
          <a:off x="76893" y="1068936"/>
          <a:ext cx="836638" cy="454301"/>
        </a:xfrm>
        <a:prstGeom prst="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bg1">
              <a:lumMod val="6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endParaRPr lang="ar-DZ" sz="1200" kern="1200">
            <a:latin typeface="Simplified Arabic" panose="02020603050405020304" pitchFamily="18" charset="-78"/>
            <a:cs typeface="Simplified Arabic" panose="02020603050405020304" pitchFamily="18" charset="-78"/>
          </a:endParaRPr>
        </a:p>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تقاطعات شبكة الطرق</a:t>
          </a:r>
          <a:endParaRPr lang="fr-FR" sz="1200" kern="1200">
            <a:latin typeface="Simplified Arabic" panose="02020603050405020304" pitchFamily="18" charset="-78"/>
            <a:cs typeface="Simplified Arabic" panose="02020603050405020304" pitchFamily="18" charset="-78"/>
          </a:endParaRPr>
        </a:p>
        <a:p>
          <a:pPr lvl="0" algn="ctr" defTabSz="533400" rtl="1">
            <a:lnSpc>
              <a:spcPct val="90000"/>
            </a:lnSpc>
            <a:spcBef>
              <a:spcPct val="0"/>
            </a:spcBef>
            <a:spcAft>
              <a:spcPct val="35000"/>
            </a:spcAft>
          </a:pPr>
          <a:endParaRPr lang="fr-FR" sz="1200" kern="1200">
            <a:latin typeface="Simplified Arabic" panose="02020603050405020304" pitchFamily="18" charset="-78"/>
            <a:cs typeface="Simplified Arabic" panose="02020603050405020304" pitchFamily="18" charset="-78"/>
          </a:endParaRPr>
        </a:p>
      </dsp:txBody>
      <dsp:txXfrm>
        <a:off x="76893" y="1068936"/>
        <a:ext cx="836638" cy="454301"/>
      </dsp:txXfrm>
    </dsp:sp>
    <dsp:sp modelId="{3BE0F788-8EE2-485D-AE45-ECF2C1382EB1}">
      <dsp:nvSpPr>
        <dsp:cNvPr id="0" name=""/>
        <dsp:cNvSpPr/>
      </dsp:nvSpPr>
      <dsp:spPr>
        <a:xfrm>
          <a:off x="1587256" y="2138428"/>
          <a:ext cx="595455" cy="416239"/>
        </a:xfrm>
        <a:prstGeom prst="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bg1">
              <a:lumMod val="6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عمق الطرق</a:t>
          </a:r>
          <a:endParaRPr lang="fr-FR" sz="1200" kern="1200">
            <a:latin typeface="Simplified Arabic" panose="02020603050405020304" pitchFamily="18" charset="-78"/>
            <a:cs typeface="Simplified Arabic" panose="02020603050405020304" pitchFamily="18" charset="-78"/>
          </a:endParaRPr>
        </a:p>
      </dsp:txBody>
      <dsp:txXfrm>
        <a:off x="1587256" y="2138428"/>
        <a:ext cx="595455" cy="416239"/>
      </dsp:txXfrm>
    </dsp:sp>
    <dsp:sp modelId="{0553C873-B2B4-409D-8CD6-DBED47064CD1}">
      <dsp:nvSpPr>
        <dsp:cNvPr id="0" name=""/>
        <dsp:cNvSpPr/>
      </dsp:nvSpPr>
      <dsp:spPr>
        <a:xfrm>
          <a:off x="2795581" y="1073336"/>
          <a:ext cx="924940" cy="451608"/>
        </a:xfrm>
        <a:prstGeom prst="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bg1">
              <a:lumMod val="6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15240" tIns="15240" rIns="15240" bIns="1524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*مخزون المسكن </a:t>
          </a:r>
        </a:p>
      </dsp:txBody>
      <dsp:txXfrm>
        <a:off x="2795581" y="1073336"/>
        <a:ext cx="924940" cy="45160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1AF7DC-4C61-4738-BDD7-60C1E632DC49}">
      <dsp:nvSpPr>
        <dsp:cNvPr id="0" name=""/>
        <dsp:cNvSpPr/>
      </dsp:nvSpPr>
      <dsp:spPr>
        <a:xfrm>
          <a:off x="1285721" y="345880"/>
          <a:ext cx="1678641" cy="2224663"/>
        </a:xfrm>
        <a:prstGeom prst="triangle">
          <a:avLst/>
        </a:prstGeom>
        <a:blipFill rotWithShape="0">
          <a:blip xmlns:r="http://schemas.openxmlformats.org/officeDocument/2006/relationships" r:embed="rId1"/>
          <a:stretch>
            <a:fillRect/>
          </a:stretch>
        </a:blipFill>
        <a:ln w="6350" cap="flat" cmpd="sng" algn="ctr">
          <a:solidFill>
            <a:schemeClr val="dk1"/>
          </a:solidFill>
          <a:prstDash val="dash"/>
        </a:ln>
        <a:effectLst/>
      </dsp:spPr>
      <dsp:style>
        <a:lnRef idx="2">
          <a:schemeClr val="dk1"/>
        </a:lnRef>
        <a:fillRef idx="1">
          <a:schemeClr val="lt1"/>
        </a:fillRef>
        <a:effectRef idx="0">
          <a:schemeClr val="dk1"/>
        </a:effectRef>
        <a:fontRef idx="minor">
          <a:schemeClr val="dk1"/>
        </a:fontRef>
      </dsp:style>
    </dsp:sp>
    <dsp:sp modelId="{73797847-36D3-44ED-8DE0-995D213A5304}">
      <dsp:nvSpPr>
        <dsp:cNvPr id="0" name=""/>
        <dsp:cNvSpPr/>
      </dsp:nvSpPr>
      <dsp:spPr>
        <a:xfrm>
          <a:off x="2264964" y="1901743"/>
          <a:ext cx="546344" cy="188338"/>
        </a:xfrm>
        <a:prstGeom prst="roundRect">
          <a:avLst/>
        </a:prstGeom>
        <a:solidFill>
          <a:schemeClr val="bg1">
            <a:lumMod val="75000"/>
            <a:alpha val="90000"/>
          </a:schemeClr>
        </a:solidFill>
        <a:ln w="2540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الكثافة</a:t>
          </a:r>
          <a:endParaRPr lang="fr-FR" sz="500" kern="1200">
            <a:solidFill>
              <a:sysClr val="windowText" lastClr="000000"/>
            </a:solidFill>
          </a:endParaRPr>
        </a:p>
      </dsp:txBody>
      <dsp:txXfrm>
        <a:off x="2274158" y="1910937"/>
        <a:ext cx="527956" cy="169950"/>
      </dsp:txXfrm>
    </dsp:sp>
    <dsp:sp modelId="{4667463F-009E-4256-838A-9A79E870E774}">
      <dsp:nvSpPr>
        <dsp:cNvPr id="0" name=""/>
        <dsp:cNvSpPr/>
      </dsp:nvSpPr>
      <dsp:spPr>
        <a:xfrm flipH="1">
          <a:off x="1979908" y="910093"/>
          <a:ext cx="472834" cy="207172"/>
        </a:xfrm>
        <a:prstGeom prst="roundRect">
          <a:avLst/>
        </a:prstGeom>
        <a:solidFill>
          <a:schemeClr val="bg1">
            <a:lumMod val="75000"/>
            <a:alpha val="90000"/>
          </a:schemeClr>
        </a:solidFill>
        <a:ln w="2540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التنوع</a:t>
          </a:r>
          <a:endParaRPr lang="fr-FR" sz="500" kern="1200">
            <a:solidFill>
              <a:sysClr val="windowText" lastClr="000000"/>
            </a:solidFill>
          </a:endParaRPr>
        </a:p>
      </dsp:txBody>
      <dsp:txXfrm>
        <a:off x="1990021" y="920206"/>
        <a:ext cx="452608" cy="186946"/>
      </dsp:txXfrm>
    </dsp:sp>
    <dsp:sp modelId="{6395A356-6F24-41E3-9829-18BB315A57E1}">
      <dsp:nvSpPr>
        <dsp:cNvPr id="0" name=""/>
        <dsp:cNvSpPr/>
      </dsp:nvSpPr>
      <dsp:spPr>
        <a:xfrm>
          <a:off x="2125874" y="1258060"/>
          <a:ext cx="456113" cy="188338"/>
        </a:xfrm>
        <a:prstGeom prst="roundRect">
          <a:avLst/>
        </a:prstGeom>
        <a:solidFill>
          <a:schemeClr val="bg1">
            <a:lumMod val="75000"/>
            <a:alpha val="90000"/>
          </a:schemeClr>
        </a:solidFill>
        <a:ln w="2540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التكرار</a:t>
          </a:r>
          <a:endParaRPr lang="fr-FR" sz="500" kern="1200">
            <a:solidFill>
              <a:sysClr val="windowText" lastClr="000000"/>
            </a:solidFill>
          </a:endParaRPr>
        </a:p>
      </dsp:txBody>
      <dsp:txXfrm>
        <a:off x="2135068" y="1267254"/>
        <a:ext cx="437725" cy="169950"/>
      </dsp:txXfrm>
    </dsp:sp>
    <dsp:sp modelId="{2CE29AAF-9B28-4278-BE1A-E32D81EFEDCC}">
      <dsp:nvSpPr>
        <dsp:cNvPr id="0" name=""/>
        <dsp:cNvSpPr/>
      </dsp:nvSpPr>
      <dsp:spPr>
        <a:xfrm>
          <a:off x="1449557" y="2324148"/>
          <a:ext cx="1351759" cy="171216"/>
        </a:xfrm>
        <a:prstGeom prst="round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سمات المرونة المكانية</a:t>
          </a:r>
          <a:endParaRPr lang="fr-FR" sz="1200" b="1" kern="1200">
            <a:solidFill>
              <a:sysClr val="windowText" lastClr="000000"/>
            </a:solidFill>
            <a:latin typeface="Simplified Arabic" panose="02020603050405020304" pitchFamily="18" charset="-78"/>
            <a:cs typeface="Simplified Arabic" panose="02020603050405020304" pitchFamily="18" charset="-78"/>
          </a:endParaRPr>
        </a:p>
      </dsp:txBody>
      <dsp:txXfrm>
        <a:off x="1457915" y="2332506"/>
        <a:ext cx="1335043" cy="154500"/>
      </dsp:txXfrm>
    </dsp:sp>
    <dsp:sp modelId="{21529CD5-1D49-4794-A675-CEB6EC8F99AD}">
      <dsp:nvSpPr>
        <dsp:cNvPr id="0" name=""/>
        <dsp:cNvSpPr/>
      </dsp:nvSpPr>
      <dsp:spPr>
        <a:xfrm rot="10800000" flipV="1">
          <a:off x="3770393" y="2338656"/>
          <a:ext cx="963682" cy="171216"/>
        </a:xfrm>
        <a:prstGeom prst="round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العوامل المكانية</a:t>
          </a:r>
          <a:endParaRPr lang="fr-FR" sz="1200" b="1" kern="1200">
            <a:solidFill>
              <a:sysClr val="windowText" lastClr="000000"/>
            </a:solidFill>
            <a:latin typeface="Simplified Arabic" panose="02020603050405020304" pitchFamily="18" charset="-78"/>
            <a:cs typeface="Simplified Arabic" panose="02020603050405020304" pitchFamily="18" charset="-78"/>
          </a:endParaRPr>
        </a:p>
      </dsp:txBody>
      <dsp:txXfrm rot="-10800000">
        <a:off x="3778751" y="2347014"/>
        <a:ext cx="946966" cy="154500"/>
      </dsp:txXfrm>
    </dsp:sp>
    <dsp:sp modelId="{1B8CB791-E5C8-4D6E-9B66-1C07AD1344B4}">
      <dsp:nvSpPr>
        <dsp:cNvPr id="0" name=""/>
        <dsp:cNvSpPr/>
      </dsp:nvSpPr>
      <dsp:spPr>
        <a:xfrm rot="5400000">
          <a:off x="2862406" y="1337177"/>
          <a:ext cx="254013" cy="116943"/>
        </a:xfrm>
        <a:prstGeom prst="mathPlus">
          <a:avLst/>
        </a:prstGeom>
        <a:solidFill>
          <a:schemeClr val="bg1">
            <a:alpha val="90000"/>
          </a:schemeClr>
        </a:solidFill>
        <a:ln w="635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fr-FR" sz="500" kern="1200"/>
        </a:p>
      </dsp:txBody>
      <dsp:txXfrm>
        <a:off x="2896075" y="1381896"/>
        <a:ext cx="186675" cy="27505"/>
      </dsp:txXfrm>
    </dsp:sp>
    <dsp:sp modelId="{0B183182-2FA8-4FE6-B08A-0B3304850CFE}">
      <dsp:nvSpPr>
        <dsp:cNvPr id="0" name=""/>
        <dsp:cNvSpPr/>
      </dsp:nvSpPr>
      <dsp:spPr>
        <a:xfrm>
          <a:off x="3212772" y="1255281"/>
          <a:ext cx="2156556" cy="227889"/>
        </a:xfrm>
        <a:prstGeom prst="ellipse">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SA" sz="1200" b="1" kern="1200">
              <a:solidFill>
                <a:schemeClr val="tx1"/>
              </a:solidFill>
            </a:rPr>
            <a:t>استعمال</a:t>
          </a:r>
          <a:r>
            <a:rPr lang="ar-SA" sz="1200" kern="1200">
              <a:solidFill>
                <a:schemeClr val="tx1"/>
              </a:solidFill>
            </a:rPr>
            <a:t> </a:t>
          </a:r>
          <a:r>
            <a:rPr lang="ar-DZ" sz="1200" b="1" kern="1200">
              <a:solidFill>
                <a:sysClr val="windowText" lastClr="000000"/>
              </a:solidFill>
              <a:latin typeface="Simplified Arabic" panose="02020603050405020304" pitchFamily="18" charset="-78"/>
              <a:cs typeface="Simplified Arabic" panose="02020603050405020304" pitchFamily="18" charset="-78"/>
            </a:rPr>
            <a:t>الارض الحضرية</a:t>
          </a:r>
          <a:endParaRPr lang="fr-FR" sz="1200" b="1" kern="1200">
            <a:solidFill>
              <a:sysClr val="windowText" lastClr="000000"/>
            </a:solidFill>
            <a:latin typeface="Simplified Arabic" panose="02020603050405020304" pitchFamily="18" charset="-78"/>
            <a:cs typeface="Simplified Arabic" panose="02020603050405020304" pitchFamily="18" charset="-78"/>
          </a:endParaRPr>
        </a:p>
      </dsp:txBody>
      <dsp:txXfrm>
        <a:off x="3528592" y="1288655"/>
        <a:ext cx="1524916" cy="161141"/>
      </dsp:txXfrm>
    </dsp:sp>
    <dsp:sp modelId="{FF7165DC-1B1B-4CF0-8FC5-84239D22E924}">
      <dsp:nvSpPr>
        <dsp:cNvPr id="0" name=""/>
        <dsp:cNvSpPr/>
      </dsp:nvSpPr>
      <dsp:spPr>
        <a:xfrm>
          <a:off x="2147372" y="1613017"/>
          <a:ext cx="543378" cy="171216"/>
        </a:xfrm>
        <a:prstGeom prst="roundRect">
          <a:avLst/>
        </a:prstGeom>
        <a:solidFill>
          <a:schemeClr val="bg1">
            <a:lumMod val="75000"/>
            <a:alpha val="90000"/>
          </a:schemeClr>
        </a:solidFill>
        <a:ln w="25400" cap="flat" cmpd="sng" algn="ctr">
          <a:solidFill>
            <a:schemeClr val="bg1">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الاتصال</a:t>
          </a:r>
          <a:endParaRPr lang="fr-FR" sz="500" kern="1200">
            <a:solidFill>
              <a:sysClr val="windowText" lastClr="000000"/>
            </a:solidFill>
          </a:endParaRPr>
        </a:p>
      </dsp:txBody>
      <dsp:txXfrm>
        <a:off x="2155730" y="1621375"/>
        <a:ext cx="526662" cy="154500"/>
      </dsp:txXfrm>
    </dsp:sp>
    <dsp:sp modelId="{C09EB180-AA17-49C9-9ED5-8DE38E121CB3}">
      <dsp:nvSpPr>
        <dsp:cNvPr id="0" name=""/>
        <dsp:cNvSpPr/>
      </dsp:nvSpPr>
      <dsp:spPr>
        <a:xfrm>
          <a:off x="4485158" y="2009016"/>
          <a:ext cx="786922" cy="128637"/>
        </a:xfrm>
        <a:prstGeom prst="round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شبكة التنقل</a:t>
          </a:r>
          <a:endParaRPr lang="fr-FR" sz="1200" b="1" kern="1200">
            <a:solidFill>
              <a:sysClr val="windowText" lastClr="000000"/>
            </a:solidFill>
            <a:latin typeface="Simplified Arabic" panose="02020603050405020304" pitchFamily="18" charset="-78"/>
            <a:cs typeface="Simplified Arabic" panose="02020603050405020304" pitchFamily="18" charset="-78"/>
          </a:endParaRPr>
        </a:p>
      </dsp:txBody>
      <dsp:txXfrm>
        <a:off x="4491438" y="2015296"/>
        <a:ext cx="774362" cy="116077"/>
      </dsp:txXfrm>
    </dsp:sp>
    <dsp:sp modelId="{79885C82-B3CE-4A79-9B1F-9B66272060A6}">
      <dsp:nvSpPr>
        <dsp:cNvPr id="0" name=""/>
        <dsp:cNvSpPr/>
      </dsp:nvSpPr>
      <dsp:spPr>
        <a:xfrm rot="7795153">
          <a:off x="3644441" y="1769225"/>
          <a:ext cx="449027" cy="17382"/>
        </a:xfrm>
        <a:prstGeom prst="notchedRightArrow">
          <a:avLst/>
        </a:prstGeom>
        <a:solidFill>
          <a:schemeClr val="bg1">
            <a:lumMod val="50000"/>
            <a:alpha val="9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fr-FR" sz="500" kern="1200"/>
        </a:p>
      </dsp:txBody>
      <dsp:txXfrm>
        <a:off x="3648786" y="1773571"/>
        <a:ext cx="440336" cy="8691"/>
      </dsp:txXfrm>
    </dsp:sp>
    <dsp:sp modelId="{109F40BD-38D8-4FA5-8A94-72C12991089C}">
      <dsp:nvSpPr>
        <dsp:cNvPr id="0" name=""/>
        <dsp:cNvSpPr/>
      </dsp:nvSpPr>
      <dsp:spPr>
        <a:xfrm rot="13604606" flipH="1">
          <a:off x="4345143" y="1771186"/>
          <a:ext cx="485354" cy="17382"/>
        </a:xfrm>
        <a:prstGeom prst="notchedRightArrow">
          <a:avLst/>
        </a:prstGeom>
        <a:solidFill>
          <a:schemeClr val="bg1">
            <a:lumMod val="50000"/>
            <a:alpha val="9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fr-FR" sz="500" kern="1200"/>
        </a:p>
      </dsp:txBody>
      <dsp:txXfrm>
        <a:off x="4349489" y="1775532"/>
        <a:ext cx="476663" cy="8691"/>
      </dsp:txXfrm>
    </dsp:sp>
    <dsp:sp modelId="{51332F50-5A78-4054-9A53-F96F93FE2739}">
      <dsp:nvSpPr>
        <dsp:cNvPr id="0" name=""/>
        <dsp:cNvSpPr/>
      </dsp:nvSpPr>
      <dsp:spPr>
        <a:xfrm rot="18691126" flipV="1">
          <a:off x="4309413" y="972615"/>
          <a:ext cx="478347" cy="17382"/>
        </a:xfrm>
        <a:prstGeom prst="notchedRightArrow">
          <a:avLst/>
        </a:prstGeom>
        <a:solidFill>
          <a:schemeClr val="bg1">
            <a:lumMod val="50000"/>
            <a:alpha val="9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4313758" y="976960"/>
        <a:ext cx="469656" cy="8691"/>
      </dsp:txXfrm>
    </dsp:sp>
    <dsp:sp modelId="{47068904-0F66-4609-8153-AB353004CB0A}">
      <dsp:nvSpPr>
        <dsp:cNvPr id="0" name=""/>
        <dsp:cNvSpPr/>
      </dsp:nvSpPr>
      <dsp:spPr>
        <a:xfrm rot="2747771" flipH="1" flipV="1">
          <a:off x="3547273" y="981102"/>
          <a:ext cx="472933" cy="19121"/>
        </a:xfrm>
        <a:prstGeom prst="notchedRightArrow">
          <a:avLst/>
        </a:prstGeom>
        <a:solidFill>
          <a:schemeClr val="bg1">
            <a:lumMod val="50000"/>
          </a:schemeClr>
        </a:solidFill>
        <a:ln w="25400" cap="flat" cmpd="sng" algn="ctr">
          <a:solidFill>
            <a:schemeClr val="bg1">
              <a:lumMod val="5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3552053" y="985882"/>
        <a:ext cx="463373" cy="9561"/>
      </dsp:txXfrm>
    </dsp:sp>
    <dsp:sp modelId="{42E77EEE-1A3E-46F6-AEE4-D7B1861803A8}">
      <dsp:nvSpPr>
        <dsp:cNvPr id="0" name=""/>
        <dsp:cNvSpPr/>
      </dsp:nvSpPr>
      <dsp:spPr>
        <a:xfrm>
          <a:off x="3101112" y="577044"/>
          <a:ext cx="935177" cy="128637"/>
        </a:xfrm>
        <a:prstGeom prst="round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مخزون المسكن</a:t>
          </a:r>
          <a:endParaRPr lang="fr-FR" sz="900" b="1" kern="1200">
            <a:solidFill>
              <a:sysClr val="windowText" lastClr="000000"/>
            </a:solidFill>
            <a:latin typeface="Simplified Arabic" panose="02020603050405020304" pitchFamily="18" charset="-78"/>
            <a:cs typeface="Simplified Arabic" panose="02020603050405020304" pitchFamily="18" charset="-78"/>
          </a:endParaRPr>
        </a:p>
      </dsp:txBody>
      <dsp:txXfrm>
        <a:off x="3107392" y="583324"/>
        <a:ext cx="922617" cy="116077"/>
      </dsp:txXfrm>
    </dsp:sp>
    <dsp:sp modelId="{359778CA-505F-40AF-B3B7-61207F57A333}">
      <dsp:nvSpPr>
        <dsp:cNvPr id="0" name=""/>
        <dsp:cNvSpPr/>
      </dsp:nvSpPr>
      <dsp:spPr>
        <a:xfrm>
          <a:off x="3150975" y="2007408"/>
          <a:ext cx="856392" cy="128637"/>
        </a:xfrm>
        <a:prstGeom prst="round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المرافق والخدمات </a:t>
          </a:r>
          <a:endParaRPr lang="fr-FR" sz="500" b="1" kern="1200">
            <a:solidFill>
              <a:sysClr val="windowText" lastClr="000000"/>
            </a:solidFill>
            <a:latin typeface="Simplified Arabic" panose="02020603050405020304" pitchFamily="18" charset="-78"/>
            <a:cs typeface="Simplified Arabic" panose="02020603050405020304" pitchFamily="18" charset="-78"/>
          </a:endParaRPr>
        </a:p>
      </dsp:txBody>
      <dsp:txXfrm>
        <a:off x="3157255" y="2013688"/>
        <a:ext cx="843832" cy="116077"/>
      </dsp:txXfrm>
    </dsp:sp>
    <dsp:sp modelId="{AD03626A-AF6E-45CD-AB1B-3C72636E5E5A}">
      <dsp:nvSpPr>
        <dsp:cNvPr id="0" name=""/>
        <dsp:cNvSpPr/>
      </dsp:nvSpPr>
      <dsp:spPr>
        <a:xfrm>
          <a:off x="4230000" y="585360"/>
          <a:ext cx="1122468" cy="116943"/>
        </a:xfrm>
        <a:prstGeom prst="roundRect">
          <a:avLst/>
        </a:prstGeom>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المساحات</a:t>
          </a:r>
          <a:r>
            <a:rPr lang="ar-DZ" sz="1200" b="1" kern="1200"/>
            <a:t> </a:t>
          </a:r>
          <a:r>
            <a:rPr lang="ar-DZ" sz="1200" b="0" kern="1200">
              <a:latin typeface="Simplified Arabic" panose="02020603050405020304" pitchFamily="18" charset="-78"/>
              <a:cs typeface="Simplified Arabic" panose="02020603050405020304" pitchFamily="18" charset="-78"/>
            </a:rPr>
            <a:t>ال</a:t>
          </a:r>
          <a:r>
            <a:rPr lang="ar-DZ" sz="1200" b="0" kern="1200">
              <a:solidFill>
                <a:sysClr val="windowText" lastClr="000000"/>
              </a:solidFill>
              <a:latin typeface="Simplified Arabic" panose="02020603050405020304" pitchFamily="18" charset="-78"/>
              <a:cs typeface="Simplified Arabic" panose="02020603050405020304" pitchFamily="18" charset="-78"/>
            </a:rPr>
            <a:t>مفتوحة</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dsp:txBody>
      <dsp:txXfrm>
        <a:off x="4235709" y="591069"/>
        <a:ext cx="1111050" cy="105525"/>
      </dsp:txXfrm>
    </dsp:sp>
    <dsp:sp modelId="{5043320E-DD84-4A83-89E2-DDEE4CBE032E}">
      <dsp:nvSpPr>
        <dsp:cNvPr id="0" name=""/>
        <dsp:cNvSpPr/>
      </dsp:nvSpPr>
      <dsp:spPr>
        <a:xfrm>
          <a:off x="1540654" y="2741482"/>
          <a:ext cx="3821846" cy="141501"/>
        </a:xfrm>
        <a:prstGeom prst="roundRect">
          <a:avLst/>
        </a:prstGeom>
        <a:solidFill>
          <a:schemeClr val="bg1">
            <a:lumMod val="85000"/>
          </a:schemeClr>
        </a:solidFill>
        <a:ln w="6350" cap="flat" cmpd="sng" algn="ctr">
          <a:solidFill>
            <a:schemeClr val="bg1">
              <a:lumMod val="8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ar-DZ" sz="1000" b="1" kern="1200">
              <a:solidFill>
                <a:sysClr val="windowText" lastClr="000000"/>
              </a:solidFill>
              <a:latin typeface="Simplified Arabic" panose="02020603050405020304" pitchFamily="18" charset="-78"/>
              <a:cs typeface="Simplified Arabic" panose="02020603050405020304" pitchFamily="18" charset="-78"/>
            </a:rPr>
            <a:t>العوامل المكانية التي تؤثر على المرونة الحضرية بناء على سمات المرونة المكانية</a:t>
          </a:r>
          <a:endParaRPr lang="fr-FR" sz="1000" b="1" kern="1200">
            <a:solidFill>
              <a:sysClr val="windowText" lastClr="000000"/>
            </a:solidFill>
            <a:latin typeface="Simplified Arabic" panose="02020603050405020304" pitchFamily="18" charset="-78"/>
            <a:cs typeface="Simplified Arabic" panose="02020603050405020304" pitchFamily="18" charset="-78"/>
          </a:endParaRPr>
        </a:p>
      </dsp:txBody>
      <dsp:txXfrm>
        <a:off x="1547562" y="2748390"/>
        <a:ext cx="3808030" cy="127685"/>
      </dsp:txXfrm>
    </dsp:sp>
    <dsp:sp modelId="{ADEC167F-603A-43D9-BAAF-FCF23E416D98}">
      <dsp:nvSpPr>
        <dsp:cNvPr id="0" name=""/>
        <dsp:cNvSpPr/>
      </dsp:nvSpPr>
      <dsp:spPr>
        <a:xfrm rot="10800000">
          <a:off x="1237345" y="1395573"/>
          <a:ext cx="189121" cy="96647"/>
        </a:xfrm>
        <a:prstGeom prst="rightArrow">
          <a:avLst/>
        </a:prstGeom>
        <a:solidFill>
          <a:schemeClr val="bg1">
            <a:alpha val="90000"/>
          </a:schemeClr>
        </a:solidFill>
        <a:ln w="6350" cap="flat" cmpd="sng" algn="ctr">
          <a:solidFill>
            <a:schemeClr val="tx1"/>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222250">
            <a:lnSpc>
              <a:spcPct val="90000"/>
            </a:lnSpc>
            <a:spcBef>
              <a:spcPct val="0"/>
            </a:spcBef>
            <a:spcAft>
              <a:spcPct val="35000"/>
            </a:spcAft>
          </a:pPr>
          <a:r>
            <a:rPr lang="ar-DZ" sz="500" kern="1200"/>
            <a:t>+</a:t>
          </a:r>
          <a:endParaRPr lang="fr-FR" sz="500" kern="1200"/>
        </a:p>
      </dsp:txBody>
      <dsp:txXfrm>
        <a:off x="1261507" y="1419735"/>
        <a:ext cx="164959" cy="48323"/>
      </dsp:txXfrm>
    </dsp:sp>
    <dsp:sp modelId="{44572DE2-0292-4B04-B2D1-63B03F4C6EF1}">
      <dsp:nvSpPr>
        <dsp:cNvPr id="0" name=""/>
        <dsp:cNvSpPr/>
      </dsp:nvSpPr>
      <dsp:spPr>
        <a:xfrm>
          <a:off x="61580" y="1345270"/>
          <a:ext cx="1053356" cy="188338"/>
        </a:xfrm>
        <a:prstGeom prst="round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ar-DZ" sz="1200" b="1" kern="1200">
              <a:solidFill>
                <a:sysClr val="windowText" lastClr="000000"/>
              </a:solidFill>
              <a:latin typeface="Simplified Arabic" panose="02020603050405020304" pitchFamily="18" charset="-78"/>
              <a:cs typeface="Simplified Arabic" panose="02020603050405020304" pitchFamily="18" charset="-78"/>
            </a:rPr>
            <a:t>المرونة الحضرية</a:t>
          </a:r>
          <a:endParaRPr lang="fr-FR" sz="1200" b="1" kern="1200">
            <a:solidFill>
              <a:sysClr val="windowText" lastClr="000000"/>
            </a:solidFill>
            <a:latin typeface="Simplified Arabic" panose="02020603050405020304" pitchFamily="18" charset="-78"/>
            <a:cs typeface="Simplified Arabic" panose="02020603050405020304" pitchFamily="18" charset="-78"/>
          </a:endParaRPr>
        </a:p>
      </dsp:txBody>
      <dsp:txXfrm>
        <a:off x="70774" y="1354464"/>
        <a:ext cx="1034968" cy="16995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626D5F-37AE-4A4A-A3B3-5FD71D18B5F2}">
      <dsp:nvSpPr>
        <dsp:cNvPr id="0" name=""/>
        <dsp:cNvSpPr/>
      </dsp:nvSpPr>
      <dsp:spPr>
        <a:xfrm>
          <a:off x="3269979" y="1391800"/>
          <a:ext cx="1397129" cy="1142793"/>
        </a:xfrm>
        <a:prstGeom prst="roundRect">
          <a:avLst>
            <a:gd name="adj" fmla="val 10000"/>
          </a:avLst>
        </a:prstGeom>
        <a:solidFill>
          <a:schemeClr val="accent5">
            <a:lumMod val="60000"/>
            <a:lumOff val="4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t" anchorCtr="0">
          <a:noAutofit/>
        </a:bodyPr>
        <a:lstStyle/>
        <a:p>
          <a:pPr marL="57150" lvl="1" indent="-57150" algn="r" defTabSz="444500" rtl="1">
            <a:lnSpc>
              <a:spcPct val="90000"/>
            </a:lnSpc>
            <a:spcBef>
              <a:spcPct val="0"/>
            </a:spcBef>
            <a:spcAft>
              <a:spcPct val="15000"/>
            </a:spcAft>
            <a:buChar char="••"/>
          </a:pPr>
          <a:r>
            <a:rPr lang="ar-DZ" sz="1000" b="0" kern="1200">
              <a:latin typeface="Simplified Arabic" panose="02020603050405020304" pitchFamily="18" charset="-78"/>
              <a:cs typeface="Simplified Arabic" panose="02020603050405020304" pitchFamily="18" charset="-78"/>
            </a:rPr>
            <a:t>الراسمال الاجتماعي</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dsp:txBody>
      <dsp:txXfrm>
        <a:off x="3714221" y="1702601"/>
        <a:ext cx="927784" cy="806889"/>
      </dsp:txXfrm>
    </dsp:sp>
    <dsp:sp modelId="{60C92B5A-F8AE-4521-8DF3-2AF3410242A2}">
      <dsp:nvSpPr>
        <dsp:cNvPr id="0" name=""/>
        <dsp:cNvSpPr/>
      </dsp:nvSpPr>
      <dsp:spPr>
        <a:xfrm>
          <a:off x="215914" y="1400661"/>
          <a:ext cx="1389999" cy="1136957"/>
        </a:xfrm>
        <a:prstGeom prst="roundRect">
          <a:avLst>
            <a:gd name="adj" fmla="val 10000"/>
          </a:avLst>
        </a:prstGeom>
        <a:solidFill>
          <a:schemeClr val="accent3">
            <a:lumMod val="60000"/>
            <a:lumOff val="4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t" anchorCtr="0">
          <a:noAutofit/>
        </a:bodyPr>
        <a:lstStyle/>
        <a:p>
          <a:pPr marL="57150" lvl="1" indent="-57150" algn="r" defTabSz="444500" rtl="1">
            <a:lnSpc>
              <a:spcPct val="90000"/>
            </a:lnSpc>
            <a:spcBef>
              <a:spcPct val="0"/>
            </a:spcBef>
            <a:spcAft>
              <a:spcPct val="15000"/>
            </a:spcAft>
            <a:buChar char="••"/>
          </a:pPr>
          <a:r>
            <a:rPr lang="ar-DZ" sz="1000" b="0" kern="1200">
              <a:latin typeface="Simplified Arabic" panose="02020603050405020304" pitchFamily="18" charset="-78"/>
              <a:cs typeface="Simplified Arabic" panose="02020603050405020304" pitchFamily="18" charset="-78"/>
            </a:rPr>
            <a:t>الراسمال الاجتماعي</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dsp:txBody>
      <dsp:txXfrm>
        <a:off x="240889" y="1709875"/>
        <a:ext cx="923049" cy="802768"/>
      </dsp:txXfrm>
    </dsp:sp>
    <dsp:sp modelId="{6A1D0904-0A7A-41E3-BAC7-4F8DA3A2AD97}">
      <dsp:nvSpPr>
        <dsp:cNvPr id="0" name=""/>
        <dsp:cNvSpPr/>
      </dsp:nvSpPr>
      <dsp:spPr>
        <a:xfrm>
          <a:off x="3292024" y="50025"/>
          <a:ext cx="1372977" cy="939467"/>
        </a:xfrm>
        <a:prstGeom prst="roundRect">
          <a:avLst>
            <a:gd name="adj" fmla="val 10000"/>
          </a:avLst>
        </a:prstGeom>
        <a:solidFill>
          <a:schemeClr val="bg2">
            <a:lumMod val="5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t" anchorCtr="0">
          <a:noAutofit/>
        </a:bodyPr>
        <a:lstStyle/>
        <a:p>
          <a:pPr marL="57150" lvl="1" indent="-57150" algn="r" defTabSz="444500" rtl="1">
            <a:lnSpc>
              <a:spcPct val="90000"/>
            </a:lnSpc>
            <a:spcBef>
              <a:spcPct val="0"/>
            </a:spcBef>
            <a:spcAft>
              <a:spcPct val="15000"/>
            </a:spcAft>
            <a:buChar char="••"/>
          </a:pPr>
          <a:r>
            <a:rPr lang="ar-DZ" sz="1000" b="0" kern="1200">
              <a:latin typeface="Simplified Arabic" panose="02020603050405020304" pitchFamily="18" charset="-78"/>
              <a:cs typeface="Simplified Arabic" panose="02020603050405020304" pitchFamily="18" charset="-78"/>
            </a:rPr>
            <a:t>الراسمال الاجتماعي</a:t>
          </a:r>
          <a:endParaRPr lang="fr-FR" sz="1000" b="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dsp:txBody>
      <dsp:txXfrm>
        <a:off x="3724554" y="70662"/>
        <a:ext cx="919810" cy="663326"/>
      </dsp:txXfrm>
    </dsp:sp>
    <dsp:sp modelId="{2B7F78BF-CE55-4DF8-BA9E-8D7BE0F1BA89}">
      <dsp:nvSpPr>
        <dsp:cNvPr id="0" name=""/>
        <dsp:cNvSpPr/>
      </dsp:nvSpPr>
      <dsp:spPr>
        <a:xfrm>
          <a:off x="210791" y="33857"/>
          <a:ext cx="1372056" cy="938781"/>
        </a:xfrm>
        <a:prstGeom prst="roundRect">
          <a:avLst>
            <a:gd name="adj" fmla="val 10000"/>
          </a:avLst>
        </a:prstGeom>
        <a:solidFill>
          <a:schemeClr val="accent6">
            <a:lumMod val="60000"/>
            <a:lumOff val="4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t" anchorCtr="0">
          <a:noAutofit/>
        </a:bodyPr>
        <a:lstStyle/>
        <a:p>
          <a:pPr marL="57150" lvl="1" indent="-57150" algn="r" defTabSz="444500" rtl="1">
            <a:lnSpc>
              <a:spcPct val="90000"/>
            </a:lnSpc>
            <a:spcBef>
              <a:spcPct val="0"/>
            </a:spcBef>
            <a:spcAft>
              <a:spcPct val="15000"/>
            </a:spcAft>
            <a:buChar char="••"/>
          </a:pPr>
          <a:r>
            <a:rPr lang="ar-DZ" sz="1000" b="0" kern="1200">
              <a:latin typeface="Simplified Arabic" panose="02020603050405020304" pitchFamily="18" charset="-78"/>
              <a:cs typeface="Simplified Arabic" panose="02020603050405020304" pitchFamily="18" charset="-78"/>
            </a:rPr>
            <a:t>الراسمال الاجتماعي</a:t>
          </a:r>
          <a:endParaRPr lang="fr-FR" sz="1000" kern="1200">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الاقتصادي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الراسمال الفيزيائي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r>
            <a:rPr lang="ar-DZ" sz="1000" b="0" kern="1200">
              <a:solidFill>
                <a:sysClr val="windowText" lastClr="000000"/>
              </a:solidFill>
              <a:latin typeface="Simplified Arabic" panose="02020603050405020304" pitchFamily="18" charset="-78"/>
              <a:cs typeface="Simplified Arabic" panose="02020603050405020304" pitchFamily="18" charset="-78"/>
            </a:rPr>
            <a:t>الرسمال البشري</a:t>
          </a: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a:p>
          <a:pPr marL="57150" lvl="1" indent="-57150" algn="r" defTabSz="444500" rtl="1">
            <a:lnSpc>
              <a:spcPct val="90000"/>
            </a:lnSpc>
            <a:spcBef>
              <a:spcPct val="0"/>
            </a:spcBef>
            <a:spcAft>
              <a:spcPct val="15000"/>
            </a:spcAft>
            <a:buChar char="••"/>
          </a:pPr>
          <a:endParaRPr lang="fr-FR" sz="1000" b="0" kern="1200">
            <a:solidFill>
              <a:sysClr val="windowText" lastClr="000000"/>
            </a:solidFill>
            <a:latin typeface="Simplified Arabic" panose="02020603050405020304" pitchFamily="18" charset="-78"/>
            <a:cs typeface="Simplified Arabic" panose="02020603050405020304" pitchFamily="18" charset="-78"/>
          </a:endParaRPr>
        </a:p>
      </dsp:txBody>
      <dsp:txXfrm>
        <a:off x="231413" y="54479"/>
        <a:ext cx="919195" cy="662841"/>
      </dsp:txXfrm>
    </dsp:sp>
    <dsp:sp modelId="{DE41B026-4E87-45E8-A700-09EB8C93194B}">
      <dsp:nvSpPr>
        <dsp:cNvPr id="0" name=""/>
        <dsp:cNvSpPr/>
      </dsp:nvSpPr>
      <dsp:spPr>
        <a:xfrm>
          <a:off x="1156693" y="43167"/>
          <a:ext cx="1338298" cy="1216634"/>
        </a:xfrm>
        <a:prstGeom prst="pieWedge">
          <a:avLst/>
        </a:prstGeom>
        <a:solidFill>
          <a:schemeClr val="accent6">
            <a:lumMod val="60000"/>
            <a:lumOff val="4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الاستجابة للكوارث</a:t>
          </a:r>
          <a:endParaRPr lang="fr-FR" sz="1200" kern="1200">
            <a:latin typeface="Simplified Arabic" panose="02020603050405020304" pitchFamily="18" charset="-78"/>
            <a:cs typeface="Simplified Arabic" panose="02020603050405020304" pitchFamily="18" charset="-78"/>
          </a:endParaRPr>
        </a:p>
      </dsp:txBody>
      <dsp:txXfrm>
        <a:off x="1548671" y="399511"/>
        <a:ext cx="946320" cy="860290"/>
      </dsp:txXfrm>
    </dsp:sp>
    <dsp:sp modelId="{C412F3DA-306A-44C5-B1D7-CCE0512F0716}">
      <dsp:nvSpPr>
        <dsp:cNvPr id="0" name=""/>
        <dsp:cNvSpPr/>
      </dsp:nvSpPr>
      <dsp:spPr>
        <a:xfrm rot="5400000">
          <a:off x="2598139" y="-17664"/>
          <a:ext cx="1216634" cy="1338298"/>
        </a:xfrm>
        <a:prstGeom prst="pieWedge">
          <a:avLst/>
        </a:prstGeom>
        <a:solidFill>
          <a:schemeClr val="bg2">
            <a:lumMod val="5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التحضير للكوارث</a:t>
          </a:r>
          <a:endParaRPr lang="fr-FR" sz="1200" kern="1200">
            <a:latin typeface="Simplified Arabic" panose="02020603050405020304" pitchFamily="18" charset="-78"/>
            <a:cs typeface="Simplified Arabic" panose="02020603050405020304" pitchFamily="18" charset="-78"/>
          </a:endParaRPr>
        </a:p>
      </dsp:txBody>
      <dsp:txXfrm rot="-5400000">
        <a:off x="2537307" y="399512"/>
        <a:ext cx="946320" cy="860290"/>
      </dsp:txXfrm>
    </dsp:sp>
    <dsp:sp modelId="{E479C272-FB59-440C-A6D5-AFF4F215B8DB}">
      <dsp:nvSpPr>
        <dsp:cNvPr id="0" name=""/>
        <dsp:cNvSpPr/>
      </dsp:nvSpPr>
      <dsp:spPr>
        <a:xfrm rot="10800000">
          <a:off x="2537307" y="1307382"/>
          <a:ext cx="1338298" cy="1216634"/>
        </a:xfrm>
        <a:prstGeom prst="pieWedge">
          <a:avLst/>
        </a:prstGeom>
        <a:solidFill>
          <a:schemeClr val="accent5">
            <a:lumMod val="60000"/>
            <a:lumOff val="4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التخفيف من حدة الكوارث</a:t>
          </a:r>
        </a:p>
      </dsp:txBody>
      <dsp:txXfrm rot="10800000">
        <a:off x="2537307" y="1307382"/>
        <a:ext cx="946320" cy="860290"/>
      </dsp:txXfrm>
    </dsp:sp>
    <dsp:sp modelId="{B7D3C0DE-EF46-42F7-921D-A18952AABBEB}">
      <dsp:nvSpPr>
        <dsp:cNvPr id="0" name=""/>
        <dsp:cNvSpPr/>
      </dsp:nvSpPr>
      <dsp:spPr>
        <a:xfrm rot="16200000">
          <a:off x="1217524" y="1246551"/>
          <a:ext cx="1216634" cy="1338298"/>
        </a:xfrm>
        <a:prstGeom prst="pieWedge">
          <a:avLst/>
        </a:prstGeom>
        <a:solidFill>
          <a:schemeClr val="accent3">
            <a:lumMod val="60000"/>
            <a:lumOff val="40000"/>
          </a:schemeClr>
        </a:soli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85344" tIns="85344" rIns="85344" bIns="85344"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التعافي من الكوارث    </a:t>
          </a:r>
        </a:p>
      </dsp:txBody>
      <dsp:txXfrm rot="5400000">
        <a:off x="1548670" y="1307383"/>
        <a:ext cx="946320" cy="860290"/>
      </dsp:txXfrm>
    </dsp:sp>
    <dsp:sp modelId="{EB590BCD-E22C-47E0-9669-ED80A7A45050}">
      <dsp:nvSpPr>
        <dsp:cNvPr id="0" name=""/>
        <dsp:cNvSpPr/>
      </dsp:nvSpPr>
      <dsp:spPr>
        <a:xfrm flipH="1">
          <a:off x="2189564" y="877752"/>
          <a:ext cx="624941" cy="588272"/>
        </a:xfrm>
        <a:prstGeom prst="circularArrow">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AFF89BDD-5816-4EBA-AF7B-AD260CF94213}">
      <dsp:nvSpPr>
        <dsp:cNvPr id="0" name=""/>
        <dsp:cNvSpPr/>
      </dsp:nvSpPr>
      <dsp:spPr>
        <a:xfrm rot="10800000" flipH="1">
          <a:off x="2191911" y="1049902"/>
          <a:ext cx="644161" cy="588272"/>
        </a:xfrm>
        <a:prstGeom prst="circularArrow">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866E7F-CC52-412C-96BD-FF8C018BB29F}">
      <dsp:nvSpPr>
        <dsp:cNvPr id="0" name=""/>
        <dsp:cNvSpPr/>
      </dsp:nvSpPr>
      <dsp:spPr>
        <a:xfrm>
          <a:off x="3275476" y="1215784"/>
          <a:ext cx="797909" cy="398954"/>
        </a:xfrm>
        <a:prstGeom prst="roundRect">
          <a:avLst>
            <a:gd name="adj" fmla="val 10000"/>
          </a:avLst>
        </a:prstGeom>
        <a:solidFill>
          <a:schemeClr val="tx2">
            <a:lumMod val="40000"/>
            <a:lumOff val="6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الهدف</a:t>
          </a:r>
          <a:endParaRPr lang="fr-FR" sz="1100" kern="1200">
            <a:latin typeface="Simplified Arabic" panose="02020603050405020304" pitchFamily="18" charset="-78"/>
            <a:cs typeface="Simplified Arabic" panose="02020603050405020304" pitchFamily="18" charset="-78"/>
          </a:endParaRPr>
        </a:p>
      </dsp:txBody>
      <dsp:txXfrm>
        <a:off x="3287161" y="1227469"/>
        <a:ext cx="774539" cy="375584"/>
      </dsp:txXfrm>
    </dsp:sp>
    <dsp:sp modelId="{393E9FCB-42FA-44B4-AB51-0333FA8FB01C}">
      <dsp:nvSpPr>
        <dsp:cNvPr id="0" name=""/>
        <dsp:cNvSpPr/>
      </dsp:nvSpPr>
      <dsp:spPr>
        <a:xfrm rot="14787633">
          <a:off x="2837783" y="1113373"/>
          <a:ext cx="625552" cy="30278"/>
        </a:xfrm>
        <a:custGeom>
          <a:avLst/>
          <a:gdLst/>
          <a:ahLst/>
          <a:cxnLst/>
          <a:rect l="0" t="0" r="0" b="0"/>
          <a:pathLst>
            <a:path>
              <a:moveTo>
                <a:pt x="0" y="15139"/>
              </a:moveTo>
              <a:lnTo>
                <a:pt x="625552" y="15139"/>
              </a:lnTo>
            </a:path>
          </a:pathLst>
        </a:custGeom>
        <a:noFill/>
        <a:ln w="6350"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3134920" y="1112873"/>
        <a:ext cx="31277" cy="31277"/>
      </dsp:txXfrm>
    </dsp:sp>
    <dsp:sp modelId="{1BEB59D0-2DCB-4A0A-9719-C6CAA8CB535E}">
      <dsp:nvSpPr>
        <dsp:cNvPr id="0" name=""/>
        <dsp:cNvSpPr/>
      </dsp:nvSpPr>
      <dsp:spPr>
        <a:xfrm>
          <a:off x="2227733" y="642286"/>
          <a:ext cx="797909" cy="398954"/>
        </a:xfrm>
        <a:prstGeom prst="roundRect">
          <a:avLst>
            <a:gd name="adj" fmla="val 10000"/>
          </a:avLst>
        </a:prstGeom>
        <a:solidFill>
          <a:schemeClr val="accent5">
            <a:lumMod val="40000"/>
            <a:lumOff val="6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مؤشر1</a:t>
          </a:r>
          <a:endParaRPr lang="fr-FR" sz="1300" kern="1200">
            <a:latin typeface="Simplified Arabic" panose="02020603050405020304" pitchFamily="18" charset="-78"/>
            <a:cs typeface="Simplified Arabic" panose="02020603050405020304" pitchFamily="18" charset="-78"/>
          </a:endParaRPr>
        </a:p>
      </dsp:txBody>
      <dsp:txXfrm>
        <a:off x="2239418" y="653971"/>
        <a:ext cx="774539" cy="375584"/>
      </dsp:txXfrm>
    </dsp:sp>
    <dsp:sp modelId="{B1B1EFF6-9D9A-4056-AF7A-F12C13C184B4}">
      <dsp:nvSpPr>
        <dsp:cNvPr id="0" name=""/>
        <dsp:cNvSpPr/>
      </dsp:nvSpPr>
      <dsp:spPr>
        <a:xfrm rot="12985582">
          <a:off x="1879143" y="711925"/>
          <a:ext cx="386330" cy="30278"/>
        </a:xfrm>
        <a:custGeom>
          <a:avLst/>
          <a:gdLst/>
          <a:ahLst/>
          <a:cxnLst/>
          <a:rect l="0" t="0" r="0" b="0"/>
          <a:pathLst>
            <a:path>
              <a:moveTo>
                <a:pt x="0" y="15139"/>
              </a:moveTo>
              <a:lnTo>
                <a:pt x="386330" y="15139"/>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062650" y="717406"/>
        <a:ext cx="19316" cy="19316"/>
      </dsp:txXfrm>
    </dsp:sp>
    <dsp:sp modelId="{DC9D02AE-E664-438E-AF2F-2F86ABE2C04E}">
      <dsp:nvSpPr>
        <dsp:cNvPr id="0" name=""/>
        <dsp:cNvSpPr/>
      </dsp:nvSpPr>
      <dsp:spPr>
        <a:xfrm>
          <a:off x="1118974" y="412887"/>
          <a:ext cx="797909" cy="398954"/>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مؤشر فرعي1</a:t>
          </a:r>
          <a:endParaRPr lang="fr-FR" sz="1700" kern="1200">
            <a:latin typeface="Simplified Arabic" panose="02020603050405020304" pitchFamily="18" charset="-78"/>
            <a:cs typeface="Simplified Arabic" panose="02020603050405020304" pitchFamily="18" charset="-78"/>
          </a:endParaRPr>
        </a:p>
      </dsp:txBody>
      <dsp:txXfrm>
        <a:off x="1130659" y="424572"/>
        <a:ext cx="774539" cy="375584"/>
      </dsp:txXfrm>
    </dsp:sp>
    <dsp:sp modelId="{C2479319-AEE8-4446-A3C0-3F94E0D49B39}">
      <dsp:nvSpPr>
        <dsp:cNvPr id="0" name=""/>
        <dsp:cNvSpPr/>
      </dsp:nvSpPr>
      <dsp:spPr>
        <a:xfrm rot="13390636">
          <a:off x="829108" y="482526"/>
          <a:ext cx="335252" cy="30278"/>
        </a:xfrm>
        <a:custGeom>
          <a:avLst/>
          <a:gdLst/>
          <a:ahLst/>
          <a:cxnLst/>
          <a:rect l="0" t="0" r="0" b="0"/>
          <a:pathLst>
            <a:path>
              <a:moveTo>
                <a:pt x="0" y="15139"/>
              </a:moveTo>
              <a:lnTo>
                <a:pt x="335252" y="15139"/>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988353" y="489284"/>
        <a:ext cx="16762" cy="16762"/>
      </dsp:txXfrm>
    </dsp:sp>
    <dsp:sp modelId="{C3BA534A-C721-4460-8507-91027E05F39D}">
      <dsp:nvSpPr>
        <dsp:cNvPr id="0" name=""/>
        <dsp:cNvSpPr/>
      </dsp:nvSpPr>
      <dsp:spPr>
        <a:xfrm>
          <a:off x="76585" y="183488"/>
          <a:ext cx="797909" cy="398954"/>
        </a:xfrm>
        <a:prstGeom prst="roundRect">
          <a:avLst>
            <a:gd name="adj" fmla="val 10000"/>
          </a:avLst>
        </a:prstGeom>
        <a:solidFill>
          <a:schemeClr val="accent1">
            <a:lumMod val="20000"/>
            <a:lumOff val="8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متغير1</a:t>
          </a:r>
          <a:endParaRPr lang="fr-FR" sz="1700" kern="1200">
            <a:latin typeface="Simplified Arabic" panose="02020603050405020304" pitchFamily="18" charset="-78"/>
            <a:cs typeface="Simplified Arabic" panose="02020603050405020304" pitchFamily="18" charset="-78"/>
          </a:endParaRPr>
        </a:p>
      </dsp:txBody>
      <dsp:txXfrm>
        <a:off x="88270" y="195173"/>
        <a:ext cx="774539" cy="375584"/>
      </dsp:txXfrm>
    </dsp:sp>
    <dsp:sp modelId="{519580A6-8702-4D96-8B9D-3B042C57ED3D}">
      <dsp:nvSpPr>
        <dsp:cNvPr id="0" name=""/>
        <dsp:cNvSpPr/>
      </dsp:nvSpPr>
      <dsp:spPr>
        <a:xfrm rot="8248847">
          <a:off x="824171" y="711925"/>
          <a:ext cx="339429" cy="30278"/>
        </a:xfrm>
        <a:custGeom>
          <a:avLst/>
          <a:gdLst/>
          <a:ahLst/>
          <a:cxnLst/>
          <a:rect l="0" t="0" r="0" b="0"/>
          <a:pathLst>
            <a:path>
              <a:moveTo>
                <a:pt x="0" y="15139"/>
              </a:moveTo>
              <a:lnTo>
                <a:pt x="339429" y="15139"/>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985400" y="718578"/>
        <a:ext cx="16971" cy="16971"/>
      </dsp:txXfrm>
    </dsp:sp>
    <dsp:sp modelId="{423827F0-948C-4C3D-8018-038C029F006E}">
      <dsp:nvSpPr>
        <dsp:cNvPr id="0" name=""/>
        <dsp:cNvSpPr/>
      </dsp:nvSpPr>
      <dsp:spPr>
        <a:xfrm>
          <a:off x="70888" y="642286"/>
          <a:ext cx="797909" cy="398954"/>
        </a:xfrm>
        <a:prstGeom prst="roundRect">
          <a:avLst>
            <a:gd name="adj" fmla="val 10000"/>
          </a:avLst>
        </a:prstGeom>
        <a:solidFill>
          <a:schemeClr val="accent1">
            <a:lumMod val="20000"/>
            <a:lumOff val="8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متغير2</a:t>
          </a:r>
          <a:endParaRPr lang="fr-FR" sz="1500" kern="1200">
            <a:latin typeface="Simplified Arabic" panose="02020603050405020304" pitchFamily="18" charset="-78"/>
            <a:cs typeface="Simplified Arabic" panose="02020603050405020304" pitchFamily="18" charset="-78"/>
          </a:endParaRPr>
        </a:p>
      </dsp:txBody>
      <dsp:txXfrm>
        <a:off x="82573" y="653971"/>
        <a:ext cx="774539" cy="375584"/>
      </dsp:txXfrm>
    </dsp:sp>
    <dsp:sp modelId="{03D252E5-BF43-4639-8379-76DFB3A7296F}">
      <dsp:nvSpPr>
        <dsp:cNvPr id="0" name=""/>
        <dsp:cNvSpPr/>
      </dsp:nvSpPr>
      <dsp:spPr>
        <a:xfrm rot="8599746">
          <a:off x="1881632" y="941324"/>
          <a:ext cx="384112" cy="30278"/>
        </a:xfrm>
        <a:custGeom>
          <a:avLst/>
          <a:gdLst/>
          <a:ahLst/>
          <a:cxnLst/>
          <a:rect l="0" t="0" r="0" b="0"/>
          <a:pathLst>
            <a:path>
              <a:moveTo>
                <a:pt x="0" y="15139"/>
              </a:moveTo>
              <a:lnTo>
                <a:pt x="384112" y="15139"/>
              </a:lnTo>
            </a:path>
          </a:pathLst>
        </a:custGeom>
        <a:noFill/>
        <a:ln w="635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064086" y="946860"/>
        <a:ext cx="19205" cy="19205"/>
      </dsp:txXfrm>
    </dsp:sp>
    <dsp:sp modelId="{A0796474-E3E5-4B23-A740-13DFFA5DF39D}">
      <dsp:nvSpPr>
        <dsp:cNvPr id="0" name=""/>
        <dsp:cNvSpPr/>
      </dsp:nvSpPr>
      <dsp:spPr>
        <a:xfrm>
          <a:off x="1121735" y="871685"/>
          <a:ext cx="797909" cy="398954"/>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مؤشر فرعي2</a:t>
          </a:r>
          <a:endParaRPr lang="fr-FR" sz="1700" kern="1200">
            <a:latin typeface="Simplified Arabic" panose="02020603050405020304" pitchFamily="18" charset="-78"/>
            <a:cs typeface="Simplified Arabic" panose="02020603050405020304" pitchFamily="18" charset="-78"/>
          </a:endParaRPr>
        </a:p>
      </dsp:txBody>
      <dsp:txXfrm>
        <a:off x="1133420" y="883370"/>
        <a:ext cx="774539" cy="375584"/>
      </dsp:txXfrm>
    </dsp:sp>
    <dsp:sp modelId="{C9A9C598-67A1-4098-9623-510FFA3A8475}">
      <dsp:nvSpPr>
        <dsp:cNvPr id="0" name=""/>
        <dsp:cNvSpPr/>
      </dsp:nvSpPr>
      <dsp:spPr>
        <a:xfrm rot="9348690">
          <a:off x="3007832" y="1457472"/>
          <a:ext cx="279932" cy="30278"/>
        </a:xfrm>
        <a:custGeom>
          <a:avLst/>
          <a:gdLst/>
          <a:ahLst/>
          <a:cxnLst/>
          <a:rect l="0" t="0" r="0" b="0"/>
          <a:pathLst>
            <a:path>
              <a:moveTo>
                <a:pt x="0" y="15139"/>
              </a:moveTo>
              <a:lnTo>
                <a:pt x="279932" y="15139"/>
              </a:lnTo>
            </a:path>
          </a:pathLst>
        </a:custGeom>
        <a:noFill/>
        <a:ln w="6350"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3140800" y="1465612"/>
        <a:ext cx="13996" cy="13996"/>
      </dsp:txXfrm>
    </dsp:sp>
    <dsp:sp modelId="{78338AC3-4C95-4C5B-BA6C-CF06AF4FBEEA}">
      <dsp:nvSpPr>
        <dsp:cNvPr id="0" name=""/>
        <dsp:cNvSpPr/>
      </dsp:nvSpPr>
      <dsp:spPr>
        <a:xfrm>
          <a:off x="2222212" y="1330483"/>
          <a:ext cx="797909" cy="398954"/>
        </a:xfrm>
        <a:prstGeom prst="roundRect">
          <a:avLst>
            <a:gd name="adj" fmla="val 10000"/>
          </a:avLst>
        </a:prstGeom>
        <a:solidFill>
          <a:schemeClr val="accent5">
            <a:lumMod val="40000"/>
            <a:lumOff val="6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مؤشر2</a:t>
          </a:r>
          <a:endParaRPr lang="fr-FR" sz="1200" kern="1200">
            <a:latin typeface="Simplified Arabic" panose="02020603050405020304" pitchFamily="18" charset="-78"/>
            <a:cs typeface="Simplified Arabic" panose="02020603050405020304" pitchFamily="18" charset="-78"/>
          </a:endParaRPr>
        </a:p>
      </dsp:txBody>
      <dsp:txXfrm>
        <a:off x="2233897" y="1342168"/>
        <a:ext cx="774539" cy="375584"/>
      </dsp:txXfrm>
    </dsp:sp>
    <dsp:sp modelId="{46F32E19-C1E5-4FF7-A907-51D6E126DD5E}">
      <dsp:nvSpPr>
        <dsp:cNvPr id="0" name=""/>
        <dsp:cNvSpPr/>
      </dsp:nvSpPr>
      <dsp:spPr>
        <a:xfrm rot="10800000">
          <a:off x="1916868" y="1514821"/>
          <a:ext cx="305343" cy="30278"/>
        </a:xfrm>
        <a:custGeom>
          <a:avLst/>
          <a:gdLst/>
          <a:ahLst/>
          <a:cxnLst/>
          <a:rect l="0" t="0" r="0" b="0"/>
          <a:pathLst>
            <a:path>
              <a:moveTo>
                <a:pt x="0" y="15139"/>
              </a:moveTo>
              <a:lnTo>
                <a:pt x="305343" y="15139"/>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061906" y="1522327"/>
        <a:ext cx="15267" cy="15267"/>
      </dsp:txXfrm>
    </dsp:sp>
    <dsp:sp modelId="{7B08BC9A-60EF-4F50-81CA-4C01F392A13C}">
      <dsp:nvSpPr>
        <dsp:cNvPr id="0" name=""/>
        <dsp:cNvSpPr/>
      </dsp:nvSpPr>
      <dsp:spPr>
        <a:xfrm>
          <a:off x="1118958" y="1330483"/>
          <a:ext cx="797909" cy="398954"/>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kern="1200">
              <a:latin typeface="Simplified Arabic" panose="02020603050405020304" pitchFamily="18" charset="-78"/>
              <a:cs typeface="Simplified Arabic" panose="02020603050405020304" pitchFamily="18" charset="-78"/>
            </a:rPr>
            <a:t>مؤشر فرعي1</a:t>
          </a:r>
          <a:endParaRPr lang="fr-FR" sz="1400" kern="1200">
            <a:solidFill>
              <a:sysClr val="windowText" lastClr="000000"/>
            </a:solidFill>
            <a:latin typeface="Simplified Arabic" panose="02020603050405020304" pitchFamily="18" charset="-78"/>
            <a:cs typeface="Simplified Arabic" panose="02020603050405020304" pitchFamily="18" charset="-78"/>
          </a:endParaRPr>
        </a:p>
      </dsp:txBody>
      <dsp:txXfrm>
        <a:off x="1130643" y="1342168"/>
        <a:ext cx="774539" cy="375584"/>
      </dsp:txXfrm>
    </dsp:sp>
    <dsp:sp modelId="{2CA34F35-94AF-4376-A36C-D3060B6AA474}">
      <dsp:nvSpPr>
        <dsp:cNvPr id="0" name=""/>
        <dsp:cNvSpPr/>
      </dsp:nvSpPr>
      <dsp:spPr>
        <a:xfrm rot="10800000">
          <a:off x="868798" y="1514821"/>
          <a:ext cx="250160" cy="30278"/>
        </a:xfrm>
        <a:custGeom>
          <a:avLst/>
          <a:gdLst/>
          <a:ahLst/>
          <a:cxnLst/>
          <a:rect l="0" t="0" r="0" b="0"/>
          <a:pathLst>
            <a:path>
              <a:moveTo>
                <a:pt x="0" y="15139"/>
              </a:moveTo>
              <a:lnTo>
                <a:pt x="250160" y="15139"/>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987624" y="1523706"/>
        <a:ext cx="12508" cy="12508"/>
      </dsp:txXfrm>
    </dsp:sp>
    <dsp:sp modelId="{F0AE7E35-3F18-45EB-B04F-975B962392F7}">
      <dsp:nvSpPr>
        <dsp:cNvPr id="0" name=""/>
        <dsp:cNvSpPr/>
      </dsp:nvSpPr>
      <dsp:spPr>
        <a:xfrm>
          <a:off x="70888" y="1330483"/>
          <a:ext cx="797909" cy="398954"/>
        </a:xfrm>
        <a:prstGeom prst="roundRect">
          <a:avLst>
            <a:gd name="adj" fmla="val 10000"/>
          </a:avLst>
        </a:prstGeom>
        <a:solidFill>
          <a:schemeClr val="accent1">
            <a:lumMod val="20000"/>
            <a:lumOff val="8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kern="1200">
              <a:latin typeface="Simplified Arabic" panose="02020603050405020304" pitchFamily="18" charset="-78"/>
              <a:cs typeface="Simplified Arabic" panose="02020603050405020304" pitchFamily="18" charset="-78"/>
            </a:rPr>
            <a:t>متغير1</a:t>
          </a:r>
          <a:endParaRPr lang="fr-FR" sz="1400" kern="1200"/>
        </a:p>
      </dsp:txBody>
      <dsp:txXfrm>
        <a:off x="82573" y="1342168"/>
        <a:ext cx="774539" cy="375584"/>
      </dsp:txXfrm>
    </dsp:sp>
    <dsp:sp modelId="{C1F9FE51-24DE-4657-942C-7BD1CAEB48A3}">
      <dsp:nvSpPr>
        <dsp:cNvPr id="0" name=""/>
        <dsp:cNvSpPr/>
      </dsp:nvSpPr>
      <dsp:spPr>
        <a:xfrm rot="6798352">
          <a:off x="2839723" y="1686871"/>
          <a:ext cx="624448" cy="30278"/>
        </a:xfrm>
        <a:custGeom>
          <a:avLst/>
          <a:gdLst/>
          <a:ahLst/>
          <a:cxnLst/>
          <a:rect l="0" t="0" r="0" b="0"/>
          <a:pathLst>
            <a:path>
              <a:moveTo>
                <a:pt x="0" y="15139"/>
              </a:moveTo>
              <a:lnTo>
                <a:pt x="624448" y="15139"/>
              </a:lnTo>
            </a:path>
          </a:pathLst>
        </a:custGeom>
        <a:noFill/>
        <a:ln w="6350"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3136336" y="1686398"/>
        <a:ext cx="31222" cy="31222"/>
      </dsp:txXfrm>
    </dsp:sp>
    <dsp:sp modelId="{C93F1079-4D05-4148-B46D-22C5D3C60A8F}">
      <dsp:nvSpPr>
        <dsp:cNvPr id="0" name=""/>
        <dsp:cNvSpPr/>
      </dsp:nvSpPr>
      <dsp:spPr>
        <a:xfrm>
          <a:off x="2230510" y="1789281"/>
          <a:ext cx="797909" cy="398954"/>
        </a:xfrm>
        <a:prstGeom prst="roundRect">
          <a:avLst>
            <a:gd name="adj" fmla="val 10000"/>
          </a:avLst>
        </a:prstGeom>
        <a:solidFill>
          <a:schemeClr val="accent5">
            <a:lumMod val="40000"/>
            <a:lumOff val="6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مؤشر1</a:t>
          </a:r>
          <a:endParaRPr lang="fr-FR" sz="1700" kern="1200">
            <a:latin typeface="Simplified Arabic" panose="02020603050405020304" pitchFamily="18" charset="-78"/>
            <a:cs typeface="Simplified Arabic" panose="02020603050405020304" pitchFamily="18" charset="-78"/>
          </a:endParaRPr>
        </a:p>
      </dsp:txBody>
      <dsp:txXfrm>
        <a:off x="2242195" y="1800966"/>
        <a:ext cx="774539" cy="375584"/>
      </dsp:txXfrm>
    </dsp:sp>
    <dsp:sp modelId="{671DA1D1-B247-46D1-B94D-252A170ED781}">
      <dsp:nvSpPr>
        <dsp:cNvPr id="0" name=""/>
        <dsp:cNvSpPr/>
      </dsp:nvSpPr>
      <dsp:spPr>
        <a:xfrm rot="10800000">
          <a:off x="1919644" y="1973619"/>
          <a:ext cx="310865" cy="30278"/>
        </a:xfrm>
        <a:custGeom>
          <a:avLst/>
          <a:gdLst/>
          <a:ahLst/>
          <a:cxnLst/>
          <a:rect l="0" t="0" r="0" b="0"/>
          <a:pathLst>
            <a:path>
              <a:moveTo>
                <a:pt x="0" y="15139"/>
              </a:moveTo>
              <a:lnTo>
                <a:pt x="310865" y="15139"/>
              </a:lnTo>
            </a:path>
          </a:pathLst>
        </a:custGeom>
        <a:noFill/>
        <a:ln w="9525"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0800000">
        <a:off x="2067305" y="1980987"/>
        <a:ext cx="15543" cy="15543"/>
      </dsp:txXfrm>
    </dsp:sp>
    <dsp:sp modelId="{9F9FBBE0-8056-40A6-A4A7-B02D75B3C537}">
      <dsp:nvSpPr>
        <dsp:cNvPr id="0" name=""/>
        <dsp:cNvSpPr/>
      </dsp:nvSpPr>
      <dsp:spPr>
        <a:xfrm>
          <a:off x="1121735" y="1789281"/>
          <a:ext cx="797909" cy="398954"/>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ar-DZ" sz="1200" kern="1200">
              <a:latin typeface="Simplified Arabic" panose="02020603050405020304" pitchFamily="18" charset="-78"/>
              <a:cs typeface="Simplified Arabic" panose="02020603050405020304" pitchFamily="18" charset="-78"/>
            </a:rPr>
            <a:t>مؤشر فرعي1</a:t>
          </a:r>
          <a:endParaRPr lang="fr-FR" sz="1700" kern="1200">
            <a:latin typeface="Simplified Arabic" panose="02020603050405020304" pitchFamily="18" charset="-78"/>
            <a:cs typeface="Simplified Arabic" panose="02020603050405020304" pitchFamily="18" charset="-78"/>
          </a:endParaRPr>
        </a:p>
      </dsp:txBody>
      <dsp:txXfrm>
        <a:off x="1133420" y="1800966"/>
        <a:ext cx="774539" cy="37558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65B313-44D7-470F-AAE1-AE21AFAAF1F1}">
      <dsp:nvSpPr>
        <dsp:cNvPr id="0" name=""/>
        <dsp:cNvSpPr/>
      </dsp:nvSpPr>
      <dsp:spPr>
        <a:xfrm>
          <a:off x="51742" y="89680"/>
          <a:ext cx="1704753" cy="714303"/>
        </a:xfrm>
        <a:prstGeom prst="roundRect">
          <a:avLst/>
        </a:prstGeom>
        <a:solidFill>
          <a:schemeClr val="tx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F78DD1E-2FC2-4A79-9778-63B117AEE955}">
      <dsp:nvSpPr>
        <dsp:cNvPr id="0" name=""/>
        <dsp:cNvSpPr/>
      </dsp:nvSpPr>
      <dsp:spPr>
        <a:xfrm>
          <a:off x="51745" y="70560"/>
          <a:ext cx="1773599" cy="64742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rtl="1">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متوسط الأضرار السنوية التي لحقت بالممتلكات بسبب الكوارث الطبيعية خلال السنوات العشر الماضية</a:t>
          </a:r>
          <a:endParaRPr lang="fr-FR" sz="1100" kern="1200">
            <a:latin typeface="Simplified Arabic" panose="02020603050405020304" pitchFamily="18" charset="-78"/>
            <a:cs typeface="Simplified Arabic" panose="02020603050405020304" pitchFamily="18" charset="-78"/>
          </a:endParaRPr>
        </a:p>
      </dsp:txBody>
      <dsp:txXfrm>
        <a:off x="51745" y="70560"/>
        <a:ext cx="1773599" cy="647428"/>
      </dsp:txXfrm>
    </dsp:sp>
    <dsp:sp modelId="{9B9DE85D-F946-4566-89B9-0CF920C1C291}">
      <dsp:nvSpPr>
        <dsp:cNvPr id="0" name=""/>
        <dsp:cNvSpPr/>
      </dsp:nvSpPr>
      <dsp:spPr>
        <a:xfrm>
          <a:off x="1869129" y="50794"/>
          <a:ext cx="1426772" cy="714303"/>
        </a:xfrm>
        <a:prstGeom prst="roundRect">
          <a:avLst/>
        </a:prstGeom>
        <a:solidFill>
          <a:schemeClr val="tx2">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7A60E26-51A4-4311-8D64-371507C0E3C7}">
      <dsp:nvSpPr>
        <dsp:cNvPr id="0" name=""/>
        <dsp:cNvSpPr/>
      </dsp:nvSpPr>
      <dsp:spPr>
        <a:xfrm>
          <a:off x="1992181" y="166135"/>
          <a:ext cx="1241508" cy="47297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rtl="1">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متوسط مدة البطالة خلال الأزمة الاقتصادية</a:t>
          </a:r>
          <a:endParaRPr lang="fr-FR" sz="1100" kern="1200">
            <a:latin typeface="Simplified Arabic" panose="02020603050405020304" pitchFamily="18" charset="-78"/>
            <a:cs typeface="Simplified Arabic" panose="02020603050405020304" pitchFamily="18" charset="-78"/>
          </a:endParaRPr>
        </a:p>
      </dsp:txBody>
      <dsp:txXfrm>
        <a:off x="1992181" y="166135"/>
        <a:ext cx="1241508" cy="472972"/>
      </dsp:txXfrm>
    </dsp:sp>
    <dsp:sp modelId="{111FF6F5-634B-49B7-A10F-3685FF89E74F}">
      <dsp:nvSpPr>
        <dsp:cNvPr id="0" name=""/>
        <dsp:cNvSpPr/>
      </dsp:nvSpPr>
      <dsp:spPr>
        <a:xfrm>
          <a:off x="1819982" y="859609"/>
          <a:ext cx="1407721" cy="714300"/>
        </a:xfrm>
        <a:prstGeom prst="roundRect">
          <a:avLst/>
        </a:prstGeom>
        <a:solidFill>
          <a:schemeClr val="tx2">
            <a:lumMod val="20000"/>
            <a:lumOff val="80000"/>
          </a:schemeClr>
        </a:solidFill>
        <a:ln w="25400" cap="flat" cmpd="sng" algn="ctr">
          <a:solidFill>
            <a:schemeClr val="bg1"/>
          </a:solidFill>
          <a:prstDash val="solid"/>
        </a:ln>
        <a:effectLst/>
      </dsp:spPr>
      <dsp:style>
        <a:lnRef idx="2">
          <a:scrgbClr r="0" g="0" b="0"/>
        </a:lnRef>
        <a:fillRef idx="1">
          <a:scrgbClr r="0" g="0" b="0"/>
        </a:fillRef>
        <a:effectRef idx="0">
          <a:scrgbClr r="0" g="0" b="0"/>
        </a:effectRef>
        <a:fontRef idx="minor">
          <a:schemeClr val="lt1"/>
        </a:fontRef>
      </dsp:style>
    </dsp:sp>
    <dsp:sp modelId="{216878CC-F41E-4306-B7F4-450B87F31CEE}">
      <dsp:nvSpPr>
        <dsp:cNvPr id="0" name=""/>
        <dsp:cNvSpPr/>
      </dsp:nvSpPr>
      <dsp:spPr>
        <a:xfrm>
          <a:off x="1792464" y="859276"/>
          <a:ext cx="1383063" cy="5842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معدل الجريمة لكل 100000 نسمة بعد حلقة الاضطرابات الاجتماعية</a:t>
          </a:r>
          <a:endParaRPr lang="fr-FR" sz="1100" kern="1200"/>
        </a:p>
      </dsp:txBody>
      <dsp:txXfrm>
        <a:off x="1792464" y="859276"/>
        <a:ext cx="1383063" cy="584275"/>
      </dsp:txXfrm>
    </dsp:sp>
    <dsp:sp modelId="{2DE13BC0-527A-4D1C-9DD5-EF59826CE17D}">
      <dsp:nvSpPr>
        <dsp:cNvPr id="0" name=""/>
        <dsp:cNvSpPr/>
      </dsp:nvSpPr>
      <dsp:spPr>
        <a:xfrm>
          <a:off x="51746" y="873625"/>
          <a:ext cx="1715340" cy="714300"/>
        </a:xfrm>
        <a:prstGeom prst="roundRect">
          <a:avLst/>
        </a:prstGeom>
        <a:solidFill>
          <a:schemeClr val="tx2">
            <a:lumMod val="20000"/>
            <a:lumOff val="80000"/>
          </a:schemeClr>
        </a:solidFill>
        <a:ln w="25400" cap="flat" cmpd="sng" algn="ctr">
          <a:solidFill>
            <a:schemeClr val="bg1"/>
          </a:solidFill>
          <a:prstDash val="solid"/>
        </a:ln>
        <a:effectLst/>
      </dsp:spPr>
      <dsp:style>
        <a:lnRef idx="2">
          <a:scrgbClr r="0" g="0" b="0"/>
        </a:lnRef>
        <a:fillRef idx="1">
          <a:scrgbClr r="0" g="0" b="0"/>
        </a:fillRef>
        <a:effectRef idx="0">
          <a:scrgbClr r="0" g="0" b="0"/>
        </a:effectRef>
        <a:fontRef idx="minor">
          <a:schemeClr val="lt1"/>
        </a:fontRef>
      </dsp:style>
    </dsp:sp>
    <dsp:sp modelId="{660D9037-4A62-4D82-8C43-0DEDFC833784}">
      <dsp:nvSpPr>
        <dsp:cNvPr id="0" name=""/>
        <dsp:cNvSpPr/>
      </dsp:nvSpPr>
      <dsp:spPr>
        <a:xfrm>
          <a:off x="73808" y="919992"/>
          <a:ext cx="1703934" cy="5807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78232" rIns="78232" bIns="0" numCol="1" spcCol="1270" anchor="t" anchorCtr="0">
          <a:noAutofit/>
        </a:bodyPr>
        <a:lstStyle/>
        <a:p>
          <a:pPr lvl="0" algn="ctr" defTabSz="488950">
            <a:lnSpc>
              <a:spcPct val="90000"/>
            </a:lnSpc>
            <a:spcBef>
              <a:spcPct val="0"/>
            </a:spcBef>
            <a:spcAft>
              <a:spcPct val="35000"/>
            </a:spcAft>
          </a:pPr>
          <a:r>
            <a:rPr lang="ar-DZ" sz="1100" kern="1200">
              <a:latin typeface="Simplified Arabic" panose="02020603050405020304" pitchFamily="18" charset="-78"/>
              <a:cs typeface="Simplified Arabic" panose="02020603050405020304" pitchFamily="18" charset="-78"/>
            </a:rPr>
            <a:t>عدد الأشخاص الذين ليس لديهم مأوى مناسب أثناء الإخلاء الإلزامي</a:t>
          </a:r>
          <a:endParaRPr lang="fr-FR" sz="1100" kern="1200">
            <a:latin typeface="Simplified Arabic" panose="02020603050405020304" pitchFamily="18" charset="-78"/>
            <a:cs typeface="Simplified Arabic" panose="02020603050405020304" pitchFamily="18" charset="-78"/>
          </a:endParaRPr>
        </a:p>
      </dsp:txBody>
      <dsp:txXfrm>
        <a:off x="73808" y="919992"/>
        <a:ext cx="1703934" cy="58077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pList1">
  <dgm:title val=""/>
  <dgm:desc val=""/>
  <dgm:catLst>
    <dgm:cat type="list" pri="2000"/>
    <dgm:cat type="picture" pri="2500"/>
    <dgm:cat type="pictureconvert" pri="2500"/>
  </dgm:catLst>
  <dgm:sampData>
    <dgm:dataModel>
      <dgm:ptLst>
        <dgm:pt modelId="0" type="doc"/>
        <dgm:pt modelId="1">
          <dgm:prSet phldr="1"/>
        </dgm:pt>
        <dgm:pt modelId="2">
          <dgm:prSet phldr="1"/>
        </dgm:pt>
        <dgm:pt modelId="3">
          <dgm:prSet phldr="1"/>
        </dgm:pt>
        <dgm:pt modelId="4">
          <dgm:prSet phldr="1"/>
        </dgm:pt>
      </dgm:ptLst>
      <dgm:cxnLst>
        <dgm:cxn modelId="7" srcId="0" destId="1" srcOrd="0" destOrd="0"/>
        <dgm:cxn modelId="8" srcId="0" destId="2" srcOrd="1" destOrd="0"/>
        <dgm:cxn modelId="9" srcId="0" destId="3" srcOrd="2" destOrd="0"/>
        <dgm:cxn modelId="10"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off" val="ctr"/>
          <dgm:param type="vertAlign" val="mid"/>
          <dgm:param type="horzAlign" val="ctr"/>
        </dgm:alg>
      </dgm:if>
      <dgm:else name="Name3">
        <dgm:alg type="snake">
          <dgm:param type="grDir" val="tR"/>
          <dgm:param type="flowDir" val="row"/>
          <dgm:param type="contDir" val="sameDir"/>
          <dgm:param type="off" val="ctr"/>
          <dgm:param type="vertAlign" val="mid"/>
          <dgm:param type="horzAlign" val="ctr"/>
        </dgm:alg>
      </dgm:else>
    </dgm:choose>
    <dgm:shape xmlns:r="http://schemas.openxmlformats.org/officeDocument/2006/relationships" r:blip="">
      <dgm:adjLst/>
    </dgm:shape>
    <dgm:presOf/>
    <dgm:constrLst>
      <dgm:constr type="w" for="ch" forName="compNode" refType="w"/>
      <dgm:constr type="w" for="ch" ptType="sibTrans" refType="w" refFor="ch" refForName="compNode" op="equ" fact="0.1"/>
      <dgm:constr type="sp" refType="w" refFor="ch" refForName="compNode" op="equ" fact="0.1"/>
      <dgm:constr type="primFontSz" for="des" ptType="node" op="equ" val="65"/>
    </dgm:constrLst>
    <dgm:ruleLst/>
    <dgm:forEach name="Name4" axis="ch" ptType="node">
      <dgm:layoutNode name="compNode">
        <dgm:alg type="composite">
          <dgm:param type="ar" val="0.943"/>
        </dgm:alg>
        <dgm:shape xmlns:r="http://schemas.openxmlformats.org/officeDocument/2006/relationships" r:blip="">
          <dgm:adjLst/>
        </dgm:shape>
        <dgm:presOf axis="self"/>
        <dgm:constrLst>
          <dgm:constr type="h" refType="w" fact="1.06"/>
          <dgm:constr type="h" for="ch" forName="pictRect" refType="h" fact="0.65"/>
          <dgm:constr type="w" for="ch" forName="pictRect" refType="w"/>
          <dgm:constr type="l" for="ch" forName="pictRect"/>
          <dgm:constr type="t" for="ch" forName="pictRect"/>
          <dgm:constr type="w" for="ch" forName="textRect" refType="w"/>
          <dgm:constr type="h" for="ch" forName="textRect" refType="h" fact="0.35"/>
          <dgm:constr type="l" for="ch" forName="textRect"/>
          <dgm:constr type="t" for="ch" forName="textRect" refType="b" refFor="ch" refForName="pictRect"/>
        </dgm:constrLst>
        <dgm:ruleLst/>
        <dgm:layoutNode name="pictRect">
          <dgm:alg type="sp"/>
          <dgm:shape xmlns:r="http://schemas.openxmlformats.org/officeDocument/2006/relationships" type="roundRect" r:blip="" blipPhldr="1">
            <dgm:adjLst/>
          </dgm:shape>
          <dgm:presOf/>
          <dgm:constrLst/>
          <dgm:ruleLst/>
        </dgm:layoutNode>
        <dgm:layoutNode name="textRect" styleLbl="revTx">
          <dgm:varLst>
            <dgm:bulletEnabled val="1"/>
          </dgm:varLst>
          <dgm:alg type="tx">
            <dgm:param type="txAnchorVert" val="t"/>
          </dgm:alg>
          <dgm:shape xmlns:r="http://schemas.openxmlformats.org/officeDocument/2006/relationships" type="rect" r:blip="">
            <dgm:adjLst/>
          </dgm:shape>
          <dgm:presOf axis="desOrSelf" ptType="node"/>
          <dgm:constrLst>
            <dgm:constr type="bMarg"/>
          </dgm:constrLst>
          <dgm:ruleLst>
            <dgm:rule type="primFontSz" val="5" fact="NaN" max="NaN"/>
          </dgm:ruleLst>
        </dgm:layoutNode>
      </dgm:layoutNode>
      <dgm:forEach name="Name5"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hProcess10">
  <dgm:title val=""/>
  <dgm:desc val=""/>
  <dgm:catLst>
    <dgm:cat type="process" pri="3000"/>
    <dgm:cat type="picture" pri="30000"/>
    <dgm:cat type="pictureconvert" pri="3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op="equ" fact="0.3333"/>
      <dgm:constr type="primFontSz" for="des" forName="txNode" op="equ" val="65"/>
      <dgm:constr type="primFontSz" for="des" forName="connTx" op="equ" val="55"/>
      <dgm:constr type="primFontSz" for="des" forName="connTx" refType="primFontSz" refFor="des" refForName="txNode" op="lte" fact="0.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imagSh"/>
              <dgm:constr type="w" for="ch" forName="imagSh" refType="w" fact="0.86"/>
              <dgm:constr type="t" for="ch" forName="imagSh"/>
              <dgm:constr type="h" for="ch" forName="imagSh" refType="w" refFor="ch" refForName="imagSh"/>
              <dgm:constr type="l" for="ch" forName="txNode" refType="w" fact="0.14"/>
              <dgm:constr type="w" for="ch" forName="txNode" refType="w" refFor="ch" refForName="imagSh"/>
              <dgm:constr type="t" for="ch" forName="txNode" refType="h" refFor="ch" refForName="imagSh" fact="0.6"/>
              <dgm:constr type="h" for="ch" forName="txNode" refType="h" refFor="ch" refForName="imagSh"/>
            </dgm:constrLst>
          </dgm:if>
          <dgm:else name="Name7">
            <dgm:constrLst>
              <dgm:constr type="l" for="ch" forName="imagSh" refType="w" fact="0.14"/>
              <dgm:constr type="w" for="ch" forName="imagSh" refType="w" fact="0.86"/>
              <dgm:constr type="t" for="ch" forName="imagSh"/>
              <dgm:constr type="h" for="ch" forName="imagSh" refType="w" refFor="ch" refForName="imagSh"/>
              <dgm:constr type="l" for="ch" forName="txNode"/>
              <dgm:constr type="w" for="ch" forName="txNode" refType="w" refFor="ch" refForName="imagSh"/>
              <dgm:constr type="t" for="ch" forName="txNode" refType="h" refFor="ch" refForName="imagSh" fact="0.6"/>
              <dgm:constr type="h" for="ch" forName="txNode" refType="h" refFor="ch" refForName="imagSh"/>
            </dgm:constrLst>
          </dgm:else>
        </dgm:choose>
        <dgm:ruleLst/>
        <dgm:layoutNode name="imagSh" styleLbl="bgImgPlace1">
          <dgm:alg type="sp"/>
          <dgm:shape xmlns:r="http://schemas.openxmlformats.org/officeDocument/2006/relationships" type="roundRect" r:blip="" blipPhldr="1">
            <dgm:adjLst>
              <dgm:adj idx="1" val="0.1"/>
            </dgm:adjLst>
          </dgm:shape>
          <dgm:presOf/>
          <dgm:constrLst/>
          <dgm:ruleLst/>
        </dgm:layoutNode>
        <dgm:layoutNode name="txNode" styleLbl="node1">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sibTransForEach" axis="followSib" ptType="sibTrans" cnt="1">
        <dgm:layoutNode name="sibTrans">
          <dgm:alg type="conn">
            <dgm:param type="begPts" val="auto"/>
            <dgm:param type="endPts" val="auto"/>
            <dgm:param type="srcNode" val="imagSh"/>
            <dgm:param type="dstNode" val="imagSh"/>
          </dgm:alg>
          <dgm:shape xmlns:r="http://schemas.openxmlformats.org/officeDocument/2006/relationships" type="conn" r:blip="">
            <dgm:adjLst/>
          </dgm:shape>
          <dgm:presOf axis="self"/>
          <dgm:constrLst>
            <dgm:constr type="h" refType="w" fact="0.62"/>
            <dgm:constr type="connDist"/>
            <dgm:constr type="begPad" refType="connDist" fact="0.35"/>
            <dgm:constr type="endPad" refType="connDist" fact="0.3"/>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14.xml><?xml version="1.0" encoding="utf-8"?>
<dgm:layoutDef xmlns:dgm="http://schemas.openxmlformats.org/drawingml/2006/diagram" xmlns:a="http://schemas.openxmlformats.org/drawingml/2006/main" uniqueId="urn:microsoft.com/office/officeart/2005/8/layout/process3">
  <dgm:title val=""/>
  <dgm:desc val=""/>
  <dgm:catLst>
    <dgm:cat type="process" pri="2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Lst>
      <dgm:cxnLst>
        <dgm:cxn modelId="4" srcId="0" destId="1" srcOrd="0" destOrd="0"/>
        <dgm:cxn modelId="5" srcId="0" destId="2" srcOrd="1" destOrd="0"/>
        <dgm:cxn modelId="6" srcId="0" destId="3" srcOrd="3" destOrd="0"/>
        <dgm:cxn modelId="12" srcId="1" destId="11" srcOrd="0" destOrd="0"/>
        <dgm:cxn modelId="23" srcId="2" destId="21" srcOrd="0" destOrd="0"/>
        <dgm:cxn modelId="34" srcId="3" destId="31" srcOrd="0"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fact="0.3333"/>
      <dgm:constr type="w" for="des" forName="parTx"/>
      <dgm:constr type="h" for="des" forName="parTx" op="equ"/>
      <dgm:constr type="h" for="des" forName="parSh" op="equ"/>
      <dgm:constr type="w" for="des" forName="desTx"/>
      <dgm:constr type="h" for="des" forName="desTx" op="equ"/>
      <dgm:constr type="w" for="des" forName="parSh"/>
      <dgm:constr type="primFontSz" for="des" forName="parTx" val="65"/>
      <dgm:constr type="secFontSz" for="des" forName="desTx" refType="primFontSz" refFor="des" refForName="parTx" op="equ"/>
      <dgm:constr type="primFontSz" for="des" forName="connTx" refType="primFontSz" refFor="des" refForName="parTx" fact="0.8"/>
      <dgm:constr type="primFontSz" for="des" forName="connTx" refType="primFontSz" refFor="des" refForName="parTx" op="lte" fact="0.8"/>
      <dgm:constr type="h" for="des" forName="parTx" refType="primFontSz" refFor="des" refForName="parTx" fact="0.8"/>
      <dgm:constr type="h" for="des" forName="parSh" refType="primFontSz" refFor="des" refForName="parTx" fact="1.2"/>
      <dgm:constr type="h" for="des" forName="desTx" refType="primFontSz" refFor="des" refForName="parTx" fact="1.6"/>
      <dgm:constr type="h" for="des" forName="parSh" refType="h" refFor="des" refForName="parTx" op="lte" fact="1.5"/>
      <dgm:constr type="h" for="des" forName="parSh" refType="h" refFor="des" refForName="parTx" op="gte" fact="1.5"/>
    </dgm:constrLst>
    <dgm:ruleLst>
      <dgm:rule type="w" for="ch" forName="composite" val="0" fact="NaN" max="NaN"/>
      <dgm:rule type="primFontSz" for="des" forName="parTx" val="5" fact="NaN" max="NaN"/>
    </dgm:ruleLst>
    <dgm:forEach name="Name3" axis="ch" ptType="node">
      <dgm:layoutNode name="composite">
        <dgm:alg type="composite"/>
        <dgm:shape xmlns:r="http://schemas.openxmlformats.org/officeDocument/2006/relationships" r:blip="">
          <dgm:adjLst/>
        </dgm:shape>
        <dgm:presOf/>
        <dgm:choose name="Name4">
          <dgm:if name="Name5" func="var" arg="dir" op="equ" val="norm">
            <dgm:constrLst>
              <dgm:constr type="h" refType="w" fact="1000"/>
              <dgm:constr type="l" for="ch" forName="parTx"/>
              <dgm:constr type="w" for="ch" forName="parTx" refType="w" fact="0.83"/>
              <dgm:constr type="t" for="ch" forName="parTx"/>
              <dgm:constr type="l" for="ch" forName="parSh"/>
              <dgm:constr type="w" for="ch" forName="parSh" refType="w" refFor="ch" refForName="parTx"/>
              <dgm:constr type="t" for="ch" forName="parSh"/>
              <dgm:constr type="l" for="ch" forName="desTx" refType="w" fact="0.17"/>
              <dgm:constr type="w" for="ch" forName="desTx" refType="w" refFor="ch" refForName="parTx"/>
              <dgm:constr type="t" for="ch" forName="desTx" refType="h" refFor="ch" refForName="parTx"/>
            </dgm:constrLst>
          </dgm:if>
          <dgm:else name="Name6">
            <dgm:constrLst>
              <dgm:constr type="h" refType="w" fact="1000"/>
              <dgm:constr type="l" for="ch" forName="parTx" refType="w" fact="0.17"/>
              <dgm:constr type="w" for="ch" forName="parTx" refType="w" fact="0.83"/>
              <dgm:constr type="t" for="ch" forName="parTx"/>
              <dgm:constr type="l" for="ch" forName="parSh" refType="w" fact="0.15"/>
              <dgm:constr type="w" for="ch" forName="parSh" refType="w" refFor="ch" refForName="parTx"/>
              <dgm:constr type="t" for="ch" forName="parSh"/>
              <dgm:constr type="l" for="ch" forName="desTx"/>
              <dgm:constr type="w" for="ch" forName="desTx" refType="w" refFor="ch" refForName="parTx"/>
              <dgm:constr type="t" for="ch" forName="desTx" refType="h" refFor="ch" refForName="parTx"/>
            </dgm:constrLst>
          </dgm:else>
        </dgm:choose>
        <dgm:ruleLst>
          <dgm:rule type="h" val="INF" fact="NaN" max="NaN"/>
        </dgm:ruleLst>
        <dgm:layoutNode name="parTx">
          <dgm:varLst>
            <dgm:chMax val="0"/>
            <dgm:chPref val="0"/>
            <dgm:bulletEnabled val="1"/>
          </dgm:varLst>
          <dgm:alg type="tx">
            <dgm:param type="parTxLTRAlign" val="l"/>
            <dgm:param type="parTxRTLAlign" val="r"/>
            <dgm:param type="txAnchorVert" val="t"/>
          </dgm:alg>
          <dgm:shape xmlns:r="http://schemas.openxmlformats.org/officeDocument/2006/relationships" type="rect" r:blip="" zOrderOff="1" hideGeom="1">
            <dgm:adjLst>
              <dgm:adj idx="1" val="0.1"/>
            </dgm:adjLst>
          </dgm:shape>
          <dgm:presOf axis="self" ptType="node"/>
          <dgm:constrLst>
            <dgm:constr type="h" refType="w" op="lte" fact="0.4"/>
            <dgm:constr type="bMarg" refType="primFontSz" fact="0.3"/>
            <dgm:constr type="h"/>
          </dgm:constrLst>
          <dgm:ruleLst>
            <dgm:rule type="h" val="INF" fact="NaN" max="NaN"/>
          </dgm:ruleLst>
        </dgm:layoutNode>
        <dgm:layoutNode name="parSh">
          <dgm:alg type="sp"/>
          <dgm:shape xmlns:r="http://schemas.openxmlformats.org/officeDocument/2006/relationships" type="roundRect" r:blip="">
            <dgm:adjLst>
              <dgm:adj idx="1" val="0.1"/>
            </dgm:adjLst>
          </dgm:shape>
          <dgm:presOf axis="self" ptType="node"/>
          <dgm:constrLst>
            <dgm:constr type="h"/>
          </dgm:constrLst>
          <dgm:ruleLst/>
        </dgm:layoutNode>
        <dgm:layoutNode name="desTx" styleLbl="fgAcc1">
          <dgm:varLst>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secFontSz" val="65"/>
            <dgm:constr type="primFontSz" refType="secFontSz"/>
            <dgm:constr type="h"/>
          </dgm:constrLst>
          <dgm:ruleLst>
            <dgm:rule type="h" val="INF" fact="NaN" max="NaN"/>
          </dgm:ruleLst>
        </dgm:layoutNode>
      </dgm:layoutNode>
      <dgm:forEach name="sibTransForEach" axis="followSib" ptType="sibTrans" cnt="1">
        <dgm:layoutNode name="sibTrans">
          <dgm:alg type="conn">
            <dgm:param type="begPts" val="auto"/>
            <dgm:param type="endPts" val="auto"/>
            <dgm:param type="srcNode" val="parTx"/>
            <dgm:param type="dstNode" val="parTx"/>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5.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1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17.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18.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19.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0.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2.xml><?xml version="1.0" encoding="utf-8"?>
<dgm:layoutDef xmlns:dgm="http://schemas.openxmlformats.org/drawingml/2006/diagram" xmlns:a="http://schemas.openxmlformats.org/drawingml/2006/main" uniqueId="urn:microsoft.com/office/officeart/2005/8/layout/pList1">
  <dgm:title val=""/>
  <dgm:desc val=""/>
  <dgm:catLst>
    <dgm:cat type="list" pri="2000"/>
    <dgm:cat type="picture" pri="2500"/>
    <dgm:cat type="pictureconvert" pri="2500"/>
  </dgm:catLst>
  <dgm:sampData>
    <dgm:dataModel>
      <dgm:ptLst>
        <dgm:pt modelId="0" type="doc"/>
        <dgm:pt modelId="1">
          <dgm:prSet phldr="1"/>
        </dgm:pt>
        <dgm:pt modelId="2">
          <dgm:prSet phldr="1"/>
        </dgm:pt>
        <dgm:pt modelId="3">
          <dgm:prSet phldr="1"/>
        </dgm:pt>
        <dgm:pt modelId="4">
          <dgm:prSet phldr="1"/>
        </dgm:pt>
      </dgm:ptLst>
      <dgm:cxnLst>
        <dgm:cxn modelId="7" srcId="0" destId="1" srcOrd="0" destOrd="0"/>
        <dgm:cxn modelId="8" srcId="0" destId="2" srcOrd="1" destOrd="0"/>
        <dgm:cxn modelId="9" srcId="0" destId="3" srcOrd="2" destOrd="0"/>
        <dgm:cxn modelId="10"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off" val="ctr"/>
          <dgm:param type="vertAlign" val="mid"/>
          <dgm:param type="horzAlign" val="ctr"/>
        </dgm:alg>
      </dgm:if>
      <dgm:else name="Name3">
        <dgm:alg type="snake">
          <dgm:param type="grDir" val="tR"/>
          <dgm:param type="flowDir" val="row"/>
          <dgm:param type="contDir" val="sameDir"/>
          <dgm:param type="off" val="ctr"/>
          <dgm:param type="vertAlign" val="mid"/>
          <dgm:param type="horzAlign" val="ctr"/>
        </dgm:alg>
      </dgm:else>
    </dgm:choose>
    <dgm:shape xmlns:r="http://schemas.openxmlformats.org/officeDocument/2006/relationships" r:blip="">
      <dgm:adjLst/>
    </dgm:shape>
    <dgm:presOf/>
    <dgm:constrLst>
      <dgm:constr type="w" for="ch" forName="compNode" refType="w"/>
      <dgm:constr type="w" for="ch" ptType="sibTrans" refType="w" refFor="ch" refForName="compNode" op="equ" fact="0.1"/>
      <dgm:constr type="sp" refType="w" refFor="ch" refForName="compNode" op="equ" fact="0.1"/>
      <dgm:constr type="primFontSz" for="des" ptType="node" op="equ" val="65"/>
    </dgm:constrLst>
    <dgm:ruleLst/>
    <dgm:forEach name="Name4" axis="ch" ptType="node">
      <dgm:layoutNode name="compNode">
        <dgm:alg type="composite">
          <dgm:param type="ar" val="0.943"/>
        </dgm:alg>
        <dgm:shape xmlns:r="http://schemas.openxmlformats.org/officeDocument/2006/relationships" r:blip="">
          <dgm:adjLst/>
        </dgm:shape>
        <dgm:presOf axis="self"/>
        <dgm:constrLst>
          <dgm:constr type="h" refType="w" fact="1.06"/>
          <dgm:constr type="h" for="ch" forName="pictRect" refType="h" fact="0.65"/>
          <dgm:constr type="w" for="ch" forName="pictRect" refType="w"/>
          <dgm:constr type="l" for="ch" forName="pictRect"/>
          <dgm:constr type="t" for="ch" forName="pictRect"/>
          <dgm:constr type="w" for="ch" forName="textRect" refType="w"/>
          <dgm:constr type="h" for="ch" forName="textRect" refType="h" fact="0.35"/>
          <dgm:constr type="l" for="ch" forName="textRect"/>
          <dgm:constr type="t" for="ch" forName="textRect" refType="b" refFor="ch" refForName="pictRect"/>
        </dgm:constrLst>
        <dgm:ruleLst/>
        <dgm:layoutNode name="pictRect">
          <dgm:alg type="sp"/>
          <dgm:shape xmlns:r="http://schemas.openxmlformats.org/officeDocument/2006/relationships" type="roundRect" r:blip="" blipPhldr="1">
            <dgm:adjLst/>
          </dgm:shape>
          <dgm:presOf/>
          <dgm:constrLst/>
          <dgm:ruleLst/>
        </dgm:layoutNode>
        <dgm:layoutNode name="textRect" styleLbl="revTx">
          <dgm:varLst>
            <dgm:bulletEnabled val="1"/>
          </dgm:varLst>
          <dgm:alg type="tx">
            <dgm:param type="txAnchorVert" val="t"/>
          </dgm:alg>
          <dgm:shape xmlns:r="http://schemas.openxmlformats.org/officeDocument/2006/relationships" type="rect" r:blip="">
            <dgm:adjLst/>
          </dgm:shape>
          <dgm:presOf axis="desOrSelf" ptType="node"/>
          <dgm:constrLst>
            <dgm:constr type="bMarg"/>
          </dgm:constrLst>
          <dgm:ruleLst>
            <dgm:rule type="primFontSz" val="5" fact="NaN" max="NaN"/>
          </dgm:ruleLst>
        </dgm:layoutNode>
      </dgm:layoutNode>
      <dgm:forEach name="Name5"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Def>
</file>

<file path=word/diagrams/layout2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4.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7.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8.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pList1">
  <dgm:title val=""/>
  <dgm:desc val=""/>
  <dgm:catLst>
    <dgm:cat type="list" pri="2000"/>
    <dgm:cat type="picture" pri="2500"/>
    <dgm:cat type="pictureconvert" pri="2500"/>
  </dgm:catLst>
  <dgm:sampData>
    <dgm:dataModel>
      <dgm:ptLst>
        <dgm:pt modelId="0" type="doc"/>
        <dgm:pt modelId="1">
          <dgm:prSet phldr="1"/>
        </dgm:pt>
        <dgm:pt modelId="2">
          <dgm:prSet phldr="1"/>
        </dgm:pt>
        <dgm:pt modelId="3">
          <dgm:prSet phldr="1"/>
        </dgm:pt>
        <dgm:pt modelId="4">
          <dgm:prSet phldr="1"/>
        </dgm:pt>
      </dgm:ptLst>
      <dgm:cxnLst>
        <dgm:cxn modelId="7" srcId="0" destId="1" srcOrd="0" destOrd="0"/>
        <dgm:cxn modelId="8" srcId="0" destId="2" srcOrd="1" destOrd="0"/>
        <dgm:cxn modelId="9" srcId="0" destId="3" srcOrd="2" destOrd="0"/>
        <dgm:cxn modelId="10"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off" val="ctr"/>
          <dgm:param type="vertAlign" val="mid"/>
          <dgm:param type="horzAlign" val="ctr"/>
        </dgm:alg>
      </dgm:if>
      <dgm:else name="Name3">
        <dgm:alg type="snake">
          <dgm:param type="grDir" val="tR"/>
          <dgm:param type="flowDir" val="row"/>
          <dgm:param type="contDir" val="sameDir"/>
          <dgm:param type="off" val="ctr"/>
          <dgm:param type="vertAlign" val="mid"/>
          <dgm:param type="horzAlign" val="ctr"/>
        </dgm:alg>
      </dgm:else>
    </dgm:choose>
    <dgm:shape xmlns:r="http://schemas.openxmlformats.org/officeDocument/2006/relationships" r:blip="">
      <dgm:adjLst/>
    </dgm:shape>
    <dgm:presOf/>
    <dgm:constrLst>
      <dgm:constr type="w" for="ch" forName="compNode" refType="w"/>
      <dgm:constr type="w" for="ch" ptType="sibTrans" refType="w" refFor="ch" refForName="compNode" op="equ" fact="0.1"/>
      <dgm:constr type="sp" refType="w" refFor="ch" refForName="compNode" op="equ" fact="0.1"/>
      <dgm:constr type="primFontSz" for="des" ptType="node" op="equ" val="65"/>
    </dgm:constrLst>
    <dgm:ruleLst/>
    <dgm:forEach name="Name4" axis="ch" ptType="node">
      <dgm:layoutNode name="compNode">
        <dgm:alg type="composite">
          <dgm:param type="ar" val="0.943"/>
        </dgm:alg>
        <dgm:shape xmlns:r="http://schemas.openxmlformats.org/officeDocument/2006/relationships" r:blip="">
          <dgm:adjLst/>
        </dgm:shape>
        <dgm:presOf axis="self"/>
        <dgm:constrLst>
          <dgm:constr type="h" refType="w" fact="1.06"/>
          <dgm:constr type="h" for="ch" forName="pictRect" refType="h" fact="0.65"/>
          <dgm:constr type="w" for="ch" forName="pictRect" refType="w"/>
          <dgm:constr type="l" for="ch" forName="pictRect"/>
          <dgm:constr type="t" for="ch" forName="pictRect"/>
          <dgm:constr type="w" for="ch" forName="textRect" refType="w"/>
          <dgm:constr type="h" for="ch" forName="textRect" refType="h" fact="0.35"/>
          <dgm:constr type="l" for="ch" forName="textRect"/>
          <dgm:constr type="t" for="ch" forName="textRect" refType="b" refFor="ch" refForName="pictRect"/>
        </dgm:constrLst>
        <dgm:ruleLst/>
        <dgm:layoutNode name="pictRect">
          <dgm:alg type="sp"/>
          <dgm:shape xmlns:r="http://schemas.openxmlformats.org/officeDocument/2006/relationships" type="roundRect" r:blip="" blipPhldr="1">
            <dgm:adjLst/>
          </dgm:shape>
          <dgm:presOf/>
          <dgm:constrLst/>
          <dgm:ruleLst/>
        </dgm:layoutNode>
        <dgm:layoutNode name="textRect" styleLbl="revTx">
          <dgm:varLst>
            <dgm:bulletEnabled val="1"/>
          </dgm:varLst>
          <dgm:alg type="tx">
            <dgm:param type="txAnchorVert" val="t"/>
          </dgm:alg>
          <dgm:shape xmlns:r="http://schemas.openxmlformats.org/officeDocument/2006/relationships" type="rect" r:blip="">
            <dgm:adjLst/>
          </dgm:shape>
          <dgm:presOf axis="desOrSelf" ptType="node"/>
          <dgm:constrLst>
            <dgm:constr type="bMarg"/>
          </dgm:constrLst>
          <dgm:ruleLst>
            <dgm:rule type="primFontSz" val="5" fact="NaN" max="NaN"/>
          </dgm:ruleLst>
        </dgm:layoutNode>
      </dgm:layoutNode>
      <dgm:forEach name="Name5"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_rels/drawing6.xml.rels><?xml version="1.0" encoding="UTF-8" standalone="yes"?>
<Relationships xmlns="http://schemas.openxmlformats.org/package/2006/relationships"><Relationship Id="rId3" Type="http://schemas.openxmlformats.org/officeDocument/2006/relationships/image" Target="../media/image127.png"/><Relationship Id="rId2" Type="http://schemas.openxmlformats.org/officeDocument/2006/relationships/image" Target="../media/image126.png"/><Relationship Id="rId1" Type="http://schemas.openxmlformats.org/officeDocument/2006/relationships/image" Target="../media/image125.png"/></Relationships>
</file>

<file path=word/drawings/drawing1.xml><?xml version="1.0" encoding="utf-8"?>
<c:userShapes xmlns:c="http://schemas.openxmlformats.org/drawingml/2006/chart">
  <cdr:relSizeAnchor xmlns:cdr="http://schemas.openxmlformats.org/drawingml/2006/chartDrawing">
    <cdr:from>
      <cdr:x>0.45848</cdr:x>
      <cdr:y>0.586</cdr:y>
    </cdr:from>
    <cdr:to>
      <cdr:x>0.691</cdr:x>
      <cdr:y>0.72453</cdr:y>
    </cdr:to>
    <cdr:sp macro="" textlink="">
      <cdr:nvSpPr>
        <cdr:cNvPr id="2" name="ZoneTexte 1"/>
        <cdr:cNvSpPr txBox="1"/>
      </cdr:nvSpPr>
      <cdr:spPr>
        <a:xfrm xmlns:a="http://schemas.openxmlformats.org/drawingml/2006/main">
          <a:off x="1794844" y="1479136"/>
          <a:ext cx="910256" cy="34966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a:latin typeface="Simplified Arabic" panose="02020603050405020304" pitchFamily="18" charset="-78"/>
              <a:cs typeface="Simplified Arabic" panose="02020603050405020304" pitchFamily="18" charset="-78"/>
            </a:rPr>
            <a:t>الحيز المكاني</a:t>
          </a:r>
          <a:endParaRPr lang="fr-FR" sz="1200">
            <a:latin typeface="Simplified Arabic" panose="02020603050405020304" pitchFamily="18" charset="-78"/>
            <a:cs typeface="Simplified Arabic" panose="02020603050405020304" pitchFamily="18" charset="-78"/>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0.52646</cdr:x>
      <cdr:y>0.5943</cdr:y>
    </cdr:from>
    <cdr:to>
      <cdr:x>0.75062</cdr:x>
      <cdr:y>0.73711</cdr:y>
    </cdr:to>
    <cdr:sp macro="" textlink="">
      <cdr:nvSpPr>
        <cdr:cNvPr id="2" name="ZoneTexte 1"/>
        <cdr:cNvSpPr txBox="1"/>
      </cdr:nvSpPr>
      <cdr:spPr>
        <a:xfrm xmlns:a="http://schemas.openxmlformats.org/drawingml/2006/main">
          <a:off x="2093400" y="1158558"/>
          <a:ext cx="891340" cy="27840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DZ" sz="1200" b="1">
              <a:latin typeface="+mn-lt"/>
              <a:cs typeface="Simplified Arabic" panose="02020603050405020304" pitchFamily="18" charset="-78"/>
            </a:rPr>
            <a:t>الحيز المكاني</a:t>
          </a:r>
          <a:endParaRPr lang="fr-FR" sz="1200" b="1">
            <a:latin typeface="+mn-lt"/>
            <a:cs typeface="Simplified Arabic" panose="02020603050405020304" pitchFamily="18" charset="-78"/>
          </a:endParaRPr>
        </a:p>
      </cdr:txBody>
    </cdr:sp>
  </cdr:relSizeAnchor>
  <cdr:relSizeAnchor xmlns:cdr="http://schemas.openxmlformats.org/drawingml/2006/chartDrawing">
    <cdr:from>
      <cdr:x>0</cdr:x>
      <cdr:y>0</cdr:y>
    </cdr:from>
    <cdr:to>
      <cdr:x>0.14482</cdr:x>
      <cdr:y>0.13918</cdr:y>
    </cdr:to>
    <cdr:sp macro="" textlink="">
      <cdr:nvSpPr>
        <cdr:cNvPr id="3" name="ZoneTexte 1"/>
        <cdr:cNvSpPr txBox="1"/>
      </cdr:nvSpPr>
      <cdr:spPr>
        <a:xfrm xmlns:a="http://schemas.openxmlformats.org/drawingml/2006/main">
          <a:off x="0" y="0"/>
          <a:ext cx="575214" cy="2571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DZ" sz="1200" b="1">
              <a:latin typeface="Simplified Arabic" panose="02020603050405020304" pitchFamily="18" charset="-78"/>
              <a:cs typeface="Simplified Arabic" panose="02020603050405020304" pitchFamily="18" charset="-78"/>
            </a:rPr>
            <a:t>النسبة</a:t>
          </a:r>
          <a:endParaRPr lang="fr-FR" sz="1200" b="1">
            <a:latin typeface="Simplified Arabic" panose="02020603050405020304" pitchFamily="18" charset="-78"/>
            <a:cs typeface="Simplified Arabic" panose="02020603050405020304" pitchFamily="18" charset="-78"/>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0.0474</cdr:x>
      <cdr:y>0</cdr:y>
    </cdr:from>
    <cdr:to>
      <cdr:x>0.16821</cdr:x>
      <cdr:y>0.14692</cdr:y>
    </cdr:to>
    <cdr:sp macro="" textlink="">
      <cdr:nvSpPr>
        <cdr:cNvPr id="2" name="ZoneTexte 1"/>
        <cdr:cNvSpPr txBox="1"/>
      </cdr:nvSpPr>
      <cdr:spPr>
        <a:xfrm xmlns:a="http://schemas.openxmlformats.org/drawingml/2006/main">
          <a:off x="211279" y="0"/>
          <a:ext cx="538535" cy="29527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DZ" sz="1200" b="0">
              <a:latin typeface="Simplified Arabic" panose="02020603050405020304" pitchFamily="18" charset="-78"/>
              <a:cs typeface="Simplified Arabic" panose="02020603050405020304" pitchFamily="18" charset="-78"/>
            </a:rPr>
            <a:t>النسبة</a:t>
          </a:r>
          <a:endParaRPr lang="fr-FR" sz="1200" b="0">
            <a:latin typeface="Simplified Arabic" panose="02020603050405020304" pitchFamily="18" charset="-78"/>
            <a:cs typeface="Simplified Arabic" panose="02020603050405020304" pitchFamily="18" charset="-78"/>
          </a:endParaRPr>
        </a:p>
      </cdr:txBody>
    </cdr:sp>
  </cdr:relSizeAnchor>
  <cdr:relSizeAnchor xmlns:cdr="http://schemas.openxmlformats.org/drawingml/2006/chartDrawing">
    <cdr:from>
      <cdr:x>0.60424</cdr:x>
      <cdr:y>0.62462</cdr:y>
    </cdr:from>
    <cdr:to>
      <cdr:x>0.79923</cdr:x>
      <cdr:y>0.75972</cdr:y>
    </cdr:to>
    <cdr:sp macro="" textlink="">
      <cdr:nvSpPr>
        <cdr:cNvPr id="4" name="ZoneTexte 1"/>
        <cdr:cNvSpPr txBox="1"/>
      </cdr:nvSpPr>
      <cdr:spPr>
        <a:xfrm xmlns:a="http://schemas.openxmlformats.org/drawingml/2006/main">
          <a:off x="2693521" y="1255346"/>
          <a:ext cx="869188" cy="27153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DZ" sz="1200" b="0">
              <a:effectLst/>
              <a:latin typeface="+mn-lt"/>
              <a:ea typeface="+mn-ea"/>
              <a:cs typeface="+mn-cs"/>
            </a:rPr>
            <a:t>الحيز المكاني</a:t>
          </a:r>
          <a:endParaRPr lang="fr-FR" sz="1400" b="0">
            <a:effectLst/>
            <a:latin typeface="+mn-lt"/>
          </a:endParaRPr>
        </a:p>
      </cdr:txBody>
    </cdr:sp>
  </cdr:relSizeAnchor>
</c:userShapes>
</file>

<file path=word/drawings/drawing4.xml><?xml version="1.0" encoding="utf-8"?>
<c:userShapes xmlns:c="http://schemas.openxmlformats.org/drawingml/2006/chart">
  <cdr:relSizeAnchor xmlns:cdr="http://schemas.openxmlformats.org/drawingml/2006/chartDrawing">
    <cdr:from>
      <cdr:x>0.0348</cdr:x>
      <cdr:y>0.01989</cdr:y>
    </cdr:from>
    <cdr:to>
      <cdr:x>0.17006</cdr:x>
      <cdr:y>0.14391</cdr:y>
    </cdr:to>
    <cdr:sp macro="" textlink="">
      <cdr:nvSpPr>
        <cdr:cNvPr id="2" name="ZoneTexte 1"/>
        <cdr:cNvSpPr txBox="1"/>
      </cdr:nvSpPr>
      <cdr:spPr>
        <a:xfrm xmlns:a="http://schemas.openxmlformats.org/drawingml/2006/main">
          <a:off x="148277" y="47680"/>
          <a:ext cx="576341" cy="29737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DZ" sz="1200" b="0">
              <a:effectLst/>
              <a:latin typeface="Simplified Arabic" panose="02020603050405020304" pitchFamily="18" charset="-78"/>
              <a:ea typeface="+mn-ea"/>
              <a:cs typeface="Simplified Arabic" panose="02020603050405020304" pitchFamily="18" charset="-78"/>
            </a:rPr>
            <a:t>النسبة</a:t>
          </a:r>
          <a:endParaRPr lang="fr-FR" sz="1200" b="0">
            <a:effectLst/>
            <a:latin typeface="Simplified Arabic" panose="02020603050405020304" pitchFamily="18" charset="-78"/>
            <a:cs typeface="Simplified Arabic" panose="02020603050405020304" pitchFamily="18" charset="-78"/>
          </a:endParaRPr>
        </a:p>
      </cdr:txBody>
    </cdr:sp>
  </cdr:relSizeAnchor>
  <cdr:relSizeAnchor xmlns:cdr="http://schemas.openxmlformats.org/drawingml/2006/chartDrawing">
    <cdr:from>
      <cdr:x>0.53602</cdr:x>
      <cdr:y>0.63871</cdr:y>
    </cdr:from>
    <cdr:to>
      <cdr:x>0.73415</cdr:x>
      <cdr:y>0.75552</cdr:y>
    </cdr:to>
    <cdr:sp macro="" textlink="">
      <cdr:nvSpPr>
        <cdr:cNvPr id="3" name="ZoneTexte 1"/>
        <cdr:cNvSpPr txBox="1"/>
      </cdr:nvSpPr>
      <cdr:spPr>
        <a:xfrm xmlns:a="http://schemas.openxmlformats.org/drawingml/2006/main">
          <a:off x="2283901" y="1531473"/>
          <a:ext cx="844202" cy="2800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DZ" sz="1200" b="0">
              <a:effectLst/>
              <a:latin typeface="Simplified Arabic" panose="02020603050405020304" pitchFamily="18" charset="-78"/>
              <a:ea typeface="+mn-ea"/>
              <a:cs typeface="Simplified Arabic" panose="02020603050405020304" pitchFamily="18" charset="-78"/>
            </a:rPr>
            <a:t>الحيز المكاني</a:t>
          </a:r>
          <a:endParaRPr lang="fr-FR" sz="1400" b="0">
            <a:effectLst/>
            <a:latin typeface="Simplified Arabic" panose="02020603050405020304" pitchFamily="18" charset="-78"/>
            <a:cs typeface="Simplified Arabic" panose="02020603050405020304" pitchFamily="18" charset="-78"/>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0.01637</cdr:x>
      <cdr:y>0.03659</cdr:y>
    </cdr:from>
    <cdr:to>
      <cdr:x>0.13092</cdr:x>
      <cdr:y>0.13014</cdr:y>
    </cdr:to>
    <cdr:sp macro="" textlink="">
      <cdr:nvSpPr>
        <cdr:cNvPr id="2" name="ZoneTexte 1"/>
        <cdr:cNvSpPr txBox="1"/>
      </cdr:nvSpPr>
      <cdr:spPr>
        <a:xfrm xmlns:a="http://schemas.openxmlformats.org/drawingml/2006/main">
          <a:off x="77653" y="103517"/>
          <a:ext cx="543435" cy="26464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pPr algn="ctr"/>
          <a:r>
            <a:rPr lang="ar-DZ" sz="1200" b="0">
              <a:latin typeface="Simplified Arabic" panose="02020603050405020304" pitchFamily="18" charset="-78"/>
              <a:cs typeface="Simplified Arabic" panose="02020603050405020304" pitchFamily="18" charset="-78"/>
            </a:rPr>
            <a:t>النسبة</a:t>
          </a:r>
          <a:endParaRPr lang="fr-FR" sz="1200" b="0">
            <a:latin typeface="Simplified Arabic" panose="02020603050405020304" pitchFamily="18" charset="-78"/>
            <a:cs typeface="Simplified Arabic" panose="02020603050405020304" pitchFamily="18" charset="-78"/>
          </a:endParaRPr>
        </a:p>
      </cdr:txBody>
    </cdr:sp>
  </cdr:relSizeAnchor>
  <cdr:relSizeAnchor xmlns:cdr="http://schemas.openxmlformats.org/drawingml/2006/chartDrawing">
    <cdr:from>
      <cdr:x>0.5993</cdr:x>
      <cdr:y>0.68732</cdr:y>
    </cdr:from>
    <cdr:to>
      <cdr:x>0.71601</cdr:x>
      <cdr:y>0.79714</cdr:y>
    </cdr:to>
    <cdr:sp macro="" textlink="">
      <cdr:nvSpPr>
        <cdr:cNvPr id="3" name="ZoneTexte 1"/>
        <cdr:cNvSpPr txBox="1"/>
      </cdr:nvSpPr>
      <cdr:spPr>
        <a:xfrm xmlns:a="http://schemas.openxmlformats.org/drawingml/2006/main">
          <a:off x="2751413" y="1944371"/>
          <a:ext cx="535822" cy="31067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DZ" sz="1200" b="0">
              <a:latin typeface="Simplified Arabic" panose="02020603050405020304" pitchFamily="18" charset="-78"/>
              <a:cs typeface="Simplified Arabic" panose="02020603050405020304" pitchFamily="18" charset="-78"/>
            </a:rPr>
            <a:t>الحي</a:t>
          </a:r>
          <a:endParaRPr lang="fr-FR" sz="1200" b="0">
            <a:latin typeface="Simplified Arabic" panose="02020603050405020304" pitchFamily="18" charset="-78"/>
            <a:cs typeface="Simplified Arabic" panose="02020603050405020304" pitchFamily="18" charset="-78"/>
          </a:endParaRPr>
        </a:p>
      </cdr:txBody>
    </cdr:sp>
  </cdr:relSizeAnchor>
  <cdr:relSizeAnchor xmlns:cdr="http://schemas.openxmlformats.org/drawingml/2006/chartDrawing">
    <cdr:from>
      <cdr:x>0.60566</cdr:x>
      <cdr:y>0.85702</cdr:y>
    </cdr:from>
    <cdr:to>
      <cdr:x>0.92043</cdr:x>
      <cdr:y>0.96015</cdr:y>
    </cdr:to>
    <cdr:sp macro="" textlink="">
      <cdr:nvSpPr>
        <cdr:cNvPr id="4" name="Zone de texte 3"/>
        <cdr:cNvSpPr txBox="1"/>
      </cdr:nvSpPr>
      <cdr:spPr>
        <a:xfrm xmlns:a="http://schemas.openxmlformats.org/drawingml/2006/main">
          <a:off x="2780620" y="2424440"/>
          <a:ext cx="1445125" cy="2917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b="0">
              <a:latin typeface="Simplified Arabic" panose="02020603050405020304" pitchFamily="18" charset="-78"/>
              <a:cs typeface="Simplified Arabic" panose="02020603050405020304" pitchFamily="18" charset="-78"/>
            </a:rPr>
            <a:t>فئة النسيج الحضري</a:t>
          </a:r>
          <a:endParaRPr lang="fr-FR" sz="1200" b="0">
            <a:latin typeface="Simplified Arabic" panose="02020603050405020304" pitchFamily="18" charset="-78"/>
            <a:cs typeface="Simplified Arabic" panose="02020603050405020304" pitchFamily="18" charset="-78"/>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0</cdr:x>
      <cdr:y>0.01543</cdr:y>
    </cdr:from>
    <cdr:to>
      <cdr:x>0.0935</cdr:x>
      <cdr:y>0.11421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47625"/>
          <a:ext cx="512108" cy="304826"/>
        </a:xfrm>
        <a:prstGeom xmlns:a="http://schemas.openxmlformats.org/drawingml/2006/main" prst="rect">
          <a:avLst/>
        </a:prstGeom>
      </cdr:spPr>
    </cdr:pic>
  </cdr:relSizeAnchor>
  <cdr:relSizeAnchor xmlns:cdr="http://schemas.openxmlformats.org/drawingml/2006/chartDrawing">
    <cdr:from>
      <cdr:x>0.8322</cdr:x>
      <cdr:y>0.71914</cdr:y>
    </cdr:from>
    <cdr:to>
      <cdr:x>0.97458</cdr:x>
      <cdr:y>0.79938</cdr:y>
    </cdr:to>
    <cdr:sp macro="" textlink="">
      <cdr:nvSpPr>
        <cdr:cNvPr id="5" name="Zone de texte 4"/>
        <cdr:cNvSpPr txBox="1"/>
      </cdr:nvSpPr>
      <cdr:spPr>
        <a:xfrm xmlns:a="http://schemas.openxmlformats.org/drawingml/2006/main">
          <a:off x="4676775" y="2219325"/>
          <a:ext cx="800099"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100" b="1"/>
            <a:t>درجة التنوع</a:t>
          </a:r>
          <a:endParaRPr lang="fr-FR" sz="1100" b="1"/>
        </a:p>
      </cdr:txBody>
    </cdr:sp>
  </cdr:relSizeAnchor>
  <cdr:relSizeAnchor xmlns:cdr="http://schemas.openxmlformats.org/drawingml/2006/chartDrawing">
    <cdr:from>
      <cdr:x>0.8322</cdr:x>
      <cdr:y>0.78086</cdr:y>
    </cdr:from>
    <cdr:to>
      <cdr:x>0.9114</cdr:x>
      <cdr:y>0.91125</cdr:y>
    </cdr:to>
    <cdr:pic>
      <cdr:nvPicPr>
        <cdr:cNvPr id="6"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4676775" y="2409825"/>
          <a:ext cx="445047" cy="402371"/>
        </a:xfrm>
        <a:prstGeom xmlns:a="http://schemas.openxmlformats.org/drawingml/2006/main" prst="rect">
          <a:avLst/>
        </a:prstGeom>
      </cdr:spPr>
    </cdr:pic>
  </cdr:relSizeAnchor>
  <cdr:relSizeAnchor xmlns:cdr="http://schemas.openxmlformats.org/drawingml/2006/chartDrawing">
    <cdr:from>
      <cdr:x>0.82203</cdr:x>
      <cdr:y>0.85185</cdr:y>
    </cdr:from>
    <cdr:to>
      <cdr:x>1</cdr:x>
      <cdr:y>0.97828</cdr:y>
    </cdr:to>
    <cdr:pic>
      <cdr:nvPicPr>
        <cdr:cNvPr id="7" name="chart"/>
        <cdr:cNvPicPr>
          <a:picLocks xmlns:a="http://schemas.openxmlformats.org/drawingml/2006/main" noChangeAspect="1"/>
        </cdr:cNvPicPr>
      </cdr:nvPicPr>
      <cdr:blipFill>
        <a:blip xmlns:a="http://schemas.openxmlformats.org/drawingml/2006/main" xmlns:r="http://schemas.openxmlformats.org/officeDocument/2006/relationships" r:embed="rId3"/>
        <a:stretch xmlns:a="http://schemas.openxmlformats.org/drawingml/2006/main">
          <a:fillRect/>
        </a:stretch>
      </cdr:blipFill>
      <cdr:spPr>
        <a:xfrm xmlns:a="http://schemas.openxmlformats.org/drawingml/2006/main">
          <a:off x="4619624" y="2628900"/>
          <a:ext cx="1000125" cy="390178"/>
        </a:xfrm>
        <a:prstGeom xmlns:a="http://schemas.openxmlformats.org/drawingml/2006/main" prst="rect">
          <a:avLst/>
        </a:prstGeom>
      </cdr:spPr>
    </cdr:pic>
  </cdr:relSizeAnchor>
</c:userShapes>
</file>

<file path=word/drawings/drawing7.xml><?xml version="1.0" encoding="utf-8"?>
<c:userShapes xmlns:c="http://schemas.openxmlformats.org/drawingml/2006/chart">
  <cdr:relSizeAnchor xmlns:cdr="http://schemas.openxmlformats.org/drawingml/2006/chartDrawing">
    <cdr:from>
      <cdr:x>0.01813</cdr:x>
      <cdr:y>0</cdr:y>
    </cdr:from>
    <cdr:to>
      <cdr:x>0.11917</cdr:x>
      <cdr:y>0.09747</cdr:y>
    </cdr:to>
    <cdr:sp macro="" textlink="">
      <cdr:nvSpPr>
        <cdr:cNvPr id="2" name="Zone de texte 1"/>
        <cdr:cNvSpPr txBox="1"/>
      </cdr:nvSpPr>
      <cdr:spPr>
        <a:xfrm xmlns:a="http://schemas.openxmlformats.org/drawingml/2006/main">
          <a:off x="66658" y="0"/>
          <a:ext cx="371488" cy="25716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b="0">
              <a:effectLst/>
              <a:latin typeface="Simplified Arabic" panose="02020603050405020304" pitchFamily="18" charset="-78"/>
              <a:ea typeface="+mn-ea"/>
              <a:cs typeface="Simplified Arabic" panose="02020603050405020304" pitchFamily="18" charset="-78"/>
            </a:rPr>
            <a:t>(م)</a:t>
          </a:r>
          <a:endParaRPr lang="fr-FR" sz="1200" b="0">
            <a:latin typeface="Simplified Arabic" panose="02020603050405020304" pitchFamily="18" charset="-78"/>
            <a:cs typeface="Simplified Arabic" panose="02020603050405020304" pitchFamily="18" charset="-78"/>
          </a:endParaRPr>
        </a:p>
      </cdr:txBody>
    </cdr:sp>
  </cdr:relSizeAnchor>
  <cdr:relSizeAnchor xmlns:cdr="http://schemas.openxmlformats.org/drawingml/2006/chartDrawing">
    <cdr:from>
      <cdr:x>0.63188</cdr:x>
      <cdr:y>0.71321</cdr:y>
    </cdr:from>
    <cdr:to>
      <cdr:x>0.74846</cdr:x>
      <cdr:y>0.83357</cdr:y>
    </cdr:to>
    <cdr:sp macro="" textlink="">
      <cdr:nvSpPr>
        <cdr:cNvPr id="7" name="Zone de texte 6"/>
        <cdr:cNvSpPr txBox="1"/>
      </cdr:nvSpPr>
      <cdr:spPr>
        <a:xfrm xmlns:a="http://schemas.openxmlformats.org/drawingml/2006/main">
          <a:off x="2321989" y="1986822"/>
          <a:ext cx="428402" cy="33529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b="0">
              <a:latin typeface="Simplified Arabic" panose="02020603050405020304" pitchFamily="18" charset="-78"/>
              <a:cs typeface="Simplified Arabic" panose="02020603050405020304" pitchFamily="18" charset="-78"/>
            </a:rPr>
            <a:t>الحي</a:t>
          </a:r>
          <a:endParaRPr lang="fr-FR" sz="1100" b="0">
            <a:latin typeface="Simplified Arabic" panose="02020603050405020304" pitchFamily="18" charset="-78"/>
            <a:cs typeface="Simplified Arabic" panose="02020603050405020304" pitchFamily="18" charset="-78"/>
          </a:endParaRPr>
        </a:p>
      </cdr:txBody>
    </cdr:sp>
  </cdr:relSizeAnchor>
  <cdr:relSizeAnchor xmlns:cdr="http://schemas.openxmlformats.org/drawingml/2006/chartDrawing">
    <cdr:from>
      <cdr:x>0.61091</cdr:x>
      <cdr:y>0.86536</cdr:y>
    </cdr:from>
    <cdr:to>
      <cdr:x>0.93215</cdr:x>
      <cdr:y>0.97853</cdr:y>
    </cdr:to>
    <cdr:sp macro="" textlink="">
      <cdr:nvSpPr>
        <cdr:cNvPr id="8" name="Zone de texte 7"/>
        <cdr:cNvSpPr txBox="1"/>
      </cdr:nvSpPr>
      <cdr:spPr>
        <a:xfrm xmlns:a="http://schemas.openxmlformats.org/drawingml/2006/main">
          <a:off x="2244948" y="2410671"/>
          <a:ext cx="1180475" cy="31527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b="0">
              <a:latin typeface="Simplified Arabic" panose="02020603050405020304" pitchFamily="18" charset="-78"/>
              <a:cs typeface="Simplified Arabic" panose="02020603050405020304" pitchFamily="18" charset="-78"/>
            </a:rPr>
            <a:t>فئة النسيج الحضري</a:t>
          </a:r>
          <a:endParaRPr lang="fr-FR" sz="1200" b="0">
            <a:latin typeface="Simplified Arabic" panose="02020603050405020304" pitchFamily="18" charset="-78"/>
            <a:cs typeface="Simplified Arabic" panose="02020603050405020304" pitchFamily="18" charset="-78"/>
          </a:endParaRPr>
        </a:p>
      </cdr:txBody>
    </cdr:sp>
  </cdr:relSizeAnchor>
</c:userShapes>
</file>

<file path=word/drawings/drawing8.xml><?xml version="1.0" encoding="utf-8"?>
<c:userShapes xmlns:c="http://schemas.openxmlformats.org/drawingml/2006/chart">
  <cdr:relSizeAnchor xmlns:cdr="http://schemas.openxmlformats.org/drawingml/2006/chartDrawing">
    <cdr:from>
      <cdr:x>0.72203</cdr:x>
      <cdr:y>0.84779</cdr:y>
    </cdr:from>
    <cdr:to>
      <cdr:x>0.97627</cdr:x>
      <cdr:y>1</cdr:y>
    </cdr:to>
    <cdr:sp macro="" textlink="">
      <cdr:nvSpPr>
        <cdr:cNvPr id="4" name="Zone de texte 3"/>
        <cdr:cNvSpPr txBox="1"/>
      </cdr:nvSpPr>
      <cdr:spPr>
        <a:xfrm xmlns:a="http://schemas.openxmlformats.org/drawingml/2006/main">
          <a:off x="2028825" y="2398331"/>
          <a:ext cx="714375" cy="43059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indent="0" defTabSz="914400" eaLnBrk="1" fontAlgn="auto" latinLnBrk="0" hangingPunct="1">
            <a:lnSpc>
              <a:spcPct val="100000"/>
            </a:lnSpc>
            <a:spcBef>
              <a:spcPts val="0"/>
            </a:spcBef>
            <a:spcAft>
              <a:spcPts val="0"/>
            </a:spcAft>
            <a:buClrTx/>
            <a:buSzTx/>
            <a:buFontTx/>
            <a:buNone/>
            <a:tabLst/>
            <a:defRPr/>
          </a:pPr>
          <a:r>
            <a:rPr lang="ar-DZ" sz="1100" b="1"/>
            <a:t>فئة النسيج الحضري</a:t>
          </a:r>
          <a:endParaRPr lang="fr-FR" sz="1100" b="1"/>
        </a:p>
        <a:p xmlns:a="http://schemas.openxmlformats.org/drawingml/2006/main">
          <a:endParaRPr lang="fr-FR" sz="1100"/>
        </a:p>
      </cdr:txBody>
    </cdr:sp>
  </cdr:relSizeAnchor>
  <cdr:relSizeAnchor xmlns:cdr="http://schemas.openxmlformats.org/drawingml/2006/chartDrawing">
    <cdr:from>
      <cdr:x>0.7322</cdr:x>
      <cdr:y>0.76977</cdr:y>
    </cdr:from>
    <cdr:to>
      <cdr:x>0.91864</cdr:x>
      <cdr:y>0.86938</cdr:y>
    </cdr:to>
    <cdr:sp macro="" textlink="">
      <cdr:nvSpPr>
        <cdr:cNvPr id="6" name="Zone de texte 5"/>
        <cdr:cNvSpPr txBox="1"/>
      </cdr:nvSpPr>
      <cdr:spPr>
        <a:xfrm xmlns:a="http://schemas.openxmlformats.org/drawingml/2006/main">
          <a:off x="2057399" y="2177612"/>
          <a:ext cx="523875" cy="28180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b="1"/>
            <a:t>الحي</a:t>
          </a:r>
          <a:endParaRPr lang="fr-FR" sz="1100" b="1"/>
        </a:p>
      </cdr:txBody>
    </cdr:sp>
  </cdr:relSizeAnchor>
</c:userShapes>
</file>

<file path=word/drawings/drawing9.xml><?xml version="1.0" encoding="utf-8"?>
<c:userShapes xmlns:c="http://schemas.openxmlformats.org/drawingml/2006/chart">
  <cdr:relSizeAnchor xmlns:cdr="http://schemas.openxmlformats.org/drawingml/2006/chartDrawing">
    <cdr:from>
      <cdr:x>0.02898</cdr:x>
      <cdr:y>0.02672</cdr:y>
    </cdr:from>
    <cdr:to>
      <cdr:x>0.15942</cdr:x>
      <cdr:y>0.10687</cdr:y>
    </cdr:to>
    <cdr:sp macro="" textlink="">
      <cdr:nvSpPr>
        <cdr:cNvPr id="2" name="Zone de texte 1"/>
        <cdr:cNvSpPr txBox="1"/>
      </cdr:nvSpPr>
      <cdr:spPr>
        <a:xfrm xmlns:a="http://schemas.openxmlformats.org/drawingml/2006/main">
          <a:off x="76188" y="66687"/>
          <a:ext cx="342914" cy="20001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b="1"/>
            <a:t>كم</a:t>
          </a:r>
          <a:endParaRPr lang="fr-FR" sz="1100" b="1"/>
        </a:p>
      </cdr:txBody>
    </cdr:sp>
  </cdr:relSizeAnchor>
  <cdr:relSizeAnchor xmlns:cdr="http://schemas.openxmlformats.org/drawingml/2006/chartDrawing">
    <cdr:from>
      <cdr:x>0.73188</cdr:x>
      <cdr:y>0.68321</cdr:y>
    </cdr:from>
    <cdr:to>
      <cdr:x>0.89493</cdr:x>
      <cdr:y>0.79008</cdr:y>
    </cdr:to>
    <cdr:sp macro="" textlink="">
      <cdr:nvSpPr>
        <cdr:cNvPr id="15" name="Zone de texte 14"/>
        <cdr:cNvSpPr txBox="1"/>
      </cdr:nvSpPr>
      <cdr:spPr>
        <a:xfrm xmlns:a="http://schemas.openxmlformats.org/drawingml/2006/main">
          <a:off x="1924051" y="1704975"/>
          <a:ext cx="428624" cy="2667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200" b="1"/>
            <a:t>الحي</a:t>
          </a:r>
          <a:endParaRPr lang="fr-FR" sz="1100" b="1"/>
        </a:p>
      </cdr:txBody>
    </cdr:sp>
  </cdr:relSizeAnchor>
  <cdr:relSizeAnchor xmlns:cdr="http://schemas.openxmlformats.org/drawingml/2006/chartDrawing">
    <cdr:from>
      <cdr:x>0.68841</cdr:x>
      <cdr:y>0.82061</cdr:y>
    </cdr:from>
    <cdr:to>
      <cdr:x>0.97826</cdr:x>
      <cdr:y>1</cdr:y>
    </cdr:to>
    <cdr:sp macro="" textlink="">
      <cdr:nvSpPr>
        <cdr:cNvPr id="16" name="Zone de texte 15"/>
        <cdr:cNvSpPr txBox="1"/>
      </cdr:nvSpPr>
      <cdr:spPr>
        <a:xfrm xmlns:a="http://schemas.openxmlformats.org/drawingml/2006/main">
          <a:off x="1809750" y="2047876"/>
          <a:ext cx="762000" cy="4476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DZ" sz="1100" b="1"/>
            <a:t>فئة النسيج الحضري</a:t>
          </a:r>
          <a:endParaRPr lang="fr-FR" sz="1100" b="1"/>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E3E383-9F1A-49FA-ADB8-D684E1A5C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306</Pages>
  <Words>85050</Words>
  <Characters>467780</Characters>
  <Application>Microsoft Office Word</Application>
  <DocSecurity>0</DocSecurity>
  <Lines>3898</Lines>
  <Paragraphs>1103</Paragraphs>
  <ScaleCrop>false</ScaleCrop>
  <HeadingPairs>
    <vt:vector size="4" baseType="variant">
      <vt:variant>
        <vt:lpstr>Titre</vt:lpstr>
      </vt:variant>
      <vt:variant>
        <vt:i4>1</vt:i4>
      </vt:variant>
      <vt:variant>
        <vt:lpstr>Titres</vt:lpstr>
      </vt:variant>
      <vt:variant>
        <vt:i4>24</vt:i4>
      </vt:variant>
    </vt:vector>
  </HeadingPairs>
  <TitlesOfParts>
    <vt:vector size="25" baseType="lpstr">
      <vt:lpstr/>
      <vt:lpstr>/</vt:lpstr>
      <vt:lpstr>إِهْــــــــــــدَاء</vt:lpstr>
      <vt:lpstr>تَشَكُّرات</vt:lpstr>
      <vt:lpstr>الملخص</vt:lpstr>
      <vt:lpstr>Abstract</vt:lpstr>
      <vt:lpstr>Résumé</vt:lpstr>
      <vt:lpstr>&lt;فهرس المحتويات</vt:lpstr>
      <vt:lpstr>&lt;قائمة الاشكال	</vt:lpstr>
      <vt:lpstr>&lt;قائمة الجداول‌أ</vt:lpstr>
      <vt:lpstr>&lt;قائمة الخرائط</vt:lpstr>
      <vt:lpstr>&lt;قائمة الصور</vt:lpstr>
      <vt:lpstr>قائمة الاختصارات و الرموز</vt:lpstr>
      <vt:lpstr>الجزء الاول: </vt:lpstr>
      <vt:lpstr>الاطار العام للبحث</vt:lpstr>
      <vt:lpstr>الفصل التمهيدي</vt:lpstr>
      <vt:lpstr>مقدمة </vt:lpstr>
      <vt:lpstr>الاشكالية:</vt:lpstr>
      <vt:lpstr>اهداف البحث: </vt:lpstr>
      <vt:lpstr>    الهدف الرئيسي </vt:lpstr>
      <vt:lpstr>    الاهداف الثانوية</vt:lpstr>
      <vt:lpstr>فرضيات البحث: </vt:lpstr>
      <vt:lpstr>أهمية البحث</vt:lpstr>
      <vt:lpstr>منهجية البحث و الادوات المستعملة</vt:lpstr>
      <vt:lpstr>    منهجية البحث</vt:lpstr>
    </vt:vector>
  </TitlesOfParts>
  <Company/>
  <LinksUpToDate>false</LinksUpToDate>
  <CharactersWithSpaces>551727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NTC</dc:creator>
  <cp:lastModifiedBy>NTC</cp:lastModifiedBy>
  <cp:revision>40</cp:revision>
  <cp:lastPrinted>2024-07-14T08:20:00Z</cp:lastPrinted>
  <dcterms:created xsi:type="dcterms:W3CDTF">2024-06-30T18:00:00Z</dcterms:created>
  <dcterms:modified xsi:type="dcterms:W3CDTF">2024-07-14T08:22:00Z</dcterms:modified>
</cp:coreProperties>
</file>